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BBD4B" w14:textId="2926FF22" w:rsidR="00B201D3" w:rsidRDefault="009855E8">
      <w:pPr>
        <w:spacing w:beforeLines="50" w:before="120" w:afterLines="50" w:after="120"/>
        <w:rPr>
          <w:bCs/>
        </w:rPr>
      </w:pPr>
      <w:r>
        <w:rPr>
          <w:rFonts w:hint="eastAsia"/>
        </w:rPr>
        <w:t>股票代码：</w:t>
      </w:r>
      <w:sdt>
        <w:sdtPr>
          <w:rPr>
            <w:rFonts w:hint="eastAsia"/>
            <w:bCs/>
          </w:rPr>
          <w:alias w:val="公司代码"/>
          <w:tag w:val="_GBC_704b7b03ea3f4a93b8d4655a09b2ff61"/>
          <w:id w:val="-1409990327"/>
          <w:placeholder>
            <w:docPart w:val="GBC22222222222222222222222222222"/>
          </w:placeholder>
        </w:sdtPr>
        <w:sdtEndPr/>
        <w:sdtContent>
          <w:r>
            <w:rPr>
              <w:rFonts w:hint="eastAsia"/>
              <w:bCs/>
            </w:rPr>
            <w:t>600188</w:t>
          </w:r>
        </w:sdtContent>
      </w:sdt>
      <w:r>
        <w:rPr>
          <w:rFonts w:hint="eastAsia"/>
        </w:rPr>
        <w:t xml:space="preserve">                    </w:t>
      </w:r>
      <w:r>
        <w:tab/>
      </w:r>
      <w:r>
        <w:tab/>
      </w:r>
      <w:r>
        <w:rPr>
          <w:rFonts w:hint="eastAsia"/>
        </w:rPr>
        <w:t xml:space="preserve">  　　　　　　　　　　股票简称：</w:t>
      </w:r>
      <w:sdt>
        <w:sdtPr>
          <w:rPr>
            <w:rFonts w:hint="eastAsia"/>
            <w:bCs/>
          </w:rPr>
          <w:alias w:val="公司简称"/>
          <w:tag w:val="_GBC_0384ae715a1e4b4894a29e4d27f5bef4"/>
          <w:id w:val="-846095177"/>
          <w:placeholder>
            <w:docPart w:val="GBC22222222222222222222222222222"/>
          </w:placeholder>
        </w:sdtPr>
        <w:sdtEndPr/>
        <w:sdtContent>
          <w:r>
            <w:rPr>
              <w:rFonts w:hint="eastAsia"/>
              <w:bCs/>
            </w:rPr>
            <w:t>兖矿能源</w:t>
          </w:r>
        </w:sdtContent>
      </w:sdt>
    </w:p>
    <w:p w14:paraId="6089A317" w14:textId="77777777" w:rsidR="00B201D3" w:rsidRDefault="00B201D3">
      <w:pPr>
        <w:pStyle w:val="3903"/>
      </w:pPr>
    </w:p>
    <w:p w14:paraId="1B4286B8" w14:textId="77777777" w:rsidR="00B201D3" w:rsidRDefault="00B201D3">
      <w:pPr>
        <w:pStyle w:val="3903"/>
      </w:pPr>
    </w:p>
    <w:p w14:paraId="623700C1" w14:textId="77777777" w:rsidR="00B201D3" w:rsidRDefault="00B201D3">
      <w:pPr>
        <w:pStyle w:val="3903"/>
      </w:pPr>
    </w:p>
    <w:p w14:paraId="7324E9FD" w14:textId="77777777" w:rsidR="00B201D3" w:rsidRDefault="00B201D3">
      <w:pPr>
        <w:pStyle w:val="3903"/>
      </w:pPr>
    </w:p>
    <w:p w14:paraId="6A31951B" w14:textId="77777777" w:rsidR="00B201D3" w:rsidRDefault="00B201D3">
      <w:pPr>
        <w:pStyle w:val="3903"/>
      </w:pPr>
    </w:p>
    <w:p w14:paraId="0B3212F0" w14:textId="77777777" w:rsidR="00B201D3" w:rsidRDefault="00B201D3">
      <w:pPr>
        <w:pStyle w:val="3903"/>
      </w:pPr>
    </w:p>
    <w:p w14:paraId="1B0D4AC5" w14:textId="77777777" w:rsidR="00B201D3" w:rsidRDefault="00B201D3">
      <w:pPr>
        <w:pStyle w:val="3903"/>
      </w:pPr>
    </w:p>
    <w:p w14:paraId="67FA2947" w14:textId="1CD3CCC0" w:rsidR="00B201D3" w:rsidRDefault="00C8327E">
      <w:pPr>
        <w:jc w:val="center"/>
        <w:rPr>
          <w:rFonts w:ascii="黑体" w:eastAsia="黑体" w:hAnsi="黑体"/>
          <w:b/>
          <w:bCs/>
          <w:sz w:val="44"/>
          <w:szCs w:val="44"/>
        </w:rPr>
      </w:pPr>
      <w:sdt>
        <w:sdtPr>
          <w:rPr>
            <w:rFonts w:ascii="黑体" w:eastAsia="黑体" w:hAnsi="黑体" w:hint="eastAsia"/>
            <w:b/>
            <w:bCs/>
            <w:color w:val="FF0000"/>
            <w:sz w:val="44"/>
            <w:szCs w:val="44"/>
          </w:rPr>
          <w:alias w:val="公司法定中文名称"/>
          <w:tag w:val="_GBC_ef279e32efc14c6bb521c62ff1f265ba"/>
          <w:id w:val="1994058943"/>
          <w:placeholder>
            <w:docPart w:val="GBC22222222222222222222222222222"/>
          </w:placeholder>
          <w:dataBinding w:prefixMappings="xmlns:clcid-cgi='clcid-cgi'" w:xpath="/*/clcid-cgi:GongSiFaDingZhongWenMingCheng" w:storeItemID="{89EBAB94-44A0-46A2-B712-30D997D04A6D}"/>
          <w:text/>
        </w:sdtPr>
        <w:sdtEndPr/>
        <w:sdtContent>
          <w:r w:rsidR="00F46283">
            <w:rPr>
              <w:rFonts w:ascii="黑体" w:eastAsia="黑体" w:hAnsi="黑体" w:hint="eastAsia"/>
              <w:b/>
              <w:bCs/>
              <w:color w:val="FF0000"/>
              <w:sz w:val="44"/>
              <w:szCs w:val="44"/>
            </w:rPr>
            <w:t>兖矿能源集团股份有限公司</w:t>
          </w:r>
        </w:sdtContent>
      </w:sdt>
    </w:p>
    <w:p w14:paraId="030E6E1A" w14:textId="77777777" w:rsidR="00B201D3" w:rsidRDefault="009855E8">
      <w:pPr>
        <w:jc w:val="center"/>
        <w:rPr>
          <w:rFonts w:ascii="黑体" w:eastAsia="黑体" w:hAnsi="黑体"/>
          <w:b/>
          <w:bCs/>
          <w:color w:val="FF0000"/>
          <w:sz w:val="44"/>
          <w:szCs w:val="44"/>
        </w:rPr>
      </w:pPr>
      <w:r>
        <w:rPr>
          <w:rFonts w:ascii="黑体" w:eastAsia="黑体" w:hAnsi="黑体"/>
          <w:b/>
          <w:color w:val="FF0000"/>
          <w:sz w:val="44"/>
          <w:szCs w:val="44"/>
        </w:rPr>
        <w:t>2023年</w:t>
      </w:r>
      <w:r>
        <w:rPr>
          <w:rFonts w:ascii="黑体" w:eastAsia="黑体" w:hAnsi="黑体" w:hint="eastAsia"/>
          <w:b/>
          <w:color w:val="FF0000"/>
          <w:sz w:val="44"/>
          <w:szCs w:val="44"/>
        </w:rPr>
        <w:t>半年度报告</w:t>
      </w:r>
    </w:p>
    <w:p w14:paraId="5BA27EBC" w14:textId="77777777" w:rsidR="00B201D3" w:rsidRDefault="00B201D3">
      <w:pPr>
        <w:rPr>
          <w:rStyle w:val="1024"/>
        </w:rPr>
      </w:pPr>
    </w:p>
    <w:p w14:paraId="03E4E159" w14:textId="77777777" w:rsidR="00B201D3" w:rsidRDefault="00B201D3">
      <w:pPr>
        <w:pStyle w:val="3903"/>
      </w:pPr>
    </w:p>
    <w:p w14:paraId="7EA5BEC9" w14:textId="77777777" w:rsidR="00B201D3" w:rsidRDefault="00B201D3">
      <w:pPr>
        <w:pStyle w:val="3903"/>
      </w:pPr>
    </w:p>
    <w:p w14:paraId="379532B6" w14:textId="77777777" w:rsidR="00B201D3" w:rsidRDefault="00B201D3">
      <w:pPr>
        <w:pStyle w:val="3903"/>
      </w:pPr>
    </w:p>
    <w:p w14:paraId="71C7362C" w14:textId="77777777" w:rsidR="00B201D3" w:rsidRDefault="00B201D3">
      <w:pPr>
        <w:pStyle w:val="3903"/>
      </w:pPr>
    </w:p>
    <w:p w14:paraId="02762FD2" w14:textId="77777777" w:rsidR="00B201D3" w:rsidRDefault="00B201D3">
      <w:pPr>
        <w:pStyle w:val="3903"/>
      </w:pPr>
    </w:p>
    <w:p w14:paraId="0B154C41" w14:textId="77777777" w:rsidR="00B201D3" w:rsidRDefault="00B201D3">
      <w:pPr>
        <w:pStyle w:val="3903"/>
      </w:pPr>
    </w:p>
    <w:p w14:paraId="4B1B1F99" w14:textId="77777777" w:rsidR="00B201D3" w:rsidRDefault="009855E8">
      <w:pPr>
        <w:pStyle w:val="3903"/>
      </w:pPr>
      <w:r>
        <w:br w:type="page"/>
      </w:r>
    </w:p>
    <w:p w14:paraId="6A981413" w14:textId="77777777" w:rsidR="00B201D3" w:rsidRDefault="009855E8">
      <w:pPr>
        <w:pStyle w:val="af5"/>
        <w:spacing w:after="280" w:afterAutospacing="0"/>
        <w:jc w:val="center"/>
        <w:rPr>
          <w:b/>
          <w:bCs/>
          <w:sz w:val="28"/>
          <w:szCs w:val="28"/>
        </w:rPr>
      </w:pPr>
      <w:bookmarkStart w:id="0" w:name="_Toc387656034"/>
      <w:r>
        <w:rPr>
          <w:rFonts w:hint="eastAsia"/>
          <w:b/>
          <w:sz w:val="28"/>
          <w:szCs w:val="28"/>
        </w:rPr>
        <w:lastRenderedPageBreak/>
        <w:t>重要提示</w:t>
      </w:r>
      <w:bookmarkEnd w:id="0"/>
    </w:p>
    <w:sdt>
      <w:sdtPr>
        <w:rPr>
          <w:rFonts w:ascii="宋体" w:hAnsi="宋体" w:hint="eastAsia"/>
        </w:rPr>
        <w:alias w:val="选项模块:董事会及董事声明"/>
        <w:tag w:val="_SEC_d5e0e82062cc4f3cb5a290078031cbd7"/>
        <w:id w:val="468169403"/>
        <w:placeholder>
          <w:docPart w:val="GBC22222222222222222222222222222"/>
        </w:placeholder>
      </w:sdtPr>
      <w:sdtEndPr/>
      <w:sdtContent>
        <w:p w14:paraId="67471636" w14:textId="77777777" w:rsidR="00B201D3" w:rsidRDefault="00C8327E">
          <w:pPr>
            <w:pStyle w:val="2"/>
            <w:numPr>
              <w:ilvl w:val="0"/>
              <w:numId w:val="1"/>
            </w:numPr>
            <w:tabs>
              <w:tab w:val="left" w:pos="434"/>
            </w:tabs>
            <w:spacing w:before="0" w:after="0" w:line="360" w:lineRule="auto"/>
            <w:ind w:left="369" w:hangingChars="175" w:hanging="369"/>
            <w:rPr>
              <w:rFonts w:ascii="宋体" w:hAnsi="宋体"/>
            </w:rPr>
          </w:pPr>
          <w:sdt>
            <w:sdtPr>
              <w:rPr>
                <w:rFonts w:ascii="宋体" w:hAnsi="宋体" w:hint="eastAsia"/>
              </w:rPr>
              <w:alias w:val="董事会及董事声明"/>
              <w:tag w:val="_GBC_6c6da163383e4e4c92758ff24076a138"/>
              <w:id w:val="-634487616"/>
              <w:placeholder>
                <w:docPart w:val="GBC22222222222222222222222222222"/>
              </w:placeholder>
            </w:sdtPr>
            <w:sdtEndPr/>
            <w:sdtContent>
              <w:r w:rsidR="009855E8">
                <w:rPr>
                  <w:rFonts w:ascii="宋体" w:hAnsi="宋体" w:cs="宋体"/>
                </w:rPr>
                <w:t>本公司董事会、监事会及董事、监事、高级管理人员保证</w:t>
              </w:r>
              <w:r w:rsidR="009855E8">
                <w:rPr>
                  <w:rFonts w:ascii="宋体" w:hAnsi="宋体" w:cs="宋体" w:hint="eastAsia"/>
                </w:rPr>
                <w:t>半</w:t>
              </w:r>
              <w:r w:rsidR="009855E8">
                <w:rPr>
                  <w:rFonts w:ascii="宋体" w:hAnsi="宋体" w:cs="宋体"/>
                </w:rPr>
                <w:t>年度报告内容的真实</w:t>
              </w:r>
              <w:r w:rsidR="009855E8">
                <w:rPr>
                  <w:rFonts w:ascii="宋体" w:hAnsi="宋体" w:cs="宋体" w:hint="eastAsia"/>
                </w:rPr>
                <w:t>性</w:t>
              </w:r>
              <w:r w:rsidR="009855E8">
                <w:rPr>
                  <w:rFonts w:ascii="宋体" w:hAnsi="宋体" w:cs="宋体"/>
                </w:rPr>
                <w:t>、准确</w:t>
              </w:r>
              <w:r w:rsidR="009855E8">
                <w:rPr>
                  <w:rFonts w:ascii="宋体" w:hAnsi="宋体" w:cs="宋体" w:hint="eastAsia"/>
                </w:rPr>
                <w:t>性</w:t>
              </w:r>
              <w:r w:rsidR="009855E8">
                <w:rPr>
                  <w:rFonts w:ascii="宋体" w:hAnsi="宋体" w:cs="宋体"/>
                </w:rPr>
                <w:t>、完整</w:t>
              </w:r>
              <w:r w:rsidR="009855E8">
                <w:rPr>
                  <w:rFonts w:ascii="宋体" w:hAnsi="宋体" w:cs="宋体" w:hint="eastAsia"/>
                </w:rPr>
                <w:t>性</w:t>
              </w:r>
              <w:r w:rsidR="009855E8">
                <w:rPr>
                  <w:rFonts w:ascii="宋体" w:hAnsi="宋体" w:cs="宋体"/>
                </w:rPr>
                <w:t>，不存在虚假记载、误导性陈述或重大遗漏，并承担个别和连带的法律责任。</w:t>
              </w:r>
            </w:sdtContent>
          </w:sdt>
        </w:p>
      </w:sdtContent>
    </w:sdt>
    <w:sdt>
      <w:sdtPr>
        <w:rPr>
          <w:rFonts w:ascii="宋体" w:hAnsi="宋体" w:cs="宋体" w:hint="eastAsia"/>
          <w:b w:val="0"/>
          <w:bCs w:val="0"/>
          <w:kern w:val="0"/>
        </w:rPr>
        <w:alias w:val="选项模块:公司全体董事出席董事会会议。"/>
        <w:tag w:val="_GBC_1b1325bf1ae840869be71054a10ad268"/>
        <w:id w:val="-1769231026"/>
        <w:placeholder>
          <w:docPart w:val="GBC22222222222222222222222222222"/>
        </w:placeholder>
      </w:sdtPr>
      <w:sdtEndPr>
        <w:rPr>
          <w:rFonts w:hint="default"/>
        </w:rPr>
      </w:sdtEndPr>
      <w:sdtContent>
        <w:p w14:paraId="2D2BF261" w14:textId="77777777" w:rsidR="00B201D3" w:rsidRDefault="009855E8">
          <w:pPr>
            <w:pStyle w:val="2"/>
            <w:numPr>
              <w:ilvl w:val="0"/>
              <w:numId w:val="1"/>
            </w:numPr>
            <w:tabs>
              <w:tab w:val="left" w:pos="448"/>
            </w:tabs>
            <w:spacing w:before="0" w:after="0" w:line="360" w:lineRule="auto"/>
            <w:ind w:left="368" w:hangingChars="175" w:hanging="368"/>
            <w:rPr>
              <w:rFonts w:ascii="宋体" w:hAnsi="宋体"/>
            </w:rPr>
          </w:pPr>
          <w:r>
            <w:rPr>
              <w:rFonts w:ascii="宋体" w:hAnsi="宋体" w:cs="宋体" w:hint="eastAsia"/>
            </w:rPr>
            <w:t>《兖矿能源集团股份有限公司</w:t>
          </w:r>
          <w:r>
            <w:rPr>
              <w:rFonts w:ascii="宋体" w:hAnsi="宋体" w:cs="宋体"/>
            </w:rPr>
            <w:t>2023年半年度报告》已经公司第</w:t>
          </w:r>
          <w:r>
            <w:rPr>
              <w:rFonts w:ascii="宋体" w:hAnsi="宋体" w:cs="宋体" w:hint="eastAsia"/>
            </w:rPr>
            <w:t>九</w:t>
          </w:r>
          <w:r>
            <w:rPr>
              <w:rFonts w:ascii="宋体" w:hAnsi="宋体" w:cs="宋体"/>
            </w:rPr>
            <w:t>届董事会第</w:t>
          </w:r>
          <w:r>
            <w:rPr>
              <w:rFonts w:ascii="宋体" w:hAnsi="宋体" w:cs="宋体" w:hint="eastAsia"/>
            </w:rPr>
            <w:t>二</w:t>
          </w:r>
          <w:r>
            <w:rPr>
              <w:rFonts w:ascii="宋体" w:hAnsi="宋体" w:cs="宋体"/>
            </w:rPr>
            <w:t>次会议审议通过，会议应出席董事11人，</w:t>
          </w:r>
          <w:r>
            <w:rPr>
              <w:rFonts w:ascii="宋体" w:hAnsi="宋体" w:cs="宋体"/>
              <w:kern w:val="0"/>
            </w:rPr>
            <w:t>实出席董事11人，</w:t>
          </w:r>
          <w:r>
            <w:rPr>
              <w:rFonts w:ascii="宋体" w:hAnsi="宋体" w:hint="eastAsia"/>
            </w:rPr>
            <w:t>公司</w:t>
          </w:r>
          <w:sdt>
            <w:sdtPr>
              <w:rPr>
                <w:rFonts w:ascii="宋体" w:hAnsi="宋体" w:hint="eastAsia"/>
              </w:rPr>
              <w:tag w:val="_GBC_2e0ee33ebae04a83b92e8b1aa6754169"/>
              <w:id w:val="519978501"/>
              <w:placeholder>
                <w:docPart w:val="GBC22222222222222222222222222222"/>
              </w:placeholder>
            </w:sdtPr>
            <w:sdtEndPr/>
            <w:sdtContent>
              <w:r>
                <w:rPr>
                  <w:rFonts w:ascii="宋体" w:hAnsi="宋体" w:hint="eastAsia"/>
                </w:rPr>
                <w:t>全体董事出席</w:t>
              </w:r>
            </w:sdtContent>
          </w:sdt>
          <w:r>
            <w:rPr>
              <w:rFonts w:ascii="宋体" w:hAnsi="宋体" w:hint="eastAsia"/>
            </w:rPr>
            <w:t>董事会会议。</w:t>
          </w:r>
        </w:p>
        <w:p w14:paraId="09FE4823" w14:textId="77777777" w:rsidR="00B201D3" w:rsidRDefault="00C8327E">
          <w:pPr>
            <w:pStyle w:val="3903"/>
          </w:pPr>
        </w:p>
      </w:sdtContent>
    </w:sdt>
    <w:sdt>
      <w:sdtPr>
        <w:rPr>
          <w:rFonts w:ascii="宋体" w:hAnsi="宋体" w:cs="宋体" w:hint="eastAsia"/>
          <w:b w:val="0"/>
          <w:bCs w:val="0"/>
          <w:kern w:val="0"/>
          <w:sz w:val="24"/>
          <w:szCs w:val="24"/>
        </w:rPr>
        <w:alias w:val="选项模块:本年度报告未经审计。"/>
        <w:tag w:val="_GBC_07370c6ee32a4bea8271133440d087fd"/>
        <w:id w:val="-1290586863"/>
        <w:placeholder>
          <w:docPart w:val="GBC22222222222222222222222222222"/>
        </w:placeholder>
      </w:sdtPr>
      <w:sdtEndPr>
        <w:rPr>
          <w:rFonts w:hint="default"/>
          <w:sz w:val="21"/>
          <w:szCs w:val="21"/>
        </w:rPr>
      </w:sdtEndPr>
      <w:sdtContent>
        <w:p w14:paraId="7B221278" w14:textId="77777777" w:rsidR="00B201D3" w:rsidRDefault="009855E8">
          <w:pPr>
            <w:pStyle w:val="2"/>
            <w:numPr>
              <w:ilvl w:val="0"/>
              <w:numId w:val="1"/>
            </w:numPr>
            <w:tabs>
              <w:tab w:val="left" w:pos="490"/>
            </w:tabs>
            <w:spacing w:before="0" w:after="0" w:line="360" w:lineRule="auto"/>
            <w:ind w:left="420" w:hangingChars="175"/>
            <w:rPr>
              <w:rFonts w:ascii="宋体" w:hAnsi="宋体"/>
            </w:rPr>
          </w:pPr>
          <w:r>
            <w:rPr>
              <w:rFonts w:ascii="宋体" w:hAnsi="宋体" w:hint="eastAsia"/>
            </w:rPr>
            <w:t>本半年度报告</w:t>
          </w:r>
          <w:sdt>
            <w:sdtPr>
              <w:rPr>
                <w:rFonts w:ascii="宋体" w:hAnsi="宋体" w:hint="eastAsia"/>
              </w:rPr>
              <w:tag w:val="_GBC_be15b7a71d95430e82193d4cab461623"/>
              <w:id w:val="-639103739"/>
              <w:placeholder>
                <w:docPart w:val="GBC22222222222222222222222222222"/>
              </w:placeholder>
            </w:sdtPr>
            <w:sdtEndPr/>
            <w:sdtContent>
              <w:r>
                <w:rPr>
                  <w:rFonts w:ascii="宋体" w:hAnsi="宋体" w:hint="eastAsia"/>
                </w:rPr>
                <w:t>未经审计</w:t>
              </w:r>
            </w:sdtContent>
          </w:sdt>
          <w:r>
            <w:rPr>
              <w:rFonts w:ascii="宋体" w:hAnsi="宋体" w:hint="eastAsia"/>
            </w:rPr>
            <w:t>。</w:t>
          </w:r>
        </w:p>
        <w:p w14:paraId="652B88CB" w14:textId="77777777" w:rsidR="00B201D3" w:rsidRDefault="00C8327E">
          <w:pPr>
            <w:pStyle w:val="3903"/>
          </w:pPr>
        </w:p>
      </w:sdtContent>
    </w:sdt>
    <w:p w14:paraId="522BAFAF" w14:textId="77777777" w:rsidR="00B201D3" w:rsidRDefault="009855E8">
      <w:pPr>
        <w:pStyle w:val="2"/>
        <w:numPr>
          <w:ilvl w:val="0"/>
          <w:numId w:val="1"/>
        </w:numPr>
        <w:tabs>
          <w:tab w:val="left" w:pos="490"/>
        </w:tabs>
        <w:spacing w:before="0" w:after="0" w:line="360" w:lineRule="auto"/>
        <w:ind w:left="369" w:hangingChars="175" w:hanging="369"/>
        <w:rPr>
          <w:rFonts w:ascii="宋体" w:hAnsi="宋体"/>
        </w:rPr>
      </w:pPr>
      <w:r>
        <w:rPr>
          <w:rFonts w:ascii="宋体" w:hAnsi="宋体" w:hint="eastAsia"/>
        </w:rPr>
        <w:t>本半年度报告已经公司董事会审计委员会审阅。</w:t>
      </w:r>
    </w:p>
    <w:p w14:paraId="70FFA18A" w14:textId="77777777" w:rsidR="00B201D3" w:rsidRDefault="00B201D3">
      <w:pPr>
        <w:pStyle w:val="3903"/>
      </w:pPr>
    </w:p>
    <w:sdt>
      <w:sdtPr>
        <w:rPr>
          <w:rFonts w:ascii="宋体" w:hAnsi="宋体" w:hint="eastAsia"/>
          <w:b w:val="0"/>
        </w:rPr>
        <w:alias w:val="模块:公司负责人等声明"/>
        <w:tag w:val="_GBC_04b137e7f87b43b8812b2c33bd605e04"/>
        <w:id w:val="-1916458268"/>
        <w:placeholder>
          <w:docPart w:val="GBC22222222222222222222222222222"/>
        </w:placeholder>
      </w:sdtPr>
      <w:sdtEndPr>
        <w:rPr>
          <w:b/>
        </w:rPr>
      </w:sdtEndPr>
      <w:sdtContent>
        <w:p w14:paraId="19E52A97" w14:textId="35016A18" w:rsidR="00B201D3" w:rsidRDefault="009855E8">
          <w:pPr>
            <w:pStyle w:val="2"/>
            <w:numPr>
              <w:ilvl w:val="0"/>
              <w:numId w:val="1"/>
            </w:numPr>
            <w:tabs>
              <w:tab w:val="left" w:pos="434"/>
            </w:tabs>
            <w:spacing w:before="0" w:after="0" w:line="360" w:lineRule="auto"/>
            <w:ind w:left="368" w:hangingChars="175" w:hanging="368"/>
            <w:rPr>
              <w:rFonts w:ascii="宋体" w:hAnsi="宋体"/>
            </w:rPr>
          </w:pPr>
          <w:r>
            <w:rPr>
              <w:rFonts w:ascii="宋体" w:hAnsi="宋体" w:hint="eastAsia"/>
            </w:rPr>
            <w:t>公司董事长</w:t>
          </w:r>
          <w:sdt>
            <w:sdtPr>
              <w:rPr>
                <w:rFonts w:ascii="宋体" w:hAnsi="宋体" w:hint="eastAsia"/>
              </w:rPr>
              <w:alias w:val="公司负责人姓名"/>
              <w:tag w:val="_GBC_ee6b72f666bb497bbe8fc037096654d2"/>
              <w:id w:val="292571022"/>
              <w:placeholder>
                <w:docPart w:val="GBC22222222222222222222222222222"/>
              </w:placeholder>
              <w:dataBinding w:prefixMappings="xmlns:clcid-mr='clcid-mr'" w:xpath="/*/clcid-mr:GongSiFuZeRenXingMing[not(@periodRef)]" w:storeItemID="{89EBAB94-44A0-46A2-B712-30D997D04A6D}"/>
              <w:text/>
            </w:sdtPr>
            <w:sdtEndPr/>
            <w:sdtContent>
              <w:r w:rsidR="00F46283">
                <w:rPr>
                  <w:rFonts w:ascii="宋体" w:hAnsi="宋体" w:hint="eastAsia"/>
                </w:rPr>
                <w:t>李伟</w:t>
              </w:r>
            </w:sdtContent>
          </w:sdt>
          <w:r>
            <w:rPr>
              <w:rFonts w:ascii="宋体" w:hAnsi="宋体" w:hint="eastAsia"/>
            </w:rPr>
            <w:t>先生、财务总监</w:t>
          </w:r>
          <w:sdt>
            <w:sdtPr>
              <w:rPr>
                <w:rFonts w:ascii="宋体" w:hAnsi="宋体" w:hint="eastAsia"/>
              </w:rPr>
              <w:alias w:val="主管会计工作负责人姓名"/>
              <w:tag w:val="_GBC_51ed55c6ff134dadaa6756998c964cdf"/>
              <w:id w:val="1697965196"/>
              <w:placeholder>
                <w:docPart w:val="GBC22222222222222222222222222222"/>
              </w:placeholder>
              <w:dataBinding w:prefixMappings="xmlns:clcid-mr='clcid-mr'" w:xpath="/*/clcid-mr:ZhuGuanKuaiJiGongZuoFuZeRenXingMing[not(@periodRef)]" w:storeItemID="{89EBAB94-44A0-46A2-B712-30D997D04A6D}"/>
              <w:text/>
            </w:sdtPr>
            <w:sdtEndPr/>
            <w:sdtContent>
              <w:r w:rsidR="00F46283">
                <w:rPr>
                  <w:rFonts w:ascii="宋体" w:hAnsi="宋体" w:hint="eastAsia"/>
                </w:rPr>
                <w:t>赵青春</w:t>
              </w:r>
            </w:sdtContent>
          </w:sdt>
          <w:r>
            <w:rPr>
              <w:rFonts w:ascii="宋体" w:hAnsi="宋体" w:hint="eastAsia"/>
            </w:rPr>
            <w:t>先生及财务管理部部长</w:t>
          </w:r>
          <w:sdt>
            <w:sdtPr>
              <w:rPr>
                <w:rFonts w:ascii="宋体" w:hAnsi="宋体" w:hint="eastAsia"/>
              </w:rPr>
              <w:alias w:val="会计机构负责人姓名"/>
              <w:tag w:val="_GBC_aa7d9e44d6e64b9abdcdefb4a3968427"/>
              <w:id w:val="846131974"/>
              <w:placeholder>
                <w:docPart w:val="GBC22222222222222222222222222222"/>
              </w:placeholder>
              <w:dataBinding w:prefixMappings="xmlns:clcid-mr='clcid-mr'" w:xpath="/*/clcid-mr:KuaiJiJiGouFuZeRenXingMing[not(@periodRef)]" w:storeItemID="{89EBAB94-44A0-46A2-B712-30D997D04A6D}"/>
              <w:text/>
            </w:sdtPr>
            <w:sdtEndPr/>
            <w:sdtContent>
              <w:r w:rsidR="00F46283">
                <w:rPr>
                  <w:rFonts w:ascii="宋体" w:hAnsi="宋体" w:hint="eastAsia"/>
                </w:rPr>
                <w:t>赵治国</w:t>
              </w:r>
            </w:sdtContent>
          </w:sdt>
          <w:r>
            <w:rPr>
              <w:rFonts w:ascii="宋体" w:hAnsi="宋体" w:hint="eastAsia"/>
            </w:rPr>
            <w:t>先生声明：保证半年度报告中财务报告的真实、准确、完整。</w:t>
          </w:r>
        </w:p>
      </w:sdtContent>
    </w:sdt>
    <w:p w14:paraId="079F9549" w14:textId="77777777" w:rsidR="00B201D3" w:rsidRDefault="00B201D3">
      <w:pPr>
        <w:pStyle w:val="3903"/>
      </w:pPr>
    </w:p>
    <w:sdt>
      <w:sdtPr>
        <w:rPr>
          <w:rFonts w:ascii="宋体" w:hAnsi="宋体" w:cs="宋体"/>
          <w:b w:val="0"/>
          <w:bCs w:val="0"/>
          <w:kern w:val="0"/>
          <w:sz w:val="24"/>
          <w:szCs w:val="24"/>
        </w:rPr>
        <w:alias w:val="模块:经董事会审议的报告期利润分配预案或公积金转增股本预案"/>
        <w:tag w:val="_GBC_21c095fa67114a208ee8411405e3a22a"/>
        <w:id w:val="-2075960210"/>
        <w:placeholder>
          <w:docPart w:val="GBC22222222222222222222222222222"/>
        </w:placeholder>
      </w:sdtPr>
      <w:sdtEndPr>
        <w:rPr>
          <w:rFonts w:hint="eastAsia"/>
          <w:sz w:val="21"/>
          <w:szCs w:val="21"/>
          <w:shd w:val="pct10" w:color="auto" w:fill="FFFFFF"/>
        </w:rPr>
      </w:sdtEndPr>
      <w:sdtContent>
        <w:p w14:paraId="102ECE5D" w14:textId="77777777" w:rsidR="00B201D3" w:rsidRDefault="009855E8">
          <w:pPr>
            <w:pStyle w:val="2"/>
            <w:numPr>
              <w:ilvl w:val="0"/>
              <w:numId w:val="1"/>
            </w:numPr>
            <w:tabs>
              <w:tab w:val="left" w:pos="490"/>
            </w:tabs>
            <w:spacing w:before="0" w:after="0" w:line="360" w:lineRule="auto"/>
            <w:ind w:left="420" w:hangingChars="175"/>
            <w:rPr>
              <w:rFonts w:ascii="宋体" w:hAnsi="宋体"/>
              <w:sz w:val="24"/>
              <w:szCs w:val="24"/>
            </w:rPr>
          </w:pPr>
          <w:r>
            <w:rPr>
              <w:rFonts w:ascii="宋体" w:hAnsi="宋体"/>
            </w:rPr>
            <w:t>董事会</w:t>
          </w:r>
          <w:r>
            <w:t>决议通过的本报告期利润分配预案或公积金转增股本预案</w:t>
          </w:r>
        </w:p>
        <w:sdt>
          <w:sdtPr>
            <w:rPr>
              <w:rFonts w:hint="eastAsia"/>
            </w:rPr>
            <w:alias w:val="经董事会审议的报告期利润分配预案或公积金转增股本预案"/>
            <w:tag w:val="_GBC_7676626d447143468bebcc8d267ec746"/>
            <w:id w:val="-991867333"/>
            <w:placeholder>
              <w:docPart w:val="GBC22222222222222222222222222222"/>
            </w:placeholder>
          </w:sdtPr>
          <w:sdtEndPr>
            <w:rPr>
              <w:shd w:val="pct10" w:color="auto" w:fill="FFFFFF"/>
            </w:rPr>
          </w:sdtEndPr>
          <w:sdtContent>
            <w:p w14:paraId="6EAF8C24" w14:textId="77777777" w:rsidR="00B201D3" w:rsidRDefault="009855E8">
              <w:pPr>
                <w:kinsoku w:val="0"/>
                <w:overflowPunct w:val="0"/>
                <w:autoSpaceDE w:val="0"/>
                <w:autoSpaceDN w:val="0"/>
                <w:adjustRightInd w:val="0"/>
                <w:snapToGrid w:val="0"/>
                <w:spacing w:line="360" w:lineRule="exact"/>
                <w:ind w:firstLineChars="200" w:firstLine="420"/>
                <w:rPr>
                  <w:shd w:val="pct10" w:color="auto" w:fill="FFFFFF"/>
                </w:rPr>
              </w:pPr>
              <w:r>
                <w:rPr>
                  <w:rFonts w:hint="eastAsia"/>
                </w:rPr>
                <w:t>本公司</w:t>
              </w:r>
              <w:r>
                <w:t>2023年中期不进行利润分配、不实施资本公积金转增股本。</w:t>
              </w:r>
            </w:p>
          </w:sdtContent>
        </w:sdt>
      </w:sdtContent>
    </w:sdt>
    <w:p w14:paraId="5FA0306C" w14:textId="77777777" w:rsidR="00B201D3" w:rsidRDefault="00B201D3">
      <w:pPr>
        <w:kinsoku w:val="0"/>
        <w:overflowPunct w:val="0"/>
        <w:autoSpaceDE w:val="0"/>
        <w:autoSpaceDN w:val="0"/>
        <w:adjustRightInd w:val="0"/>
        <w:snapToGrid w:val="0"/>
        <w:spacing w:line="360" w:lineRule="exact"/>
        <w:rPr>
          <w:shd w:val="pct10" w:color="auto" w:fill="FFFFFF"/>
        </w:rPr>
      </w:pPr>
    </w:p>
    <w:sdt>
      <w:sdtPr>
        <w:rPr>
          <w:rFonts w:ascii="宋体" w:hAnsi="宋体" w:cs="宋体"/>
          <w:b w:val="0"/>
          <w:bCs w:val="0"/>
          <w:kern w:val="0"/>
          <w:sz w:val="24"/>
          <w:szCs w:val="24"/>
        </w:rPr>
        <w:alias w:val="模块:前瞻性陈述的风险声明"/>
        <w:tag w:val="_GBC_cc24ced211694e75b40a9765d2616e01"/>
        <w:id w:val="2080322741"/>
        <w:placeholder>
          <w:docPart w:val="GBC22222222222222222222222222222"/>
        </w:placeholder>
      </w:sdtPr>
      <w:sdtEndPr>
        <w:rPr>
          <w:rFonts w:hint="eastAsia"/>
          <w:sz w:val="21"/>
          <w:szCs w:val="21"/>
          <w:shd w:val="pct10" w:color="auto" w:fill="FFFFFF"/>
        </w:rPr>
      </w:sdtEndPr>
      <w:sdtContent>
        <w:p w14:paraId="1F6E7614" w14:textId="77777777" w:rsidR="00B201D3" w:rsidRDefault="009855E8">
          <w:pPr>
            <w:pStyle w:val="2"/>
            <w:numPr>
              <w:ilvl w:val="0"/>
              <w:numId w:val="1"/>
            </w:numPr>
            <w:tabs>
              <w:tab w:val="left" w:pos="504"/>
            </w:tabs>
            <w:spacing w:before="0" w:after="0" w:line="360" w:lineRule="auto"/>
            <w:ind w:left="420" w:hangingChars="175"/>
            <w:rPr>
              <w:rFonts w:ascii="宋体" w:hAnsi="宋体"/>
            </w:rPr>
          </w:pPr>
          <w:r>
            <w:rPr>
              <w:rFonts w:ascii="宋体" w:hAnsi="宋体"/>
            </w:rPr>
            <w:t>前瞻性陈述的风险声明</w:t>
          </w:r>
        </w:p>
        <w:sdt>
          <w:sdtPr>
            <w:alias w:val="是否适用：前瞻性陈述的风险声明[双击切换]"/>
            <w:tag w:val="_GBC_6a28949332914149bda7cc0225d614b7"/>
            <w:id w:val="1011412208"/>
            <w:placeholder>
              <w:docPart w:val="GBC22222222222222222222222222222"/>
            </w:placeholder>
          </w:sdtPr>
          <w:sdtEndPr/>
          <w:sdtContent>
            <w:p w14:paraId="6BB4A4BF" w14:textId="77777777" w:rsidR="00B201D3" w:rsidRDefault="009855E8">
              <w:pPr>
                <w:ind w:firstLineChars="200" w:firstLine="420"/>
                <w:jc w:val="both"/>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公司对报告涉及未来计划等前瞻性陈述的声明"/>
            <w:tag w:val="_GBC_6511b5aecc604062ad93b5fbd25fd19b"/>
            <w:id w:val="716630175"/>
            <w:placeholder>
              <w:docPart w:val="GBC22222222222222222222222222222"/>
            </w:placeholder>
          </w:sdtPr>
          <w:sdtEndPr>
            <w:rPr>
              <w:shd w:val="pct10" w:color="auto" w:fill="FFFFFF"/>
            </w:rPr>
          </w:sdtEndPr>
          <w:sdtContent>
            <w:p w14:paraId="0C21182B" w14:textId="77777777" w:rsidR="00B201D3" w:rsidRDefault="009855E8">
              <w:pPr>
                <w:kinsoku w:val="0"/>
                <w:overflowPunct w:val="0"/>
                <w:autoSpaceDE w:val="0"/>
                <w:autoSpaceDN w:val="0"/>
                <w:adjustRightInd w:val="0"/>
                <w:snapToGrid w:val="0"/>
                <w:spacing w:line="360" w:lineRule="exact"/>
                <w:ind w:firstLineChars="200" w:firstLine="420"/>
                <w:jc w:val="both"/>
                <w:rPr>
                  <w:shd w:val="pct10" w:color="auto" w:fill="FFFFFF"/>
                </w:rPr>
              </w:pPr>
              <w:r>
                <w:rPr>
                  <w:rFonts w:hint="eastAsia"/>
                </w:rPr>
                <w:t>本半年度报告中有关未来计划等前瞻性陈述，不构成本公司对投资者的实质性承诺，请投资者注意投资风险。</w:t>
              </w:r>
            </w:p>
          </w:sdtContent>
        </w:sdt>
      </w:sdtContent>
    </w:sdt>
    <w:p w14:paraId="6CA8E8EF" w14:textId="77777777" w:rsidR="00B201D3" w:rsidRDefault="00B201D3">
      <w:pPr>
        <w:kinsoku w:val="0"/>
        <w:overflowPunct w:val="0"/>
        <w:autoSpaceDE w:val="0"/>
        <w:autoSpaceDN w:val="0"/>
        <w:adjustRightInd w:val="0"/>
        <w:snapToGrid w:val="0"/>
        <w:spacing w:line="360" w:lineRule="exact"/>
        <w:rPr>
          <w:shd w:val="pct10" w:color="auto" w:fill="FFFFFF"/>
        </w:rPr>
      </w:pPr>
    </w:p>
    <w:sdt>
      <w:sdtPr>
        <w:rPr>
          <w:rFonts w:ascii="宋体" w:hAnsi="宋体" w:cs="宋体" w:hint="eastAsia"/>
          <w:b w:val="0"/>
          <w:bCs w:val="0"/>
          <w:kern w:val="0"/>
          <w:sz w:val="24"/>
          <w:szCs w:val="24"/>
          <w:shd w:val="pct10" w:color="auto" w:fill="FFFFFF"/>
        </w:rPr>
        <w:alias w:val="模块:是否存在被控股股东及其关联方非经营性占用资金情况"/>
        <w:tag w:val="_GBC_70f733efbc484640a48089ddc49bf2b9"/>
        <w:id w:val="-766693816"/>
        <w:placeholder>
          <w:docPart w:val="GBC22222222222222222222222222222"/>
        </w:placeholder>
      </w:sdtPr>
      <w:sdtEndPr>
        <w:rPr>
          <w:sz w:val="21"/>
          <w:szCs w:val="21"/>
          <w:shd w:val="clear" w:color="auto" w:fill="auto"/>
        </w:rPr>
      </w:sdtEndPr>
      <w:sdtContent>
        <w:p w14:paraId="26FD0552" w14:textId="77777777" w:rsidR="00B201D3" w:rsidRDefault="009855E8">
          <w:pPr>
            <w:pStyle w:val="2"/>
            <w:numPr>
              <w:ilvl w:val="0"/>
              <w:numId w:val="1"/>
            </w:numPr>
            <w:tabs>
              <w:tab w:val="left" w:pos="434"/>
              <w:tab w:val="left" w:pos="644"/>
            </w:tabs>
            <w:spacing w:before="0" w:after="0" w:line="360" w:lineRule="auto"/>
            <w:ind w:left="420" w:hangingChars="175"/>
            <w:rPr>
              <w:rFonts w:ascii="宋体" w:hAnsi="宋体"/>
            </w:rPr>
          </w:pPr>
          <w:r>
            <w:rPr>
              <w:rFonts w:ascii="宋体" w:hAnsi="宋体"/>
            </w:rPr>
            <w:t>是否存在被控股股东及其</w:t>
          </w:r>
          <w:r>
            <w:rPr>
              <w:rFonts w:ascii="宋体" w:hAnsi="宋体" w:hint="eastAsia"/>
            </w:rPr>
            <w:t>他</w:t>
          </w:r>
          <w:r>
            <w:rPr>
              <w:rFonts w:ascii="宋体" w:hAnsi="宋体"/>
            </w:rPr>
            <w:t>关联方非经营性占用资金情况</w:t>
          </w:r>
        </w:p>
        <w:sdt>
          <w:sdtPr>
            <w:rPr>
              <w:rFonts w:hint="eastAsia"/>
              <w:bCs/>
            </w:rPr>
            <w:alias w:val="本公司是否存在大股东占用资金情况"/>
            <w:tag w:val="_GBC_a32400ff33ee44d89632e0d79a7f2c42"/>
            <w:id w:val="1464861056"/>
            <w:placeholder>
              <w:docPart w:val="GBC22222222222222222222222222222"/>
            </w:placeholder>
            <w:comboBox>
              <w:listItem w:displayText="是" w:value="true"/>
              <w:listItem w:displayText="否" w:value="false"/>
            </w:comboBox>
          </w:sdtPr>
          <w:sdtEndPr/>
          <w:sdtContent>
            <w:p w14:paraId="53C1F53A" w14:textId="2F0BC8AD" w:rsidR="00B201D3" w:rsidRDefault="00F46283">
              <w:pPr>
                <w:kinsoku w:val="0"/>
                <w:overflowPunct w:val="0"/>
                <w:autoSpaceDE w:val="0"/>
                <w:autoSpaceDN w:val="0"/>
                <w:adjustRightInd w:val="0"/>
                <w:snapToGrid w:val="0"/>
                <w:spacing w:line="360" w:lineRule="exact"/>
                <w:ind w:firstLineChars="200" w:firstLine="420"/>
                <w:rPr>
                  <w:bCs/>
                </w:rPr>
              </w:pPr>
              <w:r>
                <w:rPr>
                  <w:rFonts w:hint="eastAsia"/>
                  <w:bCs/>
                </w:rPr>
                <w:t>否</w:t>
              </w:r>
            </w:p>
          </w:sdtContent>
        </w:sdt>
      </w:sdtContent>
    </w:sdt>
    <w:p w14:paraId="52E99520" w14:textId="77777777" w:rsidR="00B201D3" w:rsidRDefault="00B201D3">
      <w:pPr>
        <w:kinsoku w:val="0"/>
        <w:overflowPunct w:val="0"/>
        <w:autoSpaceDE w:val="0"/>
        <w:autoSpaceDN w:val="0"/>
        <w:adjustRightInd w:val="0"/>
        <w:snapToGrid w:val="0"/>
        <w:spacing w:line="360" w:lineRule="exact"/>
        <w:rPr>
          <w:shd w:val="pct10" w:color="auto" w:fill="FFFFFF"/>
        </w:rPr>
      </w:pPr>
    </w:p>
    <w:sdt>
      <w:sdtPr>
        <w:rPr>
          <w:rFonts w:ascii="宋体" w:hAnsi="宋体" w:cs="宋体"/>
          <w:b w:val="0"/>
          <w:bCs w:val="0"/>
          <w:kern w:val="0"/>
          <w:sz w:val="24"/>
          <w:szCs w:val="24"/>
        </w:rPr>
        <w:alias w:val="模块:是否存在违反规定决策程序对外提供担保的情况"/>
        <w:tag w:val="_GBC_0b5725dfa5c04f85874bece4083eddb4"/>
        <w:id w:val="1639067833"/>
        <w:placeholder>
          <w:docPart w:val="GBC22222222222222222222222222222"/>
        </w:placeholder>
      </w:sdtPr>
      <w:sdtEndPr>
        <w:rPr>
          <w:rFonts w:hint="eastAsia"/>
          <w:sz w:val="21"/>
          <w:szCs w:val="21"/>
        </w:rPr>
      </w:sdtEndPr>
      <w:sdtContent>
        <w:p w14:paraId="660ACB68" w14:textId="77777777" w:rsidR="00B201D3" w:rsidRDefault="009855E8">
          <w:pPr>
            <w:pStyle w:val="2"/>
            <w:numPr>
              <w:ilvl w:val="0"/>
              <w:numId w:val="1"/>
            </w:numPr>
            <w:tabs>
              <w:tab w:val="left" w:pos="644"/>
            </w:tabs>
            <w:spacing w:before="0" w:after="0" w:line="360" w:lineRule="auto"/>
            <w:ind w:left="420" w:hangingChars="175"/>
            <w:rPr>
              <w:rFonts w:ascii="宋体" w:hAnsi="宋体"/>
            </w:rPr>
          </w:pPr>
          <w:r>
            <w:rPr>
              <w:rFonts w:ascii="宋体" w:hAnsi="宋体"/>
            </w:rPr>
            <w:t>是否存在违反规定决策程序对外提供担保的情况</w:t>
          </w:r>
        </w:p>
        <w:sdt>
          <w:sdtPr>
            <w:rPr>
              <w:rFonts w:hint="eastAsia"/>
            </w:rPr>
            <w:alias w:val="本公司是否存在违反规定决策程序对外提供担保的情况"/>
            <w:tag w:val="_GBC_3bc3f02bd342494aa2858bb9a39d8458"/>
            <w:id w:val="-775944037"/>
            <w:placeholder>
              <w:docPart w:val="GBC22222222222222222222222222222"/>
            </w:placeholder>
            <w:comboBox>
              <w:listItem w:displayText="是" w:value="true"/>
              <w:listItem w:displayText="否" w:value="false"/>
            </w:comboBox>
          </w:sdtPr>
          <w:sdtEndPr/>
          <w:sdtContent>
            <w:p w14:paraId="472A4C5E" w14:textId="7FAB4E82" w:rsidR="00B201D3" w:rsidRDefault="00F46283">
              <w:pPr>
                <w:ind w:firstLineChars="200" w:firstLine="420"/>
              </w:pPr>
              <w:r>
                <w:rPr>
                  <w:rFonts w:hint="eastAsia"/>
                </w:rPr>
                <w:t>否</w:t>
              </w:r>
            </w:p>
          </w:sdtContent>
        </w:sdt>
      </w:sdtContent>
    </w:sdt>
    <w:p w14:paraId="3CC08817" w14:textId="77777777" w:rsidR="00B201D3" w:rsidRDefault="00B201D3">
      <w:pPr>
        <w:pStyle w:val="3903"/>
      </w:pPr>
    </w:p>
    <w:bookmarkStart w:id="1" w:name="_Hlk61881950" w:displacedByCustomXml="next"/>
    <w:bookmarkStart w:id="2" w:name="_Hlk72769553" w:displacedByCustomXml="next"/>
    <w:sdt>
      <w:sdtPr>
        <w:rPr>
          <w:rFonts w:ascii="宋体" w:hAnsi="宋体" w:cs="宋体" w:hint="eastAsia"/>
          <w:b w:val="0"/>
          <w:bCs w:val="0"/>
          <w:kern w:val="0"/>
          <w:szCs w:val="24"/>
        </w:rPr>
        <w:alias w:val="模块:"/>
        <w:tag w:val="_SEC_f8924de2a90b4f29b727c0dcf0bfd58a"/>
        <w:id w:val="866410832"/>
        <w:lock w:val="sdtLocked"/>
        <w:placeholder>
          <w:docPart w:val="GBC22222222222222222222222222222"/>
        </w:placeholder>
      </w:sdtPr>
      <w:sdtEndPr>
        <w:rPr>
          <w:szCs w:val="21"/>
        </w:rPr>
      </w:sdtEndPr>
      <w:sdtContent>
        <w:p w14:paraId="4131C14F" w14:textId="77777777" w:rsidR="00B201D3" w:rsidRDefault="009855E8">
          <w:pPr>
            <w:pStyle w:val="2"/>
            <w:numPr>
              <w:ilvl w:val="0"/>
              <w:numId w:val="1"/>
            </w:numPr>
            <w:tabs>
              <w:tab w:val="left" w:pos="644"/>
            </w:tabs>
            <w:spacing w:before="0" w:after="0" w:line="360" w:lineRule="auto"/>
            <w:ind w:left="368" w:hangingChars="175" w:hanging="368"/>
            <w:rPr>
              <w:rFonts w:ascii="宋体" w:hAnsi="宋体" w:cs="宋体"/>
              <w:kern w:val="0"/>
            </w:rPr>
          </w:pPr>
          <w:r>
            <w:rPr>
              <w:rFonts w:ascii="宋体" w:hAnsi="宋体" w:cs="宋体"/>
              <w:kern w:val="0"/>
            </w:rPr>
            <w:t>是否存在半数</w:t>
          </w:r>
          <w:r>
            <w:rPr>
              <w:rFonts w:ascii="宋体" w:hAnsi="宋体" w:cs="宋体" w:hint="eastAsia"/>
              <w:kern w:val="0"/>
            </w:rPr>
            <w:t>以上</w:t>
          </w:r>
          <w:r>
            <w:rPr>
              <w:rFonts w:ascii="宋体" w:hAnsi="宋体" w:cs="宋体"/>
              <w:kern w:val="0"/>
            </w:rPr>
            <w:t>董事无法保证公司所披露</w:t>
          </w:r>
          <w:r>
            <w:rPr>
              <w:rFonts w:ascii="宋体" w:hAnsi="宋体" w:cs="宋体" w:hint="eastAsia"/>
              <w:kern w:val="0"/>
            </w:rPr>
            <w:t>半</w:t>
          </w:r>
          <w:r>
            <w:rPr>
              <w:rFonts w:ascii="宋体" w:hAnsi="宋体" w:cs="宋体"/>
              <w:kern w:val="0"/>
            </w:rPr>
            <w:t>年度报告的真实性、准确性和完整性</w:t>
          </w:r>
          <w:bookmarkEnd w:id="1"/>
        </w:p>
        <w:sdt>
          <w:sdtPr>
            <w:rPr>
              <w:rFonts w:hint="eastAsia"/>
            </w:rPr>
            <w:alias w:val="是否存在半数以上董事无法保证公司所披露年度报告的真实性、准确性和完整性"/>
            <w:tag w:val="_GBC_016ca2a0d8c2429a89679ee7fdc015c2"/>
            <w:id w:val="1774047901"/>
            <w:lock w:val="sdtLocked"/>
            <w:placeholder>
              <w:docPart w:val="GBC22222222222222222222222222222"/>
            </w:placeholder>
            <w:comboBox>
              <w:listItem w:displayText="是" w:value="是"/>
              <w:listItem w:displayText="否" w:value="否"/>
            </w:comboBox>
          </w:sdtPr>
          <w:sdtEndPr/>
          <w:sdtContent>
            <w:p w14:paraId="2CD1BD35" w14:textId="1AD8C2C1" w:rsidR="00B201D3" w:rsidRDefault="00F46283">
              <w:pPr>
                <w:ind w:firstLineChars="200" w:firstLine="420"/>
              </w:pPr>
              <w:r>
                <w:rPr>
                  <w:rFonts w:hint="eastAsia"/>
                </w:rPr>
                <w:t>否</w:t>
              </w:r>
            </w:p>
          </w:sdtContent>
        </w:sdt>
        <w:p w14:paraId="05545500" w14:textId="77777777" w:rsidR="00B201D3" w:rsidRDefault="00C8327E">
          <w:pPr>
            <w:pStyle w:val="3903"/>
          </w:pPr>
        </w:p>
      </w:sdtContent>
    </w:sdt>
    <w:bookmarkEnd w:id="2" w:displacedByCustomXml="next"/>
    <w:sdt>
      <w:sdtPr>
        <w:rPr>
          <w:rFonts w:ascii="宋体" w:hAnsi="宋体" w:cs="宋体"/>
          <w:b w:val="0"/>
          <w:bCs w:val="0"/>
          <w:kern w:val="0"/>
          <w:szCs w:val="24"/>
        </w:rPr>
        <w:alias w:val="模块:重大风险提示"/>
        <w:tag w:val="_SEC_765dd5e867e04417bfcc7ba07f902949"/>
        <w:id w:val="-85843869"/>
        <w:placeholder>
          <w:docPart w:val="GBC22222222222222222222222222222"/>
        </w:placeholder>
      </w:sdtPr>
      <w:sdtEndPr>
        <w:rPr>
          <w:rFonts w:hint="eastAsia"/>
          <w:szCs w:val="21"/>
        </w:rPr>
      </w:sdtEndPr>
      <w:sdtContent>
        <w:p w14:paraId="0F4DA410" w14:textId="77777777" w:rsidR="00B201D3" w:rsidRDefault="009855E8">
          <w:pPr>
            <w:pStyle w:val="2"/>
            <w:numPr>
              <w:ilvl w:val="0"/>
              <w:numId w:val="1"/>
            </w:numPr>
            <w:tabs>
              <w:tab w:val="left" w:pos="644"/>
            </w:tabs>
            <w:spacing w:before="0" w:after="0" w:line="360" w:lineRule="auto"/>
            <w:ind w:left="368" w:hangingChars="175" w:hanging="368"/>
            <w:rPr>
              <w:rFonts w:ascii="宋体" w:hAnsi="宋体"/>
            </w:rPr>
          </w:pPr>
          <w:r>
            <w:rPr>
              <w:rFonts w:ascii="宋体" w:hAnsi="宋体"/>
            </w:rPr>
            <w:t>重大风险提示</w:t>
          </w:r>
        </w:p>
        <w:sdt>
          <w:sdtPr>
            <w:rPr>
              <w:rFonts w:hint="eastAsia"/>
            </w:rPr>
            <w:alias w:val="重大风险提示"/>
            <w:tag w:val="_GBC_d0220f8592e64dd1b898937e183da1e3"/>
            <w:id w:val="-1954538619"/>
            <w:placeholder>
              <w:docPart w:val="GBC22222222222222222222222222222"/>
            </w:placeholder>
          </w:sdtPr>
          <w:sdtEndPr/>
          <w:sdtContent>
            <w:p w14:paraId="309BC318" w14:textId="77777777" w:rsidR="00B201D3" w:rsidRDefault="009855E8">
              <w:pPr>
                <w:ind w:firstLineChars="200" w:firstLine="420"/>
                <w:jc w:val="both"/>
              </w:pPr>
              <w:r>
                <w:rPr>
                  <w:rFonts w:hint="eastAsia"/>
                </w:rPr>
                <w:t>公司已在本报告中披露了本集团面临的主要风险、影响及对策，详情请见本报告“第三节</w:t>
              </w:r>
              <w:r>
                <w:t xml:space="preserve"> 管</w:t>
              </w:r>
              <w:r>
                <w:rPr>
                  <w:rFonts w:hint="eastAsia"/>
                </w:rPr>
                <w:t>理层讨论与分析”中的相关内容，敬请投资者予以关注。</w:t>
              </w:r>
            </w:p>
          </w:sdtContent>
        </w:sdt>
      </w:sdtContent>
    </w:sdt>
    <w:p w14:paraId="62983BEB" w14:textId="77777777" w:rsidR="00B201D3" w:rsidRDefault="00B201D3">
      <w:pPr>
        <w:pStyle w:val="3903"/>
      </w:pPr>
    </w:p>
    <w:sdt>
      <w:sdtPr>
        <w:rPr>
          <w:rFonts w:ascii="宋体" w:hAnsi="宋体" w:cs="宋体"/>
          <w:b w:val="0"/>
          <w:bCs w:val="0"/>
          <w:kern w:val="0"/>
          <w:sz w:val="24"/>
          <w:szCs w:val="24"/>
        </w:rPr>
        <w:alias w:val="模块:重要提示的其他情况说明"/>
        <w:tag w:val="_GBC_b8bb35c675b44fbdaf150c1114447d89"/>
        <w:id w:val="176557018"/>
        <w:lock w:val="sdtLocked"/>
        <w:placeholder>
          <w:docPart w:val="GBC22222222222222222222222222222"/>
        </w:placeholder>
      </w:sdtPr>
      <w:sdtEndPr>
        <w:rPr>
          <w:sz w:val="21"/>
          <w:szCs w:val="21"/>
        </w:rPr>
      </w:sdtEndPr>
      <w:sdtContent>
        <w:p w14:paraId="053F9C2A" w14:textId="77777777" w:rsidR="00B201D3" w:rsidRDefault="009855E8">
          <w:pPr>
            <w:pStyle w:val="2"/>
            <w:numPr>
              <w:ilvl w:val="0"/>
              <w:numId w:val="1"/>
            </w:numPr>
            <w:tabs>
              <w:tab w:val="left" w:pos="588"/>
              <w:tab w:val="left" w:pos="644"/>
              <w:tab w:val="left" w:pos="672"/>
            </w:tabs>
            <w:spacing w:before="0" w:after="0" w:line="360" w:lineRule="auto"/>
            <w:ind w:left="420" w:hangingChars="175"/>
            <w:rPr>
              <w:rFonts w:ascii="宋体" w:hAnsi="宋体"/>
              <w:sz w:val="24"/>
              <w:szCs w:val="24"/>
            </w:rPr>
          </w:pPr>
          <w:r>
            <w:rPr>
              <w:rFonts w:ascii="宋体" w:hAnsi="宋体" w:hint="eastAsia"/>
              <w:sz w:val="24"/>
              <w:szCs w:val="24"/>
            </w:rPr>
            <w:t>其他</w:t>
          </w:r>
        </w:p>
        <w:sdt>
          <w:sdtPr>
            <w:alias w:val="是否适用：其他重要提示[双击切换]"/>
            <w:tag w:val="_GBC_3a91363d913942688077b069148debc5"/>
            <w:id w:val="-937760142"/>
            <w:lock w:val="sdtLocked"/>
            <w:placeholder>
              <w:docPart w:val="GBC22222222222222222222222222222"/>
            </w:placeholder>
          </w:sdtPr>
          <w:sdtEndPr/>
          <w:sdtContent>
            <w:p w14:paraId="7456990C" w14:textId="77777777" w:rsidR="00B201D3" w:rsidRDefault="009855E8">
              <w:pPr>
                <w:pStyle w:val="390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重要提示的其他情况说明"/>
            <w:tag w:val="_GBC_d8e4ca6963364e3194f6533b437a5a96"/>
            <w:id w:val="1948663004"/>
            <w:lock w:val="sdtLocked"/>
            <w:placeholder>
              <w:docPart w:val="GBC22222222222222222222222222222"/>
            </w:placeholder>
          </w:sdtPr>
          <w:sdtEndPr/>
          <w:sdtContent>
            <w:p w14:paraId="393A5E7E" w14:textId="77777777" w:rsidR="00B201D3" w:rsidRDefault="009855E8">
              <w:pPr>
                <w:ind w:firstLineChars="200" w:firstLine="420"/>
                <w:jc w:val="both"/>
              </w:pPr>
              <w:r>
                <w:rPr>
                  <w:rFonts w:hint="eastAsia"/>
                </w:rPr>
                <w:t>本报告的数据经四舍五入，增减幅由四舍五入前的原始数据计算得出。</w:t>
              </w:r>
            </w:p>
            <w:p w14:paraId="0F47C871" w14:textId="77777777" w:rsidR="00B201D3" w:rsidRDefault="009855E8">
              <w:pPr>
                <w:ind w:firstLineChars="200" w:firstLine="420"/>
                <w:jc w:val="both"/>
              </w:pPr>
              <w:r>
                <w:rPr>
                  <w:rFonts w:hint="eastAsia"/>
                </w:rPr>
                <w:t>表格中所示总计数字可能并非其上面数字的算术总和，差异均由四舍五入所致。</w:t>
              </w:r>
            </w:p>
          </w:sdtContent>
        </w:sdt>
      </w:sdtContent>
    </w:sdt>
    <w:p w14:paraId="062095AE" w14:textId="77777777" w:rsidR="00B201D3" w:rsidRDefault="00B201D3">
      <w:pPr>
        <w:sectPr w:rsidR="00B201D3">
          <w:headerReference w:type="default" r:id="rId12"/>
          <w:footerReference w:type="default" r:id="rId13"/>
          <w:pgSz w:w="11906" w:h="16838"/>
          <w:pgMar w:top="1525" w:right="1276" w:bottom="1440" w:left="1797" w:header="855" w:footer="992" w:gutter="0"/>
          <w:cols w:space="425"/>
          <w:docGrid w:linePitch="312"/>
        </w:sectPr>
      </w:pPr>
    </w:p>
    <w:p w14:paraId="2B1ADCC0" w14:textId="77777777" w:rsidR="00B201D3" w:rsidRDefault="00B201D3">
      <w:pPr>
        <w:pStyle w:val="3903"/>
      </w:pPr>
    </w:p>
    <w:p w14:paraId="40936F7E" w14:textId="77777777" w:rsidR="00B201D3" w:rsidRDefault="009855E8">
      <w:pPr>
        <w:kinsoku w:val="0"/>
        <w:overflowPunct w:val="0"/>
        <w:autoSpaceDE w:val="0"/>
        <w:autoSpaceDN w:val="0"/>
        <w:adjustRightInd w:val="0"/>
        <w:snapToGrid w:val="0"/>
        <w:spacing w:line="360" w:lineRule="auto"/>
        <w:jc w:val="center"/>
      </w:pPr>
      <w:r>
        <w:rPr>
          <w:rFonts w:hint="eastAsia"/>
          <w:b/>
          <w:sz w:val="32"/>
          <w:szCs w:val="32"/>
        </w:rPr>
        <w:t>目录</w:t>
      </w:r>
      <w:r>
        <w:rPr>
          <w:shd w:val="pct10" w:color="auto" w:fill="FFFFFF"/>
        </w:rPr>
        <w:fldChar w:fldCharType="begin"/>
      </w:r>
      <w:r>
        <w:rPr>
          <w:shd w:val="pct10" w:color="auto" w:fill="FFFFFF"/>
        </w:rPr>
        <w:instrText xml:space="preserve"> TOC \o "1-1" \h \z \u </w:instrText>
      </w:r>
      <w:r>
        <w:rPr>
          <w:shd w:val="pct10" w:color="auto" w:fill="FFFFFF"/>
        </w:rPr>
        <w:fldChar w:fldCharType="separate"/>
      </w:r>
    </w:p>
    <w:p w14:paraId="73290206" w14:textId="0C6A5FC3" w:rsidR="00B201D3" w:rsidRDefault="00C8327E">
      <w:pPr>
        <w:pStyle w:val="TOC1"/>
        <w:spacing w:line="360" w:lineRule="auto"/>
        <w:jc w:val="both"/>
        <w:rPr>
          <w:rStyle w:val="afd"/>
          <w:rFonts w:ascii="宋体" w:hAnsi="宋体"/>
          <w:bCs/>
        </w:rPr>
      </w:pPr>
      <w:hyperlink w:anchor="_Toc139552144" w:history="1">
        <w:r w:rsidR="009855E8">
          <w:rPr>
            <w:rStyle w:val="afd"/>
            <w:rFonts w:ascii="宋体" w:hAnsi="宋体"/>
            <w:bCs/>
          </w:rPr>
          <w:t>第一节</w:t>
        </w:r>
        <w:r w:rsidR="009855E8">
          <w:rPr>
            <w:rStyle w:val="afd"/>
            <w:rFonts w:ascii="宋体" w:hAnsi="宋体"/>
            <w:bCs/>
          </w:rPr>
          <w:tab/>
          <w:t>释义</w:t>
        </w:r>
        <w:r w:rsidR="009855E8">
          <w:rPr>
            <w:rStyle w:val="afd"/>
            <w:rFonts w:ascii="宋体" w:hAnsi="宋体"/>
            <w:bCs/>
          </w:rPr>
          <w:tab/>
        </w:r>
        <w:r w:rsidR="009855E8">
          <w:rPr>
            <w:rStyle w:val="afd"/>
            <w:rFonts w:ascii="宋体" w:hAnsi="宋体"/>
            <w:bCs/>
          </w:rPr>
          <w:fldChar w:fldCharType="begin"/>
        </w:r>
        <w:r w:rsidR="009855E8">
          <w:rPr>
            <w:rStyle w:val="afd"/>
            <w:rFonts w:ascii="宋体" w:hAnsi="宋体"/>
            <w:bCs/>
          </w:rPr>
          <w:instrText xml:space="preserve"> PAGEREF _Toc139552144 \h </w:instrText>
        </w:r>
        <w:r w:rsidR="009855E8">
          <w:rPr>
            <w:rStyle w:val="afd"/>
            <w:rFonts w:ascii="宋体" w:hAnsi="宋体"/>
            <w:bCs/>
          </w:rPr>
        </w:r>
        <w:r w:rsidR="009855E8">
          <w:rPr>
            <w:rStyle w:val="afd"/>
            <w:rFonts w:ascii="宋体" w:hAnsi="宋体"/>
            <w:bCs/>
          </w:rPr>
          <w:fldChar w:fldCharType="separate"/>
        </w:r>
        <w:r w:rsidR="000C41A4">
          <w:rPr>
            <w:rStyle w:val="afd"/>
            <w:rFonts w:ascii="宋体" w:hAnsi="宋体"/>
            <w:bCs/>
            <w:noProof/>
          </w:rPr>
          <w:t>4</w:t>
        </w:r>
        <w:r w:rsidR="009855E8">
          <w:rPr>
            <w:rStyle w:val="afd"/>
            <w:rFonts w:ascii="宋体" w:hAnsi="宋体"/>
            <w:bCs/>
          </w:rPr>
          <w:fldChar w:fldCharType="end"/>
        </w:r>
      </w:hyperlink>
    </w:p>
    <w:p w14:paraId="073F8470" w14:textId="58DDEDBF" w:rsidR="00B201D3" w:rsidRDefault="00C8327E">
      <w:pPr>
        <w:pStyle w:val="TOC1"/>
        <w:spacing w:line="360" w:lineRule="auto"/>
        <w:jc w:val="both"/>
        <w:rPr>
          <w:rStyle w:val="afd"/>
          <w:rFonts w:ascii="宋体" w:hAnsi="宋体"/>
          <w:bCs/>
        </w:rPr>
      </w:pPr>
      <w:hyperlink w:anchor="_Toc139552145" w:history="1">
        <w:r w:rsidR="009855E8">
          <w:rPr>
            <w:rStyle w:val="afd"/>
            <w:rFonts w:ascii="宋体" w:hAnsi="宋体"/>
            <w:bCs/>
          </w:rPr>
          <w:t>第二节</w:t>
        </w:r>
        <w:r w:rsidR="009855E8">
          <w:rPr>
            <w:rStyle w:val="afd"/>
            <w:rFonts w:ascii="宋体" w:hAnsi="宋体"/>
            <w:bCs/>
          </w:rPr>
          <w:tab/>
          <w:t>公司简介和主要财务指标</w:t>
        </w:r>
        <w:r w:rsidR="009855E8">
          <w:rPr>
            <w:rStyle w:val="afd"/>
            <w:rFonts w:ascii="宋体" w:hAnsi="宋体"/>
            <w:bCs/>
          </w:rPr>
          <w:tab/>
        </w:r>
        <w:r w:rsidR="009855E8">
          <w:rPr>
            <w:rStyle w:val="afd"/>
            <w:rFonts w:ascii="宋体" w:hAnsi="宋体"/>
            <w:bCs/>
          </w:rPr>
          <w:fldChar w:fldCharType="begin"/>
        </w:r>
        <w:r w:rsidR="009855E8">
          <w:rPr>
            <w:rStyle w:val="afd"/>
            <w:rFonts w:ascii="宋体" w:hAnsi="宋体"/>
            <w:bCs/>
          </w:rPr>
          <w:instrText xml:space="preserve"> PAGEREF _Toc139552145 \h </w:instrText>
        </w:r>
        <w:r w:rsidR="009855E8">
          <w:rPr>
            <w:rStyle w:val="afd"/>
            <w:rFonts w:ascii="宋体" w:hAnsi="宋体"/>
            <w:bCs/>
          </w:rPr>
        </w:r>
        <w:r w:rsidR="009855E8">
          <w:rPr>
            <w:rStyle w:val="afd"/>
            <w:rFonts w:ascii="宋体" w:hAnsi="宋体"/>
            <w:bCs/>
          </w:rPr>
          <w:fldChar w:fldCharType="separate"/>
        </w:r>
        <w:r w:rsidR="000C41A4">
          <w:rPr>
            <w:rStyle w:val="afd"/>
            <w:rFonts w:ascii="宋体" w:hAnsi="宋体"/>
            <w:bCs/>
            <w:noProof/>
          </w:rPr>
          <w:t>6</w:t>
        </w:r>
        <w:r w:rsidR="009855E8">
          <w:rPr>
            <w:rStyle w:val="afd"/>
            <w:rFonts w:ascii="宋体" w:hAnsi="宋体"/>
            <w:bCs/>
          </w:rPr>
          <w:fldChar w:fldCharType="end"/>
        </w:r>
      </w:hyperlink>
    </w:p>
    <w:p w14:paraId="2AC871AA" w14:textId="168D5C1E" w:rsidR="00B201D3" w:rsidRDefault="00C8327E">
      <w:pPr>
        <w:pStyle w:val="TOC1"/>
        <w:spacing w:line="360" w:lineRule="auto"/>
        <w:jc w:val="both"/>
        <w:rPr>
          <w:rStyle w:val="afd"/>
          <w:rFonts w:ascii="宋体" w:hAnsi="宋体"/>
          <w:bCs/>
        </w:rPr>
      </w:pPr>
      <w:hyperlink w:anchor="_Toc139552146" w:history="1">
        <w:r w:rsidR="009855E8">
          <w:rPr>
            <w:rStyle w:val="afd"/>
            <w:rFonts w:ascii="宋体" w:hAnsi="宋体"/>
            <w:bCs/>
          </w:rPr>
          <w:t>第三节</w:t>
        </w:r>
        <w:r w:rsidR="009855E8">
          <w:rPr>
            <w:rStyle w:val="afd"/>
            <w:rFonts w:ascii="宋体" w:hAnsi="宋体"/>
            <w:bCs/>
          </w:rPr>
          <w:tab/>
          <w:t>管理层讨论与分析</w:t>
        </w:r>
        <w:r w:rsidR="009855E8">
          <w:rPr>
            <w:rStyle w:val="afd"/>
            <w:rFonts w:ascii="宋体" w:hAnsi="宋体"/>
            <w:bCs/>
          </w:rPr>
          <w:tab/>
        </w:r>
        <w:r w:rsidR="009855E8">
          <w:rPr>
            <w:rStyle w:val="afd"/>
            <w:rFonts w:ascii="宋体" w:hAnsi="宋体"/>
            <w:bCs/>
          </w:rPr>
          <w:fldChar w:fldCharType="begin"/>
        </w:r>
        <w:r w:rsidR="009855E8">
          <w:rPr>
            <w:rStyle w:val="afd"/>
            <w:rFonts w:ascii="宋体" w:hAnsi="宋体"/>
            <w:bCs/>
          </w:rPr>
          <w:instrText xml:space="preserve"> PAGEREF _Toc139552146 \h </w:instrText>
        </w:r>
        <w:r w:rsidR="009855E8">
          <w:rPr>
            <w:rStyle w:val="afd"/>
            <w:rFonts w:ascii="宋体" w:hAnsi="宋体"/>
            <w:bCs/>
          </w:rPr>
        </w:r>
        <w:r w:rsidR="009855E8">
          <w:rPr>
            <w:rStyle w:val="afd"/>
            <w:rFonts w:ascii="宋体" w:hAnsi="宋体"/>
            <w:bCs/>
          </w:rPr>
          <w:fldChar w:fldCharType="separate"/>
        </w:r>
        <w:r w:rsidR="000C41A4">
          <w:rPr>
            <w:rStyle w:val="afd"/>
            <w:rFonts w:ascii="宋体" w:hAnsi="宋体"/>
            <w:bCs/>
            <w:noProof/>
          </w:rPr>
          <w:t>10</w:t>
        </w:r>
        <w:r w:rsidR="009855E8">
          <w:rPr>
            <w:rStyle w:val="afd"/>
            <w:rFonts w:ascii="宋体" w:hAnsi="宋体"/>
            <w:bCs/>
          </w:rPr>
          <w:fldChar w:fldCharType="end"/>
        </w:r>
      </w:hyperlink>
    </w:p>
    <w:p w14:paraId="66BD4A57" w14:textId="371F32F9" w:rsidR="00B201D3" w:rsidRDefault="00C8327E">
      <w:pPr>
        <w:pStyle w:val="TOC1"/>
        <w:spacing w:line="360" w:lineRule="auto"/>
        <w:jc w:val="both"/>
        <w:rPr>
          <w:rStyle w:val="afd"/>
          <w:rFonts w:ascii="宋体" w:hAnsi="宋体"/>
          <w:bCs/>
        </w:rPr>
      </w:pPr>
      <w:hyperlink w:anchor="_Toc139552147" w:history="1">
        <w:r w:rsidR="009855E8">
          <w:rPr>
            <w:rStyle w:val="afd"/>
            <w:rFonts w:ascii="宋体" w:hAnsi="宋体"/>
            <w:bCs/>
          </w:rPr>
          <w:t>第四节</w:t>
        </w:r>
        <w:r w:rsidR="009855E8">
          <w:rPr>
            <w:rStyle w:val="afd"/>
            <w:rFonts w:ascii="宋体" w:hAnsi="宋体"/>
            <w:bCs/>
          </w:rPr>
          <w:tab/>
          <w:t>公司治理</w:t>
        </w:r>
        <w:r w:rsidR="009855E8">
          <w:rPr>
            <w:rStyle w:val="afd"/>
            <w:rFonts w:ascii="宋体" w:hAnsi="宋体"/>
            <w:bCs/>
          </w:rPr>
          <w:tab/>
        </w:r>
        <w:r w:rsidR="009855E8">
          <w:rPr>
            <w:rStyle w:val="afd"/>
            <w:rFonts w:ascii="宋体" w:hAnsi="宋体"/>
            <w:bCs/>
          </w:rPr>
          <w:fldChar w:fldCharType="begin"/>
        </w:r>
        <w:r w:rsidR="009855E8">
          <w:rPr>
            <w:rStyle w:val="afd"/>
            <w:rFonts w:ascii="宋体" w:hAnsi="宋体"/>
            <w:bCs/>
          </w:rPr>
          <w:instrText xml:space="preserve"> PAGEREF _Toc139552147 \h </w:instrText>
        </w:r>
        <w:r w:rsidR="009855E8">
          <w:rPr>
            <w:rStyle w:val="afd"/>
            <w:rFonts w:ascii="宋体" w:hAnsi="宋体"/>
            <w:bCs/>
          </w:rPr>
        </w:r>
        <w:r w:rsidR="009855E8">
          <w:rPr>
            <w:rStyle w:val="afd"/>
            <w:rFonts w:ascii="宋体" w:hAnsi="宋体"/>
            <w:bCs/>
          </w:rPr>
          <w:fldChar w:fldCharType="separate"/>
        </w:r>
        <w:r w:rsidR="000C41A4">
          <w:rPr>
            <w:rStyle w:val="afd"/>
            <w:rFonts w:ascii="宋体" w:hAnsi="宋体"/>
            <w:bCs/>
            <w:noProof/>
          </w:rPr>
          <w:t>25</w:t>
        </w:r>
        <w:r w:rsidR="009855E8">
          <w:rPr>
            <w:rStyle w:val="afd"/>
            <w:rFonts w:ascii="宋体" w:hAnsi="宋体"/>
            <w:bCs/>
          </w:rPr>
          <w:fldChar w:fldCharType="end"/>
        </w:r>
      </w:hyperlink>
    </w:p>
    <w:p w14:paraId="06D9E5AB" w14:textId="0CA23186" w:rsidR="00B201D3" w:rsidRDefault="00C8327E">
      <w:pPr>
        <w:pStyle w:val="TOC1"/>
        <w:spacing w:line="360" w:lineRule="auto"/>
        <w:jc w:val="both"/>
        <w:rPr>
          <w:rStyle w:val="afd"/>
          <w:rFonts w:ascii="宋体" w:hAnsi="宋体"/>
          <w:bCs/>
        </w:rPr>
      </w:pPr>
      <w:hyperlink w:anchor="_Toc139552148" w:history="1">
        <w:r w:rsidR="009855E8">
          <w:rPr>
            <w:rStyle w:val="afd"/>
            <w:rFonts w:ascii="宋体" w:hAnsi="宋体"/>
            <w:bCs/>
          </w:rPr>
          <w:t>第五节</w:t>
        </w:r>
        <w:r w:rsidR="009855E8">
          <w:rPr>
            <w:rStyle w:val="afd"/>
            <w:rFonts w:ascii="宋体" w:hAnsi="宋体"/>
            <w:bCs/>
          </w:rPr>
          <w:tab/>
          <w:t>环境与社会责任</w:t>
        </w:r>
        <w:r w:rsidR="009855E8">
          <w:rPr>
            <w:rStyle w:val="afd"/>
            <w:rFonts w:ascii="宋体" w:hAnsi="宋体"/>
            <w:bCs/>
          </w:rPr>
          <w:tab/>
        </w:r>
        <w:r w:rsidR="009855E8">
          <w:rPr>
            <w:rStyle w:val="afd"/>
            <w:rFonts w:ascii="宋体" w:hAnsi="宋体"/>
            <w:bCs/>
          </w:rPr>
          <w:fldChar w:fldCharType="begin"/>
        </w:r>
        <w:r w:rsidR="009855E8">
          <w:rPr>
            <w:rStyle w:val="afd"/>
            <w:rFonts w:ascii="宋体" w:hAnsi="宋体"/>
            <w:bCs/>
          </w:rPr>
          <w:instrText xml:space="preserve"> PAGEREF _Toc139552148 \h </w:instrText>
        </w:r>
        <w:r w:rsidR="009855E8">
          <w:rPr>
            <w:rStyle w:val="afd"/>
            <w:rFonts w:ascii="宋体" w:hAnsi="宋体"/>
            <w:bCs/>
          </w:rPr>
        </w:r>
        <w:r w:rsidR="009855E8">
          <w:rPr>
            <w:rStyle w:val="afd"/>
            <w:rFonts w:ascii="宋体" w:hAnsi="宋体"/>
            <w:bCs/>
          </w:rPr>
          <w:fldChar w:fldCharType="separate"/>
        </w:r>
        <w:r w:rsidR="000C41A4">
          <w:rPr>
            <w:rStyle w:val="afd"/>
            <w:rFonts w:ascii="宋体" w:hAnsi="宋体"/>
            <w:bCs/>
            <w:noProof/>
          </w:rPr>
          <w:t>34</w:t>
        </w:r>
        <w:r w:rsidR="009855E8">
          <w:rPr>
            <w:rStyle w:val="afd"/>
            <w:rFonts w:ascii="宋体" w:hAnsi="宋体"/>
            <w:bCs/>
          </w:rPr>
          <w:fldChar w:fldCharType="end"/>
        </w:r>
      </w:hyperlink>
    </w:p>
    <w:p w14:paraId="704C8079" w14:textId="0F500D41" w:rsidR="00B201D3" w:rsidRDefault="00C8327E">
      <w:pPr>
        <w:pStyle w:val="TOC1"/>
        <w:spacing w:line="360" w:lineRule="auto"/>
        <w:jc w:val="both"/>
        <w:rPr>
          <w:rStyle w:val="afd"/>
          <w:rFonts w:ascii="宋体" w:hAnsi="宋体"/>
          <w:bCs/>
        </w:rPr>
      </w:pPr>
      <w:hyperlink w:anchor="_Toc139552149" w:history="1">
        <w:r w:rsidR="009855E8">
          <w:rPr>
            <w:rStyle w:val="afd"/>
            <w:rFonts w:ascii="宋体" w:hAnsi="宋体"/>
            <w:bCs/>
          </w:rPr>
          <w:t>第六节</w:t>
        </w:r>
        <w:r w:rsidR="009855E8">
          <w:rPr>
            <w:rStyle w:val="afd"/>
            <w:rFonts w:ascii="宋体" w:hAnsi="宋体"/>
            <w:bCs/>
          </w:rPr>
          <w:tab/>
          <w:t>重要事项</w:t>
        </w:r>
        <w:r w:rsidR="009855E8">
          <w:rPr>
            <w:rStyle w:val="afd"/>
            <w:rFonts w:ascii="宋体" w:hAnsi="宋体"/>
            <w:bCs/>
          </w:rPr>
          <w:tab/>
        </w:r>
        <w:r w:rsidR="009855E8">
          <w:rPr>
            <w:rStyle w:val="afd"/>
            <w:rFonts w:ascii="宋体" w:hAnsi="宋体"/>
            <w:bCs/>
          </w:rPr>
          <w:fldChar w:fldCharType="begin"/>
        </w:r>
        <w:r w:rsidR="009855E8">
          <w:rPr>
            <w:rStyle w:val="afd"/>
            <w:rFonts w:ascii="宋体" w:hAnsi="宋体"/>
            <w:bCs/>
          </w:rPr>
          <w:instrText xml:space="preserve"> PAGEREF _Toc139552149 \h </w:instrText>
        </w:r>
        <w:r w:rsidR="009855E8">
          <w:rPr>
            <w:rStyle w:val="afd"/>
            <w:rFonts w:ascii="宋体" w:hAnsi="宋体"/>
            <w:bCs/>
          </w:rPr>
        </w:r>
        <w:r w:rsidR="009855E8">
          <w:rPr>
            <w:rStyle w:val="afd"/>
            <w:rFonts w:ascii="宋体" w:hAnsi="宋体"/>
            <w:bCs/>
          </w:rPr>
          <w:fldChar w:fldCharType="separate"/>
        </w:r>
        <w:r w:rsidR="000C41A4">
          <w:rPr>
            <w:rStyle w:val="afd"/>
            <w:rFonts w:ascii="宋体" w:hAnsi="宋体"/>
            <w:bCs/>
            <w:noProof/>
          </w:rPr>
          <w:t>40</w:t>
        </w:r>
        <w:r w:rsidR="009855E8">
          <w:rPr>
            <w:rStyle w:val="afd"/>
            <w:rFonts w:ascii="宋体" w:hAnsi="宋体"/>
            <w:bCs/>
          </w:rPr>
          <w:fldChar w:fldCharType="end"/>
        </w:r>
      </w:hyperlink>
    </w:p>
    <w:p w14:paraId="41E99A5E" w14:textId="1A287DC1" w:rsidR="00B201D3" w:rsidRDefault="00C8327E">
      <w:pPr>
        <w:pStyle w:val="TOC1"/>
        <w:spacing w:line="360" w:lineRule="auto"/>
        <w:jc w:val="both"/>
        <w:rPr>
          <w:rStyle w:val="afd"/>
          <w:rFonts w:ascii="宋体" w:hAnsi="宋体"/>
          <w:bCs/>
        </w:rPr>
      </w:pPr>
      <w:hyperlink w:anchor="_Toc139552150" w:history="1">
        <w:r w:rsidR="009855E8">
          <w:rPr>
            <w:rStyle w:val="afd"/>
            <w:rFonts w:ascii="宋体" w:hAnsi="宋体"/>
            <w:bCs/>
          </w:rPr>
          <w:t>第七节</w:t>
        </w:r>
        <w:r w:rsidR="009855E8">
          <w:rPr>
            <w:rStyle w:val="afd"/>
            <w:rFonts w:ascii="宋体" w:hAnsi="宋体"/>
            <w:bCs/>
          </w:rPr>
          <w:tab/>
          <w:t>股份变动及股东情况</w:t>
        </w:r>
        <w:r w:rsidR="009855E8">
          <w:rPr>
            <w:rStyle w:val="afd"/>
            <w:rFonts w:ascii="宋体" w:hAnsi="宋体"/>
            <w:bCs/>
          </w:rPr>
          <w:tab/>
        </w:r>
        <w:r w:rsidR="009855E8">
          <w:rPr>
            <w:rStyle w:val="afd"/>
            <w:rFonts w:ascii="宋体" w:hAnsi="宋体"/>
            <w:bCs/>
          </w:rPr>
          <w:fldChar w:fldCharType="begin"/>
        </w:r>
        <w:r w:rsidR="009855E8">
          <w:rPr>
            <w:rStyle w:val="afd"/>
            <w:rFonts w:ascii="宋体" w:hAnsi="宋体"/>
            <w:bCs/>
          </w:rPr>
          <w:instrText xml:space="preserve"> PAGEREF _Toc139552150 \h </w:instrText>
        </w:r>
        <w:r w:rsidR="009855E8">
          <w:rPr>
            <w:rStyle w:val="afd"/>
            <w:rFonts w:ascii="宋体" w:hAnsi="宋体"/>
            <w:bCs/>
          </w:rPr>
        </w:r>
        <w:r w:rsidR="009855E8">
          <w:rPr>
            <w:rStyle w:val="afd"/>
            <w:rFonts w:ascii="宋体" w:hAnsi="宋体"/>
            <w:bCs/>
          </w:rPr>
          <w:fldChar w:fldCharType="separate"/>
        </w:r>
        <w:r w:rsidR="000C41A4">
          <w:rPr>
            <w:rStyle w:val="afd"/>
            <w:rFonts w:ascii="宋体" w:hAnsi="宋体"/>
            <w:bCs/>
            <w:noProof/>
          </w:rPr>
          <w:t>57</w:t>
        </w:r>
        <w:r w:rsidR="009855E8">
          <w:rPr>
            <w:rStyle w:val="afd"/>
            <w:rFonts w:ascii="宋体" w:hAnsi="宋体"/>
            <w:bCs/>
          </w:rPr>
          <w:fldChar w:fldCharType="end"/>
        </w:r>
      </w:hyperlink>
    </w:p>
    <w:p w14:paraId="39D3DE18" w14:textId="58961306" w:rsidR="00B201D3" w:rsidRDefault="00C8327E">
      <w:pPr>
        <w:pStyle w:val="TOC1"/>
        <w:spacing w:line="360" w:lineRule="auto"/>
        <w:jc w:val="both"/>
        <w:rPr>
          <w:rStyle w:val="afd"/>
          <w:rFonts w:ascii="宋体" w:hAnsi="宋体"/>
          <w:bCs/>
        </w:rPr>
      </w:pPr>
      <w:hyperlink w:anchor="_Toc139552151" w:history="1">
        <w:r w:rsidR="009855E8">
          <w:rPr>
            <w:rStyle w:val="afd"/>
            <w:rFonts w:ascii="宋体" w:hAnsi="宋体"/>
            <w:bCs/>
          </w:rPr>
          <w:t>第八节</w:t>
        </w:r>
        <w:r w:rsidR="009855E8">
          <w:rPr>
            <w:rStyle w:val="afd"/>
            <w:rFonts w:ascii="宋体" w:hAnsi="宋体"/>
            <w:bCs/>
          </w:rPr>
          <w:tab/>
          <w:t>债券相关情况</w:t>
        </w:r>
        <w:r w:rsidR="009855E8">
          <w:rPr>
            <w:rStyle w:val="afd"/>
            <w:rFonts w:ascii="宋体" w:hAnsi="宋体"/>
            <w:bCs/>
          </w:rPr>
          <w:tab/>
        </w:r>
        <w:r w:rsidR="009855E8">
          <w:rPr>
            <w:rStyle w:val="afd"/>
            <w:rFonts w:ascii="宋体" w:hAnsi="宋体"/>
            <w:bCs/>
          </w:rPr>
          <w:fldChar w:fldCharType="begin"/>
        </w:r>
        <w:r w:rsidR="009855E8">
          <w:rPr>
            <w:rStyle w:val="afd"/>
            <w:rFonts w:ascii="宋体" w:hAnsi="宋体"/>
            <w:bCs/>
          </w:rPr>
          <w:instrText xml:space="preserve"> PAGEREF _Toc139552151 \h </w:instrText>
        </w:r>
        <w:r w:rsidR="009855E8">
          <w:rPr>
            <w:rStyle w:val="afd"/>
            <w:rFonts w:ascii="宋体" w:hAnsi="宋体"/>
            <w:bCs/>
          </w:rPr>
        </w:r>
        <w:r w:rsidR="009855E8">
          <w:rPr>
            <w:rStyle w:val="afd"/>
            <w:rFonts w:ascii="宋体" w:hAnsi="宋体"/>
            <w:bCs/>
          </w:rPr>
          <w:fldChar w:fldCharType="separate"/>
        </w:r>
        <w:r w:rsidR="000C41A4">
          <w:rPr>
            <w:rStyle w:val="afd"/>
            <w:rFonts w:ascii="宋体" w:hAnsi="宋体"/>
            <w:bCs/>
            <w:noProof/>
          </w:rPr>
          <w:t>62</w:t>
        </w:r>
        <w:r w:rsidR="009855E8">
          <w:rPr>
            <w:rStyle w:val="afd"/>
            <w:rFonts w:ascii="宋体" w:hAnsi="宋体"/>
            <w:bCs/>
          </w:rPr>
          <w:fldChar w:fldCharType="end"/>
        </w:r>
      </w:hyperlink>
    </w:p>
    <w:p w14:paraId="0FFBFF4F" w14:textId="04C38A50" w:rsidR="00B201D3" w:rsidRDefault="00C8327E">
      <w:pPr>
        <w:pStyle w:val="TOC1"/>
        <w:spacing w:line="360" w:lineRule="auto"/>
        <w:jc w:val="both"/>
        <w:rPr>
          <w:rStyle w:val="afd"/>
          <w:rFonts w:ascii="宋体" w:hAnsi="宋体"/>
          <w:bCs/>
        </w:rPr>
      </w:pPr>
      <w:hyperlink w:anchor="_Toc139552152" w:history="1">
        <w:r w:rsidR="009855E8">
          <w:rPr>
            <w:rStyle w:val="afd"/>
            <w:rFonts w:ascii="宋体" w:hAnsi="宋体"/>
            <w:bCs/>
          </w:rPr>
          <w:t>第九节</w:t>
        </w:r>
        <w:r w:rsidR="009855E8">
          <w:rPr>
            <w:rStyle w:val="afd"/>
            <w:rFonts w:ascii="宋体" w:hAnsi="宋体"/>
            <w:bCs/>
          </w:rPr>
          <w:tab/>
          <w:t>财务报告</w:t>
        </w:r>
        <w:r w:rsidR="009855E8">
          <w:rPr>
            <w:rStyle w:val="afd"/>
            <w:rFonts w:ascii="宋体" w:hAnsi="宋体"/>
            <w:bCs/>
          </w:rPr>
          <w:tab/>
        </w:r>
        <w:r w:rsidR="009855E8">
          <w:rPr>
            <w:rStyle w:val="afd"/>
            <w:rFonts w:ascii="宋体" w:hAnsi="宋体"/>
            <w:bCs/>
          </w:rPr>
          <w:fldChar w:fldCharType="begin"/>
        </w:r>
        <w:r w:rsidR="009855E8">
          <w:rPr>
            <w:rStyle w:val="afd"/>
            <w:rFonts w:ascii="宋体" w:hAnsi="宋体"/>
            <w:bCs/>
          </w:rPr>
          <w:instrText xml:space="preserve"> PAGEREF _Toc139552152 \h </w:instrText>
        </w:r>
        <w:r w:rsidR="009855E8">
          <w:rPr>
            <w:rStyle w:val="afd"/>
            <w:rFonts w:ascii="宋体" w:hAnsi="宋体"/>
            <w:bCs/>
          </w:rPr>
        </w:r>
        <w:r w:rsidR="009855E8">
          <w:rPr>
            <w:rStyle w:val="afd"/>
            <w:rFonts w:ascii="宋体" w:hAnsi="宋体"/>
            <w:bCs/>
          </w:rPr>
          <w:fldChar w:fldCharType="separate"/>
        </w:r>
        <w:r w:rsidR="000C41A4">
          <w:rPr>
            <w:rStyle w:val="afd"/>
            <w:rFonts w:ascii="宋体" w:hAnsi="宋体"/>
            <w:bCs/>
            <w:noProof/>
          </w:rPr>
          <w:t>70</w:t>
        </w:r>
        <w:r w:rsidR="009855E8">
          <w:rPr>
            <w:rStyle w:val="afd"/>
            <w:rFonts w:ascii="宋体" w:hAnsi="宋体"/>
            <w:bCs/>
          </w:rPr>
          <w:fldChar w:fldCharType="end"/>
        </w:r>
      </w:hyperlink>
    </w:p>
    <w:p w14:paraId="517E4334" w14:textId="77777777" w:rsidR="00B201D3" w:rsidRDefault="009855E8">
      <w:pPr>
        <w:kinsoku w:val="0"/>
        <w:overflowPunct w:val="0"/>
        <w:autoSpaceDE w:val="0"/>
        <w:autoSpaceDN w:val="0"/>
        <w:adjustRightInd w:val="0"/>
        <w:snapToGrid w:val="0"/>
        <w:spacing w:line="360" w:lineRule="auto"/>
        <w:rPr>
          <w:shd w:val="pct10" w:color="auto" w:fill="FFFFFF"/>
        </w:rPr>
      </w:pPr>
      <w:r>
        <w:rPr>
          <w:shd w:val="pct10" w:color="auto" w:fill="FFFFFF"/>
        </w:rPr>
        <w:fldChar w:fldCharType="end"/>
      </w:r>
    </w:p>
    <w:bookmarkStart w:id="3" w:name="_Hlk76111741" w:displacedByCustomXml="next"/>
    <w:sdt>
      <w:sdtPr>
        <w:rPr>
          <w:b/>
          <w:bCs/>
          <w:sz w:val="24"/>
        </w:rPr>
        <w:alias w:val="模块:备查文件目录"/>
        <w:tag w:val="_SEC_821e9eb80bde4a9883ae71815f226d98"/>
        <w:id w:val="705142330"/>
        <w:placeholder>
          <w:docPart w:val="GBC22222222222222222222222222222"/>
        </w:placeholder>
      </w:sdtPr>
      <w:sdtEndPr>
        <w:rPr>
          <w:b w:val="0"/>
          <w:bCs w:val="0"/>
          <w:sz w:val="21"/>
        </w:rPr>
      </w:sdtEndPr>
      <w:sdtContent>
        <w:p w14:paraId="73E502FF" w14:textId="77777777" w:rsidR="00B201D3" w:rsidRDefault="00B201D3">
          <w:pPr>
            <w:spacing w:line="360" w:lineRule="exact"/>
            <w:ind w:right="5"/>
            <w:rPr>
              <w:b/>
              <w:bCs/>
              <w:sz w:val="24"/>
            </w:rPr>
          </w:pPr>
        </w:p>
        <w:tbl>
          <w:tblPr>
            <w:tblStyle w:val="g1"/>
            <w:tblW w:w="5058"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276"/>
            <w:gridCol w:w="6649"/>
          </w:tblGrid>
          <w:sdt>
            <w:sdtPr>
              <w:alias w:val="备查文件情况"/>
              <w:tag w:val="_TUP_d1defbbd2758417a8ea21948dd35feef"/>
              <w:id w:val="1962146861"/>
              <w:placeholder>
                <w:docPart w:val="GBC11111111111111111111111111111"/>
              </w:placeholder>
            </w:sdtPr>
            <w:sdtEndPr/>
            <w:sdtContent>
              <w:tr w:rsidR="00B201D3" w14:paraId="7D5E81CA" w14:textId="77777777">
                <w:trPr>
                  <w:cantSplit/>
                </w:trPr>
                <w:tc>
                  <w:tcPr>
                    <w:tcW w:w="1275" w:type="pct"/>
                    <w:vMerge w:val="restart"/>
                    <w:tcBorders>
                      <w:top w:val="single" w:sz="4" w:space="0" w:color="auto"/>
                      <w:left w:val="single" w:sz="4" w:space="0" w:color="auto"/>
                      <w:bottom w:val="single" w:sz="4" w:space="0" w:color="auto"/>
                      <w:right w:val="single" w:sz="4" w:space="0" w:color="auto"/>
                    </w:tcBorders>
                    <w:vAlign w:val="center"/>
                  </w:tcPr>
                  <w:sdt>
                    <w:sdtPr>
                      <w:tag w:val="_PLD_4dedc5664132424db8ffece735208815"/>
                      <w:id w:val="-1315721087"/>
                    </w:sdtPr>
                    <w:sdtEndPr/>
                    <w:sdtContent>
                      <w:p w14:paraId="33B0DA10" w14:textId="77777777" w:rsidR="00B201D3" w:rsidRDefault="009855E8">
                        <w:pPr>
                          <w:autoSpaceDE w:val="0"/>
                          <w:autoSpaceDN w:val="0"/>
                          <w:adjustRightInd w:val="0"/>
                          <w:jc w:val="center"/>
                        </w:pPr>
                        <w:r>
                          <w:t>备查文件目录</w:t>
                        </w:r>
                      </w:p>
                    </w:sdtContent>
                  </w:sdt>
                </w:tc>
                <w:sdt>
                  <w:sdtPr>
                    <w:alias w:val="备查文件目录"/>
                    <w:tag w:val="_GBC_b75b724a20654c669c9ce009a20dc247"/>
                    <w:id w:val="-1511055210"/>
                  </w:sdtPr>
                  <w:sdtEndPr/>
                  <w:sdtContent>
                    <w:tc>
                      <w:tcPr>
                        <w:tcW w:w="3725" w:type="pct"/>
                        <w:tcBorders>
                          <w:top w:val="single" w:sz="4" w:space="0" w:color="auto"/>
                          <w:left w:val="single" w:sz="4" w:space="0" w:color="auto"/>
                          <w:bottom w:val="single" w:sz="4" w:space="0" w:color="auto"/>
                          <w:right w:val="single" w:sz="4" w:space="0" w:color="auto"/>
                        </w:tcBorders>
                      </w:tcPr>
                      <w:p w14:paraId="22AA612B" w14:textId="77777777" w:rsidR="00B201D3" w:rsidRDefault="009855E8">
                        <w:pPr>
                          <w:jc w:val="both"/>
                        </w:pPr>
                        <w:r>
                          <w:rPr>
                            <w:rFonts w:hint="eastAsia"/>
                          </w:rPr>
                          <w:t>载有公司董事长、财务总监、财务管理部部长签名并盖章的财务报表。</w:t>
                        </w:r>
                      </w:p>
                    </w:tc>
                  </w:sdtContent>
                </w:sdt>
              </w:tr>
            </w:sdtContent>
          </w:sdt>
          <w:tr w:rsidR="00B201D3" w14:paraId="7F5F13BA" w14:textId="77777777">
            <w:trPr>
              <w:cantSplit/>
            </w:trPr>
            <w:tc>
              <w:tcPr>
                <w:tcW w:w="1275" w:type="pct"/>
                <w:vMerge/>
                <w:tcBorders>
                  <w:top w:val="single" w:sz="4" w:space="0" w:color="auto"/>
                  <w:left w:val="single" w:sz="4" w:space="0" w:color="auto"/>
                  <w:bottom w:val="single" w:sz="4" w:space="0" w:color="auto"/>
                  <w:right w:val="single" w:sz="4" w:space="0" w:color="auto"/>
                </w:tcBorders>
                <w:vAlign w:val="center"/>
              </w:tcPr>
              <w:p w14:paraId="2DA6140D" w14:textId="77777777" w:rsidR="00B201D3" w:rsidRDefault="00B201D3">
                <w:pPr>
                  <w:pStyle w:val="3903"/>
                </w:pPr>
              </w:p>
            </w:tc>
            <w:sdt>
              <w:sdtPr>
                <w:alias w:val="备查文件目录"/>
                <w:tag w:val="_GBC_b75b724a20654c669c9ce009a20dc247"/>
                <w:id w:val="-932055016"/>
              </w:sdtPr>
              <w:sdtEndPr/>
              <w:sdtContent>
                <w:tc>
                  <w:tcPr>
                    <w:tcW w:w="3725" w:type="pct"/>
                    <w:tcBorders>
                      <w:top w:val="single" w:sz="4" w:space="0" w:color="auto"/>
                      <w:left w:val="single" w:sz="4" w:space="0" w:color="auto"/>
                      <w:bottom w:val="single" w:sz="4" w:space="0" w:color="auto"/>
                      <w:right w:val="single" w:sz="4" w:space="0" w:color="auto"/>
                    </w:tcBorders>
                  </w:tcPr>
                  <w:p w14:paraId="575BFF54" w14:textId="77777777" w:rsidR="00B201D3" w:rsidRDefault="009855E8">
                    <w:pPr>
                      <w:autoSpaceDE w:val="0"/>
                      <w:autoSpaceDN w:val="0"/>
                      <w:adjustRightInd w:val="0"/>
                      <w:jc w:val="both"/>
                    </w:pPr>
                    <w:r>
                      <w:rPr>
                        <w:rFonts w:hint="eastAsia"/>
                      </w:rPr>
                      <w:t>报告期内在中国证监会指定网站上公开披露过的所有公司文件的正本及公告的原稿。</w:t>
                    </w:r>
                  </w:p>
                </w:tc>
              </w:sdtContent>
            </w:sdt>
          </w:tr>
          <w:tr w:rsidR="00B201D3" w14:paraId="62A92556" w14:textId="77777777">
            <w:trPr>
              <w:cantSplit/>
            </w:trPr>
            <w:tc>
              <w:tcPr>
                <w:tcW w:w="1275" w:type="pct"/>
                <w:vMerge/>
                <w:tcBorders>
                  <w:top w:val="single" w:sz="4" w:space="0" w:color="auto"/>
                  <w:left w:val="single" w:sz="4" w:space="0" w:color="auto"/>
                  <w:bottom w:val="single" w:sz="4" w:space="0" w:color="auto"/>
                  <w:right w:val="single" w:sz="4" w:space="0" w:color="auto"/>
                </w:tcBorders>
                <w:vAlign w:val="center"/>
              </w:tcPr>
              <w:p w14:paraId="7D84BB15" w14:textId="77777777" w:rsidR="00B201D3" w:rsidRDefault="00B201D3">
                <w:pPr>
                  <w:pStyle w:val="3903"/>
                </w:pPr>
              </w:p>
            </w:tc>
            <w:sdt>
              <w:sdtPr>
                <w:alias w:val="备查文件目录"/>
                <w:tag w:val="_GBC_b75b724a20654c669c9ce009a20dc247"/>
                <w:id w:val="671994952"/>
              </w:sdtPr>
              <w:sdtEndPr/>
              <w:sdtContent>
                <w:tc>
                  <w:tcPr>
                    <w:tcW w:w="3725" w:type="pct"/>
                    <w:tcBorders>
                      <w:top w:val="single" w:sz="4" w:space="0" w:color="auto"/>
                      <w:left w:val="single" w:sz="4" w:space="0" w:color="auto"/>
                      <w:bottom w:val="single" w:sz="4" w:space="0" w:color="auto"/>
                      <w:right w:val="single" w:sz="4" w:space="0" w:color="auto"/>
                    </w:tcBorders>
                  </w:tcPr>
                  <w:p w14:paraId="6809FFD9" w14:textId="77777777" w:rsidR="00B201D3" w:rsidRDefault="009855E8">
                    <w:pPr>
                      <w:autoSpaceDE w:val="0"/>
                      <w:autoSpaceDN w:val="0"/>
                      <w:adjustRightInd w:val="0"/>
                      <w:jc w:val="both"/>
                    </w:pPr>
                    <w:r>
                      <w:rPr>
                        <w:rFonts w:hint="eastAsia"/>
                      </w:rPr>
                      <w:t>在其他证券市场公布的半年度报告。</w:t>
                    </w:r>
                  </w:p>
                </w:tc>
              </w:sdtContent>
            </w:sdt>
          </w:tr>
        </w:tbl>
        <w:p w14:paraId="0E0A379A" w14:textId="77777777" w:rsidR="00B201D3" w:rsidRDefault="00C8327E">
          <w:pPr>
            <w:spacing w:line="360" w:lineRule="exact"/>
            <w:jc w:val="right"/>
          </w:pPr>
        </w:p>
      </w:sdtContent>
    </w:sdt>
    <w:bookmarkEnd w:id="3"/>
    <w:p w14:paraId="3903BCE1" w14:textId="77777777" w:rsidR="00B201D3" w:rsidRDefault="00B201D3">
      <w:pPr>
        <w:kinsoku w:val="0"/>
        <w:overflowPunct w:val="0"/>
        <w:autoSpaceDE w:val="0"/>
        <w:autoSpaceDN w:val="0"/>
        <w:adjustRightInd w:val="0"/>
        <w:snapToGrid w:val="0"/>
        <w:spacing w:line="360" w:lineRule="exact"/>
        <w:rPr>
          <w:shd w:val="pct10" w:color="auto" w:fill="FFFFFF"/>
        </w:rPr>
      </w:pPr>
    </w:p>
    <w:p w14:paraId="5F71C47A" w14:textId="77777777" w:rsidR="00B201D3" w:rsidRDefault="009855E8">
      <w:pPr>
        <w:pStyle w:val="3903"/>
      </w:pPr>
      <w:r>
        <w:br w:type="page"/>
      </w:r>
    </w:p>
    <w:p w14:paraId="2A8B53C3" w14:textId="77777777" w:rsidR="00B201D3" w:rsidRDefault="009855E8">
      <w:pPr>
        <w:pStyle w:val="1"/>
        <w:numPr>
          <w:ilvl w:val="0"/>
          <w:numId w:val="2"/>
        </w:numPr>
        <w:rPr>
          <w:rFonts w:ascii="黑体" w:hAnsi="黑体"/>
        </w:rPr>
      </w:pPr>
      <w:bookmarkStart w:id="4" w:name="_Toc139552144"/>
      <w:bookmarkStart w:id="5" w:name="_Toc342565880"/>
      <w:r>
        <w:rPr>
          <w:rFonts w:ascii="黑体" w:hAnsi="黑体" w:hint="eastAsia"/>
        </w:rPr>
        <w:lastRenderedPageBreak/>
        <w:t>释义</w:t>
      </w:r>
      <w:bookmarkEnd w:id="4"/>
    </w:p>
    <w:bookmarkStart w:id="6" w:name="_Hlk143190494" w:displacedByCustomXml="next"/>
    <w:sdt>
      <w:sdtPr>
        <w:rPr>
          <w:b/>
          <w:bCs/>
          <w:sz w:val="24"/>
          <w:szCs w:val="22"/>
        </w:rPr>
        <w:alias w:val="模块:释义"/>
        <w:tag w:val="_GBC_5d2d156d1e654b289921f6ca279d0332"/>
        <w:id w:val="-1315019695"/>
        <w:lock w:val="sdtLocked"/>
        <w:placeholder>
          <w:docPart w:val="GBC22222222222222222222222222222"/>
        </w:placeholder>
      </w:sdtPr>
      <w:sdtEndPr>
        <w:rPr>
          <w:b w:val="0"/>
          <w:bCs w:val="0"/>
          <w:sz w:val="21"/>
          <w:szCs w:val="21"/>
        </w:rPr>
      </w:sdtEndPr>
      <w:sdtContent>
        <w:p w14:paraId="3E1938B5" w14:textId="77777777" w:rsidR="00B201D3" w:rsidRDefault="009855E8">
          <w:r>
            <w:t>在本报告书中，除非文义另有所指，下列词语具有如下含义：</w:t>
          </w:r>
        </w:p>
        <w:tbl>
          <w:tblPr>
            <w:tblStyle w:val="af9"/>
            <w:tblW w:w="0" w:type="auto"/>
            <w:tblLook w:val="04A0" w:firstRow="1" w:lastRow="0" w:firstColumn="1" w:lastColumn="0" w:noHBand="0" w:noVBand="1"/>
          </w:tblPr>
          <w:tblGrid>
            <w:gridCol w:w="2188"/>
            <w:gridCol w:w="426"/>
            <w:gridCol w:w="6209"/>
          </w:tblGrid>
          <w:tr w:rsidR="00B201D3" w14:paraId="0C76EBEA" w14:textId="77777777">
            <w:sdt>
              <w:sdtPr>
                <w:tag w:val="_PLD_d73bff14187b49a1b1c86b56316c5e47"/>
                <w:id w:val="1729801602"/>
                <w:lock w:val="sdtLocked"/>
              </w:sdtPr>
              <w:sdtEndPr/>
              <w:sdtContent>
                <w:tc>
                  <w:tcPr>
                    <w:tcW w:w="9048" w:type="dxa"/>
                    <w:gridSpan w:val="3"/>
                  </w:tcPr>
                  <w:p w14:paraId="68A13B90" w14:textId="77777777" w:rsidR="00B201D3" w:rsidRDefault="009855E8">
                    <w:r>
                      <w:t>常用词语释义</w:t>
                    </w:r>
                  </w:p>
                </w:tc>
              </w:sdtContent>
            </w:sdt>
          </w:tr>
          <w:sdt>
            <w:sdtPr>
              <w:rPr>
                <w:rFonts w:ascii="宋体" w:hAnsi="宋体" w:hint="eastAsia"/>
              </w:rPr>
              <w:alias w:val="释义"/>
              <w:tag w:val="_GBC_ca5c2cb7a4e545e2b2d9d1b94b528746"/>
              <w:id w:val="851149630"/>
              <w:lock w:val="sdtLocked"/>
              <w:placeholder>
                <w:docPart w:val="424DE108886B4272859AA138A3B5346F"/>
              </w:placeholder>
            </w:sdtPr>
            <w:sdtEndPr/>
            <w:sdtContent>
              <w:tr w:rsidR="00B201D3" w14:paraId="1A7F484F" w14:textId="77777777">
                <w:tc>
                  <w:tcPr>
                    <w:tcW w:w="2235" w:type="dxa"/>
                    <w:vAlign w:val="center"/>
                  </w:tcPr>
                  <w:p w14:paraId="4945395D" w14:textId="77777777" w:rsidR="00B201D3" w:rsidRDefault="009855E8">
                    <w:r>
                      <w:rPr>
                        <w:rFonts w:hint="eastAsia"/>
                      </w:rPr>
                      <w:t>“兖矿能源”“公司”“本公司”</w:t>
                    </w:r>
                  </w:p>
                </w:tc>
                <w:tc>
                  <w:tcPr>
                    <w:tcW w:w="425" w:type="dxa"/>
                  </w:tcPr>
                  <w:sdt>
                    <w:sdtPr>
                      <w:rPr>
                        <w:rFonts w:hint="eastAsia"/>
                      </w:rPr>
                      <w:tag w:val="_PLD_289cf7e5c3a845d59c038a21dcd4a571"/>
                      <w:id w:val="-1288272146"/>
                      <w:lock w:val="sdtLocked"/>
                    </w:sdtPr>
                    <w:sdtEndPr/>
                    <w:sdtContent>
                      <w:p w14:paraId="7FB677F4" w14:textId="77777777" w:rsidR="00B201D3" w:rsidRDefault="009855E8">
                        <w:pPr>
                          <w:jc w:val="center"/>
                          <w:rPr>
                            <w:highlight w:val="lightGray"/>
                          </w:rPr>
                        </w:pPr>
                        <w:r>
                          <w:rPr>
                            <w:rFonts w:hint="eastAsia"/>
                          </w:rPr>
                          <w:t>指</w:t>
                        </w:r>
                      </w:p>
                    </w:sdtContent>
                  </w:sdt>
                </w:tc>
                <w:sdt>
                  <w:sdtPr>
                    <w:rPr>
                      <w:rFonts w:hint="eastAsia"/>
                    </w:rPr>
                    <w:alias w:val="常用词语释义"/>
                    <w:tag w:val="_GBC_b625dd71b03542c3b074c2ce59de70ad"/>
                    <w:id w:val="-1291979301"/>
                    <w:lock w:val="sdtLocked"/>
                  </w:sdtPr>
                  <w:sdtEndPr/>
                  <w:sdtContent>
                    <w:tc>
                      <w:tcPr>
                        <w:tcW w:w="6388" w:type="dxa"/>
                      </w:tcPr>
                      <w:p w14:paraId="1624BD4F" w14:textId="77777777" w:rsidR="00B201D3" w:rsidRDefault="009855E8">
                        <w:r>
                          <w:rPr>
                            <w:rFonts w:hint="eastAsia"/>
                          </w:rPr>
                          <w:t>兖矿能源集团股份有限公司，于</w:t>
                        </w:r>
                        <w:r>
                          <w:rPr>
                            <w:rFonts w:hint="eastAsia"/>
                          </w:rPr>
                          <w:t>1997</w:t>
                        </w:r>
                        <w:r>
                          <w:rPr>
                            <w:rFonts w:hint="eastAsia"/>
                          </w:rPr>
                          <w:t>年依据中国法律成立的股份有限公司，其</w:t>
                        </w:r>
                        <w:r>
                          <w:rPr>
                            <w:rFonts w:hint="eastAsia"/>
                          </w:rPr>
                          <w:t>H</w:t>
                        </w:r>
                        <w:r>
                          <w:rPr>
                            <w:rFonts w:hint="eastAsia"/>
                          </w:rPr>
                          <w:t>股及</w:t>
                        </w:r>
                        <w:r>
                          <w:rPr>
                            <w:rFonts w:hint="eastAsia"/>
                          </w:rPr>
                          <w:t>A</w:t>
                        </w:r>
                        <w:r>
                          <w:rPr>
                            <w:rFonts w:hint="eastAsia"/>
                          </w:rPr>
                          <w:t>股分别在香港联交所及上交所上市；</w:t>
                        </w:r>
                      </w:p>
                    </w:tc>
                  </w:sdtContent>
                </w:sdt>
              </w:tr>
            </w:sdtContent>
          </w:sdt>
          <w:sdt>
            <w:sdtPr>
              <w:rPr>
                <w:rFonts w:ascii="宋体" w:hAnsi="宋体" w:hint="eastAsia"/>
              </w:rPr>
              <w:alias w:val="释义"/>
              <w:tag w:val="_GBC_ca5c2cb7a4e545e2b2d9d1b94b528746"/>
              <w:id w:val="-1958786120"/>
              <w:lock w:val="sdtLocked"/>
              <w:placeholder>
                <w:docPart w:val="424DE108886B4272859AA138A3B5346F"/>
              </w:placeholder>
            </w:sdtPr>
            <w:sdtEndPr/>
            <w:sdtContent>
              <w:tr w:rsidR="00B201D3" w14:paraId="71116F7D" w14:textId="77777777">
                <w:tc>
                  <w:tcPr>
                    <w:tcW w:w="2235" w:type="dxa"/>
                    <w:vAlign w:val="center"/>
                  </w:tcPr>
                  <w:p w14:paraId="2005B28D" w14:textId="77777777" w:rsidR="00B201D3" w:rsidRDefault="009855E8">
                    <w:r>
                      <w:rPr>
                        <w:rFonts w:hint="eastAsia"/>
                      </w:rPr>
                      <w:t>“集团”“本集团”</w:t>
                    </w:r>
                  </w:p>
                </w:tc>
                <w:tc>
                  <w:tcPr>
                    <w:tcW w:w="425" w:type="dxa"/>
                  </w:tcPr>
                  <w:sdt>
                    <w:sdtPr>
                      <w:rPr>
                        <w:rFonts w:hint="eastAsia"/>
                      </w:rPr>
                      <w:tag w:val="_PLD_289cf7e5c3a845d59c038a21dcd4a571"/>
                      <w:id w:val="1164282955"/>
                      <w:lock w:val="sdtLocked"/>
                    </w:sdtPr>
                    <w:sdtEndPr/>
                    <w:sdtContent>
                      <w:p w14:paraId="159F9960" w14:textId="77777777" w:rsidR="00B201D3" w:rsidRDefault="009855E8">
                        <w:pPr>
                          <w:jc w:val="center"/>
                          <w:rPr>
                            <w:highlight w:val="lightGray"/>
                          </w:rPr>
                        </w:pPr>
                        <w:r>
                          <w:rPr>
                            <w:rFonts w:hint="eastAsia"/>
                          </w:rPr>
                          <w:t>指</w:t>
                        </w:r>
                      </w:p>
                    </w:sdtContent>
                  </w:sdt>
                </w:tc>
                <w:sdt>
                  <w:sdtPr>
                    <w:rPr>
                      <w:rFonts w:hint="eastAsia"/>
                    </w:rPr>
                    <w:alias w:val="常用词语释义"/>
                    <w:tag w:val="_GBC_b625dd71b03542c3b074c2ce59de70ad"/>
                    <w:id w:val="-2039413928"/>
                    <w:lock w:val="sdtLocked"/>
                  </w:sdtPr>
                  <w:sdtEndPr/>
                  <w:sdtContent>
                    <w:tc>
                      <w:tcPr>
                        <w:tcW w:w="6388" w:type="dxa"/>
                      </w:tcPr>
                      <w:p w14:paraId="26CBBCA9" w14:textId="77777777" w:rsidR="00B201D3" w:rsidRDefault="009855E8">
                        <w:r>
                          <w:rPr>
                            <w:rFonts w:hint="eastAsia"/>
                          </w:rPr>
                          <w:t>本公司及其附属公司；</w:t>
                        </w:r>
                      </w:p>
                    </w:tc>
                  </w:sdtContent>
                </w:sdt>
              </w:tr>
            </w:sdtContent>
          </w:sdt>
          <w:sdt>
            <w:sdtPr>
              <w:rPr>
                <w:rFonts w:ascii="宋体" w:hAnsi="宋体" w:hint="eastAsia"/>
              </w:rPr>
              <w:alias w:val="释义"/>
              <w:tag w:val="_GBC_ca5c2cb7a4e545e2b2d9d1b94b528746"/>
              <w:id w:val="-1576276113"/>
              <w:lock w:val="sdtLocked"/>
              <w:placeholder>
                <w:docPart w:val="424DE108886B4272859AA138A3B5346F"/>
              </w:placeholder>
            </w:sdtPr>
            <w:sdtEndPr/>
            <w:sdtContent>
              <w:tr w:rsidR="00B201D3" w14:paraId="7F320EB6" w14:textId="77777777">
                <w:tc>
                  <w:tcPr>
                    <w:tcW w:w="2235" w:type="dxa"/>
                    <w:vAlign w:val="center"/>
                  </w:tcPr>
                  <w:p w14:paraId="44EF1548" w14:textId="77777777" w:rsidR="00B201D3" w:rsidRDefault="009855E8">
                    <w:r>
                      <w:rPr>
                        <w:rFonts w:hint="eastAsia"/>
                      </w:rPr>
                      <w:t>“山东能源”“控股股东”</w:t>
                    </w:r>
                  </w:p>
                </w:tc>
                <w:tc>
                  <w:tcPr>
                    <w:tcW w:w="425" w:type="dxa"/>
                  </w:tcPr>
                  <w:sdt>
                    <w:sdtPr>
                      <w:rPr>
                        <w:rFonts w:hint="eastAsia"/>
                      </w:rPr>
                      <w:tag w:val="_PLD_289cf7e5c3a845d59c038a21dcd4a571"/>
                      <w:id w:val="867722480"/>
                      <w:lock w:val="sdtLocked"/>
                    </w:sdtPr>
                    <w:sdtEndPr/>
                    <w:sdtContent>
                      <w:p w14:paraId="23104333" w14:textId="77777777" w:rsidR="00B201D3" w:rsidRDefault="009855E8">
                        <w:pPr>
                          <w:jc w:val="center"/>
                          <w:rPr>
                            <w:highlight w:val="lightGray"/>
                          </w:rPr>
                        </w:pPr>
                        <w:r>
                          <w:rPr>
                            <w:rFonts w:hint="eastAsia"/>
                          </w:rPr>
                          <w:t>指</w:t>
                        </w:r>
                      </w:p>
                    </w:sdtContent>
                  </w:sdt>
                </w:tc>
                <w:sdt>
                  <w:sdtPr>
                    <w:rPr>
                      <w:rFonts w:hint="eastAsia"/>
                    </w:rPr>
                    <w:alias w:val="常用词语释义"/>
                    <w:tag w:val="_GBC_b625dd71b03542c3b074c2ce59de70ad"/>
                    <w:id w:val="-1625311563"/>
                    <w:lock w:val="sdtLocked"/>
                  </w:sdtPr>
                  <w:sdtEndPr/>
                  <w:sdtContent>
                    <w:tc>
                      <w:tcPr>
                        <w:tcW w:w="6388" w:type="dxa"/>
                      </w:tcPr>
                      <w:p w14:paraId="41EEBF6A" w14:textId="77777777" w:rsidR="00B201D3" w:rsidRDefault="009855E8">
                        <w:r>
                          <w:rPr>
                            <w:rFonts w:hint="eastAsia"/>
                          </w:rPr>
                          <w:t>山东能源集团有限公司，于</w:t>
                        </w:r>
                        <w:r>
                          <w:rPr>
                            <w:rFonts w:hint="eastAsia"/>
                          </w:rPr>
                          <w:t>1996</w:t>
                        </w:r>
                        <w:r>
                          <w:rPr>
                            <w:rFonts w:hint="eastAsia"/>
                          </w:rPr>
                          <w:t>年依据中国法律改制设立的有限责任公司，为本公司的控股股东，于本报告期末直接和间接持有本公司</w:t>
                        </w:r>
                        <w:r>
                          <w:rPr>
                            <w:rFonts w:hint="eastAsia"/>
                          </w:rPr>
                          <w:t>54.67%</w:t>
                        </w:r>
                        <w:r>
                          <w:rPr>
                            <w:rFonts w:hint="eastAsia"/>
                          </w:rPr>
                          <w:t>股份；</w:t>
                        </w:r>
                      </w:p>
                    </w:tc>
                  </w:sdtContent>
                </w:sdt>
              </w:tr>
            </w:sdtContent>
          </w:sdt>
          <w:sdt>
            <w:sdtPr>
              <w:rPr>
                <w:rFonts w:ascii="宋体" w:hAnsi="宋体" w:hint="eastAsia"/>
              </w:rPr>
              <w:alias w:val="释义"/>
              <w:tag w:val="_GBC_ca5c2cb7a4e545e2b2d9d1b94b528746"/>
              <w:id w:val="-1945681943"/>
              <w:lock w:val="sdtLocked"/>
              <w:placeholder>
                <w:docPart w:val="424DE108886B4272859AA138A3B5346F"/>
              </w:placeholder>
            </w:sdtPr>
            <w:sdtEndPr/>
            <w:sdtContent>
              <w:tr w:rsidR="00B201D3" w14:paraId="5301F171" w14:textId="77777777">
                <w:tc>
                  <w:tcPr>
                    <w:tcW w:w="2235" w:type="dxa"/>
                    <w:vAlign w:val="center"/>
                  </w:tcPr>
                  <w:p w14:paraId="3E6B47B7" w14:textId="77777777" w:rsidR="00B201D3" w:rsidRDefault="009855E8">
                    <w:r>
                      <w:rPr>
                        <w:rFonts w:hint="eastAsia"/>
                      </w:rPr>
                      <w:t>“菏泽能化”</w:t>
                    </w:r>
                  </w:p>
                </w:tc>
                <w:tc>
                  <w:tcPr>
                    <w:tcW w:w="425" w:type="dxa"/>
                  </w:tcPr>
                  <w:sdt>
                    <w:sdtPr>
                      <w:rPr>
                        <w:rFonts w:hint="eastAsia"/>
                      </w:rPr>
                      <w:tag w:val="_PLD_289cf7e5c3a845d59c038a21dcd4a571"/>
                      <w:id w:val="-468130153"/>
                      <w:lock w:val="sdtLocked"/>
                    </w:sdtPr>
                    <w:sdtEndPr/>
                    <w:sdtContent>
                      <w:p w14:paraId="34AB0B07" w14:textId="77777777" w:rsidR="00B201D3" w:rsidRDefault="009855E8">
                        <w:pPr>
                          <w:jc w:val="center"/>
                          <w:rPr>
                            <w:highlight w:val="lightGray"/>
                          </w:rPr>
                        </w:pPr>
                        <w:r>
                          <w:rPr>
                            <w:rFonts w:hint="eastAsia"/>
                          </w:rPr>
                          <w:t>指</w:t>
                        </w:r>
                      </w:p>
                    </w:sdtContent>
                  </w:sdt>
                </w:tc>
                <w:sdt>
                  <w:sdtPr>
                    <w:rPr>
                      <w:rFonts w:hint="eastAsia"/>
                    </w:rPr>
                    <w:alias w:val="常用词语释义"/>
                    <w:tag w:val="_GBC_b625dd71b03542c3b074c2ce59de70ad"/>
                    <w:id w:val="-1530868782"/>
                    <w:lock w:val="sdtLocked"/>
                  </w:sdtPr>
                  <w:sdtEndPr/>
                  <w:sdtContent>
                    <w:tc>
                      <w:tcPr>
                        <w:tcW w:w="6388" w:type="dxa"/>
                      </w:tcPr>
                      <w:p w14:paraId="20D2D354" w14:textId="77777777" w:rsidR="00B201D3" w:rsidRDefault="009855E8">
                        <w:r>
                          <w:rPr>
                            <w:rFonts w:hint="eastAsia"/>
                          </w:rPr>
                          <w:t>兖煤菏泽能化有限公司，于</w:t>
                        </w:r>
                        <w:r>
                          <w:rPr>
                            <w:rFonts w:hint="eastAsia"/>
                          </w:rPr>
                          <w:t>2002</w:t>
                        </w:r>
                        <w:r>
                          <w:rPr>
                            <w:rFonts w:hint="eastAsia"/>
                          </w:rPr>
                          <w:t>年依据中国法律成立的有限责任公司，主要负责本公司于山东省菏泽市巨野煤田煤炭资源及电力业务的开发运营，是本公司的控股子公司，于本报告期末本公司持有其</w:t>
                        </w:r>
                        <w:r>
                          <w:rPr>
                            <w:rFonts w:hint="eastAsia"/>
                          </w:rPr>
                          <w:t>98.33%</w:t>
                        </w:r>
                        <w:r>
                          <w:rPr>
                            <w:rFonts w:hint="eastAsia"/>
                          </w:rPr>
                          <w:t>股权；</w:t>
                        </w:r>
                      </w:p>
                    </w:tc>
                  </w:sdtContent>
                </w:sdt>
              </w:tr>
            </w:sdtContent>
          </w:sdt>
          <w:sdt>
            <w:sdtPr>
              <w:rPr>
                <w:rFonts w:ascii="宋体" w:hAnsi="宋体" w:hint="eastAsia"/>
              </w:rPr>
              <w:alias w:val="释义"/>
              <w:tag w:val="_GBC_ca5c2cb7a4e545e2b2d9d1b94b528746"/>
              <w:id w:val="-281887092"/>
              <w:lock w:val="sdtLocked"/>
              <w:placeholder>
                <w:docPart w:val="424DE108886B4272859AA138A3B5346F"/>
              </w:placeholder>
            </w:sdtPr>
            <w:sdtEndPr/>
            <w:sdtContent>
              <w:tr w:rsidR="00B201D3" w14:paraId="43654C47" w14:textId="77777777">
                <w:tc>
                  <w:tcPr>
                    <w:tcW w:w="2235" w:type="dxa"/>
                    <w:vAlign w:val="center"/>
                  </w:tcPr>
                  <w:p w14:paraId="0C98512C" w14:textId="77777777" w:rsidR="00B201D3" w:rsidRDefault="009855E8">
                    <w:r>
                      <w:rPr>
                        <w:rFonts w:hint="eastAsia"/>
                      </w:rPr>
                      <w:t>“榆林能化”</w:t>
                    </w:r>
                  </w:p>
                </w:tc>
                <w:tc>
                  <w:tcPr>
                    <w:tcW w:w="425" w:type="dxa"/>
                  </w:tcPr>
                  <w:sdt>
                    <w:sdtPr>
                      <w:rPr>
                        <w:rFonts w:hint="eastAsia"/>
                      </w:rPr>
                      <w:tag w:val="_PLD_289cf7e5c3a845d59c038a21dcd4a571"/>
                      <w:id w:val="383224455"/>
                      <w:lock w:val="sdtLocked"/>
                    </w:sdtPr>
                    <w:sdtEndPr/>
                    <w:sdtContent>
                      <w:p w14:paraId="4A6EC5A6" w14:textId="77777777" w:rsidR="00B201D3" w:rsidRDefault="009855E8">
                        <w:pPr>
                          <w:jc w:val="center"/>
                          <w:rPr>
                            <w:highlight w:val="lightGray"/>
                          </w:rPr>
                        </w:pPr>
                        <w:r>
                          <w:rPr>
                            <w:rFonts w:hint="eastAsia"/>
                          </w:rPr>
                          <w:t>指</w:t>
                        </w:r>
                      </w:p>
                    </w:sdtContent>
                  </w:sdt>
                </w:tc>
                <w:sdt>
                  <w:sdtPr>
                    <w:rPr>
                      <w:rFonts w:hint="eastAsia"/>
                    </w:rPr>
                    <w:alias w:val="常用词语释义"/>
                    <w:tag w:val="_GBC_b625dd71b03542c3b074c2ce59de70ad"/>
                    <w:id w:val="-895436121"/>
                    <w:lock w:val="sdtLocked"/>
                  </w:sdtPr>
                  <w:sdtEndPr/>
                  <w:sdtContent>
                    <w:tc>
                      <w:tcPr>
                        <w:tcW w:w="6388" w:type="dxa"/>
                      </w:tcPr>
                      <w:p w14:paraId="16A141C8" w14:textId="77777777" w:rsidR="00B201D3" w:rsidRDefault="009855E8">
                        <w:r>
                          <w:rPr>
                            <w:rFonts w:hint="eastAsia"/>
                          </w:rPr>
                          <w:t>兖州煤业榆林能化有限公司，于</w:t>
                        </w:r>
                        <w:r>
                          <w:rPr>
                            <w:rFonts w:hint="eastAsia"/>
                          </w:rPr>
                          <w:t>2004</w:t>
                        </w:r>
                        <w:r>
                          <w:rPr>
                            <w:rFonts w:hint="eastAsia"/>
                          </w:rPr>
                          <w:t>年依据中国法律成立的有限责任公司，主要从事化工项目的生产运营，是本公司的全资子公司；</w:t>
                        </w:r>
                      </w:p>
                    </w:tc>
                  </w:sdtContent>
                </w:sdt>
              </w:tr>
            </w:sdtContent>
          </w:sdt>
          <w:sdt>
            <w:sdtPr>
              <w:rPr>
                <w:rFonts w:ascii="宋体" w:hAnsi="宋体" w:hint="eastAsia"/>
              </w:rPr>
              <w:alias w:val="释义"/>
              <w:tag w:val="_GBC_ca5c2cb7a4e545e2b2d9d1b94b528746"/>
              <w:id w:val="-2010128399"/>
              <w:lock w:val="sdtLocked"/>
              <w:placeholder>
                <w:docPart w:val="424DE108886B4272859AA138A3B5346F"/>
              </w:placeholder>
            </w:sdtPr>
            <w:sdtEndPr/>
            <w:sdtContent>
              <w:tr w:rsidR="00B201D3" w14:paraId="621506F4" w14:textId="77777777">
                <w:tc>
                  <w:tcPr>
                    <w:tcW w:w="2235" w:type="dxa"/>
                    <w:vAlign w:val="center"/>
                  </w:tcPr>
                  <w:p w14:paraId="202C2998" w14:textId="77777777" w:rsidR="00B201D3" w:rsidRDefault="009855E8">
                    <w:r>
                      <w:rPr>
                        <w:rFonts w:hint="eastAsia"/>
                      </w:rPr>
                      <w:t>“山西能化”</w:t>
                    </w:r>
                  </w:p>
                </w:tc>
                <w:tc>
                  <w:tcPr>
                    <w:tcW w:w="425" w:type="dxa"/>
                  </w:tcPr>
                  <w:sdt>
                    <w:sdtPr>
                      <w:rPr>
                        <w:rFonts w:hint="eastAsia"/>
                      </w:rPr>
                      <w:tag w:val="_PLD_289cf7e5c3a845d59c038a21dcd4a571"/>
                      <w:id w:val="1888298985"/>
                      <w:lock w:val="sdtLocked"/>
                    </w:sdtPr>
                    <w:sdtEndPr/>
                    <w:sdtContent>
                      <w:p w14:paraId="594471FA" w14:textId="77777777" w:rsidR="00B201D3" w:rsidRDefault="009855E8">
                        <w:pPr>
                          <w:jc w:val="center"/>
                          <w:rPr>
                            <w:highlight w:val="lightGray"/>
                          </w:rPr>
                        </w:pPr>
                        <w:r>
                          <w:rPr>
                            <w:rFonts w:hint="eastAsia"/>
                          </w:rPr>
                          <w:t>指</w:t>
                        </w:r>
                      </w:p>
                    </w:sdtContent>
                  </w:sdt>
                </w:tc>
                <w:sdt>
                  <w:sdtPr>
                    <w:rPr>
                      <w:rFonts w:hint="eastAsia"/>
                    </w:rPr>
                    <w:alias w:val="常用词语释义"/>
                    <w:tag w:val="_GBC_b625dd71b03542c3b074c2ce59de70ad"/>
                    <w:id w:val="1856849180"/>
                    <w:lock w:val="sdtLocked"/>
                  </w:sdtPr>
                  <w:sdtEndPr/>
                  <w:sdtContent>
                    <w:tc>
                      <w:tcPr>
                        <w:tcW w:w="6388" w:type="dxa"/>
                      </w:tcPr>
                      <w:p w14:paraId="31D561C8" w14:textId="77777777" w:rsidR="00B201D3" w:rsidRDefault="009855E8">
                        <w:r>
                          <w:rPr>
                            <w:rFonts w:hint="eastAsia"/>
                          </w:rPr>
                          <w:t>兖州煤业山西能化有限公司，于</w:t>
                        </w:r>
                        <w:r>
                          <w:rPr>
                            <w:rFonts w:hint="eastAsia"/>
                          </w:rPr>
                          <w:t>2003</w:t>
                        </w:r>
                        <w:r>
                          <w:rPr>
                            <w:rFonts w:hint="eastAsia"/>
                          </w:rPr>
                          <w:t>年依据中国法律成立的有限责任公司，主要负责本公司于山西省投资项目的管理，是本公司的全资子公司；</w:t>
                        </w:r>
                      </w:p>
                    </w:tc>
                  </w:sdtContent>
                </w:sdt>
              </w:tr>
            </w:sdtContent>
          </w:sdt>
          <w:sdt>
            <w:sdtPr>
              <w:rPr>
                <w:rFonts w:ascii="宋体" w:hAnsi="宋体" w:hint="eastAsia"/>
              </w:rPr>
              <w:alias w:val="释义"/>
              <w:tag w:val="_GBC_ca5c2cb7a4e545e2b2d9d1b94b528746"/>
              <w:id w:val="-1987150489"/>
              <w:lock w:val="sdtLocked"/>
              <w:placeholder>
                <w:docPart w:val="424DE108886B4272859AA138A3B5346F"/>
              </w:placeholder>
            </w:sdtPr>
            <w:sdtEndPr/>
            <w:sdtContent>
              <w:tr w:rsidR="00B201D3" w14:paraId="50822651" w14:textId="77777777">
                <w:tc>
                  <w:tcPr>
                    <w:tcW w:w="2235" w:type="dxa"/>
                    <w:vAlign w:val="center"/>
                  </w:tcPr>
                  <w:p w14:paraId="5BB89B8D" w14:textId="77777777" w:rsidR="00B201D3" w:rsidRDefault="009855E8">
                    <w:r>
                      <w:rPr>
                        <w:rFonts w:hint="eastAsia"/>
                      </w:rPr>
                      <w:t>“鄂尔多斯公司”</w:t>
                    </w:r>
                  </w:p>
                </w:tc>
                <w:tc>
                  <w:tcPr>
                    <w:tcW w:w="425" w:type="dxa"/>
                  </w:tcPr>
                  <w:sdt>
                    <w:sdtPr>
                      <w:rPr>
                        <w:rFonts w:hint="eastAsia"/>
                      </w:rPr>
                      <w:tag w:val="_PLD_289cf7e5c3a845d59c038a21dcd4a571"/>
                      <w:id w:val="-2109039516"/>
                      <w:lock w:val="sdtLocked"/>
                    </w:sdtPr>
                    <w:sdtEndPr/>
                    <w:sdtContent>
                      <w:p w14:paraId="5434530D" w14:textId="77777777" w:rsidR="00B201D3" w:rsidRDefault="009855E8">
                        <w:pPr>
                          <w:jc w:val="center"/>
                          <w:rPr>
                            <w:highlight w:val="lightGray"/>
                          </w:rPr>
                        </w:pPr>
                        <w:r>
                          <w:rPr>
                            <w:rFonts w:hint="eastAsia"/>
                          </w:rPr>
                          <w:t>指</w:t>
                        </w:r>
                      </w:p>
                    </w:sdtContent>
                  </w:sdt>
                </w:tc>
                <w:sdt>
                  <w:sdtPr>
                    <w:rPr>
                      <w:rFonts w:hint="eastAsia"/>
                    </w:rPr>
                    <w:alias w:val="常用词语释义"/>
                    <w:tag w:val="_GBC_b625dd71b03542c3b074c2ce59de70ad"/>
                    <w:id w:val="189425887"/>
                    <w:lock w:val="sdtLocked"/>
                  </w:sdtPr>
                  <w:sdtEndPr/>
                  <w:sdtContent>
                    <w:tc>
                      <w:tcPr>
                        <w:tcW w:w="6388" w:type="dxa"/>
                      </w:tcPr>
                      <w:p w14:paraId="766309F6" w14:textId="77777777" w:rsidR="00B201D3" w:rsidRDefault="009855E8">
                        <w:r>
                          <w:rPr>
                            <w:rFonts w:hint="eastAsia"/>
                          </w:rPr>
                          <w:t>兖矿能源（鄂尔多斯）有限公司，于</w:t>
                        </w:r>
                        <w:r>
                          <w:rPr>
                            <w:rFonts w:hint="eastAsia"/>
                          </w:rPr>
                          <w:t>2009</w:t>
                        </w:r>
                        <w:r>
                          <w:rPr>
                            <w:rFonts w:hint="eastAsia"/>
                          </w:rPr>
                          <w:t>年依据中国法律成立的有限责任公司，主要从事煤炭资源和化工项目的开发运营，是本公司的全资子公司；</w:t>
                        </w:r>
                      </w:p>
                    </w:tc>
                  </w:sdtContent>
                </w:sdt>
              </w:tr>
            </w:sdtContent>
          </w:sdt>
          <w:sdt>
            <w:sdtPr>
              <w:rPr>
                <w:rFonts w:ascii="宋体" w:hAnsi="宋体" w:hint="eastAsia"/>
              </w:rPr>
              <w:alias w:val="释义"/>
              <w:tag w:val="_GBC_ca5c2cb7a4e545e2b2d9d1b94b528746"/>
              <w:id w:val="-1777478682"/>
              <w:lock w:val="sdtLocked"/>
              <w:placeholder>
                <w:docPart w:val="424DE108886B4272859AA138A3B5346F"/>
              </w:placeholder>
            </w:sdtPr>
            <w:sdtEndPr/>
            <w:sdtContent>
              <w:tr w:rsidR="00B201D3" w14:paraId="5071A68C" w14:textId="77777777">
                <w:tc>
                  <w:tcPr>
                    <w:tcW w:w="2235" w:type="dxa"/>
                    <w:vAlign w:val="center"/>
                  </w:tcPr>
                  <w:p w14:paraId="2C04C652" w14:textId="77777777" w:rsidR="00B201D3" w:rsidRDefault="009855E8">
                    <w:r>
                      <w:rPr>
                        <w:rFonts w:hint="eastAsia"/>
                      </w:rPr>
                      <w:t>“昊盛煤业”</w:t>
                    </w:r>
                  </w:p>
                </w:tc>
                <w:tc>
                  <w:tcPr>
                    <w:tcW w:w="425" w:type="dxa"/>
                  </w:tcPr>
                  <w:sdt>
                    <w:sdtPr>
                      <w:rPr>
                        <w:rFonts w:hint="eastAsia"/>
                      </w:rPr>
                      <w:tag w:val="_PLD_289cf7e5c3a845d59c038a21dcd4a571"/>
                      <w:id w:val="850455716"/>
                      <w:lock w:val="sdtLocked"/>
                    </w:sdtPr>
                    <w:sdtEndPr/>
                    <w:sdtContent>
                      <w:p w14:paraId="4E3909E9" w14:textId="77777777" w:rsidR="00B201D3" w:rsidRDefault="009855E8">
                        <w:pPr>
                          <w:jc w:val="center"/>
                          <w:rPr>
                            <w:highlight w:val="lightGray"/>
                          </w:rPr>
                        </w:pPr>
                        <w:r>
                          <w:rPr>
                            <w:rFonts w:hint="eastAsia"/>
                          </w:rPr>
                          <w:t>指</w:t>
                        </w:r>
                      </w:p>
                    </w:sdtContent>
                  </w:sdt>
                </w:tc>
                <w:sdt>
                  <w:sdtPr>
                    <w:rPr>
                      <w:rFonts w:hint="eastAsia"/>
                    </w:rPr>
                    <w:alias w:val="常用词语释义"/>
                    <w:tag w:val="_GBC_b625dd71b03542c3b074c2ce59de70ad"/>
                    <w:id w:val="-1100796105"/>
                    <w:lock w:val="sdtLocked"/>
                  </w:sdtPr>
                  <w:sdtEndPr/>
                  <w:sdtContent>
                    <w:tc>
                      <w:tcPr>
                        <w:tcW w:w="6388" w:type="dxa"/>
                      </w:tcPr>
                      <w:p w14:paraId="7D3E0C7A" w14:textId="77777777" w:rsidR="00B201D3" w:rsidRDefault="009855E8">
                        <w:r>
                          <w:rPr>
                            <w:rFonts w:hint="eastAsia"/>
                          </w:rPr>
                          <w:t>内蒙古昊盛煤业有限公司，于</w:t>
                        </w:r>
                        <w:r>
                          <w:rPr>
                            <w:rFonts w:hint="eastAsia"/>
                          </w:rPr>
                          <w:t>2010</w:t>
                        </w:r>
                        <w:r>
                          <w:rPr>
                            <w:rFonts w:hint="eastAsia"/>
                          </w:rPr>
                          <w:t>年依据中国法律成立的有限责任公司，主要负责内蒙古自治区鄂尔多斯市石拉乌素煤矿的生产运营，是本公司的控股子公司，于本报告期末本公司持有其</w:t>
                        </w:r>
                        <w:r>
                          <w:rPr>
                            <w:rFonts w:hint="eastAsia"/>
                          </w:rPr>
                          <w:t>59.38%</w:t>
                        </w:r>
                        <w:r>
                          <w:rPr>
                            <w:rFonts w:hint="eastAsia"/>
                          </w:rPr>
                          <w:t>股权；</w:t>
                        </w:r>
                      </w:p>
                    </w:tc>
                  </w:sdtContent>
                </w:sdt>
              </w:tr>
            </w:sdtContent>
          </w:sdt>
          <w:sdt>
            <w:sdtPr>
              <w:rPr>
                <w:rFonts w:ascii="宋体" w:hAnsi="宋体" w:hint="eastAsia"/>
              </w:rPr>
              <w:alias w:val="释义"/>
              <w:tag w:val="_GBC_ca5c2cb7a4e545e2b2d9d1b94b528746"/>
              <w:id w:val="-430963102"/>
              <w:lock w:val="sdtLocked"/>
              <w:placeholder>
                <w:docPart w:val="424DE108886B4272859AA138A3B5346F"/>
              </w:placeholder>
            </w:sdtPr>
            <w:sdtEndPr/>
            <w:sdtContent>
              <w:tr w:rsidR="00B201D3" w14:paraId="239CE177" w14:textId="77777777">
                <w:tc>
                  <w:tcPr>
                    <w:tcW w:w="2235" w:type="dxa"/>
                    <w:vAlign w:val="center"/>
                  </w:tcPr>
                  <w:p w14:paraId="330F1703" w14:textId="77777777" w:rsidR="00B201D3" w:rsidRDefault="009855E8">
                    <w:r>
                      <w:rPr>
                        <w:rFonts w:hint="eastAsia"/>
                      </w:rPr>
                      <w:t>“内蒙古矿业”</w:t>
                    </w:r>
                  </w:p>
                </w:tc>
                <w:tc>
                  <w:tcPr>
                    <w:tcW w:w="425" w:type="dxa"/>
                  </w:tcPr>
                  <w:sdt>
                    <w:sdtPr>
                      <w:rPr>
                        <w:rFonts w:hint="eastAsia"/>
                      </w:rPr>
                      <w:tag w:val="_PLD_289cf7e5c3a845d59c038a21dcd4a571"/>
                      <w:id w:val="-1952007312"/>
                      <w:lock w:val="sdtLocked"/>
                    </w:sdtPr>
                    <w:sdtEndPr/>
                    <w:sdtContent>
                      <w:p w14:paraId="64F292DF" w14:textId="77777777" w:rsidR="00B201D3" w:rsidRDefault="009855E8">
                        <w:pPr>
                          <w:jc w:val="center"/>
                          <w:rPr>
                            <w:highlight w:val="lightGray"/>
                          </w:rPr>
                        </w:pPr>
                        <w:r>
                          <w:rPr>
                            <w:rFonts w:hint="eastAsia"/>
                          </w:rPr>
                          <w:t>指</w:t>
                        </w:r>
                      </w:p>
                    </w:sdtContent>
                  </w:sdt>
                </w:tc>
                <w:sdt>
                  <w:sdtPr>
                    <w:rPr>
                      <w:rFonts w:hint="eastAsia"/>
                    </w:rPr>
                    <w:alias w:val="常用词语释义"/>
                    <w:tag w:val="_GBC_b625dd71b03542c3b074c2ce59de70ad"/>
                    <w:id w:val="790104082"/>
                    <w:lock w:val="sdtLocked"/>
                  </w:sdtPr>
                  <w:sdtEndPr/>
                  <w:sdtContent>
                    <w:tc>
                      <w:tcPr>
                        <w:tcW w:w="6388" w:type="dxa"/>
                      </w:tcPr>
                      <w:p w14:paraId="48F96B79" w14:textId="77777777" w:rsidR="00B201D3" w:rsidRDefault="009855E8">
                        <w:r>
                          <w:rPr>
                            <w:rFonts w:hint="eastAsia"/>
                          </w:rPr>
                          <w:t>内蒙古矿业（集团）有限责任公司，于</w:t>
                        </w:r>
                        <w:r>
                          <w:rPr>
                            <w:rFonts w:hint="eastAsia"/>
                          </w:rPr>
                          <w:t>2013</w:t>
                        </w:r>
                        <w:r>
                          <w:rPr>
                            <w:rFonts w:hint="eastAsia"/>
                          </w:rPr>
                          <w:t>年依据中国法律成立的有限责任公司，主要从事矿产资源投资与管理，煤炭开采和洗选，矿产品销售及进出口贸易等业务，是本公司的控股子公司，于本报告期末本公司持有其</w:t>
                        </w:r>
                        <w:r>
                          <w:rPr>
                            <w:rFonts w:hint="eastAsia"/>
                          </w:rPr>
                          <w:t>51%</w:t>
                        </w:r>
                        <w:r>
                          <w:rPr>
                            <w:rFonts w:hint="eastAsia"/>
                          </w:rPr>
                          <w:t>股权；</w:t>
                        </w:r>
                      </w:p>
                    </w:tc>
                  </w:sdtContent>
                </w:sdt>
              </w:tr>
            </w:sdtContent>
          </w:sdt>
          <w:sdt>
            <w:sdtPr>
              <w:rPr>
                <w:rFonts w:ascii="宋体" w:hAnsi="宋体" w:hint="eastAsia"/>
              </w:rPr>
              <w:alias w:val="释义"/>
              <w:tag w:val="_GBC_ca5c2cb7a4e545e2b2d9d1b94b528746"/>
              <w:id w:val="1112949400"/>
              <w:lock w:val="sdtLocked"/>
              <w:placeholder>
                <w:docPart w:val="424DE108886B4272859AA138A3B5346F"/>
              </w:placeholder>
            </w:sdtPr>
            <w:sdtEndPr/>
            <w:sdtContent>
              <w:tr w:rsidR="00B201D3" w14:paraId="7CD5E315" w14:textId="77777777">
                <w:tc>
                  <w:tcPr>
                    <w:tcW w:w="2235" w:type="dxa"/>
                    <w:vAlign w:val="center"/>
                  </w:tcPr>
                  <w:p w14:paraId="54826A45" w14:textId="77777777" w:rsidR="00B201D3" w:rsidRDefault="009855E8">
                    <w:r>
                      <w:rPr>
                        <w:rFonts w:hint="eastAsia"/>
                      </w:rPr>
                      <w:t>“未来能源”</w:t>
                    </w:r>
                  </w:p>
                </w:tc>
                <w:tc>
                  <w:tcPr>
                    <w:tcW w:w="425" w:type="dxa"/>
                  </w:tcPr>
                  <w:sdt>
                    <w:sdtPr>
                      <w:rPr>
                        <w:rFonts w:hint="eastAsia"/>
                      </w:rPr>
                      <w:tag w:val="_PLD_289cf7e5c3a845d59c038a21dcd4a571"/>
                      <w:id w:val="356011887"/>
                      <w:lock w:val="sdtLocked"/>
                    </w:sdtPr>
                    <w:sdtEndPr/>
                    <w:sdtContent>
                      <w:p w14:paraId="2A33C351" w14:textId="77777777" w:rsidR="00B201D3" w:rsidRDefault="009855E8">
                        <w:pPr>
                          <w:jc w:val="center"/>
                          <w:rPr>
                            <w:highlight w:val="lightGray"/>
                          </w:rPr>
                        </w:pPr>
                        <w:r>
                          <w:rPr>
                            <w:rFonts w:hint="eastAsia"/>
                          </w:rPr>
                          <w:t>指</w:t>
                        </w:r>
                      </w:p>
                    </w:sdtContent>
                  </w:sdt>
                </w:tc>
                <w:sdt>
                  <w:sdtPr>
                    <w:rPr>
                      <w:rFonts w:hint="eastAsia"/>
                    </w:rPr>
                    <w:alias w:val="常用词语释义"/>
                    <w:tag w:val="_GBC_b625dd71b03542c3b074c2ce59de70ad"/>
                    <w:id w:val="-1543812888"/>
                    <w:lock w:val="sdtLocked"/>
                  </w:sdtPr>
                  <w:sdtEndPr/>
                  <w:sdtContent>
                    <w:tc>
                      <w:tcPr>
                        <w:tcW w:w="6388" w:type="dxa"/>
                      </w:tcPr>
                      <w:p w14:paraId="1ED8C3A2" w14:textId="77777777" w:rsidR="00B201D3" w:rsidRDefault="009855E8">
                        <w:r>
                          <w:rPr>
                            <w:rFonts w:hint="eastAsia"/>
                          </w:rPr>
                          <w:t>陕西未来能源化工有限公司</w:t>
                        </w:r>
                        <w:r>
                          <w:rPr>
                            <w:rFonts w:hint="eastAsia"/>
                          </w:rPr>
                          <w:t>,</w:t>
                        </w:r>
                        <w:r>
                          <w:rPr>
                            <w:rFonts w:hint="eastAsia"/>
                          </w:rPr>
                          <w:t>于</w:t>
                        </w:r>
                        <w:r>
                          <w:rPr>
                            <w:rFonts w:hint="eastAsia"/>
                          </w:rPr>
                          <w:t>2011</w:t>
                        </w:r>
                        <w:r>
                          <w:rPr>
                            <w:rFonts w:hint="eastAsia"/>
                          </w:rPr>
                          <w:t>年依据中国法律成立的有限责任公司，主要从事化工产品的研发、生产和销售，煤炭开采、销售等业务，是本公司的控股子公司，于本报告期末本公司持有其</w:t>
                        </w:r>
                        <w:r>
                          <w:rPr>
                            <w:rFonts w:hint="eastAsia"/>
                          </w:rPr>
                          <w:t>73.97%</w:t>
                        </w:r>
                        <w:r>
                          <w:rPr>
                            <w:rFonts w:hint="eastAsia"/>
                          </w:rPr>
                          <w:t>股权；</w:t>
                        </w:r>
                      </w:p>
                    </w:tc>
                  </w:sdtContent>
                </w:sdt>
              </w:tr>
            </w:sdtContent>
          </w:sdt>
          <w:sdt>
            <w:sdtPr>
              <w:rPr>
                <w:rFonts w:ascii="宋体" w:hAnsi="宋体" w:hint="eastAsia"/>
              </w:rPr>
              <w:alias w:val="释义"/>
              <w:tag w:val="_GBC_ca5c2cb7a4e545e2b2d9d1b94b528746"/>
              <w:id w:val="1905798205"/>
              <w:lock w:val="sdtLocked"/>
              <w:placeholder>
                <w:docPart w:val="424DE108886B4272859AA138A3B5346F"/>
              </w:placeholder>
            </w:sdtPr>
            <w:sdtEndPr/>
            <w:sdtContent>
              <w:tr w:rsidR="00B201D3" w14:paraId="57CACC9E" w14:textId="77777777">
                <w:tc>
                  <w:tcPr>
                    <w:tcW w:w="2235" w:type="dxa"/>
                    <w:vAlign w:val="center"/>
                  </w:tcPr>
                  <w:p w14:paraId="3475968A" w14:textId="77777777" w:rsidR="00B201D3" w:rsidRDefault="009855E8">
                    <w:r>
                      <w:rPr>
                        <w:rFonts w:hint="eastAsia"/>
                      </w:rPr>
                      <w:t>“鲁南化工”</w:t>
                    </w:r>
                  </w:p>
                </w:tc>
                <w:tc>
                  <w:tcPr>
                    <w:tcW w:w="425" w:type="dxa"/>
                  </w:tcPr>
                  <w:sdt>
                    <w:sdtPr>
                      <w:rPr>
                        <w:rFonts w:hint="eastAsia"/>
                      </w:rPr>
                      <w:tag w:val="_PLD_289cf7e5c3a845d59c038a21dcd4a571"/>
                      <w:id w:val="631911447"/>
                      <w:lock w:val="sdtLocked"/>
                    </w:sdtPr>
                    <w:sdtEndPr/>
                    <w:sdtContent>
                      <w:p w14:paraId="1E1CF3FE" w14:textId="77777777" w:rsidR="00B201D3" w:rsidRDefault="009855E8">
                        <w:pPr>
                          <w:jc w:val="center"/>
                          <w:rPr>
                            <w:highlight w:val="lightGray"/>
                          </w:rPr>
                        </w:pPr>
                        <w:r>
                          <w:rPr>
                            <w:rFonts w:hint="eastAsia"/>
                          </w:rPr>
                          <w:t>指</w:t>
                        </w:r>
                      </w:p>
                    </w:sdtContent>
                  </w:sdt>
                </w:tc>
                <w:sdt>
                  <w:sdtPr>
                    <w:rPr>
                      <w:rFonts w:hint="eastAsia"/>
                    </w:rPr>
                    <w:alias w:val="常用词语释义"/>
                    <w:tag w:val="_GBC_b625dd71b03542c3b074c2ce59de70ad"/>
                    <w:id w:val="-1679728245"/>
                    <w:lock w:val="sdtLocked"/>
                  </w:sdtPr>
                  <w:sdtEndPr/>
                  <w:sdtContent>
                    <w:tc>
                      <w:tcPr>
                        <w:tcW w:w="6388" w:type="dxa"/>
                      </w:tcPr>
                      <w:p w14:paraId="57C9122A" w14:textId="77777777" w:rsidR="00B201D3" w:rsidRDefault="009855E8">
                        <w:r>
                          <w:rPr>
                            <w:rFonts w:hint="eastAsia"/>
                          </w:rPr>
                          <w:t>兖矿鲁南化工有限公司</w:t>
                        </w:r>
                        <w:r>
                          <w:rPr>
                            <w:rFonts w:hint="eastAsia"/>
                          </w:rPr>
                          <w:t>,</w:t>
                        </w:r>
                        <w:r>
                          <w:rPr>
                            <w:rFonts w:hint="eastAsia"/>
                          </w:rPr>
                          <w:t>于</w:t>
                        </w:r>
                        <w:r>
                          <w:rPr>
                            <w:rFonts w:hint="eastAsia"/>
                          </w:rPr>
                          <w:t>2007</w:t>
                        </w:r>
                        <w:r>
                          <w:rPr>
                            <w:rFonts w:hint="eastAsia"/>
                          </w:rPr>
                          <w:t>年依据中国法律成立的有限责任公司，主要从事化工产品的开发、生产和销售等业务，是本公司的全资子公司；</w:t>
                        </w:r>
                      </w:p>
                    </w:tc>
                  </w:sdtContent>
                </w:sdt>
              </w:tr>
            </w:sdtContent>
          </w:sdt>
          <w:sdt>
            <w:sdtPr>
              <w:rPr>
                <w:rFonts w:ascii="宋体" w:hAnsi="宋体" w:hint="eastAsia"/>
              </w:rPr>
              <w:alias w:val="释义"/>
              <w:tag w:val="_GBC_ca5c2cb7a4e545e2b2d9d1b94b528746"/>
              <w:id w:val="-751051817"/>
              <w:lock w:val="sdtLocked"/>
              <w:placeholder>
                <w:docPart w:val="424DE108886B4272859AA138A3B5346F"/>
              </w:placeholder>
            </w:sdtPr>
            <w:sdtEndPr/>
            <w:sdtContent>
              <w:tr w:rsidR="00B201D3" w14:paraId="546BC87E" w14:textId="77777777">
                <w:tc>
                  <w:tcPr>
                    <w:tcW w:w="2235" w:type="dxa"/>
                    <w:vAlign w:val="center"/>
                  </w:tcPr>
                  <w:p w14:paraId="1A18B0CD" w14:textId="77777777" w:rsidR="00B201D3" w:rsidRDefault="009855E8">
                    <w:r>
                      <w:rPr>
                        <w:rFonts w:hint="eastAsia"/>
                      </w:rPr>
                      <w:t>“东华重工”</w:t>
                    </w:r>
                  </w:p>
                </w:tc>
                <w:tc>
                  <w:tcPr>
                    <w:tcW w:w="425" w:type="dxa"/>
                  </w:tcPr>
                  <w:sdt>
                    <w:sdtPr>
                      <w:rPr>
                        <w:rFonts w:hint="eastAsia"/>
                      </w:rPr>
                      <w:tag w:val="_PLD_289cf7e5c3a845d59c038a21dcd4a571"/>
                      <w:id w:val="1945412532"/>
                      <w:lock w:val="sdtLocked"/>
                    </w:sdtPr>
                    <w:sdtEndPr/>
                    <w:sdtContent>
                      <w:p w14:paraId="4043756D" w14:textId="77777777" w:rsidR="00B201D3" w:rsidRDefault="009855E8">
                        <w:pPr>
                          <w:jc w:val="center"/>
                          <w:rPr>
                            <w:highlight w:val="lightGray"/>
                          </w:rPr>
                        </w:pPr>
                        <w:r>
                          <w:rPr>
                            <w:rFonts w:hint="eastAsia"/>
                          </w:rPr>
                          <w:t>指</w:t>
                        </w:r>
                      </w:p>
                    </w:sdtContent>
                  </w:sdt>
                </w:tc>
                <w:sdt>
                  <w:sdtPr>
                    <w:rPr>
                      <w:rFonts w:hint="eastAsia"/>
                    </w:rPr>
                    <w:alias w:val="常用词语释义"/>
                    <w:tag w:val="_GBC_b625dd71b03542c3b074c2ce59de70ad"/>
                    <w:id w:val="-2126755444"/>
                    <w:lock w:val="sdtLocked"/>
                  </w:sdtPr>
                  <w:sdtEndPr/>
                  <w:sdtContent>
                    <w:tc>
                      <w:tcPr>
                        <w:tcW w:w="6388" w:type="dxa"/>
                      </w:tcPr>
                      <w:p w14:paraId="76FC9EFA" w14:textId="77777777" w:rsidR="00B201D3" w:rsidRDefault="009855E8">
                        <w:r>
                          <w:rPr>
                            <w:rFonts w:hint="eastAsia"/>
                          </w:rPr>
                          <w:t>兖矿东华重工有限公司，于</w:t>
                        </w:r>
                        <w:r>
                          <w:rPr>
                            <w:rFonts w:hint="eastAsia"/>
                          </w:rPr>
                          <w:t>2013</w:t>
                        </w:r>
                        <w:r>
                          <w:rPr>
                            <w:rFonts w:hint="eastAsia"/>
                          </w:rPr>
                          <w:t>年依据中国法律成立的有限责任公司，主要从事矿用设备和机电设备、配件的设计、制造、安装及维修等业务，是本公司的全资子公司；</w:t>
                        </w:r>
                      </w:p>
                    </w:tc>
                  </w:sdtContent>
                </w:sdt>
              </w:tr>
            </w:sdtContent>
          </w:sdt>
          <w:sdt>
            <w:sdtPr>
              <w:rPr>
                <w:rFonts w:ascii="宋体" w:hAnsi="宋体" w:hint="eastAsia"/>
              </w:rPr>
              <w:alias w:val="释义"/>
              <w:tag w:val="_GBC_ca5c2cb7a4e545e2b2d9d1b94b528746"/>
              <w:id w:val="1701813690"/>
              <w:lock w:val="sdtLocked"/>
              <w:placeholder>
                <w:docPart w:val="424DE108886B4272859AA138A3B5346F"/>
              </w:placeholder>
            </w:sdtPr>
            <w:sdtEndPr/>
            <w:sdtContent>
              <w:tr w:rsidR="00B201D3" w14:paraId="1136F7B3" w14:textId="77777777">
                <w:tc>
                  <w:tcPr>
                    <w:tcW w:w="2235" w:type="dxa"/>
                    <w:vAlign w:val="center"/>
                  </w:tcPr>
                  <w:p w14:paraId="45F7645D" w14:textId="77777777" w:rsidR="00B201D3" w:rsidRDefault="009855E8">
                    <w:r>
                      <w:rPr>
                        <w:rFonts w:hint="eastAsia"/>
                      </w:rPr>
                      <w:t>“兖矿租赁”</w:t>
                    </w:r>
                  </w:p>
                </w:tc>
                <w:tc>
                  <w:tcPr>
                    <w:tcW w:w="425" w:type="dxa"/>
                  </w:tcPr>
                  <w:sdt>
                    <w:sdtPr>
                      <w:rPr>
                        <w:rFonts w:hint="eastAsia"/>
                      </w:rPr>
                      <w:tag w:val="_PLD_289cf7e5c3a845d59c038a21dcd4a571"/>
                      <w:id w:val="805443645"/>
                      <w:lock w:val="sdtLocked"/>
                    </w:sdtPr>
                    <w:sdtEndPr/>
                    <w:sdtContent>
                      <w:p w14:paraId="3ED20E6A" w14:textId="77777777" w:rsidR="00B201D3" w:rsidRDefault="009855E8">
                        <w:pPr>
                          <w:jc w:val="center"/>
                          <w:rPr>
                            <w:highlight w:val="lightGray"/>
                          </w:rPr>
                        </w:pPr>
                        <w:r>
                          <w:rPr>
                            <w:rFonts w:hint="eastAsia"/>
                          </w:rPr>
                          <w:t>指</w:t>
                        </w:r>
                      </w:p>
                    </w:sdtContent>
                  </w:sdt>
                </w:tc>
                <w:sdt>
                  <w:sdtPr>
                    <w:rPr>
                      <w:rFonts w:hint="eastAsia"/>
                    </w:rPr>
                    <w:alias w:val="常用词语释义"/>
                    <w:tag w:val="_GBC_b625dd71b03542c3b074c2ce59de70ad"/>
                    <w:id w:val="450987382"/>
                    <w:lock w:val="sdtLocked"/>
                  </w:sdtPr>
                  <w:sdtEndPr/>
                  <w:sdtContent>
                    <w:tc>
                      <w:tcPr>
                        <w:tcW w:w="6388" w:type="dxa"/>
                      </w:tcPr>
                      <w:p w14:paraId="1B7FCF0D" w14:textId="77777777" w:rsidR="00B201D3" w:rsidRDefault="009855E8">
                        <w:r>
                          <w:rPr>
                            <w:rFonts w:hint="eastAsia"/>
                          </w:rPr>
                          <w:t>兖矿融资租赁有限公司（原“中垠融资租赁有限公司”，</w:t>
                        </w:r>
                        <w:r>
                          <w:rPr>
                            <w:rFonts w:hint="eastAsia"/>
                          </w:rPr>
                          <w:t>2023</w:t>
                        </w:r>
                        <w:r>
                          <w:rPr>
                            <w:rFonts w:hint="eastAsia"/>
                          </w:rPr>
                          <w:t>年</w:t>
                        </w:r>
                        <w:r>
                          <w:rPr>
                            <w:rFonts w:hint="eastAsia"/>
                          </w:rPr>
                          <w:t>3</w:t>
                        </w:r>
                        <w:r>
                          <w:rPr>
                            <w:rFonts w:hint="eastAsia"/>
                          </w:rPr>
                          <w:t>月更名为“兖矿融资租赁有限公司”），于</w:t>
                        </w:r>
                        <w:r>
                          <w:rPr>
                            <w:rFonts w:hint="eastAsia"/>
                          </w:rPr>
                          <w:t>2014</w:t>
                        </w:r>
                        <w:r>
                          <w:rPr>
                            <w:rFonts w:hint="eastAsia"/>
                          </w:rPr>
                          <w:t>年依据中国法律成立的有限责任公司，主要从事融资租赁业务、租赁业务、租赁交易咨询和担保、与主营业务有关的商业保理业务等，是本公司的全资附属公司；</w:t>
                        </w:r>
                      </w:p>
                    </w:tc>
                  </w:sdtContent>
                </w:sdt>
              </w:tr>
            </w:sdtContent>
          </w:sdt>
          <w:sdt>
            <w:sdtPr>
              <w:rPr>
                <w:rFonts w:ascii="宋体" w:hAnsi="宋体" w:hint="eastAsia"/>
              </w:rPr>
              <w:alias w:val="释义"/>
              <w:tag w:val="_GBC_ca5c2cb7a4e545e2b2d9d1b94b528746"/>
              <w:id w:val="1871727983"/>
              <w:lock w:val="sdtLocked"/>
              <w:placeholder>
                <w:docPart w:val="424DE108886B4272859AA138A3B5346F"/>
              </w:placeholder>
            </w:sdtPr>
            <w:sdtEndPr/>
            <w:sdtContent>
              <w:tr w:rsidR="00B201D3" w14:paraId="51158D84" w14:textId="77777777">
                <w:tc>
                  <w:tcPr>
                    <w:tcW w:w="2235" w:type="dxa"/>
                    <w:vAlign w:val="center"/>
                  </w:tcPr>
                  <w:p w14:paraId="04C93691" w14:textId="77777777" w:rsidR="00B201D3" w:rsidRDefault="009855E8">
                    <w:r>
                      <w:rPr>
                        <w:rFonts w:hint="eastAsia"/>
                      </w:rPr>
                      <w:t>“兖矿财司”</w:t>
                    </w:r>
                  </w:p>
                </w:tc>
                <w:tc>
                  <w:tcPr>
                    <w:tcW w:w="425" w:type="dxa"/>
                  </w:tcPr>
                  <w:sdt>
                    <w:sdtPr>
                      <w:rPr>
                        <w:rFonts w:hint="eastAsia"/>
                      </w:rPr>
                      <w:tag w:val="_PLD_289cf7e5c3a845d59c038a21dcd4a571"/>
                      <w:id w:val="1475564634"/>
                      <w:lock w:val="sdtLocked"/>
                    </w:sdtPr>
                    <w:sdtEndPr/>
                    <w:sdtContent>
                      <w:p w14:paraId="363F166B" w14:textId="77777777" w:rsidR="00B201D3" w:rsidRDefault="009855E8">
                        <w:pPr>
                          <w:jc w:val="center"/>
                          <w:rPr>
                            <w:highlight w:val="lightGray"/>
                          </w:rPr>
                        </w:pPr>
                        <w:r>
                          <w:rPr>
                            <w:rFonts w:hint="eastAsia"/>
                          </w:rPr>
                          <w:t>指</w:t>
                        </w:r>
                      </w:p>
                    </w:sdtContent>
                  </w:sdt>
                </w:tc>
                <w:sdt>
                  <w:sdtPr>
                    <w:rPr>
                      <w:rFonts w:hint="eastAsia"/>
                    </w:rPr>
                    <w:alias w:val="常用词语释义"/>
                    <w:tag w:val="_GBC_b625dd71b03542c3b074c2ce59de70ad"/>
                    <w:id w:val="1616242893"/>
                    <w:lock w:val="sdtLocked"/>
                  </w:sdtPr>
                  <w:sdtEndPr/>
                  <w:sdtContent>
                    <w:tc>
                      <w:tcPr>
                        <w:tcW w:w="6388" w:type="dxa"/>
                      </w:tcPr>
                      <w:p w14:paraId="2D4BD420" w14:textId="77777777" w:rsidR="00B201D3" w:rsidRDefault="009855E8">
                        <w:r>
                          <w:rPr>
                            <w:rFonts w:hint="eastAsia"/>
                          </w:rPr>
                          <w:t>兖矿集团财务有限公司，于</w:t>
                        </w:r>
                        <w:r>
                          <w:rPr>
                            <w:rFonts w:hint="eastAsia"/>
                          </w:rPr>
                          <w:t>2010</w:t>
                        </w:r>
                        <w:r>
                          <w:rPr>
                            <w:rFonts w:hint="eastAsia"/>
                          </w:rPr>
                          <w:t>年依据中国法律成立的有限责任公司，是本公司的控股子公司，于本报告期末本公司持有其</w:t>
                        </w:r>
                        <w:r>
                          <w:rPr>
                            <w:rFonts w:hint="eastAsia"/>
                          </w:rPr>
                          <w:t>95%</w:t>
                        </w:r>
                        <w:r>
                          <w:rPr>
                            <w:rFonts w:hint="eastAsia"/>
                          </w:rPr>
                          <w:t>股权；</w:t>
                        </w:r>
                      </w:p>
                    </w:tc>
                  </w:sdtContent>
                </w:sdt>
              </w:tr>
            </w:sdtContent>
          </w:sdt>
          <w:sdt>
            <w:sdtPr>
              <w:rPr>
                <w:rFonts w:ascii="宋体" w:hAnsi="宋体" w:hint="eastAsia"/>
              </w:rPr>
              <w:alias w:val="释义"/>
              <w:tag w:val="_GBC_ca5c2cb7a4e545e2b2d9d1b94b528746"/>
              <w:id w:val="-2088912242"/>
              <w:lock w:val="sdtLocked"/>
              <w:placeholder>
                <w:docPart w:val="424DE108886B4272859AA138A3B5346F"/>
              </w:placeholder>
            </w:sdtPr>
            <w:sdtEndPr/>
            <w:sdtContent>
              <w:tr w:rsidR="00B201D3" w14:paraId="7438BD36" w14:textId="77777777">
                <w:tc>
                  <w:tcPr>
                    <w:tcW w:w="2235" w:type="dxa"/>
                    <w:vAlign w:val="center"/>
                  </w:tcPr>
                  <w:p w14:paraId="42E2DC24" w14:textId="77777777" w:rsidR="00B201D3" w:rsidRDefault="009855E8">
                    <w:r>
                      <w:rPr>
                        <w:rFonts w:hint="eastAsia"/>
                      </w:rPr>
                      <w:t>“兖煤澳洲”</w:t>
                    </w:r>
                  </w:p>
                </w:tc>
                <w:tc>
                  <w:tcPr>
                    <w:tcW w:w="425" w:type="dxa"/>
                  </w:tcPr>
                  <w:sdt>
                    <w:sdtPr>
                      <w:rPr>
                        <w:rFonts w:hint="eastAsia"/>
                      </w:rPr>
                      <w:tag w:val="_PLD_289cf7e5c3a845d59c038a21dcd4a571"/>
                      <w:id w:val="-285358748"/>
                      <w:lock w:val="sdtLocked"/>
                    </w:sdtPr>
                    <w:sdtEndPr/>
                    <w:sdtContent>
                      <w:p w14:paraId="14242D18" w14:textId="77777777" w:rsidR="00B201D3" w:rsidRDefault="009855E8">
                        <w:pPr>
                          <w:jc w:val="center"/>
                          <w:rPr>
                            <w:highlight w:val="lightGray"/>
                          </w:rPr>
                        </w:pPr>
                        <w:r>
                          <w:rPr>
                            <w:rFonts w:hint="eastAsia"/>
                          </w:rPr>
                          <w:t>指</w:t>
                        </w:r>
                      </w:p>
                    </w:sdtContent>
                  </w:sdt>
                </w:tc>
                <w:sdt>
                  <w:sdtPr>
                    <w:rPr>
                      <w:rFonts w:hint="eastAsia"/>
                    </w:rPr>
                    <w:alias w:val="常用词语释义"/>
                    <w:tag w:val="_GBC_b625dd71b03542c3b074c2ce59de70ad"/>
                    <w:id w:val="-365289922"/>
                    <w:lock w:val="sdtLocked"/>
                  </w:sdtPr>
                  <w:sdtEndPr/>
                  <w:sdtContent>
                    <w:tc>
                      <w:tcPr>
                        <w:tcW w:w="6388" w:type="dxa"/>
                      </w:tcPr>
                      <w:p w14:paraId="4AE2A74B" w14:textId="77777777" w:rsidR="00B201D3" w:rsidRDefault="009855E8">
                        <w:r>
                          <w:rPr>
                            <w:rFonts w:hint="eastAsia"/>
                          </w:rPr>
                          <w:t>兖煤澳大利亚有限公司，于</w:t>
                        </w:r>
                        <w:r>
                          <w:rPr>
                            <w:rFonts w:hint="eastAsia"/>
                          </w:rPr>
                          <w:t>2004</w:t>
                        </w:r>
                        <w:r>
                          <w:rPr>
                            <w:rFonts w:hint="eastAsia"/>
                          </w:rPr>
                          <w:t>年依据澳大利亚法律成立的有限</w:t>
                        </w:r>
                        <w:r>
                          <w:rPr>
                            <w:rFonts w:hint="eastAsia"/>
                          </w:rPr>
                          <w:lastRenderedPageBreak/>
                          <w:t>公司，其股份分别在澳大利亚证券交易所及香港联交所上市，是本公司的控股子公司，于本报告期末本公司持有其约</w:t>
                        </w:r>
                        <w:r>
                          <w:rPr>
                            <w:rFonts w:hint="eastAsia"/>
                          </w:rPr>
                          <w:t>62.26%</w:t>
                        </w:r>
                        <w:r>
                          <w:rPr>
                            <w:rFonts w:hint="eastAsia"/>
                          </w:rPr>
                          <w:t>股权；</w:t>
                        </w:r>
                      </w:p>
                    </w:tc>
                  </w:sdtContent>
                </w:sdt>
              </w:tr>
            </w:sdtContent>
          </w:sdt>
          <w:sdt>
            <w:sdtPr>
              <w:rPr>
                <w:rFonts w:ascii="宋体" w:hAnsi="宋体" w:hint="eastAsia"/>
              </w:rPr>
              <w:alias w:val="释义"/>
              <w:tag w:val="_GBC_ca5c2cb7a4e545e2b2d9d1b94b528746"/>
              <w:id w:val="-827508018"/>
              <w:lock w:val="sdtLocked"/>
              <w:placeholder>
                <w:docPart w:val="424DE108886B4272859AA138A3B5346F"/>
              </w:placeholder>
            </w:sdtPr>
            <w:sdtEndPr/>
            <w:sdtContent>
              <w:tr w:rsidR="00B201D3" w14:paraId="75F15790" w14:textId="77777777">
                <w:tc>
                  <w:tcPr>
                    <w:tcW w:w="2235" w:type="dxa"/>
                    <w:vAlign w:val="center"/>
                  </w:tcPr>
                  <w:p w14:paraId="3FBFC012" w14:textId="77777777" w:rsidR="00B201D3" w:rsidRDefault="009855E8">
                    <w:r>
                      <w:rPr>
                        <w:rFonts w:hint="eastAsia"/>
                      </w:rPr>
                      <w:t>“兖煤国际”</w:t>
                    </w:r>
                  </w:p>
                </w:tc>
                <w:tc>
                  <w:tcPr>
                    <w:tcW w:w="425" w:type="dxa"/>
                  </w:tcPr>
                  <w:sdt>
                    <w:sdtPr>
                      <w:rPr>
                        <w:rFonts w:hint="eastAsia"/>
                      </w:rPr>
                      <w:tag w:val="_PLD_289cf7e5c3a845d59c038a21dcd4a571"/>
                      <w:id w:val="1289547848"/>
                      <w:lock w:val="sdtLocked"/>
                    </w:sdtPr>
                    <w:sdtEndPr/>
                    <w:sdtContent>
                      <w:p w14:paraId="3A384B54" w14:textId="77777777" w:rsidR="00B201D3" w:rsidRDefault="009855E8">
                        <w:pPr>
                          <w:jc w:val="center"/>
                          <w:rPr>
                            <w:highlight w:val="lightGray"/>
                          </w:rPr>
                        </w:pPr>
                        <w:r>
                          <w:rPr>
                            <w:rFonts w:hint="eastAsia"/>
                          </w:rPr>
                          <w:t>指</w:t>
                        </w:r>
                      </w:p>
                    </w:sdtContent>
                  </w:sdt>
                </w:tc>
                <w:sdt>
                  <w:sdtPr>
                    <w:rPr>
                      <w:rFonts w:hint="eastAsia"/>
                    </w:rPr>
                    <w:alias w:val="常用词语释义"/>
                    <w:tag w:val="_GBC_b625dd71b03542c3b074c2ce59de70ad"/>
                    <w:id w:val="2043784619"/>
                    <w:lock w:val="sdtLocked"/>
                  </w:sdtPr>
                  <w:sdtEndPr/>
                  <w:sdtContent>
                    <w:tc>
                      <w:tcPr>
                        <w:tcW w:w="6388" w:type="dxa"/>
                      </w:tcPr>
                      <w:p w14:paraId="1CAEB8B9" w14:textId="77777777" w:rsidR="00B201D3" w:rsidRDefault="009855E8">
                        <w:r>
                          <w:rPr>
                            <w:rFonts w:hint="eastAsia"/>
                          </w:rPr>
                          <w:t>兖煤国际</w:t>
                        </w:r>
                        <w:r>
                          <w:rPr>
                            <w:rFonts w:hint="eastAsia"/>
                          </w:rPr>
                          <w:t>(</w:t>
                        </w:r>
                        <w:r>
                          <w:rPr>
                            <w:rFonts w:hint="eastAsia"/>
                          </w:rPr>
                          <w:t>控股</w:t>
                        </w:r>
                        <w:r>
                          <w:rPr>
                            <w:rFonts w:hint="eastAsia"/>
                          </w:rPr>
                          <w:t>)</w:t>
                        </w:r>
                        <w:r>
                          <w:rPr>
                            <w:rFonts w:hint="eastAsia"/>
                          </w:rPr>
                          <w:t>有限公司，于</w:t>
                        </w:r>
                        <w:r>
                          <w:rPr>
                            <w:rFonts w:hint="eastAsia"/>
                          </w:rPr>
                          <w:t>2011</w:t>
                        </w:r>
                        <w:r>
                          <w:rPr>
                            <w:rFonts w:hint="eastAsia"/>
                          </w:rPr>
                          <w:t>年依据香港法律成立的有限公司，是本公司的全资子公司；</w:t>
                        </w:r>
                      </w:p>
                    </w:tc>
                  </w:sdtContent>
                </w:sdt>
              </w:tr>
            </w:sdtContent>
          </w:sdt>
          <w:sdt>
            <w:sdtPr>
              <w:rPr>
                <w:rFonts w:ascii="宋体" w:hAnsi="宋体" w:hint="eastAsia"/>
              </w:rPr>
              <w:alias w:val="释义"/>
              <w:tag w:val="_GBC_ca5c2cb7a4e545e2b2d9d1b94b528746"/>
              <w:id w:val="346145260"/>
              <w:lock w:val="sdtLocked"/>
              <w:placeholder>
                <w:docPart w:val="424DE108886B4272859AA138A3B5346F"/>
              </w:placeholder>
            </w:sdtPr>
            <w:sdtEndPr/>
            <w:sdtContent>
              <w:tr w:rsidR="00B201D3" w14:paraId="35309F57" w14:textId="77777777">
                <w:tc>
                  <w:tcPr>
                    <w:tcW w:w="2235" w:type="dxa"/>
                    <w:vAlign w:val="center"/>
                  </w:tcPr>
                  <w:p w14:paraId="46B91EA8" w14:textId="77777777" w:rsidR="00B201D3" w:rsidRDefault="009855E8">
                    <w:r>
                      <w:rPr>
                        <w:rFonts w:hint="eastAsia"/>
                      </w:rPr>
                      <w:t>“兖煤国际资源”</w:t>
                    </w:r>
                  </w:p>
                </w:tc>
                <w:tc>
                  <w:tcPr>
                    <w:tcW w:w="425" w:type="dxa"/>
                  </w:tcPr>
                  <w:sdt>
                    <w:sdtPr>
                      <w:rPr>
                        <w:rFonts w:hint="eastAsia"/>
                      </w:rPr>
                      <w:tag w:val="_PLD_289cf7e5c3a845d59c038a21dcd4a571"/>
                      <w:id w:val="1167138862"/>
                      <w:lock w:val="sdtLocked"/>
                    </w:sdtPr>
                    <w:sdtEndPr/>
                    <w:sdtContent>
                      <w:p w14:paraId="46D9E9E0" w14:textId="77777777" w:rsidR="00B201D3" w:rsidRDefault="009855E8">
                        <w:pPr>
                          <w:jc w:val="center"/>
                          <w:rPr>
                            <w:highlight w:val="lightGray"/>
                          </w:rPr>
                        </w:pPr>
                        <w:r>
                          <w:rPr>
                            <w:rFonts w:hint="eastAsia"/>
                          </w:rPr>
                          <w:t>指</w:t>
                        </w:r>
                      </w:p>
                    </w:sdtContent>
                  </w:sdt>
                </w:tc>
                <w:sdt>
                  <w:sdtPr>
                    <w:rPr>
                      <w:rFonts w:hint="eastAsia"/>
                    </w:rPr>
                    <w:alias w:val="常用词语释义"/>
                    <w:tag w:val="_GBC_b625dd71b03542c3b074c2ce59de70ad"/>
                    <w:id w:val="-466667177"/>
                    <w:lock w:val="sdtLocked"/>
                  </w:sdtPr>
                  <w:sdtEndPr/>
                  <w:sdtContent>
                    <w:tc>
                      <w:tcPr>
                        <w:tcW w:w="6388" w:type="dxa"/>
                      </w:tcPr>
                      <w:p w14:paraId="30EDFDDC" w14:textId="77777777" w:rsidR="00B201D3" w:rsidRDefault="009855E8">
                        <w:r>
                          <w:rPr>
                            <w:rFonts w:hint="eastAsia"/>
                          </w:rPr>
                          <w:t>兖煤国际资源开发有限公司，于</w:t>
                        </w:r>
                        <w:r>
                          <w:rPr>
                            <w:rFonts w:hint="eastAsia"/>
                          </w:rPr>
                          <w:t>2011</w:t>
                        </w:r>
                        <w:r>
                          <w:rPr>
                            <w:rFonts w:hint="eastAsia"/>
                          </w:rPr>
                          <w:t>年依据香港法律成立的有限公司，是兖煤国际的全资子公司；</w:t>
                        </w:r>
                      </w:p>
                    </w:tc>
                  </w:sdtContent>
                </w:sdt>
              </w:tr>
            </w:sdtContent>
          </w:sdt>
          <w:sdt>
            <w:sdtPr>
              <w:rPr>
                <w:rFonts w:ascii="宋体" w:hAnsi="宋体" w:hint="eastAsia"/>
              </w:rPr>
              <w:alias w:val="释义"/>
              <w:tag w:val="_GBC_ca5c2cb7a4e545e2b2d9d1b94b528746"/>
              <w:id w:val="-500892428"/>
              <w:lock w:val="sdtLocked"/>
              <w:placeholder>
                <w:docPart w:val="424DE108886B4272859AA138A3B5346F"/>
              </w:placeholder>
            </w:sdtPr>
            <w:sdtEndPr/>
            <w:sdtContent>
              <w:tr w:rsidR="00B201D3" w14:paraId="302D53D9" w14:textId="77777777">
                <w:tc>
                  <w:tcPr>
                    <w:tcW w:w="2235" w:type="dxa"/>
                    <w:vAlign w:val="center"/>
                  </w:tcPr>
                  <w:p w14:paraId="255D8BD9" w14:textId="77777777" w:rsidR="00B201D3" w:rsidRDefault="009855E8">
                    <w:r>
                      <w:rPr>
                        <w:rFonts w:hint="eastAsia"/>
                      </w:rPr>
                      <w:t>“</w:t>
                    </w:r>
                    <w:r>
                      <w:rPr>
                        <w:rFonts w:hint="eastAsia"/>
                      </w:rPr>
                      <w:t>H</w:t>
                    </w:r>
                    <w:r>
                      <w:rPr>
                        <w:rFonts w:hint="eastAsia"/>
                      </w:rPr>
                      <w:t>股”</w:t>
                    </w:r>
                  </w:p>
                </w:tc>
                <w:tc>
                  <w:tcPr>
                    <w:tcW w:w="425" w:type="dxa"/>
                  </w:tcPr>
                  <w:sdt>
                    <w:sdtPr>
                      <w:rPr>
                        <w:rFonts w:hint="eastAsia"/>
                      </w:rPr>
                      <w:tag w:val="_PLD_289cf7e5c3a845d59c038a21dcd4a571"/>
                      <w:id w:val="-605818979"/>
                      <w:lock w:val="sdtLocked"/>
                    </w:sdtPr>
                    <w:sdtEndPr/>
                    <w:sdtContent>
                      <w:p w14:paraId="10CAC300" w14:textId="77777777" w:rsidR="00B201D3" w:rsidRDefault="009855E8">
                        <w:pPr>
                          <w:jc w:val="center"/>
                          <w:rPr>
                            <w:highlight w:val="lightGray"/>
                          </w:rPr>
                        </w:pPr>
                        <w:r>
                          <w:rPr>
                            <w:rFonts w:hint="eastAsia"/>
                          </w:rPr>
                          <w:t>指</w:t>
                        </w:r>
                      </w:p>
                    </w:sdtContent>
                  </w:sdt>
                </w:tc>
                <w:sdt>
                  <w:sdtPr>
                    <w:rPr>
                      <w:rFonts w:hint="eastAsia"/>
                    </w:rPr>
                    <w:alias w:val="常用词语释义"/>
                    <w:tag w:val="_GBC_b625dd71b03542c3b074c2ce59de70ad"/>
                    <w:id w:val="-1027564438"/>
                    <w:lock w:val="sdtLocked"/>
                  </w:sdtPr>
                  <w:sdtEndPr/>
                  <w:sdtContent>
                    <w:tc>
                      <w:tcPr>
                        <w:tcW w:w="6388" w:type="dxa"/>
                      </w:tcPr>
                      <w:p w14:paraId="4DA78F32" w14:textId="77777777" w:rsidR="00B201D3" w:rsidRDefault="009855E8">
                        <w:r>
                          <w:rPr>
                            <w:rFonts w:hint="eastAsia"/>
                          </w:rPr>
                          <w:t>本公司股本中每股面值人民币</w:t>
                        </w:r>
                        <w:r>
                          <w:rPr>
                            <w:rFonts w:hint="eastAsia"/>
                          </w:rPr>
                          <w:t>1.00</w:t>
                        </w:r>
                        <w:r>
                          <w:rPr>
                            <w:rFonts w:hint="eastAsia"/>
                          </w:rPr>
                          <w:t>元的境外上市外资股，在香港联交所上市；</w:t>
                        </w:r>
                      </w:p>
                    </w:tc>
                  </w:sdtContent>
                </w:sdt>
              </w:tr>
            </w:sdtContent>
          </w:sdt>
          <w:sdt>
            <w:sdtPr>
              <w:rPr>
                <w:rFonts w:ascii="宋体" w:hAnsi="宋体" w:hint="eastAsia"/>
              </w:rPr>
              <w:alias w:val="释义"/>
              <w:tag w:val="_GBC_ca5c2cb7a4e545e2b2d9d1b94b528746"/>
              <w:id w:val="-1280944949"/>
              <w:lock w:val="sdtLocked"/>
              <w:placeholder>
                <w:docPart w:val="424DE108886B4272859AA138A3B5346F"/>
              </w:placeholder>
            </w:sdtPr>
            <w:sdtEndPr/>
            <w:sdtContent>
              <w:tr w:rsidR="00B201D3" w14:paraId="353F370F" w14:textId="77777777">
                <w:tc>
                  <w:tcPr>
                    <w:tcW w:w="2235" w:type="dxa"/>
                    <w:vAlign w:val="center"/>
                  </w:tcPr>
                  <w:p w14:paraId="55F667C6" w14:textId="77777777" w:rsidR="00B201D3" w:rsidRDefault="009855E8">
                    <w:r>
                      <w:rPr>
                        <w:rFonts w:hint="eastAsia"/>
                      </w:rPr>
                      <w:t>“</w:t>
                    </w:r>
                    <w:r>
                      <w:rPr>
                        <w:rFonts w:hint="eastAsia"/>
                      </w:rPr>
                      <w:t>A</w:t>
                    </w:r>
                    <w:r>
                      <w:rPr>
                        <w:rFonts w:hint="eastAsia"/>
                      </w:rPr>
                      <w:t>股”</w:t>
                    </w:r>
                  </w:p>
                </w:tc>
                <w:tc>
                  <w:tcPr>
                    <w:tcW w:w="425" w:type="dxa"/>
                  </w:tcPr>
                  <w:sdt>
                    <w:sdtPr>
                      <w:rPr>
                        <w:rFonts w:hint="eastAsia"/>
                      </w:rPr>
                      <w:tag w:val="_PLD_289cf7e5c3a845d59c038a21dcd4a571"/>
                      <w:id w:val="-1798671874"/>
                      <w:lock w:val="sdtLocked"/>
                    </w:sdtPr>
                    <w:sdtEndPr/>
                    <w:sdtContent>
                      <w:p w14:paraId="68F7FCC1" w14:textId="77777777" w:rsidR="00B201D3" w:rsidRDefault="009855E8">
                        <w:pPr>
                          <w:jc w:val="center"/>
                          <w:rPr>
                            <w:highlight w:val="lightGray"/>
                          </w:rPr>
                        </w:pPr>
                        <w:r>
                          <w:rPr>
                            <w:rFonts w:hint="eastAsia"/>
                          </w:rPr>
                          <w:t>指</w:t>
                        </w:r>
                      </w:p>
                    </w:sdtContent>
                  </w:sdt>
                </w:tc>
                <w:sdt>
                  <w:sdtPr>
                    <w:rPr>
                      <w:rFonts w:hint="eastAsia"/>
                    </w:rPr>
                    <w:alias w:val="常用词语释义"/>
                    <w:tag w:val="_GBC_b625dd71b03542c3b074c2ce59de70ad"/>
                    <w:id w:val="-2043430081"/>
                    <w:lock w:val="sdtLocked"/>
                  </w:sdtPr>
                  <w:sdtEndPr/>
                  <w:sdtContent>
                    <w:tc>
                      <w:tcPr>
                        <w:tcW w:w="6388" w:type="dxa"/>
                      </w:tcPr>
                      <w:p w14:paraId="0CA8728D" w14:textId="77777777" w:rsidR="00B201D3" w:rsidRDefault="009855E8">
                        <w:r>
                          <w:rPr>
                            <w:rFonts w:hint="eastAsia"/>
                          </w:rPr>
                          <w:t>本公司股本中每股面值人民币</w:t>
                        </w:r>
                        <w:r>
                          <w:rPr>
                            <w:rFonts w:hint="eastAsia"/>
                          </w:rPr>
                          <w:t>1.00</w:t>
                        </w:r>
                        <w:r>
                          <w:rPr>
                            <w:rFonts w:hint="eastAsia"/>
                          </w:rPr>
                          <w:t>元的内资股，在上交所上市；</w:t>
                        </w:r>
                      </w:p>
                    </w:tc>
                  </w:sdtContent>
                </w:sdt>
              </w:tr>
            </w:sdtContent>
          </w:sdt>
          <w:sdt>
            <w:sdtPr>
              <w:rPr>
                <w:rFonts w:ascii="宋体" w:hAnsi="宋体" w:hint="eastAsia"/>
              </w:rPr>
              <w:alias w:val="释义"/>
              <w:tag w:val="_GBC_ca5c2cb7a4e545e2b2d9d1b94b528746"/>
              <w:id w:val="-2030937826"/>
              <w:lock w:val="sdtLocked"/>
              <w:placeholder>
                <w:docPart w:val="424DE108886B4272859AA138A3B5346F"/>
              </w:placeholder>
            </w:sdtPr>
            <w:sdtEndPr/>
            <w:sdtContent>
              <w:tr w:rsidR="00B201D3" w14:paraId="5EFAB432" w14:textId="77777777">
                <w:tc>
                  <w:tcPr>
                    <w:tcW w:w="2235" w:type="dxa"/>
                    <w:vAlign w:val="center"/>
                  </w:tcPr>
                  <w:p w14:paraId="552FF7E4" w14:textId="77777777" w:rsidR="00B201D3" w:rsidRDefault="009855E8">
                    <w:r>
                      <w:rPr>
                        <w:rFonts w:hint="eastAsia"/>
                      </w:rPr>
                      <w:t>“中国”</w:t>
                    </w:r>
                  </w:p>
                </w:tc>
                <w:tc>
                  <w:tcPr>
                    <w:tcW w:w="425" w:type="dxa"/>
                  </w:tcPr>
                  <w:sdt>
                    <w:sdtPr>
                      <w:rPr>
                        <w:rFonts w:hint="eastAsia"/>
                      </w:rPr>
                      <w:tag w:val="_PLD_289cf7e5c3a845d59c038a21dcd4a571"/>
                      <w:id w:val="957616048"/>
                      <w:lock w:val="sdtLocked"/>
                    </w:sdtPr>
                    <w:sdtEndPr/>
                    <w:sdtContent>
                      <w:p w14:paraId="2C45BD92" w14:textId="77777777" w:rsidR="00B201D3" w:rsidRDefault="009855E8">
                        <w:pPr>
                          <w:jc w:val="center"/>
                          <w:rPr>
                            <w:highlight w:val="lightGray"/>
                          </w:rPr>
                        </w:pPr>
                        <w:r>
                          <w:rPr>
                            <w:rFonts w:hint="eastAsia"/>
                          </w:rPr>
                          <w:t>指</w:t>
                        </w:r>
                      </w:p>
                    </w:sdtContent>
                  </w:sdt>
                </w:tc>
                <w:sdt>
                  <w:sdtPr>
                    <w:rPr>
                      <w:rFonts w:hint="eastAsia"/>
                    </w:rPr>
                    <w:alias w:val="常用词语释义"/>
                    <w:tag w:val="_GBC_b625dd71b03542c3b074c2ce59de70ad"/>
                    <w:id w:val="294343124"/>
                    <w:lock w:val="sdtLocked"/>
                  </w:sdtPr>
                  <w:sdtEndPr/>
                  <w:sdtContent>
                    <w:tc>
                      <w:tcPr>
                        <w:tcW w:w="6388" w:type="dxa"/>
                      </w:tcPr>
                      <w:p w14:paraId="0A86586B" w14:textId="77777777" w:rsidR="00B201D3" w:rsidRDefault="009855E8">
                        <w:r>
                          <w:rPr>
                            <w:rFonts w:hint="eastAsia"/>
                          </w:rPr>
                          <w:t>中华人民共和国；</w:t>
                        </w:r>
                      </w:p>
                    </w:tc>
                  </w:sdtContent>
                </w:sdt>
              </w:tr>
            </w:sdtContent>
          </w:sdt>
          <w:sdt>
            <w:sdtPr>
              <w:rPr>
                <w:rFonts w:ascii="宋体" w:hAnsi="宋体" w:hint="eastAsia"/>
              </w:rPr>
              <w:alias w:val="释义"/>
              <w:tag w:val="_GBC_ca5c2cb7a4e545e2b2d9d1b94b528746"/>
              <w:id w:val="-1480835252"/>
              <w:lock w:val="sdtLocked"/>
              <w:placeholder>
                <w:docPart w:val="424DE108886B4272859AA138A3B5346F"/>
              </w:placeholder>
            </w:sdtPr>
            <w:sdtEndPr/>
            <w:sdtContent>
              <w:tr w:rsidR="00B201D3" w14:paraId="0BEFABC6" w14:textId="77777777">
                <w:tc>
                  <w:tcPr>
                    <w:tcW w:w="2235" w:type="dxa"/>
                    <w:vAlign w:val="center"/>
                  </w:tcPr>
                  <w:p w14:paraId="52DFCC43" w14:textId="77777777" w:rsidR="00B201D3" w:rsidRDefault="009855E8">
                    <w:r>
                      <w:rPr>
                        <w:rFonts w:hint="eastAsia"/>
                      </w:rPr>
                      <w:t>“香港”</w:t>
                    </w:r>
                  </w:p>
                </w:tc>
                <w:tc>
                  <w:tcPr>
                    <w:tcW w:w="425" w:type="dxa"/>
                  </w:tcPr>
                  <w:sdt>
                    <w:sdtPr>
                      <w:rPr>
                        <w:rFonts w:hint="eastAsia"/>
                      </w:rPr>
                      <w:tag w:val="_PLD_289cf7e5c3a845d59c038a21dcd4a571"/>
                      <w:id w:val="947502692"/>
                      <w:lock w:val="sdtLocked"/>
                    </w:sdtPr>
                    <w:sdtEndPr/>
                    <w:sdtContent>
                      <w:p w14:paraId="6EAC07F8" w14:textId="77777777" w:rsidR="00B201D3" w:rsidRDefault="009855E8">
                        <w:pPr>
                          <w:jc w:val="center"/>
                          <w:rPr>
                            <w:highlight w:val="lightGray"/>
                          </w:rPr>
                        </w:pPr>
                        <w:r>
                          <w:rPr>
                            <w:rFonts w:hint="eastAsia"/>
                          </w:rPr>
                          <w:t>指</w:t>
                        </w:r>
                      </w:p>
                    </w:sdtContent>
                  </w:sdt>
                </w:tc>
                <w:sdt>
                  <w:sdtPr>
                    <w:rPr>
                      <w:rFonts w:hint="eastAsia"/>
                    </w:rPr>
                    <w:alias w:val="常用词语释义"/>
                    <w:tag w:val="_GBC_b625dd71b03542c3b074c2ce59de70ad"/>
                    <w:id w:val="2017959683"/>
                    <w:lock w:val="sdtLocked"/>
                  </w:sdtPr>
                  <w:sdtEndPr/>
                  <w:sdtContent>
                    <w:tc>
                      <w:tcPr>
                        <w:tcW w:w="6388" w:type="dxa"/>
                      </w:tcPr>
                      <w:p w14:paraId="58BAA8EF" w14:textId="77777777" w:rsidR="00B201D3" w:rsidRDefault="009855E8">
                        <w:r>
                          <w:rPr>
                            <w:rFonts w:hint="eastAsia"/>
                          </w:rPr>
                          <w:t>中华人民共和国香港特别行政区；</w:t>
                        </w:r>
                      </w:p>
                    </w:tc>
                  </w:sdtContent>
                </w:sdt>
              </w:tr>
            </w:sdtContent>
          </w:sdt>
          <w:sdt>
            <w:sdtPr>
              <w:rPr>
                <w:rFonts w:ascii="宋体" w:hAnsi="宋体" w:hint="eastAsia"/>
              </w:rPr>
              <w:alias w:val="释义"/>
              <w:tag w:val="_GBC_ca5c2cb7a4e545e2b2d9d1b94b528746"/>
              <w:id w:val="-1660455117"/>
              <w:lock w:val="sdtLocked"/>
              <w:placeholder>
                <w:docPart w:val="424DE108886B4272859AA138A3B5346F"/>
              </w:placeholder>
            </w:sdtPr>
            <w:sdtEndPr/>
            <w:sdtContent>
              <w:tr w:rsidR="00B201D3" w14:paraId="085A2B8B" w14:textId="77777777">
                <w:tc>
                  <w:tcPr>
                    <w:tcW w:w="2235" w:type="dxa"/>
                    <w:vAlign w:val="center"/>
                  </w:tcPr>
                  <w:p w14:paraId="049D8155" w14:textId="77777777" w:rsidR="00B201D3" w:rsidRDefault="009855E8">
                    <w:r>
                      <w:rPr>
                        <w:rFonts w:hint="eastAsia"/>
                      </w:rPr>
                      <w:t>“中国会计准则”</w:t>
                    </w:r>
                  </w:p>
                </w:tc>
                <w:tc>
                  <w:tcPr>
                    <w:tcW w:w="425" w:type="dxa"/>
                  </w:tcPr>
                  <w:sdt>
                    <w:sdtPr>
                      <w:rPr>
                        <w:rFonts w:hint="eastAsia"/>
                      </w:rPr>
                      <w:tag w:val="_PLD_289cf7e5c3a845d59c038a21dcd4a571"/>
                      <w:id w:val="-1633705190"/>
                      <w:lock w:val="sdtLocked"/>
                    </w:sdtPr>
                    <w:sdtEndPr/>
                    <w:sdtContent>
                      <w:p w14:paraId="29774869" w14:textId="77777777" w:rsidR="00B201D3" w:rsidRDefault="009855E8">
                        <w:pPr>
                          <w:jc w:val="center"/>
                          <w:rPr>
                            <w:highlight w:val="lightGray"/>
                          </w:rPr>
                        </w:pPr>
                        <w:r>
                          <w:rPr>
                            <w:rFonts w:hint="eastAsia"/>
                          </w:rPr>
                          <w:t>指</w:t>
                        </w:r>
                      </w:p>
                    </w:sdtContent>
                  </w:sdt>
                </w:tc>
                <w:sdt>
                  <w:sdtPr>
                    <w:rPr>
                      <w:rFonts w:hint="eastAsia"/>
                    </w:rPr>
                    <w:alias w:val="常用词语释义"/>
                    <w:tag w:val="_GBC_b625dd71b03542c3b074c2ce59de70ad"/>
                    <w:id w:val="587279382"/>
                    <w:lock w:val="sdtLocked"/>
                  </w:sdtPr>
                  <w:sdtEndPr/>
                  <w:sdtContent>
                    <w:tc>
                      <w:tcPr>
                        <w:tcW w:w="6388" w:type="dxa"/>
                      </w:tcPr>
                      <w:p w14:paraId="6021B644" w14:textId="77777777" w:rsidR="00B201D3" w:rsidRDefault="009855E8">
                        <w:r>
                          <w:rPr>
                            <w:rFonts w:hint="eastAsia"/>
                          </w:rPr>
                          <w:t>中国财政部颁发的企业会计准则及有关讲解；</w:t>
                        </w:r>
                      </w:p>
                    </w:tc>
                  </w:sdtContent>
                </w:sdt>
              </w:tr>
            </w:sdtContent>
          </w:sdt>
          <w:sdt>
            <w:sdtPr>
              <w:rPr>
                <w:rFonts w:ascii="宋体" w:hAnsi="宋体" w:hint="eastAsia"/>
              </w:rPr>
              <w:alias w:val="释义"/>
              <w:tag w:val="_GBC_ca5c2cb7a4e545e2b2d9d1b94b528746"/>
              <w:id w:val="-394972386"/>
              <w:lock w:val="sdtLocked"/>
              <w:placeholder>
                <w:docPart w:val="424DE108886B4272859AA138A3B5346F"/>
              </w:placeholder>
            </w:sdtPr>
            <w:sdtEndPr/>
            <w:sdtContent>
              <w:tr w:rsidR="00B201D3" w14:paraId="2040FBF1" w14:textId="77777777">
                <w:tc>
                  <w:tcPr>
                    <w:tcW w:w="2235" w:type="dxa"/>
                    <w:vAlign w:val="center"/>
                  </w:tcPr>
                  <w:p w14:paraId="06452900" w14:textId="77777777" w:rsidR="00B201D3" w:rsidRDefault="009855E8">
                    <w:r>
                      <w:rPr>
                        <w:rFonts w:hint="eastAsia"/>
                      </w:rPr>
                      <w:t>“国际财务报告准则”</w:t>
                    </w:r>
                  </w:p>
                </w:tc>
                <w:tc>
                  <w:tcPr>
                    <w:tcW w:w="425" w:type="dxa"/>
                  </w:tcPr>
                  <w:sdt>
                    <w:sdtPr>
                      <w:rPr>
                        <w:rFonts w:hint="eastAsia"/>
                      </w:rPr>
                      <w:tag w:val="_PLD_289cf7e5c3a845d59c038a21dcd4a571"/>
                      <w:id w:val="754946568"/>
                      <w:lock w:val="sdtLocked"/>
                    </w:sdtPr>
                    <w:sdtEndPr/>
                    <w:sdtContent>
                      <w:p w14:paraId="26428CA4" w14:textId="77777777" w:rsidR="00B201D3" w:rsidRDefault="009855E8">
                        <w:pPr>
                          <w:jc w:val="center"/>
                          <w:rPr>
                            <w:highlight w:val="lightGray"/>
                          </w:rPr>
                        </w:pPr>
                        <w:r>
                          <w:rPr>
                            <w:rFonts w:hint="eastAsia"/>
                          </w:rPr>
                          <w:t>指</w:t>
                        </w:r>
                      </w:p>
                    </w:sdtContent>
                  </w:sdt>
                </w:tc>
                <w:sdt>
                  <w:sdtPr>
                    <w:rPr>
                      <w:rFonts w:hint="eastAsia"/>
                    </w:rPr>
                    <w:alias w:val="常用词语释义"/>
                    <w:tag w:val="_GBC_b625dd71b03542c3b074c2ce59de70ad"/>
                    <w:id w:val="-1423406242"/>
                    <w:lock w:val="sdtLocked"/>
                  </w:sdtPr>
                  <w:sdtEndPr/>
                  <w:sdtContent>
                    <w:tc>
                      <w:tcPr>
                        <w:tcW w:w="6388" w:type="dxa"/>
                      </w:tcPr>
                      <w:p w14:paraId="621A266D" w14:textId="77777777" w:rsidR="00B201D3" w:rsidRDefault="009855E8">
                        <w:r>
                          <w:rPr>
                            <w:rFonts w:hint="eastAsia"/>
                          </w:rPr>
                          <w:t>国际会计准则理事会发布的国际财务报告准则；</w:t>
                        </w:r>
                      </w:p>
                    </w:tc>
                  </w:sdtContent>
                </w:sdt>
              </w:tr>
            </w:sdtContent>
          </w:sdt>
          <w:sdt>
            <w:sdtPr>
              <w:rPr>
                <w:rFonts w:ascii="宋体" w:hAnsi="宋体" w:hint="eastAsia"/>
              </w:rPr>
              <w:alias w:val="释义"/>
              <w:tag w:val="_GBC_ca5c2cb7a4e545e2b2d9d1b94b528746"/>
              <w:id w:val="528991479"/>
              <w:lock w:val="sdtLocked"/>
              <w:placeholder>
                <w:docPart w:val="424DE108886B4272859AA138A3B5346F"/>
              </w:placeholder>
            </w:sdtPr>
            <w:sdtEndPr/>
            <w:sdtContent>
              <w:tr w:rsidR="00B201D3" w14:paraId="7CCD539F" w14:textId="77777777">
                <w:tc>
                  <w:tcPr>
                    <w:tcW w:w="2235" w:type="dxa"/>
                    <w:vAlign w:val="center"/>
                  </w:tcPr>
                  <w:p w14:paraId="780E05F1" w14:textId="77777777" w:rsidR="00B201D3" w:rsidRDefault="009855E8">
                    <w:r>
                      <w:rPr>
                        <w:rFonts w:hint="eastAsia"/>
                      </w:rPr>
                      <w:t>“中国证监会”</w:t>
                    </w:r>
                  </w:p>
                </w:tc>
                <w:tc>
                  <w:tcPr>
                    <w:tcW w:w="425" w:type="dxa"/>
                  </w:tcPr>
                  <w:sdt>
                    <w:sdtPr>
                      <w:rPr>
                        <w:rFonts w:hint="eastAsia"/>
                      </w:rPr>
                      <w:tag w:val="_PLD_289cf7e5c3a845d59c038a21dcd4a571"/>
                      <w:id w:val="1621886765"/>
                      <w:lock w:val="sdtLocked"/>
                    </w:sdtPr>
                    <w:sdtEndPr/>
                    <w:sdtContent>
                      <w:p w14:paraId="4D06F3FF" w14:textId="77777777" w:rsidR="00B201D3" w:rsidRDefault="009855E8">
                        <w:pPr>
                          <w:jc w:val="center"/>
                          <w:rPr>
                            <w:highlight w:val="lightGray"/>
                          </w:rPr>
                        </w:pPr>
                        <w:r>
                          <w:rPr>
                            <w:rFonts w:hint="eastAsia"/>
                          </w:rPr>
                          <w:t>指</w:t>
                        </w:r>
                      </w:p>
                    </w:sdtContent>
                  </w:sdt>
                </w:tc>
                <w:sdt>
                  <w:sdtPr>
                    <w:rPr>
                      <w:rFonts w:hint="eastAsia"/>
                    </w:rPr>
                    <w:alias w:val="常用词语释义"/>
                    <w:tag w:val="_GBC_b625dd71b03542c3b074c2ce59de70ad"/>
                    <w:id w:val="-1728445538"/>
                    <w:lock w:val="sdtLocked"/>
                  </w:sdtPr>
                  <w:sdtEndPr/>
                  <w:sdtContent>
                    <w:tc>
                      <w:tcPr>
                        <w:tcW w:w="6388" w:type="dxa"/>
                      </w:tcPr>
                      <w:p w14:paraId="1ECB6ACF" w14:textId="77777777" w:rsidR="00B201D3" w:rsidRDefault="009855E8">
                        <w:r>
                          <w:rPr>
                            <w:rFonts w:hint="eastAsia"/>
                          </w:rPr>
                          <w:t>中国证券监督管理委员会；</w:t>
                        </w:r>
                      </w:p>
                    </w:tc>
                  </w:sdtContent>
                </w:sdt>
              </w:tr>
            </w:sdtContent>
          </w:sdt>
          <w:sdt>
            <w:sdtPr>
              <w:rPr>
                <w:rFonts w:ascii="宋体" w:hAnsi="宋体" w:hint="eastAsia"/>
              </w:rPr>
              <w:alias w:val="释义"/>
              <w:tag w:val="_GBC_ca5c2cb7a4e545e2b2d9d1b94b528746"/>
              <w:id w:val="1091903802"/>
              <w:lock w:val="sdtLocked"/>
              <w:placeholder>
                <w:docPart w:val="424DE108886B4272859AA138A3B5346F"/>
              </w:placeholder>
            </w:sdtPr>
            <w:sdtEndPr/>
            <w:sdtContent>
              <w:tr w:rsidR="00B201D3" w14:paraId="081E40A7" w14:textId="77777777">
                <w:tc>
                  <w:tcPr>
                    <w:tcW w:w="2235" w:type="dxa"/>
                    <w:vAlign w:val="center"/>
                  </w:tcPr>
                  <w:p w14:paraId="6C0E0574" w14:textId="77777777" w:rsidR="00B201D3" w:rsidRDefault="009855E8">
                    <w:r>
                      <w:rPr>
                        <w:rFonts w:hint="eastAsia"/>
                      </w:rPr>
                      <w:t>“香港上市规则”</w:t>
                    </w:r>
                  </w:p>
                </w:tc>
                <w:tc>
                  <w:tcPr>
                    <w:tcW w:w="425" w:type="dxa"/>
                  </w:tcPr>
                  <w:sdt>
                    <w:sdtPr>
                      <w:rPr>
                        <w:rFonts w:hint="eastAsia"/>
                      </w:rPr>
                      <w:tag w:val="_PLD_289cf7e5c3a845d59c038a21dcd4a571"/>
                      <w:id w:val="-1320109806"/>
                      <w:lock w:val="sdtLocked"/>
                    </w:sdtPr>
                    <w:sdtEndPr/>
                    <w:sdtContent>
                      <w:p w14:paraId="70F4155E" w14:textId="77777777" w:rsidR="00B201D3" w:rsidRDefault="009855E8">
                        <w:pPr>
                          <w:jc w:val="center"/>
                          <w:rPr>
                            <w:highlight w:val="lightGray"/>
                          </w:rPr>
                        </w:pPr>
                        <w:r>
                          <w:rPr>
                            <w:rFonts w:hint="eastAsia"/>
                          </w:rPr>
                          <w:t>指</w:t>
                        </w:r>
                      </w:p>
                    </w:sdtContent>
                  </w:sdt>
                </w:tc>
                <w:sdt>
                  <w:sdtPr>
                    <w:rPr>
                      <w:rFonts w:hint="eastAsia"/>
                    </w:rPr>
                    <w:alias w:val="常用词语释义"/>
                    <w:tag w:val="_GBC_b625dd71b03542c3b074c2ce59de70ad"/>
                    <w:id w:val="1042012610"/>
                    <w:lock w:val="sdtLocked"/>
                  </w:sdtPr>
                  <w:sdtEndPr/>
                  <w:sdtContent>
                    <w:tc>
                      <w:tcPr>
                        <w:tcW w:w="6388" w:type="dxa"/>
                      </w:tcPr>
                      <w:p w14:paraId="5EE4BC72" w14:textId="77777777" w:rsidR="00B201D3" w:rsidRDefault="009855E8">
                        <w:r>
                          <w:rPr>
                            <w:rFonts w:hint="eastAsia"/>
                          </w:rPr>
                          <w:t>香港联合交易所有限公司证券上市规则；</w:t>
                        </w:r>
                      </w:p>
                    </w:tc>
                  </w:sdtContent>
                </w:sdt>
              </w:tr>
            </w:sdtContent>
          </w:sdt>
          <w:sdt>
            <w:sdtPr>
              <w:rPr>
                <w:rFonts w:ascii="宋体" w:hAnsi="宋体" w:hint="eastAsia"/>
              </w:rPr>
              <w:alias w:val="释义"/>
              <w:tag w:val="_GBC_ca5c2cb7a4e545e2b2d9d1b94b528746"/>
              <w:id w:val="1598599107"/>
              <w:lock w:val="sdtLocked"/>
              <w:placeholder>
                <w:docPart w:val="424DE108886B4272859AA138A3B5346F"/>
              </w:placeholder>
            </w:sdtPr>
            <w:sdtEndPr/>
            <w:sdtContent>
              <w:tr w:rsidR="00B201D3" w14:paraId="68B66854" w14:textId="77777777">
                <w:tc>
                  <w:tcPr>
                    <w:tcW w:w="2235" w:type="dxa"/>
                    <w:vAlign w:val="center"/>
                  </w:tcPr>
                  <w:p w14:paraId="0BA2F4FA" w14:textId="77777777" w:rsidR="00B201D3" w:rsidRDefault="009855E8">
                    <w:r>
                      <w:rPr>
                        <w:rFonts w:hint="eastAsia"/>
                      </w:rPr>
                      <w:t>“香港联交所”</w:t>
                    </w:r>
                  </w:p>
                </w:tc>
                <w:tc>
                  <w:tcPr>
                    <w:tcW w:w="425" w:type="dxa"/>
                  </w:tcPr>
                  <w:sdt>
                    <w:sdtPr>
                      <w:rPr>
                        <w:rFonts w:hint="eastAsia"/>
                      </w:rPr>
                      <w:tag w:val="_PLD_289cf7e5c3a845d59c038a21dcd4a571"/>
                      <w:id w:val="-92167408"/>
                      <w:lock w:val="sdtLocked"/>
                    </w:sdtPr>
                    <w:sdtEndPr/>
                    <w:sdtContent>
                      <w:p w14:paraId="059CD80A" w14:textId="77777777" w:rsidR="00B201D3" w:rsidRDefault="009855E8">
                        <w:pPr>
                          <w:jc w:val="center"/>
                          <w:rPr>
                            <w:highlight w:val="lightGray"/>
                          </w:rPr>
                        </w:pPr>
                        <w:r>
                          <w:rPr>
                            <w:rFonts w:hint="eastAsia"/>
                          </w:rPr>
                          <w:t>指</w:t>
                        </w:r>
                      </w:p>
                    </w:sdtContent>
                  </w:sdt>
                </w:tc>
                <w:sdt>
                  <w:sdtPr>
                    <w:rPr>
                      <w:rFonts w:hint="eastAsia"/>
                    </w:rPr>
                    <w:alias w:val="常用词语释义"/>
                    <w:tag w:val="_GBC_b625dd71b03542c3b074c2ce59de70ad"/>
                    <w:id w:val="-237254560"/>
                    <w:lock w:val="sdtLocked"/>
                  </w:sdtPr>
                  <w:sdtEndPr/>
                  <w:sdtContent>
                    <w:tc>
                      <w:tcPr>
                        <w:tcW w:w="6388" w:type="dxa"/>
                      </w:tcPr>
                      <w:p w14:paraId="6D18BA77" w14:textId="77777777" w:rsidR="00B201D3" w:rsidRDefault="009855E8">
                        <w:r>
                          <w:rPr>
                            <w:rFonts w:hint="eastAsia"/>
                          </w:rPr>
                          <w:t>香港联合交易所有限公司；</w:t>
                        </w:r>
                      </w:p>
                    </w:tc>
                  </w:sdtContent>
                </w:sdt>
              </w:tr>
            </w:sdtContent>
          </w:sdt>
          <w:sdt>
            <w:sdtPr>
              <w:rPr>
                <w:rFonts w:ascii="宋体" w:hAnsi="宋体" w:hint="eastAsia"/>
              </w:rPr>
              <w:alias w:val="释义"/>
              <w:tag w:val="_GBC_ca5c2cb7a4e545e2b2d9d1b94b528746"/>
              <w:id w:val="1612715162"/>
              <w:lock w:val="sdtLocked"/>
              <w:placeholder>
                <w:docPart w:val="424DE108886B4272859AA138A3B5346F"/>
              </w:placeholder>
            </w:sdtPr>
            <w:sdtEndPr/>
            <w:sdtContent>
              <w:tr w:rsidR="00B201D3" w14:paraId="6112D1F3" w14:textId="77777777">
                <w:tc>
                  <w:tcPr>
                    <w:tcW w:w="2235" w:type="dxa"/>
                    <w:vAlign w:val="center"/>
                  </w:tcPr>
                  <w:p w14:paraId="38CD5D85" w14:textId="77777777" w:rsidR="00B201D3" w:rsidRDefault="009855E8">
                    <w:r>
                      <w:rPr>
                        <w:rFonts w:hint="eastAsia"/>
                      </w:rPr>
                      <w:t>“上交所”</w:t>
                    </w:r>
                  </w:p>
                </w:tc>
                <w:tc>
                  <w:tcPr>
                    <w:tcW w:w="425" w:type="dxa"/>
                  </w:tcPr>
                  <w:sdt>
                    <w:sdtPr>
                      <w:rPr>
                        <w:rFonts w:hint="eastAsia"/>
                      </w:rPr>
                      <w:tag w:val="_PLD_289cf7e5c3a845d59c038a21dcd4a571"/>
                      <w:id w:val="645092784"/>
                      <w:lock w:val="sdtLocked"/>
                    </w:sdtPr>
                    <w:sdtEndPr/>
                    <w:sdtContent>
                      <w:p w14:paraId="39898C96" w14:textId="77777777" w:rsidR="00B201D3" w:rsidRDefault="009855E8">
                        <w:pPr>
                          <w:jc w:val="center"/>
                          <w:rPr>
                            <w:highlight w:val="lightGray"/>
                          </w:rPr>
                        </w:pPr>
                        <w:r>
                          <w:rPr>
                            <w:rFonts w:hint="eastAsia"/>
                          </w:rPr>
                          <w:t>指</w:t>
                        </w:r>
                      </w:p>
                    </w:sdtContent>
                  </w:sdt>
                </w:tc>
                <w:sdt>
                  <w:sdtPr>
                    <w:rPr>
                      <w:rFonts w:hint="eastAsia"/>
                    </w:rPr>
                    <w:alias w:val="常用词语释义"/>
                    <w:tag w:val="_GBC_b625dd71b03542c3b074c2ce59de70ad"/>
                    <w:id w:val="-1916625598"/>
                    <w:lock w:val="sdtLocked"/>
                  </w:sdtPr>
                  <w:sdtEndPr/>
                  <w:sdtContent>
                    <w:tc>
                      <w:tcPr>
                        <w:tcW w:w="6388" w:type="dxa"/>
                      </w:tcPr>
                      <w:p w14:paraId="6CE32517" w14:textId="77777777" w:rsidR="00B201D3" w:rsidRDefault="009855E8">
                        <w:r>
                          <w:rPr>
                            <w:rFonts w:hint="eastAsia"/>
                          </w:rPr>
                          <w:t>上海证券交易所；</w:t>
                        </w:r>
                      </w:p>
                    </w:tc>
                  </w:sdtContent>
                </w:sdt>
              </w:tr>
            </w:sdtContent>
          </w:sdt>
          <w:sdt>
            <w:sdtPr>
              <w:rPr>
                <w:rFonts w:ascii="宋体" w:hAnsi="宋体" w:hint="eastAsia"/>
              </w:rPr>
              <w:alias w:val="释义"/>
              <w:tag w:val="_GBC_ca5c2cb7a4e545e2b2d9d1b94b528746"/>
              <w:id w:val="-1867049908"/>
              <w:lock w:val="sdtLocked"/>
              <w:placeholder>
                <w:docPart w:val="424DE108886B4272859AA138A3B5346F"/>
              </w:placeholder>
            </w:sdtPr>
            <w:sdtEndPr/>
            <w:sdtContent>
              <w:tr w:rsidR="00B201D3" w14:paraId="0608EBBC" w14:textId="77777777">
                <w:tc>
                  <w:tcPr>
                    <w:tcW w:w="2235" w:type="dxa"/>
                    <w:vAlign w:val="center"/>
                  </w:tcPr>
                  <w:p w14:paraId="2A0D3504" w14:textId="77777777" w:rsidR="00B201D3" w:rsidRDefault="009855E8">
                    <w:r>
                      <w:rPr>
                        <w:rFonts w:hint="eastAsia"/>
                      </w:rPr>
                      <w:t>“《公司法》”</w:t>
                    </w:r>
                  </w:p>
                </w:tc>
                <w:tc>
                  <w:tcPr>
                    <w:tcW w:w="425" w:type="dxa"/>
                  </w:tcPr>
                  <w:sdt>
                    <w:sdtPr>
                      <w:rPr>
                        <w:rFonts w:hint="eastAsia"/>
                      </w:rPr>
                      <w:tag w:val="_PLD_289cf7e5c3a845d59c038a21dcd4a571"/>
                      <w:id w:val="-1537335822"/>
                      <w:lock w:val="sdtLocked"/>
                    </w:sdtPr>
                    <w:sdtEndPr/>
                    <w:sdtContent>
                      <w:p w14:paraId="57B796D8" w14:textId="77777777" w:rsidR="00B201D3" w:rsidRDefault="009855E8">
                        <w:pPr>
                          <w:jc w:val="center"/>
                          <w:rPr>
                            <w:highlight w:val="lightGray"/>
                          </w:rPr>
                        </w:pPr>
                        <w:r>
                          <w:rPr>
                            <w:rFonts w:hint="eastAsia"/>
                          </w:rPr>
                          <w:t>指</w:t>
                        </w:r>
                      </w:p>
                    </w:sdtContent>
                  </w:sdt>
                </w:tc>
                <w:sdt>
                  <w:sdtPr>
                    <w:rPr>
                      <w:rFonts w:hint="eastAsia"/>
                    </w:rPr>
                    <w:alias w:val="常用词语释义"/>
                    <w:tag w:val="_GBC_b625dd71b03542c3b074c2ce59de70ad"/>
                    <w:id w:val="766732605"/>
                    <w:lock w:val="sdtLocked"/>
                  </w:sdtPr>
                  <w:sdtEndPr/>
                  <w:sdtContent>
                    <w:tc>
                      <w:tcPr>
                        <w:tcW w:w="6388" w:type="dxa"/>
                      </w:tcPr>
                      <w:p w14:paraId="3922C5BE" w14:textId="77777777" w:rsidR="00B201D3" w:rsidRDefault="009855E8">
                        <w:r>
                          <w:rPr>
                            <w:rFonts w:hint="eastAsia"/>
                          </w:rPr>
                          <w:t>《中华人民共和国公司法》；</w:t>
                        </w:r>
                      </w:p>
                    </w:tc>
                  </w:sdtContent>
                </w:sdt>
              </w:tr>
            </w:sdtContent>
          </w:sdt>
          <w:sdt>
            <w:sdtPr>
              <w:rPr>
                <w:rFonts w:ascii="宋体" w:hAnsi="宋体" w:hint="eastAsia"/>
              </w:rPr>
              <w:alias w:val="释义"/>
              <w:tag w:val="_GBC_ca5c2cb7a4e545e2b2d9d1b94b528746"/>
              <w:id w:val="1741136367"/>
              <w:lock w:val="sdtLocked"/>
              <w:placeholder>
                <w:docPart w:val="424DE108886B4272859AA138A3B5346F"/>
              </w:placeholder>
            </w:sdtPr>
            <w:sdtEndPr/>
            <w:sdtContent>
              <w:tr w:rsidR="00B201D3" w14:paraId="7B5C96DD" w14:textId="77777777">
                <w:tc>
                  <w:tcPr>
                    <w:tcW w:w="2235" w:type="dxa"/>
                    <w:vAlign w:val="center"/>
                  </w:tcPr>
                  <w:p w14:paraId="1F483961" w14:textId="77777777" w:rsidR="00B201D3" w:rsidRDefault="009855E8">
                    <w:r>
                      <w:rPr>
                        <w:rFonts w:hint="eastAsia"/>
                      </w:rPr>
                      <w:t>“《证券法》”</w:t>
                    </w:r>
                  </w:p>
                </w:tc>
                <w:tc>
                  <w:tcPr>
                    <w:tcW w:w="425" w:type="dxa"/>
                  </w:tcPr>
                  <w:sdt>
                    <w:sdtPr>
                      <w:rPr>
                        <w:rFonts w:hint="eastAsia"/>
                      </w:rPr>
                      <w:tag w:val="_PLD_289cf7e5c3a845d59c038a21dcd4a571"/>
                      <w:id w:val="43655381"/>
                      <w:lock w:val="sdtLocked"/>
                    </w:sdtPr>
                    <w:sdtEndPr/>
                    <w:sdtContent>
                      <w:p w14:paraId="30CE0CEA" w14:textId="77777777" w:rsidR="00B201D3" w:rsidRDefault="009855E8">
                        <w:pPr>
                          <w:jc w:val="center"/>
                          <w:rPr>
                            <w:highlight w:val="lightGray"/>
                          </w:rPr>
                        </w:pPr>
                        <w:r>
                          <w:rPr>
                            <w:rFonts w:hint="eastAsia"/>
                          </w:rPr>
                          <w:t>指</w:t>
                        </w:r>
                      </w:p>
                    </w:sdtContent>
                  </w:sdt>
                </w:tc>
                <w:sdt>
                  <w:sdtPr>
                    <w:rPr>
                      <w:rFonts w:hint="eastAsia"/>
                    </w:rPr>
                    <w:alias w:val="常用词语释义"/>
                    <w:tag w:val="_GBC_b625dd71b03542c3b074c2ce59de70ad"/>
                    <w:id w:val="-964660031"/>
                    <w:lock w:val="sdtLocked"/>
                  </w:sdtPr>
                  <w:sdtEndPr/>
                  <w:sdtContent>
                    <w:tc>
                      <w:tcPr>
                        <w:tcW w:w="6388" w:type="dxa"/>
                      </w:tcPr>
                      <w:p w14:paraId="6BD23C34" w14:textId="77777777" w:rsidR="00B201D3" w:rsidRDefault="009855E8">
                        <w:r>
                          <w:rPr>
                            <w:rFonts w:hint="eastAsia"/>
                          </w:rPr>
                          <w:t>《中华人民共和国证券法》；</w:t>
                        </w:r>
                      </w:p>
                    </w:tc>
                  </w:sdtContent>
                </w:sdt>
              </w:tr>
            </w:sdtContent>
          </w:sdt>
          <w:sdt>
            <w:sdtPr>
              <w:rPr>
                <w:rFonts w:ascii="宋体" w:hAnsi="宋体" w:hint="eastAsia"/>
              </w:rPr>
              <w:alias w:val="释义"/>
              <w:tag w:val="_GBC_ca5c2cb7a4e545e2b2d9d1b94b528746"/>
              <w:id w:val="-145208091"/>
              <w:lock w:val="sdtLocked"/>
              <w:placeholder>
                <w:docPart w:val="424DE108886B4272859AA138A3B5346F"/>
              </w:placeholder>
            </w:sdtPr>
            <w:sdtEndPr/>
            <w:sdtContent>
              <w:tr w:rsidR="00B201D3" w14:paraId="211A353A" w14:textId="77777777">
                <w:tc>
                  <w:tcPr>
                    <w:tcW w:w="2235" w:type="dxa"/>
                    <w:vAlign w:val="center"/>
                  </w:tcPr>
                  <w:p w14:paraId="2A14A5C8" w14:textId="77777777" w:rsidR="00B201D3" w:rsidRDefault="009855E8">
                    <w:r>
                      <w:rPr>
                        <w:rFonts w:hint="eastAsia"/>
                      </w:rPr>
                      <w:t>“《公司章程》”</w:t>
                    </w:r>
                  </w:p>
                </w:tc>
                <w:tc>
                  <w:tcPr>
                    <w:tcW w:w="425" w:type="dxa"/>
                  </w:tcPr>
                  <w:sdt>
                    <w:sdtPr>
                      <w:rPr>
                        <w:rFonts w:hint="eastAsia"/>
                      </w:rPr>
                      <w:tag w:val="_PLD_289cf7e5c3a845d59c038a21dcd4a571"/>
                      <w:id w:val="-1354341386"/>
                      <w:lock w:val="sdtLocked"/>
                    </w:sdtPr>
                    <w:sdtEndPr/>
                    <w:sdtContent>
                      <w:p w14:paraId="7528A91E" w14:textId="77777777" w:rsidR="00B201D3" w:rsidRDefault="009855E8">
                        <w:pPr>
                          <w:jc w:val="center"/>
                          <w:rPr>
                            <w:highlight w:val="lightGray"/>
                          </w:rPr>
                        </w:pPr>
                        <w:r>
                          <w:rPr>
                            <w:rFonts w:hint="eastAsia"/>
                          </w:rPr>
                          <w:t>指</w:t>
                        </w:r>
                      </w:p>
                    </w:sdtContent>
                  </w:sdt>
                </w:tc>
                <w:sdt>
                  <w:sdtPr>
                    <w:rPr>
                      <w:rFonts w:hint="eastAsia"/>
                    </w:rPr>
                    <w:alias w:val="常用词语释义"/>
                    <w:tag w:val="_GBC_b625dd71b03542c3b074c2ce59de70ad"/>
                    <w:id w:val="678630863"/>
                    <w:lock w:val="sdtLocked"/>
                  </w:sdtPr>
                  <w:sdtEndPr/>
                  <w:sdtContent>
                    <w:tc>
                      <w:tcPr>
                        <w:tcW w:w="6388" w:type="dxa"/>
                      </w:tcPr>
                      <w:p w14:paraId="33ECDE55" w14:textId="77777777" w:rsidR="00B201D3" w:rsidRDefault="009855E8">
                        <w:r>
                          <w:rPr>
                            <w:rFonts w:hint="eastAsia"/>
                          </w:rPr>
                          <w:t>本公司章程；</w:t>
                        </w:r>
                      </w:p>
                    </w:tc>
                  </w:sdtContent>
                </w:sdt>
              </w:tr>
            </w:sdtContent>
          </w:sdt>
          <w:sdt>
            <w:sdtPr>
              <w:rPr>
                <w:rFonts w:ascii="宋体" w:hAnsi="宋体" w:hint="eastAsia"/>
              </w:rPr>
              <w:alias w:val="释义"/>
              <w:tag w:val="_GBC_ca5c2cb7a4e545e2b2d9d1b94b528746"/>
              <w:id w:val="-653222119"/>
              <w:lock w:val="sdtLocked"/>
              <w:placeholder>
                <w:docPart w:val="424DE108886B4272859AA138A3B5346F"/>
              </w:placeholder>
            </w:sdtPr>
            <w:sdtEndPr/>
            <w:sdtContent>
              <w:tr w:rsidR="00B201D3" w14:paraId="5159C804" w14:textId="77777777">
                <w:tc>
                  <w:tcPr>
                    <w:tcW w:w="2235" w:type="dxa"/>
                    <w:vAlign w:val="center"/>
                  </w:tcPr>
                  <w:p w14:paraId="0578BD74" w14:textId="77777777" w:rsidR="00B201D3" w:rsidRDefault="009855E8">
                    <w:r>
                      <w:rPr>
                        <w:rFonts w:hint="eastAsia"/>
                      </w:rPr>
                      <w:t>“股东”</w:t>
                    </w:r>
                  </w:p>
                </w:tc>
                <w:tc>
                  <w:tcPr>
                    <w:tcW w:w="425" w:type="dxa"/>
                  </w:tcPr>
                  <w:sdt>
                    <w:sdtPr>
                      <w:rPr>
                        <w:rFonts w:hint="eastAsia"/>
                      </w:rPr>
                      <w:tag w:val="_PLD_289cf7e5c3a845d59c038a21dcd4a571"/>
                      <w:id w:val="874279863"/>
                      <w:lock w:val="sdtLocked"/>
                    </w:sdtPr>
                    <w:sdtEndPr/>
                    <w:sdtContent>
                      <w:p w14:paraId="0408B448" w14:textId="77777777" w:rsidR="00B201D3" w:rsidRDefault="009855E8">
                        <w:pPr>
                          <w:jc w:val="center"/>
                          <w:rPr>
                            <w:highlight w:val="lightGray"/>
                          </w:rPr>
                        </w:pPr>
                        <w:r>
                          <w:rPr>
                            <w:rFonts w:hint="eastAsia"/>
                          </w:rPr>
                          <w:t>指</w:t>
                        </w:r>
                      </w:p>
                    </w:sdtContent>
                  </w:sdt>
                </w:tc>
                <w:sdt>
                  <w:sdtPr>
                    <w:rPr>
                      <w:rFonts w:hint="eastAsia"/>
                    </w:rPr>
                    <w:alias w:val="常用词语释义"/>
                    <w:tag w:val="_GBC_b625dd71b03542c3b074c2ce59de70ad"/>
                    <w:id w:val="2119789570"/>
                    <w:lock w:val="sdtLocked"/>
                  </w:sdtPr>
                  <w:sdtEndPr/>
                  <w:sdtContent>
                    <w:tc>
                      <w:tcPr>
                        <w:tcW w:w="6388" w:type="dxa"/>
                      </w:tcPr>
                      <w:p w14:paraId="5CF8D6EA" w14:textId="77777777" w:rsidR="00B201D3" w:rsidRDefault="009855E8">
                        <w:r>
                          <w:rPr>
                            <w:rFonts w:hint="eastAsia"/>
                          </w:rPr>
                          <w:t>本公司股东；</w:t>
                        </w:r>
                      </w:p>
                    </w:tc>
                  </w:sdtContent>
                </w:sdt>
              </w:tr>
            </w:sdtContent>
          </w:sdt>
          <w:sdt>
            <w:sdtPr>
              <w:rPr>
                <w:rFonts w:ascii="宋体" w:hAnsi="宋体" w:hint="eastAsia"/>
              </w:rPr>
              <w:alias w:val="释义"/>
              <w:tag w:val="_GBC_ca5c2cb7a4e545e2b2d9d1b94b528746"/>
              <w:id w:val="-1868056908"/>
              <w:lock w:val="sdtLocked"/>
              <w:placeholder>
                <w:docPart w:val="424DE108886B4272859AA138A3B5346F"/>
              </w:placeholder>
            </w:sdtPr>
            <w:sdtEndPr/>
            <w:sdtContent>
              <w:tr w:rsidR="00B201D3" w14:paraId="4277503B" w14:textId="77777777">
                <w:tc>
                  <w:tcPr>
                    <w:tcW w:w="2235" w:type="dxa"/>
                    <w:vAlign w:val="center"/>
                  </w:tcPr>
                  <w:p w14:paraId="7C5B28B3" w14:textId="77777777" w:rsidR="00B201D3" w:rsidRDefault="009855E8">
                    <w:r>
                      <w:rPr>
                        <w:rFonts w:hint="eastAsia"/>
                      </w:rPr>
                      <w:t>“董事”</w:t>
                    </w:r>
                  </w:p>
                </w:tc>
                <w:tc>
                  <w:tcPr>
                    <w:tcW w:w="425" w:type="dxa"/>
                  </w:tcPr>
                  <w:sdt>
                    <w:sdtPr>
                      <w:rPr>
                        <w:rFonts w:hint="eastAsia"/>
                      </w:rPr>
                      <w:tag w:val="_PLD_289cf7e5c3a845d59c038a21dcd4a571"/>
                      <w:id w:val="-649292102"/>
                      <w:lock w:val="sdtLocked"/>
                    </w:sdtPr>
                    <w:sdtEndPr/>
                    <w:sdtContent>
                      <w:p w14:paraId="503566C5" w14:textId="77777777" w:rsidR="00B201D3" w:rsidRDefault="009855E8">
                        <w:pPr>
                          <w:jc w:val="center"/>
                          <w:rPr>
                            <w:highlight w:val="lightGray"/>
                          </w:rPr>
                        </w:pPr>
                        <w:r>
                          <w:rPr>
                            <w:rFonts w:hint="eastAsia"/>
                          </w:rPr>
                          <w:t>指</w:t>
                        </w:r>
                      </w:p>
                    </w:sdtContent>
                  </w:sdt>
                </w:tc>
                <w:sdt>
                  <w:sdtPr>
                    <w:rPr>
                      <w:rFonts w:hint="eastAsia"/>
                    </w:rPr>
                    <w:alias w:val="常用词语释义"/>
                    <w:tag w:val="_GBC_b625dd71b03542c3b074c2ce59de70ad"/>
                    <w:id w:val="-1068960524"/>
                    <w:lock w:val="sdtLocked"/>
                  </w:sdtPr>
                  <w:sdtEndPr/>
                  <w:sdtContent>
                    <w:tc>
                      <w:tcPr>
                        <w:tcW w:w="6388" w:type="dxa"/>
                      </w:tcPr>
                      <w:p w14:paraId="2BB46444" w14:textId="77777777" w:rsidR="00B201D3" w:rsidRDefault="009855E8">
                        <w:r>
                          <w:rPr>
                            <w:rFonts w:hint="eastAsia"/>
                          </w:rPr>
                          <w:t>本公司董事；</w:t>
                        </w:r>
                      </w:p>
                    </w:tc>
                  </w:sdtContent>
                </w:sdt>
              </w:tr>
            </w:sdtContent>
          </w:sdt>
          <w:sdt>
            <w:sdtPr>
              <w:rPr>
                <w:rFonts w:ascii="宋体" w:hAnsi="宋体" w:hint="eastAsia"/>
              </w:rPr>
              <w:alias w:val="释义"/>
              <w:tag w:val="_GBC_ca5c2cb7a4e545e2b2d9d1b94b528746"/>
              <w:id w:val="-1346011443"/>
              <w:lock w:val="sdtLocked"/>
              <w:placeholder>
                <w:docPart w:val="424DE108886B4272859AA138A3B5346F"/>
              </w:placeholder>
            </w:sdtPr>
            <w:sdtEndPr/>
            <w:sdtContent>
              <w:tr w:rsidR="00B201D3" w14:paraId="17B77B72" w14:textId="77777777">
                <w:tc>
                  <w:tcPr>
                    <w:tcW w:w="2235" w:type="dxa"/>
                    <w:vAlign w:val="center"/>
                  </w:tcPr>
                  <w:p w14:paraId="764DC4DE" w14:textId="77777777" w:rsidR="00B201D3" w:rsidRDefault="009855E8">
                    <w:r>
                      <w:rPr>
                        <w:rFonts w:hint="eastAsia"/>
                      </w:rPr>
                      <w:t>“董事会”</w:t>
                    </w:r>
                  </w:p>
                </w:tc>
                <w:tc>
                  <w:tcPr>
                    <w:tcW w:w="425" w:type="dxa"/>
                  </w:tcPr>
                  <w:sdt>
                    <w:sdtPr>
                      <w:rPr>
                        <w:rFonts w:hint="eastAsia"/>
                      </w:rPr>
                      <w:tag w:val="_PLD_289cf7e5c3a845d59c038a21dcd4a571"/>
                      <w:id w:val="1979107345"/>
                      <w:lock w:val="sdtLocked"/>
                    </w:sdtPr>
                    <w:sdtEndPr/>
                    <w:sdtContent>
                      <w:p w14:paraId="208665E5" w14:textId="77777777" w:rsidR="00B201D3" w:rsidRDefault="009855E8">
                        <w:pPr>
                          <w:jc w:val="center"/>
                          <w:rPr>
                            <w:highlight w:val="lightGray"/>
                          </w:rPr>
                        </w:pPr>
                        <w:r>
                          <w:rPr>
                            <w:rFonts w:hint="eastAsia"/>
                          </w:rPr>
                          <w:t>指</w:t>
                        </w:r>
                      </w:p>
                    </w:sdtContent>
                  </w:sdt>
                </w:tc>
                <w:sdt>
                  <w:sdtPr>
                    <w:rPr>
                      <w:rFonts w:hint="eastAsia"/>
                    </w:rPr>
                    <w:alias w:val="常用词语释义"/>
                    <w:tag w:val="_GBC_b625dd71b03542c3b074c2ce59de70ad"/>
                    <w:id w:val="-1647810770"/>
                    <w:lock w:val="sdtLocked"/>
                  </w:sdtPr>
                  <w:sdtEndPr/>
                  <w:sdtContent>
                    <w:tc>
                      <w:tcPr>
                        <w:tcW w:w="6388" w:type="dxa"/>
                      </w:tcPr>
                      <w:p w14:paraId="5EFFD5BC" w14:textId="77777777" w:rsidR="00B201D3" w:rsidRDefault="009855E8">
                        <w:r>
                          <w:rPr>
                            <w:rFonts w:hint="eastAsia"/>
                          </w:rPr>
                          <w:t>本公司董事会；</w:t>
                        </w:r>
                      </w:p>
                    </w:tc>
                  </w:sdtContent>
                </w:sdt>
              </w:tr>
            </w:sdtContent>
          </w:sdt>
          <w:sdt>
            <w:sdtPr>
              <w:rPr>
                <w:rFonts w:ascii="宋体" w:hAnsi="宋体" w:hint="eastAsia"/>
              </w:rPr>
              <w:alias w:val="释义"/>
              <w:tag w:val="_GBC_ca5c2cb7a4e545e2b2d9d1b94b528746"/>
              <w:id w:val="-1671018507"/>
              <w:lock w:val="sdtLocked"/>
              <w:placeholder>
                <w:docPart w:val="424DE108886B4272859AA138A3B5346F"/>
              </w:placeholder>
            </w:sdtPr>
            <w:sdtEndPr/>
            <w:sdtContent>
              <w:tr w:rsidR="00B201D3" w14:paraId="09B29446" w14:textId="77777777">
                <w:tc>
                  <w:tcPr>
                    <w:tcW w:w="2235" w:type="dxa"/>
                    <w:vAlign w:val="center"/>
                  </w:tcPr>
                  <w:p w14:paraId="75077856" w14:textId="77777777" w:rsidR="00B201D3" w:rsidRDefault="009855E8">
                    <w:r>
                      <w:rPr>
                        <w:rFonts w:hint="eastAsia"/>
                      </w:rPr>
                      <w:t>“监事”</w:t>
                    </w:r>
                  </w:p>
                </w:tc>
                <w:tc>
                  <w:tcPr>
                    <w:tcW w:w="425" w:type="dxa"/>
                  </w:tcPr>
                  <w:sdt>
                    <w:sdtPr>
                      <w:rPr>
                        <w:rFonts w:hint="eastAsia"/>
                      </w:rPr>
                      <w:tag w:val="_PLD_289cf7e5c3a845d59c038a21dcd4a571"/>
                      <w:id w:val="-689768621"/>
                      <w:lock w:val="sdtLocked"/>
                    </w:sdtPr>
                    <w:sdtEndPr/>
                    <w:sdtContent>
                      <w:p w14:paraId="3AA076BA" w14:textId="77777777" w:rsidR="00B201D3" w:rsidRDefault="009855E8">
                        <w:pPr>
                          <w:jc w:val="center"/>
                          <w:rPr>
                            <w:highlight w:val="lightGray"/>
                          </w:rPr>
                        </w:pPr>
                        <w:r>
                          <w:rPr>
                            <w:rFonts w:hint="eastAsia"/>
                          </w:rPr>
                          <w:t>指</w:t>
                        </w:r>
                      </w:p>
                    </w:sdtContent>
                  </w:sdt>
                </w:tc>
                <w:sdt>
                  <w:sdtPr>
                    <w:rPr>
                      <w:rFonts w:hint="eastAsia"/>
                    </w:rPr>
                    <w:alias w:val="常用词语释义"/>
                    <w:tag w:val="_GBC_b625dd71b03542c3b074c2ce59de70ad"/>
                    <w:id w:val="-1769615282"/>
                    <w:lock w:val="sdtLocked"/>
                  </w:sdtPr>
                  <w:sdtEndPr/>
                  <w:sdtContent>
                    <w:tc>
                      <w:tcPr>
                        <w:tcW w:w="6388" w:type="dxa"/>
                      </w:tcPr>
                      <w:p w14:paraId="38F77E3C" w14:textId="77777777" w:rsidR="00B201D3" w:rsidRDefault="009855E8">
                        <w:r>
                          <w:rPr>
                            <w:rFonts w:hint="eastAsia"/>
                          </w:rPr>
                          <w:t>本公司监事；</w:t>
                        </w:r>
                      </w:p>
                    </w:tc>
                  </w:sdtContent>
                </w:sdt>
              </w:tr>
            </w:sdtContent>
          </w:sdt>
          <w:sdt>
            <w:sdtPr>
              <w:rPr>
                <w:rFonts w:ascii="宋体" w:hAnsi="宋体" w:hint="eastAsia"/>
              </w:rPr>
              <w:alias w:val="释义"/>
              <w:tag w:val="_GBC_ca5c2cb7a4e545e2b2d9d1b94b528746"/>
              <w:id w:val="-289440181"/>
              <w:lock w:val="sdtLocked"/>
              <w:placeholder>
                <w:docPart w:val="424DE108886B4272859AA138A3B5346F"/>
              </w:placeholder>
            </w:sdtPr>
            <w:sdtEndPr/>
            <w:sdtContent>
              <w:tr w:rsidR="00B201D3" w14:paraId="79EA6CA5" w14:textId="77777777">
                <w:tc>
                  <w:tcPr>
                    <w:tcW w:w="2235" w:type="dxa"/>
                    <w:vAlign w:val="center"/>
                  </w:tcPr>
                  <w:p w14:paraId="22EEF80E" w14:textId="77777777" w:rsidR="00B201D3" w:rsidRDefault="009855E8">
                    <w:r>
                      <w:rPr>
                        <w:rFonts w:hint="eastAsia"/>
                      </w:rPr>
                      <w:t>“监事会”</w:t>
                    </w:r>
                  </w:p>
                </w:tc>
                <w:tc>
                  <w:tcPr>
                    <w:tcW w:w="425" w:type="dxa"/>
                  </w:tcPr>
                  <w:sdt>
                    <w:sdtPr>
                      <w:rPr>
                        <w:rFonts w:hint="eastAsia"/>
                      </w:rPr>
                      <w:tag w:val="_PLD_289cf7e5c3a845d59c038a21dcd4a571"/>
                      <w:id w:val="-911844461"/>
                      <w:lock w:val="sdtLocked"/>
                    </w:sdtPr>
                    <w:sdtEndPr/>
                    <w:sdtContent>
                      <w:p w14:paraId="44AEF485" w14:textId="77777777" w:rsidR="00B201D3" w:rsidRDefault="009855E8">
                        <w:pPr>
                          <w:jc w:val="center"/>
                          <w:rPr>
                            <w:highlight w:val="lightGray"/>
                          </w:rPr>
                        </w:pPr>
                        <w:r>
                          <w:rPr>
                            <w:rFonts w:hint="eastAsia"/>
                          </w:rPr>
                          <w:t>指</w:t>
                        </w:r>
                      </w:p>
                    </w:sdtContent>
                  </w:sdt>
                </w:tc>
                <w:sdt>
                  <w:sdtPr>
                    <w:rPr>
                      <w:rFonts w:hint="eastAsia"/>
                    </w:rPr>
                    <w:alias w:val="常用词语释义"/>
                    <w:tag w:val="_GBC_b625dd71b03542c3b074c2ce59de70ad"/>
                    <w:id w:val="2019578033"/>
                    <w:lock w:val="sdtLocked"/>
                  </w:sdtPr>
                  <w:sdtEndPr/>
                  <w:sdtContent>
                    <w:tc>
                      <w:tcPr>
                        <w:tcW w:w="6388" w:type="dxa"/>
                      </w:tcPr>
                      <w:p w14:paraId="06E77E71" w14:textId="77777777" w:rsidR="00B201D3" w:rsidRDefault="009855E8">
                        <w:r>
                          <w:rPr>
                            <w:rFonts w:hint="eastAsia"/>
                          </w:rPr>
                          <w:t>本公司监事会；</w:t>
                        </w:r>
                      </w:p>
                    </w:tc>
                  </w:sdtContent>
                </w:sdt>
              </w:tr>
            </w:sdtContent>
          </w:sdt>
          <w:sdt>
            <w:sdtPr>
              <w:rPr>
                <w:rFonts w:ascii="宋体" w:hAnsi="宋体" w:hint="eastAsia"/>
              </w:rPr>
              <w:alias w:val="释义"/>
              <w:tag w:val="_GBC_ca5c2cb7a4e545e2b2d9d1b94b528746"/>
              <w:id w:val="369030191"/>
              <w:lock w:val="sdtLocked"/>
              <w:placeholder>
                <w:docPart w:val="424DE108886B4272859AA138A3B5346F"/>
              </w:placeholder>
            </w:sdtPr>
            <w:sdtEndPr/>
            <w:sdtContent>
              <w:tr w:rsidR="00B201D3" w14:paraId="4FF6A519" w14:textId="77777777">
                <w:tc>
                  <w:tcPr>
                    <w:tcW w:w="2235" w:type="dxa"/>
                    <w:vAlign w:val="center"/>
                  </w:tcPr>
                  <w:p w14:paraId="3156ED9A" w14:textId="77777777" w:rsidR="00B201D3" w:rsidRDefault="009855E8">
                    <w:r>
                      <w:rPr>
                        <w:rFonts w:hint="eastAsia"/>
                      </w:rPr>
                      <w:t>“元”</w:t>
                    </w:r>
                  </w:p>
                </w:tc>
                <w:tc>
                  <w:tcPr>
                    <w:tcW w:w="425" w:type="dxa"/>
                  </w:tcPr>
                  <w:sdt>
                    <w:sdtPr>
                      <w:rPr>
                        <w:rFonts w:hint="eastAsia"/>
                      </w:rPr>
                      <w:tag w:val="_PLD_289cf7e5c3a845d59c038a21dcd4a571"/>
                      <w:id w:val="1759559953"/>
                      <w:lock w:val="sdtLocked"/>
                    </w:sdtPr>
                    <w:sdtEndPr/>
                    <w:sdtContent>
                      <w:p w14:paraId="6EE609EE" w14:textId="77777777" w:rsidR="00B201D3" w:rsidRDefault="009855E8">
                        <w:pPr>
                          <w:jc w:val="center"/>
                          <w:rPr>
                            <w:highlight w:val="lightGray"/>
                          </w:rPr>
                        </w:pPr>
                        <w:r>
                          <w:rPr>
                            <w:rFonts w:hint="eastAsia"/>
                          </w:rPr>
                          <w:t>指</w:t>
                        </w:r>
                      </w:p>
                    </w:sdtContent>
                  </w:sdt>
                </w:tc>
                <w:sdt>
                  <w:sdtPr>
                    <w:rPr>
                      <w:rFonts w:hint="eastAsia"/>
                    </w:rPr>
                    <w:alias w:val="常用词语释义"/>
                    <w:tag w:val="_GBC_b625dd71b03542c3b074c2ce59de70ad"/>
                    <w:id w:val="293801103"/>
                    <w:lock w:val="sdtLocked"/>
                  </w:sdtPr>
                  <w:sdtEndPr/>
                  <w:sdtContent>
                    <w:tc>
                      <w:tcPr>
                        <w:tcW w:w="6388" w:type="dxa"/>
                      </w:tcPr>
                      <w:p w14:paraId="0A17D943" w14:textId="77777777" w:rsidR="00B201D3" w:rsidRDefault="009855E8">
                        <w:r>
                          <w:rPr>
                            <w:rFonts w:hint="eastAsia"/>
                          </w:rPr>
                          <w:t>人民币元，中国法定货币，除非文义另有所指；</w:t>
                        </w:r>
                      </w:p>
                    </w:tc>
                  </w:sdtContent>
                </w:sdt>
              </w:tr>
            </w:sdtContent>
          </w:sdt>
          <w:sdt>
            <w:sdtPr>
              <w:rPr>
                <w:rFonts w:ascii="宋体" w:hAnsi="宋体" w:hint="eastAsia"/>
              </w:rPr>
              <w:alias w:val="释义"/>
              <w:tag w:val="_GBC_ca5c2cb7a4e545e2b2d9d1b94b528746"/>
              <w:id w:val="-1891488883"/>
              <w:lock w:val="sdtLocked"/>
              <w:placeholder>
                <w:docPart w:val="424DE108886B4272859AA138A3B5346F"/>
              </w:placeholder>
            </w:sdtPr>
            <w:sdtEndPr/>
            <w:sdtContent>
              <w:tr w:rsidR="00B201D3" w14:paraId="49A1885D" w14:textId="77777777">
                <w:tc>
                  <w:tcPr>
                    <w:tcW w:w="2235" w:type="dxa"/>
                    <w:vAlign w:val="center"/>
                  </w:tcPr>
                  <w:p w14:paraId="44288E0B" w14:textId="77777777" w:rsidR="00B201D3" w:rsidRDefault="009855E8">
                    <w:r>
                      <w:rPr>
                        <w:rFonts w:hint="eastAsia"/>
                      </w:rPr>
                      <w:t>“澳元”</w:t>
                    </w:r>
                  </w:p>
                </w:tc>
                <w:tc>
                  <w:tcPr>
                    <w:tcW w:w="425" w:type="dxa"/>
                  </w:tcPr>
                  <w:sdt>
                    <w:sdtPr>
                      <w:rPr>
                        <w:rFonts w:hint="eastAsia"/>
                      </w:rPr>
                      <w:tag w:val="_PLD_289cf7e5c3a845d59c038a21dcd4a571"/>
                      <w:id w:val="343979113"/>
                      <w:lock w:val="sdtLocked"/>
                    </w:sdtPr>
                    <w:sdtEndPr/>
                    <w:sdtContent>
                      <w:p w14:paraId="62DE0D4B" w14:textId="77777777" w:rsidR="00B201D3" w:rsidRDefault="009855E8">
                        <w:pPr>
                          <w:jc w:val="center"/>
                          <w:rPr>
                            <w:highlight w:val="lightGray"/>
                          </w:rPr>
                        </w:pPr>
                        <w:r>
                          <w:rPr>
                            <w:rFonts w:hint="eastAsia"/>
                          </w:rPr>
                          <w:t>指</w:t>
                        </w:r>
                      </w:p>
                    </w:sdtContent>
                  </w:sdt>
                </w:tc>
                <w:sdt>
                  <w:sdtPr>
                    <w:rPr>
                      <w:rFonts w:hint="eastAsia"/>
                    </w:rPr>
                    <w:alias w:val="常用词语释义"/>
                    <w:tag w:val="_GBC_b625dd71b03542c3b074c2ce59de70ad"/>
                    <w:id w:val="-2036028411"/>
                    <w:lock w:val="sdtLocked"/>
                  </w:sdtPr>
                  <w:sdtEndPr/>
                  <w:sdtContent>
                    <w:tc>
                      <w:tcPr>
                        <w:tcW w:w="6388" w:type="dxa"/>
                      </w:tcPr>
                      <w:p w14:paraId="7BB0D327" w14:textId="77777777" w:rsidR="00B201D3" w:rsidRDefault="009855E8">
                        <w:r>
                          <w:rPr>
                            <w:rFonts w:hint="eastAsia"/>
                          </w:rPr>
                          <w:t>澳元，澳大利亚法定货币；</w:t>
                        </w:r>
                      </w:p>
                    </w:tc>
                  </w:sdtContent>
                </w:sdt>
              </w:tr>
            </w:sdtContent>
          </w:sdt>
          <w:sdt>
            <w:sdtPr>
              <w:rPr>
                <w:rFonts w:ascii="宋体" w:hAnsi="宋体" w:hint="eastAsia"/>
              </w:rPr>
              <w:alias w:val="释义"/>
              <w:tag w:val="_GBC_ca5c2cb7a4e545e2b2d9d1b94b528746"/>
              <w:id w:val="877512410"/>
              <w:lock w:val="sdtLocked"/>
              <w:placeholder>
                <w:docPart w:val="424DE108886B4272859AA138A3B5346F"/>
              </w:placeholder>
            </w:sdtPr>
            <w:sdtEndPr/>
            <w:sdtContent>
              <w:tr w:rsidR="00B201D3" w14:paraId="597DC8D0" w14:textId="77777777">
                <w:tc>
                  <w:tcPr>
                    <w:tcW w:w="2235" w:type="dxa"/>
                    <w:vAlign w:val="center"/>
                  </w:tcPr>
                  <w:p w14:paraId="54F921BD" w14:textId="77777777" w:rsidR="00B201D3" w:rsidRDefault="009855E8">
                    <w:r>
                      <w:rPr>
                        <w:rFonts w:hint="eastAsia"/>
                      </w:rPr>
                      <w:t>“美元”</w:t>
                    </w:r>
                  </w:p>
                </w:tc>
                <w:tc>
                  <w:tcPr>
                    <w:tcW w:w="425" w:type="dxa"/>
                  </w:tcPr>
                  <w:sdt>
                    <w:sdtPr>
                      <w:rPr>
                        <w:rFonts w:hint="eastAsia"/>
                      </w:rPr>
                      <w:tag w:val="_PLD_289cf7e5c3a845d59c038a21dcd4a571"/>
                      <w:id w:val="258496050"/>
                      <w:lock w:val="sdtLocked"/>
                    </w:sdtPr>
                    <w:sdtEndPr/>
                    <w:sdtContent>
                      <w:p w14:paraId="74903436" w14:textId="77777777" w:rsidR="00B201D3" w:rsidRDefault="009855E8">
                        <w:pPr>
                          <w:jc w:val="center"/>
                          <w:rPr>
                            <w:highlight w:val="lightGray"/>
                          </w:rPr>
                        </w:pPr>
                        <w:r>
                          <w:rPr>
                            <w:rFonts w:hint="eastAsia"/>
                          </w:rPr>
                          <w:t>指</w:t>
                        </w:r>
                      </w:p>
                    </w:sdtContent>
                  </w:sdt>
                </w:tc>
                <w:sdt>
                  <w:sdtPr>
                    <w:rPr>
                      <w:rFonts w:hint="eastAsia"/>
                    </w:rPr>
                    <w:alias w:val="常用词语释义"/>
                    <w:tag w:val="_GBC_b625dd71b03542c3b074c2ce59de70ad"/>
                    <w:id w:val="291485209"/>
                    <w:lock w:val="sdtLocked"/>
                  </w:sdtPr>
                  <w:sdtEndPr/>
                  <w:sdtContent>
                    <w:tc>
                      <w:tcPr>
                        <w:tcW w:w="6388" w:type="dxa"/>
                      </w:tcPr>
                      <w:p w14:paraId="5B2FF2AD" w14:textId="77777777" w:rsidR="00B201D3" w:rsidRDefault="009855E8">
                        <w:r>
                          <w:rPr>
                            <w:rFonts w:hint="eastAsia"/>
                          </w:rPr>
                          <w:t>美元，美国法定货币；</w:t>
                        </w:r>
                      </w:p>
                    </w:tc>
                  </w:sdtContent>
                </w:sdt>
              </w:tr>
            </w:sdtContent>
          </w:sdt>
          <w:sdt>
            <w:sdtPr>
              <w:rPr>
                <w:rFonts w:ascii="宋体" w:hAnsi="宋体" w:hint="eastAsia"/>
              </w:rPr>
              <w:alias w:val="释义"/>
              <w:tag w:val="_GBC_ca5c2cb7a4e545e2b2d9d1b94b528746"/>
              <w:id w:val="1813528103"/>
              <w:lock w:val="sdtLocked"/>
              <w:placeholder>
                <w:docPart w:val="424DE108886B4272859AA138A3B5346F"/>
              </w:placeholder>
            </w:sdtPr>
            <w:sdtEndPr/>
            <w:sdtContent>
              <w:tr w:rsidR="00B201D3" w14:paraId="06574335" w14:textId="77777777">
                <w:tc>
                  <w:tcPr>
                    <w:tcW w:w="2235" w:type="dxa"/>
                    <w:vAlign w:val="center"/>
                  </w:tcPr>
                  <w:p w14:paraId="498DB7F7" w14:textId="77777777" w:rsidR="00B201D3" w:rsidRDefault="009855E8">
                    <w:r>
                      <w:rPr>
                        <w:rFonts w:hint="eastAsia"/>
                      </w:rPr>
                      <w:t>“港元”</w:t>
                    </w:r>
                  </w:p>
                </w:tc>
                <w:tc>
                  <w:tcPr>
                    <w:tcW w:w="425" w:type="dxa"/>
                  </w:tcPr>
                  <w:sdt>
                    <w:sdtPr>
                      <w:rPr>
                        <w:rFonts w:hint="eastAsia"/>
                      </w:rPr>
                      <w:tag w:val="_PLD_289cf7e5c3a845d59c038a21dcd4a571"/>
                      <w:id w:val="-223298228"/>
                      <w:lock w:val="sdtLocked"/>
                    </w:sdtPr>
                    <w:sdtEndPr/>
                    <w:sdtContent>
                      <w:p w14:paraId="5CD767DA" w14:textId="77777777" w:rsidR="00B201D3" w:rsidRDefault="009855E8">
                        <w:pPr>
                          <w:jc w:val="center"/>
                          <w:rPr>
                            <w:highlight w:val="lightGray"/>
                          </w:rPr>
                        </w:pPr>
                        <w:r>
                          <w:rPr>
                            <w:rFonts w:hint="eastAsia"/>
                          </w:rPr>
                          <w:t>指</w:t>
                        </w:r>
                      </w:p>
                    </w:sdtContent>
                  </w:sdt>
                </w:tc>
                <w:sdt>
                  <w:sdtPr>
                    <w:rPr>
                      <w:rFonts w:hint="eastAsia"/>
                    </w:rPr>
                    <w:alias w:val="常用词语释义"/>
                    <w:tag w:val="_GBC_b625dd71b03542c3b074c2ce59de70ad"/>
                    <w:id w:val="-2080427280"/>
                    <w:lock w:val="sdtLocked"/>
                  </w:sdtPr>
                  <w:sdtEndPr/>
                  <w:sdtContent>
                    <w:tc>
                      <w:tcPr>
                        <w:tcW w:w="6388" w:type="dxa"/>
                      </w:tcPr>
                      <w:p w14:paraId="4EB81054" w14:textId="77777777" w:rsidR="00B201D3" w:rsidRDefault="009855E8">
                        <w:r>
                          <w:rPr>
                            <w:rFonts w:hint="eastAsia"/>
                          </w:rPr>
                          <w:t>港元，香港法定货币。</w:t>
                        </w:r>
                      </w:p>
                    </w:tc>
                  </w:sdtContent>
                </w:sdt>
              </w:tr>
            </w:sdtContent>
          </w:sdt>
        </w:tbl>
        <w:p w14:paraId="5CB9EFD1" w14:textId="77777777" w:rsidR="00B201D3" w:rsidRDefault="00B201D3"/>
        <w:p w14:paraId="6431FB2B" w14:textId="77777777" w:rsidR="00B201D3" w:rsidRDefault="00C8327E">
          <w:pPr>
            <w:pStyle w:val="3903"/>
          </w:pPr>
        </w:p>
      </w:sdtContent>
    </w:sdt>
    <w:bookmarkEnd w:id="6"/>
    <w:p w14:paraId="6C7D7D15" w14:textId="77777777" w:rsidR="00B201D3" w:rsidRDefault="00B201D3">
      <w:pPr>
        <w:pStyle w:val="3903"/>
      </w:pPr>
    </w:p>
    <w:p w14:paraId="25346E04" w14:textId="77777777" w:rsidR="00B201D3" w:rsidRDefault="009855E8">
      <w:pPr>
        <w:pStyle w:val="3903"/>
      </w:pPr>
      <w:r>
        <w:br w:type="page"/>
      </w:r>
    </w:p>
    <w:p w14:paraId="676D4BC5" w14:textId="77777777" w:rsidR="00B201D3" w:rsidRDefault="009855E8">
      <w:pPr>
        <w:pStyle w:val="1"/>
        <w:numPr>
          <w:ilvl w:val="0"/>
          <w:numId w:val="2"/>
        </w:numPr>
        <w:rPr>
          <w:rFonts w:ascii="黑体" w:hAnsi="黑体"/>
          <w:color w:val="FF0000"/>
          <w:u w:val="single"/>
        </w:rPr>
      </w:pPr>
      <w:bookmarkStart w:id="7" w:name="_Toc139552145"/>
      <w:r>
        <w:rPr>
          <w:rFonts w:ascii="黑体" w:hAnsi="黑体" w:hint="eastAsia"/>
        </w:rPr>
        <w:lastRenderedPageBreak/>
        <w:t>公司简介</w:t>
      </w:r>
      <w:bookmarkEnd w:id="5"/>
      <w:r>
        <w:rPr>
          <w:rFonts w:ascii="黑体" w:hAnsi="黑体" w:hint="eastAsia"/>
        </w:rPr>
        <w:t>和主要财务指标</w:t>
      </w:r>
      <w:bookmarkEnd w:id="7"/>
    </w:p>
    <w:bookmarkStart w:id="8" w:name="_Toc342565881" w:displacedByCustomXml="next"/>
    <w:bookmarkStart w:id="9" w:name="_Toc342051041" w:displacedByCustomXml="next"/>
    <w:sdt>
      <w:sdtPr>
        <w:rPr>
          <w:rFonts w:ascii="宋体" w:hAnsi="宋体" w:cs="宋体" w:hint="eastAsia"/>
          <w:b w:val="0"/>
          <w:bCs w:val="0"/>
          <w:kern w:val="0"/>
          <w:szCs w:val="24"/>
        </w:rPr>
        <w:alias w:val="模块:公司信息"/>
        <w:tag w:val="_GBC_aa763dfc67ed4eac9000c019cc1ff258"/>
        <w:id w:val="682952556"/>
        <w:lock w:val="sdtLocked"/>
        <w:placeholder>
          <w:docPart w:val="GBC22222222222222222222222222222"/>
        </w:placeholder>
      </w:sdtPr>
      <w:sdtEndPr>
        <w:rPr>
          <w:rFonts w:hint="default"/>
          <w:szCs w:val="21"/>
        </w:rPr>
      </w:sdtEndPr>
      <w:sdtContent>
        <w:p w14:paraId="6700A6DF" w14:textId="77777777" w:rsidR="00B201D3" w:rsidRDefault="009855E8">
          <w:pPr>
            <w:pStyle w:val="2"/>
            <w:numPr>
              <w:ilvl w:val="0"/>
              <w:numId w:val="3"/>
            </w:numPr>
            <w:ind w:firstLineChars="0"/>
          </w:pPr>
          <w:r>
            <w:rPr>
              <w:rFonts w:hint="eastAsia"/>
            </w:rPr>
            <w:t>公司信息</w:t>
          </w:r>
          <w:bookmarkEnd w:id="9"/>
          <w:bookmarkEnd w:id="8"/>
        </w:p>
        <w:tbl>
          <w:tblPr>
            <w:tblStyle w:val="g1"/>
            <w:tblW w:w="5000" w:type="pct"/>
            <w:tblInd w:w="0" w:type="dxa"/>
            <w:tblBorders>
              <w:top w:val="single" w:sz="4" w:space="0" w:color="auto"/>
              <w:left w:val="single" w:sz="4" w:space="0" w:color="auto"/>
              <w:bottom w:val="single" w:sz="4" w:space="0" w:color="auto"/>
              <w:right w:val="single" w:sz="4" w:space="0" w:color="auto"/>
            </w:tblBorders>
            <w:tblCellMar>
              <w:left w:w="30" w:type="dxa"/>
              <w:right w:w="30" w:type="dxa"/>
            </w:tblCellMar>
            <w:tblLook w:val="04A0" w:firstRow="1" w:lastRow="0" w:firstColumn="1" w:lastColumn="0" w:noHBand="0" w:noVBand="1"/>
          </w:tblPr>
          <w:tblGrid>
            <w:gridCol w:w="3827"/>
            <w:gridCol w:w="4996"/>
          </w:tblGrid>
          <w:tr w:rsidR="00B201D3" w14:paraId="3958FA8B" w14:textId="77777777">
            <w:trPr>
              <w:trHeight w:val="293"/>
            </w:trPr>
            <w:sdt>
              <w:sdtPr>
                <w:tag w:val="_PLD_372cd7a5ecc1420488735479d42bf939"/>
                <w:id w:val="-1067264116"/>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1F0E9ED7" w14:textId="77777777" w:rsidR="00B201D3" w:rsidRDefault="009855E8">
                    <w:pPr>
                      <w:kinsoku w:val="0"/>
                      <w:overflowPunct w:val="0"/>
                      <w:autoSpaceDE w:val="0"/>
                      <w:autoSpaceDN w:val="0"/>
                      <w:adjustRightInd w:val="0"/>
                      <w:snapToGrid w:val="0"/>
                    </w:pPr>
                    <w:r>
                      <w:rPr>
                        <w:rFonts w:hint="eastAsia"/>
                      </w:rPr>
                      <w:t>公司的中文名称</w:t>
                    </w:r>
                  </w:p>
                </w:tc>
              </w:sdtContent>
            </w:sdt>
            <w:sdt>
              <w:sdtPr>
                <w:rPr>
                  <w:rFonts w:hint="eastAsia"/>
                </w:rPr>
                <w:alias w:val="公司法定中文名称"/>
                <w:tag w:val="_GBC_6f7f4fb261c84402a309f1371502ca4f"/>
                <w:id w:val="1984736329"/>
                <w:lock w:val="sdtLocked"/>
                <w:dataBinding w:prefixMappings="xmlns:clcid-cgi='clcid-cgi'" w:xpath="/*/clcid-cgi:GongSiFaDingZhongWenMingCheng[not(@periodRef)]" w:storeItemID="{89EBAB94-44A0-46A2-B712-30D997D04A6D}"/>
                <w:text/>
              </w:sdtPr>
              <w:sdtEndPr/>
              <w:sdtContent>
                <w:tc>
                  <w:tcPr>
                    <w:tcW w:w="2831" w:type="pct"/>
                    <w:tcBorders>
                      <w:top w:val="single" w:sz="4" w:space="0" w:color="auto"/>
                      <w:left w:val="single" w:sz="4" w:space="0" w:color="auto"/>
                      <w:bottom w:val="single" w:sz="4" w:space="0" w:color="auto"/>
                    </w:tcBorders>
                  </w:tcPr>
                  <w:p w14:paraId="0EF0722E" w14:textId="38AEC686" w:rsidR="00B201D3" w:rsidRDefault="00F46283">
                    <w:pPr>
                      <w:kinsoku w:val="0"/>
                      <w:overflowPunct w:val="0"/>
                      <w:autoSpaceDE w:val="0"/>
                      <w:autoSpaceDN w:val="0"/>
                      <w:adjustRightInd w:val="0"/>
                      <w:snapToGrid w:val="0"/>
                      <w:rPr>
                        <w:color w:val="FFC000"/>
                      </w:rPr>
                    </w:pPr>
                    <w:r>
                      <w:rPr>
                        <w:rFonts w:hint="eastAsia"/>
                      </w:rPr>
                      <w:t>兖矿能源集团股份有限公司</w:t>
                    </w:r>
                  </w:p>
                </w:tc>
              </w:sdtContent>
            </w:sdt>
          </w:tr>
          <w:tr w:rsidR="00B201D3" w14:paraId="3BC7D1DB" w14:textId="77777777">
            <w:trPr>
              <w:trHeight w:val="293"/>
            </w:trPr>
            <w:sdt>
              <w:sdtPr>
                <w:tag w:val="_PLD_8eb858f464044693a8d56b2fb5bf4064"/>
                <w:id w:val="-586146921"/>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25908A4D" w14:textId="77777777" w:rsidR="00B201D3" w:rsidRDefault="009855E8">
                    <w:pPr>
                      <w:kinsoku w:val="0"/>
                      <w:overflowPunct w:val="0"/>
                      <w:autoSpaceDE w:val="0"/>
                      <w:autoSpaceDN w:val="0"/>
                      <w:adjustRightInd w:val="0"/>
                      <w:snapToGrid w:val="0"/>
                    </w:pPr>
                    <w:r>
                      <w:rPr>
                        <w:rFonts w:hint="eastAsia"/>
                      </w:rPr>
                      <w:t>公司的中文简称</w:t>
                    </w:r>
                  </w:p>
                </w:tc>
              </w:sdtContent>
            </w:sdt>
            <w:tc>
              <w:tcPr>
                <w:tcW w:w="2831" w:type="pct"/>
                <w:tcBorders>
                  <w:top w:val="single" w:sz="4" w:space="0" w:color="auto"/>
                  <w:left w:val="single" w:sz="4" w:space="0" w:color="auto"/>
                  <w:bottom w:val="single" w:sz="4" w:space="0" w:color="auto"/>
                </w:tcBorders>
              </w:tcPr>
              <w:p w14:paraId="351683B7" w14:textId="77777777" w:rsidR="00B201D3" w:rsidRDefault="009855E8">
                <w:pPr>
                  <w:kinsoku w:val="0"/>
                  <w:overflowPunct w:val="0"/>
                  <w:autoSpaceDE w:val="0"/>
                  <w:autoSpaceDN w:val="0"/>
                  <w:adjustRightInd w:val="0"/>
                  <w:snapToGrid w:val="0"/>
                </w:pPr>
                <w:r>
                  <w:rPr>
                    <w:rFonts w:hint="eastAsia"/>
                  </w:rPr>
                  <w:t>兖矿能源</w:t>
                </w:r>
              </w:p>
            </w:tc>
          </w:tr>
          <w:tr w:rsidR="00B201D3" w14:paraId="6FF6AF2D" w14:textId="77777777">
            <w:trPr>
              <w:trHeight w:val="293"/>
            </w:trPr>
            <w:sdt>
              <w:sdtPr>
                <w:tag w:val="_PLD_d0fcb2dfd03a44bfb413f503945ba2fb"/>
                <w:id w:val="-1253350032"/>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7BCA983F" w14:textId="77777777" w:rsidR="00B201D3" w:rsidRDefault="009855E8">
                    <w:pPr>
                      <w:kinsoku w:val="0"/>
                      <w:overflowPunct w:val="0"/>
                      <w:autoSpaceDE w:val="0"/>
                      <w:autoSpaceDN w:val="0"/>
                      <w:adjustRightInd w:val="0"/>
                      <w:snapToGrid w:val="0"/>
                    </w:pPr>
                    <w:r>
                      <w:t>公司的外文名称</w:t>
                    </w:r>
                  </w:p>
                </w:tc>
              </w:sdtContent>
            </w:sdt>
            <w:tc>
              <w:tcPr>
                <w:tcW w:w="2831" w:type="pct"/>
                <w:tcBorders>
                  <w:top w:val="single" w:sz="4" w:space="0" w:color="auto"/>
                  <w:left w:val="single" w:sz="4" w:space="0" w:color="auto"/>
                  <w:bottom w:val="single" w:sz="4" w:space="0" w:color="auto"/>
                </w:tcBorders>
              </w:tcPr>
              <w:p w14:paraId="263F92FD" w14:textId="77777777" w:rsidR="00B201D3" w:rsidRDefault="009855E8">
                <w:pPr>
                  <w:kinsoku w:val="0"/>
                  <w:overflowPunct w:val="0"/>
                  <w:autoSpaceDE w:val="0"/>
                  <w:autoSpaceDN w:val="0"/>
                  <w:adjustRightInd w:val="0"/>
                  <w:snapToGrid w:val="0"/>
                </w:pPr>
                <w:r>
                  <w:t>Yankuang Energy Group Company Limited*</w:t>
                </w:r>
              </w:p>
            </w:tc>
          </w:tr>
          <w:tr w:rsidR="00B201D3" w14:paraId="2A632D5D" w14:textId="77777777">
            <w:trPr>
              <w:trHeight w:val="293"/>
            </w:trPr>
            <w:sdt>
              <w:sdtPr>
                <w:tag w:val="_PLD_b5f89c94b3dc4510b2035a96ac69493a"/>
                <w:id w:val="-535198734"/>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65AB452F" w14:textId="77777777" w:rsidR="00B201D3" w:rsidRDefault="009855E8">
                    <w:pPr>
                      <w:kinsoku w:val="0"/>
                      <w:overflowPunct w:val="0"/>
                      <w:autoSpaceDE w:val="0"/>
                      <w:autoSpaceDN w:val="0"/>
                      <w:adjustRightInd w:val="0"/>
                      <w:snapToGrid w:val="0"/>
                    </w:pPr>
                    <w:r>
                      <w:t>公司的外文名称缩写</w:t>
                    </w:r>
                  </w:p>
                </w:tc>
              </w:sdtContent>
            </w:sdt>
            <w:tc>
              <w:tcPr>
                <w:tcW w:w="2831" w:type="pct"/>
                <w:tcBorders>
                  <w:top w:val="single" w:sz="4" w:space="0" w:color="auto"/>
                  <w:left w:val="single" w:sz="4" w:space="0" w:color="auto"/>
                  <w:bottom w:val="single" w:sz="4" w:space="0" w:color="auto"/>
                </w:tcBorders>
              </w:tcPr>
              <w:p w14:paraId="768A1561" w14:textId="77777777" w:rsidR="00B201D3" w:rsidRDefault="009855E8">
                <w:pPr>
                  <w:kinsoku w:val="0"/>
                  <w:overflowPunct w:val="0"/>
                  <w:autoSpaceDE w:val="0"/>
                  <w:autoSpaceDN w:val="0"/>
                  <w:adjustRightInd w:val="0"/>
                  <w:snapToGrid w:val="0"/>
                </w:pPr>
                <w:r>
                  <w:t>YANKUANG ENERGY</w:t>
                </w:r>
              </w:p>
            </w:tc>
          </w:tr>
          <w:tr w:rsidR="00B201D3" w14:paraId="4795637F" w14:textId="77777777">
            <w:trPr>
              <w:trHeight w:val="293"/>
            </w:trPr>
            <w:sdt>
              <w:sdtPr>
                <w:tag w:val="_PLD_af8be2c600724acab3e545cfcbaa3ccf"/>
                <w:id w:val="760331919"/>
                <w:lock w:val="sdtLocked"/>
              </w:sdtPr>
              <w:sdtEndPr/>
              <w:sdtContent>
                <w:tc>
                  <w:tcPr>
                    <w:tcW w:w="2169" w:type="pct"/>
                    <w:tcBorders>
                      <w:top w:val="single" w:sz="4" w:space="0" w:color="auto"/>
                      <w:bottom w:val="single" w:sz="4" w:space="0" w:color="auto"/>
                      <w:right w:val="single" w:sz="4" w:space="0" w:color="auto"/>
                    </w:tcBorders>
                    <w:shd w:val="clear" w:color="auto" w:fill="auto"/>
                  </w:tcPr>
                  <w:p w14:paraId="39D01DD4" w14:textId="77777777" w:rsidR="00B201D3" w:rsidRDefault="009855E8">
                    <w:pPr>
                      <w:kinsoku w:val="0"/>
                      <w:overflowPunct w:val="0"/>
                      <w:autoSpaceDE w:val="0"/>
                      <w:autoSpaceDN w:val="0"/>
                      <w:adjustRightInd w:val="0"/>
                      <w:snapToGrid w:val="0"/>
                    </w:pPr>
                    <w:r>
                      <w:t>公司的</w:t>
                    </w:r>
                    <w:r>
                      <w:rPr>
                        <w:rFonts w:hint="eastAsia"/>
                      </w:rPr>
                      <w:t>法定代表人</w:t>
                    </w:r>
                  </w:p>
                </w:tc>
              </w:sdtContent>
            </w:sdt>
            <w:sdt>
              <w:sdtPr>
                <w:rPr>
                  <w:rFonts w:hint="eastAsia"/>
                </w:rPr>
                <w:alias w:val="公司法定代表人"/>
                <w:tag w:val="_GBC_71327a0d8afa49e1aba9d42a68663413"/>
                <w:id w:val="-896049856"/>
                <w:lock w:val="sdtLocked"/>
                <w:dataBinding w:prefixMappings="xmlns:clcid-cgi='clcid-cgi'" w:xpath="/*/clcid-cgi:GongSiFaDingDaiBiaoRen[not(@periodRef)]" w:storeItemID="{89EBAB94-44A0-46A2-B712-30D997D04A6D}"/>
                <w:text/>
              </w:sdtPr>
              <w:sdtEndPr/>
              <w:sdtContent>
                <w:tc>
                  <w:tcPr>
                    <w:tcW w:w="2831" w:type="pct"/>
                    <w:tcBorders>
                      <w:top w:val="single" w:sz="4" w:space="0" w:color="auto"/>
                      <w:left w:val="single" w:sz="4" w:space="0" w:color="auto"/>
                      <w:bottom w:val="single" w:sz="4" w:space="0" w:color="auto"/>
                    </w:tcBorders>
                  </w:tcPr>
                  <w:p w14:paraId="00152E14" w14:textId="4AFBACC3" w:rsidR="00B201D3" w:rsidRDefault="00F46283">
                    <w:pPr>
                      <w:kinsoku w:val="0"/>
                      <w:overflowPunct w:val="0"/>
                      <w:autoSpaceDE w:val="0"/>
                      <w:autoSpaceDN w:val="0"/>
                      <w:adjustRightInd w:val="0"/>
                      <w:snapToGrid w:val="0"/>
                    </w:pPr>
                    <w:r>
                      <w:rPr>
                        <w:rFonts w:hint="eastAsia"/>
                      </w:rPr>
                      <w:t>李伟</w:t>
                    </w:r>
                  </w:p>
                </w:tc>
              </w:sdtContent>
            </w:sdt>
          </w:tr>
          <w:sdt>
            <w:sdtPr>
              <w:alias w:val="公司基本情况明细"/>
              <w:tag w:val="_GBC_180acb8d9d6b4b3592bf8904e526f180"/>
              <w:id w:val="-1417321949"/>
              <w:lock w:val="sdtLocked"/>
            </w:sdtPr>
            <w:sdtEndPr/>
            <w:sdtContent>
              <w:tr w:rsidR="00B201D3" w14:paraId="4DB3F194" w14:textId="77777777">
                <w:trPr>
                  <w:trHeight w:val="293"/>
                </w:trPr>
                <w:tc>
                  <w:tcPr>
                    <w:tcW w:w="2169" w:type="pct"/>
                    <w:tcBorders>
                      <w:top w:val="single" w:sz="4" w:space="0" w:color="auto"/>
                      <w:bottom w:val="single" w:sz="4" w:space="0" w:color="auto"/>
                      <w:right w:val="single" w:sz="4" w:space="0" w:color="auto"/>
                    </w:tcBorders>
                    <w:shd w:val="clear" w:color="auto" w:fill="auto"/>
                  </w:tcPr>
                  <w:p w14:paraId="4916DBC0" w14:textId="77777777" w:rsidR="00B201D3" w:rsidRDefault="009855E8">
                    <w:pPr>
                      <w:kinsoku w:val="0"/>
                      <w:overflowPunct w:val="0"/>
                      <w:autoSpaceDE w:val="0"/>
                      <w:autoSpaceDN w:val="0"/>
                      <w:adjustRightInd w:val="0"/>
                      <w:snapToGrid w:val="0"/>
                    </w:pPr>
                    <w:r>
                      <w:t>香港联交所授权代表</w:t>
                    </w:r>
                  </w:p>
                </w:tc>
                <w:tc>
                  <w:tcPr>
                    <w:tcW w:w="2831" w:type="pct"/>
                    <w:tcBorders>
                      <w:top w:val="single" w:sz="4" w:space="0" w:color="auto"/>
                      <w:left w:val="single" w:sz="4" w:space="0" w:color="auto"/>
                      <w:bottom w:val="single" w:sz="4" w:space="0" w:color="auto"/>
                    </w:tcBorders>
                  </w:tcPr>
                  <w:p w14:paraId="0CF92959" w14:textId="77777777" w:rsidR="00B201D3" w:rsidRDefault="009855E8">
                    <w:pPr>
                      <w:kinsoku w:val="0"/>
                      <w:overflowPunct w:val="0"/>
                      <w:autoSpaceDE w:val="0"/>
                      <w:autoSpaceDN w:val="0"/>
                      <w:adjustRightInd w:val="0"/>
                      <w:snapToGrid w:val="0"/>
                    </w:pPr>
                    <w:r w:rsidRPr="00015F71">
                      <w:rPr>
                        <w:rFonts w:hint="eastAsia"/>
                      </w:rPr>
                      <w:t>苏力</w:t>
                    </w:r>
                    <w:r w:rsidRPr="00015F71">
                      <w:t>、黄霄龙</w:t>
                    </w:r>
                  </w:p>
                </w:tc>
              </w:tr>
            </w:sdtContent>
          </w:sdt>
        </w:tbl>
        <w:p w14:paraId="0B47A817" w14:textId="77777777" w:rsidR="00B201D3" w:rsidRDefault="009855E8">
          <w:pPr>
            <w:rPr>
              <w:i/>
            </w:rPr>
          </w:pPr>
          <w:r>
            <w:t>*</w:t>
          </w:r>
          <w:r>
            <w:rPr>
              <w:rFonts w:hint="eastAsia"/>
              <w:i/>
            </w:rPr>
            <w:t>仅供识别</w:t>
          </w:r>
        </w:p>
        <w:p w14:paraId="57082E5B" w14:textId="77777777" w:rsidR="00B201D3" w:rsidRDefault="00C8327E">
          <w:pPr>
            <w:pStyle w:val="3903"/>
          </w:pPr>
        </w:p>
      </w:sdtContent>
    </w:sdt>
    <w:bookmarkStart w:id="10" w:name="_Toc342051042" w:displacedByCustomXml="next"/>
    <w:bookmarkStart w:id="11" w:name="_Toc342565882" w:displacedByCustomXml="next"/>
    <w:sdt>
      <w:sdtPr>
        <w:rPr>
          <w:rFonts w:ascii="宋体" w:hAnsi="宋体" w:cs="宋体" w:hint="eastAsia"/>
          <w:b w:val="0"/>
          <w:bCs w:val="0"/>
          <w:kern w:val="0"/>
          <w:szCs w:val="24"/>
        </w:rPr>
        <w:alias w:val="模块:联系人和联系方式"/>
        <w:tag w:val="_GBC_c68db6bd18a148f3a9683d04b791123b"/>
        <w:id w:val="-242956163"/>
        <w:placeholder>
          <w:docPart w:val="GBC22222222222222222222222222222"/>
        </w:placeholder>
      </w:sdtPr>
      <w:sdtEndPr>
        <w:rPr>
          <w:rFonts w:hint="default"/>
          <w:szCs w:val="21"/>
        </w:rPr>
      </w:sdtEndPr>
      <w:sdtContent>
        <w:p w14:paraId="6FE73525" w14:textId="77777777" w:rsidR="00B201D3" w:rsidRDefault="009855E8">
          <w:pPr>
            <w:pStyle w:val="2"/>
            <w:numPr>
              <w:ilvl w:val="0"/>
              <w:numId w:val="3"/>
            </w:numPr>
            <w:ind w:firstLineChars="0"/>
          </w:pPr>
          <w:r>
            <w:rPr>
              <w:rFonts w:hint="eastAsia"/>
            </w:rPr>
            <w:t>联系人和联系方式</w:t>
          </w:r>
          <w:bookmarkEnd w:id="11"/>
          <w:bookmarkEnd w:id="10"/>
        </w:p>
        <w:tbl>
          <w:tblPr>
            <w:tblStyle w:val="g1"/>
            <w:tblW w:w="5138" w:type="pct"/>
            <w:tblInd w:w="0"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4A0" w:firstRow="1" w:lastRow="0" w:firstColumn="1" w:lastColumn="0" w:noHBand="0" w:noVBand="1"/>
          </w:tblPr>
          <w:tblGrid>
            <w:gridCol w:w="2565"/>
            <w:gridCol w:w="3242"/>
            <w:gridCol w:w="3260"/>
          </w:tblGrid>
          <w:tr w:rsidR="00B201D3" w14:paraId="2828A38B" w14:textId="77777777">
            <w:tc>
              <w:tcPr>
                <w:tcW w:w="1414" w:type="pct"/>
                <w:tcBorders>
                  <w:top w:val="single" w:sz="4" w:space="0" w:color="auto"/>
                  <w:bottom w:val="single" w:sz="4" w:space="0" w:color="auto"/>
                  <w:right w:val="single" w:sz="4" w:space="0" w:color="auto"/>
                </w:tcBorders>
                <w:shd w:val="clear" w:color="auto" w:fill="auto"/>
              </w:tcPr>
              <w:p w14:paraId="13EEAF5A" w14:textId="77777777" w:rsidR="00B201D3" w:rsidRDefault="00B201D3">
                <w:pPr>
                  <w:kinsoku w:val="0"/>
                  <w:overflowPunct w:val="0"/>
                  <w:autoSpaceDE w:val="0"/>
                  <w:autoSpaceDN w:val="0"/>
                  <w:adjustRightInd w:val="0"/>
                  <w:snapToGrid w:val="0"/>
                </w:pPr>
              </w:p>
            </w:tc>
            <w:tc>
              <w:tcPr>
                <w:tcW w:w="1788" w:type="pct"/>
                <w:tcBorders>
                  <w:top w:val="single" w:sz="4" w:space="0" w:color="auto"/>
                  <w:left w:val="single" w:sz="4" w:space="0" w:color="auto"/>
                  <w:bottom w:val="single" w:sz="4" w:space="0" w:color="auto"/>
                  <w:right w:val="single" w:sz="4" w:space="0" w:color="auto"/>
                </w:tcBorders>
                <w:shd w:val="clear" w:color="auto" w:fill="auto"/>
              </w:tcPr>
              <w:p w14:paraId="46C9BA2E" w14:textId="77777777" w:rsidR="00B201D3" w:rsidRDefault="00C8327E">
                <w:pPr>
                  <w:pStyle w:val="aa"/>
                  <w:kinsoku w:val="0"/>
                  <w:overflowPunct w:val="0"/>
                  <w:autoSpaceDE w:val="0"/>
                  <w:autoSpaceDN w:val="0"/>
                  <w:adjustRightInd w:val="0"/>
                  <w:snapToGrid w:val="0"/>
                  <w:jc w:val="center"/>
                  <w:rPr>
                    <w:rFonts w:ascii="宋体" w:hAnsi="宋体"/>
                    <w:color w:val="008000"/>
                  </w:rPr>
                </w:pPr>
                <w:sdt>
                  <w:sdtPr>
                    <w:rPr>
                      <w:rFonts w:ascii="宋体" w:hAnsi="宋体"/>
                    </w:rPr>
                    <w:tag w:val="_PLD_d0432012a3f249c3b4fdd759ff340e86"/>
                    <w:id w:val="354093432"/>
                  </w:sdtPr>
                  <w:sdtEndPr/>
                  <w:sdtContent>
                    <w:r w:rsidR="009855E8">
                      <w:rPr>
                        <w:rFonts w:ascii="宋体" w:hAnsi="宋体" w:cs="宋体" w:hint="eastAsia"/>
                      </w:rPr>
                      <w:t>董事会秘书</w:t>
                    </w:r>
                  </w:sdtContent>
                </w:sdt>
                <w:r w:rsidR="009855E8">
                  <w:rPr>
                    <w:rFonts w:ascii="宋体" w:hAnsi="宋体"/>
                  </w:rPr>
                  <w:t xml:space="preserve"> </w:t>
                </w:r>
              </w:p>
            </w:tc>
            <w:sdt>
              <w:sdtPr>
                <w:rPr>
                  <w:rFonts w:ascii="宋体" w:hAnsi="宋体"/>
                </w:rPr>
                <w:tag w:val="_PLD_3a25396416c14d2cb0688ae0ac8a1d4d"/>
                <w:id w:val="-1855028125"/>
              </w:sdtPr>
              <w:sdtEndPr/>
              <w:sdtContent>
                <w:tc>
                  <w:tcPr>
                    <w:tcW w:w="1798" w:type="pct"/>
                    <w:tcBorders>
                      <w:top w:val="single" w:sz="4" w:space="0" w:color="auto"/>
                      <w:left w:val="single" w:sz="4" w:space="0" w:color="auto"/>
                      <w:bottom w:val="single" w:sz="4" w:space="0" w:color="auto"/>
                    </w:tcBorders>
                    <w:shd w:val="clear" w:color="auto" w:fill="auto"/>
                  </w:tcPr>
                  <w:p w14:paraId="43F8502D" w14:textId="77777777" w:rsidR="00B201D3" w:rsidRDefault="009855E8">
                    <w:pPr>
                      <w:pStyle w:val="aa"/>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sdtContent>
            </w:sdt>
          </w:tr>
          <w:tr w:rsidR="00B201D3" w14:paraId="483CC502" w14:textId="77777777">
            <w:sdt>
              <w:sdtPr>
                <w:tag w:val="_PLD_c18fe8824f6a4cb6b9318e599fe71657"/>
                <w:id w:val="859937003"/>
              </w:sdtPr>
              <w:sdtEndPr/>
              <w:sdtContent>
                <w:tc>
                  <w:tcPr>
                    <w:tcW w:w="1414" w:type="pct"/>
                    <w:tcBorders>
                      <w:top w:val="single" w:sz="4" w:space="0" w:color="auto"/>
                      <w:bottom w:val="single" w:sz="4" w:space="0" w:color="auto"/>
                      <w:right w:val="single" w:sz="4" w:space="0" w:color="auto"/>
                    </w:tcBorders>
                    <w:shd w:val="clear" w:color="auto" w:fill="auto"/>
                    <w:vAlign w:val="center"/>
                  </w:tcPr>
                  <w:p w14:paraId="3A16D321" w14:textId="77777777" w:rsidR="00B201D3" w:rsidRDefault="009855E8">
                    <w:pPr>
                      <w:kinsoku w:val="0"/>
                      <w:overflowPunct w:val="0"/>
                      <w:autoSpaceDE w:val="0"/>
                      <w:autoSpaceDN w:val="0"/>
                      <w:adjustRightInd w:val="0"/>
                      <w:snapToGrid w:val="0"/>
                      <w:jc w:val="both"/>
                    </w:pPr>
                    <w:r>
                      <w:rPr>
                        <w:rFonts w:hint="eastAsia"/>
                      </w:rPr>
                      <w:t>姓名</w:t>
                    </w:r>
                  </w:p>
                </w:tc>
              </w:sdtContent>
            </w:sdt>
            <w:tc>
              <w:tcPr>
                <w:tcW w:w="1788" w:type="pct"/>
                <w:tcBorders>
                  <w:top w:val="single" w:sz="4" w:space="0" w:color="auto"/>
                  <w:left w:val="single" w:sz="4" w:space="0" w:color="auto"/>
                  <w:bottom w:val="single" w:sz="4" w:space="0" w:color="auto"/>
                  <w:right w:val="single" w:sz="4" w:space="0" w:color="auto"/>
                </w:tcBorders>
                <w:vAlign w:val="center"/>
              </w:tcPr>
              <w:p w14:paraId="18AE6558" w14:textId="77777777" w:rsidR="00B201D3" w:rsidRDefault="009855E8">
                <w:pPr>
                  <w:kinsoku w:val="0"/>
                  <w:overflowPunct w:val="0"/>
                  <w:autoSpaceDE w:val="0"/>
                  <w:autoSpaceDN w:val="0"/>
                  <w:adjustRightInd w:val="0"/>
                  <w:snapToGrid w:val="0"/>
                  <w:jc w:val="both"/>
                </w:pPr>
                <w:r>
                  <w:t>黄霄龙</w:t>
                </w:r>
              </w:p>
            </w:tc>
            <w:tc>
              <w:tcPr>
                <w:tcW w:w="1798" w:type="pct"/>
                <w:tcBorders>
                  <w:top w:val="single" w:sz="4" w:space="0" w:color="auto"/>
                  <w:left w:val="single" w:sz="4" w:space="0" w:color="auto"/>
                  <w:bottom w:val="single" w:sz="4" w:space="0" w:color="auto"/>
                </w:tcBorders>
                <w:vAlign w:val="center"/>
              </w:tcPr>
              <w:p w14:paraId="757297F7" w14:textId="77777777" w:rsidR="00B201D3" w:rsidRDefault="009855E8">
                <w:pPr>
                  <w:kinsoku w:val="0"/>
                  <w:overflowPunct w:val="0"/>
                  <w:autoSpaceDE w:val="0"/>
                  <w:autoSpaceDN w:val="0"/>
                  <w:adjustRightInd w:val="0"/>
                  <w:snapToGrid w:val="0"/>
                  <w:jc w:val="both"/>
                </w:pPr>
                <w:r>
                  <w:t>商晓宇</w:t>
                </w:r>
              </w:p>
            </w:tc>
          </w:tr>
          <w:tr w:rsidR="00B201D3" w14:paraId="0EA58EFB" w14:textId="77777777">
            <w:sdt>
              <w:sdtPr>
                <w:tag w:val="_PLD_7d3032f58380420991f3cbceac5e81fd"/>
                <w:id w:val="-602333335"/>
              </w:sdtPr>
              <w:sdtEndPr/>
              <w:sdtContent>
                <w:tc>
                  <w:tcPr>
                    <w:tcW w:w="1414" w:type="pct"/>
                    <w:tcBorders>
                      <w:top w:val="single" w:sz="4" w:space="0" w:color="auto"/>
                      <w:bottom w:val="single" w:sz="4" w:space="0" w:color="auto"/>
                      <w:right w:val="single" w:sz="4" w:space="0" w:color="auto"/>
                    </w:tcBorders>
                    <w:shd w:val="clear" w:color="auto" w:fill="auto"/>
                    <w:vAlign w:val="center"/>
                  </w:tcPr>
                  <w:p w14:paraId="5E5EB551" w14:textId="77777777" w:rsidR="00B201D3" w:rsidRDefault="009855E8">
                    <w:pPr>
                      <w:kinsoku w:val="0"/>
                      <w:overflowPunct w:val="0"/>
                      <w:autoSpaceDE w:val="0"/>
                      <w:autoSpaceDN w:val="0"/>
                      <w:adjustRightInd w:val="0"/>
                      <w:snapToGrid w:val="0"/>
                      <w:jc w:val="both"/>
                    </w:pPr>
                    <w:r>
                      <w:rPr>
                        <w:rFonts w:hint="eastAsia"/>
                      </w:rPr>
                      <w:t>联系地址</w:t>
                    </w:r>
                  </w:p>
                </w:tc>
              </w:sdtContent>
            </w:sdt>
            <w:tc>
              <w:tcPr>
                <w:tcW w:w="1788" w:type="pct"/>
                <w:tcBorders>
                  <w:top w:val="single" w:sz="4" w:space="0" w:color="auto"/>
                  <w:left w:val="single" w:sz="4" w:space="0" w:color="auto"/>
                  <w:bottom w:val="single" w:sz="4" w:space="0" w:color="auto"/>
                  <w:right w:val="single" w:sz="4" w:space="0" w:color="auto"/>
                </w:tcBorders>
                <w:vAlign w:val="center"/>
              </w:tcPr>
              <w:p w14:paraId="725ECB3A" w14:textId="77777777" w:rsidR="00B201D3" w:rsidRDefault="009855E8">
                <w:pPr>
                  <w:kinsoku w:val="0"/>
                  <w:overflowPunct w:val="0"/>
                  <w:autoSpaceDE w:val="0"/>
                  <w:autoSpaceDN w:val="0"/>
                  <w:adjustRightInd w:val="0"/>
                  <w:snapToGrid w:val="0"/>
                  <w:jc w:val="both"/>
                </w:pPr>
                <w:r>
                  <w:t>中国山东省邹城市凫山南路949号</w:t>
                </w:r>
              </w:p>
              <w:p w14:paraId="39A75201" w14:textId="77777777" w:rsidR="00B201D3" w:rsidRDefault="009855E8">
                <w:pPr>
                  <w:kinsoku w:val="0"/>
                  <w:overflowPunct w:val="0"/>
                  <w:autoSpaceDE w:val="0"/>
                  <w:autoSpaceDN w:val="0"/>
                  <w:adjustRightInd w:val="0"/>
                  <w:snapToGrid w:val="0"/>
                  <w:jc w:val="both"/>
                </w:pPr>
                <w:r>
                  <w:t>兖矿能源集团股份有限公司董事会</w:t>
                </w:r>
              </w:p>
              <w:p w14:paraId="6301B36C" w14:textId="77777777" w:rsidR="00B201D3" w:rsidRDefault="009855E8">
                <w:pPr>
                  <w:kinsoku w:val="0"/>
                  <w:overflowPunct w:val="0"/>
                  <w:autoSpaceDE w:val="0"/>
                  <w:autoSpaceDN w:val="0"/>
                  <w:adjustRightInd w:val="0"/>
                  <w:snapToGrid w:val="0"/>
                  <w:jc w:val="both"/>
                </w:pPr>
                <w:r>
                  <w:t>秘书处</w:t>
                </w:r>
              </w:p>
            </w:tc>
            <w:tc>
              <w:tcPr>
                <w:tcW w:w="1798" w:type="pct"/>
                <w:tcBorders>
                  <w:top w:val="single" w:sz="4" w:space="0" w:color="auto"/>
                  <w:left w:val="single" w:sz="4" w:space="0" w:color="auto"/>
                  <w:bottom w:val="single" w:sz="4" w:space="0" w:color="auto"/>
                </w:tcBorders>
                <w:vAlign w:val="center"/>
              </w:tcPr>
              <w:p w14:paraId="534D25E0" w14:textId="77777777" w:rsidR="00B201D3" w:rsidRDefault="009855E8">
                <w:pPr>
                  <w:kinsoku w:val="0"/>
                  <w:overflowPunct w:val="0"/>
                  <w:autoSpaceDE w:val="0"/>
                  <w:autoSpaceDN w:val="0"/>
                  <w:adjustRightInd w:val="0"/>
                  <w:snapToGrid w:val="0"/>
                  <w:jc w:val="both"/>
                </w:pPr>
                <w:r>
                  <w:t>中国山东省邹城市凫山南路949号</w:t>
                </w:r>
              </w:p>
              <w:p w14:paraId="51B2F4F1" w14:textId="77777777" w:rsidR="00B201D3" w:rsidRDefault="009855E8">
                <w:pPr>
                  <w:kinsoku w:val="0"/>
                  <w:overflowPunct w:val="0"/>
                  <w:autoSpaceDE w:val="0"/>
                  <w:autoSpaceDN w:val="0"/>
                  <w:adjustRightInd w:val="0"/>
                  <w:snapToGrid w:val="0"/>
                  <w:jc w:val="both"/>
                </w:pPr>
                <w:r>
                  <w:t>兖矿能源集团股份有限公司董事会</w:t>
                </w:r>
              </w:p>
              <w:p w14:paraId="596B90F9" w14:textId="77777777" w:rsidR="00B201D3" w:rsidRDefault="009855E8">
                <w:pPr>
                  <w:kinsoku w:val="0"/>
                  <w:overflowPunct w:val="0"/>
                  <w:autoSpaceDE w:val="0"/>
                  <w:autoSpaceDN w:val="0"/>
                  <w:adjustRightInd w:val="0"/>
                  <w:snapToGrid w:val="0"/>
                  <w:jc w:val="both"/>
                </w:pPr>
                <w:r>
                  <w:t>秘书处</w:t>
                </w:r>
              </w:p>
            </w:tc>
          </w:tr>
          <w:tr w:rsidR="00B201D3" w14:paraId="5E89F816" w14:textId="77777777">
            <w:sdt>
              <w:sdtPr>
                <w:tag w:val="_PLD_84ed4619f9cd46ba8ed261c2524b976d"/>
                <w:id w:val="1284313817"/>
              </w:sdtPr>
              <w:sdtEndPr/>
              <w:sdtContent>
                <w:tc>
                  <w:tcPr>
                    <w:tcW w:w="1414" w:type="pct"/>
                    <w:tcBorders>
                      <w:top w:val="single" w:sz="4" w:space="0" w:color="auto"/>
                      <w:bottom w:val="single" w:sz="4" w:space="0" w:color="auto"/>
                      <w:right w:val="single" w:sz="4" w:space="0" w:color="auto"/>
                    </w:tcBorders>
                    <w:shd w:val="clear" w:color="auto" w:fill="auto"/>
                    <w:vAlign w:val="center"/>
                  </w:tcPr>
                  <w:p w14:paraId="006AE397" w14:textId="77777777" w:rsidR="00B201D3" w:rsidRDefault="009855E8">
                    <w:pPr>
                      <w:kinsoku w:val="0"/>
                      <w:overflowPunct w:val="0"/>
                      <w:autoSpaceDE w:val="0"/>
                      <w:autoSpaceDN w:val="0"/>
                      <w:adjustRightInd w:val="0"/>
                      <w:snapToGrid w:val="0"/>
                      <w:jc w:val="both"/>
                    </w:pPr>
                    <w:r>
                      <w:t>电话</w:t>
                    </w:r>
                  </w:p>
                </w:tc>
              </w:sdtContent>
            </w:sdt>
            <w:tc>
              <w:tcPr>
                <w:tcW w:w="1788" w:type="pct"/>
                <w:tcBorders>
                  <w:top w:val="single" w:sz="4" w:space="0" w:color="auto"/>
                  <w:left w:val="single" w:sz="4" w:space="0" w:color="auto"/>
                  <w:bottom w:val="single" w:sz="4" w:space="0" w:color="auto"/>
                  <w:right w:val="single" w:sz="4" w:space="0" w:color="auto"/>
                </w:tcBorders>
                <w:vAlign w:val="center"/>
              </w:tcPr>
              <w:p w14:paraId="1FA9D85F" w14:textId="77777777" w:rsidR="00B201D3" w:rsidRDefault="009855E8">
                <w:pPr>
                  <w:kinsoku w:val="0"/>
                  <w:overflowPunct w:val="0"/>
                  <w:autoSpaceDE w:val="0"/>
                  <w:autoSpaceDN w:val="0"/>
                  <w:adjustRightInd w:val="0"/>
                  <w:snapToGrid w:val="0"/>
                  <w:jc w:val="both"/>
                </w:pPr>
                <w:r>
                  <w:t>（86 537）538 2319</w:t>
                </w:r>
              </w:p>
            </w:tc>
            <w:tc>
              <w:tcPr>
                <w:tcW w:w="1798" w:type="pct"/>
                <w:tcBorders>
                  <w:top w:val="single" w:sz="4" w:space="0" w:color="auto"/>
                  <w:left w:val="single" w:sz="4" w:space="0" w:color="auto"/>
                  <w:bottom w:val="single" w:sz="4" w:space="0" w:color="auto"/>
                </w:tcBorders>
                <w:vAlign w:val="center"/>
              </w:tcPr>
              <w:p w14:paraId="51DE770C" w14:textId="77777777" w:rsidR="00B201D3" w:rsidRDefault="009855E8">
                <w:pPr>
                  <w:kinsoku w:val="0"/>
                  <w:overflowPunct w:val="0"/>
                  <w:autoSpaceDE w:val="0"/>
                  <w:autoSpaceDN w:val="0"/>
                  <w:adjustRightInd w:val="0"/>
                  <w:snapToGrid w:val="0"/>
                  <w:jc w:val="both"/>
                </w:pPr>
                <w:r>
                  <w:t>（86 537）539 2377</w:t>
                </w:r>
              </w:p>
            </w:tc>
          </w:tr>
          <w:tr w:rsidR="00B201D3" w14:paraId="7AFAB99B" w14:textId="77777777">
            <w:sdt>
              <w:sdtPr>
                <w:tag w:val="_PLD_53ff1b9808534a99b3bbc1bc09dac246"/>
                <w:id w:val="1490755133"/>
              </w:sdtPr>
              <w:sdtEndPr/>
              <w:sdtContent>
                <w:tc>
                  <w:tcPr>
                    <w:tcW w:w="1414" w:type="pct"/>
                    <w:tcBorders>
                      <w:top w:val="single" w:sz="4" w:space="0" w:color="auto"/>
                      <w:bottom w:val="single" w:sz="4" w:space="0" w:color="auto"/>
                      <w:right w:val="single" w:sz="4" w:space="0" w:color="auto"/>
                    </w:tcBorders>
                    <w:shd w:val="clear" w:color="auto" w:fill="auto"/>
                    <w:vAlign w:val="center"/>
                  </w:tcPr>
                  <w:p w14:paraId="6DFF5BBA" w14:textId="77777777" w:rsidR="00B201D3" w:rsidRDefault="009855E8">
                    <w:pPr>
                      <w:kinsoku w:val="0"/>
                      <w:overflowPunct w:val="0"/>
                      <w:autoSpaceDE w:val="0"/>
                      <w:autoSpaceDN w:val="0"/>
                      <w:adjustRightInd w:val="0"/>
                      <w:snapToGrid w:val="0"/>
                      <w:jc w:val="both"/>
                    </w:pPr>
                    <w:r>
                      <w:t>传真</w:t>
                    </w:r>
                  </w:p>
                </w:tc>
              </w:sdtContent>
            </w:sdt>
            <w:tc>
              <w:tcPr>
                <w:tcW w:w="1788" w:type="pct"/>
                <w:tcBorders>
                  <w:top w:val="single" w:sz="4" w:space="0" w:color="auto"/>
                  <w:left w:val="single" w:sz="4" w:space="0" w:color="auto"/>
                  <w:bottom w:val="single" w:sz="4" w:space="0" w:color="auto"/>
                  <w:right w:val="single" w:sz="4" w:space="0" w:color="auto"/>
                </w:tcBorders>
                <w:vAlign w:val="center"/>
              </w:tcPr>
              <w:p w14:paraId="786ED272" w14:textId="77777777" w:rsidR="00B201D3" w:rsidRDefault="009855E8">
                <w:pPr>
                  <w:kinsoku w:val="0"/>
                  <w:overflowPunct w:val="0"/>
                  <w:autoSpaceDE w:val="0"/>
                  <w:autoSpaceDN w:val="0"/>
                  <w:adjustRightInd w:val="0"/>
                  <w:snapToGrid w:val="0"/>
                  <w:jc w:val="both"/>
                </w:pPr>
                <w:r>
                  <w:t>（86 537）538 3311</w:t>
                </w:r>
              </w:p>
            </w:tc>
            <w:tc>
              <w:tcPr>
                <w:tcW w:w="1798" w:type="pct"/>
                <w:tcBorders>
                  <w:top w:val="single" w:sz="4" w:space="0" w:color="auto"/>
                  <w:left w:val="single" w:sz="4" w:space="0" w:color="auto"/>
                  <w:bottom w:val="single" w:sz="4" w:space="0" w:color="auto"/>
                </w:tcBorders>
                <w:vAlign w:val="center"/>
              </w:tcPr>
              <w:p w14:paraId="4E8C6490" w14:textId="77777777" w:rsidR="00B201D3" w:rsidRDefault="009855E8">
                <w:pPr>
                  <w:kinsoku w:val="0"/>
                  <w:overflowPunct w:val="0"/>
                  <w:autoSpaceDE w:val="0"/>
                  <w:autoSpaceDN w:val="0"/>
                  <w:adjustRightInd w:val="0"/>
                  <w:snapToGrid w:val="0"/>
                  <w:jc w:val="both"/>
                </w:pPr>
                <w:r>
                  <w:t>（86 537）538 3311</w:t>
                </w:r>
              </w:p>
            </w:tc>
          </w:tr>
          <w:tr w:rsidR="00B201D3" w14:paraId="77ED7957" w14:textId="77777777">
            <w:sdt>
              <w:sdtPr>
                <w:tag w:val="_PLD_18165b6e55e1423db094125dc7ac3ad0"/>
                <w:id w:val="1576163346"/>
              </w:sdtPr>
              <w:sdtEndPr/>
              <w:sdtContent>
                <w:tc>
                  <w:tcPr>
                    <w:tcW w:w="1414" w:type="pct"/>
                    <w:tcBorders>
                      <w:top w:val="single" w:sz="4" w:space="0" w:color="auto"/>
                      <w:bottom w:val="single" w:sz="4" w:space="0" w:color="auto"/>
                      <w:right w:val="single" w:sz="4" w:space="0" w:color="auto"/>
                    </w:tcBorders>
                    <w:shd w:val="clear" w:color="auto" w:fill="auto"/>
                    <w:vAlign w:val="center"/>
                  </w:tcPr>
                  <w:p w14:paraId="7FAF7294" w14:textId="77777777" w:rsidR="00B201D3" w:rsidRDefault="009855E8">
                    <w:pPr>
                      <w:kinsoku w:val="0"/>
                      <w:overflowPunct w:val="0"/>
                      <w:autoSpaceDE w:val="0"/>
                      <w:autoSpaceDN w:val="0"/>
                      <w:adjustRightInd w:val="0"/>
                      <w:snapToGrid w:val="0"/>
                      <w:jc w:val="both"/>
                    </w:pPr>
                    <w:r>
                      <w:t>电子信箱</w:t>
                    </w:r>
                  </w:p>
                </w:tc>
              </w:sdtContent>
            </w:sdt>
            <w:tc>
              <w:tcPr>
                <w:tcW w:w="1788" w:type="pct"/>
                <w:tcBorders>
                  <w:top w:val="single" w:sz="4" w:space="0" w:color="auto"/>
                  <w:left w:val="single" w:sz="4" w:space="0" w:color="auto"/>
                  <w:bottom w:val="single" w:sz="4" w:space="0" w:color="auto"/>
                  <w:right w:val="single" w:sz="4" w:space="0" w:color="auto"/>
                </w:tcBorders>
                <w:vAlign w:val="center"/>
              </w:tcPr>
              <w:p w14:paraId="08CBA0F7" w14:textId="77777777" w:rsidR="00B201D3" w:rsidRDefault="009855E8">
                <w:pPr>
                  <w:kinsoku w:val="0"/>
                  <w:overflowPunct w:val="0"/>
                  <w:autoSpaceDE w:val="0"/>
                  <w:autoSpaceDN w:val="0"/>
                  <w:adjustRightInd w:val="0"/>
                  <w:snapToGrid w:val="0"/>
                  <w:jc w:val="both"/>
                </w:pPr>
                <w:r>
                  <w:t>yzc@yanzhoucoal.com.cn</w:t>
                </w:r>
              </w:p>
            </w:tc>
            <w:tc>
              <w:tcPr>
                <w:tcW w:w="1798" w:type="pct"/>
                <w:tcBorders>
                  <w:top w:val="single" w:sz="4" w:space="0" w:color="auto"/>
                  <w:left w:val="single" w:sz="4" w:space="0" w:color="auto"/>
                  <w:bottom w:val="single" w:sz="4" w:space="0" w:color="auto"/>
                </w:tcBorders>
                <w:vAlign w:val="center"/>
              </w:tcPr>
              <w:p w14:paraId="06EAC753" w14:textId="77777777" w:rsidR="00B201D3" w:rsidRDefault="009855E8">
                <w:pPr>
                  <w:kinsoku w:val="0"/>
                  <w:overflowPunct w:val="0"/>
                  <w:autoSpaceDE w:val="0"/>
                  <w:autoSpaceDN w:val="0"/>
                  <w:adjustRightInd w:val="0"/>
                  <w:snapToGrid w:val="0"/>
                  <w:jc w:val="both"/>
                </w:pPr>
                <w:r>
                  <w:t>xyshang.yzc@163.com</w:t>
                </w:r>
              </w:p>
            </w:tc>
          </w:tr>
        </w:tbl>
        <w:p w14:paraId="6C54F5AA" w14:textId="77777777" w:rsidR="00B201D3" w:rsidRDefault="00C8327E">
          <w:pPr>
            <w:pStyle w:val="3903"/>
          </w:pPr>
        </w:p>
      </w:sdtContent>
    </w:sdt>
    <w:sdt>
      <w:sdtPr>
        <w:rPr>
          <w:rFonts w:ascii="宋体" w:hAnsi="宋体" w:cs="宋体"/>
          <w:b w:val="0"/>
          <w:bCs w:val="0"/>
          <w:kern w:val="0"/>
          <w:szCs w:val="24"/>
        </w:rPr>
        <w:alias w:val="模块:基本情况变更简介公司注册地址公司注册地址的邮政编码（..."/>
        <w:tag w:val="_SEC_3b2e98069dfe4938a93e32b37561ce15"/>
        <w:id w:val="1231657479"/>
        <w:lock w:val="sdtLocked"/>
        <w:placeholder>
          <w:docPart w:val="GBC22222222222222222222222222222"/>
        </w:placeholder>
      </w:sdtPr>
      <w:sdtEndPr>
        <w:rPr>
          <w:szCs w:val="21"/>
        </w:rPr>
      </w:sdtEndPr>
      <w:sdtContent>
        <w:p w14:paraId="12616CBA" w14:textId="77777777" w:rsidR="00B201D3" w:rsidRDefault="009855E8">
          <w:pPr>
            <w:pStyle w:val="2"/>
            <w:numPr>
              <w:ilvl w:val="0"/>
              <w:numId w:val="3"/>
            </w:numPr>
            <w:ind w:firstLineChars="0"/>
          </w:pPr>
          <w:r>
            <w:t>基本情况简介</w:t>
          </w:r>
        </w:p>
        <w:tbl>
          <w:tblPr>
            <w:tblStyle w:val="g1"/>
            <w:tblW w:w="5000" w:type="pct"/>
            <w:tblInd w:w="0" w:type="dxa"/>
            <w:tblBorders>
              <w:top w:val="single" w:sz="4" w:space="0" w:color="auto"/>
              <w:left w:val="single" w:sz="4" w:space="0" w:color="auto"/>
              <w:bottom w:val="single" w:sz="4" w:space="0" w:color="auto"/>
              <w:right w:val="single" w:sz="4" w:space="0" w:color="auto"/>
            </w:tblBorders>
            <w:tblCellMar>
              <w:left w:w="30" w:type="dxa"/>
              <w:right w:w="30" w:type="dxa"/>
            </w:tblCellMar>
            <w:tblLook w:val="04A0" w:firstRow="1" w:lastRow="0" w:firstColumn="1" w:lastColumn="0" w:noHBand="0" w:noVBand="1"/>
          </w:tblPr>
          <w:tblGrid>
            <w:gridCol w:w="3827"/>
            <w:gridCol w:w="4996"/>
          </w:tblGrid>
          <w:tr w:rsidR="00B201D3" w14:paraId="3689B5C5" w14:textId="77777777">
            <w:trPr>
              <w:trHeight w:val="293"/>
            </w:trPr>
            <w:sdt>
              <w:sdtPr>
                <w:tag w:val="_PLD_85d89a4aa7974727a1dc32c53cb7ca26"/>
                <w:id w:val="-649976835"/>
              </w:sdtPr>
              <w:sdtEndPr/>
              <w:sdtContent>
                <w:tc>
                  <w:tcPr>
                    <w:tcW w:w="2169" w:type="pct"/>
                    <w:tcBorders>
                      <w:top w:val="single" w:sz="4" w:space="0" w:color="auto"/>
                      <w:bottom w:val="single" w:sz="4" w:space="0" w:color="auto"/>
                      <w:right w:val="single" w:sz="4" w:space="0" w:color="auto"/>
                    </w:tcBorders>
                    <w:shd w:val="clear" w:color="auto" w:fill="auto"/>
                    <w:vAlign w:val="center"/>
                  </w:tcPr>
                  <w:p w14:paraId="3E94D9B0" w14:textId="77777777" w:rsidR="00B201D3" w:rsidRDefault="009855E8">
                    <w:pPr>
                      <w:kinsoku w:val="0"/>
                      <w:overflowPunct w:val="0"/>
                      <w:autoSpaceDE w:val="0"/>
                      <w:autoSpaceDN w:val="0"/>
                      <w:adjustRightInd w:val="0"/>
                      <w:snapToGrid w:val="0"/>
                      <w:jc w:val="both"/>
                    </w:pPr>
                    <w:r>
                      <w:t>公司注册地址</w:t>
                    </w:r>
                  </w:p>
                </w:tc>
              </w:sdtContent>
            </w:sdt>
            <w:sdt>
              <w:sdtPr>
                <w:alias w:val="公司注册地址"/>
                <w:tag w:val="_GBC_176149bee7bf41819b29097eb854f331"/>
                <w:id w:val="-476836628"/>
              </w:sdtPr>
              <w:sdtEndPr/>
              <w:sdtContent>
                <w:tc>
                  <w:tcPr>
                    <w:tcW w:w="2831" w:type="pct"/>
                    <w:tcBorders>
                      <w:top w:val="single" w:sz="4" w:space="0" w:color="auto"/>
                      <w:left w:val="single" w:sz="4" w:space="0" w:color="auto"/>
                      <w:bottom w:val="single" w:sz="4" w:space="0" w:color="auto"/>
                    </w:tcBorders>
                  </w:tcPr>
                  <w:p w14:paraId="6F6FFEAA" w14:textId="77777777" w:rsidR="00B201D3" w:rsidRDefault="009855E8">
                    <w:pPr>
                      <w:kinsoku w:val="0"/>
                      <w:overflowPunct w:val="0"/>
                      <w:autoSpaceDE w:val="0"/>
                      <w:autoSpaceDN w:val="0"/>
                      <w:adjustRightInd w:val="0"/>
                      <w:snapToGrid w:val="0"/>
                    </w:pPr>
                    <w:r>
                      <w:rPr>
                        <w:rFonts w:hint="eastAsia"/>
                      </w:rPr>
                      <w:t>中国山东省邹城市凫山南路</w:t>
                    </w:r>
                    <w:r>
                      <w:t>949号</w:t>
                    </w:r>
                  </w:p>
                </w:tc>
              </w:sdtContent>
            </w:sdt>
          </w:tr>
          <w:tr w:rsidR="00B201D3" w14:paraId="7253F9B7" w14:textId="77777777">
            <w:trPr>
              <w:trHeight w:val="293"/>
            </w:trPr>
            <w:sdt>
              <w:sdtPr>
                <w:tag w:val="_PLD_afb934b530604b0a8d7df0bf16875d49"/>
                <w:id w:val="16360785"/>
              </w:sdtPr>
              <w:sdtEndPr/>
              <w:sdtContent>
                <w:tc>
                  <w:tcPr>
                    <w:tcW w:w="2169" w:type="pct"/>
                    <w:tcBorders>
                      <w:top w:val="single" w:sz="4" w:space="0" w:color="auto"/>
                      <w:bottom w:val="single" w:sz="4" w:space="0" w:color="auto"/>
                      <w:right w:val="single" w:sz="4" w:space="0" w:color="auto"/>
                    </w:tcBorders>
                    <w:shd w:val="clear" w:color="auto" w:fill="auto"/>
                    <w:vAlign w:val="center"/>
                  </w:tcPr>
                  <w:p w14:paraId="5C0F23B3" w14:textId="77777777" w:rsidR="00B201D3" w:rsidRDefault="009855E8">
                    <w:pPr>
                      <w:kinsoku w:val="0"/>
                      <w:overflowPunct w:val="0"/>
                      <w:autoSpaceDE w:val="0"/>
                      <w:autoSpaceDN w:val="0"/>
                      <w:adjustRightInd w:val="0"/>
                      <w:snapToGrid w:val="0"/>
                      <w:jc w:val="both"/>
                    </w:pPr>
                    <w:r>
                      <w:t>公司办公地址</w:t>
                    </w:r>
                  </w:p>
                </w:tc>
              </w:sdtContent>
            </w:sdt>
            <w:sdt>
              <w:sdtPr>
                <w:rPr>
                  <w:rFonts w:hint="eastAsia"/>
                </w:rPr>
                <w:alias w:val="公司办公地址"/>
                <w:tag w:val="_GBC_5d7ed1a91af0489a99a8b9a1eb39057e"/>
                <w:id w:val="1829858291"/>
              </w:sdtPr>
              <w:sdtEndPr/>
              <w:sdtContent>
                <w:tc>
                  <w:tcPr>
                    <w:tcW w:w="2831" w:type="pct"/>
                    <w:tcBorders>
                      <w:top w:val="single" w:sz="4" w:space="0" w:color="auto"/>
                      <w:left w:val="single" w:sz="4" w:space="0" w:color="auto"/>
                      <w:bottom w:val="single" w:sz="4" w:space="0" w:color="auto"/>
                    </w:tcBorders>
                  </w:tcPr>
                  <w:p w14:paraId="4BD981C3" w14:textId="77777777" w:rsidR="00B201D3" w:rsidRDefault="009855E8">
                    <w:pPr>
                      <w:kinsoku w:val="0"/>
                      <w:overflowPunct w:val="0"/>
                      <w:autoSpaceDE w:val="0"/>
                      <w:autoSpaceDN w:val="0"/>
                      <w:adjustRightInd w:val="0"/>
                      <w:snapToGrid w:val="0"/>
                    </w:pPr>
                    <w:r>
                      <w:rPr>
                        <w:rFonts w:hint="eastAsia"/>
                      </w:rPr>
                      <w:t>中国山东省邹城市凫山南路</w:t>
                    </w:r>
                    <w:r>
                      <w:t>949号</w:t>
                    </w:r>
                  </w:p>
                </w:tc>
              </w:sdtContent>
            </w:sdt>
          </w:tr>
          <w:tr w:rsidR="00B201D3" w14:paraId="136CD52C" w14:textId="77777777">
            <w:trPr>
              <w:trHeight w:val="293"/>
            </w:trPr>
            <w:sdt>
              <w:sdtPr>
                <w:tag w:val="_PLD_0b92629df2db4d92969852a0afee64f9"/>
                <w:id w:val="-1633635371"/>
              </w:sdtPr>
              <w:sdtEndPr/>
              <w:sdtContent>
                <w:tc>
                  <w:tcPr>
                    <w:tcW w:w="2169" w:type="pct"/>
                    <w:tcBorders>
                      <w:top w:val="single" w:sz="4" w:space="0" w:color="auto"/>
                      <w:bottom w:val="single" w:sz="4" w:space="0" w:color="auto"/>
                      <w:right w:val="single" w:sz="4" w:space="0" w:color="auto"/>
                    </w:tcBorders>
                    <w:shd w:val="clear" w:color="auto" w:fill="auto"/>
                    <w:vAlign w:val="center"/>
                  </w:tcPr>
                  <w:p w14:paraId="1A9FE68E" w14:textId="77777777" w:rsidR="00B201D3" w:rsidRDefault="009855E8">
                    <w:pPr>
                      <w:kinsoku w:val="0"/>
                      <w:overflowPunct w:val="0"/>
                      <w:autoSpaceDE w:val="0"/>
                      <w:autoSpaceDN w:val="0"/>
                      <w:adjustRightInd w:val="0"/>
                      <w:snapToGrid w:val="0"/>
                      <w:jc w:val="both"/>
                    </w:pPr>
                    <w:r>
                      <w:t>公司办公地址的邮政编码</w:t>
                    </w:r>
                  </w:p>
                </w:tc>
              </w:sdtContent>
            </w:sdt>
            <w:sdt>
              <w:sdtPr>
                <w:rPr>
                  <w:rFonts w:hint="eastAsia"/>
                </w:rPr>
                <w:alias w:val="公司办公地址邮政编码"/>
                <w:tag w:val="_GBC_0b586d6a76e74eb5bfd69803dd5b3f21"/>
                <w:id w:val="1584789239"/>
              </w:sdtPr>
              <w:sdtEndPr/>
              <w:sdtContent>
                <w:tc>
                  <w:tcPr>
                    <w:tcW w:w="2831" w:type="pct"/>
                    <w:tcBorders>
                      <w:top w:val="single" w:sz="4" w:space="0" w:color="auto"/>
                      <w:left w:val="single" w:sz="4" w:space="0" w:color="auto"/>
                      <w:bottom w:val="single" w:sz="4" w:space="0" w:color="auto"/>
                    </w:tcBorders>
                  </w:tcPr>
                  <w:p w14:paraId="035C9FD8" w14:textId="77777777" w:rsidR="00B201D3" w:rsidRDefault="009855E8">
                    <w:pPr>
                      <w:kinsoku w:val="0"/>
                      <w:overflowPunct w:val="0"/>
                      <w:autoSpaceDE w:val="0"/>
                      <w:autoSpaceDN w:val="0"/>
                      <w:adjustRightInd w:val="0"/>
                      <w:snapToGrid w:val="0"/>
                    </w:pPr>
                    <w:r>
                      <w:t>273500</w:t>
                    </w:r>
                  </w:p>
                </w:tc>
              </w:sdtContent>
            </w:sdt>
          </w:tr>
          <w:tr w:rsidR="00B201D3" w14:paraId="20FE0C61" w14:textId="77777777">
            <w:trPr>
              <w:trHeight w:val="293"/>
            </w:trPr>
            <w:sdt>
              <w:sdtPr>
                <w:tag w:val="_PLD_0d67a69c3a1340c3a07767557b490fe5"/>
                <w:id w:val="-559474946"/>
              </w:sdtPr>
              <w:sdtEndPr/>
              <w:sdtContent>
                <w:tc>
                  <w:tcPr>
                    <w:tcW w:w="2169" w:type="pct"/>
                    <w:tcBorders>
                      <w:top w:val="single" w:sz="4" w:space="0" w:color="auto"/>
                      <w:bottom w:val="single" w:sz="4" w:space="0" w:color="auto"/>
                      <w:right w:val="single" w:sz="4" w:space="0" w:color="auto"/>
                    </w:tcBorders>
                    <w:shd w:val="clear" w:color="auto" w:fill="auto"/>
                    <w:vAlign w:val="center"/>
                  </w:tcPr>
                  <w:p w14:paraId="513AB932" w14:textId="77777777" w:rsidR="00B201D3" w:rsidRDefault="009855E8">
                    <w:pPr>
                      <w:kinsoku w:val="0"/>
                      <w:overflowPunct w:val="0"/>
                      <w:autoSpaceDE w:val="0"/>
                      <w:autoSpaceDN w:val="0"/>
                      <w:adjustRightInd w:val="0"/>
                      <w:snapToGrid w:val="0"/>
                      <w:jc w:val="both"/>
                    </w:pPr>
                    <w:r>
                      <w:t>公司网址</w:t>
                    </w:r>
                  </w:p>
                </w:tc>
              </w:sdtContent>
            </w:sdt>
            <w:sdt>
              <w:sdtPr>
                <w:rPr>
                  <w:rFonts w:hint="eastAsia"/>
                </w:rPr>
                <w:alias w:val="公司国际互联网网址"/>
                <w:tag w:val="_GBC_7230b5ca49734fc2ad410245ff685045"/>
                <w:id w:val="1360239511"/>
              </w:sdtPr>
              <w:sdtEndPr/>
              <w:sdtContent>
                <w:tc>
                  <w:tcPr>
                    <w:tcW w:w="2831" w:type="pct"/>
                    <w:tcBorders>
                      <w:top w:val="single" w:sz="4" w:space="0" w:color="auto"/>
                      <w:left w:val="single" w:sz="4" w:space="0" w:color="auto"/>
                      <w:bottom w:val="single" w:sz="4" w:space="0" w:color="auto"/>
                    </w:tcBorders>
                  </w:tcPr>
                  <w:p w14:paraId="54DFA68D" w14:textId="77777777" w:rsidR="00B201D3" w:rsidRDefault="009855E8">
                    <w:pPr>
                      <w:kinsoku w:val="0"/>
                      <w:overflowPunct w:val="0"/>
                      <w:autoSpaceDE w:val="0"/>
                      <w:autoSpaceDN w:val="0"/>
                      <w:adjustRightInd w:val="0"/>
                      <w:snapToGrid w:val="0"/>
                    </w:pPr>
                    <w:r>
                      <w:t>http://www.ykenergy.com/</w:t>
                    </w:r>
                  </w:p>
                  <w:p w14:paraId="230564F0" w14:textId="77777777" w:rsidR="00B201D3" w:rsidRDefault="009855E8">
                    <w:pPr>
                      <w:kinsoku w:val="0"/>
                      <w:overflowPunct w:val="0"/>
                      <w:autoSpaceDE w:val="0"/>
                      <w:autoSpaceDN w:val="0"/>
                      <w:adjustRightInd w:val="0"/>
                      <w:snapToGrid w:val="0"/>
                    </w:pPr>
                    <w:r>
                      <w:t>http://www.yanzhoucoal.com.cn/</w:t>
                    </w:r>
                  </w:p>
                </w:tc>
              </w:sdtContent>
            </w:sdt>
          </w:tr>
          <w:tr w:rsidR="00B201D3" w14:paraId="23C35A07" w14:textId="77777777">
            <w:trPr>
              <w:trHeight w:val="293"/>
            </w:trPr>
            <w:sdt>
              <w:sdtPr>
                <w:tag w:val="_PLD_f90a226f402046c6b34fcce5cb28265b"/>
                <w:id w:val="1662505564"/>
              </w:sdtPr>
              <w:sdtEndPr/>
              <w:sdtContent>
                <w:tc>
                  <w:tcPr>
                    <w:tcW w:w="2169" w:type="pct"/>
                    <w:tcBorders>
                      <w:top w:val="single" w:sz="4" w:space="0" w:color="auto"/>
                      <w:bottom w:val="single" w:sz="4" w:space="0" w:color="auto"/>
                      <w:right w:val="single" w:sz="4" w:space="0" w:color="auto"/>
                    </w:tcBorders>
                    <w:shd w:val="clear" w:color="auto" w:fill="auto"/>
                    <w:vAlign w:val="center"/>
                  </w:tcPr>
                  <w:p w14:paraId="4D2D99C3" w14:textId="77777777" w:rsidR="00B201D3" w:rsidRDefault="009855E8">
                    <w:pPr>
                      <w:kinsoku w:val="0"/>
                      <w:overflowPunct w:val="0"/>
                      <w:autoSpaceDE w:val="0"/>
                      <w:autoSpaceDN w:val="0"/>
                      <w:adjustRightInd w:val="0"/>
                      <w:snapToGrid w:val="0"/>
                      <w:jc w:val="both"/>
                    </w:pPr>
                    <w:r>
                      <w:t>电子信箱</w:t>
                    </w:r>
                  </w:p>
                </w:tc>
              </w:sdtContent>
            </w:sdt>
            <w:sdt>
              <w:sdtPr>
                <w:rPr>
                  <w:rFonts w:hint="eastAsia"/>
                </w:rPr>
                <w:alias w:val="公司电子信箱"/>
                <w:tag w:val="_GBC_229dc578e23341bbaf9302c6a1aaeb1e"/>
                <w:id w:val="-2026087467"/>
              </w:sdtPr>
              <w:sdtEndPr/>
              <w:sdtContent>
                <w:tc>
                  <w:tcPr>
                    <w:tcW w:w="2831" w:type="pct"/>
                    <w:tcBorders>
                      <w:top w:val="single" w:sz="4" w:space="0" w:color="auto"/>
                      <w:left w:val="single" w:sz="4" w:space="0" w:color="auto"/>
                      <w:bottom w:val="single" w:sz="4" w:space="0" w:color="auto"/>
                    </w:tcBorders>
                  </w:tcPr>
                  <w:p w14:paraId="6970B457" w14:textId="77777777" w:rsidR="00B201D3" w:rsidRDefault="009855E8">
                    <w:pPr>
                      <w:kinsoku w:val="0"/>
                      <w:overflowPunct w:val="0"/>
                      <w:autoSpaceDE w:val="0"/>
                      <w:autoSpaceDN w:val="0"/>
                      <w:adjustRightInd w:val="0"/>
                      <w:snapToGrid w:val="0"/>
                    </w:pPr>
                    <w:r>
                      <w:t>yzc@yanzhoucoal.com.cn</w:t>
                    </w:r>
                  </w:p>
                </w:tc>
              </w:sdtContent>
            </w:sdt>
          </w:tr>
        </w:tbl>
        <w:p w14:paraId="18619204" w14:textId="77777777" w:rsidR="00B201D3" w:rsidRDefault="00C8327E">
          <w:pPr>
            <w:pStyle w:val="3903"/>
          </w:pPr>
        </w:p>
      </w:sdtContent>
    </w:sdt>
    <w:p w14:paraId="722B6443" w14:textId="77777777" w:rsidR="00B201D3" w:rsidRDefault="00B201D3">
      <w:pPr>
        <w:kinsoku w:val="0"/>
        <w:overflowPunct w:val="0"/>
        <w:autoSpaceDE w:val="0"/>
        <w:autoSpaceDN w:val="0"/>
        <w:adjustRightInd w:val="0"/>
        <w:snapToGrid w:val="0"/>
      </w:pPr>
    </w:p>
    <w:sdt>
      <w:sdtPr>
        <w:rPr>
          <w:rFonts w:ascii="宋体" w:hAnsi="宋体" w:cs="宋体"/>
          <w:b w:val="0"/>
          <w:bCs w:val="0"/>
          <w:kern w:val="0"/>
          <w:szCs w:val="24"/>
        </w:rPr>
        <w:alias w:val="模块:信息披露及备置地点变更情况简介"/>
        <w:tag w:val="_GBC_20a39c6141734cc19616660ebf1a0dfa"/>
        <w:id w:val="-92711445"/>
        <w:lock w:val="sdtLocked"/>
        <w:placeholder>
          <w:docPart w:val="GBC22222222222222222222222222222"/>
        </w:placeholder>
      </w:sdtPr>
      <w:sdtEndPr>
        <w:rPr>
          <w:szCs w:val="21"/>
        </w:rPr>
      </w:sdtEndPr>
      <w:sdtContent>
        <w:p w14:paraId="05B2631E" w14:textId="77777777" w:rsidR="00B201D3" w:rsidRDefault="009855E8">
          <w:pPr>
            <w:pStyle w:val="2"/>
            <w:numPr>
              <w:ilvl w:val="0"/>
              <w:numId w:val="3"/>
            </w:numPr>
            <w:ind w:firstLineChars="0"/>
          </w:pPr>
          <w:r>
            <w:t>信息披露及备置地点情况简介</w:t>
          </w:r>
        </w:p>
        <w:tbl>
          <w:tblPr>
            <w:tblStyle w:val="g1"/>
            <w:tblW w:w="5000" w:type="pct"/>
            <w:tblInd w:w="0" w:type="dxa"/>
            <w:tblBorders>
              <w:top w:val="single" w:sz="4" w:space="0" w:color="auto"/>
              <w:left w:val="single" w:sz="4" w:space="0" w:color="auto"/>
              <w:bottom w:val="single" w:sz="4" w:space="0" w:color="auto"/>
              <w:right w:val="single" w:sz="4" w:space="0" w:color="auto"/>
            </w:tblBorders>
            <w:tblCellMar>
              <w:left w:w="30" w:type="dxa"/>
              <w:right w:w="30" w:type="dxa"/>
            </w:tblCellMar>
            <w:tblLook w:val="04A0" w:firstRow="1" w:lastRow="0" w:firstColumn="1" w:lastColumn="0" w:noHBand="0" w:noVBand="1"/>
          </w:tblPr>
          <w:tblGrid>
            <w:gridCol w:w="3827"/>
            <w:gridCol w:w="4996"/>
          </w:tblGrid>
          <w:tr w:rsidR="00B201D3" w14:paraId="5D37FD3D" w14:textId="77777777">
            <w:trPr>
              <w:trHeight w:val="293"/>
            </w:trPr>
            <w:sdt>
              <w:sdtPr>
                <w:tag w:val="_PLD_5a9e1277ac2b48eb8d7aa1b69c532d31"/>
                <w:id w:val="1435867767"/>
              </w:sdtPr>
              <w:sdtEndPr/>
              <w:sdtContent>
                <w:tc>
                  <w:tcPr>
                    <w:tcW w:w="2169" w:type="pct"/>
                    <w:tcBorders>
                      <w:top w:val="single" w:sz="4" w:space="0" w:color="auto"/>
                      <w:bottom w:val="single" w:sz="4" w:space="0" w:color="auto"/>
                      <w:right w:val="single" w:sz="4" w:space="0" w:color="auto"/>
                    </w:tcBorders>
                    <w:shd w:val="clear" w:color="auto" w:fill="auto"/>
                    <w:vAlign w:val="center"/>
                  </w:tcPr>
                  <w:p w14:paraId="27912448" w14:textId="77777777" w:rsidR="00B201D3" w:rsidRDefault="009855E8">
                    <w:pPr>
                      <w:kinsoku w:val="0"/>
                      <w:overflowPunct w:val="0"/>
                      <w:autoSpaceDE w:val="0"/>
                      <w:autoSpaceDN w:val="0"/>
                      <w:adjustRightInd w:val="0"/>
                      <w:snapToGrid w:val="0"/>
                      <w:jc w:val="both"/>
                    </w:pPr>
                    <w:r>
                      <w:t>公司选定的信息披露报纸名称</w:t>
                    </w:r>
                  </w:p>
                </w:tc>
              </w:sdtContent>
            </w:sdt>
            <w:sdt>
              <w:sdtPr>
                <w:alias w:val="公司选定的信息披露报纸名称"/>
                <w:tag w:val="_GBC_ea25303a54e24033a0a9a380e9688e98"/>
                <w:id w:val="925702937"/>
              </w:sdtPr>
              <w:sdtEndPr/>
              <w:sdtContent>
                <w:tc>
                  <w:tcPr>
                    <w:tcW w:w="2831" w:type="pct"/>
                    <w:tcBorders>
                      <w:top w:val="single" w:sz="4" w:space="0" w:color="auto"/>
                      <w:left w:val="single" w:sz="4" w:space="0" w:color="auto"/>
                      <w:bottom w:val="single" w:sz="4" w:space="0" w:color="auto"/>
                    </w:tcBorders>
                    <w:vAlign w:val="center"/>
                  </w:tcPr>
                  <w:p w14:paraId="0629A258" w14:textId="36D00C37" w:rsidR="00B201D3" w:rsidRDefault="009855E8">
                    <w:pPr>
                      <w:kinsoku w:val="0"/>
                      <w:overflowPunct w:val="0"/>
                      <w:autoSpaceDE w:val="0"/>
                      <w:autoSpaceDN w:val="0"/>
                      <w:adjustRightInd w:val="0"/>
                      <w:snapToGrid w:val="0"/>
                      <w:jc w:val="both"/>
                    </w:pPr>
                    <w:r>
                      <w:rPr>
                        <w:rFonts w:hint="eastAsia"/>
                      </w:rPr>
                      <w:t>《中国证券报》（</w:t>
                    </w:r>
                    <w:r>
                      <w:t>http://www.cs.com.cn）</w:t>
                    </w:r>
                  </w:p>
                  <w:p w14:paraId="0645C8B0" w14:textId="66717D1C" w:rsidR="00B201D3" w:rsidRDefault="009855E8">
                    <w:pPr>
                      <w:kinsoku w:val="0"/>
                      <w:overflowPunct w:val="0"/>
                      <w:autoSpaceDE w:val="0"/>
                      <w:autoSpaceDN w:val="0"/>
                      <w:adjustRightInd w:val="0"/>
                      <w:snapToGrid w:val="0"/>
                      <w:jc w:val="both"/>
                    </w:pPr>
                    <w:r>
                      <w:rPr>
                        <w:rFonts w:hint="eastAsia"/>
                      </w:rPr>
                      <w:t>《上海证券报》（</w:t>
                    </w:r>
                    <w:r>
                      <w:t>http://www.cnstock.com）</w:t>
                    </w:r>
                  </w:p>
                  <w:p w14:paraId="3E30BCB0" w14:textId="77777777" w:rsidR="00B201D3" w:rsidRDefault="009855E8">
                    <w:pPr>
                      <w:kinsoku w:val="0"/>
                      <w:overflowPunct w:val="0"/>
                      <w:autoSpaceDE w:val="0"/>
                      <w:autoSpaceDN w:val="0"/>
                      <w:adjustRightInd w:val="0"/>
                      <w:snapToGrid w:val="0"/>
                      <w:jc w:val="both"/>
                    </w:pPr>
                    <w:r>
                      <w:rPr>
                        <w:rFonts w:hint="eastAsia"/>
                      </w:rPr>
                      <w:t>《证券时报》（</w:t>
                    </w:r>
                    <w:r>
                      <w:t>http://www.stcn.com）</w:t>
                    </w:r>
                  </w:p>
                  <w:p w14:paraId="6EC380FB" w14:textId="77777777" w:rsidR="00B201D3" w:rsidRDefault="009855E8">
                    <w:pPr>
                      <w:kinsoku w:val="0"/>
                      <w:overflowPunct w:val="0"/>
                      <w:autoSpaceDE w:val="0"/>
                      <w:autoSpaceDN w:val="0"/>
                      <w:adjustRightInd w:val="0"/>
                      <w:snapToGrid w:val="0"/>
                      <w:jc w:val="both"/>
                    </w:pPr>
                    <w:r>
                      <w:rPr>
                        <w:rFonts w:hint="eastAsia"/>
                      </w:rPr>
                      <w:t>《证券日报》（</w:t>
                    </w:r>
                    <w:r>
                      <w:t>http://www.zqrb.cn）</w:t>
                    </w:r>
                  </w:p>
                </w:tc>
              </w:sdtContent>
            </w:sdt>
          </w:tr>
          <w:tr w:rsidR="00B201D3" w14:paraId="5FE6D8A0" w14:textId="77777777">
            <w:trPr>
              <w:trHeight w:val="293"/>
            </w:trPr>
            <w:sdt>
              <w:sdtPr>
                <w:tag w:val="_PLD_34ad3e071c96488fa36dcc1913587c39"/>
                <w:id w:val="-859888621"/>
              </w:sdtPr>
              <w:sdtEndPr/>
              <w:sdtContent>
                <w:tc>
                  <w:tcPr>
                    <w:tcW w:w="2169" w:type="pct"/>
                    <w:tcBorders>
                      <w:top w:val="single" w:sz="4" w:space="0" w:color="auto"/>
                      <w:bottom w:val="single" w:sz="4" w:space="0" w:color="auto"/>
                      <w:right w:val="single" w:sz="4" w:space="0" w:color="auto"/>
                    </w:tcBorders>
                    <w:shd w:val="clear" w:color="auto" w:fill="auto"/>
                    <w:vAlign w:val="center"/>
                  </w:tcPr>
                  <w:p w14:paraId="47FB0844" w14:textId="77777777" w:rsidR="00B201D3" w:rsidRDefault="009855E8">
                    <w:pPr>
                      <w:kinsoku w:val="0"/>
                      <w:overflowPunct w:val="0"/>
                      <w:autoSpaceDE w:val="0"/>
                      <w:autoSpaceDN w:val="0"/>
                      <w:adjustRightInd w:val="0"/>
                      <w:snapToGrid w:val="0"/>
                      <w:jc w:val="both"/>
                    </w:pPr>
                    <w:r>
                      <w:t>登载半年度报告的</w:t>
                    </w:r>
                    <w:r>
                      <w:rPr>
                        <w:rFonts w:hint="eastAsia"/>
                      </w:rPr>
                      <w:t>网站地</w:t>
                    </w:r>
                    <w:r>
                      <w:t>址</w:t>
                    </w:r>
                  </w:p>
                </w:tc>
              </w:sdtContent>
            </w:sdt>
            <w:tc>
              <w:tcPr>
                <w:tcW w:w="2831" w:type="pct"/>
                <w:tcBorders>
                  <w:top w:val="single" w:sz="4" w:space="0" w:color="auto"/>
                  <w:left w:val="single" w:sz="4" w:space="0" w:color="auto"/>
                  <w:bottom w:val="single" w:sz="4" w:space="0" w:color="auto"/>
                </w:tcBorders>
                <w:vAlign w:val="center"/>
              </w:tcPr>
              <w:p w14:paraId="04790341" w14:textId="77777777" w:rsidR="00B201D3" w:rsidRDefault="009855E8">
                <w:pPr>
                  <w:kinsoku w:val="0"/>
                  <w:overflowPunct w:val="0"/>
                  <w:autoSpaceDE w:val="0"/>
                  <w:autoSpaceDN w:val="0"/>
                  <w:adjustRightInd w:val="0"/>
                  <w:snapToGrid w:val="0"/>
                  <w:jc w:val="both"/>
                </w:pPr>
                <w:r>
                  <w:t>A股半年度报告登载网址：http://www.sse.com.cn</w:t>
                </w:r>
              </w:p>
              <w:p w14:paraId="317E9354" w14:textId="77777777" w:rsidR="00B201D3" w:rsidRDefault="009855E8">
                <w:pPr>
                  <w:kinsoku w:val="0"/>
                  <w:overflowPunct w:val="0"/>
                  <w:autoSpaceDE w:val="0"/>
                  <w:autoSpaceDN w:val="0"/>
                  <w:adjustRightInd w:val="0"/>
                  <w:snapToGrid w:val="0"/>
                  <w:jc w:val="both"/>
                </w:pPr>
                <w:r>
                  <w:t>H股中期报告登载网址：http://www.hkexnews.hk</w:t>
                </w:r>
              </w:p>
            </w:tc>
          </w:tr>
          <w:tr w:rsidR="00B201D3" w14:paraId="5DFE0A43" w14:textId="77777777">
            <w:trPr>
              <w:trHeight w:val="293"/>
            </w:trPr>
            <w:sdt>
              <w:sdtPr>
                <w:tag w:val="_PLD_533f230e5c504d15b6024014067b6306"/>
                <w:id w:val="952834735"/>
              </w:sdtPr>
              <w:sdtEndPr/>
              <w:sdtContent>
                <w:tc>
                  <w:tcPr>
                    <w:tcW w:w="2169" w:type="pct"/>
                    <w:tcBorders>
                      <w:top w:val="single" w:sz="4" w:space="0" w:color="auto"/>
                      <w:bottom w:val="single" w:sz="4" w:space="0" w:color="auto"/>
                      <w:right w:val="single" w:sz="4" w:space="0" w:color="auto"/>
                    </w:tcBorders>
                    <w:shd w:val="clear" w:color="auto" w:fill="auto"/>
                    <w:vAlign w:val="center"/>
                  </w:tcPr>
                  <w:p w14:paraId="36116D88" w14:textId="77777777" w:rsidR="00B201D3" w:rsidRDefault="009855E8">
                    <w:pPr>
                      <w:kinsoku w:val="0"/>
                      <w:overflowPunct w:val="0"/>
                      <w:autoSpaceDE w:val="0"/>
                      <w:autoSpaceDN w:val="0"/>
                      <w:adjustRightInd w:val="0"/>
                      <w:snapToGrid w:val="0"/>
                      <w:jc w:val="both"/>
                    </w:pPr>
                    <w:r>
                      <w:t>公司半年度报告备置地点</w:t>
                    </w:r>
                  </w:p>
                </w:tc>
              </w:sdtContent>
            </w:sdt>
            <w:tc>
              <w:tcPr>
                <w:tcW w:w="2831" w:type="pct"/>
                <w:tcBorders>
                  <w:top w:val="single" w:sz="4" w:space="0" w:color="auto"/>
                  <w:left w:val="single" w:sz="4" w:space="0" w:color="auto"/>
                  <w:bottom w:val="single" w:sz="4" w:space="0" w:color="auto"/>
                </w:tcBorders>
                <w:vAlign w:val="center"/>
              </w:tcPr>
              <w:p w14:paraId="55A3DA77" w14:textId="77777777" w:rsidR="00B201D3" w:rsidRDefault="009855E8">
                <w:pPr>
                  <w:kinsoku w:val="0"/>
                  <w:overflowPunct w:val="0"/>
                  <w:autoSpaceDE w:val="0"/>
                  <w:autoSpaceDN w:val="0"/>
                  <w:adjustRightInd w:val="0"/>
                  <w:snapToGrid w:val="0"/>
                  <w:jc w:val="both"/>
                </w:pPr>
                <w:r>
                  <w:rPr>
                    <w:rFonts w:hint="eastAsia"/>
                  </w:rPr>
                  <w:t>中国山东省邹城市凫山南路</w:t>
                </w:r>
                <w:r>
                  <w:t>949号</w:t>
                </w:r>
              </w:p>
              <w:p w14:paraId="0A00DBD4" w14:textId="77777777" w:rsidR="00B201D3" w:rsidRDefault="009855E8">
                <w:pPr>
                  <w:kinsoku w:val="0"/>
                  <w:overflowPunct w:val="0"/>
                  <w:autoSpaceDE w:val="0"/>
                  <w:autoSpaceDN w:val="0"/>
                  <w:adjustRightInd w:val="0"/>
                  <w:snapToGrid w:val="0"/>
                  <w:jc w:val="both"/>
                </w:pPr>
                <w:r>
                  <w:rPr>
                    <w:rFonts w:hint="eastAsia"/>
                  </w:rPr>
                  <w:t>兖矿能源集团股份有限公司董事会秘书处</w:t>
                </w:r>
              </w:p>
            </w:tc>
          </w:tr>
        </w:tbl>
        <w:p w14:paraId="75DC99A8" w14:textId="77777777" w:rsidR="00B201D3" w:rsidRDefault="00C8327E">
          <w:pPr>
            <w:pStyle w:val="3903"/>
          </w:pPr>
        </w:p>
      </w:sdtContent>
    </w:sdt>
    <w:bookmarkStart w:id="12" w:name="_Toc342051045" w:displacedByCustomXml="next"/>
    <w:bookmarkStart w:id="13" w:name="_Toc342565885" w:displacedByCustomXml="next"/>
    <w:sdt>
      <w:sdtPr>
        <w:rPr>
          <w:rFonts w:ascii="宋体" w:hAnsi="宋体" w:cs="宋体" w:hint="eastAsia"/>
          <w:b w:val="0"/>
          <w:bCs w:val="0"/>
          <w:kern w:val="0"/>
          <w:szCs w:val="24"/>
        </w:rPr>
        <w:alias w:val="模块:公司股票简况"/>
        <w:tag w:val="_GBC_f73e31215837403db78d7a2ed15723c6"/>
        <w:id w:val="1243596974"/>
        <w:placeholder>
          <w:docPart w:val="GBC22222222222222222222222222222"/>
        </w:placeholder>
      </w:sdtPr>
      <w:sdtEndPr>
        <w:rPr>
          <w:color w:val="0070C0"/>
          <w:szCs w:val="21"/>
        </w:rPr>
      </w:sdtEndPr>
      <w:sdtContent>
        <w:p w14:paraId="2AFFC2C2" w14:textId="77777777" w:rsidR="00B201D3" w:rsidRDefault="009855E8">
          <w:pPr>
            <w:pStyle w:val="2"/>
            <w:numPr>
              <w:ilvl w:val="0"/>
              <w:numId w:val="3"/>
            </w:numPr>
            <w:ind w:firstLineChars="0"/>
          </w:pPr>
          <w:r>
            <w:rPr>
              <w:rFonts w:hint="eastAsia"/>
            </w:rPr>
            <w:t>公司股票简况</w:t>
          </w:r>
          <w:bookmarkEnd w:id="13"/>
          <w:bookmarkEnd w:id="12"/>
        </w:p>
        <w:tbl>
          <w:tblPr>
            <w:tblStyle w:val="g1"/>
            <w:tblW w:w="5000" w:type="pct"/>
            <w:tblInd w:w="0"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4A0" w:firstRow="1" w:lastRow="0" w:firstColumn="1" w:lastColumn="0" w:noHBand="0" w:noVBand="1"/>
          </w:tblPr>
          <w:tblGrid>
            <w:gridCol w:w="2205"/>
            <w:gridCol w:w="2206"/>
            <w:gridCol w:w="2206"/>
            <w:gridCol w:w="2206"/>
          </w:tblGrid>
          <w:tr w:rsidR="00B201D3" w14:paraId="479C59A2" w14:textId="77777777">
            <w:trPr>
              <w:trHeight w:val="293"/>
            </w:trPr>
            <w:sdt>
              <w:sdtPr>
                <w:tag w:val="_PLD_136d907086394f5eaee0ec7d22ac5510"/>
                <w:id w:val="1724709120"/>
                <w:lock w:val="sdtLocked"/>
              </w:sdtPr>
              <w:sdtEndPr/>
              <w:sdtContent>
                <w:tc>
                  <w:tcPr>
                    <w:tcW w:w="1250" w:type="pct"/>
                    <w:tcBorders>
                      <w:top w:val="single" w:sz="4" w:space="0" w:color="auto"/>
                      <w:bottom w:val="single" w:sz="4" w:space="0" w:color="auto"/>
                      <w:right w:val="single" w:sz="4" w:space="0" w:color="auto"/>
                    </w:tcBorders>
                    <w:shd w:val="clear" w:color="auto" w:fill="auto"/>
                  </w:tcPr>
                  <w:p w14:paraId="30DF68B7" w14:textId="77777777" w:rsidR="00B201D3" w:rsidRDefault="009855E8">
                    <w:pPr>
                      <w:kinsoku w:val="0"/>
                      <w:overflowPunct w:val="0"/>
                      <w:autoSpaceDE w:val="0"/>
                      <w:autoSpaceDN w:val="0"/>
                      <w:adjustRightInd w:val="0"/>
                      <w:snapToGrid w:val="0"/>
                      <w:jc w:val="center"/>
                    </w:pPr>
                    <w:r>
                      <w:rPr>
                        <w:rFonts w:hint="eastAsia"/>
                      </w:rPr>
                      <w:t>股票种类</w:t>
                    </w:r>
                  </w:p>
                </w:tc>
              </w:sdtContent>
            </w:sdt>
            <w:sdt>
              <w:sdtPr>
                <w:tag w:val="_PLD_6a843bcbb5a24c0aa6b5fa899c00d11d"/>
                <w:id w:val="-209646681"/>
                <w:lock w:val="sdtLocked"/>
              </w:sdtPr>
              <w:sdtEndPr/>
              <w:sdtContent>
                <w:tc>
                  <w:tcPr>
                    <w:tcW w:w="1250" w:type="pct"/>
                    <w:tcBorders>
                      <w:top w:val="single" w:sz="4" w:space="0" w:color="auto"/>
                      <w:left w:val="single" w:sz="4" w:space="0" w:color="auto"/>
                      <w:bottom w:val="single" w:sz="4" w:space="0" w:color="auto"/>
                      <w:right w:val="single" w:sz="4" w:space="0" w:color="auto"/>
                    </w:tcBorders>
                    <w:shd w:val="clear" w:color="auto" w:fill="auto"/>
                  </w:tcPr>
                  <w:p w14:paraId="05C0FEF7" w14:textId="77777777" w:rsidR="00B201D3" w:rsidRDefault="009855E8">
                    <w:pPr>
                      <w:kinsoku w:val="0"/>
                      <w:overflowPunct w:val="0"/>
                      <w:autoSpaceDE w:val="0"/>
                      <w:autoSpaceDN w:val="0"/>
                      <w:adjustRightInd w:val="0"/>
                      <w:snapToGrid w:val="0"/>
                      <w:jc w:val="center"/>
                    </w:pPr>
                    <w:r>
                      <w:rPr>
                        <w:rFonts w:hint="eastAsia"/>
                      </w:rPr>
                      <w:t>股票上市交易所</w:t>
                    </w:r>
                  </w:p>
                </w:tc>
              </w:sdtContent>
            </w:sdt>
            <w:sdt>
              <w:sdtPr>
                <w:tag w:val="_PLD_c012a58bb3cc4bbd9a7de1f52bd17553"/>
                <w:id w:val="1522585043"/>
                <w:lock w:val="sdtLocked"/>
              </w:sdtPr>
              <w:sdtEndPr/>
              <w:sdtContent>
                <w:tc>
                  <w:tcPr>
                    <w:tcW w:w="1250" w:type="pct"/>
                    <w:tcBorders>
                      <w:top w:val="single" w:sz="4" w:space="0" w:color="auto"/>
                      <w:left w:val="single" w:sz="4" w:space="0" w:color="auto"/>
                      <w:bottom w:val="single" w:sz="4" w:space="0" w:color="auto"/>
                      <w:right w:val="single" w:sz="4" w:space="0" w:color="auto"/>
                    </w:tcBorders>
                    <w:shd w:val="clear" w:color="auto" w:fill="auto"/>
                  </w:tcPr>
                  <w:p w14:paraId="5801EBF9" w14:textId="77777777" w:rsidR="00B201D3" w:rsidRDefault="009855E8">
                    <w:pPr>
                      <w:kinsoku w:val="0"/>
                      <w:overflowPunct w:val="0"/>
                      <w:autoSpaceDE w:val="0"/>
                      <w:autoSpaceDN w:val="0"/>
                      <w:adjustRightInd w:val="0"/>
                      <w:snapToGrid w:val="0"/>
                      <w:jc w:val="center"/>
                    </w:pPr>
                    <w:r>
                      <w:rPr>
                        <w:rFonts w:hint="eastAsia"/>
                      </w:rPr>
                      <w:t>股票简称</w:t>
                    </w:r>
                  </w:p>
                </w:tc>
              </w:sdtContent>
            </w:sdt>
            <w:sdt>
              <w:sdtPr>
                <w:tag w:val="_PLD_9fa1e8781b094b29b21027138e9f63e8"/>
                <w:id w:val="-2077730605"/>
                <w:lock w:val="sdtLocked"/>
              </w:sdtPr>
              <w:sdtEndPr/>
              <w:sdtContent>
                <w:tc>
                  <w:tcPr>
                    <w:tcW w:w="1250" w:type="pct"/>
                    <w:tcBorders>
                      <w:top w:val="single" w:sz="4" w:space="0" w:color="auto"/>
                      <w:left w:val="single" w:sz="4" w:space="0" w:color="auto"/>
                      <w:bottom w:val="single" w:sz="4" w:space="0" w:color="auto"/>
                      <w:right w:val="single" w:sz="4" w:space="0" w:color="auto"/>
                    </w:tcBorders>
                    <w:shd w:val="clear" w:color="auto" w:fill="auto"/>
                  </w:tcPr>
                  <w:p w14:paraId="5CC689AB" w14:textId="77777777" w:rsidR="00B201D3" w:rsidRDefault="009855E8">
                    <w:pPr>
                      <w:kinsoku w:val="0"/>
                      <w:overflowPunct w:val="0"/>
                      <w:autoSpaceDE w:val="0"/>
                      <w:autoSpaceDN w:val="0"/>
                      <w:adjustRightInd w:val="0"/>
                      <w:snapToGrid w:val="0"/>
                      <w:jc w:val="center"/>
                    </w:pPr>
                    <w:r>
                      <w:rPr>
                        <w:rFonts w:hint="eastAsia"/>
                      </w:rPr>
                      <w:t>股票代码</w:t>
                    </w:r>
                  </w:p>
                </w:tc>
              </w:sdtContent>
            </w:sdt>
          </w:tr>
          <w:sdt>
            <w:sdtPr>
              <w:rPr>
                <w:rFonts w:hint="eastAsia"/>
              </w:rPr>
              <w:alias w:val="公司其他股票简况"/>
              <w:tag w:val="_GBC_4e064b55e0734b1d9be1e41379a353e2"/>
              <w:id w:val="-138572268"/>
              <w:lock w:val="sdtLocked"/>
            </w:sdtPr>
            <w:sdtEndPr/>
            <w:sdtContent>
              <w:tr w:rsidR="00B201D3" w14:paraId="56A7F170" w14:textId="77777777">
                <w:trPr>
                  <w:trHeight w:val="293"/>
                </w:trPr>
                <w:tc>
                  <w:tcPr>
                    <w:tcW w:w="1250" w:type="pct"/>
                    <w:tcBorders>
                      <w:top w:val="single" w:sz="4" w:space="0" w:color="auto"/>
                      <w:bottom w:val="single" w:sz="4" w:space="0" w:color="auto"/>
                      <w:right w:val="single" w:sz="4" w:space="0" w:color="auto"/>
                    </w:tcBorders>
                    <w:shd w:val="clear" w:color="auto" w:fill="auto"/>
                    <w:vAlign w:val="center"/>
                  </w:tcPr>
                  <w:p w14:paraId="54278700" w14:textId="77777777" w:rsidR="00B201D3" w:rsidRDefault="009855E8">
                    <w:pPr>
                      <w:kinsoku w:val="0"/>
                      <w:overflowPunct w:val="0"/>
                      <w:autoSpaceDE w:val="0"/>
                      <w:autoSpaceDN w:val="0"/>
                      <w:adjustRightInd w:val="0"/>
                      <w:snapToGrid w:val="0"/>
                      <w:jc w:val="center"/>
                    </w:pPr>
                    <w:r>
                      <w:t>A股</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0B72DB1A" w14:textId="77777777" w:rsidR="00B201D3" w:rsidRDefault="009855E8">
                    <w:pPr>
                      <w:kinsoku w:val="0"/>
                      <w:overflowPunct w:val="0"/>
                      <w:autoSpaceDE w:val="0"/>
                      <w:autoSpaceDN w:val="0"/>
                      <w:adjustRightInd w:val="0"/>
                      <w:snapToGrid w:val="0"/>
                      <w:jc w:val="center"/>
                    </w:pPr>
                    <w:r>
                      <w:rPr>
                        <w:rFonts w:hint="eastAsia"/>
                      </w:rPr>
                      <w:t>上交所</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504C2E97" w14:textId="77777777" w:rsidR="00B201D3" w:rsidRDefault="009855E8">
                    <w:pPr>
                      <w:kinsoku w:val="0"/>
                      <w:overflowPunct w:val="0"/>
                      <w:autoSpaceDE w:val="0"/>
                      <w:autoSpaceDN w:val="0"/>
                      <w:adjustRightInd w:val="0"/>
                      <w:snapToGrid w:val="0"/>
                      <w:jc w:val="center"/>
                    </w:pPr>
                    <w:r>
                      <w:rPr>
                        <w:rFonts w:hint="eastAsia"/>
                      </w:rPr>
                      <w:t>兖矿能源</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15A42EE6" w14:textId="77777777" w:rsidR="00B201D3" w:rsidRDefault="009855E8">
                    <w:pPr>
                      <w:kinsoku w:val="0"/>
                      <w:overflowPunct w:val="0"/>
                      <w:autoSpaceDE w:val="0"/>
                      <w:autoSpaceDN w:val="0"/>
                      <w:adjustRightInd w:val="0"/>
                      <w:snapToGrid w:val="0"/>
                      <w:jc w:val="center"/>
                    </w:pPr>
                    <w:r>
                      <w:t>600188</w:t>
                    </w:r>
                  </w:p>
                </w:tc>
              </w:tr>
            </w:sdtContent>
          </w:sdt>
          <w:sdt>
            <w:sdtPr>
              <w:rPr>
                <w:rFonts w:hint="eastAsia"/>
              </w:rPr>
              <w:alias w:val="公司其他股票简况"/>
              <w:tag w:val="_GBC_4e064b55e0734b1d9be1e41379a353e2"/>
              <w:id w:val="101389477"/>
              <w:lock w:val="sdtLocked"/>
            </w:sdtPr>
            <w:sdtEndPr/>
            <w:sdtContent>
              <w:tr w:rsidR="00B201D3" w14:paraId="4AF465EC" w14:textId="77777777">
                <w:trPr>
                  <w:trHeight w:val="293"/>
                </w:trPr>
                <w:tc>
                  <w:tcPr>
                    <w:tcW w:w="1250" w:type="pct"/>
                    <w:tcBorders>
                      <w:top w:val="single" w:sz="4" w:space="0" w:color="auto"/>
                      <w:bottom w:val="single" w:sz="4" w:space="0" w:color="auto"/>
                      <w:right w:val="single" w:sz="4" w:space="0" w:color="auto"/>
                    </w:tcBorders>
                    <w:shd w:val="clear" w:color="auto" w:fill="auto"/>
                    <w:vAlign w:val="center"/>
                  </w:tcPr>
                  <w:p w14:paraId="03E64542" w14:textId="77777777" w:rsidR="00B201D3" w:rsidRDefault="009855E8">
                    <w:pPr>
                      <w:kinsoku w:val="0"/>
                      <w:overflowPunct w:val="0"/>
                      <w:autoSpaceDE w:val="0"/>
                      <w:autoSpaceDN w:val="0"/>
                      <w:adjustRightInd w:val="0"/>
                      <w:snapToGrid w:val="0"/>
                      <w:jc w:val="center"/>
                    </w:pPr>
                    <w:r>
                      <w:t>H股</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33FBBA36" w14:textId="77777777" w:rsidR="00B201D3" w:rsidRDefault="009855E8">
                    <w:pPr>
                      <w:kinsoku w:val="0"/>
                      <w:overflowPunct w:val="0"/>
                      <w:autoSpaceDE w:val="0"/>
                      <w:autoSpaceDN w:val="0"/>
                      <w:adjustRightInd w:val="0"/>
                      <w:snapToGrid w:val="0"/>
                      <w:jc w:val="center"/>
                    </w:pPr>
                    <w:r>
                      <w:rPr>
                        <w:rFonts w:hint="eastAsia"/>
                      </w:rPr>
                      <w:t>香港联交所</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5B237D29" w14:textId="77777777" w:rsidR="00B201D3" w:rsidRDefault="009855E8">
                    <w:pPr>
                      <w:kinsoku w:val="0"/>
                      <w:overflowPunct w:val="0"/>
                      <w:autoSpaceDE w:val="0"/>
                      <w:autoSpaceDN w:val="0"/>
                      <w:adjustRightInd w:val="0"/>
                      <w:snapToGrid w:val="0"/>
                      <w:jc w:val="center"/>
                    </w:pPr>
                    <w:r>
                      <w:rPr>
                        <w:rFonts w:hint="eastAsia"/>
                      </w:rPr>
                      <w:t>兖矿能源</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7B857C09" w14:textId="77777777" w:rsidR="00B201D3" w:rsidRDefault="009855E8">
                    <w:pPr>
                      <w:kinsoku w:val="0"/>
                      <w:overflowPunct w:val="0"/>
                      <w:autoSpaceDE w:val="0"/>
                      <w:autoSpaceDN w:val="0"/>
                      <w:adjustRightInd w:val="0"/>
                      <w:snapToGrid w:val="0"/>
                      <w:jc w:val="center"/>
                    </w:pPr>
                    <w:r>
                      <w:t>01171</w:t>
                    </w:r>
                  </w:p>
                </w:tc>
              </w:tr>
            </w:sdtContent>
          </w:sdt>
        </w:tbl>
        <w:p w14:paraId="1CF6E3EE" w14:textId="77777777" w:rsidR="00B201D3" w:rsidRDefault="00B201D3">
          <w:pPr>
            <w:pStyle w:val="3903"/>
          </w:pPr>
        </w:p>
        <w:p w14:paraId="4692E918" w14:textId="77777777" w:rsidR="00B201D3" w:rsidRDefault="00C8327E">
          <w:pPr>
            <w:kinsoku w:val="0"/>
            <w:overflowPunct w:val="0"/>
            <w:autoSpaceDE w:val="0"/>
            <w:autoSpaceDN w:val="0"/>
            <w:adjustRightInd w:val="0"/>
            <w:snapToGrid w:val="0"/>
            <w:rPr>
              <w:color w:val="0070C0"/>
            </w:rPr>
          </w:pPr>
        </w:p>
      </w:sdtContent>
    </w:sdt>
    <w:sdt>
      <w:sdtPr>
        <w:rPr>
          <w:rFonts w:ascii="宋体" w:hAnsi="宋体" w:cs="宋体"/>
          <w:b w:val="0"/>
          <w:bCs w:val="0"/>
          <w:kern w:val="0"/>
          <w:szCs w:val="24"/>
        </w:rPr>
        <w:alias w:val="模块:其他有关资料"/>
        <w:tag w:val="_GBC_cd186ef4acaf4e28b71fed998e691ebd"/>
        <w:id w:val="1857145840"/>
        <w:lock w:val="sdtLocked"/>
        <w:placeholder>
          <w:docPart w:val="GBC22222222222222222222222222222"/>
        </w:placeholder>
      </w:sdtPr>
      <w:sdtEndPr>
        <w:rPr>
          <w:rFonts w:hint="eastAsia"/>
          <w:szCs w:val="21"/>
        </w:rPr>
      </w:sdtEndPr>
      <w:sdtContent>
        <w:p w14:paraId="0D050A13" w14:textId="77777777" w:rsidR="00B201D3" w:rsidRDefault="009855E8">
          <w:pPr>
            <w:pStyle w:val="2"/>
            <w:numPr>
              <w:ilvl w:val="0"/>
              <w:numId w:val="3"/>
            </w:numPr>
            <w:ind w:firstLineChars="0"/>
          </w:pPr>
          <w:r>
            <w:t>其他有关资料</w:t>
          </w:r>
        </w:p>
        <w:sdt>
          <w:sdtPr>
            <w:alias w:val="是否适用：其他有关资料[双击切换]"/>
            <w:tag w:val="_GBC_78c3cc115c0d4dd3bf5e7c57142e5e68"/>
            <w:id w:val="442657023"/>
            <w:lock w:val="sdtLocked"/>
            <w:placeholder>
              <w:docPart w:val="GBC22222222222222222222222222222"/>
            </w:placeholder>
          </w:sdtPr>
          <w:sdtEndPr/>
          <w:sdtContent>
            <w:p w14:paraId="156031E7" w14:textId="77777777" w:rsidR="00B201D3" w:rsidRDefault="009855E8">
              <w:pPr>
                <w:pStyle w:val="390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公司其他基本情况"/>
            <w:tag w:val="_GBC_2e5f79011fd44589b010b5b927248a22"/>
            <w:id w:val="1179701078"/>
            <w:lock w:val="sdtLocked"/>
            <w:placeholder>
              <w:docPart w:val="GBC22222222222222222222222222222"/>
            </w:placeholder>
          </w:sdtPr>
          <w:sdtEndPr/>
          <w:sdtContent>
            <w:p w14:paraId="26672AD5" w14:textId="77777777" w:rsidR="00B201D3" w:rsidRPr="006D4FBA" w:rsidRDefault="00B201D3">
              <w:pPr>
                <w:pStyle w:val="3903"/>
              </w:pPr>
            </w:p>
            <w:tbl>
              <w:tblPr>
                <w:tblStyle w:val="19"/>
                <w:tblW w:w="5000" w:type="pct"/>
                <w:tblLook w:val="04A0" w:firstRow="1" w:lastRow="0" w:firstColumn="1" w:lastColumn="0" w:noHBand="0" w:noVBand="1"/>
              </w:tblPr>
              <w:tblGrid>
                <w:gridCol w:w="3286"/>
                <w:gridCol w:w="1106"/>
                <w:gridCol w:w="4431"/>
              </w:tblGrid>
              <w:tr w:rsidR="00B201D3" w:rsidRPr="006D4FBA" w14:paraId="651AA6FA" w14:textId="77777777">
                <w:trPr>
                  <w:trHeight w:val="132"/>
                </w:trPr>
                <w:tc>
                  <w:tcPr>
                    <w:tcW w:w="1862" w:type="pct"/>
                    <w:vMerge w:val="restart"/>
                    <w:vAlign w:val="center"/>
                  </w:tcPr>
                  <w:p w14:paraId="5EE304E5" w14:textId="77777777" w:rsidR="00B201D3" w:rsidRPr="006D4FBA" w:rsidRDefault="009855E8">
                    <w:pPr>
                      <w:rPr>
                        <w:rFonts w:ascii="宋体" w:hAnsi="宋体" w:cstheme="minorBidi"/>
                        <w:lang w:val="en-GB"/>
                      </w:rPr>
                    </w:pPr>
                    <w:bookmarkStart w:id="14" w:name="_Hlk518630288"/>
                    <w:r w:rsidRPr="006D4FBA">
                      <w:rPr>
                        <w:rFonts w:ascii="宋体" w:hAnsi="宋体" w:cstheme="minorBidi" w:hint="eastAsia"/>
                        <w:lang w:val="en-GB"/>
                      </w:rPr>
                      <w:t>公司聘请的会计师事务所</w:t>
                    </w:r>
                  </w:p>
                  <w:p w14:paraId="463FA506" w14:textId="77777777" w:rsidR="00B201D3" w:rsidRPr="006D4FBA" w:rsidRDefault="009855E8">
                    <w:pPr>
                      <w:rPr>
                        <w:rFonts w:ascii="宋体" w:hAnsi="宋体" w:cstheme="minorBidi"/>
                        <w:lang w:val="en-GB"/>
                      </w:rPr>
                    </w:pPr>
                    <w:r w:rsidRPr="006D4FBA">
                      <w:rPr>
                        <w:rFonts w:ascii="宋体" w:hAnsi="宋体" w:cstheme="minorBidi" w:hint="eastAsia"/>
                        <w:lang w:val="en-GB"/>
                      </w:rPr>
                      <w:t>（A股）</w:t>
                    </w:r>
                  </w:p>
                </w:tc>
                <w:tc>
                  <w:tcPr>
                    <w:tcW w:w="627" w:type="pct"/>
                    <w:vAlign w:val="center"/>
                  </w:tcPr>
                  <w:p w14:paraId="12AABD3C" w14:textId="77777777" w:rsidR="00B201D3" w:rsidRPr="006D4FBA" w:rsidRDefault="009855E8">
                    <w:pPr>
                      <w:rPr>
                        <w:rFonts w:ascii="宋体" w:hAnsi="宋体" w:cstheme="minorBidi"/>
                        <w:lang w:val="en-GB"/>
                      </w:rPr>
                    </w:pPr>
                    <w:r w:rsidRPr="006D4FBA">
                      <w:rPr>
                        <w:rFonts w:ascii="宋体" w:hAnsi="宋体" w:cstheme="minorBidi" w:hint="eastAsia"/>
                        <w:lang w:val="en-GB"/>
                      </w:rPr>
                      <w:t>名称</w:t>
                    </w:r>
                  </w:p>
                </w:tc>
                <w:tc>
                  <w:tcPr>
                    <w:tcW w:w="2512" w:type="pct"/>
                    <w:vAlign w:val="center"/>
                  </w:tcPr>
                  <w:p w14:paraId="3B2A6969" w14:textId="77777777" w:rsidR="00B201D3" w:rsidRPr="006D4FBA" w:rsidRDefault="009855E8">
                    <w:pPr>
                      <w:rPr>
                        <w:rFonts w:ascii="宋体" w:hAnsi="宋体" w:cstheme="minorBidi"/>
                        <w:lang w:val="en-GB"/>
                      </w:rPr>
                    </w:pPr>
                    <w:r w:rsidRPr="006D4FBA">
                      <w:rPr>
                        <w:rFonts w:ascii="宋体" w:hAnsi="宋体" w:cstheme="minorBidi" w:hint="eastAsia"/>
                        <w:lang w:val="en-GB"/>
                      </w:rPr>
                      <w:t>信永中和会计师事务所（特殊普通合伙）</w:t>
                    </w:r>
                  </w:p>
                </w:tc>
              </w:tr>
              <w:tr w:rsidR="00B201D3" w:rsidRPr="006D4FBA" w14:paraId="0021BAEA" w14:textId="77777777">
                <w:trPr>
                  <w:trHeight w:val="90"/>
                </w:trPr>
                <w:tc>
                  <w:tcPr>
                    <w:tcW w:w="1862" w:type="pct"/>
                    <w:vMerge/>
                    <w:vAlign w:val="center"/>
                  </w:tcPr>
                  <w:p w14:paraId="4A84A9C0" w14:textId="77777777" w:rsidR="00B201D3" w:rsidRPr="006D4FBA" w:rsidRDefault="00B201D3">
                    <w:pPr>
                      <w:rPr>
                        <w:rFonts w:ascii="宋体" w:hAnsi="宋体" w:cstheme="minorBidi"/>
                        <w:lang w:val="en-GB"/>
                      </w:rPr>
                    </w:pPr>
                  </w:p>
                </w:tc>
                <w:tc>
                  <w:tcPr>
                    <w:tcW w:w="627" w:type="pct"/>
                    <w:vAlign w:val="center"/>
                  </w:tcPr>
                  <w:p w14:paraId="5E70F7ED" w14:textId="77777777" w:rsidR="00B201D3" w:rsidRPr="006D4FBA" w:rsidRDefault="009855E8">
                    <w:pPr>
                      <w:rPr>
                        <w:rFonts w:ascii="宋体" w:hAnsi="宋体" w:cstheme="minorBidi"/>
                        <w:lang w:val="en-GB"/>
                      </w:rPr>
                    </w:pPr>
                    <w:r w:rsidRPr="006D4FBA">
                      <w:rPr>
                        <w:rFonts w:ascii="宋体" w:hAnsi="宋体" w:cstheme="minorBidi" w:hint="eastAsia"/>
                        <w:lang w:val="en-GB"/>
                      </w:rPr>
                      <w:t>办公地址</w:t>
                    </w:r>
                  </w:p>
                </w:tc>
                <w:tc>
                  <w:tcPr>
                    <w:tcW w:w="2512" w:type="pct"/>
                    <w:vAlign w:val="center"/>
                  </w:tcPr>
                  <w:p w14:paraId="2EE41C62" w14:textId="77777777" w:rsidR="00B201D3" w:rsidRPr="006D4FBA" w:rsidRDefault="009855E8">
                    <w:pPr>
                      <w:rPr>
                        <w:rFonts w:ascii="宋体" w:hAnsi="宋体" w:cstheme="minorBidi"/>
                        <w:lang w:val="en-GB"/>
                      </w:rPr>
                    </w:pPr>
                    <w:r w:rsidRPr="006D4FBA">
                      <w:rPr>
                        <w:rFonts w:ascii="宋体" w:hAnsi="宋体" w:cstheme="minorBidi" w:hint="eastAsia"/>
                        <w:lang w:val="en-GB"/>
                      </w:rPr>
                      <w:t>中国北京市东城区朝阳门北大街8号富华大厦A座</w:t>
                    </w:r>
                    <w:r w:rsidRPr="006D4FBA">
                      <w:rPr>
                        <w:rFonts w:ascii="宋体" w:hAnsi="宋体" w:cstheme="minorBidi"/>
                        <w:lang w:val="en-GB"/>
                      </w:rPr>
                      <w:t>8</w:t>
                    </w:r>
                    <w:r w:rsidRPr="006D4FBA">
                      <w:rPr>
                        <w:rFonts w:ascii="宋体" w:hAnsi="宋体" w:cstheme="minorBidi" w:hint="eastAsia"/>
                        <w:lang w:val="en-GB"/>
                      </w:rPr>
                      <w:t>层</w:t>
                    </w:r>
                  </w:p>
                </w:tc>
              </w:tr>
              <w:tr w:rsidR="00B201D3" w:rsidRPr="006D4FBA" w14:paraId="1B9669CC" w14:textId="77777777">
                <w:trPr>
                  <w:trHeight w:val="70"/>
                </w:trPr>
                <w:tc>
                  <w:tcPr>
                    <w:tcW w:w="1862" w:type="pct"/>
                    <w:vMerge w:val="restart"/>
                    <w:vAlign w:val="center"/>
                  </w:tcPr>
                  <w:p w14:paraId="290C5849" w14:textId="77777777" w:rsidR="00B201D3" w:rsidRPr="006D4FBA" w:rsidRDefault="009855E8">
                    <w:pPr>
                      <w:rPr>
                        <w:rFonts w:ascii="宋体" w:hAnsi="宋体" w:cstheme="minorBidi"/>
                        <w:lang w:val="en-GB"/>
                      </w:rPr>
                    </w:pPr>
                    <w:r w:rsidRPr="006D4FBA">
                      <w:rPr>
                        <w:rFonts w:ascii="宋体" w:hAnsi="宋体" w:cstheme="minorBidi" w:hint="eastAsia"/>
                        <w:lang w:val="en-GB"/>
                      </w:rPr>
                      <w:t>公司聘请的会计师事务所</w:t>
                    </w:r>
                  </w:p>
                  <w:p w14:paraId="59A3A19D" w14:textId="77777777" w:rsidR="00B201D3" w:rsidRPr="006D4FBA" w:rsidRDefault="009855E8">
                    <w:pPr>
                      <w:rPr>
                        <w:rFonts w:ascii="宋体" w:hAnsi="宋体" w:cstheme="minorBidi"/>
                        <w:lang w:val="en-GB"/>
                      </w:rPr>
                    </w:pPr>
                    <w:r w:rsidRPr="006D4FBA">
                      <w:rPr>
                        <w:rFonts w:ascii="宋体" w:hAnsi="宋体" w:cstheme="minorBidi" w:hint="eastAsia"/>
                        <w:lang w:val="en-GB"/>
                      </w:rPr>
                      <w:t>（H股）</w:t>
                    </w:r>
                  </w:p>
                </w:tc>
                <w:tc>
                  <w:tcPr>
                    <w:tcW w:w="627" w:type="pct"/>
                    <w:vAlign w:val="center"/>
                  </w:tcPr>
                  <w:p w14:paraId="757BFBFE" w14:textId="77777777" w:rsidR="00B201D3" w:rsidRPr="006D4FBA" w:rsidRDefault="009855E8">
                    <w:pPr>
                      <w:rPr>
                        <w:rFonts w:ascii="宋体" w:hAnsi="宋体" w:cstheme="minorBidi"/>
                        <w:lang w:val="en-GB"/>
                      </w:rPr>
                    </w:pPr>
                    <w:r w:rsidRPr="006D4FBA">
                      <w:rPr>
                        <w:rFonts w:ascii="宋体" w:hAnsi="宋体" w:cstheme="minorBidi" w:hint="eastAsia"/>
                        <w:lang w:val="en-GB"/>
                      </w:rPr>
                      <w:t>名称</w:t>
                    </w:r>
                  </w:p>
                </w:tc>
                <w:tc>
                  <w:tcPr>
                    <w:tcW w:w="2512" w:type="pct"/>
                    <w:vAlign w:val="center"/>
                  </w:tcPr>
                  <w:p w14:paraId="307F380F" w14:textId="77777777" w:rsidR="00B201D3" w:rsidRPr="006D4FBA" w:rsidRDefault="009855E8">
                    <w:pPr>
                      <w:rPr>
                        <w:rFonts w:ascii="宋体" w:hAnsi="宋体" w:cstheme="minorBidi"/>
                        <w:lang w:val="en-GB"/>
                      </w:rPr>
                    </w:pPr>
                    <w:r w:rsidRPr="006D4FBA">
                      <w:rPr>
                        <w:rFonts w:ascii="宋体" w:hAnsi="宋体" w:cstheme="minorBidi" w:hint="eastAsia"/>
                        <w:lang w:val="en-GB"/>
                      </w:rPr>
                      <w:t>信永中和（香港）会计师事务所有限公司</w:t>
                    </w:r>
                  </w:p>
                </w:tc>
              </w:tr>
              <w:tr w:rsidR="00B201D3" w:rsidRPr="006D4FBA" w14:paraId="552A5128" w14:textId="77777777">
                <w:trPr>
                  <w:trHeight w:val="150"/>
                </w:trPr>
                <w:tc>
                  <w:tcPr>
                    <w:tcW w:w="1862" w:type="pct"/>
                    <w:vMerge/>
                    <w:vAlign w:val="center"/>
                  </w:tcPr>
                  <w:p w14:paraId="7465827C" w14:textId="77777777" w:rsidR="00B201D3" w:rsidRPr="006D4FBA" w:rsidRDefault="00B201D3">
                    <w:pPr>
                      <w:rPr>
                        <w:rFonts w:ascii="宋体" w:hAnsi="宋体" w:cstheme="minorBidi"/>
                        <w:lang w:val="en-GB"/>
                      </w:rPr>
                    </w:pPr>
                  </w:p>
                </w:tc>
                <w:tc>
                  <w:tcPr>
                    <w:tcW w:w="627" w:type="pct"/>
                    <w:vAlign w:val="center"/>
                  </w:tcPr>
                  <w:p w14:paraId="754BC4E8" w14:textId="77777777" w:rsidR="00B201D3" w:rsidRPr="006D4FBA" w:rsidRDefault="009855E8">
                    <w:pPr>
                      <w:rPr>
                        <w:rFonts w:ascii="宋体" w:hAnsi="宋体" w:cstheme="minorBidi"/>
                        <w:lang w:val="en-GB"/>
                      </w:rPr>
                    </w:pPr>
                    <w:r w:rsidRPr="006D4FBA">
                      <w:rPr>
                        <w:rFonts w:ascii="宋体" w:hAnsi="宋体" w:cstheme="minorBidi" w:hint="eastAsia"/>
                        <w:lang w:val="en-GB"/>
                      </w:rPr>
                      <w:t>办公地址</w:t>
                    </w:r>
                  </w:p>
                </w:tc>
                <w:tc>
                  <w:tcPr>
                    <w:tcW w:w="2512" w:type="pct"/>
                    <w:vAlign w:val="center"/>
                  </w:tcPr>
                  <w:p w14:paraId="76CDEDD7" w14:textId="77777777" w:rsidR="00B201D3" w:rsidRPr="006D4FBA" w:rsidRDefault="009855E8">
                    <w:pPr>
                      <w:rPr>
                        <w:rFonts w:ascii="宋体" w:hAnsi="宋体" w:cstheme="minorBidi"/>
                        <w:lang w:val="en-GB"/>
                      </w:rPr>
                    </w:pPr>
                    <w:r w:rsidRPr="006D4FBA">
                      <w:rPr>
                        <w:rFonts w:ascii="宋体" w:hAnsi="宋体" w:cstheme="minorBidi"/>
                        <w:lang w:val="en-GB"/>
                      </w:rPr>
                      <w:t>香港铜锣湾</w:t>
                    </w:r>
                    <w:r w:rsidRPr="006D4FBA">
                      <w:rPr>
                        <w:rFonts w:ascii="宋体" w:hAnsi="宋体" w:cstheme="minorBidi" w:hint="eastAsia"/>
                        <w:lang w:val="en-GB"/>
                      </w:rPr>
                      <w:t>告士打道3</w:t>
                    </w:r>
                    <w:r w:rsidRPr="006D4FBA">
                      <w:rPr>
                        <w:rFonts w:ascii="宋体" w:hAnsi="宋体" w:cstheme="minorBidi"/>
                        <w:lang w:val="en-GB"/>
                      </w:rPr>
                      <w:t>11</w:t>
                    </w:r>
                    <w:r w:rsidRPr="006D4FBA">
                      <w:rPr>
                        <w:rFonts w:ascii="宋体" w:hAnsi="宋体" w:cstheme="minorBidi" w:hint="eastAsia"/>
                        <w:lang w:val="en-GB"/>
                      </w:rPr>
                      <w:t>号皇室大厦1</w:t>
                    </w:r>
                    <w:r w:rsidRPr="006D4FBA">
                      <w:rPr>
                        <w:rFonts w:ascii="宋体" w:hAnsi="宋体" w:cstheme="minorBidi"/>
                        <w:lang w:val="en-GB"/>
                      </w:rPr>
                      <w:t>7</w:t>
                    </w:r>
                    <w:r w:rsidRPr="006D4FBA">
                      <w:rPr>
                        <w:rFonts w:ascii="宋体" w:hAnsi="宋体" w:cstheme="minorBidi" w:hint="eastAsia"/>
                        <w:lang w:val="en-GB"/>
                      </w:rPr>
                      <w:t>楼</w:t>
                    </w:r>
                  </w:p>
                </w:tc>
              </w:tr>
            </w:tbl>
            <w:p w14:paraId="537855B4" w14:textId="77777777" w:rsidR="00B201D3" w:rsidRPr="006D4FBA" w:rsidRDefault="00C8327E">
              <w:pPr>
                <w:pStyle w:val="3903"/>
              </w:pPr>
            </w:p>
          </w:sdtContent>
        </w:sdt>
      </w:sdtContent>
    </w:sdt>
    <w:bookmarkEnd w:id="14"/>
    <w:p w14:paraId="4A7CC2FD" w14:textId="77777777" w:rsidR="00B201D3" w:rsidRPr="006D4FBA" w:rsidRDefault="00B201D3">
      <w:pPr>
        <w:rPr>
          <w:bdr w:val="single" w:sz="4" w:space="0" w:color="auto"/>
        </w:rPr>
      </w:pPr>
    </w:p>
    <w:p w14:paraId="2F5153A1" w14:textId="77777777" w:rsidR="00B201D3" w:rsidRPr="006D4FBA" w:rsidRDefault="009855E8">
      <w:pPr>
        <w:pStyle w:val="2"/>
        <w:numPr>
          <w:ilvl w:val="0"/>
          <w:numId w:val="3"/>
        </w:numPr>
        <w:ind w:firstLineChars="0"/>
        <w:rPr>
          <w:rFonts w:ascii="宋体" w:hAnsi="宋体"/>
        </w:rPr>
      </w:pPr>
      <w:bookmarkStart w:id="15" w:name="_Toc342565889"/>
      <w:bookmarkStart w:id="16" w:name="_Toc342056397"/>
      <w:r w:rsidRPr="006D4FBA">
        <w:rPr>
          <w:rFonts w:ascii="宋体" w:hAnsi="宋体" w:hint="eastAsia"/>
        </w:rPr>
        <w:t>公司主要会计数据和财务指标</w:t>
      </w:r>
      <w:bookmarkEnd w:id="15"/>
      <w:bookmarkEnd w:id="16"/>
    </w:p>
    <w:p w14:paraId="5E021AA8" w14:textId="77777777" w:rsidR="00B201D3" w:rsidRPr="006D4FBA" w:rsidRDefault="009855E8">
      <w:pPr>
        <w:pStyle w:val="3"/>
        <w:numPr>
          <w:ilvl w:val="1"/>
          <w:numId w:val="4"/>
        </w:numPr>
        <w:rPr>
          <w:rFonts w:ascii="宋体" w:hAnsi="宋体"/>
        </w:rPr>
      </w:pPr>
      <w:r w:rsidRPr="006D4FBA">
        <w:rPr>
          <w:rFonts w:ascii="宋体" w:hAnsi="宋体" w:hint="eastAsia"/>
        </w:rPr>
        <w:t>主要会计数据</w:t>
      </w:r>
    </w:p>
    <w:p w14:paraId="11C590B3" w14:textId="54384150" w:rsidR="00B201D3" w:rsidRPr="006D4FBA" w:rsidRDefault="009855E8">
      <w:pPr>
        <w:jc w:val="right"/>
      </w:pPr>
      <w:r w:rsidRPr="006D4FBA">
        <w:rPr>
          <w:rFonts w:hint="eastAsia"/>
        </w:rPr>
        <w:t>单位：</w:t>
      </w:r>
      <w:sdt>
        <w:sdtPr>
          <w:rPr>
            <w:rFonts w:hint="eastAsia"/>
          </w:rPr>
          <w:alias w:val="单位：报告期末公司前三年主要会计数据和财务指标"/>
          <w:tag w:val="_GBC_c7cd0dd826b247dbba8cc8b1a811aefb"/>
          <w:id w:val="24854895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F46283">
            <w:rPr>
              <w:rFonts w:hint="eastAsia"/>
            </w:rPr>
            <w:t>千元</w:t>
          </w:r>
        </w:sdtContent>
      </w:sdt>
      <w:r w:rsidRPr="006D4FBA">
        <w:rPr>
          <w:rFonts w:hint="eastAsia"/>
        </w:rPr>
        <w:t xml:space="preserve">  币种：</w:t>
      </w:r>
      <w:sdt>
        <w:sdtPr>
          <w:rPr>
            <w:rFonts w:hint="eastAsia"/>
          </w:rPr>
          <w:alias w:val="币种：报告期末公司前三年主要会计数据和财务指标"/>
          <w:tag w:val="_GBC_2df6a5d441324c13bcf6c4c54ac41eb0"/>
          <w:id w:val="-80037738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46283">
            <w:rPr>
              <w:rFonts w:hint="eastAsia"/>
            </w:rPr>
            <w:t>人民币</w:t>
          </w:r>
        </w:sdtContent>
      </w:sdt>
    </w:p>
    <w:bookmarkStart w:id="17" w:name="_Hlk72769913" w:displacedByCustomXml="next"/>
    <w:sdt>
      <w:sdtPr>
        <w:rPr>
          <w:rFonts w:ascii="宋体" w:hAnsi="宋体"/>
        </w:rPr>
        <w:alias w:val="选项模块:主要会计数据(追溯)"/>
        <w:tag w:val="_GBC_f3826dda988749e78931d3af98058157"/>
        <w:id w:val="1941170438"/>
        <w:lock w:val="sdtLocked"/>
        <w:placeholder>
          <w:docPart w:val="GBC22222222222222222222222222222"/>
        </w:placeholder>
      </w:sdtPr>
      <w:sdtEndPr/>
      <w:sdtContent>
        <w:tbl>
          <w:tblPr>
            <w:tblStyle w:val="af9"/>
            <w:tblW w:w="0" w:type="auto"/>
            <w:tblLook w:val="04A0" w:firstRow="1" w:lastRow="0" w:firstColumn="1" w:lastColumn="0" w:noHBand="0" w:noVBand="1"/>
          </w:tblPr>
          <w:tblGrid>
            <w:gridCol w:w="3331"/>
            <w:gridCol w:w="1371"/>
            <w:gridCol w:w="1371"/>
            <w:gridCol w:w="1371"/>
            <w:gridCol w:w="1379"/>
          </w:tblGrid>
          <w:tr w:rsidR="00B201D3" w:rsidRPr="006D4FBA" w14:paraId="3DF2B724" w14:textId="77777777">
            <w:trPr>
              <w:trHeight w:val="285"/>
            </w:trPr>
            <w:tc>
              <w:tcPr>
                <w:tcW w:w="3516" w:type="dxa"/>
                <w:vMerge w:val="restart"/>
                <w:vAlign w:val="center"/>
              </w:tcPr>
              <w:p w14:paraId="634CEB8E" w14:textId="77777777" w:rsidR="00B201D3" w:rsidRPr="006D4FBA" w:rsidRDefault="00C8327E">
                <w:pPr>
                  <w:kinsoku w:val="0"/>
                  <w:overflowPunct w:val="0"/>
                  <w:autoSpaceDE w:val="0"/>
                  <w:autoSpaceDN w:val="0"/>
                  <w:adjustRightInd w:val="0"/>
                  <w:snapToGrid w:val="0"/>
                  <w:jc w:val="center"/>
                  <w:rPr>
                    <w:rFonts w:ascii="宋体" w:hAnsi="宋体"/>
                  </w:rPr>
                </w:pPr>
                <w:sdt>
                  <w:sdtPr>
                    <w:rPr>
                      <w:rFonts w:hint="eastAsia"/>
                    </w:rPr>
                    <w:tag w:val="_PLD_9a892ddb7f784060a3faccb4c3beadce"/>
                    <w:id w:val="-272162162"/>
                    <w:lock w:val="sdtLocked"/>
                  </w:sdtPr>
                  <w:sdtEndPr>
                    <w:rPr>
                      <w:rFonts w:hint="default"/>
                    </w:rPr>
                  </w:sdtEndPr>
                  <w:sdtContent>
                    <w:r w:rsidR="009855E8" w:rsidRPr="006D4FBA">
                      <w:rPr>
                        <w:rFonts w:ascii="宋体" w:hAnsi="宋体" w:hint="eastAsia"/>
                      </w:rPr>
                      <w:t>主要会计数据</w:t>
                    </w:r>
                  </w:sdtContent>
                </w:sdt>
              </w:p>
            </w:tc>
            <w:sdt>
              <w:sdtPr>
                <w:tag w:val="_PLD_c1037fd91103435795ea62def760a024"/>
                <w:id w:val="1206289303"/>
                <w:lock w:val="sdtLocked"/>
              </w:sdtPr>
              <w:sdtEndPr/>
              <w:sdtContent>
                <w:tc>
                  <w:tcPr>
                    <w:tcW w:w="1371" w:type="dxa"/>
                    <w:vMerge w:val="restart"/>
                    <w:vAlign w:val="center"/>
                  </w:tcPr>
                  <w:p w14:paraId="18F5A032" w14:textId="77777777" w:rsidR="00B201D3" w:rsidRPr="006D4FBA" w:rsidRDefault="009855E8">
                    <w:pPr>
                      <w:kinsoku w:val="0"/>
                      <w:overflowPunct w:val="0"/>
                      <w:autoSpaceDE w:val="0"/>
                      <w:autoSpaceDN w:val="0"/>
                      <w:adjustRightInd w:val="0"/>
                      <w:snapToGrid w:val="0"/>
                      <w:jc w:val="center"/>
                      <w:rPr>
                        <w:rFonts w:ascii="宋体" w:hAnsi="宋体"/>
                      </w:rPr>
                    </w:pPr>
                    <w:r w:rsidRPr="006D4FBA">
                      <w:rPr>
                        <w:rFonts w:ascii="宋体" w:hAnsi="宋体" w:hint="eastAsia"/>
                      </w:rPr>
                      <w:t>本</w:t>
                    </w:r>
                    <w:r w:rsidRPr="006D4FBA">
                      <w:rPr>
                        <w:rFonts w:ascii="宋体" w:hAnsi="宋体"/>
                      </w:rPr>
                      <w:t>报告期</w:t>
                    </w:r>
                  </w:p>
                  <w:p w14:paraId="220F7070" w14:textId="77777777" w:rsidR="00B201D3" w:rsidRPr="006D4FBA" w:rsidRDefault="009855E8">
                    <w:pPr>
                      <w:kinsoku w:val="0"/>
                      <w:overflowPunct w:val="0"/>
                      <w:autoSpaceDE w:val="0"/>
                      <w:autoSpaceDN w:val="0"/>
                      <w:adjustRightInd w:val="0"/>
                      <w:snapToGrid w:val="0"/>
                      <w:jc w:val="center"/>
                      <w:rPr>
                        <w:rFonts w:ascii="宋体" w:hAnsi="宋体"/>
                      </w:rPr>
                    </w:pPr>
                    <w:r w:rsidRPr="006D4FBA">
                      <w:rPr>
                        <w:rFonts w:ascii="宋体" w:hAnsi="宋体"/>
                      </w:rPr>
                      <w:t>（1－6月）</w:t>
                    </w:r>
                  </w:p>
                </w:tc>
              </w:sdtContent>
            </w:sdt>
            <w:sdt>
              <w:sdtPr>
                <w:tag w:val="_PLD_bab30e1b543c4fbf9c30f9a629245ebf"/>
                <w:id w:val="-1703699948"/>
                <w:lock w:val="sdtLocked"/>
              </w:sdtPr>
              <w:sdtEndPr/>
              <w:sdtContent>
                <w:tc>
                  <w:tcPr>
                    <w:tcW w:w="2742" w:type="dxa"/>
                    <w:gridSpan w:val="2"/>
                    <w:vAlign w:val="center"/>
                  </w:tcPr>
                  <w:p w14:paraId="45593D19" w14:textId="77777777" w:rsidR="00B201D3" w:rsidRPr="006D4FBA" w:rsidRDefault="009855E8">
                    <w:pPr>
                      <w:kinsoku w:val="0"/>
                      <w:overflowPunct w:val="0"/>
                      <w:autoSpaceDE w:val="0"/>
                      <w:autoSpaceDN w:val="0"/>
                      <w:adjustRightInd w:val="0"/>
                      <w:snapToGrid w:val="0"/>
                      <w:jc w:val="center"/>
                      <w:rPr>
                        <w:rFonts w:ascii="宋体" w:hAnsi="宋体"/>
                      </w:rPr>
                    </w:pPr>
                    <w:r w:rsidRPr="006D4FBA">
                      <w:rPr>
                        <w:rFonts w:ascii="宋体" w:hAnsi="宋体"/>
                      </w:rPr>
                      <w:t>上年同期</w:t>
                    </w:r>
                  </w:p>
                </w:tc>
              </w:sdtContent>
            </w:sdt>
            <w:sdt>
              <w:sdtPr>
                <w:tag w:val="_PLD_939281d443df430dae16ace9baf8e6ea"/>
                <w:id w:val="1433090955"/>
                <w:lock w:val="sdtLocked"/>
              </w:sdtPr>
              <w:sdtEndPr/>
              <w:sdtContent>
                <w:tc>
                  <w:tcPr>
                    <w:tcW w:w="1420" w:type="dxa"/>
                    <w:vMerge w:val="restart"/>
                    <w:vAlign w:val="center"/>
                  </w:tcPr>
                  <w:p w14:paraId="0B89BBB5" w14:textId="77777777" w:rsidR="00B201D3" w:rsidRPr="006D4FBA" w:rsidRDefault="009855E8">
                    <w:pPr>
                      <w:kinsoku w:val="0"/>
                      <w:overflowPunct w:val="0"/>
                      <w:autoSpaceDE w:val="0"/>
                      <w:autoSpaceDN w:val="0"/>
                      <w:adjustRightInd w:val="0"/>
                      <w:snapToGrid w:val="0"/>
                      <w:jc w:val="center"/>
                      <w:rPr>
                        <w:rFonts w:ascii="宋体" w:hAnsi="宋体"/>
                      </w:rPr>
                    </w:pPr>
                    <w:r w:rsidRPr="006D4FBA">
                      <w:rPr>
                        <w:rFonts w:ascii="宋体" w:hAnsi="宋体"/>
                      </w:rPr>
                      <w:t>本报告期比上年同期增减(%)</w:t>
                    </w:r>
                  </w:p>
                </w:tc>
              </w:sdtContent>
            </w:sdt>
          </w:tr>
          <w:tr w:rsidR="00B201D3" w:rsidRPr="006D4FBA" w14:paraId="3E725185" w14:textId="77777777" w:rsidTr="00773B77">
            <w:trPr>
              <w:trHeight w:val="285"/>
            </w:trPr>
            <w:tc>
              <w:tcPr>
                <w:tcW w:w="3516" w:type="dxa"/>
                <w:vMerge/>
              </w:tcPr>
              <w:p w14:paraId="2368B63F" w14:textId="77777777" w:rsidR="00B201D3" w:rsidRPr="006D4FBA" w:rsidRDefault="00B201D3">
                <w:pPr>
                  <w:kinsoku w:val="0"/>
                  <w:overflowPunct w:val="0"/>
                  <w:autoSpaceDE w:val="0"/>
                  <w:autoSpaceDN w:val="0"/>
                  <w:adjustRightInd w:val="0"/>
                  <w:snapToGrid w:val="0"/>
                  <w:jc w:val="center"/>
                  <w:rPr>
                    <w:rFonts w:ascii="宋体" w:hAnsi="宋体"/>
                  </w:rPr>
                </w:pPr>
              </w:p>
            </w:tc>
            <w:tc>
              <w:tcPr>
                <w:tcW w:w="1371" w:type="dxa"/>
                <w:vMerge/>
              </w:tcPr>
              <w:p w14:paraId="03246462" w14:textId="77777777" w:rsidR="00B201D3" w:rsidRPr="006D4FBA" w:rsidRDefault="00B201D3">
                <w:pPr>
                  <w:kinsoku w:val="0"/>
                  <w:overflowPunct w:val="0"/>
                  <w:autoSpaceDE w:val="0"/>
                  <w:autoSpaceDN w:val="0"/>
                  <w:adjustRightInd w:val="0"/>
                  <w:snapToGrid w:val="0"/>
                  <w:rPr>
                    <w:rFonts w:ascii="宋体" w:hAnsi="宋体"/>
                  </w:rPr>
                </w:pPr>
              </w:p>
            </w:tc>
            <w:sdt>
              <w:sdtPr>
                <w:tag w:val="_PLD_ea077e6e667b40c889b036ebdde32f06"/>
                <w:id w:val="-1465646351"/>
                <w:lock w:val="sdtLocked"/>
              </w:sdtPr>
              <w:sdtEndPr/>
              <w:sdtContent>
                <w:tc>
                  <w:tcPr>
                    <w:tcW w:w="1371" w:type="dxa"/>
                    <w:vAlign w:val="center"/>
                  </w:tcPr>
                  <w:p w14:paraId="262BC0BF" w14:textId="77777777" w:rsidR="00B201D3" w:rsidRPr="006D4FBA" w:rsidRDefault="009855E8" w:rsidP="00773B77">
                    <w:pPr>
                      <w:kinsoku w:val="0"/>
                      <w:overflowPunct w:val="0"/>
                      <w:autoSpaceDE w:val="0"/>
                      <w:autoSpaceDN w:val="0"/>
                      <w:adjustRightInd w:val="0"/>
                      <w:snapToGrid w:val="0"/>
                      <w:jc w:val="center"/>
                      <w:rPr>
                        <w:rFonts w:ascii="宋体" w:hAnsi="宋体"/>
                      </w:rPr>
                    </w:pPr>
                    <w:r w:rsidRPr="006D4FBA">
                      <w:rPr>
                        <w:rFonts w:ascii="宋体" w:hAnsi="宋体" w:hint="eastAsia"/>
                      </w:rPr>
                      <w:t>调整后</w:t>
                    </w:r>
                  </w:p>
                </w:tc>
              </w:sdtContent>
            </w:sdt>
            <w:sdt>
              <w:sdtPr>
                <w:tag w:val="_PLD_8d00c2e24647428c8ce791bbc0b90f87"/>
                <w:id w:val="452909292"/>
                <w:lock w:val="sdtLocked"/>
              </w:sdtPr>
              <w:sdtEndPr/>
              <w:sdtContent>
                <w:tc>
                  <w:tcPr>
                    <w:tcW w:w="1371" w:type="dxa"/>
                    <w:vAlign w:val="center"/>
                  </w:tcPr>
                  <w:p w14:paraId="778E1B41" w14:textId="77777777" w:rsidR="00B201D3" w:rsidRPr="006D4FBA" w:rsidRDefault="009855E8" w:rsidP="00773B77">
                    <w:pPr>
                      <w:kinsoku w:val="0"/>
                      <w:overflowPunct w:val="0"/>
                      <w:autoSpaceDE w:val="0"/>
                      <w:autoSpaceDN w:val="0"/>
                      <w:adjustRightInd w:val="0"/>
                      <w:snapToGrid w:val="0"/>
                      <w:jc w:val="center"/>
                      <w:rPr>
                        <w:rFonts w:ascii="宋体" w:hAnsi="宋体"/>
                      </w:rPr>
                    </w:pPr>
                    <w:r w:rsidRPr="006D4FBA">
                      <w:rPr>
                        <w:rFonts w:ascii="宋体" w:hAnsi="宋体" w:hint="eastAsia"/>
                      </w:rPr>
                      <w:t>调整前</w:t>
                    </w:r>
                  </w:p>
                </w:tc>
              </w:sdtContent>
            </w:sdt>
            <w:tc>
              <w:tcPr>
                <w:tcW w:w="1420" w:type="dxa"/>
                <w:vMerge/>
              </w:tcPr>
              <w:p w14:paraId="21B8827A" w14:textId="77777777" w:rsidR="00B201D3" w:rsidRPr="006D4FBA" w:rsidRDefault="00B201D3">
                <w:pPr>
                  <w:kinsoku w:val="0"/>
                  <w:overflowPunct w:val="0"/>
                  <w:autoSpaceDE w:val="0"/>
                  <w:autoSpaceDN w:val="0"/>
                  <w:adjustRightInd w:val="0"/>
                  <w:snapToGrid w:val="0"/>
                  <w:jc w:val="left"/>
                  <w:rPr>
                    <w:rFonts w:ascii="宋体" w:hAnsi="宋体"/>
                  </w:rPr>
                </w:pPr>
              </w:p>
            </w:tc>
          </w:tr>
          <w:tr w:rsidR="00B201D3" w:rsidRPr="006D4FBA" w14:paraId="77ACA22F" w14:textId="77777777">
            <w:trPr>
              <w:trHeight w:val="285"/>
            </w:trPr>
            <w:sdt>
              <w:sdtPr>
                <w:tag w:val="_PLD_d6fe8f04567e4b74ba93eab901204586"/>
                <w:id w:val="1155732774"/>
                <w:lock w:val="sdtLocked"/>
              </w:sdtPr>
              <w:sdtEndPr/>
              <w:sdtContent>
                <w:tc>
                  <w:tcPr>
                    <w:tcW w:w="3516" w:type="dxa"/>
                  </w:tcPr>
                  <w:p w14:paraId="42AE34EE" w14:textId="77777777" w:rsidR="00B201D3" w:rsidRPr="006D4FBA" w:rsidRDefault="009855E8">
                    <w:pPr>
                      <w:kinsoku w:val="0"/>
                      <w:overflowPunct w:val="0"/>
                      <w:autoSpaceDE w:val="0"/>
                      <w:autoSpaceDN w:val="0"/>
                      <w:adjustRightInd w:val="0"/>
                      <w:snapToGrid w:val="0"/>
                      <w:rPr>
                        <w:rFonts w:ascii="宋体" w:hAnsi="宋体"/>
                      </w:rPr>
                    </w:pPr>
                    <w:r w:rsidRPr="006D4FBA">
                      <w:rPr>
                        <w:rFonts w:ascii="宋体" w:hAnsi="宋体" w:hint="eastAsia"/>
                      </w:rPr>
                      <w:t>营业收入</w:t>
                    </w:r>
                  </w:p>
                </w:tc>
              </w:sdtContent>
            </w:sdt>
            <w:tc>
              <w:tcPr>
                <w:tcW w:w="1371" w:type="dxa"/>
                <w:vAlign w:val="center"/>
              </w:tcPr>
              <w:p w14:paraId="30317198" w14:textId="77777777" w:rsidR="00B201D3" w:rsidRPr="006D4FBA" w:rsidRDefault="009855E8">
                <w:pPr>
                  <w:kinsoku w:val="0"/>
                  <w:overflowPunct w:val="0"/>
                  <w:autoSpaceDE w:val="0"/>
                  <w:autoSpaceDN w:val="0"/>
                  <w:adjustRightInd w:val="0"/>
                  <w:snapToGrid w:val="0"/>
                  <w:jc w:val="right"/>
                  <w:rPr>
                    <w:rFonts w:ascii="宋体" w:hAnsi="宋体"/>
                  </w:rPr>
                </w:pPr>
                <w:r w:rsidRPr="006D4FBA">
                  <w:rPr>
                    <w:rFonts w:ascii="宋体" w:hAnsi="宋体"/>
                  </w:rPr>
                  <w:t xml:space="preserve">84,401,342 </w:t>
                </w:r>
              </w:p>
            </w:tc>
            <w:tc>
              <w:tcPr>
                <w:tcW w:w="1371" w:type="dxa"/>
                <w:vAlign w:val="center"/>
              </w:tcPr>
              <w:p w14:paraId="73DF939B" w14:textId="77777777" w:rsidR="00B201D3" w:rsidRPr="006D4FBA" w:rsidRDefault="009855E8">
                <w:pPr>
                  <w:kinsoku w:val="0"/>
                  <w:overflowPunct w:val="0"/>
                  <w:autoSpaceDE w:val="0"/>
                  <w:autoSpaceDN w:val="0"/>
                  <w:adjustRightInd w:val="0"/>
                  <w:snapToGrid w:val="0"/>
                  <w:jc w:val="right"/>
                  <w:rPr>
                    <w:rFonts w:ascii="宋体" w:hAnsi="宋体"/>
                    <w:bCs/>
                  </w:rPr>
                </w:pPr>
                <w:r w:rsidRPr="006D4FBA">
                  <w:rPr>
                    <w:rFonts w:ascii="宋体" w:hAnsi="宋体"/>
                  </w:rPr>
                  <w:t xml:space="preserve">100,285,198 </w:t>
                </w:r>
              </w:p>
            </w:tc>
            <w:tc>
              <w:tcPr>
                <w:tcW w:w="1371" w:type="dxa"/>
                <w:vAlign w:val="center"/>
              </w:tcPr>
              <w:p w14:paraId="632E94C5" w14:textId="77777777" w:rsidR="00B201D3" w:rsidRPr="006D4FBA" w:rsidRDefault="009855E8">
                <w:pPr>
                  <w:kinsoku w:val="0"/>
                  <w:overflowPunct w:val="0"/>
                  <w:autoSpaceDE w:val="0"/>
                  <w:autoSpaceDN w:val="0"/>
                  <w:adjustRightInd w:val="0"/>
                  <w:snapToGrid w:val="0"/>
                  <w:jc w:val="right"/>
                  <w:rPr>
                    <w:rFonts w:ascii="宋体" w:hAnsi="宋体"/>
                    <w:bCs/>
                  </w:rPr>
                </w:pPr>
                <w:r w:rsidRPr="006D4FBA">
                  <w:rPr>
                    <w:rFonts w:ascii="宋体" w:hAnsi="宋体"/>
                  </w:rPr>
                  <w:t xml:space="preserve">100,285,198 </w:t>
                </w:r>
              </w:p>
            </w:tc>
            <w:tc>
              <w:tcPr>
                <w:tcW w:w="1420" w:type="dxa"/>
                <w:vAlign w:val="center"/>
              </w:tcPr>
              <w:p w14:paraId="0D0E4653" w14:textId="77777777" w:rsidR="00B201D3" w:rsidRPr="006D4FBA" w:rsidRDefault="009855E8">
                <w:pPr>
                  <w:kinsoku w:val="0"/>
                  <w:overflowPunct w:val="0"/>
                  <w:autoSpaceDE w:val="0"/>
                  <w:autoSpaceDN w:val="0"/>
                  <w:adjustRightInd w:val="0"/>
                  <w:snapToGrid w:val="0"/>
                  <w:jc w:val="right"/>
                  <w:rPr>
                    <w:rFonts w:ascii="宋体" w:hAnsi="宋体"/>
                  </w:rPr>
                </w:pPr>
                <w:r w:rsidRPr="006D4FBA">
                  <w:rPr>
                    <w:rFonts w:ascii="宋体" w:hAnsi="宋体"/>
                  </w:rPr>
                  <w:t xml:space="preserve">-15.84 </w:t>
                </w:r>
              </w:p>
            </w:tc>
          </w:tr>
          <w:tr w:rsidR="00B201D3" w:rsidRPr="006D4FBA" w14:paraId="4E32AA58" w14:textId="77777777">
            <w:trPr>
              <w:trHeight w:val="285"/>
            </w:trPr>
            <w:sdt>
              <w:sdtPr>
                <w:tag w:val="_PLD_992c24f1e02e446b8aefeb9054d25359"/>
                <w:id w:val="-1705784937"/>
                <w:lock w:val="sdtLocked"/>
              </w:sdtPr>
              <w:sdtEndPr/>
              <w:sdtContent>
                <w:tc>
                  <w:tcPr>
                    <w:tcW w:w="3516" w:type="dxa"/>
                  </w:tcPr>
                  <w:p w14:paraId="34D6E295" w14:textId="77777777" w:rsidR="00B201D3" w:rsidRPr="006D4FBA" w:rsidRDefault="009855E8">
                    <w:pPr>
                      <w:kinsoku w:val="0"/>
                      <w:overflowPunct w:val="0"/>
                      <w:autoSpaceDE w:val="0"/>
                      <w:autoSpaceDN w:val="0"/>
                      <w:adjustRightInd w:val="0"/>
                      <w:snapToGrid w:val="0"/>
                      <w:rPr>
                        <w:rFonts w:ascii="宋体" w:hAnsi="宋体"/>
                      </w:rPr>
                    </w:pPr>
                    <w:r w:rsidRPr="006D4FBA">
                      <w:rPr>
                        <w:rFonts w:ascii="宋体" w:hAnsi="宋体" w:hint="eastAsia"/>
                      </w:rPr>
                      <w:t>归属于上市公司股东的净利润</w:t>
                    </w:r>
                  </w:p>
                </w:tc>
              </w:sdtContent>
            </w:sdt>
            <w:tc>
              <w:tcPr>
                <w:tcW w:w="1371" w:type="dxa"/>
                <w:vAlign w:val="center"/>
              </w:tcPr>
              <w:p w14:paraId="32BF2B32" w14:textId="77777777" w:rsidR="00B201D3" w:rsidRPr="006D4FBA" w:rsidRDefault="009855E8">
                <w:pPr>
                  <w:kinsoku w:val="0"/>
                  <w:overflowPunct w:val="0"/>
                  <w:autoSpaceDE w:val="0"/>
                  <w:autoSpaceDN w:val="0"/>
                  <w:adjustRightInd w:val="0"/>
                  <w:snapToGrid w:val="0"/>
                  <w:jc w:val="right"/>
                  <w:rPr>
                    <w:rFonts w:ascii="宋体" w:hAnsi="宋体"/>
                  </w:rPr>
                </w:pPr>
                <w:r w:rsidRPr="006D4FBA">
                  <w:rPr>
                    <w:rFonts w:ascii="宋体" w:hAnsi="宋体"/>
                  </w:rPr>
                  <w:t xml:space="preserve">10,210,068 </w:t>
                </w:r>
              </w:p>
            </w:tc>
            <w:tc>
              <w:tcPr>
                <w:tcW w:w="1371" w:type="dxa"/>
                <w:vAlign w:val="center"/>
              </w:tcPr>
              <w:p w14:paraId="6AE8F86D" w14:textId="77777777" w:rsidR="00B201D3" w:rsidRPr="006D4FBA" w:rsidRDefault="009855E8">
                <w:pPr>
                  <w:kinsoku w:val="0"/>
                  <w:overflowPunct w:val="0"/>
                  <w:autoSpaceDE w:val="0"/>
                  <w:autoSpaceDN w:val="0"/>
                  <w:adjustRightInd w:val="0"/>
                  <w:snapToGrid w:val="0"/>
                  <w:jc w:val="right"/>
                  <w:rPr>
                    <w:rFonts w:ascii="宋体" w:hAnsi="宋体"/>
                    <w:bCs/>
                  </w:rPr>
                </w:pPr>
                <w:r w:rsidRPr="006D4FBA">
                  <w:rPr>
                    <w:rFonts w:ascii="宋体" w:hAnsi="宋体"/>
                  </w:rPr>
                  <w:t xml:space="preserve">18,037,071 </w:t>
                </w:r>
              </w:p>
            </w:tc>
            <w:tc>
              <w:tcPr>
                <w:tcW w:w="1371" w:type="dxa"/>
                <w:vAlign w:val="center"/>
              </w:tcPr>
              <w:p w14:paraId="068F5095" w14:textId="77777777" w:rsidR="00B201D3" w:rsidRPr="006D4FBA" w:rsidRDefault="009855E8">
                <w:pPr>
                  <w:kinsoku w:val="0"/>
                  <w:overflowPunct w:val="0"/>
                  <w:autoSpaceDE w:val="0"/>
                  <w:autoSpaceDN w:val="0"/>
                  <w:adjustRightInd w:val="0"/>
                  <w:snapToGrid w:val="0"/>
                  <w:jc w:val="right"/>
                  <w:rPr>
                    <w:rFonts w:ascii="宋体" w:hAnsi="宋体"/>
                    <w:bCs/>
                  </w:rPr>
                </w:pPr>
                <w:r w:rsidRPr="006D4FBA">
                  <w:rPr>
                    <w:rFonts w:ascii="宋体" w:hAnsi="宋体"/>
                  </w:rPr>
                  <w:t xml:space="preserve">18,037,071 </w:t>
                </w:r>
              </w:p>
            </w:tc>
            <w:tc>
              <w:tcPr>
                <w:tcW w:w="1420" w:type="dxa"/>
                <w:vAlign w:val="center"/>
              </w:tcPr>
              <w:p w14:paraId="431315A8" w14:textId="77777777" w:rsidR="00B201D3" w:rsidRPr="006D4FBA" w:rsidRDefault="009855E8">
                <w:pPr>
                  <w:kinsoku w:val="0"/>
                  <w:overflowPunct w:val="0"/>
                  <w:autoSpaceDE w:val="0"/>
                  <w:autoSpaceDN w:val="0"/>
                  <w:adjustRightInd w:val="0"/>
                  <w:snapToGrid w:val="0"/>
                  <w:jc w:val="right"/>
                  <w:rPr>
                    <w:rFonts w:ascii="宋体" w:hAnsi="宋体"/>
                  </w:rPr>
                </w:pPr>
                <w:r w:rsidRPr="006D4FBA">
                  <w:rPr>
                    <w:rFonts w:ascii="宋体" w:hAnsi="宋体"/>
                  </w:rPr>
                  <w:t xml:space="preserve">-43.39 </w:t>
                </w:r>
              </w:p>
            </w:tc>
          </w:tr>
          <w:tr w:rsidR="00B201D3" w:rsidRPr="006D4FBA" w14:paraId="2DF8CC03" w14:textId="77777777">
            <w:trPr>
              <w:trHeight w:val="285"/>
            </w:trPr>
            <w:sdt>
              <w:sdtPr>
                <w:tag w:val="_PLD_5881cdcf54224948be30960900f28cf5"/>
                <w:id w:val="388300663"/>
                <w:lock w:val="sdtLocked"/>
              </w:sdtPr>
              <w:sdtEndPr/>
              <w:sdtContent>
                <w:tc>
                  <w:tcPr>
                    <w:tcW w:w="3516" w:type="dxa"/>
                  </w:tcPr>
                  <w:p w14:paraId="08BDC36B" w14:textId="77777777" w:rsidR="00B201D3" w:rsidRPr="006D4FBA" w:rsidRDefault="009855E8">
                    <w:pPr>
                      <w:kinsoku w:val="0"/>
                      <w:overflowPunct w:val="0"/>
                      <w:autoSpaceDE w:val="0"/>
                      <w:autoSpaceDN w:val="0"/>
                      <w:adjustRightInd w:val="0"/>
                      <w:snapToGrid w:val="0"/>
                      <w:rPr>
                        <w:rFonts w:ascii="宋体" w:hAnsi="宋体"/>
                      </w:rPr>
                    </w:pPr>
                    <w:r w:rsidRPr="006D4FBA">
                      <w:rPr>
                        <w:rFonts w:ascii="宋体" w:hAnsi="宋体" w:hint="eastAsia"/>
                      </w:rPr>
                      <w:t>归属于上市公司股东的扣除非经常性损益的净利润</w:t>
                    </w:r>
                  </w:p>
                </w:tc>
              </w:sdtContent>
            </w:sdt>
            <w:tc>
              <w:tcPr>
                <w:tcW w:w="1371" w:type="dxa"/>
                <w:vAlign w:val="center"/>
              </w:tcPr>
              <w:p w14:paraId="72FEA45A" w14:textId="77777777" w:rsidR="00B201D3" w:rsidRPr="006D4FBA" w:rsidRDefault="009855E8">
                <w:pPr>
                  <w:kinsoku w:val="0"/>
                  <w:overflowPunct w:val="0"/>
                  <w:autoSpaceDE w:val="0"/>
                  <w:autoSpaceDN w:val="0"/>
                  <w:adjustRightInd w:val="0"/>
                  <w:snapToGrid w:val="0"/>
                  <w:jc w:val="right"/>
                  <w:rPr>
                    <w:rFonts w:ascii="宋体" w:hAnsi="宋体"/>
                  </w:rPr>
                </w:pPr>
                <w:r w:rsidRPr="006D4FBA">
                  <w:rPr>
                    <w:rFonts w:ascii="宋体" w:hAnsi="宋体"/>
                  </w:rPr>
                  <w:t>10,049,371</w:t>
                </w:r>
              </w:p>
            </w:tc>
            <w:tc>
              <w:tcPr>
                <w:tcW w:w="1371" w:type="dxa"/>
                <w:vAlign w:val="center"/>
              </w:tcPr>
              <w:p w14:paraId="2DF411A6" w14:textId="77777777" w:rsidR="00B201D3" w:rsidRPr="006D4FBA" w:rsidRDefault="009855E8">
                <w:pPr>
                  <w:kinsoku w:val="0"/>
                  <w:overflowPunct w:val="0"/>
                  <w:autoSpaceDE w:val="0"/>
                  <w:autoSpaceDN w:val="0"/>
                  <w:adjustRightInd w:val="0"/>
                  <w:snapToGrid w:val="0"/>
                  <w:jc w:val="right"/>
                  <w:rPr>
                    <w:rFonts w:ascii="宋体" w:hAnsi="宋体"/>
                  </w:rPr>
                </w:pPr>
                <w:r w:rsidRPr="006D4FBA">
                  <w:rPr>
                    <w:rFonts w:ascii="宋体" w:hAnsi="宋体"/>
                  </w:rPr>
                  <w:t xml:space="preserve">17,838,582 </w:t>
                </w:r>
              </w:p>
            </w:tc>
            <w:tc>
              <w:tcPr>
                <w:tcW w:w="1371" w:type="dxa"/>
                <w:vAlign w:val="center"/>
              </w:tcPr>
              <w:p w14:paraId="0755D803" w14:textId="77777777" w:rsidR="00B201D3" w:rsidRPr="006D4FBA" w:rsidRDefault="009855E8">
                <w:pPr>
                  <w:kinsoku w:val="0"/>
                  <w:overflowPunct w:val="0"/>
                  <w:autoSpaceDE w:val="0"/>
                  <w:autoSpaceDN w:val="0"/>
                  <w:adjustRightInd w:val="0"/>
                  <w:snapToGrid w:val="0"/>
                  <w:jc w:val="right"/>
                  <w:rPr>
                    <w:rFonts w:ascii="宋体" w:hAnsi="宋体"/>
                    <w:bCs/>
                  </w:rPr>
                </w:pPr>
                <w:r w:rsidRPr="006D4FBA">
                  <w:rPr>
                    <w:rFonts w:ascii="宋体" w:hAnsi="宋体"/>
                  </w:rPr>
                  <w:t>17,838,582</w:t>
                </w:r>
              </w:p>
            </w:tc>
            <w:tc>
              <w:tcPr>
                <w:tcW w:w="1420" w:type="dxa"/>
                <w:vAlign w:val="center"/>
              </w:tcPr>
              <w:p w14:paraId="034CA23E" w14:textId="77777777" w:rsidR="00B201D3" w:rsidRPr="006D4FBA" w:rsidRDefault="009855E8">
                <w:pPr>
                  <w:kinsoku w:val="0"/>
                  <w:overflowPunct w:val="0"/>
                  <w:autoSpaceDE w:val="0"/>
                  <w:autoSpaceDN w:val="0"/>
                  <w:adjustRightInd w:val="0"/>
                  <w:snapToGrid w:val="0"/>
                  <w:jc w:val="right"/>
                  <w:rPr>
                    <w:rFonts w:ascii="宋体" w:hAnsi="宋体"/>
                  </w:rPr>
                </w:pPr>
                <w:r w:rsidRPr="006D4FBA">
                  <w:rPr>
                    <w:rFonts w:ascii="宋体" w:hAnsi="宋体"/>
                  </w:rPr>
                  <w:t>-43.66</w:t>
                </w:r>
              </w:p>
            </w:tc>
          </w:tr>
          <w:tr w:rsidR="00B201D3" w:rsidRPr="006D4FBA" w14:paraId="168A4DD1" w14:textId="77777777">
            <w:trPr>
              <w:trHeight w:val="285"/>
            </w:trPr>
            <w:sdt>
              <w:sdtPr>
                <w:tag w:val="_PLD_dcc7a40166e74d48ae3a32c7262060e1"/>
                <w:id w:val="-402993355"/>
                <w:lock w:val="sdtLocked"/>
              </w:sdtPr>
              <w:sdtEndPr/>
              <w:sdtContent>
                <w:tc>
                  <w:tcPr>
                    <w:tcW w:w="3516" w:type="dxa"/>
                  </w:tcPr>
                  <w:p w14:paraId="3CB75E5E" w14:textId="77777777" w:rsidR="00B201D3" w:rsidRPr="006D4FBA" w:rsidRDefault="009855E8">
                    <w:pPr>
                      <w:kinsoku w:val="0"/>
                      <w:overflowPunct w:val="0"/>
                      <w:autoSpaceDE w:val="0"/>
                      <w:autoSpaceDN w:val="0"/>
                      <w:adjustRightInd w:val="0"/>
                      <w:snapToGrid w:val="0"/>
                      <w:rPr>
                        <w:rFonts w:ascii="宋体" w:hAnsi="宋体"/>
                        <w:highlight w:val="magenta"/>
                      </w:rPr>
                    </w:pPr>
                    <w:r w:rsidRPr="006D4FBA">
                      <w:rPr>
                        <w:rFonts w:ascii="宋体" w:hAnsi="宋体" w:hint="eastAsia"/>
                      </w:rPr>
                      <w:t>经营活动产生的现金流量净额</w:t>
                    </w:r>
                  </w:p>
                </w:tc>
              </w:sdtContent>
            </w:sdt>
            <w:tc>
              <w:tcPr>
                <w:tcW w:w="1371" w:type="dxa"/>
                <w:vAlign w:val="center"/>
              </w:tcPr>
              <w:p w14:paraId="61AC0D5E" w14:textId="77777777" w:rsidR="00B201D3" w:rsidRPr="006D4FBA" w:rsidRDefault="009855E8">
                <w:pPr>
                  <w:kinsoku w:val="0"/>
                  <w:overflowPunct w:val="0"/>
                  <w:autoSpaceDE w:val="0"/>
                  <w:autoSpaceDN w:val="0"/>
                  <w:adjustRightInd w:val="0"/>
                  <w:snapToGrid w:val="0"/>
                  <w:jc w:val="right"/>
                  <w:rPr>
                    <w:rFonts w:ascii="宋体" w:hAnsi="宋体"/>
                  </w:rPr>
                </w:pPr>
                <w:r w:rsidRPr="006D4FBA">
                  <w:rPr>
                    <w:rFonts w:ascii="宋体" w:hAnsi="宋体"/>
                  </w:rPr>
                  <w:t>8,661,120</w:t>
                </w:r>
              </w:p>
            </w:tc>
            <w:tc>
              <w:tcPr>
                <w:tcW w:w="1371" w:type="dxa"/>
                <w:vAlign w:val="center"/>
              </w:tcPr>
              <w:p w14:paraId="2089CB75" w14:textId="77777777" w:rsidR="00B201D3" w:rsidRPr="006D4FBA" w:rsidRDefault="009855E8">
                <w:pPr>
                  <w:kinsoku w:val="0"/>
                  <w:overflowPunct w:val="0"/>
                  <w:autoSpaceDE w:val="0"/>
                  <w:autoSpaceDN w:val="0"/>
                  <w:adjustRightInd w:val="0"/>
                  <w:snapToGrid w:val="0"/>
                  <w:jc w:val="right"/>
                  <w:rPr>
                    <w:rFonts w:ascii="宋体" w:hAnsi="宋体"/>
                    <w:bCs/>
                  </w:rPr>
                </w:pPr>
                <w:r w:rsidRPr="006D4FBA">
                  <w:rPr>
                    <w:rFonts w:ascii="宋体" w:hAnsi="宋体"/>
                    <w:bCs/>
                  </w:rPr>
                  <w:t>13,398,605</w:t>
                </w:r>
              </w:p>
            </w:tc>
            <w:tc>
              <w:tcPr>
                <w:tcW w:w="1371" w:type="dxa"/>
                <w:vAlign w:val="center"/>
              </w:tcPr>
              <w:p w14:paraId="614F0817" w14:textId="77777777" w:rsidR="00B201D3" w:rsidRPr="006D4FBA" w:rsidRDefault="009855E8">
                <w:pPr>
                  <w:kinsoku w:val="0"/>
                  <w:overflowPunct w:val="0"/>
                  <w:autoSpaceDE w:val="0"/>
                  <w:autoSpaceDN w:val="0"/>
                  <w:adjustRightInd w:val="0"/>
                  <w:snapToGrid w:val="0"/>
                  <w:jc w:val="right"/>
                  <w:rPr>
                    <w:rFonts w:ascii="宋体" w:hAnsi="宋体"/>
                  </w:rPr>
                </w:pPr>
                <w:r w:rsidRPr="006D4FBA">
                  <w:rPr>
                    <w:rFonts w:ascii="宋体" w:hAnsi="宋体"/>
                  </w:rPr>
                  <w:t>13,397,660</w:t>
                </w:r>
              </w:p>
            </w:tc>
            <w:tc>
              <w:tcPr>
                <w:tcW w:w="1420" w:type="dxa"/>
                <w:vAlign w:val="center"/>
              </w:tcPr>
              <w:p w14:paraId="2FF64A3A" w14:textId="77777777" w:rsidR="00B201D3" w:rsidRPr="006D4FBA" w:rsidRDefault="009855E8">
                <w:pPr>
                  <w:kinsoku w:val="0"/>
                  <w:overflowPunct w:val="0"/>
                  <w:autoSpaceDE w:val="0"/>
                  <w:autoSpaceDN w:val="0"/>
                  <w:adjustRightInd w:val="0"/>
                  <w:snapToGrid w:val="0"/>
                  <w:jc w:val="right"/>
                  <w:rPr>
                    <w:rFonts w:ascii="宋体" w:hAnsi="宋体"/>
                  </w:rPr>
                </w:pPr>
                <w:r w:rsidRPr="006D4FBA">
                  <w:rPr>
                    <w:rFonts w:ascii="宋体" w:hAnsi="宋体"/>
                  </w:rPr>
                  <w:t>-35.36</w:t>
                </w:r>
              </w:p>
            </w:tc>
          </w:tr>
          <w:tr w:rsidR="00B201D3" w:rsidRPr="006D4FBA" w14:paraId="35156E8A" w14:textId="77777777">
            <w:trPr>
              <w:trHeight w:val="285"/>
            </w:trPr>
            <w:tc>
              <w:tcPr>
                <w:tcW w:w="3516" w:type="dxa"/>
                <w:vMerge w:val="restart"/>
                <w:vAlign w:val="center"/>
              </w:tcPr>
              <w:p w14:paraId="52D80DFC" w14:textId="77777777" w:rsidR="00B201D3" w:rsidRPr="006D4FBA" w:rsidRDefault="00B201D3">
                <w:pPr>
                  <w:kinsoku w:val="0"/>
                  <w:overflowPunct w:val="0"/>
                  <w:autoSpaceDE w:val="0"/>
                  <w:autoSpaceDN w:val="0"/>
                  <w:adjustRightInd w:val="0"/>
                  <w:snapToGrid w:val="0"/>
                  <w:jc w:val="center"/>
                  <w:rPr>
                    <w:rFonts w:ascii="宋体" w:hAnsi="宋体"/>
                  </w:rPr>
                </w:pPr>
              </w:p>
            </w:tc>
            <w:sdt>
              <w:sdtPr>
                <w:tag w:val="_PLD_c7b7068cbc2d423f9bca32e0ef1279a4"/>
                <w:id w:val="2143689063"/>
                <w:lock w:val="sdtLocked"/>
              </w:sdtPr>
              <w:sdtEndPr/>
              <w:sdtContent>
                <w:tc>
                  <w:tcPr>
                    <w:tcW w:w="1371" w:type="dxa"/>
                    <w:vMerge w:val="restart"/>
                    <w:vAlign w:val="center"/>
                  </w:tcPr>
                  <w:p w14:paraId="459D6C31" w14:textId="77777777" w:rsidR="00B201D3" w:rsidRPr="006D4FBA" w:rsidRDefault="009855E8">
                    <w:pPr>
                      <w:kinsoku w:val="0"/>
                      <w:overflowPunct w:val="0"/>
                      <w:autoSpaceDE w:val="0"/>
                      <w:autoSpaceDN w:val="0"/>
                      <w:adjustRightInd w:val="0"/>
                      <w:snapToGrid w:val="0"/>
                      <w:jc w:val="center"/>
                      <w:rPr>
                        <w:rFonts w:ascii="宋体" w:hAnsi="宋体"/>
                      </w:rPr>
                    </w:pPr>
                    <w:r w:rsidRPr="006D4FBA">
                      <w:rPr>
                        <w:rFonts w:ascii="宋体" w:hAnsi="宋体"/>
                      </w:rPr>
                      <w:t>本报告期末</w:t>
                    </w:r>
                  </w:p>
                </w:tc>
              </w:sdtContent>
            </w:sdt>
            <w:sdt>
              <w:sdtPr>
                <w:tag w:val="_PLD_8051a782c26646bb91b35d3d6e9b3f15"/>
                <w:id w:val="-522164202"/>
                <w:lock w:val="sdtLocked"/>
              </w:sdtPr>
              <w:sdtEndPr/>
              <w:sdtContent>
                <w:tc>
                  <w:tcPr>
                    <w:tcW w:w="2742" w:type="dxa"/>
                    <w:gridSpan w:val="2"/>
                    <w:vAlign w:val="center"/>
                  </w:tcPr>
                  <w:p w14:paraId="434C6001" w14:textId="77777777" w:rsidR="00B201D3" w:rsidRPr="006D4FBA" w:rsidRDefault="009855E8">
                    <w:pPr>
                      <w:kinsoku w:val="0"/>
                      <w:overflowPunct w:val="0"/>
                      <w:autoSpaceDE w:val="0"/>
                      <w:autoSpaceDN w:val="0"/>
                      <w:adjustRightInd w:val="0"/>
                      <w:snapToGrid w:val="0"/>
                      <w:jc w:val="center"/>
                      <w:rPr>
                        <w:rFonts w:ascii="宋体" w:hAnsi="宋体"/>
                      </w:rPr>
                    </w:pPr>
                    <w:r w:rsidRPr="006D4FBA">
                      <w:rPr>
                        <w:rFonts w:ascii="宋体" w:hAnsi="宋体"/>
                      </w:rPr>
                      <w:t>上年度末</w:t>
                    </w:r>
                  </w:p>
                </w:tc>
              </w:sdtContent>
            </w:sdt>
            <w:sdt>
              <w:sdtPr>
                <w:tag w:val="_PLD_8358d5c4e2fb4bba98618c7ec8bb3fc2"/>
                <w:id w:val="2060967849"/>
                <w:lock w:val="sdtLocked"/>
              </w:sdtPr>
              <w:sdtEndPr/>
              <w:sdtContent>
                <w:tc>
                  <w:tcPr>
                    <w:tcW w:w="1420" w:type="dxa"/>
                    <w:vMerge w:val="restart"/>
                    <w:vAlign w:val="center"/>
                  </w:tcPr>
                  <w:p w14:paraId="640BD5C9" w14:textId="77777777" w:rsidR="00B201D3" w:rsidRPr="006D4FBA" w:rsidRDefault="009855E8">
                    <w:pPr>
                      <w:kinsoku w:val="0"/>
                      <w:overflowPunct w:val="0"/>
                      <w:autoSpaceDE w:val="0"/>
                      <w:autoSpaceDN w:val="0"/>
                      <w:adjustRightInd w:val="0"/>
                      <w:snapToGrid w:val="0"/>
                      <w:jc w:val="center"/>
                      <w:rPr>
                        <w:rFonts w:ascii="宋体" w:hAnsi="宋体"/>
                      </w:rPr>
                    </w:pPr>
                    <w:r w:rsidRPr="006D4FBA">
                      <w:rPr>
                        <w:rFonts w:ascii="宋体" w:hAnsi="宋体"/>
                      </w:rPr>
                      <w:t>本报告期末比上年度末增减(%)</w:t>
                    </w:r>
                  </w:p>
                </w:tc>
              </w:sdtContent>
            </w:sdt>
          </w:tr>
          <w:tr w:rsidR="00B201D3" w:rsidRPr="006D4FBA" w14:paraId="690931BB" w14:textId="77777777">
            <w:trPr>
              <w:trHeight w:val="285"/>
            </w:trPr>
            <w:tc>
              <w:tcPr>
                <w:tcW w:w="3516" w:type="dxa"/>
                <w:vMerge/>
              </w:tcPr>
              <w:p w14:paraId="123E7AE7" w14:textId="77777777" w:rsidR="00B201D3" w:rsidRPr="006D4FBA" w:rsidRDefault="00B201D3">
                <w:pPr>
                  <w:kinsoku w:val="0"/>
                  <w:overflowPunct w:val="0"/>
                  <w:autoSpaceDE w:val="0"/>
                  <w:autoSpaceDN w:val="0"/>
                  <w:adjustRightInd w:val="0"/>
                  <w:snapToGrid w:val="0"/>
                  <w:jc w:val="left"/>
                  <w:rPr>
                    <w:rFonts w:ascii="宋体" w:hAnsi="宋体"/>
                  </w:rPr>
                </w:pPr>
              </w:p>
            </w:tc>
            <w:tc>
              <w:tcPr>
                <w:tcW w:w="1371" w:type="dxa"/>
                <w:vMerge/>
              </w:tcPr>
              <w:p w14:paraId="01FDB06F" w14:textId="77777777" w:rsidR="00B201D3" w:rsidRPr="006D4FBA" w:rsidRDefault="00B201D3">
                <w:pPr>
                  <w:kinsoku w:val="0"/>
                  <w:overflowPunct w:val="0"/>
                  <w:autoSpaceDE w:val="0"/>
                  <w:autoSpaceDN w:val="0"/>
                  <w:adjustRightInd w:val="0"/>
                  <w:snapToGrid w:val="0"/>
                  <w:rPr>
                    <w:rFonts w:ascii="宋体" w:hAnsi="宋体"/>
                  </w:rPr>
                </w:pPr>
              </w:p>
            </w:tc>
            <w:sdt>
              <w:sdtPr>
                <w:rPr>
                  <w:rFonts w:ascii="宋体" w:eastAsia="宋体" w:hAnsi="宋体"/>
                </w:rPr>
                <w:tag w:val="_PLD_afd37870086f47d9b2dbc63bd02cb0d5"/>
                <w:id w:val="-1220279829"/>
                <w:lock w:val="sdtLocked"/>
              </w:sdtPr>
              <w:sdtEndPr/>
              <w:sdtContent>
                <w:tc>
                  <w:tcPr>
                    <w:tcW w:w="1371" w:type="dxa"/>
                    <w:vAlign w:val="center"/>
                  </w:tcPr>
                  <w:p w14:paraId="7C6654DB" w14:textId="77777777" w:rsidR="00B201D3" w:rsidRPr="006D4FBA" w:rsidRDefault="009855E8">
                    <w:pPr>
                      <w:pStyle w:val="xl61"/>
                      <w:kinsoku w:val="0"/>
                      <w:overflowPunct w:val="0"/>
                      <w:autoSpaceDE w:val="0"/>
                      <w:autoSpaceDN w:val="0"/>
                      <w:adjustRightInd w:val="0"/>
                      <w:snapToGrid w:val="0"/>
                      <w:spacing w:before="0" w:after="0"/>
                      <w:jc w:val="center"/>
                      <w:rPr>
                        <w:rFonts w:ascii="宋体" w:eastAsia="宋体" w:hAnsi="宋体"/>
                        <w:kern w:val="2"/>
                        <w:sz w:val="21"/>
                        <w:szCs w:val="21"/>
                      </w:rPr>
                    </w:pPr>
                    <w:r w:rsidRPr="006D4FBA">
                      <w:rPr>
                        <w:rFonts w:ascii="宋体" w:eastAsia="宋体" w:hAnsi="宋体" w:hint="eastAsia"/>
                        <w:sz w:val="21"/>
                        <w:szCs w:val="21"/>
                      </w:rPr>
                      <w:t>调整后</w:t>
                    </w:r>
                  </w:p>
                </w:tc>
              </w:sdtContent>
            </w:sdt>
            <w:sdt>
              <w:sdtPr>
                <w:tag w:val="_PLD_5ac02f67d8c64007ab312248cec82d6d"/>
                <w:id w:val="-667171146"/>
                <w:lock w:val="sdtLocked"/>
              </w:sdtPr>
              <w:sdtEndPr/>
              <w:sdtContent>
                <w:tc>
                  <w:tcPr>
                    <w:tcW w:w="1371" w:type="dxa"/>
                    <w:vAlign w:val="center"/>
                  </w:tcPr>
                  <w:p w14:paraId="7CD26126" w14:textId="77777777" w:rsidR="00B201D3" w:rsidRPr="006D4FBA" w:rsidRDefault="009855E8">
                    <w:pPr>
                      <w:kinsoku w:val="0"/>
                      <w:overflowPunct w:val="0"/>
                      <w:autoSpaceDE w:val="0"/>
                      <w:autoSpaceDN w:val="0"/>
                      <w:adjustRightInd w:val="0"/>
                      <w:snapToGrid w:val="0"/>
                      <w:jc w:val="center"/>
                      <w:rPr>
                        <w:rFonts w:ascii="宋体" w:hAnsi="宋体"/>
                      </w:rPr>
                    </w:pPr>
                    <w:r w:rsidRPr="006D4FBA">
                      <w:rPr>
                        <w:rFonts w:ascii="宋体" w:hAnsi="宋体" w:hint="eastAsia"/>
                      </w:rPr>
                      <w:t>调整前</w:t>
                    </w:r>
                  </w:p>
                </w:tc>
              </w:sdtContent>
            </w:sdt>
            <w:tc>
              <w:tcPr>
                <w:tcW w:w="1420" w:type="dxa"/>
                <w:vMerge/>
                <w:vAlign w:val="center"/>
              </w:tcPr>
              <w:p w14:paraId="2DE5EEDC" w14:textId="77777777" w:rsidR="00B201D3" w:rsidRPr="006D4FBA" w:rsidRDefault="00B201D3">
                <w:pPr>
                  <w:kinsoku w:val="0"/>
                  <w:overflowPunct w:val="0"/>
                  <w:autoSpaceDE w:val="0"/>
                  <w:autoSpaceDN w:val="0"/>
                  <w:adjustRightInd w:val="0"/>
                  <w:snapToGrid w:val="0"/>
                  <w:jc w:val="center"/>
                  <w:rPr>
                    <w:rFonts w:ascii="宋体" w:hAnsi="宋体"/>
                  </w:rPr>
                </w:pPr>
              </w:p>
            </w:tc>
          </w:tr>
          <w:tr w:rsidR="00B201D3" w:rsidRPr="006D4FBA" w14:paraId="4A83CCE1" w14:textId="77777777">
            <w:trPr>
              <w:trHeight w:val="285"/>
            </w:trPr>
            <w:sdt>
              <w:sdtPr>
                <w:tag w:val="_PLD_649c619a12754e7e88c2829af2557897"/>
                <w:id w:val="-1812852909"/>
                <w:lock w:val="sdtLocked"/>
              </w:sdtPr>
              <w:sdtEndPr/>
              <w:sdtContent>
                <w:tc>
                  <w:tcPr>
                    <w:tcW w:w="3516" w:type="dxa"/>
                  </w:tcPr>
                  <w:p w14:paraId="20C5BB89" w14:textId="77777777" w:rsidR="00B201D3" w:rsidRPr="006D4FBA" w:rsidRDefault="009855E8">
                    <w:pPr>
                      <w:kinsoku w:val="0"/>
                      <w:overflowPunct w:val="0"/>
                      <w:autoSpaceDE w:val="0"/>
                      <w:autoSpaceDN w:val="0"/>
                      <w:adjustRightInd w:val="0"/>
                      <w:snapToGrid w:val="0"/>
                      <w:rPr>
                        <w:rFonts w:ascii="宋体" w:hAnsi="宋体"/>
                      </w:rPr>
                    </w:pPr>
                    <w:r w:rsidRPr="006D4FBA">
                      <w:rPr>
                        <w:rFonts w:ascii="宋体" w:hAnsi="宋体" w:hint="eastAsia"/>
                      </w:rPr>
                      <w:t>归属于上市公司股东的净资产</w:t>
                    </w:r>
                  </w:p>
                </w:tc>
              </w:sdtContent>
            </w:sdt>
            <w:tc>
              <w:tcPr>
                <w:tcW w:w="1371" w:type="dxa"/>
                <w:vAlign w:val="center"/>
              </w:tcPr>
              <w:p w14:paraId="5CB8401F" w14:textId="77777777" w:rsidR="00B201D3" w:rsidRPr="006D4FBA" w:rsidRDefault="009855E8">
                <w:pPr>
                  <w:kinsoku w:val="0"/>
                  <w:overflowPunct w:val="0"/>
                  <w:autoSpaceDE w:val="0"/>
                  <w:autoSpaceDN w:val="0"/>
                  <w:adjustRightInd w:val="0"/>
                  <w:snapToGrid w:val="0"/>
                  <w:jc w:val="right"/>
                  <w:rPr>
                    <w:rFonts w:ascii="宋体" w:hAnsi="宋体"/>
                  </w:rPr>
                </w:pPr>
                <w:r w:rsidRPr="006D4FBA">
                  <w:rPr>
                    <w:rFonts w:ascii="宋体" w:hAnsi="宋体"/>
                  </w:rPr>
                  <w:t xml:space="preserve">82,811,721 </w:t>
                </w:r>
              </w:p>
            </w:tc>
            <w:tc>
              <w:tcPr>
                <w:tcW w:w="1371" w:type="dxa"/>
                <w:vAlign w:val="center"/>
              </w:tcPr>
              <w:p w14:paraId="2380DECC" w14:textId="77777777" w:rsidR="00B201D3" w:rsidRPr="006D4FBA" w:rsidRDefault="009855E8">
                <w:pPr>
                  <w:kinsoku w:val="0"/>
                  <w:overflowPunct w:val="0"/>
                  <w:autoSpaceDE w:val="0"/>
                  <w:autoSpaceDN w:val="0"/>
                  <w:adjustRightInd w:val="0"/>
                  <w:snapToGrid w:val="0"/>
                  <w:jc w:val="right"/>
                  <w:rPr>
                    <w:rFonts w:ascii="宋体" w:hAnsi="宋体"/>
                    <w:bCs/>
                  </w:rPr>
                </w:pPr>
                <w:r w:rsidRPr="006D4FBA">
                  <w:rPr>
                    <w:rFonts w:ascii="宋体" w:hAnsi="宋体"/>
                    <w:bCs/>
                  </w:rPr>
                  <w:t>94,776,485</w:t>
                </w:r>
              </w:p>
            </w:tc>
            <w:tc>
              <w:tcPr>
                <w:tcW w:w="1371" w:type="dxa"/>
                <w:vAlign w:val="center"/>
              </w:tcPr>
              <w:p w14:paraId="21F0036A" w14:textId="77777777" w:rsidR="00B201D3" w:rsidRPr="006D4FBA" w:rsidRDefault="009855E8">
                <w:pPr>
                  <w:kinsoku w:val="0"/>
                  <w:overflowPunct w:val="0"/>
                  <w:autoSpaceDE w:val="0"/>
                  <w:autoSpaceDN w:val="0"/>
                  <w:adjustRightInd w:val="0"/>
                  <w:snapToGrid w:val="0"/>
                  <w:jc w:val="right"/>
                  <w:rPr>
                    <w:rFonts w:ascii="宋体" w:hAnsi="宋体"/>
                    <w:bCs/>
                  </w:rPr>
                </w:pPr>
                <w:r w:rsidRPr="006D4FBA">
                  <w:rPr>
                    <w:rFonts w:ascii="宋体" w:hAnsi="宋体"/>
                    <w:bCs/>
                  </w:rPr>
                  <w:t>94,735,306</w:t>
                </w:r>
              </w:p>
            </w:tc>
            <w:tc>
              <w:tcPr>
                <w:tcW w:w="1420" w:type="dxa"/>
                <w:vAlign w:val="center"/>
              </w:tcPr>
              <w:p w14:paraId="0FBFC20B" w14:textId="77777777" w:rsidR="00B201D3" w:rsidRPr="006D4FBA" w:rsidRDefault="009855E8">
                <w:pPr>
                  <w:kinsoku w:val="0"/>
                  <w:overflowPunct w:val="0"/>
                  <w:autoSpaceDE w:val="0"/>
                  <w:autoSpaceDN w:val="0"/>
                  <w:adjustRightInd w:val="0"/>
                  <w:snapToGrid w:val="0"/>
                  <w:jc w:val="right"/>
                  <w:rPr>
                    <w:rFonts w:ascii="宋体" w:hAnsi="宋体"/>
                  </w:rPr>
                </w:pPr>
                <w:r w:rsidRPr="006D4FBA">
                  <w:rPr>
                    <w:rFonts w:ascii="宋体" w:hAnsi="宋体"/>
                  </w:rPr>
                  <w:t xml:space="preserve">-12.62 </w:t>
                </w:r>
              </w:p>
            </w:tc>
          </w:tr>
          <w:tr w:rsidR="00B201D3" w:rsidRPr="006D4FBA" w14:paraId="093FF179" w14:textId="77777777">
            <w:trPr>
              <w:trHeight w:val="285"/>
            </w:trPr>
            <w:sdt>
              <w:sdtPr>
                <w:tag w:val="_PLD_8fe1d1223da1450492e298a0b1a56014"/>
                <w:id w:val="784308303"/>
                <w:lock w:val="sdtLocked"/>
              </w:sdtPr>
              <w:sdtEndPr/>
              <w:sdtContent>
                <w:tc>
                  <w:tcPr>
                    <w:tcW w:w="3516" w:type="dxa"/>
                  </w:tcPr>
                  <w:p w14:paraId="3D57A603" w14:textId="77777777" w:rsidR="00B201D3" w:rsidRPr="006D4FBA" w:rsidRDefault="009855E8">
                    <w:pPr>
                      <w:kinsoku w:val="0"/>
                      <w:overflowPunct w:val="0"/>
                      <w:autoSpaceDE w:val="0"/>
                      <w:autoSpaceDN w:val="0"/>
                      <w:adjustRightInd w:val="0"/>
                      <w:snapToGrid w:val="0"/>
                      <w:rPr>
                        <w:rFonts w:ascii="宋体" w:hAnsi="宋体"/>
                      </w:rPr>
                    </w:pPr>
                    <w:r w:rsidRPr="006D4FBA">
                      <w:rPr>
                        <w:rFonts w:ascii="宋体" w:hAnsi="宋体" w:hint="eastAsia"/>
                      </w:rPr>
                      <w:t>总资产</w:t>
                    </w:r>
                  </w:p>
                </w:tc>
              </w:sdtContent>
            </w:sdt>
            <w:tc>
              <w:tcPr>
                <w:tcW w:w="1371" w:type="dxa"/>
                <w:vAlign w:val="center"/>
              </w:tcPr>
              <w:p w14:paraId="6688857F" w14:textId="77777777" w:rsidR="00B201D3" w:rsidRPr="006D4FBA" w:rsidRDefault="009855E8">
                <w:pPr>
                  <w:kinsoku w:val="0"/>
                  <w:overflowPunct w:val="0"/>
                  <w:autoSpaceDE w:val="0"/>
                  <w:autoSpaceDN w:val="0"/>
                  <w:adjustRightInd w:val="0"/>
                  <w:snapToGrid w:val="0"/>
                  <w:jc w:val="right"/>
                  <w:rPr>
                    <w:rFonts w:ascii="宋体" w:hAnsi="宋体"/>
                  </w:rPr>
                </w:pPr>
                <w:r w:rsidRPr="006D4FBA">
                  <w:rPr>
                    <w:rFonts w:ascii="宋体" w:hAnsi="宋体"/>
                  </w:rPr>
                  <w:t xml:space="preserve">305,140,899 </w:t>
                </w:r>
              </w:p>
            </w:tc>
            <w:tc>
              <w:tcPr>
                <w:tcW w:w="1371" w:type="dxa"/>
                <w:vAlign w:val="center"/>
              </w:tcPr>
              <w:p w14:paraId="1E76531F" w14:textId="77777777" w:rsidR="00B201D3" w:rsidRPr="006D4FBA" w:rsidRDefault="009855E8">
                <w:pPr>
                  <w:kinsoku w:val="0"/>
                  <w:overflowPunct w:val="0"/>
                  <w:autoSpaceDE w:val="0"/>
                  <w:autoSpaceDN w:val="0"/>
                  <w:adjustRightInd w:val="0"/>
                  <w:snapToGrid w:val="0"/>
                  <w:jc w:val="right"/>
                  <w:rPr>
                    <w:rFonts w:ascii="宋体" w:hAnsi="宋体"/>
                    <w:bCs/>
                  </w:rPr>
                </w:pPr>
                <w:r w:rsidRPr="006D4FBA">
                  <w:rPr>
                    <w:rFonts w:ascii="宋体" w:hAnsi="宋体"/>
                    <w:bCs/>
                  </w:rPr>
                  <w:t>296,248,714</w:t>
                </w:r>
              </w:p>
            </w:tc>
            <w:tc>
              <w:tcPr>
                <w:tcW w:w="1371" w:type="dxa"/>
                <w:vAlign w:val="center"/>
              </w:tcPr>
              <w:p w14:paraId="3C5F9B03" w14:textId="77777777" w:rsidR="00B201D3" w:rsidRPr="006D4FBA" w:rsidRDefault="009855E8">
                <w:pPr>
                  <w:kinsoku w:val="0"/>
                  <w:overflowPunct w:val="0"/>
                  <w:autoSpaceDE w:val="0"/>
                  <w:autoSpaceDN w:val="0"/>
                  <w:adjustRightInd w:val="0"/>
                  <w:snapToGrid w:val="0"/>
                  <w:jc w:val="right"/>
                  <w:rPr>
                    <w:rFonts w:ascii="宋体" w:hAnsi="宋体"/>
                    <w:bCs/>
                  </w:rPr>
                </w:pPr>
                <w:r w:rsidRPr="006D4FBA">
                  <w:rPr>
                    <w:rFonts w:ascii="宋体" w:hAnsi="宋体"/>
                    <w:bCs/>
                  </w:rPr>
                  <w:t>295,795,524</w:t>
                </w:r>
              </w:p>
            </w:tc>
            <w:tc>
              <w:tcPr>
                <w:tcW w:w="1420" w:type="dxa"/>
                <w:vAlign w:val="center"/>
              </w:tcPr>
              <w:p w14:paraId="3ACA9842" w14:textId="77777777" w:rsidR="00B201D3" w:rsidRPr="006D4FBA" w:rsidRDefault="009855E8">
                <w:pPr>
                  <w:kinsoku w:val="0"/>
                  <w:overflowPunct w:val="0"/>
                  <w:autoSpaceDE w:val="0"/>
                  <w:autoSpaceDN w:val="0"/>
                  <w:adjustRightInd w:val="0"/>
                  <w:snapToGrid w:val="0"/>
                  <w:jc w:val="right"/>
                  <w:rPr>
                    <w:rFonts w:ascii="宋体" w:hAnsi="宋体"/>
                  </w:rPr>
                </w:pPr>
                <w:r w:rsidRPr="006D4FBA">
                  <w:rPr>
                    <w:rFonts w:ascii="宋体" w:hAnsi="宋体"/>
                  </w:rPr>
                  <w:t xml:space="preserve">3.00 </w:t>
                </w:r>
              </w:p>
            </w:tc>
          </w:tr>
        </w:tbl>
        <w:p w14:paraId="751F6C18" w14:textId="77777777" w:rsidR="00B201D3" w:rsidRPr="006D4FBA" w:rsidRDefault="00C8327E">
          <w:pPr>
            <w:pStyle w:val="3903"/>
          </w:pPr>
        </w:p>
      </w:sdtContent>
    </w:sdt>
    <w:p w14:paraId="5182DD50" w14:textId="77777777" w:rsidR="00B201D3" w:rsidRPr="006D4FBA" w:rsidRDefault="009855E8">
      <w:pPr>
        <w:pStyle w:val="3"/>
        <w:numPr>
          <w:ilvl w:val="1"/>
          <w:numId w:val="4"/>
        </w:numPr>
        <w:rPr>
          <w:rFonts w:ascii="宋体" w:hAnsi="宋体"/>
          <w:szCs w:val="21"/>
        </w:rPr>
      </w:pPr>
      <w:r w:rsidRPr="006D4FBA">
        <w:rPr>
          <w:rFonts w:ascii="宋体" w:hAnsi="宋体"/>
        </w:rPr>
        <w:t>主要财务指标</w:t>
      </w:r>
    </w:p>
    <w:bookmarkEnd w:id="17" w:displacedByCustomXml="next"/>
    <w:sdt>
      <w:sdtPr>
        <w:rPr>
          <w:rFonts w:ascii="宋体" w:hAnsi="宋体"/>
        </w:rPr>
        <w:alias w:val="选项模块:主要财务指标(追溯)"/>
        <w:tag w:val="_GBC_f2e015828f0e4c85978a15defdf078a0"/>
        <w:id w:val="1225334699"/>
        <w:lock w:val="sdtLocked"/>
        <w:placeholder>
          <w:docPart w:val="GBC22222222222222222222222222222"/>
        </w:placeholder>
      </w:sdtPr>
      <w:sdtEndPr/>
      <w:sdtContent>
        <w:tbl>
          <w:tblPr>
            <w:tblStyle w:val="af9"/>
            <w:tblW w:w="0" w:type="auto"/>
            <w:tblLook w:val="04A0" w:firstRow="1" w:lastRow="0" w:firstColumn="1" w:lastColumn="0" w:noHBand="0" w:noVBand="1"/>
          </w:tblPr>
          <w:tblGrid>
            <w:gridCol w:w="3397"/>
            <w:gridCol w:w="1390"/>
            <w:gridCol w:w="1307"/>
            <w:gridCol w:w="1333"/>
            <w:gridCol w:w="1396"/>
          </w:tblGrid>
          <w:tr w:rsidR="00B201D3" w:rsidRPr="006D4FBA" w14:paraId="3EAFE793" w14:textId="77777777">
            <w:trPr>
              <w:trHeight w:val="426"/>
            </w:trPr>
            <w:tc>
              <w:tcPr>
                <w:tcW w:w="3397" w:type="dxa"/>
                <w:vMerge w:val="restart"/>
                <w:vAlign w:val="center"/>
              </w:tcPr>
              <w:p w14:paraId="24712500" w14:textId="77777777" w:rsidR="00B201D3" w:rsidRPr="006D4FBA" w:rsidRDefault="00C8327E">
                <w:pPr>
                  <w:kinsoku w:val="0"/>
                  <w:overflowPunct w:val="0"/>
                  <w:autoSpaceDE w:val="0"/>
                  <w:autoSpaceDN w:val="0"/>
                  <w:adjustRightInd w:val="0"/>
                  <w:snapToGrid w:val="0"/>
                  <w:jc w:val="center"/>
                  <w:rPr>
                    <w:rFonts w:ascii="宋体" w:hAnsi="宋体"/>
                  </w:rPr>
                </w:pPr>
                <w:sdt>
                  <w:sdtPr>
                    <w:tag w:val="_PLD_6d7b3bceaaf34a96ba27ea0ea25e3754"/>
                    <w:id w:val="-211821004"/>
                    <w:lock w:val="sdtLocked"/>
                  </w:sdtPr>
                  <w:sdtEndPr/>
                  <w:sdtContent>
                    <w:r w:rsidR="009855E8" w:rsidRPr="006D4FBA">
                      <w:rPr>
                        <w:rFonts w:ascii="宋体" w:hAnsi="宋体"/>
                      </w:rPr>
                      <w:t>主要财务指标</w:t>
                    </w:r>
                  </w:sdtContent>
                </w:sdt>
              </w:p>
            </w:tc>
            <w:sdt>
              <w:sdtPr>
                <w:tag w:val="_PLD_6cbdd89f333d439db5e4664ea2fa7505"/>
                <w:id w:val="-758294156"/>
                <w:lock w:val="sdtLocked"/>
              </w:sdtPr>
              <w:sdtEndPr/>
              <w:sdtContent>
                <w:tc>
                  <w:tcPr>
                    <w:tcW w:w="1390" w:type="dxa"/>
                    <w:vMerge w:val="restart"/>
                    <w:vAlign w:val="center"/>
                  </w:tcPr>
                  <w:p w14:paraId="23A529CC" w14:textId="77777777" w:rsidR="00B201D3" w:rsidRPr="006D4FBA" w:rsidRDefault="009855E8">
                    <w:pPr>
                      <w:kinsoku w:val="0"/>
                      <w:overflowPunct w:val="0"/>
                      <w:autoSpaceDE w:val="0"/>
                      <w:autoSpaceDN w:val="0"/>
                      <w:adjustRightInd w:val="0"/>
                      <w:snapToGrid w:val="0"/>
                      <w:jc w:val="center"/>
                      <w:rPr>
                        <w:rFonts w:ascii="宋体" w:hAnsi="宋体"/>
                      </w:rPr>
                    </w:pPr>
                    <w:r w:rsidRPr="006D4FBA">
                      <w:rPr>
                        <w:rFonts w:ascii="宋体" w:hAnsi="宋体"/>
                      </w:rPr>
                      <w:t>本报告期</w:t>
                    </w:r>
                  </w:p>
                  <w:p w14:paraId="124144D0" w14:textId="77777777" w:rsidR="00B201D3" w:rsidRPr="006D4FBA" w:rsidRDefault="009855E8">
                    <w:pPr>
                      <w:kinsoku w:val="0"/>
                      <w:overflowPunct w:val="0"/>
                      <w:autoSpaceDE w:val="0"/>
                      <w:autoSpaceDN w:val="0"/>
                      <w:adjustRightInd w:val="0"/>
                      <w:snapToGrid w:val="0"/>
                      <w:jc w:val="center"/>
                      <w:rPr>
                        <w:rFonts w:ascii="宋体" w:hAnsi="宋体"/>
                      </w:rPr>
                    </w:pPr>
                    <w:r w:rsidRPr="006D4FBA">
                      <w:rPr>
                        <w:rFonts w:ascii="宋体" w:hAnsi="宋体"/>
                      </w:rPr>
                      <w:t>（1－6月）</w:t>
                    </w:r>
                  </w:p>
                </w:tc>
              </w:sdtContent>
            </w:sdt>
            <w:sdt>
              <w:sdtPr>
                <w:tag w:val="_PLD_e1230dd33a1d4fd998be9bc3948d5d04"/>
                <w:id w:val="142006379"/>
                <w:lock w:val="sdtLocked"/>
              </w:sdtPr>
              <w:sdtEndPr/>
              <w:sdtContent>
                <w:tc>
                  <w:tcPr>
                    <w:tcW w:w="2640" w:type="dxa"/>
                    <w:gridSpan w:val="2"/>
                    <w:vAlign w:val="center"/>
                  </w:tcPr>
                  <w:p w14:paraId="6CF9A0E6" w14:textId="77777777" w:rsidR="00B201D3" w:rsidRPr="006D4FBA" w:rsidRDefault="009855E8">
                    <w:pPr>
                      <w:kinsoku w:val="0"/>
                      <w:overflowPunct w:val="0"/>
                      <w:autoSpaceDE w:val="0"/>
                      <w:autoSpaceDN w:val="0"/>
                      <w:adjustRightInd w:val="0"/>
                      <w:snapToGrid w:val="0"/>
                      <w:jc w:val="center"/>
                      <w:rPr>
                        <w:rFonts w:ascii="宋体" w:hAnsi="宋体"/>
                      </w:rPr>
                    </w:pPr>
                    <w:r w:rsidRPr="006D4FBA">
                      <w:rPr>
                        <w:rFonts w:ascii="宋体" w:hAnsi="宋体"/>
                      </w:rPr>
                      <w:t>上年同期</w:t>
                    </w:r>
                  </w:p>
                </w:tc>
              </w:sdtContent>
            </w:sdt>
            <w:sdt>
              <w:sdtPr>
                <w:tag w:val="_PLD_aabe4942f79647c28adb31e2e1670f48"/>
                <w:id w:val="-436753210"/>
                <w:lock w:val="sdtLocked"/>
              </w:sdtPr>
              <w:sdtEndPr/>
              <w:sdtContent>
                <w:tc>
                  <w:tcPr>
                    <w:tcW w:w="1396" w:type="dxa"/>
                    <w:vMerge w:val="restart"/>
                    <w:vAlign w:val="center"/>
                  </w:tcPr>
                  <w:p w14:paraId="3F9E8061" w14:textId="77777777" w:rsidR="00B201D3" w:rsidRPr="006D4FBA" w:rsidRDefault="009855E8">
                    <w:pPr>
                      <w:kinsoku w:val="0"/>
                      <w:overflowPunct w:val="0"/>
                      <w:autoSpaceDE w:val="0"/>
                      <w:autoSpaceDN w:val="0"/>
                      <w:adjustRightInd w:val="0"/>
                      <w:snapToGrid w:val="0"/>
                      <w:jc w:val="center"/>
                      <w:rPr>
                        <w:rFonts w:ascii="宋体" w:hAnsi="宋体"/>
                      </w:rPr>
                    </w:pPr>
                    <w:r w:rsidRPr="006D4FBA">
                      <w:rPr>
                        <w:rFonts w:ascii="宋体" w:hAnsi="宋体"/>
                      </w:rPr>
                      <w:t>本报告期比上年同期增减(%)</w:t>
                    </w:r>
                  </w:p>
                </w:tc>
              </w:sdtContent>
            </w:sdt>
          </w:tr>
          <w:tr w:rsidR="00B201D3" w:rsidRPr="006D4FBA" w14:paraId="790DCEBE" w14:textId="77777777">
            <w:tc>
              <w:tcPr>
                <w:tcW w:w="3397" w:type="dxa"/>
                <w:vMerge/>
              </w:tcPr>
              <w:p w14:paraId="7D53C02D" w14:textId="77777777" w:rsidR="00B201D3" w:rsidRPr="006D4FBA" w:rsidRDefault="00B201D3">
                <w:pPr>
                  <w:kinsoku w:val="0"/>
                  <w:overflowPunct w:val="0"/>
                  <w:autoSpaceDE w:val="0"/>
                  <w:autoSpaceDN w:val="0"/>
                  <w:adjustRightInd w:val="0"/>
                  <w:snapToGrid w:val="0"/>
                  <w:rPr>
                    <w:rFonts w:ascii="宋体" w:hAnsi="宋体"/>
                  </w:rPr>
                </w:pPr>
              </w:p>
            </w:tc>
            <w:tc>
              <w:tcPr>
                <w:tcW w:w="1390" w:type="dxa"/>
                <w:vMerge/>
              </w:tcPr>
              <w:p w14:paraId="11006D05" w14:textId="77777777" w:rsidR="00B201D3" w:rsidRPr="006D4FBA" w:rsidRDefault="00B201D3">
                <w:pPr>
                  <w:kinsoku w:val="0"/>
                  <w:overflowPunct w:val="0"/>
                  <w:autoSpaceDE w:val="0"/>
                  <w:autoSpaceDN w:val="0"/>
                  <w:adjustRightInd w:val="0"/>
                  <w:snapToGrid w:val="0"/>
                  <w:rPr>
                    <w:rFonts w:ascii="宋体" w:hAnsi="宋体"/>
                  </w:rPr>
                </w:pPr>
              </w:p>
            </w:tc>
            <w:sdt>
              <w:sdtPr>
                <w:tag w:val="_PLD_402d0455fb6c423a9b6175ae7803ccd9"/>
                <w:id w:val="-1890256784"/>
                <w:lock w:val="sdtLocked"/>
              </w:sdtPr>
              <w:sdtEndPr/>
              <w:sdtContent>
                <w:tc>
                  <w:tcPr>
                    <w:tcW w:w="1307" w:type="dxa"/>
                    <w:vAlign w:val="center"/>
                  </w:tcPr>
                  <w:p w14:paraId="5863173B" w14:textId="77777777" w:rsidR="00B201D3" w:rsidRPr="006D4FBA" w:rsidRDefault="009855E8">
                    <w:pPr>
                      <w:kinsoku w:val="0"/>
                      <w:overflowPunct w:val="0"/>
                      <w:autoSpaceDE w:val="0"/>
                      <w:autoSpaceDN w:val="0"/>
                      <w:adjustRightInd w:val="0"/>
                      <w:snapToGrid w:val="0"/>
                      <w:jc w:val="center"/>
                      <w:rPr>
                        <w:rFonts w:ascii="宋体" w:hAnsi="宋体"/>
                      </w:rPr>
                    </w:pPr>
                    <w:r w:rsidRPr="006D4FBA">
                      <w:rPr>
                        <w:rFonts w:ascii="宋体" w:hAnsi="宋体"/>
                      </w:rPr>
                      <w:t>调整后</w:t>
                    </w:r>
                  </w:p>
                </w:tc>
              </w:sdtContent>
            </w:sdt>
            <w:sdt>
              <w:sdtPr>
                <w:tag w:val="_PLD_6bfef4b21a324688ae42fb4419ff855c"/>
                <w:id w:val="1417436524"/>
                <w:lock w:val="sdtLocked"/>
              </w:sdtPr>
              <w:sdtEndPr/>
              <w:sdtContent>
                <w:tc>
                  <w:tcPr>
                    <w:tcW w:w="1333" w:type="dxa"/>
                    <w:vAlign w:val="center"/>
                  </w:tcPr>
                  <w:p w14:paraId="6C7F1809" w14:textId="77777777" w:rsidR="00B201D3" w:rsidRPr="006D4FBA" w:rsidRDefault="009855E8">
                    <w:pPr>
                      <w:kinsoku w:val="0"/>
                      <w:overflowPunct w:val="0"/>
                      <w:autoSpaceDE w:val="0"/>
                      <w:autoSpaceDN w:val="0"/>
                      <w:adjustRightInd w:val="0"/>
                      <w:snapToGrid w:val="0"/>
                      <w:jc w:val="center"/>
                      <w:rPr>
                        <w:rFonts w:ascii="宋体" w:hAnsi="宋体"/>
                      </w:rPr>
                    </w:pPr>
                    <w:r w:rsidRPr="006D4FBA">
                      <w:rPr>
                        <w:rFonts w:ascii="宋体" w:hAnsi="宋体"/>
                      </w:rPr>
                      <w:t>调整</w:t>
                    </w:r>
                    <w:r w:rsidRPr="006D4FBA">
                      <w:rPr>
                        <w:rFonts w:ascii="宋体" w:hAnsi="宋体" w:hint="eastAsia"/>
                      </w:rPr>
                      <w:t>前</w:t>
                    </w:r>
                  </w:p>
                </w:tc>
              </w:sdtContent>
            </w:sdt>
            <w:tc>
              <w:tcPr>
                <w:tcW w:w="1396" w:type="dxa"/>
                <w:vMerge/>
              </w:tcPr>
              <w:p w14:paraId="62C9F6CC" w14:textId="77777777" w:rsidR="00B201D3" w:rsidRPr="006D4FBA" w:rsidRDefault="00B201D3">
                <w:pPr>
                  <w:kinsoku w:val="0"/>
                  <w:overflowPunct w:val="0"/>
                  <w:autoSpaceDE w:val="0"/>
                  <w:autoSpaceDN w:val="0"/>
                  <w:adjustRightInd w:val="0"/>
                  <w:snapToGrid w:val="0"/>
                  <w:rPr>
                    <w:rFonts w:ascii="宋体" w:hAnsi="宋体"/>
                  </w:rPr>
                </w:pPr>
              </w:p>
            </w:tc>
          </w:tr>
          <w:tr w:rsidR="00B201D3" w:rsidRPr="006D4FBA" w14:paraId="13F1E99A" w14:textId="77777777">
            <w:sdt>
              <w:sdtPr>
                <w:tag w:val="_PLD_92a9a64fe9c042fcaad92acda96451ea"/>
                <w:id w:val="1236972997"/>
                <w:lock w:val="sdtLocked"/>
              </w:sdtPr>
              <w:sdtEndPr/>
              <w:sdtContent>
                <w:tc>
                  <w:tcPr>
                    <w:tcW w:w="3397" w:type="dxa"/>
                    <w:vAlign w:val="center"/>
                  </w:tcPr>
                  <w:p w14:paraId="21C138AD" w14:textId="77777777" w:rsidR="00B201D3" w:rsidRPr="006D4FBA" w:rsidRDefault="009855E8">
                    <w:pPr>
                      <w:kinsoku w:val="0"/>
                      <w:overflowPunct w:val="0"/>
                      <w:autoSpaceDE w:val="0"/>
                      <w:autoSpaceDN w:val="0"/>
                      <w:adjustRightInd w:val="0"/>
                      <w:snapToGrid w:val="0"/>
                      <w:rPr>
                        <w:rFonts w:ascii="宋体" w:hAnsi="宋体"/>
                      </w:rPr>
                    </w:pPr>
                    <w:r w:rsidRPr="006D4FBA">
                      <w:rPr>
                        <w:rFonts w:ascii="宋体" w:hAnsi="宋体"/>
                      </w:rPr>
                      <w:t>基本每股收益（元／股）</w:t>
                    </w:r>
                  </w:p>
                </w:tc>
              </w:sdtContent>
            </w:sdt>
            <w:tc>
              <w:tcPr>
                <w:tcW w:w="1390" w:type="dxa"/>
                <w:vAlign w:val="center"/>
              </w:tcPr>
              <w:p w14:paraId="0CA7FCD3" w14:textId="77777777" w:rsidR="00B201D3" w:rsidRPr="006D4FBA" w:rsidRDefault="009855E8">
                <w:pPr>
                  <w:kinsoku w:val="0"/>
                  <w:overflowPunct w:val="0"/>
                  <w:autoSpaceDE w:val="0"/>
                  <w:autoSpaceDN w:val="0"/>
                  <w:adjustRightInd w:val="0"/>
                  <w:snapToGrid w:val="0"/>
                  <w:jc w:val="right"/>
                  <w:rPr>
                    <w:rFonts w:ascii="宋体" w:hAnsi="宋体"/>
                  </w:rPr>
                </w:pPr>
                <w:r w:rsidRPr="006D4FBA">
                  <w:rPr>
                    <w:rFonts w:ascii="宋体" w:hAnsi="宋体"/>
                  </w:rPr>
                  <w:t xml:space="preserve">2.09 </w:t>
                </w:r>
              </w:p>
            </w:tc>
            <w:tc>
              <w:tcPr>
                <w:tcW w:w="1307" w:type="dxa"/>
                <w:vAlign w:val="center"/>
              </w:tcPr>
              <w:p w14:paraId="239AD211" w14:textId="77777777" w:rsidR="00B201D3" w:rsidRPr="006D4FBA" w:rsidRDefault="009855E8">
                <w:pPr>
                  <w:kinsoku w:val="0"/>
                  <w:overflowPunct w:val="0"/>
                  <w:autoSpaceDE w:val="0"/>
                  <w:autoSpaceDN w:val="0"/>
                  <w:adjustRightInd w:val="0"/>
                  <w:snapToGrid w:val="0"/>
                  <w:jc w:val="right"/>
                  <w:rPr>
                    <w:rFonts w:ascii="宋体" w:hAnsi="宋体"/>
                  </w:rPr>
                </w:pPr>
                <w:r w:rsidRPr="006D4FBA">
                  <w:rPr>
                    <w:rFonts w:ascii="宋体" w:hAnsi="宋体"/>
                  </w:rPr>
                  <w:t xml:space="preserve">3.70 </w:t>
                </w:r>
              </w:p>
            </w:tc>
            <w:tc>
              <w:tcPr>
                <w:tcW w:w="1333" w:type="dxa"/>
                <w:vAlign w:val="center"/>
              </w:tcPr>
              <w:p w14:paraId="05799E7C" w14:textId="77777777" w:rsidR="00B201D3" w:rsidRPr="006D4FBA" w:rsidRDefault="009855E8">
                <w:pPr>
                  <w:kinsoku w:val="0"/>
                  <w:overflowPunct w:val="0"/>
                  <w:autoSpaceDE w:val="0"/>
                  <w:autoSpaceDN w:val="0"/>
                  <w:adjustRightInd w:val="0"/>
                  <w:snapToGrid w:val="0"/>
                  <w:jc w:val="right"/>
                  <w:rPr>
                    <w:rFonts w:ascii="宋体" w:hAnsi="宋体"/>
                  </w:rPr>
                </w:pPr>
                <w:r w:rsidRPr="006D4FBA">
                  <w:rPr>
                    <w:rFonts w:ascii="宋体" w:hAnsi="宋体"/>
                  </w:rPr>
                  <w:t xml:space="preserve">3.70 </w:t>
                </w:r>
              </w:p>
            </w:tc>
            <w:tc>
              <w:tcPr>
                <w:tcW w:w="1396" w:type="dxa"/>
                <w:vAlign w:val="center"/>
              </w:tcPr>
              <w:p w14:paraId="25C1B964" w14:textId="77777777" w:rsidR="00B201D3" w:rsidRPr="006D4FBA" w:rsidRDefault="009855E8">
                <w:pPr>
                  <w:kinsoku w:val="0"/>
                  <w:overflowPunct w:val="0"/>
                  <w:autoSpaceDE w:val="0"/>
                  <w:autoSpaceDN w:val="0"/>
                  <w:adjustRightInd w:val="0"/>
                  <w:snapToGrid w:val="0"/>
                  <w:jc w:val="right"/>
                  <w:rPr>
                    <w:rFonts w:ascii="宋体" w:hAnsi="宋体"/>
                  </w:rPr>
                </w:pPr>
                <w:r w:rsidRPr="006D4FBA">
                  <w:rPr>
                    <w:rFonts w:ascii="宋体" w:hAnsi="宋体"/>
                  </w:rPr>
                  <w:t xml:space="preserve">-43.52 </w:t>
                </w:r>
              </w:p>
            </w:tc>
          </w:tr>
          <w:tr w:rsidR="00B201D3" w:rsidRPr="006D4FBA" w14:paraId="748FCA3F" w14:textId="77777777">
            <w:sdt>
              <w:sdtPr>
                <w:tag w:val="_PLD_8c6b8202d696467bb8dec8c0454e4bc6"/>
                <w:id w:val="-1510055172"/>
                <w:lock w:val="sdtLocked"/>
              </w:sdtPr>
              <w:sdtEndPr/>
              <w:sdtContent>
                <w:tc>
                  <w:tcPr>
                    <w:tcW w:w="3397" w:type="dxa"/>
                    <w:vAlign w:val="center"/>
                  </w:tcPr>
                  <w:p w14:paraId="429B7C3B" w14:textId="77777777" w:rsidR="00B201D3" w:rsidRPr="006D4FBA" w:rsidRDefault="009855E8">
                    <w:pPr>
                      <w:kinsoku w:val="0"/>
                      <w:overflowPunct w:val="0"/>
                      <w:autoSpaceDE w:val="0"/>
                      <w:autoSpaceDN w:val="0"/>
                      <w:adjustRightInd w:val="0"/>
                      <w:snapToGrid w:val="0"/>
                      <w:rPr>
                        <w:rFonts w:ascii="宋体" w:hAnsi="宋体"/>
                      </w:rPr>
                    </w:pPr>
                    <w:r w:rsidRPr="006D4FBA">
                      <w:rPr>
                        <w:rFonts w:ascii="宋体" w:hAnsi="宋体"/>
                      </w:rPr>
                      <w:t>稀释每股收益（元／股）</w:t>
                    </w:r>
                  </w:p>
                </w:tc>
              </w:sdtContent>
            </w:sdt>
            <w:tc>
              <w:tcPr>
                <w:tcW w:w="1390" w:type="dxa"/>
                <w:vAlign w:val="center"/>
              </w:tcPr>
              <w:p w14:paraId="61F9C19E" w14:textId="77777777" w:rsidR="00B201D3" w:rsidRPr="006D4FBA" w:rsidRDefault="009855E8">
                <w:pPr>
                  <w:kinsoku w:val="0"/>
                  <w:overflowPunct w:val="0"/>
                  <w:autoSpaceDE w:val="0"/>
                  <w:autoSpaceDN w:val="0"/>
                  <w:adjustRightInd w:val="0"/>
                  <w:snapToGrid w:val="0"/>
                  <w:jc w:val="right"/>
                  <w:rPr>
                    <w:rFonts w:ascii="宋体" w:hAnsi="宋体"/>
                  </w:rPr>
                </w:pPr>
                <w:r w:rsidRPr="006D4FBA">
                  <w:rPr>
                    <w:rFonts w:ascii="宋体" w:hAnsi="宋体"/>
                  </w:rPr>
                  <w:t xml:space="preserve">2.09 </w:t>
                </w:r>
              </w:p>
            </w:tc>
            <w:tc>
              <w:tcPr>
                <w:tcW w:w="1307" w:type="dxa"/>
                <w:vAlign w:val="center"/>
              </w:tcPr>
              <w:p w14:paraId="4585B09A" w14:textId="77777777" w:rsidR="00B201D3" w:rsidRPr="006D4FBA" w:rsidRDefault="009855E8">
                <w:pPr>
                  <w:kinsoku w:val="0"/>
                  <w:overflowPunct w:val="0"/>
                  <w:autoSpaceDE w:val="0"/>
                  <w:autoSpaceDN w:val="0"/>
                  <w:adjustRightInd w:val="0"/>
                  <w:snapToGrid w:val="0"/>
                  <w:jc w:val="right"/>
                  <w:rPr>
                    <w:rFonts w:ascii="宋体" w:hAnsi="宋体"/>
                  </w:rPr>
                </w:pPr>
                <w:r w:rsidRPr="006D4FBA">
                  <w:rPr>
                    <w:rFonts w:ascii="宋体" w:hAnsi="宋体"/>
                  </w:rPr>
                  <w:t xml:space="preserve">3.67 </w:t>
                </w:r>
              </w:p>
            </w:tc>
            <w:tc>
              <w:tcPr>
                <w:tcW w:w="1333" w:type="dxa"/>
                <w:vAlign w:val="center"/>
              </w:tcPr>
              <w:p w14:paraId="34D4D47F" w14:textId="77777777" w:rsidR="00B201D3" w:rsidRPr="006D4FBA" w:rsidRDefault="009855E8">
                <w:pPr>
                  <w:kinsoku w:val="0"/>
                  <w:overflowPunct w:val="0"/>
                  <w:autoSpaceDE w:val="0"/>
                  <w:autoSpaceDN w:val="0"/>
                  <w:adjustRightInd w:val="0"/>
                  <w:snapToGrid w:val="0"/>
                  <w:jc w:val="right"/>
                  <w:rPr>
                    <w:rFonts w:ascii="宋体" w:hAnsi="宋体"/>
                  </w:rPr>
                </w:pPr>
                <w:r w:rsidRPr="006D4FBA">
                  <w:rPr>
                    <w:rFonts w:ascii="宋体" w:hAnsi="宋体"/>
                  </w:rPr>
                  <w:t xml:space="preserve">3.67  </w:t>
                </w:r>
              </w:p>
            </w:tc>
            <w:tc>
              <w:tcPr>
                <w:tcW w:w="1396" w:type="dxa"/>
                <w:vAlign w:val="center"/>
              </w:tcPr>
              <w:p w14:paraId="63E8C9BA" w14:textId="77777777" w:rsidR="00B201D3" w:rsidRPr="006D4FBA" w:rsidRDefault="009855E8">
                <w:pPr>
                  <w:kinsoku w:val="0"/>
                  <w:overflowPunct w:val="0"/>
                  <w:autoSpaceDE w:val="0"/>
                  <w:autoSpaceDN w:val="0"/>
                  <w:adjustRightInd w:val="0"/>
                  <w:snapToGrid w:val="0"/>
                  <w:jc w:val="right"/>
                  <w:rPr>
                    <w:rFonts w:ascii="宋体" w:hAnsi="宋体"/>
                  </w:rPr>
                </w:pPr>
                <w:r w:rsidRPr="006D4FBA">
                  <w:rPr>
                    <w:rFonts w:ascii="宋体" w:hAnsi="宋体"/>
                  </w:rPr>
                  <w:t xml:space="preserve">-43.10 </w:t>
                </w:r>
              </w:p>
            </w:tc>
          </w:tr>
          <w:tr w:rsidR="00B201D3" w:rsidRPr="006D4FBA" w14:paraId="67ED88E7" w14:textId="77777777">
            <w:sdt>
              <w:sdtPr>
                <w:tag w:val="_PLD_cfb315b9a9094f35b16230c45756d137"/>
                <w:id w:val="-1039664368"/>
                <w:lock w:val="sdtLocked"/>
              </w:sdtPr>
              <w:sdtEndPr/>
              <w:sdtContent>
                <w:tc>
                  <w:tcPr>
                    <w:tcW w:w="3397" w:type="dxa"/>
                    <w:vAlign w:val="center"/>
                  </w:tcPr>
                  <w:p w14:paraId="4B4EBF62" w14:textId="77777777" w:rsidR="00B201D3" w:rsidRPr="006D4FBA" w:rsidRDefault="009855E8">
                    <w:pPr>
                      <w:kinsoku w:val="0"/>
                      <w:overflowPunct w:val="0"/>
                      <w:autoSpaceDE w:val="0"/>
                      <w:autoSpaceDN w:val="0"/>
                      <w:adjustRightInd w:val="0"/>
                      <w:snapToGrid w:val="0"/>
                      <w:rPr>
                        <w:rFonts w:ascii="宋体" w:hAnsi="宋体"/>
                      </w:rPr>
                    </w:pPr>
                    <w:r w:rsidRPr="006D4FBA">
                      <w:rPr>
                        <w:rFonts w:ascii="宋体" w:hAnsi="宋体"/>
                      </w:rPr>
                      <w:t>扣除非经常性损益后的基本每股收益（元／股）</w:t>
                    </w:r>
                  </w:p>
                </w:tc>
              </w:sdtContent>
            </w:sdt>
            <w:tc>
              <w:tcPr>
                <w:tcW w:w="1390" w:type="dxa"/>
                <w:vAlign w:val="center"/>
              </w:tcPr>
              <w:p w14:paraId="2710ED0B" w14:textId="77777777" w:rsidR="00B201D3" w:rsidRPr="006D4FBA" w:rsidRDefault="009855E8">
                <w:pPr>
                  <w:kinsoku w:val="0"/>
                  <w:overflowPunct w:val="0"/>
                  <w:autoSpaceDE w:val="0"/>
                  <w:autoSpaceDN w:val="0"/>
                  <w:adjustRightInd w:val="0"/>
                  <w:snapToGrid w:val="0"/>
                  <w:jc w:val="right"/>
                  <w:rPr>
                    <w:rFonts w:ascii="宋体" w:hAnsi="宋体"/>
                  </w:rPr>
                </w:pPr>
                <w:r w:rsidRPr="006D4FBA">
                  <w:rPr>
                    <w:rFonts w:ascii="宋体" w:hAnsi="宋体"/>
                  </w:rPr>
                  <w:t>2.05</w:t>
                </w:r>
              </w:p>
            </w:tc>
            <w:tc>
              <w:tcPr>
                <w:tcW w:w="1307" w:type="dxa"/>
                <w:vAlign w:val="center"/>
              </w:tcPr>
              <w:p w14:paraId="4F627BB0" w14:textId="77777777" w:rsidR="00B201D3" w:rsidRPr="006D4FBA" w:rsidRDefault="009855E8">
                <w:pPr>
                  <w:kinsoku w:val="0"/>
                  <w:overflowPunct w:val="0"/>
                  <w:autoSpaceDE w:val="0"/>
                  <w:autoSpaceDN w:val="0"/>
                  <w:adjustRightInd w:val="0"/>
                  <w:snapToGrid w:val="0"/>
                  <w:jc w:val="right"/>
                  <w:rPr>
                    <w:rFonts w:ascii="宋体" w:hAnsi="宋体"/>
                  </w:rPr>
                </w:pPr>
                <w:r w:rsidRPr="006D4FBA">
                  <w:rPr>
                    <w:rFonts w:ascii="宋体" w:hAnsi="宋体"/>
                  </w:rPr>
                  <w:t xml:space="preserve">3.66 </w:t>
                </w:r>
              </w:p>
            </w:tc>
            <w:tc>
              <w:tcPr>
                <w:tcW w:w="1333" w:type="dxa"/>
                <w:vAlign w:val="center"/>
              </w:tcPr>
              <w:p w14:paraId="102FEDBA" w14:textId="77777777" w:rsidR="00B201D3" w:rsidRPr="006D4FBA" w:rsidRDefault="009855E8">
                <w:pPr>
                  <w:kinsoku w:val="0"/>
                  <w:overflowPunct w:val="0"/>
                  <w:autoSpaceDE w:val="0"/>
                  <w:autoSpaceDN w:val="0"/>
                  <w:adjustRightInd w:val="0"/>
                  <w:snapToGrid w:val="0"/>
                  <w:jc w:val="right"/>
                  <w:rPr>
                    <w:rFonts w:ascii="宋体" w:hAnsi="宋体"/>
                  </w:rPr>
                </w:pPr>
                <w:r w:rsidRPr="006D4FBA">
                  <w:rPr>
                    <w:rFonts w:ascii="宋体" w:hAnsi="宋体"/>
                  </w:rPr>
                  <w:t xml:space="preserve">3.66  </w:t>
                </w:r>
              </w:p>
            </w:tc>
            <w:tc>
              <w:tcPr>
                <w:tcW w:w="1396" w:type="dxa"/>
                <w:vAlign w:val="center"/>
              </w:tcPr>
              <w:p w14:paraId="19BFA36F" w14:textId="77777777" w:rsidR="00B201D3" w:rsidRPr="006D4FBA" w:rsidRDefault="009855E8">
                <w:pPr>
                  <w:kinsoku w:val="0"/>
                  <w:overflowPunct w:val="0"/>
                  <w:autoSpaceDE w:val="0"/>
                  <w:autoSpaceDN w:val="0"/>
                  <w:adjustRightInd w:val="0"/>
                  <w:snapToGrid w:val="0"/>
                  <w:jc w:val="right"/>
                  <w:rPr>
                    <w:rFonts w:ascii="宋体" w:hAnsi="宋体"/>
                  </w:rPr>
                </w:pPr>
                <w:r w:rsidRPr="006D4FBA">
                  <w:rPr>
                    <w:rFonts w:ascii="宋体" w:hAnsi="宋体"/>
                  </w:rPr>
                  <w:t>-43.86</w:t>
                </w:r>
              </w:p>
            </w:tc>
          </w:tr>
          <w:tr w:rsidR="00B201D3" w:rsidRPr="006D4FBA" w14:paraId="56B9302E" w14:textId="77777777">
            <w:sdt>
              <w:sdtPr>
                <w:tag w:val="_PLD_418a1757a4d246178676bae5be46a7cc"/>
                <w:id w:val="26526773"/>
                <w:lock w:val="sdtLocked"/>
              </w:sdtPr>
              <w:sdtEndPr/>
              <w:sdtContent>
                <w:tc>
                  <w:tcPr>
                    <w:tcW w:w="3397" w:type="dxa"/>
                    <w:vAlign w:val="center"/>
                  </w:tcPr>
                  <w:p w14:paraId="1EA9ECDF" w14:textId="77777777" w:rsidR="00B201D3" w:rsidRPr="006D4FBA" w:rsidRDefault="009855E8">
                    <w:pPr>
                      <w:kinsoku w:val="0"/>
                      <w:overflowPunct w:val="0"/>
                      <w:autoSpaceDE w:val="0"/>
                      <w:autoSpaceDN w:val="0"/>
                      <w:adjustRightInd w:val="0"/>
                      <w:snapToGrid w:val="0"/>
                      <w:rPr>
                        <w:rFonts w:ascii="宋体" w:hAnsi="宋体"/>
                      </w:rPr>
                    </w:pPr>
                    <w:r w:rsidRPr="006D4FBA">
                      <w:rPr>
                        <w:rFonts w:ascii="宋体" w:hAnsi="宋体"/>
                      </w:rPr>
                      <w:t>加权平均净资产收益率（%）</w:t>
                    </w:r>
                  </w:p>
                </w:tc>
              </w:sdtContent>
            </w:sdt>
            <w:tc>
              <w:tcPr>
                <w:tcW w:w="1390" w:type="dxa"/>
                <w:vAlign w:val="center"/>
              </w:tcPr>
              <w:p w14:paraId="77F0F083" w14:textId="77777777" w:rsidR="00B201D3" w:rsidRPr="006D4FBA" w:rsidRDefault="009855E8">
                <w:pPr>
                  <w:kinsoku w:val="0"/>
                  <w:overflowPunct w:val="0"/>
                  <w:autoSpaceDE w:val="0"/>
                  <w:autoSpaceDN w:val="0"/>
                  <w:adjustRightInd w:val="0"/>
                  <w:snapToGrid w:val="0"/>
                  <w:jc w:val="right"/>
                  <w:rPr>
                    <w:rFonts w:ascii="宋体" w:hAnsi="宋体"/>
                  </w:rPr>
                </w:pPr>
                <w:r w:rsidRPr="006D4FBA">
                  <w:rPr>
                    <w:rFonts w:ascii="宋体" w:hAnsi="宋体"/>
                  </w:rPr>
                  <w:t xml:space="preserve">12.35 </w:t>
                </w:r>
              </w:p>
            </w:tc>
            <w:tc>
              <w:tcPr>
                <w:tcW w:w="1307" w:type="dxa"/>
                <w:vAlign w:val="center"/>
              </w:tcPr>
              <w:p w14:paraId="7147D90F" w14:textId="77777777" w:rsidR="00B201D3" w:rsidRPr="006D4FBA" w:rsidRDefault="009855E8">
                <w:pPr>
                  <w:kinsoku w:val="0"/>
                  <w:overflowPunct w:val="0"/>
                  <w:autoSpaceDE w:val="0"/>
                  <w:autoSpaceDN w:val="0"/>
                  <w:adjustRightInd w:val="0"/>
                  <w:snapToGrid w:val="0"/>
                  <w:jc w:val="right"/>
                  <w:rPr>
                    <w:rFonts w:ascii="宋体" w:hAnsi="宋体"/>
                  </w:rPr>
                </w:pPr>
                <w:r w:rsidRPr="006D4FBA">
                  <w:rPr>
                    <w:rFonts w:ascii="宋体" w:hAnsi="宋体"/>
                  </w:rPr>
                  <w:t xml:space="preserve">24.73 </w:t>
                </w:r>
              </w:p>
            </w:tc>
            <w:tc>
              <w:tcPr>
                <w:tcW w:w="1333" w:type="dxa"/>
                <w:vAlign w:val="center"/>
              </w:tcPr>
              <w:p w14:paraId="6C5EFDDF" w14:textId="77777777" w:rsidR="00B201D3" w:rsidRPr="006D4FBA" w:rsidRDefault="009855E8">
                <w:pPr>
                  <w:kinsoku w:val="0"/>
                  <w:overflowPunct w:val="0"/>
                  <w:autoSpaceDE w:val="0"/>
                  <w:autoSpaceDN w:val="0"/>
                  <w:adjustRightInd w:val="0"/>
                  <w:snapToGrid w:val="0"/>
                  <w:jc w:val="right"/>
                  <w:rPr>
                    <w:rFonts w:ascii="宋体" w:hAnsi="宋体"/>
                  </w:rPr>
                </w:pPr>
                <w:r w:rsidRPr="006D4FBA">
                  <w:rPr>
                    <w:rFonts w:ascii="宋体" w:hAnsi="宋体"/>
                  </w:rPr>
                  <w:t>24.75</w:t>
                </w:r>
              </w:p>
            </w:tc>
            <w:tc>
              <w:tcPr>
                <w:tcW w:w="1396" w:type="dxa"/>
                <w:vAlign w:val="center"/>
              </w:tcPr>
              <w:p w14:paraId="133E43BC" w14:textId="77777777" w:rsidR="00B201D3" w:rsidRPr="006D4FBA" w:rsidRDefault="009855E8">
                <w:pPr>
                  <w:kinsoku w:val="0"/>
                  <w:overflowPunct w:val="0"/>
                  <w:autoSpaceDE w:val="0"/>
                  <w:autoSpaceDN w:val="0"/>
                  <w:adjustRightInd w:val="0"/>
                  <w:snapToGrid w:val="0"/>
                  <w:jc w:val="right"/>
                  <w:rPr>
                    <w:rFonts w:ascii="宋体" w:hAnsi="宋体"/>
                  </w:rPr>
                </w:pPr>
                <w:r w:rsidRPr="006D4FBA">
                  <w:rPr>
                    <w:rFonts w:ascii="宋体" w:hAnsi="宋体" w:hint="eastAsia"/>
                  </w:rPr>
                  <w:t>减少</w:t>
                </w:r>
                <w:r w:rsidRPr="006D4FBA">
                  <w:rPr>
                    <w:rFonts w:ascii="宋体" w:hAnsi="宋体"/>
                  </w:rPr>
                  <w:t>12.38个百分点</w:t>
                </w:r>
              </w:p>
            </w:tc>
          </w:tr>
          <w:tr w:rsidR="00B201D3" w:rsidRPr="006D4FBA" w14:paraId="0E263424" w14:textId="77777777">
            <w:sdt>
              <w:sdtPr>
                <w:tag w:val="_PLD_49e03256cb984f7683140d10985296fd"/>
                <w:id w:val="-1637324092"/>
                <w:lock w:val="sdtLocked"/>
              </w:sdtPr>
              <w:sdtEndPr/>
              <w:sdtContent>
                <w:tc>
                  <w:tcPr>
                    <w:tcW w:w="3397" w:type="dxa"/>
                    <w:vAlign w:val="center"/>
                  </w:tcPr>
                  <w:p w14:paraId="197A26FC" w14:textId="77777777" w:rsidR="00B201D3" w:rsidRPr="006D4FBA" w:rsidRDefault="009855E8">
                    <w:pPr>
                      <w:kinsoku w:val="0"/>
                      <w:overflowPunct w:val="0"/>
                      <w:autoSpaceDE w:val="0"/>
                      <w:autoSpaceDN w:val="0"/>
                      <w:adjustRightInd w:val="0"/>
                      <w:snapToGrid w:val="0"/>
                      <w:rPr>
                        <w:rFonts w:ascii="宋体" w:hAnsi="宋体"/>
                      </w:rPr>
                    </w:pPr>
                    <w:r w:rsidRPr="006D4FBA">
                      <w:rPr>
                        <w:rFonts w:ascii="宋体" w:hAnsi="宋体"/>
                      </w:rPr>
                      <w:t>扣除非经常性损益后的加权平均净资产收益率（%）</w:t>
                    </w:r>
                  </w:p>
                </w:tc>
              </w:sdtContent>
            </w:sdt>
            <w:tc>
              <w:tcPr>
                <w:tcW w:w="1390" w:type="dxa"/>
                <w:vAlign w:val="center"/>
              </w:tcPr>
              <w:p w14:paraId="7E3655F4" w14:textId="77777777" w:rsidR="00B201D3" w:rsidRPr="006D4FBA" w:rsidRDefault="009855E8">
                <w:pPr>
                  <w:kinsoku w:val="0"/>
                  <w:overflowPunct w:val="0"/>
                  <w:autoSpaceDE w:val="0"/>
                  <w:autoSpaceDN w:val="0"/>
                  <w:adjustRightInd w:val="0"/>
                  <w:snapToGrid w:val="0"/>
                  <w:jc w:val="right"/>
                  <w:rPr>
                    <w:rFonts w:ascii="宋体" w:hAnsi="宋体"/>
                  </w:rPr>
                </w:pPr>
                <w:r w:rsidRPr="006D4FBA">
                  <w:rPr>
                    <w:rFonts w:ascii="宋体" w:hAnsi="宋体"/>
                  </w:rPr>
                  <w:t xml:space="preserve">12.16 </w:t>
                </w:r>
              </w:p>
            </w:tc>
            <w:tc>
              <w:tcPr>
                <w:tcW w:w="1307" w:type="dxa"/>
                <w:vAlign w:val="center"/>
              </w:tcPr>
              <w:p w14:paraId="058C6BA1" w14:textId="77777777" w:rsidR="00B201D3" w:rsidRPr="006D4FBA" w:rsidRDefault="009855E8">
                <w:pPr>
                  <w:kinsoku w:val="0"/>
                  <w:overflowPunct w:val="0"/>
                  <w:autoSpaceDE w:val="0"/>
                  <w:autoSpaceDN w:val="0"/>
                  <w:adjustRightInd w:val="0"/>
                  <w:snapToGrid w:val="0"/>
                  <w:jc w:val="right"/>
                  <w:rPr>
                    <w:rFonts w:ascii="宋体" w:hAnsi="宋体"/>
                  </w:rPr>
                </w:pPr>
                <w:r w:rsidRPr="006D4FBA">
                  <w:rPr>
                    <w:rFonts w:ascii="宋体" w:hAnsi="宋体"/>
                  </w:rPr>
                  <w:t xml:space="preserve">24.46 </w:t>
                </w:r>
              </w:p>
            </w:tc>
            <w:tc>
              <w:tcPr>
                <w:tcW w:w="1333" w:type="dxa"/>
                <w:vAlign w:val="center"/>
              </w:tcPr>
              <w:p w14:paraId="7709A7DF" w14:textId="77777777" w:rsidR="00B201D3" w:rsidRPr="006D4FBA" w:rsidRDefault="009855E8">
                <w:pPr>
                  <w:kinsoku w:val="0"/>
                  <w:overflowPunct w:val="0"/>
                  <w:autoSpaceDE w:val="0"/>
                  <w:autoSpaceDN w:val="0"/>
                  <w:adjustRightInd w:val="0"/>
                  <w:snapToGrid w:val="0"/>
                  <w:jc w:val="right"/>
                  <w:rPr>
                    <w:rFonts w:ascii="宋体" w:hAnsi="宋体"/>
                  </w:rPr>
                </w:pPr>
                <w:r w:rsidRPr="006D4FBA">
                  <w:rPr>
                    <w:rFonts w:ascii="宋体" w:hAnsi="宋体"/>
                  </w:rPr>
                  <w:t>24.48</w:t>
                </w:r>
              </w:p>
            </w:tc>
            <w:tc>
              <w:tcPr>
                <w:tcW w:w="1396" w:type="dxa"/>
                <w:vAlign w:val="center"/>
              </w:tcPr>
              <w:p w14:paraId="487A128B" w14:textId="77777777" w:rsidR="00B201D3" w:rsidRPr="006D4FBA" w:rsidRDefault="009855E8">
                <w:pPr>
                  <w:kinsoku w:val="0"/>
                  <w:overflowPunct w:val="0"/>
                  <w:autoSpaceDE w:val="0"/>
                  <w:autoSpaceDN w:val="0"/>
                  <w:adjustRightInd w:val="0"/>
                  <w:snapToGrid w:val="0"/>
                  <w:jc w:val="right"/>
                  <w:rPr>
                    <w:rFonts w:ascii="宋体" w:hAnsi="宋体"/>
                  </w:rPr>
                </w:pPr>
                <w:r w:rsidRPr="006D4FBA">
                  <w:rPr>
                    <w:rFonts w:ascii="宋体" w:hAnsi="宋体" w:hint="eastAsia"/>
                  </w:rPr>
                  <w:t>减少</w:t>
                </w:r>
                <w:r w:rsidRPr="006D4FBA">
                  <w:rPr>
                    <w:rFonts w:ascii="宋体" w:hAnsi="宋体"/>
                  </w:rPr>
                  <w:t>12.30个百分点</w:t>
                </w:r>
              </w:p>
            </w:tc>
          </w:tr>
        </w:tbl>
        <w:p w14:paraId="6AAB1427" w14:textId="77777777" w:rsidR="00B201D3" w:rsidRPr="006D4FBA" w:rsidRDefault="00C8327E">
          <w:pPr>
            <w:pStyle w:val="3903"/>
          </w:pPr>
        </w:p>
      </w:sdtContent>
    </w:sdt>
    <w:bookmarkStart w:id="18" w:name="_Toc342565890" w:displacedByCustomXml="next"/>
    <w:bookmarkStart w:id="19" w:name="_Toc342056398" w:displacedByCustomXml="next"/>
    <w:sdt>
      <w:sdtPr>
        <w:alias w:val="模块:公司主要会计数据和财务指标的说明"/>
        <w:tag w:val="_GBC_89dd4b4cf79140928f55be83e164f009"/>
        <w:id w:val="2128428061"/>
        <w:lock w:val="sdtLocked"/>
        <w:placeholder>
          <w:docPart w:val="GBC22222222222222222222222222222"/>
        </w:placeholder>
      </w:sdtPr>
      <w:sdtEndPr/>
      <w:sdtContent>
        <w:p w14:paraId="40311C85" w14:textId="77777777" w:rsidR="00B201D3" w:rsidRPr="006D4FBA" w:rsidRDefault="009855E8">
          <w:pPr>
            <w:pStyle w:val="3903"/>
          </w:pPr>
          <w:r w:rsidRPr="006D4FBA">
            <w:t>公司主要会计数据和财务指标的说明</w:t>
          </w:r>
        </w:p>
        <w:sdt>
          <w:sdtPr>
            <w:alias w:val="是否适用：公司主要会计数据和财务指标的说明[双击切换]"/>
            <w:tag w:val="_GBC_cfe99dae5f804f6f8f02eb429483f98a"/>
            <w:id w:val="790711009"/>
            <w:lock w:val="sdtLocked"/>
            <w:placeholder>
              <w:docPart w:val="GBC22222222222222222222222222222"/>
            </w:placeholder>
          </w:sdtPr>
          <w:sdtEndPr/>
          <w:sdtContent>
            <w:p w14:paraId="371FF9ED" w14:textId="77777777" w:rsidR="00B201D3" w:rsidRPr="006D4FBA" w:rsidRDefault="009855E8">
              <w:pPr>
                <w:pStyle w:val="3903"/>
              </w:pPr>
              <w:r w:rsidRPr="006D4FBA">
                <w:fldChar w:fldCharType="begin"/>
              </w:r>
              <w:r w:rsidRPr="006D4FBA">
                <w:instrText xml:space="preserve"> MACROBUTTON  SnrToggleCheckbox √适用 </w:instrText>
              </w:r>
              <w:r w:rsidRPr="006D4FBA">
                <w:fldChar w:fldCharType="end"/>
              </w:r>
              <w:r w:rsidRPr="006D4FBA">
                <w:fldChar w:fldCharType="begin"/>
              </w:r>
              <w:r w:rsidRPr="006D4FBA">
                <w:instrText xml:space="preserve"> MACROBUTTON  SnrToggleCheckbox □不适用 </w:instrText>
              </w:r>
              <w:r w:rsidRPr="006D4FBA">
                <w:fldChar w:fldCharType="end"/>
              </w:r>
            </w:p>
          </w:sdtContent>
        </w:sdt>
        <w:sdt>
          <w:sdtPr>
            <w:alias w:val="公司主要会计数据和财务指标的说明"/>
            <w:tag w:val="_GBC_97608ceee0dd4babbeaf5daeb2216ce1"/>
            <w:id w:val="-78457081"/>
            <w:lock w:val="sdtLocked"/>
            <w:placeholder>
              <w:docPart w:val="GBC22222222222222222222222222222"/>
            </w:placeholder>
          </w:sdtPr>
          <w:sdtEndPr/>
          <w:sdtContent>
            <w:p w14:paraId="60C3CA3E" w14:textId="77777777" w:rsidR="00B201D3" w:rsidRPr="006D4FBA" w:rsidRDefault="009855E8">
              <w:pPr>
                <w:ind w:firstLineChars="200" w:firstLine="420"/>
                <w:jc w:val="both"/>
              </w:pPr>
              <w:r w:rsidRPr="006D4FBA">
                <w:t>1.</w:t>
              </w:r>
              <w:r w:rsidRPr="006D4FBA">
                <w:rPr>
                  <w:rFonts w:hint="eastAsia"/>
                </w:rPr>
                <w:t>公司于报告期内新增合并了山东能源大厦上海有限公司的财务报表。根据中国会计准则，本次合并构成了同一控制下企业合并。本集团对上年同期</w:t>
              </w:r>
              <w:r w:rsidRPr="006D4FBA">
                <w:t>相关财务数据进行了追溯调整。</w:t>
              </w:r>
            </w:p>
            <w:p w14:paraId="5232A1DC" w14:textId="77777777" w:rsidR="00B201D3" w:rsidRPr="006D4FBA" w:rsidRDefault="009855E8">
              <w:pPr>
                <w:ind w:firstLineChars="200" w:firstLine="420"/>
                <w:jc w:val="both"/>
              </w:pPr>
              <w:r w:rsidRPr="006D4FBA">
                <w:t>2.</w:t>
              </w:r>
              <w:r w:rsidRPr="006D4FBA">
                <w:rPr>
                  <w:rFonts w:hint="eastAsia"/>
                </w:rPr>
                <w:t>截至2</w:t>
              </w:r>
              <w:r w:rsidRPr="006D4FBA">
                <w:t>023</w:t>
              </w:r>
              <w:r w:rsidRPr="006D4FBA">
                <w:rPr>
                  <w:rFonts w:hint="eastAsia"/>
                </w:rPr>
                <w:t>年6月3</w:t>
              </w:r>
              <w:r w:rsidRPr="006D4FBA">
                <w:t>0</w:t>
              </w:r>
              <w:r w:rsidRPr="006D4FBA">
                <w:rPr>
                  <w:rFonts w:hint="eastAsia"/>
                </w:rPr>
                <w:t>日</w:t>
              </w:r>
              <w:r w:rsidRPr="006D4FBA">
                <w:t>，</w:t>
              </w:r>
              <w:r w:rsidRPr="006D4FBA">
                <w:rPr>
                  <w:rFonts w:hint="eastAsia"/>
                </w:rPr>
                <w:t>公司</w:t>
              </w:r>
              <w:r w:rsidRPr="006D4FBA">
                <w:t>2018年A股股票期权激励计划第</w:t>
              </w:r>
              <w:r w:rsidRPr="006D4FBA">
                <w:rPr>
                  <w:rFonts w:hint="eastAsia"/>
                </w:rPr>
                <w:t>三</w:t>
              </w:r>
              <w:r w:rsidRPr="006D4FBA">
                <w:t>个行权期共行权并完成股份过户登记12,656,840股。公司总股本增加至4,961,360,480股，每股收益等相关指标以发行在外的普通股加权平均数计算</w:t>
              </w:r>
              <w:r w:rsidRPr="006D4FBA">
                <w:rPr>
                  <w:rFonts w:hint="eastAsia"/>
                </w:rPr>
                <w:t>。</w:t>
              </w:r>
            </w:p>
          </w:sdtContent>
        </w:sdt>
      </w:sdtContent>
    </w:sdt>
    <w:p w14:paraId="7B785FFE" w14:textId="77777777" w:rsidR="00B201D3" w:rsidRPr="006D4FBA" w:rsidRDefault="00B201D3">
      <w:pPr>
        <w:pStyle w:val="3903"/>
      </w:pPr>
    </w:p>
    <w:p w14:paraId="540782C4" w14:textId="77777777" w:rsidR="00B201D3" w:rsidRPr="006D4FBA" w:rsidRDefault="009855E8">
      <w:pPr>
        <w:pStyle w:val="2"/>
        <w:numPr>
          <w:ilvl w:val="0"/>
          <w:numId w:val="3"/>
        </w:numPr>
        <w:ind w:firstLineChars="0"/>
        <w:rPr>
          <w:rFonts w:ascii="宋体" w:hAnsi="宋体"/>
        </w:rPr>
      </w:pPr>
      <w:r w:rsidRPr="006D4FBA">
        <w:rPr>
          <w:rFonts w:ascii="宋体" w:hAnsi="宋体" w:hint="eastAsia"/>
        </w:rPr>
        <w:lastRenderedPageBreak/>
        <w:t>境内外会计准则下会计数据差异</w:t>
      </w:r>
      <w:bookmarkEnd w:id="19"/>
      <w:bookmarkEnd w:id="18"/>
    </w:p>
    <w:sdt>
      <w:sdtPr>
        <w:alias w:val="是否适用：境内外会计准则下会计数据差异[双击切换]"/>
        <w:tag w:val="_GBC_bdabc18d82504a7696c49b78e67b7ce4"/>
        <w:id w:val="2064283864"/>
        <w:lock w:val="sdtLocked"/>
        <w:placeholder>
          <w:docPart w:val="GBC22222222222222222222222222222"/>
        </w:placeholder>
      </w:sdtPr>
      <w:sdtEndPr/>
      <w:sdtContent>
        <w:p w14:paraId="3F307DD5" w14:textId="77777777" w:rsidR="00B201D3" w:rsidRPr="006D4FBA" w:rsidRDefault="009855E8">
          <w:pPr>
            <w:pStyle w:val="3903"/>
          </w:pPr>
          <w:r w:rsidRPr="006D4FBA">
            <w:fldChar w:fldCharType="begin"/>
          </w:r>
          <w:r w:rsidRPr="006D4FBA">
            <w:instrText xml:space="preserve"> MACROBUTTON  SnrToggleCheckbox √适用 </w:instrText>
          </w:r>
          <w:r w:rsidRPr="006D4FBA">
            <w:fldChar w:fldCharType="end"/>
          </w:r>
          <w:r w:rsidRPr="006D4FBA">
            <w:fldChar w:fldCharType="begin"/>
          </w:r>
          <w:r w:rsidRPr="006D4FBA">
            <w:instrText xml:space="preserve"> MACROBUTTON  SnrToggleCheckbox □不适用 </w:instrText>
          </w:r>
          <w:r w:rsidRPr="006D4FBA">
            <w:fldChar w:fldCharType="end"/>
          </w:r>
        </w:p>
      </w:sdtContent>
    </w:sdt>
    <w:sdt>
      <w:sdtPr>
        <w:rPr>
          <w:rFonts w:ascii="宋体" w:hAnsi="宋体" w:cs="宋体" w:hint="eastAsia"/>
          <w:b w:val="0"/>
          <w:bCs w:val="0"/>
          <w:kern w:val="0"/>
          <w:szCs w:val="22"/>
        </w:rPr>
        <w:alias w:val="模块:同时按照国际会计准则与按中国会计准则披露的差异"/>
        <w:tag w:val="_GBC_088e8e183b6741d29b9f742440278698"/>
        <w:id w:val="1518727419"/>
        <w:lock w:val="sdtLocked"/>
        <w:placeholder>
          <w:docPart w:val="GBC22222222222222222222222222222"/>
        </w:placeholder>
      </w:sdtPr>
      <w:sdtEndPr>
        <w:rPr>
          <w:rFonts w:hint="default"/>
          <w:szCs w:val="21"/>
        </w:rPr>
      </w:sdtEndPr>
      <w:sdtContent>
        <w:p w14:paraId="42582C0C" w14:textId="77777777" w:rsidR="00B201D3" w:rsidRPr="006D4FBA" w:rsidRDefault="009855E8">
          <w:pPr>
            <w:pStyle w:val="3"/>
            <w:numPr>
              <w:ilvl w:val="0"/>
              <w:numId w:val="5"/>
            </w:numPr>
            <w:rPr>
              <w:rFonts w:ascii="宋体" w:hAnsi="宋体"/>
            </w:rPr>
          </w:pPr>
          <w:r w:rsidRPr="006D4FBA">
            <w:rPr>
              <w:rFonts w:ascii="宋体" w:hAnsi="宋体" w:hint="eastAsia"/>
            </w:rPr>
            <w:t>同时按照国际会计准则与按中国会计准则披露的财务报告中净利润和归属于上市公司股东的净资产差异情况</w:t>
          </w:r>
        </w:p>
        <w:sdt>
          <w:sdtPr>
            <w:alias w:val="是否适用：同时按照国际会计准则与按中国会计准则披露的财务报告中净利润和净资产差异情况[双击切换]"/>
            <w:tag w:val="_GBC_5b46dcc1f6b14657b59c11801ec8e4a9"/>
            <w:id w:val="1674370701"/>
            <w:lock w:val="sdtLocked"/>
            <w:placeholder>
              <w:docPart w:val="GBC22222222222222222222222222222"/>
            </w:placeholder>
          </w:sdtPr>
          <w:sdtEndPr/>
          <w:sdtContent>
            <w:p w14:paraId="4B9E8FC4" w14:textId="77777777" w:rsidR="00B201D3" w:rsidRPr="006D4FBA" w:rsidRDefault="009855E8">
              <w:pPr>
                <w:pStyle w:val="3903"/>
              </w:pPr>
              <w:r w:rsidRPr="006D4FBA">
                <w:fldChar w:fldCharType="begin"/>
              </w:r>
              <w:r w:rsidRPr="006D4FBA">
                <w:instrText xml:space="preserve"> MACROBUTTON  SnrToggleCheckbox √适用 </w:instrText>
              </w:r>
              <w:r w:rsidRPr="006D4FBA">
                <w:fldChar w:fldCharType="end"/>
              </w:r>
              <w:r w:rsidRPr="006D4FBA">
                <w:fldChar w:fldCharType="begin"/>
              </w:r>
              <w:r w:rsidRPr="006D4FBA">
                <w:instrText xml:space="preserve"> MACROBUTTON  SnrToggleCheckbox □不适用 </w:instrText>
              </w:r>
              <w:r w:rsidRPr="006D4FBA">
                <w:fldChar w:fldCharType="end"/>
              </w:r>
            </w:p>
          </w:sdtContent>
        </w:sdt>
        <w:p w14:paraId="1CFE3004" w14:textId="09DCC07B" w:rsidR="00B201D3" w:rsidRPr="006D4FBA" w:rsidRDefault="009855E8">
          <w:pPr>
            <w:tabs>
              <w:tab w:val="left" w:pos="8280"/>
            </w:tabs>
            <w:kinsoku w:val="0"/>
            <w:overflowPunct w:val="0"/>
            <w:autoSpaceDE w:val="0"/>
            <w:autoSpaceDN w:val="0"/>
            <w:adjustRightInd w:val="0"/>
            <w:snapToGrid w:val="0"/>
            <w:ind w:rightChars="12" w:right="25"/>
            <w:jc w:val="right"/>
          </w:pPr>
          <w:r w:rsidRPr="006D4FBA">
            <w:rPr>
              <w:rFonts w:hint="eastAsia"/>
            </w:rPr>
            <w:t>单位：</w:t>
          </w:r>
          <w:sdt>
            <w:sdtPr>
              <w:rPr>
                <w:rFonts w:hint="eastAsia"/>
              </w:rPr>
              <w:alias w:val="单位：同时按照国际会计准则与按中国会计准则披露的财务报告中净利润和净资产差异情况"/>
              <w:tag w:val="_GBC_c49fe527432143159bb93abb982605d3"/>
              <w:id w:val="884302601"/>
              <w:lock w:val="sdtLocked"/>
              <w:placeholder>
                <w:docPart w:val="GBC22222222222222222222222222222"/>
              </w:placeholder>
              <w:dataBinding w:prefixMappings="xmlns:clcid-ci-ar='clcid-ci-ar'" w:xpath="/*/clcid-ci-ar:DanWeiTongShiAnZhaoGuoJiKuaiJiZhunZeYuAnZhongGuoKuaiJiZhunZePiLuDeCaiWuBaoGaoZhongJingLiRunHeJingZiChanChaYiQingKuang[not(@periodRef)]" w:storeItemID="{89EBAB94-44A0-46A2-B712-30D997D04A6D}"/>
              <w:comboBox w:lastValue="千元">
                <w:listItem w:displayText="元" w:value="1"/>
                <w:listItem w:displayText="千元" w:value="1000"/>
                <w:listItem w:displayText="万元" w:value="10000"/>
                <w:listItem w:displayText="百万元" w:value="1000000"/>
                <w:listItem w:displayText="亿元" w:value="100000000"/>
              </w:comboBox>
            </w:sdtPr>
            <w:sdtEndPr/>
            <w:sdtContent>
              <w:r w:rsidR="00F46283">
                <w:rPr>
                  <w:rFonts w:hint="eastAsia"/>
                </w:rPr>
                <w:t>千元</w:t>
              </w:r>
            </w:sdtContent>
          </w:sdt>
          <w:r w:rsidRPr="006D4FBA">
            <w:rPr>
              <w:rFonts w:hint="eastAsia"/>
            </w:rPr>
            <w:t xml:space="preserve">  币种：</w:t>
          </w:r>
          <w:sdt>
            <w:sdtPr>
              <w:rPr>
                <w:rFonts w:hint="eastAsia"/>
              </w:rPr>
              <w:alias w:val="币种：同时按照国际会计准则与按中国会计准则披露的财务报告中净利润和净资产差异情况"/>
              <w:tag w:val="_GBC_69b863ee893e4df9a5e1cc38c34e63d9"/>
              <w:id w:val="-1742869399"/>
              <w:lock w:val="sdtLocked"/>
              <w:placeholder>
                <w:docPart w:val="GBC22222222222222222222222222222"/>
              </w:placeholder>
              <w:dataBinding w:prefixMappings="xmlns:clcid-ci-ar='clcid-ci-ar'" w:xpath="/*/clcid-ci-ar:BiZhongTongShiAnZhaoGuoJiKuaiJiZhunZeYuAnZhongGuoKuaiJiZhunZePiLuDeCaiWuBaoGaoZhongJingLiRunHeJingZiChanChaYiQingKuang[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46283">
                <w:rPr>
                  <w:rFonts w:hint="eastAsia"/>
                </w:rPr>
                <w:t>人民币</w:t>
              </w:r>
            </w:sdtContent>
          </w:sdt>
        </w:p>
        <w:tbl>
          <w:tblPr>
            <w:tblStyle w:val="af9"/>
            <w:tblW w:w="5324" w:type="pct"/>
            <w:jc w:val="center"/>
            <w:tblLayout w:type="fixed"/>
            <w:tblLook w:val="04A0" w:firstRow="1" w:lastRow="0" w:firstColumn="1" w:lastColumn="0" w:noHBand="0" w:noVBand="1"/>
          </w:tblPr>
          <w:tblGrid>
            <w:gridCol w:w="2336"/>
            <w:gridCol w:w="1764"/>
            <w:gridCol w:w="1766"/>
            <w:gridCol w:w="1766"/>
            <w:gridCol w:w="1763"/>
          </w:tblGrid>
          <w:tr w:rsidR="00B201D3" w:rsidRPr="006D4FBA" w14:paraId="7DBB473B" w14:textId="77777777" w:rsidTr="005C11CA">
            <w:trPr>
              <w:jc w:val="center"/>
            </w:trPr>
            <w:tc>
              <w:tcPr>
                <w:tcW w:w="1243" w:type="pct"/>
                <w:vMerge w:val="restart"/>
              </w:tcPr>
              <w:p w14:paraId="5E84CCD0" w14:textId="77777777" w:rsidR="00B201D3" w:rsidRPr="00A75FB7" w:rsidRDefault="00B201D3">
                <w:pPr>
                  <w:kinsoku w:val="0"/>
                  <w:overflowPunct w:val="0"/>
                  <w:autoSpaceDE w:val="0"/>
                  <w:autoSpaceDN w:val="0"/>
                  <w:adjustRightInd w:val="0"/>
                  <w:snapToGrid w:val="0"/>
                  <w:jc w:val="center"/>
                  <w:rPr>
                    <w:rFonts w:ascii="宋体" w:hAnsi="宋体"/>
                    <w:color w:val="000000"/>
                  </w:rPr>
                </w:pPr>
              </w:p>
            </w:tc>
            <w:sdt>
              <w:sdtPr>
                <w:tag w:val="_PLD_d728963507634cae9b655b4b50f781ca"/>
                <w:id w:val="-531494397"/>
                <w:lock w:val="sdtLocked"/>
              </w:sdtPr>
              <w:sdtEndPr/>
              <w:sdtContent>
                <w:tc>
                  <w:tcPr>
                    <w:tcW w:w="1879" w:type="pct"/>
                    <w:gridSpan w:val="2"/>
                  </w:tcPr>
                  <w:p w14:paraId="27B22CB8" w14:textId="77777777" w:rsidR="00B201D3" w:rsidRPr="006D4FBA" w:rsidRDefault="009855E8">
                    <w:pPr>
                      <w:kinsoku w:val="0"/>
                      <w:overflowPunct w:val="0"/>
                      <w:autoSpaceDE w:val="0"/>
                      <w:autoSpaceDN w:val="0"/>
                      <w:adjustRightInd w:val="0"/>
                      <w:snapToGrid w:val="0"/>
                      <w:jc w:val="center"/>
                      <w:rPr>
                        <w:rFonts w:ascii="宋体" w:hAnsi="宋体"/>
                      </w:rPr>
                    </w:pPr>
                    <w:r w:rsidRPr="006D4FBA">
                      <w:rPr>
                        <w:rFonts w:ascii="宋体" w:hAnsi="宋体" w:hint="eastAsia"/>
                      </w:rPr>
                      <w:t>归属于上市公司股东的净利润</w:t>
                    </w:r>
                  </w:p>
                </w:tc>
              </w:sdtContent>
            </w:sdt>
            <w:sdt>
              <w:sdtPr>
                <w:tag w:val="_PLD_c08de9b4c2c74f08a1a86ea3f7064954"/>
                <w:id w:val="1613323411"/>
                <w:lock w:val="sdtLocked"/>
              </w:sdtPr>
              <w:sdtEndPr/>
              <w:sdtContent>
                <w:tc>
                  <w:tcPr>
                    <w:tcW w:w="1878" w:type="pct"/>
                    <w:gridSpan w:val="2"/>
                  </w:tcPr>
                  <w:p w14:paraId="796A4A8F" w14:textId="77777777" w:rsidR="00B201D3" w:rsidRPr="006D4FBA" w:rsidRDefault="009855E8">
                    <w:pPr>
                      <w:kinsoku w:val="0"/>
                      <w:overflowPunct w:val="0"/>
                      <w:autoSpaceDE w:val="0"/>
                      <w:autoSpaceDN w:val="0"/>
                      <w:adjustRightInd w:val="0"/>
                      <w:snapToGrid w:val="0"/>
                      <w:jc w:val="center"/>
                      <w:rPr>
                        <w:rFonts w:ascii="宋体" w:hAnsi="宋体"/>
                      </w:rPr>
                    </w:pPr>
                    <w:r w:rsidRPr="006D4FBA">
                      <w:rPr>
                        <w:rFonts w:ascii="宋体" w:hAnsi="宋体" w:hint="eastAsia"/>
                      </w:rPr>
                      <w:t>归属于上市公司股东的净资产</w:t>
                    </w:r>
                  </w:p>
                </w:tc>
              </w:sdtContent>
            </w:sdt>
          </w:tr>
          <w:tr w:rsidR="00B201D3" w:rsidRPr="006D4FBA" w14:paraId="2C7EF0EA" w14:textId="77777777" w:rsidTr="005C11CA">
            <w:trPr>
              <w:jc w:val="center"/>
            </w:trPr>
            <w:tc>
              <w:tcPr>
                <w:tcW w:w="1243" w:type="pct"/>
                <w:vMerge/>
              </w:tcPr>
              <w:p w14:paraId="14A8A93C" w14:textId="77777777" w:rsidR="00B201D3" w:rsidRPr="006D4FBA" w:rsidRDefault="00B201D3">
                <w:pPr>
                  <w:kinsoku w:val="0"/>
                  <w:overflowPunct w:val="0"/>
                  <w:autoSpaceDE w:val="0"/>
                  <w:autoSpaceDN w:val="0"/>
                  <w:adjustRightInd w:val="0"/>
                  <w:snapToGrid w:val="0"/>
                  <w:jc w:val="left"/>
                  <w:rPr>
                    <w:rFonts w:ascii="宋体" w:hAnsi="宋体"/>
                    <w:color w:val="000000"/>
                  </w:rPr>
                </w:pPr>
              </w:p>
            </w:tc>
            <w:sdt>
              <w:sdtPr>
                <w:tag w:val="_PLD_4257e7e6f64b4670bc467051a4d524b3"/>
                <w:id w:val="-1082919728"/>
                <w:lock w:val="sdtLocked"/>
              </w:sdtPr>
              <w:sdtEndPr/>
              <w:sdtContent>
                <w:tc>
                  <w:tcPr>
                    <w:tcW w:w="939" w:type="pct"/>
                  </w:tcPr>
                  <w:p w14:paraId="25710D95" w14:textId="77777777" w:rsidR="00B201D3" w:rsidRPr="006D4FBA" w:rsidRDefault="009855E8">
                    <w:pPr>
                      <w:kinsoku w:val="0"/>
                      <w:overflowPunct w:val="0"/>
                      <w:autoSpaceDE w:val="0"/>
                      <w:autoSpaceDN w:val="0"/>
                      <w:adjustRightInd w:val="0"/>
                      <w:snapToGrid w:val="0"/>
                      <w:ind w:right="180"/>
                      <w:jc w:val="center"/>
                      <w:rPr>
                        <w:rFonts w:ascii="宋体" w:hAnsi="宋体"/>
                        <w:color w:val="000000"/>
                      </w:rPr>
                    </w:pPr>
                    <w:r w:rsidRPr="006D4FBA">
                      <w:rPr>
                        <w:rFonts w:ascii="宋体" w:hAnsi="宋体" w:hint="eastAsia"/>
                      </w:rPr>
                      <w:t>本期数</w:t>
                    </w:r>
                  </w:p>
                </w:tc>
              </w:sdtContent>
            </w:sdt>
            <w:sdt>
              <w:sdtPr>
                <w:tag w:val="_PLD_aedb846cdc8c4565973cd18ae345f3f2"/>
                <w:id w:val="1155111409"/>
                <w:lock w:val="sdtLocked"/>
              </w:sdtPr>
              <w:sdtEndPr/>
              <w:sdtContent>
                <w:tc>
                  <w:tcPr>
                    <w:tcW w:w="940" w:type="pct"/>
                  </w:tcPr>
                  <w:p w14:paraId="7D22DC1A" w14:textId="77777777" w:rsidR="00B201D3" w:rsidRPr="006D4FBA" w:rsidRDefault="009855E8">
                    <w:pPr>
                      <w:kinsoku w:val="0"/>
                      <w:overflowPunct w:val="0"/>
                      <w:autoSpaceDE w:val="0"/>
                      <w:autoSpaceDN w:val="0"/>
                      <w:adjustRightInd w:val="0"/>
                      <w:snapToGrid w:val="0"/>
                      <w:ind w:right="180"/>
                      <w:jc w:val="center"/>
                      <w:rPr>
                        <w:rFonts w:ascii="宋体" w:hAnsi="宋体"/>
                        <w:color w:val="000000"/>
                      </w:rPr>
                    </w:pPr>
                    <w:r w:rsidRPr="006D4FBA">
                      <w:rPr>
                        <w:rFonts w:ascii="宋体" w:hAnsi="宋体" w:hint="eastAsia"/>
                      </w:rPr>
                      <w:t>上期数</w:t>
                    </w:r>
                  </w:p>
                </w:tc>
              </w:sdtContent>
            </w:sdt>
            <w:sdt>
              <w:sdtPr>
                <w:tag w:val="_PLD_dc3a296a61374d01b17e1e28ef0934be"/>
                <w:id w:val="455915939"/>
                <w:lock w:val="sdtLocked"/>
              </w:sdtPr>
              <w:sdtEndPr/>
              <w:sdtContent>
                <w:tc>
                  <w:tcPr>
                    <w:tcW w:w="940" w:type="pct"/>
                  </w:tcPr>
                  <w:p w14:paraId="3D62BC85" w14:textId="77777777" w:rsidR="00B201D3" w:rsidRPr="006D4FBA" w:rsidRDefault="009855E8">
                    <w:pPr>
                      <w:kinsoku w:val="0"/>
                      <w:overflowPunct w:val="0"/>
                      <w:autoSpaceDE w:val="0"/>
                      <w:autoSpaceDN w:val="0"/>
                      <w:adjustRightInd w:val="0"/>
                      <w:snapToGrid w:val="0"/>
                      <w:ind w:right="180"/>
                      <w:jc w:val="center"/>
                      <w:rPr>
                        <w:rFonts w:ascii="宋体" w:hAnsi="宋体"/>
                        <w:color w:val="000000"/>
                      </w:rPr>
                    </w:pPr>
                    <w:r w:rsidRPr="006D4FBA">
                      <w:rPr>
                        <w:rFonts w:ascii="宋体" w:hAnsi="宋体" w:hint="eastAsia"/>
                      </w:rPr>
                      <w:t>期末数</w:t>
                    </w:r>
                  </w:p>
                </w:tc>
              </w:sdtContent>
            </w:sdt>
            <w:sdt>
              <w:sdtPr>
                <w:tag w:val="_PLD_f6c7f5d7735b4a27ae6f6140f1d27666"/>
                <w:id w:val="-90695788"/>
                <w:lock w:val="sdtLocked"/>
              </w:sdtPr>
              <w:sdtEndPr/>
              <w:sdtContent>
                <w:tc>
                  <w:tcPr>
                    <w:tcW w:w="938" w:type="pct"/>
                  </w:tcPr>
                  <w:p w14:paraId="0FE70386" w14:textId="77777777" w:rsidR="00B201D3" w:rsidRPr="006D4FBA" w:rsidRDefault="009855E8">
                    <w:pPr>
                      <w:kinsoku w:val="0"/>
                      <w:overflowPunct w:val="0"/>
                      <w:autoSpaceDE w:val="0"/>
                      <w:autoSpaceDN w:val="0"/>
                      <w:adjustRightInd w:val="0"/>
                      <w:snapToGrid w:val="0"/>
                      <w:ind w:right="180"/>
                      <w:jc w:val="center"/>
                      <w:rPr>
                        <w:rFonts w:ascii="宋体" w:hAnsi="宋体"/>
                        <w:color w:val="000000"/>
                      </w:rPr>
                    </w:pPr>
                    <w:r w:rsidRPr="006D4FBA">
                      <w:rPr>
                        <w:rFonts w:ascii="宋体" w:hAnsi="宋体" w:hint="eastAsia"/>
                      </w:rPr>
                      <w:t>期初数</w:t>
                    </w:r>
                  </w:p>
                </w:tc>
              </w:sdtContent>
            </w:sdt>
          </w:tr>
          <w:tr w:rsidR="001E3FBC" w:rsidRPr="006D4FBA" w14:paraId="5B8537C2" w14:textId="77777777" w:rsidTr="005C11CA">
            <w:trPr>
              <w:jc w:val="center"/>
            </w:trPr>
            <w:sdt>
              <w:sdtPr>
                <w:tag w:val="_PLD_1f4ddd2ee7c046aca6b08a319e21488f"/>
                <w:id w:val="-1018224683"/>
                <w:lock w:val="sdtLocked"/>
              </w:sdtPr>
              <w:sdtEndPr/>
              <w:sdtContent>
                <w:tc>
                  <w:tcPr>
                    <w:tcW w:w="1243" w:type="pct"/>
                  </w:tcPr>
                  <w:p w14:paraId="1CED148E" w14:textId="77777777" w:rsidR="001E3FBC" w:rsidRPr="006D4FBA" w:rsidRDefault="001E3FBC" w:rsidP="001E3FBC">
                    <w:pPr>
                      <w:kinsoku w:val="0"/>
                      <w:overflowPunct w:val="0"/>
                      <w:autoSpaceDE w:val="0"/>
                      <w:autoSpaceDN w:val="0"/>
                      <w:adjustRightInd w:val="0"/>
                      <w:snapToGrid w:val="0"/>
                      <w:rPr>
                        <w:rFonts w:ascii="宋体" w:hAnsi="宋体"/>
                        <w:color w:val="000000"/>
                      </w:rPr>
                    </w:pPr>
                    <w:r w:rsidRPr="006D4FBA">
                      <w:rPr>
                        <w:rFonts w:ascii="宋体" w:hAnsi="宋体" w:hint="eastAsia"/>
                      </w:rPr>
                      <w:t>按中国会计准则</w:t>
                    </w:r>
                  </w:p>
                </w:tc>
              </w:sdtContent>
            </w:sdt>
            <w:tc>
              <w:tcPr>
                <w:tcW w:w="939" w:type="pct"/>
                <w:tcBorders>
                  <w:top w:val="single" w:sz="4" w:space="0" w:color="auto"/>
                  <w:left w:val="single" w:sz="4" w:space="0" w:color="auto"/>
                  <w:bottom w:val="single" w:sz="4" w:space="0" w:color="auto"/>
                  <w:right w:val="single" w:sz="4" w:space="0" w:color="auto"/>
                </w:tcBorders>
                <w:vAlign w:val="center"/>
              </w:tcPr>
              <w:p w14:paraId="4E3A535E" w14:textId="4E5B1E0B" w:rsidR="001E3FBC" w:rsidRPr="001E3FBC" w:rsidRDefault="001E3FBC" w:rsidP="001E3FBC">
                <w:pPr>
                  <w:kinsoku w:val="0"/>
                  <w:overflowPunct w:val="0"/>
                  <w:autoSpaceDE w:val="0"/>
                  <w:autoSpaceDN w:val="0"/>
                  <w:adjustRightInd w:val="0"/>
                  <w:snapToGrid w:val="0"/>
                  <w:jc w:val="right"/>
                  <w:rPr>
                    <w:rFonts w:ascii="宋体" w:hAnsi="宋体"/>
                  </w:rPr>
                </w:pPr>
                <w:r w:rsidRPr="001E3FBC">
                  <w:rPr>
                    <w:rFonts w:ascii="宋体" w:hAnsi="宋体" w:hint="eastAsia"/>
                  </w:rPr>
                  <w:t>10,210,068</w:t>
                </w:r>
              </w:p>
            </w:tc>
            <w:tc>
              <w:tcPr>
                <w:tcW w:w="940" w:type="pct"/>
                <w:tcBorders>
                  <w:top w:val="single" w:sz="4" w:space="0" w:color="auto"/>
                  <w:left w:val="single" w:sz="4" w:space="0" w:color="auto"/>
                  <w:bottom w:val="single" w:sz="4" w:space="0" w:color="auto"/>
                  <w:right w:val="single" w:sz="4" w:space="0" w:color="auto"/>
                </w:tcBorders>
                <w:vAlign w:val="center"/>
              </w:tcPr>
              <w:p w14:paraId="2E9D1770" w14:textId="189C7C3E" w:rsidR="001E3FBC" w:rsidRPr="001E3FBC" w:rsidRDefault="001E3FBC" w:rsidP="001E3FBC">
                <w:pPr>
                  <w:kinsoku w:val="0"/>
                  <w:overflowPunct w:val="0"/>
                  <w:autoSpaceDE w:val="0"/>
                  <w:autoSpaceDN w:val="0"/>
                  <w:adjustRightInd w:val="0"/>
                  <w:snapToGrid w:val="0"/>
                  <w:jc w:val="right"/>
                  <w:rPr>
                    <w:rFonts w:ascii="宋体" w:hAnsi="宋体"/>
                  </w:rPr>
                </w:pPr>
                <w:r w:rsidRPr="001E3FBC">
                  <w:rPr>
                    <w:rFonts w:ascii="宋体" w:hAnsi="宋体" w:hint="eastAsia"/>
                    <w:bCs/>
                  </w:rPr>
                  <w:t>18,037,071</w:t>
                </w:r>
              </w:p>
            </w:tc>
            <w:tc>
              <w:tcPr>
                <w:tcW w:w="940" w:type="pct"/>
                <w:tcBorders>
                  <w:top w:val="single" w:sz="4" w:space="0" w:color="auto"/>
                  <w:left w:val="single" w:sz="4" w:space="0" w:color="auto"/>
                  <w:bottom w:val="single" w:sz="4" w:space="0" w:color="auto"/>
                  <w:right w:val="single" w:sz="4" w:space="0" w:color="auto"/>
                </w:tcBorders>
                <w:vAlign w:val="center"/>
              </w:tcPr>
              <w:p w14:paraId="5B98F8CE" w14:textId="465724C0" w:rsidR="001E3FBC" w:rsidRPr="001E3FBC" w:rsidRDefault="001E3FBC" w:rsidP="001E3FBC">
                <w:pPr>
                  <w:kinsoku w:val="0"/>
                  <w:overflowPunct w:val="0"/>
                  <w:autoSpaceDE w:val="0"/>
                  <w:autoSpaceDN w:val="0"/>
                  <w:adjustRightInd w:val="0"/>
                  <w:snapToGrid w:val="0"/>
                  <w:ind w:leftChars="100" w:left="210"/>
                  <w:jc w:val="right"/>
                  <w:rPr>
                    <w:rFonts w:ascii="宋体" w:hAnsi="宋体"/>
                  </w:rPr>
                </w:pPr>
                <w:r w:rsidRPr="001E3FBC">
                  <w:rPr>
                    <w:rFonts w:ascii="宋体" w:hAnsi="宋体" w:hint="eastAsia"/>
                    <w:bCs/>
                  </w:rPr>
                  <w:t>82,811,721</w:t>
                </w:r>
              </w:p>
            </w:tc>
            <w:tc>
              <w:tcPr>
                <w:tcW w:w="938" w:type="pct"/>
                <w:tcBorders>
                  <w:top w:val="single" w:sz="4" w:space="0" w:color="auto"/>
                  <w:left w:val="single" w:sz="4" w:space="0" w:color="auto"/>
                  <w:bottom w:val="single" w:sz="4" w:space="0" w:color="auto"/>
                  <w:right w:val="single" w:sz="4" w:space="0" w:color="auto"/>
                </w:tcBorders>
                <w:vAlign w:val="center"/>
              </w:tcPr>
              <w:p w14:paraId="168DDDDD" w14:textId="1829A581" w:rsidR="001E3FBC" w:rsidRPr="001E3FBC" w:rsidRDefault="001E3FBC" w:rsidP="001E3FBC">
                <w:pPr>
                  <w:kinsoku w:val="0"/>
                  <w:overflowPunct w:val="0"/>
                  <w:autoSpaceDE w:val="0"/>
                  <w:autoSpaceDN w:val="0"/>
                  <w:adjustRightInd w:val="0"/>
                  <w:snapToGrid w:val="0"/>
                  <w:jc w:val="right"/>
                  <w:rPr>
                    <w:rFonts w:ascii="宋体" w:hAnsi="宋体"/>
                  </w:rPr>
                </w:pPr>
                <w:r w:rsidRPr="001E3FBC">
                  <w:rPr>
                    <w:rFonts w:ascii="宋体" w:hAnsi="宋体" w:hint="eastAsia"/>
                  </w:rPr>
                  <w:t>94,776,485</w:t>
                </w:r>
              </w:p>
            </w:tc>
          </w:tr>
          <w:tr w:rsidR="00B201D3" w:rsidRPr="006D4FBA" w14:paraId="71079AAA" w14:textId="77777777" w:rsidTr="00A75FB7">
            <w:trPr>
              <w:jc w:val="center"/>
            </w:trPr>
            <w:sdt>
              <w:sdtPr>
                <w:tag w:val="_PLD_225d9d4e51bd45a7a5b1b61a9eead850"/>
                <w:id w:val="-1921784369"/>
                <w:lock w:val="sdtLocked"/>
              </w:sdtPr>
              <w:sdtEndPr/>
              <w:sdtContent>
                <w:tc>
                  <w:tcPr>
                    <w:tcW w:w="5000" w:type="pct"/>
                    <w:gridSpan w:val="5"/>
                  </w:tcPr>
                  <w:p w14:paraId="20B8EA77" w14:textId="77777777" w:rsidR="00B201D3" w:rsidRPr="001E3FBC" w:rsidRDefault="009855E8">
                    <w:pPr>
                      <w:kinsoku w:val="0"/>
                      <w:overflowPunct w:val="0"/>
                      <w:autoSpaceDE w:val="0"/>
                      <w:autoSpaceDN w:val="0"/>
                      <w:adjustRightInd w:val="0"/>
                      <w:snapToGrid w:val="0"/>
                      <w:ind w:right="180"/>
                      <w:jc w:val="left"/>
                      <w:rPr>
                        <w:rFonts w:ascii="宋体" w:hAnsi="宋体"/>
                      </w:rPr>
                    </w:pPr>
                    <w:r w:rsidRPr="001E3FBC">
                      <w:rPr>
                        <w:rFonts w:ascii="宋体" w:hAnsi="宋体" w:hint="eastAsia"/>
                      </w:rPr>
                      <w:t>按国际会计准则调整的项目及金额：</w:t>
                    </w:r>
                  </w:p>
                </w:tc>
              </w:sdtContent>
            </w:sdt>
          </w:tr>
          <w:sdt>
            <w:sdtPr>
              <w:rPr>
                <w:rFonts w:ascii="宋体" w:hAnsi="宋体" w:cstheme="minorBidi" w:hint="eastAsia"/>
              </w:rPr>
              <w:alias w:val="按国际会计准则调整的净利润和股东权益明细"/>
              <w:tag w:val="_GBC_235da7e256724849b20e66b43107dd7e"/>
              <w:id w:val="-1296822057"/>
              <w:lock w:val="sdtLocked"/>
              <w:placeholder>
                <w:docPart w:val="05DD255FD5DE4030BF81AF9BA41511C5"/>
              </w:placeholder>
            </w:sdtPr>
            <w:sdtEndPr>
              <w:rPr>
                <w:rFonts w:hint="default"/>
                <w:color w:val="008000"/>
              </w:rPr>
            </w:sdtEndPr>
            <w:sdtContent>
              <w:tr w:rsidR="005C11CA" w:rsidRPr="006D4FBA" w14:paraId="6DC00FD7" w14:textId="77777777" w:rsidTr="00ED2C46">
                <w:trPr>
                  <w:jc w:val="center"/>
                </w:trPr>
                <w:tc>
                  <w:tcPr>
                    <w:tcW w:w="1243" w:type="pct"/>
                  </w:tcPr>
                  <w:p w14:paraId="4BC557E1" w14:textId="3AD32878" w:rsidR="005C11CA" w:rsidRPr="00DB2B05" w:rsidRDefault="005C11CA" w:rsidP="005C11CA">
                    <w:pPr>
                      <w:kinsoku w:val="0"/>
                      <w:overflowPunct w:val="0"/>
                      <w:autoSpaceDE w:val="0"/>
                      <w:autoSpaceDN w:val="0"/>
                      <w:adjustRightInd w:val="0"/>
                      <w:snapToGrid w:val="0"/>
                      <w:jc w:val="left"/>
                      <w:rPr>
                        <w:rFonts w:ascii="宋体" w:hAnsi="宋体" w:cstheme="minorBidi"/>
                      </w:rPr>
                    </w:pPr>
                    <w:r w:rsidRPr="001E3FBC">
                      <w:rPr>
                        <w:rFonts w:ascii="宋体" w:hAnsi="宋体" w:cstheme="minorBidi"/>
                      </w:rPr>
                      <w:t>1.同一控制下合并</w:t>
                    </w:r>
                    <w:r w:rsidRPr="00A75FB7">
                      <w:rPr>
                        <w:rFonts w:ascii="宋体" w:hAnsi="宋体" w:cstheme="minorBidi" w:hint="eastAsia"/>
                        <w:vertAlign w:val="superscript"/>
                      </w:rPr>
                      <w:t>①</w:t>
                    </w:r>
                  </w:p>
                </w:tc>
                <w:tc>
                  <w:tcPr>
                    <w:tcW w:w="939" w:type="pct"/>
                    <w:tcBorders>
                      <w:top w:val="single" w:sz="4" w:space="0" w:color="auto"/>
                      <w:left w:val="single" w:sz="4" w:space="0" w:color="auto"/>
                      <w:bottom w:val="single" w:sz="4" w:space="0" w:color="auto"/>
                      <w:right w:val="single" w:sz="4" w:space="0" w:color="auto"/>
                    </w:tcBorders>
                    <w:vAlign w:val="center"/>
                  </w:tcPr>
                  <w:p w14:paraId="6CC930C5" w14:textId="20B82F9E" w:rsidR="005C11CA" w:rsidRPr="005C11CA" w:rsidRDefault="005C11CA" w:rsidP="005C11CA">
                    <w:pPr>
                      <w:kinsoku w:val="0"/>
                      <w:overflowPunct w:val="0"/>
                      <w:autoSpaceDE w:val="0"/>
                      <w:autoSpaceDN w:val="0"/>
                      <w:adjustRightInd w:val="0"/>
                      <w:snapToGrid w:val="0"/>
                      <w:jc w:val="right"/>
                      <w:rPr>
                        <w:rFonts w:ascii="宋体" w:hAnsi="宋体"/>
                      </w:rPr>
                    </w:pPr>
                    <w:r w:rsidRPr="005C11CA">
                      <w:rPr>
                        <w:rFonts w:ascii="宋体" w:hAnsi="宋体" w:hint="eastAsia"/>
                      </w:rPr>
                      <w:t>166,467</w:t>
                    </w:r>
                  </w:p>
                </w:tc>
                <w:tc>
                  <w:tcPr>
                    <w:tcW w:w="940" w:type="pct"/>
                    <w:tcBorders>
                      <w:top w:val="single" w:sz="4" w:space="0" w:color="auto"/>
                      <w:left w:val="single" w:sz="4" w:space="0" w:color="auto"/>
                      <w:bottom w:val="single" w:sz="4" w:space="0" w:color="auto"/>
                      <w:right w:val="single" w:sz="4" w:space="0" w:color="auto"/>
                    </w:tcBorders>
                    <w:vAlign w:val="center"/>
                  </w:tcPr>
                  <w:p w14:paraId="7D60F431" w14:textId="55078C4D" w:rsidR="005C11CA" w:rsidRPr="005C11CA" w:rsidRDefault="005C11CA" w:rsidP="005C11CA">
                    <w:pPr>
                      <w:kinsoku w:val="0"/>
                      <w:overflowPunct w:val="0"/>
                      <w:autoSpaceDE w:val="0"/>
                      <w:autoSpaceDN w:val="0"/>
                      <w:adjustRightInd w:val="0"/>
                      <w:snapToGrid w:val="0"/>
                      <w:jc w:val="right"/>
                      <w:rPr>
                        <w:rFonts w:ascii="宋体" w:hAnsi="宋体"/>
                      </w:rPr>
                    </w:pPr>
                    <w:r w:rsidRPr="005C11CA">
                      <w:rPr>
                        <w:rFonts w:ascii="宋体" w:hAnsi="宋体" w:hint="eastAsia"/>
                      </w:rPr>
                      <w:t>166,467</w:t>
                    </w:r>
                  </w:p>
                </w:tc>
                <w:tc>
                  <w:tcPr>
                    <w:tcW w:w="940" w:type="pct"/>
                    <w:shd w:val="clear" w:color="auto" w:fill="auto"/>
                    <w:vAlign w:val="center"/>
                  </w:tcPr>
                  <w:p w14:paraId="0B84FB1C" w14:textId="230EAA92" w:rsidR="005C11CA" w:rsidRPr="005C11CA" w:rsidRDefault="005C11CA" w:rsidP="005C11CA">
                    <w:pPr>
                      <w:kinsoku w:val="0"/>
                      <w:overflowPunct w:val="0"/>
                      <w:autoSpaceDE w:val="0"/>
                      <w:autoSpaceDN w:val="0"/>
                      <w:adjustRightInd w:val="0"/>
                      <w:snapToGrid w:val="0"/>
                      <w:jc w:val="right"/>
                      <w:rPr>
                        <w:rFonts w:ascii="宋体" w:hAnsi="宋体"/>
                      </w:rPr>
                    </w:pPr>
                    <w:r w:rsidRPr="005C11CA">
                      <w:rPr>
                        <w:rFonts w:ascii="宋体" w:hAnsi="宋体"/>
                      </w:rPr>
                      <w:t>-9,165,585</w:t>
                    </w:r>
                  </w:p>
                </w:tc>
                <w:tc>
                  <w:tcPr>
                    <w:tcW w:w="938" w:type="pct"/>
                    <w:vAlign w:val="center"/>
                  </w:tcPr>
                  <w:p w14:paraId="07A205AA" w14:textId="0DBA24A6" w:rsidR="005C11CA" w:rsidRPr="005C11CA" w:rsidRDefault="005C11CA" w:rsidP="005C11CA">
                    <w:pPr>
                      <w:kinsoku w:val="0"/>
                      <w:overflowPunct w:val="0"/>
                      <w:autoSpaceDE w:val="0"/>
                      <w:autoSpaceDN w:val="0"/>
                      <w:adjustRightInd w:val="0"/>
                      <w:snapToGrid w:val="0"/>
                      <w:jc w:val="right"/>
                      <w:rPr>
                        <w:rFonts w:ascii="宋体" w:hAnsi="宋体"/>
                      </w:rPr>
                    </w:pPr>
                    <w:r w:rsidRPr="005C11CA">
                      <w:rPr>
                        <w:rFonts w:ascii="宋体" w:hAnsi="宋体"/>
                      </w:rPr>
                      <w:t>-9,117,308</w:t>
                    </w:r>
                  </w:p>
                </w:tc>
              </w:tr>
            </w:sdtContent>
          </w:sdt>
          <w:sdt>
            <w:sdtPr>
              <w:rPr>
                <w:rFonts w:ascii="宋体" w:hAnsi="宋体" w:cstheme="minorBidi" w:hint="eastAsia"/>
              </w:rPr>
              <w:alias w:val="按国际会计准则调整的净利润和股东权益明细"/>
              <w:tag w:val="_GBC_235da7e256724849b20e66b43107dd7e"/>
              <w:id w:val="1122576786"/>
              <w:lock w:val="sdtLocked"/>
              <w:placeholder>
                <w:docPart w:val="B41015A98CBF4A49B3B57394F9304D88"/>
              </w:placeholder>
            </w:sdtPr>
            <w:sdtEndPr>
              <w:rPr>
                <w:rFonts w:hint="default"/>
                <w:color w:val="008000"/>
              </w:rPr>
            </w:sdtEndPr>
            <w:sdtContent>
              <w:tr w:rsidR="005C11CA" w:rsidRPr="006D4FBA" w14:paraId="4D4927FA" w14:textId="77777777" w:rsidTr="00ED2C46">
                <w:trPr>
                  <w:jc w:val="center"/>
                </w:trPr>
                <w:tc>
                  <w:tcPr>
                    <w:tcW w:w="1243" w:type="pct"/>
                  </w:tcPr>
                  <w:p w14:paraId="7C2C9713" w14:textId="7230804D" w:rsidR="005C11CA" w:rsidRPr="00DB2B05" w:rsidRDefault="005C11CA" w:rsidP="005C11CA">
                    <w:pPr>
                      <w:kinsoku w:val="0"/>
                      <w:overflowPunct w:val="0"/>
                      <w:autoSpaceDE w:val="0"/>
                      <w:autoSpaceDN w:val="0"/>
                      <w:adjustRightInd w:val="0"/>
                      <w:snapToGrid w:val="0"/>
                      <w:jc w:val="left"/>
                      <w:rPr>
                        <w:rFonts w:ascii="宋体" w:hAnsi="宋体" w:cstheme="minorBidi"/>
                      </w:rPr>
                    </w:pPr>
                    <w:r w:rsidRPr="001E3FBC">
                      <w:rPr>
                        <w:rFonts w:ascii="宋体" w:hAnsi="宋体" w:cstheme="minorBidi"/>
                      </w:rPr>
                      <w:t>2.专项储备</w:t>
                    </w:r>
                    <w:r w:rsidRPr="00A75FB7">
                      <w:rPr>
                        <w:rFonts w:ascii="宋体" w:hAnsi="宋体" w:cstheme="minorBidi" w:hint="eastAsia"/>
                        <w:vertAlign w:val="superscript"/>
                      </w:rPr>
                      <w:t>②</w:t>
                    </w:r>
                  </w:p>
                </w:tc>
                <w:tc>
                  <w:tcPr>
                    <w:tcW w:w="939" w:type="pct"/>
                    <w:shd w:val="clear" w:color="auto" w:fill="auto"/>
                    <w:vAlign w:val="center"/>
                  </w:tcPr>
                  <w:p w14:paraId="55ACAA5D" w14:textId="607C6D72" w:rsidR="005C11CA" w:rsidRPr="005C11CA" w:rsidRDefault="005C11CA" w:rsidP="005C11CA">
                    <w:pPr>
                      <w:kinsoku w:val="0"/>
                      <w:overflowPunct w:val="0"/>
                      <w:autoSpaceDE w:val="0"/>
                      <w:autoSpaceDN w:val="0"/>
                      <w:adjustRightInd w:val="0"/>
                      <w:snapToGrid w:val="0"/>
                      <w:jc w:val="right"/>
                      <w:rPr>
                        <w:rFonts w:ascii="宋体" w:hAnsi="宋体"/>
                      </w:rPr>
                    </w:pPr>
                    <w:r w:rsidRPr="005C11CA">
                      <w:rPr>
                        <w:rFonts w:ascii="宋体" w:hAnsi="宋体"/>
                      </w:rPr>
                      <w:t>-315</w:t>
                    </w:r>
                    <w:r w:rsidRPr="005C11CA">
                      <w:rPr>
                        <w:rFonts w:ascii="宋体" w:hAnsi="宋体" w:hint="eastAsia"/>
                      </w:rPr>
                      <w:t>,</w:t>
                    </w:r>
                    <w:r w:rsidRPr="005C11CA">
                      <w:rPr>
                        <w:rFonts w:ascii="宋体" w:hAnsi="宋体"/>
                      </w:rPr>
                      <w:t>937</w:t>
                    </w:r>
                  </w:p>
                </w:tc>
                <w:tc>
                  <w:tcPr>
                    <w:tcW w:w="940" w:type="pct"/>
                    <w:tcBorders>
                      <w:top w:val="single" w:sz="4" w:space="0" w:color="auto"/>
                      <w:left w:val="single" w:sz="4" w:space="0" w:color="auto"/>
                      <w:bottom w:val="single" w:sz="4" w:space="0" w:color="auto"/>
                      <w:right w:val="single" w:sz="4" w:space="0" w:color="auto"/>
                    </w:tcBorders>
                    <w:vAlign w:val="center"/>
                  </w:tcPr>
                  <w:p w14:paraId="5C10925E" w14:textId="06A7A115" w:rsidR="005C11CA" w:rsidRPr="005C11CA" w:rsidRDefault="005C11CA" w:rsidP="005C11CA">
                    <w:pPr>
                      <w:kinsoku w:val="0"/>
                      <w:overflowPunct w:val="0"/>
                      <w:autoSpaceDE w:val="0"/>
                      <w:autoSpaceDN w:val="0"/>
                      <w:adjustRightInd w:val="0"/>
                      <w:snapToGrid w:val="0"/>
                      <w:jc w:val="right"/>
                      <w:rPr>
                        <w:rFonts w:ascii="宋体" w:hAnsi="宋体"/>
                      </w:rPr>
                    </w:pPr>
                    <w:r w:rsidRPr="005C11CA">
                      <w:rPr>
                        <w:rFonts w:ascii="宋体" w:hAnsi="宋体" w:hint="eastAsia"/>
                      </w:rPr>
                      <w:t>-726,777</w:t>
                    </w:r>
                  </w:p>
                </w:tc>
                <w:tc>
                  <w:tcPr>
                    <w:tcW w:w="940" w:type="pct"/>
                    <w:shd w:val="clear" w:color="auto" w:fill="auto"/>
                    <w:vAlign w:val="center"/>
                  </w:tcPr>
                  <w:p w14:paraId="02CBFF29" w14:textId="4A124797" w:rsidR="005C11CA" w:rsidRPr="005C11CA" w:rsidRDefault="005C11CA" w:rsidP="005C11CA">
                    <w:pPr>
                      <w:kinsoku w:val="0"/>
                      <w:overflowPunct w:val="0"/>
                      <w:autoSpaceDE w:val="0"/>
                      <w:autoSpaceDN w:val="0"/>
                      <w:adjustRightInd w:val="0"/>
                      <w:snapToGrid w:val="0"/>
                      <w:jc w:val="right"/>
                      <w:rPr>
                        <w:rFonts w:ascii="宋体" w:hAnsi="宋体"/>
                      </w:rPr>
                    </w:pPr>
                    <w:r w:rsidRPr="005C11CA">
                      <w:rPr>
                        <w:rFonts w:ascii="宋体" w:hAnsi="宋体" w:hint="eastAsia"/>
                      </w:rPr>
                      <w:t>-</w:t>
                    </w:r>
                    <w:r w:rsidRPr="005C11CA">
                      <w:rPr>
                        <w:rFonts w:ascii="宋体" w:hAnsi="宋体"/>
                      </w:rPr>
                      <w:t>29,887</w:t>
                    </w:r>
                  </w:p>
                </w:tc>
                <w:tc>
                  <w:tcPr>
                    <w:tcW w:w="938" w:type="pct"/>
                    <w:vAlign w:val="center"/>
                  </w:tcPr>
                  <w:p w14:paraId="670887A8" w14:textId="273525D4" w:rsidR="005C11CA" w:rsidRPr="005C11CA" w:rsidRDefault="005C11CA" w:rsidP="005C11CA">
                    <w:pPr>
                      <w:kinsoku w:val="0"/>
                      <w:overflowPunct w:val="0"/>
                      <w:autoSpaceDE w:val="0"/>
                      <w:autoSpaceDN w:val="0"/>
                      <w:adjustRightInd w:val="0"/>
                      <w:snapToGrid w:val="0"/>
                      <w:jc w:val="right"/>
                      <w:rPr>
                        <w:rFonts w:ascii="宋体" w:hAnsi="宋体"/>
                      </w:rPr>
                    </w:pPr>
                    <w:r w:rsidRPr="005C11CA">
                      <w:rPr>
                        <w:rFonts w:ascii="宋体" w:hAnsi="宋体"/>
                      </w:rPr>
                      <w:t>-31,613</w:t>
                    </w:r>
                  </w:p>
                </w:tc>
              </w:tr>
            </w:sdtContent>
          </w:sdt>
          <w:tr w:rsidR="005C11CA" w:rsidRPr="006D4FBA" w14:paraId="63DDFA11" w14:textId="77777777" w:rsidTr="005C11CA">
            <w:trPr>
              <w:jc w:val="center"/>
            </w:trPr>
            <w:tc>
              <w:tcPr>
                <w:tcW w:w="1243" w:type="pct"/>
                <w:shd w:val="clear" w:color="auto" w:fill="auto"/>
              </w:tcPr>
              <w:p w14:paraId="2582CC7C" w14:textId="37A5644F" w:rsidR="005C11CA" w:rsidRPr="00DB2B05" w:rsidRDefault="005C11CA" w:rsidP="005C11CA">
                <w:pPr>
                  <w:kinsoku w:val="0"/>
                  <w:overflowPunct w:val="0"/>
                  <w:autoSpaceDE w:val="0"/>
                  <w:autoSpaceDN w:val="0"/>
                  <w:adjustRightInd w:val="0"/>
                  <w:snapToGrid w:val="0"/>
                  <w:rPr>
                    <w:rFonts w:ascii="宋体" w:hAnsi="宋体" w:cstheme="minorBidi"/>
                  </w:rPr>
                </w:pPr>
                <w:r w:rsidRPr="00DB2B05">
                  <w:rPr>
                    <w:rFonts w:ascii="宋体" w:hAnsi="宋体"/>
                  </w:rPr>
                  <w:t>3.递延税项</w:t>
                </w:r>
                <w:r w:rsidRPr="00A75FB7">
                  <w:rPr>
                    <w:rFonts w:ascii="宋体" w:hAnsi="宋体" w:hint="eastAsia"/>
                    <w:vertAlign w:val="superscript"/>
                  </w:rPr>
                  <w:t>⑤</w:t>
                </w:r>
              </w:p>
            </w:tc>
            <w:tc>
              <w:tcPr>
                <w:tcW w:w="939" w:type="pct"/>
                <w:shd w:val="clear" w:color="auto" w:fill="auto"/>
                <w:vAlign w:val="center"/>
              </w:tcPr>
              <w:p w14:paraId="25EB7C47" w14:textId="5B3B6D83" w:rsidR="005C11CA" w:rsidRPr="005C11CA" w:rsidRDefault="005C11CA" w:rsidP="005C11CA">
                <w:pPr>
                  <w:kinsoku w:val="0"/>
                  <w:overflowPunct w:val="0"/>
                  <w:autoSpaceDE w:val="0"/>
                  <w:autoSpaceDN w:val="0"/>
                  <w:adjustRightInd w:val="0"/>
                  <w:snapToGrid w:val="0"/>
                  <w:jc w:val="right"/>
                  <w:rPr>
                    <w:rFonts w:ascii="宋体" w:hAnsi="宋体"/>
                  </w:rPr>
                </w:pPr>
                <w:r w:rsidRPr="005C11CA">
                  <w:rPr>
                    <w:rFonts w:ascii="宋体" w:hAnsi="宋体"/>
                  </w:rPr>
                  <w:t>35,841</w:t>
                </w:r>
              </w:p>
            </w:tc>
            <w:tc>
              <w:tcPr>
                <w:tcW w:w="940" w:type="pct"/>
                <w:shd w:val="clear" w:color="auto" w:fill="auto"/>
                <w:vAlign w:val="center"/>
              </w:tcPr>
              <w:p w14:paraId="560B715B" w14:textId="3E5B9B97" w:rsidR="005C11CA" w:rsidRPr="005C11CA" w:rsidRDefault="005C11CA" w:rsidP="005C11CA">
                <w:pPr>
                  <w:kinsoku w:val="0"/>
                  <w:overflowPunct w:val="0"/>
                  <w:autoSpaceDE w:val="0"/>
                  <w:autoSpaceDN w:val="0"/>
                  <w:adjustRightInd w:val="0"/>
                  <w:snapToGrid w:val="0"/>
                  <w:jc w:val="right"/>
                  <w:rPr>
                    <w:rFonts w:ascii="宋体" w:hAnsi="宋体"/>
                  </w:rPr>
                </w:pPr>
                <w:r w:rsidRPr="005C11CA">
                  <w:rPr>
                    <w:rFonts w:ascii="宋体" w:hAnsi="宋体"/>
                  </w:rPr>
                  <w:t>138,549</w:t>
                </w:r>
              </w:p>
            </w:tc>
            <w:tc>
              <w:tcPr>
                <w:tcW w:w="940" w:type="pct"/>
                <w:shd w:val="clear" w:color="auto" w:fill="auto"/>
                <w:vAlign w:val="center"/>
              </w:tcPr>
              <w:p w14:paraId="1008876E" w14:textId="5902E552" w:rsidR="005C11CA" w:rsidRPr="005C11CA" w:rsidRDefault="005C11CA" w:rsidP="005C11CA">
                <w:pPr>
                  <w:kinsoku w:val="0"/>
                  <w:overflowPunct w:val="0"/>
                  <w:autoSpaceDE w:val="0"/>
                  <w:autoSpaceDN w:val="0"/>
                  <w:adjustRightInd w:val="0"/>
                  <w:snapToGrid w:val="0"/>
                  <w:jc w:val="right"/>
                  <w:rPr>
                    <w:rFonts w:ascii="宋体" w:hAnsi="宋体"/>
                  </w:rPr>
                </w:pPr>
                <w:r w:rsidRPr="005C11CA">
                  <w:rPr>
                    <w:rFonts w:ascii="宋体" w:hAnsi="宋体"/>
                  </w:rPr>
                  <w:t>291,847</w:t>
                </w:r>
              </w:p>
            </w:tc>
            <w:tc>
              <w:tcPr>
                <w:tcW w:w="938" w:type="pct"/>
                <w:shd w:val="clear" w:color="auto" w:fill="auto"/>
                <w:vAlign w:val="center"/>
              </w:tcPr>
              <w:p w14:paraId="3240327F" w14:textId="3F500E16" w:rsidR="005C11CA" w:rsidRPr="005C11CA" w:rsidRDefault="005C11CA" w:rsidP="005C11CA">
                <w:pPr>
                  <w:kinsoku w:val="0"/>
                  <w:overflowPunct w:val="0"/>
                  <w:autoSpaceDE w:val="0"/>
                  <w:autoSpaceDN w:val="0"/>
                  <w:adjustRightInd w:val="0"/>
                  <w:snapToGrid w:val="0"/>
                  <w:jc w:val="right"/>
                  <w:rPr>
                    <w:rFonts w:ascii="宋体" w:hAnsi="宋体" w:cstheme="minorBidi"/>
                    <w:color w:val="008000"/>
                  </w:rPr>
                </w:pPr>
                <w:r w:rsidRPr="005C11CA">
                  <w:rPr>
                    <w:rFonts w:ascii="宋体" w:hAnsi="宋体"/>
                  </w:rPr>
                  <w:t>256,006</w:t>
                </w:r>
              </w:p>
            </w:tc>
          </w:tr>
          <w:tr w:rsidR="00DB2B05" w:rsidRPr="006D4FBA" w14:paraId="5EBFEEBE" w14:textId="77777777" w:rsidTr="005C11CA">
            <w:trPr>
              <w:jc w:val="center"/>
            </w:trPr>
            <w:tc>
              <w:tcPr>
                <w:tcW w:w="1243" w:type="pct"/>
                <w:shd w:val="clear" w:color="auto" w:fill="auto"/>
              </w:tcPr>
              <w:p w14:paraId="55CF4666" w14:textId="6B015899" w:rsidR="00DB2B05" w:rsidRPr="00DB2B05" w:rsidRDefault="00DB2B05" w:rsidP="00DB2B05">
                <w:pPr>
                  <w:kinsoku w:val="0"/>
                  <w:overflowPunct w:val="0"/>
                  <w:autoSpaceDE w:val="0"/>
                  <w:autoSpaceDN w:val="0"/>
                  <w:adjustRightInd w:val="0"/>
                  <w:snapToGrid w:val="0"/>
                  <w:rPr>
                    <w:rFonts w:ascii="宋体" w:hAnsi="宋体" w:cstheme="minorBidi"/>
                  </w:rPr>
                </w:pPr>
                <w:r w:rsidRPr="00DB2B05">
                  <w:rPr>
                    <w:rFonts w:ascii="宋体" w:hAnsi="宋体"/>
                  </w:rPr>
                  <w:t>4.永续资本债券</w:t>
                </w:r>
                <w:r w:rsidR="00A75FB7" w:rsidRPr="00A75FB7">
                  <w:rPr>
                    <w:rFonts w:ascii="宋体" w:hAnsi="宋体" w:hint="eastAsia"/>
                    <w:vertAlign w:val="superscript"/>
                  </w:rPr>
                  <w:t>③</w:t>
                </w:r>
              </w:p>
            </w:tc>
            <w:tc>
              <w:tcPr>
                <w:tcW w:w="939" w:type="pct"/>
                <w:shd w:val="clear" w:color="auto" w:fill="auto"/>
                <w:vAlign w:val="center"/>
              </w:tcPr>
              <w:p w14:paraId="0BCCAA4C" w14:textId="77777777" w:rsidR="00DB2B05" w:rsidRPr="005C11CA" w:rsidRDefault="00DB2B05" w:rsidP="001E3FBC">
                <w:pPr>
                  <w:kinsoku w:val="0"/>
                  <w:overflowPunct w:val="0"/>
                  <w:autoSpaceDE w:val="0"/>
                  <w:autoSpaceDN w:val="0"/>
                  <w:adjustRightInd w:val="0"/>
                  <w:snapToGrid w:val="0"/>
                  <w:jc w:val="right"/>
                  <w:rPr>
                    <w:rFonts w:ascii="宋体" w:hAnsi="宋体"/>
                  </w:rPr>
                </w:pPr>
              </w:p>
            </w:tc>
            <w:tc>
              <w:tcPr>
                <w:tcW w:w="940" w:type="pct"/>
                <w:shd w:val="clear" w:color="auto" w:fill="auto"/>
                <w:vAlign w:val="center"/>
              </w:tcPr>
              <w:p w14:paraId="45ADE706" w14:textId="77777777" w:rsidR="00DB2B05" w:rsidRPr="005C11CA" w:rsidRDefault="00DB2B05" w:rsidP="001E3FBC">
                <w:pPr>
                  <w:kinsoku w:val="0"/>
                  <w:overflowPunct w:val="0"/>
                  <w:autoSpaceDE w:val="0"/>
                  <w:autoSpaceDN w:val="0"/>
                  <w:adjustRightInd w:val="0"/>
                  <w:snapToGrid w:val="0"/>
                  <w:jc w:val="right"/>
                  <w:rPr>
                    <w:rFonts w:ascii="宋体" w:hAnsi="宋体"/>
                  </w:rPr>
                </w:pPr>
              </w:p>
            </w:tc>
            <w:tc>
              <w:tcPr>
                <w:tcW w:w="940" w:type="pct"/>
                <w:shd w:val="clear" w:color="auto" w:fill="auto"/>
                <w:vAlign w:val="center"/>
              </w:tcPr>
              <w:p w14:paraId="3B849A9C" w14:textId="584956C9" w:rsidR="00DB2B05" w:rsidRPr="005C11CA" w:rsidRDefault="00DB2B05" w:rsidP="001E3FBC">
                <w:pPr>
                  <w:kinsoku w:val="0"/>
                  <w:overflowPunct w:val="0"/>
                  <w:autoSpaceDE w:val="0"/>
                  <w:autoSpaceDN w:val="0"/>
                  <w:adjustRightInd w:val="0"/>
                  <w:snapToGrid w:val="0"/>
                  <w:jc w:val="right"/>
                  <w:rPr>
                    <w:rFonts w:ascii="宋体" w:hAnsi="宋体"/>
                  </w:rPr>
                </w:pPr>
                <w:r w:rsidRPr="005C11CA">
                  <w:rPr>
                    <w:rFonts w:ascii="宋体" w:hAnsi="宋体"/>
                  </w:rPr>
                  <w:t>11,379,189</w:t>
                </w:r>
              </w:p>
            </w:tc>
            <w:tc>
              <w:tcPr>
                <w:tcW w:w="938" w:type="pct"/>
                <w:shd w:val="clear" w:color="auto" w:fill="auto"/>
                <w:vAlign w:val="center"/>
              </w:tcPr>
              <w:p w14:paraId="692C2CCF" w14:textId="37167CF7" w:rsidR="00DB2B05" w:rsidRPr="005C11CA" w:rsidRDefault="00DB2B05" w:rsidP="001E3FBC">
                <w:pPr>
                  <w:kinsoku w:val="0"/>
                  <w:overflowPunct w:val="0"/>
                  <w:autoSpaceDE w:val="0"/>
                  <w:autoSpaceDN w:val="0"/>
                  <w:adjustRightInd w:val="0"/>
                  <w:snapToGrid w:val="0"/>
                  <w:jc w:val="right"/>
                  <w:rPr>
                    <w:rFonts w:ascii="宋体" w:hAnsi="宋体" w:cstheme="minorBidi"/>
                    <w:color w:val="008000"/>
                  </w:rPr>
                </w:pPr>
                <w:r w:rsidRPr="005C11CA">
                  <w:rPr>
                    <w:rFonts w:ascii="宋体" w:hAnsi="宋体"/>
                  </w:rPr>
                  <w:t>13,248,614</w:t>
                </w:r>
              </w:p>
            </w:tc>
          </w:tr>
          <w:tr w:rsidR="00DB2B05" w:rsidRPr="006D4FBA" w14:paraId="0510B497" w14:textId="77777777" w:rsidTr="005C11CA">
            <w:trPr>
              <w:jc w:val="center"/>
            </w:trPr>
            <w:tc>
              <w:tcPr>
                <w:tcW w:w="1243" w:type="pct"/>
                <w:shd w:val="clear" w:color="auto" w:fill="auto"/>
              </w:tcPr>
              <w:p w14:paraId="0436DE4C" w14:textId="717B5AAB" w:rsidR="00DB2B05" w:rsidRPr="00DB2B05" w:rsidRDefault="00DB2B05" w:rsidP="00DB2B05">
                <w:pPr>
                  <w:kinsoku w:val="0"/>
                  <w:overflowPunct w:val="0"/>
                  <w:autoSpaceDE w:val="0"/>
                  <w:autoSpaceDN w:val="0"/>
                  <w:adjustRightInd w:val="0"/>
                  <w:snapToGrid w:val="0"/>
                  <w:rPr>
                    <w:rFonts w:ascii="宋体" w:hAnsi="宋体" w:cstheme="minorBidi"/>
                  </w:rPr>
                </w:pPr>
                <w:r w:rsidRPr="00DB2B05">
                  <w:rPr>
                    <w:rFonts w:ascii="宋体" w:hAnsi="宋体"/>
                  </w:rPr>
                  <w:t>5.无形资产减值损失</w:t>
                </w:r>
                <w:r w:rsidR="00A75FB7" w:rsidRPr="00A75FB7">
                  <w:rPr>
                    <w:rFonts w:ascii="宋体" w:hAnsi="宋体" w:hint="eastAsia"/>
                    <w:vertAlign w:val="superscript"/>
                  </w:rPr>
                  <w:t>④</w:t>
                </w:r>
              </w:p>
            </w:tc>
            <w:tc>
              <w:tcPr>
                <w:tcW w:w="939" w:type="pct"/>
                <w:shd w:val="clear" w:color="auto" w:fill="auto"/>
                <w:vAlign w:val="center"/>
              </w:tcPr>
              <w:p w14:paraId="47FAB2F8" w14:textId="234A8A6A" w:rsidR="00DB2B05" w:rsidRPr="005C11CA" w:rsidRDefault="00DB2B05" w:rsidP="001E3FBC">
                <w:pPr>
                  <w:kinsoku w:val="0"/>
                  <w:overflowPunct w:val="0"/>
                  <w:autoSpaceDE w:val="0"/>
                  <w:autoSpaceDN w:val="0"/>
                  <w:adjustRightInd w:val="0"/>
                  <w:snapToGrid w:val="0"/>
                  <w:jc w:val="right"/>
                  <w:rPr>
                    <w:rFonts w:ascii="宋体" w:hAnsi="宋体"/>
                  </w:rPr>
                </w:pPr>
                <w:r w:rsidRPr="005C11CA">
                  <w:rPr>
                    <w:rFonts w:ascii="宋体" w:hAnsi="宋体"/>
                  </w:rPr>
                  <w:t>5,099</w:t>
                </w:r>
              </w:p>
            </w:tc>
            <w:tc>
              <w:tcPr>
                <w:tcW w:w="940" w:type="pct"/>
                <w:shd w:val="clear" w:color="auto" w:fill="auto"/>
                <w:vAlign w:val="center"/>
              </w:tcPr>
              <w:p w14:paraId="77B0B81F" w14:textId="7DACBA14" w:rsidR="00DB2B05" w:rsidRPr="005C11CA" w:rsidRDefault="00DB2B05" w:rsidP="001E3FBC">
                <w:pPr>
                  <w:kinsoku w:val="0"/>
                  <w:overflowPunct w:val="0"/>
                  <w:autoSpaceDE w:val="0"/>
                  <w:autoSpaceDN w:val="0"/>
                  <w:adjustRightInd w:val="0"/>
                  <w:snapToGrid w:val="0"/>
                  <w:jc w:val="right"/>
                  <w:rPr>
                    <w:rFonts w:ascii="宋体" w:hAnsi="宋体"/>
                  </w:rPr>
                </w:pPr>
                <w:r w:rsidRPr="005C11CA">
                  <w:rPr>
                    <w:rFonts w:ascii="宋体" w:hAnsi="宋体"/>
                  </w:rPr>
                  <w:t>5,099</w:t>
                </w:r>
              </w:p>
            </w:tc>
            <w:tc>
              <w:tcPr>
                <w:tcW w:w="940" w:type="pct"/>
                <w:shd w:val="clear" w:color="auto" w:fill="auto"/>
                <w:vAlign w:val="center"/>
              </w:tcPr>
              <w:p w14:paraId="519469E8" w14:textId="666B8C98" w:rsidR="00DB2B05" w:rsidRPr="005C11CA" w:rsidRDefault="00DB2B05" w:rsidP="001E3FBC">
                <w:pPr>
                  <w:kinsoku w:val="0"/>
                  <w:overflowPunct w:val="0"/>
                  <w:autoSpaceDE w:val="0"/>
                  <w:autoSpaceDN w:val="0"/>
                  <w:adjustRightInd w:val="0"/>
                  <w:snapToGrid w:val="0"/>
                  <w:jc w:val="right"/>
                  <w:rPr>
                    <w:rFonts w:ascii="宋体" w:hAnsi="宋体"/>
                  </w:rPr>
                </w:pPr>
                <w:r w:rsidRPr="005C11CA">
                  <w:rPr>
                    <w:rFonts w:ascii="宋体" w:hAnsi="宋体" w:hint="eastAsia"/>
                  </w:rPr>
                  <w:t>-</w:t>
                </w:r>
                <w:r w:rsidRPr="005C11CA">
                  <w:rPr>
                    <w:rFonts w:ascii="宋体" w:hAnsi="宋体"/>
                  </w:rPr>
                  <w:t>74,142</w:t>
                </w:r>
              </w:p>
            </w:tc>
            <w:tc>
              <w:tcPr>
                <w:tcW w:w="938" w:type="pct"/>
                <w:shd w:val="clear" w:color="auto" w:fill="auto"/>
                <w:vAlign w:val="center"/>
              </w:tcPr>
              <w:p w14:paraId="45AFD1CE" w14:textId="4DD5BC8E" w:rsidR="00DB2B05" w:rsidRPr="005C11CA" w:rsidRDefault="00DB2B05" w:rsidP="001E3FBC">
                <w:pPr>
                  <w:kinsoku w:val="0"/>
                  <w:overflowPunct w:val="0"/>
                  <w:autoSpaceDE w:val="0"/>
                  <w:autoSpaceDN w:val="0"/>
                  <w:adjustRightInd w:val="0"/>
                  <w:snapToGrid w:val="0"/>
                  <w:jc w:val="right"/>
                  <w:rPr>
                    <w:rFonts w:ascii="宋体" w:hAnsi="宋体" w:cstheme="minorBidi"/>
                    <w:color w:val="008000"/>
                  </w:rPr>
                </w:pPr>
                <w:r w:rsidRPr="005C11CA">
                  <w:rPr>
                    <w:rFonts w:ascii="宋体" w:hAnsi="宋体" w:hint="eastAsia"/>
                  </w:rPr>
                  <w:t>-</w:t>
                </w:r>
                <w:r w:rsidRPr="005C11CA">
                  <w:rPr>
                    <w:rFonts w:ascii="宋体" w:hAnsi="宋体"/>
                  </w:rPr>
                  <w:t>79,241</w:t>
                </w:r>
              </w:p>
            </w:tc>
          </w:tr>
          <w:tr w:rsidR="00DB2B05" w:rsidRPr="006D4FBA" w14:paraId="4D1224E0" w14:textId="77777777" w:rsidTr="005C11CA">
            <w:trPr>
              <w:jc w:val="center"/>
            </w:trPr>
            <w:tc>
              <w:tcPr>
                <w:tcW w:w="1243" w:type="pct"/>
                <w:shd w:val="clear" w:color="auto" w:fill="auto"/>
              </w:tcPr>
              <w:p w14:paraId="6CECB5C8" w14:textId="24523CAC" w:rsidR="00DB2B05" w:rsidRPr="00DB2B05" w:rsidRDefault="00DB2B05" w:rsidP="00DB2B05">
                <w:pPr>
                  <w:kinsoku w:val="0"/>
                  <w:overflowPunct w:val="0"/>
                  <w:autoSpaceDE w:val="0"/>
                  <w:autoSpaceDN w:val="0"/>
                  <w:adjustRightInd w:val="0"/>
                  <w:snapToGrid w:val="0"/>
                  <w:rPr>
                    <w:rFonts w:ascii="宋体" w:hAnsi="宋体" w:cstheme="minorBidi"/>
                  </w:rPr>
                </w:pPr>
                <w:r w:rsidRPr="00DB2B05">
                  <w:rPr>
                    <w:rFonts w:ascii="宋体" w:hAnsi="宋体"/>
                  </w:rPr>
                  <w:t>6.其他</w:t>
                </w:r>
              </w:p>
            </w:tc>
            <w:tc>
              <w:tcPr>
                <w:tcW w:w="939" w:type="pct"/>
                <w:shd w:val="clear" w:color="auto" w:fill="auto"/>
                <w:vAlign w:val="center"/>
              </w:tcPr>
              <w:p w14:paraId="5006AAF2" w14:textId="77777777" w:rsidR="00DB2B05" w:rsidRPr="005C11CA" w:rsidRDefault="00DB2B05" w:rsidP="001E3FBC">
                <w:pPr>
                  <w:kinsoku w:val="0"/>
                  <w:overflowPunct w:val="0"/>
                  <w:autoSpaceDE w:val="0"/>
                  <w:autoSpaceDN w:val="0"/>
                  <w:adjustRightInd w:val="0"/>
                  <w:snapToGrid w:val="0"/>
                  <w:jc w:val="right"/>
                  <w:rPr>
                    <w:rFonts w:ascii="宋体" w:hAnsi="宋体"/>
                  </w:rPr>
                </w:pPr>
              </w:p>
            </w:tc>
            <w:tc>
              <w:tcPr>
                <w:tcW w:w="940" w:type="pct"/>
                <w:shd w:val="clear" w:color="auto" w:fill="auto"/>
                <w:vAlign w:val="center"/>
              </w:tcPr>
              <w:p w14:paraId="2AD8F855" w14:textId="77777777" w:rsidR="00DB2B05" w:rsidRPr="005C11CA" w:rsidRDefault="00DB2B05" w:rsidP="001E3FBC">
                <w:pPr>
                  <w:kinsoku w:val="0"/>
                  <w:overflowPunct w:val="0"/>
                  <w:autoSpaceDE w:val="0"/>
                  <w:autoSpaceDN w:val="0"/>
                  <w:adjustRightInd w:val="0"/>
                  <w:snapToGrid w:val="0"/>
                  <w:jc w:val="right"/>
                  <w:rPr>
                    <w:rFonts w:ascii="宋体" w:hAnsi="宋体"/>
                  </w:rPr>
                </w:pPr>
              </w:p>
            </w:tc>
            <w:tc>
              <w:tcPr>
                <w:tcW w:w="940" w:type="pct"/>
                <w:shd w:val="clear" w:color="auto" w:fill="auto"/>
                <w:vAlign w:val="center"/>
              </w:tcPr>
              <w:p w14:paraId="60BB965D" w14:textId="6C01498B" w:rsidR="00DB2B05" w:rsidRPr="005C11CA" w:rsidRDefault="00DB2B05" w:rsidP="001E3FBC">
                <w:pPr>
                  <w:kinsoku w:val="0"/>
                  <w:overflowPunct w:val="0"/>
                  <w:autoSpaceDE w:val="0"/>
                  <w:autoSpaceDN w:val="0"/>
                  <w:adjustRightInd w:val="0"/>
                  <w:snapToGrid w:val="0"/>
                  <w:jc w:val="right"/>
                  <w:rPr>
                    <w:rFonts w:ascii="宋体" w:hAnsi="宋体"/>
                  </w:rPr>
                </w:pPr>
                <w:r w:rsidRPr="005C11CA">
                  <w:rPr>
                    <w:rFonts w:ascii="宋体" w:hAnsi="宋体"/>
                  </w:rPr>
                  <w:t>647,648</w:t>
                </w:r>
              </w:p>
            </w:tc>
            <w:tc>
              <w:tcPr>
                <w:tcW w:w="938" w:type="pct"/>
                <w:shd w:val="clear" w:color="auto" w:fill="auto"/>
                <w:vAlign w:val="center"/>
              </w:tcPr>
              <w:p w14:paraId="1784648D" w14:textId="30A072EB" w:rsidR="00DB2B05" w:rsidRPr="005C11CA" w:rsidRDefault="00DB2B05" w:rsidP="001E3FBC">
                <w:pPr>
                  <w:kinsoku w:val="0"/>
                  <w:overflowPunct w:val="0"/>
                  <w:autoSpaceDE w:val="0"/>
                  <w:autoSpaceDN w:val="0"/>
                  <w:adjustRightInd w:val="0"/>
                  <w:snapToGrid w:val="0"/>
                  <w:jc w:val="right"/>
                  <w:rPr>
                    <w:rFonts w:ascii="宋体" w:hAnsi="宋体" w:cstheme="minorBidi"/>
                    <w:color w:val="008000"/>
                  </w:rPr>
                </w:pPr>
                <w:r w:rsidRPr="005C11CA">
                  <w:rPr>
                    <w:rFonts w:ascii="宋体" w:hAnsi="宋体"/>
                  </w:rPr>
                  <w:t>647,648</w:t>
                </w:r>
              </w:p>
            </w:tc>
          </w:tr>
          <w:tr w:rsidR="001E3FBC" w:rsidRPr="006D4FBA" w14:paraId="3AE1A0DE" w14:textId="77777777" w:rsidTr="005C11CA">
            <w:trPr>
              <w:jc w:val="center"/>
            </w:trPr>
            <w:sdt>
              <w:sdtPr>
                <w:tag w:val="_PLD_ba6cdca7ac7c4cd8a41587f1b9e598fc"/>
                <w:id w:val="392469186"/>
                <w:lock w:val="sdtLocked"/>
              </w:sdtPr>
              <w:sdtEndPr/>
              <w:sdtContent>
                <w:tc>
                  <w:tcPr>
                    <w:tcW w:w="1243" w:type="pct"/>
                  </w:tcPr>
                  <w:p w14:paraId="0A8F7A8A" w14:textId="77777777" w:rsidR="001E3FBC" w:rsidRPr="006D4FBA" w:rsidRDefault="001E3FBC" w:rsidP="001E3FBC">
                    <w:pPr>
                      <w:kinsoku w:val="0"/>
                      <w:overflowPunct w:val="0"/>
                      <w:autoSpaceDE w:val="0"/>
                      <w:autoSpaceDN w:val="0"/>
                      <w:adjustRightInd w:val="0"/>
                      <w:snapToGrid w:val="0"/>
                      <w:rPr>
                        <w:rFonts w:ascii="宋体" w:hAnsi="宋体"/>
                        <w:color w:val="000000"/>
                      </w:rPr>
                    </w:pPr>
                    <w:r w:rsidRPr="006D4FBA">
                      <w:rPr>
                        <w:rFonts w:ascii="宋体" w:hAnsi="宋体" w:hint="eastAsia"/>
                      </w:rPr>
                      <w:t>按国际会计准则</w:t>
                    </w:r>
                  </w:p>
                </w:tc>
              </w:sdtContent>
            </w:sdt>
            <w:tc>
              <w:tcPr>
                <w:tcW w:w="939" w:type="pct"/>
                <w:tcBorders>
                  <w:top w:val="single" w:sz="4" w:space="0" w:color="auto"/>
                  <w:left w:val="single" w:sz="4" w:space="0" w:color="auto"/>
                  <w:bottom w:val="single" w:sz="4" w:space="0" w:color="auto"/>
                  <w:right w:val="single" w:sz="4" w:space="0" w:color="auto"/>
                </w:tcBorders>
                <w:vAlign w:val="center"/>
              </w:tcPr>
              <w:p w14:paraId="3D5CB602" w14:textId="417DFF16" w:rsidR="001E3FBC" w:rsidRPr="005C11CA" w:rsidRDefault="001E3FBC" w:rsidP="001E3FBC">
                <w:pPr>
                  <w:kinsoku w:val="0"/>
                  <w:overflowPunct w:val="0"/>
                  <w:autoSpaceDE w:val="0"/>
                  <w:autoSpaceDN w:val="0"/>
                  <w:adjustRightInd w:val="0"/>
                  <w:snapToGrid w:val="0"/>
                  <w:jc w:val="right"/>
                  <w:rPr>
                    <w:rFonts w:ascii="宋体" w:hAnsi="宋体"/>
                  </w:rPr>
                </w:pPr>
                <w:r w:rsidRPr="005C11CA">
                  <w:rPr>
                    <w:rFonts w:ascii="宋体" w:hAnsi="宋体" w:hint="eastAsia"/>
                  </w:rPr>
                  <w:t>10,318,598</w:t>
                </w:r>
              </w:p>
            </w:tc>
            <w:tc>
              <w:tcPr>
                <w:tcW w:w="940" w:type="pct"/>
                <w:tcBorders>
                  <w:top w:val="single" w:sz="4" w:space="0" w:color="auto"/>
                  <w:left w:val="single" w:sz="4" w:space="0" w:color="auto"/>
                  <w:bottom w:val="single" w:sz="4" w:space="0" w:color="auto"/>
                  <w:right w:val="single" w:sz="4" w:space="0" w:color="auto"/>
                </w:tcBorders>
                <w:vAlign w:val="center"/>
              </w:tcPr>
              <w:p w14:paraId="28BF3535" w14:textId="19AFB7E6" w:rsidR="001E3FBC" w:rsidRPr="005C11CA" w:rsidRDefault="001E3FBC" w:rsidP="001E3FBC">
                <w:pPr>
                  <w:kinsoku w:val="0"/>
                  <w:overflowPunct w:val="0"/>
                  <w:autoSpaceDE w:val="0"/>
                  <w:autoSpaceDN w:val="0"/>
                  <w:adjustRightInd w:val="0"/>
                  <w:snapToGrid w:val="0"/>
                  <w:jc w:val="right"/>
                  <w:rPr>
                    <w:rFonts w:ascii="宋体" w:hAnsi="宋体"/>
                    <w:bCs/>
                  </w:rPr>
                </w:pPr>
                <w:r w:rsidRPr="005C11CA">
                  <w:rPr>
                    <w:rFonts w:ascii="宋体" w:hAnsi="宋体" w:hint="eastAsia"/>
                    <w:bCs/>
                  </w:rPr>
                  <w:t>18,453,733</w:t>
                </w:r>
              </w:p>
            </w:tc>
            <w:tc>
              <w:tcPr>
                <w:tcW w:w="940" w:type="pct"/>
                <w:tcBorders>
                  <w:top w:val="single" w:sz="4" w:space="0" w:color="auto"/>
                  <w:left w:val="single" w:sz="4" w:space="0" w:color="auto"/>
                  <w:bottom w:val="single" w:sz="4" w:space="0" w:color="auto"/>
                  <w:right w:val="single" w:sz="4" w:space="0" w:color="auto"/>
                </w:tcBorders>
                <w:vAlign w:val="center"/>
              </w:tcPr>
              <w:p w14:paraId="4A68FADC" w14:textId="13BD4448" w:rsidR="001E3FBC" w:rsidRPr="005C11CA" w:rsidRDefault="008D5582" w:rsidP="001E3FBC">
                <w:pPr>
                  <w:kinsoku w:val="0"/>
                  <w:overflowPunct w:val="0"/>
                  <w:autoSpaceDE w:val="0"/>
                  <w:autoSpaceDN w:val="0"/>
                  <w:adjustRightInd w:val="0"/>
                  <w:snapToGrid w:val="0"/>
                  <w:ind w:leftChars="200" w:left="420"/>
                  <w:jc w:val="right"/>
                  <w:rPr>
                    <w:rFonts w:ascii="宋体" w:hAnsi="宋体"/>
                  </w:rPr>
                </w:pPr>
                <w:r w:rsidRPr="008D5582">
                  <w:rPr>
                    <w:rFonts w:ascii="宋体" w:hAnsi="宋体"/>
                    <w:bCs/>
                  </w:rPr>
                  <w:t>79,762</w:t>
                </w:r>
                <w:r w:rsidR="006E2673">
                  <w:rPr>
                    <w:rFonts w:ascii="宋体" w:hAnsi="宋体" w:hint="eastAsia"/>
                    <w:bCs/>
                  </w:rPr>
                  <w:t>,</w:t>
                </w:r>
                <w:r w:rsidRPr="008D5582">
                  <w:rPr>
                    <w:rFonts w:ascii="宋体" w:hAnsi="宋体"/>
                    <w:bCs/>
                  </w:rPr>
                  <w:t>651</w:t>
                </w:r>
              </w:p>
            </w:tc>
            <w:tc>
              <w:tcPr>
                <w:tcW w:w="938" w:type="pct"/>
                <w:tcBorders>
                  <w:top w:val="single" w:sz="4" w:space="0" w:color="auto"/>
                  <w:left w:val="single" w:sz="4" w:space="0" w:color="auto"/>
                  <w:bottom w:val="single" w:sz="4" w:space="0" w:color="auto"/>
                  <w:right w:val="single" w:sz="4" w:space="0" w:color="auto"/>
                </w:tcBorders>
                <w:vAlign w:val="center"/>
              </w:tcPr>
              <w:p w14:paraId="386CA423" w14:textId="6DE001D2" w:rsidR="001E3FBC" w:rsidRPr="005C11CA" w:rsidRDefault="001E3FBC" w:rsidP="001E3FBC">
                <w:pPr>
                  <w:tabs>
                    <w:tab w:val="left" w:pos="1594"/>
                  </w:tabs>
                  <w:kinsoku w:val="0"/>
                  <w:overflowPunct w:val="0"/>
                  <w:autoSpaceDE w:val="0"/>
                  <w:autoSpaceDN w:val="0"/>
                  <w:adjustRightInd w:val="0"/>
                  <w:snapToGrid w:val="0"/>
                  <w:jc w:val="right"/>
                  <w:rPr>
                    <w:rFonts w:ascii="宋体" w:hAnsi="宋体"/>
                    <w:bCs/>
                  </w:rPr>
                </w:pPr>
                <w:r w:rsidRPr="005C11CA">
                  <w:rPr>
                    <w:rFonts w:ascii="宋体" w:hAnsi="宋体" w:hint="eastAsia"/>
                  </w:rPr>
                  <w:t>89,852,379</w:t>
                </w:r>
              </w:p>
            </w:tc>
          </w:tr>
        </w:tbl>
        <w:p w14:paraId="7CE5296E" w14:textId="77777777" w:rsidR="00B201D3" w:rsidRPr="006D4FBA" w:rsidRDefault="00C8327E">
          <w:pPr>
            <w:pStyle w:val="3903"/>
          </w:pPr>
        </w:p>
      </w:sdtContent>
    </w:sdt>
    <w:sdt>
      <w:sdtPr>
        <w:rPr>
          <w:rFonts w:ascii="宋体" w:hAnsi="宋体" w:cs="宋体"/>
          <w:b w:val="0"/>
          <w:bCs w:val="0"/>
          <w:kern w:val="0"/>
          <w:szCs w:val="22"/>
        </w:rPr>
        <w:alias w:val="模块:同时按照境外会计准则与按中国会计准则披露的差异"/>
        <w:tag w:val="_GBC_2f705e4eae72458eb00a3440cec6f7c7"/>
        <w:id w:val="1702281621"/>
        <w:lock w:val="sdtLocked"/>
        <w:placeholder>
          <w:docPart w:val="GBC22222222222222222222222222222"/>
        </w:placeholder>
      </w:sdtPr>
      <w:sdtEndPr>
        <w:rPr>
          <w:szCs w:val="21"/>
        </w:rPr>
      </w:sdtEndPr>
      <w:sdtContent>
        <w:p w14:paraId="7E73576B" w14:textId="77777777" w:rsidR="00B201D3" w:rsidRPr="006D4FBA" w:rsidRDefault="009855E8">
          <w:pPr>
            <w:pStyle w:val="3"/>
            <w:numPr>
              <w:ilvl w:val="0"/>
              <w:numId w:val="5"/>
            </w:numPr>
            <w:rPr>
              <w:rFonts w:ascii="宋体" w:hAnsi="宋体"/>
            </w:rPr>
          </w:pPr>
          <w:r w:rsidRPr="006D4FBA">
            <w:rPr>
              <w:rFonts w:ascii="宋体" w:hAnsi="宋体"/>
            </w:rPr>
            <w:t>同时按照境外会计准则与按中国会计准则披露的财务报告中净利润和</w:t>
          </w:r>
          <w:r w:rsidRPr="006D4FBA">
            <w:rPr>
              <w:rFonts w:ascii="宋体" w:hAnsi="宋体" w:hint="eastAsia"/>
            </w:rPr>
            <w:t>归</w:t>
          </w:r>
          <w:r w:rsidRPr="006D4FBA">
            <w:rPr>
              <w:rFonts w:ascii="宋体" w:hAnsi="宋体"/>
            </w:rPr>
            <w:t>属于上市公司股东的净资产差异情况</w:t>
          </w:r>
        </w:p>
        <w:sdt>
          <w:sdtPr>
            <w:alias w:val="是否适用：同时按照境外会计准则与按中国会计准则披露的财务报告中净利润和净资产差异情况[双击切换]"/>
            <w:tag w:val="_GBC_5c3657028afa4856ae676bad317ac6b1"/>
            <w:id w:val="1224406132"/>
            <w:lock w:val="sdtLocked"/>
            <w:placeholder>
              <w:docPart w:val="GBC22222222222222222222222222222"/>
            </w:placeholder>
          </w:sdtPr>
          <w:sdtEndPr/>
          <w:sdtContent>
            <w:p w14:paraId="29EDAAD2" w14:textId="77777777" w:rsidR="00B201D3" w:rsidRPr="006D4FBA" w:rsidRDefault="009855E8">
              <w:pPr>
                <w:pStyle w:val="3903"/>
              </w:pPr>
              <w:r w:rsidRPr="006D4FBA">
                <w:fldChar w:fldCharType="begin"/>
              </w:r>
              <w:r w:rsidRPr="006D4FBA">
                <w:instrText xml:space="preserve"> MACROBUTTON  SnrToggleCheckbox □适用 </w:instrText>
              </w:r>
              <w:r w:rsidRPr="006D4FBA">
                <w:fldChar w:fldCharType="end"/>
              </w:r>
              <w:r w:rsidRPr="006D4FBA">
                <w:fldChar w:fldCharType="begin"/>
              </w:r>
              <w:r w:rsidRPr="006D4FBA">
                <w:instrText xml:space="preserve"> MACROBUTTON  SnrToggleCheckbox √不适用 </w:instrText>
              </w:r>
              <w:r w:rsidRPr="006D4FBA">
                <w:fldChar w:fldCharType="end"/>
              </w:r>
            </w:p>
          </w:sdtContent>
        </w:sdt>
      </w:sdtContent>
    </w:sdt>
    <w:sdt>
      <w:sdtPr>
        <w:rPr>
          <w:rFonts w:ascii="宋体" w:hAnsi="宋体" w:cs="宋体"/>
          <w:b w:val="0"/>
          <w:bCs w:val="0"/>
          <w:kern w:val="0"/>
          <w:szCs w:val="22"/>
        </w:rPr>
        <w:alias w:val="模块:境内外会计准则差异的说明"/>
        <w:tag w:val="_GBC_b29c1fea910b4dfca31323fe84213a44"/>
        <w:id w:val="1744296316"/>
        <w:lock w:val="sdtLocked"/>
        <w:placeholder>
          <w:docPart w:val="GBC22222222222222222222222222222"/>
        </w:placeholder>
      </w:sdtPr>
      <w:sdtEndPr>
        <w:rPr>
          <w:szCs w:val="21"/>
        </w:rPr>
      </w:sdtEndPr>
      <w:sdtContent>
        <w:p w14:paraId="1DBEF303" w14:textId="77777777" w:rsidR="00B201D3" w:rsidRPr="006D4FBA" w:rsidRDefault="009855E8">
          <w:pPr>
            <w:pStyle w:val="3"/>
            <w:numPr>
              <w:ilvl w:val="0"/>
              <w:numId w:val="5"/>
            </w:numPr>
            <w:rPr>
              <w:rFonts w:ascii="宋体" w:hAnsi="宋体"/>
            </w:rPr>
          </w:pPr>
          <w:r w:rsidRPr="006D4FBA">
            <w:rPr>
              <w:rFonts w:ascii="宋体" w:hAnsi="宋体"/>
            </w:rPr>
            <w:t>境内外会计准则差异的说明：</w:t>
          </w:r>
        </w:p>
        <w:sdt>
          <w:sdtPr>
            <w:alias w:val="是否适用：境内外会计准则差异的说明[双击切换]"/>
            <w:tag w:val="_GBC_3d955fa1dbd946d48d6214dc2ab5669f"/>
            <w:id w:val="-966666492"/>
            <w:lock w:val="sdtLocked"/>
            <w:placeholder>
              <w:docPart w:val="GBC22222222222222222222222222222"/>
            </w:placeholder>
          </w:sdtPr>
          <w:sdtEndPr/>
          <w:sdtContent>
            <w:p w14:paraId="417D80D3" w14:textId="77777777" w:rsidR="00B201D3" w:rsidRPr="006D4FBA" w:rsidRDefault="009855E8">
              <w:pPr>
                <w:pStyle w:val="3903"/>
              </w:pPr>
              <w:r w:rsidRPr="006D4FBA">
                <w:fldChar w:fldCharType="begin"/>
              </w:r>
              <w:r w:rsidRPr="006D4FBA">
                <w:instrText xml:space="preserve"> MACROBUTTON  SnrToggleCheckbox √适用 </w:instrText>
              </w:r>
              <w:r w:rsidRPr="006D4FBA">
                <w:fldChar w:fldCharType="end"/>
              </w:r>
              <w:r w:rsidRPr="006D4FBA">
                <w:fldChar w:fldCharType="begin"/>
              </w:r>
              <w:r w:rsidRPr="006D4FBA">
                <w:instrText xml:space="preserve"> MACROBUTTON  SnrToggleCheckbox □不适用 </w:instrText>
              </w:r>
              <w:r w:rsidRPr="006D4FBA">
                <w:fldChar w:fldCharType="end"/>
              </w:r>
            </w:p>
          </w:sdtContent>
        </w:sdt>
        <w:sdt>
          <w:sdtPr>
            <w:alias w:val="国内外会计准则差异的说明"/>
            <w:tag w:val="_GBC_4504a362785b41d08475c32028895cba"/>
            <w:id w:val="614562963"/>
            <w:lock w:val="sdtLocked"/>
            <w:placeholder>
              <w:docPart w:val="GBC22222222222222222222222222222"/>
            </w:placeholder>
          </w:sdtPr>
          <w:sdtEndPr/>
          <w:sdtContent>
            <w:p w14:paraId="335D3819" w14:textId="3A7869E8" w:rsidR="00773B77" w:rsidRDefault="00773B77" w:rsidP="00773B77">
              <w:pPr>
                <w:pStyle w:val="3903"/>
                <w:ind w:firstLineChars="200" w:firstLine="420"/>
                <w:jc w:val="both"/>
              </w:pPr>
              <w:r>
                <w:rPr>
                  <w:rFonts w:hint="eastAsia"/>
                </w:rPr>
                <w:t>①</w:t>
              </w:r>
              <w:r>
                <w:t>根据中国会计准则，从山东能源收购的有关资产和子公司为同一控制下的企业合并，被合并方的资产和负债以在合并日被合并方的账面价值计量；本公司取得的净资产账面价值与支付的合并对价的差额，调整资本公积。而根据国际财务报告准则，被购买方按公允价值确认在购买日的各项可辨认资产、负债及或有负债；购买方的合并成本大于被购买方在购买日可辨认净资产公允价值份额的差额，确认为商誉。</w:t>
              </w:r>
            </w:p>
            <w:p w14:paraId="1A3DF100" w14:textId="495D4BC6" w:rsidR="00773B77" w:rsidRDefault="00773B77" w:rsidP="00773B77">
              <w:pPr>
                <w:pStyle w:val="3903"/>
                <w:ind w:firstLineChars="200" w:firstLine="420"/>
                <w:jc w:val="both"/>
              </w:pPr>
              <w:r>
                <w:rPr>
                  <w:rFonts w:hint="eastAsia"/>
                </w:rPr>
                <w:t>②</w:t>
              </w:r>
              <w:r>
                <w:t>按中国政府相关机构的有关规定，煤炭企业应根据煤炭产量计提维简费、生产安全费及其他类似性质的费用，记入当期费用并在所有者权益中的专项储备单独反映。按规定范围使用专项储备形成固定资产时，应在计入相关资产成本的同时全额结转累计折旧。而按国际财务报告准则，这些费用应于发生时确认，相关资本性支出于发生时确认为固定资产，按相应的折旧方法计提折旧。</w:t>
              </w:r>
            </w:p>
            <w:p w14:paraId="55534DAA" w14:textId="42EB3566" w:rsidR="00773B77" w:rsidRDefault="00773B77" w:rsidP="00773B77">
              <w:pPr>
                <w:pStyle w:val="3903"/>
                <w:ind w:firstLineChars="200" w:firstLine="420"/>
                <w:jc w:val="both"/>
              </w:pPr>
              <w:r>
                <w:rPr>
                  <w:rFonts w:hint="eastAsia"/>
                </w:rPr>
                <w:t>③</w:t>
              </w:r>
              <w:r>
                <w:t>根据中国会计准则，母公司发行的永续资本债券在报表中列示于归属于母公司的所有者权益中，子公司发行的永续资本债券在报表中列示于少数股东权益，而在国际准则中需要在权益变动表单独列示。</w:t>
              </w:r>
            </w:p>
            <w:p w14:paraId="77D7433A" w14:textId="5DFBF175" w:rsidR="00773B77" w:rsidRDefault="00773B77" w:rsidP="00773B77">
              <w:pPr>
                <w:pStyle w:val="3903"/>
                <w:ind w:firstLineChars="200" w:firstLine="420"/>
                <w:jc w:val="both"/>
              </w:pPr>
              <w:r>
                <w:rPr>
                  <w:rFonts w:hint="eastAsia"/>
                </w:rPr>
                <w:t>④</w:t>
              </w:r>
              <w:r>
                <w:t>根据中国会计准则，长期资产减值准备一经确认，不得转回，在国际准则下，长期资产减值准备可以转回。</w:t>
              </w:r>
            </w:p>
            <w:p w14:paraId="06C3E41D" w14:textId="12757441" w:rsidR="00B201D3" w:rsidRPr="006D4FBA" w:rsidRDefault="00773B77" w:rsidP="00773B77">
              <w:pPr>
                <w:pStyle w:val="3903"/>
                <w:ind w:firstLineChars="200" w:firstLine="420"/>
                <w:jc w:val="both"/>
              </w:pPr>
              <w:r>
                <w:rPr>
                  <w:rFonts w:hint="eastAsia"/>
                </w:rPr>
                <w:t>⑤</w:t>
              </w:r>
              <w:r>
                <w:t>上述准则差异同时带来税务及少数股东权益的影响差异。</w:t>
              </w:r>
            </w:p>
          </w:sdtContent>
        </w:sdt>
      </w:sdtContent>
    </w:sdt>
    <w:p w14:paraId="2412EEA0" w14:textId="77777777" w:rsidR="00B201D3" w:rsidRPr="006D4FBA" w:rsidRDefault="00B201D3">
      <w:pPr>
        <w:pStyle w:val="3903"/>
      </w:pPr>
    </w:p>
    <w:bookmarkStart w:id="20" w:name="_Hlk10207943" w:displacedByCustomXml="next"/>
    <w:bookmarkStart w:id="21" w:name="_Hlk143759413" w:displacedByCustomXml="next"/>
    <w:bookmarkStart w:id="22" w:name="_Hlk106610622" w:displacedByCustomXml="next"/>
    <w:sdt>
      <w:sdtPr>
        <w:rPr>
          <w:rFonts w:ascii="宋体" w:hAnsi="宋体" w:cs="宋体"/>
          <w:b w:val="0"/>
          <w:bCs w:val="0"/>
          <w:kern w:val="0"/>
        </w:rPr>
        <w:alias w:val="模块:非经常性损益项目和金额"/>
        <w:tag w:val="_SEC_6b3a30f21554473ebcafb7d5a1e81dd0"/>
        <w:id w:val="-5983139"/>
        <w:lock w:val="sdtLocked"/>
        <w:placeholder>
          <w:docPart w:val="GBC22222222222222222222222222222"/>
        </w:placeholder>
      </w:sdtPr>
      <w:sdtEndPr/>
      <w:sdtContent>
        <w:bookmarkEnd w:id="20" w:displacedByCustomXml="prev"/>
        <w:p w14:paraId="5EB9BB62" w14:textId="77777777" w:rsidR="008B184A" w:rsidRDefault="008B184A" w:rsidP="008B184A">
          <w:pPr>
            <w:pStyle w:val="2"/>
            <w:numPr>
              <w:ilvl w:val="0"/>
              <w:numId w:val="3"/>
            </w:numPr>
            <w:ind w:firstLineChars="0"/>
          </w:pPr>
          <w:r>
            <w:t>非经常性损益项目和金额</w:t>
          </w:r>
        </w:p>
        <w:sdt>
          <w:sdtPr>
            <w:alias w:val="是否适用：扣除非经常性损益项目和金额[双击切换]"/>
            <w:tag w:val="_GBC_bc78671916014205bbfc392258152912"/>
            <w:id w:val="-452723171"/>
            <w:lock w:val="sdtLocked"/>
          </w:sdtPr>
          <w:sdtEndPr/>
          <w:sdtContent>
            <w:p w14:paraId="1656803C" w14:textId="77777777" w:rsidR="008B184A" w:rsidRDefault="008B184A">
              <w:r>
                <w:fldChar w:fldCharType="begin"/>
              </w:r>
              <w:r>
                <w:instrText xml:space="preserve"> MACROBUTTON SnrToggleCheckbox √适用 </w:instrText>
              </w:r>
              <w:r>
                <w:fldChar w:fldCharType="end"/>
              </w:r>
              <w:r>
                <w:fldChar w:fldCharType="begin"/>
              </w:r>
              <w:r>
                <w:instrText xml:space="preserve">MACROBUTTON  SnrToggleCheckbox □不适用 </w:instrText>
              </w:r>
              <w:r>
                <w:fldChar w:fldCharType="end"/>
              </w:r>
            </w:p>
          </w:sdtContent>
        </w:sdt>
        <w:p w14:paraId="0F824B47" w14:textId="77777777" w:rsidR="008B184A" w:rsidRDefault="008B184A">
          <w:pPr>
            <w:jc w:val="right"/>
          </w:pPr>
          <w:r>
            <w:rPr>
              <w:rFonts w:hint="eastAsia"/>
            </w:rPr>
            <w:t>单位:</w:t>
          </w:r>
          <w:sdt>
            <w:sdtPr>
              <w:rPr>
                <w:rFonts w:hint="eastAsia"/>
              </w:rPr>
              <w:alias w:val="单位：扣除非经常性损益项目和金额"/>
              <w:tag w:val="_GBC_4497c66c3489445f8a80354fda58d159"/>
              <w:id w:val="423229402"/>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千元</w:t>
              </w:r>
            </w:sdtContent>
          </w:sdt>
          <w:r>
            <w:rPr>
              <w:rFonts w:hint="eastAsia"/>
            </w:rPr>
            <w:t xml:space="preserve">  币种:</w:t>
          </w:r>
          <w:sdt>
            <w:sdtPr>
              <w:rPr>
                <w:rFonts w:hint="eastAsia"/>
              </w:rPr>
              <w:alias w:val="币种：扣除非经常性损益项目和金额"/>
              <w:tag w:val="_GBC_2aa6121c6e8246c1ac7efaa703bbb535"/>
              <w:id w:val="-59879154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p>
        <w:tbl>
          <w:tblPr>
            <w:tblStyle w:val="af9"/>
            <w:tblW w:w="0" w:type="auto"/>
            <w:tblLook w:val="04A0" w:firstRow="1" w:lastRow="0" w:firstColumn="1" w:lastColumn="0" w:noHBand="0" w:noVBand="1"/>
          </w:tblPr>
          <w:tblGrid>
            <w:gridCol w:w="4752"/>
            <w:gridCol w:w="4071"/>
          </w:tblGrid>
          <w:tr w:rsidR="008B184A" w14:paraId="28F625C6" w14:textId="77777777" w:rsidTr="0082664B">
            <w:sdt>
              <w:sdtPr>
                <w:rPr>
                  <w:rFonts w:ascii="宋体" w:hAnsi="宋体"/>
                </w:rPr>
                <w:tag w:val="_PLD_dd0f021143b049e192aaf03bb11e14c9"/>
                <w:id w:val="225729167"/>
                <w:lock w:val="sdtLocked"/>
              </w:sdtPr>
              <w:sdtEndPr/>
              <w:sdtContent>
                <w:tc>
                  <w:tcPr>
                    <w:tcW w:w="4877" w:type="dxa"/>
                  </w:tcPr>
                  <w:p w14:paraId="40E9CB23" w14:textId="77777777" w:rsidR="008B184A" w:rsidRDefault="008B184A" w:rsidP="0082664B">
                    <w:pPr>
                      <w:pStyle w:val="aff2"/>
                      <w:ind w:firstLineChars="0" w:firstLine="0"/>
                      <w:jc w:val="center"/>
                      <w:rPr>
                        <w:rFonts w:ascii="宋体" w:hAnsi="宋体"/>
                      </w:rPr>
                    </w:pPr>
                    <w:r>
                      <w:rPr>
                        <w:rFonts w:ascii="宋体" w:hAnsi="宋体" w:hint="eastAsia"/>
                      </w:rPr>
                      <w:t>非经常性损益项目</w:t>
                    </w:r>
                  </w:p>
                </w:tc>
              </w:sdtContent>
            </w:sdt>
            <w:sdt>
              <w:sdtPr>
                <w:rPr>
                  <w:rFonts w:ascii="宋体" w:hAnsi="宋体"/>
                </w:rPr>
                <w:tag w:val="_PLD_25148e78c70c4fef9bce211e92400e27"/>
                <w:id w:val="1778904575"/>
                <w:lock w:val="sdtLocked"/>
              </w:sdtPr>
              <w:sdtEndPr/>
              <w:sdtContent>
                <w:tc>
                  <w:tcPr>
                    <w:tcW w:w="4171" w:type="dxa"/>
                  </w:tcPr>
                  <w:p w14:paraId="6422DFF2" w14:textId="77777777" w:rsidR="008B184A" w:rsidRDefault="008B184A" w:rsidP="0082664B">
                    <w:pPr>
                      <w:pStyle w:val="aff2"/>
                      <w:ind w:firstLineChars="0" w:firstLine="0"/>
                      <w:jc w:val="center"/>
                      <w:rPr>
                        <w:rFonts w:ascii="宋体" w:hAnsi="宋体"/>
                      </w:rPr>
                    </w:pPr>
                    <w:r>
                      <w:rPr>
                        <w:rFonts w:ascii="宋体" w:hAnsi="宋体" w:hint="eastAsia"/>
                      </w:rPr>
                      <w:t>金额</w:t>
                    </w:r>
                  </w:p>
                </w:tc>
              </w:sdtContent>
            </w:sdt>
          </w:tr>
          <w:tr w:rsidR="008B184A" w14:paraId="549EA4F4" w14:textId="77777777" w:rsidTr="0082664B">
            <w:sdt>
              <w:sdtPr>
                <w:rPr>
                  <w:rFonts w:ascii="宋体" w:hAnsi="宋体"/>
                </w:rPr>
                <w:tag w:val="_PLD_6a118f38a13d4b0183ea52b44d633f3b"/>
                <w:id w:val="-1327122819"/>
                <w:lock w:val="sdtLocked"/>
              </w:sdtPr>
              <w:sdtEndPr/>
              <w:sdtContent>
                <w:tc>
                  <w:tcPr>
                    <w:tcW w:w="4877" w:type="dxa"/>
                  </w:tcPr>
                  <w:p w14:paraId="0613F520" w14:textId="77777777" w:rsidR="008B184A" w:rsidRDefault="008B184A" w:rsidP="0082664B">
                    <w:pPr>
                      <w:pStyle w:val="aff2"/>
                      <w:ind w:firstLineChars="0" w:firstLine="0"/>
                      <w:jc w:val="left"/>
                      <w:rPr>
                        <w:rFonts w:ascii="宋体" w:hAnsi="宋体"/>
                      </w:rPr>
                    </w:pPr>
                    <w:r>
                      <w:rPr>
                        <w:rFonts w:ascii="宋体" w:hAnsi="宋体"/>
                      </w:rPr>
                      <w:t>非流动资产处置损益</w:t>
                    </w:r>
                  </w:p>
                </w:tc>
              </w:sdtContent>
            </w:sdt>
            <w:tc>
              <w:tcPr>
                <w:tcW w:w="4171" w:type="dxa"/>
                <w:vAlign w:val="center"/>
              </w:tcPr>
              <w:p w14:paraId="46AF7815" w14:textId="77777777" w:rsidR="008B184A" w:rsidRPr="008B184A" w:rsidRDefault="008B184A" w:rsidP="0082664B">
                <w:pPr>
                  <w:jc w:val="right"/>
                  <w:rPr>
                    <w:rFonts w:ascii="宋体" w:hAnsi="宋体"/>
                  </w:rPr>
                </w:pPr>
                <w:r w:rsidRPr="008B184A">
                  <w:rPr>
                    <w:rFonts w:ascii="宋体" w:hAnsi="宋体" w:hint="eastAsia"/>
                  </w:rPr>
                  <w:t>5,190</w:t>
                </w:r>
              </w:p>
            </w:tc>
          </w:tr>
          <w:tr w:rsidR="008B184A" w14:paraId="26506EC5" w14:textId="77777777" w:rsidTr="0082664B">
            <w:sdt>
              <w:sdtPr>
                <w:rPr>
                  <w:rFonts w:ascii="宋体" w:hAnsi="宋体"/>
                </w:rPr>
                <w:tag w:val="_PLD_30c310b702c14efda840649e76632a09"/>
                <w:id w:val="1281452081"/>
                <w:lock w:val="sdtLocked"/>
              </w:sdtPr>
              <w:sdtEndPr/>
              <w:sdtContent>
                <w:tc>
                  <w:tcPr>
                    <w:tcW w:w="4877" w:type="dxa"/>
                  </w:tcPr>
                  <w:p w14:paraId="18D6AE17" w14:textId="77777777" w:rsidR="008B184A" w:rsidRDefault="008B184A" w:rsidP="0082664B">
                    <w:pPr>
                      <w:pStyle w:val="aff2"/>
                      <w:ind w:firstLineChars="0" w:firstLine="0"/>
                      <w:jc w:val="left"/>
                      <w:rPr>
                        <w:rFonts w:ascii="宋体" w:hAnsi="宋体"/>
                      </w:rPr>
                    </w:pPr>
                    <w:r>
                      <w:rPr>
                        <w:rFonts w:ascii="宋体" w:hAnsi="宋体"/>
                      </w:rPr>
                      <w:t>计入当期损益的政府补助，但与公司正常经营业务密切相关，符合国家政策规定、按照一定标准定额或定量持续享受的政府补助除外</w:t>
                    </w:r>
                  </w:p>
                </w:tc>
              </w:sdtContent>
            </w:sdt>
            <w:tc>
              <w:tcPr>
                <w:tcW w:w="4171" w:type="dxa"/>
                <w:vAlign w:val="center"/>
              </w:tcPr>
              <w:p w14:paraId="7EE15A41" w14:textId="77777777" w:rsidR="008B184A" w:rsidRPr="008B184A" w:rsidRDefault="008B184A" w:rsidP="0082664B">
                <w:pPr>
                  <w:jc w:val="right"/>
                  <w:rPr>
                    <w:rFonts w:ascii="宋体" w:hAnsi="宋体"/>
                  </w:rPr>
                </w:pPr>
                <w:r w:rsidRPr="008B184A">
                  <w:rPr>
                    <w:rFonts w:ascii="宋体" w:hAnsi="宋体" w:hint="eastAsia"/>
                  </w:rPr>
                  <w:t>68,281</w:t>
                </w:r>
              </w:p>
            </w:tc>
          </w:tr>
          <w:tr w:rsidR="008B184A" w14:paraId="70B7E3D6" w14:textId="77777777" w:rsidTr="0082664B">
            <w:sdt>
              <w:sdtPr>
                <w:rPr>
                  <w:rFonts w:ascii="宋体" w:hAnsi="宋体"/>
                </w:rPr>
                <w:tag w:val="_PLD_aeb4860f19054eedadfa25322463a5a1"/>
                <w:id w:val="1723403867"/>
                <w:lock w:val="sdtLocked"/>
              </w:sdtPr>
              <w:sdtEndPr/>
              <w:sdtContent>
                <w:tc>
                  <w:tcPr>
                    <w:tcW w:w="4877" w:type="dxa"/>
                  </w:tcPr>
                  <w:p w14:paraId="627D050A" w14:textId="77777777" w:rsidR="008B184A" w:rsidRDefault="008B184A" w:rsidP="0082664B">
                    <w:pPr>
                      <w:pStyle w:val="aff2"/>
                      <w:ind w:firstLineChars="0" w:firstLine="0"/>
                      <w:jc w:val="left"/>
                      <w:rPr>
                        <w:rFonts w:ascii="宋体" w:hAnsi="宋体"/>
                      </w:rPr>
                    </w:pPr>
                    <w:r>
                      <w:rPr>
                        <w:rFonts w:ascii="宋体" w:hAnsi="宋体"/>
                      </w:rPr>
                      <w:t>债务重组损益</w:t>
                    </w:r>
                  </w:p>
                </w:tc>
              </w:sdtContent>
            </w:sdt>
            <w:tc>
              <w:tcPr>
                <w:tcW w:w="4171" w:type="dxa"/>
                <w:vAlign w:val="center"/>
              </w:tcPr>
              <w:p w14:paraId="71374751" w14:textId="77777777" w:rsidR="008B184A" w:rsidRPr="008B184A" w:rsidRDefault="008B184A" w:rsidP="0082664B">
                <w:pPr>
                  <w:jc w:val="right"/>
                  <w:rPr>
                    <w:rFonts w:ascii="宋体" w:hAnsi="宋体"/>
                  </w:rPr>
                </w:pPr>
                <w:r w:rsidRPr="008B184A">
                  <w:rPr>
                    <w:rFonts w:ascii="宋体" w:hAnsi="宋体" w:hint="eastAsia"/>
                  </w:rPr>
                  <w:t>150</w:t>
                </w:r>
              </w:p>
            </w:tc>
          </w:tr>
          <w:tr w:rsidR="008B184A" w14:paraId="3817BF5E" w14:textId="77777777" w:rsidTr="0082664B">
            <w:sdt>
              <w:sdtPr>
                <w:rPr>
                  <w:rFonts w:ascii="宋体" w:hAnsi="宋体"/>
                </w:rPr>
                <w:tag w:val="_PLD_342d522268354e4dbe75884cc37118a8"/>
                <w:id w:val="-235627789"/>
                <w:lock w:val="sdtLocked"/>
              </w:sdtPr>
              <w:sdtEndPr/>
              <w:sdtContent>
                <w:tc>
                  <w:tcPr>
                    <w:tcW w:w="4877" w:type="dxa"/>
                  </w:tcPr>
                  <w:p w14:paraId="7FD42DBE" w14:textId="77777777" w:rsidR="008B184A" w:rsidRDefault="008B184A" w:rsidP="0082664B">
                    <w:pPr>
                      <w:pStyle w:val="aff2"/>
                      <w:ind w:firstLineChars="0" w:firstLine="0"/>
                      <w:jc w:val="left"/>
                      <w:rPr>
                        <w:rFonts w:ascii="宋体" w:hAnsi="宋体"/>
                      </w:rPr>
                    </w:pPr>
                    <w:r>
                      <w:rPr>
                        <w:rFonts w:ascii="宋体" w:hAnsi="宋体"/>
                      </w:rPr>
                      <w:t>同一控制下企业合并产生的子公司期初至合并日的当期净损益</w:t>
                    </w:r>
                  </w:p>
                </w:tc>
              </w:sdtContent>
            </w:sdt>
            <w:tc>
              <w:tcPr>
                <w:tcW w:w="4171" w:type="dxa"/>
                <w:vAlign w:val="center"/>
              </w:tcPr>
              <w:p w14:paraId="09EBDA06" w14:textId="422DE088" w:rsidR="008B184A" w:rsidRPr="008B184A" w:rsidRDefault="008B184A" w:rsidP="0082664B">
                <w:pPr>
                  <w:jc w:val="right"/>
                  <w:rPr>
                    <w:rFonts w:ascii="宋体" w:hAnsi="宋体"/>
                  </w:rPr>
                </w:pPr>
                <w:r>
                  <w:rPr>
                    <w:rFonts w:ascii="宋体" w:hAnsi="宋体" w:hint="eastAsia"/>
                  </w:rPr>
                  <w:t>2</w:t>
                </w:r>
              </w:p>
            </w:tc>
          </w:tr>
          <w:tr w:rsidR="008B184A" w14:paraId="0143DD78" w14:textId="77777777" w:rsidTr="0082664B">
            <w:tc>
              <w:tcPr>
                <w:tcW w:w="4877" w:type="dxa"/>
                <w:vAlign w:val="center"/>
              </w:tcPr>
              <w:sdt>
                <w:sdtPr>
                  <w:rPr>
                    <w:rFonts w:ascii="宋体" w:hAnsi="宋体" w:hint="eastAsia"/>
                  </w:rPr>
                  <w:tag w:val="_PLD_2180f2edb7c14e3dae9397e8d5894037"/>
                  <w:id w:val="-1076350573"/>
                  <w:lock w:val="sdtLocked"/>
                </w:sdtPr>
                <w:sdtEndPr/>
                <w:sdtContent>
                  <w:p w14:paraId="48A84955" w14:textId="77777777" w:rsidR="008B184A" w:rsidRDefault="008B184A" w:rsidP="0082664B">
                    <w:pPr>
                      <w:pStyle w:val="aff2"/>
                      <w:ind w:firstLineChars="0" w:firstLine="0"/>
                      <w:rPr>
                        <w:rFonts w:ascii="宋体" w:hAnsi="宋体"/>
                      </w:rPr>
                    </w:pPr>
                    <w:r>
                      <w:rPr>
                        <w:rFonts w:ascii="宋体" w:hAnsi="宋体" w:hint="eastAsia"/>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tc>
              <w:tcPr>
                <w:tcW w:w="4171" w:type="dxa"/>
                <w:vAlign w:val="center"/>
              </w:tcPr>
              <w:p w14:paraId="7B121F33" w14:textId="77777777" w:rsidR="008B184A" w:rsidRPr="008B184A" w:rsidRDefault="008B184A" w:rsidP="0082664B">
                <w:pPr>
                  <w:jc w:val="right"/>
                  <w:rPr>
                    <w:rFonts w:ascii="宋体" w:hAnsi="宋体"/>
                  </w:rPr>
                </w:pPr>
                <w:r w:rsidRPr="008B184A">
                  <w:rPr>
                    <w:rFonts w:ascii="宋体" w:hAnsi="宋体" w:hint="eastAsia"/>
                  </w:rPr>
                  <w:t>-59,123</w:t>
                </w:r>
              </w:p>
            </w:tc>
          </w:tr>
          <w:tr w:rsidR="008B184A" w14:paraId="4561CDC2" w14:textId="77777777" w:rsidTr="0082664B">
            <w:tc>
              <w:tcPr>
                <w:tcW w:w="4877" w:type="dxa"/>
                <w:vAlign w:val="center"/>
              </w:tcPr>
              <w:sdt>
                <w:sdtPr>
                  <w:rPr>
                    <w:rFonts w:ascii="宋体" w:hAnsi="宋体" w:hint="eastAsia"/>
                  </w:rPr>
                  <w:tag w:val="_PLD_5eb768909d2d4c7dbf2ca27dd3e4a120"/>
                  <w:id w:val="341432625"/>
                  <w:lock w:val="sdtLocked"/>
                </w:sdtPr>
                <w:sdtEndPr/>
                <w:sdtContent>
                  <w:p w14:paraId="2393F47A" w14:textId="77777777" w:rsidR="008B184A" w:rsidRDefault="008B184A" w:rsidP="0082664B">
                    <w:pPr>
                      <w:pStyle w:val="aff2"/>
                      <w:ind w:firstLineChars="0" w:firstLine="0"/>
                      <w:rPr>
                        <w:rFonts w:ascii="宋体" w:hAnsi="宋体"/>
                      </w:rPr>
                    </w:pPr>
                    <w:r>
                      <w:rPr>
                        <w:rFonts w:ascii="宋体" w:hAnsi="宋体" w:hint="eastAsia"/>
                      </w:rPr>
                      <w:t>单独进行减值测试的应收款项、合同资产减值准备转回</w:t>
                    </w:r>
                  </w:p>
                </w:sdtContent>
              </w:sdt>
            </w:tc>
            <w:tc>
              <w:tcPr>
                <w:tcW w:w="4171" w:type="dxa"/>
                <w:vAlign w:val="center"/>
              </w:tcPr>
              <w:p w14:paraId="7E16A26B" w14:textId="1F315245" w:rsidR="008B184A" w:rsidRPr="008B184A" w:rsidRDefault="008B184A" w:rsidP="0082664B">
                <w:pPr>
                  <w:jc w:val="right"/>
                  <w:rPr>
                    <w:rFonts w:ascii="宋体" w:hAnsi="宋体"/>
                  </w:rPr>
                </w:pPr>
                <w:r w:rsidRPr="008B184A">
                  <w:rPr>
                    <w:rFonts w:ascii="宋体" w:hAnsi="宋体" w:hint="eastAsia"/>
                  </w:rPr>
                  <w:t>102,76</w:t>
                </w:r>
                <w:r>
                  <w:rPr>
                    <w:rFonts w:ascii="宋体" w:hAnsi="宋体"/>
                  </w:rPr>
                  <w:t>5</w:t>
                </w:r>
              </w:p>
            </w:tc>
          </w:tr>
          <w:tr w:rsidR="008B184A" w14:paraId="53F18E3B" w14:textId="77777777" w:rsidTr="0082664B">
            <w:sdt>
              <w:sdtPr>
                <w:rPr>
                  <w:rFonts w:ascii="宋体" w:hAnsi="宋体"/>
                </w:rPr>
                <w:tag w:val="_PLD_ca98a99cfc2544a4a6aabd261429fda0"/>
                <w:id w:val="-1784018229"/>
                <w:lock w:val="sdtLocked"/>
              </w:sdtPr>
              <w:sdtEndPr/>
              <w:sdtContent>
                <w:tc>
                  <w:tcPr>
                    <w:tcW w:w="4877" w:type="dxa"/>
                  </w:tcPr>
                  <w:p w14:paraId="2A3DFA72" w14:textId="77777777" w:rsidR="008B184A" w:rsidRDefault="008B184A" w:rsidP="0082664B">
                    <w:pPr>
                      <w:pStyle w:val="aff2"/>
                      <w:ind w:firstLineChars="0" w:firstLine="0"/>
                      <w:jc w:val="left"/>
                      <w:rPr>
                        <w:rFonts w:ascii="宋体" w:hAnsi="宋体"/>
                      </w:rPr>
                    </w:pPr>
                    <w:r>
                      <w:rPr>
                        <w:rFonts w:ascii="宋体" w:hAnsi="宋体"/>
                      </w:rPr>
                      <w:t>除上述各项之外的其他营业外收入和支出</w:t>
                    </w:r>
                  </w:p>
                </w:tc>
              </w:sdtContent>
            </w:sdt>
            <w:tc>
              <w:tcPr>
                <w:tcW w:w="4171" w:type="dxa"/>
                <w:vAlign w:val="center"/>
              </w:tcPr>
              <w:p w14:paraId="26BDA1B6" w14:textId="77777777" w:rsidR="008B184A" w:rsidRPr="008B184A" w:rsidRDefault="008B184A" w:rsidP="0082664B">
                <w:pPr>
                  <w:jc w:val="right"/>
                  <w:rPr>
                    <w:rFonts w:ascii="宋体" w:hAnsi="宋体"/>
                  </w:rPr>
                </w:pPr>
                <w:r w:rsidRPr="008B184A">
                  <w:rPr>
                    <w:rFonts w:ascii="宋体" w:hAnsi="宋体" w:hint="eastAsia"/>
                  </w:rPr>
                  <w:t>82,713</w:t>
                </w:r>
              </w:p>
            </w:tc>
          </w:tr>
          <w:tr w:rsidR="008B184A" w14:paraId="4E5EB49B" w14:textId="77777777" w:rsidTr="0082664B">
            <w:sdt>
              <w:sdtPr>
                <w:rPr>
                  <w:rFonts w:ascii="宋体" w:hAnsi="宋体"/>
                </w:rPr>
                <w:tag w:val="_PLD_953ed6ff7ad84027aa6e7d28c53c3f04"/>
                <w:id w:val="1659967353"/>
                <w:lock w:val="sdtLocked"/>
              </w:sdtPr>
              <w:sdtEndPr/>
              <w:sdtContent>
                <w:tc>
                  <w:tcPr>
                    <w:tcW w:w="4877" w:type="dxa"/>
                  </w:tcPr>
                  <w:p w14:paraId="74EA5E16" w14:textId="77777777" w:rsidR="008B184A" w:rsidRDefault="008B184A" w:rsidP="0082664B">
                    <w:pPr>
                      <w:pStyle w:val="aff2"/>
                      <w:ind w:firstLineChars="0" w:firstLine="0"/>
                      <w:jc w:val="left"/>
                      <w:rPr>
                        <w:rFonts w:ascii="宋体" w:hAnsi="宋体"/>
                      </w:rPr>
                    </w:pPr>
                    <w:r>
                      <w:rPr>
                        <w:rFonts w:ascii="宋体" w:hAnsi="宋体"/>
                      </w:rPr>
                      <w:t>其他符合非经常性损益定义的损益项目</w:t>
                    </w:r>
                  </w:p>
                </w:tc>
              </w:sdtContent>
            </w:sdt>
            <w:tc>
              <w:tcPr>
                <w:tcW w:w="4171" w:type="dxa"/>
                <w:vAlign w:val="center"/>
              </w:tcPr>
              <w:p w14:paraId="5E2862AF" w14:textId="77777777" w:rsidR="008B184A" w:rsidRPr="008B184A" w:rsidRDefault="008B184A" w:rsidP="0082664B">
                <w:pPr>
                  <w:jc w:val="right"/>
                  <w:rPr>
                    <w:rFonts w:ascii="宋体" w:hAnsi="宋体"/>
                  </w:rPr>
                </w:pPr>
                <w:r w:rsidRPr="008B184A">
                  <w:rPr>
                    <w:rFonts w:ascii="宋体" w:hAnsi="宋体" w:hint="eastAsia"/>
                  </w:rPr>
                  <w:t>5,109</w:t>
                </w:r>
              </w:p>
            </w:tc>
          </w:tr>
          <w:tr w:rsidR="008B184A" w14:paraId="787D8222" w14:textId="77777777" w:rsidTr="0082664B">
            <w:sdt>
              <w:sdtPr>
                <w:rPr>
                  <w:rFonts w:ascii="宋体" w:hAnsi="宋体"/>
                </w:rPr>
                <w:tag w:val="_PLD_a636e866a8bc4d7387a7b56e221f9e7d"/>
                <w:id w:val="-1180505965"/>
                <w:lock w:val="sdtLocked"/>
              </w:sdtPr>
              <w:sdtEndPr/>
              <w:sdtContent>
                <w:tc>
                  <w:tcPr>
                    <w:tcW w:w="4877" w:type="dxa"/>
                  </w:tcPr>
                  <w:p w14:paraId="224380C4" w14:textId="77777777" w:rsidR="008B184A" w:rsidRDefault="008B184A" w:rsidP="0082664B">
                    <w:pPr>
                      <w:pStyle w:val="aff2"/>
                      <w:ind w:firstLineChars="0" w:firstLine="0"/>
                      <w:jc w:val="left"/>
                      <w:rPr>
                        <w:rFonts w:ascii="宋体" w:hAnsi="宋体"/>
                      </w:rPr>
                    </w:pPr>
                    <w:r>
                      <w:rPr>
                        <w:rFonts w:ascii="宋体" w:hAnsi="宋体" w:hint="eastAsia"/>
                      </w:rPr>
                      <w:t>减：</w:t>
                    </w:r>
                    <w:r>
                      <w:rPr>
                        <w:rFonts w:ascii="宋体" w:hAnsi="宋体"/>
                      </w:rPr>
                      <w:t>所得税影响额</w:t>
                    </w:r>
                  </w:p>
                </w:tc>
              </w:sdtContent>
            </w:sdt>
            <w:tc>
              <w:tcPr>
                <w:tcW w:w="4171" w:type="dxa"/>
                <w:vAlign w:val="center"/>
              </w:tcPr>
              <w:p w14:paraId="12AFAC9B" w14:textId="77777777" w:rsidR="008B184A" w:rsidRPr="008B184A" w:rsidRDefault="008B184A" w:rsidP="0082664B">
                <w:pPr>
                  <w:jc w:val="right"/>
                  <w:rPr>
                    <w:rFonts w:ascii="宋体" w:hAnsi="宋体"/>
                  </w:rPr>
                </w:pPr>
                <w:r w:rsidRPr="008B184A">
                  <w:rPr>
                    <w:rFonts w:ascii="宋体" w:hAnsi="宋体" w:hint="eastAsia"/>
                  </w:rPr>
                  <w:t>49,646</w:t>
                </w:r>
              </w:p>
            </w:tc>
          </w:tr>
          <w:tr w:rsidR="008B184A" w14:paraId="77D5064C" w14:textId="77777777" w:rsidTr="0082664B">
            <w:tc>
              <w:tcPr>
                <w:tcW w:w="4877" w:type="dxa"/>
              </w:tcPr>
              <w:p w14:paraId="01F64BAA" w14:textId="77777777" w:rsidR="008B184A" w:rsidRDefault="00C8327E" w:rsidP="0082664B">
                <w:pPr>
                  <w:pStyle w:val="aff2"/>
                  <w:jc w:val="left"/>
                  <w:rPr>
                    <w:rFonts w:ascii="宋体" w:hAnsi="宋体"/>
                  </w:rPr>
                </w:pPr>
                <w:sdt>
                  <w:sdtPr>
                    <w:rPr>
                      <w:rFonts w:ascii="宋体" w:hAnsi="宋体"/>
                    </w:rPr>
                    <w:tag w:val="_PLD_9dff7a1ba5e94bbda7f7973f9f8b7455"/>
                    <w:id w:val="-1303387736"/>
                    <w:lock w:val="sdtLocked"/>
                  </w:sdtPr>
                  <w:sdtEndPr/>
                  <w:sdtContent>
                    <w:r w:rsidR="008B184A">
                      <w:rPr>
                        <w:rFonts w:ascii="宋体" w:hAnsi="宋体"/>
                      </w:rPr>
                      <w:t>少数股东权益影响额</w:t>
                    </w:r>
                    <w:r w:rsidR="008B184A">
                      <w:rPr>
                        <w:rFonts w:ascii="宋体" w:hAnsi="宋体" w:hint="eastAsia"/>
                      </w:rPr>
                      <w:t>（税后）</w:t>
                    </w:r>
                  </w:sdtContent>
                </w:sdt>
              </w:p>
            </w:tc>
            <w:tc>
              <w:tcPr>
                <w:tcW w:w="4171" w:type="dxa"/>
                <w:vAlign w:val="center"/>
              </w:tcPr>
              <w:p w14:paraId="60C16F3B" w14:textId="08AF10EC" w:rsidR="008B184A" w:rsidRPr="008B184A" w:rsidRDefault="008B184A" w:rsidP="0082664B">
                <w:pPr>
                  <w:jc w:val="right"/>
                  <w:rPr>
                    <w:rFonts w:ascii="宋体" w:hAnsi="宋体"/>
                  </w:rPr>
                </w:pPr>
                <w:r w:rsidRPr="008B184A">
                  <w:rPr>
                    <w:rFonts w:ascii="宋体" w:hAnsi="宋体" w:hint="eastAsia"/>
                  </w:rPr>
                  <w:t>-5,25</w:t>
                </w:r>
                <w:r w:rsidR="00960845">
                  <w:rPr>
                    <w:rFonts w:ascii="宋体" w:hAnsi="宋体"/>
                  </w:rPr>
                  <w:t>6</w:t>
                </w:r>
              </w:p>
            </w:tc>
          </w:tr>
          <w:tr w:rsidR="008B184A" w14:paraId="7DDC72DF" w14:textId="77777777" w:rsidTr="0082664B">
            <w:sdt>
              <w:sdtPr>
                <w:rPr>
                  <w:rFonts w:ascii="宋体" w:hAnsi="宋体"/>
                </w:rPr>
                <w:tag w:val="_PLD_6c82e72977284822bf15cd34b91fcd04"/>
                <w:id w:val="1749771506"/>
                <w:lock w:val="sdtLocked"/>
              </w:sdtPr>
              <w:sdtEndPr/>
              <w:sdtContent>
                <w:tc>
                  <w:tcPr>
                    <w:tcW w:w="4877" w:type="dxa"/>
                  </w:tcPr>
                  <w:p w14:paraId="425F769D" w14:textId="77777777" w:rsidR="008B184A" w:rsidRDefault="008B184A" w:rsidP="0082664B">
                    <w:pPr>
                      <w:pStyle w:val="aff2"/>
                      <w:ind w:firstLineChars="0" w:firstLine="0"/>
                      <w:jc w:val="left"/>
                      <w:rPr>
                        <w:rFonts w:ascii="宋体" w:hAnsi="宋体"/>
                      </w:rPr>
                    </w:pPr>
                    <w:r>
                      <w:rPr>
                        <w:rFonts w:ascii="宋体" w:hAnsi="宋体"/>
                      </w:rPr>
                      <w:t>合计</w:t>
                    </w:r>
                  </w:p>
                </w:tc>
              </w:sdtContent>
            </w:sdt>
            <w:tc>
              <w:tcPr>
                <w:tcW w:w="4171" w:type="dxa"/>
                <w:vAlign w:val="center"/>
              </w:tcPr>
              <w:p w14:paraId="6356392E" w14:textId="77777777" w:rsidR="008B184A" w:rsidRPr="008B184A" w:rsidRDefault="008B184A" w:rsidP="0082664B">
                <w:pPr>
                  <w:jc w:val="right"/>
                  <w:rPr>
                    <w:rFonts w:ascii="宋体" w:hAnsi="宋体"/>
                  </w:rPr>
                </w:pPr>
                <w:r w:rsidRPr="008B184A">
                  <w:rPr>
                    <w:rFonts w:ascii="宋体" w:hAnsi="宋体" w:hint="eastAsia"/>
                  </w:rPr>
                  <w:t>160,697</w:t>
                </w:r>
              </w:p>
            </w:tc>
          </w:tr>
        </w:tbl>
        <w:p w14:paraId="0D2FDB10" w14:textId="77777777" w:rsidR="008B184A" w:rsidRDefault="008B184A"/>
        <w:p w14:paraId="3E2164A9" w14:textId="35BC9405" w:rsidR="00B201D3" w:rsidRPr="006D4FBA" w:rsidRDefault="00C8327E">
          <w:pPr>
            <w:pStyle w:val="3903"/>
          </w:pPr>
        </w:p>
      </w:sdtContent>
    </w:sdt>
    <w:bookmarkEnd w:id="21" w:displacedByCustomXml="prev"/>
    <w:bookmarkEnd w:id="22" w:displacedByCustomXml="next"/>
    <w:bookmarkStart w:id="23" w:name="_Hlk89096484" w:displacedByCustomXml="next"/>
    <w:bookmarkStart w:id="24" w:name="_Hlk137045432" w:displacedByCustomXml="next"/>
    <w:bookmarkStart w:id="25" w:name="_Hlk41379873" w:displacedByCustomXml="next"/>
    <w:bookmarkStart w:id="26" w:name="_Hlk105685044" w:displacedByCustomXml="next"/>
    <w:sdt>
      <w:sdtPr>
        <w:rPr>
          <w:rFonts w:hAnsi="宋体" w:cs="宋体"/>
          <w:kern w:val="0"/>
          <w:szCs w:val="21"/>
        </w:rPr>
        <w:alias w:val="模块:将《公开发行证券的公司信息披露解释性公告第1号——非经常性损..."/>
        <w:tag w:val="_SEC_3fbc22adf9774d23a74dc1230c514eff"/>
        <w:id w:val="87813929"/>
        <w:lock w:val="sdtLocked"/>
        <w:placeholder>
          <w:docPart w:val="GBC22222222222222222222222222222"/>
        </w:placeholder>
      </w:sdtPr>
      <w:sdtEndPr/>
      <w:sdtContent>
        <w:p w14:paraId="221F7FBD" w14:textId="77777777" w:rsidR="00B201D3" w:rsidRPr="006D4FBA" w:rsidRDefault="009855E8">
          <w:pPr>
            <w:pStyle w:val="ad"/>
            <w:adjustRightInd w:val="0"/>
            <w:snapToGrid w:val="0"/>
            <w:spacing w:line="200" w:lineRule="atLeast"/>
            <w:rPr>
              <w:rFonts w:hAnsi="宋体"/>
              <w:kern w:val="0"/>
              <w:szCs w:val="21"/>
            </w:rPr>
          </w:pPr>
          <w:r w:rsidRPr="006D4FBA">
            <w:rPr>
              <w:rFonts w:hAnsi="宋体" w:cs="宋体" w:hint="eastAsia"/>
              <w:kern w:val="0"/>
              <w:szCs w:val="21"/>
            </w:rPr>
            <w:t>对公司根据《公开发行证券的公司信息披露解释性公告第</w:t>
          </w:r>
          <w:r w:rsidRPr="006D4FBA">
            <w:rPr>
              <w:rFonts w:hAnsi="宋体" w:cs="宋体"/>
              <w:kern w:val="0"/>
              <w:szCs w:val="21"/>
            </w:rPr>
            <w:t>1号——非经常性损益》定义界定的非经常性损益项目，以及把《公开发行证券的公司信息披露解释性公告第1号——非经常性损益》中列举的非经常性损益项目界定为经常性损益的项目，应说明原因。</w:t>
          </w:r>
        </w:p>
        <w:sdt>
          <w:sdtPr>
            <w:alias w:val="是否适用：将非经常性损益项目界定为经常性损益项目[双击切换]"/>
            <w:tag w:val="_GBC_2fced4d4c7b049209a471cd2040fe574"/>
            <w:id w:val="-1205411171"/>
            <w:lock w:val="sdtLocked"/>
            <w:placeholder>
              <w:docPart w:val="GBC22222222222222222222222222222"/>
            </w:placeholder>
          </w:sdtPr>
          <w:sdtEndPr/>
          <w:sdtContent>
            <w:p w14:paraId="2D742F0F" w14:textId="77777777" w:rsidR="00B201D3" w:rsidRPr="006D4FBA" w:rsidRDefault="009855E8">
              <w:pPr>
                <w:pStyle w:val="3903"/>
              </w:pPr>
              <w:r w:rsidRPr="006D4FBA">
                <w:fldChar w:fldCharType="begin"/>
              </w:r>
              <w:r w:rsidRPr="006D4FBA">
                <w:instrText xml:space="preserve"> MACROBUTTON  SnrToggleCheckbox □适用 </w:instrText>
              </w:r>
              <w:r w:rsidRPr="006D4FBA">
                <w:fldChar w:fldCharType="end"/>
              </w:r>
              <w:r w:rsidRPr="006D4FBA">
                <w:fldChar w:fldCharType="begin"/>
              </w:r>
              <w:r w:rsidRPr="006D4FBA">
                <w:instrText xml:space="preserve"> MACROBUTTON  SnrToggleCheckbox √不适用 </w:instrText>
              </w:r>
              <w:r w:rsidRPr="006D4FBA">
                <w:fldChar w:fldCharType="end"/>
              </w:r>
            </w:p>
          </w:sdtContent>
        </w:sdt>
      </w:sdtContent>
    </w:sdt>
    <w:bookmarkEnd w:id="25"/>
    <w:bookmarkEnd w:id="24"/>
    <w:bookmarkEnd w:id="23"/>
    <w:p w14:paraId="5D3E0B2B" w14:textId="77777777" w:rsidR="00B201D3" w:rsidRDefault="00B201D3">
      <w:pPr>
        <w:pStyle w:val="3903"/>
      </w:pPr>
    </w:p>
    <w:bookmarkEnd w:id="26" w:displacedByCustomXml="next"/>
    <w:sdt>
      <w:sdtPr>
        <w:rPr>
          <w:rFonts w:ascii="宋体" w:hAnsi="宋体" w:cs="宋体" w:hint="eastAsia"/>
          <w:b w:val="0"/>
          <w:bCs w:val="0"/>
          <w:kern w:val="0"/>
          <w:szCs w:val="24"/>
        </w:rPr>
        <w:alias w:val="模块:其他财务和业务数据"/>
        <w:tag w:val="_GBC_129e81c113f94ab2b6af974b5d24abc6"/>
        <w:id w:val="-1012612003"/>
        <w:lock w:val="sdtLocked"/>
        <w:placeholder>
          <w:docPart w:val="GBC22222222222222222222222222222"/>
        </w:placeholder>
      </w:sdtPr>
      <w:sdtEndPr>
        <w:rPr>
          <w:szCs w:val="21"/>
        </w:rPr>
      </w:sdtEndPr>
      <w:sdtContent>
        <w:p w14:paraId="303F5DB8" w14:textId="77777777" w:rsidR="00B201D3" w:rsidRDefault="009855E8">
          <w:pPr>
            <w:pStyle w:val="2"/>
            <w:numPr>
              <w:ilvl w:val="0"/>
              <w:numId w:val="3"/>
            </w:numPr>
            <w:ind w:firstLineChars="0"/>
          </w:pPr>
          <w:r>
            <w:rPr>
              <w:rFonts w:hint="eastAsia"/>
            </w:rPr>
            <w:t>其他</w:t>
          </w:r>
        </w:p>
        <w:sdt>
          <w:sdtPr>
            <w:alias w:val="是否适用：公司简介和主要财务指标其他说明[双击切换]"/>
            <w:tag w:val="_GBC_5b4104dc5c2c4501bc2420c70be30c2a"/>
            <w:id w:val="1887295267"/>
            <w:lock w:val="sdtLocked"/>
            <w:placeholder>
              <w:docPart w:val="GBC22222222222222222222222222222"/>
            </w:placeholder>
          </w:sdtPr>
          <w:sdtEndPr/>
          <w:sdtContent>
            <w:p w14:paraId="09FB214E" w14:textId="77777777" w:rsidR="00B201D3" w:rsidRDefault="009855E8">
              <w:pPr>
                <w:pStyle w:val="390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02396F6D" w14:textId="77777777" w:rsidR="00B201D3" w:rsidRDefault="009855E8">
      <w:pPr>
        <w:pStyle w:val="3903"/>
      </w:pPr>
      <w:r>
        <w:br w:type="page"/>
      </w:r>
    </w:p>
    <w:p w14:paraId="70746403" w14:textId="77777777" w:rsidR="00B201D3" w:rsidRDefault="009855E8">
      <w:pPr>
        <w:pStyle w:val="1"/>
        <w:numPr>
          <w:ilvl w:val="0"/>
          <w:numId w:val="2"/>
        </w:numPr>
        <w:rPr>
          <w:rFonts w:ascii="黑体" w:hAnsi="黑体"/>
          <w:szCs w:val="21"/>
        </w:rPr>
      </w:pPr>
      <w:bookmarkStart w:id="27" w:name="_Toc139552146"/>
      <w:r>
        <w:rPr>
          <w:rFonts w:ascii="黑体" w:hAnsi="黑体" w:hint="eastAsia"/>
          <w:szCs w:val="21"/>
        </w:rPr>
        <w:lastRenderedPageBreak/>
        <w:t>管理层讨论与分析</w:t>
      </w:r>
      <w:bookmarkEnd w:id="27"/>
    </w:p>
    <w:sdt>
      <w:sdtPr>
        <w:rPr>
          <w:rFonts w:ascii="宋体" w:hAnsi="宋体" w:cs="宋体" w:hint="eastAsia"/>
          <w:b w:val="0"/>
          <w:bCs w:val="0"/>
          <w:kern w:val="0"/>
          <w:szCs w:val="24"/>
        </w:rPr>
        <w:alias w:val="模块:报告期内公司所从事的主要业务、经营模式及行业情况说明"/>
        <w:tag w:val="_SEC_30613ac4c1d74a918acca2b58acc457d"/>
        <w:id w:val="-817039535"/>
        <w:placeholder>
          <w:docPart w:val="GBC22222222222222222222222222222"/>
        </w:placeholder>
      </w:sdtPr>
      <w:sdtEndPr>
        <w:rPr>
          <w:szCs w:val="21"/>
        </w:rPr>
      </w:sdtEndPr>
      <w:sdtContent>
        <w:p w14:paraId="3C2DC8DE" w14:textId="77777777" w:rsidR="00B201D3" w:rsidRDefault="009855E8">
          <w:pPr>
            <w:pStyle w:val="2"/>
            <w:numPr>
              <w:ilvl w:val="0"/>
              <w:numId w:val="6"/>
            </w:numPr>
            <w:tabs>
              <w:tab w:val="left" w:pos="426"/>
            </w:tabs>
            <w:jc w:val="left"/>
            <w:rPr>
              <w:rFonts w:ascii="宋体" w:hAnsi="宋体"/>
            </w:rPr>
          </w:pPr>
          <w:r>
            <w:rPr>
              <w:rFonts w:ascii="宋体" w:hAnsi="宋体" w:hint="eastAsia"/>
            </w:rPr>
            <w:t>报告期内公司所属行业及主营业务情况说明</w:t>
          </w:r>
        </w:p>
        <w:sdt>
          <w:sdtPr>
            <w:rPr>
              <w:rFonts w:hint="eastAsia"/>
            </w:rPr>
            <w:alias w:val="报告期内公司所从事的主要业务、经营模式及行业情况说明"/>
            <w:tag w:val="_GBC_5c28d6f46eea48f892bed0c5fc99ab60"/>
            <w:id w:val="-1763446109"/>
            <w:placeholder>
              <w:docPart w:val="GBC22222222222222222222222222222"/>
            </w:placeholder>
          </w:sdtPr>
          <w:sdtEndPr/>
          <w:sdtContent>
            <w:p w14:paraId="437FCE48" w14:textId="77777777" w:rsidR="00B201D3" w:rsidRDefault="009855E8">
              <w:pPr>
                <w:ind w:firstLineChars="200" w:firstLine="420"/>
              </w:pPr>
              <w:r>
                <w:t>（一）主要业务</w:t>
              </w:r>
              <w:r>
                <w:rPr>
                  <w:rFonts w:hint="eastAsia"/>
                </w:rPr>
                <w:t>、产品</w:t>
              </w:r>
              <w:r>
                <w:t>及经营模式</w:t>
              </w:r>
            </w:p>
            <w:p w14:paraId="19196DA3" w14:textId="77777777" w:rsidR="00B201D3" w:rsidRDefault="009855E8">
              <w:pPr>
                <w:ind w:firstLineChars="200" w:firstLine="420"/>
              </w:pPr>
              <w:r>
                <w:t>1.煤炭业务</w:t>
              </w:r>
            </w:p>
            <w:p w14:paraId="7F8FB2A5" w14:textId="77777777" w:rsidR="00B201D3" w:rsidRDefault="009855E8">
              <w:pPr>
                <w:ind w:firstLineChars="200" w:firstLine="420"/>
              </w:pPr>
              <w:r>
                <w:rPr>
                  <w:rFonts w:hint="eastAsia"/>
                </w:rPr>
                <w:t>本集团煤炭业务主要分布在中国的山东省、陕西省、内蒙古自治区和澳大利亚；</w:t>
              </w:r>
              <w:r>
                <w:t>产品主要包括动力煤、喷吹煤</w:t>
              </w:r>
              <w:r>
                <w:rPr>
                  <w:rFonts w:hint="eastAsia"/>
                </w:rPr>
                <w:t>和</w:t>
              </w:r>
              <w:r>
                <w:t>焦煤，适用于电力、冶金及化工等行业；</w:t>
              </w:r>
              <w:r>
                <w:rPr>
                  <w:rFonts w:hint="eastAsia"/>
                </w:rPr>
                <w:t>产品</w:t>
              </w:r>
              <w:r>
                <w:t>主要销往中国的华东、</w:t>
              </w:r>
              <w:r>
                <w:rPr>
                  <w:rFonts w:hint="eastAsia"/>
                </w:rPr>
                <w:t>华南、</w:t>
              </w:r>
              <w:r>
                <w:t>华北、华</w:t>
              </w:r>
              <w:r>
                <w:rPr>
                  <w:rFonts w:hint="eastAsia"/>
                </w:rPr>
                <w:t>中</w:t>
              </w:r>
              <w:r>
                <w:t>、西北等地区及日本、韩国、</w:t>
              </w:r>
              <w:r>
                <w:rPr>
                  <w:rFonts w:hint="eastAsia"/>
                </w:rPr>
                <w:t>泰国、</w:t>
              </w:r>
              <w:r>
                <w:t>澳大利亚等国家。</w:t>
              </w:r>
            </w:p>
            <w:p w14:paraId="46C55921" w14:textId="77777777" w:rsidR="00B201D3" w:rsidRDefault="009855E8">
              <w:pPr>
                <w:ind w:firstLineChars="200" w:firstLine="420"/>
              </w:pPr>
              <w:r>
                <w:t>2.煤化工业务</w:t>
              </w:r>
            </w:p>
            <w:p w14:paraId="1BF92420" w14:textId="77777777" w:rsidR="00B201D3" w:rsidRDefault="009855E8">
              <w:pPr>
                <w:ind w:firstLineChars="200" w:firstLine="420"/>
              </w:pPr>
              <w:r>
                <w:rPr>
                  <w:rFonts w:hint="eastAsia"/>
                </w:rPr>
                <w:t>本集团</w:t>
              </w:r>
              <w:r>
                <w:t>煤化工业务主要分布在中国的山东省、陕西省和内蒙古自治区；产品主要包括甲醇、醋酸、</w:t>
              </w:r>
              <w:r>
                <w:rPr>
                  <w:rFonts w:hint="eastAsia"/>
                </w:rPr>
                <w:t>乙二醇</w:t>
              </w:r>
              <w:r>
                <w:t>等；产品主要销往中国的华北、华东、西北等地区。</w:t>
              </w:r>
            </w:p>
            <w:p w14:paraId="3FEBB0FF" w14:textId="77777777" w:rsidR="00B201D3" w:rsidRDefault="009855E8">
              <w:pPr>
                <w:ind w:firstLineChars="200" w:firstLine="420"/>
              </w:pPr>
              <w:r>
                <w:t>（二）市场地位</w:t>
              </w:r>
            </w:p>
            <w:p w14:paraId="4FF20A84" w14:textId="77777777" w:rsidR="00B201D3" w:rsidRDefault="009855E8">
              <w:pPr>
                <w:ind w:firstLineChars="200" w:firstLine="420"/>
              </w:pPr>
              <w:r>
                <w:rPr>
                  <w:rFonts w:hint="eastAsia"/>
                </w:rPr>
                <w:t>本集团</w:t>
              </w:r>
              <w:r>
                <w:t>是中国和澳大利亚主要的煤炭生产商、销售商和贸易商之一，</w:t>
              </w:r>
              <w:r>
                <w:rPr>
                  <w:rFonts w:hint="eastAsia"/>
                </w:rPr>
                <w:t>是华东地区最大煤炭生产商，国内动力煤龙头企业，所属兖煤澳洲是澳大利亚最大专营煤炭生产商。本集团拥有煤气化、煤液化等多条完整煤化工产业链，拥有全国单体最大煤液化装置，是国内唯一一家同时掌握低温费托合成和高温费托合成技术的企业。</w:t>
              </w:r>
            </w:p>
            <w:p w14:paraId="138A48AA" w14:textId="77777777" w:rsidR="00B201D3" w:rsidRDefault="009855E8">
              <w:pPr>
                <w:ind w:firstLineChars="200" w:firstLine="420"/>
              </w:pPr>
              <w:r>
                <w:rPr>
                  <w:rFonts w:hint="eastAsia"/>
                </w:rPr>
                <w:t>（三）行业发展情况及业绩驱动因素</w:t>
              </w:r>
            </w:p>
            <w:p w14:paraId="3B126C03" w14:textId="77777777" w:rsidR="00B201D3" w:rsidRDefault="009855E8">
              <w:pPr>
                <w:ind w:firstLineChars="200" w:firstLine="420"/>
              </w:pPr>
              <w:r>
                <w:t>202</w:t>
              </w:r>
              <w:r>
                <w:rPr>
                  <w:rFonts w:hint="eastAsia"/>
                </w:rPr>
                <w:t>3</w:t>
              </w:r>
              <w:r>
                <w:t>年上半年，</w:t>
              </w:r>
              <w:r>
                <w:rPr>
                  <w:rFonts w:hint="eastAsia"/>
                </w:rPr>
                <w:t>煤炭行业持续推进煤炭清洁高效利用和安全高效开采，</w:t>
              </w:r>
              <w:r>
                <w:t>行业供应保障能力稳步提升</w:t>
              </w:r>
              <w:r>
                <w:rPr>
                  <w:rFonts w:hint="eastAsia"/>
                </w:rPr>
                <w:t>。煤炭优质产能加快释放，进口量持续增长，供需形势转向宽松，价格震荡明显。煤化工行业加快向高端化、多元化、低碳化方向发展，产业链条不断延伸拓展，产业结构持续转型升级。受宏观经济影响，煤化工行业下游需求偏弱，价格承压下行。</w:t>
              </w:r>
            </w:p>
          </w:sdtContent>
        </w:sdt>
      </w:sdtContent>
    </w:sdt>
    <w:p w14:paraId="4CC68927" w14:textId="77777777" w:rsidR="00B201D3" w:rsidRPr="00D23D21" w:rsidRDefault="00B201D3">
      <w:pPr>
        <w:pStyle w:val="3903"/>
      </w:pPr>
    </w:p>
    <w:sdt>
      <w:sdtPr>
        <w:rPr>
          <w:rFonts w:ascii="宋体" w:hAnsi="宋体" w:cs="宋体" w:hint="eastAsia"/>
          <w:b w:val="0"/>
          <w:bCs w:val="0"/>
          <w:kern w:val="0"/>
          <w:szCs w:val="24"/>
        </w:rPr>
        <w:alias w:val="模块:报告期内核心竞争力分析"/>
        <w:tag w:val="_SEC_95fcc6373f8d4d92bdccbe04323713c4"/>
        <w:id w:val="1792006525"/>
        <w:lock w:val="sdtLocked"/>
        <w:placeholder>
          <w:docPart w:val="GBC22222222222222222222222222222"/>
        </w:placeholder>
      </w:sdtPr>
      <w:sdtEndPr>
        <w:rPr>
          <w:szCs w:val="21"/>
        </w:rPr>
      </w:sdtEndPr>
      <w:sdtContent>
        <w:p w14:paraId="778883BE" w14:textId="77777777" w:rsidR="00B201D3" w:rsidRDefault="009855E8">
          <w:pPr>
            <w:pStyle w:val="2"/>
            <w:numPr>
              <w:ilvl w:val="0"/>
              <w:numId w:val="6"/>
            </w:numPr>
            <w:tabs>
              <w:tab w:val="left" w:pos="426"/>
            </w:tabs>
            <w:jc w:val="left"/>
            <w:rPr>
              <w:rFonts w:ascii="宋体" w:hAnsi="宋体"/>
            </w:rPr>
          </w:pPr>
          <w:r>
            <w:rPr>
              <w:rFonts w:ascii="宋体" w:hAnsi="宋体" w:hint="eastAsia"/>
            </w:rPr>
            <w:t>报告期内核心竞争力分析</w:t>
          </w:r>
        </w:p>
        <w:sdt>
          <w:sdtPr>
            <w:alias w:val="是否适用：报告期内核心竞争力分析[双击切换]"/>
            <w:tag w:val="_GBC_f5e4beedb06c4dedb1da9c7f429d840e"/>
            <w:id w:val="1162969480"/>
            <w:lock w:val="sdtLocked"/>
            <w:placeholder>
              <w:docPart w:val="GBC22222222222222222222222222222"/>
            </w:placeholder>
          </w:sdtPr>
          <w:sdtEndPr/>
          <w:sdtContent>
            <w:p w14:paraId="4B33036A" w14:textId="77777777" w:rsidR="00B201D3" w:rsidRDefault="009855E8">
              <w:pPr>
                <w:pStyle w:val="390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Start w:id="28" w:name="_Hlk143103978" w:displacedByCustomXml="next"/>
        <w:sdt>
          <w:sdtPr>
            <w:rPr>
              <w:rFonts w:hint="eastAsia"/>
            </w:rPr>
            <w:alias w:val="报告期内核心竞争力分析"/>
            <w:tag w:val="_GBC_2aded0644185447a9ec788ba0b35ac4f"/>
            <w:id w:val="-1850940375"/>
            <w:lock w:val="sdtLocked"/>
            <w:placeholder>
              <w:docPart w:val="GBC22222222222222222222222222222"/>
            </w:placeholder>
          </w:sdtPr>
          <w:sdtEndPr/>
          <w:sdtContent>
            <w:p w14:paraId="7F16C8DA" w14:textId="239581CA" w:rsidR="00B201D3" w:rsidRPr="008670E9" w:rsidRDefault="009855E8" w:rsidP="008670E9">
              <w:pPr>
                <w:ind w:firstLineChars="200" w:firstLine="420"/>
                <w:jc w:val="both"/>
              </w:pPr>
              <w:r>
                <w:rPr>
                  <w:rFonts w:hint="eastAsia"/>
                  <w:b/>
                </w:rPr>
                <w:t>一是企业规模实力雄厚。</w:t>
              </w:r>
              <w:r>
                <w:rPr>
                  <w:rFonts w:hint="eastAsia"/>
                  <w:bCs/>
                </w:rPr>
                <w:t>本集团资产分布于山东、陕蒙、澳洲等国家和地区，拥有境内外四地上市平台，位列2023年《财富》中国上市公司500强第68位。</w:t>
              </w:r>
              <w:r w:rsidR="008670E9" w:rsidRPr="00C27BFE">
                <w:t>拥有煤炭</w:t>
              </w:r>
              <w:r w:rsidR="008670E9">
                <w:rPr>
                  <w:rFonts w:hint="eastAsia"/>
                </w:rPr>
                <w:t>原地</w:t>
              </w:r>
              <w:r w:rsidR="008670E9" w:rsidRPr="00C27BFE">
                <w:t>资源量达到</w:t>
              </w:r>
              <w:r w:rsidR="008670E9">
                <w:t>137</w:t>
              </w:r>
              <w:r w:rsidR="008670E9" w:rsidRPr="00C27BFE">
                <w:t>亿吨</w:t>
              </w:r>
              <w:r w:rsidR="008670E9">
                <w:rPr>
                  <w:rFonts w:hint="eastAsia"/>
                </w:rPr>
                <w:t>（JORC标准）</w:t>
              </w:r>
              <w:r w:rsidR="008670E9" w:rsidRPr="00C27BFE">
                <w:t>，位居行业前列。</w:t>
              </w:r>
            </w:p>
            <w:p w14:paraId="2824611C" w14:textId="26E0DF2B" w:rsidR="00B201D3" w:rsidRDefault="009855E8">
              <w:pPr>
                <w:ind w:firstLineChars="200" w:firstLine="422"/>
                <w:jc w:val="both"/>
                <w:rPr>
                  <w:rFonts w:ascii="Calibri" w:hAnsi="Calibri" w:cs="Times New Roman"/>
                  <w:bCs/>
                </w:rPr>
              </w:pPr>
              <w:r>
                <w:rPr>
                  <w:rFonts w:hint="eastAsia"/>
                  <w:b/>
                </w:rPr>
                <w:t>二是主导产业转型升级。</w:t>
              </w:r>
              <w:r>
                <w:rPr>
                  <w:rFonts w:hint="eastAsia"/>
                  <w:bCs/>
                </w:rPr>
                <w:t>报告期内，本集团科学应对复杂经济环境，精益实施存量优化和增量跨越组合措施，加快产业结构升级、布局优化。</w:t>
              </w:r>
              <w:r>
                <w:rPr>
                  <w:rFonts w:hint="eastAsia"/>
                  <w:b/>
                </w:rPr>
                <w:t>矿业高质高效发展，</w:t>
              </w:r>
              <w:r>
                <w:rPr>
                  <w:rFonts w:hint="eastAsia"/>
                  <w:bCs/>
                </w:rPr>
                <w:t>5处国家首批智能化示范煤矿全部通过验收评定。营盘壕煤矿取得安全生产许可证，增量潜能有序释放。收购鲁西矿业、新疆能化51%股权通过股东大会审批，公司资源储备、可持续发展能力持续提升。</w:t>
              </w:r>
              <w:r>
                <w:rPr>
                  <w:rFonts w:hint="eastAsia"/>
                  <w:b/>
                </w:rPr>
                <w:t>高端化工新材料产业加快延链拓链，</w:t>
              </w:r>
              <w:r>
                <w:rPr>
                  <w:rFonts w:hint="eastAsia"/>
                  <w:bCs/>
                </w:rPr>
                <w:t>鲁南化工己内酰胺节能减碳一体化工程项目主体完工，榆林能化10万吨DMMn项目产出合格产品，氨基、醇基新材料产业链集群加快形成。</w:t>
              </w:r>
              <w:r>
                <w:rPr>
                  <w:rFonts w:hint="eastAsia"/>
                  <w:b/>
                </w:rPr>
                <w:t>新能源产业加快发展，</w:t>
              </w:r>
              <w:r>
                <w:rPr>
                  <w:rFonts w:hint="eastAsia"/>
                  <w:bCs/>
                </w:rPr>
                <w:t>10万千瓦共享储能项目、源网荷储一体化等项目有序推进，光伏项目、工业园区配套项目、大型风光</w:t>
              </w:r>
              <w:r w:rsidR="00D23D21">
                <w:rPr>
                  <w:rFonts w:hint="eastAsia"/>
                  <w:bCs/>
                </w:rPr>
                <w:t>储</w:t>
              </w:r>
              <w:r>
                <w:rPr>
                  <w:rFonts w:hint="eastAsia"/>
                  <w:bCs/>
                </w:rPr>
                <w:t>基地三层级产业体系加速构建。</w:t>
              </w:r>
              <w:r>
                <w:rPr>
                  <w:rFonts w:hint="eastAsia"/>
                  <w:b/>
                </w:rPr>
                <w:t>装备制造产业壮大升级，</w:t>
              </w:r>
              <w:r>
                <w:rPr>
                  <w:rFonts w:hint="eastAsia"/>
                  <w:bCs/>
                </w:rPr>
                <w:t>鲁西智慧制造园区工程建设高效推进，首条生产线建成投产，技术、资源优势加速聚集。</w:t>
              </w:r>
              <w:r>
                <w:rPr>
                  <w:rFonts w:hint="eastAsia"/>
                  <w:b/>
                </w:rPr>
                <w:t>智慧物流产业整合突破，</w:t>
              </w:r>
              <w:r>
                <w:rPr>
                  <w:rFonts w:hint="eastAsia"/>
                  <w:bCs/>
                </w:rPr>
                <w:t xml:space="preserve">完成蒙达、蒙通、伊泰呼准、海勒斯壕4个铁路项目股权整合，泰安港公铁水联运物流园区项目一期工程基本竣工，“产、销、储、配、送”一体化物流体系建设成效初显。 </w:t>
              </w:r>
            </w:p>
            <w:p w14:paraId="16AE4A36" w14:textId="77777777" w:rsidR="00B201D3" w:rsidRDefault="009855E8">
              <w:pPr>
                <w:ind w:firstLineChars="200" w:firstLine="422"/>
                <w:jc w:val="both"/>
                <w:rPr>
                  <w:bCs/>
                </w:rPr>
              </w:pPr>
              <w:r>
                <w:rPr>
                  <w:rFonts w:hint="eastAsia"/>
                  <w:b/>
                </w:rPr>
                <w:t>三是国际化发展凸显竞争优势。</w:t>
              </w:r>
              <w:r>
                <w:rPr>
                  <w:rFonts w:hint="eastAsia"/>
                  <w:bCs/>
                </w:rPr>
                <w:t>在海外布局了一批规模大、品位优、竞争力强的矿产资源，成为中国国际化程度最高的能源企业之一。在澳洲拥有煤炭资源量93亿吨（JORC标准），成为澳大利亚最大专营煤炭生产商。报告期末本集团境外资产占比达到24%，境外资源量（JORC标准）占比达到67.9%。</w:t>
              </w:r>
            </w:p>
            <w:p w14:paraId="3761C7B1" w14:textId="39B41E53" w:rsidR="00B201D3" w:rsidRDefault="009855E8">
              <w:pPr>
                <w:ind w:firstLineChars="200" w:firstLine="422"/>
                <w:jc w:val="both"/>
                <w:rPr>
                  <w:bCs/>
                </w:rPr>
              </w:pPr>
              <w:r>
                <w:rPr>
                  <w:rFonts w:hint="eastAsia"/>
                  <w:b/>
                </w:rPr>
                <w:t>四</w:t>
              </w:r>
              <w:r w:rsidR="00021D80">
                <w:rPr>
                  <w:rFonts w:hint="eastAsia"/>
                  <w:b/>
                </w:rPr>
                <w:t>是</w:t>
              </w:r>
              <w:r>
                <w:rPr>
                  <w:rFonts w:hint="eastAsia"/>
                  <w:b/>
                </w:rPr>
                <w:t>科技研发实力强劲。</w:t>
              </w:r>
              <w:r>
                <w:rPr>
                  <w:rFonts w:hint="eastAsia"/>
                  <w:bCs/>
                </w:rPr>
                <w:t>煤气化、液化技术打破发达国家垄断，科技部重大攻关项目“4000吨级煤气化示范装置”国际领先；建成国内首套百万吨级煤间接液化示范装置，成为国内唯一掌握高温、低温费托合成技术的企业。研制应用世界首套8.2米超大采高综采装备，建成全球功能最全、加载能力最大的50000KN液压支架整架试验台。拥有2个国家级、14个省部级研发平台，兖矿能源技术中心被认定为国家级企业技术中心。</w:t>
              </w:r>
            </w:p>
          </w:sdtContent>
        </w:sdt>
      </w:sdtContent>
    </w:sdt>
    <w:bookmarkEnd w:id="28"/>
    <w:p w14:paraId="3D36B57B" w14:textId="77777777" w:rsidR="00B201D3" w:rsidRDefault="00B201D3">
      <w:pPr>
        <w:pStyle w:val="3903"/>
      </w:pPr>
    </w:p>
    <w:sdt>
      <w:sdtPr>
        <w:rPr>
          <w:rFonts w:ascii="宋体" w:hAnsi="宋体" w:cs="宋体" w:hint="eastAsia"/>
          <w:b w:val="0"/>
          <w:bCs w:val="0"/>
          <w:kern w:val="0"/>
          <w:szCs w:val="24"/>
        </w:rPr>
        <w:alias w:val="模块:经营情况的讨论与分析"/>
        <w:tag w:val="_GBC_ba3734a9f27a452095f3115c17f4b09e"/>
        <w:id w:val="1035165270"/>
        <w:placeholder>
          <w:docPart w:val="GBC22222222222222222222222222222"/>
        </w:placeholder>
      </w:sdtPr>
      <w:sdtEndPr>
        <w:rPr>
          <w:szCs w:val="21"/>
        </w:rPr>
      </w:sdtEndPr>
      <w:sdtContent>
        <w:p w14:paraId="76DD03E6" w14:textId="77777777" w:rsidR="00B201D3" w:rsidRPr="006D4FBA" w:rsidRDefault="009855E8">
          <w:pPr>
            <w:pStyle w:val="2"/>
            <w:numPr>
              <w:ilvl w:val="0"/>
              <w:numId w:val="6"/>
            </w:numPr>
            <w:tabs>
              <w:tab w:val="left" w:pos="426"/>
            </w:tabs>
            <w:jc w:val="left"/>
            <w:rPr>
              <w:rFonts w:ascii="宋体" w:hAnsi="宋体" w:cs="宋体"/>
              <w:kern w:val="0"/>
              <w:szCs w:val="24"/>
            </w:rPr>
          </w:pPr>
          <w:r w:rsidRPr="006D4FBA">
            <w:rPr>
              <w:rFonts w:ascii="宋体" w:hAnsi="宋体" w:cs="宋体"/>
              <w:kern w:val="0"/>
              <w:szCs w:val="24"/>
            </w:rPr>
            <w:t>经营情况的讨论与分析</w:t>
          </w:r>
        </w:p>
        <w:sdt>
          <w:sdtPr>
            <w:rPr>
              <w:rFonts w:hint="eastAsia"/>
            </w:rPr>
            <w:alias w:val="管理层讨论与分析"/>
            <w:tag w:val="_GBC_886258ec69e240da99b57ac102afbda6"/>
            <w:id w:val="-148987852"/>
            <w:placeholder>
              <w:docPart w:val="GBC22222222222222222222222222222"/>
            </w:placeholder>
          </w:sdtPr>
          <w:sdtEndPr/>
          <w:sdtContent>
            <w:p w14:paraId="17EB950E" w14:textId="77777777" w:rsidR="00B201D3" w:rsidRPr="006D4FBA" w:rsidRDefault="00B201D3">
              <w:pPr>
                <w:pStyle w:val="3903"/>
              </w:pPr>
            </w:p>
            <w:p w14:paraId="43C1EF5C" w14:textId="77777777" w:rsidR="00B201D3" w:rsidRPr="006D4FBA" w:rsidRDefault="009855E8">
              <w:pPr>
                <w:rPr>
                  <w:rFonts w:cstheme="minorBidi"/>
                  <w:lang w:val="en-GB"/>
                </w:rPr>
              </w:pPr>
              <w:r w:rsidRPr="006D4FBA">
                <w:rPr>
                  <w:rFonts w:cstheme="minorBidi" w:hint="eastAsia"/>
                  <w:lang w:val="en-GB"/>
                </w:rPr>
                <w:t>业务概况</w:t>
              </w:r>
            </w:p>
            <w:tbl>
              <w:tblPr>
                <w:tblStyle w:val="g11"/>
                <w:tblW w:w="879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2"/>
                <w:gridCol w:w="1541"/>
                <w:gridCol w:w="1560"/>
                <w:gridCol w:w="1418"/>
                <w:gridCol w:w="1419"/>
              </w:tblGrid>
              <w:tr w:rsidR="00B201D3" w:rsidRPr="006D4FBA" w14:paraId="4EFB3B73" w14:textId="77777777">
                <w:trPr>
                  <w:trHeight w:val="283"/>
                  <w:jc w:val="center"/>
                </w:trPr>
                <w:tc>
                  <w:tcPr>
                    <w:tcW w:w="2852" w:type="dxa"/>
                    <w:tcBorders>
                      <w:top w:val="single" w:sz="4" w:space="0" w:color="auto"/>
                      <w:left w:val="single" w:sz="4" w:space="0" w:color="auto"/>
                      <w:bottom w:val="single" w:sz="4" w:space="0" w:color="auto"/>
                      <w:right w:val="single" w:sz="4" w:space="0" w:color="auto"/>
                    </w:tcBorders>
                    <w:noWrap/>
                    <w:vAlign w:val="center"/>
                  </w:tcPr>
                  <w:p w14:paraId="02087BE2" w14:textId="77777777" w:rsidR="00B201D3" w:rsidRPr="006D4FBA" w:rsidRDefault="009855E8">
                    <w:pPr>
                      <w:jc w:val="center"/>
                      <w:rPr>
                        <w:rFonts w:ascii="宋体" w:hAnsi="宋体" w:cstheme="minorBidi"/>
                        <w:lang w:val="en-GB"/>
                      </w:rPr>
                    </w:pPr>
                    <w:r w:rsidRPr="006D4FBA">
                      <w:rPr>
                        <w:rFonts w:ascii="宋体" w:hAnsi="宋体" w:cstheme="minorBidi" w:hint="eastAsia"/>
                        <w:lang w:val="en-GB"/>
                      </w:rPr>
                      <w:t>项目</w:t>
                    </w:r>
                  </w:p>
                </w:tc>
                <w:tc>
                  <w:tcPr>
                    <w:tcW w:w="1541" w:type="dxa"/>
                    <w:tcBorders>
                      <w:top w:val="single" w:sz="4" w:space="0" w:color="auto"/>
                      <w:left w:val="single" w:sz="4" w:space="0" w:color="auto"/>
                      <w:bottom w:val="single" w:sz="4" w:space="0" w:color="auto"/>
                      <w:right w:val="single" w:sz="4" w:space="0" w:color="auto"/>
                    </w:tcBorders>
                    <w:vAlign w:val="center"/>
                  </w:tcPr>
                  <w:p w14:paraId="1A855051" w14:textId="77777777" w:rsidR="00B201D3" w:rsidRPr="006D4FBA" w:rsidRDefault="009855E8">
                    <w:pPr>
                      <w:jc w:val="center"/>
                      <w:rPr>
                        <w:rFonts w:ascii="宋体" w:hAnsi="宋体" w:cstheme="minorBidi"/>
                        <w:spacing w:val="-20"/>
                        <w:lang w:val="en-GB"/>
                      </w:rPr>
                    </w:pPr>
                    <w:r w:rsidRPr="006D4FBA">
                      <w:rPr>
                        <w:rFonts w:ascii="宋体" w:hAnsi="宋体" w:hint="eastAsia"/>
                        <w:lang w:val="en-GB"/>
                      </w:rPr>
                      <w:t>202</w:t>
                    </w:r>
                    <w:r w:rsidRPr="006D4FBA">
                      <w:rPr>
                        <w:rFonts w:ascii="宋体" w:hAnsi="宋体"/>
                        <w:lang w:val="en-GB"/>
                      </w:rPr>
                      <w:t>3</w:t>
                    </w:r>
                    <w:r w:rsidRPr="006D4FBA">
                      <w:rPr>
                        <w:rFonts w:ascii="宋体" w:hAnsi="宋体" w:hint="eastAsia"/>
                        <w:lang w:val="en-GB"/>
                      </w:rPr>
                      <w:t>年1-6月</w:t>
                    </w:r>
                  </w:p>
                </w:tc>
                <w:tc>
                  <w:tcPr>
                    <w:tcW w:w="1560" w:type="dxa"/>
                    <w:tcBorders>
                      <w:top w:val="single" w:sz="4" w:space="0" w:color="auto"/>
                      <w:left w:val="single" w:sz="4" w:space="0" w:color="auto"/>
                      <w:bottom w:val="single" w:sz="4" w:space="0" w:color="auto"/>
                      <w:right w:val="single" w:sz="4" w:space="0" w:color="auto"/>
                    </w:tcBorders>
                    <w:vAlign w:val="center"/>
                  </w:tcPr>
                  <w:p w14:paraId="0766E449" w14:textId="77777777" w:rsidR="00B201D3" w:rsidRPr="006D4FBA" w:rsidRDefault="009855E8">
                    <w:pPr>
                      <w:jc w:val="center"/>
                      <w:rPr>
                        <w:rFonts w:ascii="宋体" w:hAnsi="宋体" w:cstheme="minorBidi"/>
                        <w:spacing w:val="-20"/>
                        <w:lang w:val="en-GB"/>
                      </w:rPr>
                    </w:pPr>
                    <w:r w:rsidRPr="006D4FBA">
                      <w:rPr>
                        <w:rFonts w:ascii="宋体" w:hAnsi="宋体" w:hint="eastAsia"/>
                        <w:lang w:val="en-GB"/>
                      </w:rPr>
                      <w:t>2022年1-6月</w:t>
                    </w:r>
                  </w:p>
                </w:tc>
                <w:tc>
                  <w:tcPr>
                    <w:tcW w:w="1418" w:type="dxa"/>
                    <w:tcBorders>
                      <w:top w:val="single" w:sz="4" w:space="0" w:color="auto"/>
                      <w:left w:val="single" w:sz="4" w:space="0" w:color="auto"/>
                      <w:bottom w:val="single" w:sz="4" w:space="0" w:color="auto"/>
                      <w:right w:val="single" w:sz="4" w:space="0" w:color="auto"/>
                    </w:tcBorders>
                    <w:vAlign w:val="center"/>
                  </w:tcPr>
                  <w:p w14:paraId="1150791F" w14:textId="77777777" w:rsidR="00B201D3" w:rsidRPr="006D4FBA" w:rsidRDefault="009855E8">
                    <w:pPr>
                      <w:jc w:val="center"/>
                      <w:rPr>
                        <w:rFonts w:ascii="宋体" w:hAnsi="宋体" w:cstheme="minorBidi"/>
                        <w:lang w:val="en-GB"/>
                      </w:rPr>
                    </w:pPr>
                    <w:r w:rsidRPr="006D4FBA">
                      <w:rPr>
                        <w:rFonts w:ascii="宋体" w:hAnsi="宋体" w:cstheme="minorBidi" w:hint="eastAsia"/>
                        <w:lang w:val="en-GB"/>
                      </w:rPr>
                      <w:t>增减</w:t>
                    </w:r>
                  </w:p>
                </w:tc>
                <w:tc>
                  <w:tcPr>
                    <w:tcW w:w="1419" w:type="dxa"/>
                    <w:tcBorders>
                      <w:top w:val="single" w:sz="4" w:space="0" w:color="auto"/>
                      <w:left w:val="single" w:sz="4" w:space="0" w:color="auto"/>
                      <w:bottom w:val="single" w:sz="4" w:space="0" w:color="auto"/>
                      <w:right w:val="single" w:sz="4" w:space="0" w:color="auto"/>
                    </w:tcBorders>
                    <w:vAlign w:val="center"/>
                  </w:tcPr>
                  <w:p w14:paraId="5743615E" w14:textId="77777777" w:rsidR="00B201D3" w:rsidRPr="006D4FBA" w:rsidRDefault="009855E8">
                    <w:pPr>
                      <w:jc w:val="center"/>
                      <w:rPr>
                        <w:rFonts w:ascii="宋体" w:hAnsi="宋体" w:cstheme="minorBidi"/>
                        <w:lang w:val="en-GB"/>
                      </w:rPr>
                    </w:pPr>
                    <w:r w:rsidRPr="006D4FBA">
                      <w:rPr>
                        <w:rFonts w:ascii="宋体" w:hAnsi="宋体" w:cstheme="minorBidi" w:hint="eastAsia"/>
                        <w:lang w:val="en-GB"/>
                      </w:rPr>
                      <w:t>增减幅（%）</w:t>
                    </w:r>
                  </w:p>
                </w:tc>
              </w:tr>
              <w:tr w:rsidR="00B201D3" w:rsidRPr="006D4FBA" w14:paraId="6E1A7D6A" w14:textId="77777777">
                <w:trPr>
                  <w:trHeight w:val="348"/>
                  <w:jc w:val="center"/>
                </w:trPr>
                <w:tc>
                  <w:tcPr>
                    <w:tcW w:w="8790" w:type="dxa"/>
                    <w:gridSpan w:val="5"/>
                    <w:tcBorders>
                      <w:top w:val="single" w:sz="4" w:space="0" w:color="auto"/>
                      <w:left w:val="single" w:sz="4" w:space="0" w:color="auto"/>
                      <w:bottom w:val="single" w:sz="4" w:space="0" w:color="auto"/>
                      <w:right w:val="single" w:sz="4" w:space="0" w:color="auto"/>
                    </w:tcBorders>
                    <w:noWrap/>
                    <w:vAlign w:val="center"/>
                  </w:tcPr>
                  <w:p w14:paraId="17247EA0" w14:textId="77777777" w:rsidR="00B201D3" w:rsidRPr="006D4FBA" w:rsidRDefault="009855E8">
                    <w:pPr>
                      <w:rPr>
                        <w:rFonts w:ascii="宋体" w:hAnsi="宋体" w:cstheme="minorBidi"/>
                        <w:lang w:val="en-GB"/>
                      </w:rPr>
                    </w:pPr>
                    <w:r w:rsidRPr="006D4FBA">
                      <w:rPr>
                        <w:rFonts w:ascii="宋体" w:hAnsi="宋体" w:cstheme="minorBidi" w:hint="eastAsia"/>
                        <w:lang w:val="en-GB"/>
                      </w:rPr>
                      <w:t>1.煤炭业务（千吨）</w:t>
                    </w:r>
                  </w:p>
                </w:tc>
              </w:tr>
              <w:tr w:rsidR="00B201D3" w:rsidRPr="006D4FBA" w14:paraId="33969DE3" w14:textId="77777777">
                <w:trPr>
                  <w:trHeight w:val="348"/>
                  <w:jc w:val="center"/>
                </w:trPr>
                <w:tc>
                  <w:tcPr>
                    <w:tcW w:w="2852" w:type="dxa"/>
                    <w:tcBorders>
                      <w:top w:val="single" w:sz="4" w:space="0" w:color="auto"/>
                      <w:left w:val="single" w:sz="4" w:space="0" w:color="auto"/>
                      <w:bottom w:val="single" w:sz="4" w:space="0" w:color="auto"/>
                      <w:right w:val="single" w:sz="4" w:space="0" w:color="auto"/>
                    </w:tcBorders>
                    <w:noWrap/>
                    <w:vAlign w:val="center"/>
                  </w:tcPr>
                  <w:p w14:paraId="094A3BAE" w14:textId="77777777" w:rsidR="00B201D3" w:rsidRPr="006D4FBA" w:rsidRDefault="009855E8">
                    <w:pPr>
                      <w:ind w:firstLineChars="200" w:firstLine="420"/>
                      <w:rPr>
                        <w:rFonts w:ascii="宋体" w:hAnsi="宋体" w:cstheme="minorBidi"/>
                        <w:lang w:val="en-GB"/>
                      </w:rPr>
                    </w:pPr>
                    <w:r w:rsidRPr="006D4FBA">
                      <w:rPr>
                        <w:rFonts w:ascii="宋体" w:hAnsi="宋体" w:cstheme="minorBidi" w:hint="eastAsia"/>
                        <w:lang w:val="en-GB"/>
                      </w:rPr>
                      <w:t>商品煤产量</w:t>
                    </w:r>
                  </w:p>
                </w:tc>
                <w:tc>
                  <w:tcPr>
                    <w:tcW w:w="1541" w:type="dxa"/>
                    <w:tcBorders>
                      <w:top w:val="single" w:sz="4" w:space="0" w:color="auto"/>
                      <w:left w:val="single" w:sz="4" w:space="0" w:color="auto"/>
                      <w:bottom w:val="single" w:sz="4" w:space="0" w:color="auto"/>
                      <w:right w:val="single" w:sz="4" w:space="0" w:color="auto"/>
                    </w:tcBorders>
                    <w:noWrap/>
                    <w:vAlign w:val="center"/>
                  </w:tcPr>
                  <w:p w14:paraId="7FE03289" w14:textId="77777777" w:rsidR="00B201D3" w:rsidRPr="006D4FBA" w:rsidRDefault="009855E8">
                    <w:pPr>
                      <w:jc w:val="right"/>
                      <w:rPr>
                        <w:rFonts w:ascii="宋体" w:hAnsi="宋体"/>
                      </w:rPr>
                    </w:pPr>
                    <w:r w:rsidRPr="006D4FBA">
                      <w:rPr>
                        <w:rFonts w:ascii="宋体" w:hAnsi="宋体"/>
                      </w:rPr>
                      <w:t xml:space="preserve">49,232 </w:t>
                    </w:r>
                  </w:p>
                </w:tc>
                <w:tc>
                  <w:tcPr>
                    <w:tcW w:w="1560" w:type="dxa"/>
                    <w:tcBorders>
                      <w:top w:val="single" w:sz="4" w:space="0" w:color="auto"/>
                      <w:left w:val="single" w:sz="4" w:space="0" w:color="auto"/>
                      <w:bottom w:val="single" w:sz="4" w:space="0" w:color="auto"/>
                      <w:right w:val="single" w:sz="4" w:space="0" w:color="auto"/>
                    </w:tcBorders>
                    <w:noWrap/>
                    <w:vAlign w:val="center"/>
                  </w:tcPr>
                  <w:p w14:paraId="56FFB80A" w14:textId="77777777" w:rsidR="00B201D3" w:rsidRPr="006D4FBA" w:rsidRDefault="009855E8">
                    <w:pPr>
                      <w:jc w:val="right"/>
                      <w:rPr>
                        <w:rFonts w:ascii="宋体" w:hAnsi="宋体"/>
                      </w:rPr>
                    </w:pPr>
                    <w:r w:rsidRPr="006D4FBA">
                      <w:rPr>
                        <w:rFonts w:ascii="宋体" w:hAnsi="宋体"/>
                      </w:rPr>
                      <w:t>50,638</w:t>
                    </w:r>
                  </w:p>
                </w:tc>
                <w:tc>
                  <w:tcPr>
                    <w:tcW w:w="1418" w:type="dxa"/>
                    <w:tcBorders>
                      <w:top w:val="single" w:sz="4" w:space="0" w:color="auto"/>
                      <w:left w:val="single" w:sz="4" w:space="0" w:color="auto"/>
                      <w:bottom w:val="single" w:sz="4" w:space="0" w:color="auto"/>
                      <w:right w:val="single" w:sz="4" w:space="0" w:color="auto"/>
                    </w:tcBorders>
                    <w:noWrap/>
                    <w:vAlign w:val="center"/>
                  </w:tcPr>
                  <w:p w14:paraId="2B4444A8" w14:textId="77777777" w:rsidR="00B201D3" w:rsidRPr="006D4FBA" w:rsidRDefault="009855E8">
                    <w:pPr>
                      <w:jc w:val="right"/>
                      <w:rPr>
                        <w:rFonts w:ascii="宋体" w:hAnsi="宋体"/>
                      </w:rPr>
                    </w:pPr>
                    <w:r w:rsidRPr="006D4FBA">
                      <w:rPr>
                        <w:rFonts w:ascii="宋体" w:hAnsi="宋体"/>
                      </w:rPr>
                      <w:t xml:space="preserve">-1,406 </w:t>
                    </w:r>
                  </w:p>
                </w:tc>
                <w:tc>
                  <w:tcPr>
                    <w:tcW w:w="1419" w:type="dxa"/>
                    <w:tcBorders>
                      <w:top w:val="single" w:sz="4" w:space="0" w:color="auto"/>
                      <w:left w:val="single" w:sz="4" w:space="0" w:color="auto"/>
                      <w:bottom w:val="single" w:sz="4" w:space="0" w:color="auto"/>
                      <w:right w:val="single" w:sz="4" w:space="0" w:color="auto"/>
                    </w:tcBorders>
                    <w:noWrap/>
                    <w:vAlign w:val="center"/>
                  </w:tcPr>
                  <w:p w14:paraId="750A9F85" w14:textId="77777777" w:rsidR="00B201D3" w:rsidRPr="006D4FBA" w:rsidRDefault="009855E8">
                    <w:pPr>
                      <w:jc w:val="right"/>
                      <w:rPr>
                        <w:rFonts w:ascii="宋体" w:hAnsi="宋体"/>
                      </w:rPr>
                    </w:pPr>
                    <w:r w:rsidRPr="006D4FBA">
                      <w:rPr>
                        <w:rFonts w:ascii="宋体" w:hAnsi="宋体"/>
                      </w:rPr>
                      <w:t xml:space="preserve">-2.78 </w:t>
                    </w:r>
                  </w:p>
                </w:tc>
              </w:tr>
              <w:tr w:rsidR="00B201D3" w:rsidRPr="006D4FBA" w14:paraId="2D0908AD" w14:textId="77777777">
                <w:trPr>
                  <w:trHeight w:val="348"/>
                  <w:jc w:val="center"/>
                </w:trPr>
                <w:tc>
                  <w:tcPr>
                    <w:tcW w:w="2852" w:type="dxa"/>
                    <w:tcBorders>
                      <w:top w:val="single" w:sz="4" w:space="0" w:color="auto"/>
                      <w:left w:val="single" w:sz="4" w:space="0" w:color="auto"/>
                      <w:bottom w:val="single" w:sz="4" w:space="0" w:color="auto"/>
                      <w:right w:val="single" w:sz="4" w:space="0" w:color="auto"/>
                    </w:tcBorders>
                    <w:noWrap/>
                    <w:vAlign w:val="center"/>
                  </w:tcPr>
                  <w:p w14:paraId="3433EEF3" w14:textId="77777777" w:rsidR="00B201D3" w:rsidRPr="006D4FBA" w:rsidRDefault="009855E8">
                    <w:pPr>
                      <w:ind w:firstLineChars="200" w:firstLine="420"/>
                      <w:rPr>
                        <w:rFonts w:ascii="宋体" w:hAnsi="宋体" w:cstheme="minorBidi"/>
                        <w:vertAlign w:val="superscript"/>
                        <w:lang w:val="en-GB"/>
                      </w:rPr>
                    </w:pPr>
                    <w:r w:rsidRPr="006D4FBA">
                      <w:rPr>
                        <w:rFonts w:ascii="宋体" w:hAnsi="宋体" w:cstheme="minorBidi" w:hint="eastAsia"/>
                        <w:lang w:val="en-GB"/>
                      </w:rPr>
                      <w:t>商品煤</w:t>
                    </w:r>
                    <w:r w:rsidRPr="006D4FBA">
                      <w:rPr>
                        <w:rFonts w:ascii="宋体" w:hAnsi="宋体" w:cstheme="minorBidi" w:hint="eastAsia"/>
                        <w:kern w:val="2"/>
                        <w:lang w:val="en-GB"/>
                      </w:rPr>
                      <w:t>销量</w:t>
                    </w:r>
                  </w:p>
                </w:tc>
                <w:tc>
                  <w:tcPr>
                    <w:tcW w:w="1541" w:type="dxa"/>
                    <w:tcBorders>
                      <w:top w:val="single" w:sz="4" w:space="0" w:color="auto"/>
                      <w:left w:val="single" w:sz="4" w:space="0" w:color="auto"/>
                      <w:bottom w:val="single" w:sz="4" w:space="0" w:color="auto"/>
                      <w:right w:val="single" w:sz="4" w:space="0" w:color="auto"/>
                    </w:tcBorders>
                    <w:noWrap/>
                    <w:vAlign w:val="center"/>
                  </w:tcPr>
                  <w:p w14:paraId="47629FD1" w14:textId="77777777" w:rsidR="00B201D3" w:rsidRPr="006D4FBA" w:rsidRDefault="009855E8">
                    <w:pPr>
                      <w:jc w:val="right"/>
                      <w:rPr>
                        <w:rFonts w:ascii="宋体" w:hAnsi="宋体"/>
                      </w:rPr>
                    </w:pPr>
                    <w:r w:rsidRPr="006D4FBA">
                      <w:rPr>
                        <w:rFonts w:ascii="宋体" w:hAnsi="宋体"/>
                      </w:rPr>
                      <w:t>51,351</w:t>
                    </w:r>
                  </w:p>
                </w:tc>
                <w:tc>
                  <w:tcPr>
                    <w:tcW w:w="1560" w:type="dxa"/>
                    <w:tcBorders>
                      <w:top w:val="single" w:sz="4" w:space="0" w:color="auto"/>
                      <w:left w:val="single" w:sz="4" w:space="0" w:color="auto"/>
                      <w:bottom w:val="single" w:sz="4" w:space="0" w:color="auto"/>
                      <w:right w:val="single" w:sz="4" w:space="0" w:color="auto"/>
                    </w:tcBorders>
                    <w:noWrap/>
                    <w:vAlign w:val="center"/>
                  </w:tcPr>
                  <w:p w14:paraId="2D99EFF7" w14:textId="77777777" w:rsidR="00B201D3" w:rsidRPr="006D4FBA" w:rsidRDefault="009855E8">
                    <w:pPr>
                      <w:jc w:val="right"/>
                      <w:rPr>
                        <w:rFonts w:ascii="宋体" w:hAnsi="宋体"/>
                      </w:rPr>
                    </w:pPr>
                    <w:r w:rsidRPr="006D4FBA">
                      <w:rPr>
                        <w:rFonts w:ascii="宋体" w:hAnsi="宋体"/>
                      </w:rPr>
                      <w:t xml:space="preserve">53,068   </w:t>
                    </w:r>
                  </w:p>
                </w:tc>
                <w:tc>
                  <w:tcPr>
                    <w:tcW w:w="1418" w:type="dxa"/>
                    <w:tcBorders>
                      <w:top w:val="single" w:sz="4" w:space="0" w:color="auto"/>
                      <w:left w:val="single" w:sz="4" w:space="0" w:color="auto"/>
                      <w:bottom w:val="single" w:sz="4" w:space="0" w:color="auto"/>
                      <w:right w:val="single" w:sz="4" w:space="0" w:color="auto"/>
                    </w:tcBorders>
                    <w:noWrap/>
                    <w:vAlign w:val="center"/>
                  </w:tcPr>
                  <w:p w14:paraId="0597A4CF" w14:textId="77777777" w:rsidR="00B201D3" w:rsidRPr="006D4FBA" w:rsidRDefault="009855E8">
                    <w:pPr>
                      <w:jc w:val="right"/>
                      <w:rPr>
                        <w:rFonts w:ascii="宋体" w:hAnsi="宋体"/>
                      </w:rPr>
                    </w:pPr>
                    <w:r w:rsidRPr="006D4FBA">
                      <w:rPr>
                        <w:rFonts w:ascii="宋体" w:hAnsi="宋体"/>
                      </w:rPr>
                      <w:t xml:space="preserve">-1,717 </w:t>
                    </w:r>
                  </w:p>
                </w:tc>
                <w:tc>
                  <w:tcPr>
                    <w:tcW w:w="1419" w:type="dxa"/>
                    <w:tcBorders>
                      <w:top w:val="single" w:sz="4" w:space="0" w:color="auto"/>
                      <w:left w:val="single" w:sz="4" w:space="0" w:color="auto"/>
                      <w:bottom w:val="single" w:sz="4" w:space="0" w:color="auto"/>
                      <w:right w:val="single" w:sz="4" w:space="0" w:color="auto"/>
                    </w:tcBorders>
                    <w:noWrap/>
                    <w:vAlign w:val="center"/>
                  </w:tcPr>
                  <w:p w14:paraId="259A5704" w14:textId="77777777" w:rsidR="00B201D3" w:rsidRPr="006D4FBA" w:rsidRDefault="009855E8">
                    <w:pPr>
                      <w:jc w:val="right"/>
                      <w:rPr>
                        <w:rFonts w:ascii="宋体" w:hAnsi="宋体"/>
                      </w:rPr>
                    </w:pPr>
                    <w:r w:rsidRPr="006D4FBA">
                      <w:rPr>
                        <w:rFonts w:ascii="宋体" w:hAnsi="宋体"/>
                      </w:rPr>
                      <w:t xml:space="preserve">-3.24 </w:t>
                    </w:r>
                  </w:p>
                </w:tc>
              </w:tr>
              <w:tr w:rsidR="00B201D3" w:rsidRPr="006D4FBA" w14:paraId="33D21EF6" w14:textId="77777777">
                <w:trPr>
                  <w:trHeight w:val="348"/>
                  <w:jc w:val="center"/>
                </w:trPr>
                <w:tc>
                  <w:tcPr>
                    <w:tcW w:w="8790" w:type="dxa"/>
                    <w:gridSpan w:val="5"/>
                    <w:tcBorders>
                      <w:top w:val="single" w:sz="4" w:space="0" w:color="auto"/>
                      <w:left w:val="single" w:sz="4" w:space="0" w:color="auto"/>
                      <w:bottom w:val="single" w:sz="4" w:space="0" w:color="auto"/>
                      <w:right w:val="single" w:sz="4" w:space="0" w:color="auto"/>
                    </w:tcBorders>
                    <w:noWrap/>
                    <w:vAlign w:val="center"/>
                  </w:tcPr>
                  <w:p w14:paraId="4E9E8E9E" w14:textId="77777777" w:rsidR="00B201D3" w:rsidRPr="006D4FBA" w:rsidRDefault="009855E8">
                    <w:pPr>
                      <w:rPr>
                        <w:rFonts w:ascii="宋体" w:hAnsi="宋体" w:cstheme="minorBidi"/>
                        <w:lang w:val="en-GB"/>
                      </w:rPr>
                    </w:pPr>
                    <w:r w:rsidRPr="006D4FBA">
                      <w:rPr>
                        <w:rFonts w:ascii="宋体" w:hAnsi="宋体" w:cstheme="minorBidi" w:hint="eastAsia"/>
                        <w:lang w:val="en-GB"/>
                      </w:rPr>
                      <w:t>2.煤化工业务（千吨）</w:t>
                    </w:r>
                  </w:p>
                </w:tc>
              </w:tr>
              <w:tr w:rsidR="00B201D3" w:rsidRPr="006D4FBA" w14:paraId="4EA7B6C1" w14:textId="77777777">
                <w:trPr>
                  <w:trHeight w:val="348"/>
                  <w:jc w:val="center"/>
                </w:trPr>
                <w:tc>
                  <w:tcPr>
                    <w:tcW w:w="2852" w:type="dxa"/>
                    <w:tcBorders>
                      <w:top w:val="single" w:sz="4" w:space="0" w:color="auto"/>
                      <w:left w:val="single" w:sz="4" w:space="0" w:color="auto"/>
                      <w:bottom w:val="single" w:sz="4" w:space="0" w:color="auto"/>
                      <w:right w:val="single" w:sz="4" w:space="0" w:color="auto"/>
                    </w:tcBorders>
                    <w:noWrap/>
                    <w:vAlign w:val="center"/>
                  </w:tcPr>
                  <w:p w14:paraId="1EFA9BDC" w14:textId="77777777" w:rsidR="00B201D3" w:rsidRPr="006D4FBA" w:rsidRDefault="009855E8">
                    <w:pPr>
                      <w:ind w:firstLineChars="200" w:firstLine="420"/>
                      <w:rPr>
                        <w:rFonts w:ascii="宋体" w:hAnsi="宋体" w:cstheme="minorBidi"/>
                        <w:lang w:val="en-GB"/>
                      </w:rPr>
                    </w:pPr>
                    <w:r w:rsidRPr="006D4FBA">
                      <w:rPr>
                        <w:rFonts w:ascii="宋体" w:hAnsi="宋体" w:cstheme="minorBidi" w:hint="eastAsia"/>
                        <w:lang w:val="en-GB"/>
                      </w:rPr>
                      <w:t>化工产品产量</w:t>
                    </w:r>
                  </w:p>
                </w:tc>
                <w:tc>
                  <w:tcPr>
                    <w:tcW w:w="1541" w:type="dxa"/>
                    <w:tcBorders>
                      <w:top w:val="single" w:sz="4" w:space="0" w:color="auto"/>
                      <w:left w:val="single" w:sz="4" w:space="0" w:color="auto"/>
                      <w:bottom w:val="single" w:sz="4" w:space="0" w:color="auto"/>
                      <w:right w:val="single" w:sz="4" w:space="0" w:color="auto"/>
                    </w:tcBorders>
                    <w:noWrap/>
                    <w:vAlign w:val="center"/>
                  </w:tcPr>
                  <w:p w14:paraId="0F3A0E42" w14:textId="77777777" w:rsidR="00B201D3" w:rsidRPr="006D4FBA" w:rsidRDefault="009855E8">
                    <w:pPr>
                      <w:jc w:val="right"/>
                      <w:rPr>
                        <w:rFonts w:ascii="宋体" w:hAnsi="宋体" w:cstheme="minorBidi"/>
                        <w:lang w:val="en-GB"/>
                      </w:rPr>
                    </w:pPr>
                    <w:r w:rsidRPr="006D4FBA">
                      <w:rPr>
                        <w:rFonts w:ascii="宋体" w:hAnsi="宋体"/>
                      </w:rPr>
                      <w:t xml:space="preserve">3,726 </w:t>
                    </w:r>
                  </w:p>
                </w:tc>
                <w:tc>
                  <w:tcPr>
                    <w:tcW w:w="1560" w:type="dxa"/>
                    <w:tcBorders>
                      <w:top w:val="single" w:sz="4" w:space="0" w:color="auto"/>
                      <w:left w:val="single" w:sz="4" w:space="0" w:color="auto"/>
                      <w:bottom w:val="single" w:sz="4" w:space="0" w:color="auto"/>
                      <w:right w:val="single" w:sz="4" w:space="0" w:color="auto"/>
                    </w:tcBorders>
                    <w:noWrap/>
                    <w:vAlign w:val="center"/>
                  </w:tcPr>
                  <w:p w14:paraId="4141AA75" w14:textId="77777777" w:rsidR="00B201D3" w:rsidRPr="006D4FBA" w:rsidRDefault="009855E8">
                    <w:pPr>
                      <w:jc w:val="right"/>
                      <w:rPr>
                        <w:rFonts w:ascii="宋体" w:hAnsi="宋体" w:cstheme="minorBidi"/>
                        <w:lang w:val="en-GB"/>
                      </w:rPr>
                    </w:pPr>
                    <w:r w:rsidRPr="006D4FBA">
                      <w:rPr>
                        <w:rFonts w:ascii="宋体" w:hAnsi="宋体"/>
                      </w:rPr>
                      <w:t>3,133</w:t>
                    </w:r>
                  </w:p>
                </w:tc>
                <w:tc>
                  <w:tcPr>
                    <w:tcW w:w="1418" w:type="dxa"/>
                    <w:tcBorders>
                      <w:top w:val="single" w:sz="4" w:space="0" w:color="auto"/>
                      <w:left w:val="single" w:sz="4" w:space="0" w:color="auto"/>
                      <w:bottom w:val="single" w:sz="4" w:space="0" w:color="auto"/>
                      <w:right w:val="single" w:sz="4" w:space="0" w:color="auto"/>
                    </w:tcBorders>
                    <w:noWrap/>
                    <w:vAlign w:val="center"/>
                  </w:tcPr>
                  <w:p w14:paraId="0F3511FD" w14:textId="77777777" w:rsidR="00B201D3" w:rsidRPr="006D4FBA" w:rsidRDefault="009855E8">
                    <w:pPr>
                      <w:jc w:val="right"/>
                      <w:rPr>
                        <w:rFonts w:ascii="宋体" w:hAnsi="宋体"/>
                      </w:rPr>
                    </w:pPr>
                    <w:r w:rsidRPr="006D4FBA">
                      <w:rPr>
                        <w:rFonts w:ascii="宋体" w:hAnsi="宋体"/>
                      </w:rPr>
                      <w:t xml:space="preserve">593 </w:t>
                    </w:r>
                  </w:p>
                </w:tc>
                <w:tc>
                  <w:tcPr>
                    <w:tcW w:w="1419" w:type="dxa"/>
                    <w:tcBorders>
                      <w:top w:val="single" w:sz="4" w:space="0" w:color="auto"/>
                      <w:left w:val="single" w:sz="4" w:space="0" w:color="auto"/>
                      <w:bottom w:val="single" w:sz="4" w:space="0" w:color="auto"/>
                      <w:right w:val="single" w:sz="4" w:space="0" w:color="auto"/>
                    </w:tcBorders>
                    <w:noWrap/>
                    <w:vAlign w:val="center"/>
                  </w:tcPr>
                  <w:p w14:paraId="01FFD554" w14:textId="77777777" w:rsidR="00B201D3" w:rsidRPr="006D4FBA" w:rsidRDefault="009855E8">
                    <w:pPr>
                      <w:jc w:val="right"/>
                      <w:rPr>
                        <w:rFonts w:ascii="宋体" w:hAnsi="宋体" w:cstheme="minorBidi"/>
                        <w:lang w:val="en-GB"/>
                      </w:rPr>
                    </w:pPr>
                    <w:r w:rsidRPr="006D4FBA">
                      <w:rPr>
                        <w:rFonts w:ascii="宋体" w:hAnsi="宋体"/>
                      </w:rPr>
                      <w:t xml:space="preserve">18.93 </w:t>
                    </w:r>
                  </w:p>
                </w:tc>
              </w:tr>
              <w:tr w:rsidR="00B201D3" w:rsidRPr="006D4FBA" w14:paraId="41B33995" w14:textId="77777777">
                <w:trPr>
                  <w:trHeight w:val="348"/>
                  <w:jc w:val="center"/>
                </w:trPr>
                <w:tc>
                  <w:tcPr>
                    <w:tcW w:w="2852" w:type="dxa"/>
                    <w:tcBorders>
                      <w:top w:val="single" w:sz="4" w:space="0" w:color="auto"/>
                      <w:left w:val="single" w:sz="4" w:space="0" w:color="auto"/>
                      <w:bottom w:val="single" w:sz="4" w:space="0" w:color="auto"/>
                      <w:right w:val="single" w:sz="4" w:space="0" w:color="auto"/>
                    </w:tcBorders>
                    <w:noWrap/>
                    <w:vAlign w:val="center"/>
                  </w:tcPr>
                  <w:p w14:paraId="131AEFA6" w14:textId="77777777" w:rsidR="00B201D3" w:rsidRPr="006D4FBA" w:rsidRDefault="009855E8">
                    <w:pPr>
                      <w:ind w:firstLineChars="200" w:firstLine="420"/>
                      <w:rPr>
                        <w:rFonts w:ascii="宋体" w:hAnsi="宋体" w:cstheme="minorBidi"/>
                        <w:lang w:val="en-GB"/>
                      </w:rPr>
                    </w:pPr>
                    <w:r w:rsidRPr="006D4FBA">
                      <w:rPr>
                        <w:rFonts w:ascii="宋体" w:hAnsi="宋体" w:cstheme="minorBidi" w:hint="eastAsia"/>
                        <w:lang w:val="en-GB"/>
                      </w:rPr>
                      <w:t>化工产品销量</w:t>
                    </w:r>
                  </w:p>
                </w:tc>
                <w:tc>
                  <w:tcPr>
                    <w:tcW w:w="1541" w:type="dxa"/>
                    <w:tcBorders>
                      <w:top w:val="single" w:sz="4" w:space="0" w:color="auto"/>
                      <w:left w:val="single" w:sz="4" w:space="0" w:color="auto"/>
                      <w:bottom w:val="single" w:sz="4" w:space="0" w:color="auto"/>
                      <w:right w:val="single" w:sz="4" w:space="0" w:color="auto"/>
                    </w:tcBorders>
                    <w:noWrap/>
                    <w:vAlign w:val="center"/>
                  </w:tcPr>
                  <w:p w14:paraId="0B685C25" w14:textId="77777777" w:rsidR="00B201D3" w:rsidRPr="006D4FBA" w:rsidRDefault="009855E8">
                    <w:pPr>
                      <w:jc w:val="right"/>
                      <w:rPr>
                        <w:rFonts w:ascii="宋体" w:hAnsi="宋体"/>
                      </w:rPr>
                    </w:pPr>
                    <w:r w:rsidRPr="006D4FBA">
                      <w:rPr>
                        <w:rFonts w:ascii="宋体" w:hAnsi="宋体"/>
                      </w:rPr>
                      <w:t xml:space="preserve">3,343 </w:t>
                    </w:r>
                  </w:p>
                </w:tc>
                <w:tc>
                  <w:tcPr>
                    <w:tcW w:w="1560" w:type="dxa"/>
                    <w:tcBorders>
                      <w:top w:val="single" w:sz="4" w:space="0" w:color="auto"/>
                      <w:left w:val="single" w:sz="4" w:space="0" w:color="auto"/>
                      <w:bottom w:val="single" w:sz="4" w:space="0" w:color="auto"/>
                      <w:right w:val="single" w:sz="4" w:space="0" w:color="auto"/>
                    </w:tcBorders>
                    <w:noWrap/>
                    <w:vAlign w:val="center"/>
                  </w:tcPr>
                  <w:p w14:paraId="3DA3AAB1" w14:textId="77777777" w:rsidR="00B201D3" w:rsidRPr="006D4FBA" w:rsidRDefault="009855E8">
                    <w:pPr>
                      <w:jc w:val="right"/>
                      <w:rPr>
                        <w:rFonts w:ascii="宋体" w:hAnsi="宋体"/>
                      </w:rPr>
                    </w:pPr>
                    <w:r w:rsidRPr="006D4FBA">
                      <w:rPr>
                        <w:rFonts w:ascii="宋体" w:hAnsi="宋体"/>
                      </w:rPr>
                      <w:t>2,915</w:t>
                    </w:r>
                  </w:p>
                </w:tc>
                <w:tc>
                  <w:tcPr>
                    <w:tcW w:w="1418" w:type="dxa"/>
                    <w:tcBorders>
                      <w:top w:val="single" w:sz="4" w:space="0" w:color="auto"/>
                      <w:left w:val="single" w:sz="4" w:space="0" w:color="auto"/>
                      <w:bottom w:val="single" w:sz="4" w:space="0" w:color="auto"/>
                      <w:right w:val="single" w:sz="4" w:space="0" w:color="auto"/>
                    </w:tcBorders>
                    <w:noWrap/>
                    <w:vAlign w:val="center"/>
                  </w:tcPr>
                  <w:p w14:paraId="4AD82B6E" w14:textId="77777777" w:rsidR="00B201D3" w:rsidRPr="006D4FBA" w:rsidRDefault="009855E8">
                    <w:pPr>
                      <w:jc w:val="right"/>
                      <w:rPr>
                        <w:rFonts w:ascii="宋体" w:hAnsi="宋体"/>
                      </w:rPr>
                    </w:pPr>
                    <w:r w:rsidRPr="006D4FBA">
                      <w:rPr>
                        <w:rFonts w:ascii="宋体" w:hAnsi="宋体"/>
                      </w:rPr>
                      <w:t xml:space="preserve">427 </w:t>
                    </w:r>
                  </w:p>
                </w:tc>
                <w:tc>
                  <w:tcPr>
                    <w:tcW w:w="1419" w:type="dxa"/>
                    <w:tcBorders>
                      <w:top w:val="single" w:sz="4" w:space="0" w:color="auto"/>
                      <w:left w:val="single" w:sz="4" w:space="0" w:color="auto"/>
                      <w:bottom w:val="single" w:sz="4" w:space="0" w:color="auto"/>
                      <w:right w:val="single" w:sz="4" w:space="0" w:color="auto"/>
                    </w:tcBorders>
                    <w:noWrap/>
                    <w:vAlign w:val="center"/>
                  </w:tcPr>
                  <w:p w14:paraId="620700B6" w14:textId="77777777" w:rsidR="00B201D3" w:rsidRPr="006D4FBA" w:rsidRDefault="009855E8">
                    <w:pPr>
                      <w:jc w:val="right"/>
                      <w:rPr>
                        <w:rFonts w:ascii="宋体" w:hAnsi="宋体"/>
                      </w:rPr>
                    </w:pPr>
                    <w:r w:rsidRPr="006D4FBA">
                      <w:rPr>
                        <w:rFonts w:ascii="宋体" w:hAnsi="宋体"/>
                      </w:rPr>
                      <w:t xml:space="preserve">14.66 </w:t>
                    </w:r>
                  </w:p>
                </w:tc>
              </w:tr>
              <w:tr w:rsidR="00B201D3" w:rsidRPr="006D4FBA" w14:paraId="1CECFBD9" w14:textId="77777777">
                <w:trPr>
                  <w:trHeight w:val="348"/>
                  <w:jc w:val="center"/>
                </w:trPr>
                <w:tc>
                  <w:tcPr>
                    <w:tcW w:w="8790" w:type="dxa"/>
                    <w:gridSpan w:val="5"/>
                    <w:tcBorders>
                      <w:top w:val="single" w:sz="4" w:space="0" w:color="auto"/>
                      <w:left w:val="single" w:sz="4" w:space="0" w:color="auto"/>
                      <w:bottom w:val="single" w:sz="4" w:space="0" w:color="auto"/>
                      <w:right w:val="single" w:sz="4" w:space="0" w:color="auto"/>
                    </w:tcBorders>
                    <w:noWrap/>
                    <w:vAlign w:val="center"/>
                  </w:tcPr>
                  <w:p w14:paraId="13B4DF73" w14:textId="77777777" w:rsidR="00B201D3" w:rsidRPr="006D4FBA" w:rsidRDefault="009855E8">
                    <w:pPr>
                      <w:rPr>
                        <w:rFonts w:ascii="宋体" w:hAnsi="宋体" w:cstheme="minorBidi"/>
                        <w:lang w:val="en-GB"/>
                      </w:rPr>
                    </w:pPr>
                    <w:r w:rsidRPr="006D4FBA">
                      <w:rPr>
                        <w:rFonts w:ascii="宋体" w:hAnsi="宋体" w:cstheme="minorBidi" w:hint="eastAsia"/>
                        <w:lang w:val="en-GB"/>
                      </w:rPr>
                      <w:t>3.电力业务（万千瓦时）</w:t>
                    </w:r>
                  </w:p>
                </w:tc>
              </w:tr>
              <w:tr w:rsidR="00B201D3" w:rsidRPr="006D4FBA" w14:paraId="35F0945D" w14:textId="77777777">
                <w:trPr>
                  <w:trHeight w:val="348"/>
                  <w:jc w:val="center"/>
                </w:trPr>
                <w:tc>
                  <w:tcPr>
                    <w:tcW w:w="2852" w:type="dxa"/>
                    <w:tcBorders>
                      <w:top w:val="single" w:sz="4" w:space="0" w:color="auto"/>
                      <w:left w:val="single" w:sz="4" w:space="0" w:color="auto"/>
                      <w:bottom w:val="single" w:sz="4" w:space="0" w:color="auto"/>
                      <w:right w:val="single" w:sz="4" w:space="0" w:color="auto"/>
                    </w:tcBorders>
                    <w:noWrap/>
                    <w:vAlign w:val="center"/>
                  </w:tcPr>
                  <w:p w14:paraId="4A8668BB" w14:textId="77777777" w:rsidR="00B201D3" w:rsidRPr="006D4FBA" w:rsidRDefault="009855E8">
                    <w:pPr>
                      <w:ind w:firstLineChars="200" w:firstLine="420"/>
                      <w:rPr>
                        <w:rFonts w:ascii="宋体" w:hAnsi="宋体" w:cstheme="minorBidi"/>
                        <w:lang w:val="en-GB"/>
                      </w:rPr>
                    </w:pPr>
                    <w:r w:rsidRPr="006D4FBA">
                      <w:rPr>
                        <w:rFonts w:ascii="宋体" w:hAnsi="宋体" w:cstheme="minorBidi" w:hint="eastAsia"/>
                        <w:lang w:val="en-GB"/>
                      </w:rPr>
                      <w:t>发电量</w:t>
                    </w:r>
                  </w:p>
                </w:tc>
                <w:tc>
                  <w:tcPr>
                    <w:tcW w:w="1541" w:type="dxa"/>
                    <w:tcBorders>
                      <w:top w:val="single" w:sz="4" w:space="0" w:color="auto"/>
                      <w:left w:val="single" w:sz="4" w:space="0" w:color="auto"/>
                      <w:bottom w:val="single" w:sz="4" w:space="0" w:color="auto"/>
                      <w:right w:val="single" w:sz="4" w:space="0" w:color="auto"/>
                    </w:tcBorders>
                    <w:noWrap/>
                    <w:vAlign w:val="center"/>
                  </w:tcPr>
                  <w:p w14:paraId="216CB0EB" w14:textId="77777777" w:rsidR="00B201D3" w:rsidRPr="006D4FBA" w:rsidRDefault="009855E8">
                    <w:pPr>
                      <w:jc w:val="right"/>
                      <w:rPr>
                        <w:rFonts w:ascii="宋体" w:hAnsi="宋体"/>
                      </w:rPr>
                    </w:pPr>
                    <w:r w:rsidRPr="006D4FBA">
                      <w:rPr>
                        <w:rFonts w:ascii="宋体" w:hAnsi="宋体"/>
                      </w:rPr>
                      <w:t>426,017</w:t>
                    </w:r>
                  </w:p>
                </w:tc>
                <w:tc>
                  <w:tcPr>
                    <w:tcW w:w="1560" w:type="dxa"/>
                    <w:tcBorders>
                      <w:top w:val="single" w:sz="4" w:space="0" w:color="auto"/>
                      <w:left w:val="single" w:sz="4" w:space="0" w:color="auto"/>
                      <w:bottom w:val="single" w:sz="4" w:space="0" w:color="auto"/>
                      <w:right w:val="single" w:sz="4" w:space="0" w:color="auto"/>
                    </w:tcBorders>
                    <w:noWrap/>
                    <w:vAlign w:val="center"/>
                  </w:tcPr>
                  <w:p w14:paraId="61CBD8D2" w14:textId="77777777" w:rsidR="00B201D3" w:rsidRPr="006D4FBA" w:rsidRDefault="009855E8">
                    <w:pPr>
                      <w:jc w:val="right"/>
                      <w:rPr>
                        <w:rFonts w:ascii="宋体" w:hAnsi="宋体"/>
                      </w:rPr>
                    </w:pPr>
                    <w:r w:rsidRPr="006D4FBA">
                      <w:rPr>
                        <w:rFonts w:ascii="宋体" w:hAnsi="宋体"/>
                      </w:rPr>
                      <w:t>382,644</w:t>
                    </w:r>
                  </w:p>
                </w:tc>
                <w:tc>
                  <w:tcPr>
                    <w:tcW w:w="1418" w:type="dxa"/>
                    <w:tcBorders>
                      <w:top w:val="single" w:sz="4" w:space="0" w:color="auto"/>
                      <w:left w:val="single" w:sz="4" w:space="0" w:color="auto"/>
                      <w:bottom w:val="single" w:sz="4" w:space="0" w:color="auto"/>
                      <w:right w:val="single" w:sz="4" w:space="0" w:color="auto"/>
                    </w:tcBorders>
                    <w:noWrap/>
                    <w:vAlign w:val="center"/>
                  </w:tcPr>
                  <w:p w14:paraId="6449EBFE" w14:textId="77777777" w:rsidR="00B201D3" w:rsidRPr="006D4FBA" w:rsidRDefault="009855E8">
                    <w:pPr>
                      <w:jc w:val="right"/>
                      <w:rPr>
                        <w:rFonts w:ascii="宋体" w:hAnsi="宋体"/>
                      </w:rPr>
                    </w:pPr>
                    <w:r w:rsidRPr="006D4FBA">
                      <w:rPr>
                        <w:rFonts w:ascii="宋体" w:hAnsi="宋体"/>
                      </w:rPr>
                      <w:t xml:space="preserve">43,374 </w:t>
                    </w:r>
                  </w:p>
                </w:tc>
                <w:tc>
                  <w:tcPr>
                    <w:tcW w:w="1419" w:type="dxa"/>
                    <w:tcBorders>
                      <w:top w:val="single" w:sz="4" w:space="0" w:color="auto"/>
                      <w:left w:val="single" w:sz="4" w:space="0" w:color="auto"/>
                      <w:bottom w:val="single" w:sz="4" w:space="0" w:color="auto"/>
                      <w:right w:val="single" w:sz="4" w:space="0" w:color="auto"/>
                    </w:tcBorders>
                    <w:noWrap/>
                    <w:vAlign w:val="center"/>
                  </w:tcPr>
                  <w:p w14:paraId="02EF6B35" w14:textId="77777777" w:rsidR="00B201D3" w:rsidRPr="006D4FBA" w:rsidRDefault="009855E8">
                    <w:pPr>
                      <w:jc w:val="right"/>
                      <w:rPr>
                        <w:rFonts w:ascii="宋体" w:hAnsi="宋体"/>
                      </w:rPr>
                    </w:pPr>
                    <w:r w:rsidRPr="006D4FBA">
                      <w:rPr>
                        <w:rFonts w:ascii="宋体" w:hAnsi="宋体"/>
                      </w:rPr>
                      <w:t xml:space="preserve">11.34 </w:t>
                    </w:r>
                  </w:p>
                </w:tc>
              </w:tr>
              <w:tr w:rsidR="00B201D3" w:rsidRPr="006D4FBA" w14:paraId="7E5FC98A" w14:textId="77777777">
                <w:trPr>
                  <w:trHeight w:val="348"/>
                  <w:jc w:val="center"/>
                </w:trPr>
                <w:tc>
                  <w:tcPr>
                    <w:tcW w:w="2852" w:type="dxa"/>
                    <w:tcBorders>
                      <w:top w:val="single" w:sz="4" w:space="0" w:color="auto"/>
                      <w:left w:val="single" w:sz="4" w:space="0" w:color="auto"/>
                      <w:bottom w:val="single" w:sz="4" w:space="0" w:color="auto"/>
                      <w:right w:val="single" w:sz="4" w:space="0" w:color="auto"/>
                    </w:tcBorders>
                    <w:noWrap/>
                    <w:vAlign w:val="center"/>
                  </w:tcPr>
                  <w:p w14:paraId="697891E5" w14:textId="77777777" w:rsidR="00B201D3" w:rsidRPr="006D4FBA" w:rsidRDefault="009855E8">
                    <w:pPr>
                      <w:ind w:firstLineChars="200" w:firstLine="420"/>
                      <w:rPr>
                        <w:rFonts w:ascii="宋体" w:hAnsi="宋体" w:cstheme="minorBidi"/>
                        <w:lang w:val="en-GB"/>
                      </w:rPr>
                    </w:pPr>
                    <w:r w:rsidRPr="006D4FBA">
                      <w:rPr>
                        <w:rFonts w:ascii="宋体" w:hAnsi="宋体" w:cstheme="minorBidi" w:hint="eastAsia"/>
                        <w:lang w:val="en-GB"/>
                      </w:rPr>
                      <w:t>售电量</w:t>
                    </w:r>
                  </w:p>
                </w:tc>
                <w:tc>
                  <w:tcPr>
                    <w:tcW w:w="1541" w:type="dxa"/>
                    <w:tcBorders>
                      <w:top w:val="single" w:sz="4" w:space="0" w:color="auto"/>
                      <w:left w:val="single" w:sz="4" w:space="0" w:color="auto"/>
                      <w:bottom w:val="single" w:sz="4" w:space="0" w:color="auto"/>
                      <w:right w:val="single" w:sz="4" w:space="0" w:color="auto"/>
                    </w:tcBorders>
                    <w:noWrap/>
                    <w:vAlign w:val="center"/>
                  </w:tcPr>
                  <w:p w14:paraId="5181F46D" w14:textId="77777777" w:rsidR="00B201D3" w:rsidRPr="006D4FBA" w:rsidRDefault="009855E8">
                    <w:pPr>
                      <w:jc w:val="right"/>
                      <w:rPr>
                        <w:rFonts w:ascii="宋体" w:hAnsi="宋体"/>
                      </w:rPr>
                    </w:pPr>
                    <w:r w:rsidRPr="006D4FBA">
                      <w:rPr>
                        <w:rFonts w:ascii="宋体" w:hAnsi="宋体"/>
                      </w:rPr>
                      <w:t>353,872</w:t>
                    </w:r>
                  </w:p>
                </w:tc>
                <w:tc>
                  <w:tcPr>
                    <w:tcW w:w="1560" w:type="dxa"/>
                    <w:tcBorders>
                      <w:top w:val="single" w:sz="4" w:space="0" w:color="auto"/>
                      <w:left w:val="single" w:sz="4" w:space="0" w:color="auto"/>
                      <w:bottom w:val="single" w:sz="4" w:space="0" w:color="auto"/>
                      <w:right w:val="single" w:sz="4" w:space="0" w:color="auto"/>
                    </w:tcBorders>
                    <w:noWrap/>
                    <w:vAlign w:val="center"/>
                  </w:tcPr>
                  <w:p w14:paraId="018AEB91" w14:textId="77777777" w:rsidR="00B201D3" w:rsidRPr="006D4FBA" w:rsidRDefault="009855E8">
                    <w:pPr>
                      <w:jc w:val="right"/>
                      <w:rPr>
                        <w:rFonts w:ascii="宋体" w:hAnsi="宋体"/>
                      </w:rPr>
                    </w:pPr>
                    <w:r w:rsidRPr="006D4FBA">
                      <w:rPr>
                        <w:rFonts w:ascii="宋体" w:hAnsi="宋体"/>
                      </w:rPr>
                      <w:t>322,604</w:t>
                    </w:r>
                  </w:p>
                </w:tc>
                <w:tc>
                  <w:tcPr>
                    <w:tcW w:w="1418" w:type="dxa"/>
                    <w:tcBorders>
                      <w:top w:val="single" w:sz="4" w:space="0" w:color="auto"/>
                      <w:left w:val="single" w:sz="4" w:space="0" w:color="auto"/>
                      <w:bottom w:val="single" w:sz="4" w:space="0" w:color="auto"/>
                      <w:right w:val="single" w:sz="4" w:space="0" w:color="auto"/>
                    </w:tcBorders>
                    <w:noWrap/>
                    <w:vAlign w:val="center"/>
                  </w:tcPr>
                  <w:p w14:paraId="497BD7B7" w14:textId="77777777" w:rsidR="00B201D3" w:rsidRPr="006D4FBA" w:rsidRDefault="009855E8">
                    <w:pPr>
                      <w:jc w:val="right"/>
                      <w:rPr>
                        <w:rFonts w:ascii="宋体" w:hAnsi="宋体"/>
                      </w:rPr>
                    </w:pPr>
                    <w:r w:rsidRPr="006D4FBA">
                      <w:rPr>
                        <w:rFonts w:ascii="宋体" w:hAnsi="宋体"/>
                      </w:rPr>
                      <w:t xml:space="preserve">31,268 </w:t>
                    </w:r>
                  </w:p>
                </w:tc>
                <w:tc>
                  <w:tcPr>
                    <w:tcW w:w="1419" w:type="dxa"/>
                    <w:tcBorders>
                      <w:top w:val="single" w:sz="4" w:space="0" w:color="auto"/>
                      <w:left w:val="single" w:sz="4" w:space="0" w:color="auto"/>
                      <w:bottom w:val="single" w:sz="4" w:space="0" w:color="auto"/>
                      <w:right w:val="single" w:sz="4" w:space="0" w:color="auto"/>
                    </w:tcBorders>
                    <w:noWrap/>
                    <w:vAlign w:val="center"/>
                  </w:tcPr>
                  <w:p w14:paraId="2F0F709B" w14:textId="77777777" w:rsidR="00B201D3" w:rsidRPr="006D4FBA" w:rsidRDefault="009855E8">
                    <w:pPr>
                      <w:jc w:val="right"/>
                      <w:rPr>
                        <w:rFonts w:ascii="宋体" w:hAnsi="宋体"/>
                      </w:rPr>
                    </w:pPr>
                    <w:r w:rsidRPr="006D4FBA">
                      <w:rPr>
                        <w:rFonts w:ascii="宋体" w:hAnsi="宋体"/>
                      </w:rPr>
                      <w:t xml:space="preserve">9.69 </w:t>
                    </w:r>
                  </w:p>
                </w:tc>
              </w:tr>
            </w:tbl>
            <w:p w14:paraId="3BC3AE2A" w14:textId="77777777" w:rsidR="00B201D3" w:rsidRPr="006D4FBA" w:rsidRDefault="00C8327E">
              <w:pPr>
                <w:rPr>
                  <w:bCs/>
                </w:rPr>
              </w:pPr>
            </w:p>
          </w:sdtContent>
        </w:sdt>
        <w:p w14:paraId="5CFD64FC" w14:textId="77777777" w:rsidR="00B201D3" w:rsidRPr="006D4FBA" w:rsidRDefault="00C8327E">
          <w:pPr>
            <w:pStyle w:val="3903"/>
          </w:pPr>
        </w:p>
      </w:sdtContent>
    </w:sdt>
    <w:sdt>
      <w:sdtPr>
        <w:rPr>
          <w:rFonts w:hint="eastAsia"/>
        </w:rPr>
        <w:alias w:val="模块:报告期内公司经营情况的重大变化，以及报告期内发生的对公司经营..."/>
        <w:tag w:val="_SEC_5c790aea31ad48bb8832d20c53fcc625"/>
        <w:id w:val="-2084819100"/>
        <w:lock w:val="sdtLocked"/>
        <w:placeholder>
          <w:docPart w:val="GBC22222222222222222222222222222"/>
        </w:placeholder>
      </w:sdtPr>
      <w:sdtEndPr>
        <w:rPr>
          <w:rFonts w:hint="default"/>
        </w:rPr>
      </w:sdtEndPr>
      <w:sdtContent>
        <w:p w14:paraId="00180EB0" w14:textId="77777777" w:rsidR="00B201D3" w:rsidRPr="006D4FBA" w:rsidRDefault="009855E8">
          <w:pPr>
            <w:ind w:firstLineChars="200" w:firstLine="420"/>
            <w:jc w:val="both"/>
            <w:rPr>
              <w:b/>
              <w:bCs/>
            </w:rPr>
          </w:pPr>
          <w:r w:rsidRPr="006D4FBA">
            <w:rPr>
              <w:rFonts w:hint="eastAsia"/>
              <w:b/>
            </w:rPr>
            <w:t>报告期内公司经营情况的重大变化，以及报告期内发生的对公司经营情况有重大影响和预计未来会有重大影响的事项</w:t>
          </w:r>
        </w:p>
        <w:sdt>
          <w:sdtPr>
            <w:rPr>
              <w:rFonts w:hint="eastAsia"/>
            </w:rPr>
            <w:alias w:val="是否适用：报告期内公司经营情况的重大变化，以及报告期内发生的对公司经营情况有重大影响和预计未来会有重大影响的事项[双击切换]"/>
            <w:tag w:val="_GBC_0f91ff55b5a9406ea662149119d7e23c"/>
            <w:id w:val="1640146364"/>
            <w:lock w:val="sdtLocked"/>
            <w:placeholder>
              <w:docPart w:val="GBC22222222222222222222222222222"/>
            </w:placeholder>
          </w:sdtPr>
          <w:sdtEndPr/>
          <w:sdtContent>
            <w:p w14:paraId="35F82212" w14:textId="77777777" w:rsidR="00B201D3" w:rsidRPr="006D4FBA" w:rsidRDefault="009855E8">
              <w:pPr>
                <w:pStyle w:val="3903"/>
              </w:pPr>
              <w:r w:rsidRPr="006D4FBA">
                <w:fldChar w:fldCharType="begin"/>
              </w:r>
              <w:r w:rsidRPr="006D4FBA">
                <w:instrText xml:space="preserve"> MACROBUTTON  SnrToggleCheckbox □适用 </w:instrText>
              </w:r>
              <w:r w:rsidRPr="006D4FBA">
                <w:fldChar w:fldCharType="end"/>
              </w:r>
              <w:r w:rsidRPr="006D4FBA">
                <w:fldChar w:fldCharType="begin"/>
              </w:r>
              <w:r w:rsidRPr="006D4FBA">
                <w:instrText xml:space="preserve"> MACROBUTTON  SnrToggleCheckbox √不适用 </w:instrText>
              </w:r>
              <w:r w:rsidRPr="006D4FBA">
                <w:fldChar w:fldCharType="end"/>
              </w:r>
            </w:p>
          </w:sdtContent>
        </w:sdt>
        <w:p w14:paraId="0B3FE5DC" w14:textId="77777777" w:rsidR="00B201D3" w:rsidRPr="006D4FBA" w:rsidRDefault="00C8327E">
          <w:pPr>
            <w:pStyle w:val="3903"/>
          </w:pPr>
        </w:p>
      </w:sdtContent>
    </w:sdt>
    <w:p w14:paraId="2D61D774" w14:textId="77777777" w:rsidR="00B201D3" w:rsidRPr="006D4FBA" w:rsidRDefault="009855E8">
      <w:pPr>
        <w:pStyle w:val="2"/>
        <w:numPr>
          <w:ilvl w:val="0"/>
          <w:numId w:val="6"/>
        </w:numPr>
        <w:tabs>
          <w:tab w:val="left" w:pos="426"/>
        </w:tabs>
        <w:ind w:left="422" w:hanging="422"/>
        <w:jc w:val="left"/>
        <w:rPr>
          <w:rFonts w:ascii="宋体" w:hAnsi="宋体" w:cs="宋体"/>
          <w:kern w:val="0"/>
          <w:szCs w:val="24"/>
        </w:rPr>
      </w:pPr>
      <w:r w:rsidRPr="006D4FBA">
        <w:rPr>
          <w:rFonts w:ascii="宋体" w:hAnsi="宋体" w:cs="宋体" w:hint="eastAsia"/>
          <w:kern w:val="0"/>
          <w:szCs w:val="24"/>
        </w:rPr>
        <w:t>报告期内主要经营情况</w:t>
      </w:r>
    </w:p>
    <w:p w14:paraId="1D934F44" w14:textId="77777777" w:rsidR="00B201D3" w:rsidRPr="006D4FBA" w:rsidRDefault="009855E8">
      <w:pPr>
        <w:pStyle w:val="3"/>
        <w:numPr>
          <w:ilvl w:val="0"/>
          <w:numId w:val="7"/>
        </w:numPr>
        <w:rPr>
          <w:rFonts w:ascii="宋体" w:hAnsi="宋体"/>
        </w:rPr>
      </w:pPr>
      <w:r w:rsidRPr="006D4FBA">
        <w:rPr>
          <w:rFonts w:ascii="宋体" w:hAnsi="宋体" w:hint="eastAsia"/>
        </w:rPr>
        <w:t>各业务分部经营情况</w:t>
      </w:r>
    </w:p>
    <w:p w14:paraId="37549A2D" w14:textId="77777777" w:rsidR="00B201D3" w:rsidRPr="006D4FBA" w:rsidRDefault="009855E8">
      <w:pPr>
        <w:keepNext/>
        <w:keepLines/>
        <w:widowControl w:val="0"/>
        <w:numPr>
          <w:ilvl w:val="0"/>
          <w:numId w:val="8"/>
        </w:numPr>
        <w:spacing w:before="60" w:after="60"/>
        <w:jc w:val="both"/>
        <w:outlineLvl w:val="3"/>
        <w:rPr>
          <w:rFonts w:cs="Times New Roman"/>
          <w:b/>
          <w:bCs/>
          <w:kern w:val="2"/>
          <w:lang w:val="en-GB"/>
        </w:rPr>
      </w:pPr>
      <w:r w:rsidRPr="006D4FBA">
        <w:rPr>
          <w:rFonts w:cs="Times New Roman" w:hint="eastAsia"/>
          <w:b/>
          <w:bCs/>
          <w:kern w:val="2"/>
          <w:lang w:val="en-GB"/>
        </w:rPr>
        <w:t>煤炭业务</w:t>
      </w:r>
    </w:p>
    <w:p w14:paraId="43AB8C36" w14:textId="77777777" w:rsidR="00B201D3" w:rsidRPr="006D4FBA" w:rsidRDefault="009855E8">
      <w:pPr>
        <w:keepNext/>
        <w:keepLines/>
        <w:widowControl w:val="0"/>
        <w:numPr>
          <w:ilvl w:val="0"/>
          <w:numId w:val="9"/>
        </w:numPr>
        <w:spacing w:before="60" w:after="60"/>
        <w:jc w:val="both"/>
        <w:outlineLvl w:val="4"/>
        <w:rPr>
          <w:rFonts w:cs="Times New Roman"/>
          <w:b/>
          <w:bCs/>
          <w:kern w:val="2"/>
        </w:rPr>
      </w:pPr>
      <w:r w:rsidRPr="006D4FBA">
        <w:rPr>
          <w:rFonts w:cs="Times New Roman" w:hint="eastAsia"/>
          <w:b/>
          <w:bCs/>
          <w:kern w:val="2"/>
        </w:rPr>
        <w:t>煤炭产量</w:t>
      </w:r>
    </w:p>
    <w:p w14:paraId="272EC19F" w14:textId="77777777" w:rsidR="00B201D3" w:rsidRPr="006D4FBA" w:rsidRDefault="009855E8">
      <w:pPr>
        <w:pStyle w:val="aff2"/>
        <w:ind w:left="420" w:firstLineChars="0" w:firstLine="0"/>
        <w:rPr>
          <w:rFonts w:ascii="宋体" w:hAnsi="宋体"/>
          <w:color w:val="000000" w:themeColor="text1"/>
        </w:rPr>
      </w:pPr>
      <w:r w:rsidRPr="006D4FBA">
        <w:rPr>
          <w:rFonts w:ascii="宋体" w:hAnsi="宋体" w:hint="eastAsia"/>
          <w:bCs/>
          <w:lang w:val="en-GB"/>
        </w:rPr>
        <w:t>上半年本集团生产商品</w:t>
      </w:r>
      <w:r w:rsidRPr="006D4FBA">
        <w:rPr>
          <w:rFonts w:ascii="宋体" w:hAnsi="宋体" w:cs="宋体" w:hint="eastAsia"/>
          <w:bCs/>
          <w:kern w:val="0"/>
          <w:szCs w:val="21"/>
          <w:lang w:val="en-GB"/>
        </w:rPr>
        <w:t>煤</w:t>
      </w:r>
      <w:r w:rsidRPr="006D4FBA">
        <w:rPr>
          <w:rFonts w:ascii="宋体" w:hAnsi="宋体" w:cs="宋体"/>
          <w:bCs/>
          <w:kern w:val="0"/>
          <w:szCs w:val="21"/>
          <w:lang w:val="en-GB"/>
        </w:rPr>
        <w:t>4,923</w:t>
      </w:r>
      <w:r w:rsidRPr="006D4FBA">
        <w:rPr>
          <w:rFonts w:ascii="宋体" w:hAnsi="宋体" w:cs="宋体" w:hint="eastAsia"/>
          <w:bCs/>
          <w:kern w:val="0"/>
          <w:szCs w:val="21"/>
          <w:lang w:val="en-GB"/>
        </w:rPr>
        <w:t>万吨，同比减少</w:t>
      </w:r>
      <w:r w:rsidRPr="006D4FBA">
        <w:rPr>
          <w:rFonts w:ascii="宋体" w:hAnsi="宋体" w:cs="宋体"/>
          <w:bCs/>
          <w:kern w:val="0"/>
          <w:szCs w:val="21"/>
          <w:lang w:val="en-GB"/>
        </w:rPr>
        <w:t>141</w:t>
      </w:r>
      <w:r w:rsidRPr="006D4FBA">
        <w:rPr>
          <w:rFonts w:ascii="宋体" w:hAnsi="宋体" w:cs="宋体" w:hint="eastAsia"/>
          <w:bCs/>
          <w:kern w:val="0"/>
          <w:szCs w:val="21"/>
          <w:lang w:val="en-GB"/>
        </w:rPr>
        <w:t>万吨或</w:t>
      </w:r>
      <w:r w:rsidRPr="006D4FBA">
        <w:rPr>
          <w:rFonts w:ascii="宋体" w:hAnsi="宋体" w:cs="宋体"/>
          <w:bCs/>
          <w:kern w:val="0"/>
          <w:szCs w:val="21"/>
          <w:lang w:val="en-GB"/>
        </w:rPr>
        <w:t>2.8</w:t>
      </w:r>
      <w:r w:rsidRPr="006D4FBA">
        <w:rPr>
          <w:rFonts w:ascii="宋体" w:hAnsi="宋体" w:cs="宋体" w:hint="eastAsia"/>
          <w:bCs/>
          <w:kern w:val="0"/>
          <w:szCs w:val="21"/>
          <w:lang w:val="en-GB"/>
        </w:rPr>
        <w:t>%。</w:t>
      </w:r>
    </w:p>
    <w:p w14:paraId="47C6A79C" w14:textId="77777777" w:rsidR="00B201D3" w:rsidRPr="006D4FBA" w:rsidRDefault="009855E8">
      <w:pPr>
        <w:ind w:firstLineChars="200" w:firstLine="420"/>
        <w:rPr>
          <w:lang w:val="en-GB"/>
        </w:rPr>
      </w:pPr>
      <w:r w:rsidRPr="006D4FBA">
        <w:rPr>
          <w:rFonts w:hint="eastAsia"/>
          <w:bCs/>
          <w:lang w:val="en-GB"/>
        </w:rPr>
        <w:t>上半年本集团商品煤产量如下表：</w:t>
      </w:r>
    </w:p>
    <w:p w14:paraId="2B18E404" w14:textId="77777777" w:rsidR="00B201D3" w:rsidRPr="006D4FBA" w:rsidRDefault="009855E8">
      <w:pPr>
        <w:ind w:rightChars="88" w:right="185"/>
        <w:jc w:val="right"/>
        <w:rPr>
          <w:lang w:val="en-GB"/>
        </w:rPr>
      </w:pPr>
      <w:r w:rsidRPr="006D4FBA">
        <w:rPr>
          <w:rFonts w:hint="eastAsia"/>
          <w:bCs/>
          <w:lang w:val="en-GB"/>
        </w:rPr>
        <w:t>单位：千吨</w:t>
      </w:r>
    </w:p>
    <w:tbl>
      <w:tblPr>
        <w:tblStyle w:val="g21"/>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3"/>
        <w:gridCol w:w="1703"/>
        <w:gridCol w:w="1685"/>
        <w:gridCol w:w="1516"/>
        <w:gridCol w:w="1516"/>
      </w:tblGrid>
      <w:tr w:rsidR="00B201D3" w:rsidRPr="006D4FBA" w14:paraId="22782F27" w14:textId="77777777">
        <w:trPr>
          <w:trHeight w:val="346"/>
          <w:jc w:val="center"/>
        </w:trPr>
        <w:tc>
          <w:tcPr>
            <w:tcW w:w="1362" w:type="pct"/>
            <w:tcBorders>
              <w:top w:val="single" w:sz="4" w:space="0" w:color="auto"/>
              <w:left w:val="single" w:sz="4" w:space="0" w:color="auto"/>
              <w:bottom w:val="single" w:sz="4" w:space="0" w:color="auto"/>
              <w:right w:val="single" w:sz="4" w:space="0" w:color="auto"/>
            </w:tcBorders>
            <w:vAlign w:val="center"/>
          </w:tcPr>
          <w:p w14:paraId="74F026D8" w14:textId="77777777" w:rsidR="00B201D3" w:rsidRPr="006D4FBA" w:rsidRDefault="009855E8">
            <w:pPr>
              <w:jc w:val="center"/>
              <w:rPr>
                <w:rFonts w:ascii="宋体" w:hAnsi="宋体"/>
                <w:lang w:val="en-GB"/>
              </w:rPr>
            </w:pPr>
            <w:r w:rsidRPr="006D4FBA">
              <w:rPr>
                <w:rFonts w:ascii="宋体" w:hAnsi="宋体" w:hint="eastAsia"/>
                <w:lang w:val="en-GB"/>
              </w:rPr>
              <w:t>项目</w:t>
            </w:r>
          </w:p>
        </w:tc>
        <w:tc>
          <w:tcPr>
            <w:tcW w:w="965" w:type="pct"/>
            <w:tcBorders>
              <w:top w:val="single" w:sz="4" w:space="0" w:color="auto"/>
              <w:left w:val="single" w:sz="4" w:space="0" w:color="auto"/>
              <w:bottom w:val="single" w:sz="4" w:space="0" w:color="auto"/>
              <w:right w:val="single" w:sz="4" w:space="0" w:color="auto"/>
            </w:tcBorders>
            <w:vAlign w:val="center"/>
          </w:tcPr>
          <w:p w14:paraId="3C0F31EB" w14:textId="77777777" w:rsidR="00B201D3" w:rsidRPr="006D4FBA" w:rsidRDefault="009855E8">
            <w:pPr>
              <w:jc w:val="center"/>
              <w:rPr>
                <w:rFonts w:ascii="宋体" w:hAnsi="宋体"/>
                <w:lang w:val="en-GB"/>
              </w:rPr>
            </w:pPr>
            <w:r w:rsidRPr="006D4FBA">
              <w:rPr>
                <w:rFonts w:ascii="宋体" w:hAnsi="宋体" w:hint="eastAsia"/>
                <w:lang w:val="en-GB"/>
              </w:rPr>
              <w:t>202</w:t>
            </w:r>
            <w:r w:rsidRPr="006D4FBA">
              <w:rPr>
                <w:rFonts w:ascii="宋体" w:hAnsi="宋体"/>
                <w:lang w:val="en-GB"/>
              </w:rPr>
              <w:t>3</w:t>
            </w:r>
            <w:r w:rsidRPr="006D4FBA">
              <w:rPr>
                <w:rFonts w:ascii="宋体" w:hAnsi="宋体" w:hint="eastAsia"/>
                <w:lang w:val="en-GB"/>
              </w:rPr>
              <w:t>年1-6月</w:t>
            </w:r>
          </w:p>
        </w:tc>
        <w:tc>
          <w:tcPr>
            <w:tcW w:w="955" w:type="pct"/>
            <w:tcBorders>
              <w:top w:val="single" w:sz="4" w:space="0" w:color="auto"/>
              <w:left w:val="single" w:sz="4" w:space="0" w:color="auto"/>
              <w:bottom w:val="single" w:sz="4" w:space="0" w:color="auto"/>
              <w:right w:val="single" w:sz="4" w:space="0" w:color="auto"/>
            </w:tcBorders>
            <w:vAlign w:val="center"/>
          </w:tcPr>
          <w:p w14:paraId="2DFACB2E" w14:textId="77777777" w:rsidR="00B201D3" w:rsidRPr="006D4FBA" w:rsidRDefault="009855E8">
            <w:pPr>
              <w:jc w:val="center"/>
              <w:rPr>
                <w:rFonts w:ascii="宋体" w:hAnsi="宋体"/>
                <w:lang w:val="en-GB"/>
              </w:rPr>
            </w:pPr>
            <w:r w:rsidRPr="006D4FBA">
              <w:rPr>
                <w:rFonts w:ascii="宋体" w:hAnsi="宋体" w:hint="eastAsia"/>
                <w:lang w:val="en-GB"/>
              </w:rPr>
              <w:t>2022年1-6月</w:t>
            </w:r>
          </w:p>
        </w:tc>
        <w:tc>
          <w:tcPr>
            <w:tcW w:w="859" w:type="pct"/>
            <w:tcBorders>
              <w:top w:val="single" w:sz="4" w:space="0" w:color="auto"/>
              <w:left w:val="single" w:sz="4" w:space="0" w:color="auto"/>
              <w:bottom w:val="single" w:sz="4" w:space="0" w:color="auto"/>
              <w:right w:val="single" w:sz="4" w:space="0" w:color="auto"/>
            </w:tcBorders>
            <w:vAlign w:val="center"/>
          </w:tcPr>
          <w:p w14:paraId="09517024" w14:textId="77777777" w:rsidR="00B201D3" w:rsidRPr="006D4FBA" w:rsidRDefault="009855E8">
            <w:pPr>
              <w:jc w:val="center"/>
              <w:rPr>
                <w:rFonts w:ascii="宋体" w:hAnsi="宋体"/>
                <w:lang w:val="en-GB"/>
              </w:rPr>
            </w:pPr>
            <w:r w:rsidRPr="006D4FBA">
              <w:rPr>
                <w:rFonts w:ascii="宋体" w:hAnsi="宋体" w:hint="eastAsia"/>
                <w:lang w:val="en-GB"/>
              </w:rPr>
              <w:t>增减</w:t>
            </w:r>
          </w:p>
        </w:tc>
        <w:tc>
          <w:tcPr>
            <w:tcW w:w="859" w:type="pct"/>
            <w:tcBorders>
              <w:top w:val="single" w:sz="4" w:space="0" w:color="auto"/>
              <w:left w:val="single" w:sz="4" w:space="0" w:color="auto"/>
              <w:bottom w:val="single" w:sz="4" w:space="0" w:color="auto"/>
              <w:right w:val="single" w:sz="4" w:space="0" w:color="auto"/>
            </w:tcBorders>
            <w:vAlign w:val="center"/>
          </w:tcPr>
          <w:p w14:paraId="1447D30C" w14:textId="77777777" w:rsidR="00B201D3" w:rsidRPr="006D4FBA" w:rsidRDefault="009855E8">
            <w:pPr>
              <w:jc w:val="center"/>
              <w:rPr>
                <w:rFonts w:ascii="宋体" w:hAnsi="宋体"/>
                <w:lang w:val="en-GB"/>
              </w:rPr>
            </w:pPr>
            <w:r w:rsidRPr="006D4FBA">
              <w:rPr>
                <w:rFonts w:ascii="宋体" w:hAnsi="宋体" w:hint="eastAsia"/>
                <w:lang w:val="en-GB"/>
              </w:rPr>
              <w:t>增减幅（%）</w:t>
            </w:r>
          </w:p>
        </w:tc>
      </w:tr>
      <w:tr w:rsidR="00B201D3" w:rsidRPr="006D4FBA" w14:paraId="3C4A044A" w14:textId="77777777">
        <w:trPr>
          <w:trHeight w:val="346"/>
          <w:jc w:val="center"/>
        </w:trPr>
        <w:tc>
          <w:tcPr>
            <w:tcW w:w="1362" w:type="pct"/>
            <w:tcBorders>
              <w:top w:val="single" w:sz="4" w:space="0" w:color="auto"/>
              <w:left w:val="single" w:sz="4" w:space="0" w:color="auto"/>
              <w:bottom w:val="single" w:sz="4" w:space="0" w:color="auto"/>
              <w:right w:val="single" w:sz="4" w:space="0" w:color="auto"/>
            </w:tcBorders>
            <w:vAlign w:val="center"/>
          </w:tcPr>
          <w:p w14:paraId="77B5C30E" w14:textId="77777777" w:rsidR="00B201D3" w:rsidRPr="006D4FBA" w:rsidRDefault="009855E8">
            <w:pPr>
              <w:jc w:val="both"/>
              <w:rPr>
                <w:rFonts w:ascii="宋体" w:hAnsi="宋体"/>
                <w:lang w:val="en-GB"/>
              </w:rPr>
            </w:pPr>
            <w:r w:rsidRPr="006D4FBA">
              <w:rPr>
                <w:rFonts w:ascii="宋体" w:hAnsi="宋体" w:hint="eastAsia"/>
              </w:rPr>
              <w:t>一、公司</w:t>
            </w:r>
          </w:p>
        </w:tc>
        <w:tc>
          <w:tcPr>
            <w:tcW w:w="965" w:type="pct"/>
            <w:tcBorders>
              <w:top w:val="single" w:sz="4" w:space="0" w:color="auto"/>
              <w:left w:val="single" w:sz="4" w:space="0" w:color="auto"/>
              <w:bottom w:val="single" w:sz="4" w:space="0" w:color="auto"/>
              <w:right w:val="single" w:sz="4" w:space="0" w:color="auto"/>
            </w:tcBorders>
            <w:vAlign w:val="center"/>
          </w:tcPr>
          <w:p w14:paraId="1308F2C4" w14:textId="77777777" w:rsidR="00B201D3" w:rsidRPr="006D4FBA" w:rsidRDefault="009855E8">
            <w:pPr>
              <w:jc w:val="right"/>
              <w:rPr>
                <w:rFonts w:ascii="宋体" w:hAnsi="宋体"/>
              </w:rPr>
            </w:pPr>
            <w:r w:rsidRPr="006D4FBA">
              <w:rPr>
                <w:rFonts w:ascii="宋体" w:hAnsi="宋体"/>
              </w:rPr>
              <w:t xml:space="preserve">11,862 </w:t>
            </w:r>
          </w:p>
        </w:tc>
        <w:tc>
          <w:tcPr>
            <w:tcW w:w="955" w:type="pct"/>
            <w:tcBorders>
              <w:top w:val="single" w:sz="4" w:space="0" w:color="auto"/>
              <w:left w:val="nil"/>
              <w:bottom w:val="single" w:sz="4" w:space="0" w:color="auto"/>
              <w:right w:val="single" w:sz="4" w:space="0" w:color="auto"/>
            </w:tcBorders>
            <w:vAlign w:val="center"/>
          </w:tcPr>
          <w:p w14:paraId="5955F449" w14:textId="77777777" w:rsidR="00B201D3" w:rsidRPr="006D4FBA" w:rsidRDefault="009855E8">
            <w:pPr>
              <w:jc w:val="right"/>
              <w:rPr>
                <w:rFonts w:ascii="宋体" w:hAnsi="宋体"/>
              </w:rPr>
            </w:pPr>
            <w:r w:rsidRPr="006D4FBA">
              <w:rPr>
                <w:rFonts w:ascii="宋体" w:hAnsi="宋体" w:hint="eastAsia"/>
              </w:rPr>
              <w:t xml:space="preserve">13,239 </w:t>
            </w:r>
          </w:p>
        </w:tc>
        <w:tc>
          <w:tcPr>
            <w:tcW w:w="859" w:type="pct"/>
            <w:tcBorders>
              <w:top w:val="single" w:sz="4" w:space="0" w:color="auto"/>
              <w:left w:val="single" w:sz="4" w:space="0" w:color="auto"/>
              <w:bottom w:val="single" w:sz="4" w:space="0" w:color="auto"/>
              <w:right w:val="single" w:sz="4" w:space="0" w:color="auto"/>
            </w:tcBorders>
            <w:vAlign w:val="center"/>
          </w:tcPr>
          <w:p w14:paraId="51897F5E" w14:textId="77777777" w:rsidR="00B201D3" w:rsidRPr="006D4FBA" w:rsidRDefault="009855E8">
            <w:pPr>
              <w:jc w:val="right"/>
              <w:rPr>
                <w:rFonts w:ascii="宋体" w:hAnsi="宋体"/>
              </w:rPr>
            </w:pPr>
            <w:r w:rsidRPr="006D4FBA">
              <w:rPr>
                <w:rFonts w:ascii="宋体" w:hAnsi="宋体"/>
              </w:rPr>
              <w:t xml:space="preserve">-1,377 </w:t>
            </w:r>
          </w:p>
        </w:tc>
        <w:tc>
          <w:tcPr>
            <w:tcW w:w="859" w:type="pct"/>
            <w:tcBorders>
              <w:top w:val="single" w:sz="4" w:space="0" w:color="auto"/>
              <w:left w:val="single" w:sz="4" w:space="0" w:color="auto"/>
              <w:bottom w:val="single" w:sz="4" w:space="0" w:color="auto"/>
              <w:right w:val="single" w:sz="4" w:space="0" w:color="auto"/>
            </w:tcBorders>
            <w:vAlign w:val="center"/>
          </w:tcPr>
          <w:p w14:paraId="22E813BD" w14:textId="77777777" w:rsidR="00B201D3" w:rsidRPr="006D4FBA" w:rsidRDefault="009855E8">
            <w:pPr>
              <w:jc w:val="right"/>
              <w:rPr>
                <w:rFonts w:ascii="宋体" w:hAnsi="宋体"/>
              </w:rPr>
            </w:pPr>
            <w:r w:rsidRPr="006D4FBA">
              <w:rPr>
                <w:rFonts w:ascii="宋体" w:hAnsi="宋体"/>
              </w:rPr>
              <w:t xml:space="preserve">-10.40 </w:t>
            </w:r>
          </w:p>
        </w:tc>
      </w:tr>
      <w:tr w:rsidR="00B201D3" w:rsidRPr="006D4FBA" w14:paraId="3BD19AB0" w14:textId="77777777">
        <w:trPr>
          <w:trHeight w:val="346"/>
          <w:jc w:val="center"/>
        </w:trPr>
        <w:tc>
          <w:tcPr>
            <w:tcW w:w="1362" w:type="pct"/>
            <w:tcBorders>
              <w:top w:val="single" w:sz="4" w:space="0" w:color="auto"/>
              <w:left w:val="single" w:sz="4" w:space="0" w:color="auto"/>
              <w:bottom w:val="single" w:sz="4" w:space="0" w:color="auto"/>
              <w:right w:val="single" w:sz="4" w:space="0" w:color="auto"/>
            </w:tcBorders>
            <w:vAlign w:val="center"/>
          </w:tcPr>
          <w:p w14:paraId="7E93616C" w14:textId="77777777" w:rsidR="00B201D3" w:rsidRPr="006D4FBA" w:rsidRDefault="009855E8">
            <w:pPr>
              <w:jc w:val="both"/>
              <w:rPr>
                <w:rFonts w:ascii="宋体" w:hAnsi="宋体"/>
                <w:vertAlign w:val="superscript"/>
                <w:lang w:val="en-GB"/>
              </w:rPr>
            </w:pPr>
            <w:r w:rsidRPr="006D4FBA">
              <w:rPr>
                <w:rFonts w:ascii="宋体" w:hAnsi="宋体" w:hint="eastAsia"/>
              </w:rPr>
              <w:t>二、菏泽能化</w:t>
            </w:r>
            <w:r w:rsidRPr="006D4FBA">
              <w:rPr>
                <w:rFonts w:ascii="宋体" w:hAnsi="宋体" w:hint="eastAsia"/>
                <w:vertAlign w:val="superscript"/>
              </w:rPr>
              <w:t>①</w:t>
            </w:r>
          </w:p>
        </w:tc>
        <w:tc>
          <w:tcPr>
            <w:tcW w:w="965" w:type="pct"/>
            <w:tcBorders>
              <w:top w:val="single" w:sz="4" w:space="0" w:color="auto"/>
              <w:left w:val="single" w:sz="4" w:space="0" w:color="auto"/>
              <w:bottom w:val="single" w:sz="4" w:space="0" w:color="auto"/>
              <w:right w:val="single" w:sz="4" w:space="0" w:color="auto"/>
            </w:tcBorders>
            <w:vAlign w:val="center"/>
          </w:tcPr>
          <w:p w14:paraId="770D6491" w14:textId="77777777" w:rsidR="00B201D3" w:rsidRPr="006D4FBA" w:rsidRDefault="009855E8">
            <w:pPr>
              <w:jc w:val="right"/>
              <w:rPr>
                <w:rFonts w:ascii="宋体" w:hAnsi="宋体"/>
              </w:rPr>
            </w:pPr>
            <w:r w:rsidRPr="006D4FBA">
              <w:rPr>
                <w:rFonts w:ascii="宋体" w:hAnsi="宋体"/>
              </w:rPr>
              <w:t xml:space="preserve">1,302 </w:t>
            </w:r>
          </w:p>
        </w:tc>
        <w:tc>
          <w:tcPr>
            <w:tcW w:w="955" w:type="pct"/>
            <w:tcBorders>
              <w:top w:val="single" w:sz="4" w:space="0" w:color="auto"/>
              <w:left w:val="nil"/>
              <w:bottom w:val="single" w:sz="4" w:space="0" w:color="auto"/>
              <w:right w:val="single" w:sz="4" w:space="0" w:color="auto"/>
            </w:tcBorders>
            <w:vAlign w:val="center"/>
          </w:tcPr>
          <w:p w14:paraId="57D80416" w14:textId="77777777" w:rsidR="00B201D3" w:rsidRPr="006D4FBA" w:rsidRDefault="009855E8">
            <w:pPr>
              <w:jc w:val="right"/>
              <w:rPr>
                <w:rFonts w:ascii="宋体" w:hAnsi="宋体"/>
              </w:rPr>
            </w:pPr>
            <w:r w:rsidRPr="006D4FBA">
              <w:rPr>
                <w:rFonts w:ascii="宋体" w:hAnsi="宋体" w:hint="eastAsia"/>
              </w:rPr>
              <w:t xml:space="preserve">984 </w:t>
            </w:r>
          </w:p>
        </w:tc>
        <w:tc>
          <w:tcPr>
            <w:tcW w:w="859" w:type="pct"/>
            <w:tcBorders>
              <w:top w:val="single" w:sz="4" w:space="0" w:color="auto"/>
              <w:left w:val="single" w:sz="4" w:space="0" w:color="auto"/>
              <w:bottom w:val="single" w:sz="4" w:space="0" w:color="auto"/>
              <w:right w:val="single" w:sz="4" w:space="0" w:color="auto"/>
            </w:tcBorders>
            <w:vAlign w:val="center"/>
          </w:tcPr>
          <w:p w14:paraId="1521B21C" w14:textId="77777777" w:rsidR="00B201D3" w:rsidRPr="006D4FBA" w:rsidRDefault="009855E8">
            <w:pPr>
              <w:jc w:val="right"/>
              <w:rPr>
                <w:rFonts w:ascii="宋体" w:hAnsi="宋体"/>
              </w:rPr>
            </w:pPr>
            <w:r w:rsidRPr="006D4FBA">
              <w:rPr>
                <w:rFonts w:ascii="宋体" w:hAnsi="宋体"/>
              </w:rPr>
              <w:t xml:space="preserve">318 </w:t>
            </w:r>
          </w:p>
        </w:tc>
        <w:tc>
          <w:tcPr>
            <w:tcW w:w="859" w:type="pct"/>
            <w:tcBorders>
              <w:top w:val="single" w:sz="4" w:space="0" w:color="auto"/>
              <w:left w:val="single" w:sz="4" w:space="0" w:color="auto"/>
              <w:bottom w:val="single" w:sz="4" w:space="0" w:color="auto"/>
              <w:right w:val="single" w:sz="4" w:space="0" w:color="auto"/>
            </w:tcBorders>
            <w:vAlign w:val="center"/>
          </w:tcPr>
          <w:p w14:paraId="48BAA826" w14:textId="77777777" w:rsidR="00B201D3" w:rsidRPr="006D4FBA" w:rsidRDefault="009855E8">
            <w:pPr>
              <w:jc w:val="right"/>
              <w:rPr>
                <w:rFonts w:ascii="宋体" w:hAnsi="宋体"/>
              </w:rPr>
            </w:pPr>
            <w:r w:rsidRPr="006D4FBA">
              <w:rPr>
                <w:rFonts w:ascii="宋体" w:hAnsi="宋体"/>
              </w:rPr>
              <w:t xml:space="preserve">32.29 </w:t>
            </w:r>
          </w:p>
        </w:tc>
      </w:tr>
      <w:tr w:rsidR="00B201D3" w:rsidRPr="006D4FBA" w14:paraId="30E46228" w14:textId="77777777">
        <w:trPr>
          <w:trHeight w:val="346"/>
          <w:jc w:val="center"/>
        </w:trPr>
        <w:tc>
          <w:tcPr>
            <w:tcW w:w="1362" w:type="pct"/>
            <w:tcBorders>
              <w:top w:val="single" w:sz="4" w:space="0" w:color="auto"/>
              <w:left w:val="single" w:sz="4" w:space="0" w:color="auto"/>
              <w:bottom w:val="single" w:sz="4" w:space="0" w:color="auto"/>
              <w:right w:val="single" w:sz="4" w:space="0" w:color="auto"/>
            </w:tcBorders>
            <w:vAlign w:val="center"/>
          </w:tcPr>
          <w:p w14:paraId="73282674" w14:textId="77777777" w:rsidR="00B201D3" w:rsidRPr="006D4FBA" w:rsidRDefault="009855E8">
            <w:pPr>
              <w:jc w:val="both"/>
              <w:rPr>
                <w:rFonts w:ascii="宋体" w:hAnsi="宋体"/>
                <w:vertAlign w:val="superscript"/>
                <w:lang w:val="en-GB"/>
              </w:rPr>
            </w:pPr>
            <w:r w:rsidRPr="006D4FBA">
              <w:rPr>
                <w:rFonts w:ascii="宋体" w:hAnsi="宋体" w:hint="eastAsia"/>
              </w:rPr>
              <w:t>三、山西能化</w:t>
            </w:r>
          </w:p>
        </w:tc>
        <w:tc>
          <w:tcPr>
            <w:tcW w:w="965" w:type="pct"/>
            <w:tcBorders>
              <w:top w:val="single" w:sz="4" w:space="0" w:color="auto"/>
              <w:left w:val="single" w:sz="4" w:space="0" w:color="auto"/>
              <w:bottom w:val="single" w:sz="4" w:space="0" w:color="auto"/>
              <w:right w:val="single" w:sz="4" w:space="0" w:color="auto"/>
            </w:tcBorders>
            <w:vAlign w:val="center"/>
          </w:tcPr>
          <w:p w14:paraId="66582C25" w14:textId="77777777" w:rsidR="00B201D3" w:rsidRPr="006D4FBA" w:rsidRDefault="009855E8">
            <w:pPr>
              <w:jc w:val="right"/>
              <w:rPr>
                <w:rFonts w:ascii="宋体" w:hAnsi="宋体"/>
              </w:rPr>
            </w:pPr>
            <w:r w:rsidRPr="006D4FBA">
              <w:rPr>
                <w:rFonts w:ascii="宋体" w:hAnsi="宋体"/>
              </w:rPr>
              <w:t xml:space="preserve">432 </w:t>
            </w:r>
          </w:p>
        </w:tc>
        <w:tc>
          <w:tcPr>
            <w:tcW w:w="955" w:type="pct"/>
            <w:tcBorders>
              <w:top w:val="single" w:sz="4" w:space="0" w:color="auto"/>
              <w:left w:val="nil"/>
              <w:bottom w:val="single" w:sz="4" w:space="0" w:color="auto"/>
              <w:right w:val="single" w:sz="4" w:space="0" w:color="auto"/>
            </w:tcBorders>
            <w:vAlign w:val="center"/>
          </w:tcPr>
          <w:p w14:paraId="5FA278F5" w14:textId="77777777" w:rsidR="00B201D3" w:rsidRPr="006D4FBA" w:rsidRDefault="009855E8">
            <w:pPr>
              <w:jc w:val="right"/>
              <w:rPr>
                <w:rFonts w:ascii="宋体" w:hAnsi="宋体"/>
              </w:rPr>
            </w:pPr>
            <w:r w:rsidRPr="006D4FBA">
              <w:rPr>
                <w:rFonts w:ascii="宋体" w:hAnsi="宋体" w:hint="eastAsia"/>
              </w:rPr>
              <w:t xml:space="preserve">607 </w:t>
            </w:r>
          </w:p>
        </w:tc>
        <w:tc>
          <w:tcPr>
            <w:tcW w:w="859" w:type="pct"/>
            <w:tcBorders>
              <w:top w:val="single" w:sz="4" w:space="0" w:color="auto"/>
              <w:left w:val="single" w:sz="4" w:space="0" w:color="auto"/>
              <w:bottom w:val="single" w:sz="4" w:space="0" w:color="auto"/>
              <w:right w:val="single" w:sz="4" w:space="0" w:color="auto"/>
            </w:tcBorders>
            <w:vAlign w:val="center"/>
          </w:tcPr>
          <w:p w14:paraId="77072FF5" w14:textId="77777777" w:rsidR="00B201D3" w:rsidRPr="006D4FBA" w:rsidRDefault="009855E8">
            <w:pPr>
              <w:jc w:val="right"/>
              <w:rPr>
                <w:rFonts w:ascii="宋体" w:hAnsi="宋体"/>
              </w:rPr>
            </w:pPr>
            <w:r w:rsidRPr="006D4FBA">
              <w:rPr>
                <w:rFonts w:ascii="宋体" w:hAnsi="宋体"/>
              </w:rPr>
              <w:t xml:space="preserve">-175 </w:t>
            </w:r>
          </w:p>
        </w:tc>
        <w:tc>
          <w:tcPr>
            <w:tcW w:w="859" w:type="pct"/>
            <w:tcBorders>
              <w:top w:val="single" w:sz="4" w:space="0" w:color="auto"/>
              <w:left w:val="single" w:sz="4" w:space="0" w:color="auto"/>
              <w:bottom w:val="single" w:sz="4" w:space="0" w:color="auto"/>
              <w:right w:val="single" w:sz="4" w:space="0" w:color="auto"/>
            </w:tcBorders>
            <w:vAlign w:val="center"/>
          </w:tcPr>
          <w:p w14:paraId="69C7CBDA" w14:textId="77777777" w:rsidR="00B201D3" w:rsidRPr="006D4FBA" w:rsidRDefault="009855E8">
            <w:pPr>
              <w:jc w:val="right"/>
              <w:rPr>
                <w:rFonts w:ascii="宋体" w:hAnsi="宋体"/>
              </w:rPr>
            </w:pPr>
            <w:r w:rsidRPr="006D4FBA">
              <w:rPr>
                <w:rFonts w:ascii="宋体" w:hAnsi="宋体"/>
              </w:rPr>
              <w:t xml:space="preserve">-28.89 </w:t>
            </w:r>
          </w:p>
        </w:tc>
      </w:tr>
      <w:tr w:rsidR="00B201D3" w:rsidRPr="006D4FBA" w14:paraId="34A7BB38" w14:textId="77777777">
        <w:trPr>
          <w:trHeight w:val="346"/>
          <w:jc w:val="center"/>
        </w:trPr>
        <w:tc>
          <w:tcPr>
            <w:tcW w:w="1362" w:type="pct"/>
            <w:tcBorders>
              <w:top w:val="single" w:sz="4" w:space="0" w:color="auto"/>
              <w:left w:val="single" w:sz="4" w:space="0" w:color="auto"/>
              <w:bottom w:val="single" w:sz="4" w:space="0" w:color="auto"/>
              <w:right w:val="single" w:sz="4" w:space="0" w:color="auto"/>
            </w:tcBorders>
            <w:vAlign w:val="center"/>
          </w:tcPr>
          <w:p w14:paraId="44966AF4" w14:textId="77777777" w:rsidR="00B201D3" w:rsidRPr="006D4FBA" w:rsidRDefault="009855E8">
            <w:pPr>
              <w:jc w:val="both"/>
              <w:rPr>
                <w:rFonts w:ascii="宋体" w:hAnsi="宋体"/>
                <w:vertAlign w:val="superscript"/>
                <w:lang w:val="en-GB"/>
              </w:rPr>
            </w:pPr>
            <w:r w:rsidRPr="006D4FBA">
              <w:rPr>
                <w:rFonts w:ascii="宋体" w:hAnsi="宋体" w:hint="eastAsia"/>
              </w:rPr>
              <w:t>四、未来能源</w:t>
            </w:r>
          </w:p>
        </w:tc>
        <w:tc>
          <w:tcPr>
            <w:tcW w:w="965" w:type="pct"/>
            <w:tcBorders>
              <w:top w:val="single" w:sz="4" w:space="0" w:color="auto"/>
              <w:left w:val="single" w:sz="4" w:space="0" w:color="auto"/>
              <w:bottom w:val="single" w:sz="4" w:space="0" w:color="auto"/>
              <w:right w:val="single" w:sz="4" w:space="0" w:color="auto"/>
            </w:tcBorders>
            <w:vAlign w:val="center"/>
          </w:tcPr>
          <w:p w14:paraId="5991E4FC" w14:textId="77777777" w:rsidR="00B201D3" w:rsidRPr="006D4FBA" w:rsidRDefault="009855E8">
            <w:pPr>
              <w:jc w:val="right"/>
              <w:rPr>
                <w:rFonts w:ascii="宋体" w:hAnsi="宋体"/>
              </w:rPr>
            </w:pPr>
            <w:r w:rsidRPr="006D4FBA">
              <w:rPr>
                <w:rFonts w:ascii="宋体" w:hAnsi="宋体"/>
              </w:rPr>
              <w:t xml:space="preserve">9,186 </w:t>
            </w:r>
          </w:p>
        </w:tc>
        <w:tc>
          <w:tcPr>
            <w:tcW w:w="955" w:type="pct"/>
            <w:tcBorders>
              <w:top w:val="single" w:sz="4" w:space="0" w:color="auto"/>
              <w:left w:val="single" w:sz="4" w:space="0" w:color="auto"/>
              <w:bottom w:val="single" w:sz="4" w:space="0" w:color="auto"/>
              <w:right w:val="single" w:sz="4" w:space="0" w:color="auto"/>
            </w:tcBorders>
            <w:vAlign w:val="center"/>
          </w:tcPr>
          <w:p w14:paraId="4D0A894A" w14:textId="77777777" w:rsidR="00B201D3" w:rsidRPr="006D4FBA" w:rsidRDefault="009855E8">
            <w:pPr>
              <w:jc w:val="right"/>
              <w:rPr>
                <w:rFonts w:ascii="宋体" w:hAnsi="宋体"/>
              </w:rPr>
            </w:pPr>
            <w:r w:rsidRPr="006D4FBA">
              <w:rPr>
                <w:rFonts w:ascii="宋体" w:hAnsi="宋体" w:hint="eastAsia"/>
              </w:rPr>
              <w:t xml:space="preserve">8,532 </w:t>
            </w:r>
          </w:p>
        </w:tc>
        <w:tc>
          <w:tcPr>
            <w:tcW w:w="859" w:type="pct"/>
            <w:tcBorders>
              <w:top w:val="single" w:sz="4" w:space="0" w:color="auto"/>
              <w:left w:val="single" w:sz="4" w:space="0" w:color="auto"/>
              <w:bottom w:val="single" w:sz="4" w:space="0" w:color="auto"/>
              <w:right w:val="single" w:sz="4" w:space="0" w:color="auto"/>
            </w:tcBorders>
            <w:vAlign w:val="center"/>
          </w:tcPr>
          <w:p w14:paraId="2841AB62" w14:textId="77777777" w:rsidR="00B201D3" w:rsidRPr="006D4FBA" w:rsidRDefault="009855E8">
            <w:pPr>
              <w:jc w:val="right"/>
              <w:rPr>
                <w:rFonts w:ascii="宋体" w:hAnsi="宋体"/>
              </w:rPr>
            </w:pPr>
            <w:r w:rsidRPr="006D4FBA">
              <w:rPr>
                <w:rFonts w:ascii="宋体" w:hAnsi="宋体"/>
              </w:rPr>
              <w:t xml:space="preserve">654 </w:t>
            </w:r>
          </w:p>
        </w:tc>
        <w:tc>
          <w:tcPr>
            <w:tcW w:w="859" w:type="pct"/>
            <w:tcBorders>
              <w:top w:val="single" w:sz="4" w:space="0" w:color="auto"/>
              <w:left w:val="single" w:sz="4" w:space="0" w:color="auto"/>
              <w:bottom w:val="single" w:sz="4" w:space="0" w:color="auto"/>
              <w:right w:val="single" w:sz="4" w:space="0" w:color="auto"/>
            </w:tcBorders>
            <w:vAlign w:val="center"/>
          </w:tcPr>
          <w:p w14:paraId="7A589DB9" w14:textId="77777777" w:rsidR="00B201D3" w:rsidRPr="006D4FBA" w:rsidRDefault="009855E8">
            <w:pPr>
              <w:jc w:val="right"/>
              <w:rPr>
                <w:rFonts w:ascii="宋体" w:hAnsi="宋体"/>
              </w:rPr>
            </w:pPr>
            <w:r w:rsidRPr="006D4FBA">
              <w:rPr>
                <w:rFonts w:ascii="宋体" w:hAnsi="宋体"/>
              </w:rPr>
              <w:t xml:space="preserve">7.67 </w:t>
            </w:r>
          </w:p>
        </w:tc>
      </w:tr>
      <w:tr w:rsidR="00B201D3" w:rsidRPr="006D4FBA" w14:paraId="6B5588A7" w14:textId="77777777">
        <w:trPr>
          <w:trHeight w:val="346"/>
          <w:jc w:val="center"/>
        </w:trPr>
        <w:tc>
          <w:tcPr>
            <w:tcW w:w="1362" w:type="pct"/>
            <w:tcBorders>
              <w:top w:val="single" w:sz="4" w:space="0" w:color="auto"/>
              <w:left w:val="single" w:sz="4" w:space="0" w:color="auto"/>
              <w:bottom w:val="single" w:sz="4" w:space="0" w:color="auto"/>
              <w:right w:val="single" w:sz="4" w:space="0" w:color="auto"/>
            </w:tcBorders>
            <w:vAlign w:val="center"/>
          </w:tcPr>
          <w:p w14:paraId="21C6144F" w14:textId="77777777" w:rsidR="00B201D3" w:rsidRPr="006D4FBA" w:rsidRDefault="009855E8">
            <w:pPr>
              <w:jc w:val="both"/>
              <w:rPr>
                <w:rFonts w:ascii="宋体" w:hAnsi="宋体"/>
                <w:vertAlign w:val="superscript"/>
                <w:lang w:val="en-GB"/>
              </w:rPr>
            </w:pPr>
            <w:r w:rsidRPr="006D4FBA">
              <w:rPr>
                <w:rFonts w:ascii="宋体" w:hAnsi="宋体" w:hint="eastAsia"/>
              </w:rPr>
              <w:t>五、鄂尔多斯公司</w:t>
            </w:r>
          </w:p>
        </w:tc>
        <w:tc>
          <w:tcPr>
            <w:tcW w:w="965" w:type="pct"/>
            <w:tcBorders>
              <w:top w:val="single" w:sz="4" w:space="0" w:color="auto"/>
              <w:left w:val="single" w:sz="4" w:space="0" w:color="auto"/>
              <w:bottom w:val="single" w:sz="4" w:space="0" w:color="auto"/>
              <w:right w:val="single" w:sz="4" w:space="0" w:color="auto"/>
            </w:tcBorders>
            <w:vAlign w:val="center"/>
          </w:tcPr>
          <w:p w14:paraId="4705E0AF" w14:textId="77777777" w:rsidR="00B201D3" w:rsidRPr="006D4FBA" w:rsidRDefault="009855E8">
            <w:pPr>
              <w:jc w:val="right"/>
              <w:rPr>
                <w:rFonts w:ascii="宋体" w:hAnsi="宋体"/>
              </w:rPr>
            </w:pPr>
            <w:r w:rsidRPr="006D4FBA">
              <w:rPr>
                <w:rFonts w:ascii="宋体" w:hAnsi="宋体"/>
              </w:rPr>
              <w:t xml:space="preserve">5,696 </w:t>
            </w:r>
          </w:p>
        </w:tc>
        <w:tc>
          <w:tcPr>
            <w:tcW w:w="955" w:type="pct"/>
            <w:tcBorders>
              <w:top w:val="single" w:sz="4" w:space="0" w:color="auto"/>
              <w:left w:val="nil"/>
              <w:bottom w:val="single" w:sz="4" w:space="0" w:color="auto"/>
              <w:right w:val="single" w:sz="4" w:space="0" w:color="auto"/>
            </w:tcBorders>
            <w:vAlign w:val="center"/>
          </w:tcPr>
          <w:p w14:paraId="47896613" w14:textId="77777777" w:rsidR="00B201D3" w:rsidRPr="006D4FBA" w:rsidRDefault="009855E8">
            <w:pPr>
              <w:jc w:val="right"/>
              <w:rPr>
                <w:rFonts w:ascii="宋体" w:hAnsi="宋体"/>
              </w:rPr>
            </w:pPr>
            <w:r w:rsidRPr="006D4FBA">
              <w:rPr>
                <w:rFonts w:ascii="宋体" w:hAnsi="宋体" w:hint="eastAsia"/>
              </w:rPr>
              <w:t xml:space="preserve">6,060 </w:t>
            </w:r>
          </w:p>
        </w:tc>
        <w:tc>
          <w:tcPr>
            <w:tcW w:w="859" w:type="pct"/>
            <w:tcBorders>
              <w:top w:val="single" w:sz="4" w:space="0" w:color="auto"/>
              <w:left w:val="single" w:sz="4" w:space="0" w:color="auto"/>
              <w:bottom w:val="single" w:sz="4" w:space="0" w:color="auto"/>
              <w:right w:val="single" w:sz="4" w:space="0" w:color="auto"/>
            </w:tcBorders>
            <w:vAlign w:val="center"/>
          </w:tcPr>
          <w:p w14:paraId="7D1DD232" w14:textId="77777777" w:rsidR="00B201D3" w:rsidRPr="006D4FBA" w:rsidRDefault="009855E8">
            <w:pPr>
              <w:jc w:val="right"/>
              <w:rPr>
                <w:rFonts w:ascii="宋体" w:hAnsi="宋体"/>
              </w:rPr>
            </w:pPr>
            <w:r w:rsidRPr="006D4FBA">
              <w:rPr>
                <w:rFonts w:ascii="宋体" w:hAnsi="宋体"/>
              </w:rPr>
              <w:t xml:space="preserve">-364 </w:t>
            </w:r>
          </w:p>
        </w:tc>
        <w:tc>
          <w:tcPr>
            <w:tcW w:w="859" w:type="pct"/>
            <w:tcBorders>
              <w:top w:val="single" w:sz="4" w:space="0" w:color="auto"/>
              <w:left w:val="single" w:sz="4" w:space="0" w:color="auto"/>
              <w:bottom w:val="single" w:sz="4" w:space="0" w:color="auto"/>
              <w:right w:val="single" w:sz="4" w:space="0" w:color="auto"/>
            </w:tcBorders>
            <w:vAlign w:val="center"/>
          </w:tcPr>
          <w:p w14:paraId="7C15CC8F" w14:textId="77777777" w:rsidR="00B201D3" w:rsidRPr="006D4FBA" w:rsidRDefault="009855E8">
            <w:pPr>
              <w:jc w:val="right"/>
              <w:rPr>
                <w:rFonts w:ascii="宋体" w:hAnsi="宋体"/>
              </w:rPr>
            </w:pPr>
            <w:r w:rsidRPr="006D4FBA">
              <w:rPr>
                <w:rFonts w:ascii="宋体" w:hAnsi="宋体"/>
              </w:rPr>
              <w:t xml:space="preserve">-6.01 </w:t>
            </w:r>
          </w:p>
        </w:tc>
      </w:tr>
      <w:tr w:rsidR="00B201D3" w:rsidRPr="006D4FBA" w14:paraId="0FA52106" w14:textId="77777777">
        <w:trPr>
          <w:trHeight w:val="346"/>
          <w:jc w:val="center"/>
        </w:trPr>
        <w:tc>
          <w:tcPr>
            <w:tcW w:w="1362" w:type="pct"/>
            <w:tcBorders>
              <w:top w:val="single" w:sz="4" w:space="0" w:color="auto"/>
              <w:left w:val="single" w:sz="4" w:space="0" w:color="auto"/>
              <w:bottom w:val="single" w:sz="4" w:space="0" w:color="auto"/>
              <w:right w:val="single" w:sz="4" w:space="0" w:color="auto"/>
            </w:tcBorders>
            <w:vAlign w:val="center"/>
          </w:tcPr>
          <w:p w14:paraId="4B684E80" w14:textId="77777777" w:rsidR="00B201D3" w:rsidRPr="006D4FBA" w:rsidRDefault="009855E8">
            <w:pPr>
              <w:jc w:val="both"/>
              <w:rPr>
                <w:rFonts w:ascii="宋体" w:hAnsi="宋体"/>
                <w:vertAlign w:val="superscript"/>
                <w:lang w:val="en-GB"/>
              </w:rPr>
            </w:pPr>
            <w:r w:rsidRPr="006D4FBA">
              <w:rPr>
                <w:rFonts w:ascii="宋体" w:hAnsi="宋体" w:hint="eastAsia"/>
              </w:rPr>
              <w:t>六、昊盛煤业</w:t>
            </w:r>
            <w:r w:rsidRPr="006D4FBA">
              <w:rPr>
                <w:rFonts w:ascii="宋体" w:hAnsi="宋体" w:hint="eastAsia"/>
                <w:vertAlign w:val="superscript"/>
              </w:rPr>
              <w:t>②</w:t>
            </w:r>
          </w:p>
        </w:tc>
        <w:tc>
          <w:tcPr>
            <w:tcW w:w="965" w:type="pct"/>
            <w:tcBorders>
              <w:top w:val="single" w:sz="4" w:space="0" w:color="auto"/>
              <w:left w:val="single" w:sz="4" w:space="0" w:color="auto"/>
              <w:bottom w:val="single" w:sz="4" w:space="0" w:color="auto"/>
              <w:right w:val="single" w:sz="4" w:space="0" w:color="auto"/>
            </w:tcBorders>
            <w:vAlign w:val="center"/>
          </w:tcPr>
          <w:p w14:paraId="7B986AA0" w14:textId="77777777" w:rsidR="00B201D3" w:rsidRPr="006D4FBA" w:rsidRDefault="009855E8">
            <w:pPr>
              <w:jc w:val="right"/>
              <w:rPr>
                <w:rFonts w:ascii="宋体" w:hAnsi="宋体"/>
              </w:rPr>
            </w:pPr>
            <w:r w:rsidRPr="006D4FBA">
              <w:rPr>
                <w:rFonts w:ascii="宋体" w:hAnsi="宋体"/>
              </w:rPr>
              <w:t xml:space="preserve">2,338 </w:t>
            </w:r>
          </w:p>
        </w:tc>
        <w:tc>
          <w:tcPr>
            <w:tcW w:w="955" w:type="pct"/>
            <w:tcBorders>
              <w:top w:val="single" w:sz="4" w:space="0" w:color="auto"/>
              <w:left w:val="nil"/>
              <w:bottom w:val="single" w:sz="4" w:space="0" w:color="auto"/>
              <w:right w:val="single" w:sz="4" w:space="0" w:color="auto"/>
            </w:tcBorders>
            <w:vAlign w:val="center"/>
          </w:tcPr>
          <w:p w14:paraId="213F6C12" w14:textId="77777777" w:rsidR="00B201D3" w:rsidRPr="006D4FBA" w:rsidRDefault="009855E8">
            <w:pPr>
              <w:jc w:val="right"/>
              <w:rPr>
                <w:rFonts w:ascii="宋体" w:hAnsi="宋体"/>
              </w:rPr>
            </w:pPr>
            <w:r w:rsidRPr="006D4FBA">
              <w:rPr>
                <w:rFonts w:ascii="宋体" w:hAnsi="宋体" w:hint="eastAsia"/>
              </w:rPr>
              <w:t xml:space="preserve">1,156 </w:t>
            </w:r>
          </w:p>
        </w:tc>
        <w:tc>
          <w:tcPr>
            <w:tcW w:w="859" w:type="pct"/>
            <w:tcBorders>
              <w:top w:val="single" w:sz="4" w:space="0" w:color="auto"/>
              <w:left w:val="single" w:sz="4" w:space="0" w:color="auto"/>
              <w:bottom w:val="single" w:sz="4" w:space="0" w:color="auto"/>
              <w:right w:val="single" w:sz="4" w:space="0" w:color="auto"/>
            </w:tcBorders>
            <w:vAlign w:val="center"/>
          </w:tcPr>
          <w:p w14:paraId="1921B067" w14:textId="77777777" w:rsidR="00B201D3" w:rsidRPr="006D4FBA" w:rsidRDefault="009855E8">
            <w:pPr>
              <w:jc w:val="right"/>
              <w:rPr>
                <w:rFonts w:ascii="宋体" w:hAnsi="宋体"/>
              </w:rPr>
            </w:pPr>
            <w:r w:rsidRPr="006D4FBA">
              <w:rPr>
                <w:rFonts w:ascii="宋体" w:hAnsi="宋体"/>
              </w:rPr>
              <w:t xml:space="preserve">1,182 </w:t>
            </w:r>
          </w:p>
        </w:tc>
        <w:tc>
          <w:tcPr>
            <w:tcW w:w="859" w:type="pct"/>
            <w:tcBorders>
              <w:top w:val="single" w:sz="4" w:space="0" w:color="auto"/>
              <w:left w:val="single" w:sz="4" w:space="0" w:color="auto"/>
              <w:bottom w:val="single" w:sz="4" w:space="0" w:color="auto"/>
              <w:right w:val="single" w:sz="4" w:space="0" w:color="auto"/>
            </w:tcBorders>
            <w:vAlign w:val="center"/>
          </w:tcPr>
          <w:p w14:paraId="3C792C4C" w14:textId="77777777" w:rsidR="00B201D3" w:rsidRPr="006D4FBA" w:rsidRDefault="009855E8">
            <w:pPr>
              <w:jc w:val="right"/>
              <w:rPr>
                <w:rFonts w:ascii="宋体" w:hAnsi="宋体"/>
              </w:rPr>
            </w:pPr>
            <w:r w:rsidRPr="006D4FBA">
              <w:rPr>
                <w:rFonts w:ascii="宋体" w:hAnsi="宋体"/>
              </w:rPr>
              <w:t xml:space="preserve">102.20 </w:t>
            </w:r>
          </w:p>
        </w:tc>
      </w:tr>
      <w:tr w:rsidR="00B201D3" w:rsidRPr="006D4FBA" w14:paraId="31F56220" w14:textId="77777777">
        <w:trPr>
          <w:trHeight w:val="346"/>
          <w:jc w:val="center"/>
        </w:trPr>
        <w:tc>
          <w:tcPr>
            <w:tcW w:w="1362" w:type="pct"/>
            <w:tcBorders>
              <w:top w:val="single" w:sz="4" w:space="0" w:color="auto"/>
              <w:left w:val="single" w:sz="4" w:space="0" w:color="auto"/>
              <w:bottom w:val="single" w:sz="4" w:space="0" w:color="auto"/>
              <w:right w:val="single" w:sz="4" w:space="0" w:color="auto"/>
            </w:tcBorders>
            <w:vAlign w:val="center"/>
          </w:tcPr>
          <w:p w14:paraId="4CF0AC9C" w14:textId="77777777" w:rsidR="00B201D3" w:rsidRPr="006D4FBA" w:rsidRDefault="009855E8">
            <w:pPr>
              <w:jc w:val="both"/>
              <w:rPr>
                <w:rFonts w:ascii="宋体" w:hAnsi="宋体"/>
              </w:rPr>
            </w:pPr>
            <w:r w:rsidRPr="006D4FBA">
              <w:rPr>
                <w:rFonts w:ascii="宋体" w:hAnsi="宋体" w:hint="eastAsia"/>
              </w:rPr>
              <w:t>七、内蒙古矿业</w:t>
            </w:r>
          </w:p>
        </w:tc>
        <w:tc>
          <w:tcPr>
            <w:tcW w:w="965" w:type="pct"/>
            <w:tcBorders>
              <w:top w:val="single" w:sz="4" w:space="0" w:color="auto"/>
              <w:left w:val="single" w:sz="4" w:space="0" w:color="auto"/>
              <w:bottom w:val="single" w:sz="4" w:space="0" w:color="auto"/>
              <w:right w:val="single" w:sz="4" w:space="0" w:color="auto"/>
            </w:tcBorders>
            <w:vAlign w:val="center"/>
          </w:tcPr>
          <w:p w14:paraId="481AB6CF" w14:textId="77777777" w:rsidR="00B201D3" w:rsidRPr="006D4FBA" w:rsidRDefault="009855E8">
            <w:pPr>
              <w:jc w:val="right"/>
              <w:rPr>
                <w:rFonts w:ascii="宋体" w:hAnsi="宋体"/>
              </w:rPr>
            </w:pPr>
            <w:r w:rsidRPr="006D4FBA">
              <w:rPr>
                <w:rFonts w:ascii="宋体" w:hAnsi="宋体"/>
              </w:rPr>
              <w:t xml:space="preserve">1,485 </w:t>
            </w:r>
          </w:p>
        </w:tc>
        <w:tc>
          <w:tcPr>
            <w:tcW w:w="955" w:type="pct"/>
            <w:tcBorders>
              <w:top w:val="single" w:sz="4" w:space="0" w:color="auto"/>
              <w:left w:val="nil"/>
              <w:bottom w:val="single" w:sz="4" w:space="0" w:color="auto"/>
              <w:right w:val="single" w:sz="4" w:space="0" w:color="auto"/>
            </w:tcBorders>
            <w:vAlign w:val="center"/>
          </w:tcPr>
          <w:p w14:paraId="43E410BF" w14:textId="77777777" w:rsidR="00B201D3" w:rsidRPr="006D4FBA" w:rsidRDefault="009855E8">
            <w:pPr>
              <w:jc w:val="right"/>
              <w:rPr>
                <w:rFonts w:ascii="宋体" w:hAnsi="宋体"/>
              </w:rPr>
            </w:pPr>
            <w:r w:rsidRPr="006D4FBA">
              <w:rPr>
                <w:rFonts w:ascii="宋体" w:hAnsi="宋体" w:hint="eastAsia"/>
              </w:rPr>
              <w:t xml:space="preserve">2,005 </w:t>
            </w:r>
          </w:p>
        </w:tc>
        <w:tc>
          <w:tcPr>
            <w:tcW w:w="859" w:type="pct"/>
            <w:tcBorders>
              <w:top w:val="single" w:sz="4" w:space="0" w:color="auto"/>
              <w:left w:val="single" w:sz="4" w:space="0" w:color="auto"/>
              <w:bottom w:val="single" w:sz="4" w:space="0" w:color="auto"/>
              <w:right w:val="single" w:sz="4" w:space="0" w:color="auto"/>
            </w:tcBorders>
            <w:vAlign w:val="center"/>
          </w:tcPr>
          <w:p w14:paraId="1F63384B" w14:textId="77777777" w:rsidR="00B201D3" w:rsidRPr="006D4FBA" w:rsidRDefault="009855E8">
            <w:pPr>
              <w:jc w:val="right"/>
              <w:rPr>
                <w:rFonts w:ascii="宋体" w:hAnsi="宋体"/>
              </w:rPr>
            </w:pPr>
            <w:r w:rsidRPr="006D4FBA">
              <w:rPr>
                <w:rFonts w:ascii="宋体" w:hAnsi="宋体"/>
              </w:rPr>
              <w:t xml:space="preserve">-520 </w:t>
            </w:r>
          </w:p>
        </w:tc>
        <w:tc>
          <w:tcPr>
            <w:tcW w:w="859" w:type="pct"/>
            <w:tcBorders>
              <w:top w:val="single" w:sz="4" w:space="0" w:color="auto"/>
              <w:left w:val="single" w:sz="4" w:space="0" w:color="auto"/>
              <w:bottom w:val="single" w:sz="4" w:space="0" w:color="auto"/>
              <w:right w:val="single" w:sz="4" w:space="0" w:color="auto"/>
            </w:tcBorders>
            <w:vAlign w:val="center"/>
          </w:tcPr>
          <w:p w14:paraId="3C7364F8" w14:textId="77777777" w:rsidR="00B201D3" w:rsidRPr="006D4FBA" w:rsidRDefault="009855E8">
            <w:pPr>
              <w:jc w:val="right"/>
              <w:rPr>
                <w:rFonts w:ascii="宋体" w:hAnsi="宋体"/>
              </w:rPr>
            </w:pPr>
            <w:r w:rsidRPr="006D4FBA">
              <w:rPr>
                <w:rFonts w:ascii="宋体" w:hAnsi="宋体"/>
              </w:rPr>
              <w:t xml:space="preserve">-25.95 </w:t>
            </w:r>
          </w:p>
        </w:tc>
      </w:tr>
      <w:tr w:rsidR="00B201D3" w:rsidRPr="006D4FBA" w14:paraId="6A6EC376" w14:textId="77777777">
        <w:trPr>
          <w:trHeight w:val="346"/>
          <w:jc w:val="center"/>
        </w:trPr>
        <w:tc>
          <w:tcPr>
            <w:tcW w:w="1362" w:type="pct"/>
            <w:tcBorders>
              <w:top w:val="single" w:sz="4" w:space="0" w:color="auto"/>
              <w:left w:val="single" w:sz="4" w:space="0" w:color="auto"/>
              <w:bottom w:val="single" w:sz="4" w:space="0" w:color="auto"/>
              <w:right w:val="single" w:sz="4" w:space="0" w:color="auto"/>
            </w:tcBorders>
            <w:vAlign w:val="center"/>
          </w:tcPr>
          <w:p w14:paraId="2DC22BE9" w14:textId="77777777" w:rsidR="00B201D3" w:rsidRPr="006D4FBA" w:rsidRDefault="009855E8">
            <w:pPr>
              <w:jc w:val="both"/>
              <w:rPr>
                <w:rFonts w:ascii="宋体" w:hAnsi="宋体"/>
                <w:vertAlign w:val="superscript"/>
                <w:lang w:val="en-GB"/>
              </w:rPr>
            </w:pPr>
            <w:r w:rsidRPr="006D4FBA">
              <w:rPr>
                <w:rFonts w:ascii="宋体" w:hAnsi="宋体" w:hint="eastAsia"/>
              </w:rPr>
              <w:t>八、兖煤澳洲</w:t>
            </w:r>
          </w:p>
        </w:tc>
        <w:tc>
          <w:tcPr>
            <w:tcW w:w="965" w:type="pct"/>
            <w:tcBorders>
              <w:top w:val="single" w:sz="4" w:space="0" w:color="auto"/>
              <w:left w:val="single" w:sz="4" w:space="0" w:color="auto"/>
              <w:bottom w:val="single" w:sz="4" w:space="0" w:color="auto"/>
              <w:right w:val="single" w:sz="4" w:space="0" w:color="auto"/>
            </w:tcBorders>
            <w:vAlign w:val="center"/>
          </w:tcPr>
          <w:p w14:paraId="0D1B4BA9" w14:textId="77777777" w:rsidR="00B201D3" w:rsidRPr="006D4FBA" w:rsidRDefault="009855E8">
            <w:pPr>
              <w:jc w:val="right"/>
              <w:rPr>
                <w:rFonts w:ascii="宋体" w:hAnsi="宋体"/>
              </w:rPr>
            </w:pPr>
            <w:r w:rsidRPr="006D4FBA">
              <w:rPr>
                <w:rFonts w:ascii="宋体" w:hAnsi="宋体"/>
              </w:rPr>
              <w:t xml:space="preserve">14,383 </w:t>
            </w:r>
          </w:p>
        </w:tc>
        <w:tc>
          <w:tcPr>
            <w:tcW w:w="955" w:type="pct"/>
            <w:tcBorders>
              <w:top w:val="single" w:sz="4" w:space="0" w:color="auto"/>
              <w:left w:val="nil"/>
              <w:bottom w:val="single" w:sz="4" w:space="0" w:color="auto"/>
              <w:right w:val="single" w:sz="4" w:space="0" w:color="auto"/>
            </w:tcBorders>
            <w:vAlign w:val="center"/>
          </w:tcPr>
          <w:p w14:paraId="6B3246D8" w14:textId="77777777" w:rsidR="00B201D3" w:rsidRPr="006D4FBA" w:rsidRDefault="009855E8">
            <w:pPr>
              <w:jc w:val="right"/>
              <w:rPr>
                <w:rFonts w:ascii="宋体" w:hAnsi="宋体"/>
              </w:rPr>
            </w:pPr>
            <w:r w:rsidRPr="006D4FBA">
              <w:rPr>
                <w:rFonts w:ascii="宋体" w:hAnsi="宋体" w:hint="eastAsia"/>
              </w:rPr>
              <w:t xml:space="preserve">15,549 </w:t>
            </w:r>
          </w:p>
        </w:tc>
        <w:tc>
          <w:tcPr>
            <w:tcW w:w="859" w:type="pct"/>
            <w:tcBorders>
              <w:top w:val="single" w:sz="4" w:space="0" w:color="auto"/>
              <w:left w:val="single" w:sz="4" w:space="0" w:color="auto"/>
              <w:bottom w:val="single" w:sz="4" w:space="0" w:color="auto"/>
              <w:right w:val="single" w:sz="4" w:space="0" w:color="auto"/>
            </w:tcBorders>
            <w:vAlign w:val="center"/>
          </w:tcPr>
          <w:p w14:paraId="02D4AC02" w14:textId="77777777" w:rsidR="00B201D3" w:rsidRPr="006D4FBA" w:rsidRDefault="009855E8">
            <w:pPr>
              <w:jc w:val="right"/>
              <w:rPr>
                <w:rFonts w:ascii="宋体" w:hAnsi="宋体"/>
              </w:rPr>
            </w:pPr>
            <w:r w:rsidRPr="006D4FBA">
              <w:rPr>
                <w:rFonts w:ascii="宋体" w:hAnsi="宋体"/>
              </w:rPr>
              <w:t xml:space="preserve">-1,165 </w:t>
            </w:r>
          </w:p>
        </w:tc>
        <w:tc>
          <w:tcPr>
            <w:tcW w:w="859" w:type="pct"/>
            <w:tcBorders>
              <w:top w:val="single" w:sz="4" w:space="0" w:color="auto"/>
              <w:left w:val="single" w:sz="4" w:space="0" w:color="auto"/>
              <w:bottom w:val="single" w:sz="4" w:space="0" w:color="auto"/>
              <w:right w:val="single" w:sz="4" w:space="0" w:color="auto"/>
            </w:tcBorders>
            <w:vAlign w:val="center"/>
          </w:tcPr>
          <w:p w14:paraId="33D76C9E" w14:textId="77777777" w:rsidR="00B201D3" w:rsidRPr="006D4FBA" w:rsidRDefault="009855E8">
            <w:pPr>
              <w:jc w:val="right"/>
              <w:rPr>
                <w:rFonts w:ascii="宋体" w:hAnsi="宋体"/>
              </w:rPr>
            </w:pPr>
            <w:r w:rsidRPr="006D4FBA">
              <w:rPr>
                <w:rFonts w:ascii="宋体" w:hAnsi="宋体"/>
              </w:rPr>
              <w:t xml:space="preserve">-7.50 </w:t>
            </w:r>
          </w:p>
        </w:tc>
      </w:tr>
      <w:tr w:rsidR="00B201D3" w:rsidRPr="006D4FBA" w14:paraId="5DD73CF2" w14:textId="77777777">
        <w:trPr>
          <w:trHeight w:val="346"/>
          <w:jc w:val="center"/>
        </w:trPr>
        <w:tc>
          <w:tcPr>
            <w:tcW w:w="1362" w:type="pct"/>
            <w:tcBorders>
              <w:top w:val="single" w:sz="4" w:space="0" w:color="auto"/>
              <w:left w:val="single" w:sz="4" w:space="0" w:color="auto"/>
              <w:bottom w:val="single" w:sz="4" w:space="0" w:color="auto"/>
              <w:right w:val="single" w:sz="4" w:space="0" w:color="auto"/>
            </w:tcBorders>
            <w:vAlign w:val="center"/>
          </w:tcPr>
          <w:p w14:paraId="364D8373" w14:textId="77777777" w:rsidR="00B201D3" w:rsidRPr="006D4FBA" w:rsidRDefault="009855E8">
            <w:pPr>
              <w:jc w:val="both"/>
              <w:rPr>
                <w:rFonts w:ascii="宋体" w:hAnsi="宋体"/>
              </w:rPr>
            </w:pPr>
            <w:r w:rsidRPr="006D4FBA">
              <w:rPr>
                <w:rFonts w:ascii="宋体" w:hAnsi="宋体" w:hint="eastAsia"/>
              </w:rPr>
              <w:t>九、兖煤国际</w:t>
            </w:r>
          </w:p>
        </w:tc>
        <w:tc>
          <w:tcPr>
            <w:tcW w:w="965" w:type="pct"/>
            <w:tcBorders>
              <w:top w:val="single" w:sz="4" w:space="0" w:color="auto"/>
              <w:left w:val="single" w:sz="4" w:space="0" w:color="auto"/>
              <w:bottom w:val="single" w:sz="4" w:space="0" w:color="auto"/>
              <w:right w:val="single" w:sz="4" w:space="0" w:color="auto"/>
            </w:tcBorders>
            <w:vAlign w:val="center"/>
          </w:tcPr>
          <w:p w14:paraId="56B896BC" w14:textId="77777777" w:rsidR="00B201D3" w:rsidRPr="006D4FBA" w:rsidRDefault="009855E8">
            <w:pPr>
              <w:jc w:val="right"/>
              <w:rPr>
                <w:rFonts w:ascii="宋体" w:hAnsi="宋体"/>
              </w:rPr>
            </w:pPr>
            <w:r w:rsidRPr="006D4FBA">
              <w:rPr>
                <w:rFonts w:ascii="宋体" w:hAnsi="宋体"/>
              </w:rPr>
              <w:t xml:space="preserve">2,549 </w:t>
            </w:r>
          </w:p>
        </w:tc>
        <w:tc>
          <w:tcPr>
            <w:tcW w:w="955" w:type="pct"/>
            <w:tcBorders>
              <w:top w:val="single" w:sz="4" w:space="0" w:color="auto"/>
              <w:left w:val="nil"/>
              <w:bottom w:val="single" w:sz="4" w:space="0" w:color="auto"/>
              <w:right w:val="single" w:sz="4" w:space="0" w:color="auto"/>
            </w:tcBorders>
            <w:vAlign w:val="center"/>
          </w:tcPr>
          <w:p w14:paraId="027BA0D6" w14:textId="77777777" w:rsidR="00B201D3" w:rsidRPr="006D4FBA" w:rsidRDefault="009855E8">
            <w:pPr>
              <w:jc w:val="right"/>
              <w:rPr>
                <w:rFonts w:ascii="宋体" w:hAnsi="宋体"/>
              </w:rPr>
            </w:pPr>
            <w:r w:rsidRPr="006D4FBA">
              <w:rPr>
                <w:rFonts w:ascii="宋体" w:hAnsi="宋体" w:hint="eastAsia"/>
              </w:rPr>
              <w:t xml:space="preserve">2,506 </w:t>
            </w:r>
          </w:p>
        </w:tc>
        <w:tc>
          <w:tcPr>
            <w:tcW w:w="859" w:type="pct"/>
            <w:tcBorders>
              <w:top w:val="single" w:sz="4" w:space="0" w:color="auto"/>
              <w:left w:val="single" w:sz="4" w:space="0" w:color="auto"/>
              <w:bottom w:val="single" w:sz="4" w:space="0" w:color="auto"/>
              <w:right w:val="single" w:sz="4" w:space="0" w:color="auto"/>
            </w:tcBorders>
            <w:vAlign w:val="center"/>
          </w:tcPr>
          <w:p w14:paraId="5BD5F2DA" w14:textId="77777777" w:rsidR="00B201D3" w:rsidRPr="006D4FBA" w:rsidRDefault="009855E8">
            <w:pPr>
              <w:jc w:val="right"/>
              <w:rPr>
                <w:rFonts w:ascii="宋体" w:hAnsi="宋体"/>
              </w:rPr>
            </w:pPr>
            <w:r w:rsidRPr="006D4FBA">
              <w:rPr>
                <w:rFonts w:ascii="宋体" w:hAnsi="宋体"/>
              </w:rPr>
              <w:t xml:space="preserve">43 </w:t>
            </w:r>
          </w:p>
        </w:tc>
        <w:tc>
          <w:tcPr>
            <w:tcW w:w="859" w:type="pct"/>
            <w:tcBorders>
              <w:top w:val="single" w:sz="4" w:space="0" w:color="auto"/>
              <w:left w:val="single" w:sz="4" w:space="0" w:color="auto"/>
              <w:bottom w:val="single" w:sz="4" w:space="0" w:color="auto"/>
              <w:right w:val="single" w:sz="4" w:space="0" w:color="auto"/>
            </w:tcBorders>
            <w:vAlign w:val="center"/>
          </w:tcPr>
          <w:p w14:paraId="39D28F7B" w14:textId="77777777" w:rsidR="00B201D3" w:rsidRPr="006D4FBA" w:rsidRDefault="009855E8">
            <w:pPr>
              <w:jc w:val="right"/>
              <w:rPr>
                <w:rFonts w:ascii="宋体" w:hAnsi="宋体"/>
              </w:rPr>
            </w:pPr>
            <w:r w:rsidRPr="006D4FBA">
              <w:rPr>
                <w:rFonts w:ascii="宋体" w:hAnsi="宋体"/>
              </w:rPr>
              <w:t xml:space="preserve">1.70 </w:t>
            </w:r>
          </w:p>
        </w:tc>
      </w:tr>
      <w:tr w:rsidR="00B201D3" w:rsidRPr="006D4FBA" w14:paraId="0D5CFB45" w14:textId="77777777">
        <w:trPr>
          <w:trHeight w:val="346"/>
          <w:jc w:val="center"/>
        </w:trPr>
        <w:tc>
          <w:tcPr>
            <w:tcW w:w="1362" w:type="pct"/>
            <w:tcBorders>
              <w:top w:val="single" w:sz="4" w:space="0" w:color="auto"/>
              <w:left w:val="single" w:sz="4" w:space="0" w:color="auto"/>
              <w:bottom w:val="single" w:sz="4" w:space="0" w:color="auto"/>
              <w:right w:val="single" w:sz="4" w:space="0" w:color="auto"/>
            </w:tcBorders>
            <w:vAlign w:val="center"/>
          </w:tcPr>
          <w:p w14:paraId="2549F2E5" w14:textId="77777777" w:rsidR="00B201D3" w:rsidRPr="006D4FBA" w:rsidRDefault="009855E8">
            <w:pPr>
              <w:jc w:val="center"/>
              <w:rPr>
                <w:rFonts w:ascii="宋体" w:hAnsi="宋体"/>
                <w:lang w:val="en-GB"/>
              </w:rPr>
            </w:pPr>
            <w:r w:rsidRPr="006D4FBA">
              <w:rPr>
                <w:rFonts w:ascii="宋体" w:hAnsi="宋体" w:hint="eastAsia"/>
                <w:lang w:val="en-GB"/>
              </w:rPr>
              <w:t>合计</w:t>
            </w:r>
          </w:p>
        </w:tc>
        <w:tc>
          <w:tcPr>
            <w:tcW w:w="965" w:type="pct"/>
            <w:tcBorders>
              <w:top w:val="single" w:sz="4" w:space="0" w:color="auto"/>
              <w:left w:val="single" w:sz="4" w:space="0" w:color="auto"/>
              <w:bottom w:val="single" w:sz="4" w:space="0" w:color="auto"/>
              <w:right w:val="single" w:sz="4" w:space="0" w:color="auto"/>
            </w:tcBorders>
            <w:vAlign w:val="center"/>
          </w:tcPr>
          <w:p w14:paraId="20F81302" w14:textId="77777777" w:rsidR="00B201D3" w:rsidRPr="006D4FBA" w:rsidRDefault="009855E8">
            <w:pPr>
              <w:jc w:val="right"/>
              <w:rPr>
                <w:rFonts w:ascii="宋体" w:hAnsi="宋体"/>
              </w:rPr>
            </w:pPr>
            <w:r w:rsidRPr="006D4FBA">
              <w:rPr>
                <w:rFonts w:ascii="宋体" w:hAnsi="宋体"/>
              </w:rPr>
              <w:t xml:space="preserve">49,232 </w:t>
            </w:r>
          </w:p>
        </w:tc>
        <w:tc>
          <w:tcPr>
            <w:tcW w:w="955" w:type="pct"/>
            <w:tcBorders>
              <w:top w:val="single" w:sz="4" w:space="0" w:color="auto"/>
              <w:left w:val="single" w:sz="4" w:space="0" w:color="auto"/>
              <w:bottom w:val="single" w:sz="4" w:space="0" w:color="auto"/>
              <w:right w:val="single" w:sz="4" w:space="0" w:color="auto"/>
            </w:tcBorders>
            <w:vAlign w:val="center"/>
          </w:tcPr>
          <w:p w14:paraId="67FE0911" w14:textId="77777777" w:rsidR="00B201D3" w:rsidRPr="006D4FBA" w:rsidRDefault="009855E8">
            <w:pPr>
              <w:jc w:val="right"/>
              <w:rPr>
                <w:rFonts w:ascii="宋体" w:hAnsi="宋体"/>
              </w:rPr>
            </w:pPr>
            <w:r w:rsidRPr="006D4FBA">
              <w:rPr>
                <w:rFonts w:ascii="宋体" w:hAnsi="宋体" w:hint="eastAsia"/>
              </w:rPr>
              <w:t xml:space="preserve">50,638 </w:t>
            </w:r>
          </w:p>
        </w:tc>
        <w:tc>
          <w:tcPr>
            <w:tcW w:w="859" w:type="pct"/>
            <w:tcBorders>
              <w:top w:val="single" w:sz="4" w:space="0" w:color="auto"/>
              <w:left w:val="single" w:sz="4" w:space="0" w:color="auto"/>
              <w:bottom w:val="single" w:sz="4" w:space="0" w:color="auto"/>
              <w:right w:val="single" w:sz="4" w:space="0" w:color="auto"/>
            </w:tcBorders>
            <w:vAlign w:val="center"/>
          </w:tcPr>
          <w:p w14:paraId="17AECD1C" w14:textId="77777777" w:rsidR="00B201D3" w:rsidRPr="006D4FBA" w:rsidRDefault="009855E8">
            <w:pPr>
              <w:jc w:val="right"/>
              <w:rPr>
                <w:rFonts w:ascii="宋体" w:hAnsi="宋体"/>
              </w:rPr>
            </w:pPr>
            <w:r w:rsidRPr="006D4FBA">
              <w:rPr>
                <w:rFonts w:ascii="宋体" w:hAnsi="宋体"/>
              </w:rPr>
              <w:t xml:space="preserve">-1,406 </w:t>
            </w:r>
          </w:p>
        </w:tc>
        <w:tc>
          <w:tcPr>
            <w:tcW w:w="859" w:type="pct"/>
            <w:tcBorders>
              <w:top w:val="single" w:sz="4" w:space="0" w:color="auto"/>
              <w:left w:val="single" w:sz="4" w:space="0" w:color="auto"/>
              <w:bottom w:val="single" w:sz="4" w:space="0" w:color="auto"/>
              <w:right w:val="single" w:sz="4" w:space="0" w:color="auto"/>
            </w:tcBorders>
            <w:vAlign w:val="center"/>
          </w:tcPr>
          <w:p w14:paraId="27FF6F49" w14:textId="77777777" w:rsidR="00B201D3" w:rsidRPr="006D4FBA" w:rsidRDefault="009855E8">
            <w:pPr>
              <w:jc w:val="right"/>
              <w:rPr>
                <w:rFonts w:ascii="宋体" w:hAnsi="宋体"/>
              </w:rPr>
            </w:pPr>
            <w:r w:rsidRPr="006D4FBA">
              <w:rPr>
                <w:rFonts w:ascii="宋体" w:hAnsi="宋体"/>
              </w:rPr>
              <w:t xml:space="preserve">-2.78 </w:t>
            </w:r>
          </w:p>
        </w:tc>
      </w:tr>
    </w:tbl>
    <w:p w14:paraId="43203EF0" w14:textId="77777777" w:rsidR="00B201D3" w:rsidRPr="006D4FBA" w:rsidRDefault="009855E8">
      <w:pPr>
        <w:ind w:firstLineChars="200" w:firstLine="420"/>
        <w:jc w:val="both"/>
        <w:rPr>
          <w:lang w:val="en-GB"/>
        </w:rPr>
      </w:pPr>
      <w:r w:rsidRPr="006D4FBA">
        <w:rPr>
          <w:rFonts w:hint="eastAsia"/>
          <w:lang w:val="en-GB"/>
        </w:rPr>
        <w:t>注：</w:t>
      </w:r>
    </w:p>
    <w:p w14:paraId="471B51DB" w14:textId="77777777" w:rsidR="00B201D3" w:rsidRPr="006D4FBA" w:rsidRDefault="009855E8">
      <w:pPr>
        <w:ind w:firstLineChars="200" w:firstLine="420"/>
        <w:jc w:val="both"/>
        <w:rPr>
          <w:lang w:val="en-GB"/>
        </w:rPr>
      </w:pPr>
      <w:bookmarkStart w:id="29" w:name="_Hlk143163145"/>
      <w:r w:rsidRPr="006D4FBA">
        <w:rPr>
          <w:rFonts w:hint="eastAsia"/>
          <w:lang w:val="en-GB"/>
        </w:rPr>
        <w:t>①菏泽能化商品煤产量同比</w:t>
      </w:r>
      <w:bookmarkStart w:id="30" w:name="_Hlk142762119"/>
      <w:r w:rsidRPr="006D4FBA">
        <w:rPr>
          <w:rFonts w:hint="eastAsia"/>
          <w:lang w:val="en-GB"/>
        </w:rPr>
        <w:t>增加</w:t>
      </w:r>
      <w:bookmarkEnd w:id="30"/>
      <w:r w:rsidRPr="006D4FBA">
        <w:rPr>
          <w:rFonts w:hint="eastAsia"/>
          <w:lang w:val="en-GB"/>
        </w:rPr>
        <w:t>，主要是由于：</w:t>
      </w:r>
      <w:bookmarkStart w:id="31" w:name="_Hlk142641464"/>
      <w:r w:rsidRPr="006D4FBA">
        <w:rPr>
          <w:rFonts w:hint="eastAsia"/>
          <w:lang w:val="en-GB"/>
        </w:rPr>
        <w:t>报告期内矿井工作面生产条件较</w:t>
      </w:r>
      <w:r w:rsidRPr="006D4FBA">
        <w:rPr>
          <w:rFonts w:cs="Times New Roman" w:hint="eastAsia"/>
          <w:bCs/>
          <w:kern w:val="2"/>
          <w:lang w:val="en-GB"/>
        </w:rPr>
        <w:t>上年</w:t>
      </w:r>
      <w:r w:rsidRPr="006D4FBA">
        <w:rPr>
          <w:rFonts w:hint="eastAsia"/>
          <w:lang w:val="en-GB"/>
        </w:rPr>
        <w:t>同期有所改善，商品煤产量同比增加。</w:t>
      </w:r>
    </w:p>
    <w:bookmarkEnd w:id="29"/>
    <w:bookmarkEnd w:id="31"/>
    <w:p w14:paraId="7E202223" w14:textId="77777777" w:rsidR="00B201D3" w:rsidRPr="006D4FBA" w:rsidRDefault="009855E8">
      <w:pPr>
        <w:ind w:firstLineChars="200" w:firstLine="420"/>
        <w:jc w:val="both"/>
        <w:rPr>
          <w:lang w:val="en-GB"/>
        </w:rPr>
      </w:pPr>
      <w:r w:rsidRPr="006D4FBA">
        <w:rPr>
          <w:rFonts w:hint="eastAsia"/>
          <w:lang w:val="en-GB"/>
        </w:rPr>
        <w:t>②昊盛煤业商品煤产量同比增加，主要是由于：报告期内地质条件限产因素部分消除，商品煤产量同比增加。</w:t>
      </w:r>
    </w:p>
    <w:p w14:paraId="31CA81EA" w14:textId="77777777" w:rsidR="00B201D3" w:rsidRPr="006D4FBA" w:rsidRDefault="00B201D3">
      <w:pPr>
        <w:rPr>
          <w:lang w:val="en-GB"/>
        </w:rPr>
      </w:pPr>
    </w:p>
    <w:p w14:paraId="40E6C8BF" w14:textId="77777777" w:rsidR="00B201D3" w:rsidRPr="006D4FBA" w:rsidRDefault="009855E8">
      <w:pPr>
        <w:keepNext/>
        <w:keepLines/>
        <w:widowControl w:val="0"/>
        <w:numPr>
          <w:ilvl w:val="0"/>
          <w:numId w:val="9"/>
        </w:numPr>
        <w:spacing w:before="60" w:after="60"/>
        <w:jc w:val="both"/>
        <w:outlineLvl w:val="4"/>
        <w:rPr>
          <w:rFonts w:cs="Times New Roman"/>
          <w:b/>
          <w:bCs/>
          <w:kern w:val="2"/>
        </w:rPr>
      </w:pPr>
      <w:r w:rsidRPr="006D4FBA">
        <w:rPr>
          <w:rFonts w:cs="Times New Roman" w:hint="eastAsia"/>
          <w:b/>
          <w:bCs/>
          <w:kern w:val="2"/>
        </w:rPr>
        <w:lastRenderedPageBreak/>
        <w:t>煤炭价格与销售</w:t>
      </w:r>
    </w:p>
    <w:p w14:paraId="70B01FF3" w14:textId="77777777" w:rsidR="00B201D3" w:rsidRPr="006D4FBA" w:rsidRDefault="009855E8">
      <w:pPr>
        <w:ind w:firstLineChars="200" w:firstLine="420"/>
        <w:jc w:val="both"/>
        <w:rPr>
          <w:rFonts w:cs="Times New Roman"/>
          <w:bCs/>
          <w:kern w:val="2"/>
          <w:lang w:val="en-GB"/>
        </w:rPr>
      </w:pPr>
      <w:r w:rsidRPr="006D4FBA">
        <w:rPr>
          <w:rFonts w:cs="Times New Roman" w:hint="eastAsia"/>
          <w:bCs/>
          <w:kern w:val="2"/>
          <w:lang w:val="en-GB"/>
        </w:rPr>
        <w:t>上半年本集团销售煤炭</w:t>
      </w:r>
      <w:r w:rsidRPr="006D4FBA">
        <w:rPr>
          <w:rFonts w:cs="Times New Roman"/>
          <w:bCs/>
          <w:kern w:val="2"/>
          <w:lang w:val="en-GB"/>
        </w:rPr>
        <w:t>5,135万吨，同比减少172万吨或3.2%。其中：销售自产煤4,392万吨，完成本年度自产煤销售计划的42.6%。</w:t>
      </w:r>
    </w:p>
    <w:p w14:paraId="2FC6A1F1" w14:textId="77777777" w:rsidR="00B201D3" w:rsidRPr="006D4FBA" w:rsidRDefault="009855E8">
      <w:pPr>
        <w:ind w:firstLineChars="200" w:firstLine="420"/>
        <w:jc w:val="both"/>
        <w:rPr>
          <w:rFonts w:cs="Times New Roman"/>
          <w:bCs/>
          <w:kern w:val="2"/>
          <w:lang w:val="en-GB"/>
        </w:rPr>
      </w:pPr>
      <w:r w:rsidRPr="006D4FBA">
        <w:rPr>
          <w:rFonts w:cs="Times New Roman" w:hint="eastAsia"/>
          <w:bCs/>
          <w:kern w:val="2"/>
          <w:lang w:val="en-GB"/>
        </w:rPr>
        <w:t>上半年本集团实现煤炭业务销售收入</w:t>
      </w:r>
      <w:r w:rsidRPr="006D4FBA">
        <w:rPr>
          <w:rFonts w:cs="Times New Roman"/>
          <w:bCs/>
          <w:kern w:val="2"/>
          <w:lang w:val="en-GB"/>
        </w:rPr>
        <w:t>514.66亿元，同比减少98.15亿元或16.0%。</w:t>
      </w:r>
    </w:p>
    <w:p w14:paraId="723F6D58" w14:textId="77777777" w:rsidR="00B201D3" w:rsidRPr="006D4FBA" w:rsidRDefault="009855E8">
      <w:pPr>
        <w:ind w:firstLineChars="200" w:firstLine="420"/>
        <w:jc w:val="both"/>
        <w:rPr>
          <w:rFonts w:cs="Times New Roman"/>
          <w:bCs/>
          <w:kern w:val="2"/>
          <w:lang w:val="en-GB"/>
        </w:rPr>
      </w:pPr>
      <w:r w:rsidRPr="006D4FBA">
        <w:rPr>
          <w:rFonts w:cs="Times New Roman" w:hint="eastAsia"/>
          <w:bCs/>
          <w:kern w:val="2"/>
          <w:lang w:val="en-GB"/>
        </w:rPr>
        <w:t>上半年本集团分煤种产、销情况如下表：</w:t>
      </w:r>
    </w:p>
    <w:p w14:paraId="0652BE29" w14:textId="77777777" w:rsidR="00B201D3" w:rsidRPr="006D4FBA" w:rsidRDefault="00B201D3">
      <w:pPr>
        <w:ind w:firstLineChars="200" w:firstLine="420"/>
        <w:jc w:val="both"/>
        <w:rPr>
          <w:rFonts w:cs="Times New Roman"/>
          <w:kern w:val="2"/>
          <w:lang w:val="en-GB"/>
        </w:rPr>
      </w:pPr>
    </w:p>
    <w:tbl>
      <w:tblPr>
        <w:tblStyle w:val="g21"/>
        <w:tblW w:w="10363"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873"/>
        <w:gridCol w:w="997"/>
        <w:gridCol w:w="958"/>
        <w:gridCol w:w="1109"/>
        <w:gridCol w:w="1201"/>
        <w:gridCol w:w="958"/>
        <w:gridCol w:w="957"/>
        <w:gridCol w:w="1109"/>
        <w:gridCol w:w="1201"/>
      </w:tblGrid>
      <w:tr w:rsidR="00B201D3" w:rsidRPr="006D4FBA" w14:paraId="25FF9461" w14:textId="77777777">
        <w:trPr>
          <w:trHeight w:val="312"/>
          <w:jc w:val="center"/>
        </w:trPr>
        <w:tc>
          <w:tcPr>
            <w:tcW w:w="1873" w:type="dxa"/>
            <w:vMerge w:val="restart"/>
            <w:tcBorders>
              <w:top w:val="single" w:sz="4" w:space="0" w:color="auto"/>
              <w:left w:val="single" w:sz="4" w:space="0" w:color="auto"/>
              <w:bottom w:val="single" w:sz="4" w:space="0" w:color="auto"/>
              <w:right w:val="single" w:sz="4" w:space="0" w:color="auto"/>
            </w:tcBorders>
            <w:vAlign w:val="center"/>
          </w:tcPr>
          <w:p w14:paraId="2F55E1AB" w14:textId="77777777" w:rsidR="00B201D3" w:rsidRPr="006D4FBA" w:rsidRDefault="00B201D3">
            <w:pPr>
              <w:jc w:val="center"/>
              <w:rPr>
                <w:rFonts w:ascii="宋体" w:hAnsi="宋体"/>
                <w:lang w:val="en-GB"/>
              </w:rPr>
            </w:pPr>
            <w:bookmarkStart w:id="32" w:name="_Hlk16957940"/>
          </w:p>
        </w:tc>
        <w:tc>
          <w:tcPr>
            <w:tcW w:w="4265" w:type="dxa"/>
            <w:gridSpan w:val="4"/>
            <w:tcBorders>
              <w:top w:val="single" w:sz="4" w:space="0" w:color="auto"/>
              <w:left w:val="single" w:sz="4" w:space="0" w:color="auto"/>
              <w:bottom w:val="single" w:sz="4" w:space="0" w:color="auto"/>
              <w:right w:val="single" w:sz="4" w:space="0" w:color="auto"/>
            </w:tcBorders>
            <w:vAlign w:val="center"/>
          </w:tcPr>
          <w:p w14:paraId="0CBF2E7F" w14:textId="77777777" w:rsidR="00B201D3" w:rsidRPr="006D4FBA" w:rsidRDefault="009855E8">
            <w:pPr>
              <w:jc w:val="center"/>
              <w:rPr>
                <w:rFonts w:ascii="宋体" w:hAnsi="宋体"/>
                <w:lang w:val="en-GB"/>
              </w:rPr>
            </w:pPr>
            <w:r w:rsidRPr="006D4FBA">
              <w:rPr>
                <w:rFonts w:ascii="宋体" w:hAnsi="宋体" w:hint="eastAsia"/>
                <w:lang w:val="en-GB"/>
              </w:rPr>
              <w:t>202</w:t>
            </w:r>
            <w:r w:rsidRPr="006D4FBA">
              <w:rPr>
                <w:rFonts w:ascii="宋体" w:hAnsi="宋体"/>
                <w:lang w:val="en-GB"/>
              </w:rPr>
              <w:t>3</w:t>
            </w:r>
            <w:r w:rsidRPr="006D4FBA">
              <w:rPr>
                <w:rFonts w:ascii="宋体" w:hAnsi="宋体" w:hint="eastAsia"/>
                <w:lang w:val="en-GB"/>
              </w:rPr>
              <w:t>年1-6月</w:t>
            </w:r>
          </w:p>
        </w:tc>
        <w:tc>
          <w:tcPr>
            <w:tcW w:w="4225" w:type="dxa"/>
            <w:gridSpan w:val="4"/>
            <w:tcBorders>
              <w:top w:val="single" w:sz="4" w:space="0" w:color="auto"/>
              <w:left w:val="single" w:sz="4" w:space="0" w:color="auto"/>
              <w:bottom w:val="single" w:sz="4" w:space="0" w:color="auto"/>
              <w:right w:val="single" w:sz="4" w:space="0" w:color="auto"/>
            </w:tcBorders>
            <w:vAlign w:val="center"/>
          </w:tcPr>
          <w:p w14:paraId="1D677BA8" w14:textId="77777777" w:rsidR="00B201D3" w:rsidRPr="006D4FBA" w:rsidRDefault="009855E8">
            <w:pPr>
              <w:jc w:val="center"/>
              <w:rPr>
                <w:rFonts w:ascii="宋体" w:hAnsi="宋体"/>
                <w:lang w:val="en-GB"/>
              </w:rPr>
            </w:pPr>
            <w:r w:rsidRPr="006D4FBA">
              <w:rPr>
                <w:rFonts w:ascii="宋体" w:hAnsi="宋体" w:hint="eastAsia"/>
                <w:lang w:val="en-GB"/>
              </w:rPr>
              <w:t>202</w:t>
            </w:r>
            <w:r w:rsidRPr="006D4FBA">
              <w:rPr>
                <w:rFonts w:ascii="宋体" w:hAnsi="宋体"/>
                <w:lang w:val="en-GB"/>
              </w:rPr>
              <w:t>2</w:t>
            </w:r>
            <w:r w:rsidRPr="006D4FBA">
              <w:rPr>
                <w:rFonts w:ascii="宋体" w:hAnsi="宋体" w:hint="eastAsia"/>
                <w:lang w:val="en-GB"/>
              </w:rPr>
              <w:t>年1-6月</w:t>
            </w:r>
          </w:p>
        </w:tc>
      </w:tr>
      <w:tr w:rsidR="00B201D3" w:rsidRPr="006D4FBA" w14:paraId="6262299D" w14:textId="77777777">
        <w:trPr>
          <w:trHeight w:val="312"/>
          <w:jc w:val="center"/>
        </w:trPr>
        <w:tc>
          <w:tcPr>
            <w:tcW w:w="1873" w:type="dxa"/>
            <w:vMerge/>
            <w:tcBorders>
              <w:top w:val="single" w:sz="4" w:space="0" w:color="auto"/>
              <w:left w:val="single" w:sz="4" w:space="0" w:color="auto"/>
              <w:bottom w:val="single" w:sz="4" w:space="0" w:color="auto"/>
              <w:right w:val="single" w:sz="4" w:space="0" w:color="auto"/>
            </w:tcBorders>
            <w:vAlign w:val="center"/>
          </w:tcPr>
          <w:p w14:paraId="58EC177E" w14:textId="77777777" w:rsidR="00B201D3" w:rsidRPr="006D4FBA" w:rsidRDefault="00B201D3">
            <w:pPr>
              <w:rPr>
                <w:rFonts w:ascii="宋体" w:hAnsi="宋体"/>
                <w:lang w:val="en-GB"/>
              </w:rPr>
            </w:pPr>
          </w:p>
        </w:tc>
        <w:tc>
          <w:tcPr>
            <w:tcW w:w="997" w:type="dxa"/>
            <w:tcBorders>
              <w:top w:val="single" w:sz="4" w:space="0" w:color="auto"/>
              <w:left w:val="single" w:sz="4" w:space="0" w:color="auto"/>
              <w:bottom w:val="single" w:sz="4" w:space="0" w:color="auto"/>
              <w:right w:val="single" w:sz="4" w:space="0" w:color="auto"/>
            </w:tcBorders>
            <w:vAlign w:val="center"/>
          </w:tcPr>
          <w:p w14:paraId="744E16D6" w14:textId="77777777" w:rsidR="00B201D3" w:rsidRPr="006D4FBA" w:rsidRDefault="009855E8">
            <w:pPr>
              <w:jc w:val="center"/>
              <w:rPr>
                <w:rFonts w:ascii="宋体" w:hAnsi="宋体"/>
                <w:lang w:val="en-GB"/>
              </w:rPr>
            </w:pPr>
            <w:r w:rsidRPr="006D4FBA">
              <w:rPr>
                <w:rFonts w:ascii="宋体" w:hAnsi="宋体" w:hint="eastAsia"/>
                <w:lang w:val="en-GB"/>
              </w:rPr>
              <w:t>产量</w:t>
            </w:r>
          </w:p>
        </w:tc>
        <w:tc>
          <w:tcPr>
            <w:tcW w:w="958" w:type="dxa"/>
            <w:tcBorders>
              <w:top w:val="single" w:sz="4" w:space="0" w:color="auto"/>
              <w:left w:val="single" w:sz="4" w:space="0" w:color="auto"/>
              <w:bottom w:val="single" w:sz="4" w:space="0" w:color="auto"/>
              <w:right w:val="single" w:sz="4" w:space="0" w:color="auto"/>
            </w:tcBorders>
            <w:vAlign w:val="center"/>
          </w:tcPr>
          <w:p w14:paraId="72CEF651" w14:textId="77777777" w:rsidR="00B201D3" w:rsidRPr="006D4FBA" w:rsidRDefault="009855E8">
            <w:pPr>
              <w:jc w:val="center"/>
              <w:rPr>
                <w:rFonts w:ascii="宋体" w:hAnsi="宋体"/>
                <w:lang w:val="en-GB"/>
              </w:rPr>
            </w:pPr>
            <w:r w:rsidRPr="006D4FBA">
              <w:rPr>
                <w:rFonts w:ascii="宋体" w:hAnsi="宋体" w:hint="eastAsia"/>
                <w:lang w:val="en-GB"/>
              </w:rPr>
              <w:t>销量</w:t>
            </w:r>
          </w:p>
        </w:tc>
        <w:tc>
          <w:tcPr>
            <w:tcW w:w="1109" w:type="dxa"/>
            <w:tcBorders>
              <w:top w:val="single" w:sz="4" w:space="0" w:color="auto"/>
              <w:left w:val="single" w:sz="4" w:space="0" w:color="auto"/>
              <w:bottom w:val="single" w:sz="4" w:space="0" w:color="auto"/>
              <w:right w:val="single" w:sz="4" w:space="0" w:color="auto"/>
            </w:tcBorders>
            <w:vAlign w:val="center"/>
          </w:tcPr>
          <w:p w14:paraId="08CC74E5" w14:textId="77777777" w:rsidR="00B201D3" w:rsidRPr="006D4FBA" w:rsidRDefault="009855E8">
            <w:pPr>
              <w:jc w:val="center"/>
              <w:rPr>
                <w:rFonts w:ascii="宋体" w:hAnsi="宋体"/>
                <w:lang w:val="en-GB"/>
              </w:rPr>
            </w:pPr>
            <w:r w:rsidRPr="006D4FBA">
              <w:rPr>
                <w:rFonts w:ascii="宋体" w:hAnsi="宋体" w:hint="eastAsia"/>
                <w:lang w:val="en-GB"/>
              </w:rPr>
              <w:t>销售价格</w:t>
            </w:r>
          </w:p>
        </w:tc>
        <w:tc>
          <w:tcPr>
            <w:tcW w:w="1201" w:type="dxa"/>
            <w:tcBorders>
              <w:top w:val="single" w:sz="4" w:space="0" w:color="auto"/>
              <w:left w:val="single" w:sz="4" w:space="0" w:color="auto"/>
              <w:bottom w:val="single" w:sz="4" w:space="0" w:color="auto"/>
              <w:right w:val="single" w:sz="4" w:space="0" w:color="auto"/>
            </w:tcBorders>
            <w:vAlign w:val="center"/>
          </w:tcPr>
          <w:p w14:paraId="26AD2539" w14:textId="77777777" w:rsidR="00B201D3" w:rsidRPr="006D4FBA" w:rsidRDefault="009855E8">
            <w:pPr>
              <w:jc w:val="center"/>
              <w:rPr>
                <w:rFonts w:ascii="宋体" w:hAnsi="宋体"/>
                <w:lang w:val="en-GB"/>
              </w:rPr>
            </w:pPr>
            <w:r w:rsidRPr="006D4FBA">
              <w:rPr>
                <w:rFonts w:ascii="宋体" w:hAnsi="宋体" w:hint="eastAsia"/>
                <w:lang w:val="en-GB"/>
              </w:rPr>
              <w:t>销售收入</w:t>
            </w:r>
          </w:p>
        </w:tc>
        <w:tc>
          <w:tcPr>
            <w:tcW w:w="958" w:type="dxa"/>
            <w:tcBorders>
              <w:top w:val="single" w:sz="4" w:space="0" w:color="auto"/>
              <w:left w:val="single" w:sz="4" w:space="0" w:color="auto"/>
              <w:bottom w:val="single" w:sz="4" w:space="0" w:color="auto"/>
              <w:right w:val="single" w:sz="4" w:space="0" w:color="auto"/>
            </w:tcBorders>
            <w:vAlign w:val="center"/>
          </w:tcPr>
          <w:p w14:paraId="5B79BFBE" w14:textId="77777777" w:rsidR="00B201D3" w:rsidRPr="006D4FBA" w:rsidRDefault="009855E8">
            <w:pPr>
              <w:jc w:val="center"/>
              <w:rPr>
                <w:rFonts w:ascii="宋体" w:hAnsi="宋体"/>
                <w:lang w:val="en-GB"/>
              </w:rPr>
            </w:pPr>
            <w:r w:rsidRPr="006D4FBA">
              <w:rPr>
                <w:rFonts w:ascii="宋体" w:hAnsi="宋体" w:hint="eastAsia"/>
                <w:lang w:val="en-GB"/>
              </w:rPr>
              <w:t>产量</w:t>
            </w:r>
          </w:p>
        </w:tc>
        <w:tc>
          <w:tcPr>
            <w:tcW w:w="957" w:type="dxa"/>
            <w:tcBorders>
              <w:top w:val="single" w:sz="4" w:space="0" w:color="auto"/>
              <w:left w:val="single" w:sz="4" w:space="0" w:color="auto"/>
              <w:bottom w:val="single" w:sz="4" w:space="0" w:color="auto"/>
              <w:right w:val="single" w:sz="4" w:space="0" w:color="auto"/>
            </w:tcBorders>
            <w:vAlign w:val="center"/>
          </w:tcPr>
          <w:p w14:paraId="68BDB32A" w14:textId="77777777" w:rsidR="00B201D3" w:rsidRPr="006D4FBA" w:rsidRDefault="009855E8">
            <w:pPr>
              <w:jc w:val="center"/>
              <w:rPr>
                <w:rFonts w:ascii="宋体" w:hAnsi="宋体"/>
                <w:lang w:val="en-GB"/>
              </w:rPr>
            </w:pPr>
            <w:r w:rsidRPr="006D4FBA">
              <w:rPr>
                <w:rFonts w:ascii="宋体" w:hAnsi="宋体" w:hint="eastAsia"/>
                <w:lang w:val="en-GB"/>
              </w:rPr>
              <w:t>销量</w:t>
            </w:r>
          </w:p>
        </w:tc>
        <w:tc>
          <w:tcPr>
            <w:tcW w:w="1109" w:type="dxa"/>
            <w:tcBorders>
              <w:top w:val="single" w:sz="4" w:space="0" w:color="auto"/>
              <w:left w:val="single" w:sz="4" w:space="0" w:color="auto"/>
              <w:bottom w:val="single" w:sz="4" w:space="0" w:color="auto"/>
              <w:right w:val="single" w:sz="4" w:space="0" w:color="auto"/>
            </w:tcBorders>
            <w:vAlign w:val="center"/>
          </w:tcPr>
          <w:p w14:paraId="508F359D" w14:textId="77777777" w:rsidR="00B201D3" w:rsidRPr="006D4FBA" w:rsidRDefault="009855E8">
            <w:pPr>
              <w:jc w:val="center"/>
              <w:rPr>
                <w:rFonts w:ascii="宋体" w:hAnsi="宋体"/>
                <w:lang w:val="en-GB"/>
              </w:rPr>
            </w:pPr>
            <w:r w:rsidRPr="006D4FBA">
              <w:rPr>
                <w:rFonts w:ascii="宋体" w:hAnsi="宋体" w:hint="eastAsia"/>
                <w:lang w:val="en-GB"/>
              </w:rPr>
              <w:t>销售价格</w:t>
            </w:r>
          </w:p>
        </w:tc>
        <w:tc>
          <w:tcPr>
            <w:tcW w:w="1201" w:type="dxa"/>
            <w:tcBorders>
              <w:top w:val="single" w:sz="4" w:space="0" w:color="auto"/>
              <w:left w:val="single" w:sz="4" w:space="0" w:color="auto"/>
              <w:bottom w:val="single" w:sz="4" w:space="0" w:color="auto"/>
              <w:right w:val="single" w:sz="4" w:space="0" w:color="auto"/>
            </w:tcBorders>
            <w:vAlign w:val="center"/>
          </w:tcPr>
          <w:p w14:paraId="21089C55" w14:textId="77777777" w:rsidR="00B201D3" w:rsidRPr="006D4FBA" w:rsidRDefault="009855E8">
            <w:pPr>
              <w:jc w:val="center"/>
              <w:rPr>
                <w:rFonts w:ascii="宋体" w:hAnsi="宋体"/>
                <w:lang w:val="en-GB"/>
              </w:rPr>
            </w:pPr>
            <w:r w:rsidRPr="006D4FBA">
              <w:rPr>
                <w:rFonts w:ascii="宋体" w:hAnsi="宋体" w:hint="eastAsia"/>
                <w:lang w:val="en-GB"/>
              </w:rPr>
              <w:t>销售收入</w:t>
            </w:r>
          </w:p>
        </w:tc>
      </w:tr>
      <w:tr w:rsidR="00B201D3" w:rsidRPr="006D4FBA" w14:paraId="6B733117" w14:textId="77777777">
        <w:trPr>
          <w:trHeight w:val="312"/>
          <w:jc w:val="center"/>
        </w:trPr>
        <w:tc>
          <w:tcPr>
            <w:tcW w:w="1873" w:type="dxa"/>
            <w:vMerge/>
            <w:tcBorders>
              <w:top w:val="single" w:sz="4" w:space="0" w:color="auto"/>
              <w:left w:val="single" w:sz="4" w:space="0" w:color="auto"/>
              <w:bottom w:val="single" w:sz="4" w:space="0" w:color="auto"/>
              <w:right w:val="single" w:sz="4" w:space="0" w:color="auto"/>
            </w:tcBorders>
            <w:vAlign w:val="center"/>
          </w:tcPr>
          <w:p w14:paraId="6AE369D6" w14:textId="77777777" w:rsidR="00B201D3" w:rsidRPr="006D4FBA" w:rsidRDefault="00B201D3">
            <w:pPr>
              <w:rPr>
                <w:rFonts w:ascii="宋体" w:hAnsi="宋体"/>
                <w:lang w:val="en-GB"/>
              </w:rPr>
            </w:pPr>
          </w:p>
        </w:tc>
        <w:tc>
          <w:tcPr>
            <w:tcW w:w="997" w:type="dxa"/>
            <w:tcBorders>
              <w:top w:val="single" w:sz="4" w:space="0" w:color="auto"/>
              <w:left w:val="single" w:sz="4" w:space="0" w:color="auto"/>
              <w:bottom w:val="single" w:sz="4" w:space="0" w:color="auto"/>
              <w:right w:val="single" w:sz="4" w:space="0" w:color="auto"/>
            </w:tcBorders>
            <w:vAlign w:val="center"/>
          </w:tcPr>
          <w:p w14:paraId="316035F9" w14:textId="77777777" w:rsidR="00B201D3" w:rsidRPr="006D4FBA" w:rsidRDefault="009855E8">
            <w:pPr>
              <w:jc w:val="center"/>
              <w:rPr>
                <w:rFonts w:ascii="宋体" w:hAnsi="宋体"/>
                <w:lang w:val="en-GB"/>
              </w:rPr>
            </w:pPr>
            <w:r w:rsidRPr="006D4FBA">
              <w:rPr>
                <w:rFonts w:ascii="宋体" w:hAnsi="宋体" w:hint="eastAsia"/>
                <w:lang w:val="en-GB"/>
              </w:rPr>
              <w:t>（千吨）</w:t>
            </w:r>
          </w:p>
        </w:tc>
        <w:tc>
          <w:tcPr>
            <w:tcW w:w="958" w:type="dxa"/>
            <w:tcBorders>
              <w:top w:val="single" w:sz="4" w:space="0" w:color="auto"/>
              <w:left w:val="single" w:sz="4" w:space="0" w:color="auto"/>
              <w:bottom w:val="single" w:sz="4" w:space="0" w:color="auto"/>
              <w:right w:val="single" w:sz="4" w:space="0" w:color="auto"/>
            </w:tcBorders>
            <w:vAlign w:val="center"/>
          </w:tcPr>
          <w:p w14:paraId="5303556B" w14:textId="77777777" w:rsidR="00B201D3" w:rsidRPr="006D4FBA" w:rsidRDefault="009855E8">
            <w:pPr>
              <w:jc w:val="center"/>
              <w:rPr>
                <w:rFonts w:ascii="宋体" w:hAnsi="宋体"/>
                <w:lang w:val="en-GB"/>
              </w:rPr>
            </w:pPr>
            <w:r w:rsidRPr="006D4FBA">
              <w:rPr>
                <w:rFonts w:ascii="宋体" w:hAnsi="宋体" w:hint="eastAsia"/>
                <w:lang w:val="en-GB"/>
              </w:rPr>
              <w:t>（千吨）</w:t>
            </w:r>
          </w:p>
        </w:tc>
        <w:tc>
          <w:tcPr>
            <w:tcW w:w="1109" w:type="dxa"/>
            <w:tcBorders>
              <w:top w:val="single" w:sz="4" w:space="0" w:color="auto"/>
              <w:left w:val="single" w:sz="4" w:space="0" w:color="auto"/>
              <w:bottom w:val="single" w:sz="4" w:space="0" w:color="auto"/>
              <w:right w:val="single" w:sz="4" w:space="0" w:color="auto"/>
            </w:tcBorders>
            <w:vAlign w:val="center"/>
          </w:tcPr>
          <w:p w14:paraId="41F0BA0B" w14:textId="77777777" w:rsidR="00B201D3" w:rsidRPr="006D4FBA" w:rsidRDefault="009855E8">
            <w:pPr>
              <w:jc w:val="center"/>
              <w:rPr>
                <w:rFonts w:ascii="宋体" w:hAnsi="宋体"/>
                <w:lang w:val="en-GB"/>
              </w:rPr>
            </w:pPr>
            <w:r w:rsidRPr="006D4FBA">
              <w:rPr>
                <w:rFonts w:ascii="宋体" w:hAnsi="宋体" w:hint="eastAsia"/>
                <w:lang w:val="en-GB"/>
              </w:rPr>
              <w:t>（元/吨）</w:t>
            </w:r>
          </w:p>
        </w:tc>
        <w:tc>
          <w:tcPr>
            <w:tcW w:w="1201" w:type="dxa"/>
            <w:tcBorders>
              <w:top w:val="single" w:sz="4" w:space="0" w:color="auto"/>
              <w:left w:val="single" w:sz="4" w:space="0" w:color="auto"/>
              <w:bottom w:val="single" w:sz="4" w:space="0" w:color="auto"/>
              <w:right w:val="single" w:sz="4" w:space="0" w:color="auto"/>
            </w:tcBorders>
            <w:vAlign w:val="center"/>
          </w:tcPr>
          <w:p w14:paraId="4B1E1F79" w14:textId="77777777" w:rsidR="00B201D3" w:rsidRPr="006D4FBA" w:rsidRDefault="009855E8">
            <w:pPr>
              <w:jc w:val="center"/>
              <w:rPr>
                <w:rFonts w:ascii="宋体" w:hAnsi="宋体"/>
                <w:lang w:val="en-GB"/>
              </w:rPr>
            </w:pPr>
            <w:r w:rsidRPr="006D4FBA">
              <w:rPr>
                <w:rFonts w:ascii="宋体" w:hAnsi="宋体" w:hint="eastAsia"/>
                <w:lang w:val="en-GB"/>
              </w:rPr>
              <w:t>（百万元）</w:t>
            </w:r>
          </w:p>
        </w:tc>
        <w:tc>
          <w:tcPr>
            <w:tcW w:w="958" w:type="dxa"/>
            <w:tcBorders>
              <w:top w:val="single" w:sz="4" w:space="0" w:color="auto"/>
              <w:left w:val="single" w:sz="4" w:space="0" w:color="auto"/>
              <w:bottom w:val="single" w:sz="4" w:space="0" w:color="auto"/>
              <w:right w:val="single" w:sz="4" w:space="0" w:color="auto"/>
            </w:tcBorders>
            <w:vAlign w:val="center"/>
          </w:tcPr>
          <w:p w14:paraId="5DAA38E0" w14:textId="77777777" w:rsidR="00B201D3" w:rsidRPr="006D4FBA" w:rsidRDefault="009855E8">
            <w:pPr>
              <w:jc w:val="center"/>
              <w:rPr>
                <w:rFonts w:ascii="宋体" w:hAnsi="宋体"/>
                <w:lang w:val="en-GB"/>
              </w:rPr>
            </w:pPr>
            <w:r w:rsidRPr="006D4FBA">
              <w:rPr>
                <w:rFonts w:ascii="宋体" w:hAnsi="宋体" w:hint="eastAsia"/>
                <w:lang w:val="en-GB"/>
              </w:rPr>
              <w:t>（千吨）</w:t>
            </w:r>
          </w:p>
        </w:tc>
        <w:tc>
          <w:tcPr>
            <w:tcW w:w="957" w:type="dxa"/>
            <w:tcBorders>
              <w:top w:val="single" w:sz="4" w:space="0" w:color="auto"/>
              <w:left w:val="single" w:sz="4" w:space="0" w:color="auto"/>
              <w:bottom w:val="single" w:sz="4" w:space="0" w:color="auto"/>
              <w:right w:val="single" w:sz="4" w:space="0" w:color="auto"/>
            </w:tcBorders>
            <w:vAlign w:val="center"/>
          </w:tcPr>
          <w:p w14:paraId="6654D3FF" w14:textId="77777777" w:rsidR="00B201D3" w:rsidRPr="006D4FBA" w:rsidRDefault="009855E8">
            <w:pPr>
              <w:jc w:val="center"/>
              <w:rPr>
                <w:rFonts w:ascii="宋体" w:hAnsi="宋体"/>
                <w:lang w:val="en-GB"/>
              </w:rPr>
            </w:pPr>
            <w:r w:rsidRPr="006D4FBA">
              <w:rPr>
                <w:rFonts w:ascii="宋体" w:hAnsi="宋体" w:hint="eastAsia"/>
                <w:lang w:val="en-GB"/>
              </w:rPr>
              <w:t>（千吨）</w:t>
            </w:r>
          </w:p>
        </w:tc>
        <w:tc>
          <w:tcPr>
            <w:tcW w:w="1109" w:type="dxa"/>
            <w:tcBorders>
              <w:top w:val="single" w:sz="4" w:space="0" w:color="auto"/>
              <w:left w:val="single" w:sz="4" w:space="0" w:color="auto"/>
              <w:bottom w:val="single" w:sz="4" w:space="0" w:color="auto"/>
              <w:right w:val="single" w:sz="4" w:space="0" w:color="auto"/>
            </w:tcBorders>
            <w:vAlign w:val="center"/>
          </w:tcPr>
          <w:p w14:paraId="5F55C9AF" w14:textId="77777777" w:rsidR="00B201D3" w:rsidRPr="006D4FBA" w:rsidRDefault="009855E8">
            <w:pPr>
              <w:jc w:val="center"/>
              <w:rPr>
                <w:rFonts w:ascii="宋体" w:hAnsi="宋体"/>
                <w:lang w:val="en-GB"/>
              </w:rPr>
            </w:pPr>
            <w:r w:rsidRPr="006D4FBA">
              <w:rPr>
                <w:rFonts w:ascii="宋体" w:hAnsi="宋体" w:hint="eastAsia"/>
                <w:lang w:val="en-GB"/>
              </w:rPr>
              <w:t>（元/吨）</w:t>
            </w:r>
          </w:p>
        </w:tc>
        <w:tc>
          <w:tcPr>
            <w:tcW w:w="1201" w:type="dxa"/>
            <w:tcBorders>
              <w:top w:val="single" w:sz="4" w:space="0" w:color="auto"/>
              <w:left w:val="single" w:sz="4" w:space="0" w:color="auto"/>
              <w:bottom w:val="single" w:sz="4" w:space="0" w:color="auto"/>
              <w:right w:val="single" w:sz="4" w:space="0" w:color="auto"/>
            </w:tcBorders>
            <w:vAlign w:val="center"/>
          </w:tcPr>
          <w:p w14:paraId="79271590" w14:textId="77777777" w:rsidR="00B201D3" w:rsidRPr="006D4FBA" w:rsidRDefault="009855E8">
            <w:pPr>
              <w:jc w:val="center"/>
              <w:rPr>
                <w:rFonts w:ascii="宋体" w:hAnsi="宋体"/>
                <w:lang w:val="en-GB"/>
              </w:rPr>
            </w:pPr>
            <w:r w:rsidRPr="006D4FBA">
              <w:rPr>
                <w:rFonts w:ascii="宋体" w:hAnsi="宋体" w:hint="eastAsia"/>
                <w:lang w:val="en-GB"/>
              </w:rPr>
              <w:t>（百万元）</w:t>
            </w:r>
          </w:p>
        </w:tc>
      </w:tr>
      <w:tr w:rsidR="00B201D3" w:rsidRPr="006D4FBA" w14:paraId="4B9F06B0" w14:textId="77777777">
        <w:trPr>
          <w:trHeight w:val="312"/>
          <w:jc w:val="center"/>
        </w:trPr>
        <w:tc>
          <w:tcPr>
            <w:tcW w:w="1873" w:type="dxa"/>
            <w:tcBorders>
              <w:top w:val="single" w:sz="4" w:space="0" w:color="auto"/>
              <w:left w:val="single" w:sz="4" w:space="0" w:color="auto"/>
              <w:bottom w:val="single" w:sz="4" w:space="0" w:color="auto"/>
              <w:right w:val="single" w:sz="4" w:space="0" w:color="auto"/>
            </w:tcBorders>
            <w:vAlign w:val="center"/>
          </w:tcPr>
          <w:p w14:paraId="3D2F4241" w14:textId="77777777" w:rsidR="00B201D3" w:rsidRPr="006D4FBA" w:rsidRDefault="009855E8">
            <w:pPr>
              <w:jc w:val="both"/>
              <w:rPr>
                <w:rFonts w:ascii="宋体" w:hAnsi="宋体"/>
                <w:lang w:val="en-GB"/>
              </w:rPr>
            </w:pPr>
            <w:r w:rsidRPr="006D4FBA">
              <w:rPr>
                <w:rFonts w:ascii="宋体" w:hAnsi="宋体" w:hint="eastAsia"/>
              </w:rPr>
              <w:t>一、公司</w:t>
            </w:r>
          </w:p>
        </w:tc>
        <w:tc>
          <w:tcPr>
            <w:tcW w:w="997" w:type="dxa"/>
            <w:tcBorders>
              <w:top w:val="single" w:sz="4" w:space="0" w:color="auto"/>
              <w:left w:val="single" w:sz="4" w:space="0" w:color="auto"/>
              <w:bottom w:val="single" w:sz="4" w:space="0" w:color="auto"/>
              <w:right w:val="single" w:sz="4" w:space="0" w:color="auto"/>
            </w:tcBorders>
            <w:vAlign w:val="center"/>
          </w:tcPr>
          <w:p w14:paraId="590D9E0A" w14:textId="77777777" w:rsidR="00B201D3" w:rsidRPr="006D4FBA" w:rsidRDefault="009855E8">
            <w:pPr>
              <w:jc w:val="right"/>
              <w:rPr>
                <w:rFonts w:ascii="宋体" w:hAnsi="宋体"/>
              </w:rPr>
            </w:pPr>
            <w:r w:rsidRPr="006D4FBA">
              <w:rPr>
                <w:rFonts w:ascii="宋体" w:hAnsi="宋体"/>
              </w:rPr>
              <w:t xml:space="preserve">11,862 </w:t>
            </w:r>
          </w:p>
        </w:tc>
        <w:tc>
          <w:tcPr>
            <w:tcW w:w="958" w:type="dxa"/>
            <w:tcBorders>
              <w:top w:val="single" w:sz="4" w:space="0" w:color="auto"/>
              <w:left w:val="single" w:sz="4" w:space="0" w:color="auto"/>
              <w:bottom w:val="single" w:sz="4" w:space="0" w:color="auto"/>
              <w:right w:val="single" w:sz="4" w:space="0" w:color="auto"/>
            </w:tcBorders>
            <w:vAlign w:val="center"/>
          </w:tcPr>
          <w:p w14:paraId="7A74CB15" w14:textId="77777777" w:rsidR="00B201D3" w:rsidRPr="006D4FBA" w:rsidRDefault="009855E8">
            <w:pPr>
              <w:jc w:val="right"/>
              <w:rPr>
                <w:rFonts w:ascii="宋体" w:hAnsi="宋体"/>
              </w:rPr>
            </w:pPr>
            <w:r w:rsidRPr="006D4FBA">
              <w:rPr>
                <w:rFonts w:ascii="宋体" w:hAnsi="宋体"/>
              </w:rPr>
              <w:t xml:space="preserve">11,864 </w:t>
            </w:r>
          </w:p>
        </w:tc>
        <w:tc>
          <w:tcPr>
            <w:tcW w:w="1109" w:type="dxa"/>
            <w:tcBorders>
              <w:top w:val="single" w:sz="4" w:space="0" w:color="auto"/>
              <w:left w:val="single" w:sz="4" w:space="0" w:color="auto"/>
              <w:bottom w:val="single" w:sz="4" w:space="0" w:color="auto"/>
              <w:right w:val="single" w:sz="4" w:space="0" w:color="auto"/>
            </w:tcBorders>
            <w:vAlign w:val="center"/>
          </w:tcPr>
          <w:p w14:paraId="6D9FE295" w14:textId="77777777" w:rsidR="00B201D3" w:rsidRPr="006D4FBA" w:rsidRDefault="009855E8">
            <w:pPr>
              <w:jc w:val="right"/>
              <w:rPr>
                <w:rFonts w:ascii="宋体" w:hAnsi="宋体"/>
              </w:rPr>
            </w:pPr>
            <w:r w:rsidRPr="006D4FBA">
              <w:rPr>
                <w:rFonts w:ascii="宋体" w:hAnsi="宋体"/>
              </w:rPr>
              <w:t>980.54</w:t>
            </w:r>
          </w:p>
        </w:tc>
        <w:tc>
          <w:tcPr>
            <w:tcW w:w="1201" w:type="dxa"/>
            <w:tcBorders>
              <w:top w:val="single" w:sz="4" w:space="0" w:color="auto"/>
              <w:left w:val="single" w:sz="4" w:space="0" w:color="auto"/>
              <w:bottom w:val="single" w:sz="4" w:space="0" w:color="auto"/>
              <w:right w:val="single" w:sz="4" w:space="0" w:color="auto"/>
            </w:tcBorders>
            <w:vAlign w:val="center"/>
          </w:tcPr>
          <w:p w14:paraId="29C45502" w14:textId="77777777" w:rsidR="00B201D3" w:rsidRPr="006D4FBA" w:rsidRDefault="009855E8">
            <w:pPr>
              <w:jc w:val="right"/>
              <w:rPr>
                <w:rFonts w:ascii="宋体" w:hAnsi="宋体"/>
              </w:rPr>
            </w:pPr>
            <w:r w:rsidRPr="006D4FBA">
              <w:rPr>
                <w:rFonts w:ascii="宋体" w:hAnsi="宋体"/>
              </w:rPr>
              <w:t xml:space="preserve">11,633 </w:t>
            </w:r>
          </w:p>
        </w:tc>
        <w:tc>
          <w:tcPr>
            <w:tcW w:w="958" w:type="dxa"/>
            <w:tcBorders>
              <w:top w:val="single" w:sz="4" w:space="0" w:color="auto"/>
              <w:left w:val="single" w:sz="4" w:space="0" w:color="auto"/>
              <w:bottom w:val="single" w:sz="4" w:space="0" w:color="auto"/>
              <w:right w:val="single" w:sz="4" w:space="0" w:color="auto"/>
            </w:tcBorders>
            <w:vAlign w:val="center"/>
          </w:tcPr>
          <w:p w14:paraId="6BFDF056" w14:textId="77777777" w:rsidR="00B201D3" w:rsidRPr="006D4FBA" w:rsidRDefault="009855E8">
            <w:pPr>
              <w:jc w:val="right"/>
              <w:rPr>
                <w:rFonts w:ascii="宋体" w:hAnsi="宋体"/>
              </w:rPr>
            </w:pPr>
            <w:r w:rsidRPr="006D4FBA">
              <w:rPr>
                <w:rFonts w:ascii="宋体" w:hAnsi="宋体" w:hint="eastAsia"/>
              </w:rPr>
              <w:t xml:space="preserve">13,239 </w:t>
            </w:r>
          </w:p>
        </w:tc>
        <w:tc>
          <w:tcPr>
            <w:tcW w:w="957" w:type="dxa"/>
            <w:tcBorders>
              <w:top w:val="single" w:sz="4" w:space="0" w:color="auto"/>
              <w:left w:val="single" w:sz="4" w:space="0" w:color="auto"/>
              <w:bottom w:val="single" w:sz="4" w:space="0" w:color="auto"/>
              <w:right w:val="single" w:sz="4" w:space="0" w:color="auto"/>
            </w:tcBorders>
            <w:vAlign w:val="center"/>
          </w:tcPr>
          <w:p w14:paraId="07F9FF71" w14:textId="77777777" w:rsidR="00B201D3" w:rsidRPr="006D4FBA" w:rsidRDefault="009855E8">
            <w:pPr>
              <w:jc w:val="right"/>
              <w:rPr>
                <w:rFonts w:ascii="宋体" w:hAnsi="宋体"/>
              </w:rPr>
            </w:pPr>
            <w:r w:rsidRPr="006D4FBA">
              <w:rPr>
                <w:rFonts w:ascii="宋体" w:hAnsi="宋体" w:hint="eastAsia"/>
              </w:rPr>
              <w:t xml:space="preserve">13,569 </w:t>
            </w:r>
          </w:p>
        </w:tc>
        <w:tc>
          <w:tcPr>
            <w:tcW w:w="1109" w:type="dxa"/>
            <w:tcBorders>
              <w:top w:val="single" w:sz="4" w:space="0" w:color="auto"/>
              <w:left w:val="single" w:sz="4" w:space="0" w:color="auto"/>
              <w:bottom w:val="single" w:sz="4" w:space="0" w:color="auto"/>
              <w:right w:val="single" w:sz="4" w:space="0" w:color="auto"/>
            </w:tcBorders>
            <w:vAlign w:val="center"/>
          </w:tcPr>
          <w:p w14:paraId="1CC9509E" w14:textId="77777777" w:rsidR="00B201D3" w:rsidRPr="006D4FBA" w:rsidRDefault="009855E8">
            <w:pPr>
              <w:jc w:val="right"/>
              <w:rPr>
                <w:rFonts w:ascii="宋体" w:hAnsi="宋体"/>
              </w:rPr>
            </w:pPr>
            <w:r w:rsidRPr="006D4FBA">
              <w:rPr>
                <w:rFonts w:ascii="宋体" w:hAnsi="宋体" w:hint="eastAsia"/>
              </w:rPr>
              <w:t xml:space="preserve">1,154.54 </w:t>
            </w:r>
          </w:p>
        </w:tc>
        <w:tc>
          <w:tcPr>
            <w:tcW w:w="1201" w:type="dxa"/>
            <w:tcBorders>
              <w:top w:val="single" w:sz="4" w:space="0" w:color="auto"/>
              <w:left w:val="single" w:sz="4" w:space="0" w:color="auto"/>
              <w:bottom w:val="single" w:sz="4" w:space="0" w:color="auto"/>
              <w:right w:val="single" w:sz="4" w:space="0" w:color="auto"/>
            </w:tcBorders>
            <w:vAlign w:val="center"/>
          </w:tcPr>
          <w:p w14:paraId="72268A92" w14:textId="77777777" w:rsidR="00B201D3" w:rsidRPr="006D4FBA" w:rsidRDefault="009855E8">
            <w:pPr>
              <w:jc w:val="right"/>
              <w:rPr>
                <w:rFonts w:ascii="宋体" w:hAnsi="宋体"/>
              </w:rPr>
            </w:pPr>
            <w:r w:rsidRPr="006D4FBA">
              <w:rPr>
                <w:rFonts w:ascii="宋体" w:hAnsi="宋体" w:hint="eastAsia"/>
              </w:rPr>
              <w:t xml:space="preserve">15,666 </w:t>
            </w:r>
          </w:p>
        </w:tc>
      </w:tr>
      <w:tr w:rsidR="00B201D3" w:rsidRPr="006D4FBA" w14:paraId="3ED54419" w14:textId="77777777">
        <w:trPr>
          <w:trHeight w:val="312"/>
          <w:jc w:val="center"/>
        </w:trPr>
        <w:tc>
          <w:tcPr>
            <w:tcW w:w="1873" w:type="dxa"/>
            <w:tcBorders>
              <w:top w:val="single" w:sz="4" w:space="0" w:color="auto"/>
              <w:left w:val="single" w:sz="4" w:space="0" w:color="auto"/>
              <w:bottom w:val="single" w:sz="4" w:space="0" w:color="auto"/>
              <w:right w:val="single" w:sz="4" w:space="0" w:color="auto"/>
            </w:tcBorders>
            <w:vAlign w:val="center"/>
          </w:tcPr>
          <w:p w14:paraId="2ED06D53" w14:textId="77777777" w:rsidR="00B201D3" w:rsidRPr="006D4FBA" w:rsidRDefault="009855E8">
            <w:pPr>
              <w:ind w:firstLineChars="207" w:firstLine="435"/>
              <w:jc w:val="both"/>
              <w:rPr>
                <w:rFonts w:ascii="宋体" w:hAnsi="宋体"/>
                <w:lang w:val="en-GB"/>
              </w:rPr>
            </w:pPr>
            <w:r w:rsidRPr="006D4FBA">
              <w:rPr>
                <w:rFonts w:ascii="宋体" w:hAnsi="宋体" w:hint="eastAsia"/>
              </w:rPr>
              <w:t>1号精煤</w:t>
            </w:r>
          </w:p>
        </w:tc>
        <w:tc>
          <w:tcPr>
            <w:tcW w:w="997" w:type="dxa"/>
            <w:tcBorders>
              <w:top w:val="single" w:sz="4" w:space="0" w:color="auto"/>
              <w:left w:val="single" w:sz="4" w:space="0" w:color="auto"/>
              <w:bottom w:val="single" w:sz="4" w:space="0" w:color="auto"/>
              <w:right w:val="single" w:sz="4" w:space="0" w:color="auto"/>
            </w:tcBorders>
            <w:vAlign w:val="center"/>
          </w:tcPr>
          <w:p w14:paraId="0CFEC566" w14:textId="77777777" w:rsidR="00B201D3" w:rsidRPr="006D4FBA" w:rsidRDefault="009855E8">
            <w:pPr>
              <w:jc w:val="right"/>
              <w:rPr>
                <w:rFonts w:ascii="宋体" w:hAnsi="宋体"/>
              </w:rPr>
            </w:pPr>
            <w:r w:rsidRPr="006D4FBA">
              <w:rPr>
                <w:rFonts w:ascii="宋体" w:hAnsi="宋体"/>
              </w:rPr>
              <w:t xml:space="preserve">241 </w:t>
            </w:r>
          </w:p>
        </w:tc>
        <w:tc>
          <w:tcPr>
            <w:tcW w:w="958" w:type="dxa"/>
            <w:tcBorders>
              <w:top w:val="single" w:sz="4" w:space="0" w:color="auto"/>
              <w:left w:val="single" w:sz="4" w:space="0" w:color="auto"/>
              <w:bottom w:val="single" w:sz="4" w:space="0" w:color="auto"/>
              <w:right w:val="single" w:sz="4" w:space="0" w:color="auto"/>
            </w:tcBorders>
            <w:vAlign w:val="center"/>
          </w:tcPr>
          <w:p w14:paraId="24E78F08" w14:textId="77777777" w:rsidR="00B201D3" w:rsidRPr="006D4FBA" w:rsidRDefault="009855E8">
            <w:pPr>
              <w:jc w:val="right"/>
              <w:rPr>
                <w:rFonts w:ascii="宋体" w:hAnsi="宋体"/>
              </w:rPr>
            </w:pPr>
            <w:r w:rsidRPr="006D4FBA">
              <w:rPr>
                <w:rFonts w:ascii="宋体" w:hAnsi="宋体"/>
              </w:rPr>
              <w:t xml:space="preserve">249 </w:t>
            </w:r>
          </w:p>
        </w:tc>
        <w:tc>
          <w:tcPr>
            <w:tcW w:w="1109" w:type="dxa"/>
            <w:tcBorders>
              <w:top w:val="single" w:sz="4" w:space="0" w:color="auto"/>
              <w:left w:val="single" w:sz="4" w:space="0" w:color="auto"/>
              <w:bottom w:val="single" w:sz="4" w:space="0" w:color="auto"/>
              <w:right w:val="single" w:sz="4" w:space="0" w:color="auto"/>
            </w:tcBorders>
            <w:vAlign w:val="center"/>
          </w:tcPr>
          <w:p w14:paraId="6266E97D" w14:textId="77777777" w:rsidR="00B201D3" w:rsidRPr="006D4FBA" w:rsidRDefault="009855E8">
            <w:pPr>
              <w:jc w:val="right"/>
              <w:rPr>
                <w:rFonts w:ascii="宋体" w:hAnsi="宋体"/>
              </w:rPr>
            </w:pPr>
            <w:r w:rsidRPr="006D4FBA">
              <w:rPr>
                <w:rFonts w:ascii="宋体" w:hAnsi="宋体"/>
              </w:rPr>
              <w:t>1,506.94</w:t>
            </w:r>
          </w:p>
        </w:tc>
        <w:tc>
          <w:tcPr>
            <w:tcW w:w="1201" w:type="dxa"/>
            <w:tcBorders>
              <w:top w:val="single" w:sz="4" w:space="0" w:color="auto"/>
              <w:left w:val="single" w:sz="4" w:space="0" w:color="auto"/>
              <w:bottom w:val="single" w:sz="4" w:space="0" w:color="auto"/>
              <w:right w:val="single" w:sz="4" w:space="0" w:color="auto"/>
            </w:tcBorders>
            <w:vAlign w:val="center"/>
          </w:tcPr>
          <w:p w14:paraId="21185A78" w14:textId="77777777" w:rsidR="00B201D3" w:rsidRPr="006D4FBA" w:rsidRDefault="009855E8">
            <w:pPr>
              <w:jc w:val="right"/>
              <w:rPr>
                <w:rFonts w:ascii="宋体" w:hAnsi="宋体"/>
              </w:rPr>
            </w:pPr>
            <w:r w:rsidRPr="006D4FBA">
              <w:rPr>
                <w:rFonts w:ascii="宋体" w:hAnsi="宋体"/>
              </w:rPr>
              <w:t xml:space="preserve">376 </w:t>
            </w:r>
          </w:p>
        </w:tc>
        <w:tc>
          <w:tcPr>
            <w:tcW w:w="958" w:type="dxa"/>
            <w:tcBorders>
              <w:top w:val="single" w:sz="4" w:space="0" w:color="auto"/>
              <w:left w:val="single" w:sz="4" w:space="0" w:color="auto"/>
              <w:bottom w:val="single" w:sz="4" w:space="0" w:color="auto"/>
              <w:right w:val="single" w:sz="4" w:space="0" w:color="auto"/>
            </w:tcBorders>
            <w:vAlign w:val="center"/>
          </w:tcPr>
          <w:p w14:paraId="3E538350" w14:textId="77777777" w:rsidR="00B201D3" w:rsidRPr="006D4FBA" w:rsidRDefault="009855E8">
            <w:pPr>
              <w:jc w:val="right"/>
              <w:rPr>
                <w:rFonts w:ascii="宋体" w:hAnsi="宋体"/>
              </w:rPr>
            </w:pPr>
            <w:r w:rsidRPr="006D4FBA">
              <w:rPr>
                <w:rFonts w:ascii="宋体" w:hAnsi="宋体" w:hint="eastAsia"/>
              </w:rPr>
              <w:t xml:space="preserve">424 </w:t>
            </w:r>
          </w:p>
        </w:tc>
        <w:tc>
          <w:tcPr>
            <w:tcW w:w="957" w:type="dxa"/>
            <w:tcBorders>
              <w:top w:val="single" w:sz="4" w:space="0" w:color="auto"/>
              <w:left w:val="single" w:sz="4" w:space="0" w:color="auto"/>
              <w:bottom w:val="single" w:sz="4" w:space="0" w:color="auto"/>
              <w:right w:val="single" w:sz="4" w:space="0" w:color="auto"/>
            </w:tcBorders>
            <w:vAlign w:val="center"/>
          </w:tcPr>
          <w:p w14:paraId="24E1661C" w14:textId="77777777" w:rsidR="00B201D3" w:rsidRPr="006D4FBA" w:rsidRDefault="009855E8">
            <w:pPr>
              <w:jc w:val="right"/>
              <w:rPr>
                <w:rFonts w:ascii="宋体" w:hAnsi="宋体"/>
              </w:rPr>
            </w:pPr>
            <w:r w:rsidRPr="006D4FBA">
              <w:rPr>
                <w:rFonts w:ascii="宋体" w:hAnsi="宋体" w:hint="eastAsia"/>
              </w:rPr>
              <w:t xml:space="preserve">453 </w:t>
            </w:r>
          </w:p>
        </w:tc>
        <w:tc>
          <w:tcPr>
            <w:tcW w:w="1109" w:type="dxa"/>
            <w:tcBorders>
              <w:top w:val="single" w:sz="4" w:space="0" w:color="auto"/>
              <w:left w:val="single" w:sz="4" w:space="0" w:color="auto"/>
              <w:bottom w:val="single" w:sz="4" w:space="0" w:color="auto"/>
              <w:right w:val="single" w:sz="4" w:space="0" w:color="auto"/>
            </w:tcBorders>
            <w:vAlign w:val="center"/>
          </w:tcPr>
          <w:p w14:paraId="76171609" w14:textId="77777777" w:rsidR="00B201D3" w:rsidRPr="006D4FBA" w:rsidRDefault="009855E8">
            <w:pPr>
              <w:jc w:val="right"/>
              <w:rPr>
                <w:rFonts w:ascii="宋体" w:hAnsi="宋体"/>
              </w:rPr>
            </w:pPr>
            <w:r w:rsidRPr="006D4FBA">
              <w:rPr>
                <w:rFonts w:ascii="宋体" w:hAnsi="宋体" w:hint="eastAsia"/>
              </w:rPr>
              <w:t xml:space="preserve">1,752.21 </w:t>
            </w:r>
          </w:p>
        </w:tc>
        <w:tc>
          <w:tcPr>
            <w:tcW w:w="1201" w:type="dxa"/>
            <w:tcBorders>
              <w:top w:val="single" w:sz="4" w:space="0" w:color="auto"/>
              <w:left w:val="single" w:sz="4" w:space="0" w:color="auto"/>
              <w:bottom w:val="single" w:sz="4" w:space="0" w:color="auto"/>
              <w:right w:val="single" w:sz="4" w:space="0" w:color="auto"/>
            </w:tcBorders>
            <w:vAlign w:val="center"/>
          </w:tcPr>
          <w:p w14:paraId="6EB55D9D" w14:textId="77777777" w:rsidR="00B201D3" w:rsidRPr="006D4FBA" w:rsidRDefault="009855E8">
            <w:pPr>
              <w:jc w:val="right"/>
              <w:rPr>
                <w:rFonts w:ascii="宋体" w:hAnsi="宋体"/>
              </w:rPr>
            </w:pPr>
            <w:r w:rsidRPr="006D4FBA">
              <w:rPr>
                <w:rFonts w:ascii="宋体" w:hAnsi="宋体" w:hint="eastAsia"/>
              </w:rPr>
              <w:t xml:space="preserve">793 </w:t>
            </w:r>
          </w:p>
        </w:tc>
      </w:tr>
      <w:tr w:rsidR="00B201D3" w:rsidRPr="006D4FBA" w14:paraId="3D835382" w14:textId="77777777">
        <w:trPr>
          <w:trHeight w:val="312"/>
          <w:jc w:val="center"/>
        </w:trPr>
        <w:tc>
          <w:tcPr>
            <w:tcW w:w="1873" w:type="dxa"/>
            <w:tcBorders>
              <w:top w:val="single" w:sz="4" w:space="0" w:color="auto"/>
              <w:left w:val="single" w:sz="4" w:space="0" w:color="auto"/>
              <w:bottom w:val="single" w:sz="4" w:space="0" w:color="auto"/>
              <w:right w:val="single" w:sz="4" w:space="0" w:color="auto"/>
            </w:tcBorders>
            <w:vAlign w:val="center"/>
          </w:tcPr>
          <w:p w14:paraId="16A25ADC" w14:textId="77777777" w:rsidR="00B201D3" w:rsidRPr="006D4FBA" w:rsidRDefault="009855E8">
            <w:pPr>
              <w:ind w:firstLineChars="207" w:firstLine="435"/>
              <w:jc w:val="both"/>
              <w:rPr>
                <w:rFonts w:ascii="宋体" w:hAnsi="宋体"/>
                <w:lang w:val="en-GB"/>
              </w:rPr>
            </w:pPr>
            <w:r w:rsidRPr="006D4FBA">
              <w:rPr>
                <w:rFonts w:ascii="宋体" w:hAnsi="宋体" w:hint="eastAsia"/>
              </w:rPr>
              <w:t>2号精煤</w:t>
            </w:r>
          </w:p>
        </w:tc>
        <w:tc>
          <w:tcPr>
            <w:tcW w:w="997" w:type="dxa"/>
            <w:tcBorders>
              <w:top w:val="single" w:sz="4" w:space="0" w:color="auto"/>
              <w:left w:val="single" w:sz="4" w:space="0" w:color="auto"/>
              <w:bottom w:val="single" w:sz="4" w:space="0" w:color="auto"/>
              <w:right w:val="single" w:sz="4" w:space="0" w:color="auto"/>
            </w:tcBorders>
            <w:vAlign w:val="center"/>
          </w:tcPr>
          <w:p w14:paraId="6D847359" w14:textId="77777777" w:rsidR="00B201D3" w:rsidRPr="006D4FBA" w:rsidRDefault="009855E8">
            <w:pPr>
              <w:jc w:val="right"/>
              <w:rPr>
                <w:rFonts w:ascii="宋体" w:hAnsi="宋体"/>
              </w:rPr>
            </w:pPr>
            <w:r w:rsidRPr="006D4FBA">
              <w:rPr>
                <w:rFonts w:ascii="宋体" w:hAnsi="宋体"/>
              </w:rPr>
              <w:t xml:space="preserve">4,171 </w:t>
            </w:r>
          </w:p>
        </w:tc>
        <w:tc>
          <w:tcPr>
            <w:tcW w:w="958" w:type="dxa"/>
            <w:tcBorders>
              <w:top w:val="single" w:sz="4" w:space="0" w:color="auto"/>
              <w:left w:val="single" w:sz="4" w:space="0" w:color="auto"/>
              <w:bottom w:val="single" w:sz="4" w:space="0" w:color="auto"/>
              <w:right w:val="single" w:sz="4" w:space="0" w:color="auto"/>
            </w:tcBorders>
            <w:vAlign w:val="center"/>
          </w:tcPr>
          <w:p w14:paraId="0D4A1DD6" w14:textId="77777777" w:rsidR="00B201D3" w:rsidRPr="006D4FBA" w:rsidRDefault="009855E8">
            <w:pPr>
              <w:jc w:val="right"/>
              <w:rPr>
                <w:rFonts w:ascii="宋体" w:hAnsi="宋体"/>
              </w:rPr>
            </w:pPr>
            <w:r w:rsidRPr="006D4FBA">
              <w:rPr>
                <w:rFonts w:ascii="宋体" w:hAnsi="宋体"/>
              </w:rPr>
              <w:t xml:space="preserve">4,114 </w:t>
            </w:r>
          </w:p>
        </w:tc>
        <w:tc>
          <w:tcPr>
            <w:tcW w:w="1109" w:type="dxa"/>
            <w:tcBorders>
              <w:top w:val="single" w:sz="4" w:space="0" w:color="auto"/>
              <w:left w:val="single" w:sz="4" w:space="0" w:color="auto"/>
              <w:bottom w:val="single" w:sz="4" w:space="0" w:color="auto"/>
              <w:right w:val="single" w:sz="4" w:space="0" w:color="auto"/>
            </w:tcBorders>
            <w:vAlign w:val="center"/>
          </w:tcPr>
          <w:p w14:paraId="6F6761FF" w14:textId="77777777" w:rsidR="00B201D3" w:rsidRPr="006D4FBA" w:rsidRDefault="009855E8">
            <w:pPr>
              <w:jc w:val="right"/>
              <w:rPr>
                <w:rFonts w:ascii="宋体" w:hAnsi="宋体"/>
              </w:rPr>
            </w:pPr>
            <w:r w:rsidRPr="006D4FBA">
              <w:rPr>
                <w:rFonts w:ascii="宋体" w:hAnsi="宋体"/>
              </w:rPr>
              <w:t>1,463.99</w:t>
            </w:r>
          </w:p>
        </w:tc>
        <w:tc>
          <w:tcPr>
            <w:tcW w:w="1201" w:type="dxa"/>
            <w:tcBorders>
              <w:top w:val="single" w:sz="4" w:space="0" w:color="auto"/>
              <w:left w:val="single" w:sz="4" w:space="0" w:color="auto"/>
              <w:bottom w:val="single" w:sz="4" w:space="0" w:color="auto"/>
              <w:right w:val="single" w:sz="4" w:space="0" w:color="auto"/>
            </w:tcBorders>
            <w:vAlign w:val="center"/>
          </w:tcPr>
          <w:p w14:paraId="6C2769DF" w14:textId="77777777" w:rsidR="00B201D3" w:rsidRPr="006D4FBA" w:rsidRDefault="009855E8">
            <w:pPr>
              <w:jc w:val="right"/>
              <w:rPr>
                <w:rFonts w:ascii="宋体" w:hAnsi="宋体"/>
              </w:rPr>
            </w:pPr>
            <w:r w:rsidRPr="006D4FBA">
              <w:rPr>
                <w:rFonts w:ascii="宋体" w:hAnsi="宋体"/>
              </w:rPr>
              <w:t xml:space="preserve">6,022 </w:t>
            </w:r>
          </w:p>
        </w:tc>
        <w:tc>
          <w:tcPr>
            <w:tcW w:w="958" w:type="dxa"/>
            <w:tcBorders>
              <w:top w:val="single" w:sz="4" w:space="0" w:color="auto"/>
              <w:left w:val="single" w:sz="4" w:space="0" w:color="auto"/>
              <w:bottom w:val="single" w:sz="4" w:space="0" w:color="auto"/>
              <w:right w:val="single" w:sz="4" w:space="0" w:color="auto"/>
            </w:tcBorders>
            <w:vAlign w:val="center"/>
          </w:tcPr>
          <w:p w14:paraId="3F158221" w14:textId="77777777" w:rsidR="00B201D3" w:rsidRPr="006D4FBA" w:rsidRDefault="009855E8">
            <w:pPr>
              <w:jc w:val="right"/>
              <w:rPr>
                <w:rFonts w:ascii="宋体" w:hAnsi="宋体"/>
              </w:rPr>
            </w:pPr>
            <w:r w:rsidRPr="006D4FBA">
              <w:rPr>
                <w:rFonts w:ascii="宋体" w:hAnsi="宋体" w:hint="eastAsia"/>
              </w:rPr>
              <w:t xml:space="preserve">4,007 </w:t>
            </w:r>
          </w:p>
        </w:tc>
        <w:tc>
          <w:tcPr>
            <w:tcW w:w="957" w:type="dxa"/>
            <w:tcBorders>
              <w:top w:val="single" w:sz="4" w:space="0" w:color="auto"/>
              <w:left w:val="single" w:sz="4" w:space="0" w:color="auto"/>
              <w:bottom w:val="single" w:sz="4" w:space="0" w:color="auto"/>
              <w:right w:val="single" w:sz="4" w:space="0" w:color="auto"/>
            </w:tcBorders>
            <w:vAlign w:val="center"/>
          </w:tcPr>
          <w:p w14:paraId="372DF80B" w14:textId="77777777" w:rsidR="00B201D3" w:rsidRPr="006D4FBA" w:rsidRDefault="009855E8">
            <w:pPr>
              <w:jc w:val="right"/>
              <w:rPr>
                <w:rFonts w:ascii="宋体" w:hAnsi="宋体"/>
              </w:rPr>
            </w:pPr>
            <w:r w:rsidRPr="006D4FBA">
              <w:rPr>
                <w:rFonts w:ascii="宋体" w:hAnsi="宋体" w:hint="eastAsia"/>
              </w:rPr>
              <w:t xml:space="preserve">4,173 </w:t>
            </w:r>
          </w:p>
        </w:tc>
        <w:tc>
          <w:tcPr>
            <w:tcW w:w="1109" w:type="dxa"/>
            <w:tcBorders>
              <w:top w:val="single" w:sz="4" w:space="0" w:color="auto"/>
              <w:left w:val="single" w:sz="4" w:space="0" w:color="auto"/>
              <w:bottom w:val="single" w:sz="4" w:space="0" w:color="auto"/>
              <w:right w:val="single" w:sz="4" w:space="0" w:color="auto"/>
            </w:tcBorders>
            <w:vAlign w:val="center"/>
          </w:tcPr>
          <w:p w14:paraId="79917F7B" w14:textId="77777777" w:rsidR="00B201D3" w:rsidRPr="006D4FBA" w:rsidRDefault="009855E8">
            <w:pPr>
              <w:jc w:val="right"/>
              <w:rPr>
                <w:rFonts w:ascii="宋体" w:hAnsi="宋体"/>
              </w:rPr>
            </w:pPr>
            <w:r w:rsidRPr="006D4FBA">
              <w:rPr>
                <w:rFonts w:ascii="宋体" w:hAnsi="宋体" w:hint="eastAsia"/>
              </w:rPr>
              <w:t xml:space="preserve">1,695.22 </w:t>
            </w:r>
          </w:p>
        </w:tc>
        <w:tc>
          <w:tcPr>
            <w:tcW w:w="1201" w:type="dxa"/>
            <w:tcBorders>
              <w:top w:val="single" w:sz="4" w:space="0" w:color="auto"/>
              <w:left w:val="single" w:sz="4" w:space="0" w:color="auto"/>
              <w:bottom w:val="single" w:sz="4" w:space="0" w:color="auto"/>
              <w:right w:val="single" w:sz="4" w:space="0" w:color="auto"/>
            </w:tcBorders>
            <w:vAlign w:val="center"/>
          </w:tcPr>
          <w:p w14:paraId="5DD48872" w14:textId="77777777" w:rsidR="00B201D3" w:rsidRPr="006D4FBA" w:rsidRDefault="009855E8">
            <w:pPr>
              <w:jc w:val="right"/>
              <w:rPr>
                <w:rFonts w:ascii="宋体" w:hAnsi="宋体"/>
              </w:rPr>
            </w:pPr>
            <w:r w:rsidRPr="006D4FBA">
              <w:rPr>
                <w:rFonts w:ascii="宋体" w:hAnsi="宋体" w:hint="eastAsia"/>
              </w:rPr>
              <w:t xml:space="preserve">7,075 </w:t>
            </w:r>
          </w:p>
        </w:tc>
      </w:tr>
      <w:tr w:rsidR="00B201D3" w:rsidRPr="006D4FBA" w14:paraId="5DB67F10" w14:textId="77777777">
        <w:trPr>
          <w:trHeight w:val="312"/>
          <w:jc w:val="center"/>
        </w:trPr>
        <w:tc>
          <w:tcPr>
            <w:tcW w:w="1873" w:type="dxa"/>
            <w:tcBorders>
              <w:top w:val="single" w:sz="4" w:space="0" w:color="auto"/>
              <w:left w:val="single" w:sz="4" w:space="0" w:color="auto"/>
              <w:bottom w:val="single" w:sz="4" w:space="0" w:color="auto"/>
              <w:right w:val="single" w:sz="4" w:space="0" w:color="auto"/>
            </w:tcBorders>
            <w:vAlign w:val="center"/>
          </w:tcPr>
          <w:p w14:paraId="722770C0" w14:textId="77777777" w:rsidR="00B201D3" w:rsidRPr="006D4FBA" w:rsidRDefault="009855E8">
            <w:pPr>
              <w:ind w:firstLineChars="207" w:firstLine="435"/>
              <w:jc w:val="both"/>
              <w:rPr>
                <w:rFonts w:ascii="宋体" w:hAnsi="宋体"/>
                <w:lang w:val="en-GB"/>
              </w:rPr>
            </w:pPr>
            <w:r w:rsidRPr="006D4FBA">
              <w:rPr>
                <w:rFonts w:ascii="宋体" w:hAnsi="宋体" w:hint="eastAsia"/>
              </w:rPr>
              <w:t>3号精煤</w:t>
            </w:r>
          </w:p>
        </w:tc>
        <w:tc>
          <w:tcPr>
            <w:tcW w:w="997" w:type="dxa"/>
            <w:tcBorders>
              <w:top w:val="single" w:sz="4" w:space="0" w:color="auto"/>
              <w:left w:val="single" w:sz="4" w:space="0" w:color="auto"/>
              <w:bottom w:val="single" w:sz="4" w:space="0" w:color="auto"/>
              <w:right w:val="single" w:sz="4" w:space="0" w:color="auto"/>
            </w:tcBorders>
            <w:vAlign w:val="center"/>
          </w:tcPr>
          <w:p w14:paraId="6E1D5D60" w14:textId="77777777" w:rsidR="00B201D3" w:rsidRPr="006D4FBA" w:rsidRDefault="009855E8">
            <w:pPr>
              <w:jc w:val="right"/>
              <w:rPr>
                <w:rFonts w:ascii="宋体" w:hAnsi="宋体"/>
              </w:rPr>
            </w:pPr>
            <w:r w:rsidRPr="006D4FBA">
              <w:rPr>
                <w:rFonts w:ascii="宋体" w:hAnsi="宋体"/>
              </w:rPr>
              <w:t xml:space="preserve">1,121 </w:t>
            </w:r>
          </w:p>
        </w:tc>
        <w:tc>
          <w:tcPr>
            <w:tcW w:w="958" w:type="dxa"/>
            <w:tcBorders>
              <w:top w:val="single" w:sz="4" w:space="0" w:color="auto"/>
              <w:left w:val="single" w:sz="4" w:space="0" w:color="auto"/>
              <w:bottom w:val="single" w:sz="4" w:space="0" w:color="auto"/>
              <w:right w:val="single" w:sz="4" w:space="0" w:color="auto"/>
            </w:tcBorders>
            <w:vAlign w:val="center"/>
          </w:tcPr>
          <w:p w14:paraId="77940DCE" w14:textId="77777777" w:rsidR="00B201D3" w:rsidRPr="006D4FBA" w:rsidRDefault="009855E8">
            <w:pPr>
              <w:jc w:val="right"/>
              <w:rPr>
                <w:rFonts w:ascii="宋体" w:hAnsi="宋体"/>
              </w:rPr>
            </w:pPr>
            <w:r w:rsidRPr="006D4FBA">
              <w:rPr>
                <w:rFonts w:ascii="宋体" w:hAnsi="宋体"/>
              </w:rPr>
              <w:t xml:space="preserve">1,224 </w:t>
            </w:r>
          </w:p>
        </w:tc>
        <w:tc>
          <w:tcPr>
            <w:tcW w:w="1109" w:type="dxa"/>
            <w:tcBorders>
              <w:top w:val="single" w:sz="4" w:space="0" w:color="auto"/>
              <w:left w:val="single" w:sz="4" w:space="0" w:color="auto"/>
              <w:bottom w:val="single" w:sz="4" w:space="0" w:color="auto"/>
              <w:right w:val="single" w:sz="4" w:space="0" w:color="auto"/>
            </w:tcBorders>
            <w:vAlign w:val="center"/>
          </w:tcPr>
          <w:p w14:paraId="05E28144" w14:textId="77777777" w:rsidR="00B201D3" w:rsidRPr="006D4FBA" w:rsidRDefault="009855E8">
            <w:pPr>
              <w:jc w:val="right"/>
              <w:rPr>
                <w:rFonts w:ascii="宋体" w:hAnsi="宋体"/>
              </w:rPr>
            </w:pPr>
            <w:r w:rsidRPr="006D4FBA">
              <w:rPr>
                <w:rFonts w:ascii="宋体" w:hAnsi="宋体"/>
              </w:rPr>
              <w:t>1,218.06</w:t>
            </w:r>
          </w:p>
        </w:tc>
        <w:tc>
          <w:tcPr>
            <w:tcW w:w="1201" w:type="dxa"/>
            <w:tcBorders>
              <w:top w:val="single" w:sz="4" w:space="0" w:color="auto"/>
              <w:left w:val="single" w:sz="4" w:space="0" w:color="auto"/>
              <w:bottom w:val="single" w:sz="4" w:space="0" w:color="auto"/>
              <w:right w:val="single" w:sz="4" w:space="0" w:color="auto"/>
            </w:tcBorders>
            <w:vAlign w:val="center"/>
          </w:tcPr>
          <w:p w14:paraId="5D85B0B1" w14:textId="77777777" w:rsidR="00B201D3" w:rsidRPr="006D4FBA" w:rsidRDefault="009855E8">
            <w:pPr>
              <w:jc w:val="right"/>
              <w:rPr>
                <w:rFonts w:ascii="宋体" w:hAnsi="宋体"/>
              </w:rPr>
            </w:pPr>
            <w:r w:rsidRPr="006D4FBA">
              <w:rPr>
                <w:rFonts w:ascii="宋体" w:hAnsi="宋体"/>
              </w:rPr>
              <w:t xml:space="preserve">1,491 </w:t>
            </w:r>
          </w:p>
        </w:tc>
        <w:tc>
          <w:tcPr>
            <w:tcW w:w="958" w:type="dxa"/>
            <w:tcBorders>
              <w:top w:val="single" w:sz="4" w:space="0" w:color="auto"/>
              <w:left w:val="single" w:sz="4" w:space="0" w:color="auto"/>
              <w:bottom w:val="single" w:sz="4" w:space="0" w:color="auto"/>
              <w:right w:val="single" w:sz="4" w:space="0" w:color="auto"/>
            </w:tcBorders>
            <w:vAlign w:val="center"/>
          </w:tcPr>
          <w:p w14:paraId="6CD86FD5" w14:textId="77777777" w:rsidR="00B201D3" w:rsidRPr="006D4FBA" w:rsidRDefault="009855E8">
            <w:pPr>
              <w:jc w:val="right"/>
              <w:rPr>
                <w:rFonts w:ascii="宋体" w:hAnsi="宋体"/>
              </w:rPr>
            </w:pPr>
            <w:r w:rsidRPr="006D4FBA">
              <w:rPr>
                <w:rFonts w:ascii="宋体" w:hAnsi="宋体" w:hint="eastAsia"/>
              </w:rPr>
              <w:t xml:space="preserve">1,442 </w:t>
            </w:r>
          </w:p>
        </w:tc>
        <w:tc>
          <w:tcPr>
            <w:tcW w:w="957" w:type="dxa"/>
            <w:tcBorders>
              <w:top w:val="single" w:sz="4" w:space="0" w:color="auto"/>
              <w:left w:val="single" w:sz="4" w:space="0" w:color="auto"/>
              <w:bottom w:val="single" w:sz="4" w:space="0" w:color="auto"/>
              <w:right w:val="single" w:sz="4" w:space="0" w:color="auto"/>
            </w:tcBorders>
            <w:vAlign w:val="center"/>
          </w:tcPr>
          <w:p w14:paraId="4647300C" w14:textId="77777777" w:rsidR="00B201D3" w:rsidRPr="006D4FBA" w:rsidRDefault="009855E8">
            <w:pPr>
              <w:jc w:val="right"/>
              <w:rPr>
                <w:rFonts w:ascii="宋体" w:hAnsi="宋体"/>
              </w:rPr>
            </w:pPr>
            <w:r w:rsidRPr="006D4FBA">
              <w:rPr>
                <w:rFonts w:ascii="宋体" w:hAnsi="宋体" w:hint="eastAsia"/>
              </w:rPr>
              <w:t xml:space="preserve">2,733 </w:t>
            </w:r>
          </w:p>
        </w:tc>
        <w:tc>
          <w:tcPr>
            <w:tcW w:w="1109" w:type="dxa"/>
            <w:tcBorders>
              <w:top w:val="single" w:sz="4" w:space="0" w:color="auto"/>
              <w:left w:val="single" w:sz="4" w:space="0" w:color="auto"/>
              <w:bottom w:val="single" w:sz="4" w:space="0" w:color="auto"/>
              <w:right w:val="single" w:sz="4" w:space="0" w:color="auto"/>
            </w:tcBorders>
            <w:vAlign w:val="center"/>
          </w:tcPr>
          <w:p w14:paraId="340B04F7" w14:textId="77777777" w:rsidR="00B201D3" w:rsidRPr="006D4FBA" w:rsidRDefault="009855E8">
            <w:pPr>
              <w:jc w:val="right"/>
              <w:rPr>
                <w:rFonts w:ascii="宋体" w:hAnsi="宋体"/>
              </w:rPr>
            </w:pPr>
            <w:r w:rsidRPr="006D4FBA">
              <w:rPr>
                <w:rFonts w:ascii="宋体" w:hAnsi="宋体" w:hint="eastAsia"/>
              </w:rPr>
              <w:t xml:space="preserve">1,403.85 </w:t>
            </w:r>
          </w:p>
        </w:tc>
        <w:tc>
          <w:tcPr>
            <w:tcW w:w="1201" w:type="dxa"/>
            <w:tcBorders>
              <w:top w:val="single" w:sz="4" w:space="0" w:color="auto"/>
              <w:left w:val="single" w:sz="4" w:space="0" w:color="auto"/>
              <w:bottom w:val="single" w:sz="4" w:space="0" w:color="auto"/>
              <w:right w:val="single" w:sz="4" w:space="0" w:color="auto"/>
            </w:tcBorders>
            <w:vAlign w:val="center"/>
          </w:tcPr>
          <w:p w14:paraId="25CA51F2" w14:textId="77777777" w:rsidR="00B201D3" w:rsidRPr="006D4FBA" w:rsidRDefault="009855E8">
            <w:pPr>
              <w:jc w:val="right"/>
              <w:rPr>
                <w:rFonts w:ascii="宋体" w:hAnsi="宋体"/>
              </w:rPr>
            </w:pPr>
            <w:r w:rsidRPr="006D4FBA">
              <w:rPr>
                <w:rFonts w:ascii="宋体" w:hAnsi="宋体" w:hint="eastAsia"/>
              </w:rPr>
              <w:t xml:space="preserve">3,836 </w:t>
            </w:r>
          </w:p>
        </w:tc>
      </w:tr>
      <w:tr w:rsidR="00B201D3" w:rsidRPr="006D4FBA" w14:paraId="08852A0B" w14:textId="77777777">
        <w:trPr>
          <w:trHeight w:val="312"/>
          <w:jc w:val="center"/>
        </w:trPr>
        <w:tc>
          <w:tcPr>
            <w:tcW w:w="1873" w:type="dxa"/>
            <w:tcBorders>
              <w:top w:val="single" w:sz="4" w:space="0" w:color="auto"/>
              <w:left w:val="single" w:sz="4" w:space="0" w:color="auto"/>
              <w:bottom w:val="single" w:sz="4" w:space="0" w:color="auto"/>
              <w:right w:val="single" w:sz="4" w:space="0" w:color="auto"/>
            </w:tcBorders>
            <w:vAlign w:val="center"/>
          </w:tcPr>
          <w:p w14:paraId="3D3573F6" w14:textId="77777777" w:rsidR="00B201D3" w:rsidRPr="006D4FBA" w:rsidRDefault="009855E8">
            <w:pPr>
              <w:ind w:firstLineChars="100" w:firstLine="210"/>
              <w:jc w:val="both"/>
              <w:rPr>
                <w:rFonts w:ascii="宋体" w:hAnsi="宋体"/>
                <w:lang w:val="en-GB"/>
              </w:rPr>
            </w:pPr>
            <w:r w:rsidRPr="006D4FBA">
              <w:rPr>
                <w:rFonts w:ascii="宋体" w:hAnsi="宋体" w:hint="eastAsia"/>
              </w:rPr>
              <w:t>精煤小计</w:t>
            </w:r>
          </w:p>
        </w:tc>
        <w:tc>
          <w:tcPr>
            <w:tcW w:w="997" w:type="dxa"/>
            <w:tcBorders>
              <w:top w:val="single" w:sz="4" w:space="0" w:color="auto"/>
              <w:left w:val="single" w:sz="4" w:space="0" w:color="auto"/>
              <w:bottom w:val="single" w:sz="4" w:space="0" w:color="auto"/>
              <w:right w:val="single" w:sz="4" w:space="0" w:color="auto"/>
            </w:tcBorders>
            <w:vAlign w:val="center"/>
          </w:tcPr>
          <w:p w14:paraId="46AE7477" w14:textId="77777777" w:rsidR="00B201D3" w:rsidRPr="006D4FBA" w:rsidRDefault="009855E8">
            <w:pPr>
              <w:jc w:val="right"/>
              <w:rPr>
                <w:rFonts w:ascii="宋体" w:hAnsi="宋体"/>
              </w:rPr>
            </w:pPr>
            <w:r w:rsidRPr="006D4FBA">
              <w:rPr>
                <w:rFonts w:ascii="宋体" w:hAnsi="宋体"/>
              </w:rPr>
              <w:t xml:space="preserve">5,533 </w:t>
            </w:r>
          </w:p>
        </w:tc>
        <w:tc>
          <w:tcPr>
            <w:tcW w:w="958" w:type="dxa"/>
            <w:tcBorders>
              <w:top w:val="single" w:sz="4" w:space="0" w:color="auto"/>
              <w:left w:val="single" w:sz="4" w:space="0" w:color="auto"/>
              <w:bottom w:val="single" w:sz="4" w:space="0" w:color="auto"/>
              <w:right w:val="single" w:sz="4" w:space="0" w:color="auto"/>
            </w:tcBorders>
            <w:vAlign w:val="center"/>
          </w:tcPr>
          <w:p w14:paraId="2DB6D9BD" w14:textId="77777777" w:rsidR="00B201D3" w:rsidRPr="006D4FBA" w:rsidRDefault="009855E8">
            <w:pPr>
              <w:jc w:val="right"/>
              <w:rPr>
                <w:rFonts w:ascii="宋体" w:hAnsi="宋体"/>
              </w:rPr>
            </w:pPr>
            <w:r w:rsidRPr="006D4FBA">
              <w:rPr>
                <w:rFonts w:ascii="宋体" w:hAnsi="宋体"/>
              </w:rPr>
              <w:t xml:space="preserve">5,587 </w:t>
            </w:r>
          </w:p>
        </w:tc>
        <w:tc>
          <w:tcPr>
            <w:tcW w:w="1109" w:type="dxa"/>
            <w:tcBorders>
              <w:top w:val="single" w:sz="4" w:space="0" w:color="auto"/>
              <w:left w:val="single" w:sz="4" w:space="0" w:color="auto"/>
              <w:bottom w:val="single" w:sz="4" w:space="0" w:color="auto"/>
              <w:right w:val="single" w:sz="4" w:space="0" w:color="auto"/>
            </w:tcBorders>
            <w:vAlign w:val="center"/>
          </w:tcPr>
          <w:p w14:paraId="5ACBFFB3" w14:textId="77777777" w:rsidR="00B201D3" w:rsidRPr="006D4FBA" w:rsidRDefault="009855E8">
            <w:pPr>
              <w:jc w:val="right"/>
              <w:rPr>
                <w:rFonts w:ascii="宋体" w:hAnsi="宋体"/>
              </w:rPr>
            </w:pPr>
            <w:r w:rsidRPr="006D4FBA">
              <w:rPr>
                <w:rFonts w:ascii="宋体" w:hAnsi="宋体"/>
              </w:rPr>
              <w:t>1,412.01</w:t>
            </w:r>
          </w:p>
        </w:tc>
        <w:tc>
          <w:tcPr>
            <w:tcW w:w="1201" w:type="dxa"/>
            <w:tcBorders>
              <w:top w:val="single" w:sz="4" w:space="0" w:color="auto"/>
              <w:left w:val="single" w:sz="4" w:space="0" w:color="auto"/>
              <w:bottom w:val="single" w:sz="4" w:space="0" w:color="auto"/>
              <w:right w:val="single" w:sz="4" w:space="0" w:color="auto"/>
            </w:tcBorders>
            <w:vAlign w:val="center"/>
          </w:tcPr>
          <w:p w14:paraId="5F1D6046" w14:textId="77777777" w:rsidR="00B201D3" w:rsidRPr="006D4FBA" w:rsidRDefault="009855E8">
            <w:pPr>
              <w:jc w:val="right"/>
              <w:rPr>
                <w:rFonts w:ascii="宋体" w:hAnsi="宋体"/>
              </w:rPr>
            </w:pPr>
            <w:r w:rsidRPr="006D4FBA">
              <w:rPr>
                <w:rFonts w:ascii="宋体" w:hAnsi="宋体"/>
              </w:rPr>
              <w:t xml:space="preserve">7,889 </w:t>
            </w:r>
          </w:p>
        </w:tc>
        <w:tc>
          <w:tcPr>
            <w:tcW w:w="958" w:type="dxa"/>
            <w:tcBorders>
              <w:top w:val="single" w:sz="4" w:space="0" w:color="auto"/>
              <w:left w:val="single" w:sz="4" w:space="0" w:color="auto"/>
              <w:bottom w:val="single" w:sz="4" w:space="0" w:color="auto"/>
              <w:right w:val="single" w:sz="4" w:space="0" w:color="auto"/>
            </w:tcBorders>
            <w:vAlign w:val="center"/>
          </w:tcPr>
          <w:p w14:paraId="05034D00" w14:textId="77777777" w:rsidR="00B201D3" w:rsidRPr="006D4FBA" w:rsidRDefault="009855E8">
            <w:pPr>
              <w:jc w:val="right"/>
              <w:rPr>
                <w:rFonts w:ascii="宋体" w:hAnsi="宋体"/>
              </w:rPr>
            </w:pPr>
            <w:r w:rsidRPr="006D4FBA">
              <w:rPr>
                <w:rFonts w:ascii="宋体" w:hAnsi="宋体" w:hint="eastAsia"/>
              </w:rPr>
              <w:t xml:space="preserve">5,872 </w:t>
            </w:r>
          </w:p>
        </w:tc>
        <w:tc>
          <w:tcPr>
            <w:tcW w:w="957" w:type="dxa"/>
            <w:tcBorders>
              <w:top w:val="single" w:sz="4" w:space="0" w:color="auto"/>
              <w:left w:val="single" w:sz="4" w:space="0" w:color="auto"/>
              <w:bottom w:val="single" w:sz="4" w:space="0" w:color="auto"/>
              <w:right w:val="single" w:sz="4" w:space="0" w:color="auto"/>
            </w:tcBorders>
            <w:vAlign w:val="center"/>
          </w:tcPr>
          <w:p w14:paraId="6AADBE3B" w14:textId="77777777" w:rsidR="00B201D3" w:rsidRPr="006D4FBA" w:rsidRDefault="009855E8">
            <w:pPr>
              <w:jc w:val="right"/>
              <w:rPr>
                <w:rFonts w:ascii="宋体" w:hAnsi="宋体"/>
              </w:rPr>
            </w:pPr>
            <w:r w:rsidRPr="006D4FBA">
              <w:rPr>
                <w:rFonts w:ascii="宋体" w:hAnsi="宋体" w:hint="eastAsia"/>
              </w:rPr>
              <w:t xml:space="preserve">7,359 </w:t>
            </w:r>
          </w:p>
        </w:tc>
        <w:tc>
          <w:tcPr>
            <w:tcW w:w="1109" w:type="dxa"/>
            <w:tcBorders>
              <w:top w:val="single" w:sz="4" w:space="0" w:color="auto"/>
              <w:left w:val="single" w:sz="4" w:space="0" w:color="auto"/>
              <w:bottom w:val="single" w:sz="4" w:space="0" w:color="auto"/>
              <w:right w:val="single" w:sz="4" w:space="0" w:color="auto"/>
            </w:tcBorders>
            <w:vAlign w:val="center"/>
          </w:tcPr>
          <w:p w14:paraId="2667D758" w14:textId="77777777" w:rsidR="00B201D3" w:rsidRPr="006D4FBA" w:rsidRDefault="009855E8">
            <w:pPr>
              <w:jc w:val="right"/>
              <w:rPr>
                <w:rFonts w:ascii="宋体" w:hAnsi="宋体"/>
              </w:rPr>
            </w:pPr>
            <w:r w:rsidRPr="006D4FBA">
              <w:rPr>
                <w:rFonts w:ascii="宋体" w:hAnsi="宋体" w:hint="eastAsia"/>
              </w:rPr>
              <w:t xml:space="preserve">1,590.52 </w:t>
            </w:r>
          </w:p>
        </w:tc>
        <w:tc>
          <w:tcPr>
            <w:tcW w:w="1201" w:type="dxa"/>
            <w:tcBorders>
              <w:top w:val="single" w:sz="4" w:space="0" w:color="auto"/>
              <w:left w:val="single" w:sz="4" w:space="0" w:color="auto"/>
              <w:bottom w:val="single" w:sz="4" w:space="0" w:color="auto"/>
              <w:right w:val="single" w:sz="4" w:space="0" w:color="auto"/>
            </w:tcBorders>
            <w:vAlign w:val="center"/>
          </w:tcPr>
          <w:p w14:paraId="78BD12BF" w14:textId="77777777" w:rsidR="00B201D3" w:rsidRPr="006D4FBA" w:rsidRDefault="009855E8">
            <w:pPr>
              <w:jc w:val="right"/>
              <w:rPr>
                <w:rFonts w:ascii="宋体" w:hAnsi="宋体"/>
              </w:rPr>
            </w:pPr>
            <w:r w:rsidRPr="006D4FBA">
              <w:rPr>
                <w:rFonts w:ascii="宋体" w:hAnsi="宋体" w:hint="eastAsia"/>
              </w:rPr>
              <w:t xml:space="preserve">11,704 </w:t>
            </w:r>
          </w:p>
        </w:tc>
      </w:tr>
      <w:tr w:rsidR="00B201D3" w:rsidRPr="006D4FBA" w14:paraId="7A1468A6" w14:textId="77777777">
        <w:trPr>
          <w:trHeight w:val="312"/>
          <w:jc w:val="center"/>
        </w:trPr>
        <w:tc>
          <w:tcPr>
            <w:tcW w:w="1873" w:type="dxa"/>
            <w:tcBorders>
              <w:top w:val="single" w:sz="4" w:space="0" w:color="auto"/>
              <w:left w:val="single" w:sz="4" w:space="0" w:color="auto"/>
              <w:bottom w:val="single" w:sz="4" w:space="0" w:color="auto"/>
              <w:right w:val="single" w:sz="4" w:space="0" w:color="auto"/>
            </w:tcBorders>
            <w:vAlign w:val="center"/>
          </w:tcPr>
          <w:p w14:paraId="77AA96D3" w14:textId="77777777" w:rsidR="00B201D3" w:rsidRPr="006D4FBA" w:rsidRDefault="009855E8">
            <w:pPr>
              <w:ind w:firstLineChars="207" w:firstLine="435"/>
              <w:jc w:val="both"/>
              <w:rPr>
                <w:rFonts w:ascii="宋体" w:hAnsi="宋体"/>
                <w:lang w:val="en-GB"/>
              </w:rPr>
            </w:pPr>
            <w:r w:rsidRPr="006D4FBA">
              <w:rPr>
                <w:rFonts w:ascii="宋体" w:hAnsi="宋体" w:hint="eastAsia"/>
              </w:rPr>
              <w:t>经筛选原煤</w:t>
            </w:r>
          </w:p>
        </w:tc>
        <w:tc>
          <w:tcPr>
            <w:tcW w:w="997" w:type="dxa"/>
            <w:tcBorders>
              <w:top w:val="single" w:sz="4" w:space="0" w:color="auto"/>
              <w:left w:val="single" w:sz="4" w:space="0" w:color="auto"/>
              <w:bottom w:val="single" w:sz="4" w:space="0" w:color="auto"/>
              <w:right w:val="single" w:sz="4" w:space="0" w:color="auto"/>
            </w:tcBorders>
            <w:vAlign w:val="center"/>
          </w:tcPr>
          <w:p w14:paraId="66690AA5" w14:textId="77777777" w:rsidR="00B201D3" w:rsidRPr="006D4FBA" w:rsidRDefault="009855E8">
            <w:pPr>
              <w:jc w:val="right"/>
              <w:rPr>
                <w:rFonts w:ascii="宋体" w:hAnsi="宋体"/>
              </w:rPr>
            </w:pPr>
            <w:r w:rsidRPr="006D4FBA">
              <w:rPr>
                <w:rFonts w:ascii="宋体" w:hAnsi="宋体"/>
              </w:rPr>
              <w:t xml:space="preserve">6,329 </w:t>
            </w:r>
          </w:p>
        </w:tc>
        <w:tc>
          <w:tcPr>
            <w:tcW w:w="958" w:type="dxa"/>
            <w:tcBorders>
              <w:top w:val="single" w:sz="4" w:space="0" w:color="auto"/>
              <w:left w:val="single" w:sz="4" w:space="0" w:color="auto"/>
              <w:bottom w:val="single" w:sz="4" w:space="0" w:color="auto"/>
              <w:right w:val="single" w:sz="4" w:space="0" w:color="auto"/>
            </w:tcBorders>
            <w:vAlign w:val="center"/>
          </w:tcPr>
          <w:p w14:paraId="66CA4EA8" w14:textId="77777777" w:rsidR="00B201D3" w:rsidRPr="006D4FBA" w:rsidRDefault="009855E8">
            <w:pPr>
              <w:jc w:val="right"/>
              <w:rPr>
                <w:rFonts w:ascii="宋体" w:hAnsi="宋体"/>
              </w:rPr>
            </w:pPr>
            <w:r w:rsidRPr="006D4FBA">
              <w:rPr>
                <w:rFonts w:ascii="宋体" w:hAnsi="宋体"/>
              </w:rPr>
              <w:t xml:space="preserve">6,277 </w:t>
            </w:r>
          </w:p>
        </w:tc>
        <w:tc>
          <w:tcPr>
            <w:tcW w:w="1109" w:type="dxa"/>
            <w:tcBorders>
              <w:top w:val="single" w:sz="4" w:space="0" w:color="auto"/>
              <w:left w:val="single" w:sz="4" w:space="0" w:color="auto"/>
              <w:bottom w:val="single" w:sz="4" w:space="0" w:color="auto"/>
              <w:right w:val="single" w:sz="4" w:space="0" w:color="auto"/>
            </w:tcBorders>
            <w:vAlign w:val="center"/>
          </w:tcPr>
          <w:p w14:paraId="7A386064" w14:textId="77777777" w:rsidR="00B201D3" w:rsidRPr="006D4FBA" w:rsidRDefault="009855E8">
            <w:pPr>
              <w:jc w:val="right"/>
              <w:rPr>
                <w:rFonts w:ascii="宋体" w:hAnsi="宋体"/>
              </w:rPr>
            </w:pPr>
            <w:r w:rsidRPr="006D4FBA">
              <w:rPr>
                <w:rFonts w:ascii="宋体" w:hAnsi="宋体"/>
              </w:rPr>
              <w:t>596.45</w:t>
            </w:r>
          </w:p>
        </w:tc>
        <w:tc>
          <w:tcPr>
            <w:tcW w:w="1201" w:type="dxa"/>
            <w:tcBorders>
              <w:top w:val="single" w:sz="4" w:space="0" w:color="auto"/>
              <w:left w:val="single" w:sz="4" w:space="0" w:color="auto"/>
              <w:bottom w:val="single" w:sz="4" w:space="0" w:color="auto"/>
              <w:right w:val="single" w:sz="4" w:space="0" w:color="auto"/>
            </w:tcBorders>
            <w:vAlign w:val="center"/>
          </w:tcPr>
          <w:p w14:paraId="5FD6C29B" w14:textId="77777777" w:rsidR="00B201D3" w:rsidRPr="006D4FBA" w:rsidRDefault="009855E8">
            <w:pPr>
              <w:jc w:val="right"/>
              <w:rPr>
                <w:rFonts w:ascii="宋体" w:hAnsi="宋体"/>
              </w:rPr>
            </w:pPr>
            <w:r w:rsidRPr="006D4FBA">
              <w:rPr>
                <w:rFonts w:ascii="宋体" w:hAnsi="宋体"/>
              </w:rPr>
              <w:t xml:space="preserve">3,744 </w:t>
            </w:r>
          </w:p>
        </w:tc>
        <w:tc>
          <w:tcPr>
            <w:tcW w:w="958" w:type="dxa"/>
            <w:tcBorders>
              <w:top w:val="single" w:sz="4" w:space="0" w:color="auto"/>
              <w:left w:val="single" w:sz="4" w:space="0" w:color="auto"/>
              <w:bottom w:val="single" w:sz="4" w:space="0" w:color="auto"/>
              <w:right w:val="single" w:sz="4" w:space="0" w:color="auto"/>
            </w:tcBorders>
            <w:vAlign w:val="center"/>
          </w:tcPr>
          <w:p w14:paraId="4CF48BE6" w14:textId="77777777" w:rsidR="00B201D3" w:rsidRPr="006D4FBA" w:rsidRDefault="009855E8">
            <w:pPr>
              <w:jc w:val="right"/>
              <w:rPr>
                <w:rFonts w:ascii="宋体" w:hAnsi="宋体"/>
              </w:rPr>
            </w:pPr>
            <w:r w:rsidRPr="006D4FBA">
              <w:rPr>
                <w:rFonts w:ascii="宋体" w:hAnsi="宋体" w:hint="eastAsia"/>
              </w:rPr>
              <w:t xml:space="preserve">7,366 </w:t>
            </w:r>
          </w:p>
        </w:tc>
        <w:tc>
          <w:tcPr>
            <w:tcW w:w="957" w:type="dxa"/>
            <w:tcBorders>
              <w:top w:val="single" w:sz="4" w:space="0" w:color="auto"/>
              <w:left w:val="single" w:sz="4" w:space="0" w:color="auto"/>
              <w:bottom w:val="single" w:sz="4" w:space="0" w:color="auto"/>
              <w:right w:val="single" w:sz="4" w:space="0" w:color="auto"/>
            </w:tcBorders>
            <w:vAlign w:val="center"/>
          </w:tcPr>
          <w:p w14:paraId="5CA7DD5B" w14:textId="77777777" w:rsidR="00B201D3" w:rsidRPr="006D4FBA" w:rsidRDefault="009855E8">
            <w:pPr>
              <w:jc w:val="right"/>
              <w:rPr>
                <w:rFonts w:ascii="宋体" w:hAnsi="宋体"/>
              </w:rPr>
            </w:pPr>
            <w:r w:rsidRPr="006D4FBA">
              <w:rPr>
                <w:rFonts w:ascii="宋体" w:hAnsi="宋体" w:hint="eastAsia"/>
              </w:rPr>
              <w:t xml:space="preserve">6,210 </w:t>
            </w:r>
          </w:p>
        </w:tc>
        <w:tc>
          <w:tcPr>
            <w:tcW w:w="1109" w:type="dxa"/>
            <w:tcBorders>
              <w:top w:val="single" w:sz="4" w:space="0" w:color="auto"/>
              <w:left w:val="single" w:sz="4" w:space="0" w:color="auto"/>
              <w:bottom w:val="single" w:sz="4" w:space="0" w:color="auto"/>
              <w:right w:val="single" w:sz="4" w:space="0" w:color="auto"/>
            </w:tcBorders>
            <w:vAlign w:val="center"/>
          </w:tcPr>
          <w:p w14:paraId="2EE3CDFE" w14:textId="77777777" w:rsidR="00B201D3" w:rsidRPr="006D4FBA" w:rsidRDefault="009855E8">
            <w:pPr>
              <w:jc w:val="right"/>
              <w:rPr>
                <w:rFonts w:ascii="宋体" w:hAnsi="宋体"/>
              </w:rPr>
            </w:pPr>
            <w:r w:rsidRPr="006D4FBA">
              <w:rPr>
                <w:rFonts w:ascii="宋体" w:hAnsi="宋体" w:hint="eastAsia"/>
              </w:rPr>
              <w:t xml:space="preserve">637.94 </w:t>
            </w:r>
          </w:p>
        </w:tc>
        <w:tc>
          <w:tcPr>
            <w:tcW w:w="1201" w:type="dxa"/>
            <w:tcBorders>
              <w:top w:val="single" w:sz="4" w:space="0" w:color="auto"/>
              <w:left w:val="single" w:sz="4" w:space="0" w:color="auto"/>
              <w:bottom w:val="single" w:sz="4" w:space="0" w:color="auto"/>
              <w:right w:val="single" w:sz="4" w:space="0" w:color="auto"/>
            </w:tcBorders>
            <w:vAlign w:val="center"/>
          </w:tcPr>
          <w:p w14:paraId="74624C42" w14:textId="77777777" w:rsidR="00B201D3" w:rsidRPr="006D4FBA" w:rsidRDefault="009855E8">
            <w:pPr>
              <w:jc w:val="right"/>
              <w:rPr>
                <w:rFonts w:ascii="宋体" w:hAnsi="宋体"/>
              </w:rPr>
            </w:pPr>
            <w:r w:rsidRPr="006D4FBA">
              <w:rPr>
                <w:rFonts w:ascii="宋体" w:hAnsi="宋体" w:hint="eastAsia"/>
              </w:rPr>
              <w:t xml:space="preserve">3,962 </w:t>
            </w:r>
          </w:p>
        </w:tc>
      </w:tr>
      <w:tr w:rsidR="00B201D3" w:rsidRPr="006D4FBA" w14:paraId="5454BAF8" w14:textId="77777777">
        <w:trPr>
          <w:trHeight w:val="312"/>
          <w:jc w:val="center"/>
        </w:trPr>
        <w:tc>
          <w:tcPr>
            <w:tcW w:w="1873" w:type="dxa"/>
            <w:tcBorders>
              <w:top w:val="single" w:sz="4" w:space="0" w:color="auto"/>
              <w:left w:val="single" w:sz="4" w:space="0" w:color="auto"/>
              <w:bottom w:val="single" w:sz="4" w:space="0" w:color="auto"/>
              <w:right w:val="single" w:sz="4" w:space="0" w:color="auto"/>
            </w:tcBorders>
            <w:vAlign w:val="center"/>
          </w:tcPr>
          <w:p w14:paraId="7BFF9F10" w14:textId="77777777" w:rsidR="00B201D3" w:rsidRPr="006D4FBA" w:rsidRDefault="009855E8">
            <w:pPr>
              <w:jc w:val="both"/>
              <w:rPr>
                <w:rFonts w:ascii="宋体" w:hAnsi="宋体"/>
                <w:lang w:val="en-GB"/>
              </w:rPr>
            </w:pPr>
            <w:r w:rsidRPr="006D4FBA">
              <w:rPr>
                <w:rFonts w:ascii="宋体" w:hAnsi="宋体" w:hint="eastAsia"/>
              </w:rPr>
              <w:t>二、菏泽能化</w:t>
            </w:r>
          </w:p>
        </w:tc>
        <w:tc>
          <w:tcPr>
            <w:tcW w:w="997" w:type="dxa"/>
            <w:tcBorders>
              <w:top w:val="single" w:sz="4" w:space="0" w:color="auto"/>
              <w:left w:val="single" w:sz="4" w:space="0" w:color="auto"/>
              <w:bottom w:val="single" w:sz="4" w:space="0" w:color="auto"/>
              <w:right w:val="single" w:sz="4" w:space="0" w:color="auto"/>
            </w:tcBorders>
            <w:vAlign w:val="center"/>
          </w:tcPr>
          <w:p w14:paraId="18862545" w14:textId="77777777" w:rsidR="00B201D3" w:rsidRPr="006D4FBA" w:rsidRDefault="009855E8">
            <w:pPr>
              <w:jc w:val="right"/>
              <w:rPr>
                <w:rFonts w:ascii="宋体" w:hAnsi="宋体"/>
              </w:rPr>
            </w:pPr>
            <w:r w:rsidRPr="006D4FBA">
              <w:rPr>
                <w:rFonts w:ascii="宋体" w:hAnsi="宋体"/>
              </w:rPr>
              <w:t xml:space="preserve">1,302 </w:t>
            </w:r>
          </w:p>
        </w:tc>
        <w:tc>
          <w:tcPr>
            <w:tcW w:w="958" w:type="dxa"/>
            <w:tcBorders>
              <w:top w:val="single" w:sz="4" w:space="0" w:color="auto"/>
              <w:left w:val="single" w:sz="4" w:space="0" w:color="auto"/>
              <w:bottom w:val="single" w:sz="4" w:space="0" w:color="auto"/>
              <w:right w:val="single" w:sz="4" w:space="0" w:color="auto"/>
            </w:tcBorders>
            <w:vAlign w:val="center"/>
          </w:tcPr>
          <w:p w14:paraId="6D5096AA" w14:textId="77777777" w:rsidR="00B201D3" w:rsidRPr="006D4FBA" w:rsidRDefault="009855E8">
            <w:pPr>
              <w:jc w:val="right"/>
              <w:rPr>
                <w:rFonts w:ascii="宋体" w:hAnsi="宋体"/>
              </w:rPr>
            </w:pPr>
            <w:r w:rsidRPr="006D4FBA">
              <w:rPr>
                <w:rFonts w:ascii="宋体" w:hAnsi="宋体"/>
              </w:rPr>
              <w:t xml:space="preserve">1,117 </w:t>
            </w:r>
          </w:p>
        </w:tc>
        <w:tc>
          <w:tcPr>
            <w:tcW w:w="1109" w:type="dxa"/>
            <w:tcBorders>
              <w:top w:val="single" w:sz="4" w:space="0" w:color="auto"/>
              <w:left w:val="single" w:sz="4" w:space="0" w:color="auto"/>
              <w:bottom w:val="single" w:sz="4" w:space="0" w:color="auto"/>
              <w:right w:val="single" w:sz="4" w:space="0" w:color="auto"/>
            </w:tcBorders>
            <w:vAlign w:val="center"/>
          </w:tcPr>
          <w:p w14:paraId="47B0E65A" w14:textId="77777777" w:rsidR="00B201D3" w:rsidRPr="006D4FBA" w:rsidRDefault="009855E8">
            <w:pPr>
              <w:jc w:val="right"/>
              <w:rPr>
                <w:rFonts w:ascii="宋体" w:hAnsi="宋体"/>
              </w:rPr>
            </w:pPr>
            <w:r w:rsidRPr="006D4FBA">
              <w:rPr>
                <w:rFonts w:ascii="宋体" w:hAnsi="宋体"/>
              </w:rPr>
              <w:t>1,516.57</w:t>
            </w:r>
          </w:p>
        </w:tc>
        <w:tc>
          <w:tcPr>
            <w:tcW w:w="1201" w:type="dxa"/>
            <w:tcBorders>
              <w:top w:val="single" w:sz="4" w:space="0" w:color="auto"/>
              <w:left w:val="single" w:sz="4" w:space="0" w:color="auto"/>
              <w:bottom w:val="single" w:sz="4" w:space="0" w:color="auto"/>
              <w:right w:val="single" w:sz="4" w:space="0" w:color="auto"/>
            </w:tcBorders>
            <w:vAlign w:val="center"/>
          </w:tcPr>
          <w:p w14:paraId="6881E86E" w14:textId="77777777" w:rsidR="00B201D3" w:rsidRPr="006D4FBA" w:rsidRDefault="009855E8">
            <w:pPr>
              <w:jc w:val="right"/>
              <w:rPr>
                <w:rFonts w:ascii="宋体" w:hAnsi="宋体"/>
              </w:rPr>
            </w:pPr>
            <w:r w:rsidRPr="006D4FBA">
              <w:rPr>
                <w:rFonts w:ascii="宋体" w:hAnsi="宋体"/>
              </w:rPr>
              <w:t xml:space="preserve">1,694 </w:t>
            </w:r>
          </w:p>
        </w:tc>
        <w:tc>
          <w:tcPr>
            <w:tcW w:w="958" w:type="dxa"/>
            <w:tcBorders>
              <w:top w:val="single" w:sz="4" w:space="0" w:color="auto"/>
              <w:left w:val="single" w:sz="4" w:space="0" w:color="auto"/>
              <w:bottom w:val="single" w:sz="4" w:space="0" w:color="auto"/>
              <w:right w:val="single" w:sz="4" w:space="0" w:color="auto"/>
            </w:tcBorders>
            <w:vAlign w:val="center"/>
          </w:tcPr>
          <w:p w14:paraId="5ABEA6B7" w14:textId="77777777" w:rsidR="00B201D3" w:rsidRPr="006D4FBA" w:rsidRDefault="009855E8">
            <w:pPr>
              <w:jc w:val="right"/>
              <w:rPr>
                <w:rFonts w:ascii="宋体" w:hAnsi="宋体"/>
              </w:rPr>
            </w:pPr>
            <w:r w:rsidRPr="006D4FBA">
              <w:rPr>
                <w:rFonts w:ascii="宋体" w:hAnsi="宋体" w:hint="eastAsia"/>
              </w:rPr>
              <w:t xml:space="preserve">984 </w:t>
            </w:r>
          </w:p>
        </w:tc>
        <w:tc>
          <w:tcPr>
            <w:tcW w:w="957" w:type="dxa"/>
            <w:tcBorders>
              <w:top w:val="single" w:sz="4" w:space="0" w:color="auto"/>
              <w:left w:val="single" w:sz="4" w:space="0" w:color="auto"/>
              <w:bottom w:val="single" w:sz="4" w:space="0" w:color="auto"/>
              <w:right w:val="single" w:sz="4" w:space="0" w:color="auto"/>
            </w:tcBorders>
            <w:vAlign w:val="center"/>
          </w:tcPr>
          <w:p w14:paraId="5F0EA3C1" w14:textId="77777777" w:rsidR="00B201D3" w:rsidRPr="006D4FBA" w:rsidRDefault="009855E8">
            <w:pPr>
              <w:jc w:val="right"/>
              <w:rPr>
                <w:rFonts w:ascii="宋体" w:hAnsi="宋体"/>
              </w:rPr>
            </w:pPr>
            <w:r w:rsidRPr="006D4FBA">
              <w:rPr>
                <w:rFonts w:ascii="宋体" w:hAnsi="宋体" w:hint="eastAsia"/>
              </w:rPr>
              <w:t xml:space="preserve">823 </w:t>
            </w:r>
          </w:p>
        </w:tc>
        <w:tc>
          <w:tcPr>
            <w:tcW w:w="1109" w:type="dxa"/>
            <w:tcBorders>
              <w:top w:val="single" w:sz="4" w:space="0" w:color="auto"/>
              <w:left w:val="single" w:sz="4" w:space="0" w:color="auto"/>
              <w:bottom w:val="single" w:sz="4" w:space="0" w:color="auto"/>
              <w:right w:val="single" w:sz="4" w:space="0" w:color="auto"/>
            </w:tcBorders>
            <w:vAlign w:val="center"/>
          </w:tcPr>
          <w:p w14:paraId="4FAD04D2" w14:textId="77777777" w:rsidR="00B201D3" w:rsidRPr="006D4FBA" w:rsidRDefault="009855E8">
            <w:pPr>
              <w:jc w:val="right"/>
              <w:rPr>
                <w:rFonts w:ascii="宋体" w:hAnsi="宋体"/>
              </w:rPr>
            </w:pPr>
            <w:r w:rsidRPr="006D4FBA">
              <w:rPr>
                <w:rFonts w:ascii="宋体" w:hAnsi="宋体" w:hint="eastAsia"/>
              </w:rPr>
              <w:t xml:space="preserve">1,996.26 </w:t>
            </w:r>
          </w:p>
        </w:tc>
        <w:tc>
          <w:tcPr>
            <w:tcW w:w="1201" w:type="dxa"/>
            <w:tcBorders>
              <w:top w:val="single" w:sz="4" w:space="0" w:color="auto"/>
              <w:left w:val="single" w:sz="4" w:space="0" w:color="auto"/>
              <w:bottom w:val="single" w:sz="4" w:space="0" w:color="auto"/>
              <w:right w:val="single" w:sz="4" w:space="0" w:color="auto"/>
            </w:tcBorders>
            <w:vAlign w:val="center"/>
          </w:tcPr>
          <w:p w14:paraId="3B9EC0BC" w14:textId="77777777" w:rsidR="00B201D3" w:rsidRPr="006D4FBA" w:rsidRDefault="009855E8">
            <w:pPr>
              <w:jc w:val="right"/>
              <w:rPr>
                <w:rFonts w:ascii="宋体" w:hAnsi="宋体"/>
              </w:rPr>
            </w:pPr>
            <w:r w:rsidRPr="006D4FBA">
              <w:rPr>
                <w:rFonts w:ascii="宋体" w:hAnsi="宋体" w:hint="eastAsia"/>
              </w:rPr>
              <w:t xml:space="preserve">1,643 </w:t>
            </w:r>
          </w:p>
        </w:tc>
      </w:tr>
      <w:tr w:rsidR="00B201D3" w:rsidRPr="006D4FBA" w14:paraId="3F789A61" w14:textId="77777777">
        <w:trPr>
          <w:trHeight w:val="312"/>
          <w:jc w:val="center"/>
        </w:trPr>
        <w:tc>
          <w:tcPr>
            <w:tcW w:w="1873" w:type="dxa"/>
            <w:tcBorders>
              <w:top w:val="single" w:sz="4" w:space="0" w:color="auto"/>
              <w:left w:val="single" w:sz="4" w:space="0" w:color="auto"/>
              <w:bottom w:val="single" w:sz="4" w:space="0" w:color="auto"/>
              <w:right w:val="single" w:sz="4" w:space="0" w:color="auto"/>
            </w:tcBorders>
            <w:vAlign w:val="center"/>
          </w:tcPr>
          <w:p w14:paraId="5195B1A8" w14:textId="77777777" w:rsidR="00B201D3" w:rsidRPr="006D4FBA" w:rsidRDefault="009855E8">
            <w:pPr>
              <w:ind w:firstLineChars="207" w:firstLine="435"/>
              <w:jc w:val="both"/>
              <w:rPr>
                <w:rFonts w:ascii="宋体" w:hAnsi="宋体"/>
                <w:lang w:val="en-GB"/>
              </w:rPr>
            </w:pPr>
            <w:r w:rsidRPr="006D4FBA">
              <w:rPr>
                <w:rFonts w:ascii="宋体" w:hAnsi="宋体" w:hint="eastAsia"/>
              </w:rPr>
              <w:t>2号精煤</w:t>
            </w:r>
          </w:p>
        </w:tc>
        <w:tc>
          <w:tcPr>
            <w:tcW w:w="997" w:type="dxa"/>
            <w:tcBorders>
              <w:top w:val="single" w:sz="4" w:space="0" w:color="auto"/>
              <w:left w:val="single" w:sz="4" w:space="0" w:color="auto"/>
              <w:bottom w:val="single" w:sz="4" w:space="0" w:color="auto"/>
              <w:right w:val="single" w:sz="4" w:space="0" w:color="auto"/>
            </w:tcBorders>
            <w:vAlign w:val="center"/>
          </w:tcPr>
          <w:p w14:paraId="76CD53A4" w14:textId="77777777" w:rsidR="00B201D3" w:rsidRPr="006D4FBA" w:rsidRDefault="009855E8">
            <w:pPr>
              <w:jc w:val="right"/>
              <w:rPr>
                <w:rFonts w:ascii="宋体" w:hAnsi="宋体"/>
              </w:rPr>
            </w:pPr>
            <w:r w:rsidRPr="006D4FBA">
              <w:rPr>
                <w:rFonts w:ascii="宋体" w:hAnsi="宋体"/>
              </w:rPr>
              <w:t xml:space="preserve">1,050 </w:t>
            </w:r>
          </w:p>
        </w:tc>
        <w:tc>
          <w:tcPr>
            <w:tcW w:w="958" w:type="dxa"/>
            <w:tcBorders>
              <w:top w:val="single" w:sz="4" w:space="0" w:color="auto"/>
              <w:left w:val="single" w:sz="4" w:space="0" w:color="auto"/>
              <w:bottom w:val="single" w:sz="4" w:space="0" w:color="auto"/>
              <w:right w:val="single" w:sz="4" w:space="0" w:color="auto"/>
            </w:tcBorders>
            <w:vAlign w:val="center"/>
          </w:tcPr>
          <w:p w14:paraId="3E0EC412" w14:textId="77777777" w:rsidR="00B201D3" w:rsidRPr="006D4FBA" w:rsidRDefault="009855E8">
            <w:pPr>
              <w:jc w:val="right"/>
              <w:rPr>
                <w:rFonts w:ascii="宋体" w:hAnsi="宋体"/>
              </w:rPr>
            </w:pPr>
            <w:r w:rsidRPr="006D4FBA">
              <w:rPr>
                <w:rFonts w:ascii="宋体" w:hAnsi="宋体"/>
              </w:rPr>
              <w:t xml:space="preserve">976 </w:t>
            </w:r>
          </w:p>
        </w:tc>
        <w:tc>
          <w:tcPr>
            <w:tcW w:w="1109" w:type="dxa"/>
            <w:tcBorders>
              <w:top w:val="single" w:sz="4" w:space="0" w:color="auto"/>
              <w:left w:val="single" w:sz="4" w:space="0" w:color="auto"/>
              <w:bottom w:val="single" w:sz="4" w:space="0" w:color="auto"/>
              <w:right w:val="single" w:sz="4" w:space="0" w:color="auto"/>
            </w:tcBorders>
            <w:vAlign w:val="center"/>
          </w:tcPr>
          <w:p w14:paraId="5784CC5E" w14:textId="77777777" w:rsidR="00B201D3" w:rsidRPr="006D4FBA" w:rsidRDefault="009855E8">
            <w:pPr>
              <w:jc w:val="right"/>
              <w:rPr>
                <w:rFonts w:ascii="宋体" w:hAnsi="宋体"/>
              </w:rPr>
            </w:pPr>
            <w:r w:rsidRPr="006D4FBA">
              <w:rPr>
                <w:rFonts w:ascii="宋体" w:hAnsi="宋体"/>
              </w:rPr>
              <w:t>1,648.47</w:t>
            </w:r>
          </w:p>
        </w:tc>
        <w:tc>
          <w:tcPr>
            <w:tcW w:w="1201" w:type="dxa"/>
            <w:tcBorders>
              <w:top w:val="single" w:sz="4" w:space="0" w:color="auto"/>
              <w:left w:val="single" w:sz="4" w:space="0" w:color="auto"/>
              <w:bottom w:val="single" w:sz="4" w:space="0" w:color="auto"/>
              <w:right w:val="single" w:sz="4" w:space="0" w:color="auto"/>
            </w:tcBorders>
            <w:vAlign w:val="center"/>
          </w:tcPr>
          <w:p w14:paraId="1CA10638" w14:textId="77777777" w:rsidR="00B201D3" w:rsidRPr="006D4FBA" w:rsidRDefault="009855E8">
            <w:pPr>
              <w:jc w:val="right"/>
              <w:rPr>
                <w:rFonts w:ascii="宋体" w:hAnsi="宋体"/>
              </w:rPr>
            </w:pPr>
            <w:r w:rsidRPr="006D4FBA">
              <w:rPr>
                <w:rFonts w:ascii="宋体" w:hAnsi="宋体"/>
              </w:rPr>
              <w:t xml:space="preserve">1,608 </w:t>
            </w:r>
          </w:p>
        </w:tc>
        <w:tc>
          <w:tcPr>
            <w:tcW w:w="958" w:type="dxa"/>
            <w:tcBorders>
              <w:top w:val="single" w:sz="4" w:space="0" w:color="auto"/>
              <w:left w:val="single" w:sz="4" w:space="0" w:color="auto"/>
              <w:bottom w:val="single" w:sz="4" w:space="0" w:color="auto"/>
              <w:right w:val="single" w:sz="4" w:space="0" w:color="auto"/>
            </w:tcBorders>
            <w:vAlign w:val="center"/>
          </w:tcPr>
          <w:p w14:paraId="6878648A" w14:textId="77777777" w:rsidR="00B201D3" w:rsidRPr="006D4FBA" w:rsidRDefault="009855E8">
            <w:pPr>
              <w:jc w:val="right"/>
              <w:rPr>
                <w:rFonts w:ascii="宋体" w:hAnsi="宋体"/>
              </w:rPr>
            </w:pPr>
            <w:r w:rsidRPr="006D4FBA">
              <w:rPr>
                <w:rFonts w:ascii="宋体" w:hAnsi="宋体" w:hint="eastAsia"/>
              </w:rPr>
              <w:t xml:space="preserve">823 </w:t>
            </w:r>
          </w:p>
        </w:tc>
        <w:tc>
          <w:tcPr>
            <w:tcW w:w="957" w:type="dxa"/>
            <w:tcBorders>
              <w:top w:val="single" w:sz="4" w:space="0" w:color="auto"/>
              <w:left w:val="single" w:sz="4" w:space="0" w:color="auto"/>
              <w:bottom w:val="single" w:sz="4" w:space="0" w:color="auto"/>
              <w:right w:val="single" w:sz="4" w:space="0" w:color="auto"/>
            </w:tcBorders>
            <w:vAlign w:val="center"/>
          </w:tcPr>
          <w:p w14:paraId="6DB5E5EF" w14:textId="77777777" w:rsidR="00B201D3" w:rsidRPr="006D4FBA" w:rsidRDefault="009855E8">
            <w:pPr>
              <w:jc w:val="right"/>
              <w:rPr>
                <w:rFonts w:ascii="宋体" w:hAnsi="宋体"/>
              </w:rPr>
            </w:pPr>
            <w:r w:rsidRPr="006D4FBA">
              <w:rPr>
                <w:rFonts w:ascii="宋体" w:hAnsi="宋体" w:hint="eastAsia"/>
              </w:rPr>
              <w:t xml:space="preserve">823 </w:t>
            </w:r>
          </w:p>
        </w:tc>
        <w:tc>
          <w:tcPr>
            <w:tcW w:w="1109" w:type="dxa"/>
            <w:tcBorders>
              <w:top w:val="single" w:sz="4" w:space="0" w:color="auto"/>
              <w:left w:val="single" w:sz="4" w:space="0" w:color="auto"/>
              <w:bottom w:val="single" w:sz="4" w:space="0" w:color="auto"/>
              <w:right w:val="single" w:sz="4" w:space="0" w:color="auto"/>
            </w:tcBorders>
            <w:vAlign w:val="center"/>
          </w:tcPr>
          <w:p w14:paraId="7642FFED" w14:textId="77777777" w:rsidR="00B201D3" w:rsidRPr="006D4FBA" w:rsidRDefault="009855E8">
            <w:pPr>
              <w:jc w:val="right"/>
              <w:rPr>
                <w:rFonts w:ascii="宋体" w:hAnsi="宋体"/>
              </w:rPr>
            </w:pPr>
            <w:r w:rsidRPr="006D4FBA">
              <w:rPr>
                <w:rFonts w:ascii="宋体" w:hAnsi="宋体" w:hint="eastAsia"/>
              </w:rPr>
              <w:t xml:space="preserve">1,996.26 </w:t>
            </w:r>
          </w:p>
        </w:tc>
        <w:tc>
          <w:tcPr>
            <w:tcW w:w="1201" w:type="dxa"/>
            <w:tcBorders>
              <w:top w:val="single" w:sz="4" w:space="0" w:color="auto"/>
              <w:left w:val="single" w:sz="4" w:space="0" w:color="auto"/>
              <w:bottom w:val="single" w:sz="4" w:space="0" w:color="auto"/>
              <w:right w:val="single" w:sz="4" w:space="0" w:color="auto"/>
            </w:tcBorders>
            <w:vAlign w:val="center"/>
          </w:tcPr>
          <w:p w14:paraId="03611BEA" w14:textId="77777777" w:rsidR="00B201D3" w:rsidRPr="006D4FBA" w:rsidRDefault="009855E8">
            <w:pPr>
              <w:jc w:val="right"/>
              <w:rPr>
                <w:rFonts w:ascii="宋体" w:hAnsi="宋体"/>
              </w:rPr>
            </w:pPr>
            <w:r w:rsidRPr="006D4FBA">
              <w:rPr>
                <w:rFonts w:ascii="宋体" w:hAnsi="宋体" w:hint="eastAsia"/>
              </w:rPr>
              <w:t xml:space="preserve">1,643 </w:t>
            </w:r>
          </w:p>
        </w:tc>
      </w:tr>
      <w:tr w:rsidR="00B201D3" w:rsidRPr="006D4FBA" w14:paraId="2A2E95AE" w14:textId="77777777">
        <w:trPr>
          <w:trHeight w:val="312"/>
          <w:jc w:val="center"/>
        </w:trPr>
        <w:tc>
          <w:tcPr>
            <w:tcW w:w="1873" w:type="dxa"/>
            <w:tcBorders>
              <w:top w:val="single" w:sz="4" w:space="0" w:color="auto"/>
              <w:left w:val="single" w:sz="4" w:space="0" w:color="auto"/>
              <w:bottom w:val="single" w:sz="4" w:space="0" w:color="auto"/>
              <w:right w:val="single" w:sz="4" w:space="0" w:color="auto"/>
            </w:tcBorders>
            <w:vAlign w:val="center"/>
          </w:tcPr>
          <w:p w14:paraId="10C741D3" w14:textId="77777777" w:rsidR="00B201D3" w:rsidRPr="006D4FBA" w:rsidRDefault="009855E8">
            <w:pPr>
              <w:ind w:firstLineChars="207" w:firstLine="435"/>
              <w:jc w:val="both"/>
              <w:rPr>
                <w:rFonts w:ascii="宋体" w:hAnsi="宋体"/>
                <w:lang w:val="en-GB"/>
              </w:rPr>
            </w:pPr>
            <w:r w:rsidRPr="006D4FBA">
              <w:rPr>
                <w:rFonts w:ascii="宋体" w:hAnsi="宋体" w:hint="eastAsia"/>
              </w:rPr>
              <w:t>经筛选原煤</w:t>
            </w:r>
          </w:p>
        </w:tc>
        <w:tc>
          <w:tcPr>
            <w:tcW w:w="997" w:type="dxa"/>
            <w:tcBorders>
              <w:top w:val="single" w:sz="4" w:space="0" w:color="auto"/>
              <w:left w:val="single" w:sz="4" w:space="0" w:color="auto"/>
              <w:bottom w:val="single" w:sz="4" w:space="0" w:color="auto"/>
              <w:right w:val="single" w:sz="4" w:space="0" w:color="auto"/>
            </w:tcBorders>
            <w:vAlign w:val="center"/>
          </w:tcPr>
          <w:p w14:paraId="4734F32D" w14:textId="77777777" w:rsidR="00B201D3" w:rsidRPr="006D4FBA" w:rsidRDefault="009855E8">
            <w:pPr>
              <w:jc w:val="right"/>
              <w:rPr>
                <w:rFonts w:ascii="宋体" w:hAnsi="宋体"/>
              </w:rPr>
            </w:pPr>
            <w:r w:rsidRPr="006D4FBA">
              <w:rPr>
                <w:rFonts w:ascii="宋体" w:hAnsi="宋体"/>
              </w:rPr>
              <w:t xml:space="preserve">252 </w:t>
            </w:r>
          </w:p>
        </w:tc>
        <w:tc>
          <w:tcPr>
            <w:tcW w:w="958" w:type="dxa"/>
            <w:tcBorders>
              <w:top w:val="single" w:sz="4" w:space="0" w:color="auto"/>
              <w:left w:val="single" w:sz="4" w:space="0" w:color="auto"/>
              <w:bottom w:val="single" w:sz="4" w:space="0" w:color="auto"/>
              <w:right w:val="single" w:sz="4" w:space="0" w:color="auto"/>
            </w:tcBorders>
            <w:vAlign w:val="center"/>
          </w:tcPr>
          <w:p w14:paraId="5561CFAD" w14:textId="77777777" w:rsidR="00B201D3" w:rsidRPr="006D4FBA" w:rsidRDefault="009855E8">
            <w:pPr>
              <w:jc w:val="right"/>
              <w:rPr>
                <w:rFonts w:ascii="宋体" w:hAnsi="宋体"/>
              </w:rPr>
            </w:pPr>
            <w:r w:rsidRPr="006D4FBA">
              <w:rPr>
                <w:rFonts w:ascii="宋体" w:hAnsi="宋体"/>
              </w:rPr>
              <w:t xml:space="preserve">142 </w:t>
            </w:r>
          </w:p>
        </w:tc>
        <w:tc>
          <w:tcPr>
            <w:tcW w:w="1109" w:type="dxa"/>
            <w:tcBorders>
              <w:top w:val="single" w:sz="4" w:space="0" w:color="auto"/>
              <w:left w:val="single" w:sz="4" w:space="0" w:color="auto"/>
              <w:bottom w:val="single" w:sz="4" w:space="0" w:color="auto"/>
              <w:right w:val="single" w:sz="4" w:space="0" w:color="auto"/>
            </w:tcBorders>
            <w:vAlign w:val="center"/>
          </w:tcPr>
          <w:p w14:paraId="246900E2" w14:textId="77777777" w:rsidR="00B201D3" w:rsidRPr="006D4FBA" w:rsidRDefault="009855E8">
            <w:pPr>
              <w:jc w:val="right"/>
              <w:rPr>
                <w:rFonts w:ascii="宋体" w:hAnsi="宋体"/>
              </w:rPr>
            </w:pPr>
            <w:r w:rsidRPr="006D4FBA">
              <w:rPr>
                <w:rFonts w:ascii="宋体" w:hAnsi="宋体"/>
              </w:rPr>
              <w:t>607.29</w:t>
            </w:r>
          </w:p>
        </w:tc>
        <w:tc>
          <w:tcPr>
            <w:tcW w:w="1201" w:type="dxa"/>
            <w:tcBorders>
              <w:top w:val="single" w:sz="4" w:space="0" w:color="auto"/>
              <w:left w:val="single" w:sz="4" w:space="0" w:color="auto"/>
              <w:bottom w:val="single" w:sz="4" w:space="0" w:color="auto"/>
              <w:right w:val="single" w:sz="4" w:space="0" w:color="auto"/>
            </w:tcBorders>
            <w:vAlign w:val="center"/>
          </w:tcPr>
          <w:p w14:paraId="6B539A31" w14:textId="77777777" w:rsidR="00B201D3" w:rsidRPr="006D4FBA" w:rsidRDefault="009855E8">
            <w:pPr>
              <w:jc w:val="right"/>
              <w:rPr>
                <w:rFonts w:ascii="宋体" w:hAnsi="宋体"/>
              </w:rPr>
            </w:pPr>
            <w:r w:rsidRPr="006D4FBA">
              <w:rPr>
                <w:rFonts w:ascii="宋体" w:hAnsi="宋体"/>
              </w:rPr>
              <w:t xml:space="preserve">86 </w:t>
            </w:r>
          </w:p>
        </w:tc>
        <w:tc>
          <w:tcPr>
            <w:tcW w:w="958" w:type="dxa"/>
            <w:tcBorders>
              <w:top w:val="single" w:sz="4" w:space="0" w:color="auto"/>
              <w:left w:val="single" w:sz="4" w:space="0" w:color="auto"/>
              <w:bottom w:val="single" w:sz="4" w:space="0" w:color="auto"/>
              <w:right w:val="single" w:sz="4" w:space="0" w:color="auto"/>
            </w:tcBorders>
            <w:vAlign w:val="center"/>
          </w:tcPr>
          <w:p w14:paraId="014F3D92" w14:textId="77777777" w:rsidR="00B201D3" w:rsidRPr="006D4FBA" w:rsidRDefault="009855E8">
            <w:pPr>
              <w:jc w:val="right"/>
              <w:rPr>
                <w:rFonts w:ascii="宋体" w:hAnsi="宋体"/>
              </w:rPr>
            </w:pPr>
            <w:r w:rsidRPr="006D4FBA">
              <w:rPr>
                <w:rFonts w:ascii="宋体" w:hAnsi="宋体" w:hint="eastAsia"/>
              </w:rPr>
              <w:t xml:space="preserve">162 </w:t>
            </w:r>
          </w:p>
        </w:tc>
        <w:tc>
          <w:tcPr>
            <w:tcW w:w="957" w:type="dxa"/>
            <w:tcBorders>
              <w:top w:val="single" w:sz="4" w:space="0" w:color="auto"/>
              <w:left w:val="single" w:sz="4" w:space="0" w:color="auto"/>
              <w:bottom w:val="single" w:sz="4" w:space="0" w:color="auto"/>
              <w:right w:val="single" w:sz="4" w:space="0" w:color="auto"/>
            </w:tcBorders>
            <w:vAlign w:val="center"/>
          </w:tcPr>
          <w:p w14:paraId="57F9AF94" w14:textId="77777777" w:rsidR="00B201D3" w:rsidRPr="006D4FBA" w:rsidRDefault="009855E8">
            <w:pPr>
              <w:jc w:val="right"/>
              <w:rPr>
                <w:rFonts w:ascii="宋体" w:hAnsi="宋体"/>
              </w:rPr>
            </w:pPr>
            <w:r w:rsidRPr="006D4FBA">
              <w:rPr>
                <w:rFonts w:ascii="宋体" w:hAnsi="宋体" w:hint="eastAsia"/>
              </w:rPr>
              <w:t>-</w:t>
            </w:r>
          </w:p>
        </w:tc>
        <w:tc>
          <w:tcPr>
            <w:tcW w:w="1109" w:type="dxa"/>
            <w:tcBorders>
              <w:top w:val="single" w:sz="4" w:space="0" w:color="auto"/>
              <w:left w:val="single" w:sz="4" w:space="0" w:color="auto"/>
              <w:bottom w:val="single" w:sz="4" w:space="0" w:color="auto"/>
              <w:right w:val="single" w:sz="4" w:space="0" w:color="auto"/>
            </w:tcBorders>
            <w:vAlign w:val="center"/>
          </w:tcPr>
          <w:p w14:paraId="20D19AAF" w14:textId="77777777" w:rsidR="00B201D3" w:rsidRPr="006D4FBA" w:rsidRDefault="009855E8">
            <w:pPr>
              <w:jc w:val="right"/>
              <w:rPr>
                <w:rFonts w:ascii="宋体" w:hAnsi="宋体"/>
              </w:rPr>
            </w:pPr>
            <w:r w:rsidRPr="006D4FBA">
              <w:rPr>
                <w:rFonts w:ascii="宋体" w:hAnsi="宋体" w:hint="eastAsia"/>
              </w:rPr>
              <w:t>-</w:t>
            </w:r>
          </w:p>
        </w:tc>
        <w:tc>
          <w:tcPr>
            <w:tcW w:w="1201" w:type="dxa"/>
            <w:tcBorders>
              <w:top w:val="single" w:sz="4" w:space="0" w:color="auto"/>
              <w:left w:val="single" w:sz="4" w:space="0" w:color="auto"/>
              <w:bottom w:val="single" w:sz="4" w:space="0" w:color="auto"/>
              <w:right w:val="single" w:sz="4" w:space="0" w:color="auto"/>
            </w:tcBorders>
            <w:vAlign w:val="center"/>
          </w:tcPr>
          <w:p w14:paraId="2427E951" w14:textId="77777777" w:rsidR="00B201D3" w:rsidRPr="006D4FBA" w:rsidRDefault="009855E8">
            <w:pPr>
              <w:jc w:val="right"/>
              <w:rPr>
                <w:rFonts w:ascii="宋体" w:hAnsi="宋体"/>
              </w:rPr>
            </w:pPr>
            <w:r w:rsidRPr="006D4FBA">
              <w:rPr>
                <w:rFonts w:ascii="宋体" w:hAnsi="宋体" w:hint="eastAsia"/>
              </w:rPr>
              <w:t>-</w:t>
            </w:r>
          </w:p>
        </w:tc>
      </w:tr>
      <w:tr w:rsidR="00B201D3" w:rsidRPr="006D4FBA" w14:paraId="287ADBA5" w14:textId="77777777">
        <w:trPr>
          <w:trHeight w:val="250"/>
          <w:jc w:val="center"/>
        </w:trPr>
        <w:tc>
          <w:tcPr>
            <w:tcW w:w="1873" w:type="dxa"/>
            <w:tcBorders>
              <w:top w:val="single" w:sz="4" w:space="0" w:color="auto"/>
              <w:left w:val="single" w:sz="4" w:space="0" w:color="auto"/>
              <w:bottom w:val="single" w:sz="4" w:space="0" w:color="auto"/>
              <w:right w:val="single" w:sz="4" w:space="0" w:color="auto"/>
            </w:tcBorders>
            <w:vAlign w:val="center"/>
          </w:tcPr>
          <w:p w14:paraId="5830F21A" w14:textId="77777777" w:rsidR="00B201D3" w:rsidRPr="006D4FBA" w:rsidRDefault="009855E8">
            <w:pPr>
              <w:jc w:val="both"/>
              <w:rPr>
                <w:rFonts w:ascii="宋体" w:hAnsi="宋体"/>
                <w:lang w:val="en-GB"/>
              </w:rPr>
            </w:pPr>
            <w:r w:rsidRPr="006D4FBA">
              <w:rPr>
                <w:rFonts w:ascii="宋体" w:hAnsi="宋体" w:hint="eastAsia"/>
              </w:rPr>
              <w:t>三、山西能化</w:t>
            </w:r>
          </w:p>
        </w:tc>
        <w:tc>
          <w:tcPr>
            <w:tcW w:w="997" w:type="dxa"/>
            <w:tcBorders>
              <w:top w:val="single" w:sz="4" w:space="0" w:color="auto"/>
              <w:left w:val="single" w:sz="4" w:space="0" w:color="auto"/>
              <w:bottom w:val="single" w:sz="4" w:space="0" w:color="auto"/>
              <w:right w:val="single" w:sz="4" w:space="0" w:color="auto"/>
            </w:tcBorders>
            <w:vAlign w:val="center"/>
          </w:tcPr>
          <w:p w14:paraId="68C4AAA2" w14:textId="77777777" w:rsidR="00B201D3" w:rsidRPr="006D4FBA" w:rsidRDefault="009855E8">
            <w:pPr>
              <w:jc w:val="right"/>
              <w:rPr>
                <w:rFonts w:ascii="宋体" w:hAnsi="宋体"/>
              </w:rPr>
            </w:pPr>
            <w:r w:rsidRPr="006D4FBA">
              <w:rPr>
                <w:rFonts w:ascii="宋体" w:hAnsi="宋体"/>
              </w:rPr>
              <w:t xml:space="preserve">432 </w:t>
            </w:r>
          </w:p>
        </w:tc>
        <w:tc>
          <w:tcPr>
            <w:tcW w:w="958" w:type="dxa"/>
            <w:tcBorders>
              <w:top w:val="single" w:sz="4" w:space="0" w:color="auto"/>
              <w:left w:val="single" w:sz="4" w:space="0" w:color="auto"/>
              <w:bottom w:val="single" w:sz="4" w:space="0" w:color="auto"/>
              <w:right w:val="single" w:sz="4" w:space="0" w:color="auto"/>
            </w:tcBorders>
            <w:vAlign w:val="center"/>
          </w:tcPr>
          <w:p w14:paraId="5BD2E4DD" w14:textId="77777777" w:rsidR="00B201D3" w:rsidRPr="006D4FBA" w:rsidRDefault="009855E8">
            <w:pPr>
              <w:jc w:val="right"/>
              <w:rPr>
                <w:rFonts w:ascii="宋体" w:hAnsi="宋体"/>
              </w:rPr>
            </w:pPr>
            <w:r w:rsidRPr="006D4FBA">
              <w:rPr>
                <w:rFonts w:ascii="宋体" w:hAnsi="宋体"/>
              </w:rPr>
              <w:t xml:space="preserve">412 </w:t>
            </w:r>
          </w:p>
        </w:tc>
        <w:tc>
          <w:tcPr>
            <w:tcW w:w="1109" w:type="dxa"/>
            <w:tcBorders>
              <w:top w:val="single" w:sz="4" w:space="0" w:color="auto"/>
              <w:left w:val="single" w:sz="4" w:space="0" w:color="auto"/>
              <w:bottom w:val="single" w:sz="4" w:space="0" w:color="auto"/>
              <w:right w:val="single" w:sz="4" w:space="0" w:color="auto"/>
            </w:tcBorders>
            <w:vAlign w:val="center"/>
          </w:tcPr>
          <w:p w14:paraId="44A2CE39" w14:textId="77777777" w:rsidR="00B201D3" w:rsidRPr="006D4FBA" w:rsidRDefault="009855E8">
            <w:pPr>
              <w:jc w:val="right"/>
              <w:rPr>
                <w:rFonts w:ascii="宋体" w:hAnsi="宋体"/>
              </w:rPr>
            </w:pPr>
            <w:r w:rsidRPr="006D4FBA">
              <w:rPr>
                <w:rFonts w:ascii="宋体" w:hAnsi="宋体"/>
              </w:rPr>
              <w:t>616.73</w:t>
            </w:r>
          </w:p>
        </w:tc>
        <w:tc>
          <w:tcPr>
            <w:tcW w:w="1201" w:type="dxa"/>
            <w:tcBorders>
              <w:top w:val="single" w:sz="4" w:space="0" w:color="auto"/>
              <w:left w:val="single" w:sz="4" w:space="0" w:color="auto"/>
              <w:bottom w:val="single" w:sz="4" w:space="0" w:color="auto"/>
              <w:right w:val="single" w:sz="4" w:space="0" w:color="auto"/>
            </w:tcBorders>
            <w:vAlign w:val="center"/>
          </w:tcPr>
          <w:p w14:paraId="34CE35AD" w14:textId="77777777" w:rsidR="00B201D3" w:rsidRPr="006D4FBA" w:rsidRDefault="009855E8">
            <w:pPr>
              <w:jc w:val="right"/>
              <w:rPr>
                <w:rFonts w:ascii="宋体" w:hAnsi="宋体"/>
              </w:rPr>
            </w:pPr>
            <w:r w:rsidRPr="006D4FBA">
              <w:rPr>
                <w:rFonts w:ascii="宋体" w:hAnsi="宋体"/>
              </w:rPr>
              <w:t xml:space="preserve">254 </w:t>
            </w:r>
          </w:p>
        </w:tc>
        <w:tc>
          <w:tcPr>
            <w:tcW w:w="958" w:type="dxa"/>
            <w:tcBorders>
              <w:top w:val="single" w:sz="4" w:space="0" w:color="auto"/>
              <w:left w:val="single" w:sz="4" w:space="0" w:color="auto"/>
              <w:bottom w:val="single" w:sz="4" w:space="0" w:color="auto"/>
              <w:right w:val="single" w:sz="4" w:space="0" w:color="auto"/>
            </w:tcBorders>
            <w:vAlign w:val="center"/>
          </w:tcPr>
          <w:p w14:paraId="65EE06EF" w14:textId="77777777" w:rsidR="00B201D3" w:rsidRPr="006D4FBA" w:rsidRDefault="009855E8">
            <w:pPr>
              <w:jc w:val="right"/>
              <w:rPr>
                <w:rFonts w:ascii="宋体" w:hAnsi="宋体"/>
              </w:rPr>
            </w:pPr>
            <w:r w:rsidRPr="006D4FBA">
              <w:rPr>
                <w:rFonts w:ascii="宋体" w:hAnsi="宋体" w:hint="eastAsia"/>
              </w:rPr>
              <w:t xml:space="preserve">607 </w:t>
            </w:r>
          </w:p>
        </w:tc>
        <w:tc>
          <w:tcPr>
            <w:tcW w:w="957" w:type="dxa"/>
            <w:tcBorders>
              <w:top w:val="single" w:sz="4" w:space="0" w:color="auto"/>
              <w:left w:val="single" w:sz="4" w:space="0" w:color="auto"/>
              <w:bottom w:val="single" w:sz="4" w:space="0" w:color="auto"/>
              <w:right w:val="single" w:sz="4" w:space="0" w:color="auto"/>
            </w:tcBorders>
            <w:vAlign w:val="center"/>
          </w:tcPr>
          <w:p w14:paraId="778CFDE6" w14:textId="77777777" w:rsidR="00B201D3" w:rsidRPr="006D4FBA" w:rsidRDefault="009855E8">
            <w:pPr>
              <w:jc w:val="right"/>
              <w:rPr>
                <w:rFonts w:ascii="宋体" w:hAnsi="宋体"/>
              </w:rPr>
            </w:pPr>
            <w:r w:rsidRPr="006D4FBA">
              <w:rPr>
                <w:rFonts w:ascii="宋体" w:hAnsi="宋体" w:hint="eastAsia"/>
              </w:rPr>
              <w:t xml:space="preserve">605 </w:t>
            </w:r>
          </w:p>
        </w:tc>
        <w:tc>
          <w:tcPr>
            <w:tcW w:w="1109" w:type="dxa"/>
            <w:tcBorders>
              <w:top w:val="single" w:sz="4" w:space="0" w:color="auto"/>
              <w:left w:val="single" w:sz="4" w:space="0" w:color="auto"/>
              <w:bottom w:val="single" w:sz="4" w:space="0" w:color="auto"/>
              <w:right w:val="single" w:sz="4" w:space="0" w:color="auto"/>
            </w:tcBorders>
            <w:vAlign w:val="center"/>
          </w:tcPr>
          <w:p w14:paraId="76F56327" w14:textId="77777777" w:rsidR="00B201D3" w:rsidRPr="006D4FBA" w:rsidRDefault="009855E8">
            <w:pPr>
              <w:jc w:val="right"/>
              <w:rPr>
                <w:rFonts w:ascii="宋体" w:hAnsi="宋体"/>
              </w:rPr>
            </w:pPr>
            <w:r w:rsidRPr="006D4FBA">
              <w:rPr>
                <w:rFonts w:ascii="宋体" w:hAnsi="宋体" w:hint="eastAsia"/>
              </w:rPr>
              <w:t xml:space="preserve">580.72 </w:t>
            </w:r>
          </w:p>
        </w:tc>
        <w:tc>
          <w:tcPr>
            <w:tcW w:w="1201" w:type="dxa"/>
            <w:tcBorders>
              <w:top w:val="single" w:sz="4" w:space="0" w:color="auto"/>
              <w:left w:val="single" w:sz="4" w:space="0" w:color="auto"/>
              <w:bottom w:val="single" w:sz="4" w:space="0" w:color="auto"/>
              <w:right w:val="single" w:sz="4" w:space="0" w:color="auto"/>
            </w:tcBorders>
            <w:vAlign w:val="center"/>
          </w:tcPr>
          <w:p w14:paraId="3EE9C016" w14:textId="77777777" w:rsidR="00B201D3" w:rsidRPr="006D4FBA" w:rsidRDefault="009855E8">
            <w:pPr>
              <w:jc w:val="right"/>
              <w:rPr>
                <w:rFonts w:ascii="宋体" w:hAnsi="宋体"/>
              </w:rPr>
            </w:pPr>
            <w:r w:rsidRPr="006D4FBA">
              <w:rPr>
                <w:rFonts w:ascii="宋体" w:hAnsi="宋体" w:hint="eastAsia"/>
              </w:rPr>
              <w:t xml:space="preserve">351 </w:t>
            </w:r>
          </w:p>
        </w:tc>
      </w:tr>
      <w:tr w:rsidR="00B201D3" w:rsidRPr="006D4FBA" w14:paraId="08B1C592" w14:textId="77777777">
        <w:trPr>
          <w:trHeight w:val="312"/>
          <w:jc w:val="center"/>
        </w:trPr>
        <w:tc>
          <w:tcPr>
            <w:tcW w:w="1873" w:type="dxa"/>
            <w:tcBorders>
              <w:top w:val="single" w:sz="4" w:space="0" w:color="auto"/>
              <w:left w:val="single" w:sz="4" w:space="0" w:color="auto"/>
              <w:bottom w:val="single" w:sz="4" w:space="0" w:color="auto"/>
              <w:right w:val="single" w:sz="4" w:space="0" w:color="auto"/>
            </w:tcBorders>
            <w:vAlign w:val="center"/>
          </w:tcPr>
          <w:p w14:paraId="0C48FFA4" w14:textId="77777777" w:rsidR="00B201D3" w:rsidRPr="006D4FBA" w:rsidRDefault="009855E8">
            <w:pPr>
              <w:ind w:firstLineChars="207" w:firstLine="435"/>
              <w:jc w:val="both"/>
              <w:rPr>
                <w:rFonts w:ascii="宋体" w:hAnsi="宋体"/>
                <w:lang w:val="en-GB"/>
              </w:rPr>
            </w:pPr>
            <w:r w:rsidRPr="006D4FBA">
              <w:rPr>
                <w:rFonts w:ascii="宋体" w:hAnsi="宋体" w:hint="eastAsia"/>
              </w:rPr>
              <w:t>经筛选原煤</w:t>
            </w:r>
          </w:p>
        </w:tc>
        <w:tc>
          <w:tcPr>
            <w:tcW w:w="997" w:type="dxa"/>
            <w:tcBorders>
              <w:top w:val="single" w:sz="4" w:space="0" w:color="auto"/>
              <w:left w:val="single" w:sz="4" w:space="0" w:color="auto"/>
              <w:bottom w:val="single" w:sz="4" w:space="0" w:color="auto"/>
              <w:right w:val="single" w:sz="4" w:space="0" w:color="auto"/>
            </w:tcBorders>
            <w:vAlign w:val="center"/>
          </w:tcPr>
          <w:p w14:paraId="678400FB" w14:textId="77777777" w:rsidR="00B201D3" w:rsidRPr="006D4FBA" w:rsidRDefault="009855E8">
            <w:pPr>
              <w:jc w:val="right"/>
              <w:rPr>
                <w:rFonts w:ascii="宋体" w:hAnsi="宋体"/>
              </w:rPr>
            </w:pPr>
            <w:r w:rsidRPr="006D4FBA">
              <w:rPr>
                <w:rFonts w:ascii="宋体" w:hAnsi="宋体"/>
              </w:rPr>
              <w:t xml:space="preserve">432 </w:t>
            </w:r>
          </w:p>
        </w:tc>
        <w:tc>
          <w:tcPr>
            <w:tcW w:w="958" w:type="dxa"/>
            <w:tcBorders>
              <w:top w:val="single" w:sz="4" w:space="0" w:color="auto"/>
              <w:left w:val="single" w:sz="4" w:space="0" w:color="auto"/>
              <w:bottom w:val="single" w:sz="4" w:space="0" w:color="auto"/>
              <w:right w:val="single" w:sz="4" w:space="0" w:color="auto"/>
            </w:tcBorders>
            <w:vAlign w:val="center"/>
          </w:tcPr>
          <w:p w14:paraId="4E26852F" w14:textId="77777777" w:rsidR="00B201D3" w:rsidRPr="006D4FBA" w:rsidRDefault="009855E8">
            <w:pPr>
              <w:jc w:val="right"/>
              <w:rPr>
                <w:rFonts w:ascii="宋体" w:hAnsi="宋体"/>
              </w:rPr>
            </w:pPr>
            <w:r w:rsidRPr="006D4FBA">
              <w:rPr>
                <w:rFonts w:ascii="宋体" w:hAnsi="宋体"/>
              </w:rPr>
              <w:t xml:space="preserve">412 </w:t>
            </w:r>
          </w:p>
        </w:tc>
        <w:tc>
          <w:tcPr>
            <w:tcW w:w="1109" w:type="dxa"/>
            <w:tcBorders>
              <w:top w:val="single" w:sz="4" w:space="0" w:color="auto"/>
              <w:left w:val="single" w:sz="4" w:space="0" w:color="auto"/>
              <w:bottom w:val="single" w:sz="4" w:space="0" w:color="auto"/>
              <w:right w:val="single" w:sz="4" w:space="0" w:color="auto"/>
            </w:tcBorders>
            <w:vAlign w:val="center"/>
          </w:tcPr>
          <w:p w14:paraId="36D03A69" w14:textId="77777777" w:rsidR="00B201D3" w:rsidRPr="006D4FBA" w:rsidRDefault="009855E8">
            <w:pPr>
              <w:jc w:val="right"/>
              <w:rPr>
                <w:rFonts w:ascii="宋体" w:hAnsi="宋体"/>
              </w:rPr>
            </w:pPr>
            <w:r w:rsidRPr="006D4FBA">
              <w:rPr>
                <w:rFonts w:ascii="宋体" w:hAnsi="宋体"/>
              </w:rPr>
              <w:t>616.73</w:t>
            </w:r>
          </w:p>
        </w:tc>
        <w:tc>
          <w:tcPr>
            <w:tcW w:w="1201" w:type="dxa"/>
            <w:tcBorders>
              <w:top w:val="single" w:sz="4" w:space="0" w:color="auto"/>
              <w:left w:val="single" w:sz="4" w:space="0" w:color="auto"/>
              <w:bottom w:val="single" w:sz="4" w:space="0" w:color="auto"/>
              <w:right w:val="single" w:sz="4" w:space="0" w:color="auto"/>
            </w:tcBorders>
            <w:vAlign w:val="center"/>
          </w:tcPr>
          <w:p w14:paraId="6D5D9BEB" w14:textId="77777777" w:rsidR="00B201D3" w:rsidRPr="006D4FBA" w:rsidRDefault="009855E8">
            <w:pPr>
              <w:jc w:val="right"/>
              <w:rPr>
                <w:rFonts w:ascii="宋体" w:hAnsi="宋体"/>
              </w:rPr>
            </w:pPr>
            <w:r w:rsidRPr="006D4FBA">
              <w:rPr>
                <w:rFonts w:ascii="宋体" w:hAnsi="宋体"/>
              </w:rPr>
              <w:t xml:space="preserve">254 </w:t>
            </w:r>
          </w:p>
        </w:tc>
        <w:tc>
          <w:tcPr>
            <w:tcW w:w="958" w:type="dxa"/>
            <w:tcBorders>
              <w:top w:val="single" w:sz="4" w:space="0" w:color="auto"/>
              <w:left w:val="single" w:sz="4" w:space="0" w:color="auto"/>
              <w:bottom w:val="single" w:sz="4" w:space="0" w:color="auto"/>
              <w:right w:val="single" w:sz="4" w:space="0" w:color="auto"/>
            </w:tcBorders>
            <w:vAlign w:val="center"/>
          </w:tcPr>
          <w:p w14:paraId="3B33750A" w14:textId="77777777" w:rsidR="00B201D3" w:rsidRPr="006D4FBA" w:rsidRDefault="009855E8">
            <w:pPr>
              <w:jc w:val="right"/>
              <w:rPr>
                <w:rFonts w:ascii="宋体" w:hAnsi="宋体"/>
              </w:rPr>
            </w:pPr>
            <w:r w:rsidRPr="006D4FBA">
              <w:rPr>
                <w:rFonts w:ascii="宋体" w:hAnsi="宋体" w:hint="eastAsia"/>
              </w:rPr>
              <w:t xml:space="preserve">607 </w:t>
            </w:r>
          </w:p>
        </w:tc>
        <w:tc>
          <w:tcPr>
            <w:tcW w:w="957" w:type="dxa"/>
            <w:tcBorders>
              <w:top w:val="single" w:sz="4" w:space="0" w:color="auto"/>
              <w:left w:val="single" w:sz="4" w:space="0" w:color="auto"/>
              <w:bottom w:val="single" w:sz="4" w:space="0" w:color="auto"/>
              <w:right w:val="single" w:sz="4" w:space="0" w:color="auto"/>
            </w:tcBorders>
            <w:vAlign w:val="center"/>
          </w:tcPr>
          <w:p w14:paraId="401DE569" w14:textId="77777777" w:rsidR="00B201D3" w:rsidRPr="006D4FBA" w:rsidRDefault="009855E8">
            <w:pPr>
              <w:jc w:val="right"/>
              <w:rPr>
                <w:rFonts w:ascii="宋体" w:hAnsi="宋体"/>
              </w:rPr>
            </w:pPr>
            <w:r w:rsidRPr="006D4FBA">
              <w:rPr>
                <w:rFonts w:ascii="宋体" w:hAnsi="宋体" w:hint="eastAsia"/>
              </w:rPr>
              <w:t xml:space="preserve">605 </w:t>
            </w:r>
          </w:p>
        </w:tc>
        <w:tc>
          <w:tcPr>
            <w:tcW w:w="1109" w:type="dxa"/>
            <w:tcBorders>
              <w:top w:val="single" w:sz="4" w:space="0" w:color="auto"/>
              <w:left w:val="single" w:sz="4" w:space="0" w:color="auto"/>
              <w:bottom w:val="single" w:sz="4" w:space="0" w:color="auto"/>
              <w:right w:val="single" w:sz="4" w:space="0" w:color="auto"/>
            </w:tcBorders>
            <w:vAlign w:val="center"/>
          </w:tcPr>
          <w:p w14:paraId="55F6D2BF" w14:textId="77777777" w:rsidR="00B201D3" w:rsidRPr="006D4FBA" w:rsidRDefault="009855E8">
            <w:pPr>
              <w:jc w:val="right"/>
              <w:rPr>
                <w:rFonts w:ascii="宋体" w:hAnsi="宋体"/>
              </w:rPr>
            </w:pPr>
            <w:r w:rsidRPr="006D4FBA">
              <w:rPr>
                <w:rFonts w:ascii="宋体" w:hAnsi="宋体" w:hint="eastAsia"/>
              </w:rPr>
              <w:t xml:space="preserve">580.72 </w:t>
            </w:r>
          </w:p>
        </w:tc>
        <w:tc>
          <w:tcPr>
            <w:tcW w:w="1201" w:type="dxa"/>
            <w:tcBorders>
              <w:top w:val="single" w:sz="4" w:space="0" w:color="auto"/>
              <w:left w:val="single" w:sz="4" w:space="0" w:color="auto"/>
              <w:bottom w:val="single" w:sz="4" w:space="0" w:color="auto"/>
              <w:right w:val="single" w:sz="4" w:space="0" w:color="auto"/>
            </w:tcBorders>
            <w:vAlign w:val="center"/>
          </w:tcPr>
          <w:p w14:paraId="78FFCEE9" w14:textId="77777777" w:rsidR="00B201D3" w:rsidRPr="006D4FBA" w:rsidRDefault="009855E8">
            <w:pPr>
              <w:jc w:val="right"/>
              <w:rPr>
                <w:rFonts w:ascii="宋体" w:hAnsi="宋体"/>
              </w:rPr>
            </w:pPr>
            <w:r w:rsidRPr="006D4FBA">
              <w:rPr>
                <w:rFonts w:ascii="宋体" w:hAnsi="宋体" w:hint="eastAsia"/>
              </w:rPr>
              <w:t xml:space="preserve">351 </w:t>
            </w:r>
          </w:p>
        </w:tc>
      </w:tr>
      <w:tr w:rsidR="00B201D3" w:rsidRPr="006D4FBA" w14:paraId="3B647F96" w14:textId="77777777">
        <w:trPr>
          <w:trHeight w:val="312"/>
          <w:jc w:val="center"/>
        </w:trPr>
        <w:tc>
          <w:tcPr>
            <w:tcW w:w="1873" w:type="dxa"/>
            <w:tcBorders>
              <w:top w:val="single" w:sz="4" w:space="0" w:color="auto"/>
              <w:left w:val="single" w:sz="4" w:space="0" w:color="auto"/>
              <w:bottom w:val="single" w:sz="4" w:space="0" w:color="auto"/>
              <w:right w:val="single" w:sz="4" w:space="0" w:color="auto"/>
            </w:tcBorders>
            <w:vAlign w:val="center"/>
          </w:tcPr>
          <w:p w14:paraId="26F52E82" w14:textId="77777777" w:rsidR="00B201D3" w:rsidRPr="006D4FBA" w:rsidRDefault="009855E8">
            <w:pPr>
              <w:jc w:val="both"/>
              <w:rPr>
                <w:rFonts w:ascii="宋体" w:hAnsi="宋体"/>
                <w:lang w:val="en-GB"/>
              </w:rPr>
            </w:pPr>
            <w:r w:rsidRPr="006D4FBA">
              <w:rPr>
                <w:rFonts w:ascii="宋体" w:hAnsi="宋体" w:hint="eastAsia"/>
              </w:rPr>
              <w:t>四、未来能源</w:t>
            </w:r>
          </w:p>
        </w:tc>
        <w:tc>
          <w:tcPr>
            <w:tcW w:w="997" w:type="dxa"/>
            <w:tcBorders>
              <w:top w:val="single" w:sz="4" w:space="0" w:color="auto"/>
              <w:left w:val="single" w:sz="4" w:space="0" w:color="auto"/>
              <w:bottom w:val="single" w:sz="4" w:space="0" w:color="auto"/>
              <w:right w:val="single" w:sz="4" w:space="0" w:color="auto"/>
            </w:tcBorders>
            <w:vAlign w:val="center"/>
          </w:tcPr>
          <w:p w14:paraId="2705FB1C" w14:textId="77777777" w:rsidR="00B201D3" w:rsidRPr="006D4FBA" w:rsidRDefault="009855E8">
            <w:pPr>
              <w:jc w:val="right"/>
              <w:rPr>
                <w:rFonts w:ascii="宋体" w:hAnsi="宋体"/>
              </w:rPr>
            </w:pPr>
            <w:r w:rsidRPr="006D4FBA">
              <w:rPr>
                <w:rFonts w:ascii="宋体" w:hAnsi="宋体"/>
              </w:rPr>
              <w:t xml:space="preserve">9,186 </w:t>
            </w:r>
          </w:p>
        </w:tc>
        <w:tc>
          <w:tcPr>
            <w:tcW w:w="958" w:type="dxa"/>
            <w:tcBorders>
              <w:top w:val="single" w:sz="4" w:space="0" w:color="auto"/>
              <w:left w:val="single" w:sz="4" w:space="0" w:color="auto"/>
              <w:bottom w:val="single" w:sz="4" w:space="0" w:color="auto"/>
              <w:right w:val="single" w:sz="4" w:space="0" w:color="auto"/>
            </w:tcBorders>
            <w:vAlign w:val="center"/>
          </w:tcPr>
          <w:p w14:paraId="2B7F1865" w14:textId="77777777" w:rsidR="00B201D3" w:rsidRPr="006D4FBA" w:rsidRDefault="009855E8">
            <w:pPr>
              <w:jc w:val="right"/>
              <w:rPr>
                <w:rFonts w:ascii="宋体" w:hAnsi="宋体"/>
              </w:rPr>
            </w:pPr>
            <w:r w:rsidRPr="006D4FBA">
              <w:rPr>
                <w:rFonts w:ascii="宋体" w:hAnsi="宋体"/>
              </w:rPr>
              <w:t xml:space="preserve">6,318 </w:t>
            </w:r>
          </w:p>
        </w:tc>
        <w:tc>
          <w:tcPr>
            <w:tcW w:w="1109" w:type="dxa"/>
            <w:tcBorders>
              <w:top w:val="single" w:sz="4" w:space="0" w:color="auto"/>
              <w:left w:val="single" w:sz="4" w:space="0" w:color="auto"/>
              <w:bottom w:val="single" w:sz="4" w:space="0" w:color="auto"/>
              <w:right w:val="single" w:sz="4" w:space="0" w:color="auto"/>
            </w:tcBorders>
            <w:vAlign w:val="center"/>
          </w:tcPr>
          <w:p w14:paraId="45D7AF83" w14:textId="77777777" w:rsidR="00B201D3" w:rsidRPr="006D4FBA" w:rsidRDefault="009855E8">
            <w:pPr>
              <w:jc w:val="right"/>
              <w:rPr>
                <w:rFonts w:ascii="宋体" w:hAnsi="宋体"/>
              </w:rPr>
            </w:pPr>
            <w:r w:rsidRPr="006D4FBA">
              <w:rPr>
                <w:rFonts w:ascii="宋体" w:hAnsi="宋体"/>
              </w:rPr>
              <w:t>617.47</w:t>
            </w:r>
          </w:p>
        </w:tc>
        <w:tc>
          <w:tcPr>
            <w:tcW w:w="1201" w:type="dxa"/>
            <w:tcBorders>
              <w:top w:val="single" w:sz="4" w:space="0" w:color="auto"/>
              <w:left w:val="single" w:sz="4" w:space="0" w:color="auto"/>
              <w:bottom w:val="single" w:sz="4" w:space="0" w:color="auto"/>
              <w:right w:val="single" w:sz="4" w:space="0" w:color="auto"/>
            </w:tcBorders>
            <w:vAlign w:val="center"/>
          </w:tcPr>
          <w:p w14:paraId="7E74FFBD" w14:textId="77777777" w:rsidR="00B201D3" w:rsidRPr="006D4FBA" w:rsidRDefault="009855E8">
            <w:pPr>
              <w:jc w:val="right"/>
              <w:rPr>
                <w:rFonts w:ascii="宋体" w:hAnsi="宋体"/>
              </w:rPr>
            </w:pPr>
            <w:r w:rsidRPr="006D4FBA">
              <w:rPr>
                <w:rFonts w:ascii="宋体" w:hAnsi="宋体"/>
              </w:rPr>
              <w:t xml:space="preserve">3,901 </w:t>
            </w:r>
          </w:p>
        </w:tc>
        <w:tc>
          <w:tcPr>
            <w:tcW w:w="958" w:type="dxa"/>
            <w:tcBorders>
              <w:top w:val="single" w:sz="4" w:space="0" w:color="auto"/>
              <w:left w:val="single" w:sz="4" w:space="0" w:color="auto"/>
              <w:bottom w:val="single" w:sz="4" w:space="0" w:color="auto"/>
              <w:right w:val="single" w:sz="4" w:space="0" w:color="auto"/>
            </w:tcBorders>
            <w:vAlign w:val="center"/>
          </w:tcPr>
          <w:p w14:paraId="6983FCFA" w14:textId="77777777" w:rsidR="00B201D3" w:rsidRPr="006D4FBA" w:rsidRDefault="009855E8">
            <w:pPr>
              <w:jc w:val="right"/>
              <w:rPr>
                <w:rFonts w:ascii="宋体" w:hAnsi="宋体"/>
              </w:rPr>
            </w:pPr>
            <w:r w:rsidRPr="006D4FBA">
              <w:rPr>
                <w:rFonts w:ascii="宋体" w:hAnsi="宋体" w:hint="eastAsia"/>
              </w:rPr>
              <w:t xml:space="preserve">8,532 </w:t>
            </w:r>
          </w:p>
        </w:tc>
        <w:tc>
          <w:tcPr>
            <w:tcW w:w="957" w:type="dxa"/>
            <w:tcBorders>
              <w:top w:val="single" w:sz="4" w:space="0" w:color="auto"/>
              <w:left w:val="single" w:sz="4" w:space="0" w:color="auto"/>
              <w:bottom w:val="single" w:sz="4" w:space="0" w:color="auto"/>
              <w:right w:val="single" w:sz="4" w:space="0" w:color="auto"/>
            </w:tcBorders>
            <w:vAlign w:val="center"/>
          </w:tcPr>
          <w:p w14:paraId="078D04D3" w14:textId="77777777" w:rsidR="00B201D3" w:rsidRPr="006D4FBA" w:rsidRDefault="009855E8">
            <w:pPr>
              <w:jc w:val="right"/>
              <w:rPr>
                <w:rFonts w:ascii="宋体" w:hAnsi="宋体"/>
              </w:rPr>
            </w:pPr>
            <w:r w:rsidRPr="006D4FBA">
              <w:rPr>
                <w:rFonts w:ascii="宋体" w:hAnsi="宋体" w:hint="eastAsia"/>
              </w:rPr>
              <w:t xml:space="preserve">5,281 </w:t>
            </w:r>
          </w:p>
        </w:tc>
        <w:tc>
          <w:tcPr>
            <w:tcW w:w="1109" w:type="dxa"/>
            <w:tcBorders>
              <w:top w:val="single" w:sz="4" w:space="0" w:color="auto"/>
              <w:left w:val="single" w:sz="4" w:space="0" w:color="auto"/>
              <w:bottom w:val="single" w:sz="4" w:space="0" w:color="auto"/>
              <w:right w:val="single" w:sz="4" w:space="0" w:color="auto"/>
            </w:tcBorders>
            <w:vAlign w:val="center"/>
          </w:tcPr>
          <w:p w14:paraId="47FECBBF" w14:textId="77777777" w:rsidR="00B201D3" w:rsidRPr="006D4FBA" w:rsidRDefault="009855E8">
            <w:pPr>
              <w:jc w:val="right"/>
              <w:rPr>
                <w:rFonts w:ascii="宋体" w:hAnsi="宋体"/>
              </w:rPr>
            </w:pPr>
            <w:r w:rsidRPr="006D4FBA">
              <w:rPr>
                <w:rFonts w:ascii="宋体" w:hAnsi="宋体" w:hint="eastAsia"/>
              </w:rPr>
              <w:t xml:space="preserve">788.87 </w:t>
            </w:r>
          </w:p>
        </w:tc>
        <w:tc>
          <w:tcPr>
            <w:tcW w:w="1201" w:type="dxa"/>
            <w:tcBorders>
              <w:top w:val="single" w:sz="4" w:space="0" w:color="auto"/>
              <w:left w:val="single" w:sz="4" w:space="0" w:color="auto"/>
              <w:bottom w:val="single" w:sz="4" w:space="0" w:color="auto"/>
              <w:right w:val="single" w:sz="4" w:space="0" w:color="auto"/>
            </w:tcBorders>
            <w:vAlign w:val="center"/>
          </w:tcPr>
          <w:p w14:paraId="14DB47F7" w14:textId="77777777" w:rsidR="00B201D3" w:rsidRPr="006D4FBA" w:rsidRDefault="009855E8">
            <w:pPr>
              <w:jc w:val="right"/>
              <w:rPr>
                <w:rFonts w:ascii="宋体" w:hAnsi="宋体"/>
              </w:rPr>
            </w:pPr>
            <w:r w:rsidRPr="006D4FBA">
              <w:rPr>
                <w:rFonts w:ascii="宋体" w:hAnsi="宋体" w:hint="eastAsia"/>
              </w:rPr>
              <w:t xml:space="preserve">4,166 </w:t>
            </w:r>
          </w:p>
        </w:tc>
      </w:tr>
      <w:tr w:rsidR="00B201D3" w:rsidRPr="006D4FBA" w14:paraId="7D88ADBA" w14:textId="77777777">
        <w:trPr>
          <w:trHeight w:val="312"/>
          <w:jc w:val="center"/>
        </w:trPr>
        <w:tc>
          <w:tcPr>
            <w:tcW w:w="1873" w:type="dxa"/>
            <w:tcBorders>
              <w:top w:val="single" w:sz="4" w:space="0" w:color="auto"/>
              <w:left w:val="single" w:sz="4" w:space="0" w:color="auto"/>
              <w:bottom w:val="single" w:sz="4" w:space="0" w:color="auto"/>
              <w:right w:val="single" w:sz="4" w:space="0" w:color="auto"/>
            </w:tcBorders>
            <w:vAlign w:val="center"/>
          </w:tcPr>
          <w:p w14:paraId="197F6174" w14:textId="77777777" w:rsidR="00B201D3" w:rsidRPr="006D4FBA" w:rsidRDefault="009855E8">
            <w:pPr>
              <w:ind w:firstLineChars="207" w:firstLine="435"/>
              <w:jc w:val="both"/>
              <w:rPr>
                <w:rFonts w:ascii="宋体" w:hAnsi="宋体"/>
                <w:lang w:val="en-GB"/>
              </w:rPr>
            </w:pPr>
            <w:r w:rsidRPr="006D4FBA">
              <w:rPr>
                <w:rFonts w:ascii="宋体" w:hAnsi="宋体" w:hint="eastAsia"/>
              </w:rPr>
              <w:t>3号精煤</w:t>
            </w:r>
          </w:p>
        </w:tc>
        <w:tc>
          <w:tcPr>
            <w:tcW w:w="997" w:type="dxa"/>
            <w:tcBorders>
              <w:top w:val="single" w:sz="4" w:space="0" w:color="auto"/>
              <w:left w:val="single" w:sz="4" w:space="0" w:color="auto"/>
              <w:bottom w:val="single" w:sz="4" w:space="0" w:color="auto"/>
              <w:right w:val="single" w:sz="4" w:space="0" w:color="auto"/>
            </w:tcBorders>
            <w:vAlign w:val="center"/>
          </w:tcPr>
          <w:p w14:paraId="46CA6F50" w14:textId="77777777" w:rsidR="00B201D3" w:rsidRPr="006D4FBA" w:rsidRDefault="009855E8">
            <w:pPr>
              <w:jc w:val="right"/>
              <w:rPr>
                <w:rFonts w:ascii="宋体" w:hAnsi="宋体"/>
              </w:rPr>
            </w:pPr>
            <w:r w:rsidRPr="006D4FBA">
              <w:rPr>
                <w:rFonts w:ascii="宋体" w:hAnsi="宋体"/>
              </w:rPr>
              <w:t xml:space="preserve">1,070 </w:t>
            </w:r>
          </w:p>
        </w:tc>
        <w:tc>
          <w:tcPr>
            <w:tcW w:w="958" w:type="dxa"/>
            <w:tcBorders>
              <w:top w:val="single" w:sz="4" w:space="0" w:color="auto"/>
              <w:left w:val="single" w:sz="4" w:space="0" w:color="auto"/>
              <w:bottom w:val="single" w:sz="4" w:space="0" w:color="auto"/>
              <w:right w:val="single" w:sz="4" w:space="0" w:color="auto"/>
            </w:tcBorders>
            <w:vAlign w:val="center"/>
          </w:tcPr>
          <w:p w14:paraId="5F1D3789" w14:textId="77777777" w:rsidR="00B201D3" w:rsidRPr="006D4FBA" w:rsidRDefault="009855E8">
            <w:pPr>
              <w:jc w:val="right"/>
              <w:rPr>
                <w:rFonts w:ascii="宋体" w:hAnsi="宋体"/>
              </w:rPr>
            </w:pPr>
            <w:r w:rsidRPr="006D4FBA">
              <w:rPr>
                <w:rFonts w:ascii="宋体" w:hAnsi="宋体"/>
              </w:rPr>
              <w:t xml:space="preserve">1,025 </w:t>
            </w:r>
          </w:p>
        </w:tc>
        <w:tc>
          <w:tcPr>
            <w:tcW w:w="1109" w:type="dxa"/>
            <w:tcBorders>
              <w:top w:val="single" w:sz="4" w:space="0" w:color="auto"/>
              <w:left w:val="single" w:sz="4" w:space="0" w:color="auto"/>
              <w:bottom w:val="single" w:sz="4" w:space="0" w:color="auto"/>
              <w:right w:val="single" w:sz="4" w:space="0" w:color="auto"/>
            </w:tcBorders>
            <w:vAlign w:val="center"/>
          </w:tcPr>
          <w:p w14:paraId="7EE87D0D" w14:textId="77777777" w:rsidR="00B201D3" w:rsidRPr="006D4FBA" w:rsidRDefault="009855E8">
            <w:pPr>
              <w:jc w:val="right"/>
              <w:rPr>
                <w:rFonts w:ascii="宋体" w:hAnsi="宋体"/>
              </w:rPr>
            </w:pPr>
            <w:r w:rsidRPr="006D4FBA">
              <w:rPr>
                <w:rFonts w:ascii="宋体" w:hAnsi="宋体"/>
              </w:rPr>
              <w:t>826.23</w:t>
            </w:r>
          </w:p>
        </w:tc>
        <w:tc>
          <w:tcPr>
            <w:tcW w:w="1201" w:type="dxa"/>
            <w:tcBorders>
              <w:top w:val="single" w:sz="4" w:space="0" w:color="auto"/>
              <w:left w:val="single" w:sz="4" w:space="0" w:color="auto"/>
              <w:bottom w:val="single" w:sz="4" w:space="0" w:color="auto"/>
              <w:right w:val="single" w:sz="4" w:space="0" w:color="auto"/>
            </w:tcBorders>
            <w:vAlign w:val="center"/>
          </w:tcPr>
          <w:p w14:paraId="38124659" w14:textId="77777777" w:rsidR="00B201D3" w:rsidRPr="006D4FBA" w:rsidRDefault="009855E8">
            <w:pPr>
              <w:jc w:val="right"/>
              <w:rPr>
                <w:rFonts w:ascii="宋体" w:hAnsi="宋体"/>
              </w:rPr>
            </w:pPr>
            <w:r w:rsidRPr="006D4FBA">
              <w:rPr>
                <w:rFonts w:ascii="宋体" w:hAnsi="宋体"/>
              </w:rPr>
              <w:t xml:space="preserve">847 </w:t>
            </w:r>
          </w:p>
        </w:tc>
        <w:tc>
          <w:tcPr>
            <w:tcW w:w="958" w:type="dxa"/>
            <w:tcBorders>
              <w:top w:val="single" w:sz="4" w:space="0" w:color="auto"/>
              <w:left w:val="single" w:sz="4" w:space="0" w:color="auto"/>
              <w:bottom w:val="single" w:sz="4" w:space="0" w:color="auto"/>
              <w:right w:val="single" w:sz="4" w:space="0" w:color="auto"/>
            </w:tcBorders>
            <w:vAlign w:val="center"/>
          </w:tcPr>
          <w:p w14:paraId="30218A17" w14:textId="77777777" w:rsidR="00B201D3" w:rsidRPr="006D4FBA" w:rsidRDefault="009855E8">
            <w:pPr>
              <w:jc w:val="right"/>
              <w:rPr>
                <w:rFonts w:ascii="宋体" w:hAnsi="宋体"/>
              </w:rPr>
            </w:pPr>
            <w:r w:rsidRPr="006D4FBA">
              <w:rPr>
                <w:rFonts w:ascii="宋体" w:hAnsi="宋体" w:hint="eastAsia"/>
              </w:rPr>
              <w:t xml:space="preserve">1,155 </w:t>
            </w:r>
          </w:p>
        </w:tc>
        <w:tc>
          <w:tcPr>
            <w:tcW w:w="957" w:type="dxa"/>
            <w:tcBorders>
              <w:top w:val="single" w:sz="4" w:space="0" w:color="auto"/>
              <w:left w:val="single" w:sz="4" w:space="0" w:color="auto"/>
              <w:bottom w:val="single" w:sz="4" w:space="0" w:color="auto"/>
              <w:right w:val="single" w:sz="4" w:space="0" w:color="auto"/>
            </w:tcBorders>
            <w:vAlign w:val="center"/>
          </w:tcPr>
          <w:p w14:paraId="11BB7252" w14:textId="77777777" w:rsidR="00B201D3" w:rsidRPr="006D4FBA" w:rsidRDefault="009855E8">
            <w:pPr>
              <w:jc w:val="right"/>
              <w:rPr>
                <w:rFonts w:ascii="宋体" w:hAnsi="宋体"/>
              </w:rPr>
            </w:pPr>
            <w:r w:rsidRPr="006D4FBA">
              <w:rPr>
                <w:rFonts w:ascii="宋体" w:hAnsi="宋体" w:hint="eastAsia"/>
              </w:rPr>
              <w:t xml:space="preserve">1,159 </w:t>
            </w:r>
          </w:p>
        </w:tc>
        <w:tc>
          <w:tcPr>
            <w:tcW w:w="1109" w:type="dxa"/>
            <w:tcBorders>
              <w:top w:val="single" w:sz="4" w:space="0" w:color="auto"/>
              <w:left w:val="single" w:sz="4" w:space="0" w:color="auto"/>
              <w:bottom w:val="single" w:sz="4" w:space="0" w:color="auto"/>
              <w:right w:val="single" w:sz="4" w:space="0" w:color="auto"/>
            </w:tcBorders>
            <w:vAlign w:val="center"/>
          </w:tcPr>
          <w:p w14:paraId="5F1D5EB9" w14:textId="77777777" w:rsidR="00B201D3" w:rsidRPr="006D4FBA" w:rsidRDefault="009855E8">
            <w:pPr>
              <w:jc w:val="right"/>
              <w:rPr>
                <w:rFonts w:ascii="宋体" w:hAnsi="宋体"/>
              </w:rPr>
            </w:pPr>
            <w:r w:rsidRPr="006D4FBA">
              <w:rPr>
                <w:rFonts w:ascii="宋体" w:hAnsi="宋体" w:hint="eastAsia"/>
              </w:rPr>
              <w:t xml:space="preserve">868.27 </w:t>
            </w:r>
          </w:p>
        </w:tc>
        <w:tc>
          <w:tcPr>
            <w:tcW w:w="1201" w:type="dxa"/>
            <w:tcBorders>
              <w:top w:val="single" w:sz="4" w:space="0" w:color="auto"/>
              <w:left w:val="single" w:sz="4" w:space="0" w:color="auto"/>
              <w:bottom w:val="single" w:sz="4" w:space="0" w:color="auto"/>
              <w:right w:val="single" w:sz="4" w:space="0" w:color="auto"/>
            </w:tcBorders>
            <w:vAlign w:val="center"/>
          </w:tcPr>
          <w:p w14:paraId="04C7BC1F" w14:textId="77777777" w:rsidR="00B201D3" w:rsidRPr="006D4FBA" w:rsidRDefault="009855E8">
            <w:pPr>
              <w:jc w:val="right"/>
              <w:rPr>
                <w:rFonts w:ascii="宋体" w:hAnsi="宋体"/>
              </w:rPr>
            </w:pPr>
            <w:r w:rsidRPr="006D4FBA">
              <w:rPr>
                <w:rFonts w:ascii="宋体" w:hAnsi="宋体" w:hint="eastAsia"/>
              </w:rPr>
              <w:t xml:space="preserve">1,006 </w:t>
            </w:r>
          </w:p>
        </w:tc>
      </w:tr>
      <w:tr w:rsidR="00B201D3" w:rsidRPr="006D4FBA" w14:paraId="552174B0" w14:textId="77777777">
        <w:trPr>
          <w:trHeight w:val="312"/>
          <w:jc w:val="center"/>
        </w:trPr>
        <w:tc>
          <w:tcPr>
            <w:tcW w:w="1873" w:type="dxa"/>
            <w:tcBorders>
              <w:top w:val="single" w:sz="4" w:space="0" w:color="auto"/>
              <w:left w:val="single" w:sz="4" w:space="0" w:color="auto"/>
              <w:bottom w:val="single" w:sz="4" w:space="0" w:color="auto"/>
              <w:right w:val="single" w:sz="4" w:space="0" w:color="auto"/>
            </w:tcBorders>
            <w:vAlign w:val="center"/>
          </w:tcPr>
          <w:p w14:paraId="7F7DA8CF" w14:textId="77777777" w:rsidR="00B201D3" w:rsidRPr="006D4FBA" w:rsidRDefault="009855E8">
            <w:pPr>
              <w:ind w:firstLineChars="207" w:firstLine="435"/>
              <w:jc w:val="both"/>
              <w:rPr>
                <w:rFonts w:ascii="宋体" w:hAnsi="宋体"/>
                <w:lang w:val="en-GB"/>
              </w:rPr>
            </w:pPr>
            <w:r w:rsidRPr="006D4FBA">
              <w:rPr>
                <w:rFonts w:ascii="宋体" w:hAnsi="宋体" w:hint="eastAsia"/>
              </w:rPr>
              <w:t>块煤</w:t>
            </w:r>
          </w:p>
        </w:tc>
        <w:tc>
          <w:tcPr>
            <w:tcW w:w="997" w:type="dxa"/>
            <w:tcBorders>
              <w:top w:val="single" w:sz="4" w:space="0" w:color="auto"/>
              <w:left w:val="single" w:sz="4" w:space="0" w:color="auto"/>
              <w:bottom w:val="single" w:sz="4" w:space="0" w:color="auto"/>
              <w:right w:val="single" w:sz="4" w:space="0" w:color="auto"/>
            </w:tcBorders>
            <w:vAlign w:val="center"/>
          </w:tcPr>
          <w:p w14:paraId="12C2114D" w14:textId="77777777" w:rsidR="00B201D3" w:rsidRPr="006D4FBA" w:rsidRDefault="009855E8">
            <w:pPr>
              <w:jc w:val="right"/>
              <w:rPr>
                <w:rFonts w:ascii="宋体" w:hAnsi="宋体"/>
              </w:rPr>
            </w:pPr>
            <w:r w:rsidRPr="006D4FBA">
              <w:rPr>
                <w:rFonts w:ascii="宋体" w:hAnsi="宋体"/>
              </w:rPr>
              <w:t xml:space="preserve">1,925 </w:t>
            </w:r>
          </w:p>
        </w:tc>
        <w:tc>
          <w:tcPr>
            <w:tcW w:w="958" w:type="dxa"/>
            <w:tcBorders>
              <w:top w:val="single" w:sz="4" w:space="0" w:color="auto"/>
              <w:left w:val="single" w:sz="4" w:space="0" w:color="auto"/>
              <w:bottom w:val="single" w:sz="4" w:space="0" w:color="auto"/>
              <w:right w:val="single" w:sz="4" w:space="0" w:color="auto"/>
            </w:tcBorders>
            <w:vAlign w:val="center"/>
          </w:tcPr>
          <w:p w14:paraId="3A1E7371" w14:textId="77777777" w:rsidR="00B201D3" w:rsidRPr="006D4FBA" w:rsidRDefault="009855E8">
            <w:pPr>
              <w:jc w:val="right"/>
              <w:rPr>
                <w:rFonts w:ascii="宋体" w:hAnsi="宋体"/>
              </w:rPr>
            </w:pPr>
            <w:r w:rsidRPr="006D4FBA">
              <w:rPr>
                <w:rFonts w:ascii="宋体" w:hAnsi="宋体"/>
              </w:rPr>
              <w:t xml:space="preserve">1,684 </w:t>
            </w:r>
          </w:p>
        </w:tc>
        <w:tc>
          <w:tcPr>
            <w:tcW w:w="1109" w:type="dxa"/>
            <w:tcBorders>
              <w:top w:val="single" w:sz="4" w:space="0" w:color="auto"/>
              <w:left w:val="single" w:sz="4" w:space="0" w:color="auto"/>
              <w:bottom w:val="single" w:sz="4" w:space="0" w:color="auto"/>
              <w:right w:val="single" w:sz="4" w:space="0" w:color="auto"/>
            </w:tcBorders>
            <w:vAlign w:val="center"/>
          </w:tcPr>
          <w:p w14:paraId="3D3F7FEE" w14:textId="77777777" w:rsidR="00B201D3" w:rsidRPr="006D4FBA" w:rsidRDefault="009855E8">
            <w:pPr>
              <w:jc w:val="right"/>
              <w:rPr>
                <w:rFonts w:ascii="宋体" w:hAnsi="宋体"/>
              </w:rPr>
            </w:pPr>
            <w:r w:rsidRPr="006D4FBA">
              <w:rPr>
                <w:rFonts w:ascii="宋体" w:hAnsi="宋体"/>
              </w:rPr>
              <w:t>830.72</w:t>
            </w:r>
          </w:p>
        </w:tc>
        <w:tc>
          <w:tcPr>
            <w:tcW w:w="1201" w:type="dxa"/>
            <w:tcBorders>
              <w:top w:val="single" w:sz="4" w:space="0" w:color="auto"/>
              <w:left w:val="single" w:sz="4" w:space="0" w:color="auto"/>
              <w:bottom w:val="single" w:sz="4" w:space="0" w:color="auto"/>
              <w:right w:val="single" w:sz="4" w:space="0" w:color="auto"/>
            </w:tcBorders>
            <w:vAlign w:val="center"/>
          </w:tcPr>
          <w:p w14:paraId="481BAB0C" w14:textId="77777777" w:rsidR="00B201D3" w:rsidRPr="006D4FBA" w:rsidRDefault="009855E8">
            <w:pPr>
              <w:jc w:val="right"/>
              <w:rPr>
                <w:rFonts w:ascii="宋体" w:hAnsi="宋体"/>
              </w:rPr>
            </w:pPr>
            <w:r w:rsidRPr="006D4FBA">
              <w:rPr>
                <w:rFonts w:ascii="宋体" w:hAnsi="宋体"/>
              </w:rPr>
              <w:t xml:space="preserve">1,399 </w:t>
            </w:r>
          </w:p>
        </w:tc>
        <w:tc>
          <w:tcPr>
            <w:tcW w:w="958" w:type="dxa"/>
            <w:tcBorders>
              <w:top w:val="single" w:sz="4" w:space="0" w:color="auto"/>
              <w:left w:val="single" w:sz="4" w:space="0" w:color="auto"/>
              <w:bottom w:val="single" w:sz="4" w:space="0" w:color="auto"/>
              <w:right w:val="single" w:sz="4" w:space="0" w:color="auto"/>
            </w:tcBorders>
            <w:vAlign w:val="center"/>
          </w:tcPr>
          <w:p w14:paraId="687DC02D" w14:textId="77777777" w:rsidR="00B201D3" w:rsidRPr="006D4FBA" w:rsidRDefault="009855E8">
            <w:pPr>
              <w:jc w:val="right"/>
              <w:rPr>
                <w:rFonts w:ascii="宋体" w:hAnsi="宋体"/>
              </w:rPr>
            </w:pPr>
            <w:r w:rsidRPr="006D4FBA">
              <w:rPr>
                <w:rFonts w:ascii="宋体" w:hAnsi="宋体" w:hint="eastAsia"/>
              </w:rPr>
              <w:t xml:space="preserve">2,026 </w:t>
            </w:r>
          </w:p>
        </w:tc>
        <w:tc>
          <w:tcPr>
            <w:tcW w:w="957" w:type="dxa"/>
            <w:tcBorders>
              <w:top w:val="single" w:sz="4" w:space="0" w:color="auto"/>
              <w:left w:val="single" w:sz="4" w:space="0" w:color="auto"/>
              <w:bottom w:val="single" w:sz="4" w:space="0" w:color="auto"/>
              <w:right w:val="single" w:sz="4" w:space="0" w:color="auto"/>
            </w:tcBorders>
            <w:vAlign w:val="center"/>
          </w:tcPr>
          <w:p w14:paraId="3B426FDD" w14:textId="77777777" w:rsidR="00B201D3" w:rsidRPr="006D4FBA" w:rsidRDefault="009855E8">
            <w:pPr>
              <w:jc w:val="right"/>
              <w:rPr>
                <w:rFonts w:ascii="宋体" w:hAnsi="宋体"/>
              </w:rPr>
            </w:pPr>
            <w:r w:rsidRPr="006D4FBA">
              <w:rPr>
                <w:rFonts w:ascii="宋体" w:hAnsi="宋体" w:hint="eastAsia"/>
              </w:rPr>
              <w:t xml:space="preserve">1,949 </w:t>
            </w:r>
          </w:p>
        </w:tc>
        <w:tc>
          <w:tcPr>
            <w:tcW w:w="1109" w:type="dxa"/>
            <w:tcBorders>
              <w:top w:val="single" w:sz="4" w:space="0" w:color="auto"/>
              <w:left w:val="single" w:sz="4" w:space="0" w:color="auto"/>
              <w:bottom w:val="single" w:sz="4" w:space="0" w:color="auto"/>
              <w:right w:val="single" w:sz="4" w:space="0" w:color="auto"/>
            </w:tcBorders>
            <w:vAlign w:val="center"/>
          </w:tcPr>
          <w:p w14:paraId="7ECA523D" w14:textId="77777777" w:rsidR="00B201D3" w:rsidRPr="006D4FBA" w:rsidRDefault="009855E8">
            <w:pPr>
              <w:jc w:val="right"/>
              <w:rPr>
                <w:rFonts w:ascii="宋体" w:hAnsi="宋体"/>
              </w:rPr>
            </w:pPr>
            <w:r w:rsidRPr="006D4FBA">
              <w:rPr>
                <w:rFonts w:ascii="宋体" w:hAnsi="宋体" w:hint="eastAsia"/>
              </w:rPr>
              <w:t xml:space="preserve">866.09 </w:t>
            </w:r>
          </w:p>
        </w:tc>
        <w:tc>
          <w:tcPr>
            <w:tcW w:w="1201" w:type="dxa"/>
            <w:tcBorders>
              <w:top w:val="single" w:sz="4" w:space="0" w:color="auto"/>
              <w:left w:val="single" w:sz="4" w:space="0" w:color="auto"/>
              <w:bottom w:val="single" w:sz="4" w:space="0" w:color="auto"/>
              <w:right w:val="single" w:sz="4" w:space="0" w:color="auto"/>
            </w:tcBorders>
            <w:vAlign w:val="center"/>
          </w:tcPr>
          <w:p w14:paraId="32C1F003" w14:textId="77777777" w:rsidR="00B201D3" w:rsidRPr="006D4FBA" w:rsidRDefault="009855E8">
            <w:pPr>
              <w:jc w:val="right"/>
              <w:rPr>
                <w:rFonts w:ascii="宋体" w:hAnsi="宋体"/>
              </w:rPr>
            </w:pPr>
            <w:r w:rsidRPr="006D4FBA">
              <w:rPr>
                <w:rFonts w:ascii="宋体" w:hAnsi="宋体" w:hint="eastAsia"/>
              </w:rPr>
              <w:t xml:space="preserve">1,688 </w:t>
            </w:r>
          </w:p>
        </w:tc>
      </w:tr>
      <w:tr w:rsidR="00B201D3" w:rsidRPr="006D4FBA" w14:paraId="5344E0B3" w14:textId="77777777">
        <w:trPr>
          <w:trHeight w:val="312"/>
          <w:jc w:val="center"/>
        </w:trPr>
        <w:tc>
          <w:tcPr>
            <w:tcW w:w="1873" w:type="dxa"/>
            <w:tcBorders>
              <w:top w:val="single" w:sz="4" w:space="0" w:color="auto"/>
              <w:left w:val="single" w:sz="4" w:space="0" w:color="auto"/>
              <w:bottom w:val="single" w:sz="4" w:space="0" w:color="auto"/>
              <w:right w:val="single" w:sz="4" w:space="0" w:color="auto"/>
            </w:tcBorders>
            <w:vAlign w:val="center"/>
          </w:tcPr>
          <w:p w14:paraId="7F86565B" w14:textId="77777777" w:rsidR="00B201D3" w:rsidRPr="006D4FBA" w:rsidRDefault="009855E8">
            <w:pPr>
              <w:ind w:firstLineChars="207" w:firstLine="435"/>
              <w:jc w:val="both"/>
              <w:rPr>
                <w:rFonts w:ascii="宋体" w:hAnsi="宋体"/>
                <w:lang w:val="en-GB"/>
              </w:rPr>
            </w:pPr>
            <w:r w:rsidRPr="006D4FBA">
              <w:rPr>
                <w:rFonts w:ascii="宋体" w:hAnsi="宋体" w:hint="eastAsia"/>
              </w:rPr>
              <w:t>经筛选原煤</w:t>
            </w:r>
          </w:p>
        </w:tc>
        <w:tc>
          <w:tcPr>
            <w:tcW w:w="997" w:type="dxa"/>
            <w:tcBorders>
              <w:top w:val="single" w:sz="4" w:space="0" w:color="auto"/>
              <w:left w:val="single" w:sz="4" w:space="0" w:color="auto"/>
              <w:bottom w:val="single" w:sz="4" w:space="0" w:color="auto"/>
              <w:right w:val="single" w:sz="4" w:space="0" w:color="auto"/>
            </w:tcBorders>
            <w:vAlign w:val="center"/>
          </w:tcPr>
          <w:p w14:paraId="5FABD9C4" w14:textId="77777777" w:rsidR="00B201D3" w:rsidRPr="006D4FBA" w:rsidRDefault="009855E8">
            <w:pPr>
              <w:jc w:val="right"/>
              <w:rPr>
                <w:rFonts w:ascii="宋体" w:hAnsi="宋体"/>
              </w:rPr>
            </w:pPr>
            <w:r w:rsidRPr="006D4FBA">
              <w:rPr>
                <w:rFonts w:ascii="宋体" w:hAnsi="宋体"/>
              </w:rPr>
              <w:t xml:space="preserve">6,191 </w:t>
            </w:r>
          </w:p>
        </w:tc>
        <w:tc>
          <w:tcPr>
            <w:tcW w:w="958" w:type="dxa"/>
            <w:tcBorders>
              <w:top w:val="single" w:sz="4" w:space="0" w:color="auto"/>
              <w:left w:val="single" w:sz="4" w:space="0" w:color="auto"/>
              <w:bottom w:val="single" w:sz="4" w:space="0" w:color="auto"/>
              <w:right w:val="single" w:sz="4" w:space="0" w:color="auto"/>
            </w:tcBorders>
            <w:vAlign w:val="center"/>
          </w:tcPr>
          <w:p w14:paraId="5ECE2605" w14:textId="77777777" w:rsidR="00B201D3" w:rsidRPr="006D4FBA" w:rsidRDefault="009855E8">
            <w:pPr>
              <w:jc w:val="right"/>
              <w:rPr>
                <w:rFonts w:ascii="宋体" w:hAnsi="宋体"/>
              </w:rPr>
            </w:pPr>
            <w:r w:rsidRPr="006D4FBA">
              <w:rPr>
                <w:rFonts w:ascii="宋体" w:hAnsi="宋体"/>
              </w:rPr>
              <w:t xml:space="preserve">3,609 </w:t>
            </w:r>
          </w:p>
        </w:tc>
        <w:tc>
          <w:tcPr>
            <w:tcW w:w="1109" w:type="dxa"/>
            <w:tcBorders>
              <w:top w:val="single" w:sz="4" w:space="0" w:color="auto"/>
              <w:left w:val="single" w:sz="4" w:space="0" w:color="auto"/>
              <w:bottom w:val="single" w:sz="4" w:space="0" w:color="auto"/>
              <w:right w:val="single" w:sz="4" w:space="0" w:color="auto"/>
            </w:tcBorders>
            <w:vAlign w:val="center"/>
          </w:tcPr>
          <w:p w14:paraId="25956449" w14:textId="77777777" w:rsidR="00B201D3" w:rsidRPr="006D4FBA" w:rsidRDefault="009855E8">
            <w:pPr>
              <w:jc w:val="right"/>
              <w:rPr>
                <w:rFonts w:ascii="宋体" w:hAnsi="宋体"/>
              </w:rPr>
            </w:pPr>
            <w:r w:rsidRPr="006D4FBA">
              <w:rPr>
                <w:rFonts w:ascii="宋体" w:hAnsi="宋体"/>
              </w:rPr>
              <w:t>458.67</w:t>
            </w:r>
          </w:p>
        </w:tc>
        <w:tc>
          <w:tcPr>
            <w:tcW w:w="1201" w:type="dxa"/>
            <w:tcBorders>
              <w:top w:val="single" w:sz="4" w:space="0" w:color="auto"/>
              <w:left w:val="single" w:sz="4" w:space="0" w:color="auto"/>
              <w:bottom w:val="single" w:sz="4" w:space="0" w:color="auto"/>
              <w:right w:val="single" w:sz="4" w:space="0" w:color="auto"/>
            </w:tcBorders>
            <w:vAlign w:val="center"/>
          </w:tcPr>
          <w:p w14:paraId="6F350F85" w14:textId="77777777" w:rsidR="00B201D3" w:rsidRPr="006D4FBA" w:rsidRDefault="009855E8">
            <w:pPr>
              <w:jc w:val="right"/>
              <w:rPr>
                <w:rFonts w:ascii="宋体" w:hAnsi="宋体"/>
              </w:rPr>
            </w:pPr>
            <w:r w:rsidRPr="006D4FBA">
              <w:rPr>
                <w:rFonts w:ascii="宋体" w:hAnsi="宋体"/>
              </w:rPr>
              <w:t xml:space="preserve">1,655 </w:t>
            </w:r>
          </w:p>
        </w:tc>
        <w:tc>
          <w:tcPr>
            <w:tcW w:w="958" w:type="dxa"/>
            <w:tcBorders>
              <w:top w:val="single" w:sz="4" w:space="0" w:color="auto"/>
              <w:left w:val="single" w:sz="4" w:space="0" w:color="auto"/>
              <w:bottom w:val="single" w:sz="4" w:space="0" w:color="auto"/>
              <w:right w:val="single" w:sz="4" w:space="0" w:color="auto"/>
            </w:tcBorders>
            <w:vAlign w:val="center"/>
          </w:tcPr>
          <w:p w14:paraId="61A15AB3" w14:textId="77777777" w:rsidR="00B201D3" w:rsidRPr="006D4FBA" w:rsidRDefault="009855E8">
            <w:pPr>
              <w:jc w:val="right"/>
              <w:rPr>
                <w:rFonts w:ascii="宋体" w:hAnsi="宋体"/>
              </w:rPr>
            </w:pPr>
            <w:r w:rsidRPr="006D4FBA">
              <w:rPr>
                <w:rFonts w:ascii="宋体" w:hAnsi="宋体" w:hint="eastAsia"/>
              </w:rPr>
              <w:t xml:space="preserve">5,352 </w:t>
            </w:r>
          </w:p>
        </w:tc>
        <w:tc>
          <w:tcPr>
            <w:tcW w:w="957" w:type="dxa"/>
            <w:tcBorders>
              <w:top w:val="single" w:sz="4" w:space="0" w:color="auto"/>
              <w:left w:val="single" w:sz="4" w:space="0" w:color="auto"/>
              <w:bottom w:val="single" w:sz="4" w:space="0" w:color="auto"/>
              <w:right w:val="single" w:sz="4" w:space="0" w:color="auto"/>
            </w:tcBorders>
            <w:vAlign w:val="center"/>
          </w:tcPr>
          <w:p w14:paraId="062168C3" w14:textId="77777777" w:rsidR="00B201D3" w:rsidRPr="006D4FBA" w:rsidRDefault="009855E8">
            <w:pPr>
              <w:jc w:val="right"/>
              <w:rPr>
                <w:rFonts w:ascii="宋体" w:hAnsi="宋体"/>
              </w:rPr>
            </w:pPr>
            <w:r w:rsidRPr="006D4FBA">
              <w:rPr>
                <w:rFonts w:ascii="宋体" w:hAnsi="宋体" w:hint="eastAsia"/>
              </w:rPr>
              <w:t xml:space="preserve">2,174 </w:t>
            </w:r>
          </w:p>
        </w:tc>
        <w:tc>
          <w:tcPr>
            <w:tcW w:w="1109" w:type="dxa"/>
            <w:tcBorders>
              <w:top w:val="single" w:sz="4" w:space="0" w:color="auto"/>
              <w:left w:val="single" w:sz="4" w:space="0" w:color="auto"/>
              <w:bottom w:val="single" w:sz="4" w:space="0" w:color="auto"/>
              <w:right w:val="single" w:sz="4" w:space="0" w:color="auto"/>
            </w:tcBorders>
            <w:vAlign w:val="center"/>
          </w:tcPr>
          <w:p w14:paraId="4ABCAB40" w14:textId="77777777" w:rsidR="00B201D3" w:rsidRPr="006D4FBA" w:rsidRDefault="009855E8">
            <w:pPr>
              <w:jc w:val="right"/>
              <w:rPr>
                <w:rFonts w:ascii="宋体" w:hAnsi="宋体"/>
              </w:rPr>
            </w:pPr>
            <w:r w:rsidRPr="006D4FBA">
              <w:rPr>
                <w:rFonts w:ascii="宋体" w:hAnsi="宋体" w:hint="eastAsia"/>
              </w:rPr>
              <w:t xml:space="preserve">677.32 </w:t>
            </w:r>
          </w:p>
        </w:tc>
        <w:tc>
          <w:tcPr>
            <w:tcW w:w="1201" w:type="dxa"/>
            <w:tcBorders>
              <w:top w:val="single" w:sz="4" w:space="0" w:color="auto"/>
              <w:left w:val="single" w:sz="4" w:space="0" w:color="auto"/>
              <w:bottom w:val="single" w:sz="4" w:space="0" w:color="auto"/>
              <w:right w:val="single" w:sz="4" w:space="0" w:color="auto"/>
            </w:tcBorders>
            <w:vAlign w:val="center"/>
          </w:tcPr>
          <w:p w14:paraId="430288BF" w14:textId="77777777" w:rsidR="00B201D3" w:rsidRPr="006D4FBA" w:rsidRDefault="009855E8">
            <w:pPr>
              <w:jc w:val="right"/>
              <w:rPr>
                <w:rFonts w:ascii="宋体" w:hAnsi="宋体"/>
              </w:rPr>
            </w:pPr>
            <w:r w:rsidRPr="006D4FBA">
              <w:rPr>
                <w:rFonts w:ascii="宋体" w:hAnsi="宋体" w:hint="eastAsia"/>
              </w:rPr>
              <w:t xml:space="preserve">1,472 </w:t>
            </w:r>
          </w:p>
        </w:tc>
      </w:tr>
      <w:tr w:rsidR="00B201D3" w:rsidRPr="006D4FBA" w14:paraId="03B64A96" w14:textId="77777777">
        <w:trPr>
          <w:trHeight w:val="312"/>
          <w:jc w:val="center"/>
        </w:trPr>
        <w:tc>
          <w:tcPr>
            <w:tcW w:w="1873" w:type="dxa"/>
            <w:tcBorders>
              <w:top w:val="single" w:sz="4" w:space="0" w:color="auto"/>
              <w:left w:val="single" w:sz="4" w:space="0" w:color="auto"/>
              <w:bottom w:val="single" w:sz="4" w:space="0" w:color="auto"/>
              <w:right w:val="single" w:sz="4" w:space="0" w:color="auto"/>
            </w:tcBorders>
            <w:vAlign w:val="center"/>
          </w:tcPr>
          <w:p w14:paraId="146D20A7" w14:textId="77777777" w:rsidR="00B201D3" w:rsidRPr="006D4FBA" w:rsidRDefault="009855E8">
            <w:pPr>
              <w:jc w:val="both"/>
              <w:rPr>
                <w:rFonts w:ascii="宋体" w:hAnsi="宋体"/>
                <w:lang w:val="en-GB"/>
              </w:rPr>
            </w:pPr>
            <w:r w:rsidRPr="006D4FBA">
              <w:rPr>
                <w:rFonts w:ascii="宋体" w:hAnsi="宋体" w:hint="eastAsia"/>
              </w:rPr>
              <w:t>五、鄂尔多斯公司</w:t>
            </w:r>
          </w:p>
        </w:tc>
        <w:tc>
          <w:tcPr>
            <w:tcW w:w="997" w:type="dxa"/>
            <w:tcBorders>
              <w:top w:val="single" w:sz="4" w:space="0" w:color="auto"/>
              <w:left w:val="single" w:sz="4" w:space="0" w:color="auto"/>
              <w:bottom w:val="single" w:sz="4" w:space="0" w:color="auto"/>
              <w:right w:val="single" w:sz="4" w:space="0" w:color="auto"/>
            </w:tcBorders>
            <w:vAlign w:val="center"/>
          </w:tcPr>
          <w:p w14:paraId="398A502E" w14:textId="77777777" w:rsidR="00B201D3" w:rsidRPr="006D4FBA" w:rsidRDefault="009855E8">
            <w:pPr>
              <w:jc w:val="right"/>
              <w:rPr>
                <w:rFonts w:ascii="宋体" w:hAnsi="宋体"/>
              </w:rPr>
            </w:pPr>
            <w:r w:rsidRPr="006D4FBA">
              <w:rPr>
                <w:rFonts w:ascii="宋体" w:hAnsi="宋体"/>
              </w:rPr>
              <w:t xml:space="preserve">5,696 </w:t>
            </w:r>
          </w:p>
        </w:tc>
        <w:tc>
          <w:tcPr>
            <w:tcW w:w="958" w:type="dxa"/>
            <w:tcBorders>
              <w:top w:val="single" w:sz="4" w:space="0" w:color="auto"/>
              <w:left w:val="single" w:sz="4" w:space="0" w:color="auto"/>
              <w:bottom w:val="single" w:sz="4" w:space="0" w:color="auto"/>
              <w:right w:val="single" w:sz="4" w:space="0" w:color="auto"/>
            </w:tcBorders>
            <w:vAlign w:val="center"/>
          </w:tcPr>
          <w:p w14:paraId="0A32C051" w14:textId="77777777" w:rsidR="00B201D3" w:rsidRPr="006D4FBA" w:rsidRDefault="009855E8">
            <w:pPr>
              <w:jc w:val="right"/>
              <w:rPr>
                <w:rFonts w:ascii="宋体" w:hAnsi="宋体"/>
              </w:rPr>
            </w:pPr>
            <w:r w:rsidRPr="006D4FBA">
              <w:rPr>
                <w:rFonts w:ascii="宋体" w:hAnsi="宋体"/>
              </w:rPr>
              <w:t xml:space="preserve">3,469 </w:t>
            </w:r>
          </w:p>
        </w:tc>
        <w:tc>
          <w:tcPr>
            <w:tcW w:w="1109" w:type="dxa"/>
            <w:tcBorders>
              <w:top w:val="single" w:sz="4" w:space="0" w:color="auto"/>
              <w:left w:val="single" w:sz="4" w:space="0" w:color="auto"/>
              <w:bottom w:val="single" w:sz="4" w:space="0" w:color="auto"/>
              <w:right w:val="single" w:sz="4" w:space="0" w:color="auto"/>
            </w:tcBorders>
            <w:vAlign w:val="center"/>
          </w:tcPr>
          <w:p w14:paraId="5808A177" w14:textId="77777777" w:rsidR="00B201D3" w:rsidRPr="006D4FBA" w:rsidRDefault="009855E8">
            <w:pPr>
              <w:jc w:val="right"/>
              <w:rPr>
                <w:rFonts w:ascii="宋体" w:hAnsi="宋体"/>
              </w:rPr>
            </w:pPr>
            <w:r w:rsidRPr="006D4FBA">
              <w:rPr>
                <w:rFonts w:ascii="宋体" w:hAnsi="宋体"/>
              </w:rPr>
              <w:t>431.86</w:t>
            </w:r>
          </w:p>
        </w:tc>
        <w:tc>
          <w:tcPr>
            <w:tcW w:w="1201" w:type="dxa"/>
            <w:tcBorders>
              <w:top w:val="single" w:sz="4" w:space="0" w:color="auto"/>
              <w:left w:val="single" w:sz="4" w:space="0" w:color="auto"/>
              <w:bottom w:val="single" w:sz="4" w:space="0" w:color="auto"/>
              <w:right w:val="single" w:sz="4" w:space="0" w:color="auto"/>
            </w:tcBorders>
            <w:vAlign w:val="center"/>
          </w:tcPr>
          <w:p w14:paraId="5E273B5A" w14:textId="77777777" w:rsidR="00B201D3" w:rsidRPr="006D4FBA" w:rsidRDefault="009855E8">
            <w:pPr>
              <w:jc w:val="right"/>
              <w:rPr>
                <w:rFonts w:ascii="宋体" w:hAnsi="宋体"/>
              </w:rPr>
            </w:pPr>
            <w:r w:rsidRPr="006D4FBA">
              <w:rPr>
                <w:rFonts w:ascii="宋体" w:hAnsi="宋体"/>
              </w:rPr>
              <w:t xml:space="preserve">1,498 </w:t>
            </w:r>
          </w:p>
        </w:tc>
        <w:tc>
          <w:tcPr>
            <w:tcW w:w="958" w:type="dxa"/>
            <w:tcBorders>
              <w:top w:val="single" w:sz="4" w:space="0" w:color="auto"/>
              <w:left w:val="single" w:sz="4" w:space="0" w:color="auto"/>
              <w:bottom w:val="single" w:sz="4" w:space="0" w:color="auto"/>
              <w:right w:val="single" w:sz="4" w:space="0" w:color="auto"/>
            </w:tcBorders>
            <w:vAlign w:val="center"/>
          </w:tcPr>
          <w:p w14:paraId="221CE5D5" w14:textId="77777777" w:rsidR="00B201D3" w:rsidRPr="006D4FBA" w:rsidRDefault="009855E8">
            <w:pPr>
              <w:jc w:val="right"/>
              <w:rPr>
                <w:rFonts w:ascii="宋体" w:hAnsi="宋体"/>
              </w:rPr>
            </w:pPr>
            <w:r w:rsidRPr="006D4FBA">
              <w:rPr>
                <w:rFonts w:ascii="宋体" w:hAnsi="宋体" w:hint="eastAsia"/>
              </w:rPr>
              <w:t xml:space="preserve">6,060 </w:t>
            </w:r>
          </w:p>
        </w:tc>
        <w:tc>
          <w:tcPr>
            <w:tcW w:w="957" w:type="dxa"/>
            <w:tcBorders>
              <w:top w:val="single" w:sz="4" w:space="0" w:color="auto"/>
              <w:left w:val="single" w:sz="4" w:space="0" w:color="auto"/>
              <w:bottom w:val="single" w:sz="4" w:space="0" w:color="auto"/>
              <w:right w:val="single" w:sz="4" w:space="0" w:color="auto"/>
            </w:tcBorders>
            <w:vAlign w:val="center"/>
          </w:tcPr>
          <w:p w14:paraId="49A9D2B4" w14:textId="77777777" w:rsidR="00B201D3" w:rsidRPr="006D4FBA" w:rsidRDefault="009855E8">
            <w:pPr>
              <w:jc w:val="right"/>
              <w:rPr>
                <w:rFonts w:ascii="宋体" w:hAnsi="宋体"/>
              </w:rPr>
            </w:pPr>
            <w:r w:rsidRPr="006D4FBA">
              <w:rPr>
                <w:rFonts w:ascii="宋体" w:hAnsi="宋体" w:hint="eastAsia"/>
              </w:rPr>
              <w:t xml:space="preserve">5,521 </w:t>
            </w:r>
          </w:p>
        </w:tc>
        <w:tc>
          <w:tcPr>
            <w:tcW w:w="1109" w:type="dxa"/>
            <w:tcBorders>
              <w:top w:val="single" w:sz="4" w:space="0" w:color="auto"/>
              <w:left w:val="single" w:sz="4" w:space="0" w:color="auto"/>
              <w:bottom w:val="single" w:sz="4" w:space="0" w:color="auto"/>
              <w:right w:val="single" w:sz="4" w:space="0" w:color="auto"/>
            </w:tcBorders>
            <w:vAlign w:val="center"/>
          </w:tcPr>
          <w:p w14:paraId="13051152" w14:textId="77777777" w:rsidR="00B201D3" w:rsidRPr="006D4FBA" w:rsidRDefault="009855E8">
            <w:pPr>
              <w:jc w:val="right"/>
              <w:rPr>
                <w:rFonts w:ascii="宋体" w:hAnsi="宋体"/>
              </w:rPr>
            </w:pPr>
            <w:r w:rsidRPr="006D4FBA">
              <w:rPr>
                <w:rFonts w:ascii="宋体" w:hAnsi="宋体" w:hint="eastAsia"/>
              </w:rPr>
              <w:t xml:space="preserve">593.04 </w:t>
            </w:r>
          </w:p>
        </w:tc>
        <w:tc>
          <w:tcPr>
            <w:tcW w:w="1201" w:type="dxa"/>
            <w:tcBorders>
              <w:top w:val="single" w:sz="4" w:space="0" w:color="auto"/>
              <w:left w:val="single" w:sz="4" w:space="0" w:color="auto"/>
              <w:bottom w:val="single" w:sz="4" w:space="0" w:color="auto"/>
              <w:right w:val="single" w:sz="4" w:space="0" w:color="auto"/>
            </w:tcBorders>
            <w:vAlign w:val="center"/>
          </w:tcPr>
          <w:p w14:paraId="447626AB" w14:textId="77777777" w:rsidR="00B201D3" w:rsidRPr="006D4FBA" w:rsidRDefault="009855E8">
            <w:pPr>
              <w:jc w:val="right"/>
              <w:rPr>
                <w:rFonts w:ascii="宋体" w:hAnsi="宋体"/>
              </w:rPr>
            </w:pPr>
            <w:r w:rsidRPr="006D4FBA">
              <w:rPr>
                <w:rFonts w:ascii="宋体" w:hAnsi="宋体" w:hint="eastAsia"/>
              </w:rPr>
              <w:t xml:space="preserve">3,274 </w:t>
            </w:r>
          </w:p>
        </w:tc>
      </w:tr>
      <w:tr w:rsidR="00B201D3" w:rsidRPr="006D4FBA" w14:paraId="62B7A385" w14:textId="77777777">
        <w:trPr>
          <w:trHeight w:val="312"/>
          <w:jc w:val="center"/>
        </w:trPr>
        <w:tc>
          <w:tcPr>
            <w:tcW w:w="1873" w:type="dxa"/>
            <w:tcBorders>
              <w:top w:val="single" w:sz="4" w:space="0" w:color="auto"/>
              <w:left w:val="single" w:sz="4" w:space="0" w:color="auto"/>
              <w:bottom w:val="single" w:sz="4" w:space="0" w:color="auto"/>
              <w:right w:val="single" w:sz="4" w:space="0" w:color="auto"/>
            </w:tcBorders>
            <w:vAlign w:val="center"/>
          </w:tcPr>
          <w:p w14:paraId="03581584" w14:textId="77777777" w:rsidR="00B201D3" w:rsidRPr="006D4FBA" w:rsidRDefault="009855E8">
            <w:pPr>
              <w:ind w:firstLineChars="207" w:firstLine="435"/>
              <w:jc w:val="both"/>
              <w:rPr>
                <w:rFonts w:ascii="宋体" w:hAnsi="宋体"/>
                <w:lang w:val="en-GB"/>
              </w:rPr>
            </w:pPr>
            <w:r w:rsidRPr="006D4FBA">
              <w:rPr>
                <w:rFonts w:ascii="宋体" w:hAnsi="宋体" w:hint="eastAsia"/>
              </w:rPr>
              <w:t>经筛选原煤</w:t>
            </w:r>
          </w:p>
        </w:tc>
        <w:tc>
          <w:tcPr>
            <w:tcW w:w="997" w:type="dxa"/>
            <w:tcBorders>
              <w:top w:val="single" w:sz="4" w:space="0" w:color="auto"/>
              <w:left w:val="single" w:sz="4" w:space="0" w:color="auto"/>
              <w:bottom w:val="single" w:sz="4" w:space="0" w:color="auto"/>
              <w:right w:val="single" w:sz="4" w:space="0" w:color="auto"/>
            </w:tcBorders>
            <w:vAlign w:val="center"/>
          </w:tcPr>
          <w:p w14:paraId="653E2532" w14:textId="77777777" w:rsidR="00B201D3" w:rsidRPr="006D4FBA" w:rsidRDefault="009855E8">
            <w:pPr>
              <w:jc w:val="right"/>
              <w:rPr>
                <w:rFonts w:ascii="宋体" w:hAnsi="宋体"/>
              </w:rPr>
            </w:pPr>
            <w:r w:rsidRPr="006D4FBA">
              <w:rPr>
                <w:rFonts w:ascii="宋体" w:hAnsi="宋体"/>
              </w:rPr>
              <w:t xml:space="preserve">5,696 </w:t>
            </w:r>
          </w:p>
        </w:tc>
        <w:tc>
          <w:tcPr>
            <w:tcW w:w="958" w:type="dxa"/>
            <w:tcBorders>
              <w:top w:val="single" w:sz="4" w:space="0" w:color="auto"/>
              <w:left w:val="single" w:sz="4" w:space="0" w:color="auto"/>
              <w:bottom w:val="single" w:sz="4" w:space="0" w:color="auto"/>
              <w:right w:val="single" w:sz="4" w:space="0" w:color="auto"/>
            </w:tcBorders>
            <w:vAlign w:val="center"/>
          </w:tcPr>
          <w:p w14:paraId="1C25CA81" w14:textId="77777777" w:rsidR="00B201D3" w:rsidRPr="006D4FBA" w:rsidRDefault="009855E8">
            <w:pPr>
              <w:jc w:val="right"/>
              <w:rPr>
                <w:rFonts w:ascii="宋体" w:hAnsi="宋体"/>
              </w:rPr>
            </w:pPr>
            <w:r w:rsidRPr="006D4FBA">
              <w:rPr>
                <w:rFonts w:ascii="宋体" w:hAnsi="宋体"/>
              </w:rPr>
              <w:t xml:space="preserve">3,469 </w:t>
            </w:r>
          </w:p>
        </w:tc>
        <w:tc>
          <w:tcPr>
            <w:tcW w:w="1109" w:type="dxa"/>
            <w:tcBorders>
              <w:top w:val="single" w:sz="4" w:space="0" w:color="auto"/>
              <w:left w:val="single" w:sz="4" w:space="0" w:color="auto"/>
              <w:bottom w:val="single" w:sz="4" w:space="0" w:color="auto"/>
              <w:right w:val="single" w:sz="4" w:space="0" w:color="auto"/>
            </w:tcBorders>
            <w:vAlign w:val="center"/>
          </w:tcPr>
          <w:p w14:paraId="70D67A72" w14:textId="77777777" w:rsidR="00B201D3" w:rsidRPr="006D4FBA" w:rsidRDefault="009855E8">
            <w:pPr>
              <w:jc w:val="right"/>
              <w:rPr>
                <w:rFonts w:ascii="宋体" w:hAnsi="宋体"/>
              </w:rPr>
            </w:pPr>
            <w:r w:rsidRPr="006D4FBA">
              <w:rPr>
                <w:rFonts w:ascii="宋体" w:hAnsi="宋体"/>
              </w:rPr>
              <w:t>431.86</w:t>
            </w:r>
          </w:p>
        </w:tc>
        <w:tc>
          <w:tcPr>
            <w:tcW w:w="1201" w:type="dxa"/>
            <w:tcBorders>
              <w:top w:val="single" w:sz="4" w:space="0" w:color="auto"/>
              <w:left w:val="single" w:sz="4" w:space="0" w:color="auto"/>
              <w:bottom w:val="single" w:sz="4" w:space="0" w:color="auto"/>
              <w:right w:val="single" w:sz="4" w:space="0" w:color="auto"/>
            </w:tcBorders>
            <w:vAlign w:val="center"/>
          </w:tcPr>
          <w:p w14:paraId="6F246178" w14:textId="77777777" w:rsidR="00B201D3" w:rsidRPr="006D4FBA" w:rsidRDefault="009855E8">
            <w:pPr>
              <w:jc w:val="right"/>
              <w:rPr>
                <w:rFonts w:ascii="宋体" w:hAnsi="宋体"/>
              </w:rPr>
            </w:pPr>
            <w:r w:rsidRPr="006D4FBA">
              <w:rPr>
                <w:rFonts w:ascii="宋体" w:hAnsi="宋体"/>
              </w:rPr>
              <w:t xml:space="preserve">1,498 </w:t>
            </w:r>
          </w:p>
        </w:tc>
        <w:tc>
          <w:tcPr>
            <w:tcW w:w="958" w:type="dxa"/>
            <w:tcBorders>
              <w:top w:val="single" w:sz="4" w:space="0" w:color="auto"/>
              <w:left w:val="single" w:sz="4" w:space="0" w:color="auto"/>
              <w:bottom w:val="single" w:sz="4" w:space="0" w:color="auto"/>
              <w:right w:val="single" w:sz="4" w:space="0" w:color="auto"/>
            </w:tcBorders>
            <w:vAlign w:val="center"/>
          </w:tcPr>
          <w:p w14:paraId="61BC34C0" w14:textId="77777777" w:rsidR="00B201D3" w:rsidRPr="006D4FBA" w:rsidRDefault="009855E8">
            <w:pPr>
              <w:jc w:val="right"/>
              <w:rPr>
                <w:rFonts w:ascii="宋体" w:hAnsi="宋体"/>
              </w:rPr>
            </w:pPr>
            <w:r w:rsidRPr="006D4FBA">
              <w:rPr>
                <w:rFonts w:ascii="宋体" w:hAnsi="宋体" w:hint="eastAsia"/>
              </w:rPr>
              <w:t xml:space="preserve">6,060 </w:t>
            </w:r>
          </w:p>
        </w:tc>
        <w:tc>
          <w:tcPr>
            <w:tcW w:w="957" w:type="dxa"/>
            <w:tcBorders>
              <w:top w:val="single" w:sz="4" w:space="0" w:color="auto"/>
              <w:left w:val="single" w:sz="4" w:space="0" w:color="auto"/>
              <w:bottom w:val="single" w:sz="4" w:space="0" w:color="auto"/>
              <w:right w:val="single" w:sz="4" w:space="0" w:color="auto"/>
            </w:tcBorders>
            <w:vAlign w:val="center"/>
          </w:tcPr>
          <w:p w14:paraId="0C4082D8" w14:textId="77777777" w:rsidR="00B201D3" w:rsidRPr="006D4FBA" w:rsidRDefault="009855E8">
            <w:pPr>
              <w:jc w:val="right"/>
              <w:rPr>
                <w:rFonts w:ascii="宋体" w:hAnsi="宋体"/>
              </w:rPr>
            </w:pPr>
            <w:r w:rsidRPr="006D4FBA">
              <w:rPr>
                <w:rFonts w:ascii="宋体" w:hAnsi="宋体" w:hint="eastAsia"/>
              </w:rPr>
              <w:t xml:space="preserve">5,521 </w:t>
            </w:r>
          </w:p>
        </w:tc>
        <w:tc>
          <w:tcPr>
            <w:tcW w:w="1109" w:type="dxa"/>
            <w:tcBorders>
              <w:top w:val="single" w:sz="4" w:space="0" w:color="auto"/>
              <w:left w:val="single" w:sz="4" w:space="0" w:color="auto"/>
              <w:bottom w:val="single" w:sz="4" w:space="0" w:color="auto"/>
              <w:right w:val="single" w:sz="4" w:space="0" w:color="auto"/>
            </w:tcBorders>
            <w:vAlign w:val="center"/>
          </w:tcPr>
          <w:p w14:paraId="21E84AD3" w14:textId="77777777" w:rsidR="00B201D3" w:rsidRPr="006D4FBA" w:rsidRDefault="009855E8">
            <w:pPr>
              <w:jc w:val="right"/>
              <w:rPr>
                <w:rFonts w:ascii="宋体" w:hAnsi="宋体"/>
              </w:rPr>
            </w:pPr>
            <w:r w:rsidRPr="006D4FBA">
              <w:rPr>
                <w:rFonts w:ascii="宋体" w:hAnsi="宋体" w:hint="eastAsia"/>
              </w:rPr>
              <w:t xml:space="preserve">593.04 </w:t>
            </w:r>
          </w:p>
        </w:tc>
        <w:tc>
          <w:tcPr>
            <w:tcW w:w="1201" w:type="dxa"/>
            <w:tcBorders>
              <w:top w:val="single" w:sz="4" w:space="0" w:color="auto"/>
              <w:left w:val="single" w:sz="4" w:space="0" w:color="auto"/>
              <w:bottom w:val="single" w:sz="4" w:space="0" w:color="auto"/>
              <w:right w:val="single" w:sz="4" w:space="0" w:color="auto"/>
            </w:tcBorders>
            <w:vAlign w:val="center"/>
          </w:tcPr>
          <w:p w14:paraId="678B3686" w14:textId="77777777" w:rsidR="00B201D3" w:rsidRPr="006D4FBA" w:rsidRDefault="009855E8">
            <w:pPr>
              <w:jc w:val="right"/>
              <w:rPr>
                <w:rFonts w:ascii="宋体" w:hAnsi="宋体"/>
              </w:rPr>
            </w:pPr>
            <w:r w:rsidRPr="006D4FBA">
              <w:rPr>
                <w:rFonts w:ascii="宋体" w:hAnsi="宋体" w:hint="eastAsia"/>
              </w:rPr>
              <w:t xml:space="preserve">3,274 </w:t>
            </w:r>
          </w:p>
        </w:tc>
      </w:tr>
      <w:tr w:rsidR="00B201D3" w:rsidRPr="006D4FBA" w14:paraId="18D9E947" w14:textId="77777777">
        <w:trPr>
          <w:trHeight w:val="312"/>
          <w:jc w:val="center"/>
        </w:trPr>
        <w:tc>
          <w:tcPr>
            <w:tcW w:w="1873" w:type="dxa"/>
            <w:tcBorders>
              <w:top w:val="single" w:sz="4" w:space="0" w:color="auto"/>
              <w:left w:val="single" w:sz="4" w:space="0" w:color="auto"/>
              <w:bottom w:val="single" w:sz="4" w:space="0" w:color="auto"/>
              <w:right w:val="single" w:sz="4" w:space="0" w:color="auto"/>
            </w:tcBorders>
            <w:vAlign w:val="center"/>
          </w:tcPr>
          <w:p w14:paraId="3A091449" w14:textId="77777777" w:rsidR="00B201D3" w:rsidRPr="006D4FBA" w:rsidRDefault="009855E8">
            <w:pPr>
              <w:jc w:val="both"/>
              <w:rPr>
                <w:rFonts w:ascii="宋体" w:hAnsi="宋体"/>
                <w:lang w:val="en-GB"/>
              </w:rPr>
            </w:pPr>
            <w:r w:rsidRPr="006D4FBA">
              <w:rPr>
                <w:rFonts w:ascii="宋体" w:hAnsi="宋体" w:hint="eastAsia"/>
              </w:rPr>
              <w:t>六、昊盛煤业</w:t>
            </w:r>
          </w:p>
        </w:tc>
        <w:tc>
          <w:tcPr>
            <w:tcW w:w="997" w:type="dxa"/>
            <w:tcBorders>
              <w:top w:val="single" w:sz="4" w:space="0" w:color="auto"/>
              <w:left w:val="single" w:sz="4" w:space="0" w:color="auto"/>
              <w:bottom w:val="single" w:sz="4" w:space="0" w:color="auto"/>
              <w:right w:val="single" w:sz="4" w:space="0" w:color="auto"/>
            </w:tcBorders>
            <w:vAlign w:val="center"/>
          </w:tcPr>
          <w:p w14:paraId="095C0EBD" w14:textId="77777777" w:rsidR="00B201D3" w:rsidRPr="006D4FBA" w:rsidRDefault="009855E8">
            <w:pPr>
              <w:jc w:val="right"/>
              <w:rPr>
                <w:rFonts w:ascii="宋体" w:hAnsi="宋体"/>
              </w:rPr>
            </w:pPr>
            <w:r w:rsidRPr="006D4FBA">
              <w:rPr>
                <w:rFonts w:ascii="宋体" w:hAnsi="宋体"/>
              </w:rPr>
              <w:t xml:space="preserve">2,338 </w:t>
            </w:r>
          </w:p>
        </w:tc>
        <w:tc>
          <w:tcPr>
            <w:tcW w:w="958" w:type="dxa"/>
            <w:tcBorders>
              <w:top w:val="single" w:sz="4" w:space="0" w:color="auto"/>
              <w:left w:val="single" w:sz="4" w:space="0" w:color="auto"/>
              <w:bottom w:val="single" w:sz="4" w:space="0" w:color="auto"/>
              <w:right w:val="single" w:sz="4" w:space="0" w:color="auto"/>
            </w:tcBorders>
            <w:vAlign w:val="center"/>
          </w:tcPr>
          <w:p w14:paraId="2BAE1073" w14:textId="77777777" w:rsidR="00B201D3" w:rsidRPr="006D4FBA" w:rsidRDefault="009855E8">
            <w:pPr>
              <w:jc w:val="right"/>
              <w:rPr>
                <w:rFonts w:ascii="宋体" w:hAnsi="宋体"/>
              </w:rPr>
            </w:pPr>
            <w:r w:rsidRPr="006D4FBA">
              <w:rPr>
                <w:rFonts w:ascii="宋体" w:hAnsi="宋体"/>
              </w:rPr>
              <w:t xml:space="preserve">2,300 </w:t>
            </w:r>
          </w:p>
        </w:tc>
        <w:tc>
          <w:tcPr>
            <w:tcW w:w="1109" w:type="dxa"/>
            <w:tcBorders>
              <w:top w:val="single" w:sz="4" w:space="0" w:color="auto"/>
              <w:left w:val="single" w:sz="4" w:space="0" w:color="auto"/>
              <w:bottom w:val="single" w:sz="4" w:space="0" w:color="auto"/>
              <w:right w:val="single" w:sz="4" w:space="0" w:color="auto"/>
            </w:tcBorders>
            <w:vAlign w:val="center"/>
          </w:tcPr>
          <w:p w14:paraId="4FB9D090" w14:textId="77777777" w:rsidR="00B201D3" w:rsidRPr="006D4FBA" w:rsidRDefault="009855E8">
            <w:pPr>
              <w:jc w:val="right"/>
              <w:rPr>
                <w:rFonts w:ascii="宋体" w:hAnsi="宋体"/>
              </w:rPr>
            </w:pPr>
            <w:r w:rsidRPr="006D4FBA">
              <w:rPr>
                <w:rFonts w:ascii="宋体" w:hAnsi="宋体"/>
              </w:rPr>
              <w:t>541.88</w:t>
            </w:r>
          </w:p>
        </w:tc>
        <w:tc>
          <w:tcPr>
            <w:tcW w:w="1201" w:type="dxa"/>
            <w:tcBorders>
              <w:top w:val="single" w:sz="4" w:space="0" w:color="auto"/>
              <w:left w:val="single" w:sz="4" w:space="0" w:color="auto"/>
              <w:bottom w:val="single" w:sz="4" w:space="0" w:color="auto"/>
              <w:right w:val="single" w:sz="4" w:space="0" w:color="auto"/>
            </w:tcBorders>
            <w:vAlign w:val="center"/>
          </w:tcPr>
          <w:p w14:paraId="2682F46A" w14:textId="77777777" w:rsidR="00B201D3" w:rsidRPr="006D4FBA" w:rsidRDefault="009855E8">
            <w:pPr>
              <w:jc w:val="right"/>
              <w:rPr>
                <w:rFonts w:ascii="宋体" w:hAnsi="宋体"/>
              </w:rPr>
            </w:pPr>
            <w:r w:rsidRPr="006D4FBA">
              <w:rPr>
                <w:rFonts w:ascii="宋体" w:hAnsi="宋体"/>
              </w:rPr>
              <w:t xml:space="preserve">1,246 </w:t>
            </w:r>
          </w:p>
        </w:tc>
        <w:tc>
          <w:tcPr>
            <w:tcW w:w="958" w:type="dxa"/>
            <w:tcBorders>
              <w:top w:val="single" w:sz="4" w:space="0" w:color="auto"/>
              <w:left w:val="single" w:sz="4" w:space="0" w:color="auto"/>
              <w:bottom w:val="single" w:sz="4" w:space="0" w:color="auto"/>
              <w:right w:val="single" w:sz="4" w:space="0" w:color="auto"/>
            </w:tcBorders>
            <w:vAlign w:val="center"/>
          </w:tcPr>
          <w:p w14:paraId="08E740A8" w14:textId="77777777" w:rsidR="00B201D3" w:rsidRPr="006D4FBA" w:rsidRDefault="009855E8">
            <w:pPr>
              <w:jc w:val="right"/>
              <w:rPr>
                <w:rFonts w:ascii="宋体" w:hAnsi="宋体"/>
              </w:rPr>
            </w:pPr>
            <w:r w:rsidRPr="006D4FBA">
              <w:rPr>
                <w:rFonts w:ascii="宋体" w:hAnsi="宋体" w:hint="eastAsia"/>
              </w:rPr>
              <w:t xml:space="preserve">1,156 </w:t>
            </w:r>
          </w:p>
        </w:tc>
        <w:tc>
          <w:tcPr>
            <w:tcW w:w="957" w:type="dxa"/>
            <w:tcBorders>
              <w:top w:val="single" w:sz="4" w:space="0" w:color="auto"/>
              <w:left w:val="single" w:sz="4" w:space="0" w:color="auto"/>
              <w:bottom w:val="single" w:sz="4" w:space="0" w:color="auto"/>
              <w:right w:val="single" w:sz="4" w:space="0" w:color="auto"/>
            </w:tcBorders>
            <w:vAlign w:val="center"/>
          </w:tcPr>
          <w:p w14:paraId="2AA81EB6" w14:textId="77777777" w:rsidR="00B201D3" w:rsidRPr="006D4FBA" w:rsidRDefault="009855E8">
            <w:pPr>
              <w:jc w:val="right"/>
              <w:rPr>
                <w:rFonts w:ascii="宋体" w:hAnsi="宋体"/>
              </w:rPr>
            </w:pPr>
            <w:r w:rsidRPr="006D4FBA">
              <w:rPr>
                <w:rFonts w:ascii="宋体" w:hAnsi="宋体" w:hint="eastAsia"/>
              </w:rPr>
              <w:t xml:space="preserve">1,106 </w:t>
            </w:r>
          </w:p>
        </w:tc>
        <w:tc>
          <w:tcPr>
            <w:tcW w:w="1109" w:type="dxa"/>
            <w:tcBorders>
              <w:top w:val="single" w:sz="4" w:space="0" w:color="auto"/>
              <w:left w:val="single" w:sz="4" w:space="0" w:color="auto"/>
              <w:bottom w:val="single" w:sz="4" w:space="0" w:color="auto"/>
              <w:right w:val="single" w:sz="4" w:space="0" w:color="auto"/>
            </w:tcBorders>
            <w:vAlign w:val="center"/>
          </w:tcPr>
          <w:p w14:paraId="0EAEF001" w14:textId="77777777" w:rsidR="00B201D3" w:rsidRPr="006D4FBA" w:rsidRDefault="009855E8">
            <w:pPr>
              <w:jc w:val="right"/>
              <w:rPr>
                <w:rFonts w:ascii="宋体" w:hAnsi="宋体"/>
              </w:rPr>
            </w:pPr>
            <w:r w:rsidRPr="006D4FBA">
              <w:rPr>
                <w:rFonts w:ascii="宋体" w:hAnsi="宋体" w:hint="eastAsia"/>
              </w:rPr>
              <w:t xml:space="preserve">742.00 </w:t>
            </w:r>
          </w:p>
        </w:tc>
        <w:tc>
          <w:tcPr>
            <w:tcW w:w="1201" w:type="dxa"/>
            <w:tcBorders>
              <w:top w:val="single" w:sz="4" w:space="0" w:color="auto"/>
              <w:left w:val="single" w:sz="4" w:space="0" w:color="auto"/>
              <w:bottom w:val="single" w:sz="4" w:space="0" w:color="auto"/>
              <w:right w:val="single" w:sz="4" w:space="0" w:color="auto"/>
            </w:tcBorders>
            <w:vAlign w:val="center"/>
          </w:tcPr>
          <w:p w14:paraId="683A1F91" w14:textId="77777777" w:rsidR="00B201D3" w:rsidRPr="006D4FBA" w:rsidRDefault="009855E8">
            <w:pPr>
              <w:jc w:val="right"/>
              <w:rPr>
                <w:rFonts w:ascii="宋体" w:hAnsi="宋体"/>
              </w:rPr>
            </w:pPr>
            <w:r w:rsidRPr="006D4FBA">
              <w:rPr>
                <w:rFonts w:ascii="宋体" w:hAnsi="宋体" w:hint="eastAsia"/>
              </w:rPr>
              <w:t xml:space="preserve">821 </w:t>
            </w:r>
          </w:p>
        </w:tc>
      </w:tr>
      <w:tr w:rsidR="00B201D3" w:rsidRPr="006D4FBA" w14:paraId="0897BC48" w14:textId="77777777">
        <w:trPr>
          <w:trHeight w:val="312"/>
          <w:jc w:val="center"/>
        </w:trPr>
        <w:tc>
          <w:tcPr>
            <w:tcW w:w="1873" w:type="dxa"/>
            <w:tcBorders>
              <w:top w:val="single" w:sz="4" w:space="0" w:color="auto"/>
              <w:left w:val="single" w:sz="4" w:space="0" w:color="auto"/>
              <w:bottom w:val="single" w:sz="4" w:space="0" w:color="auto"/>
              <w:right w:val="single" w:sz="4" w:space="0" w:color="auto"/>
            </w:tcBorders>
            <w:vAlign w:val="center"/>
          </w:tcPr>
          <w:p w14:paraId="7AD6F5F9" w14:textId="77777777" w:rsidR="00B201D3" w:rsidRPr="006D4FBA" w:rsidRDefault="009855E8">
            <w:pPr>
              <w:ind w:firstLineChars="207" w:firstLine="435"/>
              <w:jc w:val="both"/>
              <w:rPr>
                <w:rFonts w:ascii="宋体" w:hAnsi="宋体"/>
                <w:lang w:val="en-GB"/>
              </w:rPr>
            </w:pPr>
            <w:r w:rsidRPr="006D4FBA">
              <w:rPr>
                <w:rFonts w:ascii="宋体" w:hAnsi="宋体" w:hint="eastAsia"/>
              </w:rPr>
              <w:t>经筛选原煤</w:t>
            </w:r>
          </w:p>
        </w:tc>
        <w:tc>
          <w:tcPr>
            <w:tcW w:w="997" w:type="dxa"/>
            <w:tcBorders>
              <w:top w:val="single" w:sz="4" w:space="0" w:color="auto"/>
              <w:left w:val="single" w:sz="4" w:space="0" w:color="auto"/>
              <w:bottom w:val="single" w:sz="4" w:space="0" w:color="auto"/>
              <w:right w:val="single" w:sz="4" w:space="0" w:color="auto"/>
            </w:tcBorders>
            <w:vAlign w:val="center"/>
          </w:tcPr>
          <w:p w14:paraId="23A73F9B" w14:textId="77777777" w:rsidR="00B201D3" w:rsidRPr="006D4FBA" w:rsidRDefault="009855E8">
            <w:pPr>
              <w:jc w:val="right"/>
              <w:rPr>
                <w:rFonts w:ascii="宋体" w:hAnsi="宋体"/>
              </w:rPr>
            </w:pPr>
            <w:r w:rsidRPr="006D4FBA">
              <w:rPr>
                <w:rFonts w:ascii="宋体" w:hAnsi="宋体"/>
              </w:rPr>
              <w:t xml:space="preserve">2,338 </w:t>
            </w:r>
          </w:p>
        </w:tc>
        <w:tc>
          <w:tcPr>
            <w:tcW w:w="958" w:type="dxa"/>
            <w:tcBorders>
              <w:top w:val="single" w:sz="4" w:space="0" w:color="auto"/>
              <w:left w:val="single" w:sz="4" w:space="0" w:color="auto"/>
              <w:bottom w:val="single" w:sz="4" w:space="0" w:color="auto"/>
              <w:right w:val="single" w:sz="4" w:space="0" w:color="auto"/>
            </w:tcBorders>
            <w:vAlign w:val="center"/>
          </w:tcPr>
          <w:p w14:paraId="623FD162" w14:textId="77777777" w:rsidR="00B201D3" w:rsidRPr="006D4FBA" w:rsidRDefault="009855E8">
            <w:pPr>
              <w:jc w:val="right"/>
              <w:rPr>
                <w:rFonts w:ascii="宋体" w:hAnsi="宋体"/>
              </w:rPr>
            </w:pPr>
            <w:r w:rsidRPr="006D4FBA">
              <w:rPr>
                <w:rFonts w:ascii="宋体" w:hAnsi="宋体"/>
              </w:rPr>
              <w:t xml:space="preserve">2,300 </w:t>
            </w:r>
          </w:p>
        </w:tc>
        <w:tc>
          <w:tcPr>
            <w:tcW w:w="1109" w:type="dxa"/>
            <w:tcBorders>
              <w:top w:val="single" w:sz="4" w:space="0" w:color="auto"/>
              <w:left w:val="single" w:sz="4" w:space="0" w:color="auto"/>
              <w:bottom w:val="single" w:sz="4" w:space="0" w:color="auto"/>
              <w:right w:val="single" w:sz="4" w:space="0" w:color="auto"/>
            </w:tcBorders>
            <w:vAlign w:val="center"/>
          </w:tcPr>
          <w:p w14:paraId="45507FA8" w14:textId="77777777" w:rsidR="00B201D3" w:rsidRPr="006D4FBA" w:rsidRDefault="009855E8">
            <w:pPr>
              <w:jc w:val="right"/>
              <w:rPr>
                <w:rFonts w:ascii="宋体" w:hAnsi="宋体"/>
              </w:rPr>
            </w:pPr>
            <w:r w:rsidRPr="006D4FBA">
              <w:rPr>
                <w:rFonts w:ascii="宋体" w:hAnsi="宋体"/>
              </w:rPr>
              <w:t>541.88</w:t>
            </w:r>
          </w:p>
        </w:tc>
        <w:tc>
          <w:tcPr>
            <w:tcW w:w="1201" w:type="dxa"/>
            <w:tcBorders>
              <w:top w:val="single" w:sz="4" w:space="0" w:color="auto"/>
              <w:left w:val="single" w:sz="4" w:space="0" w:color="auto"/>
              <w:bottom w:val="single" w:sz="4" w:space="0" w:color="auto"/>
              <w:right w:val="single" w:sz="4" w:space="0" w:color="auto"/>
            </w:tcBorders>
            <w:vAlign w:val="center"/>
          </w:tcPr>
          <w:p w14:paraId="3C3E2ED1" w14:textId="77777777" w:rsidR="00B201D3" w:rsidRPr="006D4FBA" w:rsidRDefault="009855E8">
            <w:pPr>
              <w:jc w:val="right"/>
              <w:rPr>
                <w:rFonts w:ascii="宋体" w:hAnsi="宋体"/>
              </w:rPr>
            </w:pPr>
            <w:r w:rsidRPr="006D4FBA">
              <w:rPr>
                <w:rFonts w:ascii="宋体" w:hAnsi="宋体"/>
              </w:rPr>
              <w:t xml:space="preserve">1,246 </w:t>
            </w:r>
          </w:p>
        </w:tc>
        <w:tc>
          <w:tcPr>
            <w:tcW w:w="958" w:type="dxa"/>
            <w:tcBorders>
              <w:top w:val="single" w:sz="4" w:space="0" w:color="auto"/>
              <w:left w:val="single" w:sz="4" w:space="0" w:color="auto"/>
              <w:bottom w:val="single" w:sz="4" w:space="0" w:color="auto"/>
              <w:right w:val="single" w:sz="4" w:space="0" w:color="auto"/>
            </w:tcBorders>
            <w:vAlign w:val="center"/>
          </w:tcPr>
          <w:p w14:paraId="3896D926" w14:textId="77777777" w:rsidR="00B201D3" w:rsidRPr="006D4FBA" w:rsidRDefault="009855E8">
            <w:pPr>
              <w:jc w:val="right"/>
              <w:rPr>
                <w:rFonts w:ascii="宋体" w:hAnsi="宋体"/>
              </w:rPr>
            </w:pPr>
            <w:r w:rsidRPr="006D4FBA">
              <w:rPr>
                <w:rFonts w:ascii="宋体" w:hAnsi="宋体" w:hint="eastAsia"/>
              </w:rPr>
              <w:t xml:space="preserve">1,156 </w:t>
            </w:r>
          </w:p>
        </w:tc>
        <w:tc>
          <w:tcPr>
            <w:tcW w:w="957" w:type="dxa"/>
            <w:tcBorders>
              <w:top w:val="single" w:sz="4" w:space="0" w:color="auto"/>
              <w:left w:val="single" w:sz="4" w:space="0" w:color="auto"/>
              <w:bottom w:val="single" w:sz="4" w:space="0" w:color="auto"/>
              <w:right w:val="single" w:sz="4" w:space="0" w:color="auto"/>
            </w:tcBorders>
            <w:vAlign w:val="center"/>
          </w:tcPr>
          <w:p w14:paraId="0E155CC0" w14:textId="77777777" w:rsidR="00B201D3" w:rsidRPr="006D4FBA" w:rsidRDefault="009855E8">
            <w:pPr>
              <w:jc w:val="right"/>
              <w:rPr>
                <w:rFonts w:ascii="宋体" w:hAnsi="宋体"/>
              </w:rPr>
            </w:pPr>
            <w:r w:rsidRPr="006D4FBA">
              <w:rPr>
                <w:rFonts w:ascii="宋体" w:hAnsi="宋体" w:hint="eastAsia"/>
              </w:rPr>
              <w:t xml:space="preserve">1,106 </w:t>
            </w:r>
          </w:p>
        </w:tc>
        <w:tc>
          <w:tcPr>
            <w:tcW w:w="1109" w:type="dxa"/>
            <w:tcBorders>
              <w:top w:val="single" w:sz="4" w:space="0" w:color="auto"/>
              <w:left w:val="single" w:sz="4" w:space="0" w:color="auto"/>
              <w:bottom w:val="single" w:sz="4" w:space="0" w:color="auto"/>
              <w:right w:val="single" w:sz="4" w:space="0" w:color="auto"/>
            </w:tcBorders>
            <w:vAlign w:val="center"/>
          </w:tcPr>
          <w:p w14:paraId="6493F256" w14:textId="77777777" w:rsidR="00B201D3" w:rsidRPr="006D4FBA" w:rsidRDefault="009855E8">
            <w:pPr>
              <w:jc w:val="right"/>
              <w:rPr>
                <w:rFonts w:ascii="宋体" w:hAnsi="宋体"/>
              </w:rPr>
            </w:pPr>
            <w:r w:rsidRPr="006D4FBA">
              <w:rPr>
                <w:rFonts w:ascii="宋体" w:hAnsi="宋体" w:hint="eastAsia"/>
              </w:rPr>
              <w:t xml:space="preserve">742.00 </w:t>
            </w:r>
          </w:p>
        </w:tc>
        <w:tc>
          <w:tcPr>
            <w:tcW w:w="1201" w:type="dxa"/>
            <w:tcBorders>
              <w:top w:val="single" w:sz="4" w:space="0" w:color="auto"/>
              <w:left w:val="single" w:sz="4" w:space="0" w:color="auto"/>
              <w:bottom w:val="single" w:sz="4" w:space="0" w:color="auto"/>
              <w:right w:val="single" w:sz="4" w:space="0" w:color="auto"/>
            </w:tcBorders>
            <w:vAlign w:val="center"/>
          </w:tcPr>
          <w:p w14:paraId="1AC4BD1D" w14:textId="77777777" w:rsidR="00B201D3" w:rsidRPr="006D4FBA" w:rsidRDefault="009855E8">
            <w:pPr>
              <w:jc w:val="right"/>
              <w:rPr>
                <w:rFonts w:ascii="宋体" w:hAnsi="宋体"/>
              </w:rPr>
            </w:pPr>
            <w:r w:rsidRPr="006D4FBA">
              <w:rPr>
                <w:rFonts w:ascii="宋体" w:hAnsi="宋体" w:hint="eastAsia"/>
              </w:rPr>
              <w:t xml:space="preserve">821 </w:t>
            </w:r>
          </w:p>
        </w:tc>
      </w:tr>
      <w:tr w:rsidR="00B201D3" w:rsidRPr="006D4FBA" w14:paraId="5B4C2C05" w14:textId="77777777">
        <w:trPr>
          <w:trHeight w:val="312"/>
          <w:jc w:val="center"/>
        </w:trPr>
        <w:tc>
          <w:tcPr>
            <w:tcW w:w="1873" w:type="dxa"/>
            <w:tcBorders>
              <w:top w:val="single" w:sz="4" w:space="0" w:color="auto"/>
              <w:left w:val="single" w:sz="4" w:space="0" w:color="auto"/>
              <w:bottom w:val="single" w:sz="4" w:space="0" w:color="auto"/>
              <w:right w:val="single" w:sz="4" w:space="0" w:color="auto"/>
            </w:tcBorders>
          </w:tcPr>
          <w:p w14:paraId="401ED938" w14:textId="77777777" w:rsidR="00B201D3" w:rsidRPr="006D4FBA" w:rsidRDefault="009855E8">
            <w:pPr>
              <w:rPr>
                <w:rFonts w:ascii="宋体" w:hAnsi="宋体"/>
              </w:rPr>
            </w:pPr>
            <w:r w:rsidRPr="006D4FBA">
              <w:rPr>
                <w:rFonts w:ascii="宋体" w:hAnsi="宋体" w:hint="eastAsia"/>
              </w:rPr>
              <w:t>七、内蒙古矿业</w:t>
            </w:r>
          </w:p>
        </w:tc>
        <w:tc>
          <w:tcPr>
            <w:tcW w:w="997" w:type="dxa"/>
            <w:tcBorders>
              <w:top w:val="single" w:sz="4" w:space="0" w:color="auto"/>
              <w:left w:val="single" w:sz="4" w:space="0" w:color="auto"/>
              <w:bottom w:val="single" w:sz="4" w:space="0" w:color="auto"/>
              <w:right w:val="single" w:sz="4" w:space="0" w:color="auto"/>
            </w:tcBorders>
            <w:vAlign w:val="center"/>
          </w:tcPr>
          <w:p w14:paraId="7A80029F" w14:textId="77777777" w:rsidR="00B201D3" w:rsidRPr="006D4FBA" w:rsidRDefault="009855E8">
            <w:pPr>
              <w:jc w:val="right"/>
              <w:rPr>
                <w:rFonts w:ascii="宋体" w:hAnsi="宋体"/>
              </w:rPr>
            </w:pPr>
            <w:r w:rsidRPr="006D4FBA">
              <w:rPr>
                <w:rFonts w:ascii="宋体" w:hAnsi="宋体"/>
              </w:rPr>
              <w:t xml:space="preserve">1,485 </w:t>
            </w:r>
          </w:p>
        </w:tc>
        <w:tc>
          <w:tcPr>
            <w:tcW w:w="958" w:type="dxa"/>
            <w:tcBorders>
              <w:top w:val="single" w:sz="4" w:space="0" w:color="auto"/>
              <w:left w:val="single" w:sz="4" w:space="0" w:color="auto"/>
              <w:bottom w:val="single" w:sz="4" w:space="0" w:color="auto"/>
              <w:right w:val="single" w:sz="4" w:space="0" w:color="auto"/>
            </w:tcBorders>
            <w:vAlign w:val="center"/>
          </w:tcPr>
          <w:p w14:paraId="1BF18054" w14:textId="77777777" w:rsidR="00B201D3" w:rsidRPr="006D4FBA" w:rsidRDefault="009855E8">
            <w:pPr>
              <w:jc w:val="right"/>
              <w:rPr>
                <w:rFonts w:ascii="宋体" w:hAnsi="宋体"/>
              </w:rPr>
            </w:pPr>
            <w:r w:rsidRPr="006D4FBA">
              <w:rPr>
                <w:rFonts w:ascii="宋体" w:hAnsi="宋体"/>
              </w:rPr>
              <w:t xml:space="preserve">1,545 </w:t>
            </w:r>
          </w:p>
        </w:tc>
        <w:tc>
          <w:tcPr>
            <w:tcW w:w="1109" w:type="dxa"/>
            <w:tcBorders>
              <w:top w:val="single" w:sz="4" w:space="0" w:color="auto"/>
              <w:left w:val="single" w:sz="4" w:space="0" w:color="auto"/>
              <w:bottom w:val="single" w:sz="4" w:space="0" w:color="auto"/>
              <w:right w:val="single" w:sz="4" w:space="0" w:color="auto"/>
            </w:tcBorders>
            <w:vAlign w:val="center"/>
          </w:tcPr>
          <w:p w14:paraId="1AD4E604" w14:textId="77777777" w:rsidR="00B201D3" w:rsidRPr="006D4FBA" w:rsidRDefault="009855E8">
            <w:pPr>
              <w:jc w:val="right"/>
              <w:rPr>
                <w:rFonts w:ascii="宋体" w:hAnsi="宋体"/>
              </w:rPr>
            </w:pPr>
            <w:r w:rsidRPr="006D4FBA">
              <w:rPr>
                <w:rFonts w:ascii="宋体" w:hAnsi="宋体"/>
              </w:rPr>
              <w:t>500.39</w:t>
            </w:r>
          </w:p>
        </w:tc>
        <w:tc>
          <w:tcPr>
            <w:tcW w:w="1201" w:type="dxa"/>
            <w:tcBorders>
              <w:top w:val="single" w:sz="4" w:space="0" w:color="auto"/>
              <w:left w:val="single" w:sz="4" w:space="0" w:color="auto"/>
              <w:bottom w:val="single" w:sz="4" w:space="0" w:color="auto"/>
              <w:right w:val="single" w:sz="4" w:space="0" w:color="auto"/>
            </w:tcBorders>
            <w:vAlign w:val="center"/>
          </w:tcPr>
          <w:p w14:paraId="7488F693" w14:textId="77777777" w:rsidR="00B201D3" w:rsidRPr="006D4FBA" w:rsidRDefault="009855E8">
            <w:pPr>
              <w:jc w:val="right"/>
              <w:rPr>
                <w:rFonts w:ascii="宋体" w:hAnsi="宋体"/>
              </w:rPr>
            </w:pPr>
            <w:r w:rsidRPr="006D4FBA">
              <w:rPr>
                <w:rFonts w:ascii="宋体" w:hAnsi="宋体"/>
              </w:rPr>
              <w:t xml:space="preserve">773 </w:t>
            </w:r>
          </w:p>
        </w:tc>
        <w:tc>
          <w:tcPr>
            <w:tcW w:w="958" w:type="dxa"/>
            <w:tcBorders>
              <w:top w:val="single" w:sz="4" w:space="0" w:color="auto"/>
              <w:left w:val="single" w:sz="4" w:space="0" w:color="auto"/>
              <w:bottom w:val="single" w:sz="4" w:space="0" w:color="auto"/>
              <w:right w:val="single" w:sz="4" w:space="0" w:color="auto"/>
            </w:tcBorders>
            <w:vAlign w:val="center"/>
          </w:tcPr>
          <w:p w14:paraId="45685E69" w14:textId="77777777" w:rsidR="00B201D3" w:rsidRPr="006D4FBA" w:rsidRDefault="009855E8">
            <w:pPr>
              <w:jc w:val="right"/>
              <w:rPr>
                <w:rFonts w:ascii="宋体" w:hAnsi="宋体"/>
                <w:lang w:val="en-GB"/>
              </w:rPr>
            </w:pPr>
            <w:r w:rsidRPr="006D4FBA">
              <w:rPr>
                <w:rFonts w:ascii="宋体" w:hAnsi="宋体" w:hint="eastAsia"/>
              </w:rPr>
              <w:t xml:space="preserve">2,005 </w:t>
            </w:r>
          </w:p>
        </w:tc>
        <w:tc>
          <w:tcPr>
            <w:tcW w:w="957" w:type="dxa"/>
            <w:tcBorders>
              <w:top w:val="single" w:sz="4" w:space="0" w:color="auto"/>
              <w:left w:val="single" w:sz="4" w:space="0" w:color="auto"/>
              <w:bottom w:val="single" w:sz="4" w:space="0" w:color="auto"/>
              <w:right w:val="single" w:sz="4" w:space="0" w:color="auto"/>
            </w:tcBorders>
            <w:vAlign w:val="center"/>
          </w:tcPr>
          <w:p w14:paraId="4FFAC978" w14:textId="77777777" w:rsidR="00B201D3" w:rsidRPr="006D4FBA" w:rsidRDefault="009855E8">
            <w:pPr>
              <w:jc w:val="right"/>
              <w:rPr>
                <w:rFonts w:ascii="宋体" w:hAnsi="宋体"/>
                <w:lang w:val="en-GB"/>
              </w:rPr>
            </w:pPr>
            <w:r w:rsidRPr="006D4FBA">
              <w:rPr>
                <w:rFonts w:ascii="宋体" w:hAnsi="宋体" w:hint="eastAsia"/>
              </w:rPr>
              <w:t xml:space="preserve">1,772 </w:t>
            </w:r>
          </w:p>
        </w:tc>
        <w:tc>
          <w:tcPr>
            <w:tcW w:w="1109" w:type="dxa"/>
            <w:tcBorders>
              <w:top w:val="single" w:sz="4" w:space="0" w:color="auto"/>
              <w:left w:val="single" w:sz="4" w:space="0" w:color="auto"/>
              <w:bottom w:val="single" w:sz="4" w:space="0" w:color="auto"/>
              <w:right w:val="single" w:sz="4" w:space="0" w:color="auto"/>
            </w:tcBorders>
            <w:vAlign w:val="center"/>
          </w:tcPr>
          <w:p w14:paraId="630FECF0" w14:textId="77777777" w:rsidR="00B201D3" w:rsidRPr="006D4FBA" w:rsidRDefault="009855E8">
            <w:pPr>
              <w:jc w:val="right"/>
              <w:rPr>
                <w:rFonts w:ascii="宋体" w:hAnsi="宋体"/>
                <w:lang w:val="en-GB"/>
              </w:rPr>
            </w:pPr>
            <w:r w:rsidRPr="006D4FBA">
              <w:rPr>
                <w:rFonts w:ascii="宋体" w:hAnsi="宋体" w:hint="eastAsia"/>
              </w:rPr>
              <w:t xml:space="preserve">636.46 </w:t>
            </w:r>
          </w:p>
        </w:tc>
        <w:tc>
          <w:tcPr>
            <w:tcW w:w="1201" w:type="dxa"/>
            <w:tcBorders>
              <w:top w:val="single" w:sz="4" w:space="0" w:color="auto"/>
              <w:left w:val="single" w:sz="4" w:space="0" w:color="auto"/>
              <w:bottom w:val="single" w:sz="4" w:space="0" w:color="auto"/>
              <w:right w:val="single" w:sz="4" w:space="0" w:color="auto"/>
            </w:tcBorders>
            <w:vAlign w:val="center"/>
          </w:tcPr>
          <w:p w14:paraId="7501A60D" w14:textId="77777777" w:rsidR="00B201D3" w:rsidRPr="006D4FBA" w:rsidRDefault="009855E8">
            <w:pPr>
              <w:jc w:val="right"/>
              <w:rPr>
                <w:rFonts w:ascii="宋体" w:hAnsi="宋体"/>
                <w:lang w:val="en-GB"/>
              </w:rPr>
            </w:pPr>
            <w:r w:rsidRPr="006D4FBA">
              <w:rPr>
                <w:rFonts w:ascii="宋体" w:hAnsi="宋体" w:hint="eastAsia"/>
              </w:rPr>
              <w:t xml:space="preserve">1,128 </w:t>
            </w:r>
          </w:p>
        </w:tc>
      </w:tr>
      <w:tr w:rsidR="00B201D3" w:rsidRPr="006D4FBA" w14:paraId="5D962C17" w14:textId="77777777">
        <w:trPr>
          <w:trHeight w:val="312"/>
          <w:jc w:val="center"/>
        </w:trPr>
        <w:tc>
          <w:tcPr>
            <w:tcW w:w="1873" w:type="dxa"/>
            <w:tcBorders>
              <w:top w:val="single" w:sz="4" w:space="0" w:color="auto"/>
              <w:left w:val="single" w:sz="4" w:space="0" w:color="auto"/>
              <w:bottom w:val="single" w:sz="4" w:space="0" w:color="auto"/>
              <w:right w:val="single" w:sz="4" w:space="0" w:color="auto"/>
            </w:tcBorders>
          </w:tcPr>
          <w:p w14:paraId="144199DB" w14:textId="77777777" w:rsidR="00B201D3" w:rsidRPr="006D4FBA" w:rsidRDefault="009855E8">
            <w:pPr>
              <w:ind w:firstLineChars="207" w:firstLine="435"/>
              <w:jc w:val="both"/>
              <w:rPr>
                <w:rFonts w:ascii="宋体" w:hAnsi="宋体"/>
              </w:rPr>
            </w:pPr>
            <w:r w:rsidRPr="006D4FBA">
              <w:rPr>
                <w:rFonts w:ascii="宋体" w:hAnsi="宋体" w:hint="eastAsia"/>
              </w:rPr>
              <w:t>经筛选原煤</w:t>
            </w:r>
          </w:p>
        </w:tc>
        <w:tc>
          <w:tcPr>
            <w:tcW w:w="997" w:type="dxa"/>
            <w:tcBorders>
              <w:top w:val="single" w:sz="4" w:space="0" w:color="auto"/>
              <w:left w:val="single" w:sz="4" w:space="0" w:color="auto"/>
              <w:bottom w:val="single" w:sz="4" w:space="0" w:color="auto"/>
              <w:right w:val="single" w:sz="4" w:space="0" w:color="auto"/>
            </w:tcBorders>
            <w:vAlign w:val="center"/>
          </w:tcPr>
          <w:p w14:paraId="33B81876" w14:textId="77777777" w:rsidR="00B201D3" w:rsidRPr="006D4FBA" w:rsidRDefault="009855E8">
            <w:pPr>
              <w:jc w:val="right"/>
              <w:rPr>
                <w:rFonts w:ascii="宋体" w:hAnsi="宋体"/>
              </w:rPr>
            </w:pPr>
            <w:r w:rsidRPr="006D4FBA">
              <w:rPr>
                <w:rFonts w:ascii="宋体" w:hAnsi="宋体"/>
              </w:rPr>
              <w:t xml:space="preserve">1,485 </w:t>
            </w:r>
          </w:p>
        </w:tc>
        <w:tc>
          <w:tcPr>
            <w:tcW w:w="958" w:type="dxa"/>
            <w:tcBorders>
              <w:top w:val="single" w:sz="4" w:space="0" w:color="auto"/>
              <w:left w:val="single" w:sz="4" w:space="0" w:color="auto"/>
              <w:bottom w:val="single" w:sz="4" w:space="0" w:color="auto"/>
              <w:right w:val="single" w:sz="4" w:space="0" w:color="auto"/>
            </w:tcBorders>
            <w:vAlign w:val="center"/>
          </w:tcPr>
          <w:p w14:paraId="388F3FA8" w14:textId="77777777" w:rsidR="00B201D3" w:rsidRPr="006D4FBA" w:rsidRDefault="009855E8">
            <w:pPr>
              <w:jc w:val="right"/>
              <w:rPr>
                <w:rFonts w:ascii="宋体" w:hAnsi="宋体"/>
              </w:rPr>
            </w:pPr>
            <w:r w:rsidRPr="006D4FBA">
              <w:rPr>
                <w:rFonts w:ascii="宋体" w:hAnsi="宋体"/>
              </w:rPr>
              <w:t xml:space="preserve">1,545 </w:t>
            </w:r>
          </w:p>
        </w:tc>
        <w:tc>
          <w:tcPr>
            <w:tcW w:w="1109" w:type="dxa"/>
            <w:tcBorders>
              <w:top w:val="single" w:sz="4" w:space="0" w:color="auto"/>
              <w:left w:val="single" w:sz="4" w:space="0" w:color="auto"/>
              <w:bottom w:val="single" w:sz="4" w:space="0" w:color="auto"/>
              <w:right w:val="single" w:sz="4" w:space="0" w:color="auto"/>
            </w:tcBorders>
            <w:vAlign w:val="center"/>
          </w:tcPr>
          <w:p w14:paraId="6A89F33C" w14:textId="77777777" w:rsidR="00B201D3" w:rsidRPr="006D4FBA" w:rsidRDefault="009855E8">
            <w:pPr>
              <w:jc w:val="right"/>
              <w:rPr>
                <w:rFonts w:ascii="宋体" w:hAnsi="宋体"/>
              </w:rPr>
            </w:pPr>
            <w:r w:rsidRPr="006D4FBA">
              <w:rPr>
                <w:rFonts w:ascii="宋体" w:hAnsi="宋体"/>
              </w:rPr>
              <w:t>500.39</w:t>
            </w:r>
          </w:p>
        </w:tc>
        <w:tc>
          <w:tcPr>
            <w:tcW w:w="1201" w:type="dxa"/>
            <w:tcBorders>
              <w:top w:val="single" w:sz="4" w:space="0" w:color="auto"/>
              <w:left w:val="single" w:sz="4" w:space="0" w:color="auto"/>
              <w:bottom w:val="single" w:sz="4" w:space="0" w:color="auto"/>
              <w:right w:val="single" w:sz="4" w:space="0" w:color="auto"/>
            </w:tcBorders>
            <w:vAlign w:val="center"/>
          </w:tcPr>
          <w:p w14:paraId="49453185" w14:textId="77777777" w:rsidR="00B201D3" w:rsidRPr="006D4FBA" w:rsidRDefault="009855E8">
            <w:pPr>
              <w:jc w:val="right"/>
              <w:rPr>
                <w:rFonts w:ascii="宋体" w:hAnsi="宋体"/>
              </w:rPr>
            </w:pPr>
            <w:r w:rsidRPr="006D4FBA">
              <w:rPr>
                <w:rFonts w:ascii="宋体" w:hAnsi="宋体"/>
              </w:rPr>
              <w:t xml:space="preserve">773 </w:t>
            </w:r>
          </w:p>
        </w:tc>
        <w:tc>
          <w:tcPr>
            <w:tcW w:w="958" w:type="dxa"/>
            <w:tcBorders>
              <w:top w:val="single" w:sz="4" w:space="0" w:color="auto"/>
              <w:left w:val="single" w:sz="4" w:space="0" w:color="auto"/>
              <w:bottom w:val="single" w:sz="4" w:space="0" w:color="auto"/>
              <w:right w:val="single" w:sz="4" w:space="0" w:color="auto"/>
            </w:tcBorders>
            <w:vAlign w:val="center"/>
          </w:tcPr>
          <w:p w14:paraId="7E89844B" w14:textId="77777777" w:rsidR="00B201D3" w:rsidRPr="006D4FBA" w:rsidRDefault="009855E8">
            <w:pPr>
              <w:jc w:val="right"/>
              <w:rPr>
                <w:rFonts w:ascii="宋体" w:hAnsi="宋体"/>
                <w:lang w:val="en-GB"/>
              </w:rPr>
            </w:pPr>
            <w:r w:rsidRPr="006D4FBA">
              <w:rPr>
                <w:rFonts w:ascii="宋体" w:hAnsi="宋体" w:hint="eastAsia"/>
              </w:rPr>
              <w:t xml:space="preserve">2,005 </w:t>
            </w:r>
          </w:p>
        </w:tc>
        <w:tc>
          <w:tcPr>
            <w:tcW w:w="957" w:type="dxa"/>
            <w:tcBorders>
              <w:top w:val="single" w:sz="4" w:space="0" w:color="auto"/>
              <w:left w:val="single" w:sz="4" w:space="0" w:color="auto"/>
              <w:bottom w:val="single" w:sz="4" w:space="0" w:color="auto"/>
              <w:right w:val="single" w:sz="4" w:space="0" w:color="auto"/>
            </w:tcBorders>
            <w:vAlign w:val="center"/>
          </w:tcPr>
          <w:p w14:paraId="7CA52E4C" w14:textId="77777777" w:rsidR="00B201D3" w:rsidRPr="006D4FBA" w:rsidRDefault="009855E8">
            <w:pPr>
              <w:jc w:val="right"/>
              <w:rPr>
                <w:rFonts w:ascii="宋体" w:hAnsi="宋体"/>
                <w:lang w:val="en-GB"/>
              </w:rPr>
            </w:pPr>
            <w:r w:rsidRPr="006D4FBA">
              <w:rPr>
                <w:rFonts w:ascii="宋体" w:hAnsi="宋体" w:hint="eastAsia"/>
              </w:rPr>
              <w:t xml:space="preserve">1,772 </w:t>
            </w:r>
          </w:p>
        </w:tc>
        <w:tc>
          <w:tcPr>
            <w:tcW w:w="1109" w:type="dxa"/>
            <w:tcBorders>
              <w:top w:val="single" w:sz="4" w:space="0" w:color="auto"/>
              <w:left w:val="single" w:sz="4" w:space="0" w:color="auto"/>
              <w:bottom w:val="single" w:sz="4" w:space="0" w:color="auto"/>
              <w:right w:val="single" w:sz="4" w:space="0" w:color="auto"/>
            </w:tcBorders>
            <w:vAlign w:val="center"/>
          </w:tcPr>
          <w:p w14:paraId="67EE1FF4" w14:textId="77777777" w:rsidR="00B201D3" w:rsidRPr="006D4FBA" w:rsidRDefault="009855E8">
            <w:pPr>
              <w:jc w:val="right"/>
              <w:rPr>
                <w:rFonts w:ascii="宋体" w:hAnsi="宋体"/>
                <w:lang w:val="en-GB"/>
              </w:rPr>
            </w:pPr>
            <w:r w:rsidRPr="006D4FBA">
              <w:rPr>
                <w:rFonts w:ascii="宋体" w:hAnsi="宋体" w:hint="eastAsia"/>
              </w:rPr>
              <w:t xml:space="preserve">636.46 </w:t>
            </w:r>
          </w:p>
        </w:tc>
        <w:tc>
          <w:tcPr>
            <w:tcW w:w="1201" w:type="dxa"/>
            <w:tcBorders>
              <w:top w:val="single" w:sz="4" w:space="0" w:color="auto"/>
              <w:left w:val="single" w:sz="4" w:space="0" w:color="auto"/>
              <w:bottom w:val="single" w:sz="4" w:space="0" w:color="auto"/>
              <w:right w:val="single" w:sz="4" w:space="0" w:color="auto"/>
            </w:tcBorders>
            <w:vAlign w:val="center"/>
          </w:tcPr>
          <w:p w14:paraId="354CC7B5" w14:textId="77777777" w:rsidR="00B201D3" w:rsidRPr="006D4FBA" w:rsidRDefault="009855E8">
            <w:pPr>
              <w:jc w:val="right"/>
              <w:rPr>
                <w:rFonts w:ascii="宋体" w:hAnsi="宋体"/>
                <w:lang w:val="en-GB"/>
              </w:rPr>
            </w:pPr>
            <w:r w:rsidRPr="006D4FBA">
              <w:rPr>
                <w:rFonts w:ascii="宋体" w:hAnsi="宋体" w:hint="eastAsia"/>
              </w:rPr>
              <w:t xml:space="preserve">1,128 </w:t>
            </w:r>
          </w:p>
        </w:tc>
      </w:tr>
      <w:tr w:rsidR="00B201D3" w:rsidRPr="006D4FBA" w14:paraId="24ED4A9B" w14:textId="77777777">
        <w:trPr>
          <w:trHeight w:val="312"/>
          <w:jc w:val="center"/>
        </w:trPr>
        <w:tc>
          <w:tcPr>
            <w:tcW w:w="1873" w:type="dxa"/>
            <w:tcBorders>
              <w:top w:val="single" w:sz="4" w:space="0" w:color="auto"/>
              <w:left w:val="single" w:sz="4" w:space="0" w:color="auto"/>
              <w:bottom w:val="single" w:sz="4" w:space="0" w:color="auto"/>
              <w:right w:val="single" w:sz="4" w:space="0" w:color="auto"/>
            </w:tcBorders>
          </w:tcPr>
          <w:p w14:paraId="6526572E" w14:textId="77777777" w:rsidR="00B201D3" w:rsidRPr="006D4FBA" w:rsidRDefault="009855E8">
            <w:pPr>
              <w:rPr>
                <w:rFonts w:ascii="宋体" w:hAnsi="宋体"/>
              </w:rPr>
            </w:pPr>
            <w:r w:rsidRPr="006D4FBA">
              <w:rPr>
                <w:rFonts w:ascii="宋体" w:hAnsi="宋体" w:hint="eastAsia"/>
              </w:rPr>
              <w:t>八、兖煤澳洲</w:t>
            </w:r>
          </w:p>
        </w:tc>
        <w:tc>
          <w:tcPr>
            <w:tcW w:w="997" w:type="dxa"/>
            <w:tcBorders>
              <w:top w:val="single" w:sz="4" w:space="0" w:color="auto"/>
              <w:left w:val="single" w:sz="4" w:space="0" w:color="auto"/>
              <w:bottom w:val="single" w:sz="4" w:space="0" w:color="auto"/>
              <w:right w:val="single" w:sz="4" w:space="0" w:color="auto"/>
            </w:tcBorders>
            <w:vAlign w:val="center"/>
          </w:tcPr>
          <w:p w14:paraId="0AEB5DF9" w14:textId="77777777" w:rsidR="00B201D3" w:rsidRPr="006D4FBA" w:rsidRDefault="009855E8">
            <w:pPr>
              <w:jc w:val="right"/>
              <w:rPr>
                <w:rFonts w:ascii="宋体" w:hAnsi="宋体"/>
              </w:rPr>
            </w:pPr>
            <w:r w:rsidRPr="006D4FBA">
              <w:rPr>
                <w:rFonts w:ascii="宋体" w:hAnsi="宋体"/>
              </w:rPr>
              <w:t xml:space="preserve">14,383 </w:t>
            </w:r>
          </w:p>
        </w:tc>
        <w:tc>
          <w:tcPr>
            <w:tcW w:w="958" w:type="dxa"/>
            <w:tcBorders>
              <w:top w:val="single" w:sz="4" w:space="0" w:color="auto"/>
              <w:left w:val="single" w:sz="4" w:space="0" w:color="auto"/>
              <w:bottom w:val="single" w:sz="4" w:space="0" w:color="auto"/>
              <w:right w:val="single" w:sz="4" w:space="0" w:color="auto"/>
            </w:tcBorders>
            <w:vAlign w:val="center"/>
          </w:tcPr>
          <w:p w14:paraId="0280E045" w14:textId="77777777" w:rsidR="00B201D3" w:rsidRPr="006D4FBA" w:rsidRDefault="009855E8">
            <w:pPr>
              <w:jc w:val="right"/>
              <w:rPr>
                <w:rFonts w:ascii="宋体" w:hAnsi="宋体"/>
              </w:rPr>
            </w:pPr>
            <w:r w:rsidRPr="006D4FBA">
              <w:rPr>
                <w:rFonts w:ascii="宋体" w:hAnsi="宋体"/>
              </w:rPr>
              <w:t xml:space="preserve">14,375 </w:t>
            </w:r>
          </w:p>
        </w:tc>
        <w:tc>
          <w:tcPr>
            <w:tcW w:w="1109" w:type="dxa"/>
            <w:tcBorders>
              <w:top w:val="single" w:sz="4" w:space="0" w:color="auto"/>
              <w:left w:val="single" w:sz="4" w:space="0" w:color="auto"/>
              <w:bottom w:val="single" w:sz="4" w:space="0" w:color="auto"/>
              <w:right w:val="single" w:sz="4" w:space="0" w:color="auto"/>
            </w:tcBorders>
            <w:vAlign w:val="center"/>
          </w:tcPr>
          <w:p w14:paraId="25285D22" w14:textId="77777777" w:rsidR="00B201D3" w:rsidRPr="006D4FBA" w:rsidRDefault="009855E8">
            <w:pPr>
              <w:jc w:val="right"/>
              <w:rPr>
                <w:rFonts w:ascii="宋体" w:hAnsi="宋体"/>
              </w:rPr>
            </w:pPr>
            <w:r w:rsidRPr="006D4FBA">
              <w:rPr>
                <w:rFonts w:ascii="宋体" w:hAnsi="宋体"/>
              </w:rPr>
              <w:t>1,242.16</w:t>
            </w:r>
          </w:p>
        </w:tc>
        <w:tc>
          <w:tcPr>
            <w:tcW w:w="1201" w:type="dxa"/>
            <w:tcBorders>
              <w:top w:val="single" w:sz="4" w:space="0" w:color="auto"/>
              <w:left w:val="single" w:sz="4" w:space="0" w:color="auto"/>
              <w:bottom w:val="single" w:sz="4" w:space="0" w:color="auto"/>
              <w:right w:val="single" w:sz="4" w:space="0" w:color="auto"/>
            </w:tcBorders>
            <w:vAlign w:val="center"/>
          </w:tcPr>
          <w:p w14:paraId="18899F53" w14:textId="77777777" w:rsidR="00B201D3" w:rsidRPr="006D4FBA" w:rsidRDefault="009855E8">
            <w:pPr>
              <w:jc w:val="right"/>
              <w:rPr>
                <w:rFonts w:ascii="宋体" w:hAnsi="宋体"/>
              </w:rPr>
            </w:pPr>
            <w:r w:rsidRPr="006D4FBA">
              <w:rPr>
                <w:rFonts w:ascii="宋体" w:hAnsi="宋体"/>
              </w:rPr>
              <w:t xml:space="preserve">17,855 </w:t>
            </w:r>
          </w:p>
        </w:tc>
        <w:tc>
          <w:tcPr>
            <w:tcW w:w="958" w:type="dxa"/>
            <w:tcBorders>
              <w:top w:val="single" w:sz="4" w:space="0" w:color="auto"/>
              <w:left w:val="single" w:sz="4" w:space="0" w:color="auto"/>
              <w:bottom w:val="single" w:sz="4" w:space="0" w:color="auto"/>
              <w:right w:val="single" w:sz="4" w:space="0" w:color="auto"/>
            </w:tcBorders>
            <w:vAlign w:val="center"/>
          </w:tcPr>
          <w:p w14:paraId="72B1DF95" w14:textId="77777777" w:rsidR="00B201D3" w:rsidRPr="006D4FBA" w:rsidRDefault="009855E8">
            <w:pPr>
              <w:jc w:val="right"/>
              <w:rPr>
                <w:rFonts w:ascii="宋体" w:hAnsi="宋体"/>
              </w:rPr>
            </w:pPr>
            <w:r w:rsidRPr="006D4FBA">
              <w:rPr>
                <w:rFonts w:ascii="宋体" w:hAnsi="宋体" w:hint="eastAsia"/>
              </w:rPr>
              <w:t xml:space="preserve">15,549 </w:t>
            </w:r>
          </w:p>
        </w:tc>
        <w:tc>
          <w:tcPr>
            <w:tcW w:w="957" w:type="dxa"/>
            <w:tcBorders>
              <w:top w:val="single" w:sz="4" w:space="0" w:color="auto"/>
              <w:left w:val="single" w:sz="4" w:space="0" w:color="auto"/>
              <w:bottom w:val="single" w:sz="4" w:space="0" w:color="auto"/>
              <w:right w:val="single" w:sz="4" w:space="0" w:color="auto"/>
            </w:tcBorders>
            <w:vAlign w:val="center"/>
          </w:tcPr>
          <w:p w14:paraId="2CDB4C51" w14:textId="77777777" w:rsidR="00B201D3" w:rsidRPr="006D4FBA" w:rsidRDefault="009855E8">
            <w:pPr>
              <w:jc w:val="right"/>
              <w:rPr>
                <w:rFonts w:ascii="宋体" w:hAnsi="宋体"/>
              </w:rPr>
            </w:pPr>
            <w:r w:rsidRPr="006D4FBA">
              <w:rPr>
                <w:rFonts w:ascii="宋体" w:hAnsi="宋体" w:hint="eastAsia"/>
              </w:rPr>
              <w:t xml:space="preserve">15,653 </w:t>
            </w:r>
          </w:p>
        </w:tc>
        <w:tc>
          <w:tcPr>
            <w:tcW w:w="1109" w:type="dxa"/>
            <w:tcBorders>
              <w:top w:val="single" w:sz="4" w:space="0" w:color="auto"/>
              <w:left w:val="single" w:sz="4" w:space="0" w:color="auto"/>
              <w:bottom w:val="single" w:sz="4" w:space="0" w:color="auto"/>
              <w:right w:val="single" w:sz="4" w:space="0" w:color="auto"/>
            </w:tcBorders>
            <w:vAlign w:val="center"/>
          </w:tcPr>
          <w:p w14:paraId="740B9C8F" w14:textId="77777777" w:rsidR="00B201D3" w:rsidRPr="006D4FBA" w:rsidRDefault="009855E8">
            <w:pPr>
              <w:jc w:val="right"/>
              <w:rPr>
                <w:rFonts w:ascii="宋体" w:hAnsi="宋体"/>
              </w:rPr>
            </w:pPr>
            <w:r w:rsidRPr="006D4FBA">
              <w:rPr>
                <w:rFonts w:ascii="宋体" w:hAnsi="宋体" w:hint="eastAsia"/>
              </w:rPr>
              <w:t xml:space="preserve">1,394.30 </w:t>
            </w:r>
          </w:p>
        </w:tc>
        <w:tc>
          <w:tcPr>
            <w:tcW w:w="1201" w:type="dxa"/>
            <w:tcBorders>
              <w:top w:val="single" w:sz="4" w:space="0" w:color="auto"/>
              <w:left w:val="single" w:sz="4" w:space="0" w:color="auto"/>
              <w:bottom w:val="single" w:sz="4" w:space="0" w:color="auto"/>
              <w:right w:val="single" w:sz="4" w:space="0" w:color="auto"/>
            </w:tcBorders>
            <w:vAlign w:val="center"/>
          </w:tcPr>
          <w:p w14:paraId="7C8211AE" w14:textId="77777777" w:rsidR="00B201D3" w:rsidRPr="006D4FBA" w:rsidRDefault="009855E8">
            <w:pPr>
              <w:jc w:val="right"/>
              <w:rPr>
                <w:rFonts w:ascii="宋体" w:hAnsi="宋体"/>
              </w:rPr>
            </w:pPr>
            <w:r w:rsidRPr="006D4FBA">
              <w:rPr>
                <w:rFonts w:ascii="宋体" w:hAnsi="宋体" w:hint="eastAsia"/>
              </w:rPr>
              <w:t xml:space="preserve">21,825 </w:t>
            </w:r>
          </w:p>
        </w:tc>
      </w:tr>
      <w:tr w:rsidR="00B201D3" w:rsidRPr="006D4FBA" w14:paraId="3C179132" w14:textId="77777777">
        <w:trPr>
          <w:trHeight w:val="312"/>
          <w:jc w:val="center"/>
        </w:trPr>
        <w:tc>
          <w:tcPr>
            <w:tcW w:w="1873" w:type="dxa"/>
            <w:tcBorders>
              <w:top w:val="single" w:sz="4" w:space="0" w:color="auto"/>
              <w:left w:val="single" w:sz="4" w:space="0" w:color="auto"/>
              <w:bottom w:val="single" w:sz="4" w:space="0" w:color="auto"/>
              <w:right w:val="single" w:sz="4" w:space="0" w:color="auto"/>
            </w:tcBorders>
          </w:tcPr>
          <w:p w14:paraId="3E53E2AB" w14:textId="77777777" w:rsidR="00B201D3" w:rsidRPr="006D4FBA" w:rsidRDefault="009855E8">
            <w:pPr>
              <w:ind w:firstLineChars="207" w:firstLine="435"/>
              <w:jc w:val="both"/>
              <w:rPr>
                <w:rFonts w:ascii="宋体" w:hAnsi="宋体"/>
              </w:rPr>
            </w:pPr>
            <w:r w:rsidRPr="006D4FBA">
              <w:rPr>
                <w:rFonts w:ascii="宋体" w:hAnsi="宋体" w:hint="eastAsia"/>
              </w:rPr>
              <w:t>半硬焦煤</w:t>
            </w:r>
          </w:p>
        </w:tc>
        <w:tc>
          <w:tcPr>
            <w:tcW w:w="997" w:type="dxa"/>
            <w:tcBorders>
              <w:top w:val="single" w:sz="4" w:space="0" w:color="auto"/>
              <w:left w:val="single" w:sz="4" w:space="0" w:color="auto"/>
              <w:bottom w:val="single" w:sz="4" w:space="0" w:color="auto"/>
              <w:right w:val="single" w:sz="4" w:space="0" w:color="auto"/>
            </w:tcBorders>
            <w:vAlign w:val="center"/>
          </w:tcPr>
          <w:p w14:paraId="332B831A" w14:textId="77777777" w:rsidR="00B201D3" w:rsidRPr="006D4FBA" w:rsidRDefault="009855E8">
            <w:pPr>
              <w:jc w:val="right"/>
              <w:rPr>
                <w:rFonts w:ascii="宋体" w:hAnsi="宋体"/>
              </w:rPr>
            </w:pPr>
            <w:r w:rsidRPr="006D4FBA">
              <w:rPr>
                <w:rFonts w:ascii="宋体" w:hAnsi="宋体"/>
              </w:rPr>
              <w:t xml:space="preserve">60 </w:t>
            </w:r>
          </w:p>
        </w:tc>
        <w:tc>
          <w:tcPr>
            <w:tcW w:w="958" w:type="dxa"/>
            <w:tcBorders>
              <w:top w:val="single" w:sz="4" w:space="0" w:color="auto"/>
              <w:left w:val="single" w:sz="4" w:space="0" w:color="auto"/>
              <w:bottom w:val="single" w:sz="4" w:space="0" w:color="auto"/>
              <w:right w:val="single" w:sz="4" w:space="0" w:color="auto"/>
            </w:tcBorders>
            <w:vAlign w:val="center"/>
          </w:tcPr>
          <w:p w14:paraId="27515324" w14:textId="77777777" w:rsidR="00B201D3" w:rsidRPr="006D4FBA" w:rsidRDefault="009855E8">
            <w:pPr>
              <w:jc w:val="right"/>
              <w:rPr>
                <w:rFonts w:ascii="宋体" w:hAnsi="宋体"/>
              </w:rPr>
            </w:pPr>
            <w:r w:rsidRPr="006D4FBA">
              <w:rPr>
                <w:rFonts w:ascii="宋体" w:hAnsi="宋体"/>
              </w:rPr>
              <w:t xml:space="preserve">60 </w:t>
            </w:r>
          </w:p>
        </w:tc>
        <w:tc>
          <w:tcPr>
            <w:tcW w:w="1109" w:type="dxa"/>
            <w:tcBorders>
              <w:top w:val="single" w:sz="4" w:space="0" w:color="auto"/>
              <w:left w:val="single" w:sz="4" w:space="0" w:color="auto"/>
              <w:bottom w:val="single" w:sz="4" w:space="0" w:color="auto"/>
              <w:right w:val="single" w:sz="4" w:space="0" w:color="auto"/>
            </w:tcBorders>
            <w:vAlign w:val="center"/>
          </w:tcPr>
          <w:p w14:paraId="75EF459F" w14:textId="77777777" w:rsidR="00B201D3" w:rsidRPr="006D4FBA" w:rsidRDefault="009855E8">
            <w:pPr>
              <w:jc w:val="right"/>
              <w:rPr>
                <w:rFonts w:ascii="宋体" w:hAnsi="宋体"/>
              </w:rPr>
            </w:pPr>
            <w:r w:rsidRPr="006D4FBA">
              <w:rPr>
                <w:rFonts w:ascii="宋体" w:hAnsi="宋体"/>
              </w:rPr>
              <w:t>1,741.79</w:t>
            </w:r>
          </w:p>
        </w:tc>
        <w:tc>
          <w:tcPr>
            <w:tcW w:w="1201" w:type="dxa"/>
            <w:tcBorders>
              <w:top w:val="single" w:sz="4" w:space="0" w:color="auto"/>
              <w:left w:val="single" w:sz="4" w:space="0" w:color="auto"/>
              <w:bottom w:val="single" w:sz="4" w:space="0" w:color="auto"/>
              <w:right w:val="single" w:sz="4" w:space="0" w:color="auto"/>
            </w:tcBorders>
            <w:vAlign w:val="center"/>
          </w:tcPr>
          <w:p w14:paraId="774ED1C8" w14:textId="77777777" w:rsidR="00B201D3" w:rsidRPr="006D4FBA" w:rsidRDefault="009855E8">
            <w:pPr>
              <w:jc w:val="right"/>
              <w:rPr>
                <w:rFonts w:ascii="宋体" w:hAnsi="宋体"/>
              </w:rPr>
            </w:pPr>
            <w:r w:rsidRPr="006D4FBA">
              <w:rPr>
                <w:rFonts w:ascii="宋体" w:hAnsi="宋体"/>
              </w:rPr>
              <w:t xml:space="preserve">104 </w:t>
            </w:r>
          </w:p>
        </w:tc>
        <w:tc>
          <w:tcPr>
            <w:tcW w:w="958" w:type="dxa"/>
            <w:tcBorders>
              <w:top w:val="single" w:sz="4" w:space="0" w:color="auto"/>
              <w:left w:val="single" w:sz="4" w:space="0" w:color="auto"/>
              <w:bottom w:val="single" w:sz="4" w:space="0" w:color="auto"/>
              <w:right w:val="single" w:sz="4" w:space="0" w:color="auto"/>
            </w:tcBorders>
            <w:vAlign w:val="center"/>
          </w:tcPr>
          <w:p w14:paraId="25D2CA96" w14:textId="77777777" w:rsidR="00B201D3" w:rsidRPr="006D4FBA" w:rsidRDefault="009855E8">
            <w:pPr>
              <w:jc w:val="right"/>
              <w:rPr>
                <w:rFonts w:ascii="宋体" w:hAnsi="宋体"/>
              </w:rPr>
            </w:pPr>
            <w:r w:rsidRPr="006D4FBA">
              <w:rPr>
                <w:rFonts w:ascii="宋体" w:hAnsi="宋体" w:hint="eastAsia"/>
              </w:rPr>
              <w:t xml:space="preserve">73 </w:t>
            </w:r>
          </w:p>
        </w:tc>
        <w:tc>
          <w:tcPr>
            <w:tcW w:w="957" w:type="dxa"/>
            <w:tcBorders>
              <w:top w:val="single" w:sz="4" w:space="0" w:color="auto"/>
              <w:left w:val="single" w:sz="4" w:space="0" w:color="auto"/>
              <w:bottom w:val="single" w:sz="4" w:space="0" w:color="auto"/>
              <w:right w:val="single" w:sz="4" w:space="0" w:color="auto"/>
            </w:tcBorders>
            <w:vAlign w:val="center"/>
          </w:tcPr>
          <w:p w14:paraId="22B2A9BF" w14:textId="77777777" w:rsidR="00B201D3" w:rsidRPr="006D4FBA" w:rsidRDefault="009855E8">
            <w:pPr>
              <w:jc w:val="right"/>
              <w:rPr>
                <w:rFonts w:ascii="宋体" w:hAnsi="宋体"/>
              </w:rPr>
            </w:pPr>
            <w:r w:rsidRPr="006D4FBA">
              <w:rPr>
                <w:rFonts w:ascii="宋体" w:hAnsi="宋体" w:hint="eastAsia"/>
              </w:rPr>
              <w:t xml:space="preserve">73 </w:t>
            </w:r>
          </w:p>
        </w:tc>
        <w:tc>
          <w:tcPr>
            <w:tcW w:w="1109" w:type="dxa"/>
            <w:tcBorders>
              <w:top w:val="single" w:sz="4" w:space="0" w:color="auto"/>
              <w:left w:val="single" w:sz="4" w:space="0" w:color="auto"/>
              <w:bottom w:val="single" w:sz="4" w:space="0" w:color="auto"/>
              <w:right w:val="single" w:sz="4" w:space="0" w:color="auto"/>
            </w:tcBorders>
            <w:vAlign w:val="center"/>
          </w:tcPr>
          <w:p w14:paraId="3B26C247" w14:textId="77777777" w:rsidR="00B201D3" w:rsidRPr="006D4FBA" w:rsidRDefault="009855E8">
            <w:pPr>
              <w:jc w:val="right"/>
              <w:rPr>
                <w:rFonts w:ascii="宋体" w:hAnsi="宋体"/>
              </w:rPr>
            </w:pPr>
            <w:r w:rsidRPr="006D4FBA">
              <w:rPr>
                <w:rFonts w:ascii="宋体" w:hAnsi="宋体" w:hint="eastAsia"/>
              </w:rPr>
              <w:t xml:space="preserve">1,848.38 </w:t>
            </w:r>
          </w:p>
        </w:tc>
        <w:tc>
          <w:tcPr>
            <w:tcW w:w="1201" w:type="dxa"/>
            <w:tcBorders>
              <w:top w:val="single" w:sz="4" w:space="0" w:color="auto"/>
              <w:left w:val="single" w:sz="4" w:space="0" w:color="auto"/>
              <w:bottom w:val="single" w:sz="4" w:space="0" w:color="auto"/>
              <w:right w:val="single" w:sz="4" w:space="0" w:color="auto"/>
            </w:tcBorders>
            <w:vAlign w:val="center"/>
          </w:tcPr>
          <w:p w14:paraId="58F7F8FB" w14:textId="77777777" w:rsidR="00B201D3" w:rsidRPr="006D4FBA" w:rsidRDefault="009855E8">
            <w:pPr>
              <w:jc w:val="right"/>
              <w:rPr>
                <w:rFonts w:ascii="宋体" w:hAnsi="宋体"/>
              </w:rPr>
            </w:pPr>
            <w:r w:rsidRPr="006D4FBA">
              <w:rPr>
                <w:rFonts w:ascii="宋体" w:hAnsi="宋体" w:hint="eastAsia"/>
              </w:rPr>
              <w:t xml:space="preserve">136 </w:t>
            </w:r>
          </w:p>
        </w:tc>
      </w:tr>
      <w:tr w:rsidR="00B201D3" w:rsidRPr="006D4FBA" w14:paraId="2C5C9B23" w14:textId="77777777">
        <w:trPr>
          <w:trHeight w:val="312"/>
          <w:jc w:val="center"/>
        </w:trPr>
        <w:tc>
          <w:tcPr>
            <w:tcW w:w="1873" w:type="dxa"/>
            <w:tcBorders>
              <w:top w:val="single" w:sz="4" w:space="0" w:color="auto"/>
              <w:left w:val="single" w:sz="4" w:space="0" w:color="auto"/>
              <w:bottom w:val="single" w:sz="4" w:space="0" w:color="auto"/>
              <w:right w:val="single" w:sz="4" w:space="0" w:color="auto"/>
            </w:tcBorders>
          </w:tcPr>
          <w:p w14:paraId="6F2A0719" w14:textId="77777777" w:rsidR="00B201D3" w:rsidRPr="006D4FBA" w:rsidRDefault="009855E8">
            <w:pPr>
              <w:ind w:firstLineChars="207" w:firstLine="435"/>
              <w:jc w:val="both"/>
              <w:rPr>
                <w:rFonts w:ascii="宋体" w:hAnsi="宋体"/>
              </w:rPr>
            </w:pPr>
            <w:r w:rsidRPr="006D4FBA">
              <w:rPr>
                <w:rFonts w:ascii="宋体" w:hAnsi="宋体" w:hint="eastAsia"/>
              </w:rPr>
              <w:t>半软焦煤</w:t>
            </w:r>
          </w:p>
        </w:tc>
        <w:tc>
          <w:tcPr>
            <w:tcW w:w="997" w:type="dxa"/>
            <w:tcBorders>
              <w:top w:val="single" w:sz="4" w:space="0" w:color="auto"/>
              <w:left w:val="single" w:sz="4" w:space="0" w:color="auto"/>
              <w:bottom w:val="single" w:sz="4" w:space="0" w:color="auto"/>
              <w:right w:val="single" w:sz="4" w:space="0" w:color="auto"/>
            </w:tcBorders>
            <w:vAlign w:val="center"/>
          </w:tcPr>
          <w:p w14:paraId="3A5F456A" w14:textId="77777777" w:rsidR="00B201D3" w:rsidRPr="006D4FBA" w:rsidRDefault="009855E8">
            <w:pPr>
              <w:jc w:val="right"/>
              <w:rPr>
                <w:rFonts w:ascii="宋体" w:hAnsi="宋体"/>
              </w:rPr>
            </w:pPr>
            <w:r w:rsidRPr="006D4FBA">
              <w:rPr>
                <w:rFonts w:ascii="宋体" w:hAnsi="宋体"/>
              </w:rPr>
              <w:t xml:space="preserve">1,204 </w:t>
            </w:r>
          </w:p>
        </w:tc>
        <w:tc>
          <w:tcPr>
            <w:tcW w:w="958" w:type="dxa"/>
            <w:tcBorders>
              <w:top w:val="single" w:sz="4" w:space="0" w:color="auto"/>
              <w:left w:val="single" w:sz="4" w:space="0" w:color="auto"/>
              <w:bottom w:val="single" w:sz="4" w:space="0" w:color="auto"/>
              <w:right w:val="single" w:sz="4" w:space="0" w:color="auto"/>
            </w:tcBorders>
            <w:vAlign w:val="center"/>
          </w:tcPr>
          <w:p w14:paraId="73F6CCBF" w14:textId="77777777" w:rsidR="00B201D3" w:rsidRPr="006D4FBA" w:rsidRDefault="009855E8">
            <w:pPr>
              <w:jc w:val="right"/>
              <w:rPr>
                <w:rFonts w:ascii="宋体" w:hAnsi="宋体"/>
              </w:rPr>
            </w:pPr>
            <w:r w:rsidRPr="006D4FBA">
              <w:rPr>
                <w:rFonts w:ascii="宋体" w:hAnsi="宋体"/>
              </w:rPr>
              <w:t xml:space="preserve">1,204 </w:t>
            </w:r>
          </w:p>
        </w:tc>
        <w:tc>
          <w:tcPr>
            <w:tcW w:w="1109" w:type="dxa"/>
            <w:tcBorders>
              <w:top w:val="single" w:sz="4" w:space="0" w:color="auto"/>
              <w:left w:val="single" w:sz="4" w:space="0" w:color="auto"/>
              <w:bottom w:val="single" w:sz="4" w:space="0" w:color="auto"/>
              <w:right w:val="single" w:sz="4" w:space="0" w:color="auto"/>
            </w:tcBorders>
            <w:vAlign w:val="center"/>
          </w:tcPr>
          <w:p w14:paraId="5E19A209" w14:textId="77777777" w:rsidR="00B201D3" w:rsidRPr="006D4FBA" w:rsidRDefault="009855E8">
            <w:pPr>
              <w:jc w:val="right"/>
              <w:rPr>
                <w:rFonts w:ascii="宋体" w:hAnsi="宋体"/>
              </w:rPr>
            </w:pPr>
            <w:r w:rsidRPr="006D4FBA">
              <w:rPr>
                <w:rFonts w:ascii="宋体" w:hAnsi="宋体"/>
              </w:rPr>
              <w:t>1,896.73</w:t>
            </w:r>
          </w:p>
        </w:tc>
        <w:tc>
          <w:tcPr>
            <w:tcW w:w="1201" w:type="dxa"/>
            <w:tcBorders>
              <w:top w:val="single" w:sz="4" w:space="0" w:color="auto"/>
              <w:left w:val="single" w:sz="4" w:space="0" w:color="auto"/>
              <w:bottom w:val="single" w:sz="4" w:space="0" w:color="auto"/>
              <w:right w:val="single" w:sz="4" w:space="0" w:color="auto"/>
            </w:tcBorders>
            <w:vAlign w:val="center"/>
          </w:tcPr>
          <w:p w14:paraId="186A2DC8" w14:textId="77777777" w:rsidR="00B201D3" w:rsidRPr="006D4FBA" w:rsidRDefault="009855E8">
            <w:pPr>
              <w:jc w:val="right"/>
              <w:rPr>
                <w:rFonts w:ascii="宋体" w:hAnsi="宋体"/>
              </w:rPr>
            </w:pPr>
            <w:r w:rsidRPr="006D4FBA">
              <w:rPr>
                <w:rFonts w:ascii="宋体" w:hAnsi="宋体"/>
              </w:rPr>
              <w:t xml:space="preserve">2,283 </w:t>
            </w:r>
          </w:p>
        </w:tc>
        <w:tc>
          <w:tcPr>
            <w:tcW w:w="958" w:type="dxa"/>
            <w:tcBorders>
              <w:top w:val="single" w:sz="4" w:space="0" w:color="auto"/>
              <w:left w:val="single" w:sz="4" w:space="0" w:color="auto"/>
              <w:bottom w:val="single" w:sz="4" w:space="0" w:color="auto"/>
              <w:right w:val="single" w:sz="4" w:space="0" w:color="auto"/>
            </w:tcBorders>
            <w:vAlign w:val="center"/>
          </w:tcPr>
          <w:p w14:paraId="3C6B0475" w14:textId="77777777" w:rsidR="00B201D3" w:rsidRPr="006D4FBA" w:rsidRDefault="009855E8">
            <w:pPr>
              <w:jc w:val="right"/>
              <w:rPr>
                <w:rFonts w:ascii="宋体" w:hAnsi="宋体"/>
              </w:rPr>
            </w:pPr>
            <w:r w:rsidRPr="006D4FBA">
              <w:rPr>
                <w:rFonts w:ascii="宋体" w:hAnsi="宋体" w:hint="eastAsia"/>
              </w:rPr>
              <w:t xml:space="preserve">1,291 </w:t>
            </w:r>
          </w:p>
        </w:tc>
        <w:tc>
          <w:tcPr>
            <w:tcW w:w="957" w:type="dxa"/>
            <w:tcBorders>
              <w:top w:val="single" w:sz="4" w:space="0" w:color="auto"/>
              <w:left w:val="single" w:sz="4" w:space="0" w:color="auto"/>
              <w:bottom w:val="single" w:sz="4" w:space="0" w:color="auto"/>
              <w:right w:val="single" w:sz="4" w:space="0" w:color="auto"/>
            </w:tcBorders>
            <w:vAlign w:val="center"/>
          </w:tcPr>
          <w:p w14:paraId="7096DC2F" w14:textId="77777777" w:rsidR="00B201D3" w:rsidRPr="006D4FBA" w:rsidRDefault="009855E8">
            <w:pPr>
              <w:jc w:val="right"/>
              <w:rPr>
                <w:rFonts w:ascii="宋体" w:hAnsi="宋体"/>
              </w:rPr>
            </w:pPr>
            <w:r w:rsidRPr="006D4FBA">
              <w:rPr>
                <w:rFonts w:ascii="宋体" w:hAnsi="宋体" w:hint="eastAsia"/>
              </w:rPr>
              <w:t xml:space="preserve">1,300 </w:t>
            </w:r>
          </w:p>
        </w:tc>
        <w:tc>
          <w:tcPr>
            <w:tcW w:w="1109" w:type="dxa"/>
            <w:tcBorders>
              <w:top w:val="single" w:sz="4" w:space="0" w:color="auto"/>
              <w:left w:val="single" w:sz="4" w:space="0" w:color="auto"/>
              <w:bottom w:val="single" w:sz="4" w:space="0" w:color="auto"/>
              <w:right w:val="single" w:sz="4" w:space="0" w:color="auto"/>
            </w:tcBorders>
            <w:vAlign w:val="center"/>
          </w:tcPr>
          <w:p w14:paraId="6689F58D" w14:textId="77777777" w:rsidR="00B201D3" w:rsidRPr="006D4FBA" w:rsidRDefault="009855E8">
            <w:pPr>
              <w:jc w:val="right"/>
              <w:rPr>
                <w:rFonts w:ascii="宋体" w:hAnsi="宋体"/>
              </w:rPr>
            </w:pPr>
            <w:r w:rsidRPr="006D4FBA">
              <w:rPr>
                <w:rFonts w:ascii="宋体" w:hAnsi="宋体" w:hint="eastAsia"/>
              </w:rPr>
              <w:t xml:space="preserve">1,747.60 </w:t>
            </w:r>
          </w:p>
        </w:tc>
        <w:tc>
          <w:tcPr>
            <w:tcW w:w="1201" w:type="dxa"/>
            <w:tcBorders>
              <w:top w:val="single" w:sz="4" w:space="0" w:color="auto"/>
              <w:left w:val="single" w:sz="4" w:space="0" w:color="auto"/>
              <w:bottom w:val="single" w:sz="4" w:space="0" w:color="auto"/>
              <w:right w:val="single" w:sz="4" w:space="0" w:color="auto"/>
            </w:tcBorders>
            <w:vAlign w:val="center"/>
          </w:tcPr>
          <w:p w14:paraId="559E1370" w14:textId="77777777" w:rsidR="00B201D3" w:rsidRPr="006D4FBA" w:rsidRDefault="009855E8">
            <w:pPr>
              <w:jc w:val="right"/>
              <w:rPr>
                <w:rFonts w:ascii="宋体" w:hAnsi="宋体"/>
              </w:rPr>
            </w:pPr>
            <w:r w:rsidRPr="006D4FBA">
              <w:rPr>
                <w:rFonts w:ascii="宋体" w:hAnsi="宋体" w:hint="eastAsia"/>
              </w:rPr>
              <w:t xml:space="preserve">2,272 </w:t>
            </w:r>
          </w:p>
        </w:tc>
      </w:tr>
      <w:tr w:rsidR="00B201D3" w:rsidRPr="006D4FBA" w14:paraId="05824CF6" w14:textId="77777777">
        <w:trPr>
          <w:trHeight w:val="312"/>
          <w:jc w:val="center"/>
        </w:trPr>
        <w:tc>
          <w:tcPr>
            <w:tcW w:w="1873" w:type="dxa"/>
            <w:tcBorders>
              <w:top w:val="single" w:sz="4" w:space="0" w:color="auto"/>
              <w:left w:val="single" w:sz="4" w:space="0" w:color="auto"/>
              <w:bottom w:val="single" w:sz="4" w:space="0" w:color="auto"/>
              <w:right w:val="single" w:sz="4" w:space="0" w:color="auto"/>
            </w:tcBorders>
          </w:tcPr>
          <w:p w14:paraId="77B85352" w14:textId="77777777" w:rsidR="00B201D3" w:rsidRPr="006D4FBA" w:rsidRDefault="009855E8">
            <w:pPr>
              <w:ind w:firstLineChars="207" w:firstLine="435"/>
              <w:jc w:val="both"/>
              <w:rPr>
                <w:rFonts w:ascii="宋体" w:hAnsi="宋体"/>
              </w:rPr>
            </w:pPr>
            <w:r w:rsidRPr="006D4FBA">
              <w:rPr>
                <w:rFonts w:ascii="宋体" w:hAnsi="宋体" w:hint="eastAsia"/>
              </w:rPr>
              <w:t>喷吹煤</w:t>
            </w:r>
          </w:p>
        </w:tc>
        <w:tc>
          <w:tcPr>
            <w:tcW w:w="997" w:type="dxa"/>
            <w:tcBorders>
              <w:top w:val="single" w:sz="4" w:space="0" w:color="auto"/>
              <w:left w:val="single" w:sz="4" w:space="0" w:color="auto"/>
              <w:bottom w:val="single" w:sz="4" w:space="0" w:color="auto"/>
              <w:right w:val="single" w:sz="4" w:space="0" w:color="auto"/>
            </w:tcBorders>
            <w:vAlign w:val="center"/>
          </w:tcPr>
          <w:p w14:paraId="7561672C" w14:textId="77777777" w:rsidR="00B201D3" w:rsidRPr="006D4FBA" w:rsidRDefault="009855E8">
            <w:pPr>
              <w:jc w:val="right"/>
              <w:rPr>
                <w:rFonts w:ascii="宋体" w:hAnsi="宋体"/>
              </w:rPr>
            </w:pPr>
            <w:r w:rsidRPr="006D4FBA">
              <w:rPr>
                <w:rFonts w:ascii="宋体" w:hAnsi="宋体"/>
              </w:rPr>
              <w:t xml:space="preserve">1,111 </w:t>
            </w:r>
          </w:p>
        </w:tc>
        <w:tc>
          <w:tcPr>
            <w:tcW w:w="958" w:type="dxa"/>
            <w:tcBorders>
              <w:top w:val="single" w:sz="4" w:space="0" w:color="auto"/>
              <w:left w:val="single" w:sz="4" w:space="0" w:color="auto"/>
              <w:bottom w:val="single" w:sz="4" w:space="0" w:color="auto"/>
              <w:right w:val="single" w:sz="4" w:space="0" w:color="auto"/>
            </w:tcBorders>
            <w:vAlign w:val="center"/>
          </w:tcPr>
          <w:p w14:paraId="34C002E3" w14:textId="77777777" w:rsidR="00B201D3" w:rsidRPr="006D4FBA" w:rsidRDefault="009855E8">
            <w:pPr>
              <w:jc w:val="right"/>
              <w:rPr>
                <w:rFonts w:ascii="宋体" w:hAnsi="宋体"/>
              </w:rPr>
            </w:pPr>
            <w:r w:rsidRPr="006D4FBA">
              <w:rPr>
                <w:rFonts w:ascii="宋体" w:hAnsi="宋体"/>
              </w:rPr>
              <w:t xml:space="preserve">1,110 </w:t>
            </w:r>
          </w:p>
        </w:tc>
        <w:tc>
          <w:tcPr>
            <w:tcW w:w="1109" w:type="dxa"/>
            <w:tcBorders>
              <w:top w:val="single" w:sz="4" w:space="0" w:color="auto"/>
              <w:left w:val="single" w:sz="4" w:space="0" w:color="auto"/>
              <w:bottom w:val="single" w:sz="4" w:space="0" w:color="auto"/>
              <w:right w:val="single" w:sz="4" w:space="0" w:color="auto"/>
            </w:tcBorders>
            <w:vAlign w:val="center"/>
          </w:tcPr>
          <w:p w14:paraId="453B9AB4" w14:textId="77777777" w:rsidR="00B201D3" w:rsidRPr="006D4FBA" w:rsidRDefault="009855E8">
            <w:pPr>
              <w:jc w:val="right"/>
              <w:rPr>
                <w:rFonts w:ascii="宋体" w:hAnsi="宋体"/>
              </w:rPr>
            </w:pPr>
            <w:r w:rsidRPr="006D4FBA">
              <w:rPr>
                <w:rFonts w:ascii="宋体" w:hAnsi="宋体"/>
              </w:rPr>
              <w:t>1,852.51</w:t>
            </w:r>
          </w:p>
        </w:tc>
        <w:tc>
          <w:tcPr>
            <w:tcW w:w="1201" w:type="dxa"/>
            <w:tcBorders>
              <w:top w:val="single" w:sz="4" w:space="0" w:color="auto"/>
              <w:left w:val="single" w:sz="4" w:space="0" w:color="auto"/>
              <w:bottom w:val="single" w:sz="4" w:space="0" w:color="auto"/>
              <w:right w:val="single" w:sz="4" w:space="0" w:color="auto"/>
            </w:tcBorders>
            <w:vAlign w:val="center"/>
          </w:tcPr>
          <w:p w14:paraId="1AAAB5DF" w14:textId="77777777" w:rsidR="00B201D3" w:rsidRPr="006D4FBA" w:rsidRDefault="009855E8">
            <w:pPr>
              <w:jc w:val="right"/>
              <w:rPr>
                <w:rFonts w:ascii="宋体" w:hAnsi="宋体"/>
              </w:rPr>
            </w:pPr>
            <w:r w:rsidRPr="006D4FBA">
              <w:rPr>
                <w:rFonts w:ascii="宋体" w:hAnsi="宋体"/>
              </w:rPr>
              <w:t xml:space="preserve">2,057 </w:t>
            </w:r>
          </w:p>
        </w:tc>
        <w:tc>
          <w:tcPr>
            <w:tcW w:w="958" w:type="dxa"/>
            <w:tcBorders>
              <w:top w:val="single" w:sz="4" w:space="0" w:color="auto"/>
              <w:left w:val="single" w:sz="4" w:space="0" w:color="auto"/>
              <w:bottom w:val="single" w:sz="4" w:space="0" w:color="auto"/>
              <w:right w:val="single" w:sz="4" w:space="0" w:color="auto"/>
            </w:tcBorders>
            <w:vAlign w:val="center"/>
          </w:tcPr>
          <w:p w14:paraId="220FF49F" w14:textId="77777777" w:rsidR="00B201D3" w:rsidRPr="006D4FBA" w:rsidRDefault="009855E8">
            <w:pPr>
              <w:jc w:val="right"/>
              <w:rPr>
                <w:rFonts w:ascii="宋体" w:hAnsi="宋体"/>
              </w:rPr>
            </w:pPr>
            <w:r w:rsidRPr="006D4FBA">
              <w:rPr>
                <w:rFonts w:ascii="宋体" w:hAnsi="宋体" w:hint="eastAsia"/>
              </w:rPr>
              <w:t xml:space="preserve">991 </w:t>
            </w:r>
          </w:p>
        </w:tc>
        <w:tc>
          <w:tcPr>
            <w:tcW w:w="957" w:type="dxa"/>
            <w:tcBorders>
              <w:top w:val="single" w:sz="4" w:space="0" w:color="auto"/>
              <w:left w:val="single" w:sz="4" w:space="0" w:color="auto"/>
              <w:bottom w:val="single" w:sz="4" w:space="0" w:color="auto"/>
              <w:right w:val="single" w:sz="4" w:space="0" w:color="auto"/>
            </w:tcBorders>
            <w:vAlign w:val="center"/>
          </w:tcPr>
          <w:p w14:paraId="59282B9C" w14:textId="77777777" w:rsidR="00B201D3" w:rsidRPr="006D4FBA" w:rsidRDefault="009855E8">
            <w:pPr>
              <w:jc w:val="right"/>
              <w:rPr>
                <w:rFonts w:ascii="宋体" w:hAnsi="宋体"/>
              </w:rPr>
            </w:pPr>
            <w:r w:rsidRPr="006D4FBA">
              <w:rPr>
                <w:rFonts w:ascii="宋体" w:hAnsi="宋体" w:hint="eastAsia"/>
              </w:rPr>
              <w:t xml:space="preserve">997 </w:t>
            </w:r>
          </w:p>
        </w:tc>
        <w:tc>
          <w:tcPr>
            <w:tcW w:w="1109" w:type="dxa"/>
            <w:tcBorders>
              <w:top w:val="single" w:sz="4" w:space="0" w:color="auto"/>
              <w:left w:val="single" w:sz="4" w:space="0" w:color="auto"/>
              <w:bottom w:val="single" w:sz="4" w:space="0" w:color="auto"/>
              <w:right w:val="single" w:sz="4" w:space="0" w:color="auto"/>
            </w:tcBorders>
            <w:vAlign w:val="center"/>
          </w:tcPr>
          <w:p w14:paraId="751DF42F" w14:textId="77777777" w:rsidR="00B201D3" w:rsidRPr="006D4FBA" w:rsidRDefault="009855E8">
            <w:pPr>
              <w:jc w:val="right"/>
              <w:rPr>
                <w:rFonts w:ascii="宋体" w:hAnsi="宋体"/>
              </w:rPr>
            </w:pPr>
            <w:r w:rsidRPr="006D4FBA">
              <w:rPr>
                <w:rFonts w:ascii="宋体" w:hAnsi="宋体" w:hint="eastAsia"/>
              </w:rPr>
              <w:t xml:space="preserve">2,006.25 </w:t>
            </w:r>
          </w:p>
        </w:tc>
        <w:tc>
          <w:tcPr>
            <w:tcW w:w="1201" w:type="dxa"/>
            <w:tcBorders>
              <w:top w:val="single" w:sz="4" w:space="0" w:color="auto"/>
              <w:left w:val="single" w:sz="4" w:space="0" w:color="auto"/>
              <w:bottom w:val="single" w:sz="4" w:space="0" w:color="auto"/>
              <w:right w:val="single" w:sz="4" w:space="0" w:color="auto"/>
            </w:tcBorders>
            <w:vAlign w:val="center"/>
          </w:tcPr>
          <w:p w14:paraId="192D9A39" w14:textId="77777777" w:rsidR="00B201D3" w:rsidRPr="006D4FBA" w:rsidRDefault="009855E8">
            <w:pPr>
              <w:jc w:val="right"/>
              <w:rPr>
                <w:rFonts w:ascii="宋体" w:hAnsi="宋体"/>
              </w:rPr>
            </w:pPr>
            <w:r w:rsidRPr="006D4FBA">
              <w:rPr>
                <w:rFonts w:ascii="宋体" w:hAnsi="宋体" w:hint="eastAsia"/>
              </w:rPr>
              <w:t xml:space="preserve">2,001 </w:t>
            </w:r>
          </w:p>
        </w:tc>
      </w:tr>
      <w:tr w:rsidR="00B201D3" w:rsidRPr="006D4FBA" w14:paraId="0663B1C5" w14:textId="77777777">
        <w:trPr>
          <w:trHeight w:val="312"/>
          <w:jc w:val="center"/>
        </w:trPr>
        <w:tc>
          <w:tcPr>
            <w:tcW w:w="1873" w:type="dxa"/>
            <w:tcBorders>
              <w:top w:val="single" w:sz="4" w:space="0" w:color="auto"/>
              <w:left w:val="single" w:sz="4" w:space="0" w:color="auto"/>
              <w:bottom w:val="single" w:sz="4" w:space="0" w:color="auto"/>
              <w:right w:val="single" w:sz="4" w:space="0" w:color="auto"/>
            </w:tcBorders>
          </w:tcPr>
          <w:p w14:paraId="72CF1B15" w14:textId="77777777" w:rsidR="00B201D3" w:rsidRPr="006D4FBA" w:rsidRDefault="009855E8">
            <w:pPr>
              <w:ind w:firstLineChars="207" w:firstLine="435"/>
              <w:jc w:val="both"/>
              <w:rPr>
                <w:rFonts w:ascii="宋体" w:hAnsi="宋体"/>
              </w:rPr>
            </w:pPr>
            <w:r w:rsidRPr="006D4FBA">
              <w:rPr>
                <w:rFonts w:ascii="宋体" w:hAnsi="宋体" w:hint="eastAsia"/>
              </w:rPr>
              <w:t>动力煤</w:t>
            </w:r>
          </w:p>
        </w:tc>
        <w:tc>
          <w:tcPr>
            <w:tcW w:w="997" w:type="dxa"/>
            <w:tcBorders>
              <w:top w:val="single" w:sz="4" w:space="0" w:color="auto"/>
              <w:left w:val="single" w:sz="4" w:space="0" w:color="auto"/>
              <w:bottom w:val="single" w:sz="4" w:space="0" w:color="auto"/>
              <w:right w:val="single" w:sz="4" w:space="0" w:color="auto"/>
            </w:tcBorders>
            <w:vAlign w:val="center"/>
          </w:tcPr>
          <w:p w14:paraId="0E4EEACB" w14:textId="77777777" w:rsidR="00B201D3" w:rsidRPr="006D4FBA" w:rsidRDefault="009855E8">
            <w:pPr>
              <w:jc w:val="right"/>
              <w:rPr>
                <w:rFonts w:ascii="宋体" w:hAnsi="宋体"/>
              </w:rPr>
            </w:pPr>
            <w:r w:rsidRPr="006D4FBA">
              <w:rPr>
                <w:rFonts w:ascii="宋体" w:hAnsi="宋体"/>
              </w:rPr>
              <w:t xml:space="preserve">12,008 </w:t>
            </w:r>
          </w:p>
        </w:tc>
        <w:tc>
          <w:tcPr>
            <w:tcW w:w="958" w:type="dxa"/>
            <w:tcBorders>
              <w:top w:val="single" w:sz="4" w:space="0" w:color="auto"/>
              <w:left w:val="single" w:sz="4" w:space="0" w:color="auto"/>
              <w:bottom w:val="single" w:sz="4" w:space="0" w:color="auto"/>
              <w:right w:val="single" w:sz="4" w:space="0" w:color="auto"/>
            </w:tcBorders>
            <w:vAlign w:val="center"/>
          </w:tcPr>
          <w:p w14:paraId="04923276" w14:textId="77777777" w:rsidR="00B201D3" w:rsidRPr="006D4FBA" w:rsidRDefault="009855E8">
            <w:pPr>
              <w:jc w:val="right"/>
              <w:rPr>
                <w:rFonts w:ascii="宋体" w:hAnsi="宋体"/>
              </w:rPr>
            </w:pPr>
            <w:r w:rsidRPr="006D4FBA">
              <w:rPr>
                <w:rFonts w:ascii="宋体" w:hAnsi="宋体"/>
              </w:rPr>
              <w:t xml:space="preserve">12,001 </w:t>
            </w:r>
          </w:p>
        </w:tc>
        <w:tc>
          <w:tcPr>
            <w:tcW w:w="1109" w:type="dxa"/>
            <w:tcBorders>
              <w:top w:val="single" w:sz="4" w:space="0" w:color="auto"/>
              <w:left w:val="single" w:sz="4" w:space="0" w:color="auto"/>
              <w:bottom w:val="single" w:sz="4" w:space="0" w:color="auto"/>
              <w:right w:val="single" w:sz="4" w:space="0" w:color="auto"/>
            </w:tcBorders>
            <w:vAlign w:val="center"/>
          </w:tcPr>
          <w:p w14:paraId="77A67BA1" w14:textId="77777777" w:rsidR="00B201D3" w:rsidRPr="006D4FBA" w:rsidRDefault="009855E8">
            <w:pPr>
              <w:jc w:val="right"/>
              <w:rPr>
                <w:rFonts w:ascii="宋体" w:hAnsi="宋体"/>
              </w:rPr>
            </w:pPr>
            <w:r w:rsidRPr="006D4FBA">
              <w:rPr>
                <w:rFonts w:ascii="宋体" w:hAnsi="宋体"/>
              </w:rPr>
              <w:t>1,117.56</w:t>
            </w:r>
          </w:p>
        </w:tc>
        <w:tc>
          <w:tcPr>
            <w:tcW w:w="1201" w:type="dxa"/>
            <w:tcBorders>
              <w:top w:val="single" w:sz="4" w:space="0" w:color="auto"/>
              <w:left w:val="single" w:sz="4" w:space="0" w:color="auto"/>
              <w:bottom w:val="single" w:sz="4" w:space="0" w:color="auto"/>
              <w:right w:val="single" w:sz="4" w:space="0" w:color="auto"/>
            </w:tcBorders>
            <w:vAlign w:val="center"/>
          </w:tcPr>
          <w:p w14:paraId="48E1DA7B" w14:textId="77777777" w:rsidR="00B201D3" w:rsidRPr="006D4FBA" w:rsidRDefault="009855E8">
            <w:pPr>
              <w:jc w:val="right"/>
              <w:rPr>
                <w:rFonts w:ascii="宋体" w:hAnsi="宋体"/>
              </w:rPr>
            </w:pPr>
            <w:r w:rsidRPr="006D4FBA">
              <w:rPr>
                <w:rFonts w:ascii="宋体" w:hAnsi="宋体"/>
              </w:rPr>
              <w:t xml:space="preserve">13,412 </w:t>
            </w:r>
          </w:p>
        </w:tc>
        <w:tc>
          <w:tcPr>
            <w:tcW w:w="958" w:type="dxa"/>
            <w:tcBorders>
              <w:top w:val="single" w:sz="4" w:space="0" w:color="auto"/>
              <w:left w:val="single" w:sz="4" w:space="0" w:color="auto"/>
              <w:bottom w:val="single" w:sz="4" w:space="0" w:color="auto"/>
              <w:right w:val="single" w:sz="4" w:space="0" w:color="auto"/>
            </w:tcBorders>
            <w:vAlign w:val="center"/>
          </w:tcPr>
          <w:p w14:paraId="1B87786D" w14:textId="77777777" w:rsidR="00B201D3" w:rsidRPr="006D4FBA" w:rsidRDefault="009855E8">
            <w:pPr>
              <w:jc w:val="right"/>
              <w:rPr>
                <w:rFonts w:ascii="宋体" w:hAnsi="宋体"/>
              </w:rPr>
            </w:pPr>
            <w:r w:rsidRPr="006D4FBA">
              <w:rPr>
                <w:rFonts w:ascii="宋体" w:hAnsi="宋体" w:hint="eastAsia"/>
              </w:rPr>
              <w:t xml:space="preserve">13,194 </w:t>
            </w:r>
          </w:p>
        </w:tc>
        <w:tc>
          <w:tcPr>
            <w:tcW w:w="957" w:type="dxa"/>
            <w:tcBorders>
              <w:top w:val="single" w:sz="4" w:space="0" w:color="auto"/>
              <w:left w:val="single" w:sz="4" w:space="0" w:color="auto"/>
              <w:bottom w:val="single" w:sz="4" w:space="0" w:color="auto"/>
              <w:right w:val="single" w:sz="4" w:space="0" w:color="auto"/>
            </w:tcBorders>
            <w:vAlign w:val="center"/>
          </w:tcPr>
          <w:p w14:paraId="3723BBF9" w14:textId="77777777" w:rsidR="00B201D3" w:rsidRPr="006D4FBA" w:rsidRDefault="009855E8">
            <w:pPr>
              <w:jc w:val="right"/>
              <w:rPr>
                <w:rFonts w:ascii="宋体" w:hAnsi="宋体"/>
              </w:rPr>
            </w:pPr>
            <w:r w:rsidRPr="006D4FBA">
              <w:rPr>
                <w:rFonts w:ascii="宋体" w:hAnsi="宋体" w:hint="eastAsia"/>
              </w:rPr>
              <w:t xml:space="preserve">13,282 </w:t>
            </w:r>
          </w:p>
        </w:tc>
        <w:tc>
          <w:tcPr>
            <w:tcW w:w="1109" w:type="dxa"/>
            <w:tcBorders>
              <w:top w:val="single" w:sz="4" w:space="0" w:color="auto"/>
              <w:left w:val="single" w:sz="4" w:space="0" w:color="auto"/>
              <w:bottom w:val="single" w:sz="4" w:space="0" w:color="auto"/>
              <w:right w:val="single" w:sz="4" w:space="0" w:color="auto"/>
            </w:tcBorders>
            <w:vAlign w:val="center"/>
          </w:tcPr>
          <w:p w14:paraId="70EF1925" w14:textId="77777777" w:rsidR="00B201D3" w:rsidRPr="006D4FBA" w:rsidRDefault="009855E8">
            <w:pPr>
              <w:jc w:val="right"/>
              <w:rPr>
                <w:rFonts w:ascii="宋体" w:hAnsi="宋体"/>
              </w:rPr>
            </w:pPr>
            <w:r w:rsidRPr="006D4FBA">
              <w:rPr>
                <w:rFonts w:ascii="宋体" w:hAnsi="宋体" w:hint="eastAsia"/>
              </w:rPr>
              <w:t xml:space="preserve">1,311.28 </w:t>
            </w:r>
          </w:p>
        </w:tc>
        <w:tc>
          <w:tcPr>
            <w:tcW w:w="1201" w:type="dxa"/>
            <w:tcBorders>
              <w:top w:val="single" w:sz="4" w:space="0" w:color="auto"/>
              <w:left w:val="single" w:sz="4" w:space="0" w:color="auto"/>
              <w:bottom w:val="single" w:sz="4" w:space="0" w:color="auto"/>
              <w:right w:val="single" w:sz="4" w:space="0" w:color="auto"/>
            </w:tcBorders>
            <w:vAlign w:val="center"/>
          </w:tcPr>
          <w:p w14:paraId="1FA48A8B" w14:textId="77777777" w:rsidR="00B201D3" w:rsidRPr="006D4FBA" w:rsidRDefault="009855E8">
            <w:pPr>
              <w:jc w:val="right"/>
              <w:rPr>
                <w:rFonts w:ascii="宋体" w:hAnsi="宋体"/>
              </w:rPr>
            </w:pPr>
            <w:r w:rsidRPr="006D4FBA">
              <w:rPr>
                <w:rFonts w:ascii="宋体" w:hAnsi="宋体" w:hint="eastAsia"/>
              </w:rPr>
              <w:t xml:space="preserve">17,417 </w:t>
            </w:r>
          </w:p>
        </w:tc>
      </w:tr>
      <w:tr w:rsidR="00B201D3" w:rsidRPr="006D4FBA" w14:paraId="37B07498" w14:textId="77777777">
        <w:trPr>
          <w:trHeight w:val="312"/>
          <w:jc w:val="center"/>
        </w:trPr>
        <w:tc>
          <w:tcPr>
            <w:tcW w:w="1873" w:type="dxa"/>
            <w:tcBorders>
              <w:top w:val="single" w:sz="4" w:space="0" w:color="auto"/>
              <w:left w:val="single" w:sz="4" w:space="0" w:color="auto"/>
              <w:bottom w:val="single" w:sz="4" w:space="0" w:color="auto"/>
              <w:right w:val="single" w:sz="4" w:space="0" w:color="auto"/>
            </w:tcBorders>
          </w:tcPr>
          <w:p w14:paraId="39A779AE" w14:textId="77777777" w:rsidR="00B201D3" w:rsidRPr="006D4FBA" w:rsidRDefault="009855E8">
            <w:pPr>
              <w:rPr>
                <w:rFonts w:ascii="宋体" w:hAnsi="宋体"/>
              </w:rPr>
            </w:pPr>
            <w:r w:rsidRPr="006D4FBA">
              <w:rPr>
                <w:rFonts w:ascii="宋体" w:hAnsi="宋体" w:hint="eastAsia"/>
              </w:rPr>
              <w:t>九、兖煤国际</w:t>
            </w:r>
          </w:p>
        </w:tc>
        <w:tc>
          <w:tcPr>
            <w:tcW w:w="997" w:type="dxa"/>
            <w:tcBorders>
              <w:top w:val="single" w:sz="4" w:space="0" w:color="auto"/>
              <w:left w:val="single" w:sz="4" w:space="0" w:color="auto"/>
              <w:bottom w:val="single" w:sz="4" w:space="0" w:color="auto"/>
              <w:right w:val="single" w:sz="4" w:space="0" w:color="auto"/>
            </w:tcBorders>
            <w:vAlign w:val="center"/>
          </w:tcPr>
          <w:p w14:paraId="68F3DB01" w14:textId="77777777" w:rsidR="00B201D3" w:rsidRPr="006D4FBA" w:rsidRDefault="009855E8">
            <w:pPr>
              <w:jc w:val="right"/>
              <w:rPr>
                <w:rFonts w:ascii="宋体" w:hAnsi="宋体"/>
              </w:rPr>
            </w:pPr>
            <w:r w:rsidRPr="006D4FBA">
              <w:rPr>
                <w:rFonts w:ascii="宋体" w:hAnsi="宋体"/>
              </w:rPr>
              <w:t xml:space="preserve">2,549 </w:t>
            </w:r>
          </w:p>
        </w:tc>
        <w:tc>
          <w:tcPr>
            <w:tcW w:w="958" w:type="dxa"/>
            <w:tcBorders>
              <w:top w:val="single" w:sz="4" w:space="0" w:color="auto"/>
              <w:left w:val="single" w:sz="4" w:space="0" w:color="auto"/>
              <w:bottom w:val="single" w:sz="4" w:space="0" w:color="auto"/>
              <w:right w:val="single" w:sz="4" w:space="0" w:color="auto"/>
            </w:tcBorders>
            <w:vAlign w:val="center"/>
          </w:tcPr>
          <w:p w14:paraId="6E25AA8C" w14:textId="77777777" w:rsidR="00B201D3" w:rsidRPr="006D4FBA" w:rsidRDefault="009855E8">
            <w:pPr>
              <w:jc w:val="right"/>
              <w:rPr>
                <w:rFonts w:ascii="宋体" w:hAnsi="宋体"/>
              </w:rPr>
            </w:pPr>
            <w:r w:rsidRPr="006D4FBA">
              <w:rPr>
                <w:rFonts w:ascii="宋体" w:hAnsi="宋体"/>
              </w:rPr>
              <w:t xml:space="preserve">2,517 </w:t>
            </w:r>
          </w:p>
        </w:tc>
        <w:tc>
          <w:tcPr>
            <w:tcW w:w="1109" w:type="dxa"/>
            <w:tcBorders>
              <w:top w:val="single" w:sz="4" w:space="0" w:color="auto"/>
              <w:left w:val="single" w:sz="4" w:space="0" w:color="auto"/>
              <w:bottom w:val="single" w:sz="4" w:space="0" w:color="auto"/>
              <w:right w:val="single" w:sz="4" w:space="0" w:color="auto"/>
            </w:tcBorders>
            <w:vAlign w:val="center"/>
          </w:tcPr>
          <w:p w14:paraId="360CC05C" w14:textId="77777777" w:rsidR="00B201D3" w:rsidRPr="006D4FBA" w:rsidRDefault="009855E8">
            <w:pPr>
              <w:jc w:val="right"/>
              <w:rPr>
                <w:rFonts w:ascii="宋体" w:hAnsi="宋体"/>
              </w:rPr>
            </w:pPr>
            <w:r w:rsidRPr="006D4FBA">
              <w:rPr>
                <w:rFonts w:ascii="宋体" w:hAnsi="宋体"/>
              </w:rPr>
              <w:t>1,025.36</w:t>
            </w:r>
          </w:p>
        </w:tc>
        <w:tc>
          <w:tcPr>
            <w:tcW w:w="1201" w:type="dxa"/>
            <w:tcBorders>
              <w:top w:val="single" w:sz="4" w:space="0" w:color="auto"/>
              <w:left w:val="single" w:sz="4" w:space="0" w:color="auto"/>
              <w:bottom w:val="single" w:sz="4" w:space="0" w:color="auto"/>
              <w:right w:val="single" w:sz="4" w:space="0" w:color="auto"/>
            </w:tcBorders>
            <w:vAlign w:val="center"/>
          </w:tcPr>
          <w:p w14:paraId="223C5ADF" w14:textId="77777777" w:rsidR="00B201D3" w:rsidRPr="006D4FBA" w:rsidRDefault="009855E8">
            <w:pPr>
              <w:jc w:val="right"/>
              <w:rPr>
                <w:rFonts w:ascii="宋体" w:hAnsi="宋体"/>
              </w:rPr>
            </w:pPr>
            <w:r w:rsidRPr="006D4FBA">
              <w:rPr>
                <w:rFonts w:ascii="宋体" w:hAnsi="宋体"/>
              </w:rPr>
              <w:t xml:space="preserve">2,581 </w:t>
            </w:r>
          </w:p>
        </w:tc>
        <w:tc>
          <w:tcPr>
            <w:tcW w:w="958" w:type="dxa"/>
            <w:tcBorders>
              <w:top w:val="single" w:sz="4" w:space="0" w:color="auto"/>
              <w:left w:val="single" w:sz="4" w:space="0" w:color="auto"/>
              <w:bottom w:val="single" w:sz="4" w:space="0" w:color="auto"/>
              <w:right w:val="single" w:sz="4" w:space="0" w:color="auto"/>
            </w:tcBorders>
            <w:vAlign w:val="center"/>
          </w:tcPr>
          <w:p w14:paraId="0076E180" w14:textId="77777777" w:rsidR="00B201D3" w:rsidRPr="006D4FBA" w:rsidRDefault="009855E8">
            <w:pPr>
              <w:jc w:val="right"/>
              <w:rPr>
                <w:rFonts w:ascii="宋体" w:hAnsi="宋体"/>
              </w:rPr>
            </w:pPr>
            <w:r w:rsidRPr="006D4FBA">
              <w:rPr>
                <w:rFonts w:ascii="宋体" w:hAnsi="宋体" w:hint="eastAsia"/>
              </w:rPr>
              <w:t xml:space="preserve">2,506 </w:t>
            </w:r>
          </w:p>
        </w:tc>
        <w:tc>
          <w:tcPr>
            <w:tcW w:w="957" w:type="dxa"/>
            <w:tcBorders>
              <w:top w:val="single" w:sz="4" w:space="0" w:color="auto"/>
              <w:left w:val="single" w:sz="4" w:space="0" w:color="auto"/>
              <w:bottom w:val="single" w:sz="4" w:space="0" w:color="auto"/>
              <w:right w:val="single" w:sz="4" w:space="0" w:color="auto"/>
            </w:tcBorders>
            <w:vAlign w:val="center"/>
          </w:tcPr>
          <w:p w14:paraId="6BB59FB9" w14:textId="77777777" w:rsidR="00B201D3" w:rsidRPr="006D4FBA" w:rsidRDefault="009855E8">
            <w:pPr>
              <w:jc w:val="right"/>
              <w:rPr>
                <w:rFonts w:ascii="宋体" w:hAnsi="宋体"/>
              </w:rPr>
            </w:pPr>
            <w:r w:rsidRPr="006D4FBA">
              <w:rPr>
                <w:rFonts w:ascii="宋体" w:hAnsi="宋体" w:hint="eastAsia"/>
              </w:rPr>
              <w:t xml:space="preserve">2,513 </w:t>
            </w:r>
          </w:p>
        </w:tc>
        <w:tc>
          <w:tcPr>
            <w:tcW w:w="1109" w:type="dxa"/>
            <w:tcBorders>
              <w:top w:val="single" w:sz="4" w:space="0" w:color="auto"/>
              <w:left w:val="single" w:sz="4" w:space="0" w:color="auto"/>
              <w:bottom w:val="single" w:sz="4" w:space="0" w:color="auto"/>
              <w:right w:val="single" w:sz="4" w:space="0" w:color="auto"/>
            </w:tcBorders>
            <w:vAlign w:val="center"/>
          </w:tcPr>
          <w:p w14:paraId="31BD6D34" w14:textId="77777777" w:rsidR="00B201D3" w:rsidRPr="006D4FBA" w:rsidRDefault="009855E8">
            <w:pPr>
              <w:jc w:val="right"/>
              <w:rPr>
                <w:rFonts w:ascii="宋体" w:hAnsi="宋体"/>
              </w:rPr>
            </w:pPr>
            <w:r w:rsidRPr="006D4FBA">
              <w:rPr>
                <w:rFonts w:ascii="宋体" w:hAnsi="宋体" w:hint="eastAsia"/>
              </w:rPr>
              <w:t xml:space="preserve">879.10 </w:t>
            </w:r>
          </w:p>
        </w:tc>
        <w:tc>
          <w:tcPr>
            <w:tcW w:w="1201" w:type="dxa"/>
            <w:tcBorders>
              <w:top w:val="single" w:sz="4" w:space="0" w:color="auto"/>
              <w:left w:val="single" w:sz="4" w:space="0" w:color="auto"/>
              <w:bottom w:val="single" w:sz="4" w:space="0" w:color="auto"/>
              <w:right w:val="single" w:sz="4" w:space="0" w:color="auto"/>
            </w:tcBorders>
            <w:vAlign w:val="center"/>
          </w:tcPr>
          <w:p w14:paraId="4B131F9C" w14:textId="77777777" w:rsidR="00B201D3" w:rsidRPr="006D4FBA" w:rsidRDefault="009855E8">
            <w:pPr>
              <w:jc w:val="right"/>
              <w:rPr>
                <w:rFonts w:ascii="宋体" w:hAnsi="宋体"/>
              </w:rPr>
            </w:pPr>
            <w:r w:rsidRPr="006D4FBA">
              <w:rPr>
                <w:rFonts w:ascii="宋体" w:hAnsi="宋体" w:hint="eastAsia"/>
              </w:rPr>
              <w:t xml:space="preserve">2,209 </w:t>
            </w:r>
          </w:p>
        </w:tc>
      </w:tr>
      <w:tr w:rsidR="00B201D3" w:rsidRPr="006D4FBA" w14:paraId="33AC5F3E" w14:textId="77777777">
        <w:trPr>
          <w:trHeight w:val="312"/>
          <w:jc w:val="center"/>
        </w:trPr>
        <w:tc>
          <w:tcPr>
            <w:tcW w:w="1873" w:type="dxa"/>
            <w:tcBorders>
              <w:top w:val="single" w:sz="4" w:space="0" w:color="auto"/>
              <w:left w:val="single" w:sz="4" w:space="0" w:color="auto"/>
              <w:bottom w:val="single" w:sz="4" w:space="0" w:color="auto"/>
              <w:right w:val="single" w:sz="4" w:space="0" w:color="auto"/>
            </w:tcBorders>
          </w:tcPr>
          <w:p w14:paraId="0775CBA8" w14:textId="77777777" w:rsidR="00B201D3" w:rsidRPr="006D4FBA" w:rsidRDefault="009855E8">
            <w:pPr>
              <w:ind w:firstLineChars="207" w:firstLine="435"/>
              <w:jc w:val="both"/>
              <w:rPr>
                <w:rFonts w:ascii="宋体" w:hAnsi="宋体"/>
              </w:rPr>
            </w:pPr>
            <w:r w:rsidRPr="006D4FBA">
              <w:rPr>
                <w:rFonts w:ascii="宋体" w:hAnsi="宋体" w:hint="eastAsia"/>
              </w:rPr>
              <w:t>动力煤</w:t>
            </w:r>
          </w:p>
        </w:tc>
        <w:tc>
          <w:tcPr>
            <w:tcW w:w="997" w:type="dxa"/>
            <w:tcBorders>
              <w:top w:val="single" w:sz="4" w:space="0" w:color="auto"/>
              <w:left w:val="single" w:sz="4" w:space="0" w:color="auto"/>
              <w:bottom w:val="single" w:sz="4" w:space="0" w:color="auto"/>
              <w:right w:val="single" w:sz="4" w:space="0" w:color="auto"/>
            </w:tcBorders>
            <w:vAlign w:val="center"/>
          </w:tcPr>
          <w:p w14:paraId="4D1296BD" w14:textId="77777777" w:rsidR="00B201D3" w:rsidRPr="006D4FBA" w:rsidRDefault="009855E8">
            <w:pPr>
              <w:jc w:val="right"/>
              <w:rPr>
                <w:rFonts w:ascii="宋体" w:hAnsi="宋体"/>
              </w:rPr>
            </w:pPr>
            <w:r w:rsidRPr="006D4FBA">
              <w:rPr>
                <w:rFonts w:ascii="宋体" w:hAnsi="宋体"/>
              </w:rPr>
              <w:t xml:space="preserve">2,549 </w:t>
            </w:r>
          </w:p>
        </w:tc>
        <w:tc>
          <w:tcPr>
            <w:tcW w:w="958" w:type="dxa"/>
            <w:tcBorders>
              <w:top w:val="single" w:sz="4" w:space="0" w:color="auto"/>
              <w:left w:val="single" w:sz="4" w:space="0" w:color="auto"/>
              <w:bottom w:val="single" w:sz="4" w:space="0" w:color="auto"/>
              <w:right w:val="single" w:sz="4" w:space="0" w:color="auto"/>
            </w:tcBorders>
            <w:vAlign w:val="center"/>
          </w:tcPr>
          <w:p w14:paraId="5D2DBF07" w14:textId="77777777" w:rsidR="00B201D3" w:rsidRPr="006D4FBA" w:rsidRDefault="009855E8">
            <w:pPr>
              <w:jc w:val="right"/>
              <w:rPr>
                <w:rFonts w:ascii="宋体" w:hAnsi="宋体"/>
              </w:rPr>
            </w:pPr>
            <w:r w:rsidRPr="006D4FBA">
              <w:rPr>
                <w:rFonts w:ascii="宋体" w:hAnsi="宋体"/>
              </w:rPr>
              <w:t xml:space="preserve">2,517 </w:t>
            </w:r>
          </w:p>
        </w:tc>
        <w:tc>
          <w:tcPr>
            <w:tcW w:w="1109" w:type="dxa"/>
            <w:tcBorders>
              <w:top w:val="single" w:sz="4" w:space="0" w:color="auto"/>
              <w:left w:val="single" w:sz="4" w:space="0" w:color="auto"/>
              <w:bottom w:val="single" w:sz="4" w:space="0" w:color="auto"/>
              <w:right w:val="single" w:sz="4" w:space="0" w:color="auto"/>
            </w:tcBorders>
            <w:vAlign w:val="center"/>
          </w:tcPr>
          <w:p w14:paraId="3F065EBD" w14:textId="77777777" w:rsidR="00B201D3" w:rsidRPr="006D4FBA" w:rsidRDefault="009855E8">
            <w:pPr>
              <w:jc w:val="right"/>
              <w:rPr>
                <w:rFonts w:ascii="宋体" w:hAnsi="宋体"/>
              </w:rPr>
            </w:pPr>
            <w:r w:rsidRPr="006D4FBA">
              <w:rPr>
                <w:rFonts w:ascii="宋体" w:hAnsi="宋体"/>
              </w:rPr>
              <w:t>1,025.36</w:t>
            </w:r>
          </w:p>
        </w:tc>
        <w:tc>
          <w:tcPr>
            <w:tcW w:w="1201" w:type="dxa"/>
            <w:tcBorders>
              <w:top w:val="single" w:sz="4" w:space="0" w:color="auto"/>
              <w:left w:val="single" w:sz="4" w:space="0" w:color="auto"/>
              <w:bottom w:val="single" w:sz="4" w:space="0" w:color="auto"/>
              <w:right w:val="single" w:sz="4" w:space="0" w:color="auto"/>
            </w:tcBorders>
            <w:vAlign w:val="center"/>
          </w:tcPr>
          <w:p w14:paraId="726D416A" w14:textId="77777777" w:rsidR="00B201D3" w:rsidRPr="006D4FBA" w:rsidRDefault="009855E8">
            <w:pPr>
              <w:jc w:val="right"/>
              <w:rPr>
                <w:rFonts w:ascii="宋体" w:hAnsi="宋体"/>
              </w:rPr>
            </w:pPr>
            <w:r w:rsidRPr="006D4FBA">
              <w:rPr>
                <w:rFonts w:ascii="宋体" w:hAnsi="宋体"/>
              </w:rPr>
              <w:t xml:space="preserve">2,581 </w:t>
            </w:r>
          </w:p>
        </w:tc>
        <w:tc>
          <w:tcPr>
            <w:tcW w:w="958" w:type="dxa"/>
            <w:tcBorders>
              <w:top w:val="single" w:sz="4" w:space="0" w:color="auto"/>
              <w:left w:val="single" w:sz="4" w:space="0" w:color="auto"/>
              <w:bottom w:val="single" w:sz="4" w:space="0" w:color="auto"/>
              <w:right w:val="single" w:sz="4" w:space="0" w:color="auto"/>
            </w:tcBorders>
            <w:vAlign w:val="center"/>
          </w:tcPr>
          <w:p w14:paraId="647367A8" w14:textId="77777777" w:rsidR="00B201D3" w:rsidRPr="006D4FBA" w:rsidRDefault="009855E8">
            <w:pPr>
              <w:jc w:val="right"/>
              <w:rPr>
                <w:rFonts w:ascii="宋体" w:hAnsi="宋体"/>
              </w:rPr>
            </w:pPr>
            <w:r w:rsidRPr="006D4FBA">
              <w:rPr>
                <w:rFonts w:ascii="宋体" w:hAnsi="宋体" w:hint="eastAsia"/>
              </w:rPr>
              <w:t xml:space="preserve">2,506 </w:t>
            </w:r>
          </w:p>
        </w:tc>
        <w:tc>
          <w:tcPr>
            <w:tcW w:w="957" w:type="dxa"/>
            <w:tcBorders>
              <w:top w:val="single" w:sz="4" w:space="0" w:color="auto"/>
              <w:left w:val="single" w:sz="4" w:space="0" w:color="auto"/>
              <w:bottom w:val="single" w:sz="4" w:space="0" w:color="auto"/>
              <w:right w:val="single" w:sz="4" w:space="0" w:color="auto"/>
            </w:tcBorders>
            <w:vAlign w:val="center"/>
          </w:tcPr>
          <w:p w14:paraId="3A5C8474" w14:textId="77777777" w:rsidR="00B201D3" w:rsidRPr="006D4FBA" w:rsidRDefault="009855E8">
            <w:pPr>
              <w:jc w:val="right"/>
              <w:rPr>
                <w:rFonts w:ascii="宋体" w:hAnsi="宋体"/>
              </w:rPr>
            </w:pPr>
            <w:r w:rsidRPr="006D4FBA">
              <w:rPr>
                <w:rFonts w:ascii="宋体" w:hAnsi="宋体" w:hint="eastAsia"/>
              </w:rPr>
              <w:t xml:space="preserve">2,513 </w:t>
            </w:r>
          </w:p>
        </w:tc>
        <w:tc>
          <w:tcPr>
            <w:tcW w:w="1109" w:type="dxa"/>
            <w:tcBorders>
              <w:top w:val="single" w:sz="4" w:space="0" w:color="auto"/>
              <w:left w:val="single" w:sz="4" w:space="0" w:color="auto"/>
              <w:bottom w:val="single" w:sz="4" w:space="0" w:color="auto"/>
              <w:right w:val="single" w:sz="4" w:space="0" w:color="auto"/>
            </w:tcBorders>
            <w:vAlign w:val="center"/>
          </w:tcPr>
          <w:p w14:paraId="0A52299D" w14:textId="77777777" w:rsidR="00B201D3" w:rsidRPr="006D4FBA" w:rsidRDefault="009855E8">
            <w:pPr>
              <w:jc w:val="right"/>
              <w:rPr>
                <w:rFonts w:ascii="宋体" w:hAnsi="宋体"/>
              </w:rPr>
            </w:pPr>
            <w:r w:rsidRPr="006D4FBA">
              <w:rPr>
                <w:rFonts w:ascii="宋体" w:hAnsi="宋体" w:hint="eastAsia"/>
              </w:rPr>
              <w:t xml:space="preserve">879.10 </w:t>
            </w:r>
          </w:p>
        </w:tc>
        <w:tc>
          <w:tcPr>
            <w:tcW w:w="1201" w:type="dxa"/>
            <w:tcBorders>
              <w:top w:val="single" w:sz="4" w:space="0" w:color="auto"/>
              <w:left w:val="single" w:sz="4" w:space="0" w:color="auto"/>
              <w:bottom w:val="single" w:sz="4" w:space="0" w:color="auto"/>
              <w:right w:val="single" w:sz="4" w:space="0" w:color="auto"/>
            </w:tcBorders>
            <w:vAlign w:val="center"/>
          </w:tcPr>
          <w:p w14:paraId="0D132CDA" w14:textId="77777777" w:rsidR="00B201D3" w:rsidRPr="006D4FBA" w:rsidRDefault="009855E8">
            <w:pPr>
              <w:jc w:val="right"/>
              <w:rPr>
                <w:rFonts w:ascii="宋体" w:hAnsi="宋体"/>
              </w:rPr>
            </w:pPr>
            <w:r w:rsidRPr="006D4FBA">
              <w:rPr>
                <w:rFonts w:ascii="宋体" w:hAnsi="宋体" w:hint="eastAsia"/>
              </w:rPr>
              <w:t xml:space="preserve">2,209 </w:t>
            </w:r>
          </w:p>
        </w:tc>
      </w:tr>
      <w:tr w:rsidR="00B201D3" w:rsidRPr="006D4FBA" w14:paraId="5AF60EC2" w14:textId="77777777">
        <w:trPr>
          <w:trHeight w:val="312"/>
          <w:jc w:val="center"/>
        </w:trPr>
        <w:tc>
          <w:tcPr>
            <w:tcW w:w="1873" w:type="dxa"/>
            <w:tcBorders>
              <w:top w:val="single" w:sz="4" w:space="0" w:color="auto"/>
              <w:left w:val="single" w:sz="4" w:space="0" w:color="auto"/>
              <w:bottom w:val="single" w:sz="4" w:space="0" w:color="auto"/>
              <w:right w:val="single" w:sz="4" w:space="0" w:color="auto"/>
            </w:tcBorders>
          </w:tcPr>
          <w:p w14:paraId="76CEA244" w14:textId="77777777" w:rsidR="00B201D3" w:rsidRPr="006D4FBA" w:rsidRDefault="009855E8">
            <w:pPr>
              <w:rPr>
                <w:rFonts w:ascii="宋体" w:hAnsi="宋体"/>
              </w:rPr>
            </w:pPr>
            <w:r w:rsidRPr="006D4FBA">
              <w:rPr>
                <w:rFonts w:ascii="宋体" w:hAnsi="宋体" w:hint="eastAsia"/>
              </w:rPr>
              <w:t>十、贸易煤</w:t>
            </w:r>
          </w:p>
        </w:tc>
        <w:tc>
          <w:tcPr>
            <w:tcW w:w="997" w:type="dxa"/>
            <w:tcBorders>
              <w:top w:val="single" w:sz="4" w:space="0" w:color="auto"/>
              <w:left w:val="single" w:sz="4" w:space="0" w:color="auto"/>
              <w:bottom w:val="single" w:sz="4" w:space="0" w:color="auto"/>
              <w:right w:val="single" w:sz="4" w:space="0" w:color="auto"/>
            </w:tcBorders>
            <w:vAlign w:val="center"/>
          </w:tcPr>
          <w:p w14:paraId="7033F540" w14:textId="77777777" w:rsidR="00B201D3" w:rsidRPr="006D4FBA" w:rsidRDefault="009855E8">
            <w:pPr>
              <w:jc w:val="right"/>
              <w:rPr>
                <w:rFonts w:ascii="宋体" w:hAnsi="宋体"/>
              </w:rPr>
            </w:pPr>
            <w:r w:rsidRPr="006D4FBA">
              <w:rPr>
                <w:rFonts w:ascii="宋体" w:hAnsi="宋体" w:hint="eastAsia"/>
              </w:rPr>
              <w:t>-</w:t>
            </w:r>
            <w:r w:rsidRPr="006D4FBA">
              <w:rPr>
                <w:rFonts w:ascii="宋体" w:hAnsi="宋体"/>
              </w:rPr>
              <w:t xml:space="preserve"> </w:t>
            </w:r>
          </w:p>
        </w:tc>
        <w:tc>
          <w:tcPr>
            <w:tcW w:w="958" w:type="dxa"/>
            <w:tcBorders>
              <w:top w:val="single" w:sz="4" w:space="0" w:color="auto"/>
              <w:left w:val="single" w:sz="4" w:space="0" w:color="auto"/>
              <w:bottom w:val="single" w:sz="4" w:space="0" w:color="auto"/>
              <w:right w:val="single" w:sz="4" w:space="0" w:color="auto"/>
            </w:tcBorders>
            <w:vAlign w:val="center"/>
          </w:tcPr>
          <w:p w14:paraId="14547D7B" w14:textId="77777777" w:rsidR="00B201D3" w:rsidRPr="006D4FBA" w:rsidRDefault="009855E8">
            <w:pPr>
              <w:jc w:val="right"/>
              <w:rPr>
                <w:rFonts w:ascii="宋体" w:hAnsi="宋体"/>
              </w:rPr>
            </w:pPr>
            <w:r w:rsidRPr="006D4FBA">
              <w:rPr>
                <w:rFonts w:ascii="宋体" w:hAnsi="宋体"/>
              </w:rPr>
              <w:t xml:space="preserve">7,434  </w:t>
            </w:r>
          </w:p>
        </w:tc>
        <w:tc>
          <w:tcPr>
            <w:tcW w:w="1109" w:type="dxa"/>
            <w:tcBorders>
              <w:top w:val="single" w:sz="4" w:space="0" w:color="auto"/>
              <w:left w:val="single" w:sz="4" w:space="0" w:color="auto"/>
              <w:bottom w:val="single" w:sz="4" w:space="0" w:color="auto"/>
              <w:right w:val="single" w:sz="4" w:space="0" w:color="auto"/>
            </w:tcBorders>
            <w:vAlign w:val="center"/>
          </w:tcPr>
          <w:p w14:paraId="085E9A73" w14:textId="77777777" w:rsidR="00B201D3" w:rsidRPr="006D4FBA" w:rsidRDefault="009855E8">
            <w:pPr>
              <w:jc w:val="right"/>
              <w:rPr>
                <w:rFonts w:ascii="宋体" w:hAnsi="宋体"/>
              </w:rPr>
            </w:pPr>
            <w:r w:rsidRPr="006D4FBA">
              <w:rPr>
                <w:rFonts w:ascii="宋体" w:hAnsi="宋体"/>
              </w:rPr>
              <w:t>1,349.17</w:t>
            </w:r>
          </w:p>
        </w:tc>
        <w:tc>
          <w:tcPr>
            <w:tcW w:w="1201" w:type="dxa"/>
            <w:tcBorders>
              <w:top w:val="single" w:sz="4" w:space="0" w:color="auto"/>
              <w:left w:val="single" w:sz="4" w:space="0" w:color="auto"/>
              <w:bottom w:val="single" w:sz="4" w:space="0" w:color="auto"/>
              <w:right w:val="single" w:sz="4" w:space="0" w:color="auto"/>
            </w:tcBorders>
            <w:vAlign w:val="center"/>
          </w:tcPr>
          <w:p w14:paraId="3057DB2F" w14:textId="77777777" w:rsidR="00B201D3" w:rsidRPr="006D4FBA" w:rsidRDefault="009855E8">
            <w:pPr>
              <w:jc w:val="right"/>
              <w:rPr>
                <w:rFonts w:ascii="宋体" w:hAnsi="宋体"/>
              </w:rPr>
            </w:pPr>
            <w:r w:rsidRPr="006D4FBA">
              <w:rPr>
                <w:rFonts w:ascii="宋体" w:hAnsi="宋体"/>
              </w:rPr>
              <w:t xml:space="preserve">10,030 </w:t>
            </w:r>
          </w:p>
        </w:tc>
        <w:tc>
          <w:tcPr>
            <w:tcW w:w="958" w:type="dxa"/>
            <w:tcBorders>
              <w:top w:val="single" w:sz="4" w:space="0" w:color="auto"/>
              <w:left w:val="single" w:sz="4" w:space="0" w:color="auto"/>
              <w:bottom w:val="single" w:sz="4" w:space="0" w:color="auto"/>
              <w:right w:val="single" w:sz="4" w:space="0" w:color="auto"/>
            </w:tcBorders>
            <w:vAlign w:val="center"/>
          </w:tcPr>
          <w:p w14:paraId="358076C3" w14:textId="77777777" w:rsidR="00B201D3" w:rsidRPr="006D4FBA" w:rsidRDefault="009855E8">
            <w:pPr>
              <w:jc w:val="right"/>
              <w:rPr>
                <w:rFonts w:ascii="宋体" w:hAnsi="宋体"/>
              </w:rPr>
            </w:pPr>
            <w:r w:rsidRPr="006D4FBA">
              <w:rPr>
                <w:rFonts w:ascii="宋体" w:hAnsi="宋体" w:hint="eastAsia"/>
              </w:rPr>
              <w:t>-</w:t>
            </w:r>
          </w:p>
        </w:tc>
        <w:tc>
          <w:tcPr>
            <w:tcW w:w="957" w:type="dxa"/>
            <w:tcBorders>
              <w:top w:val="single" w:sz="4" w:space="0" w:color="auto"/>
              <w:left w:val="single" w:sz="4" w:space="0" w:color="auto"/>
              <w:bottom w:val="single" w:sz="4" w:space="0" w:color="auto"/>
              <w:right w:val="single" w:sz="4" w:space="0" w:color="auto"/>
            </w:tcBorders>
            <w:vAlign w:val="center"/>
          </w:tcPr>
          <w:p w14:paraId="1C58E4C5" w14:textId="77777777" w:rsidR="00B201D3" w:rsidRPr="006D4FBA" w:rsidRDefault="009855E8">
            <w:pPr>
              <w:jc w:val="right"/>
              <w:rPr>
                <w:rFonts w:ascii="宋体" w:hAnsi="宋体"/>
              </w:rPr>
            </w:pPr>
            <w:r w:rsidRPr="006D4FBA">
              <w:rPr>
                <w:rFonts w:ascii="宋体" w:hAnsi="宋体" w:hint="eastAsia"/>
              </w:rPr>
              <w:t xml:space="preserve">6,225 </w:t>
            </w:r>
          </w:p>
        </w:tc>
        <w:tc>
          <w:tcPr>
            <w:tcW w:w="1109" w:type="dxa"/>
            <w:tcBorders>
              <w:top w:val="single" w:sz="4" w:space="0" w:color="auto"/>
              <w:left w:val="single" w:sz="4" w:space="0" w:color="auto"/>
              <w:bottom w:val="single" w:sz="4" w:space="0" w:color="auto"/>
              <w:right w:val="single" w:sz="4" w:space="0" w:color="auto"/>
            </w:tcBorders>
            <w:vAlign w:val="center"/>
          </w:tcPr>
          <w:p w14:paraId="194D0973" w14:textId="77777777" w:rsidR="00B201D3" w:rsidRPr="006D4FBA" w:rsidRDefault="009855E8">
            <w:pPr>
              <w:jc w:val="right"/>
              <w:rPr>
                <w:rFonts w:ascii="宋体" w:hAnsi="宋体"/>
              </w:rPr>
            </w:pPr>
            <w:r w:rsidRPr="006D4FBA">
              <w:rPr>
                <w:rFonts w:ascii="宋体" w:hAnsi="宋体" w:hint="eastAsia"/>
              </w:rPr>
              <w:t xml:space="preserve">1,638.45 </w:t>
            </w:r>
          </w:p>
        </w:tc>
        <w:tc>
          <w:tcPr>
            <w:tcW w:w="1201" w:type="dxa"/>
            <w:tcBorders>
              <w:top w:val="single" w:sz="4" w:space="0" w:color="auto"/>
              <w:left w:val="single" w:sz="4" w:space="0" w:color="auto"/>
              <w:bottom w:val="single" w:sz="4" w:space="0" w:color="auto"/>
              <w:right w:val="single" w:sz="4" w:space="0" w:color="auto"/>
            </w:tcBorders>
            <w:vAlign w:val="center"/>
          </w:tcPr>
          <w:p w14:paraId="3B7036E0" w14:textId="77777777" w:rsidR="00B201D3" w:rsidRPr="006D4FBA" w:rsidRDefault="009855E8">
            <w:pPr>
              <w:jc w:val="right"/>
              <w:rPr>
                <w:rFonts w:ascii="宋体" w:hAnsi="宋体"/>
              </w:rPr>
            </w:pPr>
            <w:r w:rsidRPr="006D4FBA">
              <w:rPr>
                <w:rFonts w:ascii="宋体" w:hAnsi="宋体" w:hint="eastAsia"/>
              </w:rPr>
              <w:t xml:space="preserve">10,199 </w:t>
            </w:r>
          </w:p>
        </w:tc>
      </w:tr>
      <w:tr w:rsidR="00B201D3" w:rsidRPr="006D4FBA" w14:paraId="1D3244C2" w14:textId="77777777">
        <w:trPr>
          <w:trHeight w:val="312"/>
          <w:jc w:val="center"/>
        </w:trPr>
        <w:tc>
          <w:tcPr>
            <w:tcW w:w="1873" w:type="dxa"/>
            <w:tcBorders>
              <w:top w:val="single" w:sz="4" w:space="0" w:color="auto"/>
              <w:left w:val="single" w:sz="4" w:space="0" w:color="auto"/>
              <w:bottom w:val="single" w:sz="4" w:space="0" w:color="auto"/>
              <w:right w:val="single" w:sz="4" w:space="0" w:color="auto"/>
            </w:tcBorders>
            <w:vAlign w:val="center"/>
          </w:tcPr>
          <w:p w14:paraId="2CA10B15" w14:textId="77777777" w:rsidR="00B201D3" w:rsidRPr="006D4FBA" w:rsidRDefault="009855E8">
            <w:pPr>
              <w:jc w:val="center"/>
              <w:rPr>
                <w:rFonts w:ascii="宋体" w:hAnsi="宋体"/>
              </w:rPr>
            </w:pPr>
            <w:r w:rsidRPr="006D4FBA">
              <w:rPr>
                <w:rFonts w:ascii="宋体" w:hAnsi="宋体" w:hint="eastAsia"/>
              </w:rPr>
              <w:t>合计</w:t>
            </w:r>
          </w:p>
        </w:tc>
        <w:tc>
          <w:tcPr>
            <w:tcW w:w="997" w:type="dxa"/>
            <w:tcBorders>
              <w:top w:val="single" w:sz="4" w:space="0" w:color="auto"/>
              <w:left w:val="single" w:sz="4" w:space="0" w:color="auto"/>
              <w:bottom w:val="single" w:sz="4" w:space="0" w:color="auto"/>
              <w:right w:val="single" w:sz="4" w:space="0" w:color="auto"/>
            </w:tcBorders>
            <w:vAlign w:val="center"/>
          </w:tcPr>
          <w:p w14:paraId="3932FFF8" w14:textId="77777777" w:rsidR="00B201D3" w:rsidRPr="006D4FBA" w:rsidRDefault="009855E8">
            <w:pPr>
              <w:jc w:val="right"/>
              <w:rPr>
                <w:rFonts w:ascii="宋体" w:hAnsi="宋体"/>
              </w:rPr>
            </w:pPr>
            <w:r w:rsidRPr="006D4FBA">
              <w:rPr>
                <w:rFonts w:ascii="宋体" w:hAnsi="宋体"/>
              </w:rPr>
              <w:t xml:space="preserve">49,232 </w:t>
            </w:r>
          </w:p>
        </w:tc>
        <w:tc>
          <w:tcPr>
            <w:tcW w:w="958" w:type="dxa"/>
            <w:tcBorders>
              <w:top w:val="single" w:sz="4" w:space="0" w:color="auto"/>
              <w:left w:val="single" w:sz="4" w:space="0" w:color="auto"/>
              <w:bottom w:val="single" w:sz="4" w:space="0" w:color="auto"/>
              <w:right w:val="single" w:sz="4" w:space="0" w:color="auto"/>
            </w:tcBorders>
            <w:vAlign w:val="center"/>
          </w:tcPr>
          <w:p w14:paraId="749290AD" w14:textId="77777777" w:rsidR="00B201D3" w:rsidRPr="006D4FBA" w:rsidRDefault="009855E8">
            <w:pPr>
              <w:jc w:val="right"/>
              <w:rPr>
                <w:rFonts w:ascii="宋体" w:hAnsi="宋体"/>
              </w:rPr>
            </w:pPr>
            <w:r w:rsidRPr="006D4FBA">
              <w:rPr>
                <w:rFonts w:ascii="宋体" w:hAnsi="宋体"/>
              </w:rPr>
              <w:t xml:space="preserve">51,351 </w:t>
            </w:r>
          </w:p>
        </w:tc>
        <w:tc>
          <w:tcPr>
            <w:tcW w:w="1109" w:type="dxa"/>
            <w:tcBorders>
              <w:top w:val="single" w:sz="4" w:space="0" w:color="auto"/>
              <w:left w:val="single" w:sz="4" w:space="0" w:color="auto"/>
              <w:bottom w:val="single" w:sz="4" w:space="0" w:color="auto"/>
              <w:right w:val="single" w:sz="4" w:space="0" w:color="auto"/>
            </w:tcBorders>
            <w:vAlign w:val="center"/>
          </w:tcPr>
          <w:p w14:paraId="35C536E8" w14:textId="77777777" w:rsidR="00B201D3" w:rsidRPr="006D4FBA" w:rsidRDefault="009855E8">
            <w:pPr>
              <w:jc w:val="right"/>
              <w:rPr>
                <w:rFonts w:ascii="宋体" w:hAnsi="宋体"/>
              </w:rPr>
            </w:pPr>
            <w:r w:rsidRPr="006D4FBA">
              <w:rPr>
                <w:rFonts w:ascii="宋体" w:hAnsi="宋体"/>
              </w:rPr>
              <w:t>1,002.25</w:t>
            </w:r>
          </w:p>
        </w:tc>
        <w:tc>
          <w:tcPr>
            <w:tcW w:w="1201" w:type="dxa"/>
            <w:tcBorders>
              <w:top w:val="single" w:sz="4" w:space="0" w:color="auto"/>
              <w:left w:val="single" w:sz="4" w:space="0" w:color="auto"/>
              <w:bottom w:val="single" w:sz="4" w:space="0" w:color="auto"/>
              <w:right w:val="single" w:sz="4" w:space="0" w:color="auto"/>
            </w:tcBorders>
            <w:vAlign w:val="center"/>
          </w:tcPr>
          <w:p w14:paraId="69D83812" w14:textId="77777777" w:rsidR="00B201D3" w:rsidRPr="006D4FBA" w:rsidRDefault="009855E8">
            <w:pPr>
              <w:jc w:val="right"/>
              <w:rPr>
                <w:rFonts w:ascii="宋体" w:hAnsi="宋体"/>
              </w:rPr>
            </w:pPr>
            <w:r w:rsidRPr="006D4FBA">
              <w:rPr>
                <w:rFonts w:ascii="宋体" w:hAnsi="宋体"/>
              </w:rPr>
              <w:t xml:space="preserve">51,466 </w:t>
            </w:r>
          </w:p>
        </w:tc>
        <w:tc>
          <w:tcPr>
            <w:tcW w:w="958" w:type="dxa"/>
            <w:tcBorders>
              <w:top w:val="single" w:sz="4" w:space="0" w:color="auto"/>
              <w:left w:val="single" w:sz="4" w:space="0" w:color="auto"/>
              <w:bottom w:val="single" w:sz="4" w:space="0" w:color="auto"/>
              <w:right w:val="single" w:sz="4" w:space="0" w:color="auto"/>
            </w:tcBorders>
            <w:vAlign w:val="center"/>
          </w:tcPr>
          <w:p w14:paraId="26EC09EB" w14:textId="77777777" w:rsidR="00B201D3" w:rsidRPr="006D4FBA" w:rsidRDefault="009855E8">
            <w:pPr>
              <w:jc w:val="right"/>
              <w:rPr>
                <w:rFonts w:ascii="宋体" w:hAnsi="宋体"/>
              </w:rPr>
            </w:pPr>
            <w:r w:rsidRPr="006D4FBA">
              <w:rPr>
                <w:rFonts w:ascii="宋体" w:hAnsi="宋体" w:hint="eastAsia"/>
              </w:rPr>
              <w:t xml:space="preserve">50,638 </w:t>
            </w:r>
          </w:p>
        </w:tc>
        <w:tc>
          <w:tcPr>
            <w:tcW w:w="957" w:type="dxa"/>
            <w:tcBorders>
              <w:top w:val="single" w:sz="4" w:space="0" w:color="auto"/>
              <w:left w:val="single" w:sz="4" w:space="0" w:color="auto"/>
              <w:bottom w:val="single" w:sz="4" w:space="0" w:color="auto"/>
              <w:right w:val="single" w:sz="4" w:space="0" w:color="auto"/>
            </w:tcBorders>
            <w:vAlign w:val="center"/>
          </w:tcPr>
          <w:p w14:paraId="48454E1E" w14:textId="77777777" w:rsidR="00B201D3" w:rsidRPr="006D4FBA" w:rsidRDefault="009855E8">
            <w:pPr>
              <w:jc w:val="right"/>
              <w:rPr>
                <w:rFonts w:ascii="宋体" w:hAnsi="宋体"/>
              </w:rPr>
            </w:pPr>
            <w:r w:rsidRPr="006D4FBA">
              <w:rPr>
                <w:rFonts w:ascii="宋体" w:hAnsi="宋体" w:hint="eastAsia"/>
              </w:rPr>
              <w:t xml:space="preserve">53,068 </w:t>
            </w:r>
          </w:p>
        </w:tc>
        <w:tc>
          <w:tcPr>
            <w:tcW w:w="1109" w:type="dxa"/>
            <w:tcBorders>
              <w:top w:val="single" w:sz="4" w:space="0" w:color="auto"/>
              <w:left w:val="single" w:sz="4" w:space="0" w:color="auto"/>
              <w:bottom w:val="single" w:sz="4" w:space="0" w:color="auto"/>
              <w:right w:val="single" w:sz="4" w:space="0" w:color="auto"/>
            </w:tcBorders>
            <w:vAlign w:val="center"/>
          </w:tcPr>
          <w:p w14:paraId="25D2B542" w14:textId="77777777" w:rsidR="00B201D3" w:rsidRPr="006D4FBA" w:rsidRDefault="009855E8">
            <w:pPr>
              <w:jc w:val="right"/>
              <w:rPr>
                <w:rFonts w:ascii="宋体" w:hAnsi="宋体"/>
              </w:rPr>
            </w:pPr>
            <w:r w:rsidRPr="006D4FBA">
              <w:rPr>
                <w:rFonts w:ascii="宋体" w:hAnsi="宋体" w:hint="eastAsia"/>
              </w:rPr>
              <w:t xml:space="preserve">1,154.78 </w:t>
            </w:r>
          </w:p>
        </w:tc>
        <w:tc>
          <w:tcPr>
            <w:tcW w:w="1201" w:type="dxa"/>
            <w:tcBorders>
              <w:top w:val="single" w:sz="4" w:space="0" w:color="auto"/>
              <w:left w:val="single" w:sz="4" w:space="0" w:color="auto"/>
              <w:bottom w:val="single" w:sz="4" w:space="0" w:color="auto"/>
              <w:right w:val="single" w:sz="4" w:space="0" w:color="auto"/>
            </w:tcBorders>
            <w:vAlign w:val="center"/>
          </w:tcPr>
          <w:p w14:paraId="1F806F15" w14:textId="77777777" w:rsidR="00B201D3" w:rsidRPr="006D4FBA" w:rsidRDefault="009855E8">
            <w:pPr>
              <w:jc w:val="right"/>
              <w:rPr>
                <w:rFonts w:ascii="宋体" w:hAnsi="宋体"/>
              </w:rPr>
            </w:pPr>
            <w:r w:rsidRPr="006D4FBA">
              <w:rPr>
                <w:rFonts w:ascii="宋体" w:hAnsi="宋体" w:hint="eastAsia"/>
              </w:rPr>
              <w:t xml:space="preserve">61,282 </w:t>
            </w:r>
          </w:p>
        </w:tc>
      </w:tr>
      <w:bookmarkEnd w:id="32"/>
    </w:tbl>
    <w:p w14:paraId="2C848EEF" w14:textId="77777777" w:rsidR="00B201D3" w:rsidRPr="006D4FBA" w:rsidRDefault="00B201D3">
      <w:pPr>
        <w:rPr>
          <w:lang w:val="en-GB"/>
        </w:rPr>
      </w:pPr>
    </w:p>
    <w:p w14:paraId="746C3319" w14:textId="77777777" w:rsidR="00B201D3" w:rsidRPr="006D4FBA" w:rsidRDefault="009855E8">
      <w:pPr>
        <w:ind w:firstLineChars="200" w:firstLine="420"/>
        <w:rPr>
          <w:bCs/>
          <w:lang w:val="en-GB"/>
        </w:rPr>
      </w:pPr>
      <w:r w:rsidRPr="006D4FBA">
        <w:rPr>
          <w:rFonts w:hint="eastAsia"/>
          <w:bCs/>
          <w:lang w:val="en-GB"/>
        </w:rPr>
        <w:t>影响煤炭业务销售收入变动因素分析如下表：</w:t>
      </w:r>
    </w:p>
    <w:p w14:paraId="75F142D6" w14:textId="77777777" w:rsidR="00B201D3" w:rsidRPr="006D4FBA" w:rsidRDefault="00B201D3">
      <w:pPr>
        <w:ind w:firstLineChars="200" w:firstLine="420"/>
        <w:rPr>
          <w:lang w:val="en-GB"/>
        </w:rPr>
      </w:pPr>
    </w:p>
    <w:tbl>
      <w:tblPr>
        <w:tblStyle w:val="g21"/>
        <w:tblW w:w="953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6"/>
        <w:gridCol w:w="2987"/>
        <w:gridCol w:w="3207"/>
      </w:tblGrid>
      <w:tr w:rsidR="00B201D3" w:rsidRPr="006D4FBA" w14:paraId="03E2166B" w14:textId="77777777">
        <w:trPr>
          <w:trHeight w:val="492"/>
          <w:jc w:val="center"/>
        </w:trPr>
        <w:tc>
          <w:tcPr>
            <w:tcW w:w="3336" w:type="dxa"/>
            <w:vMerge w:val="restart"/>
            <w:tcBorders>
              <w:top w:val="single" w:sz="4" w:space="0" w:color="auto"/>
              <w:left w:val="single" w:sz="4" w:space="0" w:color="auto"/>
              <w:bottom w:val="single" w:sz="4" w:space="0" w:color="auto"/>
              <w:right w:val="single" w:sz="4" w:space="0" w:color="auto"/>
            </w:tcBorders>
          </w:tcPr>
          <w:p w14:paraId="439DF637" w14:textId="77777777" w:rsidR="00B201D3" w:rsidRPr="006D4FBA" w:rsidRDefault="009855E8">
            <w:pPr>
              <w:rPr>
                <w:rFonts w:ascii="宋体" w:hAnsi="宋体"/>
                <w:lang w:val="en-GB"/>
              </w:rPr>
            </w:pPr>
            <w:bookmarkStart w:id="33" w:name="_Hlk520899514"/>
            <w:r w:rsidRPr="006D4FBA">
              <w:rPr>
                <w:rFonts w:ascii="宋体" w:hAnsi="宋体" w:hint="eastAsia"/>
                <w:lang w:val="en-GB"/>
              </w:rPr>
              <w:t xml:space="preserve">　</w:t>
            </w:r>
          </w:p>
        </w:tc>
        <w:tc>
          <w:tcPr>
            <w:tcW w:w="2987" w:type="dxa"/>
            <w:tcBorders>
              <w:top w:val="single" w:sz="4" w:space="0" w:color="auto"/>
              <w:left w:val="single" w:sz="4" w:space="0" w:color="auto"/>
              <w:bottom w:val="single" w:sz="4" w:space="0" w:color="auto"/>
              <w:right w:val="single" w:sz="4" w:space="0" w:color="auto"/>
            </w:tcBorders>
            <w:vAlign w:val="center"/>
          </w:tcPr>
          <w:p w14:paraId="1DFB7A2B" w14:textId="77777777" w:rsidR="00B201D3" w:rsidRPr="006D4FBA" w:rsidRDefault="009855E8">
            <w:pPr>
              <w:spacing w:line="240" w:lineRule="atLeast"/>
              <w:jc w:val="center"/>
              <w:rPr>
                <w:rFonts w:ascii="宋体" w:hAnsi="宋体"/>
                <w:lang w:val="en-GB"/>
              </w:rPr>
            </w:pPr>
            <w:r w:rsidRPr="006D4FBA">
              <w:rPr>
                <w:rFonts w:ascii="宋体" w:hAnsi="宋体" w:hint="eastAsia"/>
                <w:lang w:val="en-GB"/>
              </w:rPr>
              <w:t>煤炭销量变化影响</w:t>
            </w:r>
          </w:p>
        </w:tc>
        <w:tc>
          <w:tcPr>
            <w:tcW w:w="3207" w:type="dxa"/>
            <w:tcBorders>
              <w:top w:val="single" w:sz="4" w:space="0" w:color="auto"/>
              <w:left w:val="single" w:sz="4" w:space="0" w:color="auto"/>
              <w:bottom w:val="single" w:sz="4" w:space="0" w:color="auto"/>
              <w:right w:val="single" w:sz="4" w:space="0" w:color="auto"/>
            </w:tcBorders>
            <w:vAlign w:val="center"/>
          </w:tcPr>
          <w:p w14:paraId="538A8376" w14:textId="77777777" w:rsidR="00B201D3" w:rsidRPr="006D4FBA" w:rsidRDefault="009855E8">
            <w:pPr>
              <w:spacing w:line="240" w:lineRule="atLeast"/>
              <w:jc w:val="center"/>
              <w:rPr>
                <w:rFonts w:ascii="宋体" w:hAnsi="宋体"/>
                <w:lang w:val="en-GB"/>
              </w:rPr>
            </w:pPr>
            <w:r w:rsidRPr="006D4FBA">
              <w:rPr>
                <w:rFonts w:ascii="宋体" w:hAnsi="宋体" w:hint="eastAsia"/>
                <w:lang w:val="en-GB"/>
              </w:rPr>
              <w:t>煤炭销售价格变化影响</w:t>
            </w:r>
          </w:p>
        </w:tc>
      </w:tr>
      <w:tr w:rsidR="00B201D3" w:rsidRPr="006D4FBA" w14:paraId="59E9B2B6" w14:textId="77777777">
        <w:trPr>
          <w:trHeight w:val="316"/>
          <w:jc w:val="center"/>
        </w:trPr>
        <w:tc>
          <w:tcPr>
            <w:tcW w:w="3336" w:type="dxa"/>
            <w:vMerge/>
            <w:tcBorders>
              <w:top w:val="single" w:sz="4" w:space="0" w:color="auto"/>
              <w:left w:val="single" w:sz="4" w:space="0" w:color="auto"/>
              <w:bottom w:val="single" w:sz="4" w:space="0" w:color="auto"/>
              <w:right w:val="single" w:sz="4" w:space="0" w:color="auto"/>
            </w:tcBorders>
            <w:vAlign w:val="center"/>
          </w:tcPr>
          <w:p w14:paraId="1382C477" w14:textId="77777777" w:rsidR="00B201D3" w:rsidRPr="006D4FBA" w:rsidRDefault="00B201D3">
            <w:pPr>
              <w:rPr>
                <w:rFonts w:ascii="宋体" w:hAnsi="宋体"/>
                <w:lang w:val="en-GB"/>
              </w:rPr>
            </w:pPr>
          </w:p>
        </w:tc>
        <w:tc>
          <w:tcPr>
            <w:tcW w:w="2987" w:type="dxa"/>
            <w:tcBorders>
              <w:top w:val="single" w:sz="4" w:space="0" w:color="auto"/>
              <w:left w:val="single" w:sz="4" w:space="0" w:color="auto"/>
              <w:bottom w:val="single" w:sz="4" w:space="0" w:color="auto"/>
              <w:right w:val="single" w:sz="4" w:space="0" w:color="auto"/>
            </w:tcBorders>
            <w:vAlign w:val="center"/>
          </w:tcPr>
          <w:p w14:paraId="1AB7C88C" w14:textId="77777777" w:rsidR="00B201D3" w:rsidRPr="006D4FBA" w:rsidRDefault="009855E8">
            <w:pPr>
              <w:spacing w:line="240" w:lineRule="atLeast"/>
              <w:jc w:val="center"/>
              <w:rPr>
                <w:rFonts w:ascii="宋体" w:hAnsi="宋体"/>
                <w:lang w:val="en-GB"/>
              </w:rPr>
            </w:pPr>
            <w:r w:rsidRPr="006D4FBA">
              <w:rPr>
                <w:rFonts w:ascii="宋体" w:hAnsi="宋体" w:hint="eastAsia"/>
                <w:lang w:val="en-GB"/>
              </w:rPr>
              <w:t>（百万元）</w:t>
            </w:r>
          </w:p>
        </w:tc>
        <w:tc>
          <w:tcPr>
            <w:tcW w:w="3207" w:type="dxa"/>
            <w:tcBorders>
              <w:top w:val="single" w:sz="4" w:space="0" w:color="auto"/>
              <w:left w:val="single" w:sz="4" w:space="0" w:color="auto"/>
              <w:bottom w:val="single" w:sz="4" w:space="0" w:color="auto"/>
              <w:right w:val="single" w:sz="4" w:space="0" w:color="auto"/>
            </w:tcBorders>
            <w:vAlign w:val="center"/>
          </w:tcPr>
          <w:p w14:paraId="179568FF" w14:textId="77777777" w:rsidR="00B201D3" w:rsidRPr="006D4FBA" w:rsidRDefault="009855E8">
            <w:pPr>
              <w:spacing w:line="240" w:lineRule="atLeast"/>
              <w:jc w:val="center"/>
              <w:rPr>
                <w:rFonts w:ascii="宋体" w:hAnsi="宋体"/>
                <w:lang w:val="en-GB"/>
              </w:rPr>
            </w:pPr>
            <w:r w:rsidRPr="006D4FBA">
              <w:rPr>
                <w:rFonts w:ascii="宋体" w:hAnsi="宋体" w:hint="eastAsia"/>
                <w:lang w:val="en-GB"/>
              </w:rPr>
              <w:t>（百万元）</w:t>
            </w:r>
          </w:p>
        </w:tc>
      </w:tr>
      <w:tr w:rsidR="00B201D3" w:rsidRPr="006D4FBA" w14:paraId="4DF1FE32" w14:textId="77777777">
        <w:trPr>
          <w:trHeight w:hRule="exact" w:val="340"/>
          <w:jc w:val="center"/>
        </w:trPr>
        <w:tc>
          <w:tcPr>
            <w:tcW w:w="3336" w:type="dxa"/>
            <w:tcBorders>
              <w:top w:val="single" w:sz="4" w:space="0" w:color="auto"/>
              <w:left w:val="single" w:sz="4" w:space="0" w:color="auto"/>
              <w:bottom w:val="single" w:sz="4" w:space="0" w:color="auto"/>
              <w:right w:val="single" w:sz="4" w:space="0" w:color="auto"/>
            </w:tcBorders>
            <w:vAlign w:val="center"/>
          </w:tcPr>
          <w:p w14:paraId="7579D32B" w14:textId="77777777" w:rsidR="00B201D3" w:rsidRPr="006D4FBA" w:rsidRDefault="009855E8">
            <w:pPr>
              <w:rPr>
                <w:rFonts w:ascii="宋体" w:hAnsi="宋体"/>
                <w:lang w:val="en-GB"/>
              </w:rPr>
            </w:pPr>
            <w:r w:rsidRPr="006D4FBA">
              <w:rPr>
                <w:rFonts w:ascii="宋体" w:hAnsi="宋体" w:hint="eastAsia"/>
                <w:lang w:val="en-GB"/>
              </w:rPr>
              <w:t>公司</w:t>
            </w:r>
          </w:p>
        </w:tc>
        <w:tc>
          <w:tcPr>
            <w:tcW w:w="2987" w:type="dxa"/>
            <w:tcBorders>
              <w:top w:val="single" w:sz="4" w:space="0" w:color="auto"/>
              <w:left w:val="single" w:sz="4" w:space="0" w:color="auto"/>
              <w:bottom w:val="single" w:sz="4" w:space="0" w:color="auto"/>
              <w:right w:val="single" w:sz="4" w:space="0" w:color="auto"/>
            </w:tcBorders>
            <w:vAlign w:val="center"/>
          </w:tcPr>
          <w:p w14:paraId="5DA71DC4" w14:textId="77777777" w:rsidR="00B201D3" w:rsidRPr="006D4FBA" w:rsidRDefault="009855E8">
            <w:pPr>
              <w:jc w:val="right"/>
              <w:rPr>
                <w:rFonts w:ascii="宋体" w:hAnsi="宋体"/>
              </w:rPr>
            </w:pPr>
            <w:r w:rsidRPr="006D4FBA">
              <w:rPr>
                <w:rFonts w:ascii="宋体" w:hAnsi="宋体"/>
              </w:rPr>
              <w:t xml:space="preserve">-1,969 </w:t>
            </w:r>
          </w:p>
        </w:tc>
        <w:tc>
          <w:tcPr>
            <w:tcW w:w="3207" w:type="dxa"/>
            <w:tcBorders>
              <w:top w:val="single" w:sz="4" w:space="0" w:color="auto"/>
              <w:left w:val="single" w:sz="4" w:space="0" w:color="auto"/>
              <w:bottom w:val="single" w:sz="4" w:space="0" w:color="auto"/>
              <w:right w:val="single" w:sz="4" w:space="0" w:color="auto"/>
            </w:tcBorders>
            <w:vAlign w:val="center"/>
          </w:tcPr>
          <w:p w14:paraId="6F2DDFDC" w14:textId="77777777" w:rsidR="00B201D3" w:rsidRPr="006D4FBA" w:rsidRDefault="009855E8">
            <w:pPr>
              <w:jc w:val="right"/>
              <w:rPr>
                <w:rFonts w:ascii="宋体" w:hAnsi="宋体"/>
              </w:rPr>
            </w:pPr>
            <w:r w:rsidRPr="006D4FBA">
              <w:rPr>
                <w:rFonts w:ascii="宋体" w:hAnsi="宋体"/>
              </w:rPr>
              <w:t xml:space="preserve">-2,064 </w:t>
            </w:r>
          </w:p>
        </w:tc>
      </w:tr>
      <w:tr w:rsidR="00B201D3" w:rsidRPr="006D4FBA" w14:paraId="22AEB1F4" w14:textId="77777777">
        <w:trPr>
          <w:trHeight w:hRule="exact" w:val="340"/>
          <w:jc w:val="center"/>
        </w:trPr>
        <w:tc>
          <w:tcPr>
            <w:tcW w:w="3336" w:type="dxa"/>
            <w:tcBorders>
              <w:top w:val="single" w:sz="4" w:space="0" w:color="auto"/>
              <w:left w:val="single" w:sz="4" w:space="0" w:color="auto"/>
              <w:bottom w:val="single" w:sz="4" w:space="0" w:color="auto"/>
              <w:right w:val="single" w:sz="4" w:space="0" w:color="auto"/>
            </w:tcBorders>
            <w:vAlign w:val="center"/>
          </w:tcPr>
          <w:p w14:paraId="57B1A6FE" w14:textId="77777777" w:rsidR="00B201D3" w:rsidRPr="006D4FBA" w:rsidRDefault="009855E8">
            <w:pPr>
              <w:rPr>
                <w:rFonts w:ascii="宋体" w:hAnsi="宋体"/>
                <w:lang w:val="en-GB"/>
              </w:rPr>
            </w:pPr>
            <w:r w:rsidRPr="006D4FBA">
              <w:rPr>
                <w:rFonts w:ascii="宋体" w:hAnsi="宋体" w:hint="eastAsia"/>
                <w:lang w:val="en-GB"/>
              </w:rPr>
              <w:t>菏泽能化</w:t>
            </w:r>
          </w:p>
        </w:tc>
        <w:tc>
          <w:tcPr>
            <w:tcW w:w="2987" w:type="dxa"/>
            <w:tcBorders>
              <w:top w:val="single" w:sz="4" w:space="0" w:color="auto"/>
              <w:left w:val="single" w:sz="4" w:space="0" w:color="auto"/>
              <w:bottom w:val="single" w:sz="4" w:space="0" w:color="auto"/>
              <w:right w:val="single" w:sz="4" w:space="0" w:color="auto"/>
            </w:tcBorders>
            <w:vAlign w:val="center"/>
          </w:tcPr>
          <w:p w14:paraId="55604E84" w14:textId="77777777" w:rsidR="00B201D3" w:rsidRPr="006D4FBA" w:rsidRDefault="009855E8">
            <w:pPr>
              <w:jc w:val="right"/>
              <w:rPr>
                <w:rFonts w:ascii="宋体" w:hAnsi="宋体"/>
              </w:rPr>
            </w:pPr>
            <w:r w:rsidRPr="006D4FBA">
              <w:rPr>
                <w:rFonts w:ascii="宋体" w:hAnsi="宋体"/>
              </w:rPr>
              <w:t xml:space="preserve">587 </w:t>
            </w:r>
          </w:p>
        </w:tc>
        <w:tc>
          <w:tcPr>
            <w:tcW w:w="3207" w:type="dxa"/>
            <w:tcBorders>
              <w:top w:val="single" w:sz="4" w:space="0" w:color="auto"/>
              <w:left w:val="single" w:sz="4" w:space="0" w:color="auto"/>
              <w:bottom w:val="single" w:sz="4" w:space="0" w:color="auto"/>
              <w:right w:val="single" w:sz="4" w:space="0" w:color="auto"/>
            </w:tcBorders>
            <w:vAlign w:val="center"/>
          </w:tcPr>
          <w:p w14:paraId="6AB0FB89" w14:textId="77777777" w:rsidR="00B201D3" w:rsidRPr="006D4FBA" w:rsidRDefault="009855E8">
            <w:pPr>
              <w:jc w:val="right"/>
              <w:rPr>
                <w:rFonts w:ascii="宋体" w:hAnsi="宋体"/>
              </w:rPr>
            </w:pPr>
            <w:r w:rsidRPr="006D4FBA">
              <w:rPr>
                <w:rFonts w:ascii="宋体" w:hAnsi="宋体"/>
              </w:rPr>
              <w:t xml:space="preserve">-536 </w:t>
            </w:r>
          </w:p>
        </w:tc>
      </w:tr>
      <w:tr w:rsidR="00B201D3" w:rsidRPr="006D4FBA" w14:paraId="341D8143" w14:textId="77777777">
        <w:trPr>
          <w:trHeight w:hRule="exact" w:val="340"/>
          <w:jc w:val="center"/>
        </w:trPr>
        <w:tc>
          <w:tcPr>
            <w:tcW w:w="3336" w:type="dxa"/>
            <w:tcBorders>
              <w:top w:val="single" w:sz="4" w:space="0" w:color="auto"/>
              <w:left w:val="single" w:sz="4" w:space="0" w:color="auto"/>
              <w:bottom w:val="single" w:sz="4" w:space="0" w:color="auto"/>
              <w:right w:val="single" w:sz="4" w:space="0" w:color="auto"/>
            </w:tcBorders>
            <w:vAlign w:val="center"/>
          </w:tcPr>
          <w:p w14:paraId="22EDA8CC" w14:textId="77777777" w:rsidR="00B201D3" w:rsidRPr="006D4FBA" w:rsidRDefault="009855E8">
            <w:pPr>
              <w:rPr>
                <w:rFonts w:ascii="宋体" w:hAnsi="宋体"/>
                <w:lang w:val="en-GB"/>
              </w:rPr>
            </w:pPr>
            <w:r w:rsidRPr="006D4FBA">
              <w:rPr>
                <w:rFonts w:ascii="宋体" w:hAnsi="宋体" w:hint="eastAsia"/>
                <w:lang w:val="en-GB"/>
              </w:rPr>
              <w:t>山西能化</w:t>
            </w:r>
          </w:p>
        </w:tc>
        <w:tc>
          <w:tcPr>
            <w:tcW w:w="2987" w:type="dxa"/>
            <w:tcBorders>
              <w:top w:val="single" w:sz="4" w:space="0" w:color="auto"/>
              <w:left w:val="single" w:sz="4" w:space="0" w:color="auto"/>
              <w:bottom w:val="single" w:sz="4" w:space="0" w:color="auto"/>
              <w:right w:val="single" w:sz="4" w:space="0" w:color="auto"/>
            </w:tcBorders>
            <w:vAlign w:val="center"/>
          </w:tcPr>
          <w:p w14:paraId="127154B5" w14:textId="77777777" w:rsidR="00B201D3" w:rsidRPr="006D4FBA" w:rsidRDefault="009855E8">
            <w:pPr>
              <w:jc w:val="right"/>
              <w:rPr>
                <w:rFonts w:ascii="宋体" w:hAnsi="宋体"/>
              </w:rPr>
            </w:pPr>
            <w:r w:rsidRPr="006D4FBA">
              <w:rPr>
                <w:rFonts w:ascii="宋体" w:hAnsi="宋体"/>
              </w:rPr>
              <w:t xml:space="preserve">-112 </w:t>
            </w:r>
          </w:p>
        </w:tc>
        <w:tc>
          <w:tcPr>
            <w:tcW w:w="3207" w:type="dxa"/>
            <w:tcBorders>
              <w:top w:val="single" w:sz="4" w:space="0" w:color="auto"/>
              <w:left w:val="single" w:sz="4" w:space="0" w:color="auto"/>
              <w:bottom w:val="single" w:sz="4" w:space="0" w:color="auto"/>
              <w:right w:val="single" w:sz="4" w:space="0" w:color="auto"/>
            </w:tcBorders>
            <w:vAlign w:val="center"/>
          </w:tcPr>
          <w:p w14:paraId="20CB58E1" w14:textId="77777777" w:rsidR="00B201D3" w:rsidRPr="006D4FBA" w:rsidRDefault="009855E8">
            <w:pPr>
              <w:jc w:val="right"/>
              <w:rPr>
                <w:rFonts w:ascii="宋体" w:hAnsi="宋体"/>
              </w:rPr>
            </w:pPr>
            <w:r w:rsidRPr="006D4FBA">
              <w:rPr>
                <w:rFonts w:ascii="宋体" w:hAnsi="宋体"/>
              </w:rPr>
              <w:t xml:space="preserve">15 </w:t>
            </w:r>
          </w:p>
        </w:tc>
      </w:tr>
      <w:tr w:rsidR="00B201D3" w:rsidRPr="006D4FBA" w14:paraId="0B948A50" w14:textId="77777777">
        <w:trPr>
          <w:trHeight w:hRule="exact" w:val="340"/>
          <w:jc w:val="center"/>
        </w:trPr>
        <w:tc>
          <w:tcPr>
            <w:tcW w:w="3336" w:type="dxa"/>
            <w:tcBorders>
              <w:top w:val="single" w:sz="4" w:space="0" w:color="auto"/>
              <w:left w:val="single" w:sz="4" w:space="0" w:color="auto"/>
              <w:bottom w:val="single" w:sz="4" w:space="0" w:color="auto"/>
              <w:right w:val="single" w:sz="4" w:space="0" w:color="auto"/>
            </w:tcBorders>
            <w:vAlign w:val="center"/>
          </w:tcPr>
          <w:p w14:paraId="6AF4B2CA" w14:textId="77777777" w:rsidR="00B201D3" w:rsidRPr="006D4FBA" w:rsidRDefault="009855E8">
            <w:pPr>
              <w:rPr>
                <w:rFonts w:ascii="宋体" w:hAnsi="宋体"/>
                <w:lang w:val="en-GB"/>
              </w:rPr>
            </w:pPr>
            <w:r w:rsidRPr="006D4FBA">
              <w:rPr>
                <w:rFonts w:ascii="宋体" w:hAnsi="宋体" w:hint="eastAsia"/>
                <w:lang w:val="en-GB"/>
              </w:rPr>
              <w:t>未来能源</w:t>
            </w:r>
          </w:p>
        </w:tc>
        <w:tc>
          <w:tcPr>
            <w:tcW w:w="2987" w:type="dxa"/>
            <w:tcBorders>
              <w:top w:val="single" w:sz="4" w:space="0" w:color="auto"/>
              <w:left w:val="single" w:sz="4" w:space="0" w:color="auto"/>
              <w:bottom w:val="single" w:sz="4" w:space="0" w:color="auto"/>
              <w:right w:val="single" w:sz="4" w:space="0" w:color="auto"/>
            </w:tcBorders>
            <w:vAlign w:val="center"/>
          </w:tcPr>
          <w:p w14:paraId="487BEC37" w14:textId="77777777" w:rsidR="00B201D3" w:rsidRPr="006D4FBA" w:rsidRDefault="009855E8">
            <w:pPr>
              <w:jc w:val="right"/>
              <w:rPr>
                <w:rFonts w:ascii="宋体" w:hAnsi="宋体"/>
              </w:rPr>
            </w:pPr>
            <w:r w:rsidRPr="006D4FBA">
              <w:rPr>
                <w:rFonts w:ascii="宋体" w:hAnsi="宋体"/>
              </w:rPr>
              <w:t xml:space="preserve">818 </w:t>
            </w:r>
          </w:p>
        </w:tc>
        <w:tc>
          <w:tcPr>
            <w:tcW w:w="3207" w:type="dxa"/>
            <w:tcBorders>
              <w:top w:val="single" w:sz="4" w:space="0" w:color="auto"/>
              <w:left w:val="single" w:sz="4" w:space="0" w:color="auto"/>
              <w:bottom w:val="single" w:sz="4" w:space="0" w:color="auto"/>
              <w:right w:val="single" w:sz="4" w:space="0" w:color="auto"/>
            </w:tcBorders>
            <w:vAlign w:val="center"/>
          </w:tcPr>
          <w:p w14:paraId="5521C522" w14:textId="77777777" w:rsidR="00B201D3" w:rsidRPr="006D4FBA" w:rsidRDefault="009855E8">
            <w:pPr>
              <w:jc w:val="right"/>
              <w:rPr>
                <w:rFonts w:ascii="宋体" w:hAnsi="宋体"/>
              </w:rPr>
            </w:pPr>
            <w:r w:rsidRPr="006D4FBA">
              <w:rPr>
                <w:rFonts w:ascii="宋体" w:hAnsi="宋体"/>
              </w:rPr>
              <w:t xml:space="preserve">-1,083 </w:t>
            </w:r>
          </w:p>
        </w:tc>
      </w:tr>
      <w:tr w:rsidR="00B201D3" w:rsidRPr="006D4FBA" w14:paraId="61AC0CC1" w14:textId="77777777">
        <w:trPr>
          <w:trHeight w:hRule="exact" w:val="340"/>
          <w:jc w:val="center"/>
        </w:trPr>
        <w:tc>
          <w:tcPr>
            <w:tcW w:w="3336" w:type="dxa"/>
            <w:tcBorders>
              <w:top w:val="single" w:sz="4" w:space="0" w:color="auto"/>
              <w:left w:val="single" w:sz="4" w:space="0" w:color="auto"/>
              <w:bottom w:val="single" w:sz="4" w:space="0" w:color="auto"/>
              <w:right w:val="single" w:sz="4" w:space="0" w:color="auto"/>
            </w:tcBorders>
            <w:vAlign w:val="center"/>
          </w:tcPr>
          <w:p w14:paraId="5C8AD42F" w14:textId="77777777" w:rsidR="00B201D3" w:rsidRPr="006D4FBA" w:rsidRDefault="009855E8">
            <w:pPr>
              <w:rPr>
                <w:rFonts w:ascii="宋体" w:hAnsi="宋体"/>
                <w:lang w:val="en-GB"/>
              </w:rPr>
            </w:pPr>
            <w:r w:rsidRPr="006D4FBA">
              <w:rPr>
                <w:rFonts w:ascii="宋体" w:hAnsi="宋体" w:hint="eastAsia"/>
                <w:lang w:val="en-GB"/>
              </w:rPr>
              <w:t>鄂尔多斯公司</w:t>
            </w:r>
          </w:p>
        </w:tc>
        <w:tc>
          <w:tcPr>
            <w:tcW w:w="2987" w:type="dxa"/>
            <w:tcBorders>
              <w:top w:val="single" w:sz="4" w:space="0" w:color="auto"/>
              <w:left w:val="single" w:sz="4" w:space="0" w:color="auto"/>
              <w:bottom w:val="single" w:sz="4" w:space="0" w:color="auto"/>
              <w:right w:val="single" w:sz="4" w:space="0" w:color="auto"/>
            </w:tcBorders>
            <w:vAlign w:val="center"/>
          </w:tcPr>
          <w:p w14:paraId="54FB06F5" w14:textId="77777777" w:rsidR="00B201D3" w:rsidRPr="006D4FBA" w:rsidRDefault="009855E8">
            <w:pPr>
              <w:jc w:val="right"/>
              <w:rPr>
                <w:rFonts w:ascii="宋体" w:hAnsi="宋体"/>
              </w:rPr>
            </w:pPr>
            <w:r w:rsidRPr="006D4FBA">
              <w:rPr>
                <w:rFonts w:ascii="宋体" w:hAnsi="宋体"/>
              </w:rPr>
              <w:t xml:space="preserve">-1,217 </w:t>
            </w:r>
          </w:p>
        </w:tc>
        <w:tc>
          <w:tcPr>
            <w:tcW w:w="3207" w:type="dxa"/>
            <w:tcBorders>
              <w:top w:val="single" w:sz="4" w:space="0" w:color="auto"/>
              <w:left w:val="single" w:sz="4" w:space="0" w:color="auto"/>
              <w:bottom w:val="single" w:sz="4" w:space="0" w:color="auto"/>
              <w:right w:val="single" w:sz="4" w:space="0" w:color="auto"/>
            </w:tcBorders>
            <w:vAlign w:val="center"/>
          </w:tcPr>
          <w:p w14:paraId="3D46D6D2" w14:textId="77777777" w:rsidR="00B201D3" w:rsidRPr="006D4FBA" w:rsidRDefault="009855E8">
            <w:pPr>
              <w:jc w:val="right"/>
              <w:rPr>
                <w:rFonts w:ascii="宋体" w:hAnsi="宋体"/>
              </w:rPr>
            </w:pPr>
            <w:r w:rsidRPr="006D4FBA">
              <w:rPr>
                <w:rFonts w:ascii="宋体" w:hAnsi="宋体"/>
              </w:rPr>
              <w:t xml:space="preserve">-559 </w:t>
            </w:r>
          </w:p>
        </w:tc>
      </w:tr>
      <w:tr w:rsidR="00B201D3" w:rsidRPr="006D4FBA" w14:paraId="1AA4E509" w14:textId="77777777">
        <w:trPr>
          <w:trHeight w:hRule="exact" w:val="340"/>
          <w:jc w:val="center"/>
        </w:trPr>
        <w:tc>
          <w:tcPr>
            <w:tcW w:w="3336" w:type="dxa"/>
            <w:tcBorders>
              <w:top w:val="single" w:sz="4" w:space="0" w:color="auto"/>
              <w:left w:val="single" w:sz="4" w:space="0" w:color="auto"/>
              <w:bottom w:val="single" w:sz="4" w:space="0" w:color="auto"/>
              <w:right w:val="single" w:sz="4" w:space="0" w:color="auto"/>
            </w:tcBorders>
            <w:vAlign w:val="center"/>
          </w:tcPr>
          <w:p w14:paraId="2072397B" w14:textId="77777777" w:rsidR="00B201D3" w:rsidRPr="006D4FBA" w:rsidRDefault="009855E8">
            <w:pPr>
              <w:rPr>
                <w:rFonts w:ascii="宋体" w:hAnsi="宋体"/>
                <w:lang w:val="en-GB"/>
              </w:rPr>
            </w:pPr>
            <w:r w:rsidRPr="006D4FBA">
              <w:rPr>
                <w:rFonts w:ascii="宋体" w:hAnsi="宋体" w:hint="eastAsia"/>
                <w:lang w:val="en-GB"/>
              </w:rPr>
              <w:t>昊盛煤业</w:t>
            </w:r>
          </w:p>
        </w:tc>
        <w:tc>
          <w:tcPr>
            <w:tcW w:w="2987" w:type="dxa"/>
            <w:tcBorders>
              <w:top w:val="single" w:sz="4" w:space="0" w:color="auto"/>
              <w:left w:val="single" w:sz="4" w:space="0" w:color="auto"/>
              <w:bottom w:val="single" w:sz="4" w:space="0" w:color="auto"/>
              <w:right w:val="single" w:sz="4" w:space="0" w:color="auto"/>
            </w:tcBorders>
            <w:vAlign w:val="center"/>
          </w:tcPr>
          <w:p w14:paraId="5913F6B4" w14:textId="77777777" w:rsidR="00B201D3" w:rsidRPr="006D4FBA" w:rsidRDefault="009855E8">
            <w:pPr>
              <w:jc w:val="right"/>
              <w:rPr>
                <w:rFonts w:ascii="宋体" w:hAnsi="宋体"/>
              </w:rPr>
            </w:pPr>
            <w:r w:rsidRPr="006D4FBA">
              <w:rPr>
                <w:rFonts w:ascii="宋体" w:hAnsi="宋体"/>
              </w:rPr>
              <w:t xml:space="preserve">886 </w:t>
            </w:r>
          </w:p>
        </w:tc>
        <w:tc>
          <w:tcPr>
            <w:tcW w:w="3207" w:type="dxa"/>
            <w:tcBorders>
              <w:top w:val="single" w:sz="4" w:space="0" w:color="auto"/>
              <w:left w:val="single" w:sz="4" w:space="0" w:color="auto"/>
              <w:bottom w:val="single" w:sz="4" w:space="0" w:color="auto"/>
              <w:right w:val="single" w:sz="4" w:space="0" w:color="auto"/>
            </w:tcBorders>
            <w:vAlign w:val="center"/>
          </w:tcPr>
          <w:p w14:paraId="6DEC3B1E" w14:textId="77777777" w:rsidR="00B201D3" w:rsidRPr="006D4FBA" w:rsidRDefault="009855E8">
            <w:pPr>
              <w:jc w:val="right"/>
              <w:rPr>
                <w:rFonts w:ascii="宋体" w:hAnsi="宋体"/>
              </w:rPr>
            </w:pPr>
            <w:r w:rsidRPr="006D4FBA">
              <w:rPr>
                <w:rFonts w:ascii="宋体" w:hAnsi="宋体"/>
              </w:rPr>
              <w:t xml:space="preserve">-460 </w:t>
            </w:r>
          </w:p>
        </w:tc>
      </w:tr>
      <w:tr w:rsidR="00B201D3" w:rsidRPr="006D4FBA" w14:paraId="6199FCAE" w14:textId="77777777">
        <w:trPr>
          <w:trHeight w:hRule="exact" w:val="340"/>
          <w:jc w:val="center"/>
        </w:trPr>
        <w:tc>
          <w:tcPr>
            <w:tcW w:w="3336" w:type="dxa"/>
            <w:tcBorders>
              <w:top w:val="single" w:sz="4" w:space="0" w:color="auto"/>
              <w:left w:val="single" w:sz="4" w:space="0" w:color="auto"/>
              <w:bottom w:val="single" w:sz="4" w:space="0" w:color="auto"/>
              <w:right w:val="single" w:sz="4" w:space="0" w:color="auto"/>
            </w:tcBorders>
            <w:vAlign w:val="center"/>
          </w:tcPr>
          <w:p w14:paraId="42F35CEA" w14:textId="77777777" w:rsidR="00B201D3" w:rsidRPr="006D4FBA" w:rsidRDefault="009855E8">
            <w:pPr>
              <w:rPr>
                <w:rFonts w:ascii="宋体" w:hAnsi="宋体"/>
                <w:lang w:val="en-GB"/>
              </w:rPr>
            </w:pPr>
            <w:r w:rsidRPr="006D4FBA">
              <w:rPr>
                <w:rFonts w:ascii="宋体" w:hAnsi="宋体" w:hint="eastAsia"/>
                <w:lang w:val="en-GB"/>
              </w:rPr>
              <w:t>内蒙古矿业</w:t>
            </w:r>
          </w:p>
        </w:tc>
        <w:tc>
          <w:tcPr>
            <w:tcW w:w="2987" w:type="dxa"/>
            <w:tcBorders>
              <w:top w:val="single" w:sz="4" w:space="0" w:color="auto"/>
              <w:left w:val="single" w:sz="4" w:space="0" w:color="auto"/>
              <w:bottom w:val="single" w:sz="4" w:space="0" w:color="auto"/>
              <w:right w:val="single" w:sz="4" w:space="0" w:color="auto"/>
            </w:tcBorders>
            <w:vAlign w:val="center"/>
          </w:tcPr>
          <w:p w14:paraId="0D406443" w14:textId="77777777" w:rsidR="00B201D3" w:rsidRPr="006D4FBA" w:rsidRDefault="009855E8">
            <w:pPr>
              <w:jc w:val="right"/>
              <w:rPr>
                <w:rFonts w:ascii="宋体" w:hAnsi="宋体"/>
              </w:rPr>
            </w:pPr>
            <w:r w:rsidRPr="006D4FBA">
              <w:rPr>
                <w:rFonts w:ascii="宋体" w:hAnsi="宋体"/>
              </w:rPr>
              <w:t xml:space="preserve">-144 </w:t>
            </w:r>
          </w:p>
        </w:tc>
        <w:tc>
          <w:tcPr>
            <w:tcW w:w="3207" w:type="dxa"/>
            <w:tcBorders>
              <w:top w:val="single" w:sz="4" w:space="0" w:color="auto"/>
              <w:left w:val="single" w:sz="4" w:space="0" w:color="auto"/>
              <w:bottom w:val="single" w:sz="4" w:space="0" w:color="auto"/>
              <w:right w:val="single" w:sz="4" w:space="0" w:color="auto"/>
            </w:tcBorders>
            <w:vAlign w:val="center"/>
          </w:tcPr>
          <w:p w14:paraId="7A531D5A" w14:textId="77777777" w:rsidR="00B201D3" w:rsidRPr="006D4FBA" w:rsidRDefault="009855E8">
            <w:pPr>
              <w:jc w:val="right"/>
              <w:rPr>
                <w:rFonts w:ascii="宋体" w:hAnsi="宋体"/>
              </w:rPr>
            </w:pPr>
            <w:r w:rsidRPr="006D4FBA">
              <w:rPr>
                <w:rFonts w:ascii="宋体" w:hAnsi="宋体"/>
              </w:rPr>
              <w:t xml:space="preserve">-210 </w:t>
            </w:r>
          </w:p>
        </w:tc>
      </w:tr>
      <w:tr w:rsidR="00B201D3" w:rsidRPr="006D4FBA" w14:paraId="57F0EED3" w14:textId="77777777">
        <w:trPr>
          <w:trHeight w:hRule="exact" w:val="340"/>
          <w:jc w:val="center"/>
        </w:trPr>
        <w:tc>
          <w:tcPr>
            <w:tcW w:w="3336" w:type="dxa"/>
            <w:tcBorders>
              <w:top w:val="single" w:sz="4" w:space="0" w:color="auto"/>
              <w:left w:val="single" w:sz="4" w:space="0" w:color="auto"/>
              <w:bottom w:val="single" w:sz="4" w:space="0" w:color="auto"/>
              <w:right w:val="single" w:sz="4" w:space="0" w:color="auto"/>
            </w:tcBorders>
            <w:vAlign w:val="center"/>
          </w:tcPr>
          <w:p w14:paraId="6B7F8A22" w14:textId="77777777" w:rsidR="00B201D3" w:rsidRPr="006D4FBA" w:rsidRDefault="009855E8">
            <w:pPr>
              <w:rPr>
                <w:rFonts w:ascii="宋体" w:hAnsi="宋体"/>
                <w:lang w:val="en-GB"/>
              </w:rPr>
            </w:pPr>
            <w:r w:rsidRPr="006D4FBA">
              <w:rPr>
                <w:rFonts w:ascii="宋体" w:hAnsi="宋体" w:hint="eastAsia"/>
                <w:lang w:val="en-GB"/>
              </w:rPr>
              <w:t>兖煤澳洲</w:t>
            </w:r>
          </w:p>
        </w:tc>
        <w:tc>
          <w:tcPr>
            <w:tcW w:w="2987" w:type="dxa"/>
            <w:tcBorders>
              <w:top w:val="single" w:sz="4" w:space="0" w:color="auto"/>
              <w:left w:val="single" w:sz="4" w:space="0" w:color="auto"/>
              <w:bottom w:val="single" w:sz="4" w:space="0" w:color="auto"/>
              <w:right w:val="single" w:sz="4" w:space="0" w:color="auto"/>
            </w:tcBorders>
            <w:vAlign w:val="center"/>
          </w:tcPr>
          <w:p w14:paraId="16E31BE9" w14:textId="77777777" w:rsidR="00B201D3" w:rsidRPr="006D4FBA" w:rsidRDefault="009855E8">
            <w:pPr>
              <w:jc w:val="right"/>
              <w:rPr>
                <w:rFonts w:ascii="宋体" w:hAnsi="宋体"/>
              </w:rPr>
            </w:pPr>
            <w:r w:rsidRPr="006D4FBA">
              <w:rPr>
                <w:rFonts w:ascii="宋体" w:hAnsi="宋体"/>
              </w:rPr>
              <w:t xml:space="preserve">-1,782 </w:t>
            </w:r>
          </w:p>
        </w:tc>
        <w:tc>
          <w:tcPr>
            <w:tcW w:w="3207" w:type="dxa"/>
            <w:tcBorders>
              <w:top w:val="single" w:sz="4" w:space="0" w:color="auto"/>
              <w:left w:val="single" w:sz="4" w:space="0" w:color="auto"/>
              <w:bottom w:val="single" w:sz="4" w:space="0" w:color="auto"/>
              <w:right w:val="single" w:sz="4" w:space="0" w:color="auto"/>
            </w:tcBorders>
            <w:vAlign w:val="center"/>
          </w:tcPr>
          <w:p w14:paraId="21B2804E" w14:textId="77777777" w:rsidR="00B201D3" w:rsidRPr="006D4FBA" w:rsidRDefault="009855E8">
            <w:pPr>
              <w:jc w:val="right"/>
              <w:rPr>
                <w:rFonts w:ascii="宋体" w:hAnsi="宋体"/>
              </w:rPr>
            </w:pPr>
            <w:r w:rsidRPr="006D4FBA">
              <w:rPr>
                <w:rFonts w:ascii="宋体" w:hAnsi="宋体"/>
              </w:rPr>
              <w:t xml:space="preserve">-2,187 </w:t>
            </w:r>
          </w:p>
        </w:tc>
      </w:tr>
      <w:tr w:rsidR="00B201D3" w:rsidRPr="006D4FBA" w14:paraId="0802A6C2" w14:textId="77777777">
        <w:trPr>
          <w:trHeight w:hRule="exact" w:val="340"/>
          <w:jc w:val="center"/>
        </w:trPr>
        <w:tc>
          <w:tcPr>
            <w:tcW w:w="3336" w:type="dxa"/>
            <w:tcBorders>
              <w:top w:val="single" w:sz="4" w:space="0" w:color="auto"/>
              <w:left w:val="single" w:sz="4" w:space="0" w:color="auto"/>
              <w:bottom w:val="single" w:sz="4" w:space="0" w:color="auto"/>
              <w:right w:val="single" w:sz="4" w:space="0" w:color="auto"/>
            </w:tcBorders>
            <w:vAlign w:val="center"/>
          </w:tcPr>
          <w:p w14:paraId="51070139" w14:textId="77777777" w:rsidR="00B201D3" w:rsidRPr="006D4FBA" w:rsidRDefault="009855E8">
            <w:pPr>
              <w:rPr>
                <w:rFonts w:ascii="宋体" w:hAnsi="宋体"/>
                <w:lang w:val="en-GB"/>
              </w:rPr>
            </w:pPr>
            <w:r w:rsidRPr="006D4FBA">
              <w:rPr>
                <w:rFonts w:ascii="宋体" w:hAnsi="宋体" w:hint="eastAsia"/>
                <w:lang w:val="en-GB"/>
              </w:rPr>
              <w:t>兖煤国际</w:t>
            </w:r>
          </w:p>
        </w:tc>
        <w:tc>
          <w:tcPr>
            <w:tcW w:w="2987" w:type="dxa"/>
            <w:tcBorders>
              <w:top w:val="single" w:sz="4" w:space="0" w:color="auto"/>
              <w:left w:val="single" w:sz="4" w:space="0" w:color="auto"/>
              <w:bottom w:val="single" w:sz="4" w:space="0" w:color="auto"/>
              <w:right w:val="single" w:sz="4" w:space="0" w:color="auto"/>
            </w:tcBorders>
            <w:vAlign w:val="center"/>
          </w:tcPr>
          <w:p w14:paraId="14C6C91E" w14:textId="77777777" w:rsidR="00B201D3" w:rsidRPr="006D4FBA" w:rsidRDefault="009855E8">
            <w:pPr>
              <w:jc w:val="right"/>
              <w:rPr>
                <w:rFonts w:ascii="宋体" w:hAnsi="宋体"/>
              </w:rPr>
            </w:pPr>
            <w:r w:rsidRPr="006D4FBA">
              <w:rPr>
                <w:rFonts w:ascii="宋体" w:hAnsi="宋体"/>
              </w:rPr>
              <w:t xml:space="preserve">4 </w:t>
            </w:r>
          </w:p>
        </w:tc>
        <w:tc>
          <w:tcPr>
            <w:tcW w:w="3207" w:type="dxa"/>
            <w:tcBorders>
              <w:top w:val="single" w:sz="4" w:space="0" w:color="auto"/>
              <w:left w:val="single" w:sz="4" w:space="0" w:color="auto"/>
              <w:bottom w:val="single" w:sz="4" w:space="0" w:color="auto"/>
              <w:right w:val="single" w:sz="4" w:space="0" w:color="auto"/>
            </w:tcBorders>
            <w:vAlign w:val="center"/>
          </w:tcPr>
          <w:p w14:paraId="291E3C79" w14:textId="77777777" w:rsidR="00B201D3" w:rsidRPr="006D4FBA" w:rsidRDefault="009855E8">
            <w:pPr>
              <w:jc w:val="right"/>
              <w:rPr>
                <w:rFonts w:ascii="宋体" w:hAnsi="宋体"/>
              </w:rPr>
            </w:pPr>
            <w:r w:rsidRPr="006D4FBA">
              <w:rPr>
                <w:rFonts w:ascii="宋体" w:hAnsi="宋体"/>
              </w:rPr>
              <w:t xml:space="preserve">368 </w:t>
            </w:r>
          </w:p>
        </w:tc>
      </w:tr>
      <w:tr w:rsidR="00B201D3" w:rsidRPr="006D4FBA" w14:paraId="5D697E84" w14:textId="77777777">
        <w:trPr>
          <w:trHeight w:hRule="exact" w:val="340"/>
          <w:jc w:val="center"/>
        </w:trPr>
        <w:tc>
          <w:tcPr>
            <w:tcW w:w="3336" w:type="dxa"/>
            <w:tcBorders>
              <w:top w:val="single" w:sz="4" w:space="0" w:color="auto"/>
              <w:left w:val="single" w:sz="4" w:space="0" w:color="auto"/>
              <w:bottom w:val="single" w:sz="4" w:space="0" w:color="auto"/>
              <w:right w:val="single" w:sz="4" w:space="0" w:color="auto"/>
            </w:tcBorders>
            <w:vAlign w:val="center"/>
          </w:tcPr>
          <w:p w14:paraId="68C407D0" w14:textId="77777777" w:rsidR="00B201D3" w:rsidRPr="006D4FBA" w:rsidRDefault="009855E8">
            <w:pPr>
              <w:rPr>
                <w:rFonts w:ascii="宋体" w:hAnsi="宋体"/>
                <w:lang w:val="en-GB"/>
              </w:rPr>
            </w:pPr>
            <w:r w:rsidRPr="006D4FBA">
              <w:rPr>
                <w:rFonts w:ascii="宋体" w:hAnsi="宋体" w:hint="eastAsia"/>
                <w:lang w:val="en-GB"/>
              </w:rPr>
              <w:t>贸易煤</w:t>
            </w:r>
          </w:p>
        </w:tc>
        <w:tc>
          <w:tcPr>
            <w:tcW w:w="2987" w:type="dxa"/>
            <w:tcBorders>
              <w:top w:val="single" w:sz="4" w:space="0" w:color="auto"/>
              <w:left w:val="single" w:sz="4" w:space="0" w:color="auto"/>
              <w:bottom w:val="single" w:sz="4" w:space="0" w:color="auto"/>
              <w:right w:val="single" w:sz="4" w:space="0" w:color="auto"/>
            </w:tcBorders>
            <w:vAlign w:val="center"/>
          </w:tcPr>
          <w:p w14:paraId="436C9E43" w14:textId="77777777" w:rsidR="00B201D3" w:rsidRPr="006D4FBA" w:rsidRDefault="009855E8">
            <w:pPr>
              <w:jc w:val="right"/>
              <w:rPr>
                <w:rFonts w:ascii="宋体" w:hAnsi="宋体"/>
              </w:rPr>
            </w:pPr>
            <w:r w:rsidRPr="006D4FBA">
              <w:rPr>
                <w:rFonts w:ascii="宋体" w:hAnsi="宋体"/>
              </w:rPr>
              <w:t xml:space="preserve">1,982 </w:t>
            </w:r>
          </w:p>
        </w:tc>
        <w:tc>
          <w:tcPr>
            <w:tcW w:w="3207" w:type="dxa"/>
            <w:tcBorders>
              <w:top w:val="single" w:sz="4" w:space="0" w:color="auto"/>
              <w:left w:val="single" w:sz="4" w:space="0" w:color="auto"/>
              <w:bottom w:val="single" w:sz="4" w:space="0" w:color="auto"/>
              <w:right w:val="single" w:sz="4" w:space="0" w:color="auto"/>
            </w:tcBorders>
            <w:vAlign w:val="center"/>
          </w:tcPr>
          <w:p w14:paraId="3900592A" w14:textId="77777777" w:rsidR="00B201D3" w:rsidRPr="006D4FBA" w:rsidRDefault="009855E8">
            <w:pPr>
              <w:jc w:val="right"/>
              <w:rPr>
                <w:rFonts w:ascii="宋体" w:hAnsi="宋体"/>
              </w:rPr>
            </w:pPr>
            <w:r w:rsidRPr="006D4FBA">
              <w:rPr>
                <w:rFonts w:ascii="宋体" w:hAnsi="宋体"/>
              </w:rPr>
              <w:t xml:space="preserve">-2,151 </w:t>
            </w:r>
          </w:p>
        </w:tc>
      </w:tr>
      <w:bookmarkEnd w:id="33"/>
    </w:tbl>
    <w:p w14:paraId="33277B20" w14:textId="77777777" w:rsidR="00B201D3" w:rsidRPr="006D4FBA" w:rsidRDefault="00B201D3">
      <w:pPr>
        <w:rPr>
          <w:lang w:val="en-GB"/>
        </w:rPr>
      </w:pPr>
    </w:p>
    <w:p w14:paraId="0CAB470E" w14:textId="77777777" w:rsidR="00B201D3" w:rsidRPr="006D4FBA" w:rsidRDefault="009855E8">
      <w:pPr>
        <w:ind w:firstLineChars="200" w:firstLine="420"/>
        <w:rPr>
          <w:lang w:val="en-GB"/>
        </w:rPr>
      </w:pPr>
      <w:r w:rsidRPr="006D4FBA">
        <w:rPr>
          <w:rFonts w:hint="eastAsia"/>
          <w:bCs/>
          <w:lang w:val="en-GB"/>
        </w:rPr>
        <w:t>本集团煤炭产品销售主要集中于中国、日本、韩国、泰国、澳大利亚等市场。</w:t>
      </w:r>
    </w:p>
    <w:p w14:paraId="21D1A20E" w14:textId="77777777" w:rsidR="00B201D3" w:rsidRPr="006D4FBA" w:rsidRDefault="009855E8">
      <w:pPr>
        <w:ind w:firstLineChars="200" w:firstLine="420"/>
        <w:rPr>
          <w:lang w:val="en-GB"/>
        </w:rPr>
      </w:pPr>
      <w:r w:rsidRPr="006D4FBA">
        <w:rPr>
          <w:rFonts w:hint="eastAsia"/>
          <w:bCs/>
          <w:lang w:val="en-GB"/>
        </w:rPr>
        <w:t>上半年本集团按地区分类的煤炭销售情况如下表：</w:t>
      </w:r>
    </w:p>
    <w:p w14:paraId="0242AEE2" w14:textId="77777777" w:rsidR="00B201D3" w:rsidRPr="006D4FBA" w:rsidRDefault="00B201D3">
      <w:pPr>
        <w:rPr>
          <w:lang w:val="en-GB"/>
        </w:rPr>
      </w:pPr>
    </w:p>
    <w:tbl>
      <w:tblPr>
        <w:tblStyle w:val="g21"/>
        <w:tblW w:w="902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7"/>
        <w:gridCol w:w="1589"/>
        <w:gridCol w:w="1642"/>
        <w:gridCol w:w="1698"/>
        <w:gridCol w:w="1494"/>
      </w:tblGrid>
      <w:tr w:rsidR="00B201D3" w:rsidRPr="006D4FBA" w14:paraId="46F21484" w14:textId="77777777">
        <w:trPr>
          <w:trHeight w:val="333"/>
          <w:jc w:val="center"/>
        </w:trPr>
        <w:tc>
          <w:tcPr>
            <w:tcW w:w="2597" w:type="dxa"/>
            <w:vMerge w:val="restart"/>
            <w:tcBorders>
              <w:top w:val="single" w:sz="4" w:space="0" w:color="auto"/>
              <w:left w:val="single" w:sz="4" w:space="0" w:color="auto"/>
              <w:bottom w:val="single" w:sz="4" w:space="0" w:color="auto"/>
              <w:right w:val="single" w:sz="4" w:space="0" w:color="auto"/>
            </w:tcBorders>
            <w:vAlign w:val="center"/>
          </w:tcPr>
          <w:p w14:paraId="533BC5A1" w14:textId="77777777" w:rsidR="00B201D3" w:rsidRPr="006D4FBA" w:rsidRDefault="00B201D3">
            <w:pPr>
              <w:rPr>
                <w:rFonts w:ascii="宋体" w:hAnsi="宋体"/>
                <w:lang w:val="en-GB"/>
              </w:rPr>
            </w:pPr>
            <w:bookmarkStart w:id="34" w:name="_Hlk521576870"/>
          </w:p>
        </w:tc>
        <w:tc>
          <w:tcPr>
            <w:tcW w:w="3231" w:type="dxa"/>
            <w:gridSpan w:val="2"/>
            <w:tcBorders>
              <w:top w:val="single" w:sz="4" w:space="0" w:color="auto"/>
              <w:left w:val="single" w:sz="4" w:space="0" w:color="auto"/>
              <w:bottom w:val="single" w:sz="4" w:space="0" w:color="auto"/>
              <w:right w:val="single" w:sz="4" w:space="0" w:color="auto"/>
            </w:tcBorders>
            <w:vAlign w:val="center"/>
          </w:tcPr>
          <w:p w14:paraId="37198DCE" w14:textId="77777777" w:rsidR="00B201D3" w:rsidRPr="006D4FBA" w:rsidRDefault="009855E8">
            <w:pPr>
              <w:jc w:val="center"/>
              <w:rPr>
                <w:rFonts w:ascii="宋体" w:hAnsi="宋体"/>
                <w:lang w:val="en-GB"/>
              </w:rPr>
            </w:pPr>
            <w:r w:rsidRPr="006D4FBA">
              <w:rPr>
                <w:rFonts w:ascii="宋体" w:hAnsi="宋体" w:hint="eastAsia"/>
                <w:lang w:val="en-GB"/>
              </w:rPr>
              <w:t>202</w:t>
            </w:r>
            <w:r w:rsidRPr="006D4FBA">
              <w:rPr>
                <w:rFonts w:ascii="宋体" w:hAnsi="宋体"/>
                <w:lang w:val="en-GB"/>
              </w:rPr>
              <w:t>3</w:t>
            </w:r>
            <w:r w:rsidRPr="006D4FBA">
              <w:rPr>
                <w:rFonts w:ascii="宋体" w:hAnsi="宋体" w:hint="eastAsia"/>
                <w:lang w:val="en-GB"/>
              </w:rPr>
              <w:t>年1-6月</w:t>
            </w:r>
          </w:p>
        </w:tc>
        <w:tc>
          <w:tcPr>
            <w:tcW w:w="3192" w:type="dxa"/>
            <w:gridSpan w:val="2"/>
            <w:tcBorders>
              <w:top w:val="single" w:sz="4" w:space="0" w:color="auto"/>
              <w:left w:val="single" w:sz="4" w:space="0" w:color="auto"/>
              <w:bottom w:val="single" w:sz="4" w:space="0" w:color="auto"/>
              <w:right w:val="single" w:sz="4" w:space="0" w:color="auto"/>
            </w:tcBorders>
            <w:vAlign w:val="center"/>
          </w:tcPr>
          <w:p w14:paraId="6A61D9EC" w14:textId="77777777" w:rsidR="00B201D3" w:rsidRPr="006D4FBA" w:rsidRDefault="009855E8">
            <w:pPr>
              <w:jc w:val="center"/>
              <w:rPr>
                <w:rFonts w:ascii="宋体" w:hAnsi="宋体"/>
                <w:lang w:val="en-GB"/>
              </w:rPr>
            </w:pPr>
            <w:r w:rsidRPr="006D4FBA">
              <w:rPr>
                <w:rFonts w:ascii="宋体" w:hAnsi="宋体" w:hint="eastAsia"/>
                <w:lang w:val="en-GB"/>
              </w:rPr>
              <w:t>202</w:t>
            </w:r>
            <w:r w:rsidRPr="006D4FBA">
              <w:rPr>
                <w:rFonts w:ascii="宋体" w:hAnsi="宋体"/>
                <w:lang w:val="en-GB"/>
              </w:rPr>
              <w:t>2</w:t>
            </w:r>
            <w:r w:rsidRPr="006D4FBA">
              <w:rPr>
                <w:rFonts w:ascii="宋体" w:hAnsi="宋体" w:hint="eastAsia"/>
                <w:lang w:val="en-GB"/>
              </w:rPr>
              <w:t>年1-6月</w:t>
            </w:r>
          </w:p>
        </w:tc>
      </w:tr>
      <w:tr w:rsidR="00B201D3" w:rsidRPr="006D4FBA" w14:paraId="66A722D8" w14:textId="77777777">
        <w:trPr>
          <w:trHeight w:val="77"/>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009E75D" w14:textId="77777777" w:rsidR="00B201D3" w:rsidRPr="006D4FBA" w:rsidRDefault="00B201D3">
            <w:pPr>
              <w:rPr>
                <w:rFonts w:ascii="宋体" w:hAnsi="宋体"/>
                <w:lang w:val="en-GB"/>
              </w:rPr>
            </w:pPr>
          </w:p>
        </w:tc>
        <w:tc>
          <w:tcPr>
            <w:tcW w:w="1589" w:type="dxa"/>
            <w:tcBorders>
              <w:top w:val="single" w:sz="4" w:space="0" w:color="auto"/>
              <w:left w:val="single" w:sz="4" w:space="0" w:color="auto"/>
              <w:bottom w:val="single" w:sz="4" w:space="0" w:color="auto"/>
              <w:right w:val="single" w:sz="4" w:space="0" w:color="auto"/>
            </w:tcBorders>
            <w:vAlign w:val="center"/>
          </w:tcPr>
          <w:p w14:paraId="26FDCBB4" w14:textId="77777777" w:rsidR="00B201D3" w:rsidRPr="006D4FBA" w:rsidRDefault="009855E8">
            <w:pPr>
              <w:jc w:val="center"/>
              <w:rPr>
                <w:rFonts w:ascii="宋体" w:hAnsi="宋体"/>
                <w:lang w:val="en-GB"/>
              </w:rPr>
            </w:pPr>
            <w:r w:rsidRPr="006D4FBA">
              <w:rPr>
                <w:rFonts w:ascii="宋体" w:hAnsi="宋体" w:hint="eastAsia"/>
                <w:lang w:val="en-GB"/>
              </w:rPr>
              <w:t>销量</w:t>
            </w:r>
          </w:p>
        </w:tc>
        <w:tc>
          <w:tcPr>
            <w:tcW w:w="1642" w:type="dxa"/>
            <w:tcBorders>
              <w:top w:val="single" w:sz="4" w:space="0" w:color="auto"/>
              <w:left w:val="single" w:sz="4" w:space="0" w:color="auto"/>
              <w:bottom w:val="single" w:sz="4" w:space="0" w:color="auto"/>
              <w:right w:val="single" w:sz="4" w:space="0" w:color="auto"/>
            </w:tcBorders>
            <w:vAlign w:val="center"/>
          </w:tcPr>
          <w:p w14:paraId="717C87F6" w14:textId="77777777" w:rsidR="00B201D3" w:rsidRPr="006D4FBA" w:rsidRDefault="009855E8">
            <w:pPr>
              <w:jc w:val="center"/>
              <w:rPr>
                <w:rFonts w:ascii="宋体" w:hAnsi="宋体"/>
                <w:lang w:val="en-GB"/>
              </w:rPr>
            </w:pPr>
            <w:r w:rsidRPr="006D4FBA">
              <w:rPr>
                <w:rFonts w:ascii="宋体" w:hAnsi="宋体" w:hint="eastAsia"/>
                <w:lang w:val="en-GB"/>
              </w:rPr>
              <w:t>销售收入</w:t>
            </w:r>
          </w:p>
        </w:tc>
        <w:tc>
          <w:tcPr>
            <w:tcW w:w="1698" w:type="dxa"/>
            <w:tcBorders>
              <w:top w:val="single" w:sz="4" w:space="0" w:color="auto"/>
              <w:left w:val="single" w:sz="4" w:space="0" w:color="auto"/>
              <w:bottom w:val="single" w:sz="4" w:space="0" w:color="auto"/>
              <w:right w:val="single" w:sz="4" w:space="0" w:color="auto"/>
            </w:tcBorders>
            <w:vAlign w:val="center"/>
          </w:tcPr>
          <w:p w14:paraId="5178E4D3" w14:textId="77777777" w:rsidR="00B201D3" w:rsidRPr="006D4FBA" w:rsidRDefault="009855E8">
            <w:pPr>
              <w:jc w:val="center"/>
              <w:rPr>
                <w:rFonts w:ascii="宋体" w:hAnsi="宋体"/>
                <w:lang w:val="en-GB"/>
              </w:rPr>
            </w:pPr>
            <w:r w:rsidRPr="006D4FBA">
              <w:rPr>
                <w:rFonts w:ascii="宋体" w:hAnsi="宋体" w:hint="eastAsia"/>
                <w:lang w:val="en-GB"/>
              </w:rPr>
              <w:t>销量</w:t>
            </w:r>
          </w:p>
        </w:tc>
        <w:tc>
          <w:tcPr>
            <w:tcW w:w="1494" w:type="dxa"/>
            <w:tcBorders>
              <w:top w:val="single" w:sz="4" w:space="0" w:color="auto"/>
              <w:left w:val="single" w:sz="4" w:space="0" w:color="auto"/>
              <w:bottom w:val="single" w:sz="4" w:space="0" w:color="auto"/>
              <w:right w:val="single" w:sz="4" w:space="0" w:color="auto"/>
            </w:tcBorders>
            <w:vAlign w:val="center"/>
          </w:tcPr>
          <w:p w14:paraId="25EF4141" w14:textId="77777777" w:rsidR="00B201D3" w:rsidRPr="006D4FBA" w:rsidRDefault="009855E8">
            <w:pPr>
              <w:jc w:val="center"/>
              <w:rPr>
                <w:rFonts w:ascii="宋体" w:hAnsi="宋体"/>
                <w:lang w:val="en-GB"/>
              </w:rPr>
            </w:pPr>
            <w:r w:rsidRPr="006D4FBA">
              <w:rPr>
                <w:rFonts w:ascii="宋体" w:hAnsi="宋体" w:hint="eastAsia"/>
                <w:lang w:val="en-GB"/>
              </w:rPr>
              <w:t>销售收入</w:t>
            </w:r>
          </w:p>
        </w:tc>
      </w:tr>
      <w:tr w:rsidR="00B201D3" w:rsidRPr="006D4FBA" w14:paraId="40FD0347" w14:textId="77777777">
        <w:trPr>
          <w:trHeight w:val="77"/>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4F09634" w14:textId="77777777" w:rsidR="00B201D3" w:rsidRPr="006D4FBA" w:rsidRDefault="00B201D3">
            <w:pPr>
              <w:rPr>
                <w:rFonts w:ascii="宋体" w:hAnsi="宋体"/>
                <w:lang w:val="en-GB"/>
              </w:rPr>
            </w:pPr>
          </w:p>
        </w:tc>
        <w:tc>
          <w:tcPr>
            <w:tcW w:w="1589" w:type="dxa"/>
            <w:tcBorders>
              <w:top w:val="single" w:sz="4" w:space="0" w:color="auto"/>
              <w:left w:val="single" w:sz="4" w:space="0" w:color="auto"/>
              <w:bottom w:val="single" w:sz="4" w:space="0" w:color="auto"/>
              <w:right w:val="single" w:sz="4" w:space="0" w:color="auto"/>
            </w:tcBorders>
            <w:vAlign w:val="center"/>
          </w:tcPr>
          <w:p w14:paraId="0CBF2BA6" w14:textId="77777777" w:rsidR="00B201D3" w:rsidRPr="006D4FBA" w:rsidRDefault="009855E8">
            <w:pPr>
              <w:jc w:val="center"/>
              <w:rPr>
                <w:rFonts w:ascii="宋体" w:hAnsi="宋体"/>
                <w:lang w:val="en-GB"/>
              </w:rPr>
            </w:pPr>
            <w:r w:rsidRPr="006D4FBA">
              <w:rPr>
                <w:rFonts w:ascii="宋体" w:hAnsi="宋体" w:hint="eastAsia"/>
                <w:lang w:val="en-GB"/>
              </w:rPr>
              <w:t>（千吨）</w:t>
            </w:r>
          </w:p>
        </w:tc>
        <w:tc>
          <w:tcPr>
            <w:tcW w:w="1642" w:type="dxa"/>
            <w:tcBorders>
              <w:top w:val="single" w:sz="4" w:space="0" w:color="auto"/>
              <w:left w:val="single" w:sz="4" w:space="0" w:color="auto"/>
              <w:bottom w:val="single" w:sz="4" w:space="0" w:color="auto"/>
              <w:right w:val="single" w:sz="4" w:space="0" w:color="auto"/>
            </w:tcBorders>
            <w:vAlign w:val="center"/>
          </w:tcPr>
          <w:p w14:paraId="1CFA4238" w14:textId="77777777" w:rsidR="00B201D3" w:rsidRPr="006D4FBA" w:rsidRDefault="009855E8">
            <w:pPr>
              <w:jc w:val="center"/>
              <w:rPr>
                <w:rFonts w:ascii="宋体" w:hAnsi="宋体"/>
                <w:lang w:val="en-GB"/>
              </w:rPr>
            </w:pPr>
            <w:r w:rsidRPr="006D4FBA">
              <w:rPr>
                <w:rFonts w:ascii="宋体" w:hAnsi="宋体" w:hint="eastAsia"/>
                <w:lang w:val="en-GB"/>
              </w:rPr>
              <w:t>（百万元）</w:t>
            </w:r>
          </w:p>
        </w:tc>
        <w:tc>
          <w:tcPr>
            <w:tcW w:w="1698" w:type="dxa"/>
            <w:tcBorders>
              <w:top w:val="single" w:sz="4" w:space="0" w:color="auto"/>
              <w:left w:val="single" w:sz="4" w:space="0" w:color="auto"/>
              <w:bottom w:val="single" w:sz="4" w:space="0" w:color="auto"/>
              <w:right w:val="single" w:sz="4" w:space="0" w:color="auto"/>
            </w:tcBorders>
            <w:vAlign w:val="center"/>
          </w:tcPr>
          <w:p w14:paraId="47CB19B0" w14:textId="77777777" w:rsidR="00B201D3" w:rsidRPr="006D4FBA" w:rsidRDefault="009855E8">
            <w:pPr>
              <w:jc w:val="center"/>
              <w:rPr>
                <w:rFonts w:ascii="宋体" w:hAnsi="宋体"/>
                <w:lang w:val="en-GB"/>
              </w:rPr>
            </w:pPr>
            <w:r w:rsidRPr="006D4FBA">
              <w:rPr>
                <w:rFonts w:ascii="宋体" w:hAnsi="宋体" w:hint="eastAsia"/>
                <w:lang w:val="en-GB"/>
              </w:rPr>
              <w:t>（千吨）</w:t>
            </w:r>
          </w:p>
        </w:tc>
        <w:tc>
          <w:tcPr>
            <w:tcW w:w="1494" w:type="dxa"/>
            <w:tcBorders>
              <w:top w:val="single" w:sz="4" w:space="0" w:color="auto"/>
              <w:left w:val="single" w:sz="4" w:space="0" w:color="auto"/>
              <w:bottom w:val="single" w:sz="4" w:space="0" w:color="auto"/>
              <w:right w:val="single" w:sz="4" w:space="0" w:color="auto"/>
            </w:tcBorders>
            <w:vAlign w:val="center"/>
          </w:tcPr>
          <w:p w14:paraId="55A54961" w14:textId="77777777" w:rsidR="00B201D3" w:rsidRPr="006D4FBA" w:rsidRDefault="009855E8">
            <w:pPr>
              <w:jc w:val="center"/>
              <w:rPr>
                <w:rFonts w:ascii="宋体" w:hAnsi="宋体"/>
                <w:lang w:val="en-GB"/>
              </w:rPr>
            </w:pPr>
            <w:r w:rsidRPr="006D4FBA">
              <w:rPr>
                <w:rFonts w:ascii="宋体" w:hAnsi="宋体" w:hint="eastAsia"/>
                <w:lang w:val="en-GB"/>
              </w:rPr>
              <w:t>（百万元）</w:t>
            </w:r>
          </w:p>
        </w:tc>
      </w:tr>
      <w:tr w:rsidR="00B201D3" w:rsidRPr="006D4FBA" w14:paraId="782CD427" w14:textId="77777777">
        <w:trPr>
          <w:trHeight w:val="349"/>
          <w:jc w:val="center"/>
        </w:trPr>
        <w:tc>
          <w:tcPr>
            <w:tcW w:w="2597" w:type="dxa"/>
            <w:tcBorders>
              <w:top w:val="single" w:sz="4" w:space="0" w:color="auto"/>
              <w:left w:val="single" w:sz="4" w:space="0" w:color="auto"/>
              <w:bottom w:val="single" w:sz="4" w:space="0" w:color="auto"/>
              <w:right w:val="single" w:sz="4" w:space="0" w:color="auto"/>
            </w:tcBorders>
            <w:vAlign w:val="center"/>
          </w:tcPr>
          <w:p w14:paraId="457389FE" w14:textId="77777777" w:rsidR="00B201D3" w:rsidRPr="006D4FBA" w:rsidRDefault="009855E8">
            <w:pPr>
              <w:rPr>
                <w:rFonts w:ascii="宋体" w:hAnsi="宋体"/>
                <w:lang w:val="en-GB"/>
              </w:rPr>
            </w:pPr>
            <w:r w:rsidRPr="006D4FBA">
              <w:rPr>
                <w:rFonts w:ascii="宋体" w:hAnsi="宋体" w:hint="eastAsia"/>
                <w:lang w:val="en-GB"/>
              </w:rPr>
              <w:t>一、中国</w:t>
            </w:r>
          </w:p>
        </w:tc>
        <w:tc>
          <w:tcPr>
            <w:tcW w:w="1589" w:type="dxa"/>
            <w:tcBorders>
              <w:top w:val="single" w:sz="4" w:space="0" w:color="auto"/>
              <w:left w:val="single" w:sz="4" w:space="0" w:color="auto"/>
              <w:bottom w:val="single" w:sz="4" w:space="0" w:color="auto"/>
              <w:right w:val="single" w:sz="4" w:space="0" w:color="auto"/>
            </w:tcBorders>
            <w:vAlign w:val="center"/>
          </w:tcPr>
          <w:p w14:paraId="7C81AEE2" w14:textId="77777777" w:rsidR="00B201D3" w:rsidRPr="006D4FBA" w:rsidRDefault="009855E8">
            <w:pPr>
              <w:jc w:val="right"/>
              <w:rPr>
                <w:rFonts w:ascii="宋体" w:hAnsi="宋体"/>
              </w:rPr>
            </w:pPr>
            <w:r w:rsidRPr="006D4FBA">
              <w:rPr>
                <w:rFonts w:ascii="宋体" w:hAnsi="宋体"/>
              </w:rPr>
              <w:t xml:space="preserve">40,159 </w:t>
            </w:r>
          </w:p>
        </w:tc>
        <w:tc>
          <w:tcPr>
            <w:tcW w:w="1642" w:type="dxa"/>
            <w:tcBorders>
              <w:top w:val="single" w:sz="4" w:space="0" w:color="auto"/>
              <w:left w:val="single" w:sz="4" w:space="0" w:color="auto"/>
              <w:bottom w:val="single" w:sz="4" w:space="0" w:color="auto"/>
              <w:right w:val="single" w:sz="4" w:space="0" w:color="auto"/>
            </w:tcBorders>
            <w:vAlign w:val="center"/>
          </w:tcPr>
          <w:p w14:paraId="161F1D99" w14:textId="77777777" w:rsidR="00B201D3" w:rsidRPr="006D4FBA" w:rsidRDefault="009855E8">
            <w:pPr>
              <w:jc w:val="right"/>
              <w:rPr>
                <w:rFonts w:ascii="宋体" w:hAnsi="宋体"/>
              </w:rPr>
            </w:pPr>
            <w:r w:rsidRPr="006D4FBA">
              <w:rPr>
                <w:rFonts w:ascii="宋体" w:hAnsi="宋体"/>
              </w:rPr>
              <w:t xml:space="preserve">37,090 </w:t>
            </w:r>
          </w:p>
        </w:tc>
        <w:tc>
          <w:tcPr>
            <w:tcW w:w="1698" w:type="dxa"/>
            <w:tcBorders>
              <w:top w:val="single" w:sz="4" w:space="0" w:color="auto"/>
              <w:left w:val="single" w:sz="4" w:space="0" w:color="auto"/>
              <w:bottom w:val="single" w:sz="4" w:space="0" w:color="auto"/>
              <w:right w:val="single" w:sz="4" w:space="0" w:color="auto"/>
            </w:tcBorders>
            <w:vAlign w:val="center"/>
          </w:tcPr>
          <w:p w14:paraId="42BF360C" w14:textId="77777777" w:rsidR="00B201D3" w:rsidRPr="006D4FBA" w:rsidRDefault="009855E8">
            <w:pPr>
              <w:jc w:val="right"/>
              <w:rPr>
                <w:rFonts w:ascii="宋体" w:hAnsi="宋体"/>
              </w:rPr>
            </w:pPr>
            <w:r w:rsidRPr="006D4FBA">
              <w:rPr>
                <w:rFonts w:ascii="宋体" w:hAnsi="宋体" w:hint="eastAsia"/>
              </w:rPr>
              <w:t>37,894</w:t>
            </w:r>
          </w:p>
        </w:tc>
        <w:tc>
          <w:tcPr>
            <w:tcW w:w="1494" w:type="dxa"/>
            <w:tcBorders>
              <w:top w:val="single" w:sz="4" w:space="0" w:color="auto"/>
              <w:left w:val="single" w:sz="4" w:space="0" w:color="auto"/>
              <w:bottom w:val="single" w:sz="4" w:space="0" w:color="auto"/>
              <w:right w:val="single" w:sz="4" w:space="0" w:color="auto"/>
            </w:tcBorders>
            <w:vAlign w:val="center"/>
          </w:tcPr>
          <w:p w14:paraId="3C893E6E" w14:textId="77777777" w:rsidR="00B201D3" w:rsidRPr="006D4FBA" w:rsidRDefault="009855E8">
            <w:pPr>
              <w:jc w:val="right"/>
              <w:rPr>
                <w:rFonts w:ascii="宋体" w:hAnsi="宋体"/>
              </w:rPr>
            </w:pPr>
            <w:r w:rsidRPr="006D4FBA">
              <w:rPr>
                <w:rFonts w:ascii="宋体" w:hAnsi="宋体" w:hint="eastAsia"/>
              </w:rPr>
              <w:t>42,370</w:t>
            </w:r>
          </w:p>
        </w:tc>
      </w:tr>
      <w:tr w:rsidR="00B201D3" w:rsidRPr="006D4FBA" w14:paraId="6153CFB6" w14:textId="77777777">
        <w:trPr>
          <w:trHeight w:val="333"/>
          <w:jc w:val="center"/>
        </w:trPr>
        <w:tc>
          <w:tcPr>
            <w:tcW w:w="2597" w:type="dxa"/>
            <w:tcBorders>
              <w:top w:val="single" w:sz="4" w:space="0" w:color="auto"/>
              <w:left w:val="single" w:sz="4" w:space="0" w:color="auto"/>
              <w:bottom w:val="single" w:sz="4" w:space="0" w:color="auto"/>
              <w:right w:val="single" w:sz="4" w:space="0" w:color="auto"/>
            </w:tcBorders>
            <w:vAlign w:val="center"/>
          </w:tcPr>
          <w:p w14:paraId="6AD3E655" w14:textId="77777777" w:rsidR="00B201D3" w:rsidRPr="006D4FBA" w:rsidRDefault="009855E8">
            <w:pPr>
              <w:ind w:firstLineChars="207" w:firstLine="435"/>
              <w:rPr>
                <w:rFonts w:ascii="宋体" w:hAnsi="宋体"/>
                <w:lang w:val="en-GB"/>
              </w:rPr>
            </w:pPr>
            <w:r w:rsidRPr="006D4FBA">
              <w:rPr>
                <w:rFonts w:ascii="宋体" w:hAnsi="宋体" w:hint="eastAsia"/>
                <w:lang w:val="en-GB"/>
              </w:rPr>
              <w:t>华东地区</w:t>
            </w:r>
          </w:p>
        </w:tc>
        <w:tc>
          <w:tcPr>
            <w:tcW w:w="1589" w:type="dxa"/>
            <w:tcBorders>
              <w:top w:val="single" w:sz="4" w:space="0" w:color="auto"/>
              <w:left w:val="single" w:sz="4" w:space="0" w:color="auto"/>
              <w:bottom w:val="single" w:sz="4" w:space="0" w:color="auto"/>
              <w:right w:val="single" w:sz="4" w:space="0" w:color="auto"/>
            </w:tcBorders>
            <w:vAlign w:val="center"/>
          </w:tcPr>
          <w:p w14:paraId="5E3848FB" w14:textId="77777777" w:rsidR="00B201D3" w:rsidRPr="006D4FBA" w:rsidRDefault="009855E8">
            <w:pPr>
              <w:jc w:val="right"/>
              <w:rPr>
                <w:rFonts w:ascii="宋体" w:hAnsi="宋体"/>
              </w:rPr>
            </w:pPr>
            <w:r w:rsidRPr="006D4FBA">
              <w:rPr>
                <w:rFonts w:ascii="宋体" w:hAnsi="宋体"/>
              </w:rPr>
              <w:t xml:space="preserve">23,472 </w:t>
            </w:r>
          </w:p>
        </w:tc>
        <w:tc>
          <w:tcPr>
            <w:tcW w:w="1642" w:type="dxa"/>
            <w:tcBorders>
              <w:top w:val="single" w:sz="4" w:space="0" w:color="auto"/>
              <w:left w:val="single" w:sz="4" w:space="0" w:color="auto"/>
              <w:bottom w:val="single" w:sz="4" w:space="0" w:color="auto"/>
              <w:right w:val="single" w:sz="4" w:space="0" w:color="auto"/>
            </w:tcBorders>
            <w:vAlign w:val="center"/>
          </w:tcPr>
          <w:p w14:paraId="3054BA00" w14:textId="77777777" w:rsidR="00B201D3" w:rsidRPr="006D4FBA" w:rsidRDefault="009855E8">
            <w:pPr>
              <w:jc w:val="right"/>
              <w:rPr>
                <w:rFonts w:ascii="宋体" w:hAnsi="宋体"/>
              </w:rPr>
            </w:pPr>
            <w:r w:rsidRPr="006D4FBA">
              <w:rPr>
                <w:rFonts w:ascii="宋体" w:hAnsi="宋体"/>
              </w:rPr>
              <w:t xml:space="preserve">23,007 </w:t>
            </w:r>
          </w:p>
        </w:tc>
        <w:tc>
          <w:tcPr>
            <w:tcW w:w="1698" w:type="dxa"/>
            <w:tcBorders>
              <w:top w:val="single" w:sz="4" w:space="0" w:color="auto"/>
              <w:left w:val="single" w:sz="4" w:space="0" w:color="auto"/>
              <w:bottom w:val="single" w:sz="4" w:space="0" w:color="auto"/>
              <w:right w:val="single" w:sz="4" w:space="0" w:color="auto"/>
            </w:tcBorders>
            <w:vAlign w:val="center"/>
          </w:tcPr>
          <w:p w14:paraId="3D704C4B" w14:textId="77777777" w:rsidR="00B201D3" w:rsidRPr="006D4FBA" w:rsidRDefault="009855E8">
            <w:pPr>
              <w:jc w:val="right"/>
              <w:rPr>
                <w:rFonts w:ascii="宋体" w:hAnsi="宋体"/>
              </w:rPr>
            </w:pPr>
            <w:r w:rsidRPr="006D4FBA">
              <w:rPr>
                <w:rFonts w:ascii="宋体" w:hAnsi="宋体" w:hint="eastAsia"/>
              </w:rPr>
              <w:t xml:space="preserve">22,079 </w:t>
            </w:r>
          </w:p>
        </w:tc>
        <w:tc>
          <w:tcPr>
            <w:tcW w:w="1494" w:type="dxa"/>
            <w:tcBorders>
              <w:top w:val="single" w:sz="4" w:space="0" w:color="auto"/>
              <w:left w:val="single" w:sz="4" w:space="0" w:color="auto"/>
              <w:bottom w:val="single" w:sz="4" w:space="0" w:color="auto"/>
              <w:right w:val="single" w:sz="4" w:space="0" w:color="auto"/>
            </w:tcBorders>
            <w:vAlign w:val="center"/>
          </w:tcPr>
          <w:p w14:paraId="182BBF3A" w14:textId="77777777" w:rsidR="00B201D3" w:rsidRPr="006D4FBA" w:rsidRDefault="009855E8">
            <w:pPr>
              <w:jc w:val="right"/>
              <w:rPr>
                <w:rFonts w:ascii="宋体" w:hAnsi="宋体"/>
              </w:rPr>
            </w:pPr>
            <w:r w:rsidRPr="006D4FBA">
              <w:rPr>
                <w:rFonts w:ascii="宋体" w:hAnsi="宋体" w:hint="eastAsia"/>
              </w:rPr>
              <w:t xml:space="preserve">28,066 </w:t>
            </w:r>
          </w:p>
        </w:tc>
      </w:tr>
      <w:tr w:rsidR="00B201D3" w:rsidRPr="006D4FBA" w14:paraId="62B515D4" w14:textId="77777777">
        <w:trPr>
          <w:trHeight w:val="333"/>
          <w:jc w:val="center"/>
        </w:trPr>
        <w:tc>
          <w:tcPr>
            <w:tcW w:w="2597" w:type="dxa"/>
            <w:tcBorders>
              <w:top w:val="single" w:sz="4" w:space="0" w:color="auto"/>
              <w:left w:val="single" w:sz="4" w:space="0" w:color="auto"/>
              <w:bottom w:val="single" w:sz="4" w:space="0" w:color="auto"/>
              <w:right w:val="single" w:sz="4" w:space="0" w:color="auto"/>
            </w:tcBorders>
            <w:vAlign w:val="center"/>
          </w:tcPr>
          <w:p w14:paraId="6754696F" w14:textId="77777777" w:rsidR="00B201D3" w:rsidRPr="006D4FBA" w:rsidRDefault="009855E8">
            <w:pPr>
              <w:ind w:firstLineChars="207" w:firstLine="435"/>
              <w:rPr>
                <w:rFonts w:ascii="宋体" w:hAnsi="宋体"/>
                <w:lang w:val="en-GB"/>
              </w:rPr>
            </w:pPr>
            <w:r w:rsidRPr="006D4FBA">
              <w:rPr>
                <w:rFonts w:ascii="宋体" w:hAnsi="宋体" w:hint="eastAsia"/>
                <w:lang w:val="en-GB"/>
              </w:rPr>
              <w:t>华南地区</w:t>
            </w:r>
          </w:p>
        </w:tc>
        <w:tc>
          <w:tcPr>
            <w:tcW w:w="1589" w:type="dxa"/>
            <w:tcBorders>
              <w:top w:val="single" w:sz="4" w:space="0" w:color="auto"/>
              <w:left w:val="single" w:sz="4" w:space="0" w:color="auto"/>
              <w:bottom w:val="single" w:sz="4" w:space="0" w:color="auto"/>
              <w:right w:val="single" w:sz="4" w:space="0" w:color="auto"/>
            </w:tcBorders>
            <w:vAlign w:val="center"/>
          </w:tcPr>
          <w:p w14:paraId="2C5DABE1" w14:textId="77777777" w:rsidR="00B201D3" w:rsidRPr="006D4FBA" w:rsidRDefault="009855E8">
            <w:pPr>
              <w:jc w:val="right"/>
              <w:rPr>
                <w:rFonts w:ascii="宋体" w:hAnsi="宋体"/>
              </w:rPr>
            </w:pPr>
            <w:r w:rsidRPr="006D4FBA">
              <w:rPr>
                <w:rFonts w:ascii="宋体" w:hAnsi="宋体"/>
              </w:rPr>
              <w:t xml:space="preserve">3,634 </w:t>
            </w:r>
          </w:p>
        </w:tc>
        <w:tc>
          <w:tcPr>
            <w:tcW w:w="1642" w:type="dxa"/>
            <w:tcBorders>
              <w:top w:val="single" w:sz="4" w:space="0" w:color="auto"/>
              <w:left w:val="single" w:sz="4" w:space="0" w:color="auto"/>
              <w:bottom w:val="single" w:sz="4" w:space="0" w:color="auto"/>
              <w:right w:val="single" w:sz="4" w:space="0" w:color="auto"/>
            </w:tcBorders>
            <w:vAlign w:val="center"/>
          </w:tcPr>
          <w:p w14:paraId="2097A770" w14:textId="77777777" w:rsidR="00B201D3" w:rsidRPr="006D4FBA" w:rsidRDefault="009855E8">
            <w:pPr>
              <w:jc w:val="right"/>
              <w:rPr>
                <w:rFonts w:ascii="宋体" w:hAnsi="宋体"/>
              </w:rPr>
            </w:pPr>
            <w:r w:rsidRPr="006D4FBA">
              <w:rPr>
                <w:rFonts w:ascii="宋体" w:hAnsi="宋体"/>
              </w:rPr>
              <w:t xml:space="preserve">2,814 </w:t>
            </w:r>
          </w:p>
        </w:tc>
        <w:tc>
          <w:tcPr>
            <w:tcW w:w="1698" w:type="dxa"/>
            <w:tcBorders>
              <w:top w:val="single" w:sz="4" w:space="0" w:color="auto"/>
              <w:left w:val="single" w:sz="4" w:space="0" w:color="auto"/>
              <w:bottom w:val="single" w:sz="4" w:space="0" w:color="auto"/>
              <w:right w:val="single" w:sz="4" w:space="0" w:color="auto"/>
            </w:tcBorders>
            <w:vAlign w:val="center"/>
          </w:tcPr>
          <w:p w14:paraId="74FF3F36" w14:textId="77777777" w:rsidR="00B201D3" w:rsidRPr="006D4FBA" w:rsidRDefault="009855E8">
            <w:pPr>
              <w:jc w:val="right"/>
              <w:rPr>
                <w:rFonts w:ascii="宋体" w:hAnsi="宋体"/>
              </w:rPr>
            </w:pPr>
            <w:r w:rsidRPr="006D4FBA">
              <w:rPr>
                <w:rFonts w:ascii="宋体" w:hAnsi="宋体" w:hint="eastAsia"/>
              </w:rPr>
              <w:t xml:space="preserve">1,022 </w:t>
            </w:r>
          </w:p>
        </w:tc>
        <w:tc>
          <w:tcPr>
            <w:tcW w:w="1494" w:type="dxa"/>
            <w:tcBorders>
              <w:top w:val="single" w:sz="4" w:space="0" w:color="auto"/>
              <w:left w:val="single" w:sz="4" w:space="0" w:color="auto"/>
              <w:bottom w:val="single" w:sz="4" w:space="0" w:color="auto"/>
              <w:right w:val="single" w:sz="4" w:space="0" w:color="auto"/>
            </w:tcBorders>
            <w:vAlign w:val="center"/>
          </w:tcPr>
          <w:p w14:paraId="7F28FE6A" w14:textId="77777777" w:rsidR="00B201D3" w:rsidRPr="006D4FBA" w:rsidRDefault="009855E8">
            <w:pPr>
              <w:jc w:val="right"/>
              <w:rPr>
                <w:rFonts w:ascii="宋体" w:hAnsi="宋体"/>
              </w:rPr>
            </w:pPr>
            <w:r w:rsidRPr="006D4FBA">
              <w:rPr>
                <w:rFonts w:ascii="宋体" w:hAnsi="宋体" w:hint="eastAsia"/>
              </w:rPr>
              <w:t xml:space="preserve">943 </w:t>
            </w:r>
          </w:p>
        </w:tc>
      </w:tr>
      <w:tr w:rsidR="00B201D3" w:rsidRPr="006D4FBA" w14:paraId="3D6567E5" w14:textId="77777777">
        <w:trPr>
          <w:trHeight w:val="333"/>
          <w:jc w:val="center"/>
        </w:trPr>
        <w:tc>
          <w:tcPr>
            <w:tcW w:w="2597" w:type="dxa"/>
            <w:tcBorders>
              <w:top w:val="single" w:sz="4" w:space="0" w:color="auto"/>
              <w:left w:val="single" w:sz="4" w:space="0" w:color="auto"/>
              <w:bottom w:val="single" w:sz="4" w:space="0" w:color="auto"/>
              <w:right w:val="single" w:sz="4" w:space="0" w:color="auto"/>
            </w:tcBorders>
            <w:vAlign w:val="center"/>
          </w:tcPr>
          <w:p w14:paraId="58134074" w14:textId="77777777" w:rsidR="00B201D3" w:rsidRPr="006D4FBA" w:rsidRDefault="009855E8">
            <w:pPr>
              <w:ind w:firstLineChars="207" w:firstLine="435"/>
              <w:rPr>
                <w:rFonts w:ascii="宋体" w:hAnsi="宋体"/>
                <w:lang w:val="en-GB"/>
              </w:rPr>
            </w:pPr>
            <w:r w:rsidRPr="006D4FBA">
              <w:rPr>
                <w:rFonts w:ascii="宋体" w:hAnsi="宋体" w:hint="eastAsia"/>
                <w:lang w:val="en-GB"/>
              </w:rPr>
              <w:t>华北地区</w:t>
            </w:r>
          </w:p>
        </w:tc>
        <w:tc>
          <w:tcPr>
            <w:tcW w:w="1589" w:type="dxa"/>
            <w:tcBorders>
              <w:top w:val="single" w:sz="4" w:space="0" w:color="auto"/>
              <w:left w:val="single" w:sz="4" w:space="0" w:color="auto"/>
              <w:bottom w:val="single" w:sz="4" w:space="0" w:color="auto"/>
              <w:right w:val="single" w:sz="4" w:space="0" w:color="auto"/>
            </w:tcBorders>
            <w:vAlign w:val="center"/>
          </w:tcPr>
          <w:p w14:paraId="759C8531" w14:textId="77777777" w:rsidR="00B201D3" w:rsidRPr="006D4FBA" w:rsidRDefault="009855E8">
            <w:pPr>
              <w:jc w:val="right"/>
              <w:rPr>
                <w:rFonts w:ascii="宋体" w:hAnsi="宋体"/>
              </w:rPr>
            </w:pPr>
            <w:r w:rsidRPr="006D4FBA">
              <w:rPr>
                <w:rFonts w:ascii="宋体" w:hAnsi="宋体"/>
              </w:rPr>
              <w:t xml:space="preserve">7,131 </w:t>
            </w:r>
          </w:p>
        </w:tc>
        <w:tc>
          <w:tcPr>
            <w:tcW w:w="1642" w:type="dxa"/>
            <w:tcBorders>
              <w:top w:val="single" w:sz="4" w:space="0" w:color="auto"/>
              <w:left w:val="single" w:sz="4" w:space="0" w:color="auto"/>
              <w:bottom w:val="single" w:sz="4" w:space="0" w:color="auto"/>
              <w:right w:val="single" w:sz="4" w:space="0" w:color="auto"/>
            </w:tcBorders>
            <w:vAlign w:val="center"/>
          </w:tcPr>
          <w:p w14:paraId="10AEADF4" w14:textId="77777777" w:rsidR="00B201D3" w:rsidRPr="006D4FBA" w:rsidRDefault="009855E8">
            <w:pPr>
              <w:jc w:val="right"/>
              <w:rPr>
                <w:rFonts w:ascii="宋体" w:hAnsi="宋体"/>
              </w:rPr>
            </w:pPr>
            <w:r w:rsidRPr="006D4FBA">
              <w:rPr>
                <w:rFonts w:ascii="宋体" w:hAnsi="宋体"/>
              </w:rPr>
              <w:t xml:space="preserve">5,083 </w:t>
            </w:r>
          </w:p>
        </w:tc>
        <w:tc>
          <w:tcPr>
            <w:tcW w:w="1698" w:type="dxa"/>
            <w:tcBorders>
              <w:top w:val="single" w:sz="4" w:space="0" w:color="auto"/>
              <w:left w:val="single" w:sz="4" w:space="0" w:color="auto"/>
              <w:bottom w:val="single" w:sz="4" w:space="0" w:color="auto"/>
              <w:right w:val="single" w:sz="4" w:space="0" w:color="auto"/>
            </w:tcBorders>
            <w:vAlign w:val="center"/>
          </w:tcPr>
          <w:p w14:paraId="18541494" w14:textId="77777777" w:rsidR="00B201D3" w:rsidRPr="006D4FBA" w:rsidRDefault="009855E8">
            <w:pPr>
              <w:jc w:val="right"/>
              <w:rPr>
                <w:rFonts w:ascii="宋体" w:hAnsi="宋体"/>
              </w:rPr>
            </w:pPr>
            <w:r w:rsidRPr="006D4FBA">
              <w:rPr>
                <w:rFonts w:ascii="宋体" w:hAnsi="宋体" w:hint="eastAsia"/>
              </w:rPr>
              <w:t xml:space="preserve">7,569 </w:t>
            </w:r>
          </w:p>
        </w:tc>
        <w:tc>
          <w:tcPr>
            <w:tcW w:w="1494" w:type="dxa"/>
            <w:tcBorders>
              <w:top w:val="single" w:sz="4" w:space="0" w:color="auto"/>
              <w:left w:val="single" w:sz="4" w:space="0" w:color="auto"/>
              <w:bottom w:val="single" w:sz="4" w:space="0" w:color="auto"/>
              <w:right w:val="single" w:sz="4" w:space="0" w:color="auto"/>
            </w:tcBorders>
            <w:vAlign w:val="center"/>
          </w:tcPr>
          <w:p w14:paraId="6CA62850" w14:textId="77777777" w:rsidR="00B201D3" w:rsidRPr="006D4FBA" w:rsidRDefault="009855E8">
            <w:pPr>
              <w:jc w:val="right"/>
              <w:rPr>
                <w:rFonts w:ascii="宋体" w:hAnsi="宋体"/>
              </w:rPr>
            </w:pPr>
            <w:r w:rsidRPr="006D4FBA">
              <w:rPr>
                <w:rFonts w:ascii="宋体" w:hAnsi="宋体" w:hint="eastAsia"/>
              </w:rPr>
              <w:t xml:space="preserve">6,277 </w:t>
            </w:r>
          </w:p>
        </w:tc>
      </w:tr>
      <w:tr w:rsidR="00B201D3" w:rsidRPr="006D4FBA" w14:paraId="6A90F2A6" w14:textId="77777777">
        <w:trPr>
          <w:trHeight w:val="333"/>
          <w:jc w:val="center"/>
        </w:trPr>
        <w:tc>
          <w:tcPr>
            <w:tcW w:w="2597" w:type="dxa"/>
            <w:tcBorders>
              <w:top w:val="single" w:sz="4" w:space="0" w:color="auto"/>
              <w:left w:val="single" w:sz="4" w:space="0" w:color="auto"/>
              <w:bottom w:val="single" w:sz="4" w:space="0" w:color="auto"/>
              <w:right w:val="single" w:sz="4" w:space="0" w:color="auto"/>
            </w:tcBorders>
            <w:vAlign w:val="center"/>
          </w:tcPr>
          <w:p w14:paraId="764F8625" w14:textId="77777777" w:rsidR="00B201D3" w:rsidRPr="006D4FBA" w:rsidRDefault="009855E8">
            <w:pPr>
              <w:ind w:firstLineChars="207" w:firstLine="435"/>
              <w:rPr>
                <w:rFonts w:ascii="宋体" w:hAnsi="宋体"/>
                <w:lang w:val="en-GB"/>
              </w:rPr>
            </w:pPr>
            <w:r w:rsidRPr="006D4FBA">
              <w:rPr>
                <w:rFonts w:ascii="宋体" w:hAnsi="宋体" w:hint="eastAsia"/>
                <w:lang w:val="en-GB"/>
              </w:rPr>
              <w:t>华中地区</w:t>
            </w:r>
          </w:p>
        </w:tc>
        <w:tc>
          <w:tcPr>
            <w:tcW w:w="1589" w:type="dxa"/>
            <w:tcBorders>
              <w:top w:val="single" w:sz="4" w:space="0" w:color="auto"/>
              <w:left w:val="single" w:sz="4" w:space="0" w:color="auto"/>
              <w:bottom w:val="single" w:sz="4" w:space="0" w:color="auto"/>
              <w:right w:val="single" w:sz="4" w:space="0" w:color="auto"/>
            </w:tcBorders>
            <w:vAlign w:val="center"/>
          </w:tcPr>
          <w:p w14:paraId="63DA1DFE" w14:textId="77777777" w:rsidR="00B201D3" w:rsidRPr="006D4FBA" w:rsidRDefault="009855E8">
            <w:pPr>
              <w:jc w:val="right"/>
              <w:rPr>
                <w:rFonts w:ascii="宋体" w:hAnsi="宋体"/>
              </w:rPr>
            </w:pPr>
            <w:r w:rsidRPr="006D4FBA">
              <w:rPr>
                <w:rFonts w:ascii="宋体" w:hAnsi="宋体"/>
              </w:rPr>
              <w:t xml:space="preserve">1,711 </w:t>
            </w:r>
          </w:p>
        </w:tc>
        <w:tc>
          <w:tcPr>
            <w:tcW w:w="1642" w:type="dxa"/>
            <w:tcBorders>
              <w:top w:val="single" w:sz="4" w:space="0" w:color="auto"/>
              <w:left w:val="single" w:sz="4" w:space="0" w:color="auto"/>
              <w:bottom w:val="single" w:sz="4" w:space="0" w:color="auto"/>
              <w:right w:val="single" w:sz="4" w:space="0" w:color="auto"/>
            </w:tcBorders>
            <w:vAlign w:val="center"/>
          </w:tcPr>
          <w:p w14:paraId="41BD907C" w14:textId="77777777" w:rsidR="00B201D3" w:rsidRPr="006D4FBA" w:rsidRDefault="009855E8">
            <w:pPr>
              <w:jc w:val="right"/>
              <w:rPr>
                <w:rFonts w:ascii="宋体" w:hAnsi="宋体"/>
              </w:rPr>
            </w:pPr>
            <w:r w:rsidRPr="006D4FBA">
              <w:rPr>
                <w:rFonts w:ascii="宋体" w:hAnsi="宋体"/>
              </w:rPr>
              <w:t xml:space="preserve">3,538 </w:t>
            </w:r>
          </w:p>
        </w:tc>
        <w:tc>
          <w:tcPr>
            <w:tcW w:w="1698" w:type="dxa"/>
            <w:tcBorders>
              <w:top w:val="single" w:sz="4" w:space="0" w:color="auto"/>
              <w:left w:val="single" w:sz="4" w:space="0" w:color="auto"/>
              <w:bottom w:val="single" w:sz="4" w:space="0" w:color="auto"/>
              <w:right w:val="single" w:sz="4" w:space="0" w:color="auto"/>
            </w:tcBorders>
            <w:vAlign w:val="center"/>
          </w:tcPr>
          <w:p w14:paraId="205CBE83" w14:textId="77777777" w:rsidR="00B201D3" w:rsidRPr="006D4FBA" w:rsidRDefault="009855E8">
            <w:pPr>
              <w:jc w:val="right"/>
              <w:rPr>
                <w:rFonts w:ascii="宋体" w:hAnsi="宋体"/>
              </w:rPr>
            </w:pPr>
            <w:r w:rsidRPr="006D4FBA">
              <w:rPr>
                <w:rFonts w:ascii="宋体" w:hAnsi="宋体" w:hint="eastAsia"/>
              </w:rPr>
              <w:t>2,885</w:t>
            </w:r>
          </w:p>
        </w:tc>
        <w:tc>
          <w:tcPr>
            <w:tcW w:w="1494" w:type="dxa"/>
            <w:tcBorders>
              <w:top w:val="single" w:sz="4" w:space="0" w:color="auto"/>
              <w:left w:val="single" w:sz="4" w:space="0" w:color="auto"/>
              <w:bottom w:val="single" w:sz="4" w:space="0" w:color="auto"/>
              <w:right w:val="single" w:sz="4" w:space="0" w:color="auto"/>
            </w:tcBorders>
            <w:vAlign w:val="center"/>
          </w:tcPr>
          <w:p w14:paraId="21057CC9" w14:textId="77777777" w:rsidR="00B201D3" w:rsidRPr="006D4FBA" w:rsidRDefault="009855E8">
            <w:pPr>
              <w:jc w:val="right"/>
              <w:rPr>
                <w:rFonts w:ascii="宋体" w:hAnsi="宋体"/>
              </w:rPr>
            </w:pPr>
            <w:r w:rsidRPr="006D4FBA">
              <w:rPr>
                <w:rFonts w:ascii="宋体" w:hAnsi="宋体" w:hint="eastAsia"/>
              </w:rPr>
              <w:t>3,412</w:t>
            </w:r>
          </w:p>
        </w:tc>
      </w:tr>
      <w:tr w:rsidR="00B201D3" w:rsidRPr="006D4FBA" w14:paraId="6988DC32" w14:textId="77777777">
        <w:trPr>
          <w:trHeight w:val="333"/>
          <w:jc w:val="center"/>
        </w:trPr>
        <w:tc>
          <w:tcPr>
            <w:tcW w:w="2597" w:type="dxa"/>
            <w:tcBorders>
              <w:top w:val="single" w:sz="4" w:space="0" w:color="auto"/>
              <w:left w:val="single" w:sz="4" w:space="0" w:color="auto"/>
              <w:bottom w:val="single" w:sz="4" w:space="0" w:color="auto"/>
              <w:right w:val="single" w:sz="4" w:space="0" w:color="auto"/>
            </w:tcBorders>
            <w:vAlign w:val="center"/>
          </w:tcPr>
          <w:p w14:paraId="55B9BD05" w14:textId="77777777" w:rsidR="00B201D3" w:rsidRPr="006D4FBA" w:rsidRDefault="009855E8">
            <w:pPr>
              <w:ind w:firstLineChars="207" w:firstLine="435"/>
              <w:rPr>
                <w:rFonts w:ascii="宋体" w:hAnsi="宋体"/>
                <w:lang w:val="en-GB"/>
              </w:rPr>
            </w:pPr>
            <w:r w:rsidRPr="006D4FBA">
              <w:rPr>
                <w:rFonts w:ascii="宋体" w:hAnsi="宋体" w:hint="eastAsia"/>
                <w:lang w:val="en-GB"/>
              </w:rPr>
              <w:t>西北地区</w:t>
            </w:r>
          </w:p>
        </w:tc>
        <w:tc>
          <w:tcPr>
            <w:tcW w:w="1589" w:type="dxa"/>
            <w:tcBorders>
              <w:top w:val="single" w:sz="4" w:space="0" w:color="auto"/>
              <w:left w:val="single" w:sz="4" w:space="0" w:color="auto"/>
              <w:bottom w:val="single" w:sz="4" w:space="0" w:color="auto"/>
              <w:right w:val="single" w:sz="4" w:space="0" w:color="auto"/>
            </w:tcBorders>
            <w:vAlign w:val="center"/>
          </w:tcPr>
          <w:p w14:paraId="5195462D" w14:textId="77777777" w:rsidR="00B201D3" w:rsidRPr="006D4FBA" w:rsidRDefault="009855E8">
            <w:pPr>
              <w:jc w:val="right"/>
              <w:rPr>
                <w:rFonts w:ascii="宋体" w:hAnsi="宋体"/>
              </w:rPr>
            </w:pPr>
            <w:r w:rsidRPr="006D4FBA">
              <w:rPr>
                <w:rFonts w:ascii="宋体" w:hAnsi="宋体"/>
              </w:rPr>
              <w:t xml:space="preserve">3,406 </w:t>
            </w:r>
          </w:p>
        </w:tc>
        <w:tc>
          <w:tcPr>
            <w:tcW w:w="1642" w:type="dxa"/>
            <w:tcBorders>
              <w:top w:val="single" w:sz="4" w:space="0" w:color="auto"/>
              <w:left w:val="single" w:sz="4" w:space="0" w:color="auto"/>
              <w:bottom w:val="single" w:sz="4" w:space="0" w:color="auto"/>
              <w:right w:val="single" w:sz="4" w:space="0" w:color="auto"/>
            </w:tcBorders>
            <w:vAlign w:val="center"/>
          </w:tcPr>
          <w:p w14:paraId="66B2129F" w14:textId="77777777" w:rsidR="00B201D3" w:rsidRPr="006D4FBA" w:rsidRDefault="009855E8">
            <w:pPr>
              <w:jc w:val="right"/>
              <w:rPr>
                <w:rFonts w:ascii="宋体" w:hAnsi="宋体"/>
              </w:rPr>
            </w:pPr>
            <w:r w:rsidRPr="006D4FBA">
              <w:rPr>
                <w:rFonts w:ascii="宋体" w:hAnsi="宋体"/>
              </w:rPr>
              <w:t xml:space="preserve">1,919 </w:t>
            </w:r>
          </w:p>
        </w:tc>
        <w:tc>
          <w:tcPr>
            <w:tcW w:w="1698" w:type="dxa"/>
            <w:tcBorders>
              <w:top w:val="single" w:sz="4" w:space="0" w:color="auto"/>
              <w:left w:val="single" w:sz="4" w:space="0" w:color="auto"/>
              <w:bottom w:val="single" w:sz="4" w:space="0" w:color="auto"/>
              <w:right w:val="single" w:sz="4" w:space="0" w:color="auto"/>
            </w:tcBorders>
            <w:vAlign w:val="center"/>
          </w:tcPr>
          <w:p w14:paraId="58815BA4" w14:textId="77777777" w:rsidR="00B201D3" w:rsidRPr="006D4FBA" w:rsidRDefault="009855E8">
            <w:pPr>
              <w:jc w:val="right"/>
              <w:rPr>
                <w:rFonts w:ascii="宋体" w:hAnsi="宋体"/>
              </w:rPr>
            </w:pPr>
            <w:r w:rsidRPr="006D4FBA">
              <w:rPr>
                <w:rFonts w:ascii="宋体" w:hAnsi="宋体" w:hint="eastAsia"/>
              </w:rPr>
              <w:t xml:space="preserve">2,903 </w:t>
            </w:r>
          </w:p>
        </w:tc>
        <w:tc>
          <w:tcPr>
            <w:tcW w:w="1494" w:type="dxa"/>
            <w:tcBorders>
              <w:top w:val="single" w:sz="4" w:space="0" w:color="auto"/>
              <w:left w:val="single" w:sz="4" w:space="0" w:color="auto"/>
              <w:bottom w:val="single" w:sz="4" w:space="0" w:color="auto"/>
              <w:right w:val="single" w:sz="4" w:space="0" w:color="auto"/>
            </w:tcBorders>
            <w:vAlign w:val="center"/>
          </w:tcPr>
          <w:p w14:paraId="75A58269" w14:textId="77777777" w:rsidR="00B201D3" w:rsidRPr="006D4FBA" w:rsidRDefault="009855E8">
            <w:pPr>
              <w:jc w:val="right"/>
              <w:rPr>
                <w:rFonts w:ascii="宋体" w:hAnsi="宋体"/>
              </w:rPr>
            </w:pPr>
            <w:r w:rsidRPr="006D4FBA">
              <w:rPr>
                <w:rFonts w:ascii="宋体" w:hAnsi="宋体" w:hint="eastAsia"/>
              </w:rPr>
              <w:t xml:space="preserve">1,945 </w:t>
            </w:r>
          </w:p>
        </w:tc>
      </w:tr>
      <w:tr w:rsidR="00B201D3" w:rsidRPr="006D4FBA" w14:paraId="701AF6D7" w14:textId="77777777">
        <w:trPr>
          <w:trHeight w:val="349"/>
          <w:jc w:val="center"/>
        </w:trPr>
        <w:tc>
          <w:tcPr>
            <w:tcW w:w="2597" w:type="dxa"/>
            <w:tcBorders>
              <w:top w:val="single" w:sz="4" w:space="0" w:color="auto"/>
              <w:left w:val="single" w:sz="4" w:space="0" w:color="auto"/>
              <w:bottom w:val="single" w:sz="4" w:space="0" w:color="auto"/>
              <w:right w:val="single" w:sz="4" w:space="0" w:color="auto"/>
            </w:tcBorders>
            <w:vAlign w:val="center"/>
          </w:tcPr>
          <w:p w14:paraId="4274534A" w14:textId="77777777" w:rsidR="00B201D3" w:rsidRPr="006D4FBA" w:rsidRDefault="009855E8">
            <w:pPr>
              <w:ind w:firstLineChars="207" w:firstLine="435"/>
              <w:rPr>
                <w:rFonts w:ascii="宋体" w:hAnsi="宋体"/>
                <w:lang w:val="en-GB"/>
              </w:rPr>
            </w:pPr>
            <w:r w:rsidRPr="006D4FBA">
              <w:rPr>
                <w:rFonts w:ascii="宋体" w:hAnsi="宋体" w:hint="eastAsia"/>
                <w:lang w:val="en-GB"/>
              </w:rPr>
              <w:t>其他地区</w:t>
            </w:r>
          </w:p>
        </w:tc>
        <w:tc>
          <w:tcPr>
            <w:tcW w:w="1589" w:type="dxa"/>
            <w:tcBorders>
              <w:top w:val="single" w:sz="4" w:space="0" w:color="auto"/>
              <w:left w:val="single" w:sz="4" w:space="0" w:color="auto"/>
              <w:bottom w:val="single" w:sz="4" w:space="0" w:color="auto"/>
              <w:right w:val="single" w:sz="4" w:space="0" w:color="auto"/>
            </w:tcBorders>
            <w:vAlign w:val="center"/>
          </w:tcPr>
          <w:p w14:paraId="03AC11A8" w14:textId="77777777" w:rsidR="00B201D3" w:rsidRPr="006D4FBA" w:rsidRDefault="009855E8">
            <w:pPr>
              <w:jc w:val="right"/>
              <w:rPr>
                <w:rFonts w:ascii="宋体" w:hAnsi="宋体"/>
              </w:rPr>
            </w:pPr>
            <w:r w:rsidRPr="006D4FBA">
              <w:rPr>
                <w:rFonts w:ascii="宋体" w:hAnsi="宋体"/>
              </w:rPr>
              <w:t xml:space="preserve">805 </w:t>
            </w:r>
          </w:p>
        </w:tc>
        <w:tc>
          <w:tcPr>
            <w:tcW w:w="1642" w:type="dxa"/>
            <w:tcBorders>
              <w:top w:val="single" w:sz="4" w:space="0" w:color="auto"/>
              <w:left w:val="single" w:sz="4" w:space="0" w:color="auto"/>
              <w:bottom w:val="single" w:sz="4" w:space="0" w:color="auto"/>
              <w:right w:val="single" w:sz="4" w:space="0" w:color="auto"/>
            </w:tcBorders>
            <w:vAlign w:val="center"/>
          </w:tcPr>
          <w:p w14:paraId="7B2E105A" w14:textId="77777777" w:rsidR="00B201D3" w:rsidRPr="006D4FBA" w:rsidRDefault="009855E8">
            <w:pPr>
              <w:jc w:val="right"/>
              <w:rPr>
                <w:rFonts w:ascii="宋体" w:hAnsi="宋体"/>
              </w:rPr>
            </w:pPr>
            <w:r w:rsidRPr="006D4FBA">
              <w:rPr>
                <w:rFonts w:ascii="宋体" w:hAnsi="宋体"/>
              </w:rPr>
              <w:t xml:space="preserve">728 </w:t>
            </w:r>
          </w:p>
        </w:tc>
        <w:tc>
          <w:tcPr>
            <w:tcW w:w="1698" w:type="dxa"/>
            <w:tcBorders>
              <w:top w:val="single" w:sz="4" w:space="0" w:color="auto"/>
              <w:left w:val="single" w:sz="4" w:space="0" w:color="auto"/>
              <w:bottom w:val="single" w:sz="4" w:space="0" w:color="auto"/>
              <w:right w:val="single" w:sz="4" w:space="0" w:color="auto"/>
            </w:tcBorders>
            <w:vAlign w:val="center"/>
          </w:tcPr>
          <w:p w14:paraId="313640FC" w14:textId="77777777" w:rsidR="00B201D3" w:rsidRPr="006D4FBA" w:rsidRDefault="009855E8">
            <w:pPr>
              <w:jc w:val="right"/>
              <w:rPr>
                <w:rFonts w:ascii="宋体" w:hAnsi="宋体"/>
              </w:rPr>
            </w:pPr>
            <w:r w:rsidRPr="006D4FBA">
              <w:rPr>
                <w:rFonts w:ascii="宋体" w:hAnsi="宋体" w:hint="eastAsia"/>
              </w:rPr>
              <w:t>1,437</w:t>
            </w:r>
          </w:p>
        </w:tc>
        <w:tc>
          <w:tcPr>
            <w:tcW w:w="1494" w:type="dxa"/>
            <w:tcBorders>
              <w:top w:val="single" w:sz="4" w:space="0" w:color="auto"/>
              <w:left w:val="single" w:sz="4" w:space="0" w:color="auto"/>
              <w:bottom w:val="single" w:sz="4" w:space="0" w:color="auto"/>
              <w:right w:val="single" w:sz="4" w:space="0" w:color="auto"/>
            </w:tcBorders>
            <w:vAlign w:val="center"/>
          </w:tcPr>
          <w:p w14:paraId="0967D9CB" w14:textId="77777777" w:rsidR="00B201D3" w:rsidRPr="006D4FBA" w:rsidRDefault="009855E8">
            <w:pPr>
              <w:jc w:val="right"/>
              <w:rPr>
                <w:rFonts w:ascii="宋体" w:hAnsi="宋体"/>
              </w:rPr>
            </w:pPr>
            <w:r w:rsidRPr="006D4FBA">
              <w:rPr>
                <w:rFonts w:ascii="宋体" w:hAnsi="宋体" w:hint="eastAsia"/>
              </w:rPr>
              <w:t>1,728</w:t>
            </w:r>
          </w:p>
        </w:tc>
      </w:tr>
      <w:tr w:rsidR="00B201D3" w:rsidRPr="006D4FBA" w14:paraId="2CFA2E76" w14:textId="77777777">
        <w:trPr>
          <w:trHeight w:val="349"/>
          <w:jc w:val="center"/>
        </w:trPr>
        <w:tc>
          <w:tcPr>
            <w:tcW w:w="2597" w:type="dxa"/>
            <w:tcBorders>
              <w:top w:val="single" w:sz="4" w:space="0" w:color="auto"/>
              <w:left w:val="single" w:sz="4" w:space="0" w:color="auto"/>
              <w:bottom w:val="single" w:sz="4" w:space="0" w:color="auto"/>
              <w:right w:val="single" w:sz="4" w:space="0" w:color="auto"/>
            </w:tcBorders>
            <w:vAlign w:val="center"/>
          </w:tcPr>
          <w:p w14:paraId="557C9BDA" w14:textId="77777777" w:rsidR="00B201D3" w:rsidRPr="006D4FBA" w:rsidRDefault="009855E8">
            <w:pPr>
              <w:rPr>
                <w:rFonts w:ascii="宋体" w:hAnsi="宋体"/>
                <w:lang w:val="en-GB"/>
              </w:rPr>
            </w:pPr>
            <w:r w:rsidRPr="006D4FBA">
              <w:rPr>
                <w:rFonts w:ascii="宋体" w:hAnsi="宋体" w:hint="eastAsia"/>
                <w:lang w:val="en-GB"/>
              </w:rPr>
              <w:t>二、日本</w:t>
            </w:r>
          </w:p>
        </w:tc>
        <w:tc>
          <w:tcPr>
            <w:tcW w:w="1589" w:type="dxa"/>
            <w:tcBorders>
              <w:top w:val="single" w:sz="4" w:space="0" w:color="auto"/>
              <w:left w:val="single" w:sz="4" w:space="0" w:color="auto"/>
              <w:bottom w:val="single" w:sz="4" w:space="0" w:color="auto"/>
              <w:right w:val="single" w:sz="4" w:space="0" w:color="auto"/>
            </w:tcBorders>
            <w:vAlign w:val="center"/>
          </w:tcPr>
          <w:p w14:paraId="2873DCE1" w14:textId="77777777" w:rsidR="00B201D3" w:rsidRPr="006D4FBA" w:rsidRDefault="009855E8">
            <w:pPr>
              <w:jc w:val="right"/>
              <w:rPr>
                <w:rFonts w:ascii="宋体" w:hAnsi="宋体"/>
              </w:rPr>
            </w:pPr>
            <w:r w:rsidRPr="006D4FBA">
              <w:rPr>
                <w:rFonts w:ascii="宋体" w:hAnsi="宋体"/>
              </w:rPr>
              <w:t xml:space="preserve">3,803 </w:t>
            </w:r>
          </w:p>
        </w:tc>
        <w:tc>
          <w:tcPr>
            <w:tcW w:w="1642" w:type="dxa"/>
            <w:tcBorders>
              <w:top w:val="single" w:sz="4" w:space="0" w:color="auto"/>
              <w:left w:val="single" w:sz="4" w:space="0" w:color="auto"/>
              <w:bottom w:val="single" w:sz="4" w:space="0" w:color="auto"/>
              <w:right w:val="single" w:sz="4" w:space="0" w:color="auto"/>
            </w:tcBorders>
            <w:vAlign w:val="center"/>
          </w:tcPr>
          <w:p w14:paraId="7FED5FAD" w14:textId="77777777" w:rsidR="00B201D3" w:rsidRPr="006D4FBA" w:rsidRDefault="009855E8">
            <w:pPr>
              <w:jc w:val="right"/>
              <w:rPr>
                <w:rFonts w:ascii="宋体" w:hAnsi="宋体"/>
              </w:rPr>
            </w:pPr>
            <w:r w:rsidRPr="006D4FBA">
              <w:rPr>
                <w:rFonts w:ascii="宋体" w:hAnsi="宋体"/>
              </w:rPr>
              <w:t xml:space="preserve">7,520 </w:t>
            </w:r>
          </w:p>
        </w:tc>
        <w:tc>
          <w:tcPr>
            <w:tcW w:w="1698" w:type="dxa"/>
            <w:tcBorders>
              <w:top w:val="single" w:sz="4" w:space="0" w:color="auto"/>
              <w:left w:val="single" w:sz="4" w:space="0" w:color="auto"/>
              <w:bottom w:val="single" w:sz="4" w:space="0" w:color="auto"/>
              <w:right w:val="single" w:sz="4" w:space="0" w:color="auto"/>
            </w:tcBorders>
            <w:vAlign w:val="center"/>
          </w:tcPr>
          <w:p w14:paraId="507C7C0A" w14:textId="77777777" w:rsidR="00B201D3" w:rsidRPr="006D4FBA" w:rsidRDefault="009855E8">
            <w:pPr>
              <w:jc w:val="right"/>
              <w:rPr>
                <w:rFonts w:ascii="宋体" w:hAnsi="宋体"/>
              </w:rPr>
            </w:pPr>
            <w:r w:rsidRPr="006D4FBA">
              <w:rPr>
                <w:rFonts w:ascii="宋体" w:hAnsi="宋体" w:hint="eastAsia"/>
              </w:rPr>
              <w:t>4,916</w:t>
            </w:r>
          </w:p>
        </w:tc>
        <w:tc>
          <w:tcPr>
            <w:tcW w:w="1494" w:type="dxa"/>
            <w:tcBorders>
              <w:top w:val="single" w:sz="4" w:space="0" w:color="auto"/>
              <w:left w:val="single" w:sz="4" w:space="0" w:color="auto"/>
              <w:bottom w:val="single" w:sz="4" w:space="0" w:color="auto"/>
              <w:right w:val="single" w:sz="4" w:space="0" w:color="auto"/>
            </w:tcBorders>
            <w:vAlign w:val="center"/>
          </w:tcPr>
          <w:p w14:paraId="52AF5FC7" w14:textId="77777777" w:rsidR="00B201D3" w:rsidRPr="006D4FBA" w:rsidRDefault="009855E8">
            <w:pPr>
              <w:jc w:val="right"/>
              <w:rPr>
                <w:rFonts w:ascii="宋体" w:hAnsi="宋体"/>
              </w:rPr>
            </w:pPr>
            <w:r w:rsidRPr="006D4FBA">
              <w:rPr>
                <w:rFonts w:ascii="宋体" w:hAnsi="宋体" w:hint="eastAsia"/>
              </w:rPr>
              <w:t>8,216</w:t>
            </w:r>
          </w:p>
        </w:tc>
      </w:tr>
      <w:tr w:rsidR="00B201D3" w:rsidRPr="006D4FBA" w14:paraId="178240FF" w14:textId="77777777">
        <w:trPr>
          <w:trHeight w:val="349"/>
          <w:jc w:val="center"/>
        </w:trPr>
        <w:tc>
          <w:tcPr>
            <w:tcW w:w="2597" w:type="dxa"/>
            <w:tcBorders>
              <w:top w:val="single" w:sz="4" w:space="0" w:color="auto"/>
              <w:left w:val="single" w:sz="4" w:space="0" w:color="auto"/>
              <w:bottom w:val="single" w:sz="4" w:space="0" w:color="auto"/>
              <w:right w:val="single" w:sz="4" w:space="0" w:color="auto"/>
            </w:tcBorders>
            <w:vAlign w:val="center"/>
          </w:tcPr>
          <w:p w14:paraId="14D51E31" w14:textId="77777777" w:rsidR="00B201D3" w:rsidRPr="006D4FBA" w:rsidRDefault="009855E8">
            <w:pPr>
              <w:rPr>
                <w:rFonts w:ascii="宋体" w:hAnsi="宋体"/>
                <w:lang w:val="en-GB"/>
              </w:rPr>
            </w:pPr>
            <w:r w:rsidRPr="006D4FBA">
              <w:rPr>
                <w:rFonts w:ascii="宋体" w:hAnsi="宋体" w:hint="eastAsia"/>
                <w:lang w:val="en-GB"/>
              </w:rPr>
              <w:t>三、韩国</w:t>
            </w:r>
          </w:p>
        </w:tc>
        <w:tc>
          <w:tcPr>
            <w:tcW w:w="1589" w:type="dxa"/>
            <w:tcBorders>
              <w:top w:val="single" w:sz="4" w:space="0" w:color="auto"/>
              <w:left w:val="single" w:sz="4" w:space="0" w:color="auto"/>
              <w:bottom w:val="single" w:sz="4" w:space="0" w:color="auto"/>
              <w:right w:val="single" w:sz="4" w:space="0" w:color="auto"/>
            </w:tcBorders>
            <w:vAlign w:val="center"/>
          </w:tcPr>
          <w:p w14:paraId="4EF3EF8D" w14:textId="77777777" w:rsidR="00B201D3" w:rsidRPr="006D4FBA" w:rsidRDefault="009855E8">
            <w:pPr>
              <w:jc w:val="right"/>
              <w:rPr>
                <w:rFonts w:ascii="宋体" w:hAnsi="宋体"/>
              </w:rPr>
            </w:pPr>
            <w:r w:rsidRPr="006D4FBA">
              <w:rPr>
                <w:rFonts w:ascii="宋体" w:hAnsi="宋体"/>
              </w:rPr>
              <w:t xml:space="preserve">2,183 </w:t>
            </w:r>
          </w:p>
        </w:tc>
        <w:tc>
          <w:tcPr>
            <w:tcW w:w="1642" w:type="dxa"/>
            <w:tcBorders>
              <w:top w:val="single" w:sz="4" w:space="0" w:color="auto"/>
              <w:left w:val="single" w:sz="4" w:space="0" w:color="auto"/>
              <w:bottom w:val="single" w:sz="4" w:space="0" w:color="auto"/>
              <w:right w:val="single" w:sz="4" w:space="0" w:color="auto"/>
            </w:tcBorders>
            <w:vAlign w:val="center"/>
          </w:tcPr>
          <w:p w14:paraId="7F39E570" w14:textId="77777777" w:rsidR="00B201D3" w:rsidRPr="006D4FBA" w:rsidRDefault="009855E8">
            <w:pPr>
              <w:jc w:val="right"/>
              <w:rPr>
                <w:rFonts w:ascii="宋体" w:hAnsi="宋体"/>
              </w:rPr>
            </w:pPr>
            <w:r w:rsidRPr="006D4FBA">
              <w:rPr>
                <w:rFonts w:ascii="宋体" w:hAnsi="宋体"/>
              </w:rPr>
              <w:t xml:space="preserve">3,397 </w:t>
            </w:r>
          </w:p>
        </w:tc>
        <w:tc>
          <w:tcPr>
            <w:tcW w:w="1698" w:type="dxa"/>
            <w:tcBorders>
              <w:top w:val="single" w:sz="4" w:space="0" w:color="auto"/>
              <w:left w:val="single" w:sz="4" w:space="0" w:color="auto"/>
              <w:bottom w:val="single" w:sz="4" w:space="0" w:color="auto"/>
              <w:right w:val="single" w:sz="4" w:space="0" w:color="auto"/>
            </w:tcBorders>
            <w:vAlign w:val="center"/>
          </w:tcPr>
          <w:p w14:paraId="6B23E522" w14:textId="77777777" w:rsidR="00B201D3" w:rsidRPr="006D4FBA" w:rsidRDefault="009855E8">
            <w:pPr>
              <w:jc w:val="right"/>
              <w:rPr>
                <w:rFonts w:ascii="宋体" w:hAnsi="宋体"/>
              </w:rPr>
            </w:pPr>
            <w:r w:rsidRPr="006D4FBA">
              <w:rPr>
                <w:rFonts w:ascii="宋体" w:hAnsi="宋体" w:hint="eastAsia"/>
              </w:rPr>
              <w:t>2,303</w:t>
            </w:r>
          </w:p>
        </w:tc>
        <w:tc>
          <w:tcPr>
            <w:tcW w:w="1494" w:type="dxa"/>
            <w:tcBorders>
              <w:top w:val="single" w:sz="4" w:space="0" w:color="auto"/>
              <w:left w:val="single" w:sz="4" w:space="0" w:color="auto"/>
              <w:bottom w:val="single" w:sz="4" w:space="0" w:color="auto"/>
              <w:right w:val="single" w:sz="4" w:space="0" w:color="auto"/>
            </w:tcBorders>
            <w:vAlign w:val="center"/>
          </w:tcPr>
          <w:p w14:paraId="5B1A3579" w14:textId="77777777" w:rsidR="00B201D3" w:rsidRPr="006D4FBA" w:rsidRDefault="009855E8">
            <w:pPr>
              <w:jc w:val="right"/>
              <w:rPr>
                <w:rFonts w:ascii="宋体" w:hAnsi="宋体"/>
              </w:rPr>
            </w:pPr>
            <w:r w:rsidRPr="006D4FBA">
              <w:rPr>
                <w:rFonts w:ascii="宋体" w:hAnsi="宋体" w:hint="eastAsia"/>
              </w:rPr>
              <w:t>3,399</w:t>
            </w:r>
          </w:p>
        </w:tc>
      </w:tr>
      <w:tr w:rsidR="00B201D3" w:rsidRPr="006D4FBA" w14:paraId="5EC31105" w14:textId="77777777">
        <w:trPr>
          <w:trHeight w:val="349"/>
          <w:jc w:val="center"/>
        </w:trPr>
        <w:tc>
          <w:tcPr>
            <w:tcW w:w="2597" w:type="dxa"/>
            <w:tcBorders>
              <w:top w:val="single" w:sz="4" w:space="0" w:color="auto"/>
              <w:left w:val="single" w:sz="4" w:space="0" w:color="auto"/>
              <w:bottom w:val="single" w:sz="4" w:space="0" w:color="auto"/>
              <w:right w:val="single" w:sz="4" w:space="0" w:color="auto"/>
            </w:tcBorders>
            <w:vAlign w:val="center"/>
          </w:tcPr>
          <w:p w14:paraId="7B042889" w14:textId="77777777" w:rsidR="00B201D3" w:rsidRPr="006D4FBA" w:rsidRDefault="009855E8">
            <w:pPr>
              <w:rPr>
                <w:rFonts w:ascii="宋体" w:hAnsi="宋体"/>
                <w:lang w:val="en-GB"/>
              </w:rPr>
            </w:pPr>
            <w:r w:rsidRPr="006D4FBA">
              <w:rPr>
                <w:rFonts w:ascii="宋体" w:hAnsi="宋体" w:hint="eastAsia"/>
                <w:lang w:val="en-GB"/>
              </w:rPr>
              <w:t>四、泰国</w:t>
            </w:r>
          </w:p>
        </w:tc>
        <w:tc>
          <w:tcPr>
            <w:tcW w:w="1589" w:type="dxa"/>
            <w:tcBorders>
              <w:top w:val="single" w:sz="4" w:space="0" w:color="auto"/>
              <w:left w:val="single" w:sz="4" w:space="0" w:color="auto"/>
              <w:bottom w:val="single" w:sz="4" w:space="0" w:color="auto"/>
              <w:right w:val="single" w:sz="4" w:space="0" w:color="auto"/>
            </w:tcBorders>
            <w:vAlign w:val="center"/>
          </w:tcPr>
          <w:p w14:paraId="69940EEC" w14:textId="77777777" w:rsidR="00B201D3" w:rsidRPr="006D4FBA" w:rsidRDefault="009855E8">
            <w:pPr>
              <w:jc w:val="right"/>
              <w:rPr>
                <w:rFonts w:ascii="宋体" w:hAnsi="宋体"/>
              </w:rPr>
            </w:pPr>
            <w:r w:rsidRPr="006D4FBA">
              <w:rPr>
                <w:rFonts w:ascii="宋体" w:hAnsi="宋体"/>
              </w:rPr>
              <w:t xml:space="preserve">1,919 </w:t>
            </w:r>
          </w:p>
        </w:tc>
        <w:tc>
          <w:tcPr>
            <w:tcW w:w="1642" w:type="dxa"/>
            <w:tcBorders>
              <w:top w:val="single" w:sz="4" w:space="0" w:color="auto"/>
              <w:left w:val="single" w:sz="4" w:space="0" w:color="auto"/>
              <w:bottom w:val="single" w:sz="4" w:space="0" w:color="auto"/>
              <w:right w:val="single" w:sz="4" w:space="0" w:color="auto"/>
            </w:tcBorders>
            <w:vAlign w:val="center"/>
          </w:tcPr>
          <w:p w14:paraId="700D5703" w14:textId="77777777" w:rsidR="00B201D3" w:rsidRPr="006D4FBA" w:rsidRDefault="009855E8">
            <w:pPr>
              <w:jc w:val="right"/>
              <w:rPr>
                <w:rFonts w:ascii="宋体" w:hAnsi="宋体"/>
              </w:rPr>
            </w:pPr>
            <w:r w:rsidRPr="006D4FBA">
              <w:rPr>
                <w:rFonts w:ascii="宋体" w:hAnsi="宋体"/>
              </w:rPr>
              <w:t xml:space="preserve">847 </w:t>
            </w:r>
          </w:p>
        </w:tc>
        <w:tc>
          <w:tcPr>
            <w:tcW w:w="1698" w:type="dxa"/>
            <w:tcBorders>
              <w:top w:val="single" w:sz="4" w:space="0" w:color="auto"/>
              <w:left w:val="single" w:sz="4" w:space="0" w:color="auto"/>
              <w:bottom w:val="single" w:sz="4" w:space="0" w:color="auto"/>
              <w:right w:val="single" w:sz="4" w:space="0" w:color="auto"/>
            </w:tcBorders>
            <w:vAlign w:val="center"/>
          </w:tcPr>
          <w:p w14:paraId="4AD001C7" w14:textId="77777777" w:rsidR="00B201D3" w:rsidRPr="006D4FBA" w:rsidRDefault="009855E8">
            <w:pPr>
              <w:jc w:val="right"/>
              <w:rPr>
                <w:rFonts w:ascii="宋体" w:hAnsi="宋体"/>
              </w:rPr>
            </w:pPr>
            <w:r w:rsidRPr="006D4FBA">
              <w:rPr>
                <w:rFonts w:ascii="宋体" w:hAnsi="宋体" w:hint="eastAsia"/>
              </w:rPr>
              <w:t>2,020</w:t>
            </w:r>
          </w:p>
        </w:tc>
        <w:tc>
          <w:tcPr>
            <w:tcW w:w="1494" w:type="dxa"/>
            <w:tcBorders>
              <w:top w:val="single" w:sz="4" w:space="0" w:color="auto"/>
              <w:left w:val="single" w:sz="4" w:space="0" w:color="auto"/>
              <w:bottom w:val="single" w:sz="4" w:space="0" w:color="auto"/>
              <w:right w:val="single" w:sz="4" w:space="0" w:color="auto"/>
            </w:tcBorders>
            <w:vAlign w:val="center"/>
          </w:tcPr>
          <w:p w14:paraId="28E11A84" w14:textId="77777777" w:rsidR="00B201D3" w:rsidRPr="006D4FBA" w:rsidRDefault="009855E8">
            <w:pPr>
              <w:jc w:val="right"/>
              <w:rPr>
                <w:rFonts w:ascii="宋体" w:hAnsi="宋体"/>
              </w:rPr>
            </w:pPr>
            <w:r w:rsidRPr="006D4FBA">
              <w:rPr>
                <w:rFonts w:ascii="宋体" w:hAnsi="宋体" w:hint="eastAsia"/>
              </w:rPr>
              <w:t>986</w:t>
            </w:r>
          </w:p>
        </w:tc>
      </w:tr>
      <w:tr w:rsidR="00B201D3" w:rsidRPr="006D4FBA" w14:paraId="2F71E12C" w14:textId="77777777">
        <w:trPr>
          <w:trHeight w:val="349"/>
          <w:jc w:val="center"/>
        </w:trPr>
        <w:tc>
          <w:tcPr>
            <w:tcW w:w="2597" w:type="dxa"/>
            <w:tcBorders>
              <w:top w:val="single" w:sz="4" w:space="0" w:color="auto"/>
              <w:left w:val="single" w:sz="4" w:space="0" w:color="auto"/>
              <w:bottom w:val="single" w:sz="4" w:space="0" w:color="auto"/>
              <w:right w:val="single" w:sz="4" w:space="0" w:color="auto"/>
            </w:tcBorders>
            <w:vAlign w:val="center"/>
          </w:tcPr>
          <w:p w14:paraId="7C70C933" w14:textId="77777777" w:rsidR="00B201D3" w:rsidRPr="006D4FBA" w:rsidRDefault="009855E8">
            <w:pPr>
              <w:rPr>
                <w:rFonts w:ascii="宋体" w:hAnsi="宋体"/>
                <w:lang w:val="en-GB"/>
              </w:rPr>
            </w:pPr>
            <w:r w:rsidRPr="006D4FBA">
              <w:rPr>
                <w:rFonts w:ascii="宋体" w:hAnsi="宋体" w:hint="eastAsia"/>
                <w:lang w:val="en-GB"/>
              </w:rPr>
              <w:t>五、澳大利亚</w:t>
            </w:r>
          </w:p>
        </w:tc>
        <w:tc>
          <w:tcPr>
            <w:tcW w:w="1589" w:type="dxa"/>
            <w:tcBorders>
              <w:top w:val="single" w:sz="4" w:space="0" w:color="auto"/>
              <w:left w:val="single" w:sz="4" w:space="0" w:color="auto"/>
              <w:bottom w:val="single" w:sz="4" w:space="0" w:color="auto"/>
              <w:right w:val="single" w:sz="4" w:space="0" w:color="auto"/>
            </w:tcBorders>
            <w:vAlign w:val="center"/>
          </w:tcPr>
          <w:p w14:paraId="0DE3A84F" w14:textId="77777777" w:rsidR="00B201D3" w:rsidRPr="006D4FBA" w:rsidRDefault="009855E8">
            <w:pPr>
              <w:jc w:val="right"/>
              <w:rPr>
                <w:rFonts w:ascii="宋体" w:hAnsi="宋体"/>
              </w:rPr>
            </w:pPr>
            <w:r w:rsidRPr="006D4FBA">
              <w:rPr>
                <w:rFonts w:ascii="宋体" w:hAnsi="宋体"/>
              </w:rPr>
              <w:t xml:space="preserve">1,803 </w:t>
            </w:r>
          </w:p>
        </w:tc>
        <w:tc>
          <w:tcPr>
            <w:tcW w:w="1642" w:type="dxa"/>
            <w:tcBorders>
              <w:top w:val="single" w:sz="4" w:space="0" w:color="auto"/>
              <w:left w:val="single" w:sz="4" w:space="0" w:color="auto"/>
              <w:bottom w:val="single" w:sz="4" w:space="0" w:color="auto"/>
              <w:right w:val="single" w:sz="4" w:space="0" w:color="auto"/>
            </w:tcBorders>
            <w:vAlign w:val="center"/>
          </w:tcPr>
          <w:p w14:paraId="71BC9F0F" w14:textId="77777777" w:rsidR="00B201D3" w:rsidRPr="006D4FBA" w:rsidRDefault="009855E8">
            <w:pPr>
              <w:jc w:val="right"/>
              <w:rPr>
                <w:rFonts w:ascii="宋体" w:hAnsi="宋体"/>
              </w:rPr>
            </w:pPr>
            <w:r w:rsidRPr="006D4FBA">
              <w:rPr>
                <w:rFonts w:ascii="宋体" w:hAnsi="宋体"/>
              </w:rPr>
              <w:t xml:space="preserve">1,034 </w:t>
            </w:r>
          </w:p>
        </w:tc>
        <w:tc>
          <w:tcPr>
            <w:tcW w:w="1698" w:type="dxa"/>
            <w:tcBorders>
              <w:top w:val="single" w:sz="4" w:space="0" w:color="auto"/>
              <w:left w:val="single" w:sz="4" w:space="0" w:color="auto"/>
              <w:bottom w:val="single" w:sz="4" w:space="0" w:color="auto"/>
              <w:right w:val="single" w:sz="4" w:space="0" w:color="auto"/>
            </w:tcBorders>
            <w:vAlign w:val="center"/>
          </w:tcPr>
          <w:p w14:paraId="6C2F03C6" w14:textId="77777777" w:rsidR="00B201D3" w:rsidRPr="006D4FBA" w:rsidRDefault="009855E8">
            <w:pPr>
              <w:jc w:val="right"/>
              <w:rPr>
                <w:rFonts w:ascii="宋体" w:hAnsi="宋体"/>
              </w:rPr>
            </w:pPr>
            <w:r w:rsidRPr="006D4FBA">
              <w:rPr>
                <w:rFonts w:ascii="宋体" w:hAnsi="宋体" w:hint="eastAsia"/>
              </w:rPr>
              <w:t>1,791</w:t>
            </w:r>
          </w:p>
        </w:tc>
        <w:tc>
          <w:tcPr>
            <w:tcW w:w="1494" w:type="dxa"/>
            <w:tcBorders>
              <w:top w:val="single" w:sz="4" w:space="0" w:color="auto"/>
              <w:left w:val="single" w:sz="4" w:space="0" w:color="auto"/>
              <w:bottom w:val="single" w:sz="4" w:space="0" w:color="auto"/>
              <w:right w:val="single" w:sz="4" w:space="0" w:color="auto"/>
            </w:tcBorders>
            <w:vAlign w:val="center"/>
          </w:tcPr>
          <w:p w14:paraId="62B0B08C" w14:textId="77777777" w:rsidR="00B201D3" w:rsidRPr="006D4FBA" w:rsidRDefault="009855E8">
            <w:pPr>
              <w:jc w:val="right"/>
              <w:rPr>
                <w:rFonts w:ascii="宋体" w:hAnsi="宋体"/>
              </w:rPr>
            </w:pPr>
            <w:r w:rsidRPr="006D4FBA">
              <w:rPr>
                <w:rFonts w:ascii="宋体" w:hAnsi="宋体" w:hint="eastAsia"/>
              </w:rPr>
              <w:t>793</w:t>
            </w:r>
          </w:p>
        </w:tc>
      </w:tr>
      <w:tr w:rsidR="00B201D3" w:rsidRPr="006D4FBA" w14:paraId="458CE86B" w14:textId="77777777">
        <w:trPr>
          <w:trHeight w:val="349"/>
          <w:jc w:val="center"/>
        </w:trPr>
        <w:tc>
          <w:tcPr>
            <w:tcW w:w="2597" w:type="dxa"/>
            <w:tcBorders>
              <w:top w:val="single" w:sz="4" w:space="0" w:color="auto"/>
              <w:left w:val="single" w:sz="4" w:space="0" w:color="auto"/>
              <w:bottom w:val="single" w:sz="4" w:space="0" w:color="auto"/>
              <w:right w:val="single" w:sz="4" w:space="0" w:color="auto"/>
            </w:tcBorders>
            <w:vAlign w:val="center"/>
          </w:tcPr>
          <w:p w14:paraId="3ED8278E" w14:textId="77777777" w:rsidR="00B201D3" w:rsidRPr="006D4FBA" w:rsidRDefault="009855E8">
            <w:pPr>
              <w:rPr>
                <w:rFonts w:ascii="宋体" w:hAnsi="宋体"/>
                <w:lang w:val="en-GB"/>
              </w:rPr>
            </w:pPr>
            <w:r w:rsidRPr="006D4FBA">
              <w:rPr>
                <w:rFonts w:ascii="宋体" w:hAnsi="宋体" w:hint="eastAsia"/>
                <w:lang w:val="en-GB"/>
              </w:rPr>
              <w:t>六、其他</w:t>
            </w:r>
          </w:p>
        </w:tc>
        <w:tc>
          <w:tcPr>
            <w:tcW w:w="1589" w:type="dxa"/>
            <w:tcBorders>
              <w:top w:val="single" w:sz="4" w:space="0" w:color="auto"/>
              <w:left w:val="single" w:sz="4" w:space="0" w:color="auto"/>
              <w:bottom w:val="single" w:sz="4" w:space="0" w:color="auto"/>
              <w:right w:val="single" w:sz="4" w:space="0" w:color="auto"/>
            </w:tcBorders>
            <w:vAlign w:val="center"/>
          </w:tcPr>
          <w:p w14:paraId="057252DF" w14:textId="77777777" w:rsidR="00B201D3" w:rsidRPr="006D4FBA" w:rsidRDefault="009855E8">
            <w:pPr>
              <w:jc w:val="right"/>
              <w:rPr>
                <w:rFonts w:ascii="宋体" w:hAnsi="宋体"/>
              </w:rPr>
            </w:pPr>
            <w:r w:rsidRPr="006D4FBA">
              <w:rPr>
                <w:rFonts w:ascii="宋体" w:hAnsi="宋体"/>
              </w:rPr>
              <w:t xml:space="preserve">1,485 </w:t>
            </w:r>
          </w:p>
        </w:tc>
        <w:tc>
          <w:tcPr>
            <w:tcW w:w="1642" w:type="dxa"/>
            <w:tcBorders>
              <w:top w:val="single" w:sz="4" w:space="0" w:color="auto"/>
              <w:left w:val="single" w:sz="4" w:space="0" w:color="auto"/>
              <w:bottom w:val="single" w:sz="4" w:space="0" w:color="auto"/>
              <w:right w:val="single" w:sz="4" w:space="0" w:color="auto"/>
            </w:tcBorders>
            <w:vAlign w:val="center"/>
          </w:tcPr>
          <w:p w14:paraId="0DE1F827" w14:textId="77777777" w:rsidR="00B201D3" w:rsidRPr="006D4FBA" w:rsidRDefault="009855E8">
            <w:pPr>
              <w:jc w:val="right"/>
              <w:rPr>
                <w:rFonts w:ascii="宋体" w:hAnsi="宋体"/>
              </w:rPr>
            </w:pPr>
            <w:r w:rsidRPr="006D4FBA">
              <w:rPr>
                <w:rFonts w:ascii="宋体" w:hAnsi="宋体"/>
              </w:rPr>
              <w:t xml:space="preserve">1,578 </w:t>
            </w:r>
          </w:p>
        </w:tc>
        <w:tc>
          <w:tcPr>
            <w:tcW w:w="1698" w:type="dxa"/>
            <w:tcBorders>
              <w:top w:val="single" w:sz="4" w:space="0" w:color="auto"/>
              <w:left w:val="single" w:sz="4" w:space="0" w:color="auto"/>
              <w:bottom w:val="single" w:sz="4" w:space="0" w:color="auto"/>
              <w:right w:val="single" w:sz="4" w:space="0" w:color="auto"/>
            </w:tcBorders>
            <w:vAlign w:val="center"/>
          </w:tcPr>
          <w:p w14:paraId="30F99A0E" w14:textId="77777777" w:rsidR="00B201D3" w:rsidRPr="006D4FBA" w:rsidRDefault="009855E8">
            <w:pPr>
              <w:jc w:val="right"/>
              <w:rPr>
                <w:rFonts w:ascii="宋体" w:hAnsi="宋体"/>
              </w:rPr>
            </w:pPr>
            <w:r w:rsidRPr="006D4FBA">
              <w:rPr>
                <w:rFonts w:ascii="宋体" w:hAnsi="宋体"/>
              </w:rPr>
              <w:t xml:space="preserve">4,144 </w:t>
            </w:r>
          </w:p>
        </w:tc>
        <w:tc>
          <w:tcPr>
            <w:tcW w:w="1494" w:type="dxa"/>
            <w:tcBorders>
              <w:top w:val="single" w:sz="4" w:space="0" w:color="auto"/>
              <w:left w:val="single" w:sz="4" w:space="0" w:color="auto"/>
              <w:bottom w:val="single" w:sz="4" w:space="0" w:color="auto"/>
              <w:right w:val="single" w:sz="4" w:space="0" w:color="auto"/>
            </w:tcBorders>
            <w:vAlign w:val="center"/>
          </w:tcPr>
          <w:p w14:paraId="7297D32A" w14:textId="4782DAC7" w:rsidR="00B201D3" w:rsidRPr="006D4FBA" w:rsidRDefault="00EA27AB">
            <w:pPr>
              <w:jc w:val="right"/>
              <w:rPr>
                <w:rFonts w:ascii="宋体" w:hAnsi="宋体"/>
              </w:rPr>
            </w:pPr>
            <w:r w:rsidRPr="00EA27AB">
              <w:rPr>
                <w:rFonts w:ascii="宋体" w:hAnsi="宋体"/>
              </w:rPr>
              <w:t>5,517</w:t>
            </w:r>
          </w:p>
        </w:tc>
      </w:tr>
      <w:tr w:rsidR="00B201D3" w:rsidRPr="006D4FBA" w14:paraId="44B4ADDE" w14:textId="77777777">
        <w:trPr>
          <w:trHeight w:val="349"/>
          <w:jc w:val="center"/>
        </w:trPr>
        <w:tc>
          <w:tcPr>
            <w:tcW w:w="2597" w:type="dxa"/>
            <w:tcBorders>
              <w:top w:val="single" w:sz="4" w:space="0" w:color="auto"/>
              <w:left w:val="single" w:sz="4" w:space="0" w:color="auto"/>
              <w:bottom w:val="single" w:sz="4" w:space="0" w:color="auto"/>
              <w:right w:val="single" w:sz="4" w:space="0" w:color="auto"/>
            </w:tcBorders>
            <w:vAlign w:val="center"/>
          </w:tcPr>
          <w:p w14:paraId="49BD3BF1" w14:textId="77777777" w:rsidR="00B201D3" w:rsidRPr="006D4FBA" w:rsidRDefault="009855E8">
            <w:pPr>
              <w:rPr>
                <w:rFonts w:ascii="宋体" w:hAnsi="宋体"/>
                <w:lang w:val="en-GB"/>
              </w:rPr>
            </w:pPr>
            <w:r w:rsidRPr="006D4FBA">
              <w:rPr>
                <w:rFonts w:ascii="宋体" w:hAnsi="宋体" w:hint="eastAsia"/>
                <w:lang w:val="en-GB"/>
              </w:rPr>
              <w:t>七、本集团总计</w:t>
            </w:r>
          </w:p>
        </w:tc>
        <w:tc>
          <w:tcPr>
            <w:tcW w:w="1589" w:type="dxa"/>
            <w:tcBorders>
              <w:top w:val="single" w:sz="4" w:space="0" w:color="auto"/>
              <w:left w:val="single" w:sz="4" w:space="0" w:color="auto"/>
              <w:bottom w:val="single" w:sz="4" w:space="0" w:color="auto"/>
              <w:right w:val="single" w:sz="4" w:space="0" w:color="auto"/>
            </w:tcBorders>
            <w:vAlign w:val="center"/>
          </w:tcPr>
          <w:p w14:paraId="7BB17C0A" w14:textId="77777777" w:rsidR="00B201D3" w:rsidRPr="006D4FBA" w:rsidRDefault="009855E8">
            <w:pPr>
              <w:jc w:val="right"/>
              <w:rPr>
                <w:rFonts w:ascii="宋体" w:hAnsi="宋体"/>
              </w:rPr>
            </w:pPr>
            <w:r w:rsidRPr="006D4FBA">
              <w:rPr>
                <w:rFonts w:ascii="宋体" w:hAnsi="宋体"/>
              </w:rPr>
              <w:t xml:space="preserve">51,351 </w:t>
            </w:r>
          </w:p>
        </w:tc>
        <w:tc>
          <w:tcPr>
            <w:tcW w:w="1642" w:type="dxa"/>
            <w:tcBorders>
              <w:top w:val="single" w:sz="4" w:space="0" w:color="auto"/>
              <w:left w:val="single" w:sz="4" w:space="0" w:color="auto"/>
              <w:bottom w:val="single" w:sz="4" w:space="0" w:color="auto"/>
              <w:right w:val="single" w:sz="4" w:space="0" w:color="auto"/>
            </w:tcBorders>
            <w:vAlign w:val="center"/>
          </w:tcPr>
          <w:p w14:paraId="62F0969F" w14:textId="77777777" w:rsidR="00B201D3" w:rsidRPr="006D4FBA" w:rsidRDefault="009855E8">
            <w:pPr>
              <w:jc w:val="right"/>
              <w:rPr>
                <w:rFonts w:ascii="宋体" w:hAnsi="宋体"/>
              </w:rPr>
            </w:pPr>
            <w:r w:rsidRPr="006D4FBA">
              <w:rPr>
                <w:rFonts w:ascii="宋体" w:hAnsi="宋体"/>
              </w:rPr>
              <w:t xml:space="preserve">51,466 </w:t>
            </w:r>
          </w:p>
        </w:tc>
        <w:tc>
          <w:tcPr>
            <w:tcW w:w="1698" w:type="dxa"/>
            <w:tcBorders>
              <w:top w:val="single" w:sz="4" w:space="0" w:color="auto"/>
              <w:left w:val="single" w:sz="4" w:space="0" w:color="auto"/>
              <w:bottom w:val="single" w:sz="4" w:space="0" w:color="auto"/>
              <w:right w:val="single" w:sz="4" w:space="0" w:color="auto"/>
            </w:tcBorders>
            <w:vAlign w:val="center"/>
          </w:tcPr>
          <w:p w14:paraId="42CF4FDE" w14:textId="77777777" w:rsidR="00B201D3" w:rsidRPr="006D4FBA" w:rsidRDefault="009855E8">
            <w:pPr>
              <w:jc w:val="right"/>
              <w:rPr>
                <w:rFonts w:ascii="宋体" w:hAnsi="宋体"/>
              </w:rPr>
            </w:pPr>
            <w:r w:rsidRPr="006D4FBA">
              <w:rPr>
                <w:rFonts w:ascii="宋体" w:hAnsi="宋体" w:hint="eastAsia"/>
              </w:rPr>
              <w:t>53,068</w:t>
            </w:r>
          </w:p>
        </w:tc>
        <w:tc>
          <w:tcPr>
            <w:tcW w:w="1494" w:type="dxa"/>
            <w:tcBorders>
              <w:top w:val="single" w:sz="4" w:space="0" w:color="auto"/>
              <w:left w:val="single" w:sz="4" w:space="0" w:color="auto"/>
              <w:bottom w:val="single" w:sz="4" w:space="0" w:color="auto"/>
              <w:right w:val="single" w:sz="4" w:space="0" w:color="auto"/>
            </w:tcBorders>
            <w:vAlign w:val="center"/>
          </w:tcPr>
          <w:p w14:paraId="2637C606" w14:textId="77777777" w:rsidR="00B201D3" w:rsidRPr="006D4FBA" w:rsidRDefault="009855E8">
            <w:pPr>
              <w:jc w:val="right"/>
              <w:rPr>
                <w:rFonts w:ascii="宋体" w:hAnsi="宋体"/>
              </w:rPr>
            </w:pPr>
            <w:r w:rsidRPr="006D4FBA">
              <w:rPr>
                <w:rFonts w:ascii="宋体" w:hAnsi="宋体" w:hint="eastAsia"/>
              </w:rPr>
              <w:t>61,282</w:t>
            </w:r>
          </w:p>
        </w:tc>
      </w:tr>
      <w:bookmarkEnd w:id="34"/>
    </w:tbl>
    <w:p w14:paraId="627F07BF" w14:textId="77777777" w:rsidR="00B201D3" w:rsidRPr="006D4FBA" w:rsidRDefault="00B201D3">
      <w:pPr>
        <w:rPr>
          <w:lang w:val="en-GB"/>
        </w:rPr>
      </w:pPr>
    </w:p>
    <w:p w14:paraId="3E590C05" w14:textId="77777777" w:rsidR="00B201D3" w:rsidRPr="006D4FBA" w:rsidRDefault="009855E8">
      <w:pPr>
        <w:ind w:firstLineChars="200" w:firstLine="420"/>
        <w:rPr>
          <w:lang w:val="en-GB"/>
        </w:rPr>
      </w:pPr>
      <w:r w:rsidRPr="006D4FBA">
        <w:rPr>
          <w:rFonts w:hint="eastAsia"/>
          <w:bCs/>
          <w:lang w:val="en-GB"/>
        </w:rPr>
        <w:t>本集团煤炭产品大部分销往电力、冶金、化工、商贸等行业。</w:t>
      </w:r>
    </w:p>
    <w:p w14:paraId="792EE94A" w14:textId="77777777" w:rsidR="00B201D3" w:rsidRPr="006D4FBA" w:rsidRDefault="009855E8">
      <w:pPr>
        <w:ind w:firstLineChars="200" w:firstLine="420"/>
        <w:rPr>
          <w:lang w:val="en-GB"/>
        </w:rPr>
      </w:pPr>
      <w:r w:rsidRPr="006D4FBA">
        <w:rPr>
          <w:rFonts w:hint="eastAsia"/>
          <w:bCs/>
          <w:lang w:val="en-GB"/>
        </w:rPr>
        <w:t>上半年本集团按行业分类的煤炭销售情况如下表：</w:t>
      </w:r>
    </w:p>
    <w:p w14:paraId="17B8B50B" w14:textId="77777777" w:rsidR="00B201D3" w:rsidRPr="006D4FBA" w:rsidRDefault="00B201D3">
      <w:pPr>
        <w:rPr>
          <w:lang w:val="en-GB"/>
        </w:rPr>
      </w:pPr>
    </w:p>
    <w:tbl>
      <w:tblPr>
        <w:tblStyle w:val="g21"/>
        <w:tblW w:w="907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9"/>
        <w:gridCol w:w="1698"/>
        <w:gridCol w:w="1700"/>
        <w:gridCol w:w="1698"/>
        <w:gridCol w:w="1700"/>
      </w:tblGrid>
      <w:tr w:rsidR="00B201D3" w:rsidRPr="006D4FBA" w14:paraId="03CFF22E" w14:textId="77777777">
        <w:trPr>
          <w:trHeight w:val="348"/>
          <w:jc w:val="center"/>
        </w:trPr>
        <w:tc>
          <w:tcPr>
            <w:tcW w:w="2279" w:type="dxa"/>
            <w:vMerge w:val="restart"/>
            <w:tcBorders>
              <w:top w:val="single" w:sz="4" w:space="0" w:color="auto"/>
              <w:left w:val="single" w:sz="4" w:space="0" w:color="auto"/>
              <w:bottom w:val="single" w:sz="4" w:space="0" w:color="auto"/>
              <w:right w:val="single" w:sz="4" w:space="0" w:color="auto"/>
            </w:tcBorders>
            <w:vAlign w:val="center"/>
          </w:tcPr>
          <w:p w14:paraId="240635E6" w14:textId="77777777" w:rsidR="00B201D3" w:rsidRPr="006D4FBA" w:rsidRDefault="00B201D3">
            <w:pPr>
              <w:rPr>
                <w:rFonts w:ascii="宋体" w:hAnsi="宋体"/>
                <w:lang w:val="en-GB"/>
              </w:rPr>
            </w:pPr>
            <w:bookmarkStart w:id="35" w:name="_Hlk521482667"/>
          </w:p>
        </w:tc>
        <w:tc>
          <w:tcPr>
            <w:tcW w:w="3398" w:type="dxa"/>
            <w:gridSpan w:val="2"/>
            <w:tcBorders>
              <w:top w:val="single" w:sz="4" w:space="0" w:color="auto"/>
              <w:left w:val="single" w:sz="4" w:space="0" w:color="auto"/>
              <w:bottom w:val="single" w:sz="4" w:space="0" w:color="auto"/>
              <w:right w:val="single" w:sz="4" w:space="0" w:color="auto"/>
            </w:tcBorders>
            <w:vAlign w:val="center"/>
          </w:tcPr>
          <w:p w14:paraId="1D4E764C" w14:textId="77777777" w:rsidR="00B201D3" w:rsidRPr="006D4FBA" w:rsidRDefault="009855E8">
            <w:pPr>
              <w:jc w:val="center"/>
              <w:rPr>
                <w:rFonts w:ascii="宋体" w:hAnsi="宋体"/>
                <w:lang w:val="en-GB"/>
              </w:rPr>
            </w:pPr>
            <w:r w:rsidRPr="006D4FBA">
              <w:rPr>
                <w:rFonts w:ascii="宋体" w:hAnsi="宋体" w:hint="eastAsia"/>
                <w:lang w:val="en-GB"/>
              </w:rPr>
              <w:t>202</w:t>
            </w:r>
            <w:r w:rsidRPr="006D4FBA">
              <w:rPr>
                <w:rFonts w:ascii="宋体" w:hAnsi="宋体"/>
                <w:lang w:val="en-GB"/>
              </w:rPr>
              <w:t>3</w:t>
            </w:r>
            <w:r w:rsidRPr="006D4FBA">
              <w:rPr>
                <w:rFonts w:ascii="宋体" w:hAnsi="宋体" w:hint="eastAsia"/>
                <w:lang w:val="en-GB"/>
              </w:rPr>
              <w:t>年1-6月</w:t>
            </w:r>
          </w:p>
        </w:tc>
        <w:tc>
          <w:tcPr>
            <w:tcW w:w="3398" w:type="dxa"/>
            <w:gridSpan w:val="2"/>
            <w:tcBorders>
              <w:top w:val="single" w:sz="4" w:space="0" w:color="auto"/>
              <w:left w:val="single" w:sz="4" w:space="0" w:color="auto"/>
              <w:bottom w:val="single" w:sz="4" w:space="0" w:color="auto"/>
              <w:right w:val="single" w:sz="4" w:space="0" w:color="auto"/>
            </w:tcBorders>
            <w:vAlign w:val="center"/>
          </w:tcPr>
          <w:p w14:paraId="661D0EDC" w14:textId="77777777" w:rsidR="00B201D3" w:rsidRPr="006D4FBA" w:rsidRDefault="009855E8">
            <w:pPr>
              <w:jc w:val="center"/>
              <w:rPr>
                <w:rFonts w:ascii="宋体" w:hAnsi="宋体"/>
                <w:lang w:val="en-GB"/>
              </w:rPr>
            </w:pPr>
            <w:r w:rsidRPr="006D4FBA">
              <w:rPr>
                <w:rFonts w:ascii="宋体" w:hAnsi="宋体" w:hint="eastAsia"/>
                <w:lang w:val="en-GB"/>
              </w:rPr>
              <w:t>202</w:t>
            </w:r>
            <w:r w:rsidRPr="006D4FBA">
              <w:rPr>
                <w:rFonts w:ascii="宋体" w:hAnsi="宋体"/>
                <w:lang w:val="en-GB"/>
              </w:rPr>
              <w:t>2</w:t>
            </w:r>
            <w:r w:rsidRPr="006D4FBA">
              <w:rPr>
                <w:rFonts w:ascii="宋体" w:hAnsi="宋体" w:hint="eastAsia"/>
                <w:lang w:val="en-GB"/>
              </w:rPr>
              <w:t>年1-6月</w:t>
            </w:r>
          </w:p>
        </w:tc>
      </w:tr>
      <w:tr w:rsidR="00B201D3" w:rsidRPr="006D4FBA" w14:paraId="0648D9A7" w14:textId="77777777">
        <w:trPr>
          <w:trHeight w:val="161"/>
          <w:jc w:val="center"/>
        </w:trPr>
        <w:tc>
          <w:tcPr>
            <w:tcW w:w="2279" w:type="dxa"/>
            <w:vMerge/>
            <w:tcBorders>
              <w:top w:val="single" w:sz="4" w:space="0" w:color="auto"/>
              <w:left w:val="single" w:sz="4" w:space="0" w:color="auto"/>
              <w:bottom w:val="single" w:sz="4" w:space="0" w:color="auto"/>
              <w:right w:val="single" w:sz="4" w:space="0" w:color="auto"/>
            </w:tcBorders>
            <w:vAlign w:val="center"/>
          </w:tcPr>
          <w:p w14:paraId="5B8A8389" w14:textId="77777777" w:rsidR="00B201D3" w:rsidRPr="006D4FBA" w:rsidRDefault="00B201D3">
            <w:pPr>
              <w:rPr>
                <w:rFonts w:ascii="宋体" w:hAnsi="宋体"/>
                <w:lang w:val="en-GB"/>
              </w:rPr>
            </w:pPr>
          </w:p>
        </w:tc>
        <w:tc>
          <w:tcPr>
            <w:tcW w:w="1698" w:type="dxa"/>
            <w:tcBorders>
              <w:top w:val="single" w:sz="4" w:space="0" w:color="auto"/>
              <w:left w:val="single" w:sz="4" w:space="0" w:color="auto"/>
              <w:bottom w:val="single" w:sz="4" w:space="0" w:color="auto"/>
              <w:right w:val="single" w:sz="4" w:space="0" w:color="auto"/>
            </w:tcBorders>
            <w:vAlign w:val="center"/>
          </w:tcPr>
          <w:p w14:paraId="6BE4FAC7" w14:textId="77777777" w:rsidR="00B201D3" w:rsidRPr="006D4FBA" w:rsidRDefault="009855E8">
            <w:pPr>
              <w:jc w:val="center"/>
              <w:rPr>
                <w:rFonts w:ascii="宋体" w:hAnsi="宋体"/>
                <w:lang w:val="en-GB"/>
              </w:rPr>
            </w:pPr>
            <w:r w:rsidRPr="006D4FBA">
              <w:rPr>
                <w:rFonts w:ascii="宋体" w:hAnsi="宋体" w:hint="eastAsia"/>
                <w:lang w:val="en-GB"/>
              </w:rPr>
              <w:t>销量</w:t>
            </w:r>
          </w:p>
        </w:tc>
        <w:tc>
          <w:tcPr>
            <w:tcW w:w="1700" w:type="dxa"/>
            <w:tcBorders>
              <w:top w:val="single" w:sz="4" w:space="0" w:color="auto"/>
              <w:left w:val="single" w:sz="4" w:space="0" w:color="auto"/>
              <w:bottom w:val="single" w:sz="4" w:space="0" w:color="auto"/>
              <w:right w:val="single" w:sz="4" w:space="0" w:color="auto"/>
            </w:tcBorders>
            <w:vAlign w:val="center"/>
          </w:tcPr>
          <w:p w14:paraId="4A75A698" w14:textId="77777777" w:rsidR="00B201D3" w:rsidRPr="006D4FBA" w:rsidRDefault="009855E8">
            <w:pPr>
              <w:jc w:val="center"/>
              <w:rPr>
                <w:rFonts w:ascii="宋体" w:hAnsi="宋体"/>
                <w:lang w:val="en-GB"/>
              </w:rPr>
            </w:pPr>
            <w:r w:rsidRPr="006D4FBA">
              <w:rPr>
                <w:rFonts w:ascii="宋体" w:hAnsi="宋体" w:hint="eastAsia"/>
                <w:lang w:val="en-GB"/>
              </w:rPr>
              <w:t>销售收入</w:t>
            </w:r>
          </w:p>
        </w:tc>
        <w:tc>
          <w:tcPr>
            <w:tcW w:w="1698" w:type="dxa"/>
            <w:tcBorders>
              <w:top w:val="single" w:sz="4" w:space="0" w:color="auto"/>
              <w:left w:val="single" w:sz="4" w:space="0" w:color="auto"/>
              <w:bottom w:val="single" w:sz="4" w:space="0" w:color="auto"/>
              <w:right w:val="single" w:sz="4" w:space="0" w:color="auto"/>
            </w:tcBorders>
            <w:vAlign w:val="center"/>
          </w:tcPr>
          <w:p w14:paraId="1E84EA44" w14:textId="77777777" w:rsidR="00B201D3" w:rsidRPr="006D4FBA" w:rsidRDefault="009855E8">
            <w:pPr>
              <w:jc w:val="center"/>
              <w:rPr>
                <w:rFonts w:ascii="宋体" w:hAnsi="宋体"/>
                <w:lang w:val="en-GB"/>
              </w:rPr>
            </w:pPr>
            <w:r w:rsidRPr="006D4FBA">
              <w:rPr>
                <w:rFonts w:ascii="宋体" w:hAnsi="宋体" w:hint="eastAsia"/>
                <w:lang w:val="en-GB"/>
              </w:rPr>
              <w:t>销量</w:t>
            </w:r>
          </w:p>
        </w:tc>
        <w:tc>
          <w:tcPr>
            <w:tcW w:w="1700" w:type="dxa"/>
            <w:tcBorders>
              <w:top w:val="single" w:sz="4" w:space="0" w:color="auto"/>
              <w:left w:val="single" w:sz="4" w:space="0" w:color="auto"/>
              <w:bottom w:val="single" w:sz="4" w:space="0" w:color="auto"/>
              <w:right w:val="single" w:sz="4" w:space="0" w:color="auto"/>
            </w:tcBorders>
            <w:vAlign w:val="center"/>
          </w:tcPr>
          <w:p w14:paraId="6C1BEC65" w14:textId="77777777" w:rsidR="00B201D3" w:rsidRPr="006D4FBA" w:rsidRDefault="009855E8">
            <w:pPr>
              <w:jc w:val="center"/>
              <w:rPr>
                <w:rFonts w:ascii="宋体" w:hAnsi="宋体"/>
                <w:lang w:val="en-GB"/>
              </w:rPr>
            </w:pPr>
            <w:r w:rsidRPr="006D4FBA">
              <w:rPr>
                <w:rFonts w:ascii="宋体" w:hAnsi="宋体" w:hint="eastAsia"/>
                <w:lang w:val="en-GB"/>
              </w:rPr>
              <w:t>销售收入</w:t>
            </w:r>
          </w:p>
        </w:tc>
      </w:tr>
      <w:tr w:rsidR="00B201D3" w:rsidRPr="006D4FBA" w14:paraId="67BD94B4" w14:textId="77777777">
        <w:trPr>
          <w:trHeight w:val="161"/>
          <w:jc w:val="center"/>
        </w:trPr>
        <w:tc>
          <w:tcPr>
            <w:tcW w:w="2279" w:type="dxa"/>
            <w:vMerge/>
            <w:tcBorders>
              <w:top w:val="single" w:sz="4" w:space="0" w:color="auto"/>
              <w:left w:val="single" w:sz="4" w:space="0" w:color="auto"/>
              <w:bottom w:val="single" w:sz="4" w:space="0" w:color="auto"/>
              <w:right w:val="single" w:sz="4" w:space="0" w:color="auto"/>
            </w:tcBorders>
            <w:vAlign w:val="center"/>
          </w:tcPr>
          <w:p w14:paraId="33D291FE" w14:textId="77777777" w:rsidR="00B201D3" w:rsidRPr="006D4FBA" w:rsidRDefault="00B201D3">
            <w:pPr>
              <w:rPr>
                <w:rFonts w:ascii="宋体" w:hAnsi="宋体"/>
                <w:lang w:val="en-GB"/>
              </w:rPr>
            </w:pPr>
          </w:p>
        </w:tc>
        <w:tc>
          <w:tcPr>
            <w:tcW w:w="1698" w:type="dxa"/>
            <w:tcBorders>
              <w:top w:val="single" w:sz="4" w:space="0" w:color="auto"/>
              <w:left w:val="single" w:sz="4" w:space="0" w:color="auto"/>
              <w:bottom w:val="single" w:sz="4" w:space="0" w:color="auto"/>
              <w:right w:val="single" w:sz="4" w:space="0" w:color="auto"/>
            </w:tcBorders>
            <w:vAlign w:val="center"/>
          </w:tcPr>
          <w:p w14:paraId="30378B33" w14:textId="77777777" w:rsidR="00B201D3" w:rsidRPr="006D4FBA" w:rsidRDefault="009855E8">
            <w:pPr>
              <w:jc w:val="center"/>
              <w:rPr>
                <w:rFonts w:ascii="宋体" w:hAnsi="宋体"/>
                <w:lang w:val="en-GB"/>
              </w:rPr>
            </w:pPr>
            <w:r w:rsidRPr="006D4FBA">
              <w:rPr>
                <w:rFonts w:ascii="宋体" w:hAnsi="宋体" w:hint="eastAsia"/>
                <w:lang w:val="en-GB"/>
              </w:rPr>
              <w:t>（千吨）</w:t>
            </w:r>
          </w:p>
        </w:tc>
        <w:tc>
          <w:tcPr>
            <w:tcW w:w="1700" w:type="dxa"/>
            <w:tcBorders>
              <w:top w:val="single" w:sz="4" w:space="0" w:color="auto"/>
              <w:left w:val="single" w:sz="4" w:space="0" w:color="auto"/>
              <w:bottom w:val="single" w:sz="4" w:space="0" w:color="auto"/>
              <w:right w:val="single" w:sz="4" w:space="0" w:color="auto"/>
            </w:tcBorders>
            <w:vAlign w:val="center"/>
          </w:tcPr>
          <w:p w14:paraId="5DE3F9C5" w14:textId="77777777" w:rsidR="00B201D3" w:rsidRPr="006D4FBA" w:rsidRDefault="009855E8">
            <w:pPr>
              <w:jc w:val="center"/>
              <w:rPr>
                <w:rFonts w:ascii="宋体" w:hAnsi="宋体"/>
                <w:lang w:val="en-GB"/>
              </w:rPr>
            </w:pPr>
            <w:r w:rsidRPr="006D4FBA">
              <w:rPr>
                <w:rFonts w:ascii="宋体" w:hAnsi="宋体" w:hint="eastAsia"/>
                <w:lang w:val="en-GB"/>
              </w:rPr>
              <w:t>（百万元）</w:t>
            </w:r>
          </w:p>
        </w:tc>
        <w:tc>
          <w:tcPr>
            <w:tcW w:w="1698" w:type="dxa"/>
            <w:tcBorders>
              <w:top w:val="single" w:sz="4" w:space="0" w:color="auto"/>
              <w:left w:val="single" w:sz="4" w:space="0" w:color="auto"/>
              <w:bottom w:val="single" w:sz="4" w:space="0" w:color="auto"/>
              <w:right w:val="single" w:sz="4" w:space="0" w:color="auto"/>
            </w:tcBorders>
            <w:vAlign w:val="center"/>
          </w:tcPr>
          <w:p w14:paraId="0DF1D708" w14:textId="77777777" w:rsidR="00B201D3" w:rsidRPr="006D4FBA" w:rsidRDefault="009855E8">
            <w:pPr>
              <w:jc w:val="center"/>
              <w:rPr>
                <w:rFonts w:ascii="宋体" w:hAnsi="宋体"/>
                <w:lang w:val="en-GB"/>
              </w:rPr>
            </w:pPr>
            <w:r w:rsidRPr="006D4FBA">
              <w:rPr>
                <w:rFonts w:ascii="宋体" w:hAnsi="宋体" w:hint="eastAsia"/>
                <w:lang w:val="en-GB"/>
              </w:rPr>
              <w:t>（千吨）</w:t>
            </w:r>
          </w:p>
        </w:tc>
        <w:tc>
          <w:tcPr>
            <w:tcW w:w="1700" w:type="dxa"/>
            <w:tcBorders>
              <w:top w:val="single" w:sz="4" w:space="0" w:color="auto"/>
              <w:left w:val="single" w:sz="4" w:space="0" w:color="auto"/>
              <w:bottom w:val="single" w:sz="4" w:space="0" w:color="auto"/>
              <w:right w:val="single" w:sz="4" w:space="0" w:color="auto"/>
            </w:tcBorders>
            <w:vAlign w:val="center"/>
          </w:tcPr>
          <w:p w14:paraId="11D306EE" w14:textId="77777777" w:rsidR="00B201D3" w:rsidRPr="006D4FBA" w:rsidRDefault="009855E8">
            <w:pPr>
              <w:jc w:val="center"/>
              <w:rPr>
                <w:rFonts w:ascii="宋体" w:hAnsi="宋体"/>
                <w:lang w:val="en-GB"/>
              </w:rPr>
            </w:pPr>
            <w:r w:rsidRPr="006D4FBA">
              <w:rPr>
                <w:rFonts w:ascii="宋体" w:hAnsi="宋体" w:hint="eastAsia"/>
                <w:lang w:val="en-GB"/>
              </w:rPr>
              <w:t>（百万元）</w:t>
            </w:r>
          </w:p>
        </w:tc>
      </w:tr>
      <w:tr w:rsidR="00B201D3" w:rsidRPr="006D4FBA" w14:paraId="09CD252A" w14:textId="77777777">
        <w:trPr>
          <w:trHeight w:val="280"/>
          <w:jc w:val="center"/>
        </w:trPr>
        <w:tc>
          <w:tcPr>
            <w:tcW w:w="2279" w:type="dxa"/>
            <w:tcBorders>
              <w:top w:val="single" w:sz="4" w:space="0" w:color="auto"/>
              <w:left w:val="single" w:sz="4" w:space="0" w:color="auto"/>
              <w:bottom w:val="single" w:sz="4" w:space="0" w:color="auto"/>
              <w:right w:val="single" w:sz="4" w:space="0" w:color="auto"/>
            </w:tcBorders>
            <w:vAlign w:val="center"/>
          </w:tcPr>
          <w:p w14:paraId="6EFE98BA" w14:textId="77777777" w:rsidR="00B201D3" w:rsidRPr="006D4FBA" w:rsidRDefault="009855E8">
            <w:pPr>
              <w:rPr>
                <w:rFonts w:ascii="宋体" w:hAnsi="宋体"/>
                <w:lang w:val="en-GB"/>
              </w:rPr>
            </w:pPr>
            <w:r w:rsidRPr="006D4FBA">
              <w:rPr>
                <w:rFonts w:ascii="宋体" w:hAnsi="宋体" w:hint="eastAsia"/>
                <w:lang w:val="en-GB"/>
              </w:rPr>
              <w:t>一、电力</w:t>
            </w:r>
          </w:p>
        </w:tc>
        <w:tc>
          <w:tcPr>
            <w:tcW w:w="1698" w:type="dxa"/>
            <w:tcBorders>
              <w:top w:val="single" w:sz="4" w:space="0" w:color="auto"/>
              <w:left w:val="single" w:sz="4" w:space="0" w:color="auto"/>
              <w:bottom w:val="single" w:sz="4" w:space="0" w:color="auto"/>
              <w:right w:val="single" w:sz="4" w:space="0" w:color="auto"/>
            </w:tcBorders>
            <w:vAlign w:val="center"/>
          </w:tcPr>
          <w:p w14:paraId="38360185" w14:textId="77777777" w:rsidR="00B201D3" w:rsidRPr="006D4FBA" w:rsidRDefault="009855E8">
            <w:pPr>
              <w:jc w:val="right"/>
              <w:rPr>
                <w:rFonts w:ascii="宋体" w:hAnsi="宋体"/>
              </w:rPr>
            </w:pPr>
            <w:r w:rsidRPr="006D4FBA">
              <w:rPr>
                <w:rFonts w:ascii="宋体" w:hAnsi="宋体"/>
              </w:rPr>
              <w:t xml:space="preserve">27,752 </w:t>
            </w:r>
          </w:p>
        </w:tc>
        <w:tc>
          <w:tcPr>
            <w:tcW w:w="1700" w:type="dxa"/>
            <w:tcBorders>
              <w:top w:val="single" w:sz="4" w:space="0" w:color="auto"/>
              <w:left w:val="single" w:sz="4" w:space="0" w:color="auto"/>
              <w:bottom w:val="single" w:sz="4" w:space="0" w:color="auto"/>
              <w:right w:val="single" w:sz="4" w:space="0" w:color="auto"/>
            </w:tcBorders>
            <w:vAlign w:val="center"/>
          </w:tcPr>
          <w:p w14:paraId="0AE51F2A" w14:textId="77777777" w:rsidR="00B201D3" w:rsidRPr="006D4FBA" w:rsidRDefault="009855E8">
            <w:pPr>
              <w:jc w:val="right"/>
              <w:rPr>
                <w:rFonts w:ascii="宋体" w:hAnsi="宋体"/>
              </w:rPr>
            </w:pPr>
            <w:r w:rsidRPr="006D4FBA">
              <w:rPr>
                <w:rFonts w:ascii="宋体" w:hAnsi="宋体"/>
              </w:rPr>
              <w:t xml:space="preserve">23,694 </w:t>
            </w:r>
          </w:p>
        </w:tc>
        <w:tc>
          <w:tcPr>
            <w:tcW w:w="1698" w:type="dxa"/>
            <w:tcBorders>
              <w:top w:val="single" w:sz="4" w:space="0" w:color="auto"/>
              <w:left w:val="single" w:sz="4" w:space="0" w:color="auto"/>
              <w:bottom w:val="single" w:sz="4" w:space="0" w:color="auto"/>
              <w:right w:val="single" w:sz="4" w:space="0" w:color="auto"/>
            </w:tcBorders>
            <w:vAlign w:val="center"/>
          </w:tcPr>
          <w:p w14:paraId="12E94B8D" w14:textId="77777777" w:rsidR="00B201D3" w:rsidRPr="006D4FBA" w:rsidRDefault="009855E8">
            <w:pPr>
              <w:jc w:val="right"/>
              <w:rPr>
                <w:rFonts w:ascii="宋体" w:hAnsi="宋体"/>
              </w:rPr>
            </w:pPr>
            <w:r w:rsidRPr="006D4FBA">
              <w:rPr>
                <w:rFonts w:ascii="宋体" w:hAnsi="宋体" w:hint="eastAsia"/>
              </w:rPr>
              <w:t xml:space="preserve">23,870 </w:t>
            </w:r>
          </w:p>
        </w:tc>
        <w:tc>
          <w:tcPr>
            <w:tcW w:w="1700" w:type="dxa"/>
            <w:tcBorders>
              <w:top w:val="single" w:sz="4" w:space="0" w:color="auto"/>
              <w:left w:val="single" w:sz="4" w:space="0" w:color="auto"/>
              <w:bottom w:val="single" w:sz="4" w:space="0" w:color="auto"/>
              <w:right w:val="single" w:sz="4" w:space="0" w:color="auto"/>
            </w:tcBorders>
            <w:vAlign w:val="center"/>
          </w:tcPr>
          <w:p w14:paraId="1B042A08" w14:textId="77777777" w:rsidR="00B201D3" w:rsidRPr="006D4FBA" w:rsidRDefault="009855E8">
            <w:pPr>
              <w:jc w:val="right"/>
              <w:rPr>
                <w:rFonts w:ascii="宋体" w:hAnsi="宋体"/>
              </w:rPr>
            </w:pPr>
            <w:r w:rsidRPr="006D4FBA">
              <w:rPr>
                <w:rFonts w:ascii="宋体" w:hAnsi="宋体" w:hint="eastAsia"/>
              </w:rPr>
              <w:t xml:space="preserve">24,535 </w:t>
            </w:r>
          </w:p>
        </w:tc>
      </w:tr>
      <w:tr w:rsidR="00B201D3" w:rsidRPr="006D4FBA" w14:paraId="38195340" w14:textId="77777777">
        <w:trPr>
          <w:trHeight w:val="335"/>
          <w:jc w:val="center"/>
        </w:trPr>
        <w:tc>
          <w:tcPr>
            <w:tcW w:w="2279" w:type="dxa"/>
            <w:tcBorders>
              <w:top w:val="single" w:sz="4" w:space="0" w:color="auto"/>
              <w:left w:val="single" w:sz="4" w:space="0" w:color="auto"/>
              <w:bottom w:val="single" w:sz="4" w:space="0" w:color="auto"/>
              <w:right w:val="single" w:sz="4" w:space="0" w:color="auto"/>
            </w:tcBorders>
            <w:vAlign w:val="center"/>
          </w:tcPr>
          <w:p w14:paraId="1E176ED6" w14:textId="77777777" w:rsidR="00B201D3" w:rsidRPr="006D4FBA" w:rsidRDefault="009855E8">
            <w:pPr>
              <w:rPr>
                <w:rFonts w:ascii="宋体" w:hAnsi="宋体"/>
                <w:lang w:val="en-GB"/>
              </w:rPr>
            </w:pPr>
            <w:r w:rsidRPr="006D4FBA">
              <w:rPr>
                <w:rFonts w:ascii="宋体" w:hAnsi="宋体" w:hint="eastAsia"/>
                <w:lang w:val="en-GB"/>
              </w:rPr>
              <w:t>二、冶金</w:t>
            </w:r>
          </w:p>
        </w:tc>
        <w:tc>
          <w:tcPr>
            <w:tcW w:w="1698" w:type="dxa"/>
            <w:tcBorders>
              <w:top w:val="single" w:sz="4" w:space="0" w:color="auto"/>
              <w:left w:val="single" w:sz="4" w:space="0" w:color="auto"/>
              <w:bottom w:val="single" w:sz="4" w:space="0" w:color="auto"/>
              <w:right w:val="single" w:sz="4" w:space="0" w:color="auto"/>
            </w:tcBorders>
            <w:vAlign w:val="center"/>
          </w:tcPr>
          <w:p w14:paraId="0403D286" w14:textId="77777777" w:rsidR="00B201D3" w:rsidRPr="006D4FBA" w:rsidRDefault="009855E8">
            <w:pPr>
              <w:jc w:val="right"/>
              <w:rPr>
                <w:rFonts w:ascii="宋体" w:hAnsi="宋体"/>
              </w:rPr>
            </w:pPr>
            <w:r w:rsidRPr="006D4FBA">
              <w:rPr>
                <w:rFonts w:ascii="宋体" w:hAnsi="宋体"/>
              </w:rPr>
              <w:t xml:space="preserve">5,130 </w:t>
            </w:r>
          </w:p>
        </w:tc>
        <w:tc>
          <w:tcPr>
            <w:tcW w:w="1700" w:type="dxa"/>
            <w:tcBorders>
              <w:top w:val="single" w:sz="4" w:space="0" w:color="auto"/>
              <w:left w:val="single" w:sz="4" w:space="0" w:color="auto"/>
              <w:bottom w:val="single" w:sz="4" w:space="0" w:color="auto"/>
              <w:right w:val="single" w:sz="4" w:space="0" w:color="auto"/>
            </w:tcBorders>
            <w:vAlign w:val="center"/>
          </w:tcPr>
          <w:p w14:paraId="21B01CCC" w14:textId="77777777" w:rsidR="00B201D3" w:rsidRPr="006D4FBA" w:rsidRDefault="009855E8">
            <w:pPr>
              <w:jc w:val="right"/>
              <w:rPr>
                <w:rFonts w:ascii="宋体" w:hAnsi="宋体"/>
              </w:rPr>
            </w:pPr>
            <w:r w:rsidRPr="006D4FBA">
              <w:rPr>
                <w:rFonts w:ascii="宋体" w:hAnsi="宋体"/>
              </w:rPr>
              <w:t xml:space="preserve">8,995 </w:t>
            </w:r>
          </w:p>
        </w:tc>
        <w:tc>
          <w:tcPr>
            <w:tcW w:w="1698" w:type="dxa"/>
            <w:tcBorders>
              <w:top w:val="single" w:sz="4" w:space="0" w:color="auto"/>
              <w:left w:val="single" w:sz="4" w:space="0" w:color="auto"/>
              <w:bottom w:val="single" w:sz="4" w:space="0" w:color="auto"/>
              <w:right w:val="single" w:sz="4" w:space="0" w:color="auto"/>
            </w:tcBorders>
            <w:vAlign w:val="center"/>
          </w:tcPr>
          <w:p w14:paraId="7C4D87D6" w14:textId="77777777" w:rsidR="00B201D3" w:rsidRPr="006D4FBA" w:rsidRDefault="009855E8">
            <w:pPr>
              <w:jc w:val="right"/>
              <w:rPr>
                <w:rFonts w:ascii="宋体" w:hAnsi="宋体"/>
              </w:rPr>
            </w:pPr>
            <w:r w:rsidRPr="006D4FBA">
              <w:rPr>
                <w:rFonts w:ascii="宋体" w:hAnsi="宋体" w:hint="eastAsia"/>
              </w:rPr>
              <w:t xml:space="preserve">4,014 </w:t>
            </w:r>
          </w:p>
        </w:tc>
        <w:tc>
          <w:tcPr>
            <w:tcW w:w="1700" w:type="dxa"/>
            <w:tcBorders>
              <w:top w:val="single" w:sz="4" w:space="0" w:color="auto"/>
              <w:left w:val="single" w:sz="4" w:space="0" w:color="auto"/>
              <w:bottom w:val="single" w:sz="4" w:space="0" w:color="auto"/>
              <w:right w:val="single" w:sz="4" w:space="0" w:color="auto"/>
            </w:tcBorders>
            <w:vAlign w:val="center"/>
          </w:tcPr>
          <w:p w14:paraId="456112C1" w14:textId="77777777" w:rsidR="00B201D3" w:rsidRPr="006D4FBA" w:rsidRDefault="009855E8">
            <w:pPr>
              <w:jc w:val="right"/>
              <w:rPr>
                <w:rFonts w:ascii="宋体" w:hAnsi="宋体"/>
              </w:rPr>
            </w:pPr>
            <w:r w:rsidRPr="006D4FBA">
              <w:rPr>
                <w:rFonts w:ascii="宋体" w:hAnsi="宋体" w:hint="eastAsia"/>
              </w:rPr>
              <w:t xml:space="preserve">7,438 </w:t>
            </w:r>
          </w:p>
        </w:tc>
      </w:tr>
      <w:tr w:rsidR="00B201D3" w:rsidRPr="006D4FBA" w14:paraId="58971DDE" w14:textId="77777777">
        <w:trPr>
          <w:trHeight w:val="295"/>
          <w:jc w:val="center"/>
        </w:trPr>
        <w:tc>
          <w:tcPr>
            <w:tcW w:w="2279" w:type="dxa"/>
            <w:tcBorders>
              <w:top w:val="single" w:sz="4" w:space="0" w:color="auto"/>
              <w:left w:val="single" w:sz="4" w:space="0" w:color="auto"/>
              <w:bottom w:val="single" w:sz="4" w:space="0" w:color="auto"/>
              <w:right w:val="single" w:sz="4" w:space="0" w:color="auto"/>
            </w:tcBorders>
            <w:vAlign w:val="center"/>
          </w:tcPr>
          <w:p w14:paraId="3E9B8F9F" w14:textId="77777777" w:rsidR="00B201D3" w:rsidRPr="006D4FBA" w:rsidRDefault="009855E8">
            <w:pPr>
              <w:rPr>
                <w:rFonts w:ascii="宋体" w:hAnsi="宋体"/>
                <w:lang w:val="en-GB"/>
              </w:rPr>
            </w:pPr>
            <w:r w:rsidRPr="006D4FBA">
              <w:rPr>
                <w:rFonts w:ascii="宋体" w:hAnsi="宋体" w:hint="eastAsia"/>
                <w:lang w:val="en-GB"/>
              </w:rPr>
              <w:t>三、化工</w:t>
            </w:r>
          </w:p>
        </w:tc>
        <w:tc>
          <w:tcPr>
            <w:tcW w:w="1698" w:type="dxa"/>
            <w:tcBorders>
              <w:top w:val="single" w:sz="4" w:space="0" w:color="auto"/>
              <w:left w:val="single" w:sz="4" w:space="0" w:color="auto"/>
              <w:bottom w:val="single" w:sz="4" w:space="0" w:color="auto"/>
              <w:right w:val="single" w:sz="4" w:space="0" w:color="auto"/>
            </w:tcBorders>
            <w:vAlign w:val="center"/>
          </w:tcPr>
          <w:p w14:paraId="70E1AAA3" w14:textId="77777777" w:rsidR="00B201D3" w:rsidRPr="006D4FBA" w:rsidRDefault="009855E8">
            <w:pPr>
              <w:jc w:val="right"/>
              <w:rPr>
                <w:rFonts w:ascii="宋体" w:hAnsi="宋体"/>
              </w:rPr>
            </w:pPr>
            <w:r w:rsidRPr="006D4FBA">
              <w:rPr>
                <w:rFonts w:ascii="宋体" w:hAnsi="宋体"/>
              </w:rPr>
              <w:t xml:space="preserve">7,925 </w:t>
            </w:r>
          </w:p>
        </w:tc>
        <w:tc>
          <w:tcPr>
            <w:tcW w:w="1700" w:type="dxa"/>
            <w:tcBorders>
              <w:top w:val="single" w:sz="4" w:space="0" w:color="auto"/>
              <w:left w:val="single" w:sz="4" w:space="0" w:color="auto"/>
              <w:bottom w:val="single" w:sz="4" w:space="0" w:color="auto"/>
              <w:right w:val="single" w:sz="4" w:space="0" w:color="auto"/>
            </w:tcBorders>
            <w:vAlign w:val="center"/>
          </w:tcPr>
          <w:p w14:paraId="1C5C344A" w14:textId="77777777" w:rsidR="00B201D3" w:rsidRPr="006D4FBA" w:rsidRDefault="009855E8">
            <w:pPr>
              <w:jc w:val="right"/>
              <w:rPr>
                <w:rFonts w:ascii="宋体" w:hAnsi="宋体"/>
              </w:rPr>
            </w:pPr>
            <w:r w:rsidRPr="006D4FBA">
              <w:rPr>
                <w:rFonts w:ascii="宋体" w:hAnsi="宋体"/>
              </w:rPr>
              <w:t xml:space="preserve">6,826 </w:t>
            </w:r>
          </w:p>
        </w:tc>
        <w:tc>
          <w:tcPr>
            <w:tcW w:w="1698" w:type="dxa"/>
            <w:tcBorders>
              <w:top w:val="single" w:sz="4" w:space="0" w:color="auto"/>
              <w:left w:val="single" w:sz="4" w:space="0" w:color="auto"/>
              <w:bottom w:val="single" w:sz="4" w:space="0" w:color="auto"/>
              <w:right w:val="single" w:sz="4" w:space="0" w:color="auto"/>
            </w:tcBorders>
            <w:vAlign w:val="center"/>
          </w:tcPr>
          <w:p w14:paraId="184EC524" w14:textId="77777777" w:rsidR="00B201D3" w:rsidRPr="006D4FBA" w:rsidRDefault="009855E8">
            <w:pPr>
              <w:jc w:val="right"/>
              <w:rPr>
                <w:rFonts w:ascii="宋体" w:hAnsi="宋体"/>
              </w:rPr>
            </w:pPr>
            <w:r w:rsidRPr="006D4FBA">
              <w:rPr>
                <w:rFonts w:ascii="宋体" w:hAnsi="宋体" w:hint="eastAsia"/>
              </w:rPr>
              <w:t xml:space="preserve">8,534 </w:t>
            </w:r>
          </w:p>
        </w:tc>
        <w:tc>
          <w:tcPr>
            <w:tcW w:w="1700" w:type="dxa"/>
            <w:tcBorders>
              <w:top w:val="single" w:sz="4" w:space="0" w:color="auto"/>
              <w:left w:val="single" w:sz="4" w:space="0" w:color="auto"/>
              <w:bottom w:val="single" w:sz="4" w:space="0" w:color="auto"/>
              <w:right w:val="single" w:sz="4" w:space="0" w:color="auto"/>
            </w:tcBorders>
            <w:vAlign w:val="center"/>
          </w:tcPr>
          <w:p w14:paraId="20EDA9C8" w14:textId="77777777" w:rsidR="00B201D3" w:rsidRPr="006D4FBA" w:rsidRDefault="009855E8">
            <w:pPr>
              <w:jc w:val="right"/>
              <w:rPr>
                <w:rFonts w:ascii="宋体" w:hAnsi="宋体"/>
              </w:rPr>
            </w:pPr>
            <w:r w:rsidRPr="006D4FBA">
              <w:rPr>
                <w:rFonts w:ascii="宋体" w:hAnsi="宋体" w:hint="eastAsia"/>
              </w:rPr>
              <w:t xml:space="preserve">10,269 </w:t>
            </w:r>
          </w:p>
        </w:tc>
      </w:tr>
      <w:tr w:rsidR="00B201D3" w:rsidRPr="006D4FBA" w14:paraId="4AF3CEB2" w14:textId="77777777">
        <w:trPr>
          <w:trHeight w:val="295"/>
          <w:jc w:val="center"/>
        </w:trPr>
        <w:tc>
          <w:tcPr>
            <w:tcW w:w="2279" w:type="dxa"/>
            <w:tcBorders>
              <w:top w:val="single" w:sz="4" w:space="0" w:color="auto"/>
              <w:left w:val="single" w:sz="4" w:space="0" w:color="auto"/>
              <w:bottom w:val="single" w:sz="4" w:space="0" w:color="auto"/>
              <w:right w:val="single" w:sz="4" w:space="0" w:color="auto"/>
            </w:tcBorders>
            <w:vAlign w:val="center"/>
          </w:tcPr>
          <w:p w14:paraId="3861C10A" w14:textId="77777777" w:rsidR="00B201D3" w:rsidRPr="006D4FBA" w:rsidRDefault="009855E8">
            <w:pPr>
              <w:rPr>
                <w:rFonts w:ascii="宋体" w:hAnsi="宋体"/>
                <w:lang w:val="en-GB"/>
              </w:rPr>
            </w:pPr>
            <w:r w:rsidRPr="006D4FBA">
              <w:rPr>
                <w:rFonts w:ascii="宋体" w:hAnsi="宋体" w:hint="eastAsia"/>
                <w:lang w:val="en-GB"/>
              </w:rPr>
              <w:t>四、商贸</w:t>
            </w:r>
          </w:p>
        </w:tc>
        <w:tc>
          <w:tcPr>
            <w:tcW w:w="1698" w:type="dxa"/>
            <w:tcBorders>
              <w:top w:val="single" w:sz="4" w:space="0" w:color="auto"/>
              <w:left w:val="single" w:sz="4" w:space="0" w:color="auto"/>
              <w:bottom w:val="single" w:sz="4" w:space="0" w:color="auto"/>
              <w:right w:val="single" w:sz="4" w:space="0" w:color="auto"/>
            </w:tcBorders>
            <w:vAlign w:val="center"/>
          </w:tcPr>
          <w:p w14:paraId="19376BFC" w14:textId="77777777" w:rsidR="00B201D3" w:rsidRPr="006D4FBA" w:rsidRDefault="009855E8">
            <w:pPr>
              <w:jc w:val="right"/>
              <w:rPr>
                <w:rFonts w:ascii="宋体" w:hAnsi="宋体"/>
              </w:rPr>
            </w:pPr>
            <w:r w:rsidRPr="006D4FBA">
              <w:rPr>
                <w:rFonts w:ascii="宋体" w:hAnsi="宋体"/>
              </w:rPr>
              <w:t xml:space="preserve">9,228 </w:t>
            </w:r>
          </w:p>
        </w:tc>
        <w:tc>
          <w:tcPr>
            <w:tcW w:w="1700" w:type="dxa"/>
            <w:tcBorders>
              <w:top w:val="single" w:sz="4" w:space="0" w:color="auto"/>
              <w:left w:val="single" w:sz="4" w:space="0" w:color="auto"/>
              <w:bottom w:val="single" w:sz="4" w:space="0" w:color="auto"/>
              <w:right w:val="single" w:sz="4" w:space="0" w:color="auto"/>
            </w:tcBorders>
            <w:vAlign w:val="center"/>
          </w:tcPr>
          <w:p w14:paraId="7E3663BB" w14:textId="77777777" w:rsidR="00B201D3" w:rsidRPr="006D4FBA" w:rsidRDefault="009855E8">
            <w:pPr>
              <w:jc w:val="right"/>
              <w:rPr>
                <w:rFonts w:ascii="宋体" w:hAnsi="宋体"/>
              </w:rPr>
            </w:pPr>
            <w:r w:rsidRPr="006D4FBA">
              <w:rPr>
                <w:rFonts w:ascii="宋体" w:hAnsi="宋体"/>
              </w:rPr>
              <w:t xml:space="preserve">10,752 </w:t>
            </w:r>
          </w:p>
        </w:tc>
        <w:tc>
          <w:tcPr>
            <w:tcW w:w="1698" w:type="dxa"/>
            <w:tcBorders>
              <w:top w:val="single" w:sz="4" w:space="0" w:color="auto"/>
              <w:left w:val="single" w:sz="4" w:space="0" w:color="auto"/>
              <w:bottom w:val="single" w:sz="4" w:space="0" w:color="auto"/>
              <w:right w:val="single" w:sz="4" w:space="0" w:color="auto"/>
            </w:tcBorders>
            <w:vAlign w:val="center"/>
          </w:tcPr>
          <w:p w14:paraId="079CFE30" w14:textId="77777777" w:rsidR="00B201D3" w:rsidRPr="006D4FBA" w:rsidRDefault="009855E8">
            <w:pPr>
              <w:jc w:val="right"/>
              <w:rPr>
                <w:rFonts w:ascii="宋体" w:hAnsi="宋体"/>
              </w:rPr>
            </w:pPr>
            <w:r w:rsidRPr="006D4FBA">
              <w:rPr>
                <w:rFonts w:ascii="宋体" w:hAnsi="宋体" w:hint="eastAsia"/>
              </w:rPr>
              <w:t xml:space="preserve">14,750 </w:t>
            </w:r>
          </w:p>
        </w:tc>
        <w:tc>
          <w:tcPr>
            <w:tcW w:w="1700" w:type="dxa"/>
            <w:tcBorders>
              <w:top w:val="single" w:sz="4" w:space="0" w:color="auto"/>
              <w:left w:val="single" w:sz="4" w:space="0" w:color="auto"/>
              <w:bottom w:val="single" w:sz="4" w:space="0" w:color="auto"/>
              <w:right w:val="single" w:sz="4" w:space="0" w:color="auto"/>
            </w:tcBorders>
            <w:vAlign w:val="center"/>
          </w:tcPr>
          <w:p w14:paraId="2CD037A7" w14:textId="77777777" w:rsidR="00B201D3" w:rsidRPr="006D4FBA" w:rsidRDefault="009855E8">
            <w:pPr>
              <w:jc w:val="right"/>
              <w:rPr>
                <w:rFonts w:ascii="宋体" w:hAnsi="宋体"/>
              </w:rPr>
            </w:pPr>
            <w:r w:rsidRPr="006D4FBA">
              <w:rPr>
                <w:rFonts w:ascii="宋体" w:hAnsi="宋体" w:hint="eastAsia"/>
              </w:rPr>
              <w:t xml:space="preserve">16,563 </w:t>
            </w:r>
          </w:p>
        </w:tc>
      </w:tr>
      <w:tr w:rsidR="00B201D3" w:rsidRPr="006D4FBA" w14:paraId="0BAABD88" w14:textId="77777777">
        <w:trPr>
          <w:trHeight w:val="335"/>
          <w:jc w:val="center"/>
        </w:trPr>
        <w:tc>
          <w:tcPr>
            <w:tcW w:w="2279" w:type="dxa"/>
            <w:tcBorders>
              <w:top w:val="single" w:sz="4" w:space="0" w:color="auto"/>
              <w:left w:val="single" w:sz="4" w:space="0" w:color="auto"/>
              <w:bottom w:val="single" w:sz="4" w:space="0" w:color="auto"/>
              <w:right w:val="single" w:sz="4" w:space="0" w:color="auto"/>
            </w:tcBorders>
            <w:vAlign w:val="center"/>
          </w:tcPr>
          <w:p w14:paraId="064D5204" w14:textId="77777777" w:rsidR="00B201D3" w:rsidRPr="006D4FBA" w:rsidRDefault="009855E8">
            <w:pPr>
              <w:rPr>
                <w:rFonts w:ascii="宋体" w:hAnsi="宋体"/>
                <w:lang w:val="en-GB"/>
              </w:rPr>
            </w:pPr>
            <w:r w:rsidRPr="006D4FBA">
              <w:rPr>
                <w:rFonts w:ascii="宋体" w:hAnsi="宋体" w:hint="eastAsia"/>
                <w:lang w:val="en-GB"/>
              </w:rPr>
              <w:lastRenderedPageBreak/>
              <w:t>五、其他</w:t>
            </w:r>
          </w:p>
        </w:tc>
        <w:tc>
          <w:tcPr>
            <w:tcW w:w="1698" w:type="dxa"/>
            <w:tcBorders>
              <w:top w:val="single" w:sz="4" w:space="0" w:color="auto"/>
              <w:left w:val="single" w:sz="4" w:space="0" w:color="auto"/>
              <w:bottom w:val="single" w:sz="4" w:space="0" w:color="auto"/>
              <w:right w:val="single" w:sz="4" w:space="0" w:color="auto"/>
            </w:tcBorders>
            <w:vAlign w:val="center"/>
          </w:tcPr>
          <w:p w14:paraId="5F5024A4" w14:textId="77777777" w:rsidR="00B201D3" w:rsidRPr="006D4FBA" w:rsidRDefault="009855E8">
            <w:pPr>
              <w:jc w:val="right"/>
              <w:rPr>
                <w:rFonts w:ascii="宋体" w:hAnsi="宋体"/>
              </w:rPr>
            </w:pPr>
            <w:r w:rsidRPr="006D4FBA">
              <w:rPr>
                <w:rFonts w:ascii="宋体" w:hAnsi="宋体"/>
              </w:rPr>
              <w:t xml:space="preserve">1,316 </w:t>
            </w:r>
          </w:p>
        </w:tc>
        <w:tc>
          <w:tcPr>
            <w:tcW w:w="1700" w:type="dxa"/>
            <w:tcBorders>
              <w:top w:val="single" w:sz="4" w:space="0" w:color="auto"/>
              <w:left w:val="single" w:sz="4" w:space="0" w:color="auto"/>
              <w:bottom w:val="single" w:sz="4" w:space="0" w:color="auto"/>
              <w:right w:val="single" w:sz="4" w:space="0" w:color="auto"/>
            </w:tcBorders>
            <w:vAlign w:val="center"/>
          </w:tcPr>
          <w:p w14:paraId="209A8278" w14:textId="77777777" w:rsidR="00B201D3" w:rsidRPr="006D4FBA" w:rsidRDefault="009855E8">
            <w:pPr>
              <w:jc w:val="right"/>
              <w:rPr>
                <w:rFonts w:ascii="宋体" w:hAnsi="宋体"/>
              </w:rPr>
            </w:pPr>
            <w:r w:rsidRPr="006D4FBA">
              <w:rPr>
                <w:rFonts w:ascii="宋体" w:hAnsi="宋体"/>
              </w:rPr>
              <w:t xml:space="preserve">1,199 </w:t>
            </w:r>
          </w:p>
        </w:tc>
        <w:tc>
          <w:tcPr>
            <w:tcW w:w="1698" w:type="dxa"/>
            <w:tcBorders>
              <w:top w:val="single" w:sz="4" w:space="0" w:color="auto"/>
              <w:left w:val="single" w:sz="4" w:space="0" w:color="auto"/>
              <w:bottom w:val="single" w:sz="4" w:space="0" w:color="auto"/>
              <w:right w:val="single" w:sz="4" w:space="0" w:color="auto"/>
            </w:tcBorders>
            <w:vAlign w:val="center"/>
          </w:tcPr>
          <w:p w14:paraId="628BF5BB" w14:textId="77777777" w:rsidR="00B201D3" w:rsidRPr="006D4FBA" w:rsidRDefault="009855E8">
            <w:pPr>
              <w:jc w:val="right"/>
              <w:rPr>
                <w:rFonts w:ascii="宋体" w:hAnsi="宋体"/>
              </w:rPr>
            </w:pPr>
            <w:r w:rsidRPr="006D4FBA">
              <w:rPr>
                <w:rFonts w:ascii="宋体" w:hAnsi="宋体" w:hint="eastAsia"/>
              </w:rPr>
              <w:t xml:space="preserve">1,901 </w:t>
            </w:r>
          </w:p>
        </w:tc>
        <w:tc>
          <w:tcPr>
            <w:tcW w:w="1700" w:type="dxa"/>
            <w:tcBorders>
              <w:top w:val="single" w:sz="4" w:space="0" w:color="auto"/>
              <w:left w:val="single" w:sz="4" w:space="0" w:color="auto"/>
              <w:bottom w:val="single" w:sz="4" w:space="0" w:color="auto"/>
              <w:right w:val="single" w:sz="4" w:space="0" w:color="auto"/>
            </w:tcBorders>
            <w:vAlign w:val="center"/>
          </w:tcPr>
          <w:p w14:paraId="2E5EF35B" w14:textId="77777777" w:rsidR="00B201D3" w:rsidRPr="006D4FBA" w:rsidRDefault="009855E8">
            <w:pPr>
              <w:jc w:val="right"/>
              <w:rPr>
                <w:rFonts w:ascii="宋体" w:hAnsi="宋体"/>
              </w:rPr>
            </w:pPr>
            <w:r w:rsidRPr="006D4FBA">
              <w:rPr>
                <w:rFonts w:ascii="宋体" w:hAnsi="宋体" w:hint="eastAsia"/>
              </w:rPr>
              <w:t xml:space="preserve">2,478 </w:t>
            </w:r>
          </w:p>
        </w:tc>
      </w:tr>
      <w:tr w:rsidR="00B201D3" w:rsidRPr="006D4FBA" w14:paraId="3F453C94" w14:textId="77777777">
        <w:trPr>
          <w:trHeight w:val="351"/>
          <w:jc w:val="center"/>
        </w:trPr>
        <w:tc>
          <w:tcPr>
            <w:tcW w:w="2279" w:type="dxa"/>
            <w:tcBorders>
              <w:top w:val="single" w:sz="4" w:space="0" w:color="auto"/>
              <w:left w:val="single" w:sz="4" w:space="0" w:color="auto"/>
              <w:bottom w:val="single" w:sz="4" w:space="0" w:color="auto"/>
              <w:right w:val="single" w:sz="4" w:space="0" w:color="auto"/>
            </w:tcBorders>
            <w:vAlign w:val="center"/>
          </w:tcPr>
          <w:p w14:paraId="3035CB38" w14:textId="77777777" w:rsidR="00B201D3" w:rsidRPr="006D4FBA" w:rsidRDefault="009855E8">
            <w:pPr>
              <w:rPr>
                <w:rFonts w:ascii="宋体" w:hAnsi="宋体"/>
                <w:lang w:val="en-GB"/>
              </w:rPr>
            </w:pPr>
            <w:r w:rsidRPr="006D4FBA">
              <w:rPr>
                <w:rFonts w:ascii="宋体" w:hAnsi="宋体" w:hint="eastAsia"/>
                <w:lang w:val="en-GB"/>
              </w:rPr>
              <w:t>六、本集团总计</w:t>
            </w:r>
          </w:p>
        </w:tc>
        <w:tc>
          <w:tcPr>
            <w:tcW w:w="1698" w:type="dxa"/>
            <w:tcBorders>
              <w:top w:val="single" w:sz="4" w:space="0" w:color="auto"/>
              <w:left w:val="single" w:sz="4" w:space="0" w:color="auto"/>
              <w:bottom w:val="single" w:sz="4" w:space="0" w:color="auto"/>
              <w:right w:val="single" w:sz="4" w:space="0" w:color="auto"/>
            </w:tcBorders>
            <w:vAlign w:val="center"/>
          </w:tcPr>
          <w:p w14:paraId="1AC201C2" w14:textId="77777777" w:rsidR="00B201D3" w:rsidRPr="006D4FBA" w:rsidRDefault="009855E8">
            <w:pPr>
              <w:jc w:val="right"/>
              <w:rPr>
                <w:rFonts w:ascii="宋体" w:hAnsi="宋体"/>
              </w:rPr>
            </w:pPr>
            <w:r w:rsidRPr="006D4FBA">
              <w:rPr>
                <w:rFonts w:ascii="宋体" w:hAnsi="宋体"/>
              </w:rPr>
              <w:t xml:space="preserve">51,351 </w:t>
            </w:r>
          </w:p>
        </w:tc>
        <w:tc>
          <w:tcPr>
            <w:tcW w:w="1700" w:type="dxa"/>
            <w:tcBorders>
              <w:top w:val="single" w:sz="4" w:space="0" w:color="auto"/>
              <w:left w:val="single" w:sz="4" w:space="0" w:color="auto"/>
              <w:bottom w:val="single" w:sz="4" w:space="0" w:color="auto"/>
              <w:right w:val="single" w:sz="4" w:space="0" w:color="auto"/>
            </w:tcBorders>
            <w:vAlign w:val="center"/>
          </w:tcPr>
          <w:p w14:paraId="1FCA1DDC" w14:textId="77777777" w:rsidR="00B201D3" w:rsidRPr="006D4FBA" w:rsidRDefault="009855E8">
            <w:pPr>
              <w:jc w:val="right"/>
              <w:rPr>
                <w:rFonts w:ascii="宋体" w:hAnsi="宋体"/>
              </w:rPr>
            </w:pPr>
            <w:r w:rsidRPr="006D4FBA">
              <w:rPr>
                <w:rFonts w:ascii="宋体" w:hAnsi="宋体"/>
              </w:rPr>
              <w:t xml:space="preserve">51,466 </w:t>
            </w:r>
          </w:p>
        </w:tc>
        <w:tc>
          <w:tcPr>
            <w:tcW w:w="1698" w:type="dxa"/>
            <w:tcBorders>
              <w:top w:val="single" w:sz="4" w:space="0" w:color="auto"/>
              <w:left w:val="single" w:sz="4" w:space="0" w:color="auto"/>
              <w:bottom w:val="single" w:sz="4" w:space="0" w:color="auto"/>
              <w:right w:val="single" w:sz="4" w:space="0" w:color="auto"/>
            </w:tcBorders>
            <w:vAlign w:val="center"/>
          </w:tcPr>
          <w:p w14:paraId="27E8451C" w14:textId="77777777" w:rsidR="00B201D3" w:rsidRPr="006D4FBA" w:rsidRDefault="009855E8">
            <w:pPr>
              <w:jc w:val="right"/>
              <w:rPr>
                <w:rFonts w:ascii="宋体" w:hAnsi="宋体"/>
              </w:rPr>
            </w:pPr>
            <w:r w:rsidRPr="006D4FBA">
              <w:rPr>
                <w:rFonts w:ascii="宋体" w:hAnsi="宋体" w:hint="eastAsia"/>
              </w:rPr>
              <w:t xml:space="preserve">53,068 </w:t>
            </w:r>
          </w:p>
        </w:tc>
        <w:tc>
          <w:tcPr>
            <w:tcW w:w="1700" w:type="dxa"/>
            <w:tcBorders>
              <w:top w:val="single" w:sz="4" w:space="0" w:color="auto"/>
              <w:left w:val="single" w:sz="4" w:space="0" w:color="auto"/>
              <w:bottom w:val="single" w:sz="4" w:space="0" w:color="auto"/>
              <w:right w:val="single" w:sz="4" w:space="0" w:color="auto"/>
            </w:tcBorders>
            <w:vAlign w:val="center"/>
          </w:tcPr>
          <w:p w14:paraId="14B001E4" w14:textId="77777777" w:rsidR="00B201D3" w:rsidRPr="006D4FBA" w:rsidRDefault="009855E8">
            <w:pPr>
              <w:jc w:val="right"/>
              <w:rPr>
                <w:rFonts w:ascii="宋体" w:hAnsi="宋体"/>
              </w:rPr>
            </w:pPr>
            <w:r w:rsidRPr="006D4FBA">
              <w:rPr>
                <w:rFonts w:ascii="宋体" w:hAnsi="宋体" w:hint="eastAsia"/>
              </w:rPr>
              <w:t xml:space="preserve">61,282 </w:t>
            </w:r>
          </w:p>
        </w:tc>
      </w:tr>
      <w:bookmarkEnd w:id="35"/>
    </w:tbl>
    <w:p w14:paraId="5E31CECF" w14:textId="77777777" w:rsidR="00B201D3" w:rsidRPr="006D4FBA" w:rsidRDefault="00B201D3">
      <w:pPr>
        <w:rPr>
          <w:lang w:val="en-GB"/>
        </w:rPr>
      </w:pPr>
    </w:p>
    <w:p w14:paraId="37D7BB42" w14:textId="77777777" w:rsidR="00B201D3" w:rsidRPr="006D4FBA" w:rsidRDefault="009855E8">
      <w:pPr>
        <w:keepNext/>
        <w:keepLines/>
        <w:widowControl w:val="0"/>
        <w:numPr>
          <w:ilvl w:val="0"/>
          <w:numId w:val="9"/>
        </w:numPr>
        <w:spacing w:before="60" w:after="60"/>
        <w:jc w:val="both"/>
        <w:outlineLvl w:val="4"/>
        <w:rPr>
          <w:rFonts w:cs="Times New Roman"/>
          <w:b/>
          <w:bCs/>
          <w:kern w:val="2"/>
        </w:rPr>
      </w:pPr>
      <w:bookmarkStart w:id="36" w:name="_Hlk142473475"/>
      <w:r w:rsidRPr="006D4FBA">
        <w:rPr>
          <w:rFonts w:cs="Times New Roman" w:hint="eastAsia"/>
          <w:b/>
          <w:bCs/>
          <w:kern w:val="2"/>
        </w:rPr>
        <w:t>煤炭销售成本</w:t>
      </w:r>
    </w:p>
    <w:p w14:paraId="6A37A791" w14:textId="77777777" w:rsidR="00B201D3" w:rsidRPr="006D4FBA" w:rsidRDefault="009855E8">
      <w:pPr>
        <w:ind w:firstLineChars="200" w:firstLine="420"/>
        <w:rPr>
          <w:lang w:val="en-GB"/>
        </w:rPr>
      </w:pPr>
      <w:r w:rsidRPr="006D4FBA">
        <w:rPr>
          <w:rFonts w:hint="eastAsia"/>
          <w:bCs/>
          <w:lang w:val="en-GB"/>
        </w:rPr>
        <w:t>上半年本集团煤炭业务销售成本为</w:t>
      </w:r>
      <w:r w:rsidRPr="006D4FBA">
        <w:rPr>
          <w:rFonts w:cs="Times New Roman"/>
          <w:bCs/>
          <w:lang w:val="en-GB"/>
        </w:rPr>
        <w:t>273.61亿元，同比增加17.63亿元或6.9%。</w:t>
      </w:r>
    </w:p>
    <w:p w14:paraId="742468A6" w14:textId="77777777" w:rsidR="00B201D3" w:rsidRPr="006D4FBA" w:rsidRDefault="009855E8">
      <w:pPr>
        <w:ind w:firstLineChars="200" w:firstLine="420"/>
        <w:rPr>
          <w:lang w:val="en-GB"/>
        </w:rPr>
      </w:pPr>
      <w:r w:rsidRPr="006D4FBA">
        <w:rPr>
          <w:rFonts w:hint="eastAsia"/>
          <w:bCs/>
          <w:lang w:val="en-GB"/>
        </w:rPr>
        <w:t>按经营主体分类的煤炭业务销售成本情况如下表：</w:t>
      </w:r>
    </w:p>
    <w:p w14:paraId="33CF95A0" w14:textId="77777777" w:rsidR="00B201D3" w:rsidRPr="006D4FBA" w:rsidRDefault="00B201D3">
      <w:pPr>
        <w:rPr>
          <w:lang w:val="en-GB"/>
        </w:rPr>
      </w:pPr>
    </w:p>
    <w:tbl>
      <w:tblPr>
        <w:tblStyle w:val="g21"/>
        <w:tblW w:w="5138"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1"/>
        <w:gridCol w:w="1531"/>
        <w:gridCol w:w="872"/>
        <w:gridCol w:w="1318"/>
        <w:gridCol w:w="1342"/>
        <w:gridCol w:w="1208"/>
        <w:gridCol w:w="1275"/>
      </w:tblGrid>
      <w:tr w:rsidR="00B201D3" w:rsidRPr="006D4FBA" w14:paraId="26F2BA5A" w14:textId="77777777">
        <w:trPr>
          <w:trHeight w:val="158"/>
          <w:jc w:val="center"/>
        </w:trPr>
        <w:tc>
          <w:tcPr>
            <w:tcW w:w="1683" w:type="pct"/>
            <w:gridSpan w:val="2"/>
            <w:tcBorders>
              <w:top w:val="single" w:sz="4" w:space="0" w:color="auto"/>
              <w:left w:val="single" w:sz="4" w:space="0" w:color="auto"/>
              <w:bottom w:val="single" w:sz="4" w:space="0" w:color="auto"/>
              <w:right w:val="single" w:sz="4" w:space="0" w:color="auto"/>
            </w:tcBorders>
          </w:tcPr>
          <w:p w14:paraId="3DABF590" w14:textId="77777777" w:rsidR="00B201D3" w:rsidRPr="006D4FBA" w:rsidRDefault="009855E8">
            <w:pPr>
              <w:rPr>
                <w:rFonts w:ascii="宋体" w:hAnsi="宋体"/>
                <w:lang w:val="en-GB"/>
              </w:rPr>
            </w:pPr>
            <w:bookmarkStart w:id="37" w:name="_Hlk46901793"/>
            <w:r w:rsidRPr="006D4FBA">
              <w:rPr>
                <w:rFonts w:ascii="宋体" w:hAnsi="宋体" w:hint="eastAsia"/>
                <w:lang w:val="en-GB"/>
              </w:rPr>
              <w:t xml:space="preserve">　</w:t>
            </w:r>
          </w:p>
        </w:tc>
        <w:tc>
          <w:tcPr>
            <w:tcW w:w="481" w:type="pct"/>
            <w:tcBorders>
              <w:top w:val="single" w:sz="4" w:space="0" w:color="auto"/>
              <w:left w:val="single" w:sz="4" w:space="0" w:color="auto"/>
              <w:bottom w:val="single" w:sz="4" w:space="0" w:color="auto"/>
              <w:right w:val="single" w:sz="4" w:space="0" w:color="auto"/>
            </w:tcBorders>
            <w:vAlign w:val="center"/>
          </w:tcPr>
          <w:p w14:paraId="08F8785F" w14:textId="77777777" w:rsidR="00B201D3" w:rsidRPr="006D4FBA" w:rsidRDefault="009855E8">
            <w:pPr>
              <w:jc w:val="center"/>
              <w:rPr>
                <w:rFonts w:ascii="宋体" w:hAnsi="宋体"/>
                <w:lang w:val="en-GB"/>
              </w:rPr>
            </w:pPr>
            <w:r w:rsidRPr="006D4FBA">
              <w:rPr>
                <w:rFonts w:ascii="宋体" w:hAnsi="宋体" w:hint="eastAsia"/>
                <w:lang w:val="en-GB"/>
              </w:rPr>
              <w:t>单位</w:t>
            </w:r>
          </w:p>
        </w:tc>
        <w:tc>
          <w:tcPr>
            <w:tcW w:w="727" w:type="pct"/>
            <w:tcBorders>
              <w:top w:val="single" w:sz="4" w:space="0" w:color="auto"/>
              <w:left w:val="single" w:sz="4" w:space="0" w:color="auto"/>
              <w:bottom w:val="single" w:sz="4" w:space="0" w:color="auto"/>
              <w:right w:val="single" w:sz="4" w:space="0" w:color="auto"/>
            </w:tcBorders>
            <w:vAlign w:val="center"/>
          </w:tcPr>
          <w:p w14:paraId="3F2E8CEF" w14:textId="77777777" w:rsidR="00B201D3" w:rsidRPr="006D4FBA" w:rsidRDefault="009855E8">
            <w:pPr>
              <w:jc w:val="center"/>
              <w:rPr>
                <w:rFonts w:ascii="宋体" w:hAnsi="宋体"/>
                <w:lang w:val="en-GB"/>
              </w:rPr>
            </w:pPr>
            <w:r w:rsidRPr="006D4FBA">
              <w:rPr>
                <w:rFonts w:ascii="宋体" w:hAnsi="宋体" w:hint="eastAsia"/>
                <w:lang w:val="en-GB"/>
              </w:rPr>
              <w:t>202</w:t>
            </w:r>
            <w:r w:rsidRPr="006D4FBA">
              <w:rPr>
                <w:rFonts w:ascii="宋体" w:hAnsi="宋体"/>
                <w:lang w:val="en-GB"/>
              </w:rPr>
              <w:t>3</w:t>
            </w:r>
            <w:r w:rsidRPr="006D4FBA">
              <w:rPr>
                <w:rFonts w:ascii="宋体" w:hAnsi="宋体" w:hint="eastAsia"/>
                <w:lang w:val="en-GB"/>
              </w:rPr>
              <w:t>年</w:t>
            </w:r>
          </w:p>
          <w:p w14:paraId="77E17E0B" w14:textId="77777777" w:rsidR="00B201D3" w:rsidRPr="006D4FBA" w:rsidRDefault="009855E8">
            <w:pPr>
              <w:jc w:val="center"/>
              <w:rPr>
                <w:rFonts w:ascii="宋体" w:hAnsi="宋体"/>
                <w:lang w:val="en-GB"/>
              </w:rPr>
            </w:pPr>
            <w:r w:rsidRPr="006D4FBA">
              <w:rPr>
                <w:rFonts w:ascii="宋体" w:hAnsi="宋体" w:hint="eastAsia"/>
                <w:lang w:val="en-GB"/>
              </w:rPr>
              <w:t>1-6月</w:t>
            </w:r>
          </w:p>
        </w:tc>
        <w:tc>
          <w:tcPr>
            <w:tcW w:w="740" w:type="pct"/>
            <w:tcBorders>
              <w:top w:val="single" w:sz="4" w:space="0" w:color="auto"/>
              <w:left w:val="single" w:sz="4" w:space="0" w:color="auto"/>
              <w:bottom w:val="single" w:sz="4" w:space="0" w:color="auto"/>
              <w:right w:val="single" w:sz="4" w:space="0" w:color="auto"/>
            </w:tcBorders>
            <w:vAlign w:val="center"/>
          </w:tcPr>
          <w:p w14:paraId="20AD684E" w14:textId="77777777" w:rsidR="00B201D3" w:rsidRPr="006D4FBA" w:rsidRDefault="009855E8">
            <w:pPr>
              <w:jc w:val="center"/>
              <w:rPr>
                <w:rFonts w:ascii="宋体" w:hAnsi="宋体"/>
                <w:lang w:val="en-GB"/>
              </w:rPr>
            </w:pPr>
            <w:r w:rsidRPr="006D4FBA">
              <w:rPr>
                <w:rFonts w:ascii="宋体" w:hAnsi="宋体" w:hint="eastAsia"/>
                <w:lang w:val="en-GB"/>
              </w:rPr>
              <w:t>202</w:t>
            </w:r>
            <w:r w:rsidRPr="006D4FBA">
              <w:rPr>
                <w:rFonts w:ascii="宋体" w:hAnsi="宋体"/>
                <w:lang w:val="en-GB"/>
              </w:rPr>
              <w:t>2</w:t>
            </w:r>
            <w:r w:rsidRPr="006D4FBA">
              <w:rPr>
                <w:rFonts w:ascii="宋体" w:hAnsi="宋体" w:hint="eastAsia"/>
                <w:lang w:val="en-GB"/>
              </w:rPr>
              <w:t>年</w:t>
            </w:r>
          </w:p>
          <w:p w14:paraId="37873900" w14:textId="77777777" w:rsidR="00B201D3" w:rsidRPr="006D4FBA" w:rsidRDefault="009855E8">
            <w:pPr>
              <w:jc w:val="center"/>
              <w:rPr>
                <w:rFonts w:ascii="宋体" w:hAnsi="宋体"/>
                <w:lang w:val="en-GB"/>
              </w:rPr>
            </w:pPr>
            <w:r w:rsidRPr="006D4FBA">
              <w:rPr>
                <w:rFonts w:ascii="宋体" w:hAnsi="宋体" w:hint="eastAsia"/>
                <w:lang w:val="en-GB"/>
              </w:rPr>
              <w:t>1-6月</w:t>
            </w:r>
          </w:p>
        </w:tc>
        <w:tc>
          <w:tcPr>
            <w:tcW w:w="666" w:type="pct"/>
            <w:tcBorders>
              <w:top w:val="single" w:sz="4" w:space="0" w:color="auto"/>
              <w:left w:val="single" w:sz="4" w:space="0" w:color="auto"/>
              <w:bottom w:val="single" w:sz="4" w:space="0" w:color="auto"/>
              <w:right w:val="single" w:sz="4" w:space="0" w:color="auto"/>
            </w:tcBorders>
            <w:vAlign w:val="center"/>
          </w:tcPr>
          <w:p w14:paraId="59A28579" w14:textId="77777777" w:rsidR="00B201D3" w:rsidRPr="006D4FBA" w:rsidRDefault="009855E8">
            <w:pPr>
              <w:jc w:val="center"/>
              <w:rPr>
                <w:rFonts w:ascii="宋体" w:hAnsi="宋体"/>
                <w:lang w:val="en-GB"/>
              </w:rPr>
            </w:pPr>
            <w:r w:rsidRPr="006D4FBA">
              <w:rPr>
                <w:rFonts w:ascii="宋体" w:hAnsi="宋体" w:hint="eastAsia"/>
                <w:lang w:val="en-GB"/>
              </w:rPr>
              <w:t>增减</w:t>
            </w:r>
          </w:p>
        </w:tc>
        <w:tc>
          <w:tcPr>
            <w:tcW w:w="703" w:type="pct"/>
            <w:tcBorders>
              <w:top w:val="single" w:sz="4" w:space="0" w:color="auto"/>
              <w:left w:val="single" w:sz="4" w:space="0" w:color="auto"/>
              <w:bottom w:val="single" w:sz="4" w:space="0" w:color="auto"/>
              <w:right w:val="single" w:sz="4" w:space="0" w:color="auto"/>
            </w:tcBorders>
            <w:vAlign w:val="center"/>
          </w:tcPr>
          <w:p w14:paraId="4AE74FF1" w14:textId="77777777" w:rsidR="00B201D3" w:rsidRPr="006D4FBA" w:rsidRDefault="009855E8">
            <w:pPr>
              <w:jc w:val="center"/>
              <w:rPr>
                <w:rFonts w:ascii="宋体" w:hAnsi="宋体"/>
                <w:lang w:val="en-GB"/>
              </w:rPr>
            </w:pPr>
            <w:r w:rsidRPr="006D4FBA">
              <w:rPr>
                <w:rFonts w:ascii="宋体" w:hAnsi="宋体" w:hint="eastAsia"/>
                <w:lang w:val="en-GB"/>
              </w:rPr>
              <w:t>增减幅（%）</w:t>
            </w:r>
          </w:p>
        </w:tc>
      </w:tr>
      <w:tr w:rsidR="00B201D3" w:rsidRPr="006D4FBA" w14:paraId="38C1EA25" w14:textId="77777777">
        <w:trPr>
          <w:trHeight w:val="88"/>
          <w:jc w:val="center"/>
        </w:trPr>
        <w:tc>
          <w:tcPr>
            <w:tcW w:w="839" w:type="pct"/>
            <w:vMerge w:val="restart"/>
            <w:tcBorders>
              <w:top w:val="single" w:sz="4" w:space="0" w:color="auto"/>
              <w:left w:val="single" w:sz="4" w:space="0" w:color="auto"/>
              <w:bottom w:val="single" w:sz="4" w:space="0" w:color="auto"/>
              <w:right w:val="single" w:sz="4" w:space="0" w:color="auto"/>
            </w:tcBorders>
            <w:vAlign w:val="center"/>
          </w:tcPr>
          <w:p w14:paraId="48E3D474" w14:textId="77777777" w:rsidR="00B201D3" w:rsidRPr="006D4FBA" w:rsidRDefault="009855E8">
            <w:pPr>
              <w:rPr>
                <w:rFonts w:ascii="宋体" w:hAnsi="宋体"/>
                <w:lang w:val="en-GB"/>
              </w:rPr>
            </w:pPr>
            <w:r w:rsidRPr="006D4FBA">
              <w:rPr>
                <w:rFonts w:ascii="宋体" w:hAnsi="宋体" w:hint="eastAsia"/>
              </w:rPr>
              <w:t>公司</w:t>
            </w:r>
          </w:p>
        </w:tc>
        <w:tc>
          <w:tcPr>
            <w:tcW w:w="844" w:type="pct"/>
            <w:tcBorders>
              <w:top w:val="single" w:sz="4" w:space="0" w:color="auto"/>
              <w:left w:val="single" w:sz="4" w:space="0" w:color="auto"/>
              <w:bottom w:val="single" w:sz="4" w:space="0" w:color="auto"/>
              <w:right w:val="single" w:sz="4" w:space="0" w:color="auto"/>
            </w:tcBorders>
            <w:vAlign w:val="center"/>
          </w:tcPr>
          <w:p w14:paraId="675A4419" w14:textId="77777777" w:rsidR="00B201D3" w:rsidRPr="006D4FBA" w:rsidRDefault="009855E8">
            <w:pPr>
              <w:rPr>
                <w:rFonts w:ascii="宋体" w:hAnsi="宋体"/>
                <w:lang w:val="en-GB"/>
              </w:rPr>
            </w:pPr>
            <w:r w:rsidRPr="006D4FBA">
              <w:rPr>
                <w:rFonts w:ascii="宋体" w:hAnsi="宋体" w:hint="eastAsia"/>
                <w:lang w:val="en-GB"/>
              </w:rPr>
              <w:t>销售成本总额</w:t>
            </w:r>
          </w:p>
        </w:tc>
        <w:tc>
          <w:tcPr>
            <w:tcW w:w="481" w:type="pct"/>
            <w:tcBorders>
              <w:top w:val="single" w:sz="4" w:space="0" w:color="auto"/>
              <w:left w:val="single" w:sz="4" w:space="0" w:color="auto"/>
              <w:bottom w:val="single" w:sz="4" w:space="0" w:color="auto"/>
              <w:right w:val="single" w:sz="4" w:space="0" w:color="auto"/>
            </w:tcBorders>
            <w:vAlign w:val="center"/>
          </w:tcPr>
          <w:p w14:paraId="0CF36ABF" w14:textId="77777777" w:rsidR="00B201D3" w:rsidRPr="006D4FBA" w:rsidRDefault="009855E8">
            <w:pPr>
              <w:jc w:val="center"/>
              <w:rPr>
                <w:rFonts w:ascii="宋体" w:hAnsi="宋体"/>
                <w:lang w:val="en-GB"/>
              </w:rPr>
            </w:pPr>
            <w:r w:rsidRPr="006D4FBA">
              <w:rPr>
                <w:rFonts w:ascii="宋体" w:hAnsi="宋体" w:hint="eastAsia"/>
                <w:lang w:val="en-GB"/>
              </w:rPr>
              <w:t>百万元</w:t>
            </w:r>
          </w:p>
        </w:tc>
        <w:tc>
          <w:tcPr>
            <w:tcW w:w="727" w:type="pct"/>
            <w:tcBorders>
              <w:top w:val="single" w:sz="4" w:space="0" w:color="auto"/>
              <w:left w:val="single" w:sz="4" w:space="0" w:color="auto"/>
              <w:bottom w:val="single" w:sz="4" w:space="0" w:color="auto"/>
              <w:right w:val="single" w:sz="4" w:space="0" w:color="auto"/>
            </w:tcBorders>
            <w:vAlign w:val="center"/>
          </w:tcPr>
          <w:p w14:paraId="7152D7EF" w14:textId="77777777" w:rsidR="00B201D3" w:rsidRPr="006D4FBA" w:rsidRDefault="009855E8">
            <w:pPr>
              <w:jc w:val="right"/>
              <w:rPr>
                <w:rFonts w:ascii="宋体" w:hAnsi="宋体"/>
                <w:lang w:val="en-GB"/>
              </w:rPr>
            </w:pPr>
            <w:r w:rsidRPr="006D4FBA">
              <w:rPr>
                <w:rFonts w:ascii="宋体" w:hAnsi="宋体"/>
              </w:rPr>
              <w:t xml:space="preserve">4,479 </w:t>
            </w:r>
          </w:p>
        </w:tc>
        <w:tc>
          <w:tcPr>
            <w:tcW w:w="740" w:type="pct"/>
            <w:tcBorders>
              <w:top w:val="single" w:sz="4" w:space="0" w:color="auto"/>
              <w:left w:val="single" w:sz="4" w:space="0" w:color="auto"/>
              <w:bottom w:val="single" w:sz="4" w:space="0" w:color="auto"/>
              <w:right w:val="single" w:sz="4" w:space="0" w:color="auto"/>
            </w:tcBorders>
            <w:vAlign w:val="center"/>
          </w:tcPr>
          <w:p w14:paraId="1232CEA8" w14:textId="77777777" w:rsidR="00B201D3" w:rsidRPr="006D4FBA" w:rsidRDefault="009855E8">
            <w:pPr>
              <w:jc w:val="right"/>
              <w:rPr>
                <w:rFonts w:ascii="宋体" w:hAnsi="宋体"/>
              </w:rPr>
            </w:pPr>
            <w:r w:rsidRPr="006D4FBA">
              <w:rPr>
                <w:rFonts w:ascii="宋体" w:hAnsi="宋体" w:hint="eastAsia"/>
              </w:rPr>
              <w:t xml:space="preserve">4,857 </w:t>
            </w:r>
          </w:p>
        </w:tc>
        <w:tc>
          <w:tcPr>
            <w:tcW w:w="666" w:type="pct"/>
            <w:tcBorders>
              <w:top w:val="single" w:sz="4" w:space="0" w:color="auto"/>
              <w:left w:val="single" w:sz="4" w:space="0" w:color="auto"/>
              <w:bottom w:val="single" w:sz="4" w:space="0" w:color="auto"/>
              <w:right w:val="single" w:sz="4" w:space="0" w:color="auto"/>
            </w:tcBorders>
          </w:tcPr>
          <w:p w14:paraId="422ECCFC" w14:textId="77777777" w:rsidR="00B201D3" w:rsidRPr="006D4FBA" w:rsidRDefault="009855E8">
            <w:pPr>
              <w:jc w:val="right"/>
              <w:rPr>
                <w:rFonts w:ascii="宋体" w:hAnsi="宋体"/>
              </w:rPr>
            </w:pPr>
            <w:r w:rsidRPr="006D4FBA">
              <w:rPr>
                <w:rFonts w:ascii="宋体" w:hAnsi="宋体"/>
              </w:rPr>
              <w:t xml:space="preserve">-379 </w:t>
            </w:r>
          </w:p>
        </w:tc>
        <w:tc>
          <w:tcPr>
            <w:tcW w:w="703" w:type="pct"/>
            <w:tcBorders>
              <w:top w:val="single" w:sz="4" w:space="0" w:color="auto"/>
              <w:left w:val="single" w:sz="4" w:space="0" w:color="auto"/>
              <w:bottom w:val="single" w:sz="4" w:space="0" w:color="auto"/>
              <w:right w:val="single" w:sz="4" w:space="0" w:color="auto"/>
            </w:tcBorders>
          </w:tcPr>
          <w:p w14:paraId="187AC41A" w14:textId="77777777" w:rsidR="00B201D3" w:rsidRPr="006D4FBA" w:rsidRDefault="009855E8">
            <w:pPr>
              <w:jc w:val="right"/>
              <w:rPr>
                <w:rFonts w:ascii="宋体" w:hAnsi="宋体"/>
                <w:lang w:val="en-GB"/>
              </w:rPr>
            </w:pPr>
            <w:r w:rsidRPr="006D4FBA">
              <w:rPr>
                <w:rFonts w:ascii="宋体" w:hAnsi="宋体"/>
              </w:rPr>
              <w:t xml:space="preserve">-7.80 </w:t>
            </w:r>
          </w:p>
        </w:tc>
      </w:tr>
      <w:tr w:rsidR="00B201D3" w:rsidRPr="006D4FBA" w14:paraId="0DE8F7A7" w14:textId="77777777">
        <w:trPr>
          <w:trHeight w:val="92"/>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24058F9" w14:textId="77777777" w:rsidR="00B201D3" w:rsidRPr="006D4FBA" w:rsidRDefault="00B201D3">
            <w:pPr>
              <w:rPr>
                <w:rFonts w:ascii="宋体" w:hAnsi="宋体"/>
                <w:lang w:val="en-GB"/>
              </w:rPr>
            </w:pPr>
          </w:p>
        </w:tc>
        <w:tc>
          <w:tcPr>
            <w:tcW w:w="844" w:type="pct"/>
            <w:tcBorders>
              <w:top w:val="single" w:sz="4" w:space="0" w:color="auto"/>
              <w:left w:val="single" w:sz="4" w:space="0" w:color="auto"/>
              <w:bottom w:val="single" w:sz="4" w:space="0" w:color="auto"/>
              <w:right w:val="single" w:sz="4" w:space="0" w:color="auto"/>
            </w:tcBorders>
            <w:vAlign w:val="center"/>
          </w:tcPr>
          <w:p w14:paraId="79A1FF87" w14:textId="77777777" w:rsidR="00B201D3" w:rsidRPr="006D4FBA" w:rsidRDefault="009855E8">
            <w:pPr>
              <w:rPr>
                <w:rFonts w:ascii="宋体" w:hAnsi="宋体"/>
                <w:lang w:val="en-GB"/>
              </w:rPr>
            </w:pPr>
            <w:r w:rsidRPr="006D4FBA">
              <w:rPr>
                <w:rFonts w:ascii="宋体" w:hAnsi="宋体" w:hint="eastAsia"/>
                <w:lang w:val="en-GB"/>
              </w:rPr>
              <w:t>吨煤销售成本</w:t>
            </w:r>
          </w:p>
        </w:tc>
        <w:tc>
          <w:tcPr>
            <w:tcW w:w="481" w:type="pct"/>
            <w:tcBorders>
              <w:top w:val="single" w:sz="4" w:space="0" w:color="auto"/>
              <w:left w:val="single" w:sz="4" w:space="0" w:color="auto"/>
              <w:bottom w:val="single" w:sz="4" w:space="0" w:color="auto"/>
              <w:right w:val="single" w:sz="4" w:space="0" w:color="auto"/>
            </w:tcBorders>
            <w:vAlign w:val="center"/>
          </w:tcPr>
          <w:p w14:paraId="56D4CB4A" w14:textId="77777777" w:rsidR="00B201D3" w:rsidRPr="006D4FBA" w:rsidRDefault="009855E8">
            <w:pPr>
              <w:jc w:val="center"/>
              <w:rPr>
                <w:rFonts w:ascii="宋体" w:hAnsi="宋体"/>
                <w:lang w:val="en-GB"/>
              </w:rPr>
            </w:pPr>
            <w:r w:rsidRPr="006D4FBA">
              <w:rPr>
                <w:rFonts w:ascii="宋体" w:hAnsi="宋体" w:hint="eastAsia"/>
                <w:lang w:val="en-GB"/>
              </w:rPr>
              <w:t>元/吨</w:t>
            </w:r>
          </w:p>
        </w:tc>
        <w:tc>
          <w:tcPr>
            <w:tcW w:w="727" w:type="pct"/>
            <w:tcBorders>
              <w:top w:val="single" w:sz="4" w:space="0" w:color="auto"/>
              <w:left w:val="single" w:sz="4" w:space="0" w:color="auto"/>
              <w:bottom w:val="single" w:sz="4" w:space="0" w:color="auto"/>
              <w:right w:val="single" w:sz="4" w:space="0" w:color="auto"/>
            </w:tcBorders>
            <w:vAlign w:val="center"/>
          </w:tcPr>
          <w:p w14:paraId="3C87C05B" w14:textId="77777777" w:rsidR="00B201D3" w:rsidRPr="006D4FBA" w:rsidRDefault="009855E8">
            <w:pPr>
              <w:jc w:val="right"/>
              <w:rPr>
                <w:rFonts w:ascii="宋体" w:hAnsi="宋体"/>
                <w:lang w:val="en-GB"/>
              </w:rPr>
            </w:pPr>
            <w:r w:rsidRPr="006D4FBA">
              <w:rPr>
                <w:rFonts w:ascii="宋体" w:hAnsi="宋体"/>
              </w:rPr>
              <w:t>354.36</w:t>
            </w:r>
          </w:p>
        </w:tc>
        <w:tc>
          <w:tcPr>
            <w:tcW w:w="740" w:type="pct"/>
            <w:tcBorders>
              <w:top w:val="single" w:sz="4" w:space="0" w:color="auto"/>
              <w:left w:val="single" w:sz="4" w:space="0" w:color="auto"/>
              <w:bottom w:val="single" w:sz="4" w:space="0" w:color="auto"/>
              <w:right w:val="single" w:sz="4" w:space="0" w:color="auto"/>
            </w:tcBorders>
            <w:vAlign w:val="center"/>
          </w:tcPr>
          <w:p w14:paraId="3EEB412B" w14:textId="77777777" w:rsidR="00B201D3" w:rsidRPr="006D4FBA" w:rsidRDefault="009855E8">
            <w:pPr>
              <w:jc w:val="right"/>
              <w:rPr>
                <w:rFonts w:ascii="宋体" w:hAnsi="宋体"/>
              </w:rPr>
            </w:pPr>
            <w:r w:rsidRPr="006D4FBA">
              <w:rPr>
                <w:rFonts w:ascii="宋体" w:hAnsi="宋体" w:hint="eastAsia"/>
              </w:rPr>
              <w:t xml:space="preserve">337.82 </w:t>
            </w:r>
          </w:p>
        </w:tc>
        <w:tc>
          <w:tcPr>
            <w:tcW w:w="666" w:type="pct"/>
            <w:tcBorders>
              <w:top w:val="single" w:sz="4" w:space="0" w:color="auto"/>
              <w:left w:val="single" w:sz="4" w:space="0" w:color="auto"/>
              <w:bottom w:val="single" w:sz="4" w:space="0" w:color="auto"/>
              <w:right w:val="single" w:sz="4" w:space="0" w:color="auto"/>
            </w:tcBorders>
          </w:tcPr>
          <w:p w14:paraId="622FEDDA" w14:textId="77777777" w:rsidR="00B201D3" w:rsidRPr="006D4FBA" w:rsidRDefault="009855E8">
            <w:pPr>
              <w:jc w:val="right"/>
              <w:rPr>
                <w:rFonts w:ascii="宋体" w:hAnsi="宋体"/>
              </w:rPr>
            </w:pPr>
            <w:r w:rsidRPr="006D4FBA">
              <w:rPr>
                <w:rFonts w:ascii="宋体" w:hAnsi="宋体"/>
              </w:rPr>
              <w:t xml:space="preserve">16.54 </w:t>
            </w:r>
          </w:p>
        </w:tc>
        <w:tc>
          <w:tcPr>
            <w:tcW w:w="703" w:type="pct"/>
            <w:tcBorders>
              <w:top w:val="single" w:sz="4" w:space="0" w:color="auto"/>
              <w:left w:val="single" w:sz="4" w:space="0" w:color="auto"/>
              <w:bottom w:val="single" w:sz="4" w:space="0" w:color="auto"/>
              <w:right w:val="single" w:sz="4" w:space="0" w:color="auto"/>
            </w:tcBorders>
          </w:tcPr>
          <w:p w14:paraId="63C4BF3A" w14:textId="77777777" w:rsidR="00B201D3" w:rsidRPr="006D4FBA" w:rsidRDefault="009855E8">
            <w:pPr>
              <w:jc w:val="right"/>
              <w:rPr>
                <w:rFonts w:ascii="宋体" w:hAnsi="宋体"/>
                <w:lang w:val="en-GB"/>
              </w:rPr>
            </w:pPr>
            <w:r w:rsidRPr="006D4FBA">
              <w:rPr>
                <w:rFonts w:ascii="宋体" w:hAnsi="宋体"/>
              </w:rPr>
              <w:t xml:space="preserve">4.90 </w:t>
            </w:r>
          </w:p>
        </w:tc>
      </w:tr>
      <w:tr w:rsidR="00B201D3" w:rsidRPr="006D4FBA" w14:paraId="02758D8D" w14:textId="77777777">
        <w:trPr>
          <w:trHeight w:val="88"/>
          <w:jc w:val="center"/>
        </w:trPr>
        <w:tc>
          <w:tcPr>
            <w:tcW w:w="839" w:type="pct"/>
            <w:vMerge w:val="restart"/>
            <w:tcBorders>
              <w:top w:val="single" w:sz="4" w:space="0" w:color="auto"/>
              <w:left w:val="single" w:sz="4" w:space="0" w:color="auto"/>
              <w:bottom w:val="single" w:sz="4" w:space="0" w:color="auto"/>
              <w:right w:val="single" w:sz="4" w:space="0" w:color="auto"/>
            </w:tcBorders>
            <w:vAlign w:val="center"/>
          </w:tcPr>
          <w:p w14:paraId="3D718481" w14:textId="77777777" w:rsidR="00B201D3" w:rsidRPr="006D4FBA" w:rsidRDefault="009855E8">
            <w:pPr>
              <w:rPr>
                <w:rFonts w:ascii="宋体" w:hAnsi="宋体"/>
                <w:lang w:val="en-GB"/>
              </w:rPr>
            </w:pPr>
            <w:r w:rsidRPr="006D4FBA">
              <w:rPr>
                <w:rFonts w:ascii="宋体" w:hAnsi="宋体" w:hint="eastAsia"/>
              </w:rPr>
              <w:t>菏泽能化</w:t>
            </w:r>
          </w:p>
        </w:tc>
        <w:tc>
          <w:tcPr>
            <w:tcW w:w="844" w:type="pct"/>
            <w:tcBorders>
              <w:top w:val="single" w:sz="4" w:space="0" w:color="auto"/>
              <w:left w:val="single" w:sz="4" w:space="0" w:color="auto"/>
              <w:bottom w:val="single" w:sz="4" w:space="0" w:color="auto"/>
              <w:right w:val="single" w:sz="4" w:space="0" w:color="auto"/>
            </w:tcBorders>
            <w:vAlign w:val="center"/>
          </w:tcPr>
          <w:p w14:paraId="46F5239A" w14:textId="77777777" w:rsidR="00B201D3" w:rsidRPr="006D4FBA" w:rsidRDefault="009855E8">
            <w:pPr>
              <w:rPr>
                <w:rFonts w:ascii="宋体" w:hAnsi="宋体"/>
                <w:lang w:val="en-GB"/>
              </w:rPr>
            </w:pPr>
            <w:r w:rsidRPr="006D4FBA">
              <w:rPr>
                <w:rFonts w:ascii="宋体" w:hAnsi="宋体" w:hint="eastAsia"/>
                <w:lang w:val="en-GB"/>
              </w:rPr>
              <w:t>销售成本总额</w:t>
            </w:r>
          </w:p>
        </w:tc>
        <w:tc>
          <w:tcPr>
            <w:tcW w:w="481" w:type="pct"/>
            <w:tcBorders>
              <w:top w:val="single" w:sz="4" w:space="0" w:color="auto"/>
              <w:left w:val="single" w:sz="4" w:space="0" w:color="auto"/>
              <w:bottom w:val="single" w:sz="4" w:space="0" w:color="auto"/>
              <w:right w:val="single" w:sz="4" w:space="0" w:color="auto"/>
            </w:tcBorders>
            <w:vAlign w:val="center"/>
          </w:tcPr>
          <w:p w14:paraId="4563A383" w14:textId="77777777" w:rsidR="00B201D3" w:rsidRPr="006D4FBA" w:rsidRDefault="009855E8">
            <w:pPr>
              <w:jc w:val="center"/>
              <w:rPr>
                <w:rFonts w:ascii="宋体" w:hAnsi="宋体"/>
                <w:lang w:val="en-GB"/>
              </w:rPr>
            </w:pPr>
            <w:r w:rsidRPr="006D4FBA">
              <w:rPr>
                <w:rFonts w:ascii="宋体" w:hAnsi="宋体" w:hint="eastAsia"/>
                <w:lang w:val="en-GB"/>
              </w:rPr>
              <w:t>百万元</w:t>
            </w:r>
          </w:p>
        </w:tc>
        <w:tc>
          <w:tcPr>
            <w:tcW w:w="727" w:type="pct"/>
            <w:tcBorders>
              <w:top w:val="single" w:sz="4" w:space="0" w:color="auto"/>
              <w:left w:val="single" w:sz="4" w:space="0" w:color="auto"/>
              <w:bottom w:val="single" w:sz="4" w:space="0" w:color="auto"/>
              <w:right w:val="single" w:sz="4" w:space="0" w:color="auto"/>
            </w:tcBorders>
            <w:vAlign w:val="center"/>
          </w:tcPr>
          <w:p w14:paraId="1A84A6E4" w14:textId="77777777" w:rsidR="00B201D3" w:rsidRPr="006D4FBA" w:rsidRDefault="009855E8">
            <w:pPr>
              <w:jc w:val="right"/>
              <w:rPr>
                <w:rFonts w:ascii="宋体" w:hAnsi="宋体"/>
                <w:lang w:val="en-GB"/>
              </w:rPr>
            </w:pPr>
            <w:r w:rsidRPr="006D4FBA">
              <w:rPr>
                <w:rFonts w:ascii="宋体" w:hAnsi="宋体"/>
              </w:rPr>
              <w:t xml:space="preserve">754 </w:t>
            </w:r>
          </w:p>
        </w:tc>
        <w:tc>
          <w:tcPr>
            <w:tcW w:w="740" w:type="pct"/>
            <w:tcBorders>
              <w:top w:val="single" w:sz="4" w:space="0" w:color="auto"/>
              <w:left w:val="single" w:sz="4" w:space="0" w:color="auto"/>
              <w:bottom w:val="single" w:sz="4" w:space="0" w:color="auto"/>
              <w:right w:val="single" w:sz="4" w:space="0" w:color="auto"/>
            </w:tcBorders>
            <w:vAlign w:val="center"/>
          </w:tcPr>
          <w:p w14:paraId="6E034B8C" w14:textId="77777777" w:rsidR="00B201D3" w:rsidRPr="006D4FBA" w:rsidRDefault="009855E8">
            <w:pPr>
              <w:jc w:val="right"/>
              <w:rPr>
                <w:rFonts w:ascii="宋体" w:hAnsi="宋体"/>
              </w:rPr>
            </w:pPr>
            <w:r w:rsidRPr="006D4FBA">
              <w:rPr>
                <w:rFonts w:ascii="宋体" w:hAnsi="宋体" w:hint="eastAsia"/>
              </w:rPr>
              <w:t xml:space="preserve">608 </w:t>
            </w:r>
          </w:p>
        </w:tc>
        <w:tc>
          <w:tcPr>
            <w:tcW w:w="666" w:type="pct"/>
            <w:tcBorders>
              <w:top w:val="single" w:sz="4" w:space="0" w:color="auto"/>
              <w:left w:val="single" w:sz="4" w:space="0" w:color="auto"/>
              <w:bottom w:val="single" w:sz="4" w:space="0" w:color="auto"/>
              <w:right w:val="single" w:sz="4" w:space="0" w:color="auto"/>
            </w:tcBorders>
          </w:tcPr>
          <w:p w14:paraId="0F762815" w14:textId="77777777" w:rsidR="00B201D3" w:rsidRPr="006D4FBA" w:rsidRDefault="009855E8">
            <w:pPr>
              <w:jc w:val="right"/>
              <w:rPr>
                <w:rFonts w:ascii="宋体" w:hAnsi="宋体"/>
              </w:rPr>
            </w:pPr>
            <w:r w:rsidRPr="006D4FBA">
              <w:rPr>
                <w:rFonts w:ascii="宋体" w:hAnsi="宋体"/>
              </w:rPr>
              <w:t xml:space="preserve">146 </w:t>
            </w:r>
          </w:p>
        </w:tc>
        <w:tc>
          <w:tcPr>
            <w:tcW w:w="703" w:type="pct"/>
            <w:tcBorders>
              <w:top w:val="single" w:sz="4" w:space="0" w:color="auto"/>
              <w:left w:val="single" w:sz="4" w:space="0" w:color="auto"/>
              <w:bottom w:val="single" w:sz="4" w:space="0" w:color="auto"/>
              <w:right w:val="single" w:sz="4" w:space="0" w:color="auto"/>
            </w:tcBorders>
          </w:tcPr>
          <w:p w14:paraId="42EC6899" w14:textId="77777777" w:rsidR="00B201D3" w:rsidRPr="006D4FBA" w:rsidRDefault="009855E8">
            <w:pPr>
              <w:jc w:val="right"/>
              <w:rPr>
                <w:rFonts w:ascii="宋体" w:hAnsi="宋体"/>
                <w:lang w:val="en-GB"/>
              </w:rPr>
            </w:pPr>
            <w:r w:rsidRPr="006D4FBA">
              <w:rPr>
                <w:rFonts w:ascii="宋体" w:hAnsi="宋体"/>
              </w:rPr>
              <w:t xml:space="preserve">24.04 </w:t>
            </w:r>
          </w:p>
        </w:tc>
      </w:tr>
      <w:tr w:rsidR="00B201D3" w:rsidRPr="006D4FBA" w14:paraId="557F25A8" w14:textId="77777777">
        <w:trPr>
          <w:trHeight w:val="88"/>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2C41723" w14:textId="77777777" w:rsidR="00B201D3" w:rsidRPr="006D4FBA" w:rsidRDefault="00B201D3">
            <w:pPr>
              <w:rPr>
                <w:rFonts w:ascii="宋体" w:hAnsi="宋体"/>
                <w:lang w:val="en-GB"/>
              </w:rPr>
            </w:pPr>
          </w:p>
        </w:tc>
        <w:tc>
          <w:tcPr>
            <w:tcW w:w="844" w:type="pct"/>
            <w:tcBorders>
              <w:top w:val="single" w:sz="4" w:space="0" w:color="auto"/>
              <w:left w:val="single" w:sz="4" w:space="0" w:color="auto"/>
              <w:bottom w:val="single" w:sz="4" w:space="0" w:color="auto"/>
              <w:right w:val="single" w:sz="4" w:space="0" w:color="auto"/>
            </w:tcBorders>
            <w:vAlign w:val="center"/>
          </w:tcPr>
          <w:p w14:paraId="67B88D68" w14:textId="77777777" w:rsidR="00B201D3" w:rsidRPr="006D4FBA" w:rsidRDefault="009855E8">
            <w:pPr>
              <w:rPr>
                <w:rFonts w:ascii="宋体" w:hAnsi="宋体"/>
                <w:lang w:val="en-GB"/>
              </w:rPr>
            </w:pPr>
            <w:r w:rsidRPr="006D4FBA">
              <w:rPr>
                <w:rFonts w:ascii="宋体" w:hAnsi="宋体" w:hint="eastAsia"/>
                <w:lang w:val="en-GB"/>
              </w:rPr>
              <w:t>吨煤销售成本</w:t>
            </w:r>
          </w:p>
        </w:tc>
        <w:tc>
          <w:tcPr>
            <w:tcW w:w="481" w:type="pct"/>
            <w:tcBorders>
              <w:top w:val="single" w:sz="4" w:space="0" w:color="auto"/>
              <w:left w:val="single" w:sz="4" w:space="0" w:color="auto"/>
              <w:bottom w:val="single" w:sz="4" w:space="0" w:color="auto"/>
              <w:right w:val="single" w:sz="4" w:space="0" w:color="auto"/>
            </w:tcBorders>
            <w:vAlign w:val="center"/>
          </w:tcPr>
          <w:p w14:paraId="2E15AAB8" w14:textId="77777777" w:rsidR="00B201D3" w:rsidRPr="006D4FBA" w:rsidRDefault="009855E8">
            <w:pPr>
              <w:jc w:val="center"/>
              <w:rPr>
                <w:rFonts w:ascii="宋体" w:hAnsi="宋体"/>
                <w:lang w:val="en-GB"/>
              </w:rPr>
            </w:pPr>
            <w:r w:rsidRPr="006D4FBA">
              <w:rPr>
                <w:rFonts w:ascii="宋体" w:hAnsi="宋体" w:hint="eastAsia"/>
                <w:lang w:val="en-GB"/>
              </w:rPr>
              <w:t>元/吨</w:t>
            </w:r>
          </w:p>
        </w:tc>
        <w:tc>
          <w:tcPr>
            <w:tcW w:w="727" w:type="pct"/>
            <w:tcBorders>
              <w:top w:val="single" w:sz="4" w:space="0" w:color="auto"/>
              <w:left w:val="single" w:sz="4" w:space="0" w:color="auto"/>
              <w:bottom w:val="single" w:sz="4" w:space="0" w:color="auto"/>
              <w:right w:val="single" w:sz="4" w:space="0" w:color="auto"/>
            </w:tcBorders>
            <w:vAlign w:val="center"/>
          </w:tcPr>
          <w:p w14:paraId="104329D1" w14:textId="77777777" w:rsidR="00B201D3" w:rsidRPr="006D4FBA" w:rsidRDefault="009855E8">
            <w:pPr>
              <w:jc w:val="right"/>
              <w:rPr>
                <w:rFonts w:ascii="宋体" w:hAnsi="宋体"/>
                <w:lang w:val="en-GB"/>
              </w:rPr>
            </w:pPr>
            <w:r w:rsidRPr="006D4FBA">
              <w:rPr>
                <w:rFonts w:ascii="宋体" w:hAnsi="宋体"/>
              </w:rPr>
              <w:t>588.91</w:t>
            </w:r>
          </w:p>
        </w:tc>
        <w:tc>
          <w:tcPr>
            <w:tcW w:w="740" w:type="pct"/>
            <w:tcBorders>
              <w:top w:val="single" w:sz="4" w:space="0" w:color="auto"/>
              <w:left w:val="single" w:sz="4" w:space="0" w:color="auto"/>
              <w:bottom w:val="single" w:sz="4" w:space="0" w:color="auto"/>
              <w:right w:val="single" w:sz="4" w:space="0" w:color="auto"/>
            </w:tcBorders>
            <w:vAlign w:val="center"/>
          </w:tcPr>
          <w:p w14:paraId="7BA7E9A6" w14:textId="77777777" w:rsidR="00B201D3" w:rsidRPr="006D4FBA" w:rsidRDefault="009855E8">
            <w:pPr>
              <w:jc w:val="right"/>
              <w:rPr>
                <w:rFonts w:ascii="宋体" w:hAnsi="宋体"/>
              </w:rPr>
            </w:pPr>
            <w:r w:rsidRPr="006D4FBA">
              <w:rPr>
                <w:rFonts w:ascii="宋体" w:hAnsi="宋体" w:hint="eastAsia"/>
              </w:rPr>
              <w:t xml:space="preserve">623.31 </w:t>
            </w:r>
          </w:p>
        </w:tc>
        <w:tc>
          <w:tcPr>
            <w:tcW w:w="666" w:type="pct"/>
            <w:tcBorders>
              <w:top w:val="single" w:sz="4" w:space="0" w:color="auto"/>
              <w:left w:val="single" w:sz="4" w:space="0" w:color="auto"/>
              <w:bottom w:val="single" w:sz="4" w:space="0" w:color="auto"/>
              <w:right w:val="single" w:sz="4" w:space="0" w:color="auto"/>
            </w:tcBorders>
          </w:tcPr>
          <w:p w14:paraId="73BB8461" w14:textId="77777777" w:rsidR="00B201D3" w:rsidRPr="006D4FBA" w:rsidRDefault="009855E8">
            <w:pPr>
              <w:jc w:val="right"/>
              <w:rPr>
                <w:rFonts w:ascii="宋体" w:hAnsi="宋体"/>
              </w:rPr>
            </w:pPr>
            <w:r w:rsidRPr="006D4FBA">
              <w:rPr>
                <w:rFonts w:ascii="宋体" w:hAnsi="宋体"/>
              </w:rPr>
              <w:t xml:space="preserve">-34.40 </w:t>
            </w:r>
          </w:p>
        </w:tc>
        <w:tc>
          <w:tcPr>
            <w:tcW w:w="703" w:type="pct"/>
            <w:tcBorders>
              <w:top w:val="single" w:sz="4" w:space="0" w:color="auto"/>
              <w:left w:val="single" w:sz="4" w:space="0" w:color="auto"/>
              <w:bottom w:val="single" w:sz="4" w:space="0" w:color="auto"/>
              <w:right w:val="single" w:sz="4" w:space="0" w:color="auto"/>
            </w:tcBorders>
          </w:tcPr>
          <w:p w14:paraId="7BD27FD6" w14:textId="77777777" w:rsidR="00B201D3" w:rsidRPr="006D4FBA" w:rsidRDefault="009855E8">
            <w:pPr>
              <w:jc w:val="right"/>
              <w:rPr>
                <w:rFonts w:ascii="宋体" w:hAnsi="宋体"/>
                <w:lang w:val="en-GB"/>
              </w:rPr>
            </w:pPr>
            <w:r w:rsidRPr="006D4FBA">
              <w:rPr>
                <w:rFonts w:ascii="宋体" w:hAnsi="宋体"/>
              </w:rPr>
              <w:t xml:space="preserve">-5.52 </w:t>
            </w:r>
          </w:p>
        </w:tc>
      </w:tr>
      <w:tr w:rsidR="00B201D3" w:rsidRPr="006D4FBA" w14:paraId="1EE1CEDD" w14:textId="77777777">
        <w:trPr>
          <w:trHeight w:val="88"/>
          <w:jc w:val="center"/>
        </w:trPr>
        <w:tc>
          <w:tcPr>
            <w:tcW w:w="839" w:type="pct"/>
            <w:vMerge w:val="restart"/>
            <w:tcBorders>
              <w:top w:val="single" w:sz="4" w:space="0" w:color="auto"/>
              <w:left w:val="single" w:sz="4" w:space="0" w:color="auto"/>
              <w:bottom w:val="single" w:sz="4" w:space="0" w:color="auto"/>
              <w:right w:val="single" w:sz="4" w:space="0" w:color="auto"/>
            </w:tcBorders>
            <w:vAlign w:val="center"/>
          </w:tcPr>
          <w:p w14:paraId="09D4940C" w14:textId="77777777" w:rsidR="00B201D3" w:rsidRPr="006D4FBA" w:rsidRDefault="009855E8">
            <w:pPr>
              <w:rPr>
                <w:rFonts w:ascii="宋体" w:hAnsi="宋体"/>
                <w:lang w:val="en-GB"/>
              </w:rPr>
            </w:pPr>
            <w:r w:rsidRPr="006D4FBA">
              <w:rPr>
                <w:rFonts w:ascii="宋体" w:hAnsi="宋体" w:hint="eastAsia"/>
              </w:rPr>
              <w:t>山西能化</w:t>
            </w:r>
          </w:p>
        </w:tc>
        <w:tc>
          <w:tcPr>
            <w:tcW w:w="844" w:type="pct"/>
            <w:tcBorders>
              <w:top w:val="single" w:sz="4" w:space="0" w:color="auto"/>
              <w:left w:val="single" w:sz="4" w:space="0" w:color="auto"/>
              <w:bottom w:val="single" w:sz="4" w:space="0" w:color="auto"/>
              <w:right w:val="single" w:sz="4" w:space="0" w:color="auto"/>
            </w:tcBorders>
            <w:vAlign w:val="center"/>
          </w:tcPr>
          <w:p w14:paraId="3B40470F" w14:textId="77777777" w:rsidR="00B201D3" w:rsidRPr="006D4FBA" w:rsidRDefault="009855E8">
            <w:pPr>
              <w:rPr>
                <w:rFonts w:ascii="宋体" w:hAnsi="宋体"/>
                <w:lang w:val="en-GB"/>
              </w:rPr>
            </w:pPr>
            <w:r w:rsidRPr="006D4FBA">
              <w:rPr>
                <w:rFonts w:ascii="宋体" w:hAnsi="宋体" w:hint="eastAsia"/>
                <w:lang w:val="en-GB"/>
              </w:rPr>
              <w:t>销售成本总额</w:t>
            </w:r>
          </w:p>
        </w:tc>
        <w:tc>
          <w:tcPr>
            <w:tcW w:w="481" w:type="pct"/>
            <w:tcBorders>
              <w:top w:val="single" w:sz="4" w:space="0" w:color="auto"/>
              <w:left w:val="single" w:sz="4" w:space="0" w:color="auto"/>
              <w:bottom w:val="single" w:sz="4" w:space="0" w:color="auto"/>
              <w:right w:val="single" w:sz="4" w:space="0" w:color="auto"/>
            </w:tcBorders>
            <w:vAlign w:val="center"/>
          </w:tcPr>
          <w:p w14:paraId="2BF2D4DB" w14:textId="77777777" w:rsidR="00B201D3" w:rsidRPr="006D4FBA" w:rsidRDefault="009855E8">
            <w:pPr>
              <w:jc w:val="center"/>
              <w:rPr>
                <w:rFonts w:ascii="宋体" w:hAnsi="宋体"/>
                <w:lang w:val="en-GB"/>
              </w:rPr>
            </w:pPr>
            <w:r w:rsidRPr="006D4FBA">
              <w:rPr>
                <w:rFonts w:ascii="宋体" w:hAnsi="宋体" w:hint="eastAsia"/>
                <w:lang w:val="en-GB"/>
              </w:rPr>
              <w:t>百万元</w:t>
            </w:r>
          </w:p>
        </w:tc>
        <w:tc>
          <w:tcPr>
            <w:tcW w:w="727" w:type="pct"/>
            <w:tcBorders>
              <w:top w:val="single" w:sz="4" w:space="0" w:color="auto"/>
              <w:left w:val="single" w:sz="4" w:space="0" w:color="auto"/>
              <w:bottom w:val="single" w:sz="4" w:space="0" w:color="auto"/>
              <w:right w:val="single" w:sz="4" w:space="0" w:color="auto"/>
            </w:tcBorders>
            <w:vAlign w:val="center"/>
          </w:tcPr>
          <w:p w14:paraId="1DDC9733" w14:textId="77777777" w:rsidR="00B201D3" w:rsidRPr="006D4FBA" w:rsidRDefault="009855E8">
            <w:pPr>
              <w:jc w:val="right"/>
              <w:rPr>
                <w:rFonts w:ascii="宋体" w:hAnsi="宋体"/>
                <w:lang w:val="en-GB"/>
              </w:rPr>
            </w:pPr>
            <w:r w:rsidRPr="006D4FBA">
              <w:rPr>
                <w:rFonts w:ascii="宋体" w:hAnsi="宋体"/>
              </w:rPr>
              <w:t xml:space="preserve">184 </w:t>
            </w:r>
          </w:p>
        </w:tc>
        <w:tc>
          <w:tcPr>
            <w:tcW w:w="740" w:type="pct"/>
            <w:tcBorders>
              <w:top w:val="single" w:sz="4" w:space="0" w:color="auto"/>
              <w:left w:val="single" w:sz="4" w:space="0" w:color="auto"/>
              <w:bottom w:val="single" w:sz="4" w:space="0" w:color="auto"/>
              <w:right w:val="single" w:sz="4" w:space="0" w:color="auto"/>
            </w:tcBorders>
            <w:vAlign w:val="center"/>
          </w:tcPr>
          <w:p w14:paraId="32A13780" w14:textId="77777777" w:rsidR="00B201D3" w:rsidRPr="006D4FBA" w:rsidRDefault="009855E8">
            <w:pPr>
              <w:jc w:val="right"/>
              <w:rPr>
                <w:rFonts w:ascii="宋体" w:hAnsi="宋体"/>
              </w:rPr>
            </w:pPr>
            <w:r w:rsidRPr="006D4FBA">
              <w:rPr>
                <w:rFonts w:ascii="宋体" w:hAnsi="宋体" w:hint="eastAsia"/>
              </w:rPr>
              <w:t xml:space="preserve">220 </w:t>
            </w:r>
          </w:p>
        </w:tc>
        <w:tc>
          <w:tcPr>
            <w:tcW w:w="666" w:type="pct"/>
            <w:tcBorders>
              <w:top w:val="single" w:sz="4" w:space="0" w:color="auto"/>
              <w:left w:val="single" w:sz="4" w:space="0" w:color="auto"/>
              <w:bottom w:val="single" w:sz="4" w:space="0" w:color="auto"/>
              <w:right w:val="single" w:sz="4" w:space="0" w:color="auto"/>
            </w:tcBorders>
          </w:tcPr>
          <w:p w14:paraId="6DDAF746" w14:textId="77777777" w:rsidR="00B201D3" w:rsidRPr="006D4FBA" w:rsidRDefault="009855E8">
            <w:pPr>
              <w:jc w:val="right"/>
              <w:rPr>
                <w:rFonts w:ascii="宋体" w:hAnsi="宋体"/>
              </w:rPr>
            </w:pPr>
            <w:r w:rsidRPr="006D4FBA">
              <w:rPr>
                <w:rFonts w:ascii="宋体" w:hAnsi="宋体"/>
              </w:rPr>
              <w:t xml:space="preserve">-36 </w:t>
            </w:r>
          </w:p>
        </w:tc>
        <w:tc>
          <w:tcPr>
            <w:tcW w:w="703" w:type="pct"/>
            <w:tcBorders>
              <w:top w:val="single" w:sz="4" w:space="0" w:color="auto"/>
              <w:left w:val="single" w:sz="4" w:space="0" w:color="auto"/>
              <w:bottom w:val="single" w:sz="4" w:space="0" w:color="auto"/>
              <w:right w:val="single" w:sz="4" w:space="0" w:color="auto"/>
            </w:tcBorders>
          </w:tcPr>
          <w:p w14:paraId="044D271A" w14:textId="77777777" w:rsidR="00B201D3" w:rsidRPr="006D4FBA" w:rsidRDefault="009855E8">
            <w:pPr>
              <w:jc w:val="right"/>
              <w:rPr>
                <w:rFonts w:ascii="宋体" w:hAnsi="宋体"/>
                <w:lang w:val="en-GB"/>
              </w:rPr>
            </w:pPr>
            <w:r w:rsidRPr="006D4FBA">
              <w:rPr>
                <w:rFonts w:ascii="宋体" w:hAnsi="宋体"/>
              </w:rPr>
              <w:t xml:space="preserve">-16.39 </w:t>
            </w:r>
          </w:p>
        </w:tc>
      </w:tr>
      <w:tr w:rsidR="00B201D3" w:rsidRPr="006D4FBA" w14:paraId="7A9ED910" w14:textId="77777777">
        <w:trPr>
          <w:trHeight w:val="88"/>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7C9B386" w14:textId="77777777" w:rsidR="00B201D3" w:rsidRPr="006D4FBA" w:rsidRDefault="00B201D3">
            <w:pPr>
              <w:rPr>
                <w:rFonts w:ascii="宋体" w:hAnsi="宋体"/>
                <w:lang w:val="en-GB"/>
              </w:rPr>
            </w:pPr>
          </w:p>
        </w:tc>
        <w:tc>
          <w:tcPr>
            <w:tcW w:w="844" w:type="pct"/>
            <w:tcBorders>
              <w:top w:val="single" w:sz="4" w:space="0" w:color="auto"/>
              <w:left w:val="single" w:sz="4" w:space="0" w:color="auto"/>
              <w:bottom w:val="single" w:sz="4" w:space="0" w:color="auto"/>
              <w:right w:val="single" w:sz="4" w:space="0" w:color="auto"/>
            </w:tcBorders>
            <w:vAlign w:val="center"/>
          </w:tcPr>
          <w:p w14:paraId="6FF90134" w14:textId="77777777" w:rsidR="00B201D3" w:rsidRPr="006D4FBA" w:rsidRDefault="009855E8">
            <w:pPr>
              <w:rPr>
                <w:rFonts w:ascii="宋体" w:hAnsi="宋体"/>
                <w:lang w:val="en-GB"/>
              </w:rPr>
            </w:pPr>
            <w:r w:rsidRPr="006D4FBA">
              <w:rPr>
                <w:rFonts w:ascii="宋体" w:hAnsi="宋体" w:hint="eastAsia"/>
                <w:lang w:val="en-GB"/>
              </w:rPr>
              <w:t>吨煤销售成本</w:t>
            </w:r>
          </w:p>
        </w:tc>
        <w:tc>
          <w:tcPr>
            <w:tcW w:w="481" w:type="pct"/>
            <w:tcBorders>
              <w:top w:val="single" w:sz="4" w:space="0" w:color="auto"/>
              <w:left w:val="single" w:sz="4" w:space="0" w:color="auto"/>
              <w:bottom w:val="single" w:sz="4" w:space="0" w:color="auto"/>
              <w:right w:val="single" w:sz="4" w:space="0" w:color="auto"/>
            </w:tcBorders>
            <w:vAlign w:val="center"/>
          </w:tcPr>
          <w:p w14:paraId="3EB02CD0" w14:textId="77777777" w:rsidR="00B201D3" w:rsidRPr="006D4FBA" w:rsidRDefault="009855E8">
            <w:pPr>
              <w:jc w:val="center"/>
              <w:rPr>
                <w:rFonts w:ascii="宋体" w:hAnsi="宋体"/>
                <w:lang w:val="en-GB"/>
              </w:rPr>
            </w:pPr>
            <w:r w:rsidRPr="006D4FBA">
              <w:rPr>
                <w:rFonts w:ascii="宋体" w:hAnsi="宋体" w:hint="eastAsia"/>
                <w:lang w:val="en-GB"/>
              </w:rPr>
              <w:t>元/吨</w:t>
            </w:r>
          </w:p>
        </w:tc>
        <w:tc>
          <w:tcPr>
            <w:tcW w:w="727" w:type="pct"/>
            <w:tcBorders>
              <w:top w:val="single" w:sz="4" w:space="0" w:color="auto"/>
              <w:left w:val="single" w:sz="4" w:space="0" w:color="auto"/>
              <w:bottom w:val="single" w:sz="4" w:space="0" w:color="auto"/>
              <w:right w:val="single" w:sz="4" w:space="0" w:color="auto"/>
            </w:tcBorders>
            <w:vAlign w:val="center"/>
          </w:tcPr>
          <w:p w14:paraId="07B40A66" w14:textId="77777777" w:rsidR="00B201D3" w:rsidRPr="006D4FBA" w:rsidRDefault="009855E8">
            <w:pPr>
              <w:jc w:val="right"/>
              <w:rPr>
                <w:rFonts w:ascii="宋体" w:hAnsi="宋体"/>
                <w:lang w:val="en-GB"/>
              </w:rPr>
            </w:pPr>
            <w:r w:rsidRPr="006D4FBA">
              <w:rPr>
                <w:rFonts w:ascii="宋体" w:hAnsi="宋体"/>
              </w:rPr>
              <w:t>447.17</w:t>
            </w:r>
          </w:p>
        </w:tc>
        <w:tc>
          <w:tcPr>
            <w:tcW w:w="740" w:type="pct"/>
            <w:tcBorders>
              <w:top w:val="single" w:sz="4" w:space="0" w:color="auto"/>
              <w:left w:val="single" w:sz="4" w:space="0" w:color="auto"/>
              <w:bottom w:val="single" w:sz="4" w:space="0" w:color="auto"/>
              <w:right w:val="single" w:sz="4" w:space="0" w:color="auto"/>
            </w:tcBorders>
            <w:vAlign w:val="center"/>
          </w:tcPr>
          <w:p w14:paraId="20FF8E93" w14:textId="77777777" w:rsidR="00B201D3" w:rsidRPr="006D4FBA" w:rsidRDefault="009855E8">
            <w:pPr>
              <w:jc w:val="right"/>
              <w:rPr>
                <w:rFonts w:ascii="宋体" w:hAnsi="宋体"/>
              </w:rPr>
            </w:pPr>
            <w:r w:rsidRPr="006D4FBA">
              <w:rPr>
                <w:rFonts w:ascii="宋体" w:hAnsi="宋体" w:hint="eastAsia"/>
              </w:rPr>
              <w:t xml:space="preserve">364.04 </w:t>
            </w:r>
          </w:p>
        </w:tc>
        <w:tc>
          <w:tcPr>
            <w:tcW w:w="666" w:type="pct"/>
            <w:tcBorders>
              <w:top w:val="single" w:sz="4" w:space="0" w:color="auto"/>
              <w:left w:val="single" w:sz="4" w:space="0" w:color="auto"/>
              <w:bottom w:val="single" w:sz="4" w:space="0" w:color="auto"/>
              <w:right w:val="single" w:sz="4" w:space="0" w:color="auto"/>
            </w:tcBorders>
          </w:tcPr>
          <w:p w14:paraId="070D54A1" w14:textId="77777777" w:rsidR="00B201D3" w:rsidRPr="006D4FBA" w:rsidRDefault="009855E8">
            <w:pPr>
              <w:jc w:val="right"/>
              <w:rPr>
                <w:rFonts w:ascii="宋体" w:hAnsi="宋体"/>
              </w:rPr>
            </w:pPr>
            <w:r w:rsidRPr="006D4FBA">
              <w:rPr>
                <w:rFonts w:ascii="宋体" w:hAnsi="宋体"/>
              </w:rPr>
              <w:t xml:space="preserve">83.13 </w:t>
            </w:r>
          </w:p>
        </w:tc>
        <w:tc>
          <w:tcPr>
            <w:tcW w:w="703" w:type="pct"/>
            <w:tcBorders>
              <w:top w:val="single" w:sz="4" w:space="0" w:color="auto"/>
              <w:left w:val="single" w:sz="4" w:space="0" w:color="auto"/>
              <w:bottom w:val="single" w:sz="4" w:space="0" w:color="auto"/>
              <w:right w:val="single" w:sz="4" w:space="0" w:color="auto"/>
            </w:tcBorders>
          </w:tcPr>
          <w:p w14:paraId="257452F2" w14:textId="77777777" w:rsidR="00B201D3" w:rsidRPr="006D4FBA" w:rsidRDefault="009855E8">
            <w:pPr>
              <w:jc w:val="right"/>
              <w:rPr>
                <w:rFonts w:ascii="宋体" w:hAnsi="宋体"/>
                <w:lang w:val="en-GB"/>
              </w:rPr>
            </w:pPr>
            <w:r w:rsidRPr="006D4FBA">
              <w:rPr>
                <w:rFonts w:ascii="宋体" w:hAnsi="宋体"/>
              </w:rPr>
              <w:t xml:space="preserve">22.84 </w:t>
            </w:r>
          </w:p>
        </w:tc>
      </w:tr>
      <w:tr w:rsidR="00B201D3" w:rsidRPr="006D4FBA" w14:paraId="5FA7ECBC" w14:textId="77777777">
        <w:trPr>
          <w:trHeight w:val="88"/>
          <w:jc w:val="center"/>
        </w:trPr>
        <w:tc>
          <w:tcPr>
            <w:tcW w:w="839" w:type="pct"/>
            <w:vMerge w:val="restart"/>
            <w:tcBorders>
              <w:top w:val="single" w:sz="4" w:space="0" w:color="auto"/>
              <w:left w:val="single" w:sz="4" w:space="0" w:color="auto"/>
              <w:bottom w:val="single" w:sz="4" w:space="0" w:color="auto"/>
              <w:right w:val="single" w:sz="4" w:space="0" w:color="auto"/>
            </w:tcBorders>
            <w:vAlign w:val="center"/>
          </w:tcPr>
          <w:p w14:paraId="3AFA4222" w14:textId="77777777" w:rsidR="00B201D3" w:rsidRPr="006D4FBA" w:rsidRDefault="009855E8">
            <w:pPr>
              <w:rPr>
                <w:rFonts w:ascii="宋体" w:hAnsi="宋体"/>
                <w:lang w:val="en-GB"/>
              </w:rPr>
            </w:pPr>
            <w:r w:rsidRPr="006D4FBA">
              <w:rPr>
                <w:rFonts w:ascii="宋体" w:hAnsi="宋体" w:hint="eastAsia"/>
              </w:rPr>
              <w:t>未来能源</w:t>
            </w:r>
          </w:p>
        </w:tc>
        <w:tc>
          <w:tcPr>
            <w:tcW w:w="844" w:type="pct"/>
            <w:tcBorders>
              <w:top w:val="single" w:sz="4" w:space="0" w:color="auto"/>
              <w:left w:val="single" w:sz="4" w:space="0" w:color="auto"/>
              <w:bottom w:val="single" w:sz="4" w:space="0" w:color="auto"/>
              <w:right w:val="single" w:sz="4" w:space="0" w:color="auto"/>
            </w:tcBorders>
            <w:vAlign w:val="center"/>
          </w:tcPr>
          <w:p w14:paraId="2DC7EDFE" w14:textId="77777777" w:rsidR="00B201D3" w:rsidRPr="006D4FBA" w:rsidRDefault="009855E8">
            <w:pPr>
              <w:rPr>
                <w:rFonts w:ascii="宋体" w:hAnsi="宋体"/>
                <w:lang w:val="en-GB"/>
              </w:rPr>
            </w:pPr>
            <w:r w:rsidRPr="006D4FBA">
              <w:rPr>
                <w:rFonts w:ascii="宋体" w:hAnsi="宋体" w:hint="eastAsia"/>
                <w:lang w:val="en-GB"/>
              </w:rPr>
              <w:t>销售成本总额</w:t>
            </w:r>
          </w:p>
        </w:tc>
        <w:tc>
          <w:tcPr>
            <w:tcW w:w="481" w:type="pct"/>
            <w:tcBorders>
              <w:top w:val="single" w:sz="4" w:space="0" w:color="auto"/>
              <w:left w:val="single" w:sz="4" w:space="0" w:color="auto"/>
              <w:bottom w:val="single" w:sz="4" w:space="0" w:color="auto"/>
              <w:right w:val="single" w:sz="4" w:space="0" w:color="auto"/>
            </w:tcBorders>
            <w:vAlign w:val="center"/>
          </w:tcPr>
          <w:p w14:paraId="6A01E25E" w14:textId="77777777" w:rsidR="00B201D3" w:rsidRPr="006D4FBA" w:rsidRDefault="009855E8">
            <w:pPr>
              <w:jc w:val="center"/>
              <w:rPr>
                <w:rFonts w:ascii="宋体" w:hAnsi="宋体"/>
                <w:lang w:val="en-GB"/>
              </w:rPr>
            </w:pPr>
            <w:r w:rsidRPr="006D4FBA">
              <w:rPr>
                <w:rFonts w:ascii="宋体" w:hAnsi="宋体" w:hint="eastAsia"/>
                <w:lang w:val="en-GB"/>
              </w:rPr>
              <w:t>百万元</w:t>
            </w:r>
          </w:p>
        </w:tc>
        <w:tc>
          <w:tcPr>
            <w:tcW w:w="727" w:type="pct"/>
            <w:tcBorders>
              <w:top w:val="single" w:sz="4" w:space="0" w:color="auto"/>
              <w:left w:val="single" w:sz="4" w:space="0" w:color="auto"/>
              <w:bottom w:val="single" w:sz="4" w:space="0" w:color="auto"/>
              <w:right w:val="single" w:sz="4" w:space="0" w:color="auto"/>
            </w:tcBorders>
            <w:vAlign w:val="center"/>
          </w:tcPr>
          <w:p w14:paraId="655619B8" w14:textId="77777777" w:rsidR="00B201D3" w:rsidRPr="006D4FBA" w:rsidRDefault="009855E8">
            <w:pPr>
              <w:jc w:val="right"/>
              <w:rPr>
                <w:rFonts w:ascii="宋体" w:hAnsi="宋体"/>
                <w:lang w:val="en-GB"/>
              </w:rPr>
            </w:pPr>
            <w:r w:rsidRPr="006D4FBA">
              <w:rPr>
                <w:rFonts w:ascii="宋体" w:hAnsi="宋体"/>
              </w:rPr>
              <w:t xml:space="preserve">1,247 </w:t>
            </w:r>
          </w:p>
        </w:tc>
        <w:tc>
          <w:tcPr>
            <w:tcW w:w="740" w:type="pct"/>
            <w:tcBorders>
              <w:top w:val="single" w:sz="4" w:space="0" w:color="auto"/>
              <w:left w:val="single" w:sz="4" w:space="0" w:color="auto"/>
              <w:bottom w:val="single" w:sz="4" w:space="0" w:color="auto"/>
              <w:right w:val="single" w:sz="4" w:space="0" w:color="auto"/>
            </w:tcBorders>
            <w:vAlign w:val="center"/>
          </w:tcPr>
          <w:p w14:paraId="3325A56D" w14:textId="77777777" w:rsidR="00B201D3" w:rsidRPr="006D4FBA" w:rsidRDefault="009855E8">
            <w:pPr>
              <w:jc w:val="right"/>
              <w:rPr>
                <w:rFonts w:ascii="宋体" w:hAnsi="宋体"/>
              </w:rPr>
            </w:pPr>
            <w:r w:rsidRPr="006D4FBA">
              <w:rPr>
                <w:rFonts w:ascii="宋体" w:hAnsi="宋体" w:hint="eastAsia"/>
              </w:rPr>
              <w:t xml:space="preserve">1,171 </w:t>
            </w:r>
          </w:p>
        </w:tc>
        <w:tc>
          <w:tcPr>
            <w:tcW w:w="666" w:type="pct"/>
            <w:tcBorders>
              <w:top w:val="single" w:sz="4" w:space="0" w:color="auto"/>
              <w:left w:val="single" w:sz="4" w:space="0" w:color="auto"/>
              <w:bottom w:val="single" w:sz="4" w:space="0" w:color="auto"/>
              <w:right w:val="single" w:sz="4" w:space="0" w:color="auto"/>
            </w:tcBorders>
          </w:tcPr>
          <w:p w14:paraId="46480A8F" w14:textId="77777777" w:rsidR="00B201D3" w:rsidRPr="006D4FBA" w:rsidRDefault="009855E8">
            <w:pPr>
              <w:jc w:val="right"/>
              <w:rPr>
                <w:rFonts w:ascii="宋体" w:hAnsi="宋体"/>
              </w:rPr>
            </w:pPr>
            <w:r w:rsidRPr="006D4FBA">
              <w:rPr>
                <w:rFonts w:ascii="宋体" w:hAnsi="宋体"/>
              </w:rPr>
              <w:t xml:space="preserve">76 </w:t>
            </w:r>
          </w:p>
        </w:tc>
        <w:tc>
          <w:tcPr>
            <w:tcW w:w="703" w:type="pct"/>
            <w:tcBorders>
              <w:top w:val="single" w:sz="4" w:space="0" w:color="auto"/>
              <w:left w:val="single" w:sz="4" w:space="0" w:color="auto"/>
              <w:bottom w:val="single" w:sz="4" w:space="0" w:color="auto"/>
              <w:right w:val="single" w:sz="4" w:space="0" w:color="auto"/>
            </w:tcBorders>
          </w:tcPr>
          <w:p w14:paraId="54C9E01F" w14:textId="77777777" w:rsidR="00B201D3" w:rsidRPr="006D4FBA" w:rsidRDefault="009855E8">
            <w:pPr>
              <w:jc w:val="right"/>
              <w:rPr>
                <w:rFonts w:ascii="宋体" w:hAnsi="宋体"/>
                <w:lang w:val="en-GB"/>
              </w:rPr>
            </w:pPr>
            <w:r w:rsidRPr="006D4FBA">
              <w:rPr>
                <w:rFonts w:ascii="宋体" w:hAnsi="宋体"/>
              </w:rPr>
              <w:t xml:space="preserve">6.50 </w:t>
            </w:r>
          </w:p>
        </w:tc>
      </w:tr>
      <w:tr w:rsidR="00B201D3" w:rsidRPr="006D4FBA" w14:paraId="42F162FB" w14:textId="77777777">
        <w:trPr>
          <w:trHeight w:val="88"/>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831E294" w14:textId="77777777" w:rsidR="00B201D3" w:rsidRPr="006D4FBA" w:rsidRDefault="00B201D3">
            <w:pPr>
              <w:rPr>
                <w:rFonts w:ascii="宋体" w:hAnsi="宋体"/>
                <w:lang w:val="en-GB"/>
              </w:rPr>
            </w:pPr>
          </w:p>
        </w:tc>
        <w:tc>
          <w:tcPr>
            <w:tcW w:w="844" w:type="pct"/>
            <w:tcBorders>
              <w:top w:val="single" w:sz="4" w:space="0" w:color="auto"/>
              <w:left w:val="single" w:sz="4" w:space="0" w:color="auto"/>
              <w:bottom w:val="single" w:sz="4" w:space="0" w:color="auto"/>
              <w:right w:val="single" w:sz="4" w:space="0" w:color="auto"/>
            </w:tcBorders>
            <w:vAlign w:val="center"/>
          </w:tcPr>
          <w:p w14:paraId="3CCE3264" w14:textId="77777777" w:rsidR="00B201D3" w:rsidRPr="006D4FBA" w:rsidRDefault="009855E8">
            <w:pPr>
              <w:rPr>
                <w:rFonts w:ascii="宋体" w:hAnsi="宋体"/>
                <w:lang w:val="en-GB"/>
              </w:rPr>
            </w:pPr>
            <w:r w:rsidRPr="006D4FBA">
              <w:rPr>
                <w:rFonts w:ascii="宋体" w:hAnsi="宋体" w:hint="eastAsia"/>
                <w:lang w:val="en-GB"/>
              </w:rPr>
              <w:t>吨煤销售成本</w:t>
            </w:r>
          </w:p>
        </w:tc>
        <w:tc>
          <w:tcPr>
            <w:tcW w:w="481" w:type="pct"/>
            <w:tcBorders>
              <w:top w:val="single" w:sz="4" w:space="0" w:color="auto"/>
              <w:left w:val="single" w:sz="4" w:space="0" w:color="auto"/>
              <w:bottom w:val="single" w:sz="4" w:space="0" w:color="auto"/>
              <w:right w:val="single" w:sz="4" w:space="0" w:color="auto"/>
            </w:tcBorders>
            <w:vAlign w:val="center"/>
          </w:tcPr>
          <w:p w14:paraId="4D6FEC03" w14:textId="77777777" w:rsidR="00B201D3" w:rsidRPr="006D4FBA" w:rsidRDefault="009855E8">
            <w:pPr>
              <w:jc w:val="center"/>
              <w:rPr>
                <w:rFonts w:ascii="宋体" w:hAnsi="宋体"/>
                <w:lang w:val="en-GB"/>
              </w:rPr>
            </w:pPr>
            <w:r w:rsidRPr="006D4FBA">
              <w:rPr>
                <w:rFonts w:ascii="宋体" w:hAnsi="宋体" w:hint="eastAsia"/>
                <w:lang w:val="en-GB"/>
              </w:rPr>
              <w:t>元/吨</w:t>
            </w:r>
          </w:p>
        </w:tc>
        <w:tc>
          <w:tcPr>
            <w:tcW w:w="727" w:type="pct"/>
            <w:tcBorders>
              <w:top w:val="single" w:sz="4" w:space="0" w:color="auto"/>
              <w:left w:val="single" w:sz="4" w:space="0" w:color="auto"/>
              <w:bottom w:val="single" w:sz="4" w:space="0" w:color="auto"/>
              <w:right w:val="single" w:sz="4" w:space="0" w:color="auto"/>
            </w:tcBorders>
            <w:vAlign w:val="center"/>
          </w:tcPr>
          <w:p w14:paraId="59BE0615" w14:textId="77777777" w:rsidR="00B201D3" w:rsidRPr="006D4FBA" w:rsidRDefault="009855E8">
            <w:pPr>
              <w:jc w:val="right"/>
              <w:rPr>
                <w:rFonts w:ascii="宋体" w:hAnsi="宋体"/>
                <w:lang w:val="en-GB"/>
              </w:rPr>
            </w:pPr>
            <w:r w:rsidRPr="006D4FBA">
              <w:rPr>
                <w:rFonts w:ascii="宋体" w:hAnsi="宋体"/>
              </w:rPr>
              <w:t>165.44</w:t>
            </w:r>
          </w:p>
        </w:tc>
        <w:tc>
          <w:tcPr>
            <w:tcW w:w="740" w:type="pct"/>
            <w:tcBorders>
              <w:top w:val="single" w:sz="4" w:space="0" w:color="auto"/>
              <w:left w:val="single" w:sz="4" w:space="0" w:color="auto"/>
              <w:bottom w:val="single" w:sz="4" w:space="0" w:color="auto"/>
              <w:right w:val="single" w:sz="4" w:space="0" w:color="auto"/>
            </w:tcBorders>
            <w:vAlign w:val="center"/>
          </w:tcPr>
          <w:p w14:paraId="69FC290C" w14:textId="77777777" w:rsidR="00B201D3" w:rsidRPr="006D4FBA" w:rsidRDefault="009855E8">
            <w:pPr>
              <w:jc w:val="right"/>
              <w:rPr>
                <w:rFonts w:ascii="宋体" w:hAnsi="宋体"/>
              </w:rPr>
            </w:pPr>
            <w:r w:rsidRPr="006D4FBA">
              <w:rPr>
                <w:rFonts w:ascii="宋体" w:hAnsi="宋体" w:hint="eastAsia"/>
              </w:rPr>
              <w:t xml:space="preserve">159.11 </w:t>
            </w:r>
          </w:p>
        </w:tc>
        <w:tc>
          <w:tcPr>
            <w:tcW w:w="666" w:type="pct"/>
            <w:tcBorders>
              <w:top w:val="single" w:sz="4" w:space="0" w:color="auto"/>
              <w:left w:val="single" w:sz="4" w:space="0" w:color="auto"/>
              <w:bottom w:val="single" w:sz="4" w:space="0" w:color="auto"/>
              <w:right w:val="single" w:sz="4" w:space="0" w:color="auto"/>
            </w:tcBorders>
          </w:tcPr>
          <w:p w14:paraId="09BF8DE6" w14:textId="77777777" w:rsidR="00B201D3" w:rsidRPr="006D4FBA" w:rsidRDefault="009855E8">
            <w:pPr>
              <w:jc w:val="right"/>
              <w:rPr>
                <w:rFonts w:ascii="宋体" w:hAnsi="宋体"/>
              </w:rPr>
            </w:pPr>
            <w:r w:rsidRPr="006D4FBA">
              <w:rPr>
                <w:rFonts w:ascii="宋体" w:hAnsi="宋体"/>
              </w:rPr>
              <w:t xml:space="preserve">6.33 </w:t>
            </w:r>
          </w:p>
        </w:tc>
        <w:tc>
          <w:tcPr>
            <w:tcW w:w="703" w:type="pct"/>
            <w:tcBorders>
              <w:top w:val="single" w:sz="4" w:space="0" w:color="auto"/>
              <w:left w:val="single" w:sz="4" w:space="0" w:color="auto"/>
              <w:bottom w:val="single" w:sz="4" w:space="0" w:color="auto"/>
              <w:right w:val="single" w:sz="4" w:space="0" w:color="auto"/>
            </w:tcBorders>
          </w:tcPr>
          <w:p w14:paraId="14B3708C" w14:textId="77777777" w:rsidR="00B201D3" w:rsidRPr="006D4FBA" w:rsidRDefault="009855E8">
            <w:pPr>
              <w:jc w:val="right"/>
              <w:rPr>
                <w:rFonts w:ascii="宋体" w:hAnsi="宋体"/>
                <w:lang w:val="en-GB"/>
              </w:rPr>
            </w:pPr>
            <w:r w:rsidRPr="006D4FBA">
              <w:rPr>
                <w:rFonts w:ascii="宋体" w:hAnsi="宋体"/>
              </w:rPr>
              <w:t xml:space="preserve">3.98 </w:t>
            </w:r>
          </w:p>
        </w:tc>
      </w:tr>
      <w:tr w:rsidR="00B201D3" w:rsidRPr="006D4FBA" w14:paraId="4BD54FFA" w14:textId="77777777">
        <w:trPr>
          <w:trHeight w:val="88"/>
          <w:jc w:val="center"/>
        </w:trPr>
        <w:tc>
          <w:tcPr>
            <w:tcW w:w="839" w:type="pct"/>
            <w:vMerge w:val="restart"/>
            <w:tcBorders>
              <w:top w:val="single" w:sz="4" w:space="0" w:color="auto"/>
              <w:left w:val="single" w:sz="4" w:space="0" w:color="auto"/>
              <w:bottom w:val="single" w:sz="4" w:space="0" w:color="auto"/>
              <w:right w:val="single" w:sz="4" w:space="0" w:color="auto"/>
            </w:tcBorders>
            <w:vAlign w:val="center"/>
          </w:tcPr>
          <w:p w14:paraId="416F12E5" w14:textId="77777777" w:rsidR="00B201D3" w:rsidRPr="006D4FBA" w:rsidRDefault="009855E8">
            <w:pPr>
              <w:rPr>
                <w:rFonts w:ascii="宋体" w:hAnsi="宋体"/>
                <w:lang w:val="en-GB"/>
              </w:rPr>
            </w:pPr>
            <w:r w:rsidRPr="006D4FBA">
              <w:rPr>
                <w:rFonts w:ascii="宋体" w:hAnsi="宋体" w:hint="eastAsia"/>
              </w:rPr>
              <w:t>鄂尔多斯公司</w:t>
            </w:r>
          </w:p>
        </w:tc>
        <w:tc>
          <w:tcPr>
            <w:tcW w:w="844" w:type="pct"/>
            <w:tcBorders>
              <w:top w:val="single" w:sz="4" w:space="0" w:color="auto"/>
              <w:left w:val="single" w:sz="4" w:space="0" w:color="auto"/>
              <w:bottom w:val="single" w:sz="4" w:space="0" w:color="auto"/>
              <w:right w:val="single" w:sz="4" w:space="0" w:color="auto"/>
            </w:tcBorders>
            <w:vAlign w:val="center"/>
          </w:tcPr>
          <w:p w14:paraId="5D34C19E" w14:textId="77777777" w:rsidR="00B201D3" w:rsidRPr="006D4FBA" w:rsidRDefault="009855E8">
            <w:pPr>
              <w:rPr>
                <w:rFonts w:ascii="宋体" w:hAnsi="宋体"/>
                <w:lang w:val="en-GB"/>
              </w:rPr>
            </w:pPr>
            <w:r w:rsidRPr="006D4FBA">
              <w:rPr>
                <w:rFonts w:ascii="宋体" w:hAnsi="宋体" w:hint="eastAsia"/>
                <w:lang w:val="en-GB"/>
              </w:rPr>
              <w:t>销售成本总额</w:t>
            </w:r>
          </w:p>
        </w:tc>
        <w:tc>
          <w:tcPr>
            <w:tcW w:w="481" w:type="pct"/>
            <w:tcBorders>
              <w:top w:val="single" w:sz="4" w:space="0" w:color="auto"/>
              <w:left w:val="single" w:sz="4" w:space="0" w:color="auto"/>
              <w:bottom w:val="single" w:sz="4" w:space="0" w:color="auto"/>
              <w:right w:val="single" w:sz="4" w:space="0" w:color="auto"/>
            </w:tcBorders>
            <w:vAlign w:val="center"/>
          </w:tcPr>
          <w:p w14:paraId="4BF4AFDA" w14:textId="77777777" w:rsidR="00B201D3" w:rsidRPr="006D4FBA" w:rsidRDefault="009855E8">
            <w:pPr>
              <w:jc w:val="center"/>
              <w:rPr>
                <w:rFonts w:ascii="宋体" w:hAnsi="宋体"/>
                <w:lang w:val="en-GB"/>
              </w:rPr>
            </w:pPr>
            <w:r w:rsidRPr="006D4FBA">
              <w:rPr>
                <w:rFonts w:ascii="宋体" w:hAnsi="宋体" w:hint="eastAsia"/>
                <w:lang w:val="en-GB"/>
              </w:rPr>
              <w:t>百万元</w:t>
            </w:r>
          </w:p>
        </w:tc>
        <w:tc>
          <w:tcPr>
            <w:tcW w:w="727" w:type="pct"/>
            <w:tcBorders>
              <w:top w:val="single" w:sz="4" w:space="0" w:color="auto"/>
              <w:left w:val="single" w:sz="4" w:space="0" w:color="auto"/>
              <w:bottom w:val="single" w:sz="4" w:space="0" w:color="auto"/>
              <w:right w:val="single" w:sz="4" w:space="0" w:color="auto"/>
            </w:tcBorders>
            <w:vAlign w:val="center"/>
          </w:tcPr>
          <w:p w14:paraId="050B15CA" w14:textId="77777777" w:rsidR="00B201D3" w:rsidRPr="006D4FBA" w:rsidRDefault="009855E8">
            <w:pPr>
              <w:jc w:val="right"/>
              <w:rPr>
                <w:rFonts w:ascii="宋体" w:hAnsi="宋体"/>
                <w:lang w:val="en-GB"/>
              </w:rPr>
            </w:pPr>
            <w:r w:rsidRPr="006D4FBA">
              <w:rPr>
                <w:rFonts w:ascii="宋体" w:hAnsi="宋体"/>
              </w:rPr>
              <w:t xml:space="preserve">592 </w:t>
            </w:r>
          </w:p>
        </w:tc>
        <w:tc>
          <w:tcPr>
            <w:tcW w:w="740" w:type="pct"/>
            <w:tcBorders>
              <w:top w:val="single" w:sz="4" w:space="0" w:color="auto"/>
              <w:left w:val="single" w:sz="4" w:space="0" w:color="auto"/>
              <w:bottom w:val="single" w:sz="4" w:space="0" w:color="auto"/>
              <w:right w:val="single" w:sz="4" w:space="0" w:color="auto"/>
            </w:tcBorders>
            <w:vAlign w:val="center"/>
          </w:tcPr>
          <w:p w14:paraId="154FA6D3" w14:textId="77777777" w:rsidR="00B201D3" w:rsidRPr="006D4FBA" w:rsidRDefault="009855E8">
            <w:pPr>
              <w:jc w:val="right"/>
              <w:rPr>
                <w:rFonts w:ascii="宋体" w:hAnsi="宋体"/>
              </w:rPr>
            </w:pPr>
            <w:r w:rsidRPr="006D4FBA">
              <w:rPr>
                <w:rFonts w:ascii="宋体" w:hAnsi="宋体" w:hint="eastAsia"/>
              </w:rPr>
              <w:t xml:space="preserve">901 </w:t>
            </w:r>
          </w:p>
        </w:tc>
        <w:tc>
          <w:tcPr>
            <w:tcW w:w="666" w:type="pct"/>
            <w:tcBorders>
              <w:top w:val="single" w:sz="4" w:space="0" w:color="auto"/>
              <w:left w:val="single" w:sz="4" w:space="0" w:color="auto"/>
              <w:bottom w:val="single" w:sz="4" w:space="0" w:color="auto"/>
              <w:right w:val="single" w:sz="4" w:space="0" w:color="auto"/>
            </w:tcBorders>
          </w:tcPr>
          <w:p w14:paraId="2BBFA839" w14:textId="77777777" w:rsidR="00B201D3" w:rsidRPr="006D4FBA" w:rsidRDefault="009855E8">
            <w:pPr>
              <w:jc w:val="right"/>
              <w:rPr>
                <w:rFonts w:ascii="宋体" w:hAnsi="宋体"/>
              </w:rPr>
            </w:pPr>
            <w:r w:rsidRPr="006D4FBA">
              <w:rPr>
                <w:rFonts w:ascii="宋体" w:hAnsi="宋体"/>
              </w:rPr>
              <w:t xml:space="preserve">-309 </w:t>
            </w:r>
          </w:p>
        </w:tc>
        <w:tc>
          <w:tcPr>
            <w:tcW w:w="703" w:type="pct"/>
            <w:tcBorders>
              <w:top w:val="single" w:sz="4" w:space="0" w:color="auto"/>
              <w:left w:val="single" w:sz="4" w:space="0" w:color="auto"/>
              <w:bottom w:val="single" w:sz="4" w:space="0" w:color="auto"/>
              <w:right w:val="single" w:sz="4" w:space="0" w:color="auto"/>
            </w:tcBorders>
          </w:tcPr>
          <w:p w14:paraId="72A555B1" w14:textId="77777777" w:rsidR="00B201D3" w:rsidRPr="006D4FBA" w:rsidRDefault="009855E8">
            <w:pPr>
              <w:jc w:val="right"/>
              <w:rPr>
                <w:rFonts w:ascii="宋体" w:hAnsi="宋体"/>
                <w:lang w:val="en-GB"/>
              </w:rPr>
            </w:pPr>
            <w:r w:rsidRPr="006D4FBA">
              <w:rPr>
                <w:rFonts w:ascii="宋体" w:hAnsi="宋体"/>
              </w:rPr>
              <w:t xml:space="preserve">-34.29 </w:t>
            </w:r>
          </w:p>
        </w:tc>
      </w:tr>
      <w:tr w:rsidR="00B201D3" w:rsidRPr="006D4FBA" w14:paraId="328C84F6" w14:textId="77777777">
        <w:trPr>
          <w:trHeight w:val="88"/>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169FA38" w14:textId="77777777" w:rsidR="00B201D3" w:rsidRPr="006D4FBA" w:rsidRDefault="00B201D3">
            <w:pPr>
              <w:rPr>
                <w:rFonts w:ascii="宋体" w:hAnsi="宋体"/>
                <w:lang w:val="en-GB"/>
              </w:rPr>
            </w:pPr>
          </w:p>
        </w:tc>
        <w:tc>
          <w:tcPr>
            <w:tcW w:w="844" w:type="pct"/>
            <w:tcBorders>
              <w:top w:val="single" w:sz="4" w:space="0" w:color="auto"/>
              <w:left w:val="single" w:sz="4" w:space="0" w:color="auto"/>
              <w:bottom w:val="single" w:sz="4" w:space="0" w:color="auto"/>
              <w:right w:val="single" w:sz="4" w:space="0" w:color="auto"/>
            </w:tcBorders>
            <w:vAlign w:val="center"/>
          </w:tcPr>
          <w:p w14:paraId="69B10C5C" w14:textId="77777777" w:rsidR="00B201D3" w:rsidRPr="006D4FBA" w:rsidRDefault="009855E8">
            <w:pPr>
              <w:rPr>
                <w:rFonts w:ascii="宋体" w:hAnsi="宋体"/>
                <w:lang w:val="en-GB"/>
              </w:rPr>
            </w:pPr>
            <w:r w:rsidRPr="006D4FBA">
              <w:rPr>
                <w:rFonts w:ascii="宋体" w:hAnsi="宋体" w:hint="eastAsia"/>
                <w:lang w:val="en-GB"/>
              </w:rPr>
              <w:t>吨煤销售成本</w:t>
            </w:r>
          </w:p>
        </w:tc>
        <w:tc>
          <w:tcPr>
            <w:tcW w:w="481" w:type="pct"/>
            <w:tcBorders>
              <w:top w:val="single" w:sz="4" w:space="0" w:color="auto"/>
              <w:left w:val="single" w:sz="4" w:space="0" w:color="auto"/>
              <w:bottom w:val="single" w:sz="4" w:space="0" w:color="auto"/>
              <w:right w:val="single" w:sz="4" w:space="0" w:color="auto"/>
            </w:tcBorders>
            <w:vAlign w:val="center"/>
          </w:tcPr>
          <w:p w14:paraId="48341357" w14:textId="77777777" w:rsidR="00B201D3" w:rsidRPr="006D4FBA" w:rsidRDefault="009855E8">
            <w:pPr>
              <w:jc w:val="center"/>
              <w:rPr>
                <w:rFonts w:ascii="宋体" w:hAnsi="宋体"/>
                <w:lang w:val="en-GB"/>
              </w:rPr>
            </w:pPr>
            <w:r w:rsidRPr="006D4FBA">
              <w:rPr>
                <w:rFonts w:ascii="宋体" w:hAnsi="宋体" w:hint="eastAsia"/>
                <w:lang w:val="en-GB"/>
              </w:rPr>
              <w:t>元/吨</w:t>
            </w:r>
          </w:p>
        </w:tc>
        <w:tc>
          <w:tcPr>
            <w:tcW w:w="727" w:type="pct"/>
            <w:tcBorders>
              <w:top w:val="single" w:sz="4" w:space="0" w:color="auto"/>
              <w:left w:val="single" w:sz="4" w:space="0" w:color="auto"/>
              <w:bottom w:val="single" w:sz="4" w:space="0" w:color="auto"/>
              <w:right w:val="single" w:sz="4" w:space="0" w:color="auto"/>
            </w:tcBorders>
            <w:vAlign w:val="center"/>
          </w:tcPr>
          <w:p w14:paraId="10D6DC5B" w14:textId="77777777" w:rsidR="00B201D3" w:rsidRPr="006D4FBA" w:rsidRDefault="009855E8">
            <w:pPr>
              <w:jc w:val="right"/>
              <w:rPr>
                <w:rFonts w:ascii="宋体" w:hAnsi="宋体"/>
                <w:lang w:val="en-GB"/>
              </w:rPr>
            </w:pPr>
            <w:r w:rsidRPr="006D4FBA">
              <w:rPr>
                <w:rFonts w:ascii="宋体" w:hAnsi="宋体"/>
              </w:rPr>
              <w:t>141.84</w:t>
            </w:r>
          </w:p>
        </w:tc>
        <w:tc>
          <w:tcPr>
            <w:tcW w:w="740" w:type="pct"/>
            <w:tcBorders>
              <w:top w:val="single" w:sz="4" w:space="0" w:color="auto"/>
              <w:left w:val="single" w:sz="4" w:space="0" w:color="auto"/>
              <w:bottom w:val="single" w:sz="4" w:space="0" w:color="auto"/>
              <w:right w:val="single" w:sz="4" w:space="0" w:color="auto"/>
            </w:tcBorders>
            <w:vAlign w:val="center"/>
          </w:tcPr>
          <w:p w14:paraId="1DD04A2E" w14:textId="77777777" w:rsidR="00B201D3" w:rsidRPr="006D4FBA" w:rsidRDefault="009855E8">
            <w:pPr>
              <w:jc w:val="right"/>
              <w:rPr>
                <w:rFonts w:ascii="宋体" w:hAnsi="宋体"/>
              </w:rPr>
            </w:pPr>
            <w:r w:rsidRPr="006D4FBA">
              <w:rPr>
                <w:rFonts w:ascii="宋体" w:hAnsi="宋体" w:hint="eastAsia"/>
              </w:rPr>
              <w:t xml:space="preserve">163.21 </w:t>
            </w:r>
          </w:p>
        </w:tc>
        <w:tc>
          <w:tcPr>
            <w:tcW w:w="666" w:type="pct"/>
            <w:tcBorders>
              <w:top w:val="single" w:sz="4" w:space="0" w:color="auto"/>
              <w:left w:val="single" w:sz="4" w:space="0" w:color="auto"/>
              <w:bottom w:val="single" w:sz="4" w:space="0" w:color="auto"/>
              <w:right w:val="single" w:sz="4" w:space="0" w:color="auto"/>
            </w:tcBorders>
          </w:tcPr>
          <w:p w14:paraId="5ABA8640" w14:textId="77777777" w:rsidR="00B201D3" w:rsidRPr="006D4FBA" w:rsidRDefault="009855E8">
            <w:pPr>
              <w:jc w:val="right"/>
              <w:rPr>
                <w:rFonts w:ascii="宋体" w:hAnsi="宋体"/>
              </w:rPr>
            </w:pPr>
            <w:r w:rsidRPr="006D4FBA">
              <w:rPr>
                <w:rFonts w:ascii="宋体" w:hAnsi="宋体"/>
              </w:rPr>
              <w:t xml:space="preserve">-21.37 </w:t>
            </w:r>
          </w:p>
        </w:tc>
        <w:tc>
          <w:tcPr>
            <w:tcW w:w="703" w:type="pct"/>
            <w:tcBorders>
              <w:top w:val="single" w:sz="4" w:space="0" w:color="auto"/>
              <w:left w:val="single" w:sz="4" w:space="0" w:color="auto"/>
              <w:bottom w:val="single" w:sz="4" w:space="0" w:color="auto"/>
              <w:right w:val="single" w:sz="4" w:space="0" w:color="auto"/>
            </w:tcBorders>
          </w:tcPr>
          <w:p w14:paraId="40BD204A" w14:textId="77777777" w:rsidR="00B201D3" w:rsidRPr="006D4FBA" w:rsidRDefault="009855E8">
            <w:pPr>
              <w:jc w:val="right"/>
              <w:rPr>
                <w:rFonts w:ascii="宋体" w:hAnsi="宋体"/>
                <w:lang w:val="en-GB"/>
              </w:rPr>
            </w:pPr>
            <w:r w:rsidRPr="006D4FBA">
              <w:rPr>
                <w:rFonts w:ascii="宋体" w:hAnsi="宋体"/>
              </w:rPr>
              <w:t xml:space="preserve">-13.09 </w:t>
            </w:r>
          </w:p>
        </w:tc>
      </w:tr>
      <w:tr w:rsidR="00B201D3" w:rsidRPr="006D4FBA" w14:paraId="18E5F297" w14:textId="77777777">
        <w:trPr>
          <w:trHeight w:val="88"/>
          <w:jc w:val="center"/>
        </w:trPr>
        <w:tc>
          <w:tcPr>
            <w:tcW w:w="839" w:type="pct"/>
            <w:vMerge w:val="restart"/>
            <w:tcBorders>
              <w:top w:val="single" w:sz="4" w:space="0" w:color="auto"/>
              <w:left w:val="single" w:sz="4" w:space="0" w:color="auto"/>
              <w:bottom w:val="single" w:sz="4" w:space="0" w:color="auto"/>
              <w:right w:val="single" w:sz="4" w:space="0" w:color="auto"/>
            </w:tcBorders>
            <w:vAlign w:val="center"/>
          </w:tcPr>
          <w:p w14:paraId="53D58F2F" w14:textId="77777777" w:rsidR="00B201D3" w:rsidRPr="006D4FBA" w:rsidRDefault="009855E8">
            <w:pPr>
              <w:rPr>
                <w:rFonts w:ascii="宋体" w:hAnsi="宋体"/>
                <w:lang w:val="en-GB"/>
              </w:rPr>
            </w:pPr>
            <w:r w:rsidRPr="006D4FBA">
              <w:rPr>
                <w:rFonts w:ascii="宋体" w:hAnsi="宋体" w:hint="eastAsia"/>
              </w:rPr>
              <w:t>昊盛煤业</w:t>
            </w:r>
          </w:p>
        </w:tc>
        <w:tc>
          <w:tcPr>
            <w:tcW w:w="844" w:type="pct"/>
            <w:tcBorders>
              <w:top w:val="single" w:sz="4" w:space="0" w:color="auto"/>
              <w:left w:val="single" w:sz="4" w:space="0" w:color="auto"/>
              <w:bottom w:val="single" w:sz="4" w:space="0" w:color="auto"/>
              <w:right w:val="single" w:sz="4" w:space="0" w:color="auto"/>
            </w:tcBorders>
            <w:vAlign w:val="center"/>
          </w:tcPr>
          <w:p w14:paraId="42E2D24B" w14:textId="77777777" w:rsidR="00B201D3" w:rsidRPr="006D4FBA" w:rsidRDefault="009855E8">
            <w:pPr>
              <w:rPr>
                <w:rFonts w:ascii="宋体" w:hAnsi="宋体"/>
                <w:lang w:val="en-GB"/>
              </w:rPr>
            </w:pPr>
            <w:r w:rsidRPr="006D4FBA">
              <w:rPr>
                <w:rFonts w:ascii="宋体" w:hAnsi="宋体" w:hint="eastAsia"/>
                <w:lang w:val="en-GB"/>
              </w:rPr>
              <w:t>销售成本总额</w:t>
            </w:r>
          </w:p>
        </w:tc>
        <w:tc>
          <w:tcPr>
            <w:tcW w:w="481" w:type="pct"/>
            <w:tcBorders>
              <w:top w:val="single" w:sz="4" w:space="0" w:color="auto"/>
              <w:left w:val="single" w:sz="4" w:space="0" w:color="auto"/>
              <w:bottom w:val="single" w:sz="4" w:space="0" w:color="auto"/>
              <w:right w:val="single" w:sz="4" w:space="0" w:color="auto"/>
            </w:tcBorders>
            <w:vAlign w:val="center"/>
          </w:tcPr>
          <w:p w14:paraId="12AA6762" w14:textId="77777777" w:rsidR="00B201D3" w:rsidRPr="006D4FBA" w:rsidRDefault="009855E8">
            <w:pPr>
              <w:jc w:val="center"/>
              <w:rPr>
                <w:rFonts w:ascii="宋体" w:hAnsi="宋体"/>
                <w:lang w:val="en-GB"/>
              </w:rPr>
            </w:pPr>
            <w:r w:rsidRPr="006D4FBA">
              <w:rPr>
                <w:rFonts w:ascii="宋体" w:hAnsi="宋体" w:hint="eastAsia"/>
                <w:lang w:val="en-GB"/>
              </w:rPr>
              <w:t>百万元</w:t>
            </w:r>
          </w:p>
        </w:tc>
        <w:tc>
          <w:tcPr>
            <w:tcW w:w="727" w:type="pct"/>
            <w:tcBorders>
              <w:top w:val="single" w:sz="4" w:space="0" w:color="auto"/>
              <w:left w:val="single" w:sz="4" w:space="0" w:color="auto"/>
              <w:bottom w:val="single" w:sz="4" w:space="0" w:color="auto"/>
              <w:right w:val="single" w:sz="4" w:space="0" w:color="auto"/>
            </w:tcBorders>
            <w:vAlign w:val="center"/>
          </w:tcPr>
          <w:p w14:paraId="2E4CCFCD" w14:textId="77777777" w:rsidR="00B201D3" w:rsidRPr="006D4FBA" w:rsidRDefault="009855E8">
            <w:pPr>
              <w:jc w:val="right"/>
              <w:rPr>
                <w:rFonts w:ascii="宋体" w:hAnsi="宋体"/>
                <w:lang w:val="en-GB"/>
              </w:rPr>
            </w:pPr>
            <w:r w:rsidRPr="006D4FBA">
              <w:rPr>
                <w:rFonts w:ascii="宋体" w:hAnsi="宋体"/>
              </w:rPr>
              <w:t xml:space="preserve">805 </w:t>
            </w:r>
          </w:p>
        </w:tc>
        <w:tc>
          <w:tcPr>
            <w:tcW w:w="740" w:type="pct"/>
            <w:tcBorders>
              <w:top w:val="single" w:sz="4" w:space="0" w:color="auto"/>
              <w:left w:val="single" w:sz="4" w:space="0" w:color="auto"/>
              <w:bottom w:val="single" w:sz="4" w:space="0" w:color="auto"/>
              <w:right w:val="single" w:sz="4" w:space="0" w:color="auto"/>
            </w:tcBorders>
            <w:vAlign w:val="center"/>
          </w:tcPr>
          <w:p w14:paraId="53CCC3F6" w14:textId="77777777" w:rsidR="00B201D3" w:rsidRPr="006D4FBA" w:rsidRDefault="009855E8">
            <w:pPr>
              <w:jc w:val="right"/>
              <w:rPr>
                <w:rFonts w:ascii="宋体" w:hAnsi="宋体"/>
              </w:rPr>
            </w:pPr>
            <w:r w:rsidRPr="006D4FBA">
              <w:rPr>
                <w:rFonts w:ascii="宋体" w:hAnsi="宋体" w:hint="eastAsia"/>
              </w:rPr>
              <w:t xml:space="preserve">666 </w:t>
            </w:r>
          </w:p>
        </w:tc>
        <w:tc>
          <w:tcPr>
            <w:tcW w:w="666" w:type="pct"/>
            <w:tcBorders>
              <w:top w:val="single" w:sz="4" w:space="0" w:color="auto"/>
              <w:left w:val="single" w:sz="4" w:space="0" w:color="auto"/>
              <w:bottom w:val="single" w:sz="4" w:space="0" w:color="auto"/>
              <w:right w:val="single" w:sz="4" w:space="0" w:color="auto"/>
            </w:tcBorders>
          </w:tcPr>
          <w:p w14:paraId="7186A20F" w14:textId="77777777" w:rsidR="00B201D3" w:rsidRPr="006D4FBA" w:rsidRDefault="009855E8">
            <w:pPr>
              <w:jc w:val="right"/>
              <w:rPr>
                <w:rFonts w:ascii="宋体" w:hAnsi="宋体"/>
              </w:rPr>
            </w:pPr>
            <w:r w:rsidRPr="006D4FBA">
              <w:rPr>
                <w:rFonts w:ascii="宋体" w:hAnsi="宋体"/>
              </w:rPr>
              <w:t xml:space="preserve">140 </w:t>
            </w:r>
          </w:p>
        </w:tc>
        <w:tc>
          <w:tcPr>
            <w:tcW w:w="703" w:type="pct"/>
            <w:tcBorders>
              <w:top w:val="single" w:sz="4" w:space="0" w:color="auto"/>
              <w:left w:val="single" w:sz="4" w:space="0" w:color="auto"/>
              <w:bottom w:val="single" w:sz="4" w:space="0" w:color="auto"/>
              <w:right w:val="single" w:sz="4" w:space="0" w:color="auto"/>
            </w:tcBorders>
          </w:tcPr>
          <w:p w14:paraId="550416A7" w14:textId="77777777" w:rsidR="00B201D3" w:rsidRPr="006D4FBA" w:rsidRDefault="009855E8">
            <w:pPr>
              <w:jc w:val="right"/>
              <w:rPr>
                <w:rFonts w:ascii="宋体" w:hAnsi="宋体"/>
                <w:lang w:val="en-GB"/>
              </w:rPr>
            </w:pPr>
            <w:r w:rsidRPr="006D4FBA">
              <w:rPr>
                <w:rFonts w:ascii="宋体" w:hAnsi="宋体"/>
              </w:rPr>
              <w:t xml:space="preserve">20.95 </w:t>
            </w:r>
          </w:p>
        </w:tc>
      </w:tr>
      <w:tr w:rsidR="00B201D3" w:rsidRPr="006D4FBA" w14:paraId="24CBF601" w14:textId="77777777">
        <w:trPr>
          <w:trHeight w:val="88"/>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898503D" w14:textId="77777777" w:rsidR="00B201D3" w:rsidRPr="006D4FBA" w:rsidRDefault="00B201D3">
            <w:pPr>
              <w:rPr>
                <w:rFonts w:ascii="宋体" w:hAnsi="宋体"/>
                <w:lang w:val="en-GB"/>
              </w:rPr>
            </w:pPr>
          </w:p>
        </w:tc>
        <w:tc>
          <w:tcPr>
            <w:tcW w:w="844" w:type="pct"/>
            <w:tcBorders>
              <w:top w:val="single" w:sz="4" w:space="0" w:color="auto"/>
              <w:left w:val="single" w:sz="4" w:space="0" w:color="auto"/>
              <w:bottom w:val="single" w:sz="4" w:space="0" w:color="auto"/>
              <w:right w:val="single" w:sz="4" w:space="0" w:color="auto"/>
            </w:tcBorders>
            <w:vAlign w:val="center"/>
          </w:tcPr>
          <w:p w14:paraId="164B15A5" w14:textId="77777777" w:rsidR="00B201D3" w:rsidRPr="006D4FBA" w:rsidRDefault="009855E8">
            <w:pPr>
              <w:rPr>
                <w:rFonts w:ascii="宋体" w:hAnsi="宋体"/>
                <w:lang w:val="en-GB"/>
              </w:rPr>
            </w:pPr>
            <w:r w:rsidRPr="006D4FBA">
              <w:rPr>
                <w:rFonts w:ascii="宋体" w:hAnsi="宋体" w:hint="eastAsia"/>
                <w:lang w:val="en-GB"/>
              </w:rPr>
              <w:t>吨煤销售成本</w:t>
            </w:r>
          </w:p>
        </w:tc>
        <w:tc>
          <w:tcPr>
            <w:tcW w:w="481" w:type="pct"/>
            <w:tcBorders>
              <w:top w:val="single" w:sz="4" w:space="0" w:color="auto"/>
              <w:left w:val="single" w:sz="4" w:space="0" w:color="auto"/>
              <w:bottom w:val="single" w:sz="4" w:space="0" w:color="auto"/>
              <w:right w:val="single" w:sz="4" w:space="0" w:color="auto"/>
            </w:tcBorders>
            <w:vAlign w:val="center"/>
          </w:tcPr>
          <w:p w14:paraId="598A1A7B" w14:textId="77777777" w:rsidR="00B201D3" w:rsidRPr="006D4FBA" w:rsidRDefault="009855E8">
            <w:pPr>
              <w:jc w:val="center"/>
              <w:rPr>
                <w:rFonts w:ascii="宋体" w:hAnsi="宋体"/>
                <w:lang w:val="en-GB"/>
              </w:rPr>
            </w:pPr>
            <w:r w:rsidRPr="006D4FBA">
              <w:rPr>
                <w:rFonts w:ascii="宋体" w:hAnsi="宋体" w:hint="eastAsia"/>
                <w:lang w:val="en-GB"/>
              </w:rPr>
              <w:t>元/吨</w:t>
            </w:r>
          </w:p>
        </w:tc>
        <w:tc>
          <w:tcPr>
            <w:tcW w:w="727" w:type="pct"/>
            <w:tcBorders>
              <w:top w:val="single" w:sz="4" w:space="0" w:color="auto"/>
              <w:left w:val="single" w:sz="4" w:space="0" w:color="auto"/>
              <w:bottom w:val="single" w:sz="4" w:space="0" w:color="auto"/>
              <w:right w:val="single" w:sz="4" w:space="0" w:color="auto"/>
            </w:tcBorders>
            <w:vAlign w:val="center"/>
          </w:tcPr>
          <w:p w14:paraId="2226BBB9" w14:textId="77777777" w:rsidR="00B201D3" w:rsidRPr="006D4FBA" w:rsidRDefault="009855E8">
            <w:pPr>
              <w:jc w:val="right"/>
              <w:rPr>
                <w:rFonts w:ascii="宋体" w:hAnsi="宋体"/>
                <w:lang w:val="en-GB"/>
              </w:rPr>
            </w:pPr>
            <w:r w:rsidRPr="006D4FBA">
              <w:rPr>
                <w:rFonts w:ascii="宋体" w:hAnsi="宋体"/>
              </w:rPr>
              <w:t>350.23</w:t>
            </w:r>
          </w:p>
        </w:tc>
        <w:tc>
          <w:tcPr>
            <w:tcW w:w="740" w:type="pct"/>
            <w:tcBorders>
              <w:top w:val="single" w:sz="4" w:space="0" w:color="auto"/>
              <w:left w:val="single" w:sz="4" w:space="0" w:color="auto"/>
              <w:bottom w:val="single" w:sz="4" w:space="0" w:color="auto"/>
              <w:right w:val="single" w:sz="4" w:space="0" w:color="auto"/>
            </w:tcBorders>
            <w:vAlign w:val="center"/>
          </w:tcPr>
          <w:p w14:paraId="42FC7648" w14:textId="77777777" w:rsidR="00B201D3" w:rsidRPr="006D4FBA" w:rsidRDefault="009855E8">
            <w:pPr>
              <w:jc w:val="right"/>
              <w:rPr>
                <w:rFonts w:ascii="宋体" w:hAnsi="宋体"/>
              </w:rPr>
            </w:pPr>
            <w:r w:rsidRPr="006D4FBA">
              <w:rPr>
                <w:rFonts w:ascii="宋体" w:hAnsi="宋体" w:hint="eastAsia"/>
              </w:rPr>
              <w:t xml:space="preserve">601.96 </w:t>
            </w:r>
          </w:p>
        </w:tc>
        <w:tc>
          <w:tcPr>
            <w:tcW w:w="666" w:type="pct"/>
            <w:tcBorders>
              <w:top w:val="single" w:sz="4" w:space="0" w:color="auto"/>
              <w:left w:val="single" w:sz="4" w:space="0" w:color="auto"/>
              <w:bottom w:val="single" w:sz="4" w:space="0" w:color="auto"/>
              <w:right w:val="single" w:sz="4" w:space="0" w:color="auto"/>
            </w:tcBorders>
          </w:tcPr>
          <w:p w14:paraId="6A528C55" w14:textId="77777777" w:rsidR="00B201D3" w:rsidRPr="006D4FBA" w:rsidRDefault="009855E8">
            <w:pPr>
              <w:jc w:val="right"/>
              <w:rPr>
                <w:rFonts w:ascii="宋体" w:hAnsi="宋体"/>
              </w:rPr>
            </w:pPr>
            <w:r w:rsidRPr="006D4FBA">
              <w:rPr>
                <w:rFonts w:ascii="宋体" w:hAnsi="宋体"/>
              </w:rPr>
              <w:t xml:space="preserve">-251.73 </w:t>
            </w:r>
          </w:p>
        </w:tc>
        <w:tc>
          <w:tcPr>
            <w:tcW w:w="703" w:type="pct"/>
            <w:tcBorders>
              <w:top w:val="single" w:sz="4" w:space="0" w:color="auto"/>
              <w:left w:val="single" w:sz="4" w:space="0" w:color="auto"/>
              <w:bottom w:val="single" w:sz="4" w:space="0" w:color="auto"/>
              <w:right w:val="single" w:sz="4" w:space="0" w:color="auto"/>
            </w:tcBorders>
          </w:tcPr>
          <w:p w14:paraId="7BDE9375" w14:textId="77777777" w:rsidR="00B201D3" w:rsidRPr="006D4FBA" w:rsidRDefault="009855E8">
            <w:pPr>
              <w:jc w:val="right"/>
              <w:rPr>
                <w:rFonts w:ascii="宋体" w:hAnsi="宋体"/>
                <w:lang w:val="en-GB"/>
              </w:rPr>
            </w:pPr>
            <w:r w:rsidRPr="006D4FBA">
              <w:rPr>
                <w:rFonts w:ascii="宋体" w:hAnsi="宋体"/>
              </w:rPr>
              <w:t xml:space="preserve">-41.82 </w:t>
            </w:r>
          </w:p>
        </w:tc>
      </w:tr>
      <w:tr w:rsidR="00B201D3" w:rsidRPr="006D4FBA" w14:paraId="2F055133" w14:textId="77777777">
        <w:trPr>
          <w:trHeight w:val="88"/>
          <w:jc w:val="center"/>
        </w:trPr>
        <w:tc>
          <w:tcPr>
            <w:tcW w:w="839" w:type="pct"/>
            <w:vMerge w:val="restart"/>
            <w:tcBorders>
              <w:top w:val="single" w:sz="4" w:space="0" w:color="auto"/>
              <w:left w:val="single" w:sz="4" w:space="0" w:color="auto"/>
              <w:bottom w:val="single" w:sz="4" w:space="0" w:color="auto"/>
              <w:right w:val="single" w:sz="4" w:space="0" w:color="auto"/>
            </w:tcBorders>
            <w:vAlign w:val="center"/>
          </w:tcPr>
          <w:p w14:paraId="3FA939A3" w14:textId="77777777" w:rsidR="00B201D3" w:rsidRPr="006D4FBA" w:rsidRDefault="009855E8">
            <w:pPr>
              <w:rPr>
                <w:rFonts w:ascii="宋体" w:hAnsi="宋体"/>
              </w:rPr>
            </w:pPr>
            <w:r w:rsidRPr="006D4FBA">
              <w:rPr>
                <w:rFonts w:ascii="宋体" w:hAnsi="宋体" w:hint="eastAsia"/>
              </w:rPr>
              <w:t>内蒙古矿业</w:t>
            </w:r>
          </w:p>
        </w:tc>
        <w:tc>
          <w:tcPr>
            <w:tcW w:w="844" w:type="pct"/>
            <w:tcBorders>
              <w:top w:val="single" w:sz="4" w:space="0" w:color="auto"/>
              <w:left w:val="single" w:sz="4" w:space="0" w:color="auto"/>
              <w:bottom w:val="single" w:sz="4" w:space="0" w:color="auto"/>
              <w:right w:val="single" w:sz="4" w:space="0" w:color="auto"/>
            </w:tcBorders>
            <w:vAlign w:val="center"/>
          </w:tcPr>
          <w:p w14:paraId="5A1501AC" w14:textId="77777777" w:rsidR="00B201D3" w:rsidRPr="006D4FBA" w:rsidRDefault="009855E8">
            <w:pPr>
              <w:rPr>
                <w:rFonts w:ascii="宋体" w:hAnsi="宋体"/>
                <w:lang w:val="en-GB"/>
              </w:rPr>
            </w:pPr>
            <w:r w:rsidRPr="006D4FBA">
              <w:rPr>
                <w:rFonts w:ascii="宋体" w:hAnsi="宋体" w:hint="eastAsia"/>
                <w:lang w:val="en-GB"/>
              </w:rPr>
              <w:t>销售成本总额</w:t>
            </w:r>
          </w:p>
        </w:tc>
        <w:tc>
          <w:tcPr>
            <w:tcW w:w="481" w:type="pct"/>
            <w:tcBorders>
              <w:top w:val="single" w:sz="4" w:space="0" w:color="auto"/>
              <w:left w:val="single" w:sz="4" w:space="0" w:color="auto"/>
              <w:bottom w:val="single" w:sz="4" w:space="0" w:color="auto"/>
              <w:right w:val="single" w:sz="4" w:space="0" w:color="auto"/>
            </w:tcBorders>
            <w:vAlign w:val="center"/>
          </w:tcPr>
          <w:p w14:paraId="72EE0D0E" w14:textId="77777777" w:rsidR="00B201D3" w:rsidRPr="006D4FBA" w:rsidRDefault="009855E8">
            <w:pPr>
              <w:jc w:val="center"/>
              <w:rPr>
                <w:rFonts w:ascii="宋体" w:hAnsi="宋体"/>
                <w:lang w:val="en-GB"/>
              </w:rPr>
            </w:pPr>
            <w:r w:rsidRPr="006D4FBA">
              <w:rPr>
                <w:rFonts w:ascii="宋体" w:hAnsi="宋体" w:hint="eastAsia"/>
                <w:lang w:val="en-GB"/>
              </w:rPr>
              <w:t>百万元</w:t>
            </w:r>
          </w:p>
        </w:tc>
        <w:tc>
          <w:tcPr>
            <w:tcW w:w="727" w:type="pct"/>
            <w:tcBorders>
              <w:top w:val="single" w:sz="4" w:space="0" w:color="auto"/>
              <w:left w:val="single" w:sz="4" w:space="0" w:color="auto"/>
              <w:bottom w:val="single" w:sz="4" w:space="0" w:color="auto"/>
              <w:right w:val="single" w:sz="4" w:space="0" w:color="auto"/>
            </w:tcBorders>
            <w:vAlign w:val="center"/>
          </w:tcPr>
          <w:p w14:paraId="3177CFAB" w14:textId="77777777" w:rsidR="00B201D3" w:rsidRPr="006D4FBA" w:rsidRDefault="009855E8">
            <w:pPr>
              <w:jc w:val="right"/>
              <w:rPr>
                <w:rFonts w:ascii="宋体" w:hAnsi="宋体"/>
                <w:lang w:val="en-GB"/>
              </w:rPr>
            </w:pPr>
            <w:r w:rsidRPr="006D4FBA">
              <w:rPr>
                <w:rFonts w:ascii="宋体" w:hAnsi="宋体"/>
              </w:rPr>
              <w:t xml:space="preserve">761 </w:t>
            </w:r>
          </w:p>
        </w:tc>
        <w:tc>
          <w:tcPr>
            <w:tcW w:w="740" w:type="pct"/>
            <w:tcBorders>
              <w:top w:val="single" w:sz="4" w:space="0" w:color="auto"/>
              <w:left w:val="single" w:sz="4" w:space="0" w:color="auto"/>
              <w:bottom w:val="single" w:sz="4" w:space="0" w:color="auto"/>
              <w:right w:val="single" w:sz="4" w:space="0" w:color="auto"/>
            </w:tcBorders>
            <w:vAlign w:val="center"/>
          </w:tcPr>
          <w:p w14:paraId="5C669714" w14:textId="77777777" w:rsidR="00B201D3" w:rsidRPr="006D4FBA" w:rsidRDefault="009855E8">
            <w:pPr>
              <w:jc w:val="right"/>
              <w:rPr>
                <w:rFonts w:ascii="宋体" w:hAnsi="宋体"/>
                <w:lang w:val="en-GB"/>
              </w:rPr>
            </w:pPr>
            <w:r w:rsidRPr="006D4FBA">
              <w:rPr>
                <w:rFonts w:ascii="宋体" w:hAnsi="宋体" w:hint="eastAsia"/>
              </w:rPr>
              <w:t xml:space="preserve">586 </w:t>
            </w:r>
          </w:p>
        </w:tc>
        <w:tc>
          <w:tcPr>
            <w:tcW w:w="666" w:type="pct"/>
            <w:tcBorders>
              <w:top w:val="single" w:sz="4" w:space="0" w:color="auto"/>
              <w:left w:val="single" w:sz="4" w:space="0" w:color="auto"/>
              <w:bottom w:val="single" w:sz="4" w:space="0" w:color="auto"/>
              <w:right w:val="single" w:sz="4" w:space="0" w:color="auto"/>
            </w:tcBorders>
          </w:tcPr>
          <w:p w14:paraId="66BED0CD" w14:textId="77777777" w:rsidR="00B201D3" w:rsidRPr="006D4FBA" w:rsidRDefault="009855E8">
            <w:pPr>
              <w:jc w:val="right"/>
              <w:rPr>
                <w:rFonts w:ascii="宋体" w:hAnsi="宋体"/>
                <w:lang w:val="en-GB"/>
              </w:rPr>
            </w:pPr>
            <w:r w:rsidRPr="006D4FBA">
              <w:rPr>
                <w:rFonts w:ascii="宋体" w:hAnsi="宋体"/>
              </w:rPr>
              <w:t xml:space="preserve">175 </w:t>
            </w:r>
          </w:p>
        </w:tc>
        <w:tc>
          <w:tcPr>
            <w:tcW w:w="703" w:type="pct"/>
            <w:tcBorders>
              <w:top w:val="single" w:sz="4" w:space="0" w:color="auto"/>
              <w:left w:val="single" w:sz="4" w:space="0" w:color="auto"/>
              <w:bottom w:val="single" w:sz="4" w:space="0" w:color="auto"/>
              <w:right w:val="single" w:sz="4" w:space="0" w:color="auto"/>
            </w:tcBorders>
          </w:tcPr>
          <w:p w14:paraId="415D2FF3" w14:textId="77777777" w:rsidR="00B201D3" w:rsidRPr="006D4FBA" w:rsidRDefault="009855E8">
            <w:pPr>
              <w:jc w:val="right"/>
              <w:rPr>
                <w:rFonts w:ascii="宋体" w:hAnsi="宋体"/>
                <w:lang w:val="en-GB"/>
              </w:rPr>
            </w:pPr>
            <w:r w:rsidRPr="006D4FBA">
              <w:rPr>
                <w:rFonts w:ascii="宋体" w:hAnsi="宋体"/>
              </w:rPr>
              <w:t xml:space="preserve">29.90 </w:t>
            </w:r>
          </w:p>
        </w:tc>
      </w:tr>
      <w:tr w:rsidR="00B201D3" w:rsidRPr="006D4FBA" w14:paraId="79777A13" w14:textId="77777777">
        <w:trPr>
          <w:trHeight w:val="88"/>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A08D5C9" w14:textId="77777777" w:rsidR="00B201D3" w:rsidRPr="006D4FBA" w:rsidRDefault="00B201D3">
            <w:pPr>
              <w:rPr>
                <w:rFonts w:ascii="宋体" w:hAnsi="宋体"/>
              </w:rPr>
            </w:pPr>
          </w:p>
        </w:tc>
        <w:tc>
          <w:tcPr>
            <w:tcW w:w="844" w:type="pct"/>
            <w:tcBorders>
              <w:top w:val="single" w:sz="4" w:space="0" w:color="auto"/>
              <w:left w:val="single" w:sz="4" w:space="0" w:color="auto"/>
              <w:bottom w:val="single" w:sz="4" w:space="0" w:color="auto"/>
              <w:right w:val="single" w:sz="4" w:space="0" w:color="auto"/>
            </w:tcBorders>
            <w:vAlign w:val="center"/>
          </w:tcPr>
          <w:p w14:paraId="3FFE6C11" w14:textId="77777777" w:rsidR="00B201D3" w:rsidRPr="006D4FBA" w:rsidRDefault="009855E8">
            <w:pPr>
              <w:rPr>
                <w:rFonts w:ascii="宋体" w:hAnsi="宋体"/>
                <w:lang w:val="en-GB"/>
              </w:rPr>
            </w:pPr>
            <w:r w:rsidRPr="006D4FBA">
              <w:rPr>
                <w:rFonts w:ascii="宋体" w:hAnsi="宋体" w:hint="eastAsia"/>
                <w:lang w:val="en-GB"/>
              </w:rPr>
              <w:t>吨煤销售成本</w:t>
            </w:r>
          </w:p>
        </w:tc>
        <w:tc>
          <w:tcPr>
            <w:tcW w:w="481" w:type="pct"/>
            <w:tcBorders>
              <w:top w:val="single" w:sz="4" w:space="0" w:color="auto"/>
              <w:left w:val="single" w:sz="4" w:space="0" w:color="auto"/>
              <w:bottom w:val="single" w:sz="4" w:space="0" w:color="auto"/>
              <w:right w:val="single" w:sz="4" w:space="0" w:color="auto"/>
            </w:tcBorders>
            <w:vAlign w:val="center"/>
          </w:tcPr>
          <w:p w14:paraId="1E849F52" w14:textId="77777777" w:rsidR="00B201D3" w:rsidRPr="006D4FBA" w:rsidRDefault="009855E8">
            <w:pPr>
              <w:jc w:val="center"/>
              <w:rPr>
                <w:rFonts w:ascii="宋体" w:hAnsi="宋体"/>
                <w:lang w:val="en-GB"/>
              </w:rPr>
            </w:pPr>
            <w:r w:rsidRPr="006D4FBA">
              <w:rPr>
                <w:rFonts w:ascii="宋体" w:hAnsi="宋体" w:hint="eastAsia"/>
                <w:lang w:val="en-GB"/>
              </w:rPr>
              <w:t>元/吨</w:t>
            </w:r>
          </w:p>
        </w:tc>
        <w:tc>
          <w:tcPr>
            <w:tcW w:w="727" w:type="pct"/>
            <w:tcBorders>
              <w:top w:val="single" w:sz="4" w:space="0" w:color="auto"/>
              <w:left w:val="single" w:sz="4" w:space="0" w:color="auto"/>
              <w:bottom w:val="single" w:sz="4" w:space="0" w:color="auto"/>
              <w:right w:val="single" w:sz="4" w:space="0" w:color="auto"/>
            </w:tcBorders>
            <w:vAlign w:val="center"/>
          </w:tcPr>
          <w:p w14:paraId="60E0C9C7" w14:textId="77777777" w:rsidR="00B201D3" w:rsidRPr="006D4FBA" w:rsidRDefault="009855E8">
            <w:pPr>
              <w:jc w:val="right"/>
              <w:rPr>
                <w:rFonts w:ascii="宋体" w:hAnsi="宋体"/>
              </w:rPr>
            </w:pPr>
            <w:r w:rsidRPr="006D4FBA">
              <w:rPr>
                <w:rFonts w:ascii="宋体" w:hAnsi="宋体"/>
              </w:rPr>
              <w:t>492.42</w:t>
            </w:r>
          </w:p>
        </w:tc>
        <w:tc>
          <w:tcPr>
            <w:tcW w:w="740" w:type="pct"/>
            <w:tcBorders>
              <w:top w:val="single" w:sz="4" w:space="0" w:color="auto"/>
              <w:left w:val="single" w:sz="4" w:space="0" w:color="auto"/>
              <w:bottom w:val="single" w:sz="4" w:space="0" w:color="auto"/>
              <w:right w:val="single" w:sz="4" w:space="0" w:color="auto"/>
            </w:tcBorders>
            <w:vAlign w:val="center"/>
          </w:tcPr>
          <w:p w14:paraId="2AA9D1F4" w14:textId="77777777" w:rsidR="00B201D3" w:rsidRPr="006D4FBA" w:rsidRDefault="009855E8">
            <w:pPr>
              <w:jc w:val="right"/>
              <w:rPr>
                <w:rFonts w:ascii="宋体" w:hAnsi="宋体"/>
              </w:rPr>
            </w:pPr>
            <w:r w:rsidRPr="006D4FBA">
              <w:rPr>
                <w:rFonts w:ascii="宋体" w:hAnsi="宋体" w:hint="eastAsia"/>
              </w:rPr>
              <w:t xml:space="preserve">330.68 </w:t>
            </w:r>
          </w:p>
        </w:tc>
        <w:tc>
          <w:tcPr>
            <w:tcW w:w="666" w:type="pct"/>
            <w:tcBorders>
              <w:top w:val="single" w:sz="4" w:space="0" w:color="auto"/>
              <w:left w:val="single" w:sz="4" w:space="0" w:color="auto"/>
              <w:bottom w:val="single" w:sz="4" w:space="0" w:color="auto"/>
              <w:right w:val="single" w:sz="4" w:space="0" w:color="auto"/>
            </w:tcBorders>
          </w:tcPr>
          <w:p w14:paraId="4FE83E61" w14:textId="77777777" w:rsidR="00B201D3" w:rsidRPr="006D4FBA" w:rsidRDefault="009855E8">
            <w:pPr>
              <w:jc w:val="right"/>
              <w:rPr>
                <w:rFonts w:ascii="宋体" w:hAnsi="宋体"/>
              </w:rPr>
            </w:pPr>
            <w:r w:rsidRPr="006D4FBA">
              <w:rPr>
                <w:rFonts w:ascii="宋体" w:hAnsi="宋体"/>
              </w:rPr>
              <w:t xml:space="preserve">161.75 </w:t>
            </w:r>
          </w:p>
        </w:tc>
        <w:tc>
          <w:tcPr>
            <w:tcW w:w="703" w:type="pct"/>
            <w:tcBorders>
              <w:top w:val="single" w:sz="4" w:space="0" w:color="auto"/>
              <w:left w:val="single" w:sz="4" w:space="0" w:color="auto"/>
              <w:bottom w:val="single" w:sz="4" w:space="0" w:color="auto"/>
              <w:right w:val="single" w:sz="4" w:space="0" w:color="auto"/>
            </w:tcBorders>
          </w:tcPr>
          <w:p w14:paraId="1BADE6AF" w14:textId="77777777" w:rsidR="00B201D3" w:rsidRPr="006D4FBA" w:rsidRDefault="009855E8">
            <w:pPr>
              <w:jc w:val="right"/>
              <w:rPr>
                <w:rFonts w:ascii="宋体" w:hAnsi="宋体"/>
              </w:rPr>
            </w:pPr>
            <w:r w:rsidRPr="006D4FBA">
              <w:rPr>
                <w:rFonts w:ascii="宋体" w:hAnsi="宋体"/>
              </w:rPr>
              <w:t xml:space="preserve">48.91 </w:t>
            </w:r>
          </w:p>
        </w:tc>
      </w:tr>
      <w:tr w:rsidR="00B201D3" w:rsidRPr="006D4FBA" w14:paraId="034A774B" w14:textId="77777777">
        <w:trPr>
          <w:trHeight w:val="88"/>
          <w:jc w:val="center"/>
        </w:trPr>
        <w:tc>
          <w:tcPr>
            <w:tcW w:w="839" w:type="pct"/>
            <w:vMerge w:val="restart"/>
            <w:tcBorders>
              <w:top w:val="single" w:sz="4" w:space="0" w:color="auto"/>
              <w:left w:val="single" w:sz="4" w:space="0" w:color="auto"/>
              <w:bottom w:val="single" w:sz="4" w:space="0" w:color="auto"/>
              <w:right w:val="single" w:sz="4" w:space="0" w:color="auto"/>
            </w:tcBorders>
            <w:vAlign w:val="center"/>
          </w:tcPr>
          <w:p w14:paraId="77931513" w14:textId="77777777" w:rsidR="00B201D3" w:rsidRPr="006D4FBA" w:rsidRDefault="009855E8">
            <w:pPr>
              <w:rPr>
                <w:rFonts w:ascii="宋体" w:hAnsi="宋体"/>
                <w:lang w:val="en-GB"/>
              </w:rPr>
            </w:pPr>
            <w:r w:rsidRPr="006D4FBA">
              <w:rPr>
                <w:rFonts w:ascii="宋体" w:hAnsi="宋体" w:hint="eastAsia"/>
              </w:rPr>
              <w:t>兖煤澳洲</w:t>
            </w:r>
          </w:p>
        </w:tc>
        <w:tc>
          <w:tcPr>
            <w:tcW w:w="844" w:type="pct"/>
            <w:tcBorders>
              <w:top w:val="single" w:sz="4" w:space="0" w:color="auto"/>
              <w:left w:val="single" w:sz="4" w:space="0" w:color="auto"/>
              <w:bottom w:val="single" w:sz="4" w:space="0" w:color="auto"/>
              <w:right w:val="single" w:sz="4" w:space="0" w:color="auto"/>
            </w:tcBorders>
            <w:vAlign w:val="center"/>
          </w:tcPr>
          <w:p w14:paraId="609C6293" w14:textId="77777777" w:rsidR="00B201D3" w:rsidRPr="006D4FBA" w:rsidRDefault="009855E8">
            <w:pPr>
              <w:rPr>
                <w:rFonts w:ascii="宋体" w:hAnsi="宋体"/>
                <w:lang w:val="en-GB"/>
              </w:rPr>
            </w:pPr>
            <w:r w:rsidRPr="006D4FBA">
              <w:rPr>
                <w:rFonts w:ascii="宋体" w:hAnsi="宋体" w:hint="eastAsia"/>
                <w:lang w:val="en-GB"/>
              </w:rPr>
              <w:t>销售成本总额</w:t>
            </w:r>
          </w:p>
        </w:tc>
        <w:tc>
          <w:tcPr>
            <w:tcW w:w="481" w:type="pct"/>
            <w:tcBorders>
              <w:top w:val="single" w:sz="4" w:space="0" w:color="auto"/>
              <w:left w:val="single" w:sz="4" w:space="0" w:color="auto"/>
              <w:bottom w:val="single" w:sz="4" w:space="0" w:color="auto"/>
              <w:right w:val="single" w:sz="4" w:space="0" w:color="auto"/>
            </w:tcBorders>
            <w:vAlign w:val="center"/>
          </w:tcPr>
          <w:p w14:paraId="6A7E9829" w14:textId="77777777" w:rsidR="00B201D3" w:rsidRPr="006D4FBA" w:rsidRDefault="009855E8">
            <w:pPr>
              <w:jc w:val="center"/>
              <w:rPr>
                <w:rFonts w:ascii="宋体" w:hAnsi="宋体"/>
                <w:lang w:val="en-GB"/>
              </w:rPr>
            </w:pPr>
            <w:r w:rsidRPr="006D4FBA">
              <w:rPr>
                <w:rFonts w:ascii="宋体" w:hAnsi="宋体" w:hint="eastAsia"/>
                <w:lang w:val="en-GB"/>
              </w:rPr>
              <w:t>百万元</w:t>
            </w:r>
          </w:p>
        </w:tc>
        <w:tc>
          <w:tcPr>
            <w:tcW w:w="727" w:type="pct"/>
            <w:tcBorders>
              <w:top w:val="single" w:sz="4" w:space="0" w:color="auto"/>
              <w:left w:val="single" w:sz="4" w:space="0" w:color="auto"/>
              <w:bottom w:val="single" w:sz="4" w:space="0" w:color="auto"/>
              <w:right w:val="single" w:sz="4" w:space="0" w:color="auto"/>
            </w:tcBorders>
          </w:tcPr>
          <w:p w14:paraId="15A05947" w14:textId="77777777" w:rsidR="00B201D3" w:rsidRPr="006D4FBA" w:rsidRDefault="009855E8">
            <w:pPr>
              <w:jc w:val="right"/>
              <w:rPr>
                <w:rFonts w:ascii="宋体" w:hAnsi="宋体"/>
              </w:rPr>
            </w:pPr>
            <w:r w:rsidRPr="006D4FBA">
              <w:rPr>
                <w:rFonts w:ascii="宋体" w:hAnsi="宋体"/>
              </w:rPr>
              <w:t xml:space="preserve">9,378 </w:t>
            </w:r>
          </w:p>
        </w:tc>
        <w:tc>
          <w:tcPr>
            <w:tcW w:w="740" w:type="pct"/>
            <w:tcBorders>
              <w:top w:val="single" w:sz="4" w:space="0" w:color="auto"/>
              <w:left w:val="single" w:sz="4" w:space="0" w:color="auto"/>
              <w:bottom w:val="single" w:sz="4" w:space="0" w:color="auto"/>
              <w:right w:val="single" w:sz="4" w:space="0" w:color="auto"/>
            </w:tcBorders>
          </w:tcPr>
          <w:p w14:paraId="438DC059" w14:textId="77777777" w:rsidR="00B201D3" w:rsidRPr="006D4FBA" w:rsidRDefault="009855E8">
            <w:pPr>
              <w:jc w:val="right"/>
              <w:rPr>
                <w:rFonts w:ascii="宋体" w:hAnsi="宋体"/>
              </w:rPr>
            </w:pPr>
            <w:r w:rsidRPr="006D4FBA">
              <w:rPr>
                <w:rFonts w:ascii="宋体" w:hAnsi="宋体"/>
              </w:rPr>
              <w:t xml:space="preserve">7,691 </w:t>
            </w:r>
          </w:p>
        </w:tc>
        <w:tc>
          <w:tcPr>
            <w:tcW w:w="666" w:type="pct"/>
            <w:tcBorders>
              <w:top w:val="single" w:sz="4" w:space="0" w:color="auto"/>
              <w:left w:val="single" w:sz="4" w:space="0" w:color="auto"/>
              <w:bottom w:val="single" w:sz="4" w:space="0" w:color="auto"/>
              <w:right w:val="single" w:sz="4" w:space="0" w:color="auto"/>
            </w:tcBorders>
          </w:tcPr>
          <w:p w14:paraId="30190215" w14:textId="77777777" w:rsidR="00B201D3" w:rsidRPr="006D4FBA" w:rsidRDefault="009855E8">
            <w:pPr>
              <w:jc w:val="right"/>
              <w:rPr>
                <w:rFonts w:ascii="宋体" w:hAnsi="宋体"/>
              </w:rPr>
            </w:pPr>
            <w:r w:rsidRPr="006D4FBA">
              <w:rPr>
                <w:rFonts w:ascii="宋体" w:hAnsi="宋体"/>
              </w:rPr>
              <w:t xml:space="preserve">1,687 </w:t>
            </w:r>
          </w:p>
        </w:tc>
        <w:tc>
          <w:tcPr>
            <w:tcW w:w="703" w:type="pct"/>
            <w:tcBorders>
              <w:top w:val="single" w:sz="4" w:space="0" w:color="auto"/>
              <w:left w:val="single" w:sz="4" w:space="0" w:color="auto"/>
              <w:bottom w:val="single" w:sz="4" w:space="0" w:color="auto"/>
              <w:right w:val="single" w:sz="4" w:space="0" w:color="auto"/>
            </w:tcBorders>
          </w:tcPr>
          <w:p w14:paraId="4A719ABF" w14:textId="77777777" w:rsidR="00B201D3" w:rsidRPr="006D4FBA" w:rsidRDefault="009855E8">
            <w:pPr>
              <w:jc w:val="right"/>
              <w:rPr>
                <w:rFonts w:ascii="宋体" w:hAnsi="宋体"/>
              </w:rPr>
            </w:pPr>
            <w:r w:rsidRPr="006D4FBA">
              <w:rPr>
                <w:rFonts w:ascii="宋体" w:hAnsi="宋体"/>
              </w:rPr>
              <w:t xml:space="preserve">21.93 </w:t>
            </w:r>
          </w:p>
        </w:tc>
      </w:tr>
      <w:tr w:rsidR="00B201D3" w:rsidRPr="006D4FBA" w14:paraId="3C8CC580" w14:textId="77777777">
        <w:trPr>
          <w:trHeight w:val="88"/>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ACF2CEB" w14:textId="77777777" w:rsidR="00B201D3" w:rsidRPr="006D4FBA" w:rsidRDefault="00B201D3">
            <w:pPr>
              <w:rPr>
                <w:rFonts w:ascii="宋体" w:hAnsi="宋体"/>
                <w:lang w:val="en-GB"/>
              </w:rPr>
            </w:pPr>
          </w:p>
        </w:tc>
        <w:tc>
          <w:tcPr>
            <w:tcW w:w="844" w:type="pct"/>
            <w:tcBorders>
              <w:top w:val="single" w:sz="4" w:space="0" w:color="auto"/>
              <w:left w:val="single" w:sz="4" w:space="0" w:color="auto"/>
              <w:bottom w:val="single" w:sz="4" w:space="0" w:color="auto"/>
              <w:right w:val="single" w:sz="4" w:space="0" w:color="auto"/>
            </w:tcBorders>
            <w:vAlign w:val="center"/>
          </w:tcPr>
          <w:p w14:paraId="58FB27D0" w14:textId="77777777" w:rsidR="00B201D3" w:rsidRPr="006D4FBA" w:rsidRDefault="009855E8">
            <w:pPr>
              <w:rPr>
                <w:rFonts w:ascii="宋体" w:hAnsi="宋体"/>
                <w:lang w:val="en-GB"/>
              </w:rPr>
            </w:pPr>
            <w:r w:rsidRPr="006D4FBA">
              <w:rPr>
                <w:rFonts w:ascii="宋体" w:hAnsi="宋体" w:hint="eastAsia"/>
                <w:lang w:val="en-GB"/>
              </w:rPr>
              <w:t>吨煤销售成本</w:t>
            </w:r>
          </w:p>
        </w:tc>
        <w:tc>
          <w:tcPr>
            <w:tcW w:w="481" w:type="pct"/>
            <w:tcBorders>
              <w:top w:val="single" w:sz="4" w:space="0" w:color="auto"/>
              <w:left w:val="single" w:sz="4" w:space="0" w:color="auto"/>
              <w:bottom w:val="single" w:sz="4" w:space="0" w:color="auto"/>
              <w:right w:val="single" w:sz="4" w:space="0" w:color="auto"/>
            </w:tcBorders>
            <w:vAlign w:val="center"/>
          </w:tcPr>
          <w:p w14:paraId="36332B62" w14:textId="77777777" w:rsidR="00B201D3" w:rsidRPr="006D4FBA" w:rsidRDefault="009855E8">
            <w:pPr>
              <w:jc w:val="center"/>
              <w:rPr>
                <w:rFonts w:ascii="宋体" w:hAnsi="宋体"/>
                <w:lang w:val="en-GB"/>
              </w:rPr>
            </w:pPr>
            <w:r w:rsidRPr="006D4FBA">
              <w:rPr>
                <w:rFonts w:ascii="宋体" w:hAnsi="宋体" w:hint="eastAsia"/>
                <w:lang w:val="en-GB"/>
              </w:rPr>
              <w:t>元/吨</w:t>
            </w:r>
          </w:p>
        </w:tc>
        <w:tc>
          <w:tcPr>
            <w:tcW w:w="727" w:type="pct"/>
            <w:tcBorders>
              <w:top w:val="single" w:sz="4" w:space="0" w:color="auto"/>
              <w:left w:val="single" w:sz="4" w:space="0" w:color="auto"/>
              <w:bottom w:val="single" w:sz="4" w:space="0" w:color="auto"/>
              <w:right w:val="single" w:sz="4" w:space="0" w:color="auto"/>
            </w:tcBorders>
          </w:tcPr>
          <w:p w14:paraId="641419C1" w14:textId="77777777" w:rsidR="00B201D3" w:rsidRPr="006D4FBA" w:rsidRDefault="009855E8">
            <w:pPr>
              <w:jc w:val="right"/>
              <w:rPr>
                <w:rFonts w:ascii="宋体" w:hAnsi="宋体"/>
              </w:rPr>
            </w:pPr>
            <w:r w:rsidRPr="006D4FBA">
              <w:rPr>
                <w:rFonts w:ascii="宋体" w:hAnsi="宋体"/>
              </w:rPr>
              <w:t>652.40</w:t>
            </w:r>
          </w:p>
        </w:tc>
        <w:tc>
          <w:tcPr>
            <w:tcW w:w="740" w:type="pct"/>
            <w:tcBorders>
              <w:top w:val="single" w:sz="4" w:space="0" w:color="auto"/>
              <w:left w:val="single" w:sz="4" w:space="0" w:color="auto"/>
              <w:bottom w:val="single" w:sz="4" w:space="0" w:color="auto"/>
              <w:right w:val="single" w:sz="4" w:space="0" w:color="auto"/>
            </w:tcBorders>
          </w:tcPr>
          <w:p w14:paraId="722CE211" w14:textId="77777777" w:rsidR="00B201D3" w:rsidRPr="006D4FBA" w:rsidRDefault="009855E8">
            <w:pPr>
              <w:jc w:val="right"/>
              <w:rPr>
                <w:rFonts w:ascii="宋体" w:hAnsi="宋体"/>
              </w:rPr>
            </w:pPr>
            <w:r w:rsidRPr="006D4FBA">
              <w:rPr>
                <w:rFonts w:ascii="宋体" w:hAnsi="宋体"/>
              </w:rPr>
              <w:t xml:space="preserve">491.38 </w:t>
            </w:r>
          </w:p>
        </w:tc>
        <w:tc>
          <w:tcPr>
            <w:tcW w:w="666" w:type="pct"/>
            <w:tcBorders>
              <w:top w:val="single" w:sz="4" w:space="0" w:color="auto"/>
              <w:left w:val="single" w:sz="4" w:space="0" w:color="auto"/>
              <w:bottom w:val="single" w:sz="4" w:space="0" w:color="auto"/>
              <w:right w:val="single" w:sz="4" w:space="0" w:color="auto"/>
            </w:tcBorders>
          </w:tcPr>
          <w:p w14:paraId="3EE9A807" w14:textId="77777777" w:rsidR="00B201D3" w:rsidRPr="006D4FBA" w:rsidRDefault="009855E8">
            <w:pPr>
              <w:jc w:val="right"/>
              <w:rPr>
                <w:rFonts w:ascii="宋体" w:hAnsi="宋体"/>
              </w:rPr>
            </w:pPr>
            <w:r w:rsidRPr="006D4FBA">
              <w:rPr>
                <w:rFonts w:ascii="宋体" w:hAnsi="宋体"/>
              </w:rPr>
              <w:t xml:space="preserve">161.02 </w:t>
            </w:r>
          </w:p>
        </w:tc>
        <w:tc>
          <w:tcPr>
            <w:tcW w:w="703" w:type="pct"/>
            <w:tcBorders>
              <w:top w:val="single" w:sz="4" w:space="0" w:color="auto"/>
              <w:left w:val="single" w:sz="4" w:space="0" w:color="auto"/>
              <w:bottom w:val="single" w:sz="4" w:space="0" w:color="auto"/>
              <w:right w:val="single" w:sz="4" w:space="0" w:color="auto"/>
            </w:tcBorders>
          </w:tcPr>
          <w:p w14:paraId="24DFE624" w14:textId="77777777" w:rsidR="00B201D3" w:rsidRPr="006D4FBA" w:rsidRDefault="009855E8">
            <w:pPr>
              <w:jc w:val="right"/>
              <w:rPr>
                <w:rFonts w:ascii="宋体" w:hAnsi="宋体"/>
              </w:rPr>
            </w:pPr>
            <w:r w:rsidRPr="006D4FBA">
              <w:rPr>
                <w:rFonts w:ascii="宋体" w:hAnsi="宋体"/>
              </w:rPr>
              <w:t xml:space="preserve">32.77 </w:t>
            </w:r>
          </w:p>
        </w:tc>
      </w:tr>
      <w:tr w:rsidR="00B201D3" w:rsidRPr="006D4FBA" w14:paraId="2710940C" w14:textId="77777777">
        <w:trPr>
          <w:trHeight w:val="88"/>
          <w:jc w:val="center"/>
        </w:trPr>
        <w:tc>
          <w:tcPr>
            <w:tcW w:w="839" w:type="pct"/>
            <w:vMerge w:val="restart"/>
            <w:tcBorders>
              <w:top w:val="single" w:sz="4" w:space="0" w:color="auto"/>
              <w:left w:val="single" w:sz="4" w:space="0" w:color="auto"/>
              <w:bottom w:val="single" w:sz="4" w:space="0" w:color="auto"/>
              <w:right w:val="single" w:sz="4" w:space="0" w:color="auto"/>
            </w:tcBorders>
            <w:vAlign w:val="center"/>
          </w:tcPr>
          <w:p w14:paraId="7F8191D8" w14:textId="77777777" w:rsidR="00B201D3" w:rsidRPr="006D4FBA" w:rsidRDefault="009855E8">
            <w:pPr>
              <w:rPr>
                <w:rFonts w:ascii="宋体" w:hAnsi="宋体"/>
                <w:lang w:val="en-GB"/>
              </w:rPr>
            </w:pPr>
            <w:r w:rsidRPr="006D4FBA">
              <w:rPr>
                <w:rFonts w:ascii="宋体" w:hAnsi="宋体" w:hint="eastAsia"/>
              </w:rPr>
              <w:t>兖煤国际</w:t>
            </w:r>
          </w:p>
        </w:tc>
        <w:tc>
          <w:tcPr>
            <w:tcW w:w="844" w:type="pct"/>
            <w:tcBorders>
              <w:top w:val="single" w:sz="4" w:space="0" w:color="auto"/>
              <w:left w:val="single" w:sz="4" w:space="0" w:color="auto"/>
              <w:bottom w:val="single" w:sz="4" w:space="0" w:color="auto"/>
              <w:right w:val="single" w:sz="4" w:space="0" w:color="auto"/>
            </w:tcBorders>
            <w:vAlign w:val="center"/>
          </w:tcPr>
          <w:p w14:paraId="28C4FD36" w14:textId="77777777" w:rsidR="00B201D3" w:rsidRPr="006D4FBA" w:rsidRDefault="009855E8">
            <w:pPr>
              <w:rPr>
                <w:rFonts w:ascii="宋体" w:hAnsi="宋体"/>
                <w:lang w:val="en-GB"/>
              </w:rPr>
            </w:pPr>
            <w:r w:rsidRPr="006D4FBA">
              <w:rPr>
                <w:rFonts w:ascii="宋体" w:hAnsi="宋体" w:hint="eastAsia"/>
                <w:lang w:val="en-GB"/>
              </w:rPr>
              <w:t>销售成本总额</w:t>
            </w:r>
          </w:p>
        </w:tc>
        <w:tc>
          <w:tcPr>
            <w:tcW w:w="481" w:type="pct"/>
            <w:tcBorders>
              <w:top w:val="single" w:sz="4" w:space="0" w:color="auto"/>
              <w:left w:val="single" w:sz="4" w:space="0" w:color="auto"/>
              <w:bottom w:val="single" w:sz="4" w:space="0" w:color="auto"/>
              <w:right w:val="single" w:sz="4" w:space="0" w:color="auto"/>
            </w:tcBorders>
            <w:vAlign w:val="center"/>
          </w:tcPr>
          <w:p w14:paraId="2832D045" w14:textId="77777777" w:rsidR="00B201D3" w:rsidRPr="006D4FBA" w:rsidRDefault="009855E8">
            <w:pPr>
              <w:jc w:val="center"/>
              <w:rPr>
                <w:rFonts w:ascii="宋体" w:hAnsi="宋体"/>
                <w:lang w:val="en-GB"/>
              </w:rPr>
            </w:pPr>
            <w:r w:rsidRPr="006D4FBA">
              <w:rPr>
                <w:rFonts w:ascii="宋体" w:hAnsi="宋体" w:hint="eastAsia"/>
                <w:lang w:val="en-GB"/>
              </w:rPr>
              <w:t>百万元</w:t>
            </w:r>
          </w:p>
        </w:tc>
        <w:tc>
          <w:tcPr>
            <w:tcW w:w="727" w:type="pct"/>
            <w:tcBorders>
              <w:top w:val="single" w:sz="4" w:space="0" w:color="auto"/>
              <w:left w:val="single" w:sz="4" w:space="0" w:color="auto"/>
              <w:bottom w:val="single" w:sz="4" w:space="0" w:color="auto"/>
              <w:right w:val="single" w:sz="4" w:space="0" w:color="auto"/>
            </w:tcBorders>
            <w:vAlign w:val="center"/>
          </w:tcPr>
          <w:p w14:paraId="406C9DC4" w14:textId="77777777" w:rsidR="00B201D3" w:rsidRPr="006D4FBA" w:rsidRDefault="009855E8">
            <w:pPr>
              <w:jc w:val="right"/>
              <w:rPr>
                <w:rFonts w:ascii="宋体" w:hAnsi="宋体"/>
              </w:rPr>
            </w:pPr>
            <w:r w:rsidRPr="006D4FBA">
              <w:rPr>
                <w:rFonts w:ascii="宋体" w:hAnsi="宋体"/>
              </w:rPr>
              <w:t xml:space="preserve">1,223 </w:t>
            </w:r>
          </w:p>
        </w:tc>
        <w:tc>
          <w:tcPr>
            <w:tcW w:w="740" w:type="pct"/>
            <w:tcBorders>
              <w:top w:val="single" w:sz="4" w:space="0" w:color="auto"/>
              <w:left w:val="single" w:sz="4" w:space="0" w:color="auto"/>
              <w:bottom w:val="single" w:sz="4" w:space="0" w:color="auto"/>
              <w:right w:val="single" w:sz="4" w:space="0" w:color="auto"/>
            </w:tcBorders>
            <w:vAlign w:val="center"/>
          </w:tcPr>
          <w:p w14:paraId="21ED329C" w14:textId="77777777" w:rsidR="00B201D3" w:rsidRPr="006D4FBA" w:rsidRDefault="009855E8">
            <w:pPr>
              <w:jc w:val="right"/>
              <w:rPr>
                <w:rFonts w:ascii="宋体" w:hAnsi="宋体"/>
              </w:rPr>
            </w:pPr>
            <w:r w:rsidRPr="006D4FBA">
              <w:rPr>
                <w:rFonts w:ascii="宋体" w:hAnsi="宋体" w:hint="eastAsia"/>
              </w:rPr>
              <w:t xml:space="preserve">1,046 </w:t>
            </w:r>
          </w:p>
        </w:tc>
        <w:tc>
          <w:tcPr>
            <w:tcW w:w="666" w:type="pct"/>
            <w:tcBorders>
              <w:top w:val="single" w:sz="4" w:space="0" w:color="auto"/>
              <w:left w:val="single" w:sz="4" w:space="0" w:color="auto"/>
              <w:bottom w:val="single" w:sz="4" w:space="0" w:color="auto"/>
              <w:right w:val="single" w:sz="4" w:space="0" w:color="auto"/>
            </w:tcBorders>
          </w:tcPr>
          <w:p w14:paraId="23BB4C50" w14:textId="77777777" w:rsidR="00B201D3" w:rsidRPr="006D4FBA" w:rsidRDefault="009855E8">
            <w:pPr>
              <w:jc w:val="right"/>
              <w:rPr>
                <w:rFonts w:ascii="宋体" w:hAnsi="宋体"/>
              </w:rPr>
            </w:pPr>
            <w:r w:rsidRPr="006D4FBA">
              <w:rPr>
                <w:rFonts w:ascii="宋体" w:hAnsi="宋体"/>
              </w:rPr>
              <w:t xml:space="preserve">177 </w:t>
            </w:r>
          </w:p>
        </w:tc>
        <w:tc>
          <w:tcPr>
            <w:tcW w:w="703" w:type="pct"/>
            <w:tcBorders>
              <w:top w:val="single" w:sz="4" w:space="0" w:color="auto"/>
              <w:left w:val="single" w:sz="4" w:space="0" w:color="auto"/>
              <w:bottom w:val="single" w:sz="4" w:space="0" w:color="auto"/>
              <w:right w:val="single" w:sz="4" w:space="0" w:color="auto"/>
            </w:tcBorders>
          </w:tcPr>
          <w:p w14:paraId="636B5108" w14:textId="77777777" w:rsidR="00B201D3" w:rsidRPr="006D4FBA" w:rsidRDefault="009855E8">
            <w:pPr>
              <w:jc w:val="right"/>
              <w:rPr>
                <w:rFonts w:ascii="宋体" w:hAnsi="宋体"/>
              </w:rPr>
            </w:pPr>
            <w:r w:rsidRPr="006D4FBA">
              <w:rPr>
                <w:rFonts w:ascii="宋体" w:hAnsi="宋体"/>
              </w:rPr>
              <w:t xml:space="preserve">16.95 </w:t>
            </w:r>
          </w:p>
        </w:tc>
      </w:tr>
      <w:tr w:rsidR="00B201D3" w:rsidRPr="006D4FBA" w14:paraId="488767F4" w14:textId="77777777">
        <w:trPr>
          <w:trHeight w:val="88"/>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20C58AA" w14:textId="77777777" w:rsidR="00B201D3" w:rsidRPr="006D4FBA" w:rsidRDefault="00B201D3">
            <w:pPr>
              <w:rPr>
                <w:rFonts w:ascii="宋体" w:hAnsi="宋体"/>
                <w:lang w:val="en-GB"/>
              </w:rPr>
            </w:pPr>
          </w:p>
        </w:tc>
        <w:tc>
          <w:tcPr>
            <w:tcW w:w="844" w:type="pct"/>
            <w:tcBorders>
              <w:top w:val="single" w:sz="4" w:space="0" w:color="auto"/>
              <w:left w:val="single" w:sz="4" w:space="0" w:color="auto"/>
              <w:bottom w:val="single" w:sz="4" w:space="0" w:color="auto"/>
              <w:right w:val="single" w:sz="4" w:space="0" w:color="auto"/>
            </w:tcBorders>
            <w:vAlign w:val="center"/>
          </w:tcPr>
          <w:p w14:paraId="6EB25675" w14:textId="77777777" w:rsidR="00B201D3" w:rsidRPr="006D4FBA" w:rsidRDefault="009855E8">
            <w:pPr>
              <w:rPr>
                <w:rFonts w:ascii="宋体" w:hAnsi="宋体"/>
                <w:lang w:val="en-GB"/>
              </w:rPr>
            </w:pPr>
            <w:r w:rsidRPr="006D4FBA">
              <w:rPr>
                <w:rFonts w:ascii="宋体" w:hAnsi="宋体" w:hint="eastAsia"/>
                <w:lang w:val="en-GB"/>
              </w:rPr>
              <w:t>吨煤销售成本</w:t>
            </w:r>
          </w:p>
        </w:tc>
        <w:tc>
          <w:tcPr>
            <w:tcW w:w="481" w:type="pct"/>
            <w:tcBorders>
              <w:top w:val="single" w:sz="4" w:space="0" w:color="auto"/>
              <w:left w:val="single" w:sz="4" w:space="0" w:color="auto"/>
              <w:bottom w:val="single" w:sz="4" w:space="0" w:color="auto"/>
              <w:right w:val="single" w:sz="4" w:space="0" w:color="auto"/>
            </w:tcBorders>
            <w:vAlign w:val="center"/>
          </w:tcPr>
          <w:p w14:paraId="4AABCB80" w14:textId="77777777" w:rsidR="00B201D3" w:rsidRPr="006D4FBA" w:rsidRDefault="009855E8">
            <w:pPr>
              <w:jc w:val="center"/>
              <w:rPr>
                <w:rFonts w:ascii="宋体" w:hAnsi="宋体"/>
                <w:lang w:val="en-GB"/>
              </w:rPr>
            </w:pPr>
            <w:r w:rsidRPr="006D4FBA">
              <w:rPr>
                <w:rFonts w:ascii="宋体" w:hAnsi="宋体" w:hint="eastAsia"/>
                <w:lang w:val="en-GB"/>
              </w:rPr>
              <w:t>元/吨</w:t>
            </w:r>
          </w:p>
        </w:tc>
        <w:tc>
          <w:tcPr>
            <w:tcW w:w="727" w:type="pct"/>
            <w:tcBorders>
              <w:top w:val="single" w:sz="4" w:space="0" w:color="auto"/>
              <w:left w:val="single" w:sz="4" w:space="0" w:color="auto"/>
              <w:bottom w:val="single" w:sz="4" w:space="0" w:color="auto"/>
              <w:right w:val="single" w:sz="4" w:space="0" w:color="auto"/>
            </w:tcBorders>
            <w:vAlign w:val="center"/>
          </w:tcPr>
          <w:p w14:paraId="3BAAD739" w14:textId="77777777" w:rsidR="00B201D3" w:rsidRPr="006D4FBA" w:rsidRDefault="009855E8">
            <w:pPr>
              <w:jc w:val="right"/>
              <w:rPr>
                <w:rFonts w:ascii="宋体" w:hAnsi="宋体"/>
              </w:rPr>
            </w:pPr>
            <w:r w:rsidRPr="006D4FBA">
              <w:rPr>
                <w:rFonts w:ascii="宋体" w:hAnsi="宋体"/>
              </w:rPr>
              <w:t>485.90</w:t>
            </w:r>
          </w:p>
        </w:tc>
        <w:tc>
          <w:tcPr>
            <w:tcW w:w="740" w:type="pct"/>
            <w:tcBorders>
              <w:top w:val="single" w:sz="4" w:space="0" w:color="auto"/>
              <w:left w:val="single" w:sz="4" w:space="0" w:color="auto"/>
              <w:bottom w:val="single" w:sz="4" w:space="0" w:color="auto"/>
              <w:right w:val="single" w:sz="4" w:space="0" w:color="auto"/>
            </w:tcBorders>
            <w:vAlign w:val="center"/>
          </w:tcPr>
          <w:p w14:paraId="240F8ADD" w14:textId="77777777" w:rsidR="00B201D3" w:rsidRPr="006D4FBA" w:rsidRDefault="009855E8">
            <w:pPr>
              <w:jc w:val="right"/>
              <w:rPr>
                <w:rFonts w:ascii="宋体" w:hAnsi="宋体"/>
              </w:rPr>
            </w:pPr>
            <w:r w:rsidRPr="006D4FBA">
              <w:rPr>
                <w:rFonts w:ascii="宋体" w:hAnsi="宋体" w:hint="eastAsia"/>
              </w:rPr>
              <w:t xml:space="preserve">416.15 </w:t>
            </w:r>
          </w:p>
        </w:tc>
        <w:tc>
          <w:tcPr>
            <w:tcW w:w="666" w:type="pct"/>
            <w:tcBorders>
              <w:top w:val="single" w:sz="4" w:space="0" w:color="auto"/>
              <w:left w:val="single" w:sz="4" w:space="0" w:color="auto"/>
              <w:bottom w:val="single" w:sz="4" w:space="0" w:color="auto"/>
              <w:right w:val="single" w:sz="4" w:space="0" w:color="auto"/>
            </w:tcBorders>
          </w:tcPr>
          <w:p w14:paraId="034EFC02" w14:textId="77777777" w:rsidR="00B201D3" w:rsidRPr="006D4FBA" w:rsidRDefault="009855E8">
            <w:pPr>
              <w:jc w:val="right"/>
              <w:rPr>
                <w:rFonts w:ascii="宋体" w:hAnsi="宋体"/>
              </w:rPr>
            </w:pPr>
            <w:r w:rsidRPr="006D4FBA">
              <w:rPr>
                <w:rFonts w:ascii="宋体" w:hAnsi="宋体"/>
              </w:rPr>
              <w:t xml:space="preserve">69.75 </w:t>
            </w:r>
          </w:p>
        </w:tc>
        <w:tc>
          <w:tcPr>
            <w:tcW w:w="703" w:type="pct"/>
            <w:tcBorders>
              <w:top w:val="single" w:sz="4" w:space="0" w:color="auto"/>
              <w:left w:val="single" w:sz="4" w:space="0" w:color="auto"/>
              <w:bottom w:val="single" w:sz="4" w:space="0" w:color="auto"/>
              <w:right w:val="single" w:sz="4" w:space="0" w:color="auto"/>
            </w:tcBorders>
          </w:tcPr>
          <w:p w14:paraId="0826834A" w14:textId="77777777" w:rsidR="00B201D3" w:rsidRPr="006D4FBA" w:rsidRDefault="009855E8">
            <w:pPr>
              <w:jc w:val="right"/>
              <w:rPr>
                <w:rFonts w:ascii="宋体" w:hAnsi="宋体"/>
              </w:rPr>
            </w:pPr>
            <w:r w:rsidRPr="006D4FBA">
              <w:rPr>
                <w:rFonts w:ascii="宋体" w:hAnsi="宋体"/>
              </w:rPr>
              <w:t xml:space="preserve">16.76 </w:t>
            </w:r>
          </w:p>
        </w:tc>
      </w:tr>
      <w:tr w:rsidR="00B201D3" w:rsidRPr="006D4FBA" w14:paraId="3E823F4A" w14:textId="77777777">
        <w:trPr>
          <w:trHeight w:val="70"/>
          <w:jc w:val="center"/>
        </w:trPr>
        <w:tc>
          <w:tcPr>
            <w:tcW w:w="839" w:type="pct"/>
            <w:vMerge w:val="restart"/>
            <w:tcBorders>
              <w:top w:val="single" w:sz="4" w:space="0" w:color="auto"/>
              <w:left w:val="single" w:sz="4" w:space="0" w:color="auto"/>
              <w:bottom w:val="single" w:sz="4" w:space="0" w:color="auto"/>
              <w:right w:val="single" w:sz="4" w:space="0" w:color="auto"/>
            </w:tcBorders>
            <w:vAlign w:val="center"/>
          </w:tcPr>
          <w:p w14:paraId="0DABE3B6" w14:textId="77777777" w:rsidR="00B201D3" w:rsidRPr="006D4FBA" w:rsidRDefault="009855E8">
            <w:pPr>
              <w:rPr>
                <w:rFonts w:ascii="宋体" w:hAnsi="宋体"/>
                <w:lang w:val="en-GB"/>
              </w:rPr>
            </w:pPr>
            <w:r w:rsidRPr="006D4FBA">
              <w:rPr>
                <w:rFonts w:ascii="宋体" w:hAnsi="宋体" w:hint="eastAsia"/>
              </w:rPr>
              <w:t>贸易煤</w:t>
            </w:r>
          </w:p>
        </w:tc>
        <w:tc>
          <w:tcPr>
            <w:tcW w:w="844" w:type="pct"/>
            <w:tcBorders>
              <w:top w:val="single" w:sz="4" w:space="0" w:color="auto"/>
              <w:left w:val="single" w:sz="4" w:space="0" w:color="auto"/>
              <w:bottom w:val="single" w:sz="4" w:space="0" w:color="auto"/>
              <w:right w:val="single" w:sz="4" w:space="0" w:color="auto"/>
            </w:tcBorders>
            <w:vAlign w:val="center"/>
          </w:tcPr>
          <w:p w14:paraId="164B6CC6" w14:textId="77777777" w:rsidR="00B201D3" w:rsidRPr="006D4FBA" w:rsidRDefault="009855E8">
            <w:pPr>
              <w:rPr>
                <w:rFonts w:ascii="宋体" w:hAnsi="宋体"/>
                <w:lang w:val="en-GB"/>
              </w:rPr>
            </w:pPr>
            <w:r w:rsidRPr="006D4FBA">
              <w:rPr>
                <w:rFonts w:ascii="宋体" w:hAnsi="宋体" w:hint="eastAsia"/>
              </w:rPr>
              <w:t>销售成本总额</w:t>
            </w:r>
          </w:p>
        </w:tc>
        <w:tc>
          <w:tcPr>
            <w:tcW w:w="481" w:type="pct"/>
            <w:tcBorders>
              <w:top w:val="single" w:sz="4" w:space="0" w:color="auto"/>
              <w:left w:val="single" w:sz="4" w:space="0" w:color="auto"/>
              <w:bottom w:val="single" w:sz="4" w:space="0" w:color="auto"/>
              <w:right w:val="single" w:sz="4" w:space="0" w:color="auto"/>
            </w:tcBorders>
            <w:vAlign w:val="center"/>
          </w:tcPr>
          <w:p w14:paraId="6698AF7C" w14:textId="77777777" w:rsidR="00B201D3" w:rsidRPr="006D4FBA" w:rsidRDefault="009855E8">
            <w:pPr>
              <w:jc w:val="center"/>
              <w:rPr>
                <w:rFonts w:ascii="宋体" w:hAnsi="宋体"/>
                <w:lang w:val="en-GB"/>
              </w:rPr>
            </w:pPr>
            <w:r w:rsidRPr="006D4FBA">
              <w:rPr>
                <w:rFonts w:ascii="宋体" w:hAnsi="宋体" w:hint="eastAsia"/>
              </w:rPr>
              <w:t>百万元</w:t>
            </w:r>
          </w:p>
        </w:tc>
        <w:tc>
          <w:tcPr>
            <w:tcW w:w="727" w:type="pct"/>
            <w:tcBorders>
              <w:top w:val="single" w:sz="4" w:space="0" w:color="auto"/>
              <w:left w:val="single" w:sz="4" w:space="0" w:color="auto"/>
              <w:bottom w:val="single" w:sz="4" w:space="0" w:color="auto"/>
              <w:right w:val="single" w:sz="4" w:space="0" w:color="auto"/>
            </w:tcBorders>
          </w:tcPr>
          <w:p w14:paraId="0A9113CC" w14:textId="77777777" w:rsidR="00B201D3" w:rsidRPr="006D4FBA" w:rsidRDefault="009855E8">
            <w:pPr>
              <w:jc w:val="right"/>
              <w:rPr>
                <w:rFonts w:ascii="宋体" w:hAnsi="宋体"/>
              </w:rPr>
            </w:pPr>
            <w:r w:rsidRPr="006D4FBA">
              <w:rPr>
                <w:rFonts w:ascii="宋体" w:hAnsi="宋体"/>
              </w:rPr>
              <w:t xml:space="preserve">9,914 </w:t>
            </w:r>
          </w:p>
        </w:tc>
        <w:tc>
          <w:tcPr>
            <w:tcW w:w="740" w:type="pct"/>
            <w:tcBorders>
              <w:top w:val="single" w:sz="4" w:space="0" w:color="auto"/>
              <w:left w:val="single" w:sz="4" w:space="0" w:color="auto"/>
              <w:bottom w:val="single" w:sz="4" w:space="0" w:color="auto"/>
              <w:right w:val="single" w:sz="4" w:space="0" w:color="auto"/>
            </w:tcBorders>
            <w:vAlign w:val="center"/>
          </w:tcPr>
          <w:p w14:paraId="7AB13439" w14:textId="77777777" w:rsidR="00B201D3" w:rsidRPr="006D4FBA" w:rsidRDefault="009855E8">
            <w:pPr>
              <w:jc w:val="right"/>
              <w:rPr>
                <w:rFonts w:ascii="宋体" w:hAnsi="宋体"/>
              </w:rPr>
            </w:pPr>
            <w:r w:rsidRPr="006D4FBA">
              <w:rPr>
                <w:rFonts w:ascii="宋体" w:hAnsi="宋体" w:hint="eastAsia"/>
              </w:rPr>
              <w:t xml:space="preserve">10,112 </w:t>
            </w:r>
          </w:p>
        </w:tc>
        <w:tc>
          <w:tcPr>
            <w:tcW w:w="666" w:type="pct"/>
            <w:tcBorders>
              <w:top w:val="single" w:sz="4" w:space="0" w:color="auto"/>
              <w:left w:val="single" w:sz="4" w:space="0" w:color="auto"/>
              <w:bottom w:val="single" w:sz="4" w:space="0" w:color="auto"/>
              <w:right w:val="single" w:sz="4" w:space="0" w:color="auto"/>
            </w:tcBorders>
          </w:tcPr>
          <w:p w14:paraId="7B2D7AF8" w14:textId="77777777" w:rsidR="00B201D3" w:rsidRPr="006D4FBA" w:rsidRDefault="009855E8">
            <w:pPr>
              <w:jc w:val="right"/>
              <w:rPr>
                <w:rFonts w:ascii="宋体" w:hAnsi="宋体"/>
              </w:rPr>
            </w:pPr>
            <w:r w:rsidRPr="006D4FBA">
              <w:rPr>
                <w:rFonts w:ascii="宋体" w:hAnsi="宋体"/>
              </w:rPr>
              <w:t xml:space="preserve">-198 </w:t>
            </w:r>
          </w:p>
        </w:tc>
        <w:tc>
          <w:tcPr>
            <w:tcW w:w="703" w:type="pct"/>
            <w:tcBorders>
              <w:top w:val="single" w:sz="4" w:space="0" w:color="auto"/>
              <w:left w:val="single" w:sz="4" w:space="0" w:color="auto"/>
              <w:bottom w:val="single" w:sz="4" w:space="0" w:color="auto"/>
              <w:right w:val="single" w:sz="4" w:space="0" w:color="auto"/>
            </w:tcBorders>
          </w:tcPr>
          <w:p w14:paraId="1AD37D7F" w14:textId="77777777" w:rsidR="00B201D3" w:rsidRPr="006D4FBA" w:rsidRDefault="009855E8">
            <w:pPr>
              <w:jc w:val="right"/>
              <w:rPr>
                <w:rFonts w:ascii="宋体" w:hAnsi="宋体"/>
              </w:rPr>
            </w:pPr>
            <w:r w:rsidRPr="006D4FBA">
              <w:rPr>
                <w:rFonts w:ascii="宋体" w:hAnsi="宋体"/>
              </w:rPr>
              <w:t xml:space="preserve">-1.96 </w:t>
            </w:r>
          </w:p>
        </w:tc>
      </w:tr>
      <w:tr w:rsidR="00B201D3" w:rsidRPr="006D4FBA" w14:paraId="2B8CD331" w14:textId="77777777">
        <w:trPr>
          <w:trHeight w:val="88"/>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5C2BEAB" w14:textId="77777777" w:rsidR="00B201D3" w:rsidRPr="006D4FBA" w:rsidRDefault="00B201D3">
            <w:pPr>
              <w:rPr>
                <w:rFonts w:ascii="宋体" w:hAnsi="宋体"/>
                <w:lang w:val="en-GB"/>
              </w:rPr>
            </w:pPr>
          </w:p>
        </w:tc>
        <w:tc>
          <w:tcPr>
            <w:tcW w:w="844" w:type="pct"/>
            <w:tcBorders>
              <w:top w:val="single" w:sz="4" w:space="0" w:color="auto"/>
              <w:left w:val="single" w:sz="4" w:space="0" w:color="auto"/>
              <w:bottom w:val="single" w:sz="4" w:space="0" w:color="auto"/>
              <w:right w:val="single" w:sz="4" w:space="0" w:color="auto"/>
            </w:tcBorders>
            <w:vAlign w:val="center"/>
          </w:tcPr>
          <w:p w14:paraId="3B197638" w14:textId="77777777" w:rsidR="00B201D3" w:rsidRPr="006D4FBA" w:rsidRDefault="009855E8">
            <w:pPr>
              <w:rPr>
                <w:rFonts w:ascii="宋体" w:hAnsi="宋体"/>
                <w:lang w:val="en-GB"/>
              </w:rPr>
            </w:pPr>
            <w:r w:rsidRPr="006D4FBA">
              <w:rPr>
                <w:rFonts w:ascii="宋体" w:hAnsi="宋体" w:hint="eastAsia"/>
              </w:rPr>
              <w:t>吨煤销售成本</w:t>
            </w:r>
          </w:p>
        </w:tc>
        <w:tc>
          <w:tcPr>
            <w:tcW w:w="481" w:type="pct"/>
            <w:tcBorders>
              <w:top w:val="single" w:sz="4" w:space="0" w:color="auto"/>
              <w:left w:val="single" w:sz="4" w:space="0" w:color="auto"/>
              <w:bottom w:val="single" w:sz="4" w:space="0" w:color="auto"/>
              <w:right w:val="single" w:sz="4" w:space="0" w:color="auto"/>
            </w:tcBorders>
            <w:vAlign w:val="center"/>
          </w:tcPr>
          <w:p w14:paraId="5AD922DA" w14:textId="77777777" w:rsidR="00B201D3" w:rsidRPr="006D4FBA" w:rsidRDefault="009855E8">
            <w:pPr>
              <w:jc w:val="center"/>
              <w:rPr>
                <w:rFonts w:ascii="宋体" w:hAnsi="宋体"/>
                <w:lang w:val="en-GB"/>
              </w:rPr>
            </w:pPr>
            <w:r w:rsidRPr="006D4FBA">
              <w:rPr>
                <w:rFonts w:ascii="宋体" w:hAnsi="宋体" w:hint="eastAsia"/>
              </w:rPr>
              <w:t>元/吨</w:t>
            </w:r>
          </w:p>
        </w:tc>
        <w:tc>
          <w:tcPr>
            <w:tcW w:w="727" w:type="pct"/>
            <w:tcBorders>
              <w:top w:val="single" w:sz="4" w:space="0" w:color="auto"/>
              <w:left w:val="single" w:sz="4" w:space="0" w:color="auto"/>
              <w:bottom w:val="single" w:sz="4" w:space="0" w:color="auto"/>
              <w:right w:val="single" w:sz="4" w:space="0" w:color="auto"/>
            </w:tcBorders>
          </w:tcPr>
          <w:p w14:paraId="571ADD3C" w14:textId="77777777" w:rsidR="00B201D3" w:rsidRPr="006D4FBA" w:rsidRDefault="009855E8">
            <w:pPr>
              <w:jc w:val="right"/>
              <w:rPr>
                <w:rFonts w:ascii="宋体" w:hAnsi="宋体"/>
              </w:rPr>
            </w:pPr>
            <w:r w:rsidRPr="006D4FBA">
              <w:rPr>
                <w:rFonts w:ascii="宋体" w:hAnsi="宋体"/>
              </w:rPr>
              <w:t xml:space="preserve"> 1,333.59 </w:t>
            </w:r>
          </w:p>
        </w:tc>
        <w:tc>
          <w:tcPr>
            <w:tcW w:w="740" w:type="pct"/>
            <w:tcBorders>
              <w:top w:val="single" w:sz="4" w:space="0" w:color="auto"/>
              <w:left w:val="single" w:sz="4" w:space="0" w:color="auto"/>
              <w:bottom w:val="single" w:sz="4" w:space="0" w:color="auto"/>
              <w:right w:val="single" w:sz="4" w:space="0" w:color="auto"/>
            </w:tcBorders>
            <w:vAlign w:val="center"/>
          </w:tcPr>
          <w:p w14:paraId="3CA6310C" w14:textId="77777777" w:rsidR="00B201D3" w:rsidRPr="006D4FBA" w:rsidRDefault="009855E8">
            <w:pPr>
              <w:jc w:val="right"/>
              <w:rPr>
                <w:rFonts w:ascii="宋体" w:hAnsi="宋体"/>
              </w:rPr>
            </w:pPr>
            <w:r w:rsidRPr="006D4FBA">
              <w:rPr>
                <w:rFonts w:ascii="宋体" w:hAnsi="宋体" w:hint="eastAsia"/>
              </w:rPr>
              <w:t xml:space="preserve">1,624.50 </w:t>
            </w:r>
          </w:p>
        </w:tc>
        <w:tc>
          <w:tcPr>
            <w:tcW w:w="666" w:type="pct"/>
            <w:tcBorders>
              <w:top w:val="single" w:sz="4" w:space="0" w:color="auto"/>
              <w:left w:val="single" w:sz="4" w:space="0" w:color="auto"/>
              <w:bottom w:val="single" w:sz="4" w:space="0" w:color="auto"/>
              <w:right w:val="single" w:sz="4" w:space="0" w:color="auto"/>
            </w:tcBorders>
          </w:tcPr>
          <w:p w14:paraId="4EB46290" w14:textId="77777777" w:rsidR="00B201D3" w:rsidRPr="006D4FBA" w:rsidRDefault="009855E8">
            <w:pPr>
              <w:jc w:val="right"/>
              <w:rPr>
                <w:rFonts w:ascii="宋体" w:hAnsi="宋体"/>
              </w:rPr>
            </w:pPr>
            <w:r w:rsidRPr="006D4FBA">
              <w:rPr>
                <w:rFonts w:ascii="宋体" w:hAnsi="宋体"/>
              </w:rPr>
              <w:t xml:space="preserve">-290.92 </w:t>
            </w:r>
          </w:p>
        </w:tc>
        <w:tc>
          <w:tcPr>
            <w:tcW w:w="703" w:type="pct"/>
            <w:tcBorders>
              <w:top w:val="single" w:sz="4" w:space="0" w:color="auto"/>
              <w:left w:val="single" w:sz="4" w:space="0" w:color="auto"/>
              <w:bottom w:val="single" w:sz="4" w:space="0" w:color="auto"/>
              <w:right w:val="single" w:sz="4" w:space="0" w:color="auto"/>
            </w:tcBorders>
          </w:tcPr>
          <w:p w14:paraId="793619E8" w14:textId="77777777" w:rsidR="00B201D3" w:rsidRPr="006D4FBA" w:rsidRDefault="009855E8">
            <w:pPr>
              <w:jc w:val="right"/>
              <w:rPr>
                <w:rFonts w:ascii="宋体" w:hAnsi="宋体"/>
              </w:rPr>
            </w:pPr>
            <w:r w:rsidRPr="006D4FBA">
              <w:rPr>
                <w:rFonts w:ascii="宋体" w:hAnsi="宋体"/>
              </w:rPr>
              <w:t xml:space="preserve">-17.91 </w:t>
            </w:r>
          </w:p>
        </w:tc>
      </w:tr>
    </w:tbl>
    <w:bookmarkEnd w:id="37"/>
    <w:p w14:paraId="548EC6A8" w14:textId="77777777" w:rsidR="00B201D3" w:rsidRPr="006D4FBA" w:rsidRDefault="009855E8">
      <w:pPr>
        <w:ind w:firstLineChars="200" w:firstLine="420"/>
        <w:jc w:val="both"/>
        <w:rPr>
          <w:bCs/>
          <w:lang w:val="en-GB"/>
        </w:rPr>
      </w:pPr>
      <w:r w:rsidRPr="006D4FBA">
        <w:rPr>
          <w:rFonts w:hint="eastAsia"/>
          <w:bCs/>
          <w:lang w:val="en-GB"/>
        </w:rPr>
        <w:t>昊盛煤业吨煤销售成本变动原因说明：商品煤销量同比增加，影响吨煤销售成本同比减少。</w:t>
      </w:r>
      <w:r w:rsidRPr="006D4FBA">
        <w:rPr>
          <w:bCs/>
          <w:lang w:val="en-GB"/>
        </w:rPr>
        <w:t xml:space="preserve"> </w:t>
      </w:r>
    </w:p>
    <w:p w14:paraId="0467FC4B" w14:textId="77777777" w:rsidR="00B201D3" w:rsidRPr="006D4FBA" w:rsidRDefault="009855E8">
      <w:pPr>
        <w:ind w:firstLineChars="200" w:firstLine="420"/>
        <w:jc w:val="both"/>
        <w:rPr>
          <w:bCs/>
          <w:lang w:val="en-GB"/>
        </w:rPr>
      </w:pPr>
      <w:r w:rsidRPr="006D4FBA">
        <w:rPr>
          <w:rFonts w:hint="eastAsia"/>
          <w:bCs/>
          <w:lang w:val="en-GB"/>
        </w:rPr>
        <w:t>内蒙古矿业吨煤销售成本变动原因说明：商品煤销量同比减少，影响吨煤销售成本同比增加。</w:t>
      </w:r>
    </w:p>
    <w:p w14:paraId="244673E2" w14:textId="2C3728B6" w:rsidR="00B201D3" w:rsidRPr="006D4FBA" w:rsidRDefault="009855E8">
      <w:pPr>
        <w:ind w:firstLineChars="200" w:firstLine="420"/>
        <w:jc w:val="both"/>
        <w:rPr>
          <w:bCs/>
          <w:lang w:val="en-GB"/>
        </w:rPr>
      </w:pPr>
      <w:r w:rsidRPr="006D4FBA">
        <w:rPr>
          <w:rFonts w:hint="eastAsia"/>
          <w:bCs/>
          <w:lang w:val="en-GB"/>
        </w:rPr>
        <w:t>兖煤澳洲吨煤销售成本变动原因说明：</w:t>
      </w:r>
      <w:r w:rsidR="00C47C8E" w:rsidRPr="00C47C8E">
        <w:rPr>
          <w:rFonts w:hint="eastAsia"/>
          <w:bCs/>
          <w:lang w:val="en-GB"/>
        </w:rPr>
        <w:t>①商品煤销量同比减少，影响吨煤销售成本同比增加</w:t>
      </w:r>
      <w:r w:rsidR="00C47C8E" w:rsidRPr="00C47C8E">
        <w:rPr>
          <w:bCs/>
          <w:lang w:val="en-GB"/>
        </w:rPr>
        <w:t>53.27元；②加大矿井排水、恢复生产等相关投入，影响吨煤销售成本同比增加52.49元；③港口、物流价格同比上涨，影响吨煤销售成本同比增加26.43元；④澳元升值影响吨煤销售成本同比增加17.41元。</w:t>
      </w:r>
    </w:p>
    <w:bookmarkEnd w:id="36"/>
    <w:p w14:paraId="3DD86624" w14:textId="77777777" w:rsidR="00B201D3" w:rsidRPr="006D4FBA" w:rsidRDefault="00B201D3">
      <w:pPr>
        <w:ind w:firstLineChars="200" w:firstLine="420"/>
        <w:jc w:val="both"/>
        <w:rPr>
          <w:lang w:val="en-GB"/>
        </w:rPr>
      </w:pPr>
    </w:p>
    <w:p w14:paraId="31D34008" w14:textId="77777777" w:rsidR="00B201D3" w:rsidRPr="006D4FBA" w:rsidRDefault="009855E8">
      <w:pPr>
        <w:numPr>
          <w:ilvl w:val="0"/>
          <w:numId w:val="8"/>
        </w:numPr>
        <w:rPr>
          <w:b/>
          <w:bCs/>
          <w:lang w:val="en-GB"/>
        </w:rPr>
      </w:pPr>
      <w:bookmarkStart w:id="38" w:name="_Hlk142473537"/>
      <w:r w:rsidRPr="006D4FBA">
        <w:rPr>
          <w:rFonts w:hint="eastAsia"/>
          <w:b/>
          <w:bCs/>
          <w:lang w:val="en-GB"/>
        </w:rPr>
        <w:t>煤化工业务</w:t>
      </w:r>
    </w:p>
    <w:p w14:paraId="104C3B4A" w14:textId="77777777" w:rsidR="00B201D3" w:rsidRPr="006D4FBA" w:rsidRDefault="009855E8">
      <w:pPr>
        <w:ind w:firstLineChars="200" w:firstLine="420"/>
        <w:rPr>
          <w:lang w:val="en-GB"/>
        </w:rPr>
      </w:pPr>
      <w:r w:rsidRPr="006D4FBA">
        <w:rPr>
          <w:rFonts w:hint="eastAsia"/>
          <w:bCs/>
          <w:lang w:val="en-GB"/>
        </w:rPr>
        <w:t>上半年本集团煤化工业务经营情况如下：</w:t>
      </w:r>
    </w:p>
    <w:p w14:paraId="578B4B31" w14:textId="77777777" w:rsidR="00B201D3" w:rsidRPr="006D4FBA" w:rsidRDefault="00B201D3">
      <w:pPr>
        <w:ind w:firstLineChars="200" w:firstLine="420"/>
        <w:rPr>
          <w:lang w:val="en-GB"/>
        </w:rPr>
      </w:pPr>
    </w:p>
    <w:tbl>
      <w:tblPr>
        <w:tblStyle w:val="g114"/>
        <w:tblW w:w="10190" w:type="dxa"/>
        <w:jc w:val="center"/>
        <w:tblCellMar>
          <w:left w:w="0" w:type="dxa"/>
        </w:tblCellMar>
        <w:tblLook w:val="04A0" w:firstRow="1" w:lastRow="0" w:firstColumn="1" w:lastColumn="0" w:noHBand="0" w:noVBand="1"/>
      </w:tblPr>
      <w:tblGrid>
        <w:gridCol w:w="2127"/>
        <w:gridCol w:w="992"/>
        <w:gridCol w:w="810"/>
        <w:gridCol w:w="1007"/>
        <w:gridCol w:w="1002"/>
        <w:gridCol w:w="992"/>
        <w:gridCol w:w="992"/>
        <w:gridCol w:w="1134"/>
        <w:gridCol w:w="1134"/>
      </w:tblGrid>
      <w:tr w:rsidR="00B201D3" w:rsidRPr="006D4FBA" w14:paraId="401A60C7" w14:textId="77777777">
        <w:trPr>
          <w:trHeight w:val="312"/>
          <w:jc w:val="center"/>
        </w:trPr>
        <w:tc>
          <w:tcPr>
            <w:tcW w:w="2127" w:type="dxa"/>
            <w:vMerge w:val="restart"/>
            <w:tcBorders>
              <w:top w:val="single" w:sz="4" w:space="0" w:color="auto"/>
              <w:left w:val="single" w:sz="4" w:space="0" w:color="auto"/>
              <w:bottom w:val="single" w:sz="4" w:space="0" w:color="auto"/>
              <w:right w:val="single" w:sz="4" w:space="0" w:color="auto"/>
            </w:tcBorders>
            <w:vAlign w:val="center"/>
          </w:tcPr>
          <w:p w14:paraId="15D07151" w14:textId="77777777" w:rsidR="00B201D3" w:rsidRPr="006D4FBA" w:rsidRDefault="00B201D3">
            <w:pPr>
              <w:spacing w:line="240" w:lineRule="atLeast"/>
              <w:rPr>
                <w:rFonts w:ascii="宋体" w:eastAsia="宋体" w:hAnsi="宋体"/>
              </w:rPr>
            </w:pPr>
          </w:p>
        </w:tc>
        <w:tc>
          <w:tcPr>
            <w:tcW w:w="3811" w:type="dxa"/>
            <w:gridSpan w:val="4"/>
            <w:tcBorders>
              <w:top w:val="single" w:sz="4" w:space="0" w:color="auto"/>
              <w:left w:val="single" w:sz="4" w:space="0" w:color="auto"/>
              <w:bottom w:val="single" w:sz="4" w:space="0" w:color="auto"/>
              <w:right w:val="single" w:sz="4" w:space="0" w:color="auto"/>
            </w:tcBorders>
            <w:vAlign w:val="center"/>
          </w:tcPr>
          <w:p w14:paraId="7897F415" w14:textId="77777777" w:rsidR="00B201D3" w:rsidRPr="006D4FBA" w:rsidRDefault="009855E8">
            <w:pPr>
              <w:spacing w:line="240" w:lineRule="atLeast"/>
              <w:jc w:val="center"/>
              <w:rPr>
                <w:rFonts w:ascii="宋体" w:eastAsia="宋体" w:hAnsi="宋体"/>
              </w:rPr>
            </w:pPr>
            <w:r w:rsidRPr="006D4FBA">
              <w:rPr>
                <w:rFonts w:ascii="宋体" w:eastAsia="宋体" w:hAnsi="宋体" w:hint="eastAsia"/>
              </w:rPr>
              <w:t>202</w:t>
            </w:r>
            <w:r w:rsidRPr="006D4FBA">
              <w:rPr>
                <w:rFonts w:ascii="宋体" w:eastAsia="宋体" w:hAnsi="宋体"/>
              </w:rPr>
              <w:t>3</w:t>
            </w:r>
            <w:r w:rsidRPr="006D4FBA">
              <w:rPr>
                <w:rFonts w:ascii="宋体" w:eastAsia="宋体" w:hAnsi="宋体" w:hint="eastAsia"/>
              </w:rPr>
              <w:t>年1-6月</w:t>
            </w:r>
          </w:p>
        </w:tc>
        <w:tc>
          <w:tcPr>
            <w:tcW w:w="4252" w:type="dxa"/>
            <w:gridSpan w:val="4"/>
            <w:tcBorders>
              <w:top w:val="single" w:sz="4" w:space="0" w:color="auto"/>
              <w:left w:val="single" w:sz="4" w:space="0" w:color="auto"/>
              <w:bottom w:val="single" w:sz="4" w:space="0" w:color="auto"/>
              <w:right w:val="single" w:sz="4" w:space="0" w:color="auto"/>
            </w:tcBorders>
            <w:vAlign w:val="center"/>
          </w:tcPr>
          <w:p w14:paraId="787BCAA7" w14:textId="77777777" w:rsidR="00B201D3" w:rsidRPr="006D4FBA" w:rsidRDefault="009855E8">
            <w:pPr>
              <w:spacing w:line="240" w:lineRule="atLeast"/>
              <w:jc w:val="center"/>
              <w:rPr>
                <w:rFonts w:ascii="宋体" w:eastAsia="宋体" w:hAnsi="宋体"/>
              </w:rPr>
            </w:pPr>
            <w:r w:rsidRPr="006D4FBA">
              <w:rPr>
                <w:rFonts w:ascii="宋体" w:eastAsia="宋体" w:hAnsi="宋体" w:hint="eastAsia"/>
              </w:rPr>
              <w:t>202</w:t>
            </w:r>
            <w:r w:rsidRPr="006D4FBA">
              <w:rPr>
                <w:rFonts w:ascii="宋体" w:eastAsia="宋体" w:hAnsi="宋体"/>
              </w:rPr>
              <w:t>2</w:t>
            </w:r>
            <w:r w:rsidRPr="006D4FBA">
              <w:rPr>
                <w:rFonts w:ascii="宋体" w:eastAsia="宋体" w:hAnsi="宋体" w:hint="eastAsia"/>
              </w:rPr>
              <w:t>年1-6月</w:t>
            </w:r>
          </w:p>
        </w:tc>
      </w:tr>
      <w:tr w:rsidR="00B201D3" w:rsidRPr="006D4FBA" w14:paraId="757D4568" w14:textId="77777777">
        <w:trPr>
          <w:trHeight w:val="312"/>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EFF92BA" w14:textId="77777777" w:rsidR="00B201D3" w:rsidRPr="006D4FBA" w:rsidRDefault="00B201D3">
            <w:pPr>
              <w:rPr>
                <w:rFonts w:ascii="宋体" w:eastAsia="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14:paraId="3DACBAA5" w14:textId="77777777" w:rsidR="00B201D3" w:rsidRPr="006D4FBA" w:rsidRDefault="009855E8">
            <w:pPr>
              <w:jc w:val="center"/>
              <w:rPr>
                <w:rFonts w:ascii="宋体" w:eastAsia="宋体" w:hAnsi="宋体"/>
              </w:rPr>
            </w:pPr>
            <w:r w:rsidRPr="006D4FBA">
              <w:rPr>
                <w:rFonts w:ascii="宋体" w:eastAsia="宋体" w:hAnsi="宋体" w:hint="eastAsia"/>
              </w:rPr>
              <w:t>产量</w:t>
            </w:r>
          </w:p>
        </w:tc>
        <w:tc>
          <w:tcPr>
            <w:tcW w:w="810" w:type="dxa"/>
            <w:tcBorders>
              <w:top w:val="single" w:sz="4" w:space="0" w:color="auto"/>
              <w:left w:val="single" w:sz="4" w:space="0" w:color="auto"/>
              <w:bottom w:val="single" w:sz="4" w:space="0" w:color="auto"/>
              <w:right w:val="single" w:sz="4" w:space="0" w:color="auto"/>
            </w:tcBorders>
            <w:vAlign w:val="center"/>
          </w:tcPr>
          <w:p w14:paraId="268113F3" w14:textId="77777777" w:rsidR="00B201D3" w:rsidRPr="006D4FBA" w:rsidRDefault="009855E8">
            <w:pPr>
              <w:jc w:val="center"/>
              <w:rPr>
                <w:rFonts w:ascii="宋体" w:eastAsia="宋体" w:hAnsi="宋体"/>
              </w:rPr>
            </w:pPr>
            <w:r w:rsidRPr="006D4FBA">
              <w:rPr>
                <w:rFonts w:ascii="宋体" w:eastAsia="宋体" w:hAnsi="宋体" w:hint="eastAsia"/>
              </w:rPr>
              <w:t>销量</w:t>
            </w:r>
          </w:p>
        </w:tc>
        <w:tc>
          <w:tcPr>
            <w:tcW w:w="1007" w:type="dxa"/>
            <w:tcBorders>
              <w:top w:val="single" w:sz="4" w:space="0" w:color="auto"/>
              <w:left w:val="single" w:sz="4" w:space="0" w:color="auto"/>
              <w:bottom w:val="single" w:sz="4" w:space="0" w:color="auto"/>
              <w:right w:val="single" w:sz="4" w:space="0" w:color="auto"/>
            </w:tcBorders>
            <w:vAlign w:val="center"/>
          </w:tcPr>
          <w:p w14:paraId="40E71A1C" w14:textId="77777777" w:rsidR="00B201D3" w:rsidRPr="006D4FBA" w:rsidRDefault="009855E8">
            <w:pPr>
              <w:jc w:val="center"/>
              <w:rPr>
                <w:rFonts w:ascii="宋体" w:eastAsia="宋体" w:hAnsi="宋体"/>
              </w:rPr>
            </w:pPr>
            <w:r w:rsidRPr="006D4FBA">
              <w:rPr>
                <w:rFonts w:ascii="宋体" w:eastAsia="宋体" w:hAnsi="宋体" w:hint="eastAsia"/>
              </w:rPr>
              <w:t>销售收入</w:t>
            </w:r>
          </w:p>
        </w:tc>
        <w:tc>
          <w:tcPr>
            <w:tcW w:w="1002" w:type="dxa"/>
            <w:tcBorders>
              <w:top w:val="single" w:sz="4" w:space="0" w:color="auto"/>
              <w:left w:val="single" w:sz="4" w:space="0" w:color="auto"/>
              <w:bottom w:val="single" w:sz="4" w:space="0" w:color="auto"/>
              <w:right w:val="single" w:sz="4" w:space="0" w:color="auto"/>
            </w:tcBorders>
            <w:vAlign w:val="center"/>
          </w:tcPr>
          <w:p w14:paraId="7CE16CED" w14:textId="77777777" w:rsidR="00B201D3" w:rsidRPr="006D4FBA" w:rsidRDefault="009855E8">
            <w:pPr>
              <w:jc w:val="center"/>
              <w:rPr>
                <w:rFonts w:ascii="宋体" w:eastAsia="宋体" w:hAnsi="宋体"/>
              </w:rPr>
            </w:pPr>
            <w:r w:rsidRPr="006D4FBA">
              <w:rPr>
                <w:rFonts w:ascii="宋体" w:eastAsia="宋体" w:hAnsi="宋体" w:hint="eastAsia"/>
              </w:rPr>
              <w:t>销售成本</w:t>
            </w:r>
          </w:p>
        </w:tc>
        <w:tc>
          <w:tcPr>
            <w:tcW w:w="992" w:type="dxa"/>
            <w:tcBorders>
              <w:top w:val="single" w:sz="4" w:space="0" w:color="auto"/>
              <w:left w:val="single" w:sz="4" w:space="0" w:color="auto"/>
              <w:bottom w:val="single" w:sz="4" w:space="0" w:color="auto"/>
              <w:right w:val="single" w:sz="4" w:space="0" w:color="auto"/>
            </w:tcBorders>
            <w:vAlign w:val="center"/>
          </w:tcPr>
          <w:p w14:paraId="6F1CA83F" w14:textId="77777777" w:rsidR="00B201D3" w:rsidRPr="006D4FBA" w:rsidRDefault="009855E8">
            <w:pPr>
              <w:jc w:val="center"/>
              <w:rPr>
                <w:rFonts w:ascii="宋体" w:eastAsia="宋体" w:hAnsi="宋体"/>
              </w:rPr>
            </w:pPr>
            <w:r w:rsidRPr="006D4FBA">
              <w:rPr>
                <w:rFonts w:ascii="宋体" w:eastAsia="宋体" w:hAnsi="宋体" w:hint="eastAsia"/>
              </w:rPr>
              <w:t>产量</w:t>
            </w:r>
          </w:p>
        </w:tc>
        <w:tc>
          <w:tcPr>
            <w:tcW w:w="992" w:type="dxa"/>
            <w:tcBorders>
              <w:top w:val="single" w:sz="4" w:space="0" w:color="auto"/>
              <w:left w:val="single" w:sz="4" w:space="0" w:color="auto"/>
              <w:bottom w:val="single" w:sz="4" w:space="0" w:color="auto"/>
              <w:right w:val="single" w:sz="4" w:space="0" w:color="auto"/>
            </w:tcBorders>
            <w:vAlign w:val="center"/>
          </w:tcPr>
          <w:p w14:paraId="396F654F" w14:textId="77777777" w:rsidR="00B201D3" w:rsidRPr="006D4FBA" w:rsidRDefault="009855E8">
            <w:pPr>
              <w:jc w:val="center"/>
              <w:rPr>
                <w:rFonts w:ascii="宋体" w:eastAsia="宋体" w:hAnsi="宋体"/>
              </w:rPr>
            </w:pPr>
            <w:r w:rsidRPr="006D4FBA">
              <w:rPr>
                <w:rFonts w:ascii="宋体" w:eastAsia="宋体" w:hAnsi="宋体" w:hint="eastAsia"/>
              </w:rPr>
              <w:t>销量</w:t>
            </w:r>
          </w:p>
        </w:tc>
        <w:tc>
          <w:tcPr>
            <w:tcW w:w="1134" w:type="dxa"/>
            <w:tcBorders>
              <w:top w:val="single" w:sz="4" w:space="0" w:color="auto"/>
              <w:left w:val="single" w:sz="4" w:space="0" w:color="auto"/>
              <w:bottom w:val="single" w:sz="4" w:space="0" w:color="auto"/>
              <w:right w:val="single" w:sz="4" w:space="0" w:color="auto"/>
            </w:tcBorders>
            <w:vAlign w:val="center"/>
          </w:tcPr>
          <w:p w14:paraId="018E5B40" w14:textId="77777777" w:rsidR="00B201D3" w:rsidRPr="006D4FBA" w:rsidRDefault="009855E8">
            <w:pPr>
              <w:jc w:val="center"/>
              <w:rPr>
                <w:rFonts w:ascii="宋体" w:eastAsia="宋体" w:hAnsi="宋体"/>
              </w:rPr>
            </w:pPr>
            <w:r w:rsidRPr="006D4FBA">
              <w:rPr>
                <w:rFonts w:ascii="宋体" w:eastAsia="宋体" w:hAnsi="宋体" w:hint="eastAsia"/>
              </w:rPr>
              <w:t>销售收入</w:t>
            </w:r>
          </w:p>
        </w:tc>
        <w:tc>
          <w:tcPr>
            <w:tcW w:w="1134" w:type="dxa"/>
            <w:tcBorders>
              <w:top w:val="single" w:sz="4" w:space="0" w:color="auto"/>
              <w:left w:val="single" w:sz="4" w:space="0" w:color="auto"/>
              <w:bottom w:val="single" w:sz="4" w:space="0" w:color="auto"/>
              <w:right w:val="single" w:sz="4" w:space="0" w:color="auto"/>
            </w:tcBorders>
            <w:vAlign w:val="center"/>
          </w:tcPr>
          <w:p w14:paraId="4D4F47AB" w14:textId="77777777" w:rsidR="00B201D3" w:rsidRPr="006D4FBA" w:rsidRDefault="009855E8">
            <w:pPr>
              <w:jc w:val="center"/>
              <w:rPr>
                <w:rFonts w:ascii="宋体" w:eastAsia="宋体" w:hAnsi="宋体"/>
              </w:rPr>
            </w:pPr>
            <w:r w:rsidRPr="006D4FBA">
              <w:rPr>
                <w:rFonts w:ascii="宋体" w:eastAsia="宋体" w:hAnsi="宋体" w:hint="eastAsia"/>
              </w:rPr>
              <w:t>销售成本</w:t>
            </w:r>
          </w:p>
        </w:tc>
      </w:tr>
      <w:tr w:rsidR="00B201D3" w:rsidRPr="006D4FBA" w14:paraId="3378464F" w14:textId="77777777">
        <w:trPr>
          <w:trHeight w:val="312"/>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1DCADBA" w14:textId="77777777" w:rsidR="00B201D3" w:rsidRPr="006D4FBA" w:rsidRDefault="00B201D3">
            <w:pPr>
              <w:rPr>
                <w:rFonts w:ascii="宋体" w:eastAsia="宋体" w:hAnsi="宋体"/>
              </w:rPr>
            </w:pPr>
          </w:p>
        </w:tc>
        <w:tc>
          <w:tcPr>
            <w:tcW w:w="992" w:type="dxa"/>
            <w:tcBorders>
              <w:top w:val="single" w:sz="4" w:space="0" w:color="auto"/>
              <w:left w:val="single" w:sz="4" w:space="0" w:color="auto"/>
              <w:bottom w:val="single" w:sz="4" w:space="0" w:color="auto"/>
              <w:right w:val="single" w:sz="4" w:space="0" w:color="auto"/>
            </w:tcBorders>
            <w:vAlign w:val="center"/>
          </w:tcPr>
          <w:p w14:paraId="6A0197A7" w14:textId="77777777" w:rsidR="00B201D3" w:rsidRPr="006D4FBA" w:rsidRDefault="009855E8">
            <w:pPr>
              <w:ind w:leftChars="-50" w:left="-105" w:rightChars="-50" w:right="-105"/>
              <w:jc w:val="center"/>
              <w:rPr>
                <w:rFonts w:ascii="宋体" w:eastAsia="宋体" w:hAnsi="宋体"/>
              </w:rPr>
            </w:pPr>
            <w:r w:rsidRPr="006D4FBA">
              <w:rPr>
                <w:rFonts w:ascii="宋体" w:eastAsia="宋体" w:hAnsi="宋体" w:hint="eastAsia"/>
              </w:rPr>
              <w:t>（千吨）</w:t>
            </w:r>
          </w:p>
        </w:tc>
        <w:tc>
          <w:tcPr>
            <w:tcW w:w="810" w:type="dxa"/>
            <w:tcBorders>
              <w:top w:val="single" w:sz="4" w:space="0" w:color="auto"/>
              <w:left w:val="single" w:sz="4" w:space="0" w:color="auto"/>
              <w:bottom w:val="single" w:sz="4" w:space="0" w:color="auto"/>
              <w:right w:val="single" w:sz="4" w:space="0" w:color="auto"/>
            </w:tcBorders>
            <w:vAlign w:val="center"/>
          </w:tcPr>
          <w:p w14:paraId="5A23CEC3" w14:textId="77777777" w:rsidR="00B201D3" w:rsidRPr="006D4FBA" w:rsidRDefault="009855E8">
            <w:pPr>
              <w:ind w:leftChars="-50" w:left="-105" w:rightChars="-50" w:right="-105"/>
              <w:jc w:val="center"/>
              <w:rPr>
                <w:rFonts w:ascii="宋体" w:eastAsia="宋体" w:hAnsi="宋体"/>
              </w:rPr>
            </w:pPr>
            <w:r w:rsidRPr="006D4FBA">
              <w:rPr>
                <w:rFonts w:ascii="宋体" w:eastAsia="宋体" w:hAnsi="宋体" w:hint="eastAsia"/>
              </w:rPr>
              <w:t>（千吨）</w:t>
            </w:r>
          </w:p>
        </w:tc>
        <w:tc>
          <w:tcPr>
            <w:tcW w:w="1007" w:type="dxa"/>
            <w:tcBorders>
              <w:top w:val="single" w:sz="4" w:space="0" w:color="auto"/>
              <w:left w:val="single" w:sz="4" w:space="0" w:color="auto"/>
              <w:bottom w:val="single" w:sz="4" w:space="0" w:color="auto"/>
              <w:right w:val="single" w:sz="4" w:space="0" w:color="auto"/>
            </w:tcBorders>
            <w:vAlign w:val="center"/>
          </w:tcPr>
          <w:p w14:paraId="2ABFFAAA" w14:textId="77777777" w:rsidR="00B201D3" w:rsidRPr="006D4FBA" w:rsidRDefault="009855E8">
            <w:pPr>
              <w:ind w:leftChars="-50" w:left="-105" w:rightChars="-50" w:right="-105"/>
              <w:jc w:val="center"/>
              <w:rPr>
                <w:rFonts w:ascii="宋体" w:eastAsia="宋体" w:hAnsi="宋体"/>
              </w:rPr>
            </w:pPr>
            <w:r w:rsidRPr="006D4FBA">
              <w:rPr>
                <w:rFonts w:ascii="宋体" w:eastAsia="宋体" w:hAnsi="宋体" w:hint="eastAsia"/>
              </w:rPr>
              <w:t>（百万元）</w:t>
            </w:r>
          </w:p>
        </w:tc>
        <w:tc>
          <w:tcPr>
            <w:tcW w:w="1002" w:type="dxa"/>
            <w:tcBorders>
              <w:top w:val="single" w:sz="4" w:space="0" w:color="auto"/>
              <w:left w:val="single" w:sz="4" w:space="0" w:color="auto"/>
              <w:bottom w:val="single" w:sz="4" w:space="0" w:color="auto"/>
              <w:right w:val="single" w:sz="4" w:space="0" w:color="auto"/>
            </w:tcBorders>
            <w:vAlign w:val="center"/>
          </w:tcPr>
          <w:p w14:paraId="22000DD9" w14:textId="77777777" w:rsidR="00B201D3" w:rsidRPr="006D4FBA" w:rsidRDefault="009855E8">
            <w:pPr>
              <w:ind w:leftChars="-50" w:left="-105" w:rightChars="-50" w:right="-105"/>
              <w:jc w:val="center"/>
              <w:rPr>
                <w:rFonts w:ascii="宋体" w:eastAsia="宋体" w:hAnsi="宋体"/>
              </w:rPr>
            </w:pPr>
            <w:r w:rsidRPr="006D4FBA">
              <w:rPr>
                <w:rFonts w:ascii="宋体" w:eastAsia="宋体" w:hAnsi="宋体" w:hint="eastAsia"/>
              </w:rPr>
              <w:t>（百万元）</w:t>
            </w:r>
          </w:p>
        </w:tc>
        <w:tc>
          <w:tcPr>
            <w:tcW w:w="992" w:type="dxa"/>
            <w:tcBorders>
              <w:top w:val="single" w:sz="4" w:space="0" w:color="auto"/>
              <w:left w:val="single" w:sz="4" w:space="0" w:color="auto"/>
              <w:bottom w:val="single" w:sz="4" w:space="0" w:color="auto"/>
              <w:right w:val="single" w:sz="4" w:space="0" w:color="auto"/>
            </w:tcBorders>
            <w:vAlign w:val="center"/>
          </w:tcPr>
          <w:p w14:paraId="771FF93F" w14:textId="77777777" w:rsidR="00B201D3" w:rsidRPr="006D4FBA" w:rsidRDefault="009855E8">
            <w:pPr>
              <w:ind w:leftChars="-50" w:left="-105" w:rightChars="-50" w:right="-105"/>
              <w:jc w:val="center"/>
              <w:rPr>
                <w:rFonts w:ascii="宋体" w:eastAsia="宋体" w:hAnsi="宋体"/>
              </w:rPr>
            </w:pPr>
            <w:r w:rsidRPr="006D4FBA">
              <w:rPr>
                <w:rFonts w:ascii="宋体" w:eastAsia="宋体" w:hAnsi="宋体" w:hint="eastAsia"/>
              </w:rPr>
              <w:t>（千吨）</w:t>
            </w:r>
          </w:p>
        </w:tc>
        <w:tc>
          <w:tcPr>
            <w:tcW w:w="992" w:type="dxa"/>
            <w:tcBorders>
              <w:top w:val="single" w:sz="4" w:space="0" w:color="auto"/>
              <w:left w:val="single" w:sz="4" w:space="0" w:color="auto"/>
              <w:bottom w:val="single" w:sz="4" w:space="0" w:color="auto"/>
              <w:right w:val="single" w:sz="4" w:space="0" w:color="auto"/>
            </w:tcBorders>
            <w:vAlign w:val="center"/>
          </w:tcPr>
          <w:p w14:paraId="20A9E7AA" w14:textId="77777777" w:rsidR="00B201D3" w:rsidRPr="006D4FBA" w:rsidRDefault="009855E8">
            <w:pPr>
              <w:ind w:leftChars="-50" w:left="-105" w:rightChars="-50" w:right="-105"/>
              <w:jc w:val="center"/>
              <w:rPr>
                <w:rFonts w:ascii="宋体" w:eastAsia="宋体" w:hAnsi="宋体"/>
              </w:rPr>
            </w:pPr>
            <w:r w:rsidRPr="006D4FBA">
              <w:rPr>
                <w:rFonts w:ascii="宋体" w:eastAsia="宋体" w:hAnsi="宋体" w:hint="eastAsia"/>
              </w:rPr>
              <w:t>（千吨）</w:t>
            </w:r>
          </w:p>
        </w:tc>
        <w:tc>
          <w:tcPr>
            <w:tcW w:w="1134" w:type="dxa"/>
            <w:tcBorders>
              <w:top w:val="single" w:sz="4" w:space="0" w:color="auto"/>
              <w:left w:val="single" w:sz="4" w:space="0" w:color="auto"/>
              <w:bottom w:val="single" w:sz="4" w:space="0" w:color="auto"/>
              <w:right w:val="single" w:sz="4" w:space="0" w:color="auto"/>
            </w:tcBorders>
            <w:vAlign w:val="center"/>
          </w:tcPr>
          <w:p w14:paraId="31292F50" w14:textId="77777777" w:rsidR="00B201D3" w:rsidRPr="006D4FBA" w:rsidRDefault="009855E8">
            <w:pPr>
              <w:ind w:leftChars="-50" w:left="-105" w:rightChars="-50" w:right="-105"/>
              <w:jc w:val="center"/>
              <w:rPr>
                <w:rFonts w:ascii="宋体" w:eastAsia="宋体" w:hAnsi="宋体"/>
              </w:rPr>
            </w:pPr>
            <w:r w:rsidRPr="006D4FBA">
              <w:rPr>
                <w:rFonts w:ascii="宋体" w:eastAsia="宋体" w:hAnsi="宋体" w:hint="eastAsia"/>
              </w:rPr>
              <w:t>（百万元）</w:t>
            </w:r>
          </w:p>
        </w:tc>
        <w:tc>
          <w:tcPr>
            <w:tcW w:w="1134" w:type="dxa"/>
            <w:tcBorders>
              <w:top w:val="single" w:sz="4" w:space="0" w:color="auto"/>
              <w:left w:val="single" w:sz="4" w:space="0" w:color="auto"/>
              <w:bottom w:val="single" w:sz="4" w:space="0" w:color="auto"/>
              <w:right w:val="single" w:sz="4" w:space="0" w:color="auto"/>
            </w:tcBorders>
            <w:vAlign w:val="center"/>
          </w:tcPr>
          <w:p w14:paraId="1408DFA4" w14:textId="77777777" w:rsidR="00B201D3" w:rsidRPr="006D4FBA" w:rsidRDefault="009855E8">
            <w:pPr>
              <w:ind w:leftChars="-50" w:left="-105" w:rightChars="-50" w:right="-105"/>
              <w:jc w:val="center"/>
              <w:rPr>
                <w:rFonts w:ascii="宋体" w:eastAsia="宋体" w:hAnsi="宋体"/>
              </w:rPr>
            </w:pPr>
            <w:r w:rsidRPr="006D4FBA">
              <w:rPr>
                <w:rFonts w:ascii="宋体" w:eastAsia="宋体" w:hAnsi="宋体" w:hint="eastAsia"/>
              </w:rPr>
              <w:t>（百万元）</w:t>
            </w:r>
          </w:p>
        </w:tc>
      </w:tr>
      <w:tr w:rsidR="00B201D3" w:rsidRPr="006D4FBA" w14:paraId="798D9245" w14:textId="77777777">
        <w:trPr>
          <w:trHeight w:val="312"/>
          <w:jc w:val="center"/>
        </w:trPr>
        <w:tc>
          <w:tcPr>
            <w:tcW w:w="2127" w:type="dxa"/>
            <w:tcBorders>
              <w:top w:val="single" w:sz="4" w:space="0" w:color="auto"/>
              <w:left w:val="single" w:sz="4" w:space="0" w:color="auto"/>
              <w:bottom w:val="single" w:sz="4" w:space="0" w:color="auto"/>
              <w:right w:val="single" w:sz="4" w:space="0" w:color="auto"/>
            </w:tcBorders>
            <w:vAlign w:val="center"/>
          </w:tcPr>
          <w:p w14:paraId="282E133A" w14:textId="77777777" w:rsidR="00B201D3" w:rsidRPr="006D4FBA" w:rsidRDefault="009855E8">
            <w:pPr>
              <w:rPr>
                <w:rFonts w:ascii="宋体" w:eastAsia="宋体" w:hAnsi="宋体"/>
              </w:rPr>
            </w:pPr>
            <w:r w:rsidRPr="006D4FBA">
              <w:rPr>
                <w:rFonts w:ascii="宋体" w:eastAsia="宋体" w:hAnsi="宋体" w:hint="eastAsia"/>
              </w:rPr>
              <w:t>一、鲁南化工</w:t>
            </w:r>
          </w:p>
        </w:tc>
        <w:tc>
          <w:tcPr>
            <w:tcW w:w="992" w:type="dxa"/>
            <w:tcBorders>
              <w:top w:val="single" w:sz="4" w:space="0" w:color="auto"/>
              <w:left w:val="single" w:sz="4" w:space="0" w:color="auto"/>
              <w:bottom w:val="single" w:sz="4" w:space="0" w:color="auto"/>
              <w:right w:val="single" w:sz="4" w:space="0" w:color="auto"/>
            </w:tcBorders>
            <w:vAlign w:val="center"/>
          </w:tcPr>
          <w:p w14:paraId="0AA45956" w14:textId="77777777" w:rsidR="00B201D3" w:rsidRPr="006D4FBA" w:rsidRDefault="009855E8">
            <w:pPr>
              <w:jc w:val="right"/>
              <w:rPr>
                <w:rFonts w:ascii="宋体" w:eastAsia="宋体" w:hAnsi="宋体"/>
              </w:rPr>
            </w:pPr>
            <w:r w:rsidRPr="006D4FBA">
              <w:rPr>
                <w:rFonts w:ascii="宋体" w:eastAsia="宋体" w:hAnsi="宋体"/>
              </w:rPr>
              <w:t xml:space="preserve">1,266 </w:t>
            </w:r>
          </w:p>
        </w:tc>
        <w:tc>
          <w:tcPr>
            <w:tcW w:w="810" w:type="dxa"/>
            <w:tcBorders>
              <w:top w:val="single" w:sz="4" w:space="0" w:color="auto"/>
              <w:left w:val="nil"/>
              <w:bottom w:val="single" w:sz="4" w:space="0" w:color="auto"/>
              <w:right w:val="single" w:sz="4" w:space="0" w:color="auto"/>
            </w:tcBorders>
            <w:vAlign w:val="center"/>
          </w:tcPr>
          <w:p w14:paraId="5E03F3BC" w14:textId="77777777" w:rsidR="00B201D3" w:rsidRPr="006D4FBA" w:rsidRDefault="009855E8">
            <w:pPr>
              <w:jc w:val="right"/>
              <w:rPr>
                <w:rFonts w:ascii="宋体" w:eastAsia="宋体" w:hAnsi="宋体"/>
              </w:rPr>
            </w:pPr>
            <w:r w:rsidRPr="006D4FBA">
              <w:rPr>
                <w:rFonts w:ascii="宋体" w:eastAsia="宋体" w:hAnsi="宋体"/>
              </w:rPr>
              <w:t xml:space="preserve">948 </w:t>
            </w:r>
          </w:p>
        </w:tc>
        <w:tc>
          <w:tcPr>
            <w:tcW w:w="1007" w:type="dxa"/>
            <w:tcBorders>
              <w:top w:val="single" w:sz="4" w:space="0" w:color="auto"/>
              <w:left w:val="nil"/>
              <w:bottom w:val="single" w:sz="4" w:space="0" w:color="auto"/>
              <w:right w:val="single" w:sz="4" w:space="0" w:color="auto"/>
            </w:tcBorders>
            <w:vAlign w:val="center"/>
          </w:tcPr>
          <w:p w14:paraId="58AA55AD" w14:textId="77777777" w:rsidR="00B201D3" w:rsidRPr="006D4FBA" w:rsidRDefault="009855E8">
            <w:pPr>
              <w:jc w:val="right"/>
              <w:rPr>
                <w:rFonts w:ascii="宋体" w:eastAsia="宋体" w:hAnsi="宋体"/>
              </w:rPr>
            </w:pPr>
            <w:r w:rsidRPr="006D4FBA">
              <w:rPr>
                <w:rFonts w:ascii="宋体" w:eastAsia="宋体" w:hAnsi="宋体"/>
              </w:rPr>
              <w:t xml:space="preserve">5,029 </w:t>
            </w:r>
          </w:p>
        </w:tc>
        <w:tc>
          <w:tcPr>
            <w:tcW w:w="1002" w:type="dxa"/>
            <w:tcBorders>
              <w:top w:val="single" w:sz="4" w:space="0" w:color="auto"/>
              <w:left w:val="nil"/>
              <w:bottom w:val="single" w:sz="4" w:space="0" w:color="auto"/>
              <w:right w:val="single" w:sz="4" w:space="0" w:color="auto"/>
            </w:tcBorders>
            <w:vAlign w:val="center"/>
          </w:tcPr>
          <w:p w14:paraId="19A5BAA5" w14:textId="77777777" w:rsidR="00B201D3" w:rsidRPr="006D4FBA" w:rsidRDefault="009855E8">
            <w:pPr>
              <w:jc w:val="right"/>
              <w:rPr>
                <w:rFonts w:ascii="宋体" w:eastAsia="宋体" w:hAnsi="宋体"/>
              </w:rPr>
            </w:pPr>
            <w:r w:rsidRPr="006D4FBA">
              <w:rPr>
                <w:rFonts w:ascii="宋体" w:eastAsia="宋体" w:hAnsi="宋体"/>
              </w:rPr>
              <w:t xml:space="preserve">4,748 </w:t>
            </w:r>
          </w:p>
        </w:tc>
        <w:tc>
          <w:tcPr>
            <w:tcW w:w="992" w:type="dxa"/>
            <w:tcBorders>
              <w:top w:val="single" w:sz="4" w:space="0" w:color="auto"/>
              <w:left w:val="nil"/>
              <w:bottom w:val="single" w:sz="4" w:space="0" w:color="auto"/>
              <w:right w:val="single" w:sz="4" w:space="0" w:color="auto"/>
            </w:tcBorders>
            <w:vAlign w:val="center"/>
          </w:tcPr>
          <w:p w14:paraId="05F61BE5" w14:textId="77777777" w:rsidR="00B201D3" w:rsidRPr="006D4FBA" w:rsidRDefault="009855E8">
            <w:pPr>
              <w:jc w:val="right"/>
              <w:rPr>
                <w:rFonts w:ascii="宋体" w:eastAsia="宋体" w:hAnsi="宋体"/>
              </w:rPr>
            </w:pPr>
            <w:r w:rsidRPr="006D4FBA">
              <w:rPr>
                <w:rFonts w:ascii="宋体" w:eastAsia="宋体" w:hAnsi="宋体" w:hint="eastAsia"/>
              </w:rPr>
              <w:t>1,005</w:t>
            </w:r>
          </w:p>
        </w:tc>
        <w:tc>
          <w:tcPr>
            <w:tcW w:w="992" w:type="dxa"/>
            <w:tcBorders>
              <w:top w:val="single" w:sz="4" w:space="0" w:color="auto"/>
              <w:left w:val="nil"/>
              <w:bottom w:val="single" w:sz="4" w:space="0" w:color="auto"/>
              <w:right w:val="single" w:sz="4" w:space="0" w:color="auto"/>
            </w:tcBorders>
            <w:vAlign w:val="center"/>
          </w:tcPr>
          <w:p w14:paraId="4D98CC66" w14:textId="77777777" w:rsidR="00B201D3" w:rsidRPr="006D4FBA" w:rsidRDefault="009855E8">
            <w:pPr>
              <w:jc w:val="right"/>
              <w:rPr>
                <w:rFonts w:ascii="宋体" w:eastAsia="宋体" w:hAnsi="宋体"/>
              </w:rPr>
            </w:pPr>
            <w:r w:rsidRPr="006D4FBA">
              <w:rPr>
                <w:rFonts w:ascii="宋体" w:eastAsia="宋体" w:hAnsi="宋体" w:hint="eastAsia"/>
              </w:rPr>
              <w:t>786</w:t>
            </w:r>
          </w:p>
        </w:tc>
        <w:tc>
          <w:tcPr>
            <w:tcW w:w="1134" w:type="dxa"/>
            <w:tcBorders>
              <w:top w:val="single" w:sz="4" w:space="0" w:color="auto"/>
              <w:left w:val="nil"/>
              <w:bottom w:val="single" w:sz="4" w:space="0" w:color="auto"/>
              <w:right w:val="single" w:sz="4" w:space="0" w:color="auto"/>
            </w:tcBorders>
            <w:vAlign w:val="center"/>
          </w:tcPr>
          <w:p w14:paraId="79E64556" w14:textId="77777777" w:rsidR="00B201D3" w:rsidRPr="006D4FBA" w:rsidRDefault="009855E8">
            <w:pPr>
              <w:jc w:val="right"/>
              <w:rPr>
                <w:rFonts w:ascii="宋体" w:eastAsia="宋体" w:hAnsi="宋体"/>
              </w:rPr>
            </w:pPr>
            <w:r w:rsidRPr="006D4FBA">
              <w:rPr>
                <w:rFonts w:ascii="宋体" w:eastAsia="宋体" w:hAnsi="宋体" w:hint="eastAsia"/>
              </w:rPr>
              <w:t>5,682</w:t>
            </w:r>
          </w:p>
        </w:tc>
        <w:tc>
          <w:tcPr>
            <w:tcW w:w="1134" w:type="dxa"/>
            <w:tcBorders>
              <w:top w:val="single" w:sz="4" w:space="0" w:color="auto"/>
              <w:left w:val="nil"/>
              <w:bottom w:val="single" w:sz="4" w:space="0" w:color="auto"/>
              <w:right w:val="single" w:sz="4" w:space="0" w:color="auto"/>
            </w:tcBorders>
            <w:vAlign w:val="center"/>
          </w:tcPr>
          <w:p w14:paraId="11FEDDBF" w14:textId="77777777" w:rsidR="00B201D3" w:rsidRPr="006D4FBA" w:rsidRDefault="009855E8">
            <w:pPr>
              <w:jc w:val="right"/>
              <w:rPr>
                <w:rFonts w:ascii="宋体" w:eastAsia="宋体" w:hAnsi="宋体"/>
              </w:rPr>
            </w:pPr>
            <w:r w:rsidRPr="006D4FBA">
              <w:rPr>
                <w:rFonts w:ascii="宋体" w:eastAsia="宋体" w:hAnsi="宋体" w:hint="eastAsia"/>
              </w:rPr>
              <w:t>4,194</w:t>
            </w:r>
          </w:p>
        </w:tc>
      </w:tr>
      <w:tr w:rsidR="00B201D3" w:rsidRPr="006D4FBA" w14:paraId="3FF04A4A" w14:textId="77777777">
        <w:trPr>
          <w:trHeight w:val="312"/>
          <w:jc w:val="center"/>
        </w:trPr>
        <w:tc>
          <w:tcPr>
            <w:tcW w:w="2127" w:type="dxa"/>
            <w:tcBorders>
              <w:top w:val="single" w:sz="4" w:space="0" w:color="auto"/>
              <w:left w:val="single" w:sz="4" w:space="0" w:color="auto"/>
              <w:bottom w:val="single" w:sz="4" w:space="0" w:color="auto"/>
              <w:right w:val="single" w:sz="4" w:space="0" w:color="auto"/>
            </w:tcBorders>
            <w:vAlign w:val="center"/>
          </w:tcPr>
          <w:p w14:paraId="47314F83" w14:textId="77777777" w:rsidR="00B201D3" w:rsidRPr="006D4FBA" w:rsidRDefault="009855E8">
            <w:pPr>
              <w:ind w:firstLineChars="200" w:firstLine="420"/>
              <w:rPr>
                <w:rFonts w:ascii="宋体" w:eastAsia="宋体" w:hAnsi="宋体"/>
              </w:rPr>
            </w:pPr>
            <w:r w:rsidRPr="006D4FBA">
              <w:rPr>
                <w:rFonts w:ascii="宋体" w:eastAsia="宋体" w:hAnsi="宋体" w:hint="eastAsia"/>
              </w:rPr>
              <w:t>其中：醋酸</w:t>
            </w:r>
          </w:p>
        </w:tc>
        <w:tc>
          <w:tcPr>
            <w:tcW w:w="992" w:type="dxa"/>
            <w:tcBorders>
              <w:top w:val="single" w:sz="4" w:space="0" w:color="auto"/>
              <w:left w:val="single" w:sz="4" w:space="0" w:color="auto"/>
              <w:bottom w:val="single" w:sz="4" w:space="0" w:color="auto"/>
              <w:right w:val="single" w:sz="4" w:space="0" w:color="auto"/>
            </w:tcBorders>
            <w:vAlign w:val="center"/>
          </w:tcPr>
          <w:p w14:paraId="49C4248A" w14:textId="77777777" w:rsidR="00B201D3" w:rsidRPr="006D4FBA" w:rsidRDefault="009855E8">
            <w:pPr>
              <w:jc w:val="right"/>
              <w:rPr>
                <w:rFonts w:ascii="宋体" w:eastAsia="宋体" w:hAnsi="宋体"/>
              </w:rPr>
            </w:pPr>
            <w:r w:rsidRPr="006D4FBA">
              <w:rPr>
                <w:rFonts w:ascii="宋体" w:eastAsia="宋体" w:hAnsi="宋体"/>
              </w:rPr>
              <w:t xml:space="preserve">578 </w:t>
            </w:r>
          </w:p>
        </w:tc>
        <w:tc>
          <w:tcPr>
            <w:tcW w:w="810" w:type="dxa"/>
            <w:tcBorders>
              <w:top w:val="single" w:sz="4" w:space="0" w:color="auto"/>
              <w:left w:val="single" w:sz="4" w:space="0" w:color="auto"/>
              <w:bottom w:val="single" w:sz="4" w:space="0" w:color="auto"/>
              <w:right w:val="single" w:sz="4" w:space="0" w:color="auto"/>
            </w:tcBorders>
            <w:vAlign w:val="center"/>
          </w:tcPr>
          <w:p w14:paraId="04BA94B5" w14:textId="77777777" w:rsidR="00B201D3" w:rsidRPr="006D4FBA" w:rsidRDefault="009855E8">
            <w:pPr>
              <w:jc w:val="right"/>
              <w:rPr>
                <w:rFonts w:ascii="宋体" w:eastAsia="宋体" w:hAnsi="宋体"/>
              </w:rPr>
            </w:pPr>
            <w:r w:rsidRPr="006D4FBA">
              <w:rPr>
                <w:rFonts w:ascii="宋体" w:eastAsia="宋体" w:hAnsi="宋体"/>
              </w:rPr>
              <w:t xml:space="preserve">365 </w:t>
            </w:r>
          </w:p>
        </w:tc>
        <w:tc>
          <w:tcPr>
            <w:tcW w:w="1007" w:type="dxa"/>
            <w:tcBorders>
              <w:top w:val="single" w:sz="4" w:space="0" w:color="auto"/>
              <w:left w:val="single" w:sz="4" w:space="0" w:color="auto"/>
              <w:bottom w:val="single" w:sz="4" w:space="0" w:color="auto"/>
              <w:right w:val="single" w:sz="4" w:space="0" w:color="auto"/>
            </w:tcBorders>
            <w:vAlign w:val="center"/>
          </w:tcPr>
          <w:p w14:paraId="04E79DAD" w14:textId="77777777" w:rsidR="00B201D3" w:rsidRPr="006D4FBA" w:rsidRDefault="009855E8">
            <w:pPr>
              <w:jc w:val="right"/>
              <w:rPr>
                <w:rFonts w:ascii="宋体" w:eastAsia="宋体" w:hAnsi="宋体"/>
              </w:rPr>
            </w:pPr>
            <w:r w:rsidRPr="006D4FBA">
              <w:rPr>
                <w:rFonts w:ascii="宋体" w:eastAsia="宋体" w:hAnsi="宋体"/>
              </w:rPr>
              <w:t xml:space="preserve">943 </w:t>
            </w:r>
          </w:p>
        </w:tc>
        <w:tc>
          <w:tcPr>
            <w:tcW w:w="1002" w:type="dxa"/>
            <w:tcBorders>
              <w:top w:val="single" w:sz="4" w:space="0" w:color="auto"/>
              <w:left w:val="single" w:sz="4" w:space="0" w:color="auto"/>
              <w:bottom w:val="single" w:sz="4" w:space="0" w:color="auto"/>
              <w:right w:val="single" w:sz="4" w:space="0" w:color="auto"/>
            </w:tcBorders>
            <w:vAlign w:val="center"/>
          </w:tcPr>
          <w:p w14:paraId="4498B8FC" w14:textId="77777777" w:rsidR="00B201D3" w:rsidRPr="006D4FBA" w:rsidRDefault="009855E8">
            <w:pPr>
              <w:jc w:val="right"/>
              <w:rPr>
                <w:rFonts w:ascii="宋体" w:eastAsia="宋体" w:hAnsi="宋体"/>
              </w:rPr>
            </w:pPr>
            <w:r w:rsidRPr="006D4FBA">
              <w:rPr>
                <w:rFonts w:ascii="宋体" w:eastAsia="宋体" w:hAnsi="宋体"/>
              </w:rPr>
              <w:t xml:space="preserve">905 </w:t>
            </w:r>
          </w:p>
        </w:tc>
        <w:tc>
          <w:tcPr>
            <w:tcW w:w="992" w:type="dxa"/>
            <w:tcBorders>
              <w:top w:val="single" w:sz="4" w:space="0" w:color="auto"/>
              <w:left w:val="single" w:sz="4" w:space="0" w:color="auto"/>
              <w:bottom w:val="single" w:sz="4" w:space="0" w:color="auto"/>
              <w:right w:val="single" w:sz="4" w:space="0" w:color="auto"/>
            </w:tcBorders>
            <w:vAlign w:val="center"/>
          </w:tcPr>
          <w:p w14:paraId="31FD6BCC" w14:textId="77777777" w:rsidR="00B201D3" w:rsidRPr="006D4FBA" w:rsidRDefault="009855E8">
            <w:pPr>
              <w:jc w:val="right"/>
              <w:rPr>
                <w:rFonts w:ascii="宋体" w:eastAsia="宋体" w:hAnsi="宋体"/>
              </w:rPr>
            </w:pPr>
            <w:r w:rsidRPr="006D4FBA">
              <w:rPr>
                <w:rFonts w:ascii="宋体" w:eastAsia="宋体" w:hAnsi="宋体" w:hint="eastAsia"/>
              </w:rPr>
              <w:t>467</w:t>
            </w:r>
          </w:p>
        </w:tc>
        <w:tc>
          <w:tcPr>
            <w:tcW w:w="992" w:type="dxa"/>
            <w:tcBorders>
              <w:top w:val="single" w:sz="4" w:space="0" w:color="auto"/>
              <w:left w:val="single" w:sz="4" w:space="0" w:color="auto"/>
              <w:bottom w:val="single" w:sz="4" w:space="0" w:color="auto"/>
              <w:right w:val="single" w:sz="4" w:space="0" w:color="auto"/>
            </w:tcBorders>
            <w:vAlign w:val="center"/>
          </w:tcPr>
          <w:p w14:paraId="621D3930" w14:textId="77777777" w:rsidR="00B201D3" w:rsidRPr="006D4FBA" w:rsidRDefault="009855E8">
            <w:pPr>
              <w:jc w:val="right"/>
              <w:rPr>
                <w:rFonts w:ascii="宋体" w:eastAsia="宋体" w:hAnsi="宋体"/>
              </w:rPr>
            </w:pPr>
            <w:r w:rsidRPr="006D4FBA">
              <w:rPr>
                <w:rFonts w:ascii="宋体" w:eastAsia="宋体" w:hAnsi="宋体" w:hint="eastAsia"/>
              </w:rPr>
              <w:t>327</w:t>
            </w:r>
          </w:p>
        </w:tc>
        <w:tc>
          <w:tcPr>
            <w:tcW w:w="1134" w:type="dxa"/>
            <w:tcBorders>
              <w:top w:val="single" w:sz="4" w:space="0" w:color="auto"/>
              <w:left w:val="single" w:sz="4" w:space="0" w:color="auto"/>
              <w:bottom w:val="single" w:sz="4" w:space="0" w:color="auto"/>
              <w:right w:val="single" w:sz="4" w:space="0" w:color="auto"/>
            </w:tcBorders>
            <w:vAlign w:val="center"/>
          </w:tcPr>
          <w:p w14:paraId="1627DC9A" w14:textId="77777777" w:rsidR="00B201D3" w:rsidRPr="006D4FBA" w:rsidRDefault="009855E8">
            <w:pPr>
              <w:jc w:val="right"/>
              <w:rPr>
                <w:rFonts w:ascii="宋体" w:eastAsia="宋体" w:hAnsi="宋体"/>
              </w:rPr>
            </w:pPr>
            <w:r w:rsidRPr="006D4FBA">
              <w:rPr>
                <w:rFonts w:ascii="宋体" w:eastAsia="宋体" w:hAnsi="宋体" w:hint="eastAsia"/>
              </w:rPr>
              <w:t>1,373</w:t>
            </w:r>
          </w:p>
        </w:tc>
        <w:tc>
          <w:tcPr>
            <w:tcW w:w="1134" w:type="dxa"/>
            <w:tcBorders>
              <w:top w:val="single" w:sz="4" w:space="0" w:color="auto"/>
              <w:left w:val="nil"/>
              <w:bottom w:val="single" w:sz="4" w:space="0" w:color="auto"/>
              <w:right w:val="single" w:sz="4" w:space="0" w:color="auto"/>
            </w:tcBorders>
            <w:vAlign w:val="center"/>
          </w:tcPr>
          <w:p w14:paraId="1246C495" w14:textId="77777777" w:rsidR="00B201D3" w:rsidRPr="006D4FBA" w:rsidRDefault="009855E8">
            <w:pPr>
              <w:jc w:val="right"/>
              <w:rPr>
                <w:rFonts w:ascii="宋体" w:eastAsia="宋体" w:hAnsi="宋体"/>
              </w:rPr>
            </w:pPr>
            <w:r w:rsidRPr="006D4FBA">
              <w:rPr>
                <w:rFonts w:ascii="宋体" w:eastAsia="宋体" w:hAnsi="宋体" w:hint="eastAsia"/>
              </w:rPr>
              <w:t>870</w:t>
            </w:r>
          </w:p>
        </w:tc>
      </w:tr>
      <w:tr w:rsidR="00B201D3" w:rsidRPr="006D4FBA" w14:paraId="22A8216C" w14:textId="77777777">
        <w:trPr>
          <w:trHeight w:val="312"/>
          <w:jc w:val="center"/>
        </w:trPr>
        <w:tc>
          <w:tcPr>
            <w:tcW w:w="2127" w:type="dxa"/>
            <w:tcBorders>
              <w:top w:val="single" w:sz="4" w:space="0" w:color="auto"/>
              <w:left w:val="single" w:sz="4" w:space="0" w:color="auto"/>
              <w:bottom w:val="single" w:sz="4" w:space="0" w:color="auto"/>
              <w:right w:val="single" w:sz="4" w:space="0" w:color="auto"/>
            </w:tcBorders>
            <w:vAlign w:val="center"/>
          </w:tcPr>
          <w:p w14:paraId="005EE1A3" w14:textId="77777777" w:rsidR="00B201D3" w:rsidRPr="006D4FBA" w:rsidRDefault="009855E8">
            <w:pPr>
              <w:ind w:firstLineChars="500" w:firstLine="1050"/>
              <w:rPr>
                <w:rFonts w:ascii="宋体" w:eastAsia="宋体" w:hAnsi="宋体"/>
              </w:rPr>
            </w:pPr>
            <w:r w:rsidRPr="006D4FBA">
              <w:rPr>
                <w:rFonts w:ascii="宋体" w:eastAsia="宋体" w:hAnsi="宋体" w:hint="eastAsia"/>
              </w:rPr>
              <w:t>醋酸乙酯</w:t>
            </w:r>
          </w:p>
        </w:tc>
        <w:tc>
          <w:tcPr>
            <w:tcW w:w="992" w:type="dxa"/>
            <w:tcBorders>
              <w:top w:val="single" w:sz="4" w:space="0" w:color="auto"/>
              <w:left w:val="single" w:sz="4" w:space="0" w:color="auto"/>
              <w:bottom w:val="single" w:sz="4" w:space="0" w:color="auto"/>
              <w:right w:val="single" w:sz="4" w:space="0" w:color="auto"/>
            </w:tcBorders>
            <w:vAlign w:val="center"/>
          </w:tcPr>
          <w:p w14:paraId="5302DB24" w14:textId="77777777" w:rsidR="00B201D3" w:rsidRPr="006D4FBA" w:rsidRDefault="009855E8">
            <w:pPr>
              <w:jc w:val="right"/>
              <w:rPr>
                <w:rFonts w:ascii="宋体" w:eastAsia="宋体" w:hAnsi="宋体"/>
              </w:rPr>
            </w:pPr>
            <w:r w:rsidRPr="006D4FBA">
              <w:rPr>
                <w:rFonts w:ascii="宋体" w:eastAsia="宋体" w:hAnsi="宋体"/>
              </w:rPr>
              <w:t xml:space="preserve">222 </w:t>
            </w:r>
          </w:p>
        </w:tc>
        <w:tc>
          <w:tcPr>
            <w:tcW w:w="810" w:type="dxa"/>
            <w:tcBorders>
              <w:top w:val="single" w:sz="4" w:space="0" w:color="auto"/>
              <w:left w:val="single" w:sz="4" w:space="0" w:color="auto"/>
              <w:bottom w:val="single" w:sz="4" w:space="0" w:color="auto"/>
              <w:right w:val="single" w:sz="4" w:space="0" w:color="auto"/>
            </w:tcBorders>
            <w:vAlign w:val="center"/>
          </w:tcPr>
          <w:p w14:paraId="2F9DE55F" w14:textId="77777777" w:rsidR="00B201D3" w:rsidRPr="006D4FBA" w:rsidRDefault="009855E8">
            <w:pPr>
              <w:jc w:val="right"/>
              <w:rPr>
                <w:rFonts w:ascii="宋体" w:eastAsia="宋体" w:hAnsi="宋体"/>
              </w:rPr>
            </w:pPr>
            <w:r w:rsidRPr="006D4FBA">
              <w:rPr>
                <w:rFonts w:ascii="宋体" w:eastAsia="宋体" w:hAnsi="宋体"/>
              </w:rPr>
              <w:t xml:space="preserve">225 </w:t>
            </w:r>
          </w:p>
        </w:tc>
        <w:tc>
          <w:tcPr>
            <w:tcW w:w="1007" w:type="dxa"/>
            <w:tcBorders>
              <w:top w:val="single" w:sz="4" w:space="0" w:color="auto"/>
              <w:left w:val="single" w:sz="4" w:space="0" w:color="auto"/>
              <w:bottom w:val="single" w:sz="4" w:space="0" w:color="auto"/>
              <w:right w:val="single" w:sz="4" w:space="0" w:color="auto"/>
            </w:tcBorders>
            <w:vAlign w:val="center"/>
          </w:tcPr>
          <w:p w14:paraId="577547F3" w14:textId="77777777" w:rsidR="00B201D3" w:rsidRPr="006D4FBA" w:rsidRDefault="009855E8">
            <w:pPr>
              <w:jc w:val="right"/>
              <w:rPr>
                <w:rFonts w:ascii="宋体" w:eastAsia="宋体" w:hAnsi="宋体"/>
              </w:rPr>
            </w:pPr>
            <w:r w:rsidRPr="006D4FBA">
              <w:rPr>
                <w:rFonts w:ascii="宋体" w:eastAsia="宋体" w:hAnsi="宋体"/>
              </w:rPr>
              <w:t xml:space="preserve">1,240 </w:t>
            </w:r>
          </w:p>
        </w:tc>
        <w:tc>
          <w:tcPr>
            <w:tcW w:w="1002" w:type="dxa"/>
            <w:tcBorders>
              <w:top w:val="single" w:sz="4" w:space="0" w:color="auto"/>
              <w:left w:val="single" w:sz="4" w:space="0" w:color="auto"/>
              <w:bottom w:val="single" w:sz="4" w:space="0" w:color="auto"/>
              <w:right w:val="single" w:sz="4" w:space="0" w:color="auto"/>
            </w:tcBorders>
            <w:vAlign w:val="center"/>
          </w:tcPr>
          <w:p w14:paraId="49561855" w14:textId="77777777" w:rsidR="00B201D3" w:rsidRPr="006D4FBA" w:rsidRDefault="009855E8">
            <w:pPr>
              <w:jc w:val="right"/>
              <w:rPr>
                <w:rFonts w:ascii="宋体" w:eastAsia="宋体" w:hAnsi="宋体"/>
              </w:rPr>
            </w:pPr>
            <w:r w:rsidRPr="006D4FBA">
              <w:rPr>
                <w:rFonts w:ascii="宋体" w:eastAsia="宋体" w:hAnsi="宋体"/>
              </w:rPr>
              <w:t xml:space="preserve">1,177 </w:t>
            </w:r>
          </w:p>
        </w:tc>
        <w:tc>
          <w:tcPr>
            <w:tcW w:w="992" w:type="dxa"/>
            <w:tcBorders>
              <w:top w:val="single" w:sz="4" w:space="0" w:color="auto"/>
              <w:left w:val="single" w:sz="4" w:space="0" w:color="auto"/>
              <w:bottom w:val="single" w:sz="4" w:space="0" w:color="auto"/>
              <w:right w:val="single" w:sz="4" w:space="0" w:color="auto"/>
            </w:tcBorders>
            <w:vAlign w:val="center"/>
          </w:tcPr>
          <w:p w14:paraId="06F053AB" w14:textId="77777777" w:rsidR="00B201D3" w:rsidRPr="006D4FBA" w:rsidRDefault="009855E8">
            <w:pPr>
              <w:jc w:val="right"/>
              <w:rPr>
                <w:rFonts w:ascii="宋体" w:eastAsia="宋体" w:hAnsi="宋体"/>
              </w:rPr>
            </w:pPr>
            <w:r w:rsidRPr="006D4FBA">
              <w:rPr>
                <w:rFonts w:ascii="宋体" w:eastAsia="宋体" w:hAnsi="宋体" w:hint="eastAsia"/>
              </w:rPr>
              <w:t>158</w:t>
            </w:r>
          </w:p>
        </w:tc>
        <w:tc>
          <w:tcPr>
            <w:tcW w:w="992" w:type="dxa"/>
            <w:tcBorders>
              <w:top w:val="single" w:sz="4" w:space="0" w:color="auto"/>
              <w:left w:val="single" w:sz="4" w:space="0" w:color="auto"/>
              <w:bottom w:val="single" w:sz="4" w:space="0" w:color="auto"/>
              <w:right w:val="single" w:sz="4" w:space="0" w:color="auto"/>
            </w:tcBorders>
            <w:vAlign w:val="center"/>
          </w:tcPr>
          <w:p w14:paraId="4CC671FB" w14:textId="77777777" w:rsidR="00B201D3" w:rsidRPr="006D4FBA" w:rsidRDefault="009855E8">
            <w:pPr>
              <w:jc w:val="right"/>
              <w:rPr>
                <w:rFonts w:ascii="宋体" w:eastAsia="宋体" w:hAnsi="宋体"/>
              </w:rPr>
            </w:pPr>
            <w:r w:rsidRPr="006D4FBA">
              <w:rPr>
                <w:rFonts w:ascii="宋体" w:eastAsia="宋体" w:hAnsi="宋体" w:hint="eastAsia"/>
              </w:rPr>
              <w:t>157</w:t>
            </w:r>
          </w:p>
        </w:tc>
        <w:tc>
          <w:tcPr>
            <w:tcW w:w="1134" w:type="dxa"/>
            <w:tcBorders>
              <w:top w:val="single" w:sz="4" w:space="0" w:color="auto"/>
              <w:left w:val="single" w:sz="4" w:space="0" w:color="auto"/>
              <w:bottom w:val="single" w:sz="4" w:space="0" w:color="auto"/>
              <w:right w:val="single" w:sz="4" w:space="0" w:color="auto"/>
            </w:tcBorders>
            <w:vAlign w:val="center"/>
          </w:tcPr>
          <w:p w14:paraId="740F8020" w14:textId="77777777" w:rsidR="00B201D3" w:rsidRPr="006D4FBA" w:rsidRDefault="009855E8">
            <w:pPr>
              <w:jc w:val="right"/>
              <w:rPr>
                <w:rFonts w:ascii="宋体" w:eastAsia="宋体" w:hAnsi="宋体"/>
              </w:rPr>
            </w:pPr>
            <w:r w:rsidRPr="006D4FBA">
              <w:rPr>
                <w:rFonts w:ascii="宋体" w:eastAsia="宋体" w:hAnsi="宋体" w:hint="eastAsia"/>
              </w:rPr>
              <w:t>1,099</w:t>
            </w:r>
          </w:p>
        </w:tc>
        <w:tc>
          <w:tcPr>
            <w:tcW w:w="1134" w:type="dxa"/>
            <w:tcBorders>
              <w:top w:val="single" w:sz="4" w:space="0" w:color="auto"/>
              <w:left w:val="nil"/>
              <w:bottom w:val="single" w:sz="4" w:space="0" w:color="auto"/>
              <w:right w:val="single" w:sz="4" w:space="0" w:color="auto"/>
            </w:tcBorders>
            <w:vAlign w:val="center"/>
          </w:tcPr>
          <w:p w14:paraId="11B33294" w14:textId="77777777" w:rsidR="00B201D3" w:rsidRPr="006D4FBA" w:rsidRDefault="009855E8">
            <w:pPr>
              <w:jc w:val="right"/>
              <w:rPr>
                <w:rFonts w:ascii="宋体" w:eastAsia="宋体" w:hAnsi="宋体"/>
              </w:rPr>
            </w:pPr>
            <w:r w:rsidRPr="006D4FBA">
              <w:rPr>
                <w:rFonts w:ascii="宋体" w:eastAsia="宋体" w:hAnsi="宋体" w:hint="eastAsia"/>
              </w:rPr>
              <w:t>894</w:t>
            </w:r>
          </w:p>
        </w:tc>
      </w:tr>
      <w:tr w:rsidR="00B201D3" w:rsidRPr="006D4FBA" w14:paraId="6BB6FB49" w14:textId="77777777">
        <w:trPr>
          <w:trHeight w:val="312"/>
          <w:jc w:val="center"/>
        </w:trPr>
        <w:tc>
          <w:tcPr>
            <w:tcW w:w="2127" w:type="dxa"/>
            <w:tcBorders>
              <w:top w:val="single" w:sz="4" w:space="0" w:color="auto"/>
              <w:left w:val="single" w:sz="4" w:space="0" w:color="auto"/>
              <w:bottom w:val="single" w:sz="4" w:space="0" w:color="auto"/>
              <w:right w:val="single" w:sz="4" w:space="0" w:color="auto"/>
            </w:tcBorders>
            <w:vAlign w:val="center"/>
          </w:tcPr>
          <w:p w14:paraId="2716F4EB" w14:textId="77777777" w:rsidR="00B201D3" w:rsidRPr="006D4FBA" w:rsidRDefault="009855E8">
            <w:pPr>
              <w:ind w:firstLineChars="500" w:firstLine="1050"/>
              <w:rPr>
                <w:rFonts w:ascii="宋体" w:eastAsia="宋体" w:hAnsi="宋体"/>
              </w:rPr>
            </w:pPr>
            <w:r w:rsidRPr="006D4FBA">
              <w:rPr>
                <w:rFonts w:ascii="宋体" w:eastAsia="宋体" w:hAnsi="宋体" w:hint="eastAsia"/>
              </w:rPr>
              <w:t>己内酰胺</w:t>
            </w:r>
          </w:p>
        </w:tc>
        <w:tc>
          <w:tcPr>
            <w:tcW w:w="992" w:type="dxa"/>
            <w:tcBorders>
              <w:top w:val="single" w:sz="4" w:space="0" w:color="auto"/>
              <w:left w:val="single" w:sz="4" w:space="0" w:color="auto"/>
              <w:bottom w:val="single" w:sz="4" w:space="0" w:color="auto"/>
              <w:right w:val="single" w:sz="4" w:space="0" w:color="auto"/>
            </w:tcBorders>
            <w:vAlign w:val="center"/>
          </w:tcPr>
          <w:p w14:paraId="36BE9631" w14:textId="77777777" w:rsidR="00B201D3" w:rsidRPr="006D4FBA" w:rsidRDefault="009855E8">
            <w:pPr>
              <w:jc w:val="right"/>
              <w:rPr>
                <w:rFonts w:ascii="宋体" w:eastAsia="宋体" w:hAnsi="宋体"/>
              </w:rPr>
            </w:pPr>
            <w:r w:rsidRPr="006D4FBA">
              <w:rPr>
                <w:rFonts w:ascii="宋体" w:eastAsia="宋体" w:hAnsi="宋体"/>
              </w:rPr>
              <w:t xml:space="preserve">148 </w:t>
            </w:r>
          </w:p>
        </w:tc>
        <w:tc>
          <w:tcPr>
            <w:tcW w:w="810" w:type="dxa"/>
            <w:tcBorders>
              <w:top w:val="single" w:sz="4" w:space="0" w:color="auto"/>
              <w:left w:val="single" w:sz="4" w:space="0" w:color="auto"/>
              <w:bottom w:val="single" w:sz="4" w:space="0" w:color="auto"/>
              <w:right w:val="single" w:sz="4" w:space="0" w:color="auto"/>
            </w:tcBorders>
            <w:vAlign w:val="center"/>
          </w:tcPr>
          <w:p w14:paraId="48949FD4" w14:textId="77777777" w:rsidR="00B201D3" w:rsidRPr="006D4FBA" w:rsidRDefault="009855E8">
            <w:pPr>
              <w:jc w:val="right"/>
              <w:rPr>
                <w:rFonts w:ascii="宋体" w:eastAsia="宋体" w:hAnsi="宋体"/>
              </w:rPr>
            </w:pPr>
            <w:r w:rsidRPr="006D4FBA">
              <w:rPr>
                <w:rFonts w:ascii="宋体" w:eastAsia="宋体" w:hAnsi="宋体"/>
              </w:rPr>
              <w:t xml:space="preserve">146 </w:t>
            </w:r>
          </w:p>
        </w:tc>
        <w:tc>
          <w:tcPr>
            <w:tcW w:w="1007" w:type="dxa"/>
            <w:tcBorders>
              <w:top w:val="single" w:sz="4" w:space="0" w:color="auto"/>
              <w:left w:val="single" w:sz="4" w:space="0" w:color="auto"/>
              <w:bottom w:val="single" w:sz="4" w:space="0" w:color="auto"/>
              <w:right w:val="single" w:sz="4" w:space="0" w:color="auto"/>
            </w:tcBorders>
            <w:vAlign w:val="center"/>
          </w:tcPr>
          <w:p w14:paraId="08C4738B" w14:textId="77777777" w:rsidR="00B201D3" w:rsidRPr="006D4FBA" w:rsidRDefault="009855E8">
            <w:pPr>
              <w:jc w:val="right"/>
              <w:rPr>
                <w:rFonts w:ascii="宋体" w:eastAsia="宋体" w:hAnsi="宋体"/>
              </w:rPr>
            </w:pPr>
            <w:r w:rsidRPr="006D4FBA">
              <w:rPr>
                <w:rFonts w:ascii="宋体" w:eastAsia="宋体" w:hAnsi="宋体"/>
              </w:rPr>
              <w:t xml:space="preserve">1,549 </w:t>
            </w:r>
          </w:p>
        </w:tc>
        <w:tc>
          <w:tcPr>
            <w:tcW w:w="1002" w:type="dxa"/>
            <w:tcBorders>
              <w:top w:val="single" w:sz="4" w:space="0" w:color="auto"/>
              <w:left w:val="single" w:sz="4" w:space="0" w:color="auto"/>
              <w:bottom w:val="single" w:sz="4" w:space="0" w:color="auto"/>
              <w:right w:val="single" w:sz="4" w:space="0" w:color="auto"/>
            </w:tcBorders>
            <w:vAlign w:val="center"/>
          </w:tcPr>
          <w:p w14:paraId="739141B5" w14:textId="77777777" w:rsidR="00B201D3" w:rsidRPr="006D4FBA" w:rsidRDefault="009855E8">
            <w:pPr>
              <w:jc w:val="right"/>
              <w:rPr>
                <w:rFonts w:ascii="宋体" w:eastAsia="宋体" w:hAnsi="宋体"/>
              </w:rPr>
            </w:pPr>
            <w:r w:rsidRPr="006D4FBA">
              <w:rPr>
                <w:rFonts w:ascii="宋体" w:eastAsia="宋体" w:hAnsi="宋体"/>
              </w:rPr>
              <w:t xml:space="preserve">1,437 </w:t>
            </w:r>
          </w:p>
        </w:tc>
        <w:tc>
          <w:tcPr>
            <w:tcW w:w="992" w:type="dxa"/>
            <w:tcBorders>
              <w:top w:val="single" w:sz="4" w:space="0" w:color="auto"/>
              <w:left w:val="single" w:sz="4" w:space="0" w:color="auto"/>
              <w:bottom w:val="single" w:sz="4" w:space="0" w:color="auto"/>
              <w:right w:val="single" w:sz="4" w:space="0" w:color="auto"/>
            </w:tcBorders>
            <w:vAlign w:val="center"/>
          </w:tcPr>
          <w:p w14:paraId="2692AF05" w14:textId="77777777" w:rsidR="00B201D3" w:rsidRPr="006D4FBA" w:rsidRDefault="009855E8">
            <w:pPr>
              <w:jc w:val="right"/>
              <w:rPr>
                <w:rFonts w:ascii="宋体" w:eastAsia="宋体" w:hAnsi="宋体"/>
              </w:rPr>
            </w:pPr>
            <w:r w:rsidRPr="006D4FBA">
              <w:rPr>
                <w:rFonts w:ascii="宋体" w:eastAsia="宋体" w:hAnsi="宋体" w:hint="eastAsia"/>
              </w:rPr>
              <w:t>123</w:t>
            </w:r>
          </w:p>
        </w:tc>
        <w:tc>
          <w:tcPr>
            <w:tcW w:w="992" w:type="dxa"/>
            <w:tcBorders>
              <w:top w:val="single" w:sz="4" w:space="0" w:color="auto"/>
              <w:left w:val="single" w:sz="4" w:space="0" w:color="auto"/>
              <w:bottom w:val="single" w:sz="4" w:space="0" w:color="auto"/>
              <w:right w:val="single" w:sz="4" w:space="0" w:color="auto"/>
            </w:tcBorders>
            <w:vAlign w:val="center"/>
          </w:tcPr>
          <w:p w14:paraId="64512CCE" w14:textId="77777777" w:rsidR="00B201D3" w:rsidRPr="006D4FBA" w:rsidRDefault="009855E8">
            <w:pPr>
              <w:jc w:val="right"/>
              <w:rPr>
                <w:rFonts w:ascii="宋体" w:eastAsia="宋体" w:hAnsi="宋体"/>
              </w:rPr>
            </w:pPr>
            <w:r w:rsidRPr="006D4FBA">
              <w:rPr>
                <w:rFonts w:ascii="宋体" w:eastAsia="宋体" w:hAnsi="宋体" w:hint="eastAsia"/>
              </w:rPr>
              <w:t>124</w:t>
            </w:r>
          </w:p>
        </w:tc>
        <w:tc>
          <w:tcPr>
            <w:tcW w:w="1134" w:type="dxa"/>
            <w:tcBorders>
              <w:top w:val="single" w:sz="4" w:space="0" w:color="auto"/>
              <w:left w:val="single" w:sz="4" w:space="0" w:color="auto"/>
              <w:bottom w:val="single" w:sz="4" w:space="0" w:color="auto"/>
              <w:right w:val="single" w:sz="4" w:space="0" w:color="auto"/>
            </w:tcBorders>
            <w:vAlign w:val="center"/>
          </w:tcPr>
          <w:p w14:paraId="1930BA72" w14:textId="77777777" w:rsidR="00B201D3" w:rsidRPr="006D4FBA" w:rsidRDefault="009855E8">
            <w:pPr>
              <w:jc w:val="right"/>
              <w:rPr>
                <w:rFonts w:ascii="宋体" w:eastAsia="宋体" w:hAnsi="宋体"/>
              </w:rPr>
            </w:pPr>
            <w:r w:rsidRPr="006D4FBA">
              <w:rPr>
                <w:rFonts w:ascii="宋体" w:eastAsia="宋体" w:hAnsi="宋体" w:hint="eastAsia"/>
              </w:rPr>
              <w:t>1,489</w:t>
            </w:r>
          </w:p>
        </w:tc>
        <w:tc>
          <w:tcPr>
            <w:tcW w:w="1134" w:type="dxa"/>
            <w:tcBorders>
              <w:top w:val="single" w:sz="4" w:space="0" w:color="auto"/>
              <w:left w:val="nil"/>
              <w:bottom w:val="single" w:sz="4" w:space="0" w:color="auto"/>
              <w:right w:val="single" w:sz="4" w:space="0" w:color="auto"/>
            </w:tcBorders>
            <w:vAlign w:val="center"/>
          </w:tcPr>
          <w:p w14:paraId="7D6D788F" w14:textId="77777777" w:rsidR="00B201D3" w:rsidRPr="006D4FBA" w:rsidRDefault="009855E8">
            <w:pPr>
              <w:jc w:val="right"/>
              <w:rPr>
                <w:rFonts w:ascii="宋体" w:eastAsia="宋体" w:hAnsi="宋体"/>
              </w:rPr>
            </w:pPr>
            <w:r w:rsidRPr="006D4FBA">
              <w:rPr>
                <w:rFonts w:ascii="宋体" w:eastAsia="宋体" w:hAnsi="宋体" w:hint="eastAsia"/>
              </w:rPr>
              <w:t>1,307</w:t>
            </w:r>
          </w:p>
        </w:tc>
      </w:tr>
      <w:tr w:rsidR="00B201D3" w:rsidRPr="006D4FBA" w14:paraId="6FDC6AFF" w14:textId="77777777">
        <w:trPr>
          <w:trHeight w:val="312"/>
          <w:jc w:val="center"/>
        </w:trPr>
        <w:tc>
          <w:tcPr>
            <w:tcW w:w="2127" w:type="dxa"/>
            <w:tcBorders>
              <w:top w:val="single" w:sz="4" w:space="0" w:color="auto"/>
              <w:left w:val="single" w:sz="4" w:space="0" w:color="auto"/>
              <w:bottom w:val="single" w:sz="4" w:space="0" w:color="auto"/>
              <w:right w:val="single" w:sz="4" w:space="0" w:color="auto"/>
            </w:tcBorders>
            <w:vAlign w:val="center"/>
          </w:tcPr>
          <w:p w14:paraId="65D30ABD" w14:textId="77777777" w:rsidR="00B201D3" w:rsidRPr="006D4FBA" w:rsidRDefault="009855E8">
            <w:pPr>
              <w:ind w:firstLineChars="500" w:firstLine="1050"/>
              <w:rPr>
                <w:rFonts w:ascii="宋体" w:eastAsia="宋体" w:hAnsi="宋体"/>
              </w:rPr>
            </w:pPr>
            <w:r w:rsidRPr="006D4FBA">
              <w:rPr>
                <w:rFonts w:ascii="宋体" w:eastAsia="宋体" w:hAnsi="宋体" w:hint="eastAsia"/>
              </w:rPr>
              <w:t>聚甲醛</w:t>
            </w:r>
          </w:p>
        </w:tc>
        <w:tc>
          <w:tcPr>
            <w:tcW w:w="992" w:type="dxa"/>
            <w:tcBorders>
              <w:top w:val="single" w:sz="4" w:space="0" w:color="auto"/>
              <w:left w:val="single" w:sz="4" w:space="0" w:color="auto"/>
              <w:bottom w:val="single" w:sz="4" w:space="0" w:color="auto"/>
              <w:right w:val="single" w:sz="4" w:space="0" w:color="auto"/>
            </w:tcBorders>
            <w:vAlign w:val="center"/>
          </w:tcPr>
          <w:p w14:paraId="6C4FF22A" w14:textId="77777777" w:rsidR="00B201D3" w:rsidRPr="006D4FBA" w:rsidRDefault="009855E8">
            <w:pPr>
              <w:jc w:val="right"/>
              <w:rPr>
                <w:rFonts w:ascii="宋体" w:eastAsia="宋体" w:hAnsi="宋体"/>
              </w:rPr>
            </w:pPr>
            <w:r w:rsidRPr="006D4FBA">
              <w:rPr>
                <w:rFonts w:ascii="宋体" w:eastAsia="宋体" w:hAnsi="宋体"/>
              </w:rPr>
              <w:t xml:space="preserve">37 </w:t>
            </w:r>
          </w:p>
        </w:tc>
        <w:tc>
          <w:tcPr>
            <w:tcW w:w="810" w:type="dxa"/>
            <w:tcBorders>
              <w:top w:val="single" w:sz="4" w:space="0" w:color="auto"/>
              <w:left w:val="single" w:sz="4" w:space="0" w:color="auto"/>
              <w:bottom w:val="single" w:sz="4" w:space="0" w:color="auto"/>
              <w:right w:val="single" w:sz="4" w:space="0" w:color="auto"/>
            </w:tcBorders>
            <w:vAlign w:val="center"/>
          </w:tcPr>
          <w:p w14:paraId="520A189D" w14:textId="77777777" w:rsidR="00B201D3" w:rsidRPr="006D4FBA" w:rsidRDefault="009855E8">
            <w:pPr>
              <w:jc w:val="right"/>
              <w:rPr>
                <w:rFonts w:ascii="宋体" w:eastAsia="宋体" w:hAnsi="宋体"/>
              </w:rPr>
            </w:pPr>
            <w:r w:rsidRPr="006D4FBA">
              <w:rPr>
                <w:rFonts w:ascii="宋体" w:eastAsia="宋体" w:hAnsi="宋体"/>
              </w:rPr>
              <w:t xml:space="preserve">36 </w:t>
            </w:r>
          </w:p>
        </w:tc>
        <w:tc>
          <w:tcPr>
            <w:tcW w:w="1007" w:type="dxa"/>
            <w:tcBorders>
              <w:top w:val="single" w:sz="4" w:space="0" w:color="auto"/>
              <w:left w:val="single" w:sz="4" w:space="0" w:color="auto"/>
              <w:bottom w:val="single" w:sz="4" w:space="0" w:color="auto"/>
              <w:right w:val="single" w:sz="4" w:space="0" w:color="auto"/>
            </w:tcBorders>
            <w:vAlign w:val="center"/>
          </w:tcPr>
          <w:p w14:paraId="685F137A" w14:textId="77777777" w:rsidR="00B201D3" w:rsidRPr="006D4FBA" w:rsidRDefault="009855E8">
            <w:pPr>
              <w:jc w:val="right"/>
              <w:rPr>
                <w:rFonts w:ascii="宋体" w:eastAsia="宋体" w:hAnsi="宋体"/>
              </w:rPr>
            </w:pPr>
            <w:r w:rsidRPr="006D4FBA">
              <w:rPr>
                <w:rFonts w:ascii="宋体" w:eastAsia="宋体" w:hAnsi="宋体"/>
              </w:rPr>
              <w:t xml:space="preserve">382 </w:t>
            </w:r>
          </w:p>
        </w:tc>
        <w:tc>
          <w:tcPr>
            <w:tcW w:w="1002" w:type="dxa"/>
            <w:tcBorders>
              <w:top w:val="single" w:sz="4" w:space="0" w:color="auto"/>
              <w:left w:val="single" w:sz="4" w:space="0" w:color="auto"/>
              <w:bottom w:val="single" w:sz="4" w:space="0" w:color="auto"/>
              <w:right w:val="single" w:sz="4" w:space="0" w:color="auto"/>
            </w:tcBorders>
            <w:vAlign w:val="center"/>
          </w:tcPr>
          <w:p w14:paraId="227B245C" w14:textId="77777777" w:rsidR="00B201D3" w:rsidRPr="006D4FBA" w:rsidRDefault="009855E8">
            <w:pPr>
              <w:jc w:val="right"/>
              <w:rPr>
                <w:rFonts w:ascii="宋体" w:eastAsia="宋体" w:hAnsi="宋体"/>
              </w:rPr>
            </w:pPr>
            <w:r w:rsidRPr="006D4FBA">
              <w:rPr>
                <w:rFonts w:ascii="宋体" w:eastAsia="宋体" w:hAnsi="宋体"/>
              </w:rPr>
              <w:t xml:space="preserve">335 </w:t>
            </w:r>
          </w:p>
        </w:tc>
        <w:tc>
          <w:tcPr>
            <w:tcW w:w="992" w:type="dxa"/>
            <w:tcBorders>
              <w:top w:val="single" w:sz="4" w:space="0" w:color="auto"/>
              <w:left w:val="single" w:sz="4" w:space="0" w:color="auto"/>
              <w:bottom w:val="single" w:sz="4" w:space="0" w:color="auto"/>
              <w:right w:val="single" w:sz="4" w:space="0" w:color="auto"/>
            </w:tcBorders>
            <w:vAlign w:val="center"/>
          </w:tcPr>
          <w:p w14:paraId="692EAC9E" w14:textId="77777777" w:rsidR="00B201D3" w:rsidRPr="006D4FBA" w:rsidRDefault="009855E8">
            <w:pPr>
              <w:jc w:val="right"/>
              <w:rPr>
                <w:rFonts w:ascii="宋体" w:eastAsia="宋体" w:hAnsi="宋体"/>
              </w:rPr>
            </w:pPr>
            <w:r w:rsidRPr="006D4FBA">
              <w:rPr>
                <w:rFonts w:ascii="宋体" w:eastAsia="宋体" w:hAnsi="宋体" w:hint="eastAsia"/>
              </w:rPr>
              <w:t>37</w:t>
            </w:r>
          </w:p>
        </w:tc>
        <w:tc>
          <w:tcPr>
            <w:tcW w:w="992" w:type="dxa"/>
            <w:tcBorders>
              <w:top w:val="single" w:sz="4" w:space="0" w:color="auto"/>
              <w:left w:val="single" w:sz="4" w:space="0" w:color="auto"/>
              <w:bottom w:val="single" w:sz="4" w:space="0" w:color="auto"/>
              <w:right w:val="single" w:sz="4" w:space="0" w:color="auto"/>
            </w:tcBorders>
            <w:vAlign w:val="center"/>
          </w:tcPr>
          <w:p w14:paraId="3EA12960" w14:textId="77777777" w:rsidR="00B201D3" w:rsidRPr="006D4FBA" w:rsidRDefault="009855E8">
            <w:pPr>
              <w:jc w:val="right"/>
              <w:rPr>
                <w:rFonts w:ascii="宋体" w:eastAsia="宋体" w:hAnsi="宋体"/>
              </w:rPr>
            </w:pPr>
            <w:r w:rsidRPr="006D4FBA">
              <w:rPr>
                <w:rFonts w:ascii="宋体" w:eastAsia="宋体" w:hAnsi="宋体" w:hint="eastAsia"/>
              </w:rPr>
              <w:t>36</w:t>
            </w:r>
          </w:p>
        </w:tc>
        <w:tc>
          <w:tcPr>
            <w:tcW w:w="1134" w:type="dxa"/>
            <w:tcBorders>
              <w:top w:val="single" w:sz="4" w:space="0" w:color="auto"/>
              <w:left w:val="single" w:sz="4" w:space="0" w:color="auto"/>
              <w:bottom w:val="single" w:sz="4" w:space="0" w:color="auto"/>
              <w:right w:val="single" w:sz="4" w:space="0" w:color="auto"/>
            </w:tcBorders>
            <w:vAlign w:val="center"/>
          </w:tcPr>
          <w:p w14:paraId="47BD2B01" w14:textId="77777777" w:rsidR="00B201D3" w:rsidRPr="006D4FBA" w:rsidRDefault="009855E8">
            <w:pPr>
              <w:jc w:val="right"/>
              <w:rPr>
                <w:rFonts w:ascii="宋体" w:eastAsia="宋体" w:hAnsi="宋体"/>
              </w:rPr>
            </w:pPr>
            <w:r w:rsidRPr="006D4FBA">
              <w:rPr>
                <w:rFonts w:ascii="宋体" w:eastAsia="宋体" w:hAnsi="宋体" w:hint="eastAsia"/>
              </w:rPr>
              <w:t>663</w:t>
            </w:r>
          </w:p>
        </w:tc>
        <w:tc>
          <w:tcPr>
            <w:tcW w:w="1134" w:type="dxa"/>
            <w:tcBorders>
              <w:top w:val="single" w:sz="4" w:space="0" w:color="auto"/>
              <w:left w:val="nil"/>
              <w:bottom w:val="single" w:sz="4" w:space="0" w:color="auto"/>
              <w:right w:val="single" w:sz="4" w:space="0" w:color="auto"/>
            </w:tcBorders>
            <w:vAlign w:val="center"/>
          </w:tcPr>
          <w:p w14:paraId="3F27AB1E" w14:textId="77777777" w:rsidR="00B201D3" w:rsidRPr="006D4FBA" w:rsidRDefault="009855E8">
            <w:pPr>
              <w:jc w:val="right"/>
              <w:rPr>
                <w:rFonts w:ascii="宋体" w:eastAsia="宋体" w:hAnsi="宋体"/>
              </w:rPr>
            </w:pPr>
            <w:r w:rsidRPr="006D4FBA">
              <w:rPr>
                <w:rFonts w:ascii="宋体" w:eastAsia="宋体" w:hAnsi="宋体" w:hint="eastAsia"/>
              </w:rPr>
              <w:t>330</w:t>
            </w:r>
          </w:p>
        </w:tc>
      </w:tr>
      <w:tr w:rsidR="00B201D3" w:rsidRPr="006D4FBA" w14:paraId="79E7604F" w14:textId="77777777">
        <w:trPr>
          <w:trHeight w:val="312"/>
          <w:jc w:val="center"/>
        </w:trPr>
        <w:tc>
          <w:tcPr>
            <w:tcW w:w="2127" w:type="dxa"/>
            <w:tcBorders>
              <w:top w:val="single" w:sz="4" w:space="0" w:color="auto"/>
              <w:left w:val="single" w:sz="4" w:space="0" w:color="auto"/>
              <w:bottom w:val="single" w:sz="4" w:space="0" w:color="auto"/>
              <w:right w:val="single" w:sz="4" w:space="0" w:color="auto"/>
            </w:tcBorders>
            <w:vAlign w:val="center"/>
          </w:tcPr>
          <w:p w14:paraId="7601B550" w14:textId="77777777" w:rsidR="00B201D3" w:rsidRPr="006D4FBA" w:rsidRDefault="009855E8">
            <w:pPr>
              <w:rPr>
                <w:rFonts w:ascii="宋体" w:eastAsia="宋体" w:hAnsi="宋体"/>
              </w:rPr>
            </w:pPr>
            <w:r w:rsidRPr="006D4FBA">
              <w:rPr>
                <w:rFonts w:ascii="宋体" w:eastAsia="宋体" w:hAnsi="宋体" w:hint="eastAsia"/>
              </w:rPr>
              <w:lastRenderedPageBreak/>
              <w:t>二、未来能源</w:t>
            </w:r>
          </w:p>
        </w:tc>
        <w:tc>
          <w:tcPr>
            <w:tcW w:w="992" w:type="dxa"/>
            <w:tcBorders>
              <w:top w:val="single" w:sz="4" w:space="0" w:color="auto"/>
              <w:left w:val="single" w:sz="4" w:space="0" w:color="auto"/>
              <w:bottom w:val="single" w:sz="4" w:space="0" w:color="auto"/>
              <w:right w:val="single" w:sz="4" w:space="0" w:color="auto"/>
            </w:tcBorders>
            <w:vAlign w:val="center"/>
          </w:tcPr>
          <w:p w14:paraId="3A95C7DB" w14:textId="77777777" w:rsidR="00B201D3" w:rsidRPr="006D4FBA" w:rsidRDefault="009855E8">
            <w:pPr>
              <w:jc w:val="right"/>
              <w:rPr>
                <w:rFonts w:ascii="宋体" w:eastAsia="宋体" w:hAnsi="宋体"/>
              </w:rPr>
            </w:pPr>
            <w:r w:rsidRPr="006D4FBA">
              <w:rPr>
                <w:rFonts w:ascii="宋体" w:eastAsia="宋体" w:hAnsi="宋体"/>
              </w:rPr>
              <w:t xml:space="preserve">531 </w:t>
            </w:r>
          </w:p>
        </w:tc>
        <w:tc>
          <w:tcPr>
            <w:tcW w:w="810" w:type="dxa"/>
            <w:tcBorders>
              <w:top w:val="single" w:sz="4" w:space="0" w:color="auto"/>
              <w:left w:val="single" w:sz="4" w:space="0" w:color="auto"/>
              <w:bottom w:val="single" w:sz="4" w:space="0" w:color="auto"/>
              <w:right w:val="single" w:sz="4" w:space="0" w:color="auto"/>
            </w:tcBorders>
            <w:vAlign w:val="center"/>
          </w:tcPr>
          <w:p w14:paraId="1F20F7E6" w14:textId="77777777" w:rsidR="00B201D3" w:rsidRPr="006D4FBA" w:rsidRDefault="009855E8">
            <w:pPr>
              <w:jc w:val="right"/>
              <w:rPr>
                <w:rFonts w:ascii="宋体" w:eastAsia="宋体" w:hAnsi="宋体"/>
              </w:rPr>
            </w:pPr>
            <w:r w:rsidRPr="006D4FBA">
              <w:rPr>
                <w:rFonts w:ascii="宋体" w:eastAsia="宋体" w:hAnsi="宋体"/>
              </w:rPr>
              <w:t xml:space="preserve">463 </w:t>
            </w:r>
          </w:p>
        </w:tc>
        <w:tc>
          <w:tcPr>
            <w:tcW w:w="1007" w:type="dxa"/>
            <w:tcBorders>
              <w:top w:val="single" w:sz="4" w:space="0" w:color="auto"/>
              <w:left w:val="single" w:sz="4" w:space="0" w:color="auto"/>
              <w:bottom w:val="single" w:sz="4" w:space="0" w:color="auto"/>
              <w:right w:val="single" w:sz="4" w:space="0" w:color="auto"/>
            </w:tcBorders>
            <w:vAlign w:val="center"/>
          </w:tcPr>
          <w:p w14:paraId="4ED2F624" w14:textId="77777777" w:rsidR="00B201D3" w:rsidRPr="006D4FBA" w:rsidRDefault="009855E8">
            <w:pPr>
              <w:jc w:val="right"/>
              <w:rPr>
                <w:rFonts w:ascii="宋体" w:eastAsia="宋体" w:hAnsi="宋体"/>
              </w:rPr>
            </w:pPr>
            <w:r w:rsidRPr="006D4FBA">
              <w:rPr>
                <w:rFonts w:ascii="宋体" w:eastAsia="宋体" w:hAnsi="宋体"/>
              </w:rPr>
              <w:t xml:space="preserve">2,947 </w:t>
            </w:r>
          </w:p>
        </w:tc>
        <w:tc>
          <w:tcPr>
            <w:tcW w:w="1002" w:type="dxa"/>
            <w:tcBorders>
              <w:top w:val="single" w:sz="4" w:space="0" w:color="auto"/>
              <w:left w:val="single" w:sz="4" w:space="0" w:color="auto"/>
              <w:bottom w:val="single" w:sz="4" w:space="0" w:color="auto"/>
              <w:right w:val="single" w:sz="4" w:space="0" w:color="auto"/>
            </w:tcBorders>
            <w:vAlign w:val="center"/>
          </w:tcPr>
          <w:p w14:paraId="0E3996C7" w14:textId="77777777" w:rsidR="00B201D3" w:rsidRPr="006D4FBA" w:rsidRDefault="009855E8">
            <w:pPr>
              <w:jc w:val="right"/>
              <w:rPr>
                <w:rFonts w:ascii="宋体" w:eastAsia="宋体" w:hAnsi="宋体"/>
              </w:rPr>
            </w:pPr>
            <w:r w:rsidRPr="006D4FBA">
              <w:rPr>
                <w:rFonts w:ascii="宋体" w:eastAsia="宋体" w:hAnsi="宋体"/>
              </w:rPr>
              <w:t xml:space="preserve">1,333 </w:t>
            </w:r>
          </w:p>
        </w:tc>
        <w:tc>
          <w:tcPr>
            <w:tcW w:w="992" w:type="dxa"/>
            <w:tcBorders>
              <w:top w:val="single" w:sz="4" w:space="0" w:color="auto"/>
              <w:left w:val="single" w:sz="4" w:space="0" w:color="auto"/>
              <w:bottom w:val="single" w:sz="4" w:space="0" w:color="auto"/>
              <w:right w:val="single" w:sz="4" w:space="0" w:color="auto"/>
            </w:tcBorders>
            <w:vAlign w:val="center"/>
          </w:tcPr>
          <w:p w14:paraId="5259FFA6" w14:textId="77777777" w:rsidR="00B201D3" w:rsidRPr="006D4FBA" w:rsidRDefault="009855E8">
            <w:pPr>
              <w:jc w:val="right"/>
              <w:rPr>
                <w:rFonts w:ascii="宋体" w:eastAsia="宋体" w:hAnsi="宋体"/>
              </w:rPr>
            </w:pPr>
            <w:r w:rsidRPr="006D4FBA">
              <w:rPr>
                <w:rFonts w:ascii="宋体" w:eastAsia="宋体" w:hAnsi="宋体" w:hint="eastAsia"/>
              </w:rPr>
              <w:t>464</w:t>
            </w:r>
          </w:p>
        </w:tc>
        <w:tc>
          <w:tcPr>
            <w:tcW w:w="992" w:type="dxa"/>
            <w:tcBorders>
              <w:top w:val="single" w:sz="4" w:space="0" w:color="auto"/>
              <w:left w:val="single" w:sz="4" w:space="0" w:color="auto"/>
              <w:bottom w:val="single" w:sz="4" w:space="0" w:color="auto"/>
              <w:right w:val="single" w:sz="4" w:space="0" w:color="auto"/>
            </w:tcBorders>
            <w:vAlign w:val="center"/>
          </w:tcPr>
          <w:p w14:paraId="61B15559" w14:textId="77777777" w:rsidR="00B201D3" w:rsidRPr="006D4FBA" w:rsidRDefault="009855E8">
            <w:pPr>
              <w:jc w:val="right"/>
              <w:rPr>
                <w:rFonts w:ascii="宋体" w:eastAsia="宋体" w:hAnsi="宋体"/>
              </w:rPr>
            </w:pPr>
            <w:r w:rsidRPr="006D4FBA">
              <w:rPr>
                <w:rFonts w:ascii="宋体" w:eastAsia="宋体" w:hAnsi="宋体" w:hint="eastAsia"/>
              </w:rPr>
              <w:t>382</w:t>
            </w:r>
          </w:p>
        </w:tc>
        <w:tc>
          <w:tcPr>
            <w:tcW w:w="1134" w:type="dxa"/>
            <w:tcBorders>
              <w:top w:val="single" w:sz="4" w:space="0" w:color="auto"/>
              <w:left w:val="single" w:sz="4" w:space="0" w:color="auto"/>
              <w:bottom w:val="single" w:sz="4" w:space="0" w:color="auto"/>
              <w:right w:val="single" w:sz="4" w:space="0" w:color="auto"/>
            </w:tcBorders>
            <w:vAlign w:val="center"/>
          </w:tcPr>
          <w:p w14:paraId="6B243390" w14:textId="77777777" w:rsidR="00B201D3" w:rsidRPr="006D4FBA" w:rsidRDefault="009855E8">
            <w:pPr>
              <w:jc w:val="right"/>
              <w:rPr>
                <w:rFonts w:ascii="宋体" w:eastAsia="宋体" w:hAnsi="宋体"/>
              </w:rPr>
            </w:pPr>
            <w:r w:rsidRPr="006D4FBA">
              <w:rPr>
                <w:rFonts w:ascii="宋体" w:eastAsia="宋体" w:hAnsi="宋体" w:hint="eastAsia"/>
              </w:rPr>
              <w:t>2,365</w:t>
            </w:r>
          </w:p>
        </w:tc>
        <w:tc>
          <w:tcPr>
            <w:tcW w:w="1134" w:type="dxa"/>
            <w:tcBorders>
              <w:top w:val="single" w:sz="4" w:space="0" w:color="auto"/>
              <w:left w:val="nil"/>
              <w:bottom w:val="single" w:sz="4" w:space="0" w:color="auto"/>
              <w:right w:val="single" w:sz="4" w:space="0" w:color="auto"/>
            </w:tcBorders>
            <w:vAlign w:val="center"/>
          </w:tcPr>
          <w:p w14:paraId="66DAFB4B" w14:textId="77777777" w:rsidR="00B201D3" w:rsidRPr="006D4FBA" w:rsidRDefault="009855E8">
            <w:pPr>
              <w:jc w:val="right"/>
              <w:rPr>
                <w:rFonts w:ascii="宋体" w:eastAsia="宋体" w:hAnsi="宋体"/>
              </w:rPr>
            </w:pPr>
            <w:r w:rsidRPr="006D4FBA">
              <w:rPr>
                <w:rFonts w:ascii="宋体" w:eastAsia="宋体" w:hAnsi="宋体" w:hint="eastAsia"/>
              </w:rPr>
              <w:t>1,343</w:t>
            </w:r>
          </w:p>
        </w:tc>
      </w:tr>
      <w:tr w:rsidR="00B201D3" w:rsidRPr="006D4FBA" w14:paraId="53499C02" w14:textId="77777777">
        <w:trPr>
          <w:trHeight w:val="312"/>
          <w:jc w:val="center"/>
        </w:trPr>
        <w:tc>
          <w:tcPr>
            <w:tcW w:w="2127" w:type="dxa"/>
            <w:tcBorders>
              <w:top w:val="single" w:sz="4" w:space="0" w:color="auto"/>
              <w:left w:val="single" w:sz="4" w:space="0" w:color="auto"/>
              <w:bottom w:val="single" w:sz="4" w:space="0" w:color="auto"/>
              <w:right w:val="single" w:sz="4" w:space="0" w:color="auto"/>
            </w:tcBorders>
            <w:vAlign w:val="center"/>
          </w:tcPr>
          <w:p w14:paraId="3C669E67" w14:textId="77777777" w:rsidR="00B201D3" w:rsidRPr="006D4FBA" w:rsidRDefault="009855E8">
            <w:pPr>
              <w:ind w:firstLineChars="200" w:firstLine="420"/>
              <w:rPr>
                <w:rFonts w:ascii="宋体" w:eastAsia="宋体" w:hAnsi="宋体"/>
              </w:rPr>
            </w:pPr>
            <w:r w:rsidRPr="006D4FBA">
              <w:rPr>
                <w:rFonts w:ascii="宋体" w:eastAsia="宋体" w:hAnsi="宋体" w:hint="eastAsia"/>
              </w:rPr>
              <w:t>其中：柴油</w:t>
            </w:r>
          </w:p>
        </w:tc>
        <w:tc>
          <w:tcPr>
            <w:tcW w:w="992" w:type="dxa"/>
            <w:tcBorders>
              <w:top w:val="single" w:sz="4" w:space="0" w:color="auto"/>
              <w:left w:val="single" w:sz="4" w:space="0" w:color="auto"/>
              <w:bottom w:val="single" w:sz="4" w:space="0" w:color="auto"/>
              <w:right w:val="single" w:sz="4" w:space="0" w:color="auto"/>
            </w:tcBorders>
            <w:vAlign w:val="center"/>
          </w:tcPr>
          <w:p w14:paraId="47D797E1" w14:textId="77777777" w:rsidR="00B201D3" w:rsidRPr="006D4FBA" w:rsidRDefault="009855E8">
            <w:pPr>
              <w:jc w:val="right"/>
              <w:rPr>
                <w:rFonts w:ascii="宋体" w:eastAsia="宋体" w:hAnsi="宋体"/>
              </w:rPr>
            </w:pPr>
            <w:r w:rsidRPr="006D4FBA">
              <w:rPr>
                <w:rFonts w:ascii="宋体" w:eastAsia="宋体" w:hAnsi="宋体"/>
              </w:rPr>
              <w:t xml:space="preserve">241 </w:t>
            </w:r>
          </w:p>
        </w:tc>
        <w:tc>
          <w:tcPr>
            <w:tcW w:w="810" w:type="dxa"/>
            <w:tcBorders>
              <w:top w:val="single" w:sz="4" w:space="0" w:color="auto"/>
              <w:left w:val="single" w:sz="4" w:space="0" w:color="auto"/>
              <w:bottom w:val="single" w:sz="4" w:space="0" w:color="auto"/>
              <w:right w:val="single" w:sz="4" w:space="0" w:color="auto"/>
            </w:tcBorders>
            <w:vAlign w:val="center"/>
          </w:tcPr>
          <w:p w14:paraId="34EA7100" w14:textId="77777777" w:rsidR="00B201D3" w:rsidRPr="006D4FBA" w:rsidRDefault="009855E8">
            <w:pPr>
              <w:jc w:val="right"/>
              <w:rPr>
                <w:rFonts w:ascii="宋体" w:eastAsia="宋体" w:hAnsi="宋体"/>
              </w:rPr>
            </w:pPr>
            <w:r w:rsidRPr="006D4FBA">
              <w:rPr>
                <w:rFonts w:ascii="宋体" w:eastAsia="宋体" w:hAnsi="宋体"/>
              </w:rPr>
              <w:t xml:space="preserve">221 </w:t>
            </w:r>
          </w:p>
        </w:tc>
        <w:tc>
          <w:tcPr>
            <w:tcW w:w="1007" w:type="dxa"/>
            <w:tcBorders>
              <w:top w:val="single" w:sz="4" w:space="0" w:color="auto"/>
              <w:left w:val="single" w:sz="4" w:space="0" w:color="auto"/>
              <w:bottom w:val="single" w:sz="4" w:space="0" w:color="auto"/>
              <w:right w:val="single" w:sz="4" w:space="0" w:color="auto"/>
            </w:tcBorders>
            <w:vAlign w:val="center"/>
          </w:tcPr>
          <w:p w14:paraId="20FDD3CF" w14:textId="77777777" w:rsidR="00B201D3" w:rsidRPr="006D4FBA" w:rsidRDefault="009855E8">
            <w:pPr>
              <w:jc w:val="right"/>
              <w:rPr>
                <w:rFonts w:ascii="宋体" w:eastAsia="宋体" w:hAnsi="宋体"/>
              </w:rPr>
            </w:pPr>
            <w:r w:rsidRPr="006D4FBA">
              <w:rPr>
                <w:rFonts w:ascii="宋体" w:eastAsia="宋体" w:hAnsi="宋体"/>
              </w:rPr>
              <w:t xml:space="preserve">1,498 </w:t>
            </w:r>
          </w:p>
        </w:tc>
        <w:tc>
          <w:tcPr>
            <w:tcW w:w="1002" w:type="dxa"/>
            <w:tcBorders>
              <w:top w:val="single" w:sz="4" w:space="0" w:color="auto"/>
              <w:left w:val="single" w:sz="4" w:space="0" w:color="auto"/>
              <w:bottom w:val="single" w:sz="4" w:space="0" w:color="auto"/>
              <w:right w:val="single" w:sz="4" w:space="0" w:color="auto"/>
            </w:tcBorders>
            <w:vAlign w:val="center"/>
          </w:tcPr>
          <w:p w14:paraId="44B378A0" w14:textId="77777777" w:rsidR="00B201D3" w:rsidRPr="006D4FBA" w:rsidRDefault="009855E8">
            <w:pPr>
              <w:jc w:val="right"/>
              <w:rPr>
                <w:rFonts w:ascii="宋体" w:eastAsia="宋体" w:hAnsi="宋体"/>
              </w:rPr>
            </w:pPr>
            <w:r w:rsidRPr="006D4FBA">
              <w:rPr>
                <w:rFonts w:ascii="宋体" w:eastAsia="宋体" w:hAnsi="宋体"/>
              </w:rPr>
              <w:t xml:space="preserve">526 </w:t>
            </w:r>
          </w:p>
        </w:tc>
        <w:tc>
          <w:tcPr>
            <w:tcW w:w="992" w:type="dxa"/>
            <w:tcBorders>
              <w:top w:val="single" w:sz="4" w:space="0" w:color="auto"/>
              <w:left w:val="single" w:sz="4" w:space="0" w:color="auto"/>
              <w:bottom w:val="single" w:sz="4" w:space="0" w:color="auto"/>
              <w:right w:val="single" w:sz="4" w:space="0" w:color="auto"/>
            </w:tcBorders>
          </w:tcPr>
          <w:p w14:paraId="34277674" w14:textId="77777777" w:rsidR="00B201D3" w:rsidRPr="006D4FBA" w:rsidRDefault="009855E8">
            <w:pPr>
              <w:jc w:val="right"/>
              <w:rPr>
                <w:rFonts w:ascii="宋体" w:eastAsia="宋体" w:hAnsi="宋体"/>
              </w:rPr>
            </w:pPr>
            <w:r w:rsidRPr="006D4FBA">
              <w:rPr>
                <w:rFonts w:ascii="宋体" w:eastAsia="宋体" w:hAnsi="宋体" w:hint="eastAsia"/>
              </w:rPr>
              <w:t>-</w:t>
            </w:r>
          </w:p>
        </w:tc>
        <w:tc>
          <w:tcPr>
            <w:tcW w:w="992" w:type="dxa"/>
            <w:tcBorders>
              <w:top w:val="single" w:sz="4" w:space="0" w:color="auto"/>
              <w:left w:val="single" w:sz="4" w:space="0" w:color="auto"/>
              <w:bottom w:val="single" w:sz="4" w:space="0" w:color="auto"/>
              <w:right w:val="single" w:sz="4" w:space="0" w:color="auto"/>
            </w:tcBorders>
          </w:tcPr>
          <w:p w14:paraId="68F8224B" w14:textId="77777777" w:rsidR="00B201D3" w:rsidRPr="006D4FBA" w:rsidRDefault="009855E8">
            <w:pPr>
              <w:jc w:val="right"/>
              <w:rPr>
                <w:rFonts w:ascii="宋体" w:eastAsia="宋体" w:hAnsi="宋体"/>
              </w:rPr>
            </w:pPr>
            <w:r w:rsidRPr="006D4FBA">
              <w:rPr>
                <w:rFonts w:ascii="宋体" w:eastAsia="宋体" w:hAnsi="宋体" w:hint="eastAsia"/>
              </w:rPr>
              <w:t>-</w:t>
            </w:r>
          </w:p>
        </w:tc>
        <w:tc>
          <w:tcPr>
            <w:tcW w:w="1134" w:type="dxa"/>
            <w:tcBorders>
              <w:top w:val="single" w:sz="4" w:space="0" w:color="auto"/>
              <w:left w:val="single" w:sz="4" w:space="0" w:color="auto"/>
              <w:bottom w:val="single" w:sz="4" w:space="0" w:color="auto"/>
              <w:right w:val="single" w:sz="4" w:space="0" w:color="auto"/>
            </w:tcBorders>
          </w:tcPr>
          <w:p w14:paraId="12489581" w14:textId="77777777" w:rsidR="00B201D3" w:rsidRPr="006D4FBA" w:rsidRDefault="009855E8">
            <w:pPr>
              <w:jc w:val="right"/>
              <w:rPr>
                <w:rFonts w:ascii="宋体" w:eastAsia="宋体" w:hAnsi="宋体"/>
              </w:rPr>
            </w:pPr>
            <w:r w:rsidRPr="006D4FBA">
              <w:rPr>
                <w:rFonts w:ascii="宋体" w:eastAsia="宋体" w:hAnsi="宋体" w:hint="eastAsia"/>
              </w:rPr>
              <w:t>-</w:t>
            </w:r>
          </w:p>
        </w:tc>
        <w:tc>
          <w:tcPr>
            <w:tcW w:w="1134" w:type="dxa"/>
            <w:tcBorders>
              <w:top w:val="single" w:sz="4" w:space="0" w:color="auto"/>
              <w:left w:val="nil"/>
              <w:bottom w:val="single" w:sz="4" w:space="0" w:color="auto"/>
              <w:right w:val="single" w:sz="4" w:space="0" w:color="auto"/>
            </w:tcBorders>
          </w:tcPr>
          <w:p w14:paraId="059C2BD1" w14:textId="77777777" w:rsidR="00B201D3" w:rsidRPr="006D4FBA" w:rsidRDefault="009855E8">
            <w:pPr>
              <w:jc w:val="right"/>
              <w:rPr>
                <w:rFonts w:ascii="宋体" w:eastAsia="宋体" w:hAnsi="宋体"/>
              </w:rPr>
            </w:pPr>
            <w:r w:rsidRPr="006D4FBA">
              <w:rPr>
                <w:rFonts w:ascii="宋体" w:eastAsia="宋体" w:hAnsi="宋体" w:hint="eastAsia"/>
              </w:rPr>
              <w:t>-</w:t>
            </w:r>
          </w:p>
        </w:tc>
      </w:tr>
      <w:tr w:rsidR="00B201D3" w:rsidRPr="006D4FBA" w14:paraId="04968D66" w14:textId="77777777">
        <w:trPr>
          <w:trHeight w:val="312"/>
          <w:jc w:val="center"/>
        </w:trPr>
        <w:tc>
          <w:tcPr>
            <w:tcW w:w="2127" w:type="dxa"/>
            <w:tcBorders>
              <w:top w:val="single" w:sz="4" w:space="0" w:color="auto"/>
              <w:left w:val="single" w:sz="4" w:space="0" w:color="auto"/>
              <w:bottom w:val="single" w:sz="4" w:space="0" w:color="auto"/>
              <w:right w:val="single" w:sz="4" w:space="0" w:color="auto"/>
            </w:tcBorders>
            <w:vAlign w:val="center"/>
          </w:tcPr>
          <w:p w14:paraId="49F2E393" w14:textId="77777777" w:rsidR="00B201D3" w:rsidRPr="006D4FBA" w:rsidRDefault="009855E8">
            <w:pPr>
              <w:ind w:firstLineChars="500" w:firstLine="1050"/>
              <w:rPr>
                <w:rFonts w:ascii="宋体" w:eastAsia="宋体" w:hAnsi="宋体"/>
              </w:rPr>
            </w:pPr>
            <w:r w:rsidRPr="006D4FBA">
              <w:rPr>
                <w:rFonts w:ascii="宋体" w:eastAsia="宋体" w:hAnsi="宋体" w:hint="eastAsia"/>
              </w:rPr>
              <w:t>石脑油</w:t>
            </w:r>
          </w:p>
        </w:tc>
        <w:tc>
          <w:tcPr>
            <w:tcW w:w="992" w:type="dxa"/>
            <w:tcBorders>
              <w:top w:val="single" w:sz="4" w:space="0" w:color="auto"/>
              <w:left w:val="single" w:sz="4" w:space="0" w:color="auto"/>
              <w:bottom w:val="single" w:sz="4" w:space="0" w:color="auto"/>
              <w:right w:val="single" w:sz="4" w:space="0" w:color="auto"/>
            </w:tcBorders>
            <w:vAlign w:val="center"/>
          </w:tcPr>
          <w:p w14:paraId="061158FF" w14:textId="77777777" w:rsidR="00B201D3" w:rsidRPr="006D4FBA" w:rsidRDefault="009855E8">
            <w:pPr>
              <w:jc w:val="right"/>
              <w:rPr>
                <w:rFonts w:ascii="宋体" w:eastAsia="宋体" w:hAnsi="宋体"/>
              </w:rPr>
            </w:pPr>
            <w:r w:rsidRPr="006D4FBA">
              <w:rPr>
                <w:rFonts w:ascii="宋体" w:eastAsia="宋体" w:hAnsi="宋体"/>
              </w:rPr>
              <w:t xml:space="preserve">117 </w:t>
            </w:r>
          </w:p>
        </w:tc>
        <w:tc>
          <w:tcPr>
            <w:tcW w:w="810" w:type="dxa"/>
            <w:tcBorders>
              <w:top w:val="single" w:sz="4" w:space="0" w:color="auto"/>
              <w:left w:val="single" w:sz="4" w:space="0" w:color="auto"/>
              <w:bottom w:val="single" w:sz="4" w:space="0" w:color="auto"/>
              <w:right w:val="single" w:sz="4" w:space="0" w:color="auto"/>
            </w:tcBorders>
            <w:vAlign w:val="center"/>
          </w:tcPr>
          <w:p w14:paraId="628FD2E6" w14:textId="77777777" w:rsidR="00B201D3" w:rsidRPr="006D4FBA" w:rsidRDefault="009855E8">
            <w:pPr>
              <w:jc w:val="right"/>
              <w:rPr>
                <w:rFonts w:ascii="宋体" w:eastAsia="宋体" w:hAnsi="宋体"/>
              </w:rPr>
            </w:pPr>
            <w:r w:rsidRPr="006D4FBA">
              <w:rPr>
                <w:rFonts w:ascii="宋体" w:eastAsia="宋体" w:hAnsi="宋体"/>
              </w:rPr>
              <w:t xml:space="preserve">115 </w:t>
            </w:r>
          </w:p>
        </w:tc>
        <w:tc>
          <w:tcPr>
            <w:tcW w:w="1007" w:type="dxa"/>
            <w:tcBorders>
              <w:top w:val="single" w:sz="4" w:space="0" w:color="auto"/>
              <w:left w:val="single" w:sz="4" w:space="0" w:color="auto"/>
              <w:bottom w:val="single" w:sz="4" w:space="0" w:color="auto"/>
              <w:right w:val="single" w:sz="4" w:space="0" w:color="auto"/>
            </w:tcBorders>
            <w:vAlign w:val="center"/>
          </w:tcPr>
          <w:p w14:paraId="429ABE76" w14:textId="77777777" w:rsidR="00B201D3" w:rsidRPr="006D4FBA" w:rsidRDefault="009855E8">
            <w:pPr>
              <w:jc w:val="right"/>
              <w:rPr>
                <w:rFonts w:ascii="宋体" w:eastAsia="宋体" w:hAnsi="宋体"/>
              </w:rPr>
            </w:pPr>
            <w:r w:rsidRPr="006D4FBA">
              <w:rPr>
                <w:rFonts w:ascii="宋体" w:eastAsia="宋体" w:hAnsi="宋体"/>
              </w:rPr>
              <w:t xml:space="preserve">764 </w:t>
            </w:r>
          </w:p>
        </w:tc>
        <w:tc>
          <w:tcPr>
            <w:tcW w:w="1002" w:type="dxa"/>
            <w:tcBorders>
              <w:top w:val="single" w:sz="4" w:space="0" w:color="auto"/>
              <w:left w:val="single" w:sz="4" w:space="0" w:color="auto"/>
              <w:bottom w:val="single" w:sz="4" w:space="0" w:color="auto"/>
              <w:right w:val="single" w:sz="4" w:space="0" w:color="auto"/>
            </w:tcBorders>
            <w:vAlign w:val="center"/>
          </w:tcPr>
          <w:p w14:paraId="458986D7" w14:textId="77777777" w:rsidR="00B201D3" w:rsidRPr="006D4FBA" w:rsidRDefault="009855E8">
            <w:pPr>
              <w:jc w:val="right"/>
              <w:rPr>
                <w:rFonts w:ascii="宋体" w:eastAsia="宋体" w:hAnsi="宋体"/>
              </w:rPr>
            </w:pPr>
            <w:r w:rsidRPr="006D4FBA">
              <w:rPr>
                <w:rFonts w:ascii="宋体" w:eastAsia="宋体" w:hAnsi="宋体"/>
              </w:rPr>
              <w:t xml:space="preserve">283 </w:t>
            </w:r>
          </w:p>
        </w:tc>
        <w:tc>
          <w:tcPr>
            <w:tcW w:w="992" w:type="dxa"/>
            <w:tcBorders>
              <w:top w:val="single" w:sz="4" w:space="0" w:color="auto"/>
              <w:left w:val="single" w:sz="4" w:space="0" w:color="auto"/>
              <w:bottom w:val="single" w:sz="4" w:space="0" w:color="auto"/>
              <w:right w:val="single" w:sz="4" w:space="0" w:color="auto"/>
            </w:tcBorders>
          </w:tcPr>
          <w:p w14:paraId="4806B501" w14:textId="77777777" w:rsidR="00B201D3" w:rsidRPr="006D4FBA" w:rsidRDefault="009855E8">
            <w:pPr>
              <w:jc w:val="right"/>
              <w:rPr>
                <w:rFonts w:ascii="宋体" w:eastAsia="宋体" w:hAnsi="宋体"/>
              </w:rPr>
            </w:pPr>
            <w:r w:rsidRPr="006D4FBA">
              <w:rPr>
                <w:rFonts w:ascii="宋体" w:eastAsia="宋体" w:hAnsi="宋体" w:hint="eastAsia"/>
              </w:rPr>
              <w:t>-</w:t>
            </w:r>
          </w:p>
        </w:tc>
        <w:tc>
          <w:tcPr>
            <w:tcW w:w="992" w:type="dxa"/>
            <w:tcBorders>
              <w:top w:val="single" w:sz="4" w:space="0" w:color="auto"/>
              <w:left w:val="single" w:sz="4" w:space="0" w:color="auto"/>
              <w:bottom w:val="single" w:sz="4" w:space="0" w:color="auto"/>
              <w:right w:val="single" w:sz="4" w:space="0" w:color="auto"/>
            </w:tcBorders>
          </w:tcPr>
          <w:p w14:paraId="445ACB78" w14:textId="77777777" w:rsidR="00B201D3" w:rsidRPr="006D4FBA" w:rsidRDefault="009855E8">
            <w:pPr>
              <w:jc w:val="right"/>
              <w:rPr>
                <w:rFonts w:ascii="宋体" w:eastAsia="宋体" w:hAnsi="宋体"/>
              </w:rPr>
            </w:pPr>
            <w:r w:rsidRPr="006D4FBA">
              <w:rPr>
                <w:rFonts w:ascii="宋体" w:eastAsia="宋体" w:hAnsi="宋体" w:hint="eastAsia"/>
              </w:rPr>
              <w:t>-</w:t>
            </w:r>
          </w:p>
        </w:tc>
        <w:tc>
          <w:tcPr>
            <w:tcW w:w="1134" w:type="dxa"/>
            <w:tcBorders>
              <w:top w:val="single" w:sz="4" w:space="0" w:color="auto"/>
              <w:left w:val="single" w:sz="4" w:space="0" w:color="auto"/>
              <w:bottom w:val="single" w:sz="4" w:space="0" w:color="auto"/>
              <w:right w:val="single" w:sz="4" w:space="0" w:color="auto"/>
            </w:tcBorders>
          </w:tcPr>
          <w:p w14:paraId="6A3C87D8" w14:textId="77777777" w:rsidR="00B201D3" w:rsidRPr="006D4FBA" w:rsidRDefault="009855E8">
            <w:pPr>
              <w:jc w:val="right"/>
              <w:rPr>
                <w:rFonts w:ascii="宋体" w:eastAsia="宋体" w:hAnsi="宋体"/>
              </w:rPr>
            </w:pPr>
            <w:r w:rsidRPr="006D4FBA">
              <w:rPr>
                <w:rFonts w:ascii="宋体" w:eastAsia="宋体" w:hAnsi="宋体" w:hint="eastAsia"/>
              </w:rPr>
              <w:t>-</w:t>
            </w:r>
          </w:p>
        </w:tc>
        <w:tc>
          <w:tcPr>
            <w:tcW w:w="1134" w:type="dxa"/>
            <w:tcBorders>
              <w:top w:val="single" w:sz="4" w:space="0" w:color="auto"/>
              <w:left w:val="nil"/>
              <w:bottom w:val="single" w:sz="4" w:space="0" w:color="auto"/>
              <w:right w:val="single" w:sz="4" w:space="0" w:color="auto"/>
            </w:tcBorders>
          </w:tcPr>
          <w:p w14:paraId="2F344DB9" w14:textId="77777777" w:rsidR="00B201D3" w:rsidRPr="006D4FBA" w:rsidRDefault="009855E8">
            <w:pPr>
              <w:jc w:val="right"/>
              <w:rPr>
                <w:rFonts w:ascii="宋体" w:eastAsia="宋体" w:hAnsi="宋体"/>
              </w:rPr>
            </w:pPr>
            <w:r w:rsidRPr="006D4FBA">
              <w:rPr>
                <w:rFonts w:ascii="宋体" w:eastAsia="宋体" w:hAnsi="宋体" w:hint="eastAsia"/>
              </w:rPr>
              <w:t>-</w:t>
            </w:r>
          </w:p>
        </w:tc>
      </w:tr>
      <w:tr w:rsidR="00CD1D24" w:rsidRPr="006D4FBA" w14:paraId="45441F53" w14:textId="77777777" w:rsidTr="001B7DE7">
        <w:trPr>
          <w:trHeight w:val="312"/>
          <w:jc w:val="center"/>
        </w:trPr>
        <w:tc>
          <w:tcPr>
            <w:tcW w:w="2127" w:type="dxa"/>
            <w:tcBorders>
              <w:top w:val="single" w:sz="4" w:space="0" w:color="auto"/>
              <w:left w:val="single" w:sz="4" w:space="0" w:color="auto"/>
              <w:bottom w:val="single" w:sz="4" w:space="0" w:color="auto"/>
              <w:right w:val="single" w:sz="4" w:space="0" w:color="auto"/>
            </w:tcBorders>
            <w:vAlign w:val="center"/>
          </w:tcPr>
          <w:p w14:paraId="3FECAB40" w14:textId="3597E918" w:rsidR="00CD1D24" w:rsidRPr="006D4FBA" w:rsidRDefault="00CD1D24" w:rsidP="00CD1D24">
            <w:pPr>
              <w:ind w:firstLineChars="500" w:firstLine="1050"/>
            </w:pPr>
            <w:r w:rsidRPr="00761F5F">
              <w:rPr>
                <w:rFonts w:ascii="宋体" w:eastAsia="宋体" w:hAnsi="宋体" w:cs="宋体" w:hint="eastAsia"/>
              </w:rPr>
              <w:t>粗液体蜡</w:t>
            </w:r>
          </w:p>
        </w:tc>
        <w:tc>
          <w:tcPr>
            <w:tcW w:w="992" w:type="dxa"/>
            <w:tcBorders>
              <w:top w:val="single" w:sz="4" w:space="0" w:color="auto"/>
              <w:left w:val="single" w:sz="4" w:space="0" w:color="auto"/>
              <w:bottom w:val="single" w:sz="4" w:space="0" w:color="auto"/>
              <w:right w:val="single" w:sz="4" w:space="0" w:color="auto"/>
            </w:tcBorders>
          </w:tcPr>
          <w:p w14:paraId="757295EE" w14:textId="582917C2" w:rsidR="00CD1D24" w:rsidRPr="006D4FBA" w:rsidRDefault="00CD1D24" w:rsidP="00CD1D24">
            <w:pPr>
              <w:jc w:val="right"/>
            </w:pPr>
            <w:r w:rsidRPr="006D4FBA">
              <w:rPr>
                <w:rFonts w:ascii="宋体" w:eastAsia="宋体" w:hAnsi="宋体" w:hint="eastAsia"/>
              </w:rPr>
              <w:t>-</w:t>
            </w:r>
          </w:p>
        </w:tc>
        <w:tc>
          <w:tcPr>
            <w:tcW w:w="810" w:type="dxa"/>
            <w:tcBorders>
              <w:top w:val="single" w:sz="4" w:space="0" w:color="auto"/>
              <w:left w:val="single" w:sz="4" w:space="0" w:color="auto"/>
              <w:bottom w:val="single" w:sz="4" w:space="0" w:color="auto"/>
              <w:right w:val="single" w:sz="4" w:space="0" w:color="auto"/>
            </w:tcBorders>
          </w:tcPr>
          <w:p w14:paraId="47EEC9F1" w14:textId="6C29229C" w:rsidR="00CD1D24" w:rsidRPr="006D4FBA" w:rsidRDefault="00CD1D24" w:rsidP="00CD1D24">
            <w:pPr>
              <w:jc w:val="right"/>
            </w:pPr>
            <w:r w:rsidRPr="006D4FBA">
              <w:rPr>
                <w:rFonts w:ascii="宋体" w:eastAsia="宋体" w:hAnsi="宋体" w:hint="eastAsia"/>
              </w:rPr>
              <w:t>-</w:t>
            </w:r>
          </w:p>
        </w:tc>
        <w:tc>
          <w:tcPr>
            <w:tcW w:w="1007" w:type="dxa"/>
            <w:tcBorders>
              <w:top w:val="single" w:sz="4" w:space="0" w:color="auto"/>
              <w:left w:val="single" w:sz="4" w:space="0" w:color="auto"/>
              <w:bottom w:val="single" w:sz="4" w:space="0" w:color="auto"/>
              <w:right w:val="single" w:sz="4" w:space="0" w:color="auto"/>
            </w:tcBorders>
          </w:tcPr>
          <w:p w14:paraId="2EC5ED68" w14:textId="0325567E" w:rsidR="00CD1D24" w:rsidRPr="006D4FBA" w:rsidRDefault="00CD1D24" w:rsidP="00CD1D24">
            <w:pPr>
              <w:jc w:val="right"/>
            </w:pPr>
            <w:r w:rsidRPr="006D4FBA">
              <w:rPr>
                <w:rFonts w:ascii="宋体" w:eastAsia="宋体" w:hAnsi="宋体" w:hint="eastAsia"/>
              </w:rPr>
              <w:t>-</w:t>
            </w:r>
          </w:p>
        </w:tc>
        <w:tc>
          <w:tcPr>
            <w:tcW w:w="1002" w:type="dxa"/>
            <w:tcBorders>
              <w:top w:val="single" w:sz="4" w:space="0" w:color="auto"/>
              <w:left w:val="single" w:sz="4" w:space="0" w:color="auto"/>
              <w:bottom w:val="single" w:sz="4" w:space="0" w:color="auto"/>
              <w:right w:val="single" w:sz="4" w:space="0" w:color="auto"/>
            </w:tcBorders>
          </w:tcPr>
          <w:p w14:paraId="7A3173DD" w14:textId="57D2830D" w:rsidR="00CD1D24" w:rsidRPr="006D4FBA" w:rsidRDefault="00CD1D24" w:rsidP="00CD1D24">
            <w:pPr>
              <w:jc w:val="right"/>
            </w:pPr>
            <w:r w:rsidRPr="006D4FBA">
              <w:rPr>
                <w:rFonts w:ascii="宋体" w:eastAsia="宋体" w:hAnsi="宋体" w:hint="eastAsia"/>
              </w:rPr>
              <w:t>-</w:t>
            </w:r>
          </w:p>
        </w:tc>
        <w:tc>
          <w:tcPr>
            <w:tcW w:w="992" w:type="dxa"/>
            <w:tcBorders>
              <w:top w:val="single" w:sz="4" w:space="0" w:color="auto"/>
              <w:left w:val="single" w:sz="4" w:space="0" w:color="auto"/>
              <w:bottom w:val="single" w:sz="4" w:space="0" w:color="auto"/>
              <w:right w:val="single" w:sz="4" w:space="0" w:color="auto"/>
            </w:tcBorders>
            <w:vAlign w:val="center"/>
          </w:tcPr>
          <w:p w14:paraId="5636D141" w14:textId="0B65062D" w:rsidR="00CD1D24" w:rsidRPr="00CE36C3" w:rsidRDefault="00CD1D24" w:rsidP="00CD1D24">
            <w:pPr>
              <w:jc w:val="right"/>
              <w:rPr>
                <w:rFonts w:ascii="宋体" w:eastAsia="宋体" w:hAnsi="宋体"/>
              </w:rPr>
            </w:pPr>
            <w:r w:rsidRPr="00CE36C3">
              <w:rPr>
                <w:rFonts w:ascii="宋体" w:eastAsia="宋体" w:hAnsi="宋体"/>
              </w:rPr>
              <w:t>224</w:t>
            </w:r>
          </w:p>
        </w:tc>
        <w:tc>
          <w:tcPr>
            <w:tcW w:w="992" w:type="dxa"/>
            <w:tcBorders>
              <w:top w:val="single" w:sz="4" w:space="0" w:color="auto"/>
              <w:left w:val="single" w:sz="4" w:space="0" w:color="auto"/>
              <w:bottom w:val="single" w:sz="4" w:space="0" w:color="auto"/>
              <w:right w:val="single" w:sz="4" w:space="0" w:color="auto"/>
            </w:tcBorders>
            <w:vAlign w:val="center"/>
          </w:tcPr>
          <w:p w14:paraId="1006A114" w14:textId="3DAA90D7" w:rsidR="00CD1D24" w:rsidRPr="00CE36C3" w:rsidRDefault="00CD1D24" w:rsidP="00CD1D24">
            <w:pPr>
              <w:jc w:val="right"/>
              <w:rPr>
                <w:rFonts w:ascii="宋体" w:eastAsia="宋体" w:hAnsi="宋体"/>
              </w:rPr>
            </w:pPr>
            <w:r w:rsidRPr="00CE36C3">
              <w:rPr>
                <w:rFonts w:ascii="宋体" w:eastAsia="宋体" w:hAnsi="宋体"/>
              </w:rPr>
              <w:t>173</w:t>
            </w:r>
          </w:p>
        </w:tc>
        <w:tc>
          <w:tcPr>
            <w:tcW w:w="1134" w:type="dxa"/>
            <w:tcBorders>
              <w:top w:val="single" w:sz="4" w:space="0" w:color="auto"/>
              <w:left w:val="single" w:sz="4" w:space="0" w:color="auto"/>
              <w:bottom w:val="single" w:sz="4" w:space="0" w:color="auto"/>
              <w:right w:val="single" w:sz="4" w:space="0" w:color="auto"/>
            </w:tcBorders>
            <w:vAlign w:val="center"/>
          </w:tcPr>
          <w:p w14:paraId="695E3668" w14:textId="53834D30" w:rsidR="00CD1D24" w:rsidRPr="00CE36C3" w:rsidRDefault="00CD1D24" w:rsidP="00CD1D24">
            <w:pPr>
              <w:jc w:val="right"/>
              <w:rPr>
                <w:rFonts w:ascii="宋体" w:eastAsia="宋体" w:hAnsi="宋体"/>
              </w:rPr>
            </w:pPr>
            <w:r w:rsidRPr="00CE36C3">
              <w:rPr>
                <w:rFonts w:ascii="宋体" w:eastAsia="宋体" w:hAnsi="宋体"/>
              </w:rPr>
              <w:t>1,170</w:t>
            </w:r>
          </w:p>
        </w:tc>
        <w:tc>
          <w:tcPr>
            <w:tcW w:w="1134" w:type="dxa"/>
            <w:tcBorders>
              <w:top w:val="single" w:sz="4" w:space="0" w:color="auto"/>
              <w:left w:val="nil"/>
              <w:bottom w:val="single" w:sz="4" w:space="0" w:color="auto"/>
              <w:right w:val="single" w:sz="4" w:space="0" w:color="auto"/>
            </w:tcBorders>
            <w:vAlign w:val="center"/>
          </w:tcPr>
          <w:p w14:paraId="5E5A322F" w14:textId="6F351668" w:rsidR="00CD1D24" w:rsidRPr="00CE36C3" w:rsidRDefault="00CD1D24" w:rsidP="00CD1D24">
            <w:pPr>
              <w:jc w:val="right"/>
              <w:rPr>
                <w:rFonts w:ascii="宋体" w:eastAsia="宋体" w:hAnsi="宋体"/>
              </w:rPr>
            </w:pPr>
            <w:r w:rsidRPr="00CE36C3">
              <w:rPr>
                <w:rFonts w:ascii="宋体" w:eastAsia="宋体" w:hAnsi="宋体"/>
              </w:rPr>
              <w:t>412</w:t>
            </w:r>
          </w:p>
        </w:tc>
      </w:tr>
      <w:tr w:rsidR="00CD1D24" w:rsidRPr="006D4FBA" w14:paraId="09C13F5A" w14:textId="77777777" w:rsidTr="001B7DE7">
        <w:trPr>
          <w:trHeight w:val="312"/>
          <w:jc w:val="center"/>
        </w:trPr>
        <w:tc>
          <w:tcPr>
            <w:tcW w:w="2127" w:type="dxa"/>
            <w:tcBorders>
              <w:top w:val="single" w:sz="4" w:space="0" w:color="auto"/>
              <w:left w:val="single" w:sz="4" w:space="0" w:color="auto"/>
              <w:bottom w:val="single" w:sz="4" w:space="0" w:color="auto"/>
              <w:right w:val="single" w:sz="4" w:space="0" w:color="auto"/>
            </w:tcBorders>
            <w:vAlign w:val="center"/>
          </w:tcPr>
          <w:p w14:paraId="1CFFE984" w14:textId="072F2AAA" w:rsidR="00CD1D24" w:rsidRPr="006D4FBA" w:rsidRDefault="00CD1D24" w:rsidP="00CD1D24">
            <w:pPr>
              <w:ind w:firstLineChars="500" w:firstLine="1050"/>
            </w:pPr>
            <w:r w:rsidRPr="00761F5F">
              <w:rPr>
                <w:rFonts w:hint="eastAsia"/>
              </w:rPr>
              <w:t>稳定轻烃</w:t>
            </w:r>
          </w:p>
        </w:tc>
        <w:tc>
          <w:tcPr>
            <w:tcW w:w="992" w:type="dxa"/>
            <w:tcBorders>
              <w:top w:val="single" w:sz="4" w:space="0" w:color="auto"/>
              <w:left w:val="single" w:sz="4" w:space="0" w:color="auto"/>
              <w:bottom w:val="single" w:sz="4" w:space="0" w:color="auto"/>
              <w:right w:val="single" w:sz="4" w:space="0" w:color="auto"/>
            </w:tcBorders>
          </w:tcPr>
          <w:p w14:paraId="20AE405A" w14:textId="3B815866" w:rsidR="00CD1D24" w:rsidRPr="006D4FBA" w:rsidRDefault="00CD1D24" w:rsidP="00CD1D24">
            <w:pPr>
              <w:jc w:val="right"/>
            </w:pPr>
            <w:r w:rsidRPr="006D4FBA">
              <w:rPr>
                <w:rFonts w:ascii="宋体" w:eastAsia="宋体" w:hAnsi="宋体" w:hint="eastAsia"/>
              </w:rPr>
              <w:t>-</w:t>
            </w:r>
          </w:p>
        </w:tc>
        <w:tc>
          <w:tcPr>
            <w:tcW w:w="810" w:type="dxa"/>
            <w:tcBorders>
              <w:top w:val="single" w:sz="4" w:space="0" w:color="auto"/>
              <w:left w:val="single" w:sz="4" w:space="0" w:color="auto"/>
              <w:bottom w:val="single" w:sz="4" w:space="0" w:color="auto"/>
              <w:right w:val="single" w:sz="4" w:space="0" w:color="auto"/>
            </w:tcBorders>
          </w:tcPr>
          <w:p w14:paraId="57E7768A" w14:textId="0121A78C" w:rsidR="00CD1D24" w:rsidRPr="006D4FBA" w:rsidRDefault="00CD1D24" w:rsidP="00CD1D24">
            <w:pPr>
              <w:jc w:val="right"/>
            </w:pPr>
            <w:r w:rsidRPr="006D4FBA">
              <w:rPr>
                <w:rFonts w:ascii="宋体" w:eastAsia="宋体" w:hAnsi="宋体" w:hint="eastAsia"/>
              </w:rPr>
              <w:t>-</w:t>
            </w:r>
          </w:p>
        </w:tc>
        <w:tc>
          <w:tcPr>
            <w:tcW w:w="1007" w:type="dxa"/>
            <w:tcBorders>
              <w:top w:val="single" w:sz="4" w:space="0" w:color="auto"/>
              <w:left w:val="single" w:sz="4" w:space="0" w:color="auto"/>
              <w:bottom w:val="single" w:sz="4" w:space="0" w:color="auto"/>
              <w:right w:val="single" w:sz="4" w:space="0" w:color="auto"/>
            </w:tcBorders>
          </w:tcPr>
          <w:p w14:paraId="65BB6EA9" w14:textId="4A73CED4" w:rsidR="00CD1D24" w:rsidRPr="006D4FBA" w:rsidRDefault="00CD1D24" w:rsidP="00CD1D24">
            <w:pPr>
              <w:jc w:val="right"/>
            </w:pPr>
            <w:r w:rsidRPr="006D4FBA">
              <w:rPr>
                <w:rFonts w:ascii="宋体" w:eastAsia="宋体" w:hAnsi="宋体" w:hint="eastAsia"/>
              </w:rPr>
              <w:t>-</w:t>
            </w:r>
          </w:p>
        </w:tc>
        <w:tc>
          <w:tcPr>
            <w:tcW w:w="1002" w:type="dxa"/>
            <w:tcBorders>
              <w:top w:val="single" w:sz="4" w:space="0" w:color="auto"/>
              <w:left w:val="single" w:sz="4" w:space="0" w:color="auto"/>
              <w:bottom w:val="single" w:sz="4" w:space="0" w:color="auto"/>
              <w:right w:val="single" w:sz="4" w:space="0" w:color="auto"/>
            </w:tcBorders>
          </w:tcPr>
          <w:p w14:paraId="62914420" w14:textId="41FA67C2" w:rsidR="00CD1D24" w:rsidRPr="006D4FBA" w:rsidRDefault="00CD1D24" w:rsidP="00CD1D24">
            <w:pPr>
              <w:jc w:val="right"/>
            </w:pPr>
            <w:r w:rsidRPr="006D4FBA">
              <w:rPr>
                <w:rFonts w:ascii="宋体" w:eastAsia="宋体" w:hAnsi="宋体" w:hint="eastAsia"/>
              </w:rPr>
              <w:t>-</w:t>
            </w:r>
          </w:p>
        </w:tc>
        <w:tc>
          <w:tcPr>
            <w:tcW w:w="992" w:type="dxa"/>
            <w:tcBorders>
              <w:top w:val="single" w:sz="4" w:space="0" w:color="auto"/>
              <w:left w:val="single" w:sz="4" w:space="0" w:color="auto"/>
              <w:bottom w:val="single" w:sz="4" w:space="0" w:color="auto"/>
              <w:right w:val="single" w:sz="4" w:space="0" w:color="auto"/>
            </w:tcBorders>
            <w:vAlign w:val="center"/>
          </w:tcPr>
          <w:p w14:paraId="79EF6DB1" w14:textId="62A98A2B" w:rsidR="00CD1D24" w:rsidRPr="00CE36C3" w:rsidRDefault="00CD1D24" w:rsidP="00CD1D24">
            <w:pPr>
              <w:jc w:val="right"/>
              <w:rPr>
                <w:rFonts w:ascii="宋体" w:eastAsia="宋体" w:hAnsi="宋体"/>
              </w:rPr>
            </w:pPr>
            <w:r w:rsidRPr="00CE36C3">
              <w:rPr>
                <w:rFonts w:ascii="宋体" w:eastAsia="宋体" w:hAnsi="宋体"/>
              </w:rPr>
              <w:t>103</w:t>
            </w:r>
          </w:p>
        </w:tc>
        <w:tc>
          <w:tcPr>
            <w:tcW w:w="992" w:type="dxa"/>
            <w:tcBorders>
              <w:top w:val="single" w:sz="4" w:space="0" w:color="auto"/>
              <w:left w:val="single" w:sz="4" w:space="0" w:color="auto"/>
              <w:bottom w:val="single" w:sz="4" w:space="0" w:color="auto"/>
              <w:right w:val="single" w:sz="4" w:space="0" w:color="auto"/>
            </w:tcBorders>
            <w:vAlign w:val="center"/>
          </w:tcPr>
          <w:p w14:paraId="715018FB" w14:textId="1D266D2A" w:rsidR="00CD1D24" w:rsidRPr="00CE36C3" w:rsidRDefault="00CD1D24" w:rsidP="00CD1D24">
            <w:pPr>
              <w:jc w:val="right"/>
              <w:rPr>
                <w:rFonts w:ascii="宋体" w:eastAsia="宋体" w:hAnsi="宋体"/>
              </w:rPr>
            </w:pPr>
            <w:r w:rsidRPr="00CE36C3">
              <w:rPr>
                <w:rFonts w:ascii="宋体" w:eastAsia="宋体" w:hAnsi="宋体"/>
              </w:rPr>
              <w:t>104</w:t>
            </w:r>
          </w:p>
        </w:tc>
        <w:tc>
          <w:tcPr>
            <w:tcW w:w="1134" w:type="dxa"/>
            <w:tcBorders>
              <w:top w:val="single" w:sz="4" w:space="0" w:color="auto"/>
              <w:left w:val="single" w:sz="4" w:space="0" w:color="auto"/>
              <w:bottom w:val="single" w:sz="4" w:space="0" w:color="auto"/>
              <w:right w:val="single" w:sz="4" w:space="0" w:color="auto"/>
            </w:tcBorders>
            <w:vAlign w:val="center"/>
          </w:tcPr>
          <w:p w14:paraId="28DB54CA" w14:textId="66369A0E" w:rsidR="00CD1D24" w:rsidRPr="00CE36C3" w:rsidRDefault="00CD1D24" w:rsidP="00CD1D24">
            <w:pPr>
              <w:jc w:val="right"/>
              <w:rPr>
                <w:rFonts w:ascii="宋体" w:eastAsia="宋体" w:hAnsi="宋体"/>
              </w:rPr>
            </w:pPr>
            <w:r w:rsidRPr="00CE36C3">
              <w:rPr>
                <w:rFonts w:ascii="宋体" w:eastAsia="宋体" w:hAnsi="宋体"/>
              </w:rPr>
              <w:t>608</w:t>
            </w:r>
          </w:p>
        </w:tc>
        <w:tc>
          <w:tcPr>
            <w:tcW w:w="1134" w:type="dxa"/>
            <w:tcBorders>
              <w:top w:val="single" w:sz="4" w:space="0" w:color="auto"/>
              <w:left w:val="nil"/>
              <w:bottom w:val="single" w:sz="4" w:space="0" w:color="auto"/>
              <w:right w:val="single" w:sz="4" w:space="0" w:color="auto"/>
            </w:tcBorders>
            <w:vAlign w:val="center"/>
          </w:tcPr>
          <w:p w14:paraId="015089C0" w14:textId="57C0F4F5" w:rsidR="00CD1D24" w:rsidRPr="00CE36C3" w:rsidRDefault="00CD1D24" w:rsidP="00CD1D24">
            <w:pPr>
              <w:jc w:val="right"/>
              <w:rPr>
                <w:rFonts w:ascii="宋体" w:eastAsia="宋体" w:hAnsi="宋体"/>
              </w:rPr>
            </w:pPr>
            <w:r w:rsidRPr="00CE36C3">
              <w:rPr>
                <w:rFonts w:ascii="宋体" w:eastAsia="宋体" w:hAnsi="宋体"/>
              </w:rPr>
              <w:t>295</w:t>
            </w:r>
          </w:p>
        </w:tc>
      </w:tr>
      <w:tr w:rsidR="00B201D3" w:rsidRPr="006D4FBA" w14:paraId="255AB213" w14:textId="77777777">
        <w:trPr>
          <w:trHeight w:val="312"/>
          <w:jc w:val="center"/>
        </w:trPr>
        <w:tc>
          <w:tcPr>
            <w:tcW w:w="2127" w:type="dxa"/>
            <w:tcBorders>
              <w:top w:val="single" w:sz="4" w:space="0" w:color="auto"/>
              <w:left w:val="single" w:sz="4" w:space="0" w:color="auto"/>
              <w:bottom w:val="single" w:sz="4" w:space="0" w:color="auto"/>
              <w:right w:val="single" w:sz="4" w:space="0" w:color="auto"/>
            </w:tcBorders>
            <w:vAlign w:val="center"/>
          </w:tcPr>
          <w:p w14:paraId="1EBB37B5" w14:textId="77777777" w:rsidR="00B201D3" w:rsidRPr="006D4FBA" w:rsidRDefault="009855E8">
            <w:pPr>
              <w:rPr>
                <w:rFonts w:ascii="宋体" w:eastAsia="宋体" w:hAnsi="宋体"/>
              </w:rPr>
            </w:pPr>
            <w:r w:rsidRPr="006D4FBA">
              <w:rPr>
                <w:rFonts w:ascii="宋体" w:eastAsia="宋体" w:hAnsi="宋体" w:hint="eastAsia"/>
              </w:rPr>
              <w:t>三、榆林能化</w:t>
            </w:r>
            <w:r w:rsidRPr="006D4FBA">
              <w:rPr>
                <w:rFonts w:ascii="宋体" w:eastAsia="宋体" w:hAnsi="宋体" w:hint="eastAsia"/>
                <w:vertAlign w:val="superscript"/>
              </w:rPr>
              <w:t>①</w:t>
            </w:r>
          </w:p>
        </w:tc>
        <w:tc>
          <w:tcPr>
            <w:tcW w:w="992" w:type="dxa"/>
            <w:tcBorders>
              <w:top w:val="single" w:sz="4" w:space="0" w:color="auto"/>
              <w:left w:val="single" w:sz="4" w:space="0" w:color="auto"/>
              <w:bottom w:val="single" w:sz="4" w:space="0" w:color="auto"/>
              <w:right w:val="single" w:sz="4" w:space="0" w:color="auto"/>
            </w:tcBorders>
            <w:vAlign w:val="center"/>
          </w:tcPr>
          <w:p w14:paraId="0F54D055" w14:textId="77777777" w:rsidR="00B201D3" w:rsidRPr="006D4FBA" w:rsidRDefault="009855E8">
            <w:pPr>
              <w:jc w:val="right"/>
              <w:rPr>
                <w:rFonts w:ascii="宋体" w:eastAsia="宋体" w:hAnsi="宋体"/>
              </w:rPr>
            </w:pPr>
            <w:r w:rsidRPr="006D4FBA">
              <w:rPr>
                <w:rFonts w:ascii="宋体" w:eastAsia="宋体" w:hAnsi="宋体"/>
              </w:rPr>
              <w:t xml:space="preserve">751 </w:t>
            </w:r>
          </w:p>
        </w:tc>
        <w:tc>
          <w:tcPr>
            <w:tcW w:w="810" w:type="dxa"/>
            <w:tcBorders>
              <w:top w:val="single" w:sz="4" w:space="0" w:color="auto"/>
              <w:left w:val="single" w:sz="4" w:space="0" w:color="auto"/>
              <w:bottom w:val="single" w:sz="4" w:space="0" w:color="auto"/>
              <w:right w:val="single" w:sz="4" w:space="0" w:color="auto"/>
            </w:tcBorders>
            <w:vAlign w:val="center"/>
          </w:tcPr>
          <w:p w14:paraId="43C8FB7C" w14:textId="77777777" w:rsidR="00B201D3" w:rsidRPr="006D4FBA" w:rsidRDefault="009855E8">
            <w:pPr>
              <w:jc w:val="right"/>
              <w:rPr>
                <w:rFonts w:ascii="宋体" w:eastAsia="宋体" w:hAnsi="宋体"/>
              </w:rPr>
            </w:pPr>
            <w:r w:rsidRPr="006D4FBA">
              <w:rPr>
                <w:rFonts w:ascii="宋体" w:eastAsia="宋体" w:hAnsi="宋体"/>
              </w:rPr>
              <w:t xml:space="preserve">722 </w:t>
            </w:r>
          </w:p>
        </w:tc>
        <w:tc>
          <w:tcPr>
            <w:tcW w:w="1007" w:type="dxa"/>
            <w:tcBorders>
              <w:top w:val="single" w:sz="4" w:space="0" w:color="auto"/>
              <w:left w:val="single" w:sz="4" w:space="0" w:color="auto"/>
              <w:bottom w:val="single" w:sz="4" w:space="0" w:color="auto"/>
              <w:right w:val="single" w:sz="4" w:space="0" w:color="auto"/>
            </w:tcBorders>
            <w:vAlign w:val="center"/>
          </w:tcPr>
          <w:p w14:paraId="10649D24" w14:textId="77777777" w:rsidR="00B201D3" w:rsidRPr="006D4FBA" w:rsidRDefault="009855E8">
            <w:pPr>
              <w:jc w:val="right"/>
              <w:rPr>
                <w:rFonts w:ascii="宋体" w:eastAsia="宋体" w:hAnsi="宋体"/>
              </w:rPr>
            </w:pPr>
            <w:r w:rsidRPr="006D4FBA">
              <w:rPr>
                <w:rFonts w:ascii="宋体" w:eastAsia="宋体" w:hAnsi="宋体"/>
              </w:rPr>
              <w:t xml:space="preserve">1,352 </w:t>
            </w:r>
          </w:p>
        </w:tc>
        <w:tc>
          <w:tcPr>
            <w:tcW w:w="1002" w:type="dxa"/>
            <w:tcBorders>
              <w:top w:val="single" w:sz="4" w:space="0" w:color="auto"/>
              <w:left w:val="single" w:sz="4" w:space="0" w:color="auto"/>
              <w:bottom w:val="single" w:sz="4" w:space="0" w:color="auto"/>
              <w:right w:val="single" w:sz="4" w:space="0" w:color="auto"/>
            </w:tcBorders>
            <w:vAlign w:val="center"/>
          </w:tcPr>
          <w:p w14:paraId="7EED206D" w14:textId="77777777" w:rsidR="00B201D3" w:rsidRPr="006D4FBA" w:rsidRDefault="009855E8">
            <w:pPr>
              <w:jc w:val="right"/>
              <w:rPr>
                <w:rFonts w:ascii="宋体" w:eastAsia="宋体" w:hAnsi="宋体"/>
              </w:rPr>
            </w:pPr>
            <w:r w:rsidRPr="006D4FBA">
              <w:rPr>
                <w:rFonts w:ascii="宋体" w:eastAsia="宋体" w:hAnsi="宋体"/>
              </w:rPr>
              <w:t xml:space="preserve">1,647 </w:t>
            </w:r>
          </w:p>
        </w:tc>
        <w:tc>
          <w:tcPr>
            <w:tcW w:w="992" w:type="dxa"/>
            <w:tcBorders>
              <w:top w:val="single" w:sz="4" w:space="0" w:color="auto"/>
              <w:left w:val="single" w:sz="4" w:space="0" w:color="auto"/>
              <w:bottom w:val="single" w:sz="4" w:space="0" w:color="auto"/>
              <w:right w:val="single" w:sz="4" w:space="0" w:color="auto"/>
            </w:tcBorders>
            <w:vAlign w:val="center"/>
          </w:tcPr>
          <w:p w14:paraId="6A01F832" w14:textId="77777777" w:rsidR="00B201D3" w:rsidRPr="006D4FBA" w:rsidRDefault="009855E8">
            <w:pPr>
              <w:jc w:val="right"/>
              <w:rPr>
                <w:rFonts w:ascii="宋体" w:eastAsia="宋体" w:hAnsi="宋体"/>
              </w:rPr>
            </w:pPr>
            <w:r w:rsidRPr="006D4FBA">
              <w:rPr>
                <w:rFonts w:ascii="宋体" w:eastAsia="宋体" w:hAnsi="宋体" w:hint="eastAsia"/>
              </w:rPr>
              <w:t>541</w:t>
            </w:r>
          </w:p>
        </w:tc>
        <w:tc>
          <w:tcPr>
            <w:tcW w:w="992" w:type="dxa"/>
            <w:tcBorders>
              <w:top w:val="single" w:sz="4" w:space="0" w:color="auto"/>
              <w:left w:val="single" w:sz="4" w:space="0" w:color="auto"/>
              <w:bottom w:val="single" w:sz="4" w:space="0" w:color="auto"/>
              <w:right w:val="single" w:sz="4" w:space="0" w:color="auto"/>
            </w:tcBorders>
            <w:vAlign w:val="center"/>
          </w:tcPr>
          <w:p w14:paraId="689B8714" w14:textId="77777777" w:rsidR="00B201D3" w:rsidRPr="006D4FBA" w:rsidRDefault="009855E8">
            <w:pPr>
              <w:jc w:val="right"/>
              <w:rPr>
                <w:rFonts w:ascii="宋体" w:eastAsia="宋体" w:hAnsi="宋体"/>
              </w:rPr>
            </w:pPr>
            <w:r w:rsidRPr="006D4FBA">
              <w:rPr>
                <w:rFonts w:ascii="宋体" w:eastAsia="宋体" w:hAnsi="宋体" w:hint="eastAsia"/>
              </w:rPr>
              <w:t>551</w:t>
            </w:r>
          </w:p>
        </w:tc>
        <w:tc>
          <w:tcPr>
            <w:tcW w:w="1134" w:type="dxa"/>
            <w:tcBorders>
              <w:top w:val="single" w:sz="4" w:space="0" w:color="auto"/>
              <w:left w:val="single" w:sz="4" w:space="0" w:color="auto"/>
              <w:bottom w:val="single" w:sz="4" w:space="0" w:color="auto"/>
              <w:right w:val="single" w:sz="4" w:space="0" w:color="auto"/>
            </w:tcBorders>
            <w:vAlign w:val="center"/>
          </w:tcPr>
          <w:p w14:paraId="319A0034" w14:textId="77777777" w:rsidR="00B201D3" w:rsidRPr="006D4FBA" w:rsidRDefault="009855E8">
            <w:pPr>
              <w:jc w:val="right"/>
              <w:rPr>
                <w:rFonts w:ascii="宋体" w:eastAsia="宋体" w:hAnsi="宋体"/>
              </w:rPr>
            </w:pPr>
            <w:r w:rsidRPr="006D4FBA">
              <w:rPr>
                <w:rFonts w:ascii="宋体" w:eastAsia="宋体" w:hAnsi="宋体" w:hint="eastAsia"/>
              </w:rPr>
              <w:t>1,122</w:t>
            </w:r>
          </w:p>
        </w:tc>
        <w:tc>
          <w:tcPr>
            <w:tcW w:w="1134" w:type="dxa"/>
            <w:tcBorders>
              <w:top w:val="single" w:sz="4" w:space="0" w:color="auto"/>
              <w:left w:val="nil"/>
              <w:bottom w:val="single" w:sz="4" w:space="0" w:color="auto"/>
              <w:right w:val="single" w:sz="4" w:space="0" w:color="auto"/>
            </w:tcBorders>
            <w:vAlign w:val="center"/>
          </w:tcPr>
          <w:p w14:paraId="7C06A0FB" w14:textId="77777777" w:rsidR="00B201D3" w:rsidRPr="006D4FBA" w:rsidRDefault="009855E8">
            <w:pPr>
              <w:jc w:val="right"/>
              <w:rPr>
                <w:rFonts w:ascii="宋体" w:eastAsia="宋体" w:hAnsi="宋体"/>
              </w:rPr>
            </w:pPr>
            <w:r w:rsidRPr="006D4FBA">
              <w:rPr>
                <w:rFonts w:ascii="宋体" w:eastAsia="宋体" w:hAnsi="宋体" w:hint="eastAsia"/>
              </w:rPr>
              <w:t>1,160</w:t>
            </w:r>
          </w:p>
        </w:tc>
      </w:tr>
      <w:tr w:rsidR="00B201D3" w:rsidRPr="006D4FBA" w14:paraId="691E7196" w14:textId="77777777">
        <w:trPr>
          <w:trHeight w:val="312"/>
          <w:jc w:val="center"/>
        </w:trPr>
        <w:tc>
          <w:tcPr>
            <w:tcW w:w="2127" w:type="dxa"/>
            <w:tcBorders>
              <w:top w:val="single" w:sz="4" w:space="0" w:color="auto"/>
              <w:left w:val="single" w:sz="4" w:space="0" w:color="auto"/>
              <w:bottom w:val="single" w:sz="4" w:space="0" w:color="auto"/>
              <w:right w:val="single" w:sz="4" w:space="0" w:color="auto"/>
            </w:tcBorders>
            <w:vAlign w:val="center"/>
          </w:tcPr>
          <w:p w14:paraId="236E442B" w14:textId="77777777" w:rsidR="00B201D3" w:rsidRPr="006D4FBA" w:rsidRDefault="009855E8">
            <w:pPr>
              <w:ind w:firstLineChars="200" w:firstLine="420"/>
              <w:rPr>
                <w:rFonts w:ascii="宋体" w:eastAsia="宋体" w:hAnsi="宋体"/>
              </w:rPr>
            </w:pPr>
            <w:r w:rsidRPr="006D4FBA">
              <w:rPr>
                <w:rFonts w:ascii="宋体" w:eastAsia="宋体" w:hAnsi="宋体" w:hint="eastAsia"/>
              </w:rPr>
              <w:t>其中：甲醇</w:t>
            </w:r>
          </w:p>
        </w:tc>
        <w:tc>
          <w:tcPr>
            <w:tcW w:w="992" w:type="dxa"/>
            <w:tcBorders>
              <w:top w:val="single" w:sz="4" w:space="0" w:color="auto"/>
              <w:left w:val="single" w:sz="4" w:space="0" w:color="auto"/>
              <w:bottom w:val="single" w:sz="4" w:space="0" w:color="auto"/>
              <w:right w:val="single" w:sz="4" w:space="0" w:color="auto"/>
            </w:tcBorders>
            <w:vAlign w:val="center"/>
          </w:tcPr>
          <w:p w14:paraId="5839E11D" w14:textId="77777777" w:rsidR="00B201D3" w:rsidRPr="006D4FBA" w:rsidRDefault="009855E8">
            <w:pPr>
              <w:jc w:val="right"/>
              <w:rPr>
                <w:rFonts w:ascii="宋体" w:eastAsia="宋体" w:hAnsi="宋体"/>
              </w:rPr>
            </w:pPr>
            <w:r w:rsidRPr="006D4FBA">
              <w:rPr>
                <w:rFonts w:ascii="宋体" w:eastAsia="宋体" w:hAnsi="宋体"/>
              </w:rPr>
              <w:t xml:space="preserve">732 </w:t>
            </w:r>
          </w:p>
        </w:tc>
        <w:tc>
          <w:tcPr>
            <w:tcW w:w="810" w:type="dxa"/>
            <w:tcBorders>
              <w:top w:val="single" w:sz="4" w:space="0" w:color="auto"/>
              <w:left w:val="single" w:sz="4" w:space="0" w:color="auto"/>
              <w:bottom w:val="single" w:sz="4" w:space="0" w:color="auto"/>
              <w:right w:val="single" w:sz="4" w:space="0" w:color="auto"/>
            </w:tcBorders>
            <w:vAlign w:val="center"/>
          </w:tcPr>
          <w:p w14:paraId="3F7DF7EB" w14:textId="77777777" w:rsidR="00B201D3" w:rsidRPr="006D4FBA" w:rsidRDefault="009855E8">
            <w:pPr>
              <w:jc w:val="right"/>
              <w:rPr>
                <w:rFonts w:ascii="宋体" w:eastAsia="宋体" w:hAnsi="宋体"/>
              </w:rPr>
            </w:pPr>
            <w:r w:rsidRPr="006D4FBA">
              <w:rPr>
                <w:rFonts w:ascii="宋体" w:eastAsia="宋体" w:hAnsi="宋体"/>
              </w:rPr>
              <w:t xml:space="preserve">709 </w:t>
            </w:r>
          </w:p>
        </w:tc>
        <w:tc>
          <w:tcPr>
            <w:tcW w:w="1007" w:type="dxa"/>
            <w:tcBorders>
              <w:top w:val="single" w:sz="4" w:space="0" w:color="auto"/>
              <w:left w:val="single" w:sz="4" w:space="0" w:color="auto"/>
              <w:bottom w:val="single" w:sz="4" w:space="0" w:color="auto"/>
              <w:right w:val="single" w:sz="4" w:space="0" w:color="auto"/>
            </w:tcBorders>
            <w:vAlign w:val="center"/>
          </w:tcPr>
          <w:p w14:paraId="5E9CB8CD" w14:textId="77777777" w:rsidR="00B201D3" w:rsidRPr="006D4FBA" w:rsidRDefault="009855E8">
            <w:pPr>
              <w:jc w:val="right"/>
              <w:rPr>
                <w:rFonts w:ascii="宋体" w:eastAsia="宋体" w:hAnsi="宋体"/>
              </w:rPr>
            </w:pPr>
            <w:r w:rsidRPr="006D4FBA">
              <w:rPr>
                <w:rFonts w:ascii="宋体" w:eastAsia="宋体" w:hAnsi="宋体"/>
              </w:rPr>
              <w:t xml:space="preserve">1,297 </w:t>
            </w:r>
          </w:p>
        </w:tc>
        <w:tc>
          <w:tcPr>
            <w:tcW w:w="1002" w:type="dxa"/>
            <w:tcBorders>
              <w:top w:val="single" w:sz="4" w:space="0" w:color="auto"/>
              <w:left w:val="single" w:sz="4" w:space="0" w:color="auto"/>
              <w:bottom w:val="single" w:sz="4" w:space="0" w:color="auto"/>
              <w:right w:val="single" w:sz="4" w:space="0" w:color="auto"/>
            </w:tcBorders>
            <w:vAlign w:val="center"/>
          </w:tcPr>
          <w:p w14:paraId="3D6A86C9" w14:textId="77777777" w:rsidR="00B201D3" w:rsidRPr="006D4FBA" w:rsidRDefault="009855E8">
            <w:pPr>
              <w:jc w:val="right"/>
              <w:rPr>
                <w:rFonts w:ascii="宋体" w:eastAsia="宋体" w:hAnsi="宋体"/>
              </w:rPr>
            </w:pPr>
            <w:r w:rsidRPr="006D4FBA">
              <w:rPr>
                <w:rFonts w:ascii="宋体" w:eastAsia="宋体" w:hAnsi="宋体"/>
              </w:rPr>
              <w:t xml:space="preserve">1,572 </w:t>
            </w:r>
          </w:p>
        </w:tc>
        <w:tc>
          <w:tcPr>
            <w:tcW w:w="992" w:type="dxa"/>
            <w:tcBorders>
              <w:top w:val="single" w:sz="4" w:space="0" w:color="auto"/>
              <w:left w:val="single" w:sz="4" w:space="0" w:color="auto"/>
              <w:bottom w:val="single" w:sz="4" w:space="0" w:color="auto"/>
              <w:right w:val="single" w:sz="4" w:space="0" w:color="auto"/>
            </w:tcBorders>
            <w:vAlign w:val="center"/>
          </w:tcPr>
          <w:p w14:paraId="3AC19F97" w14:textId="77777777" w:rsidR="00B201D3" w:rsidRPr="006D4FBA" w:rsidRDefault="009855E8">
            <w:pPr>
              <w:jc w:val="right"/>
              <w:rPr>
                <w:rFonts w:ascii="宋体" w:eastAsia="宋体" w:hAnsi="宋体"/>
              </w:rPr>
            </w:pPr>
            <w:r w:rsidRPr="006D4FBA">
              <w:rPr>
                <w:rFonts w:ascii="宋体" w:eastAsia="宋体" w:hAnsi="宋体" w:hint="eastAsia"/>
              </w:rPr>
              <w:t>541</w:t>
            </w:r>
          </w:p>
        </w:tc>
        <w:tc>
          <w:tcPr>
            <w:tcW w:w="992" w:type="dxa"/>
            <w:tcBorders>
              <w:top w:val="single" w:sz="4" w:space="0" w:color="auto"/>
              <w:left w:val="single" w:sz="4" w:space="0" w:color="auto"/>
              <w:bottom w:val="single" w:sz="4" w:space="0" w:color="auto"/>
              <w:right w:val="single" w:sz="4" w:space="0" w:color="auto"/>
            </w:tcBorders>
            <w:vAlign w:val="center"/>
          </w:tcPr>
          <w:p w14:paraId="31144424" w14:textId="77777777" w:rsidR="00B201D3" w:rsidRPr="006D4FBA" w:rsidRDefault="009855E8">
            <w:pPr>
              <w:jc w:val="right"/>
              <w:rPr>
                <w:rFonts w:ascii="宋体" w:eastAsia="宋体" w:hAnsi="宋体"/>
              </w:rPr>
            </w:pPr>
            <w:r w:rsidRPr="006D4FBA">
              <w:rPr>
                <w:rFonts w:ascii="宋体" w:eastAsia="宋体" w:hAnsi="宋体" w:hint="eastAsia"/>
              </w:rPr>
              <w:t>551</w:t>
            </w:r>
          </w:p>
        </w:tc>
        <w:tc>
          <w:tcPr>
            <w:tcW w:w="1134" w:type="dxa"/>
            <w:tcBorders>
              <w:top w:val="single" w:sz="4" w:space="0" w:color="auto"/>
              <w:left w:val="single" w:sz="4" w:space="0" w:color="auto"/>
              <w:bottom w:val="single" w:sz="4" w:space="0" w:color="auto"/>
              <w:right w:val="single" w:sz="4" w:space="0" w:color="auto"/>
            </w:tcBorders>
            <w:vAlign w:val="center"/>
          </w:tcPr>
          <w:p w14:paraId="7186DC36" w14:textId="77777777" w:rsidR="00B201D3" w:rsidRPr="006D4FBA" w:rsidRDefault="009855E8">
            <w:pPr>
              <w:jc w:val="right"/>
              <w:rPr>
                <w:rFonts w:ascii="宋体" w:eastAsia="宋体" w:hAnsi="宋体"/>
              </w:rPr>
            </w:pPr>
            <w:r w:rsidRPr="006D4FBA">
              <w:rPr>
                <w:rFonts w:ascii="宋体" w:eastAsia="宋体" w:hAnsi="宋体" w:hint="eastAsia"/>
              </w:rPr>
              <w:t>1,122</w:t>
            </w:r>
          </w:p>
        </w:tc>
        <w:tc>
          <w:tcPr>
            <w:tcW w:w="1134" w:type="dxa"/>
            <w:tcBorders>
              <w:top w:val="single" w:sz="4" w:space="0" w:color="auto"/>
              <w:left w:val="nil"/>
              <w:bottom w:val="single" w:sz="4" w:space="0" w:color="auto"/>
              <w:right w:val="single" w:sz="4" w:space="0" w:color="auto"/>
            </w:tcBorders>
            <w:vAlign w:val="center"/>
          </w:tcPr>
          <w:p w14:paraId="5DBAFA3A" w14:textId="77777777" w:rsidR="00B201D3" w:rsidRPr="006D4FBA" w:rsidRDefault="009855E8">
            <w:pPr>
              <w:jc w:val="right"/>
              <w:rPr>
                <w:rFonts w:ascii="宋体" w:eastAsia="宋体" w:hAnsi="宋体"/>
              </w:rPr>
            </w:pPr>
            <w:r w:rsidRPr="006D4FBA">
              <w:rPr>
                <w:rFonts w:ascii="宋体" w:eastAsia="宋体" w:hAnsi="宋体" w:hint="eastAsia"/>
              </w:rPr>
              <w:t>1,160</w:t>
            </w:r>
          </w:p>
        </w:tc>
      </w:tr>
      <w:tr w:rsidR="00B201D3" w:rsidRPr="006D4FBA" w14:paraId="48FC873F" w14:textId="77777777">
        <w:trPr>
          <w:trHeight w:val="312"/>
          <w:jc w:val="center"/>
        </w:trPr>
        <w:tc>
          <w:tcPr>
            <w:tcW w:w="2127" w:type="dxa"/>
            <w:tcBorders>
              <w:top w:val="single" w:sz="4" w:space="0" w:color="auto"/>
              <w:left w:val="single" w:sz="4" w:space="0" w:color="auto"/>
              <w:bottom w:val="single" w:sz="4" w:space="0" w:color="auto"/>
              <w:right w:val="single" w:sz="4" w:space="0" w:color="auto"/>
            </w:tcBorders>
            <w:vAlign w:val="center"/>
          </w:tcPr>
          <w:p w14:paraId="4FF8849F" w14:textId="77777777" w:rsidR="00B201D3" w:rsidRPr="006D4FBA" w:rsidRDefault="009855E8">
            <w:pPr>
              <w:rPr>
                <w:rFonts w:ascii="宋体" w:eastAsia="宋体" w:hAnsi="宋体"/>
              </w:rPr>
            </w:pPr>
            <w:r w:rsidRPr="006D4FBA">
              <w:rPr>
                <w:rFonts w:ascii="宋体" w:eastAsia="宋体" w:hAnsi="宋体" w:hint="eastAsia"/>
              </w:rPr>
              <w:t>四、鄂尔多斯公司</w:t>
            </w:r>
          </w:p>
        </w:tc>
        <w:tc>
          <w:tcPr>
            <w:tcW w:w="992" w:type="dxa"/>
            <w:tcBorders>
              <w:top w:val="single" w:sz="4" w:space="0" w:color="auto"/>
              <w:left w:val="single" w:sz="4" w:space="0" w:color="auto"/>
              <w:bottom w:val="single" w:sz="4" w:space="0" w:color="auto"/>
              <w:right w:val="single" w:sz="4" w:space="0" w:color="auto"/>
            </w:tcBorders>
            <w:vAlign w:val="center"/>
          </w:tcPr>
          <w:p w14:paraId="0C04AEA4" w14:textId="77777777" w:rsidR="00B201D3" w:rsidRPr="006D4FBA" w:rsidRDefault="009855E8">
            <w:pPr>
              <w:jc w:val="right"/>
              <w:rPr>
                <w:rFonts w:ascii="宋体" w:eastAsia="宋体" w:hAnsi="宋体"/>
              </w:rPr>
            </w:pPr>
            <w:r w:rsidRPr="006D4FBA">
              <w:rPr>
                <w:rFonts w:ascii="宋体" w:eastAsia="宋体" w:hAnsi="宋体"/>
              </w:rPr>
              <w:t xml:space="preserve">1,170 </w:t>
            </w:r>
          </w:p>
        </w:tc>
        <w:tc>
          <w:tcPr>
            <w:tcW w:w="810" w:type="dxa"/>
            <w:tcBorders>
              <w:top w:val="single" w:sz="4" w:space="0" w:color="auto"/>
              <w:left w:val="single" w:sz="4" w:space="0" w:color="auto"/>
              <w:bottom w:val="single" w:sz="4" w:space="0" w:color="auto"/>
              <w:right w:val="single" w:sz="4" w:space="0" w:color="auto"/>
            </w:tcBorders>
            <w:vAlign w:val="center"/>
          </w:tcPr>
          <w:p w14:paraId="2AAC8C1E" w14:textId="77777777" w:rsidR="00B201D3" w:rsidRPr="006D4FBA" w:rsidRDefault="009855E8">
            <w:pPr>
              <w:jc w:val="right"/>
              <w:rPr>
                <w:rFonts w:ascii="宋体" w:eastAsia="宋体" w:hAnsi="宋体"/>
              </w:rPr>
            </w:pPr>
            <w:r w:rsidRPr="006D4FBA">
              <w:rPr>
                <w:rFonts w:ascii="宋体" w:eastAsia="宋体" w:hAnsi="宋体"/>
              </w:rPr>
              <w:t xml:space="preserve">1,202 </w:t>
            </w:r>
          </w:p>
        </w:tc>
        <w:tc>
          <w:tcPr>
            <w:tcW w:w="1007" w:type="dxa"/>
            <w:tcBorders>
              <w:top w:val="single" w:sz="4" w:space="0" w:color="auto"/>
              <w:left w:val="single" w:sz="4" w:space="0" w:color="auto"/>
              <w:bottom w:val="single" w:sz="4" w:space="0" w:color="auto"/>
              <w:right w:val="single" w:sz="4" w:space="0" w:color="auto"/>
            </w:tcBorders>
            <w:vAlign w:val="center"/>
          </w:tcPr>
          <w:p w14:paraId="388819C4" w14:textId="77777777" w:rsidR="00B201D3" w:rsidRPr="006D4FBA" w:rsidRDefault="009855E8">
            <w:pPr>
              <w:jc w:val="right"/>
              <w:rPr>
                <w:rFonts w:ascii="宋体" w:eastAsia="宋体" w:hAnsi="宋体"/>
              </w:rPr>
            </w:pPr>
            <w:r w:rsidRPr="006D4FBA">
              <w:rPr>
                <w:rFonts w:ascii="宋体" w:eastAsia="宋体" w:hAnsi="宋体"/>
              </w:rPr>
              <w:t xml:space="preserve">2,467 </w:t>
            </w:r>
          </w:p>
        </w:tc>
        <w:tc>
          <w:tcPr>
            <w:tcW w:w="1002" w:type="dxa"/>
            <w:tcBorders>
              <w:top w:val="single" w:sz="4" w:space="0" w:color="auto"/>
              <w:left w:val="single" w:sz="4" w:space="0" w:color="auto"/>
              <w:bottom w:val="single" w:sz="4" w:space="0" w:color="auto"/>
              <w:right w:val="single" w:sz="4" w:space="0" w:color="auto"/>
            </w:tcBorders>
            <w:vAlign w:val="center"/>
          </w:tcPr>
          <w:p w14:paraId="585136E3" w14:textId="77777777" w:rsidR="00B201D3" w:rsidRPr="006D4FBA" w:rsidRDefault="009855E8">
            <w:pPr>
              <w:jc w:val="right"/>
              <w:rPr>
                <w:rFonts w:ascii="宋体" w:eastAsia="宋体" w:hAnsi="宋体"/>
              </w:rPr>
            </w:pPr>
            <w:r w:rsidRPr="006D4FBA">
              <w:rPr>
                <w:rFonts w:ascii="宋体" w:eastAsia="宋体" w:hAnsi="宋体"/>
              </w:rPr>
              <w:t xml:space="preserve">2,233 </w:t>
            </w:r>
          </w:p>
        </w:tc>
        <w:tc>
          <w:tcPr>
            <w:tcW w:w="992" w:type="dxa"/>
            <w:tcBorders>
              <w:top w:val="single" w:sz="4" w:space="0" w:color="auto"/>
              <w:left w:val="single" w:sz="4" w:space="0" w:color="auto"/>
              <w:bottom w:val="single" w:sz="4" w:space="0" w:color="auto"/>
              <w:right w:val="single" w:sz="4" w:space="0" w:color="auto"/>
            </w:tcBorders>
            <w:vAlign w:val="center"/>
          </w:tcPr>
          <w:p w14:paraId="3EB395A1" w14:textId="77777777" w:rsidR="00B201D3" w:rsidRPr="006D4FBA" w:rsidRDefault="009855E8">
            <w:pPr>
              <w:jc w:val="right"/>
              <w:rPr>
                <w:rFonts w:ascii="宋体" w:eastAsia="宋体" w:hAnsi="宋体"/>
              </w:rPr>
            </w:pPr>
            <w:r w:rsidRPr="006D4FBA">
              <w:rPr>
                <w:rFonts w:ascii="宋体" w:eastAsia="宋体" w:hAnsi="宋体" w:hint="eastAsia"/>
              </w:rPr>
              <w:t>1,117</w:t>
            </w:r>
          </w:p>
        </w:tc>
        <w:tc>
          <w:tcPr>
            <w:tcW w:w="992" w:type="dxa"/>
            <w:tcBorders>
              <w:top w:val="single" w:sz="4" w:space="0" w:color="auto"/>
              <w:left w:val="single" w:sz="4" w:space="0" w:color="auto"/>
              <w:bottom w:val="single" w:sz="4" w:space="0" w:color="auto"/>
              <w:right w:val="single" w:sz="4" w:space="0" w:color="auto"/>
            </w:tcBorders>
            <w:vAlign w:val="center"/>
          </w:tcPr>
          <w:p w14:paraId="0A80224D" w14:textId="77777777" w:rsidR="00B201D3" w:rsidRPr="006D4FBA" w:rsidRDefault="009855E8">
            <w:pPr>
              <w:jc w:val="right"/>
              <w:rPr>
                <w:rFonts w:ascii="宋体" w:eastAsia="宋体" w:hAnsi="宋体"/>
              </w:rPr>
            </w:pPr>
            <w:r w:rsidRPr="006D4FBA">
              <w:rPr>
                <w:rFonts w:ascii="宋体" w:eastAsia="宋体" w:hAnsi="宋体" w:hint="eastAsia"/>
              </w:rPr>
              <w:t>1,191</w:t>
            </w:r>
          </w:p>
        </w:tc>
        <w:tc>
          <w:tcPr>
            <w:tcW w:w="1134" w:type="dxa"/>
            <w:tcBorders>
              <w:top w:val="single" w:sz="4" w:space="0" w:color="auto"/>
              <w:left w:val="single" w:sz="4" w:space="0" w:color="auto"/>
              <w:bottom w:val="single" w:sz="4" w:space="0" w:color="auto"/>
              <w:right w:val="single" w:sz="4" w:space="0" w:color="auto"/>
            </w:tcBorders>
            <w:vAlign w:val="center"/>
          </w:tcPr>
          <w:p w14:paraId="70B08B28" w14:textId="77777777" w:rsidR="00B201D3" w:rsidRPr="006D4FBA" w:rsidRDefault="009855E8">
            <w:pPr>
              <w:jc w:val="right"/>
              <w:rPr>
                <w:rFonts w:ascii="宋体" w:eastAsia="宋体" w:hAnsi="宋体"/>
              </w:rPr>
            </w:pPr>
            <w:r w:rsidRPr="006D4FBA">
              <w:rPr>
                <w:rFonts w:ascii="宋体" w:eastAsia="宋体" w:hAnsi="宋体" w:hint="eastAsia"/>
              </w:rPr>
              <w:t>2,790</w:t>
            </w:r>
          </w:p>
        </w:tc>
        <w:tc>
          <w:tcPr>
            <w:tcW w:w="1134" w:type="dxa"/>
            <w:tcBorders>
              <w:top w:val="single" w:sz="4" w:space="0" w:color="auto"/>
              <w:left w:val="nil"/>
              <w:bottom w:val="single" w:sz="4" w:space="0" w:color="auto"/>
              <w:right w:val="single" w:sz="4" w:space="0" w:color="auto"/>
            </w:tcBorders>
            <w:vAlign w:val="center"/>
          </w:tcPr>
          <w:p w14:paraId="3FD77DA9" w14:textId="77777777" w:rsidR="00B201D3" w:rsidRPr="006D4FBA" w:rsidRDefault="009855E8">
            <w:pPr>
              <w:jc w:val="right"/>
              <w:rPr>
                <w:rFonts w:ascii="宋体" w:eastAsia="宋体" w:hAnsi="宋体"/>
              </w:rPr>
            </w:pPr>
            <w:r w:rsidRPr="006D4FBA">
              <w:rPr>
                <w:rFonts w:ascii="宋体" w:eastAsia="宋体" w:hAnsi="宋体" w:hint="eastAsia"/>
              </w:rPr>
              <w:t>2,516</w:t>
            </w:r>
          </w:p>
        </w:tc>
      </w:tr>
      <w:tr w:rsidR="00B201D3" w:rsidRPr="006D4FBA" w14:paraId="065A5439" w14:textId="77777777">
        <w:trPr>
          <w:trHeight w:val="312"/>
          <w:jc w:val="center"/>
        </w:trPr>
        <w:tc>
          <w:tcPr>
            <w:tcW w:w="2127" w:type="dxa"/>
            <w:tcBorders>
              <w:top w:val="single" w:sz="4" w:space="0" w:color="auto"/>
              <w:left w:val="single" w:sz="4" w:space="0" w:color="auto"/>
              <w:bottom w:val="single" w:sz="4" w:space="0" w:color="auto"/>
              <w:right w:val="single" w:sz="4" w:space="0" w:color="auto"/>
            </w:tcBorders>
            <w:vAlign w:val="center"/>
          </w:tcPr>
          <w:p w14:paraId="1ADD6756" w14:textId="77777777" w:rsidR="00B201D3" w:rsidRPr="006D4FBA" w:rsidRDefault="009855E8">
            <w:pPr>
              <w:ind w:firstLineChars="200" w:firstLine="420"/>
              <w:rPr>
                <w:rFonts w:ascii="宋体" w:eastAsia="宋体" w:hAnsi="宋体"/>
              </w:rPr>
            </w:pPr>
            <w:r w:rsidRPr="006D4FBA">
              <w:rPr>
                <w:rFonts w:ascii="宋体" w:eastAsia="宋体" w:hAnsi="宋体" w:hint="eastAsia"/>
              </w:rPr>
              <w:t>其中：甲醇</w:t>
            </w:r>
          </w:p>
        </w:tc>
        <w:tc>
          <w:tcPr>
            <w:tcW w:w="992" w:type="dxa"/>
            <w:tcBorders>
              <w:top w:val="single" w:sz="4" w:space="0" w:color="auto"/>
              <w:left w:val="single" w:sz="4" w:space="0" w:color="auto"/>
              <w:bottom w:val="single" w:sz="4" w:space="0" w:color="auto"/>
              <w:right w:val="single" w:sz="4" w:space="0" w:color="auto"/>
            </w:tcBorders>
            <w:vAlign w:val="center"/>
          </w:tcPr>
          <w:p w14:paraId="3AD213DA" w14:textId="77777777" w:rsidR="00B201D3" w:rsidRPr="006D4FBA" w:rsidRDefault="009855E8">
            <w:pPr>
              <w:jc w:val="right"/>
              <w:rPr>
                <w:rFonts w:ascii="宋体" w:eastAsia="宋体" w:hAnsi="宋体"/>
              </w:rPr>
            </w:pPr>
            <w:r w:rsidRPr="006D4FBA">
              <w:rPr>
                <w:rFonts w:ascii="宋体" w:eastAsia="宋体" w:hAnsi="宋体"/>
              </w:rPr>
              <w:t xml:space="preserve">1,027 </w:t>
            </w:r>
          </w:p>
        </w:tc>
        <w:tc>
          <w:tcPr>
            <w:tcW w:w="810" w:type="dxa"/>
            <w:tcBorders>
              <w:top w:val="single" w:sz="4" w:space="0" w:color="auto"/>
              <w:left w:val="single" w:sz="4" w:space="0" w:color="auto"/>
              <w:bottom w:val="single" w:sz="4" w:space="0" w:color="auto"/>
              <w:right w:val="single" w:sz="4" w:space="0" w:color="auto"/>
            </w:tcBorders>
            <w:vAlign w:val="center"/>
          </w:tcPr>
          <w:p w14:paraId="28506238" w14:textId="77777777" w:rsidR="00B201D3" w:rsidRPr="006D4FBA" w:rsidRDefault="009855E8">
            <w:pPr>
              <w:jc w:val="right"/>
              <w:rPr>
                <w:rFonts w:ascii="宋体" w:eastAsia="宋体" w:hAnsi="宋体"/>
              </w:rPr>
            </w:pPr>
            <w:r w:rsidRPr="006D4FBA">
              <w:rPr>
                <w:rFonts w:ascii="宋体" w:eastAsia="宋体" w:hAnsi="宋体"/>
              </w:rPr>
              <w:t xml:space="preserve">1,033 </w:t>
            </w:r>
          </w:p>
        </w:tc>
        <w:tc>
          <w:tcPr>
            <w:tcW w:w="1007" w:type="dxa"/>
            <w:tcBorders>
              <w:top w:val="single" w:sz="4" w:space="0" w:color="auto"/>
              <w:left w:val="single" w:sz="4" w:space="0" w:color="auto"/>
              <w:bottom w:val="single" w:sz="4" w:space="0" w:color="auto"/>
              <w:right w:val="single" w:sz="4" w:space="0" w:color="auto"/>
            </w:tcBorders>
            <w:vAlign w:val="center"/>
          </w:tcPr>
          <w:p w14:paraId="2ED4D7E2" w14:textId="77777777" w:rsidR="00B201D3" w:rsidRPr="006D4FBA" w:rsidRDefault="009855E8">
            <w:pPr>
              <w:jc w:val="right"/>
              <w:rPr>
                <w:rFonts w:ascii="宋体" w:eastAsia="宋体" w:hAnsi="宋体"/>
              </w:rPr>
            </w:pPr>
            <w:r w:rsidRPr="006D4FBA">
              <w:rPr>
                <w:rFonts w:ascii="宋体" w:eastAsia="宋体" w:hAnsi="宋体"/>
              </w:rPr>
              <w:t xml:space="preserve">1,891 </w:t>
            </w:r>
          </w:p>
        </w:tc>
        <w:tc>
          <w:tcPr>
            <w:tcW w:w="1002" w:type="dxa"/>
            <w:tcBorders>
              <w:top w:val="single" w:sz="4" w:space="0" w:color="auto"/>
              <w:left w:val="single" w:sz="4" w:space="0" w:color="auto"/>
              <w:bottom w:val="single" w:sz="4" w:space="0" w:color="auto"/>
              <w:right w:val="single" w:sz="4" w:space="0" w:color="auto"/>
            </w:tcBorders>
            <w:vAlign w:val="center"/>
          </w:tcPr>
          <w:p w14:paraId="366AD544" w14:textId="77777777" w:rsidR="00B201D3" w:rsidRPr="006D4FBA" w:rsidRDefault="009855E8">
            <w:pPr>
              <w:jc w:val="right"/>
              <w:rPr>
                <w:rFonts w:ascii="宋体" w:eastAsia="宋体" w:hAnsi="宋体"/>
              </w:rPr>
            </w:pPr>
            <w:r w:rsidRPr="006D4FBA">
              <w:rPr>
                <w:rFonts w:ascii="宋体" w:eastAsia="宋体" w:hAnsi="宋体"/>
              </w:rPr>
              <w:t xml:space="preserve">1,684 </w:t>
            </w:r>
          </w:p>
        </w:tc>
        <w:tc>
          <w:tcPr>
            <w:tcW w:w="992" w:type="dxa"/>
            <w:tcBorders>
              <w:top w:val="single" w:sz="4" w:space="0" w:color="auto"/>
              <w:left w:val="single" w:sz="4" w:space="0" w:color="auto"/>
              <w:bottom w:val="single" w:sz="4" w:space="0" w:color="auto"/>
              <w:right w:val="single" w:sz="4" w:space="0" w:color="auto"/>
            </w:tcBorders>
            <w:vAlign w:val="center"/>
          </w:tcPr>
          <w:p w14:paraId="3B845537" w14:textId="77777777" w:rsidR="00B201D3" w:rsidRPr="006D4FBA" w:rsidRDefault="009855E8">
            <w:pPr>
              <w:jc w:val="right"/>
              <w:rPr>
                <w:rFonts w:ascii="宋体" w:eastAsia="宋体" w:hAnsi="宋体"/>
              </w:rPr>
            </w:pPr>
            <w:r w:rsidRPr="006D4FBA">
              <w:rPr>
                <w:rFonts w:ascii="宋体" w:eastAsia="宋体" w:hAnsi="宋体" w:hint="eastAsia"/>
              </w:rPr>
              <w:t>962</w:t>
            </w:r>
          </w:p>
        </w:tc>
        <w:tc>
          <w:tcPr>
            <w:tcW w:w="992" w:type="dxa"/>
            <w:tcBorders>
              <w:top w:val="single" w:sz="4" w:space="0" w:color="auto"/>
              <w:left w:val="single" w:sz="4" w:space="0" w:color="auto"/>
              <w:bottom w:val="single" w:sz="4" w:space="0" w:color="auto"/>
              <w:right w:val="single" w:sz="4" w:space="0" w:color="auto"/>
            </w:tcBorders>
            <w:vAlign w:val="center"/>
          </w:tcPr>
          <w:p w14:paraId="5EC5EBB5" w14:textId="77777777" w:rsidR="00B201D3" w:rsidRPr="006D4FBA" w:rsidRDefault="009855E8">
            <w:pPr>
              <w:jc w:val="right"/>
              <w:rPr>
                <w:rFonts w:ascii="宋体" w:eastAsia="宋体" w:hAnsi="宋体"/>
              </w:rPr>
            </w:pPr>
            <w:r w:rsidRPr="006D4FBA">
              <w:rPr>
                <w:rFonts w:ascii="宋体" w:eastAsia="宋体" w:hAnsi="宋体" w:hint="eastAsia"/>
              </w:rPr>
              <w:t>1,017</w:t>
            </w:r>
          </w:p>
        </w:tc>
        <w:tc>
          <w:tcPr>
            <w:tcW w:w="1134" w:type="dxa"/>
            <w:tcBorders>
              <w:top w:val="single" w:sz="4" w:space="0" w:color="auto"/>
              <w:left w:val="single" w:sz="4" w:space="0" w:color="auto"/>
              <w:bottom w:val="single" w:sz="4" w:space="0" w:color="auto"/>
              <w:right w:val="single" w:sz="4" w:space="0" w:color="auto"/>
            </w:tcBorders>
            <w:vAlign w:val="center"/>
          </w:tcPr>
          <w:p w14:paraId="69F05897" w14:textId="77777777" w:rsidR="00B201D3" w:rsidRPr="006D4FBA" w:rsidRDefault="009855E8">
            <w:pPr>
              <w:jc w:val="right"/>
              <w:rPr>
                <w:rFonts w:ascii="宋体" w:eastAsia="宋体" w:hAnsi="宋体"/>
              </w:rPr>
            </w:pPr>
            <w:r w:rsidRPr="006D4FBA">
              <w:rPr>
                <w:rFonts w:ascii="宋体" w:eastAsia="宋体" w:hAnsi="宋体" w:hint="eastAsia"/>
              </w:rPr>
              <w:t>2,051</w:t>
            </w:r>
          </w:p>
        </w:tc>
        <w:tc>
          <w:tcPr>
            <w:tcW w:w="1134" w:type="dxa"/>
            <w:tcBorders>
              <w:top w:val="single" w:sz="4" w:space="0" w:color="auto"/>
              <w:left w:val="nil"/>
              <w:bottom w:val="single" w:sz="4" w:space="0" w:color="auto"/>
              <w:right w:val="single" w:sz="4" w:space="0" w:color="auto"/>
            </w:tcBorders>
            <w:vAlign w:val="center"/>
          </w:tcPr>
          <w:p w14:paraId="448390E4" w14:textId="77777777" w:rsidR="00B201D3" w:rsidRPr="006D4FBA" w:rsidRDefault="009855E8">
            <w:pPr>
              <w:jc w:val="right"/>
              <w:rPr>
                <w:rFonts w:ascii="宋体" w:eastAsia="宋体" w:hAnsi="宋体"/>
              </w:rPr>
            </w:pPr>
            <w:r w:rsidRPr="006D4FBA">
              <w:rPr>
                <w:rFonts w:ascii="宋体" w:eastAsia="宋体" w:hAnsi="宋体" w:hint="eastAsia"/>
              </w:rPr>
              <w:t>1,916</w:t>
            </w:r>
          </w:p>
        </w:tc>
      </w:tr>
      <w:tr w:rsidR="00B201D3" w:rsidRPr="006D4FBA" w14:paraId="50CD6EFC" w14:textId="77777777">
        <w:trPr>
          <w:trHeight w:val="70"/>
          <w:jc w:val="center"/>
        </w:trPr>
        <w:tc>
          <w:tcPr>
            <w:tcW w:w="2127" w:type="dxa"/>
            <w:tcBorders>
              <w:top w:val="single" w:sz="4" w:space="0" w:color="auto"/>
              <w:left w:val="single" w:sz="4" w:space="0" w:color="auto"/>
              <w:bottom w:val="single" w:sz="4" w:space="0" w:color="auto"/>
              <w:right w:val="single" w:sz="4" w:space="0" w:color="auto"/>
            </w:tcBorders>
            <w:vAlign w:val="center"/>
          </w:tcPr>
          <w:p w14:paraId="525DB691" w14:textId="77777777" w:rsidR="00B201D3" w:rsidRPr="006D4FBA" w:rsidRDefault="009855E8">
            <w:pPr>
              <w:ind w:firstLineChars="500" w:firstLine="1050"/>
              <w:rPr>
                <w:rFonts w:ascii="宋体" w:eastAsia="宋体" w:hAnsi="宋体"/>
              </w:rPr>
            </w:pPr>
            <w:r w:rsidRPr="006D4FBA">
              <w:rPr>
                <w:rFonts w:ascii="宋体" w:eastAsia="宋体" w:hAnsi="宋体" w:hint="eastAsia"/>
              </w:rPr>
              <w:t>乙二醇</w:t>
            </w:r>
          </w:p>
        </w:tc>
        <w:tc>
          <w:tcPr>
            <w:tcW w:w="992" w:type="dxa"/>
            <w:tcBorders>
              <w:top w:val="single" w:sz="4" w:space="0" w:color="auto"/>
              <w:left w:val="single" w:sz="4" w:space="0" w:color="auto"/>
              <w:bottom w:val="single" w:sz="4" w:space="0" w:color="auto"/>
              <w:right w:val="single" w:sz="4" w:space="0" w:color="auto"/>
            </w:tcBorders>
            <w:vAlign w:val="center"/>
          </w:tcPr>
          <w:p w14:paraId="7031CACA" w14:textId="77777777" w:rsidR="00B201D3" w:rsidRPr="006D4FBA" w:rsidRDefault="009855E8">
            <w:pPr>
              <w:jc w:val="right"/>
              <w:rPr>
                <w:rFonts w:ascii="宋体" w:eastAsia="宋体" w:hAnsi="宋体"/>
              </w:rPr>
            </w:pPr>
            <w:r w:rsidRPr="006D4FBA">
              <w:rPr>
                <w:rFonts w:ascii="宋体" w:eastAsia="宋体" w:hAnsi="宋体"/>
              </w:rPr>
              <w:t xml:space="preserve">143 </w:t>
            </w:r>
          </w:p>
        </w:tc>
        <w:tc>
          <w:tcPr>
            <w:tcW w:w="810" w:type="dxa"/>
            <w:tcBorders>
              <w:top w:val="single" w:sz="4" w:space="0" w:color="auto"/>
              <w:left w:val="single" w:sz="4" w:space="0" w:color="auto"/>
              <w:bottom w:val="single" w:sz="4" w:space="0" w:color="auto"/>
              <w:right w:val="single" w:sz="4" w:space="0" w:color="auto"/>
            </w:tcBorders>
            <w:vAlign w:val="center"/>
          </w:tcPr>
          <w:p w14:paraId="413D99B9" w14:textId="77777777" w:rsidR="00B201D3" w:rsidRPr="006D4FBA" w:rsidRDefault="009855E8">
            <w:pPr>
              <w:jc w:val="right"/>
              <w:rPr>
                <w:rFonts w:ascii="宋体" w:eastAsia="宋体" w:hAnsi="宋体"/>
              </w:rPr>
            </w:pPr>
            <w:r w:rsidRPr="006D4FBA">
              <w:rPr>
                <w:rFonts w:ascii="宋体" w:eastAsia="宋体" w:hAnsi="宋体"/>
              </w:rPr>
              <w:t xml:space="preserve">169 </w:t>
            </w:r>
          </w:p>
        </w:tc>
        <w:tc>
          <w:tcPr>
            <w:tcW w:w="1007" w:type="dxa"/>
            <w:tcBorders>
              <w:top w:val="single" w:sz="4" w:space="0" w:color="auto"/>
              <w:left w:val="single" w:sz="4" w:space="0" w:color="auto"/>
              <w:bottom w:val="single" w:sz="4" w:space="0" w:color="auto"/>
              <w:right w:val="single" w:sz="4" w:space="0" w:color="auto"/>
            </w:tcBorders>
            <w:vAlign w:val="center"/>
          </w:tcPr>
          <w:p w14:paraId="733F2F3D" w14:textId="77777777" w:rsidR="00B201D3" w:rsidRPr="006D4FBA" w:rsidRDefault="009855E8">
            <w:pPr>
              <w:jc w:val="right"/>
              <w:rPr>
                <w:rFonts w:ascii="宋体" w:eastAsia="宋体" w:hAnsi="宋体"/>
              </w:rPr>
            </w:pPr>
            <w:r w:rsidRPr="006D4FBA">
              <w:rPr>
                <w:rFonts w:ascii="宋体" w:eastAsia="宋体" w:hAnsi="宋体"/>
              </w:rPr>
              <w:t xml:space="preserve">576 </w:t>
            </w:r>
          </w:p>
        </w:tc>
        <w:tc>
          <w:tcPr>
            <w:tcW w:w="1002" w:type="dxa"/>
            <w:tcBorders>
              <w:top w:val="single" w:sz="4" w:space="0" w:color="auto"/>
              <w:left w:val="single" w:sz="4" w:space="0" w:color="auto"/>
              <w:bottom w:val="single" w:sz="4" w:space="0" w:color="auto"/>
              <w:right w:val="single" w:sz="4" w:space="0" w:color="auto"/>
            </w:tcBorders>
            <w:vAlign w:val="center"/>
          </w:tcPr>
          <w:p w14:paraId="5A04199D" w14:textId="77777777" w:rsidR="00B201D3" w:rsidRPr="006D4FBA" w:rsidRDefault="009855E8">
            <w:pPr>
              <w:jc w:val="right"/>
              <w:rPr>
                <w:rFonts w:ascii="宋体" w:eastAsia="宋体" w:hAnsi="宋体"/>
              </w:rPr>
            </w:pPr>
            <w:r w:rsidRPr="006D4FBA">
              <w:rPr>
                <w:rFonts w:ascii="宋体" w:eastAsia="宋体" w:hAnsi="宋体"/>
              </w:rPr>
              <w:t xml:space="preserve">549 </w:t>
            </w:r>
          </w:p>
        </w:tc>
        <w:tc>
          <w:tcPr>
            <w:tcW w:w="992" w:type="dxa"/>
            <w:tcBorders>
              <w:top w:val="single" w:sz="4" w:space="0" w:color="auto"/>
              <w:left w:val="single" w:sz="4" w:space="0" w:color="auto"/>
              <w:bottom w:val="single" w:sz="4" w:space="0" w:color="auto"/>
              <w:right w:val="single" w:sz="4" w:space="0" w:color="auto"/>
            </w:tcBorders>
            <w:vAlign w:val="center"/>
          </w:tcPr>
          <w:p w14:paraId="6A578FF2" w14:textId="77777777" w:rsidR="00B201D3" w:rsidRPr="006D4FBA" w:rsidRDefault="009855E8">
            <w:pPr>
              <w:jc w:val="right"/>
              <w:rPr>
                <w:rFonts w:ascii="宋体" w:eastAsia="宋体" w:hAnsi="宋体"/>
              </w:rPr>
            </w:pPr>
            <w:r w:rsidRPr="006D4FBA">
              <w:rPr>
                <w:rFonts w:ascii="宋体" w:eastAsia="宋体" w:hAnsi="宋体" w:hint="eastAsia"/>
              </w:rPr>
              <w:t>155</w:t>
            </w:r>
          </w:p>
        </w:tc>
        <w:tc>
          <w:tcPr>
            <w:tcW w:w="992" w:type="dxa"/>
            <w:tcBorders>
              <w:top w:val="single" w:sz="4" w:space="0" w:color="auto"/>
              <w:left w:val="single" w:sz="4" w:space="0" w:color="auto"/>
              <w:bottom w:val="single" w:sz="4" w:space="0" w:color="auto"/>
              <w:right w:val="single" w:sz="4" w:space="0" w:color="auto"/>
            </w:tcBorders>
            <w:vAlign w:val="center"/>
          </w:tcPr>
          <w:p w14:paraId="3C3A370B" w14:textId="77777777" w:rsidR="00B201D3" w:rsidRPr="006D4FBA" w:rsidRDefault="009855E8">
            <w:pPr>
              <w:jc w:val="right"/>
              <w:rPr>
                <w:rFonts w:ascii="宋体" w:eastAsia="宋体" w:hAnsi="宋体"/>
              </w:rPr>
            </w:pPr>
            <w:r w:rsidRPr="006D4FBA">
              <w:rPr>
                <w:rFonts w:ascii="宋体" w:eastAsia="宋体" w:hAnsi="宋体" w:hint="eastAsia"/>
              </w:rPr>
              <w:t>173</w:t>
            </w:r>
          </w:p>
        </w:tc>
        <w:tc>
          <w:tcPr>
            <w:tcW w:w="1134" w:type="dxa"/>
            <w:tcBorders>
              <w:top w:val="single" w:sz="4" w:space="0" w:color="auto"/>
              <w:left w:val="single" w:sz="4" w:space="0" w:color="auto"/>
              <w:bottom w:val="single" w:sz="4" w:space="0" w:color="auto"/>
              <w:right w:val="single" w:sz="4" w:space="0" w:color="auto"/>
            </w:tcBorders>
            <w:vAlign w:val="center"/>
          </w:tcPr>
          <w:p w14:paraId="205E6BB4" w14:textId="77777777" w:rsidR="00B201D3" w:rsidRPr="006D4FBA" w:rsidRDefault="009855E8">
            <w:pPr>
              <w:jc w:val="right"/>
              <w:rPr>
                <w:rFonts w:ascii="宋体" w:eastAsia="宋体" w:hAnsi="宋体"/>
              </w:rPr>
            </w:pPr>
            <w:r w:rsidRPr="006D4FBA">
              <w:rPr>
                <w:rFonts w:ascii="宋体" w:eastAsia="宋体" w:hAnsi="宋体" w:hint="eastAsia"/>
              </w:rPr>
              <w:t>739</w:t>
            </w:r>
          </w:p>
        </w:tc>
        <w:tc>
          <w:tcPr>
            <w:tcW w:w="1134" w:type="dxa"/>
            <w:tcBorders>
              <w:top w:val="single" w:sz="4" w:space="0" w:color="auto"/>
              <w:left w:val="nil"/>
              <w:bottom w:val="single" w:sz="4" w:space="0" w:color="auto"/>
              <w:right w:val="single" w:sz="4" w:space="0" w:color="auto"/>
            </w:tcBorders>
            <w:vAlign w:val="center"/>
          </w:tcPr>
          <w:p w14:paraId="61568F89" w14:textId="77777777" w:rsidR="00B201D3" w:rsidRPr="006D4FBA" w:rsidRDefault="009855E8">
            <w:pPr>
              <w:jc w:val="right"/>
              <w:rPr>
                <w:rFonts w:ascii="宋体" w:eastAsia="宋体" w:hAnsi="宋体"/>
              </w:rPr>
            </w:pPr>
            <w:r w:rsidRPr="006D4FBA">
              <w:rPr>
                <w:rFonts w:ascii="宋体" w:eastAsia="宋体" w:hAnsi="宋体" w:hint="eastAsia"/>
              </w:rPr>
              <w:t>600</w:t>
            </w:r>
          </w:p>
        </w:tc>
      </w:tr>
      <w:tr w:rsidR="00B201D3" w:rsidRPr="006D4FBA" w14:paraId="5A7521E8" w14:textId="77777777">
        <w:trPr>
          <w:trHeight w:val="70"/>
          <w:jc w:val="center"/>
        </w:trPr>
        <w:tc>
          <w:tcPr>
            <w:tcW w:w="2127" w:type="dxa"/>
            <w:tcBorders>
              <w:top w:val="single" w:sz="4" w:space="0" w:color="auto"/>
              <w:left w:val="single" w:sz="4" w:space="0" w:color="auto"/>
              <w:bottom w:val="single" w:sz="4" w:space="0" w:color="auto"/>
              <w:right w:val="single" w:sz="4" w:space="0" w:color="auto"/>
            </w:tcBorders>
            <w:vAlign w:val="center"/>
          </w:tcPr>
          <w:p w14:paraId="742788D1" w14:textId="77777777" w:rsidR="00B201D3" w:rsidRPr="006D4FBA" w:rsidRDefault="009855E8">
            <w:pPr>
              <w:rPr>
                <w:rFonts w:ascii="宋体" w:eastAsia="宋体" w:hAnsi="宋体"/>
              </w:rPr>
            </w:pPr>
            <w:r w:rsidRPr="006D4FBA">
              <w:rPr>
                <w:rFonts w:ascii="宋体" w:eastAsia="宋体" w:hAnsi="宋体" w:hint="eastAsia"/>
              </w:rPr>
              <w:t>五、精细化工</w:t>
            </w:r>
            <w:r w:rsidRPr="006D4FBA">
              <w:rPr>
                <w:rFonts w:ascii="宋体" w:eastAsia="宋体" w:hAnsi="宋体" w:hint="eastAsia"/>
                <w:vertAlign w:val="superscript"/>
              </w:rPr>
              <w:t>②</w:t>
            </w:r>
          </w:p>
        </w:tc>
        <w:tc>
          <w:tcPr>
            <w:tcW w:w="992" w:type="dxa"/>
            <w:tcBorders>
              <w:top w:val="single" w:sz="4" w:space="0" w:color="auto"/>
              <w:left w:val="single" w:sz="4" w:space="0" w:color="auto"/>
              <w:bottom w:val="single" w:sz="4" w:space="0" w:color="auto"/>
              <w:right w:val="single" w:sz="4" w:space="0" w:color="auto"/>
            </w:tcBorders>
            <w:vAlign w:val="center"/>
          </w:tcPr>
          <w:p w14:paraId="2BB8C0E0" w14:textId="77777777" w:rsidR="00B201D3" w:rsidRPr="006D4FBA" w:rsidRDefault="009855E8">
            <w:pPr>
              <w:jc w:val="right"/>
              <w:rPr>
                <w:rFonts w:ascii="宋体" w:eastAsia="宋体" w:hAnsi="宋体"/>
              </w:rPr>
            </w:pPr>
            <w:r w:rsidRPr="006D4FBA">
              <w:rPr>
                <w:rFonts w:ascii="宋体" w:eastAsia="宋体" w:hAnsi="宋体"/>
              </w:rPr>
              <w:t xml:space="preserve">8 </w:t>
            </w:r>
          </w:p>
        </w:tc>
        <w:tc>
          <w:tcPr>
            <w:tcW w:w="810" w:type="dxa"/>
            <w:tcBorders>
              <w:top w:val="single" w:sz="4" w:space="0" w:color="auto"/>
              <w:left w:val="single" w:sz="4" w:space="0" w:color="auto"/>
              <w:bottom w:val="single" w:sz="4" w:space="0" w:color="auto"/>
              <w:right w:val="single" w:sz="4" w:space="0" w:color="auto"/>
            </w:tcBorders>
            <w:vAlign w:val="center"/>
          </w:tcPr>
          <w:p w14:paraId="69CC0A18" w14:textId="77777777" w:rsidR="00B201D3" w:rsidRPr="006D4FBA" w:rsidRDefault="009855E8">
            <w:pPr>
              <w:jc w:val="right"/>
              <w:rPr>
                <w:rFonts w:ascii="宋体" w:eastAsia="宋体" w:hAnsi="宋体"/>
              </w:rPr>
            </w:pPr>
            <w:r w:rsidRPr="006D4FBA">
              <w:rPr>
                <w:rFonts w:ascii="宋体" w:eastAsia="宋体" w:hAnsi="宋体"/>
              </w:rPr>
              <w:t xml:space="preserve">8 </w:t>
            </w:r>
          </w:p>
        </w:tc>
        <w:tc>
          <w:tcPr>
            <w:tcW w:w="1007" w:type="dxa"/>
            <w:tcBorders>
              <w:top w:val="single" w:sz="4" w:space="0" w:color="auto"/>
              <w:left w:val="single" w:sz="4" w:space="0" w:color="auto"/>
              <w:bottom w:val="single" w:sz="4" w:space="0" w:color="auto"/>
              <w:right w:val="single" w:sz="4" w:space="0" w:color="auto"/>
            </w:tcBorders>
            <w:vAlign w:val="center"/>
          </w:tcPr>
          <w:p w14:paraId="53AC27D0" w14:textId="77777777" w:rsidR="00B201D3" w:rsidRPr="006D4FBA" w:rsidRDefault="009855E8">
            <w:pPr>
              <w:jc w:val="right"/>
              <w:rPr>
                <w:rFonts w:ascii="宋体" w:eastAsia="宋体" w:hAnsi="宋体"/>
              </w:rPr>
            </w:pPr>
            <w:r w:rsidRPr="006D4FBA">
              <w:rPr>
                <w:rFonts w:ascii="宋体" w:eastAsia="宋体" w:hAnsi="宋体"/>
              </w:rPr>
              <w:t xml:space="preserve">18 </w:t>
            </w:r>
          </w:p>
        </w:tc>
        <w:tc>
          <w:tcPr>
            <w:tcW w:w="1002" w:type="dxa"/>
            <w:tcBorders>
              <w:top w:val="single" w:sz="4" w:space="0" w:color="auto"/>
              <w:left w:val="single" w:sz="4" w:space="0" w:color="auto"/>
              <w:bottom w:val="single" w:sz="4" w:space="0" w:color="auto"/>
              <w:right w:val="single" w:sz="4" w:space="0" w:color="auto"/>
            </w:tcBorders>
            <w:vAlign w:val="center"/>
          </w:tcPr>
          <w:p w14:paraId="0E804263" w14:textId="77777777" w:rsidR="00B201D3" w:rsidRPr="006D4FBA" w:rsidRDefault="009855E8">
            <w:pPr>
              <w:jc w:val="right"/>
              <w:rPr>
                <w:rFonts w:ascii="宋体" w:eastAsia="宋体" w:hAnsi="宋体"/>
              </w:rPr>
            </w:pPr>
            <w:r w:rsidRPr="006D4FBA">
              <w:rPr>
                <w:rFonts w:ascii="宋体" w:eastAsia="宋体" w:hAnsi="宋体"/>
              </w:rPr>
              <w:t xml:space="preserve">7 </w:t>
            </w:r>
          </w:p>
        </w:tc>
        <w:tc>
          <w:tcPr>
            <w:tcW w:w="992" w:type="dxa"/>
            <w:tcBorders>
              <w:top w:val="single" w:sz="4" w:space="0" w:color="auto"/>
              <w:left w:val="single" w:sz="4" w:space="0" w:color="auto"/>
              <w:bottom w:val="single" w:sz="4" w:space="0" w:color="auto"/>
              <w:right w:val="single" w:sz="4" w:space="0" w:color="auto"/>
            </w:tcBorders>
            <w:vAlign w:val="center"/>
          </w:tcPr>
          <w:p w14:paraId="697F920D" w14:textId="77777777" w:rsidR="00B201D3" w:rsidRPr="006D4FBA" w:rsidRDefault="009855E8">
            <w:pPr>
              <w:jc w:val="right"/>
              <w:rPr>
                <w:rFonts w:ascii="宋体" w:eastAsia="宋体" w:hAnsi="宋体"/>
              </w:rPr>
            </w:pPr>
            <w:r w:rsidRPr="006D4FBA">
              <w:rPr>
                <w:rFonts w:ascii="宋体" w:eastAsia="宋体" w:hAnsi="宋体" w:hint="eastAsia"/>
              </w:rPr>
              <w:t>5</w:t>
            </w:r>
          </w:p>
        </w:tc>
        <w:tc>
          <w:tcPr>
            <w:tcW w:w="992" w:type="dxa"/>
            <w:tcBorders>
              <w:top w:val="single" w:sz="4" w:space="0" w:color="auto"/>
              <w:left w:val="single" w:sz="4" w:space="0" w:color="auto"/>
              <w:bottom w:val="single" w:sz="4" w:space="0" w:color="auto"/>
              <w:right w:val="single" w:sz="4" w:space="0" w:color="auto"/>
            </w:tcBorders>
            <w:vAlign w:val="center"/>
          </w:tcPr>
          <w:p w14:paraId="5E12DE81" w14:textId="77777777" w:rsidR="00B201D3" w:rsidRPr="006D4FBA" w:rsidRDefault="009855E8">
            <w:pPr>
              <w:jc w:val="right"/>
              <w:rPr>
                <w:rFonts w:ascii="宋体" w:eastAsia="宋体" w:hAnsi="宋体"/>
              </w:rPr>
            </w:pPr>
            <w:r w:rsidRPr="006D4FBA">
              <w:rPr>
                <w:rFonts w:ascii="宋体" w:eastAsia="宋体" w:hAnsi="宋体" w:hint="eastAsia"/>
              </w:rPr>
              <w:t>5</w:t>
            </w:r>
          </w:p>
        </w:tc>
        <w:tc>
          <w:tcPr>
            <w:tcW w:w="1134" w:type="dxa"/>
            <w:tcBorders>
              <w:top w:val="single" w:sz="4" w:space="0" w:color="auto"/>
              <w:left w:val="single" w:sz="4" w:space="0" w:color="auto"/>
              <w:bottom w:val="single" w:sz="4" w:space="0" w:color="auto"/>
              <w:right w:val="single" w:sz="4" w:space="0" w:color="auto"/>
            </w:tcBorders>
            <w:vAlign w:val="center"/>
          </w:tcPr>
          <w:p w14:paraId="14EED647" w14:textId="77777777" w:rsidR="00B201D3" w:rsidRPr="006D4FBA" w:rsidRDefault="009855E8">
            <w:pPr>
              <w:jc w:val="right"/>
              <w:rPr>
                <w:rFonts w:ascii="宋体" w:eastAsia="宋体" w:hAnsi="宋体"/>
              </w:rPr>
            </w:pPr>
            <w:r w:rsidRPr="006D4FBA">
              <w:rPr>
                <w:rFonts w:ascii="宋体" w:eastAsia="宋体" w:hAnsi="宋体" w:hint="eastAsia"/>
              </w:rPr>
              <w:t>14</w:t>
            </w:r>
          </w:p>
        </w:tc>
        <w:tc>
          <w:tcPr>
            <w:tcW w:w="1134" w:type="dxa"/>
            <w:tcBorders>
              <w:top w:val="single" w:sz="4" w:space="0" w:color="auto"/>
              <w:left w:val="nil"/>
              <w:bottom w:val="single" w:sz="4" w:space="0" w:color="auto"/>
              <w:right w:val="single" w:sz="4" w:space="0" w:color="auto"/>
            </w:tcBorders>
            <w:vAlign w:val="center"/>
          </w:tcPr>
          <w:p w14:paraId="299F2C59" w14:textId="77777777" w:rsidR="00B201D3" w:rsidRPr="006D4FBA" w:rsidRDefault="009855E8">
            <w:pPr>
              <w:jc w:val="right"/>
              <w:rPr>
                <w:rFonts w:ascii="宋体" w:eastAsia="宋体" w:hAnsi="宋体"/>
              </w:rPr>
            </w:pPr>
            <w:r w:rsidRPr="006D4FBA">
              <w:rPr>
                <w:rFonts w:ascii="宋体" w:eastAsia="宋体" w:hAnsi="宋体" w:hint="eastAsia"/>
              </w:rPr>
              <w:t>6</w:t>
            </w:r>
          </w:p>
        </w:tc>
      </w:tr>
      <w:tr w:rsidR="00B201D3" w:rsidRPr="006D4FBA" w14:paraId="63458B0A" w14:textId="77777777">
        <w:trPr>
          <w:trHeight w:val="312"/>
          <w:jc w:val="center"/>
        </w:trPr>
        <w:tc>
          <w:tcPr>
            <w:tcW w:w="2127" w:type="dxa"/>
            <w:tcBorders>
              <w:top w:val="single" w:sz="4" w:space="0" w:color="auto"/>
              <w:left w:val="single" w:sz="4" w:space="0" w:color="auto"/>
              <w:bottom w:val="single" w:sz="4" w:space="0" w:color="auto"/>
              <w:right w:val="single" w:sz="4" w:space="0" w:color="auto"/>
            </w:tcBorders>
            <w:vAlign w:val="center"/>
          </w:tcPr>
          <w:p w14:paraId="5AA2975F" w14:textId="77777777" w:rsidR="00B201D3" w:rsidRPr="006D4FBA" w:rsidRDefault="009855E8">
            <w:pPr>
              <w:jc w:val="center"/>
              <w:rPr>
                <w:rFonts w:ascii="宋体" w:eastAsia="宋体" w:hAnsi="宋体"/>
              </w:rPr>
            </w:pPr>
            <w:r w:rsidRPr="006D4FBA">
              <w:rPr>
                <w:rFonts w:ascii="宋体" w:eastAsia="宋体" w:hAnsi="宋体" w:hint="eastAsia"/>
              </w:rPr>
              <w:t>合计</w:t>
            </w:r>
          </w:p>
        </w:tc>
        <w:tc>
          <w:tcPr>
            <w:tcW w:w="992" w:type="dxa"/>
            <w:tcBorders>
              <w:top w:val="single" w:sz="4" w:space="0" w:color="auto"/>
              <w:left w:val="single" w:sz="4" w:space="0" w:color="auto"/>
              <w:bottom w:val="single" w:sz="4" w:space="0" w:color="auto"/>
              <w:right w:val="single" w:sz="4" w:space="0" w:color="auto"/>
            </w:tcBorders>
            <w:vAlign w:val="center"/>
          </w:tcPr>
          <w:p w14:paraId="2A960C67" w14:textId="77777777" w:rsidR="00B201D3" w:rsidRPr="006D4FBA" w:rsidRDefault="009855E8">
            <w:pPr>
              <w:jc w:val="right"/>
              <w:rPr>
                <w:rFonts w:ascii="宋体" w:eastAsia="宋体" w:hAnsi="宋体"/>
              </w:rPr>
            </w:pPr>
            <w:r w:rsidRPr="006D4FBA">
              <w:rPr>
                <w:rFonts w:ascii="宋体" w:eastAsia="宋体" w:hAnsi="宋体"/>
              </w:rPr>
              <w:t xml:space="preserve">3,726 </w:t>
            </w:r>
          </w:p>
        </w:tc>
        <w:tc>
          <w:tcPr>
            <w:tcW w:w="810" w:type="dxa"/>
            <w:tcBorders>
              <w:top w:val="single" w:sz="4" w:space="0" w:color="auto"/>
              <w:left w:val="single" w:sz="4" w:space="0" w:color="auto"/>
              <w:bottom w:val="single" w:sz="4" w:space="0" w:color="auto"/>
              <w:right w:val="single" w:sz="4" w:space="0" w:color="auto"/>
            </w:tcBorders>
            <w:vAlign w:val="center"/>
          </w:tcPr>
          <w:p w14:paraId="59668CAE" w14:textId="77777777" w:rsidR="00B201D3" w:rsidRPr="006D4FBA" w:rsidRDefault="009855E8">
            <w:pPr>
              <w:jc w:val="right"/>
              <w:rPr>
                <w:rFonts w:ascii="宋体" w:eastAsia="宋体" w:hAnsi="宋体"/>
              </w:rPr>
            </w:pPr>
            <w:r w:rsidRPr="006D4FBA">
              <w:rPr>
                <w:rFonts w:ascii="宋体" w:eastAsia="宋体" w:hAnsi="宋体"/>
              </w:rPr>
              <w:t xml:space="preserve">3,343 </w:t>
            </w:r>
          </w:p>
        </w:tc>
        <w:tc>
          <w:tcPr>
            <w:tcW w:w="1007" w:type="dxa"/>
            <w:tcBorders>
              <w:top w:val="single" w:sz="4" w:space="0" w:color="auto"/>
              <w:left w:val="single" w:sz="4" w:space="0" w:color="auto"/>
              <w:bottom w:val="single" w:sz="4" w:space="0" w:color="auto"/>
              <w:right w:val="single" w:sz="4" w:space="0" w:color="auto"/>
            </w:tcBorders>
            <w:vAlign w:val="center"/>
          </w:tcPr>
          <w:p w14:paraId="4E2FD111" w14:textId="77777777" w:rsidR="00B201D3" w:rsidRPr="006D4FBA" w:rsidRDefault="009855E8">
            <w:pPr>
              <w:jc w:val="right"/>
              <w:rPr>
                <w:rFonts w:ascii="宋体" w:eastAsia="宋体" w:hAnsi="宋体"/>
              </w:rPr>
            </w:pPr>
            <w:r w:rsidRPr="006D4FBA">
              <w:rPr>
                <w:rFonts w:ascii="宋体" w:eastAsia="宋体" w:hAnsi="宋体"/>
              </w:rPr>
              <w:t xml:space="preserve">11,813 </w:t>
            </w:r>
          </w:p>
        </w:tc>
        <w:tc>
          <w:tcPr>
            <w:tcW w:w="1002" w:type="dxa"/>
            <w:tcBorders>
              <w:top w:val="single" w:sz="4" w:space="0" w:color="auto"/>
              <w:left w:val="single" w:sz="4" w:space="0" w:color="auto"/>
              <w:bottom w:val="single" w:sz="4" w:space="0" w:color="auto"/>
              <w:right w:val="single" w:sz="4" w:space="0" w:color="auto"/>
            </w:tcBorders>
            <w:vAlign w:val="center"/>
          </w:tcPr>
          <w:p w14:paraId="1B745B8F" w14:textId="77777777" w:rsidR="00B201D3" w:rsidRPr="006D4FBA" w:rsidRDefault="009855E8">
            <w:pPr>
              <w:jc w:val="right"/>
              <w:rPr>
                <w:rFonts w:ascii="宋体" w:eastAsia="宋体" w:hAnsi="宋体"/>
              </w:rPr>
            </w:pPr>
            <w:r w:rsidRPr="006D4FBA">
              <w:rPr>
                <w:rFonts w:ascii="宋体" w:eastAsia="宋体" w:hAnsi="宋体"/>
              </w:rPr>
              <w:t xml:space="preserve">9,968 </w:t>
            </w:r>
          </w:p>
        </w:tc>
        <w:tc>
          <w:tcPr>
            <w:tcW w:w="992" w:type="dxa"/>
            <w:tcBorders>
              <w:top w:val="single" w:sz="4" w:space="0" w:color="auto"/>
              <w:left w:val="single" w:sz="4" w:space="0" w:color="auto"/>
              <w:bottom w:val="single" w:sz="4" w:space="0" w:color="auto"/>
              <w:right w:val="single" w:sz="4" w:space="0" w:color="auto"/>
            </w:tcBorders>
            <w:vAlign w:val="center"/>
          </w:tcPr>
          <w:p w14:paraId="59E94361" w14:textId="77777777" w:rsidR="00B201D3" w:rsidRPr="006D4FBA" w:rsidRDefault="009855E8">
            <w:pPr>
              <w:jc w:val="right"/>
              <w:rPr>
                <w:rFonts w:ascii="宋体" w:eastAsia="宋体" w:hAnsi="宋体"/>
                <w:u w:val="single"/>
              </w:rPr>
            </w:pPr>
            <w:r w:rsidRPr="006D4FBA">
              <w:rPr>
                <w:rFonts w:ascii="宋体" w:eastAsia="宋体" w:hAnsi="宋体" w:hint="eastAsia"/>
              </w:rPr>
              <w:t>3,133</w:t>
            </w:r>
          </w:p>
        </w:tc>
        <w:tc>
          <w:tcPr>
            <w:tcW w:w="992" w:type="dxa"/>
            <w:tcBorders>
              <w:top w:val="single" w:sz="4" w:space="0" w:color="auto"/>
              <w:left w:val="single" w:sz="4" w:space="0" w:color="auto"/>
              <w:bottom w:val="single" w:sz="4" w:space="0" w:color="auto"/>
              <w:right w:val="single" w:sz="4" w:space="0" w:color="auto"/>
            </w:tcBorders>
            <w:vAlign w:val="center"/>
          </w:tcPr>
          <w:p w14:paraId="64CAD68C" w14:textId="77777777" w:rsidR="00B201D3" w:rsidRPr="006D4FBA" w:rsidRDefault="009855E8">
            <w:pPr>
              <w:jc w:val="right"/>
              <w:rPr>
                <w:rFonts w:ascii="宋体" w:eastAsia="宋体" w:hAnsi="宋体"/>
              </w:rPr>
            </w:pPr>
            <w:r w:rsidRPr="006D4FBA">
              <w:rPr>
                <w:rFonts w:ascii="宋体" w:eastAsia="宋体" w:hAnsi="宋体" w:hint="eastAsia"/>
              </w:rPr>
              <w:t>2,915</w:t>
            </w:r>
          </w:p>
        </w:tc>
        <w:tc>
          <w:tcPr>
            <w:tcW w:w="1134" w:type="dxa"/>
            <w:tcBorders>
              <w:top w:val="single" w:sz="4" w:space="0" w:color="auto"/>
              <w:left w:val="single" w:sz="4" w:space="0" w:color="auto"/>
              <w:bottom w:val="single" w:sz="4" w:space="0" w:color="auto"/>
              <w:right w:val="single" w:sz="4" w:space="0" w:color="auto"/>
            </w:tcBorders>
            <w:vAlign w:val="center"/>
          </w:tcPr>
          <w:p w14:paraId="5495B1CB" w14:textId="77777777" w:rsidR="00B201D3" w:rsidRPr="006D4FBA" w:rsidRDefault="009855E8">
            <w:pPr>
              <w:jc w:val="right"/>
              <w:rPr>
                <w:rFonts w:ascii="宋体" w:eastAsia="宋体" w:hAnsi="宋体"/>
              </w:rPr>
            </w:pPr>
            <w:r w:rsidRPr="006D4FBA">
              <w:rPr>
                <w:rFonts w:ascii="宋体" w:eastAsia="宋体" w:hAnsi="宋体" w:hint="eastAsia"/>
              </w:rPr>
              <w:t>11,972</w:t>
            </w:r>
          </w:p>
        </w:tc>
        <w:tc>
          <w:tcPr>
            <w:tcW w:w="1134" w:type="dxa"/>
            <w:tcBorders>
              <w:top w:val="single" w:sz="4" w:space="0" w:color="auto"/>
              <w:left w:val="nil"/>
              <w:bottom w:val="single" w:sz="4" w:space="0" w:color="auto"/>
              <w:right w:val="single" w:sz="4" w:space="0" w:color="auto"/>
            </w:tcBorders>
            <w:vAlign w:val="center"/>
          </w:tcPr>
          <w:p w14:paraId="0DD29908" w14:textId="77777777" w:rsidR="00B201D3" w:rsidRPr="006D4FBA" w:rsidRDefault="009855E8">
            <w:pPr>
              <w:jc w:val="right"/>
              <w:rPr>
                <w:rFonts w:ascii="宋体" w:eastAsia="宋体" w:hAnsi="宋体"/>
              </w:rPr>
            </w:pPr>
            <w:r w:rsidRPr="006D4FBA">
              <w:rPr>
                <w:rFonts w:ascii="宋体" w:eastAsia="宋体" w:hAnsi="宋体" w:hint="eastAsia"/>
              </w:rPr>
              <w:t>9,219</w:t>
            </w:r>
          </w:p>
        </w:tc>
      </w:tr>
    </w:tbl>
    <w:p w14:paraId="7DF3F53E" w14:textId="77777777" w:rsidR="00B201D3" w:rsidRPr="006D4FBA" w:rsidRDefault="009855E8">
      <w:pPr>
        <w:pStyle w:val="3903"/>
        <w:ind w:firstLineChars="200" w:firstLine="420"/>
        <w:jc w:val="both"/>
      </w:pPr>
      <w:r w:rsidRPr="006D4FBA">
        <w:rPr>
          <w:rFonts w:hint="eastAsia"/>
        </w:rPr>
        <w:t>注：</w:t>
      </w:r>
    </w:p>
    <w:p w14:paraId="131439F9" w14:textId="77777777" w:rsidR="00B201D3" w:rsidRPr="006D4FBA" w:rsidRDefault="009855E8">
      <w:pPr>
        <w:pStyle w:val="3903"/>
        <w:ind w:firstLineChars="200" w:firstLine="420"/>
        <w:jc w:val="both"/>
      </w:pPr>
      <w:bookmarkStart w:id="39" w:name="_Hlk142470773"/>
      <w:r w:rsidRPr="006D4FBA">
        <w:rPr>
          <w:rFonts w:hint="eastAsia"/>
        </w:rPr>
        <w:t>①榆林能化化工产品产量、销量、销售收入、销售成本同比增加，主要是由于：煤化工装置于上年同期进行系统检修。</w:t>
      </w:r>
    </w:p>
    <w:bookmarkEnd w:id="39"/>
    <w:p w14:paraId="0A00AF0C" w14:textId="77777777" w:rsidR="00B201D3" w:rsidRPr="006D4FBA" w:rsidRDefault="009855E8">
      <w:pPr>
        <w:pStyle w:val="3903"/>
        <w:ind w:firstLineChars="200" w:firstLine="420"/>
        <w:jc w:val="both"/>
      </w:pPr>
      <w:r w:rsidRPr="006D4FBA">
        <w:rPr>
          <w:rFonts w:hint="eastAsia"/>
        </w:rPr>
        <w:t>②“精细化工”指兖矿榆林精细化工有限公司。</w:t>
      </w:r>
      <w:bookmarkStart w:id="40" w:name="_Hlk142470836"/>
    </w:p>
    <w:bookmarkEnd w:id="38"/>
    <w:p w14:paraId="57480B91" w14:textId="77777777" w:rsidR="00B201D3" w:rsidRPr="006D4FBA" w:rsidRDefault="00B201D3">
      <w:pPr>
        <w:ind w:firstLineChars="200" w:firstLine="420"/>
        <w:jc w:val="both"/>
        <w:rPr>
          <w:bCs/>
          <w:lang w:val="en-GB"/>
        </w:rPr>
      </w:pPr>
    </w:p>
    <w:p w14:paraId="01F099F6" w14:textId="77777777" w:rsidR="00B201D3" w:rsidRPr="006D4FBA" w:rsidRDefault="009855E8">
      <w:pPr>
        <w:numPr>
          <w:ilvl w:val="0"/>
          <w:numId w:val="8"/>
        </w:numPr>
        <w:rPr>
          <w:b/>
          <w:bCs/>
          <w:lang w:val="en-GB"/>
        </w:rPr>
      </w:pPr>
      <w:bookmarkStart w:id="41" w:name="_Hlk142473566"/>
      <w:bookmarkEnd w:id="40"/>
      <w:r w:rsidRPr="006D4FBA">
        <w:rPr>
          <w:rFonts w:hint="eastAsia"/>
          <w:b/>
          <w:bCs/>
          <w:lang w:val="en-GB"/>
        </w:rPr>
        <w:t>电力业务</w:t>
      </w:r>
    </w:p>
    <w:p w14:paraId="064F3582" w14:textId="77777777" w:rsidR="00B201D3" w:rsidRPr="006D4FBA" w:rsidRDefault="009855E8">
      <w:pPr>
        <w:rPr>
          <w:lang w:val="en-GB"/>
        </w:rPr>
      </w:pPr>
      <w:r w:rsidRPr="006D4FBA">
        <w:rPr>
          <w:rFonts w:hint="eastAsia"/>
          <w:bCs/>
          <w:lang w:val="en-GB"/>
        </w:rPr>
        <w:t>上半年本集团电力业务经营情况如下：</w:t>
      </w:r>
    </w:p>
    <w:p w14:paraId="27C4661E" w14:textId="77777777" w:rsidR="00B201D3" w:rsidRPr="006D4FBA" w:rsidRDefault="00B201D3">
      <w:pPr>
        <w:rPr>
          <w:lang w:val="en-GB"/>
        </w:rPr>
      </w:pPr>
    </w:p>
    <w:tbl>
      <w:tblPr>
        <w:tblStyle w:val="g114"/>
        <w:tblW w:w="10536" w:type="dxa"/>
        <w:jc w:val="center"/>
        <w:tblCellMar>
          <w:left w:w="0" w:type="dxa"/>
        </w:tblCellMar>
        <w:tblLook w:val="04A0" w:firstRow="1" w:lastRow="0" w:firstColumn="1" w:lastColumn="0" w:noHBand="0" w:noVBand="1"/>
      </w:tblPr>
      <w:tblGrid>
        <w:gridCol w:w="1838"/>
        <w:gridCol w:w="1134"/>
        <w:gridCol w:w="1134"/>
        <w:gridCol w:w="1134"/>
        <w:gridCol w:w="992"/>
        <w:gridCol w:w="1134"/>
        <w:gridCol w:w="1134"/>
        <w:gridCol w:w="1044"/>
        <w:gridCol w:w="992"/>
      </w:tblGrid>
      <w:tr w:rsidR="00B201D3" w:rsidRPr="006D4FBA" w14:paraId="329CAED8" w14:textId="77777777">
        <w:trPr>
          <w:trHeight w:val="312"/>
          <w:jc w:val="center"/>
        </w:trPr>
        <w:tc>
          <w:tcPr>
            <w:tcW w:w="1838" w:type="dxa"/>
            <w:vMerge w:val="restart"/>
            <w:tcBorders>
              <w:top w:val="single" w:sz="4" w:space="0" w:color="auto"/>
              <w:left w:val="single" w:sz="4" w:space="0" w:color="auto"/>
              <w:bottom w:val="single" w:sz="4" w:space="0" w:color="auto"/>
              <w:right w:val="single" w:sz="4" w:space="0" w:color="auto"/>
            </w:tcBorders>
            <w:vAlign w:val="center"/>
          </w:tcPr>
          <w:p w14:paraId="348E459C" w14:textId="77777777" w:rsidR="00B201D3" w:rsidRPr="006D4FBA" w:rsidRDefault="00B201D3">
            <w:pPr>
              <w:spacing w:line="240" w:lineRule="atLeast"/>
              <w:rPr>
                <w:rFonts w:ascii="宋体" w:eastAsia="宋体" w:hAnsi="宋体"/>
              </w:rPr>
            </w:pPr>
          </w:p>
        </w:tc>
        <w:tc>
          <w:tcPr>
            <w:tcW w:w="4394" w:type="dxa"/>
            <w:gridSpan w:val="4"/>
            <w:tcBorders>
              <w:top w:val="single" w:sz="4" w:space="0" w:color="auto"/>
              <w:left w:val="single" w:sz="4" w:space="0" w:color="auto"/>
              <w:bottom w:val="single" w:sz="4" w:space="0" w:color="auto"/>
              <w:right w:val="single" w:sz="4" w:space="0" w:color="auto"/>
            </w:tcBorders>
            <w:vAlign w:val="center"/>
          </w:tcPr>
          <w:p w14:paraId="51114F85" w14:textId="77777777" w:rsidR="00B201D3" w:rsidRPr="006D4FBA" w:rsidRDefault="009855E8">
            <w:pPr>
              <w:spacing w:line="240" w:lineRule="atLeast"/>
              <w:jc w:val="center"/>
              <w:rPr>
                <w:rFonts w:ascii="宋体" w:eastAsia="宋体" w:hAnsi="宋体"/>
              </w:rPr>
            </w:pPr>
            <w:r w:rsidRPr="006D4FBA">
              <w:rPr>
                <w:rFonts w:ascii="宋体" w:eastAsia="宋体" w:hAnsi="宋体" w:hint="eastAsia"/>
              </w:rPr>
              <w:t>202</w:t>
            </w:r>
            <w:r w:rsidRPr="006D4FBA">
              <w:rPr>
                <w:rFonts w:ascii="宋体" w:eastAsia="宋体" w:hAnsi="宋体"/>
              </w:rPr>
              <w:t>3</w:t>
            </w:r>
            <w:r w:rsidRPr="006D4FBA">
              <w:rPr>
                <w:rFonts w:ascii="宋体" w:eastAsia="宋体" w:hAnsi="宋体" w:hint="eastAsia"/>
              </w:rPr>
              <w:t>年1-6月</w:t>
            </w:r>
          </w:p>
        </w:tc>
        <w:tc>
          <w:tcPr>
            <w:tcW w:w="4304" w:type="dxa"/>
            <w:gridSpan w:val="4"/>
            <w:tcBorders>
              <w:top w:val="single" w:sz="4" w:space="0" w:color="auto"/>
              <w:left w:val="single" w:sz="4" w:space="0" w:color="auto"/>
              <w:bottom w:val="single" w:sz="4" w:space="0" w:color="auto"/>
              <w:right w:val="single" w:sz="4" w:space="0" w:color="auto"/>
            </w:tcBorders>
            <w:vAlign w:val="center"/>
          </w:tcPr>
          <w:p w14:paraId="20247B58" w14:textId="77777777" w:rsidR="00B201D3" w:rsidRPr="006D4FBA" w:rsidRDefault="009855E8">
            <w:pPr>
              <w:spacing w:line="240" w:lineRule="atLeast"/>
              <w:jc w:val="center"/>
              <w:rPr>
                <w:rFonts w:ascii="宋体" w:eastAsia="宋体" w:hAnsi="宋体"/>
              </w:rPr>
            </w:pPr>
            <w:r w:rsidRPr="006D4FBA">
              <w:rPr>
                <w:rFonts w:ascii="宋体" w:eastAsia="宋体" w:hAnsi="宋体" w:hint="eastAsia"/>
              </w:rPr>
              <w:t>202</w:t>
            </w:r>
            <w:r w:rsidRPr="006D4FBA">
              <w:rPr>
                <w:rFonts w:ascii="宋体" w:eastAsia="宋体" w:hAnsi="宋体"/>
              </w:rPr>
              <w:t>2</w:t>
            </w:r>
            <w:r w:rsidRPr="006D4FBA">
              <w:rPr>
                <w:rFonts w:ascii="宋体" w:eastAsia="宋体" w:hAnsi="宋体" w:hint="eastAsia"/>
              </w:rPr>
              <w:t>年1-6月</w:t>
            </w:r>
          </w:p>
        </w:tc>
      </w:tr>
      <w:tr w:rsidR="00B201D3" w:rsidRPr="006D4FBA" w14:paraId="3F360E29" w14:textId="77777777">
        <w:trPr>
          <w:trHeight w:val="312"/>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FEC6012" w14:textId="77777777" w:rsidR="00B201D3" w:rsidRPr="006D4FBA" w:rsidRDefault="00B201D3">
            <w:pPr>
              <w:rPr>
                <w:rFonts w:ascii="宋体" w:eastAsia="宋体" w:hAnsi="宋体"/>
              </w:rPr>
            </w:pPr>
          </w:p>
        </w:tc>
        <w:tc>
          <w:tcPr>
            <w:tcW w:w="1134" w:type="dxa"/>
            <w:tcBorders>
              <w:top w:val="single" w:sz="4" w:space="0" w:color="auto"/>
              <w:left w:val="single" w:sz="4" w:space="0" w:color="auto"/>
              <w:bottom w:val="single" w:sz="4" w:space="0" w:color="auto"/>
              <w:right w:val="single" w:sz="4" w:space="0" w:color="auto"/>
            </w:tcBorders>
            <w:vAlign w:val="center"/>
          </w:tcPr>
          <w:p w14:paraId="6A2E76F1" w14:textId="77777777" w:rsidR="00B201D3" w:rsidRPr="006D4FBA" w:rsidRDefault="009855E8">
            <w:pPr>
              <w:jc w:val="center"/>
              <w:rPr>
                <w:rFonts w:ascii="宋体" w:eastAsia="宋体" w:hAnsi="宋体"/>
              </w:rPr>
            </w:pPr>
            <w:r w:rsidRPr="006D4FBA">
              <w:rPr>
                <w:rFonts w:ascii="宋体" w:eastAsia="宋体" w:hAnsi="宋体" w:hint="eastAsia"/>
              </w:rPr>
              <w:t>发电量</w:t>
            </w:r>
          </w:p>
        </w:tc>
        <w:tc>
          <w:tcPr>
            <w:tcW w:w="1134" w:type="dxa"/>
            <w:tcBorders>
              <w:top w:val="single" w:sz="4" w:space="0" w:color="auto"/>
              <w:left w:val="single" w:sz="4" w:space="0" w:color="auto"/>
              <w:bottom w:val="single" w:sz="4" w:space="0" w:color="auto"/>
              <w:right w:val="single" w:sz="4" w:space="0" w:color="auto"/>
            </w:tcBorders>
            <w:vAlign w:val="center"/>
          </w:tcPr>
          <w:p w14:paraId="1395E4AE" w14:textId="77777777" w:rsidR="00B201D3" w:rsidRPr="006D4FBA" w:rsidRDefault="009855E8">
            <w:pPr>
              <w:jc w:val="center"/>
              <w:rPr>
                <w:rFonts w:ascii="宋体" w:eastAsia="宋体" w:hAnsi="宋体"/>
              </w:rPr>
            </w:pPr>
            <w:r w:rsidRPr="006D4FBA">
              <w:rPr>
                <w:rFonts w:ascii="宋体" w:eastAsia="宋体" w:hAnsi="宋体" w:hint="eastAsia"/>
              </w:rPr>
              <w:t>售电量</w:t>
            </w:r>
          </w:p>
        </w:tc>
        <w:tc>
          <w:tcPr>
            <w:tcW w:w="1134" w:type="dxa"/>
            <w:tcBorders>
              <w:top w:val="single" w:sz="4" w:space="0" w:color="auto"/>
              <w:left w:val="single" w:sz="4" w:space="0" w:color="auto"/>
              <w:bottom w:val="single" w:sz="4" w:space="0" w:color="auto"/>
              <w:right w:val="single" w:sz="4" w:space="0" w:color="auto"/>
            </w:tcBorders>
            <w:vAlign w:val="center"/>
          </w:tcPr>
          <w:p w14:paraId="7872949D" w14:textId="77777777" w:rsidR="00B201D3" w:rsidRPr="006D4FBA" w:rsidRDefault="009855E8">
            <w:pPr>
              <w:jc w:val="center"/>
              <w:rPr>
                <w:rFonts w:ascii="宋体" w:eastAsia="宋体" w:hAnsi="宋体"/>
              </w:rPr>
            </w:pPr>
            <w:r w:rsidRPr="006D4FBA">
              <w:rPr>
                <w:rFonts w:ascii="宋体" w:eastAsia="宋体" w:hAnsi="宋体" w:hint="eastAsia"/>
              </w:rPr>
              <w:t>销售收入</w:t>
            </w:r>
          </w:p>
        </w:tc>
        <w:tc>
          <w:tcPr>
            <w:tcW w:w="992" w:type="dxa"/>
            <w:tcBorders>
              <w:top w:val="single" w:sz="4" w:space="0" w:color="auto"/>
              <w:left w:val="single" w:sz="4" w:space="0" w:color="auto"/>
              <w:bottom w:val="single" w:sz="4" w:space="0" w:color="auto"/>
              <w:right w:val="single" w:sz="4" w:space="0" w:color="auto"/>
            </w:tcBorders>
            <w:vAlign w:val="center"/>
          </w:tcPr>
          <w:p w14:paraId="5EBC4E15" w14:textId="77777777" w:rsidR="00B201D3" w:rsidRPr="006D4FBA" w:rsidRDefault="009855E8">
            <w:pPr>
              <w:jc w:val="center"/>
              <w:rPr>
                <w:rFonts w:ascii="宋体" w:eastAsia="宋体" w:hAnsi="宋体"/>
              </w:rPr>
            </w:pPr>
            <w:r w:rsidRPr="006D4FBA">
              <w:rPr>
                <w:rFonts w:ascii="宋体" w:eastAsia="宋体" w:hAnsi="宋体" w:hint="eastAsia"/>
              </w:rPr>
              <w:t>销售成本</w:t>
            </w:r>
          </w:p>
        </w:tc>
        <w:tc>
          <w:tcPr>
            <w:tcW w:w="1134" w:type="dxa"/>
            <w:tcBorders>
              <w:top w:val="single" w:sz="4" w:space="0" w:color="auto"/>
              <w:left w:val="single" w:sz="4" w:space="0" w:color="auto"/>
              <w:bottom w:val="single" w:sz="4" w:space="0" w:color="auto"/>
              <w:right w:val="single" w:sz="4" w:space="0" w:color="auto"/>
            </w:tcBorders>
            <w:vAlign w:val="center"/>
          </w:tcPr>
          <w:p w14:paraId="790C6FFD" w14:textId="77777777" w:rsidR="00B201D3" w:rsidRPr="006D4FBA" w:rsidRDefault="009855E8">
            <w:pPr>
              <w:jc w:val="center"/>
              <w:rPr>
                <w:rFonts w:ascii="宋体" w:eastAsia="宋体" w:hAnsi="宋体"/>
              </w:rPr>
            </w:pPr>
            <w:r w:rsidRPr="006D4FBA">
              <w:rPr>
                <w:rFonts w:ascii="宋体" w:eastAsia="宋体" w:hAnsi="宋体" w:hint="eastAsia"/>
              </w:rPr>
              <w:t>发电量</w:t>
            </w:r>
          </w:p>
        </w:tc>
        <w:tc>
          <w:tcPr>
            <w:tcW w:w="1134" w:type="dxa"/>
            <w:tcBorders>
              <w:top w:val="single" w:sz="4" w:space="0" w:color="auto"/>
              <w:left w:val="single" w:sz="4" w:space="0" w:color="auto"/>
              <w:bottom w:val="single" w:sz="4" w:space="0" w:color="auto"/>
              <w:right w:val="single" w:sz="4" w:space="0" w:color="auto"/>
            </w:tcBorders>
            <w:vAlign w:val="center"/>
          </w:tcPr>
          <w:p w14:paraId="6D31407B" w14:textId="77777777" w:rsidR="00B201D3" w:rsidRPr="006D4FBA" w:rsidRDefault="009855E8">
            <w:pPr>
              <w:jc w:val="center"/>
              <w:rPr>
                <w:rFonts w:ascii="宋体" w:eastAsia="宋体" w:hAnsi="宋体"/>
              </w:rPr>
            </w:pPr>
            <w:r w:rsidRPr="006D4FBA">
              <w:rPr>
                <w:rFonts w:ascii="宋体" w:eastAsia="宋体" w:hAnsi="宋体" w:hint="eastAsia"/>
              </w:rPr>
              <w:t>售电量</w:t>
            </w:r>
          </w:p>
        </w:tc>
        <w:tc>
          <w:tcPr>
            <w:tcW w:w="1044" w:type="dxa"/>
            <w:tcBorders>
              <w:top w:val="single" w:sz="4" w:space="0" w:color="auto"/>
              <w:left w:val="single" w:sz="4" w:space="0" w:color="auto"/>
              <w:bottom w:val="single" w:sz="4" w:space="0" w:color="auto"/>
              <w:right w:val="single" w:sz="4" w:space="0" w:color="auto"/>
            </w:tcBorders>
            <w:vAlign w:val="center"/>
          </w:tcPr>
          <w:p w14:paraId="1583AD64" w14:textId="77777777" w:rsidR="00B201D3" w:rsidRPr="006D4FBA" w:rsidRDefault="009855E8">
            <w:pPr>
              <w:jc w:val="center"/>
              <w:rPr>
                <w:rFonts w:ascii="宋体" w:eastAsia="宋体" w:hAnsi="宋体"/>
              </w:rPr>
            </w:pPr>
            <w:r w:rsidRPr="006D4FBA">
              <w:rPr>
                <w:rFonts w:ascii="宋体" w:eastAsia="宋体" w:hAnsi="宋体" w:hint="eastAsia"/>
              </w:rPr>
              <w:t>销售收入</w:t>
            </w:r>
          </w:p>
        </w:tc>
        <w:tc>
          <w:tcPr>
            <w:tcW w:w="992" w:type="dxa"/>
            <w:tcBorders>
              <w:top w:val="single" w:sz="4" w:space="0" w:color="auto"/>
              <w:left w:val="single" w:sz="4" w:space="0" w:color="auto"/>
              <w:bottom w:val="single" w:sz="4" w:space="0" w:color="auto"/>
              <w:right w:val="single" w:sz="4" w:space="0" w:color="auto"/>
            </w:tcBorders>
            <w:vAlign w:val="center"/>
          </w:tcPr>
          <w:p w14:paraId="779F8ECC" w14:textId="77777777" w:rsidR="00B201D3" w:rsidRPr="006D4FBA" w:rsidRDefault="009855E8">
            <w:pPr>
              <w:jc w:val="center"/>
              <w:rPr>
                <w:rFonts w:ascii="宋体" w:eastAsia="宋体" w:hAnsi="宋体"/>
              </w:rPr>
            </w:pPr>
            <w:r w:rsidRPr="006D4FBA">
              <w:rPr>
                <w:rFonts w:ascii="宋体" w:eastAsia="宋体" w:hAnsi="宋体" w:hint="eastAsia"/>
              </w:rPr>
              <w:t>销售成本</w:t>
            </w:r>
          </w:p>
        </w:tc>
      </w:tr>
      <w:tr w:rsidR="00B201D3" w:rsidRPr="006D4FBA" w14:paraId="28550588" w14:textId="77777777">
        <w:trPr>
          <w:trHeight w:val="312"/>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7CA2406" w14:textId="77777777" w:rsidR="00B201D3" w:rsidRPr="006D4FBA" w:rsidRDefault="00B201D3">
            <w:pPr>
              <w:rPr>
                <w:rFonts w:ascii="宋体" w:eastAsia="宋体" w:hAnsi="宋体"/>
              </w:rPr>
            </w:pPr>
          </w:p>
        </w:tc>
        <w:tc>
          <w:tcPr>
            <w:tcW w:w="1134" w:type="dxa"/>
            <w:tcBorders>
              <w:top w:val="single" w:sz="4" w:space="0" w:color="auto"/>
              <w:left w:val="single" w:sz="4" w:space="0" w:color="auto"/>
              <w:bottom w:val="single" w:sz="4" w:space="0" w:color="auto"/>
              <w:right w:val="single" w:sz="4" w:space="0" w:color="auto"/>
            </w:tcBorders>
            <w:vAlign w:val="center"/>
          </w:tcPr>
          <w:p w14:paraId="40D4A796" w14:textId="77777777" w:rsidR="00B201D3" w:rsidRPr="006D4FBA" w:rsidRDefault="009855E8">
            <w:pPr>
              <w:ind w:leftChars="-50" w:left="-105" w:rightChars="-50" w:right="-105"/>
              <w:jc w:val="center"/>
              <w:rPr>
                <w:rFonts w:ascii="宋体" w:eastAsia="宋体" w:hAnsi="宋体"/>
                <w:spacing w:val="-20"/>
              </w:rPr>
            </w:pPr>
            <w:r w:rsidRPr="006D4FBA">
              <w:rPr>
                <w:rFonts w:ascii="宋体" w:eastAsia="宋体" w:hAnsi="宋体" w:hint="eastAsia"/>
                <w:spacing w:val="-20"/>
              </w:rPr>
              <w:t>（万千瓦时）</w:t>
            </w:r>
          </w:p>
        </w:tc>
        <w:tc>
          <w:tcPr>
            <w:tcW w:w="1134" w:type="dxa"/>
            <w:tcBorders>
              <w:top w:val="single" w:sz="4" w:space="0" w:color="auto"/>
              <w:left w:val="single" w:sz="4" w:space="0" w:color="auto"/>
              <w:bottom w:val="single" w:sz="4" w:space="0" w:color="auto"/>
              <w:right w:val="single" w:sz="4" w:space="0" w:color="auto"/>
            </w:tcBorders>
            <w:vAlign w:val="center"/>
          </w:tcPr>
          <w:p w14:paraId="392E022E" w14:textId="77777777" w:rsidR="00B201D3" w:rsidRPr="006D4FBA" w:rsidRDefault="009855E8">
            <w:pPr>
              <w:ind w:leftChars="-50" w:left="-105" w:rightChars="-50" w:right="-105"/>
              <w:jc w:val="center"/>
              <w:rPr>
                <w:rFonts w:ascii="宋体" w:eastAsia="宋体" w:hAnsi="宋体"/>
                <w:spacing w:val="-20"/>
              </w:rPr>
            </w:pPr>
            <w:r w:rsidRPr="006D4FBA">
              <w:rPr>
                <w:rFonts w:ascii="宋体" w:eastAsia="宋体" w:hAnsi="宋体" w:hint="eastAsia"/>
                <w:spacing w:val="-20"/>
              </w:rPr>
              <w:t>（万千瓦时）</w:t>
            </w:r>
          </w:p>
        </w:tc>
        <w:tc>
          <w:tcPr>
            <w:tcW w:w="1134" w:type="dxa"/>
            <w:tcBorders>
              <w:top w:val="single" w:sz="4" w:space="0" w:color="auto"/>
              <w:left w:val="single" w:sz="4" w:space="0" w:color="auto"/>
              <w:bottom w:val="single" w:sz="4" w:space="0" w:color="auto"/>
              <w:right w:val="single" w:sz="4" w:space="0" w:color="auto"/>
            </w:tcBorders>
            <w:vAlign w:val="center"/>
          </w:tcPr>
          <w:p w14:paraId="35166CA3" w14:textId="77777777" w:rsidR="00B201D3" w:rsidRPr="006D4FBA" w:rsidRDefault="009855E8">
            <w:pPr>
              <w:ind w:leftChars="-50" w:left="-105" w:rightChars="-50" w:right="-105"/>
              <w:jc w:val="center"/>
              <w:rPr>
                <w:rFonts w:ascii="宋体" w:eastAsia="宋体" w:hAnsi="宋体"/>
                <w:spacing w:val="-20"/>
              </w:rPr>
            </w:pPr>
            <w:r w:rsidRPr="006D4FBA">
              <w:rPr>
                <w:rFonts w:ascii="宋体" w:eastAsia="宋体" w:hAnsi="宋体" w:hint="eastAsia"/>
                <w:spacing w:val="-20"/>
              </w:rPr>
              <w:t>（百万元）</w:t>
            </w:r>
          </w:p>
        </w:tc>
        <w:tc>
          <w:tcPr>
            <w:tcW w:w="992" w:type="dxa"/>
            <w:tcBorders>
              <w:top w:val="single" w:sz="4" w:space="0" w:color="auto"/>
              <w:left w:val="single" w:sz="4" w:space="0" w:color="auto"/>
              <w:bottom w:val="single" w:sz="4" w:space="0" w:color="auto"/>
              <w:right w:val="single" w:sz="4" w:space="0" w:color="auto"/>
            </w:tcBorders>
            <w:vAlign w:val="center"/>
          </w:tcPr>
          <w:p w14:paraId="38527F75" w14:textId="77777777" w:rsidR="00B201D3" w:rsidRPr="006D4FBA" w:rsidRDefault="009855E8">
            <w:pPr>
              <w:ind w:leftChars="-50" w:left="-105" w:rightChars="-50" w:right="-105"/>
              <w:jc w:val="center"/>
              <w:rPr>
                <w:rFonts w:ascii="宋体" w:eastAsia="宋体" w:hAnsi="宋体"/>
                <w:spacing w:val="-20"/>
              </w:rPr>
            </w:pPr>
            <w:r w:rsidRPr="006D4FBA">
              <w:rPr>
                <w:rFonts w:ascii="宋体" w:eastAsia="宋体" w:hAnsi="宋体" w:hint="eastAsia"/>
                <w:spacing w:val="-20"/>
              </w:rPr>
              <w:t>（百万元）</w:t>
            </w:r>
          </w:p>
        </w:tc>
        <w:tc>
          <w:tcPr>
            <w:tcW w:w="1134" w:type="dxa"/>
            <w:tcBorders>
              <w:top w:val="single" w:sz="4" w:space="0" w:color="auto"/>
              <w:left w:val="single" w:sz="4" w:space="0" w:color="auto"/>
              <w:bottom w:val="single" w:sz="4" w:space="0" w:color="auto"/>
              <w:right w:val="single" w:sz="4" w:space="0" w:color="auto"/>
            </w:tcBorders>
            <w:vAlign w:val="center"/>
          </w:tcPr>
          <w:p w14:paraId="4FF087F7" w14:textId="77777777" w:rsidR="00B201D3" w:rsidRPr="006D4FBA" w:rsidRDefault="009855E8">
            <w:pPr>
              <w:ind w:leftChars="-50" w:left="-105" w:rightChars="-50" w:right="-105"/>
              <w:jc w:val="center"/>
              <w:rPr>
                <w:rFonts w:ascii="宋体" w:eastAsia="宋体" w:hAnsi="宋体"/>
                <w:spacing w:val="-20"/>
              </w:rPr>
            </w:pPr>
            <w:r w:rsidRPr="006D4FBA">
              <w:rPr>
                <w:rFonts w:ascii="宋体" w:eastAsia="宋体" w:hAnsi="宋体" w:hint="eastAsia"/>
                <w:spacing w:val="-20"/>
              </w:rPr>
              <w:t>（万千瓦时）</w:t>
            </w:r>
          </w:p>
        </w:tc>
        <w:tc>
          <w:tcPr>
            <w:tcW w:w="1134" w:type="dxa"/>
            <w:tcBorders>
              <w:top w:val="single" w:sz="4" w:space="0" w:color="auto"/>
              <w:left w:val="single" w:sz="4" w:space="0" w:color="auto"/>
              <w:bottom w:val="single" w:sz="4" w:space="0" w:color="auto"/>
              <w:right w:val="single" w:sz="4" w:space="0" w:color="auto"/>
            </w:tcBorders>
            <w:vAlign w:val="center"/>
          </w:tcPr>
          <w:p w14:paraId="599CEE1D" w14:textId="77777777" w:rsidR="00B201D3" w:rsidRPr="006D4FBA" w:rsidRDefault="009855E8">
            <w:pPr>
              <w:ind w:leftChars="-50" w:left="-105" w:rightChars="-50" w:right="-105"/>
              <w:jc w:val="center"/>
              <w:rPr>
                <w:rFonts w:ascii="宋体" w:eastAsia="宋体" w:hAnsi="宋体"/>
                <w:spacing w:val="-20"/>
              </w:rPr>
            </w:pPr>
            <w:r w:rsidRPr="006D4FBA">
              <w:rPr>
                <w:rFonts w:ascii="宋体" w:eastAsia="宋体" w:hAnsi="宋体" w:hint="eastAsia"/>
                <w:spacing w:val="-20"/>
              </w:rPr>
              <w:t>（万千瓦时）</w:t>
            </w:r>
          </w:p>
        </w:tc>
        <w:tc>
          <w:tcPr>
            <w:tcW w:w="1044" w:type="dxa"/>
            <w:tcBorders>
              <w:top w:val="single" w:sz="4" w:space="0" w:color="auto"/>
              <w:left w:val="single" w:sz="4" w:space="0" w:color="auto"/>
              <w:bottom w:val="single" w:sz="4" w:space="0" w:color="auto"/>
              <w:right w:val="single" w:sz="4" w:space="0" w:color="auto"/>
            </w:tcBorders>
            <w:vAlign w:val="center"/>
          </w:tcPr>
          <w:p w14:paraId="7467B123" w14:textId="77777777" w:rsidR="00B201D3" w:rsidRPr="006D4FBA" w:rsidRDefault="009855E8">
            <w:pPr>
              <w:ind w:leftChars="-50" w:left="-105" w:rightChars="-50" w:right="-105"/>
              <w:jc w:val="center"/>
              <w:rPr>
                <w:rFonts w:ascii="宋体" w:eastAsia="宋体" w:hAnsi="宋体"/>
                <w:spacing w:val="-20"/>
              </w:rPr>
            </w:pPr>
            <w:r w:rsidRPr="006D4FBA">
              <w:rPr>
                <w:rFonts w:ascii="宋体" w:eastAsia="宋体" w:hAnsi="宋体" w:hint="eastAsia"/>
                <w:spacing w:val="-20"/>
              </w:rPr>
              <w:t>（百万元）</w:t>
            </w:r>
          </w:p>
        </w:tc>
        <w:tc>
          <w:tcPr>
            <w:tcW w:w="992" w:type="dxa"/>
            <w:tcBorders>
              <w:top w:val="single" w:sz="4" w:space="0" w:color="auto"/>
              <w:left w:val="single" w:sz="4" w:space="0" w:color="auto"/>
              <w:bottom w:val="single" w:sz="4" w:space="0" w:color="auto"/>
              <w:right w:val="single" w:sz="4" w:space="0" w:color="auto"/>
            </w:tcBorders>
            <w:vAlign w:val="center"/>
          </w:tcPr>
          <w:p w14:paraId="49038D6A" w14:textId="77777777" w:rsidR="00B201D3" w:rsidRPr="006D4FBA" w:rsidRDefault="009855E8">
            <w:pPr>
              <w:ind w:leftChars="-50" w:left="-105" w:rightChars="-50" w:right="-105"/>
              <w:jc w:val="center"/>
              <w:rPr>
                <w:rFonts w:ascii="宋体" w:eastAsia="宋体" w:hAnsi="宋体"/>
                <w:spacing w:val="-20"/>
              </w:rPr>
            </w:pPr>
            <w:r w:rsidRPr="006D4FBA">
              <w:rPr>
                <w:rFonts w:ascii="宋体" w:eastAsia="宋体" w:hAnsi="宋体" w:hint="eastAsia"/>
                <w:spacing w:val="-20"/>
              </w:rPr>
              <w:t>（百万元）</w:t>
            </w:r>
          </w:p>
        </w:tc>
      </w:tr>
      <w:tr w:rsidR="00B201D3" w:rsidRPr="006D4FBA" w14:paraId="6B8A80AA" w14:textId="77777777">
        <w:trPr>
          <w:trHeight w:val="312"/>
          <w:jc w:val="center"/>
        </w:trPr>
        <w:tc>
          <w:tcPr>
            <w:tcW w:w="1838" w:type="dxa"/>
            <w:tcBorders>
              <w:top w:val="single" w:sz="4" w:space="0" w:color="auto"/>
              <w:left w:val="single" w:sz="4" w:space="0" w:color="auto"/>
              <w:bottom w:val="single" w:sz="4" w:space="0" w:color="auto"/>
              <w:right w:val="single" w:sz="4" w:space="0" w:color="auto"/>
            </w:tcBorders>
          </w:tcPr>
          <w:p w14:paraId="60C20D11" w14:textId="77777777" w:rsidR="00B201D3" w:rsidRPr="006D4FBA" w:rsidRDefault="009855E8">
            <w:pPr>
              <w:rPr>
                <w:rFonts w:ascii="宋体" w:eastAsia="宋体" w:hAnsi="宋体"/>
              </w:rPr>
            </w:pPr>
            <w:r w:rsidRPr="006D4FBA">
              <w:rPr>
                <w:rFonts w:ascii="宋体" w:eastAsia="宋体" w:hAnsi="宋体" w:hint="eastAsia"/>
              </w:rPr>
              <w:t>一、济三电力</w:t>
            </w:r>
          </w:p>
        </w:tc>
        <w:tc>
          <w:tcPr>
            <w:tcW w:w="1134" w:type="dxa"/>
            <w:tcBorders>
              <w:top w:val="single" w:sz="4" w:space="0" w:color="auto"/>
              <w:left w:val="nil"/>
              <w:bottom w:val="single" w:sz="4" w:space="0" w:color="auto"/>
              <w:right w:val="single" w:sz="4" w:space="0" w:color="auto"/>
            </w:tcBorders>
            <w:shd w:val="clear" w:color="auto" w:fill="auto"/>
            <w:vAlign w:val="center"/>
          </w:tcPr>
          <w:p w14:paraId="0F7C3D24" w14:textId="77777777" w:rsidR="00B201D3" w:rsidRPr="006D4FBA" w:rsidRDefault="009855E8">
            <w:pPr>
              <w:jc w:val="right"/>
              <w:rPr>
                <w:rFonts w:ascii="宋体" w:eastAsia="宋体" w:hAnsi="宋体"/>
              </w:rPr>
            </w:pPr>
            <w:r w:rsidRPr="006D4FBA">
              <w:rPr>
                <w:rFonts w:ascii="宋体" w:eastAsia="宋体" w:hAnsi="宋体" w:hint="eastAsia"/>
              </w:rPr>
              <w:t>76,923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C423A23" w14:textId="77777777" w:rsidR="00B201D3" w:rsidRPr="006D4FBA" w:rsidRDefault="009855E8">
            <w:pPr>
              <w:jc w:val="right"/>
              <w:rPr>
                <w:rFonts w:ascii="宋体" w:eastAsia="宋体" w:hAnsi="宋体"/>
              </w:rPr>
            </w:pPr>
            <w:r w:rsidRPr="006D4FBA">
              <w:rPr>
                <w:rFonts w:ascii="宋体" w:eastAsia="宋体" w:hAnsi="宋体" w:hint="eastAsia"/>
              </w:rPr>
              <w:t>66,096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3BD2311" w14:textId="77777777" w:rsidR="00B201D3" w:rsidRPr="006D4FBA" w:rsidRDefault="009855E8">
            <w:pPr>
              <w:jc w:val="right"/>
              <w:rPr>
                <w:rFonts w:ascii="宋体" w:eastAsia="宋体" w:hAnsi="宋体"/>
              </w:rPr>
            </w:pPr>
            <w:r w:rsidRPr="006D4FBA">
              <w:rPr>
                <w:rFonts w:ascii="宋体" w:eastAsia="宋体" w:hAnsi="宋体" w:hint="eastAsia"/>
              </w:rPr>
              <w:t>275</w:t>
            </w:r>
          </w:p>
        </w:tc>
        <w:tc>
          <w:tcPr>
            <w:tcW w:w="992" w:type="dxa"/>
            <w:tcBorders>
              <w:top w:val="single" w:sz="4" w:space="0" w:color="auto"/>
              <w:left w:val="single" w:sz="4" w:space="0" w:color="auto"/>
              <w:bottom w:val="single" w:sz="4" w:space="0" w:color="auto"/>
              <w:right w:val="nil"/>
            </w:tcBorders>
            <w:shd w:val="clear" w:color="auto" w:fill="auto"/>
            <w:vAlign w:val="center"/>
          </w:tcPr>
          <w:p w14:paraId="09F6E832" w14:textId="77777777" w:rsidR="00B201D3" w:rsidRPr="006D4FBA" w:rsidRDefault="009855E8">
            <w:pPr>
              <w:jc w:val="right"/>
              <w:rPr>
                <w:rFonts w:ascii="宋体" w:eastAsia="宋体" w:hAnsi="宋体"/>
              </w:rPr>
            </w:pPr>
            <w:r w:rsidRPr="006D4FBA">
              <w:rPr>
                <w:rFonts w:ascii="宋体" w:eastAsia="宋体" w:hAnsi="宋体" w:hint="eastAsia"/>
              </w:rPr>
              <w:t>230</w:t>
            </w:r>
          </w:p>
        </w:tc>
        <w:tc>
          <w:tcPr>
            <w:tcW w:w="1134" w:type="dxa"/>
            <w:tcBorders>
              <w:top w:val="single" w:sz="4" w:space="0" w:color="auto"/>
              <w:left w:val="single" w:sz="4" w:space="0" w:color="auto"/>
              <w:bottom w:val="single" w:sz="4" w:space="0" w:color="auto"/>
              <w:right w:val="single" w:sz="4" w:space="0" w:color="auto"/>
            </w:tcBorders>
            <w:vAlign w:val="center"/>
          </w:tcPr>
          <w:p w14:paraId="60366F4C" w14:textId="77777777" w:rsidR="00B201D3" w:rsidRPr="006D4FBA" w:rsidRDefault="009855E8">
            <w:pPr>
              <w:jc w:val="right"/>
              <w:rPr>
                <w:rFonts w:ascii="宋体" w:eastAsia="宋体" w:hAnsi="宋体"/>
              </w:rPr>
            </w:pPr>
            <w:r w:rsidRPr="006D4FBA">
              <w:rPr>
                <w:rFonts w:ascii="宋体" w:eastAsia="宋体" w:hAnsi="宋体" w:hint="eastAsia"/>
              </w:rPr>
              <w:t>73,021</w:t>
            </w:r>
          </w:p>
        </w:tc>
        <w:tc>
          <w:tcPr>
            <w:tcW w:w="1134" w:type="dxa"/>
            <w:tcBorders>
              <w:top w:val="single" w:sz="4" w:space="0" w:color="auto"/>
              <w:left w:val="single" w:sz="4" w:space="0" w:color="auto"/>
              <w:bottom w:val="single" w:sz="4" w:space="0" w:color="auto"/>
              <w:right w:val="single" w:sz="4" w:space="0" w:color="auto"/>
            </w:tcBorders>
            <w:vAlign w:val="center"/>
          </w:tcPr>
          <w:p w14:paraId="2358AC19" w14:textId="77777777" w:rsidR="00B201D3" w:rsidRPr="006D4FBA" w:rsidRDefault="009855E8">
            <w:pPr>
              <w:jc w:val="right"/>
              <w:rPr>
                <w:rFonts w:ascii="宋体" w:eastAsia="宋体" w:hAnsi="宋体"/>
              </w:rPr>
            </w:pPr>
            <w:r w:rsidRPr="006D4FBA">
              <w:rPr>
                <w:rFonts w:ascii="宋体" w:eastAsia="宋体" w:hAnsi="宋体" w:hint="eastAsia"/>
              </w:rPr>
              <w:t>66,247</w:t>
            </w:r>
          </w:p>
        </w:tc>
        <w:tc>
          <w:tcPr>
            <w:tcW w:w="1044" w:type="dxa"/>
            <w:tcBorders>
              <w:top w:val="single" w:sz="4" w:space="0" w:color="auto"/>
              <w:left w:val="single" w:sz="4" w:space="0" w:color="auto"/>
              <w:bottom w:val="single" w:sz="4" w:space="0" w:color="auto"/>
              <w:right w:val="single" w:sz="4" w:space="0" w:color="auto"/>
            </w:tcBorders>
            <w:vAlign w:val="center"/>
          </w:tcPr>
          <w:p w14:paraId="1BCF0DBB" w14:textId="77777777" w:rsidR="00B201D3" w:rsidRPr="006D4FBA" w:rsidRDefault="009855E8">
            <w:pPr>
              <w:jc w:val="right"/>
              <w:rPr>
                <w:rFonts w:ascii="宋体" w:eastAsia="宋体" w:hAnsi="宋体"/>
              </w:rPr>
            </w:pPr>
            <w:r w:rsidRPr="006D4FBA">
              <w:rPr>
                <w:rFonts w:ascii="宋体" w:eastAsia="宋体" w:hAnsi="宋体" w:hint="eastAsia"/>
              </w:rPr>
              <w:t>289</w:t>
            </w:r>
          </w:p>
        </w:tc>
        <w:tc>
          <w:tcPr>
            <w:tcW w:w="992" w:type="dxa"/>
            <w:tcBorders>
              <w:top w:val="single" w:sz="4" w:space="0" w:color="auto"/>
              <w:left w:val="single" w:sz="4" w:space="0" w:color="auto"/>
              <w:bottom w:val="single" w:sz="4" w:space="0" w:color="auto"/>
              <w:right w:val="single" w:sz="4" w:space="0" w:color="auto"/>
            </w:tcBorders>
            <w:vAlign w:val="center"/>
          </w:tcPr>
          <w:p w14:paraId="714E7FD2" w14:textId="77777777" w:rsidR="00B201D3" w:rsidRPr="006D4FBA" w:rsidRDefault="009855E8">
            <w:pPr>
              <w:jc w:val="right"/>
              <w:rPr>
                <w:rFonts w:ascii="宋体" w:eastAsia="宋体" w:hAnsi="宋体"/>
              </w:rPr>
            </w:pPr>
            <w:r w:rsidRPr="006D4FBA">
              <w:rPr>
                <w:rFonts w:ascii="宋体" w:eastAsia="宋体" w:hAnsi="宋体" w:hint="eastAsia"/>
              </w:rPr>
              <w:t>197</w:t>
            </w:r>
          </w:p>
        </w:tc>
      </w:tr>
      <w:tr w:rsidR="00B201D3" w:rsidRPr="006D4FBA" w14:paraId="594FE597" w14:textId="77777777">
        <w:trPr>
          <w:trHeight w:val="312"/>
          <w:jc w:val="center"/>
        </w:trPr>
        <w:tc>
          <w:tcPr>
            <w:tcW w:w="1838" w:type="dxa"/>
            <w:tcBorders>
              <w:top w:val="single" w:sz="4" w:space="0" w:color="auto"/>
              <w:left w:val="single" w:sz="4" w:space="0" w:color="auto"/>
              <w:bottom w:val="single" w:sz="4" w:space="0" w:color="auto"/>
              <w:right w:val="single" w:sz="4" w:space="0" w:color="auto"/>
            </w:tcBorders>
            <w:vAlign w:val="center"/>
          </w:tcPr>
          <w:p w14:paraId="3B76F0D2" w14:textId="77777777" w:rsidR="00B201D3" w:rsidRPr="006D4FBA" w:rsidRDefault="009855E8">
            <w:pPr>
              <w:rPr>
                <w:rFonts w:ascii="宋体" w:eastAsia="宋体" w:hAnsi="宋体"/>
              </w:rPr>
            </w:pPr>
            <w:r w:rsidRPr="006D4FBA">
              <w:rPr>
                <w:rFonts w:ascii="宋体" w:eastAsia="宋体" w:hAnsi="宋体" w:hint="eastAsia"/>
              </w:rPr>
              <w:t>二、菏泽能化</w:t>
            </w:r>
          </w:p>
        </w:tc>
        <w:tc>
          <w:tcPr>
            <w:tcW w:w="1134" w:type="dxa"/>
            <w:tcBorders>
              <w:top w:val="single" w:sz="4" w:space="0" w:color="auto"/>
              <w:left w:val="nil"/>
              <w:bottom w:val="single" w:sz="4" w:space="0" w:color="auto"/>
              <w:right w:val="single" w:sz="4" w:space="0" w:color="auto"/>
            </w:tcBorders>
            <w:shd w:val="clear" w:color="auto" w:fill="auto"/>
            <w:vAlign w:val="center"/>
          </w:tcPr>
          <w:p w14:paraId="5D0173E4" w14:textId="77777777" w:rsidR="00B201D3" w:rsidRPr="006D4FBA" w:rsidRDefault="009855E8">
            <w:pPr>
              <w:jc w:val="right"/>
              <w:rPr>
                <w:rFonts w:ascii="宋体" w:eastAsia="宋体" w:hAnsi="宋体"/>
              </w:rPr>
            </w:pPr>
            <w:r w:rsidRPr="006D4FBA">
              <w:rPr>
                <w:rFonts w:ascii="宋体" w:eastAsia="宋体" w:hAnsi="宋体" w:hint="eastAsia"/>
              </w:rPr>
              <w:t>78,568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BC7D63C" w14:textId="77777777" w:rsidR="00B201D3" w:rsidRPr="006D4FBA" w:rsidRDefault="009855E8">
            <w:pPr>
              <w:jc w:val="right"/>
              <w:rPr>
                <w:rFonts w:ascii="宋体" w:eastAsia="宋体" w:hAnsi="宋体"/>
              </w:rPr>
            </w:pPr>
            <w:r w:rsidRPr="006D4FBA">
              <w:rPr>
                <w:rFonts w:ascii="宋体" w:eastAsia="宋体" w:hAnsi="宋体" w:hint="eastAsia"/>
              </w:rPr>
              <w:t>68,715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C727E8E" w14:textId="77777777" w:rsidR="00B201D3" w:rsidRPr="006D4FBA" w:rsidRDefault="009855E8">
            <w:pPr>
              <w:jc w:val="right"/>
              <w:rPr>
                <w:rFonts w:ascii="宋体" w:eastAsia="宋体" w:hAnsi="宋体"/>
              </w:rPr>
            </w:pPr>
            <w:r w:rsidRPr="006D4FBA">
              <w:rPr>
                <w:rFonts w:ascii="宋体" w:eastAsia="宋体" w:hAnsi="宋体" w:hint="eastAsia"/>
              </w:rPr>
              <w:t>265</w:t>
            </w:r>
          </w:p>
        </w:tc>
        <w:tc>
          <w:tcPr>
            <w:tcW w:w="992" w:type="dxa"/>
            <w:tcBorders>
              <w:top w:val="single" w:sz="4" w:space="0" w:color="auto"/>
              <w:left w:val="single" w:sz="4" w:space="0" w:color="auto"/>
              <w:bottom w:val="single" w:sz="4" w:space="0" w:color="auto"/>
              <w:right w:val="nil"/>
            </w:tcBorders>
            <w:shd w:val="clear" w:color="auto" w:fill="auto"/>
            <w:vAlign w:val="center"/>
          </w:tcPr>
          <w:p w14:paraId="2F6E07B8" w14:textId="77777777" w:rsidR="00B201D3" w:rsidRPr="006D4FBA" w:rsidRDefault="009855E8">
            <w:pPr>
              <w:jc w:val="right"/>
              <w:rPr>
                <w:rFonts w:ascii="宋体" w:eastAsia="宋体" w:hAnsi="宋体"/>
              </w:rPr>
            </w:pPr>
            <w:r w:rsidRPr="006D4FBA">
              <w:rPr>
                <w:rFonts w:ascii="宋体" w:eastAsia="宋体" w:hAnsi="宋体" w:hint="eastAsia"/>
              </w:rPr>
              <w:t>220</w:t>
            </w:r>
          </w:p>
        </w:tc>
        <w:tc>
          <w:tcPr>
            <w:tcW w:w="1134" w:type="dxa"/>
            <w:tcBorders>
              <w:top w:val="single" w:sz="4" w:space="0" w:color="auto"/>
              <w:left w:val="single" w:sz="4" w:space="0" w:color="auto"/>
              <w:bottom w:val="single" w:sz="4" w:space="0" w:color="auto"/>
              <w:right w:val="single" w:sz="4" w:space="0" w:color="auto"/>
            </w:tcBorders>
            <w:vAlign w:val="center"/>
          </w:tcPr>
          <w:p w14:paraId="2B2AFA88" w14:textId="77777777" w:rsidR="00B201D3" w:rsidRPr="006D4FBA" w:rsidRDefault="009855E8">
            <w:pPr>
              <w:jc w:val="right"/>
              <w:rPr>
                <w:rFonts w:ascii="宋体" w:eastAsia="宋体" w:hAnsi="宋体"/>
              </w:rPr>
            </w:pPr>
            <w:r w:rsidRPr="006D4FBA">
              <w:rPr>
                <w:rFonts w:ascii="宋体" w:eastAsia="宋体" w:hAnsi="宋体" w:hint="eastAsia"/>
              </w:rPr>
              <w:t>79,058</w:t>
            </w:r>
          </w:p>
        </w:tc>
        <w:tc>
          <w:tcPr>
            <w:tcW w:w="1134" w:type="dxa"/>
            <w:tcBorders>
              <w:top w:val="single" w:sz="4" w:space="0" w:color="auto"/>
              <w:left w:val="single" w:sz="4" w:space="0" w:color="auto"/>
              <w:bottom w:val="single" w:sz="4" w:space="0" w:color="auto"/>
              <w:right w:val="single" w:sz="4" w:space="0" w:color="auto"/>
            </w:tcBorders>
            <w:vAlign w:val="center"/>
          </w:tcPr>
          <w:p w14:paraId="2ADA0155" w14:textId="77777777" w:rsidR="00B201D3" w:rsidRPr="006D4FBA" w:rsidRDefault="009855E8">
            <w:pPr>
              <w:jc w:val="right"/>
              <w:rPr>
                <w:rFonts w:ascii="宋体" w:eastAsia="宋体" w:hAnsi="宋体"/>
              </w:rPr>
            </w:pPr>
            <w:r w:rsidRPr="006D4FBA">
              <w:rPr>
                <w:rFonts w:ascii="宋体" w:eastAsia="宋体" w:hAnsi="宋体" w:hint="eastAsia"/>
              </w:rPr>
              <w:t>69,571</w:t>
            </w:r>
          </w:p>
        </w:tc>
        <w:tc>
          <w:tcPr>
            <w:tcW w:w="1044" w:type="dxa"/>
            <w:tcBorders>
              <w:top w:val="single" w:sz="4" w:space="0" w:color="auto"/>
              <w:left w:val="single" w:sz="4" w:space="0" w:color="auto"/>
              <w:bottom w:val="single" w:sz="4" w:space="0" w:color="auto"/>
              <w:right w:val="single" w:sz="4" w:space="0" w:color="auto"/>
            </w:tcBorders>
            <w:vAlign w:val="center"/>
          </w:tcPr>
          <w:p w14:paraId="0871F020" w14:textId="77777777" w:rsidR="00B201D3" w:rsidRPr="006D4FBA" w:rsidRDefault="009855E8">
            <w:pPr>
              <w:jc w:val="right"/>
              <w:rPr>
                <w:rFonts w:ascii="宋体" w:eastAsia="宋体" w:hAnsi="宋体"/>
              </w:rPr>
            </w:pPr>
            <w:r w:rsidRPr="006D4FBA">
              <w:rPr>
                <w:rFonts w:ascii="宋体" w:eastAsia="宋体" w:hAnsi="宋体" w:hint="eastAsia"/>
              </w:rPr>
              <w:t>286</w:t>
            </w:r>
          </w:p>
        </w:tc>
        <w:tc>
          <w:tcPr>
            <w:tcW w:w="992" w:type="dxa"/>
            <w:tcBorders>
              <w:top w:val="single" w:sz="4" w:space="0" w:color="auto"/>
              <w:left w:val="single" w:sz="4" w:space="0" w:color="auto"/>
              <w:bottom w:val="single" w:sz="4" w:space="0" w:color="auto"/>
              <w:right w:val="single" w:sz="4" w:space="0" w:color="auto"/>
            </w:tcBorders>
            <w:vAlign w:val="center"/>
          </w:tcPr>
          <w:p w14:paraId="1615B1BA" w14:textId="77777777" w:rsidR="00B201D3" w:rsidRPr="006D4FBA" w:rsidRDefault="009855E8">
            <w:pPr>
              <w:jc w:val="right"/>
              <w:rPr>
                <w:rFonts w:ascii="宋体" w:eastAsia="宋体" w:hAnsi="宋体"/>
              </w:rPr>
            </w:pPr>
            <w:r w:rsidRPr="006D4FBA">
              <w:rPr>
                <w:rFonts w:ascii="宋体" w:eastAsia="宋体" w:hAnsi="宋体" w:hint="eastAsia"/>
              </w:rPr>
              <w:t>224</w:t>
            </w:r>
          </w:p>
        </w:tc>
      </w:tr>
      <w:tr w:rsidR="00B201D3" w:rsidRPr="006D4FBA" w14:paraId="435B5E28" w14:textId="77777777">
        <w:trPr>
          <w:trHeight w:val="312"/>
          <w:jc w:val="center"/>
        </w:trPr>
        <w:tc>
          <w:tcPr>
            <w:tcW w:w="1838" w:type="dxa"/>
            <w:tcBorders>
              <w:top w:val="single" w:sz="4" w:space="0" w:color="auto"/>
              <w:left w:val="single" w:sz="4" w:space="0" w:color="auto"/>
              <w:bottom w:val="single" w:sz="4" w:space="0" w:color="auto"/>
              <w:right w:val="single" w:sz="4" w:space="0" w:color="auto"/>
            </w:tcBorders>
            <w:vAlign w:val="center"/>
          </w:tcPr>
          <w:p w14:paraId="6927B475" w14:textId="77777777" w:rsidR="00B201D3" w:rsidRPr="006D4FBA" w:rsidRDefault="009855E8">
            <w:pPr>
              <w:rPr>
                <w:rFonts w:ascii="宋体" w:eastAsia="宋体" w:hAnsi="宋体"/>
              </w:rPr>
            </w:pPr>
            <w:r w:rsidRPr="006D4FBA">
              <w:rPr>
                <w:rFonts w:ascii="宋体" w:eastAsia="宋体" w:hAnsi="宋体" w:hint="eastAsia"/>
              </w:rPr>
              <w:t>三、鲁南化工</w:t>
            </w:r>
            <w:r w:rsidRPr="006D4FBA">
              <w:rPr>
                <w:rFonts w:ascii="宋体" w:eastAsia="宋体" w:hAnsi="宋体" w:hint="eastAsia"/>
                <w:vertAlign w:val="superscript"/>
              </w:rPr>
              <w:t>①</w:t>
            </w:r>
          </w:p>
        </w:tc>
        <w:tc>
          <w:tcPr>
            <w:tcW w:w="1134" w:type="dxa"/>
            <w:tcBorders>
              <w:top w:val="single" w:sz="4" w:space="0" w:color="auto"/>
              <w:left w:val="nil"/>
              <w:bottom w:val="single" w:sz="4" w:space="0" w:color="auto"/>
              <w:right w:val="single" w:sz="4" w:space="0" w:color="auto"/>
            </w:tcBorders>
            <w:shd w:val="clear" w:color="auto" w:fill="auto"/>
            <w:vAlign w:val="center"/>
          </w:tcPr>
          <w:p w14:paraId="3342EE35" w14:textId="77777777" w:rsidR="00B201D3" w:rsidRPr="006D4FBA" w:rsidRDefault="009855E8">
            <w:pPr>
              <w:jc w:val="right"/>
              <w:rPr>
                <w:rFonts w:ascii="宋体" w:eastAsia="宋体" w:hAnsi="宋体"/>
              </w:rPr>
            </w:pPr>
            <w:r w:rsidRPr="006D4FBA">
              <w:rPr>
                <w:rFonts w:ascii="宋体" w:eastAsia="宋体" w:hAnsi="宋体" w:hint="eastAsia"/>
              </w:rPr>
              <w:t>19,194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9B92AD7" w14:textId="77777777" w:rsidR="00B201D3" w:rsidRPr="006D4FBA" w:rsidRDefault="009855E8">
            <w:pPr>
              <w:jc w:val="right"/>
              <w:rPr>
                <w:rFonts w:ascii="宋体" w:eastAsia="宋体" w:hAnsi="宋体"/>
              </w:rPr>
            </w:pPr>
            <w:r w:rsidRPr="006D4FBA">
              <w:rPr>
                <w:rFonts w:ascii="宋体" w:eastAsia="宋体" w:hAnsi="宋体" w:hint="eastAsia"/>
              </w:rPr>
              <w:t>17,789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FAD4DCD" w14:textId="77777777" w:rsidR="00B201D3" w:rsidRPr="006D4FBA" w:rsidRDefault="009855E8">
            <w:pPr>
              <w:jc w:val="right"/>
              <w:rPr>
                <w:rFonts w:ascii="宋体" w:eastAsia="宋体" w:hAnsi="宋体"/>
              </w:rPr>
            </w:pPr>
            <w:r w:rsidRPr="006D4FBA">
              <w:rPr>
                <w:rFonts w:ascii="宋体" w:eastAsia="宋体" w:hAnsi="宋体" w:hint="eastAsia"/>
              </w:rPr>
              <w:t>63</w:t>
            </w:r>
          </w:p>
        </w:tc>
        <w:tc>
          <w:tcPr>
            <w:tcW w:w="992" w:type="dxa"/>
            <w:tcBorders>
              <w:top w:val="single" w:sz="4" w:space="0" w:color="auto"/>
              <w:left w:val="single" w:sz="4" w:space="0" w:color="auto"/>
              <w:bottom w:val="single" w:sz="4" w:space="0" w:color="auto"/>
              <w:right w:val="nil"/>
            </w:tcBorders>
            <w:shd w:val="clear" w:color="auto" w:fill="auto"/>
            <w:vAlign w:val="center"/>
          </w:tcPr>
          <w:p w14:paraId="768E8730" w14:textId="77777777" w:rsidR="00B201D3" w:rsidRPr="006D4FBA" w:rsidRDefault="009855E8">
            <w:pPr>
              <w:jc w:val="right"/>
              <w:rPr>
                <w:rFonts w:ascii="宋体" w:eastAsia="宋体" w:hAnsi="宋体"/>
              </w:rPr>
            </w:pPr>
            <w:r w:rsidRPr="006D4FBA">
              <w:rPr>
                <w:rFonts w:ascii="宋体" w:eastAsia="宋体" w:hAnsi="宋体" w:hint="eastAsia"/>
              </w:rPr>
              <w:t>46</w:t>
            </w:r>
          </w:p>
        </w:tc>
        <w:tc>
          <w:tcPr>
            <w:tcW w:w="1134" w:type="dxa"/>
            <w:tcBorders>
              <w:top w:val="single" w:sz="4" w:space="0" w:color="auto"/>
              <w:left w:val="single" w:sz="4" w:space="0" w:color="auto"/>
              <w:bottom w:val="single" w:sz="4" w:space="0" w:color="auto"/>
              <w:right w:val="single" w:sz="4" w:space="0" w:color="auto"/>
            </w:tcBorders>
            <w:vAlign w:val="center"/>
          </w:tcPr>
          <w:p w14:paraId="54E534D9" w14:textId="77777777" w:rsidR="00B201D3" w:rsidRPr="006D4FBA" w:rsidRDefault="009855E8">
            <w:pPr>
              <w:jc w:val="right"/>
              <w:rPr>
                <w:rFonts w:ascii="宋体" w:eastAsia="宋体" w:hAnsi="宋体"/>
              </w:rPr>
            </w:pPr>
            <w:r w:rsidRPr="006D4FBA">
              <w:rPr>
                <w:rFonts w:ascii="宋体" w:eastAsia="宋体" w:hAnsi="宋体" w:hint="eastAsia"/>
              </w:rPr>
              <w:t>17,248</w:t>
            </w:r>
          </w:p>
        </w:tc>
        <w:tc>
          <w:tcPr>
            <w:tcW w:w="1134" w:type="dxa"/>
            <w:tcBorders>
              <w:top w:val="single" w:sz="4" w:space="0" w:color="auto"/>
              <w:left w:val="single" w:sz="4" w:space="0" w:color="auto"/>
              <w:bottom w:val="single" w:sz="4" w:space="0" w:color="auto"/>
              <w:right w:val="single" w:sz="4" w:space="0" w:color="auto"/>
            </w:tcBorders>
            <w:vAlign w:val="center"/>
          </w:tcPr>
          <w:p w14:paraId="78293EC6" w14:textId="77777777" w:rsidR="00B201D3" w:rsidRPr="006D4FBA" w:rsidRDefault="009855E8">
            <w:pPr>
              <w:jc w:val="right"/>
              <w:rPr>
                <w:rFonts w:ascii="宋体" w:eastAsia="宋体" w:hAnsi="宋体"/>
              </w:rPr>
            </w:pPr>
            <w:r w:rsidRPr="006D4FBA">
              <w:rPr>
                <w:rFonts w:ascii="宋体" w:eastAsia="宋体" w:hAnsi="宋体" w:hint="eastAsia"/>
              </w:rPr>
              <w:t>14,512</w:t>
            </w:r>
          </w:p>
        </w:tc>
        <w:tc>
          <w:tcPr>
            <w:tcW w:w="1044" w:type="dxa"/>
            <w:tcBorders>
              <w:top w:val="single" w:sz="4" w:space="0" w:color="auto"/>
              <w:left w:val="single" w:sz="4" w:space="0" w:color="auto"/>
              <w:bottom w:val="single" w:sz="4" w:space="0" w:color="auto"/>
              <w:right w:val="single" w:sz="4" w:space="0" w:color="auto"/>
            </w:tcBorders>
            <w:vAlign w:val="center"/>
          </w:tcPr>
          <w:p w14:paraId="615A18E1" w14:textId="77777777" w:rsidR="00B201D3" w:rsidRPr="006D4FBA" w:rsidRDefault="009855E8">
            <w:pPr>
              <w:jc w:val="right"/>
              <w:rPr>
                <w:rFonts w:ascii="宋体" w:eastAsia="宋体" w:hAnsi="宋体"/>
              </w:rPr>
            </w:pPr>
            <w:r w:rsidRPr="006D4FBA">
              <w:rPr>
                <w:rFonts w:ascii="宋体" w:eastAsia="宋体" w:hAnsi="宋体" w:hint="eastAsia"/>
              </w:rPr>
              <w:t>72</w:t>
            </w:r>
          </w:p>
        </w:tc>
        <w:tc>
          <w:tcPr>
            <w:tcW w:w="992" w:type="dxa"/>
            <w:tcBorders>
              <w:top w:val="single" w:sz="4" w:space="0" w:color="auto"/>
              <w:left w:val="single" w:sz="4" w:space="0" w:color="auto"/>
              <w:bottom w:val="single" w:sz="4" w:space="0" w:color="auto"/>
              <w:right w:val="single" w:sz="4" w:space="0" w:color="auto"/>
            </w:tcBorders>
            <w:vAlign w:val="center"/>
          </w:tcPr>
          <w:p w14:paraId="58795FC1" w14:textId="77777777" w:rsidR="00B201D3" w:rsidRPr="006D4FBA" w:rsidRDefault="009855E8">
            <w:pPr>
              <w:jc w:val="right"/>
              <w:rPr>
                <w:rFonts w:ascii="宋体" w:eastAsia="宋体" w:hAnsi="宋体"/>
              </w:rPr>
            </w:pPr>
            <w:r w:rsidRPr="006D4FBA">
              <w:rPr>
                <w:rFonts w:ascii="宋体" w:eastAsia="宋体" w:hAnsi="宋体" w:hint="eastAsia"/>
              </w:rPr>
              <w:t>35</w:t>
            </w:r>
          </w:p>
        </w:tc>
      </w:tr>
      <w:tr w:rsidR="00B201D3" w:rsidRPr="006D4FBA" w14:paraId="35F737A7" w14:textId="77777777">
        <w:trPr>
          <w:trHeight w:val="312"/>
          <w:jc w:val="center"/>
        </w:trPr>
        <w:tc>
          <w:tcPr>
            <w:tcW w:w="1838" w:type="dxa"/>
            <w:tcBorders>
              <w:top w:val="single" w:sz="4" w:space="0" w:color="auto"/>
              <w:left w:val="single" w:sz="4" w:space="0" w:color="auto"/>
              <w:bottom w:val="single" w:sz="4" w:space="0" w:color="auto"/>
              <w:right w:val="single" w:sz="4" w:space="0" w:color="auto"/>
            </w:tcBorders>
            <w:vAlign w:val="center"/>
          </w:tcPr>
          <w:p w14:paraId="233805B7" w14:textId="77777777" w:rsidR="00B201D3" w:rsidRPr="006D4FBA" w:rsidRDefault="009855E8">
            <w:pPr>
              <w:rPr>
                <w:rFonts w:ascii="宋体" w:eastAsia="宋体" w:hAnsi="宋体"/>
              </w:rPr>
            </w:pPr>
            <w:r w:rsidRPr="006D4FBA">
              <w:rPr>
                <w:rFonts w:ascii="宋体" w:eastAsia="宋体" w:hAnsi="宋体" w:hint="eastAsia"/>
              </w:rPr>
              <w:t>四、榆林能化</w:t>
            </w:r>
          </w:p>
        </w:tc>
        <w:tc>
          <w:tcPr>
            <w:tcW w:w="1134" w:type="dxa"/>
            <w:tcBorders>
              <w:top w:val="single" w:sz="4" w:space="0" w:color="auto"/>
              <w:left w:val="nil"/>
              <w:bottom w:val="single" w:sz="4" w:space="0" w:color="auto"/>
              <w:right w:val="single" w:sz="4" w:space="0" w:color="auto"/>
            </w:tcBorders>
            <w:shd w:val="clear" w:color="auto" w:fill="auto"/>
            <w:vAlign w:val="center"/>
          </w:tcPr>
          <w:p w14:paraId="37400783" w14:textId="77777777" w:rsidR="00B201D3" w:rsidRPr="006D4FBA" w:rsidRDefault="009855E8">
            <w:pPr>
              <w:jc w:val="right"/>
              <w:rPr>
                <w:rFonts w:ascii="宋体" w:eastAsia="宋体" w:hAnsi="宋体"/>
              </w:rPr>
            </w:pPr>
            <w:r w:rsidRPr="006D4FBA">
              <w:rPr>
                <w:rFonts w:ascii="宋体" w:eastAsia="宋体" w:hAnsi="宋体" w:hint="eastAsia"/>
              </w:rPr>
              <w:t>9,546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E6CF1C0" w14:textId="77777777" w:rsidR="00B201D3" w:rsidRPr="006D4FBA" w:rsidRDefault="009855E8">
            <w:pPr>
              <w:jc w:val="right"/>
              <w:rPr>
                <w:rFonts w:ascii="宋体" w:eastAsia="宋体" w:hAnsi="宋体"/>
              </w:rPr>
            </w:pPr>
            <w:r w:rsidRPr="006D4FBA">
              <w:rPr>
                <w:rFonts w:ascii="宋体" w:eastAsia="宋体" w:hAnsi="宋体" w:hint="eastAsia"/>
              </w:rPr>
              <w:t>7,606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4831F54" w14:textId="77777777" w:rsidR="00B201D3" w:rsidRPr="006D4FBA" w:rsidRDefault="009855E8">
            <w:pPr>
              <w:jc w:val="right"/>
              <w:rPr>
                <w:rFonts w:ascii="宋体" w:eastAsia="宋体" w:hAnsi="宋体"/>
              </w:rPr>
            </w:pPr>
            <w:r w:rsidRPr="006D4FBA">
              <w:rPr>
                <w:rFonts w:ascii="宋体" w:eastAsia="宋体" w:hAnsi="宋体" w:hint="eastAsia"/>
              </w:rPr>
              <w:t>19</w:t>
            </w:r>
          </w:p>
        </w:tc>
        <w:tc>
          <w:tcPr>
            <w:tcW w:w="992" w:type="dxa"/>
            <w:tcBorders>
              <w:top w:val="single" w:sz="4" w:space="0" w:color="auto"/>
              <w:left w:val="single" w:sz="4" w:space="0" w:color="auto"/>
              <w:bottom w:val="single" w:sz="4" w:space="0" w:color="auto"/>
              <w:right w:val="nil"/>
            </w:tcBorders>
            <w:shd w:val="clear" w:color="auto" w:fill="auto"/>
            <w:vAlign w:val="center"/>
          </w:tcPr>
          <w:p w14:paraId="5555A56B" w14:textId="77777777" w:rsidR="00B201D3" w:rsidRPr="006D4FBA" w:rsidRDefault="009855E8">
            <w:pPr>
              <w:jc w:val="right"/>
              <w:rPr>
                <w:rFonts w:ascii="宋体" w:eastAsia="宋体" w:hAnsi="宋体"/>
              </w:rPr>
            </w:pPr>
            <w:r w:rsidRPr="006D4FBA">
              <w:rPr>
                <w:rFonts w:ascii="宋体" w:eastAsia="宋体" w:hAnsi="宋体" w:hint="eastAsia"/>
              </w:rPr>
              <w:t>19</w:t>
            </w:r>
          </w:p>
        </w:tc>
        <w:tc>
          <w:tcPr>
            <w:tcW w:w="1134" w:type="dxa"/>
            <w:tcBorders>
              <w:top w:val="single" w:sz="4" w:space="0" w:color="auto"/>
              <w:left w:val="single" w:sz="4" w:space="0" w:color="auto"/>
              <w:bottom w:val="single" w:sz="4" w:space="0" w:color="auto"/>
              <w:right w:val="single" w:sz="4" w:space="0" w:color="auto"/>
            </w:tcBorders>
            <w:vAlign w:val="center"/>
          </w:tcPr>
          <w:p w14:paraId="51B7D3C9" w14:textId="77777777" w:rsidR="00B201D3" w:rsidRPr="006D4FBA" w:rsidRDefault="009855E8">
            <w:pPr>
              <w:jc w:val="right"/>
              <w:rPr>
                <w:rFonts w:ascii="宋体" w:eastAsia="宋体" w:hAnsi="宋体"/>
              </w:rPr>
            </w:pPr>
            <w:r w:rsidRPr="006D4FBA">
              <w:rPr>
                <w:rFonts w:ascii="宋体" w:eastAsia="宋体" w:hAnsi="宋体" w:hint="eastAsia"/>
              </w:rPr>
              <w:t>10,390</w:t>
            </w:r>
          </w:p>
        </w:tc>
        <w:tc>
          <w:tcPr>
            <w:tcW w:w="1134" w:type="dxa"/>
            <w:tcBorders>
              <w:top w:val="single" w:sz="4" w:space="0" w:color="auto"/>
              <w:left w:val="single" w:sz="4" w:space="0" w:color="auto"/>
              <w:bottom w:val="single" w:sz="4" w:space="0" w:color="auto"/>
              <w:right w:val="single" w:sz="4" w:space="0" w:color="auto"/>
            </w:tcBorders>
            <w:vAlign w:val="center"/>
          </w:tcPr>
          <w:p w14:paraId="14449EAA" w14:textId="77777777" w:rsidR="00B201D3" w:rsidRPr="006D4FBA" w:rsidRDefault="009855E8">
            <w:pPr>
              <w:jc w:val="right"/>
              <w:rPr>
                <w:rFonts w:ascii="宋体" w:eastAsia="宋体" w:hAnsi="宋体"/>
              </w:rPr>
            </w:pPr>
            <w:r w:rsidRPr="006D4FBA">
              <w:rPr>
                <w:rFonts w:ascii="宋体" w:eastAsia="宋体" w:hAnsi="宋体" w:hint="eastAsia"/>
              </w:rPr>
              <w:t>8,676</w:t>
            </w:r>
          </w:p>
        </w:tc>
        <w:tc>
          <w:tcPr>
            <w:tcW w:w="1044" w:type="dxa"/>
            <w:tcBorders>
              <w:top w:val="single" w:sz="4" w:space="0" w:color="auto"/>
              <w:left w:val="single" w:sz="4" w:space="0" w:color="auto"/>
              <w:bottom w:val="single" w:sz="4" w:space="0" w:color="auto"/>
              <w:right w:val="single" w:sz="4" w:space="0" w:color="auto"/>
            </w:tcBorders>
            <w:vAlign w:val="center"/>
          </w:tcPr>
          <w:p w14:paraId="27878EAA" w14:textId="77777777" w:rsidR="00B201D3" w:rsidRPr="006D4FBA" w:rsidRDefault="009855E8">
            <w:pPr>
              <w:jc w:val="right"/>
              <w:rPr>
                <w:rFonts w:ascii="宋体" w:eastAsia="宋体" w:hAnsi="宋体"/>
              </w:rPr>
            </w:pPr>
            <w:r w:rsidRPr="006D4FBA">
              <w:rPr>
                <w:rFonts w:ascii="宋体" w:eastAsia="宋体" w:hAnsi="宋体" w:hint="eastAsia"/>
              </w:rPr>
              <w:t>21</w:t>
            </w:r>
          </w:p>
        </w:tc>
        <w:tc>
          <w:tcPr>
            <w:tcW w:w="992" w:type="dxa"/>
            <w:tcBorders>
              <w:top w:val="single" w:sz="4" w:space="0" w:color="auto"/>
              <w:left w:val="single" w:sz="4" w:space="0" w:color="auto"/>
              <w:bottom w:val="single" w:sz="4" w:space="0" w:color="auto"/>
              <w:right w:val="single" w:sz="4" w:space="0" w:color="auto"/>
            </w:tcBorders>
            <w:vAlign w:val="center"/>
          </w:tcPr>
          <w:p w14:paraId="1678DE5C" w14:textId="77777777" w:rsidR="00B201D3" w:rsidRPr="006D4FBA" w:rsidRDefault="009855E8">
            <w:pPr>
              <w:jc w:val="right"/>
              <w:rPr>
                <w:rFonts w:ascii="宋体" w:eastAsia="宋体" w:hAnsi="宋体"/>
              </w:rPr>
            </w:pPr>
            <w:r w:rsidRPr="006D4FBA">
              <w:rPr>
                <w:rFonts w:ascii="宋体" w:eastAsia="宋体" w:hAnsi="宋体" w:hint="eastAsia"/>
              </w:rPr>
              <w:t>21</w:t>
            </w:r>
          </w:p>
        </w:tc>
      </w:tr>
      <w:tr w:rsidR="00B201D3" w:rsidRPr="006D4FBA" w14:paraId="22403BE0" w14:textId="77777777">
        <w:trPr>
          <w:trHeight w:val="312"/>
          <w:jc w:val="center"/>
        </w:trPr>
        <w:tc>
          <w:tcPr>
            <w:tcW w:w="1838" w:type="dxa"/>
            <w:tcBorders>
              <w:top w:val="single" w:sz="4" w:space="0" w:color="auto"/>
              <w:left w:val="single" w:sz="4" w:space="0" w:color="auto"/>
              <w:bottom w:val="single" w:sz="4" w:space="0" w:color="auto"/>
              <w:right w:val="single" w:sz="4" w:space="0" w:color="auto"/>
            </w:tcBorders>
          </w:tcPr>
          <w:p w14:paraId="681EDF67" w14:textId="77777777" w:rsidR="00B201D3" w:rsidRPr="006D4FBA" w:rsidRDefault="009855E8">
            <w:pPr>
              <w:rPr>
                <w:rFonts w:ascii="宋体" w:eastAsia="宋体" w:hAnsi="宋体"/>
              </w:rPr>
            </w:pPr>
            <w:r w:rsidRPr="006D4FBA">
              <w:rPr>
                <w:rFonts w:ascii="宋体" w:eastAsia="宋体" w:hAnsi="宋体" w:hint="eastAsia"/>
              </w:rPr>
              <w:t>五、未来能源</w:t>
            </w:r>
            <w:r w:rsidRPr="006D4FBA">
              <w:rPr>
                <w:rFonts w:ascii="宋体" w:eastAsia="宋体" w:hAnsi="宋体" w:hint="eastAsia"/>
                <w:vertAlign w:val="superscript"/>
              </w:rPr>
              <w:t>②</w:t>
            </w:r>
          </w:p>
        </w:tc>
        <w:tc>
          <w:tcPr>
            <w:tcW w:w="1134" w:type="dxa"/>
            <w:tcBorders>
              <w:top w:val="single" w:sz="4" w:space="0" w:color="auto"/>
              <w:left w:val="nil"/>
              <w:bottom w:val="single" w:sz="4" w:space="0" w:color="auto"/>
              <w:right w:val="single" w:sz="4" w:space="0" w:color="auto"/>
            </w:tcBorders>
            <w:shd w:val="clear" w:color="auto" w:fill="auto"/>
            <w:vAlign w:val="center"/>
          </w:tcPr>
          <w:p w14:paraId="036D552D" w14:textId="77777777" w:rsidR="00B201D3" w:rsidRPr="006D4FBA" w:rsidRDefault="009855E8">
            <w:pPr>
              <w:jc w:val="right"/>
              <w:rPr>
                <w:rFonts w:ascii="宋体" w:eastAsia="宋体" w:hAnsi="宋体"/>
              </w:rPr>
            </w:pPr>
            <w:r w:rsidRPr="006D4FBA">
              <w:rPr>
                <w:rFonts w:ascii="宋体" w:eastAsia="宋体" w:hAnsi="宋体" w:hint="eastAsia"/>
              </w:rPr>
              <w:t>55,931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4696243" w14:textId="77777777" w:rsidR="00B201D3" w:rsidRPr="006D4FBA" w:rsidRDefault="009855E8">
            <w:pPr>
              <w:jc w:val="right"/>
              <w:rPr>
                <w:rFonts w:ascii="宋体" w:eastAsia="宋体" w:hAnsi="宋体"/>
              </w:rPr>
            </w:pPr>
            <w:r w:rsidRPr="006D4FBA">
              <w:rPr>
                <w:rFonts w:ascii="宋体" w:eastAsia="宋体" w:hAnsi="宋体" w:hint="eastAsia"/>
              </w:rPr>
              <w:t>20,617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9EB5FAF" w14:textId="77777777" w:rsidR="00B201D3" w:rsidRPr="006D4FBA" w:rsidRDefault="009855E8">
            <w:pPr>
              <w:jc w:val="right"/>
              <w:rPr>
                <w:rFonts w:ascii="宋体" w:eastAsia="宋体" w:hAnsi="宋体"/>
              </w:rPr>
            </w:pPr>
            <w:r w:rsidRPr="006D4FBA">
              <w:rPr>
                <w:rFonts w:ascii="宋体" w:eastAsia="宋体" w:hAnsi="宋体" w:hint="eastAsia"/>
              </w:rPr>
              <w:t>59</w:t>
            </w:r>
          </w:p>
        </w:tc>
        <w:tc>
          <w:tcPr>
            <w:tcW w:w="992" w:type="dxa"/>
            <w:tcBorders>
              <w:top w:val="single" w:sz="4" w:space="0" w:color="auto"/>
              <w:left w:val="single" w:sz="4" w:space="0" w:color="auto"/>
              <w:bottom w:val="single" w:sz="4" w:space="0" w:color="auto"/>
              <w:right w:val="nil"/>
            </w:tcBorders>
            <w:shd w:val="clear" w:color="auto" w:fill="auto"/>
            <w:vAlign w:val="center"/>
          </w:tcPr>
          <w:p w14:paraId="45C29105" w14:textId="77777777" w:rsidR="00B201D3" w:rsidRPr="006D4FBA" w:rsidRDefault="009855E8">
            <w:pPr>
              <w:jc w:val="right"/>
              <w:rPr>
                <w:rFonts w:ascii="宋体" w:eastAsia="宋体" w:hAnsi="宋体"/>
              </w:rPr>
            </w:pPr>
            <w:r w:rsidRPr="006D4FBA">
              <w:rPr>
                <w:rFonts w:ascii="宋体" w:eastAsia="宋体" w:hAnsi="宋体" w:hint="eastAsia"/>
              </w:rPr>
              <w:t>76</w:t>
            </w:r>
          </w:p>
        </w:tc>
        <w:tc>
          <w:tcPr>
            <w:tcW w:w="1134" w:type="dxa"/>
            <w:tcBorders>
              <w:top w:val="single" w:sz="4" w:space="0" w:color="auto"/>
              <w:left w:val="single" w:sz="4" w:space="0" w:color="auto"/>
              <w:bottom w:val="single" w:sz="4" w:space="0" w:color="auto"/>
              <w:right w:val="single" w:sz="4" w:space="0" w:color="auto"/>
            </w:tcBorders>
            <w:vAlign w:val="center"/>
          </w:tcPr>
          <w:p w14:paraId="54423B7D" w14:textId="77777777" w:rsidR="00B201D3" w:rsidRPr="006D4FBA" w:rsidRDefault="009855E8">
            <w:pPr>
              <w:jc w:val="right"/>
              <w:rPr>
                <w:rFonts w:ascii="宋体" w:eastAsia="宋体" w:hAnsi="宋体"/>
              </w:rPr>
            </w:pPr>
            <w:r w:rsidRPr="006D4FBA">
              <w:rPr>
                <w:rFonts w:ascii="宋体" w:eastAsia="宋体" w:hAnsi="宋体" w:hint="eastAsia"/>
              </w:rPr>
              <w:t>44,351</w:t>
            </w:r>
          </w:p>
        </w:tc>
        <w:tc>
          <w:tcPr>
            <w:tcW w:w="1134" w:type="dxa"/>
            <w:tcBorders>
              <w:top w:val="single" w:sz="4" w:space="0" w:color="auto"/>
              <w:left w:val="single" w:sz="4" w:space="0" w:color="auto"/>
              <w:bottom w:val="single" w:sz="4" w:space="0" w:color="auto"/>
              <w:right w:val="single" w:sz="4" w:space="0" w:color="auto"/>
            </w:tcBorders>
            <w:vAlign w:val="center"/>
          </w:tcPr>
          <w:p w14:paraId="0BF11FFA" w14:textId="77777777" w:rsidR="00B201D3" w:rsidRPr="006D4FBA" w:rsidRDefault="009855E8">
            <w:pPr>
              <w:jc w:val="right"/>
              <w:rPr>
                <w:rFonts w:ascii="宋体" w:eastAsia="宋体" w:hAnsi="宋体"/>
              </w:rPr>
            </w:pPr>
            <w:r w:rsidRPr="006D4FBA">
              <w:rPr>
                <w:rFonts w:ascii="宋体" w:eastAsia="宋体" w:hAnsi="宋体" w:hint="eastAsia"/>
              </w:rPr>
              <w:t>16,599</w:t>
            </w:r>
          </w:p>
        </w:tc>
        <w:tc>
          <w:tcPr>
            <w:tcW w:w="1044" w:type="dxa"/>
            <w:tcBorders>
              <w:top w:val="single" w:sz="4" w:space="0" w:color="auto"/>
              <w:left w:val="single" w:sz="4" w:space="0" w:color="auto"/>
              <w:bottom w:val="single" w:sz="4" w:space="0" w:color="auto"/>
              <w:right w:val="single" w:sz="4" w:space="0" w:color="auto"/>
            </w:tcBorders>
            <w:vAlign w:val="center"/>
          </w:tcPr>
          <w:p w14:paraId="3C646D12" w14:textId="77777777" w:rsidR="00B201D3" w:rsidRPr="006D4FBA" w:rsidRDefault="009855E8">
            <w:pPr>
              <w:jc w:val="right"/>
              <w:rPr>
                <w:rFonts w:ascii="宋体" w:eastAsia="宋体" w:hAnsi="宋体"/>
              </w:rPr>
            </w:pPr>
            <w:r w:rsidRPr="006D4FBA">
              <w:rPr>
                <w:rFonts w:ascii="宋体" w:eastAsia="宋体" w:hAnsi="宋体" w:hint="eastAsia"/>
              </w:rPr>
              <w:t>41</w:t>
            </w:r>
          </w:p>
        </w:tc>
        <w:tc>
          <w:tcPr>
            <w:tcW w:w="992" w:type="dxa"/>
            <w:tcBorders>
              <w:top w:val="single" w:sz="4" w:space="0" w:color="auto"/>
              <w:left w:val="single" w:sz="4" w:space="0" w:color="auto"/>
              <w:bottom w:val="single" w:sz="4" w:space="0" w:color="auto"/>
              <w:right w:val="single" w:sz="4" w:space="0" w:color="auto"/>
            </w:tcBorders>
            <w:vAlign w:val="center"/>
          </w:tcPr>
          <w:p w14:paraId="73B92EAB" w14:textId="77777777" w:rsidR="00B201D3" w:rsidRPr="006D4FBA" w:rsidRDefault="009855E8">
            <w:pPr>
              <w:jc w:val="right"/>
              <w:rPr>
                <w:rFonts w:ascii="宋体" w:eastAsia="宋体" w:hAnsi="宋体"/>
              </w:rPr>
            </w:pPr>
            <w:r w:rsidRPr="006D4FBA">
              <w:rPr>
                <w:rFonts w:ascii="宋体" w:eastAsia="宋体" w:hAnsi="宋体" w:hint="eastAsia"/>
              </w:rPr>
              <w:t>62</w:t>
            </w:r>
          </w:p>
        </w:tc>
      </w:tr>
      <w:tr w:rsidR="00B201D3" w:rsidRPr="006D4FBA" w14:paraId="4B2959A9" w14:textId="77777777">
        <w:trPr>
          <w:trHeight w:val="312"/>
          <w:jc w:val="center"/>
        </w:trPr>
        <w:tc>
          <w:tcPr>
            <w:tcW w:w="1838" w:type="dxa"/>
            <w:tcBorders>
              <w:top w:val="single" w:sz="4" w:space="0" w:color="auto"/>
              <w:left w:val="single" w:sz="4" w:space="0" w:color="auto"/>
              <w:bottom w:val="single" w:sz="4" w:space="0" w:color="auto"/>
              <w:right w:val="single" w:sz="4" w:space="0" w:color="auto"/>
            </w:tcBorders>
          </w:tcPr>
          <w:p w14:paraId="1545CDA1" w14:textId="77777777" w:rsidR="00B201D3" w:rsidRPr="006D4FBA" w:rsidRDefault="009855E8">
            <w:pPr>
              <w:rPr>
                <w:rFonts w:ascii="宋体" w:eastAsia="宋体" w:hAnsi="宋体"/>
              </w:rPr>
            </w:pPr>
            <w:r w:rsidRPr="006D4FBA">
              <w:rPr>
                <w:rFonts w:ascii="宋体" w:eastAsia="宋体" w:hAnsi="宋体" w:hint="eastAsia"/>
              </w:rPr>
              <w:t>六、内蒙古矿业</w:t>
            </w:r>
          </w:p>
        </w:tc>
        <w:tc>
          <w:tcPr>
            <w:tcW w:w="1134" w:type="dxa"/>
            <w:tcBorders>
              <w:top w:val="single" w:sz="4" w:space="0" w:color="auto"/>
              <w:left w:val="nil"/>
              <w:bottom w:val="single" w:sz="4" w:space="0" w:color="auto"/>
              <w:right w:val="single" w:sz="4" w:space="0" w:color="auto"/>
            </w:tcBorders>
            <w:shd w:val="clear" w:color="auto" w:fill="auto"/>
            <w:vAlign w:val="center"/>
          </w:tcPr>
          <w:p w14:paraId="31EE5761" w14:textId="77777777" w:rsidR="00B201D3" w:rsidRPr="006D4FBA" w:rsidRDefault="009855E8">
            <w:pPr>
              <w:jc w:val="right"/>
              <w:rPr>
                <w:rFonts w:ascii="宋体" w:eastAsia="宋体" w:hAnsi="宋体"/>
              </w:rPr>
            </w:pPr>
            <w:r w:rsidRPr="006D4FBA">
              <w:rPr>
                <w:rFonts w:ascii="宋体" w:eastAsia="宋体" w:hAnsi="宋体" w:hint="eastAsia"/>
              </w:rPr>
              <w:t>185,856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F9AFF6E" w14:textId="77777777" w:rsidR="00B201D3" w:rsidRPr="006D4FBA" w:rsidRDefault="009855E8">
            <w:pPr>
              <w:jc w:val="right"/>
              <w:rPr>
                <w:rFonts w:ascii="宋体" w:eastAsia="宋体" w:hAnsi="宋体"/>
              </w:rPr>
            </w:pPr>
            <w:r w:rsidRPr="006D4FBA">
              <w:rPr>
                <w:rFonts w:ascii="宋体" w:eastAsia="宋体" w:hAnsi="宋体" w:hint="eastAsia"/>
              </w:rPr>
              <w:t>173,049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845D49D" w14:textId="77777777" w:rsidR="00B201D3" w:rsidRPr="006D4FBA" w:rsidRDefault="009855E8">
            <w:pPr>
              <w:jc w:val="right"/>
              <w:rPr>
                <w:rFonts w:ascii="宋体" w:eastAsia="宋体" w:hAnsi="宋体"/>
              </w:rPr>
            </w:pPr>
            <w:r w:rsidRPr="006D4FBA">
              <w:rPr>
                <w:rFonts w:ascii="宋体" w:eastAsia="宋体" w:hAnsi="宋体" w:hint="eastAsia"/>
              </w:rPr>
              <w:t>619</w:t>
            </w:r>
          </w:p>
        </w:tc>
        <w:tc>
          <w:tcPr>
            <w:tcW w:w="992" w:type="dxa"/>
            <w:tcBorders>
              <w:top w:val="single" w:sz="4" w:space="0" w:color="auto"/>
              <w:left w:val="single" w:sz="4" w:space="0" w:color="auto"/>
              <w:bottom w:val="single" w:sz="4" w:space="0" w:color="auto"/>
              <w:right w:val="nil"/>
            </w:tcBorders>
            <w:shd w:val="clear" w:color="auto" w:fill="auto"/>
            <w:vAlign w:val="center"/>
          </w:tcPr>
          <w:p w14:paraId="49FA409C" w14:textId="77777777" w:rsidR="00B201D3" w:rsidRPr="006D4FBA" w:rsidRDefault="009855E8">
            <w:pPr>
              <w:jc w:val="right"/>
              <w:rPr>
                <w:rFonts w:ascii="宋体" w:eastAsia="宋体" w:hAnsi="宋体"/>
              </w:rPr>
            </w:pPr>
            <w:r w:rsidRPr="006D4FBA">
              <w:rPr>
                <w:rFonts w:ascii="宋体" w:eastAsia="宋体" w:hAnsi="宋体" w:hint="eastAsia"/>
              </w:rPr>
              <w:t>582</w:t>
            </w:r>
          </w:p>
        </w:tc>
        <w:tc>
          <w:tcPr>
            <w:tcW w:w="1134" w:type="dxa"/>
            <w:tcBorders>
              <w:top w:val="single" w:sz="4" w:space="0" w:color="auto"/>
              <w:left w:val="single" w:sz="4" w:space="0" w:color="auto"/>
              <w:bottom w:val="single" w:sz="4" w:space="0" w:color="auto"/>
              <w:right w:val="single" w:sz="4" w:space="0" w:color="auto"/>
            </w:tcBorders>
            <w:vAlign w:val="center"/>
          </w:tcPr>
          <w:p w14:paraId="208D75A5" w14:textId="77777777" w:rsidR="00B201D3" w:rsidRPr="006D4FBA" w:rsidRDefault="009855E8">
            <w:pPr>
              <w:jc w:val="right"/>
              <w:rPr>
                <w:rFonts w:ascii="宋体" w:eastAsia="宋体" w:hAnsi="宋体"/>
              </w:rPr>
            </w:pPr>
            <w:r w:rsidRPr="006D4FBA">
              <w:rPr>
                <w:rFonts w:ascii="宋体" w:eastAsia="宋体" w:hAnsi="宋体" w:hint="eastAsia"/>
              </w:rPr>
              <w:t>158,576</w:t>
            </w:r>
          </w:p>
        </w:tc>
        <w:tc>
          <w:tcPr>
            <w:tcW w:w="1134" w:type="dxa"/>
            <w:tcBorders>
              <w:top w:val="single" w:sz="4" w:space="0" w:color="auto"/>
              <w:left w:val="single" w:sz="4" w:space="0" w:color="auto"/>
              <w:bottom w:val="single" w:sz="4" w:space="0" w:color="auto"/>
              <w:right w:val="single" w:sz="4" w:space="0" w:color="auto"/>
            </w:tcBorders>
            <w:vAlign w:val="center"/>
          </w:tcPr>
          <w:p w14:paraId="6DE6EDAA" w14:textId="77777777" w:rsidR="00B201D3" w:rsidRPr="006D4FBA" w:rsidRDefault="009855E8">
            <w:pPr>
              <w:jc w:val="right"/>
              <w:rPr>
                <w:rFonts w:ascii="宋体" w:eastAsia="宋体" w:hAnsi="宋体"/>
              </w:rPr>
            </w:pPr>
            <w:r w:rsidRPr="006D4FBA">
              <w:rPr>
                <w:rFonts w:ascii="宋体" w:eastAsia="宋体" w:hAnsi="宋体" w:hint="eastAsia"/>
              </w:rPr>
              <w:t>147,000</w:t>
            </w:r>
          </w:p>
        </w:tc>
        <w:tc>
          <w:tcPr>
            <w:tcW w:w="1044" w:type="dxa"/>
            <w:tcBorders>
              <w:top w:val="single" w:sz="4" w:space="0" w:color="auto"/>
              <w:left w:val="single" w:sz="4" w:space="0" w:color="auto"/>
              <w:bottom w:val="single" w:sz="4" w:space="0" w:color="auto"/>
              <w:right w:val="single" w:sz="4" w:space="0" w:color="auto"/>
            </w:tcBorders>
            <w:vAlign w:val="center"/>
          </w:tcPr>
          <w:p w14:paraId="4F3891D6" w14:textId="77777777" w:rsidR="00B201D3" w:rsidRPr="006D4FBA" w:rsidRDefault="009855E8">
            <w:pPr>
              <w:jc w:val="right"/>
              <w:rPr>
                <w:rFonts w:ascii="宋体" w:eastAsia="宋体" w:hAnsi="宋体"/>
              </w:rPr>
            </w:pPr>
            <w:r w:rsidRPr="006D4FBA">
              <w:rPr>
                <w:rFonts w:ascii="宋体" w:eastAsia="宋体" w:hAnsi="宋体" w:hint="eastAsia"/>
              </w:rPr>
              <w:t>584</w:t>
            </w:r>
          </w:p>
        </w:tc>
        <w:tc>
          <w:tcPr>
            <w:tcW w:w="992" w:type="dxa"/>
            <w:tcBorders>
              <w:top w:val="single" w:sz="4" w:space="0" w:color="auto"/>
              <w:left w:val="single" w:sz="4" w:space="0" w:color="auto"/>
              <w:bottom w:val="single" w:sz="4" w:space="0" w:color="auto"/>
              <w:right w:val="single" w:sz="4" w:space="0" w:color="auto"/>
            </w:tcBorders>
            <w:vAlign w:val="center"/>
          </w:tcPr>
          <w:p w14:paraId="483F9AFB" w14:textId="77777777" w:rsidR="00B201D3" w:rsidRPr="006D4FBA" w:rsidRDefault="009855E8">
            <w:pPr>
              <w:jc w:val="right"/>
              <w:rPr>
                <w:rFonts w:ascii="宋体" w:eastAsia="宋体" w:hAnsi="宋体"/>
              </w:rPr>
            </w:pPr>
            <w:r w:rsidRPr="006D4FBA">
              <w:rPr>
                <w:rFonts w:ascii="宋体" w:eastAsia="宋体" w:hAnsi="宋体" w:hint="eastAsia"/>
              </w:rPr>
              <w:t>541</w:t>
            </w:r>
          </w:p>
        </w:tc>
      </w:tr>
      <w:tr w:rsidR="00B201D3" w:rsidRPr="006D4FBA" w14:paraId="2F0833EE" w14:textId="77777777">
        <w:trPr>
          <w:trHeight w:val="312"/>
          <w:jc w:val="center"/>
        </w:trPr>
        <w:tc>
          <w:tcPr>
            <w:tcW w:w="1838" w:type="dxa"/>
            <w:tcBorders>
              <w:top w:val="single" w:sz="4" w:space="0" w:color="auto"/>
              <w:left w:val="single" w:sz="4" w:space="0" w:color="auto"/>
              <w:bottom w:val="single" w:sz="4" w:space="0" w:color="auto"/>
              <w:right w:val="single" w:sz="4" w:space="0" w:color="auto"/>
            </w:tcBorders>
            <w:vAlign w:val="center"/>
          </w:tcPr>
          <w:p w14:paraId="0C61975E" w14:textId="77777777" w:rsidR="00B201D3" w:rsidRPr="006D4FBA" w:rsidRDefault="009855E8">
            <w:pPr>
              <w:jc w:val="center"/>
              <w:rPr>
                <w:rFonts w:ascii="宋体" w:eastAsia="宋体" w:hAnsi="宋体"/>
              </w:rPr>
            </w:pPr>
            <w:r w:rsidRPr="006D4FBA">
              <w:rPr>
                <w:rFonts w:ascii="宋体" w:eastAsia="宋体" w:hAnsi="宋体" w:hint="eastAsia"/>
              </w:rPr>
              <w:t>合计</w:t>
            </w:r>
          </w:p>
        </w:tc>
        <w:tc>
          <w:tcPr>
            <w:tcW w:w="1134" w:type="dxa"/>
            <w:tcBorders>
              <w:top w:val="single" w:sz="4" w:space="0" w:color="auto"/>
              <w:left w:val="nil"/>
              <w:bottom w:val="single" w:sz="4" w:space="0" w:color="auto"/>
              <w:right w:val="single" w:sz="4" w:space="0" w:color="auto"/>
            </w:tcBorders>
            <w:shd w:val="clear" w:color="auto" w:fill="auto"/>
            <w:vAlign w:val="center"/>
          </w:tcPr>
          <w:p w14:paraId="16F8A500" w14:textId="77777777" w:rsidR="00B201D3" w:rsidRPr="006D4FBA" w:rsidRDefault="009855E8">
            <w:pPr>
              <w:jc w:val="right"/>
              <w:rPr>
                <w:rFonts w:ascii="宋体" w:eastAsia="宋体" w:hAnsi="宋体"/>
              </w:rPr>
            </w:pPr>
            <w:r w:rsidRPr="006D4FBA">
              <w:rPr>
                <w:rFonts w:ascii="宋体" w:eastAsia="宋体" w:hAnsi="宋体" w:hint="eastAsia"/>
              </w:rPr>
              <w:t>426,017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BDEBF26" w14:textId="77777777" w:rsidR="00B201D3" w:rsidRPr="006D4FBA" w:rsidRDefault="009855E8">
            <w:pPr>
              <w:jc w:val="right"/>
              <w:rPr>
                <w:rFonts w:ascii="宋体" w:eastAsia="宋体" w:hAnsi="宋体"/>
              </w:rPr>
            </w:pPr>
            <w:r w:rsidRPr="006D4FBA">
              <w:rPr>
                <w:rFonts w:ascii="宋体" w:eastAsia="宋体" w:hAnsi="宋体" w:hint="eastAsia"/>
              </w:rPr>
              <w:t>353,872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B57FFF5" w14:textId="77777777" w:rsidR="00B201D3" w:rsidRPr="006D4FBA" w:rsidRDefault="009855E8">
            <w:pPr>
              <w:jc w:val="right"/>
              <w:rPr>
                <w:rFonts w:ascii="宋体" w:eastAsia="宋体" w:hAnsi="宋体"/>
              </w:rPr>
            </w:pPr>
            <w:r w:rsidRPr="006D4FBA">
              <w:rPr>
                <w:rFonts w:ascii="宋体" w:eastAsia="宋体" w:hAnsi="宋体" w:hint="eastAsia"/>
              </w:rPr>
              <w:t>1,299</w:t>
            </w:r>
          </w:p>
        </w:tc>
        <w:tc>
          <w:tcPr>
            <w:tcW w:w="992" w:type="dxa"/>
            <w:tcBorders>
              <w:top w:val="single" w:sz="4" w:space="0" w:color="auto"/>
              <w:left w:val="single" w:sz="4" w:space="0" w:color="auto"/>
              <w:bottom w:val="single" w:sz="4" w:space="0" w:color="auto"/>
              <w:right w:val="nil"/>
            </w:tcBorders>
            <w:shd w:val="clear" w:color="auto" w:fill="auto"/>
            <w:vAlign w:val="center"/>
          </w:tcPr>
          <w:p w14:paraId="4A0303BD" w14:textId="77777777" w:rsidR="00B201D3" w:rsidRPr="006D4FBA" w:rsidRDefault="009855E8">
            <w:pPr>
              <w:jc w:val="right"/>
              <w:rPr>
                <w:rFonts w:ascii="宋体" w:eastAsia="宋体" w:hAnsi="宋体"/>
              </w:rPr>
            </w:pPr>
            <w:r w:rsidRPr="006D4FBA">
              <w:rPr>
                <w:rFonts w:ascii="宋体" w:eastAsia="宋体" w:hAnsi="宋体" w:hint="eastAsia"/>
              </w:rPr>
              <w:t>1,173</w:t>
            </w:r>
          </w:p>
        </w:tc>
        <w:tc>
          <w:tcPr>
            <w:tcW w:w="1134" w:type="dxa"/>
            <w:tcBorders>
              <w:top w:val="single" w:sz="4" w:space="0" w:color="auto"/>
              <w:left w:val="single" w:sz="4" w:space="0" w:color="auto"/>
              <w:bottom w:val="single" w:sz="4" w:space="0" w:color="auto"/>
              <w:right w:val="single" w:sz="4" w:space="0" w:color="auto"/>
            </w:tcBorders>
            <w:vAlign w:val="center"/>
          </w:tcPr>
          <w:p w14:paraId="70B34A2A" w14:textId="77777777" w:rsidR="00B201D3" w:rsidRPr="006D4FBA" w:rsidRDefault="009855E8">
            <w:pPr>
              <w:jc w:val="right"/>
              <w:rPr>
                <w:rFonts w:ascii="宋体" w:eastAsia="宋体" w:hAnsi="宋体"/>
              </w:rPr>
            </w:pPr>
            <w:r w:rsidRPr="006D4FBA">
              <w:rPr>
                <w:rFonts w:ascii="宋体" w:eastAsia="宋体" w:hAnsi="宋体" w:hint="eastAsia"/>
              </w:rPr>
              <w:t>382,644</w:t>
            </w:r>
          </w:p>
        </w:tc>
        <w:tc>
          <w:tcPr>
            <w:tcW w:w="1134" w:type="dxa"/>
            <w:tcBorders>
              <w:top w:val="single" w:sz="4" w:space="0" w:color="auto"/>
              <w:left w:val="single" w:sz="4" w:space="0" w:color="auto"/>
              <w:bottom w:val="single" w:sz="4" w:space="0" w:color="auto"/>
              <w:right w:val="single" w:sz="4" w:space="0" w:color="auto"/>
            </w:tcBorders>
            <w:vAlign w:val="center"/>
          </w:tcPr>
          <w:p w14:paraId="29312BAA" w14:textId="77777777" w:rsidR="00B201D3" w:rsidRPr="006D4FBA" w:rsidRDefault="009855E8">
            <w:pPr>
              <w:jc w:val="right"/>
              <w:rPr>
                <w:rFonts w:ascii="宋体" w:eastAsia="宋体" w:hAnsi="宋体"/>
              </w:rPr>
            </w:pPr>
            <w:r w:rsidRPr="006D4FBA">
              <w:rPr>
                <w:rFonts w:ascii="宋体" w:eastAsia="宋体" w:hAnsi="宋体" w:hint="eastAsia"/>
              </w:rPr>
              <w:t>322,604</w:t>
            </w:r>
          </w:p>
        </w:tc>
        <w:tc>
          <w:tcPr>
            <w:tcW w:w="1044" w:type="dxa"/>
            <w:tcBorders>
              <w:top w:val="single" w:sz="4" w:space="0" w:color="auto"/>
              <w:left w:val="single" w:sz="4" w:space="0" w:color="auto"/>
              <w:bottom w:val="single" w:sz="4" w:space="0" w:color="auto"/>
              <w:right w:val="single" w:sz="4" w:space="0" w:color="auto"/>
            </w:tcBorders>
            <w:vAlign w:val="center"/>
          </w:tcPr>
          <w:p w14:paraId="5E64DCB7" w14:textId="77777777" w:rsidR="00B201D3" w:rsidRPr="006D4FBA" w:rsidRDefault="009855E8">
            <w:pPr>
              <w:jc w:val="right"/>
              <w:rPr>
                <w:rFonts w:ascii="宋体" w:eastAsia="宋体" w:hAnsi="宋体"/>
              </w:rPr>
            </w:pPr>
            <w:r w:rsidRPr="006D4FBA">
              <w:rPr>
                <w:rFonts w:ascii="宋体" w:eastAsia="宋体" w:hAnsi="宋体" w:hint="eastAsia"/>
              </w:rPr>
              <w:t>1,293</w:t>
            </w:r>
          </w:p>
        </w:tc>
        <w:tc>
          <w:tcPr>
            <w:tcW w:w="992" w:type="dxa"/>
            <w:tcBorders>
              <w:top w:val="single" w:sz="4" w:space="0" w:color="auto"/>
              <w:left w:val="single" w:sz="4" w:space="0" w:color="auto"/>
              <w:bottom w:val="single" w:sz="4" w:space="0" w:color="auto"/>
              <w:right w:val="single" w:sz="4" w:space="0" w:color="auto"/>
            </w:tcBorders>
            <w:vAlign w:val="center"/>
          </w:tcPr>
          <w:p w14:paraId="5E744F04" w14:textId="77777777" w:rsidR="00B201D3" w:rsidRPr="006D4FBA" w:rsidRDefault="009855E8">
            <w:pPr>
              <w:jc w:val="right"/>
              <w:rPr>
                <w:rFonts w:ascii="宋体" w:eastAsia="宋体" w:hAnsi="宋体"/>
              </w:rPr>
            </w:pPr>
            <w:r w:rsidRPr="006D4FBA">
              <w:rPr>
                <w:rFonts w:ascii="宋体" w:eastAsia="宋体" w:hAnsi="宋体" w:hint="eastAsia"/>
              </w:rPr>
              <w:t>1,079</w:t>
            </w:r>
          </w:p>
        </w:tc>
      </w:tr>
    </w:tbl>
    <w:p w14:paraId="68BD0561" w14:textId="77777777" w:rsidR="00B201D3" w:rsidRPr="006D4FBA" w:rsidRDefault="009855E8">
      <w:pPr>
        <w:pStyle w:val="3903"/>
        <w:ind w:firstLineChars="200" w:firstLine="420"/>
        <w:jc w:val="both"/>
      </w:pPr>
      <w:bookmarkStart w:id="42" w:name="_Hlk142472061"/>
      <w:r w:rsidRPr="006D4FBA">
        <w:rPr>
          <w:rFonts w:hint="eastAsia"/>
        </w:rPr>
        <w:t>注：</w:t>
      </w:r>
    </w:p>
    <w:p w14:paraId="368444DD" w14:textId="77777777" w:rsidR="00B201D3" w:rsidRPr="006D4FBA" w:rsidRDefault="009855E8">
      <w:pPr>
        <w:pStyle w:val="3903"/>
        <w:ind w:firstLineChars="200" w:firstLine="420"/>
        <w:jc w:val="both"/>
      </w:pPr>
      <w:r w:rsidRPr="006D4FBA">
        <w:rPr>
          <w:rFonts w:hint="eastAsia"/>
        </w:rPr>
        <w:t>①鲁南化工电力业务销售成本同比增加，主要是由于：</w:t>
      </w:r>
      <w:bookmarkStart w:id="43" w:name="_Hlk142642188"/>
      <w:r w:rsidRPr="006D4FBA">
        <w:rPr>
          <w:rFonts w:hint="eastAsia"/>
        </w:rPr>
        <w:t>一台新发电机组投入运营，售电量同比增加。</w:t>
      </w:r>
    </w:p>
    <w:bookmarkEnd w:id="43"/>
    <w:p w14:paraId="0B5297F9" w14:textId="77777777" w:rsidR="00B201D3" w:rsidRDefault="009855E8">
      <w:pPr>
        <w:pStyle w:val="3903"/>
        <w:ind w:firstLineChars="200" w:firstLine="420"/>
        <w:jc w:val="both"/>
      </w:pPr>
      <w:r w:rsidRPr="006D4FBA">
        <w:rPr>
          <w:rFonts w:hint="eastAsia"/>
        </w:rPr>
        <w:t>②未来能源电力业务销售收入同比增加，主要</w:t>
      </w:r>
      <w:r>
        <w:rPr>
          <w:rFonts w:hint="eastAsia"/>
        </w:rPr>
        <w:t>是由于：所属电厂于上年同期进行系统检修。</w:t>
      </w:r>
    </w:p>
    <w:bookmarkEnd w:id="41"/>
    <w:bookmarkEnd w:id="42"/>
    <w:p w14:paraId="7A9CDC15" w14:textId="77777777" w:rsidR="00B201D3" w:rsidRDefault="00B201D3">
      <w:pPr>
        <w:pStyle w:val="3903"/>
      </w:pPr>
    </w:p>
    <w:p w14:paraId="6EB40D68" w14:textId="77777777" w:rsidR="00B201D3" w:rsidRDefault="009855E8">
      <w:pPr>
        <w:pStyle w:val="3"/>
        <w:numPr>
          <w:ilvl w:val="0"/>
          <w:numId w:val="7"/>
        </w:numPr>
        <w:rPr>
          <w:rFonts w:ascii="宋体" w:hAnsi="宋体"/>
        </w:rPr>
      </w:pPr>
      <w:bookmarkStart w:id="44" w:name="_Toc110605795"/>
      <w:r>
        <w:rPr>
          <w:rFonts w:ascii="宋体" w:hAnsi="宋体" w:hint="eastAsia"/>
        </w:rPr>
        <w:t>主营业务分析</w:t>
      </w:r>
      <w:bookmarkEnd w:id="44"/>
    </w:p>
    <w:p w14:paraId="0C7351AF" w14:textId="77777777" w:rsidR="00B201D3" w:rsidRDefault="009855E8">
      <w:pPr>
        <w:numPr>
          <w:ilvl w:val="0"/>
          <w:numId w:val="10"/>
        </w:numPr>
      </w:pPr>
      <w:bookmarkStart w:id="45" w:name="_Toc342565896"/>
      <w:bookmarkStart w:id="46" w:name="_Toc342559739"/>
      <w:r>
        <w:rPr>
          <w:rFonts w:hint="eastAsia"/>
        </w:rPr>
        <w:t>财务报表相关科目变动分析表</w:t>
      </w:r>
      <w:bookmarkEnd w:id="45"/>
      <w:bookmarkEnd w:id="46"/>
    </w:p>
    <w:bookmarkStart w:id="47" w:name="_Hlk10208083" w:displacedByCustomXml="next"/>
    <w:sdt>
      <w:sdtPr>
        <w:rPr>
          <w:rFonts w:ascii="宋体" w:hAnsi="宋体" w:hint="eastAsia"/>
        </w:rPr>
        <w:alias w:val="模块:财务报表相关科目变动分析表"/>
        <w:tag w:val="_GBC_281bf95299804381a41f7dd82e2c19f3"/>
        <w:id w:val="-1584055627"/>
        <w:lock w:val="sdtLocked"/>
        <w:placeholder>
          <w:docPart w:val="GBC22222222222222222222222222222"/>
        </w:placeholder>
      </w:sdtPr>
      <w:sdtEndPr/>
      <w:sdtContent>
        <w:p w14:paraId="3F1166A3" w14:textId="01C76A15" w:rsidR="00B201D3" w:rsidRDefault="009855E8">
          <w:pPr>
            <w:pStyle w:val="aff2"/>
            <w:ind w:left="360" w:firstLineChars="0" w:firstLine="0"/>
            <w:jc w:val="right"/>
            <w:rPr>
              <w:rFonts w:ascii="宋体" w:hAnsi="宋体"/>
            </w:rPr>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ece1a77905b94e6db0c76206578fe2db"/>
              <w:id w:val="137751599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F46283">
                <w:rPr>
                  <w:rFonts w:ascii="宋体" w:hAnsi="宋体"/>
                  <w:szCs w:val="21"/>
                </w:rPr>
                <w:t>百万元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6c86f79f9e2349b09f37ad908cd43f73"/>
              <w:id w:val="131800529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46283">
                <w:rPr>
                  <w:rFonts w:ascii="宋体" w:hAnsi="宋体"/>
                  <w:szCs w:val="21"/>
                </w:rPr>
                <w:t>人民币</w:t>
              </w:r>
            </w:sdtContent>
          </w:sdt>
        </w:p>
        <w:tbl>
          <w:tblPr>
            <w:tblStyle w:val="af9"/>
            <w:tblW w:w="4994" w:type="pct"/>
            <w:tblLook w:val="04A0" w:firstRow="1" w:lastRow="0" w:firstColumn="1" w:lastColumn="0" w:noHBand="0" w:noVBand="1"/>
          </w:tblPr>
          <w:tblGrid>
            <w:gridCol w:w="3008"/>
            <w:gridCol w:w="2073"/>
            <w:gridCol w:w="1935"/>
            <w:gridCol w:w="1796"/>
          </w:tblGrid>
          <w:tr w:rsidR="00B201D3" w14:paraId="037FC753" w14:textId="77777777">
            <w:bookmarkStart w:id="48" w:name="_Hlk10208057" w:displacedByCustomXml="next"/>
            <w:sdt>
              <w:sdtPr>
                <w:rPr>
                  <w:rFonts w:ascii="宋体" w:hAnsi="宋体"/>
                </w:rPr>
                <w:tag w:val="_PLD_2e2e0d1bb8d44a278061305ea6808979"/>
                <w:id w:val="1644167220"/>
              </w:sdtPr>
              <w:sdtEndPr/>
              <w:sdtContent>
                <w:tc>
                  <w:tcPr>
                    <w:tcW w:w="1707" w:type="pct"/>
                  </w:tcPr>
                  <w:p w14:paraId="199B60AC" w14:textId="77777777" w:rsidR="00B201D3" w:rsidRDefault="009855E8">
                    <w:pPr>
                      <w:pStyle w:val="aff2"/>
                      <w:ind w:firstLineChars="0" w:firstLine="0"/>
                      <w:rPr>
                        <w:rFonts w:ascii="宋体" w:hAnsi="宋体"/>
                        <w:szCs w:val="21"/>
                      </w:rPr>
                    </w:pPr>
                    <w:r>
                      <w:rPr>
                        <w:rFonts w:ascii="宋体" w:hAnsi="宋体" w:hint="eastAsia"/>
                        <w:szCs w:val="21"/>
                      </w:rPr>
                      <w:t>科目</w:t>
                    </w:r>
                  </w:p>
                </w:tc>
              </w:sdtContent>
            </w:sdt>
            <w:sdt>
              <w:sdtPr>
                <w:rPr>
                  <w:rFonts w:ascii="宋体" w:hAnsi="宋体"/>
                </w:rPr>
                <w:tag w:val="_PLD_37391874ab08430b841a55f53c4d20e6"/>
                <w:id w:val="299732298"/>
              </w:sdtPr>
              <w:sdtEndPr/>
              <w:sdtContent>
                <w:tc>
                  <w:tcPr>
                    <w:tcW w:w="1176" w:type="pct"/>
                    <w:vAlign w:val="center"/>
                  </w:tcPr>
                  <w:p w14:paraId="78D857B6" w14:textId="77777777" w:rsidR="00B201D3" w:rsidRDefault="009855E8">
                    <w:pPr>
                      <w:pStyle w:val="aff2"/>
                      <w:ind w:firstLineChars="0" w:firstLine="0"/>
                      <w:jc w:val="center"/>
                      <w:rPr>
                        <w:rFonts w:ascii="宋体" w:hAnsi="宋体"/>
                        <w:szCs w:val="21"/>
                      </w:rPr>
                    </w:pPr>
                    <w:r>
                      <w:rPr>
                        <w:rFonts w:ascii="宋体" w:hAnsi="宋体" w:hint="eastAsia"/>
                        <w:szCs w:val="21"/>
                      </w:rPr>
                      <w:t>本期数</w:t>
                    </w:r>
                  </w:p>
                </w:tc>
              </w:sdtContent>
            </w:sdt>
            <w:sdt>
              <w:sdtPr>
                <w:rPr>
                  <w:rFonts w:ascii="宋体" w:hAnsi="宋体"/>
                </w:rPr>
                <w:tag w:val="_PLD_d061bf6d7e824e93a5540d2e36feb15d"/>
                <w:id w:val="-1328660343"/>
              </w:sdtPr>
              <w:sdtEndPr/>
              <w:sdtContent>
                <w:tc>
                  <w:tcPr>
                    <w:tcW w:w="1098" w:type="pct"/>
                    <w:vAlign w:val="center"/>
                  </w:tcPr>
                  <w:p w14:paraId="1EA9C7EC" w14:textId="77777777" w:rsidR="00B201D3" w:rsidRDefault="009855E8">
                    <w:pPr>
                      <w:pStyle w:val="aff2"/>
                      <w:ind w:firstLineChars="0" w:firstLine="0"/>
                      <w:jc w:val="center"/>
                      <w:rPr>
                        <w:rFonts w:ascii="宋体" w:hAnsi="宋体"/>
                        <w:szCs w:val="21"/>
                      </w:rPr>
                    </w:pPr>
                    <w:r>
                      <w:rPr>
                        <w:rFonts w:ascii="宋体" w:hAnsi="宋体" w:hint="eastAsia"/>
                        <w:szCs w:val="21"/>
                      </w:rPr>
                      <w:t>上年同期数</w:t>
                    </w:r>
                  </w:p>
                </w:tc>
              </w:sdtContent>
            </w:sdt>
            <w:sdt>
              <w:sdtPr>
                <w:rPr>
                  <w:rFonts w:ascii="宋体" w:hAnsi="宋体"/>
                </w:rPr>
                <w:tag w:val="_PLD_1792b71106c34c75af22292391c96e49"/>
                <w:id w:val="585121837"/>
              </w:sdtPr>
              <w:sdtEndPr/>
              <w:sdtContent>
                <w:tc>
                  <w:tcPr>
                    <w:tcW w:w="1019" w:type="pct"/>
                    <w:vAlign w:val="center"/>
                  </w:tcPr>
                  <w:p w14:paraId="7267644D" w14:textId="77777777" w:rsidR="00B201D3" w:rsidRDefault="009855E8">
                    <w:pPr>
                      <w:pStyle w:val="aff2"/>
                      <w:ind w:firstLineChars="0" w:firstLine="0"/>
                      <w:jc w:val="center"/>
                      <w:rPr>
                        <w:rFonts w:ascii="宋体" w:hAnsi="宋体"/>
                        <w:szCs w:val="21"/>
                      </w:rPr>
                    </w:pPr>
                    <w:r>
                      <w:rPr>
                        <w:rFonts w:ascii="宋体" w:hAnsi="宋体" w:hint="eastAsia"/>
                        <w:szCs w:val="21"/>
                      </w:rPr>
                      <w:t>变动比例（%）</w:t>
                    </w:r>
                  </w:p>
                </w:tc>
              </w:sdtContent>
            </w:sdt>
          </w:tr>
          <w:tr w:rsidR="00B201D3" w14:paraId="3CE7A8F0" w14:textId="77777777">
            <w:tc>
              <w:tcPr>
                <w:tcW w:w="1707" w:type="pct"/>
              </w:tcPr>
              <w:p w14:paraId="580E7D9D" w14:textId="77777777" w:rsidR="00B201D3" w:rsidRDefault="009855E8">
                <w:pPr>
                  <w:pStyle w:val="aff2"/>
                  <w:ind w:firstLineChars="0" w:firstLine="0"/>
                  <w:rPr>
                    <w:rFonts w:ascii="宋体" w:hAnsi="宋体"/>
                    <w:szCs w:val="21"/>
                  </w:rPr>
                </w:pPr>
                <w:r>
                  <w:rPr>
                    <w:rFonts w:ascii="宋体" w:hAnsi="宋体" w:hint="eastAsia"/>
                    <w:szCs w:val="21"/>
                  </w:rPr>
                  <w:t>营业收入</w:t>
                </w:r>
              </w:p>
            </w:tc>
            <w:tc>
              <w:tcPr>
                <w:tcW w:w="1176" w:type="pct"/>
                <w:vAlign w:val="center"/>
              </w:tcPr>
              <w:p w14:paraId="3EF5CE4C" w14:textId="77777777" w:rsidR="00B201D3" w:rsidRDefault="009855E8">
                <w:pPr>
                  <w:pStyle w:val="aff2"/>
                  <w:ind w:firstLineChars="0" w:firstLine="0"/>
                  <w:jc w:val="right"/>
                  <w:rPr>
                    <w:rFonts w:ascii="宋体" w:hAnsi="宋体"/>
                    <w:szCs w:val="21"/>
                  </w:rPr>
                </w:pPr>
                <w:r>
                  <w:rPr>
                    <w:rFonts w:ascii="宋体" w:hAnsi="宋体"/>
                  </w:rPr>
                  <w:t xml:space="preserve">84,401 </w:t>
                </w:r>
              </w:p>
            </w:tc>
            <w:tc>
              <w:tcPr>
                <w:tcW w:w="1098" w:type="pct"/>
                <w:vAlign w:val="center"/>
              </w:tcPr>
              <w:p w14:paraId="76F8006A" w14:textId="77777777" w:rsidR="00B201D3" w:rsidRDefault="009855E8">
                <w:pPr>
                  <w:pStyle w:val="aff2"/>
                  <w:ind w:firstLineChars="0" w:firstLine="0"/>
                  <w:jc w:val="right"/>
                  <w:rPr>
                    <w:rFonts w:ascii="宋体" w:hAnsi="宋体"/>
                    <w:szCs w:val="21"/>
                  </w:rPr>
                </w:pPr>
                <w:r>
                  <w:rPr>
                    <w:rFonts w:ascii="宋体" w:hAnsi="宋体" w:hint="eastAsia"/>
                    <w:szCs w:val="21"/>
                  </w:rPr>
                  <w:t>100,285</w:t>
                </w:r>
              </w:p>
            </w:tc>
            <w:tc>
              <w:tcPr>
                <w:tcW w:w="1019" w:type="pct"/>
                <w:vAlign w:val="center"/>
              </w:tcPr>
              <w:p w14:paraId="2334D54D" w14:textId="77777777" w:rsidR="00B201D3" w:rsidRDefault="009855E8">
                <w:pPr>
                  <w:pStyle w:val="aff2"/>
                  <w:ind w:firstLineChars="0" w:firstLine="0"/>
                  <w:jc w:val="right"/>
                  <w:rPr>
                    <w:rFonts w:ascii="宋体" w:hAnsi="宋体"/>
                    <w:szCs w:val="21"/>
                  </w:rPr>
                </w:pPr>
                <w:r>
                  <w:rPr>
                    <w:rFonts w:ascii="宋体" w:hAnsi="宋体"/>
                    <w:szCs w:val="21"/>
                  </w:rPr>
                  <w:t xml:space="preserve">-15.84 </w:t>
                </w:r>
              </w:p>
            </w:tc>
          </w:tr>
          <w:tr w:rsidR="00B201D3" w14:paraId="553CB05F" w14:textId="77777777">
            <w:tc>
              <w:tcPr>
                <w:tcW w:w="1707" w:type="pct"/>
              </w:tcPr>
              <w:p w14:paraId="1E48E159" w14:textId="77777777" w:rsidR="00B201D3" w:rsidRDefault="009855E8">
                <w:pPr>
                  <w:pStyle w:val="aff2"/>
                  <w:ind w:firstLineChars="0" w:firstLine="0"/>
                  <w:rPr>
                    <w:rFonts w:ascii="宋体" w:hAnsi="宋体"/>
                    <w:szCs w:val="21"/>
                  </w:rPr>
                </w:pPr>
                <w:r>
                  <w:rPr>
                    <w:rFonts w:ascii="宋体" w:hAnsi="宋体"/>
                    <w:szCs w:val="21"/>
                  </w:rPr>
                  <w:t>营业成本</w:t>
                </w:r>
              </w:p>
            </w:tc>
            <w:tc>
              <w:tcPr>
                <w:tcW w:w="1176" w:type="pct"/>
                <w:vAlign w:val="center"/>
              </w:tcPr>
              <w:p w14:paraId="6CF9C4DB" w14:textId="77777777" w:rsidR="00B201D3" w:rsidRDefault="009855E8">
                <w:pPr>
                  <w:pStyle w:val="aff2"/>
                  <w:ind w:firstLineChars="0" w:firstLine="0"/>
                  <w:jc w:val="right"/>
                  <w:rPr>
                    <w:rFonts w:ascii="宋体" w:hAnsi="宋体"/>
                    <w:szCs w:val="21"/>
                  </w:rPr>
                </w:pPr>
                <w:r>
                  <w:rPr>
                    <w:rFonts w:ascii="宋体" w:hAnsi="宋体"/>
                  </w:rPr>
                  <w:t xml:space="preserve">58,063 </w:t>
                </w:r>
              </w:p>
            </w:tc>
            <w:tc>
              <w:tcPr>
                <w:tcW w:w="1098" w:type="pct"/>
                <w:vAlign w:val="center"/>
              </w:tcPr>
              <w:p w14:paraId="4502083C" w14:textId="77777777" w:rsidR="00B201D3" w:rsidRDefault="009855E8">
                <w:pPr>
                  <w:pStyle w:val="aff2"/>
                  <w:ind w:firstLineChars="0" w:firstLine="0"/>
                  <w:jc w:val="right"/>
                  <w:rPr>
                    <w:rFonts w:ascii="宋体" w:hAnsi="宋体"/>
                    <w:szCs w:val="21"/>
                  </w:rPr>
                </w:pPr>
                <w:r>
                  <w:rPr>
                    <w:rFonts w:ascii="宋体" w:hAnsi="宋体" w:hint="eastAsia"/>
                    <w:szCs w:val="21"/>
                  </w:rPr>
                  <w:t>60,870</w:t>
                </w:r>
              </w:p>
            </w:tc>
            <w:tc>
              <w:tcPr>
                <w:tcW w:w="1019" w:type="pct"/>
                <w:vAlign w:val="center"/>
              </w:tcPr>
              <w:p w14:paraId="7A02B73E" w14:textId="77777777" w:rsidR="00B201D3" w:rsidRDefault="009855E8">
                <w:pPr>
                  <w:pStyle w:val="aff2"/>
                  <w:ind w:firstLineChars="0" w:firstLine="0"/>
                  <w:jc w:val="right"/>
                  <w:rPr>
                    <w:rFonts w:ascii="宋体" w:hAnsi="宋体"/>
                    <w:szCs w:val="21"/>
                  </w:rPr>
                </w:pPr>
                <w:r>
                  <w:rPr>
                    <w:rFonts w:ascii="宋体" w:hAnsi="宋体"/>
                    <w:szCs w:val="21"/>
                  </w:rPr>
                  <w:t xml:space="preserve">-4.61 </w:t>
                </w:r>
              </w:p>
            </w:tc>
          </w:tr>
          <w:tr w:rsidR="00B201D3" w14:paraId="79A8CC99" w14:textId="77777777">
            <w:tc>
              <w:tcPr>
                <w:tcW w:w="1707" w:type="pct"/>
              </w:tcPr>
              <w:p w14:paraId="14470741" w14:textId="77777777" w:rsidR="00B201D3" w:rsidRDefault="009855E8">
                <w:pPr>
                  <w:pStyle w:val="aff2"/>
                  <w:ind w:firstLineChars="0" w:firstLine="0"/>
                  <w:rPr>
                    <w:rFonts w:ascii="宋体" w:hAnsi="宋体"/>
                    <w:szCs w:val="21"/>
                  </w:rPr>
                </w:pPr>
                <w:r>
                  <w:rPr>
                    <w:rFonts w:ascii="宋体" w:hAnsi="宋体"/>
                    <w:szCs w:val="21"/>
                  </w:rPr>
                  <w:t>销售费用</w:t>
                </w:r>
              </w:p>
            </w:tc>
            <w:tc>
              <w:tcPr>
                <w:tcW w:w="1176" w:type="pct"/>
                <w:vAlign w:val="center"/>
              </w:tcPr>
              <w:p w14:paraId="03EDFAD2" w14:textId="77777777" w:rsidR="00B201D3" w:rsidRDefault="009855E8">
                <w:pPr>
                  <w:pStyle w:val="aff2"/>
                  <w:ind w:firstLineChars="0" w:firstLine="0"/>
                  <w:jc w:val="right"/>
                  <w:rPr>
                    <w:rFonts w:ascii="宋体" w:hAnsi="宋体"/>
                    <w:szCs w:val="21"/>
                  </w:rPr>
                </w:pPr>
                <w:r>
                  <w:rPr>
                    <w:rFonts w:ascii="宋体" w:hAnsi="宋体"/>
                  </w:rPr>
                  <w:t xml:space="preserve">2,462 </w:t>
                </w:r>
              </w:p>
            </w:tc>
            <w:tc>
              <w:tcPr>
                <w:tcW w:w="1098" w:type="pct"/>
                <w:vAlign w:val="center"/>
              </w:tcPr>
              <w:p w14:paraId="5BBBF239" w14:textId="77777777" w:rsidR="00B201D3" w:rsidRDefault="009855E8">
                <w:pPr>
                  <w:pStyle w:val="aff2"/>
                  <w:ind w:firstLineChars="0" w:firstLine="0"/>
                  <w:jc w:val="right"/>
                  <w:rPr>
                    <w:rFonts w:ascii="宋体" w:hAnsi="宋体"/>
                    <w:szCs w:val="21"/>
                  </w:rPr>
                </w:pPr>
                <w:r>
                  <w:rPr>
                    <w:rFonts w:ascii="宋体" w:hAnsi="宋体" w:hint="eastAsia"/>
                    <w:szCs w:val="21"/>
                  </w:rPr>
                  <w:t>2,470</w:t>
                </w:r>
              </w:p>
            </w:tc>
            <w:tc>
              <w:tcPr>
                <w:tcW w:w="1019" w:type="pct"/>
                <w:vAlign w:val="center"/>
              </w:tcPr>
              <w:p w14:paraId="54486DCA" w14:textId="77777777" w:rsidR="00B201D3" w:rsidRDefault="009855E8">
                <w:pPr>
                  <w:pStyle w:val="aff2"/>
                  <w:ind w:firstLineChars="0" w:firstLine="0"/>
                  <w:jc w:val="right"/>
                  <w:rPr>
                    <w:rFonts w:ascii="宋体" w:hAnsi="宋体"/>
                    <w:szCs w:val="21"/>
                  </w:rPr>
                </w:pPr>
                <w:r>
                  <w:rPr>
                    <w:rFonts w:ascii="宋体" w:hAnsi="宋体"/>
                    <w:szCs w:val="21"/>
                  </w:rPr>
                  <w:t xml:space="preserve">-0.35 </w:t>
                </w:r>
              </w:p>
            </w:tc>
          </w:tr>
          <w:tr w:rsidR="00B201D3" w14:paraId="08D614BC" w14:textId="77777777">
            <w:tc>
              <w:tcPr>
                <w:tcW w:w="1707" w:type="pct"/>
              </w:tcPr>
              <w:p w14:paraId="5BBE1133" w14:textId="77777777" w:rsidR="00B201D3" w:rsidRDefault="009855E8">
                <w:pPr>
                  <w:pStyle w:val="aff2"/>
                  <w:ind w:firstLineChars="0" w:firstLine="0"/>
                  <w:rPr>
                    <w:rFonts w:ascii="宋体" w:hAnsi="宋体"/>
                    <w:szCs w:val="21"/>
                  </w:rPr>
                </w:pPr>
                <w:r>
                  <w:rPr>
                    <w:rFonts w:ascii="宋体" w:hAnsi="宋体"/>
                    <w:szCs w:val="21"/>
                  </w:rPr>
                  <w:t>管理费用</w:t>
                </w:r>
              </w:p>
            </w:tc>
            <w:tc>
              <w:tcPr>
                <w:tcW w:w="1176" w:type="pct"/>
                <w:vAlign w:val="center"/>
              </w:tcPr>
              <w:p w14:paraId="25A6C90A" w14:textId="77777777" w:rsidR="00B201D3" w:rsidRDefault="009855E8">
                <w:pPr>
                  <w:pStyle w:val="aff2"/>
                  <w:ind w:firstLineChars="0" w:firstLine="0"/>
                  <w:jc w:val="right"/>
                  <w:rPr>
                    <w:rFonts w:ascii="宋体" w:hAnsi="宋体"/>
                    <w:szCs w:val="21"/>
                  </w:rPr>
                </w:pPr>
                <w:r>
                  <w:rPr>
                    <w:rFonts w:ascii="宋体" w:hAnsi="宋体"/>
                  </w:rPr>
                  <w:t xml:space="preserve">2,897 </w:t>
                </w:r>
              </w:p>
            </w:tc>
            <w:tc>
              <w:tcPr>
                <w:tcW w:w="1098" w:type="pct"/>
                <w:vAlign w:val="center"/>
              </w:tcPr>
              <w:p w14:paraId="0A7B539C" w14:textId="77777777" w:rsidR="00B201D3" w:rsidRDefault="009855E8">
                <w:pPr>
                  <w:pStyle w:val="aff2"/>
                  <w:ind w:firstLineChars="0" w:firstLine="0"/>
                  <w:jc w:val="right"/>
                  <w:rPr>
                    <w:rFonts w:ascii="宋体" w:hAnsi="宋体"/>
                    <w:szCs w:val="21"/>
                  </w:rPr>
                </w:pPr>
                <w:r>
                  <w:rPr>
                    <w:rFonts w:ascii="宋体" w:hAnsi="宋体" w:hint="eastAsia"/>
                    <w:szCs w:val="21"/>
                  </w:rPr>
                  <w:t>2,891</w:t>
                </w:r>
              </w:p>
            </w:tc>
            <w:tc>
              <w:tcPr>
                <w:tcW w:w="1019" w:type="pct"/>
                <w:vAlign w:val="center"/>
              </w:tcPr>
              <w:p w14:paraId="38434C62" w14:textId="77777777" w:rsidR="00B201D3" w:rsidRDefault="009855E8">
                <w:pPr>
                  <w:pStyle w:val="aff2"/>
                  <w:ind w:firstLineChars="0" w:firstLine="0"/>
                  <w:jc w:val="right"/>
                  <w:rPr>
                    <w:rFonts w:ascii="宋体" w:hAnsi="宋体"/>
                    <w:szCs w:val="21"/>
                  </w:rPr>
                </w:pPr>
                <w:r>
                  <w:rPr>
                    <w:rFonts w:ascii="宋体" w:hAnsi="宋体"/>
                    <w:szCs w:val="21"/>
                  </w:rPr>
                  <w:t xml:space="preserve">0.18 </w:t>
                </w:r>
              </w:p>
            </w:tc>
          </w:tr>
          <w:tr w:rsidR="00B201D3" w14:paraId="61D8325A" w14:textId="77777777">
            <w:tc>
              <w:tcPr>
                <w:tcW w:w="1707" w:type="pct"/>
              </w:tcPr>
              <w:p w14:paraId="17E62E91" w14:textId="77777777" w:rsidR="00B201D3" w:rsidRDefault="009855E8">
                <w:pPr>
                  <w:pStyle w:val="aff2"/>
                  <w:ind w:firstLineChars="0" w:firstLine="0"/>
                  <w:rPr>
                    <w:rFonts w:ascii="宋体" w:hAnsi="宋体"/>
                    <w:szCs w:val="21"/>
                  </w:rPr>
                </w:pPr>
                <w:r>
                  <w:rPr>
                    <w:rFonts w:ascii="宋体" w:hAnsi="宋体"/>
                    <w:szCs w:val="21"/>
                  </w:rPr>
                  <w:t>财务费用</w:t>
                </w:r>
              </w:p>
            </w:tc>
            <w:tc>
              <w:tcPr>
                <w:tcW w:w="1176" w:type="pct"/>
                <w:vAlign w:val="center"/>
              </w:tcPr>
              <w:p w14:paraId="749521FA" w14:textId="77777777" w:rsidR="00B201D3" w:rsidRDefault="009855E8">
                <w:pPr>
                  <w:pStyle w:val="aff2"/>
                  <w:ind w:firstLineChars="0" w:firstLine="0"/>
                  <w:jc w:val="right"/>
                  <w:rPr>
                    <w:rFonts w:ascii="宋体" w:hAnsi="宋体"/>
                    <w:szCs w:val="21"/>
                  </w:rPr>
                </w:pPr>
                <w:r>
                  <w:rPr>
                    <w:rFonts w:ascii="宋体" w:hAnsi="宋体"/>
                  </w:rPr>
                  <w:t xml:space="preserve">1,250 </w:t>
                </w:r>
              </w:p>
            </w:tc>
            <w:tc>
              <w:tcPr>
                <w:tcW w:w="1098" w:type="pct"/>
                <w:vAlign w:val="center"/>
              </w:tcPr>
              <w:p w14:paraId="18456198" w14:textId="77777777" w:rsidR="00B201D3" w:rsidRDefault="009855E8">
                <w:pPr>
                  <w:pStyle w:val="aff2"/>
                  <w:ind w:firstLineChars="0" w:firstLine="0"/>
                  <w:jc w:val="right"/>
                  <w:rPr>
                    <w:rFonts w:ascii="宋体" w:hAnsi="宋体"/>
                    <w:szCs w:val="21"/>
                  </w:rPr>
                </w:pPr>
                <w:r>
                  <w:rPr>
                    <w:rFonts w:ascii="宋体" w:hAnsi="宋体" w:hint="eastAsia"/>
                    <w:szCs w:val="21"/>
                  </w:rPr>
                  <w:t>1,883</w:t>
                </w:r>
              </w:p>
            </w:tc>
            <w:tc>
              <w:tcPr>
                <w:tcW w:w="1019" w:type="pct"/>
                <w:vAlign w:val="center"/>
              </w:tcPr>
              <w:p w14:paraId="38BDBBBE" w14:textId="77777777" w:rsidR="00B201D3" w:rsidRDefault="009855E8">
                <w:pPr>
                  <w:pStyle w:val="aff2"/>
                  <w:ind w:firstLineChars="0" w:firstLine="0"/>
                  <w:jc w:val="right"/>
                  <w:rPr>
                    <w:rFonts w:ascii="宋体" w:hAnsi="宋体"/>
                    <w:szCs w:val="21"/>
                  </w:rPr>
                </w:pPr>
                <w:r>
                  <w:rPr>
                    <w:rFonts w:ascii="宋体" w:hAnsi="宋体"/>
                    <w:szCs w:val="21"/>
                  </w:rPr>
                  <w:t xml:space="preserve">-33.62 </w:t>
                </w:r>
              </w:p>
            </w:tc>
          </w:tr>
          <w:tr w:rsidR="00B201D3" w14:paraId="197520F9" w14:textId="77777777">
            <w:tc>
              <w:tcPr>
                <w:tcW w:w="1707" w:type="pct"/>
              </w:tcPr>
              <w:p w14:paraId="3E1087BA" w14:textId="77777777" w:rsidR="00B201D3" w:rsidRDefault="009855E8">
                <w:pPr>
                  <w:pStyle w:val="aff2"/>
                  <w:ind w:firstLineChars="0" w:firstLine="0"/>
                  <w:rPr>
                    <w:rFonts w:ascii="宋体" w:hAnsi="宋体"/>
                    <w:szCs w:val="21"/>
                  </w:rPr>
                </w:pPr>
                <w:r>
                  <w:rPr>
                    <w:rFonts w:ascii="宋体" w:hAnsi="宋体" w:hint="eastAsia"/>
                    <w:szCs w:val="21"/>
                  </w:rPr>
                  <w:t>研发费用</w:t>
                </w:r>
              </w:p>
            </w:tc>
            <w:tc>
              <w:tcPr>
                <w:tcW w:w="1176" w:type="pct"/>
                <w:vAlign w:val="center"/>
              </w:tcPr>
              <w:p w14:paraId="1B33CD07" w14:textId="77777777" w:rsidR="00B201D3" w:rsidRDefault="009855E8">
                <w:pPr>
                  <w:pStyle w:val="aff2"/>
                  <w:ind w:firstLineChars="0" w:firstLine="0"/>
                  <w:jc w:val="right"/>
                  <w:rPr>
                    <w:rFonts w:ascii="宋体" w:hAnsi="宋体"/>
                  </w:rPr>
                </w:pPr>
                <w:r>
                  <w:rPr>
                    <w:rFonts w:ascii="宋体" w:hAnsi="宋体"/>
                  </w:rPr>
                  <w:t xml:space="preserve">361 </w:t>
                </w:r>
              </w:p>
            </w:tc>
            <w:tc>
              <w:tcPr>
                <w:tcW w:w="1098" w:type="pct"/>
                <w:vAlign w:val="center"/>
              </w:tcPr>
              <w:p w14:paraId="2D4D52F2" w14:textId="77777777" w:rsidR="00B201D3" w:rsidRDefault="009855E8">
                <w:pPr>
                  <w:pStyle w:val="aff2"/>
                  <w:ind w:firstLineChars="0" w:firstLine="0"/>
                  <w:jc w:val="right"/>
                  <w:rPr>
                    <w:rFonts w:ascii="宋体" w:hAnsi="宋体"/>
                  </w:rPr>
                </w:pPr>
                <w:r>
                  <w:rPr>
                    <w:rFonts w:ascii="宋体" w:hAnsi="宋体" w:hint="eastAsia"/>
                  </w:rPr>
                  <w:t>283</w:t>
                </w:r>
              </w:p>
            </w:tc>
            <w:tc>
              <w:tcPr>
                <w:tcW w:w="1019" w:type="pct"/>
                <w:vAlign w:val="center"/>
              </w:tcPr>
              <w:p w14:paraId="0A73D9BF" w14:textId="77777777" w:rsidR="00B201D3" w:rsidRDefault="009855E8">
                <w:pPr>
                  <w:pStyle w:val="aff2"/>
                  <w:ind w:firstLineChars="0" w:firstLine="0"/>
                  <w:jc w:val="right"/>
                  <w:rPr>
                    <w:rFonts w:ascii="宋体" w:hAnsi="宋体"/>
                  </w:rPr>
                </w:pPr>
                <w:r>
                  <w:rPr>
                    <w:rFonts w:ascii="宋体" w:hAnsi="宋体"/>
                  </w:rPr>
                  <w:t xml:space="preserve">27.44 </w:t>
                </w:r>
              </w:p>
            </w:tc>
          </w:tr>
          <w:tr w:rsidR="00B201D3" w14:paraId="288E1D36" w14:textId="77777777">
            <w:tc>
              <w:tcPr>
                <w:tcW w:w="1707" w:type="pct"/>
              </w:tcPr>
              <w:p w14:paraId="3D7EA6DB" w14:textId="77777777" w:rsidR="00B201D3" w:rsidRDefault="009855E8">
                <w:pPr>
                  <w:pStyle w:val="aff2"/>
                  <w:ind w:firstLineChars="0" w:firstLine="0"/>
                  <w:rPr>
                    <w:rFonts w:ascii="宋体" w:hAnsi="宋体"/>
                    <w:szCs w:val="21"/>
                  </w:rPr>
                </w:pPr>
                <w:r>
                  <w:rPr>
                    <w:rFonts w:ascii="宋体" w:hAnsi="宋体"/>
                    <w:szCs w:val="21"/>
                  </w:rPr>
                  <w:t>经营活动产生的现金流量净额</w:t>
                </w:r>
              </w:p>
            </w:tc>
            <w:tc>
              <w:tcPr>
                <w:tcW w:w="1176" w:type="pct"/>
              </w:tcPr>
              <w:p w14:paraId="3ED3F474" w14:textId="77777777" w:rsidR="00B201D3" w:rsidRDefault="009855E8">
                <w:pPr>
                  <w:pStyle w:val="aff2"/>
                  <w:ind w:firstLineChars="0" w:firstLine="0"/>
                  <w:jc w:val="right"/>
                  <w:rPr>
                    <w:rFonts w:ascii="宋体" w:hAnsi="宋体"/>
                  </w:rPr>
                </w:pPr>
                <w:r>
                  <w:rPr>
                    <w:rFonts w:ascii="宋体" w:hAnsi="宋体"/>
                  </w:rPr>
                  <w:t>8,661</w:t>
                </w:r>
              </w:p>
            </w:tc>
            <w:tc>
              <w:tcPr>
                <w:tcW w:w="1098" w:type="pct"/>
              </w:tcPr>
              <w:p w14:paraId="6455D843" w14:textId="77777777" w:rsidR="00B201D3" w:rsidRDefault="009855E8">
                <w:pPr>
                  <w:pStyle w:val="aff2"/>
                  <w:ind w:firstLineChars="0" w:firstLine="0"/>
                  <w:jc w:val="right"/>
                  <w:rPr>
                    <w:rFonts w:ascii="宋体" w:hAnsi="宋体"/>
                  </w:rPr>
                </w:pPr>
                <w:r>
                  <w:rPr>
                    <w:rFonts w:ascii="宋体" w:hAnsi="宋体"/>
                  </w:rPr>
                  <w:t xml:space="preserve">13,399 </w:t>
                </w:r>
              </w:p>
            </w:tc>
            <w:tc>
              <w:tcPr>
                <w:tcW w:w="1019" w:type="pct"/>
              </w:tcPr>
              <w:p w14:paraId="4C565F2D" w14:textId="77777777" w:rsidR="00B201D3" w:rsidRDefault="009855E8">
                <w:pPr>
                  <w:pStyle w:val="aff2"/>
                  <w:ind w:firstLineChars="0" w:firstLine="0"/>
                  <w:jc w:val="right"/>
                  <w:rPr>
                    <w:rFonts w:ascii="宋体" w:hAnsi="宋体"/>
                  </w:rPr>
                </w:pPr>
                <w:r>
                  <w:rPr>
                    <w:rFonts w:ascii="宋体" w:hAnsi="宋体"/>
                  </w:rPr>
                  <w:t>-35.36</w:t>
                </w:r>
              </w:p>
            </w:tc>
          </w:tr>
          <w:tr w:rsidR="00B201D3" w14:paraId="124E4ECA" w14:textId="77777777">
            <w:tc>
              <w:tcPr>
                <w:tcW w:w="1707" w:type="pct"/>
              </w:tcPr>
              <w:p w14:paraId="6F036E9D" w14:textId="77777777" w:rsidR="00B201D3" w:rsidRDefault="009855E8">
                <w:pPr>
                  <w:pStyle w:val="aff2"/>
                  <w:ind w:firstLineChars="0" w:firstLine="0"/>
                  <w:rPr>
                    <w:rFonts w:ascii="宋体" w:hAnsi="宋体"/>
                    <w:szCs w:val="21"/>
                  </w:rPr>
                </w:pPr>
                <w:r>
                  <w:rPr>
                    <w:rFonts w:ascii="宋体" w:hAnsi="宋体"/>
                    <w:szCs w:val="21"/>
                  </w:rPr>
                  <w:lastRenderedPageBreak/>
                  <w:t>投资活动产生的现金流量净额</w:t>
                </w:r>
              </w:p>
            </w:tc>
            <w:tc>
              <w:tcPr>
                <w:tcW w:w="1176" w:type="pct"/>
                <w:vAlign w:val="center"/>
              </w:tcPr>
              <w:p w14:paraId="71B7809B" w14:textId="77777777" w:rsidR="00B201D3" w:rsidRDefault="009855E8">
                <w:pPr>
                  <w:pStyle w:val="aff2"/>
                  <w:ind w:firstLineChars="0" w:firstLine="0"/>
                  <w:jc w:val="right"/>
                  <w:rPr>
                    <w:rFonts w:ascii="宋体" w:hAnsi="宋体"/>
                  </w:rPr>
                </w:pPr>
                <w:r>
                  <w:rPr>
                    <w:rFonts w:ascii="宋体" w:hAnsi="宋体"/>
                  </w:rPr>
                  <w:t>-7,136</w:t>
                </w:r>
              </w:p>
            </w:tc>
            <w:tc>
              <w:tcPr>
                <w:tcW w:w="1098" w:type="pct"/>
                <w:vAlign w:val="center"/>
              </w:tcPr>
              <w:p w14:paraId="27CDB904" w14:textId="77777777" w:rsidR="00B201D3" w:rsidRDefault="009855E8">
                <w:pPr>
                  <w:pStyle w:val="aff2"/>
                  <w:ind w:firstLineChars="0" w:firstLine="0"/>
                  <w:jc w:val="right"/>
                  <w:rPr>
                    <w:rFonts w:ascii="宋体" w:hAnsi="宋体"/>
                  </w:rPr>
                </w:pPr>
                <w:r>
                  <w:rPr>
                    <w:rFonts w:ascii="宋体" w:hAnsi="宋体"/>
                  </w:rPr>
                  <w:t>-1,625</w:t>
                </w:r>
              </w:p>
            </w:tc>
            <w:tc>
              <w:tcPr>
                <w:tcW w:w="1019" w:type="pct"/>
                <w:vAlign w:val="center"/>
              </w:tcPr>
              <w:p w14:paraId="1A3F87ED" w14:textId="77777777" w:rsidR="00B201D3" w:rsidRDefault="009855E8">
                <w:pPr>
                  <w:pStyle w:val="aff2"/>
                  <w:ind w:firstLineChars="0" w:firstLine="0"/>
                  <w:jc w:val="right"/>
                  <w:rPr>
                    <w:rFonts w:ascii="宋体" w:hAnsi="宋体"/>
                  </w:rPr>
                </w:pPr>
                <w:r>
                  <w:rPr>
                    <w:rFonts w:ascii="宋体" w:hAnsi="宋体" w:hint="eastAsia"/>
                  </w:rPr>
                  <w:t>-</w:t>
                </w:r>
                <w:r>
                  <w:rPr>
                    <w:rFonts w:ascii="宋体" w:hAnsi="宋体"/>
                  </w:rPr>
                  <w:t xml:space="preserve"> </w:t>
                </w:r>
              </w:p>
            </w:tc>
          </w:tr>
          <w:tr w:rsidR="00B201D3" w14:paraId="74BA24D7" w14:textId="77777777">
            <w:tc>
              <w:tcPr>
                <w:tcW w:w="1707" w:type="pct"/>
              </w:tcPr>
              <w:p w14:paraId="61315DFE" w14:textId="77777777" w:rsidR="00B201D3" w:rsidRDefault="009855E8">
                <w:pPr>
                  <w:pStyle w:val="aff2"/>
                  <w:ind w:firstLineChars="0" w:firstLine="0"/>
                  <w:rPr>
                    <w:rFonts w:ascii="宋体" w:hAnsi="宋体"/>
                    <w:szCs w:val="21"/>
                  </w:rPr>
                </w:pPr>
                <w:r>
                  <w:rPr>
                    <w:rFonts w:ascii="宋体" w:hAnsi="宋体"/>
                    <w:szCs w:val="21"/>
                  </w:rPr>
                  <w:t>筹资活动产生的现金流量净额</w:t>
                </w:r>
              </w:p>
            </w:tc>
            <w:tc>
              <w:tcPr>
                <w:tcW w:w="1176" w:type="pct"/>
                <w:vAlign w:val="center"/>
              </w:tcPr>
              <w:p w14:paraId="3DEFC578" w14:textId="77777777" w:rsidR="00B201D3" w:rsidRDefault="009855E8">
                <w:pPr>
                  <w:pStyle w:val="aff2"/>
                  <w:ind w:firstLineChars="0" w:firstLine="0"/>
                  <w:jc w:val="right"/>
                  <w:rPr>
                    <w:rFonts w:ascii="宋体" w:hAnsi="宋体"/>
                  </w:rPr>
                </w:pPr>
                <w:r>
                  <w:rPr>
                    <w:rFonts w:ascii="宋体" w:hAnsi="宋体"/>
                  </w:rPr>
                  <w:t xml:space="preserve">6,520 </w:t>
                </w:r>
              </w:p>
            </w:tc>
            <w:tc>
              <w:tcPr>
                <w:tcW w:w="1098" w:type="pct"/>
                <w:vAlign w:val="center"/>
              </w:tcPr>
              <w:p w14:paraId="32777186" w14:textId="77777777" w:rsidR="00B201D3" w:rsidRDefault="009855E8">
                <w:pPr>
                  <w:pStyle w:val="aff2"/>
                  <w:ind w:firstLineChars="0" w:firstLine="0"/>
                  <w:jc w:val="right"/>
                  <w:rPr>
                    <w:rFonts w:ascii="宋体" w:hAnsi="宋体"/>
                  </w:rPr>
                </w:pPr>
                <w:r>
                  <w:rPr>
                    <w:rFonts w:ascii="宋体" w:hAnsi="宋体"/>
                  </w:rPr>
                  <w:t>-2,116</w:t>
                </w:r>
              </w:p>
            </w:tc>
            <w:tc>
              <w:tcPr>
                <w:tcW w:w="1019" w:type="pct"/>
                <w:vAlign w:val="center"/>
              </w:tcPr>
              <w:p w14:paraId="2B4AEEDB" w14:textId="77777777" w:rsidR="00B201D3" w:rsidRDefault="009855E8">
                <w:pPr>
                  <w:pStyle w:val="aff2"/>
                  <w:ind w:firstLineChars="0" w:firstLine="0"/>
                  <w:jc w:val="right"/>
                  <w:rPr>
                    <w:rFonts w:ascii="宋体" w:hAnsi="宋体"/>
                  </w:rPr>
                </w:pPr>
                <w:r>
                  <w:rPr>
                    <w:rFonts w:ascii="宋体" w:hAnsi="宋体" w:hint="eastAsia"/>
                  </w:rPr>
                  <w:t>-</w:t>
                </w:r>
                <w:r>
                  <w:rPr>
                    <w:rFonts w:ascii="宋体" w:hAnsi="宋体"/>
                  </w:rPr>
                  <w:t xml:space="preserve"> </w:t>
                </w:r>
              </w:p>
            </w:tc>
          </w:tr>
          <w:tr w:rsidR="00B201D3" w14:paraId="39E7CE35" w14:textId="77777777">
            <w:tc>
              <w:tcPr>
                <w:tcW w:w="1707" w:type="pct"/>
              </w:tcPr>
              <w:p w14:paraId="242451C8" w14:textId="77777777" w:rsidR="00B201D3" w:rsidRDefault="009855E8">
                <w:pPr>
                  <w:pStyle w:val="aff2"/>
                  <w:ind w:firstLineChars="0" w:firstLine="0"/>
                  <w:rPr>
                    <w:rFonts w:ascii="宋体" w:hAnsi="宋体"/>
                    <w:szCs w:val="21"/>
                  </w:rPr>
                </w:pPr>
                <w:r>
                  <w:rPr>
                    <w:rFonts w:ascii="宋体" w:hAnsi="宋体"/>
                    <w:szCs w:val="21"/>
                  </w:rPr>
                  <w:t>所得税费用</w:t>
                </w:r>
              </w:p>
            </w:tc>
            <w:tc>
              <w:tcPr>
                <w:tcW w:w="1176" w:type="pct"/>
                <w:vAlign w:val="center"/>
              </w:tcPr>
              <w:p w14:paraId="20621AEF" w14:textId="77777777" w:rsidR="00B201D3" w:rsidRDefault="009855E8">
                <w:pPr>
                  <w:pStyle w:val="aff2"/>
                  <w:ind w:firstLineChars="0" w:firstLine="0"/>
                  <w:jc w:val="right"/>
                  <w:rPr>
                    <w:rFonts w:ascii="宋体" w:hAnsi="宋体"/>
                  </w:rPr>
                </w:pPr>
                <w:r>
                  <w:rPr>
                    <w:rFonts w:ascii="宋体" w:hAnsi="宋体"/>
                  </w:rPr>
                  <w:t xml:space="preserve">4,446 </w:t>
                </w:r>
              </w:p>
            </w:tc>
            <w:tc>
              <w:tcPr>
                <w:tcW w:w="1098" w:type="pct"/>
                <w:vAlign w:val="center"/>
              </w:tcPr>
              <w:p w14:paraId="6EAFFBEB" w14:textId="77777777" w:rsidR="00B201D3" w:rsidRDefault="009855E8">
                <w:pPr>
                  <w:pStyle w:val="aff2"/>
                  <w:ind w:firstLineChars="0" w:firstLine="0"/>
                  <w:jc w:val="right"/>
                  <w:rPr>
                    <w:rFonts w:ascii="宋体" w:hAnsi="宋体"/>
                  </w:rPr>
                </w:pPr>
                <w:r>
                  <w:rPr>
                    <w:rFonts w:ascii="宋体" w:hAnsi="宋体"/>
                  </w:rPr>
                  <w:t xml:space="preserve">7,471 </w:t>
                </w:r>
              </w:p>
            </w:tc>
            <w:tc>
              <w:tcPr>
                <w:tcW w:w="1019" w:type="pct"/>
                <w:vAlign w:val="center"/>
              </w:tcPr>
              <w:p w14:paraId="70604FF1" w14:textId="77777777" w:rsidR="00B201D3" w:rsidRDefault="009855E8">
                <w:pPr>
                  <w:pStyle w:val="aff2"/>
                  <w:ind w:firstLineChars="0" w:firstLine="0"/>
                  <w:jc w:val="right"/>
                  <w:rPr>
                    <w:rFonts w:ascii="宋体" w:hAnsi="宋体"/>
                  </w:rPr>
                </w:pPr>
                <w:r>
                  <w:rPr>
                    <w:rFonts w:ascii="宋体" w:hAnsi="宋体"/>
                  </w:rPr>
                  <w:t xml:space="preserve">-40.49 </w:t>
                </w:r>
              </w:p>
            </w:tc>
          </w:tr>
        </w:tbl>
        <w:bookmarkEnd w:id="48"/>
        <w:p w14:paraId="0CDE9243" w14:textId="77777777" w:rsidR="00B201D3" w:rsidRDefault="009855E8">
          <w:pPr>
            <w:pStyle w:val="aff2"/>
            <w:rPr>
              <w:rFonts w:ascii="宋体" w:hAnsi="宋体"/>
            </w:rPr>
          </w:pPr>
          <w:r>
            <w:rPr>
              <w:rFonts w:ascii="宋体" w:hAnsi="宋体" w:hint="eastAsia"/>
            </w:rPr>
            <w:t>财务费用变动原因说明：</w:t>
          </w:r>
          <w:sdt>
            <w:sdtPr>
              <w:rPr>
                <w:rFonts w:ascii="宋体" w:hAnsi="宋体" w:hint="eastAsia"/>
              </w:rPr>
              <w:alias w:val="财务费用变动原因说明"/>
              <w:tag w:val="_GBC_2876360f1d844724b6ba84d6b9756580"/>
              <w:id w:val="1195887732"/>
              <w:placeholder>
                <w:docPart w:val="GBC22222222222222222222222222222"/>
              </w:placeholder>
            </w:sdtPr>
            <w:sdtEndPr/>
            <w:sdtContent>
              <w:r>
                <w:rPr>
                  <w:rFonts w:ascii="宋体" w:hAnsi="宋体" w:hint="eastAsia"/>
                </w:rPr>
                <w:t>利息费用同比减少。</w:t>
              </w:r>
              <w:r>
                <w:rPr>
                  <w:rFonts w:ascii="宋体" w:hAnsi="宋体"/>
                </w:rPr>
                <w:t xml:space="preserve"> </w:t>
              </w:r>
            </w:sdtContent>
          </w:sdt>
        </w:p>
        <w:p w14:paraId="519DC0FF" w14:textId="77777777" w:rsidR="00B201D3" w:rsidRDefault="009855E8">
          <w:pPr>
            <w:pStyle w:val="aff2"/>
            <w:rPr>
              <w:rFonts w:ascii="宋体" w:hAnsi="宋体"/>
            </w:rPr>
          </w:pPr>
          <w:r>
            <w:rPr>
              <w:rFonts w:ascii="宋体" w:hAnsi="宋体" w:hint="eastAsia"/>
            </w:rPr>
            <w:t>研发费用变动原因说明</w:t>
          </w:r>
          <w:r>
            <w:rPr>
              <w:rFonts w:ascii="宋体" w:hAnsi="宋体"/>
            </w:rPr>
            <w:t>：</w:t>
          </w:r>
          <w:sdt>
            <w:sdtPr>
              <w:rPr>
                <w:rFonts w:ascii="宋体" w:hAnsi="宋体"/>
              </w:rPr>
              <w:alias w:val="研发费用变动原因说明"/>
              <w:tag w:val="_GBC_b0b71742eb3f4715afa18751ce433454"/>
              <w:id w:val="-210123646"/>
              <w:placeholder>
                <w:docPart w:val="GBC22222222222222222222222222222"/>
              </w:placeholder>
            </w:sdtPr>
            <w:sdtEndPr/>
            <w:sdtContent>
              <w:r>
                <w:rPr>
                  <w:rFonts w:ascii="宋体" w:hAnsi="宋体" w:hint="eastAsia"/>
                </w:rPr>
                <w:t>本集团加大研发投入力度，相关费用同比增加。</w:t>
              </w:r>
            </w:sdtContent>
          </w:sdt>
        </w:p>
        <w:p w14:paraId="2C01DA5E" w14:textId="2529078F" w:rsidR="00B201D3" w:rsidRDefault="009855E8">
          <w:pPr>
            <w:pStyle w:val="aff2"/>
            <w:rPr>
              <w:rFonts w:ascii="宋体" w:hAnsi="宋体"/>
            </w:rPr>
          </w:pPr>
          <w:r>
            <w:rPr>
              <w:rFonts w:ascii="宋体" w:hAnsi="宋体"/>
              <w:szCs w:val="21"/>
            </w:rPr>
            <w:t>经营活动产生的现金流量净额</w:t>
          </w:r>
          <w:r>
            <w:rPr>
              <w:rFonts w:ascii="宋体" w:hAnsi="宋体" w:hint="eastAsia"/>
              <w:szCs w:val="21"/>
            </w:rPr>
            <w:t>变动原因说明：</w:t>
          </w:r>
          <w:sdt>
            <w:sdtPr>
              <w:rPr>
                <w:rFonts w:ascii="宋体" w:hAnsi="宋体" w:hint="eastAsia"/>
                <w:szCs w:val="21"/>
              </w:rPr>
              <w:alias w:val="经营活动产生的现金流量净额变动原因说明"/>
              <w:tag w:val="_GBC_309323bb8b0046e9bb6afe0231994d50"/>
              <w:id w:val="102545463"/>
              <w:placeholder>
                <w:docPart w:val="GBC22222222222222222222222222222"/>
              </w:placeholder>
            </w:sdtPr>
            <w:sdtEndPr/>
            <w:sdtContent>
              <w:r>
                <w:rPr>
                  <w:rFonts w:ascii="宋体" w:hAnsi="宋体" w:hint="eastAsia"/>
                  <w:szCs w:val="21"/>
                </w:rPr>
                <w:t>兖矿财司对</w:t>
              </w:r>
              <w:r w:rsidR="008C7B83">
                <w:rPr>
                  <w:rFonts w:ascii="宋体" w:hAnsi="宋体" w:hint="eastAsia"/>
                  <w:szCs w:val="21"/>
                </w:rPr>
                <w:t>外</w:t>
              </w:r>
              <w:r>
                <w:rPr>
                  <w:rFonts w:ascii="宋体" w:hAnsi="宋体" w:hint="eastAsia"/>
                  <w:szCs w:val="21"/>
                </w:rPr>
                <w:t>提供存贷款等金融服务</w:t>
              </w:r>
              <w:r w:rsidR="00D233BB">
                <w:rPr>
                  <w:rFonts w:ascii="宋体" w:hAnsi="宋体" w:hint="eastAsia"/>
                  <w:szCs w:val="21"/>
                </w:rPr>
                <w:t>净额同比增加1</w:t>
              </w:r>
              <w:r w:rsidR="00D233BB">
                <w:rPr>
                  <w:rFonts w:ascii="宋体" w:hAnsi="宋体"/>
                  <w:szCs w:val="21"/>
                </w:rPr>
                <w:t>09.30</w:t>
              </w:r>
              <w:r w:rsidR="00D233BB">
                <w:rPr>
                  <w:rFonts w:ascii="宋体" w:hAnsi="宋体" w:hint="eastAsia"/>
                  <w:szCs w:val="21"/>
                </w:rPr>
                <w:t>亿元</w:t>
              </w:r>
              <w:r w:rsidR="00CE47CC">
                <w:rPr>
                  <w:rFonts w:ascii="宋体" w:hAnsi="宋体" w:hint="eastAsia"/>
                  <w:szCs w:val="21"/>
                </w:rPr>
                <w:t>，</w:t>
              </w:r>
              <w:r>
                <w:rPr>
                  <w:rFonts w:ascii="宋体" w:hAnsi="宋体"/>
                  <w:szCs w:val="21"/>
                </w:rPr>
                <w:t>剔除兖矿财司对经营</w:t>
              </w:r>
              <w:r>
                <w:rPr>
                  <w:rFonts w:ascii="宋体" w:hAnsi="宋体" w:hint="eastAsia"/>
                  <w:szCs w:val="21"/>
                </w:rPr>
                <w:t>活动现金流的影响后，本集团经营活动现金流净额为</w:t>
              </w:r>
              <w:r>
                <w:rPr>
                  <w:rFonts w:ascii="宋体" w:hAnsi="宋体"/>
                  <w:szCs w:val="21"/>
                </w:rPr>
                <w:t>92.80亿元，同比减少156.67</w:t>
              </w:r>
              <w:r w:rsidR="00A31F4E">
                <w:rPr>
                  <w:rFonts w:ascii="宋体" w:hAnsi="宋体" w:hint="eastAsia"/>
                  <w:szCs w:val="21"/>
                </w:rPr>
                <w:t>亿</w:t>
              </w:r>
              <w:r>
                <w:rPr>
                  <w:rFonts w:ascii="宋体" w:hAnsi="宋体"/>
                  <w:szCs w:val="21"/>
                </w:rPr>
                <w:t>元。主要是由于：</w:t>
              </w:r>
              <w:r>
                <w:rPr>
                  <w:rFonts w:ascii="宋体" w:hAnsi="宋体" w:hint="eastAsia"/>
                  <w:szCs w:val="21"/>
                </w:rPr>
                <w:t>①</w:t>
              </w:r>
              <w:r>
                <w:rPr>
                  <w:rFonts w:ascii="宋体" w:hAnsi="宋体"/>
                  <w:szCs w:val="21"/>
                </w:rPr>
                <w:t>销售商品、提供劳务收到的现金</w:t>
              </w:r>
              <w:r>
                <w:rPr>
                  <w:rFonts w:ascii="宋体" w:hAnsi="宋体" w:hint="eastAsia"/>
                  <w:szCs w:val="21"/>
                </w:rPr>
                <w:t>同比减少8</w:t>
              </w:r>
              <w:r>
                <w:rPr>
                  <w:rFonts w:ascii="宋体" w:hAnsi="宋体"/>
                  <w:szCs w:val="21"/>
                </w:rPr>
                <w:t>8.82</w:t>
              </w:r>
              <w:r>
                <w:rPr>
                  <w:rFonts w:ascii="宋体" w:hAnsi="宋体" w:hint="eastAsia"/>
                  <w:szCs w:val="21"/>
                </w:rPr>
                <w:t>亿元；②</w:t>
              </w:r>
              <w:r w:rsidR="008C7B83" w:rsidRPr="008C7B83">
                <w:rPr>
                  <w:rFonts w:ascii="宋体" w:hAnsi="宋体"/>
                  <w:szCs w:val="21"/>
                </w:rPr>
                <w:t>支付的各项税费</w:t>
              </w:r>
              <w:r>
                <w:rPr>
                  <w:rFonts w:ascii="宋体" w:hAnsi="宋体" w:hint="eastAsia"/>
                  <w:szCs w:val="21"/>
                </w:rPr>
                <w:t>同比增加</w:t>
              </w:r>
              <w:r w:rsidR="008C7B83">
                <w:rPr>
                  <w:rFonts w:ascii="宋体" w:hAnsi="宋体"/>
                  <w:szCs w:val="21"/>
                </w:rPr>
                <w:t>43.52</w:t>
              </w:r>
              <w:r>
                <w:rPr>
                  <w:rFonts w:ascii="宋体" w:hAnsi="宋体" w:hint="eastAsia"/>
                  <w:szCs w:val="21"/>
                </w:rPr>
                <w:t>亿元。</w:t>
              </w:r>
            </w:sdtContent>
          </w:sdt>
        </w:p>
        <w:p w14:paraId="5E2318EB" w14:textId="77777777" w:rsidR="00B201D3" w:rsidRDefault="009855E8">
          <w:pPr>
            <w:pStyle w:val="aff2"/>
            <w:rPr>
              <w:rFonts w:ascii="宋体" w:hAnsi="宋体"/>
            </w:rPr>
          </w:pPr>
          <w:r>
            <w:rPr>
              <w:rFonts w:ascii="宋体" w:hAnsi="宋体"/>
              <w:szCs w:val="21"/>
            </w:rPr>
            <w:t>投资活动产生的现金流量净额</w:t>
          </w:r>
          <w:r>
            <w:rPr>
              <w:rFonts w:ascii="宋体" w:hAnsi="宋体" w:hint="eastAsia"/>
              <w:szCs w:val="21"/>
            </w:rPr>
            <w:t>变动原因说明：</w:t>
          </w:r>
          <w:sdt>
            <w:sdtPr>
              <w:rPr>
                <w:rFonts w:ascii="宋体" w:hAnsi="宋体" w:hint="eastAsia"/>
                <w:szCs w:val="21"/>
              </w:rPr>
              <w:alias w:val="投资活动产生的现金流量净额变动原因说明"/>
              <w:tag w:val="_GBC_981bcb9573814b8080b52fae435fb1b0"/>
              <w:id w:val="2013878833"/>
              <w:placeholder>
                <w:docPart w:val="GBC22222222222222222222222222222"/>
              </w:placeholder>
            </w:sdtPr>
            <w:sdtEndPr/>
            <w:sdtContent>
              <w:r>
                <w:rPr>
                  <w:rFonts w:ascii="宋体" w:hAnsi="宋体"/>
                  <w:szCs w:val="21"/>
                </w:rPr>
                <w:t>购建固定资产、无形资产和其他长期资产支付的现金</w:t>
              </w:r>
              <w:r>
                <w:rPr>
                  <w:rFonts w:ascii="宋体" w:hAnsi="宋体" w:hint="eastAsia"/>
                  <w:szCs w:val="21"/>
                </w:rPr>
                <w:t>同比增加4</w:t>
              </w:r>
              <w:r>
                <w:rPr>
                  <w:rFonts w:ascii="宋体" w:hAnsi="宋体"/>
                  <w:szCs w:val="21"/>
                </w:rPr>
                <w:t>2.49</w:t>
              </w:r>
              <w:r>
                <w:rPr>
                  <w:rFonts w:ascii="宋体" w:hAnsi="宋体" w:hint="eastAsia"/>
                  <w:szCs w:val="21"/>
                </w:rPr>
                <w:t>亿元。</w:t>
              </w:r>
            </w:sdtContent>
          </w:sdt>
        </w:p>
        <w:p w14:paraId="037FE83C" w14:textId="77777777" w:rsidR="00B201D3" w:rsidRDefault="009855E8">
          <w:pPr>
            <w:pStyle w:val="aff2"/>
            <w:rPr>
              <w:rFonts w:ascii="宋体" w:hAnsi="宋体"/>
            </w:rPr>
          </w:pPr>
          <w:r>
            <w:rPr>
              <w:rFonts w:ascii="宋体" w:hAnsi="宋体"/>
              <w:szCs w:val="21"/>
            </w:rPr>
            <w:t>筹资活动产生的现金流量净额</w:t>
          </w:r>
          <w:r>
            <w:rPr>
              <w:rFonts w:ascii="宋体" w:hAnsi="宋体" w:hint="eastAsia"/>
              <w:szCs w:val="21"/>
            </w:rPr>
            <w:t>变动原因说明：</w:t>
          </w:r>
          <w:sdt>
            <w:sdtPr>
              <w:rPr>
                <w:rFonts w:ascii="宋体" w:hAnsi="宋体" w:hint="eastAsia"/>
                <w:szCs w:val="21"/>
              </w:rPr>
              <w:alias w:val="筹资活动产生的现金流量净额变动原因说明"/>
              <w:tag w:val="_GBC_900a9d8acfac4ec18a35c4034161c13e"/>
              <w:id w:val="1535303276"/>
              <w:placeholder>
                <w:docPart w:val="GBC22222222222222222222222222222"/>
              </w:placeholder>
            </w:sdtPr>
            <w:sdtEndPr/>
            <w:sdtContent>
              <w:r>
                <w:rPr>
                  <w:rFonts w:ascii="宋体" w:hAnsi="宋体" w:hint="eastAsia"/>
                  <w:szCs w:val="21"/>
                </w:rPr>
                <w:t>①</w:t>
              </w:r>
              <w:r>
                <w:rPr>
                  <w:rFonts w:ascii="宋体" w:hAnsi="宋体"/>
                  <w:szCs w:val="21"/>
                </w:rPr>
                <w:t>取得借款所收到的现金</w:t>
              </w:r>
              <w:r>
                <w:rPr>
                  <w:rFonts w:ascii="宋体" w:hAnsi="宋体" w:hint="eastAsia"/>
                  <w:szCs w:val="21"/>
                </w:rPr>
                <w:t>同比增加1</w:t>
              </w:r>
              <w:r>
                <w:rPr>
                  <w:rFonts w:ascii="宋体" w:hAnsi="宋体"/>
                  <w:szCs w:val="21"/>
                </w:rPr>
                <w:t>16.64</w:t>
              </w:r>
              <w:r>
                <w:rPr>
                  <w:rFonts w:ascii="宋体" w:hAnsi="宋体" w:hint="eastAsia"/>
                  <w:szCs w:val="21"/>
                </w:rPr>
                <w:t>亿元；②</w:t>
              </w:r>
              <w:r>
                <w:rPr>
                  <w:rFonts w:ascii="宋体" w:hAnsi="宋体"/>
                  <w:szCs w:val="21"/>
                </w:rPr>
                <w:t>发行其他权益工具收到的现金</w:t>
              </w:r>
              <w:r>
                <w:rPr>
                  <w:rFonts w:ascii="宋体" w:hAnsi="宋体" w:hint="eastAsia"/>
                  <w:szCs w:val="21"/>
                </w:rPr>
                <w:t>同比减少4</w:t>
              </w:r>
              <w:r>
                <w:rPr>
                  <w:rFonts w:ascii="宋体" w:hAnsi="宋体"/>
                  <w:szCs w:val="21"/>
                </w:rPr>
                <w:t>9.90</w:t>
              </w:r>
              <w:r>
                <w:rPr>
                  <w:rFonts w:ascii="宋体" w:hAnsi="宋体" w:hint="eastAsia"/>
                  <w:szCs w:val="21"/>
                </w:rPr>
                <w:t>亿元。</w:t>
              </w:r>
            </w:sdtContent>
          </w:sdt>
        </w:p>
        <w:sdt>
          <w:sdtPr>
            <w:rPr>
              <w:rFonts w:ascii="宋体" w:hAnsi="宋体" w:hint="eastAsia"/>
              <w:szCs w:val="21"/>
            </w:rPr>
            <w:alias w:val="利润表及现金流量表相关科目变动分析"/>
            <w:tag w:val="_GBC_94f5ff32e4ce4847911acff5a0adb36c"/>
            <w:id w:val="-1173564722"/>
            <w:placeholder>
              <w:docPart w:val="GBC22222222222222222222222222222"/>
            </w:placeholder>
          </w:sdtPr>
          <w:sdtEndPr/>
          <w:sdtContent>
            <w:p w14:paraId="5CFCF8BF" w14:textId="77777777" w:rsidR="00B201D3" w:rsidRDefault="00C8327E">
              <w:pPr>
                <w:pStyle w:val="aff2"/>
                <w:rPr>
                  <w:rFonts w:ascii="宋体" w:hAnsi="宋体"/>
                </w:rPr>
              </w:pPr>
              <w:sdt>
                <w:sdtPr>
                  <w:rPr>
                    <w:rFonts w:ascii="宋体" w:hAnsi="宋体" w:hint="eastAsia"/>
                    <w:szCs w:val="21"/>
                  </w:rPr>
                  <w:alias w:val="利润表及现金流量表相关科目变动分析-科目名称"/>
                  <w:tag w:val="_GBC_764a55650aaf4240a584071ddd35a587"/>
                  <w:id w:val="1163747085"/>
                  <w:placeholder>
                    <w:docPart w:val="GBC22222222222222222222222222222"/>
                  </w:placeholder>
                </w:sdtPr>
                <w:sdtEndPr/>
                <w:sdtContent>
                  <w:r w:rsidR="009855E8">
                    <w:rPr>
                      <w:rFonts w:ascii="宋体" w:hAnsi="宋体" w:hint="eastAsia"/>
                      <w:szCs w:val="21"/>
                    </w:rPr>
                    <w:t>所得税费用</w:t>
                  </w:r>
                </w:sdtContent>
              </w:sdt>
              <w:r w:rsidR="009855E8">
                <w:rPr>
                  <w:rFonts w:ascii="宋体" w:hAnsi="宋体" w:hint="eastAsia"/>
                  <w:szCs w:val="21"/>
                </w:rPr>
                <w:t>变动原因说明：</w:t>
              </w:r>
              <w:sdt>
                <w:sdtPr>
                  <w:rPr>
                    <w:rFonts w:ascii="宋体" w:hAnsi="宋体" w:hint="eastAsia"/>
                    <w:szCs w:val="21"/>
                  </w:rPr>
                  <w:alias w:val="利润表及现金流量表相关科目变动分析-变动原因说明"/>
                  <w:tag w:val="_GBC_1f225b75164341838c2f2de40a1ee736"/>
                  <w:id w:val="-1085146014"/>
                  <w:placeholder>
                    <w:docPart w:val="GBC22222222222222222222222222222"/>
                  </w:placeholder>
                </w:sdtPr>
                <w:sdtEndPr/>
                <w:sdtContent>
                  <w:r w:rsidR="009855E8">
                    <w:rPr>
                      <w:rFonts w:ascii="宋体" w:hAnsi="宋体" w:hint="eastAsia"/>
                      <w:szCs w:val="21"/>
                    </w:rPr>
                    <w:t>本集团应纳税所得额同比减少。</w:t>
                  </w:r>
                </w:sdtContent>
              </w:sdt>
            </w:p>
          </w:sdtContent>
        </w:sdt>
      </w:sdtContent>
    </w:sdt>
    <w:p w14:paraId="6FDFA501" w14:textId="77777777" w:rsidR="00B201D3" w:rsidRDefault="00B201D3">
      <w:pPr>
        <w:pStyle w:val="aff2"/>
        <w:ind w:firstLineChars="0" w:firstLine="0"/>
        <w:jc w:val="left"/>
        <w:rPr>
          <w:rFonts w:ascii="宋体" w:hAnsi="宋体"/>
        </w:rPr>
      </w:pPr>
      <w:bookmarkStart w:id="49" w:name="_Toc342565903"/>
      <w:bookmarkStart w:id="50" w:name="_Toc342559755"/>
      <w:bookmarkEnd w:id="47"/>
    </w:p>
    <w:sdt>
      <w:sdtPr>
        <w:rPr>
          <w:szCs w:val="24"/>
        </w:rPr>
        <w:alias w:val="模块:公司利润构成或利润来源发生重大变动的详细说明"/>
        <w:tag w:val="_GBC_2346c2f60a0d447bb4e68d1cdeb1ae6e"/>
        <w:id w:val="-1606031087"/>
        <w:lock w:val="sdtLocked"/>
        <w:placeholder>
          <w:docPart w:val="GBC22222222222222222222222222222"/>
        </w:placeholder>
      </w:sdtPr>
      <w:sdtEndPr>
        <w:rPr>
          <w:rFonts w:hint="eastAsia"/>
          <w:szCs w:val="21"/>
        </w:rPr>
      </w:sdtEndPr>
      <w:sdtContent>
        <w:p w14:paraId="71CA0D99" w14:textId="77777777" w:rsidR="00B201D3" w:rsidRDefault="009855E8">
          <w:pPr>
            <w:numPr>
              <w:ilvl w:val="0"/>
              <w:numId w:val="10"/>
            </w:numPr>
          </w:pPr>
          <w:r>
            <w:rPr>
              <w:rFonts w:hint="eastAsia"/>
            </w:rPr>
            <w:t>本期</w:t>
          </w:r>
          <w:r>
            <w:t>公司</w:t>
          </w:r>
          <w:r>
            <w:rPr>
              <w:rFonts w:hint="eastAsia"/>
            </w:rPr>
            <w:t>业务类型、</w:t>
          </w:r>
          <w:r>
            <w:t>利润构成或利润来源发生重大变动的详细说明</w:t>
          </w:r>
        </w:p>
        <w:sdt>
          <w:sdtPr>
            <w:alias w:val="是否适用：公司利润构成或利润来源发生重大变动的详细说明[双击切换]"/>
            <w:tag w:val="_GBC_cf62b49cb7b54052a77aa6c4ec7218c8"/>
            <w:id w:val="-1938827399"/>
            <w:lock w:val="sdtLocked"/>
            <w:placeholder>
              <w:docPart w:val="GBC22222222222222222222222222222"/>
            </w:placeholder>
          </w:sdtPr>
          <w:sdtEndPr/>
          <w:sdtContent>
            <w:p w14:paraId="6F7898B2" w14:textId="77777777" w:rsidR="00B201D3" w:rsidRDefault="009855E8">
              <w:pPr>
                <w:pStyle w:val="390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086D715" w14:textId="77777777" w:rsidR="00B201D3" w:rsidRDefault="00C8327E">
          <w:pPr>
            <w:pStyle w:val="3903"/>
          </w:pPr>
        </w:p>
      </w:sdtContent>
    </w:sdt>
    <w:p w14:paraId="4FF60231" w14:textId="77777777" w:rsidR="00B201D3" w:rsidRDefault="009855E8">
      <w:pPr>
        <w:numPr>
          <w:ilvl w:val="0"/>
          <w:numId w:val="10"/>
        </w:numPr>
      </w:pPr>
      <w:r>
        <w:rPr>
          <w:rFonts w:hint="eastAsia"/>
        </w:rPr>
        <w:t>资金来源和运用</w:t>
      </w:r>
    </w:p>
    <w:p w14:paraId="2BBEE92B" w14:textId="77777777" w:rsidR="00B201D3" w:rsidRDefault="009855E8">
      <w:pPr>
        <w:ind w:firstLineChars="200" w:firstLine="420"/>
        <w:jc w:val="both"/>
      </w:pPr>
      <w:r>
        <w:rPr>
          <w:rFonts w:hint="eastAsia"/>
        </w:rPr>
        <w:t>上半年本集团的资金来源主要是营业现金收入、发行债券及银行贷款。资金主要用于经营业务支出，购置固定资产、在建工程和工程物资，偿还银行贷款，支付收购资产和股权价款等。</w:t>
      </w:r>
    </w:p>
    <w:p w14:paraId="5603F3FB" w14:textId="77777777" w:rsidR="00B201D3" w:rsidRDefault="00B201D3">
      <w:pPr>
        <w:ind w:firstLineChars="200" w:firstLine="420"/>
        <w:jc w:val="both"/>
      </w:pPr>
    </w:p>
    <w:sdt>
      <w:sdtPr>
        <w:rPr>
          <w:rFonts w:ascii="宋体" w:hAnsi="宋体" w:cs="宋体" w:hint="eastAsia"/>
          <w:b w:val="0"/>
          <w:bCs w:val="0"/>
          <w:kern w:val="0"/>
          <w:szCs w:val="24"/>
        </w:rPr>
        <w:alias w:val="模块:非主营业务导致利润重大变化的说明"/>
        <w:tag w:val="_SEC_8eca3e31ebef41f0bccb8c1e5fae0579"/>
        <w:id w:val="-1373144779"/>
        <w:lock w:val="sdtLocked"/>
        <w:placeholder>
          <w:docPart w:val="GBC22222222222222222222222222222"/>
        </w:placeholder>
      </w:sdtPr>
      <w:sdtEndPr>
        <w:rPr>
          <w:szCs w:val="21"/>
        </w:rPr>
      </w:sdtEndPr>
      <w:sdtContent>
        <w:p w14:paraId="70B3CA75" w14:textId="77777777" w:rsidR="00B201D3" w:rsidRDefault="009855E8">
          <w:pPr>
            <w:pStyle w:val="3"/>
            <w:numPr>
              <w:ilvl w:val="0"/>
              <w:numId w:val="7"/>
            </w:numPr>
            <w:rPr>
              <w:rFonts w:ascii="宋体" w:hAnsi="宋体"/>
            </w:rPr>
          </w:pPr>
          <w:r>
            <w:rPr>
              <w:rFonts w:ascii="宋体" w:hAnsi="宋体"/>
            </w:rPr>
            <w:t>非主营业务导致利润重大变化的说明</w:t>
          </w:r>
        </w:p>
        <w:sdt>
          <w:sdtPr>
            <w:rPr>
              <w:rFonts w:hint="eastAsia"/>
            </w:rPr>
            <w:alias w:val="是否适用：非主营业务来源分析[双击切换]"/>
            <w:tag w:val="_GBC_45f0580c6f114551af0270412b25ccd0"/>
            <w:id w:val="2018878596"/>
            <w:lock w:val="sdtLocked"/>
            <w:placeholder>
              <w:docPart w:val="GBC22222222222222222222222222222"/>
            </w:placeholder>
          </w:sdtPr>
          <w:sdtEndPr/>
          <w:sdtContent>
            <w:p w14:paraId="3C6AE862" w14:textId="77777777" w:rsidR="00B201D3" w:rsidRDefault="009855E8">
              <w:pPr>
                <w:pStyle w:val="390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6C61D76F" w14:textId="77777777" w:rsidR="00B201D3" w:rsidRDefault="00B201D3">
      <w:pPr>
        <w:pStyle w:val="3903"/>
      </w:pPr>
    </w:p>
    <w:p w14:paraId="0092A361" w14:textId="77777777" w:rsidR="00B201D3" w:rsidRDefault="009855E8">
      <w:pPr>
        <w:pStyle w:val="3"/>
        <w:numPr>
          <w:ilvl w:val="0"/>
          <w:numId w:val="7"/>
        </w:numPr>
        <w:rPr>
          <w:rFonts w:ascii="宋体" w:hAnsi="宋体"/>
          <w:szCs w:val="21"/>
        </w:rPr>
      </w:pPr>
      <w:r>
        <w:rPr>
          <w:rFonts w:ascii="宋体" w:hAnsi="宋体"/>
          <w:szCs w:val="21"/>
        </w:rPr>
        <w:t>资产、负债情况分析</w:t>
      </w:r>
    </w:p>
    <w:p w14:paraId="14928301" w14:textId="77777777" w:rsidR="00B201D3" w:rsidRDefault="00C8327E">
      <w:pPr>
        <w:pStyle w:val="3903"/>
      </w:pPr>
      <w:sdt>
        <w:sdtPr>
          <w:rPr>
            <w:rFonts w:hint="eastAsia"/>
          </w:rPr>
          <w:alias w:val="是否适用：资产、负债情况分析[双击切换]"/>
          <w:tag w:val="_GBC_7e768f46f428417e8696bff3cfaf9902"/>
          <w:id w:val="1286390602"/>
          <w:lock w:val="sdtContentLocked"/>
          <w:placeholder>
            <w:docPart w:val="GBC22222222222222222222222222222"/>
          </w:placeholder>
        </w:sdtPr>
        <w:sdtEndPr/>
        <w:sdtContent>
          <w:r w:rsidR="009855E8">
            <w:fldChar w:fldCharType="begin"/>
          </w:r>
          <w:r w:rsidR="009855E8">
            <w:instrText xml:space="preserve"> MACROBUTTON  SnrToggleCheckbox √适用 </w:instrText>
          </w:r>
          <w:r w:rsidR="009855E8">
            <w:fldChar w:fldCharType="end"/>
          </w:r>
          <w:r w:rsidR="009855E8">
            <w:fldChar w:fldCharType="begin"/>
          </w:r>
          <w:r w:rsidR="009855E8">
            <w:instrText xml:space="preserve"> MACROBUTTON  SnrToggleCheckbox □不适用 </w:instrText>
          </w:r>
          <w:r w:rsidR="009855E8">
            <w:fldChar w:fldCharType="end"/>
          </w:r>
        </w:sdtContent>
      </w:sdt>
    </w:p>
    <w:bookmarkStart w:id="51" w:name="_Hlk74730011" w:displacedByCustomXml="next"/>
    <w:sdt>
      <w:sdtPr>
        <w:rPr>
          <w:rFonts w:ascii="宋体" w:hAnsi="宋体" w:cs="宋体"/>
          <w:b w:val="0"/>
          <w:bCs w:val="0"/>
          <w:kern w:val="0"/>
          <w:szCs w:val="21"/>
        </w:rPr>
        <w:alias w:val="模块:资产负债情况分析表"/>
        <w:tag w:val="_SEC_6223798588db4238825d68a423f52705"/>
        <w:id w:val="-1147357415"/>
        <w:lock w:val="sdtLocked"/>
        <w:placeholder>
          <w:docPart w:val="GBC22222222222222222222222222222"/>
        </w:placeholder>
      </w:sdtPr>
      <w:sdtEndPr/>
      <w:sdtContent>
        <w:p w14:paraId="53B86AC5" w14:textId="77777777" w:rsidR="00B201D3" w:rsidRPr="006D4FBA" w:rsidRDefault="009855E8">
          <w:pPr>
            <w:pStyle w:val="4"/>
            <w:numPr>
              <w:ilvl w:val="0"/>
              <w:numId w:val="11"/>
            </w:numPr>
            <w:rPr>
              <w:rFonts w:ascii="宋体" w:hAnsi="宋体"/>
              <w:b w:val="0"/>
            </w:rPr>
          </w:pPr>
          <w:r>
            <w:rPr>
              <w:rFonts w:ascii="宋体" w:hAnsi="宋体"/>
            </w:rPr>
            <w:t>资产</w:t>
          </w:r>
          <w:r>
            <w:rPr>
              <w:rFonts w:ascii="宋体" w:hAnsi="宋体" w:hint="eastAsia"/>
            </w:rPr>
            <w:t>及</w:t>
          </w:r>
          <w:r w:rsidRPr="006D4FBA">
            <w:rPr>
              <w:rFonts w:ascii="宋体" w:hAnsi="宋体"/>
            </w:rPr>
            <w:t>负债</w:t>
          </w:r>
          <w:r w:rsidRPr="006D4FBA">
            <w:rPr>
              <w:rFonts w:ascii="宋体" w:hAnsi="宋体" w:hint="eastAsia"/>
              <w:szCs w:val="21"/>
            </w:rPr>
            <w:t>状</w:t>
          </w:r>
          <w:r w:rsidRPr="006D4FBA">
            <w:rPr>
              <w:rFonts w:ascii="宋体" w:hAnsi="宋体"/>
              <w:szCs w:val="21"/>
            </w:rPr>
            <w:t>况</w:t>
          </w:r>
        </w:p>
        <w:p w14:paraId="64E4EFC1" w14:textId="5F4A4BBC" w:rsidR="00B201D3" w:rsidRPr="006D4FBA" w:rsidRDefault="009855E8">
          <w:pPr>
            <w:jc w:val="right"/>
          </w:pPr>
          <w:r w:rsidRPr="006D4FBA">
            <w:rPr>
              <w:rFonts w:hint="eastAsia"/>
            </w:rPr>
            <w:t>单位：</w:t>
          </w:r>
          <w:sdt>
            <w:sdtPr>
              <w:rPr>
                <w:rFonts w:hint="eastAsia"/>
              </w:rPr>
              <w:alias w:val="单位：资产负债状况分析"/>
              <w:tag w:val="_GBC_21de4e2184d94baf8e19137a1d0d5b74"/>
              <w:id w:val="154871568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F46283">
                <w:rPr>
                  <w:rFonts w:hint="eastAsia"/>
                </w:rPr>
                <w:t>百万元</w:t>
              </w:r>
            </w:sdtContent>
          </w:sdt>
        </w:p>
        <w:tbl>
          <w:tblPr>
            <w:tblStyle w:val="af9"/>
            <w:tblW w:w="5738" w:type="pct"/>
            <w:jc w:val="center"/>
            <w:tblLook w:val="04A0" w:firstRow="1" w:lastRow="0" w:firstColumn="1" w:lastColumn="0" w:noHBand="0" w:noVBand="1"/>
          </w:tblPr>
          <w:tblGrid>
            <w:gridCol w:w="1450"/>
            <w:gridCol w:w="1156"/>
            <w:gridCol w:w="1367"/>
            <w:gridCol w:w="1177"/>
            <w:gridCol w:w="1324"/>
            <w:gridCol w:w="1280"/>
            <w:gridCol w:w="2371"/>
          </w:tblGrid>
          <w:tr w:rsidR="00B201D3" w:rsidRPr="006D4FBA" w14:paraId="145A0394" w14:textId="77777777">
            <w:trPr>
              <w:trHeight w:val="180"/>
              <w:jc w:val="center"/>
            </w:trPr>
            <w:bookmarkStart w:id="52" w:name="_Hlk74646362" w:displacedByCustomXml="next"/>
            <w:sdt>
              <w:sdtPr>
                <w:tag w:val="_PLD_d0f356a255cd4ad2a1d809f43b17afe4"/>
                <w:id w:val="-1658607721"/>
                <w:lock w:val="sdtLocked"/>
              </w:sdtPr>
              <w:sdtEndPr/>
              <w:sdtContent>
                <w:tc>
                  <w:tcPr>
                    <w:tcW w:w="716" w:type="pct"/>
                    <w:vAlign w:val="center"/>
                  </w:tcPr>
                  <w:p w14:paraId="3DCE9BBA" w14:textId="77777777" w:rsidR="00B201D3" w:rsidRPr="006D4FBA" w:rsidRDefault="009855E8">
                    <w:pPr>
                      <w:jc w:val="center"/>
                      <w:rPr>
                        <w:rStyle w:val="50"/>
                        <w:rFonts w:ascii="宋体" w:hAnsi="宋体"/>
                        <w:b w:val="0"/>
                        <w:bCs w:val="0"/>
                      </w:rPr>
                    </w:pPr>
                    <w:r w:rsidRPr="006D4FBA">
                      <w:rPr>
                        <w:rFonts w:ascii="宋体" w:hAnsi="宋体"/>
                      </w:rPr>
                      <w:t>项目名称</w:t>
                    </w:r>
                  </w:p>
                </w:tc>
              </w:sdtContent>
            </w:sdt>
            <w:sdt>
              <w:sdtPr>
                <w:tag w:val="_PLD_908740cf286747d79d5abbe407fef2b5"/>
                <w:id w:val="-1614509126"/>
                <w:lock w:val="sdtLocked"/>
              </w:sdtPr>
              <w:sdtEndPr/>
              <w:sdtContent>
                <w:tc>
                  <w:tcPr>
                    <w:tcW w:w="571" w:type="pct"/>
                    <w:vAlign w:val="center"/>
                  </w:tcPr>
                  <w:p w14:paraId="3A38F587" w14:textId="77777777" w:rsidR="00B201D3" w:rsidRPr="006D4FBA" w:rsidRDefault="009855E8">
                    <w:pPr>
                      <w:jc w:val="center"/>
                      <w:rPr>
                        <w:rStyle w:val="50"/>
                        <w:rFonts w:ascii="宋体" w:hAnsi="宋体"/>
                        <w:b w:val="0"/>
                        <w:bCs w:val="0"/>
                      </w:rPr>
                    </w:pPr>
                    <w:r w:rsidRPr="006D4FBA">
                      <w:rPr>
                        <w:rFonts w:ascii="宋体" w:hAnsi="宋体"/>
                      </w:rPr>
                      <w:t>本期期末数</w:t>
                    </w:r>
                  </w:p>
                </w:tc>
              </w:sdtContent>
            </w:sdt>
            <w:sdt>
              <w:sdtPr>
                <w:tag w:val="_PLD_329bbbc9fa484c0990e705c4343b8bd2"/>
                <w:id w:val="-937131324"/>
                <w:lock w:val="sdtLocked"/>
              </w:sdtPr>
              <w:sdtEndPr/>
              <w:sdtContent>
                <w:tc>
                  <w:tcPr>
                    <w:tcW w:w="675" w:type="pct"/>
                    <w:vAlign w:val="center"/>
                  </w:tcPr>
                  <w:p w14:paraId="36301668" w14:textId="77777777" w:rsidR="00B201D3" w:rsidRPr="006D4FBA" w:rsidRDefault="009855E8">
                    <w:pPr>
                      <w:jc w:val="center"/>
                      <w:rPr>
                        <w:rStyle w:val="50"/>
                        <w:rFonts w:ascii="宋体" w:hAnsi="宋体"/>
                        <w:b w:val="0"/>
                        <w:bCs w:val="0"/>
                      </w:rPr>
                    </w:pPr>
                    <w:r w:rsidRPr="006D4FBA">
                      <w:rPr>
                        <w:rFonts w:ascii="宋体" w:hAnsi="宋体"/>
                      </w:rPr>
                      <w:t>本期期末数占总资产的比例（%）</w:t>
                    </w:r>
                  </w:p>
                </w:tc>
              </w:sdtContent>
            </w:sdt>
            <w:sdt>
              <w:sdtPr>
                <w:tag w:val="_PLD_56ec8d815a204f39816e77d18cf2ac7e"/>
                <w:id w:val="-398286977"/>
                <w:lock w:val="sdtLocked"/>
              </w:sdtPr>
              <w:sdtEndPr/>
              <w:sdtContent>
                <w:tc>
                  <w:tcPr>
                    <w:tcW w:w="581" w:type="pct"/>
                    <w:vAlign w:val="center"/>
                  </w:tcPr>
                  <w:p w14:paraId="6DD86FDE" w14:textId="77777777" w:rsidR="00B201D3" w:rsidRPr="006D4FBA" w:rsidRDefault="009855E8">
                    <w:pPr>
                      <w:jc w:val="center"/>
                      <w:rPr>
                        <w:rStyle w:val="50"/>
                        <w:rFonts w:ascii="宋体" w:hAnsi="宋体"/>
                        <w:b w:val="0"/>
                        <w:bCs w:val="0"/>
                      </w:rPr>
                    </w:pPr>
                    <w:r w:rsidRPr="006D4FBA">
                      <w:rPr>
                        <w:rFonts w:ascii="宋体" w:hAnsi="宋体"/>
                      </w:rPr>
                      <w:t>上</w:t>
                    </w:r>
                    <w:r w:rsidRPr="006D4FBA">
                      <w:rPr>
                        <w:rFonts w:ascii="宋体" w:hAnsi="宋体" w:hint="eastAsia"/>
                      </w:rPr>
                      <w:t>年</w:t>
                    </w:r>
                    <w:r w:rsidRPr="006D4FBA">
                      <w:rPr>
                        <w:rFonts w:ascii="宋体" w:hAnsi="宋体"/>
                      </w:rPr>
                      <w:t>期末数</w:t>
                    </w:r>
                  </w:p>
                </w:tc>
              </w:sdtContent>
            </w:sdt>
            <w:sdt>
              <w:sdtPr>
                <w:tag w:val="_PLD_4bc2806364aa476db7b5ac96d585ad18"/>
                <w:id w:val="860174004"/>
                <w:lock w:val="sdtLocked"/>
              </w:sdtPr>
              <w:sdtEndPr/>
              <w:sdtContent>
                <w:tc>
                  <w:tcPr>
                    <w:tcW w:w="654" w:type="pct"/>
                    <w:vAlign w:val="center"/>
                  </w:tcPr>
                  <w:p w14:paraId="23487A8E" w14:textId="77777777" w:rsidR="00B201D3" w:rsidRPr="006D4FBA" w:rsidRDefault="009855E8">
                    <w:pPr>
                      <w:jc w:val="center"/>
                      <w:rPr>
                        <w:rStyle w:val="50"/>
                        <w:rFonts w:ascii="宋体" w:hAnsi="宋体"/>
                        <w:b w:val="0"/>
                        <w:bCs w:val="0"/>
                      </w:rPr>
                    </w:pPr>
                    <w:r w:rsidRPr="006D4FBA">
                      <w:rPr>
                        <w:rFonts w:ascii="宋体" w:hAnsi="宋体"/>
                      </w:rPr>
                      <w:t>上</w:t>
                    </w:r>
                    <w:r w:rsidRPr="006D4FBA">
                      <w:rPr>
                        <w:rFonts w:ascii="宋体" w:hAnsi="宋体" w:hint="eastAsia"/>
                      </w:rPr>
                      <w:t>年</w:t>
                    </w:r>
                    <w:r w:rsidRPr="006D4FBA">
                      <w:rPr>
                        <w:rFonts w:ascii="宋体" w:hAnsi="宋体"/>
                      </w:rPr>
                      <w:t>期末数占总资产的比例（%）</w:t>
                    </w:r>
                  </w:p>
                </w:tc>
              </w:sdtContent>
            </w:sdt>
            <w:sdt>
              <w:sdtPr>
                <w:tag w:val="_PLD_4cfcbfaae8d94f2d87cb33b122df7a82"/>
                <w:id w:val="-124090151"/>
                <w:lock w:val="sdtLocked"/>
              </w:sdtPr>
              <w:sdtEndPr/>
              <w:sdtContent>
                <w:tc>
                  <w:tcPr>
                    <w:tcW w:w="632" w:type="pct"/>
                    <w:vAlign w:val="center"/>
                  </w:tcPr>
                  <w:p w14:paraId="2E926A6F" w14:textId="77777777" w:rsidR="00B201D3" w:rsidRPr="006D4FBA" w:rsidRDefault="009855E8">
                    <w:pPr>
                      <w:jc w:val="center"/>
                      <w:rPr>
                        <w:rStyle w:val="50"/>
                        <w:rFonts w:ascii="宋体" w:hAnsi="宋体"/>
                        <w:b w:val="0"/>
                        <w:bCs w:val="0"/>
                      </w:rPr>
                    </w:pPr>
                    <w:r w:rsidRPr="006D4FBA">
                      <w:rPr>
                        <w:rFonts w:ascii="宋体" w:hAnsi="宋体"/>
                      </w:rPr>
                      <w:t>本期期末金额较上</w:t>
                    </w:r>
                    <w:r w:rsidRPr="006D4FBA">
                      <w:rPr>
                        <w:rFonts w:ascii="宋体" w:hAnsi="宋体" w:hint="eastAsia"/>
                      </w:rPr>
                      <w:t>年</w:t>
                    </w:r>
                    <w:r w:rsidRPr="006D4FBA">
                      <w:rPr>
                        <w:rFonts w:ascii="宋体" w:hAnsi="宋体"/>
                      </w:rPr>
                      <w:t>期末变动比例（%）</w:t>
                    </w:r>
                  </w:p>
                </w:tc>
              </w:sdtContent>
            </w:sdt>
            <w:sdt>
              <w:sdtPr>
                <w:tag w:val="_PLD_2acc4b359fa846d5bfb9939daf2ce46b"/>
                <w:id w:val="1162512611"/>
                <w:lock w:val="sdtLocked"/>
              </w:sdtPr>
              <w:sdtEndPr/>
              <w:sdtContent>
                <w:tc>
                  <w:tcPr>
                    <w:tcW w:w="1171" w:type="pct"/>
                    <w:vAlign w:val="center"/>
                  </w:tcPr>
                  <w:p w14:paraId="4209FDCA" w14:textId="77777777" w:rsidR="00B201D3" w:rsidRPr="006D4FBA" w:rsidRDefault="009855E8">
                    <w:pPr>
                      <w:jc w:val="center"/>
                      <w:rPr>
                        <w:rStyle w:val="50"/>
                        <w:rFonts w:ascii="宋体" w:hAnsi="宋体"/>
                        <w:b w:val="0"/>
                        <w:bCs w:val="0"/>
                      </w:rPr>
                    </w:pPr>
                    <w:r w:rsidRPr="006D4FBA">
                      <w:rPr>
                        <w:rFonts w:ascii="宋体" w:hAnsi="宋体"/>
                      </w:rPr>
                      <w:t>情况说明</w:t>
                    </w:r>
                  </w:p>
                </w:tc>
              </w:sdtContent>
            </w:sdt>
          </w:tr>
          <w:tr w:rsidR="00B201D3" w:rsidRPr="006D4FBA" w14:paraId="0DEB60CF" w14:textId="77777777">
            <w:trPr>
              <w:trHeight w:val="135"/>
              <w:jc w:val="center"/>
            </w:trPr>
            <w:tc>
              <w:tcPr>
                <w:tcW w:w="716" w:type="pct"/>
                <w:vAlign w:val="center"/>
              </w:tcPr>
              <w:p w14:paraId="5C480C65" w14:textId="77777777" w:rsidR="00B201D3" w:rsidRPr="006D4FBA" w:rsidRDefault="009855E8">
                <w:pPr>
                  <w:rPr>
                    <w:rStyle w:val="50"/>
                    <w:rFonts w:ascii="宋体" w:hAnsi="宋体"/>
                    <w:b w:val="0"/>
                    <w:bCs w:val="0"/>
                  </w:rPr>
                </w:pPr>
                <w:r w:rsidRPr="006D4FBA">
                  <w:rPr>
                    <w:rStyle w:val="50"/>
                    <w:rFonts w:ascii="宋体" w:hAnsi="宋体"/>
                    <w:b w:val="0"/>
                    <w:bCs w:val="0"/>
                  </w:rPr>
                  <w:t>一年内到期的非流动资产</w:t>
                </w:r>
              </w:p>
            </w:tc>
            <w:tc>
              <w:tcPr>
                <w:tcW w:w="571" w:type="pct"/>
                <w:vAlign w:val="center"/>
              </w:tcPr>
              <w:p w14:paraId="53107168" w14:textId="77777777" w:rsidR="00B201D3" w:rsidRPr="006D4FBA" w:rsidRDefault="009855E8">
                <w:pPr>
                  <w:jc w:val="right"/>
                  <w:rPr>
                    <w:rStyle w:val="50"/>
                    <w:rFonts w:ascii="宋体" w:hAnsi="宋体"/>
                    <w:b w:val="0"/>
                    <w:bCs w:val="0"/>
                  </w:rPr>
                </w:pPr>
                <w:r w:rsidRPr="006D4FBA">
                  <w:rPr>
                    <w:rFonts w:ascii="宋体" w:hAnsi="宋体"/>
                  </w:rPr>
                  <w:t xml:space="preserve">2,803 </w:t>
                </w:r>
              </w:p>
            </w:tc>
            <w:tc>
              <w:tcPr>
                <w:tcW w:w="675" w:type="pct"/>
                <w:vAlign w:val="center"/>
              </w:tcPr>
              <w:p w14:paraId="38DB8025" w14:textId="77777777" w:rsidR="00B201D3" w:rsidRPr="006D4FBA" w:rsidRDefault="009855E8">
                <w:pPr>
                  <w:jc w:val="right"/>
                  <w:rPr>
                    <w:rStyle w:val="50"/>
                    <w:rFonts w:ascii="宋体" w:hAnsi="宋体"/>
                    <w:b w:val="0"/>
                    <w:bCs w:val="0"/>
                  </w:rPr>
                </w:pPr>
                <w:r w:rsidRPr="006D4FBA">
                  <w:rPr>
                    <w:rFonts w:ascii="宋体" w:hAnsi="宋体"/>
                  </w:rPr>
                  <w:t xml:space="preserve">0.92 </w:t>
                </w:r>
              </w:p>
            </w:tc>
            <w:tc>
              <w:tcPr>
                <w:tcW w:w="581" w:type="pct"/>
                <w:vAlign w:val="center"/>
              </w:tcPr>
              <w:p w14:paraId="57CFCB5B" w14:textId="77777777" w:rsidR="00B201D3" w:rsidRPr="006D4FBA" w:rsidRDefault="009855E8">
                <w:pPr>
                  <w:jc w:val="right"/>
                  <w:rPr>
                    <w:rStyle w:val="50"/>
                    <w:rFonts w:ascii="宋体" w:hAnsi="宋体"/>
                    <w:b w:val="0"/>
                    <w:bCs w:val="0"/>
                  </w:rPr>
                </w:pPr>
                <w:r w:rsidRPr="006D4FBA">
                  <w:rPr>
                    <w:rFonts w:ascii="宋体" w:hAnsi="宋体"/>
                  </w:rPr>
                  <w:t xml:space="preserve">4,517 </w:t>
                </w:r>
              </w:p>
            </w:tc>
            <w:tc>
              <w:tcPr>
                <w:tcW w:w="654" w:type="pct"/>
                <w:vAlign w:val="center"/>
              </w:tcPr>
              <w:p w14:paraId="59B93993" w14:textId="77777777" w:rsidR="00B201D3" w:rsidRPr="006D4FBA" w:rsidRDefault="009855E8">
                <w:pPr>
                  <w:jc w:val="right"/>
                  <w:rPr>
                    <w:rStyle w:val="50"/>
                    <w:rFonts w:ascii="宋体" w:hAnsi="宋体"/>
                    <w:b w:val="0"/>
                    <w:bCs w:val="0"/>
                  </w:rPr>
                </w:pPr>
                <w:r w:rsidRPr="006D4FBA">
                  <w:rPr>
                    <w:rFonts w:ascii="宋体" w:hAnsi="宋体"/>
                  </w:rPr>
                  <w:t xml:space="preserve">1.52 </w:t>
                </w:r>
              </w:p>
            </w:tc>
            <w:tc>
              <w:tcPr>
                <w:tcW w:w="632" w:type="pct"/>
                <w:vAlign w:val="center"/>
              </w:tcPr>
              <w:p w14:paraId="31E29C3D" w14:textId="77777777" w:rsidR="00B201D3" w:rsidRPr="006D4FBA" w:rsidRDefault="009855E8">
                <w:pPr>
                  <w:jc w:val="right"/>
                  <w:rPr>
                    <w:rStyle w:val="50"/>
                    <w:rFonts w:ascii="宋体" w:hAnsi="宋体"/>
                    <w:b w:val="0"/>
                    <w:bCs w:val="0"/>
                  </w:rPr>
                </w:pPr>
                <w:r w:rsidRPr="006D4FBA">
                  <w:rPr>
                    <w:rFonts w:ascii="宋体" w:hAnsi="宋体"/>
                  </w:rPr>
                  <w:t xml:space="preserve">-37.95 </w:t>
                </w:r>
              </w:p>
            </w:tc>
            <w:tc>
              <w:tcPr>
                <w:tcW w:w="1171" w:type="pct"/>
                <w:vAlign w:val="center"/>
              </w:tcPr>
              <w:p w14:paraId="5D908FD9" w14:textId="77777777" w:rsidR="00B201D3" w:rsidRPr="006D4FBA" w:rsidRDefault="009855E8">
                <w:pPr>
                  <w:rPr>
                    <w:rStyle w:val="50"/>
                    <w:rFonts w:ascii="宋体" w:hAnsi="宋体"/>
                    <w:b w:val="0"/>
                    <w:bCs w:val="0"/>
                  </w:rPr>
                </w:pPr>
                <w:r w:rsidRPr="006D4FBA">
                  <w:rPr>
                    <w:rStyle w:val="50"/>
                    <w:rFonts w:ascii="宋体" w:hAnsi="宋体" w:hint="eastAsia"/>
                    <w:b w:val="0"/>
                    <w:bCs w:val="0"/>
                  </w:rPr>
                  <w:t>兖矿财司收回对外贷款</w:t>
                </w:r>
                <w:r w:rsidRPr="006D4FBA">
                  <w:rPr>
                    <w:rStyle w:val="50"/>
                    <w:rFonts w:ascii="宋体" w:hAnsi="宋体"/>
                    <w:b w:val="0"/>
                    <w:bCs w:val="0"/>
                  </w:rPr>
                  <w:t>20.00亿元</w:t>
                </w:r>
                <w:r w:rsidRPr="006D4FBA">
                  <w:rPr>
                    <w:rStyle w:val="50"/>
                    <w:rFonts w:ascii="宋体" w:hAnsi="宋体" w:hint="eastAsia"/>
                    <w:b w:val="0"/>
                    <w:bCs w:val="0"/>
                  </w:rPr>
                  <w:t>。</w:t>
                </w:r>
              </w:p>
            </w:tc>
          </w:tr>
          <w:tr w:rsidR="00B201D3" w:rsidRPr="006D4FBA" w14:paraId="3157E4F6" w14:textId="77777777">
            <w:trPr>
              <w:trHeight w:val="135"/>
              <w:jc w:val="center"/>
            </w:trPr>
            <w:tc>
              <w:tcPr>
                <w:tcW w:w="716" w:type="pct"/>
                <w:vAlign w:val="center"/>
              </w:tcPr>
              <w:p w14:paraId="19EDAB09" w14:textId="77777777" w:rsidR="00B201D3" w:rsidRPr="006D4FBA" w:rsidRDefault="009855E8">
                <w:pPr>
                  <w:rPr>
                    <w:rStyle w:val="50"/>
                    <w:rFonts w:ascii="宋体" w:hAnsi="宋体"/>
                    <w:b w:val="0"/>
                    <w:bCs w:val="0"/>
                  </w:rPr>
                </w:pPr>
                <w:r w:rsidRPr="006D4FBA">
                  <w:rPr>
                    <w:rStyle w:val="50"/>
                    <w:rFonts w:ascii="宋体" w:hAnsi="宋体"/>
                    <w:b w:val="0"/>
                    <w:bCs w:val="0"/>
                  </w:rPr>
                  <w:t>应付账款</w:t>
                </w:r>
              </w:p>
            </w:tc>
            <w:tc>
              <w:tcPr>
                <w:tcW w:w="571" w:type="pct"/>
                <w:vAlign w:val="center"/>
              </w:tcPr>
              <w:p w14:paraId="4DC736D6" w14:textId="77777777" w:rsidR="00B201D3" w:rsidRPr="006D4FBA" w:rsidRDefault="009855E8">
                <w:pPr>
                  <w:jc w:val="right"/>
                  <w:rPr>
                    <w:rStyle w:val="50"/>
                    <w:rFonts w:ascii="宋体" w:hAnsi="宋体"/>
                    <w:b w:val="0"/>
                    <w:bCs w:val="0"/>
                  </w:rPr>
                </w:pPr>
                <w:r w:rsidRPr="006D4FBA">
                  <w:rPr>
                    <w:rFonts w:ascii="宋体" w:hAnsi="宋体"/>
                  </w:rPr>
                  <w:t xml:space="preserve">13,361 </w:t>
                </w:r>
              </w:p>
            </w:tc>
            <w:tc>
              <w:tcPr>
                <w:tcW w:w="675" w:type="pct"/>
                <w:vAlign w:val="center"/>
              </w:tcPr>
              <w:p w14:paraId="6E8F7CEA" w14:textId="77777777" w:rsidR="00B201D3" w:rsidRPr="006D4FBA" w:rsidRDefault="009855E8">
                <w:pPr>
                  <w:jc w:val="right"/>
                  <w:rPr>
                    <w:rStyle w:val="50"/>
                    <w:rFonts w:ascii="宋体" w:hAnsi="宋体"/>
                    <w:b w:val="0"/>
                    <w:bCs w:val="0"/>
                  </w:rPr>
                </w:pPr>
                <w:r w:rsidRPr="006D4FBA">
                  <w:rPr>
                    <w:rFonts w:ascii="宋体" w:hAnsi="宋体"/>
                  </w:rPr>
                  <w:t xml:space="preserve">4.38 </w:t>
                </w:r>
              </w:p>
            </w:tc>
            <w:tc>
              <w:tcPr>
                <w:tcW w:w="581" w:type="pct"/>
                <w:vAlign w:val="center"/>
              </w:tcPr>
              <w:p w14:paraId="11B820A9" w14:textId="77777777" w:rsidR="00B201D3" w:rsidRPr="006D4FBA" w:rsidRDefault="009855E8">
                <w:pPr>
                  <w:jc w:val="right"/>
                  <w:rPr>
                    <w:rStyle w:val="50"/>
                    <w:rFonts w:ascii="宋体" w:hAnsi="宋体"/>
                    <w:b w:val="0"/>
                    <w:bCs w:val="0"/>
                  </w:rPr>
                </w:pPr>
                <w:r w:rsidRPr="006D4FBA">
                  <w:rPr>
                    <w:rFonts w:ascii="宋体" w:hAnsi="宋体"/>
                  </w:rPr>
                  <w:t xml:space="preserve">18,991 </w:t>
                </w:r>
              </w:p>
            </w:tc>
            <w:tc>
              <w:tcPr>
                <w:tcW w:w="654" w:type="pct"/>
                <w:vAlign w:val="center"/>
              </w:tcPr>
              <w:p w14:paraId="5FC9AC6A" w14:textId="77777777" w:rsidR="00B201D3" w:rsidRPr="006D4FBA" w:rsidRDefault="009855E8">
                <w:pPr>
                  <w:jc w:val="right"/>
                  <w:rPr>
                    <w:rStyle w:val="50"/>
                    <w:rFonts w:ascii="宋体" w:hAnsi="宋体"/>
                    <w:b w:val="0"/>
                    <w:bCs w:val="0"/>
                  </w:rPr>
                </w:pPr>
                <w:r w:rsidRPr="006D4FBA">
                  <w:rPr>
                    <w:rFonts w:ascii="宋体" w:hAnsi="宋体"/>
                  </w:rPr>
                  <w:t xml:space="preserve">6.41 </w:t>
                </w:r>
              </w:p>
            </w:tc>
            <w:tc>
              <w:tcPr>
                <w:tcW w:w="632" w:type="pct"/>
                <w:vAlign w:val="center"/>
              </w:tcPr>
              <w:p w14:paraId="56E8411D" w14:textId="77777777" w:rsidR="00B201D3" w:rsidRPr="006D4FBA" w:rsidRDefault="009855E8">
                <w:pPr>
                  <w:jc w:val="right"/>
                  <w:rPr>
                    <w:rStyle w:val="50"/>
                    <w:rFonts w:ascii="宋体" w:hAnsi="宋体"/>
                    <w:b w:val="0"/>
                    <w:bCs w:val="0"/>
                  </w:rPr>
                </w:pPr>
                <w:r w:rsidRPr="006D4FBA">
                  <w:rPr>
                    <w:rFonts w:ascii="宋体" w:hAnsi="宋体"/>
                  </w:rPr>
                  <w:t xml:space="preserve">-29.65 </w:t>
                </w:r>
              </w:p>
            </w:tc>
            <w:tc>
              <w:tcPr>
                <w:tcW w:w="1171" w:type="pct"/>
                <w:vAlign w:val="center"/>
              </w:tcPr>
              <w:p w14:paraId="2716D0E0" w14:textId="77777777" w:rsidR="00B201D3" w:rsidRPr="006D4FBA" w:rsidRDefault="009855E8">
                <w:pPr>
                  <w:rPr>
                    <w:rStyle w:val="50"/>
                    <w:rFonts w:ascii="宋体" w:hAnsi="宋体"/>
                    <w:b w:val="0"/>
                    <w:bCs w:val="0"/>
                  </w:rPr>
                </w:pPr>
                <w:r w:rsidRPr="006D4FBA">
                  <w:rPr>
                    <w:rStyle w:val="50"/>
                    <w:rFonts w:ascii="宋体" w:hAnsi="宋体" w:hint="eastAsia"/>
                    <w:b w:val="0"/>
                    <w:bCs w:val="0"/>
                  </w:rPr>
                  <w:t>本集团偿还应付账款。</w:t>
                </w:r>
              </w:p>
            </w:tc>
          </w:tr>
          <w:tr w:rsidR="00B201D3" w:rsidRPr="006D4FBA" w14:paraId="6DAE900E" w14:textId="77777777">
            <w:trPr>
              <w:trHeight w:val="135"/>
              <w:jc w:val="center"/>
            </w:trPr>
            <w:tc>
              <w:tcPr>
                <w:tcW w:w="716" w:type="pct"/>
                <w:vAlign w:val="center"/>
              </w:tcPr>
              <w:p w14:paraId="13F78511" w14:textId="77777777" w:rsidR="00B201D3" w:rsidRPr="006D4FBA" w:rsidRDefault="009855E8">
                <w:pPr>
                  <w:rPr>
                    <w:rStyle w:val="50"/>
                    <w:rFonts w:ascii="宋体" w:hAnsi="宋体"/>
                    <w:b w:val="0"/>
                    <w:bCs w:val="0"/>
                  </w:rPr>
                </w:pPr>
                <w:r w:rsidRPr="006D4FBA">
                  <w:rPr>
                    <w:rFonts w:ascii="宋体" w:hAnsi="宋体"/>
                  </w:rPr>
                  <w:t>应交税费</w:t>
                </w:r>
              </w:p>
            </w:tc>
            <w:tc>
              <w:tcPr>
                <w:tcW w:w="571" w:type="pct"/>
                <w:vAlign w:val="center"/>
              </w:tcPr>
              <w:p w14:paraId="19B88C88" w14:textId="77777777" w:rsidR="00B201D3" w:rsidRPr="006D4FBA" w:rsidRDefault="009855E8">
                <w:pPr>
                  <w:jc w:val="right"/>
                  <w:rPr>
                    <w:rStyle w:val="50"/>
                    <w:rFonts w:ascii="宋体" w:hAnsi="宋体"/>
                    <w:b w:val="0"/>
                    <w:bCs w:val="0"/>
                  </w:rPr>
                </w:pPr>
                <w:r w:rsidRPr="006D4FBA">
                  <w:rPr>
                    <w:rFonts w:ascii="宋体" w:hAnsi="宋体"/>
                  </w:rPr>
                  <w:t xml:space="preserve">3,838 </w:t>
                </w:r>
              </w:p>
            </w:tc>
            <w:tc>
              <w:tcPr>
                <w:tcW w:w="675" w:type="pct"/>
                <w:vAlign w:val="center"/>
              </w:tcPr>
              <w:p w14:paraId="57F40F74" w14:textId="77777777" w:rsidR="00B201D3" w:rsidRPr="006D4FBA" w:rsidRDefault="009855E8">
                <w:pPr>
                  <w:jc w:val="right"/>
                  <w:rPr>
                    <w:rStyle w:val="50"/>
                    <w:rFonts w:ascii="宋体" w:hAnsi="宋体"/>
                    <w:b w:val="0"/>
                    <w:bCs w:val="0"/>
                  </w:rPr>
                </w:pPr>
                <w:r w:rsidRPr="006D4FBA">
                  <w:rPr>
                    <w:rFonts w:ascii="宋体" w:hAnsi="宋体"/>
                  </w:rPr>
                  <w:t xml:space="preserve">1.26 </w:t>
                </w:r>
              </w:p>
            </w:tc>
            <w:tc>
              <w:tcPr>
                <w:tcW w:w="581" w:type="pct"/>
                <w:vAlign w:val="center"/>
              </w:tcPr>
              <w:p w14:paraId="4901AB02" w14:textId="77777777" w:rsidR="00B201D3" w:rsidRPr="006D4FBA" w:rsidRDefault="009855E8">
                <w:pPr>
                  <w:jc w:val="right"/>
                  <w:rPr>
                    <w:rStyle w:val="50"/>
                    <w:rFonts w:ascii="宋体" w:hAnsi="宋体"/>
                    <w:b w:val="0"/>
                    <w:bCs w:val="0"/>
                  </w:rPr>
                </w:pPr>
                <w:r w:rsidRPr="006D4FBA">
                  <w:rPr>
                    <w:rFonts w:ascii="宋体" w:hAnsi="宋体"/>
                  </w:rPr>
                  <w:t xml:space="preserve">11,746 </w:t>
                </w:r>
              </w:p>
            </w:tc>
            <w:tc>
              <w:tcPr>
                <w:tcW w:w="654" w:type="pct"/>
                <w:vAlign w:val="center"/>
              </w:tcPr>
              <w:p w14:paraId="600A4BB5" w14:textId="77777777" w:rsidR="00B201D3" w:rsidRPr="006D4FBA" w:rsidRDefault="009855E8">
                <w:pPr>
                  <w:jc w:val="right"/>
                  <w:rPr>
                    <w:rStyle w:val="50"/>
                    <w:rFonts w:ascii="宋体" w:hAnsi="宋体"/>
                    <w:b w:val="0"/>
                    <w:bCs w:val="0"/>
                  </w:rPr>
                </w:pPr>
                <w:r w:rsidRPr="006D4FBA">
                  <w:rPr>
                    <w:rFonts w:ascii="宋体" w:hAnsi="宋体"/>
                  </w:rPr>
                  <w:t xml:space="preserve">3.97 </w:t>
                </w:r>
              </w:p>
            </w:tc>
            <w:tc>
              <w:tcPr>
                <w:tcW w:w="632" w:type="pct"/>
                <w:vAlign w:val="center"/>
              </w:tcPr>
              <w:p w14:paraId="060752BF" w14:textId="77777777" w:rsidR="00B201D3" w:rsidRPr="006D4FBA" w:rsidRDefault="009855E8">
                <w:pPr>
                  <w:jc w:val="right"/>
                  <w:rPr>
                    <w:rStyle w:val="50"/>
                    <w:rFonts w:ascii="宋体" w:hAnsi="宋体"/>
                    <w:b w:val="0"/>
                    <w:bCs w:val="0"/>
                  </w:rPr>
                </w:pPr>
                <w:r w:rsidRPr="006D4FBA">
                  <w:rPr>
                    <w:rFonts w:ascii="宋体" w:hAnsi="宋体"/>
                  </w:rPr>
                  <w:t xml:space="preserve">-67.33 </w:t>
                </w:r>
              </w:p>
            </w:tc>
            <w:tc>
              <w:tcPr>
                <w:tcW w:w="1171" w:type="pct"/>
                <w:vAlign w:val="center"/>
              </w:tcPr>
              <w:p w14:paraId="61FE23C1" w14:textId="02E07A87" w:rsidR="00B201D3" w:rsidRPr="006D6017" w:rsidRDefault="009855E8">
                <w:pPr>
                  <w:rPr>
                    <w:rStyle w:val="50"/>
                    <w:rFonts w:ascii="宋体" w:hAnsi="宋体"/>
                    <w:b w:val="0"/>
                    <w:bCs w:val="0"/>
                  </w:rPr>
                </w:pPr>
                <w:r w:rsidRPr="006D6017">
                  <w:rPr>
                    <w:rStyle w:val="50"/>
                    <w:rFonts w:ascii="宋体" w:hAnsi="宋体" w:hint="eastAsia"/>
                    <w:b w:val="0"/>
                    <w:bCs w:val="0"/>
                  </w:rPr>
                  <w:t>本集团应交企业所得税比年初减少</w:t>
                </w:r>
                <w:r w:rsidR="006D6017" w:rsidRPr="006D6017">
                  <w:rPr>
                    <w:rStyle w:val="50"/>
                    <w:rFonts w:ascii="宋体" w:hAnsi="宋体" w:hint="eastAsia"/>
                    <w:b w:val="0"/>
                    <w:bCs w:val="0"/>
                  </w:rPr>
                  <w:t>7</w:t>
                </w:r>
                <w:r w:rsidR="006D6017" w:rsidRPr="006D6017">
                  <w:rPr>
                    <w:rStyle w:val="50"/>
                    <w:rFonts w:ascii="宋体" w:hAnsi="宋体"/>
                    <w:b w:val="0"/>
                    <w:bCs w:val="0"/>
                  </w:rPr>
                  <w:t>3.57</w:t>
                </w:r>
                <w:r w:rsidR="006D6017" w:rsidRPr="006D6017">
                  <w:rPr>
                    <w:rStyle w:val="50"/>
                    <w:rFonts w:ascii="宋体" w:hAnsi="宋体" w:hint="eastAsia"/>
                    <w:b w:val="0"/>
                    <w:bCs w:val="0"/>
                  </w:rPr>
                  <w:t>亿元</w:t>
                </w:r>
                <w:r w:rsidRPr="006D6017">
                  <w:rPr>
                    <w:rStyle w:val="50"/>
                    <w:rFonts w:ascii="宋体" w:hAnsi="宋体" w:hint="eastAsia"/>
                    <w:b w:val="0"/>
                    <w:bCs w:val="0"/>
                  </w:rPr>
                  <w:t>。</w:t>
                </w:r>
              </w:p>
            </w:tc>
          </w:tr>
          <w:tr w:rsidR="00B201D3" w:rsidRPr="006D4FBA" w14:paraId="1D17DCEA" w14:textId="77777777">
            <w:trPr>
              <w:trHeight w:val="135"/>
              <w:jc w:val="center"/>
            </w:trPr>
            <w:tc>
              <w:tcPr>
                <w:tcW w:w="716" w:type="pct"/>
                <w:vAlign w:val="center"/>
              </w:tcPr>
              <w:p w14:paraId="5CD96D55" w14:textId="77777777" w:rsidR="00B201D3" w:rsidRPr="006D4FBA" w:rsidRDefault="009855E8">
                <w:pPr>
                  <w:rPr>
                    <w:rStyle w:val="50"/>
                    <w:rFonts w:ascii="宋体" w:hAnsi="宋体"/>
                    <w:b w:val="0"/>
                    <w:bCs w:val="0"/>
                  </w:rPr>
                </w:pPr>
                <w:r w:rsidRPr="006D4FBA">
                  <w:rPr>
                    <w:rFonts w:ascii="宋体" w:hAnsi="宋体"/>
                  </w:rPr>
                  <w:t>其他应付款</w:t>
                </w:r>
              </w:p>
            </w:tc>
            <w:tc>
              <w:tcPr>
                <w:tcW w:w="571" w:type="pct"/>
                <w:vAlign w:val="center"/>
              </w:tcPr>
              <w:p w14:paraId="1C4446A6" w14:textId="77777777" w:rsidR="00B201D3" w:rsidRPr="006D4FBA" w:rsidRDefault="009855E8">
                <w:pPr>
                  <w:jc w:val="right"/>
                  <w:rPr>
                    <w:rStyle w:val="50"/>
                    <w:rFonts w:ascii="宋体" w:hAnsi="宋体"/>
                    <w:b w:val="0"/>
                    <w:bCs w:val="0"/>
                  </w:rPr>
                </w:pPr>
                <w:r w:rsidRPr="006D4FBA">
                  <w:rPr>
                    <w:rFonts w:ascii="宋体" w:hAnsi="宋体"/>
                  </w:rPr>
                  <w:t xml:space="preserve">37,947 </w:t>
                </w:r>
              </w:p>
            </w:tc>
            <w:tc>
              <w:tcPr>
                <w:tcW w:w="675" w:type="pct"/>
                <w:vAlign w:val="center"/>
              </w:tcPr>
              <w:p w14:paraId="02570FF2" w14:textId="77777777" w:rsidR="00B201D3" w:rsidRPr="006D4FBA" w:rsidRDefault="009855E8">
                <w:pPr>
                  <w:jc w:val="right"/>
                  <w:rPr>
                    <w:rStyle w:val="50"/>
                    <w:rFonts w:ascii="宋体" w:hAnsi="宋体"/>
                    <w:b w:val="0"/>
                    <w:bCs w:val="0"/>
                  </w:rPr>
                </w:pPr>
                <w:r w:rsidRPr="006D4FBA">
                  <w:rPr>
                    <w:rFonts w:ascii="宋体" w:hAnsi="宋体"/>
                  </w:rPr>
                  <w:t xml:space="preserve">12.44 </w:t>
                </w:r>
              </w:p>
            </w:tc>
            <w:tc>
              <w:tcPr>
                <w:tcW w:w="581" w:type="pct"/>
                <w:vAlign w:val="center"/>
              </w:tcPr>
              <w:p w14:paraId="610B6EE2" w14:textId="77777777" w:rsidR="00B201D3" w:rsidRPr="006D4FBA" w:rsidRDefault="009855E8">
                <w:pPr>
                  <w:jc w:val="right"/>
                  <w:rPr>
                    <w:rStyle w:val="50"/>
                    <w:rFonts w:ascii="宋体" w:hAnsi="宋体"/>
                    <w:b w:val="0"/>
                    <w:bCs w:val="0"/>
                  </w:rPr>
                </w:pPr>
                <w:r w:rsidRPr="006D4FBA">
                  <w:rPr>
                    <w:rFonts w:ascii="宋体" w:hAnsi="宋体"/>
                  </w:rPr>
                  <w:t xml:space="preserve">17,049 </w:t>
                </w:r>
              </w:p>
            </w:tc>
            <w:tc>
              <w:tcPr>
                <w:tcW w:w="654" w:type="pct"/>
                <w:vAlign w:val="center"/>
              </w:tcPr>
              <w:p w14:paraId="0EA9C83F" w14:textId="77777777" w:rsidR="00B201D3" w:rsidRPr="006D4FBA" w:rsidRDefault="009855E8">
                <w:pPr>
                  <w:jc w:val="right"/>
                  <w:rPr>
                    <w:rStyle w:val="50"/>
                    <w:rFonts w:ascii="宋体" w:hAnsi="宋体"/>
                    <w:b w:val="0"/>
                    <w:bCs w:val="0"/>
                  </w:rPr>
                </w:pPr>
                <w:r w:rsidRPr="006D4FBA">
                  <w:rPr>
                    <w:rFonts w:ascii="宋体" w:hAnsi="宋体"/>
                  </w:rPr>
                  <w:t xml:space="preserve">5.75 </w:t>
                </w:r>
              </w:p>
            </w:tc>
            <w:tc>
              <w:tcPr>
                <w:tcW w:w="632" w:type="pct"/>
                <w:vAlign w:val="center"/>
              </w:tcPr>
              <w:p w14:paraId="2273D1D6" w14:textId="77777777" w:rsidR="00B201D3" w:rsidRPr="006D4FBA" w:rsidRDefault="009855E8">
                <w:pPr>
                  <w:jc w:val="right"/>
                  <w:rPr>
                    <w:rStyle w:val="50"/>
                    <w:rFonts w:ascii="宋体" w:hAnsi="宋体"/>
                    <w:b w:val="0"/>
                    <w:bCs w:val="0"/>
                  </w:rPr>
                </w:pPr>
                <w:r w:rsidRPr="006D4FBA">
                  <w:rPr>
                    <w:rFonts w:ascii="宋体" w:hAnsi="宋体"/>
                  </w:rPr>
                  <w:t xml:space="preserve">122.58 </w:t>
                </w:r>
              </w:p>
            </w:tc>
            <w:tc>
              <w:tcPr>
                <w:tcW w:w="1171" w:type="pct"/>
                <w:vAlign w:val="center"/>
              </w:tcPr>
              <w:p w14:paraId="5045B404" w14:textId="77777777" w:rsidR="00B201D3" w:rsidRPr="006D4FBA" w:rsidRDefault="009855E8">
                <w:pPr>
                  <w:rPr>
                    <w:rStyle w:val="50"/>
                    <w:rFonts w:ascii="宋体" w:hAnsi="宋体"/>
                    <w:b w:val="0"/>
                    <w:bCs w:val="0"/>
                  </w:rPr>
                </w:pPr>
                <w:r w:rsidRPr="006D4FBA">
                  <w:rPr>
                    <w:rStyle w:val="50"/>
                    <w:rFonts w:ascii="宋体" w:hAnsi="宋体" w:hint="eastAsia"/>
                    <w:b w:val="0"/>
                    <w:bCs w:val="0"/>
                  </w:rPr>
                  <w:t>应付股东股息比年初增加2</w:t>
                </w:r>
                <w:r w:rsidRPr="006D4FBA">
                  <w:rPr>
                    <w:rStyle w:val="50"/>
                    <w:rFonts w:ascii="宋体" w:hAnsi="宋体"/>
                    <w:b w:val="0"/>
                    <w:bCs w:val="0"/>
                  </w:rPr>
                  <w:t>13.41</w:t>
                </w:r>
                <w:r w:rsidRPr="006D4FBA">
                  <w:rPr>
                    <w:rStyle w:val="50"/>
                    <w:rFonts w:ascii="宋体" w:hAnsi="宋体" w:hint="eastAsia"/>
                    <w:b w:val="0"/>
                    <w:bCs w:val="0"/>
                  </w:rPr>
                  <w:t>亿元。</w:t>
                </w:r>
              </w:p>
            </w:tc>
          </w:tr>
          <w:tr w:rsidR="00B201D3" w:rsidRPr="006D4FBA" w14:paraId="71BB4D00" w14:textId="77777777">
            <w:trPr>
              <w:trHeight w:val="135"/>
              <w:jc w:val="center"/>
            </w:trPr>
            <w:tc>
              <w:tcPr>
                <w:tcW w:w="716" w:type="pct"/>
                <w:vAlign w:val="center"/>
              </w:tcPr>
              <w:p w14:paraId="3782C038" w14:textId="77777777" w:rsidR="00B201D3" w:rsidRPr="006D4FBA" w:rsidRDefault="009855E8">
                <w:pPr>
                  <w:rPr>
                    <w:rStyle w:val="50"/>
                    <w:rFonts w:ascii="宋体" w:hAnsi="宋体"/>
                    <w:b w:val="0"/>
                    <w:bCs w:val="0"/>
                  </w:rPr>
                </w:pPr>
                <w:r w:rsidRPr="006D4FBA">
                  <w:rPr>
                    <w:rFonts w:ascii="宋体" w:hAnsi="宋体"/>
                  </w:rPr>
                  <w:t>一年内到期的非流动负债</w:t>
                </w:r>
              </w:p>
            </w:tc>
            <w:tc>
              <w:tcPr>
                <w:tcW w:w="571" w:type="pct"/>
                <w:vAlign w:val="center"/>
              </w:tcPr>
              <w:p w14:paraId="2E14FB90" w14:textId="77777777" w:rsidR="00B201D3" w:rsidRPr="006D4FBA" w:rsidRDefault="009855E8">
                <w:pPr>
                  <w:jc w:val="right"/>
                  <w:rPr>
                    <w:rStyle w:val="50"/>
                    <w:rFonts w:ascii="宋体" w:hAnsi="宋体"/>
                    <w:b w:val="0"/>
                    <w:bCs w:val="0"/>
                  </w:rPr>
                </w:pPr>
                <w:r w:rsidRPr="006D4FBA">
                  <w:rPr>
                    <w:rFonts w:ascii="宋体" w:hAnsi="宋体"/>
                  </w:rPr>
                  <w:t xml:space="preserve">19,552 </w:t>
                </w:r>
              </w:p>
            </w:tc>
            <w:tc>
              <w:tcPr>
                <w:tcW w:w="675" w:type="pct"/>
                <w:vAlign w:val="center"/>
              </w:tcPr>
              <w:p w14:paraId="76038745" w14:textId="77777777" w:rsidR="00B201D3" w:rsidRPr="006D4FBA" w:rsidRDefault="009855E8">
                <w:pPr>
                  <w:jc w:val="right"/>
                  <w:rPr>
                    <w:rStyle w:val="50"/>
                    <w:rFonts w:ascii="宋体" w:hAnsi="宋体"/>
                    <w:b w:val="0"/>
                    <w:bCs w:val="0"/>
                  </w:rPr>
                </w:pPr>
                <w:r w:rsidRPr="006D4FBA">
                  <w:rPr>
                    <w:rFonts w:ascii="宋体" w:hAnsi="宋体"/>
                  </w:rPr>
                  <w:t xml:space="preserve">6.41 </w:t>
                </w:r>
              </w:p>
            </w:tc>
            <w:tc>
              <w:tcPr>
                <w:tcW w:w="581" w:type="pct"/>
                <w:vAlign w:val="center"/>
              </w:tcPr>
              <w:p w14:paraId="0069589B" w14:textId="77777777" w:rsidR="00B201D3" w:rsidRPr="006D4FBA" w:rsidRDefault="009855E8">
                <w:pPr>
                  <w:jc w:val="right"/>
                  <w:rPr>
                    <w:rStyle w:val="50"/>
                    <w:rFonts w:ascii="宋体" w:hAnsi="宋体"/>
                    <w:b w:val="0"/>
                    <w:bCs w:val="0"/>
                  </w:rPr>
                </w:pPr>
                <w:r w:rsidRPr="006D4FBA">
                  <w:rPr>
                    <w:rFonts w:ascii="宋体" w:hAnsi="宋体"/>
                  </w:rPr>
                  <w:t xml:space="preserve">14,268 </w:t>
                </w:r>
              </w:p>
            </w:tc>
            <w:tc>
              <w:tcPr>
                <w:tcW w:w="654" w:type="pct"/>
                <w:vAlign w:val="center"/>
              </w:tcPr>
              <w:p w14:paraId="6478F392" w14:textId="77777777" w:rsidR="00B201D3" w:rsidRPr="006D4FBA" w:rsidRDefault="009855E8">
                <w:pPr>
                  <w:jc w:val="right"/>
                  <w:rPr>
                    <w:rStyle w:val="50"/>
                    <w:rFonts w:ascii="宋体" w:hAnsi="宋体"/>
                    <w:b w:val="0"/>
                    <w:bCs w:val="0"/>
                  </w:rPr>
                </w:pPr>
                <w:r w:rsidRPr="006D4FBA">
                  <w:rPr>
                    <w:rFonts w:ascii="宋体" w:hAnsi="宋体"/>
                  </w:rPr>
                  <w:t xml:space="preserve">4.82 </w:t>
                </w:r>
              </w:p>
            </w:tc>
            <w:tc>
              <w:tcPr>
                <w:tcW w:w="632" w:type="pct"/>
                <w:vAlign w:val="center"/>
              </w:tcPr>
              <w:p w14:paraId="0F2509E6" w14:textId="77777777" w:rsidR="00B201D3" w:rsidRPr="006D4FBA" w:rsidRDefault="009855E8">
                <w:pPr>
                  <w:jc w:val="right"/>
                  <w:rPr>
                    <w:rStyle w:val="50"/>
                    <w:rFonts w:ascii="宋体" w:hAnsi="宋体"/>
                    <w:b w:val="0"/>
                    <w:bCs w:val="0"/>
                  </w:rPr>
                </w:pPr>
                <w:r w:rsidRPr="006D4FBA">
                  <w:rPr>
                    <w:rFonts w:ascii="宋体" w:hAnsi="宋体"/>
                  </w:rPr>
                  <w:t xml:space="preserve">37.03 </w:t>
                </w:r>
              </w:p>
            </w:tc>
            <w:tc>
              <w:tcPr>
                <w:tcW w:w="1171" w:type="pct"/>
                <w:vAlign w:val="center"/>
              </w:tcPr>
              <w:p w14:paraId="1AF986F6" w14:textId="77777777" w:rsidR="00B201D3" w:rsidRPr="006D4FBA" w:rsidRDefault="009855E8">
                <w:pPr>
                  <w:rPr>
                    <w:rStyle w:val="50"/>
                    <w:rFonts w:ascii="宋体" w:hAnsi="宋体"/>
                    <w:b w:val="0"/>
                    <w:bCs w:val="0"/>
                  </w:rPr>
                </w:pPr>
                <w:r w:rsidRPr="006D4FBA">
                  <w:rPr>
                    <w:rStyle w:val="50"/>
                    <w:rFonts w:ascii="宋体" w:hAnsi="宋体" w:hint="eastAsia"/>
                    <w:b w:val="0"/>
                    <w:bCs w:val="0"/>
                  </w:rPr>
                  <w:t>公司将一年内到期的6</w:t>
                </w:r>
                <w:r w:rsidRPr="006D4FBA">
                  <w:rPr>
                    <w:rStyle w:val="50"/>
                    <w:rFonts w:ascii="宋体" w:hAnsi="宋体"/>
                    <w:b w:val="0"/>
                    <w:bCs w:val="0"/>
                  </w:rPr>
                  <w:t>0.50</w:t>
                </w:r>
                <w:r w:rsidRPr="006D4FBA">
                  <w:rPr>
                    <w:rStyle w:val="50"/>
                    <w:rFonts w:ascii="宋体" w:hAnsi="宋体" w:hint="eastAsia"/>
                    <w:b w:val="0"/>
                    <w:bCs w:val="0"/>
                  </w:rPr>
                  <w:t>亿元债券重分类至一年内到期的非流动负债。</w:t>
                </w:r>
              </w:p>
            </w:tc>
          </w:tr>
          <w:tr w:rsidR="00B201D3" w:rsidRPr="006D4FBA" w14:paraId="6A95F236" w14:textId="77777777">
            <w:trPr>
              <w:trHeight w:val="135"/>
              <w:jc w:val="center"/>
            </w:trPr>
            <w:tc>
              <w:tcPr>
                <w:tcW w:w="716" w:type="pct"/>
                <w:vAlign w:val="center"/>
              </w:tcPr>
              <w:p w14:paraId="3985FDB3" w14:textId="77777777" w:rsidR="00B201D3" w:rsidRPr="006D4FBA" w:rsidRDefault="009855E8">
                <w:pPr>
                  <w:rPr>
                    <w:rStyle w:val="50"/>
                    <w:rFonts w:ascii="宋体" w:hAnsi="宋体"/>
                    <w:b w:val="0"/>
                    <w:bCs w:val="0"/>
                  </w:rPr>
                </w:pPr>
                <w:r w:rsidRPr="006D4FBA">
                  <w:rPr>
                    <w:rFonts w:ascii="宋体" w:hAnsi="宋体"/>
                  </w:rPr>
                  <w:t>其他流动负债</w:t>
                </w:r>
              </w:p>
            </w:tc>
            <w:tc>
              <w:tcPr>
                <w:tcW w:w="571" w:type="pct"/>
                <w:vAlign w:val="center"/>
              </w:tcPr>
              <w:p w14:paraId="646289E0" w14:textId="77777777" w:rsidR="00B201D3" w:rsidRPr="006D4FBA" w:rsidRDefault="009855E8">
                <w:pPr>
                  <w:jc w:val="right"/>
                  <w:rPr>
                    <w:rStyle w:val="50"/>
                    <w:rFonts w:ascii="宋体" w:hAnsi="宋体"/>
                    <w:b w:val="0"/>
                    <w:bCs w:val="0"/>
                  </w:rPr>
                </w:pPr>
                <w:r w:rsidRPr="006D4FBA">
                  <w:rPr>
                    <w:rFonts w:ascii="宋体" w:hAnsi="宋体"/>
                  </w:rPr>
                  <w:t xml:space="preserve">4,970 </w:t>
                </w:r>
              </w:p>
            </w:tc>
            <w:tc>
              <w:tcPr>
                <w:tcW w:w="675" w:type="pct"/>
                <w:vAlign w:val="center"/>
              </w:tcPr>
              <w:p w14:paraId="33504C03" w14:textId="77777777" w:rsidR="00B201D3" w:rsidRPr="006D4FBA" w:rsidRDefault="009855E8">
                <w:pPr>
                  <w:jc w:val="right"/>
                  <w:rPr>
                    <w:rStyle w:val="50"/>
                    <w:rFonts w:ascii="宋体" w:hAnsi="宋体"/>
                    <w:b w:val="0"/>
                    <w:bCs w:val="0"/>
                  </w:rPr>
                </w:pPr>
                <w:r w:rsidRPr="006D4FBA">
                  <w:rPr>
                    <w:rFonts w:ascii="宋体" w:hAnsi="宋体"/>
                  </w:rPr>
                  <w:t xml:space="preserve">1.63 </w:t>
                </w:r>
              </w:p>
            </w:tc>
            <w:tc>
              <w:tcPr>
                <w:tcW w:w="581" w:type="pct"/>
                <w:vAlign w:val="center"/>
              </w:tcPr>
              <w:p w14:paraId="2A80EFAD" w14:textId="77777777" w:rsidR="00B201D3" w:rsidRPr="006D4FBA" w:rsidRDefault="009855E8">
                <w:pPr>
                  <w:jc w:val="right"/>
                  <w:rPr>
                    <w:rStyle w:val="50"/>
                    <w:rFonts w:ascii="宋体" w:hAnsi="宋体"/>
                    <w:b w:val="0"/>
                    <w:bCs w:val="0"/>
                  </w:rPr>
                </w:pPr>
                <w:r w:rsidRPr="006D4FBA">
                  <w:rPr>
                    <w:rFonts w:ascii="宋体" w:hAnsi="宋体"/>
                  </w:rPr>
                  <w:t xml:space="preserve">1,828 </w:t>
                </w:r>
              </w:p>
            </w:tc>
            <w:tc>
              <w:tcPr>
                <w:tcW w:w="654" w:type="pct"/>
                <w:vAlign w:val="center"/>
              </w:tcPr>
              <w:p w14:paraId="2F77787F" w14:textId="77777777" w:rsidR="00B201D3" w:rsidRPr="006D4FBA" w:rsidRDefault="009855E8">
                <w:pPr>
                  <w:jc w:val="right"/>
                  <w:rPr>
                    <w:rStyle w:val="50"/>
                    <w:rFonts w:ascii="宋体" w:hAnsi="宋体"/>
                    <w:b w:val="0"/>
                    <w:bCs w:val="0"/>
                  </w:rPr>
                </w:pPr>
                <w:r w:rsidRPr="006D4FBA">
                  <w:rPr>
                    <w:rFonts w:ascii="宋体" w:hAnsi="宋体"/>
                  </w:rPr>
                  <w:t xml:space="preserve">0.62 </w:t>
                </w:r>
              </w:p>
            </w:tc>
            <w:tc>
              <w:tcPr>
                <w:tcW w:w="632" w:type="pct"/>
                <w:vAlign w:val="center"/>
              </w:tcPr>
              <w:p w14:paraId="15565FE7" w14:textId="77777777" w:rsidR="00B201D3" w:rsidRPr="006D4FBA" w:rsidRDefault="009855E8">
                <w:pPr>
                  <w:jc w:val="right"/>
                  <w:rPr>
                    <w:rStyle w:val="50"/>
                    <w:rFonts w:ascii="宋体" w:hAnsi="宋体"/>
                    <w:b w:val="0"/>
                    <w:bCs w:val="0"/>
                  </w:rPr>
                </w:pPr>
                <w:r w:rsidRPr="006D4FBA">
                  <w:rPr>
                    <w:rFonts w:ascii="宋体" w:hAnsi="宋体"/>
                  </w:rPr>
                  <w:t xml:space="preserve">171.87 </w:t>
                </w:r>
              </w:p>
            </w:tc>
            <w:tc>
              <w:tcPr>
                <w:tcW w:w="1171" w:type="pct"/>
                <w:vAlign w:val="center"/>
              </w:tcPr>
              <w:p w14:paraId="2DA9EA80" w14:textId="77777777" w:rsidR="00B201D3" w:rsidRPr="006D4FBA" w:rsidRDefault="009855E8">
                <w:pPr>
                  <w:rPr>
                    <w:rStyle w:val="50"/>
                    <w:rFonts w:ascii="宋体" w:hAnsi="宋体"/>
                    <w:b w:val="0"/>
                    <w:bCs w:val="0"/>
                  </w:rPr>
                </w:pPr>
                <w:r w:rsidRPr="006D4FBA">
                  <w:rPr>
                    <w:rStyle w:val="50"/>
                    <w:rFonts w:ascii="宋体" w:hAnsi="宋体" w:hint="eastAsia"/>
                    <w:b w:val="0"/>
                    <w:bCs w:val="0"/>
                  </w:rPr>
                  <w:t>公司发行3</w:t>
                </w:r>
                <w:r w:rsidRPr="006D4FBA">
                  <w:rPr>
                    <w:rStyle w:val="50"/>
                    <w:rFonts w:ascii="宋体" w:hAnsi="宋体"/>
                    <w:b w:val="0"/>
                    <w:bCs w:val="0"/>
                  </w:rPr>
                  <w:t>0.00</w:t>
                </w:r>
                <w:r w:rsidRPr="006D4FBA">
                  <w:rPr>
                    <w:rStyle w:val="50"/>
                    <w:rFonts w:ascii="宋体" w:hAnsi="宋体" w:hint="eastAsia"/>
                    <w:b w:val="0"/>
                    <w:bCs w:val="0"/>
                  </w:rPr>
                  <w:t>亿元超短期融资券。</w:t>
                </w:r>
              </w:p>
            </w:tc>
          </w:tr>
          <w:bookmarkEnd w:id="52"/>
        </w:tbl>
        <w:p w14:paraId="1579E6EC" w14:textId="77777777" w:rsidR="00B201D3" w:rsidRPr="006D4FBA" w:rsidRDefault="00B201D3">
          <w:pPr>
            <w:pStyle w:val="3903"/>
          </w:pPr>
        </w:p>
        <w:p w14:paraId="009CB565" w14:textId="77777777" w:rsidR="00B201D3" w:rsidRPr="006D4FBA" w:rsidRDefault="009855E8">
          <w:pPr>
            <w:pStyle w:val="3903"/>
          </w:pPr>
          <w:r w:rsidRPr="006D4FBA">
            <w:rPr>
              <w:rFonts w:hint="eastAsia"/>
            </w:rPr>
            <w:lastRenderedPageBreak/>
            <w:t>其他说明</w:t>
          </w:r>
        </w:p>
        <w:sdt>
          <w:sdtPr>
            <w:rPr>
              <w:rFonts w:hint="eastAsia"/>
            </w:rPr>
            <w:alias w:val="资产及负债状况的其他说明"/>
            <w:tag w:val="_GBC_cb3eda90e3e24589a444c633ca113f7e"/>
            <w:id w:val="-816730790"/>
            <w:placeholder>
              <w:docPart w:val="GBC22222222222222222222222222222"/>
            </w:placeholder>
          </w:sdtPr>
          <w:sdtEndPr/>
          <w:sdtContent>
            <w:p w14:paraId="16E78603" w14:textId="77777777" w:rsidR="00B201D3" w:rsidRPr="006D4FBA" w:rsidRDefault="009855E8">
              <w:pPr>
                <w:pStyle w:val="3903"/>
              </w:pPr>
              <w:r w:rsidRPr="006D4FBA">
                <w:rPr>
                  <w:rFonts w:hint="eastAsia"/>
                </w:rPr>
                <w:t>不适用。</w:t>
              </w:r>
            </w:p>
          </w:sdtContent>
        </w:sdt>
      </w:sdtContent>
    </w:sdt>
    <w:bookmarkEnd w:id="51"/>
    <w:p w14:paraId="4B0CDBE9" w14:textId="77777777" w:rsidR="00B201D3" w:rsidRPr="006D4FBA" w:rsidRDefault="00B201D3">
      <w:pPr>
        <w:pStyle w:val="3903"/>
      </w:pPr>
    </w:p>
    <w:p w14:paraId="475D4F2D" w14:textId="77777777" w:rsidR="00B201D3" w:rsidRPr="006D4FBA" w:rsidRDefault="009855E8">
      <w:pPr>
        <w:pStyle w:val="4"/>
        <w:numPr>
          <w:ilvl w:val="0"/>
          <w:numId w:val="11"/>
        </w:numPr>
        <w:ind w:left="0" w:firstLine="0"/>
        <w:rPr>
          <w:rFonts w:ascii="宋体" w:hAnsi="宋体"/>
          <w:szCs w:val="21"/>
        </w:rPr>
      </w:pPr>
      <w:r w:rsidRPr="006D4FBA">
        <w:rPr>
          <w:rFonts w:ascii="宋体" w:hAnsi="宋体" w:hint="eastAsia"/>
          <w:szCs w:val="21"/>
        </w:rPr>
        <w:t>境外资产</w:t>
      </w:r>
      <w:r w:rsidRPr="006D4FBA">
        <w:rPr>
          <w:rFonts w:ascii="宋体" w:hAnsi="宋体"/>
          <w:szCs w:val="21"/>
        </w:rPr>
        <w:t>情</w:t>
      </w:r>
      <w:r w:rsidRPr="006D4FBA">
        <w:rPr>
          <w:rFonts w:ascii="宋体" w:hAnsi="宋体" w:hint="eastAsia"/>
          <w:szCs w:val="21"/>
        </w:rPr>
        <w:t>况</w:t>
      </w:r>
    </w:p>
    <w:sdt>
      <w:sdtPr>
        <w:alias w:val="是否适用：境外资产情况 [双击切换]"/>
        <w:tag w:val="_GBC_95d71e9a9dcd4966863ba2859a3bf0b7"/>
        <w:id w:val="-1882625263"/>
        <w:lock w:val="sdtLocked"/>
        <w:placeholder>
          <w:docPart w:val="GBC22222222222222222222222222222"/>
        </w:placeholder>
      </w:sdtPr>
      <w:sdtEndPr/>
      <w:sdtContent>
        <w:p w14:paraId="61B3451E" w14:textId="77777777" w:rsidR="00B201D3" w:rsidRPr="006D4FBA" w:rsidRDefault="009855E8">
          <w:pPr>
            <w:pStyle w:val="3903"/>
          </w:pPr>
          <w:r w:rsidRPr="006D4FBA">
            <w:fldChar w:fldCharType="begin"/>
          </w:r>
          <w:r w:rsidRPr="006D4FBA">
            <w:instrText xml:space="preserve"> MACROBUTTON  SnrToggleCheckbox √适用 </w:instrText>
          </w:r>
          <w:r w:rsidRPr="006D4FBA">
            <w:fldChar w:fldCharType="end"/>
          </w:r>
          <w:r w:rsidRPr="006D4FBA">
            <w:fldChar w:fldCharType="begin"/>
          </w:r>
          <w:r w:rsidRPr="006D4FBA">
            <w:instrText xml:space="preserve"> MACROBUTTON  SnrToggleCheckbox □不适用 </w:instrText>
          </w:r>
          <w:r w:rsidRPr="006D4FBA">
            <w:fldChar w:fldCharType="end"/>
          </w:r>
        </w:p>
      </w:sdtContent>
    </w:sdt>
    <w:bookmarkStart w:id="53" w:name="_Hlk74646369" w:displacedByCustomXml="next"/>
    <w:sdt>
      <w:sdtPr>
        <w:rPr>
          <w:rFonts w:ascii="宋体" w:hAnsi="宋体" w:cs="宋体" w:hint="eastAsia"/>
          <w:b w:val="0"/>
          <w:bCs w:val="0"/>
          <w:kern w:val="0"/>
          <w:szCs w:val="21"/>
        </w:rPr>
        <w:alias w:val="模块:"/>
        <w:tag w:val="_SEC_7f2308a9bb284441948806ea6c09c608"/>
        <w:id w:val="-1672784158"/>
        <w:placeholder>
          <w:docPart w:val="GBC22222222222222222222222222222"/>
        </w:placeholder>
      </w:sdtPr>
      <w:sdtEndPr/>
      <w:sdtContent>
        <w:p w14:paraId="356F6C96" w14:textId="77777777" w:rsidR="00B201D3" w:rsidRPr="006D4FBA" w:rsidRDefault="009855E8">
          <w:pPr>
            <w:pStyle w:val="5"/>
            <w:numPr>
              <w:ilvl w:val="0"/>
              <w:numId w:val="12"/>
            </w:numPr>
            <w:ind w:left="450" w:hanging="450"/>
            <w:rPr>
              <w:rFonts w:ascii="宋体" w:hAnsi="宋体"/>
              <w:szCs w:val="21"/>
            </w:rPr>
          </w:pPr>
          <w:r w:rsidRPr="006D4FBA">
            <w:rPr>
              <w:rFonts w:ascii="宋体" w:hAnsi="宋体" w:hint="eastAsia"/>
              <w:szCs w:val="21"/>
            </w:rPr>
            <w:t>资产规模</w:t>
          </w:r>
        </w:p>
        <w:p w14:paraId="0EA5846C" w14:textId="36712428" w:rsidR="00B201D3" w:rsidRPr="006D4FBA" w:rsidRDefault="009855E8">
          <w:pPr>
            <w:pStyle w:val="3903"/>
          </w:pPr>
          <w:r w:rsidRPr="006D4FBA">
            <w:rPr>
              <w:rFonts w:hint="eastAsia"/>
            </w:rPr>
            <w:t>截至</w:t>
          </w:r>
          <w:r w:rsidRPr="006D4FBA">
            <w:t>2023年6月30日</w:t>
          </w:r>
          <w:r w:rsidRPr="006D4FBA">
            <w:rPr>
              <w:rFonts w:hint="eastAsia"/>
            </w:rPr>
            <w:t>，本集团境外资产</w:t>
          </w:r>
          <w:sdt>
            <w:sdtPr>
              <w:rPr>
                <w:rFonts w:hint="eastAsia"/>
              </w:rPr>
              <w:alias w:val="报告期内公司境外资产变化"/>
              <w:tag w:val="_GBC_7edcbeb27a8a4dc89717cd882c719546"/>
              <w:id w:val="-1041350455"/>
              <w:placeholder>
                <w:docPart w:val="GBC22222222222222222222222222222"/>
              </w:placeholder>
            </w:sdtPr>
            <w:sdtEndPr/>
            <w:sdtContent>
              <w:r w:rsidRPr="006D4FBA">
                <w:t>732.58</w:t>
              </w:r>
            </w:sdtContent>
          </w:sdt>
          <w:sdt>
            <w:sdtPr>
              <w:rPr>
                <w:rFonts w:hint="eastAsia"/>
              </w:rPr>
              <w:alias w:val="单位：报告期内公司境外资产变化"/>
              <w:tag w:val="_GBC_5372243019964ba2af35a9061c614f89"/>
              <w:id w:val="-140283098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F46283">
                <w:rPr>
                  <w:rFonts w:hint="eastAsia"/>
                </w:rPr>
                <w:t>亿元</w:t>
              </w:r>
            </w:sdtContent>
          </w:sdt>
          <w:r w:rsidRPr="006D4FBA">
            <w:rPr>
              <w:rFonts w:hint="eastAsia"/>
            </w:rPr>
            <w:t>，占总资产的比例为</w:t>
          </w:r>
          <w:sdt>
            <w:sdtPr>
              <w:rPr>
                <w:rFonts w:hint="eastAsia"/>
              </w:rPr>
              <w:alias w:val="报告期内公司境外资产变化占总资产的比例"/>
              <w:tag w:val="_GBC_c83f06156a574d209e05b2246741ffae"/>
              <w:id w:val="188335965"/>
              <w:placeholder>
                <w:docPart w:val="GBC22222222222222222222222222222"/>
              </w:placeholder>
            </w:sdtPr>
            <w:sdtEndPr/>
            <w:sdtContent>
              <w:r w:rsidRPr="006D4FBA">
                <w:t>24.0</w:t>
              </w:r>
            </w:sdtContent>
          </w:sdt>
          <w:r w:rsidRPr="006D4FBA">
            <w:rPr>
              <w:rFonts w:hint="eastAsia"/>
            </w:rPr>
            <w:t>%。</w:t>
          </w:r>
        </w:p>
        <w:p w14:paraId="7ED5D31C" w14:textId="77777777" w:rsidR="00B201D3" w:rsidRPr="006D4FBA" w:rsidRDefault="00C8327E">
          <w:pPr>
            <w:pStyle w:val="3903"/>
          </w:pPr>
        </w:p>
      </w:sdtContent>
    </w:sdt>
    <w:bookmarkEnd w:id="53" w:displacedByCustomXml="next"/>
    <w:bookmarkStart w:id="54" w:name="_Hlk89176028" w:displacedByCustomXml="next"/>
    <w:bookmarkStart w:id="55" w:name="_Hlk105685192" w:displacedByCustomXml="next"/>
    <w:sdt>
      <w:sdtPr>
        <w:rPr>
          <w:rFonts w:ascii="宋体" w:hAnsi="宋体" w:cs="宋体" w:hint="eastAsia"/>
          <w:b w:val="0"/>
          <w:bCs w:val="0"/>
          <w:kern w:val="0"/>
          <w:szCs w:val="21"/>
        </w:rPr>
        <w:alias w:val="模块:境外资产占比较高的相关说明"/>
        <w:tag w:val="_SEC_d3282e023dd342148088e8b62a141d34"/>
        <w:id w:val="839975830"/>
        <w:lock w:val="sdtLocked"/>
        <w:placeholder>
          <w:docPart w:val="GBC22222222222222222222222222222"/>
        </w:placeholder>
      </w:sdtPr>
      <w:sdtEndPr>
        <w:rPr>
          <w:rFonts w:hint="default"/>
        </w:rPr>
      </w:sdtEndPr>
      <w:sdtContent>
        <w:p w14:paraId="6C10DBFF" w14:textId="77777777" w:rsidR="00B201D3" w:rsidRPr="006D4FBA" w:rsidRDefault="009855E8">
          <w:pPr>
            <w:pStyle w:val="5"/>
            <w:numPr>
              <w:ilvl w:val="0"/>
              <w:numId w:val="12"/>
            </w:numPr>
            <w:ind w:left="450" w:hanging="450"/>
            <w:rPr>
              <w:rFonts w:ascii="宋体" w:hAnsi="宋体"/>
              <w:szCs w:val="21"/>
            </w:rPr>
          </w:pPr>
          <w:r w:rsidRPr="006D4FBA">
            <w:rPr>
              <w:rFonts w:ascii="宋体" w:hAnsi="宋体" w:hint="eastAsia"/>
              <w:szCs w:val="21"/>
            </w:rPr>
            <w:t>境外资产占比较高的相关说明</w:t>
          </w:r>
        </w:p>
        <w:sdt>
          <w:sdtPr>
            <w:rPr>
              <w:rFonts w:hint="eastAsia"/>
            </w:rPr>
            <w:alias w:val="是否适用：境外资产占比较高的相关说明  [双击切换]"/>
            <w:tag w:val="_GBC_b94481189588466d82a6180c2e304194"/>
            <w:id w:val="2001541877"/>
            <w:lock w:val="sdtLocked"/>
            <w:placeholder>
              <w:docPart w:val="GBC22222222222222222222222222222"/>
            </w:placeholder>
          </w:sdtPr>
          <w:sdtEndPr/>
          <w:sdtContent>
            <w:p w14:paraId="5DD4A52B" w14:textId="77777777" w:rsidR="00B201D3" w:rsidRPr="006D4FBA" w:rsidRDefault="009855E8">
              <w:pPr>
                <w:pStyle w:val="3903"/>
              </w:pPr>
              <w:r w:rsidRPr="006D4FBA">
                <w:fldChar w:fldCharType="begin"/>
              </w:r>
              <w:r w:rsidRPr="006D4FBA">
                <w:instrText xml:space="preserve"> MACROBUTTON  SnrToggleCheckbox √适用 </w:instrText>
              </w:r>
              <w:r w:rsidRPr="006D4FBA">
                <w:fldChar w:fldCharType="end"/>
              </w:r>
              <w:r w:rsidRPr="006D4FBA">
                <w:fldChar w:fldCharType="begin"/>
              </w:r>
              <w:r w:rsidRPr="006D4FBA">
                <w:instrText xml:space="preserve"> MACROBUTTON  SnrToggleCheckbox □不适用 </w:instrText>
              </w:r>
              <w:r w:rsidRPr="006D4FBA">
                <w:fldChar w:fldCharType="end"/>
              </w:r>
            </w:p>
          </w:sdtContent>
        </w:sdt>
        <w:p w14:paraId="41D1533D" w14:textId="499ECB27" w:rsidR="00B201D3" w:rsidRPr="006D4FBA" w:rsidRDefault="009855E8">
          <w:pPr>
            <w:jc w:val="right"/>
          </w:pPr>
          <w:r w:rsidRPr="006D4FBA">
            <w:rPr>
              <w:rFonts w:hint="eastAsia"/>
            </w:rPr>
            <w:t>单位</w:t>
          </w:r>
          <w:r w:rsidRPr="006D4FBA">
            <w:t>:</w:t>
          </w:r>
          <w:sdt>
            <w:sdtPr>
              <w:alias w:val="单位：境外资产占比较高的相关说明  "/>
              <w:tag w:val="_GBC_bc0a75fd49a3475581a32794bfefe42a"/>
              <w:id w:val="-204697671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46283">
                <w:t>百万元</w:t>
              </w:r>
            </w:sdtContent>
          </w:sdt>
          <w:r w:rsidRPr="006D4FBA">
            <w:rPr>
              <w:rFonts w:hint="eastAsia"/>
            </w:rPr>
            <w:t xml:space="preserve">  币种</w:t>
          </w:r>
          <w:r w:rsidRPr="006D4FBA">
            <w:t>:</w:t>
          </w:r>
          <w:sdt>
            <w:sdtPr>
              <w:alias w:val="币种：境外资产占比较高的相关说明  "/>
              <w:tag w:val="_GBC_c805d93404f6424ca89317cf2193d171"/>
              <w:id w:val="-7938292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46283">
                <w:t>人民币</w:t>
              </w:r>
            </w:sdtContent>
          </w:sdt>
        </w:p>
        <w:tbl>
          <w:tblPr>
            <w:tblStyle w:val="g1"/>
            <w:tblW w:w="8946" w:type="dxa"/>
            <w:tblInd w:w="93" w:type="dxa"/>
            <w:tblLayout w:type="fixed"/>
            <w:tblLook w:val="04A0" w:firstRow="1" w:lastRow="0" w:firstColumn="1" w:lastColumn="0" w:noHBand="0" w:noVBand="1"/>
          </w:tblPr>
          <w:tblGrid>
            <w:gridCol w:w="1575"/>
            <w:gridCol w:w="2003"/>
            <w:gridCol w:w="2107"/>
            <w:gridCol w:w="1701"/>
            <w:gridCol w:w="1560"/>
          </w:tblGrid>
          <w:tr w:rsidR="00B201D3" w:rsidRPr="006D4FBA" w14:paraId="1AFF1D0C" w14:textId="77777777">
            <w:trPr>
              <w:trHeight w:val="303"/>
            </w:trPr>
            <w:sdt>
              <w:sdtPr>
                <w:rPr>
                  <w:rFonts w:hint="eastAsia"/>
                </w:rPr>
                <w:tag w:val="_PLD_15716598b0274485b775825e4c58f8c4"/>
                <w:id w:val="-1182504560"/>
                <w:lock w:val="sdtLocked"/>
              </w:sdtPr>
              <w:sdtEndPr/>
              <w:sdtContent>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73253A" w14:textId="77777777" w:rsidR="00B201D3" w:rsidRPr="006D4FBA" w:rsidRDefault="009855E8">
                    <w:pPr>
                      <w:widowControl w:val="0"/>
                      <w:jc w:val="center"/>
                    </w:pPr>
                    <w:r w:rsidRPr="006D4FBA">
                      <w:rPr>
                        <w:rFonts w:hint="eastAsia"/>
                      </w:rPr>
                      <w:t>境外资产名称</w:t>
                    </w:r>
                  </w:p>
                </w:tc>
              </w:sdtContent>
            </w:sdt>
            <w:sdt>
              <w:sdtPr>
                <w:rPr>
                  <w:rFonts w:hint="eastAsia"/>
                </w:rPr>
                <w:tag w:val="_PLD_fa38a9b7ba214df6bd7f8a5d2c7799f5"/>
                <w:id w:val="577402899"/>
                <w:lock w:val="sdtLocked"/>
              </w:sdtPr>
              <w:sdtEndPr/>
              <w:sdtContent>
                <w:tc>
                  <w:tcPr>
                    <w:tcW w:w="2003" w:type="dxa"/>
                    <w:tcBorders>
                      <w:top w:val="single" w:sz="4" w:space="0" w:color="auto"/>
                      <w:left w:val="nil"/>
                      <w:bottom w:val="single" w:sz="4" w:space="0" w:color="auto"/>
                      <w:right w:val="single" w:sz="4" w:space="0" w:color="auto"/>
                    </w:tcBorders>
                    <w:shd w:val="clear" w:color="auto" w:fill="auto"/>
                    <w:noWrap/>
                    <w:vAlign w:val="center"/>
                  </w:tcPr>
                  <w:p w14:paraId="5A67E248" w14:textId="77777777" w:rsidR="00B201D3" w:rsidRPr="006D4FBA" w:rsidRDefault="009855E8">
                    <w:pPr>
                      <w:widowControl w:val="0"/>
                      <w:jc w:val="center"/>
                    </w:pPr>
                    <w:r w:rsidRPr="006D4FBA">
                      <w:rPr>
                        <w:rFonts w:hint="eastAsia"/>
                      </w:rPr>
                      <w:t>形成原因</w:t>
                    </w:r>
                  </w:p>
                </w:tc>
              </w:sdtContent>
            </w:sdt>
            <w:sdt>
              <w:sdtPr>
                <w:rPr>
                  <w:rFonts w:hint="eastAsia"/>
                </w:rPr>
                <w:tag w:val="_PLD_2121c12f02e5442e85b128f358d12863"/>
                <w:id w:val="-601873375"/>
                <w:lock w:val="sdtLocked"/>
              </w:sdtPr>
              <w:sdtEndPr/>
              <w:sdtContent>
                <w:tc>
                  <w:tcPr>
                    <w:tcW w:w="2107" w:type="dxa"/>
                    <w:tcBorders>
                      <w:top w:val="single" w:sz="4" w:space="0" w:color="auto"/>
                      <w:left w:val="nil"/>
                      <w:bottom w:val="single" w:sz="4" w:space="0" w:color="auto"/>
                      <w:right w:val="single" w:sz="4" w:space="0" w:color="auto"/>
                    </w:tcBorders>
                    <w:shd w:val="clear" w:color="auto" w:fill="auto"/>
                    <w:noWrap/>
                    <w:vAlign w:val="center"/>
                  </w:tcPr>
                  <w:p w14:paraId="5E60D78B" w14:textId="77777777" w:rsidR="00B201D3" w:rsidRPr="006D4FBA" w:rsidRDefault="009855E8">
                    <w:pPr>
                      <w:widowControl w:val="0"/>
                      <w:jc w:val="center"/>
                    </w:pPr>
                    <w:r w:rsidRPr="006D4FBA">
                      <w:rPr>
                        <w:rFonts w:hint="eastAsia"/>
                      </w:rPr>
                      <w:t>运营模式</w:t>
                    </w:r>
                  </w:p>
                </w:tc>
              </w:sdtContent>
            </w:sdt>
            <w:sdt>
              <w:sdtPr>
                <w:rPr>
                  <w:rFonts w:hint="eastAsia"/>
                </w:rPr>
                <w:tag w:val="_PLD_cc2dac44cba540449f6c541f0570ffeb"/>
                <w:id w:val="1309208128"/>
                <w:lock w:val="sdtLocked"/>
              </w:sdtPr>
              <w:sdtEndPr/>
              <w:sdtContent>
                <w:tc>
                  <w:tcPr>
                    <w:tcW w:w="1701" w:type="dxa"/>
                    <w:tcBorders>
                      <w:top w:val="single" w:sz="4" w:space="0" w:color="auto"/>
                      <w:left w:val="nil"/>
                      <w:bottom w:val="single" w:sz="4" w:space="0" w:color="auto"/>
                      <w:right w:val="single" w:sz="4" w:space="0" w:color="auto"/>
                    </w:tcBorders>
                    <w:shd w:val="clear" w:color="auto" w:fill="auto"/>
                    <w:noWrap/>
                    <w:vAlign w:val="center"/>
                  </w:tcPr>
                  <w:p w14:paraId="4439E535" w14:textId="77777777" w:rsidR="00B201D3" w:rsidRPr="006D4FBA" w:rsidRDefault="009855E8">
                    <w:pPr>
                      <w:widowControl w:val="0"/>
                      <w:jc w:val="center"/>
                    </w:pPr>
                    <w:r w:rsidRPr="006D4FBA">
                      <w:rPr>
                        <w:rFonts w:hint="eastAsia"/>
                      </w:rPr>
                      <w:t>本报告期</w:t>
                    </w:r>
                  </w:p>
                  <w:p w14:paraId="7C1B09CD" w14:textId="77777777" w:rsidR="00B201D3" w:rsidRPr="006D4FBA" w:rsidRDefault="009855E8">
                    <w:pPr>
                      <w:widowControl w:val="0"/>
                      <w:jc w:val="center"/>
                    </w:pPr>
                    <w:r w:rsidRPr="006D4FBA">
                      <w:rPr>
                        <w:rFonts w:hint="eastAsia"/>
                      </w:rPr>
                      <w:t>营业收入</w:t>
                    </w:r>
                  </w:p>
                </w:tc>
              </w:sdtContent>
            </w:sdt>
            <w:sdt>
              <w:sdtPr>
                <w:rPr>
                  <w:rFonts w:hint="eastAsia"/>
                </w:rPr>
                <w:tag w:val="_PLD_cb5e6d5f73474ba9be23ad196054b055"/>
                <w:id w:val="-2132930887"/>
                <w:lock w:val="sdtLocked"/>
              </w:sdtPr>
              <w:sdtEndPr/>
              <w:sdtContent>
                <w:tc>
                  <w:tcPr>
                    <w:tcW w:w="1560" w:type="dxa"/>
                    <w:tcBorders>
                      <w:top w:val="single" w:sz="4" w:space="0" w:color="auto"/>
                      <w:left w:val="nil"/>
                      <w:bottom w:val="single" w:sz="4" w:space="0" w:color="auto"/>
                      <w:right w:val="single" w:sz="4" w:space="0" w:color="auto"/>
                    </w:tcBorders>
                    <w:shd w:val="clear" w:color="auto" w:fill="auto"/>
                    <w:noWrap/>
                    <w:vAlign w:val="center"/>
                  </w:tcPr>
                  <w:p w14:paraId="3453FEBA" w14:textId="77777777" w:rsidR="00B201D3" w:rsidRPr="006D4FBA" w:rsidRDefault="009855E8">
                    <w:pPr>
                      <w:widowControl w:val="0"/>
                      <w:jc w:val="center"/>
                    </w:pPr>
                    <w:r w:rsidRPr="006D4FBA">
                      <w:rPr>
                        <w:rFonts w:hint="eastAsia"/>
                      </w:rPr>
                      <w:t>本报告期</w:t>
                    </w:r>
                  </w:p>
                  <w:p w14:paraId="155FE5C9" w14:textId="77777777" w:rsidR="00B201D3" w:rsidRPr="006D4FBA" w:rsidRDefault="009855E8">
                    <w:pPr>
                      <w:widowControl w:val="0"/>
                      <w:jc w:val="center"/>
                    </w:pPr>
                    <w:r w:rsidRPr="006D4FBA">
                      <w:rPr>
                        <w:rFonts w:hint="eastAsia"/>
                      </w:rPr>
                      <w:t>净利润</w:t>
                    </w:r>
                  </w:p>
                </w:tc>
              </w:sdtContent>
            </w:sdt>
          </w:tr>
          <w:sdt>
            <w:sdtPr>
              <w:rPr>
                <w:color w:val="000000"/>
              </w:rPr>
              <w:alias w:val="境外资产占比较高的相关说明表明细"/>
              <w:tag w:val="_TUP_58aa8ae7935741c0b892c597187fbbca"/>
              <w:id w:val="638376350"/>
              <w:lock w:val="sdtLocked"/>
              <w:placeholder>
                <w:docPart w:val="GBC11111111111111111111111111111"/>
              </w:placeholder>
            </w:sdtPr>
            <w:sdtEndPr>
              <w:rPr>
                <w:rFonts w:hint="eastAsia"/>
              </w:rPr>
            </w:sdtEndPr>
            <w:sdtContent>
              <w:tr w:rsidR="00B201D3" w:rsidRPr="006D4FBA" w14:paraId="79308451" w14:textId="77777777">
                <w:trPr>
                  <w:trHeight w:val="285"/>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0A24B5" w14:textId="77777777" w:rsidR="00B201D3" w:rsidRPr="006D4FBA" w:rsidRDefault="009855E8">
                    <w:pPr>
                      <w:jc w:val="center"/>
                    </w:pPr>
                    <w:r w:rsidRPr="006D4FBA">
                      <w:rPr>
                        <w:rFonts w:hint="eastAsia"/>
                        <w:color w:val="000000"/>
                      </w:rPr>
                      <w:t>兖煤澳洲</w:t>
                    </w:r>
                  </w:p>
                </w:tc>
                <w:tc>
                  <w:tcPr>
                    <w:tcW w:w="2003" w:type="dxa"/>
                    <w:tcBorders>
                      <w:top w:val="single" w:sz="4" w:space="0" w:color="auto"/>
                      <w:left w:val="nil"/>
                      <w:bottom w:val="single" w:sz="4" w:space="0" w:color="auto"/>
                      <w:right w:val="single" w:sz="4" w:space="0" w:color="auto"/>
                    </w:tcBorders>
                    <w:shd w:val="clear" w:color="auto" w:fill="auto"/>
                    <w:noWrap/>
                    <w:vAlign w:val="center"/>
                  </w:tcPr>
                  <w:p w14:paraId="482F1B4E" w14:textId="77777777" w:rsidR="00B201D3" w:rsidRPr="006D4FBA" w:rsidRDefault="009855E8">
                    <w:pPr>
                      <w:jc w:val="center"/>
                    </w:pPr>
                    <w:r w:rsidRPr="006D4FBA">
                      <w:rPr>
                        <w:rFonts w:hint="eastAsia"/>
                      </w:rPr>
                      <w:t>出资设立</w:t>
                    </w:r>
                  </w:p>
                </w:tc>
                <w:tc>
                  <w:tcPr>
                    <w:tcW w:w="2107" w:type="dxa"/>
                    <w:tcBorders>
                      <w:top w:val="single" w:sz="4" w:space="0" w:color="auto"/>
                      <w:left w:val="nil"/>
                      <w:bottom w:val="single" w:sz="4" w:space="0" w:color="auto"/>
                      <w:right w:val="single" w:sz="4" w:space="0" w:color="auto"/>
                    </w:tcBorders>
                    <w:shd w:val="clear" w:color="auto" w:fill="auto"/>
                    <w:noWrap/>
                    <w:vAlign w:val="center"/>
                  </w:tcPr>
                  <w:p w14:paraId="52375A39" w14:textId="77777777" w:rsidR="00B201D3" w:rsidRPr="006D4FBA" w:rsidRDefault="009855E8">
                    <w:pPr>
                      <w:jc w:val="center"/>
                    </w:pPr>
                    <w:r w:rsidRPr="006D4FBA">
                      <w:rPr>
                        <w:rFonts w:hint="eastAsia"/>
                      </w:rPr>
                      <w:t>自营</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308D2336" w14:textId="77777777" w:rsidR="00B201D3" w:rsidRPr="006D4FBA" w:rsidRDefault="009855E8">
                    <w:pPr>
                      <w:jc w:val="center"/>
                    </w:pPr>
                    <w:r w:rsidRPr="006D4FBA">
                      <w:t>18,643</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318C94AD" w14:textId="77777777" w:rsidR="00B201D3" w:rsidRPr="006D4FBA" w:rsidRDefault="009855E8">
                    <w:pPr>
                      <w:jc w:val="center"/>
                    </w:pPr>
                    <w:r w:rsidRPr="006D4FBA">
                      <w:t>4,628</w:t>
                    </w:r>
                  </w:p>
                </w:tc>
              </w:tr>
            </w:sdtContent>
          </w:sdt>
          <w:sdt>
            <w:sdtPr>
              <w:rPr>
                <w:color w:val="000000"/>
              </w:rPr>
              <w:alias w:val="境外资产占比较高的相关说明表明细"/>
              <w:tag w:val="_TUP_58aa8ae7935741c0b892c597187fbbca"/>
              <w:id w:val="-558009666"/>
              <w:lock w:val="sdtLocked"/>
              <w:placeholder>
                <w:docPart w:val="GBC11111111111111111111111111111"/>
              </w:placeholder>
            </w:sdtPr>
            <w:sdtEndPr>
              <w:rPr>
                <w:rFonts w:hint="eastAsia"/>
              </w:rPr>
            </w:sdtEndPr>
            <w:sdtContent>
              <w:tr w:rsidR="00B201D3" w:rsidRPr="006D4FBA" w14:paraId="686C9DAC" w14:textId="77777777">
                <w:trPr>
                  <w:trHeight w:val="285"/>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50FE9A" w14:textId="77777777" w:rsidR="00B201D3" w:rsidRPr="006D4FBA" w:rsidRDefault="009855E8">
                    <w:pPr>
                      <w:jc w:val="center"/>
                    </w:pPr>
                    <w:r w:rsidRPr="006D4FBA">
                      <w:rPr>
                        <w:rFonts w:hint="eastAsia"/>
                        <w:color w:val="000000"/>
                      </w:rPr>
                      <w:t>兖煤国际</w:t>
                    </w:r>
                  </w:p>
                </w:tc>
                <w:tc>
                  <w:tcPr>
                    <w:tcW w:w="2003" w:type="dxa"/>
                    <w:tcBorders>
                      <w:top w:val="single" w:sz="4" w:space="0" w:color="auto"/>
                      <w:left w:val="nil"/>
                      <w:bottom w:val="single" w:sz="4" w:space="0" w:color="auto"/>
                      <w:right w:val="single" w:sz="4" w:space="0" w:color="auto"/>
                    </w:tcBorders>
                    <w:shd w:val="clear" w:color="auto" w:fill="auto"/>
                    <w:noWrap/>
                    <w:vAlign w:val="center"/>
                  </w:tcPr>
                  <w:p w14:paraId="1F44386F" w14:textId="77777777" w:rsidR="00B201D3" w:rsidRPr="006D4FBA" w:rsidRDefault="009855E8">
                    <w:pPr>
                      <w:jc w:val="center"/>
                    </w:pPr>
                    <w:r w:rsidRPr="006D4FBA">
                      <w:rPr>
                        <w:rFonts w:hint="eastAsia"/>
                      </w:rPr>
                      <w:t>出资设立</w:t>
                    </w:r>
                  </w:p>
                </w:tc>
                <w:tc>
                  <w:tcPr>
                    <w:tcW w:w="2107" w:type="dxa"/>
                    <w:tcBorders>
                      <w:top w:val="single" w:sz="4" w:space="0" w:color="auto"/>
                      <w:left w:val="nil"/>
                      <w:bottom w:val="single" w:sz="4" w:space="0" w:color="auto"/>
                      <w:right w:val="single" w:sz="4" w:space="0" w:color="auto"/>
                    </w:tcBorders>
                    <w:shd w:val="clear" w:color="auto" w:fill="auto"/>
                    <w:noWrap/>
                    <w:vAlign w:val="center"/>
                  </w:tcPr>
                  <w:p w14:paraId="1735AFAD" w14:textId="77777777" w:rsidR="00B201D3" w:rsidRPr="006D4FBA" w:rsidRDefault="009855E8">
                    <w:pPr>
                      <w:jc w:val="center"/>
                    </w:pPr>
                    <w:r w:rsidRPr="006D4FBA">
                      <w:rPr>
                        <w:rFonts w:hint="eastAsia"/>
                      </w:rPr>
                      <w:t>自营</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01A13FEA" w14:textId="77777777" w:rsidR="00B201D3" w:rsidRPr="006D4FBA" w:rsidRDefault="009855E8">
                    <w:pPr>
                      <w:jc w:val="center"/>
                    </w:pPr>
                    <w:r w:rsidRPr="006D4FBA">
                      <w:t>2,595</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221DB319" w14:textId="77777777" w:rsidR="00B201D3" w:rsidRPr="006D4FBA" w:rsidRDefault="009855E8">
                    <w:pPr>
                      <w:jc w:val="center"/>
                    </w:pPr>
                    <w:r w:rsidRPr="006D4FBA">
                      <w:t>915</w:t>
                    </w:r>
                  </w:p>
                </w:tc>
              </w:tr>
            </w:sdtContent>
          </w:sdt>
        </w:tbl>
        <w:p w14:paraId="29E9C1CA" w14:textId="77777777" w:rsidR="00B201D3" w:rsidRPr="006D4FBA" w:rsidRDefault="00C8327E">
          <w:pPr>
            <w:pStyle w:val="3903"/>
          </w:pPr>
        </w:p>
      </w:sdtContent>
    </w:sdt>
    <w:bookmarkEnd w:id="54" w:displacedByCustomXml="next"/>
    <w:sdt>
      <w:sdtPr>
        <w:rPr>
          <w:color w:val="000000"/>
        </w:rPr>
        <w:alias w:val="模块:其他说明"/>
        <w:tag w:val="_SEC_1054cd8b91c348ed94f7bc925d57ba7b"/>
        <w:id w:val="1991668984"/>
        <w:placeholder>
          <w:docPart w:val="GBC22222222222222222222222222222"/>
        </w:placeholder>
      </w:sdtPr>
      <w:sdtEndPr>
        <w:rPr>
          <w:rFonts w:hint="eastAsia"/>
          <w:color w:val="auto"/>
        </w:rPr>
      </w:sdtEndPr>
      <w:sdtContent>
        <w:p w14:paraId="07BC2C91" w14:textId="77777777" w:rsidR="00B201D3" w:rsidRPr="006D4FBA" w:rsidRDefault="009855E8">
          <w:pPr>
            <w:rPr>
              <w:color w:val="000000"/>
            </w:rPr>
          </w:pPr>
          <w:r w:rsidRPr="006D4FBA">
            <w:rPr>
              <w:color w:val="000000"/>
            </w:rPr>
            <w:t>其他说明</w:t>
          </w:r>
        </w:p>
        <w:sdt>
          <w:sdtPr>
            <w:rPr>
              <w:color w:val="000000"/>
            </w:rPr>
            <w:alias w:val="境外资产相关说明 "/>
            <w:tag w:val="_GBC_41f1e6e9cf2548bb879088d0ad64be9c"/>
            <w:id w:val="-497815413"/>
            <w:placeholder>
              <w:docPart w:val="GBC22222222222222222222222222222"/>
            </w:placeholder>
          </w:sdtPr>
          <w:sdtEndPr/>
          <w:sdtContent>
            <w:p w14:paraId="59066368" w14:textId="77777777" w:rsidR="00B201D3" w:rsidRPr="006D4FBA" w:rsidRDefault="009855E8">
              <w:pPr>
                <w:rPr>
                  <w:color w:val="000000"/>
                </w:rPr>
              </w:pPr>
              <w:r w:rsidRPr="006D4FBA">
                <w:rPr>
                  <w:rFonts w:hint="eastAsia"/>
                  <w:color w:val="000000"/>
                </w:rPr>
                <w:t>不适用。</w:t>
              </w:r>
            </w:p>
          </w:sdtContent>
        </w:sdt>
        <w:p w14:paraId="6520777A" w14:textId="77777777" w:rsidR="00B201D3" w:rsidRPr="006D4FBA" w:rsidRDefault="00C8327E">
          <w:pPr>
            <w:pStyle w:val="3903"/>
          </w:pPr>
        </w:p>
      </w:sdtContent>
    </w:sdt>
    <w:bookmarkEnd w:id="55" w:displacedByCustomXml="next"/>
    <w:sdt>
      <w:sdtPr>
        <w:rPr>
          <w:rFonts w:ascii="宋体" w:hAnsi="宋体" w:cs="宋体"/>
          <w:b w:val="0"/>
          <w:bCs w:val="0"/>
          <w:kern w:val="0"/>
          <w:szCs w:val="21"/>
        </w:rPr>
        <w:alias w:val="模块:截至报告期末主要资产受限情"/>
        <w:tag w:val="_SEC_390cddc4349f46b4bcccd468c3e69d14"/>
        <w:id w:val="-825361539"/>
        <w:lock w:val="sdtLocked"/>
        <w:placeholder>
          <w:docPart w:val="GBC22222222222222222222222222222"/>
        </w:placeholder>
      </w:sdtPr>
      <w:sdtEndPr>
        <w:rPr>
          <w:rFonts w:hint="eastAsia"/>
          <w:color w:val="000000" w:themeColor="text1"/>
          <w:u w:val="single"/>
        </w:rPr>
      </w:sdtEndPr>
      <w:sdtContent>
        <w:p w14:paraId="29947656" w14:textId="77777777" w:rsidR="00B201D3" w:rsidRPr="006D4FBA" w:rsidRDefault="009855E8">
          <w:pPr>
            <w:pStyle w:val="4"/>
            <w:numPr>
              <w:ilvl w:val="0"/>
              <w:numId w:val="11"/>
            </w:numPr>
            <w:rPr>
              <w:rFonts w:ascii="宋体" w:hAnsi="宋体"/>
              <w:szCs w:val="21"/>
            </w:rPr>
          </w:pPr>
          <w:r w:rsidRPr="006D4FBA">
            <w:rPr>
              <w:rFonts w:ascii="宋体" w:hAnsi="宋体"/>
              <w:szCs w:val="21"/>
            </w:rPr>
            <w:t>截至报告期末主要资产受限情</w:t>
          </w:r>
          <w:r w:rsidRPr="006D4FBA">
            <w:rPr>
              <w:rFonts w:ascii="宋体" w:hAnsi="宋体" w:hint="eastAsia"/>
              <w:szCs w:val="21"/>
            </w:rPr>
            <w:t>况</w:t>
          </w:r>
        </w:p>
        <w:sdt>
          <w:sdtPr>
            <w:rPr>
              <w:rFonts w:hint="eastAsia"/>
              <w:color w:val="000000" w:themeColor="text1"/>
            </w:rPr>
            <w:alias w:val="是否适用：主要资产受限情况[双击切换]"/>
            <w:tag w:val="_GBC_e9f1a2b3f13345eaac848c40837fffbb"/>
            <w:id w:val="-1638946345"/>
            <w:lock w:val="sdtLocked"/>
            <w:placeholder>
              <w:docPart w:val="GBC22222222222222222222222222222"/>
            </w:placeholder>
          </w:sdtPr>
          <w:sdtEndPr/>
          <w:sdtContent>
            <w:p w14:paraId="3F8C941D" w14:textId="77777777" w:rsidR="00B201D3" w:rsidRPr="006D4FBA" w:rsidRDefault="009855E8">
              <w:pPr>
                <w:rPr>
                  <w:color w:val="000000" w:themeColor="text1"/>
                </w:rPr>
              </w:pPr>
              <w:r w:rsidRPr="006D4FBA">
                <w:rPr>
                  <w:color w:val="000000" w:themeColor="text1"/>
                </w:rPr>
                <w:fldChar w:fldCharType="begin"/>
              </w:r>
              <w:r w:rsidRPr="006D4FBA">
                <w:rPr>
                  <w:color w:val="000000" w:themeColor="text1"/>
                </w:rPr>
                <w:instrText xml:space="preserve"> MACROBUTTON  SnrToggleCheckbox √适用 </w:instrText>
              </w:r>
              <w:r w:rsidRPr="006D4FBA">
                <w:rPr>
                  <w:color w:val="000000" w:themeColor="text1"/>
                </w:rPr>
                <w:fldChar w:fldCharType="end"/>
              </w:r>
              <w:r w:rsidRPr="006D4FBA">
                <w:rPr>
                  <w:color w:val="000000" w:themeColor="text1"/>
                </w:rPr>
                <w:fldChar w:fldCharType="begin"/>
              </w:r>
              <w:r w:rsidRPr="006D4FBA">
                <w:rPr>
                  <w:color w:val="000000" w:themeColor="text1"/>
                </w:rPr>
                <w:instrText xml:space="preserve"> MACROBUTTON  SnrToggleCheckbox □不适用 </w:instrText>
              </w:r>
              <w:r w:rsidRPr="006D4FBA">
                <w:rPr>
                  <w:color w:val="000000" w:themeColor="text1"/>
                </w:rPr>
                <w:fldChar w:fldCharType="end"/>
              </w:r>
            </w:p>
          </w:sdtContent>
        </w:sdt>
        <w:sdt>
          <w:sdtPr>
            <w:rPr>
              <w:color w:val="000000" w:themeColor="text1"/>
            </w:rPr>
            <w:alias w:val="主要资产受限情况"/>
            <w:tag w:val="_GBC_a45de9537ca94b758cc1d9c201a60b53"/>
            <w:id w:val="-287668831"/>
            <w:lock w:val="sdtLocked"/>
            <w:placeholder>
              <w:docPart w:val="GBC22222222222222222222222222222"/>
            </w:placeholder>
          </w:sdtPr>
          <w:sdtEndPr>
            <w:rPr>
              <w:u w:val="single"/>
            </w:rPr>
          </w:sdtEndPr>
          <w:sdtContent>
            <w:p w14:paraId="0F1AF255" w14:textId="1B9CDBA1" w:rsidR="00B201D3" w:rsidRPr="006D4FBA" w:rsidRDefault="009855E8">
              <w:pPr>
                <w:ind w:firstLineChars="200" w:firstLine="420"/>
                <w:jc w:val="both"/>
                <w:rPr>
                  <w:color w:val="000000" w:themeColor="text1"/>
                  <w:u w:val="single"/>
                </w:rPr>
              </w:pPr>
              <w:r w:rsidRPr="006D4FBA">
                <w:rPr>
                  <w:rFonts w:hint="eastAsia"/>
                  <w:color w:val="000000" w:themeColor="text1"/>
                </w:rPr>
                <w:t>截至</w:t>
              </w:r>
              <w:r w:rsidRPr="006D4FBA">
                <w:rPr>
                  <w:color w:val="000000" w:themeColor="text1"/>
                </w:rPr>
                <w:t>2023年6月30日，本集团受限资产金额为</w:t>
              </w:r>
              <w:r w:rsidR="00714369">
                <w:rPr>
                  <w:color w:val="000000" w:themeColor="text1"/>
                </w:rPr>
                <w:t>1,044.56</w:t>
              </w:r>
              <w:r w:rsidRPr="006D4FBA">
                <w:rPr>
                  <w:color w:val="000000" w:themeColor="text1"/>
                </w:rPr>
                <w:t>亿元，主要是货币资金、应收款项融资及取得借款而抵押的相关资产。详情请见按中国会计准则编制的财务报告附注“合并财务报表主要项目注释—所有权或使用权受到限制的资产”。</w:t>
              </w:r>
            </w:p>
          </w:sdtContent>
        </w:sdt>
      </w:sdtContent>
    </w:sdt>
    <w:p w14:paraId="17CF5989" w14:textId="77777777" w:rsidR="00B201D3" w:rsidRPr="006D4FBA" w:rsidRDefault="00B201D3">
      <w:pPr>
        <w:rPr>
          <w:color w:val="000000" w:themeColor="text1"/>
        </w:rPr>
      </w:pPr>
    </w:p>
    <w:sdt>
      <w:sdtPr>
        <w:rPr>
          <w:rFonts w:ascii="宋体" w:hAnsi="宋体" w:cs="宋体"/>
          <w:b w:val="0"/>
          <w:bCs w:val="0"/>
          <w:kern w:val="0"/>
          <w:szCs w:val="21"/>
        </w:rPr>
        <w:alias w:val="模块:其他说明"/>
        <w:tag w:val="_SEC_a3069c29080242b4a4de48db80a4164e"/>
        <w:id w:val="760569661"/>
        <w:lock w:val="sdtLocked"/>
        <w:placeholder>
          <w:docPart w:val="GBC22222222222222222222222222222"/>
        </w:placeholder>
      </w:sdtPr>
      <w:sdtEndPr>
        <w:rPr>
          <w:rFonts w:hint="eastAsia"/>
        </w:rPr>
      </w:sdtEndPr>
      <w:sdtContent>
        <w:p w14:paraId="08AA8828" w14:textId="77777777" w:rsidR="00B201D3" w:rsidRPr="006D4FBA" w:rsidRDefault="009855E8">
          <w:pPr>
            <w:pStyle w:val="4"/>
            <w:numPr>
              <w:ilvl w:val="0"/>
              <w:numId w:val="11"/>
            </w:numPr>
            <w:rPr>
              <w:rFonts w:ascii="宋体" w:hAnsi="宋体"/>
              <w:szCs w:val="21"/>
            </w:rPr>
          </w:pPr>
          <w:r w:rsidRPr="006D4FBA">
            <w:rPr>
              <w:rFonts w:ascii="宋体" w:hAnsi="宋体"/>
              <w:szCs w:val="21"/>
            </w:rPr>
            <w:t>其他说明</w:t>
          </w:r>
        </w:p>
        <w:sdt>
          <w:sdtPr>
            <w:rPr>
              <w:rFonts w:hint="eastAsia"/>
            </w:rPr>
            <w:alias w:val="是否适用：资产及负债状况的其他说明[双击切换]"/>
            <w:tag w:val="_GBC_ba674147d80648fba521aedf33ce0b27"/>
            <w:id w:val="1326783413"/>
            <w:lock w:val="sdtLocked"/>
            <w:placeholder>
              <w:docPart w:val="GBC22222222222222222222222222222"/>
            </w:placeholder>
          </w:sdtPr>
          <w:sdtEndPr/>
          <w:sdtContent>
            <w:p w14:paraId="11362087" w14:textId="77777777" w:rsidR="00B201D3" w:rsidRPr="006D4FBA" w:rsidRDefault="009855E8">
              <w:pPr>
                <w:pStyle w:val="3903"/>
              </w:pPr>
              <w:r w:rsidRPr="006D4FBA">
                <w:fldChar w:fldCharType="begin"/>
              </w:r>
              <w:r w:rsidRPr="006D4FBA">
                <w:instrText xml:space="preserve"> MACROBUTTON  SnrToggleCheckbox √适用 </w:instrText>
              </w:r>
              <w:r w:rsidRPr="006D4FBA">
                <w:fldChar w:fldCharType="end"/>
              </w:r>
              <w:r w:rsidRPr="006D4FBA">
                <w:fldChar w:fldCharType="begin"/>
              </w:r>
              <w:r w:rsidRPr="006D4FBA">
                <w:instrText xml:space="preserve"> MACROBUTTON  SnrToggleCheckbox □不适用 </w:instrText>
              </w:r>
              <w:r w:rsidRPr="006D4FBA">
                <w:fldChar w:fldCharType="end"/>
              </w:r>
            </w:p>
          </w:sdtContent>
        </w:sdt>
        <w:sdt>
          <w:sdtPr>
            <w:alias w:val="资产及负债状况的其他说明"/>
            <w:tag w:val="_GBC_c76402abcb084333912be41804c53ad0"/>
            <w:id w:val="1150099498"/>
            <w:lock w:val="sdtLocked"/>
            <w:placeholder>
              <w:docPart w:val="GBC22222222222222222222222222222"/>
            </w:placeholder>
          </w:sdtPr>
          <w:sdtEndPr/>
          <w:sdtContent>
            <w:p w14:paraId="648AA525" w14:textId="77777777" w:rsidR="00B201D3" w:rsidRPr="006D4FBA" w:rsidRDefault="009855E8">
              <w:pPr>
                <w:pStyle w:val="3733"/>
              </w:pPr>
              <w:r w:rsidRPr="006D4FBA">
                <w:rPr>
                  <w:rFonts w:hint="eastAsia"/>
                </w:rPr>
                <w:t>(1) 资本负债比率</w:t>
              </w:r>
            </w:p>
            <w:p w14:paraId="35EE6EEF" w14:textId="77777777" w:rsidR="00B201D3" w:rsidRPr="006D4FBA" w:rsidRDefault="009855E8">
              <w:pPr>
                <w:ind w:firstLineChars="200" w:firstLine="420"/>
                <w:rPr>
                  <w:bCs/>
                </w:rPr>
              </w:pPr>
              <w:r w:rsidRPr="006D4FBA">
                <w:rPr>
                  <w:rFonts w:hint="eastAsia"/>
                  <w:bCs/>
                </w:rPr>
                <w:t>截至202</w:t>
              </w:r>
              <w:r w:rsidRPr="006D4FBA">
                <w:rPr>
                  <w:bCs/>
                </w:rPr>
                <w:t>3</w:t>
              </w:r>
              <w:r w:rsidRPr="006D4FBA">
                <w:rPr>
                  <w:rFonts w:hint="eastAsia"/>
                  <w:bCs/>
                </w:rPr>
                <w:t>年6月30日，归属于母公司股东权益为</w:t>
              </w:r>
              <w:r w:rsidRPr="006D4FBA">
                <w:rPr>
                  <w:bCs/>
                  <w:color w:val="000000" w:themeColor="text1"/>
                </w:rPr>
                <w:t>828.12</w:t>
              </w:r>
              <w:r w:rsidRPr="006D4FBA">
                <w:rPr>
                  <w:rFonts w:hint="eastAsia"/>
                  <w:bCs/>
                </w:rPr>
                <w:t>亿元，有息负债为</w:t>
              </w:r>
              <w:r w:rsidRPr="006D4FBA">
                <w:rPr>
                  <w:bCs/>
                </w:rPr>
                <w:t>945.43</w:t>
              </w:r>
              <w:r w:rsidRPr="006D4FBA">
                <w:rPr>
                  <w:rFonts w:hint="eastAsia"/>
                  <w:bCs/>
                </w:rPr>
                <w:t>亿元，资本负债比率为</w:t>
              </w:r>
              <w:r w:rsidRPr="006D4FBA">
                <w:rPr>
                  <w:bCs/>
                </w:rPr>
                <w:t>114.2</w:t>
              </w:r>
              <w:r w:rsidRPr="006D4FBA">
                <w:rPr>
                  <w:rFonts w:hint="eastAsia"/>
                  <w:bCs/>
                </w:rPr>
                <w:t>%。</w:t>
              </w:r>
            </w:p>
            <w:p w14:paraId="17228F48" w14:textId="77777777" w:rsidR="00B201D3" w:rsidRPr="006D4FBA" w:rsidRDefault="009855E8">
              <w:pPr>
                <w:pStyle w:val="3903"/>
              </w:pPr>
              <w:r w:rsidRPr="006D4FBA">
                <w:rPr>
                  <w:rFonts w:hint="eastAsia"/>
                </w:rPr>
                <w:t>(2) 或有负债</w:t>
              </w:r>
            </w:p>
            <w:p w14:paraId="23DF896F" w14:textId="77777777" w:rsidR="00B201D3" w:rsidRPr="006D4FBA" w:rsidRDefault="009855E8">
              <w:pPr>
                <w:ind w:firstLineChars="200" w:firstLine="420"/>
                <w:rPr>
                  <w:bCs/>
                </w:rPr>
              </w:pPr>
              <w:r w:rsidRPr="006D4FBA">
                <w:rPr>
                  <w:rFonts w:hint="eastAsia"/>
                  <w:bCs/>
                </w:rPr>
                <w:t>有关或有负债详情请见按国际财务报告准则编制的</w:t>
              </w:r>
              <w:r w:rsidRPr="00D43F2B">
                <w:rPr>
                  <w:rFonts w:hint="eastAsia"/>
                  <w:bCs/>
                </w:rPr>
                <w:t>财务报表附注“</w:t>
              </w:r>
              <w:bookmarkStart w:id="56" w:name="_Hlk112357687"/>
              <w:r w:rsidRPr="00D43F2B">
                <w:rPr>
                  <w:rFonts w:hint="eastAsia"/>
                  <w:bCs/>
                </w:rPr>
                <w:t>或有负债</w:t>
              </w:r>
              <w:bookmarkEnd w:id="56"/>
              <w:r w:rsidRPr="00D43F2B">
                <w:rPr>
                  <w:rFonts w:hint="eastAsia"/>
                  <w:bCs/>
                </w:rPr>
                <w:t>”。</w:t>
              </w:r>
            </w:p>
            <w:p w14:paraId="51A83DB7" w14:textId="77777777" w:rsidR="00B201D3" w:rsidRPr="006D4FBA" w:rsidRDefault="009855E8">
              <w:pPr>
                <w:pStyle w:val="3903"/>
              </w:pPr>
              <w:r w:rsidRPr="006D4FBA">
                <w:rPr>
                  <w:rFonts w:hint="eastAsia"/>
                </w:rPr>
                <w:t>(3) 资产抵押</w:t>
              </w:r>
            </w:p>
            <w:p w14:paraId="3E547FE1" w14:textId="77777777" w:rsidR="00B201D3" w:rsidRPr="006D4FBA" w:rsidRDefault="009855E8">
              <w:pPr>
                <w:ind w:firstLineChars="200" w:firstLine="420"/>
                <w:rPr>
                  <w:bCs/>
                  <w:u w:val="single"/>
                </w:rPr>
              </w:pPr>
              <w:r w:rsidRPr="006D4FBA">
                <w:rPr>
                  <w:rFonts w:hint="eastAsia"/>
                  <w:bCs/>
                </w:rPr>
                <w:t>有关资产抵押详情请见按中国会计准则编制的财务报表附注“合并财务报表项目注释—所有权或使用权受到限制的资产”。</w:t>
              </w:r>
            </w:p>
          </w:sdtContent>
        </w:sdt>
      </w:sdtContent>
    </w:sdt>
    <w:p w14:paraId="4ABAB1E1" w14:textId="77777777" w:rsidR="00B201D3" w:rsidRPr="006D4FBA" w:rsidRDefault="00B201D3">
      <w:pPr>
        <w:pStyle w:val="3903"/>
      </w:pPr>
    </w:p>
    <w:p w14:paraId="7746E817" w14:textId="77777777" w:rsidR="00B201D3" w:rsidRPr="006D4FBA" w:rsidRDefault="009855E8">
      <w:pPr>
        <w:pStyle w:val="3"/>
        <w:numPr>
          <w:ilvl w:val="0"/>
          <w:numId w:val="7"/>
        </w:numPr>
        <w:rPr>
          <w:rFonts w:ascii="宋体" w:hAnsi="宋体"/>
        </w:rPr>
      </w:pPr>
      <w:r w:rsidRPr="006D4FBA">
        <w:rPr>
          <w:rFonts w:ascii="宋体" w:hAnsi="宋体" w:hint="eastAsia"/>
        </w:rPr>
        <w:t>投资状况分析</w:t>
      </w:r>
    </w:p>
    <w:sdt>
      <w:sdtPr>
        <w:rPr>
          <w:rFonts w:ascii="宋体" w:hAnsi="宋体" w:cs="宋体"/>
          <w:b w:val="0"/>
          <w:bCs w:val="0"/>
          <w:kern w:val="0"/>
          <w:szCs w:val="24"/>
        </w:rPr>
        <w:alias w:val="模块:对外股权投资总体分析"/>
        <w:tag w:val="_SEC_e7a08c655c9844a8b5127e2ae800064c"/>
        <w:id w:val="45801348"/>
        <w:lock w:val="sdtLocked"/>
        <w:placeholder>
          <w:docPart w:val="GBC22222222222222222222222222222"/>
        </w:placeholder>
      </w:sdtPr>
      <w:sdtEndPr>
        <w:rPr>
          <w:rFonts w:hint="eastAsia"/>
          <w:szCs w:val="21"/>
        </w:rPr>
      </w:sdtEndPr>
      <w:sdtContent>
        <w:p w14:paraId="7642B503" w14:textId="77777777" w:rsidR="00B201D3" w:rsidRPr="006D4FBA" w:rsidRDefault="009855E8">
          <w:pPr>
            <w:pStyle w:val="4"/>
            <w:numPr>
              <w:ilvl w:val="0"/>
              <w:numId w:val="13"/>
            </w:numPr>
            <w:rPr>
              <w:rFonts w:ascii="宋体" w:hAnsi="宋体"/>
            </w:rPr>
          </w:pPr>
          <w:r w:rsidRPr="006D4FBA">
            <w:rPr>
              <w:rFonts w:ascii="宋体" w:hAnsi="宋体"/>
            </w:rPr>
            <w:t>对外股权投资总体分析</w:t>
          </w:r>
        </w:p>
        <w:p w14:paraId="78271B43" w14:textId="77777777" w:rsidR="00B201D3" w:rsidRPr="006D4FBA" w:rsidRDefault="00C8327E">
          <w:pPr>
            <w:pStyle w:val="3903"/>
          </w:pPr>
          <w:sdt>
            <w:sdtPr>
              <w:alias w:val="是否适用：对外股权投资总体分析[双击切换]"/>
              <w:tag w:val="_GBC_d1852fb41d2a420f9f1d78c35235341a"/>
              <w:id w:val="-303775805"/>
              <w:lock w:val="sdtLocked"/>
              <w:placeholder>
                <w:docPart w:val="GBC22222222222222222222222222222"/>
              </w:placeholder>
            </w:sdtPr>
            <w:sdtEndPr/>
            <w:sdtContent>
              <w:r w:rsidR="009855E8" w:rsidRPr="006D4FBA">
                <w:fldChar w:fldCharType="begin"/>
              </w:r>
              <w:r w:rsidR="009855E8" w:rsidRPr="006D4FBA">
                <w:instrText xml:space="preserve"> MACROBUTTON  SnrToggleCheckbox □适用 </w:instrText>
              </w:r>
              <w:r w:rsidR="009855E8" w:rsidRPr="006D4FBA">
                <w:fldChar w:fldCharType="end"/>
              </w:r>
              <w:r w:rsidR="009855E8" w:rsidRPr="006D4FBA">
                <w:fldChar w:fldCharType="begin"/>
              </w:r>
              <w:r w:rsidR="009855E8" w:rsidRPr="006D4FBA">
                <w:instrText xml:space="preserve"> MACROBUTTON  SnrToggleCheckbox √不适用 </w:instrText>
              </w:r>
              <w:r w:rsidR="009855E8" w:rsidRPr="006D4FBA">
                <w:fldChar w:fldCharType="end"/>
              </w:r>
            </w:sdtContent>
          </w:sdt>
        </w:p>
        <w:p w14:paraId="0F4DDE31" w14:textId="77777777" w:rsidR="00B201D3" w:rsidRPr="006D4FBA" w:rsidRDefault="00C8327E">
          <w:pPr>
            <w:pStyle w:val="3903"/>
          </w:pPr>
        </w:p>
      </w:sdtContent>
    </w:sdt>
    <w:p w14:paraId="3951B33A" w14:textId="77777777" w:rsidR="00B201D3" w:rsidRPr="006D4FBA" w:rsidRDefault="00B201D3">
      <w:pPr>
        <w:sectPr w:rsidR="00B201D3" w:rsidRPr="006D4FBA">
          <w:pgSz w:w="11906" w:h="16838"/>
          <w:pgMar w:top="1525" w:right="1276" w:bottom="1440" w:left="1797" w:header="851" w:footer="992" w:gutter="0"/>
          <w:cols w:space="425"/>
          <w:docGrid w:linePitch="312"/>
        </w:sectPr>
      </w:pPr>
    </w:p>
    <w:bookmarkStart w:id="57" w:name="_Hlk137045665" w:displacedByCustomXml="next"/>
    <w:sdt>
      <w:sdtPr>
        <w:rPr>
          <w:rFonts w:ascii="宋体" w:hAnsi="宋体" w:cs="宋体" w:hint="eastAsia"/>
          <w:b w:val="0"/>
          <w:bCs w:val="0"/>
          <w:kern w:val="0"/>
          <w:szCs w:val="21"/>
        </w:rPr>
        <w:alias w:val="模块:重大的股权投资"/>
        <w:tag w:val="_SEC_6dcee2c665d94c8b941605cedc06f568"/>
        <w:id w:val="542482182"/>
        <w:lock w:val="sdtLocked"/>
        <w:placeholder>
          <w:docPart w:val="GBC22222222222222222222222222222"/>
        </w:placeholder>
      </w:sdtPr>
      <w:sdtEndPr/>
      <w:sdtContent>
        <w:p w14:paraId="0E557F1B" w14:textId="77777777" w:rsidR="00B201D3" w:rsidRPr="006D4FBA" w:rsidRDefault="009855E8">
          <w:pPr>
            <w:pStyle w:val="5"/>
            <w:numPr>
              <w:ilvl w:val="0"/>
              <w:numId w:val="14"/>
            </w:numPr>
            <w:tabs>
              <w:tab w:val="left" w:pos="360"/>
            </w:tabs>
            <w:ind w:left="0" w:firstLine="0"/>
            <w:rPr>
              <w:rFonts w:ascii="宋体" w:hAnsi="宋体"/>
              <w:szCs w:val="21"/>
            </w:rPr>
          </w:pPr>
          <w:r w:rsidRPr="006D4FBA">
            <w:rPr>
              <w:rFonts w:ascii="宋体" w:hAnsi="宋体" w:hint="eastAsia"/>
              <w:szCs w:val="21"/>
            </w:rPr>
            <w:t>重大的股权投资</w:t>
          </w:r>
        </w:p>
        <w:sdt>
          <w:sdtPr>
            <w:rPr>
              <w:rFonts w:hint="eastAsia"/>
            </w:rPr>
            <w:alias w:val="是否适用：重大的股权投资[双击切换]"/>
            <w:tag w:val="_GBC_9d4d997d9f994cccbb938afa207cfaf2"/>
            <w:id w:val="1019900836"/>
            <w:lock w:val="sdtLocked"/>
            <w:placeholder>
              <w:docPart w:val="GBC22222222222222222222222222222"/>
            </w:placeholder>
          </w:sdtPr>
          <w:sdtEndPr/>
          <w:sdtContent>
            <w:p w14:paraId="00F9E9C8" w14:textId="77777777" w:rsidR="00B201D3" w:rsidRPr="006D4FBA" w:rsidRDefault="009855E8">
              <w:pPr>
                <w:pStyle w:val="3903"/>
              </w:pPr>
              <w:r w:rsidRPr="006D4FBA">
                <w:fldChar w:fldCharType="begin"/>
              </w:r>
              <w:r w:rsidRPr="006D4FBA">
                <w:instrText xml:space="preserve"> MACROBUTTON  SnrToggleCheckbox √适用  </w:instrText>
              </w:r>
              <w:r w:rsidRPr="006D4FBA">
                <w:fldChar w:fldCharType="end"/>
              </w:r>
              <w:r w:rsidRPr="006D4FBA">
                <w:fldChar w:fldCharType="begin"/>
              </w:r>
              <w:r w:rsidRPr="006D4FBA">
                <w:instrText xml:space="preserve"> MACROBUTTON  SnrToggleCheckbox □不适用 </w:instrText>
              </w:r>
              <w:r w:rsidRPr="006D4FBA">
                <w:fldChar w:fldCharType="end"/>
              </w:r>
            </w:p>
          </w:sdtContent>
        </w:sdt>
        <w:p w14:paraId="0E8A4F43" w14:textId="2DF7929B" w:rsidR="00B201D3" w:rsidRPr="006D4FBA" w:rsidRDefault="009855E8">
          <w:pPr>
            <w:jc w:val="right"/>
          </w:pPr>
          <w:r w:rsidRPr="006D4FBA">
            <w:rPr>
              <w:rFonts w:hint="eastAsia"/>
            </w:rPr>
            <w:t>单位：</w:t>
          </w:r>
          <w:sdt>
            <w:sdtPr>
              <w:rPr>
                <w:rFonts w:hint="eastAsia"/>
              </w:rPr>
              <w:alias w:val="单位：重大的股权投资"/>
              <w:tag w:val="_GBC_db44489b1cb7431aa575bc3fb192bc52"/>
              <w:id w:val="-128234496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46283">
                <w:rPr>
                  <w:rFonts w:hint="eastAsia"/>
                </w:rPr>
                <w:t>亿元</w:t>
              </w:r>
            </w:sdtContent>
          </w:sdt>
          <w:r w:rsidRPr="006D4FBA">
            <w:rPr>
              <w:rFonts w:hint="eastAsia"/>
            </w:rPr>
            <w:t xml:space="preserve">  币种：</w:t>
          </w:r>
          <w:sdt>
            <w:sdtPr>
              <w:rPr>
                <w:rFonts w:hint="eastAsia"/>
              </w:rPr>
              <w:alias w:val="币种：重大的股权投资"/>
              <w:tag w:val="_GBC_d362510f1d434ad7b97b38e2d32ab381"/>
              <w:id w:val="14878187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46283">
                <w:rPr>
                  <w:rFonts w:hint="eastAsia"/>
                </w:rPr>
                <w:t>人民币</w:t>
              </w:r>
            </w:sdtContent>
          </w:sdt>
        </w:p>
        <w:tbl>
          <w:tblPr>
            <w:tblStyle w:val="g1"/>
            <w:tblW w:w="16013"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261"/>
            <w:gridCol w:w="702"/>
            <w:gridCol w:w="702"/>
            <w:gridCol w:w="850"/>
            <w:gridCol w:w="705"/>
            <w:gridCol w:w="564"/>
            <w:gridCol w:w="845"/>
            <w:gridCol w:w="702"/>
            <w:gridCol w:w="846"/>
            <w:gridCol w:w="706"/>
            <w:gridCol w:w="1399"/>
            <w:gridCol w:w="845"/>
            <w:gridCol w:w="702"/>
            <w:gridCol w:w="702"/>
            <w:gridCol w:w="986"/>
            <w:gridCol w:w="2650"/>
          </w:tblGrid>
          <w:tr w:rsidR="00B201D3" w:rsidRPr="006D4FBA" w14:paraId="6E9AA95D" w14:textId="77777777">
            <w:trPr>
              <w:jc w:val="center"/>
            </w:trPr>
            <w:sdt>
              <w:sdtPr>
                <w:rPr>
                  <w:rFonts w:hint="eastAsia"/>
                  <w:color w:val="000000"/>
                </w:rPr>
                <w:tag w:val="_PLD_860f89f13ca14d8dad4e43fe5d02f00d"/>
                <w:id w:val="2110382317"/>
                <w:lock w:val="sdtLocked"/>
              </w:sdtPr>
              <w:sdtEndPr/>
              <w:sdtContent>
                <w:tc>
                  <w:tcPr>
                    <w:tcW w:w="846" w:type="dxa"/>
                    <w:shd w:val="clear" w:color="auto" w:fill="auto"/>
                    <w:vAlign w:val="center"/>
                  </w:tcPr>
                  <w:p w14:paraId="6B0F7A41" w14:textId="77777777" w:rsidR="00B201D3" w:rsidRPr="006D4FBA" w:rsidRDefault="009855E8">
                    <w:pPr>
                      <w:widowControl w:val="0"/>
                      <w:jc w:val="center"/>
                      <w:rPr>
                        <w:color w:val="000000"/>
                      </w:rPr>
                    </w:pPr>
                    <w:r w:rsidRPr="006D4FBA">
                      <w:rPr>
                        <w:rFonts w:hint="eastAsia"/>
                        <w:color w:val="000000"/>
                      </w:rPr>
                      <w:t>被投资公司名称</w:t>
                    </w:r>
                  </w:p>
                </w:tc>
              </w:sdtContent>
            </w:sdt>
            <w:sdt>
              <w:sdtPr>
                <w:rPr>
                  <w:rFonts w:hint="eastAsia"/>
                  <w:color w:val="000000"/>
                </w:rPr>
                <w:tag w:val="_PLD_d576a9615250479c8201e2cb390dcaaa"/>
                <w:id w:val="1424452072"/>
                <w:lock w:val="sdtLocked"/>
              </w:sdtPr>
              <w:sdtEndPr/>
              <w:sdtContent>
                <w:tc>
                  <w:tcPr>
                    <w:tcW w:w="1261" w:type="dxa"/>
                    <w:shd w:val="clear" w:color="auto" w:fill="auto"/>
                    <w:vAlign w:val="center"/>
                  </w:tcPr>
                  <w:p w14:paraId="4BD20ECE" w14:textId="77777777" w:rsidR="00B201D3" w:rsidRPr="006D4FBA" w:rsidRDefault="009855E8">
                    <w:pPr>
                      <w:widowControl w:val="0"/>
                      <w:jc w:val="center"/>
                      <w:rPr>
                        <w:color w:val="000000"/>
                      </w:rPr>
                    </w:pPr>
                    <w:r w:rsidRPr="006D4FBA">
                      <w:rPr>
                        <w:rFonts w:hint="eastAsia"/>
                        <w:color w:val="000000"/>
                      </w:rPr>
                      <w:t>主要业务</w:t>
                    </w:r>
                  </w:p>
                </w:tc>
              </w:sdtContent>
            </w:sdt>
            <w:sdt>
              <w:sdtPr>
                <w:rPr>
                  <w:rFonts w:hint="eastAsia"/>
                  <w:color w:val="000000"/>
                </w:rPr>
                <w:tag w:val="_PLD_009359a5f4ff4955972e4f51c0ec2c75"/>
                <w:id w:val="1114326305"/>
                <w:lock w:val="sdtLocked"/>
              </w:sdtPr>
              <w:sdtEndPr/>
              <w:sdtContent>
                <w:tc>
                  <w:tcPr>
                    <w:tcW w:w="702" w:type="dxa"/>
                    <w:vAlign w:val="center"/>
                  </w:tcPr>
                  <w:p w14:paraId="548EC861" w14:textId="77777777" w:rsidR="00B201D3" w:rsidRPr="006D4FBA" w:rsidRDefault="009855E8">
                    <w:pPr>
                      <w:widowControl w:val="0"/>
                      <w:jc w:val="center"/>
                      <w:rPr>
                        <w:color w:val="000000"/>
                      </w:rPr>
                    </w:pPr>
                    <w:r w:rsidRPr="006D4FBA">
                      <w:rPr>
                        <w:rFonts w:hint="eastAsia"/>
                        <w:color w:val="000000"/>
                      </w:rPr>
                      <w:t>标的是否主营投资业务</w:t>
                    </w:r>
                  </w:p>
                </w:tc>
              </w:sdtContent>
            </w:sdt>
            <w:sdt>
              <w:sdtPr>
                <w:rPr>
                  <w:rFonts w:hint="eastAsia"/>
                  <w:color w:val="000000"/>
                </w:rPr>
                <w:tag w:val="_PLD_73182ab1a050447ab1bad40c8704b037"/>
                <w:id w:val="1264653712"/>
                <w:lock w:val="sdtLocked"/>
              </w:sdtPr>
              <w:sdtEndPr/>
              <w:sdtContent>
                <w:tc>
                  <w:tcPr>
                    <w:tcW w:w="702" w:type="dxa"/>
                    <w:shd w:val="clear" w:color="auto" w:fill="auto"/>
                    <w:vAlign w:val="center"/>
                  </w:tcPr>
                  <w:p w14:paraId="04AA1F63" w14:textId="77777777" w:rsidR="00B201D3" w:rsidRPr="006D4FBA" w:rsidRDefault="009855E8">
                    <w:pPr>
                      <w:widowControl w:val="0"/>
                      <w:jc w:val="center"/>
                      <w:rPr>
                        <w:color w:val="000000"/>
                      </w:rPr>
                    </w:pPr>
                    <w:r w:rsidRPr="006D4FBA">
                      <w:rPr>
                        <w:rFonts w:hint="eastAsia"/>
                        <w:color w:val="000000"/>
                      </w:rPr>
                      <w:t>投资方式</w:t>
                    </w:r>
                  </w:p>
                </w:tc>
              </w:sdtContent>
            </w:sdt>
            <w:sdt>
              <w:sdtPr>
                <w:rPr>
                  <w:rFonts w:hint="eastAsia"/>
                  <w:color w:val="000000"/>
                </w:rPr>
                <w:tag w:val="_PLD_086b61df1c1e407e90e475a205072c22"/>
                <w:id w:val="-1964577517"/>
                <w:lock w:val="sdtLocked"/>
              </w:sdtPr>
              <w:sdtEndPr/>
              <w:sdtContent>
                <w:tc>
                  <w:tcPr>
                    <w:tcW w:w="850" w:type="dxa"/>
                    <w:shd w:val="clear" w:color="auto" w:fill="auto"/>
                    <w:vAlign w:val="center"/>
                  </w:tcPr>
                  <w:p w14:paraId="0D82CCE5" w14:textId="77777777" w:rsidR="00B201D3" w:rsidRPr="006D4FBA" w:rsidRDefault="009855E8">
                    <w:pPr>
                      <w:widowControl w:val="0"/>
                      <w:jc w:val="center"/>
                      <w:rPr>
                        <w:color w:val="000000"/>
                      </w:rPr>
                    </w:pPr>
                    <w:r w:rsidRPr="006D4FBA">
                      <w:rPr>
                        <w:rFonts w:hint="eastAsia"/>
                        <w:color w:val="000000"/>
                      </w:rPr>
                      <w:t>投资金额</w:t>
                    </w:r>
                  </w:p>
                </w:tc>
              </w:sdtContent>
            </w:sdt>
            <w:sdt>
              <w:sdtPr>
                <w:rPr>
                  <w:rFonts w:hint="eastAsia"/>
                  <w:color w:val="000000"/>
                </w:rPr>
                <w:tag w:val="_PLD_fe61041bbf814cae9e7d68e3ed511786"/>
                <w:id w:val="1720084926"/>
                <w:lock w:val="sdtLocked"/>
              </w:sdtPr>
              <w:sdtEndPr/>
              <w:sdtContent>
                <w:tc>
                  <w:tcPr>
                    <w:tcW w:w="705" w:type="dxa"/>
                    <w:shd w:val="clear" w:color="auto" w:fill="auto"/>
                    <w:vAlign w:val="center"/>
                  </w:tcPr>
                  <w:p w14:paraId="6DFB1BF2" w14:textId="77777777" w:rsidR="00B201D3" w:rsidRPr="006D4FBA" w:rsidRDefault="009855E8">
                    <w:pPr>
                      <w:widowControl w:val="0"/>
                      <w:jc w:val="center"/>
                      <w:rPr>
                        <w:color w:val="000000"/>
                      </w:rPr>
                    </w:pPr>
                    <w:r w:rsidRPr="006D4FBA">
                      <w:rPr>
                        <w:rFonts w:hint="eastAsia"/>
                        <w:color w:val="000000"/>
                      </w:rPr>
                      <w:t>持股比例</w:t>
                    </w:r>
                  </w:p>
                </w:tc>
              </w:sdtContent>
            </w:sdt>
            <w:sdt>
              <w:sdtPr>
                <w:rPr>
                  <w:rFonts w:hint="eastAsia"/>
                  <w:color w:val="000000"/>
                </w:rPr>
                <w:tag w:val="_PLD_5a32ea77af864b528580819f5d19c03b"/>
                <w:id w:val="-312949541"/>
                <w:lock w:val="sdtLocked"/>
              </w:sdtPr>
              <w:sdtEndPr/>
              <w:sdtContent>
                <w:tc>
                  <w:tcPr>
                    <w:tcW w:w="564" w:type="dxa"/>
                    <w:shd w:val="clear" w:color="auto" w:fill="auto"/>
                    <w:vAlign w:val="center"/>
                  </w:tcPr>
                  <w:p w14:paraId="556BF9F1" w14:textId="77777777" w:rsidR="00B201D3" w:rsidRPr="006D4FBA" w:rsidRDefault="009855E8">
                    <w:pPr>
                      <w:widowControl w:val="0"/>
                      <w:jc w:val="center"/>
                      <w:rPr>
                        <w:color w:val="000000"/>
                      </w:rPr>
                    </w:pPr>
                    <w:r w:rsidRPr="006D4FBA">
                      <w:rPr>
                        <w:rFonts w:hint="eastAsia"/>
                        <w:color w:val="000000"/>
                      </w:rPr>
                      <w:t>是否并表</w:t>
                    </w:r>
                  </w:p>
                </w:tc>
              </w:sdtContent>
            </w:sdt>
            <w:sdt>
              <w:sdtPr>
                <w:rPr>
                  <w:rFonts w:hint="eastAsia"/>
                  <w:color w:val="000000"/>
                </w:rPr>
                <w:tag w:val="_PLD_00176e22a0734428b14c927bc61601ca"/>
                <w:id w:val="1844124648"/>
                <w:lock w:val="sdtLocked"/>
              </w:sdtPr>
              <w:sdtEndPr/>
              <w:sdtContent>
                <w:tc>
                  <w:tcPr>
                    <w:tcW w:w="845" w:type="dxa"/>
                    <w:shd w:val="clear" w:color="auto" w:fill="auto"/>
                    <w:vAlign w:val="center"/>
                  </w:tcPr>
                  <w:p w14:paraId="2A60631A" w14:textId="77777777" w:rsidR="00B201D3" w:rsidRPr="006D4FBA" w:rsidRDefault="009855E8">
                    <w:pPr>
                      <w:widowControl w:val="0"/>
                      <w:jc w:val="center"/>
                      <w:rPr>
                        <w:color w:val="000000"/>
                      </w:rPr>
                    </w:pPr>
                    <w:r w:rsidRPr="006D4FBA">
                      <w:rPr>
                        <w:rFonts w:hint="eastAsia"/>
                        <w:color w:val="000000"/>
                      </w:rPr>
                      <w:t>报表科目（如适用）</w:t>
                    </w:r>
                  </w:p>
                </w:tc>
              </w:sdtContent>
            </w:sdt>
            <w:sdt>
              <w:sdtPr>
                <w:rPr>
                  <w:rFonts w:hint="eastAsia"/>
                  <w:color w:val="000000"/>
                </w:rPr>
                <w:tag w:val="_PLD_50791cadff914ba1b32b680747281c4b"/>
                <w:id w:val="-204800710"/>
                <w:lock w:val="sdtLocked"/>
              </w:sdtPr>
              <w:sdtEndPr/>
              <w:sdtContent>
                <w:tc>
                  <w:tcPr>
                    <w:tcW w:w="702" w:type="dxa"/>
                    <w:shd w:val="clear" w:color="auto" w:fill="auto"/>
                    <w:vAlign w:val="center"/>
                  </w:tcPr>
                  <w:p w14:paraId="4EC69A09" w14:textId="77777777" w:rsidR="00B201D3" w:rsidRPr="006D4FBA" w:rsidRDefault="009855E8">
                    <w:pPr>
                      <w:widowControl w:val="0"/>
                      <w:jc w:val="center"/>
                      <w:rPr>
                        <w:color w:val="000000"/>
                      </w:rPr>
                    </w:pPr>
                    <w:r w:rsidRPr="006D4FBA">
                      <w:rPr>
                        <w:rFonts w:hint="eastAsia"/>
                        <w:color w:val="000000"/>
                      </w:rPr>
                      <w:t>资金来源</w:t>
                    </w:r>
                  </w:p>
                </w:tc>
              </w:sdtContent>
            </w:sdt>
            <w:sdt>
              <w:sdtPr>
                <w:rPr>
                  <w:rFonts w:hint="eastAsia"/>
                  <w:color w:val="000000"/>
                </w:rPr>
                <w:tag w:val="_PLD_0ec31f52970847d08b84bb11a3be416d"/>
                <w:id w:val="-44600672"/>
                <w:lock w:val="sdtLocked"/>
              </w:sdtPr>
              <w:sdtEndPr/>
              <w:sdtContent>
                <w:tc>
                  <w:tcPr>
                    <w:tcW w:w="846" w:type="dxa"/>
                    <w:shd w:val="clear" w:color="auto" w:fill="auto"/>
                    <w:vAlign w:val="center"/>
                  </w:tcPr>
                  <w:p w14:paraId="341030F3" w14:textId="77777777" w:rsidR="00B201D3" w:rsidRPr="006D4FBA" w:rsidRDefault="009855E8">
                    <w:pPr>
                      <w:widowControl w:val="0"/>
                      <w:jc w:val="center"/>
                      <w:rPr>
                        <w:color w:val="000000"/>
                      </w:rPr>
                    </w:pPr>
                    <w:r w:rsidRPr="006D4FBA">
                      <w:rPr>
                        <w:rFonts w:hint="eastAsia"/>
                        <w:color w:val="000000"/>
                      </w:rPr>
                      <w:t>合作方（如适用）</w:t>
                    </w:r>
                  </w:p>
                </w:tc>
              </w:sdtContent>
            </w:sdt>
            <w:sdt>
              <w:sdtPr>
                <w:rPr>
                  <w:rFonts w:hint="eastAsia"/>
                  <w:color w:val="000000"/>
                </w:rPr>
                <w:tag w:val="_PLD_f51864525d13444198ab8553c6440398"/>
                <w:id w:val="-924417919"/>
                <w:lock w:val="sdtLocked"/>
              </w:sdtPr>
              <w:sdtEndPr/>
              <w:sdtContent>
                <w:tc>
                  <w:tcPr>
                    <w:tcW w:w="706" w:type="dxa"/>
                    <w:shd w:val="clear" w:color="auto" w:fill="auto"/>
                    <w:vAlign w:val="center"/>
                  </w:tcPr>
                  <w:p w14:paraId="6C32A068" w14:textId="77777777" w:rsidR="00B201D3" w:rsidRPr="006D4FBA" w:rsidRDefault="009855E8">
                    <w:pPr>
                      <w:widowControl w:val="0"/>
                      <w:jc w:val="center"/>
                      <w:rPr>
                        <w:color w:val="000000"/>
                      </w:rPr>
                    </w:pPr>
                    <w:r w:rsidRPr="006D4FBA">
                      <w:rPr>
                        <w:rFonts w:hint="eastAsia"/>
                        <w:color w:val="000000"/>
                      </w:rPr>
                      <w:t>投资期限（如有）</w:t>
                    </w:r>
                  </w:p>
                </w:tc>
              </w:sdtContent>
            </w:sdt>
            <w:sdt>
              <w:sdtPr>
                <w:rPr>
                  <w:rFonts w:hint="eastAsia"/>
                  <w:color w:val="000000"/>
                </w:rPr>
                <w:tag w:val="_PLD_74d23540da68472491b177a9b36ee411"/>
                <w:id w:val="895635927"/>
                <w:lock w:val="sdtLocked"/>
              </w:sdtPr>
              <w:sdtEndPr/>
              <w:sdtContent>
                <w:tc>
                  <w:tcPr>
                    <w:tcW w:w="1399" w:type="dxa"/>
                    <w:shd w:val="clear" w:color="auto" w:fill="auto"/>
                    <w:vAlign w:val="center"/>
                  </w:tcPr>
                  <w:p w14:paraId="6D40B695" w14:textId="77777777" w:rsidR="00B201D3" w:rsidRPr="006D4FBA" w:rsidRDefault="009855E8">
                    <w:pPr>
                      <w:widowControl w:val="0"/>
                      <w:jc w:val="center"/>
                      <w:rPr>
                        <w:color w:val="000000"/>
                      </w:rPr>
                    </w:pPr>
                    <w:r w:rsidRPr="006D4FBA">
                      <w:rPr>
                        <w:rFonts w:hint="eastAsia"/>
                        <w:color w:val="000000"/>
                      </w:rPr>
                      <w:t>截至资产负债表日的进展情况</w:t>
                    </w:r>
                  </w:p>
                </w:tc>
              </w:sdtContent>
            </w:sdt>
            <w:sdt>
              <w:sdtPr>
                <w:rPr>
                  <w:rFonts w:hint="eastAsia"/>
                  <w:color w:val="000000"/>
                </w:rPr>
                <w:tag w:val="_PLD_2a56fe6b070d416e9bd0faf6575cba41"/>
                <w:id w:val="156125094"/>
                <w:lock w:val="sdtLocked"/>
              </w:sdtPr>
              <w:sdtEndPr/>
              <w:sdtContent>
                <w:tc>
                  <w:tcPr>
                    <w:tcW w:w="845" w:type="dxa"/>
                    <w:shd w:val="clear" w:color="auto" w:fill="auto"/>
                    <w:vAlign w:val="center"/>
                  </w:tcPr>
                  <w:p w14:paraId="66A95542" w14:textId="77777777" w:rsidR="00B201D3" w:rsidRPr="006D4FBA" w:rsidRDefault="009855E8">
                    <w:pPr>
                      <w:widowControl w:val="0"/>
                      <w:jc w:val="center"/>
                      <w:rPr>
                        <w:color w:val="000000"/>
                      </w:rPr>
                    </w:pPr>
                    <w:r w:rsidRPr="006D4FBA">
                      <w:rPr>
                        <w:rFonts w:hint="eastAsia"/>
                        <w:color w:val="000000"/>
                      </w:rPr>
                      <w:t>预计收益（如有）</w:t>
                    </w:r>
                  </w:p>
                </w:tc>
              </w:sdtContent>
            </w:sdt>
            <w:sdt>
              <w:sdtPr>
                <w:rPr>
                  <w:rFonts w:hint="eastAsia"/>
                  <w:color w:val="000000"/>
                </w:rPr>
                <w:tag w:val="_PLD_14f2283bcc504c558015cf793f396a9f"/>
                <w:id w:val="-200708894"/>
                <w:lock w:val="sdtLocked"/>
              </w:sdtPr>
              <w:sdtEndPr/>
              <w:sdtContent>
                <w:tc>
                  <w:tcPr>
                    <w:tcW w:w="702" w:type="dxa"/>
                    <w:shd w:val="clear" w:color="auto" w:fill="auto"/>
                    <w:vAlign w:val="center"/>
                  </w:tcPr>
                  <w:p w14:paraId="0938AACF" w14:textId="77777777" w:rsidR="00B201D3" w:rsidRPr="006D4FBA" w:rsidRDefault="009855E8">
                    <w:pPr>
                      <w:widowControl w:val="0"/>
                      <w:jc w:val="center"/>
                      <w:rPr>
                        <w:color w:val="000000"/>
                      </w:rPr>
                    </w:pPr>
                    <w:r w:rsidRPr="006D4FBA">
                      <w:rPr>
                        <w:rFonts w:hint="eastAsia"/>
                        <w:color w:val="000000"/>
                      </w:rPr>
                      <w:t>本期损益影响</w:t>
                    </w:r>
                  </w:p>
                </w:tc>
              </w:sdtContent>
            </w:sdt>
            <w:sdt>
              <w:sdtPr>
                <w:rPr>
                  <w:rFonts w:hint="eastAsia"/>
                  <w:color w:val="000000"/>
                </w:rPr>
                <w:tag w:val="_PLD_96ba2707000547e3a8d992c22cbe7164"/>
                <w:id w:val="1903250210"/>
                <w:lock w:val="sdtLocked"/>
              </w:sdtPr>
              <w:sdtEndPr/>
              <w:sdtContent>
                <w:tc>
                  <w:tcPr>
                    <w:tcW w:w="702" w:type="dxa"/>
                    <w:shd w:val="clear" w:color="auto" w:fill="auto"/>
                    <w:vAlign w:val="center"/>
                  </w:tcPr>
                  <w:p w14:paraId="5DFD74E7" w14:textId="77777777" w:rsidR="00B201D3" w:rsidRPr="006D4FBA" w:rsidRDefault="009855E8">
                    <w:pPr>
                      <w:widowControl w:val="0"/>
                      <w:jc w:val="center"/>
                      <w:rPr>
                        <w:color w:val="000000"/>
                      </w:rPr>
                    </w:pPr>
                    <w:r w:rsidRPr="006D4FBA">
                      <w:rPr>
                        <w:rFonts w:hint="eastAsia"/>
                        <w:color w:val="000000"/>
                      </w:rPr>
                      <w:t>是否涉诉</w:t>
                    </w:r>
                  </w:p>
                </w:tc>
              </w:sdtContent>
            </w:sdt>
            <w:sdt>
              <w:sdtPr>
                <w:rPr>
                  <w:rFonts w:hint="eastAsia"/>
                  <w:color w:val="000000"/>
                </w:rPr>
                <w:tag w:val="_PLD_15d628cac6d14f6fb56a9a926ea9549f"/>
                <w:id w:val="-1530716853"/>
                <w:lock w:val="sdtLocked"/>
              </w:sdtPr>
              <w:sdtEndPr/>
              <w:sdtContent>
                <w:tc>
                  <w:tcPr>
                    <w:tcW w:w="986" w:type="dxa"/>
                    <w:shd w:val="clear" w:color="auto" w:fill="auto"/>
                    <w:vAlign w:val="center"/>
                  </w:tcPr>
                  <w:p w14:paraId="5F7ABA7A" w14:textId="77777777" w:rsidR="00B201D3" w:rsidRPr="006D4FBA" w:rsidRDefault="009855E8">
                    <w:pPr>
                      <w:widowControl w:val="0"/>
                      <w:jc w:val="center"/>
                      <w:rPr>
                        <w:color w:val="000000"/>
                      </w:rPr>
                    </w:pPr>
                    <w:r w:rsidRPr="006D4FBA">
                      <w:rPr>
                        <w:rFonts w:hint="eastAsia"/>
                        <w:color w:val="000000"/>
                      </w:rPr>
                      <w:t>披露日期（如有）</w:t>
                    </w:r>
                  </w:p>
                </w:tc>
              </w:sdtContent>
            </w:sdt>
            <w:sdt>
              <w:sdtPr>
                <w:rPr>
                  <w:rFonts w:hint="eastAsia"/>
                  <w:color w:val="000000"/>
                </w:rPr>
                <w:tag w:val="_PLD_442f882f64a7466aaf49e971c9ab8062"/>
                <w:id w:val="277304436"/>
                <w:lock w:val="sdtLocked"/>
              </w:sdtPr>
              <w:sdtEndPr/>
              <w:sdtContent>
                <w:tc>
                  <w:tcPr>
                    <w:tcW w:w="2650" w:type="dxa"/>
                    <w:shd w:val="clear" w:color="auto" w:fill="auto"/>
                    <w:vAlign w:val="center"/>
                  </w:tcPr>
                  <w:p w14:paraId="0250BE21" w14:textId="77777777" w:rsidR="00B201D3" w:rsidRPr="006D4FBA" w:rsidRDefault="009855E8">
                    <w:pPr>
                      <w:widowControl w:val="0"/>
                      <w:jc w:val="center"/>
                      <w:rPr>
                        <w:color w:val="000000"/>
                      </w:rPr>
                    </w:pPr>
                    <w:r w:rsidRPr="006D4FBA">
                      <w:rPr>
                        <w:rFonts w:hint="eastAsia"/>
                        <w:color w:val="000000"/>
                      </w:rPr>
                      <w:t>披露索引（如有）</w:t>
                    </w:r>
                  </w:p>
                </w:tc>
              </w:sdtContent>
            </w:sdt>
          </w:tr>
          <w:sdt>
            <w:sdtPr>
              <w:rPr>
                <w:rFonts w:hint="eastAsia"/>
              </w:rPr>
              <w:alias w:val="重大的股权投资明细"/>
              <w:tag w:val="_TUP_0be2f10dae8548e890a9e52f040cb67a"/>
              <w:id w:val="-1995630572"/>
              <w:lock w:val="sdtLocked"/>
              <w:placeholder>
                <w:docPart w:val="GBC11111111111111111111111111111"/>
              </w:placeholder>
            </w:sdtPr>
            <w:sdtEndPr>
              <w:rPr>
                <w:u w:val="single"/>
              </w:rPr>
            </w:sdtEndPr>
            <w:sdtContent>
              <w:tr w:rsidR="00B201D3" w:rsidRPr="006D4FBA" w14:paraId="093A7A2C" w14:textId="77777777">
                <w:trPr>
                  <w:jc w:val="center"/>
                </w:trPr>
                <w:tc>
                  <w:tcPr>
                    <w:tcW w:w="846" w:type="dxa"/>
                    <w:shd w:val="clear" w:color="auto" w:fill="auto"/>
                    <w:vAlign w:val="center"/>
                  </w:tcPr>
                  <w:p w14:paraId="3E604987" w14:textId="77777777" w:rsidR="00B201D3" w:rsidRPr="006D4FBA" w:rsidRDefault="00B201D3">
                    <w:pPr>
                      <w:widowControl w:val="0"/>
                      <w:jc w:val="center"/>
                    </w:pPr>
                  </w:p>
                  <w:p w14:paraId="0EF18A73" w14:textId="77777777" w:rsidR="00B201D3" w:rsidRPr="006D4FBA" w:rsidRDefault="00B201D3">
                    <w:pPr>
                      <w:widowControl w:val="0"/>
                      <w:jc w:val="center"/>
                    </w:pPr>
                  </w:p>
                  <w:p w14:paraId="63591F6A" w14:textId="77777777" w:rsidR="00B201D3" w:rsidRPr="006D4FBA" w:rsidRDefault="009855E8">
                    <w:pPr>
                      <w:widowControl w:val="0"/>
                      <w:jc w:val="center"/>
                    </w:pPr>
                    <w:r w:rsidRPr="006D4FBA">
                      <w:rPr>
                        <w:rFonts w:hint="eastAsia"/>
                      </w:rPr>
                      <w:t>山东能源集团鲁西矿业有限公司（“鲁西矿业”）</w:t>
                    </w:r>
                  </w:p>
                </w:tc>
                <w:tc>
                  <w:tcPr>
                    <w:tcW w:w="1261" w:type="dxa"/>
                    <w:shd w:val="clear" w:color="auto" w:fill="auto"/>
                    <w:vAlign w:val="center"/>
                  </w:tcPr>
                  <w:p w14:paraId="6D1703D7" w14:textId="77777777" w:rsidR="00B201D3" w:rsidRPr="006D4FBA" w:rsidRDefault="009855E8">
                    <w:pPr>
                      <w:widowControl w:val="0"/>
                      <w:jc w:val="both"/>
                    </w:pPr>
                    <w:r w:rsidRPr="006D4FBA">
                      <w:rPr>
                        <w:rFonts w:hint="eastAsia"/>
                      </w:rPr>
                      <w:t>主要从事煤炭开采、洗选与销售，煤炭运输与仓储，矿用设备及配件制造等煤炭产业链上下游业务</w:t>
                    </w:r>
                  </w:p>
                </w:tc>
                <w:sdt>
                  <w:sdtPr>
                    <w:rPr>
                      <w:rFonts w:hint="eastAsia"/>
                    </w:rPr>
                    <w:alias w:val="重大的股权投资_投资标的是否系投资性主体 "/>
                    <w:tag w:val="_GBC_7074b1f516a842289a77c38bd61ff0d7"/>
                    <w:id w:val="1030679023"/>
                    <w:lock w:val="sdtLocked"/>
                    <w:comboBox>
                      <w:listItem w:displayText="是" w:value="是"/>
                      <w:listItem w:displayText="否" w:value="否"/>
                    </w:comboBox>
                  </w:sdtPr>
                  <w:sdtEndPr/>
                  <w:sdtContent>
                    <w:tc>
                      <w:tcPr>
                        <w:tcW w:w="702" w:type="dxa"/>
                        <w:vAlign w:val="center"/>
                      </w:tcPr>
                      <w:p w14:paraId="26FB433F" w14:textId="2178510E" w:rsidR="00B201D3" w:rsidRPr="006D4FBA" w:rsidRDefault="00F46283">
                        <w:pPr>
                          <w:widowControl w:val="0"/>
                          <w:jc w:val="center"/>
                        </w:pPr>
                        <w:r>
                          <w:rPr>
                            <w:rFonts w:hint="eastAsia"/>
                          </w:rPr>
                          <w:t>否</w:t>
                        </w:r>
                      </w:p>
                    </w:tc>
                  </w:sdtContent>
                </w:sdt>
                <w:sdt>
                  <w:sdtPr>
                    <w:rPr>
                      <w:rFonts w:hint="eastAsia"/>
                    </w:rPr>
                    <w:alias w:val="重大的股权投资_投资方式"/>
                    <w:tag w:val="_GBC_6657ab8cd3754f68a3199dda0335449b"/>
                    <w:id w:val="-766764840"/>
                    <w:lock w:val="sdtLocked"/>
                    <w:comboBox>
                      <w:listItem w:displayText="新设" w:value="新设"/>
                      <w:listItem w:displayText="增资" w:value="增资"/>
                      <w:listItem w:displayText="收购" w:value="收购"/>
                      <w:listItem w:displayText="其他" w:value="其他"/>
                    </w:comboBox>
                  </w:sdtPr>
                  <w:sdtEndPr/>
                  <w:sdtContent>
                    <w:tc>
                      <w:tcPr>
                        <w:tcW w:w="702" w:type="dxa"/>
                        <w:shd w:val="clear" w:color="auto" w:fill="auto"/>
                        <w:vAlign w:val="center"/>
                      </w:tcPr>
                      <w:p w14:paraId="104F9058" w14:textId="5C517875" w:rsidR="00B201D3" w:rsidRPr="006D4FBA" w:rsidRDefault="00F46283">
                        <w:pPr>
                          <w:widowControl w:val="0"/>
                          <w:jc w:val="center"/>
                        </w:pPr>
                        <w:r>
                          <w:rPr>
                            <w:rFonts w:hint="eastAsia"/>
                          </w:rPr>
                          <w:t>收购</w:t>
                        </w:r>
                      </w:p>
                    </w:tc>
                  </w:sdtContent>
                </w:sdt>
                <w:tc>
                  <w:tcPr>
                    <w:tcW w:w="850" w:type="dxa"/>
                    <w:shd w:val="clear" w:color="auto" w:fill="auto"/>
                    <w:vAlign w:val="center"/>
                  </w:tcPr>
                  <w:p w14:paraId="57614C3F" w14:textId="77777777" w:rsidR="00B201D3" w:rsidRPr="006D4FBA" w:rsidRDefault="009855E8">
                    <w:pPr>
                      <w:widowControl w:val="0"/>
                      <w:jc w:val="center"/>
                    </w:pPr>
                    <w:r w:rsidRPr="006D4FBA">
                      <w:rPr>
                        <w:rFonts w:hint="eastAsia"/>
                      </w:rPr>
                      <w:t>1</w:t>
                    </w:r>
                    <w:r w:rsidRPr="006D4FBA">
                      <w:t>83.19</w:t>
                    </w:r>
                  </w:p>
                </w:tc>
                <w:tc>
                  <w:tcPr>
                    <w:tcW w:w="705" w:type="dxa"/>
                    <w:shd w:val="clear" w:color="auto" w:fill="auto"/>
                    <w:vAlign w:val="center"/>
                  </w:tcPr>
                  <w:p w14:paraId="4AB6E347" w14:textId="77777777" w:rsidR="00B201D3" w:rsidRPr="006D4FBA" w:rsidRDefault="009855E8">
                    <w:pPr>
                      <w:widowControl w:val="0"/>
                      <w:jc w:val="center"/>
                    </w:pPr>
                    <w:r w:rsidRPr="006D4FBA">
                      <w:rPr>
                        <w:rFonts w:hint="eastAsia"/>
                      </w:rPr>
                      <w:t>5</w:t>
                    </w:r>
                    <w:r w:rsidRPr="006D4FBA">
                      <w:t>1</w:t>
                    </w:r>
                    <w:r w:rsidRPr="006D4FBA">
                      <w:rPr>
                        <w:rFonts w:hint="eastAsia"/>
                      </w:rPr>
                      <w:t>%</w:t>
                    </w:r>
                  </w:p>
                </w:tc>
                <w:sdt>
                  <w:sdtPr>
                    <w:rPr>
                      <w:rFonts w:hint="eastAsia"/>
                    </w:rPr>
                    <w:alias w:val="重大的股权投资_是否并表"/>
                    <w:tag w:val="_GBC_b0896277ebbd444caa2c6dea05baf05e"/>
                    <w:id w:val="1531680871"/>
                    <w:lock w:val="sdtLocked"/>
                    <w:comboBox>
                      <w:listItem w:displayText="是" w:value="是"/>
                      <w:listItem w:displayText="否" w:value="否"/>
                    </w:comboBox>
                  </w:sdtPr>
                  <w:sdtEndPr/>
                  <w:sdtContent>
                    <w:tc>
                      <w:tcPr>
                        <w:tcW w:w="564" w:type="dxa"/>
                        <w:shd w:val="clear" w:color="auto" w:fill="auto"/>
                        <w:vAlign w:val="center"/>
                      </w:tcPr>
                      <w:p w14:paraId="653A0530" w14:textId="26686941" w:rsidR="00B201D3" w:rsidRPr="006D4FBA" w:rsidRDefault="00F46283">
                        <w:pPr>
                          <w:widowControl w:val="0"/>
                          <w:jc w:val="center"/>
                        </w:pPr>
                        <w:r>
                          <w:rPr>
                            <w:rFonts w:hint="eastAsia"/>
                          </w:rPr>
                          <w:t>是</w:t>
                        </w:r>
                      </w:p>
                    </w:tc>
                  </w:sdtContent>
                </w:sdt>
                <w:tc>
                  <w:tcPr>
                    <w:tcW w:w="845" w:type="dxa"/>
                    <w:shd w:val="clear" w:color="auto" w:fill="auto"/>
                    <w:vAlign w:val="center"/>
                  </w:tcPr>
                  <w:p w14:paraId="7DE5FFF0" w14:textId="77777777" w:rsidR="00B201D3" w:rsidRPr="006D4FBA" w:rsidRDefault="009855E8">
                    <w:pPr>
                      <w:widowControl w:val="0"/>
                      <w:jc w:val="center"/>
                    </w:pPr>
                    <w:r w:rsidRPr="006D4FBA">
                      <w:rPr>
                        <w:rFonts w:hint="eastAsia"/>
                      </w:rPr>
                      <w:t>长期股权投资</w:t>
                    </w:r>
                  </w:p>
                </w:tc>
                <w:tc>
                  <w:tcPr>
                    <w:tcW w:w="702" w:type="dxa"/>
                    <w:shd w:val="clear" w:color="auto" w:fill="auto"/>
                    <w:vAlign w:val="center"/>
                  </w:tcPr>
                  <w:p w14:paraId="7B98A3E7" w14:textId="77777777" w:rsidR="00B201D3" w:rsidRPr="006D4FBA" w:rsidRDefault="009855E8">
                    <w:pPr>
                      <w:widowControl w:val="0"/>
                      <w:jc w:val="center"/>
                    </w:pPr>
                    <w:r w:rsidRPr="006D4FBA">
                      <w:rPr>
                        <w:rFonts w:hint="eastAsia"/>
                      </w:rPr>
                      <w:t>自有资金</w:t>
                    </w:r>
                  </w:p>
                </w:tc>
                <w:tc>
                  <w:tcPr>
                    <w:tcW w:w="846" w:type="dxa"/>
                    <w:shd w:val="clear" w:color="auto" w:fill="auto"/>
                    <w:vAlign w:val="center"/>
                  </w:tcPr>
                  <w:p w14:paraId="29D4CFBA" w14:textId="77777777" w:rsidR="00B201D3" w:rsidRPr="006D4FBA" w:rsidRDefault="009855E8">
                    <w:pPr>
                      <w:widowControl w:val="0"/>
                      <w:jc w:val="center"/>
                    </w:pPr>
                    <w:r w:rsidRPr="006D4FBA">
                      <w:rPr>
                        <w:rFonts w:hint="eastAsia"/>
                      </w:rPr>
                      <w:t>-</w:t>
                    </w:r>
                  </w:p>
                </w:tc>
                <w:tc>
                  <w:tcPr>
                    <w:tcW w:w="706" w:type="dxa"/>
                    <w:shd w:val="clear" w:color="auto" w:fill="auto"/>
                    <w:vAlign w:val="center"/>
                  </w:tcPr>
                  <w:p w14:paraId="6431E151" w14:textId="77777777" w:rsidR="00B201D3" w:rsidRPr="006D4FBA" w:rsidRDefault="009855E8">
                    <w:pPr>
                      <w:widowControl w:val="0"/>
                      <w:jc w:val="center"/>
                    </w:pPr>
                    <w:r w:rsidRPr="006D4FBA">
                      <w:rPr>
                        <w:rFonts w:hint="eastAsia"/>
                      </w:rPr>
                      <w:t>-</w:t>
                    </w:r>
                  </w:p>
                </w:tc>
                <w:tc>
                  <w:tcPr>
                    <w:tcW w:w="1399" w:type="dxa"/>
                    <w:shd w:val="clear" w:color="auto" w:fill="auto"/>
                    <w:vAlign w:val="center"/>
                  </w:tcPr>
                  <w:p w14:paraId="689DDCF4" w14:textId="77777777" w:rsidR="00B201D3" w:rsidRPr="006D4FBA" w:rsidRDefault="009855E8">
                    <w:pPr>
                      <w:widowControl w:val="0"/>
                      <w:jc w:val="both"/>
                    </w:pPr>
                    <w:r w:rsidRPr="006D4FBA">
                      <w:rPr>
                        <w:rFonts w:hint="eastAsia"/>
                      </w:rPr>
                      <w:t>公司</w:t>
                    </w:r>
                    <w:r w:rsidRPr="006D4FBA">
                      <w:t>2023年6月30日召开的2022年度股东周年大会</w:t>
                    </w:r>
                    <w:r w:rsidRPr="006D4FBA">
                      <w:rPr>
                        <w:rFonts w:hint="eastAsia"/>
                      </w:rPr>
                      <w:t>审议</w:t>
                    </w:r>
                    <w:r w:rsidRPr="006D4FBA">
                      <w:t>批准</w:t>
                    </w:r>
                    <w:r w:rsidRPr="006D4FBA">
                      <w:rPr>
                        <w:rFonts w:hint="eastAsia"/>
                      </w:rPr>
                      <w:t>了</w:t>
                    </w:r>
                    <w:r w:rsidRPr="006D4FBA">
                      <w:t>收购山东能源持有的</w:t>
                    </w:r>
                    <w:r w:rsidRPr="006D4FBA">
                      <w:rPr>
                        <w:rFonts w:hint="eastAsia"/>
                      </w:rPr>
                      <w:t>鲁西矿业</w:t>
                    </w:r>
                    <w:r w:rsidRPr="006D4FBA">
                      <w:t>51%股权</w:t>
                    </w:r>
                    <w:r w:rsidRPr="006D4FBA">
                      <w:rPr>
                        <w:rFonts w:hint="eastAsia"/>
                      </w:rPr>
                      <w:t>的事项</w:t>
                    </w:r>
                    <w:r w:rsidRPr="006D4FBA">
                      <w:t>。</w:t>
                    </w:r>
                  </w:p>
                </w:tc>
                <w:tc>
                  <w:tcPr>
                    <w:tcW w:w="845" w:type="dxa"/>
                    <w:shd w:val="clear" w:color="auto" w:fill="auto"/>
                    <w:vAlign w:val="center"/>
                  </w:tcPr>
                  <w:p w14:paraId="0B327880" w14:textId="77777777" w:rsidR="00B201D3" w:rsidRPr="006D4FBA" w:rsidRDefault="009855E8">
                    <w:pPr>
                      <w:widowControl w:val="0"/>
                      <w:jc w:val="center"/>
                    </w:pPr>
                    <w:r w:rsidRPr="006D4FBA">
                      <w:t>-</w:t>
                    </w:r>
                  </w:p>
                </w:tc>
                <w:tc>
                  <w:tcPr>
                    <w:tcW w:w="702" w:type="dxa"/>
                    <w:shd w:val="clear" w:color="auto" w:fill="auto"/>
                    <w:vAlign w:val="center"/>
                  </w:tcPr>
                  <w:p w14:paraId="2A4583A5" w14:textId="77777777" w:rsidR="00B201D3" w:rsidRPr="006D4FBA" w:rsidRDefault="009855E8">
                    <w:pPr>
                      <w:widowControl w:val="0"/>
                      <w:jc w:val="center"/>
                    </w:pPr>
                    <w:r w:rsidRPr="006D4FBA">
                      <w:rPr>
                        <w:rFonts w:hint="eastAsia"/>
                      </w:rPr>
                      <w:t>-</w:t>
                    </w:r>
                  </w:p>
                </w:tc>
                <w:sdt>
                  <w:sdtPr>
                    <w:rPr>
                      <w:rFonts w:hint="eastAsia"/>
                    </w:rPr>
                    <w:alias w:val="重大的股权投资_是否涉诉"/>
                    <w:tag w:val="_GBC_a9dab08ee11741a4abbb5ee48e309adc"/>
                    <w:id w:val="198362932"/>
                    <w:lock w:val="sdtLocked"/>
                    <w:comboBox>
                      <w:listItem w:displayText="是" w:value="是"/>
                      <w:listItem w:displayText="否" w:value="否"/>
                    </w:comboBox>
                  </w:sdtPr>
                  <w:sdtEndPr/>
                  <w:sdtContent>
                    <w:tc>
                      <w:tcPr>
                        <w:tcW w:w="702" w:type="dxa"/>
                        <w:shd w:val="clear" w:color="auto" w:fill="auto"/>
                        <w:vAlign w:val="center"/>
                      </w:tcPr>
                      <w:p w14:paraId="47D80CCF" w14:textId="7C4BB5BE" w:rsidR="00B201D3" w:rsidRPr="006D4FBA" w:rsidRDefault="00F46283">
                        <w:pPr>
                          <w:widowControl w:val="0"/>
                          <w:jc w:val="center"/>
                        </w:pPr>
                        <w:r>
                          <w:rPr>
                            <w:rFonts w:hint="eastAsia"/>
                          </w:rPr>
                          <w:t>否</w:t>
                        </w:r>
                      </w:p>
                    </w:tc>
                  </w:sdtContent>
                </w:sdt>
                <w:tc>
                  <w:tcPr>
                    <w:tcW w:w="986" w:type="dxa"/>
                    <w:shd w:val="clear" w:color="auto" w:fill="auto"/>
                    <w:vAlign w:val="center"/>
                  </w:tcPr>
                  <w:p w14:paraId="4670400F" w14:textId="77777777" w:rsidR="00B201D3" w:rsidRPr="006D4FBA" w:rsidRDefault="009855E8">
                    <w:pPr>
                      <w:widowControl w:val="0"/>
                      <w:jc w:val="center"/>
                    </w:pPr>
                    <w:r w:rsidRPr="006D4FBA">
                      <w:t>2023</w:t>
                    </w:r>
                    <w:r w:rsidRPr="006D4FBA">
                      <w:rPr>
                        <w:rFonts w:hint="eastAsia"/>
                      </w:rPr>
                      <w:t>-</w:t>
                    </w:r>
                    <w:r w:rsidRPr="006D4FBA">
                      <w:t>4</w:t>
                    </w:r>
                    <w:r w:rsidRPr="006D4FBA">
                      <w:rPr>
                        <w:rFonts w:hint="eastAsia"/>
                      </w:rPr>
                      <w:t>-</w:t>
                    </w:r>
                    <w:r w:rsidRPr="006D4FBA">
                      <w:t>28</w:t>
                    </w:r>
                  </w:p>
                </w:tc>
                <w:tc>
                  <w:tcPr>
                    <w:tcW w:w="2650" w:type="dxa"/>
                    <w:shd w:val="clear" w:color="auto" w:fill="auto"/>
                    <w:vAlign w:val="center"/>
                  </w:tcPr>
                  <w:p w14:paraId="5B5657A3" w14:textId="77777777" w:rsidR="00B201D3" w:rsidRPr="006D4FBA" w:rsidRDefault="009855E8">
                    <w:pPr>
                      <w:jc w:val="both"/>
                    </w:pPr>
                    <w:r w:rsidRPr="006D4FBA">
                      <w:rPr>
                        <w:rFonts w:hint="eastAsia"/>
                      </w:rPr>
                      <w:t>有关详情请见：</w:t>
                    </w:r>
                  </w:p>
                  <w:p w14:paraId="1A6D0067" w14:textId="77777777" w:rsidR="00B201D3" w:rsidRPr="006D4FBA" w:rsidRDefault="009855E8">
                    <w:pPr>
                      <w:jc w:val="both"/>
                    </w:pPr>
                    <w:r w:rsidRPr="006D4FBA">
                      <w:t>1.</w:t>
                    </w:r>
                    <w:r w:rsidRPr="006D4FBA">
                      <w:rPr>
                        <w:rFonts w:hint="eastAsia"/>
                      </w:rPr>
                      <w:t>日期为</w:t>
                    </w:r>
                    <w:r w:rsidRPr="006D4FBA">
                      <w:t>2023年4月</w:t>
                    </w:r>
                    <w:r w:rsidRPr="006D4FBA">
                      <w:rPr>
                        <w:rFonts w:hint="eastAsia"/>
                      </w:rPr>
                      <w:t>2</w:t>
                    </w:r>
                    <w:r w:rsidRPr="006D4FBA">
                      <w:t>8日的公司第八届董事会第二十九次会议决议公告</w:t>
                    </w:r>
                    <w:r w:rsidRPr="006D4FBA">
                      <w:rPr>
                        <w:rFonts w:hint="eastAsia"/>
                      </w:rPr>
                      <w:t>及关联交易公告。</w:t>
                    </w:r>
                  </w:p>
                  <w:p w14:paraId="62B53061" w14:textId="77777777" w:rsidR="00B201D3" w:rsidRPr="006D4FBA" w:rsidRDefault="009855E8">
                    <w:pPr>
                      <w:jc w:val="both"/>
                    </w:pPr>
                    <w:r w:rsidRPr="006D4FBA">
                      <w:rPr>
                        <w:rFonts w:hint="eastAsia"/>
                      </w:rPr>
                      <w:t>2</w:t>
                    </w:r>
                    <w:r w:rsidRPr="006D4FBA">
                      <w:t>.日期为2023年5月26日的关联交易公告</w:t>
                    </w:r>
                    <w:r w:rsidRPr="006D4FBA">
                      <w:rPr>
                        <w:rFonts w:hint="eastAsia"/>
                      </w:rPr>
                      <w:t>。</w:t>
                    </w:r>
                  </w:p>
                  <w:p w14:paraId="5C0DE595" w14:textId="77777777" w:rsidR="00B201D3" w:rsidRPr="006D4FBA" w:rsidRDefault="009855E8">
                    <w:pPr>
                      <w:jc w:val="both"/>
                    </w:pPr>
                    <w:r w:rsidRPr="006D4FBA">
                      <w:t>3.日期为2023年6月15日的关联交易进展公告</w:t>
                    </w:r>
                    <w:r w:rsidRPr="006D4FBA">
                      <w:rPr>
                        <w:rFonts w:hint="eastAsia"/>
                      </w:rPr>
                      <w:t>。</w:t>
                    </w:r>
                  </w:p>
                  <w:p w14:paraId="1C2D77FF" w14:textId="77777777" w:rsidR="00B201D3" w:rsidRPr="006D4FBA" w:rsidRDefault="009855E8">
                    <w:pPr>
                      <w:jc w:val="both"/>
                    </w:pPr>
                    <w:r w:rsidRPr="006D4FBA">
                      <w:t>4.日期为2023年6月30日的2022年度股东周年大会决议公告。</w:t>
                    </w:r>
                  </w:p>
                  <w:p w14:paraId="07775D14" w14:textId="77777777" w:rsidR="00B201D3" w:rsidRPr="006D4FBA" w:rsidRDefault="009855E8">
                    <w:pPr>
                      <w:jc w:val="both"/>
                      <w:rPr>
                        <w:u w:val="single"/>
                      </w:rPr>
                    </w:pPr>
                    <w:r w:rsidRPr="006D4FBA">
                      <w:t>该等资料载于上交所网站、香港联交所网站、公司网站及/或中国境内《中国证券报》《上海证券报》《证券时报》《证券日报》。</w:t>
                    </w:r>
                  </w:p>
                </w:tc>
              </w:tr>
            </w:sdtContent>
          </w:sdt>
          <w:sdt>
            <w:sdtPr>
              <w:rPr>
                <w:rFonts w:hint="eastAsia"/>
              </w:rPr>
              <w:alias w:val="重大的股权投资明细"/>
              <w:tag w:val="_TUP_0be2f10dae8548e890a9e52f040cb67a"/>
              <w:id w:val="-1151215566"/>
              <w:lock w:val="sdtLocked"/>
              <w:placeholder>
                <w:docPart w:val="GBC11111111111111111111111111111"/>
              </w:placeholder>
            </w:sdtPr>
            <w:sdtEndPr>
              <w:rPr>
                <w:u w:val="single"/>
              </w:rPr>
            </w:sdtEndPr>
            <w:sdtContent>
              <w:tr w:rsidR="00B201D3" w:rsidRPr="006D4FBA" w14:paraId="3C90F1FD" w14:textId="77777777">
                <w:trPr>
                  <w:jc w:val="center"/>
                </w:trPr>
                <w:tc>
                  <w:tcPr>
                    <w:tcW w:w="846" w:type="dxa"/>
                    <w:shd w:val="clear" w:color="auto" w:fill="auto"/>
                    <w:vAlign w:val="center"/>
                  </w:tcPr>
                  <w:p w14:paraId="236D9C6A" w14:textId="77777777" w:rsidR="00B201D3" w:rsidRPr="006D4FBA" w:rsidRDefault="009855E8">
                    <w:pPr>
                      <w:widowControl w:val="0"/>
                      <w:jc w:val="center"/>
                    </w:pPr>
                    <w:r w:rsidRPr="006D4FBA">
                      <w:rPr>
                        <w:rFonts w:hint="eastAsia"/>
                      </w:rPr>
                      <w:t>兖矿新疆能化有限公司（“新</w:t>
                    </w:r>
                    <w:r w:rsidRPr="006D4FBA">
                      <w:rPr>
                        <w:rFonts w:hint="eastAsia"/>
                      </w:rPr>
                      <w:lastRenderedPageBreak/>
                      <w:t>疆能化”）</w:t>
                    </w:r>
                  </w:p>
                </w:tc>
                <w:tc>
                  <w:tcPr>
                    <w:tcW w:w="1261" w:type="dxa"/>
                    <w:shd w:val="clear" w:color="auto" w:fill="auto"/>
                    <w:vAlign w:val="center"/>
                  </w:tcPr>
                  <w:p w14:paraId="3F164B5A" w14:textId="77777777" w:rsidR="00B201D3" w:rsidRPr="006D4FBA" w:rsidRDefault="009855E8">
                    <w:pPr>
                      <w:widowControl w:val="0"/>
                      <w:jc w:val="both"/>
                    </w:pPr>
                    <w:r w:rsidRPr="006D4FBA">
                      <w:rPr>
                        <w:rFonts w:hint="eastAsia"/>
                      </w:rPr>
                      <w:lastRenderedPageBreak/>
                      <w:t>主要从事煤炭开采、洗选与销售，煤化工等</w:t>
                    </w:r>
                    <w:r w:rsidRPr="006D4FBA">
                      <w:rPr>
                        <w:rFonts w:hint="eastAsia"/>
                      </w:rPr>
                      <w:lastRenderedPageBreak/>
                      <w:t>煤炭产业链上下游业务</w:t>
                    </w:r>
                  </w:p>
                </w:tc>
                <w:sdt>
                  <w:sdtPr>
                    <w:rPr>
                      <w:rFonts w:hint="eastAsia"/>
                    </w:rPr>
                    <w:alias w:val="重大的股权投资_投资标的是否系投资性主体 "/>
                    <w:tag w:val="_GBC_7074b1f516a842289a77c38bd61ff0d7"/>
                    <w:id w:val="36168470"/>
                    <w:lock w:val="sdtLocked"/>
                    <w:comboBox>
                      <w:listItem w:displayText="是" w:value="是"/>
                      <w:listItem w:displayText="否" w:value="否"/>
                    </w:comboBox>
                  </w:sdtPr>
                  <w:sdtEndPr/>
                  <w:sdtContent>
                    <w:tc>
                      <w:tcPr>
                        <w:tcW w:w="702" w:type="dxa"/>
                        <w:vAlign w:val="center"/>
                      </w:tcPr>
                      <w:p w14:paraId="5555820D" w14:textId="7158C627" w:rsidR="00B201D3" w:rsidRPr="006D4FBA" w:rsidRDefault="00F46283">
                        <w:pPr>
                          <w:widowControl w:val="0"/>
                          <w:jc w:val="center"/>
                        </w:pPr>
                        <w:r>
                          <w:rPr>
                            <w:rFonts w:hint="eastAsia"/>
                          </w:rPr>
                          <w:t>否</w:t>
                        </w:r>
                      </w:p>
                    </w:tc>
                  </w:sdtContent>
                </w:sdt>
                <w:sdt>
                  <w:sdtPr>
                    <w:rPr>
                      <w:rFonts w:hint="eastAsia"/>
                    </w:rPr>
                    <w:alias w:val="重大的股权投资_投资方式"/>
                    <w:tag w:val="_GBC_6657ab8cd3754f68a3199dda0335449b"/>
                    <w:id w:val="1009171848"/>
                    <w:lock w:val="sdtLocked"/>
                    <w:comboBox>
                      <w:listItem w:displayText="新设" w:value="新设"/>
                      <w:listItem w:displayText="增资" w:value="增资"/>
                      <w:listItem w:displayText="收购" w:value="收购"/>
                      <w:listItem w:displayText="其他" w:value="其他"/>
                    </w:comboBox>
                  </w:sdtPr>
                  <w:sdtEndPr/>
                  <w:sdtContent>
                    <w:tc>
                      <w:tcPr>
                        <w:tcW w:w="702" w:type="dxa"/>
                        <w:shd w:val="clear" w:color="auto" w:fill="auto"/>
                        <w:vAlign w:val="center"/>
                      </w:tcPr>
                      <w:p w14:paraId="4C6B1C11" w14:textId="159B87CD" w:rsidR="00B201D3" w:rsidRPr="006D4FBA" w:rsidRDefault="00F46283">
                        <w:pPr>
                          <w:widowControl w:val="0"/>
                          <w:jc w:val="center"/>
                        </w:pPr>
                        <w:r>
                          <w:rPr>
                            <w:rFonts w:hint="eastAsia"/>
                          </w:rPr>
                          <w:t>收购</w:t>
                        </w:r>
                      </w:p>
                    </w:tc>
                  </w:sdtContent>
                </w:sdt>
                <w:tc>
                  <w:tcPr>
                    <w:tcW w:w="850" w:type="dxa"/>
                    <w:shd w:val="clear" w:color="auto" w:fill="auto"/>
                    <w:vAlign w:val="center"/>
                  </w:tcPr>
                  <w:p w14:paraId="44208EDE" w14:textId="77777777" w:rsidR="00B201D3" w:rsidRPr="006D4FBA" w:rsidRDefault="009855E8">
                    <w:pPr>
                      <w:widowControl w:val="0"/>
                      <w:jc w:val="center"/>
                    </w:pPr>
                    <w:r w:rsidRPr="006D4FBA">
                      <w:rPr>
                        <w:rFonts w:hint="eastAsia"/>
                      </w:rPr>
                      <w:t>8</w:t>
                    </w:r>
                    <w:r w:rsidRPr="006D4FBA">
                      <w:t>1.12</w:t>
                    </w:r>
                  </w:p>
                </w:tc>
                <w:tc>
                  <w:tcPr>
                    <w:tcW w:w="705" w:type="dxa"/>
                    <w:shd w:val="clear" w:color="auto" w:fill="auto"/>
                    <w:vAlign w:val="center"/>
                  </w:tcPr>
                  <w:p w14:paraId="3015BA8F" w14:textId="77777777" w:rsidR="00B201D3" w:rsidRPr="006D4FBA" w:rsidRDefault="009855E8">
                    <w:pPr>
                      <w:widowControl w:val="0"/>
                      <w:jc w:val="center"/>
                    </w:pPr>
                    <w:r w:rsidRPr="006D4FBA">
                      <w:rPr>
                        <w:rFonts w:hint="eastAsia"/>
                      </w:rPr>
                      <w:t>5</w:t>
                    </w:r>
                    <w:r w:rsidRPr="006D4FBA">
                      <w:t>1</w:t>
                    </w:r>
                    <w:r w:rsidRPr="006D4FBA">
                      <w:rPr>
                        <w:rFonts w:hint="eastAsia"/>
                      </w:rPr>
                      <w:t>%</w:t>
                    </w:r>
                  </w:p>
                </w:tc>
                <w:sdt>
                  <w:sdtPr>
                    <w:rPr>
                      <w:rFonts w:hint="eastAsia"/>
                    </w:rPr>
                    <w:alias w:val="重大的股权投资_是否并表"/>
                    <w:tag w:val="_GBC_b0896277ebbd444caa2c6dea05baf05e"/>
                    <w:id w:val="-2120514352"/>
                    <w:lock w:val="sdtLocked"/>
                    <w:comboBox>
                      <w:listItem w:displayText="是" w:value="是"/>
                      <w:listItem w:displayText="否" w:value="否"/>
                    </w:comboBox>
                  </w:sdtPr>
                  <w:sdtEndPr/>
                  <w:sdtContent>
                    <w:tc>
                      <w:tcPr>
                        <w:tcW w:w="564" w:type="dxa"/>
                        <w:shd w:val="clear" w:color="auto" w:fill="auto"/>
                        <w:vAlign w:val="center"/>
                      </w:tcPr>
                      <w:p w14:paraId="4CA2C69B" w14:textId="56B889E7" w:rsidR="00B201D3" w:rsidRPr="006D4FBA" w:rsidRDefault="00F46283">
                        <w:pPr>
                          <w:widowControl w:val="0"/>
                          <w:jc w:val="center"/>
                        </w:pPr>
                        <w:r>
                          <w:rPr>
                            <w:rFonts w:hint="eastAsia"/>
                          </w:rPr>
                          <w:t>是</w:t>
                        </w:r>
                      </w:p>
                    </w:tc>
                  </w:sdtContent>
                </w:sdt>
                <w:tc>
                  <w:tcPr>
                    <w:tcW w:w="845" w:type="dxa"/>
                    <w:shd w:val="clear" w:color="auto" w:fill="auto"/>
                    <w:vAlign w:val="center"/>
                  </w:tcPr>
                  <w:p w14:paraId="1BAA0D2A" w14:textId="77777777" w:rsidR="00B201D3" w:rsidRPr="006D4FBA" w:rsidRDefault="009855E8">
                    <w:pPr>
                      <w:widowControl w:val="0"/>
                      <w:jc w:val="center"/>
                    </w:pPr>
                    <w:r w:rsidRPr="006D4FBA">
                      <w:rPr>
                        <w:rFonts w:hint="eastAsia"/>
                      </w:rPr>
                      <w:t>长期股权投资</w:t>
                    </w:r>
                  </w:p>
                </w:tc>
                <w:tc>
                  <w:tcPr>
                    <w:tcW w:w="702" w:type="dxa"/>
                    <w:shd w:val="clear" w:color="auto" w:fill="auto"/>
                    <w:vAlign w:val="center"/>
                  </w:tcPr>
                  <w:p w14:paraId="65C7CA77" w14:textId="77777777" w:rsidR="00B201D3" w:rsidRPr="006D4FBA" w:rsidRDefault="009855E8">
                    <w:pPr>
                      <w:widowControl w:val="0"/>
                      <w:jc w:val="center"/>
                    </w:pPr>
                    <w:r w:rsidRPr="006D4FBA">
                      <w:rPr>
                        <w:rFonts w:hint="eastAsia"/>
                      </w:rPr>
                      <w:t>自有资金</w:t>
                    </w:r>
                  </w:p>
                </w:tc>
                <w:tc>
                  <w:tcPr>
                    <w:tcW w:w="846" w:type="dxa"/>
                    <w:shd w:val="clear" w:color="auto" w:fill="auto"/>
                    <w:vAlign w:val="center"/>
                  </w:tcPr>
                  <w:p w14:paraId="3CAF18A3" w14:textId="77777777" w:rsidR="00B201D3" w:rsidRPr="006D4FBA" w:rsidRDefault="009855E8">
                    <w:pPr>
                      <w:widowControl w:val="0"/>
                      <w:jc w:val="center"/>
                    </w:pPr>
                    <w:r w:rsidRPr="006D4FBA">
                      <w:rPr>
                        <w:rFonts w:hint="eastAsia"/>
                      </w:rPr>
                      <w:t>-</w:t>
                    </w:r>
                  </w:p>
                </w:tc>
                <w:tc>
                  <w:tcPr>
                    <w:tcW w:w="706" w:type="dxa"/>
                    <w:shd w:val="clear" w:color="auto" w:fill="auto"/>
                    <w:vAlign w:val="center"/>
                  </w:tcPr>
                  <w:p w14:paraId="24510427" w14:textId="77777777" w:rsidR="00B201D3" w:rsidRPr="006D4FBA" w:rsidRDefault="009855E8">
                    <w:pPr>
                      <w:widowControl w:val="0"/>
                      <w:jc w:val="center"/>
                    </w:pPr>
                    <w:r w:rsidRPr="006D4FBA">
                      <w:rPr>
                        <w:rFonts w:hint="eastAsia"/>
                      </w:rPr>
                      <w:t>-</w:t>
                    </w:r>
                  </w:p>
                </w:tc>
                <w:tc>
                  <w:tcPr>
                    <w:tcW w:w="1399" w:type="dxa"/>
                    <w:shd w:val="clear" w:color="auto" w:fill="auto"/>
                    <w:vAlign w:val="center"/>
                  </w:tcPr>
                  <w:p w14:paraId="531904F6" w14:textId="77777777" w:rsidR="00B201D3" w:rsidRPr="006D4FBA" w:rsidRDefault="009855E8">
                    <w:pPr>
                      <w:widowControl w:val="0"/>
                      <w:jc w:val="both"/>
                    </w:pPr>
                    <w:r w:rsidRPr="006D4FBA">
                      <w:rPr>
                        <w:rFonts w:hint="eastAsia"/>
                      </w:rPr>
                      <w:t>公司</w:t>
                    </w:r>
                    <w:r w:rsidRPr="006D4FBA">
                      <w:t>2023年6月30日召开的2022年度股东周年大会</w:t>
                    </w:r>
                    <w:r w:rsidRPr="006D4FBA">
                      <w:rPr>
                        <w:rFonts w:hint="eastAsia"/>
                      </w:rPr>
                      <w:t>审议</w:t>
                    </w:r>
                    <w:r w:rsidRPr="006D4FBA">
                      <w:t>批</w:t>
                    </w:r>
                    <w:r w:rsidRPr="006D4FBA">
                      <w:lastRenderedPageBreak/>
                      <w:t>准</w:t>
                    </w:r>
                    <w:r w:rsidRPr="006D4FBA">
                      <w:rPr>
                        <w:rFonts w:hint="eastAsia"/>
                      </w:rPr>
                      <w:t>了</w:t>
                    </w:r>
                    <w:r w:rsidRPr="006D4FBA">
                      <w:t>收购山东能源持有的</w:t>
                    </w:r>
                    <w:r w:rsidRPr="006D4FBA">
                      <w:rPr>
                        <w:rFonts w:hint="eastAsia"/>
                      </w:rPr>
                      <w:t>新疆能化</w:t>
                    </w:r>
                    <w:r w:rsidRPr="006D4FBA">
                      <w:t>51%股权</w:t>
                    </w:r>
                    <w:r w:rsidRPr="006D4FBA">
                      <w:rPr>
                        <w:rFonts w:hint="eastAsia"/>
                      </w:rPr>
                      <w:t>的事项</w:t>
                    </w:r>
                    <w:r w:rsidRPr="006D4FBA">
                      <w:t>。</w:t>
                    </w:r>
                  </w:p>
                </w:tc>
                <w:tc>
                  <w:tcPr>
                    <w:tcW w:w="845" w:type="dxa"/>
                    <w:shd w:val="clear" w:color="auto" w:fill="auto"/>
                    <w:vAlign w:val="center"/>
                  </w:tcPr>
                  <w:p w14:paraId="01E0456F" w14:textId="77777777" w:rsidR="00B201D3" w:rsidRPr="006D4FBA" w:rsidRDefault="009855E8">
                    <w:pPr>
                      <w:widowControl w:val="0"/>
                      <w:jc w:val="center"/>
                    </w:pPr>
                    <w:r w:rsidRPr="006D4FBA">
                      <w:lastRenderedPageBreak/>
                      <w:t>-</w:t>
                    </w:r>
                  </w:p>
                </w:tc>
                <w:tc>
                  <w:tcPr>
                    <w:tcW w:w="702" w:type="dxa"/>
                    <w:shd w:val="clear" w:color="auto" w:fill="auto"/>
                    <w:vAlign w:val="center"/>
                  </w:tcPr>
                  <w:p w14:paraId="13D474AA" w14:textId="77777777" w:rsidR="00B201D3" w:rsidRPr="006D4FBA" w:rsidRDefault="009855E8">
                    <w:pPr>
                      <w:widowControl w:val="0"/>
                      <w:jc w:val="center"/>
                    </w:pPr>
                    <w:r w:rsidRPr="006D4FBA">
                      <w:rPr>
                        <w:rFonts w:hint="eastAsia"/>
                      </w:rPr>
                      <w:t>-</w:t>
                    </w:r>
                  </w:p>
                </w:tc>
                <w:sdt>
                  <w:sdtPr>
                    <w:rPr>
                      <w:rFonts w:hint="eastAsia"/>
                    </w:rPr>
                    <w:alias w:val="重大的股权投资_是否涉诉"/>
                    <w:tag w:val="_GBC_a9dab08ee11741a4abbb5ee48e309adc"/>
                    <w:id w:val="-2039730243"/>
                    <w:lock w:val="sdtLocked"/>
                    <w:comboBox>
                      <w:listItem w:displayText="是" w:value="是"/>
                      <w:listItem w:displayText="否" w:value="否"/>
                    </w:comboBox>
                  </w:sdtPr>
                  <w:sdtEndPr/>
                  <w:sdtContent>
                    <w:tc>
                      <w:tcPr>
                        <w:tcW w:w="702" w:type="dxa"/>
                        <w:shd w:val="clear" w:color="auto" w:fill="auto"/>
                        <w:vAlign w:val="center"/>
                      </w:tcPr>
                      <w:p w14:paraId="588C6038" w14:textId="21F28D89" w:rsidR="00B201D3" w:rsidRPr="006D4FBA" w:rsidRDefault="00F46283">
                        <w:pPr>
                          <w:widowControl w:val="0"/>
                          <w:jc w:val="center"/>
                        </w:pPr>
                        <w:r>
                          <w:rPr>
                            <w:rFonts w:hint="eastAsia"/>
                          </w:rPr>
                          <w:t>否</w:t>
                        </w:r>
                      </w:p>
                    </w:tc>
                  </w:sdtContent>
                </w:sdt>
                <w:tc>
                  <w:tcPr>
                    <w:tcW w:w="986" w:type="dxa"/>
                    <w:shd w:val="clear" w:color="auto" w:fill="auto"/>
                    <w:vAlign w:val="center"/>
                  </w:tcPr>
                  <w:p w14:paraId="1C54399C" w14:textId="77777777" w:rsidR="00B201D3" w:rsidRPr="006D4FBA" w:rsidRDefault="009855E8">
                    <w:pPr>
                      <w:widowControl w:val="0"/>
                      <w:jc w:val="center"/>
                    </w:pPr>
                    <w:r w:rsidRPr="006D4FBA">
                      <w:t>2023-4-28</w:t>
                    </w:r>
                  </w:p>
                </w:tc>
                <w:tc>
                  <w:tcPr>
                    <w:tcW w:w="2650" w:type="dxa"/>
                    <w:shd w:val="clear" w:color="auto" w:fill="auto"/>
                    <w:vAlign w:val="center"/>
                  </w:tcPr>
                  <w:p w14:paraId="6632D369" w14:textId="77777777" w:rsidR="00B201D3" w:rsidRPr="006D4FBA" w:rsidRDefault="009855E8">
                    <w:pPr>
                      <w:jc w:val="both"/>
                    </w:pPr>
                    <w:r w:rsidRPr="006D4FBA">
                      <w:rPr>
                        <w:rFonts w:hint="eastAsia"/>
                      </w:rPr>
                      <w:t>有关详情请见：</w:t>
                    </w:r>
                  </w:p>
                  <w:p w14:paraId="46E556C2" w14:textId="77777777" w:rsidR="00B201D3" w:rsidRPr="006D4FBA" w:rsidRDefault="009855E8">
                    <w:pPr>
                      <w:jc w:val="both"/>
                    </w:pPr>
                    <w:r w:rsidRPr="006D4FBA">
                      <w:t>1.</w:t>
                    </w:r>
                    <w:r w:rsidRPr="006D4FBA">
                      <w:rPr>
                        <w:rFonts w:hint="eastAsia"/>
                      </w:rPr>
                      <w:t>日期为</w:t>
                    </w:r>
                    <w:r w:rsidRPr="006D4FBA">
                      <w:t>2023年4月</w:t>
                    </w:r>
                    <w:r w:rsidRPr="006D4FBA">
                      <w:rPr>
                        <w:rFonts w:hint="eastAsia"/>
                      </w:rPr>
                      <w:t>2</w:t>
                    </w:r>
                    <w:r w:rsidRPr="006D4FBA">
                      <w:t>8日的公司第八届董事会第二十九次会议决议公告</w:t>
                    </w:r>
                    <w:r w:rsidRPr="006D4FBA">
                      <w:rPr>
                        <w:rFonts w:hint="eastAsia"/>
                      </w:rPr>
                      <w:t>及关联交易公告。</w:t>
                    </w:r>
                  </w:p>
                  <w:p w14:paraId="673E34BB" w14:textId="77777777" w:rsidR="00B201D3" w:rsidRPr="006D4FBA" w:rsidRDefault="009855E8">
                    <w:pPr>
                      <w:jc w:val="both"/>
                    </w:pPr>
                    <w:r w:rsidRPr="006D4FBA">
                      <w:rPr>
                        <w:rFonts w:hint="eastAsia"/>
                      </w:rPr>
                      <w:lastRenderedPageBreak/>
                      <w:t>2</w:t>
                    </w:r>
                    <w:r w:rsidRPr="006D4FBA">
                      <w:t>.日期为2023年5月26日的关联交易公告</w:t>
                    </w:r>
                    <w:r w:rsidRPr="006D4FBA">
                      <w:rPr>
                        <w:rFonts w:hint="eastAsia"/>
                      </w:rPr>
                      <w:t>。</w:t>
                    </w:r>
                  </w:p>
                  <w:p w14:paraId="5879C51F" w14:textId="77777777" w:rsidR="00B201D3" w:rsidRPr="006D4FBA" w:rsidRDefault="009855E8">
                    <w:pPr>
                      <w:jc w:val="both"/>
                    </w:pPr>
                    <w:r w:rsidRPr="006D4FBA">
                      <w:t>3.日期为2023年6月15日的关联交易进展公告</w:t>
                    </w:r>
                    <w:r w:rsidRPr="006D4FBA">
                      <w:rPr>
                        <w:rFonts w:hint="eastAsia"/>
                      </w:rPr>
                      <w:t>。</w:t>
                    </w:r>
                  </w:p>
                  <w:p w14:paraId="528C1246" w14:textId="77777777" w:rsidR="00B201D3" w:rsidRPr="006D4FBA" w:rsidRDefault="009855E8">
                    <w:pPr>
                      <w:jc w:val="both"/>
                    </w:pPr>
                    <w:r w:rsidRPr="006D4FBA">
                      <w:t>4.日期为2023年6月30日的2022年度股东周年大会决议公告。</w:t>
                    </w:r>
                  </w:p>
                  <w:p w14:paraId="1110621F" w14:textId="77777777" w:rsidR="00B201D3" w:rsidRPr="006D4FBA" w:rsidRDefault="009855E8">
                    <w:pPr>
                      <w:widowControl w:val="0"/>
                      <w:jc w:val="both"/>
                      <w:rPr>
                        <w:u w:val="single"/>
                      </w:rPr>
                    </w:pPr>
                    <w:r w:rsidRPr="006D4FBA">
                      <w:t>该等资料载于上交所网站、香港联交所网站、公司网站及/或中国境内《中国证券报》《上海证券报》《证券时报》《证券日报》。</w:t>
                    </w:r>
                  </w:p>
                </w:tc>
              </w:tr>
            </w:sdtContent>
          </w:sdt>
          <w:tr w:rsidR="00B201D3" w:rsidRPr="006D4FBA" w14:paraId="06727574" w14:textId="77777777">
            <w:trPr>
              <w:jc w:val="center"/>
            </w:trPr>
            <w:tc>
              <w:tcPr>
                <w:tcW w:w="846" w:type="dxa"/>
                <w:shd w:val="clear" w:color="auto" w:fill="auto"/>
              </w:tcPr>
              <w:sdt>
                <w:sdtPr>
                  <w:rPr>
                    <w:rFonts w:hint="eastAsia"/>
                  </w:rPr>
                  <w:tag w:val="_PLD_0d8f20b354da41fd8a3e24ce808651a6"/>
                  <w:id w:val="1634908703"/>
                  <w:lock w:val="sdtLocked"/>
                </w:sdtPr>
                <w:sdtEndPr/>
                <w:sdtContent>
                  <w:p w14:paraId="1FA04FA1" w14:textId="77777777" w:rsidR="00B201D3" w:rsidRPr="006D4FBA" w:rsidRDefault="009855E8">
                    <w:pPr>
                      <w:widowControl w:val="0"/>
                      <w:jc w:val="center"/>
                    </w:pPr>
                    <w:r w:rsidRPr="006D4FBA">
                      <w:rPr>
                        <w:rFonts w:hint="eastAsia"/>
                      </w:rPr>
                      <w:t>合计</w:t>
                    </w:r>
                  </w:p>
                </w:sdtContent>
              </w:sdt>
            </w:tc>
            <w:tc>
              <w:tcPr>
                <w:tcW w:w="1261" w:type="dxa"/>
                <w:shd w:val="clear" w:color="auto" w:fill="auto"/>
              </w:tcPr>
              <w:p w14:paraId="641B895C" w14:textId="77777777" w:rsidR="00B201D3" w:rsidRPr="006D4FBA" w:rsidRDefault="009855E8">
                <w:pPr>
                  <w:widowControl w:val="0"/>
                  <w:jc w:val="center"/>
                </w:pPr>
                <w:r w:rsidRPr="006D4FBA">
                  <w:rPr>
                    <w:rFonts w:hint="eastAsia"/>
                  </w:rPr>
                  <w:t>/</w:t>
                </w:r>
              </w:p>
            </w:tc>
            <w:tc>
              <w:tcPr>
                <w:tcW w:w="702" w:type="dxa"/>
              </w:tcPr>
              <w:p w14:paraId="0F717F44" w14:textId="77777777" w:rsidR="00B201D3" w:rsidRPr="006D4FBA" w:rsidRDefault="009855E8">
                <w:pPr>
                  <w:widowControl w:val="0"/>
                  <w:jc w:val="center"/>
                </w:pPr>
                <w:r w:rsidRPr="006D4FBA">
                  <w:rPr>
                    <w:rFonts w:hint="eastAsia"/>
                  </w:rPr>
                  <w:t>/</w:t>
                </w:r>
              </w:p>
            </w:tc>
            <w:tc>
              <w:tcPr>
                <w:tcW w:w="702" w:type="dxa"/>
                <w:shd w:val="clear" w:color="auto" w:fill="auto"/>
              </w:tcPr>
              <w:p w14:paraId="102C1C50" w14:textId="77777777" w:rsidR="00B201D3" w:rsidRPr="006D4FBA" w:rsidRDefault="009855E8">
                <w:pPr>
                  <w:widowControl w:val="0"/>
                  <w:jc w:val="center"/>
                </w:pPr>
                <w:r w:rsidRPr="006D4FBA">
                  <w:rPr>
                    <w:rFonts w:hint="eastAsia"/>
                  </w:rPr>
                  <w:t>/</w:t>
                </w:r>
              </w:p>
            </w:tc>
            <w:tc>
              <w:tcPr>
                <w:tcW w:w="850" w:type="dxa"/>
                <w:shd w:val="clear" w:color="auto" w:fill="auto"/>
              </w:tcPr>
              <w:p w14:paraId="0746DCEB" w14:textId="77777777" w:rsidR="00B201D3" w:rsidRPr="006D4FBA" w:rsidRDefault="009855E8">
                <w:pPr>
                  <w:widowControl w:val="0"/>
                  <w:jc w:val="right"/>
                </w:pPr>
                <w:r w:rsidRPr="006D4FBA">
                  <w:rPr>
                    <w:rFonts w:hint="eastAsia"/>
                  </w:rPr>
                  <w:t>2</w:t>
                </w:r>
                <w:r w:rsidRPr="006D4FBA">
                  <w:t>64.31</w:t>
                </w:r>
              </w:p>
            </w:tc>
            <w:tc>
              <w:tcPr>
                <w:tcW w:w="705" w:type="dxa"/>
                <w:shd w:val="clear" w:color="auto" w:fill="auto"/>
              </w:tcPr>
              <w:p w14:paraId="4495CB28" w14:textId="77777777" w:rsidR="00B201D3" w:rsidRPr="006D4FBA" w:rsidRDefault="009855E8">
                <w:pPr>
                  <w:widowControl w:val="0"/>
                  <w:jc w:val="center"/>
                </w:pPr>
                <w:r w:rsidRPr="006D4FBA">
                  <w:rPr>
                    <w:rFonts w:hint="eastAsia"/>
                  </w:rPr>
                  <w:t>/</w:t>
                </w:r>
              </w:p>
            </w:tc>
            <w:tc>
              <w:tcPr>
                <w:tcW w:w="564" w:type="dxa"/>
                <w:shd w:val="clear" w:color="auto" w:fill="auto"/>
              </w:tcPr>
              <w:p w14:paraId="419FA8AE" w14:textId="77777777" w:rsidR="00B201D3" w:rsidRPr="006D4FBA" w:rsidRDefault="009855E8">
                <w:pPr>
                  <w:widowControl w:val="0"/>
                  <w:jc w:val="center"/>
                </w:pPr>
                <w:r w:rsidRPr="006D4FBA">
                  <w:rPr>
                    <w:rFonts w:hint="eastAsia"/>
                  </w:rPr>
                  <w:t>/</w:t>
                </w:r>
              </w:p>
            </w:tc>
            <w:tc>
              <w:tcPr>
                <w:tcW w:w="845" w:type="dxa"/>
                <w:shd w:val="clear" w:color="auto" w:fill="auto"/>
              </w:tcPr>
              <w:p w14:paraId="2516EB50" w14:textId="77777777" w:rsidR="00B201D3" w:rsidRPr="006D4FBA" w:rsidRDefault="009855E8">
                <w:pPr>
                  <w:widowControl w:val="0"/>
                  <w:jc w:val="center"/>
                </w:pPr>
                <w:r w:rsidRPr="006D4FBA">
                  <w:rPr>
                    <w:rFonts w:hint="eastAsia"/>
                  </w:rPr>
                  <w:t>/</w:t>
                </w:r>
              </w:p>
            </w:tc>
            <w:tc>
              <w:tcPr>
                <w:tcW w:w="702" w:type="dxa"/>
                <w:shd w:val="clear" w:color="auto" w:fill="auto"/>
              </w:tcPr>
              <w:p w14:paraId="7B4E1634" w14:textId="77777777" w:rsidR="00B201D3" w:rsidRPr="006D4FBA" w:rsidRDefault="009855E8">
                <w:pPr>
                  <w:widowControl w:val="0"/>
                  <w:jc w:val="center"/>
                </w:pPr>
                <w:r w:rsidRPr="006D4FBA">
                  <w:rPr>
                    <w:rFonts w:hint="eastAsia"/>
                  </w:rPr>
                  <w:t>/</w:t>
                </w:r>
              </w:p>
            </w:tc>
            <w:tc>
              <w:tcPr>
                <w:tcW w:w="846" w:type="dxa"/>
                <w:shd w:val="clear" w:color="auto" w:fill="auto"/>
              </w:tcPr>
              <w:p w14:paraId="7DB6C74B" w14:textId="77777777" w:rsidR="00B201D3" w:rsidRPr="006D4FBA" w:rsidRDefault="009855E8">
                <w:pPr>
                  <w:widowControl w:val="0"/>
                  <w:jc w:val="center"/>
                </w:pPr>
                <w:r w:rsidRPr="006D4FBA">
                  <w:rPr>
                    <w:rFonts w:hint="eastAsia"/>
                  </w:rPr>
                  <w:t>/</w:t>
                </w:r>
              </w:p>
            </w:tc>
            <w:tc>
              <w:tcPr>
                <w:tcW w:w="706" w:type="dxa"/>
                <w:shd w:val="clear" w:color="auto" w:fill="auto"/>
              </w:tcPr>
              <w:p w14:paraId="68087291" w14:textId="77777777" w:rsidR="00B201D3" w:rsidRPr="006D4FBA" w:rsidRDefault="009855E8">
                <w:pPr>
                  <w:widowControl w:val="0"/>
                  <w:jc w:val="center"/>
                </w:pPr>
                <w:r w:rsidRPr="006D4FBA">
                  <w:rPr>
                    <w:rFonts w:hint="eastAsia"/>
                  </w:rPr>
                  <w:t>/</w:t>
                </w:r>
              </w:p>
            </w:tc>
            <w:tc>
              <w:tcPr>
                <w:tcW w:w="1399" w:type="dxa"/>
                <w:shd w:val="clear" w:color="auto" w:fill="auto"/>
              </w:tcPr>
              <w:p w14:paraId="27201B4A" w14:textId="77777777" w:rsidR="00B201D3" w:rsidRPr="006D4FBA" w:rsidRDefault="009855E8">
                <w:pPr>
                  <w:widowControl w:val="0"/>
                  <w:jc w:val="center"/>
                </w:pPr>
                <w:r w:rsidRPr="006D4FBA">
                  <w:rPr>
                    <w:rFonts w:hint="eastAsia"/>
                  </w:rPr>
                  <w:t>/</w:t>
                </w:r>
              </w:p>
            </w:tc>
            <w:tc>
              <w:tcPr>
                <w:tcW w:w="845" w:type="dxa"/>
                <w:shd w:val="clear" w:color="auto" w:fill="auto"/>
              </w:tcPr>
              <w:p w14:paraId="15C3ADF7" w14:textId="77777777" w:rsidR="00B201D3" w:rsidRPr="006D4FBA" w:rsidRDefault="009855E8">
                <w:pPr>
                  <w:widowControl w:val="0"/>
                  <w:jc w:val="right"/>
                </w:pPr>
                <w:r w:rsidRPr="006D4FBA">
                  <w:rPr>
                    <w:rFonts w:hint="eastAsia"/>
                  </w:rPr>
                  <w:t>-</w:t>
                </w:r>
              </w:p>
            </w:tc>
            <w:tc>
              <w:tcPr>
                <w:tcW w:w="702" w:type="dxa"/>
                <w:shd w:val="clear" w:color="auto" w:fill="auto"/>
              </w:tcPr>
              <w:p w14:paraId="0EF5AC88" w14:textId="77777777" w:rsidR="00B201D3" w:rsidRPr="006D4FBA" w:rsidRDefault="009855E8">
                <w:pPr>
                  <w:widowControl w:val="0"/>
                  <w:jc w:val="right"/>
                </w:pPr>
                <w:r w:rsidRPr="006D4FBA">
                  <w:rPr>
                    <w:rFonts w:hint="eastAsia"/>
                  </w:rPr>
                  <w:t>-</w:t>
                </w:r>
              </w:p>
            </w:tc>
            <w:tc>
              <w:tcPr>
                <w:tcW w:w="702" w:type="dxa"/>
                <w:shd w:val="clear" w:color="auto" w:fill="auto"/>
              </w:tcPr>
              <w:p w14:paraId="01E8A20B" w14:textId="77777777" w:rsidR="00B201D3" w:rsidRPr="006D4FBA" w:rsidRDefault="009855E8">
                <w:pPr>
                  <w:widowControl w:val="0"/>
                  <w:jc w:val="center"/>
                </w:pPr>
                <w:r w:rsidRPr="006D4FBA">
                  <w:rPr>
                    <w:rFonts w:hint="eastAsia"/>
                  </w:rPr>
                  <w:t>/</w:t>
                </w:r>
              </w:p>
            </w:tc>
            <w:tc>
              <w:tcPr>
                <w:tcW w:w="986" w:type="dxa"/>
                <w:shd w:val="clear" w:color="auto" w:fill="auto"/>
              </w:tcPr>
              <w:p w14:paraId="549D4228" w14:textId="77777777" w:rsidR="00B201D3" w:rsidRPr="006D4FBA" w:rsidRDefault="009855E8">
                <w:pPr>
                  <w:widowControl w:val="0"/>
                  <w:jc w:val="center"/>
                </w:pPr>
                <w:r w:rsidRPr="006D4FBA">
                  <w:rPr>
                    <w:rFonts w:hint="eastAsia"/>
                  </w:rPr>
                  <w:t>/</w:t>
                </w:r>
              </w:p>
            </w:tc>
            <w:tc>
              <w:tcPr>
                <w:tcW w:w="2650" w:type="dxa"/>
                <w:shd w:val="clear" w:color="auto" w:fill="auto"/>
              </w:tcPr>
              <w:sdt>
                <w:sdtPr>
                  <w:rPr>
                    <w:rFonts w:hint="eastAsia"/>
                  </w:rPr>
                  <w:tag w:val="_PLD_da3c552906ec4a7f9fbd33354caa6f35"/>
                  <w:id w:val="-1788501878"/>
                  <w:lock w:val="sdtLocked"/>
                </w:sdtPr>
                <w:sdtEndPr/>
                <w:sdtContent>
                  <w:p w14:paraId="2FFFE149" w14:textId="77777777" w:rsidR="00B201D3" w:rsidRPr="006D4FBA" w:rsidRDefault="009855E8">
                    <w:pPr>
                      <w:widowControl w:val="0"/>
                      <w:jc w:val="center"/>
                    </w:pPr>
                    <w:r w:rsidRPr="006D4FBA">
                      <w:rPr>
                        <w:rFonts w:hint="eastAsia"/>
                      </w:rPr>
                      <w:t>/</w:t>
                    </w:r>
                  </w:p>
                </w:sdtContent>
              </w:sdt>
            </w:tc>
          </w:tr>
        </w:tbl>
        <w:p w14:paraId="7010A500" w14:textId="77777777" w:rsidR="00B201D3" w:rsidRPr="006D4FBA" w:rsidRDefault="009855E8">
          <w:pPr>
            <w:ind w:firstLineChars="200" w:firstLine="420"/>
            <w:jc w:val="both"/>
          </w:pPr>
          <w:r w:rsidRPr="006D4FBA">
            <w:rPr>
              <w:rFonts w:hint="eastAsia"/>
            </w:rPr>
            <w:t>注：</w:t>
          </w:r>
          <w:r w:rsidRPr="006D4FBA">
            <w:t>公司收购山东能源持有的</w:t>
          </w:r>
          <w:r w:rsidRPr="006D4FBA">
            <w:rPr>
              <w:rFonts w:hint="eastAsia"/>
            </w:rPr>
            <w:t>鲁西矿业和</w:t>
          </w:r>
          <w:r w:rsidRPr="006D4FBA">
            <w:t>新疆能化</w:t>
          </w:r>
          <w:r w:rsidRPr="006D4FBA">
            <w:rPr>
              <w:rFonts w:hint="eastAsia"/>
            </w:rPr>
            <w:t>各</w:t>
          </w:r>
          <w:r w:rsidRPr="006D4FBA">
            <w:t>51%股权</w:t>
          </w:r>
          <w:r w:rsidRPr="006D4FBA">
            <w:rPr>
              <w:rFonts w:hint="eastAsia"/>
            </w:rPr>
            <w:t>，</w:t>
          </w:r>
          <w:r w:rsidRPr="006D4FBA">
            <w:t>详情请见本报告“第</w:t>
          </w:r>
          <w:r w:rsidRPr="006D4FBA">
            <w:rPr>
              <w:rFonts w:hint="eastAsia"/>
            </w:rPr>
            <w:t>六</w:t>
          </w:r>
          <w:r w:rsidRPr="006D4FBA">
            <w:t>节 重要事项”之“重大关联/关连交易”相关内容</w:t>
          </w:r>
          <w:r w:rsidRPr="006D4FBA">
            <w:rPr>
              <w:rFonts w:hint="eastAsia"/>
            </w:rPr>
            <w:t>。</w:t>
          </w:r>
        </w:p>
      </w:sdtContent>
    </w:sdt>
    <w:bookmarkEnd w:id="57"/>
    <w:p w14:paraId="4996E43D" w14:textId="77777777" w:rsidR="00B201D3" w:rsidRPr="006D4FBA" w:rsidRDefault="00B201D3">
      <w:pPr>
        <w:pStyle w:val="3903"/>
      </w:pPr>
    </w:p>
    <w:sdt>
      <w:sdtPr>
        <w:rPr>
          <w:rFonts w:ascii="宋体" w:hAnsi="宋体" w:cs="宋体" w:hint="eastAsia"/>
          <w:b w:val="0"/>
          <w:bCs w:val="0"/>
          <w:kern w:val="0"/>
          <w:szCs w:val="21"/>
        </w:rPr>
        <w:alias w:val="模块:重大的非股权投资"/>
        <w:tag w:val="_SEC_ac9932f6d2bb4e35b86dbcc496bca6c4"/>
        <w:id w:val="-911997849"/>
        <w:lock w:val="sdtLocked"/>
        <w:placeholder>
          <w:docPart w:val="GBC22222222222222222222222222222"/>
        </w:placeholder>
      </w:sdtPr>
      <w:sdtEndPr/>
      <w:sdtContent>
        <w:p w14:paraId="3CBEE016" w14:textId="77777777" w:rsidR="00B201D3" w:rsidRPr="006D4FBA" w:rsidRDefault="009855E8">
          <w:pPr>
            <w:pStyle w:val="5"/>
            <w:numPr>
              <w:ilvl w:val="0"/>
              <w:numId w:val="14"/>
            </w:numPr>
            <w:tabs>
              <w:tab w:val="left" w:pos="360"/>
            </w:tabs>
            <w:ind w:left="0" w:firstLine="0"/>
            <w:rPr>
              <w:rFonts w:ascii="宋体" w:hAnsi="宋体"/>
              <w:szCs w:val="21"/>
            </w:rPr>
          </w:pPr>
          <w:r w:rsidRPr="006D4FBA">
            <w:rPr>
              <w:rFonts w:ascii="宋体" w:hAnsi="宋体" w:hint="eastAsia"/>
              <w:szCs w:val="21"/>
            </w:rPr>
            <w:t>重大的非股权</w:t>
          </w:r>
          <w:r w:rsidRPr="006D4FBA">
            <w:rPr>
              <w:rFonts w:ascii="宋体" w:hAnsi="宋体" w:cs="宋体" w:hint="eastAsia"/>
              <w:kern w:val="0"/>
              <w:szCs w:val="21"/>
            </w:rPr>
            <w:t>投资</w:t>
          </w:r>
        </w:p>
        <w:sdt>
          <w:sdtPr>
            <w:rPr>
              <w:rFonts w:hint="eastAsia"/>
            </w:rPr>
            <w:alias w:val="是否适用：重大的非股权投资[双击切换]"/>
            <w:tag w:val="_GBC_ea7fdcb7583549f38c0db41e73af0a8b"/>
            <w:id w:val="319554180"/>
            <w:lock w:val="sdtLocked"/>
            <w:placeholder>
              <w:docPart w:val="GBC22222222222222222222222222222"/>
            </w:placeholder>
          </w:sdtPr>
          <w:sdtEndPr/>
          <w:sdtContent>
            <w:p w14:paraId="01A7835D" w14:textId="77777777" w:rsidR="00B201D3" w:rsidRPr="006D4FBA" w:rsidRDefault="009855E8">
              <w:pPr>
                <w:pStyle w:val="3903"/>
              </w:pPr>
              <w:r w:rsidRPr="006D4FBA">
                <w:fldChar w:fldCharType="begin"/>
              </w:r>
              <w:r w:rsidRPr="006D4FBA">
                <w:instrText xml:space="preserve"> MACROBUTTON  SnrToggleCheckbox □适用 </w:instrText>
              </w:r>
              <w:r w:rsidRPr="006D4FBA">
                <w:fldChar w:fldCharType="end"/>
              </w:r>
              <w:r w:rsidRPr="006D4FBA">
                <w:fldChar w:fldCharType="begin"/>
              </w:r>
              <w:r w:rsidRPr="006D4FBA">
                <w:instrText xml:space="preserve"> MACROBUTTON  SnrToggleCheckbox √不适用 </w:instrText>
              </w:r>
              <w:r w:rsidRPr="006D4FBA">
                <w:fldChar w:fldCharType="end"/>
              </w:r>
            </w:p>
          </w:sdtContent>
        </w:sdt>
        <w:p w14:paraId="12673252" w14:textId="77777777" w:rsidR="00B201D3" w:rsidRPr="006D4FBA" w:rsidRDefault="00C8327E">
          <w:pPr>
            <w:pStyle w:val="3903"/>
          </w:pPr>
        </w:p>
      </w:sdtContent>
    </w:sdt>
    <w:bookmarkStart w:id="58" w:name="_Hlk40532846" w:displacedByCustomXml="next"/>
    <w:sdt>
      <w:sdtPr>
        <w:rPr>
          <w:rFonts w:ascii="宋体" w:hAnsi="宋体" w:cs="宋体" w:hint="eastAsia"/>
          <w:b w:val="0"/>
          <w:bCs w:val="0"/>
          <w:kern w:val="0"/>
          <w:szCs w:val="21"/>
        </w:rPr>
        <w:alias w:val="模块:以公允价值计量的金融资产"/>
        <w:tag w:val="_SEC_5ac920b545894503a0b852b58774a2f1"/>
        <w:id w:val="1932625113"/>
        <w:lock w:val="sdtLocked"/>
        <w:placeholder>
          <w:docPart w:val="GBC22222222222222222222222222222"/>
        </w:placeholder>
      </w:sdtPr>
      <w:sdtEndPr/>
      <w:sdtContent>
        <w:p w14:paraId="1C023BB9" w14:textId="77777777" w:rsidR="00B201D3" w:rsidRPr="00D62131" w:rsidRDefault="009855E8">
          <w:pPr>
            <w:pStyle w:val="5"/>
            <w:numPr>
              <w:ilvl w:val="0"/>
              <w:numId w:val="14"/>
            </w:numPr>
            <w:tabs>
              <w:tab w:val="left" w:pos="360"/>
            </w:tabs>
            <w:ind w:left="0" w:firstLine="0"/>
            <w:rPr>
              <w:rFonts w:ascii="宋体" w:hAnsi="宋体" w:cs="宋体"/>
              <w:kern w:val="0"/>
              <w:szCs w:val="21"/>
            </w:rPr>
          </w:pPr>
          <w:r w:rsidRPr="00D62131">
            <w:rPr>
              <w:rFonts w:ascii="宋体" w:hAnsi="宋体" w:cs="宋体" w:hint="eastAsia"/>
              <w:kern w:val="0"/>
              <w:szCs w:val="21"/>
            </w:rPr>
            <w:t>以公允价值计量的金融资产</w:t>
          </w:r>
        </w:p>
        <w:sdt>
          <w:sdtPr>
            <w:rPr>
              <w:rFonts w:hint="eastAsia"/>
            </w:rPr>
            <w:alias w:val="是否适用：以公允价值计量的金融资产[双击切换]"/>
            <w:tag w:val="_GBC_541ff98e64424f46b08f9f3687c1ea7a"/>
            <w:id w:val="510418378"/>
            <w:lock w:val="sdtLocked"/>
            <w:placeholder>
              <w:docPart w:val="GBC22222222222222222222222222222"/>
            </w:placeholder>
          </w:sdtPr>
          <w:sdtEndPr/>
          <w:sdtContent>
            <w:p w14:paraId="1CB9F593" w14:textId="77777777" w:rsidR="00B201D3" w:rsidRPr="006D4FBA" w:rsidRDefault="009855E8">
              <w:pPr>
                <w:pStyle w:val="3903"/>
              </w:pPr>
              <w:r w:rsidRPr="006D4FBA">
                <w:fldChar w:fldCharType="begin"/>
              </w:r>
              <w:r w:rsidRPr="006D4FBA">
                <w:instrText xml:space="preserve"> MACROBUTTON  SnrToggleCheckbox √适用  </w:instrText>
              </w:r>
              <w:r w:rsidRPr="006D4FBA">
                <w:fldChar w:fldCharType="end"/>
              </w:r>
              <w:r w:rsidRPr="006D4FBA">
                <w:fldChar w:fldCharType="begin"/>
              </w:r>
              <w:r w:rsidRPr="006D4FBA">
                <w:instrText xml:space="preserve"> MACROBUTTON  SnrToggleCheckbox □不适用 </w:instrText>
              </w:r>
              <w:r w:rsidRPr="006D4FBA">
                <w:fldChar w:fldCharType="end"/>
              </w:r>
            </w:p>
          </w:sdtContent>
        </w:sdt>
        <w:p w14:paraId="250EBD91" w14:textId="741D1EE9" w:rsidR="00B201D3" w:rsidRPr="006D4FBA" w:rsidRDefault="009855E8">
          <w:pPr>
            <w:pStyle w:val="17"/>
            <w:wordWrap w:val="0"/>
            <w:ind w:left="360" w:firstLineChars="0" w:firstLine="0"/>
            <w:jc w:val="right"/>
            <w:rPr>
              <w:rFonts w:ascii="宋体" w:hAnsi="宋体"/>
            </w:rPr>
          </w:pPr>
          <w:r w:rsidRPr="006D4FBA">
            <w:rPr>
              <w:rFonts w:ascii="宋体" w:hAnsi="宋体" w:hint="eastAsia"/>
            </w:rPr>
            <w:t>单位：</w:t>
          </w:r>
          <w:sdt>
            <w:sdtPr>
              <w:rPr>
                <w:rFonts w:ascii="宋体" w:hAnsi="宋体" w:hint="eastAsia"/>
              </w:rPr>
              <w:alias w:val="单位：以公允价值计量的金融资产"/>
              <w:tag w:val="_GBC_1c2aaa623bd0423791ad9edf7fcfb564"/>
              <w:id w:val="196715707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46283">
                <w:rPr>
                  <w:rFonts w:ascii="宋体" w:hAnsi="宋体" w:hint="eastAsia"/>
                </w:rPr>
                <w:t>千元</w:t>
              </w:r>
            </w:sdtContent>
          </w:sdt>
          <w:r w:rsidRPr="006D4FBA">
            <w:rPr>
              <w:rFonts w:ascii="宋体" w:hAnsi="宋体" w:hint="eastAsia"/>
            </w:rPr>
            <w:t xml:space="preserve">  币种：</w:t>
          </w:r>
          <w:sdt>
            <w:sdtPr>
              <w:rPr>
                <w:rFonts w:ascii="宋体" w:hAnsi="宋体" w:hint="eastAsia"/>
              </w:rPr>
              <w:alias w:val="币种：以公允价值计量的金融资产"/>
              <w:tag w:val="_GBC_7946a1d9804e4752a8d28bb04a1c1fe2"/>
              <w:id w:val="-59083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46283">
                <w:rPr>
                  <w:rFonts w:ascii="宋体" w:hAnsi="宋体" w:hint="eastAsia"/>
                </w:rPr>
                <w:t>人民币</w:t>
              </w:r>
            </w:sdtContent>
          </w:sdt>
        </w:p>
        <w:tbl>
          <w:tblPr>
            <w:tblStyle w:val="g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1549"/>
            <w:gridCol w:w="1542"/>
            <w:gridCol w:w="1536"/>
            <w:gridCol w:w="1535"/>
            <w:gridCol w:w="1536"/>
            <w:gridCol w:w="1535"/>
            <w:gridCol w:w="1545"/>
            <w:gridCol w:w="1549"/>
          </w:tblGrid>
          <w:tr w:rsidR="00B201D3" w:rsidRPr="006D4FBA" w14:paraId="6FFAAFA7" w14:textId="77777777" w:rsidTr="00D62131">
            <w:sdt>
              <w:sdtPr>
                <w:rPr>
                  <w:rFonts w:cs="Times New Roman" w:hint="eastAsia"/>
                  <w:kern w:val="2"/>
                  <w:szCs w:val="22"/>
                </w:rPr>
                <w:tag w:val="_PLD_b4279fe84ffd49f892f0e4236d8485e0"/>
                <w:id w:val="1303352995"/>
                <w:lock w:val="sdtLocked"/>
              </w:sdtPr>
              <w:sdtEndPr/>
              <w:sdtContent>
                <w:tc>
                  <w:tcPr>
                    <w:tcW w:w="1536" w:type="dxa"/>
                    <w:shd w:val="clear" w:color="auto" w:fill="auto"/>
                    <w:vAlign w:val="center"/>
                  </w:tcPr>
                  <w:p w14:paraId="418B2580" w14:textId="77777777" w:rsidR="00B201D3" w:rsidRPr="006D4FBA" w:rsidRDefault="009855E8">
                    <w:pPr>
                      <w:widowControl w:val="0"/>
                      <w:jc w:val="center"/>
                    </w:pPr>
                    <w:r w:rsidRPr="006D4FBA">
                      <w:rPr>
                        <w:rFonts w:cs="Times New Roman" w:hint="eastAsia"/>
                        <w:kern w:val="2"/>
                        <w:szCs w:val="22"/>
                      </w:rPr>
                      <w:t>资产类别</w:t>
                    </w:r>
                  </w:p>
                </w:tc>
              </w:sdtContent>
            </w:sdt>
            <w:sdt>
              <w:sdtPr>
                <w:rPr>
                  <w:rFonts w:hint="eastAsia"/>
                </w:rPr>
                <w:tag w:val="_PLD_8c2e4dc1bb324e79bc03b22ad26f792e"/>
                <w:id w:val="1196735547"/>
                <w:lock w:val="sdtLocked"/>
              </w:sdtPr>
              <w:sdtEndPr/>
              <w:sdtContent>
                <w:tc>
                  <w:tcPr>
                    <w:tcW w:w="1549" w:type="dxa"/>
                    <w:shd w:val="clear" w:color="auto" w:fill="auto"/>
                    <w:vAlign w:val="center"/>
                  </w:tcPr>
                  <w:p w14:paraId="122A7C14" w14:textId="77777777" w:rsidR="00B201D3" w:rsidRPr="006D4FBA" w:rsidRDefault="009855E8">
                    <w:pPr>
                      <w:widowControl w:val="0"/>
                      <w:jc w:val="center"/>
                    </w:pPr>
                    <w:r w:rsidRPr="006D4FBA">
                      <w:rPr>
                        <w:rFonts w:hint="eastAsia"/>
                      </w:rPr>
                      <w:t>期初数</w:t>
                    </w:r>
                  </w:p>
                </w:tc>
              </w:sdtContent>
            </w:sdt>
            <w:sdt>
              <w:sdtPr>
                <w:rPr>
                  <w:rFonts w:hint="eastAsia"/>
                </w:rPr>
                <w:tag w:val="_PLD_7f931a153d8147eda6f368a9567bc298"/>
                <w:id w:val="-1719424563"/>
                <w:lock w:val="sdtLocked"/>
              </w:sdtPr>
              <w:sdtEndPr/>
              <w:sdtContent>
                <w:tc>
                  <w:tcPr>
                    <w:tcW w:w="1542" w:type="dxa"/>
                    <w:shd w:val="clear" w:color="auto" w:fill="auto"/>
                    <w:vAlign w:val="center"/>
                  </w:tcPr>
                  <w:p w14:paraId="02E6BB86" w14:textId="77777777" w:rsidR="00B201D3" w:rsidRPr="006D4FBA" w:rsidRDefault="009855E8">
                    <w:pPr>
                      <w:widowControl w:val="0"/>
                      <w:jc w:val="center"/>
                      <w:rPr>
                        <w:b/>
                      </w:rPr>
                    </w:pPr>
                    <w:r w:rsidRPr="006D4FBA">
                      <w:rPr>
                        <w:rFonts w:hint="eastAsia"/>
                      </w:rPr>
                      <w:t>本期公允价值变动损益</w:t>
                    </w:r>
                  </w:p>
                </w:tc>
              </w:sdtContent>
            </w:sdt>
            <w:sdt>
              <w:sdtPr>
                <w:rPr>
                  <w:rFonts w:hint="eastAsia"/>
                </w:rPr>
                <w:tag w:val="_PLD_27da79c178c64f67a920ab85f142ffda"/>
                <w:id w:val="-2007899300"/>
                <w:lock w:val="sdtLocked"/>
              </w:sdtPr>
              <w:sdtEndPr/>
              <w:sdtContent>
                <w:tc>
                  <w:tcPr>
                    <w:tcW w:w="1536" w:type="dxa"/>
                    <w:shd w:val="clear" w:color="auto" w:fill="auto"/>
                    <w:vAlign w:val="center"/>
                  </w:tcPr>
                  <w:p w14:paraId="68B4B641" w14:textId="77777777" w:rsidR="00B201D3" w:rsidRPr="006D4FBA" w:rsidRDefault="009855E8">
                    <w:pPr>
                      <w:widowControl w:val="0"/>
                      <w:jc w:val="center"/>
                    </w:pPr>
                    <w:r w:rsidRPr="006D4FBA">
                      <w:rPr>
                        <w:rFonts w:hint="eastAsia"/>
                      </w:rPr>
                      <w:t>计入权益的累计公允价值变动</w:t>
                    </w:r>
                  </w:p>
                </w:tc>
              </w:sdtContent>
            </w:sdt>
            <w:sdt>
              <w:sdtPr>
                <w:rPr>
                  <w:rFonts w:hint="eastAsia"/>
                </w:rPr>
                <w:tag w:val="_PLD_0fad7d8c41374a0d890f4c32253b8649"/>
                <w:id w:val="-1621285871"/>
                <w:lock w:val="sdtLocked"/>
              </w:sdtPr>
              <w:sdtEndPr/>
              <w:sdtContent>
                <w:tc>
                  <w:tcPr>
                    <w:tcW w:w="1535" w:type="dxa"/>
                    <w:shd w:val="clear" w:color="auto" w:fill="auto"/>
                    <w:vAlign w:val="center"/>
                  </w:tcPr>
                  <w:p w14:paraId="77C0CCC1" w14:textId="77777777" w:rsidR="00B201D3" w:rsidRPr="006D4FBA" w:rsidRDefault="009855E8">
                    <w:pPr>
                      <w:widowControl w:val="0"/>
                      <w:jc w:val="center"/>
                    </w:pPr>
                    <w:r w:rsidRPr="006D4FBA">
                      <w:rPr>
                        <w:rFonts w:hint="eastAsia"/>
                      </w:rPr>
                      <w:t>本期计提的减值</w:t>
                    </w:r>
                  </w:p>
                </w:tc>
              </w:sdtContent>
            </w:sdt>
            <w:sdt>
              <w:sdtPr>
                <w:rPr>
                  <w:rFonts w:hint="eastAsia"/>
                </w:rPr>
                <w:tag w:val="_PLD_8ff680d02d9d41dca633590f5d9750a8"/>
                <w:id w:val="-356813141"/>
                <w:lock w:val="sdtLocked"/>
              </w:sdtPr>
              <w:sdtEndPr/>
              <w:sdtContent>
                <w:tc>
                  <w:tcPr>
                    <w:tcW w:w="1536" w:type="dxa"/>
                    <w:shd w:val="clear" w:color="auto" w:fill="auto"/>
                    <w:vAlign w:val="center"/>
                  </w:tcPr>
                  <w:p w14:paraId="3A7C0399" w14:textId="77777777" w:rsidR="00B201D3" w:rsidRPr="006D4FBA" w:rsidRDefault="009855E8">
                    <w:pPr>
                      <w:widowControl w:val="0"/>
                      <w:jc w:val="center"/>
                    </w:pPr>
                    <w:r w:rsidRPr="006D4FBA">
                      <w:rPr>
                        <w:rFonts w:hint="eastAsia"/>
                      </w:rPr>
                      <w:t>本期购买金额</w:t>
                    </w:r>
                  </w:p>
                </w:tc>
              </w:sdtContent>
            </w:sdt>
            <w:sdt>
              <w:sdtPr>
                <w:rPr>
                  <w:rFonts w:hint="eastAsia"/>
                </w:rPr>
                <w:tag w:val="_PLD_e83492f8af03443b91d02a1661f56291"/>
                <w:id w:val="-874767772"/>
                <w:lock w:val="sdtLocked"/>
              </w:sdtPr>
              <w:sdtEndPr/>
              <w:sdtContent>
                <w:tc>
                  <w:tcPr>
                    <w:tcW w:w="1535" w:type="dxa"/>
                    <w:shd w:val="clear" w:color="auto" w:fill="auto"/>
                    <w:vAlign w:val="center"/>
                  </w:tcPr>
                  <w:p w14:paraId="42A2C53F" w14:textId="77777777" w:rsidR="00B201D3" w:rsidRPr="006D4FBA" w:rsidRDefault="009855E8">
                    <w:pPr>
                      <w:widowControl w:val="0"/>
                      <w:jc w:val="center"/>
                    </w:pPr>
                    <w:r w:rsidRPr="006D4FBA">
                      <w:rPr>
                        <w:rFonts w:hint="eastAsia"/>
                      </w:rPr>
                      <w:t>本期出售/赎回金额</w:t>
                    </w:r>
                  </w:p>
                </w:tc>
              </w:sdtContent>
            </w:sdt>
            <w:sdt>
              <w:sdtPr>
                <w:rPr>
                  <w:rFonts w:hint="eastAsia"/>
                </w:rPr>
                <w:tag w:val="_PLD_7aaffff291e240b5adc74b8ad3728c6e"/>
                <w:id w:val="-1094240295"/>
                <w:lock w:val="sdtLocked"/>
              </w:sdtPr>
              <w:sdtEndPr/>
              <w:sdtContent>
                <w:tc>
                  <w:tcPr>
                    <w:tcW w:w="1545" w:type="dxa"/>
                    <w:shd w:val="clear" w:color="auto" w:fill="auto"/>
                    <w:vAlign w:val="center"/>
                  </w:tcPr>
                  <w:p w14:paraId="7975D25B" w14:textId="77777777" w:rsidR="00B201D3" w:rsidRPr="006D4FBA" w:rsidRDefault="009855E8">
                    <w:pPr>
                      <w:widowControl w:val="0"/>
                      <w:jc w:val="center"/>
                    </w:pPr>
                    <w:r w:rsidRPr="006D4FBA">
                      <w:rPr>
                        <w:rFonts w:hint="eastAsia"/>
                      </w:rPr>
                      <w:t>其他变动</w:t>
                    </w:r>
                  </w:p>
                </w:tc>
              </w:sdtContent>
            </w:sdt>
            <w:sdt>
              <w:sdtPr>
                <w:rPr>
                  <w:rFonts w:hint="eastAsia"/>
                </w:rPr>
                <w:tag w:val="_PLD_d765878830274571b732d6e366f7811e"/>
                <w:id w:val="-906530518"/>
                <w:lock w:val="sdtLocked"/>
              </w:sdtPr>
              <w:sdtEndPr/>
              <w:sdtContent>
                <w:tc>
                  <w:tcPr>
                    <w:tcW w:w="1549" w:type="dxa"/>
                    <w:shd w:val="clear" w:color="auto" w:fill="auto"/>
                    <w:vAlign w:val="center"/>
                  </w:tcPr>
                  <w:p w14:paraId="3813F069" w14:textId="77777777" w:rsidR="00B201D3" w:rsidRPr="006D4FBA" w:rsidRDefault="009855E8">
                    <w:pPr>
                      <w:widowControl w:val="0"/>
                      <w:jc w:val="center"/>
                    </w:pPr>
                    <w:r w:rsidRPr="006D4FBA">
                      <w:rPr>
                        <w:rFonts w:hint="eastAsia"/>
                      </w:rPr>
                      <w:t>期末数</w:t>
                    </w:r>
                  </w:p>
                </w:tc>
              </w:sdtContent>
            </w:sdt>
          </w:tr>
          <w:sdt>
            <w:sdtPr>
              <w:alias w:val="以公允价值计量的金融资产情况明细"/>
              <w:tag w:val="_TUP_bddc57d12675431981133e30d13fa7a0"/>
              <w:id w:val="-1397822893"/>
              <w:lock w:val="sdtLocked"/>
              <w:placeholder>
                <w:docPart w:val="AA4785E0B1114839942622D59CFDA48F"/>
              </w:placeholder>
            </w:sdtPr>
            <w:sdtEndPr/>
            <w:sdtContent>
              <w:tr w:rsidR="00D62131" w:rsidRPr="006D4FBA" w14:paraId="2F5C8408" w14:textId="77777777" w:rsidTr="00D62131">
                <w:sdt>
                  <w:sdtPr>
                    <w:alias w:val="以公允价值计量的金融资产情况明细_资产类别"/>
                    <w:tag w:val="_GBC_c997e562cc4b41daad4593e89dd8a6f5"/>
                    <w:id w:val="-1547981045"/>
                    <w:lock w:val="sdtLocked"/>
                    <w:comboBox>
                      <w:listItem w:displayText="股票" w:value="股票"/>
                      <w:listItem w:displayText="债券" w:value="债券"/>
                      <w:listItem w:displayText="信托产品" w:value="信托产品"/>
                      <w:listItem w:displayText="私募基金" w:value="私募基金"/>
                      <w:listItem w:displayText="期货" w:value="期货"/>
                      <w:listItem w:displayText="衍生工具" w:value="衍生工具"/>
                      <w:listItem w:displayText="其他" w:value="其他"/>
                    </w:comboBox>
                  </w:sdtPr>
                  <w:sdtEndPr/>
                  <w:sdtContent>
                    <w:tc>
                      <w:tcPr>
                        <w:tcW w:w="1536" w:type="dxa"/>
                        <w:shd w:val="clear" w:color="auto" w:fill="auto"/>
                      </w:tcPr>
                      <w:p w14:paraId="7F318CC1" w14:textId="496894BF" w:rsidR="00D62131" w:rsidRPr="006D4FBA" w:rsidRDefault="00D62131" w:rsidP="00D62131">
                        <w:pPr>
                          <w:widowControl w:val="0"/>
                          <w:jc w:val="both"/>
                        </w:pPr>
                        <w:r>
                          <w:t>股票</w:t>
                        </w:r>
                      </w:p>
                    </w:tc>
                  </w:sdtContent>
                </w:sdt>
                <w:tc>
                  <w:tcPr>
                    <w:tcW w:w="1549" w:type="dxa"/>
                    <w:tcBorders>
                      <w:top w:val="single" w:sz="4" w:space="0" w:color="auto"/>
                      <w:left w:val="single" w:sz="4" w:space="0" w:color="auto"/>
                      <w:bottom w:val="single" w:sz="4" w:space="0" w:color="auto"/>
                      <w:right w:val="single" w:sz="4" w:space="0" w:color="auto"/>
                    </w:tcBorders>
                  </w:tcPr>
                  <w:p w14:paraId="2AF1C851" w14:textId="77777777" w:rsidR="00D62131" w:rsidRPr="006D4FBA" w:rsidRDefault="00D62131" w:rsidP="00D62131">
                    <w:pPr>
                      <w:widowControl w:val="0"/>
                      <w:jc w:val="right"/>
                    </w:pPr>
                    <w:r w:rsidRPr="006D4FBA">
                      <w:rPr>
                        <w:rFonts w:hint="eastAsia"/>
                      </w:rPr>
                      <w:t>8</w:t>
                    </w:r>
                    <w:r w:rsidRPr="006D4FBA">
                      <w:t>66</w:t>
                    </w:r>
                  </w:p>
                </w:tc>
                <w:tc>
                  <w:tcPr>
                    <w:tcW w:w="1542" w:type="dxa"/>
                    <w:tcBorders>
                      <w:top w:val="single" w:sz="4" w:space="0" w:color="auto"/>
                      <w:left w:val="single" w:sz="4" w:space="0" w:color="auto"/>
                      <w:bottom w:val="single" w:sz="4" w:space="0" w:color="auto"/>
                      <w:right w:val="single" w:sz="4" w:space="0" w:color="auto"/>
                    </w:tcBorders>
                    <w:vAlign w:val="center"/>
                  </w:tcPr>
                  <w:p w14:paraId="189E9D2D" w14:textId="77777777" w:rsidR="00D62131" w:rsidRPr="006D4FBA" w:rsidRDefault="00D62131" w:rsidP="00D62131">
                    <w:pPr>
                      <w:widowControl w:val="0"/>
                      <w:jc w:val="right"/>
                    </w:pPr>
                    <w:r w:rsidRPr="006D4FBA">
                      <w:rPr>
                        <w:rFonts w:hint="eastAsia"/>
                      </w:rPr>
                      <w:t>-</w:t>
                    </w:r>
                    <w:r w:rsidRPr="006D4FBA">
                      <w:t>201</w:t>
                    </w:r>
                  </w:p>
                </w:tc>
                <w:tc>
                  <w:tcPr>
                    <w:tcW w:w="1536" w:type="dxa"/>
                    <w:tcBorders>
                      <w:top w:val="single" w:sz="4" w:space="0" w:color="auto"/>
                      <w:left w:val="single" w:sz="4" w:space="0" w:color="auto"/>
                      <w:bottom w:val="single" w:sz="4" w:space="0" w:color="auto"/>
                      <w:right w:val="single" w:sz="4" w:space="0" w:color="auto"/>
                    </w:tcBorders>
                    <w:vAlign w:val="center"/>
                  </w:tcPr>
                  <w:p w14:paraId="18008158" w14:textId="77777777" w:rsidR="00D62131" w:rsidRPr="006D4FBA" w:rsidRDefault="00D62131" w:rsidP="00D62131">
                    <w:pPr>
                      <w:widowControl w:val="0"/>
                      <w:jc w:val="right"/>
                    </w:pPr>
                    <w:r w:rsidRPr="006D4FBA">
                      <w:rPr>
                        <w:rFonts w:hint="eastAsia"/>
                      </w:rPr>
                      <w:t>-</w:t>
                    </w:r>
                    <w:r w:rsidRPr="006D4FBA">
                      <w:t>57</w:t>
                    </w:r>
                  </w:p>
                </w:tc>
                <w:tc>
                  <w:tcPr>
                    <w:tcW w:w="1535" w:type="dxa"/>
                    <w:shd w:val="clear" w:color="auto" w:fill="auto"/>
                    <w:vAlign w:val="center"/>
                  </w:tcPr>
                  <w:p w14:paraId="666ED712" w14:textId="2DF6480A" w:rsidR="00D62131" w:rsidRPr="006D4FBA" w:rsidRDefault="00D62131" w:rsidP="00D62131">
                    <w:pPr>
                      <w:widowControl w:val="0"/>
                      <w:jc w:val="right"/>
                    </w:pPr>
                    <w:r w:rsidRPr="009325B0">
                      <w:rPr>
                        <w:rFonts w:hint="eastAsia"/>
                      </w:rPr>
                      <w:t>-</w:t>
                    </w:r>
                  </w:p>
                </w:tc>
                <w:tc>
                  <w:tcPr>
                    <w:tcW w:w="1536" w:type="dxa"/>
                    <w:shd w:val="clear" w:color="auto" w:fill="auto"/>
                    <w:vAlign w:val="center"/>
                  </w:tcPr>
                  <w:p w14:paraId="453DC008" w14:textId="5C3660F4" w:rsidR="00D62131" w:rsidRPr="006D4FBA" w:rsidRDefault="00D62131" w:rsidP="00D62131">
                    <w:pPr>
                      <w:widowControl w:val="0"/>
                      <w:jc w:val="right"/>
                    </w:pPr>
                    <w:r w:rsidRPr="009325B0">
                      <w:rPr>
                        <w:rFonts w:hint="eastAsia"/>
                      </w:rPr>
                      <w:t>-</w:t>
                    </w:r>
                  </w:p>
                </w:tc>
                <w:tc>
                  <w:tcPr>
                    <w:tcW w:w="1535" w:type="dxa"/>
                    <w:shd w:val="clear" w:color="auto" w:fill="auto"/>
                    <w:vAlign w:val="center"/>
                  </w:tcPr>
                  <w:p w14:paraId="6CFCBB5C" w14:textId="2D3248C2" w:rsidR="00D62131" w:rsidRPr="006D4FBA" w:rsidRDefault="00D62131" w:rsidP="00D62131">
                    <w:pPr>
                      <w:widowControl w:val="0"/>
                      <w:jc w:val="right"/>
                    </w:pPr>
                    <w:r w:rsidRPr="009325B0">
                      <w:rPr>
                        <w:rFonts w:hint="eastAsia"/>
                      </w:rPr>
                      <w:t>-</w:t>
                    </w:r>
                  </w:p>
                </w:tc>
                <w:tc>
                  <w:tcPr>
                    <w:tcW w:w="1545" w:type="dxa"/>
                    <w:shd w:val="clear" w:color="auto" w:fill="auto"/>
                    <w:vAlign w:val="center"/>
                  </w:tcPr>
                  <w:p w14:paraId="36ACAB10" w14:textId="7D1E0554" w:rsidR="00D62131" w:rsidRPr="006D4FBA" w:rsidRDefault="00D62131" w:rsidP="00D62131">
                    <w:pPr>
                      <w:widowControl w:val="0"/>
                      <w:jc w:val="right"/>
                    </w:pPr>
                    <w:r w:rsidRPr="009325B0">
                      <w:rPr>
                        <w:rFonts w:hint="eastAsia"/>
                      </w:rPr>
                      <w:t>-</w:t>
                    </w:r>
                  </w:p>
                </w:tc>
                <w:tc>
                  <w:tcPr>
                    <w:tcW w:w="1549" w:type="dxa"/>
                    <w:shd w:val="clear" w:color="auto" w:fill="auto"/>
                    <w:vAlign w:val="center"/>
                  </w:tcPr>
                  <w:p w14:paraId="192B5B5B" w14:textId="77777777" w:rsidR="00D62131" w:rsidRPr="006D4FBA" w:rsidRDefault="00D62131" w:rsidP="00D62131">
                    <w:pPr>
                      <w:widowControl w:val="0"/>
                      <w:jc w:val="right"/>
                    </w:pPr>
                    <w:r w:rsidRPr="006D4FBA">
                      <w:t>608</w:t>
                    </w:r>
                  </w:p>
                </w:tc>
              </w:tr>
            </w:sdtContent>
          </w:sdt>
          <w:sdt>
            <w:sdtPr>
              <w:alias w:val="以公允价值计量的金融资产情况明细"/>
              <w:tag w:val="_TUP_bddc57d12675431981133e30d13fa7a0"/>
              <w:id w:val="-1913223782"/>
              <w:lock w:val="sdtLocked"/>
              <w:placeholder>
                <w:docPart w:val="249C58174E514FB185AFBD7D2EB99968"/>
              </w:placeholder>
            </w:sdtPr>
            <w:sdtEndPr/>
            <w:sdtContent>
              <w:tr w:rsidR="00D62131" w:rsidRPr="006D4FBA" w14:paraId="07458CE3" w14:textId="77777777" w:rsidTr="00D62131">
                <w:sdt>
                  <w:sdtPr>
                    <w:alias w:val="以公允价值计量的金融资产情况明细_资产类别"/>
                    <w:tag w:val="_GBC_c997e562cc4b41daad4593e89dd8a6f5"/>
                    <w:id w:val="-349575556"/>
                    <w:lock w:val="sdtLocked"/>
                    <w:placeholder>
                      <w:docPart w:val="99D67902664B45EFBFC66A5790C7CAC5"/>
                    </w:placeholder>
                    <w:comboBox>
                      <w:listItem w:displayText="股票" w:value="股票"/>
                      <w:listItem w:displayText="债券" w:value="债券"/>
                      <w:listItem w:displayText="信托产品" w:value="信托产品"/>
                      <w:listItem w:displayText="私募基金" w:value="私募基金"/>
                      <w:listItem w:displayText="期货" w:value="期货"/>
                      <w:listItem w:displayText="衍生工具" w:value="衍生工具"/>
                      <w:listItem w:displayText="其他" w:value="其他"/>
                    </w:comboBox>
                  </w:sdtPr>
                  <w:sdtEndPr/>
                  <w:sdtContent>
                    <w:tc>
                      <w:tcPr>
                        <w:tcW w:w="1536" w:type="dxa"/>
                        <w:shd w:val="clear" w:color="auto" w:fill="auto"/>
                      </w:tcPr>
                      <w:p w14:paraId="0B41F5CF" w14:textId="0709F4CA" w:rsidR="00D62131" w:rsidRPr="006D4FBA" w:rsidRDefault="00D62131" w:rsidP="00D62131">
                        <w:pPr>
                          <w:widowControl w:val="0"/>
                          <w:jc w:val="both"/>
                        </w:pPr>
                        <w:r>
                          <w:t>信托产品</w:t>
                        </w:r>
                      </w:p>
                    </w:tc>
                  </w:sdtContent>
                </w:sdt>
                <w:tc>
                  <w:tcPr>
                    <w:tcW w:w="1549" w:type="dxa"/>
                    <w:shd w:val="clear" w:color="auto" w:fill="auto"/>
                  </w:tcPr>
                  <w:p w14:paraId="7C7FC3F0" w14:textId="77777777" w:rsidR="00D62131" w:rsidRPr="006D4FBA" w:rsidRDefault="00D62131" w:rsidP="00D62131">
                    <w:pPr>
                      <w:widowControl w:val="0"/>
                      <w:jc w:val="right"/>
                    </w:pPr>
                    <w:r w:rsidRPr="006D4FBA">
                      <w:t>70,520</w:t>
                    </w:r>
                  </w:p>
                </w:tc>
                <w:tc>
                  <w:tcPr>
                    <w:tcW w:w="1542" w:type="dxa"/>
                    <w:shd w:val="clear" w:color="auto" w:fill="auto"/>
                    <w:vAlign w:val="center"/>
                  </w:tcPr>
                  <w:p w14:paraId="4C8CC1CD" w14:textId="1BC271EA" w:rsidR="00D62131" w:rsidRPr="006D4FBA" w:rsidRDefault="00D62131" w:rsidP="00D62131">
                    <w:pPr>
                      <w:widowControl w:val="0"/>
                      <w:jc w:val="right"/>
                    </w:pPr>
                    <w:r w:rsidRPr="00875266">
                      <w:rPr>
                        <w:rFonts w:hint="eastAsia"/>
                      </w:rPr>
                      <w:t>-</w:t>
                    </w:r>
                  </w:p>
                </w:tc>
                <w:tc>
                  <w:tcPr>
                    <w:tcW w:w="1536" w:type="dxa"/>
                    <w:shd w:val="clear" w:color="auto" w:fill="auto"/>
                    <w:vAlign w:val="center"/>
                  </w:tcPr>
                  <w:p w14:paraId="4EF3B9CD" w14:textId="3F779C5E" w:rsidR="00D62131" w:rsidRPr="006D4FBA" w:rsidRDefault="00D62131" w:rsidP="00D62131">
                    <w:pPr>
                      <w:widowControl w:val="0"/>
                      <w:jc w:val="right"/>
                    </w:pPr>
                    <w:r w:rsidRPr="00875266">
                      <w:rPr>
                        <w:rFonts w:hint="eastAsia"/>
                      </w:rPr>
                      <w:t>-</w:t>
                    </w:r>
                  </w:p>
                </w:tc>
                <w:tc>
                  <w:tcPr>
                    <w:tcW w:w="1535" w:type="dxa"/>
                    <w:shd w:val="clear" w:color="auto" w:fill="auto"/>
                    <w:vAlign w:val="center"/>
                  </w:tcPr>
                  <w:p w14:paraId="772BCFA0" w14:textId="7A9C49CE" w:rsidR="00D62131" w:rsidRPr="006D4FBA" w:rsidRDefault="00D62131" w:rsidP="00D62131">
                    <w:pPr>
                      <w:widowControl w:val="0"/>
                      <w:jc w:val="right"/>
                    </w:pPr>
                    <w:r w:rsidRPr="00875266">
                      <w:rPr>
                        <w:rFonts w:hint="eastAsia"/>
                      </w:rPr>
                      <w:t>-</w:t>
                    </w:r>
                  </w:p>
                </w:tc>
                <w:tc>
                  <w:tcPr>
                    <w:tcW w:w="1536" w:type="dxa"/>
                    <w:shd w:val="clear" w:color="auto" w:fill="auto"/>
                    <w:vAlign w:val="center"/>
                  </w:tcPr>
                  <w:p w14:paraId="66C92B61" w14:textId="16ECD0D6" w:rsidR="00D62131" w:rsidRPr="006D4FBA" w:rsidRDefault="00D62131" w:rsidP="00D62131">
                    <w:pPr>
                      <w:widowControl w:val="0"/>
                      <w:jc w:val="right"/>
                    </w:pPr>
                    <w:r w:rsidRPr="00875266">
                      <w:rPr>
                        <w:rFonts w:hint="eastAsia"/>
                      </w:rPr>
                      <w:t>-</w:t>
                    </w:r>
                  </w:p>
                </w:tc>
                <w:tc>
                  <w:tcPr>
                    <w:tcW w:w="1535" w:type="dxa"/>
                    <w:shd w:val="clear" w:color="auto" w:fill="auto"/>
                    <w:vAlign w:val="center"/>
                  </w:tcPr>
                  <w:p w14:paraId="4E9204A0" w14:textId="269A258F" w:rsidR="00D62131" w:rsidRPr="006D4FBA" w:rsidRDefault="00D62131" w:rsidP="00D62131">
                    <w:pPr>
                      <w:widowControl w:val="0"/>
                      <w:jc w:val="right"/>
                    </w:pPr>
                    <w:r w:rsidRPr="00875266">
                      <w:rPr>
                        <w:rFonts w:hint="eastAsia"/>
                      </w:rPr>
                      <w:t>-</w:t>
                    </w:r>
                  </w:p>
                </w:tc>
                <w:tc>
                  <w:tcPr>
                    <w:tcW w:w="1545" w:type="dxa"/>
                    <w:shd w:val="clear" w:color="auto" w:fill="auto"/>
                    <w:vAlign w:val="center"/>
                  </w:tcPr>
                  <w:p w14:paraId="52C8468A" w14:textId="418CF111" w:rsidR="00D62131" w:rsidRPr="006D4FBA" w:rsidRDefault="00D62131" w:rsidP="00D62131">
                    <w:pPr>
                      <w:widowControl w:val="0"/>
                      <w:jc w:val="right"/>
                    </w:pPr>
                    <w:r w:rsidRPr="00875266">
                      <w:rPr>
                        <w:rFonts w:hint="eastAsia"/>
                      </w:rPr>
                      <w:t>-</w:t>
                    </w:r>
                  </w:p>
                </w:tc>
                <w:tc>
                  <w:tcPr>
                    <w:tcW w:w="1549" w:type="dxa"/>
                    <w:shd w:val="clear" w:color="auto" w:fill="auto"/>
                    <w:vAlign w:val="center"/>
                  </w:tcPr>
                  <w:p w14:paraId="684702DB" w14:textId="77777777" w:rsidR="00D62131" w:rsidRPr="006D4FBA" w:rsidRDefault="00D62131" w:rsidP="00D62131">
                    <w:pPr>
                      <w:widowControl w:val="0"/>
                      <w:jc w:val="right"/>
                    </w:pPr>
                    <w:r w:rsidRPr="006D4FBA">
                      <w:t>70,520</w:t>
                    </w:r>
                  </w:p>
                </w:tc>
              </w:tr>
            </w:sdtContent>
          </w:sdt>
          <w:sdt>
            <w:sdtPr>
              <w:alias w:val="以公允价值计量的金融资产情况明细"/>
              <w:tag w:val="_TUP_bddc57d12675431981133e30d13fa7a0"/>
              <w:id w:val="-1376302315"/>
              <w:lock w:val="sdtLocked"/>
              <w:placeholder>
                <w:docPart w:val="249C58174E514FB185AFBD7D2EB99968"/>
              </w:placeholder>
            </w:sdtPr>
            <w:sdtEndPr/>
            <w:sdtContent>
              <w:tr w:rsidR="00D62131" w:rsidRPr="006D4FBA" w14:paraId="06FEFE45" w14:textId="77777777" w:rsidTr="00D62131">
                <w:sdt>
                  <w:sdtPr>
                    <w:alias w:val="以公允价值计量的金融资产情况明细_资产类别"/>
                    <w:tag w:val="_GBC_c997e562cc4b41daad4593e89dd8a6f5"/>
                    <w:id w:val="-922026543"/>
                    <w:lock w:val="sdtLocked"/>
                    <w:placeholder>
                      <w:docPart w:val="7AED638A9953499A870CEF587743E883"/>
                    </w:placeholder>
                    <w:comboBox>
                      <w:listItem w:displayText="股票" w:value="股票"/>
                      <w:listItem w:displayText="债券" w:value="债券"/>
                      <w:listItem w:displayText="信托产品" w:value="信托产品"/>
                      <w:listItem w:displayText="私募基金" w:value="私募基金"/>
                      <w:listItem w:displayText="期货" w:value="期货"/>
                      <w:listItem w:displayText="衍生工具" w:value="衍生工具"/>
                      <w:listItem w:displayText="其他" w:value="其他"/>
                    </w:comboBox>
                  </w:sdtPr>
                  <w:sdtEndPr/>
                  <w:sdtContent>
                    <w:tc>
                      <w:tcPr>
                        <w:tcW w:w="1536" w:type="dxa"/>
                        <w:shd w:val="clear" w:color="auto" w:fill="auto"/>
                      </w:tcPr>
                      <w:p w14:paraId="123AA793" w14:textId="21BFEB08" w:rsidR="00D62131" w:rsidRPr="006D4FBA" w:rsidRDefault="00D62131" w:rsidP="00D62131">
                        <w:pPr>
                          <w:widowControl w:val="0"/>
                          <w:jc w:val="both"/>
                        </w:pPr>
                        <w:r>
                          <w:t>衍生工具</w:t>
                        </w:r>
                      </w:p>
                    </w:tc>
                  </w:sdtContent>
                </w:sdt>
                <w:tc>
                  <w:tcPr>
                    <w:tcW w:w="1549" w:type="dxa"/>
                    <w:shd w:val="clear" w:color="auto" w:fill="auto"/>
                  </w:tcPr>
                  <w:p w14:paraId="6F3B7456" w14:textId="77777777" w:rsidR="00D62131" w:rsidRPr="006D4FBA" w:rsidRDefault="00D62131" w:rsidP="00D62131">
                    <w:pPr>
                      <w:widowControl w:val="0"/>
                      <w:jc w:val="right"/>
                    </w:pPr>
                    <w:r w:rsidRPr="006D4FBA">
                      <w:t>31,329</w:t>
                    </w:r>
                  </w:p>
                </w:tc>
                <w:tc>
                  <w:tcPr>
                    <w:tcW w:w="1542" w:type="dxa"/>
                    <w:shd w:val="clear" w:color="auto" w:fill="auto"/>
                    <w:vAlign w:val="center"/>
                  </w:tcPr>
                  <w:p w14:paraId="56EB0173" w14:textId="0D98F18E" w:rsidR="00D62131" w:rsidRPr="006D4FBA" w:rsidRDefault="00D62131" w:rsidP="00D62131">
                    <w:pPr>
                      <w:widowControl w:val="0"/>
                      <w:jc w:val="right"/>
                    </w:pPr>
                    <w:r w:rsidRPr="00875266">
                      <w:rPr>
                        <w:rFonts w:hint="eastAsia"/>
                      </w:rPr>
                      <w:t>-</w:t>
                    </w:r>
                  </w:p>
                </w:tc>
                <w:tc>
                  <w:tcPr>
                    <w:tcW w:w="1536" w:type="dxa"/>
                    <w:shd w:val="clear" w:color="auto" w:fill="auto"/>
                    <w:vAlign w:val="center"/>
                  </w:tcPr>
                  <w:p w14:paraId="10A37C83" w14:textId="6AB69C6F" w:rsidR="00D62131" w:rsidRPr="006D4FBA" w:rsidRDefault="00D62131" w:rsidP="00D62131">
                    <w:pPr>
                      <w:widowControl w:val="0"/>
                      <w:jc w:val="right"/>
                    </w:pPr>
                    <w:r w:rsidRPr="00875266">
                      <w:rPr>
                        <w:rFonts w:hint="eastAsia"/>
                      </w:rPr>
                      <w:t>-</w:t>
                    </w:r>
                  </w:p>
                </w:tc>
                <w:tc>
                  <w:tcPr>
                    <w:tcW w:w="1535" w:type="dxa"/>
                    <w:shd w:val="clear" w:color="auto" w:fill="auto"/>
                    <w:vAlign w:val="center"/>
                  </w:tcPr>
                  <w:p w14:paraId="6AEC57FF" w14:textId="58C84ADC" w:rsidR="00D62131" w:rsidRPr="006D4FBA" w:rsidRDefault="00D62131" w:rsidP="00D62131">
                    <w:pPr>
                      <w:widowControl w:val="0"/>
                      <w:jc w:val="right"/>
                    </w:pPr>
                    <w:r w:rsidRPr="00875266">
                      <w:rPr>
                        <w:rFonts w:hint="eastAsia"/>
                      </w:rPr>
                      <w:t>-</w:t>
                    </w:r>
                  </w:p>
                </w:tc>
                <w:tc>
                  <w:tcPr>
                    <w:tcW w:w="1536" w:type="dxa"/>
                    <w:shd w:val="clear" w:color="auto" w:fill="auto"/>
                    <w:vAlign w:val="center"/>
                  </w:tcPr>
                  <w:p w14:paraId="07F8CA80" w14:textId="16145F56" w:rsidR="00D62131" w:rsidRPr="006D4FBA" w:rsidRDefault="00D62131" w:rsidP="00D62131">
                    <w:pPr>
                      <w:widowControl w:val="0"/>
                      <w:jc w:val="right"/>
                    </w:pPr>
                    <w:r w:rsidRPr="00875266">
                      <w:rPr>
                        <w:rFonts w:hint="eastAsia"/>
                      </w:rPr>
                      <w:t>-</w:t>
                    </w:r>
                  </w:p>
                </w:tc>
                <w:tc>
                  <w:tcPr>
                    <w:tcW w:w="1535" w:type="dxa"/>
                    <w:shd w:val="clear" w:color="auto" w:fill="auto"/>
                    <w:vAlign w:val="center"/>
                  </w:tcPr>
                  <w:p w14:paraId="6E7D4386" w14:textId="029FA516" w:rsidR="00D62131" w:rsidRPr="006D4FBA" w:rsidRDefault="00D62131" w:rsidP="00D62131">
                    <w:pPr>
                      <w:widowControl w:val="0"/>
                      <w:jc w:val="right"/>
                    </w:pPr>
                    <w:r w:rsidRPr="00875266">
                      <w:rPr>
                        <w:rFonts w:hint="eastAsia"/>
                      </w:rPr>
                      <w:t>-</w:t>
                    </w:r>
                  </w:p>
                </w:tc>
                <w:tc>
                  <w:tcPr>
                    <w:tcW w:w="1545" w:type="dxa"/>
                    <w:shd w:val="clear" w:color="auto" w:fill="auto"/>
                    <w:vAlign w:val="center"/>
                  </w:tcPr>
                  <w:p w14:paraId="56946044" w14:textId="5708FC3B" w:rsidR="00D62131" w:rsidRPr="006D4FBA" w:rsidRDefault="00D62131" w:rsidP="00D62131">
                    <w:pPr>
                      <w:widowControl w:val="0"/>
                      <w:jc w:val="right"/>
                    </w:pPr>
                    <w:r w:rsidRPr="00875266">
                      <w:rPr>
                        <w:rFonts w:hint="eastAsia"/>
                      </w:rPr>
                      <w:t>-</w:t>
                    </w:r>
                  </w:p>
                </w:tc>
                <w:tc>
                  <w:tcPr>
                    <w:tcW w:w="1549" w:type="dxa"/>
                    <w:shd w:val="clear" w:color="auto" w:fill="auto"/>
                    <w:vAlign w:val="center"/>
                  </w:tcPr>
                  <w:p w14:paraId="153E02D2" w14:textId="77777777" w:rsidR="00D62131" w:rsidRPr="006D4FBA" w:rsidRDefault="00D62131" w:rsidP="00D62131">
                    <w:pPr>
                      <w:widowControl w:val="0"/>
                      <w:jc w:val="right"/>
                    </w:pPr>
                    <w:r w:rsidRPr="006D4FBA">
                      <w:t>31,329</w:t>
                    </w:r>
                  </w:p>
                </w:tc>
              </w:tr>
            </w:sdtContent>
          </w:sdt>
          <w:sdt>
            <w:sdtPr>
              <w:alias w:val="以公允价值计量的金融资产情况明细"/>
              <w:tag w:val="_TUP_bddc57d12675431981133e30d13fa7a0"/>
              <w:id w:val="235368538"/>
              <w:lock w:val="sdtLocked"/>
              <w:placeholder>
                <w:docPart w:val="6FD6049DAE374FE69E7B03CFB89059DD"/>
              </w:placeholder>
            </w:sdtPr>
            <w:sdtEndPr/>
            <w:sdtContent>
              <w:tr w:rsidR="00D62131" w:rsidRPr="006D4FBA" w14:paraId="4A3F453C" w14:textId="77777777" w:rsidTr="00D62131">
                <w:sdt>
                  <w:sdtPr>
                    <w:alias w:val="以公允价值计量的金融资产情况明细_资产类别"/>
                    <w:tag w:val="_GBC_c997e562cc4b41daad4593e89dd8a6f5"/>
                    <w:id w:val="-1108267300"/>
                    <w:lock w:val="sdtLocked"/>
                    <w:comboBox>
                      <w:listItem w:displayText="股票" w:value="股票"/>
                      <w:listItem w:displayText="债券" w:value="债券"/>
                      <w:listItem w:displayText="信托产品" w:value="信托产品"/>
                      <w:listItem w:displayText="私募基金" w:value="私募基金"/>
                      <w:listItem w:displayText="期货" w:value="期货"/>
                      <w:listItem w:displayText="衍生工具" w:value="衍生工具"/>
                      <w:listItem w:displayText="其他" w:value="其他"/>
                    </w:comboBox>
                  </w:sdtPr>
                  <w:sdtEndPr/>
                  <w:sdtContent>
                    <w:tc>
                      <w:tcPr>
                        <w:tcW w:w="1536" w:type="dxa"/>
                        <w:shd w:val="clear" w:color="auto" w:fill="auto"/>
                      </w:tcPr>
                      <w:p w14:paraId="7F6D5795" w14:textId="3AF21853" w:rsidR="00D62131" w:rsidRPr="006D4FBA" w:rsidRDefault="00D62131" w:rsidP="00D62131">
                        <w:pPr>
                          <w:widowControl w:val="0"/>
                          <w:jc w:val="both"/>
                        </w:pPr>
                        <w:r>
                          <w:t>其他</w:t>
                        </w:r>
                      </w:p>
                    </w:tc>
                  </w:sdtContent>
                </w:sdt>
                <w:tc>
                  <w:tcPr>
                    <w:tcW w:w="1549" w:type="dxa"/>
                    <w:shd w:val="clear" w:color="auto" w:fill="auto"/>
                  </w:tcPr>
                  <w:p w14:paraId="20C5EA03" w14:textId="77777777" w:rsidR="00D62131" w:rsidRPr="006D4FBA" w:rsidRDefault="00D62131" w:rsidP="00D62131">
                    <w:pPr>
                      <w:widowControl w:val="0"/>
                      <w:jc w:val="right"/>
                    </w:pPr>
                    <w:r w:rsidRPr="006D4FBA">
                      <w:t>1,689,875</w:t>
                    </w:r>
                  </w:p>
                </w:tc>
                <w:tc>
                  <w:tcPr>
                    <w:tcW w:w="1542" w:type="dxa"/>
                    <w:shd w:val="clear" w:color="auto" w:fill="auto"/>
                    <w:vAlign w:val="center"/>
                  </w:tcPr>
                  <w:p w14:paraId="63AF4ABB" w14:textId="77777777" w:rsidR="00D62131" w:rsidRPr="006D4FBA" w:rsidRDefault="00D62131" w:rsidP="00D62131">
                    <w:pPr>
                      <w:widowControl w:val="0"/>
                      <w:jc w:val="right"/>
                    </w:pPr>
                    <w:r w:rsidRPr="006D4FBA">
                      <w:t>-18,671</w:t>
                    </w:r>
                  </w:p>
                </w:tc>
                <w:tc>
                  <w:tcPr>
                    <w:tcW w:w="1536" w:type="dxa"/>
                    <w:shd w:val="clear" w:color="auto" w:fill="auto"/>
                    <w:vAlign w:val="center"/>
                  </w:tcPr>
                  <w:p w14:paraId="56D2D960" w14:textId="374372A9" w:rsidR="00D62131" w:rsidRPr="006D4FBA" w:rsidRDefault="00D62131" w:rsidP="00D62131">
                    <w:pPr>
                      <w:widowControl w:val="0"/>
                      <w:jc w:val="right"/>
                    </w:pPr>
                    <w:r w:rsidRPr="00402AD0">
                      <w:rPr>
                        <w:rFonts w:hint="eastAsia"/>
                      </w:rPr>
                      <w:t>-</w:t>
                    </w:r>
                  </w:p>
                </w:tc>
                <w:tc>
                  <w:tcPr>
                    <w:tcW w:w="1535" w:type="dxa"/>
                    <w:shd w:val="clear" w:color="auto" w:fill="auto"/>
                    <w:vAlign w:val="center"/>
                  </w:tcPr>
                  <w:p w14:paraId="71EA11DC" w14:textId="31929BBB" w:rsidR="00D62131" w:rsidRPr="006D4FBA" w:rsidRDefault="00D62131" w:rsidP="00D62131">
                    <w:pPr>
                      <w:widowControl w:val="0"/>
                      <w:jc w:val="right"/>
                    </w:pPr>
                    <w:r w:rsidRPr="00402AD0">
                      <w:rPr>
                        <w:rFonts w:hint="eastAsia"/>
                      </w:rPr>
                      <w:t>-</w:t>
                    </w:r>
                  </w:p>
                </w:tc>
                <w:tc>
                  <w:tcPr>
                    <w:tcW w:w="1536" w:type="dxa"/>
                    <w:shd w:val="clear" w:color="auto" w:fill="auto"/>
                    <w:vAlign w:val="center"/>
                  </w:tcPr>
                  <w:p w14:paraId="3BBC2AE5" w14:textId="606D22B5" w:rsidR="00D62131" w:rsidRPr="006D4FBA" w:rsidRDefault="00D62131" w:rsidP="00D62131">
                    <w:pPr>
                      <w:widowControl w:val="0"/>
                      <w:jc w:val="right"/>
                    </w:pPr>
                    <w:r w:rsidRPr="00402AD0">
                      <w:rPr>
                        <w:rFonts w:hint="eastAsia"/>
                      </w:rPr>
                      <w:t>-</w:t>
                    </w:r>
                  </w:p>
                </w:tc>
                <w:tc>
                  <w:tcPr>
                    <w:tcW w:w="1535" w:type="dxa"/>
                    <w:shd w:val="clear" w:color="auto" w:fill="auto"/>
                    <w:vAlign w:val="center"/>
                  </w:tcPr>
                  <w:p w14:paraId="3CC66457" w14:textId="55D9686C" w:rsidR="00D62131" w:rsidRPr="006D4FBA" w:rsidRDefault="00D62131" w:rsidP="00D62131">
                    <w:pPr>
                      <w:widowControl w:val="0"/>
                      <w:jc w:val="right"/>
                    </w:pPr>
                    <w:r w:rsidRPr="00402AD0">
                      <w:rPr>
                        <w:rFonts w:hint="eastAsia"/>
                      </w:rPr>
                      <w:t>-</w:t>
                    </w:r>
                  </w:p>
                </w:tc>
                <w:tc>
                  <w:tcPr>
                    <w:tcW w:w="1545" w:type="dxa"/>
                    <w:shd w:val="clear" w:color="auto" w:fill="auto"/>
                    <w:vAlign w:val="center"/>
                  </w:tcPr>
                  <w:p w14:paraId="22042C95" w14:textId="77777777" w:rsidR="00D62131" w:rsidRPr="006D4FBA" w:rsidRDefault="00D62131" w:rsidP="00D62131">
                    <w:pPr>
                      <w:widowControl w:val="0"/>
                      <w:jc w:val="right"/>
                    </w:pPr>
                    <w:r w:rsidRPr="006D4FBA">
                      <w:t>-301,930</w:t>
                    </w:r>
                  </w:p>
                </w:tc>
                <w:tc>
                  <w:tcPr>
                    <w:tcW w:w="1549" w:type="dxa"/>
                    <w:shd w:val="clear" w:color="auto" w:fill="auto"/>
                    <w:vAlign w:val="center"/>
                  </w:tcPr>
                  <w:p w14:paraId="152F14D7" w14:textId="77777777" w:rsidR="00D62131" w:rsidRPr="006D4FBA" w:rsidRDefault="00D62131" w:rsidP="00D62131">
                    <w:pPr>
                      <w:widowControl w:val="0"/>
                      <w:jc w:val="right"/>
                    </w:pPr>
                    <w:r w:rsidRPr="006D4FBA">
                      <w:t>1,369,274</w:t>
                    </w:r>
                  </w:p>
                </w:tc>
              </w:tr>
            </w:sdtContent>
          </w:sdt>
          <w:tr w:rsidR="00D62131" w:rsidRPr="006D4FBA" w14:paraId="65471292" w14:textId="77777777" w:rsidTr="00D62131">
            <w:tc>
              <w:tcPr>
                <w:tcW w:w="1536" w:type="dxa"/>
                <w:shd w:val="clear" w:color="auto" w:fill="auto"/>
              </w:tcPr>
              <w:sdt>
                <w:sdtPr>
                  <w:tag w:val="_PLD_dd059adb5249491499bf27af37ed0ec0"/>
                  <w:id w:val="-1812780091"/>
                  <w:lock w:val="sdtLocked"/>
                </w:sdtPr>
                <w:sdtEndPr/>
                <w:sdtContent>
                  <w:p w14:paraId="784FF36C" w14:textId="77777777" w:rsidR="00D62131" w:rsidRPr="006D4FBA" w:rsidRDefault="00D62131" w:rsidP="00D62131">
                    <w:pPr>
                      <w:widowControl w:val="0"/>
                      <w:jc w:val="center"/>
                    </w:pPr>
                    <w:r w:rsidRPr="006D4FBA">
                      <w:t>合计</w:t>
                    </w:r>
                  </w:p>
                </w:sdtContent>
              </w:sdt>
            </w:tc>
            <w:tc>
              <w:tcPr>
                <w:tcW w:w="1549" w:type="dxa"/>
                <w:tcBorders>
                  <w:top w:val="single" w:sz="4" w:space="0" w:color="auto"/>
                  <w:left w:val="single" w:sz="4" w:space="0" w:color="auto"/>
                  <w:bottom w:val="single" w:sz="4" w:space="0" w:color="auto"/>
                  <w:right w:val="single" w:sz="4" w:space="0" w:color="auto"/>
                </w:tcBorders>
              </w:tcPr>
              <w:p w14:paraId="2E3A7444" w14:textId="77777777" w:rsidR="00D62131" w:rsidRPr="006D4FBA" w:rsidRDefault="00D62131" w:rsidP="00D62131">
                <w:pPr>
                  <w:widowControl w:val="0"/>
                  <w:jc w:val="right"/>
                </w:pPr>
                <w:r w:rsidRPr="006D4FBA">
                  <w:rPr>
                    <w:rFonts w:hint="eastAsia"/>
                  </w:rPr>
                  <w:t>1</w:t>
                </w:r>
                <w:r w:rsidRPr="006D4FBA">
                  <w:t>,792,590</w:t>
                </w:r>
              </w:p>
            </w:tc>
            <w:tc>
              <w:tcPr>
                <w:tcW w:w="1542" w:type="dxa"/>
                <w:tcBorders>
                  <w:top w:val="single" w:sz="4" w:space="0" w:color="auto"/>
                  <w:left w:val="single" w:sz="4" w:space="0" w:color="auto"/>
                  <w:bottom w:val="single" w:sz="4" w:space="0" w:color="auto"/>
                  <w:right w:val="single" w:sz="4" w:space="0" w:color="auto"/>
                </w:tcBorders>
                <w:vAlign w:val="center"/>
              </w:tcPr>
              <w:p w14:paraId="138B1C43" w14:textId="77777777" w:rsidR="00D62131" w:rsidRPr="006D4FBA" w:rsidRDefault="00D62131" w:rsidP="00D62131">
                <w:pPr>
                  <w:widowControl w:val="0"/>
                  <w:jc w:val="right"/>
                </w:pPr>
                <w:r w:rsidRPr="006D4FBA">
                  <w:rPr>
                    <w:rFonts w:hint="eastAsia"/>
                  </w:rPr>
                  <w:t>-</w:t>
                </w:r>
                <w:r w:rsidRPr="006D4FBA">
                  <w:t>18,872</w:t>
                </w:r>
              </w:p>
            </w:tc>
            <w:tc>
              <w:tcPr>
                <w:tcW w:w="1536" w:type="dxa"/>
                <w:tcBorders>
                  <w:top w:val="single" w:sz="4" w:space="0" w:color="auto"/>
                  <w:left w:val="single" w:sz="4" w:space="0" w:color="auto"/>
                  <w:bottom w:val="single" w:sz="4" w:space="0" w:color="auto"/>
                  <w:right w:val="single" w:sz="4" w:space="0" w:color="auto"/>
                </w:tcBorders>
                <w:vAlign w:val="center"/>
              </w:tcPr>
              <w:p w14:paraId="5AC7FBB9" w14:textId="77777777" w:rsidR="00D62131" w:rsidRPr="006D4FBA" w:rsidRDefault="00D62131" w:rsidP="00D62131">
                <w:pPr>
                  <w:widowControl w:val="0"/>
                  <w:jc w:val="right"/>
                </w:pPr>
                <w:r w:rsidRPr="006D4FBA">
                  <w:rPr>
                    <w:rFonts w:hint="eastAsia"/>
                  </w:rPr>
                  <w:t>-</w:t>
                </w:r>
                <w:r w:rsidRPr="006D4FBA">
                  <w:t>57</w:t>
                </w:r>
              </w:p>
            </w:tc>
            <w:tc>
              <w:tcPr>
                <w:tcW w:w="1535" w:type="dxa"/>
                <w:shd w:val="clear" w:color="auto" w:fill="auto"/>
                <w:vAlign w:val="center"/>
              </w:tcPr>
              <w:p w14:paraId="4510C9B0" w14:textId="59DDFA9C" w:rsidR="00D62131" w:rsidRPr="006D4FBA" w:rsidRDefault="00D62131" w:rsidP="00D62131">
                <w:pPr>
                  <w:widowControl w:val="0"/>
                  <w:jc w:val="right"/>
                </w:pPr>
                <w:r w:rsidRPr="006E02CB">
                  <w:rPr>
                    <w:rFonts w:hint="eastAsia"/>
                  </w:rPr>
                  <w:t>-</w:t>
                </w:r>
              </w:p>
            </w:tc>
            <w:tc>
              <w:tcPr>
                <w:tcW w:w="1536" w:type="dxa"/>
                <w:shd w:val="clear" w:color="auto" w:fill="auto"/>
                <w:vAlign w:val="center"/>
              </w:tcPr>
              <w:p w14:paraId="30164AD7" w14:textId="33E427B6" w:rsidR="00D62131" w:rsidRPr="006D4FBA" w:rsidRDefault="00D62131" w:rsidP="00D62131">
                <w:pPr>
                  <w:widowControl w:val="0"/>
                  <w:jc w:val="right"/>
                </w:pPr>
                <w:r w:rsidRPr="006E02CB">
                  <w:rPr>
                    <w:rFonts w:hint="eastAsia"/>
                  </w:rPr>
                  <w:t>-</w:t>
                </w:r>
              </w:p>
            </w:tc>
            <w:tc>
              <w:tcPr>
                <w:tcW w:w="1535" w:type="dxa"/>
                <w:shd w:val="clear" w:color="auto" w:fill="auto"/>
                <w:vAlign w:val="center"/>
              </w:tcPr>
              <w:p w14:paraId="6241F524" w14:textId="52D44051" w:rsidR="00D62131" w:rsidRPr="006D4FBA" w:rsidRDefault="00D62131" w:rsidP="00D62131">
                <w:pPr>
                  <w:widowControl w:val="0"/>
                  <w:jc w:val="right"/>
                </w:pPr>
                <w:r w:rsidRPr="006E02CB">
                  <w:rPr>
                    <w:rFonts w:hint="eastAsia"/>
                  </w:rPr>
                  <w:t>-</w:t>
                </w:r>
              </w:p>
            </w:tc>
            <w:tc>
              <w:tcPr>
                <w:tcW w:w="1545" w:type="dxa"/>
                <w:shd w:val="clear" w:color="auto" w:fill="auto"/>
                <w:vAlign w:val="center"/>
              </w:tcPr>
              <w:p w14:paraId="17665A85" w14:textId="77777777" w:rsidR="00D62131" w:rsidRPr="006D4FBA" w:rsidRDefault="00D62131" w:rsidP="00D62131">
                <w:pPr>
                  <w:widowControl w:val="0"/>
                  <w:jc w:val="right"/>
                </w:pPr>
                <w:r w:rsidRPr="006D4FBA">
                  <w:t>-301,930</w:t>
                </w:r>
              </w:p>
            </w:tc>
            <w:tc>
              <w:tcPr>
                <w:tcW w:w="1549" w:type="dxa"/>
                <w:shd w:val="clear" w:color="auto" w:fill="auto"/>
                <w:vAlign w:val="center"/>
              </w:tcPr>
              <w:p w14:paraId="4CAB5E22" w14:textId="77777777" w:rsidR="00D62131" w:rsidRPr="006D4FBA" w:rsidRDefault="00D62131" w:rsidP="00D62131">
                <w:pPr>
                  <w:widowControl w:val="0"/>
                  <w:jc w:val="right"/>
                </w:pPr>
                <w:r w:rsidRPr="006D4FBA">
                  <w:t>1,471,731</w:t>
                </w:r>
              </w:p>
            </w:tc>
          </w:tr>
        </w:tbl>
        <w:p w14:paraId="72A04B2B" w14:textId="77777777" w:rsidR="00B201D3" w:rsidRPr="00D62131" w:rsidRDefault="00C8327E">
          <w:pPr>
            <w:pStyle w:val="3903"/>
          </w:pPr>
        </w:p>
      </w:sdtContent>
    </w:sdt>
    <w:bookmarkEnd w:id="58" w:displacedByCustomXml="next"/>
    <w:sdt>
      <w:sdtPr>
        <w:rPr>
          <w:rFonts w:hint="eastAsia"/>
        </w:rPr>
        <w:alias w:val="模块:证券投资情况"/>
        <w:tag w:val="_SEC_223855f312f442628a6b89be29f039a8"/>
        <w:id w:val="1546564041"/>
        <w:lock w:val="sdtLocked"/>
        <w:placeholder>
          <w:docPart w:val="GBC22222222222222222222222222222"/>
        </w:placeholder>
      </w:sdtPr>
      <w:sdtEndPr>
        <w:rPr>
          <w:rFonts w:hint="default"/>
        </w:rPr>
      </w:sdtEndPr>
      <w:sdtContent>
        <w:p w14:paraId="0A70B28D" w14:textId="77777777" w:rsidR="00B201D3" w:rsidRPr="00D62131" w:rsidRDefault="009855E8">
          <w:r w:rsidRPr="00D62131">
            <w:rPr>
              <w:rFonts w:hint="eastAsia"/>
            </w:rPr>
            <w:t>证券投资情况</w:t>
          </w:r>
        </w:p>
        <w:sdt>
          <w:sdtPr>
            <w:alias w:val="是否适用：证券投资情况[双击切换]"/>
            <w:tag w:val="_GBC_5a8828b10b2a437a9b496037ef93ad06"/>
            <w:id w:val="-703706490"/>
            <w:lock w:val="sdtLocked"/>
            <w:placeholder>
              <w:docPart w:val="GBC22222222222222222222222222222"/>
            </w:placeholder>
          </w:sdtPr>
          <w:sdtEndPr/>
          <w:sdtContent>
            <w:p w14:paraId="207E7D80" w14:textId="77777777" w:rsidR="00B201D3" w:rsidRPr="00D62131" w:rsidRDefault="009855E8">
              <w:r w:rsidRPr="00D62131">
                <w:fldChar w:fldCharType="begin"/>
              </w:r>
              <w:r w:rsidRPr="00D62131">
                <w:instrText xml:space="preserve"> MACROBUTTON  SnrToggleCheckbox √适用 </w:instrText>
              </w:r>
              <w:r w:rsidRPr="00D62131">
                <w:fldChar w:fldCharType="end"/>
              </w:r>
              <w:r w:rsidRPr="00D62131">
                <w:fldChar w:fldCharType="begin"/>
              </w:r>
              <w:r w:rsidRPr="00D62131">
                <w:instrText xml:space="preserve"> MACROBUTTON  SnrToggleCheckbox □不适用 </w:instrText>
              </w:r>
              <w:r w:rsidRPr="00D62131">
                <w:fldChar w:fldCharType="end"/>
              </w:r>
            </w:p>
          </w:sdtContent>
        </w:sdt>
        <w:p w14:paraId="2FA16CC5" w14:textId="065CAD13" w:rsidR="00B201D3" w:rsidRPr="00D62131" w:rsidRDefault="009855E8">
          <w:pPr>
            <w:pStyle w:val="17"/>
            <w:wordWrap w:val="0"/>
            <w:ind w:left="360" w:firstLineChars="0" w:firstLine="0"/>
            <w:jc w:val="right"/>
            <w:rPr>
              <w:rFonts w:ascii="宋体" w:hAnsi="宋体"/>
            </w:rPr>
          </w:pPr>
          <w:r w:rsidRPr="00D62131">
            <w:rPr>
              <w:rFonts w:ascii="宋体" w:hAnsi="宋体" w:hint="eastAsia"/>
            </w:rPr>
            <w:t>单位：</w:t>
          </w:r>
          <w:sdt>
            <w:sdtPr>
              <w:rPr>
                <w:rFonts w:ascii="宋体" w:hAnsi="宋体" w:hint="eastAsia"/>
              </w:rPr>
              <w:alias w:val="单位：证券投资情况"/>
              <w:tag w:val="_GBC_5a75af14e433444597923ebce50689a8"/>
              <w:id w:val="131320928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46283" w:rsidRPr="00D62131">
                <w:rPr>
                  <w:rFonts w:ascii="宋体" w:hAnsi="宋体" w:hint="eastAsia"/>
                </w:rPr>
                <w:t>千元</w:t>
              </w:r>
            </w:sdtContent>
          </w:sdt>
          <w:r w:rsidRPr="00D62131">
            <w:rPr>
              <w:rFonts w:ascii="宋体" w:hAnsi="宋体" w:hint="eastAsia"/>
            </w:rPr>
            <w:t xml:space="preserve">  币种：</w:t>
          </w:r>
          <w:sdt>
            <w:sdtPr>
              <w:rPr>
                <w:rFonts w:ascii="宋体" w:hAnsi="宋体" w:hint="eastAsia"/>
              </w:rPr>
              <w:alias w:val="币种：证券投资情况"/>
              <w:tag w:val="_GBC_47440d8bf014467ab6dfe74bc9d19131"/>
              <w:id w:val="-12195151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46283" w:rsidRPr="00D62131">
                <w:rPr>
                  <w:rFonts w:ascii="宋体" w:hAnsi="宋体"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
            <w:gridCol w:w="1068"/>
            <w:gridCol w:w="1068"/>
            <w:gridCol w:w="1068"/>
            <w:gridCol w:w="1067"/>
            <w:gridCol w:w="1067"/>
            <w:gridCol w:w="1065"/>
            <w:gridCol w:w="1067"/>
            <w:gridCol w:w="1067"/>
            <w:gridCol w:w="1067"/>
            <w:gridCol w:w="1067"/>
            <w:gridCol w:w="1067"/>
            <w:gridCol w:w="1059"/>
          </w:tblGrid>
          <w:tr w:rsidR="00B201D3" w:rsidRPr="00D62131" w14:paraId="70652626" w14:textId="77777777">
            <w:bookmarkStart w:id="59" w:name="_Hlk40533881" w:displacedByCustomXml="next"/>
            <w:sdt>
              <w:sdtPr>
                <w:rPr>
                  <w:rFonts w:hint="eastAsia"/>
                </w:rPr>
                <w:tag w:val="_PLD_1a6385f8cdab43e88408479fba4d9229"/>
                <w:id w:val="1515805392"/>
                <w:lock w:val="sdtLocked"/>
              </w:sdtPr>
              <w:sdtEndPr/>
              <w:sdtContent>
                <w:tc>
                  <w:tcPr>
                    <w:tcW w:w="384" w:type="pct"/>
                    <w:shd w:val="clear" w:color="auto" w:fill="auto"/>
                    <w:vAlign w:val="center"/>
                  </w:tcPr>
                  <w:p w14:paraId="5ED6902A" w14:textId="77777777" w:rsidR="00B201D3" w:rsidRPr="00D62131" w:rsidRDefault="009855E8">
                    <w:pPr>
                      <w:widowControl w:val="0"/>
                      <w:jc w:val="center"/>
                    </w:pPr>
                    <w:r w:rsidRPr="00D62131">
                      <w:rPr>
                        <w:rFonts w:hint="eastAsia"/>
                      </w:rPr>
                      <w:t>证券品种</w:t>
                    </w:r>
                  </w:p>
                </w:tc>
              </w:sdtContent>
            </w:sdt>
            <w:sdt>
              <w:sdtPr>
                <w:rPr>
                  <w:rFonts w:hint="eastAsia"/>
                </w:rPr>
                <w:tag w:val="_PLD_f57d06c7b56240de84f37921f1d5f0a5"/>
                <w:id w:val="696356927"/>
                <w:lock w:val="sdtLocked"/>
              </w:sdtPr>
              <w:sdtEndPr/>
              <w:sdtContent>
                <w:tc>
                  <w:tcPr>
                    <w:tcW w:w="385" w:type="pct"/>
                    <w:shd w:val="clear" w:color="auto" w:fill="auto"/>
                    <w:vAlign w:val="center"/>
                  </w:tcPr>
                  <w:p w14:paraId="686589DA" w14:textId="77777777" w:rsidR="00B201D3" w:rsidRPr="00D62131" w:rsidRDefault="009855E8">
                    <w:pPr>
                      <w:widowControl w:val="0"/>
                      <w:jc w:val="center"/>
                    </w:pPr>
                    <w:r w:rsidRPr="00D62131">
                      <w:rPr>
                        <w:rFonts w:hint="eastAsia"/>
                      </w:rPr>
                      <w:t>证券代码</w:t>
                    </w:r>
                  </w:p>
                </w:tc>
              </w:sdtContent>
            </w:sdt>
            <w:sdt>
              <w:sdtPr>
                <w:rPr>
                  <w:rFonts w:hint="eastAsia"/>
                </w:rPr>
                <w:tag w:val="_PLD_c8973b349e6844f6b68aa45d2db197c6"/>
                <w:id w:val="286243977"/>
                <w:lock w:val="sdtLocked"/>
              </w:sdtPr>
              <w:sdtEndPr/>
              <w:sdtContent>
                <w:tc>
                  <w:tcPr>
                    <w:tcW w:w="385" w:type="pct"/>
                    <w:shd w:val="clear" w:color="auto" w:fill="auto"/>
                    <w:vAlign w:val="center"/>
                  </w:tcPr>
                  <w:p w14:paraId="1A664DEF" w14:textId="77777777" w:rsidR="00B201D3" w:rsidRPr="00D62131" w:rsidRDefault="009855E8">
                    <w:pPr>
                      <w:widowControl w:val="0"/>
                      <w:tabs>
                        <w:tab w:val="left" w:pos="60"/>
                      </w:tabs>
                      <w:jc w:val="center"/>
                    </w:pPr>
                    <w:r w:rsidRPr="00D62131">
                      <w:rPr>
                        <w:rFonts w:hint="eastAsia"/>
                      </w:rPr>
                      <w:t>证券简称</w:t>
                    </w:r>
                  </w:p>
                </w:tc>
              </w:sdtContent>
            </w:sdt>
            <w:sdt>
              <w:sdtPr>
                <w:rPr>
                  <w:rFonts w:hint="eastAsia"/>
                </w:rPr>
                <w:tag w:val="_PLD_347e7e935c4840d199d2a43abb9a0277"/>
                <w:id w:val="979031799"/>
                <w:lock w:val="sdtLocked"/>
              </w:sdtPr>
              <w:sdtEndPr/>
              <w:sdtContent>
                <w:tc>
                  <w:tcPr>
                    <w:tcW w:w="385" w:type="pct"/>
                    <w:shd w:val="clear" w:color="auto" w:fill="auto"/>
                    <w:vAlign w:val="center"/>
                  </w:tcPr>
                  <w:p w14:paraId="61C88637" w14:textId="77777777" w:rsidR="00B201D3" w:rsidRPr="00D62131" w:rsidRDefault="009855E8">
                    <w:pPr>
                      <w:widowControl w:val="0"/>
                      <w:jc w:val="center"/>
                    </w:pPr>
                    <w:r w:rsidRPr="00D62131">
                      <w:rPr>
                        <w:rFonts w:hint="eastAsia"/>
                      </w:rPr>
                      <w:t>最初投资成本</w:t>
                    </w:r>
                  </w:p>
                </w:tc>
              </w:sdtContent>
            </w:sdt>
            <w:sdt>
              <w:sdtPr>
                <w:rPr>
                  <w:rFonts w:hint="eastAsia"/>
                </w:rPr>
                <w:tag w:val="_PLD_eaf04e6e781c40e2a2c9841ec22e9a3c"/>
                <w:id w:val="558290728"/>
                <w:lock w:val="sdtLocked"/>
              </w:sdtPr>
              <w:sdtEndPr/>
              <w:sdtContent>
                <w:tc>
                  <w:tcPr>
                    <w:tcW w:w="385" w:type="pct"/>
                    <w:shd w:val="clear" w:color="auto" w:fill="auto"/>
                    <w:vAlign w:val="center"/>
                  </w:tcPr>
                  <w:p w14:paraId="64D1D541" w14:textId="77777777" w:rsidR="00B201D3" w:rsidRPr="00D62131" w:rsidRDefault="009855E8">
                    <w:pPr>
                      <w:widowControl w:val="0"/>
                      <w:jc w:val="center"/>
                    </w:pPr>
                    <w:r w:rsidRPr="00D62131">
                      <w:rPr>
                        <w:rFonts w:hint="eastAsia"/>
                      </w:rPr>
                      <w:t>资金来源</w:t>
                    </w:r>
                  </w:p>
                </w:tc>
              </w:sdtContent>
            </w:sdt>
            <w:sdt>
              <w:sdtPr>
                <w:rPr>
                  <w:rFonts w:hint="eastAsia"/>
                </w:rPr>
                <w:tag w:val="_PLD_9216cb595859499fb9e2aa94797691b7"/>
                <w:id w:val="1917966236"/>
                <w:lock w:val="sdtLocked"/>
              </w:sdtPr>
              <w:sdtEndPr/>
              <w:sdtContent>
                <w:tc>
                  <w:tcPr>
                    <w:tcW w:w="385" w:type="pct"/>
                    <w:shd w:val="clear" w:color="auto" w:fill="auto"/>
                    <w:vAlign w:val="center"/>
                  </w:tcPr>
                  <w:p w14:paraId="60EF0051" w14:textId="77777777" w:rsidR="00B201D3" w:rsidRPr="00D62131" w:rsidRDefault="009855E8">
                    <w:pPr>
                      <w:widowControl w:val="0"/>
                      <w:jc w:val="center"/>
                    </w:pPr>
                    <w:r w:rsidRPr="00D62131">
                      <w:rPr>
                        <w:rFonts w:hint="eastAsia"/>
                      </w:rPr>
                      <w:t>期初账面价值</w:t>
                    </w:r>
                  </w:p>
                </w:tc>
              </w:sdtContent>
            </w:sdt>
            <w:sdt>
              <w:sdtPr>
                <w:rPr>
                  <w:rFonts w:hint="eastAsia"/>
                </w:rPr>
                <w:tag w:val="_PLD_70bd034e9b744b00b4ed7fdd4f0a93f4"/>
                <w:id w:val="-694772307"/>
                <w:lock w:val="sdtLocked"/>
              </w:sdtPr>
              <w:sdtEndPr/>
              <w:sdtContent>
                <w:tc>
                  <w:tcPr>
                    <w:tcW w:w="384" w:type="pct"/>
                    <w:shd w:val="clear" w:color="auto" w:fill="auto"/>
                    <w:vAlign w:val="center"/>
                  </w:tcPr>
                  <w:p w14:paraId="4BEC1E3C" w14:textId="77777777" w:rsidR="00B201D3" w:rsidRPr="00D62131" w:rsidRDefault="009855E8">
                    <w:pPr>
                      <w:widowControl w:val="0"/>
                      <w:jc w:val="center"/>
                    </w:pPr>
                    <w:r w:rsidRPr="00D62131">
                      <w:rPr>
                        <w:rFonts w:hint="eastAsia"/>
                      </w:rPr>
                      <w:t>本期公允价值变动损益</w:t>
                    </w:r>
                  </w:p>
                </w:tc>
              </w:sdtContent>
            </w:sdt>
            <w:sdt>
              <w:sdtPr>
                <w:rPr>
                  <w:rFonts w:hint="eastAsia"/>
                </w:rPr>
                <w:tag w:val="_PLD_30b4adc6a16b4f11aeb1b5a776f3974a"/>
                <w:id w:val="1753316455"/>
                <w:lock w:val="sdtLocked"/>
              </w:sdtPr>
              <w:sdtEndPr/>
              <w:sdtContent>
                <w:tc>
                  <w:tcPr>
                    <w:tcW w:w="385" w:type="pct"/>
                    <w:shd w:val="clear" w:color="auto" w:fill="auto"/>
                    <w:vAlign w:val="center"/>
                  </w:tcPr>
                  <w:p w14:paraId="3C50B279" w14:textId="77777777" w:rsidR="00B201D3" w:rsidRPr="00D62131" w:rsidRDefault="009855E8">
                    <w:pPr>
                      <w:widowControl w:val="0"/>
                      <w:jc w:val="center"/>
                    </w:pPr>
                    <w:r w:rsidRPr="00D62131">
                      <w:rPr>
                        <w:rFonts w:hint="eastAsia"/>
                      </w:rPr>
                      <w:t>计入权益的累计公允价值变动</w:t>
                    </w:r>
                  </w:p>
                </w:tc>
              </w:sdtContent>
            </w:sdt>
            <w:sdt>
              <w:sdtPr>
                <w:rPr>
                  <w:rFonts w:hint="eastAsia"/>
                </w:rPr>
                <w:tag w:val="_PLD_3a4ce8b113e6440e88c4092cbb39ae07"/>
                <w:id w:val="-684748096"/>
                <w:lock w:val="sdtLocked"/>
              </w:sdtPr>
              <w:sdtEndPr/>
              <w:sdtContent>
                <w:tc>
                  <w:tcPr>
                    <w:tcW w:w="385" w:type="pct"/>
                    <w:shd w:val="clear" w:color="auto" w:fill="auto"/>
                    <w:vAlign w:val="center"/>
                  </w:tcPr>
                  <w:p w14:paraId="7EDB9B27" w14:textId="77777777" w:rsidR="00B201D3" w:rsidRPr="00D62131" w:rsidRDefault="009855E8">
                    <w:pPr>
                      <w:widowControl w:val="0"/>
                      <w:jc w:val="center"/>
                    </w:pPr>
                    <w:r w:rsidRPr="00D62131">
                      <w:rPr>
                        <w:rFonts w:hint="eastAsia"/>
                      </w:rPr>
                      <w:t>本期购买金额</w:t>
                    </w:r>
                  </w:p>
                </w:tc>
              </w:sdtContent>
            </w:sdt>
            <w:sdt>
              <w:sdtPr>
                <w:rPr>
                  <w:rFonts w:hint="eastAsia"/>
                </w:rPr>
                <w:tag w:val="_PLD_e7e0a0b50a064c0d90f4bb3d36650d56"/>
                <w:id w:val="885536894"/>
                <w:lock w:val="sdtLocked"/>
              </w:sdtPr>
              <w:sdtEndPr/>
              <w:sdtContent>
                <w:tc>
                  <w:tcPr>
                    <w:tcW w:w="385" w:type="pct"/>
                    <w:shd w:val="clear" w:color="auto" w:fill="auto"/>
                    <w:vAlign w:val="center"/>
                  </w:tcPr>
                  <w:p w14:paraId="49DC2725" w14:textId="77777777" w:rsidR="00B201D3" w:rsidRPr="00D62131" w:rsidRDefault="009855E8">
                    <w:pPr>
                      <w:widowControl w:val="0"/>
                      <w:jc w:val="center"/>
                    </w:pPr>
                    <w:r w:rsidRPr="00D62131">
                      <w:rPr>
                        <w:rFonts w:hint="eastAsia"/>
                      </w:rPr>
                      <w:t>本期出售金额</w:t>
                    </w:r>
                  </w:p>
                </w:tc>
              </w:sdtContent>
            </w:sdt>
            <w:sdt>
              <w:sdtPr>
                <w:rPr>
                  <w:rFonts w:hint="eastAsia"/>
                </w:rPr>
                <w:tag w:val="_PLD_56522d18099a4ba78a8ad3f3062f485d"/>
                <w:id w:val="2147461150"/>
                <w:lock w:val="sdtLocked"/>
              </w:sdtPr>
              <w:sdtEndPr/>
              <w:sdtContent>
                <w:tc>
                  <w:tcPr>
                    <w:tcW w:w="385" w:type="pct"/>
                    <w:shd w:val="clear" w:color="auto" w:fill="auto"/>
                    <w:vAlign w:val="center"/>
                  </w:tcPr>
                  <w:p w14:paraId="1DD69993" w14:textId="77777777" w:rsidR="00B201D3" w:rsidRPr="00D62131" w:rsidRDefault="009855E8">
                    <w:pPr>
                      <w:widowControl w:val="0"/>
                      <w:jc w:val="center"/>
                    </w:pPr>
                    <w:r w:rsidRPr="00D62131">
                      <w:rPr>
                        <w:rFonts w:hint="eastAsia"/>
                      </w:rPr>
                      <w:t>本期投资损益</w:t>
                    </w:r>
                  </w:p>
                </w:tc>
              </w:sdtContent>
            </w:sdt>
            <w:sdt>
              <w:sdtPr>
                <w:rPr>
                  <w:rFonts w:hint="eastAsia"/>
                </w:rPr>
                <w:tag w:val="_PLD_9146d628bb674fb68b7075af9f301304"/>
                <w:id w:val="-193457947"/>
                <w:lock w:val="sdtLocked"/>
              </w:sdtPr>
              <w:sdtEndPr/>
              <w:sdtContent>
                <w:tc>
                  <w:tcPr>
                    <w:tcW w:w="385" w:type="pct"/>
                    <w:shd w:val="clear" w:color="auto" w:fill="auto"/>
                    <w:vAlign w:val="center"/>
                  </w:tcPr>
                  <w:p w14:paraId="4CCE5BCB" w14:textId="77777777" w:rsidR="00B201D3" w:rsidRPr="00D62131" w:rsidRDefault="009855E8">
                    <w:pPr>
                      <w:widowControl w:val="0"/>
                      <w:jc w:val="center"/>
                    </w:pPr>
                    <w:r w:rsidRPr="00D62131">
                      <w:rPr>
                        <w:rFonts w:hint="eastAsia"/>
                      </w:rPr>
                      <w:t>期末账面价值</w:t>
                    </w:r>
                  </w:p>
                </w:tc>
              </w:sdtContent>
            </w:sdt>
            <w:sdt>
              <w:sdtPr>
                <w:rPr>
                  <w:rFonts w:hint="eastAsia"/>
                </w:rPr>
                <w:tag w:val="_PLD_002d877100d94db78bee085431d85d09"/>
                <w:id w:val="1740448968"/>
                <w:lock w:val="sdtLocked"/>
              </w:sdtPr>
              <w:sdtEndPr/>
              <w:sdtContent>
                <w:tc>
                  <w:tcPr>
                    <w:tcW w:w="382" w:type="pct"/>
                    <w:shd w:val="clear" w:color="auto" w:fill="auto"/>
                    <w:vAlign w:val="center"/>
                  </w:tcPr>
                  <w:p w14:paraId="23A447D9" w14:textId="77777777" w:rsidR="00B201D3" w:rsidRPr="00D62131" w:rsidRDefault="009855E8">
                    <w:pPr>
                      <w:widowControl w:val="0"/>
                      <w:jc w:val="center"/>
                    </w:pPr>
                    <w:r w:rsidRPr="00D62131">
                      <w:rPr>
                        <w:rFonts w:hint="eastAsia"/>
                      </w:rPr>
                      <w:t>会计核算科目</w:t>
                    </w:r>
                  </w:p>
                </w:tc>
              </w:sdtContent>
            </w:sdt>
          </w:tr>
          <w:sdt>
            <w:sdtPr>
              <w:alias w:val="上市公司证券投资情况明细"/>
              <w:tag w:val="_TUP_1485b4bf3970481a8d11a1b729aab90c"/>
              <w:id w:val="691422438"/>
              <w:lock w:val="sdtLocked"/>
              <w:placeholder>
                <w:docPart w:val="D6E190523B3146A6BDA5CE59871C0D79"/>
              </w:placeholder>
            </w:sdtPr>
            <w:sdtEndPr>
              <w:rPr>
                <w:rFonts w:hint="eastAsia"/>
              </w:rPr>
            </w:sdtEndPr>
            <w:sdtContent>
              <w:tr w:rsidR="00D62131" w:rsidRPr="00D62131" w14:paraId="593A8347" w14:textId="77777777" w:rsidTr="00D62131">
                <w:sdt>
                  <w:sdtPr>
                    <w:alias w:val="上市公司证券投资情况明细－证券品种"/>
                    <w:tag w:val="_GBC_da25a1f6f6b84402a355faf78614b543"/>
                    <w:id w:val="1493292613"/>
                    <w:lock w:val="sdtLocked"/>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EndPr/>
                  <w:sdtContent>
                    <w:tc>
                      <w:tcPr>
                        <w:tcW w:w="384" w:type="pct"/>
                        <w:shd w:val="clear" w:color="auto" w:fill="auto"/>
                        <w:vAlign w:val="center"/>
                      </w:tcPr>
                      <w:p w14:paraId="7375633B" w14:textId="604032CB" w:rsidR="00D62131" w:rsidRPr="00D62131" w:rsidRDefault="00D62131" w:rsidP="00D62131">
                        <w:pPr>
                          <w:widowControl w:val="0"/>
                          <w:jc w:val="both"/>
                        </w:pPr>
                        <w:r w:rsidRPr="00D62131">
                          <w:t>股票</w:t>
                        </w:r>
                      </w:p>
                    </w:tc>
                  </w:sdtContent>
                </w:sdt>
                <w:tc>
                  <w:tcPr>
                    <w:tcW w:w="385" w:type="pct"/>
                    <w:tcBorders>
                      <w:top w:val="single" w:sz="4" w:space="0" w:color="auto"/>
                      <w:left w:val="single" w:sz="4" w:space="0" w:color="auto"/>
                      <w:bottom w:val="single" w:sz="4" w:space="0" w:color="auto"/>
                      <w:right w:val="single" w:sz="4" w:space="0" w:color="auto"/>
                    </w:tcBorders>
                    <w:vAlign w:val="center"/>
                  </w:tcPr>
                  <w:p w14:paraId="796CD022" w14:textId="77777777" w:rsidR="00D62131" w:rsidRPr="00D62131" w:rsidRDefault="00D62131" w:rsidP="00D62131">
                    <w:pPr>
                      <w:widowControl w:val="0"/>
                      <w:jc w:val="center"/>
                    </w:pPr>
                    <w:r w:rsidRPr="00D62131">
                      <w:rPr>
                        <w:rFonts w:hint="eastAsia"/>
                      </w:rPr>
                      <w:t>6</w:t>
                    </w:r>
                    <w:r w:rsidRPr="00D62131">
                      <w:t>01777</w:t>
                    </w:r>
                  </w:p>
                </w:tc>
                <w:tc>
                  <w:tcPr>
                    <w:tcW w:w="385" w:type="pct"/>
                    <w:tcBorders>
                      <w:top w:val="single" w:sz="4" w:space="0" w:color="auto"/>
                      <w:left w:val="single" w:sz="4" w:space="0" w:color="auto"/>
                      <w:bottom w:val="single" w:sz="4" w:space="0" w:color="auto"/>
                      <w:right w:val="single" w:sz="4" w:space="0" w:color="auto"/>
                    </w:tcBorders>
                    <w:vAlign w:val="center"/>
                  </w:tcPr>
                  <w:p w14:paraId="5E799260" w14:textId="77777777" w:rsidR="00D62131" w:rsidRPr="00D62131" w:rsidRDefault="00D62131" w:rsidP="00D62131">
                    <w:pPr>
                      <w:widowControl w:val="0"/>
                      <w:jc w:val="center"/>
                    </w:pPr>
                    <w:r w:rsidRPr="00D62131">
                      <w:rPr>
                        <w:rFonts w:hint="eastAsia"/>
                      </w:rPr>
                      <w:t>力帆科技</w:t>
                    </w:r>
                  </w:p>
                </w:tc>
                <w:tc>
                  <w:tcPr>
                    <w:tcW w:w="385" w:type="pct"/>
                    <w:tcBorders>
                      <w:top w:val="single" w:sz="4" w:space="0" w:color="auto"/>
                      <w:left w:val="single" w:sz="4" w:space="0" w:color="auto"/>
                      <w:bottom w:val="single" w:sz="4" w:space="0" w:color="auto"/>
                      <w:right w:val="single" w:sz="4" w:space="0" w:color="auto"/>
                    </w:tcBorders>
                    <w:vAlign w:val="center"/>
                  </w:tcPr>
                  <w:p w14:paraId="78F1479C" w14:textId="77777777" w:rsidR="00D62131" w:rsidRPr="00D62131" w:rsidRDefault="00D62131" w:rsidP="00D62131">
                    <w:pPr>
                      <w:widowControl w:val="0"/>
                      <w:jc w:val="right"/>
                    </w:pPr>
                    <w:r w:rsidRPr="00D62131">
                      <w:rPr>
                        <w:rFonts w:hint="eastAsia"/>
                      </w:rPr>
                      <w:t>-</w:t>
                    </w:r>
                  </w:p>
                </w:tc>
                <w:tc>
                  <w:tcPr>
                    <w:tcW w:w="385" w:type="pct"/>
                    <w:tcBorders>
                      <w:top w:val="single" w:sz="4" w:space="0" w:color="auto"/>
                      <w:left w:val="single" w:sz="4" w:space="0" w:color="auto"/>
                      <w:bottom w:val="single" w:sz="4" w:space="0" w:color="auto"/>
                      <w:right w:val="single" w:sz="4" w:space="0" w:color="auto"/>
                    </w:tcBorders>
                    <w:vAlign w:val="center"/>
                  </w:tcPr>
                  <w:p w14:paraId="5B552A99" w14:textId="77777777" w:rsidR="00D62131" w:rsidRPr="00D62131" w:rsidRDefault="00D62131" w:rsidP="00D62131">
                    <w:pPr>
                      <w:widowControl w:val="0"/>
                      <w:jc w:val="center"/>
                    </w:pPr>
                    <w:r w:rsidRPr="00D62131">
                      <w:rPr>
                        <w:rFonts w:hint="eastAsia"/>
                      </w:rPr>
                      <w:t>债务重组</w:t>
                    </w:r>
                  </w:p>
                </w:tc>
                <w:tc>
                  <w:tcPr>
                    <w:tcW w:w="385" w:type="pct"/>
                    <w:tcBorders>
                      <w:top w:val="single" w:sz="4" w:space="0" w:color="auto"/>
                      <w:left w:val="single" w:sz="4" w:space="0" w:color="auto"/>
                      <w:bottom w:val="single" w:sz="4" w:space="0" w:color="auto"/>
                      <w:right w:val="single" w:sz="4" w:space="0" w:color="auto"/>
                    </w:tcBorders>
                    <w:vAlign w:val="center"/>
                  </w:tcPr>
                  <w:p w14:paraId="6D502465" w14:textId="77777777" w:rsidR="00D62131" w:rsidRPr="00D62131" w:rsidRDefault="00D62131" w:rsidP="00D62131">
                    <w:pPr>
                      <w:widowControl w:val="0"/>
                      <w:jc w:val="right"/>
                    </w:pPr>
                    <w:r w:rsidRPr="00D62131">
                      <w:rPr>
                        <w:rFonts w:hint="eastAsia"/>
                      </w:rPr>
                      <w:t>4</w:t>
                    </w:r>
                    <w:r w:rsidRPr="00D62131">
                      <w:t>25</w:t>
                    </w:r>
                  </w:p>
                </w:tc>
                <w:tc>
                  <w:tcPr>
                    <w:tcW w:w="384" w:type="pct"/>
                    <w:tcBorders>
                      <w:top w:val="single" w:sz="4" w:space="0" w:color="auto"/>
                      <w:left w:val="single" w:sz="4" w:space="0" w:color="auto"/>
                      <w:bottom w:val="single" w:sz="4" w:space="0" w:color="auto"/>
                      <w:right w:val="single" w:sz="4" w:space="0" w:color="auto"/>
                    </w:tcBorders>
                    <w:vAlign w:val="center"/>
                  </w:tcPr>
                  <w:p w14:paraId="3691175A" w14:textId="77777777" w:rsidR="00D62131" w:rsidRPr="00D62131" w:rsidRDefault="00D62131" w:rsidP="00D62131">
                    <w:pPr>
                      <w:widowControl w:val="0"/>
                      <w:jc w:val="right"/>
                    </w:pPr>
                    <w:r w:rsidRPr="00D62131">
                      <w:t>-</w:t>
                    </w:r>
                    <w:r w:rsidRPr="00D62131">
                      <w:rPr>
                        <w:rFonts w:hint="eastAsia"/>
                      </w:rPr>
                      <w:t>2</w:t>
                    </w:r>
                    <w:r w:rsidRPr="00D62131">
                      <w:t>01</w:t>
                    </w:r>
                  </w:p>
                </w:tc>
                <w:tc>
                  <w:tcPr>
                    <w:tcW w:w="385" w:type="pct"/>
                    <w:tcBorders>
                      <w:top w:val="single" w:sz="4" w:space="0" w:color="auto"/>
                      <w:left w:val="single" w:sz="4" w:space="0" w:color="auto"/>
                      <w:bottom w:val="single" w:sz="4" w:space="0" w:color="auto"/>
                      <w:right w:val="single" w:sz="4" w:space="0" w:color="auto"/>
                    </w:tcBorders>
                    <w:vAlign w:val="center"/>
                  </w:tcPr>
                  <w:p w14:paraId="77399775" w14:textId="25053A77" w:rsidR="00D62131" w:rsidRPr="00D62131" w:rsidRDefault="00D62131" w:rsidP="00D62131">
                    <w:pPr>
                      <w:widowControl w:val="0"/>
                      <w:jc w:val="right"/>
                    </w:pPr>
                    <w:r w:rsidRPr="00D62131">
                      <w:rPr>
                        <w:rFonts w:hint="eastAsia"/>
                      </w:rPr>
                      <w:t>-</w:t>
                    </w:r>
                  </w:p>
                </w:tc>
                <w:tc>
                  <w:tcPr>
                    <w:tcW w:w="385" w:type="pct"/>
                    <w:tcBorders>
                      <w:top w:val="single" w:sz="4" w:space="0" w:color="auto"/>
                      <w:left w:val="single" w:sz="4" w:space="0" w:color="auto"/>
                      <w:bottom w:val="single" w:sz="4" w:space="0" w:color="auto"/>
                      <w:right w:val="single" w:sz="4" w:space="0" w:color="auto"/>
                    </w:tcBorders>
                    <w:vAlign w:val="center"/>
                  </w:tcPr>
                  <w:p w14:paraId="77745372" w14:textId="54A0BF32" w:rsidR="00D62131" w:rsidRPr="00D62131" w:rsidRDefault="00D62131" w:rsidP="00D62131">
                    <w:pPr>
                      <w:widowControl w:val="0"/>
                      <w:jc w:val="right"/>
                    </w:pPr>
                    <w:r w:rsidRPr="00D62131">
                      <w:rPr>
                        <w:rFonts w:hint="eastAsia"/>
                      </w:rPr>
                      <w:t>-</w:t>
                    </w:r>
                  </w:p>
                </w:tc>
                <w:tc>
                  <w:tcPr>
                    <w:tcW w:w="385" w:type="pct"/>
                    <w:tcBorders>
                      <w:top w:val="single" w:sz="4" w:space="0" w:color="auto"/>
                      <w:left w:val="single" w:sz="4" w:space="0" w:color="auto"/>
                      <w:bottom w:val="single" w:sz="4" w:space="0" w:color="auto"/>
                      <w:right w:val="single" w:sz="4" w:space="0" w:color="auto"/>
                    </w:tcBorders>
                    <w:vAlign w:val="center"/>
                  </w:tcPr>
                  <w:p w14:paraId="44B224A4" w14:textId="35D3C472" w:rsidR="00D62131" w:rsidRPr="00D62131" w:rsidRDefault="00D62131" w:rsidP="00D62131">
                    <w:pPr>
                      <w:widowControl w:val="0"/>
                      <w:jc w:val="right"/>
                    </w:pPr>
                    <w:r w:rsidRPr="00D62131">
                      <w:rPr>
                        <w:rFonts w:hint="eastAsia"/>
                      </w:rPr>
                      <w:t>-</w:t>
                    </w:r>
                  </w:p>
                </w:tc>
                <w:tc>
                  <w:tcPr>
                    <w:tcW w:w="385" w:type="pct"/>
                    <w:tcBorders>
                      <w:top w:val="single" w:sz="4" w:space="0" w:color="auto"/>
                      <w:left w:val="single" w:sz="4" w:space="0" w:color="auto"/>
                      <w:bottom w:val="single" w:sz="4" w:space="0" w:color="auto"/>
                      <w:right w:val="single" w:sz="4" w:space="0" w:color="auto"/>
                    </w:tcBorders>
                    <w:vAlign w:val="center"/>
                  </w:tcPr>
                  <w:p w14:paraId="01347489" w14:textId="182416BE" w:rsidR="00D62131" w:rsidRPr="00D62131" w:rsidRDefault="00D62131" w:rsidP="00D62131">
                    <w:pPr>
                      <w:widowControl w:val="0"/>
                      <w:jc w:val="right"/>
                    </w:pPr>
                    <w:r w:rsidRPr="00D62131">
                      <w:rPr>
                        <w:rFonts w:hint="eastAsia"/>
                      </w:rPr>
                      <w:t>-</w:t>
                    </w:r>
                  </w:p>
                </w:tc>
                <w:tc>
                  <w:tcPr>
                    <w:tcW w:w="385" w:type="pct"/>
                    <w:tcBorders>
                      <w:top w:val="single" w:sz="4" w:space="0" w:color="auto"/>
                      <w:left w:val="single" w:sz="4" w:space="0" w:color="auto"/>
                      <w:bottom w:val="single" w:sz="4" w:space="0" w:color="auto"/>
                      <w:right w:val="single" w:sz="4" w:space="0" w:color="auto"/>
                    </w:tcBorders>
                    <w:vAlign w:val="center"/>
                  </w:tcPr>
                  <w:p w14:paraId="54674DC9" w14:textId="77777777" w:rsidR="00D62131" w:rsidRPr="00D62131" w:rsidRDefault="00D62131" w:rsidP="00D62131">
                    <w:pPr>
                      <w:widowControl w:val="0"/>
                      <w:jc w:val="right"/>
                    </w:pPr>
                    <w:r w:rsidRPr="00D62131">
                      <w:rPr>
                        <w:rFonts w:hint="eastAsia"/>
                      </w:rPr>
                      <w:t>2</w:t>
                    </w:r>
                    <w:r w:rsidRPr="00D62131">
                      <w:t>24</w:t>
                    </w:r>
                  </w:p>
                </w:tc>
                <w:sdt>
                  <w:sdtPr>
                    <w:alias w:val="上市公司证券投资情况明细－会计核算科目"/>
                    <w:tag w:val="_GBC_414476e3ed004196953166bc33839d22"/>
                    <w:id w:val="-2051522349"/>
                    <w:lock w:val="sdtLocked"/>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EndPr/>
                  <w:sdtContent>
                    <w:tc>
                      <w:tcPr>
                        <w:tcW w:w="382" w:type="pct"/>
                        <w:shd w:val="clear" w:color="auto" w:fill="auto"/>
                        <w:vAlign w:val="center"/>
                      </w:tcPr>
                      <w:p w14:paraId="1A2003B2" w14:textId="353260F3" w:rsidR="00D62131" w:rsidRPr="00D62131" w:rsidRDefault="00D62131" w:rsidP="00D62131">
                        <w:pPr>
                          <w:widowControl w:val="0"/>
                          <w:jc w:val="center"/>
                        </w:pPr>
                        <w:r w:rsidRPr="00D62131">
                          <w:t>交易性金融资产</w:t>
                        </w:r>
                      </w:p>
                    </w:tc>
                  </w:sdtContent>
                </w:sdt>
              </w:tr>
            </w:sdtContent>
          </w:sdt>
          <w:sdt>
            <w:sdtPr>
              <w:alias w:val="上市公司证券投资情况明细"/>
              <w:tag w:val="_TUP_1485b4bf3970481a8d11a1b729aab90c"/>
              <w:id w:val="502943202"/>
              <w:lock w:val="sdtLocked"/>
              <w:placeholder>
                <w:docPart w:val="7B9A496F4F624F6FA3415B4F24A6098A"/>
              </w:placeholder>
            </w:sdtPr>
            <w:sdtEndPr/>
            <w:sdtContent>
              <w:tr w:rsidR="00D62131" w:rsidRPr="00D62131" w14:paraId="5A10AAEB" w14:textId="77777777" w:rsidTr="00D62131">
                <w:sdt>
                  <w:sdtPr>
                    <w:alias w:val="上市公司证券投资情况明细－证券品种"/>
                    <w:tag w:val="_GBC_da25a1f6f6b84402a355faf78614b543"/>
                    <w:id w:val="2037614685"/>
                    <w:lock w:val="sdtLocked"/>
                    <w:placeholder>
                      <w:docPart w:val="9B39D0D0FACE44B6923DF16946AA2A91"/>
                    </w:placeholder>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EndPr/>
                  <w:sdtContent>
                    <w:tc>
                      <w:tcPr>
                        <w:tcW w:w="384" w:type="pct"/>
                        <w:shd w:val="clear" w:color="auto" w:fill="auto"/>
                        <w:vAlign w:val="center"/>
                      </w:tcPr>
                      <w:p w14:paraId="34CB1CCD" w14:textId="6FBB205E" w:rsidR="00D62131" w:rsidRPr="00D62131" w:rsidRDefault="00D62131" w:rsidP="00D62131">
                        <w:pPr>
                          <w:widowControl w:val="0"/>
                          <w:jc w:val="both"/>
                        </w:pPr>
                        <w:r w:rsidRPr="00D62131">
                          <w:t>股票</w:t>
                        </w:r>
                      </w:p>
                    </w:tc>
                  </w:sdtContent>
                </w:sdt>
                <w:tc>
                  <w:tcPr>
                    <w:tcW w:w="385" w:type="pct"/>
                    <w:tcBorders>
                      <w:top w:val="single" w:sz="4" w:space="0" w:color="auto"/>
                      <w:left w:val="single" w:sz="4" w:space="0" w:color="auto"/>
                      <w:bottom w:val="single" w:sz="4" w:space="0" w:color="auto"/>
                      <w:right w:val="single" w:sz="4" w:space="0" w:color="auto"/>
                    </w:tcBorders>
                    <w:vAlign w:val="center"/>
                  </w:tcPr>
                  <w:p w14:paraId="6F1CAE6D" w14:textId="77777777" w:rsidR="00D62131" w:rsidRPr="00D62131" w:rsidRDefault="00D62131" w:rsidP="00D62131">
                    <w:pPr>
                      <w:widowControl w:val="0"/>
                      <w:jc w:val="center"/>
                    </w:pPr>
                    <w:r w:rsidRPr="00D62131">
                      <w:rPr>
                        <w:rFonts w:hint="eastAsia"/>
                      </w:rPr>
                      <w:t>6</w:t>
                    </w:r>
                    <w:r w:rsidRPr="00D62131">
                      <w:t>01008</w:t>
                    </w:r>
                  </w:p>
                </w:tc>
                <w:tc>
                  <w:tcPr>
                    <w:tcW w:w="385" w:type="pct"/>
                    <w:tcBorders>
                      <w:top w:val="single" w:sz="4" w:space="0" w:color="auto"/>
                      <w:left w:val="single" w:sz="4" w:space="0" w:color="auto"/>
                      <w:bottom w:val="single" w:sz="4" w:space="0" w:color="auto"/>
                      <w:right w:val="single" w:sz="4" w:space="0" w:color="auto"/>
                    </w:tcBorders>
                    <w:vAlign w:val="center"/>
                  </w:tcPr>
                  <w:p w14:paraId="3A5C7027" w14:textId="77777777" w:rsidR="00D62131" w:rsidRPr="00D62131" w:rsidRDefault="00D62131" w:rsidP="00D62131">
                    <w:pPr>
                      <w:widowControl w:val="0"/>
                      <w:jc w:val="center"/>
                    </w:pPr>
                    <w:r w:rsidRPr="00D62131">
                      <w:rPr>
                        <w:rFonts w:hint="eastAsia"/>
                      </w:rPr>
                      <w:t>连云港</w:t>
                    </w:r>
                  </w:p>
                </w:tc>
                <w:tc>
                  <w:tcPr>
                    <w:tcW w:w="385" w:type="pct"/>
                    <w:tcBorders>
                      <w:top w:val="single" w:sz="4" w:space="0" w:color="auto"/>
                      <w:left w:val="single" w:sz="4" w:space="0" w:color="auto"/>
                      <w:bottom w:val="single" w:sz="4" w:space="0" w:color="auto"/>
                      <w:right w:val="single" w:sz="4" w:space="0" w:color="auto"/>
                    </w:tcBorders>
                    <w:vAlign w:val="center"/>
                  </w:tcPr>
                  <w:p w14:paraId="07475905" w14:textId="77777777" w:rsidR="00D62131" w:rsidRPr="00D62131" w:rsidRDefault="00D62131" w:rsidP="00D62131">
                    <w:pPr>
                      <w:widowControl w:val="0"/>
                      <w:jc w:val="right"/>
                    </w:pPr>
                    <w:r w:rsidRPr="00D62131">
                      <w:rPr>
                        <w:rFonts w:hint="eastAsia"/>
                      </w:rPr>
                      <w:t>8</w:t>
                    </w:r>
                    <w:r w:rsidRPr="00D62131">
                      <w:t>9</w:t>
                    </w:r>
                  </w:p>
                </w:tc>
                <w:tc>
                  <w:tcPr>
                    <w:tcW w:w="385" w:type="pct"/>
                    <w:tcBorders>
                      <w:top w:val="single" w:sz="4" w:space="0" w:color="auto"/>
                      <w:left w:val="single" w:sz="4" w:space="0" w:color="auto"/>
                      <w:bottom w:val="single" w:sz="4" w:space="0" w:color="auto"/>
                      <w:right w:val="single" w:sz="4" w:space="0" w:color="auto"/>
                    </w:tcBorders>
                    <w:vAlign w:val="center"/>
                  </w:tcPr>
                  <w:p w14:paraId="572EC7EB" w14:textId="77777777" w:rsidR="00D62131" w:rsidRPr="00D62131" w:rsidRDefault="00D62131" w:rsidP="00D62131">
                    <w:pPr>
                      <w:widowControl w:val="0"/>
                      <w:jc w:val="center"/>
                    </w:pPr>
                    <w:r w:rsidRPr="00D62131">
                      <w:rPr>
                        <w:rFonts w:hint="eastAsia"/>
                      </w:rPr>
                      <w:t>货币资金</w:t>
                    </w:r>
                  </w:p>
                </w:tc>
                <w:tc>
                  <w:tcPr>
                    <w:tcW w:w="385" w:type="pct"/>
                    <w:tcBorders>
                      <w:top w:val="single" w:sz="4" w:space="0" w:color="auto"/>
                      <w:left w:val="single" w:sz="4" w:space="0" w:color="auto"/>
                      <w:bottom w:val="single" w:sz="4" w:space="0" w:color="auto"/>
                      <w:right w:val="single" w:sz="4" w:space="0" w:color="auto"/>
                    </w:tcBorders>
                    <w:vAlign w:val="center"/>
                  </w:tcPr>
                  <w:p w14:paraId="38B85791" w14:textId="77777777" w:rsidR="00D62131" w:rsidRPr="00D62131" w:rsidRDefault="00D62131" w:rsidP="00D62131">
                    <w:pPr>
                      <w:widowControl w:val="0"/>
                      <w:jc w:val="right"/>
                    </w:pPr>
                    <w:r w:rsidRPr="00D62131">
                      <w:rPr>
                        <w:rFonts w:hint="eastAsia"/>
                      </w:rPr>
                      <w:t>4</w:t>
                    </w:r>
                    <w:r w:rsidRPr="00D62131">
                      <w:t>41</w:t>
                    </w:r>
                  </w:p>
                </w:tc>
                <w:tc>
                  <w:tcPr>
                    <w:tcW w:w="384" w:type="pct"/>
                    <w:tcBorders>
                      <w:top w:val="single" w:sz="4" w:space="0" w:color="auto"/>
                      <w:left w:val="single" w:sz="4" w:space="0" w:color="auto"/>
                      <w:bottom w:val="single" w:sz="4" w:space="0" w:color="auto"/>
                      <w:right w:val="single" w:sz="4" w:space="0" w:color="auto"/>
                    </w:tcBorders>
                    <w:vAlign w:val="center"/>
                  </w:tcPr>
                  <w:p w14:paraId="13041D4F" w14:textId="744A5275" w:rsidR="00D62131" w:rsidRPr="00D62131" w:rsidRDefault="00D62131" w:rsidP="00D62131">
                    <w:pPr>
                      <w:widowControl w:val="0"/>
                      <w:jc w:val="right"/>
                    </w:pPr>
                    <w:r w:rsidRPr="00D62131">
                      <w:rPr>
                        <w:rFonts w:hint="eastAsia"/>
                      </w:rPr>
                      <w:t>-</w:t>
                    </w:r>
                  </w:p>
                </w:tc>
                <w:tc>
                  <w:tcPr>
                    <w:tcW w:w="385" w:type="pct"/>
                    <w:tcBorders>
                      <w:top w:val="single" w:sz="4" w:space="0" w:color="auto"/>
                      <w:left w:val="single" w:sz="4" w:space="0" w:color="auto"/>
                      <w:bottom w:val="single" w:sz="4" w:space="0" w:color="auto"/>
                      <w:right w:val="single" w:sz="4" w:space="0" w:color="auto"/>
                    </w:tcBorders>
                    <w:vAlign w:val="center"/>
                  </w:tcPr>
                  <w:p w14:paraId="1FE52C0E" w14:textId="77777777" w:rsidR="00D62131" w:rsidRPr="00D62131" w:rsidRDefault="00D62131" w:rsidP="00D62131">
                    <w:pPr>
                      <w:widowControl w:val="0"/>
                      <w:jc w:val="right"/>
                    </w:pPr>
                    <w:r w:rsidRPr="00D62131">
                      <w:rPr>
                        <w:rFonts w:hint="eastAsia"/>
                      </w:rPr>
                      <w:t>-</w:t>
                    </w:r>
                    <w:r w:rsidRPr="00D62131">
                      <w:t>57</w:t>
                    </w:r>
                  </w:p>
                </w:tc>
                <w:tc>
                  <w:tcPr>
                    <w:tcW w:w="385" w:type="pct"/>
                    <w:tcBorders>
                      <w:top w:val="single" w:sz="4" w:space="0" w:color="auto"/>
                      <w:left w:val="single" w:sz="4" w:space="0" w:color="auto"/>
                      <w:bottom w:val="single" w:sz="4" w:space="0" w:color="auto"/>
                      <w:right w:val="single" w:sz="4" w:space="0" w:color="auto"/>
                    </w:tcBorders>
                    <w:vAlign w:val="center"/>
                  </w:tcPr>
                  <w:p w14:paraId="35D7CC16" w14:textId="1499C219" w:rsidR="00D62131" w:rsidRPr="00D62131" w:rsidRDefault="00D62131" w:rsidP="00D62131">
                    <w:pPr>
                      <w:widowControl w:val="0"/>
                      <w:jc w:val="right"/>
                    </w:pPr>
                    <w:r w:rsidRPr="00D62131">
                      <w:rPr>
                        <w:rFonts w:hint="eastAsia"/>
                      </w:rPr>
                      <w:t>-</w:t>
                    </w:r>
                  </w:p>
                </w:tc>
                <w:tc>
                  <w:tcPr>
                    <w:tcW w:w="385" w:type="pct"/>
                    <w:tcBorders>
                      <w:top w:val="single" w:sz="4" w:space="0" w:color="auto"/>
                      <w:left w:val="single" w:sz="4" w:space="0" w:color="auto"/>
                      <w:bottom w:val="single" w:sz="4" w:space="0" w:color="auto"/>
                      <w:right w:val="single" w:sz="4" w:space="0" w:color="auto"/>
                    </w:tcBorders>
                    <w:vAlign w:val="center"/>
                  </w:tcPr>
                  <w:p w14:paraId="32BD27E8" w14:textId="69B7F7F2" w:rsidR="00D62131" w:rsidRPr="00D62131" w:rsidRDefault="00D62131" w:rsidP="00D62131">
                    <w:pPr>
                      <w:widowControl w:val="0"/>
                      <w:jc w:val="right"/>
                    </w:pPr>
                    <w:r w:rsidRPr="00D62131">
                      <w:rPr>
                        <w:rFonts w:hint="eastAsia"/>
                      </w:rPr>
                      <w:t>-</w:t>
                    </w:r>
                  </w:p>
                </w:tc>
                <w:tc>
                  <w:tcPr>
                    <w:tcW w:w="385" w:type="pct"/>
                    <w:tcBorders>
                      <w:top w:val="single" w:sz="4" w:space="0" w:color="auto"/>
                      <w:left w:val="single" w:sz="4" w:space="0" w:color="auto"/>
                      <w:bottom w:val="single" w:sz="4" w:space="0" w:color="auto"/>
                      <w:right w:val="single" w:sz="4" w:space="0" w:color="auto"/>
                    </w:tcBorders>
                    <w:vAlign w:val="center"/>
                  </w:tcPr>
                  <w:p w14:paraId="1DB0C6CD" w14:textId="51AFE7F6" w:rsidR="00D62131" w:rsidRPr="00D62131" w:rsidRDefault="00D62131" w:rsidP="00D62131">
                    <w:pPr>
                      <w:widowControl w:val="0"/>
                      <w:jc w:val="right"/>
                    </w:pPr>
                    <w:r w:rsidRPr="00D62131">
                      <w:rPr>
                        <w:rFonts w:hint="eastAsia"/>
                      </w:rPr>
                      <w:t>-</w:t>
                    </w:r>
                  </w:p>
                </w:tc>
                <w:tc>
                  <w:tcPr>
                    <w:tcW w:w="385" w:type="pct"/>
                    <w:tcBorders>
                      <w:top w:val="single" w:sz="4" w:space="0" w:color="auto"/>
                      <w:left w:val="single" w:sz="4" w:space="0" w:color="auto"/>
                      <w:bottom w:val="single" w:sz="4" w:space="0" w:color="auto"/>
                      <w:right w:val="single" w:sz="4" w:space="0" w:color="auto"/>
                    </w:tcBorders>
                    <w:vAlign w:val="center"/>
                  </w:tcPr>
                  <w:p w14:paraId="21C75FF2" w14:textId="77777777" w:rsidR="00D62131" w:rsidRPr="00D62131" w:rsidRDefault="00D62131" w:rsidP="00D62131">
                    <w:pPr>
                      <w:widowControl w:val="0"/>
                      <w:jc w:val="right"/>
                    </w:pPr>
                    <w:r w:rsidRPr="00D62131">
                      <w:rPr>
                        <w:rFonts w:hint="eastAsia"/>
                      </w:rPr>
                      <w:t>3</w:t>
                    </w:r>
                    <w:r w:rsidRPr="00D62131">
                      <w:t>84</w:t>
                    </w:r>
                  </w:p>
                </w:tc>
                <w:sdt>
                  <w:sdtPr>
                    <w:alias w:val="上市公司证券投资情况明细－会计核算科目"/>
                    <w:tag w:val="_GBC_414476e3ed004196953166bc33839d22"/>
                    <w:id w:val="-993174272"/>
                    <w:lock w:val="sdtLocked"/>
                    <w:placeholder>
                      <w:docPart w:val="7F207833EFE64D209D7C6A9BFE8ECF61"/>
                    </w:placeholder>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EndPr/>
                  <w:sdtContent>
                    <w:tc>
                      <w:tcPr>
                        <w:tcW w:w="382" w:type="pct"/>
                        <w:shd w:val="clear" w:color="auto" w:fill="auto"/>
                        <w:vAlign w:val="center"/>
                      </w:tcPr>
                      <w:p w14:paraId="78B8869A" w14:textId="183F181A" w:rsidR="00D62131" w:rsidRPr="00D62131" w:rsidRDefault="00D62131" w:rsidP="00D62131">
                        <w:pPr>
                          <w:widowControl w:val="0"/>
                          <w:jc w:val="center"/>
                        </w:pPr>
                        <w:r w:rsidRPr="00D62131">
                          <w:t>其他权益工具投资</w:t>
                        </w:r>
                      </w:p>
                    </w:tc>
                  </w:sdtContent>
                </w:sdt>
              </w:tr>
            </w:sdtContent>
          </w:sdt>
          <w:sdt>
            <w:sdtPr>
              <w:alias w:val="上市公司证券投资情况明细"/>
              <w:tag w:val="_TUP_1485b4bf3970481a8d11a1b729aab90c"/>
              <w:id w:val="1679696726"/>
              <w:lock w:val="sdtLocked"/>
              <w:placeholder>
                <w:docPart w:val="C94AB06C3F7D4FF593324AD73FADB189"/>
              </w:placeholder>
            </w:sdtPr>
            <w:sdtEndPr>
              <w:rPr>
                <w:rFonts w:hint="eastAsia"/>
              </w:rPr>
            </w:sdtEndPr>
            <w:sdtContent>
              <w:tr w:rsidR="00D62131" w:rsidRPr="00D62131" w14:paraId="0732FB20" w14:textId="77777777" w:rsidTr="00D62131">
                <w:sdt>
                  <w:sdtPr>
                    <w:alias w:val="上市公司证券投资情况明细－证券品种"/>
                    <w:tag w:val="_GBC_da25a1f6f6b84402a355faf78614b543"/>
                    <w:id w:val="627436447"/>
                    <w:lock w:val="sdtLocked"/>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EndPr/>
                  <w:sdtContent>
                    <w:tc>
                      <w:tcPr>
                        <w:tcW w:w="384" w:type="pct"/>
                        <w:shd w:val="clear" w:color="auto" w:fill="auto"/>
                        <w:vAlign w:val="center"/>
                      </w:tcPr>
                      <w:p w14:paraId="4C79E5A4" w14:textId="31199F60" w:rsidR="00D62131" w:rsidRPr="00D62131" w:rsidRDefault="00D62131" w:rsidP="00D62131">
                        <w:pPr>
                          <w:widowControl w:val="0"/>
                          <w:jc w:val="both"/>
                        </w:pPr>
                        <w:r w:rsidRPr="00D62131">
                          <w:t>基金</w:t>
                        </w:r>
                      </w:p>
                    </w:tc>
                  </w:sdtContent>
                </w:sdt>
                <w:tc>
                  <w:tcPr>
                    <w:tcW w:w="385" w:type="pct"/>
                    <w:tcBorders>
                      <w:top w:val="single" w:sz="4" w:space="0" w:color="auto"/>
                      <w:left w:val="single" w:sz="4" w:space="0" w:color="auto"/>
                      <w:bottom w:val="single" w:sz="4" w:space="0" w:color="auto"/>
                      <w:right w:val="single" w:sz="4" w:space="0" w:color="auto"/>
                    </w:tcBorders>
                    <w:vAlign w:val="center"/>
                  </w:tcPr>
                  <w:p w14:paraId="7B6BB079" w14:textId="77777777" w:rsidR="00D62131" w:rsidRPr="00D62131" w:rsidRDefault="00D62131" w:rsidP="00D62131">
                    <w:pPr>
                      <w:widowControl w:val="0"/>
                      <w:jc w:val="center"/>
                    </w:pPr>
                    <w:r w:rsidRPr="00D62131">
                      <w:rPr>
                        <w:rFonts w:hint="eastAsia"/>
                      </w:rPr>
                      <w:t>0</w:t>
                    </w:r>
                    <w:r w:rsidRPr="00D62131">
                      <w:t>04968</w:t>
                    </w:r>
                  </w:p>
                </w:tc>
                <w:tc>
                  <w:tcPr>
                    <w:tcW w:w="385" w:type="pct"/>
                    <w:tcBorders>
                      <w:top w:val="single" w:sz="4" w:space="0" w:color="auto"/>
                      <w:left w:val="single" w:sz="4" w:space="0" w:color="auto"/>
                      <w:bottom w:val="single" w:sz="4" w:space="0" w:color="auto"/>
                      <w:right w:val="single" w:sz="4" w:space="0" w:color="auto"/>
                    </w:tcBorders>
                    <w:vAlign w:val="center"/>
                  </w:tcPr>
                  <w:p w14:paraId="6D5E015F" w14:textId="77777777" w:rsidR="00D62131" w:rsidRPr="00D62131" w:rsidRDefault="00D62131" w:rsidP="00D62131">
                    <w:pPr>
                      <w:widowControl w:val="0"/>
                      <w:jc w:val="center"/>
                    </w:pPr>
                    <w:r w:rsidRPr="00D62131">
                      <w:rPr>
                        <w:rFonts w:hint="eastAsia"/>
                      </w:rPr>
                      <w:t>红土创新货币B</w:t>
                    </w:r>
                  </w:p>
                </w:tc>
                <w:tc>
                  <w:tcPr>
                    <w:tcW w:w="385" w:type="pct"/>
                    <w:tcBorders>
                      <w:top w:val="single" w:sz="4" w:space="0" w:color="auto"/>
                      <w:left w:val="single" w:sz="4" w:space="0" w:color="auto"/>
                      <w:bottom w:val="single" w:sz="4" w:space="0" w:color="auto"/>
                      <w:right w:val="single" w:sz="4" w:space="0" w:color="auto"/>
                    </w:tcBorders>
                    <w:vAlign w:val="center"/>
                  </w:tcPr>
                  <w:p w14:paraId="4A679D9C" w14:textId="77777777" w:rsidR="00D62131" w:rsidRPr="00D62131" w:rsidRDefault="00D62131" w:rsidP="00D62131">
                    <w:pPr>
                      <w:widowControl w:val="0"/>
                      <w:jc w:val="right"/>
                    </w:pPr>
                    <w:r w:rsidRPr="00D62131">
                      <w:rPr>
                        <w:rFonts w:hint="eastAsia"/>
                      </w:rPr>
                      <w:t>5</w:t>
                    </w:r>
                    <w:r w:rsidRPr="00D62131">
                      <w:t>,000</w:t>
                    </w:r>
                  </w:p>
                </w:tc>
                <w:tc>
                  <w:tcPr>
                    <w:tcW w:w="385" w:type="pct"/>
                    <w:tcBorders>
                      <w:top w:val="single" w:sz="4" w:space="0" w:color="auto"/>
                      <w:left w:val="single" w:sz="4" w:space="0" w:color="auto"/>
                      <w:bottom w:val="single" w:sz="4" w:space="0" w:color="auto"/>
                      <w:right w:val="single" w:sz="4" w:space="0" w:color="auto"/>
                    </w:tcBorders>
                    <w:vAlign w:val="center"/>
                  </w:tcPr>
                  <w:p w14:paraId="04164C82" w14:textId="77777777" w:rsidR="00D62131" w:rsidRPr="00D62131" w:rsidRDefault="00D62131" w:rsidP="00D62131">
                    <w:pPr>
                      <w:widowControl w:val="0"/>
                      <w:jc w:val="center"/>
                    </w:pPr>
                    <w:r w:rsidRPr="00D62131">
                      <w:rPr>
                        <w:rFonts w:hint="eastAsia"/>
                      </w:rPr>
                      <w:t>货币资金</w:t>
                    </w:r>
                  </w:p>
                </w:tc>
                <w:tc>
                  <w:tcPr>
                    <w:tcW w:w="385" w:type="pct"/>
                    <w:tcBorders>
                      <w:top w:val="single" w:sz="4" w:space="0" w:color="auto"/>
                      <w:left w:val="single" w:sz="4" w:space="0" w:color="auto"/>
                      <w:bottom w:val="single" w:sz="4" w:space="0" w:color="auto"/>
                      <w:right w:val="single" w:sz="4" w:space="0" w:color="auto"/>
                    </w:tcBorders>
                    <w:vAlign w:val="center"/>
                  </w:tcPr>
                  <w:p w14:paraId="6681BABE" w14:textId="77777777" w:rsidR="00D62131" w:rsidRPr="00D62131" w:rsidRDefault="00D62131" w:rsidP="00D62131">
                    <w:pPr>
                      <w:widowControl w:val="0"/>
                      <w:jc w:val="right"/>
                    </w:pPr>
                    <w:r w:rsidRPr="00D62131">
                      <w:rPr>
                        <w:rFonts w:hint="eastAsia"/>
                      </w:rPr>
                      <w:t>1,</w:t>
                    </w:r>
                    <w:r w:rsidRPr="00D62131">
                      <w:t>012</w:t>
                    </w:r>
                  </w:p>
                </w:tc>
                <w:tc>
                  <w:tcPr>
                    <w:tcW w:w="384" w:type="pct"/>
                    <w:tcBorders>
                      <w:top w:val="single" w:sz="4" w:space="0" w:color="auto"/>
                      <w:left w:val="single" w:sz="4" w:space="0" w:color="auto"/>
                      <w:bottom w:val="single" w:sz="4" w:space="0" w:color="auto"/>
                      <w:right w:val="single" w:sz="4" w:space="0" w:color="auto"/>
                    </w:tcBorders>
                    <w:vAlign w:val="center"/>
                  </w:tcPr>
                  <w:p w14:paraId="19E5E89D" w14:textId="77777777" w:rsidR="00D62131" w:rsidRPr="00D62131" w:rsidRDefault="00D62131" w:rsidP="00D62131">
                    <w:pPr>
                      <w:widowControl w:val="0"/>
                      <w:jc w:val="right"/>
                    </w:pPr>
                    <w:r w:rsidRPr="00D62131">
                      <w:t>9</w:t>
                    </w:r>
                  </w:p>
                </w:tc>
                <w:tc>
                  <w:tcPr>
                    <w:tcW w:w="385" w:type="pct"/>
                    <w:tcBorders>
                      <w:top w:val="single" w:sz="4" w:space="0" w:color="auto"/>
                      <w:left w:val="single" w:sz="4" w:space="0" w:color="auto"/>
                      <w:bottom w:val="single" w:sz="4" w:space="0" w:color="auto"/>
                      <w:right w:val="single" w:sz="4" w:space="0" w:color="auto"/>
                    </w:tcBorders>
                    <w:vAlign w:val="center"/>
                  </w:tcPr>
                  <w:p w14:paraId="24197D7E" w14:textId="26A8BDD5" w:rsidR="00D62131" w:rsidRPr="00D62131" w:rsidRDefault="00D62131" w:rsidP="00D62131">
                    <w:pPr>
                      <w:widowControl w:val="0"/>
                      <w:jc w:val="right"/>
                    </w:pPr>
                    <w:r w:rsidRPr="00D62131">
                      <w:rPr>
                        <w:rFonts w:hint="eastAsia"/>
                      </w:rPr>
                      <w:t>-</w:t>
                    </w:r>
                  </w:p>
                </w:tc>
                <w:tc>
                  <w:tcPr>
                    <w:tcW w:w="385" w:type="pct"/>
                    <w:tcBorders>
                      <w:top w:val="single" w:sz="4" w:space="0" w:color="auto"/>
                      <w:left w:val="single" w:sz="4" w:space="0" w:color="auto"/>
                      <w:bottom w:val="single" w:sz="4" w:space="0" w:color="auto"/>
                      <w:right w:val="single" w:sz="4" w:space="0" w:color="auto"/>
                    </w:tcBorders>
                    <w:vAlign w:val="center"/>
                  </w:tcPr>
                  <w:p w14:paraId="00F015EE" w14:textId="3287617B" w:rsidR="00D62131" w:rsidRPr="00D62131" w:rsidRDefault="00D62131" w:rsidP="00D62131">
                    <w:pPr>
                      <w:widowControl w:val="0"/>
                      <w:jc w:val="right"/>
                    </w:pPr>
                    <w:r w:rsidRPr="00D62131">
                      <w:rPr>
                        <w:rFonts w:hint="eastAsia"/>
                      </w:rPr>
                      <w:t>-</w:t>
                    </w:r>
                  </w:p>
                </w:tc>
                <w:tc>
                  <w:tcPr>
                    <w:tcW w:w="385" w:type="pct"/>
                    <w:tcBorders>
                      <w:top w:val="single" w:sz="4" w:space="0" w:color="auto"/>
                      <w:left w:val="single" w:sz="4" w:space="0" w:color="auto"/>
                      <w:bottom w:val="single" w:sz="4" w:space="0" w:color="auto"/>
                      <w:right w:val="single" w:sz="4" w:space="0" w:color="auto"/>
                    </w:tcBorders>
                    <w:vAlign w:val="center"/>
                  </w:tcPr>
                  <w:p w14:paraId="1586060F" w14:textId="0EB38201" w:rsidR="00D62131" w:rsidRPr="00D62131" w:rsidRDefault="00D62131" w:rsidP="00D62131">
                    <w:pPr>
                      <w:widowControl w:val="0"/>
                      <w:jc w:val="right"/>
                    </w:pPr>
                    <w:r w:rsidRPr="00D62131">
                      <w:rPr>
                        <w:rFonts w:hint="eastAsia"/>
                      </w:rPr>
                      <w:t>-</w:t>
                    </w:r>
                  </w:p>
                </w:tc>
                <w:tc>
                  <w:tcPr>
                    <w:tcW w:w="385" w:type="pct"/>
                    <w:tcBorders>
                      <w:top w:val="single" w:sz="4" w:space="0" w:color="auto"/>
                      <w:left w:val="single" w:sz="4" w:space="0" w:color="auto"/>
                      <w:bottom w:val="single" w:sz="4" w:space="0" w:color="auto"/>
                      <w:right w:val="single" w:sz="4" w:space="0" w:color="auto"/>
                    </w:tcBorders>
                    <w:vAlign w:val="center"/>
                  </w:tcPr>
                  <w:p w14:paraId="51A32293" w14:textId="178F1D6F" w:rsidR="00D62131" w:rsidRPr="00D62131" w:rsidRDefault="00D62131" w:rsidP="00D62131">
                    <w:pPr>
                      <w:widowControl w:val="0"/>
                      <w:jc w:val="right"/>
                    </w:pPr>
                    <w:r w:rsidRPr="00D62131">
                      <w:rPr>
                        <w:rFonts w:hint="eastAsia"/>
                      </w:rPr>
                      <w:t>-</w:t>
                    </w:r>
                  </w:p>
                </w:tc>
                <w:tc>
                  <w:tcPr>
                    <w:tcW w:w="385" w:type="pct"/>
                    <w:tcBorders>
                      <w:top w:val="single" w:sz="4" w:space="0" w:color="auto"/>
                      <w:left w:val="single" w:sz="4" w:space="0" w:color="auto"/>
                      <w:bottom w:val="single" w:sz="4" w:space="0" w:color="auto"/>
                      <w:right w:val="single" w:sz="4" w:space="0" w:color="auto"/>
                    </w:tcBorders>
                    <w:vAlign w:val="center"/>
                  </w:tcPr>
                  <w:p w14:paraId="7A723E6C" w14:textId="77777777" w:rsidR="00D62131" w:rsidRPr="00D62131" w:rsidRDefault="00D62131" w:rsidP="00D62131">
                    <w:pPr>
                      <w:widowControl w:val="0"/>
                      <w:jc w:val="right"/>
                    </w:pPr>
                    <w:r w:rsidRPr="00D62131">
                      <w:rPr>
                        <w:rFonts w:hint="eastAsia"/>
                      </w:rPr>
                      <w:t>1</w:t>
                    </w:r>
                    <w:r w:rsidRPr="00D62131">
                      <w:t>,021</w:t>
                    </w:r>
                  </w:p>
                </w:tc>
                <w:sdt>
                  <w:sdtPr>
                    <w:alias w:val="上市公司证券投资情况明细－会计核算科目"/>
                    <w:tag w:val="_GBC_414476e3ed004196953166bc33839d22"/>
                    <w:id w:val="-1335676590"/>
                    <w:lock w:val="sdtLocked"/>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EndPr/>
                  <w:sdtContent>
                    <w:tc>
                      <w:tcPr>
                        <w:tcW w:w="382" w:type="pct"/>
                        <w:shd w:val="clear" w:color="auto" w:fill="auto"/>
                        <w:vAlign w:val="center"/>
                      </w:tcPr>
                      <w:p w14:paraId="0BD1B5AA" w14:textId="2133136C" w:rsidR="00D62131" w:rsidRPr="00D62131" w:rsidRDefault="00D62131" w:rsidP="00D62131">
                        <w:pPr>
                          <w:widowControl w:val="0"/>
                          <w:jc w:val="center"/>
                        </w:pPr>
                        <w:r w:rsidRPr="00D62131">
                          <w:t>交易性金融资产</w:t>
                        </w:r>
                      </w:p>
                    </w:tc>
                  </w:sdtContent>
                </w:sdt>
              </w:tr>
            </w:sdtContent>
          </w:sdt>
          <w:sdt>
            <w:sdtPr>
              <w:alias w:val="上市公司证券投资情况明细"/>
              <w:tag w:val="_TUP_1485b4bf3970481a8d11a1b729aab90c"/>
              <w:id w:val="116570176"/>
              <w:lock w:val="sdtLocked"/>
              <w:placeholder>
                <w:docPart w:val="CD289B78920246359734D98A351594E8"/>
              </w:placeholder>
            </w:sdtPr>
            <w:sdtEndPr/>
            <w:sdtContent>
              <w:tr w:rsidR="00D62131" w:rsidRPr="00D62131" w14:paraId="240E971E" w14:textId="77777777" w:rsidTr="00D62131">
                <w:sdt>
                  <w:sdtPr>
                    <w:alias w:val="上市公司证券投资情况明细－证券品种"/>
                    <w:tag w:val="_GBC_da25a1f6f6b84402a355faf78614b543"/>
                    <w:id w:val="-463195379"/>
                    <w:lock w:val="sdtLocked"/>
                    <w:placeholder>
                      <w:docPart w:val="629FB9C6DD4D43E8B4D35B339CFCE035"/>
                    </w:placeholder>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EndPr/>
                  <w:sdtContent>
                    <w:tc>
                      <w:tcPr>
                        <w:tcW w:w="384" w:type="pct"/>
                        <w:shd w:val="clear" w:color="auto" w:fill="auto"/>
                        <w:vAlign w:val="center"/>
                      </w:tcPr>
                      <w:p w14:paraId="49D8AF39" w14:textId="5753550C" w:rsidR="00D62131" w:rsidRPr="00D62131" w:rsidRDefault="00D62131" w:rsidP="00D62131">
                        <w:pPr>
                          <w:widowControl w:val="0"/>
                          <w:jc w:val="both"/>
                        </w:pPr>
                        <w:r w:rsidRPr="00D62131">
                          <w:t>信托产品</w:t>
                        </w:r>
                      </w:p>
                    </w:tc>
                  </w:sdtContent>
                </w:sdt>
                <w:tc>
                  <w:tcPr>
                    <w:tcW w:w="385" w:type="pct"/>
                    <w:tcBorders>
                      <w:top w:val="single" w:sz="4" w:space="0" w:color="auto"/>
                      <w:left w:val="single" w:sz="4" w:space="0" w:color="auto"/>
                      <w:bottom w:val="single" w:sz="4" w:space="0" w:color="auto"/>
                      <w:right w:val="single" w:sz="4" w:space="0" w:color="auto"/>
                    </w:tcBorders>
                    <w:vAlign w:val="center"/>
                  </w:tcPr>
                  <w:p w14:paraId="18C70B2E" w14:textId="77777777" w:rsidR="00D62131" w:rsidRPr="00D62131" w:rsidRDefault="00D62131" w:rsidP="00D62131">
                    <w:pPr>
                      <w:widowControl w:val="0"/>
                      <w:jc w:val="center"/>
                    </w:pPr>
                    <w:r w:rsidRPr="00D62131">
                      <w:rPr>
                        <w:rFonts w:hint="eastAsia"/>
                      </w:rPr>
                      <w:t>-</w:t>
                    </w:r>
                  </w:p>
                </w:tc>
                <w:tc>
                  <w:tcPr>
                    <w:tcW w:w="385" w:type="pct"/>
                    <w:tcBorders>
                      <w:top w:val="single" w:sz="4" w:space="0" w:color="auto"/>
                      <w:left w:val="single" w:sz="4" w:space="0" w:color="auto"/>
                      <w:bottom w:val="single" w:sz="4" w:space="0" w:color="auto"/>
                      <w:right w:val="single" w:sz="4" w:space="0" w:color="auto"/>
                    </w:tcBorders>
                    <w:vAlign w:val="center"/>
                  </w:tcPr>
                  <w:p w14:paraId="2704A5A6" w14:textId="77777777" w:rsidR="00D62131" w:rsidRPr="00D62131" w:rsidRDefault="00D62131" w:rsidP="00D62131">
                    <w:pPr>
                      <w:widowControl w:val="0"/>
                      <w:jc w:val="center"/>
                    </w:pPr>
                    <w:r w:rsidRPr="00D62131">
                      <w:rPr>
                        <w:rFonts w:hint="eastAsia"/>
                      </w:rPr>
                      <w:t>建信信托-彩蝶6号财产权信托计划</w:t>
                    </w:r>
                  </w:p>
                </w:tc>
                <w:tc>
                  <w:tcPr>
                    <w:tcW w:w="385" w:type="pct"/>
                    <w:tcBorders>
                      <w:top w:val="single" w:sz="4" w:space="0" w:color="auto"/>
                      <w:left w:val="single" w:sz="4" w:space="0" w:color="auto"/>
                      <w:bottom w:val="single" w:sz="4" w:space="0" w:color="auto"/>
                      <w:right w:val="single" w:sz="4" w:space="0" w:color="auto"/>
                    </w:tcBorders>
                    <w:vAlign w:val="center"/>
                  </w:tcPr>
                  <w:p w14:paraId="7853A525" w14:textId="77777777" w:rsidR="00D62131" w:rsidRPr="00D62131" w:rsidRDefault="00D62131" w:rsidP="00D62131">
                    <w:pPr>
                      <w:widowControl w:val="0"/>
                      <w:jc w:val="right"/>
                    </w:pPr>
                    <w:r w:rsidRPr="00D62131">
                      <w:rPr>
                        <w:rFonts w:hint="eastAsia"/>
                      </w:rPr>
                      <w:t>4</w:t>
                    </w:r>
                    <w:r w:rsidRPr="00D62131">
                      <w:t>3,731</w:t>
                    </w:r>
                  </w:p>
                </w:tc>
                <w:tc>
                  <w:tcPr>
                    <w:tcW w:w="385" w:type="pct"/>
                    <w:tcBorders>
                      <w:top w:val="single" w:sz="4" w:space="0" w:color="auto"/>
                      <w:left w:val="single" w:sz="4" w:space="0" w:color="auto"/>
                      <w:bottom w:val="single" w:sz="4" w:space="0" w:color="auto"/>
                      <w:right w:val="single" w:sz="4" w:space="0" w:color="auto"/>
                    </w:tcBorders>
                    <w:vAlign w:val="center"/>
                  </w:tcPr>
                  <w:p w14:paraId="3BF38676" w14:textId="77777777" w:rsidR="00D62131" w:rsidRPr="00D62131" w:rsidRDefault="00D62131" w:rsidP="00D62131">
                    <w:pPr>
                      <w:widowControl w:val="0"/>
                      <w:jc w:val="center"/>
                    </w:pPr>
                    <w:r w:rsidRPr="00D62131">
                      <w:rPr>
                        <w:rFonts w:hint="eastAsia"/>
                      </w:rPr>
                      <w:t>债务重组</w:t>
                    </w:r>
                  </w:p>
                </w:tc>
                <w:tc>
                  <w:tcPr>
                    <w:tcW w:w="385" w:type="pct"/>
                    <w:tcBorders>
                      <w:top w:val="single" w:sz="4" w:space="0" w:color="auto"/>
                      <w:left w:val="single" w:sz="4" w:space="0" w:color="auto"/>
                      <w:bottom w:val="single" w:sz="4" w:space="0" w:color="auto"/>
                      <w:right w:val="single" w:sz="4" w:space="0" w:color="auto"/>
                    </w:tcBorders>
                    <w:vAlign w:val="center"/>
                  </w:tcPr>
                  <w:p w14:paraId="087A26D3" w14:textId="77777777" w:rsidR="00D62131" w:rsidRPr="00D62131" w:rsidRDefault="00D62131" w:rsidP="00D62131">
                    <w:pPr>
                      <w:widowControl w:val="0"/>
                      <w:jc w:val="right"/>
                    </w:pPr>
                    <w:r w:rsidRPr="00D62131">
                      <w:rPr>
                        <w:rFonts w:hint="eastAsia"/>
                      </w:rPr>
                      <w:t>7</w:t>
                    </w:r>
                    <w:r w:rsidRPr="00D62131">
                      <w:t>0,520</w:t>
                    </w:r>
                  </w:p>
                </w:tc>
                <w:tc>
                  <w:tcPr>
                    <w:tcW w:w="384" w:type="pct"/>
                    <w:tcBorders>
                      <w:top w:val="single" w:sz="4" w:space="0" w:color="auto"/>
                      <w:left w:val="single" w:sz="4" w:space="0" w:color="auto"/>
                      <w:bottom w:val="single" w:sz="4" w:space="0" w:color="auto"/>
                      <w:right w:val="single" w:sz="4" w:space="0" w:color="auto"/>
                    </w:tcBorders>
                    <w:vAlign w:val="center"/>
                  </w:tcPr>
                  <w:p w14:paraId="51302AD8" w14:textId="248DCF7A" w:rsidR="00D62131" w:rsidRPr="00D62131" w:rsidRDefault="00D62131" w:rsidP="00D62131">
                    <w:pPr>
                      <w:widowControl w:val="0"/>
                      <w:jc w:val="right"/>
                    </w:pPr>
                    <w:r w:rsidRPr="00D62131">
                      <w:rPr>
                        <w:rFonts w:hint="eastAsia"/>
                      </w:rPr>
                      <w:t>-</w:t>
                    </w:r>
                  </w:p>
                </w:tc>
                <w:tc>
                  <w:tcPr>
                    <w:tcW w:w="385" w:type="pct"/>
                    <w:tcBorders>
                      <w:top w:val="single" w:sz="4" w:space="0" w:color="auto"/>
                      <w:left w:val="single" w:sz="4" w:space="0" w:color="auto"/>
                      <w:bottom w:val="single" w:sz="4" w:space="0" w:color="auto"/>
                      <w:right w:val="single" w:sz="4" w:space="0" w:color="auto"/>
                    </w:tcBorders>
                    <w:vAlign w:val="center"/>
                  </w:tcPr>
                  <w:p w14:paraId="3FE8712B" w14:textId="6F5D518F" w:rsidR="00D62131" w:rsidRPr="00D62131" w:rsidRDefault="00D62131" w:rsidP="00D62131">
                    <w:pPr>
                      <w:widowControl w:val="0"/>
                      <w:jc w:val="right"/>
                    </w:pPr>
                    <w:r w:rsidRPr="00D62131">
                      <w:rPr>
                        <w:rFonts w:hint="eastAsia"/>
                      </w:rPr>
                      <w:t>-</w:t>
                    </w:r>
                  </w:p>
                </w:tc>
                <w:tc>
                  <w:tcPr>
                    <w:tcW w:w="385" w:type="pct"/>
                    <w:tcBorders>
                      <w:top w:val="single" w:sz="4" w:space="0" w:color="auto"/>
                      <w:left w:val="single" w:sz="4" w:space="0" w:color="auto"/>
                      <w:bottom w:val="single" w:sz="4" w:space="0" w:color="auto"/>
                      <w:right w:val="single" w:sz="4" w:space="0" w:color="auto"/>
                    </w:tcBorders>
                    <w:vAlign w:val="center"/>
                  </w:tcPr>
                  <w:p w14:paraId="534A4A26" w14:textId="6A0EDDC6" w:rsidR="00D62131" w:rsidRPr="00D62131" w:rsidRDefault="00D62131" w:rsidP="00D62131">
                    <w:pPr>
                      <w:widowControl w:val="0"/>
                      <w:jc w:val="right"/>
                    </w:pPr>
                    <w:r w:rsidRPr="00D62131">
                      <w:rPr>
                        <w:rFonts w:hint="eastAsia"/>
                      </w:rPr>
                      <w:t>-</w:t>
                    </w:r>
                  </w:p>
                </w:tc>
                <w:tc>
                  <w:tcPr>
                    <w:tcW w:w="385" w:type="pct"/>
                    <w:tcBorders>
                      <w:top w:val="single" w:sz="4" w:space="0" w:color="auto"/>
                      <w:left w:val="single" w:sz="4" w:space="0" w:color="auto"/>
                      <w:bottom w:val="single" w:sz="4" w:space="0" w:color="auto"/>
                      <w:right w:val="single" w:sz="4" w:space="0" w:color="auto"/>
                    </w:tcBorders>
                    <w:vAlign w:val="center"/>
                  </w:tcPr>
                  <w:p w14:paraId="640B713D" w14:textId="575ED476" w:rsidR="00D62131" w:rsidRPr="00D62131" w:rsidRDefault="00D62131" w:rsidP="00D62131">
                    <w:pPr>
                      <w:widowControl w:val="0"/>
                      <w:jc w:val="right"/>
                    </w:pPr>
                    <w:r w:rsidRPr="00D62131">
                      <w:rPr>
                        <w:rFonts w:hint="eastAsia"/>
                      </w:rPr>
                      <w:t>-</w:t>
                    </w:r>
                  </w:p>
                </w:tc>
                <w:tc>
                  <w:tcPr>
                    <w:tcW w:w="385" w:type="pct"/>
                    <w:tcBorders>
                      <w:top w:val="single" w:sz="4" w:space="0" w:color="auto"/>
                      <w:left w:val="single" w:sz="4" w:space="0" w:color="auto"/>
                      <w:bottom w:val="single" w:sz="4" w:space="0" w:color="auto"/>
                      <w:right w:val="single" w:sz="4" w:space="0" w:color="auto"/>
                    </w:tcBorders>
                    <w:vAlign w:val="center"/>
                  </w:tcPr>
                  <w:p w14:paraId="26041E68" w14:textId="6C09A368" w:rsidR="00D62131" w:rsidRPr="00D62131" w:rsidRDefault="00D62131" w:rsidP="00D62131">
                    <w:pPr>
                      <w:widowControl w:val="0"/>
                      <w:jc w:val="right"/>
                    </w:pPr>
                    <w:r w:rsidRPr="00D62131">
                      <w:rPr>
                        <w:rFonts w:hint="eastAsia"/>
                      </w:rPr>
                      <w:t>-</w:t>
                    </w:r>
                  </w:p>
                </w:tc>
                <w:tc>
                  <w:tcPr>
                    <w:tcW w:w="385" w:type="pct"/>
                    <w:tcBorders>
                      <w:top w:val="single" w:sz="4" w:space="0" w:color="auto"/>
                      <w:left w:val="single" w:sz="4" w:space="0" w:color="auto"/>
                      <w:bottom w:val="single" w:sz="4" w:space="0" w:color="auto"/>
                      <w:right w:val="single" w:sz="4" w:space="0" w:color="auto"/>
                    </w:tcBorders>
                    <w:vAlign w:val="center"/>
                  </w:tcPr>
                  <w:p w14:paraId="070F4F2E" w14:textId="77777777" w:rsidR="00D62131" w:rsidRPr="00D62131" w:rsidRDefault="00D62131" w:rsidP="00D62131">
                    <w:pPr>
                      <w:widowControl w:val="0"/>
                      <w:jc w:val="right"/>
                    </w:pPr>
                    <w:r w:rsidRPr="00D62131">
                      <w:t>70,520</w:t>
                    </w:r>
                  </w:p>
                </w:tc>
                <w:sdt>
                  <w:sdtPr>
                    <w:alias w:val="上市公司证券投资情况明细－会计核算科目"/>
                    <w:tag w:val="_GBC_414476e3ed004196953166bc33839d22"/>
                    <w:id w:val="-598491264"/>
                    <w:lock w:val="sdtLocked"/>
                    <w:placeholder>
                      <w:docPart w:val="3D0B5F110AD44536A28C3E9AF011EC35"/>
                    </w:placeholder>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EndPr/>
                  <w:sdtContent>
                    <w:tc>
                      <w:tcPr>
                        <w:tcW w:w="382" w:type="pct"/>
                        <w:shd w:val="clear" w:color="auto" w:fill="auto"/>
                        <w:vAlign w:val="center"/>
                      </w:tcPr>
                      <w:p w14:paraId="715D518E" w14:textId="1BDD70E3" w:rsidR="00D62131" w:rsidRPr="00D62131" w:rsidRDefault="00D62131" w:rsidP="00D62131">
                        <w:pPr>
                          <w:widowControl w:val="0"/>
                          <w:jc w:val="center"/>
                        </w:pPr>
                        <w:r w:rsidRPr="00D62131">
                          <w:t>其他权益工具投资</w:t>
                        </w:r>
                      </w:p>
                    </w:tc>
                  </w:sdtContent>
                </w:sdt>
              </w:tr>
            </w:sdtContent>
          </w:sdt>
          <w:tr w:rsidR="00D62131" w:rsidRPr="00D62131" w14:paraId="07B38AD7" w14:textId="77777777" w:rsidTr="00D62131">
            <w:tc>
              <w:tcPr>
                <w:tcW w:w="384" w:type="pct"/>
                <w:shd w:val="clear" w:color="auto" w:fill="auto"/>
              </w:tcPr>
              <w:sdt>
                <w:sdtPr>
                  <w:tag w:val="_PLD_8850a868dcb94ddf90f9ad83b5ab53b0"/>
                  <w:id w:val="-1034805814"/>
                  <w:lock w:val="sdtLocked"/>
                </w:sdtPr>
                <w:sdtEndPr/>
                <w:sdtContent>
                  <w:p w14:paraId="5EC82E57" w14:textId="77777777" w:rsidR="00D62131" w:rsidRPr="00D62131" w:rsidRDefault="00D62131" w:rsidP="00D62131">
                    <w:pPr>
                      <w:widowControl w:val="0"/>
                      <w:jc w:val="both"/>
                    </w:pPr>
                    <w:r w:rsidRPr="00D62131">
                      <w:t>合计</w:t>
                    </w:r>
                  </w:p>
                </w:sdtContent>
              </w:sdt>
            </w:tc>
            <w:tc>
              <w:tcPr>
                <w:tcW w:w="385" w:type="pct"/>
                <w:shd w:val="clear" w:color="auto" w:fill="auto"/>
                <w:vAlign w:val="center"/>
              </w:tcPr>
              <w:p w14:paraId="40A6B4A5" w14:textId="77777777" w:rsidR="00D62131" w:rsidRPr="00D62131" w:rsidRDefault="00D62131" w:rsidP="00D62131">
                <w:pPr>
                  <w:widowControl w:val="0"/>
                  <w:jc w:val="center"/>
                </w:pPr>
                <w:r w:rsidRPr="00D62131">
                  <w:rPr>
                    <w:rFonts w:hint="eastAsia"/>
                  </w:rPr>
                  <w:t>/</w:t>
                </w:r>
              </w:p>
            </w:tc>
            <w:tc>
              <w:tcPr>
                <w:tcW w:w="385" w:type="pct"/>
                <w:shd w:val="clear" w:color="auto" w:fill="auto"/>
                <w:vAlign w:val="center"/>
              </w:tcPr>
              <w:p w14:paraId="566CED24" w14:textId="77777777" w:rsidR="00D62131" w:rsidRPr="00D62131" w:rsidRDefault="00D62131" w:rsidP="00D62131">
                <w:pPr>
                  <w:widowControl w:val="0"/>
                  <w:jc w:val="center"/>
                </w:pPr>
                <w:r w:rsidRPr="00D62131">
                  <w:rPr>
                    <w:rFonts w:hint="eastAsia"/>
                  </w:rPr>
                  <w:t>/</w:t>
                </w:r>
              </w:p>
            </w:tc>
            <w:tc>
              <w:tcPr>
                <w:tcW w:w="385" w:type="pct"/>
                <w:shd w:val="clear" w:color="auto" w:fill="auto"/>
                <w:vAlign w:val="center"/>
              </w:tcPr>
              <w:p w14:paraId="2BD257B2" w14:textId="77777777" w:rsidR="00D62131" w:rsidRPr="00D62131" w:rsidRDefault="00D62131" w:rsidP="00D62131">
                <w:pPr>
                  <w:widowControl w:val="0"/>
                  <w:jc w:val="right"/>
                </w:pPr>
                <w:r w:rsidRPr="00D62131">
                  <w:t>48,820</w:t>
                </w:r>
              </w:p>
            </w:tc>
            <w:tc>
              <w:tcPr>
                <w:tcW w:w="385" w:type="pct"/>
                <w:shd w:val="clear" w:color="auto" w:fill="auto"/>
                <w:vAlign w:val="center"/>
              </w:tcPr>
              <w:p w14:paraId="3F7B046E" w14:textId="77777777" w:rsidR="00D62131" w:rsidRPr="00D62131" w:rsidRDefault="00D62131" w:rsidP="00D62131">
                <w:pPr>
                  <w:widowControl w:val="0"/>
                  <w:jc w:val="center"/>
                </w:pPr>
                <w:r w:rsidRPr="00D62131">
                  <w:rPr>
                    <w:rFonts w:hint="eastAsia"/>
                  </w:rPr>
                  <w:t>/</w:t>
                </w:r>
              </w:p>
            </w:tc>
            <w:tc>
              <w:tcPr>
                <w:tcW w:w="385" w:type="pct"/>
                <w:shd w:val="clear" w:color="auto" w:fill="auto"/>
                <w:vAlign w:val="center"/>
              </w:tcPr>
              <w:p w14:paraId="6D65D5B6" w14:textId="77777777" w:rsidR="00D62131" w:rsidRPr="00D62131" w:rsidRDefault="00D62131" w:rsidP="00D62131">
                <w:pPr>
                  <w:widowControl w:val="0"/>
                  <w:jc w:val="right"/>
                </w:pPr>
                <w:r w:rsidRPr="00D62131">
                  <w:t>72,398</w:t>
                </w:r>
              </w:p>
            </w:tc>
            <w:tc>
              <w:tcPr>
                <w:tcW w:w="384" w:type="pct"/>
                <w:shd w:val="clear" w:color="auto" w:fill="auto"/>
                <w:vAlign w:val="center"/>
              </w:tcPr>
              <w:p w14:paraId="76C49A94" w14:textId="77777777" w:rsidR="00D62131" w:rsidRPr="00D62131" w:rsidRDefault="00D62131" w:rsidP="00D62131">
                <w:pPr>
                  <w:widowControl w:val="0"/>
                  <w:jc w:val="right"/>
                </w:pPr>
                <w:r w:rsidRPr="00D62131">
                  <w:t>-192</w:t>
                </w:r>
              </w:p>
            </w:tc>
            <w:tc>
              <w:tcPr>
                <w:tcW w:w="385" w:type="pct"/>
                <w:shd w:val="clear" w:color="auto" w:fill="auto"/>
                <w:vAlign w:val="center"/>
              </w:tcPr>
              <w:p w14:paraId="6F6B1C85" w14:textId="77777777" w:rsidR="00D62131" w:rsidRPr="00D62131" w:rsidRDefault="00D62131" w:rsidP="00D62131">
                <w:pPr>
                  <w:widowControl w:val="0"/>
                  <w:jc w:val="right"/>
                </w:pPr>
                <w:r w:rsidRPr="00D62131">
                  <w:t>-57</w:t>
                </w:r>
              </w:p>
            </w:tc>
            <w:tc>
              <w:tcPr>
                <w:tcW w:w="385" w:type="pct"/>
                <w:shd w:val="clear" w:color="auto" w:fill="auto"/>
                <w:vAlign w:val="center"/>
              </w:tcPr>
              <w:p w14:paraId="7B3204C9" w14:textId="0F7A900F" w:rsidR="00D62131" w:rsidRPr="00D62131" w:rsidRDefault="00D62131" w:rsidP="00D62131">
                <w:pPr>
                  <w:widowControl w:val="0"/>
                  <w:jc w:val="right"/>
                </w:pPr>
                <w:r w:rsidRPr="00D62131">
                  <w:rPr>
                    <w:rFonts w:hint="eastAsia"/>
                  </w:rPr>
                  <w:t>-</w:t>
                </w:r>
              </w:p>
            </w:tc>
            <w:tc>
              <w:tcPr>
                <w:tcW w:w="385" w:type="pct"/>
                <w:shd w:val="clear" w:color="auto" w:fill="auto"/>
                <w:vAlign w:val="center"/>
              </w:tcPr>
              <w:p w14:paraId="48EE9791" w14:textId="6BF53DD4" w:rsidR="00D62131" w:rsidRPr="00D62131" w:rsidRDefault="00D62131" w:rsidP="00D62131">
                <w:pPr>
                  <w:widowControl w:val="0"/>
                  <w:jc w:val="right"/>
                </w:pPr>
                <w:r w:rsidRPr="00D62131">
                  <w:rPr>
                    <w:rFonts w:hint="eastAsia"/>
                  </w:rPr>
                  <w:t>-</w:t>
                </w:r>
              </w:p>
            </w:tc>
            <w:tc>
              <w:tcPr>
                <w:tcW w:w="385" w:type="pct"/>
                <w:shd w:val="clear" w:color="auto" w:fill="auto"/>
                <w:vAlign w:val="center"/>
              </w:tcPr>
              <w:p w14:paraId="04397BF5" w14:textId="3A51D890" w:rsidR="00D62131" w:rsidRPr="00D62131" w:rsidRDefault="00D62131" w:rsidP="00D62131">
                <w:pPr>
                  <w:widowControl w:val="0"/>
                  <w:jc w:val="right"/>
                </w:pPr>
                <w:r w:rsidRPr="00D62131">
                  <w:rPr>
                    <w:rFonts w:hint="eastAsia"/>
                  </w:rPr>
                  <w:t>-</w:t>
                </w:r>
              </w:p>
            </w:tc>
            <w:tc>
              <w:tcPr>
                <w:tcW w:w="385" w:type="pct"/>
                <w:shd w:val="clear" w:color="auto" w:fill="auto"/>
                <w:vAlign w:val="center"/>
              </w:tcPr>
              <w:p w14:paraId="2C551729" w14:textId="77777777" w:rsidR="00D62131" w:rsidRPr="00D62131" w:rsidRDefault="00D62131" w:rsidP="00D62131">
                <w:pPr>
                  <w:widowControl w:val="0"/>
                  <w:jc w:val="right"/>
                </w:pPr>
                <w:r w:rsidRPr="00D62131">
                  <w:t>72,149</w:t>
                </w:r>
              </w:p>
            </w:tc>
            <w:tc>
              <w:tcPr>
                <w:tcW w:w="382" w:type="pct"/>
                <w:shd w:val="clear" w:color="auto" w:fill="auto"/>
                <w:vAlign w:val="center"/>
              </w:tcPr>
              <w:sdt>
                <w:sdtPr>
                  <w:rPr>
                    <w:rFonts w:hint="eastAsia"/>
                  </w:rPr>
                  <w:tag w:val="_PLD_c43d371ee7f44aa7ac15e2d8f17bc3a6"/>
                  <w:id w:val="158511445"/>
                  <w:lock w:val="sdtLocked"/>
                </w:sdtPr>
                <w:sdtEndPr/>
                <w:sdtContent>
                  <w:p w14:paraId="5766395D" w14:textId="77777777" w:rsidR="00D62131" w:rsidRPr="00D62131" w:rsidRDefault="00D62131" w:rsidP="00D62131">
                    <w:pPr>
                      <w:widowControl w:val="0"/>
                      <w:jc w:val="center"/>
                    </w:pPr>
                    <w:r w:rsidRPr="00D62131">
                      <w:rPr>
                        <w:rFonts w:hint="eastAsia"/>
                      </w:rPr>
                      <w:t>/</w:t>
                    </w:r>
                  </w:p>
                </w:sdtContent>
              </w:sdt>
            </w:tc>
          </w:tr>
        </w:tbl>
        <w:p w14:paraId="0DE21CB8" w14:textId="77777777" w:rsidR="00B201D3" w:rsidRPr="006D4FBA" w:rsidRDefault="00C8327E">
          <w:pPr>
            <w:pStyle w:val="3903"/>
          </w:pPr>
        </w:p>
      </w:sdtContent>
    </w:sdt>
    <w:bookmarkEnd w:id="59" w:displacedByCustomXml="next"/>
    <w:bookmarkStart w:id="60" w:name="_Hlk137045755" w:displacedByCustomXml="next"/>
    <w:sdt>
      <w:sdtPr>
        <w:rPr>
          <w:rFonts w:hint="eastAsia"/>
        </w:rPr>
        <w:alias w:val="模块:证券投资情况的说明  "/>
        <w:tag w:val="_SEC_1fd1b5403f6b4f59b90a86c5afda2100"/>
        <w:id w:val="-1144188666"/>
        <w:lock w:val="sdtLocked"/>
        <w:placeholder>
          <w:docPart w:val="GBC22222222222222222222222222222"/>
        </w:placeholder>
      </w:sdtPr>
      <w:sdtEndPr>
        <w:rPr>
          <w:rFonts w:hint="default"/>
        </w:rPr>
      </w:sdtEndPr>
      <w:sdtContent>
        <w:p w14:paraId="367484AE" w14:textId="77777777" w:rsidR="00B201D3" w:rsidRPr="00D62131" w:rsidRDefault="009855E8">
          <w:r w:rsidRPr="00D62131">
            <w:rPr>
              <w:rFonts w:hint="eastAsia"/>
            </w:rPr>
            <w:t>证券投资情况的说明</w:t>
          </w:r>
        </w:p>
        <w:sdt>
          <w:sdtPr>
            <w:alias w:val="是否适用：证券投资情况的说明[双击切换]"/>
            <w:tag w:val="_GBC_8d1fa1a2f7a54e699abfdd630205bd35"/>
            <w:id w:val="-1039511316"/>
            <w:lock w:val="sdtLocked"/>
            <w:placeholder>
              <w:docPart w:val="GBC22222222222222222222222222222"/>
            </w:placeholder>
          </w:sdtPr>
          <w:sdtEndPr/>
          <w:sdtContent>
            <w:p w14:paraId="2F12C5C7" w14:textId="77777777" w:rsidR="00B201D3" w:rsidRPr="00D62131" w:rsidRDefault="009855E8">
              <w:r w:rsidRPr="00D62131">
                <w:fldChar w:fldCharType="begin"/>
              </w:r>
              <w:r w:rsidRPr="00D62131">
                <w:instrText xml:space="preserve"> MACROBUTTON  SnrToggleCheckbox □适用 </w:instrText>
              </w:r>
              <w:r w:rsidRPr="00D62131">
                <w:fldChar w:fldCharType="end"/>
              </w:r>
              <w:r w:rsidRPr="00D62131">
                <w:fldChar w:fldCharType="begin"/>
              </w:r>
              <w:r w:rsidRPr="00D62131">
                <w:instrText xml:space="preserve"> MACROBUTTON  SnrToggleCheckbox √不适用 </w:instrText>
              </w:r>
              <w:r w:rsidRPr="00D62131">
                <w:fldChar w:fldCharType="end"/>
              </w:r>
            </w:p>
          </w:sdtContent>
        </w:sdt>
        <w:p w14:paraId="7E3A3077" w14:textId="77777777" w:rsidR="00B201D3" w:rsidRPr="00D62131" w:rsidRDefault="00C8327E"/>
      </w:sdtContent>
    </w:sdt>
    <w:bookmarkStart w:id="61" w:name="_Hlk40534809" w:displacedByCustomXml="next"/>
    <w:sdt>
      <w:sdtPr>
        <w:rPr>
          <w:rFonts w:hint="eastAsia"/>
        </w:rPr>
        <w:alias w:val="模块:私募基金投资情况"/>
        <w:tag w:val="_SEC_1314f2a4c4444241bb2afb255168e300"/>
        <w:id w:val="1662041135"/>
        <w:lock w:val="sdtLocked"/>
        <w:placeholder>
          <w:docPart w:val="GBC22222222222222222222222222222"/>
        </w:placeholder>
      </w:sdtPr>
      <w:sdtEndPr/>
      <w:sdtContent>
        <w:p w14:paraId="196248E2" w14:textId="77777777" w:rsidR="00B201D3" w:rsidRPr="00D62131" w:rsidRDefault="009855E8">
          <w:r w:rsidRPr="00D62131">
            <w:rPr>
              <w:rFonts w:hint="eastAsia"/>
            </w:rPr>
            <w:t>私募基金投资情况</w:t>
          </w:r>
        </w:p>
        <w:sdt>
          <w:sdtPr>
            <w:alias w:val="是否适用：私募基金投资情况[双击切换]"/>
            <w:tag w:val="_GBC_56fccff6af834e4e8e9f8aea6f269d2f"/>
            <w:id w:val="1506013196"/>
            <w:lock w:val="sdtLocked"/>
            <w:placeholder>
              <w:docPart w:val="GBC22222222222222222222222222222"/>
            </w:placeholder>
          </w:sdtPr>
          <w:sdtEndPr/>
          <w:sdtContent>
            <w:p w14:paraId="6A92BF1F" w14:textId="77777777" w:rsidR="00B201D3" w:rsidRPr="00D62131" w:rsidRDefault="009855E8">
              <w:r w:rsidRPr="00D62131">
                <w:fldChar w:fldCharType="begin"/>
              </w:r>
              <w:r w:rsidRPr="00D62131">
                <w:instrText xml:space="preserve"> MACROBUTTON  SnrToggleCheckbox □适用 </w:instrText>
              </w:r>
              <w:r w:rsidRPr="00D62131">
                <w:fldChar w:fldCharType="end"/>
              </w:r>
              <w:r w:rsidRPr="00D62131">
                <w:fldChar w:fldCharType="begin"/>
              </w:r>
              <w:r w:rsidRPr="00D62131">
                <w:instrText xml:space="preserve"> MACROBUTTON  SnrToggleCheckbox √不适用 </w:instrText>
              </w:r>
              <w:r w:rsidRPr="00D62131">
                <w:fldChar w:fldCharType="end"/>
              </w:r>
            </w:p>
          </w:sdtContent>
        </w:sdt>
        <w:p w14:paraId="1ABAEADF" w14:textId="77777777" w:rsidR="00B201D3" w:rsidRPr="00D62131" w:rsidRDefault="00C8327E"/>
      </w:sdtContent>
    </w:sdt>
    <w:bookmarkEnd w:id="61" w:displacedByCustomXml="next"/>
    <w:sdt>
      <w:sdtPr>
        <w:rPr>
          <w:rFonts w:hint="eastAsia"/>
        </w:rPr>
        <w:alias w:val="模块:衍生品投资情况"/>
        <w:tag w:val="_SEC_c58f05384e954c5ea5ee6d64b1e9a529"/>
        <w:id w:val="-226682257"/>
        <w:lock w:val="sdtLocked"/>
        <w:placeholder>
          <w:docPart w:val="GBC22222222222222222222222222222"/>
        </w:placeholder>
      </w:sdtPr>
      <w:sdtEndPr>
        <w:rPr>
          <w:rFonts w:hint="default"/>
        </w:rPr>
      </w:sdtEndPr>
      <w:sdtContent>
        <w:p w14:paraId="0FD121FD" w14:textId="77777777" w:rsidR="00B201D3" w:rsidRPr="00D62131" w:rsidRDefault="009855E8">
          <w:r w:rsidRPr="00D62131">
            <w:rPr>
              <w:rFonts w:hint="eastAsia"/>
            </w:rPr>
            <w:t>衍生品投资情况</w:t>
          </w:r>
        </w:p>
        <w:sdt>
          <w:sdtPr>
            <w:rPr>
              <w:rFonts w:hint="eastAsia"/>
            </w:rPr>
            <w:alias w:val="是否适用：衍生品投资情况  [双击切换]"/>
            <w:tag w:val="_GBC_bfd154b38b804edbb19ff4896b6b9c42"/>
            <w:id w:val="-1259832069"/>
            <w:lock w:val="sdtLocked"/>
            <w:placeholder>
              <w:docPart w:val="GBC22222222222222222222222222222"/>
            </w:placeholder>
          </w:sdtPr>
          <w:sdtEndPr/>
          <w:sdtContent>
            <w:p w14:paraId="6511AA7E" w14:textId="77777777" w:rsidR="00B201D3" w:rsidRPr="00D62131" w:rsidRDefault="009855E8">
              <w:r w:rsidRPr="00D62131">
                <w:fldChar w:fldCharType="begin"/>
              </w:r>
              <w:r w:rsidRPr="00D62131">
                <w:instrText xml:space="preserve"> MACROBUTTON  SnrToggleCheckbox □适用 </w:instrText>
              </w:r>
              <w:r w:rsidRPr="00D62131">
                <w:fldChar w:fldCharType="end"/>
              </w:r>
              <w:r w:rsidRPr="00D62131">
                <w:fldChar w:fldCharType="begin"/>
              </w:r>
              <w:r w:rsidRPr="00D62131">
                <w:instrText xml:space="preserve"> MACROBUTTON  SnrToggleCheckbox √不适用 </w:instrText>
              </w:r>
              <w:r w:rsidRPr="00D62131">
                <w:fldChar w:fldCharType="end"/>
              </w:r>
            </w:p>
          </w:sdtContent>
        </w:sdt>
        <w:p w14:paraId="71C69DD4" w14:textId="77777777" w:rsidR="00B201D3" w:rsidRPr="006D4FBA" w:rsidRDefault="00C8327E">
          <w:pPr>
            <w:sectPr w:rsidR="00B201D3" w:rsidRPr="006D4FBA">
              <w:pgSz w:w="16838" w:h="11906" w:orient="landscape"/>
              <w:pgMar w:top="1797" w:right="1525" w:bottom="1276" w:left="1440" w:header="855" w:footer="992" w:gutter="0"/>
              <w:cols w:space="425"/>
              <w:docGrid w:linePitch="312"/>
            </w:sectPr>
          </w:pPr>
        </w:p>
      </w:sdtContent>
    </w:sdt>
    <w:bookmarkEnd w:id="60"/>
    <w:p w14:paraId="6BA1CA18" w14:textId="77777777" w:rsidR="00B201D3" w:rsidRPr="006D4FBA" w:rsidRDefault="00B201D3">
      <w:pPr>
        <w:pStyle w:val="3903"/>
      </w:pPr>
    </w:p>
    <w:sdt>
      <w:sdtPr>
        <w:rPr>
          <w:rFonts w:ascii="宋体" w:hAnsi="宋体" w:cs="宋体"/>
          <w:b w:val="0"/>
          <w:bCs w:val="0"/>
          <w:kern w:val="0"/>
          <w:szCs w:val="24"/>
        </w:rPr>
        <w:alias w:val="模块:重大资产和股权出售"/>
        <w:tag w:val="_SEC_04b9238e9d184f1bab78bd58a24f46ef"/>
        <w:id w:val="-1504351816"/>
        <w:lock w:val="sdtLocked"/>
        <w:placeholder>
          <w:docPart w:val="GBC22222222222222222222222222222"/>
        </w:placeholder>
      </w:sdtPr>
      <w:sdtEndPr>
        <w:rPr>
          <w:rFonts w:hint="eastAsia"/>
          <w:szCs w:val="21"/>
        </w:rPr>
      </w:sdtEndPr>
      <w:sdtContent>
        <w:p w14:paraId="38D2F321" w14:textId="77777777" w:rsidR="00B201D3" w:rsidRPr="006D4FBA" w:rsidRDefault="009855E8">
          <w:pPr>
            <w:pStyle w:val="3"/>
            <w:numPr>
              <w:ilvl w:val="0"/>
              <w:numId w:val="7"/>
            </w:numPr>
            <w:rPr>
              <w:rFonts w:ascii="宋体" w:hAnsi="宋体"/>
            </w:rPr>
          </w:pPr>
          <w:r w:rsidRPr="006D4FBA">
            <w:rPr>
              <w:rFonts w:ascii="宋体" w:hAnsi="宋体"/>
            </w:rPr>
            <w:t>重大资产和股权出售</w:t>
          </w:r>
        </w:p>
        <w:sdt>
          <w:sdtPr>
            <w:rPr>
              <w:rFonts w:hint="eastAsia"/>
            </w:rPr>
            <w:alias w:val="是否适用：重大资产和股权出售[双击切换]"/>
            <w:tag w:val="_GBC_f566f251245e49238092032f065852be"/>
            <w:id w:val="1668133727"/>
            <w:lock w:val="sdtLocked"/>
            <w:placeholder>
              <w:docPart w:val="GBC22222222222222222222222222222"/>
            </w:placeholder>
          </w:sdtPr>
          <w:sdtEndPr/>
          <w:sdtContent>
            <w:p w14:paraId="0FC60EEF" w14:textId="77777777" w:rsidR="00B201D3" w:rsidRPr="006D4FBA" w:rsidRDefault="009855E8">
              <w:pPr>
                <w:pStyle w:val="3903"/>
              </w:pPr>
              <w:r w:rsidRPr="006D4FBA">
                <w:fldChar w:fldCharType="begin"/>
              </w:r>
              <w:r w:rsidRPr="006D4FBA">
                <w:instrText xml:space="preserve"> MACROBUTTON  SnrToggleCheckbox □适用 </w:instrText>
              </w:r>
              <w:r w:rsidRPr="006D4FBA">
                <w:fldChar w:fldCharType="end"/>
              </w:r>
              <w:r w:rsidRPr="006D4FBA">
                <w:fldChar w:fldCharType="begin"/>
              </w:r>
              <w:r w:rsidRPr="006D4FBA">
                <w:instrText xml:space="preserve"> MACROBUTTON  SnrToggleCheckbox √不适用 </w:instrText>
              </w:r>
              <w:r w:rsidRPr="006D4FBA">
                <w:fldChar w:fldCharType="end"/>
              </w:r>
            </w:p>
          </w:sdtContent>
        </w:sdt>
      </w:sdtContent>
    </w:sdt>
    <w:p w14:paraId="3C37A76A" w14:textId="77777777" w:rsidR="00B201D3" w:rsidRPr="006D4FBA" w:rsidRDefault="00B201D3">
      <w:pPr>
        <w:pStyle w:val="3903"/>
      </w:pPr>
    </w:p>
    <w:sdt>
      <w:sdtPr>
        <w:rPr>
          <w:rFonts w:ascii="宋体" w:hAnsi="宋体" w:cs="宋体"/>
          <w:b w:val="0"/>
          <w:bCs w:val="0"/>
          <w:kern w:val="0"/>
          <w:szCs w:val="22"/>
        </w:rPr>
        <w:alias w:val="模块:主要控股参股公司分析"/>
        <w:tag w:val="_SEC_2a2bbe84e5b044d9b42284613cdb120d"/>
        <w:id w:val="666373702"/>
        <w:lock w:val="sdtLocked"/>
        <w:placeholder>
          <w:docPart w:val="GBC22222222222222222222222222222"/>
        </w:placeholder>
      </w:sdtPr>
      <w:sdtEndPr>
        <w:rPr>
          <w:rFonts w:hint="eastAsia"/>
          <w:szCs w:val="21"/>
        </w:rPr>
      </w:sdtEndPr>
      <w:sdtContent>
        <w:p w14:paraId="3E1E5703" w14:textId="77777777" w:rsidR="00B201D3" w:rsidRPr="006D4FBA" w:rsidRDefault="009855E8">
          <w:pPr>
            <w:pStyle w:val="3"/>
            <w:numPr>
              <w:ilvl w:val="0"/>
              <w:numId w:val="7"/>
            </w:numPr>
            <w:rPr>
              <w:rFonts w:ascii="宋体" w:hAnsi="宋体"/>
            </w:rPr>
          </w:pPr>
          <w:r w:rsidRPr="006D4FBA">
            <w:rPr>
              <w:rFonts w:ascii="宋体" w:hAnsi="宋体" w:hint="eastAsia"/>
            </w:rPr>
            <w:t>主要控股参股公司分析</w:t>
          </w:r>
        </w:p>
        <w:sdt>
          <w:sdtPr>
            <w:alias w:val="是否适用：主要控股参股公司分析[双击切换]"/>
            <w:tag w:val="_GBC_3f3bd67865a44413bcd1143c0df7558d"/>
            <w:id w:val="468335759"/>
            <w:lock w:val="sdtLocked"/>
            <w:placeholder>
              <w:docPart w:val="GBC22222222222222222222222222222"/>
            </w:placeholder>
          </w:sdtPr>
          <w:sdtEndPr/>
          <w:sdtContent>
            <w:p w14:paraId="2CFCEF33" w14:textId="77777777" w:rsidR="00B201D3" w:rsidRPr="006D4FBA" w:rsidRDefault="009855E8">
              <w:pPr>
                <w:pStyle w:val="3903"/>
              </w:pPr>
              <w:r w:rsidRPr="006D4FBA">
                <w:fldChar w:fldCharType="begin"/>
              </w:r>
              <w:r w:rsidRPr="006D4FBA">
                <w:instrText xml:space="preserve"> MACROBUTTON  SnrToggleCheckbox √适用 </w:instrText>
              </w:r>
              <w:r w:rsidRPr="006D4FBA">
                <w:fldChar w:fldCharType="end"/>
              </w:r>
              <w:r w:rsidRPr="006D4FBA">
                <w:fldChar w:fldCharType="begin"/>
              </w:r>
              <w:r w:rsidRPr="006D4FBA">
                <w:instrText xml:space="preserve"> MACROBUTTON  SnrToggleCheckbox □不适用 </w:instrText>
              </w:r>
              <w:r w:rsidRPr="006D4FBA">
                <w:fldChar w:fldCharType="end"/>
              </w:r>
            </w:p>
          </w:sdtContent>
        </w:sdt>
        <w:sdt>
          <w:sdtPr>
            <w:rPr>
              <w:rFonts w:hint="eastAsia"/>
            </w:rPr>
            <w:alias w:val="主要子公司、参股公司分析"/>
            <w:tag w:val="_GBC_839e73df2f5d460cbcde577c1623d15c"/>
            <w:id w:val="-2104253339"/>
            <w:lock w:val="sdtLocked"/>
            <w:placeholder>
              <w:docPart w:val="GBC22222222222222222222222222222"/>
            </w:placeholder>
          </w:sdtPr>
          <w:sdtEndPr/>
          <w:sdtContent>
            <w:p w14:paraId="7E713A96" w14:textId="77777777" w:rsidR="00B201D3" w:rsidRPr="006D4FBA" w:rsidRDefault="00B201D3">
              <w:pPr>
                <w:pStyle w:val="3903"/>
              </w:pPr>
            </w:p>
            <w:p w14:paraId="58E17C22" w14:textId="77777777" w:rsidR="00B201D3" w:rsidRPr="006D4FBA" w:rsidRDefault="009855E8">
              <w:pPr>
                <w:keepNext/>
                <w:keepLines/>
                <w:widowControl w:val="0"/>
                <w:numPr>
                  <w:ilvl w:val="0"/>
                  <w:numId w:val="15"/>
                </w:numPr>
                <w:spacing w:before="60" w:after="60"/>
                <w:jc w:val="both"/>
                <w:outlineLvl w:val="3"/>
                <w:rPr>
                  <w:rFonts w:cs="Times New Roman"/>
                  <w:b/>
                  <w:kern w:val="2"/>
                  <w:lang w:val="en-GB"/>
                </w:rPr>
              </w:pPr>
              <w:r w:rsidRPr="006D4FBA">
                <w:rPr>
                  <w:rFonts w:cs="Times New Roman" w:hint="eastAsia"/>
                  <w:b/>
                  <w:kern w:val="2"/>
                  <w:sz w:val="22"/>
                  <w:szCs w:val="28"/>
                  <w:lang w:val="en-GB"/>
                </w:rPr>
                <w:t>主</w:t>
              </w:r>
              <w:r w:rsidRPr="006D4FBA">
                <w:rPr>
                  <w:rFonts w:cs="Times New Roman" w:hint="eastAsia"/>
                  <w:b/>
                  <w:kern w:val="2"/>
                  <w:lang w:val="en-GB"/>
                </w:rPr>
                <w:t>要控股公司</w:t>
              </w:r>
            </w:p>
            <w:p w14:paraId="5D641711" w14:textId="77777777" w:rsidR="00B201D3" w:rsidRPr="006D4FBA" w:rsidRDefault="009855E8">
              <w:pPr>
                <w:spacing w:beforeLines="50" w:before="120" w:afterLines="50" w:after="120"/>
                <w:ind w:firstLineChars="200" w:firstLine="420"/>
                <w:rPr>
                  <w:rFonts w:cs="Times New Roman"/>
                  <w:lang w:val="en-GB"/>
                </w:rPr>
              </w:pPr>
              <w:r w:rsidRPr="006D4FBA">
                <w:rPr>
                  <w:rFonts w:cs="Times New Roman" w:hint="eastAsia"/>
                  <w:bCs/>
                  <w:lang w:val="en-GB"/>
                </w:rPr>
                <w:t>上半年对本集团归属于上市公司股东净利润影响较大的控股公司请见下表：</w:t>
              </w:r>
            </w:p>
            <w:p w14:paraId="63D5C489" w14:textId="77777777" w:rsidR="00B201D3" w:rsidRPr="006D4FBA" w:rsidRDefault="009855E8">
              <w:pPr>
                <w:ind w:firstLine="200"/>
                <w:jc w:val="right"/>
                <w:rPr>
                  <w:rFonts w:cs="Times New Roman"/>
                  <w:lang w:val="en-GB"/>
                </w:rPr>
              </w:pPr>
              <w:r w:rsidRPr="006D4FBA">
                <w:rPr>
                  <w:rFonts w:cs="Times New Roman" w:hint="eastAsia"/>
                  <w:bCs/>
                  <w:lang w:val="en-GB"/>
                </w:rPr>
                <w:t>单位：百万元</w:t>
              </w:r>
            </w:p>
            <w:tbl>
              <w:tblPr>
                <w:tblStyle w:val="g1011"/>
                <w:tblW w:w="8630" w:type="dxa"/>
                <w:jc w:val="center"/>
                <w:tblLook w:val="04A0" w:firstRow="1" w:lastRow="0" w:firstColumn="1" w:lastColumn="0" w:noHBand="0" w:noVBand="1"/>
              </w:tblPr>
              <w:tblGrid>
                <w:gridCol w:w="1742"/>
                <w:gridCol w:w="1912"/>
                <w:gridCol w:w="1581"/>
                <w:gridCol w:w="1581"/>
                <w:gridCol w:w="1814"/>
              </w:tblGrid>
              <w:tr w:rsidR="00B201D3" w:rsidRPr="006D4FBA" w14:paraId="286968E6" w14:textId="77777777">
                <w:trPr>
                  <w:trHeight w:val="289"/>
                  <w:jc w:val="center"/>
                </w:trPr>
                <w:tc>
                  <w:tcPr>
                    <w:tcW w:w="1742" w:type="dxa"/>
                    <w:vMerge w:val="restart"/>
                    <w:vAlign w:val="center"/>
                  </w:tcPr>
                  <w:p w14:paraId="1AE1A20D" w14:textId="77777777" w:rsidR="00B201D3" w:rsidRPr="006D4FBA" w:rsidRDefault="009855E8">
                    <w:pPr>
                      <w:ind w:firstLine="200"/>
                      <w:jc w:val="center"/>
                      <w:rPr>
                        <w:rFonts w:ascii="宋体" w:hAnsi="宋体"/>
                        <w:lang w:val="en-GB"/>
                      </w:rPr>
                    </w:pPr>
                    <w:bookmarkStart w:id="62" w:name="_Hlk16950576"/>
                    <w:r w:rsidRPr="006D4FBA">
                      <w:rPr>
                        <w:rFonts w:ascii="宋体" w:hAnsi="宋体" w:hint="eastAsia"/>
                        <w:lang w:val="en-GB"/>
                      </w:rPr>
                      <w:t>公司名称</w:t>
                    </w:r>
                  </w:p>
                </w:tc>
                <w:tc>
                  <w:tcPr>
                    <w:tcW w:w="1912" w:type="dxa"/>
                    <w:vMerge w:val="restart"/>
                    <w:vAlign w:val="center"/>
                  </w:tcPr>
                  <w:p w14:paraId="5D127DE0" w14:textId="77777777" w:rsidR="00B201D3" w:rsidRPr="006D4FBA" w:rsidRDefault="009855E8">
                    <w:pPr>
                      <w:ind w:firstLine="200"/>
                      <w:jc w:val="center"/>
                      <w:rPr>
                        <w:rFonts w:ascii="宋体" w:hAnsi="宋体"/>
                        <w:lang w:val="en-GB"/>
                      </w:rPr>
                    </w:pPr>
                    <w:r w:rsidRPr="006D4FBA">
                      <w:rPr>
                        <w:rFonts w:ascii="宋体" w:hAnsi="宋体" w:hint="eastAsia"/>
                        <w:lang w:val="en-GB"/>
                      </w:rPr>
                      <w:t>注册资本</w:t>
                    </w:r>
                  </w:p>
                </w:tc>
                <w:tc>
                  <w:tcPr>
                    <w:tcW w:w="3162" w:type="dxa"/>
                    <w:gridSpan w:val="2"/>
                    <w:vAlign w:val="center"/>
                  </w:tcPr>
                  <w:p w14:paraId="2973DA36" w14:textId="77777777" w:rsidR="00B201D3" w:rsidRPr="006D4FBA" w:rsidRDefault="009855E8">
                    <w:pPr>
                      <w:ind w:firstLine="200"/>
                      <w:jc w:val="center"/>
                      <w:rPr>
                        <w:rFonts w:ascii="宋体" w:hAnsi="宋体"/>
                        <w:lang w:val="en-GB"/>
                      </w:rPr>
                    </w:pPr>
                    <w:r w:rsidRPr="006D4FBA">
                      <w:rPr>
                        <w:rFonts w:ascii="宋体" w:hAnsi="宋体" w:hint="eastAsia"/>
                        <w:lang w:val="en-GB"/>
                      </w:rPr>
                      <w:t>202</w:t>
                    </w:r>
                    <w:r w:rsidRPr="006D4FBA">
                      <w:rPr>
                        <w:rFonts w:ascii="宋体" w:hAnsi="宋体"/>
                        <w:lang w:val="en-GB"/>
                      </w:rPr>
                      <w:t>3</w:t>
                    </w:r>
                    <w:r w:rsidRPr="006D4FBA">
                      <w:rPr>
                        <w:rFonts w:ascii="宋体" w:hAnsi="宋体" w:hint="eastAsia"/>
                        <w:lang w:val="en-GB"/>
                      </w:rPr>
                      <w:t>年6月30日</w:t>
                    </w:r>
                  </w:p>
                </w:tc>
                <w:tc>
                  <w:tcPr>
                    <w:tcW w:w="1814" w:type="dxa"/>
                    <w:vMerge w:val="restart"/>
                    <w:vAlign w:val="center"/>
                  </w:tcPr>
                  <w:p w14:paraId="5C87094E" w14:textId="77777777" w:rsidR="00B201D3" w:rsidRPr="006D4FBA" w:rsidRDefault="009855E8">
                    <w:pPr>
                      <w:ind w:firstLine="200"/>
                      <w:jc w:val="center"/>
                      <w:rPr>
                        <w:rFonts w:ascii="宋体" w:hAnsi="宋体"/>
                        <w:lang w:val="en-GB"/>
                      </w:rPr>
                    </w:pPr>
                    <w:r w:rsidRPr="006D4FBA">
                      <w:rPr>
                        <w:rFonts w:ascii="宋体" w:hAnsi="宋体" w:hint="eastAsia"/>
                        <w:lang w:val="en-GB"/>
                      </w:rPr>
                      <w:t>202</w:t>
                    </w:r>
                    <w:r w:rsidRPr="006D4FBA">
                      <w:rPr>
                        <w:rFonts w:ascii="宋体" w:hAnsi="宋体"/>
                        <w:lang w:val="en-GB"/>
                      </w:rPr>
                      <w:t>3</w:t>
                    </w:r>
                    <w:r w:rsidRPr="006D4FBA">
                      <w:rPr>
                        <w:rFonts w:ascii="宋体" w:hAnsi="宋体" w:hint="eastAsia"/>
                        <w:lang w:val="en-GB"/>
                      </w:rPr>
                      <w:t>年</w:t>
                    </w:r>
                  </w:p>
                  <w:p w14:paraId="437CDE50" w14:textId="77777777" w:rsidR="00B201D3" w:rsidRPr="006D4FBA" w:rsidRDefault="009855E8">
                    <w:pPr>
                      <w:ind w:firstLine="200"/>
                      <w:jc w:val="center"/>
                      <w:rPr>
                        <w:rFonts w:ascii="宋体" w:hAnsi="宋体"/>
                        <w:lang w:val="en-GB"/>
                      </w:rPr>
                    </w:pPr>
                    <w:r w:rsidRPr="006D4FBA">
                      <w:rPr>
                        <w:rFonts w:ascii="宋体" w:hAnsi="宋体" w:hint="eastAsia"/>
                        <w:lang w:val="en-GB"/>
                      </w:rPr>
                      <w:t>上半年净利润</w:t>
                    </w:r>
                  </w:p>
                </w:tc>
              </w:tr>
              <w:tr w:rsidR="00B201D3" w:rsidRPr="006D4FBA" w14:paraId="739321F8" w14:textId="77777777">
                <w:trPr>
                  <w:trHeight w:val="289"/>
                  <w:jc w:val="center"/>
                </w:trPr>
                <w:tc>
                  <w:tcPr>
                    <w:tcW w:w="0" w:type="auto"/>
                    <w:vMerge/>
                    <w:vAlign w:val="center"/>
                  </w:tcPr>
                  <w:p w14:paraId="6EE9FE1E" w14:textId="77777777" w:rsidR="00B201D3" w:rsidRPr="006D4FBA" w:rsidRDefault="00B201D3">
                    <w:pPr>
                      <w:rPr>
                        <w:rFonts w:ascii="宋体" w:hAnsi="宋体"/>
                        <w:lang w:val="en-GB"/>
                      </w:rPr>
                    </w:pPr>
                  </w:p>
                </w:tc>
                <w:tc>
                  <w:tcPr>
                    <w:tcW w:w="0" w:type="auto"/>
                    <w:vMerge/>
                    <w:vAlign w:val="center"/>
                  </w:tcPr>
                  <w:p w14:paraId="21C6B871" w14:textId="77777777" w:rsidR="00B201D3" w:rsidRPr="006D4FBA" w:rsidRDefault="00B201D3">
                    <w:pPr>
                      <w:rPr>
                        <w:rFonts w:ascii="宋体" w:hAnsi="宋体"/>
                        <w:lang w:val="en-GB"/>
                      </w:rPr>
                    </w:pPr>
                  </w:p>
                </w:tc>
                <w:tc>
                  <w:tcPr>
                    <w:tcW w:w="1581" w:type="dxa"/>
                    <w:vAlign w:val="center"/>
                  </w:tcPr>
                  <w:p w14:paraId="5F9E7E1F" w14:textId="77777777" w:rsidR="00B201D3" w:rsidRPr="006D4FBA" w:rsidRDefault="009855E8">
                    <w:pPr>
                      <w:ind w:firstLine="200"/>
                      <w:jc w:val="center"/>
                      <w:rPr>
                        <w:rFonts w:ascii="宋体" w:hAnsi="宋体"/>
                        <w:lang w:val="en-GB"/>
                      </w:rPr>
                    </w:pPr>
                    <w:r w:rsidRPr="006D4FBA">
                      <w:rPr>
                        <w:rFonts w:ascii="宋体" w:hAnsi="宋体" w:hint="eastAsia"/>
                        <w:lang w:val="en-GB"/>
                      </w:rPr>
                      <w:t>总资产</w:t>
                    </w:r>
                  </w:p>
                </w:tc>
                <w:tc>
                  <w:tcPr>
                    <w:tcW w:w="1581" w:type="dxa"/>
                    <w:vAlign w:val="center"/>
                  </w:tcPr>
                  <w:p w14:paraId="5E595881" w14:textId="77777777" w:rsidR="00B201D3" w:rsidRPr="006D4FBA" w:rsidRDefault="009855E8">
                    <w:pPr>
                      <w:ind w:firstLine="200"/>
                      <w:jc w:val="center"/>
                      <w:rPr>
                        <w:rFonts w:ascii="宋体" w:hAnsi="宋体"/>
                        <w:lang w:val="en-GB"/>
                      </w:rPr>
                    </w:pPr>
                    <w:r w:rsidRPr="006D4FBA">
                      <w:rPr>
                        <w:rFonts w:ascii="宋体" w:hAnsi="宋体" w:hint="eastAsia"/>
                        <w:lang w:val="en-GB"/>
                      </w:rPr>
                      <w:t>净资产</w:t>
                    </w:r>
                  </w:p>
                </w:tc>
                <w:tc>
                  <w:tcPr>
                    <w:tcW w:w="0" w:type="auto"/>
                    <w:vMerge/>
                    <w:vAlign w:val="center"/>
                  </w:tcPr>
                  <w:p w14:paraId="24A546A0" w14:textId="77777777" w:rsidR="00B201D3" w:rsidRPr="006D4FBA" w:rsidRDefault="00B201D3">
                    <w:pPr>
                      <w:rPr>
                        <w:rFonts w:ascii="宋体" w:hAnsi="宋体"/>
                        <w:lang w:val="en-GB"/>
                      </w:rPr>
                    </w:pPr>
                  </w:p>
                </w:tc>
              </w:tr>
              <w:tr w:rsidR="00B201D3" w:rsidRPr="006D4FBA" w14:paraId="7270CF0F" w14:textId="77777777">
                <w:trPr>
                  <w:trHeight w:val="289"/>
                  <w:jc w:val="center"/>
                </w:trPr>
                <w:tc>
                  <w:tcPr>
                    <w:tcW w:w="1742" w:type="dxa"/>
                    <w:shd w:val="clear" w:color="auto" w:fill="auto"/>
                    <w:vAlign w:val="center"/>
                  </w:tcPr>
                  <w:p w14:paraId="6E8B099F" w14:textId="77777777" w:rsidR="00B201D3" w:rsidRPr="006D4FBA" w:rsidRDefault="009855E8">
                    <w:pPr>
                      <w:ind w:firstLine="200"/>
                      <w:rPr>
                        <w:rFonts w:ascii="宋体" w:hAnsi="宋体"/>
                        <w:lang w:val="en-GB"/>
                      </w:rPr>
                    </w:pPr>
                    <w:r w:rsidRPr="006D4FBA">
                      <w:rPr>
                        <w:rFonts w:ascii="宋体" w:hAnsi="宋体" w:hint="eastAsia"/>
                      </w:rPr>
                      <w:t>未来能源</w:t>
                    </w:r>
                  </w:p>
                </w:tc>
                <w:tc>
                  <w:tcPr>
                    <w:tcW w:w="1912" w:type="dxa"/>
                    <w:vAlign w:val="center"/>
                  </w:tcPr>
                  <w:p w14:paraId="66FD1391" w14:textId="77777777" w:rsidR="00B201D3" w:rsidRPr="006D4FBA" w:rsidRDefault="009855E8">
                    <w:pPr>
                      <w:ind w:firstLine="200"/>
                      <w:jc w:val="right"/>
                      <w:rPr>
                        <w:rFonts w:ascii="宋体" w:hAnsi="宋体"/>
                      </w:rPr>
                    </w:pPr>
                    <w:r w:rsidRPr="006D4FBA">
                      <w:rPr>
                        <w:rFonts w:ascii="宋体" w:hAnsi="宋体"/>
                      </w:rPr>
                      <w:t>5,400</w:t>
                    </w:r>
                  </w:p>
                </w:tc>
                <w:tc>
                  <w:tcPr>
                    <w:tcW w:w="1581" w:type="dxa"/>
                    <w:vAlign w:val="center"/>
                  </w:tcPr>
                  <w:p w14:paraId="15E496CB" w14:textId="77777777" w:rsidR="00B201D3" w:rsidRPr="006D4FBA" w:rsidRDefault="009855E8">
                    <w:pPr>
                      <w:ind w:firstLine="200"/>
                      <w:jc w:val="right"/>
                      <w:rPr>
                        <w:rFonts w:ascii="宋体" w:hAnsi="宋体"/>
                      </w:rPr>
                    </w:pPr>
                    <w:r w:rsidRPr="006D4FBA">
                      <w:rPr>
                        <w:rFonts w:ascii="宋体" w:hAnsi="宋体"/>
                      </w:rPr>
                      <w:t xml:space="preserve">30,253 </w:t>
                    </w:r>
                  </w:p>
                </w:tc>
                <w:tc>
                  <w:tcPr>
                    <w:tcW w:w="1581" w:type="dxa"/>
                    <w:vAlign w:val="center"/>
                  </w:tcPr>
                  <w:p w14:paraId="7D79998C" w14:textId="77777777" w:rsidR="00B201D3" w:rsidRPr="006D4FBA" w:rsidRDefault="009855E8">
                    <w:pPr>
                      <w:ind w:firstLine="200"/>
                      <w:jc w:val="right"/>
                      <w:rPr>
                        <w:rFonts w:ascii="宋体" w:hAnsi="宋体"/>
                      </w:rPr>
                    </w:pPr>
                    <w:r w:rsidRPr="006D4FBA">
                      <w:rPr>
                        <w:rFonts w:ascii="宋体" w:hAnsi="宋体"/>
                      </w:rPr>
                      <w:t xml:space="preserve">22,527 </w:t>
                    </w:r>
                  </w:p>
                </w:tc>
                <w:tc>
                  <w:tcPr>
                    <w:tcW w:w="1814" w:type="dxa"/>
                    <w:vAlign w:val="center"/>
                  </w:tcPr>
                  <w:p w14:paraId="3D048BB7" w14:textId="77777777" w:rsidR="00B201D3" w:rsidRPr="006D4FBA" w:rsidRDefault="009855E8">
                    <w:pPr>
                      <w:ind w:firstLine="200"/>
                      <w:jc w:val="right"/>
                      <w:rPr>
                        <w:rFonts w:ascii="宋体" w:hAnsi="宋体"/>
                      </w:rPr>
                    </w:pPr>
                    <w:r w:rsidRPr="006D4FBA">
                      <w:rPr>
                        <w:rFonts w:ascii="宋体" w:hAnsi="宋体"/>
                      </w:rPr>
                      <w:t xml:space="preserve">2,923 </w:t>
                    </w:r>
                  </w:p>
                </w:tc>
              </w:tr>
              <w:tr w:rsidR="00B201D3" w:rsidRPr="006D4FBA" w14:paraId="5898D189" w14:textId="77777777">
                <w:trPr>
                  <w:trHeight w:val="289"/>
                  <w:jc w:val="center"/>
                </w:trPr>
                <w:tc>
                  <w:tcPr>
                    <w:tcW w:w="1742" w:type="dxa"/>
                    <w:shd w:val="clear" w:color="auto" w:fill="auto"/>
                    <w:vAlign w:val="center"/>
                  </w:tcPr>
                  <w:p w14:paraId="6CC45BA5" w14:textId="77777777" w:rsidR="00B201D3" w:rsidRPr="006D4FBA" w:rsidRDefault="009855E8">
                    <w:pPr>
                      <w:ind w:firstLine="200"/>
                      <w:rPr>
                        <w:rFonts w:ascii="宋体" w:hAnsi="宋体"/>
                      </w:rPr>
                    </w:pPr>
                    <w:r w:rsidRPr="006D4FBA">
                      <w:rPr>
                        <w:rFonts w:ascii="宋体" w:hAnsi="宋体" w:hint="eastAsia"/>
                      </w:rPr>
                      <w:t>兖煤澳洲</w:t>
                    </w:r>
                  </w:p>
                </w:tc>
                <w:tc>
                  <w:tcPr>
                    <w:tcW w:w="1912" w:type="dxa"/>
                    <w:vAlign w:val="center"/>
                  </w:tcPr>
                  <w:p w14:paraId="43FCCA0B" w14:textId="77777777" w:rsidR="00B201D3" w:rsidRPr="006D4FBA" w:rsidRDefault="009855E8">
                    <w:pPr>
                      <w:ind w:firstLine="200"/>
                      <w:jc w:val="right"/>
                      <w:rPr>
                        <w:rFonts w:ascii="宋体" w:hAnsi="宋体"/>
                      </w:rPr>
                    </w:pPr>
                    <w:r w:rsidRPr="006D4FBA">
                      <w:rPr>
                        <w:rFonts w:ascii="宋体" w:hAnsi="宋体"/>
                      </w:rPr>
                      <w:t>6,027百万澳元</w:t>
                    </w:r>
                  </w:p>
                </w:tc>
                <w:tc>
                  <w:tcPr>
                    <w:tcW w:w="1581" w:type="dxa"/>
                    <w:vAlign w:val="center"/>
                  </w:tcPr>
                  <w:p w14:paraId="53DFE0A3" w14:textId="77777777" w:rsidR="00B201D3" w:rsidRPr="006D4FBA" w:rsidRDefault="009855E8">
                    <w:pPr>
                      <w:ind w:firstLine="200"/>
                      <w:jc w:val="right"/>
                      <w:rPr>
                        <w:rFonts w:ascii="宋体" w:hAnsi="宋体"/>
                      </w:rPr>
                    </w:pPr>
                    <w:r w:rsidRPr="006D4FBA">
                      <w:rPr>
                        <w:rFonts w:ascii="宋体" w:hAnsi="宋体"/>
                      </w:rPr>
                      <w:t xml:space="preserve">52,294 </w:t>
                    </w:r>
                  </w:p>
                </w:tc>
                <w:tc>
                  <w:tcPr>
                    <w:tcW w:w="1581" w:type="dxa"/>
                    <w:vAlign w:val="center"/>
                  </w:tcPr>
                  <w:p w14:paraId="4EB9A27C" w14:textId="77777777" w:rsidR="00B201D3" w:rsidRPr="006D4FBA" w:rsidRDefault="009855E8">
                    <w:pPr>
                      <w:ind w:firstLine="200"/>
                      <w:jc w:val="right"/>
                      <w:rPr>
                        <w:rFonts w:ascii="宋体" w:hAnsi="宋体"/>
                      </w:rPr>
                    </w:pPr>
                    <w:r w:rsidRPr="006D4FBA">
                      <w:rPr>
                        <w:rFonts w:ascii="宋体" w:hAnsi="宋体"/>
                      </w:rPr>
                      <w:t xml:space="preserve">38,847 </w:t>
                    </w:r>
                  </w:p>
                </w:tc>
                <w:tc>
                  <w:tcPr>
                    <w:tcW w:w="1814" w:type="dxa"/>
                    <w:vAlign w:val="center"/>
                  </w:tcPr>
                  <w:p w14:paraId="429B3DA6" w14:textId="77777777" w:rsidR="00B201D3" w:rsidRPr="006D4FBA" w:rsidRDefault="009855E8">
                    <w:pPr>
                      <w:ind w:firstLine="200"/>
                      <w:jc w:val="right"/>
                      <w:rPr>
                        <w:rFonts w:ascii="宋体" w:hAnsi="宋体"/>
                      </w:rPr>
                    </w:pPr>
                    <w:r w:rsidRPr="006D4FBA">
                      <w:rPr>
                        <w:rFonts w:ascii="宋体" w:hAnsi="宋体"/>
                      </w:rPr>
                      <w:t xml:space="preserve">4,628 </w:t>
                    </w:r>
                  </w:p>
                </w:tc>
              </w:tr>
            </w:tbl>
            <w:bookmarkEnd w:id="62"/>
            <w:p w14:paraId="79AB5280" w14:textId="77777777" w:rsidR="00B201D3" w:rsidRPr="006D4FBA" w:rsidRDefault="009855E8">
              <w:pPr>
                <w:keepNext/>
                <w:keepLines/>
                <w:widowControl w:val="0"/>
                <w:spacing w:before="60" w:after="60"/>
                <w:ind w:left="198" w:firstLineChars="200" w:firstLine="420"/>
                <w:jc w:val="both"/>
                <w:outlineLvl w:val="3"/>
                <w:rPr>
                  <w:rFonts w:cs="Times New Roman"/>
                  <w:bCs/>
                  <w:kern w:val="2"/>
                  <w:lang w:val="en-GB"/>
                </w:rPr>
              </w:pPr>
              <w:r w:rsidRPr="006D4FBA">
                <w:rPr>
                  <w:rFonts w:cs="Times New Roman" w:hint="eastAsia"/>
                  <w:bCs/>
                  <w:kern w:val="2"/>
                  <w:lang w:val="en-GB"/>
                </w:rPr>
                <w:t>注：本集团主要控股子公司的主要业务、主要财务指标等相关资料请见按中国会计准则编制的财务报表附注“在其他主体中的权益</w:t>
              </w:r>
              <w:r w:rsidRPr="006D4FBA">
                <w:rPr>
                  <w:rFonts w:cs="Times New Roman" w:hint="eastAsia"/>
                  <w:b/>
                  <w:bCs/>
                  <w:lang w:val="en-GB"/>
                </w:rPr>
                <w:t>—</w:t>
              </w:r>
              <w:r w:rsidRPr="006D4FBA">
                <w:rPr>
                  <w:rFonts w:cs="Times New Roman" w:hint="eastAsia"/>
                  <w:bCs/>
                  <w:kern w:val="2"/>
                  <w:lang w:val="en-GB"/>
                </w:rPr>
                <w:t>在子公司中的权益”。</w:t>
              </w:r>
            </w:p>
            <w:p w14:paraId="3C89019F" w14:textId="77777777" w:rsidR="00B201D3" w:rsidRPr="006D4FBA" w:rsidRDefault="00B201D3">
              <w:pPr>
                <w:keepNext/>
                <w:keepLines/>
                <w:widowControl w:val="0"/>
                <w:spacing w:before="60" w:after="60"/>
                <w:ind w:left="198" w:firstLineChars="200" w:firstLine="420"/>
                <w:jc w:val="both"/>
                <w:rPr>
                  <w:rFonts w:cs="Times New Roman"/>
                  <w:bCs/>
                  <w:kern w:val="2"/>
                  <w:lang w:val="en-GB"/>
                </w:rPr>
              </w:pPr>
            </w:p>
            <w:p w14:paraId="6F0FF3D2" w14:textId="77777777" w:rsidR="00B201D3" w:rsidRPr="006D4FBA" w:rsidRDefault="009855E8">
              <w:pPr>
                <w:keepNext/>
                <w:keepLines/>
                <w:widowControl w:val="0"/>
                <w:spacing w:before="60" w:after="60"/>
                <w:ind w:left="198" w:firstLineChars="200" w:firstLine="420"/>
                <w:jc w:val="both"/>
                <w:rPr>
                  <w:rFonts w:cs="Times New Roman"/>
                  <w:bCs/>
                  <w:kern w:val="2"/>
                  <w:lang w:val="en-GB"/>
                </w:rPr>
              </w:pPr>
              <w:r w:rsidRPr="006D4FBA">
                <w:rPr>
                  <w:rFonts w:cs="Times New Roman" w:hint="eastAsia"/>
                  <w:bCs/>
                  <w:kern w:val="2"/>
                  <w:lang w:val="en-GB"/>
                </w:rPr>
                <w:t>上半年经营业绩同比出现大幅波动的主要控股公司如下：</w:t>
              </w:r>
            </w:p>
            <w:p w14:paraId="5209AEEE" w14:textId="77777777" w:rsidR="00B201D3" w:rsidRPr="006D4FBA" w:rsidRDefault="009855E8">
              <w:pPr>
                <w:keepNext/>
                <w:keepLines/>
                <w:widowControl w:val="0"/>
                <w:spacing w:before="60" w:after="60"/>
                <w:ind w:left="198" w:firstLineChars="200" w:firstLine="422"/>
                <w:jc w:val="both"/>
                <w:rPr>
                  <w:rFonts w:cs="Times New Roman"/>
                  <w:b/>
                  <w:kern w:val="2"/>
                  <w:lang w:val="en-GB"/>
                </w:rPr>
              </w:pPr>
              <w:bookmarkStart w:id="63" w:name="_Hlk142664895"/>
              <w:r w:rsidRPr="006D4FBA">
                <w:rPr>
                  <w:rFonts w:cs="Times New Roman" w:hint="eastAsia"/>
                  <w:b/>
                  <w:kern w:val="2"/>
                  <w:lang w:val="en-GB"/>
                </w:rPr>
                <w:t>鲁南化工</w:t>
              </w:r>
            </w:p>
            <w:p w14:paraId="5888D32D" w14:textId="77777777" w:rsidR="00B201D3" w:rsidRPr="006D4FBA" w:rsidRDefault="009855E8">
              <w:pPr>
                <w:keepNext/>
                <w:keepLines/>
                <w:widowControl w:val="0"/>
                <w:spacing w:before="60" w:after="60"/>
                <w:ind w:left="198" w:firstLineChars="200" w:firstLine="420"/>
                <w:jc w:val="both"/>
                <w:rPr>
                  <w:rFonts w:cs="Times New Roman"/>
                  <w:bCs/>
                  <w:kern w:val="2"/>
                  <w:lang w:val="en-GB"/>
                </w:rPr>
              </w:pPr>
              <w:r w:rsidRPr="006D4FBA">
                <w:rPr>
                  <w:rFonts w:cs="Times New Roman"/>
                  <w:bCs/>
                  <w:kern w:val="2"/>
                  <w:lang w:val="en-GB"/>
                </w:rPr>
                <w:t>2023年</w:t>
              </w:r>
              <w:r w:rsidRPr="006D4FBA">
                <w:rPr>
                  <w:rFonts w:cs="Times New Roman" w:hint="eastAsia"/>
                  <w:bCs/>
                  <w:kern w:val="2"/>
                  <w:lang w:val="en-GB"/>
                </w:rPr>
                <w:t>上半年</w:t>
              </w:r>
              <w:r w:rsidRPr="006D4FBA">
                <w:rPr>
                  <w:rFonts w:cs="Times New Roman"/>
                  <w:bCs/>
                  <w:kern w:val="2"/>
                  <w:lang w:val="en-GB"/>
                </w:rPr>
                <w:t>鲁南化工实现净利润0.25亿元,同比减少11.73亿元或97.9%，主要是由于：煤化工产</w:t>
              </w:r>
              <w:r w:rsidRPr="006D4FBA">
                <w:rPr>
                  <w:rFonts w:cs="Times New Roman" w:hint="eastAsia"/>
                  <w:bCs/>
                  <w:kern w:val="2"/>
                  <w:lang w:val="en-GB"/>
                </w:rPr>
                <w:t>品销售价格同比下降。</w:t>
              </w:r>
              <w:r w:rsidRPr="006D4FBA">
                <w:rPr>
                  <w:rFonts w:cs="Times New Roman"/>
                  <w:bCs/>
                  <w:kern w:val="2"/>
                  <w:lang w:val="en-GB"/>
                </w:rPr>
                <w:cr/>
              </w:r>
            </w:p>
            <w:p w14:paraId="141A42B6" w14:textId="77777777" w:rsidR="00B201D3" w:rsidRPr="006D4FBA" w:rsidRDefault="009855E8">
              <w:pPr>
                <w:keepNext/>
                <w:keepLines/>
                <w:widowControl w:val="0"/>
                <w:spacing w:before="60" w:after="60"/>
                <w:ind w:left="198" w:firstLineChars="200" w:firstLine="422"/>
                <w:jc w:val="both"/>
                <w:rPr>
                  <w:rFonts w:cs="Times New Roman"/>
                  <w:b/>
                  <w:kern w:val="2"/>
                  <w:lang w:val="en-GB"/>
                </w:rPr>
              </w:pPr>
              <w:r w:rsidRPr="006D4FBA">
                <w:rPr>
                  <w:rFonts w:cs="Times New Roman" w:hint="eastAsia"/>
                  <w:b/>
                  <w:kern w:val="2"/>
                  <w:lang w:val="en-GB"/>
                </w:rPr>
                <w:t>鄂尔多斯公司</w:t>
              </w:r>
            </w:p>
            <w:p w14:paraId="4E7E0008" w14:textId="7880C6CB" w:rsidR="00B201D3" w:rsidRPr="006D4FBA" w:rsidRDefault="009855E8">
              <w:pPr>
                <w:keepNext/>
                <w:keepLines/>
                <w:widowControl w:val="0"/>
                <w:spacing w:before="60" w:after="60"/>
                <w:ind w:left="198" w:firstLineChars="200" w:firstLine="420"/>
                <w:jc w:val="both"/>
                <w:rPr>
                  <w:rFonts w:cs="Times New Roman"/>
                  <w:bCs/>
                  <w:kern w:val="2"/>
                  <w:lang w:val="en-GB"/>
                </w:rPr>
              </w:pPr>
              <w:r w:rsidRPr="006D4FBA">
                <w:rPr>
                  <w:rFonts w:cs="Times New Roman"/>
                  <w:bCs/>
                  <w:kern w:val="2"/>
                  <w:lang w:val="en-GB"/>
                </w:rPr>
                <w:t>2023年</w:t>
              </w:r>
              <w:r w:rsidR="00B26B07" w:rsidRPr="006D4FBA">
                <w:rPr>
                  <w:rFonts w:cs="Times New Roman" w:hint="eastAsia"/>
                  <w:bCs/>
                  <w:kern w:val="2"/>
                  <w:lang w:val="en-GB"/>
                </w:rPr>
                <w:t>上半年</w:t>
              </w:r>
              <w:r w:rsidRPr="006D4FBA">
                <w:rPr>
                  <w:rFonts w:cs="Times New Roman" w:hint="eastAsia"/>
                  <w:bCs/>
                  <w:kern w:val="2"/>
                  <w:lang w:val="en-GB"/>
                </w:rPr>
                <w:t>鄂尔多斯公司</w:t>
              </w:r>
              <w:r w:rsidRPr="006D4FBA">
                <w:rPr>
                  <w:rFonts w:cs="Times New Roman"/>
                  <w:bCs/>
                  <w:kern w:val="2"/>
                  <w:lang w:val="en-GB"/>
                </w:rPr>
                <w:t>实现净利润7.60亿元,同比减少9.78亿元或56.3%，主要是由于：</w:t>
              </w:r>
              <w:r w:rsidRPr="006D4FBA">
                <w:rPr>
                  <w:rFonts w:cs="Times New Roman" w:hint="eastAsia"/>
                  <w:bCs/>
                  <w:kern w:val="2"/>
                  <w:lang w:val="en-GB"/>
                </w:rPr>
                <w:t>煤炭及</w:t>
              </w:r>
              <w:r w:rsidRPr="006D4FBA">
                <w:rPr>
                  <w:rFonts w:cs="Times New Roman"/>
                  <w:bCs/>
                  <w:kern w:val="2"/>
                  <w:lang w:val="en-GB"/>
                </w:rPr>
                <w:t>煤化工产</w:t>
              </w:r>
              <w:r w:rsidRPr="006D4FBA">
                <w:rPr>
                  <w:rFonts w:cs="Times New Roman" w:hint="eastAsia"/>
                  <w:bCs/>
                  <w:kern w:val="2"/>
                  <w:lang w:val="en-GB"/>
                </w:rPr>
                <w:t>品销售价格同比下降。</w:t>
              </w:r>
            </w:p>
            <w:p w14:paraId="52D40A6C" w14:textId="77777777" w:rsidR="00B201D3" w:rsidRPr="006D4FBA" w:rsidRDefault="00B201D3">
              <w:pPr>
                <w:keepNext/>
                <w:keepLines/>
                <w:widowControl w:val="0"/>
                <w:spacing w:before="60" w:after="60"/>
                <w:ind w:left="198" w:firstLineChars="200" w:firstLine="422"/>
                <w:jc w:val="both"/>
                <w:rPr>
                  <w:rFonts w:cs="Times New Roman"/>
                  <w:b/>
                  <w:kern w:val="2"/>
                  <w:lang w:val="en-GB"/>
                </w:rPr>
              </w:pPr>
            </w:p>
            <w:p w14:paraId="2BA0B112" w14:textId="77777777" w:rsidR="00B201D3" w:rsidRPr="006D4FBA" w:rsidRDefault="009855E8">
              <w:pPr>
                <w:keepNext/>
                <w:keepLines/>
                <w:widowControl w:val="0"/>
                <w:spacing w:before="60" w:after="60"/>
                <w:ind w:left="198" w:firstLineChars="200" w:firstLine="422"/>
                <w:jc w:val="both"/>
                <w:rPr>
                  <w:rFonts w:cs="Times New Roman"/>
                  <w:b/>
                  <w:kern w:val="2"/>
                  <w:lang w:val="en-GB"/>
                </w:rPr>
              </w:pPr>
              <w:r w:rsidRPr="006D4FBA">
                <w:rPr>
                  <w:rFonts w:cs="Times New Roman" w:hint="eastAsia"/>
                  <w:b/>
                  <w:kern w:val="2"/>
                  <w:lang w:val="en-GB"/>
                </w:rPr>
                <w:t>兖煤澳洲</w:t>
              </w:r>
            </w:p>
            <w:p w14:paraId="4EB5BF3A" w14:textId="77777777" w:rsidR="00B201D3" w:rsidRPr="006D4FBA" w:rsidRDefault="009855E8">
              <w:pPr>
                <w:keepNext/>
                <w:keepLines/>
                <w:widowControl w:val="0"/>
                <w:spacing w:before="60" w:after="60"/>
                <w:ind w:left="198" w:firstLineChars="200" w:firstLine="420"/>
                <w:jc w:val="both"/>
                <w:rPr>
                  <w:rFonts w:cs="Times New Roman"/>
                  <w:bCs/>
                  <w:kern w:val="2"/>
                  <w:lang w:val="en-GB"/>
                </w:rPr>
              </w:pPr>
              <w:r w:rsidRPr="006D4FBA">
                <w:rPr>
                  <w:rFonts w:cs="Times New Roman"/>
                  <w:bCs/>
                  <w:kern w:val="2"/>
                  <w:lang w:val="en-GB"/>
                </w:rPr>
                <w:t>2023年</w:t>
              </w:r>
              <w:r w:rsidRPr="006D4FBA">
                <w:rPr>
                  <w:rFonts w:cs="Times New Roman" w:hint="eastAsia"/>
                  <w:bCs/>
                  <w:kern w:val="2"/>
                  <w:lang w:val="en-GB"/>
                </w:rPr>
                <w:t>上半年兖煤澳洲</w:t>
              </w:r>
              <w:r w:rsidRPr="006D4FBA">
                <w:rPr>
                  <w:rFonts w:cs="Times New Roman"/>
                  <w:bCs/>
                  <w:kern w:val="2"/>
                  <w:lang w:val="en-GB"/>
                </w:rPr>
                <w:t>实现净利润46.28亿元,同比减少34.05亿元或42.4%，主要是由于：</w:t>
              </w:r>
              <w:r w:rsidRPr="006D4FBA">
                <w:rPr>
                  <w:rFonts w:cs="Times New Roman" w:hint="eastAsia"/>
                  <w:bCs/>
                  <w:kern w:val="2"/>
                  <w:lang w:val="en-GB"/>
                </w:rPr>
                <w:t>煤炭</w:t>
              </w:r>
              <w:r w:rsidRPr="006D4FBA">
                <w:rPr>
                  <w:rFonts w:cs="Times New Roman"/>
                  <w:bCs/>
                  <w:kern w:val="2"/>
                  <w:lang w:val="en-GB"/>
                </w:rPr>
                <w:t>产</w:t>
              </w:r>
              <w:r w:rsidRPr="006D4FBA">
                <w:rPr>
                  <w:rFonts w:cs="Times New Roman" w:hint="eastAsia"/>
                  <w:bCs/>
                  <w:kern w:val="2"/>
                  <w:lang w:val="en-GB"/>
                </w:rPr>
                <w:t>品销售价格同比下降。</w:t>
              </w:r>
            </w:p>
            <w:bookmarkEnd w:id="63"/>
            <w:p w14:paraId="2D75FD0C" w14:textId="77777777" w:rsidR="00B201D3" w:rsidRPr="006D4FBA" w:rsidRDefault="00B201D3">
              <w:pPr>
                <w:keepNext/>
                <w:keepLines/>
                <w:widowControl w:val="0"/>
                <w:spacing w:before="60" w:after="60"/>
                <w:ind w:left="198" w:firstLineChars="200" w:firstLine="420"/>
                <w:jc w:val="both"/>
                <w:rPr>
                  <w:rFonts w:cs="Times New Roman"/>
                  <w:bCs/>
                  <w:kern w:val="2"/>
                  <w:lang w:val="en-GB"/>
                </w:rPr>
              </w:pPr>
            </w:p>
            <w:p w14:paraId="22797B32" w14:textId="77777777" w:rsidR="00B201D3" w:rsidRPr="006D4FBA" w:rsidRDefault="009855E8">
              <w:pPr>
                <w:keepNext/>
                <w:keepLines/>
                <w:widowControl w:val="0"/>
                <w:numPr>
                  <w:ilvl w:val="0"/>
                  <w:numId w:val="15"/>
                </w:numPr>
                <w:spacing w:before="60" w:after="60"/>
                <w:jc w:val="both"/>
                <w:outlineLvl w:val="3"/>
                <w:rPr>
                  <w:rFonts w:cs="Times New Roman"/>
                  <w:b/>
                  <w:bCs/>
                  <w:kern w:val="2"/>
                  <w:lang w:val="en-GB"/>
                </w:rPr>
              </w:pPr>
              <w:r w:rsidRPr="006D4FBA">
                <w:rPr>
                  <w:rFonts w:cs="Times New Roman" w:hint="eastAsia"/>
                  <w:b/>
                  <w:bCs/>
                  <w:kern w:val="2"/>
                  <w:lang w:val="en-GB"/>
                </w:rPr>
                <w:t>主要参股公司</w:t>
              </w:r>
            </w:p>
            <w:p w14:paraId="2977EBBB" w14:textId="77777777" w:rsidR="00B201D3" w:rsidRPr="006D4FBA" w:rsidRDefault="009855E8">
              <w:pPr>
                <w:ind w:firstLineChars="200" w:firstLine="420"/>
                <w:rPr>
                  <w:rFonts w:cs="Times New Roman"/>
                  <w:lang w:val="en-GB"/>
                </w:rPr>
              </w:pPr>
              <w:r w:rsidRPr="006D4FBA">
                <w:rPr>
                  <w:rFonts w:cs="Times New Roman" w:hint="eastAsia"/>
                  <w:bCs/>
                  <w:lang w:val="en-GB"/>
                </w:rPr>
                <w:t>本集团主要参股公司的主要业务、主要财务指标等相关资料请见按中国会计准则编制的财务报表附注“在其他主体中的权益—在合营企业或联营企业中的权益”。</w:t>
              </w:r>
            </w:p>
            <w:p w14:paraId="789B321B" w14:textId="77777777" w:rsidR="00B201D3" w:rsidRPr="006D4FBA" w:rsidRDefault="00B201D3">
              <w:pPr>
                <w:ind w:firstLineChars="200" w:firstLine="420"/>
                <w:rPr>
                  <w:rFonts w:cs="Times New Roman"/>
                  <w:lang w:val="en-GB"/>
                </w:rPr>
              </w:pPr>
            </w:p>
            <w:p w14:paraId="74DE3974" w14:textId="77777777" w:rsidR="00B201D3" w:rsidRPr="006D4FBA" w:rsidRDefault="009855E8">
              <w:pPr>
                <w:keepNext/>
                <w:keepLines/>
                <w:widowControl w:val="0"/>
                <w:numPr>
                  <w:ilvl w:val="0"/>
                  <w:numId w:val="15"/>
                </w:numPr>
                <w:spacing w:before="60" w:after="60"/>
                <w:jc w:val="both"/>
                <w:outlineLvl w:val="3"/>
                <w:rPr>
                  <w:rFonts w:cs="Times New Roman"/>
                  <w:b/>
                  <w:bCs/>
                  <w:kern w:val="2"/>
                  <w:lang w:val="en-GB"/>
                </w:rPr>
              </w:pPr>
              <w:bookmarkStart w:id="64" w:name="_Hlk521417530"/>
              <w:bookmarkStart w:id="65" w:name="_Hlk109122558"/>
              <w:r w:rsidRPr="006D4FBA">
                <w:rPr>
                  <w:rFonts w:cs="Times New Roman" w:hint="eastAsia"/>
                  <w:b/>
                  <w:bCs/>
                  <w:kern w:val="2"/>
                  <w:lang w:val="en-GB"/>
                </w:rPr>
                <w:t>兖矿财司经营情况</w:t>
              </w:r>
            </w:p>
            <w:p w14:paraId="0C4F1CE4" w14:textId="77777777" w:rsidR="00B201D3" w:rsidRPr="006D4FBA" w:rsidRDefault="009855E8">
              <w:pPr>
                <w:ind w:firstLineChars="200" w:firstLine="420"/>
                <w:rPr>
                  <w:rFonts w:cs="Times New Roman"/>
                  <w:bCs/>
                  <w:lang w:val="en-GB"/>
                </w:rPr>
              </w:pPr>
              <w:r w:rsidRPr="006D4FBA">
                <w:rPr>
                  <w:rFonts w:cs="Times New Roman" w:hint="eastAsia"/>
                  <w:bCs/>
                  <w:lang w:val="en-GB"/>
                </w:rPr>
                <w:t>截至报告期末，本公司持有兖矿财司95%股权。</w:t>
              </w:r>
            </w:p>
            <w:p w14:paraId="52141325" w14:textId="77777777" w:rsidR="00B201D3" w:rsidRPr="006D4FBA" w:rsidRDefault="009855E8">
              <w:pPr>
                <w:ind w:firstLineChars="200" w:firstLine="420"/>
                <w:rPr>
                  <w:rFonts w:cs="Times New Roman"/>
                  <w:bCs/>
                  <w:lang w:val="en-GB"/>
                </w:rPr>
              </w:pPr>
              <w:r w:rsidRPr="006D4FBA">
                <w:rPr>
                  <w:rFonts w:cs="Times New Roman" w:hint="eastAsia"/>
                  <w:bCs/>
                  <w:lang w:val="en-GB"/>
                </w:rPr>
                <w:t>（1）报告期内兖矿财司存贷款余额情况</w:t>
              </w:r>
            </w:p>
            <w:p w14:paraId="672F54BF" w14:textId="77777777" w:rsidR="00B201D3" w:rsidRPr="006D4FBA" w:rsidRDefault="009855E8">
              <w:pPr>
                <w:ind w:leftChars="2964" w:left="6224" w:right="420" w:firstLineChars="200" w:firstLine="420"/>
                <w:rPr>
                  <w:rFonts w:cs="Times New Roman"/>
                  <w:lang w:val="en-GB"/>
                </w:rPr>
              </w:pPr>
              <w:r w:rsidRPr="006D4FBA">
                <w:rPr>
                  <w:rFonts w:cs="Times New Roman" w:hint="eastAsia"/>
                  <w:bCs/>
                  <w:lang w:val="en-GB"/>
                </w:rPr>
                <w:t>单位：百万元</w:t>
              </w:r>
            </w:p>
            <w:tbl>
              <w:tblPr>
                <w:tblStyle w:val="3a"/>
                <w:tblW w:w="0" w:type="auto"/>
                <w:jc w:val="center"/>
                <w:tblLook w:val="04A0" w:firstRow="1" w:lastRow="0" w:firstColumn="1" w:lastColumn="0" w:noHBand="0" w:noVBand="1"/>
              </w:tblPr>
              <w:tblGrid>
                <w:gridCol w:w="1818"/>
                <w:gridCol w:w="2166"/>
                <w:gridCol w:w="1984"/>
                <w:gridCol w:w="2043"/>
              </w:tblGrid>
              <w:tr w:rsidR="00B201D3" w:rsidRPr="006D4FBA" w14:paraId="363DFC18" w14:textId="77777777">
                <w:trPr>
                  <w:jc w:val="center"/>
                </w:trPr>
                <w:tc>
                  <w:tcPr>
                    <w:tcW w:w="1818" w:type="dxa"/>
                    <w:tcBorders>
                      <w:top w:val="single" w:sz="4" w:space="0" w:color="auto"/>
                      <w:left w:val="single" w:sz="4" w:space="0" w:color="auto"/>
                      <w:bottom w:val="single" w:sz="4" w:space="0" w:color="auto"/>
                      <w:right w:val="single" w:sz="4" w:space="0" w:color="auto"/>
                    </w:tcBorders>
                  </w:tcPr>
                  <w:p w14:paraId="1DD30937" w14:textId="77777777" w:rsidR="00B201D3" w:rsidRPr="006D4FBA" w:rsidRDefault="00B201D3">
                    <w:pPr>
                      <w:rPr>
                        <w:rFonts w:ascii="宋体" w:hAnsi="宋体"/>
                        <w:lang w:val="en-GB"/>
                      </w:rPr>
                    </w:pPr>
                    <w:bookmarkStart w:id="66" w:name="_Hlk505875140"/>
                  </w:p>
                </w:tc>
                <w:tc>
                  <w:tcPr>
                    <w:tcW w:w="2166" w:type="dxa"/>
                    <w:tcBorders>
                      <w:top w:val="single" w:sz="4" w:space="0" w:color="auto"/>
                      <w:left w:val="single" w:sz="4" w:space="0" w:color="auto"/>
                      <w:bottom w:val="single" w:sz="4" w:space="0" w:color="auto"/>
                      <w:right w:val="single" w:sz="4" w:space="0" w:color="auto"/>
                    </w:tcBorders>
                  </w:tcPr>
                  <w:p w14:paraId="4415570D" w14:textId="77777777" w:rsidR="00B201D3" w:rsidRPr="006D4FBA" w:rsidRDefault="009855E8">
                    <w:pPr>
                      <w:jc w:val="center"/>
                      <w:rPr>
                        <w:rFonts w:ascii="宋体" w:hAnsi="宋体"/>
                        <w:lang w:val="en-GB"/>
                      </w:rPr>
                    </w:pPr>
                    <w:r w:rsidRPr="006D4FBA">
                      <w:rPr>
                        <w:rFonts w:ascii="宋体" w:hAnsi="宋体" w:hint="eastAsia"/>
                        <w:lang w:val="en-GB"/>
                      </w:rPr>
                      <w:t>本期期末数</w:t>
                    </w:r>
                  </w:p>
                </w:tc>
                <w:tc>
                  <w:tcPr>
                    <w:tcW w:w="1984" w:type="dxa"/>
                    <w:tcBorders>
                      <w:top w:val="single" w:sz="4" w:space="0" w:color="auto"/>
                      <w:left w:val="single" w:sz="4" w:space="0" w:color="auto"/>
                      <w:bottom w:val="single" w:sz="4" w:space="0" w:color="auto"/>
                      <w:right w:val="single" w:sz="4" w:space="0" w:color="auto"/>
                    </w:tcBorders>
                  </w:tcPr>
                  <w:p w14:paraId="01B95FEC" w14:textId="77777777" w:rsidR="00B201D3" w:rsidRPr="006D4FBA" w:rsidRDefault="009855E8">
                    <w:pPr>
                      <w:jc w:val="center"/>
                      <w:rPr>
                        <w:rFonts w:ascii="宋体" w:hAnsi="宋体"/>
                        <w:lang w:val="en-GB"/>
                      </w:rPr>
                    </w:pPr>
                    <w:r w:rsidRPr="006D4FBA">
                      <w:rPr>
                        <w:rFonts w:ascii="宋体" w:hAnsi="宋体" w:hint="eastAsia"/>
                        <w:lang w:val="en-GB"/>
                      </w:rPr>
                      <w:t>本期期初数</w:t>
                    </w:r>
                  </w:p>
                </w:tc>
                <w:tc>
                  <w:tcPr>
                    <w:tcW w:w="2043" w:type="dxa"/>
                    <w:tcBorders>
                      <w:top w:val="single" w:sz="4" w:space="0" w:color="auto"/>
                      <w:left w:val="single" w:sz="4" w:space="0" w:color="auto"/>
                      <w:bottom w:val="single" w:sz="4" w:space="0" w:color="auto"/>
                      <w:right w:val="single" w:sz="4" w:space="0" w:color="auto"/>
                    </w:tcBorders>
                  </w:tcPr>
                  <w:p w14:paraId="3FA19E2D" w14:textId="77777777" w:rsidR="00B201D3" w:rsidRPr="006D4FBA" w:rsidRDefault="009855E8">
                    <w:pPr>
                      <w:jc w:val="center"/>
                      <w:rPr>
                        <w:rFonts w:ascii="宋体" w:hAnsi="宋体"/>
                        <w:lang w:val="en-GB"/>
                      </w:rPr>
                    </w:pPr>
                    <w:r w:rsidRPr="006D4FBA">
                      <w:rPr>
                        <w:rFonts w:ascii="宋体" w:hAnsi="宋体" w:hint="eastAsia"/>
                        <w:lang w:val="en-GB"/>
                      </w:rPr>
                      <w:t>增减幅（%）</w:t>
                    </w:r>
                  </w:p>
                </w:tc>
              </w:tr>
              <w:tr w:rsidR="00B201D3" w:rsidRPr="006D4FBA" w14:paraId="1B30F4B8" w14:textId="77777777">
                <w:trPr>
                  <w:jc w:val="center"/>
                </w:trPr>
                <w:tc>
                  <w:tcPr>
                    <w:tcW w:w="1818" w:type="dxa"/>
                    <w:tcBorders>
                      <w:top w:val="single" w:sz="4" w:space="0" w:color="auto"/>
                      <w:left w:val="single" w:sz="4" w:space="0" w:color="auto"/>
                      <w:bottom w:val="single" w:sz="4" w:space="0" w:color="auto"/>
                      <w:right w:val="single" w:sz="4" w:space="0" w:color="auto"/>
                    </w:tcBorders>
                  </w:tcPr>
                  <w:p w14:paraId="02FCE3BD" w14:textId="77777777" w:rsidR="00B201D3" w:rsidRPr="006D4FBA" w:rsidRDefault="009855E8">
                    <w:pPr>
                      <w:rPr>
                        <w:rFonts w:ascii="宋体" w:hAnsi="宋体"/>
                        <w:lang w:val="en-GB"/>
                      </w:rPr>
                    </w:pPr>
                    <w:r w:rsidRPr="006D4FBA">
                      <w:rPr>
                        <w:rFonts w:ascii="宋体" w:hAnsi="宋体" w:hint="eastAsia"/>
                        <w:lang w:val="en-GB"/>
                      </w:rPr>
                      <w:t>存款余额</w:t>
                    </w:r>
                  </w:p>
                </w:tc>
                <w:tc>
                  <w:tcPr>
                    <w:tcW w:w="2166" w:type="dxa"/>
                    <w:tcBorders>
                      <w:top w:val="single" w:sz="4" w:space="0" w:color="auto"/>
                      <w:left w:val="single" w:sz="4" w:space="0" w:color="auto"/>
                      <w:bottom w:val="single" w:sz="4" w:space="0" w:color="auto"/>
                      <w:right w:val="single" w:sz="4" w:space="0" w:color="auto"/>
                    </w:tcBorders>
                  </w:tcPr>
                  <w:p w14:paraId="3AB973EC" w14:textId="77777777" w:rsidR="00B201D3" w:rsidRPr="006D4FBA" w:rsidRDefault="009855E8">
                    <w:pPr>
                      <w:jc w:val="right"/>
                      <w:rPr>
                        <w:rFonts w:ascii="宋体" w:hAnsi="宋体"/>
                        <w:lang w:val="en-GB"/>
                      </w:rPr>
                    </w:pPr>
                    <w:r w:rsidRPr="006D4FBA">
                      <w:rPr>
                        <w:rFonts w:ascii="宋体" w:hAnsi="宋体"/>
                      </w:rPr>
                      <w:t>34,172</w:t>
                    </w:r>
                  </w:p>
                </w:tc>
                <w:tc>
                  <w:tcPr>
                    <w:tcW w:w="1984" w:type="dxa"/>
                    <w:tcBorders>
                      <w:top w:val="single" w:sz="4" w:space="0" w:color="auto"/>
                      <w:left w:val="single" w:sz="4" w:space="0" w:color="auto"/>
                      <w:bottom w:val="single" w:sz="4" w:space="0" w:color="auto"/>
                      <w:right w:val="single" w:sz="4" w:space="0" w:color="auto"/>
                    </w:tcBorders>
                  </w:tcPr>
                  <w:p w14:paraId="77A0E94B" w14:textId="77777777" w:rsidR="00B201D3" w:rsidRPr="006D4FBA" w:rsidRDefault="009855E8">
                    <w:pPr>
                      <w:jc w:val="right"/>
                      <w:rPr>
                        <w:rFonts w:ascii="宋体" w:hAnsi="宋体"/>
                        <w:lang w:val="en-GB"/>
                      </w:rPr>
                    </w:pPr>
                    <w:r w:rsidRPr="006D4FBA">
                      <w:rPr>
                        <w:rFonts w:ascii="宋体" w:hAnsi="宋体"/>
                      </w:rPr>
                      <w:t>25,639</w:t>
                    </w:r>
                  </w:p>
                </w:tc>
                <w:tc>
                  <w:tcPr>
                    <w:tcW w:w="2043" w:type="dxa"/>
                    <w:tcBorders>
                      <w:top w:val="single" w:sz="4" w:space="0" w:color="auto"/>
                      <w:left w:val="single" w:sz="4" w:space="0" w:color="auto"/>
                      <w:bottom w:val="single" w:sz="4" w:space="0" w:color="auto"/>
                      <w:right w:val="single" w:sz="4" w:space="0" w:color="auto"/>
                    </w:tcBorders>
                  </w:tcPr>
                  <w:p w14:paraId="7322DACE" w14:textId="77777777" w:rsidR="00B201D3" w:rsidRPr="006D4FBA" w:rsidRDefault="009855E8">
                    <w:pPr>
                      <w:jc w:val="right"/>
                      <w:rPr>
                        <w:rFonts w:ascii="宋体" w:hAnsi="宋体"/>
                        <w:lang w:val="en-GB"/>
                      </w:rPr>
                    </w:pPr>
                    <w:r w:rsidRPr="006D4FBA">
                      <w:rPr>
                        <w:rFonts w:ascii="宋体" w:hAnsi="宋体"/>
                      </w:rPr>
                      <w:t>33.28</w:t>
                    </w:r>
                  </w:p>
                </w:tc>
              </w:tr>
              <w:tr w:rsidR="00B201D3" w:rsidRPr="006D4FBA" w14:paraId="50BCFFDE" w14:textId="77777777">
                <w:trPr>
                  <w:jc w:val="center"/>
                </w:trPr>
                <w:tc>
                  <w:tcPr>
                    <w:tcW w:w="1818" w:type="dxa"/>
                    <w:tcBorders>
                      <w:top w:val="single" w:sz="4" w:space="0" w:color="auto"/>
                      <w:left w:val="single" w:sz="4" w:space="0" w:color="auto"/>
                      <w:bottom w:val="single" w:sz="4" w:space="0" w:color="auto"/>
                      <w:right w:val="single" w:sz="4" w:space="0" w:color="auto"/>
                    </w:tcBorders>
                  </w:tcPr>
                  <w:p w14:paraId="4028EF44" w14:textId="77777777" w:rsidR="00B201D3" w:rsidRPr="006D4FBA" w:rsidRDefault="009855E8">
                    <w:pPr>
                      <w:rPr>
                        <w:rFonts w:ascii="宋体" w:hAnsi="宋体"/>
                        <w:lang w:val="en-GB"/>
                      </w:rPr>
                    </w:pPr>
                    <w:r w:rsidRPr="006D4FBA">
                      <w:rPr>
                        <w:rFonts w:ascii="宋体" w:hAnsi="宋体" w:hint="eastAsia"/>
                        <w:lang w:val="en-GB"/>
                      </w:rPr>
                      <w:t>贷款余额</w:t>
                    </w:r>
                  </w:p>
                </w:tc>
                <w:tc>
                  <w:tcPr>
                    <w:tcW w:w="2166" w:type="dxa"/>
                    <w:tcBorders>
                      <w:top w:val="single" w:sz="4" w:space="0" w:color="auto"/>
                      <w:left w:val="single" w:sz="4" w:space="0" w:color="auto"/>
                      <w:bottom w:val="single" w:sz="4" w:space="0" w:color="auto"/>
                      <w:right w:val="single" w:sz="4" w:space="0" w:color="auto"/>
                    </w:tcBorders>
                  </w:tcPr>
                  <w:p w14:paraId="7D6FD4EC" w14:textId="77777777" w:rsidR="00B201D3" w:rsidRPr="006D4FBA" w:rsidRDefault="009855E8">
                    <w:pPr>
                      <w:jc w:val="right"/>
                      <w:rPr>
                        <w:rFonts w:ascii="宋体" w:hAnsi="宋体"/>
                        <w:lang w:val="en-GB"/>
                      </w:rPr>
                    </w:pPr>
                    <w:r w:rsidRPr="006D4FBA">
                      <w:rPr>
                        <w:rFonts w:ascii="宋体" w:hAnsi="宋体"/>
                      </w:rPr>
                      <w:t>13,857</w:t>
                    </w:r>
                  </w:p>
                </w:tc>
                <w:tc>
                  <w:tcPr>
                    <w:tcW w:w="1984" w:type="dxa"/>
                    <w:tcBorders>
                      <w:top w:val="single" w:sz="4" w:space="0" w:color="auto"/>
                      <w:left w:val="single" w:sz="4" w:space="0" w:color="auto"/>
                      <w:bottom w:val="single" w:sz="4" w:space="0" w:color="auto"/>
                      <w:right w:val="single" w:sz="4" w:space="0" w:color="auto"/>
                    </w:tcBorders>
                  </w:tcPr>
                  <w:p w14:paraId="46485E0A" w14:textId="77777777" w:rsidR="00B201D3" w:rsidRPr="006D4FBA" w:rsidRDefault="009855E8">
                    <w:pPr>
                      <w:jc w:val="right"/>
                      <w:rPr>
                        <w:rFonts w:ascii="宋体" w:hAnsi="宋体"/>
                        <w:lang w:val="en-GB"/>
                      </w:rPr>
                    </w:pPr>
                    <w:r w:rsidRPr="006D4FBA">
                      <w:rPr>
                        <w:rFonts w:ascii="宋体" w:hAnsi="宋体"/>
                      </w:rPr>
                      <w:t>10,969</w:t>
                    </w:r>
                  </w:p>
                </w:tc>
                <w:tc>
                  <w:tcPr>
                    <w:tcW w:w="2043" w:type="dxa"/>
                    <w:tcBorders>
                      <w:top w:val="single" w:sz="4" w:space="0" w:color="auto"/>
                      <w:left w:val="single" w:sz="4" w:space="0" w:color="auto"/>
                      <w:bottom w:val="single" w:sz="4" w:space="0" w:color="auto"/>
                      <w:right w:val="single" w:sz="4" w:space="0" w:color="auto"/>
                    </w:tcBorders>
                  </w:tcPr>
                  <w:p w14:paraId="614C8CA8" w14:textId="77777777" w:rsidR="00B201D3" w:rsidRPr="006D4FBA" w:rsidRDefault="009855E8">
                    <w:pPr>
                      <w:jc w:val="right"/>
                      <w:rPr>
                        <w:rFonts w:ascii="宋体" w:hAnsi="宋体"/>
                        <w:lang w:val="en-GB"/>
                      </w:rPr>
                    </w:pPr>
                    <w:r w:rsidRPr="006D4FBA">
                      <w:rPr>
                        <w:rFonts w:ascii="宋体" w:hAnsi="宋体"/>
                      </w:rPr>
                      <w:t>26.33</w:t>
                    </w:r>
                  </w:p>
                </w:tc>
              </w:tr>
            </w:tbl>
            <w:bookmarkEnd w:id="66"/>
            <w:p w14:paraId="7DB0C4A2" w14:textId="77777777" w:rsidR="00B201D3" w:rsidRPr="006D4FBA" w:rsidRDefault="009855E8">
              <w:pPr>
                <w:ind w:firstLineChars="200" w:firstLine="420"/>
                <w:rPr>
                  <w:rFonts w:cs="Times New Roman"/>
                  <w:lang w:val="en-GB"/>
                </w:rPr>
              </w:pPr>
              <w:r w:rsidRPr="006D4FBA">
                <w:rPr>
                  <w:rFonts w:cs="Times New Roman" w:hint="eastAsia"/>
                  <w:lang w:val="en-GB"/>
                </w:rPr>
                <w:t>（2）报告期内兖矿财司主要运营指标</w:t>
              </w:r>
            </w:p>
            <w:p w14:paraId="017464A8" w14:textId="77777777" w:rsidR="00B201D3" w:rsidRPr="006D4FBA" w:rsidRDefault="009855E8">
              <w:pPr>
                <w:ind w:rightChars="156" w:right="328" w:firstLineChars="3028" w:firstLine="6359"/>
                <w:rPr>
                  <w:rFonts w:cs="Times New Roman"/>
                  <w:lang w:val="en-GB"/>
                </w:rPr>
              </w:pPr>
              <w:bookmarkStart w:id="67" w:name="_Hlk507778415"/>
              <w:r w:rsidRPr="006D4FBA">
                <w:rPr>
                  <w:rFonts w:cs="Times New Roman" w:hint="eastAsia"/>
                  <w:bCs/>
                  <w:lang w:val="en-GB"/>
                </w:rPr>
                <w:t>单位：百万元</w:t>
              </w:r>
            </w:p>
            <w:tbl>
              <w:tblPr>
                <w:tblStyle w:val="3a"/>
                <w:tblW w:w="0" w:type="auto"/>
                <w:jc w:val="center"/>
                <w:tblLook w:val="04A0" w:firstRow="1" w:lastRow="0" w:firstColumn="1" w:lastColumn="0" w:noHBand="0" w:noVBand="1"/>
              </w:tblPr>
              <w:tblGrid>
                <w:gridCol w:w="1842"/>
                <w:gridCol w:w="2148"/>
                <w:gridCol w:w="2013"/>
                <w:gridCol w:w="1969"/>
              </w:tblGrid>
              <w:tr w:rsidR="00B201D3" w:rsidRPr="006D4FBA" w14:paraId="4AB94D36" w14:textId="77777777">
                <w:trPr>
                  <w:jc w:val="center"/>
                </w:trPr>
                <w:tc>
                  <w:tcPr>
                    <w:tcW w:w="1842" w:type="dxa"/>
                    <w:tcBorders>
                      <w:top w:val="single" w:sz="4" w:space="0" w:color="auto"/>
                      <w:left w:val="single" w:sz="4" w:space="0" w:color="auto"/>
                      <w:bottom w:val="single" w:sz="4" w:space="0" w:color="auto"/>
                      <w:right w:val="single" w:sz="4" w:space="0" w:color="auto"/>
                    </w:tcBorders>
                  </w:tcPr>
                  <w:bookmarkEnd w:id="64"/>
                  <w:bookmarkEnd w:id="65"/>
                  <w:bookmarkEnd w:id="67"/>
                  <w:p w14:paraId="6946206D" w14:textId="77777777" w:rsidR="00B201D3" w:rsidRPr="006D4FBA" w:rsidRDefault="009855E8">
                    <w:pPr>
                      <w:rPr>
                        <w:rFonts w:ascii="宋体" w:hAnsi="宋体"/>
                        <w:lang w:val="en-GB"/>
                      </w:rPr>
                    </w:pPr>
                    <w:r w:rsidRPr="006D4FBA">
                      <w:rPr>
                        <w:rFonts w:ascii="宋体" w:hAnsi="宋体" w:hint="eastAsia"/>
                        <w:lang w:val="en-GB"/>
                      </w:rPr>
                      <w:t>主要运营指标</w:t>
                    </w:r>
                  </w:p>
                </w:tc>
                <w:tc>
                  <w:tcPr>
                    <w:tcW w:w="2148" w:type="dxa"/>
                    <w:tcBorders>
                      <w:top w:val="single" w:sz="4" w:space="0" w:color="auto"/>
                      <w:left w:val="single" w:sz="4" w:space="0" w:color="auto"/>
                      <w:bottom w:val="single" w:sz="4" w:space="0" w:color="auto"/>
                      <w:right w:val="single" w:sz="4" w:space="0" w:color="auto"/>
                    </w:tcBorders>
                  </w:tcPr>
                  <w:p w14:paraId="4256D38F" w14:textId="77777777" w:rsidR="00B201D3" w:rsidRPr="006D4FBA" w:rsidRDefault="009855E8">
                    <w:pPr>
                      <w:jc w:val="center"/>
                      <w:rPr>
                        <w:rFonts w:ascii="宋体" w:hAnsi="宋体"/>
                        <w:lang w:val="en-GB"/>
                      </w:rPr>
                    </w:pPr>
                    <w:r w:rsidRPr="006D4FBA">
                      <w:rPr>
                        <w:rFonts w:ascii="宋体" w:hAnsi="宋体" w:hint="eastAsia"/>
                        <w:lang w:val="en-GB"/>
                      </w:rPr>
                      <w:t>本期数</w:t>
                    </w:r>
                  </w:p>
                </w:tc>
                <w:tc>
                  <w:tcPr>
                    <w:tcW w:w="2013" w:type="dxa"/>
                    <w:tcBorders>
                      <w:top w:val="single" w:sz="4" w:space="0" w:color="auto"/>
                      <w:left w:val="single" w:sz="4" w:space="0" w:color="auto"/>
                      <w:bottom w:val="single" w:sz="4" w:space="0" w:color="auto"/>
                      <w:right w:val="single" w:sz="4" w:space="0" w:color="auto"/>
                    </w:tcBorders>
                  </w:tcPr>
                  <w:p w14:paraId="17FEF1B7" w14:textId="77777777" w:rsidR="00B201D3" w:rsidRPr="006D4FBA" w:rsidRDefault="009855E8">
                    <w:pPr>
                      <w:jc w:val="center"/>
                      <w:rPr>
                        <w:rFonts w:ascii="宋体" w:hAnsi="宋体"/>
                        <w:lang w:val="en-GB"/>
                      </w:rPr>
                    </w:pPr>
                    <w:r w:rsidRPr="006D4FBA">
                      <w:rPr>
                        <w:rFonts w:ascii="宋体" w:hAnsi="宋体" w:hint="eastAsia"/>
                        <w:lang w:val="en-GB"/>
                      </w:rPr>
                      <w:t>上年同期数</w:t>
                    </w:r>
                  </w:p>
                </w:tc>
                <w:tc>
                  <w:tcPr>
                    <w:tcW w:w="1969" w:type="dxa"/>
                    <w:tcBorders>
                      <w:top w:val="single" w:sz="4" w:space="0" w:color="auto"/>
                      <w:left w:val="single" w:sz="4" w:space="0" w:color="auto"/>
                      <w:bottom w:val="single" w:sz="4" w:space="0" w:color="auto"/>
                      <w:right w:val="single" w:sz="4" w:space="0" w:color="auto"/>
                    </w:tcBorders>
                  </w:tcPr>
                  <w:p w14:paraId="2A8BA803" w14:textId="77777777" w:rsidR="00B201D3" w:rsidRPr="006D4FBA" w:rsidRDefault="009855E8">
                    <w:pPr>
                      <w:jc w:val="center"/>
                      <w:rPr>
                        <w:rFonts w:ascii="宋体" w:hAnsi="宋体"/>
                        <w:lang w:val="en-GB"/>
                      </w:rPr>
                    </w:pPr>
                    <w:r w:rsidRPr="006D4FBA">
                      <w:rPr>
                        <w:rFonts w:ascii="宋体" w:hAnsi="宋体" w:hint="eastAsia"/>
                        <w:lang w:val="en-GB"/>
                      </w:rPr>
                      <w:t>增减幅（%）</w:t>
                    </w:r>
                  </w:p>
                </w:tc>
              </w:tr>
              <w:tr w:rsidR="00B201D3" w:rsidRPr="006D4FBA" w14:paraId="2BF051D9" w14:textId="77777777">
                <w:trPr>
                  <w:jc w:val="center"/>
                </w:trPr>
                <w:tc>
                  <w:tcPr>
                    <w:tcW w:w="1842" w:type="dxa"/>
                    <w:tcBorders>
                      <w:top w:val="single" w:sz="4" w:space="0" w:color="auto"/>
                      <w:left w:val="single" w:sz="4" w:space="0" w:color="auto"/>
                      <w:bottom w:val="single" w:sz="4" w:space="0" w:color="auto"/>
                      <w:right w:val="single" w:sz="4" w:space="0" w:color="auto"/>
                    </w:tcBorders>
                  </w:tcPr>
                  <w:p w14:paraId="41D3ED74" w14:textId="77777777" w:rsidR="00B201D3" w:rsidRPr="006D4FBA" w:rsidRDefault="009855E8">
                    <w:pPr>
                      <w:rPr>
                        <w:rFonts w:ascii="宋体" w:hAnsi="宋体"/>
                        <w:lang w:val="en-GB"/>
                      </w:rPr>
                    </w:pPr>
                    <w:r w:rsidRPr="006D4FBA">
                      <w:rPr>
                        <w:rFonts w:ascii="宋体" w:hAnsi="宋体" w:hint="eastAsia"/>
                        <w:lang w:val="en-GB"/>
                      </w:rPr>
                      <w:lastRenderedPageBreak/>
                      <w:t>营业收入</w:t>
                    </w:r>
                  </w:p>
                </w:tc>
                <w:tc>
                  <w:tcPr>
                    <w:tcW w:w="2148" w:type="dxa"/>
                    <w:tcBorders>
                      <w:top w:val="single" w:sz="4" w:space="0" w:color="auto"/>
                      <w:left w:val="single" w:sz="4" w:space="0" w:color="auto"/>
                      <w:bottom w:val="single" w:sz="4" w:space="0" w:color="auto"/>
                      <w:right w:val="single" w:sz="4" w:space="0" w:color="auto"/>
                    </w:tcBorders>
                  </w:tcPr>
                  <w:p w14:paraId="7A495700" w14:textId="77777777" w:rsidR="00B201D3" w:rsidRPr="006D4FBA" w:rsidRDefault="009855E8">
                    <w:pPr>
                      <w:jc w:val="right"/>
                      <w:rPr>
                        <w:rFonts w:ascii="宋体" w:hAnsi="宋体"/>
                        <w:lang w:val="en-GB"/>
                      </w:rPr>
                    </w:pPr>
                    <w:r w:rsidRPr="006D4FBA">
                      <w:rPr>
                        <w:rFonts w:ascii="宋体" w:hAnsi="宋体"/>
                      </w:rPr>
                      <w:t>428</w:t>
                    </w:r>
                  </w:p>
                </w:tc>
                <w:tc>
                  <w:tcPr>
                    <w:tcW w:w="2013" w:type="dxa"/>
                    <w:tcBorders>
                      <w:top w:val="single" w:sz="4" w:space="0" w:color="auto"/>
                      <w:left w:val="single" w:sz="4" w:space="0" w:color="auto"/>
                      <w:bottom w:val="single" w:sz="4" w:space="0" w:color="auto"/>
                      <w:right w:val="single" w:sz="4" w:space="0" w:color="auto"/>
                    </w:tcBorders>
                  </w:tcPr>
                  <w:p w14:paraId="6A9B8F5D" w14:textId="77777777" w:rsidR="00B201D3" w:rsidRPr="006D4FBA" w:rsidRDefault="009855E8">
                    <w:pPr>
                      <w:jc w:val="right"/>
                      <w:rPr>
                        <w:rFonts w:ascii="宋体" w:hAnsi="宋体"/>
                        <w:lang w:val="en-GB"/>
                      </w:rPr>
                    </w:pPr>
                    <w:r w:rsidRPr="006D4FBA">
                      <w:rPr>
                        <w:rFonts w:ascii="宋体" w:hAnsi="宋体"/>
                      </w:rPr>
                      <w:t>486</w:t>
                    </w:r>
                  </w:p>
                </w:tc>
                <w:tc>
                  <w:tcPr>
                    <w:tcW w:w="1969" w:type="dxa"/>
                    <w:tcBorders>
                      <w:top w:val="single" w:sz="4" w:space="0" w:color="auto"/>
                      <w:left w:val="single" w:sz="4" w:space="0" w:color="auto"/>
                      <w:bottom w:val="single" w:sz="4" w:space="0" w:color="auto"/>
                      <w:right w:val="single" w:sz="4" w:space="0" w:color="auto"/>
                    </w:tcBorders>
                  </w:tcPr>
                  <w:p w14:paraId="6CD7C012" w14:textId="77777777" w:rsidR="00B201D3" w:rsidRPr="006D4FBA" w:rsidRDefault="009855E8">
                    <w:pPr>
                      <w:jc w:val="right"/>
                      <w:rPr>
                        <w:rFonts w:ascii="宋体" w:hAnsi="宋体"/>
                        <w:lang w:val="en-GB"/>
                      </w:rPr>
                    </w:pPr>
                    <w:r w:rsidRPr="006D4FBA">
                      <w:rPr>
                        <w:rFonts w:ascii="宋体" w:hAnsi="宋体"/>
                      </w:rPr>
                      <w:t>-11.93</w:t>
                    </w:r>
                  </w:p>
                </w:tc>
              </w:tr>
              <w:tr w:rsidR="00B201D3" w:rsidRPr="006D4FBA" w14:paraId="3300FAFA" w14:textId="77777777">
                <w:trPr>
                  <w:jc w:val="center"/>
                </w:trPr>
                <w:tc>
                  <w:tcPr>
                    <w:tcW w:w="1842" w:type="dxa"/>
                    <w:tcBorders>
                      <w:top w:val="single" w:sz="4" w:space="0" w:color="auto"/>
                      <w:left w:val="single" w:sz="4" w:space="0" w:color="auto"/>
                      <w:bottom w:val="single" w:sz="4" w:space="0" w:color="auto"/>
                      <w:right w:val="single" w:sz="4" w:space="0" w:color="auto"/>
                    </w:tcBorders>
                  </w:tcPr>
                  <w:p w14:paraId="3D80CD78" w14:textId="77777777" w:rsidR="00B201D3" w:rsidRPr="006D4FBA" w:rsidRDefault="009855E8">
                    <w:pPr>
                      <w:rPr>
                        <w:rFonts w:ascii="宋体" w:hAnsi="宋体"/>
                        <w:lang w:val="en-GB"/>
                      </w:rPr>
                    </w:pPr>
                    <w:r w:rsidRPr="006D4FBA">
                      <w:rPr>
                        <w:rFonts w:ascii="宋体" w:hAnsi="宋体" w:hint="eastAsia"/>
                        <w:lang w:val="en-GB"/>
                      </w:rPr>
                      <w:t>净利润</w:t>
                    </w:r>
                  </w:p>
                </w:tc>
                <w:tc>
                  <w:tcPr>
                    <w:tcW w:w="2148" w:type="dxa"/>
                    <w:tcBorders>
                      <w:top w:val="single" w:sz="4" w:space="0" w:color="auto"/>
                      <w:left w:val="single" w:sz="4" w:space="0" w:color="auto"/>
                      <w:bottom w:val="single" w:sz="4" w:space="0" w:color="auto"/>
                      <w:right w:val="single" w:sz="4" w:space="0" w:color="auto"/>
                    </w:tcBorders>
                  </w:tcPr>
                  <w:p w14:paraId="1157540E" w14:textId="77777777" w:rsidR="00B201D3" w:rsidRPr="006D4FBA" w:rsidRDefault="009855E8">
                    <w:pPr>
                      <w:jc w:val="right"/>
                      <w:rPr>
                        <w:rFonts w:ascii="宋体" w:hAnsi="宋体"/>
                        <w:lang w:val="en-GB"/>
                      </w:rPr>
                    </w:pPr>
                    <w:r w:rsidRPr="006D4FBA">
                      <w:rPr>
                        <w:rFonts w:ascii="宋体" w:hAnsi="宋体"/>
                      </w:rPr>
                      <w:t>125</w:t>
                    </w:r>
                  </w:p>
                </w:tc>
                <w:tc>
                  <w:tcPr>
                    <w:tcW w:w="2013" w:type="dxa"/>
                    <w:tcBorders>
                      <w:top w:val="single" w:sz="4" w:space="0" w:color="auto"/>
                      <w:left w:val="single" w:sz="4" w:space="0" w:color="auto"/>
                      <w:bottom w:val="single" w:sz="4" w:space="0" w:color="auto"/>
                      <w:right w:val="single" w:sz="4" w:space="0" w:color="auto"/>
                    </w:tcBorders>
                  </w:tcPr>
                  <w:p w14:paraId="5E40604C" w14:textId="77777777" w:rsidR="00B201D3" w:rsidRPr="006D4FBA" w:rsidRDefault="009855E8">
                    <w:pPr>
                      <w:jc w:val="right"/>
                      <w:rPr>
                        <w:rFonts w:ascii="宋体" w:hAnsi="宋体"/>
                        <w:lang w:val="en-GB"/>
                      </w:rPr>
                    </w:pPr>
                    <w:r w:rsidRPr="006D4FBA">
                      <w:rPr>
                        <w:rFonts w:ascii="宋体" w:hAnsi="宋体"/>
                      </w:rPr>
                      <w:t>203</w:t>
                    </w:r>
                  </w:p>
                </w:tc>
                <w:tc>
                  <w:tcPr>
                    <w:tcW w:w="1969" w:type="dxa"/>
                    <w:tcBorders>
                      <w:top w:val="single" w:sz="4" w:space="0" w:color="auto"/>
                      <w:left w:val="single" w:sz="4" w:space="0" w:color="auto"/>
                      <w:bottom w:val="single" w:sz="4" w:space="0" w:color="auto"/>
                      <w:right w:val="single" w:sz="4" w:space="0" w:color="auto"/>
                    </w:tcBorders>
                  </w:tcPr>
                  <w:p w14:paraId="66BB1AD3" w14:textId="77777777" w:rsidR="00B201D3" w:rsidRPr="006D4FBA" w:rsidRDefault="009855E8">
                    <w:pPr>
                      <w:jc w:val="right"/>
                      <w:rPr>
                        <w:rFonts w:ascii="宋体" w:hAnsi="宋体"/>
                        <w:lang w:val="en-GB"/>
                      </w:rPr>
                    </w:pPr>
                    <w:r w:rsidRPr="006D4FBA">
                      <w:rPr>
                        <w:rFonts w:ascii="宋体" w:hAnsi="宋体"/>
                      </w:rPr>
                      <w:t>-38.42</w:t>
                    </w:r>
                  </w:p>
                </w:tc>
              </w:tr>
              <w:tr w:rsidR="00B201D3" w:rsidRPr="006D4FBA" w14:paraId="58EF1312" w14:textId="77777777">
                <w:trPr>
                  <w:jc w:val="center"/>
                </w:trPr>
                <w:tc>
                  <w:tcPr>
                    <w:tcW w:w="1842" w:type="dxa"/>
                    <w:tcBorders>
                      <w:top w:val="single" w:sz="4" w:space="0" w:color="auto"/>
                      <w:left w:val="single" w:sz="4" w:space="0" w:color="auto"/>
                      <w:bottom w:val="single" w:sz="4" w:space="0" w:color="auto"/>
                      <w:right w:val="single" w:sz="4" w:space="0" w:color="auto"/>
                    </w:tcBorders>
                  </w:tcPr>
                  <w:p w14:paraId="47A918FE" w14:textId="77777777" w:rsidR="00B201D3" w:rsidRPr="006D4FBA" w:rsidRDefault="00B201D3">
                    <w:pPr>
                      <w:rPr>
                        <w:rFonts w:ascii="宋体" w:hAnsi="宋体"/>
                        <w:lang w:val="en-GB"/>
                      </w:rPr>
                    </w:pPr>
                  </w:p>
                </w:tc>
                <w:tc>
                  <w:tcPr>
                    <w:tcW w:w="2148" w:type="dxa"/>
                    <w:tcBorders>
                      <w:top w:val="single" w:sz="4" w:space="0" w:color="auto"/>
                      <w:left w:val="single" w:sz="4" w:space="0" w:color="auto"/>
                      <w:bottom w:val="single" w:sz="4" w:space="0" w:color="auto"/>
                      <w:right w:val="single" w:sz="4" w:space="0" w:color="auto"/>
                    </w:tcBorders>
                  </w:tcPr>
                  <w:p w14:paraId="3D30AFC0" w14:textId="77777777" w:rsidR="00B201D3" w:rsidRPr="006D4FBA" w:rsidRDefault="009855E8">
                    <w:pPr>
                      <w:jc w:val="center"/>
                      <w:rPr>
                        <w:rFonts w:ascii="宋体" w:hAnsi="宋体"/>
                        <w:lang w:val="en-GB"/>
                      </w:rPr>
                    </w:pPr>
                    <w:r w:rsidRPr="006D4FBA">
                      <w:rPr>
                        <w:rFonts w:ascii="宋体" w:hAnsi="宋体" w:hint="eastAsia"/>
                        <w:lang w:val="en-GB"/>
                      </w:rPr>
                      <w:t>本期期末数</w:t>
                    </w:r>
                  </w:p>
                </w:tc>
                <w:tc>
                  <w:tcPr>
                    <w:tcW w:w="2013" w:type="dxa"/>
                    <w:tcBorders>
                      <w:top w:val="single" w:sz="4" w:space="0" w:color="auto"/>
                      <w:left w:val="single" w:sz="4" w:space="0" w:color="auto"/>
                      <w:bottom w:val="single" w:sz="4" w:space="0" w:color="auto"/>
                      <w:right w:val="single" w:sz="4" w:space="0" w:color="auto"/>
                    </w:tcBorders>
                  </w:tcPr>
                  <w:p w14:paraId="0FD32CAC" w14:textId="77777777" w:rsidR="00B201D3" w:rsidRPr="006D4FBA" w:rsidRDefault="009855E8">
                    <w:pPr>
                      <w:jc w:val="center"/>
                      <w:rPr>
                        <w:rFonts w:ascii="宋体" w:hAnsi="宋体"/>
                        <w:lang w:val="en-GB"/>
                      </w:rPr>
                    </w:pPr>
                    <w:r w:rsidRPr="006D4FBA">
                      <w:rPr>
                        <w:rFonts w:ascii="宋体" w:hAnsi="宋体" w:hint="eastAsia"/>
                        <w:lang w:val="en-GB"/>
                      </w:rPr>
                      <w:t>本期期初数</w:t>
                    </w:r>
                  </w:p>
                </w:tc>
                <w:tc>
                  <w:tcPr>
                    <w:tcW w:w="1969" w:type="dxa"/>
                    <w:tcBorders>
                      <w:top w:val="single" w:sz="4" w:space="0" w:color="auto"/>
                      <w:left w:val="single" w:sz="4" w:space="0" w:color="auto"/>
                      <w:bottom w:val="single" w:sz="4" w:space="0" w:color="auto"/>
                      <w:right w:val="single" w:sz="4" w:space="0" w:color="auto"/>
                    </w:tcBorders>
                  </w:tcPr>
                  <w:p w14:paraId="336586BF" w14:textId="77777777" w:rsidR="00B201D3" w:rsidRPr="006D4FBA" w:rsidRDefault="009855E8">
                    <w:pPr>
                      <w:jc w:val="center"/>
                      <w:rPr>
                        <w:rFonts w:ascii="宋体" w:hAnsi="宋体"/>
                        <w:lang w:val="en-GB"/>
                      </w:rPr>
                    </w:pPr>
                    <w:r w:rsidRPr="006D4FBA">
                      <w:rPr>
                        <w:rFonts w:ascii="宋体" w:hAnsi="宋体" w:hint="eastAsia"/>
                        <w:lang w:val="en-GB"/>
                      </w:rPr>
                      <w:t>增减幅（%）</w:t>
                    </w:r>
                  </w:p>
                </w:tc>
              </w:tr>
              <w:tr w:rsidR="00B201D3" w:rsidRPr="006D4FBA" w14:paraId="23899005" w14:textId="77777777">
                <w:trPr>
                  <w:jc w:val="center"/>
                </w:trPr>
                <w:tc>
                  <w:tcPr>
                    <w:tcW w:w="1842" w:type="dxa"/>
                    <w:tcBorders>
                      <w:top w:val="single" w:sz="4" w:space="0" w:color="auto"/>
                      <w:left w:val="single" w:sz="4" w:space="0" w:color="auto"/>
                      <w:bottom w:val="single" w:sz="4" w:space="0" w:color="auto"/>
                      <w:right w:val="single" w:sz="4" w:space="0" w:color="auto"/>
                    </w:tcBorders>
                  </w:tcPr>
                  <w:p w14:paraId="66BB7087" w14:textId="77777777" w:rsidR="00B201D3" w:rsidRPr="006D4FBA" w:rsidRDefault="009855E8">
                    <w:pPr>
                      <w:rPr>
                        <w:rFonts w:ascii="宋体" w:hAnsi="宋体"/>
                        <w:lang w:val="en-GB"/>
                      </w:rPr>
                    </w:pPr>
                    <w:r w:rsidRPr="006D4FBA">
                      <w:rPr>
                        <w:rFonts w:ascii="宋体" w:hAnsi="宋体" w:hint="eastAsia"/>
                        <w:lang w:val="en-GB"/>
                      </w:rPr>
                      <w:t>净资产</w:t>
                    </w:r>
                  </w:p>
                </w:tc>
                <w:tc>
                  <w:tcPr>
                    <w:tcW w:w="2148" w:type="dxa"/>
                    <w:tcBorders>
                      <w:top w:val="single" w:sz="4" w:space="0" w:color="auto"/>
                      <w:left w:val="single" w:sz="4" w:space="0" w:color="auto"/>
                      <w:bottom w:val="single" w:sz="4" w:space="0" w:color="auto"/>
                      <w:right w:val="single" w:sz="4" w:space="0" w:color="auto"/>
                    </w:tcBorders>
                  </w:tcPr>
                  <w:p w14:paraId="3FD8E6D3" w14:textId="77777777" w:rsidR="00B201D3" w:rsidRPr="006D4FBA" w:rsidRDefault="009855E8">
                    <w:pPr>
                      <w:jc w:val="right"/>
                      <w:rPr>
                        <w:rFonts w:ascii="宋体" w:hAnsi="宋体"/>
                        <w:lang w:val="en-GB"/>
                      </w:rPr>
                    </w:pPr>
                    <w:r w:rsidRPr="006D4FBA">
                      <w:rPr>
                        <w:rFonts w:ascii="宋体" w:hAnsi="宋体"/>
                      </w:rPr>
                      <w:t>6,286</w:t>
                    </w:r>
                  </w:p>
                </w:tc>
                <w:tc>
                  <w:tcPr>
                    <w:tcW w:w="2013" w:type="dxa"/>
                    <w:tcBorders>
                      <w:top w:val="single" w:sz="4" w:space="0" w:color="auto"/>
                      <w:left w:val="single" w:sz="4" w:space="0" w:color="auto"/>
                      <w:bottom w:val="single" w:sz="4" w:space="0" w:color="auto"/>
                      <w:right w:val="single" w:sz="4" w:space="0" w:color="auto"/>
                    </w:tcBorders>
                  </w:tcPr>
                  <w:p w14:paraId="7F1C092F" w14:textId="77777777" w:rsidR="00B201D3" w:rsidRPr="006D4FBA" w:rsidRDefault="009855E8">
                    <w:pPr>
                      <w:jc w:val="right"/>
                      <w:rPr>
                        <w:rFonts w:ascii="宋体" w:hAnsi="宋体"/>
                        <w:lang w:val="en-GB"/>
                      </w:rPr>
                    </w:pPr>
                    <w:r w:rsidRPr="006D4FBA">
                      <w:rPr>
                        <w:rFonts w:ascii="宋体" w:hAnsi="宋体"/>
                      </w:rPr>
                      <w:t>6,162</w:t>
                    </w:r>
                  </w:p>
                </w:tc>
                <w:tc>
                  <w:tcPr>
                    <w:tcW w:w="1969" w:type="dxa"/>
                    <w:tcBorders>
                      <w:top w:val="single" w:sz="4" w:space="0" w:color="auto"/>
                      <w:left w:val="single" w:sz="4" w:space="0" w:color="auto"/>
                      <w:bottom w:val="single" w:sz="4" w:space="0" w:color="auto"/>
                      <w:right w:val="single" w:sz="4" w:space="0" w:color="auto"/>
                    </w:tcBorders>
                  </w:tcPr>
                  <w:p w14:paraId="71995CC9" w14:textId="77777777" w:rsidR="00B201D3" w:rsidRPr="006D4FBA" w:rsidRDefault="009855E8">
                    <w:pPr>
                      <w:jc w:val="right"/>
                      <w:rPr>
                        <w:rFonts w:ascii="宋体" w:hAnsi="宋体"/>
                        <w:lang w:val="en-GB"/>
                      </w:rPr>
                    </w:pPr>
                    <w:r w:rsidRPr="006D4FBA">
                      <w:rPr>
                        <w:rFonts w:ascii="宋体" w:hAnsi="宋体"/>
                      </w:rPr>
                      <w:t>2.01</w:t>
                    </w:r>
                  </w:p>
                </w:tc>
              </w:tr>
              <w:tr w:rsidR="00B201D3" w:rsidRPr="006D4FBA" w14:paraId="5C6C19EF" w14:textId="77777777">
                <w:trPr>
                  <w:jc w:val="center"/>
                </w:trPr>
                <w:tc>
                  <w:tcPr>
                    <w:tcW w:w="1842" w:type="dxa"/>
                    <w:tcBorders>
                      <w:top w:val="single" w:sz="4" w:space="0" w:color="auto"/>
                      <w:left w:val="single" w:sz="4" w:space="0" w:color="auto"/>
                      <w:bottom w:val="single" w:sz="4" w:space="0" w:color="auto"/>
                      <w:right w:val="single" w:sz="4" w:space="0" w:color="auto"/>
                    </w:tcBorders>
                  </w:tcPr>
                  <w:p w14:paraId="6F66D32D" w14:textId="77777777" w:rsidR="00B201D3" w:rsidRPr="006D4FBA" w:rsidRDefault="009855E8">
                    <w:pPr>
                      <w:rPr>
                        <w:rFonts w:ascii="宋体" w:hAnsi="宋体"/>
                        <w:lang w:val="en-GB"/>
                      </w:rPr>
                    </w:pPr>
                    <w:r w:rsidRPr="006D4FBA">
                      <w:rPr>
                        <w:rFonts w:ascii="宋体" w:hAnsi="宋体" w:hint="eastAsia"/>
                        <w:lang w:val="en-GB"/>
                      </w:rPr>
                      <w:t>总资产</w:t>
                    </w:r>
                  </w:p>
                </w:tc>
                <w:tc>
                  <w:tcPr>
                    <w:tcW w:w="2148" w:type="dxa"/>
                    <w:tcBorders>
                      <w:top w:val="single" w:sz="4" w:space="0" w:color="auto"/>
                      <w:left w:val="single" w:sz="4" w:space="0" w:color="auto"/>
                      <w:bottom w:val="single" w:sz="4" w:space="0" w:color="auto"/>
                      <w:right w:val="single" w:sz="4" w:space="0" w:color="auto"/>
                    </w:tcBorders>
                  </w:tcPr>
                  <w:p w14:paraId="56C04A80" w14:textId="77777777" w:rsidR="00B201D3" w:rsidRPr="006D4FBA" w:rsidRDefault="009855E8">
                    <w:pPr>
                      <w:jc w:val="right"/>
                      <w:rPr>
                        <w:rFonts w:ascii="宋体" w:hAnsi="宋体"/>
                        <w:lang w:val="en-GB"/>
                      </w:rPr>
                    </w:pPr>
                    <w:r w:rsidRPr="006D4FBA">
                      <w:rPr>
                        <w:rFonts w:ascii="宋体" w:hAnsi="宋体"/>
                      </w:rPr>
                      <w:t>40,497</w:t>
                    </w:r>
                  </w:p>
                </w:tc>
                <w:tc>
                  <w:tcPr>
                    <w:tcW w:w="2013" w:type="dxa"/>
                    <w:tcBorders>
                      <w:top w:val="single" w:sz="4" w:space="0" w:color="auto"/>
                      <w:left w:val="single" w:sz="4" w:space="0" w:color="auto"/>
                      <w:bottom w:val="single" w:sz="4" w:space="0" w:color="auto"/>
                      <w:right w:val="single" w:sz="4" w:space="0" w:color="auto"/>
                    </w:tcBorders>
                  </w:tcPr>
                  <w:p w14:paraId="29F6F2BC" w14:textId="77777777" w:rsidR="00B201D3" w:rsidRPr="006D4FBA" w:rsidRDefault="009855E8">
                    <w:pPr>
                      <w:jc w:val="right"/>
                      <w:rPr>
                        <w:rFonts w:ascii="宋体" w:hAnsi="宋体"/>
                        <w:lang w:val="en-GB"/>
                      </w:rPr>
                    </w:pPr>
                    <w:r w:rsidRPr="006D4FBA">
                      <w:rPr>
                        <w:rFonts w:ascii="宋体" w:hAnsi="宋体"/>
                      </w:rPr>
                      <w:t>31,858</w:t>
                    </w:r>
                  </w:p>
                </w:tc>
                <w:tc>
                  <w:tcPr>
                    <w:tcW w:w="1969" w:type="dxa"/>
                    <w:tcBorders>
                      <w:top w:val="single" w:sz="4" w:space="0" w:color="auto"/>
                      <w:left w:val="single" w:sz="4" w:space="0" w:color="auto"/>
                      <w:bottom w:val="single" w:sz="4" w:space="0" w:color="auto"/>
                      <w:right w:val="single" w:sz="4" w:space="0" w:color="auto"/>
                    </w:tcBorders>
                  </w:tcPr>
                  <w:p w14:paraId="01CACECC" w14:textId="77777777" w:rsidR="00B201D3" w:rsidRPr="006D4FBA" w:rsidRDefault="009855E8">
                    <w:pPr>
                      <w:jc w:val="right"/>
                      <w:rPr>
                        <w:rFonts w:ascii="宋体" w:hAnsi="宋体"/>
                        <w:lang w:val="en-GB"/>
                      </w:rPr>
                    </w:pPr>
                    <w:r w:rsidRPr="006D4FBA">
                      <w:rPr>
                        <w:rFonts w:ascii="宋体" w:hAnsi="宋体"/>
                      </w:rPr>
                      <w:t>27.12</w:t>
                    </w:r>
                  </w:p>
                </w:tc>
              </w:tr>
            </w:tbl>
            <w:p w14:paraId="3A2BDE03" w14:textId="77777777" w:rsidR="00B201D3" w:rsidRDefault="00C8327E">
              <w:pPr>
                <w:pStyle w:val="3903"/>
              </w:pPr>
            </w:p>
          </w:sdtContent>
        </w:sdt>
      </w:sdtContent>
    </w:sdt>
    <w:sdt>
      <w:sdtPr>
        <w:rPr>
          <w:rFonts w:ascii="宋体" w:hAnsi="宋体" w:cs="宋体"/>
          <w:b w:val="0"/>
          <w:bCs w:val="0"/>
          <w:kern w:val="0"/>
          <w:szCs w:val="24"/>
        </w:rPr>
        <w:alias w:val="模块:公司控制的结构化主体情况"/>
        <w:tag w:val="_SEC_1ac5f271c9c14f569093b3be96ecc8d2"/>
        <w:id w:val="707758501"/>
        <w:lock w:val="sdtLocked"/>
        <w:placeholder>
          <w:docPart w:val="GBC22222222222222222222222222222"/>
        </w:placeholder>
      </w:sdtPr>
      <w:sdtEndPr>
        <w:rPr>
          <w:szCs w:val="21"/>
        </w:rPr>
      </w:sdtEndPr>
      <w:sdtContent>
        <w:p w14:paraId="3FF0F10E" w14:textId="77777777" w:rsidR="00B201D3" w:rsidRDefault="009855E8">
          <w:pPr>
            <w:pStyle w:val="3"/>
            <w:numPr>
              <w:ilvl w:val="0"/>
              <w:numId w:val="7"/>
            </w:numPr>
            <w:rPr>
              <w:rFonts w:ascii="宋体" w:hAnsi="宋体"/>
            </w:rPr>
          </w:pPr>
          <w:r>
            <w:rPr>
              <w:rFonts w:ascii="宋体" w:hAnsi="宋体"/>
            </w:rPr>
            <w:t>公司控制的结构化主体情况</w:t>
          </w:r>
        </w:p>
        <w:sdt>
          <w:sdtPr>
            <w:rPr>
              <w:rFonts w:hint="eastAsia"/>
            </w:rPr>
            <w:alias w:val="是否适用：公司控制的结构化主体情况[双击切换]"/>
            <w:tag w:val="_GBC_6dee8f13bc9a4596ad3e5af6f90f0b8b"/>
            <w:id w:val="-333462064"/>
            <w:lock w:val="sdtLocked"/>
            <w:placeholder>
              <w:docPart w:val="GBC22222222222222222222222222222"/>
            </w:placeholder>
          </w:sdtPr>
          <w:sdtEndPr/>
          <w:sdtContent>
            <w:p w14:paraId="195C895E" w14:textId="77777777" w:rsidR="00B201D3" w:rsidRDefault="009855E8">
              <w:pPr>
                <w:pStyle w:val="390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0E0EA87A" w14:textId="77777777" w:rsidR="00B201D3" w:rsidRDefault="00B201D3">
      <w:pPr>
        <w:pStyle w:val="3903"/>
      </w:pPr>
    </w:p>
    <w:p w14:paraId="6362152D" w14:textId="77777777" w:rsidR="00B201D3" w:rsidRDefault="009855E8">
      <w:pPr>
        <w:pStyle w:val="2"/>
        <w:numPr>
          <w:ilvl w:val="0"/>
          <w:numId w:val="6"/>
        </w:numPr>
        <w:tabs>
          <w:tab w:val="left" w:pos="426"/>
        </w:tabs>
        <w:ind w:left="422" w:hanging="422"/>
        <w:jc w:val="left"/>
        <w:rPr>
          <w:rFonts w:ascii="宋体" w:hAnsi="宋体" w:cs="宋体"/>
          <w:kern w:val="0"/>
          <w:szCs w:val="24"/>
        </w:rPr>
      </w:pPr>
      <w:r>
        <w:rPr>
          <w:rFonts w:ascii="宋体" w:hAnsi="宋体" w:cs="宋体" w:hint="eastAsia"/>
          <w:kern w:val="0"/>
          <w:szCs w:val="24"/>
        </w:rPr>
        <w:t>其他披露事项</w:t>
      </w:r>
    </w:p>
    <w:sdt>
      <w:sdtPr>
        <w:rPr>
          <w:szCs w:val="24"/>
        </w:rPr>
        <w:alias w:val="模块:可能面对的风险"/>
        <w:tag w:val="_SEC_81e2de17d1214ba3b0e3ff89b6c2b65d"/>
        <w:id w:val="-1805306798"/>
        <w:lock w:val="sdtLocked"/>
        <w:placeholder>
          <w:docPart w:val="GBC22222222222222222222222222222"/>
        </w:placeholder>
      </w:sdtPr>
      <w:sdtEndPr>
        <w:rPr>
          <w:rFonts w:hint="eastAsia"/>
          <w:szCs w:val="21"/>
        </w:rPr>
      </w:sdtEndPr>
      <w:sdtContent>
        <w:p w14:paraId="44D35CC7" w14:textId="77777777" w:rsidR="00B201D3" w:rsidRDefault="009855E8">
          <w:pPr>
            <w:numPr>
              <w:ilvl w:val="0"/>
              <w:numId w:val="16"/>
            </w:numPr>
          </w:pPr>
          <w:r>
            <w:t>可能面对的风险</w:t>
          </w:r>
        </w:p>
        <w:sdt>
          <w:sdtPr>
            <w:rPr>
              <w:rFonts w:hint="eastAsia"/>
            </w:rPr>
            <w:alias w:val="是否适用：可能面对的风险[双击切换]"/>
            <w:tag w:val="_GBC_2a971d8ab5884d3eb5547ede4e1e17c9"/>
            <w:id w:val="-380323446"/>
            <w:lock w:val="sdtLocked"/>
            <w:placeholder>
              <w:docPart w:val="GBC22222222222222222222222222222"/>
            </w:placeholder>
          </w:sdtPr>
          <w:sdtEndPr/>
          <w:sdtContent>
            <w:p w14:paraId="7B9B1AAD" w14:textId="77777777" w:rsidR="00B201D3" w:rsidRDefault="009855E8">
              <w:pPr>
                <w:pStyle w:val="390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公司可能面对的风险"/>
            <w:tag w:val="_GBC_6e03b01ba4f1453dbc563404b41bfdbc"/>
            <w:id w:val="1094289907"/>
            <w:lock w:val="sdtLocked"/>
            <w:placeholder>
              <w:docPart w:val="GBC22222222222222222222222222222"/>
            </w:placeholder>
          </w:sdtPr>
          <w:sdtEndPr/>
          <w:sdtContent>
            <w:p w14:paraId="085B5DA1" w14:textId="77777777" w:rsidR="00B201D3" w:rsidRDefault="009855E8">
              <w:pPr>
                <w:ind w:firstLineChars="200" w:firstLine="420"/>
                <w:jc w:val="both"/>
                <w:rPr>
                  <w:bCs/>
                </w:rPr>
              </w:pPr>
              <w:r>
                <w:rPr>
                  <w:rFonts w:hint="eastAsia"/>
                  <w:bCs/>
                </w:rPr>
                <w:t>安全管理风险</w:t>
              </w:r>
            </w:p>
            <w:p w14:paraId="3423A9DA" w14:textId="77777777" w:rsidR="00B201D3" w:rsidRDefault="009855E8">
              <w:pPr>
                <w:ind w:firstLineChars="200" w:firstLine="420"/>
                <w:jc w:val="both"/>
                <w:rPr>
                  <w:bCs/>
                </w:rPr>
              </w:pPr>
              <w:r>
                <w:rPr>
                  <w:rFonts w:hint="eastAsia"/>
                  <w:bCs/>
                </w:rPr>
                <w:t>本集团业务板块中</w:t>
              </w:r>
              <w:r>
                <w:rPr>
                  <w:rFonts w:cs="Times New Roman" w:hint="eastAsia"/>
                  <w:bCs/>
                  <w:kern w:val="2"/>
                  <w:lang w:val="en-GB"/>
                </w:rPr>
                <w:t>“</w:t>
              </w:r>
              <w:r>
                <w:rPr>
                  <w:rFonts w:hint="eastAsia"/>
                  <w:bCs/>
                </w:rPr>
                <w:t>煤炭开采、煤化工</w:t>
              </w:r>
              <w:r>
                <w:rPr>
                  <w:rFonts w:cs="Times New Roman" w:hint="eastAsia"/>
                  <w:bCs/>
                  <w:kern w:val="2"/>
                  <w:lang w:val="en-GB"/>
                </w:rPr>
                <w:t>”</w:t>
              </w:r>
              <w:r>
                <w:rPr>
                  <w:rFonts w:hint="eastAsia"/>
                  <w:bCs/>
                </w:rPr>
                <w:t>均属于高危行业，安全生产的不确定性因素比较复杂，易产生安全管理风险。</w:t>
              </w:r>
            </w:p>
            <w:p w14:paraId="5737EB28" w14:textId="37E0608F" w:rsidR="00B201D3" w:rsidRDefault="009855E8">
              <w:pPr>
                <w:ind w:firstLineChars="200" w:firstLine="420"/>
                <w:jc w:val="both"/>
                <w:rPr>
                  <w:bCs/>
                </w:rPr>
              </w:pPr>
              <w:r>
                <w:rPr>
                  <w:rFonts w:hint="eastAsia"/>
                  <w:bCs/>
                </w:rPr>
                <w:t>应对措施：</w:t>
              </w:r>
              <w:r>
                <w:rPr>
                  <w:rFonts w:hint="eastAsia"/>
                </w:rPr>
                <w:t>完善双重预防信息系统</w:t>
              </w:r>
              <w:r>
                <w:t>, 健全完善重大安全隐患汇报、治理、验收等管控流程,</w:t>
              </w:r>
              <w:r>
                <w:rPr>
                  <w:rFonts w:hint="eastAsia"/>
                </w:rPr>
                <w:t>全面</w:t>
              </w:r>
              <w:r w:rsidR="001846B3">
                <w:rPr>
                  <w:rFonts w:hint="eastAsia"/>
                </w:rPr>
                <w:t>深入</w:t>
              </w:r>
              <w:r>
                <w:t>开展</w:t>
              </w:r>
              <w:r>
                <w:rPr>
                  <w:rFonts w:hint="eastAsia"/>
                </w:rPr>
                <w:t>煤炭、煤化工</w:t>
              </w:r>
              <w:r>
                <w:t>隐蔽致灾治理工作</w:t>
              </w:r>
              <w:r>
                <w:rPr>
                  <w:bCs/>
                </w:rPr>
                <w:t>。</w:t>
              </w:r>
            </w:p>
            <w:p w14:paraId="17454B01" w14:textId="77777777" w:rsidR="00B201D3" w:rsidRDefault="00B201D3">
              <w:pPr>
                <w:ind w:firstLineChars="200" w:firstLine="420"/>
                <w:jc w:val="both"/>
                <w:rPr>
                  <w:bCs/>
                </w:rPr>
              </w:pPr>
            </w:p>
            <w:p w14:paraId="585B274D" w14:textId="77777777" w:rsidR="00B201D3" w:rsidRDefault="009855E8">
              <w:pPr>
                <w:ind w:firstLineChars="200" w:firstLine="420"/>
                <w:jc w:val="both"/>
                <w:rPr>
                  <w:bCs/>
                </w:rPr>
              </w:pPr>
              <w:r>
                <w:rPr>
                  <w:rFonts w:hint="eastAsia"/>
                  <w:bCs/>
                </w:rPr>
                <w:t>环境保护风险</w:t>
              </w:r>
            </w:p>
            <w:p w14:paraId="3BFF88D1" w14:textId="77777777" w:rsidR="00B201D3" w:rsidRDefault="009855E8">
              <w:pPr>
                <w:ind w:firstLineChars="200" w:firstLine="420"/>
                <w:jc w:val="both"/>
                <w:rPr>
                  <w:bCs/>
                </w:rPr>
              </w:pPr>
              <w:r>
                <w:rPr>
                  <w:rFonts w:hint="eastAsia"/>
                  <w:bCs/>
                </w:rPr>
                <w:t>国家环保政策趋严，全社会对环保重视程度不断提高，使本集团面临更为严格的环保约束。我国向世界作出实现</w:t>
              </w:r>
              <w:r>
                <w:rPr>
                  <w:rFonts w:cs="Times New Roman" w:hint="eastAsia"/>
                  <w:bCs/>
                  <w:kern w:val="2"/>
                  <w:lang w:val="en-GB"/>
                </w:rPr>
                <w:t>“</w:t>
              </w:r>
              <w:r>
                <w:rPr>
                  <w:rFonts w:hint="eastAsia"/>
                  <w:bCs/>
                </w:rPr>
                <w:t>碳达峰、碳中和</w:t>
              </w:r>
              <w:r>
                <w:rPr>
                  <w:rFonts w:cs="Times New Roman" w:hint="eastAsia"/>
                  <w:bCs/>
                  <w:kern w:val="2"/>
                  <w:lang w:val="en-GB"/>
                </w:rPr>
                <w:t>”</w:t>
              </w:r>
              <w:r>
                <w:rPr>
                  <w:rFonts w:hint="eastAsia"/>
                  <w:bCs/>
                </w:rPr>
                <w:t>的庄严承诺，对公司煤炭业务的经营发展带来重大影响。</w:t>
              </w:r>
            </w:p>
            <w:p w14:paraId="55309D94" w14:textId="77777777" w:rsidR="00B201D3" w:rsidRDefault="009855E8">
              <w:pPr>
                <w:ind w:firstLineChars="200" w:firstLine="420"/>
                <w:jc w:val="both"/>
                <w:rPr>
                  <w:bCs/>
                </w:rPr>
              </w:pPr>
              <w:r>
                <w:rPr>
                  <w:rFonts w:hint="eastAsia"/>
                  <w:bCs/>
                </w:rPr>
                <w:t>应对措施：本集团将严格落实环保法规要求，积极推进设施升级改造，提升设施运行管理水平，确保污染物达标排放。实施战略转型，积极推动传统产业转型和新兴产业崛起，走绿色低碳发展的道路。推动煤炭高效清洁利用，继续发挥煤炭在能源结构中的压舱石作用。</w:t>
              </w:r>
              <w:r>
                <w:rPr>
                  <w:bCs/>
                </w:rPr>
                <w:cr/>
              </w:r>
            </w:p>
            <w:p w14:paraId="451A26EF" w14:textId="77777777" w:rsidR="00B201D3" w:rsidRDefault="009855E8">
              <w:pPr>
                <w:ind w:firstLineChars="200" w:firstLine="420"/>
                <w:jc w:val="both"/>
                <w:rPr>
                  <w:bCs/>
                </w:rPr>
              </w:pPr>
              <w:r>
                <w:rPr>
                  <w:rFonts w:hint="eastAsia"/>
                  <w:bCs/>
                </w:rPr>
                <w:t>汇率风险</w:t>
              </w:r>
            </w:p>
            <w:p w14:paraId="17547572" w14:textId="7FE96B8D" w:rsidR="00B201D3" w:rsidRDefault="009855E8">
              <w:pPr>
                <w:ind w:firstLineChars="200" w:firstLine="420"/>
                <w:jc w:val="both"/>
                <w:rPr>
                  <w:bCs/>
                </w:rPr>
              </w:pPr>
              <w:r>
                <w:rPr>
                  <w:rFonts w:hint="eastAsia"/>
                  <w:bCs/>
                </w:rPr>
                <w:t>作为国际化跨国公司，本集团的境外投资、境外融资、国际贸易等业务均受汇率波动影响，对本集团的经营业绩和</w:t>
              </w:r>
              <w:r w:rsidR="00774D58">
                <w:rPr>
                  <w:rFonts w:hint="eastAsia"/>
                  <w:bCs/>
                </w:rPr>
                <w:t>发展</w:t>
              </w:r>
              <w:r>
                <w:rPr>
                  <w:rFonts w:hint="eastAsia"/>
                  <w:bCs/>
                </w:rPr>
                <w:t>战略带来诸多不确定性。</w:t>
              </w:r>
            </w:p>
            <w:p w14:paraId="1E2A48FE" w14:textId="77777777" w:rsidR="00B201D3" w:rsidRDefault="009855E8">
              <w:pPr>
                <w:ind w:firstLineChars="200" w:firstLine="420"/>
                <w:jc w:val="both"/>
                <w:rPr>
                  <w:bCs/>
                </w:rPr>
              </w:pPr>
              <w:r>
                <w:rPr>
                  <w:rFonts w:hint="eastAsia"/>
                  <w:bCs/>
                </w:rPr>
                <w:t>应对措施：加强汇率走势研判，综合运用多种金融工具降低汇率波动风险。根据交易货币汇率变动趋势，在交易合同中订立适当的保值条款。灵活运用外汇衍生产品工具，签订远期外汇交易合同，锁定汇率波动。</w:t>
              </w:r>
            </w:p>
            <w:p w14:paraId="573F030D" w14:textId="77777777" w:rsidR="00B201D3" w:rsidRDefault="00B201D3">
              <w:pPr>
                <w:ind w:firstLineChars="200" w:firstLine="420"/>
                <w:jc w:val="both"/>
                <w:rPr>
                  <w:bCs/>
                </w:rPr>
              </w:pPr>
            </w:p>
            <w:p w14:paraId="2764EE34" w14:textId="77777777" w:rsidR="00B201D3" w:rsidRDefault="009855E8">
              <w:pPr>
                <w:ind w:firstLineChars="200" w:firstLine="420"/>
                <w:jc w:val="both"/>
                <w:rPr>
                  <w:bCs/>
                </w:rPr>
              </w:pPr>
              <w:r>
                <w:rPr>
                  <w:rFonts w:hint="eastAsia"/>
                  <w:bCs/>
                </w:rPr>
                <w:t>地缘政治风险</w:t>
              </w:r>
            </w:p>
            <w:p w14:paraId="66130A9E" w14:textId="77777777" w:rsidR="00B201D3" w:rsidRDefault="009855E8">
              <w:pPr>
                <w:ind w:firstLineChars="200" w:firstLine="420"/>
                <w:jc w:val="both"/>
                <w:rPr>
                  <w:bCs/>
                </w:rPr>
              </w:pPr>
              <w:r>
                <w:rPr>
                  <w:rFonts w:hint="eastAsia"/>
                  <w:bCs/>
                </w:rPr>
                <w:t>本集团业务跨越不同地域与国家，境外业务会受当地政府政策、经济及国际关系变化等因素影响。若这些因素出现任何重大不利变化，则本集团业务、财务状况及经营业绩将可能会受到不利影响。</w:t>
              </w:r>
            </w:p>
            <w:p w14:paraId="038B456A" w14:textId="77777777" w:rsidR="00B201D3" w:rsidRDefault="009855E8">
              <w:pPr>
                <w:ind w:firstLineChars="200" w:firstLine="420"/>
                <w:jc w:val="both"/>
                <w:rPr>
                  <w:bCs/>
                </w:rPr>
              </w:pPr>
              <w:r>
                <w:rPr>
                  <w:rFonts w:hint="eastAsia"/>
                  <w:bCs/>
                </w:rPr>
                <w:t>应对措施：一是密切关注国际动态，加强对业务所在地政治、经济等发展形势的分析，及时识别和预判境外业务可能面临的地缘政治风险，并制定应对策略。二是继续坚持属地化策略，遵守所在地法律法规，积极融入所在地经济社会发展。</w:t>
              </w:r>
            </w:p>
          </w:sdtContent>
        </w:sdt>
      </w:sdtContent>
    </w:sdt>
    <w:p w14:paraId="10F2AA35" w14:textId="77777777" w:rsidR="00B201D3" w:rsidRDefault="00B201D3">
      <w:pPr>
        <w:pStyle w:val="3903"/>
      </w:pPr>
    </w:p>
    <w:sdt>
      <w:sdtPr>
        <w:rPr>
          <w:szCs w:val="24"/>
        </w:rPr>
        <w:alias w:val="模块:其他披露事项"/>
        <w:tag w:val="_SEC_2d00d0d8a1b7409b884a0beb6a447e0d"/>
        <w:id w:val="1980413153"/>
        <w:lock w:val="sdtLocked"/>
        <w:placeholder>
          <w:docPart w:val="GBC22222222222222222222222222222"/>
        </w:placeholder>
      </w:sdtPr>
      <w:sdtEndPr>
        <w:rPr>
          <w:szCs w:val="21"/>
        </w:rPr>
      </w:sdtEndPr>
      <w:sdtContent>
        <w:p w14:paraId="48787DA8" w14:textId="77777777" w:rsidR="00B201D3" w:rsidRDefault="009855E8">
          <w:pPr>
            <w:numPr>
              <w:ilvl w:val="0"/>
              <w:numId w:val="16"/>
            </w:numPr>
          </w:pPr>
          <w:r>
            <w:t>其他披露事项</w:t>
          </w:r>
        </w:p>
        <w:sdt>
          <w:sdtPr>
            <w:rPr>
              <w:rFonts w:hint="eastAsia"/>
            </w:rPr>
            <w:alias w:val="是否适用：董事会其他需要披露的事项[双击切换]"/>
            <w:tag w:val="_GBC_4bd5ba6bf4044aee9ecd40a0c2fc29bf"/>
            <w:id w:val="2053967682"/>
            <w:lock w:val="sdtLocked"/>
            <w:placeholder>
              <w:docPart w:val="GBC22222222222222222222222222222"/>
            </w:placeholder>
          </w:sdtPr>
          <w:sdtEndPr/>
          <w:sdtContent>
            <w:p w14:paraId="51797E08" w14:textId="77777777" w:rsidR="00B201D3" w:rsidRDefault="009855E8">
              <w:pPr>
                <w:pStyle w:val="390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董事会其他需要披露的事项"/>
            <w:tag w:val="_GBC_1751869900474e38a4456794ea384b7e"/>
            <w:id w:val="-1458940710"/>
            <w:lock w:val="sdtLocked"/>
            <w:placeholder>
              <w:docPart w:val="GBC22222222222222222222222222222"/>
            </w:placeholder>
          </w:sdtPr>
          <w:sdtEndPr/>
          <w:sdtContent>
            <w:p w14:paraId="3CE4D73E" w14:textId="77777777" w:rsidR="00B201D3" w:rsidRDefault="00B201D3">
              <w:pPr>
                <w:pStyle w:val="3903"/>
              </w:pPr>
            </w:p>
            <w:p w14:paraId="3222334D" w14:textId="77777777" w:rsidR="00B201D3" w:rsidRPr="006D4FBA" w:rsidRDefault="009855E8">
              <w:pPr>
                <w:keepNext/>
                <w:keepLines/>
                <w:widowControl w:val="0"/>
                <w:numPr>
                  <w:ilvl w:val="0"/>
                  <w:numId w:val="17"/>
                </w:numPr>
                <w:spacing w:before="60" w:after="60"/>
                <w:jc w:val="both"/>
                <w:outlineLvl w:val="2"/>
                <w:rPr>
                  <w:rFonts w:cs="Times New Roman"/>
                  <w:b/>
                  <w:bCs/>
                  <w:kern w:val="2"/>
                  <w:szCs w:val="32"/>
                  <w:lang w:val="en-GB"/>
                </w:rPr>
              </w:pPr>
              <w:r w:rsidRPr="006D4FBA">
                <w:rPr>
                  <w:rFonts w:cs="Times New Roman" w:hint="eastAsia"/>
                  <w:b/>
                  <w:bCs/>
                  <w:kern w:val="2"/>
                  <w:szCs w:val="32"/>
                  <w:lang w:val="en-GB"/>
                </w:rPr>
                <w:t>资本开支计划</w:t>
              </w:r>
            </w:p>
            <w:p w14:paraId="6516D947" w14:textId="77777777" w:rsidR="00B201D3" w:rsidRPr="006D4FBA" w:rsidRDefault="009855E8">
              <w:pPr>
                <w:ind w:firstLineChars="200" w:firstLine="420"/>
                <w:rPr>
                  <w:rFonts w:cs="Times New Roman"/>
                  <w:lang w:val="en-GB"/>
                </w:rPr>
              </w:pPr>
              <w:r w:rsidRPr="006D4FBA">
                <w:rPr>
                  <w:rFonts w:cs="Times New Roman" w:hint="eastAsia"/>
                  <w:bCs/>
                  <w:lang w:val="en-GB"/>
                </w:rPr>
                <w:t>本集团202</w:t>
              </w:r>
              <w:r w:rsidRPr="006D4FBA">
                <w:rPr>
                  <w:rFonts w:cs="Times New Roman"/>
                  <w:bCs/>
                  <w:lang w:val="en-GB"/>
                </w:rPr>
                <w:t>3</w:t>
              </w:r>
              <w:r w:rsidRPr="006D4FBA">
                <w:rPr>
                  <w:rFonts w:cs="Times New Roman" w:hint="eastAsia"/>
                  <w:bCs/>
                  <w:lang w:val="en-GB"/>
                </w:rPr>
                <w:t>年上半年资本性支出情况及202</w:t>
              </w:r>
              <w:r w:rsidRPr="006D4FBA">
                <w:rPr>
                  <w:rFonts w:cs="Times New Roman"/>
                  <w:bCs/>
                  <w:lang w:val="en-GB"/>
                </w:rPr>
                <w:t>3</w:t>
              </w:r>
              <w:r w:rsidRPr="006D4FBA">
                <w:rPr>
                  <w:rFonts w:cs="Times New Roman" w:hint="eastAsia"/>
                  <w:bCs/>
                  <w:lang w:val="en-GB"/>
                </w:rPr>
                <w:t xml:space="preserve">年度资本性支出计划(依照经营主体划分)如下表： </w:t>
              </w:r>
            </w:p>
            <w:p w14:paraId="389A5D7F" w14:textId="77777777" w:rsidR="00B201D3" w:rsidRPr="006D4FBA" w:rsidRDefault="009855E8">
              <w:pPr>
                <w:ind w:rightChars="200" w:right="420" w:firstLineChars="200" w:firstLine="420"/>
                <w:jc w:val="right"/>
                <w:rPr>
                  <w:rFonts w:cs="Times New Roman"/>
                  <w:bCs/>
                  <w:lang w:val="en-GB"/>
                </w:rPr>
              </w:pPr>
              <w:r w:rsidRPr="006D4FBA">
                <w:rPr>
                  <w:rFonts w:cs="Times New Roman" w:hint="eastAsia"/>
                  <w:bCs/>
                  <w:lang w:val="en-GB"/>
                </w:rPr>
                <w:t>单位：亿元</w:t>
              </w:r>
            </w:p>
            <w:tbl>
              <w:tblPr>
                <w:tblStyle w:val="g1"/>
                <w:tblW w:w="8334"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8"/>
                <w:gridCol w:w="2610"/>
                <w:gridCol w:w="2696"/>
              </w:tblGrid>
              <w:tr w:rsidR="00B201D3" w:rsidRPr="006D4FBA" w14:paraId="03EAEF8A" w14:textId="77777777">
                <w:trPr>
                  <w:trHeight w:val="260"/>
                  <w:jc w:val="center"/>
                </w:trPr>
                <w:tc>
                  <w:tcPr>
                    <w:tcW w:w="3028" w:type="dxa"/>
                    <w:vAlign w:val="center"/>
                  </w:tcPr>
                  <w:p w14:paraId="1501AFC6" w14:textId="77777777" w:rsidR="00B201D3" w:rsidRPr="006D4FBA" w:rsidRDefault="00B201D3">
                    <w:pPr>
                      <w:autoSpaceDE w:val="0"/>
                      <w:autoSpaceDN w:val="0"/>
                      <w:adjustRightInd w:val="0"/>
                      <w:jc w:val="center"/>
                    </w:pPr>
                  </w:p>
                </w:tc>
                <w:tc>
                  <w:tcPr>
                    <w:tcW w:w="2610" w:type="dxa"/>
                    <w:vAlign w:val="center"/>
                  </w:tcPr>
                  <w:p w14:paraId="7CC10236" w14:textId="77777777" w:rsidR="00B201D3" w:rsidRPr="006D4FBA" w:rsidRDefault="009855E8">
                    <w:pPr>
                      <w:autoSpaceDE w:val="0"/>
                      <w:autoSpaceDN w:val="0"/>
                      <w:adjustRightInd w:val="0"/>
                      <w:ind w:firstLine="124"/>
                      <w:jc w:val="center"/>
                      <w:rPr>
                        <w:b/>
                      </w:rPr>
                    </w:pPr>
                    <w:r w:rsidRPr="006D4FBA">
                      <w:rPr>
                        <w:rFonts w:hint="eastAsia"/>
                        <w:b/>
                      </w:rPr>
                      <w:t>202</w:t>
                    </w:r>
                    <w:r w:rsidRPr="006D4FBA">
                      <w:rPr>
                        <w:b/>
                      </w:rPr>
                      <w:t>3</w:t>
                    </w:r>
                    <w:r w:rsidRPr="006D4FBA">
                      <w:rPr>
                        <w:rFonts w:hint="eastAsia"/>
                        <w:b/>
                      </w:rPr>
                      <w:t>年上半年</w:t>
                    </w:r>
                  </w:p>
                </w:tc>
                <w:tc>
                  <w:tcPr>
                    <w:tcW w:w="2696" w:type="dxa"/>
                    <w:vAlign w:val="center"/>
                  </w:tcPr>
                  <w:p w14:paraId="137ED62B" w14:textId="77777777" w:rsidR="00B201D3" w:rsidRPr="006D4FBA" w:rsidRDefault="009855E8">
                    <w:pPr>
                      <w:autoSpaceDE w:val="0"/>
                      <w:autoSpaceDN w:val="0"/>
                      <w:adjustRightInd w:val="0"/>
                      <w:jc w:val="center"/>
                      <w:rPr>
                        <w:b/>
                      </w:rPr>
                    </w:pPr>
                    <w:r w:rsidRPr="006D4FBA">
                      <w:rPr>
                        <w:rFonts w:hint="eastAsia"/>
                        <w:b/>
                      </w:rPr>
                      <w:t>202</w:t>
                    </w:r>
                    <w:r w:rsidRPr="006D4FBA">
                      <w:rPr>
                        <w:b/>
                      </w:rPr>
                      <w:t>3</w:t>
                    </w:r>
                    <w:r w:rsidRPr="006D4FBA">
                      <w:rPr>
                        <w:rFonts w:hint="eastAsia"/>
                        <w:b/>
                      </w:rPr>
                      <w:t>年计划</w:t>
                    </w:r>
                  </w:p>
                </w:tc>
              </w:tr>
              <w:tr w:rsidR="00B201D3" w:rsidRPr="006D4FBA" w14:paraId="68626C5C" w14:textId="77777777">
                <w:trPr>
                  <w:trHeight w:val="20"/>
                  <w:jc w:val="center"/>
                </w:trPr>
                <w:tc>
                  <w:tcPr>
                    <w:tcW w:w="3028" w:type="dxa"/>
                    <w:vAlign w:val="center"/>
                  </w:tcPr>
                  <w:p w14:paraId="66F43249" w14:textId="77777777" w:rsidR="00B201D3" w:rsidRPr="006D4FBA" w:rsidRDefault="009855E8">
                    <w:pPr>
                      <w:autoSpaceDE w:val="0"/>
                      <w:autoSpaceDN w:val="0"/>
                      <w:adjustRightInd w:val="0"/>
                      <w:rPr>
                        <w:u w:val="single"/>
                      </w:rPr>
                    </w:pPr>
                    <w:r w:rsidRPr="006D4FBA">
                      <w:rPr>
                        <w:rFonts w:hint="eastAsia"/>
                      </w:rPr>
                      <w:t>公司</w:t>
                    </w:r>
                  </w:p>
                </w:tc>
                <w:tc>
                  <w:tcPr>
                    <w:tcW w:w="2610" w:type="dxa"/>
                    <w:shd w:val="clear" w:color="auto" w:fill="auto"/>
                    <w:vAlign w:val="center"/>
                  </w:tcPr>
                  <w:p w14:paraId="4139FA5A" w14:textId="77777777" w:rsidR="00B201D3" w:rsidRPr="006D4FBA" w:rsidRDefault="009855E8">
                    <w:pPr>
                      <w:autoSpaceDE w:val="0"/>
                      <w:autoSpaceDN w:val="0"/>
                      <w:adjustRightInd w:val="0"/>
                      <w:jc w:val="right"/>
                    </w:pPr>
                    <w:r w:rsidRPr="006D4FBA">
                      <w:rPr>
                        <w:rFonts w:hint="eastAsia"/>
                      </w:rPr>
                      <w:t xml:space="preserve">5.12 </w:t>
                    </w:r>
                  </w:p>
                </w:tc>
                <w:tc>
                  <w:tcPr>
                    <w:tcW w:w="2696" w:type="dxa"/>
                    <w:vAlign w:val="center"/>
                  </w:tcPr>
                  <w:p w14:paraId="684634BF" w14:textId="77777777" w:rsidR="00B201D3" w:rsidRPr="006D4FBA" w:rsidRDefault="009855E8">
                    <w:pPr>
                      <w:autoSpaceDE w:val="0"/>
                      <w:autoSpaceDN w:val="0"/>
                      <w:adjustRightInd w:val="0"/>
                      <w:jc w:val="right"/>
                    </w:pPr>
                    <w:r w:rsidRPr="006D4FBA">
                      <w:t xml:space="preserve">41.74 </w:t>
                    </w:r>
                  </w:p>
                </w:tc>
              </w:tr>
              <w:tr w:rsidR="00B201D3" w:rsidRPr="006D4FBA" w14:paraId="5B4EB196" w14:textId="77777777">
                <w:trPr>
                  <w:trHeight w:val="20"/>
                  <w:jc w:val="center"/>
                </w:trPr>
                <w:tc>
                  <w:tcPr>
                    <w:tcW w:w="3028" w:type="dxa"/>
                    <w:vAlign w:val="center"/>
                  </w:tcPr>
                  <w:p w14:paraId="22E3F19F" w14:textId="77777777" w:rsidR="00B201D3" w:rsidRPr="006D4FBA" w:rsidRDefault="009855E8">
                    <w:pPr>
                      <w:autoSpaceDE w:val="0"/>
                      <w:autoSpaceDN w:val="0"/>
                      <w:adjustRightInd w:val="0"/>
                      <w:rPr>
                        <w:u w:val="single"/>
                      </w:rPr>
                    </w:pPr>
                    <w:r w:rsidRPr="006D4FBA">
                      <w:rPr>
                        <w:rFonts w:hint="eastAsia"/>
                      </w:rPr>
                      <w:lastRenderedPageBreak/>
                      <w:t>华聚能源</w:t>
                    </w:r>
                  </w:p>
                </w:tc>
                <w:tc>
                  <w:tcPr>
                    <w:tcW w:w="2610" w:type="dxa"/>
                    <w:shd w:val="clear" w:color="auto" w:fill="auto"/>
                    <w:vAlign w:val="center"/>
                  </w:tcPr>
                  <w:p w14:paraId="1DB91F54" w14:textId="77777777" w:rsidR="00B201D3" w:rsidRPr="006D4FBA" w:rsidRDefault="009855E8">
                    <w:pPr>
                      <w:autoSpaceDE w:val="0"/>
                      <w:autoSpaceDN w:val="0"/>
                      <w:adjustRightInd w:val="0"/>
                      <w:jc w:val="right"/>
                    </w:pPr>
                    <w:r w:rsidRPr="006D4FBA">
                      <w:rPr>
                        <w:rFonts w:hint="eastAsia"/>
                      </w:rPr>
                      <w:t xml:space="preserve">0.13 </w:t>
                    </w:r>
                  </w:p>
                </w:tc>
                <w:tc>
                  <w:tcPr>
                    <w:tcW w:w="2696" w:type="dxa"/>
                    <w:vAlign w:val="center"/>
                  </w:tcPr>
                  <w:p w14:paraId="61F3A6B1" w14:textId="77777777" w:rsidR="00B201D3" w:rsidRPr="006D4FBA" w:rsidRDefault="009855E8">
                    <w:pPr>
                      <w:autoSpaceDE w:val="0"/>
                      <w:autoSpaceDN w:val="0"/>
                      <w:adjustRightInd w:val="0"/>
                      <w:jc w:val="right"/>
                    </w:pPr>
                    <w:r w:rsidRPr="006D4FBA">
                      <w:t xml:space="preserve">3.28 </w:t>
                    </w:r>
                  </w:p>
                </w:tc>
              </w:tr>
              <w:tr w:rsidR="00B201D3" w:rsidRPr="006D4FBA" w14:paraId="3B0A88EF" w14:textId="77777777">
                <w:trPr>
                  <w:trHeight w:val="20"/>
                  <w:jc w:val="center"/>
                </w:trPr>
                <w:tc>
                  <w:tcPr>
                    <w:tcW w:w="3028" w:type="dxa"/>
                    <w:vAlign w:val="center"/>
                  </w:tcPr>
                  <w:p w14:paraId="74FFA6CC" w14:textId="77777777" w:rsidR="00B201D3" w:rsidRPr="006D4FBA" w:rsidRDefault="009855E8">
                    <w:pPr>
                      <w:autoSpaceDE w:val="0"/>
                      <w:autoSpaceDN w:val="0"/>
                      <w:adjustRightInd w:val="0"/>
                      <w:rPr>
                        <w:u w:val="single"/>
                      </w:rPr>
                    </w:pPr>
                    <w:r w:rsidRPr="006D4FBA">
                      <w:rPr>
                        <w:rFonts w:hint="eastAsia"/>
                      </w:rPr>
                      <w:t>铁路物流公司</w:t>
                    </w:r>
                  </w:p>
                </w:tc>
                <w:tc>
                  <w:tcPr>
                    <w:tcW w:w="2610" w:type="dxa"/>
                    <w:shd w:val="clear" w:color="auto" w:fill="auto"/>
                    <w:vAlign w:val="center"/>
                  </w:tcPr>
                  <w:p w14:paraId="0EAEE21D" w14:textId="77777777" w:rsidR="00B201D3" w:rsidRPr="006D4FBA" w:rsidRDefault="009855E8">
                    <w:pPr>
                      <w:autoSpaceDE w:val="0"/>
                      <w:autoSpaceDN w:val="0"/>
                      <w:adjustRightInd w:val="0"/>
                      <w:jc w:val="right"/>
                    </w:pPr>
                    <w:r w:rsidRPr="006D4FBA">
                      <w:rPr>
                        <w:rFonts w:hint="eastAsia"/>
                      </w:rPr>
                      <w:t xml:space="preserve">3.02 </w:t>
                    </w:r>
                  </w:p>
                </w:tc>
                <w:tc>
                  <w:tcPr>
                    <w:tcW w:w="2696" w:type="dxa"/>
                    <w:vAlign w:val="center"/>
                  </w:tcPr>
                  <w:p w14:paraId="66252BB4" w14:textId="77777777" w:rsidR="00B201D3" w:rsidRPr="006D4FBA" w:rsidRDefault="009855E8">
                    <w:pPr>
                      <w:autoSpaceDE w:val="0"/>
                      <w:autoSpaceDN w:val="0"/>
                      <w:adjustRightInd w:val="0"/>
                      <w:jc w:val="right"/>
                    </w:pPr>
                    <w:r w:rsidRPr="006D4FBA">
                      <w:t xml:space="preserve">5.16 </w:t>
                    </w:r>
                  </w:p>
                </w:tc>
              </w:tr>
              <w:tr w:rsidR="00B201D3" w:rsidRPr="006D4FBA" w14:paraId="4D1036AC" w14:textId="77777777">
                <w:trPr>
                  <w:trHeight w:val="20"/>
                  <w:jc w:val="center"/>
                </w:trPr>
                <w:tc>
                  <w:tcPr>
                    <w:tcW w:w="3028" w:type="dxa"/>
                    <w:vAlign w:val="center"/>
                  </w:tcPr>
                  <w:p w14:paraId="1E340BEC" w14:textId="77777777" w:rsidR="00B201D3" w:rsidRPr="006D4FBA" w:rsidRDefault="009855E8">
                    <w:pPr>
                      <w:autoSpaceDE w:val="0"/>
                      <w:autoSpaceDN w:val="0"/>
                      <w:adjustRightInd w:val="0"/>
                      <w:rPr>
                        <w:u w:val="single"/>
                      </w:rPr>
                    </w:pPr>
                    <w:r w:rsidRPr="006D4FBA">
                      <w:rPr>
                        <w:rFonts w:hint="eastAsia"/>
                      </w:rPr>
                      <w:t>东华重工</w:t>
                    </w:r>
                  </w:p>
                </w:tc>
                <w:tc>
                  <w:tcPr>
                    <w:tcW w:w="2610" w:type="dxa"/>
                    <w:shd w:val="clear" w:color="auto" w:fill="auto"/>
                    <w:vAlign w:val="center"/>
                  </w:tcPr>
                  <w:p w14:paraId="4DBA2112" w14:textId="77777777" w:rsidR="00B201D3" w:rsidRPr="006D4FBA" w:rsidRDefault="009855E8">
                    <w:pPr>
                      <w:autoSpaceDE w:val="0"/>
                      <w:autoSpaceDN w:val="0"/>
                      <w:adjustRightInd w:val="0"/>
                      <w:jc w:val="right"/>
                    </w:pPr>
                    <w:r w:rsidRPr="006D4FBA">
                      <w:t>0.004</w:t>
                    </w:r>
                    <w:r w:rsidRPr="006D4FBA">
                      <w:rPr>
                        <w:rFonts w:hint="eastAsia"/>
                      </w:rPr>
                      <w:t xml:space="preserve"> </w:t>
                    </w:r>
                  </w:p>
                </w:tc>
                <w:tc>
                  <w:tcPr>
                    <w:tcW w:w="2696" w:type="dxa"/>
                    <w:vAlign w:val="center"/>
                  </w:tcPr>
                  <w:p w14:paraId="78937C30" w14:textId="77777777" w:rsidR="00B201D3" w:rsidRPr="006D4FBA" w:rsidRDefault="009855E8">
                    <w:pPr>
                      <w:autoSpaceDE w:val="0"/>
                      <w:autoSpaceDN w:val="0"/>
                      <w:adjustRightInd w:val="0"/>
                      <w:jc w:val="right"/>
                    </w:pPr>
                    <w:r w:rsidRPr="006D4FBA">
                      <w:t xml:space="preserve">1.36 </w:t>
                    </w:r>
                  </w:p>
                </w:tc>
              </w:tr>
              <w:tr w:rsidR="00B201D3" w:rsidRPr="006D4FBA" w14:paraId="180E17AF" w14:textId="77777777">
                <w:trPr>
                  <w:trHeight w:val="20"/>
                  <w:jc w:val="center"/>
                </w:trPr>
                <w:tc>
                  <w:tcPr>
                    <w:tcW w:w="3028" w:type="dxa"/>
                    <w:vAlign w:val="center"/>
                  </w:tcPr>
                  <w:p w14:paraId="020E3A6E" w14:textId="77777777" w:rsidR="00B201D3" w:rsidRPr="006D4FBA" w:rsidRDefault="009855E8">
                    <w:pPr>
                      <w:autoSpaceDE w:val="0"/>
                      <w:autoSpaceDN w:val="0"/>
                      <w:adjustRightInd w:val="0"/>
                      <w:rPr>
                        <w:u w:val="single"/>
                      </w:rPr>
                    </w:pPr>
                    <w:r w:rsidRPr="006D4FBA">
                      <w:rPr>
                        <w:rFonts w:hint="eastAsia"/>
                      </w:rPr>
                      <w:t>菏泽能化</w:t>
                    </w:r>
                  </w:p>
                </w:tc>
                <w:tc>
                  <w:tcPr>
                    <w:tcW w:w="2610" w:type="dxa"/>
                    <w:shd w:val="clear" w:color="auto" w:fill="auto"/>
                    <w:vAlign w:val="center"/>
                  </w:tcPr>
                  <w:p w14:paraId="76E44E8C" w14:textId="77777777" w:rsidR="00B201D3" w:rsidRPr="006D4FBA" w:rsidRDefault="009855E8">
                    <w:pPr>
                      <w:autoSpaceDE w:val="0"/>
                      <w:autoSpaceDN w:val="0"/>
                      <w:adjustRightInd w:val="0"/>
                      <w:jc w:val="right"/>
                    </w:pPr>
                    <w:r w:rsidRPr="006D4FBA">
                      <w:rPr>
                        <w:rFonts w:hint="eastAsia"/>
                      </w:rPr>
                      <w:t xml:space="preserve">1.60 </w:t>
                    </w:r>
                  </w:p>
                </w:tc>
                <w:tc>
                  <w:tcPr>
                    <w:tcW w:w="2696" w:type="dxa"/>
                    <w:vAlign w:val="center"/>
                  </w:tcPr>
                  <w:p w14:paraId="2FA640BB" w14:textId="77777777" w:rsidR="00B201D3" w:rsidRPr="006D4FBA" w:rsidRDefault="009855E8">
                    <w:pPr>
                      <w:autoSpaceDE w:val="0"/>
                      <w:autoSpaceDN w:val="0"/>
                      <w:adjustRightInd w:val="0"/>
                      <w:jc w:val="right"/>
                    </w:pPr>
                    <w:r w:rsidRPr="006D4FBA">
                      <w:t xml:space="preserve">8.77 </w:t>
                    </w:r>
                  </w:p>
                </w:tc>
              </w:tr>
              <w:tr w:rsidR="00B201D3" w:rsidRPr="006D4FBA" w14:paraId="128CED5E" w14:textId="77777777">
                <w:trPr>
                  <w:trHeight w:val="20"/>
                  <w:jc w:val="center"/>
                </w:trPr>
                <w:tc>
                  <w:tcPr>
                    <w:tcW w:w="3028" w:type="dxa"/>
                    <w:vAlign w:val="center"/>
                  </w:tcPr>
                  <w:p w14:paraId="6FAF4E91" w14:textId="77777777" w:rsidR="00B201D3" w:rsidRPr="006D4FBA" w:rsidRDefault="009855E8">
                    <w:pPr>
                      <w:autoSpaceDE w:val="0"/>
                      <w:autoSpaceDN w:val="0"/>
                      <w:adjustRightInd w:val="0"/>
                      <w:rPr>
                        <w:u w:val="single"/>
                      </w:rPr>
                    </w:pPr>
                    <w:r w:rsidRPr="006D4FBA">
                      <w:rPr>
                        <w:rFonts w:hint="eastAsia"/>
                      </w:rPr>
                      <w:t>鲁南化工</w:t>
                    </w:r>
                  </w:p>
                </w:tc>
                <w:tc>
                  <w:tcPr>
                    <w:tcW w:w="2610" w:type="dxa"/>
                    <w:shd w:val="clear" w:color="auto" w:fill="auto"/>
                    <w:vAlign w:val="center"/>
                  </w:tcPr>
                  <w:p w14:paraId="33660125" w14:textId="77777777" w:rsidR="00B201D3" w:rsidRPr="006D4FBA" w:rsidRDefault="009855E8">
                    <w:pPr>
                      <w:autoSpaceDE w:val="0"/>
                      <w:autoSpaceDN w:val="0"/>
                      <w:adjustRightInd w:val="0"/>
                      <w:jc w:val="right"/>
                    </w:pPr>
                    <w:r w:rsidRPr="006D4FBA">
                      <w:rPr>
                        <w:rFonts w:hint="eastAsia"/>
                      </w:rPr>
                      <w:t xml:space="preserve">5.38 </w:t>
                    </w:r>
                  </w:p>
                </w:tc>
                <w:tc>
                  <w:tcPr>
                    <w:tcW w:w="2696" w:type="dxa"/>
                    <w:vAlign w:val="center"/>
                  </w:tcPr>
                  <w:p w14:paraId="6B46B4A4" w14:textId="77777777" w:rsidR="00B201D3" w:rsidRPr="006D4FBA" w:rsidRDefault="009855E8">
                    <w:pPr>
                      <w:autoSpaceDE w:val="0"/>
                      <w:autoSpaceDN w:val="0"/>
                      <w:adjustRightInd w:val="0"/>
                      <w:jc w:val="right"/>
                    </w:pPr>
                    <w:r w:rsidRPr="006D4FBA">
                      <w:t xml:space="preserve">11.96 </w:t>
                    </w:r>
                  </w:p>
                </w:tc>
              </w:tr>
              <w:tr w:rsidR="00B201D3" w:rsidRPr="006D4FBA" w14:paraId="00C720B1" w14:textId="77777777">
                <w:trPr>
                  <w:trHeight w:val="20"/>
                  <w:jc w:val="center"/>
                </w:trPr>
                <w:tc>
                  <w:tcPr>
                    <w:tcW w:w="3028" w:type="dxa"/>
                    <w:vAlign w:val="center"/>
                  </w:tcPr>
                  <w:p w14:paraId="437AF74E" w14:textId="77777777" w:rsidR="00B201D3" w:rsidRPr="006D4FBA" w:rsidRDefault="009855E8">
                    <w:pPr>
                      <w:autoSpaceDE w:val="0"/>
                      <w:autoSpaceDN w:val="0"/>
                      <w:adjustRightInd w:val="0"/>
                      <w:rPr>
                        <w:u w:val="single"/>
                      </w:rPr>
                    </w:pPr>
                    <w:r w:rsidRPr="006D4FBA">
                      <w:rPr>
                        <w:rFonts w:hint="eastAsia"/>
                      </w:rPr>
                      <w:t>未来能源</w:t>
                    </w:r>
                  </w:p>
                </w:tc>
                <w:tc>
                  <w:tcPr>
                    <w:tcW w:w="2610" w:type="dxa"/>
                    <w:shd w:val="clear" w:color="auto" w:fill="auto"/>
                    <w:vAlign w:val="center"/>
                  </w:tcPr>
                  <w:p w14:paraId="5F6E421A" w14:textId="77777777" w:rsidR="00B201D3" w:rsidRPr="006D4FBA" w:rsidRDefault="009855E8">
                    <w:pPr>
                      <w:autoSpaceDE w:val="0"/>
                      <w:autoSpaceDN w:val="0"/>
                      <w:adjustRightInd w:val="0"/>
                      <w:jc w:val="right"/>
                    </w:pPr>
                    <w:r w:rsidRPr="006D4FBA">
                      <w:rPr>
                        <w:rFonts w:hint="eastAsia"/>
                      </w:rPr>
                      <w:t xml:space="preserve">0.52 </w:t>
                    </w:r>
                  </w:p>
                </w:tc>
                <w:tc>
                  <w:tcPr>
                    <w:tcW w:w="2696" w:type="dxa"/>
                    <w:vAlign w:val="center"/>
                  </w:tcPr>
                  <w:p w14:paraId="23EAC653" w14:textId="77777777" w:rsidR="00B201D3" w:rsidRPr="006D4FBA" w:rsidRDefault="009855E8">
                    <w:pPr>
                      <w:autoSpaceDE w:val="0"/>
                      <w:autoSpaceDN w:val="0"/>
                      <w:adjustRightInd w:val="0"/>
                      <w:jc w:val="right"/>
                    </w:pPr>
                    <w:r w:rsidRPr="006D4FBA">
                      <w:t xml:space="preserve">8.52 </w:t>
                    </w:r>
                  </w:p>
                </w:tc>
              </w:tr>
              <w:tr w:rsidR="00B201D3" w:rsidRPr="006D4FBA" w14:paraId="2D953F65" w14:textId="77777777">
                <w:trPr>
                  <w:trHeight w:val="20"/>
                  <w:jc w:val="center"/>
                </w:trPr>
                <w:tc>
                  <w:tcPr>
                    <w:tcW w:w="3028" w:type="dxa"/>
                    <w:vAlign w:val="center"/>
                  </w:tcPr>
                  <w:p w14:paraId="723DE52A" w14:textId="77777777" w:rsidR="00B201D3" w:rsidRPr="006D4FBA" w:rsidRDefault="009855E8">
                    <w:pPr>
                      <w:autoSpaceDE w:val="0"/>
                      <w:autoSpaceDN w:val="0"/>
                      <w:adjustRightInd w:val="0"/>
                      <w:rPr>
                        <w:u w:val="single"/>
                      </w:rPr>
                    </w:pPr>
                    <w:r w:rsidRPr="006D4FBA">
                      <w:rPr>
                        <w:rFonts w:hint="eastAsia"/>
                      </w:rPr>
                      <w:t>榆林能化</w:t>
                    </w:r>
                  </w:p>
                </w:tc>
                <w:tc>
                  <w:tcPr>
                    <w:tcW w:w="2610" w:type="dxa"/>
                    <w:shd w:val="clear" w:color="auto" w:fill="auto"/>
                    <w:vAlign w:val="center"/>
                  </w:tcPr>
                  <w:p w14:paraId="4B8D654F" w14:textId="77777777" w:rsidR="00B201D3" w:rsidRPr="006D4FBA" w:rsidRDefault="009855E8">
                    <w:pPr>
                      <w:autoSpaceDE w:val="0"/>
                      <w:autoSpaceDN w:val="0"/>
                      <w:adjustRightInd w:val="0"/>
                      <w:jc w:val="right"/>
                    </w:pPr>
                    <w:r w:rsidRPr="006D4FBA">
                      <w:rPr>
                        <w:rFonts w:hint="eastAsia"/>
                      </w:rPr>
                      <w:t xml:space="preserve">0.07 </w:t>
                    </w:r>
                  </w:p>
                </w:tc>
                <w:tc>
                  <w:tcPr>
                    <w:tcW w:w="2696" w:type="dxa"/>
                    <w:vAlign w:val="center"/>
                  </w:tcPr>
                  <w:p w14:paraId="0A74600B" w14:textId="77777777" w:rsidR="00B201D3" w:rsidRPr="006D4FBA" w:rsidRDefault="009855E8">
                    <w:pPr>
                      <w:autoSpaceDE w:val="0"/>
                      <w:autoSpaceDN w:val="0"/>
                      <w:adjustRightInd w:val="0"/>
                      <w:jc w:val="right"/>
                    </w:pPr>
                    <w:r w:rsidRPr="006D4FBA">
                      <w:t xml:space="preserve">1.79 </w:t>
                    </w:r>
                  </w:p>
                </w:tc>
              </w:tr>
              <w:tr w:rsidR="00B201D3" w:rsidRPr="006D4FBA" w14:paraId="308A5FA3" w14:textId="77777777">
                <w:trPr>
                  <w:trHeight w:val="20"/>
                  <w:jc w:val="center"/>
                </w:trPr>
                <w:tc>
                  <w:tcPr>
                    <w:tcW w:w="3028" w:type="dxa"/>
                    <w:vAlign w:val="center"/>
                  </w:tcPr>
                  <w:p w14:paraId="51ADBE69" w14:textId="77777777" w:rsidR="00B201D3" w:rsidRPr="006D4FBA" w:rsidRDefault="009855E8">
                    <w:pPr>
                      <w:autoSpaceDE w:val="0"/>
                      <w:autoSpaceDN w:val="0"/>
                      <w:adjustRightInd w:val="0"/>
                      <w:rPr>
                        <w:u w:val="single"/>
                      </w:rPr>
                    </w:pPr>
                    <w:r w:rsidRPr="006D4FBA">
                      <w:rPr>
                        <w:rFonts w:hint="eastAsia"/>
                      </w:rPr>
                      <w:t>鄂尔多斯公司</w:t>
                    </w:r>
                  </w:p>
                </w:tc>
                <w:tc>
                  <w:tcPr>
                    <w:tcW w:w="2610" w:type="dxa"/>
                    <w:shd w:val="clear" w:color="auto" w:fill="auto"/>
                    <w:vAlign w:val="center"/>
                  </w:tcPr>
                  <w:p w14:paraId="116EAF3E" w14:textId="77777777" w:rsidR="00B201D3" w:rsidRPr="006D4FBA" w:rsidRDefault="009855E8">
                    <w:pPr>
                      <w:autoSpaceDE w:val="0"/>
                      <w:autoSpaceDN w:val="0"/>
                      <w:adjustRightInd w:val="0"/>
                      <w:jc w:val="right"/>
                    </w:pPr>
                    <w:r w:rsidRPr="006D4FBA">
                      <w:rPr>
                        <w:rFonts w:hint="eastAsia"/>
                      </w:rPr>
                      <w:t xml:space="preserve">1.37 </w:t>
                    </w:r>
                  </w:p>
                </w:tc>
                <w:tc>
                  <w:tcPr>
                    <w:tcW w:w="2696" w:type="dxa"/>
                    <w:vAlign w:val="center"/>
                  </w:tcPr>
                  <w:p w14:paraId="5E45A2FB" w14:textId="77777777" w:rsidR="00B201D3" w:rsidRPr="006D4FBA" w:rsidRDefault="009855E8">
                    <w:pPr>
                      <w:autoSpaceDE w:val="0"/>
                      <w:autoSpaceDN w:val="0"/>
                      <w:adjustRightInd w:val="0"/>
                      <w:jc w:val="right"/>
                    </w:pPr>
                    <w:r w:rsidRPr="006D4FBA">
                      <w:t xml:space="preserve">8.56 </w:t>
                    </w:r>
                  </w:p>
                </w:tc>
              </w:tr>
              <w:tr w:rsidR="00B201D3" w:rsidRPr="006D4FBA" w14:paraId="281DEB8D" w14:textId="77777777">
                <w:trPr>
                  <w:trHeight w:val="20"/>
                  <w:jc w:val="center"/>
                </w:trPr>
                <w:tc>
                  <w:tcPr>
                    <w:tcW w:w="3028" w:type="dxa"/>
                    <w:vAlign w:val="center"/>
                  </w:tcPr>
                  <w:p w14:paraId="4783ABA2" w14:textId="77777777" w:rsidR="00B201D3" w:rsidRPr="006D4FBA" w:rsidRDefault="009855E8">
                    <w:pPr>
                      <w:autoSpaceDE w:val="0"/>
                      <w:autoSpaceDN w:val="0"/>
                      <w:adjustRightInd w:val="0"/>
                      <w:rPr>
                        <w:u w:val="single"/>
                      </w:rPr>
                    </w:pPr>
                    <w:r w:rsidRPr="006D4FBA">
                      <w:rPr>
                        <w:rFonts w:hint="eastAsia"/>
                      </w:rPr>
                      <w:t>昊盛煤业</w:t>
                    </w:r>
                  </w:p>
                </w:tc>
                <w:tc>
                  <w:tcPr>
                    <w:tcW w:w="2610" w:type="dxa"/>
                    <w:shd w:val="clear" w:color="auto" w:fill="auto"/>
                    <w:vAlign w:val="center"/>
                  </w:tcPr>
                  <w:p w14:paraId="215C4144" w14:textId="77777777" w:rsidR="00B201D3" w:rsidRPr="006D4FBA" w:rsidRDefault="009855E8">
                    <w:pPr>
                      <w:autoSpaceDE w:val="0"/>
                      <w:autoSpaceDN w:val="0"/>
                      <w:adjustRightInd w:val="0"/>
                      <w:jc w:val="right"/>
                    </w:pPr>
                    <w:r w:rsidRPr="006D4FBA">
                      <w:rPr>
                        <w:rFonts w:hint="eastAsia"/>
                      </w:rPr>
                      <w:t xml:space="preserve">0.39 </w:t>
                    </w:r>
                  </w:p>
                </w:tc>
                <w:tc>
                  <w:tcPr>
                    <w:tcW w:w="2696" w:type="dxa"/>
                    <w:vAlign w:val="center"/>
                  </w:tcPr>
                  <w:p w14:paraId="6B409841" w14:textId="77777777" w:rsidR="00B201D3" w:rsidRPr="006D4FBA" w:rsidRDefault="009855E8">
                    <w:pPr>
                      <w:autoSpaceDE w:val="0"/>
                      <w:autoSpaceDN w:val="0"/>
                      <w:adjustRightInd w:val="0"/>
                      <w:jc w:val="right"/>
                    </w:pPr>
                    <w:r w:rsidRPr="006D4FBA">
                      <w:t xml:space="preserve">2.82 </w:t>
                    </w:r>
                  </w:p>
                </w:tc>
              </w:tr>
              <w:tr w:rsidR="00B201D3" w:rsidRPr="006D4FBA" w14:paraId="23D67442" w14:textId="77777777">
                <w:trPr>
                  <w:trHeight w:val="20"/>
                  <w:jc w:val="center"/>
                </w:trPr>
                <w:tc>
                  <w:tcPr>
                    <w:tcW w:w="3028" w:type="dxa"/>
                    <w:vAlign w:val="center"/>
                  </w:tcPr>
                  <w:p w14:paraId="1EE25678" w14:textId="77777777" w:rsidR="00B201D3" w:rsidRPr="006D4FBA" w:rsidRDefault="009855E8">
                    <w:pPr>
                      <w:autoSpaceDE w:val="0"/>
                      <w:autoSpaceDN w:val="0"/>
                      <w:adjustRightInd w:val="0"/>
                      <w:rPr>
                        <w:u w:val="single"/>
                      </w:rPr>
                    </w:pPr>
                    <w:r w:rsidRPr="006D4FBA">
                      <w:rPr>
                        <w:rFonts w:hint="eastAsia"/>
                      </w:rPr>
                      <w:t>内蒙古矿业</w:t>
                    </w:r>
                  </w:p>
                </w:tc>
                <w:tc>
                  <w:tcPr>
                    <w:tcW w:w="2610" w:type="dxa"/>
                    <w:shd w:val="clear" w:color="auto" w:fill="auto"/>
                    <w:vAlign w:val="center"/>
                  </w:tcPr>
                  <w:p w14:paraId="6C1BEFB1" w14:textId="77777777" w:rsidR="00B201D3" w:rsidRPr="006D4FBA" w:rsidRDefault="009855E8">
                    <w:pPr>
                      <w:autoSpaceDE w:val="0"/>
                      <w:autoSpaceDN w:val="0"/>
                      <w:adjustRightInd w:val="0"/>
                      <w:jc w:val="right"/>
                    </w:pPr>
                    <w:r w:rsidRPr="006D4FBA">
                      <w:rPr>
                        <w:rFonts w:hint="eastAsia"/>
                      </w:rPr>
                      <w:t xml:space="preserve">0.21 </w:t>
                    </w:r>
                  </w:p>
                </w:tc>
                <w:tc>
                  <w:tcPr>
                    <w:tcW w:w="2696" w:type="dxa"/>
                    <w:vAlign w:val="center"/>
                  </w:tcPr>
                  <w:p w14:paraId="06C738B0" w14:textId="77777777" w:rsidR="00B201D3" w:rsidRPr="006D4FBA" w:rsidRDefault="009855E8">
                    <w:pPr>
                      <w:autoSpaceDE w:val="0"/>
                      <w:autoSpaceDN w:val="0"/>
                      <w:adjustRightInd w:val="0"/>
                      <w:jc w:val="right"/>
                    </w:pPr>
                    <w:r w:rsidRPr="006D4FBA">
                      <w:t xml:space="preserve">3.64 </w:t>
                    </w:r>
                  </w:p>
                </w:tc>
              </w:tr>
              <w:tr w:rsidR="00B201D3" w:rsidRPr="006D4FBA" w14:paraId="47FFCBA6" w14:textId="77777777">
                <w:trPr>
                  <w:trHeight w:val="290"/>
                  <w:jc w:val="center"/>
                </w:trPr>
                <w:tc>
                  <w:tcPr>
                    <w:tcW w:w="3028" w:type="dxa"/>
                    <w:vAlign w:val="center"/>
                  </w:tcPr>
                  <w:p w14:paraId="7536C3EB" w14:textId="77777777" w:rsidR="00B201D3" w:rsidRPr="006D4FBA" w:rsidRDefault="009855E8">
                    <w:pPr>
                      <w:autoSpaceDE w:val="0"/>
                      <w:autoSpaceDN w:val="0"/>
                      <w:adjustRightInd w:val="0"/>
                      <w:rPr>
                        <w:u w:val="single"/>
                      </w:rPr>
                    </w:pPr>
                    <w:r w:rsidRPr="006D4FBA">
                      <w:rPr>
                        <w:rFonts w:hint="eastAsia"/>
                      </w:rPr>
                      <w:t>兖煤澳洲</w:t>
                    </w:r>
                  </w:p>
                </w:tc>
                <w:tc>
                  <w:tcPr>
                    <w:tcW w:w="2610" w:type="dxa"/>
                    <w:shd w:val="clear" w:color="auto" w:fill="auto"/>
                    <w:vAlign w:val="center"/>
                  </w:tcPr>
                  <w:p w14:paraId="5106F433" w14:textId="77777777" w:rsidR="00B201D3" w:rsidRPr="006D4FBA" w:rsidRDefault="009855E8">
                    <w:pPr>
                      <w:autoSpaceDE w:val="0"/>
                      <w:autoSpaceDN w:val="0"/>
                      <w:adjustRightInd w:val="0"/>
                      <w:jc w:val="right"/>
                    </w:pPr>
                    <w:r w:rsidRPr="006D4FBA">
                      <w:rPr>
                        <w:rFonts w:hint="eastAsia"/>
                      </w:rPr>
                      <w:t xml:space="preserve">11.23 </w:t>
                    </w:r>
                  </w:p>
                </w:tc>
                <w:tc>
                  <w:tcPr>
                    <w:tcW w:w="2696" w:type="dxa"/>
                    <w:vAlign w:val="center"/>
                  </w:tcPr>
                  <w:p w14:paraId="12D31CAD" w14:textId="77777777" w:rsidR="00B201D3" w:rsidRPr="006D4FBA" w:rsidRDefault="009855E8">
                    <w:pPr>
                      <w:autoSpaceDE w:val="0"/>
                      <w:autoSpaceDN w:val="0"/>
                      <w:adjustRightInd w:val="0"/>
                      <w:jc w:val="right"/>
                    </w:pPr>
                    <w:r w:rsidRPr="006D4FBA">
                      <w:t xml:space="preserve">35.77 </w:t>
                    </w:r>
                  </w:p>
                </w:tc>
              </w:tr>
              <w:tr w:rsidR="00B201D3" w:rsidRPr="006D4FBA" w14:paraId="1397F124" w14:textId="77777777">
                <w:trPr>
                  <w:trHeight w:val="290"/>
                  <w:jc w:val="center"/>
                </w:trPr>
                <w:tc>
                  <w:tcPr>
                    <w:tcW w:w="3028" w:type="dxa"/>
                    <w:vAlign w:val="center"/>
                  </w:tcPr>
                  <w:p w14:paraId="3B347EFD" w14:textId="77777777" w:rsidR="00B201D3" w:rsidRPr="006D4FBA" w:rsidRDefault="009855E8">
                    <w:pPr>
                      <w:autoSpaceDE w:val="0"/>
                      <w:autoSpaceDN w:val="0"/>
                      <w:adjustRightInd w:val="0"/>
                      <w:rPr>
                        <w:u w:val="single"/>
                      </w:rPr>
                    </w:pPr>
                    <w:r w:rsidRPr="006D4FBA">
                      <w:rPr>
                        <w:rFonts w:hint="eastAsia"/>
                      </w:rPr>
                      <w:t>兖煤国际</w:t>
                    </w:r>
                  </w:p>
                </w:tc>
                <w:tc>
                  <w:tcPr>
                    <w:tcW w:w="2610" w:type="dxa"/>
                    <w:shd w:val="clear" w:color="auto" w:fill="auto"/>
                    <w:vAlign w:val="center"/>
                  </w:tcPr>
                  <w:p w14:paraId="67F88806" w14:textId="77777777" w:rsidR="00B201D3" w:rsidRPr="006D4FBA" w:rsidRDefault="009855E8">
                    <w:pPr>
                      <w:autoSpaceDE w:val="0"/>
                      <w:autoSpaceDN w:val="0"/>
                      <w:adjustRightInd w:val="0"/>
                      <w:jc w:val="right"/>
                    </w:pPr>
                    <w:r w:rsidRPr="006D4FBA">
                      <w:rPr>
                        <w:rFonts w:hint="eastAsia"/>
                      </w:rPr>
                      <w:t xml:space="preserve">1.50 </w:t>
                    </w:r>
                  </w:p>
                </w:tc>
                <w:tc>
                  <w:tcPr>
                    <w:tcW w:w="2696" w:type="dxa"/>
                    <w:vAlign w:val="center"/>
                  </w:tcPr>
                  <w:p w14:paraId="44873F65" w14:textId="77777777" w:rsidR="00B201D3" w:rsidRPr="006D4FBA" w:rsidRDefault="009855E8">
                    <w:pPr>
                      <w:autoSpaceDE w:val="0"/>
                      <w:autoSpaceDN w:val="0"/>
                      <w:adjustRightInd w:val="0"/>
                      <w:jc w:val="right"/>
                    </w:pPr>
                    <w:r w:rsidRPr="006D4FBA">
                      <w:t>12.80</w:t>
                    </w:r>
                  </w:p>
                </w:tc>
              </w:tr>
              <w:tr w:rsidR="00B201D3" w:rsidRPr="006D4FBA" w14:paraId="44E73872" w14:textId="77777777">
                <w:trPr>
                  <w:trHeight w:val="290"/>
                  <w:jc w:val="center"/>
                </w:trPr>
                <w:tc>
                  <w:tcPr>
                    <w:tcW w:w="3028" w:type="dxa"/>
                    <w:vAlign w:val="center"/>
                  </w:tcPr>
                  <w:p w14:paraId="470AB7B0" w14:textId="77777777" w:rsidR="00B201D3" w:rsidRPr="006D4FBA" w:rsidRDefault="009855E8">
                    <w:pPr>
                      <w:autoSpaceDE w:val="0"/>
                      <w:autoSpaceDN w:val="0"/>
                      <w:adjustRightInd w:val="0"/>
                      <w:rPr>
                        <w:u w:val="single"/>
                      </w:rPr>
                    </w:pPr>
                    <w:r w:rsidRPr="006D4FBA">
                      <w:rPr>
                        <w:rFonts w:hint="eastAsia"/>
                      </w:rPr>
                      <w:t>其他子公司</w:t>
                    </w:r>
                  </w:p>
                </w:tc>
                <w:tc>
                  <w:tcPr>
                    <w:tcW w:w="2610" w:type="dxa"/>
                    <w:shd w:val="clear" w:color="auto" w:fill="auto"/>
                    <w:vAlign w:val="center"/>
                  </w:tcPr>
                  <w:p w14:paraId="0135AAF7" w14:textId="77777777" w:rsidR="00B201D3" w:rsidRPr="006D4FBA" w:rsidRDefault="009855E8">
                    <w:pPr>
                      <w:autoSpaceDE w:val="0"/>
                      <w:autoSpaceDN w:val="0"/>
                      <w:adjustRightInd w:val="0"/>
                      <w:jc w:val="right"/>
                    </w:pPr>
                    <w:r w:rsidRPr="006D4FBA">
                      <w:rPr>
                        <w:rFonts w:hint="eastAsia"/>
                      </w:rPr>
                      <w:t xml:space="preserve">0.21 </w:t>
                    </w:r>
                  </w:p>
                </w:tc>
                <w:tc>
                  <w:tcPr>
                    <w:tcW w:w="2696" w:type="dxa"/>
                    <w:vAlign w:val="center"/>
                  </w:tcPr>
                  <w:p w14:paraId="02EC78E9" w14:textId="77777777" w:rsidR="00B201D3" w:rsidRPr="006D4FBA" w:rsidRDefault="009855E8">
                    <w:pPr>
                      <w:autoSpaceDE w:val="0"/>
                      <w:autoSpaceDN w:val="0"/>
                      <w:adjustRightInd w:val="0"/>
                      <w:jc w:val="right"/>
                    </w:pPr>
                    <w:r w:rsidRPr="006D4FBA">
                      <w:t>3.80</w:t>
                    </w:r>
                  </w:p>
                </w:tc>
              </w:tr>
              <w:tr w:rsidR="00B201D3" w:rsidRPr="006D4FBA" w14:paraId="23AF3B08" w14:textId="77777777">
                <w:trPr>
                  <w:trHeight w:val="290"/>
                  <w:jc w:val="center"/>
                </w:trPr>
                <w:tc>
                  <w:tcPr>
                    <w:tcW w:w="3028" w:type="dxa"/>
                    <w:vAlign w:val="center"/>
                  </w:tcPr>
                  <w:p w14:paraId="756D3C6C" w14:textId="77777777" w:rsidR="00B201D3" w:rsidRPr="006D4FBA" w:rsidRDefault="009855E8">
                    <w:pPr>
                      <w:autoSpaceDE w:val="0"/>
                      <w:autoSpaceDN w:val="0"/>
                      <w:adjustRightInd w:val="0"/>
                      <w:ind w:firstLine="440"/>
                    </w:pPr>
                    <w:r w:rsidRPr="006D4FBA">
                      <w:rPr>
                        <w:rFonts w:hint="eastAsia"/>
                      </w:rPr>
                      <w:t>合计</w:t>
                    </w:r>
                  </w:p>
                </w:tc>
                <w:tc>
                  <w:tcPr>
                    <w:tcW w:w="2610" w:type="dxa"/>
                    <w:shd w:val="clear" w:color="auto" w:fill="auto"/>
                    <w:vAlign w:val="center"/>
                  </w:tcPr>
                  <w:p w14:paraId="7AB3E601" w14:textId="77777777" w:rsidR="00B201D3" w:rsidRPr="006D4FBA" w:rsidRDefault="009855E8">
                    <w:pPr>
                      <w:autoSpaceDE w:val="0"/>
                      <w:autoSpaceDN w:val="0"/>
                      <w:adjustRightInd w:val="0"/>
                      <w:jc w:val="right"/>
                    </w:pPr>
                    <w:r w:rsidRPr="006D4FBA">
                      <w:rPr>
                        <w:rFonts w:hint="eastAsia"/>
                      </w:rPr>
                      <w:t xml:space="preserve">30.75 </w:t>
                    </w:r>
                  </w:p>
                </w:tc>
                <w:tc>
                  <w:tcPr>
                    <w:tcW w:w="2696" w:type="dxa"/>
                    <w:vAlign w:val="center"/>
                  </w:tcPr>
                  <w:p w14:paraId="628BAE6B" w14:textId="77777777" w:rsidR="00B201D3" w:rsidRPr="006D4FBA" w:rsidRDefault="009855E8">
                    <w:pPr>
                      <w:autoSpaceDE w:val="0"/>
                      <w:autoSpaceDN w:val="0"/>
                      <w:adjustRightInd w:val="0"/>
                      <w:jc w:val="right"/>
                    </w:pPr>
                    <w:r w:rsidRPr="006D4FBA">
                      <w:t>149.96</w:t>
                    </w:r>
                  </w:p>
                </w:tc>
              </w:tr>
            </w:tbl>
            <w:p w14:paraId="14785490" w14:textId="77777777" w:rsidR="00B201D3" w:rsidRPr="006D4FBA" w:rsidRDefault="00B201D3">
              <w:pPr>
                <w:widowControl w:val="0"/>
                <w:autoSpaceDE w:val="0"/>
                <w:autoSpaceDN w:val="0"/>
                <w:adjustRightInd w:val="0"/>
                <w:ind w:firstLineChars="200" w:firstLine="420"/>
              </w:pPr>
            </w:p>
            <w:p w14:paraId="6750C3B2" w14:textId="77777777" w:rsidR="00B201D3" w:rsidRPr="006D4FBA" w:rsidRDefault="009855E8">
              <w:pPr>
                <w:widowControl w:val="0"/>
                <w:autoSpaceDE w:val="0"/>
                <w:autoSpaceDN w:val="0"/>
                <w:adjustRightInd w:val="0"/>
                <w:ind w:firstLineChars="200" w:firstLine="420"/>
                <w:rPr>
                  <w:rFonts w:cs="Times New Roman"/>
                  <w:kern w:val="2"/>
                </w:rPr>
              </w:pPr>
              <w:r w:rsidRPr="006D4FBA">
                <w:rPr>
                  <w:rFonts w:cs="Times New Roman" w:hint="eastAsia"/>
                  <w:bCs/>
                  <w:kern w:val="2"/>
                </w:rPr>
                <w:t>本集团</w:t>
              </w:r>
              <w:r w:rsidRPr="006D4FBA">
                <w:rPr>
                  <w:rFonts w:cs="Times New Roman" w:hint="eastAsia"/>
                  <w:bCs/>
                  <w:lang w:val="en-GB"/>
                </w:rPr>
                <w:t>202</w:t>
              </w:r>
              <w:r w:rsidRPr="006D4FBA">
                <w:rPr>
                  <w:rFonts w:cs="Times New Roman"/>
                  <w:bCs/>
                  <w:lang w:val="en-GB"/>
                </w:rPr>
                <w:t>3</w:t>
              </w:r>
              <w:r w:rsidRPr="006D4FBA">
                <w:rPr>
                  <w:rFonts w:cs="Times New Roman" w:hint="eastAsia"/>
                  <w:bCs/>
                  <w:lang w:val="en-GB"/>
                </w:rPr>
                <w:t>年上半年资本性支出情况及202</w:t>
              </w:r>
              <w:r w:rsidRPr="006D4FBA">
                <w:rPr>
                  <w:rFonts w:cs="Times New Roman"/>
                  <w:bCs/>
                  <w:lang w:val="en-GB"/>
                </w:rPr>
                <w:t>3</w:t>
              </w:r>
              <w:r w:rsidRPr="006D4FBA">
                <w:rPr>
                  <w:rFonts w:cs="Times New Roman" w:hint="eastAsia"/>
                  <w:bCs/>
                  <w:lang w:val="en-GB"/>
                </w:rPr>
                <w:t>年度资本性支出计划</w:t>
              </w:r>
              <w:r w:rsidRPr="006D4FBA">
                <w:rPr>
                  <w:rFonts w:cs="Times New Roman" w:hint="eastAsia"/>
                  <w:bCs/>
                  <w:kern w:val="2"/>
                </w:rPr>
                <w:t>(依照资金用途划分)如下表：</w:t>
              </w:r>
            </w:p>
            <w:p w14:paraId="20706406" w14:textId="77777777" w:rsidR="00B201D3" w:rsidRPr="006D4FBA" w:rsidRDefault="009855E8">
              <w:pPr>
                <w:ind w:rightChars="200" w:right="420" w:firstLineChars="200" w:firstLine="420"/>
                <w:jc w:val="right"/>
                <w:rPr>
                  <w:rFonts w:cs="Times New Roman"/>
                  <w:bCs/>
                  <w:lang w:val="en-GB"/>
                </w:rPr>
              </w:pPr>
              <w:r w:rsidRPr="006D4FBA">
                <w:rPr>
                  <w:rFonts w:cs="Times New Roman" w:hint="eastAsia"/>
                  <w:bCs/>
                  <w:lang w:val="en-GB"/>
                </w:rPr>
                <w:t>单位：亿元</w:t>
              </w:r>
            </w:p>
            <w:tbl>
              <w:tblPr>
                <w:tblStyle w:val="g1"/>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2261"/>
                <w:gridCol w:w="2353"/>
              </w:tblGrid>
              <w:tr w:rsidR="00B201D3" w:rsidRPr="006D4FBA" w14:paraId="1AF8BD1F" w14:textId="77777777">
                <w:trPr>
                  <w:jc w:val="center"/>
                </w:trPr>
                <w:tc>
                  <w:tcPr>
                    <w:tcW w:w="3016" w:type="dxa"/>
                  </w:tcPr>
                  <w:p w14:paraId="12BA0449" w14:textId="77777777" w:rsidR="00B201D3" w:rsidRPr="006D4FBA" w:rsidRDefault="00B201D3">
                    <w:pPr>
                      <w:autoSpaceDE w:val="0"/>
                      <w:autoSpaceDN w:val="0"/>
                      <w:adjustRightInd w:val="0"/>
                    </w:pPr>
                  </w:p>
                </w:tc>
                <w:tc>
                  <w:tcPr>
                    <w:tcW w:w="2261" w:type="dxa"/>
                  </w:tcPr>
                  <w:p w14:paraId="054330A7" w14:textId="77777777" w:rsidR="00B201D3" w:rsidRPr="006D4FBA" w:rsidRDefault="009855E8">
                    <w:pPr>
                      <w:autoSpaceDE w:val="0"/>
                      <w:autoSpaceDN w:val="0"/>
                      <w:adjustRightInd w:val="0"/>
                      <w:jc w:val="center"/>
                      <w:rPr>
                        <w:b/>
                      </w:rPr>
                    </w:pPr>
                    <w:r w:rsidRPr="006D4FBA">
                      <w:rPr>
                        <w:b/>
                      </w:rPr>
                      <w:t>2023年上半年</w:t>
                    </w:r>
                  </w:p>
                </w:tc>
                <w:tc>
                  <w:tcPr>
                    <w:tcW w:w="2353" w:type="dxa"/>
                  </w:tcPr>
                  <w:p w14:paraId="7DAE18C2" w14:textId="77777777" w:rsidR="00B201D3" w:rsidRPr="006D4FBA" w:rsidRDefault="009855E8">
                    <w:pPr>
                      <w:autoSpaceDE w:val="0"/>
                      <w:autoSpaceDN w:val="0"/>
                      <w:adjustRightInd w:val="0"/>
                      <w:jc w:val="center"/>
                      <w:rPr>
                        <w:b/>
                      </w:rPr>
                    </w:pPr>
                    <w:r w:rsidRPr="006D4FBA">
                      <w:rPr>
                        <w:b/>
                      </w:rPr>
                      <w:t>2023年计划</w:t>
                    </w:r>
                  </w:p>
                </w:tc>
              </w:tr>
              <w:tr w:rsidR="00B201D3" w:rsidRPr="006D4FBA" w14:paraId="129E235F" w14:textId="77777777">
                <w:trPr>
                  <w:jc w:val="center"/>
                </w:trPr>
                <w:tc>
                  <w:tcPr>
                    <w:tcW w:w="3016" w:type="dxa"/>
                  </w:tcPr>
                  <w:p w14:paraId="537BFE71" w14:textId="77777777" w:rsidR="00B201D3" w:rsidRPr="006D4FBA" w:rsidRDefault="009855E8">
                    <w:pPr>
                      <w:autoSpaceDE w:val="0"/>
                      <w:autoSpaceDN w:val="0"/>
                      <w:adjustRightInd w:val="0"/>
                    </w:pPr>
                    <w:r w:rsidRPr="006D4FBA">
                      <w:rPr>
                        <w:rFonts w:hint="eastAsia"/>
                      </w:rPr>
                      <w:t>基建项目</w:t>
                    </w:r>
                  </w:p>
                </w:tc>
                <w:tc>
                  <w:tcPr>
                    <w:tcW w:w="2261" w:type="dxa"/>
                    <w:shd w:val="clear" w:color="auto" w:fill="auto"/>
                    <w:vAlign w:val="center"/>
                  </w:tcPr>
                  <w:p w14:paraId="56DD0705" w14:textId="77777777" w:rsidR="00B201D3" w:rsidRPr="006D4FBA" w:rsidRDefault="009855E8">
                    <w:pPr>
                      <w:autoSpaceDE w:val="0"/>
                      <w:autoSpaceDN w:val="0"/>
                      <w:adjustRightInd w:val="0"/>
                      <w:ind w:firstLineChars="200" w:firstLine="420"/>
                      <w:jc w:val="right"/>
                    </w:pPr>
                    <w:r w:rsidRPr="006D4FBA">
                      <w:rPr>
                        <w:rFonts w:hint="eastAsia"/>
                      </w:rPr>
                      <w:t xml:space="preserve">12.90 </w:t>
                    </w:r>
                  </w:p>
                </w:tc>
                <w:tc>
                  <w:tcPr>
                    <w:tcW w:w="2353" w:type="dxa"/>
                  </w:tcPr>
                  <w:p w14:paraId="78634013" w14:textId="77777777" w:rsidR="00B201D3" w:rsidRPr="006D4FBA" w:rsidRDefault="009855E8">
                    <w:pPr>
                      <w:autoSpaceDE w:val="0"/>
                      <w:autoSpaceDN w:val="0"/>
                      <w:adjustRightInd w:val="0"/>
                      <w:ind w:firstLineChars="200" w:firstLine="420"/>
                      <w:jc w:val="right"/>
                    </w:pPr>
                    <w:r w:rsidRPr="006D4FBA">
                      <w:t xml:space="preserve">55.39 </w:t>
                    </w:r>
                  </w:p>
                </w:tc>
              </w:tr>
              <w:tr w:rsidR="00B201D3" w:rsidRPr="006D4FBA" w14:paraId="3473EC5F" w14:textId="77777777">
                <w:trPr>
                  <w:jc w:val="center"/>
                </w:trPr>
                <w:tc>
                  <w:tcPr>
                    <w:tcW w:w="3016" w:type="dxa"/>
                  </w:tcPr>
                  <w:p w14:paraId="57BFC0C3" w14:textId="77777777" w:rsidR="00B201D3" w:rsidRPr="006D4FBA" w:rsidRDefault="009855E8">
                    <w:pPr>
                      <w:autoSpaceDE w:val="0"/>
                      <w:autoSpaceDN w:val="0"/>
                      <w:adjustRightInd w:val="0"/>
                      <w:ind w:firstLineChars="150" w:firstLine="315"/>
                    </w:pPr>
                    <w:r w:rsidRPr="006D4FBA">
                      <w:rPr>
                        <w:rFonts w:hint="eastAsia"/>
                      </w:rPr>
                      <w:t>煤炭矿井基建</w:t>
                    </w:r>
                  </w:p>
                </w:tc>
                <w:tc>
                  <w:tcPr>
                    <w:tcW w:w="2261" w:type="dxa"/>
                    <w:shd w:val="clear" w:color="auto" w:fill="auto"/>
                    <w:vAlign w:val="center"/>
                  </w:tcPr>
                  <w:p w14:paraId="7252DD17" w14:textId="77777777" w:rsidR="00B201D3" w:rsidRPr="006D4FBA" w:rsidRDefault="009855E8">
                    <w:pPr>
                      <w:autoSpaceDE w:val="0"/>
                      <w:autoSpaceDN w:val="0"/>
                      <w:adjustRightInd w:val="0"/>
                      <w:ind w:firstLineChars="200" w:firstLine="420"/>
                      <w:jc w:val="right"/>
                    </w:pPr>
                    <w:r w:rsidRPr="006D4FBA">
                      <w:rPr>
                        <w:rFonts w:hint="eastAsia"/>
                      </w:rPr>
                      <w:t xml:space="preserve">2.30 </w:t>
                    </w:r>
                  </w:p>
                </w:tc>
                <w:tc>
                  <w:tcPr>
                    <w:tcW w:w="2353" w:type="dxa"/>
                  </w:tcPr>
                  <w:p w14:paraId="6FF8BCE7" w14:textId="77777777" w:rsidR="00B201D3" w:rsidRPr="006D4FBA" w:rsidRDefault="009855E8">
                    <w:pPr>
                      <w:autoSpaceDE w:val="0"/>
                      <w:autoSpaceDN w:val="0"/>
                      <w:adjustRightInd w:val="0"/>
                      <w:ind w:firstLineChars="200" w:firstLine="420"/>
                      <w:jc w:val="right"/>
                    </w:pPr>
                    <w:r w:rsidRPr="006D4FBA">
                      <w:t xml:space="preserve">14.53 </w:t>
                    </w:r>
                  </w:p>
                </w:tc>
              </w:tr>
              <w:tr w:rsidR="00B201D3" w:rsidRPr="006D4FBA" w14:paraId="1BAE7848" w14:textId="77777777">
                <w:trPr>
                  <w:jc w:val="center"/>
                </w:trPr>
                <w:tc>
                  <w:tcPr>
                    <w:tcW w:w="3016" w:type="dxa"/>
                  </w:tcPr>
                  <w:p w14:paraId="5E3FB521" w14:textId="77777777" w:rsidR="00B201D3" w:rsidRPr="006D4FBA" w:rsidRDefault="009855E8">
                    <w:pPr>
                      <w:autoSpaceDE w:val="0"/>
                      <w:autoSpaceDN w:val="0"/>
                      <w:adjustRightInd w:val="0"/>
                      <w:ind w:firstLineChars="150" w:firstLine="315"/>
                    </w:pPr>
                    <w:r w:rsidRPr="006D4FBA">
                      <w:rPr>
                        <w:rFonts w:hint="eastAsia"/>
                      </w:rPr>
                      <w:t>化工项目基建</w:t>
                    </w:r>
                  </w:p>
                </w:tc>
                <w:tc>
                  <w:tcPr>
                    <w:tcW w:w="2261" w:type="dxa"/>
                    <w:shd w:val="clear" w:color="auto" w:fill="auto"/>
                    <w:vAlign w:val="center"/>
                  </w:tcPr>
                  <w:p w14:paraId="4D148ACE" w14:textId="77777777" w:rsidR="00B201D3" w:rsidRPr="006D4FBA" w:rsidRDefault="009855E8">
                    <w:pPr>
                      <w:autoSpaceDE w:val="0"/>
                      <w:autoSpaceDN w:val="0"/>
                      <w:adjustRightInd w:val="0"/>
                      <w:ind w:firstLineChars="200" w:firstLine="420"/>
                      <w:jc w:val="right"/>
                    </w:pPr>
                    <w:r w:rsidRPr="006D4FBA">
                      <w:rPr>
                        <w:rFonts w:hint="eastAsia"/>
                      </w:rPr>
                      <w:t xml:space="preserve">6.85 </w:t>
                    </w:r>
                  </w:p>
                </w:tc>
                <w:tc>
                  <w:tcPr>
                    <w:tcW w:w="2353" w:type="dxa"/>
                  </w:tcPr>
                  <w:p w14:paraId="281DD62E" w14:textId="77777777" w:rsidR="00B201D3" w:rsidRPr="006D4FBA" w:rsidRDefault="009855E8">
                    <w:pPr>
                      <w:autoSpaceDE w:val="0"/>
                      <w:autoSpaceDN w:val="0"/>
                      <w:adjustRightInd w:val="0"/>
                      <w:ind w:firstLineChars="200" w:firstLine="420"/>
                      <w:jc w:val="right"/>
                    </w:pPr>
                    <w:r w:rsidRPr="006D4FBA">
                      <w:t xml:space="preserve">16.58 </w:t>
                    </w:r>
                  </w:p>
                </w:tc>
              </w:tr>
              <w:tr w:rsidR="00B201D3" w:rsidRPr="006D4FBA" w14:paraId="0434C4C8" w14:textId="77777777">
                <w:trPr>
                  <w:jc w:val="center"/>
                </w:trPr>
                <w:tc>
                  <w:tcPr>
                    <w:tcW w:w="3016" w:type="dxa"/>
                  </w:tcPr>
                  <w:p w14:paraId="0F492645" w14:textId="77777777" w:rsidR="00B201D3" w:rsidRPr="006D4FBA" w:rsidRDefault="009855E8">
                    <w:pPr>
                      <w:autoSpaceDE w:val="0"/>
                      <w:autoSpaceDN w:val="0"/>
                      <w:adjustRightInd w:val="0"/>
                      <w:ind w:firstLineChars="150" w:firstLine="315"/>
                    </w:pPr>
                    <w:r w:rsidRPr="006D4FBA">
                      <w:rPr>
                        <w:rFonts w:hint="eastAsia"/>
                      </w:rPr>
                      <w:t>物流和储配项目基建</w:t>
                    </w:r>
                  </w:p>
                </w:tc>
                <w:tc>
                  <w:tcPr>
                    <w:tcW w:w="2261" w:type="dxa"/>
                    <w:shd w:val="clear" w:color="auto" w:fill="auto"/>
                    <w:vAlign w:val="center"/>
                  </w:tcPr>
                  <w:p w14:paraId="044DDCD1" w14:textId="77777777" w:rsidR="00B201D3" w:rsidRPr="006D4FBA" w:rsidRDefault="009855E8">
                    <w:pPr>
                      <w:autoSpaceDE w:val="0"/>
                      <w:autoSpaceDN w:val="0"/>
                      <w:adjustRightInd w:val="0"/>
                      <w:ind w:firstLineChars="200" w:firstLine="420"/>
                      <w:jc w:val="right"/>
                    </w:pPr>
                    <w:r w:rsidRPr="006D4FBA">
                      <w:rPr>
                        <w:rFonts w:hint="eastAsia"/>
                      </w:rPr>
                      <w:t xml:space="preserve">3.20 </w:t>
                    </w:r>
                  </w:p>
                </w:tc>
                <w:tc>
                  <w:tcPr>
                    <w:tcW w:w="2353" w:type="dxa"/>
                  </w:tcPr>
                  <w:p w14:paraId="3A1CF6CC" w14:textId="77777777" w:rsidR="00B201D3" w:rsidRPr="006D4FBA" w:rsidRDefault="009855E8">
                    <w:pPr>
                      <w:autoSpaceDE w:val="0"/>
                      <w:autoSpaceDN w:val="0"/>
                      <w:adjustRightInd w:val="0"/>
                      <w:ind w:firstLineChars="200" w:firstLine="420"/>
                      <w:jc w:val="right"/>
                    </w:pPr>
                    <w:r w:rsidRPr="006D4FBA">
                      <w:t xml:space="preserve">17.51 </w:t>
                    </w:r>
                  </w:p>
                </w:tc>
              </w:tr>
              <w:tr w:rsidR="00B201D3" w:rsidRPr="006D4FBA" w14:paraId="0333E6A1" w14:textId="77777777">
                <w:trPr>
                  <w:jc w:val="center"/>
                </w:trPr>
                <w:tc>
                  <w:tcPr>
                    <w:tcW w:w="3016" w:type="dxa"/>
                  </w:tcPr>
                  <w:p w14:paraId="776DE9DF" w14:textId="77777777" w:rsidR="00B201D3" w:rsidRPr="006D4FBA" w:rsidRDefault="009855E8">
                    <w:pPr>
                      <w:autoSpaceDE w:val="0"/>
                      <w:autoSpaceDN w:val="0"/>
                      <w:adjustRightInd w:val="0"/>
                      <w:ind w:firstLineChars="150" w:firstLine="315"/>
                    </w:pPr>
                    <w:r w:rsidRPr="006D4FBA">
                      <w:rPr>
                        <w:rFonts w:hint="eastAsia"/>
                      </w:rPr>
                      <w:t>其他基建</w:t>
                    </w:r>
                  </w:p>
                </w:tc>
                <w:tc>
                  <w:tcPr>
                    <w:tcW w:w="2261" w:type="dxa"/>
                    <w:shd w:val="clear" w:color="auto" w:fill="auto"/>
                    <w:vAlign w:val="center"/>
                  </w:tcPr>
                  <w:p w14:paraId="4EB1F936" w14:textId="77777777" w:rsidR="00B201D3" w:rsidRPr="006D4FBA" w:rsidRDefault="009855E8">
                    <w:pPr>
                      <w:autoSpaceDE w:val="0"/>
                      <w:autoSpaceDN w:val="0"/>
                      <w:adjustRightInd w:val="0"/>
                      <w:ind w:firstLineChars="200" w:firstLine="420"/>
                      <w:jc w:val="right"/>
                    </w:pPr>
                    <w:r w:rsidRPr="006D4FBA">
                      <w:rPr>
                        <w:rFonts w:hint="eastAsia"/>
                      </w:rPr>
                      <w:t xml:space="preserve">0.55 </w:t>
                    </w:r>
                  </w:p>
                </w:tc>
                <w:tc>
                  <w:tcPr>
                    <w:tcW w:w="2353" w:type="dxa"/>
                  </w:tcPr>
                  <w:p w14:paraId="1CB2675C" w14:textId="77777777" w:rsidR="00B201D3" w:rsidRPr="006D4FBA" w:rsidRDefault="009855E8">
                    <w:pPr>
                      <w:autoSpaceDE w:val="0"/>
                      <w:autoSpaceDN w:val="0"/>
                      <w:adjustRightInd w:val="0"/>
                      <w:ind w:firstLineChars="200" w:firstLine="420"/>
                      <w:jc w:val="right"/>
                    </w:pPr>
                    <w:r w:rsidRPr="006D4FBA">
                      <w:t xml:space="preserve">6.77 </w:t>
                    </w:r>
                  </w:p>
                </w:tc>
              </w:tr>
              <w:tr w:rsidR="00B201D3" w:rsidRPr="006D4FBA" w14:paraId="3289365E" w14:textId="77777777">
                <w:trPr>
                  <w:jc w:val="center"/>
                </w:trPr>
                <w:tc>
                  <w:tcPr>
                    <w:tcW w:w="3016" w:type="dxa"/>
                  </w:tcPr>
                  <w:p w14:paraId="7923566C" w14:textId="77777777" w:rsidR="00B201D3" w:rsidRPr="006D4FBA" w:rsidRDefault="009855E8">
                    <w:pPr>
                      <w:autoSpaceDE w:val="0"/>
                      <w:autoSpaceDN w:val="0"/>
                      <w:adjustRightInd w:val="0"/>
                    </w:pPr>
                    <w:r w:rsidRPr="006D4FBA">
                      <w:rPr>
                        <w:rFonts w:hint="eastAsia"/>
                      </w:rPr>
                      <w:t>维持简单再生产</w:t>
                    </w:r>
                  </w:p>
                </w:tc>
                <w:tc>
                  <w:tcPr>
                    <w:tcW w:w="2261" w:type="dxa"/>
                    <w:shd w:val="clear" w:color="auto" w:fill="auto"/>
                    <w:vAlign w:val="center"/>
                  </w:tcPr>
                  <w:p w14:paraId="5BB76652" w14:textId="77777777" w:rsidR="00B201D3" w:rsidRPr="006D4FBA" w:rsidRDefault="009855E8">
                    <w:pPr>
                      <w:autoSpaceDE w:val="0"/>
                      <w:autoSpaceDN w:val="0"/>
                      <w:adjustRightInd w:val="0"/>
                      <w:ind w:firstLineChars="200" w:firstLine="420"/>
                      <w:jc w:val="right"/>
                    </w:pPr>
                    <w:r w:rsidRPr="006D4FBA">
                      <w:rPr>
                        <w:rFonts w:hint="eastAsia"/>
                      </w:rPr>
                      <w:t xml:space="preserve">14.33 </w:t>
                    </w:r>
                  </w:p>
                </w:tc>
                <w:tc>
                  <w:tcPr>
                    <w:tcW w:w="2353" w:type="dxa"/>
                  </w:tcPr>
                  <w:p w14:paraId="25DD36BA" w14:textId="77777777" w:rsidR="00B201D3" w:rsidRPr="006D4FBA" w:rsidRDefault="009855E8">
                    <w:pPr>
                      <w:autoSpaceDE w:val="0"/>
                      <w:autoSpaceDN w:val="0"/>
                      <w:adjustRightInd w:val="0"/>
                      <w:ind w:firstLineChars="200" w:firstLine="420"/>
                      <w:jc w:val="right"/>
                    </w:pPr>
                    <w:r w:rsidRPr="006D4FBA">
                      <w:t xml:space="preserve">76.80 </w:t>
                    </w:r>
                  </w:p>
                </w:tc>
              </w:tr>
              <w:tr w:rsidR="00B201D3" w:rsidRPr="006D4FBA" w14:paraId="332CE8B2" w14:textId="77777777">
                <w:trPr>
                  <w:jc w:val="center"/>
                </w:trPr>
                <w:tc>
                  <w:tcPr>
                    <w:tcW w:w="3016" w:type="dxa"/>
                  </w:tcPr>
                  <w:p w14:paraId="54F781D9" w14:textId="77777777" w:rsidR="00B201D3" w:rsidRPr="006D4FBA" w:rsidRDefault="009855E8">
                    <w:pPr>
                      <w:autoSpaceDE w:val="0"/>
                      <w:autoSpaceDN w:val="0"/>
                      <w:adjustRightInd w:val="0"/>
                    </w:pPr>
                    <w:r w:rsidRPr="006D4FBA">
                      <w:rPr>
                        <w:rFonts w:hint="eastAsia"/>
                      </w:rPr>
                      <w:t>安全生产计划支出</w:t>
                    </w:r>
                  </w:p>
                </w:tc>
                <w:tc>
                  <w:tcPr>
                    <w:tcW w:w="2261" w:type="dxa"/>
                    <w:shd w:val="clear" w:color="auto" w:fill="auto"/>
                    <w:vAlign w:val="center"/>
                  </w:tcPr>
                  <w:p w14:paraId="363D4989" w14:textId="77777777" w:rsidR="00B201D3" w:rsidRPr="006D4FBA" w:rsidRDefault="009855E8">
                    <w:pPr>
                      <w:autoSpaceDE w:val="0"/>
                      <w:autoSpaceDN w:val="0"/>
                      <w:adjustRightInd w:val="0"/>
                      <w:ind w:firstLineChars="200" w:firstLine="420"/>
                      <w:jc w:val="right"/>
                    </w:pPr>
                    <w:r w:rsidRPr="006D4FBA">
                      <w:rPr>
                        <w:rFonts w:hint="eastAsia"/>
                      </w:rPr>
                      <w:t xml:space="preserve">1.06 </w:t>
                    </w:r>
                  </w:p>
                </w:tc>
                <w:tc>
                  <w:tcPr>
                    <w:tcW w:w="2353" w:type="dxa"/>
                  </w:tcPr>
                  <w:p w14:paraId="683ACF3B" w14:textId="77777777" w:rsidR="00B201D3" w:rsidRPr="006D4FBA" w:rsidRDefault="009855E8">
                    <w:pPr>
                      <w:autoSpaceDE w:val="0"/>
                      <w:autoSpaceDN w:val="0"/>
                      <w:adjustRightInd w:val="0"/>
                      <w:ind w:firstLineChars="200" w:firstLine="420"/>
                      <w:jc w:val="right"/>
                    </w:pPr>
                    <w:r w:rsidRPr="006D4FBA">
                      <w:t xml:space="preserve">12.70 </w:t>
                    </w:r>
                  </w:p>
                </w:tc>
              </w:tr>
              <w:tr w:rsidR="00B201D3" w:rsidRPr="006D4FBA" w14:paraId="3AA4789E" w14:textId="77777777">
                <w:trPr>
                  <w:jc w:val="center"/>
                </w:trPr>
                <w:tc>
                  <w:tcPr>
                    <w:tcW w:w="3016" w:type="dxa"/>
                  </w:tcPr>
                  <w:p w14:paraId="5CE7BB78" w14:textId="77777777" w:rsidR="00B201D3" w:rsidRPr="006D4FBA" w:rsidRDefault="009855E8">
                    <w:pPr>
                      <w:autoSpaceDE w:val="0"/>
                      <w:autoSpaceDN w:val="0"/>
                      <w:adjustRightInd w:val="0"/>
                    </w:pPr>
                    <w:r w:rsidRPr="006D4FBA">
                      <w:rPr>
                        <w:rFonts w:hint="eastAsia"/>
                      </w:rPr>
                      <w:t>科技开发计划</w:t>
                    </w:r>
                  </w:p>
                </w:tc>
                <w:tc>
                  <w:tcPr>
                    <w:tcW w:w="2261" w:type="dxa"/>
                    <w:shd w:val="clear" w:color="auto" w:fill="auto"/>
                    <w:vAlign w:val="center"/>
                  </w:tcPr>
                  <w:p w14:paraId="410FDD62" w14:textId="77777777" w:rsidR="00B201D3" w:rsidRPr="006D4FBA" w:rsidRDefault="009855E8">
                    <w:pPr>
                      <w:autoSpaceDE w:val="0"/>
                      <w:autoSpaceDN w:val="0"/>
                      <w:adjustRightInd w:val="0"/>
                      <w:ind w:firstLineChars="200" w:firstLine="420"/>
                      <w:jc w:val="right"/>
                    </w:pPr>
                    <w:r w:rsidRPr="006D4FBA">
                      <w:rPr>
                        <w:rFonts w:hint="eastAsia"/>
                      </w:rPr>
                      <w:t>-</w:t>
                    </w:r>
                  </w:p>
                </w:tc>
                <w:tc>
                  <w:tcPr>
                    <w:tcW w:w="2353" w:type="dxa"/>
                  </w:tcPr>
                  <w:p w14:paraId="18ACDCEF" w14:textId="77777777" w:rsidR="00B201D3" w:rsidRPr="006D4FBA" w:rsidRDefault="009855E8">
                    <w:pPr>
                      <w:autoSpaceDE w:val="0"/>
                      <w:autoSpaceDN w:val="0"/>
                      <w:adjustRightInd w:val="0"/>
                      <w:ind w:firstLineChars="200" w:firstLine="420"/>
                      <w:jc w:val="right"/>
                    </w:pPr>
                    <w:r w:rsidRPr="006D4FBA">
                      <w:rPr>
                        <w:rFonts w:hint="eastAsia"/>
                      </w:rPr>
                      <w:t>1.77</w:t>
                    </w:r>
                  </w:p>
                </w:tc>
              </w:tr>
              <w:tr w:rsidR="00B201D3" w:rsidRPr="006D4FBA" w14:paraId="71A05A84" w14:textId="77777777">
                <w:trPr>
                  <w:jc w:val="center"/>
                </w:trPr>
                <w:tc>
                  <w:tcPr>
                    <w:tcW w:w="3016" w:type="dxa"/>
                  </w:tcPr>
                  <w:p w14:paraId="52B41D4A" w14:textId="77777777" w:rsidR="00B201D3" w:rsidRPr="006D4FBA" w:rsidRDefault="009855E8">
                    <w:pPr>
                      <w:autoSpaceDE w:val="0"/>
                      <w:autoSpaceDN w:val="0"/>
                      <w:adjustRightInd w:val="0"/>
                    </w:pPr>
                    <w:r w:rsidRPr="006D4FBA">
                      <w:rPr>
                        <w:rFonts w:hint="eastAsia"/>
                      </w:rPr>
                      <w:t>技改计划</w:t>
                    </w:r>
                  </w:p>
                </w:tc>
                <w:tc>
                  <w:tcPr>
                    <w:tcW w:w="2261" w:type="dxa"/>
                    <w:shd w:val="clear" w:color="auto" w:fill="auto"/>
                    <w:vAlign w:val="center"/>
                  </w:tcPr>
                  <w:p w14:paraId="62D47C31" w14:textId="77777777" w:rsidR="00B201D3" w:rsidRPr="006D4FBA" w:rsidRDefault="009855E8">
                    <w:pPr>
                      <w:autoSpaceDE w:val="0"/>
                      <w:autoSpaceDN w:val="0"/>
                      <w:adjustRightInd w:val="0"/>
                      <w:ind w:firstLineChars="200" w:firstLine="420"/>
                      <w:jc w:val="right"/>
                    </w:pPr>
                    <w:r w:rsidRPr="006D4FBA">
                      <w:rPr>
                        <w:rFonts w:hint="eastAsia"/>
                      </w:rPr>
                      <w:t xml:space="preserve">2.46 </w:t>
                    </w:r>
                  </w:p>
                </w:tc>
                <w:tc>
                  <w:tcPr>
                    <w:tcW w:w="2353" w:type="dxa"/>
                  </w:tcPr>
                  <w:p w14:paraId="0CAD5B9D" w14:textId="77777777" w:rsidR="00B201D3" w:rsidRPr="006D4FBA" w:rsidRDefault="009855E8">
                    <w:pPr>
                      <w:autoSpaceDE w:val="0"/>
                      <w:autoSpaceDN w:val="0"/>
                      <w:adjustRightInd w:val="0"/>
                      <w:ind w:firstLineChars="200" w:firstLine="420"/>
                      <w:jc w:val="right"/>
                    </w:pPr>
                    <w:r w:rsidRPr="006D4FBA">
                      <w:t xml:space="preserve">3.29 </w:t>
                    </w:r>
                  </w:p>
                </w:tc>
              </w:tr>
              <w:tr w:rsidR="00B201D3" w:rsidRPr="006D4FBA" w14:paraId="6A896A4C" w14:textId="77777777">
                <w:trPr>
                  <w:jc w:val="center"/>
                </w:trPr>
                <w:tc>
                  <w:tcPr>
                    <w:tcW w:w="3016" w:type="dxa"/>
                  </w:tcPr>
                  <w:p w14:paraId="2FBD7AE8" w14:textId="77777777" w:rsidR="00B201D3" w:rsidRPr="006D4FBA" w:rsidRDefault="009855E8">
                    <w:pPr>
                      <w:autoSpaceDE w:val="0"/>
                      <w:autoSpaceDN w:val="0"/>
                      <w:adjustRightInd w:val="0"/>
                      <w:jc w:val="center"/>
                    </w:pPr>
                    <w:r w:rsidRPr="006D4FBA">
                      <w:rPr>
                        <w:rFonts w:hint="eastAsia"/>
                      </w:rPr>
                      <w:t>合计</w:t>
                    </w:r>
                  </w:p>
                </w:tc>
                <w:tc>
                  <w:tcPr>
                    <w:tcW w:w="2261" w:type="dxa"/>
                    <w:shd w:val="clear" w:color="auto" w:fill="auto"/>
                    <w:vAlign w:val="center"/>
                  </w:tcPr>
                  <w:p w14:paraId="1320E0FD" w14:textId="77777777" w:rsidR="00B201D3" w:rsidRPr="006D4FBA" w:rsidRDefault="009855E8">
                    <w:pPr>
                      <w:autoSpaceDE w:val="0"/>
                      <w:autoSpaceDN w:val="0"/>
                      <w:adjustRightInd w:val="0"/>
                      <w:ind w:firstLineChars="200" w:firstLine="420"/>
                      <w:jc w:val="right"/>
                    </w:pPr>
                    <w:r w:rsidRPr="006D4FBA">
                      <w:rPr>
                        <w:rFonts w:hint="eastAsia"/>
                      </w:rPr>
                      <w:t xml:space="preserve">30.75 </w:t>
                    </w:r>
                  </w:p>
                </w:tc>
                <w:tc>
                  <w:tcPr>
                    <w:tcW w:w="2353" w:type="dxa"/>
                  </w:tcPr>
                  <w:p w14:paraId="6F64010E" w14:textId="77777777" w:rsidR="00B201D3" w:rsidRPr="006D4FBA" w:rsidRDefault="009855E8">
                    <w:pPr>
                      <w:autoSpaceDE w:val="0"/>
                      <w:autoSpaceDN w:val="0"/>
                      <w:adjustRightInd w:val="0"/>
                      <w:ind w:firstLineChars="200" w:firstLine="420"/>
                      <w:jc w:val="right"/>
                    </w:pPr>
                    <w:r w:rsidRPr="006D4FBA">
                      <w:t>149.96</w:t>
                    </w:r>
                  </w:p>
                </w:tc>
              </w:tr>
            </w:tbl>
            <w:p w14:paraId="34BFDB53" w14:textId="77777777" w:rsidR="00B201D3" w:rsidRPr="006D4FBA" w:rsidRDefault="009855E8">
              <w:pPr>
                <w:widowControl w:val="0"/>
                <w:autoSpaceDE w:val="0"/>
                <w:autoSpaceDN w:val="0"/>
                <w:adjustRightInd w:val="0"/>
                <w:ind w:firstLineChars="200" w:firstLine="420"/>
                <w:rPr>
                  <w:rFonts w:cs="Times New Roman"/>
                  <w:bCs/>
                  <w:kern w:val="2"/>
                </w:rPr>
              </w:pPr>
              <w:r w:rsidRPr="006D4FBA">
                <w:rPr>
                  <w:rFonts w:cs="Times New Roman" w:hint="eastAsia"/>
                  <w:bCs/>
                  <w:kern w:val="2"/>
                </w:rPr>
                <w:t>本集团目前拥有较充裕的现金和畅通融资渠道，预计能够满足营运和发展的需要。</w:t>
              </w:r>
            </w:p>
            <w:p w14:paraId="3F4DC057" w14:textId="77777777" w:rsidR="00B201D3" w:rsidRPr="006D4FBA" w:rsidRDefault="00B201D3">
              <w:pPr>
                <w:widowControl w:val="0"/>
                <w:autoSpaceDE w:val="0"/>
                <w:autoSpaceDN w:val="0"/>
                <w:adjustRightInd w:val="0"/>
                <w:ind w:firstLineChars="200" w:firstLine="420"/>
                <w:rPr>
                  <w:rFonts w:cs="Times New Roman"/>
                  <w:kern w:val="2"/>
                </w:rPr>
              </w:pPr>
            </w:p>
            <w:p w14:paraId="24D8A47F" w14:textId="77777777" w:rsidR="00B201D3" w:rsidRPr="006D4FBA" w:rsidRDefault="009855E8">
              <w:pPr>
                <w:keepNext/>
                <w:keepLines/>
                <w:widowControl w:val="0"/>
                <w:numPr>
                  <w:ilvl w:val="0"/>
                  <w:numId w:val="17"/>
                </w:numPr>
                <w:spacing w:before="60" w:after="60"/>
                <w:jc w:val="both"/>
                <w:outlineLvl w:val="2"/>
                <w:rPr>
                  <w:rFonts w:cs="Times New Roman"/>
                  <w:b/>
                  <w:bCs/>
                  <w:kern w:val="2"/>
                  <w:lang w:val="en-GB"/>
                </w:rPr>
              </w:pPr>
              <w:r w:rsidRPr="006D4FBA">
                <w:rPr>
                  <w:rFonts w:cs="Times New Roman" w:hint="eastAsia"/>
                  <w:b/>
                  <w:bCs/>
                  <w:kern w:val="2"/>
                  <w:lang w:val="en-GB"/>
                </w:rPr>
                <w:t>报告期内煤炭勘探、开发及开采情况</w:t>
              </w:r>
            </w:p>
            <w:p w14:paraId="262B5C47" w14:textId="77777777" w:rsidR="00B201D3" w:rsidRPr="006D4FBA" w:rsidRDefault="009855E8">
              <w:pPr>
                <w:ind w:firstLineChars="200" w:firstLine="420"/>
                <w:rPr>
                  <w:rFonts w:cs="Times New Roman"/>
                  <w:bCs/>
                  <w:u w:val="single"/>
                  <w:lang w:val="en-GB"/>
                </w:rPr>
              </w:pPr>
              <w:r w:rsidRPr="006D4FBA">
                <w:rPr>
                  <w:rFonts w:cs="Times New Roman"/>
                  <w:bCs/>
                  <w:lang w:val="en-GB"/>
                </w:rPr>
                <w:t>2023年上半年，本集团煤炭勘探支出590.00万元，主要是兖煤澳洲莫拉本煤矿、普瑞马煤矿开采优化支出；煤炭开发及开采相关的资本性支出17.63亿元，主要是现有矿井的固定资产开支投入及万福煤矿、兖煤澳洲和兖煤国际所属煤矿的开发及开采费用。</w:t>
              </w:r>
            </w:p>
            <w:p w14:paraId="687FD5D9" w14:textId="77777777" w:rsidR="00B201D3" w:rsidRPr="006D4FBA" w:rsidRDefault="009855E8">
              <w:pPr>
                <w:keepNext/>
                <w:keepLines/>
                <w:widowControl w:val="0"/>
                <w:numPr>
                  <w:ilvl w:val="0"/>
                  <w:numId w:val="17"/>
                </w:numPr>
                <w:spacing w:before="60" w:after="60"/>
                <w:jc w:val="both"/>
                <w:outlineLvl w:val="2"/>
                <w:rPr>
                  <w:rFonts w:cs="Times New Roman"/>
                  <w:b/>
                  <w:bCs/>
                  <w:kern w:val="2"/>
                  <w:lang w:val="en-GB"/>
                </w:rPr>
              </w:pPr>
              <w:r w:rsidRPr="006D4FBA">
                <w:rPr>
                  <w:rFonts w:cs="Times New Roman" w:hint="eastAsia"/>
                  <w:b/>
                  <w:bCs/>
                  <w:kern w:val="2"/>
                  <w:lang w:val="en-GB"/>
                </w:rPr>
                <w:t>下半年经营策略</w:t>
              </w:r>
            </w:p>
            <w:p w14:paraId="0B3BDFAB" w14:textId="77777777" w:rsidR="00B201D3" w:rsidRPr="006D4FBA" w:rsidRDefault="009855E8">
              <w:pPr>
                <w:overflowPunct w:val="0"/>
                <w:ind w:firstLineChars="200" w:firstLine="420"/>
                <w:jc w:val="both"/>
                <w:rPr>
                  <w:rFonts w:cstheme="majorEastAsia"/>
                  <w:snapToGrid w:val="0"/>
                </w:rPr>
              </w:pPr>
              <w:r w:rsidRPr="006D4FBA">
                <w:rPr>
                  <w:rFonts w:cstheme="majorEastAsia" w:hint="eastAsia"/>
                  <w:snapToGrid w:val="0"/>
                </w:rPr>
                <w:t>下半年，本集团将努力把握行业发展趋势，紧盯市场变化，不断优化产业结构和区域布局，持续提升经营创效水平，推动企业稳健高效发展。</w:t>
              </w:r>
            </w:p>
            <w:p w14:paraId="130063F0" w14:textId="3C363EE6" w:rsidR="00B201D3" w:rsidRPr="006D4FBA" w:rsidRDefault="009855E8">
              <w:pPr>
                <w:ind w:firstLineChars="200" w:firstLine="422"/>
                <w:jc w:val="both"/>
                <w:rPr>
                  <w:rFonts w:cs="Times New Roman"/>
                </w:rPr>
              </w:pPr>
              <w:r w:rsidRPr="006D4FBA">
                <w:rPr>
                  <w:rFonts w:cs="黑体" w:hint="eastAsia"/>
                  <w:b/>
                  <w:snapToGrid w:val="0"/>
                </w:rPr>
                <w:t>一、优化生产组织，确保增量增收。</w:t>
              </w:r>
              <w:r w:rsidRPr="006D4FBA">
                <w:rPr>
                  <w:rFonts w:cstheme="majorEastAsia" w:hint="eastAsia"/>
                  <w:snapToGrid w:val="0"/>
                </w:rPr>
                <w:t>统筹各区域、各产业深度融合、优势互补，在增量提质上持续发力，充分释放增收创效能力。</w:t>
              </w:r>
              <w:r w:rsidRPr="006D4FBA">
                <w:rPr>
                  <w:rFonts w:cstheme="majorEastAsia" w:hint="eastAsia"/>
                  <w:b/>
                  <w:bCs/>
                  <w:snapToGrid w:val="0"/>
                </w:rPr>
                <w:t>矿业方面，</w:t>
              </w:r>
              <w:r w:rsidRPr="006D4FBA">
                <w:rPr>
                  <w:rFonts w:cstheme="majorEastAsia" w:hint="eastAsia"/>
                  <w:snapToGrid w:val="0"/>
                </w:rPr>
                <w:t>推进陕蒙矿井手续办理、项目建设等重点工作，全面释放优势产能；抓好澳洲矿井增产增效项目，实现提量提效；新疆五彩湾四号露天矿力争剥离见煤。</w:t>
              </w:r>
              <w:r w:rsidRPr="006D4FBA">
                <w:rPr>
                  <w:rFonts w:cstheme="majorEastAsia" w:hint="eastAsia"/>
                  <w:b/>
                  <w:bCs/>
                  <w:snapToGrid w:val="0"/>
                </w:rPr>
                <w:t>化工方面，</w:t>
              </w:r>
              <w:r w:rsidRPr="006D4FBA">
                <w:rPr>
                  <w:rFonts w:cstheme="majorEastAsia" w:hint="eastAsia"/>
                  <w:snapToGrid w:val="0"/>
                </w:rPr>
                <w:t>坚持</w:t>
              </w:r>
              <w:r w:rsidRPr="006D4FBA">
                <w:rPr>
                  <w:rFonts w:cs="Times New Roman" w:hint="eastAsia"/>
                </w:rPr>
                <w:t>柔性生产，调整产品结构，产能向适销对路、高附加值产品定向释放，力争全年化工产品产量同比提升</w:t>
              </w:r>
              <w:r w:rsidR="00A139B6">
                <w:rPr>
                  <w:rFonts w:cs="Times New Roman" w:hint="eastAsia"/>
                </w:rPr>
                <w:t>1</w:t>
              </w:r>
              <w:r w:rsidRPr="006D4FBA">
                <w:rPr>
                  <w:rFonts w:cstheme="majorEastAsia" w:hint="eastAsia"/>
                </w:rPr>
                <w:t>0%以上，高端化工产品占比</w:t>
              </w:r>
              <w:r w:rsidR="00A139B6">
                <w:rPr>
                  <w:rFonts w:cstheme="majorEastAsia" w:hint="eastAsia"/>
                </w:rPr>
                <w:t>达到2</w:t>
              </w:r>
              <w:r w:rsidR="00A139B6">
                <w:rPr>
                  <w:rFonts w:cstheme="majorEastAsia"/>
                </w:rPr>
                <w:t>0</w:t>
              </w:r>
              <w:r w:rsidR="00A139B6">
                <w:rPr>
                  <w:rFonts w:cstheme="majorEastAsia" w:hint="eastAsia"/>
                </w:rPr>
                <w:t>%</w:t>
              </w:r>
              <w:r w:rsidRPr="006D4FBA">
                <w:rPr>
                  <w:rFonts w:cs="Times New Roman" w:hint="eastAsia"/>
                </w:rPr>
                <w:t>。</w:t>
              </w:r>
            </w:p>
            <w:p w14:paraId="1106A63D" w14:textId="781058D0" w:rsidR="00B201D3" w:rsidRPr="006D4FBA" w:rsidRDefault="009855E8">
              <w:pPr>
                <w:ind w:firstLineChars="200" w:firstLine="422"/>
                <w:jc w:val="both"/>
                <w:rPr>
                  <w:rFonts w:cstheme="majorEastAsia"/>
                  <w:snapToGrid w:val="0"/>
                </w:rPr>
              </w:pPr>
              <w:r w:rsidRPr="006D4FBA">
                <w:rPr>
                  <w:rFonts w:cs="黑体" w:hint="eastAsia"/>
                  <w:b/>
                  <w:snapToGrid w:val="0"/>
                </w:rPr>
                <w:t>二、深化精益管理，实现挖潜增效。</w:t>
              </w:r>
              <w:r w:rsidRPr="006D4FBA">
                <w:rPr>
                  <w:rFonts w:cstheme="majorEastAsia" w:hint="eastAsia"/>
                  <w:snapToGrid w:val="0"/>
                </w:rPr>
                <w:t>深化推进“六精六提”融合管理，深入开展“两增三降四提升”活动，提升企业精益管理水平。</w:t>
              </w:r>
              <w:r w:rsidRPr="006D4FBA">
                <w:rPr>
                  <w:rFonts w:cstheme="majorEastAsia" w:hint="eastAsia"/>
                  <w:b/>
                  <w:bCs/>
                  <w:snapToGrid w:val="0"/>
                </w:rPr>
                <w:t>推进降本控费。</w:t>
              </w:r>
              <w:r w:rsidRPr="006D4FBA">
                <w:rPr>
                  <w:rFonts w:cstheme="majorEastAsia" w:hint="eastAsia"/>
                  <w:snapToGrid w:val="0"/>
                </w:rPr>
                <w:t>坚持刚性控制预算，加强成本对标分析和成本写实，力争全年</w:t>
              </w:r>
              <w:r w:rsidR="00D23D21">
                <w:rPr>
                  <w:rFonts w:cstheme="majorEastAsia" w:hint="eastAsia"/>
                  <w:snapToGrid w:val="0"/>
                </w:rPr>
                <w:t>吨煤销售</w:t>
              </w:r>
              <w:r w:rsidRPr="006D4FBA">
                <w:rPr>
                  <w:rFonts w:cstheme="majorEastAsia" w:hint="eastAsia"/>
                  <w:snapToGrid w:val="0"/>
                </w:rPr>
                <w:t>成本同口径降低5%以上。积极推进降杠杆、减负债，力争全年财务费用同</w:t>
              </w:r>
              <w:r w:rsidR="00A139B6">
                <w:rPr>
                  <w:rFonts w:cstheme="majorEastAsia" w:hint="eastAsia"/>
                  <w:snapToGrid w:val="0"/>
                </w:rPr>
                <w:t>口径</w:t>
              </w:r>
              <w:r w:rsidRPr="006D4FBA">
                <w:rPr>
                  <w:rFonts w:cstheme="majorEastAsia" w:hint="eastAsia"/>
                  <w:snapToGrid w:val="0"/>
                </w:rPr>
                <w:t>降低15亿元以上。</w:t>
              </w:r>
              <w:r w:rsidRPr="006D4FBA">
                <w:rPr>
                  <w:rFonts w:cstheme="majorEastAsia" w:hint="eastAsia"/>
                  <w:b/>
                  <w:bCs/>
                  <w:snapToGrid w:val="0"/>
                </w:rPr>
                <w:t>加快存量优化。</w:t>
              </w:r>
              <w:r w:rsidRPr="006D4FBA">
                <w:rPr>
                  <w:rFonts w:cstheme="majorEastAsia" w:hint="eastAsia"/>
                  <w:snapToGrid w:val="0"/>
                </w:rPr>
                <w:t>强化清仓利库、修旧利废和闲置资产盘活，</w:t>
              </w:r>
              <w:r w:rsidRPr="006D4FBA">
                <w:rPr>
                  <w:rFonts w:cstheme="majorEastAsia" w:hint="eastAsia"/>
                  <w:snapToGrid w:val="0"/>
                </w:rPr>
                <w:lastRenderedPageBreak/>
                <w:t>加大低效无效资产处置，确保全年盘活资产15亿元。</w:t>
              </w:r>
              <w:r w:rsidRPr="006D4FBA">
                <w:rPr>
                  <w:rFonts w:cstheme="majorEastAsia" w:hint="eastAsia"/>
                  <w:b/>
                  <w:bCs/>
                  <w:snapToGrid w:val="0"/>
                </w:rPr>
                <w:t>强化精益物供。</w:t>
              </w:r>
              <w:r w:rsidRPr="006D4FBA">
                <w:rPr>
                  <w:rFonts w:cstheme="majorEastAsia" w:hint="eastAsia"/>
                  <w:snapToGrid w:val="0"/>
                </w:rPr>
                <w:t>压降采购成本，加大集采力度，压缩供应周期，力争社会代储占比达6</w:t>
              </w:r>
              <w:r w:rsidR="00A139B6">
                <w:rPr>
                  <w:rFonts w:cstheme="majorEastAsia"/>
                  <w:snapToGrid w:val="0"/>
                </w:rPr>
                <w:t>5</w:t>
              </w:r>
              <w:r w:rsidRPr="006D4FBA">
                <w:rPr>
                  <w:rFonts w:cstheme="majorEastAsia" w:hint="eastAsia"/>
                  <w:snapToGrid w:val="0"/>
                </w:rPr>
                <w:t>%，综合采购成本降低1.8亿元以上。</w:t>
              </w:r>
            </w:p>
            <w:p w14:paraId="4724208A" w14:textId="77777777" w:rsidR="00B201D3" w:rsidRPr="006D4FBA" w:rsidRDefault="009855E8">
              <w:pPr>
                <w:ind w:firstLineChars="200" w:firstLine="422"/>
                <w:jc w:val="both"/>
                <w:rPr>
                  <w:rFonts w:cstheme="majorEastAsia"/>
                  <w:snapToGrid w:val="0"/>
                </w:rPr>
              </w:pPr>
              <w:r w:rsidRPr="006D4FBA">
                <w:rPr>
                  <w:rFonts w:cs="黑体" w:hint="eastAsia"/>
                  <w:b/>
                  <w:snapToGrid w:val="0"/>
                </w:rPr>
                <w:t>三、充分挖掘市场，实现营销创效。</w:t>
              </w:r>
              <w:r w:rsidRPr="006D4FBA">
                <w:rPr>
                  <w:rFonts w:cstheme="majorEastAsia" w:hint="eastAsia"/>
                  <w:snapToGrid w:val="0"/>
                </w:rPr>
                <w:t>加强市场走势分析研判，灵活实施销售策略，全面提升营销创效水平。</w:t>
              </w:r>
              <w:r w:rsidRPr="006D4FBA">
                <w:rPr>
                  <w:rFonts w:cstheme="majorEastAsia" w:hint="eastAsia"/>
                  <w:b/>
                  <w:bCs/>
                  <w:snapToGrid w:val="0"/>
                </w:rPr>
                <w:t>优化市场布局。</w:t>
              </w:r>
              <w:r w:rsidRPr="006D4FBA">
                <w:rPr>
                  <w:rFonts w:cstheme="majorEastAsia" w:hint="eastAsia"/>
                  <w:snapToGrid w:val="0"/>
                </w:rPr>
                <w:t>分流向、品种、客户进行市场经济效益分析，深度挖掘东北、西南、宁夏东等价位高、需求大、物流优的区域市场，最大限度提升经济效益。</w:t>
              </w:r>
              <w:r w:rsidRPr="006D4FBA">
                <w:rPr>
                  <w:rFonts w:cstheme="majorEastAsia" w:hint="eastAsia"/>
                  <w:b/>
                  <w:bCs/>
                  <w:snapToGrid w:val="0"/>
                </w:rPr>
                <w:t>优化品种结构。</w:t>
              </w:r>
              <w:r w:rsidRPr="006D4FBA">
                <w:rPr>
                  <w:rFonts w:cstheme="majorEastAsia" w:hint="eastAsia"/>
                  <w:snapToGrid w:val="0"/>
                </w:rPr>
                <w:t>坚持“精煤+定制”战略，提高煤炭产品附加值，确保省内精煤产品占比保持50%以上。扩大线上交易规模，以定时、定量、定品种方式拓展产品定制范围，满足客户差异化需求。</w:t>
              </w:r>
            </w:p>
            <w:p w14:paraId="500138AE" w14:textId="40FA50FF" w:rsidR="00B201D3" w:rsidRPr="006D4FBA" w:rsidRDefault="009855E8">
              <w:pPr>
                <w:ind w:firstLineChars="200" w:firstLine="422"/>
                <w:jc w:val="both"/>
                <w:rPr>
                  <w:rFonts w:cs="Times New Roman"/>
                </w:rPr>
              </w:pPr>
              <w:r w:rsidRPr="006D4FBA">
                <w:rPr>
                  <w:rFonts w:cs="黑体" w:hint="eastAsia"/>
                  <w:b/>
                  <w:snapToGrid w:val="0"/>
                </w:rPr>
                <w:t>四、优化资源配置，提升资产回报。</w:t>
              </w:r>
              <w:r w:rsidRPr="006D4FBA">
                <w:rPr>
                  <w:rFonts w:cstheme="majorEastAsia" w:hint="eastAsia"/>
                  <w:snapToGrid w:val="0"/>
                </w:rPr>
                <w:t>坚持存量优化、增量跨越，持续提升产业集中度和</w:t>
              </w:r>
              <w:r w:rsidRPr="006D4FBA">
                <w:rPr>
                  <w:rFonts w:cstheme="majorEastAsia" w:hint="eastAsia"/>
                  <w:snapToGrid w:val="0"/>
                  <w:kern w:val="2"/>
                </w:rPr>
                <w:t>资源配置效率。</w:t>
              </w:r>
              <w:r w:rsidRPr="006D4FBA">
                <w:rPr>
                  <w:rFonts w:cstheme="majorEastAsia" w:hint="eastAsia"/>
                  <w:b/>
                  <w:bCs/>
                  <w:snapToGrid w:val="0"/>
                  <w:kern w:val="2"/>
                </w:rPr>
                <w:t>突出新收购资产管控。</w:t>
              </w:r>
              <w:r w:rsidRPr="006D4FBA">
                <w:rPr>
                  <w:rFonts w:cstheme="majorEastAsia" w:hint="eastAsia"/>
                  <w:snapToGrid w:val="0"/>
                </w:rPr>
                <w:t>依法合规、高效完成鲁西矿业、新疆能化</w:t>
              </w:r>
              <w:r w:rsidR="00D23D21">
                <w:rPr>
                  <w:rFonts w:cstheme="majorEastAsia" w:hint="eastAsia"/>
                  <w:snapToGrid w:val="0"/>
                </w:rPr>
                <w:t>股权</w:t>
              </w:r>
              <w:r w:rsidRPr="006D4FBA">
                <w:rPr>
                  <w:rFonts w:cstheme="majorEastAsia" w:hint="eastAsia"/>
                  <w:snapToGrid w:val="0"/>
                </w:rPr>
                <w:t>交割。引导资本、技术、人才等优势资源向新收购公司聚集，完善以产权为纽带的规范运营模式和全流程管控的内部控制体系，打造新的产业聚集区、效益增长源。</w:t>
              </w:r>
              <w:r w:rsidRPr="006D4FBA">
                <w:rPr>
                  <w:rFonts w:cs="Times New Roman" w:hint="eastAsia"/>
                  <w:b/>
                  <w:bCs/>
                </w:rPr>
                <w:t>突出传统产业改造升级。</w:t>
              </w:r>
              <w:r w:rsidRPr="006D4FBA">
                <w:rPr>
                  <w:rFonts w:cs="Times New Roman" w:hint="eastAsia"/>
                </w:rPr>
                <w:t>加快鲁西智慧制造园区建设，</w:t>
              </w:r>
              <w:r w:rsidRPr="006D4FBA">
                <w:rPr>
                  <w:rFonts w:cstheme="majorEastAsia" w:hint="eastAsia"/>
                  <w:snapToGrid w:val="0"/>
                </w:rPr>
                <w:t>确保合资项目尽快落地建成、达产达效</w:t>
              </w:r>
              <w:r w:rsidRPr="006D4FBA">
                <w:rPr>
                  <w:rFonts w:cs="Times New Roman" w:hint="eastAsia"/>
                </w:rPr>
                <w:t>。优化提升物流产业。</w:t>
              </w:r>
              <w:r w:rsidRPr="006D4FBA">
                <w:rPr>
                  <w:rFonts w:cs="Times New Roman" w:hint="eastAsia"/>
                  <w:b/>
                  <w:bCs/>
                </w:rPr>
                <w:t>突出物流产业优化提升。</w:t>
              </w:r>
              <w:r w:rsidRPr="006D4FBA">
                <w:rPr>
                  <w:rFonts w:cs="Times New Roman" w:hint="eastAsia"/>
                </w:rPr>
                <w:t>全面整合物流板块资产；</w:t>
              </w:r>
              <w:r w:rsidRPr="006D4FBA">
                <w:rPr>
                  <w:rFonts w:cstheme="majorEastAsia" w:hint="eastAsia"/>
                  <w:snapToGrid w:val="0"/>
                </w:rPr>
                <w:t>加快推进</w:t>
              </w:r>
              <w:r w:rsidR="00D23D21">
                <w:rPr>
                  <w:rFonts w:cstheme="majorEastAsia" w:hint="eastAsia"/>
                  <w:snapToGrid w:val="0"/>
                </w:rPr>
                <w:t>陕蒙</w:t>
              </w:r>
              <w:r w:rsidRPr="006D4FBA">
                <w:rPr>
                  <w:rFonts w:cstheme="majorEastAsia" w:hint="eastAsia"/>
                  <w:snapToGrid w:val="0"/>
                </w:rPr>
                <w:t>铁路专用线、泰安港公铁水联运物流园二期项目等储装运项目建设，拓宽运输通道；</w:t>
              </w:r>
              <w:r w:rsidRPr="006D4FBA">
                <w:rPr>
                  <w:rFonts w:cs="Times New Roman" w:hint="eastAsia"/>
                </w:rPr>
                <w:t>与行业头部企业合资合作，搭建科技物流平台，打造“产、销、储、配、送”一体化商业模式，实现产业延伸、协同增效。</w:t>
              </w:r>
            </w:p>
            <w:p w14:paraId="59E8504A" w14:textId="06EC01F3" w:rsidR="00B201D3" w:rsidRPr="006D4FBA" w:rsidRDefault="009855E8">
              <w:pPr>
                <w:ind w:firstLineChars="200" w:firstLine="422"/>
                <w:jc w:val="both"/>
                <w:rPr>
                  <w:rFonts w:cstheme="majorEastAsia"/>
                  <w:snapToGrid w:val="0"/>
                </w:rPr>
              </w:pPr>
              <w:r w:rsidRPr="006D4FBA">
                <w:rPr>
                  <w:rFonts w:cs="黑体" w:hint="eastAsia"/>
                  <w:b/>
                  <w:snapToGrid w:val="0"/>
                </w:rPr>
                <w:t>五、增强发展动能，提升发展质量。</w:t>
              </w:r>
              <w:r w:rsidRPr="006D4FBA">
                <w:rPr>
                  <w:rFonts w:cstheme="majorEastAsia" w:hint="eastAsia"/>
                  <w:snapToGrid w:val="0"/>
                </w:rPr>
                <w:t>坚持守正创新、强化内涵，持续提升核心竞争力、价值创造力和可持续发展力。</w:t>
              </w:r>
              <w:r w:rsidRPr="006D4FBA">
                <w:rPr>
                  <w:rFonts w:cstheme="majorEastAsia" w:hint="eastAsia"/>
                  <w:b/>
                  <w:bCs/>
                  <w:snapToGrid w:val="0"/>
                </w:rPr>
                <w:t>增强科技研发能力。</w:t>
              </w:r>
              <w:r w:rsidRPr="006D4FBA">
                <w:rPr>
                  <w:rFonts w:cstheme="majorEastAsia" w:hint="eastAsia"/>
                  <w:snapToGrid w:val="0"/>
                </w:rPr>
                <w:t>深化产学研深度融合，发挥煤矿智能开采试验中心、大型煤气化及煤基新材料国家工程研究中心作用，加强关键核心技术攻关，力争全年研发费用投入、发明专利数量增幅10%以上。</w:t>
              </w:r>
              <w:r w:rsidRPr="006D4FBA">
                <w:rPr>
                  <w:rFonts w:cstheme="majorEastAsia" w:hint="eastAsia"/>
                  <w:b/>
                  <w:bCs/>
                  <w:snapToGrid w:val="0"/>
                </w:rPr>
                <w:t>增强资本运营能力。</w:t>
              </w:r>
              <w:r w:rsidRPr="006D4FBA">
                <w:rPr>
                  <w:rFonts w:cstheme="majorEastAsia" w:hint="eastAsia"/>
                  <w:snapToGrid w:val="0"/>
                </w:rPr>
                <w:t>坚持产业运营和资本运作“双轮驱动”，规划获取一批重要资源，布局一批重点项目，助推主导产业跨越增长。</w:t>
              </w:r>
              <w:r w:rsidRPr="006D4FBA">
                <w:rPr>
                  <w:rFonts w:cstheme="majorEastAsia" w:hint="eastAsia"/>
                  <w:b/>
                  <w:bCs/>
                  <w:snapToGrid w:val="0"/>
                </w:rPr>
                <w:t>增强价值创造能力。</w:t>
              </w:r>
              <w:r w:rsidRPr="006D4FBA">
                <w:rPr>
                  <w:rFonts w:cstheme="majorEastAsia" w:hint="eastAsia"/>
                  <w:snapToGrid w:val="0"/>
                </w:rPr>
                <w:t>实施主业攻坚、规范治理、高效沟通、优厚回馈等价值管理举措，落实</w:t>
              </w:r>
              <w:r w:rsidRPr="006D4FBA">
                <w:rPr>
                  <w:rFonts w:cstheme="majorEastAsia" w:hint="eastAsia"/>
                  <w:snapToGrid w:val="0"/>
                  <w:lang w:eastAsia="zh-Hans"/>
                </w:rPr>
                <w:t>ESG</w:t>
              </w:r>
              <w:r w:rsidRPr="006D4FBA">
                <w:rPr>
                  <w:rFonts w:cstheme="majorEastAsia" w:hint="eastAsia"/>
                  <w:snapToGrid w:val="0"/>
                </w:rPr>
                <w:t>发展理念</w:t>
              </w:r>
              <w:r w:rsidRPr="006D4FBA">
                <w:rPr>
                  <w:rFonts w:cstheme="majorEastAsia" w:hint="eastAsia"/>
                  <w:snapToGrid w:val="0"/>
                  <w:lang w:eastAsia="zh-Hans"/>
                </w:rPr>
                <w:t>，</w:t>
              </w:r>
              <w:r w:rsidRPr="006D4FBA">
                <w:rPr>
                  <w:rFonts w:cstheme="majorEastAsia" w:hint="eastAsia"/>
                  <w:snapToGrid w:val="0"/>
                </w:rPr>
                <w:t>坚定不移</w:t>
              </w:r>
              <w:r w:rsidRPr="006D4FBA">
                <w:rPr>
                  <w:rFonts w:cstheme="majorEastAsia" w:hint="eastAsia"/>
                  <w:snapToGrid w:val="0"/>
                  <w:lang w:eastAsia="zh-Hans"/>
                </w:rPr>
                <w:t>为股东、客户、员工等利益相关方创造价值</w:t>
              </w:r>
              <w:r w:rsidRPr="006D4FBA">
                <w:rPr>
                  <w:rFonts w:cstheme="majorEastAsia" w:hint="eastAsia"/>
                  <w:snapToGrid w:val="0"/>
                </w:rPr>
                <w:t>。</w:t>
              </w:r>
            </w:p>
            <w:p w14:paraId="405D01FF" w14:textId="77777777" w:rsidR="00B201D3" w:rsidRPr="006D4FBA" w:rsidRDefault="00B201D3">
              <w:pPr>
                <w:ind w:firstLineChars="200" w:firstLine="420"/>
                <w:jc w:val="both"/>
                <w:rPr>
                  <w:bCs/>
                </w:rPr>
              </w:pPr>
            </w:p>
            <w:p w14:paraId="4B2268AE" w14:textId="77777777" w:rsidR="00B201D3" w:rsidRPr="006D4FBA" w:rsidRDefault="009855E8">
              <w:pPr>
                <w:keepNext/>
                <w:keepLines/>
                <w:widowControl w:val="0"/>
                <w:numPr>
                  <w:ilvl w:val="0"/>
                  <w:numId w:val="17"/>
                </w:numPr>
                <w:spacing w:before="60" w:after="60"/>
                <w:jc w:val="both"/>
                <w:outlineLvl w:val="2"/>
                <w:rPr>
                  <w:rFonts w:cs="Times New Roman"/>
                  <w:b/>
                  <w:bCs/>
                  <w:kern w:val="2"/>
                  <w:lang w:val="en-GB"/>
                </w:rPr>
              </w:pPr>
              <w:r w:rsidRPr="006D4FBA">
                <w:rPr>
                  <w:rFonts w:cs="Times New Roman" w:hint="eastAsia"/>
                  <w:b/>
                  <w:bCs/>
                  <w:kern w:val="2"/>
                  <w:lang w:val="en-GB"/>
                </w:rPr>
                <w:t>汇率变动影响</w:t>
              </w:r>
            </w:p>
            <w:p w14:paraId="0216BB46" w14:textId="77777777" w:rsidR="00B201D3" w:rsidRPr="006D4FBA" w:rsidRDefault="009855E8">
              <w:pPr>
                <w:ind w:firstLineChars="200" w:firstLine="420"/>
                <w:rPr>
                  <w:rFonts w:cs="Times New Roman"/>
                  <w:bCs/>
                </w:rPr>
              </w:pPr>
              <w:r w:rsidRPr="006D4FBA">
                <w:rPr>
                  <w:rFonts w:cs="Times New Roman" w:hint="eastAsia"/>
                  <w:bCs/>
                </w:rPr>
                <w:t>汇率变动对本集团的影响主要体现在：</w:t>
              </w:r>
            </w:p>
            <w:p w14:paraId="3D1B1AA9" w14:textId="77777777" w:rsidR="00B201D3" w:rsidRPr="006D4FBA" w:rsidRDefault="009855E8">
              <w:pPr>
                <w:ind w:firstLineChars="200" w:firstLine="420"/>
                <w:rPr>
                  <w:rFonts w:cs="Times New Roman"/>
                  <w:bCs/>
                </w:rPr>
              </w:pPr>
              <w:r w:rsidRPr="006D4FBA">
                <w:rPr>
                  <w:rFonts w:cs="Times New Roman" w:hint="eastAsia"/>
                  <w:bCs/>
                </w:rPr>
                <w:t>(1)本集团煤炭境外销售分别以美元、澳元计价，对境外煤炭销售收入产生影响；</w:t>
              </w:r>
            </w:p>
            <w:p w14:paraId="53DAA202" w14:textId="77777777" w:rsidR="00B201D3" w:rsidRPr="006D4FBA" w:rsidRDefault="009855E8">
              <w:pPr>
                <w:ind w:firstLineChars="200" w:firstLine="420"/>
                <w:rPr>
                  <w:rFonts w:cs="Times New Roman"/>
                  <w:bCs/>
                </w:rPr>
              </w:pPr>
              <w:r w:rsidRPr="006D4FBA">
                <w:rPr>
                  <w:rFonts w:cs="Times New Roman" w:hint="eastAsia"/>
                  <w:bCs/>
                </w:rPr>
                <w:t>(2)对外币存、贷款的汇兑损益产生影响；</w:t>
              </w:r>
            </w:p>
            <w:p w14:paraId="058604B1" w14:textId="77777777" w:rsidR="00B201D3" w:rsidRPr="006D4FBA" w:rsidRDefault="009855E8">
              <w:pPr>
                <w:ind w:firstLineChars="200" w:firstLine="420"/>
                <w:rPr>
                  <w:rFonts w:cs="Times New Roman"/>
                  <w:bCs/>
                </w:rPr>
              </w:pPr>
              <w:r w:rsidRPr="006D4FBA">
                <w:rPr>
                  <w:rFonts w:cs="Times New Roman" w:hint="eastAsia"/>
                  <w:bCs/>
                </w:rPr>
                <w:t>(3)对本集团进口设备和配件的成本产生影响。</w:t>
              </w:r>
            </w:p>
            <w:p w14:paraId="016EA53D" w14:textId="77777777" w:rsidR="00B201D3" w:rsidRPr="006D4FBA" w:rsidRDefault="009855E8">
              <w:pPr>
                <w:ind w:firstLineChars="200" w:firstLine="420"/>
                <w:rPr>
                  <w:rFonts w:cs="Times New Roman"/>
                  <w:bCs/>
                </w:rPr>
              </w:pPr>
              <w:r w:rsidRPr="006D4FBA">
                <w:rPr>
                  <w:rFonts w:cs="Times New Roman" w:hint="eastAsia"/>
                  <w:bCs/>
                </w:rPr>
                <w:t>受汇率变动影响，报告期内本集团产生账面汇兑收益</w:t>
              </w:r>
              <w:bookmarkStart w:id="68" w:name="_Hlk142757514"/>
              <w:r w:rsidRPr="006D4FBA">
                <w:rPr>
                  <w:rFonts w:cs="Times New Roman"/>
                  <w:bCs/>
                  <w:color w:val="000000"/>
                  <w:lang w:val="en-GB"/>
                </w:rPr>
                <w:t>1.78</w:t>
              </w:r>
              <w:bookmarkEnd w:id="68"/>
              <w:r w:rsidRPr="006D4FBA">
                <w:rPr>
                  <w:rFonts w:cs="Times New Roman" w:hint="eastAsia"/>
                  <w:bCs/>
                </w:rPr>
                <w:t>亿元。</w:t>
              </w:r>
            </w:p>
            <w:p w14:paraId="0CC5CBB6" w14:textId="77777777" w:rsidR="00B201D3" w:rsidRPr="006D4FBA" w:rsidRDefault="009855E8">
              <w:pPr>
                <w:ind w:firstLineChars="200" w:firstLine="420"/>
                <w:rPr>
                  <w:rFonts w:cs="Times New Roman"/>
                  <w:bCs/>
                </w:rPr>
              </w:pPr>
              <w:r w:rsidRPr="006D4FBA">
                <w:rPr>
                  <w:rFonts w:cs="Times New Roman" w:hint="eastAsia"/>
                  <w:bCs/>
                </w:rPr>
                <w:t>为管理预期销售收入的外币风险，兖煤澳洲与银行签订了外汇套期保值合约。</w:t>
              </w:r>
            </w:p>
            <w:p w14:paraId="1B24C197" w14:textId="77777777" w:rsidR="00B201D3" w:rsidRPr="006D4FBA" w:rsidRDefault="009855E8">
              <w:pPr>
                <w:ind w:firstLineChars="200" w:firstLine="420"/>
                <w:rPr>
                  <w:rFonts w:cs="Times New Roman"/>
                  <w:bCs/>
                </w:rPr>
              </w:pPr>
              <w:r w:rsidRPr="006D4FBA">
                <w:rPr>
                  <w:rFonts w:cs="Times New Roman" w:hint="eastAsia"/>
                  <w:bCs/>
                </w:rPr>
                <w:t>为对冲汇率波动造成的美元债务汇兑损益，兖煤澳洲、兖煤国际对美元债务采用会计方法进行了套期保值，有效规避了汇率波动对当期损益的影响。</w:t>
              </w:r>
            </w:p>
            <w:p w14:paraId="6C236CDF" w14:textId="77777777" w:rsidR="00B201D3" w:rsidRPr="006D4FBA" w:rsidRDefault="009855E8">
              <w:pPr>
                <w:ind w:firstLineChars="200" w:firstLine="420"/>
                <w:rPr>
                  <w:rFonts w:cs="Times New Roman"/>
                  <w:bCs/>
                </w:rPr>
              </w:pPr>
              <w:r w:rsidRPr="006D4FBA">
                <w:rPr>
                  <w:rFonts w:cs="Times New Roman" w:hint="eastAsia"/>
                  <w:bCs/>
                </w:rPr>
                <w:t>除上述披露外，本集团在本报告期内并未对其他外汇采取套期保值措施，并未就人民币与外币之间的汇率加以对冲。</w:t>
              </w:r>
            </w:p>
            <w:p w14:paraId="2614933F" w14:textId="77777777" w:rsidR="00B201D3" w:rsidRPr="006D4FBA" w:rsidRDefault="00B201D3">
              <w:pPr>
                <w:ind w:firstLineChars="200" w:firstLine="420"/>
                <w:rPr>
                  <w:rFonts w:cs="Times New Roman"/>
                  <w:bCs/>
                </w:rPr>
              </w:pPr>
            </w:p>
            <w:p w14:paraId="7E61AD3A" w14:textId="77777777" w:rsidR="00B201D3" w:rsidRPr="006D4FBA" w:rsidRDefault="009855E8">
              <w:pPr>
                <w:keepNext/>
                <w:keepLines/>
                <w:widowControl w:val="0"/>
                <w:numPr>
                  <w:ilvl w:val="0"/>
                  <w:numId w:val="17"/>
                </w:numPr>
                <w:spacing w:before="60" w:after="60"/>
                <w:jc w:val="both"/>
                <w:outlineLvl w:val="2"/>
                <w:rPr>
                  <w:rFonts w:cs="Times New Roman"/>
                  <w:b/>
                  <w:bCs/>
                  <w:kern w:val="2"/>
                  <w:lang w:val="en-GB"/>
                </w:rPr>
              </w:pPr>
              <w:r w:rsidRPr="006D4FBA">
                <w:rPr>
                  <w:rFonts w:cs="Times New Roman" w:hint="eastAsia"/>
                  <w:b/>
                  <w:bCs/>
                  <w:kern w:val="2"/>
                  <w:lang w:val="en-GB"/>
                </w:rPr>
                <w:t>税项</w:t>
              </w:r>
            </w:p>
            <w:p w14:paraId="043F8601" w14:textId="77777777" w:rsidR="00B201D3" w:rsidRPr="006D4FBA" w:rsidRDefault="009855E8">
              <w:pPr>
                <w:ind w:firstLineChars="200" w:firstLine="420"/>
                <w:rPr>
                  <w:rFonts w:cs="Times New Roman"/>
                  <w:bCs/>
                </w:rPr>
              </w:pPr>
              <w:r w:rsidRPr="006D4FBA">
                <w:rPr>
                  <w:rFonts w:cs="Times New Roman" w:hint="eastAsia"/>
                  <w:bCs/>
                </w:rPr>
                <w:t>202</w:t>
              </w:r>
              <w:r w:rsidRPr="006D4FBA">
                <w:rPr>
                  <w:rFonts w:cs="Times New Roman"/>
                  <w:bCs/>
                </w:rPr>
                <w:t>3</w:t>
              </w:r>
              <w:r w:rsidRPr="006D4FBA">
                <w:rPr>
                  <w:rFonts w:cs="Times New Roman" w:hint="eastAsia"/>
                  <w:bCs/>
                </w:rPr>
                <w:t>年上半年，除部分中国境内子公司享受所得税优惠政策，就应课税利润缴纳15%的所得税外，本公司及其他中国境内的子公司须就应课税利润缴纳25%的所得税；兖煤澳洲须就应课税利润缴纳30%的所得税；兖煤国际须就应课税利润缴纳16.5%的所得税。</w:t>
              </w:r>
            </w:p>
            <w:p w14:paraId="140498A0" w14:textId="77777777" w:rsidR="00B201D3" w:rsidRPr="006D4FBA" w:rsidRDefault="00B201D3">
              <w:pPr>
                <w:ind w:firstLineChars="200" w:firstLine="420"/>
                <w:rPr>
                  <w:rFonts w:cs="Times New Roman"/>
                  <w:bCs/>
                </w:rPr>
              </w:pPr>
            </w:p>
            <w:p w14:paraId="0F5FF7D0" w14:textId="77777777" w:rsidR="00B201D3" w:rsidRDefault="009855E8">
              <w:pPr>
                <w:pStyle w:val="3903"/>
                <w:ind w:firstLineChars="200" w:firstLine="420"/>
                <w:jc w:val="both"/>
              </w:pPr>
              <w:r w:rsidRPr="006D4FBA">
                <w:rPr>
                  <w:rFonts w:cs="Times New Roman" w:hint="eastAsia"/>
                  <w:bCs/>
                </w:rPr>
                <w:t>中国境内子公司有关所得税优惠政策和税率详情请见按中国会计准则编制的财务报表附注“税收优惠”。</w:t>
              </w:r>
            </w:p>
          </w:sdtContent>
        </w:sdt>
      </w:sdtContent>
    </w:sdt>
    <w:bookmarkEnd w:id="49"/>
    <w:bookmarkEnd w:id="50"/>
    <w:p w14:paraId="6FB29730" w14:textId="77777777" w:rsidR="00B201D3" w:rsidRDefault="009855E8">
      <w:pPr>
        <w:pStyle w:val="3903"/>
      </w:pPr>
      <w:r>
        <w:br w:type="page"/>
      </w:r>
    </w:p>
    <w:p w14:paraId="315F0838" w14:textId="77777777" w:rsidR="00B201D3" w:rsidRDefault="009855E8">
      <w:pPr>
        <w:pStyle w:val="1"/>
        <w:numPr>
          <w:ilvl w:val="0"/>
          <w:numId w:val="2"/>
        </w:numPr>
        <w:rPr>
          <w:rFonts w:ascii="黑体" w:hAnsi="黑体"/>
        </w:rPr>
      </w:pPr>
      <w:bookmarkStart w:id="69" w:name="_Toc139552147"/>
      <w:r>
        <w:rPr>
          <w:rFonts w:ascii="黑体" w:hAnsi="黑体" w:hint="eastAsia"/>
        </w:rPr>
        <w:lastRenderedPageBreak/>
        <w:t>公司治理</w:t>
      </w:r>
      <w:bookmarkEnd w:id="69"/>
    </w:p>
    <w:bookmarkStart w:id="70" w:name="_Hlk74646363" w:displacedByCustomXml="next"/>
    <w:sdt>
      <w:sdtPr>
        <w:rPr>
          <w:rFonts w:ascii="宋体" w:hAnsi="宋体" w:cs="宋体"/>
          <w:b w:val="0"/>
          <w:bCs/>
          <w:kern w:val="0"/>
          <w:szCs w:val="24"/>
        </w:rPr>
        <w:alias w:val="模块:股东大会情况简介"/>
        <w:tag w:val="_SEC_d8b5f940b6314e479198b8ccc086b98d"/>
        <w:id w:val="-730838850"/>
        <w:placeholder>
          <w:docPart w:val="GBC22222222222222222222222222222"/>
        </w:placeholder>
      </w:sdtPr>
      <w:sdtEndPr>
        <w:rPr>
          <w:bCs w:val="0"/>
          <w:szCs w:val="21"/>
        </w:rPr>
      </w:sdtEndPr>
      <w:sdtContent>
        <w:p w14:paraId="25CB28E2" w14:textId="77777777" w:rsidR="00B201D3" w:rsidRDefault="009855E8">
          <w:pPr>
            <w:pStyle w:val="3901"/>
            <w:numPr>
              <w:ilvl w:val="0"/>
              <w:numId w:val="18"/>
            </w:numPr>
            <w:tabs>
              <w:tab w:val="left" w:pos="426"/>
            </w:tabs>
            <w:ind w:firstLineChars="0"/>
            <w:jc w:val="left"/>
            <w:rPr>
              <w:rFonts w:ascii="宋体" w:hAnsi="宋体"/>
            </w:rPr>
          </w:pPr>
          <w:r>
            <w:rPr>
              <w:rFonts w:ascii="宋体" w:hAnsi="宋体"/>
            </w:rPr>
            <w:t>股东大会情况简介</w:t>
          </w:r>
        </w:p>
        <w:tbl>
          <w:tblPr>
            <w:tblStyle w:val="g1"/>
            <w:tblW w:w="4993"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2"/>
            <w:gridCol w:w="1333"/>
            <w:gridCol w:w="3685"/>
            <w:gridCol w:w="1211"/>
            <w:gridCol w:w="1510"/>
          </w:tblGrid>
          <w:tr w:rsidR="00B201D3" w14:paraId="085248AD" w14:textId="77777777" w:rsidTr="00D56784">
            <w:trPr>
              <w:trHeight w:val="165"/>
            </w:trPr>
            <w:sdt>
              <w:sdtPr>
                <w:tag w:val="_PLD_22bc61a8a37f49b2b6002bda8044b00b"/>
                <w:id w:val="2092889013"/>
                <w:lock w:val="sdtLocked"/>
              </w:sdtPr>
              <w:sdtEndPr/>
              <w:sdtContent>
                <w:tc>
                  <w:tcPr>
                    <w:tcW w:w="608" w:type="pct"/>
                    <w:vAlign w:val="center"/>
                  </w:tcPr>
                  <w:p w14:paraId="7DEC2616" w14:textId="77777777" w:rsidR="00B201D3" w:rsidRDefault="009855E8">
                    <w:pPr>
                      <w:jc w:val="center"/>
                    </w:pPr>
                    <w:r>
                      <w:t>会议届次</w:t>
                    </w:r>
                  </w:p>
                </w:tc>
              </w:sdtContent>
            </w:sdt>
            <w:sdt>
              <w:sdtPr>
                <w:tag w:val="_PLD_4d4c6f75c14e44a5ae87874c2dde133c"/>
                <w:id w:val="-650826986"/>
                <w:lock w:val="sdtLocked"/>
              </w:sdtPr>
              <w:sdtEndPr/>
              <w:sdtContent>
                <w:tc>
                  <w:tcPr>
                    <w:tcW w:w="756" w:type="pct"/>
                    <w:vAlign w:val="center"/>
                  </w:tcPr>
                  <w:p w14:paraId="677E1ED7" w14:textId="77777777" w:rsidR="00B201D3" w:rsidRDefault="009855E8">
                    <w:pPr>
                      <w:jc w:val="center"/>
                    </w:pPr>
                    <w:r>
                      <w:t>召开日期</w:t>
                    </w:r>
                  </w:p>
                </w:tc>
              </w:sdtContent>
            </w:sdt>
            <w:sdt>
              <w:sdtPr>
                <w:tag w:val="_PLD_63dde22e2e0a412986c86439c3ed05c3"/>
                <w:id w:val="874583842"/>
                <w:lock w:val="sdtLocked"/>
              </w:sdtPr>
              <w:sdtEndPr/>
              <w:sdtContent>
                <w:tc>
                  <w:tcPr>
                    <w:tcW w:w="2091" w:type="pct"/>
                    <w:vAlign w:val="center"/>
                  </w:tcPr>
                  <w:p w14:paraId="6C71F9E4" w14:textId="77777777" w:rsidR="00B201D3" w:rsidRDefault="009855E8">
                    <w:pPr>
                      <w:jc w:val="center"/>
                    </w:pPr>
                    <w:r>
                      <w:t>决议刊登的指定网站的查询索引</w:t>
                    </w:r>
                  </w:p>
                </w:tc>
              </w:sdtContent>
            </w:sdt>
            <w:sdt>
              <w:sdtPr>
                <w:tag w:val="_PLD_68e4d17d74f541f9b1d7075bcbb5b6c5"/>
                <w:id w:val="-838306230"/>
                <w:lock w:val="sdtLocked"/>
              </w:sdtPr>
              <w:sdtEndPr/>
              <w:sdtContent>
                <w:tc>
                  <w:tcPr>
                    <w:tcW w:w="687" w:type="pct"/>
                    <w:vAlign w:val="center"/>
                  </w:tcPr>
                  <w:p w14:paraId="6B8C8D39" w14:textId="77777777" w:rsidR="00B201D3" w:rsidRDefault="009855E8">
                    <w:pPr>
                      <w:jc w:val="center"/>
                    </w:pPr>
                    <w:r>
                      <w:t>决议刊登的披露日期</w:t>
                    </w:r>
                  </w:p>
                </w:tc>
              </w:sdtContent>
            </w:sdt>
            <w:tc>
              <w:tcPr>
                <w:tcW w:w="857" w:type="pct"/>
                <w:vAlign w:val="center"/>
              </w:tcPr>
              <w:sdt>
                <w:sdtPr>
                  <w:rPr>
                    <w:rFonts w:hint="eastAsia"/>
                  </w:rPr>
                  <w:tag w:val="_PLD_d7d78aa5be2349bcb77c83b55ac046e4"/>
                  <w:id w:val="1376579642"/>
                  <w:lock w:val="sdtLocked"/>
                </w:sdtPr>
                <w:sdtEndPr/>
                <w:sdtContent>
                  <w:p w14:paraId="0A12A50B" w14:textId="77777777" w:rsidR="00B201D3" w:rsidRDefault="009855E8">
                    <w:pPr>
                      <w:jc w:val="center"/>
                    </w:pPr>
                    <w:r>
                      <w:rPr>
                        <w:rFonts w:hint="eastAsia"/>
                      </w:rPr>
                      <w:t>会议决议</w:t>
                    </w:r>
                  </w:p>
                </w:sdtContent>
              </w:sdt>
            </w:tc>
          </w:tr>
          <w:sdt>
            <w:sdtPr>
              <w:rPr>
                <w:rFonts w:asciiTheme="minorEastAsia" w:eastAsiaTheme="minorEastAsia" w:hAnsiTheme="minorEastAsia" w:hint="eastAsia"/>
              </w:rPr>
              <w:alias w:val="股东大会情况"/>
              <w:tag w:val="_TUP_4299ac0eb78c4c11ae0a1812edf5a2f1"/>
              <w:id w:val="1459288564"/>
              <w:lock w:val="sdtLocked"/>
            </w:sdtPr>
            <w:sdtEndPr/>
            <w:sdtContent>
              <w:tr w:rsidR="00B201D3" w14:paraId="0E31422A" w14:textId="77777777" w:rsidTr="00D56784">
                <w:trPr>
                  <w:trHeight w:val="195"/>
                </w:trPr>
                <w:tc>
                  <w:tcPr>
                    <w:tcW w:w="608" w:type="pct"/>
                    <w:vAlign w:val="center"/>
                  </w:tcPr>
                  <w:p w14:paraId="57BAD8BB" w14:textId="77777777" w:rsidR="00B201D3" w:rsidRDefault="009855E8">
                    <w:pPr>
                      <w:jc w:val="both"/>
                      <w:rPr>
                        <w:rFonts w:asciiTheme="minorEastAsia" w:eastAsiaTheme="minorEastAsia" w:hAnsiTheme="minorEastAsia"/>
                      </w:rPr>
                    </w:pPr>
                    <w:r>
                      <w:rPr>
                        <w:rFonts w:asciiTheme="minorEastAsia" w:eastAsiaTheme="minorEastAsia" w:hAnsiTheme="minorEastAsia"/>
                      </w:rPr>
                      <w:t>2022年度股东周年大会</w:t>
                    </w:r>
                  </w:p>
                </w:tc>
                <w:tc>
                  <w:tcPr>
                    <w:tcW w:w="756" w:type="pct"/>
                    <w:vAlign w:val="center"/>
                  </w:tcPr>
                  <w:p w14:paraId="36196D81" w14:textId="77777777" w:rsidR="00B201D3" w:rsidRDefault="009855E8">
                    <w:pPr>
                      <w:jc w:val="both"/>
                      <w:rPr>
                        <w:rFonts w:asciiTheme="minorEastAsia" w:eastAsiaTheme="minorEastAsia" w:hAnsiTheme="minorEastAsia"/>
                      </w:rPr>
                    </w:pPr>
                    <w:r>
                      <w:rPr>
                        <w:rFonts w:asciiTheme="minorEastAsia" w:eastAsiaTheme="minorEastAsia" w:hAnsiTheme="minorEastAsia"/>
                      </w:rPr>
                      <w:t>202</w:t>
                    </w:r>
                    <w:r>
                      <w:rPr>
                        <w:rFonts w:asciiTheme="minorEastAsia" w:eastAsiaTheme="minorEastAsia" w:hAnsiTheme="minorEastAsia" w:hint="eastAsia"/>
                      </w:rPr>
                      <w:t>3</w:t>
                    </w:r>
                    <w:r>
                      <w:rPr>
                        <w:rFonts w:asciiTheme="minorEastAsia" w:eastAsiaTheme="minorEastAsia" w:hAnsiTheme="minorEastAsia"/>
                      </w:rPr>
                      <w:t>年6月30日</w:t>
                    </w:r>
                  </w:p>
                </w:tc>
                <w:tc>
                  <w:tcPr>
                    <w:tcW w:w="2091" w:type="pct"/>
                    <w:vMerge w:val="restart"/>
                    <w:vAlign w:val="center"/>
                  </w:tcPr>
                  <w:p w14:paraId="088AB31A" w14:textId="77777777" w:rsidR="00B201D3" w:rsidRDefault="009855E8">
                    <w:pPr>
                      <w:jc w:val="both"/>
                      <w:rPr>
                        <w:rFonts w:asciiTheme="minorEastAsia" w:eastAsiaTheme="minorEastAsia" w:hAnsiTheme="minorEastAsia"/>
                      </w:rPr>
                    </w:pPr>
                    <w:r>
                      <w:rPr>
                        <w:rFonts w:asciiTheme="minorEastAsia" w:eastAsiaTheme="minorEastAsia" w:hAnsiTheme="minorEastAsia" w:hint="eastAsia"/>
                      </w:rPr>
                      <w:t>上交所网站</w:t>
                    </w:r>
                  </w:p>
                  <w:p w14:paraId="4C0599A0" w14:textId="77777777" w:rsidR="00B201D3" w:rsidRDefault="009855E8">
                    <w:pPr>
                      <w:jc w:val="both"/>
                      <w:rPr>
                        <w:rFonts w:asciiTheme="minorEastAsia" w:eastAsiaTheme="minorEastAsia" w:hAnsiTheme="minorEastAsia"/>
                      </w:rPr>
                    </w:pPr>
                    <w:r>
                      <w:rPr>
                        <w:rFonts w:asciiTheme="minorEastAsia" w:eastAsiaTheme="minorEastAsia" w:hAnsiTheme="minorEastAsia" w:hint="eastAsia"/>
                      </w:rPr>
                      <w:t>（http://www.sse.com.cn）</w:t>
                    </w:r>
                  </w:p>
                  <w:p w14:paraId="0DE37D46" w14:textId="77777777" w:rsidR="00B201D3" w:rsidRDefault="009855E8">
                    <w:pPr>
                      <w:jc w:val="both"/>
                      <w:rPr>
                        <w:rFonts w:asciiTheme="minorEastAsia" w:eastAsiaTheme="minorEastAsia" w:hAnsiTheme="minorEastAsia"/>
                      </w:rPr>
                    </w:pPr>
                    <w:r>
                      <w:rPr>
                        <w:rFonts w:asciiTheme="minorEastAsia" w:eastAsiaTheme="minorEastAsia" w:hAnsiTheme="minorEastAsia" w:hint="eastAsia"/>
                      </w:rPr>
                      <w:t>香港联交所网站</w:t>
                    </w:r>
                  </w:p>
                  <w:p w14:paraId="6B499A5A" w14:textId="77777777" w:rsidR="00B201D3" w:rsidRDefault="009855E8">
                    <w:pPr>
                      <w:jc w:val="both"/>
                      <w:rPr>
                        <w:rFonts w:asciiTheme="minorEastAsia" w:eastAsiaTheme="minorEastAsia" w:hAnsiTheme="minorEastAsia"/>
                      </w:rPr>
                    </w:pPr>
                    <w:r>
                      <w:rPr>
                        <w:rFonts w:asciiTheme="minorEastAsia" w:eastAsiaTheme="minorEastAsia" w:hAnsiTheme="minorEastAsia" w:hint="eastAsia"/>
                      </w:rPr>
                      <w:t>（http://www.hkexnews.hk）</w:t>
                    </w:r>
                  </w:p>
                  <w:p w14:paraId="01B36A2E" w14:textId="77777777" w:rsidR="00B201D3" w:rsidRDefault="009855E8">
                    <w:pPr>
                      <w:jc w:val="both"/>
                      <w:rPr>
                        <w:rFonts w:asciiTheme="minorEastAsia" w:eastAsiaTheme="minorEastAsia" w:hAnsiTheme="minorEastAsia"/>
                      </w:rPr>
                    </w:pPr>
                    <w:r>
                      <w:rPr>
                        <w:rFonts w:asciiTheme="minorEastAsia" w:eastAsiaTheme="minorEastAsia" w:hAnsiTheme="minorEastAsia" w:hint="eastAsia"/>
                      </w:rPr>
                      <w:t>公司网站</w:t>
                    </w:r>
                  </w:p>
                  <w:p w14:paraId="5AFD275F" w14:textId="77777777" w:rsidR="00B201D3" w:rsidRDefault="009855E8">
                    <w:pPr>
                      <w:ind w:leftChars="-199" w:left="-418"/>
                      <w:jc w:val="both"/>
                      <w:rPr>
                        <w:rFonts w:asciiTheme="minorEastAsia" w:eastAsiaTheme="minorEastAsia" w:hAnsiTheme="minorEastAsia"/>
                      </w:rPr>
                    </w:pPr>
                    <w:r>
                      <w:rPr>
                        <w:rFonts w:asciiTheme="minorEastAsia" w:eastAsiaTheme="minorEastAsia" w:hAnsiTheme="minorEastAsia" w:hint="eastAsia"/>
                      </w:rPr>
                      <w:t>（h （</w:t>
                    </w:r>
                    <w:hyperlink r:id="rId14" w:history="1">
                      <w:r>
                        <w:rPr>
                          <w:rStyle w:val="afd"/>
                          <w:rFonts w:asciiTheme="minorEastAsia" w:eastAsiaTheme="minorEastAsia" w:hAnsiTheme="minorEastAsia"/>
                        </w:rPr>
                        <w:t>http://www.ykenergy.com</w:t>
                      </w:r>
                    </w:hyperlink>
                  </w:p>
                  <w:p w14:paraId="3CDC5E5A" w14:textId="77777777" w:rsidR="00B201D3" w:rsidRDefault="009855E8">
                    <w:pPr>
                      <w:ind w:firstLineChars="100" w:firstLine="210"/>
                      <w:jc w:val="both"/>
                      <w:rPr>
                        <w:rFonts w:asciiTheme="minorEastAsia" w:eastAsiaTheme="minorEastAsia" w:hAnsiTheme="minorEastAsia"/>
                        <w:highlight w:val="yellow"/>
                      </w:rPr>
                    </w:pPr>
                    <w:r>
                      <w:rPr>
                        <w:rFonts w:asciiTheme="minorEastAsia" w:eastAsiaTheme="minorEastAsia" w:hAnsiTheme="minorEastAsia" w:hint="eastAsia"/>
                      </w:rPr>
                      <w:t>http://www.yanzhoucoal.com.cn</w:t>
                    </w:r>
                    <w:r>
                      <w:rPr>
                        <w:rFonts w:asciiTheme="minorEastAsia" w:eastAsiaTheme="minorEastAsia" w:hAnsiTheme="minorEastAsia"/>
                      </w:rPr>
                      <w:t>）</w:t>
                    </w:r>
                  </w:p>
                  <w:p w14:paraId="6D1C7052" w14:textId="77777777" w:rsidR="00B201D3" w:rsidRDefault="009855E8">
                    <w:pPr>
                      <w:ind w:leftChars="-199" w:left="-418"/>
                      <w:jc w:val="both"/>
                      <w:rPr>
                        <w:rFonts w:asciiTheme="minorEastAsia" w:eastAsiaTheme="minorEastAsia" w:hAnsiTheme="minorEastAsia"/>
                      </w:rPr>
                    </w:pPr>
                    <w:r>
                      <w:rPr>
                        <w:rFonts w:asciiTheme="minorEastAsia" w:eastAsiaTheme="minorEastAsia" w:hAnsiTheme="minorEastAsia" w:hint="eastAsia"/>
                        <w:highlight w:val="yellow"/>
                      </w:rPr>
                      <w:t>）</w:t>
                    </w:r>
                  </w:p>
                  <w:p w14:paraId="770DDA85" w14:textId="77777777" w:rsidR="00B201D3" w:rsidRDefault="00B201D3">
                    <w:pPr>
                      <w:jc w:val="both"/>
                      <w:rPr>
                        <w:rFonts w:asciiTheme="minorEastAsia" w:eastAsiaTheme="minorEastAsia" w:hAnsiTheme="minorEastAsia"/>
                      </w:rPr>
                    </w:pPr>
                  </w:p>
                </w:tc>
                <w:tc>
                  <w:tcPr>
                    <w:tcW w:w="687" w:type="pct"/>
                    <w:vAlign w:val="center"/>
                  </w:tcPr>
                  <w:p w14:paraId="69850D56" w14:textId="77777777" w:rsidR="00B201D3" w:rsidRDefault="009855E8">
                    <w:pPr>
                      <w:jc w:val="both"/>
                      <w:rPr>
                        <w:rFonts w:asciiTheme="minorEastAsia" w:eastAsiaTheme="minorEastAsia" w:hAnsiTheme="minorEastAsia"/>
                        <w:sz w:val="24"/>
                        <w:szCs w:val="24"/>
                      </w:rPr>
                    </w:pPr>
                    <w:r>
                      <w:rPr>
                        <w:rFonts w:asciiTheme="minorEastAsia" w:eastAsiaTheme="minorEastAsia" w:hAnsiTheme="minorEastAsia"/>
                      </w:rPr>
                      <w:t>2023年6月30日</w:t>
                    </w:r>
                  </w:p>
                </w:tc>
                <w:tc>
                  <w:tcPr>
                    <w:tcW w:w="857" w:type="pct"/>
                    <w:vAlign w:val="center"/>
                  </w:tcPr>
                  <w:p w14:paraId="305D812C" w14:textId="77777777" w:rsidR="00B201D3" w:rsidRDefault="009855E8">
                    <w:pPr>
                      <w:jc w:val="both"/>
                      <w:rPr>
                        <w:rFonts w:asciiTheme="minorEastAsia" w:eastAsiaTheme="minorEastAsia" w:hAnsiTheme="minorEastAsia"/>
                      </w:rPr>
                    </w:pPr>
                    <w:r>
                      <w:rPr>
                        <w:rFonts w:asciiTheme="minorEastAsia" w:eastAsiaTheme="minorEastAsia" w:hAnsiTheme="minorEastAsia"/>
                      </w:rPr>
                      <w:t>通过所有议案</w:t>
                    </w:r>
                  </w:p>
                </w:tc>
              </w:tr>
            </w:sdtContent>
          </w:sdt>
          <w:sdt>
            <w:sdtPr>
              <w:rPr>
                <w:rFonts w:asciiTheme="minorEastAsia" w:eastAsiaTheme="minorEastAsia" w:hAnsiTheme="minorEastAsia" w:hint="eastAsia"/>
              </w:rPr>
              <w:alias w:val="股东大会情况"/>
              <w:tag w:val="_TUP_4299ac0eb78c4c11ae0a1812edf5a2f1"/>
              <w:id w:val="2059284865"/>
              <w:lock w:val="sdtLocked"/>
            </w:sdtPr>
            <w:sdtEndPr/>
            <w:sdtContent>
              <w:tr w:rsidR="00B201D3" w14:paraId="759B50BF" w14:textId="77777777" w:rsidTr="00D56784">
                <w:trPr>
                  <w:trHeight w:val="195"/>
                </w:trPr>
                <w:tc>
                  <w:tcPr>
                    <w:tcW w:w="608" w:type="pct"/>
                    <w:vAlign w:val="center"/>
                  </w:tcPr>
                  <w:p w14:paraId="12C3FC2F" w14:textId="77777777" w:rsidR="00B201D3" w:rsidRDefault="009855E8">
                    <w:pPr>
                      <w:jc w:val="both"/>
                      <w:rPr>
                        <w:rFonts w:asciiTheme="minorEastAsia" w:eastAsiaTheme="minorEastAsia" w:hAnsiTheme="minorEastAsia"/>
                      </w:rPr>
                    </w:pPr>
                    <w:r>
                      <w:rPr>
                        <w:rFonts w:asciiTheme="minorEastAsia" w:eastAsiaTheme="minorEastAsia" w:hAnsiTheme="minorEastAsia"/>
                      </w:rPr>
                      <w:t>2023年度第</w:t>
                    </w:r>
                    <w:r>
                      <w:rPr>
                        <w:rFonts w:asciiTheme="minorEastAsia" w:eastAsiaTheme="minorEastAsia" w:hAnsiTheme="minorEastAsia" w:hint="eastAsia"/>
                      </w:rPr>
                      <w:t>一</w:t>
                    </w:r>
                    <w:r>
                      <w:rPr>
                        <w:rFonts w:asciiTheme="minorEastAsia" w:eastAsiaTheme="minorEastAsia" w:hAnsiTheme="minorEastAsia"/>
                      </w:rPr>
                      <w:t>次A股类别股东大会</w:t>
                    </w:r>
                  </w:p>
                </w:tc>
                <w:tc>
                  <w:tcPr>
                    <w:tcW w:w="756" w:type="pct"/>
                    <w:vAlign w:val="center"/>
                  </w:tcPr>
                  <w:p w14:paraId="03AE5006" w14:textId="77777777" w:rsidR="00B201D3" w:rsidRDefault="009855E8">
                    <w:pPr>
                      <w:jc w:val="both"/>
                      <w:rPr>
                        <w:rFonts w:asciiTheme="minorEastAsia" w:eastAsiaTheme="minorEastAsia" w:hAnsiTheme="minorEastAsia"/>
                      </w:rPr>
                    </w:pPr>
                    <w:r>
                      <w:rPr>
                        <w:rFonts w:asciiTheme="minorEastAsia" w:eastAsiaTheme="minorEastAsia" w:hAnsiTheme="minorEastAsia"/>
                      </w:rPr>
                      <w:t>202</w:t>
                    </w:r>
                    <w:r>
                      <w:rPr>
                        <w:rFonts w:asciiTheme="minorEastAsia" w:eastAsiaTheme="minorEastAsia" w:hAnsiTheme="minorEastAsia" w:hint="eastAsia"/>
                      </w:rPr>
                      <w:t>3</w:t>
                    </w:r>
                    <w:r>
                      <w:rPr>
                        <w:rFonts w:asciiTheme="minorEastAsia" w:eastAsiaTheme="minorEastAsia" w:hAnsiTheme="minorEastAsia"/>
                      </w:rPr>
                      <w:t>年6月30日</w:t>
                    </w:r>
                  </w:p>
                </w:tc>
                <w:tc>
                  <w:tcPr>
                    <w:tcW w:w="2091" w:type="pct"/>
                    <w:vMerge/>
                    <w:vAlign w:val="center"/>
                  </w:tcPr>
                  <w:p w14:paraId="5140AB74" w14:textId="77777777" w:rsidR="00B201D3" w:rsidRDefault="00B201D3">
                    <w:pPr>
                      <w:jc w:val="both"/>
                      <w:rPr>
                        <w:rFonts w:asciiTheme="minorEastAsia" w:eastAsiaTheme="minorEastAsia" w:hAnsiTheme="minorEastAsia"/>
                      </w:rPr>
                    </w:pPr>
                  </w:p>
                </w:tc>
                <w:tc>
                  <w:tcPr>
                    <w:tcW w:w="687" w:type="pct"/>
                    <w:vAlign w:val="center"/>
                  </w:tcPr>
                  <w:p w14:paraId="38FE609A" w14:textId="77777777" w:rsidR="00B201D3" w:rsidRDefault="009855E8">
                    <w:pPr>
                      <w:jc w:val="both"/>
                      <w:rPr>
                        <w:rFonts w:asciiTheme="minorEastAsia" w:eastAsiaTheme="minorEastAsia" w:hAnsiTheme="minorEastAsia"/>
                        <w:sz w:val="24"/>
                        <w:szCs w:val="24"/>
                      </w:rPr>
                    </w:pPr>
                    <w:r>
                      <w:rPr>
                        <w:rFonts w:asciiTheme="minorEastAsia" w:eastAsiaTheme="minorEastAsia" w:hAnsiTheme="minorEastAsia"/>
                      </w:rPr>
                      <w:t>2023年6月30日</w:t>
                    </w:r>
                  </w:p>
                </w:tc>
                <w:tc>
                  <w:tcPr>
                    <w:tcW w:w="857" w:type="pct"/>
                    <w:vAlign w:val="center"/>
                  </w:tcPr>
                  <w:p w14:paraId="11CCB729" w14:textId="77777777" w:rsidR="00B201D3" w:rsidRDefault="009855E8">
                    <w:pPr>
                      <w:jc w:val="both"/>
                      <w:rPr>
                        <w:rFonts w:asciiTheme="minorEastAsia" w:eastAsiaTheme="minorEastAsia" w:hAnsiTheme="minorEastAsia"/>
                      </w:rPr>
                    </w:pPr>
                    <w:r>
                      <w:rPr>
                        <w:rFonts w:asciiTheme="minorEastAsia" w:eastAsiaTheme="minorEastAsia" w:hAnsiTheme="minorEastAsia"/>
                      </w:rPr>
                      <w:t>通过所有议案</w:t>
                    </w:r>
                  </w:p>
                </w:tc>
              </w:tr>
            </w:sdtContent>
          </w:sdt>
          <w:sdt>
            <w:sdtPr>
              <w:rPr>
                <w:rFonts w:asciiTheme="minorEastAsia" w:eastAsiaTheme="minorEastAsia" w:hAnsiTheme="minorEastAsia" w:hint="eastAsia"/>
              </w:rPr>
              <w:alias w:val="股东大会情况"/>
              <w:tag w:val="_TUP_4299ac0eb78c4c11ae0a1812edf5a2f1"/>
              <w:id w:val="2085022531"/>
              <w:lock w:val="sdtLocked"/>
            </w:sdtPr>
            <w:sdtEndPr/>
            <w:sdtContent>
              <w:tr w:rsidR="00B201D3" w14:paraId="12E0EE7D" w14:textId="77777777" w:rsidTr="00D56784">
                <w:trPr>
                  <w:trHeight w:val="195"/>
                </w:trPr>
                <w:tc>
                  <w:tcPr>
                    <w:tcW w:w="608" w:type="pct"/>
                    <w:vAlign w:val="center"/>
                  </w:tcPr>
                  <w:p w14:paraId="627599B5" w14:textId="77777777" w:rsidR="00B201D3" w:rsidRDefault="009855E8">
                    <w:pPr>
                      <w:jc w:val="both"/>
                      <w:rPr>
                        <w:rFonts w:asciiTheme="minorEastAsia" w:eastAsiaTheme="minorEastAsia" w:hAnsiTheme="minorEastAsia"/>
                      </w:rPr>
                    </w:pPr>
                    <w:r>
                      <w:rPr>
                        <w:rFonts w:asciiTheme="minorEastAsia" w:eastAsiaTheme="minorEastAsia" w:hAnsiTheme="minorEastAsia"/>
                      </w:rPr>
                      <w:t>202</w:t>
                    </w:r>
                    <w:r>
                      <w:rPr>
                        <w:rFonts w:asciiTheme="minorEastAsia" w:eastAsiaTheme="minorEastAsia" w:hAnsiTheme="minorEastAsia" w:hint="eastAsia"/>
                      </w:rPr>
                      <w:t>3</w:t>
                    </w:r>
                    <w:r>
                      <w:rPr>
                        <w:rFonts w:asciiTheme="minorEastAsia" w:eastAsiaTheme="minorEastAsia" w:hAnsiTheme="minorEastAsia"/>
                      </w:rPr>
                      <w:t>年度第一次H股类别股东大会</w:t>
                    </w:r>
                  </w:p>
                </w:tc>
                <w:tc>
                  <w:tcPr>
                    <w:tcW w:w="756" w:type="pct"/>
                    <w:vAlign w:val="center"/>
                  </w:tcPr>
                  <w:p w14:paraId="5496AB5D" w14:textId="77777777" w:rsidR="00B201D3" w:rsidRDefault="009855E8">
                    <w:pPr>
                      <w:jc w:val="both"/>
                      <w:rPr>
                        <w:rFonts w:asciiTheme="minorEastAsia" w:eastAsiaTheme="minorEastAsia" w:hAnsiTheme="minorEastAsia"/>
                      </w:rPr>
                    </w:pPr>
                    <w:r>
                      <w:rPr>
                        <w:rFonts w:asciiTheme="minorEastAsia" w:eastAsiaTheme="minorEastAsia" w:hAnsiTheme="minorEastAsia"/>
                      </w:rPr>
                      <w:t>202</w:t>
                    </w:r>
                    <w:r>
                      <w:rPr>
                        <w:rFonts w:asciiTheme="minorEastAsia" w:eastAsiaTheme="minorEastAsia" w:hAnsiTheme="minorEastAsia" w:hint="eastAsia"/>
                      </w:rPr>
                      <w:t>3</w:t>
                    </w:r>
                    <w:r>
                      <w:rPr>
                        <w:rFonts w:asciiTheme="minorEastAsia" w:eastAsiaTheme="minorEastAsia" w:hAnsiTheme="minorEastAsia"/>
                      </w:rPr>
                      <w:t>年6月30日</w:t>
                    </w:r>
                  </w:p>
                </w:tc>
                <w:tc>
                  <w:tcPr>
                    <w:tcW w:w="2091" w:type="pct"/>
                    <w:vMerge/>
                    <w:vAlign w:val="center"/>
                  </w:tcPr>
                  <w:p w14:paraId="3338FD3B" w14:textId="77777777" w:rsidR="00B201D3" w:rsidRDefault="00B201D3">
                    <w:pPr>
                      <w:jc w:val="both"/>
                      <w:rPr>
                        <w:rFonts w:asciiTheme="minorEastAsia" w:eastAsiaTheme="minorEastAsia" w:hAnsiTheme="minorEastAsia"/>
                      </w:rPr>
                    </w:pPr>
                  </w:p>
                </w:tc>
                <w:tc>
                  <w:tcPr>
                    <w:tcW w:w="687" w:type="pct"/>
                    <w:vAlign w:val="center"/>
                  </w:tcPr>
                  <w:p w14:paraId="2C57903C" w14:textId="77777777" w:rsidR="00B201D3" w:rsidRDefault="009855E8">
                    <w:pPr>
                      <w:jc w:val="both"/>
                      <w:rPr>
                        <w:rFonts w:asciiTheme="minorEastAsia" w:eastAsiaTheme="minorEastAsia" w:hAnsiTheme="minorEastAsia"/>
                        <w:sz w:val="24"/>
                        <w:szCs w:val="24"/>
                      </w:rPr>
                    </w:pPr>
                    <w:r>
                      <w:rPr>
                        <w:rFonts w:asciiTheme="minorEastAsia" w:eastAsiaTheme="minorEastAsia" w:hAnsiTheme="minorEastAsia"/>
                      </w:rPr>
                      <w:t>2023年6月30日</w:t>
                    </w:r>
                  </w:p>
                </w:tc>
                <w:tc>
                  <w:tcPr>
                    <w:tcW w:w="857" w:type="pct"/>
                    <w:vAlign w:val="center"/>
                  </w:tcPr>
                  <w:p w14:paraId="3645126F" w14:textId="77777777" w:rsidR="00B201D3" w:rsidRDefault="009855E8">
                    <w:pPr>
                      <w:jc w:val="both"/>
                      <w:rPr>
                        <w:rFonts w:asciiTheme="minorEastAsia" w:eastAsiaTheme="minorEastAsia" w:hAnsiTheme="minorEastAsia"/>
                      </w:rPr>
                    </w:pPr>
                    <w:r>
                      <w:rPr>
                        <w:rFonts w:asciiTheme="minorEastAsia" w:eastAsiaTheme="minorEastAsia" w:hAnsiTheme="minorEastAsia"/>
                      </w:rPr>
                      <w:t>通过所有议案</w:t>
                    </w:r>
                  </w:p>
                </w:tc>
              </w:tr>
            </w:sdtContent>
          </w:sdt>
        </w:tbl>
        <w:p w14:paraId="5A29F3CC" w14:textId="77777777" w:rsidR="00B201D3" w:rsidRDefault="00B201D3">
          <w:pPr>
            <w:pStyle w:val="3903"/>
          </w:pPr>
        </w:p>
        <w:p w14:paraId="167AB067" w14:textId="77777777" w:rsidR="00B201D3" w:rsidRDefault="009855E8">
          <w:pPr>
            <w:rPr>
              <w:sz w:val="24"/>
              <w:szCs w:val="24"/>
            </w:rPr>
          </w:pPr>
          <w:r>
            <w:rPr>
              <w:rFonts w:hint="eastAsia"/>
            </w:rPr>
            <w:t>注：上表中“决议刊登的披露日期”为决议公告所载日期。</w:t>
          </w:r>
        </w:p>
        <w:p w14:paraId="7BCE2A58" w14:textId="77777777" w:rsidR="00B201D3" w:rsidRDefault="00C8327E">
          <w:pPr>
            <w:pStyle w:val="3903"/>
          </w:pPr>
        </w:p>
      </w:sdtContent>
    </w:sdt>
    <w:bookmarkEnd w:id="70" w:displacedByCustomXml="next"/>
    <w:bookmarkStart w:id="71" w:name="_Hlk41294309" w:displacedByCustomXml="next"/>
    <w:sdt>
      <w:sdtPr>
        <w:rPr>
          <w:rFonts w:hint="eastAsia"/>
          <w:b/>
        </w:rPr>
        <w:alias w:val="模块:表决权恢复的优先股股东请求召开临时股东大会 "/>
        <w:tag w:val="_SEC_d5dd00e8721a44d88174eb5aacf152b7"/>
        <w:id w:val="2068844153"/>
        <w:lock w:val="sdtLocked"/>
        <w:placeholder>
          <w:docPart w:val="GBC22222222222222222222222222222"/>
        </w:placeholder>
      </w:sdtPr>
      <w:sdtEndPr>
        <w:rPr>
          <w:b w:val="0"/>
          <w:color w:val="333399"/>
        </w:rPr>
      </w:sdtEndPr>
      <w:sdtContent>
        <w:p w14:paraId="2F3B6463" w14:textId="77777777" w:rsidR="00B201D3" w:rsidRDefault="009855E8">
          <w:pPr>
            <w:rPr>
              <w:b/>
            </w:rPr>
          </w:pPr>
          <w:r>
            <w:rPr>
              <w:rFonts w:hint="eastAsia"/>
              <w:b/>
            </w:rPr>
            <w:t>表决权恢复的优先股股东请求召开临时股东大会</w:t>
          </w:r>
        </w:p>
        <w:sdt>
          <w:sdtPr>
            <w:alias w:val="是否适用：表决权恢复的优先股股东请求召开临时股东大会[双击切换]"/>
            <w:tag w:val="_GBC_07c9bc8db9ab4498ac0bfac48beddedc"/>
            <w:id w:val="118659038"/>
            <w:lock w:val="sdtLocked"/>
            <w:placeholder>
              <w:docPart w:val="GBC22222222222222222222222222222"/>
            </w:placeholder>
          </w:sdtPr>
          <w:sdtEndPr/>
          <w:sdtContent>
            <w:p w14:paraId="1486EB88" w14:textId="77777777" w:rsidR="00B201D3" w:rsidRDefault="009855E8">
              <w:pPr>
                <w:pStyle w:val="390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71"/>
    <w:p w14:paraId="1706716A" w14:textId="77777777" w:rsidR="00B201D3" w:rsidRDefault="00B201D3">
      <w:pPr>
        <w:pStyle w:val="3903"/>
      </w:pPr>
    </w:p>
    <w:sdt>
      <w:sdtPr>
        <w:rPr>
          <w:rFonts w:hint="eastAsia"/>
        </w:rPr>
        <w:alias w:val="模块:股东大会情况说明"/>
        <w:tag w:val="_SEC_bf1ce0d19a464ce2a3d1a1d438ffde42"/>
        <w:id w:val="-1560482574"/>
        <w:lock w:val="sdtLocked"/>
        <w:placeholder>
          <w:docPart w:val="GBC22222222222222222222222222222"/>
        </w:placeholder>
      </w:sdtPr>
      <w:sdtEndPr/>
      <w:sdtContent>
        <w:p w14:paraId="6D399B0A" w14:textId="77777777" w:rsidR="00B201D3" w:rsidRDefault="009855E8">
          <w:pPr>
            <w:pStyle w:val="3903"/>
          </w:pPr>
          <w:r>
            <w:rPr>
              <w:rFonts w:hint="eastAsia"/>
            </w:rPr>
            <w:t>股东大会情况说明</w:t>
          </w:r>
        </w:p>
        <w:sdt>
          <w:sdtPr>
            <w:rPr>
              <w:rFonts w:hint="eastAsia"/>
            </w:rPr>
            <w:alias w:val="是否适用：股东大会情况说明[双击切换]"/>
            <w:tag w:val="_GBC_bc06fc78c35044b0a848192606e2a5ad"/>
            <w:id w:val="-1926410632"/>
            <w:lock w:val="sdtLocked"/>
            <w:placeholder>
              <w:docPart w:val="GBC22222222222222222222222222222"/>
            </w:placeholder>
          </w:sdtPr>
          <w:sdtEndPr/>
          <w:sdtContent>
            <w:p w14:paraId="55FDBCED" w14:textId="77777777" w:rsidR="00B201D3" w:rsidRDefault="009855E8">
              <w:pPr>
                <w:pStyle w:val="390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0245B854" w14:textId="77777777" w:rsidR="00B201D3" w:rsidRDefault="00B201D3">
      <w:pPr>
        <w:pStyle w:val="3903"/>
      </w:pPr>
    </w:p>
    <w:bookmarkStart w:id="72" w:name="_Toc342566009" w:displacedByCustomXml="next"/>
    <w:bookmarkStart w:id="73" w:name="_Toc342057949" w:displacedByCustomXml="next"/>
    <w:sdt>
      <w:sdtPr>
        <w:rPr>
          <w:rFonts w:ascii="宋体" w:hAnsi="宋体" w:cs="宋体" w:hint="eastAsia"/>
          <w:b w:val="0"/>
          <w:bCs/>
          <w:kern w:val="0"/>
          <w:szCs w:val="24"/>
        </w:rPr>
        <w:alias w:val="模块:公司董事、监事、高级管理人员变动情况"/>
        <w:tag w:val="_SEC_fe90051e8bfd40b8bb8541284a29b30e"/>
        <w:id w:val="633147823"/>
        <w:lock w:val="sdtLocked"/>
        <w:placeholder>
          <w:docPart w:val="GBC22222222222222222222222222222"/>
        </w:placeholder>
      </w:sdtPr>
      <w:sdtEndPr>
        <w:rPr>
          <w:bCs w:val="0"/>
          <w:szCs w:val="21"/>
        </w:rPr>
      </w:sdtEndPr>
      <w:sdtContent>
        <w:p w14:paraId="47BD1507" w14:textId="77777777" w:rsidR="00B201D3" w:rsidRDefault="009855E8">
          <w:pPr>
            <w:pStyle w:val="3901"/>
            <w:numPr>
              <w:ilvl w:val="0"/>
              <w:numId w:val="18"/>
            </w:numPr>
            <w:tabs>
              <w:tab w:val="left" w:pos="426"/>
            </w:tabs>
            <w:jc w:val="left"/>
            <w:rPr>
              <w:rFonts w:ascii="宋体" w:hAnsi="宋体"/>
            </w:rPr>
          </w:pPr>
          <w:r>
            <w:rPr>
              <w:rFonts w:ascii="宋体" w:hAnsi="宋体" w:hint="eastAsia"/>
            </w:rPr>
            <w:t>公司董事、监事、高级管理人员变动情况</w:t>
          </w:r>
          <w:bookmarkEnd w:id="73"/>
          <w:bookmarkEnd w:id="72"/>
        </w:p>
        <w:sdt>
          <w:sdtPr>
            <w:alias w:val="是否适用：公司董事、监事、高级管理人员变动情况[双击切换]"/>
            <w:tag w:val="_GBC_001d837207464f1aaa52a7fb8cd9d226"/>
            <w:id w:val="1571848544"/>
            <w:lock w:val="sdtLocked"/>
            <w:placeholder>
              <w:docPart w:val="GBC22222222222222222222222222222"/>
            </w:placeholder>
          </w:sdtPr>
          <w:sdtEndPr/>
          <w:sdtContent>
            <w:p w14:paraId="3BDC9552" w14:textId="77777777" w:rsidR="00B201D3" w:rsidRDefault="009855E8">
              <w:pPr>
                <w:pStyle w:val="390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900"/>
            <w:gridCol w:w="3056"/>
            <w:gridCol w:w="2867"/>
          </w:tblGrid>
          <w:tr w:rsidR="00B201D3" w14:paraId="4C77EC96" w14:textId="77777777">
            <w:sdt>
              <w:sdtPr>
                <w:tag w:val="_PLD_8d21520223e04755b8822b634d237604"/>
                <w:id w:val="-1850007108"/>
                <w:lock w:val="sdtLocked"/>
              </w:sdtPr>
              <w:sdtEndPr/>
              <w:sdtContent>
                <w:tc>
                  <w:tcPr>
                    <w:tcW w:w="1643" w:type="pct"/>
                    <w:shd w:val="clear" w:color="auto" w:fill="auto"/>
                  </w:tcPr>
                  <w:p w14:paraId="18594B39" w14:textId="77777777" w:rsidR="00B201D3" w:rsidRDefault="009855E8">
                    <w:pPr>
                      <w:kinsoku w:val="0"/>
                      <w:overflowPunct w:val="0"/>
                      <w:autoSpaceDE w:val="0"/>
                      <w:autoSpaceDN w:val="0"/>
                      <w:adjustRightInd w:val="0"/>
                      <w:snapToGrid w:val="0"/>
                      <w:jc w:val="center"/>
                    </w:pPr>
                    <w:r>
                      <w:rPr>
                        <w:rFonts w:hint="eastAsia"/>
                      </w:rPr>
                      <w:t>姓名</w:t>
                    </w:r>
                  </w:p>
                </w:tc>
              </w:sdtContent>
            </w:sdt>
            <w:sdt>
              <w:sdtPr>
                <w:tag w:val="_PLD_fbd3bf633b6f43caac5e618a32167462"/>
                <w:id w:val="2069065237"/>
                <w:lock w:val="sdtLocked"/>
              </w:sdtPr>
              <w:sdtEndPr/>
              <w:sdtContent>
                <w:tc>
                  <w:tcPr>
                    <w:tcW w:w="1732" w:type="pct"/>
                    <w:shd w:val="clear" w:color="auto" w:fill="auto"/>
                  </w:tcPr>
                  <w:p w14:paraId="34A79AC8" w14:textId="77777777" w:rsidR="00B201D3" w:rsidRDefault="009855E8">
                    <w:pPr>
                      <w:kinsoku w:val="0"/>
                      <w:overflowPunct w:val="0"/>
                      <w:autoSpaceDE w:val="0"/>
                      <w:autoSpaceDN w:val="0"/>
                      <w:adjustRightInd w:val="0"/>
                      <w:snapToGrid w:val="0"/>
                      <w:jc w:val="center"/>
                    </w:pPr>
                    <w:r>
                      <w:rPr>
                        <w:rFonts w:hint="eastAsia"/>
                      </w:rPr>
                      <w:t>担任的职务</w:t>
                    </w:r>
                  </w:p>
                </w:tc>
              </w:sdtContent>
            </w:sdt>
            <w:sdt>
              <w:sdtPr>
                <w:tag w:val="_PLD_32b7efb7e5ea42b9a9c73ad4470b3d12"/>
                <w:id w:val="1833404513"/>
                <w:lock w:val="sdtLocked"/>
              </w:sdtPr>
              <w:sdtEndPr/>
              <w:sdtContent>
                <w:tc>
                  <w:tcPr>
                    <w:tcW w:w="1625" w:type="pct"/>
                    <w:shd w:val="clear" w:color="auto" w:fill="auto"/>
                  </w:tcPr>
                  <w:p w14:paraId="1CE9B2AA" w14:textId="77777777" w:rsidR="00B201D3" w:rsidRDefault="009855E8">
                    <w:pPr>
                      <w:kinsoku w:val="0"/>
                      <w:overflowPunct w:val="0"/>
                      <w:autoSpaceDE w:val="0"/>
                      <w:autoSpaceDN w:val="0"/>
                      <w:adjustRightInd w:val="0"/>
                      <w:snapToGrid w:val="0"/>
                      <w:jc w:val="center"/>
                      <w:rPr>
                        <w:highlight w:val="cyan"/>
                      </w:rPr>
                    </w:pPr>
                    <w:r>
                      <w:rPr>
                        <w:rFonts w:hint="eastAsia"/>
                      </w:rPr>
                      <w:t>变动情形</w:t>
                    </w:r>
                  </w:p>
                </w:tc>
              </w:sdtContent>
            </w:sdt>
          </w:tr>
          <w:sdt>
            <w:sdtPr>
              <w:rPr>
                <w:rFonts w:hint="eastAsia"/>
              </w:rPr>
              <w:alias w:val="在报告期内公司董事、监事、高级管理人员变动情况"/>
              <w:tag w:val="_GBC_f8245c93a5574f05bb6e0a400a7c4f3b"/>
              <w:id w:val="-797605012"/>
              <w:lock w:val="sdtLocked"/>
            </w:sdtPr>
            <w:sdtEndPr/>
            <w:sdtContent>
              <w:tr w:rsidR="00B201D3" w14:paraId="4C53EED8" w14:textId="77777777">
                <w:tc>
                  <w:tcPr>
                    <w:tcW w:w="1643" w:type="pct"/>
                  </w:tcPr>
                  <w:p w14:paraId="2FBC259D" w14:textId="77777777" w:rsidR="00B201D3" w:rsidRDefault="009855E8">
                    <w:pPr>
                      <w:jc w:val="center"/>
                    </w:pPr>
                    <w:r>
                      <w:rPr>
                        <w:rFonts w:hint="eastAsia"/>
                      </w:rPr>
                      <w:t>刘  强</w:t>
                    </w:r>
                  </w:p>
                </w:tc>
                <w:tc>
                  <w:tcPr>
                    <w:tcW w:w="1732" w:type="pct"/>
                  </w:tcPr>
                  <w:p w14:paraId="5FFBB9D2" w14:textId="77777777" w:rsidR="00B201D3" w:rsidRDefault="009855E8">
                    <w:pPr>
                      <w:kinsoku w:val="0"/>
                      <w:overflowPunct w:val="0"/>
                      <w:autoSpaceDE w:val="0"/>
                      <w:autoSpaceDN w:val="0"/>
                      <w:adjustRightInd w:val="0"/>
                      <w:snapToGrid w:val="0"/>
                      <w:jc w:val="center"/>
                    </w:pPr>
                    <w:r>
                      <w:t>董事</w:t>
                    </w:r>
                  </w:p>
                </w:tc>
                <w:sdt>
                  <w:sdtPr>
                    <w:alias w:val="公司董事、监事、高级管理人员的变动情形"/>
                    <w:tag w:val="_GBC_466f24fb36cc4d949be4225fed8d37c7"/>
                    <w:id w:val="1168520777"/>
                    <w:lock w:val="sdtLocked"/>
                    <w:comboBox>
                      <w:listItem w:displayText="聘任" w:value="聘任"/>
                      <w:listItem w:displayText="离任" w:value="离任"/>
                      <w:listItem w:displayText="解任" w:value="解任"/>
                      <w:listItem w:displayText="选举" w:value="选举"/>
                    </w:comboBox>
                  </w:sdtPr>
                  <w:sdtEndPr/>
                  <w:sdtContent>
                    <w:tc>
                      <w:tcPr>
                        <w:tcW w:w="1625" w:type="pct"/>
                      </w:tcPr>
                      <w:p w14:paraId="5714998F" w14:textId="7E0AD08B" w:rsidR="00B201D3" w:rsidRDefault="00F46283">
                        <w:pPr>
                          <w:kinsoku w:val="0"/>
                          <w:overflowPunct w:val="0"/>
                          <w:autoSpaceDE w:val="0"/>
                          <w:autoSpaceDN w:val="0"/>
                          <w:adjustRightInd w:val="0"/>
                          <w:snapToGrid w:val="0"/>
                          <w:jc w:val="center"/>
                        </w:pPr>
                        <w:r>
                          <w:t>选举</w:t>
                        </w:r>
                      </w:p>
                    </w:tc>
                  </w:sdtContent>
                </w:sdt>
              </w:tr>
            </w:sdtContent>
          </w:sdt>
          <w:sdt>
            <w:sdtPr>
              <w:rPr>
                <w:rFonts w:hint="eastAsia"/>
              </w:rPr>
              <w:alias w:val="在报告期内公司董事、监事、高级管理人员变动情况"/>
              <w:tag w:val="_GBC_f8245c93a5574f05bb6e0a400a7c4f3b"/>
              <w:id w:val="2084948702"/>
              <w:lock w:val="sdtLocked"/>
            </w:sdtPr>
            <w:sdtEndPr>
              <w:rPr>
                <w:rFonts w:hint="default"/>
              </w:rPr>
            </w:sdtEndPr>
            <w:sdtContent>
              <w:tr w:rsidR="00B201D3" w14:paraId="5A4B958A" w14:textId="77777777">
                <w:tc>
                  <w:tcPr>
                    <w:tcW w:w="1643" w:type="pct"/>
                  </w:tcPr>
                  <w:p w14:paraId="4AFEC3E3" w14:textId="77777777" w:rsidR="00B201D3" w:rsidRDefault="009855E8">
                    <w:pPr>
                      <w:jc w:val="center"/>
                    </w:pPr>
                    <w:r>
                      <w:t>张海军</w:t>
                    </w:r>
                  </w:p>
                </w:tc>
                <w:tc>
                  <w:tcPr>
                    <w:tcW w:w="1732" w:type="pct"/>
                  </w:tcPr>
                  <w:p w14:paraId="2AADB920" w14:textId="77777777" w:rsidR="00B201D3" w:rsidRDefault="009855E8">
                    <w:pPr>
                      <w:kinsoku w:val="0"/>
                      <w:overflowPunct w:val="0"/>
                      <w:autoSpaceDE w:val="0"/>
                      <w:autoSpaceDN w:val="0"/>
                      <w:adjustRightInd w:val="0"/>
                      <w:snapToGrid w:val="0"/>
                      <w:jc w:val="center"/>
                    </w:pPr>
                    <w:r>
                      <w:t>董事</w:t>
                    </w:r>
                  </w:p>
                </w:tc>
                <w:sdt>
                  <w:sdtPr>
                    <w:alias w:val="公司董事、监事、高级管理人员的变动情形"/>
                    <w:tag w:val="_GBC_466f24fb36cc4d949be4225fed8d37c7"/>
                    <w:id w:val="796800035"/>
                    <w:lock w:val="sdtLocked"/>
                    <w:comboBox>
                      <w:listItem w:displayText="聘任" w:value="聘任"/>
                      <w:listItem w:displayText="离任" w:value="离任"/>
                      <w:listItem w:displayText="解任" w:value="解任"/>
                      <w:listItem w:displayText="选举" w:value="选举"/>
                    </w:comboBox>
                  </w:sdtPr>
                  <w:sdtEndPr/>
                  <w:sdtContent>
                    <w:tc>
                      <w:tcPr>
                        <w:tcW w:w="1625" w:type="pct"/>
                      </w:tcPr>
                      <w:p w14:paraId="65A3DC69" w14:textId="0F0EDD85" w:rsidR="00B201D3" w:rsidRDefault="00F46283">
                        <w:pPr>
                          <w:kinsoku w:val="0"/>
                          <w:overflowPunct w:val="0"/>
                          <w:autoSpaceDE w:val="0"/>
                          <w:autoSpaceDN w:val="0"/>
                          <w:adjustRightInd w:val="0"/>
                          <w:snapToGrid w:val="0"/>
                          <w:jc w:val="center"/>
                        </w:pPr>
                        <w:r>
                          <w:t>选举</w:t>
                        </w:r>
                      </w:p>
                    </w:tc>
                  </w:sdtContent>
                </w:sdt>
              </w:tr>
            </w:sdtContent>
          </w:sdt>
          <w:sdt>
            <w:sdtPr>
              <w:rPr>
                <w:rFonts w:hint="eastAsia"/>
              </w:rPr>
              <w:alias w:val="在报告期内公司董事、监事、高级管理人员变动情况"/>
              <w:tag w:val="_GBC_f8245c93a5574f05bb6e0a400a7c4f3b"/>
              <w:id w:val="316933386"/>
              <w:lock w:val="sdtLocked"/>
            </w:sdtPr>
            <w:sdtEndPr/>
            <w:sdtContent>
              <w:tr w:rsidR="00B201D3" w14:paraId="58C164BD" w14:textId="77777777">
                <w:tc>
                  <w:tcPr>
                    <w:tcW w:w="1643" w:type="pct"/>
                  </w:tcPr>
                  <w:p w14:paraId="20B4B078" w14:textId="77777777" w:rsidR="00B201D3" w:rsidRDefault="009855E8">
                    <w:pPr>
                      <w:jc w:val="center"/>
                    </w:pPr>
                    <w:r>
                      <w:rPr>
                        <w:rFonts w:hint="eastAsia"/>
                      </w:rPr>
                      <w:t>苏  力</w:t>
                    </w:r>
                  </w:p>
                </w:tc>
                <w:tc>
                  <w:tcPr>
                    <w:tcW w:w="1732" w:type="pct"/>
                  </w:tcPr>
                  <w:p w14:paraId="4EE29D32" w14:textId="77777777" w:rsidR="00B201D3" w:rsidRDefault="009855E8">
                    <w:pPr>
                      <w:kinsoku w:val="0"/>
                      <w:overflowPunct w:val="0"/>
                      <w:autoSpaceDE w:val="0"/>
                      <w:autoSpaceDN w:val="0"/>
                      <w:adjustRightInd w:val="0"/>
                      <w:snapToGrid w:val="0"/>
                      <w:jc w:val="center"/>
                    </w:pPr>
                    <w:r>
                      <w:t>职工董事</w:t>
                    </w:r>
                  </w:p>
                </w:tc>
                <w:sdt>
                  <w:sdtPr>
                    <w:alias w:val="公司董事、监事、高级管理人员的变动情形"/>
                    <w:tag w:val="_GBC_466f24fb36cc4d949be4225fed8d37c7"/>
                    <w:id w:val="120507222"/>
                    <w:lock w:val="sdtLocked"/>
                    <w:comboBox>
                      <w:listItem w:displayText="聘任" w:value="聘任"/>
                      <w:listItem w:displayText="离任" w:value="离任"/>
                      <w:listItem w:displayText="解任" w:value="解任"/>
                      <w:listItem w:displayText="选举" w:value="选举"/>
                    </w:comboBox>
                  </w:sdtPr>
                  <w:sdtEndPr/>
                  <w:sdtContent>
                    <w:tc>
                      <w:tcPr>
                        <w:tcW w:w="1625" w:type="pct"/>
                      </w:tcPr>
                      <w:p w14:paraId="66B56A71" w14:textId="348E8038" w:rsidR="00B201D3" w:rsidRDefault="00F46283">
                        <w:pPr>
                          <w:kinsoku w:val="0"/>
                          <w:overflowPunct w:val="0"/>
                          <w:autoSpaceDE w:val="0"/>
                          <w:autoSpaceDN w:val="0"/>
                          <w:adjustRightInd w:val="0"/>
                          <w:snapToGrid w:val="0"/>
                          <w:jc w:val="center"/>
                        </w:pPr>
                        <w:r>
                          <w:t>选举</w:t>
                        </w:r>
                      </w:p>
                    </w:tc>
                  </w:sdtContent>
                </w:sdt>
              </w:tr>
            </w:sdtContent>
          </w:sdt>
          <w:sdt>
            <w:sdtPr>
              <w:rPr>
                <w:rFonts w:hint="eastAsia"/>
              </w:rPr>
              <w:alias w:val="在报告期内公司董事、监事、高级管理人员变动情况"/>
              <w:tag w:val="_GBC_f8245c93a5574f05bb6e0a400a7c4f3b"/>
              <w:id w:val="-429894264"/>
              <w:lock w:val="sdtLocked"/>
            </w:sdtPr>
            <w:sdtEndPr>
              <w:rPr>
                <w:rFonts w:hint="default"/>
              </w:rPr>
            </w:sdtEndPr>
            <w:sdtContent>
              <w:tr w:rsidR="00B201D3" w14:paraId="78866D24" w14:textId="77777777">
                <w:tc>
                  <w:tcPr>
                    <w:tcW w:w="1643" w:type="pct"/>
                  </w:tcPr>
                  <w:p w14:paraId="0E4291E3" w14:textId="77777777" w:rsidR="00B201D3" w:rsidRDefault="009855E8">
                    <w:pPr>
                      <w:jc w:val="center"/>
                    </w:pPr>
                    <w:r>
                      <w:rPr>
                        <w:rFonts w:hint="eastAsia"/>
                      </w:rPr>
                      <w:t>彭苏萍</w:t>
                    </w:r>
                  </w:p>
                </w:tc>
                <w:tc>
                  <w:tcPr>
                    <w:tcW w:w="1732" w:type="pct"/>
                  </w:tcPr>
                  <w:p w14:paraId="2AE3622B" w14:textId="77777777" w:rsidR="00B201D3" w:rsidRDefault="009855E8">
                    <w:pPr>
                      <w:kinsoku w:val="0"/>
                      <w:overflowPunct w:val="0"/>
                      <w:autoSpaceDE w:val="0"/>
                      <w:autoSpaceDN w:val="0"/>
                      <w:adjustRightInd w:val="0"/>
                      <w:snapToGrid w:val="0"/>
                      <w:jc w:val="center"/>
                    </w:pPr>
                    <w:r>
                      <w:t>独立董事</w:t>
                    </w:r>
                  </w:p>
                </w:tc>
                <w:sdt>
                  <w:sdtPr>
                    <w:alias w:val="公司董事、监事、高级管理人员的变动情形"/>
                    <w:tag w:val="_GBC_466f24fb36cc4d949be4225fed8d37c7"/>
                    <w:id w:val="-1980914001"/>
                    <w:lock w:val="sdtLocked"/>
                    <w:comboBox>
                      <w:listItem w:displayText="聘任" w:value="聘任"/>
                      <w:listItem w:displayText="离任" w:value="离任"/>
                      <w:listItem w:displayText="解任" w:value="解任"/>
                      <w:listItem w:displayText="选举" w:value="选举"/>
                    </w:comboBox>
                  </w:sdtPr>
                  <w:sdtEndPr/>
                  <w:sdtContent>
                    <w:tc>
                      <w:tcPr>
                        <w:tcW w:w="1625" w:type="pct"/>
                      </w:tcPr>
                      <w:p w14:paraId="7039E801" w14:textId="5CF06893" w:rsidR="00B201D3" w:rsidRDefault="00F46283">
                        <w:pPr>
                          <w:kinsoku w:val="0"/>
                          <w:overflowPunct w:val="0"/>
                          <w:autoSpaceDE w:val="0"/>
                          <w:autoSpaceDN w:val="0"/>
                          <w:adjustRightInd w:val="0"/>
                          <w:snapToGrid w:val="0"/>
                          <w:jc w:val="center"/>
                        </w:pPr>
                        <w:r>
                          <w:t>选举</w:t>
                        </w:r>
                      </w:p>
                    </w:tc>
                  </w:sdtContent>
                </w:sdt>
              </w:tr>
            </w:sdtContent>
          </w:sdt>
          <w:sdt>
            <w:sdtPr>
              <w:rPr>
                <w:rFonts w:hint="eastAsia"/>
              </w:rPr>
              <w:alias w:val="在报告期内公司董事、监事、高级管理人员变动情况"/>
              <w:tag w:val="_GBC_f8245c93a5574f05bb6e0a400a7c4f3b"/>
              <w:id w:val="-899906206"/>
              <w:lock w:val="sdtLocked"/>
            </w:sdtPr>
            <w:sdtEndPr>
              <w:rPr>
                <w:rFonts w:hint="default"/>
              </w:rPr>
            </w:sdtEndPr>
            <w:sdtContent>
              <w:tr w:rsidR="00B201D3" w14:paraId="3F8757F5" w14:textId="77777777">
                <w:tc>
                  <w:tcPr>
                    <w:tcW w:w="1643" w:type="pct"/>
                  </w:tcPr>
                  <w:p w14:paraId="5815E4CE" w14:textId="77777777" w:rsidR="00B201D3" w:rsidRDefault="009855E8">
                    <w:pPr>
                      <w:jc w:val="center"/>
                    </w:pPr>
                    <w:r>
                      <w:rPr>
                        <w:rFonts w:hint="eastAsia"/>
                      </w:rPr>
                      <w:t>胡家栋</w:t>
                    </w:r>
                  </w:p>
                </w:tc>
                <w:tc>
                  <w:tcPr>
                    <w:tcW w:w="1732" w:type="pct"/>
                  </w:tcPr>
                  <w:p w14:paraId="5AF78DDF" w14:textId="77777777" w:rsidR="00B201D3" w:rsidRDefault="009855E8">
                    <w:pPr>
                      <w:kinsoku w:val="0"/>
                      <w:overflowPunct w:val="0"/>
                      <w:autoSpaceDE w:val="0"/>
                      <w:autoSpaceDN w:val="0"/>
                      <w:adjustRightInd w:val="0"/>
                      <w:snapToGrid w:val="0"/>
                      <w:jc w:val="center"/>
                    </w:pPr>
                    <w:r>
                      <w:t>独立董事</w:t>
                    </w:r>
                  </w:p>
                </w:tc>
                <w:sdt>
                  <w:sdtPr>
                    <w:alias w:val="公司董事、监事、高级管理人员的变动情形"/>
                    <w:tag w:val="_GBC_466f24fb36cc4d949be4225fed8d37c7"/>
                    <w:id w:val="-1960410442"/>
                    <w:lock w:val="sdtLocked"/>
                    <w:comboBox>
                      <w:listItem w:displayText="聘任" w:value="聘任"/>
                      <w:listItem w:displayText="离任" w:value="离任"/>
                      <w:listItem w:displayText="解任" w:value="解任"/>
                      <w:listItem w:displayText="选举" w:value="选举"/>
                    </w:comboBox>
                  </w:sdtPr>
                  <w:sdtEndPr/>
                  <w:sdtContent>
                    <w:tc>
                      <w:tcPr>
                        <w:tcW w:w="1625" w:type="pct"/>
                      </w:tcPr>
                      <w:p w14:paraId="660A9873" w14:textId="0F526AF9" w:rsidR="00B201D3" w:rsidRDefault="00F46283">
                        <w:pPr>
                          <w:kinsoku w:val="0"/>
                          <w:overflowPunct w:val="0"/>
                          <w:autoSpaceDE w:val="0"/>
                          <w:autoSpaceDN w:val="0"/>
                          <w:adjustRightInd w:val="0"/>
                          <w:snapToGrid w:val="0"/>
                          <w:jc w:val="center"/>
                        </w:pPr>
                        <w:r>
                          <w:t>选举</w:t>
                        </w:r>
                      </w:p>
                    </w:tc>
                  </w:sdtContent>
                </w:sdt>
              </w:tr>
            </w:sdtContent>
          </w:sdt>
          <w:sdt>
            <w:sdtPr>
              <w:rPr>
                <w:rFonts w:hint="eastAsia"/>
              </w:rPr>
              <w:alias w:val="在报告期内公司董事、监事、高级管理人员变动情况"/>
              <w:tag w:val="_GBC_f8245c93a5574f05bb6e0a400a7c4f3b"/>
              <w:id w:val="-697545422"/>
              <w:lock w:val="sdtLocked"/>
            </w:sdtPr>
            <w:sdtEndPr>
              <w:rPr>
                <w:rFonts w:hint="default"/>
              </w:rPr>
            </w:sdtEndPr>
            <w:sdtContent>
              <w:tr w:rsidR="00B201D3" w14:paraId="5379579C" w14:textId="77777777">
                <w:tc>
                  <w:tcPr>
                    <w:tcW w:w="1643" w:type="pct"/>
                  </w:tcPr>
                  <w:p w14:paraId="46462639" w14:textId="77777777" w:rsidR="00B201D3" w:rsidRDefault="009855E8">
                    <w:pPr>
                      <w:jc w:val="center"/>
                    </w:pPr>
                    <w:r>
                      <w:rPr>
                        <w:rFonts w:hint="eastAsia"/>
                      </w:rPr>
                      <w:t>朱  睿</w:t>
                    </w:r>
                  </w:p>
                </w:tc>
                <w:tc>
                  <w:tcPr>
                    <w:tcW w:w="1732" w:type="pct"/>
                  </w:tcPr>
                  <w:p w14:paraId="0C3538D8" w14:textId="77777777" w:rsidR="00B201D3" w:rsidRDefault="009855E8">
                    <w:pPr>
                      <w:kinsoku w:val="0"/>
                      <w:overflowPunct w:val="0"/>
                      <w:autoSpaceDE w:val="0"/>
                      <w:autoSpaceDN w:val="0"/>
                      <w:adjustRightInd w:val="0"/>
                      <w:snapToGrid w:val="0"/>
                      <w:jc w:val="center"/>
                    </w:pPr>
                    <w:r>
                      <w:t>独立董事</w:t>
                    </w:r>
                  </w:p>
                </w:tc>
                <w:sdt>
                  <w:sdtPr>
                    <w:alias w:val="公司董事、监事、高级管理人员的变动情形"/>
                    <w:tag w:val="_GBC_466f24fb36cc4d949be4225fed8d37c7"/>
                    <w:id w:val="1484428760"/>
                    <w:lock w:val="sdtLocked"/>
                    <w:comboBox>
                      <w:listItem w:displayText="聘任" w:value="聘任"/>
                      <w:listItem w:displayText="离任" w:value="离任"/>
                      <w:listItem w:displayText="解任" w:value="解任"/>
                      <w:listItem w:displayText="选举" w:value="选举"/>
                    </w:comboBox>
                  </w:sdtPr>
                  <w:sdtEndPr/>
                  <w:sdtContent>
                    <w:tc>
                      <w:tcPr>
                        <w:tcW w:w="1625" w:type="pct"/>
                      </w:tcPr>
                      <w:p w14:paraId="70D26BAA" w14:textId="288FADA6" w:rsidR="00B201D3" w:rsidRDefault="00F46283">
                        <w:pPr>
                          <w:kinsoku w:val="0"/>
                          <w:overflowPunct w:val="0"/>
                          <w:autoSpaceDE w:val="0"/>
                          <w:autoSpaceDN w:val="0"/>
                          <w:adjustRightInd w:val="0"/>
                          <w:snapToGrid w:val="0"/>
                          <w:jc w:val="center"/>
                        </w:pPr>
                        <w:r>
                          <w:t>选举</w:t>
                        </w:r>
                      </w:p>
                    </w:tc>
                  </w:sdtContent>
                </w:sdt>
              </w:tr>
            </w:sdtContent>
          </w:sdt>
          <w:sdt>
            <w:sdtPr>
              <w:rPr>
                <w:rFonts w:hint="eastAsia"/>
              </w:rPr>
              <w:alias w:val="在报告期内公司董事、监事、高级管理人员变动情况"/>
              <w:tag w:val="_GBC_f8245c93a5574f05bb6e0a400a7c4f3b"/>
              <w:id w:val="-618224923"/>
              <w:lock w:val="sdtLocked"/>
            </w:sdtPr>
            <w:sdtEndPr>
              <w:rPr>
                <w:rFonts w:hint="default"/>
              </w:rPr>
            </w:sdtEndPr>
            <w:sdtContent>
              <w:tr w:rsidR="00B201D3" w14:paraId="4EEE1518" w14:textId="77777777">
                <w:tc>
                  <w:tcPr>
                    <w:tcW w:w="1643" w:type="pct"/>
                  </w:tcPr>
                  <w:p w14:paraId="7122E970" w14:textId="77777777" w:rsidR="00B201D3" w:rsidRDefault="009855E8">
                    <w:pPr>
                      <w:jc w:val="center"/>
                    </w:pPr>
                    <w:r>
                      <w:rPr>
                        <w:rFonts w:hint="eastAsia"/>
                      </w:rPr>
                      <w:t>靳家皓</w:t>
                    </w:r>
                  </w:p>
                </w:tc>
                <w:tc>
                  <w:tcPr>
                    <w:tcW w:w="1732" w:type="pct"/>
                  </w:tcPr>
                  <w:p w14:paraId="636271DC" w14:textId="77777777" w:rsidR="00B201D3" w:rsidRDefault="009855E8">
                    <w:pPr>
                      <w:kinsoku w:val="0"/>
                      <w:overflowPunct w:val="0"/>
                      <w:autoSpaceDE w:val="0"/>
                      <w:autoSpaceDN w:val="0"/>
                      <w:adjustRightInd w:val="0"/>
                      <w:snapToGrid w:val="0"/>
                      <w:jc w:val="center"/>
                    </w:pPr>
                    <w:r>
                      <w:t>职工监事</w:t>
                    </w:r>
                  </w:p>
                </w:tc>
                <w:sdt>
                  <w:sdtPr>
                    <w:alias w:val="公司董事、监事、高级管理人员的变动情形"/>
                    <w:tag w:val="_GBC_466f24fb36cc4d949be4225fed8d37c7"/>
                    <w:id w:val="-601801129"/>
                    <w:lock w:val="sdtLocked"/>
                    <w:comboBox>
                      <w:listItem w:displayText="聘任" w:value="聘任"/>
                      <w:listItem w:displayText="离任" w:value="离任"/>
                      <w:listItem w:displayText="解任" w:value="解任"/>
                      <w:listItem w:displayText="选举" w:value="选举"/>
                    </w:comboBox>
                  </w:sdtPr>
                  <w:sdtEndPr/>
                  <w:sdtContent>
                    <w:tc>
                      <w:tcPr>
                        <w:tcW w:w="1625" w:type="pct"/>
                      </w:tcPr>
                      <w:p w14:paraId="52B6EEA5" w14:textId="126F62B3" w:rsidR="00B201D3" w:rsidRDefault="00F46283">
                        <w:pPr>
                          <w:kinsoku w:val="0"/>
                          <w:overflowPunct w:val="0"/>
                          <w:autoSpaceDE w:val="0"/>
                          <w:autoSpaceDN w:val="0"/>
                          <w:adjustRightInd w:val="0"/>
                          <w:snapToGrid w:val="0"/>
                          <w:jc w:val="center"/>
                        </w:pPr>
                        <w:r>
                          <w:t>选举</w:t>
                        </w:r>
                      </w:p>
                    </w:tc>
                  </w:sdtContent>
                </w:sdt>
              </w:tr>
            </w:sdtContent>
          </w:sdt>
          <w:sdt>
            <w:sdtPr>
              <w:rPr>
                <w:rFonts w:hint="eastAsia"/>
              </w:rPr>
              <w:alias w:val="在报告期内公司董事、监事、高级管理人员变动情况"/>
              <w:tag w:val="_GBC_f8245c93a5574f05bb6e0a400a7c4f3b"/>
              <w:id w:val="22448471"/>
              <w:lock w:val="sdtLocked"/>
            </w:sdtPr>
            <w:sdtEndPr>
              <w:rPr>
                <w:rFonts w:hint="default"/>
              </w:rPr>
            </w:sdtEndPr>
            <w:sdtContent>
              <w:tr w:rsidR="00B201D3" w14:paraId="1C78CBB3" w14:textId="77777777">
                <w:tc>
                  <w:tcPr>
                    <w:tcW w:w="1643" w:type="pct"/>
                  </w:tcPr>
                  <w:p w14:paraId="1EAC1BCD" w14:textId="77777777" w:rsidR="00B201D3" w:rsidRDefault="009855E8">
                    <w:pPr>
                      <w:jc w:val="center"/>
                    </w:pPr>
                    <w:r>
                      <w:rPr>
                        <w:rFonts w:hint="eastAsia"/>
                      </w:rPr>
                      <w:t>李洪国</w:t>
                    </w:r>
                  </w:p>
                </w:tc>
                <w:tc>
                  <w:tcPr>
                    <w:tcW w:w="1732" w:type="pct"/>
                  </w:tcPr>
                  <w:p w14:paraId="4BB35865" w14:textId="77777777" w:rsidR="00B201D3" w:rsidRDefault="009855E8">
                    <w:pPr>
                      <w:kinsoku w:val="0"/>
                      <w:overflowPunct w:val="0"/>
                      <w:autoSpaceDE w:val="0"/>
                      <w:autoSpaceDN w:val="0"/>
                      <w:adjustRightInd w:val="0"/>
                      <w:snapToGrid w:val="0"/>
                      <w:jc w:val="center"/>
                    </w:pPr>
                    <w:r>
                      <w:t>副总经理</w:t>
                    </w:r>
                  </w:p>
                </w:tc>
                <w:sdt>
                  <w:sdtPr>
                    <w:alias w:val="公司董事、监事、高级管理人员的变动情形"/>
                    <w:tag w:val="_GBC_466f24fb36cc4d949be4225fed8d37c7"/>
                    <w:id w:val="-1852870016"/>
                    <w:lock w:val="sdtLocked"/>
                    <w:comboBox>
                      <w:listItem w:displayText="聘任" w:value="聘任"/>
                      <w:listItem w:displayText="离任" w:value="离任"/>
                      <w:listItem w:displayText="解任" w:value="解任"/>
                      <w:listItem w:displayText="选举" w:value="选举"/>
                    </w:comboBox>
                  </w:sdtPr>
                  <w:sdtEndPr/>
                  <w:sdtContent>
                    <w:tc>
                      <w:tcPr>
                        <w:tcW w:w="1625" w:type="pct"/>
                      </w:tcPr>
                      <w:p w14:paraId="3A52FB20" w14:textId="5E83EA71" w:rsidR="00B201D3" w:rsidRDefault="00F46283">
                        <w:pPr>
                          <w:kinsoku w:val="0"/>
                          <w:overflowPunct w:val="0"/>
                          <w:autoSpaceDE w:val="0"/>
                          <w:autoSpaceDN w:val="0"/>
                          <w:adjustRightInd w:val="0"/>
                          <w:snapToGrid w:val="0"/>
                          <w:jc w:val="center"/>
                        </w:pPr>
                        <w:r>
                          <w:t>聘任</w:t>
                        </w:r>
                      </w:p>
                    </w:tc>
                  </w:sdtContent>
                </w:sdt>
              </w:tr>
            </w:sdtContent>
          </w:sdt>
          <w:sdt>
            <w:sdtPr>
              <w:rPr>
                <w:rFonts w:hint="eastAsia"/>
              </w:rPr>
              <w:alias w:val="在报告期内公司董事、监事、高级管理人员变动情况"/>
              <w:tag w:val="_GBC_f8245c93a5574f05bb6e0a400a7c4f3b"/>
              <w:id w:val="-1549837970"/>
              <w:lock w:val="sdtLocked"/>
            </w:sdtPr>
            <w:sdtEndPr>
              <w:rPr>
                <w:rFonts w:hint="default"/>
              </w:rPr>
            </w:sdtEndPr>
            <w:sdtContent>
              <w:tr w:rsidR="00B201D3" w14:paraId="675336AD" w14:textId="77777777">
                <w:tc>
                  <w:tcPr>
                    <w:tcW w:w="1643" w:type="pct"/>
                  </w:tcPr>
                  <w:p w14:paraId="612B5A08" w14:textId="77777777" w:rsidR="00B201D3" w:rsidRDefault="009855E8">
                    <w:pPr>
                      <w:jc w:val="center"/>
                    </w:pPr>
                    <w:r>
                      <w:rPr>
                        <w:rFonts w:hint="eastAsia"/>
                      </w:rPr>
                      <w:t>祝庆瑞</w:t>
                    </w:r>
                  </w:p>
                </w:tc>
                <w:tc>
                  <w:tcPr>
                    <w:tcW w:w="1732" w:type="pct"/>
                  </w:tcPr>
                  <w:p w14:paraId="5729D419" w14:textId="77777777" w:rsidR="00B201D3" w:rsidRDefault="009855E8">
                    <w:pPr>
                      <w:kinsoku w:val="0"/>
                      <w:overflowPunct w:val="0"/>
                      <w:autoSpaceDE w:val="0"/>
                      <w:autoSpaceDN w:val="0"/>
                      <w:adjustRightInd w:val="0"/>
                      <w:snapToGrid w:val="0"/>
                      <w:jc w:val="center"/>
                    </w:pPr>
                    <w:r>
                      <w:t>董事</w:t>
                    </w:r>
                  </w:p>
                </w:tc>
                <w:sdt>
                  <w:sdtPr>
                    <w:alias w:val="公司董事、监事、高级管理人员的变动情形"/>
                    <w:tag w:val="_GBC_466f24fb36cc4d949be4225fed8d37c7"/>
                    <w:id w:val="493380167"/>
                    <w:lock w:val="sdtLocked"/>
                    <w:comboBox>
                      <w:listItem w:displayText="聘任" w:value="聘任"/>
                      <w:listItem w:displayText="离任" w:value="离任"/>
                      <w:listItem w:displayText="解任" w:value="解任"/>
                      <w:listItem w:displayText="选举" w:value="选举"/>
                    </w:comboBox>
                  </w:sdtPr>
                  <w:sdtEndPr/>
                  <w:sdtContent>
                    <w:tc>
                      <w:tcPr>
                        <w:tcW w:w="1625" w:type="pct"/>
                      </w:tcPr>
                      <w:p w14:paraId="7ABAB233" w14:textId="3CC15A6C" w:rsidR="00B201D3" w:rsidRDefault="00F46283">
                        <w:pPr>
                          <w:kinsoku w:val="0"/>
                          <w:overflowPunct w:val="0"/>
                          <w:autoSpaceDE w:val="0"/>
                          <w:autoSpaceDN w:val="0"/>
                          <w:adjustRightInd w:val="0"/>
                          <w:snapToGrid w:val="0"/>
                          <w:jc w:val="center"/>
                        </w:pPr>
                        <w:r>
                          <w:t>离任</w:t>
                        </w:r>
                      </w:p>
                    </w:tc>
                  </w:sdtContent>
                </w:sdt>
              </w:tr>
            </w:sdtContent>
          </w:sdt>
          <w:sdt>
            <w:sdtPr>
              <w:rPr>
                <w:rFonts w:hint="eastAsia"/>
              </w:rPr>
              <w:alias w:val="在报告期内公司董事、监事、高级管理人员变动情况"/>
              <w:tag w:val="_GBC_f8245c93a5574f05bb6e0a400a7c4f3b"/>
              <w:id w:val="248934869"/>
              <w:lock w:val="sdtLocked"/>
            </w:sdtPr>
            <w:sdtEndPr>
              <w:rPr>
                <w:rFonts w:hint="default"/>
              </w:rPr>
            </w:sdtEndPr>
            <w:sdtContent>
              <w:tr w:rsidR="00B201D3" w14:paraId="73D52510" w14:textId="77777777">
                <w:tc>
                  <w:tcPr>
                    <w:tcW w:w="1643" w:type="pct"/>
                  </w:tcPr>
                  <w:p w14:paraId="7E657744" w14:textId="77777777" w:rsidR="00B201D3" w:rsidRDefault="009855E8">
                    <w:pPr>
                      <w:jc w:val="center"/>
                    </w:pPr>
                    <w:r>
                      <w:rPr>
                        <w:rFonts w:hint="eastAsia"/>
                      </w:rPr>
                      <w:t>赵青春</w:t>
                    </w:r>
                  </w:p>
                </w:tc>
                <w:tc>
                  <w:tcPr>
                    <w:tcW w:w="1732" w:type="pct"/>
                  </w:tcPr>
                  <w:p w14:paraId="159D658A" w14:textId="77777777" w:rsidR="00B201D3" w:rsidRDefault="009855E8">
                    <w:pPr>
                      <w:kinsoku w:val="0"/>
                      <w:overflowPunct w:val="0"/>
                      <w:autoSpaceDE w:val="0"/>
                      <w:autoSpaceDN w:val="0"/>
                      <w:adjustRightInd w:val="0"/>
                      <w:snapToGrid w:val="0"/>
                      <w:jc w:val="center"/>
                    </w:pPr>
                    <w:r>
                      <w:t>董事</w:t>
                    </w:r>
                  </w:p>
                </w:tc>
                <w:sdt>
                  <w:sdtPr>
                    <w:alias w:val="公司董事、监事、高级管理人员的变动情形"/>
                    <w:tag w:val="_GBC_466f24fb36cc4d949be4225fed8d37c7"/>
                    <w:id w:val="864794022"/>
                    <w:lock w:val="sdtLocked"/>
                    <w:comboBox>
                      <w:listItem w:displayText="聘任" w:value="聘任"/>
                      <w:listItem w:displayText="离任" w:value="离任"/>
                      <w:listItem w:displayText="解任" w:value="解任"/>
                      <w:listItem w:displayText="选举" w:value="选举"/>
                    </w:comboBox>
                  </w:sdtPr>
                  <w:sdtEndPr/>
                  <w:sdtContent>
                    <w:tc>
                      <w:tcPr>
                        <w:tcW w:w="1625" w:type="pct"/>
                      </w:tcPr>
                      <w:p w14:paraId="524D2018" w14:textId="2F90C6C6" w:rsidR="00B201D3" w:rsidRDefault="00F46283">
                        <w:pPr>
                          <w:kinsoku w:val="0"/>
                          <w:overflowPunct w:val="0"/>
                          <w:autoSpaceDE w:val="0"/>
                          <w:autoSpaceDN w:val="0"/>
                          <w:adjustRightInd w:val="0"/>
                          <w:snapToGrid w:val="0"/>
                          <w:jc w:val="center"/>
                        </w:pPr>
                        <w:r>
                          <w:t>离任</w:t>
                        </w:r>
                      </w:p>
                    </w:tc>
                  </w:sdtContent>
                </w:sdt>
              </w:tr>
            </w:sdtContent>
          </w:sdt>
          <w:sdt>
            <w:sdtPr>
              <w:rPr>
                <w:rFonts w:hint="eastAsia"/>
              </w:rPr>
              <w:alias w:val="在报告期内公司董事、监事、高级管理人员变动情况"/>
              <w:tag w:val="_GBC_f8245c93a5574f05bb6e0a400a7c4f3b"/>
              <w:id w:val="-20019058"/>
              <w:lock w:val="sdtLocked"/>
            </w:sdtPr>
            <w:sdtEndPr>
              <w:rPr>
                <w:rFonts w:hint="default"/>
              </w:rPr>
            </w:sdtEndPr>
            <w:sdtContent>
              <w:tr w:rsidR="00B201D3" w14:paraId="4096347A" w14:textId="77777777">
                <w:tc>
                  <w:tcPr>
                    <w:tcW w:w="1643" w:type="pct"/>
                  </w:tcPr>
                  <w:p w14:paraId="52FBC9AD" w14:textId="77777777" w:rsidR="00B201D3" w:rsidRDefault="009855E8">
                    <w:pPr>
                      <w:jc w:val="center"/>
                    </w:pPr>
                    <w:r>
                      <w:rPr>
                        <w:rFonts w:hint="eastAsia"/>
                      </w:rPr>
                      <w:t>田  会</w:t>
                    </w:r>
                  </w:p>
                </w:tc>
                <w:tc>
                  <w:tcPr>
                    <w:tcW w:w="1732" w:type="pct"/>
                  </w:tcPr>
                  <w:p w14:paraId="2074DD39" w14:textId="77777777" w:rsidR="00B201D3" w:rsidRDefault="009855E8">
                    <w:pPr>
                      <w:kinsoku w:val="0"/>
                      <w:overflowPunct w:val="0"/>
                      <w:autoSpaceDE w:val="0"/>
                      <w:autoSpaceDN w:val="0"/>
                      <w:adjustRightInd w:val="0"/>
                      <w:snapToGrid w:val="0"/>
                      <w:jc w:val="center"/>
                    </w:pPr>
                    <w:r>
                      <w:t>独立董事</w:t>
                    </w:r>
                  </w:p>
                </w:tc>
                <w:sdt>
                  <w:sdtPr>
                    <w:alias w:val="公司董事、监事、高级管理人员的变动情形"/>
                    <w:tag w:val="_GBC_466f24fb36cc4d949be4225fed8d37c7"/>
                    <w:id w:val="1232191734"/>
                    <w:lock w:val="sdtLocked"/>
                    <w:comboBox>
                      <w:listItem w:displayText="聘任" w:value="聘任"/>
                      <w:listItem w:displayText="离任" w:value="离任"/>
                      <w:listItem w:displayText="解任" w:value="解任"/>
                      <w:listItem w:displayText="选举" w:value="选举"/>
                    </w:comboBox>
                  </w:sdtPr>
                  <w:sdtEndPr/>
                  <w:sdtContent>
                    <w:tc>
                      <w:tcPr>
                        <w:tcW w:w="1625" w:type="pct"/>
                      </w:tcPr>
                      <w:p w14:paraId="3E579259" w14:textId="71A5D2C8" w:rsidR="00B201D3" w:rsidRDefault="00F46283">
                        <w:pPr>
                          <w:kinsoku w:val="0"/>
                          <w:overflowPunct w:val="0"/>
                          <w:autoSpaceDE w:val="0"/>
                          <w:autoSpaceDN w:val="0"/>
                          <w:adjustRightInd w:val="0"/>
                          <w:snapToGrid w:val="0"/>
                          <w:jc w:val="center"/>
                        </w:pPr>
                        <w:r>
                          <w:t>离任</w:t>
                        </w:r>
                      </w:p>
                    </w:tc>
                  </w:sdtContent>
                </w:sdt>
              </w:tr>
            </w:sdtContent>
          </w:sdt>
          <w:sdt>
            <w:sdtPr>
              <w:rPr>
                <w:rFonts w:hint="eastAsia"/>
              </w:rPr>
              <w:alias w:val="在报告期内公司董事、监事、高级管理人员变动情况"/>
              <w:tag w:val="_GBC_f8245c93a5574f05bb6e0a400a7c4f3b"/>
              <w:id w:val="-1553068865"/>
              <w:lock w:val="sdtLocked"/>
            </w:sdtPr>
            <w:sdtEndPr>
              <w:rPr>
                <w:rFonts w:hint="default"/>
              </w:rPr>
            </w:sdtEndPr>
            <w:sdtContent>
              <w:tr w:rsidR="00B201D3" w14:paraId="50219093" w14:textId="77777777">
                <w:tc>
                  <w:tcPr>
                    <w:tcW w:w="1643" w:type="pct"/>
                  </w:tcPr>
                  <w:p w14:paraId="5D68057C" w14:textId="77777777" w:rsidR="00B201D3" w:rsidRDefault="009855E8">
                    <w:pPr>
                      <w:jc w:val="center"/>
                    </w:pPr>
                    <w:r>
                      <w:rPr>
                        <w:rFonts w:hint="eastAsia"/>
                      </w:rPr>
                      <w:t xml:space="preserve">蔡 </w:t>
                    </w:r>
                    <w:r>
                      <w:t xml:space="preserve"> </w:t>
                    </w:r>
                    <w:r>
                      <w:rPr>
                        <w:rFonts w:hint="eastAsia"/>
                      </w:rPr>
                      <w:t>昌</w:t>
                    </w:r>
                  </w:p>
                </w:tc>
                <w:tc>
                  <w:tcPr>
                    <w:tcW w:w="1732" w:type="pct"/>
                  </w:tcPr>
                  <w:p w14:paraId="7AA745BA" w14:textId="77777777" w:rsidR="00B201D3" w:rsidRDefault="009855E8">
                    <w:pPr>
                      <w:kinsoku w:val="0"/>
                      <w:overflowPunct w:val="0"/>
                      <w:autoSpaceDE w:val="0"/>
                      <w:autoSpaceDN w:val="0"/>
                      <w:adjustRightInd w:val="0"/>
                      <w:snapToGrid w:val="0"/>
                      <w:jc w:val="center"/>
                    </w:pPr>
                    <w:r>
                      <w:t>独立董事</w:t>
                    </w:r>
                  </w:p>
                </w:tc>
                <w:sdt>
                  <w:sdtPr>
                    <w:alias w:val="公司董事、监事、高级管理人员的变动情形"/>
                    <w:tag w:val="_GBC_466f24fb36cc4d949be4225fed8d37c7"/>
                    <w:id w:val="350994916"/>
                    <w:lock w:val="sdtLocked"/>
                    <w:comboBox>
                      <w:listItem w:displayText="聘任" w:value="聘任"/>
                      <w:listItem w:displayText="离任" w:value="离任"/>
                      <w:listItem w:displayText="解任" w:value="解任"/>
                      <w:listItem w:displayText="选举" w:value="选举"/>
                    </w:comboBox>
                  </w:sdtPr>
                  <w:sdtEndPr/>
                  <w:sdtContent>
                    <w:tc>
                      <w:tcPr>
                        <w:tcW w:w="1625" w:type="pct"/>
                      </w:tcPr>
                      <w:p w14:paraId="7E2AEF0C" w14:textId="45F83AA2" w:rsidR="00B201D3" w:rsidRDefault="00F46283">
                        <w:pPr>
                          <w:kinsoku w:val="0"/>
                          <w:overflowPunct w:val="0"/>
                          <w:autoSpaceDE w:val="0"/>
                          <w:autoSpaceDN w:val="0"/>
                          <w:adjustRightInd w:val="0"/>
                          <w:snapToGrid w:val="0"/>
                          <w:jc w:val="center"/>
                        </w:pPr>
                        <w:r>
                          <w:t>离任</w:t>
                        </w:r>
                      </w:p>
                    </w:tc>
                  </w:sdtContent>
                </w:sdt>
              </w:tr>
            </w:sdtContent>
          </w:sdt>
          <w:sdt>
            <w:sdtPr>
              <w:rPr>
                <w:rFonts w:hint="eastAsia"/>
              </w:rPr>
              <w:alias w:val="在报告期内公司董事、监事、高级管理人员变动情况"/>
              <w:tag w:val="_GBC_f8245c93a5574f05bb6e0a400a7c4f3b"/>
              <w:id w:val="-1440835596"/>
              <w:lock w:val="sdtLocked"/>
            </w:sdtPr>
            <w:sdtEndPr>
              <w:rPr>
                <w:rFonts w:hint="default"/>
              </w:rPr>
            </w:sdtEndPr>
            <w:sdtContent>
              <w:tr w:rsidR="00B201D3" w14:paraId="229E91AB" w14:textId="77777777">
                <w:tc>
                  <w:tcPr>
                    <w:tcW w:w="1643" w:type="pct"/>
                  </w:tcPr>
                  <w:p w14:paraId="32B442ED" w14:textId="77777777" w:rsidR="00B201D3" w:rsidRDefault="009855E8">
                    <w:pPr>
                      <w:jc w:val="center"/>
                    </w:pPr>
                    <w:r>
                      <w:rPr>
                        <w:rFonts w:hint="eastAsia"/>
                      </w:rPr>
                      <w:t>潘昭国</w:t>
                    </w:r>
                  </w:p>
                </w:tc>
                <w:tc>
                  <w:tcPr>
                    <w:tcW w:w="1732" w:type="pct"/>
                  </w:tcPr>
                  <w:p w14:paraId="48784AAD" w14:textId="77777777" w:rsidR="00B201D3" w:rsidRDefault="009855E8">
                    <w:pPr>
                      <w:kinsoku w:val="0"/>
                      <w:overflowPunct w:val="0"/>
                      <w:autoSpaceDE w:val="0"/>
                      <w:autoSpaceDN w:val="0"/>
                      <w:adjustRightInd w:val="0"/>
                      <w:snapToGrid w:val="0"/>
                      <w:jc w:val="center"/>
                    </w:pPr>
                    <w:r>
                      <w:t>独立董事</w:t>
                    </w:r>
                  </w:p>
                </w:tc>
                <w:sdt>
                  <w:sdtPr>
                    <w:alias w:val="公司董事、监事、高级管理人员的变动情形"/>
                    <w:tag w:val="_GBC_466f24fb36cc4d949be4225fed8d37c7"/>
                    <w:id w:val="872340622"/>
                    <w:lock w:val="sdtLocked"/>
                    <w:comboBox>
                      <w:listItem w:displayText="聘任" w:value="聘任"/>
                      <w:listItem w:displayText="离任" w:value="离任"/>
                      <w:listItem w:displayText="解任" w:value="解任"/>
                      <w:listItem w:displayText="选举" w:value="选举"/>
                    </w:comboBox>
                  </w:sdtPr>
                  <w:sdtEndPr/>
                  <w:sdtContent>
                    <w:tc>
                      <w:tcPr>
                        <w:tcW w:w="1625" w:type="pct"/>
                      </w:tcPr>
                      <w:p w14:paraId="49D59AC0" w14:textId="3A78C93E" w:rsidR="00B201D3" w:rsidRDefault="00F46283">
                        <w:pPr>
                          <w:kinsoku w:val="0"/>
                          <w:overflowPunct w:val="0"/>
                          <w:autoSpaceDE w:val="0"/>
                          <w:autoSpaceDN w:val="0"/>
                          <w:adjustRightInd w:val="0"/>
                          <w:snapToGrid w:val="0"/>
                          <w:jc w:val="center"/>
                        </w:pPr>
                        <w:r>
                          <w:t>离任</w:t>
                        </w:r>
                      </w:p>
                    </w:tc>
                  </w:sdtContent>
                </w:sdt>
              </w:tr>
            </w:sdtContent>
          </w:sdt>
          <w:sdt>
            <w:sdtPr>
              <w:rPr>
                <w:rFonts w:hint="eastAsia"/>
              </w:rPr>
              <w:alias w:val="在报告期内公司董事、监事、高级管理人员变动情况"/>
              <w:tag w:val="_GBC_f8245c93a5574f05bb6e0a400a7c4f3b"/>
              <w:id w:val="692034391"/>
              <w:lock w:val="sdtLocked"/>
            </w:sdtPr>
            <w:sdtEndPr>
              <w:rPr>
                <w:rFonts w:hint="default"/>
              </w:rPr>
            </w:sdtEndPr>
            <w:sdtContent>
              <w:tr w:rsidR="00B201D3" w14:paraId="5D5DC358" w14:textId="77777777">
                <w:tc>
                  <w:tcPr>
                    <w:tcW w:w="1643" w:type="pct"/>
                  </w:tcPr>
                  <w:p w14:paraId="3846FF66" w14:textId="77777777" w:rsidR="00B201D3" w:rsidRDefault="009855E8">
                    <w:pPr>
                      <w:jc w:val="center"/>
                    </w:pPr>
                    <w:r>
                      <w:rPr>
                        <w:rFonts w:hint="eastAsia"/>
                      </w:rPr>
                      <w:t>秦言坡</w:t>
                    </w:r>
                  </w:p>
                </w:tc>
                <w:tc>
                  <w:tcPr>
                    <w:tcW w:w="1732" w:type="pct"/>
                  </w:tcPr>
                  <w:p w14:paraId="16C0C153" w14:textId="77777777" w:rsidR="00B201D3" w:rsidRDefault="009855E8">
                    <w:pPr>
                      <w:kinsoku w:val="0"/>
                      <w:overflowPunct w:val="0"/>
                      <w:autoSpaceDE w:val="0"/>
                      <w:autoSpaceDN w:val="0"/>
                      <w:adjustRightInd w:val="0"/>
                      <w:snapToGrid w:val="0"/>
                      <w:jc w:val="center"/>
                    </w:pPr>
                    <w:r>
                      <w:t>监事</w:t>
                    </w:r>
                  </w:p>
                </w:tc>
                <w:sdt>
                  <w:sdtPr>
                    <w:alias w:val="公司董事、监事、高级管理人员的变动情形"/>
                    <w:tag w:val="_GBC_466f24fb36cc4d949be4225fed8d37c7"/>
                    <w:id w:val="-824038568"/>
                    <w:lock w:val="sdtLocked"/>
                    <w:comboBox>
                      <w:listItem w:displayText="聘任" w:value="聘任"/>
                      <w:listItem w:displayText="离任" w:value="离任"/>
                      <w:listItem w:displayText="解任" w:value="解任"/>
                      <w:listItem w:displayText="选举" w:value="选举"/>
                    </w:comboBox>
                  </w:sdtPr>
                  <w:sdtEndPr/>
                  <w:sdtContent>
                    <w:tc>
                      <w:tcPr>
                        <w:tcW w:w="1625" w:type="pct"/>
                      </w:tcPr>
                      <w:p w14:paraId="7BC55BC0" w14:textId="146FA2F8" w:rsidR="00B201D3" w:rsidRDefault="00F46283">
                        <w:pPr>
                          <w:kinsoku w:val="0"/>
                          <w:overflowPunct w:val="0"/>
                          <w:autoSpaceDE w:val="0"/>
                          <w:autoSpaceDN w:val="0"/>
                          <w:adjustRightInd w:val="0"/>
                          <w:snapToGrid w:val="0"/>
                          <w:jc w:val="center"/>
                        </w:pPr>
                        <w:r>
                          <w:t>离任</w:t>
                        </w:r>
                      </w:p>
                    </w:tc>
                  </w:sdtContent>
                </w:sdt>
              </w:tr>
            </w:sdtContent>
          </w:sdt>
          <w:sdt>
            <w:sdtPr>
              <w:rPr>
                <w:rFonts w:hint="eastAsia"/>
              </w:rPr>
              <w:alias w:val="在报告期内公司董事、监事、高级管理人员变动情况"/>
              <w:tag w:val="_GBC_f8245c93a5574f05bb6e0a400a7c4f3b"/>
              <w:id w:val="311449945"/>
              <w:lock w:val="sdtLocked"/>
            </w:sdtPr>
            <w:sdtEndPr>
              <w:rPr>
                <w:rFonts w:hint="default"/>
              </w:rPr>
            </w:sdtEndPr>
            <w:sdtContent>
              <w:tr w:rsidR="00B201D3" w14:paraId="7D7D61ED" w14:textId="77777777">
                <w:tc>
                  <w:tcPr>
                    <w:tcW w:w="1643" w:type="pct"/>
                  </w:tcPr>
                  <w:p w14:paraId="711BE4B4" w14:textId="77777777" w:rsidR="00B201D3" w:rsidRDefault="009855E8">
                    <w:pPr>
                      <w:jc w:val="center"/>
                    </w:pPr>
                    <w:r>
                      <w:t>苏</w:t>
                    </w:r>
                    <w:r>
                      <w:rPr>
                        <w:rFonts w:hint="eastAsia"/>
                      </w:rPr>
                      <w:t xml:space="preserve"> </w:t>
                    </w:r>
                    <w:r>
                      <w:t xml:space="preserve"> 力</w:t>
                    </w:r>
                  </w:p>
                </w:tc>
                <w:tc>
                  <w:tcPr>
                    <w:tcW w:w="1732" w:type="pct"/>
                  </w:tcPr>
                  <w:p w14:paraId="5621B025" w14:textId="77777777" w:rsidR="00B201D3" w:rsidRDefault="009855E8">
                    <w:pPr>
                      <w:kinsoku w:val="0"/>
                      <w:overflowPunct w:val="0"/>
                      <w:autoSpaceDE w:val="0"/>
                      <w:autoSpaceDN w:val="0"/>
                      <w:adjustRightInd w:val="0"/>
                      <w:snapToGrid w:val="0"/>
                      <w:jc w:val="center"/>
                    </w:pPr>
                    <w:r>
                      <w:t>职工监事</w:t>
                    </w:r>
                  </w:p>
                </w:tc>
                <w:sdt>
                  <w:sdtPr>
                    <w:alias w:val="公司董事、监事、高级管理人员的变动情形"/>
                    <w:tag w:val="_GBC_466f24fb36cc4d949be4225fed8d37c7"/>
                    <w:id w:val="-1358651308"/>
                    <w:lock w:val="sdtLocked"/>
                    <w:comboBox>
                      <w:listItem w:displayText="聘任" w:value="聘任"/>
                      <w:listItem w:displayText="离任" w:value="离任"/>
                      <w:listItem w:displayText="解任" w:value="解任"/>
                      <w:listItem w:displayText="选举" w:value="选举"/>
                    </w:comboBox>
                  </w:sdtPr>
                  <w:sdtEndPr/>
                  <w:sdtContent>
                    <w:tc>
                      <w:tcPr>
                        <w:tcW w:w="1625" w:type="pct"/>
                      </w:tcPr>
                      <w:p w14:paraId="656F64DD" w14:textId="50F11FB4" w:rsidR="00B201D3" w:rsidRDefault="00F46283">
                        <w:pPr>
                          <w:kinsoku w:val="0"/>
                          <w:overflowPunct w:val="0"/>
                          <w:autoSpaceDE w:val="0"/>
                          <w:autoSpaceDN w:val="0"/>
                          <w:adjustRightInd w:val="0"/>
                          <w:snapToGrid w:val="0"/>
                          <w:jc w:val="center"/>
                        </w:pPr>
                        <w:r>
                          <w:t>离任</w:t>
                        </w:r>
                      </w:p>
                    </w:tc>
                  </w:sdtContent>
                </w:sdt>
              </w:tr>
            </w:sdtContent>
          </w:sdt>
          <w:sdt>
            <w:sdtPr>
              <w:rPr>
                <w:rFonts w:hint="eastAsia"/>
              </w:rPr>
              <w:alias w:val="在报告期内公司董事、监事、高级管理人员变动情况"/>
              <w:tag w:val="_GBC_f8245c93a5574f05bb6e0a400a7c4f3b"/>
              <w:id w:val="-1811391219"/>
              <w:lock w:val="sdtLocked"/>
            </w:sdtPr>
            <w:sdtEndPr>
              <w:rPr>
                <w:rFonts w:hint="default"/>
              </w:rPr>
            </w:sdtEndPr>
            <w:sdtContent>
              <w:tr w:rsidR="00B201D3" w14:paraId="085B8F18" w14:textId="77777777">
                <w:tc>
                  <w:tcPr>
                    <w:tcW w:w="1643" w:type="pct"/>
                  </w:tcPr>
                  <w:p w14:paraId="4E22B3AA" w14:textId="77777777" w:rsidR="00B201D3" w:rsidRDefault="009855E8">
                    <w:pPr>
                      <w:jc w:val="center"/>
                    </w:pPr>
                    <w:r>
                      <w:rPr>
                        <w:rFonts w:hint="eastAsia"/>
                      </w:rPr>
                      <w:t>邓  辉</w:t>
                    </w:r>
                  </w:p>
                </w:tc>
                <w:tc>
                  <w:tcPr>
                    <w:tcW w:w="1732" w:type="pct"/>
                  </w:tcPr>
                  <w:p w14:paraId="24535042" w14:textId="77777777" w:rsidR="00B201D3" w:rsidRDefault="009855E8">
                    <w:pPr>
                      <w:kinsoku w:val="0"/>
                      <w:overflowPunct w:val="0"/>
                      <w:autoSpaceDE w:val="0"/>
                      <w:autoSpaceDN w:val="0"/>
                      <w:adjustRightInd w:val="0"/>
                      <w:snapToGrid w:val="0"/>
                      <w:jc w:val="center"/>
                    </w:pPr>
                    <w:r>
                      <w:t>职工监事</w:t>
                    </w:r>
                  </w:p>
                </w:tc>
                <w:sdt>
                  <w:sdtPr>
                    <w:alias w:val="公司董事、监事、高级管理人员的变动情形"/>
                    <w:tag w:val="_GBC_466f24fb36cc4d949be4225fed8d37c7"/>
                    <w:id w:val="-232773914"/>
                    <w:lock w:val="sdtLocked"/>
                    <w:comboBox>
                      <w:listItem w:displayText="聘任" w:value="聘任"/>
                      <w:listItem w:displayText="离任" w:value="离任"/>
                      <w:listItem w:displayText="解任" w:value="解任"/>
                      <w:listItem w:displayText="选举" w:value="选举"/>
                    </w:comboBox>
                  </w:sdtPr>
                  <w:sdtEndPr/>
                  <w:sdtContent>
                    <w:tc>
                      <w:tcPr>
                        <w:tcW w:w="1625" w:type="pct"/>
                      </w:tcPr>
                      <w:p w14:paraId="2B3AC31A" w14:textId="0E1D2B93" w:rsidR="00B201D3" w:rsidRDefault="00F46283">
                        <w:pPr>
                          <w:kinsoku w:val="0"/>
                          <w:overflowPunct w:val="0"/>
                          <w:autoSpaceDE w:val="0"/>
                          <w:autoSpaceDN w:val="0"/>
                          <w:adjustRightInd w:val="0"/>
                          <w:snapToGrid w:val="0"/>
                          <w:jc w:val="center"/>
                        </w:pPr>
                        <w:r>
                          <w:t>离任</w:t>
                        </w:r>
                      </w:p>
                    </w:tc>
                  </w:sdtContent>
                </w:sdt>
              </w:tr>
            </w:sdtContent>
          </w:sdt>
        </w:tbl>
        <w:p w14:paraId="3B8D4C9B" w14:textId="77777777" w:rsidR="00B201D3" w:rsidRDefault="00C8327E">
          <w:pPr>
            <w:pStyle w:val="3903"/>
          </w:pPr>
        </w:p>
      </w:sdtContent>
    </w:sdt>
    <w:sdt>
      <w:sdtPr>
        <w:rPr>
          <w:rFonts w:hint="eastAsia"/>
        </w:rPr>
        <w:alias w:val="模块:公司董事、监事、高级管理人员变动的情况说明"/>
        <w:tag w:val="_SEC_9d764ab9e1c44e0e972e846b8ecf0813"/>
        <w:id w:val="-1372537016"/>
        <w:lock w:val="sdtLocked"/>
        <w:placeholder>
          <w:docPart w:val="GBC22222222222222222222222222222"/>
        </w:placeholder>
      </w:sdtPr>
      <w:sdtEndPr/>
      <w:sdtContent>
        <w:p w14:paraId="36C0BBB0" w14:textId="77777777" w:rsidR="00B201D3" w:rsidRDefault="009855E8">
          <w:pPr>
            <w:pStyle w:val="3903"/>
          </w:pPr>
          <w:r>
            <w:rPr>
              <w:rFonts w:hint="eastAsia"/>
            </w:rPr>
            <w:t>公司董事、监事、高级管理人员变动的情况说明</w:t>
          </w:r>
        </w:p>
        <w:sdt>
          <w:sdtPr>
            <w:rPr>
              <w:rFonts w:hint="eastAsia"/>
            </w:rPr>
            <w:alias w:val="是否适用：公司董事、监事、高级管理人员变动的情况说明 [双击切换]"/>
            <w:tag w:val="_GBC_1eda708e71a542fa89f6ad1bb8abbf70"/>
            <w:id w:val="-1234153607"/>
            <w:lock w:val="sdtLocked"/>
            <w:placeholder>
              <w:docPart w:val="GBC22222222222222222222222222222"/>
            </w:placeholder>
          </w:sdtPr>
          <w:sdtEndPr/>
          <w:sdtContent>
            <w:p w14:paraId="1AED1F90" w14:textId="77777777" w:rsidR="00B201D3" w:rsidRDefault="009855E8">
              <w:pPr>
                <w:pStyle w:val="390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hAnsi="宋体" w:cs="宋体" w:hint="eastAsia"/>
              <w:kern w:val="0"/>
              <w:szCs w:val="21"/>
            </w:rPr>
            <w:alias w:val="公司董事、监事、高级管理人员变动的情况说明"/>
            <w:tag w:val="_GBC_f2e7651aeda04cb8847fc3d49af6315f"/>
            <w:id w:val="511416007"/>
            <w:lock w:val="sdtLocked"/>
            <w:placeholder>
              <w:docPart w:val="GBC22222222222222222222222222222"/>
            </w:placeholder>
          </w:sdtPr>
          <w:sdtEndPr/>
          <w:sdtContent>
            <w:p w14:paraId="15E09BE0" w14:textId="77777777" w:rsidR="00B201D3" w:rsidRDefault="009855E8">
              <w:pPr>
                <w:pStyle w:val="11000"/>
                <w:numPr>
                  <w:ilvl w:val="0"/>
                  <w:numId w:val="19"/>
                </w:numPr>
                <w:ind w:firstLineChars="0"/>
                <w:rPr>
                  <w:b/>
                  <w:bCs/>
                </w:rPr>
              </w:pPr>
              <w:r>
                <w:rPr>
                  <w:rFonts w:hint="eastAsia"/>
                  <w:b/>
                  <w:bCs/>
                </w:rPr>
                <w:t>董事会成员变动情况</w:t>
              </w:r>
            </w:p>
            <w:p w14:paraId="64C89B91" w14:textId="77777777" w:rsidR="00B201D3" w:rsidRDefault="00B201D3">
              <w:pPr>
                <w:pStyle w:val="11000"/>
                <w:ind w:left="1140" w:firstLineChars="0" w:firstLine="0"/>
                <w:rPr>
                  <w:b/>
                  <w:bCs/>
                </w:rPr>
              </w:pPr>
            </w:p>
            <w:p w14:paraId="7F04F68B" w14:textId="77777777" w:rsidR="00B201D3" w:rsidRDefault="009855E8" w:rsidP="00657056">
              <w:pPr>
                <w:ind w:firstLineChars="200" w:firstLine="420"/>
                <w:jc w:val="both"/>
              </w:pPr>
              <w:r>
                <w:rPr>
                  <w:rFonts w:hint="eastAsia"/>
                </w:rPr>
                <w:t>经2023年6月30日召开的公司2022年度股东周年大会审议批准，选举李伟、肖耀猛、刘健、刘强、张海军、黄霄龙、彭苏萍、朱利民、胡家栋各位先生及朱睿女士为公司第九届董事会非职工代表董事，任期自2022年度股东周年大会结束之日起，至选举产生公司第十届董事会董事的股东大会结束之日止。</w:t>
              </w:r>
            </w:p>
            <w:p w14:paraId="7C732FC6" w14:textId="77777777" w:rsidR="00B201D3" w:rsidRDefault="009855E8" w:rsidP="00657056">
              <w:pPr>
                <w:ind w:firstLineChars="200" w:firstLine="420"/>
                <w:jc w:val="both"/>
              </w:pPr>
              <w:r>
                <w:rPr>
                  <w:rFonts w:hint="eastAsia"/>
                </w:rPr>
                <w:t>经2023年6月30日召开的公司第九届董事会第一次会议审议批准，选举李伟先生为公司第九届董事会董事长。</w:t>
              </w:r>
            </w:p>
            <w:p w14:paraId="69FCB3BE" w14:textId="77777777" w:rsidR="00B201D3" w:rsidRDefault="009855E8" w:rsidP="00657056">
              <w:pPr>
                <w:ind w:firstLineChars="200" w:firstLine="420"/>
                <w:jc w:val="both"/>
              </w:pPr>
              <w:r>
                <w:rPr>
                  <w:rFonts w:hint="eastAsia"/>
                </w:rPr>
                <w:t>经2023年4月19日召开的公司第三届四次职工代表大会民主选举，选举苏力先生为公司第九届董事会职工代表董事，于2</w:t>
              </w:r>
              <w:r>
                <w:t>022</w:t>
              </w:r>
              <w:r>
                <w:rPr>
                  <w:rFonts w:hint="eastAsia"/>
                </w:rPr>
                <w:t>年度股东周年大会结束之日起生效，任期与公司第九届董事会一致。</w:t>
              </w:r>
            </w:p>
            <w:p w14:paraId="1E8860C2" w14:textId="77777777" w:rsidR="00B201D3" w:rsidRDefault="009855E8" w:rsidP="00657056">
              <w:pPr>
                <w:ind w:firstLineChars="200" w:firstLine="420"/>
                <w:jc w:val="both"/>
              </w:pPr>
              <w:bookmarkStart w:id="74" w:name="_Hlk142729739"/>
              <w:r>
                <w:rPr>
                  <w:rFonts w:hint="eastAsia"/>
                </w:rPr>
                <w:t>由于第八届董事会任期届满，自</w:t>
              </w:r>
              <w:r>
                <w:t>2022年度股东周年大会结束之日起，祝庆瑞先生、赵青春先生、田会先生、蔡昌先生及潘昭国先生</w:t>
              </w:r>
              <w:r>
                <w:rPr>
                  <w:rFonts w:hint="eastAsia"/>
                </w:rPr>
                <w:t>不再担任本公司董事职务。</w:t>
              </w:r>
              <w:bookmarkEnd w:id="74"/>
            </w:p>
            <w:p w14:paraId="70F4B90E" w14:textId="77777777" w:rsidR="00B201D3" w:rsidRDefault="00B201D3" w:rsidP="00657056">
              <w:pPr>
                <w:pStyle w:val="3903"/>
                <w:jc w:val="both"/>
              </w:pPr>
            </w:p>
            <w:p w14:paraId="776C5255" w14:textId="77777777" w:rsidR="00B201D3" w:rsidRDefault="009855E8">
              <w:pPr>
                <w:ind w:firstLineChars="200" w:firstLine="422"/>
                <w:rPr>
                  <w:b/>
                  <w:bCs/>
                </w:rPr>
              </w:pPr>
              <w:r>
                <w:rPr>
                  <w:rFonts w:hint="eastAsia"/>
                  <w:b/>
                  <w:bCs/>
                </w:rPr>
                <w:t>（二）监事会成员变动情况</w:t>
              </w:r>
            </w:p>
            <w:p w14:paraId="119F77A6" w14:textId="77777777" w:rsidR="00B201D3" w:rsidRDefault="009855E8">
              <w:pPr>
                <w:ind w:firstLineChars="200" w:firstLine="420"/>
              </w:pPr>
              <w:r>
                <w:rPr>
                  <w:rFonts w:hint="eastAsia"/>
                </w:rPr>
                <w:t xml:space="preserve"> </w:t>
              </w:r>
            </w:p>
            <w:p w14:paraId="2DBDDD05" w14:textId="77777777" w:rsidR="00B201D3" w:rsidRDefault="009855E8" w:rsidP="00657056">
              <w:pPr>
                <w:ind w:firstLineChars="200" w:firstLine="420"/>
                <w:jc w:val="both"/>
              </w:pPr>
              <w:r>
                <w:rPr>
                  <w:rFonts w:hint="eastAsia"/>
                </w:rPr>
                <w:t>经2023年6月30日召开的公司2022年度股东周年大会审议批准，选举李士鹏先生、朱昊先生为公司第九届监事会非职工代表监事，任期自2022年度股东周年大会结束之日起，至选举产生公司第十届监事会非职工代表监事的股东大会结束之日止。</w:t>
              </w:r>
            </w:p>
            <w:p w14:paraId="67D4C7C1" w14:textId="77777777" w:rsidR="00B201D3" w:rsidRDefault="009855E8" w:rsidP="00657056">
              <w:pPr>
                <w:ind w:firstLineChars="200" w:firstLine="420"/>
                <w:jc w:val="both"/>
              </w:pPr>
              <w:r>
                <w:rPr>
                  <w:rFonts w:hint="eastAsia"/>
                </w:rPr>
                <w:t>经2023年6月30日召开的公司第九届监事会第一次会议审议批准，选举李士鹏先生为公司第九届监事会主席。</w:t>
              </w:r>
            </w:p>
            <w:p w14:paraId="69002721" w14:textId="77777777" w:rsidR="00B201D3" w:rsidRDefault="009855E8" w:rsidP="00657056">
              <w:pPr>
                <w:ind w:firstLineChars="200" w:firstLine="420"/>
                <w:jc w:val="both"/>
              </w:pPr>
              <w:r>
                <w:rPr>
                  <w:rFonts w:hint="eastAsia"/>
                </w:rPr>
                <w:t>经2023年4月19日召开的公司第三届四次职工代表大会民主选举，选举靳家皓先生为公司第九届监事会职工代表监事，于</w:t>
              </w:r>
              <w:r>
                <w:t>2022年度股东周年大会结束之日起生效，</w:t>
              </w:r>
              <w:r>
                <w:rPr>
                  <w:rFonts w:hint="eastAsia"/>
                </w:rPr>
                <w:t>任期与公司第九届监事会一致。</w:t>
              </w:r>
            </w:p>
            <w:p w14:paraId="45EA0C08" w14:textId="7FB005C6" w:rsidR="00B201D3" w:rsidRDefault="009855E8" w:rsidP="00657056">
              <w:pPr>
                <w:ind w:firstLineChars="200" w:firstLine="420"/>
                <w:jc w:val="both"/>
              </w:pPr>
              <w:r>
                <w:rPr>
                  <w:rFonts w:hint="eastAsia"/>
                </w:rPr>
                <w:t>由于第八届监事会任期届满，自</w:t>
              </w:r>
              <w:r>
                <w:t>2022年度股东周年大会结束之日起，</w:t>
              </w:r>
              <w:r>
                <w:rPr>
                  <w:rFonts w:hint="eastAsia"/>
                </w:rPr>
                <w:t>秦言坡先生、苏力先生及邓辉先生不再担任本公司监事。</w:t>
              </w:r>
            </w:p>
            <w:p w14:paraId="3EDC7017" w14:textId="77777777" w:rsidR="00B201D3" w:rsidRDefault="00B201D3">
              <w:pPr>
                <w:pStyle w:val="3903"/>
              </w:pPr>
            </w:p>
            <w:p w14:paraId="29C4EC63" w14:textId="77777777" w:rsidR="00B201D3" w:rsidRDefault="009855E8">
              <w:pPr>
                <w:ind w:firstLineChars="196" w:firstLine="413"/>
                <w:rPr>
                  <w:b/>
                </w:rPr>
              </w:pPr>
              <w:r>
                <w:rPr>
                  <w:rFonts w:hint="eastAsia"/>
                  <w:b/>
                </w:rPr>
                <w:t>（三）在本公司附属公司任职变动情况</w:t>
              </w:r>
            </w:p>
            <w:p w14:paraId="02AD5721" w14:textId="77777777" w:rsidR="00B201D3" w:rsidRDefault="009855E8">
              <w:pPr>
                <w:ind w:firstLineChars="200" w:firstLine="420"/>
              </w:pPr>
              <w:r>
                <w:rPr>
                  <w:rFonts w:hint="eastAsia"/>
                </w:rPr>
                <w:t xml:space="preserve"> </w:t>
              </w:r>
            </w:p>
            <w:p w14:paraId="4EF43333" w14:textId="77777777" w:rsidR="00B201D3" w:rsidRDefault="009855E8">
              <w:pPr>
                <w:ind w:firstLineChars="200" w:firstLine="420"/>
              </w:pPr>
              <w:r>
                <w:rPr>
                  <w:rFonts w:hint="eastAsia"/>
                </w:rPr>
                <w:t>（按香港上市监管规定编制）</w:t>
              </w:r>
            </w:p>
            <w:p w14:paraId="095D1DCD" w14:textId="77777777" w:rsidR="00B201D3" w:rsidRDefault="009855E8">
              <w:pPr>
                <w:pStyle w:val="3903"/>
              </w:pPr>
              <w:r>
                <w:rPr>
                  <w:rFonts w:hint="eastAsia"/>
                </w:rPr>
                <w:t xml:space="preserve"> </w:t>
              </w:r>
            </w:p>
            <w:tbl>
              <w:tblPr>
                <w:tblStyle w:val="g9"/>
                <w:tblW w:w="9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851"/>
                <w:gridCol w:w="2126"/>
                <w:gridCol w:w="2126"/>
                <w:gridCol w:w="1995"/>
              </w:tblGrid>
              <w:tr w:rsidR="00B201D3" w14:paraId="6B29DD0E" w14:textId="77777777">
                <w:trPr>
                  <w:jc w:val="center"/>
                </w:trPr>
                <w:tc>
                  <w:tcPr>
                    <w:tcW w:w="1951" w:type="dxa"/>
                    <w:tcBorders>
                      <w:top w:val="single" w:sz="4" w:space="0" w:color="auto"/>
                      <w:left w:val="single" w:sz="4" w:space="0" w:color="auto"/>
                      <w:bottom w:val="single" w:sz="4" w:space="0" w:color="auto"/>
                      <w:right w:val="single" w:sz="4" w:space="0" w:color="auto"/>
                    </w:tcBorders>
                  </w:tcPr>
                  <w:p w14:paraId="544CE5AA" w14:textId="77777777" w:rsidR="00B201D3" w:rsidRDefault="009855E8">
                    <w:pPr>
                      <w:spacing w:line="360" w:lineRule="exact"/>
                      <w:ind w:right="5"/>
                      <w:jc w:val="center"/>
                      <w:rPr>
                        <w:rFonts w:asciiTheme="minorEastAsia" w:eastAsiaTheme="minorEastAsia" w:hAnsiTheme="minorEastAsia"/>
                      </w:rPr>
                    </w:pPr>
                    <w:r>
                      <w:rPr>
                        <w:rFonts w:asciiTheme="minorEastAsia" w:eastAsiaTheme="minorEastAsia" w:hAnsiTheme="minorEastAsia" w:hint="eastAsia"/>
                      </w:rPr>
                      <w:t>本公司任职</w:t>
                    </w:r>
                  </w:p>
                </w:tc>
                <w:tc>
                  <w:tcPr>
                    <w:tcW w:w="851" w:type="dxa"/>
                    <w:tcBorders>
                      <w:top w:val="single" w:sz="4" w:space="0" w:color="auto"/>
                      <w:left w:val="single" w:sz="4" w:space="0" w:color="auto"/>
                      <w:bottom w:val="single" w:sz="4" w:space="0" w:color="auto"/>
                      <w:right w:val="single" w:sz="4" w:space="0" w:color="auto"/>
                    </w:tcBorders>
                  </w:tcPr>
                  <w:p w14:paraId="25137A55" w14:textId="77777777" w:rsidR="00B201D3" w:rsidRDefault="009855E8">
                    <w:pPr>
                      <w:spacing w:line="360" w:lineRule="exact"/>
                      <w:ind w:right="5"/>
                      <w:jc w:val="center"/>
                      <w:rPr>
                        <w:rFonts w:asciiTheme="minorEastAsia" w:eastAsiaTheme="minorEastAsia" w:hAnsiTheme="minorEastAsia"/>
                      </w:rPr>
                    </w:pPr>
                    <w:r>
                      <w:rPr>
                        <w:rFonts w:asciiTheme="minorEastAsia" w:eastAsiaTheme="minorEastAsia" w:hAnsiTheme="minorEastAsia" w:hint="eastAsia"/>
                      </w:rPr>
                      <w:t>姓名</w:t>
                    </w:r>
                  </w:p>
                </w:tc>
                <w:tc>
                  <w:tcPr>
                    <w:tcW w:w="2126" w:type="dxa"/>
                    <w:tcBorders>
                      <w:top w:val="single" w:sz="4" w:space="0" w:color="auto"/>
                      <w:left w:val="single" w:sz="4" w:space="0" w:color="auto"/>
                      <w:bottom w:val="single" w:sz="4" w:space="0" w:color="auto"/>
                      <w:right w:val="single" w:sz="4" w:space="0" w:color="auto"/>
                    </w:tcBorders>
                  </w:tcPr>
                  <w:p w14:paraId="7748E4F8" w14:textId="77777777" w:rsidR="00B201D3" w:rsidRDefault="009855E8">
                    <w:pPr>
                      <w:spacing w:line="360" w:lineRule="exact"/>
                      <w:ind w:right="5"/>
                      <w:jc w:val="center"/>
                      <w:rPr>
                        <w:rFonts w:asciiTheme="minorEastAsia" w:eastAsiaTheme="minorEastAsia" w:hAnsiTheme="minorEastAsia"/>
                      </w:rPr>
                    </w:pPr>
                    <w:r>
                      <w:rPr>
                        <w:rFonts w:asciiTheme="minorEastAsia" w:eastAsiaTheme="minorEastAsia" w:hAnsiTheme="minorEastAsia" w:hint="eastAsia"/>
                      </w:rPr>
                      <w:t>变动前</w:t>
                    </w:r>
                  </w:p>
                </w:tc>
                <w:tc>
                  <w:tcPr>
                    <w:tcW w:w="2126" w:type="dxa"/>
                    <w:tcBorders>
                      <w:top w:val="single" w:sz="4" w:space="0" w:color="auto"/>
                      <w:left w:val="single" w:sz="4" w:space="0" w:color="auto"/>
                      <w:bottom w:val="single" w:sz="4" w:space="0" w:color="auto"/>
                      <w:right w:val="single" w:sz="4" w:space="0" w:color="auto"/>
                    </w:tcBorders>
                  </w:tcPr>
                  <w:p w14:paraId="4284F2FB" w14:textId="77777777" w:rsidR="00B201D3" w:rsidRDefault="009855E8">
                    <w:pPr>
                      <w:spacing w:line="360" w:lineRule="exact"/>
                      <w:ind w:right="5"/>
                      <w:jc w:val="center"/>
                      <w:rPr>
                        <w:rFonts w:asciiTheme="minorEastAsia" w:eastAsiaTheme="minorEastAsia" w:hAnsiTheme="minorEastAsia"/>
                      </w:rPr>
                    </w:pPr>
                    <w:r>
                      <w:rPr>
                        <w:rFonts w:asciiTheme="minorEastAsia" w:eastAsiaTheme="minorEastAsia" w:hAnsiTheme="minorEastAsia" w:hint="eastAsia"/>
                      </w:rPr>
                      <w:t>变动后</w:t>
                    </w:r>
                  </w:p>
                </w:tc>
                <w:tc>
                  <w:tcPr>
                    <w:tcW w:w="1995" w:type="dxa"/>
                    <w:tcBorders>
                      <w:top w:val="single" w:sz="4" w:space="0" w:color="auto"/>
                      <w:left w:val="single" w:sz="4" w:space="0" w:color="auto"/>
                      <w:bottom w:val="single" w:sz="4" w:space="0" w:color="auto"/>
                      <w:right w:val="single" w:sz="4" w:space="0" w:color="auto"/>
                    </w:tcBorders>
                  </w:tcPr>
                  <w:p w14:paraId="016A6ED0" w14:textId="77777777" w:rsidR="00B201D3" w:rsidRDefault="009855E8">
                    <w:pPr>
                      <w:spacing w:line="360" w:lineRule="exact"/>
                      <w:ind w:right="5"/>
                      <w:jc w:val="center"/>
                    </w:pPr>
                    <w:r>
                      <w:rPr>
                        <w:rFonts w:hint="eastAsia"/>
                      </w:rPr>
                      <w:t>变动时间</w:t>
                    </w:r>
                  </w:p>
                </w:tc>
              </w:tr>
              <w:tr w:rsidR="00B201D3" w14:paraId="3B41ACF2" w14:textId="77777777">
                <w:trPr>
                  <w:jc w:val="center"/>
                </w:trPr>
                <w:tc>
                  <w:tcPr>
                    <w:tcW w:w="1951" w:type="dxa"/>
                    <w:tcBorders>
                      <w:top w:val="single" w:sz="4" w:space="0" w:color="auto"/>
                      <w:left w:val="single" w:sz="4" w:space="0" w:color="auto"/>
                      <w:bottom w:val="single" w:sz="4" w:space="0" w:color="auto"/>
                      <w:right w:val="single" w:sz="4" w:space="0" w:color="auto"/>
                    </w:tcBorders>
                    <w:vAlign w:val="center"/>
                  </w:tcPr>
                  <w:p w14:paraId="40124478" w14:textId="77777777" w:rsidR="00B201D3" w:rsidRDefault="009855E8">
                    <w:pPr>
                      <w:spacing w:line="360" w:lineRule="exact"/>
                      <w:ind w:right="5"/>
                      <w:jc w:val="center"/>
                      <w:rPr>
                        <w:rFonts w:asciiTheme="minorEastAsia" w:eastAsiaTheme="minorEastAsia" w:hAnsiTheme="minorEastAsia"/>
                      </w:rPr>
                    </w:pPr>
                    <w:r>
                      <w:rPr>
                        <w:rFonts w:asciiTheme="minorEastAsia" w:eastAsiaTheme="minorEastAsia" w:hAnsiTheme="minorEastAsia"/>
                      </w:rPr>
                      <w:t>财务总监</w:t>
                    </w:r>
                  </w:p>
                </w:tc>
                <w:tc>
                  <w:tcPr>
                    <w:tcW w:w="851" w:type="dxa"/>
                    <w:tcBorders>
                      <w:top w:val="single" w:sz="4" w:space="0" w:color="auto"/>
                      <w:left w:val="single" w:sz="4" w:space="0" w:color="auto"/>
                      <w:bottom w:val="single" w:sz="4" w:space="0" w:color="auto"/>
                      <w:right w:val="single" w:sz="4" w:space="0" w:color="auto"/>
                    </w:tcBorders>
                    <w:vAlign w:val="center"/>
                  </w:tcPr>
                  <w:p w14:paraId="17D981A5" w14:textId="77777777" w:rsidR="00B201D3" w:rsidRDefault="009855E8">
                    <w:pPr>
                      <w:spacing w:line="360" w:lineRule="exact"/>
                      <w:ind w:right="5"/>
                      <w:jc w:val="center"/>
                      <w:rPr>
                        <w:rFonts w:asciiTheme="minorEastAsia" w:eastAsiaTheme="minorEastAsia" w:hAnsiTheme="minorEastAsia"/>
                      </w:rPr>
                    </w:pPr>
                    <w:r>
                      <w:rPr>
                        <w:rFonts w:asciiTheme="minorEastAsia" w:eastAsiaTheme="minorEastAsia" w:hAnsiTheme="minorEastAsia"/>
                      </w:rPr>
                      <w:t>赵青春</w:t>
                    </w:r>
                  </w:p>
                </w:tc>
                <w:tc>
                  <w:tcPr>
                    <w:tcW w:w="2126" w:type="dxa"/>
                    <w:tcBorders>
                      <w:top w:val="single" w:sz="4" w:space="0" w:color="auto"/>
                      <w:left w:val="single" w:sz="4" w:space="0" w:color="auto"/>
                      <w:bottom w:val="single" w:sz="4" w:space="0" w:color="auto"/>
                      <w:right w:val="single" w:sz="4" w:space="0" w:color="auto"/>
                    </w:tcBorders>
                    <w:vAlign w:val="center"/>
                  </w:tcPr>
                  <w:p w14:paraId="0E4F4673" w14:textId="77777777" w:rsidR="00B201D3" w:rsidRDefault="009855E8">
                    <w:pPr>
                      <w:spacing w:line="360" w:lineRule="exact"/>
                      <w:ind w:right="5"/>
                      <w:jc w:val="center"/>
                      <w:rPr>
                        <w:rFonts w:asciiTheme="minorEastAsia" w:eastAsiaTheme="minorEastAsia" w:hAnsiTheme="minorEastAsia"/>
                      </w:rPr>
                    </w:pPr>
                    <w:r>
                      <w:rPr>
                        <w:rFonts w:asciiTheme="minorEastAsia" w:eastAsiaTheme="minorEastAsia" w:hAnsiTheme="minorEastAsia" w:hint="eastAsia"/>
                      </w:rPr>
                      <w:t>兖煤澳洲董事</w:t>
                    </w:r>
                  </w:p>
                </w:tc>
                <w:tc>
                  <w:tcPr>
                    <w:tcW w:w="2126" w:type="dxa"/>
                    <w:tcBorders>
                      <w:top w:val="single" w:sz="4" w:space="0" w:color="auto"/>
                      <w:left w:val="single" w:sz="4" w:space="0" w:color="auto"/>
                      <w:bottom w:val="single" w:sz="4" w:space="0" w:color="auto"/>
                      <w:right w:val="single" w:sz="4" w:space="0" w:color="auto"/>
                    </w:tcBorders>
                    <w:vAlign w:val="center"/>
                  </w:tcPr>
                  <w:p w14:paraId="124E6366" w14:textId="77777777" w:rsidR="00B201D3" w:rsidRDefault="009855E8">
                    <w:pPr>
                      <w:spacing w:line="360" w:lineRule="exact"/>
                      <w:ind w:right="5"/>
                      <w:jc w:val="center"/>
                      <w:rPr>
                        <w:rFonts w:asciiTheme="minorEastAsia" w:eastAsiaTheme="minorEastAsia" w:hAnsiTheme="minorEastAsia"/>
                      </w:rPr>
                    </w:pPr>
                    <w:r>
                      <w:rPr>
                        <w:rFonts w:asciiTheme="minorEastAsia" w:eastAsiaTheme="minorEastAsia" w:hAnsiTheme="minorEastAsia"/>
                      </w:rPr>
                      <w:t>—</w:t>
                    </w:r>
                  </w:p>
                </w:tc>
                <w:tc>
                  <w:tcPr>
                    <w:tcW w:w="1995" w:type="dxa"/>
                    <w:tcBorders>
                      <w:top w:val="single" w:sz="4" w:space="0" w:color="auto"/>
                      <w:left w:val="single" w:sz="4" w:space="0" w:color="auto"/>
                      <w:bottom w:val="single" w:sz="4" w:space="0" w:color="auto"/>
                      <w:right w:val="single" w:sz="4" w:space="0" w:color="auto"/>
                    </w:tcBorders>
                    <w:vAlign w:val="center"/>
                  </w:tcPr>
                  <w:p w14:paraId="64480DAE" w14:textId="77777777" w:rsidR="00B201D3" w:rsidRDefault="009855E8">
                    <w:pPr>
                      <w:spacing w:line="360" w:lineRule="exact"/>
                      <w:ind w:right="5"/>
                      <w:jc w:val="center"/>
                      <w:rPr>
                        <w:rFonts w:asciiTheme="minorEastAsia" w:eastAsiaTheme="minorEastAsia" w:hAnsiTheme="minorEastAsia"/>
                      </w:rPr>
                    </w:pPr>
                    <w:r>
                      <w:rPr>
                        <w:rFonts w:asciiTheme="minorEastAsia" w:eastAsiaTheme="minorEastAsia" w:hAnsiTheme="minorEastAsia"/>
                      </w:rPr>
                      <w:t>2023年5月31日</w:t>
                    </w:r>
                  </w:p>
                </w:tc>
              </w:tr>
              <w:tr w:rsidR="00B201D3" w14:paraId="285FBD99" w14:textId="77777777">
                <w:trPr>
                  <w:jc w:val="center"/>
                </w:trPr>
                <w:tc>
                  <w:tcPr>
                    <w:tcW w:w="1951" w:type="dxa"/>
                    <w:tcBorders>
                      <w:top w:val="single" w:sz="4" w:space="0" w:color="auto"/>
                      <w:left w:val="single" w:sz="4" w:space="0" w:color="auto"/>
                      <w:bottom w:val="single" w:sz="4" w:space="0" w:color="auto"/>
                      <w:right w:val="single" w:sz="4" w:space="0" w:color="auto"/>
                    </w:tcBorders>
                    <w:vAlign w:val="center"/>
                  </w:tcPr>
                  <w:p w14:paraId="6194867F" w14:textId="77777777" w:rsidR="00B201D3" w:rsidRDefault="009855E8">
                    <w:pPr>
                      <w:spacing w:line="360" w:lineRule="exact"/>
                      <w:ind w:right="5"/>
                      <w:jc w:val="center"/>
                      <w:rPr>
                        <w:rFonts w:asciiTheme="minorEastAsia" w:eastAsiaTheme="minorEastAsia" w:hAnsiTheme="minorEastAsia"/>
                      </w:rPr>
                    </w:pPr>
                    <w:r>
                      <w:rPr>
                        <w:rFonts w:asciiTheme="minorEastAsia" w:eastAsiaTheme="minorEastAsia" w:hAnsiTheme="minorEastAsia" w:hint="eastAsia"/>
                      </w:rPr>
                      <w:t>董事、董事会秘书</w:t>
                    </w:r>
                  </w:p>
                </w:tc>
                <w:tc>
                  <w:tcPr>
                    <w:tcW w:w="851" w:type="dxa"/>
                    <w:tcBorders>
                      <w:top w:val="single" w:sz="4" w:space="0" w:color="auto"/>
                      <w:left w:val="single" w:sz="4" w:space="0" w:color="auto"/>
                      <w:bottom w:val="single" w:sz="4" w:space="0" w:color="auto"/>
                      <w:right w:val="single" w:sz="4" w:space="0" w:color="auto"/>
                    </w:tcBorders>
                    <w:vAlign w:val="center"/>
                  </w:tcPr>
                  <w:p w14:paraId="19F89406" w14:textId="77777777" w:rsidR="00B201D3" w:rsidRDefault="009855E8">
                    <w:pPr>
                      <w:spacing w:line="360" w:lineRule="exact"/>
                      <w:ind w:right="5"/>
                      <w:jc w:val="center"/>
                      <w:rPr>
                        <w:rFonts w:asciiTheme="minorEastAsia" w:eastAsiaTheme="minorEastAsia" w:hAnsiTheme="minorEastAsia"/>
                      </w:rPr>
                    </w:pPr>
                    <w:r>
                      <w:rPr>
                        <w:rFonts w:asciiTheme="minorEastAsia" w:eastAsiaTheme="minorEastAsia" w:hAnsiTheme="minorEastAsia"/>
                      </w:rPr>
                      <w:t>黄霄龙</w:t>
                    </w:r>
                  </w:p>
                </w:tc>
                <w:tc>
                  <w:tcPr>
                    <w:tcW w:w="2126" w:type="dxa"/>
                    <w:tcBorders>
                      <w:top w:val="single" w:sz="4" w:space="0" w:color="auto"/>
                      <w:left w:val="single" w:sz="4" w:space="0" w:color="auto"/>
                      <w:bottom w:val="single" w:sz="4" w:space="0" w:color="auto"/>
                      <w:right w:val="single" w:sz="4" w:space="0" w:color="auto"/>
                    </w:tcBorders>
                    <w:vAlign w:val="center"/>
                  </w:tcPr>
                  <w:p w14:paraId="70537482" w14:textId="77777777" w:rsidR="00B201D3" w:rsidRDefault="009855E8">
                    <w:pPr>
                      <w:spacing w:line="360" w:lineRule="exact"/>
                      <w:ind w:right="5"/>
                      <w:jc w:val="center"/>
                      <w:rPr>
                        <w:rFonts w:asciiTheme="minorEastAsia" w:eastAsiaTheme="minorEastAsia" w:hAnsiTheme="minorEastAsia"/>
                      </w:rPr>
                    </w:pPr>
                    <w:r>
                      <w:rPr>
                        <w:rFonts w:asciiTheme="minorEastAsia" w:eastAsiaTheme="minorEastAsia" w:hAnsiTheme="minorEastAsia" w:hint="eastAsia"/>
                      </w:rPr>
                      <w:t>—</w:t>
                    </w:r>
                  </w:p>
                </w:tc>
                <w:tc>
                  <w:tcPr>
                    <w:tcW w:w="2126" w:type="dxa"/>
                    <w:tcBorders>
                      <w:top w:val="single" w:sz="4" w:space="0" w:color="auto"/>
                      <w:left w:val="single" w:sz="4" w:space="0" w:color="auto"/>
                      <w:bottom w:val="single" w:sz="4" w:space="0" w:color="auto"/>
                      <w:right w:val="single" w:sz="4" w:space="0" w:color="auto"/>
                    </w:tcBorders>
                    <w:vAlign w:val="center"/>
                  </w:tcPr>
                  <w:p w14:paraId="4CA98042" w14:textId="77777777" w:rsidR="00B201D3" w:rsidRDefault="009855E8">
                    <w:pPr>
                      <w:spacing w:line="360" w:lineRule="exact"/>
                      <w:ind w:right="5"/>
                      <w:jc w:val="center"/>
                      <w:rPr>
                        <w:rFonts w:asciiTheme="minorEastAsia" w:eastAsiaTheme="minorEastAsia" w:hAnsiTheme="minorEastAsia"/>
                      </w:rPr>
                    </w:pPr>
                    <w:r>
                      <w:rPr>
                        <w:rFonts w:asciiTheme="minorEastAsia" w:eastAsiaTheme="minorEastAsia" w:hAnsiTheme="minorEastAsia" w:hint="eastAsia"/>
                      </w:rPr>
                      <w:t>兖煤澳洲董事</w:t>
                    </w:r>
                  </w:p>
                </w:tc>
                <w:tc>
                  <w:tcPr>
                    <w:tcW w:w="1995" w:type="dxa"/>
                    <w:tcBorders>
                      <w:top w:val="single" w:sz="4" w:space="0" w:color="auto"/>
                      <w:left w:val="single" w:sz="4" w:space="0" w:color="auto"/>
                      <w:bottom w:val="single" w:sz="4" w:space="0" w:color="auto"/>
                      <w:right w:val="single" w:sz="4" w:space="0" w:color="auto"/>
                    </w:tcBorders>
                    <w:vAlign w:val="center"/>
                  </w:tcPr>
                  <w:p w14:paraId="1DAA4682" w14:textId="77777777" w:rsidR="00B201D3" w:rsidRDefault="009855E8">
                    <w:pPr>
                      <w:spacing w:line="360" w:lineRule="exact"/>
                      <w:ind w:right="5"/>
                      <w:jc w:val="center"/>
                      <w:rPr>
                        <w:rFonts w:asciiTheme="minorEastAsia" w:eastAsiaTheme="minorEastAsia" w:hAnsiTheme="minorEastAsia"/>
                      </w:rPr>
                    </w:pPr>
                    <w:r>
                      <w:rPr>
                        <w:rFonts w:asciiTheme="minorEastAsia" w:eastAsiaTheme="minorEastAsia" w:hAnsiTheme="minorEastAsia"/>
                      </w:rPr>
                      <w:t>2023年5月31日</w:t>
                    </w:r>
                  </w:p>
                </w:tc>
              </w:tr>
              <w:tr w:rsidR="00B201D3" w14:paraId="369519A2" w14:textId="77777777">
                <w:trPr>
                  <w:jc w:val="center"/>
                </w:trPr>
                <w:tc>
                  <w:tcPr>
                    <w:tcW w:w="1951" w:type="dxa"/>
                    <w:tcBorders>
                      <w:top w:val="single" w:sz="4" w:space="0" w:color="auto"/>
                      <w:left w:val="single" w:sz="4" w:space="0" w:color="auto"/>
                      <w:bottom w:val="single" w:sz="4" w:space="0" w:color="auto"/>
                      <w:right w:val="single" w:sz="4" w:space="0" w:color="auto"/>
                    </w:tcBorders>
                    <w:vAlign w:val="center"/>
                  </w:tcPr>
                  <w:p w14:paraId="7BF95E49" w14:textId="77777777" w:rsidR="00B201D3" w:rsidRDefault="009855E8">
                    <w:pPr>
                      <w:spacing w:line="360" w:lineRule="exact"/>
                      <w:ind w:right="5"/>
                      <w:jc w:val="center"/>
                      <w:rPr>
                        <w:rFonts w:asciiTheme="minorEastAsia" w:eastAsiaTheme="minorEastAsia" w:hAnsiTheme="minorEastAsia"/>
                      </w:rPr>
                    </w:pPr>
                    <w:r>
                      <w:rPr>
                        <w:rFonts w:asciiTheme="minorEastAsia" w:eastAsiaTheme="minorEastAsia" w:hAnsiTheme="minorEastAsia" w:hint="eastAsia"/>
                      </w:rPr>
                      <w:t>副总经理</w:t>
                    </w:r>
                  </w:p>
                </w:tc>
                <w:tc>
                  <w:tcPr>
                    <w:tcW w:w="851" w:type="dxa"/>
                    <w:tcBorders>
                      <w:top w:val="single" w:sz="4" w:space="0" w:color="auto"/>
                      <w:left w:val="single" w:sz="4" w:space="0" w:color="auto"/>
                      <w:bottom w:val="single" w:sz="4" w:space="0" w:color="auto"/>
                      <w:right w:val="single" w:sz="4" w:space="0" w:color="auto"/>
                    </w:tcBorders>
                    <w:vAlign w:val="center"/>
                  </w:tcPr>
                  <w:p w14:paraId="28A31034" w14:textId="77777777" w:rsidR="00B201D3" w:rsidRDefault="009855E8">
                    <w:pPr>
                      <w:spacing w:line="360" w:lineRule="exact"/>
                      <w:ind w:right="5"/>
                      <w:jc w:val="center"/>
                      <w:rPr>
                        <w:rFonts w:asciiTheme="minorEastAsia" w:eastAsiaTheme="minorEastAsia" w:hAnsiTheme="minorEastAsia"/>
                      </w:rPr>
                    </w:pPr>
                    <w:r>
                      <w:rPr>
                        <w:rFonts w:asciiTheme="minorEastAsia" w:eastAsiaTheme="minorEastAsia" w:hAnsiTheme="minorEastAsia"/>
                      </w:rPr>
                      <w:t>王九红</w:t>
                    </w:r>
                  </w:p>
                </w:tc>
                <w:tc>
                  <w:tcPr>
                    <w:tcW w:w="2126" w:type="dxa"/>
                    <w:tcBorders>
                      <w:top w:val="single" w:sz="4" w:space="0" w:color="auto"/>
                      <w:left w:val="single" w:sz="4" w:space="0" w:color="auto"/>
                      <w:bottom w:val="single" w:sz="4" w:space="0" w:color="auto"/>
                      <w:right w:val="single" w:sz="4" w:space="0" w:color="auto"/>
                    </w:tcBorders>
                    <w:vAlign w:val="center"/>
                  </w:tcPr>
                  <w:p w14:paraId="12B17422" w14:textId="77777777" w:rsidR="00B201D3" w:rsidRDefault="009855E8">
                    <w:pPr>
                      <w:spacing w:line="360" w:lineRule="exact"/>
                      <w:ind w:right="5"/>
                      <w:jc w:val="center"/>
                      <w:rPr>
                        <w:rFonts w:asciiTheme="minorEastAsia" w:eastAsiaTheme="minorEastAsia" w:hAnsiTheme="minorEastAsia"/>
                      </w:rPr>
                    </w:pPr>
                    <w:r>
                      <w:rPr>
                        <w:rFonts w:asciiTheme="minorEastAsia" w:eastAsiaTheme="minorEastAsia" w:hAnsiTheme="minorEastAsia" w:hint="eastAsia"/>
                      </w:rPr>
                      <w:t>鄂尔多斯公司总经理</w:t>
                    </w:r>
                  </w:p>
                </w:tc>
                <w:tc>
                  <w:tcPr>
                    <w:tcW w:w="2126" w:type="dxa"/>
                    <w:tcBorders>
                      <w:top w:val="single" w:sz="4" w:space="0" w:color="auto"/>
                      <w:left w:val="single" w:sz="4" w:space="0" w:color="auto"/>
                      <w:bottom w:val="single" w:sz="4" w:space="0" w:color="auto"/>
                      <w:right w:val="single" w:sz="4" w:space="0" w:color="auto"/>
                    </w:tcBorders>
                    <w:vAlign w:val="center"/>
                  </w:tcPr>
                  <w:p w14:paraId="3CC0FCA4" w14:textId="77777777" w:rsidR="00B201D3" w:rsidRDefault="009855E8">
                    <w:pPr>
                      <w:spacing w:line="360" w:lineRule="exact"/>
                      <w:ind w:right="5"/>
                      <w:jc w:val="center"/>
                      <w:rPr>
                        <w:rFonts w:asciiTheme="minorEastAsia" w:eastAsiaTheme="minorEastAsia" w:hAnsiTheme="minorEastAsia"/>
                      </w:rPr>
                    </w:pPr>
                    <w:r>
                      <w:rPr>
                        <w:rFonts w:asciiTheme="minorEastAsia" w:eastAsiaTheme="minorEastAsia" w:hAnsiTheme="minorEastAsia" w:hint="eastAsia"/>
                      </w:rPr>
                      <w:t>—</w:t>
                    </w:r>
                  </w:p>
                </w:tc>
                <w:tc>
                  <w:tcPr>
                    <w:tcW w:w="1995" w:type="dxa"/>
                    <w:tcBorders>
                      <w:top w:val="single" w:sz="4" w:space="0" w:color="auto"/>
                      <w:left w:val="single" w:sz="4" w:space="0" w:color="auto"/>
                      <w:bottom w:val="single" w:sz="4" w:space="0" w:color="auto"/>
                      <w:right w:val="single" w:sz="4" w:space="0" w:color="auto"/>
                    </w:tcBorders>
                    <w:vAlign w:val="center"/>
                  </w:tcPr>
                  <w:p w14:paraId="52A8F392" w14:textId="77777777" w:rsidR="00B201D3" w:rsidRDefault="009855E8">
                    <w:pPr>
                      <w:spacing w:line="360" w:lineRule="exact"/>
                      <w:ind w:right="5"/>
                      <w:jc w:val="center"/>
                      <w:rPr>
                        <w:rFonts w:asciiTheme="minorEastAsia" w:eastAsiaTheme="minorEastAsia" w:hAnsiTheme="minorEastAsia"/>
                      </w:rPr>
                    </w:pPr>
                    <w:r>
                      <w:rPr>
                        <w:rFonts w:asciiTheme="minorEastAsia" w:eastAsiaTheme="minorEastAsia" w:hAnsiTheme="minorEastAsia"/>
                      </w:rPr>
                      <w:t>2023年5月6日</w:t>
                    </w:r>
                  </w:p>
                </w:tc>
              </w:tr>
            </w:tbl>
            <w:p w14:paraId="11051D6B" w14:textId="77777777" w:rsidR="00B201D3" w:rsidRDefault="00C8327E">
              <w:pPr>
                <w:pStyle w:val="3903"/>
              </w:pPr>
            </w:p>
          </w:sdtContent>
        </w:sdt>
      </w:sdtContent>
    </w:sdt>
    <w:p w14:paraId="0C4642E1" w14:textId="77777777" w:rsidR="00B201D3" w:rsidRDefault="009855E8">
      <w:pPr>
        <w:pStyle w:val="3901"/>
        <w:numPr>
          <w:ilvl w:val="0"/>
          <w:numId w:val="18"/>
        </w:numPr>
        <w:tabs>
          <w:tab w:val="left" w:pos="426"/>
        </w:tabs>
        <w:ind w:left="422" w:hanging="422"/>
        <w:jc w:val="left"/>
        <w:rPr>
          <w:rFonts w:ascii="宋体" w:hAnsi="宋体"/>
        </w:rPr>
      </w:pPr>
      <w:r>
        <w:rPr>
          <w:rFonts w:ascii="宋体" w:hAnsi="宋体"/>
        </w:rPr>
        <w:t>利润分配或资本公积金转增预案</w:t>
      </w:r>
    </w:p>
    <w:p w14:paraId="7E805D45" w14:textId="77777777" w:rsidR="00B201D3" w:rsidRDefault="009855E8">
      <w:pPr>
        <w:rPr>
          <w:b/>
          <w:bCs/>
        </w:rPr>
      </w:pPr>
      <w:r>
        <w:rPr>
          <w:b/>
        </w:rPr>
        <w:t>半年度拟定的利润分配预案、公积金转增股本预案</w:t>
      </w:r>
    </w:p>
    <w:sdt>
      <w:sdtPr>
        <w:rPr>
          <w:rFonts w:ascii="宋体" w:hAnsi="宋体"/>
        </w:rPr>
        <w:alias w:val="模块:半年度拟定的利润分配预案"/>
        <w:tag w:val="_GBC_e4b48d016b974478b1fce3e8671a7227"/>
        <w:id w:val="144867870"/>
        <w:lock w:val="sdtLocked"/>
        <w:placeholder>
          <w:docPart w:val="GBC22222222222222222222222222222"/>
        </w:placeholder>
      </w:sdtPr>
      <w:sdtEndPr/>
      <w:sdtContent>
        <w:tbl>
          <w:tblPr>
            <w:tblStyle w:val="g6"/>
            <w:tblW w:w="0" w:type="auto"/>
            <w:tblLook w:val="04A0" w:firstRow="1" w:lastRow="0" w:firstColumn="1" w:lastColumn="0" w:noHBand="0" w:noVBand="1"/>
          </w:tblPr>
          <w:tblGrid>
            <w:gridCol w:w="4412"/>
            <w:gridCol w:w="4411"/>
          </w:tblGrid>
          <w:tr w:rsidR="00B201D3" w14:paraId="407DF82E" w14:textId="77777777">
            <w:sdt>
              <w:sdtPr>
                <w:rPr>
                  <w:rFonts w:ascii="宋体" w:hAnsi="宋体"/>
                </w:rPr>
                <w:tag w:val="_PLD_dee68179c02c4ccc8a9b8d7e3f70f2c6"/>
                <w:id w:val="-1668703779"/>
              </w:sdtPr>
              <w:sdtEndPr>
                <w:rPr>
                  <w:rFonts w:ascii="Times New Roman" w:hAnsi="Times New Roman"/>
                </w:rPr>
              </w:sdtEndPr>
              <w:sdtContent>
                <w:tc>
                  <w:tcPr>
                    <w:tcW w:w="4524" w:type="dxa"/>
                  </w:tcPr>
                  <w:p w14:paraId="1D870E5D" w14:textId="77777777" w:rsidR="00B201D3" w:rsidRDefault="009855E8">
                    <w:r>
                      <w:t>是否分配或转增</w:t>
                    </w:r>
                  </w:p>
                </w:tc>
              </w:sdtContent>
            </w:sdt>
            <w:sdt>
              <w:sdtPr>
                <w:rPr>
                  <w:rFonts w:hint="eastAsia"/>
                </w:rPr>
                <w:alias w:val="是否分配或转增"/>
                <w:tag w:val="_GBC_1aa3bb539f35454da0536200efcc4f60"/>
                <w:id w:val="1490745347"/>
                <w:comboBox>
                  <w:listItem w:displayText="是" w:value="true"/>
                  <w:listItem w:displayText="否" w:value="false"/>
                </w:comboBox>
              </w:sdtPr>
              <w:sdtEndPr/>
              <w:sdtContent>
                <w:tc>
                  <w:tcPr>
                    <w:tcW w:w="4524" w:type="dxa"/>
                  </w:tcPr>
                  <w:p w14:paraId="613EC7A5" w14:textId="59163A1A" w:rsidR="00B201D3" w:rsidRDefault="00F46283" w:rsidP="00173697">
                    <w:pPr>
                      <w:jc w:val="right"/>
                    </w:pPr>
                    <w:r>
                      <w:rPr>
                        <w:rFonts w:hint="eastAsia"/>
                      </w:rPr>
                      <w:t>否</w:t>
                    </w:r>
                  </w:p>
                </w:tc>
              </w:sdtContent>
            </w:sdt>
          </w:tr>
        </w:tbl>
        <w:p w14:paraId="3BA6E47D" w14:textId="77777777" w:rsidR="00B201D3" w:rsidRDefault="00C8327E">
          <w:pPr>
            <w:pStyle w:val="3903"/>
          </w:pPr>
        </w:p>
      </w:sdtContent>
    </w:sdt>
    <w:p w14:paraId="0C9858D8" w14:textId="77777777" w:rsidR="00B201D3" w:rsidRDefault="009855E8">
      <w:pPr>
        <w:pStyle w:val="3901"/>
        <w:numPr>
          <w:ilvl w:val="0"/>
          <w:numId w:val="18"/>
        </w:numPr>
        <w:tabs>
          <w:tab w:val="left" w:pos="426"/>
        </w:tabs>
        <w:ind w:firstLineChars="0"/>
        <w:jc w:val="left"/>
        <w:rPr>
          <w:rFonts w:ascii="宋体" w:hAnsi="宋体"/>
        </w:rPr>
      </w:pPr>
      <w:r>
        <w:rPr>
          <w:rFonts w:ascii="宋体" w:hAnsi="宋体" w:hint="eastAsia"/>
        </w:rPr>
        <w:t>公司股权激励计划、员工持股计划或其他员工激励措施的情况及其影响</w:t>
      </w:r>
    </w:p>
    <w:bookmarkStart w:id="75" w:name="_Hlk74641818" w:displacedByCustomXml="next"/>
    <w:sdt>
      <w:sdtPr>
        <w:rPr>
          <w:rFonts w:ascii="宋体" w:hAnsi="宋体" w:cs="宋体"/>
          <w:b w:val="0"/>
          <w:bCs/>
          <w:kern w:val="0"/>
          <w:szCs w:val="24"/>
        </w:rPr>
        <w:alias w:val="模块:相关股权激励事项已在临时公告披露且后续实施无进展或变化的"/>
        <w:tag w:val="_SEC_27d68d30f5fb4d008c2e762ac7309c77"/>
        <w:id w:val="-1795442562"/>
        <w:lock w:val="sdtLocked"/>
        <w:placeholder>
          <w:docPart w:val="GBC22222222222222222222222222222"/>
        </w:placeholder>
      </w:sdtPr>
      <w:sdtEndPr>
        <w:rPr>
          <w:bCs w:val="0"/>
          <w:szCs w:val="21"/>
        </w:rPr>
      </w:sdtEndPr>
      <w:sdtContent>
        <w:p w14:paraId="4B950A3E" w14:textId="77777777" w:rsidR="00B201D3" w:rsidRDefault="009855E8">
          <w:pPr>
            <w:pStyle w:val="3900"/>
            <w:numPr>
              <w:ilvl w:val="1"/>
              <w:numId w:val="20"/>
            </w:numPr>
            <w:rPr>
              <w:rFonts w:ascii="宋体" w:hAnsi="宋体"/>
              <w:kern w:val="44"/>
            </w:rPr>
          </w:pPr>
          <w:r>
            <w:rPr>
              <w:rFonts w:ascii="宋体" w:hAnsi="宋体" w:hint="eastAsia"/>
              <w:kern w:val="44"/>
            </w:rPr>
            <w:t>相关股权激励事项已在临时公告披露且后续实施无进展或变化的</w:t>
          </w:r>
        </w:p>
        <w:sdt>
          <w:sdtPr>
            <w:alias w:val="是否适用：相关激励事项已在临时公告披露且后续实施无进展或变化的[双击切换]"/>
            <w:tag w:val="_GBC_3c43a5cea9ef47daa40f133532dcd63c"/>
            <w:id w:val="156195792"/>
            <w:lock w:val="sdtLocked"/>
            <w:placeholder>
              <w:docPart w:val="GBC22222222222222222222222222222"/>
            </w:placeholder>
          </w:sdtPr>
          <w:sdtEndPr/>
          <w:sdtContent>
            <w:p w14:paraId="2FB6DA12" w14:textId="77777777" w:rsidR="00B201D3" w:rsidRDefault="009855E8">
              <w:pPr>
                <w:pStyle w:val="390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75"/>
    <w:p w14:paraId="14D8AD72" w14:textId="77777777" w:rsidR="00B201D3" w:rsidRDefault="009855E8">
      <w:pPr>
        <w:pStyle w:val="3900"/>
        <w:numPr>
          <w:ilvl w:val="1"/>
          <w:numId w:val="20"/>
        </w:numPr>
        <w:rPr>
          <w:rFonts w:ascii="宋体" w:hAnsi="宋体" w:cs="宋体"/>
          <w:kern w:val="0"/>
          <w:szCs w:val="24"/>
        </w:rPr>
      </w:pPr>
      <w:r>
        <w:rPr>
          <w:rFonts w:ascii="宋体" w:hAnsi="宋体" w:cs="宋体" w:hint="eastAsia"/>
          <w:kern w:val="0"/>
          <w:szCs w:val="24"/>
        </w:rPr>
        <w:t>临时公告未披露或有后续进展的激励情况</w:t>
      </w:r>
    </w:p>
    <w:p w14:paraId="5782BE23" w14:textId="77777777" w:rsidR="00B201D3" w:rsidRDefault="009855E8">
      <w:pPr>
        <w:pStyle w:val="3903"/>
      </w:pPr>
      <w:r>
        <w:rPr>
          <w:rFonts w:hint="eastAsia"/>
        </w:rPr>
        <w:t>股权激励情况</w:t>
      </w:r>
    </w:p>
    <w:sdt>
      <w:sdtPr>
        <w:alias w:val="是否适用：股权激励情况[双击切换]"/>
        <w:tag w:val="_GBC_388221bc7be24cdca55be337256c8bc1"/>
        <w:id w:val="632525268"/>
        <w:lock w:val="sdtContentLocked"/>
        <w:placeholder>
          <w:docPart w:val="GBC22222222222222222222222222222"/>
        </w:placeholder>
      </w:sdtPr>
      <w:sdtEndPr/>
      <w:sdtContent>
        <w:p w14:paraId="4DC528BE" w14:textId="77777777" w:rsidR="00B201D3" w:rsidRDefault="009855E8">
          <w:pPr>
            <w:pStyle w:val="390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模块:股权激励情况"/>
        <w:tag w:val="_SEC_03192fc0d89a465d87224782dc1ad23d"/>
        <w:id w:val="947589609"/>
        <w:lock w:val="sdtLocked"/>
      </w:sdtPr>
      <w:sdtEndPr>
        <w:rPr>
          <w:rFonts w:hint="default"/>
        </w:rPr>
      </w:sdtEndPr>
      <w:sdtContent>
        <w:p w14:paraId="1FB8EDAC" w14:textId="77777777" w:rsidR="00B201D3" w:rsidRDefault="00C8327E">
          <w:pPr>
            <w:pStyle w:val="3903"/>
            <w:rPr>
              <w:b/>
              <w:bCs/>
            </w:rPr>
          </w:pPr>
          <w:sdt>
            <w:sdtPr>
              <w:rPr>
                <w:rFonts w:hint="eastAsia"/>
              </w:rPr>
              <w:alias w:val="股权激励计划年份"/>
              <w:tag w:val="_GBC_2be8a18b4d5b45c385f4527a80458a60"/>
              <w:id w:val="-560636726"/>
              <w:lock w:val="sdtLocked"/>
            </w:sdtPr>
            <w:sdtEndPr>
              <w:rPr>
                <w:b/>
                <w:bCs/>
              </w:rPr>
            </w:sdtEndPr>
            <w:sdtContent>
              <w:r w:rsidR="009855E8">
                <w:rPr>
                  <w:rFonts w:hint="eastAsia"/>
                  <w:b/>
                  <w:bCs/>
                </w:rPr>
                <w:t>2018</w:t>
              </w:r>
            </w:sdtContent>
          </w:sdt>
          <w:r w:rsidR="009855E8">
            <w:rPr>
              <w:rFonts w:hint="eastAsia"/>
              <w:b/>
              <w:bCs/>
            </w:rPr>
            <w:t>年A股股票期权激励计划</w:t>
          </w:r>
        </w:p>
        <w:p w14:paraId="1482A180" w14:textId="32CA77EF" w:rsidR="00B201D3" w:rsidRDefault="009855E8">
          <w:pPr>
            <w:pStyle w:val="3903"/>
          </w:pPr>
          <w:r>
            <w:rPr>
              <w:rFonts w:hint="eastAsia"/>
            </w:rPr>
            <w:t>激励方式：</w:t>
          </w:r>
          <w:sdt>
            <w:sdtPr>
              <w:alias w:val="公司股权激励方式"/>
              <w:tag w:val="_GBC_6bc329bc7aef419a865de6636cc7cf3e"/>
              <w:id w:val="179639093"/>
              <w:lock w:val="sdtLocked"/>
              <w:comboBox>
                <w:listItem w:displayText="限制性股票" w:value="限制性股票"/>
                <w:listItem w:displayText="股票期权" w:value="股票期权"/>
                <w:listItem w:displayText="其他" w:value="其他"/>
              </w:comboBox>
            </w:sdtPr>
            <w:sdtEndPr/>
            <w:sdtContent>
              <w:r w:rsidR="00F46283">
                <w:t>股票期权</w:t>
              </w:r>
            </w:sdtContent>
          </w:sdt>
        </w:p>
        <w:p w14:paraId="727A5FF2" w14:textId="1056F988" w:rsidR="00B201D3" w:rsidRDefault="009855E8">
          <w:pPr>
            <w:pStyle w:val="3903"/>
          </w:pPr>
          <w:r>
            <w:rPr>
              <w:rFonts w:hint="eastAsia"/>
            </w:rPr>
            <w:lastRenderedPageBreak/>
            <w:t>标的股票来源</w:t>
          </w:r>
          <w:r>
            <w:t>：</w:t>
          </w:r>
          <w:sdt>
            <w:sdtPr>
              <w:alias w:val="公司股权激励的标的股票来源"/>
              <w:tag w:val="_GBC_2d5be467b7dc4ac0b64b8932a99620f0"/>
              <w:id w:val="366643893"/>
              <w:lock w:val="sdtLocked"/>
              <w:comboBox>
                <w:listItem w:displayText="向激励对象发行股份" w:value="向激励对象发行股份"/>
                <w:listItem w:displayText="公司回购股份" w:value="公司回购股份"/>
                <w:listItem w:displayText="提取激励基金委托" w:value="提取激励基金委托"/>
                <w:listItem w:displayText="他人购买股份" w:value="他人购买股份"/>
              </w:comboBox>
            </w:sdtPr>
            <w:sdtEndPr/>
            <w:sdtContent>
              <w:r w:rsidR="00F46283">
                <w:t>向激励对象发行股份</w:t>
              </w:r>
            </w:sdtContent>
          </w:sdt>
        </w:p>
        <w:p w14:paraId="5BBFCCCF" w14:textId="77777777" w:rsidR="00B201D3" w:rsidRDefault="009855E8">
          <w:pPr>
            <w:pStyle w:val="3903"/>
          </w:pPr>
          <w:r>
            <w:rPr>
              <w:rFonts w:hint="eastAsia"/>
            </w:rPr>
            <w:t>权益工具公允价值的计量方法、参数的选取标准及结果</w:t>
          </w:r>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8113"/>
          </w:tblGrid>
          <w:tr w:rsidR="00B201D3" w14:paraId="6323C87C" w14:textId="77777777">
            <w:trPr>
              <w:trHeight w:val="270"/>
            </w:trPr>
            <w:tc>
              <w:tcPr>
                <w:tcW w:w="1754" w:type="pct"/>
                <w:shd w:val="clear" w:color="auto" w:fill="auto"/>
                <w:noWrap/>
                <w:vAlign w:val="center"/>
              </w:tcPr>
              <w:sdt>
                <w:sdtPr>
                  <w:rPr>
                    <w:rFonts w:hint="eastAsia"/>
                  </w:rPr>
                  <w:tag w:val="_PLD_2e387271b37540e5b7ba29c28fbd0994"/>
                  <w:id w:val="-1857882216"/>
                  <w:lock w:val="sdtLocked"/>
                </w:sdtPr>
                <w:sdtEndPr/>
                <w:sdtContent>
                  <w:p w14:paraId="682111D0" w14:textId="77777777" w:rsidR="00B201D3" w:rsidRDefault="009855E8">
                    <w:pPr>
                      <w:pStyle w:val="3903"/>
                    </w:pPr>
                    <w:r>
                      <w:rPr>
                        <w:rFonts w:hint="eastAsia"/>
                      </w:rPr>
                      <w:t>计量方法</w:t>
                    </w:r>
                  </w:p>
                </w:sdtContent>
              </w:sdt>
            </w:tc>
            <w:sdt>
              <w:sdtPr>
                <w:rPr>
                  <w:rFonts w:hint="eastAsia"/>
                </w:rPr>
                <w:alias w:val="公司股权激励权益工具公允价值的计量方法的说明"/>
                <w:tag w:val="_GBC_bbc051c4bcd04b6ba2b7b5a15c793746"/>
                <w:id w:val="-304625500"/>
                <w:lock w:val="sdtLocked"/>
              </w:sdtPr>
              <w:sdtEndPr/>
              <w:sdtContent>
                <w:tc>
                  <w:tcPr>
                    <w:tcW w:w="3246" w:type="pct"/>
                    <w:shd w:val="clear" w:color="auto" w:fill="auto"/>
                    <w:noWrap/>
                    <w:vAlign w:val="center"/>
                  </w:tcPr>
                  <w:p w14:paraId="57B558FD" w14:textId="77777777" w:rsidR="00B201D3" w:rsidRDefault="009855E8">
                    <w:pPr>
                      <w:pStyle w:val="3903"/>
                    </w:pPr>
                    <w:r>
                      <w:t>Black-Scholes模型（B-S 模型）。</w:t>
                    </w:r>
                  </w:p>
                </w:tc>
              </w:sdtContent>
            </w:sdt>
          </w:tr>
          <w:tr w:rsidR="00B201D3" w14:paraId="207B28E6" w14:textId="77777777">
            <w:trPr>
              <w:trHeight w:val="270"/>
            </w:trPr>
            <w:tc>
              <w:tcPr>
                <w:tcW w:w="1754" w:type="pct"/>
                <w:shd w:val="clear" w:color="auto" w:fill="auto"/>
                <w:noWrap/>
                <w:vAlign w:val="center"/>
              </w:tcPr>
              <w:sdt>
                <w:sdtPr>
                  <w:rPr>
                    <w:rFonts w:hint="eastAsia"/>
                  </w:rPr>
                  <w:tag w:val="_PLD_a0b9d9ffefe345a98362cac81df15505"/>
                  <w:id w:val="-1473591352"/>
                  <w:lock w:val="sdtLocked"/>
                </w:sdtPr>
                <w:sdtEndPr/>
                <w:sdtContent>
                  <w:p w14:paraId="6ECF306F" w14:textId="77777777" w:rsidR="00B201D3" w:rsidRDefault="009855E8">
                    <w:pPr>
                      <w:pStyle w:val="3903"/>
                    </w:pPr>
                    <w:r>
                      <w:rPr>
                        <w:rFonts w:hint="eastAsia"/>
                      </w:rPr>
                      <w:t>参数名称</w:t>
                    </w:r>
                  </w:p>
                </w:sdtContent>
              </w:sdt>
            </w:tc>
            <w:tc>
              <w:tcPr>
                <w:tcW w:w="3246" w:type="pct"/>
                <w:shd w:val="clear" w:color="auto" w:fill="auto"/>
                <w:noWrap/>
                <w:vAlign w:val="center"/>
              </w:tcPr>
              <w:p w14:paraId="1D82080A" w14:textId="77777777" w:rsidR="00B201D3" w:rsidRDefault="009855E8">
                <w:pPr>
                  <w:pStyle w:val="3903"/>
                </w:pPr>
                <w:r>
                  <w:rPr>
                    <w:rFonts w:hint="eastAsia"/>
                  </w:rPr>
                  <w:t>标的股价：</w:t>
                </w:r>
                <w:r>
                  <w:t>8.75元；有效期：4年；历史波动率：26.44%；无风险利率：2.98%。</w:t>
                </w:r>
              </w:p>
            </w:tc>
          </w:tr>
          <w:tr w:rsidR="00B201D3" w14:paraId="2CB04875" w14:textId="77777777">
            <w:trPr>
              <w:trHeight w:val="270"/>
            </w:trPr>
            <w:tc>
              <w:tcPr>
                <w:tcW w:w="1754" w:type="pct"/>
                <w:shd w:val="clear" w:color="auto" w:fill="auto"/>
                <w:noWrap/>
                <w:vAlign w:val="center"/>
              </w:tcPr>
              <w:sdt>
                <w:sdtPr>
                  <w:rPr>
                    <w:rFonts w:hint="eastAsia"/>
                  </w:rPr>
                  <w:tag w:val="_PLD_a6f3fd9df22a4b7db3850fe7636ebe18"/>
                  <w:id w:val="-1457711183"/>
                  <w:lock w:val="sdtLocked"/>
                </w:sdtPr>
                <w:sdtEndPr/>
                <w:sdtContent>
                  <w:p w14:paraId="2FDCBB0D" w14:textId="77777777" w:rsidR="00B201D3" w:rsidRDefault="009855E8">
                    <w:pPr>
                      <w:pStyle w:val="3903"/>
                    </w:pPr>
                    <w:r>
                      <w:rPr>
                        <w:rFonts w:hint="eastAsia"/>
                      </w:rPr>
                      <w:t>计量结果</w:t>
                    </w:r>
                  </w:p>
                </w:sdtContent>
              </w:sdt>
            </w:tc>
            <w:tc>
              <w:tcPr>
                <w:tcW w:w="3246" w:type="pct"/>
                <w:shd w:val="clear" w:color="auto" w:fill="auto"/>
                <w:noWrap/>
                <w:vAlign w:val="center"/>
              </w:tcPr>
              <w:p w14:paraId="42009DBE" w14:textId="77777777" w:rsidR="00B201D3" w:rsidRDefault="009855E8">
                <w:pPr>
                  <w:pStyle w:val="3903"/>
                </w:pPr>
                <w:r>
                  <w:rPr>
                    <w:rFonts w:hint="eastAsia"/>
                  </w:rPr>
                  <w:t>每份股票期权的公允价值为</w:t>
                </w:r>
                <w:r>
                  <w:t>2.21元</w:t>
                </w:r>
                <w:r>
                  <w:rPr>
                    <w:rFonts w:hint="eastAsia"/>
                  </w:rPr>
                  <w:t>（详见日期为</w:t>
                </w:r>
                <w:r>
                  <w:t>2019年2月12日的《关于向2018年A股股票期权激励计划激励对</w:t>
                </w:r>
                <w:r>
                  <w:rPr>
                    <w:rFonts w:hint="eastAsia"/>
                  </w:rPr>
                  <w:t>象</w:t>
                </w:r>
                <w:r>
                  <w:t>授予股票期权的公告》）。</w:t>
                </w:r>
              </w:p>
            </w:tc>
          </w:tr>
        </w:tbl>
        <w:p w14:paraId="01D88075" w14:textId="77777777" w:rsidR="00B201D3" w:rsidRDefault="009855E8" w:rsidP="00657056">
          <w:pPr>
            <w:ind w:firstLine="420"/>
            <w:jc w:val="both"/>
            <w:rPr>
              <w:rFonts w:asciiTheme="minorEastAsia" w:eastAsiaTheme="minorEastAsia" w:hAnsiTheme="minorEastAsia"/>
            </w:rPr>
          </w:pPr>
          <w:r>
            <w:rPr>
              <w:rFonts w:asciiTheme="minorEastAsia" w:eastAsiaTheme="minorEastAsia" w:hAnsiTheme="minorEastAsia" w:hint="eastAsia"/>
            </w:rPr>
            <w:t>经2019年2月12日召开的公司2019年度第一次临时股东大会、第一次A股类别股东大会、第一次H股类别股东大会及第七届董事会第二十三次会议批准，公司根据2018年A股股票期权激励计划（“期权激励计划”）向激励对象授出股票期权。</w:t>
          </w:r>
        </w:p>
        <w:p w14:paraId="69C4B4B6" w14:textId="7AB7ABD7" w:rsidR="00B201D3" w:rsidRDefault="009855E8" w:rsidP="00657056">
          <w:pPr>
            <w:ind w:firstLine="420"/>
            <w:jc w:val="both"/>
            <w:rPr>
              <w:rFonts w:asciiTheme="minorEastAsia" w:eastAsiaTheme="minorEastAsia" w:hAnsiTheme="minorEastAsia"/>
            </w:rPr>
          </w:pPr>
          <w:r>
            <w:rPr>
              <w:rFonts w:asciiTheme="minorEastAsia" w:eastAsiaTheme="minorEastAsia" w:hAnsiTheme="minorEastAsia" w:hint="eastAsia"/>
            </w:rPr>
            <w:t>经2021年1月13日召开的公司第八届董事会第八次会议审议批准，确认期权激励计划第一个行权期行权条件已成就，行权期为2021年2月18日起至2022年2月11日止。截至2021年5月19日，469名激励对象</w:t>
          </w:r>
          <w:r>
            <w:rPr>
              <w:rFonts w:asciiTheme="minorEastAsia" w:eastAsiaTheme="minorEastAsia" w:hAnsiTheme="minorEastAsia" w:cs="Arial" w:hint="eastAsia"/>
            </w:rPr>
            <w:t>累计行权14,184,060股。</w:t>
          </w:r>
        </w:p>
        <w:p w14:paraId="3A558A67" w14:textId="77777777" w:rsidR="00B201D3" w:rsidRDefault="009855E8" w:rsidP="00657056">
          <w:pPr>
            <w:ind w:firstLine="420"/>
            <w:jc w:val="both"/>
            <w:rPr>
              <w:rFonts w:asciiTheme="minorEastAsia" w:eastAsiaTheme="minorEastAsia" w:hAnsiTheme="minorEastAsia"/>
            </w:rPr>
          </w:pPr>
          <w:r>
            <w:rPr>
              <w:rFonts w:asciiTheme="minorEastAsia" w:eastAsiaTheme="minorEastAsia" w:hAnsiTheme="minorEastAsia" w:hint="eastAsia"/>
            </w:rPr>
            <w:t>经2022年1月27日召开的公司第八届董事会第二十次会议审议批准，确认期权激励计划第二个行权期行权条件已成就，行权期为2022年2月14日起至2023年2月10日止。截至2022年4月29日，435名激励对象累计行权12,779,580股。</w:t>
          </w:r>
        </w:p>
        <w:p w14:paraId="7EAB6B8E" w14:textId="77777777" w:rsidR="00B201D3" w:rsidRDefault="009855E8" w:rsidP="00657056">
          <w:pPr>
            <w:ind w:firstLine="420"/>
            <w:jc w:val="both"/>
            <w:rPr>
              <w:rFonts w:asciiTheme="minorEastAsia" w:eastAsiaTheme="minorEastAsia" w:hAnsiTheme="minorEastAsia"/>
              <w:b/>
              <w:bCs/>
            </w:rPr>
          </w:pPr>
          <w:r>
            <w:rPr>
              <w:rFonts w:asciiTheme="minorEastAsia" w:eastAsiaTheme="minorEastAsia" w:hAnsiTheme="minorEastAsia" w:hint="eastAsia"/>
            </w:rPr>
            <w:t>经2023年4月24日召开的公司第八届董事会第二十八次会议审议批准，确认期权激励计划第三个行权期行权条件已成就，行权期为2023年2月13日起至2024年2月8日止。截至2023年</w:t>
          </w:r>
          <w:r>
            <w:rPr>
              <w:rFonts w:asciiTheme="minorEastAsia" w:eastAsiaTheme="minorEastAsia" w:hAnsiTheme="minorEastAsia"/>
            </w:rPr>
            <w:t>5</w:t>
          </w:r>
          <w:r>
            <w:rPr>
              <w:rFonts w:asciiTheme="minorEastAsia" w:eastAsiaTheme="minorEastAsia" w:hAnsiTheme="minorEastAsia" w:hint="eastAsia"/>
            </w:rPr>
            <w:t>月</w:t>
          </w:r>
          <w:r>
            <w:rPr>
              <w:rFonts w:asciiTheme="minorEastAsia" w:eastAsiaTheme="minorEastAsia" w:hAnsiTheme="minorEastAsia"/>
            </w:rPr>
            <w:t>25</w:t>
          </w:r>
          <w:r>
            <w:rPr>
              <w:rFonts w:asciiTheme="minorEastAsia" w:eastAsiaTheme="minorEastAsia" w:hAnsiTheme="minorEastAsia" w:hint="eastAsia"/>
            </w:rPr>
            <w:t>日，419名激励对象累计行权</w:t>
          </w:r>
          <w:r>
            <w:rPr>
              <w:rFonts w:asciiTheme="minorEastAsia" w:eastAsiaTheme="minorEastAsia" w:hAnsiTheme="minorEastAsia" w:cs="Times New Roman" w:hint="eastAsia"/>
            </w:rPr>
            <w:t>12,656,840股。具体行权</w:t>
          </w:r>
          <w:r>
            <w:rPr>
              <w:rFonts w:asciiTheme="minorEastAsia" w:eastAsiaTheme="minorEastAsia" w:hAnsiTheme="minorEastAsia" w:hint="eastAsia"/>
            </w:rPr>
            <w:t>情况如下表：</w:t>
          </w:r>
        </w:p>
        <w:p w14:paraId="114A1422" w14:textId="77777777" w:rsidR="00B201D3" w:rsidRDefault="009855E8">
          <w:pPr>
            <w:ind w:firstLineChars="3650" w:firstLine="7665"/>
            <w:rPr>
              <w:b/>
              <w:bCs/>
            </w:rPr>
          </w:pPr>
          <w:r>
            <w:rPr>
              <w:rFonts w:hint="eastAsia"/>
            </w:rPr>
            <w:t>单位：万份</w:t>
          </w:r>
        </w:p>
        <w:tbl>
          <w:tblPr>
            <w:tblStyle w:val="g14"/>
            <w:tblW w:w="9083" w:type="dxa"/>
            <w:tblInd w:w="-34" w:type="dxa"/>
            <w:tblLayout w:type="fixed"/>
            <w:tblLook w:val="04A0" w:firstRow="1" w:lastRow="0" w:firstColumn="1" w:lastColumn="0" w:noHBand="0" w:noVBand="1"/>
          </w:tblPr>
          <w:tblGrid>
            <w:gridCol w:w="473"/>
            <w:gridCol w:w="945"/>
            <w:gridCol w:w="1559"/>
            <w:gridCol w:w="1276"/>
            <w:gridCol w:w="1418"/>
            <w:gridCol w:w="1559"/>
            <w:gridCol w:w="1853"/>
          </w:tblGrid>
          <w:tr w:rsidR="00B201D3" w14:paraId="32791E87" w14:textId="77777777">
            <w:tc>
              <w:tcPr>
                <w:tcW w:w="473" w:type="dxa"/>
                <w:tcBorders>
                  <w:top w:val="single" w:sz="4" w:space="0" w:color="auto"/>
                  <w:left w:val="single" w:sz="4" w:space="0" w:color="auto"/>
                  <w:bottom w:val="single" w:sz="4" w:space="0" w:color="auto"/>
                  <w:right w:val="single" w:sz="4" w:space="0" w:color="auto"/>
                </w:tcBorders>
                <w:vAlign w:val="center"/>
              </w:tcPr>
              <w:p w14:paraId="61F32568" w14:textId="77777777" w:rsidR="00B201D3" w:rsidRDefault="009855E8">
                <w:pPr>
                  <w:jc w:val="center"/>
                </w:pPr>
                <w:r>
                  <w:rPr>
                    <w:rFonts w:hint="eastAsia"/>
                    <w:b/>
                  </w:rPr>
                  <w:t>序号</w:t>
                </w:r>
              </w:p>
            </w:tc>
            <w:tc>
              <w:tcPr>
                <w:tcW w:w="945" w:type="dxa"/>
                <w:tcBorders>
                  <w:top w:val="single" w:sz="4" w:space="0" w:color="auto"/>
                  <w:left w:val="single" w:sz="4" w:space="0" w:color="auto"/>
                  <w:bottom w:val="single" w:sz="4" w:space="0" w:color="auto"/>
                  <w:right w:val="single" w:sz="4" w:space="0" w:color="auto"/>
                </w:tcBorders>
                <w:vAlign w:val="center"/>
              </w:tcPr>
              <w:p w14:paraId="47EEE471" w14:textId="77777777" w:rsidR="00B201D3" w:rsidRDefault="009855E8">
                <w:pPr>
                  <w:jc w:val="center"/>
                </w:pPr>
                <w:r>
                  <w:rPr>
                    <w:rFonts w:hint="eastAsia"/>
                    <w:b/>
                  </w:rPr>
                  <w:t>姓名</w:t>
                </w:r>
              </w:p>
            </w:tc>
            <w:tc>
              <w:tcPr>
                <w:tcW w:w="1559" w:type="dxa"/>
                <w:tcBorders>
                  <w:top w:val="single" w:sz="4" w:space="0" w:color="auto"/>
                  <w:left w:val="single" w:sz="4" w:space="0" w:color="auto"/>
                  <w:bottom w:val="single" w:sz="4" w:space="0" w:color="auto"/>
                  <w:right w:val="single" w:sz="4" w:space="0" w:color="auto"/>
                </w:tcBorders>
                <w:vAlign w:val="center"/>
              </w:tcPr>
              <w:p w14:paraId="32BE9ED7" w14:textId="77777777" w:rsidR="00B201D3" w:rsidRDefault="009855E8">
                <w:pPr>
                  <w:jc w:val="center"/>
                </w:pPr>
                <w:r>
                  <w:rPr>
                    <w:rFonts w:hint="eastAsia"/>
                    <w:b/>
                  </w:rPr>
                  <w:t>职务</w:t>
                </w:r>
              </w:p>
            </w:tc>
            <w:tc>
              <w:tcPr>
                <w:tcW w:w="1276" w:type="dxa"/>
                <w:tcBorders>
                  <w:top w:val="single" w:sz="4" w:space="0" w:color="auto"/>
                  <w:left w:val="single" w:sz="4" w:space="0" w:color="auto"/>
                  <w:bottom w:val="single" w:sz="4" w:space="0" w:color="auto"/>
                  <w:right w:val="single" w:sz="4" w:space="0" w:color="auto"/>
                </w:tcBorders>
                <w:vAlign w:val="center"/>
              </w:tcPr>
              <w:p w14:paraId="55E06523" w14:textId="77777777" w:rsidR="00B201D3" w:rsidRDefault="009855E8">
                <w:pPr>
                  <w:jc w:val="center"/>
                  <w:rPr>
                    <w:b/>
                  </w:rPr>
                </w:pPr>
                <w:r>
                  <w:rPr>
                    <w:rFonts w:hint="eastAsia"/>
                    <w:b/>
                  </w:rPr>
                  <w:t>授予数量</w:t>
                </w:r>
              </w:p>
            </w:tc>
            <w:tc>
              <w:tcPr>
                <w:tcW w:w="1418" w:type="dxa"/>
                <w:tcBorders>
                  <w:top w:val="single" w:sz="4" w:space="0" w:color="auto"/>
                  <w:left w:val="single" w:sz="4" w:space="0" w:color="auto"/>
                  <w:bottom w:val="single" w:sz="4" w:space="0" w:color="auto"/>
                  <w:right w:val="single" w:sz="4" w:space="0" w:color="auto"/>
                </w:tcBorders>
                <w:vAlign w:val="center"/>
              </w:tcPr>
              <w:p w14:paraId="1C94D10D" w14:textId="77777777" w:rsidR="00B201D3" w:rsidRDefault="009855E8">
                <w:pPr>
                  <w:jc w:val="center"/>
                  <w:rPr>
                    <w:b/>
                  </w:rPr>
                </w:pPr>
                <w:r>
                  <w:rPr>
                    <w:rFonts w:hint="eastAsia"/>
                    <w:b/>
                  </w:rPr>
                  <w:t>第三个行权期期内已行权数量</w:t>
                </w:r>
              </w:p>
            </w:tc>
            <w:tc>
              <w:tcPr>
                <w:tcW w:w="1559" w:type="dxa"/>
                <w:tcBorders>
                  <w:top w:val="single" w:sz="4" w:space="0" w:color="auto"/>
                  <w:left w:val="single" w:sz="4" w:space="0" w:color="auto"/>
                  <w:bottom w:val="single" w:sz="4" w:space="0" w:color="auto"/>
                  <w:right w:val="single" w:sz="4" w:space="0" w:color="auto"/>
                </w:tcBorders>
                <w:vAlign w:val="center"/>
              </w:tcPr>
              <w:p w14:paraId="14249154" w14:textId="77777777" w:rsidR="00B201D3" w:rsidRDefault="009855E8">
                <w:pPr>
                  <w:jc w:val="center"/>
                  <w:rPr>
                    <w:b/>
                  </w:rPr>
                </w:pPr>
                <w:r>
                  <w:rPr>
                    <w:rFonts w:hint="eastAsia"/>
                    <w:b/>
                  </w:rPr>
                  <w:t>行权前一个交易日收盘价</w:t>
                </w:r>
              </w:p>
              <w:p w14:paraId="59E8006E" w14:textId="77777777" w:rsidR="00B201D3" w:rsidRDefault="009855E8">
                <w:pPr>
                  <w:jc w:val="center"/>
                  <w:rPr>
                    <w:b/>
                  </w:rPr>
                </w:pPr>
                <w:r>
                  <w:rPr>
                    <w:rFonts w:hint="eastAsia"/>
                    <w:b/>
                  </w:rPr>
                  <w:t>(人民币元</w:t>
                </w:r>
                <w:r>
                  <w:rPr>
                    <w:b/>
                  </w:rPr>
                  <w:t>)</w:t>
                </w:r>
              </w:p>
            </w:tc>
            <w:tc>
              <w:tcPr>
                <w:tcW w:w="1853" w:type="dxa"/>
                <w:tcBorders>
                  <w:top w:val="single" w:sz="4" w:space="0" w:color="auto"/>
                  <w:left w:val="single" w:sz="4" w:space="0" w:color="auto"/>
                  <w:bottom w:val="single" w:sz="4" w:space="0" w:color="auto"/>
                  <w:right w:val="single" w:sz="4" w:space="0" w:color="auto"/>
                </w:tcBorders>
                <w:vAlign w:val="center"/>
              </w:tcPr>
              <w:p w14:paraId="34656FA7" w14:textId="77777777" w:rsidR="00B201D3" w:rsidRDefault="009855E8">
                <w:pPr>
                  <w:jc w:val="center"/>
                  <w:rPr>
                    <w:b/>
                    <w:bCs/>
                  </w:rPr>
                </w:pPr>
                <w:r>
                  <w:rPr>
                    <w:rFonts w:hint="eastAsia"/>
                    <w:b/>
                    <w:bCs/>
                  </w:rPr>
                  <w:t>截至</w:t>
                </w:r>
                <w:r>
                  <w:rPr>
                    <w:b/>
                    <w:bCs/>
                  </w:rPr>
                  <w:t>202</w:t>
                </w:r>
                <w:r>
                  <w:rPr>
                    <w:rFonts w:eastAsiaTheme="minorEastAsia" w:hint="eastAsia"/>
                    <w:b/>
                    <w:bCs/>
                  </w:rPr>
                  <w:t>3</w:t>
                </w:r>
                <w:r>
                  <w:rPr>
                    <w:rFonts w:hint="eastAsia"/>
                    <w:b/>
                    <w:bCs/>
                  </w:rPr>
                  <w:t>年</w:t>
                </w:r>
                <w:r>
                  <w:rPr>
                    <w:b/>
                    <w:bCs/>
                  </w:rPr>
                  <w:t>6</w:t>
                </w:r>
                <w:r>
                  <w:rPr>
                    <w:rFonts w:hint="eastAsia"/>
                    <w:b/>
                    <w:bCs/>
                  </w:rPr>
                  <w:t>月</w:t>
                </w:r>
                <w:r>
                  <w:rPr>
                    <w:b/>
                    <w:bCs/>
                  </w:rPr>
                  <w:t>30</w:t>
                </w:r>
                <w:r>
                  <w:rPr>
                    <w:rFonts w:hint="eastAsia"/>
                    <w:b/>
                    <w:bCs/>
                  </w:rPr>
                  <w:t>日尚未行权数量</w:t>
                </w:r>
              </w:p>
            </w:tc>
          </w:tr>
          <w:tr w:rsidR="00B201D3" w14:paraId="38B6C4B3" w14:textId="77777777">
            <w:tc>
              <w:tcPr>
                <w:tcW w:w="473" w:type="dxa"/>
                <w:tcBorders>
                  <w:top w:val="single" w:sz="4" w:space="0" w:color="auto"/>
                  <w:left w:val="single" w:sz="4" w:space="0" w:color="auto"/>
                  <w:bottom w:val="single" w:sz="4" w:space="0" w:color="auto"/>
                  <w:right w:val="single" w:sz="4" w:space="0" w:color="auto"/>
                </w:tcBorders>
                <w:vAlign w:val="center"/>
              </w:tcPr>
              <w:p w14:paraId="6B94F81B"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1</w:t>
                </w:r>
              </w:p>
            </w:tc>
            <w:tc>
              <w:tcPr>
                <w:tcW w:w="945" w:type="dxa"/>
                <w:tcBorders>
                  <w:top w:val="single" w:sz="4" w:space="0" w:color="auto"/>
                  <w:left w:val="single" w:sz="4" w:space="0" w:color="auto"/>
                  <w:bottom w:val="single" w:sz="4" w:space="0" w:color="auto"/>
                  <w:right w:val="single" w:sz="4" w:space="0" w:color="auto"/>
                </w:tcBorders>
                <w:vAlign w:val="center"/>
              </w:tcPr>
              <w:p w14:paraId="4CFF268F"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肖耀猛</w:t>
                </w:r>
              </w:p>
            </w:tc>
            <w:tc>
              <w:tcPr>
                <w:tcW w:w="1559" w:type="dxa"/>
                <w:tcBorders>
                  <w:top w:val="single" w:sz="4" w:space="0" w:color="auto"/>
                  <w:left w:val="single" w:sz="4" w:space="0" w:color="auto"/>
                  <w:bottom w:val="single" w:sz="4" w:space="0" w:color="auto"/>
                  <w:right w:val="single" w:sz="4" w:space="0" w:color="auto"/>
                </w:tcBorders>
                <w:vAlign w:val="center"/>
              </w:tcPr>
              <w:p w14:paraId="73771470"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党委书记、董事、总经理</w:t>
                </w:r>
              </w:p>
            </w:tc>
            <w:tc>
              <w:tcPr>
                <w:tcW w:w="1276" w:type="dxa"/>
                <w:tcBorders>
                  <w:top w:val="single" w:sz="4" w:space="0" w:color="auto"/>
                  <w:left w:val="single" w:sz="4" w:space="0" w:color="auto"/>
                  <w:bottom w:val="single" w:sz="4" w:space="0" w:color="auto"/>
                  <w:right w:val="single" w:sz="4" w:space="0" w:color="auto"/>
                </w:tcBorders>
                <w:vAlign w:val="center"/>
              </w:tcPr>
              <w:p w14:paraId="3A57FA62"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15</w:t>
                </w:r>
              </w:p>
            </w:tc>
            <w:tc>
              <w:tcPr>
                <w:tcW w:w="1418" w:type="dxa"/>
                <w:tcBorders>
                  <w:top w:val="single" w:sz="4" w:space="0" w:color="auto"/>
                  <w:left w:val="single" w:sz="4" w:space="0" w:color="auto"/>
                  <w:bottom w:val="single" w:sz="4" w:space="0" w:color="auto"/>
                  <w:right w:val="single" w:sz="4" w:space="0" w:color="auto"/>
                </w:tcBorders>
                <w:vAlign w:val="center"/>
              </w:tcPr>
              <w:p w14:paraId="5C2D5871"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5.10</w:t>
                </w:r>
              </w:p>
            </w:tc>
            <w:tc>
              <w:tcPr>
                <w:tcW w:w="1559" w:type="dxa"/>
                <w:tcBorders>
                  <w:top w:val="single" w:sz="4" w:space="0" w:color="auto"/>
                  <w:left w:val="single" w:sz="4" w:space="0" w:color="auto"/>
                  <w:bottom w:val="single" w:sz="4" w:space="0" w:color="auto"/>
                  <w:right w:val="single" w:sz="4" w:space="0" w:color="auto"/>
                </w:tcBorders>
                <w:vAlign w:val="center"/>
              </w:tcPr>
              <w:p w14:paraId="52A6D4E5"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34.60</w:t>
                </w:r>
              </w:p>
            </w:tc>
            <w:tc>
              <w:tcPr>
                <w:tcW w:w="1853" w:type="dxa"/>
                <w:tcBorders>
                  <w:top w:val="single" w:sz="4" w:space="0" w:color="auto"/>
                  <w:left w:val="single" w:sz="4" w:space="0" w:color="auto"/>
                  <w:bottom w:val="single" w:sz="4" w:space="0" w:color="auto"/>
                  <w:right w:val="single" w:sz="4" w:space="0" w:color="auto"/>
                </w:tcBorders>
                <w:shd w:val="clear" w:color="auto" w:fill="FFFFFF"/>
                <w:vAlign w:val="center"/>
              </w:tcPr>
              <w:p w14:paraId="654239F8"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0</w:t>
                </w:r>
              </w:p>
            </w:tc>
          </w:tr>
          <w:tr w:rsidR="00B201D3" w14:paraId="605512E2" w14:textId="77777777">
            <w:tc>
              <w:tcPr>
                <w:tcW w:w="473" w:type="dxa"/>
                <w:tcBorders>
                  <w:top w:val="single" w:sz="4" w:space="0" w:color="auto"/>
                  <w:left w:val="single" w:sz="4" w:space="0" w:color="auto"/>
                  <w:bottom w:val="single" w:sz="4" w:space="0" w:color="auto"/>
                  <w:right w:val="single" w:sz="4" w:space="0" w:color="auto"/>
                </w:tcBorders>
              </w:tcPr>
              <w:p w14:paraId="56A4C631"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2</w:t>
                </w:r>
              </w:p>
            </w:tc>
            <w:tc>
              <w:tcPr>
                <w:tcW w:w="945" w:type="dxa"/>
                <w:tcBorders>
                  <w:top w:val="single" w:sz="4" w:space="0" w:color="auto"/>
                  <w:left w:val="single" w:sz="4" w:space="0" w:color="auto"/>
                  <w:bottom w:val="single" w:sz="4" w:space="0" w:color="auto"/>
                  <w:right w:val="single" w:sz="4" w:space="0" w:color="auto"/>
                </w:tcBorders>
                <w:vAlign w:val="center"/>
              </w:tcPr>
              <w:p w14:paraId="0A54245D"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赵青春</w:t>
                </w:r>
              </w:p>
            </w:tc>
            <w:tc>
              <w:tcPr>
                <w:tcW w:w="1559" w:type="dxa"/>
                <w:tcBorders>
                  <w:top w:val="single" w:sz="4" w:space="0" w:color="auto"/>
                  <w:left w:val="single" w:sz="4" w:space="0" w:color="auto"/>
                  <w:bottom w:val="single" w:sz="4" w:space="0" w:color="auto"/>
                  <w:right w:val="single" w:sz="4" w:space="0" w:color="auto"/>
                </w:tcBorders>
                <w:vAlign w:val="center"/>
              </w:tcPr>
              <w:p w14:paraId="5903C01A" w14:textId="77777777" w:rsidR="00B201D3" w:rsidRDefault="009855E8">
                <w:pPr>
                  <w:jc w:val="center"/>
                  <w:rPr>
                    <w:rFonts w:asciiTheme="minorEastAsia" w:eastAsiaTheme="minorEastAsia" w:hAnsiTheme="minorEastAsia"/>
                    <w:highlight w:val="yellow"/>
                  </w:rPr>
                </w:pPr>
                <w:r>
                  <w:rPr>
                    <w:rFonts w:asciiTheme="minorEastAsia" w:eastAsiaTheme="minorEastAsia" w:hAnsiTheme="minorEastAsia" w:hint="eastAsia"/>
                  </w:rPr>
                  <w:t>财务总监</w:t>
                </w:r>
              </w:p>
            </w:tc>
            <w:tc>
              <w:tcPr>
                <w:tcW w:w="1276" w:type="dxa"/>
                <w:tcBorders>
                  <w:top w:val="single" w:sz="4" w:space="0" w:color="auto"/>
                  <w:left w:val="single" w:sz="4" w:space="0" w:color="auto"/>
                  <w:bottom w:val="single" w:sz="4" w:space="0" w:color="auto"/>
                  <w:right w:val="single" w:sz="4" w:space="0" w:color="auto"/>
                </w:tcBorders>
                <w:vAlign w:val="center"/>
              </w:tcPr>
              <w:p w14:paraId="7FED87BF"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26</w:t>
                </w:r>
              </w:p>
            </w:tc>
            <w:tc>
              <w:tcPr>
                <w:tcW w:w="1418" w:type="dxa"/>
                <w:tcBorders>
                  <w:top w:val="single" w:sz="4" w:space="0" w:color="auto"/>
                  <w:left w:val="single" w:sz="4" w:space="0" w:color="auto"/>
                  <w:bottom w:val="single" w:sz="4" w:space="0" w:color="auto"/>
                  <w:right w:val="single" w:sz="4" w:space="0" w:color="auto"/>
                </w:tcBorders>
                <w:vAlign w:val="center"/>
              </w:tcPr>
              <w:p w14:paraId="567DB694"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8.84</w:t>
                </w:r>
              </w:p>
            </w:tc>
            <w:tc>
              <w:tcPr>
                <w:tcW w:w="1559" w:type="dxa"/>
                <w:tcBorders>
                  <w:top w:val="single" w:sz="4" w:space="0" w:color="auto"/>
                  <w:left w:val="single" w:sz="4" w:space="0" w:color="auto"/>
                  <w:bottom w:val="single" w:sz="4" w:space="0" w:color="auto"/>
                  <w:right w:val="single" w:sz="4" w:space="0" w:color="auto"/>
                </w:tcBorders>
              </w:tcPr>
              <w:p w14:paraId="2FD21FE9"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34.60</w:t>
                </w:r>
              </w:p>
            </w:tc>
            <w:tc>
              <w:tcPr>
                <w:tcW w:w="1853" w:type="dxa"/>
                <w:tcBorders>
                  <w:top w:val="single" w:sz="4" w:space="0" w:color="auto"/>
                  <w:left w:val="single" w:sz="4" w:space="0" w:color="auto"/>
                  <w:bottom w:val="single" w:sz="4" w:space="0" w:color="auto"/>
                  <w:right w:val="single" w:sz="4" w:space="0" w:color="auto"/>
                </w:tcBorders>
                <w:shd w:val="clear" w:color="auto" w:fill="FFFFFF"/>
                <w:vAlign w:val="center"/>
              </w:tcPr>
              <w:p w14:paraId="2B1F06D0"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0</w:t>
                </w:r>
              </w:p>
            </w:tc>
          </w:tr>
          <w:tr w:rsidR="00B201D3" w14:paraId="71534BE3" w14:textId="77777777">
            <w:tc>
              <w:tcPr>
                <w:tcW w:w="473" w:type="dxa"/>
                <w:tcBorders>
                  <w:top w:val="single" w:sz="4" w:space="0" w:color="auto"/>
                  <w:left w:val="single" w:sz="4" w:space="0" w:color="auto"/>
                  <w:bottom w:val="single" w:sz="4" w:space="0" w:color="auto"/>
                  <w:right w:val="single" w:sz="4" w:space="0" w:color="auto"/>
                </w:tcBorders>
              </w:tcPr>
              <w:p w14:paraId="3AC24038"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3</w:t>
                </w:r>
              </w:p>
            </w:tc>
            <w:tc>
              <w:tcPr>
                <w:tcW w:w="945" w:type="dxa"/>
                <w:tcBorders>
                  <w:top w:val="single" w:sz="4" w:space="0" w:color="auto"/>
                  <w:left w:val="single" w:sz="4" w:space="0" w:color="auto"/>
                  <w:bottom w:val="single" w:sz="4" w:space="0" w:color="auto"/>
                  <w:right w:val="single" w:sz="4" w:space="0" w:color="auto"/>
                </w:tcBorders>
                <w:vAlign w:val="center"/>
              </w:tcPr>
              <w:p w14:paraId="49266F32"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田兆华</w:t>
                </w:r>
              </w:p>
            </w:tc>
            <w:tc>
              <w:tcPr>
                <w:tcW w:w="1559" w:type="dxa"/>
                <w:tcBorders>
                  <w:top w:val="single" w:sz="4" w:space="0" w:color="auto"/>
                  <w:left w:val="single" w:sz="4" w:space="0" w:color="auto"/>
                  <w:bottom w:val="single" w:sz="4" w:space="0" w:color="auto"/>
                  <w:right w:val="single" w:sz="4" w:space="0" w:color="auto"/>
                </w:tcBorders>
                <w:vAlign w:val="center"/>
              </w:tcPr>
              <w:p w14:paraId="6284BC9C" w14:textId="77777777" w:rsidR="00B201D3" w:rsidRDefault="009855E8">
                <w:pPr>
                  <w:jc w:val="center"/>
                  <w:rPr>
                    <w:rFonts w:asciiTheme="minorEastAsia" w:eastAsiaTheme="minorEastAsia" w:hAnsiTheme="minorEastAsia"/>
                    <w:highlight w:val="yellow"/>
                  </w:rPr>
                </w:pPr>
                <w:r>
                  <w:rPr>
                    <w:rFonts w:asciiTheme="minorEastAsia" w:eastAsiaTheme="minorEastAsia" w:hAnsiTheme="minorEastAsia" w:hint="eastAsia"/>
                  </w:rPr>
                  <w:t>副总经理</w:t>
                </w:r>
              </w:p>
            </w:tc>
            <w:tc>
              <w:tcPr>
                <w:tcW w:w="1276" w:type="dxa"/>
                <w:tcBorders>
                  <w:top w:val="single" w:sz="4" w:space="0" w:color="auto"/>
                  <w:left w:val="single" w:sz="4" w:space="0" w:color="auto"/>
                  <w:bottom w:val="single" w:sz="4" w:space="0" w:color="auto"/>
                  <w:right w:val="single" w:sz="4" w:space="0" w:color="auto"/>
                </w:tcBorders>
                <w:vAlign w:val="center"/>
              </w:tcPr>
              <w:p w14:paraId="194498A5"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15</w:t>
                </w:r>
              </w:p>
            </w:tc>
            <w:tc>
              <w:tcPr>
                <w:tcW w:w="1418" w:type="dxa"/>
                <w:tcBorders>
                  <w:top w:val="single" w:sz="4" w:space="0" w:color="auto"/>
                  <w:left w:val="single" w:sz="4" w:space="0" w:color="auto"/>
                  <w:bottom w:val="single" w:sz="4" w:space="0" w:color="auto"/>
                  <w:right w:val="single" w:sz="4" w:space="0" w:color="auto"/>
                </w:tcBorders>
                <w:vAlign w:val="center"/>
              </w:tcPr>
              <w:p w14:paraId="77A0C1F6"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5.10</w:t>
                </w:r>
              </w:p>
            </w:tc>
            <w:tc>
              <w:tcPr>
                <w:tcW w:w="1559" w:type="dxa"/>
                <w:tcBorders>
                  <w:top w:val="single" w:sz="4" w:space="0" w:color="auto"/>
                  <w:left w:val="single" w:sz="4" w:space="0" w:color="auto"/>
                  <w:bottom w:val="single" w:sz="4" w:space="0" w:color="auto"/>
                  <w:right w:val="single" w:sz="4" w:space="0" w:color="auto"/>
                </w:tcBorders>
              </w:tcPr>
              <w:p w14:paraId="6D3DFA44"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34.60</w:t>
                </w:r>
              </w:p>
            </w:tc>
            <w:tc>
              <w:tcPr>
                <w:tcW w:w="1853" w:type="dxa"/>
                <w:tcBorders>
                  <w:top w:val="single" w:sz="4" w:space="0" w:color="auto"/>
                  <w:left w:val="single" w:sz="4" w:space="0" w:color="auto"/>
                  <w:bottom w:val="single" w:sz="4" w:space="0" w:color="auto"/>
                  <w:right w:val="single" w:sz="4" w:space="0" w:color="auto"/>
                </w:tcBorders>
                <w:shd w:val="clear" w:color="auto" w:fill="FFFFFF"/>
                <w:vAlign w:val="center"/>
              </w:tcPr>
              <w:p w14:paraId="7DB7054D"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0</w:t>
                </w:r>
              </w:p>
            </w:tc>
          </w:tr>
          <w:tr w:rsidR="00B201D3" w14:paraId="0A276233" w14:textId="77777777">
            <w:tc>
              <w:tcPr>
                <w:tcW w:w="473" w:type="dxa"/>
                <w:tcBorders>
                  <w:top w:val="single" w:sz="4" w:space="0" w:color="auto"/>
                  <w:left w:val="single" w:sz="4" w:space="0" w:color="auto"/>
                  <w:bottom w:val="single" w:sz="4" w:space="0" w:color="auto"/>
                  <w:right w:val="single" w:sz="4" w:space="0" w:color="auto"/>
                </w:tcBorders>
                <w:shd w:val="clear" w:color="auto" w:fill="FFFFFF"/>
              </w:tcPr>
              <w:p w14:paraId="2393397B"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4</w:t>
                </w:r>
              </w:p>
            </w:tc>
            <w:tc>
              <w:tcPr>
                <w:tcW w:w="945" w:type="dxa"/>
                <w:tcBorders>
                  <w:top w:val="single" w:sz="4" w:space="0" w:color="auto"/>
                  <w:left w:val="single" w:sz="4" w:space="0" w:color="auto"/>
                  <w:bottom w:val="single" w:sz="4" w:space="0" w:color="auto"/>
                  <w:right w:val="single" w:sz="4" w:space="0" w:color="auto"/>
                </w:tcBorders>
                <w:shd w:val="clear" w:color="auto" w:fill="FFFFFF"/>
                <w:vAlign w:val="center"/>
              </w:tcPr>
              <w:p w14:paraId="6210DA74"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马俊鹏</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B998BE0" w14:textId="77777777" w:rsidR="00B201D3" w:rsidRDefault="009855E8">
                <w:pPr>
                  <w:jc w:val="center"/>
                  <w:rPr>
                    <w:rFonts w:asciiTheme="minorEastAsia" w:eastAsiaTheme="minorEastAsia" w:hAnsiTheme="minorEastAsia"/>
                    <w:highlight w:val="yellow"/>
                  </w:rPr>
                </w:pPr>
                <w:r>
                  <w:rPr>
                    <w:rFonts w:asciiTheme="minorEastAsia" w:eastAsiaTheme="minorEastAsia" w:hAnsiTheme="minorEastAsia" w:hint="eastAsia"/>
                  </w:rPr>
                  <w:t>总工程师</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C97F442"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15</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C824053"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5.10</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6BEA7A67"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34.60</w:t>
                </w:r>
              </w:p>
            </w:tc>
            <w:tc>
              <w:tcPr>
                <w:tcW w:w="1853" w:type="dxa"/>
                <w:tcBorders>
                  <w:top w:val="single" w:sz="4" w:space="0" w:color="auto"/>
                  <w:left w:val="single" w:sz="4" w:space="0" w:color="auto"/>
                  <w:bottom w:val="single" w:sz="4" w:space="0" w:color="auto"/>
                  <w:right w:val="single" w:sz="4" w:space="0" w:color="auto"/>
                </w:tcBorders>
                <w:shd w:val="clear" w:color="auto" w:fill="FFFFFF"/>
                <w:vAlign w:val="center"/>
              </w:tcPr>
              <w:p w14:paraId="1D66C1D9"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0</w:t>
                </w:r>
              </w:p>
            </w:tc>
          </w:tr>
          <w:tr w:rsidR="00B201D3" w14:paraId="0A36326E" w14:textId="77777777">
            <w:trPr>
              <w:trHeight w:val="180"/>
            </w:trPr>
            <w:tc>
              <w:tcPr>
                <w:tcW w:w="473" w:type="dxa"/>
                <w:tcBorders>
                  <w:top w:val="single" w:sz="4" w:space="0" w:color="auto"/>
                  <w:left w:val="single" w:sz="4" w:space="0" w:color="auto"/>
                  <w:bottom w:val="single" w:sz="4" w:space="0" w:color="auto"/>
                  <w:right w:val="single" w:sz="4" w:space="0" w:color="auto"/>
                </w:tcBorders>
              </w:tcPr>
              <w:p w14:paraId="23EEF321"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5</w:t>
                </w:r>
              </w:p>
            </w:tc>
            <w:tc>
              <w:tcPr>
                <w:tcW w:w="945" w:type="dxa"/>
                <w:tcBorders>
                  <w:top w:val="single" w:sz="4" w:space="0" w:color="auto"/>
                  <w:left w:val="single" w:sz="4" w:space="0" w:color="auto"/>
                  <w:bottom w:val="single" w:sz="4" w:space="0" w:color="auto"/>
                  <w:right w:val="single" w:sz="4" w:space="0" w:color="auto"/>
                </w:tcBorders>
                <w:vAlign w:val="center"/>
              </w:tcPr>
              <w:p w14:paraId="20F20019"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康  丹</w:t>
                </w:r>
              </w:p>
            </w:tc>
            <w:tc>
              <w:tcPr>
                <w:tcW w:w="1559" w:type="dxa"/>
                <w:tcBorders>
                  <w:top w:val="single" w:sz="4" w:space="0" w:color="auto"/>
                  <w:left w:val="single" w:sz="4" w:space="0" w:color="auto"/>
                  <w:bottom w:val="single" w:sz="4" w:space="0" w:color="auto"/>
                  <w:right w:val="single" w:sz="4" w:space="0" w:color="auto"/>
                </w:tcBorders>
                <w:vAlign w:val="center"/>
              </w:tcPr>
              <w:p w14:paraId="7EFA8104" w14:textId="77777777" w:rsidR="00B201D3" w:rsidRDefault="009855E8">
                <w:pPr>
                  <w:jc w:val="center"/>
                  <w:rPr>
                    <w:rFonts w:asciiTheme="minorEastAsia" w:eastAsiaTheme="minorEastAsia" w:hAnsiTheme="minorEastAsia"/>
                    <w:highlight w:val="yellow"/>
                  </w:rPr>
                </w:pPr>
                <w:r>
                  <w:rPr>
                    <w:rFonts w:asciiTheme="minorEastAsia" w:eastAsiaTheme="minorEastAsia" w:hAnsiTheme="minorEastAsia" w:hint="eastAsia"/>
                  </w:rPr>
                  <w:t>安全总监</w:t>
                </w:r>
              </w:p>
            </w:tc>
            <w:tc>
              <w:tcPr>
                <w:tcW w:w="1276" w:type="dxa"/>
                <w:tcBorders>
                  <w:top w:val="single" w:sz="4" w:space="0" w:color="auto"/>
                  <w:left w:val="single" w:sz="4" w:space="0" w:color="auto"/>
                  <w:bottom w:val="single" w:sz="4" w:space="0" w:color="auto"/>
                  <w:right w:val="single" w:sz="4" w:space="0" w:color="auto"/>
                </w:tcBorders>
                <w:vAlign w:val="center"/>
              </w:tcPr>
              <w:p w14:paraId="6B3470A9"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12</w:t>
                </w:r>
              </w:p>
            </w:tc>
            <w:tc>
              <w:tcPr>
                <w:tcW w:w="1418" w:type="dxa"/>
                <w:tcBorders>
                  <w:top w:val="single" w:sz="4" w:space="0" w:color="auto"/>
                  <w:left w:val="single" w:sz="4" w:space="0" w:color="auto"/>
                  <w:bottom w:val="single" w:sz="4" w:space="0" w:color="auto"/>
                  <w:right w:val="single" w:sz="4" w:space="0" w:color="auto"/>
                </w:tcBorders>
                <w:vAlign w:val="center"/>
              </w:tcPr>
              <w:p w14:paraId="55D2E720"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4.08</w:t>
                </w:r>
              </w:p>
            </w:tc>
            <w:tc>
              <w:tcPr>
                <w:tcW w:w="1559" w:type="dxa"/>
                <w:tcBorders>
                  <w:top w:val="single" w:sz="4" w:space="0" w:color="auto"/>
                  <w:left w:val="single" w:sz="4" w:space="0" w:color="auto"/>
                  <w:bottom w:val="single" w:sz="4" w:space="0" w:color="auto"/>
                  <w:right w:val="single" w:sz="4" w:space="0" w:color="auto"/>
                </w:tcBorders>
              </w:tcPr>
              <w:p w14:paraId="16F9877A"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34.60</w:t>
                </w:r>
              </w:p>
            </w:tc>
            <w:tc>
              <w:tcPr>
                <w:tcW w:w="1853" w:type="dxa"/>
                <w:tcBorders>
                  <w:top w:val="single" w:sz="4" w:space="0" w:color="auto"/>
                  <w:left w:val="single" w:sz="4" w:space="0" w:color="auto"/>
                  <w:bottom w:val="single" w:sz="4" w:space="0" w:color="auto"/>
                  <w:right w:val="single" w:sz="4" w:space="0" w:color="auto"/>
                </w:tcBorders>
                <w:shd w:val="clear" w:color="auto" w:fill="FFFFFF"/>
                <w:vAlign w:val="center"/>
              </w:tcPr>
              <w:p w14:paraId="7DCF066B"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0</w:t>
                </w:r>
              </w:p>
            </w:tc>
          </w:tr>
          <w:tr w:rsidR="00B201D3" w14:paraId="6FC674E7" w14:textId="77777777">
            <w:tc>
              <w:tcPr>
                <w:tcW w:w="473" w:type="dxa"/>
                <w:tcBorders>
                  <w:top w:val="single" w:sz="4" w:space="0" w:color="auto"/>
                  <w:left w:val="single" w:sz="4" w:space="0" w:color="auto"/>
                  <w:bottom w:val="single" w:sz="4" w:space="0" w:color="auto"/>
                  <w:right w:val="single" w:sz="4" w:space="0" w:color="auto"/>
                </w:tcBorders>
              </w:tcPr>
              <w:p w14:paraId="5C396DAA"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6</w:t>
                </w:r>
              </w:p>
            </w:tc>
            <w:tc>
              <w:tcPr>
                <w:tcW w:w="945" w:type="dxa"/>
                <w:tcBorders>
                  <w:top w:val="single" w:sz="4" w:space="0" w:color="auto"/>
                  <w:left w:val="single" w:sz="4" w:space="0" w:color="auto"/>
                  <w:bottom w:val="single" w:sz="4" w:space="0" w:color="auto"/>
                  <w:right w:val="single" w:sz="4" w:space="0" w:color="auto"/>
                </w:tcBorders>
                <w:vAlign w:val="center"/>
              </w:tcPr>
              <w:p w14:paraId="22310C72"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王九红</w:t>
                </w:r>
              </w:p>
            </w:tc>
            <w:tc>
              <w:tcPr>
                <w:tcW w:w="1559" w:type="dxa"/>
                <w:tcBorders>
                  <w:top w:val="single" w:sz="4" w:space="0" w:color="auto"/>
                  <w:left w:val="single" w:sz="4" w:space="0" w:color="auto"/>
                  <w:bottom w:val="single" w:sz="4" w:space="0" w:color="auto"/>
                  <w:right w:val="single" w:sz="4" w:space="0" w:color="auto"/>
                </w:tcBorders>
                <w:vAlign w:val="center"/>
              </w:tcPr>
              <w:p w14:paraId="4EB7244A" w14:textId="77777777" w:rsidR="00B201D3" w:rsidRDefault="009855E8">
                <w:pPr>
                  <w:jc w:val="center"/>
                  <w:rPr>
                    <w:rFonts w:asciiTheme="minorEastAsia" w:eastAsiaTheme="minorEastAsia" w:hAnsiTheme="minorEastAsia"/>
                    <w:highlight w:val="yellow"/>
                  </w:rPr>
                </w:pPr>
                <w:r>
                  <w:rPr>
                    <w:rFonts w:asciiTheme="minorEastAsia" w:eastAsiaTheme="minorEastAsia" w:hAnsiTheme="minorEastAsia" w:hint="eastAsia"/>
                  </w:rPr>
                  <w:t>副总经理</w:t>
                </w:r>
              </w:p>
            </w:tc>
            <w:tc>
              <w:tcPr>
                <w:tcW w:w="1276" w:type="dxa"/>
                <w:tcBorders>
                  <w:top w:val="single" w:sz="4" w:space="0" w:color="auto"/>
                  <w:left w:val="single" w:sz="4" w:space="0" w:color="auto"/>
                  <w:bottom w:val="single" w:sz="4" w:space="0" w:color="auto"/>
                  <w:right w:val="single" w:sz="4" w:space="0" w:color="auto"/>
                </w:tcBorders>
                <w:vAlign w:val="center"/>
              </w:tcPr>
              <w:p w14:paraId="62F81188"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12</w:t>
                </w:r>
              </w:p>
            </w:tc>
            <w:tc>
              <w:tcPr>
                <w:tcW w:w="1418" w:type="dxa"/>
                <w:tcBorders>
                  <w:top w:val="single" w:sz="4" w:space="0" w:color="auto"/>
                  <w:left w:val="single" w:sz="4" w:space="0" w:color="auto"/>
                  <w:bottom w:val="single" w:sz="4" w:space="0" w:color="auto"/>
                  <w:right w:val="single" w:sz="4" w:space="0" w:color="auto"/>
                </w:tcBorders>
                <w:vAlign w:val="center"/>
              </w:tcPr>
              <w:p w14:paraId="61C588C3"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4.08</w:t>
                </w:r>
              </w:p>
            </w:tc>
            <w:tc>
              <w:tcPr>
                <w:tcW w:w="1559" w:type="dxa"/>
                <w:tcBorders>
                  <w:top w:val="single" w:sz="4" w:space="0" w:color="auto"/>
                  <w:left w:val="single" w:sz="4" w:space="0" w:color="auto"/>
                  <w:bottom w:val="single" w:sz="4" w:space="0" w:color="auto"/>
                  <w:right w:val="single" w:sz="4" w:space="0" w:color="auto"/>
                </w:tcBorders>
              </w:tcPr>
              <w:p w14:paraId="721C926E"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34.60</w:t>
                </w:r>
              </w:p>
            </w:tc>
            <w:tc>
              <w:tcPr>
                <w:tcW w:w="1853" w:type="dxa"/>
                <w:tcBorders>
                  <w:top w:val="single" w:sz="4" w:space="0" w:color="auto"/>
                  <w:left w:val="single" w:sz="4" w:space="0" w:color="auto"/>
                  <w:bottom w:val="single" w:sz="4" w:space="0" w:color="auto"/>
                  <w:right w:val="single" w:sz="4" w:space="0" w:color="auto"/>
                </w:tcBorders>
                <w:shd w:val="clear" w:color="auto" w:fill="FFFFFF"/>
                <w:vAlign w:val="center"/>
              </w:tcPr>
              <w:p w14:paraId="4D2A6DE3"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0</w:t>
                </w:r>
              </w:p>
            </w:tc>
          </w:tr>
          <w:tr w:rsidR="00B201D3" w14:paraId="2553B8A9" w14:textId="77777777">
            <w:tc>
              <w:tcPr>
                <w:tcW w:w="2977" w:type="dxa"/>
                <w:gridSpan w:val="3"/>
                <w:tcBorders>
                  <w:top w:val="single" w:sz="4" w:space="0" w:color="auto"/>
                  <w:left w:val="single" w:sz="4" w:space="0" w:color="auto"/>
                  <w:bottom w:val="single" w:sz="4" w:space="0" w:color="auto"/>
                  <w:right w:val="single" w:sz="4" w:space="0" w:color="auto"/>
                </w:tcBorders>
              </w:tcPr>
              <w:p w14:paraId="2B7FC126"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其他人员（413人）</w:t>
                </w:r>
              </w:p>
            </w:tc>
            <w:tc>
              <w:tcPr>
                <w:tcW w:w="1276" w:type="dxa"/>
                <w:tcBorders>
                  <w:top w:val="single" w:sz="4" w:space="0" w:color="auto"/>
                  <w:left w:val="single" w:sz="4" w:space="0" w:color="auto"/>
                  <w:bottom w:val="single" w:sz="4" w:space="0" w:color="auto"/>
                  <w:right w:val="single" w:sz="4" w:space="0" w:color="auto"/>
                </w:tcBorders>
                <w:vAlign w:val="center"/>
              </w:tcPr>
              <w:p w14:paraId="5F2192C3" w14:textId="72921353" w:rsidR="00B201D3" w:rsidRDefault="009855E8">
                <w:pPr>
                  <w:jc w:val="center"/>
                  <w:rPr>
                    <w:rFonts w:asciiTheme="minorEastAsia" w:eastAsiaTheme="minorEastAsia" w:hAnsiTheme="minorEastAsia"/>
                  </w:rPr>
                </w:pPr>
                <w:r>
                  <w:rPr>
                    <w:rFonts w:asciiTheme="minorEastAsia" w:eastAsiaTheme="minorEastAsia" w:hAnsiTheme="minorEastAsia" w:hint="eastAsia"/>
                  </w:rPr>
                  <w:t>3,62</w:t>
                </w:r>
                <w:r w:rsidR="00CE62FB">
                  <w:rPr>
                    <w:rFonts w:asciiTheme="minorEastAsia" w:eastAsiaTheme="minorEastAsia" w:hAnsiTheme="minorEastAsia"/>
                  </w:rPr>
                  <w:t>9</w:t>
                </w:r>
                <w:r>
                  <w:rPr>
                    <w:rFonts w:asciiTheme="minorEastAsia" w:eastAsiaTheme="minorEastAsia" w:hAnsiTheme="minorEastAsia" w:hint="eastAsia"/>
                  </w:rPr>
                  <w:t>.9995</w:t>
                </w:r>
              </w:p>
            </w:tc>
            <w:tc>
              <w:tcPr>
                <w:tcW w:w="1418" w:type="dxa"/>
                <w:tcBorders>
                  <w:top w:val="single" w:sz="4" w:space="0" w:color="auto"/>
                  <w:left w:val="single" w:sz="4" w:space="0" w:color="auto"/>
                  <w:bottom w:val="single" w:sz="4" w:space="0" w:color="auto"/>
                  <w:right w:val="single" w:sz="4" w:space="0" w:color="auto"/>
                </w:tcBorders>
                <w:vAlign w:val="center"/>
              </w:tcPr>
              <w:p w14:paraId="26083961"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1,233.3840</w:t>
                </w:r>
              </w:p>
            </w:tc>
            <w:tc>
              <w:tcPr>
                <w:tcW w:w="1559" w:type="dxa"/>
                <w:tcBorders>
                  <w:top w:val="single" w:sz="4" w:space="0" w:color="auto"/>
                  <w:left w:val="single" w:sz="4" w:space="0" w:color="auto"/>
                  <w:bottom w:val="single" w:sz="4" w:space="0" w:color="auto"/>
                  <w:right w:val="single" w:sz="4" w:space="0" w:color="auto"/>
                </w:tcBorders>
                <w:vAlign w:val="center"/>
              </w:tcPr>
              <w:p w14:paraId="248DFF5A"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14:paraId="7689F39D"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0</w:t>
                </w:r>
              </w:p>
            </w:tc>
          </w:tr>
          <w:tr w:rsidR="00B201D3" w14:paraId="7B52D2B2" w14:textId="77777777">
            <w:trPr>
              <w:trHeight w:val="148"/>
            </w:trPr>
            <w:tc>
              <w:tcPr>
                <w:tcW w:w="2977" w:type="dxa"/>
                <w:gridSpan w:val="3"/>
                <w:tcBorders>
                  <w:top w:val="single" w:sz="4" w:space="0" w:color="auto"/>
                  <w:left w:val="single" w:sz="4" w:space="0" w:color="auto"/>
                  <w:bottom w:val="single" w:sz="4" w:space="0" w:color="auto"/>
                  <w:right w:val="single" w:sz="4" w:space="0" w:color="auto"/>
                </w:tcBorders>
              </w:tcPr>
              <w:p w14:paraId="17DFF128"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合计（共419人）</w:t>
                </w:r>
              </w:p>
            </w:tc>
            <w:tc>
              <w:tcPr>
                <w:tcW w:w="1276" w:type="dxa"/>
                <w:tcBorders>
                  <w:top w:val="single" w:sz="4" w:space="0" w:color="auto"/>
                  <w:left w:val="single" w:sz="4" w:space="0" w:color="auto"/>
                  <w:bottom w:val="single" w:sz="4" w:space="0" w:color="auto"/>
                  <w:right w:val="single" w:sz="4" w:space="0" w:color="auto"/>
                </w:tcBorders>
                <w:vAlign w:val="center"/>
              </w:tcPr>
              <w:p w14:paraId="05334322"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3,724.9995</w:t>
                </w:r>
              </w:p>
            </w:tc>
            <w:tc>
              <w:tcPr>
                <w:tcW w:w="1418" w:type="dxa"/>
                <w:tcBorders>
                  <w:top w:val="single" w:sz="4" w:space="0" w:color="auto"/>
                  <w:left w:val="single" w:sz="4" w:space="0" w:color="auto"/>
                  <w:bottom w:val="single" w:sz="4" w:space="0" w:color="auto"/>
                  <w:right w:val="single" w:sz="4" w:space="0" w:color="auto"/>
                </w:tcBorders>
                <w:vAlign w:val="center"/>
              </w:tcPr>
              <w:p w14:paraId="1AA31A4A"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1,265.6840</w:t>
                </w:r>
              </w:p>
            </w:tc>
            <w:tc>
              <w:tcPr>
                <w:tcW w:w="1559" w:type="dxa"/>
                <w:tcBorders>
                  <w:top w:val="single" w:sz="4" w:space="0" w:color="auto"/>
                  <w:left w:val="single" w:sz="4" w:space="0" w:color="auto"/>
                  <w:bottom w:val="single" w:sz="4" w:space="0" w:color="auto"/>
                  <w:right w:val="single" w:sz="4" w:space="0" w:color="auto"/>
                </w:tcBorders>
                <w:vAlign w:val="center"/>
              </w:tcPr>
              <w:p w14:paraId="7E343F6D"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w:t>
                </w:r>
              </w:p>
            </w:tc>
            <w:tc>
              <w:tcPr>
                <w:tcW w:w="1853" w:type="dxa"/>
                <w:tcBorders>
                  <w:top w:val="single" w:sz="4" w:space="0" w:color="auto"/>
                  <w:left w:val="single" w:sz="4" w:space="0" w:color="auto"/>
                  <w:bottom w:val="single" w:sz="4" w:space="0" w:color="auto"/>
                  <w:right w:val="single" w:sz="4" w:space="0" w:color="auto"/>
                </w:tcBorders>
                <w:vAlign w:val="center"/>
              </w:tcPr>
              <w:p w14:paraId="357241CB"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0</w:t>
                </w:r>
              </w:p>
            </w:tc>
          </w:tr>
        </w:tbl>
        <w:p w14:paraId="336A0195" w14:textId="77777777" w:rsidR="00B201D3" w:rsidRDefault="00B201D3">
          <w:pPr>
            <w:rPr>
              <w:b/>
            </w:rPr>
          </w:pPr>
        </w:p>
        <w:p w14:paraId="04CB81FB" w14:textId="77777777" w:rsidR="00B201D3" w:rsidRDefault="009855E8">
          <w:pPr>
            <w:ind w:firstLine="420"/>
            <w:rPr>
              <w:b/>
              <w:bCs/>
            </w:rPr>
          </w:pPr>
          <w:r>
            <w:rPr>
              <w:rFonts w:hint="eastAsia"/>
              <w:b/>
              <w:bCs/>
            </w:rPr>
            <w:t>期权激励计划摘要</w:t>
          </w:r>
        </w:p>
        <w:p w14:paraId="0E462D4A" w14:textId="77777777" w:rsidR="00B201D3" w:rsidRDefault="009855E8">
          <w:pPr>
            <w:ind w:firstLine="420"/>
          </w:pPr>
          <w:r>
            <w:rPr>
              <w:rFonts w:hint="eastAsia"/>
            </w:rPr>
            <w:t xml:space="preserve"> </w:t>
          </w:r>
        </w:p>
        <w:p w14:paraId="35441EB7" w14:textId="77777777" w:rsidR="00B201D3" w:rsidRDefault="009855E8" w:rsidP="00657056">
          <w:pPr>
            <w:ind w:firstLine="420"/>
            <w:jc w:val="both"/>
          </w:pPr>
          <w:r>
            <w:rPr>
              <w:rFonts w:hint="eastAsia"/>
            </w:rPr>
            <w:t>（一）期权激励计划授予情况</w:t>
          </w:r>
        </w:p>
        <w:p w14:paraId="115B1A1D" w14:textId="77777777" w:rsidR="00B201D3" w:rsidRDefault="009855E8" w:rsidP="00657056">
          <w:pPr>
            <w:ind w:firstLine="420"/>
            <w:jc w:val="both"/>
          </w:pPr>
          <w:r>
            <w:rPr>
              <w:rFonts w:hint="eastAsia"/>
            </w:rPr>
            <w:t>1.期权激励计划的目的</w:t>
          </w:r>
        </w:p>
        <w:p w14:paraId="6F0596E2" w14:textId="77777777" w:rsidR="00B201D3" w:rsidRDefault="009855E8" w:rsidP="00657056">
          <w:pPr>
            <w:ind w:firstLine="420"/>
            <w:jc w:val="both"/>
          </w:pPr>
          <w:r>
            <w:rPr>
              <w:rFonts w:hint="eastAsia"/>
            </w:rPr>
            <w:t>为进一步建立健全公司长效激励机制，吸引和留住优秀人才，充分调动公司董事、高级管理人员、中层管理人员及核心骨干人员的积极性，有效地将股东利益、公司利益和经营者个人利益紧密结合，使各方共同关注公司的长远发展。</w:t>
          </w:r>
        </w:p>
        <w:p w14:paraId="447A5FD3" w14:textId="77777777" w:rsidR="00B201D3" w:rsidRDefault="009855E8" w:rsidP="00657056">
          <w:pPr>
            <w:ind w:firstLine="420"/>
            <w:jc w:val="both"/>
          </w:pPr>
          <w:r>
            <w:rPr>
              <w:rFonts w:hint="eastAsia"/>
            </w:rPr>
            <w:t>2.激励对象的范围</w:t>
          </w:r>
        </w:p>
        <w:p w14:paraId="25BB0815" w14:textId="77777777" w:rsidR="00B201D3" w:rsidRDefault="009855E8" w:rsidP="00657056">
          <w:pPr>
            <w:ind w:firstLine="420"/>
            <w:jc w:val="both"/>
          </w:pPr>
          <w:r>
            <w:rPr>
              <w:rFonts w:hint="eastAsia"/>
            </w:rPr>
            <w:t>期权激励计划的激励对象为当时担任公司董事、高级管理人员、中层管理人员、核心骨干人员等，不包括外部董事（含独立董事）、监事及单独或合计持有公司5%以上股份的股东或实际控制人及其配偶、父母、子女。</w:t>
          </w:r>
        </w:p>
        <w:p w14:paraId="1331CCB9" w14:textId="77777777" w:rsidR="00B201D3" w:rsidRDefault="009855E8" w:rsidP="00657056">
          <w:pPr>
            <w:ind w:firstLine="420"/>
            <w:jc w:val="both"/>
          </w:pPr>
          <w:r>
            <w:rPr>
              <w:rFonts w:hint="eastAsia"/>
            </w:rPr>
            <w:t>3.标的股票数量</w:t>
          </w:r>
        </w:p>
        <w:p w14:paraId="7887866F" w14:textId="77777777" w:rsidR="00B201D3" w:rsidRDefault="009855E8" w:rsidP="00657056">
          <w:pPr>
            <w:ind w:firstLine="420"/>
            <w:jc w:val="both"/>
          </w:pPr>
          <w:r>
            <w:rPr>
              <w:rFonts w:hint="eastAsia"/>
            </w:rPr>
            <w:t>经2019年2月12日召开的公司2019年度第一次临时股东大会、第一次A股类别股东大会、第一次H股类别股东大会及第七届董事会第二十三次会议批准，向激励对象499人授予4,632万份股票期权。涉及的标的股票种类为人民币普通股（A股）股票。</w:t>
          </w:r>
        </w:p>
        <w:p w14:paraId="023D3721" w14:textId="77777777" w:rsidR="00B201D3" w:rsidRDefault="009855E8" w:rsidP="00657056">
          <w:pPr>
            <w:ind w:firstLine="420"/>
            <w:jc w:val="both"/>
          </w:pPr>
          <w:r>
            <w:rPr>
              <w:rFonts w:hint="eastAsia"/>
            </w:rPr>
            <w:t>4.每名参与人可获授权益上限</w:t>
          </w:r>
        </w:p>
        <w:p w14:paraId="0178A88F" w14:textId="77777777" w:rsidR="00B201D3" w:rsidRDefault="009855E8" w:rsidP="00657056">
          <w:pPr>
            <w:ind w:firstLine="420"/>
            <w:jc w:val="both"/>
          </w:pPr>
          <w:r>
            <w:rPr>
              <w:rFonts w:hint="eastAsia"/>
            </w:rPr>
            <w:lastRenderedPageBreak/>
            <w:t>任何一名激励对象通过全部有效的股权激励计划获授的公司股票，均未超过期权激励计划经股东大会审议通过之日公司总股本的1%，且不超过同日公司A股总股本的1%。</w:t>
          </w:r>
        </w:p>
        <w:p w14:paraId="0CE738F1" w14:textId="77777777" w:rsidR="00B201D3" w:rsidRDefault="009855E8" w:rsidP="00657056">
          <w:pPr>
            <w:ind w:firstLine="420"/>
            <w:jc w:val="both"/>
          </w:pPr>
          <w:r>
            <w:rPr>
              <w:rFonts w:hint="eastAsia"/>
            </w:rPr>
            <w:t>5.等待期</w:t>
          </w:r>
        </w:p>
        <w:p w14:paraId="1D802880" w14:textId="77777777" w:rsidR="00B201D3" w:rsidRDefault="009855E8" w:rsidP="00657056">
          <w:pPr>
            <w:ind w:firstLine="420"/>
            <w:jc w:val="both"/>
          </w:pPr>
          <w:r>
            <w:rPr>
              <w:rFonts w:hint="eastAsia"/>
            </w:rPr>
            <w:t>等待期为股票期权授予日至股票期权可行权日之间的时间，期权激励计划授予的股票期权等待期为自授予之日起24个月、36个月、48个月。</w:t>
          </w:r>
        </w:p>
        <w:p w14:paraId="589E6AA1" w14:textId="77777777" w:rsidR="00B201D3" w:rsidRDefault="009855E8" w:rsidP="00657056">
          <w:pPr>
            <w:ind w:firstLine="420"/>
            <w:jc w:val="both"/>
          </w:pPr>
          <w:r>
            <w:rPr>
              <w:rFonts w:hint="eastAsia"/>
            </w:rPr>
            <w:t>6.可行权日</w:t>
          </w:r>
        </w:p>
        <w:p w14:paraId="506D9461" w14:textId="77777777" w:rsidR="00B201D3" w:rsidRDefault="009855E8" w:rsidP="00657056">
          <w:pPr>
            <w:ind w:firstLine="420"/>
            <w:jc w:val="both"/>
          </w:pPr>
          <w:r>
            <w:rPr>
              <w:rFonts w:hint="eastAsia"/>
            </w:rPr>
            <w:t>期权激励计划授予的股票期权自授予日起满24个月后可以开始行权。可行权日必须为交易日，但不得在下列期间内行权：</w:t>
          </w:r>
        </w:p>
        <w:p w14:paraId="16E22AAD" w14:textId="77777777" w:rsidR="00B201D3" w:rsidRDefault="009855E8" w:rsidP="00657056">
          <w:pPr>
            <w:ind w:firstLine="420"/>
            <w:jc w:val="both"/>
          </w:pPr>
          <w:r>
            <w:rPr>
              <w:rFonts w:hint="eastAsia"/>
            </w:rPr>
            <w:t>（1）公司定期报告公告前30日内，因特殊原因推迟定期报告公告日期的，自原预约公告日前30日起算，至公告前1日；</w:t>
          </w:r>
        </w:p>
        <w:p w14:paraId="7D8BF5BA" w14:textId="77777777" w:rsidR="00B201D3" w:rsidRDefault="009855E8" w:rsidP="00657056">
          <w:pPr>
            <w:ind w:firstLine="420"/>
            <w:jc w:val="both"/>
          </w:pPr>
          <w:r>
            <w:rPr>
              <w:rFonts w:hint="eastAsia"/>
            </w:rPr>
            <w:t>（2）公司业绩预告、业绩快报公告前10日内；</w:t>
          </w:r>
        </w:p>
        <w:p w14:paraId="7D5EDA53" w14:textId="77777777" w:rsidR="00B201D3" w:rsidRDefault="009855E8" w:rsidP="00657056">
          <w:pPr>
            <w:ind w:firstLine="420"/>
            <w:jc w:val="both"/>
          </w:pPr>
          <w:r>
            <w:rPr>
              <w:rFonts w:hint="eastAsia"/>
            </w:rPr>
            <w:t>（3）自可能对公司股票及其衍生品种交易价格产生较大影响的重大事件发生之日或者进入决策程序之日，至依法披露后2个交易日内；</w:t>
          </w:r>
        </w:p>
        <w:p w14:paraId="3AEAA8CD" w14:textId="77777777" w:rsidR="00B201D3" w:rsidRDefault="009855E8" w:rsidP="00657056">
          <w:pPr>
            <w:ind w:firstLine="420"/>
            <w:jc w:val="both"/>
          </w:pPr>
          <w:r>
            <w:rPr>
              <w:rFonts w:hint="eastAsia"/>
            </w:rPr>
            <w:t>（4）中国证监会及上交所规定的其他期间。</w:t>
          </w:r>
        </w:p>
        <w:p w14:paraId="575A83AF" w14:textId="77777777" w:rsidR="00B201D3" w:rsidRDefault="009855E8" w:rsidP="00657056">
          <w:pPr>
            <w:ind w:firstLine="420"/>
            <w:jc w:val="both"/>
          </w:pPr>
          <w:r>
            <w:rPr>
              <w:rFonts w:hint="eastAsia"/>
            </w:rPr>
            <w:t>本次授予期权行权期及各期行权时间安排如下表所示：</w:t>
          </w:r>
        </w:p>
        <w:p w14:paraId="467AA7CA" w14:textId="77777777" w:rsidR="00B201D3" w:rsidRDefault="00B201D3">
          <w:pPr>
            <w:ind w:firstLine="420"/>
          </w:pPr>
        </w:p>
        <w:tbl>
          <w:tblPr>
            <w:tblStyle w:val="g15"/>
            <w:tblW w:w="8583"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1577"/>
            <w:gridCol w:w="5091"/>
            <w:gridCol w:w="1915"/>
          </w:tblGrid>
          <w:tr w:rsidR="00B201D3" w14:paraId="0F4CA353" w14:textId="77777777">
            <w:trPr>
              <w:trHeight w:val="632"/>
              <w:jc w:val="center"/>
            </w:trPr>
            <w:tc>
              <w:tcPr>
                <w:tcW w:w="1577" w:type="dxa"/>
                <w:tcBorders>
                  <w:top w:val="single" w:sz="12" w:space="0" w:color="auto"/>
                  <w:left w:val="single" w:sz="12" w:space="0" w:color="auto"/>
                  <w:bottom w:val="single" w:sz="8" w:space="0" w:color="auto"/>
                  <w:right w:val="single" w:sz="8" w:space="0" w:color="auto"/>
                </w:tcBorders>
                <w:vAlign w:val="center"/>
              </w:tcPr>
              <w:p w14:paraId="6A83DAB4" w14:textId="77777777" w:rsidR="00B201D3" w:rsidRDefault="009855E8">
                <w:pPr>
                  <w:jc w:val="center"/>
                  <w:rPr>
                    <w:b/>
                  </w:rPr>
                </w:pPr>
                <w:r>
                  <w:rPr>
                    <w:rFonts w:hint="eastAsia"/>
                    <w:b/>
                    <w:sz w:val="20"/>
                    <w:szCs w:val="20"/>
                  </w:rPr>
                  <w:t>行权安排</w:t>
                </w:r>
              </w:p>
            </w:tc>
            <w:tc>
              <w:tcPr>
                <w:tcW w:w="5091" w:type="dxa"/>
                <w:tcBorders>
                  <w:top w:val="single" w:sz="12" w:space="0" w:color="auto"/>
                  <w:left w:val="single" w:sz="8" w:space="0" w:color="auto"/>
                  <w:bottom w:val="single" w:sz="8" w:space="0" w:color="auto"/>
                  <w:right w:val="single" w:sz="8" w:space="0" w:color="auto"/>
                </w:tcBorders>
                <w:vAlign w:val="center"/>
              </w:tcPr>
              <w:p w14:paraId="5F6A21ED" w14:textId="77777777" w:rsidR="00B201D3" w:rsidRDefault="009855E8">
                <w:pPr>
                  <w:jc w:val="center"/>
                  <w:rPr>
                    <w:b/>
                  </w:rPr>
                </w:pPr>
                <w:r>
                  <w:rPr>
                    <w:rFonts w:hint="eastAsia"/>
                    <w:b/>
                    <w:sz w:val="20"/>
                    <w:szCs w:val="20"/>
                  </w:rPr>
                  <w:t>行权时间</w:t>
                </w:r>
              </w:p>
            </w:tc>
            <w:tc>
              <w:tcPr>
                <w:tcW w:w="1915" w:type="dxa"/>
                <w:tcBorders>
                  <w:top w:val="single" w:sz="12" w:space="0" w:color="auto"/>
                  <w:left w:val="single" w:sz="8" w:space="0" w:color="auto"/>
                  <w:bottom w:val="single" w:sz="8" w:space="0" w:color="auto"/>
                  <w:right w:val="single" w:sz="12" w:space="0" w:color="auto"/>
                </w:tcBorders>
                <w:vAlign w:val="center"/>
              </w:tcPr>
              <w:p w14:paraId="05A46894" w14:textId="77777777" w:rsidR="00B201D3" w:rsidRDefault="009855E8">
                <w:pPr>
                  <w:jc w:val="center"/>
                  <w:rPr>
                    <w:b/>
                  </w:rPr>
                </w:pPr>
                <w:r>
                  <w:rPr>
                    <w:rFonts w:hint="eastAsia"/>
                    <w:b/>
                    <w:sz w:val="20"/>
                    <w:szCs w:val="20"/>
                  </w:rPr>
                  <w:t>可行权数量占获授权益数量比例</w:t>
                </w:r>
              </w:p>
            </w:tc>
          </w:tr>
          <w:tr w:rsidR="00B201D3" w14:paraId="011FF62B" w14:textId="77777777">
            <w:trPr>
              <w:trHeight w:val="676"/>
              <w:jc w:val="center"/>
            </w:trPr>
            <w:tc>
              <w:tcPr>
                <w:tcW w:w="1577" w:type="dxa"/>
                <w:tcBorders>
                  <w:top w:val="single" w:sz="8" w:space="0" w:color="auto"/>
                  <w:left w:val="single" w:sz="12" w:space="0" w:color="auto"/>
                  <w:bottom w:val="single" w:sz="8" w:space="0" w:color="auto"/>
                  <w:right w:val="single" w:sz="8" w:space="0" w:color="auto"/>
                </w:tcBorders>
                <w:vAlign w:val="center"/>
              </w:tcPr>
              <w:p w14:paraId="0A226B6A" w14:textId="77777777" w:rsidR="00B201D3" w:rsidRDefault="009855E8">
                <w:pPr>
                  <w:jc w:val="center"/>
                  <w:rPr>
                    <w:rFonts w:asciiTheme="minorEastAsia" w:eastAsiaTheme="minorEastAsia" w:hAnsiTheme="minorEastAsia"/>
                    <w:color w:val="000000"/>
                  </w:rPr>
                </w:pPr>
                <w:r>
                  <w:rPr>
                    <w:rFonts w:asciiTheme="minorEastAsia" w:eastAsiaTheme="minorEastAsia" w:hAnsiTheme="minorEastAsia" w:hint="eastAsia"/>
                    <w:sz w:val="20"/>
                    <w:szCs w:val="20"/>
                  </w:rPr>
                  <w:t>第一个行权期</w:t>
                </w:r>
              </w:p>
            </w:tc>
            <w:tc>
              <w:tcPr>
                <w:tcW w:w="5091" w:type="dxa"/>
                <w:tcBorders>
                  <w:top w:val="single" w:sz="8" w:space="0" w:color="auto"/>
                  <w:left w:val="single" w:sz="8" w:space="0" w:color="auto"/>
                  <w:bottom w:val="single" w:sz="8" w:space="0" w:color="auto"/>
                  <w:right w:val="single" w:sz="8" w:space="0" w:color="auto"/>
                </w:tcBorders>
                <w:vAlign w:val="center"/>
              </w:tcPr>
              <w:p w14:paraId="657F8730" w14:textId="77777777" w:rsidR="00B201D3" w:rsidRDefault="009855E8">
                <w:pPr>
                  <w:pStyle w:val="3903"/>
                  <w:rPr>
                    <w:rFonts w:asciiTheme="minorEastAsia" w:eastAsiaTheme="minorEastAsia" w:hAnsiTheme="minorEastAsia"/>
                    <w:sz w:val="20"/>
                    <w:szCs w:val="20"/>
                  </w:rPr>
                </w:pPr>
                <w:r>
                  <w:rPr>
                    <w:rFonts w:asciiTheme="minorEastAsia" w:eastAsiaTheme="minorEastAsia" w:hAnsiTheme="minorEastAsia" w:hint="eastAsia"/>
                    <w:sz w:val="20"/>
                    <w:szCs w:val="20"/>
                  </w:rPr>
                  <w:t>自授予日起24个月后的首个交易日起至授予日起36个月内的最后一个交易日当日止</w:t>
                </w:r>
              </w:p>
            </w:tc>
            <w:tc>
              <w:tcPr>
                <w:tcW w:w="1915" w:type="dxa"/>
                <w:tcBorders>
                  <w:top w:val="single" w:sz="8" w:space="0" w:color="auto"/>
                  <w:left w:val="single" w:sz="8" w:space="0" w:color="auto"/>
                  <w:bottom w:val="single" w:sz="8" w:space="0" w:color="auto"/>
                  <w:right w:val="single" w:sz="12" w:space="0" w:color="auto"/>
                </w:tcBorders>
                <w:vAlign w:val="center"/>
              </w:tcPr>
              <w:p w14:paraId="687239CA"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sz w:val="20"/>
                    <w:szCs w:val="20"/>
                  </w:rPr>
                  <w:t>33%</w:t>
                </w:r>
              </w:p>
            </w:tc>
          </w:tr>
          <w:tr w:rsidR="00B201D3" w14:paraId="11A8669B" w14:textId="77777777">
            <w:trPr>
              <w:trHeight w:val="634"/>
              <w:jc w:val="center"/>
            </w:trPr>
            <w:tc>
              <w:tcPr>
                <w:tcW w:w="1577" w:type="dxa"/>
                <w:tcBorders>
                  <w:top w:val="single" w:sz="8" w:space="0" w:color="auto"/>
                  <w:left w:val="single" w:sz="12" w:space="0" w:color="auto"/>
                  <w:bottom w:val="single" w:sz="8" w:space="0" w:color="auto"/>
                  <w:right w:val="single" w:sz="8" w:space="0" w:color="auto"/>
                </w:tcBorders>
                <w:vAlign w:val="center"/>
              </w:tcPr>
              <w:p w14:paraId="423385CB"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sz w:val="20"/>
                    <w:szCs w:val="20"/>
                  </w:rPr>
                  <w:t>第二个行权期</w:t>
                </w:r>
              </w:p>
            </w:tc>
            <w:tc>
              <w:tcPr>
                <w:tcW w:w="5091" w:type="dxa"/>
                <w:tcBorders>
                  <w:top w:val="single" w:sz="8" w:space="0" w:color="auto"/>
                  <w:left w:val="single" w:sz="8" w:space="0" w:color="auto"/>
                  <w:bottom w:val="single" w:sz="8" w:space="0" w:color="auto"/>
                  <w:right w:val="single" w:sz="8" w:space="0" w:color="auto"/>
                </w:tcBorders>
                <w:vAlign w:val="center"/>
              </w:tcPr>
              <w:p w14:paraId="4DA0A319" w14:textId="77777777" w:rsidR="00B201D3" w:rsidRDefault="009855E8">
                <w:pPr>
                  <w:pStyle w:val="3903"/>
                  <w:rPr>
                    <w:rFonts w:asciiTheme="minorEastAsia" w:eastAsiaTheme="minorEastAsia" w:hAnsiTheme="minorEastAsia"/>
                    <w:sz w:val="20"/>
                    <w:szCs w:val="20"/>
                  </w:rPr>
                </w:pPr>
                <w:r>
                  <w:rPr>
                    <w:rFonts w:asciiTheme="minorEastAsia" w:eastAsiaTheme="minorEastAsia" w:hAnsiTheme="minorEastAsia" w:hint="eastAsia"/>
                    <w:sz w:val="20"/>
                    <w:szCs w:val="20"/>
                  </w:rPr>
                  <w:t>自授予日起36个月后的首个交易日起至授予日起48个月内的最后一个交易日当日止</w:t>
                </w:r>
              </w:p>
            </w:tc>
            <w:tc>
              <w:tcPr>
                <w:tcW w:w="1915" w:type="dxa"/>
                <w:tcBorders>
                  <w:top w:val="single" w:sz="8" w:space="0" w:color="auto"/>
                  <w:left w:val="single" w:sz="8" w:space="0" w:color="auto"/>
                  <w:bottom w:val="single" w:sz="8" w:space="0" w:color="auto"/>
                  <w:right w:val="single" w:sz="12" w:space="0" w:color="auto"/>
                </w:tcBorders>
                <w:vAlign w:val="center"/>
              </w:tcPr>
              <w:p w14:paraId="269DE008"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sz w:val="20"/>
                    <w:szCs w:val="20"/>
                  </w:rPr>
                  <w:t>33%</w:t>
                </w:r>
              </w:p>
            </w:tc>
          </w:tr>
          <w:tr w:rsidR="00B201D3" w14:paraId="0E70F361" w14:textId="77777777">
            <w:trPr>
              <w:trHeight w:val="744"/>
              <w:jc w:val="center"/>
            </w:trPr>
            <w:tc>
              <w:tcPr>
                <w:tcW w:w="1577" w:type="dxa"/>
                <w:tcBorders>
                  <w:top w:val="single" w:sz="8" w:space="0" w:color="auto"/>
                  <w:left w:val="single" w:sz="12" w:space="0" w:color="auto"/>
                  <w:bottom w:val="single" w:sz="12" w:space="0" w:color="auto"/>
                  <w:right w:val="single" w:sz="8" w:space="0" w:color="auto"/>
                </w:tcBorders>
                <w:vAlign w:val="center"/>
              </w:tcPr>
              <w:p w14:paraId="0474F7AB"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sz w:val="20"/>
                    <w:szCs w:val="20"/>
                  </w:rPr>
                  <w:t>第三个行权期</w:t>
                </w:r>
              </w:p>
            </w:tc>
            <w:tc>
              <w:tcPr>
                <w:tcW w:w="5091" w:type="dxa"/>
                <w:tcBorders>
                  <w:top w:val="single" w:sz="8" w:space="0" w:color="auto"/>
                  <w:left w:val="single" w:sz="8" w:space="0" w:color="auto"/>
                  <w:bottom w:val="single" w:sz="12" w:space="0" w:color="auto"/>
                  <w:right w:val="single" w:sz="8" w:space="0" w:color="auto"/>
                </w:tcBorders>
                <w:vAlign w:val="center"/>
              </w:tcPr>
              <w:p w14:paraId="164E06CF" w14:textId="77777777" w:rsidR="00B201D3" w:rsidRDefault="009855E8">
                <w:pPr>
                  <w:pStyle w:val="3903"/>
                  <w:rPr>
                    <w:rFonts w:asciiTheme="minorEastAsia" w:eastAsiaTheme="minorEastAsia" w:hAnsiTheme="minorEastAsia"/>
                    <w:sz w:val="20"/>
                    <w:szCs w:val="20"/>
                  </w:rPr>
                </w:pPr>
                <w:r>
                  <w:rPr>
                    <w:rFonts w:asciiTheme="minorEastAsia" w:eastAsiaTheme="minorEastAsia" w:hAnsiTheme="minorEastAsia" w:hint="eastAsia"/>
                    <w:sz w:val="20"/>
                    <w:szCs w:val="20"/>
                  </w:rPr>
                  <w:t>自授予日起48个月后的首个交易日起至授予日起60个月内的最后一个交易日当日止</w:t>
                </w:r>
              </w:p>
            </w:tc>
            <w:tc>
              <w:tcPr>
                <w:tcW w:w="1915" w:type="dxa"/>
                <w:tcBorders>
                  <w:top w:val="single" w:sz="8" w:space="0" w:color="auto"/>
                  <w:left w:val="single" w:sz="8" w:space="0" w:color="auto"/>
                  <w:bottom w:val="single" w:sz="12" w:space="0" w:color="auto"/>
                  <w:right w:val="single" w:sz="12" w:space="0" w:color="auto"/>
                </w:tcBorders>
                <w:vAlign w:val="center"/>
              </w:tcPr>
              <w:p w14:paraId="4A67E2B4"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sz w:val="20"/>
                    <w:szCs w:val="20"/>
                  </w:rPr>
                  <w:t>34%</w:t>
                </w:r>
              </w:p>
            </w:tc>
          </w:tr>
        </w:tbl>
        <w:p w14:paraId="1E357781" w14:textId="77777777" w:rsidR="00B201D3" w:rsidRDefault="009855E8" w:rsidP="00657056">
          <w:pPr>
            <w:ind w:firstLine="420"/>
            <w:jc w:val="both"/>
            <w:rPr>
              <w:rFonts w:asciiTheme="minorEastAsia" w:eastAsiaTheme="minorEastAsia" w:hAnsiTheme="minorEastAsia"/>
            </w:rPr>
          </w:pPr>
          <w:r>
            <w:rPr>
              <w:rFonts w:asciiTheme="minorEastAsia" w:eastAsiaTheme="minorEastAsia" w:hAnsiTheme="minorEastAsia" w:hint="eastAsia"/>
            </w:rPr>
            <w:t>激励对象必须在各批次股票期权行权的有效期内行权完毕。若达不到行权条件，则当期股票期权不得行权。若符合行权条件，但未在上述行权期全部行权的该部分股票期权由公司注销。</w:t>
          </w:r>
        </w:p>
        <w:p w14:paraId="04364A3D" w14:textId="77777777" w:rsidR="00B201D3" w:rsidRDefault="009855E8" w:rsidP="00657056">
          <w:pPr>
            <w:ind w:firstLine="420"/>
            <w:jc w:val="both"/>
            <w:rPr>
              <w:rFonts w:asciiTheme="minorEastAsia" w:eastAsiaTheme="minorEastAsia" w:hAnsiTheme="minorEastAsia"/>
            </w:rPr>
          </w:pPr>
          <w:r>
            <w:rPr>
              <w:rFonts w:asciiTheme="minorEastAsia" w:eastAsiaTheme="minorEastAsia" w:hAnsiTheme="minorEastAsia" w:hint="eastAsia"/>
            </w:rPr>
            <w:t>7.行权价格</w:t>
          </w:r>
        </w:p>
        <w:p w14:paraId="31CAA661" w14:textId="77777777" w:rsidR="00B201D3" w:rsidRDefault="009855E8" w:rsidP="00657056">
          <w:pPr>
            <w:ind w:firstLine="420"/>
            <w:jc w:val="both"/>
            <w:rPr>
              <w:rFonts w:asciiTheme="minorEastAsia" w:eastAsiaTheme="minorEastAsia" w:hAnsiTheme="minorEastAsia"/>
            </w:rPr>
          </w:pPr>
          <w:r>
            <w:rPr>
              <w:rFonts w:asciiTheme="minorEastAsia" w:eastAsiaTheme="minorEastAsia" w:hAnsiTheme="minorEastAsia" w:hint="eastAsia"/>
            </w:rPr>
            <w:t>本次授予的股票期权的行权价格为9.64元/份。在期权激励计划公告当日至激励对象完成股票期权行权期间，若公司发生资本公积转增股本、派发股票红利、股份拆细或缩股、配股、派息等事宜，股票期权的行权价格将做相应的调整。</w:t>
          </w:r>
        </w:p>
        <w:p w14:paraId="465DB520" w14:textId="77777777" w:rsidR="00B201D3" w:rsidRDefault="009855E8" w:rsidP="00657056">
          <w:pPr>
            <w:ind w:firstLine="420"/>
            <w:jc w:val="both"/>
            <w:rPr>
              <w:rFonts w:asciiTheme="minorEastAsia" w:eastAsiaTheme="minorEastAsia" w:hAnsiTheme="minorEastAsia"/>
            </w:rPr>
          </w:pPr>
          <w:r>
            <w:rPr>
              <w:rFonts w:asciiTheme="minorEastAsia" w:eastAsiaTheme="minorEastAsia" w:hAnsiTheme="minorEastAsia" w:hint="eastAsia"/>
            </w:rPr>
            <w:t>8.期权激励计划股票期权的行权价格的确定方法</w:t>
          </w:r>
        </w:p>
        <w:p w14:paraId="13FA56F5" w14:textId="77777777" w:rsidR="00B201D3" w:rsidRDefault="009855E8" w:rsidP="00657056">
          <w:pPr>
            <w:ind w:firstLine="420"/>
            <w:jc w:val="both"/>
            <w:rPr>
              <w:rFonts w:asciiTheme="minorEastAsia" w:eastAsiaTheme="minorEastAsia" w:hAnsiTheme="minorEastAsia"/>
            </w:rPr>
          </w:pPr>
          <w:r>
            <w:rPr>
              <w:rFonts w:asciiTheme="minorEastAsia" w:eastAsiaTheme="minorEastAsia" w:hAnsiTheme="minorEastAsia" w:hint="eastAsia"/>
            </w:rPr>
            <w:t>股票期权的行权价格不得低于公司A股股票票面金额，且不得低于下列价格较高者：</w:t>
          </w:r>
        </w:p>
        <w:p w14:paraId="05E6AFAD" w14:textId="77777777" w:rsidR="00B201D3" w:rsidRDefault="009855E8" w:rsidP="00657056">
          <w:pPr>
            <w:ind w:firstLine="420"/>
            <w:jc w:val="both"/>
            <w:rPr>
              <w:rFonts w:asciiTheme="minorEastAsia" w:eastAsiaTheme="minorEastAsia" w:hAnsiTheme="minorEastAsia"/>
            </w:rPr>
          </w:pPr>
          <w:r>
            <w:rPr>
              <w:rFonts w:asciiTheme="minorEastAsia" w:eastAsiaTheme="minorEastAsia" w:hAnsiTheme="minorEastAsia" w:hint="eastAsia"/>
            </w:rPr>
            <w:t>（1）期权激励计划草案公告前1个交易日公司A股股票交易均价，每股8.92元；</w:t>
          </w:r>
        </w:p>
        <w:p w14:paraId="7DEE3BF0" w14:textId="77777777" w:rsidR="00B201D3" w:rsidRDefault="009855E8" w:rsidP="00657056">
          <w:pPr>
            <w:ind w:firstLine="420"/>
            <w:jc w:val="both"/>
            <w:rPr>
              <w:rFonts w:asciiTheme="minorEastAsia" w:eastAsiaTheme="minorEastAsia" w:hAnsiTheme="minorEastAsia"/>
            </w:rPr>
          </w:pPr>
          <w:r>
            <w:rPr>
              <w:rFonts w:asciiTheme="minorEastAsia" w:eastAsiaTheme="minorEastAsia" w:hAnsiTheme="minorEastAsia" w:hint="eastAsia"/>
            </w:rPr>
            <w:t>（2）期权激励计划草案公告前20个交易日公司A股股票交易均价，每股9.58元；</w:t>
          </w:r>
        </w:p>
        <w:p w14:paraId="377E59F4" w14:textId="77777777" w:rsidR="00B201D3" w:rsidRDefault="009855E8" w:rsidP="00657056">
          <w:pPr>
            <w:ind w:firstLine="420"/>
            <w:jc w:val="both"/>
            <w:rPr>
              <w:rFonts w:asciiTheme="minorEastAsia" w:eastAsiaTheme="minorEastAsia" w:hAnsiTheme="minorEastAsia"/>
            </w:rPr>
          </w:pPr>
          <w:r>
            <w:rPr>
              <w:rFonts w:asciiTheme="minorEastAsia" w:eastAsiaTheme="minorEastAsia" w:hAnsiTheme="minorEastAsia" w:hint="eastAsia"/>
            </w:rPr>
            <w:t>（3）期权激励计划草案公告前1个交易日公司A股股票收盘价，每股8.75元；</w:t>
          </w:r>
        </w:p>
        <w:p w14:paraId="054DB18C" w14:textId="77777777" w:rsidR="00B201D3" w:rsidRDefault="009855E8" w:rsidP="00657056">
          <w:pPr>
            <w:ind w:firstLine="420"/>
            <w:jc w:val="both"/>
            <w:rPr>
              <w:rFonts w:asciiTheme="minorEastAsia" w:eastAsiaTheme="minorEastAsia" w:hAnsiTheme="minorEastAsia"/>
            </w:rPr>
          </w:pPr>
          <w:r>
            <w:rPr>
              <w:rFonts w:asciiTheme="minorEastAsia" w:eastAsiaTheme="minorEastAsia" w:hAnsiTheme="minorEastAsia" w:hint="eastAsia"/>
            </w:rPr>
            <w:t>（4）期权激励计划草案公告前30个交易日内公司A股股票平均收盘价，每股9.64元。</w:t>
          </w:r>
        </w:p>
        <w:p w14:paraId="10A0FB6A" w14:textId="77777777" w:rsidR="00B201D3" w:rsidRDefault="009855E8" w:rsidP="00657056">
          <w:pPr>
            <w:ind w:firstLine="420"/>
            <w:jc w:val="both"/>
            <w:rPr>
              <w:rFonts w:asciiTheme="minorEastAsia" w:eastAsiaTheme="minorEastAsia" w:hAnsiTheme="minorEastAsia"/>
            </w:rPr>
          </w:pPr>
          <w:r>
            <w:rPr>
              <w:rFonts w:asciiTheme="minorEastAsia" w:eastAsiaTheme="minorEastAsia" w:hAnsiTheme="minorEastAsia" w:hint="eastAsia"/>
            </w:rPr>
            <w:t>9.有效期</w:t>
          </w:r>
        </w:p>
        <w:p w14:paraId="0AD9C3CA" w14:textId="77777777" w:rsidR="00B201D3" w:rsidRDefault="009855E8" w:rsidP="00657056">
          <w:pPr>
            <w:ind w:firstLine="420"/>
            <w:jc w:val="both"/>
            <w:rPr>
              <w:rFonts w:asciiTheme="minorEastAsia" w:eastAsiaTheme="minorEastAsia" w:hAnsiTheme="minorEastAsia"/>
            </w:rPr>
          </w:pPr>
          <w:r>
            <w:rPr>
              <w:rFonts w:asciiTheme="minorEastAsia" w:eastAsiaTheme="minorEastAsia" w:hAnsiTheme="minorEastAsia" w:hint="eastAsia"/>
            </w:rPr>
            <w:t>期权激励计划经2019年2月12日召开的公司2019年度第一次临时股东大会、2019年度第一次A股类别股东大会及2019年度第一次H股类别股东大会批准生效。根据期权激励计划授出的股票期权的有效期自授予日起计算，最长不超过60个月。</w:t>
          </w:r>
        </w:p>
        <w:p w14:paraId="5F38CB49" w14:textId="77777777" w:rsidR="00B201D3" w:rsidRDefault="009855E8" w:rsidP="00657056">
          <w:pPr>
            <w:ind w:firstLine="420"/>
            <w:jc w:val="both"/>
            <w:rPr>
              <w:rFonts w:asciiTheme="minorEastAsia" w:eastAsiaTheme="minorEastAsia" w:hAnsiTheme="minorEastAsia"/>
            </w:rPr>
          </w:pPr>
          <w:r>
            <w:rPr>
              <w:rFonts w:asciiTheme="minorEastAsia" w:eastAsiaTheme="minorEastAsia" w:hAnsiTheme="minorEastAsia" w:hint="eastAsia"/>
            </w:rPr>
            <w:t>（二）历次调整情况</w:t>
          </w:r>
        </w:p>
        <w:p w14:paraId="20DBA47C" w14:textId="77777777" w:rsidR="00B201D3" w:rsidRDefault="009855E8" w:rsidP="00657056">
          <w:pPr>
            <w:ind w:firstLine="420"/>
            <w:jc w:val="both"/>
            <w:rPr>
              <w:rFonts w:asciiTheme="minorEastAsia" w:eastAsiaTheme="minorEastAsia" w:hAnsiTheme="minorEastAsia"/>
            </w:rPr>
          </w:pPr>
          <w:r>
            <w:rPr>
              <w:rFonts w:asciiTheme="minorEastAsia" w:eastAsiaTheme="minorEastAsia" w:hAnsiTheme="minorEastAsia" w:hint="eastAsia"/>
            </w:rPr>
            <w:t>经2021年1月13日召开的公司第八届董事会第八次会议</w:t>
          </w:r>
          <w:r>
            <w:rPr>
              <w:rFonts w:asciiTheme="minorEastAsia" w:eastAsiaTheme="minorEastAsia" w:hAnsiTheme="minorEastAsia" w:hint="eastAsia"/>
              <w:kern w:val="44"/>
            </w:rPr>
            <w:t>审议</w:t>
          </w:r>
          <w:r>
            <w:rPr>
              <w:rFonts w:asciiTheme="minorEastAsia" w:eastAsiaTheme="minorEastAsia" w:hAnsiTheme="minorEastAsia" w:hint="eastAsia"/>
            </w:rPr>
            <w:t>批准，33名激励对象因离职、个人绩效等原因，公司注销股票期权3,299,140份，经调整后，授予的股票期权数量由46,320,000份调整为43,020,860份。由于公司于等待期内进行了分红派息，公司董事会对期权激励计划的行权价格进行调整，本次调整后的股票期权行权价格为7.52元/份。</w:t>
          </w:r>
        </w:p>
        <w:p w14:paraId="2541F148" w14:textId="77777777" w:rsidR="00B201D3" w:rsidRDefault="009855E8" w:rsidP="00657056">
          <w:pPr>
            <w:ind w:firstLine="420"/>
            <w:jc w:val="both"/>
            <w:rPr>
              <w:rFonts w:asciiTheme="minorEastAsia" w:eastAsiaTheme="minorEastAsia" w:hAnsiTheme="minorEastAsia"/>
            </w:rPr>
          </w:pPr>
          <w:r>
            <w:rPr>
              <w:rFonts w:asciiTheme="minorEastAsia" w:eastAsiaTheme="minorEastAsia" w:hAnsiTheme="minorEastAsia" w:hint="eastAsia"/>
            </w:rPr>
            <w:t>经2022年1月27日召开的公司第八届董事会第二十次会议</w:t>
          </w:r>
          <w:r>
            <w:rPr>
              <w:rFonts w:asciiTheme="minorEastAsia" w:eastAsiaTheme="minorEastAsia" w:hAnsiTheme="minorEastAsia" w:hint="eastAsia"/>
              <w:kern w:val="44"/>
            </w:rPr>
            <w:t>审议</w:t>
          </w:r>
          <w:r>
            <w:rPr>
              <w:rFonts w:asciiTheme="minorEastAsia" w:eastAsiaTheme="minorEastAsia" w:hAnsiTheme="minorEastAsia" w:hint="eastAsia"/>
            </w:rPr>
            <w:t>批准，37名激励对象因离职、个人绩效等原因，公司注销股票期权2,831,720份，经调整后，已获授但尚未行权的期权数</w:t>
          </w:r>
          <w:r>
            <w:rPr>
              <w:rFonts w:asciiTheme="minorEastAsia" w:eastAsiaTheme="minorEastAsia" w:hAnsiTheme="minorEastAsia" w:hint="eastAsia"/>
            </w:rPr>
            <w:lastRenderedPageBreak/>
            <w:t>量由28,836,800份调整为26,005,080份。由于公司于等待期内进行了分红派息，公司董事会对期权激励计划的行权价格进行调整，本次调整后的股票期权行权价格为6.52元/份。</w:t>
          </w:r>
        </w:p>
        <w:p w14:paraId="6DD20E87" w14:textId="77777777" w:rsidR="00B201D3" w:rsidRDefault="009855E8" w:rsidP="00657056">
          <w:pPr>
            <w:ind w:firstLine="420"/>
            <w:jc w:val="both"/>
            <w:rPr>
              <w:rFonts w:asciiTheme="minorEastAsia" w:eastAsiaTheme="minorEastAsia" w:hAnsiTheme="minorEastAsia"/>
            </w:rPr>
          </w:pPr>
          <w:r>
            <w:rPr>
              <w:rFonts w:asciiTheme="minorEastAsia" w:eastAsiaTheme="minorEastAsia" w:hAnsiTheme="minorEastAsia" w:hint="eastAsia"/>
            </w:rPr>
            <w:t>经2022年4月29日召开的公司第八届董事会第二十二次会议</w:t>
          </w:r>
          <w:r>
            <w:rPr>
              <w:rFonts w:asciiTheme="minorEastAsia" w:eastAsiaTheme="minorEastAsia" w:hAnsiTheme="minorEastAsia" w:hint="eastAsia"/>
              <w:kern w:val="44"/>
            </w:rPr>
            <w:t>审议</w:t>
          </w:r>
          <w:r>
            <w:rPr>
              <w:rFonts w:asciiTheme="minorEastAsia" w:eastAsiaTheme="minorEastAsia" w:hAnsiTheme="minorEastAsia" w:hint="eastAsia"/>
            </w:rPr>
            <w:t>批准，6名激励对象因离职等原因，公司注销股票期权210,300份。经调整后，已获授但尚未行权的期权数量由13,225,500份调整为13,015,200份。</w:t>
          </w:r>
        </w:p>
        <w:p w14:paraId="2E8433CD" w14:textId="77777777" w:rsidR="00B201D3" w:rsidRDefault="009855E8" w:rsidP="00657056">
          <w:pPr>
            <w:ind w:firstLine="420"/>
            <w:jc w:val="both"/>
            <w:rPr>
              <w:rFonts w:asciiTheme="minorEastAsia" w:eastAsiaTheme="minorEastAsia" w:hAnsiTheme="minorEastAsia"/>
            </w:rPr>
          </w:pPr>
          <w:r>
            <w:rPr>
              <w:rFonts w:asciiTheme="minorEastAsia" w:eastAsiaTheme="minorEastAsia" w:hAnsiTheme="minorEastAsia" w:hint="eastAsia"/>
            </w:rPr>
            <w:t>经2023年4月24日召开的第八届董事会第二十八次会议审议批准，12名激励对象因离职、个人绩效等原因，公司注销股票期权358,360份。经调整，已获授但尚未行权的期权数量由13,015,200份调整为12,656,840份。由于公司于等待期内进行了分红派息，公司董事会对期权激励计划的行权价格进行调整，本次调整后的股票期权行权价格为4.52元/份。</w:t>
          </w:r>
        </w:p>
        <w:p w14:paraId="20C40289" w14:textId="77777777" w:rsidR="00B201D3" w:rsidRDefault="009855E8" w:rsidP="00657056">
          <w:pPr>
            <w:ind w:firstLine="420"/>
            <w:jc w:val="both"/>
            <w:rPr>
              <w:rFonts w:asciiTheme="minorEastAsia" w:eastAsiaTheme="minorEastAsia" w:hAnsiTheme="minorEastAsia"/>
            </w:rPr>
          </w:pPr>
          <w:r>
            <w:rPr>
              <w:rFonts w:asciiTheme="minorEastAsia" w:eastAsiaTheme="minorEastAsia" w:hAnsiTheme="minorEastAsia" w:hint="eastAsia"/>
            </w:rPr>
            <w:t>（三）所得款项使用情况</w:t>
          </w:r>
        </w:p>
        <w:p w14:paraId="1AA20B0D" w14:textId="77777777" w:rsidR="00B201D3" w:rsidRDefault="009855E8" w:rsidP="00657056">
          <w:pPr>
            <w:ind w:firstLineChars="200" w:firstLine="420"/>
            <w:jc w:val="both"/>
            <w:rPr>
              <w:rFonts w:asciiTheme="minorEastAsia" w:eastAsiaTheme="minorEastAsia" w:hAnsiTheme="minorEastAsia"/>
            </w:rPr>
          </w:pPr>
          <w:r>
            <w:rPr>
              <w:rFonts w:asciiTheme="minorEastAsia" w:eastAsiaTheme="minorEastAsia" w:hAnsiTheme="minorEastAsia" w:hint="eastAsia"/>
            </w:rPr>
            <w:t>行权所得款项合计人民币24,719.59万元,用于补充公司营运资金。</w:t>
          </w:r>
        </w:p>
        <w:p w14:paraId="558EBDEC" w14:textId="77777777" w:rsidR="00B201D3" w:rsidRDefault="009855E8" w:rsidP="00657056">
          <w:pPr>
            <w:ind w:firstLine="420"/>
            <w:jc w:val="both"/>
            <w:rPr>
              <w:rFonts w:asciiTheme="minorEastAsia" w:eastAsiaTheme="minorEastAsia" w:hAnsiTheme="minorEastAsia"/>
              <w:b/>
            </w:rPr>
          </w:pPr>
          <w:r>
            <w:rPr>
              <w:rFonts w:asciiTheme="minorEastAsia" w:eastAsiaTheme="minorEastAsia" w:hAnsiTheme="minorEastAsia" w:hint="eastAsia"/>
              <w:b/>
            </w:rPr>
            <w:t xml:space="preserve"> </w:t>
          </w:r>
        </w:p>
        <w:p w14:paraId="6018FC85" w14:textId="77777777" w:rsidR="00B201D3" w:rsidRDefault="009855E8">
          <w:pPr>
            <w:ind w:firstLine="420"/>
            <w:rPr>
              <w:rFonts w:asciiTheme="minorEastAsia" w:eastAsiaTheme="minorEastAsia" w:hAnsiTheme="minorEastAsia"/>
              <w:b/>
              <w:bCs/>
            </w:rPr>
          </w:pPr>
          <w:r>
            <w:rPr>
              <w:rFonts w:asciiTheme="minorEastAsia" w:eastAsiaTheme="minorEastAsia" w:hAnsiTheme="minorEastAsia" w:hint="eastAsia"/>
              <w:b/>
              <w:bCs/>
            </w:rPr>
            <w:t>2021年A股限制性股票激励计划</w:t>
          </w:r>
        </w:p>
        <w:p w14:paraId="399C68D6" w14:textId="77777777" w:rsidR="00B201D3" w:rsidRDefault="009855E8">
          <w:pPr>
            <w:ind w:firstLine="420"/>
            <w:rPr>
              <w:rFonts w:asciiTheme="minorEastAsia" w:eastAsiaTheme="minorEastAsia" w:hAnsiTheme="minorEastAsia"/>
              <w:b/>
              <w:bCs/>
            </w:rPr>
          </w:pPr>
          <w:r>
            <w:rPr>
              <w:rFonts w:asciiTheme="minorEastAsia" w:eastAsiaTheme="minorEastAsia" w:hAnsiTheme="minorEastAsia" w:hint="eastAsia"/>
              <w:b/>
              <w:bCs/>
            </w:rPr>
            <w:t xml:space="preserve"> </w:t>
          </w:r>
        </w:p>
        <w:p w14:paraId="406EB082" w14:textId="77777777" w:rsidR="00B201D3" w:rsidRDefault="009855E8">
          <w:pPr>
            <w:ind w:firstLine="420"/>
            <w:rPr>
              <w:rFonts w:asciiTheme="minorEastAsia" w:eastAsiaTheme="minorEastAsia" w:hAnsiTheme="minorEastAsia"/>
              <w:b/>
              <w:bCs/>
            </w:rPr>
          </w:pPr>
          <w:r>
            <w:rPr>
              <w:rFonts w:asciiTheme="minorEastAsia" w:eastAsiaTheme="minorEastAsia" w:hAnsiTheme="minorEastAsia" w:hint="eastAsia"/>
            </w:rPr>
            <w:t>激励方式：限制性股票</w:t>
          </w:r>
        </w:p>
        <w:p w14:paraId="7176521A" w14:textId="77777777" w:rsidR="00B201D3" w:rsidRDefault="009855E8">
          <w:pPr>
            <w:ind w:firstLine="420"/>
            <w:rPr>
              <w:rFonts w:asciiTheme="minorEastAsia" w:eastAsiaTheme="minorEastAsia" w:hAnsiTheme="minorEastAsia"/>
              <w:kern w:val="2"/>
            </w:rPr>
          </w:pPr>
          <w:r>
            <w:rPr>
              <w:rFonts w:asciiTheme="minorEastAsia" w:eastAsiaTheme="minorEastAsia" w:hAnsiTheme="minorEastAsia" w:hint="eastAsia"/>
            </w:rPr>
            <w:t>标的股票</w:t>
          </w:r>
          <w:r>
            <w:rPr>
              <w:rFonts w:asciiTheme="minorEastAsia" w:eastAsiaTheme="minorEastAsia" w:hAnsiTheme="minorEastAsia" w:hint="eastAsia"/>
              <w:kern w:val="2"/>
            </w:rPr>
            <w:t>来源：向激励对象发行股份</w:t>
          </w:r>
        </w:p>
        <w:p w14:paraId="63389858" w14:textId="77777777" w:rsidR="00B201D3" w:rsidRDefault="009855E8">
          <w:pPr>
            <w:ind w:firstLineChars="200" w:firstLine="420"/>
            <w:rPr>
              <w:rFonts w:asciiTheme="minorEastAsia" w:eastAsiaTheme="minorEastAsia" w:hAnsiTheme="minorEastAsia"/>
              <w:kern w:val="2"/>
            </w:rPr>
          </w:pPr>
          <w:r>
            <w:rPr>
              <w:rFonts w:asciiTheme="minorEastAsia" w:eastAsiaTheme="minorEastAsia" w:hAnsiTheme="minorEastAsia" w:hint="eastAsia"/>
              <w:kern w:val="2"/>
            </w:rPr>
            <w:t>权益工具公允价值的计量方法、参数的选取标准及结果</w:t>
          </w:r>
        </w:p>
        <w:p w14:paraId="0D394D33" w14:textId="77777777" w:rsidR="00B201D3" w:rsidRDefault="00B201D3">
          <w:pPr>
            <w:ind w:firstLineChars="200" w:firstLine="420"/>
            <w:rPr>
              <w:kern w:val="2"/>
            </w:rPr>
          </w:pPr>
        </w:p>
        <w:tbl>
          <w:tblPr>
            <w:tblStyle w:val="g6"/>
            <w:tblW w:w="0" w:type="auto"/>
            <w:tblLook w:val="04A0" w:firstRow="1" w:lastRow="0" w:firstColumn="1" w:lastColumn="0" w:noHBand="0" w:noVBand="1"/>
          </w:tblPr>
          <w:tblGrid>
            <w:gridCol w:w="668"/>
            <w:gridCol w:w="8155"/>
          </w:tblGrid>
          <w:tr w:rsidR="00B201D3" w14:paraId="3AA1DB77" w14:textId="77777777">
            <w:tc>
              <w:tcPr>
                <w:tcW w:w="675" w:type="dxa"/>
                <w:tcBorders>
                  <w:top w:val="single" w:sz="4" w:space="0" w:color="auto"/>
                  <w:left w:val="single" w:sz="4" w:space="0" w:color="auto"/>
                  <w:bottom w:val="single" w:sz="4" w:space="0" w:color="auto"/>
                  <w:right w:val="single" w:sz="4" w:space="0" w:color="auto"/>
                </w:tcBorders>
                <w:vAlign w:val="center"/>
              </w:tcPr>
              <w:p w14:paraId="6A536036" w14:textId="77777777" w:rsidR="00B201D3" w:rsidRDefault="009855E8">
                <w:pPr>
                  <w:rPr>
                    <w:rFonts w:asciiTheme="minorEastAsia" w:eastAsiaTheme="minorEastAsia" w:hAnsiTheme="minorEastAsia"/>
                    <w:kern w:val="2"/>
                  </w:rPr>
                </w:pPr>
                <w:r>
                  <w:rPr>
                    <w:rFonts w:asciiTheme="minorEastAsia" w:eastAsiaTheme="minorEastAsia" w:hAnsiTheme="minorEastAsia" w:hint="eastAsia"/>
                    <w:kern w:val="2"/>
                  </w:rPr>
                  <w:t>计量方法</w:t>
                </w:r>
              </w:p>
            </w:tc>
            <w:tc>
              <w:tcPr>
                <w:tcW w:w="8374" w:type="dxa"/>
                <w:tcBorders>
                  <w:top w:val="single" w:sz="4" w:space="0" w:color="auto"/>
                  <w:left w:val="single" w:sz="4" w:space="0" w:color="auto"/>
                  <w:bottom w:val="single" w:sz="4" w:space="0" w:color="auto"/>
                  <w:right w:val="single" w:sz="4" w:space="0" w:color="auto"/>
                </w:tcBorders>
                <w:vAlign w:val="center"/>
              </w:tcPr>
              <w:p w14:paraId="1B9EEAC9" w14:textId="77777777" w:rsidR="00B201D3" w:rsidRDefault="009855E8">
                <w:pPr>
                  <w:rPr>
                    <w:rFonts w:asciiTheme="minorEastAsia" w:eastAsiaTheme="minorEastAsia" w:hAnsiTheme="minorEastAsia"/>
                    <w:kern w:val="2"/>
                  </w:rPr>
                </w:pPr>
                <w:r>
                  <w:rPr>
                    <w:rFonts w:asciiTheme="minorEastAsia" w:eastAsiaTheme="minorEastAsia" w:hAnsiTheme="minorEastAsia" w:hint="eastAsia"/>
                    <w:kern w:val="2"/>
                  </w:rPr>
                  <w:t>根据《企业会计准则第11号——股份支付》，公司以授予日股票收盘价与授予价格之间的差额作为每股限制性股票的股份支付成本，并将最终确认本激励计划的股份支付费用。</w:t>
                </w:r>
              </w:p>
            </w:tc>
          </w:tr>
          <w:tr w:rsidR="00B201D3" w14:paraId="34BFBD17" w14:textId="77777777">
            <w:tc>
              <w:tcPr>
                <w:tcW w:w="675" w:type="dxa"/>
                <w:tcBorders>
                  <w:top w:val="single" w:sz="4" w:space="0" w:color="auto"/>
                  <w:left w:val="single" w:sz="4" w:space="0" w:color="auto"/>
                  <w:bottom w:val="single" w:sz="4" w:space="0" w:color="auto"/>
                  <w:right w:val="single" w:sz="4" w:space="0" w:color="auto"/>
                </w:tcBorders>
                <w:vAlign w:val="center"/>
              </w:tcPr>
              <w:p w14:paraId="6E6D31C7" w14:textId="77777777" w:rsidR="00B201D3" w:rsidRDefault="009855E8">
                <w:pPr>
                  <w:rPr>
                    <w:rFonts w:asciiTheme="minorEastAsia" w:eastAsiaTheme="minorEastAsia" w:hAnsiTheme="minorEastAsia"/>
                    <w:kern w:val="2"/>
                  </w:rPr>
                </w:pPr>
                <w:r>
                  <w:rPr>
                    <w:rFonts w:asciiTheme="minorEastAsia" w:eastAsiaTheme="minorEastAsia" w:hAnsiTheme="minorEastAsia" w:hint="eastAsia"/>
                    <w:kern w:val="2"/>
                  </w:rPr>
                  <w:t>参数名称</w:t>
                </w:r>
              </w:p>
            </w:tc>
            <w:tc>
              <w:tcPr>
                <w:tcW w:w="8374" w:type="dxa"/>
                <w:tcBorders>
                  <w:top w:val="single" w:sz="4" w:space="0" w:color="auto"/>
                  <w:left w:val="single" w:sz="4" w:space="0" w:color="auto"/>
                  <w:bottom w:val="single" w:sz="4" w:space="0" w:color="auto"/>
                  <w:right w:val="single" w:sz="4" w:space="0" w:color="auto"/>
                </w:tcBorders>
                <w:vAlign w:val="center"/>
              </w:tcPr>
              <w:p w14:paraId="6E1B9F6B" w14:textId="77777777" w:rsidR="00B201D3" w:rsidRDefault="009855E8">
                <w:pPr>
                  <w:rPr>
                    <w:rFonts w:asciiTheme="minorEastAsia" w:eastAsiaTheme="minorEastAsia" w:hAnsiTheme="minorEastAsia"/>
                    <w:kern w:val="2"/>
                  </w:rPr>
                </w:pPr>
                <w:r>
                  <w:rPr>
                    <w:rFonts w:asciiTheme="minorEastAsia" w:eastAsiaTheme="minorEastAsia" w:hAnsiTheme="minorEastAsia" w:hint="eastAsia"/>
                    <w:kern w:val="2"/>
                  </w:rPr>
                  <w:t>授予日股票收盘价、授予价格。</w:t>
                </w:r>
              </w:p>
            </w:tc>
          </w:tr>
          <w:tr w:rsidR="00B201D3" w14:paraId="27ABD14F" w14:textId="77777777">
            <w:tc>
              <w:tcPr>
                <w:tcW w:w="675" w:type="dxa"/>
                <w:tcBorders>
                  <w:top w:val="single" w:sz="4" w:space="0" w:color="auto"/>
                  <w:left w:val="single" w:sz="4" w:space="0" w:color="auto"/>
                  <w:bottom w:val="single" w:sz="4" w:space="0" w:color="auto"/>
                  <w:right w:val="single" w:sz="4" w:space="0" w:color="auto"/>
                </w:tcBorders>
                <w:vAlign w:val="center"/>
              </w:tcPr>
              <w:p w14:paraId="3AC5E084" w14:textId="77777777" w:rsidR="00B201D3" w:rsidRDefault="009855E8">
                <w:pPr>
                  <w:rPr>
                    <w:rFonts w:asciiTheme="minorEastAsia" w:eastAsiaTheme="minorEastAsia" w:hAnsiTheme="minorEastAsia"/>
                    <w:kern w:val="2"/>
                  </w:rPr>
                </w:pPr>
                <w:r>
                  <w:rPr>
                    <w:rFonts w:asciiTheme="minorEastAsia" w:eastAsiaTheme="minorEastAsia" w:hAnsiTheme="minorEastAsia" w:hint="eastAsia"/>
                    <w:kern w:val="2"/>
                  </w:rPr>
                  <w:t>计量结果</w:t>
                </w:r>
              </w:p>
            </w:tc>
            <w:tc>
              <w:tcPr>
                <w:tcW w:w="8374" w:type="dxa"/>
                <w:tcBorders>
                  <w:top w:val="single" w:sz="4" w:space="0" w:color="auto"/>
                  <w:left w:val="single" w:sz="4" w:space="0" w:color="auto"/>
                  <w:bottom w:val="single" w:sz="4" w:space="0" w:color="auto"/>
                  <w:right w:val="single" w:sz="4" w:space="0" w:color="auto"/>
                </w:tcBorders>
                <w:vAlign w:val="center"/>
              </w:tcPr>
              <w:p w14:paraId="5442F487" w14:textId="77777777" w:rsidR="00B201D3" w:rsidRDefault="009855E8">
                <w:pPr>
                  <w:rPr>
                    <w:rFonts w:asciiTheme="minorEastAsia" w:eastAsiaTheme="minorEastAsia" w:hAnsiTheme="minorEastAsia"/>
                    <w:kern w:val="2"/>
                  </w:rPr>
                </w:pPr>
                <w:r>
                  <w:rPr>
                    <w:rFonts w:asciiTheme="minorEastAsia" w:eastAsiaTheme="minorEastAsia" w:hAnsiTheme="minorEastAsia" w:hint="eastAsia"/>
                    <w:kern w:val="2"/>
                  </w:rPr>
                  <w:t>每股限制性股票的公允价值为12.80元。</w:t>
                </w:r>
              </w:p>
            </w:tc>
          </w:tr>
        </w:tbl>
        <w:p w14:paraId="05899D9E" w14:textId="77777777" w:rsidR="00B201D3" w:rsidRDefault="009855E8">
          <w:pPr>
            <w:pStyle w:val="3903"/>
            <w:rPr>
              <w:kern w:val="2"/>
            </w:rPr>
          </w:pPr>
          <w:r>
            <w:rPr>
              <w:rFonts w:hint="eastAsia"/>
              <w:kern w:val="2"/>
            </w:rPr>
            <w:t xml:space="preserve"> </w:t>
          </w:r>
        </w:p>
        <w:p w14:paraId="0B7068AE" w14:textId="73485F53" w:rsidR="00B201D3" w:rsidRDefault="009855E8" w:rsidP="00657056">
          <w:pPr>
            <w:ind w:firstLine="420"/>
            <w:jc w:val="both"/>
            <w:rPr>
              <w:rFonts w:asciiTheme="minorEastAsia" w:eastAsiaTheme="minorEastAsia" w:hAnsiTheme="minorEastAsia"/>
            </w:rPr>
          </w:pPr>
          <w:r>
            <w:rPr>
              <w:rFonts w:asciiTheme="minorEastAsia" w:eastAsiaTheme="minorEastAsia" w:hAnsiTheme="minorEastAsia" w:hint="eastAsia"/>
              <w:kern w:val="2"/>
            </w:rPr>
            <w:t>经2022年1月27日召开</w:t>
          </w:r>
          <w:r w:rsidR="00431878">
            <w:rPr>
              <w:rFonts w:asciiTheme="minorEastAsia" w:eastAsiaTheme="minorEastAsia" w:hAnsiTheme="minorEastAsia" w:hint="eastAsia"/>
              <w:kern w:val="2"/>
            </w:rPr>
            <w:t>的</w:t>
          </w:r>
          <w:r>
            <w:rPr>
              <w:rFonts w:asciiTheme="minorEastAsia" w:eastAsiaTheme="minorEastAsia" w:hAnsiTheme="minorEastAsia" w:hint="eastAsia"/>
              <w:kern w:val="2"/>
            </w:rPr>
            <w:t>公司2022年度第一次临时股东大会、第一次A股类别股东大会、第一次H股类别股东大会及第八届董事会第二十次会议批准</w:t>
          </w:r>
          <w:r>
            <w:rPr>
              <w:rFonts w:asciiTheme="minorEastAsia" w:eastAsiaTheme="minorEastAsia" w:hAnsiTheme="minorEastAsia" w:hint="eastAsia"/>
            </w:rPr>
            <w:t>，公司根据2021年A股限制性股票激励计划（“限制性股票激励计划”）向激励对象授出限制性股票。截至2</w:t>
          </w:r>
          <w:r>
            <w:rPr>
              <w:rFonts w:asciiTheme="minorEastAsia" w:eastAsiaTheme="minorEastAsia" w:hAnsiTheme="minorEastAsia"/>
            </w:rPr>
            <w:t>023</w:t>
          </w:r>
          <w:r>
            <w:rPr>
              <w:rFonts w:asciiTheme="minorEastAsia" w:eastAsiaTheme="minorEastAsia" w:hAnsiTheme="minorEastAsia" w:hint="eastAsia"/>
            </w:rPr>
            <w:t>年6月3</w:t>
          </w:r>
          <w:r>
            <w:rPr>
              <w:rFonts w:asciiTheme="minorEastAsia" w:eastAsiaTheme="minorEastAsia" w:hAnsiTheme="minorEastAsia"/>
            </w:rPr>
            <w:t>0</w:t>
          </w:r>
          <w:r>
            <w:rPr>
              <w:rFonts w:asciiTheme="minorEastAsia" w:eastAsiaTheme="minorEastAsia" w:hAnsiTheme="minorEastAsia" w:hint="eastAsia"/>
            </w:rPr>
            <w:t>日限制性股票授予情况如下表：</w:t>
          </w:r>
        </w:p>
        <w:p w14:paraId="726C8A1D" w14:textId="77777777" w:rsidR="00B201D3" w:rsidRDefault="009855E8">
          <w:pPr>
            <w:kinsoku w:val="0"/>
            <w:overflowPunct w:val="0"/>
            <w:autoSpaceDE w:val="0"/>
            <w:autoSpaceDN w:val="0"/>
            <w:adjustRightInd w:val="0"/>
            <w:snapToGrid w:val="0"/>
            <w:jc w:val="right"/>
            <w:rPr>
              <w:rFonts w:asciiTheme="minorEastAsia" w:eastAsiaTheme="minorEastAsia" w:hAnsiTheme="minorEastAsia"/>
            </w:rPr>
          </w:pPr>
          <w:r>
            <w:rPr>
              <w:rFonts w:asciiTheme="minorEastAsia" w:eastAsiaTheme="minorEastAsia" w:hAnsiTheme="minorEastAsia" w:hint="eastAsia"/>
            </w:rPr>
            <w:t>单位:万股</w:t>
          </w:r>
        </w:p>
        <w:tbl>
          <w:tblPr>
            <w:tblStyle w:val="g13"/>
            <w:tblW w:w="5000" w:type="pct"/>
            <w:tblLayout w:type="fixed"/>
            <w:tblLook w:val="04A0" w:firstRow="1" w:lastRow="0" w:firstColumn="1" w:lastColumn="0" w:noHBand="0" w:noVBand="1"/>
          </w:tblPr>
          <w:tblGrid>
            <w:gridCol w:w="931"/>
            <w:gridCol w:w="1386"/>
            <w:gridCol w:w="1107"/>
            <w:gridCol w:w="1155"/>
            <w:gridCol w:w="874"/>
            <w:gridCol w:w="874"/>
            <w:gridCol w:w="746"/>
            <w:gridCol w:w="875"/>
            <w:gridCol w:w="875"/>
          </w:tblGrid>
          <w:tr w:rsidR="00B201D3" w14:paraId="7EEF7DA8" w14:textId="77777777">
            <w:tc>
              <w:tcPr>
                <w:tcW w:w="527" w:type="pct"/>
                <w:tcBorders>
                  <w:top w:val="single" w:sz="4" w:space="0" w:color="auto"/>
                  <w:left w:val="single" w:sz="4" w:space="0" w:color="auto"/>
                  <w:bottom w:val="single" w:sz="4" w:space="0" w:color="auto"/>
                  <w:right w:val="single" w:sz="4" w:space="0" w:color="auto"/>
                </w:tcBorders>
                <w:vAlign w:val="center"/>
              </w:tcPr>
              <w:p w14:paraId="48FB6F7F"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hint="eastAsia"/>
                  </w:rPr>
                  <w:t>姓名</w:t>
                </w:r>
              </w:p>
            </w:tc>
            <w:tc>
              <w:tcPr>
                <w:tcW w:w="784" w:type="pct"/>
                <w:tcBorders>
                  <w:top w:val="single" w:sz="4" w:space="0" w:color="auto"/>
                  <w:left w:val="single" w:sz="4" w:space="0" w:color="auto"/>
                  <w:bottom w:val="single" w:sz="4" w:space="0" w:color="auto"/>
                  <w:right w:val="single" w:sz="4" w:space="0" w:color="auto"/>
                </w:tcBorders>
                <w:vAlign w:val="center"/>
              </w:tcPr>
              <w:p w14:paraId="70F149CE"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hint="eastAsia"/>
                  </w:rPr>
                  <w:t>职务</w:t>
                </w:r>
              </w:p>
            </w:tc>
            <w:tc>
              <w:tcPr>
                <w:tcW w:w="627" w:type="pct"/>
                <w:tcBorders>
                  <w:top w:val="single" w:sz="4" w:space="0" w:color="auto"/>
                  <w:left w:val="single" w:sz="4" w:space="0" w:color="auto"/>
                  <w:bottom w:val="single" w:sz="4" w:space="0" w:color="auto"/>
                  <w:right w:val="single" w:sz="4" w:space="0" w:color="auto"/>
                </w:tcBorders>
                <w:vAlign w:val="center"/>
              </w:tcPr>
              <w:p w14:paraId="73A94889"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hint="eastAsia"/>
                  </w:rPr>
                  <w:t>年初持有限制性股票数量</w:t>
                </w:r>
              </w:p>
            </w:tc>
            <w:tc>
              <w:tcPr>
                <w:tcW w:w="654" w:type="pct"/>
                <w:tcBorders>
                  <w:top w:val="single" w:sz="4" w:space="0" w:color="auto"/>
                  <w:left w:val="single" w:sz="4" w:space="0" w:color="auto"/>
                  <w:bottom w:val="single" w:sz="4" w:space="0" w:color="auto"/>
                  <w:right w:val="single" w:sz="4" w:space="0" w:color="auto"/>
                </w:tcBorders>
                <w:vAlign w:val="center"/>
              </w:tcPr>
              <w:p w14:paraId="4050B4C4"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hint="eastAsia"/>
                  </w:rPr>
                  <w:t>新授予限制性股票数量</w:t>
                </w:r>
              </w:p>
            </w:tc>
            <w:tc>
              <w:tcPr>
                <w:tcW w:w="495" w:type="pct"/>
                <w:tcBorders>
                  <w:top w:val="single" w:sz="4" w:space="0" w:color="auto"/>
                  <w:left w:val="single" w:sz="4" w:space="0" w:color="auto"/>
                  <w:bottom w:val="single" w:sz="4" w:space="0" w:color="auto"/>
                  <w:right w:val="single" w:sz="4" w:space="0" w:color="auto"/>
                </w:tcBorders>
                <w:vAlign w:val="center"/>
              </w:tcPr>
              <w:p w14:paraId="7333ACED"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hint="eastAsia"/>
                  </w:rPr>
                  <w:t>限制性股票的授予价格</w:t>
                </w:r>
              </w:p>
              <w:p w14:paraId="207DE541" w14:textId="0A0BF75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hint="eastAsia"/>
                  </w:rPr>
                  <w:t>（元</w:t>
                </w:r>
                <w:r w:rsidR="00431878">
                  <w:rPr>
                    <w:rFonts w:asciiTheme="minorEastAsia" w:eastAsiaTheme="minorEastAsia" w:hAnsiTheme="minorEastAsia" w:hint="eastAsia"/>
                  </w:rPr>
                  <w:t>/股</w:t>
                </w:r>
                <w:r>
                  <w:rPr>
                    <w:rFonts w:asciiTheme="minorEastAsia" w:eastAsiaTheme="minorEastAsia" w:hAnsiTheme="minorEastAsia" w:hint="eastAsia"/>
                  </w:rPr>
                  <w:t>）</w:t>
                </w:r>
              </w:p>
            </w:tc>
            <w:tc>
              <w:tcPr>
                <w:tcW w:w="495" w:type="pct"/>
                <w:tcBorders>
                  <w:top w:val="single" w:sz="4" w:space="0" w:color="auto"/>
                  <w:left w:val="single" w:sz="4" w:space="0" w:color="auto"/>
                  <w:bottom w:val="single" w:sz="4" w:space="0" w:color="auto"/>
                  <w:right w:val="single" w:sz="4" w:space="0" w:color="auto"/>
                </w:tcBorders>
                <w:vAlign w:val="center"/>
              </w:tcPr>
              <w:p w14:paraId="18D0AA7C"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hint="eastAsia"/>
                  </w:rPr>
                  <w:t>已解锁股份</w:t>
                </w:r>
              </w:p>
            </w:tc>
            <w:tc>
              <w:tcPr>
                <w:tcW w:w="423" w:type="pct"/>
                <w:tcBorders>
                  <w:top w:val="single" w:sz="4" w:space="0" w:color="auto"/>
                  <w:left w:val="single" w:sz="4" w:space="0" w:color="auto"/>
                  <w:bottom w:val="single" w:sz="4" w:space="0" w:color="auto"/>
                  <w:right w:val="single" w:sz="4" w:space="0" w:color="auto"/>
                </w:tcBorders>
                <w:vAlign w:val="center"/>
              </w:tcPr>
              <w:p w14:paraId="18290F8C"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hint="eastAsia"/>
                  </w:rPr>
                  <w:t>未解锁股份</w:t>
                </w:r>
              </w:p>
            </w:tc>
            <w:tc>
              <w:tcPr>
                <w:tcW w:w="496" w:type="pct"/>
                <w:tcBorders>
                  <w:top w:val="single" w:sz="4" w:space="0" w:color="auto"/>
                  <w:left w:val="single" w:sz="4" w:space="0" w:color="auto"/>
                  <w:bottom w:val="single" w:sz="4" w:space="0" w:color="auto"/>
                  <w:right w:val="single" w:sz="4" w:space="0" w:color="auto"/>
                </w:tcBorders>
                <w:vAlign w:val="center"/>
              </w:tcPr>
              <w:p w14:paraId="7A461FAF"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hint="eastAsia"/>
                  </w:rPr>
                  <w:t>期末持有</w:t>
                </w:r>
              </w:p>
              <w:p w14:paraId="6F3A74C2"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hint="eastAsia"/>
                  </w:rPr>
                  <w:t>限制性</w:t>
                </w:r>
              </w:p>
              <w:p w14:paraId="309E1DCE"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hint="eastAsia"/>
                  </w:rPr>
                  <w:t>股票数量</w:t>
                </w:r>
              </w:p>
            </w:tc>
            <w:tc>
              <w:tcPr>
                <w:tcW w:w="496" w:type="pct"/>
                <w:tcBorders>
                  <w:top w:val="single" w:sz="4" w:space="0" w:color="auto"/>
                  <w:left w:val="single" w:sz="4" w:space="0" w:color="auto"/>
                  <w:bottom w:val="single" w:sz="4" w:space="0" w:color="auto"/>
                  <w:right w:val="single" w:sz="4" w:space="0" w:color="auto"/>
                </w:tcBorders>
                <w:vAlign w:val="center"/>
              </w:tcPr>
              <w:p w14:paraId="3CEA2DE5" w14:textId="456BA3FE"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hint="eastAsia"/>
                  </w:rPr>
                  <w:t>报告期末市价（元</w:t>
                </w:r>
                <w:r w:rsidR="00431878">
                  <w:rPr>
                    <w:rFonts w:asciiTheme="minorEastAsia" w:eastAsiaTheme="minorEastAsia" w:hAnsiTheme="minorEastAsia" w:hint="eastAsia"/>
                  </w:rPr>
                  <w:t>/股</w:t>
                </w:r>
                <w:r>
                  <w:rPr>
                    <w:rFonts w:asciiTheme="minorEastAsia" w:eastAsiaTheme="minorEastAsia" w:hAnsiTheme="minorEastAsia" w:hint="eastAsia"/>
                  </w:rPr>
                  <w:t>）</w:t>
                </w:r>
              </w:p>
            </w:tc>
          </w:tr>
          <w:tr w:rsidR="00B201D3" w14:paraId="78446264" w14:textId="77777777">
            <w:tc>
              <w:tcPr>
                <w:tcW w:w="527" w:type="pct"/>
                <w:tcBorders>
                  <w:top w:val="single" w:sz="4" w:space="0" w:color="auto"/>
                  <w:left w:val="single" w:sz="4" w:space="0" w:color="auto"/>
                  <w:bottom w:val="single" w:sz="4" w:space="0" w:color="auto"/>
                  <w:right w:val="single" w:sz="4" w:space="0" w:color="auto"/>
                </w:tcBorders>
                <w:vAlign w:val="center"/>
              </w:tcPr>
              <w:p w14:paraId="44B4A392"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kern w:val="2"/>
                  </w:rPr>
                </w:pPr>
                <w:r>
                  <w:rPr>
                    <w:rFonts w:asciiTheme="minorEastAsia" w:eastAsiaTheme="minorEastAsia" w:hAnsiTheme="minorEastAsia" w:hint="eastAsia"/>
                  </w:rPr>
                  <w:t>肖耀猛</w:t>
                </w:r>
              </w:p>
            </w:tc>
            <w:tc>
              <w:tcPr>
                <w:tcW w:w="784" w:type="pct"/>
                <w:tcBorders>
                  <w:top w:val="single" w:sz="4" w:space="0" w:color="auto"/>
                  <w:left w:val="single" w:sz="4" w:space="0" w:color="auto"/>
                  <w:bottom w:val="single" w:sz="4" w:space="0" w:color="auto"/>
                  <w:right w:val="single" w:sz="4" w:space="0" w:color="auto"/>
                </w:tcBorders>
                <w:vAlign w:val="center"/>
              </w:tcPr>
              <w:p w14:paraId="60F3F686"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hint="eastAsia"/>
                  </w:rPr>
                  <w:t>董事、高管</w:t>
                </w:r>
              </w:p>
            </w:tc>
            <w:tc>
              <w:tcPr>
                <w:tcW w:w="627" w:type="pct"/>
                <w:tcBorders>
                  <w:top w:val="single" w:sz="4" w:space="0" w:color="auto"/>
                  <w:left w:val="single" w:sz="4" w:space="0" w:color="auto"/>
                  <w:bottom w:val="single" w:sz="4" w:space="0" w:color="auto"/>
                  <w:right w:val="single" w:sz="4" w:space="0" w:color="auto"/>
                </w:tcBorders>
                <w:vAlign w:val="center"/>
              </w:tcPr>
              <w:p w14:paraId="0A454E65"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hint="eastAsia"/>
                  </w:rPr>
                  <w:t>20</w:t>
                </w:r>
              </w:p>
            </w:tc>
            <w:tc>
              <w:tcPr>
                <w:tcW w:w="654" w:type="pct"/>
                <w:tcBorders>
                  <w:top w:val="single" w:sz="4" w:space="0" w:color="auto"/>
                  <w:left w:val="single" w:sz="4" w:space="0" w:color="auto"/>
                  <w:bottom w:val="single" w:sz="4" w:space="0" w:color="auto"/>
                  <w:right w:val="single" w:sz="4" w:space="0" w:color="auto"/>
                </w:tcBorders>
                <w:vAlign w:val="center"/>
              </w:tcPr>
              <w:p w14:paraId="1FDD38C2"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hint="eastAsia"/>
                  </w:rPr>
                  <w:t>0</w:t>
                </w:r>
              </w:p>
            </w:tc>
            <w:tc>
              <w:tcPr>
                <w:tcW w:w="495" w:type="pct"/>
                <w:tcBorders>
                  <w:top w:val="single" w:sz="4" w:space="0" w:color="auto"/>
                  <w:left w:val="single" w:sz="4" w:space="0" w:color="auto"/>
                  <w:bottom w:val="single" w:sz="4" w:space="0" w:color="auto"/>
                  <w:right w:val="single" w:sz="4" w:space="0" w:color="auto"/>
                </w:tcBorders>
                <w:vAlign w:val="center"/>
              </w:tcPr>
              <w:p w14:paraId="04D72992"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hint="eastAsia"/>
                  </w:rPr>
                  <w:t>11.72</w:t>
                </w:r>
              </w:p>
            </w:tc>
            <w:tc>
              <w:tcPr>
                <w:tcW w:w="495" w:type="pct"/>
                <w:tcBorders>
                  <w:top w:val="single" w:sz="4" w:space="0" w:color="auto"/>
                  <w:left w:val="single" w:sz="4" w:space="0" w:color="auto"/>
                  <w:bottom w:val="single" w:sz="4" w:space="0" w:color="auto"/>
                  <w:right w:val="single" w:sz="4" w:space="0" w:color="auto"/>
                </w:tcBorders>
                <w:vAlign w:val="center"/>
              </w:tcPr>
              <w:p w14:paraId="4D627744"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hint="eastAsia"/>
                  </w:rPr>
                  <w:t>0</w:t>
                </w:r>
              </w:p>
            </w:tc>
            <w:tc>
              <w:tcPr>
                <w:tcW w:w="423" w:type="pct"/>
                <w:tcBorders>
                  <w:top w:val="single" w:sz="4" w:space="0" w:color="auto"/>
                  <w:left w:val="single" w:sz="4" w:space="0" w:color="auto"/>
                  <w:bottom w:val="single" w:sz="4" w:space="0" w:color="auto"/>
                  <w:right w:val="single" w:sz="4" w:space="0" w:color="auto"/>
                </w:tcBorders>
                <w:vAlign w:val="center"/>
              </w:tcPr>
              <w:p w14:paraId="55865281"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hint="eastAsia"/>
                  </w:rPr>
                  <w:t>20</w:t>
                </w:r>
              </w:p>
            </w:tc>
            <w:tc>
              <w:tcPr>
                <w:tcW w:w="496" w:type="pct"/>
                <w:tcBorders>
                  <w:top w:val="single" w:sz="4" w:space="0" w:color="auto"/>
                  <w:left w:val="single" w:sz="4" w:space="0" w:color="auto"/>
                  <w:bottom w:val="single" w:sz="4" w:space="0" w:color="auto"/>
                  <w:right w:val="single" w:sz="4" w:space="0" w:color="auto"/>
                </w:tcBorders>
                <w:vAlign w:val="center"/>
              </w:tcPr>
              <w:p w14:paraId="1D1800CC"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rPr>
                  <w:t>20</w:t>
                </w:r>
              </w:p>
            </w:tc>
            <w:tc>
              <w:tcPr>
                <w:tcW w:w="496" w:type="pct"/>
                <w:tcBorders>
                  <w:top w:val="single" w:sz="4" w:space="0" w:color="auto"/>
                  <w:left w:val="single" w:sz="4" w:space="0" w:color="auto"/>
                  <w:bottom w:val="single" w:sz="4" w:space="0" w:color="auto"/>
                  <w:right w:val="single" w:sz="4" w:space="0" w:color="auto"/>
                </w:tcBorders>
                <w:vAlign w:val="center"/>
              </w:tcPr>
              <w:p w14:paraId="3CE35519"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hint="eastAsia"/>
                  </w:rPr>
                  <w:t>29.92</w:t>
                </w:r>
              </w:p>
            </w:tc>
          </w:tr>
          <w:tr w:rsidR="00B201D3" w14:paraId="00620DD1" w14:textId="77777777">
            <w:tc>
              <w:tcPr>
                <w:tcW w:w="527" w:type="pct"/>
                <w:tcBorders>
                  <w:top w:val="single" w:sz="4" w:space="0" w:color="auto"/>
                  <w:left w:val="single" w:sz="4" w:space="0" w:color="auto"/>
                  <w:bottom w:val="single" w:sz="4" w:space="0" w:color="auto"/>
                  <w:right w:val="single" w:sz="4" w:space="0" w:color="auto"/>
                </w:tcBorders>
                <w:vAlign w:val="center"/>
              </w:tcPr>
              <w:p w14:paraId="727F8D03"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hint="eastAsia"/>
                  </w:rPr>
                  <w:t>赵青春</w:t>
                </w:r>
              </w:p>
            </w:tc>
            <w:tc>
              <w:tcPr>
                <w:tcW w:w="784" w:type="pct"/>
                <w:tcBorders>
                  <w:top w:val="single" w:sz="4" w:space="0" w:color="auto"/>
                  <w:left w:val="single" w:sz="4" w:space="0" w:color="auto"/>
                  <w:bottom w:val="single" w:sz="4" w:space="0" w:color="auto"/>
                  <w:right w:val="single" w:sz="4" w:space="0" w:color="auto"/>
                </w:tcBorders>
                <w:vAlign w:val="center"/>
              </w:tcPr>
              <w:p w14:paraId="2251A181"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hint="eastAsia"/>
                  </w:rPr>
                  <w:t>高管</w:t>
                </w:r>
              </w:p>
            </w:tc>
            <w:tc>
              <w:tcPr>
                <w:tcW w:w="627" w:type="pct"/>
                <w:tcBorders>
                  <w:top w:val="single" w:sz="4" w:space="0" w:color="auto"/>
                  <w:left w:val="single" w:sz="4" w:space="0" w:color="auto"/>
                  <w:bottom w:val="single" w:sz="4" w:space="0" w:color="auto"/>
                  <w:right w:val="single" w:sz="4" w:space="0" w:color="auto"/>
                </w:tcBorders>
                <w:vAlign w:val="center"/>
              </w:tcPr>
              <w:p w14:paraId="30AD9D9E"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hint="eastAsia"/>
                  </w:rPr>
                  <w:t>16</w:t>
                </w:r>
              </w:p>
            </w:tc>
            <w:tc>
              <w:tcPr>
                <w:tcW w:w="654" w:type="pct"/>
                <w:tcBorders>
                  <w:top w:val="single" w:sz="4" w:space="0" w:color="auto"/>
                  <w:left w:val="single" w:sz="4" w:space="0" w:color="auto"/>
                  <w:bottom w:val="single" w:sz="4" w:space="0" w:color="auto"/>
                  <w:right w:val="single" w:sz="4" w:space="0" w:color="auto"/>
                </w:tcBorders>
                <w:vAlign w:val="center"/>
              </w:tcPr>
              <w:p w14:paraId="0F848261"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hint="eastAsia"/>
                  </w:rPr>
                  <w:t>0</w:t>
                </w:r>
              </w:p>
            </w:tc>
            <w:tc>
              <w:tcPr>
                <w:tcW w:w="495" w:type="pct"/>
                <w:tcBorders>
                  <w:top w:val="single" w:sz="4" w:space="0" w:color="auto"/>
                  <w:left w:val="single" w:sz="4" w:space="0" w:color="auto"/>
                  <w:bottom w:val="single" w:sz="4" w:space="0" w:color="auto"/>
                  <w:right w:val="single" w:sz="4" w:space="0" w:color="auto"/>
                </w:tcBorders>
                <w:vAlign w:val="center"/>
              </w:tcPr>
              <w:p w14:paraId="698A7DC1"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hint="eastAsia"/>
                  </w:rPr>
                  <w:t>11.72</w:t>
                </w:r>
              </w:p>
            </w:tc>
            <w:tc>
              <w:tcPr>
                <w:tcW w:w="495" w:type="pct"/>
                <w:tcBorders>
                  <w:top w:val="single" w:sz="4" w:space="0" w:color="auto"/>
                  <w:left w:val="single" w:sz="4" w:space="0" w:color="auto"/>
                  <w:bottom w:val="single" w:sz="4" w:space="0" w:color="auto"/>
                  <w:right w:val="single" w:sz="4" w:space="0" w:color="auto"/>
                </w:tcBorders>
                <w:vAlign w:val="center"/>
              </w:tcPr>
              <w:p w14:paraId="01075000"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hint="eastAsia"/>
                  </w:rPr>
                  <w:t>0</w:t>
                </w:r>
              </w:p>
            </w:tc>
            <w:tc>
              <w:tcPr>
                <w:tcW w:w="423" w:type="pct"/>
                <w:tcBorders>
                  <w:top w:val="single" w:sz="4" w:space="0" w:color="auto"/>
                  <w:left w:val="single" w:sz="4" w:space="0" w:color="auto"/>
                  <w:bottom w:val="single" w:sz="4" w:space="0" w:color="auto"/>
                  <w:right w:val="single" w:sz="4" w:space="0" w:color="auto"/>
                </w:tcBorders>
                <w:vAlign w:val="center"/>
              </w:tcPr>
              <w:p w14:paraId="1094BF48"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hint="eastAsia"/>
                  </w:rPr>
                  <w:t>1</w:t>
                </w:r>
                <w:r>
                  <w:rPr>
                    <w:rFonts w:asciiTheme="minorEastAsia" w:eastAsiaTheme="minorEastAsia" w:hAnsiTheme="minorEastAsia"/>
                  </w:rPr>
                  <w:t>6</w:t>
                </w:r>
              </w:p>
            </w:tc>
            <w:tc>
              <w:tcPr>
                <w:tcW w:w="496" w:type="pct"/>
                <w:tcBorders>
                  <w:top w:val="single" w:sz="4" w:space="0" w:color="auto"/>
                  <w:left w:val="single" w:sz="4" w:space="0" w:color="auto"/>
                  <w:bottom w:val="single" w:sz="4" w:space="0" w:color="auto"/>
                  <w:right w:val="single" w:sz="4" w:space="0" w:color="auto"/>
                </w:tcBorders>
                <w:vAlign w:val="center"/>
              </w:tcPr>
              <w:p w14:paraId="357AF83D"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16</w:t>
                </w:r>
              </w:p>
            </w:tc>
            <w:tc>
              <w:tcPr>
                <w:tcW w:w="496" w:type="pct"/>
                <w:tcBorders>
                  <w:top w:val="single" w:sz="4" w:space="0" w:color="auto"/>
                  <w:left w:val="single" w:sz="4" w:space="0" w:color="auto"/>
                  <w:bottom w:val="single" w:sz="4" w:space="0" w:color="auto"/>
                  <w:right w:val="single" w:sz="4" w:space="0" w:color="auto"/>
                </w:tcBorders>
                <w:vAlign w:val="center"/>
              </w:tcPr>
              <w:p w14:paraId="4991FB49" w14:textId="77777777" w:rsidR="00B201D3" w:rsidRDefault="009855E8">
                <w:pPr>
                  <w:jc w:val="center"/>
                  <w:rPr>
                    <w:rFonts w:asciiTheme="minorEastAsia" w:eastAsiaTheme="minorEastAsia" w:hAnsiTheme="minorEastAsia"/>
                  </w:rPr>
                </w:pPr>
                <w:r>
                  <w:rPr>
                    <w:rFonts w:asciiTheme="minorEastAsia" w:eastAsiaTheme="minorEastAsia" w:hAnsiTheme="minorEastAsia"/>
                  </w:rPr>
                  <w:t>29.92</w:t>
                </w:r>
              </w:p>
            </w:tc>
          </w:tr>
          <w:tr w:rsidR="00B201D3" w14:paraId="774121F6" w14:textId="77777777">
            <w:tc>
              <w:tcPr>
                <w:tcW w:w="527" w:type="pct"/>
                <w:tcBorders>
                  <w:top w:val="single" w:sz="4" w:space="0" w:color="auto"/>
                  <w:left w:val="single" w:sz="4" w:space="0" w:color="auto"/>
                  <w:bottom w:val="single" w:sz="4" w:space="0" w:color="auto"/>
                  <w:right w:val="single" w:sz="4" w:space="0" w:color="auto"/>
                </w:tcBorders>
                <w:vAlign w:val="center"/>
              </w:tcPr>
              <w:p w14:paraId="4CB8CCCA"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kern w:val="2"/>
                  </w:rPr>
                </w:pPr>
                <w:r>
                  <w:rPr>
                    <w:rFonts w:asciiTheme="minorEastAsia" w:eastAsiaTheme="minorEastAsia" w:hAnsiTheme="minorEastAsia" w:hint="eastAsia"/>
                  </w:rPr>
                  <w:t>张传昌</w:t>
                </w:r>
              </w:p>
            </w:tc>
            <w:tc>
              <w:tcPr>
                <w:tcW w:w="784" w:type="pct"/>
                <w:tcBorders>
                  <w:top w:val="single" w:sz="4" w:space="0" w:color="auto"/>
                  <w:left w:val="single" w:sz="4" w:space="0" w:color="auto"/>
                  <w:bottom w:val="single" w:sz="4" w:space="0" w:color="auto"/>
                  <w:right w:val="single" w:sz="4" w:space="0" w:color="auto"/>
                </w:tcBorders>
                <w:vAlign w:val="center"/>
              </w:tcPr>
              <w:p w14:paraId="68952E42"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hint="eastAsia"/>
                  </w:rPr>
                  <w:t>高管</w:t>
                </w:r>
              </w:p>
            </w:tc>
            <w:tc>
              <w:tcPr>
                <w:tcW w:w="627" w:type="pct"/>
                <w:tcBorders>
                  <w:top w:val="single" w:sz="4" w:space="0" w:color="auto"/>
                  <w:left w:val="single" w:sz="4" w:space="0" w:color="auto"/>
                  <w:bottom w:val="single" w:sz="4" w:space="0" w:color="auto"/>
                  <w:right w:val="single" w:sz="4" w:space="0" w:color="auto"/>
                </w:tcBorders>
                <w:vAlign w:val="center"/>
              </w:tcPr>
              <w:p w14:paraId="3E1C9024"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hint="eastAsia"/>
                  </w:rPr>
                  <w:t>16</w:t>
                </w:r>
              </w:p>
            </w:tc>
            <w:tc>
              <w:tcPr>
                <w:tcW w:w="654" w:type="pct"/>
                <w:tcBorders>
                  <w:top w:val="single" w:sz="4" w:space="0" w:color="auto"/>
                  <w:left w:val="single" w:sz="4" w:space="0" w:color="auto"/>
                  <w:bottom w:val="single" w:sz="4" w:space="0" w:color="auto"/>
                  <w:right w:val="single" w:sz="4" w:space="0" w:color="auto"/>
                </w:tcBorders>
                <w:vAlign w:val="center"/>
              </w:tcPr>
              <w:p w14:paraId="68D279B6"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hint="eastAsia"/>
                  </w:rPr>
                  <w:t>0</w:t>
                </w:r>
              </w:p>
            </w:tc>
            <w:tc>
              <w:tcPr>
                <w:tcW w:w="495" w:type="pct"/>
                <w:tcBorders>
                  <w:top w:val="single" w:sz="4" w:space="0" w:color="auto"/>
                  <w:left w:val="single" w:sz="4" w:space="0" w:color="auto"/>
                  <w:bottom w:val="single" w:sz="4" w:space="0" w:color="auto"/>
                  <w:right w:val="single" w:sz="4" w:space="0" w:color="auto"/>
                </w:tcBorders>
                <w:vAlign w:val="center"/>
              </w:tcPr>
              <w:p w14:paraId="6D9423A4"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hint="eastAsia"/>
                  </w:rPr>
                  <w:t>11.72</w:t>
                </w:r>
              </w:p>
            </w:tc>
            <w:tc>
              <w:tcPr>
                <w:tcW w:w="495" w:type="pct"/>
                <w:tcBorders>
                  <w:top w:val="single" w:sz="4" w:space="0" w:color="auto"/>
                  <w:left w:val="single" w:sz="4" w:space="0" w:color="auto"/>
                  <w:bottom w:val="single" w:sz="4" w:space="0" w:color="auto"/>
                  <w:right w:val="single" w:sz="4" w:space="0" w:color="auto"/>
                </w:tcBorders>
                <w:vAlign w:val="center"/>
              </w:tcPr>
              <w:p w14:paraId="67283353"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hint="eastAsia"/>
                  </w:rPr>
                  <w:t>0</w:t>
                </w:r>
              </w:p>
            </w:tc>
            <w:tc>
              <w:tcPr>
                <w:tcW w:w="423" w:type="pct"/>
                <w:tcBorders>
                  <w:top w:val="single" w:sz="4" w:space="0" w:color="auto"/>
                  <w:left w:val="single" w:sz="4" w:space="0" w:color="auto"/>
                  <w:bottom w:val="single" w:sz="4" w:space="0" w:color="auto"/>
                  <w:right w:val="single" w:sz="4" w:space="0" w:color="auto"/>
                </w:tcBorders>
                <w:vAlign w:val="center"/>
              </w:tcPr>
              <w:p w14:paraId="0C45F4F6"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hint="eastAsia"/>
                  </w:rPr>
                  <w:t>16</w:t>
                </w:r>
              </w:p>
            </w:tc>
            <w:tc>
              <w:tcPr>
                <w:tcW w:w="496" w:type="pct"/>
                <w:tcBorders>
                  <w:top w:val="single" w:sz="4" w:space="0" w:color="auto"/>
                  <w:left w:val="single" w:sz="4" w:space="0" w:color="auto"/>
                  <w:bottom w:val="single" w:sz="4" w:space="0" w:color="auto"/>
                  <w:right w:val="single" w:sz="4" w:space="0" w:color="auto"/>
                </w:tcBorders>
                <w:vAlign w:val="center"/>
              </w:tcPr>
              <w:p w14:paraId="72D333DE" w14:textId="77777777" w:rsidR="00B201D3" w:rsidRDefault="009855E8">
                <w:pPr>
                  <w:jc w:val="center"/>
                  <w:rPr>
                    <w:rFonts w:asciiTheme="minorEastAsia" w:eastAsiaTheme="minorEastAsia" w:hAnsiTheme="minorEastAsia"/>
                  </w:rPr>
                </w:pPr>
                <w:r>
                  <w:rPr>
                    <w:rFonts w:asciiTheme="minorEastAsia" w:eastAsiaTheme="minorEastAsia" w:hAnsiTheme="minorEastAsia"/>
                  </w:rPr>
                  <w:t>16</w:t>
                </w:r>
              </w:p>
            </w:tc>
            <w:tc>
              <w:tcPr>
                <w:tcW w:w="496" w:type="pct"/>
                <w:tcBorders>
                  <w:top w:val="single" w:sz="4" w:space="0" w:color="auto"/>
                  <w:left w:val="single" w:sz="4" w:space="0" w:color="auto"/>
                  <w:bottom w:val="single" w:sz="4" w:space="0" w:color="auto"/>
                  <w:right w:val="single" w:sz="4" w:space="0" w:color="auto"/>
                </w:tcBorders>
                <w:vAlign w:val="center"/>
              </w:tcPr>
              <w:p w14:paraId="2B79B5D3" w14:textId="77777777" w:rsidR="00B201D3" w:rsidRDefault="009855E8">
                <w:pPr>
                  <w:jc w:val="center"/>
                  <w:rPr>
                    <w:rFonts w:asciiTheme="minorEastAsia" w:eastAsiaTheme="minorEastAsia" w:hAnsiTheme="minorEastAsia"/>
                  </w:rPr>
                </w:pPr>
                <w:r>
                  <w:rPr>
                    <w:rFonts w:asciiTheme="minorEastAsia" w:eastAsiaTheme="minorEastAsia" w:hAnsiTheme="minorEastAsia"/>
                  </w:rPr>
                  <w:t>29.92</w:t>
                </w:r>
              </w:p>
            </w:tc>
          </w:tr>
          <w:tr w:rsidR="00B201D3" w14:paraId="53179DCA" w14:textId="77777777">
            <w:tc>
              <w:tcPr>
                <w:tcW w:w="527" w:type="pct"/>
                <w:tcBorders>
                  <w:top w:val="single" w:sz="4" w:space="0" w:color="auto"/>
                  <w:left w:val="single" w:sz="4" w:space="0" w:color="auto"/>
                  <w:bottom w:val="single" w:sz="4" w:space="0" w:color="auto"/>
                  <w:right w:val="single" w:sz="4" w:space="0" w:color="auto"/>
                </w:tcBorders>
                <w:vAlign w:val="center"/>
              </w:tcPr>
              <w:p w14:paraId="18C0D10E"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kern w:val="2"/>
                  </w:rPr>
                </w:pPr>
                <w:r>
                  <w:rPr>
                    <w:rFonts w:asciiTheme="minorEastAsia" w:eastAsiaTheme="minorEastAsia" w:hAnsiTheme="minorEastAsia" w:hint="eastAsia"/>
                  </w:rPr>
                  <w:t>田兆华</w:t>
                </w:r>
              </w:p>
            </w:tc>
            <w:tc>
              <w:tcPr>
                <w:tcW w:w="784" w:type="pct"/>
                <w:tcBorders>
                  <w:top w:val="single" w:sz="4" w:space="0" w:color="auto"/>
                  <w:left w:val="single" w:sz="4" w:space="0" w:color="auto"/>
                  <w:bottom w:val="single" w:sz="4" w:space="0" w:color="auto"/>
                  <w:right w:val="single" w:sz="4" w:space="0" w:color="auto"/>
                </w:tcBorders>
                <w:vAlign w:val="center"/>
              </w:tcPr>
              <w:p w14:paraId="3820D523"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hint="eastAsia"/>
                  </w:rPr>
                  <w:t>高管</w:t>
                </w:r>
              </w:p>
            </w:tc>
            <w:tc>
              <w:tcPr>
                <w:tcW w:w="627" w:type="pct"/>
                <w:tcBorders>
                  <w:top w:val="single" w:sz="4" w:space="0" w:color="auto"/>
                  <w:left w:val="single" w:sz="4" w:space="0" w:color="auto"/>
                  <w:bottom w:val="single" w:sz="4" w:space="0" w:color="auto"/>
                  <w:right w:val="single" w:sz="4" w:space="0" w:color="auto"/>
                </w:tcBorders>
                <w:vAlign w:val="center"/>
              </w:tcPr>
              <w:p w14:paraId="5E9D6B64"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hint="eastAsia"/>
                  </w:rPr>
                  <w:t>16</w:t>
                </w:r>
              </w:p>
            </w:tc>
            <w:tc>
              <w:tcPr>
                <w:tcW w:w="654" w:type="pct"/>
                <w:tcBorders>
                  <w:top w:val="single" w:sz="4" w:space="0" w:color="auto"/>
                  <w:left w:val="single" w:sz="4" w:space="0" w:color="auto"/>
                  <w:bottom w:val="single" w:sz="4" w:space="0" w:color="auto"/>
                  <w:right w:val="single" w:sz="4" w:space="0" w:color="auto"/>
                </w:tcBorders>
                <w:vAlign w:val="center"/>
              </w:tcPr>
              <w:p w14:paraId="582DC6B3"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hint="eastAsia"/>
                  </w:rPr>
                  <w:t>0</w:t>
                </w:r>
              </w:p>
            </w:tc>
            <w:tc>
              <w:tcPr>
                <w:tcW w:w="495" w:type="pct"/>
                <w:tcBorders>
                  <w:top w:val="single" w:sz="4" w:space="0" w:color="auto"/>
                  <w:left w:val="single" w:sz="4" w:space="0" w:color="auto"/>
                  <w:bottom w:val="single" w:sz="4" w:space="0" w:color="auto"/>
                  <w:right w:val="single" w:sz="4" w:space="0" w:color="auto"/>
                </w:tcBorders>
                <w:vAlign w:val="center"/>
              </w:tcPr>
              <w:p w14:paraId="6F2CA607"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hint="eastAsia"/>
                  </w:rPr>
                  <w:t>11.72</w:t>
                </w:r>
              </w:p>
            </w:tc>
            <w:tc>
              <w:tcPr>
                <w:tcW w:w="495" w:type="pct"/>
                <w:tcBorders>
                  <w:top w:val="single" w:sz="4" w:space="0" w:color="auto"/>
                  <w:left w:val="single" w:sz="4" w:space="0" w:color="auto"/>
                  <w:bottom w:val="single" w:sz="4" w:space="0" w:color="auto"/>
                  <w:right w:val="single" w:sz="4" w:space="0" w:color="auto"/>
                </w:tcBorders>
                <w:vAlign w:val="center"/>
              </w:tcPr>
              <w:p w14:paraId="1EEA550E"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hint="eastAsia"/>
                  </w:rPr>
                  <w:t>0</w:t>
                </w:r>
              </w:p>
            </w:tc>
            <w:tc>
              <w:tcPr>
                <w:tcW w:w="423" w:type="pct"/>
                <w:tcBorders>
                  <w:top w:val="single" w:sz="4" w:space="0" w:color="auto"/>
                  <w:left w:val="single" w:sz="4" w:space="0" w:color="auto"/>
                  <w:bottom w:val="single" w:sz="4" w:space="0" w:color="auto"/>
                  <w:right w:val="single" w:sz="4" w:space="0" w:color="auto"/>
                </w:tcBorders>
                <w:vAlign w:val="center"/>
              </w:tcPr>
              <w:p w14:paraId="1ECDACF7"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hint="eastAsia"/>
                  </w:rPr>
                  <w:t>16</w:t>
                </w:r>
              </w:p>
            </w:tc>
            <w:tc>
              <w:tcPr>
                <w:tcW w:w="496" w:type="pct"/>
                <w:tcBorders>
                  <w:top w:val="single" w:sz="4" w:space="0" w:color="auto"/>
                  <w:left w:val="single" w:sz="4" w:space="0" w:color="auto"/>
                  <w:bottom w:val="single" w:sz="4" w:space="0" w:color="auto"/>
                  <w:right w:val="single" w:sz="4" w:space="0" w:color="auto"/>
                </w:tcBorders>
                <w:vAlign w:val="center"/>
              </w:tcPr>
              <w:p w14:paraId="53714005" w14:textId="77777777" w:rsidR="00B201D3" w:rsidRDefault="009855E8">
                <w:pPr>
                  <w:jc w:val="center"/>
                  <w:rPr>
                    <w:rFonts w:asciiTheme="minorEastAsia" w:eastAsiaTheme="minorEastAsia" w:hAnsiTheme="minorEastAsia"/>
                  </w:rPr>
                </w:pPr>
                <w:r>
                  <w:rPr>
                    <w:rFonts w:asciiTheme="minorEastAsia" w:eastAsiaTheme="minorEastAsia" w:hAnsiTheme="minorEastAsia"/>
                  </w:rPr>
                  <w:t>16</w:t>
                </w:r>
              </w:p>
            </w:tc>
            <w:tc>
              <w:tcPr>
                <w:tcW w:w="496" w:type="pct"/>
                <w:tcBorders>
                  <w:top w:val="single" w:sz="4" w:space="0" w:color="auto"/>
                  <w:left w:val="single" w:sz="4" w:space="0" w:color="auto"/>
                  <w:bottom w:val="single" w:sz="4" w:space="0" w:color="auto"/>
                  <w:right w:val="single" w:sz="4" w:space="0" w:color="auto"/>
                </w:tcBorders>
                <w:vAlign w:val="center"/>
              </w:tcPr>
              <w:p w14:paraId="3AB1D3D0" w14:textId="77777777" w:rsidR="00B201D3" w:rsidRDefault="009855E8">
                <w:pPr>
                  <w:jc w:val="center"/>
                  <w:rPr>
                    <w:rFonts w:asciiTheme="minorEastAsia" w:eastAsiaTheme="minorEastAsia" w:hAnsiTheme="minorEastAsia"/>
                  </w:rPr>
                </w:pPr>
                <w:r>
                  <w:rPr>
                    <w:rFonts w:asciiTheme="minorEastAsia" w:eastAsiaTheme="minorEastAsia" w:hAnsiTheme="minorEastAsia"/>
                  </w:rPr>
                  <w:t>29.92</w:t>
                </w:r>
              </w:p>
            </w:tc>
          </w:tr>
          <w:tr w:rsidR="00B201D3" w14:paraId="0C09F9E3" w14:textId="77777777">
            <w:tc>
              <w:tcPr>
                <w:tcW w:w="527" w:type="pct"/>
                <w:tcBorders>
                  <w:top w:val="single" w:sz="4" w:space="0" w:color="auto"/>
                  <w:left w:val="single" w:sz="4" w:space="0" w:color="auto"/>
                  <w:bottom w:val="single" w:sz="4" w:space="0" w:color="auto"/>
                  <w:right w:val="single" w:sz="4" w:space="0" w:color="auto"/>
                </w:tcBorders>
                <w:vAlign w:val="center"/>
              </w:tcPr>
              <w:p w14:paraId="4C0D364F"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kern w:val="2"/>
                  </w:rPr>
                </w:pPr>
                <w:r>
                  <w:t>黄霄龙</w:t>
                </w:r>
              </w:p>
            </w:tc>
            <w:tc>
              <w:tcPr>
                <w:tcW w:w="784" w:type="pct"/>
                <w:tcBorders>
                  <w:top w:val="single" w:sz="4" w:space="0" w:color="auto"/>
                  <w:left w:val="single" w:sz="4" w:space="0" w:color="auto"/>
                  <w:bottom w:val="single" w:sz="4" w:space="0" w:color="auto"/>
                  <w:right w:val="single" w:sz="4" w:space="0" w:color="auto"/>
                </w:tcBorders>
                <w:vAlign w:val="center"/>
              </w:tcPr>
              <w:p w14:paraId="31E94C11"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t>董事、高管</w:t>
                </w:r>
              </w:p>
            </w:tc>
            <w:tc>
              <w:tcPr>
                <w:tcW w:w="627" w:type="pct"/>
                <w:tcBorders>
                  <w:top w:val="single" w:sz="4" w:space="0" w:color="auto"/>
                  <w:left w:val="single" w:sz="4" w:space="0" w:color="auto"/>
                  <w:bottom w:val="single" w:sz="4" w:space="0" w:color="auto"/>
                  <w:right w:val="single" w:sz="4" w:space="0" w:color="auto"/>
                </w:tcBorders>
                <w:vAlign w:val="center"/>
              </w:tcPr>
              <w:p w14:paraId="5E17FA12"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rPr>
                  <w:t>16</w:t>
                </w:r>
              </w:p>
            </w:tc>
            <w:tc>
              <w:tcPr>
                <w:tcW w:w="654" w:type="pct"/>
                <w:tcBorders>
                  <w:top w:val="single" w:sz="4" w:space="0" w:color="auto"/>
                  <w:left w:val="single" w:sz="4" w:space="0" w:color="auto"/>
                  <w:bottom w:val="single" w:sz="4" w:space="0" w:color="auto"/>
                  <w:right w:val="single" w:sz="4" w:space="0" w:color="auto"/>
                </w:tcBorders>
                <w:vAlign w:val="center"/>
              </w:tcPr>
              <w:p w14:paraId="58E172D5"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rPr>
                  <w:t>0</w:t>
                </w:r>
              </w:p>
            </w:tc>
            <w:tc>
              <w:tcPr>
                <w:tcW w:w="495" w:type="pct"/>
                <w:tcBorders>
                  <w:top w:val="single" w:sz="4" w:space="0" w:color="auto"/>
                  <w:left w:val="single" w:sz="4" w:space="0" w:color="auto"/>
                  <w:bottom w:val="single" w:sz="4" w:space="0" w:color="auto"/>
                  <w:right w:val="single" w:sz="4" w:space="0" w:color="auto"/>
                </w:tcBorders>
                <w:vAlign w:val="center"/>
              </w:tcPr>
              <w:p w14:paraId="5BFF3D9A"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rPr>
                  <w:t>11.72</w:t>
                </w:r>
              </w:p>
            </w:tc>
            <w:tc>
              <w:tcPr>
                <w:tcW w:w="495" w:type="pct"/>
                <w:tcBorders>
                  <w:top w:val="single" w:sz="4" w:space="0" w:color="auto"/>
                  <w:left w:val="single" w:sz="4" w:space="0" w:color="auto"/>
                  <w:bottom w:val="single" w:sz="4" w:space="0" w:color="auto"/>
                  <w:right w:val="single" w:sz="4" w:space="0" w:color="auto"/>
                </w:tcBorders>
                <w:vAlign w:val="center"/>
              </w:tcPr>
              <w:p w14:paraId="69EB302F"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rPr>
                  <w:t>0</w:t>
                </w:r>
              </w:p>
            </w:tc>
            <w:tc>
              <w:tcPr>
                <w:tcW w:w="423" w:type="pct"/>
                <w:tcBorders>
                  <w:top w:val="single" w:sz="4" w:space="0" w:color="auto"/>
                  <w:left w:val="single" w:sz="4" w:space="0" w:color="auto"/>
                  <w:bottom w:val="single" w:sz="4" w:space="0" w:color="auto"/>
                  <w:right w:val="single" w:sz="4" w:space="0" w:color="auto"/>
                </w:tcBorders>
                <w:vAlign w:val="center"/>
              </w:tcPr>
              <w:p w14:paraId="7EA462D9"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rPr>
                  <w:t>16</w:t>
                </w:r>
              </w:p>
            </w:tc>
            <w:tc>
              <w:tcPr>
                <w:tcW w:w="496" w:type="pct"/>
                <w:tcBorders>
                  <w:top w:val="single" w:sz="4" w:space="0" w:color="auto"/>
                  <w:left w:val="single" w:sz="4" w:space="0" w:color="auto"/>
                  <w:bottom w:val="single" w:sz="4" w:space="0" w:color="auto"/>
                  <w:right w:val="single" w:sz="4" w:space="0" w:color="auto"/>
                </w:tcBorders>
                <w:vAlign w:val="center"/>
              </w:tcPr>
              <w:p w14:paraId="03710EA1" w14:textId="77777777" w:rsidR="00B201D3" w:rsidRDefault="009855E8">
                <w:pPr>
                  <w:jc w:val="center"/>
                  <w:rPr>
                    <w:rFonts w:asciiTheme="minorEastAsia" w:eastAsiaTheme="minorEastAsia" w:hAnsiTheme="minorEastAsia"/>
                  </w:rPr>
                </w:pPr>
                <w:r>
                  <w:rPr>
                    <w:rFonts w:asciiTheme="minorEastAsia" w:eastAsiaTheme="minorEastAsia" w:hAnsiTheme="minorEastAsia"/>
                  </w:rPr>
                  <w:t>16</w:t>
                </w:r>
              </w:p>
            </w:tc>
            <w:tc>
              <w:tcPr>
                <w:tcW w:w="496" w:type="pct"/>
                <w:tcBorders>
                  <w:top w:val="single" w:sz="4" w:space="0" w:color="auto"/>
                  <w:left w:val="single" w:sz="4" w:space="0" w:color="auto"/>
                  <w:bottom w:val="single" w:sz="4" w:space="0" w:color="auto"/>
                  <w:right w:val="single" w:sz="4" w:space="0" w:color="auto"/>
                </w:tcBorders>
                <w:vAlign w:val="center"/>
              </w:tcPr>
              <w:p w14:paraId="234AEA44" w14:textId="77777777" w:rsidR="00B201D3" w:rsidRDefault="009855E8">
                <w:pPr>
                  <w:jc w:val="center"/>
                  <w:rPr>
                    <w:rFonts w:asciiTheme="minorEastAsia" w:eastAsiaTheme="minorEastAsia" w:hAnsiTheme="minorEastAsia"/>
                  </w:rPr>
                </w:pPr>
                <w:r>
                  <w:rPr>
                    <w:rFonts w:asciiTheme="minorEastAsia" w:eastAsiaTheme="minorEastAsia" w:hAnsiTheme="minorEastAsia"/>
                  </w:rPr>
                  <w:t>29.92</w:t>
                </w:r>
              </w:p>
            </w:tc>
          </w:tr>
          <w:tr w:rsidR="00B201D3" w14:paraId="0BE48590" w14:textId="77777777">
            <w:tc>
              <w:tcPr>
                <w:tcW w:w="527" w:type="pct"/>
                <w:tcBorders>
                  <w:top w:val="single" w:sz="4" w:space="0" w:color="auto"/>
                  <w:left w:val="single" w:sz="4" w:space="0" w:color="auto"/>
                  <w:bottom w:val="single" w:sz="4" w:space="0" w:color="auto"/>
                  <w:right w:val="single" w:sz="4" w:space="0" w:color="auto"/>
                </w:tcBorders>
                <w:vAlign w:val="center"/>
              </w:tcPr>
              <w:p w14:paraId="75C4425E"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kern w:val="2"/>
                  </w:rPr>
                </w:pPr>
                <w:r>
                  <w:rPr>
                    <w:rFonts w:asciiTheme="minorEastAsia" w:eastAsiaTheme="minorEastAsia" w:hAnsiTheme="minorEastAsia" w:hint="eastAsia"/>
                    <w:kern w:val="2"/>
                  </w:rPr>
                  <w:t>马俊鹏</w:t>
                </w:r>
              </w:p>
            </w:tc>
            <w:tc>
              <w:tcPr>
                <w:tcW w:w="784" w:type="pct"/>
                <w:tcBorders>
                  <w:top w:val="single" w:sz="4" w:space="0" w:color="auto"/>
                  <w:left w:val="single" w:sz="4" w:space="0" w:color="auto"/>
                  <w:bottom w:val="single" w:sz="4" w:space="0" w:color="auto"/>
                  <w:right w:val="single" w:sz="4" w:space="0" w:color="auto"/>
                </w:tcBorders>
                <w:vAlign w:val="center"/>
              </w:tcPr>
              <w:p w14:paraId="0533063D"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hint="eastAsia"/>
                  </w:rPr>
                  <w:t>高管</w:t>
                </w:r>
              </w:p>
            </w:tc>
            <w:tc>
              <w:tcPr>
                <w:tcW w:w="627" w:type="pct"/>
                <w:tcBorders>
                  <w:top w:val="single" w:sz="4" w:space="0" w:color="auto"/>
                  <w:left w:val="single" w:sz="4" w:space="0" w:color="auto"/>
                  <w:bottom w:val="single" w:sz="4" w:space="0" w:color="auto"/>
                  <w:right w:val="single" w:sz="4" w:space="0" w:color="auto"/>
                </w:tcBorders>
                <w:vAlign w:val="center"/>
              </w:tcPr>
              <w:p w14:paraId="11830FD4"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hint="eastAsia"/>
                  </w:rPr>
                  <w:t>8</w:t>
                </w:r>
              </w:p>
            </w:tc>
            <w:tc>
              <w:tcPr>
                <w:tcW w:w="654" w:type="pct"/>
                <w:tcBorders>
                  <w:top w:val="single" w:sz="4" w:space="0" w:color="auto"/>
                  <w:left w:val="single" w:sz="4" w:space="0" w:color="auto"/>
                  <w:bottom w:val="single" w:sz="4" w:space="0" w:color="auto"/>
                  <w:right w:val="single" w:sz="4" w:space="0" w:color="auto"/>
                </w:tcBorders>
                <w:vAlign w:val="center"/>
              </w:tcPr>
              <w:p w14:paraId="6C02FE4C"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hint="eastAsia"/>
                  </w:rPr>
                  <w:t>0</w:t>
                </w:r>
              </w:p>
            </w:tc>
            <w:tc>
              <w:tcPr>
                <w:tcW w:w="495" w:type="pct"/>
                <w:tcBorders>
                  <w:top w:val="single" w:sz="4" w:space="0" w:color="auto"/>
                  <w:left w:val="single" w:sz="4" w:space="0" w:color="auto"/>
                  <w:bottom w:val="single" w:sz="4" w:space="0" w:color="auto"/>
                  <w:right w:val="single" w:sz="4" w:space="0" w:color="auto"/>
                </w:tcBorders>
                <w:vAlign w:val="center"/>
              </w:tcPr>
              <w:p w14:paraId="49E291FC"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hint="eastAsia"/>
                  </w:rPr>
                  <w:t>11.72</w:t>
                </w:r>
              </w:p>
            </w:tc>
            <w:tc>
              <w:tcPr>
                <w:tcW w:w="495" w:type="pct"/>
                <w:tcBorders>
                  <w:top w:val="single" w:sz="4" w:space="0" w:color="auto"/>
                  <w:left w:val="single" w:sz="4" w:space="0" w:color="auto"/>
                  <w:bottom w:val="single" w:sz="4" w:space="0" w:color="auto"/>
                  <w:right w:val="single" w:sz="4" w:space="0" w:color="auto"/>
                </w:tcBorders>
                <w:vAlign w:val="center"/>
              </w:tcPr>
              <w:p w14:paraId="14074B70"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hint="eastAsia"/>
                  </w:rPr>
                  <w:t>0</w:t>
                </w:r>
              </w:p>
            </w:tc>
            <w:tc>
              <w:tcPr>
                <w:tcW w:w="423" w:type="pct"/>
                <w:tcBorders>
                  <w:top w:val="single" w:sz="4" w:space="0" w:color="auto"/>
                  <w:left w:val="single" w:sz="4" w:space="0" w:color="auto"/>
                  <w:bottom w:val="single" w:sz="4" w:space="0" w:color="auto"/>
                  <w:right w:val="single" w:sz="4" w:space="0" w:color="auto"/>
                </w:tcBorders>
                <w:vAlign w:val="center"/>
              </w:tcPr>
              <w:p w14:paraId="76E5C7D3"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hint="eastAsia"/>
                  </w:rPr>
                  <w:t>8</w:t>
                </w:r>
              </w:p>
            </w:tc>
            <w:tc>
              <w:tcPr>
                <w:tcW w:w="496" w:type="pct"/>
                <w:tcBorders>
                  <w:top w:val="single" w:sz="4" w:space="0" w:color="auto"/>
                  <w:left w:val="single" w:sz="4" w:space="0" w:color="auto"/>
                  <w:bottom w:val="single" w:sz="4" w:space="0" w:color="auto"/>
                  <w:right w:val="single" w:sz="4" w:space="0" w:color="auto"/>
                </w:tcBorders>
                <w:vAlign w:val="center"/>
              </w:tcPr>
              <w:p w14:paraId="682FD612" w14:textId="77777777" w:rsidR="00B201D3" w:rsidRDefault="009855E8">
                <w:pPr>
                  <w:jc w:val="center"/>
                  <w:rPr>
                    <w:rFonts w:asciiTheme="minorEastAsia" w:eastAsiaTheme="minorEastAsia" w:hAnsiTheme="minorEastAsia"/>
                  </w:rPr>
                </w:pPr>
                <w:r>
                  <w:rPr>
                    <w:rFonts w:asciiTheme="minorEastAsia" w:eastAsiaTheme="minorEastAsia" w:hAnsiTheme="minorEastAsia"/>
                  </w:rPr>
                  <w:t>8</w:t>
                </w:r>
              </w:p>
            </w:tc>
            <w:tc>
              <w:tcPr>
                <w:tcW w:w="496" w:type="pct"/>
                <w:tcBorders>
                  <w:top w:val="single" w:sz="4" w:space="0" w:color="auto"/>
                  <w:left w:val="single" w:sz="4" w:space="0" w:color="auto"/>
                  <w:bottom w:val="single" w:sz="4" w:space="0" w:color="auto"/>
                  <w:right w:val="single" w:sz="4" w:space="0" w:color="auto"/>
                </w:tcBorders>
                <w:vAlign w:val="center"/>
              </w:tcPr>
              <w:p w14:paraId="0E346A73" w14:textId="77777777" w:rsidR="00B201D3" w:rsidRDefault="009855E8">
                <w:pPr>
                  <w:jc w:val="center"/>
                  <w:rPr>
                    <w:rFonts w:asciiTheme="minorEastAsia" w:eastAsiaTheme="minorEastAsia" w:hAnsiTheme="minorEastAsia"/>
                  </w:rPr>
                </w:pPr>
                <w:r>
                  <w:rPr>
                    <w:rFonts w:asciiTheme="minorEastAsia" w:eastAsiaTheme="minorEastAsia" w:hAnsiTheme="minorEastAsia"/>
                  </w:rPr>
                  <w:t>29.92</w:t>
                </w:r>
              </w:p>
            </w:tc>
          </w:tr>
          <w:tr w:rsidR="00B201D3" w14:paraId="5A962FF9" w14:textId="77777777">
            <w:tc>
              <w:tcPr>
                <w:tcW w:w="527" w:type="pct"/>
                <w:tcBorders>
                  <w:top w:val="single" w:sz="4" w:space="0" w:color="auto"/>
                  <w:left w:val="single" w:sz="4" w:space="0" w:color="auto"/>
                  <w:bottom w:val="single" w:sz="4" w:space="0" w:color="auto"/>
                  <w:right w:val="single" w:sz="4" w:space="0" w:color="auto"/>
                </w:tcBorders>
                <w:vAlign w:val="center"/>
              </w:tcPr>
              <w:p w14:paraId="58E4993D"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kern w:val="2"/>
                  </w:rPr>
                </w:pPr>
                <w:r>
                  <w:rPr>
                    <w:rFonts w:asciiTheme="minorEastAsia" w:eastAsiaTheme="minorEastAsia" w:hAnsiTheme="minorEastAsia" w:hint="eastAsia"/>
                    <w:kern w:val="2"/>
                  </w:rPr>
                  <w:t>康</w:t>
                </w:r>
                <w:r>
                  <w:rPr>
                    <w:rFonts w:asciiTheme="minorEastAsia" w:eastAsiaTheme="minorEastAsia" w:hAnsiTheme="minorEastAsia"/>
                    <w:kern w:val="2"/>
                  </w:rPr>
                  <w:t xml:space="preserve">  </w:t>
                </w:r>
                <w:r>
                  <w:rPr>
                    <w:rFonts w:asciiTheme="minorEastAsia" w:eastAsiaTheme="minorEastAsia" w:hAnsiTheme="minorEastAsia" w:hint="eastAsia"/>
                    <w:kern w:val="2"/>
                  </w:rPr>
                  <w:t>丹</w:t>
                </w:r>
              </w:p>
            </w:tc>
            <w:tc>
              <w:tcPr>
                <w:tcW w:w="784" w:type="pct"/>
                <w:tcBorders>
                  <w:top w:val="single" w:sz="4" w:space="0" w:color="auto"/>
                  <w:left w:val="single" w:sz="4" w:space="0" w:color="auto"/>
                  <w:bottom w:val="single" w:sz="4" w:space="0" w:color="auto"/>
                  <w:right w:val="single" w:sz="4" w:space="0" w:color="auto"/>
                </w:tcBorders>
                <w:vAlign w:val="center"/>
              </w:tcPr>
              <w:p w14:paraId="54D78E47"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hint="eastAsia"/>
                  </w:rPr>
                  <w:t>高管</w:t>
                </w:r>
              </w:p>
            </w:tc>
            <w:tc>
              <w:tcPr>
                <w:tcW w:w="627" w:type="pct"/>
                <w:tcBorders>
                  <w:top w:val="single" w:sz="4" w:space="0" w:color="auto"/>
                  <w:left w:val="single" w:sz="4" w:space="0" w:color="auto"/>
                  <w:bottom w:val="single" w:sz="4" w:space="0" w:color="auto"/>
                  <w:right w:val="single" w:sz="4" w:space="0" w:color="auto"/>
                </w:tcBorders>
                <w:vAlign w:val="center"/>
              </w:tcPr>
              <w:p w14:paraId="6C7A20D1"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hint="eastAsia"/>
                  </w:rPr>
                  <w:t>8</w:t>
                </w:r>
              </w:p>
            </w:tc>
            <w:tc>
              <w:tcPr>
                <w:tcW w:w="654" w:type="pct"/>
                <w:tcBorders>
                  <w:top w:val="single" w:sz="4" w:space="0" w:color="auto"/>
                  <w:left w:val="single" w:sz="4" w:space="0" w:color="auto"/>
                  <w:bottom w:val="single" w:sz="4" w:space="0" w:color="auto"/>
                  <w:right w:val="single" w:sz="4" w:space="0" w:color="auto"/>
                </w:tcBorders>
                <w:vAlign w:val="center"/>
              </w:tcPr>
              <w:p w14:paraId="2449E8C4"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hint="eastAsia"/>
                  </w:rPr>
                  <w:t>0</w:t>
                </w:r>
              </w:p>
            </w:tc>
            <w:tc>
              <w:tcPr>
                <w:tcW w:w="495" w:type="pct"/>
                <w:tcBorders>
                  <w:top w:val="single" w:sz="4" w:space="0" w:color="auto"/>
                  <w:left w:val="single" w:sz="4" w:space="0" w:color="auto"/>
                  <w:bottom w:val="single" w:sz="4" w:space="0" w:color="auto"/>
                  <w:right w:val="single" w:sz="4" w:space="0" w:color="auto"/>
                </w:tcBorders>
                <w:vAlign w:val="center"/>
              </w:tcPr>
              <w:p w14:paraId="42735DFA"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hint="eastAsia"/>
                  </w:rPr>
                  <w:t>11.72</w:t>
                </w:r>
              </w:p>
            </w:tc>
            <w:tc>
              <w:tcPr>
                <w:tcW w:w="495" w:type="pct"/>
                <w:tcBorders>
                  <w:top w:val="single" w:sz="4" w:space="0" w:color="auto"/>
                  <w:left w:val="single" w:sz="4" w:space="0" w:color="auto"/>
                  <w:bottom w:val="single" w:sz="4" w:space="0" w:color="auto"/>
                  <w:right w:val="single" w:sz="4" w:space="0" w:color="auto"/>
                </w:tcBorders>
                <w:vAlign w:val="center"/>
              </w:tcPr>
              <w:p w14:paraId="5EE91131"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hint="eastAsia"/>
                  </w:rPr>
                  <w:t>0</w:t>
                </w:r>
              </w:p>
            </w:tc>
            <w:tc>
              <w:tcPr>
                <w:tcW w:w="423" w:type="pct"/>
                <w:tcBorders>
                  <w:top w:val="single" w:sz="4" w:space="0" w:color="auto"/>
                  <w:left w:val="single" w:sz="4" w:space="0" w:color="auto"/>
                  <w:bottom w:val="single" w:sz="4" w:space="0" w:color="auto"/>
                  <w:right w:val="single" w:sz="4" w:space="0" w:color="auto"/>
                </w:tcBorders>
                <w:vAlign w:val="center"/>
              </w:tcPr>
              <w:p w14:paraId="2E4568AE"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hint="eastAsia"/>
                  </w:rPr>
                  <w:t>8</w:t>
                </w:r>
              </w:p>
            </w:tc>
            <w:tc>
              <w:tcPr>
                <w:tcW w:w="496" w:type="pct"/>
                <w:tcBorders>
                  <w:top w:val="single" w:sz="4" w:space="0" w:color="auto"/>
                  <w:left w:val="single" w:sz="4" w:space="0" w:color="auto"/>
                  <w:bottom w:val="single" w:sz="4" w:space="0" w:color="auto"/>
                  <w:right w:val="single" w:sz="4" w:space="0" w:color="auto"/>
                </w:tcBorders>
                <w:vAlign w:val="center"/>
              </w:tcPr>
              <w:p w14:paraId="37CDB9EC" w14:textId="77777777" w:rsidR="00B201D3" w:rsidRDefault="009855E8">
                <w:pPr>
                  <w:jc w:val="center"/>
                  <w:rPr>
                    <w:rFonts w:asciiTheme="minorEastAsia" w:eastAsiaTheme="minorEastAsia" w:hAnsiTheme="minorEastAsia"/>
                  </w:rPr>
                </w:pPr>
                <w:r>
                  <w:rPr>
                    <w:rFonts w:asciiTheme="minorEastAsia" w:eastAsiaTheme="minorEastAsia" w:hAnsiTheme="minorEastAsia"/>
                  </w:rPr>
                  <w:t>8</w:t>
                </w:r>
              </w:p>
            </w:tc>
            <w:tc>
              <w:tcPr>
                <w:tcW w:w="496" w:type="pct"/>
                <w:tcBorders>
                  <w:top w:val="single" w:sz="4" w:space="0" w:color="auto"/>
                  <w:left w:val="single" w:sz="4" w:space="0" w:color="auto"/>
                  <w:bottom w:val="single" w:sz="4" w:space="0" w:color="auto"/>
                  <w:right w:val="single" w:sz="4" w:space="0" w:color="auto"/>
                </w:tcBorders>
                <w:vAlign w:val="center"/>
              </w:tcPr>
              <w:p w14:paraId="6A625CFC" w14:textId="77777777" w:rsidR="00B201D3" w:rsidRDefault="009855E8">
                <w:pPr>
                  <w:jc w:val="center"/>
                  <w:rPr>
                    <w:rFonts w:asciiTheme="minorEastAsia" w:eastAsiaTheme="minorEastAsia" w:hAnsiTheme="minorEastAsia"/>
                  </w:rPr>
                </w:pPr>
                <w:r>
                  <w:rPr>
                    <w:rFonts w:asciiTheme="minorEastAsia" w:eastAsiaTheme="minorEastAsia" w:hAnsiTheme="minorEastAsia"/>
                  </w:rPr>
                  <w:t>29.92</w:t>
                </w:r>
              </w:p>
            </w:tc>
          </w:tr>
          <w:tr w:rsidR="00B201D3" w14:paraId="75CC67E1" w14:textId="77777777">
            <w:tc>
              <w:tcPr>
                <w:tcW w:w="527" w:type="pct"/>
                <w:tcBorders>
                  <w:top w:val="single" w:sz="4" w:space="0" w:color="auto"/>
                  <w:left w:val="single" w:sz="4" w:space="0" w:color="auto"/>
                  <w:bottom w:val="single" w:sz="4" w:space="0" w:color="auto"/>
                  <w:right w:val="single" w:sz="4" w:space="0" w:color="auto"/>
                </w:tcBorders>
                <w:vAlign w:val="center"/>
              </w:tcPr>
              <w:p w14:paraId="4EBB4A09"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cstheme="minorBidi"/>
                    <w:kern w:val="2"/>
                  </w:rPr>
                </w:pPr>
                <w:r>
                  <w:rPr>
                    <w:rFonts w:asciiTheme="minorEastAsia" w:eastAsiaTheme="minorEastAsia" w:hAnsiTheme="minorEastAsia" w:cstheme="minorBidi"/>
                    <w:kern w:val="2"/>
                  </w:rPr>
                  <w:t>王九红</w:t>
                </w:r>
              </w:p>
            </w:tc>
            <w:tc>
              <w:tcPr>
                <w:tcW w:w="784" w:type="pct"/>
                <w:tcBorders>
                  <w:top w:val="single" w:sz="4" w:space="0" w:color="auto"/>
                  <w:left w:val="single" w:sz="4" w:space="0" w:color="auto"/>
                  <w:bottom w:val="single" w:sz="4" w:space="0" w:color="auto"/>
                  <w:right w:val="single" w:sz="4" w:space="0" w:color="auto"/>
                </w:tcBorders>
                <w:vAlign w:val="center"/>
              </w:tcPr>
              <w:p w14:paraId="0214084D"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rPr>
                  <w:t>高管</w:t>
                </w:r>
              </w:p>
            </w:tc>
            <w:tc>
              <w:tcPr>
                <w:tcW w:w="627" w:type="pct"/>
                <w:tcBorders>
                  <w:top w:val="single" w:sz="4" w:space="0" w:color="auto"/>
                  <w:left w:val="single" w:sz="4" w:space="0" w:color="auto"/>
                  <w:bottom w:val="single" w:sz="4" w:space="0" w:color="auto"/>
                  <w:right w:val="single" w:sz="4" w:space="0" w:color="auto"/>
                </w:tcBorders>
                <w:vAlign w:val="center"/>
              </w:tcPr>
              <w:p w14:paraId="558F1AF5"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rPr>
                  <w:t>8</w:t>
                </w:r>
              </w:p>
            </w:tc>
            <w:tc>
              <w:tcPr>
                <w:tcW w:w="654" w:type="pct"/>
                <w:tcBorders>
                  <w:top w:val="single" w:sz="4" w:space="0" w:color="auto"/>
                  <w:left w:val="single" w:sz="4" w:space="0" w:color="auto"/>
                  <w:bottom w:val="single" w:sz="4" w:space="0" w:color="auto"/>
                  <w:right w:val="single" w:sz="4" w:space="0" w:color="auto"/>
                </w:tcBorders>
                <w:vAlign w:val="center"/>
              </w:tcPr>
              <w:p w14:paraId="6E0A108E"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hint="eastAsia"/>
                  </w:rPr>
                  <w:t>0</w:t>
                </w:r>
              </w:p>
            </w:tc>
            <w:tc>
              <w:tcPr>
                <w:tcW w:w="495" w:type="pct"/>
                <w:tcBorders>
                  <w:top w:val="single" w:sz="4" w:space="0" w:color="auto"/>
                  <w:left w:val="single" w:sz="4" w:space="0" w:color="auto"/>
                  <w:bottom w:val="single" w:sz="4" w:space="0" w:color="auto"/>
                  <w:right w:val="single" w:sz="4" w:space="0" w:color="auto"/>
                </w:tcBorders>
                <w:vAlign w:val="center"/>
              </w:tcPr>
              <w:p w14:paraId="132A097B"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rPr>
                  <w:t>11.72</w:t>
                </w:r>
              </w:p>
            </w:tc>
            <w:tc>
              <w:tcPr>
                <w:tcW w:w="495" w:type="pct"/>
                <w:tcBorders>
                  <w:top w:val="single" w:sz="4" w:space="0" w:color="auto"/>
                  <w:left w:val="single" w:sz="4" w:space="0" w:color="auto"/>
                  <w:bottom w:val="single" w:sz="4" w:space="0" w:color="auto"/>
                  <w:right w:val="single" w:sz="4" w:space="0" w:color="auto"/>
                </w:tcBorders>
                <w:vAlign w:val="center"/>
              </w:tcPr>
              <w:p w14:paraId="4EBA6AC1"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rPr>
                  <w:t>0</w:t>
                </w:r>
              </w:p>
            </w:tc>
            <w:tc>
              <w:tcPr>
                <w:tcW w:w="423" w:type="pct"/>
                <w:tcBorders>
                  <w:top w:val="single" w:sz="4" w:space="0" w:color="auto"/>
                  <w:left w:val="single" w:sz="4" w:space="0" w:color="auto"/>
                  <w:bottom w:val="single" w:sz="4" w:space="0" w:color="auto"/>
                  <w:right w:val="single" w:sz="4" w:space="0" w:color="auto"/>
                </w:tcBorders>
                <w:vAlign w:val="center"/>
              </w:tcPr>
              <w:p w14:paraId="609E5B5B"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rPr>
                  <w:t>8</w:t>
                </w:r>
              </w:p>
            </w:tc>
            <w:tc>
              <w:tcPr>
                <w:tcW w:w="496" w:type="pct"/>
                <w:tcBorders>
                  <w:top w:val="single" w:sz="4" w:space="0" w:color="auto"/>
                  <w:left w:val="single" w:sz="4" w:space="0" w:color="auto"/>
                  <w:bottom w:val="single" w:sz="4" w:space="0" w:color="auto"/>
                  <w:right w:val="single" w:sz="4" w:space="0" w:color="auto"/>
                </w:tcBorders>
                <w:vAlign w:val="center"/>
              </w:tcPr>
              <w:p w14:paraId="3623ABD1"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rPr>
                  <w:t>8</w:t>
                </w:r>
              </w:p>
            </w:tc>
            <w:tc>
              <w:tcPr>
                <w:tcW w:w="496" w:type="pct"/>
                <w:tcBorders>
                  <w:top w:val="single" w:sz="4" w:space="0" w:color="auto"/>
                  <w:left w:val="single" w:sz="4" w:space="0" w:color="auto"/>
                  <w:bottom w:val="single" w:sz="4" w:space="0" w:color="auto"/>
                  <w:right w:val="single" w:sz="4" w:space="0" w:color="auto"/>
                </w:tcBorders>
                <w:vAlign w:val="center"/>
              </w:tcPr>
              <w:p w14:paraId="11835123"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kern w:val="2"/>
                  </w:rPr>
                </w:pPr>
                <w:r>
                  <w:rPr>
                    <w:rFonts w:asciiTheme="minorEastAsia" w:eastAsiaTheme="minorEastAsia" w:hAnsiTheme="minorEastAsia"/>
                    <w:kern w:val="2"/>
                  </w:rPr>
                  <w:t>29.92</w:t>
                </w:r>
              </w:p>
            </w:tc>
          </w:tr>
          <w:tr w:rsidR="00B201D3" w14:paraId="3447527D" w14:textId="77777777">
            <w:tc>
              <w:tcPr>
                <w:tcW w:w="1312" w:type="pct"/>
                <w:gridSpan w:val="2"/>
                <w:tcBorders>
                  <w:top w:val="single" w:sz="4" w:space="0" w:color="auto"/>
                  <w:left w:val="single" w:sz="4" w:space="0" w:color="auto"/>
                  <w:bottom w:val="single" w:sz="4" w:space="0" w:color="auto"/>
                  <w:right w:val="single" w:sz="4" w:space="0" w:color="auto"/>
                </w:tcBorders>
                <w:vAlign w:val="center"/>
              </w:tcPr>
              <w:p w14:paraId="3DBA1D79"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hint="eastAsia"/>
                  </w:rPr>
                  <w:t>董事和高管合计</w:t>
                </w:r>
              </w:p>
            </w:tc>
            <w:tc>
              <w:tcPr>
                <w:tcW w:w="627" w:type="pct"/>
                <w:tcBorders>
                  <w:top w:val="single" w:sz="4" w:space="0" w:color="auto"/>
                  <w:left w:val="single" w:sz="4" w:space="0" w:color="auto"/>
                  <w:bottom w:val="single" w:sz="4" w:space="0" w:color="auto"/>
                  <w:right w:val="single" w:sz="4" w:space="0" w:color="auto"/>
                </w:tcBorders>
                <w:vAlign w:val="center"/>
              </w:tcPr>
              <w:p w14:paraId="280972D1"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hint="eastAsia"/>
                  </w:rPr>
                  <w:t>108</w:t>
                </w:r>
              </w:p>
            </w:tc>
            <w:tc>
              <w:tcPr>
                <w:tcW w:w="654" w:type="pct"/>
                <w:tcBorders>
                  <w:top w:val="single" w:sz="4" w:space="0" w:color="auto"/>
                  <w:left w:val="single" w:sz="4" w:space="0" w:color="auto"/>
                  <w:bottom w:val="single" w:sz="4" w:space="0" w:color="auto"/>
                  <w:right w:val="single" w:sz="4" w:space="0" w:color="auto"/>
                </w:tcBorders>
                <w:vAlign w:val="center"/>
              </w:tcPr>
              <w:p w14:paraId="0D8676D3"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highlight w:val="yellow"/>
                  </w:rPr>
                </w:pPr>
                <w:r>
                  <w:rPr>
                    <w:rFonts w:asciiTheme="minorEastAsia" w:eastAsiaTheme="minorEastAsia" w:hAnsiTheme="minorEastAsia" w:hint="eastAsia"/>
                  </w:rPr>
                  <w:t>0</w:t>
                </w:r>
              </w:p>
            </w:tc>
            <w:tc>
              <w:tcPr>
                <w:tcW w:w="495" w:type="pct"/>
                <w:tcBorders>
                  <w:top w:val="single" w:sz="4" w:space="0" w:color="auto"/>
                  <w:left w:val="single" w:sz="4" w:space="0" w:color="auto"/>
                  <w:bottom w:val="single" w:sz="4" w:space="0" w:color="auto"/>
                  <w:right w:val="single" w:sz="4" w:space="0" w:color="auto"/>
                </w:tcBorders>
                <w:vAlign w:val="center"/>
              </w:tcPr>
              <w:p w14:paraId="7A892749"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rPr>
                  <w:t>11.72</w:t>
                </w:r>
              </w:p>
            </w:tc>
            <w:tc>
              <w:tcPr>
                <w:tcW w:w="495" w:type="pct"/>
                <w:tcBorders>
                  <w:top w:val="single" w:sz="4" w:space="0" w:color="auto"/>
                  <w:left w:val="single" w:sz="4" w:space="0" w:color="auto"/>
                  <w:bottom w:val="single" w:sz="4" w:space="0" w:color="auto"/>
                  <w:right w:val="single" w:sz="4" w:space="0" w:color="auto"/>
                </w:tcBorders>
                <w:vAlign w:val="center"/>
              </w:tcPr>
              <w:p w14:paraId="7AB502EB"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hint="eastAsia"/>
                  </w:rPr>
                  <w:t>0</w:t>
                </w:r>
              </w:p>
            </w:tc>
            <w:tc>
              <w:tcPr>
                <w:tcW w:w="423" w:type="pct"/>
                <w:tcBorders>
                  <w:top w:val="single" w:sz="4" w:space="0" w:color="auto"/>
                  <w:left w:val="single" w:sz="4" w:space="0" w:color="auto"/>
                  <w:bottom w:val="single" w:sz="4" w:space="0" w:color="auto"/>
                  <w:right w:val="single" w:sz="4" w:space="0" w:color="auto"/>
                </w:tcBorders>
                <w:vAlign w:val="center"/>
              </w:tcPr>
              <w:p w14:paraId="0D3DE4B0"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highlight w:val="yellow"/>
                  </w:rPr>
                </w:pPr>
                <w:r>
                  <w:rPr>
                    <w:rFonts w:asciiTheme="minorEastAsia" w:eastAsiaTheme="minorEastAsia" w:hAnsiTheme="minorEastAsia" w:hint="eastAsia"/>
                  </w:rPr>
                  <w:t>108</w:t>
                </w:r>
              </w:p>
            </w:tc>
            <w:tc>
              <w:tcPr>
                <w:tcW w:w="496" w:type="pct"/>
                <w:tcBorders>
                  <w:top w:val="single" w:sz="4" w:space="0" w:color="auto"/>
                  <w:left w:val="single" w:sz="4" w:space="0" w:color="auto"/>
                  <w:bottom w:val="single" w:sz="4" w:space="0" w:color="auto"/>
                  <w:right w:val="single" w:sz="4" w:space="0" w:color="auto"/>
                </w:tcBorders>
                <w:vAlign w:val="center"/>
              </w:tcPr>
              <w:p w14:paraId="1A7AFC65" w14:textId="77777777" w:rsidR="00B201D3" w:rsidRDefault="009855E8">
                <w:pPr>
                  <w:jc w:val="center"/>
                  <w:rPr>
                    <w:rFonts w:asciiTheme="minorEastAsia" w:eastAsiaTheme="minorEastAsia" w:hAnsiTheme="minorEastAsia"/>
                    <w:highlight w:val="yellow"/>
                  </w:rPr>
                </w:pPr>
                <w:r>
                  <w:rPr>
                    <w:rFonts w:asciiTheme="minorEastAsia" w:eastAsiaTheme="minorEastAsia" w:hAnsiTheme="minorEastAsia" w:hint="eastAsia"/>
                  </w:rPr>
                  <w:t>108</w:t>
                </w:r>
              </w:p>
            </w:tc>
            <w:tc>
              <w:tcPr>
                <w:tcW w:w="496" w:type="pct"/>
                <w:tcBorders>
                  <w:top w:val="single" w:sz="4" w:space="0" w:color="auto"/>
                  <w:left w:val="single" w:sz="4" w:space="0" w:color="auto"/>
                  <w:bottom w:val="single" w:sz="4" w:space="0" w:color="auto"/>
                  <w:right w:val="single" w:sz="4" w:space="0" w:color="auto"/>
                </w:tcBorders>
                <w:vAlign w:val="center"/>
              </w:tcPr>
              <w:p w14:paraId="7B317AF7" w14:textId="77777777" w:rsidR="00B201D3" w:rsidRDefault="009855E8">
                <w:pPr>
                  <w:jc w:val="center"/>
                  <w:rPr>
                    <w:rFonts w:asciiTheme="minorEastAsia" w:eastAsiaTheme="minorEastAsia" w:hAnsiTheme="minorEastAsia"/>
                  </w:rPr>
                </w:pPr>
                <w:r>
                  <w:rPr>
                    <w:rFonts w:asciiTheme="minorEastAsia" w:eastAsiaTheme="minorEastAsia" w:hAnsiTheme="minorEastAsia"/>
                  </w:rPr>
                  <w:t>29.92</w:t>
                </w:r>
              </w:p>
            </w:tc>
          </w:tr>
          <w:tr w:rsidR="00B201D3" w14:paraId="22EA64B6" w14:textId="77777777">
            <w:tc>
              <w:tcPr>
                <w:tcW w:w="1312" w:type="pct"/>
                <w:gridSpan w:val="2"/>
                <w:tcBorders>
                  <w:top w:val="single" w:sz="4" w:space="0" w:color="auto"/>
                  <w:left w:val="single" w:sz="4" w:space="0" w:color="auto"/>
                  <w:bottom w:val="single" w:sz="4" w:space="0" w:color="auto"/>
                  <w:right w:val="single" w:sz="4" w:space="0" w:color="auto"/>
                </w:tcBorders>
                <w:vAlign w:val="center"/>
              </w:tcPr>
              <w:p w14:paraId="2F344985"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hint="eastAsia"/>
                  </w:rPr>
                  <w:t>其他人员合计</w:t>
                </w:r>
              </w:p>
            </w:tc>
            <w:tc>
              <w:tcPr>
                <w:tcW w:w="627" w:type="pct"/>
                <w:tcBorders>
                  <w:top w:val="single" w:sz="4" w:space="0" w:color="auto"/>
                  <w:left w:val="single" w:sz="4" w:space="0" w:color="auto"/>
                  <w:bottom w:val="single" w:sz="4" w:space="0" w:color="auto"/>
                  <w:right w:val="single" w:sz="4" w:space="0" w:color="auto"/>
                </w:tcBorders>
                <w:vAlign w:val="center"/>
              </w:tcPr>
              <w:p w14:paraId="03F5516E"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hint="eastAsia"/>
                  </w:rPr>
                  <w:t>6,066</w:t>
                </w:r>
              </w:p>
            </w:tc>
            <w:tc>
              <w:tcPr>
                <w:tcW w:w="654" w:type="pct"/>
                <w:tcBorders>
                  <w:top w:val="single" w:sz="4" w:space="0" w:color="auto"/>
                  <w:left w:val="single" w:sz="4" w:space="0" w:color="auto"/>
                  <w:bottom w:val="single" w:sz="4" w:space="0" w:color="auto"/>
                  <w:right w:val="single" w:sz="4" w:space="0" w:color="auto"/>
                </w:tcBorders>
                <w:vAlign w:val="center"/>
              </w:tcPr>
              <w:p w14:paraId="7541A1D4"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highlight w:val="yellow"/>
                  </w:rPr>
                </w:pPr>
                <w:r>
                  <w:rPr>
                    <w:rFonts w:asciiTheme="minorEastAsia" w:eastAsiaTheme="minorEastAsia" w:hAnsiTheme="minorEastAsia" w:hint="eastAsia"/>
                  </w:rPr>
                  <w:t>0</w:t>
                </w:r>
              </w:p>
            </w:tc>
            <w:tc>
              <w:tcPr>
                <w:tcW w:w="495" w:type="pct"/>
                <w:tcBorders>
                  <w:top w:val="single" w:sz="4" w:space="0" w:color="auto"/>
                  <w:left w:val="single" w:sz="4" w:space="0" w:color="auto"/>
                  <w:bottom w:val="single" w:sz="4" w:space="0" w:color="auto"/>
                  <w:right w:val="single" w:sz="4" w:space="0" w:color="auto"/>
                </w:tcBorders>
                <w:vAlign w:val="center"/>
              </w:tcPr>
              <w:p w14:paraId="71EA3D0C"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hint="eastAsia"/>
                  </w:rPr>
                  <w:t>11.72</w:t>
                </w:r>
              </w:p>
            </w:tc>
            <w:tc>
              <w:tcPr>
                <w:tcW w:w="495" w:type="pct"/>
                <w:tcBorders>
                  <w:top w:val="single" w:sz="4" w:space="0" w:color="auto"/>
                  <w:left w:val="single" w:sz="4" w:space="0" w:color="auto"/>
                  <w:bottom w:val="single" w:sz="4" w:space="0" w:color="auto"/>
                  <w:right w:val="single" w:sz="4" w:space="0" w:color="auto"/>
                </w:tcBorders>
                <w:vAlign w:val="center"/>
              </w:tcPr>
              <w:p w14:paraId="4234D917"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hint="eastAsia"/>
                  </w:rPr>
                  <w:t>0</w:t>
                </w:r>
              </w:p>
            </w:tc>
            <w:tc>
              <w:tcPr>
                <w:tcW w:w="423" w:type="pct"/>
                <w:tcBorders>
                  <w:top w:val="single" w:sz="4" w:space="0" w:color="auto"/>
                  <w:left w:val="single" w:sz="4" w:space="0" w:color="auto"/>
                  <w:bottom w:val="single" w:sz="4" w:space="0" w:color="auto"/>
                  <w:right w:val="single" w:sz="4" w:space="0" w:color="auto"/>
                </w:tcBorders>
                <w:vAlign w:val="center"/>
              </w:tcPr>
              <w:p w14:paraId="00791835"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highlight w:val="yellow"/>
                  </w:rPr>
                </w:pPr>
                <w:r>
                  <w:rPr>
                    <w:rFonts w:asciiTheme="minorEastAsia" w:eastAsiaTheme="minorEastAsia" w:hAnsiTheme="minorEastAsia" w:hint="eastAsia"/>
                  </w:rPr>
                  <w:t>6,066</w:t>
                </w:r>
              </w:p>
            </w:tc>
            <w:tc>
              <w:tcPr>
                <w:tcW w:w="496" w:type="pct"/>
                <w:tcBorders>
                  <w:top w:val="single" w:sz="4" w:space="0" w:color="auto"/>
                  <w:left w:val="single" w:sz="4" w:space="0" w:color="auto"/>
                  <w:bottom w:val="single" w:sz="4" w:space="0" w:color="auto"/>
                  <w:right w:val="single" w:sz="4" w:space="0" w:color="auto"/>
                </w:tcBorders>
                <w:vAlign w:val="center"/>
              </w:tcPr>
              <w:p w14:paraId="40A25C5B" w14:textId="77777777" w:rsidR="00B201D3" w:rsidRDefault="009855E8">
                <w:pPr>
                  <w:jc w:val="center"/>
                  <w:rPr>
                    <w:rFonts w:asciiTheme="minorEastAsia" w:eastAsiaTheme="minorEastAsia" w:hAnsiTheme="minorEastAsia"/>
                    <w:highlight w:val="yellow"/>
                  </w:rPr>
                </w:pPr>
                <w:r>
                  <w:rPr>
                    <w:rFonts w:asciiTheme="minorEastAsia" w:eastAsiaTheme="minorEastAsia" w:hAnsiTheme="minorEastAsia" w:hint="eastAsia"/>
                  </w:rPr>
                  <w:t>6,066</w:t>
                </w:r>
              </w:p>
            </w:tc>
            <w:tc>
              <w:tcPr>
                <w:tcW w:w="496" w:type="pct"/>
                <w:tcBorders>
                  <w:top w:val="single" w:sz="4" w:space="0" w:color="auto"/>
                  <w:left w:val="single" w:sz="4" w:space="0" w:color="auto"/>
                  <w:bottom w:val="single" w:sz="4" w:space="0" w:color="auto"/>
                  <w:right w:val="single" w:sz="4" w:space="0" w:color="auto"/>
                </w:tcBorders>
                <w:vAlign w:val="center"/>
              </w:tcPr>
              <w:p w14:paraId="2FBDE441" w14:textId="77777777" w:rsidR="00B201D3" w:rsidRDefault="009855E8">
                <w:pPr>
                  <w:jc w:val="center"/>
                  <w:rPr>
                    <w:rFonts w:asciiTheme="minorEastAsia" w:eastAsiaTheme="minorEastAsia" w:hAnsiTheme="minorEastAsia"/>
                  </w:rPr>
                </w:pPr>
                <w:r>
                  <w:rPr>
                    <w:rFonts w:asciiTheme="minorEastAsia" w:eastAsiaTheme="minorEastAsia" w:hAnsiTheme="minorEastAsia"/>
                  </w:rPr>
                  <w:t>29.92</w:t>
                </w:r>
              </w:p>
            </w:tc>
          </w:tr>
          <w:tr w:rsidR="00B201D3" w14:paraId="5A499B6A" w14:textId="77777777">
            <w:tc>
              <w:tcPr>
                <w:tcW w:w="1312" w:type="pct"/>
                <w:gridSpan w:val="2"/>
                <w:tcBorders>
                  <w:top w:val="single" w:sz="4" w:space="0" w:color="auto"/>
                  <w:left w:val="single" w:sz="4" w:space="0" w:color="auto"/>
                  <w:bottom w:val="single" w:sz="4" w:space="0" w:color="auto"/>
                  <w:right w:val="single" w:sz="4" w:space="0" w:color="auto"/>
                </w:tcBorders>
                <w:vAlign w:val="center"/>
              </w:tcPr>
              <w:p w14:paraId="15265E74"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hint="eastAsia"/>
                  </w:rPr>
                  <w:t>合计</w:t>
                </w:r>
              </w:p>
            </w:tc>
            <w:tc>
              <w:tcPr>
                <w:tcW w:w="627" w:type="pct"/>
                <w:tcBorders>
                  <w:top w:val="single" w:sz="4" w:space="0" w:color="auto"/>
                  <w:left w:val="single" w:sz="4" w:space="0" w:color="auto"/>
                  <w:bottom w:val="single" w:sz="4" w:space="0" w:color="auto"/>
                  <w:right w:val="single" w:sz="4" w:space="0" w:color="auto"/>
                </w:tcBorders>
                <w:vAlign w:val="center"/>
              </w:tcPr>
              <w:p w14:paraId="7C0254CA"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hint="eastAsia"/>
                  </w:rPr>
                  <w:t>6,174</w:t>
                </w:r>
              </w:p>
            </w:tc>
            <w:tc>
              <w:tcPr>
                <w:tcW w:w="654" w:type="pct"/>
                <w:tcBorders>
                  <w:top w:val="single" w:sz="4" w:space="0" w:color="auto"/>
                  <w:left w:val="single" w:sz="4" w:space="0" w:color="auto"/>
                  <w:bottom w:val="single" w:sz="4" w:space="0" w:color="auto"/>
                  <w:right w:val="single" w:sz="4" w:space="0" w:color="auto"/>
                </w:tcBorders>
                <w:vAlign w:val="center"/>
              </w:tcPr>
              <w:p w14:paraId="007BC29F"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highlight w:val="yellow"/>
                  </w:rPr>
                </w:pPr>
                <w:r>
                  <w:rPr>
                    <w:rFonts w:asciiTheme="minorEastAsia" w:eastAsiaTheme="minorEastAsia" w:hAnsiTheme="minorEastAsia" w:hint="eastAsia"/>
                  </w:rPr>
                  <w:t>0</w:t>
                </w:r>
              </w:p>
            </w:tc>
            <w:tc>
              <w:tcPr>
                <w:tcW w:w="495" w:type="pct"/>
                <w:tcBorders>
                  <w:top w:val="single" w:sz="4" w:space="0" w:color="auto"/>
                  <w:left w:val="single" w:sz="4" w:space="0" w:color="auto"/>
                  <w:bottom w:val="single" w:sz="4" w:space="0" w:color="auto"/>
                  <w:right w:val="single" w:sz="4" w:space="0" w:color="auto"/>
                </w:tcBorders>
                <w:vAlign w:val="center"/>
              </w:tcPr>
              <w:p w14:paraId="26E5FD58"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hint="eastAsia"/>
                  </w:rPr>
                  <w:t>11.72</w:t>
                </w:r>
              </w:p>
            </w:tc>
            <w:tc>
              <w:tcPr>
                <w:tcW w:w="495" w:type="pct"/>
                <w:tcBorders>
                  <w:top w:val="single" w:sz="4" w:space="0" w:color="auto"/>
                  <w:left w:val="single" w:sz="4" w:space="0" w:color="auto"/>
                  <w:bottom w:val="single" w:sz="4" w:space="0" w:color="auto"/>
                  <w:right w:val="single" w:sz="4" w:space="0" w:color="auto"/>
                </w:tcBorders>
                <w:vAlign w:val="center"/>
              </w:tcPr>
              <w:p w14:paraId="6034D98E"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rPr>
                </w:pPr>
                <w:r>
                  <w:rPr>
                    <w:rFonts w:asciiTheme="minorEastAsia" w:eastAsiaTheme="minorEastAsia" w:hAnsiTheme="minorEastAsia" w:hint="eastAsia"/>
                  </w:rPr>
                  <w:t>0</w:t>
                </w:r>
              </w:p>
            </w:tc>
            <w:tc>
              <w:tcPr>
                <w:tcW w:w="423" w:type="pct"/>
                <w:tcBorders>
                  <w:top w:val="single" w:sz="4" w:space="0" w:color="auto"/>
                  <w:left w:val="single" w:sz="4" w:space="0" w:color="auto"/>
                  <w:bottom w:val="single" w:sz="4" w:space="0" w:color="auto"/>
                  <w:right w:val="single" w:sz="4" w:space="0" w:color="auto"/>
                </w:tcBorders>
                <w:vAlign w:val="center"/>
              </w:tcPr>
              <w:p w14:paraId="668B17F4" w14:textId="77777777" w:rsidR="00B201D3" w:rsidRDefault="009855E8">
                <w:pPr>
                  <w:kinsoku w:val="0"/>
                  <w:overflowPunct w:val="0"/>
                  <w:autoSpaceDE w:val="0"/>
                  <w:autoSpaceDN w:val="0"/>
                  <w:adjustRightInd w:val="0"/>
                  <w:snapToGrid w:val="0"/>
                  <w:jc w:val="center"/>
                  <w:rPr>
                    <w:rFonts w:asciiTheme="minorEastAsia" w:eastAsiaTheme="minorEastAsia" w:hAnsiTheme="minorEastAsia"/>
                    <w:highlight w:val="yellow"/>
                  </w:rPr>
                </w:pPr>
                <w:r>
                  <w:rPr>
                    <w:rFonts w:asciiTheme="minorEastAsia" w:eastAsiaTheme="minorEastAsia" w:hAnsiTheme="minorEastAsia" w:hint="eastAsia"/>
                  </w:rPr>
                  <w:t>6,174</w:t>
                </w:r>
              </w:p>
            </w:tc>
            <w:tc>
              <w:tcPr>
                <w:tcW w:w="496" w:type="pct"/>
                <w:tcBorders>
                  <w:top w:val="single" w:sz="4" w:space="0" w:color="auto"/>
                  <w:left w:val="single" w:sz="4" w:space="0" w:color="auto"/>
                  <w:bottom w:val="single" w:sz="4" w:space="0" w:color="auto"/>
                  <w:right w:val="single" w:sz="4" w:space="0" w:color="auto"/>
                </w:tcBorders>
                <w:vAlign w:val="center"/>
              </w:tcPr>
              <w:p w14:paraId="0122DB70" w14:textId="77777777" w:rsidR="00B201D3" w:rsidRDefault="009855E8">
                <w:pPr>
                  <w:jc w:val="center"/>
                  <w:rPr>
                    <w:rFonts w:asciiTheme="minorEastAsia" w:eastAsiaTheme="minorEastAsia" w:hAnsiTheme="minorEastAsia"/>
                    <w:highlight w:val="yellow"/>
                  </w:rPr>
                </w:pPr>
                <w:r>
                  <w:rPr>
                    <w:rFonts w:asciiTheme="minorEastAsia" w:eastAsiaTheme="minorEastAsia" w:hAnsiTheme="minorEastAsia"/>
                  </w:rPr>
                  <w:t>6,174</w:t>
                </w:r>
              </w:p>
            </w:tc>
            <w:tc>
              <w:tcPr>
                <w:tcW w:w="496" w:type="pct"/>
                <w:tcBorders>
                  <w:top w:val="single" w:sz="4" w:space="0" w:color="auto"/>
                  <w:left w:val="single" w:sz="4" w:space="0" w:color="auto"/>
                  <w:bottom w:val="single" w:sz="4" w:space="0" w:color="auto"/>
                  <w:right w:val="single" w:sz="4" w:space="0" w:color="auto"/>
                </w:tcBorders>
                <w:vAlign w:val="center"/>
              </w:tcPr>
              <w:p w14:paraId="31490B77" w14:textId="77777777" w:rsidR="00B201D3" w:rsidRDefault="009855E8">
                <w:pPr>
                  <w:jc w:val="center"/>
                  <w:rPr>
                    <w:rFonts w:asciiTheme="minorEastAsia" w:eastAsiaTheme="minorEastAsia" w:hAnsiTheme="minorEastAsia"/>
                  </w:rPr>
                </w:pPr>
                <w:r>
                  <w:rPr>
                    <w:rFonts w:asciiTheme="minorEastAsia" w:eastAsiaTheme="minorEastAsia" w:hAnsiTheme="minorEastAsia"/>
                  </w:rPr>
                  <w:t>29.92</w:t>
                </w:r>
              </w:p>
            </w:tc>
          </w:tr>
        </w:tbl>
        <w:p w14:paraId="54DC05EA" w14:textId="77777777" w:rsidR="00B201D3" w:rsidRDefault="00B201D3">
          <w:pPr>
            <w:pStyle w:val="3903"/>
          </w:pPr>
        </w:p>
        <w:p w14:paraId="17DBC06C" w14:textId="77777777" w:rsidR="00B201D3" w:rsidRDefault="009855E8" w:rsidP="00431878">
          <w:pPr>
            <w:pStyle w:val="3903"/>
            <w:ind w:firstLineChars="200" w:firstLine="420"/>
            <w:rPr>
              <w:rFonts w:asciiTheme="minorEastAsia" w:eastAsiaTheme="minorEastAsia" w:hAnsiTheme="minorEastAsia"/>
            </w:rPr>
          </w:pPr>
          <w:r>
            <w:rPr>
              <w:rFonts w:asciiTheme="minorEastAsia" w:eastAsiaTheme="minorEastAsia" w:hAnsiTheme="minorEastAsia" w:hint="eastAsia"/>
            </w:rPr>
            <w:t>注：</w:t>
          </w:r>
        </w:p>
        <w:p w14:paraId="64719D9D" w14:textId="77777777" w:rsidR="00B201D3" w:rsidRDefault="009855E8">
          <w:pPr>
            <w:pStyle w:val="3903"/>
            <w:ind w:firstLineChars="200" w:firstLine="420"/>
            <w:rPr>
              <w:rFonts w:asciiTheme="minorEastAsia" w:eastAsiaTheme="minorEastAsia" w:hAnsiTheme="minorEastAsia"/>
            </w:rPr>
          </w:pPr>
          <w:r>
            <w:rPr>
              <w:rFonts w:asciiTheme="minorEastAsia" w:eastAsiaTheme="minorEastAsia" w:hAnsiTheme="minorEastAsia"/>
            </w:rPr>
            <w:lastRenderedPageBreak/>
            <w:fldChar w:fldCharType="begin"/>
          </w:r>
          <w:r>
            <w:rPr>
              <w:rFonts w:asciiTheme="minorEastAsia" w:eastAsiaTheme="minorEastAsia" w:hAnsiTheme="minorEastAsia"/>
            </w:rPr>
            <w:instrText xml:space="preserve"> </w:instrText>
          </w:r>
          <w:r>
            <w:rPr>
              <w:rFonts w:asciiTheme="minorEastAsia" w:eastAsiaTheme="minorEastAsia" w:hAnsiTheme="minorEastAsia" w:hint="eastAsia"/>
            </w:rPr>
            <w:instrText>= 1 \* GB3</w:instrText>
          </w:r>
          <w:r>
            <w:rPr>
              <w:rFonts w:asciiTheme="minorEastAsia" w:eastAsiaTheme="minorEastAsia" w:hAnsiTheme="minorEastAsia"/>
            </w:rPr>
            <w:instrText xml:space="preserve"> </w:instrText>
          </w:r>
          <w:r>
            <w:rPr>
              <w:rFonts w:asciiTheme="minorEastAsia" w:eastAsiaTheme="minorEastAsia" w:hAnsiTheme="minorEastAsia"/>
            </w:rPr>
            <w:fldChar w:fldCharType="separate"/>
          </w:r>
          <w:r>
            <w:rPr>
              <w:rFonts w:asciiTheme="minorEastAsia" w:eastAsiaTheme="minorEastAsia" w:hAnsiTheme="minorEastAsia" w:hint="eastAsia"/>
            </w:rPr>
            <w:t>①</w:t>
          </w:r>
          <w:r>
            <w:rPr>
              <w:rFonts w:asciiTheme="minorEastAsia" w:eastAsiaTheme="minorEastAsia" w:hAnsiTheme="minorEastAsia"/>
            </w:rPr>
            <w:fldChar w:fldCharType="end"/>
          </w:r>
          <w:r>
            <w:rPr>
              <w:rFonts w:asciiTheme="minorEastAsia" w:eastAsiaTheme="minorEastAsia" w:hAnsiTheme="minorEastAsia" w:hint="eastAsia"/>
            </w:rPr>
            <w:t>上表根据本报告披露日公司董事、高级管理人员任职情况填列。</w:t>
          </w:r>
        </w:p>
        <w:p w14:paraId="75B87A95" w14:textId="77777777" w:rsidR="00B201D3" w:rsidRDefault="009855E8">
          <w:pPr>
            <w:pStyle w:val="3903"/>
            <w:ind w:firstLineChars="200" w:firstLine="420"/>
            <w:rPr>
              <w:rFonts w:asciiTheme="minorEastAsia" w:eastAsiaTheme="minorEastAsia" w:hAnsiTheme="minorEastAsia"/>
            </w:rPr>
          </w:pPr>
          <w:r>
            <w:rPr>
              <w:rFonts w:asciiTheme="minorEastAsia" w:eastAsiaTheme="minorEastAsia" w:hAnsiTheme="minorEastAsia"/>
            </w:rPr>
            <w:fldChar w:fldCharType="begin"/>
          </w:r>
          <w:r>
            <w:rPr>
              <w:rFonts w:asciiTheme="minorEastAsia" w:eastAsiaTheme="minorEastAsia" w:hAnsiTheme="minorEastAsia"/>
            </w:rPr>
            <w:instrText xml:space="preserve"> </w:instrText>
          </w:r>
          <w:r>
            <w:rPr>
              <w:rFonts w:asciiTheme="minorEastAsia" w:eastAsiaTheme="minorEastAsia" w:hAnsiTheme="minorEastAsia" w:hint="eastAsia"/>
            </w:rPr>
            <w:instrText>= 2 \* GB3</w:instrText>
          </w:r>
          <w:r>
            <w:rPr>
              <w:rFonts w:asciiTheme="minorEastAsia" w:eastAsiaTheme="minorEastAsia" w:hAnsiTheme="minorEastAsia"/>
            </w:rPr>
            <w:instrText xml:space="preserve"> </w:instrText>
          </w:r>
          <w:r>
            <w:rPr>
              <w:rFonts w:asciiTheme="minorEastAsia" w:eastAsiaTheme="minorEastAsia" w:hAnsiTheme="minorEastAsia"/>
            </w:rPr>
            <w:fldChar w:fldCharType="separate"/>
          </w:r>
          <w:r>
            <w:rPr>
              <w:rFonts w:asciiTheme="minorEastAsia" w:eastAsiaTheme="minorEastAsia" w:hAnsiTheme="minorEastAsia" w:hint="eastAsia"/>
            </w:rPr>
            <w:t>②</w:t>
          </w:r>
          <w:r>
            <w:rPr>
              <w:rFonts w:asciiTheme="minorEastAsia" w:eastAsiaTheme="minorEastAsia" w:hAnsiTheme="minorEastAsia"/>
            </w:rPr>
            <w:fldChar w:fldCharType="end"/>
          </w:r>
          <w:r>
            <w:rPr>
              <w:rFonts w:asciiTheme="minorEastAsia" w:eastAsiaTheme="minorEastAsia" w:hAnsiTheme="minorEastAsia" w:hint="eastAsia"/>
            </w:rPr>
            <w:t>根据公司限制性股票激励计划，表内各激励对象于</w:t>
          </w:r>
          <w:r>
            <w:rPr>
              <w:rFonts w:asciiTheme="minorEastAsia" w:eastAsiaTheme="minorEastAsia" w:hAnsiTheme="minorEastAsia"/>
            </w:rPr>
            <w:t>2022年1月27日获授全部未解锁的限制性股票，紧接该等限制性股票授出日期之前的收盘价为人民币22.06元，本报告期内未授予限制性股票。</w:t>
          </w:r>
        </w:p>
        <w:p w14:paraId="41438B35" w14:textId="77777777" w:rsidR="00B201D3" w:rsidRDefault="00B201D3">
          <w:pPr>
            <w:pStyle w:val="3903"/>
            <w:rPr>
              <w:rFonts w:asciiTheme="minorEastAsia" w:eastAsiaTheme="minorEastAsia" w:hAnsiTheme="minorEastAsia"/>
            </w:rPr>
          </w:pPr>
        </w:p>
        <w:p w14:paraId="57404B71" w14:textId="77777777" w:rsidR="00B201D3" w:rsidRDefault="009855E8">
          <w:pPr>
            <w:ind w:firstLine="420"/>
            <w:rPr>
              <w:rFonts w:asciiTheme="minorEastAsia" w:eastAsiaTheme="minorEastAsia" w:hAnsiTheme="minorEastAsia"/>
            </w:rPr>
          </w:pPr>
          <w:r>
            <w:rPr>
              <w:rFonts w:asciiTheme="minorEastAsia" w:eastAsiaTheme="minorEastAsia" w:hAnsiTheme="minorEastAsia" w:hint="eastAsia"/>
              <w:b/>
              <w:bCs/>
            </w:rPr>
            <w:t>限制性股票激励计划摘要</w:t>
          </w:r>
        </w:p>
        <w:p w14:paraId="589B0A10" w14:textId="77777777" w:rsidR="00B201D3" w:rsidRDefault="009855E8">
          <w:pPr>
            <w:ind w:firstLine="420"/>
            <w:rPr>
              <w:rFonts w:asciiTheme="minorEastAsia" w:eastAsiaTheme="minorEastAsia" w:hAnsiTheme="minorEastAsia"/>
              <w:b/>
            </w:rPr>
          </w:pPr>
          <w:r>
            <w:rPr>
              <w:rFonts w:asciiTheme="minorEastAsia" w:eastAsiaTheme="minorEastAsia" w:hAnsiTheme="minorEastAsia" w:hint="eastAsia"/>
              <w:b/>
            </w:rPr>
            <w:t xml:space="preserve"> </w:t>
          </w:r>
        </w:p>
        <w:p w14:paraId="4EDDE3C0" w14:textId="77777777" w:rsidR="00B201D3" w:rsidRDefault="009855E8" w:rsidP="00657056">
          <w:pPr>
            <w:ind w:firstLine="420"/>
            <w:jc w:val="both"/>
            <w:rPr>
              <w:rFonts w:asciiTheme="minorEastAsia" w:eastAsiaTheme="minorEastAsia" w:hAnsiTheme="minorEastAsia"/>
            </w:rPr>
          </w:pPr>
          <w:r>
            <w:rPr>
              <w:rFonts w:asciiTheme="minorEastAsia" w:eastAsiaTheme="minorEastAsia" w:hAnsiTheme="minorEastAsia" w:hint="eastAsia"/>
            </w:rPr>
            <w:t>（一）限制性股票激励计划授予情况</w:t>
          </w:r>
        </w:p>
        <w:p w14:paraId="317711B8" w14:textId="77777777" w:rsidR="00B201D3" w:rsidRDefault="009855E8" w:rsidP="00657056">
          <w:pPr>
            <w:ind w:firstLine="420"/>
            <w:jc w:val="both"/>
            <w:rPr>
              <w:rFonts w:asciiTheme="minorEastAsia" w:eastAsiaTheme="minorEastAsia" w:hAnsiTheme="minorEastAsia"/>
            </w:rPr>
          </w:pPr>
          <w:r>
            <w:rPr>
              <w:rFonts w:asciiTheme="minorEastAsia" w:eastAsiaTheme="minorEastAsia" w:hAnsiTheme="minorEastAsia" w:hint="eastAsia"/>
            </w:rPr>
            <w:t>1.限制性股票激励计划的目的</w:t>
          </w:r>
        </w:p>
        <w:p w14:paraId="3FEF98EF" w14:textId="77777777" w:rsidR="00B201D3" w:rsidRDefault="009855E8" w:rsidP="00657056">
          <w:pPr>
            <w:ind w:firstLine="420"/>
            <w:jc w:val="both"/>
            <w:rPr>
              <w:rFonts w:asciiTheme="minorEastAsia" w:eastAsiaTheme="minorEastAsia" w:hAnsiTheme="minorEastAsia"/>
            </w:rPr>
          </w:pPr>
          <w:r>
            <w:rPr>
              <w:rFonts w:asciiTheme="minorEastAsia" w:eastAsiaTheme="minorEastAsia" w:hAnsiTheme="minorEastAsia" w:hint="eastAsia"/>
            </w:rPr>
            <w:t>为进一步健全中长期激励机制，充分调动公司管理团队及骨干员工积极性，将股东利益、公司利益和核心团队个人利益紧密结合，提升公司的市场竞争能力与可持续发展能力。</w:t>
          </w:r>
        </w:p>
        <w:p w14:paraId="65CAE18A" w14:textId="77777777" w:rsidR="00B201D3" w:rsidRDefault="009855E8" w:rsidP="00657056">
          <w:pPr>
            <w:ind w:firstLine="420"/>
            <w:jc w:val="both"/>
            <w:rPr>
              <w:rFonts w:asciiTheme="minorEastAsia" w:eastAsiaTheme="minorEastAsia" w:hAnsiTheme="minorEastAsia"/>
            </w:rPr>
          </w:pPr>
          <w:r>
            <w:rPr>
              <w:rFonts w:asciiTheme="minorEastAsia" w:eastAsiaTheme="minorEastAsia" w:hAnsiTheme="minorEastAsia" w:hint="eastAsia"/>
            </w:rPr>
            <w:t>2.激励对象的范围</w:t>
          </w:r>
        </w:p>
        <w:p w14:paraId="333B475F" w14:textId="77777777" w:rsidR="00B201D3" w:rsidRDefault="009855E8" w:rsidP="00657056">
          <w:pPr>
            <w:ind w:firstLine="420"/>
            <w:jc w:val="both"/>
            <w:rPr>
              <w:rFonts w:asciiTheme="minorEastAsia" w:eastAsiaTheme="minorEastAsia" w:hAnsiTheme="minorEastAsia"/>
            </w:rPr>
          </w:pPr>
          <w:r>
            <w:rPr>
              <w:rFonts w:asciiTheme="minorEastAsia" w:eastAsiaTheme="minorEastAsia" w:hAnsiTheme="minorEastAsia" w:hint="eastAsia"/>
            </w:rPr>
            <w:t>限制性股票激励计划的激励对象为当时担任公司董事、高级管理人员、中层管理人员、核心骨干人员等，不包括外部董事（含独立董事）、监事及单独或合计持有公司5%以上股份的股东或实际控制人及其配偶、父母、子女。</w:t>
          </w:r>
        </w:p>
        <w:p w14:paraId="042DD1FF" w14:textId="77777777" w:rsidR="00B201D3" w:rsidRDefault="009855E8" w:rsidP="00657056">
          <w:pPr>
            <w:ind w:firstLine="420"/>
            <w:jc w:val="both"/>
            <w:rPr>
              <w:rFonts w:asciiTheme="minorEastAsia" w:eastAsiaTheme="minorEastAsia" w:hAnsiTheme="minorEastAsia"/>
            </w:rPr>
          </w:pPr>
          <w:r>
            <w:rPr>
              <w:rFonts w:asciiTheme="minorEastAsia" w:eastAsiaTheme="minorEastAsia" w:hAnsiTheme="minorEastAsia" w:hint="eastAsia"/>
            </w:rPr>
            <w:t>3.标的股票数量</w:t>
          </w:r>
        </w:p>
        <w:p w14:paraId="6CDDC5E0" w14:textId="77777777" w:rsidR="00B201D3" w:rsidRDefault="009855E8" w:rsidP="00657056">
          <w:pPr>
            <w:ind w:firstLine="420"/>
            <w:jc w:val="both"/>
            <w:rPr>
              <w:rFonts w:asciiTheme="minorEastAsia" w:eastAsiaTheme="minorEastAsia" w:hAnsiTheme="minorEastAsia"/>
            </w:rPr>
          </w:pPr>
          <w:r>
            <w:rPr>
              <w:rFonts w:asciiTheme="minorEastAsia" w:eastAsiaTheme="minorEastAsia" w:hAnsiTheme="minorEastAsia" w:hint="eastAsia"/>
            </w:rPr>
            <w:t>限制性股票激励计划实际向1,245名激励对象授予6,174万股限制性股票，涉及的标的股票种类为人民币普通股（A股）股票，约占授予日公司总股本487,418.41万股的1.27%。</w:t>
          </w:r>
        </w:p>
        <w:p w14:paraId="12FD22F4" w14:textId="77777777" w:rsidR="00B201D3" w:rsidRDefault="009855E8" w:rsidP="00657056">
          <w:pPr>
            <w:ind w:firstLine="420"/>
            <w:jc w:val="both"/>
            <w:rPr>
              <w:rFonts w:asciiTheme="minorEastAsia" w:eastAsiaTheme="minorEastAsia" w:hAnsiTheme="minorEastAsia"/>
            </w:rPr>
          </w:pPr>
          <w:r>
            <w:rPr>
              <w:rFonts w:asciiTheme="minorEastAsia" w:eastAsiaTheme="minorEastAsia" w:hAnsiTheme="minorEastAsia" w:hint="eastAsia"/>
            </w:rPr>
            <w:t>4.每名参与人可获授权益上限</w:t>
          </w:r>
        </w:p>
        <w:p w14:paraId="1432B8CB" w14:textId="77777777" w:rsidR="00B201D3" w:rsidRDefault="009855E8" w:rsidP="00657056">
          <w:pPr>
            <w:ind w:firstLine="420"/>
            <w:jc w:val="both"/>
            <w:rPr>
              <w:rFonts w:asciiTheme="minorEastAsia" w:eastAsiaTheme="minorEastAsia" w:hAnsiTheme="minorEastAsia"/>
            </w:rPr>
          </w:pPr>
          <w:r>
            <w:rPr>
              <w:rFonts w:asciiTheme="minorEastAsia" w:eastAsiaTheme="minorEastAsia" w:hAnsiTheme="minorEastAsia" w:hint="eastAsia"/>
            </w:rPr>
            <w:t>任何一名激励对象通过全部在有效期内的股权激励计划获授的公司股票数量，累计未超过限制性股票激励计划草案公告日公司股本总额的1%。</w:t>
          </w:r>
        </w:p>
        <w:p w14:paraId="78E80887" w14:textId="77777777" w:rsidR="00B201D3" w:rsidRDefault="009855E8" w:rsidP="00657056">
          <w:pPr>
            <w:ind w:firstLine="420"/>
            <w:jc w:val="both"/>
            <w:rPr>
              <w:rFonts w:asciiTheme="minorEastAsia" w:eastAsiaTheme="minorEastAsia" w:hAnsiTheme="minorEastAsia"/>
            </w:rPr>
          </w:pPr>
          <w:r>
            <w:rPr>
              <w:rFonts w:asciiTheme="minorEastAsia" w:eastAsiaTheme="minorEastAsia" w:hAnsiTheme="minorEastAsia" w:hint="eastAsia"/>
            </w:rPr>
            <w:t>5.授予日</w:t>
          </w:r>
        </w:p>
        <w:p w14:paraId="789C1980" w14:textId="77777777" w:rsidR="00B201D3" w:rsidRDefault="009855E8" w:rsidP="00657056">
          <w:pPr>
            <w:ind w:firstLine="420"/>
            <w:jc w:val="both"/>
            <w:rPr>
              <w:rFonts w:asciiTheme="minorEastAsia" w:eastAsiaTheme="minorEastAsia" w:hAnsiTheme="minorEastAsia"/>
            </w:rPr>
          </w:pPr>
          <w:r>
            <w:rPr>
              <w:rFonts w:asciiTheme="minorEastAsia" w:eastAsiaTheme="minorEastAsia" w:hAnsiTheme="minorEastAsia" w:hint="eastAsia"/>
            </w:rPr>
            <w:t>经2022年1月27日召开的公司第八届董事会第二十次会议审议批准，授予日为2022年1月27日。</w:t>
          </w:r>
        </w:p>
        <w:p w14:paraId="178B4A73" w14:textId="77777777" w:rsidR="00B201D3" w:rsidRDefault="009855E8" w:rsidP="00657056">
          <w:pPr>
            <w:ind w:firstLine="420"/>
            <w:jc w:val="both"/>
            <w:rPr>
              <w:rFonts w:asciiTheme="minorEastAsia" w:eastAsiaTheme="minorEastAsia" w:hAnsiTheme="minorEastAsia"/>
            </w:rPr>
          </w:pPr>
          <w:r>
            <w:rPr>
              <w:rFonts w:asciiTheme="minorEastAsia" w:eastAsiaTheme="minorEastAsia" w:hAnsiTheme="minorEastAsia" w:hint="eastAsia"/>
            </w:rPr>
            <w:t>6.限售期</w:t>
          </w:r>
        </w:p>
        <w:p w14:paraId="55B3D67F" w14:textId="77777777" w:rsidR="00B201D3" w:rsidRDefault="009855E8" w:rsidP="00657056">
          <w:pPr>
            <w:ind w:firstLine="420"/>
            <w:jc w:val="both"/>
            <w:rPr>
              <w:rFonts w:asciiTheme="minorEastAsia" w:eastAsiaTheme="minorEastAsia" w:hAnsiTheme="minorEastAsia"/>
            </w:rPr>
          </w:pPr>
          <w:r>
            <w:rPr>
              <w:rFonts w:asciiTheme="minorEastAsia" w:eastAsiaTheme="minorEastAsia" w:hAnsiTheme="minorEastAsia" w:hint="eastAsia"/>
            </w:rPr>
            <w:t>限制性股票激励计划限售期分别为自限制性股票授予登记完成之日起24个月、36个月、48个月。</w:t>
          </w:r>
        </w:p>
        <w:p w14:paraId="6F38B33B" w14:textId="77777777" w:rsidR="00B201D3" w:rsidRDefault="009855E8" w:rsidP="00657056">
          <w:pPr>
            <w:ind w:firstLine="420"/>
            <w:jc w:val="both"/>
            <w:rPr>
              <w:rFonts w:asciiTheme="minorEastAsia" w:eastAsiaTheme="minorEastAsia" w:hAnsiTheme="minorEastAsia"/>
            </w:rPr>
          </w:pPr>
          <w:r>
            <w:rPr>
              <w:rFonts w:asciiTheme="minorEastAsia" w:eastAsiaTheme="minorEastAsia" w:hAnsiTheme="minorEastAsia" w:hint="eastAsia"/>
            </w:rPr>
            <w:t>7.解除限售安排</w:t>
          </w:r>
        </w:p>
        <w:p w14:paraId="6D40CA41" w14:textId="77777777" w:rsidR="00B201D3" w:rsidRDefault="009855E8" w:rsidP="00657056">
          <w:pPr>
            <w:ind w:firstLine="420"/>
            <w:jc w:val="both"/>
            <w:rPr>
              <w:rFonts w:asciiTheme="minorEastAsia" w:eastAsiaTheme="minorEastAsia" w:hAnsiTheme="minorEastAsia"/>
            </w:rPr>
          </w:pPr>
          <w:r>
            <w:rPr>
              <w:rFonts w:asciiTheme="minorEastAsia" w:eastAsiaTheme="minorEastAsia" w:hAnsiTheme="minorEastAsia" w:hint="eastAsia"/>
            </w:rPr>
            <w:t>限制性股票激励计划授予限制性股票的解除限售期及各期解除限售时间安排如下表所示：</w:t>
          </w:r>
        </w:p>
        <w:tbl>
          <w:tblPr>
            <w:tblStyle w:val="g15"/>
            <w:tblW w:w="8583"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1577"/>
            <w:gridCol w:w="5091"/>
            <w:gridCol w:w="1915"/>
          </w:tblGrid>
          <w:tr w:rsidR="00B201D3" w14:paraId="406B8C80" w14:textId="77777777">
            <w:trPr>
              <w:trHeight w:val="632"/>
              <w:jc w:val="center"/>
            </w:trPr>
            <w:tc>
              <w:tcPr>
                <w:tcW w:w="1577" w:type="dxa"/>
                <w:tcBorders>
                  <w:top w:val="single" w:sz="12" w:space="0" w:color="auto"/>
                  <w:left w:val="single" w:sz="12" w:space="0" w:color="auto"/>
                  <w:bottom w:val="single" w:sz="8" w:space="0" w:color="auto"/>
                  <w:right w:val="single" w:sz="8" w:space="0" w:color="auto"/>
                </w:tcBorders>
                <w:vAlign w:val="center"/>
              </w:tcPr>
              <w:p w14:paraId="699C0823" w14:textId="77777777" w:rsidR="00B201D3" w:rsidRDefault="009855E8">
                <w:pPr>
                  <w:jc w:val="center"/>
                  <w:rPr>
                    <w:rFonts w:asciiTheme="minorEastAsia" w:eastAsiaTheme="minorEastAsia" w:hAnsiTheme="minorEastAsia"/>
                    <w:b/>
                  </w:rPr>
                </w:pPr>
                <w:r>
                  <w:rPr>
                    <w:rFonts w:asciiTheme="minorEastAsia" w:eastAsiaTheme="minorEastAsia" w:hAnsiTheme="minorEastAsia" w:hint="eastAsia"/>
                    <w:b/>
                    <w:sz w:val="20"/>
                    <w:szCs w:val="20"/>
                  </w:rPr>
                  <w:t>解除限售安排</w:t>
                </w:r>
              </w:p>
            </w:tc>
            <w:tc>
              <w:tcPr>
                <w:tcW w:w="5091" w:type="dxa"/>
                <w:tcBorders>
                  <w:top w:val="single" w:sz="12" w:space="0" w:color="auto"/>
                  <w:left w:val="single" w:sz="8" w:space="0" w:color="auto"/>
                  <w:bottom w:val="single" w:sz="8" w:space="0" w:color="auto"/>
                  <w:right w:val="single" w:sz="8" w:space="0" w:color="auto"/>
                </w:tcBorders>
                <w:vAlign w:val="center"/>
              </w:tcPr>
              <w:p w14:paraId="21F10F8B" w14:textId="77777777" w:rsidR="00B201D3" w:rsidRDefault="009855E8">
                <w:pPr>
                  <w:jc w:val="center"/>
                  <w:rPr>
                    <w:rFonts w:asciiTheme="minorEastAsia" w:eastAsiaTheme="minorEastAsia" w:hAnsiTheme="minorEastAsia"/>
                    <w:b/>
                  </w:rPr>
                </w:pPr>
                <w:r>
                  <w:rPr>
                    <w:rFonts w:asciiTheme="minorEastAsia" w:eastAsiaTheme="minorEastAsia" w:hAnsiTheme="minorEastAsia" w:hint="eastAsia"/>
                    <w:b/>
                    <w:sz w:val="20"/>
                    <w:szCs w:val="20"/>
                  </w:rPr>
                  <w:t>解除限售时间</w:t>
                </w:r>
              </w:p>
            </w:tc>
            <w:tc>
              <w:tcPr>
                <w:tcW w:w="1915" w:type="dxa"/>
                <w:tcBorders>
                  <w:top w:val="single" w:sz="12" w:space="0" w:color="auto"/>
                  <w:left w:val="single" w:sz="8" w:space="0" w:color="auto"/>
                  <w:bottom w:val="single" w:sz="8" w:space="0" w:color="auto"/>
                  <w:right w:val="single" w:sz="12" w:space="0" w:color="auto"/>
                </w:tcBorders>
                <w:vAlign w:val="center"/>
              </w:tcPr>
              <w:p w14:paraId="37EDFF65" w14:textId="77777777" w:rsidR="00B201D3" w:rsidRDefault="009855E8">
                <w:pPr>
                  <w:jc w:val="center"/>
                  <w:rPr>
                    <w:rFonts w:asciiTheme="minorEastAsia" w:eastAsiaTheme="minorEastAsia" w:hAnsiTheme="minorEastAsia"/>
                    <w:b/>
                  </w:rPr>
                </w:pPr>
                <w:r>
                  <w:rPr>
                    <w:rFonts w:asciiTheme="minorEastAsia" w:eastAsiaTheme="minorEastAsia" w:hAnsiTheme="minorEastAsia" w:hint="eastAsia"/>
                    <w:b/>
                    <w:sz w:val="20"/>
                    <w:szCs w:val="20"/>
                  </w:rPr>
                  <w:t>解除限售比例</w:t>
                </w:r>
              </w:p>
            </w:tc>
          </w:tr>
          <w:tr w:rsidR="00B201D3" w14:paraId="19668D91" w14:textId="77777777">
            <w:trPr>
              <w:trHeight w:val="676"/>
              <w:jc w:val="center"/>
            </w:trPr>
            <w:tc>
              <w:tcPr>
                <w:tcW w:w="1577" w:type="dxa"/>
                <w:tcBorders>
                  <w:top w:val="single" w:sz="8" w:space="0" w:color="auto"/>
                  <w:left w:val="single" w:sz="12" w:space="0" w:color="auto"/>
                  <w:bottom w:val="single" w:sz="8" w:space="0" w:color="auto"/>
                  <w:right w:val="single" w:sz="8" w:space="0" w:color="auto"/>
                </w:tcBorders>
                <w:vAlign w:val="center"/>
              </w:tcPr>
              <w:p w14:paraId="78F9D6EC" w14:textId="77777777" w:rsidR="00B201D3" w:rsidRDefault="009855E8">
                <w:pPr>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第一个解除</w:t>
                </w:r>
              </w:p>
              <w:p w14:paraId="23B7266E"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sz w:val="20"/>
                    <w:szCs w:val="20"/>
                  </w:rPr>
                  <w:t>限售期</w:t>
                </w:r>
              </w:p>
            </w:tc>
            <w:tc>
              <w:tcPr>
                <w:tcW w:w="5091" w:type="dxa"/>
                <w:tcBorders>
                  <w:top w:val="single" w:sz="8" w:space="0" w:color="auto"/>
                  <w:left w:val="single" w:sz="8" w:space="0" w:color="auto"/>
                  <w:bottom w:val="single" w:sz="8" w:space="0" w:color="auto"/>
                  <w:right w:val="single" w:sz="8" w:space="0" w:color="auto"/>
                </w:tcBorders>
                <w:vAlign w:val="center"/>
              </w:tcPr>
              <w:p w14:paraId="444A05D4" w14:textId="77777777" w:rsidR="00B201D3" w:rsidRDefault="009855E8">
                <w:pPr>
                  <w:rPr>
                    <w:rFonts w:asciiTheme="minorEastAsia" w:eastAsiaTheme="minorEastAsia" w:hAnsiTheme="minorEastAsia"/>
                  </w:rPr>
                </w:pPr>
                <w:r>
                  <w:rPr>
                    <w:rFonts w:asciiTheme="minorEastAsia" w:eastAsiaTheme="minorEastAsia" w:hAnsiTheme="minorEastAsia" w:hint="eastAsia"/>
                    <w:sz w:val="20"/>
                    <w:szCs w:val="20"/>
                  </w:rPr>
                  <w:t>自限制性股票完成登记日起24个月后的首个交易日起至限制性股票完成登记日起36个月内的最后一个交易日当日止</w:t>
                </w:r>
              </w:p>
            </w:tc>
            <w:tc>
              <w:tcPr>
                <w:tcW w:w="1915" w:type="dxa"/>
                <w:tcBorders>
                  <w:top w:val="single" w:sz="8" w:space="0" w:color="auto"/>
                  <w:left w:val="single" w:sz="8" w:space="0" w:color="auto"/>
                  <w:bottom w:val="single" w:sz="8" w:space="0" w:color="auto"/>
                  <w:right w:val="single" w:sz="12" w:space="0" w:color="auto"/>
                </w:tcBorders>
                <w:vAlign w:val="center"/>
              </w:tcPr>
              <w:p w14:paraId="66CE74DF"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sz w:val="20"/>
                    <w:szCs w:val="20"/>
                  </w:rPr>
                  <w:t>33%</w:t>
                </w:r>
              </w:p>
            </w:tc>
          </w:tr>
          <w:tr w:rsidR="00B201D3" w14:paraId="4818EEB9" w14:textId="77777777">
            <w:trPr>
              <w:trHeight w:val="634"/>
              <w:jc w:val="center"/>
            </w:trPr>
            <w:tc>
              <w:tcPr>
                <w:tcW w:w="1577" w:type="dxa"/>
                <w:tcBorders>
                  <w:top w:val="single" w:sz="8" w:space="0" w:color="auto"/>
                  <w:left w:val="single" w:sz="12" w:space="0" w:color="auto"/>
                  <w:bottom w:val="single" w:sz="8" w:space="0" w:color="auto"/>
                  <w:right w:val="single" w:sz="8" w:space="0" w:color="auto"/>
                </w:tcBorders>
                <w:vAlign w:val="center"/>
              </w:tcPr>
              <w:p w14:paraId="0E51C580" w14:textId="77777777" w:rsidR="00B201D3" w:rsidRDefault="009855E8">
                <w:pPr>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第二个解除</w:t>
                </w:r>
              </w:p>
              <w:p w14:paraId="72128076"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sz w:val="20"/>
                    <w:szCs w:val="20"/>
                  </w:rPr>
                  <w:t>限售期</w:t>
                </w:r>
              </w:p>
            </w:tc>
            <w:tc>
              <w:tcPr>
                <w:tcW w:w="5091" w:type="dxa"/>
                <w:tcBorders>
                  <w:top w:val="single" w:sz="8" w:space="0" w:color="auto"/>
                  <w:left w:val="single" w:sz="8" w:space="0" w:color="auto"/>
                  <w:bottom w:val="single" w:sz="8" w:space="0" w:color="auto"/>
                  <w:right w:val="single" w:sz="8" w:space="0" w:color="auto"/>
                </w:tcBorders>
                <w:vAlign w:val="center"/>
              </w:tcPr>
              <w:p w14:paraId="4AD71B37" w14:textId="77777777" w:rsidR="00B201D3" w:rsidRDefault="009855E8">
                <w:pPr>
                  <w:rPr>
                    <w:rFonts w:asciiTheme="minorEastAsia" w:eastAsiaTheme="minorEastAsia" w:hAnsiTheme="minorEastAsia"/>
                  </w:rPr>
                </w:pPr>
                <w:r>
                  <w:rPr>
                    <w:rFonts w:asciiTheme="minorEastAsia" w:eastAsiaTheme="minorEastAsia" w:hAnsiTheme="minorEastAsia" w:hint="eastAsia"/>
                    <w:sz w:val="20"/>
                    <w:szCs w:val="20"/>
                  </w:rPr>
                  <w:t>自限制性股票完成登记日起36个月后的首个交易日起至限制性股票完成登记日起48个月内的最后一个交易日当日止</w:t>
                </w:r>
              </w:p>
            </w:tc>
            <w:tc>
              <w:tcPr>
                <w:tcW w:w="1915" w:type="dxa"/>
                <w:tcBorders>
                  <w:top w:val="single" w:sz="8" w:space="0" w:color="auto"/>
                  <w:left w:val="single" w:sz="8" w:space="0" w:color="auto"/>
                  <w:bottom w:val="single" w:sz="8" w:space="0" w:color="auto"/>
                  <w:right w:val="single" w:sz="12" w:space="0" w:color="auto"/>
                </w:tcBorders>
                <w:vAlign w:val="center"/>
              </w:tcPr>
              <w:p w14:paraId="393BD9A2"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sz w:val="20"/>
                    <w:szCs w:val="20"/>
                  </w:rPr>
                  <w:t>33%</w:t>
                </w:r>
              </w:p>
            </w:tc>
          </w:tr>
          <w:tr w:rsidR="00B201D3" w14:paraId="130D1792" w14:textId="77777777">
            <w:trPr>
              <w:trHeight w:val="744"/>
              <w:jc w:val="center"/>
            </w:trPr>
            <w:tc>
              <w:tcPr>
                <w:tcW w:w="1577" w:type="dxa"/>
                <w:tcBorders>
                  <w:top w:val="single" w:sz="8" w:space="0" w:color="auto"/>
                  <w:left w:val="single" w:sz="12" w:space="0" w:color="auto"/>
                  <w:bottom w:val="single" w:sz="12" w:space="0" w:color="auto"/>
                  <w:right w:val="single" w:sz="8" w:space="0" w:color="auto"/>
                </w:tcBorders>
                <w:vAlign w:val="center"/>
              </w:tcPr>
              <w:p w14:paraId="7F8B04FF" w14:textId="77777777" w:rsidR="00B201D3" w:rsidRDefault="009855E8">
                <w:pPr>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第三个解除</w:t>
                </w:r>
              </w:p>
              <w:p w14:paraId="134BAA05"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sz w:val="20"/>
                    <w:szCs w:val="20"/>
                  </w:rPr>
                  <w:t>限售期</w:t>
                </w:r>
              </w:p>
            </w:tc>
            <w:tc>
              <w:tcPr>
                <w:tcW w:w="5091" w:type="dxa"/>
                <w:tcBorders>
                  <w:top w:val="single" w:sz="8" w:space="0" w:color="auto"/>
                  <w:left w:val="single" w:sz="8" w:space="0" w:color="auto"/>
                  <w:bottom w:val="single" w:sz="12" w:space="0" w:color="auto"/>
                  <w:right w:val="single" w:sz="8" w:space="0" w:color="auto"/>
                </w:tcBorders>
                <w:vAlign w:val="center"/>
              </w:tcPr>
              <w:p w14:paraId="58C62D33" w14:textId="77777777" w:rsidR="00B201D3" w:rsidRDefault="009855E8">
                <w:pPr>
                  <w:rPr>
                    <w:rFonts w:asciiTheme="minorEastAsia" w:eastAsiaTheme="minorEastAsia" w:hAnsiTheme="minorEastAsia"/>
                  </w:rPr>
                </w:pPr>
                <w:r>
                  <w:rPr>
                    <w:rFonts w:asciiTheme="minorEastAsia" w:eastAsiaTheme="minorEastAsia" w:hAnsiTheme="minorEastAsia" w:hint="eastAsia"/>
                    <w:sz w:val="20"/>
                    <w:szCs w:val="20"/>
                  </w:rPr>
                  <w:t>自限制性股票完成登记日起48个月后的首个交易日起至限制性股票完成登记日起60个月内的最后一个交易日当日止</w:t>
                </w:r>
              </w:p>
            </w:tc>
            <w:tc>
              <w:tcPr>
                <w:tcW w:w="1915" w:type="dxa"/>
                <w:tcBorders>
                  <w:top w:val="single" w:sz="8" w:space="0" w:color="auto"/>
                  <w:left w:val="single" w:sz="8" w:space="0" w:color="auto"/>
                  <w:bottom w:val="single" w:sz="12" w:space="0" w:color="auto"/>
                  <w:right w:val="single" w:sz="12" w:space="0" w:color="auto"/>
                </w:tcBorders>
                <w:vAlign w:val="center"/>
              </w:tcPr>
              <w:p w14:paraId="45C0DDE3"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sz w:val="20"/>
                    <w:szCs w:val="20"/>
                  </w:rPr>
                  <w:t>34%</w:t>
                </w:r>
              </w:p>
            </w:tc>
          </w:tr>
        </w:tbl>
        <w:p w14:paraId="784E082A" w14:textId="77777777" w:rsidR="00B201D3" w:rsidRDefault="009855E8">
          <w:pPr>
            <w:pStyle w:val="3903"/>
            <w:rPr>
              <w:rFonts w:asciiTheme="minorEastAsia" w:eastAsiaTheme="minorEastAsia" w:hAnsiTheme="minorEastAsia"/>
            </w:rPr>
          </w:pPr>
          <w:r>
            <w:rPr>
              <w:rFonts w:asciiTheme="minorEastAsia" w:eastAsiaTheme="minorEastAsia" w:hAnsiTheme="minorEastAsia" w:hint="eastAsia"/>
            </w:rPr>
            <w:t xml:space="preserve"> </w:t>
          </w:r>
        </w:p>
        <w:p w14:paraId="649C2213" w14:textId="77777777" w:rsidR="00B201D3" w:rsidRDefault="009855E8">
          <w:pPr>
            <w:ind w:firstLine="420"/>
            <w:rPr>
              <w:rFonts w:asciiTheme="minorEastAsia" w:eastAsiaTheme="minorEastAsia" w:hAnsiTheme="minorEastAsia"/>
            </w:rPr>
          </w:pPr>
          <w:r>
            <w:rPr>
              <w:rFonts w:asciiTheme="minorEastAsia" w:eastAsiaTheme="minorEastAsia" w:hAnsiTheme="minorEastAsia" w:hint="eastAsia"/>
            </w:rPr>
            <w:t>8.授予价格</w:t>
          </w:r>
        </w:p>
        <w:p w14:paraId="54D4259E" w14:textId="77777777" w:rsidR="00B201D3" w:rsidRDefault="009855E8" w:rsidP="006C3C03">
          <w:pPr>
            <w:ind w:firstLine="420"/>
            <w:jc w:val="both"/>
            <w:rPr>
              <w:rFonts w:asciiTheme="minorEastAsia" w:eastAsiaTheme="minorEastAsia" w:hAnsiTheme="minorEastAsia"/>
            </w:rPr>
          </w:pPr>
          <w:r>
            <w:rPr>
              <w:rFonts w:asciiTheme="minorEastAsia" w:eastAsiaTheme="minorEastAsia" w:hAnsiTheme="minorEastAsia" w:hint="eastAsia"/>
            </w:rPr>
            <w:t>限制性股票激励计划的授予价格为11.72元/股，即满足授予条件后，激励对象可以每股11.72元的价格购买公司向激励对象增发的公司限制性股票。</w:t>
          </w:r>
        </w:p>
        <w:p w14:paraId="69B3FBC2" w14:textId="77777777" w:rsidR="00B201D3" w:rsidRDefault="009855E8">
          <w:pPr>
            <w:ind w:firstLine="420"/>
            <w:rPr>
              <w:rFonts w:asciiTheme="minorEastAsia" w:eastAsiaTheme="minorEastAsia" w:hAnsiTheme="minorEastAsia"/>
            </w:rPr>
          </w:pPr>
          <w:r>
            <w:rPr>
              <w:rFonts w:asciiTheme="minorEastAsia" w:eastAsiaTheme="minorEastAsia" w:hAnsiTheme="minorEastAsia" w:hint="eastAsia"/>
            </w:rPr>
            <w:t>9.授予价格的确定方法</w:t>
          </w:r>
        </w:p>
        <w:p w14:paraId="38CE27C1" w14:textId="77777777" w:rsidR="00B201D3" w:rsidRDefault="009855E8" w:rsidP="006C3C03">
          <w:pPr>
            <w:ind w:firstLine="420"/>
            <w:jc w:val="both"/>
            <w:rPr>
              <w:rFonts w:asciiTheme="minorEastAsia" w:eastAsiaTheme="minorEastAsia" w:hAnsiTheme="minorEastAsia"/>
            </w:rPr>
          </w:pPr>
          <w:r>
            <w:rPr>
              <w:rFonts w:asciiTheme="minorEastAsia" w:eastAsiaTheme="minorEastAsia" w:hAnsiTheme="minorEastAsia" w:hint="eastAsia"/>
            </w:rPr>
            <w:t>授予价格不低于股票票面金额，且不低于公平市场价格的50%，公平市场价格按以下价格的较高者确定：</w:t>
          </w:r>
        </w:p>
        <w:p w14:paraId="57D7EEA1" w14:textId="77777777" w:rsidR="00B201D3" w:rsidRDefault="009855E8" w:rsidP="006C3C03">
          <w:pPr>
            <w:ind w:firstLine="420"/>
            <w:jc w:val="both"/>
            <w:rPr>
              <w:rFonts w:asciiTheme="minorEastAsia" w:eastAsiaTheme="minorEastAsia" w:hAnsiTheme="minorEastAsia"/>
            </w:rPr>
          </w:pPr>
          <w:r>
            <w:rPr>
              <w:rFonts w:asciiTheme="minorEastAsia" w:eastAsiaTheme="minorEastAsia" w:hAnsiTheme="minorEastAsia" w:hint="eastAsia"/>
            </w:rPr>
            <w:t>标准一，限制性股票激励计划草案公布前1个交易日的公司标的股票交易均价；</w:t>
          </w:r>
        </w:p>
        <w:p w14:paraId="11EA7653" w14:textId="77777777" w:rsidR="00B201D3" w:rsidRDefault="009855E8" w:rsidP="006C3C03">
          <w:pPr>
            <w:ind w:firstLine="420"/>
            <w:jc w:val="both"/>
            <w:rPr>
              <w:rFonts w:asciiTheme="minorEastAsia" w:eastAsiaTheme="minorEastAsia" w:hAnsiTheme="minorEastAsia"/>
            </w:rPr>
          </w:pPr>
          <w:r>
            <w:rPr>
              <w:rFonts w:asciiTheme="minorEastAsia" w:eastAsiaTheme="minorEastAsia" w:hAnsiTheme="minorEastAsia" w:hint="eastAsia"/>
            </w:rPr>
            <w:t>标准二，限制性股票激励计划草案公布前20个交易日、60个交易日或者120个交易日的公司标的股票交易均价之一。</w:t>
          </w:r>
        </w:p>
        <w:p w14:paraId="6ACA0DD7" w14:textId="77777777" w:rsidR="00B201D3" w:rsidRDefault="009855E8" w:rsidP="006C3C03">
          <w:pPr>
            <w:ind w:firstLine="420"/>
            <w:jc w:val="both"/>
            <w:rPr>
              <w:rFonts w:asciiTheme="minorEastAsia" w:eastAsiaTheme="minorEastAsia" w:hAnsiTheme="minorEastAsia"/>
            </w:rPr>
          </w:pPr>
          <w:r>
            <w:rPr>
              <w:rFonts w:asciiTheme="minorEastAsia" w:eastAsiaTheme="minorEastAsia" w:hAnsiTheme="minorEastAsia" w:hint="eastAsia"/>
            </w:rPr>
            <w:lastRenderedPageBreak/>
            <w:t>详情请见下表：</w:t>
          </w:r>
        </w:p>
        <w:p w14:paraId="6481DA14" w14:textId="77777777" w:rsidR="00B201D3" w:rsidRDefault="009855E8">
          <w:pPr>
            <w:ind w:firstLineChars="3200" w:firstLine="6720"/>
            <w:rPr>
              <w:rFonts w:asciiTheme="minorEastAsia" w:eastAsiaTheme="minorEastAsia" w:hAnsiTheme="minorEastAsia"/>
            </w:rPr>
          </w:pPr>
          <w:r>
            <w:rPr>
              <w:rFonts w:asciiTheme="minorEastAsia" w:eastAsiaTheme="minorEastAsia" w:hAnsiTheme="minorEastAsia" w:hint="eastAsia"/>
            </w:rPr>
            <w:t>单位：元/股</w:t>
          </w:r>
        </w:p>
        <w:tbl>
          <w:tblPr>
            <w:tblStyle w:val="g10"/>
            <w:tblW w:w="0" w:type="auto"/>
            <w:jc w:val="center"/>
            <w:tblLook w:val="04A0" w:firstRow="1" w:lastRow="0" w:firstColumn="1" w:lastColumn="0" w:noHBand="0" w:noVBand="1"/>
          </w:tblPr>
          <w:tblGrid>
            <w:gridCol w:w="1031"/>
            <w:gridCol w:w="1557"/>
            <w:gridCol w:w="1510"/>
            <w:gridCol w:w="1559"/>
            <w:gridCol w:w="1559"/>
            <w:gridCol w:w="1317"/>
          </w:tblGrid>
          <w:tr w:rsidR="00B201D3" w14:paraId="1FE45BFD" w14:textId="77777777">
            <w:trPr>
              <w:jc w:val="center"/>
            </w:trPr>
            <w:tc>
              <w:tcPr>
                <w:tcW w:w="1031" w:type="dxa"/>
                <w:vMerge w:val="restart"/>
                <w:tcBorders>
                  <w:top w:val="single" w:sz="4" w:space="0" w:color="auto"/>
                  <w:left w:val="single" w:sz="4" w:space="0" w:color="auto"/>
                  <w:bottom w:val="single" w:sz="4" w:space="0" w:color="auto"/>
                  <w:right w:val="single" w:sz="4" w:space="0" w:color="auto"/>
                </w:tcBorders>
              </w:tcPr>
              <w:p w14:paraId="64981D89" w14:textId="77777777" w:rsidR="00B201D3" w:rsidRDefault="00B201D3">
                <w:pPr>
                  <w:spacing w:line="560" w:lineRule="exact"/>
                  <w:jc w:val="center"/>
                  <w:rPr>
                    <w:rFonts w:asciiTheme="minorEastAsia" w:eastAsiaTheme="minorEastAsia" w:hAnsiTheme="minorEastAsia"/>
                  </w:rPr>
                </w:pPr>
              </w:p>
            </w:tc>
            <w:tc>
              <w:tcPr>
                <w:tcW w:w="1557" w:type="dxa"/>
                <w:tcBorders>
                  <w:top w:val="single" w:sz="4" w:space="0" w:color="auto"/>
                  <w:left w:val="single" w:sz="4" w:space="0" w:color="auto"/>
                  <w:bottom w:val="single" w:sz="4" w:space="0" w:color="auto"/>
                  <w:right w:val="single" w:sz="4" w:space="0" w:color="auto"/>
                </w:tcBorders>
                <w:vAlign w:val="center"/>
              </w:tcPr>
              <w:p w14:paraId="3AB1FCAB" w14:textId="77777777" w:rsidR="00B201D3" w:rsidRDefault="009855E8">
                <w:pPr>
                  <w:spacing w:line="300" w:lineRule="exact"/>
                  <w:ind w:firstLine="400"/>
                  <w:jc w:val="left"/>
                  <w:rPr>
                    <w:rFonts w:asciiTheme="minorEastAsia" w:eastAsiaTheme="minorEastAsia" w:hAnsiTheme="minorEastAsia"/>
                  </w:rPr>
                </w:pPr>
                <w:r>
                  <w:rPr>
                    <w:rFonts w:asciiTheme="minorEastAsia" w:eastAsiaTheme="minorEastAsia" w:hAnsiTheme="minorEastAsia" w:hint="eastAsia"/>
                    <w:sz w:val="20"/>
                    <w:szCs w:val="20"/>
                  </w:rPr>
                  <w:t>标准一</w:t>
                </w:r>
              </w:p>
            </w:tc>
            <w:tc>
              <w:tcPr>
                <w:tcW w:w="4628" w:type="dxa"/>
                <w:gridSpan w:val="3"/>
                <w:tcBorders>
                  <w:top w:val="single" w:sz="4" w:space="0" w:color="auto"/>
                  <w:left w:val="single" w:sz="4" w:space="0" w:color="auto"/>
                  <w:bottom w:val="single" w:sz="4" w:space="0" w:color="auto"/>
                  <w:right w:val="single" w:sz="4" w:space="0" w:color="auto"/>
                </w:tcBorders>
                <w:vAlign w:val="center"/>
              </w:tcPr>
              <w:p w14:paraId="5936F52D" w14:textId="77777777" w:rsidR="00B201D3" w:rsidRDefault="009855E8">
                <w:pPr>
                  <w:spacing w:line="300" w:lineRule="exact"/>
                  <w:ind w:firstLineChars="900" w:firstLine="1800"/>
                  <w:jc w:val="left"/>
                  <w:rPr>
                    <w:rFonts w:asciiTheme="minorEastAsia" w:eastAsiaTheme="minorEastAsia" w:hAnsiTheme="minorEastAsia"/>
                  </w:rPr>
                </w:pPr>
                <w:r>
                  <w:rPr>
                    <w:rFonts w:asciiTheme="minorEastAsia" w:eastAsiaTheme="minorEastAsia" w:hAnsiTheme="minorEastAsia" w:hint="eastAsia"/>
                    <w:sz w:val="20"/>
                    <w:szCs w:val="20"/>
                  </w:rPr>
                  <w:t>标准二</w:t>
                </w:r>
              </w:p>
            </w:tc>
            <w:tc>
              <w:tcPr>
                <w:tcW w:w="1317" w:type="dxa"/>
                <w:vMerge w:val="restart"/>
                <w:tcBorders>
                  <w:top w:val="single" w:sz="4" w:space="0" w:color="auto"/>
                  <w:left w:val="single" w:sz="4" w:space="0" w:color="auto"/>
                  <w:bottom w:val="single" w:sz="4" w:space="0" w:color="auto"/>
                  <w:right w:val="single" w:sz="4" w:space="0" w:color="auto"/>
                </w:tcBorders>
                <w:vAlign w:val="center"/>
              </w:tcPr>
              <w:p w14:paraId="2C689D02" w14:textId="77777777" w:rsidR="00B201D3" w:rsidRDefault="009855E8">
                <w:pPr>
                  <w:spacing w:line="300" w:lineRule="exact"/>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最低授予</w:t>
                </w:r>
              </w:p>
              <w:p w14:paraId="445C3184" w14:textId="77777777" w:rsidR="00B201D3" w:rsidRDefault="009855E8">
                <w:pPr>
                  <w:spacing w:line="300" w:lineRule="exact"/>
                  <w:jc w:val="center"/>
                  <w:rPr>
                    <w:rFonts w:asciiTheme="minorEastAsia" w:eastAsiaTheme="minorEastAsia" w:hAnsiTheme="minorEastAsia"/>
                  </w:rPr>
                </w:pPr>
                <w:r>
                  <w:rPr>
                    <w:rFonts w:asciiTheme="minorEastAsia" w:eastAsiaTheme="minorEastAsia" w:hAnsiTheme="minorEastAsia" w:hint="eastAsia"/>
                    <w:sz w:val="20"/>
                    <w:szCs w:val="20"/>
                  </w:rPr>
                  <w:t>价格</w:t>
                </w:r>
              </w:p>
            </w:tc>
          </w:tr>
          <w:tr w:rsidR="00B201D3" w14:paraId="45FF5D5D"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6A9B3E2" w14:textId="77777777" w:rsidR="00B201D3" w:rsidRDefault="00B201D3">
                <w:pPr>
                  <w:jc w:val="center"/>
                  <w:rPr>
                    <w:rFonts w:asciiTheme="minorEastAsia" w:eastAsiaTheme="minorEastAsia" w:hAnsiTheme="minorEastAsia"/>
                  </w:rPr>
                </w:pPr>
              </w:p>
            </w:tc>
            <w:tc>
              <w:tcPr>
                <w:tcW w:w="1557" w:type="dxa"/>
                <w:tcBorders>
                  <w:top w:val="single" w:sz="4" w:space="0" w:color="auto"/>
                  <w:left w:val="single" w:sz="4" w:space="0" w:color="auto"/>
                  <w:bottom w:val="single" w:sz="4" w:space="0" w:color="auto"/>
                  <w:right w:val="single" w:sz="4" w:space="0" w:color="auto"/>
                </w:tcBorders>
                <w:vAlign w:val="center"/>
              </w:tcPr>
              <w:p w14:paraId="076696B5" w14:textId="77777777" w:rsidR="00B201D3" w:rsidRDefault="009855E8">
                <w:pPr>
                  <w:spacing w:line="300" w:lineRule="exact"/>
                  <w:jc w:val="center"/>
                  <w:rPr>
                    <w:rFonts w:asciiTheme="minorEastAsia" w:eastAsiaTheme="minorEastAsia" w:hAnsiTheme="minorEastAsia"/>
                  </w:rPr>
                </w:pPr>
                <w:r>
                  <w:rPr>
                    <w:rFonts w:asciiTheme="minorEastAsia" w:eastAsiaTheme="minorEastAsia" w:hAnsiTheme="minorEastAsia" w:hint="eastAsia"/>
                    <w:sz w:val="20"/>
                    <w:szCs w:val="20"/>
                  </w:rPr>
                  <w:t>前</w:t>
                </w:r>
                <w:r>
                  <w:rPr>
                    <w:rFonts w:asciiTheme="minorEastAsia" w:eastAsiaTheme="minorEastAsia" w:hAnsiTheme="minorEastAsia"/>
                    <w:sz w:val="20"/>
                    <w:szCs w:val="20"/>
                  </w:rPr>
                  <w:t>1</w:t>
                </w:r>
                <w:r>
                  <w:rPr>
                    <w:rFonts w:asciiTheme="minorEastAsia" w:eastAsiaTheme="minorEastAsia" w:hAnsiTheme="minorEastAsia" w:hint="eastAsia"/>
                    <w:sz w:val="20"/>
                    <w:szCs w:val="20"/>
                  </w:rPr>
                  <w:t>个交易日的公司股票交易均价</w:t>
                </w:r>
              </w:p>
            </w:tc>
            <w:tc>
              <w:tcPr>
                <w:tcW w:w="1510" w:type="dxa"/>
                <w:tcBorders>
                  <w:top w:val="single" w:sz="4" w:space="0" w:color="auto"/>
                  <w:left w:val="single" w:sz="4" w:space="0" w:color="auto"/>
                  <w:bottom w:val="single" w:sz="4" w:space="0" w:color="auto"/>
                  <w:right w:val="single" w:sz="4" w:space="0" w:color="auto"/>
                </w:tcBorders>
                <w:vAlign w:val="center"/>
              </w:tcPr>
              <w:p w14:paraId="05B05AAD" w14:textId="77777777" w:rsidR="00B201D3" w:rsidRDefault="009855E8">
                <w:pPr>
                  <w:spacing w:line="300" w:lineRule="exact"/>
                  <w:jc w:val="center"/>
                  <w:rPr>
                    <w:rFonts w:asciiTheme="minorEastAsia" w:eastAsiaTheme="minorEastAsia" w:hAnsiTheme="minorEastAsia"/>
                  </w:rPr>
                </w:pPr>
                <w:r>
                  <w:rPr>
                    <w:rFonts w:asciiTheme="minorEastAsia" w:eastAsiaTheme="minorEastAsia" w:hAnsiTheme="minorEastAsia" w:hint="eastAsia"/>
                    <w:sz w:val="20"/>
                    <w:szCs w:val="20"/>
                  </w:rPr>
                  <w:t>前</w:t>
                </w:r>
                <w:r>
                  <w:rPr>
                    <w:rFonts w:asciiTheme="minorEastAsia" w:eastAsiaTheme="minorEastAsia" w:hAnsiTheme="minorEastAsia"/>
                    <w:sz w:val="20"/>
                    <w:szCs w:val="20"/>
                  </w:rPr>
                  <w:t>20</w:t>
                </w:r>
                <w:r>
                  <w:rPr>
                    <w:rFonts w:asciiTheme="minorEastAsia" w:eastAsiaTheme="minorEastAsia" w:hAnsiTheme="minorEastAsia" w:hint="eastAsia"/>
                    <w:sz w:val="20"/>
                    <w:szCs w:val="20"/>
                  </w:rPr>
                  <w:t>个交易日的公司股票交易均价</w:t>
                </w:r>
              </w:p>
            </w:tc>
            <w:tc>
              <w:tcPr>
                <w:tcW w:w="1559" w:type="dxa"/>
                <w:tcBorders>
                  <w:top w:val="single" w:sz="4" w:space="0" w:color="auto"/>
                  <w:left w:val="single" w:sz="4" w:space="0" w:color="auto"/>
                  <w:bottom w:val="single" w:sz="4" w:space="0" w:color="auto"/>
                  <w:right w:val="single" w:sz="4" w:space="0" w:color="auto"/>
                </w:tcBorders>
                <w:vAlign w:val="center"/>
              </w:tcPr>
              <w:p w14:paraId="599345CF" w14:textId="77777777" w:rsidR="00B201D3" w:rsidRDefault="009855E8">
                <w:pPr>
                  <w:spacing w:line="300" w:lineRule="exact"/>
                  <w:jc w:val="center"/>
                  <w:rPr>
                    <w:rFonts w:asciiTheme="minorEastAsia" w:eastAsiaTheme="minorEastAsia" w:hAnsiTheme="minorEastAsia"/>
                  </w:rPr>
                </w:pPr>
                <w:r>
                  <w:rPr>
                    <w:rFonts w:asciiTheme="minorEastAsia" w:eastAsiaTheme="minorEastAsia" w:hAnsiTheme="minorEastAsia" w:hint="eastAsia"/>
                    <w:sz w:val="20"/>
                    <w:szCs w:val="20"/>
                  </w:rPr>
                  <w:t>前</w:t>
                </w:r>
                <w:r>
                  <w:rPr>
                    <w:rFonts w:asciiTheme="minorEastAsia" w:eastAsiaTheme="minorEastAsia" w:hAnsiTheme="minorEastAsia"/>
                    <w:sz w:val="20"/>
                    <w:szCs w:val="20"/>
                  </w:rPr>
                  <w:t>60</w:t>
                </w:r>
                <w:r>
                  <w:rPr>
                    <w:rFonts w:asciiTheme="minorEastAsia" w:eastAsiaTheme="minorEastAsia" w:hAnsiTheme="minorEastAsia" w:hint="eastAsia"/>
                    <w:sz w:val="20"/>
                    <w:szCs w:val="20"/>
                  </w:rPr>
                  <w:t>个交易日的公司股票交易均价</w:t>
                </w:r>
              </w:p>
            </w:tc>
            <w:tc>
              <w:tcPr>
                <w:tcW w:w="1559" w:type="dxa"/>
                <w:tcBorders>
                  <w:top w:val="single" w:sz="4" w:space="0" w:color="auto"/>
                  <w:left w:val="single" w:sz="4" w:space="0" w:color="auto"/>
                  <w:bottom w:val="single" w:sz="4" w:space="0" w:color="auto"/>
                  <w:right w:val="single" w:sz="4" w:space="0" w:color="auto"/>
                </w:tcBorders>
                <w:vAlign w:val="center"/>
              </w:tcPr>
              <w:p w14:paraId="01EA016D" w14:textId="77777777" w:rsidR="00B201D3" w:rsidRDefault="009855E8">
                <w:pPr>
                  <w:spacing w:line="300" w:lineRule="exact"/>
                  <w:jc w:val="center"/>
                  <w:rPr>
                    <w:rFonts w:asciiTheme="minorEastAsia" w:eastAsiaTheme="minorEastAsia" w:hAnsiTheme="minorEastAsia"/>
                  </w:rPr>
                </w:pPr>
                <w:r>
                  <w:rPr>
                    <w:rFonts w:asciiTheme="minorEastAsia" w:eastAsiaTheme="minorEastAsia" w:hAnsiTheme="minorEastAsia" w:hint="eastAsia"/>
                    <w:sz w:val="20"/>
                    <w:szCs w:val="20"/>
                  </w:rPr>
                  <w:t>前</w:t>
                </w:r>
                <w:r>
                  <w:rPr>
                    <w:rFonts w:asciiTheme="minorEastAsia" w:eastAsiaTheme="minorEastAsia" w:hAnsiTheme="minorEastAsia"/>
                    <w:sz w:val="20"/>
                    <w:szCs w:val="20"/>
                  </w:rPr>
                  <w:t>120</w:t>
                </w:r>
                <w:r>
                  <w:rPr>
                    <w:rFonts w:asciiTheme="minorEastAsia" w:eastAsiaTheme="minorEastAsia" w:hAnsiTheme="minorEastAsia" w:hint="eastAsia"/>
                    <w:sz w:val="20"/>
                    <w:szCs w:val="20"/>
                  </w:rPr>
                  <w:t>个交易日的公司股票交易均价</w:t>
                </w:r>
              </w:p>
            </w:tc>
            <w:tc>
              <w:tcPr>
                <w:tcW w:w="0" w:type="auto"/>
                <w:vMerge/>
                <w:tcBorders>
                  <w:top w:val="single" w:sz="4" w:space="0" w:color="auto"/>
                  <w:left w:val="single" w:sz="4" w:space="0" w:color="auto"/>
                  <w:bottom w:val="single" w:sz="4" w:space="0" w:color="auto"/>
                  <w:right w:val="single" w:sz="4" w:space="0" w:color="auto"/>
                </w:tcBorders>
                <w:vAlign w:val="center"/>
              </w:tcPr>
              <w:p w14:paraId="0945634E" w14:textId="77777777" w:rsidR="00B201D3" w:rsidRDefault="00B201D3">
                <w:pPr>
                  <w:jc w:val="center"/>
                  <w:rPr>
                    <w:rFonts w:asciiTheme="minorEastAsia" w:eastAsiaTheme="minorEastAsia" w:hAnsiTheme="minorEastAsia"/>
                  </w:rPr>
                </w:pPr>
              </w:p>
            </w:tc>
          </w:tr>
          <w:tr w:rsidR="00B201D3" w14:paraId="4E25C8AF" w14:textId="77777777">
            <w:trPr>
              <w:jc w:val="center"/>
            </w:trPr>
            <w:tc>
              <w:tcPr>
                <w:tcW w:w="1031" w:type="dxa"/>
                <w:tcBorders>
                  <w:top w:val="single" w:sz="4" w:space="0" w:color="auto"/>
                  <w:left w:val="single" w:sz="4" w:space="0" w:color="auto"/>
                  <w:bottom w:val="single" w:sz="4" w:space="0" w:color="auto"/>
                  <w:right w:val="single" w:sz="4" w:space="0" w:color="auto"/>
                </w:tcBorders>
                <w:vAlign w:val="center"/>
              </w:tcPr>
              <w:p w14:paraId="70AD81D4" w14:textId="77777777" w:rsidR="00B201D3" w:rsidRDefault="009855E8">
                <w:pPr>
                  <w:spacing w:line="560" w:lineRule="exact"/>
                  <w:ind w:firstLineChars="100" w:firstLine="200"/>
                  <w:jc w:val="center"/>
                  <w:rPr>
                    <w:rFonts w:asciiTheme="minorEastAsia" w:eastAsiaTheme="minorEastAsia" w:hAnsiTheme="minorEastAsia"/>
                  </w:rPr>
                </w:pPr>
                <w:r>
                  <w:rPr>
                    <w:rFonts w:asciiTheme="minorEastAsia" w:eastAsiaTheme="minorEastAsia" w:hAnsiTheme="minorEastAsia" w:hint="eastAsia"/>
                    <w:sz w:val="20"/>
                    <w:szCs w:val="20"/>
                  </w:rPr>
                  <w:t>A股</w:t>
                </w:r>
              </w:p>
            </w:tc>
            <w:tc>
              <w:tcPr>
                <w:tcW w:w="1557" w:type="dxa"/>
                <w:tcBorders>
                  <w:top w:val="single" w:sz="4" w:space="0" w:color="auto"/>
                  <w:left w:val="single" w:sz="4" w:space="0" w:color="auto"/>
                  <w:bottom w:val="single" w:sz="4" w:space="0" w:color="auto"/>
                  <w:right w:val="single" w:sz="4" w:space="0" w:color="auto"/>
                </w:tcBorders>
                <w:vAlign w:val="center"/>
              </w:tcPr>
              <w:p w14:paraId="4B5A96C1" w14:textId="77777777" w:rsidR="00B201D3" w:rsidRDefault="009855E8">
                <w:pPr>
                  <w:spacing w:line="560" w:lineRule="exact"/>
                  <w:ind w:firstLine="400"/>
                  <w:jc w:val="left"/>
                  <w:rPr>
                    <w:rFonts w:asciiTheme="minorEastAsia" w:eastAsiaTheme="minorEastAsia" w:hAnsiTheme="minorEastAsia"/>
                  </w:rPr>
                </w:pPr>
                <w:r>
                  <w:rPr>
                    <w:rFonts w:asciiTheme="minorEastAsia" w:eastAsiaTheme="minorEastAsia" w:hAnsiTheme="minorEastAsia" w:hint="eastAsia"/>
                    <w:sz w:val="20"/>
                    <w:szCs w:val="20"/>
                  </w:rPr>
                  <w:t>23.44</w:t>
                </w:r>
              </w:p>
            </w:tc>
            <w:tc>
              <w:tcPr>
                <w:tcW w:w="1510" w:type="dxa"/>
                <w:tcBorders>
                  <w:top w:val="single" w:sz="4" w:space="0" w:color="auto"/>
                  <w:left w:val="single" w:sz="4" w:space="0" w:color="auto"/>
                  <w:bottom w:val="single" w:sz="4" w:space="0" w:color="auto"/>
                  <w:right w:val="single" w:sz="4" w:space="0" w:color="auto"/>
                </w:tcBorders>
                <w:vAlign w:val="center"/>
              </w:tcPr>
              <w:p w14:paraId="6D5643F3" w14:textId="77777777" w:rsidR="00B201D3" w:rsidRDefault="009855E8">
                <w:pPr>
                  <w:spacing w:line="560" w:lineRule="exact"/>
                  <w:ind w:firstLine="400"/>
                  <w:jc w:val="left"/>
                  <w:rPr>
                    <w:rFonts w:asciiTheme="minorEastAsia" w:eastAsiaTheme="minorEastAsia" w:hAnsiTheme="minorEastAsia"/>
                  </w:rPr>
                </w:pPr>
                <w:r>
                  <w:rPr>
                    <w:rFonts w:asciiTheme="minorEastAsia" w:eastAsiaTheme="minorEastAsia" w:hAnsiTheme="minorEastAsia" w:hint="eastAsia"/>
                    <w:sz w:val="20"/>
                    <w:szCs w:val="20"/>
                  </w:rPr>
                  <w:t>23.29</w:t>
                </w:r>
              </w:p>
            </w:tc>
            <w:tc>
              <w:tcPr>
                <w:tcW w:w="1559" w:type="dxa"/>
                <w:tcBorders>
                  <w:top w:val="single" w:sz="4" w:space="0" w:color="auto"/>
                  <w:left w:val="single" w:sz="4" w:space="0" w:color="auto"/>
                  <w:bottom w:val="single" w:sz="4" w:space="0" w:color="auto"/>
                  <w:right w:val="single" w:sz="4" w:space="0" w:color="auto"/>
                </w:tcBorders>
                <w:vAlign w:val="center"/>
              </w:tcPr>
              <w:p w14:paraId="2179B951" w14:textId="77777777" w:rsidR="00B201D3" w:rsidRDefault="009855E8">
                <w:pPr>
                  <w:spacing w:line="560" w:lineRule="exact"/>
                  <w:ind w:firstLine="400"/>
                  <w:jc w:val="left"/>
                  <w:rPr>
                    <w:rFonts w:asciiTheme="minorEastAsia" w:eastAsiaTheme="minorEastAsia" w:hAnsiTheme="minorEastAsia"/>
                  </w:rPr>
                </w:pPr>
                <w:r>
                  <w:rPr>
                    <w:rFonts w:asciiTheme="minorEastAsia" w:eastAsiaTheme="minorEastAsia" w:hAnsiTheme="minorEastAsia" w:hint="eastAsia"/>
                    <w:sz w:val="20"/>
                    <w:szCs w:val="20"/>
                  </w:rPr>
                  <w:t>27.03</w:t>
                </w:r>
              </w:p>
            </w:tc>
            <w:tc>
              <w:tcPr>
                <w:tcW w:w="1559" w:type="dxa"/>
                <w:tcBorders>
                  <w:top w:val="single" w:sz="4" w:space="0" w:color="auto"/>
                  <w:left w:val="single" w:sz="4" w:space="0" w:color="auto"/>
                  <w:bottom w:val="single" w:sz="4" w:space="0" w:color="auto"/>
                  <w:right w:val="single" w:sz="4" w:space="0" w:color="auto"/>
                </w:tcBorders>
                <w:vAlign w:val="center"/>
              </w:tcPr>
              <w:p w14:paraId="55C70B9A" w14:textId="77777777" w:rsidR="00B201D3" w:rsidRDefault="009855E8">
                <w:pPr>
                  <w:spacing w:line="560" w:lineRule="exact"/>
                  <w:ind w:firstLine="400"/>
                  <w:jc w:val="left"/>
                  <w:rPr>
                    <w:rFonts w:asciiTheme="minorEastAsia" w:eastAsiaTheme="minorEastAsia" w:hAnsiTheme="minorEastAsia"/>
                  </w:rPr>
                </w:pPr>
                <w:r>
                  <w:rPr>
                    <w:rFonts w:asciiTheme="minorEastAsia" w:eastAsiaTheme="minorEastAsia" w:hAnsiTheme="minorEastAsia" w:hint="eastAsia"/>
                    <w:sz w:val="20"/>
                    <w:szCs w:val="20"/>
                  </w:rPr>
                  <w:t>22.55</w:t>
                </w:r>
              </w:p>
            </w:tc>
            <w:tc>
              <w:tcPr>
                <w:tcW w:w="1317" w:type="dxa"/>
                <w:tcBorders>
                  <w:top w:val="single" w:sz="4" w:space="0" w:color="auto"/>
                  <w:left w:val="single" w:sz="4" w:space="0" w:color="auto"/>
                  <w:bottom w:val="single" w:sz="4" w:space="0" w:color="auto"/>
                  <w:right w:val="single" w:sz="4" w:space="0" w:color="auto"/>
                </w:tcBorders>
                <w:vAlign w:val="center"/>
              </w:tcPr>
              <w:p w14:paraId="5014EF1B" w14:textId="77777777" w:rsidR="00B201D3" w:rsidRDefault="009855E8">
                <w:pPr>
                  <w:spacing w:line="560" w:lineRule="exact"/>
                  <w:ind w:firstLineChars="200" w:firstLine="400"/>
                  <w:jc w:val="left"/>
                  <w:rPr>
                    <w:rFonts w:asciiTheme="minorEastAsia" w:eastAsiaTheme="minorEastAsia" w:hAnsiTheme="minorEastAsia"/>
                  </w:rPr>
                </w:pPr>
                <w:r>
                  <w:rPr>
                    <w:rFonts w:asciiTheme="minorEastAsia" w:eastAsiaTheme="minorEastAsia" w:hAnsiTheme="minorEastAsia" w:hint="eastAsia"/>
                    <w:sz w:val="20"/>
                    <w:szCs w:val="20"/>
                  </w:rPr>
                  <w:t>11.72</w:t>
                </w:r>
              </w:p>
            </w:tc>
          </w:tr>
        </w:tbl>
        <w:p w14:paraId="1A90AE4E" w14:textId="77777777" w:rsidR="00B201D3" w:rsidRDefault="00B201D3">
          <w:pPr>
            <w:ind w:firstLine="420"/>
            <w:rPr>
              <w:rFonts w:asciiTheme="minorEastAsia" w:eastAsiaTheme="minorEastAsia" w:hAnsiTheme="minorEastAsia"/>
            </w:rPr>
          </w:pPr>
        </w:p>
        <w:p w14:paraId="3B7B99D0" w14:textId="77777777" w:rsidR="00B201D3" w:rsidRDefault="009855E8" w:rsidP="00657056">
          <w:pPr>
            <w:ind w:firstLine="420"/>
            <w:jc w:val="both"/>
            <w:rPr>
              <w:rFonts w:asciiTheme="minorEastAsia" w:eastAsiaTheme="minorEastAsia" w:hAnsiTheme="minorEastAsia"/>
            </w:rPr>
          </w:pPr>
          <w:r>
            <w:rPr>
              <w:rFonts w:asciiTheme="minorEastAsia" w:eastAsiaTheme="minorEastAsia" w:hAnsiTheme="minorEastAsia" w:hint="eastAsia"/>
            </w:rPr>
            <w:t>10.回购原则</w:t>
          </w:r>
        </w:p>
        <w:p w14:paraId="0FC8923D" w14:textId="77777777" w:rsidR="00B201D3" w:rsidRDefault="009855E8" w:rsidP="00657056">
          <w:pPr>
            <w:ind w:firstLine="420"/>
            <w:jc w:val="both"/>
            <w:rPr>
              <w:rFonts w:asciiTheme="minorEastAsia" w:eastAsiaTheme="minorEastAsia" w:hAnsiTheme="minorEastAsia"/>
            </w:rPr>
          </w:pPr>
          <w:r>
            <w:rPr>
              <w:rFonts w:asciiTheme="minorEastAsia" w:eastAsiaTheme="minorEastAsia" w:hAnsiTheme="minorEastAsia" w:hint="eastAsia"/>
            </w:rPr>
            <w:t>激励对象获授的限制性股票完成股份登记后，公司有资本公积转增股本、派送股票红利、股份拆细、配股、缩股等影响公司股本总额或公司股票价格事项的，公司应对尚未解除限售的限制性股票的回购数量、价格做相应的调整。具体调整方法请见2022年1月27日公告的《兖矿能源2021年A股限制性股票激励计划》。</w:t>
          </w:r>
        </w:p>
        <w:p w14:paraId="1C9EE130" w14:textId="77777777" w:rsidR="00B201D3" w:rsidRDefault="009855E8" w:rsidP="00657056">
          <w:pPr>
            <w:ind w:firstLine="420"/>
            <w:jc w:val="both"/>
            <w:rPr>
              <w:rFonts w:asciiTheme="minorEastAsia" w:eastAsiaTheme="minorEastAsia" w:hAnsiTheme="minorEastAsia"/>
            </w:rPr>
          </w:pPr>
          <w:r>
            <w:rPr>
              <w:rFonts w:asciiTheme="minorEastAsia" w:eastAsiaTheme="minorEastAsia" w:hAnsiTheme="minorEastAsia" w:hint="eastAsia"/>
            </w:rPr>
            <w:t>激励对象因调动、免职、退休、死亡、丧失民事行为能力等客观原因与公司解除或者终止劳动关系时，尚未解除限售的限制性股票，由公司按授予价格（调整后的）加上同期银行存款利息回购注销。</w:t>
          </w:r>
        </w:p>
        <w:p w14:paraId="1631BCAA" w14:textId="77777777" w:rsidR="00B201D3" w:rsidRDefault="009855E8" w:rsidP="00657056">
          <w:pPr>
            <w:ind w:firstLine="420"/>
            <w:jc w:val="both"/>
            <w:rPr>
              <w:rFonts w:asciiTheme="minorEastAsia" w:eastAsiaTheme="minorEastAsia" w:hAnsiTheme="minorEastAsia"/>
            </w:rPr>
          </w:pPr>
          <w:r>
            <w:rPr>
              <w:rFonts w:asciiTheme="minorEastAsia" w:eastAsiaTheme="minorEastAsia" w:hAnsiTheme="minorEastAsia" w:hint="eastAsia"/>
            </w:rPr>
            <w:t>激励对象辞职、因个人原因被解除劳动关系的，已获授但尚未解除限售的限制性股票由公司回购注销，回购价格为授予价格（调整后的）与回购时公司股票市场价格的孰低值（市场价格为董事会审议回购事项前1交易日公司标的股票交易均价）。</w:t>
          </w:r>
        </w:p>
        <w:p w14:paraId="0D1F9184" w14:textId="77777777" w:rsidR="00B201D3" w:rsidRDefault="009855E8" w:rsidP="00657056">
          <w:pPr>
            <w:ind w:firstLineChars="200" w:firstLine="420"/>
            <w:jc w:val="both"/>
            <w:rPr>
              <w:rFonts w:asciiTheme="minorEastAsia" w:eastAsiaTheme="minorEastAsia" w:hAnsiTheme="minorEastAsia"/>
            </w:rPr>
          </w:pPr>
          <w:r>
            <w:rPr>
              <w:rFonts w:asciiTheme="minorEastAsia" w:eastAsiaTheme="minorEastAsia" w:hAnsiTheme="minorEastAsia" w:hint="eastAsia"/>
            </w:rPr>
            <w:t>若限制性股票某个解除限售期的公司业绩考核目标未达成，则所有激励对象当期限制性股票不可解除限售，由公司回购注销；因个人层面绩效考核结果导致当期不可解除限售的限制性股票，由公司回购注销。回购价格不得高于授予价格与市场价格的较低者。</w:t>
          </w:r>
        </w:p>
        <w:p w14:paraId="0F1E1A92" w14:textId="77777777" w:rsidR="00B201D3" w:rsidRDefault="009855E8" w:rsidP="00657056">
          <w:pPr>
            <w:ind w:firstLine="420"/>
            <w:jc w:val="both"/>
            <w:rPr>
              <w:rFonts w:asciiTheme="minorEastAsia" w:eastAsiaTheme="minorEastAsia" w:hAnsiTheme="minorEastAsia"/>
            </w:rPr>
          </w:pPr>
          <w:r>
            <w:rPr>
              <w:rFonts w:asciiTheme="minorEastAsia" w:eastAsiaTheme="minorEastAsia" w:hAnsiTheme="minorEastAsia" w:hint="eastAsia"/>
            </w:rPr>
            <w:t>1</w:t>
          </w:r>
          <w:r>
            <w:rPr>
              <w:rFonts w:asciiTheme="minorEastAsia" w:eastAsiaTheme="minorEastAsia" w:hAnsiTheme="minorEastAsia"/>
            </w:rPr>
            <w:t>1</w:t>
          </w:r>
          <w:r>
            <w:rPr>
              <w:rFonts w:asciiTheme="minorEastAsia" w:eastAsiaTheme="minorEastAsia" w:hAnsiTheme="minorEastAsia" w:hint="eastAsia"/>
            </w:rPr>
            <w:t>.有效期</w:t>
          </w:r>
        </w:p>
        <w:p w14:paraId="10EE0D90" w14:textId="77777777" w:rsidR="00B201D3" w:rsidRDefault="009855E8" w:rsidP="00657056">
          <w:pPr>
            <w:ind w:firstLine="420"/>
            <w:jc w:val="both"/>
            <w:rPr>
              <w:rFonts w:asciiTheme="minorEastAsia" w:eastAsiaTheme="minorEastAsia" w:hAnsiTheme="minorEastAsia"/>
            </w:rPr>
          </w:pPr>
          <w:r>
            <w:rPr>
              <w:rFonts w:asciiTheme="minorEastAsia" w:eastAsiaTheme="minorEastAsia" w:hAnsiTheme="minorEastAsia" w:hint="eastAsia"/>
            </w:rPr>
            <w:t>限制性股票激励计划经2022年1月27日召开的公司2022年度第一次临时股东大会、2022年度第一次A股类别股东大会及2022年度第一次H股类别股东大会批准生效。有效期自限制性股票授予登记完成之日起至激励对象获授的限制性股票全部解除限售或回购注销完成之日止，最长不超过60个月。</w:t>
          </w:r>
        </w:p>
        <w:p w14:paraId="178AFB79" w14:textId="77777777" w:rsidR="00B201D3" w:rsidRDefault="009855E8" w:rsidP="00657056">
          <w:pPr>
            <w:ind w:firstLine="420"/>
            <w:jc w:val="both"/>
            <w:rPr>
              <w:rFonts w:asciiTheme="minorEastAsia" w:eastAsiaTheme="minorEastAsia" w:hAnsiTheme="minorEastAsia"/>
            </w:rPr>
          </w:pPr>
          <w:r>
            <w:rPr>
              <w:rFonts w:asciiTheme="minorEastAsia" w:eastAsiaTheme="minorEastAsia" w:hAnsiTheme="minorEastAsia" w:hint="eastAsia"/>
            </w:rPr>
            <w:t>1</w:t>
          </w:r>
          <w:r>
            <w:rPr>
              <w:rFonts w:asciiTheme="minorEastAsia" w:eastAsiaTheme="minorEastAsia" w:hAnsiTheme="minorEastAsia"/>
            </w:rPr>
            <w:t>2</w:t>
          </w:r>
          <w:r>
            <w:rPr>
              <w:rFonts w:asciiTheme="minorEastAsia" w:eastAsiaTheme="minorEastAsia" w:hAnsiTheme="minorEastAsia" w:hint="eastAsia"/>
            </w:rPr>
            <w:t>.授予完成情况</w:t>
          </w:r>
        </w:p>
        <w:p w14:paraId="49DE003D" w14:textId="77777777" w:rsidR="00B201D3" w:rsidRDefault="009855E8" w:rsidP="00657056">
          <w:pPr>
            <w:ind w:firstLine="420"/>
            <w:jc w:val="both"/>
            <w:rPr>
              <w:rFonts w:asciiTheme="minorEastAsia" w:eastAsiaTheme="minorEastAsia" w:hAnsiTheme="minorEastAsia"/>
            </w:rPr>
          </w:pPr>
          <w:r>
            <w:rPr>
              <w:rFonts w:asciiTheme="minorEastAsia" w:eastAsiaTheme="minorEastAsia" w:hAnsiTheme="minorEastAsia" w:hint="eastAsia"/>
            </w:rPr>
            <w:t>2022年2月24日，公司在中国结算上海分公司完成了限制性股票的授予登记工作。有关详情请见公司日期为2022年2月25日的关于2021年A股限制性股票激励计划授予结果的公告。</w:t>
          </w:r>
        </w:p>
        <w:p w14:paraId="64BBEF3D" w14:textId="77777777" w:rsidR="00B201D3" w:rsidRDefault="00B201D3">
          <w:pPr>
            <w:ind w:firstLine="420"/>
            <w:rPr>
              <w:rFonts w:asciiTheme="minorEastAsia" w:eastAsiaTheme="minorEastAsia" w:hAnsiTheme="minorEastAsia"/>
            </w:rPr>
          </w:pPr>
        </w:p>
        <w:p w14:paraId="18D5D127" w14:textId="77777777" w:rsidR="00B201D3" w:rsidRDefault="009855E8">
          <w:pPr>
            <w:pStyle w:val="11000"/>
            <w:numPr>
              <w:ilvl w:val="0"/>
              <w:numId w:val="19"/>
            </w:numPr>
            <w:ind w:firstLineChars="0"/>
            <w:rPr>
              <w:rFonts w:asciiTheme="minorEastAsia" w:eastAsiaTheme="minorEastAsia" w:hAnsiTheme="minorEastAsia"/>
            </w:rPr>
          </w:pPr>
          <w:r>
            <w:rPr>
              <w:rFonts w:asciiTheme="minorEastAsia" w:eastAsiaTheme="minorEastAsia" w:hAnsiTheme="minorEastAsia" w:hint="eastAsia"/>
            </w:rPr>
            <w:t>历次调整情况</w:t>
          </w:r>
        </w:p>
        <w:p w14:paraId="5DC57E69" w14:textId="77777777" w:rsidR="00B201D3" w:rsidRDefault="009855E8" w:rsidP="006C3C03">
          <w:pPr>
            <w:ind w:firstLineChars="200" w:firstLine="420"/>
            <w:jc w:val="both"/>
            <w:rPr>
              <w:rFonts w:asciiTheme="minorEastAsia" w:eastAsiaTheme="minorEastAsia" w:hAnsiTheme="minorEastAsia"/>
            </w:rPr>
          </w:pPr>
          <w:bookmarkStart w:id="76" w:name="_Hlk143184723"/>
          <w:r>
            <w:rPr>
              <w:rFonts w:asciiTheme="minorEastAsia" w:eastAsiaTheme="minorEastAsia" w:hAnsiTheme="minorEastAsia" w:hint="eastAsia"/>
            </w:rPr>
            <w:t>经2023年8月</w:t>
          </w:r>
          <w:r>
            <w:rPr>
              <w:rFonts w:asciiTheme="minorEastAsia" w:eastAsiaTheme="minorEastAsia" w:hAnsiTheme="minorEastAsia" w:cs="Times New Roman" w:hint="eastAsia"/>
            </w:rPr>
            <w:t>2</w:t>
          </w:r>
          <w:r>
            <w:rPr>
              <w:rFonts w:asciiTheme="minorEastAsia" w:eastAsiaTheme="minorEastAsia" w:hAnsiTheme="minorEastAsia" w:cs="Times New Roman"/>
            </w:rPr>
            <w:t>5</w:t>
          </w:r>
          <w:r>
            <w:rPr>
              <w:rFonts w:asciiTheme="minorEastAsia" w:eastAsiaTheme="minorEastAsia" w:hAnsiTheme="minorEastAsia" w:hint="eastAsia"/>
            </w:rPr>
            <w:t>日召开的公司第九届董事会第二次会议审议批准，由于公司于限售期内进行两次利润分配，另外每股派送红股0</w:t>
          </w:r>
          <w:r>
            <w:rPr>
              <w:rFonts w:asciiTheme="minorEastAsia" w:eastAsiaTheme="minorEastAsia" w:hAnsiTheme="minorEastAsia"/>
            </w:rPr>
            <w:t>.5</w:t>
          </w:r>
          <w:r>
            <w:rPr>
              <w:rFonts w:asciiTheme="minorEastAsia" w:eastAsiaTheme="minorEastAsia" w:hAnsiTheme="minorEastAsia" w:hint="eastAsia"/>
            </w:rPr>
            <w:t>股，因此公司董事会对限制性股票回购价格、数量进行调整，本次调整后，回购价格由1</w:t>
          </w:r>
          <w:r>
            <w:rPr>
              <w:rFonts w:asciiTheme="minorEastAsia" w:eastAsiaTheme="minorEastAsia" w:hAnsiTheme="minorEastAsia"/>
            </w:rPr>
            <w:t>1.72</w:t>
          </w:r>
          <w:r>
            <w:rPr>
              <w:rFonts w:asciiTheme="minorEastAsia" w:eastAsiaTheme="minorEastAsia" w:hAnsiTheme="minorEastAsia" w:hint="eastAsia"/>
            </w:rPr>
            <w:t>元/股调整为3.6133元/股，已获授但未解除限售的限制性股票数量由6,</w:t>
          </w:r>
          <w:r>
            <w:rPr>
              <w:rFonts w:asciiTheme="minorEastAsia" w:eastAsiaTheme="minorEastAsia" w:hAnsiTheme="minorEastAsia"/>
            </w:rPr>
            <w:t>174</w:t>
          </w:r>
          <w:r>
            <w:rPr>
              <w:rFonts w:asciiTheme="minorEastAsia" w:eastAsiaTheme="minorEastAsia" w:hAnsiTheme="minorEastAsia" w:hint="eastAsia"/>
            </w:rPr>
            <w:t>万股调整为9,</w:t>
          </w:r>
          <w:r>
            <w:rPr>
              <w:rFonts w:asciiTheme="minorEastAsia" w:eastAsiaTheme="minorEastAsia" w:hAnsiTheme="minorEastAsia"/>
            </w:rPr>
            <w:t>261</w:t>
          </w:r>
          <w:r>
            <w:rPr>
              <w:rFonts w:asciiTheme="minorEastAsia" w:eastAsiaTheme="minorEastAsia" w:hAnsiTheme="minorEastAsia" w:hint="eastAsia"/>
            </w:rPr>
            <w:t>万股；26名激励对象因调动、退休等原因，公司注销其已获授但未解除限售的限制性股票267万股。详情请见公司日期为2023年8月</w:t>
          </w:r>
          <w:r>
            <w:rPr>
              <w:rFonts w:asciiTheme="minorEastAsia" w:eastAsiaTheme="minorEastAsia" w:hAnsiTheme="minorEastAsia" w:cs="Times New Roman" w:hint="eastAsia"/>
            </w:rPr>
            <w:t>2</w:t>
          </w:r>
          <w:r>
            <w:rPr>
              <w:rFonts w:asciiTheme="minorEastAsia" w:eastAsiaTheme="minorEastAsia" w:hAnsiTheme="minorEastAsia" w:cs="Times New Roman"/>
            </w:rPr>
            <w:t>5</w:t>
          </w:r>
          <w:r>
            <w:rPr>
              <w:rFonts w:asciiTheme="minorEastAsia" w:eastAsiaTheme="minorEastAsia" w:hAnsiTheme="minorEastAsia" w:hint="eastAsia"/>
            </w:rPr>
            <w:t>日的关于调整限制性股票回购价格及回购数量的公告、关于回购注销部分激励对象已获授但尚未解除限售的限制性股票的公告。</w:t>
          </w:r>
          <w:bookmarkEnd w:id="76"/>
        </w:p>
        <w:p w14:paraId="7C8F79A7" w14:textId="77777777" w:rsidR="00B201D3" w:rsidRDefault="00B201D3">
          <w:pPr>
            <w:ind w:firstLineChars="200" w:firstLine="420"/>
            <w:rPr>
              <w:rFonts w:asciiTheme="minorEastAsia" w:eastAsiaTheme="minorEastAsia" w:hAnsiTheme="minorEastAsia"/>
            </w:rPr>
          </w:pPr>
        </w:p>
        <w:p w14:paraId="273AF102" w14:textId="77777777" w:rsidR="00B201D3" w:rsidRDefault="009855E8">
          <w:pPr>
            <w:ind w:firstLine="420"/>
            <w:rPr>
              <w:rFonts w:asciiTheme="minorEastAsia" w:eastAsiaTheme="minorEastAsia" w:hAnsiTheme="minorEastAsia"/>
            </w:rPr>
          </w:pPr>
          <w:r>
            <w:rPr>
              <w:rFonts w:asciiTheme="minorEastAsia" w:eastAsiaTheme="minorEastAsia" w:hAnsiTheme="minorEastAsia" w:hint="eastAsia"/>
            </w:rPr>
            <w:t>（三）所得款项使用情况</w:t>
          </w:r>
        </w:p>
        <w:p w14:paraId="1B3C9E97" w14:textId="77777777" w:rsidR="00B201D3" w:rsidRDefault="009855E8">
          <w:pPr>
            <w:ind w:firstLine="420"/>
            <w:rPr>
              <w:rFonts w:asciiTheme="minorEastAsia" w:eastAsiaTheme="minorEastAsia" w:hAnsiTheme="minorEastAsia"/>
            </w:rPr>
          </w:pPr>
          <w:r>
            <w:rPr>
              <w:rFonts w:asciiTheme="minorEastAsia" w:eastAsiaTheme="minorEastAsia" w:hAnsiTheme="minorEastAsia" w:hint="eastAsia"/>
            </w:rPr>
            <w:t>授予限制性股票所得款项合计人民币72,359.29万元,用于补充本公司营运资金。</w:t>
          </w:r>
        </w:p>
        <w:p w14:paraId="7F9CB78E" w14:textId="77777777" w:rsidR="00B201D3" w:rsidRDefault="009855E8">
          <w:pPr>
            <w:ind w:firstLine="420"/>
            <w:rPr>
              <w:rFonts w:asciiTheme="minorEastAsia" w:eastAsiaTheme="minorEastAsia" w:hAnsiTheme="minorEastAsia"/>
              <w:b/>
            </w:rPr>
          </w:pPr>
          <w:r>
            <w:rPr>
              <w:rFonts w:asciiTheme="minorEastAsia" w:eastAsiaTheme="minorEastAsia" w:hAnsiTheme="minorEastAsia" w:hint="eastAsia"/>
              <w:b/>
            </w:rPr>
            <w:t xml:space="preserve"> </w:t>
          </w:r>
        </w:p>
        <w:p w14:paraId="3A3AC556" w14:textId="77777777" w:rsidR="00B201D3" w:rsidRDefault="009855E8">
          <w:pPr>
            <w:ind w:firstLine="420"/>
            <w:rPr>
              <w:rFonts w:asciiTheme="minorEastAsia" w:eastAsiaTheme="minorEastAsia" w:hAnsiTheme="minorEastAsia"/>
            </w:rPr>
          </w:pPr>
          <w:r>
            <w:rPr>
              <w:rFonts w:asciiTheme="minorEastAsia" w:eastAsiaTheme="minorEastAsia" w:hAnsiTheme="minorEastAsia" w:hint="eastAsia"/>
              <w:b/>
              <w:bCs/>
            </w:rPr>
            <w:t>兖煤澳洲股权激励计划</w:t>
          </w:r>
        </w:p>
        <w:p w14:paraId="7BB14CBB" w14:textId="77777777" w:rsidR="00B201D3" w:rsidRDefault="009855E8">
          <w:pPr>
            <w:ind w:firstLine="420"/>
            <w:rPr>
              <w:rFonts w:asciiTheme="minorEastAsia" w:eastAsiaTheme="minorEastAsia" w:hAnsiTheme="minorEastAsia"/>
              <w:b/>
            </w:rPr>
          </w:pPr>
          <w:r>
            <w:rPr>
              <w:rFonts w:asciiTheme="minorEastAsia" w:eastAsiaTheme="minorEastAsia" w:hAnsiTheme="minorEastAsia" w:hint="eastAsia"/>
              <w:b/>
            </w:rPr>
            <w:t xml:space="preserve"> </w:t>
          </w:r>
        </w:p>
        <w:p w14:paraId="5BD98FA1" w14:textId="77777777" w:rsidR="00B201D3" w:rsidRDefault="009855E8">
          <w:pPr>
            <w:ind w:firstLineChars="200" w:firstLine="420"/>
            <w:rPr>
              <w:rFonts w:asciiTheme="minorEastAsia" w:eastAsiaTheme="minorEastAsia" w:hAnsiTheme="minorEastAsia" w:cs="Calibri"/>
              <w:color w:val="000000"/>
            </w:rPr>
          </w:pPr>
          <w:r>
            <w:rPr>
              <w:rFonts w:asciiTheme="minorEastAsia" w:eastAsiaTheme="minorEastAsia" w:hAnsiTheme="minorEastAsia" w:cs="Calibri" w:hint="eastAsia"/>
              <w:color w:val="000000"/>
            </w:rPr>
            <w:t>为吸引和保留优秀人才，将高管人员的薪酬与股东利益相结合，确保员工注重创建公司中长期目标，经兖煤澳洲</w:t>
          </w:r>
          <w:r>
            <w:rPr>
              <w:rFonts w:asciiTheme="minorEastAsia" w:eastAsiaTheme="minorEastAsia" w:hAnsiTheme="minorEastAsia" w:cs="Calibri"/>
              <w:color w:val="000000"/>
            </w:rPr>
            <w:t xml:space="preserve">2018年度股东大会批准，兖煤澳洲于2018年实施了一项股权激励计划。 </w:t>
          </w:r>
        </w:p>
        <w:p w14:paraId="4467EA55" w14:textId="77777777" w:rsidR="00B201D3" w:rsidRDefault="009855E8">
          <w:pPr>
            <w:ind w:firstLineChars="200" w:firstLine="420"/>
            <w:rPr>
              <w:rFonts w:asciiTheme="minorEastAsia" w:eastAsiaTheme="minorEastAsia" w:hAnsiTheme="minorEastAsia"/>
            </w:rPr>
          </w:pPr>
          <w:r>
            <w:rPr>
              <w:rFonts w:asciiTheme="minorEastAsia" w:eastAsiaTheme="minorEastAsia" w:hAnsiTheme="minorEastAsia" w:cs="Calibri" w:hint="eastAsia"/>
              <w:color w:val="000000"/>
            </w:rPr>
            <w:t>有关详情请见兖煤澳洲日期为</w:t>
          </w:r>
          <w:r>
            <w:rPr>
              <w:rFonts w:asciiTheme="minorEastAsia" w:eastAsiaTheme="minorEastAsia" w:hAnsiTheme="minorEastAsia" w:cs="Calibri"/>
              <w:color w:val="000000"/>
            </w:rPr>
            <w:t>2018年5月30日的2018年度股东大会决议公告、有关更新公告、日期为2023年2月27日的截至2022年12月31日止年度财务公告和薪酬报告以及日期</w:t>
          </w:r>
          <w:r>
            <w:rPr>
              <w:rFonts w:asciiTheme="minorEastAsia" w:eastAsiaTheme="minorEastAsia" w:hAnsiTheme="minorEastAsia" w:cs="Calibri"/>
              <w:color w:val="000000"/>
            </w:rPr>
            <w:lastRenderedPageBreak/>
            <w:t>为2023年8月16日的截至2023年6月30日止半年度财务公告和薪酬报告。该等资料载于兖煤</w:t>
          </w:r>
          <w:r>
            <w:rPr>
              <w:rFonts w:asciiTheme="minorEastAsia" w:eastAsiaTheme="minorEastAsia" w:hAnsiTheme="minorEastAsia" w:cs="Calibri" w:hint="eastAsia"/>
              <w:color w:val="000000"/>
            </w:rPr>
            <w:t>澳洲公司网站、澳大利亚证券交易所网站及</w:t>
          </w:r>
          <w:r>
            <w:rPr>
              <w:rFonts w:asciiTheme="minorEastAsia" w:eastAsiaTheme="minorEastAsia" w:hAnsiTheme="minorEastAsia" w:cs="Calibri"/>
              <w:color w:val="000000"/>
            </w:rPr>
            <w:t>/或香港联交所网站。</w:t>
          </w:r>
        </w:p>
      </w:sdtContent>
    </w:sdt>
    <w:p w14:paraId="6195865C" w14:textId="77777777" w:rsidR="00B201D3" w:rsidRDefault="00B201D3">
      <w:pPr>
        <w:pStyle w:val="3903"/>
      </w:pPr>
    </w:p>
    <w:sdt>
      <w:sdtPr>
        <w:rPr>
          <w:rFonts w:hint="eastAsia"/>
        </w:rPr>
        <w:alias w:val="模块:股权激励情况的说明"/>
        <w:tag w:val="_SEC_a417a9b40b6a4adeba436d511837e016"/>
        <w:id w:val="1672598814"/>
        <w:lock w:val="sdtLocked"/>
        <w:placeholder>
          <w:docPart w:val="GBC22222222222222222222222222222"/>
        </w:placeholder>
      </w:sdtPr>
      <w:sdtEndPr>
        <w:rPr>
          <w:rFonts w:asciiTheme="minorEastAsia" w:eastAsiaTheme="minorEastAsia" w:hAnsiTheme="minorEastAsia" w:hint="default"/>
        </w:rPr>
      </w:sdtEndPr>
      <w:sdtContent>
        <w:p w14:paraId="40505C33" w14:textId="77777777" w:rsidR="00B201D3" w:rsidRDefault="009855E8">
          <w:pPr>
            <w:pStyle w:val="3903"/>
          </w:pPr>
          <w:r>
            <w:rPr>
              <w:rFonts w:hint="eastAsia"/>
            </w:rPr>
            <w:t>其他说明</w:t>
          </w:r>
        </w:p>
        <w:p w14:paraId="65EDF621" w14:textId="77777777" w:rsidR="00B201D3" w:rsidRDefault="00C8327E">
          <w:pPr>
            <w:pStyle w:val="3903"/>
          </w:pPr>
          <w:sdt>
            <w:sdtPr>
              <w:rPr>
                <w:rFonts w:hint="eastAsia"/>
              </w:rPr>
              <w:alias w:val="是否适用：股权激励情况的说明[双击切换]"/>
              <w:tag w:val="_GBC_e5a032ecd3e24335b29a38809f65a990"/>
              <w:id w:val="1656339728"/>
              <w:lock w:val="sdtLocked"/>
              <w:placeholder>
                <w:docPart w:val="GBC22222222222222222222222222222"/>
              </w:placeholder>
            </w:sdtPr>
            <w:sdtEndPr/>
            <w:sdtContent>
              <w:r w:rsidR="009855E8">
                <w:fldChar w:fldCharType="begin"/>
              </w:r>
              <w:r w:rsidR="009855E8">
                <w:instrText xml:space="preserve"> MACROBUTTON  SnrToggleCheckbox □适用 </w:instrText>
              </w:r>
              <w:r w:rsidR="009855E8">
                <w:fldChar w:fldCharType="end"/>
              </w:r>
              <w:r w:rsidR="009855E8">
                <w:fldChar w:fldCharType="begin"/>
              </w:r>
              <w:r w:rsidR="009855E8">
                <w:instrText xml:space="preserve"> MACROBUTTON  SnrToggleCheckbox √不适用 </w:instrText>
              </w:r>
              <w:r w:rsidR="009855E8">
                <w:fldChar w:fldCharType="end"/>
              </w:r>
            </w:sdtContent>
          </w:sdt>
        </w:p>
        <w:p w14:paraId="75083583" w14:textId="77777777" w:rsidR="00B201D3" w:rsidRDefault="00C8327E">
          <w:pPr>
            <w:ind w:firstLineChars="200" w:firstLine="420"/>
            <w:rPr>
              <w:rFonts w:asciiTheme="minorEastAsia" w:eastAsiaTheme="minorEastAsia" w:hAnsiTheme="minorEastAsia"/>
            </w:rPr>
          </w:pPr>
        </w:p>
      </w:sdtContent>
    </w:sdt>
    <w:sdt>
      <w:sdtPr>
        <w:rPr>
          <w:rFonts w:asciiTheme="minorEastAsia" w:eastAsiaTheme="minorEastAsia" w:hAnsiTheme="minorEastAsia" w:hint="eastAsia"/>
        </w:rPr>
        <w:alias w:val="模块:员工持股计划情况"/>
        <w:tag w:val="_SEC_70861e225efc4a6aa2a87c82bdeffa60"/>
        <w:id w:val="1411126854"/>
        <w:lock w:val="sdtLocked"/>
        <w:placeholder>
          <w:docPart w:val="GBC22222222222222222222222222222"/>
        </w:placeholder>
      </w:sdtPr>
      <w:sdtEndPr>
        <w:rPr>
          <w:bCs/>
        </w:rPr>
      </w:sdtEndPr>
      <w:sdtContent>
        <w:p w14:paraId="56F9E783" w14:textId="77777777" w:rsidR="00B201D3" w:rsidRDefault="009855E8">
          <w:pPr>
            <w:rPr>
              <w:rFonts w:asciiTheme="minorEastAsia" w:eastAsiaTheme="minorEastAsia" w:hAnsiTheme="minorEastAsia"/>
            </w:rPr>
          </w:pPr>
          <w:r>
            <w:rPr>
              <w:rFonts w:asciiTheme="minorEastAsia" w:eastAsiaTheme="minorEastAsia" w:hAnsiTheme="minorEastAsia" w:hint="eastAsia"/>
            </w:rPr>
            <w:t>员工持股计划情况</w:t>
          </w:r>
        </w:p>
        <w:sdt>
          <w:sdtPr>
            <w:rPr>
              <w:rFonts w:asciiTheme="minorEastAsia" w:eastAsiaTheme="minorEastAsia" w:hAnsiTheme="minorEastAsia"/>
            </w:rPr>
            <w:alias w:val="是否适用：员工持股计划情况[双击切换]"/>
            <w:tag w:val="_GBC_60a13b60efda4715a83fed9c5960ee3b"/>
            <w:id w:val="1393463200"/>
            <w:lock w:val="sdtLocked"/>
            <w:placeholder>
              <w:docPart w:val="GBC22222222222222222222222222222"/>
            </w:placeholder>
          </w:sdtPr>
          <w:sdtEndPr/>
          <w:sdtContent>
            <w:p w14:paraId="4C336F6B" w14:textId="77777777" w:rsidR="00B201D3" w:rsidRDefault="009855E8">
              <w:pPr>
                <w:rPr>
                  <w:rFonts w:asciiTheme="minorEastAsia" w:eastAsiaTheme="minorEastAsia" w:hAnsiTheme="minorEastAsia"/>
                  <w:bCs/>
                </w:rPr>
              </w:pP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p w14:paraId="6C464C1C" w14:textId="77777777" w:rsidR="00B201D3" w:rsidRDefault="00B201D3">
      <w:pPr>
        <w:rPr>
          <w:rFonts w:asciiTheme="minorEastAsia" w:eastAsiaTheme="minorEastAsia" w:hAnsiTheme="minorEastAsia"/>
          <w:bCs/>
        </w:rPr>
      </w:pPr>
    </w:p>
    <w:sdt>
      <w:sdtPr>
        <w:rPr>
          <w:rFonts w:asciiTheme="minorEastAsia" w:eastAsiaTheme="minorEastAsia" w:hAnsiTheme="minorEastAsia" w:hint="eastAsia"/>
        </w:rPr>
        <w:alias w:val="模块:其他激励措施"/>
        <w:tag w:val="_SEC_63920368dc0b49e9a257b190129bf278"/>
        <w:id w:val="1141388638"/>
        <w:lock w:val="sdtLocked"/>
        <w:placeholder>
          <w:docPart w:val="GBC22222222222222222222222222222"/>
        </w:placeholder>
      </w:sdtPr>
      <w:sdtEndPr>
        <w:rPr>
          <w:bCs/>
        </w:rPr>
      </w:sdtEndPr>
      <w:sdtContent>
        <w:p w14:paraId="5FE2D21E" w14:textId="77777777" w:rsidR="00B201D3" w:rsidRDefault="009855E8">
          <w:pPr>
            <w:rPr>
              <w:rFonts w:asciiTheme="minorEastAsia" w:eastAsiaTheme="minorEastAsia" w:hAnsiTheme="minorEastAsia"/>
            </w:rPr>
          </w:pPr>
          <w:r>
            <w:rPr>
              <w:rFonts w:asciiTheme="minorEastAsia" w:eastAsiaTheme="minorEastAsia" w:hAnsiTheme="minorEastAsia" w:hint="eastAsia"/>
            </w:rPr>
            <w:t>其他激励措施</w:t>
          </w:r>
        </w:p>
        <w:sdt>
          <w:sdtPr>
            <w:rPr>
              <w:rFonts w:asciiTheme="minorEastAsia" w:eastAsiaTheme="minorEastAsia" w:hAnsiTheme="minorEastAsia"/>
            </w:rPr>
            <w:alias w:val="是否适用：其他激励措施[双击切换]"/>
            <w:tag w:val="_GBC_87e3c04518ac4bed97846d84cc8784e1"/>
            <w:id w:val="-1168015758"/>
            <w:lock w:val="sdtLocked"/>
            <w:placeholder>
              <w:docPart w:val="GBC22222222222222222222222222222"/>
            </w:placeholder>
          </w:sdtPr>
          <w:sdtEndPr/>
          <w:sdtContent>
            <w:p w14:paraId="1BA3C428" w14:textId="77777777" w:rsidR="00B201D3" w:rsidRDefault="009855E8">
              <w:pPr>
                <w:rPr>
                  <w:rFonts w:asciiTheme="minorEastAsia" w:eastAsiaTheme="minorEastAsia" w:hAnsiTheme="minorEastAsia"/>
                  <w:bCs/>
                </w:rPr>
              </w:pP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p w14:paraId="74A904A6" w14:textId="77777777" w:rsidR="00B201D3" w:rsidRDefault="00B201D3">
      <w:pPr>
        <w:rPr>
          <w:rFonts w:asciiTheme="minorEastAsia" w:eastAsiaTheme="minorEastAsia" w:hAnsiTheme="minorEastAsia"/>
        </w:rPr>
      </w:pPr>
    </w:p>
    <w:p w14:paraId="13245782" w14:textId="77777777" w:rsidR="00B201D3" w:rsidRDefault="009855E8">
      <w:pPr>
        <w:rPr>
          <w:rFonts w:asciiTheme="minorEastAsia" w:eastAsiaTheme="minorEastAsia" w:hAnsiTheme="minorEastAsia"/>
          <w:b/>
        </w:rPr>
      </w:pPr>
      <w:r>
        <w:rPr>
          <w:rFonts w:asciiTheme="minorEastAsia" w:eastAsiaTheme="minorEastAsia" w:hAnsiTheme="minorEastAsia" w:hint="eastAsia"/>
          <w:b/>
        </w:rPr>
        <w:t>五、公司治理情况</w:t>
      </w:r>
    </w:p>
    <w:p w14:paraId="743DCBCC" w14:textId="77777777" w:rsidR="00B201D3" w:rsidRDefault="009855E8">
      <w:pPr>
        <w:ind w:firstLineChars="200" w:firstLine="420"/>
        <w:rPr>
          <w:rFonts w:asciiTheme="minorEastAsia" w:eastAsiaTheme="minorEastAsia" w:hAnsiTheme="minorEastAsia"/>
        </w:rPr>
      </w:pPr>
      <w:r>
        <w:rPr>
          <w:rFonts w:asciiTheme="minorEastAsia" w:eastAsiaTheme="minorEastAsia" w:hAnsiTheme="minorEastAsia" w:hint="eastAsia"/>
        </w:rPr>
        <w:t>（按中国境内上市监管规定编制）</w:t>
      </w:r>
    </w:p>
    <w:p w14:paraId="01C04C72" w14:textId="77777777" w:rsidR="00B201D3" w:rsidRDefault="009855E8">
      <w:pPr>
        <w:ind w:firstLineChars="200" w:firstLine="420"/>
        <w:rPr>
          <w:rFonts w:asciiTheme="minorEastAsia" w:eastAsiaTheme="minorEastAsia" w:hAnsiTheme="minorEastAsia"/>
        </w:rPr>
      </w:pPr>
      <w:r>
        <w:rPr>
          <w:rFonts w:asciiTheme="minorEastAsia" w:eastAsiaTheme="minorEastAsia" w:hAnsiTheme="minorEastAsia"/>
        </w:rPr>
        <w:t>公司</w:t>
      </w:r>
      <w:r>
        <w:rPr>
          <w:rFonts w:asciiTheme="minorEastAsia" w:eastAsiaTheme="minorEastAsia" w:hAnsiTheme="minorEastAsia" w:hint="eastAsia"/>
        </w:rPr>
        <w:t>自上市以来，</w:t>
      </w:r>
      <w:r>
        <w:rPr>
          <w:rFonts w:asciiTheme="minorEastAsia" w:eastAsiaTheme="minorEastAsia" w:hAnsiTheme="minorEastAsia"/>
        </w:rPr>
        <w:t>密切关注证券市场规范化、法治化进程，</w:t>
      </w:r>
      <w:r>
        <w:rPr>
          <w:rFonts w:asciiTheme="minorEastAsia" w:eastAsiaTheme="minorEastAsia" w:hAnsiTheme="minorEastAsia" w:hint="eastAsia"/>
        </w:rPr>
        <w:t>按照《公司法》《证券法》及上市地有关监管规定，遵循透明、问责、维护全体股东权益的原则，建立了规范稳健的公司治理结构，与中国证监会有关规章制度及监管要求不存在重大差异。</w:t>
      </w:r>
    </w:p>
    <w:p w14:paraId="4941644A" w14:textId="77777777" w:rsidR="00B201D3" w:rsidRDefault="009855E8">
      <w:pPr>
        <w:ind w:firstLineChars="200" w:firstLine="420"/>
        <w:rPr>
          <w:rFonts w:asciiTheme="minorEastAsia" w:eastAsiaTheme="minorEastAsia" w:hAnsiTheme="minorEastAsia"/>
        </w:rPr>
      </w:pPr>
      <w:r>
        <w:rPr>
          <w:rFonts w:asciiTheme="minorEastAsia" w:eastAsiaTheme="minorEastAsia" w:hAnsiTheme="minorEastAsia"/>
        </w:rPr>
        <w:t>2023年3月31日，中国证监会发布的《境内</w:t>
      </w:r>
      <w:r>
        <w:rPr>
          <w:rFonts w:asciiTheme="minorEastAsia" w:eastAsiaTheme="minorEastAsia" w:hAnsiTheme="minorEastAsia" w:hint="eastAsia"/>
        </w:rPr>
        <w:t>企业</w:t>
      </w:r>
      <w:r>
        <w:rPr>
          <w:rFonts w:asciiTheme="minorEastAsia" w:eastAsiaTheme="minorEastAsia" w:hAnsiTheme="minorEastAsia"/>
        </w:rPr>
        <w:t>境外发行</w:t>
      </w:r>
      <w:r>
        <w:rPr>
          <w:rFonts w:asciiTheme="minorEastAsia" w:eastAsiaTheme="minorEastAsia" w:hAnsiTheme="minorEastAsia" w:hint="eastAsia"/>
        </w:rPr>
        <w:t>证券和</w:t>
      </w:r>
      <w:r>
        <w:rPr>
          <w:rFonts w:asciiTheme="minorEastAsia" w:eastAsiaTheme="minorEastAsia" w:hAnsiTheme="minorEastAsia"/>
        </w:rPr>
        <w:t>上市管理试行办法》及相关指引生效施行，《关于执行&lt;到境外上市公司章程必备条款&gt;的通知》同时废止。根据上述制度的变化，并结合公司实际运营需要，修改《公司章程》中相关条款，主要修改购买公司股份的财务资助章节，删除类别股东大会相关规定等内容，并相应修</w:t>
      </w:r>
      <w:r>
        <w:rPr>
          <w:rFonts w:asciiTheme="minorEastAsia" w:eastAsiaTheme="minorEastAsia" w:hAnsiTheme="minorEastAsia" w:hint="eastAsia"/>
        </w:rPr>
        <w:t>订</w:t>
      </w:r>
      <w:r>
        <w:rPr>
          <w:rFonts w:asciiTheme="minorEastAsia" w:eastAsiaTheme="minorEastAsia" w:hAnsiTheme="minorEastAsia"/>
        </w:rPr>
        <w:t>公司《股东大会议事规则》《董事会议事规则》《监事会议事规则》有关内容。</w:t>
      </w:r>
    </w:p>
    <w:p w14:paraId="6CB15189" w14:textId="77777777" w:rsidR="00B201D3" w:rsidRDefault="009855E8">
      <w:pPr>
        <w:ind w:firstLineChars="200" w:firstLine="420"/>
        <w:rPr>
          <w:rFonts w:asciiTheme="minorEastAsia" w:eastAsiaTheme="minorEastAsia" w:hAnsiTheme="minorEastAsia"/>
        </w:rPr>
      </w:pPr>
      <w:r>
        <w:rPr>
          <w:rFonts w:asciiTheme="minorEastAsia" w:eastAsiaTheme="minorEastAsia" w:hAnsiTheme="minorEastAsia" w:hint="eastAsia"/>
        </w:rPr>
        <w:t>因公司派发红股、实施股票期权激励计划行权等事项，导致公司股本结构和注册资本发生变化，中国证监会发布《上市公司独立董事管理办法》，以及进一步完善“党建入章”有关表述等原因，公司修改《公司章程》中相关条款</w:t>
      </w:r>
      <w:r>
        <w:rPr>
          <w:rFonts w:asciiTheme="minorEastAsia" w:eastAsiaTheme="minorEastAsia" w:hAnsiTheme="minorEastAsia"/>
        </w:rPr>
        <w:t>。</w:t>
      </w:r>
    </w:p>
    <w:p w14:paraId="6991DFC4" w14:textId="77777777" w:rsidR="00B201D3" w:rsidRDefault="009855E8">
      <w:pPr>
        <w:ind w:firstLineChars="200" w:firstLine="420"/>
        <w:rPr>
          <w:rFonts w:asciiTheme="minorEastAsia" w:eastAsiaTheme="minorEastAsia" w:hAnsiTheme="minorEastAsia"/>
        </w:rPr>
      </w:pPr>
      <w:r>
        <w:rPr>
          <w:rFonts w:asciiTheme="minorEastAsia" w:eastAsiaTheme="minorEastAsia" w:hAnsiTheme="minorEastAsia"/>
        </w:rPr>
        <w:t>2023年7月28日，中国证监会发布《上市公司独立董事管理办法》，对独立董事履职及专门委员会职责等提出新的要求。为符合上述新要求，结合公司实际，公司修改了《独立董事工作制度》及审计、薪酬等专门委员会工作细则。</w:t>
      </w:r>
    </w:p>
    <w:p w14:paraId="1C424ABB" w14:textId="77777777" w:rsidR="00B201D3" w:rsidRDefault="009855E8">
      <w:pPr>
        <w:pStyle w:val="3903"/>
        <w:rPr>
          <w:rFonts w:asciiTheme="minorEastAsia" w:eastAsiaTheme="minorEastAsia" w:hAnsiTheme="minorEastAsia"/>
        </w:rPr>
      </w:pPr>
      <w:r>
        <w:rPr>
          <w:rFonts w:asciiTheme="minorEastAsia" w:eastAsiaTheme="minorEastAsia" w:hAnsiTheme="minorEastAsia" w:hint="eastAsia"/>
        </w:rPr>
        <w:t xml:space="preserve"> </w:t>
      </w:r>
    </w:p>
    <w:p w14:paraId="3639AA52" w14:textId="77777777" w:rsidR="00B201D3" w:rsidRDefault="009855E8">
      <w:pPr>
        <w:rPr>
          <w:rFonts w:asciiTheme="minorEastAsia" w:eastAsiaTheme="minorEastAsia" w:hAnsiTheme="minorEastAsia"/>
          <w:b/>
        </w:rPr>
      </w:pPr>
      <w:r>
        <w:rPr>
          <w:rFonts w:asciiTheme="minorEastAsia" w:eastAsiaTheme="minorEastAsia" w:hAnsiTheme="minorEastAsia" w:hint="eastAsia"/>
          <w:b/>
        </w:rPr>
        <w:t>六、《企业管治守则》及《上市发行人董事进行证券交易的标准守则》（“《标准守则》”）遵守情况</w:t>
      </w:r>
    </w:p>
    <w:p w14:paraId="5D47E314" w14:textId="77777777" w:rsidR="00B201D3" w:rsidRDefault="009855E8">
      <w:pPr>
        <w:ind w:firstLineChars="200" w:firstLine="420"/>
        <w:rPr>
          <w:rFonts w:asciiTheme="minorEastAsia" w:eastAsiaTheme="minorEastAsia" w:hAnsiTheme="minorEastAsia"/>
        </w:rPr>
      </w:pPr>
      <w:r>
        <w:rPr>
          <w:rFonts w:asciiTheme="minorEastAsia" w:eastAsiaTheme="minorEastAsia" w:hAnsiTheme="minorEastAsia" w:hint="eastAsia"/>
        </w:rPr>
        <w:t>（按香港上市监管规定编制）</w:t>
      </w:r>
    </w:p>
    <w:p w14:paraId="29DF678F" w14:textId="77777777" w:rsidR="00B201D3" w:rsidRDefault="009855E8">
      <w:pPr>
        <w:ind w:firstLineChars="200" w:firstLine="420"/>
        <w:rPr>
          <w:rFonts w:asciiTheme="minorEastAsia" w:eastAsiaTheme="minorEastAsia" w:hAnsiTheme="minorEastAsia"/>
        </w:rPr>
      </w:pPr>
      <w:r>
        <w:rPr>
          <w:rFonts w:asciiTheme="minorEastAsia" w:eastAsiaTheme="minorEastAsia" w:hAnsiTheme="minorEastAsia" w:hint="eastAsia"/>
        </w:rPr>
        <w:t>董事会相信，良好的企业管治对本集团运营发展十分重要。本集团已经建立了比较规范、稳健的企业管治架构，遵循透明、问责、维护全体股东权益的公司管治原则。</w:t>
      </w:r>
    </w:p>
    <w:p w14:paraId="7A94A500" w14:textId="77777777" w:rsidR="00B201D3" w:rsidRDefault="009855E8">
      <w:pPr>
        <w:ind w:firstLineChars="200" w:firstLine="420"/>
        <w:rPr>
          <w:rFonts w:asciiTheme="minorEastAsia" w:eastAsiaTheme="minorEastAsia" w:hAnsiTheme="minorEastAsia"/>
        </w:rPr>
      </w:pPr>
      <w:r>
        <w:rPr>
          <w:rFonts w:asciiTheme="minorEastAsia" w:eastAsiaTheme="minorEastAsia" w:hAnsiTheme="minorEastAsia" w:hint="eastAsia"/>
        </w:rPr>
        <w:t>本集团已建立向全体董事的汇报制度，确保董事对公司业务知情；并相信定期举行的董事会会议能够为非执行董事提供有效的沟通渠道，以使非执行董事对本集团业务进行全面及开放的讨论。董事会定期检讨公司治理情况，以确保公司的运行符合法律、法规及上市地监管规定，不断致力于提升公司管治水平。</w:t>
      </w:r>
    </w:p>
    <w:p w14:paraId="338AD8DA" w14:textId="77777777" w:rsidR="00B201D3" w:rsidRDefault="009855E8">
      <w:pPr>
        <w:ind w:firstLineChars="200" w:firstLine="420"/>
        <w:rPr>
          <w:rFonts w:asciiTheme="minorEastAsia" w:eastAsiaTheme="minorEastAsia" w:hAnsiTheme="minorEastAsia"/>
        </w:rPr>
      </w:pPr>
      <w:r>
        <w:rPr>
          <w:rFonts w:asciiTheme="minorEastAsia" w:eastAsiaTheme="minorEastAsia" w:hAnsiTheme="minorEastAsia" w:hint="eastAsia"/>
        </w:rPr>
        <w:t>本集团已执行的企业管治常规文件包括但不限于：《公司章程》《股东大会议事规则》《董事会议事规则》《监事会议事规则》《独立董事工作制度》《信息披露管理制度》《关联交易管理办法》《投资者关系管理工作制度》《股东、董事、监事、高管及相关内幕信息知情人所持本公司股份及变动管理制度》《高级职员职业道德行为准则》《内控体系建设管理办法》《全面风险管理办法》等。截至本报告公布之日，本集团采纳的企业管治常规文件，还包含香港上市规则之《企业管治守则》，本集团的企业管治运行情况亦符合《企业管治守则》的要求。</w:t>
      </w:r>
    </w:p>
    <w:p w14:paraId="70ADF3BE" w14:textId="77777777" w:rsidR="00B201D3" w:rsidRDefault="009855E8">
      <w:pPr>
        <w:ind w:firstLineChars="200" w:firstLine="420"/>
        <w:rPr>
          <w:rFonts w:asciiTheme="minorEastAsia" w:eastAsiaTheme="minorEastAsia" w:hAnsiTheme="minorEastAsia"/>
        </w:rPr>
      </w:pPr>
      <w:r>
        <w:rPr>
          <w:rFonts w:asciiTheme="minorEastAsia" w:eastAsiaTheme="minorEastAsia" w:hAnsiTheme="minorEastAsia" w:hint="eastAsia"/>
        </w:rPr>
        <w:t>本报告期内，公司已严格执行上述企业管治常规文件及遵守《企业管治守则》，不存在任何偏离的行为。</w:t>
      </w:r>
    </w:p>
    <w:p w14:paraId="5C6CA3FA" w14:textId="77777777" w:rsidR="00B201D3" w:rsidRDefault="009855E8">
      <w:pPr>
        <w:ind w:firstLineChars="200" w:firstLine="420"/>
        <w:rPr>
          <w:rFonts w:asciiTheme="minorEastAsia" w:eastAsiaTheme="minorEastAsia" w:hAnsiTheme="minorEastAsia"/>
        </w:rPr>
      </w:pPr>
      <w:r>
        <w:rPr>
          <w:rFonts w:asciiTheme="minorEastAsia" w:eastAsiaTheme="minorEastAsia" w:hAnsiTheme="minorEastAsia" w:hint="eastAsia"/>
        </w:rPr>
        <w:t>公司董事、监事和高级管理人员均严格遵守《标准守则》及本公司的《股东、董事、监事、高管及相关内幕信息知情人所持本公司股份及变动管理制度》。本公司已就董事、监事和高级管理人员的证券交易采用不低于《标准守则》的行为准则。</w:t>
      </w:r>
    </w:p>
    <w:p w14:paraId="4EDB93A6" w14:textId="77777777" w:rsidR="00B201D3" w:rsidRDefault="009855E8">
      <w:pPr>
        <w:ind w:firstLineChars="200" w:firstLine="420"/>
        <w:rPr>
          <w:rFonts w:asciiTheme="minorEastAsia" w:eastAsiaTheme="minorEastAsia" w:hAnsiTheme="minorEastAsia"/>
        </w:rPr>
      </w:pPr>
      <w:r>
        <w:rPr>
          <w:rFonts w:asciiTheme="minorEastAsia" w:eastAsiaTheme="minorEastAsia" w:hAnsiTheme="minorEastAsia" w:hint="eastAsia"/>
        </w:rPr>
        <w:t>有关公司企业管治报告的详情请见公司202</w:t>
      </w:r>
      <w:r>
        <w:rPr>
          <w:rFonts w:asciiTheme="minorEastAsia" w:eastAsiaTheme="minorEastAsia" w:hAnsiTheme="minorEastAsia"/>
        </w:rPr>
        <w:t>2</w:t>
      </w:r>
      <w:r>
        <w:rPr>
          <w:rFonts w:asciiTheme="minorEastAsia" w:eastAsiaTheme="minorEastAsia" w:hAnsiTheme="minorEastAsia" w:hint="eastAsia"/>
        </w:rPr>
        <w:t>年年报。</w:t>
      </w:r>
    </w:p>
    <w:p w14:paraId="58BC1B60" w14:textId="77777777" w:rsidR="00B201D3" w:rsidRDefault="009855E8">
      <w:pPr>
        <w:pStyle w:val="3903"/>
        <w:rPr>
          <w:rFonts w:asciiTheme="minorEastAsia" w:eastAsiaTheme="minorEastAsia" w:hAnsiTheme="minorEastAsia"/>
        </w:rPr>
      </w:pPr>
      <w:r>
        <w:rPr>
          <w:rFonts w:asciiTheme="minorEastAsia" w:eastAsiaTheme="minorEastAsia" w:hAnsiTheme="minorEastAsia" w:hint="eastAsia"/>
        </w:rPr>
        <w:lastRenderedPageBreak/>
        <w:t xml:space="preserve"> </w:t>
      </w:r>
    </w:p>
    <w:p w14:paraId="43730412" w14:textId="77777777" w:rsidR="00B201D3" w:rsidRDefault="009855E8">
      <w:pPr>
        <w:rPr>
          <w:rFonts w:asciiTheme="minorEastAsia" w:eastAsiaTheme="minorEastAsia" w:hAnsiTheme="minorEastAsia"/>
          <w:b/>
        </w:rPr>
      </w:pPr>
      <w:r>
        <w:rPr>
          <w:rFonts w:asciiTheme="minorEastAsia" w:eastAsiaTheme="minorEastAsia" w:hAnsiTheme="minorEastAsia" w:hint="eastAsia"/>
          <w:b/>
        </w:rPr>
        <w:t>七、投资者关系</w:t>
      </w:r>
    </w:p>
    <w:p w14:paraId="2E700A58" w14:textId="77777777" w:rsidR="00B201D3" w:rsidRDefault="009855E8">
      <w:pPr>
        <w:ind w:firstLineChars="200" w:firstLine="420"/>
        <w:rPr>
          <w:rFonts w:asciiTheme="minorEastAsia" w:eastAsiaTheme="minorEastAsia" w:hAnsiTheme="minorEastAsia"/>
        </w:rPr>
      </w:pPr>
      <w:r>
        <w:rPr>
          <w:rFonts w:asciiTheme="minorEastAsia" w:eastAsiaTheme="minorEastAsia" w:hAnsiTheme="minorEastAsia" w:hint="eastAsia"/>
        </w:rPr>
        <w:t>公司不断完善投资者关系管理制度，通过有效的信息收集、整理、审定、披露和反馈程序，规范开展投资者关系管理工作。报告期内，公司采取路演、反路演等方式，面对面地向投资者汇报经营情况，同时了解投资者及资本市场对公司的意见和建议。积极召开定期报告业绩说明会，主动就相关重大事项召开投资者说明会。除上证e互动、投资者说明会等常规渠道以外，通过电话、电邮、微信等方式回应投资者投诉、意见，或向投资者征求意见建议并改进，与分析师、基金经理和投资者沟通交流1</w:t>
      </w:r>
      <w:r>
        <w:rPr>
          <w:rFonts w:asciiTheme="minorEastAsia" w:eastAsiaTheme="minorEastAsia" w:hAnsiTheme="minorEastAsia"/>
        </w:rPr>
        <w:t>,500</w:t>
      </w:r>
      <w:r>
        <w:rPr>
          <w:rFonts w:asciiTheme="minorEastAsia" w:eastAsiaTheme="minorEastAsia" w:hAnsiTheme="minorEastAsia" w:hint="eastAsia"/>
        </w:rPr>
        <w:t>余人次。</w:t>
      </w:r>
    </w:p>
    <w:p w14:paraId="1B49A9B6" w14:textId="77777777" w:rsidR="00B201D3" w:rsidRDefault="009855E8">
      <w:pPr>
        <w:rPr>
          <w:rFonts w:asciiTheme="minorEastAsia" w:eastAsiaTheme="minorEastAsia" w:hAnsiTheme="minorEastAsia"/>
          <w:b/>
        </w:rPr>
      </w:pPr>
      <w:r>
        <w:rPr>
          <w:rFonts w:asciiTheme="minorEastAsia" w:eastAsiaTheme="minorEastAsia" w:hAnsiTheme="minorEastAsia"/>
          <w:b/>
        </w:rPr>
        <w:br w:type="page"/>
      </w:r>
    </w:p>
    <w:p w14:paraId="7400797D" w14:textId="77777777" w:rsidR="00B201D3" w:rsidRDefault="00B201D3">
      <w:pPr>
        <w:rPr>
          <w:rFonts w:asciiTheme="minorEastAsia" w:eastAsiaTheme="minorEastAsia" w:hAnsiTheme="minorEastAsia"/>
          <w:b/>
        </w:rPr>
      </w:pPr>
    </w:p>
    <w:p w14:paraId="5141B076" w14:textId="77777777" w:rsidR="00B201D3" w:rsidRDefault="009855E8">
      <w:pPr>
        <w:pStyle w:val="1"/>
        <w:numPr>
          <w:ilvl w:val="0"/>
          <w:numId w:val="2"/>
        </w:numPr>
        <w:rPr>
          <w:rFonts w:ascii="黑体" w:hAnsi="黑体"/>
        </w:rPr>
      </w:pPr>
      <w:bookmarkStart w:id="77" w:name="_Toc139552148"/>
      <w:r>
        <w:rPr>
          <w:rFonts w:ascii="黑体" w:hAnsi="黑体" w:hint="eastAsia"/>
        </w:rPr>
        <w:t>环境与社会责任</w:t>
      </w:r>
      <w:bookmarkEnd w:id="77"/>
    </w:p>
    <w:p w14:paraId="601B890A" w14:textId="77777777" w:rsidR="00B201D3" w:rsidRDefault="009855E8">
      <w:pPr>
        <w:pStyle w:val="2"/>
        <w:numPr>
          <w:ilvl w:val="0"/>
          <w:numId w:val="21"/>
        </w:numPr>
        <w:tabs>
          <w:tab w:val="left" w:pos="426"/>
        </w:tabs>
        <w:ind w:left="450" w:firstLineChars="0" w:hanging="450"/>
        <w:jc w:val="left"/>
        <w:rPr>
          <w:rFonts w:ascii="宋体" w:hAnsi="宋体"/>
        </w:rPr>
      </w:pPr>
      <w:r>
        <w:rPr>
          <w:rFonts w:ascii="宋体" w:hAnsi="宋体" w:hint="eastAsia"/>
        </w:rPr>
        <w:t>环境</w:t>
      </w:r>
      <w:r>
        <w:rPr>
          <w:rFonts w:ascii="宋体" w:hAnsi="宋体"/>
        </w:rPr>
        <w:t>信息情况</w:t>
      </w:r>
    </w:p>
    <w:p w14:paraId="1B652D3C" w14:textId="77777777" w:rsidR="00B201D3" w:rsidRDefault="009855E8">
      <w:pPr>
        <w:pStyle w:val="3"/>
        <w:numPr>
          <w:ilvl w:val="0"/>
          <w:numId w:val="22"/>
        </w:numPr>
        <w:rPr>
          <w:rFonts w:ascii="宋体" w:hAnsi="宋体"/>
        </w:rPr>
      </w:pPr>
      <w:r>
        <w:rPr>
          <w:rFonts w:ascii="宋体" w:hAnsi="宋体"/>
        </w:rPr>
        <w:t>属于环境保护部门公布的重点排污单位的公司及其</w:t>
      </w:r>
      <w:r>
        <w:rPr>
          <w:rFonts w:ascii="宋体" w:hAnsi="宋体" w:hint="eastAsia"/>
        </w:rPr>
        <w:t>主要</w:t>
      </w:r>
      <w:r>
        <w:rPr>
          <w:rFonts w:ascii="宋体" w:hAnsi="宋体"/>
        </w:rPr>
        <w:t>子公司的环保情况说明</w:t>
      </w:r>
    </w:p>
    <w:sdt>
      <w:sdtPr>
        <w:rPr>
          <w:rFonts w:hint="eastAsia"/>
        </w:rPr>
        <w:alias w:val="是否适用：重点排污单位环保情况[双击切换]"/>
        <w:tag w:val="_GBC_820250e25791459fb9ab9ed79c168408"/>
        <w:id w:val="-1565870055"/>
        <w:lock w:val="sdtLocked"/>
        <w:placeholder>
          <w:docPart w:val="GBC22222222222222222222222222222"/>
        </w:placeholder>
      </w:sdtPr>
      <w:sdtEndPr/>
      <w:sdtContent>
        <w:p w14:paraId="13852028" w14:textId="77777777" w:rsidR="00B201D3" w:rsidRDefault="009855E8">
          <w:pPr>
            <w:pStyle w:val="3903"/>
          </w:pPr>
          <w:r>
            <w:rPr>
              <w:b/>
              <w:bCs/>
            </w:rPr>
            <w:fldChar w:fldCharType="begin"/>
          </w:r>
          <w:r>
            <w:rPr>
              <w:b/>
              <w:bCs/>
            </w:rPr>
            <w:instrText xml:space="preserve"> MACROBUTTON  SnrToggleCheckbox √适用 </w:instrText>
          </w:r>
          <w:r>
            <w:rPr>
              <w:b/>
              <w:bCs/>
            </w:rPr>
            <w:fldChar w:fldCharType="end"/>
          </w:r>
          <w:r>
            <w:fldChar w:fldCharType="begin"/>
          </w:r>
          <w:r>
            <w:instrText xml:space="preserve"> MACROBUTTON  SnrToggleCheckbox □不适用 </w:instrText>
          </w:r>
          <w:r>
            <w:fldChar w:fldCharType="end"/>
          </w:r>
        </w:p>
      </w:sdtContent>
    </w:sdt>
    <w:sdt>
      <w:sdtPr>
        <w:rPr>
          <w:rFonts w:ascii="宋体" w:hAnsi="宋体" w:cs="宋体" w:hint="eastAsia"/>
          <w:b w:val="0"/>
          <w:bCs w:val="0"/>
          <w:kern w:val="0"/>
          <w:szCs w:val="24"/>
        </w:rPr>
        <w:alias w:val="模块:排污信息"/>
        <w:tag w:val="_SEC_692004cb913244878ef4d9f391681f08"/>
        <w:id w:val="-633874154"/>
        <w:lock w:val="sdtLocked"/>
        <w:placeholder>
          <w:docPart w:val="GBC22222222222222222222222222222"/>
        </w:placeholder>
      </w:sdtPr>
      <w:sdtEndPr>
        <w:rPr>
          <w:rFonts w:hint="default"/>
          <w:szCs w:val="21"/>
        </w:rPr>
      </w:sdtEndPr>
      <w:sdtContent>
        <w:p w14:paraId="752F4B56" w14:textId="77777777" w:rsidR="00B201D3" w:rsidRDefault="009855E8">
          <w:pPr>
            <w:pStyle w:val="4"/>
            <w:numPr>
              <w:ilvl w:val="0"/>
              <w:numId w:val="23"/>
            </w:numPr>
            <w:rPr>
              <w:rFonts w:ascii="宋体" w:hAnsi="宋体"/>
            </w:rPr>
          </w:pPr>
          <w:r>
            <w:rPr>
              <w:rFonts w:ascii="宋体" w:hAnsi="宋体" w:hint="eastAsia"/>
            </w:rPr>
            <w:t>排污</w:t>
          </w:r>
          <w:r>
            <w:rPr>
              <w:rFonts w:ascii="宋体" w:hAnsi="宋体"/>
            </w:rPr>
            <w:t>信息</w:t>
          </w:r>
        </w:p>
        <w:sdt>
          <w:sdtPr>
            <w:rPr>
              <w:rFonts w:ascii="宋体" w:hAnsi="宋体" w:hint="eastAsia"/>
            </w:rPr>
            <w:alias w:val="是否适用：排污信息[双击切换]"/>
            <w:tag w:val="_GBC_44bbf262c38141458fba6072b4e5b459"/>
            <w:id w:val="-376936842"/>
            <w:lock w:val="sdtLocked"/>
            <w:placeholder>
              <w:docPart w:val="GBC22222222222222222222222222222"/>
            </w:placeholder>
          </w:sdtPr>
          <w:sdtEndPr/>
          <w:sdtContent>
            <w:p w14:paraId="326A13E9" w14:textId="77777777" w:rsidR="00B201D3" w:rsidRDefault="009855E8">
              <w:pPr>
                <w:pStyle w:val="aff2"/>
                <w:ind w:firstLineChars="0" w:firstLine="0"/>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ascii="宋体" w:hAnsi="宋体" w:hint="eastAsia"/>
            </w:rPr>
            <w:alias w:val="排污信息"/>
            <w:tag w:val="_GBC_28890c46cf8446cc95bd08ae7c7a17dc"/>
            <w:id w:val="289876562"/>
            <w:lock w:val="sdtLocked"/>
            <w:placeholder>
              <w:docPart w:val="GBC22222222222222222222222222222"/>
            </w:placeholder>
          </w:sdtPr>
          <w:sdtEndPr/>
          <w:sdtContent>
            <w:p w14:paraId="2A8A9A40" w14:textId="4203CC56" w:rsidR="00B201D3" w:rsidRDefault="009855E8">
              <w:pPr>
                <w:pStyle w:val="aff2"/>
                <w:rPr>
                  <w:rFonts w:ascii="宋体" w:hAnsi="宋体" w:cs="宋体"/>
                  <w:color w:val="000000"/>
                  <w:kern w:val="0"/>
                  <w:szCs w:val="21"/>
                </w:rPr>
              </w:pPr>
              <w:r>
                <w:rPr>
                  <w:rFonts w:ascii="宋体" w:hAnsi="宋体" w:cs="宋体" w:hint="eastAsia"/>
                  <w:color w:val="000000"/>
                  <w:kern w:val="0"/>
                  <w:szCs w:val="21"/>
                </w:rPr>
                <w:t>本集团严格遵守《中华人民共和国环境保护法》《中华人民共和国大气污染防治法》《中华人民共和国水污染防治法》《中华人民共和国固体废物污染环境防治法》《中华人民共和国环境影响评价法》等法律法规要求，完善环保管理体制机制，强化源头治理，</w:t>
              </w:r>
              <w:r>
                <w:rPr>
                  <w:rFonts w:ascii="宋体" w:hAnsi="宋体" w:cs="宋体"/>
                  <w:color w:val="000000"/>
                  <w:kern w:val="0"/>
                  <w:szCs w:val="21"/>
                </w:rPr>
                <w:t>积极构建资源节约与环境友好型企</w:t>
              </w:r>
              <w:r>
                <w:rPr>
                  <w:rFonts w:ascii="宋体" w:hAnsi="宋体" w:cs="宋体" w:hint="eastAsia"/>
                  <w:color w:val="000000"/>
                  <w:kern w:val="0"/>
                  <w:szCs w:val="21"/>
                </w:rPr>
                <w:t>业。</w:t>
              </w:r>
              <w:r>
                <w:rPr>
                  <w:rFonts w:ascii="宋体" w:hAnsi="宋体" w:hint="eastAsia"/>
                  <w:color w:val="000000"/>
                </w:rPr>
                <w:t>报告期内，</w:t>
              </w:r>
              <w:r>
                <w:rPr>
                  <w:rFonts w:ascii="宋体" w:hAnsi="宋体" w:cs="宋体" w:hint="eastAsia"/>
                  <w:color w:val="000000"/>
                  <w:kern w:val="0"/>
                  <w:szCs w:val="21"/>
                </w:rPr>
                <w:t>本集团未发生重大环境污染事故，未</w:t>
              </w:r>
              <w:r w:rsidR="009210DF">
                <w:rPr>
                  <w:rFonts w:ascii="宋体" w:hAnsi="宋体" w:cs="宋体" w:hint="eastAsia"/>
                  <w:color w:val="000000"/>
                  <w:kern w:val="0"/>
                  <w:szCs w:val="21"/>
                </w:rPr>
                <w:t>发生</w:t>
              </w:r>
              <w:r>
                <w:rPr>
                  <w:rFonts w:ascii="宋体" w:hAnsi="宋体" w:cs="宋体" w:hint="eastAsia"/>
                  <w:color w:val="000000"/>
                  <w:kern w:val="0"/>
                  <w:szCs w:val="21"/>
                </w:rPr>
                <w:t>重大环境保护违法行为。</w:t>
              </w:r>
            </w:p>
            <w:p w14:paraId="224C6377" w14:textId="77777777" w:rsidR="00B201D3" w:rsidRDefault="009855E8">
              <w:pPr>
                <w:pStyle w:val="aff2"/>
                <w:rPr>
                  <w:rFonts w:ascii="宋体" w:hAnsi="宋体" w:cs="宋体"/>
                  <w:kern w:val="0"/>
                  <w:szCs w:val="21"/>
                </w:rPr>
              </w:pPr>
              <w:r>
                <w:rPr>
                  <w:rFonts w:ascii="宋体" w:hAnsi="宋体" w:cs="宋体" w:hint="eastAsia"/>
                  <w:color w:val="000000"/>
                  <w:kern w:val="0"/>
                  <w:szCs w:val="21"/>
                </w:rPr>
                <w:t>2023年上半年，</w:t>
              </w:r>
              <w:r>
                <w:rPr>
                  <w:rFonts w:ascii="宋体" w:hAnsi="宋体" w:cs="宋体"/>
                  <w:color w:val="000000"/>
                  <w:kern w:val="0"/>
                  <w:szCs w:val="21"/>
                </w:rPr>
                <w:t>本集团所属</w:t>
              </w:r>
              <w:r>
                <w:rPr>
                  <w:rFonts w:ascii="宋体" w:hAnsi="宋体" w:cs="宋体"/>
                  <w:kern w:val="0"/>
                  <w:szCs w:val="21"/>
                </w:rPr>
                <w:t>煤矿</w:t>
              </w:r>
              <w:r>
                <w:rPr>
                  <w:rFonts w:ascii="宋体" w:hAnsi="宋体" w:cs="宋体" w:hint="eastAsia"/>
                  <w:kern w:val="0"/>
                  <w:szCs w:val="21"/>
                </w:rPr>
                <w:t>、电厂、化工等企业的废水、扬尘、锅炉烟气等污染治理设施完备、运行稳定，主要污染物</w:t>
              </w:r>
              <w:r>
                <w:rPr>
                  <w:rFonts w:ascii="宋体" w:hAnsi="宋体" w:cs="宋体"/>
                  <w:kern w:val="0"/>
                  <w:szCs w:val="21"/>
                </w:rPr>
                <w:t>化学需氧量（“COD”）、氨氮、二氧化硫（“SO</w:t>
              </w:r>
              <w:r>
                <w:rPr>
                  <w:rFonts w:ascii="宋体" w:hAnsi="宋体" w:cs="宋体"/>
                  <w:kern w:val="0"/>
                  <w:szCs w:val="21"/>
                  <w:vertAlign w:val="subscript"/>
                </w:rPr>
                <w:t>2</w:t>
              </w:r>
              <w:r>
                <w:rPr>
                  <w:rFonts w:ascii="宋体" w:hAnsi="宋体" w:cs="宋体"/>
                  <w:kern w:val="0"/>
                  <w:szCs w:val="21"/>
                </w:rPr>
                <w:t>”）、氮氧化物（“NO</w:t>
              </w:r>
              <w:r>
                <w:rPr>
                  <w:rFonts w:ascii="宋体" w:hAnsi="宋体" w:cs="宋体"/>
                  <w:kern w:val="0"/>
                  <w:szCs w:val="21"/>
                  <w:vertAlign w:val="subscript"/>
                </w:rPr>
                <w:t>X</w:t>
              </w:r>
              <w:r>
                <w:rPr>
                  <w:rFonts w:ascii="宋体" w:hAnsi="宋体" w:cs="宋体"/>
                  <w:kern w:val="0"/>
                  <w:szCs w:val="21"/>
                </w:rPr>
                <w:t>”）、PM</w:t>
              </w:r>
              <w:r>
                <w:rPr>
                  <w:rFonts w:ascii="宋体" w:hAnsi="宋体" w:cs="宋体"/>
                  <w:kern w:val="0"/>
                  <w:szCs w:val="21"/>
                  <w:vertAlign w:val="subscript"/>
                </w:rPr>
                <w:t>10</w:t>
              </w:r>
              <w:r>
                <w:rPr>
                  <w:rFonts w:ascii="宋体" w:hAnsi="宋体" w:cs="宋体"/>
                  <w:kern w:val="0"/>
                  <w:szCs w:val="21"/>
                </w:rPr>
                <w:t>等均达标排放。</w:t>
              </w:r>
            </w:p>
            <w:p w14:paraId="67909A61" w14:textId="77777777" w:rsidR="00B201D3" w:rsidRDefault="009855E8">
              <w:pPr>
                <w:ind w:firstLineChars="200" w:firstLine="420"/>
              </w:pPr>
              <w:r>
                <w:rPr>
                  <w:rFonts w:hint="eastAsia"/>
                </w:rPr>
                <w:t>本集团各重点排污单位均申请了排污许可证，按要求排放污染物，符合相关环保标准要求，在污染物总量许可控制范围内。列入生态环境部门公布的</w:t>
              </w:r>
              <w:r>
                <w:t>2023年重点排污单位环境信息如下：</w:t>
              </w:r>
            </w:p>
            <w:tbl>
              <w:tblPr>
                <w:tblStyle w:val="g2"/>
                <w:tblW w:w="10923"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gridCol w:w="1064"/>
                <w:gridCol w:w="645"/>
                <w:gridCol w:w="840"/>
                <w:gridCol w:w="870"/>
                <w:gridCol w:w="753"/>
                <w:gridCol w:w="3070"/>
                <w:gridCol w:w="1650"/>
                <w:gridCol w:w="1569"/>
              </w:tblGrid>
              <w:tr w:rsidR="00B201D3" w14:paraId="41AE44ED" w14:textId="77777777">
                <w:trPr>
                  <w:trHeight w:val="699"/>
                  <w:tblHeader/>
                  <w:jc w:val="center"/>
                </w:trPr>
                <w:tc>
                  <w:tcPr>
                    <w:tcW w:w="462" w:type="dxa"/>
                    <w:vAlign w:val="center"/>
                  </w:tcPr>
                  <w:p w14:paraId="317F6663" w14:textId="77777777" w:rsidR="00B201D3" w:rsidRDefault="009855E8">
                    <w:pPr>
                      <w:jc w:val="center"/>
                      <w:rPr>
                        <w:rFonts w:ascii="黑体" w:eastAsia="黑体" w:hAnsi="黑体"/>
                      </w:rPr>
                    </w:pPr>
                    <w:r>
                      <w:rPr>
                        <w:rFonts w:ascii="黑体" w:eastAsia="黑体" w:hAnsi="黑体" w:hint="eastAsia"/>
                      </w:rPr>
                      <w:t>序号</w:t>
                    </w:r>
                  </w:p>
                </w:tc>
                <w:tc>
                  <w:tcPr>
                    <w:tcW w:w="1709" w:type="dxa"/>
                    <w:gridSpan w:val="2"/>
                    <w:vAlign w:val="center"/>
                  </w:tcPr>
                  <w:p w14:paraId="7F87B40F" w14:textId="77777777" w:rsidR="00B201D3" w:rsidRDefault="009855E8">
                    <w:pPr>
                      <w:jc w:val="center"/>
                      <w:rPr>
                        <w:rFonts w:ascii="黑体" w:eastAsia="黑体" w:hAnsi="黑体"/>
                      </w:rPr>
                    </w:pPr>
                    <w:r>
                      <w:rPr>
                        <w:rFonts w:ascii="黑体" w:eastAsia="黑体" w:hAnsi="黑体" w:hint="eastAsia"/>
                      </w:rPr>
                      <w:t>重点排污</w:t>
                    </w:r>
                  </w:p>
                  <w:p w14:paraId="1413AA53" w14:textId="77777777" w:rsidR="00B201D3" w:rsidRDefault="009855E8">
                    <w:pPr>
                      <w:jc w:val="center"/>
                      <w:rPr>
                        <w:rFonts w:ascii="黑体" w:eastAsia="黑体" w:hAnsi="黑体"/>
                      </w:rPr>
                    </w:pPr>
                    <w:r>
                      <w:rPr>
                        <w:rFonts w:ascii="黑体" w:eastAsia="黑体" w:hAnsi="黑体" w:hint="eastAsia"/>
                      </w:rPr>
                      <w:t>单位</w:t>
                    </w:r>
                  </w:p>
                </w:tc>
                <w:tc>
                  <w:tcPr>
                    <w:tcW w:w="840" w:type="dxa"/>
                    <w:vAlign w:val="center"/>
                  </w:tcPr>
                  <w:p w14:paraId="5179E3D4" w14:textId="77777777" w:rsidR="00B201D3" w:rsidRDefault="009855E8">
                    <w:pPr>
                      <w:jc w:val="center"/>
                      <w:rPr>
                        <w:rFonts w:ascii="黑体" w:eastAsia="黑体" w:hAnsi="黑体"/>
                      </w:rPr>
                    </w:pPr>
                    <w:r>
                      <w:rPr>
                        <w:rFonts w:ascii="黑体" w:eastAsia="黑体" w:hAnsi="黑体" w:hint="eastAsia"/>
                      </w:rPr>
                      <w:t>污染物</w:t>
                    </w:r>
                  </w:p>
                  <w:p w14:paraId="4C262643" w14:textId="77777777" w:rsidR="00B201D3" w:rsidRDefault="009855E8">
                    <w:pPr>
                      <w:jc w:val="center"/>
                      <w:rPr>
                        <w:rFonts w:ascii="黑体" w:eastAsia="黑体" w:hAnsi="黑体"/>
                      </w:rPr>
                    </w:pPr>
                    <w:r>
                      <w:rPr>
                        <w:rFonts w:ascii="黑体" w:eastAsia="黑体" w:hAnsi="黑体" w:hint="eastAsia"/>
                      </w:rPr>
                      <w:t>类别</w:t>
                    </w:r>
                  </w:p>
                </w:tc>
                <w:tc>
                  <w:tcPr>
                    <w:tcW w:w="870" w:type="dxa"/>
                    <w:vAlign w:val="center"/>
                  </w:tcPr>
                  <w:p w14:paraId="6E96C7E8" w14:textId="77777777" w:rsidR="00B201D3" w:rsidRDefault="009855E8">
                    <w:pPr>
                      <w:jc w:val="center"/>
                      <w:rPr>
                        <w:rFonts w:ascii="黑体" w:eastAsia="黑体" w:hAnsi="黑体"/>
                      </w:rPr>
                    </w:pPr>
                    <w:r>
                      <w:rPr>
                        <w:rFonts w:ascii="黑体" w:eastAsia="黑体" w:hAnsi="黑体" w:hint="eastAsia"/>
                      </w:rPr>
                      <w:t>主要</w:t>
                    </w:r>
                  </w:p>
                  <w:p w14:paraId="297FFAE1" w14:textId="77777777" w:rsidR="00B201D3" w:rsidRDefault="009855E8">
                    <w:pPr>
                      <w:jc w:val="center"/>
                      <w:rPr>
                        <w:rFonts w:ascii="黑体" w:eastAsia="黑体" w:hAnsi="黑体"/>
                      </w:rPr>
                    </w:pPr>
                    <w:r>
                      <w:rPr>
                        <w:rFonts w:ascii="黑体" w:eastAsia="黑体" w:hAnsi="黑体" w:hint="eastAsia"/>
                      </w:rPr>
                      <w:t>污染物</w:t>
                    </w:r>
                  </w:p>
                </w:tc>
                <w:tc>
                  <w:tcPr>
                    <w:tcW w:w="753" w:type="dxa"/>
                    <w:vAlign w:val="center"/>
                  </w:tcPr>
                  <w:p w14:paraId="2DC85D49" w14:textId="77777777" w:rsidR="00B201D3" w:rsidRDefault="009855E8">
                    <w:pPr>
                      <w:jc w:val="center"/>
                      <w:rPr>
                        <w:rFonts w:ascii="黑体" w:eastAsia="黑体" w:hAnsi="黑体"/>
                      </w:rPr>
                    </w:pPr>
                    <w:r>
                      <w:rPr>
                        <w:rFonts w:ascii="黑体" w:eastAsia="黑体" w:hAnsi="黑体" w:hint="eastAsia"/>
                      </w:rPr>
                      <w:t>排放</w:t>
                    </w:r>
                  </w:p>
                  <w:p w14:paraId="7AAF814C" w14:textId="77777777" w:rsidR="00B201D3" w:rsidRDefault="009855E8">
                    <w:pPr>
                      <w:jc w:val="center"/>
                      <w:rPr>
                        <w:rFonts w:ascii="黑体" w:eastAsia="黑体" w:hAnsi="黑体"/>
                      </w:rPr>
                    </w:pPr>
                    <w:r>
                      <w:rPr>
                        <w:rFonts w:ascii="黑体" w:eastAsia="黑体" w:hAnsi="黑体" w:hint="eastAsia"/>
                      </w:rPr>
                      <w:t>方式</w:t>
                    </w:r>
                  </w:p>
                </w:tc>
                <w:tc>
                  <w:tcPr>
                    <w:tcW w:w="3070" w:type="dxa"/>
                    <w:vAlign w:val="center"/>
                  </w:tcPr>
                  <w:p w14:paraId="3A004143" w14:textId="77777777" w:rsidR="00B201D3" w:rsidRDefault="009855E8">
                    <w:pPr>
                      <w:jc w:val="center"/>
                      <w:rPr>
                        <w:rFonts w:ascii="黑体" w:eastAsia="黑体" w:hAnsi="黑体"/>
                      </w:rPr>
                    </w:pPr>
                    <w:r>
                      <w:rPr>
                        <w:rFonts w:ascii="黑体" w:eastAsia="黑体" w:hAnsi="黑体" w:hint="eastAsia"/>
                      </w:rPr>
                      <w:t>排放标准</w:t>
                    </w:r>
                  </w:p>
                </w:tc>
                <w:tc>
                  <w:tcPr>
                    <w:tcW w:w="1650" w:type="dxa"/>
                    <w:vAlign w:val="center"/>
                  </w:tcPr>
                  <w:p w14:paraId="36D47C89" w14:textId="77777777" w:rsidR="00B201D3" w:rsidRDefault="009855E8">
                    <w:pPr>
                      <w:jc w:val="center"/>
                      <w:rPr>
                        <w:rFonts w:ascii="黑体" w:eastAsia="黑体" w:hAnsi="黑体"/>
                      </w:rPr>
                    </w:pPr>
                    <w:r>
                      <w:rPr>
                        <w:rFonts w:ascii="黑体" w:eastAsia="黑体" w:hAnsi="黑体" w:hint="eastAsia"/>
                      </w:rPr>
                      <w:t>年许可</w:t>
                    </w:r>
                  </w:p>
                  <w:p w14:paraId="10BA5B67" w14:textId="77777777" w:rsidR="00B201D3" w:rsidRDefault="009855E8">
                    <w:pPr>
                      <w:jc w:val="center"/>
                      <w:rPr>
                        <w:rFonts w:ascii="黑体" w:eastAsia="黑体" w:hAnsi="黑体"/>
                      </w:rPr>
                    </w:pPr>
                    <w:r>
                      <w:rPr>
                        <w:rFonts w:ascii="黑体" w:eastAsia="黑体" w:hAnsi="黑体" w:hint="eastAsia"/>
                      </w:rPr>
                      <w:t>排放量</w:t>
                    </w:r>
                  </w:p>
                </w:tc>
                <w:tc>
                  <w:tcPr>
                    <w:tcW w:w="1569" w:type="dxa"/>
                    <w:vAlign w:val="center"/>
                  </w:tcPr>
                  <w:p w14:paraId="58514AC5" w14:textId="77777777" w:rsidR="00B201D3" w:rsidRDefault="009855E8">
                    <w:pPr>
                      <w:jc w:val="center"/>
                      <w:rPr>
                        <w:rFonts w:ascii="黑体" w:eastAsia="黑体" w:hAnsi="黑体"/>
                      </w:rPr>
                    </w:pPr>
                    <w:r>
                      <w:rPr>
                        <w:rFonts w:ascii="黑体" w:eastAsia="黑体" w:hAnsi="黑体" w:hint="eastAsia"/>
                      </w:rPr>
                      <w:t>202</w:t>
                    </w:r>
                    <w:r>
                      <w:rPr>
                        <w:rFonts w:ascii="黑体" w:eastAsia="黑体" w:hAnsi="黑体"/>
                      </w:rPr>
                      <w:t>3</w:t>
                    </w:r>
                    <w:r>
                      <w:rPr>
                        <w:rFonts w:ascii="黑体" w:eastAsia="黑体" w:hAnsi="黑体" w:hint="eastAsia"/>
                      </w:rPr>
                      <w:t>年上半年实际排放总量</w:t>
                    </w:r>
                  </w:p>
                </w:tc>
              </w:tr>
              <w:tr w:rsidR="00B201D3" w14:paraId="721F91C3" w14:textId="77777777">
                <w:trPr>
                  <w:trHeight w:val="474"/>
                  <w:jc w:val="center"/>
                </w:trPr>
                <w:tc>
                  <w:tcPr>
                    <w:tcW w:w="462" w:type="dxa"/>
                    <w:vAlign w:val="center"/>
                  </w:tcPr>
                  <w:p w14:paraId="55971E60" w14:textId="77777777" w:rsidR="00B201D3" w:rsidRDefault="009855E8">
                    <w:pPr>
                      <w:jc w:val="center"/>
                      <w:rPr>
                        <w:color w:val="000000"/>
                      </w:rPr>
                    </w:pPr>
                    <w:r>
                      <w:rPr>
                        <w:rFonts w:hint="eastAsia"/>
                        <w:color w:val="000000"/>
                      </w:rPr>
                      <w:t>1</w:t>
                    </w:r>
                  </w:p>
                </w:tc>
                <w:tc>
                  <w:tcPr>
                    <w:tcW w:w="1064" w:type="dxa"/>
                    <w:vAlign w:val="center"/>
                  </w:tcPr>
                  <w:p w14:paraId="21752065" w14:textId="77777777" w:rsidR="00B201D3" w:rsidRDefault="009855E8">
                    <w:pPr>
                      <w:rPr>
                        <w:color w:val="000000"/>
                      </w:rPr>
                    </w:pPr>
                    <w:r>
                      <w:rPr>
                        <w:color w:val="000000"/>
                      </w:rPr>
                      <w:t>南屯煤矿</w:t>
                    </w:r>
                  </w:p>
                </w:tc>
                <w:tc>
                  <w:tcPr>
                    <w:tcW w:w="645" w:type="dxa"/>
                    <w:vMerge w:val="restart"/>
                    <w:vAlign w:val="center"/>
                  </w:tcPr>
                  <w:p w14:paraId="25687C2A" w14:textId="77777777" w:rsidR="00B201D3" w:rsidRDefault="009855E8">
                    <w:pPr>
                      <w:rPr>
                        <w:color w:val="000000"/>
                      </w:rPr>
                    </w:pPr>
                    <w:r>
                      <w:rPr>
                        <w:color w:val="000000"/>
                      </w:rPr>
                      <w:t>山东省重点排污单位</w:t>
                    </w:r>
                  </w:p>
                </w:tc>
                <w:tc>
                  <w:tcPr>
                    <w:tcW w:w="840" w:type="dxa"/>
                    <w:vMerge w:val="restart"/>
                    <w:vAlign w:val="center"/>
                  </w:tcPr>
                  <w:p w14:paraId="347016F3" w14:textId="77777777" w:rsidR="00B201D3" w:rsidRDefault="009855E8">
                    <w:pPr>
                      <w:jc w:val="center"/>
                      <w:rPr>
                        <w:color w:val="000000"/>
                      </w:rPr>
                    </w:pPr>
                    <w:r>
                      <w:rPr>
                        <w:color w:val="000000"/>
                      </w:rPr>
                      <w:t>生产废水</w:t>
                    </w:r>
                  </w:p>
                  <w:p w14:paraId="4B2D2AE3" w14:textId="77777777" w:rsidR="00B201D3" w:rsidRDefault="009855E8">
                    <w:pPr>
                      <w:jc w:val="center"/>
                      <w:rPr>
                        <w:color w:val="000000"/>
                      </w:rPr>
                    </w:pPr>
                    <w:r>
                      <w:rPr>
                        <w:color w:val="000000"/>
                      </w:rPr>
                      <w:t>生活废水</w:t>
                    </w:r>
                  </w:p>
                </w:tc>
                <w:tc>
                  <w:tcPr>
                    <w:tcW w:w="870" w:type="dxa"/>
                    <w:vMerge w:val="restart"/>
                    <w:vAlign w:val="center"/>
                  </w:tcPr>
                  <w:p w14:paraId="1ED332AA" w14:textId="77777777" w:rsidR="00B201D3" w:rsidRDefault="009855E8">
                    <w:pPr>
                      <w:jc w:val="center"/>
                      <w:rPr>
                        <w:color w:val="000000"/>
                      </w:rPr>
                    </w:pPr>
                    <w:r>
                      <w:rPr>
                        <w:color w:val="000000"/>
                      </w:rPr>
                      <w:t>COD</w:t>
                    </w:r>
                  </w:p>
                  <w:p w14:paraId="274B6253" w14:textId="77777777" w:rsidR="00B201D3" w:rsidRDefault="009855E8">
                    <w:pPr>
                      <w:jc w:val="center"/>
                      <w:rPr>
                        <w:color w:val="000000"/>
                      </w:rPr>
                    </w:pPr>
                    <w:r>
                      <w:rPr>
                        <w:color w:val="000000"/>
                      </w:rPr>
                      <w:t>氨氮</w:t>
                    </w:r>
                  </w:p>
                </w:tc>
                <w:tc>
                  <w:tcPr>
                    <w:tcW w:w="753" w:type="dxa"/>
                    <w:vMerge w:val="restart"/>
                    <w:vAlign w:val="center"/>
                  </w:tcPr>
                  <w:p w14:paraId="1207D755" w14:textId="77777777" w:rsidR="00B201D3" w:rsidRDefault="009855E8">
                    <w:pPr>
                      <w:rPr>
                        <w:color w:val="000000"/>
                      </w:rPr>
                    </w:pPr>
                    <w:r>
                      <w:rPr>
                        <w:rFonts w:hint="eastAsia"/>
                        <w:color w:val="000000"/>
                      </w:rPr>
                      <w:t>经污水处理站处理后排入受纳水体</w:t>
                    </w:r>
                  </w:p>
                </w:tc>
                <w:tc>
                  <w:tcPr>
                    <w:tcW w:w="3070" w:type="dxa"/>
                    <w:vMerge w:val="restart"/>
                    <w:vAlign w:val="center"/>
                  </w:tcPr>
                  <w:p w14:paraId="51DC8ECD" w14:textId="77777777" w:rsidR="00B201D3" w:rsidRDefault="009855E8">
                    <w:pPr>
                      <w:rPr>
                        <w:color w:val="000000"/>
                      </w:rPr>
                    </w:pPr>
                    <w:r>
                      <w:rPr>
                        <w:rFonts w:hint="eastAsia"/>
                        <w:color w:val="000000"/>
                      </w:rPr>
                      <w:t>《</w:t>
                    </w:r>
                    <w:r>
                      <w:rPr>
                        <w:rFonts w:hint="eastAsia"/>
                        <w:color w:val="000000"/>
                        <w:spacing w:val="-6"/>
                      </w:rPr>
                      <w:t>流域水污染物综合排放标准 第1部分：南四湖东平湖流域</w:t>
                    </w:r>
                    <w:r>
                      <w:rPr>
                        <w:rFonts w:hint="eastAsia"/>
                        <w:color w:val="000000"/>
                      </w:rPr>
                      <w:t>》（D</w:t>
                    </w:r>
                    <w:r>
                      <w:rPr>
                        <w:color w:val="000000"/>
                      </w:rPr>
                      <w:t>B37/3416.1-2018</w:t>
                    </w:r>
                    <w:r>
                      <w:rPr>
                        <w:rFonts w:hint="eastAsia"/>
                        <w:color w:val="000000"/>
                      </w:rPr>
                      <w:t>）</w:t>
                    </w:r>
                  </w:p>
                </w:tc>
                <w:tc>
                  <w:tcPr>
                    <w:tcW w:w="1650" w:type="dxa"/>
                    <w:vAlign w:val="center"/>
                  </w:tcPr>
                  <w:p w14:paraId="155F2DC9" w14:textId="77777777" w:rsidR="00B201D3" w:rsidRDefault="009855E8">
                    <w:pPr>
                      <w:rPr>
                        <w:color w:val="000000"/>
                      </w:rPr>
                    </w:pPr>
                    <w:r>
                      <w:rPr>
                        <w:color w:val="000000"/>
                      </w:rPr>
                      <w:t>COD</w:t>
                    </w:r>
                    <w:r>
                      <w:rPr>
                        <w:rFonts w:hint="eastAsia"/>
                        <w:color w:val="000000"/>
                      </w:rPr>
                      <w:t>：</w:t>
                    </w:r>
                    <w:r>
                      <w:rPr>
                        <w:color w:val="000000"/>
                      </w:rPr>
                      <w:t>128.4吨</w:t>
                    </w:r>
                  </w:p>
                  <w:p w14:paraId="7F6C2D4A" w14:textId="77777777" w:rsidR="00B201D3" w:rsidRDefault="009855E8">
                    <w:pPr>
                      <w:rPr>
                        <w:color w:val="000000"/>
                      </w:rPr>
                    </w:pPr>
                    <w:r>
                      <w:rPr>
                        <w:color w:val="000000"/>
                      </w:rPr>
                      <w:t>氨氮</w:t>
                    </w:r>
                    <w:r>
                      <w:rPr>
                        <w:rFonts w:hint="eastAsia"/>
                        <w:color w:val="000000"/>
                      </w:rPr>
                      <w:t>：</w:t>
                    </w:r>
                    <w:r>
                      <w:rPr>
                        <w:color w:val="000000"/>
                      </w:rPr>
                      <w:t>6.4吨</w:t>
                    </w:r>
                  </w:p>
                </w:tc>
                <w:tc>
                  <w:tcPr>
                    <w:tcW w:w="1569" w:type="dxa"/>
                    <w:vAlign w:val="center"/>
                  </w:tcPr>
                  <w:p w14:paraId="741275B4" w14:textId="77777777" w:rsidR="00B201D3" w:rsidRDefault="009855E8">
                    <w:pPr>
                      <w:rPr>
                        <w:color w:val="000000"/>
                      </w:rPr>
                    </w:pPr>
                    <w:r>
                      <w:rPr>
                        <w:color w:val="000000"/>
                      </w:rPr>
                      <w:t>COD</w:t>
                    </w:r>
                    <w:r>
                      <w:rPr>
                        <w:rFonts w:hint="eastAsia"/>
                        <w:color w:val="000000"/>
                      </w:rPr>
                      <w:t>：</w:t>
                    </w:r>
                    <w:r>
                      <w:rPr>
                        <w:color w:val="000000"/>
                      </w:rPr>
                      <w:t>10.9</w:t>
                    </w:r>
                    <w:r>
                      <w:rPr>
                        <w:rFonts w:hint="eastAsia"/>
                        <w:color w:val="000000"/>
                      </w:rPr>
                      <w:t>吨</w:t>
                    </w:r>
                  </w:p>
                  <w:p w14:paraId="033A641E" w14:textId="77777777" w:rsidR="00B201D3" w:rsidRDefault="009855E8">
                    <w:pPr>
                      <w:rPr>
                        <w:color w:val="000000"/>
                      </w:rPr>
                    </w:pPr>
                    <w:r>
                      <w:rPr>
                        <w:rFonts w:hint="eastAsia"/>
                        <w:color w:val="000000"/>
                      </w:rPr>
                      <w:t>氨氮：</w:t>
                    </w:r>
                    <w:r>
                      <w:rPr>
                        <w:color w:val="000000"/>
                      </w:rPr>
                      <w:t>0.08</w:t>
                    </w:r>
                    <w:r>
                      <w:rPr>
                        <w:rFonts w:hint="eastAsia"/>
                        <w:color w:val="000000"/>
                      </w:rPr>
                      <w:t>吨</w:t>
                    </w:r>
                  </w:p>
                </w:tc>
              </w:tr>
              <w:tr w:rsidR="00B201D3" w14:paraId="6FFD8FB7" w14:textId="77777777">
                <w:trPr>
                  <w:trHeight w:val="593"/>
                  <w:jc w:val="center"/>
                </w:trPr>
                <w:tc>
                  <w:tcPr>
                    <w:tcW w:w="462" w:type="dxa"/>
                    <w:vAlign w:val="center"/>
                  </w:tcPr>
                  <w:p w14:paraId="4027CEE4" w14:textId="77777777" w:rsidR="00B201D3" w:rsidRDefault="009855E8">
                    <w:pPr>
                      <w:jc w:val="center"/>
                      <w:rPr>
                        <w:color w:val="000000"/>
                      </w:rPr>
                    </w:pPr>
                    <w:r>
                      <w:rPr>
                        <w:rFonts w:hint="eastAsia"/>
                        <w:color w:val="000000"/>
                      </w:rPr>
                      <w:t>2</w:t>
                    </w:r>
                  </w:p>
                </w:tc>
                <w:tc>
                  <w:tcPr>
                    <w:tcW w:w="1064" w:type="dxa"/>
                    <w:vAlign w:val="center"/>
                  </w:tcPr>
                  <w:p w14:paraId="5238E4B5" w14:textId="77777777" w:rsidR="00B201D3" w:rsidRDefault="009855E8">
                    <w:pPr>
                      <w:rPr>
                        <w:color w:val="000000"/>
                      </w:rPr>
                    </w:pPr>
                    <w:r>
                      <w:rPr>
                        <w:color w:val="000000"/>
                      </w:rPr>
                      <w:t>鲍店煤矿</w:t>
                    </w:r>
                  </w:p>
                </w:tc>
                <w:tc>
                  <w:tcPr>
                    <w:tcW w:w="645" w:type="dxa"/>
                    <w:vMerge/>
                    <w:vAlign w:val="center"/>
                  </w:tcPr>
                  <w:p w14:paraId="6BAAD276" w14:textId="77777777" w:rsidR="00B201D3" w:rsidRDefault="00B201D3">
                    <w:pPr>
                      <w:rPr>
                        <w:color w:val="000000"/>
                      </w:rPr>
                    </w:pPr>
                  </w:p>
                </w:tc>
                <w:tc>
                  <w:tcPr>
                    <w:tcW w:w="840" w:type="dxa"/>
                    <w:vMerge/>
                    <w:vAlign w:val="center"/>
                  </w:tcPr>
                  <w:p w14:paraId="1358E97D" w14:textId="77777777" w:rsidR="00B201D3" w:rsidRDefault="00B201D3">
                    <w:pPr>
                      <w:jc w:val="center"/>
                      <w:rPr>
                        <w:color w:val="000000"/>
                      </w:rPr>
                    </w:pPr>
                  </w:p>
                </w:tc>
                <w:tc>
                  <w:tcPr>
                    <w:tcW w:w="870" w:type="dxa"/>
                    <w:vMerge/>
                    <w:vAlign w:val="center"/>
                  </w:tcPr>
                  <w:p w14:paraId="5502142F" w14:textId="77777777" w:rsidR="00B201D3" w:rsidRDefault="00B201D3">
                    <w:pPr>
                      <w:jc w:val="center"/>
                      <w:rPr>
                        <w:color w:val="000000"/>
                      </w:rPr>
                    </w:pPr>
                  </w:p>
                </w:tc>
                <w:tc>
                  <w:tcPr>
                    <w:tcW w:w="753" w:type="dxa"/>
                    <w:vMerge/>
                    <w:vAlign w:val="center"/>
                  </w:tcPr>
                  <w:p w14:paraId="4BCD3C9E" w14:textId="77777777" w:rsidR="00B201D3" w:rsidRDefault="00B201D3">
                    <w:pPr>
                      <w:rPr>
                        <w:color w:val="000000"/>
                      </w:rPr>
                    </w:pPr>
                  </w:p>
                </w:tc>
                <w:tc>
                  <w:tcPr>
                    <w:tcW w:w="3070" w:type="dxa"/>
                    <w:vMerge/>
                  </w:tcPr>
                  <w:p w14:paraId="1B9B68AB" w14:textId="77777777" w:rsidR="00B201D3" w:rsidRDefault="00B201D3">
                    <w:pPr>
                      <w:rPr>
                        <w:color w:val="000000"/>
                      </w:rPr>
                    </w:pPr>
                  </w:p>
                </w:tc>
                <w:tc>
                  <w:tcPr>
                    <w:tcW w:w="1650" w:type="dxa"/>
                    <w:vAlign w:val="center"/>
                  </w:tcPr>
                  <w:p w14:paraId="340B37D9" w14:textId="77777777" w:rsidR="00B201D3" w:rsidRDefault="009855E8">
                    <w:pPr>
                      <w:rPr>
                        <w:color w:val="000000"/>
                      </w:rPr>
                    </w:pPr>
                    <w:r>
                      <w:rPr>
                        <w:color w:val="000000"/>
                      </w:rPr>
                      <w:t>COD</w:t>
                    </w:r>
                    <w:r>
                      <w:rPr>
                        <w:rFonts w:hint="eastAsia"/>
                        <w:color w:val="000000"/>
                      </w:rPr>
                      <w:t>:</w:t>
                    </w:r>
                    <w:r>
                      <w:rPr>
                        <w:color w:val="000000"/>
                      </w:rPr>
                      <w:t>120.4吨</w:t>
                    </w:r>
                  </w:p>
                  <w:p w14:paraId="2D6A3D80" w14:textId="77777777" w:rsidR="00B201D3" w:rsidRDefault="009855E8">
                    <w:pPr>
                      <w:rPr>
                        <w:color w:val="000000"/>
                      </w:rPr>
                    </w:pPr>
                    <w:r>
                      <w:rPr>
                        <w:color w:val="000000"/>
                      </w:rPr>
                      <w:t>氨氮</w:t>
                    </w:r>
                    <w:r>
                      <w:rPr>
                        <w:rFonts w:hint="eastAsia"/>
                        <w:color w:val="000000"/>
                      </w:rPr>
                      <w:t>：</w:t>
                    </w:r>
                    <w:r>
                      <w:rPr>
                        <w:color w:val="000000"/>
                      </w:rPr>
                      <w:t>6.0吨</w:t>
                    </w:r>
                  </w:p>
                </w:tc>
                <w:tc>
                  <w:tcPr>
                    <w:tcW w:w="1569" w:type="dxa"/>
                    <w:vAlign w:val="center"/>
                  </w:tcPr>
                  <w:p w14:paraId="5FC61DC8" w14:textId="77777777" w:rsidR="00B201D3" w:rsidRDefault="009855E8">
                    <w:pPr>
                      <w:rPr>
                        <w:color w:val="000000"/>
                      </w:rPr>
                    </w:pPr>
                    <w:r>
                      <w:rPr>
                        <w:color w:val="000000"/>
                      </w:rPr>
                      <w:t>COD</w:t>
                    </w:r>
                    <w:r>
                      <w:rPr>
                        <w:rFonts w:hint="eastAsia"/>
                        <w:color w:val="000000"/>
                      </w:rPr>
                      <w:t>：</w:t>
                    </w:r>
                    <w:r>
                      <w:rPr>
                        <w:color w:val="000000"/>
                      </w:rPr>
                      <w:t>19.8吨</w:t>
                    </w:r>
                  </w:p>
                  <w:p w14:paraId="4E716A08" w14:textId="77777777" w:rsidR="00B201D3" w:rsidRDefault="009855E8">
                    <w:pPr>
                      <w:rPr>
                        <w:color w:val="000000"/>
                      </w:rPr>
                    </w:pPr>
                    <w:r>
                      <w:rPr>
                        <w:color w:val="000000"/>
                      </w:rPr>
                      <w:t>氨氮</w:t>
                    </w:r>
                    <w:r>
                      <w:rPr>
                        <w:rFonts w:hint="eastAsia"/>
                        <w:color w:val="000000"/>
                      </w:rPr>
                      <w:t>：0.</w:t>
                    </w:r>
                    <w:r>
                      <w:rPr>
                        <w:color w:val="000000"/>
                      </w:rPr>
                      <w:t>16吨</w:t>
                    </w:r>
                  </w:p>
                </w:tc>
              </w:tr>
              <w:tr w:rsidR="00B201D3" w14:paraId="4728922C" w14:textId="77777777">
                <w:trPr>
                  <w:trHeight w:val="593"/>
                  <w:jc w:val="center"/>
                </w:trPr>
                <w:tc>
                  <w:tcPr>
                    <w:tcW w:w="462" w:type="dxa"/>
                    <w:vAlign w:val="center"/>
                  </w:tcPr>
                  <w:p w14:paraId="6D7F6560" w14:textId="77777777" w:rsidR="00B201D3" w:rsidRDefault="009855E8">
                    <w:pPr>
                      <w:jc w:val="center"/>
                      <w:rPr>
                        <w:color w:val="000000"/>
                      </w:rPr>
                    </w:pPr>
                    <w:r>
                      <w:rPr>
                        <w:rFonts w:hint="eastAsia"/>
                        <w:color w:val="000000"/>
                      </w:rPr>
                      <w:t>3</w:t>
                    </w:r>
                  </w:p>
                </w:tc>
                <w:tc>
                  <w:tcPr>
                    <w:tcW w:w="1064" w:type="dxa"/>
                    <w:vAlign w:val="center"/>
                  </w:tcPr>
                  <w:p w14:paraId="4B61047E" w14:textId="77777777" w:rsidR="00B201D3" w:rsidRDefault="009855E8">
                    <w:pPr>
                      <w:rPr>
                        <w:color w:val="000000"/>
                      </w:rPr>
                    </w:pPr>
                    <w:r>
                      <w:rPr>
                        <w:color w:val="000000"/>
                      </w:rPr>
                      <w:t>东滩煤矿</w:t>
                    </w:r>
                  </w:p>
                </w:tc>
                <w:tc>
                  <w:tcPr>
                    <w:tcW w:w="645" w:type="dxa"/>
                    <w:vMerge/>
                    <w:vAlign w:val="center"/>
                  </w:tcPr>
                  <w:p w14:paraId="63F62FE9" w14:textId="77777777" w:rsidR="00B201D3" w:rsidRDefault="00B201D3">
                    <w:pPr>
                      <w:rPr>
                        <w:color w:val="000000"/>
                      </w:rPr>
                    </w:pPr>
                  </w:p>
                </w:tc>
                <w:tc>
                  <w:tcPr>
                    <w:tcW w:w="840" w:type="dxa"/>
                    <w:vMerge/>
                    <w:vAlign w:val="center"/>
                  </w:tcPr>
                  <w:p w14:paraId="7698EB30" w14:textId="77777777" w:rsidR="00B201D3" w:rsidRDefault="00B201D3">
                    <w:pPr>
                      <w:rPr>
                        <w:color w:val="000000"/>
                      </w:rPr>
                    </w:pPr>
                  </w:p>
                </w:tc>
                <w:tc>
                  <w:tcPr>
                    <w:tcW w:w="870" w:type="dxa"/>
                    <w:vMerge/>
                    <w:vAlign w:val="center"/>
                  </w:tcPr>
                  <w:p w14:paraId="63837FB4" w14:textId="77777777" w:rsidR="00B201D3" w:rsidRDefault="00B201D3">
                    <w:pPr>
                      <w:jc w:val="center"/>
                      <w:rPr>
                        <w:color w:val="000000"/>
                      </w:rPr>
                    </w:pPr>
                  </w:p>
                </w:tc>
                <w:tc>
                  <w:tcPr>
                    <w:tcW w:w="753" w:type="dxa"/>
                    <w:vMerge/>
                    <w:vAlign w:val="center"/>
                  </w:tcPr>
                  <w:p w14:paraId="46C7128D" w14:textId="77777777" w:rsidR="00B201D3" w:rsidRDefault="00B201D3">
                    <w:pPr>
                      <w:rPr>
                        <w:color w:val="000000"/>
                      </w:rPr>
                    </w:pPr>
                  </w:p>
                </w:tc>
                <w:tc>
                  <w:tcPr>
                    <w:tcW w:w="3070" w:type="dxa"/>
                    <w:vMerge/>
                  </w:tcPr>
                  <w:p w14:paraId="5E1F9638" w14:textId="77777777" w:rsidR="00B201D3" w:rsidRDefault="00B201D3">
                    <w:pPr>
                      <w:rPr>
                        <w:color w:val="000000"/>
                      </w:rPr>
                    </w:pPr>
                  </w:p>
                </w:tc>
                <w:tc>
                  <w:tcPr>
                    <w:tcW w:w="1650" w:type="dxa"/>
                    <w:vAlign w:val="center"/>
                  </w:tcPr>
                  <w:p w14:paraId="7CD2CADE" w14:textId="77777777" w:rsidR="00B201D3" w:rsidRDefault="009855E8">
                    <w:pPr>
                      <w:rPr>
                        <w:color w:val="000000"/>
                      </w:rPr>
                    </w:pPr>
                    <w:r>
                      <w:rPr>
                        <w:color w:val="000000"/>
                      </w:rPr>
                      <w:t>COD</w:t>
                    </w:r>
                    <w:r>
                      <w:rPr>
                        <w:rFonts w:hint="eastAsia"/>
                        <w:color w:val="000000"/>
                      </w:rPr>
                      <w:t>：</w:t>
                    </w:r>
                    <w:r>
                      <w:rPr>
                        <w:color w:val="000000"/>
                      </w:rPr>
                      <w:t>58.4吨</w:t>
                    </w:r>
                  </w:p>
                  <w:p w14:paraId="3DBD8F66" w14:textId="77777777" w:rsidR="00B201D3" w:rsidRDefault="009855E8">
                    <w:pPr>
                      <w:rPr>
                        <w:color w:val="000000"/>
                      </w:rPr>
                    </w:pPr>
                    <w:r>
                      <w:rPr>
                        <w:color w:val="000000"/>
                      </w:rPr>
                      <w:t>氨氮</w:t>
                    </w:r>
                    <w:r>
                      <w:rPr>
                        <w:rFonts w:hint="eastAsia"/>
                        <w:color w:val="000000"/>
                      </w:rPr>
                      <w:t>：</w:t>
                    </w:r>
                    <w:r>
                      <w:rPr>
                        <w:color w:val="000000"/>
                      </w:rPr>
                      <w:t>2.9吨</w:t>
                    </w:r>
                  </w:p>
                </w:tc>
                <w:tc>
                  <w:tcPr>
                    <w:tcW w:w="1569" w:type="dxa"/>
                    <w:vAlign w:val="center"/>
                  </w:tcPr>
                  <w:p w14:paraId="2C33137F" w14:textId="77777777" w:rsidR="00B201D3" w:rsidRDefault="009855E8">
                    <w:pPr>
                      <w:rPr>
                        <w:color w:val="000000"/>
                      </w:rPr>
                    </w:pPr>
                    <w:r>
                      <w:rPr>
                        <w:color w:val="000000"/>
                      </w:rPr>
                      <w:t>COD</w:t>
                    </w:r>
                    <w:r>
                      <w:rPr>
                        <w:rFonts w:hint="eastAsia"/>
                        <w:color w:val="000000"/>
                      </w:rPr>
                      <w:t>：</w:t>
                    </w:r>
                    <w:r>
                      <w:rPr>
                        <w:color w:val="000000"/>
                      </w:rPr>
                      <w:t>13.3吨</w:t>
                    </w:r>
                  </w:p>
                  <w:p w14:paraId="3E7FC801" w14:textId="77777777" w:rsidR="00B201D3" w:rsidRDefault="009855E8">
                    <w:pPr>
                      <w:rPr>
                        <w:color w:val="000000"/>
                      </w:rPr>
                    </w:pPr>
                    <w:r>
                      <w:rPr>
                        <w:color w:val="000000"/>
                      </w:rPr>
                      <w:t>氨氮</w:t>
                    </w:r>
                    <w:r>
                      <w:rPr>
                        <w:rFonts w:hint="eastAsia"/>
                        <w:color w:val="000000"/>
                      </w:rPr>
                      <w:t>：0</w:t>
                    </w:r>
                    <w:r>
                      <w:rPr>
                        <w:color w:val="000000"/>
                      </w:rPr>
                      <w:t>.17吨</w:t>
                    </w:r>
                  </w:p>
                </w:tc>
              </w:tr>
              <w:tr w:rsidR="00B201D3" w14:paraId="5AA64C38" w14:textId="77777777">
                <w:trPr>
                  <w:trHeight w:val="593"/>
                  <w:jc w:val="center"/>
                </w:trPr>
                <w:tc>
                  <w:tcPr>
                    <w:tcW w:w="462" w:type="dxa"/>
                    <w:vAlign w:val="center"/>
                  </w:tcPr>
                  <w:p w14:paraId="7A7C8A95" w14:textId="77777777" w:rsidR="00B201D3" w:rsidRDefault="009855E8">
                    <w:pPr>
                      <w:jc w:val="center"/>
                      <w:rPr>
                        <w:color w:val="000000"/>
                      </w:rPr>
                    </w:pPr>
                    <w:r>
                      <w:rPr>
                        <w:color w:val="000000"/>
                      </w:rPr>
                      <w:t>4</w:t>
                    </w:r>
                  </w:p>
                </w:tc>
                <w:tc>
                  <w:tcPr>
                    <w:tcW w:w="1064" w:type="dxa"/>
                    <w:vAlign w:val="center"/>
                  </w:tcPr>
                  <w:p w14:paraId="16DD65DA" w14:textId="77777777" w:rsidR="00B201D3" w:rsidRDefault="009855E8">
                    <w:pPr>
                      <w:rPr>
                        <w:color w:val="000000"/>
                      </w:rPr>
                    </w:pPr>
                    <w:r>
                      <w:rPr>
                        <w:color w:val="000000"/>
                      </w:rPr>
                      <w:t>济二煤矿</w:t>
                    </w:r>
                  </w:p>
                </w:tc>
                <w:tc>
                  <w:tcPr>
                    <w:tcW w:w="645" w:type="dxa"/>
                    <w:vMerge/>
                    <w:vAlign w:val="center"/>
                  </w:tcPr>
                  <w:p w14:paraId="46990914" w14:textId="77777777" w:rsidR="00B201D3" w:rsidRDefault="00B201D3">
                    <w:pPr>
                      <w:rPr>
                        <w:color w:val="000000"/>
                      </w:rPr>
                    </w:pPr>
                  </w:p>
                </w:tc>
                <w:tc>
                  <w:tcPr>
                    <w:tcW w:w="840" w:type="dxa"/>
                    <w:vMerge/>
                    <w:vAlign w:val="center"/>
                  </w:tcPr>
                  <w:p w14:paraId="77FE1689" w14:textId="77777777" w:rsidR="00B201D3" w:rsidRDefault="00B201D3">
                    <w:pPr>
                      <w:rPr>
                        <w:color w:val="000000"/>
                      </w:rPr>
                    </w:pPr>
                  </w:p>
                </w:tc>
                <w:tc>
                  <w:tcPr>
                    <w:tcW w:w="870" w:type="dxa"/>
                    <w:vMerge/>
                    <w:vAlign w:val="center"/>
                  </w:tcPr>
                  <w:p w14:paraId="69B3708A" w14:textId="77777777" w:rsidR="00B201D3" w:rsidRDefault="00B201D3">
                    <w:pPr>
                      <w:jc w:val="center"/>
                      <w:rPr>
                        <w:color w:val="000000"/>
                      </w:rPr>
                    </w:pPr>
                  </w:p>
                </w:tc>
                <w:tc>
                  <w:tcPr>
                    <w:tcW w:w="753" w:type="dxa"/>
                    <w:vMerge/>
                    <w:vAlign w:val="center"/>
                  </w:tcPr>
                  <w:p w14:paraId="23F15831" w14:textId="77777777" w:rsidR="00B201D3" w:rsidRDefault="00B201D3">
                    <w:pPr>
                      <w:rPr>
                        <w:color w:val="000000"/>
                      </w:rPr>
                    </w:pPr>
                  </w:p>
                </w:tc>
                <w:tc>
                  <w:tcPr>
                    <w:tcW w:w="3070" w:type="dxa"/>
                    <w:vMerge/>
                  </w:tcPr>
                  <w:p w14:paraId="7CD12584" w14:textId="77777777" w:rsidR="00B201D3" w:rsidRDefault="00B201D3">
                    <w:pPr>
                      <w:rPr>
                        <w:color w:val="000000"/>
                      </w:rPr>
                    </w:pPr>
                  </w:p>
                </w:tc>
                <w:tc>
                  <w:tcPr>
                    <w:tcW w:w="1650" w:type="dxa"/>
                    <w:vAlign w:val="center"/>
                  </w:tcPr>
                  <w:p w14:paraId="7E99315C" w14:textId="77777777" w:rsidR="00B201D3" w:rsidRDefault="009855E8">
                    <w:pPr>
                      <w:rPr>
                        <w:color w:val="000000"/>
                      </w:rPr>
                    </w:pPr>
                    <w:r>
                      <w:rPr>
                        <w:color w:val="000000"/>
                      </w:rPr>
                      <w:t>COD</w:t>
                    </w:r>
                    <w:r>
                      <w:rPr>
                        <w:rFonts w:hint="eastAsia"/>
                        <w:color w:val="000000"/>
                      </w:rPr>
                      <w:t>：30.7</w:t>
                    </w:r>
                    <w:r>
                      <w:rPr>
                        <w:color w:val="000000"/>
                      </w:rPr>
                      <w:t>吨</w:t>
                    </w:r>
                  </w:p>
                  <w:p w14:paraId="560792BA" w14:textId="77777777" w:rsidR="00B201D3" w:rsidRDefault="009855E8">
                    <w:pPr>
                      <w:rPr>
                        <w:color w:val="000000"/>
                      </w:rPr>
                    </w:pPr>
                    <w:r>
                      <w:rPr>
                        <w:color w:val="000000"/>
                      </w:rPr>
                      <w:t>氨氮</w:t>
                    </w:r>
                    <w:r>
                      <w:rPr>
                        <w:rFonts w:hint="eastAsia"/>
                        <w:color w:val="000000"/>
                      </w:rPr>
                      <w:t>：2.9</w:t>
                    </w:r>
                    <w:r>
                      <w:rPr>
                        <w:color w:val="000000"/>
                      </w:rPr>
                      <w:t>吨</w:t>
                    </w:r>
                  </w:p>
                </w:tc>
                <w:tc>
                  <w:tcPr>
                    <w:tcW w:w="1569" w:type="dxa"/>
                    <w:vAlign w:val="center"/>
                  </w:tcPr>
                  <w:p w14:paraId="7B94D098" w14:textId="77777777" w:rsidR="00B201D3" w:rsidRDefault="009855E8">
                    <w:pPr>
                      <w:rPr>
                        <w:color w:val="000000"/>
                      </w:rPr>
                    </w:pPr>
                    <w:r>
                      <w:rPr>
                        <w:color w:val="000000"/>
                      </w:rPr>
                      <w:t>COD</w:t>
                    </w:r>
                    <w:r>
                      <w:rPr>
                        <w:rFonts w:hint="eastAsia"/>
                        <w:color w:val="000000"/>
                      </w:rPr>
                      <w:t>：</w:t>
                    </w:r>
                    <w:r>
                      <w:rPr>
                        <w:color w:val="000000"/>
                      </w:rPr>
                      <w:t>5.5吨</w:t>
                    </w:r>
                  </w:p>
                  <w:p w14:paraId="17134E0F" w14:textId="77777777" w:rsidR="00B201D3" w:rsidRDefault="009855E8">
                    <w:pPr>
                      <w:rPr>
                        <w:color w:val="000000"/>
                      </w:rPr>
                    </w:pPr>
                    <w:r>
                      <w:rPr>
                        <w:color w:val="000000"/>
                      </w:rPr>
                      <w:t>氨氮</w:t>
                    </w:r>
                    <w:r>
                      <w:rPr>
                        <w:rFonts w:hint="eastAsia"/>
                        <w:color w:val="000000"/>
                      </w:rPr>
                      <w:t>：0.</w:t>
                    </w:r>
                    <w:r>
                      <w:rPr>
                        <w:color w:val="000000"/>
                      </w:rPr>
                      <w:t>04</w:t>
                    </w:r>
                    <w:r>
                      <w:rPr>
                        <w:rFonts w:hint="eastAsia"/>
                        <w:color w:val="000000"/>
                      </w:rPr>
                      <w:t>吨</w:t>
                    </w:r>
                  </w:p>
                </w:tc>
              </w:tr>
              <w:tr w:rsidR="00B201D3" w14:paraId="2E40373F" w14:textId="77777777">
                <w:trPr>
                  <w:trHeight w:val="593"/>
                  <w:jc w:val="center"/>
                </w:trPr>
                <w:tc>
                  <w:tcPr>
                    <w:tcW w:w="462" w:type="dxa"/>
                    <w:vAlign w:val="center"/>
                  </w:tcPr>
                  <w:p w14:paraId="38C6F814" w14:textId="77777777" w:rsidR="00B201D3" w:rsidRDefault="009855E8">
                    <w:pPr>
                      <w:jc w:val="center"/>
                      <w:rPr>
                        <w:color w:val="000000"/>
                      </w:rPr>
                    </w:pPr>
                    <w:r>
                      <w:rPr>
                        <w:color w:val="000000"/>
                      </w:rPr>
                      <w:t>5</w:t>
                    </w:r>
                  </w:p>
                </w:tc>
                <w:tc>
                  <w:tcPr>
                    <w:tcW w:w="1064" w:type="dxa"/>
                    <w:vAlign w:val="center"/>
                  </w:tcPr>
                  <w:p w14:paraId="4427FB25" w14:textId="77777777" w:rsidR="00B201D3" w:rsidRDefault="009855E8">
                    <w:pPr>
                      <w:rPr>
                        <w:color w:val="000000"/>
                      </w:rPr>
                    </w:pPr>
                    <w:r>
                      <w:rPr>
                        <w:color w:val="000000"/>
                      </w:rPr>
                      <w:t>济三煤矿</w:t>
                    </w:r>
                  </w:p>
                </w:tc>
                <w:tc>
                  <w:tcPr>
                    <w:tcW w:w="645" w:type="dxa"/>
                    <w:vMerge/>
                    <w:vAlign w:val="center"/>
                  </w:tcPr>
                  <w:p w14:paraId="4CDA9926" w14:textId="77777777" w:rsidR="00B201D3" w:rsidRDefault="00B201D3">
                    <w:pPr>
                      <w:rPr>
                        <w:color w:val="000000"/>
                      </w:rPr>
                    </w:pPr>
                  </w:p>
                </w:tc>
                <w:tc>
                  <w:tcPr>
                    <w:tcW w:w="840" w:type="dxa"/>
                    <w:vMerge/>
                    <w:vAlign w:val="center"/>
                  </w:tcPr>
                  <w:p w14:paraId="7932376B" w14:textId="77777777" w:rsidR="00B201D3" w:rsidRDefault="00B201D3">
                    <w:pPr>
                      <w:rPr>
                        <w:color w:val="000000"/>
                      </w:rPr>
                    </w:pPr>
                  </w:p>
                </w:tc>
                <w:tc>
                  <w:tcPr>
                    <w:tcW w:w="870" w:type="dxa"/>
                    <w:vMerge/>
                    <w:vAlign w:val="center"/>
                  </w:tcPr>
                  <w:p w14:paraId="1685044D" w14:textId="77777777" w:rsidR="00B201D3" w:rsidRDefault="00B201D3">
                    <w:pPr>
                      <w:jc w:val="center"/>
                      <w:rPr>
                        <w:color w:val="000000"/>
                      </w:rPr>
                    </w:pPr>
                  </w:p>
                </w:tc>
                <w:tc>
                  <w:tcPr>
                    <w:tcW w:w="753" w:type="dxa"/>
                    <w:vMerge/>
                    <w:vAlign w:val="center"/>
                  </w:tcPr>
                  <w:p w14:paraId="0802BE57" w14:textId="77777777" w:rsidR="00B201D3" w:rsidRDefault="00B201D3">
                    <w:pPr>
                      <w:rPr>
                        <w:color w:val="000000"/>
                      </w:rPr>
                    </w:pPr>
                  </w:p>
                </w:tc>
                <w:tc>
                  <w:tcPr>
                    <w:tcW w:w="3070" w:type="dxa"/>
                    <w:vMerge/>
                  </w:tcPr>
                  <w:p w14:paraId="6C4CC434" w14:textId="77777777" w:rsidR="00B201D3" w:rsidRDefault="00B201D3">
                    <w:pPr>
                      <w:rPr>
                        <w:color w:val="000000"/>
                      </w:rPr>
                    </w:pPr>
                  </w:p>
                </w:tc>
                <w:tc>
                  <w:tcPr>
                    <w:tcW w:w="1650" w:type="dxa"/>
                    <w:vAlign w:val="center"/>
                  </w:tcPr>
                  <w:p w14:paraId="580FEC5C" w14:textId="77777777" w:rsidR="00B201D3" w:rsidRDefault="009855E8">
                    <w:pPr>
                      <w:rPr>
                        <w:color w:val="000000"/>
                      </w:rPr>
                    </w:pPr>
                    <w:r>
                      <w:rPr>
                        <w:color w:val="000000"/>
                      </w:rPr>
                      <w:t>COD：</w:t>
                    </w:r>
                    <w:r>
                      <w:rPr>
                        <w:rFonts w:hint="eastAsia"/>
                        <w:color w:val="000000"/>
                      </w:rPr>
                      <w:t>362.9</w:t>
                    </w:r>
                    <w:r>
                      <w:rPr>
                        <w:color w:val="000000"/>
                      </w:rPr>
                      <w:t>吨</w:t>
                    </w:r>
                  </w:p>
                  <w:p w14:paraId="75EB6DCB" w14:textId="77777777" w:rsidR="00B201D3" w:rsidRDefault="009855E8">
                    <w:pPr>
                      <w:rPr>
                        <w:color w:val="000000"/>
                      </w:rPr>
                    </w:pPr>
                    <w:r>
                      <w:rPr>
                        <w:color w:val="000000"/>
                      </w:rPr>
                      <w:t>氨氮：</w:t>
                    </w:r>
                    <w:r>
                      <w:rPr>
                        <w:rFonts w:hint="eastAsia"/>
                        <w:color w:val="000000"/>
                      </w:rPr>
                      <w:t>18.1</w:t>
                    </w:r>
                    <w:r>
                      <w:rPr>
                        <w:color w:val="000000"/>
                      </w:rPr>
                      <w:t>吨</w:t>
                    </w:r>
                  </w:p>
                </w:tc>
                <w:tc>
                  <w:tcPr>
                    <w:tcW w:w="1569" w:type="dxa"/>
                    <w:vAlign w:val="center"/>
                  </w:tcPr>
                  <w:p w14:paraId="63E005EC" w14:textId="77777777" w:rsidR="00B201D3" w:rsidRDefault="009855E8">
                    <w:pPr>
                      <w:rPr>
                        <w:color w:val="000000"/>
                      </w:rPr>
                    </w:pPr>
                    <w:r>
                      <w:rPr>
                        <w:color w:val="000000"/>
                      </w:rPr>
                      <w:t>COD</w:t>
                    </w:r>
                    <w:r>
                      <w:rPr>
                        <w:rFonts w:hint="eastAsia"/>
                        <w:color w:val="000000"/>
                      </w:rPr>
                      <w:t>：</w:t>
                    </w:r>
                    <w:r>
                      <w:rPr>
                        <w:color w:val="000000"/>
                      </w:rPr>
                      <w:t>5.7吨</w:t>
                    </w:r>
                  </w:p>
                  <w:p w14:paraId="24500E45" w14:textId="77777777" w:rsidR="00B201D3" w:rsidRDefault="009855E8">
                    <w:pPr>
                      <w:rPr>
                        <w:color w:val="000000"/>
                      </w:rPr>
                    </w:pPr>
                    <w:r>
                      <w:rPr>
                        <w:color w:val="000000"/>
                      </w:rPr>
                      <w:t>氨氮</w:t>
                    </w:r>
                    <w:r>
                      <w:rPr>
                        <w:rFonts w:hint="eastAsia"/>
                        <w:color w:val="000000"/>
                      </w:rPr>
                      <w:t>：0.</w:t>
                    </w:r>
                    <w:r>
                      <w:rPr>
                        <w:color w:val="000000"/>
                      </w:rPr>
                      <w:t>21</w:t>
                    </w:r>
                    <w:r>
                      <w:rPr>
                        <w:rFonts w:hint="eastAsia"/>
                        <w:color w:val="000000"/>
                      </w:rPr>
                      <w:t>吨</w:t>
                    </w:r>
                  </w:p>
                </w:tc>
              </w:tr>
              <w:tr w:rsidR="00B201D3" w14:paraId="76F83DF1" w14:textId="77777777">
                <w:trPr>
                  <w:trHeight w:val="593"/>
                  <w:jc w:val="center"/>
                </w:trPr>
                <w:tc>
                  <w:tcPr>
                    <w:tcW w:w="462" w:type="dxa"/>
                    <w:vAlign w:val="center"/>
                  </w:tcPr>
                  <w:p w14:paraId="70943EFB" w14:textId="77777777" w:rsidR="00B201D3" w:rsidRDefault="009855E8">
                    <w:pPr>
                      <w:jc w:val="center"/>
                      <w:rPr>
                        <w:color w:val="000000"/>
                      </w:rPr>
                    </w:pPr>
                    <w:r>
                      <w:rPr>
                        <w:color w:val="000000"/>
                      </w:rPr>
                      <w:t>6</w:t>
                    </w:r>
                  </w:p>
                </w:tc>
                <w:tc>
                  <w:tcPr>
                    <w:tcW w:w="1064" w:type="dxa"/>
                    <w:vAlign w:val="center"/>
                  </w:tcPr>
                  <w:p w14:paraId="02410DE3" w14:textId="77777777" w:rsidR="00B201D3" w:rsidRDefault="009855E8">
                    <w:pPr>
                      <w:rPr>
                        <w:color w:val="000000"/>
                      </w:rPr>
                    </w:pPr>
                    <w:r>
                      <w:rPr>
                        <w:color w:val="000000"/>
                      </w:rPr>
                      <w:t>杨村煤矿</w:t>
                    </w:r>
                  </w:p>
                </w:tc>
                <w:tc>
                  <w:tcPr>
                    <w:tcW w:w="645" w:type="dxa"/>
                    <w:vMerge/>
                    <w:vAlign w:val="center"/>
                  </w:tcPr>
                  <w:p w14:paraId="14BE63C2" w14:textId="77777777" w:rsidR="00B201D3" w:rsidRDefault="00B201D3">
                    <w:pPr>
                      <w:rPr>
                        <w:color w:val="000000"/>
                      </w:rPr>
                    </w:pPr>
                  </w:p>
                </w:tc>
                <w:tc>
                  <w:tcPr>
                    <w:tcW w:w="840" w:type="dxa"/>
                    <w:vMerge/>
                    <w:vAlign w:val="center"/>
                  </w:tcPr>
                  <w:p w14:paraId="6705B5FC" w14:textId="77777777" w:rsidR="00B201D3" w:rsidRDefault="00B201D3">
                    <w:pPr>
                      <w:rPr>
                        <w:color w:val="000000"/>
                      </w:rPr>
                    </w:pPr>
                  </w:p>
                </w:tc>
                <w:tc>
                  <w:tcPr>
                    <w:tcW w:w="870" w:type="dxa"/>
                    <w:vMerge/>
                    <w:vAlign w:val="center"/>
                  </w:tcPr>
                  <w:p w14:paraId="61237157" w14:textId="77777777" w:rsidR="00B201D3" w:rsidRDefault="00B201D3">
                    <w:pPr>
                      <w:jc w:val="center"/>
                      <w:rPr>
                        <w:color w:val="000000"/>
                      </w:rPr>
                    </w:pPr>
                  </w:p>
                </w:tc>
                <w:tc>
                  <w:tcPr>
                    <w:tcW w:w="753" w:type="dxa"/>
                    <w:vMerge/>
                    <w:vAlign w:val="center"/>
                  </w:tcPr>
                  <w:p w14:paraId="27C00CEB" w14:textId="77777777" w:rsidR="00B201D3" w:rsidRDefault="00B201D3">
                    <w:pPr>
                      <w:rPr>
                        <w:color w:val="000000"/>
                      </w:rPr>
                    </w:pPr>
                  </w:p>
                </w:tc>
                <w:tc>
                  <w:tcPr>
                    <w:tcW w:w="3070" w:type="dxa"/>
                    <w:vMerge/>
                  </w:tcPr>
                  <w:p w14:paraId="0DBC65F2" w14:textId="77777777" w:rsidR="00B201D3" w:rsidRDefault="00B201D3">
                    <w:pPr>
                      <w:rPr>
                        <w:color w:val="000000"/>
                      </w:rPr>
                    </w:pPr>
                  </w:p>
                </w:tc>
                <w:tc>
                  <w:tcPr>
                    <w:tcW w:w="1650" w:type="dxa"/>
                    <w:vAlign w:val="center"/>
                  </w:tcPr>
                  <w:p w14:paraId="0F9FAED6" w14:textId="77777777" w:rsidR="00B201D3" w:rsidRDefault="009855E8">
                    <w:pPr>
                      <w:rPr>
                        <w:color w:val="000000"/>
                      </w:rPr>
                    </w:pPr>
                    <w:r>
                      <w:rPr>
                        <w:color w:val="000000"/>
                      </w:rPr>
                      <w:t>COD</w:t>
                    </w:r>
                    <w:r>
                      <w:rPr>
                        <w:rFonts w:hint="eastAsia"/>
                        <w:color w:val="000000"/>
                      </w:rPr>
                      <w:t>：</w:t>
                    </w:r>
                    <w:r>
                      <w:rPr>
                        <w:color w:val="000000"/>
                      </w:rPr>
                      <w:t>29.9吨</w:t>
                    </w:r>
                  </w:p>
                  <w:p w14:paraId="7C030AE0" w14:textId="77777777" w:rsidR="00B201D3" w:rsidRDefault="009855E8">
                    <w:pPr>
                      <w:rPr>
                        <w:color w:val="000000"/>
                      </w:rPr>
                    </w:pPr>
                    <w:r>
                      <w:rPr>
                        <w:color w:val="000000"/>
                      </w:rPr>
                      <w:t>氨氮</w:t>
                    </w:r>
                    <w:r>
                      <w:rPr>
                        <w:rFonts w:hint="eastAsia"/>
                        <w:color w:val="000000"/>
                      </w:rPr>
                      <w:t>：</w:t>
                    </w:r>
                    <w:r>
                      <w:rPr>
                        <w:color w:val="000000"/>
                      </w:rPr>
                      <w:t>3</w:t>
                    </w:r>
                    <w:r>
                      <w:rPr>
                        <w:rFonts w:hint="eastAsia"/>
                        <w:color w:val="000000"/>
                      </w:rPr>
                      <w:t>.</w:t>
                    </w:r>
                    <w:r>
                      <w:rPr>
                        <w:color w:val="000000"/>
                      </w:rPr>
                      <w:t>7吨</w:t>
                    </w:r>
                  </w:p>
                </w:tc>
                <w:tc>
                  <w:tcPr>
                    <w:tcW w:w="1569" w:type="dxa"/>
                    <w:vAlign w:val="center"/>
                  </w:tcPr>
                  <w:p w14:paraId="1BC529FD" w14:textId="77777777" w:rsidR="00B201D3" w:rsidRDefault="009855E8">
                    <w:pPr>
                      <w:rPr>
                        <w:color w:val="000000"/>
                      </w:rPr>
                    </w:pPr>
                    <w:r>
                      <w:rPr>
                        <w:color w:val="000000"/>
                      </w:rPr>
                      <w:t>COD</w:t>
                    </w:r>
                    <w:r>
                      <w:rPr>
                        <w:rFonts w:hint="eastAsia"/>
                        <w:color w:val="000000"/>
                      </w:rPr>
                      <w:t>：</w:t>
                    </w:r>
                    <w:r>
                      <w:rPr>
                        <w:color w:val="000000"/>
                      </w:rPr>
                      <w:t>1.7吨</w:t>
                    </w:r>
                  </w:p>
                  <w:p w14:paraId="75E89710" w14:textId="77777777" w:rsidR="00B201D3" w:rsidRDefault="009855E8">
                    <w:pPr>
                      <w:rPr>
                        <w:color w:val="000000"/>
                      </w:rPr>
                    </w:pPr>
                    <w:r>
                      <w:rPr>
                        <w:color w:val="000000"/>
                      </w:rPr>
                      <w:t>氨氮</w:t>
                    </w:r>
                    <w:r>
                      <w:rPr>
                        <w:rFonts w:hint="eastAsia"/>
                        <w:color w:val="000000"/>
                      </w:rPr>
                      <w:t>：0.</w:t>
                    </w:r>
                    <w:r>
                      <w:rPr>
                        <w:color w:val="000000"/>
                      </w:rPr>
                      <w:t>04吨</w:t>
                    </w:r>
                  </w:p>
                </w:tc>
              </w:tr>
              <w:tr w:rsidR="00B201D3" w14:paraId="08D0FD28" w14:textId="77777777">
                <w:trPr>
                  <w:trHeight w:val="593"/>
                  <w:jc w:val="center"/>
                </w:trPr>
                <w:tc>
                  <w:tcPr>
                    <w:tcW w:w="462" w:type="dxa"/>
                    <w:vAlign w:val="center"/>
                  </w:tcPr>
                  <w:p w14:paraId="2C6D2D94" w14:textId="77777777" w:rsidR="00B201D3" w:rsidRDefault="009855E8">
                    <w:pPr>
                      <w:jc w:val="center"/>
                      <w:rPr>
                        <w:color w:val="000000"/>
                      </w:rPr>
                    </w:pPr>
                    <w:r>
                      <w:rPr>
                        <w:color w:val="000000"/>
                      </w:rPr>
                      <w:t>7</w:t>
                    </w:r>
                  </w:p>
                </w:tc>
                <w:tc>
                  <w:tcPr>
                    <w:tcW w:w="1064" w:type="dxa"/>
                    <w:vAlign w:val="center"/>
                  </w:tcPr>
                  <w:p w14:paraId="737A5750" w14:textId="77777777" w:rsidR="00B201D3" w:rsidRDefault="009855E8">
                    <w:pPr>
                      <w:rPr>
                        <w:color w:val="000000"/>
                      </w:rPr>
                    </w:pPr>
                    <w:r>
                      <w:rPr>
                        <w:color w:val="000000"/>
                      </w:rPr>
                      <w:t>赵楼煤矿</w:t>
                    </w:r>
                  </w:p>
                </w:tc>
                <w:tc>
                  <w:tcPr>
                    <w:tcW w:w="645" w:type="dxa"/>
                    <w:vMerge/>
                    <w:vAlign w:val="center"/>
                  </w:tcPr>
                  <w:p w14:paraId="37747C05" w14:textId="77777777" w:rsidR="00B201D3" w:rsidRDefault="00B201D3">
                    <w:pPr>
                      <w:rPr>
                        <w:color w:val="000000"/>
                      </w:rPr>
                    </w:pPr>
                  </w:p>
                </w:tc>
                <w:tc>
                  <w:tcPr>
                    <w:tcW w:w="840" w:type="dxa"/>
                    <w:vMerge/>
                    <w:vAlign w:val="center"/>
                  </w:tcPr>
                  <w:p w14:paraId="0AC68B49" w14:textId="77777777" w:rsidR="00B201D3" w:rsidRDefault="00B201D3">
                    <w:pPr>
                      <w:rPr>
                        <w:color w:val="000000"/>
                      </w:rPr>
                    </w:pPr>
                  </w:p>
                </w:tc>
                <w:tc>
                  <w:tcPr>
                    <w:tcW w:w="870" w:type="dxa"/>
                    <w:vMerge/>
                    <w:vAlign w:val="center"/>
                  </w:tcPr>
                  <w:p w14:paraId="7DDA1D39" w14:textId="77777777" w:rsidR="00B201D3" w:rsidRDefault="00B201D3">
                    <w:pPr>
                      <w:jc w:val="center"/>
                      <w:rPr>
                        <w:color w:val="000000"/>
                      </w:rPr>
                    </w:pPr>
                  </w:p>
                </w:tc>
                <w:tc>
                  <w:tcPr>
                    <w:tcW w:w="753" w:type="dxa"/>
                    <w:vMerge/>
                    <w:vAlign w:val="center"/>
                  </w:tcPr>
                  <w:p w14:paraId="33A00C45" w14:textId="77777777" w:rsidR="00B201D3" w:rsidRDefault="00B201D3">
                    <w:pPr>
                      <w:rPr>
                        <w:color w:val="000000"/>
                      </w:rPr>
                    </w:pPr>
                  </w:p>
                </w:tc>
                <w:tc>
                  <w:tcPr>
                    <w:tcW w:w="3070" w:type="dxa"/>
                    <w:vMerge/>
                  </w:tcPr>
                  <w:p w14:paraId="1E037096" w14:textId="77777777" w:rsidR="00B201D3" w:rsidRDefault="00B201D3">
                    <w:pPr>
                      <w:rPr>
                        <w:color w:val="000000"/>
                      </w:rPr>
                    </w:pPr>
                  </w:p>
                </w:tc>
                <w:tc>
                  <w:tcPr>
                    <w:tcW w:w="1650" w:type="dxa"/>
                    <w:vAlign w:val="center"/>
                  </w:tcPr>
                  <w:p w14:paraId="0502E2D8" w14:textId="77777777" w:rsidR="00B201D3" w:rsidRDefault="009855E8">
                    <w:pPr>
                      <w:rPr>
                        <w:color w:val="000000"/>
                      </w:rPr>
                    </w:pPr>
                    <w:r>
                      <w:rPr>
                        <w:color w:val="000000"/>
                      </w:rPr>
                      <w:t>COD</w:t>
                    </w:r>
                    <w:r>
                      <w:rPr>
                        <w:rFonts w:hint="eastAsia"/>
                        <w:color w:val="000000"/>
                      </w:rPr>
                      <w:t>：</w:t>
                    </w:r>
                    <w:r>
                      <w:rPr>
                        <w:color w:val="000000"/>
                      </w:rPr>
                      <w:t>95.</w:t>
                    </w:r>
                    <w:r>
                      <w:rPr>
                        <w:rFonts w:hint="eastAsia"/>
                        <w:color w:val="000000"/>
                      </w:rPr>
                      <w:t>4</w:t>
                    </w:r>
                    <w:r>
                      <w:rPr>
                        <w:color w:val="000000"/>
                      </w:rPr>
                      <w:t>吨</w:t>
                    </w:r>
                  </w:p>
                  <w:p w14:paraId="5AC51C5C" w14:textId="77777777" w:rsidR="00B201D3" w:rsidRDefault="009855E8">
                    <w:pPr>
                      <w:rPr>
                        <w:color w:val="000000"/>
                      </w:rPr>
                    </w:pPr>
                    <w:r>
                      <w:rPr>
                        <w:color w:val="000000"/>
                      </w:rPr>
                      <w:t>氨氮</w:t>
                    </w:r>
                    <w:r>
                      <w:rPr>
                        <w:rFonts w:hint="eastAsia"/>
                        <w:color w:val="000000"/>
                      </w:rPr>
                      <w:t>：5.</w:t>
                    </w:r>
                    <w:r>
                      <w:rPr>
                        <w:color w:val="000000"/>
                      </w:rPr>
                      <w:t>9吨</w:t>
                    </w:r>
                  </w:p>
                </w:tc>
                <w:tc>
                  <w:tcPr>
                    <w:tcW w:w="1569" w:type="dxa"/>
                    <w:vAlign w:val="center"/>
                  </w:tcPr>
                  <w:p w14:paraId="56DDCF7C" w14:textId="77777777" w:rsidR="00B201D3" w:rsidRDefault="009855E8">
                    <w:pPr>
                      <w:rPr>
                        <w:color w:val="000000"/>
                      </w:rPr>
                    </w:pPr>
                    <w:r>
                      <w:rPr>
                        <w:color w:val="000000"/>
                      </w:rPr>
                      <w:t>COD</w:t>
                    </w:r>
                    <w:r>
                      <w:rPr>
                        <w:rFonts w:hint="eastAsia"/>
                        <w:color w:val="000000"/>
                      </w:rPr>
                      <w:t>：</w:t>
                    </w:r>
                    <w:r>
                      <w:rPr>
                        <w:color w:val="000000"/>
                      </w:rPr>
                      <w:t>8.6吨</w:t>
                    </w:r>
                  </w:p>
                  <w:p w14:paraId="166DAEA0" w14:textId="77777777" w:rsidR="00B201D3" w:rsidRDefault="009855E8">
                    <w:pPr>
                      <w:rPr>
                        <w:color w:val="000000"/>
                      </w:rPr>
                    </w:pPr>
                    <w:r>
                      <w:rPr>
                        <w:color w:val="000000"/>
                      </w:rPr>
                      <w:t>氨氮</w:t>
                    </w:r>
                    <w:r>
                      <w:rPr>
                        <w:rFonts w:hint="eastAsia"/>
                        <w:color w:val="000000"/>
                      </w:rPr>
                      <w:t>：0.</w:t>
                    </w:r>
                    <w:r>
                      <w:rPr>
                        <w:color w:val="000000"/>
                      </w:rPr>
                      <w:t>14吨</w:t>
                    </w:r>
                  </w:p>
                </w:tc>
              </w:tr>
              <w:tr w:rsidR="00B201D3" w14:paraId="161D321E" w14:textId="77777777">
                <w:trPr>
                  <w:trHeight w:val="1412"/>
                  <w:jc w:val="center"/>
                </w:trPr>
                <w:tc>
                  <w:tcPr>
                    <w:tcW w:w="462" w:type="dxa"/>
                    <w:vAlign w:val="center"/>
                  </w:tcPr>
                  <w:p w14:paraId="548C9084" w14:textId="77777777" w:rsidR="00B201D3" w:rsidRDefault="009855E8">
                    <w:pPr>
                      <w:jc w:val="center"/>
                      <w:rPr>
                        <w:color w:val="000000"/>
                      </w:rPr>
                    </w:pPr>
                    <w:r>
                      <w:rPr>
                        <w:color w:val="000000"/>
                      </w:rPr>
                      <w:t>8</w:t>
                    </w:r>
                  </w:p>
                </w:tc>
                <w:tc>
                  <w:tcPr>
                    <w:tcW w:w="1064" w:type="dxa"/>
                    <w:vAlign w:val="center"/>
                  </w:tcPr>
                  <w:p w14:paraId="2F90FF81" w14:textId="77777777" w:rsidR="00B201D3" w:rsidRDefault="009855E8">
                    <w:pPr>
                      <w:rPr>
                        <w:color w:val="000000"/>
                      </w:rPr>
                    </w:pPr>
                    <w:r>
                      <w:rPr>
                        <w:color w:val="000000"/>
                      </w:rPr>
                      <w:t>兴隆庄煤矿</w:t>
                    </w:r>
                  </w:p>
                </w:tc>
                <w:tc>
                  <w:tcPr>
                    <w:tcW w:w="645" w:type="dxa"/>
                    <w:vAlign w:val="center"/>
                  </w:tcPr>
                  <w:p w14:paraId="68A6D2C0" w14:textId="77777777" w:rsidR="00B201D3" w:rsidRDefault="009855E8">
                    <w:pPr>
                      <w:rPr>
                        <w:color w:val="000000"/>
                      </w:rPr>
                    </w:pPr>
                    <w:r>
                      <w:rPr>
                        <w:color w:val="000000"/>
                      </w:rPr>
                      <w:t>国家重点排污单位</w:t>
                    </w:r>
                  </w:p>
                </w:tc>
                <w:tc>
                  <w:tcPr>
                    <w:tcW w:w="840" w:type="dxa"/>
                    <w:vMerge/>
                    <w:vAlign w:val="center"/>
                  </w:tcPr>
                  <w:p w14:paraId="62EFF640" w14:textId="77777777" w:rsidR="00B201D3" w:rsidRDefault="00B201D3">
                    <w:pPr>
                      <w:rPr>
                        <w:color w:val="000000"/>
                      </w:rPr>
                    </w:pPr>
                  </w:p>
                </w:tc>
                <w:tc>
                  <w:tcPr>
                    <w:tcW w:w="870" w:type="dxa"/>
                    <w:vMerge/>
                    <w:vAlign w:val="center"/>
                  </w:tcPr>
                  <w:p w14:paraId="2AC6E1AC" w14:textId="77777777" w:rsidR="00B201D3" w:rsidRDefault="00B201D3">
                    <w:pPr>
                      <w:jc w:val="center"/>
                      <w:rPr>
                        <w:color w:val="000000"/>
                      </w:rPr>
                    </w:pPr>
                  </w:p>
                </w:tc>
                <w:tc>
                  <w:tcPr>
                    <w:tcW w:w="753" w:type="dxa"/>
                    <w:vMerge/>
                    <w:vAlign w:val="center"/>
                  </w:tcPr>
                  <w:p w14:paraId="2ACC56F5" w14:textId="77777777" w:rsidR="00B201D3" w:rsidRDefault="00B201D3">
                    <w:pPr>
                      <w:rPr>
                        <w:color w:val="000000"/>
                      </w:rPr>
                    </w:pPr>
                  </w:p>
                </w:tc>
                <w:tc>
                  <w:tcPr>
                    <w:tcW w:w="3070" w:type="dxa"/>
                    <w:vAlign w:val="center"/>
                  </w:tcPr>
                  <w:p w14:paraId="7C30B5D0" w14:textId="77777777" w:rsidR="00B201D3" w:rsidRDefault="009855E8">
                    <w:pPr>
                      <w:rPr>
                        <w:color w:val="000000"/>
                      </w:rPr>
                    </w:pPr>
                    <w:r>
                      <w:rPr>
                        <w:rFonts w:hint="eastAsia"/>
                        <w:color w:val="000000"/>
                      </w:rPr>
                      <w:t>《流域水污染物综合排放标准 第1部分：南四湖东平湖流域》(D</w:t>
                    </w:r>
                    <w:r>
                      <w:rPr>
                        <w:color w:val="000000"/>
                      </w:rPr>
                      <w:t>B37/3416.1-2018</w:t>
                    </w:r>
                    <w:r>
                      <w:rPr>
                        <w:rFonts w:hint="eastAsia"/>
                        <w:color w:val="000000"/>
                      </w:rPr>
                      <w:t>）、《城镇污水处理厂污染物排放标准》（G</w:t>
                    </w:r>
                    <w:r>
                      <w:rPr>
                        <w:color w:val="000000"/>
                      </w:rPr>
                      <w:t>B 18918-2002</w:t>
                    </w:r>
                    <w:r>
                      <w:rPr>
                        <w:rFonts w:hint="eastAsia"/>
                        <w:color w:val="000000"/>
                      </w:rPr>
                      <w:t>）</w:t>
                    </w:r>
                  </w:p>
                </w:tc>
                <w:tc>
                  <w:tcPr>
                    <w:tcW w:w="1650" w:type="dxa"/>
                    <w:vAlign w:val="center"/>
                  </w:tcPr>
                  <w:p w14:paraId="73BBF155" w14:textId="77777777" w:rsidR="00B201D3" w:rsidRDefault="009855E8">
                    <w:pPr>
                      <w:rPr>
                        <w:color w:val="000000"/>
                      </w:rPr>
                    </w:pPr>
                    <w:r>
                      <w:rPr>
                        <w:color w:val="000000"/>
                      </w:rPr>
                      <w:t>COD</w:t>
                    </w:r>
                    <w:r>
                      <w:rPr>
                        <w:rFonts w:hint="eastAsia"/>
                        <w:color w:val="000000"/>
                      </w:rPr>
                      <w:t>：</w:t>
                    </w:r>
                    <w:r>
                      <w:rPr>
                        <w:color w:val="000000"/>
                      </w:rPr>
                      <w:t>109.0吨</w:t>
                    </w:r>
                  </w:p>
                  <w:p w14:paraId="0C2644FD" w14:textId="77777777" w:rsidR="00B201D3" w:rsidRDefault="009855E8">
                    <w:pPr>
                      <w:rPr>
                        <w:color w:val="000000"/>
                      </w:rPr>
                    </w:pPr>
                    <w:r>
                      <w:rPr>
                        <w:color w:val="000000"/>
                      </w:rPr>
                      <w:t>氨氮</w:t>
                    </w:r>
                    <w:r>
                      <w:rPr>
                        <w:rFonts w:hint="eastAsia"/>
                        <w:color w:val="000000"/>
                      </w:rPr>
                      <w:t>：</w:t>
                    </w:r>
                    <w:r>
                      <w:rPr>
                        <w:color w:val="000000"/>
                      </w:rPr>
                      <w:t>5.5吨</w:t>
                    </w:r>
                  </w:p>
                </w:tc>
                <w:tc>
                  <w:tcPr>
                    <w:tcW w:w="1569" w:type="dxa"/>
                    <w:vAlign w:val="center"/>
                  </w:tcPr>
                  <w:p w14:paraId="3331622C" w14:textId="77777777" w:rsidR="00B201D3" w:rsidRDefault="009855E8">
                    <w:pPr>
                      <w:rPr>
                        <w:color w:val="000000"/>
                      </w:rPr>
                    </w:pPr>
                    <w:r>
                      <w:rPr>
                        <w:color w:val="000000"/>
                      </w:rPr>
                      <w:t>COD</w:t>
                    </w:r>
                    <w:r>
                      <w:rPr>
                        <w:rFonts w:hint="eastAsia"/>
                        <w:color w:val="000000"/>
                      </w:rPr>
                      <w:t>：</w:t>
                    </w:r>
                    <w:r>
                      <w:rPr>
                        <w:color w:val="000000"/>
                      </w:rPr>
                      <w:t>0.7吨</w:t>
                    </w:r>
                  </w:p>
                  <w:p w14:paraId="088FF7AC" w14:textId="77777777" w:rsidR="00B201D3" w:rsidRDefault="009855E8">
                    <w:pPr>
                      <w:rPr>
                        <w:color w:val="000000"/>
                      </w:rPr>
                    </w:pPr>
                    <w:r>
                      <w:rPr>
                        <w:color w:val="000000"/>
                      </w:rPr>
                      <w:t>氨氮</w:t>
                    </w:r>
                    <w:r>
                      <w:rPr>
                        <w:rFonts w:hint="eastAsia"/>
                        <w:color w:val="000000"/>
                      </w:rPr>
                      <w:t>：0.</w:t>
                    </w:r>
                    <w:r>
                      <w:rPr>
                        <w:color w:val="000000"/>
                      </w:rPr>
                      <w:t>01吨</w:t>
                    </w:r>
                  </w:p>
                </w:tc>
              </w:tr>
              <w:tr w:rsidR="00B201D3" w14:paraId="0C64846F" w14:textId="77777777">
                <w:trPr>
                  <w:trHeight w:val="593"/>
                  <w:jc w:val="center"/>
                </w:trPr>
                <w:tc>
                  <w:tcPr>
                    <w:tcW w:w="462" w:type="dxa"/>
                    <w:vAlign w:val="center"/>
                  </w:tcPr>
                  <w:p w14:paraId="791857F3" w14:textId="77777777" w:rsidR="00B201D3" w:rsidRDefault="009855E8">
                    <w:pPr>
                      <w:jc w:val="center"/>
                      <w:rPr>
                        <w:color w:val="000000"/>
                      </w:rPr>
                    </w:pPr>
                    <w:r>
                      <w:rPr>
                        <w:rFonts w:hint="eastAsia"/>
                        <w:color w:val="000000"/>
                      </w:rPr>
                      <w:t>9</w:t>
                    </w:r>
                  </w:p>
                </w:tc>
                <w:tc>
                  <w:tcPr>
                    <w:tcW w:w="1064" w:type="dxa"/>
                    <w:vAlign w:val="center"/>
                  </w:tcPr>
                  <w:p w14:paraId="35F3082E" w14:textId="77777777" w:rsidR="00B201D3" w:rsidRDefault="009855E8">
                    <w:pPr>
                      <w:rPr>
                        <w:color w:val="000000"/>
                      </w:rPr>
                    </w:pPr>
                    <w:r>
                      <w:rPr>
                        <w:rFonts w:hint="eastAsia"/>
                        <w:color w:val="000000"/>
                      </w:rPr>
                      <w:t>天池煤矿</w:t>
                    </w:r>
                  </w:p>
                </w:tc>
                <w:tc>
                  <w:tcPr>
                    <w:tcW w:w="645" w:type="dxa"/>
                    <w:vAlign w:val="center"/>
                  </w:tcPr>
                  <w:p w14:paraId="478D8CC6" w14:textId="77777777" w:rsidR="00B201D3" w:rsidRDefault="009855E8">
                    <w:pPr>
                      <w:rPr>
                        <w:color w:val="000000"/>
                      </w:rPr>
                    </w:pPr>
                    <w:r>
                      <w:rPr>
                        <w:color w:val="000000"/>
                      </w:rPr>
                      <w:t>晋中市重点排污单位</w:t>
                    </w:r>
                  </w:p>
                </w:tc>
                <w:tc>
                  <w:tcPr>
                    <w:tcW w:w="840" w:type="dxa"/>
                    <w:vMerge/>
                    <w:vAlign w:val="center"/>
                  </w:tcPr>
                  <w:p w14:paraId="1C5E6D63" w14:textId="77777777" w:rsidR="00B201D3" w:rsidRDefault="00B201D3">
                    <w:pPr>
                      <w:jc w:val="center"/>
                      <w:rPr>
                        <w:color w:val="000000"/>
                      </w:rPr>
                    </w:pPr>
                  </w:p>
                </w:tc>
                <w:tc>
                  <w:tcPr>
                    <w:tcW w:w="870" w:type="dxa"/>
                    <w:vMerge/>
                    <w:vAlign w:val="center"/>
                  </w:tcPr>
                  <w:p w14:paraId="6D972031" w14:textId="77777777" w:rsidR="00B201D3" w:rsidRDefault="00B201D3">
                    <w:pPr>
                      <w:jc w:val="center"/>
                      <w:rPr>
                        <w:color w:val="000000"/>
                      </w:rPr>
                    </w:pPr>
                  </w:p>
                </w:tc>
                <w:tc>
                  <w:tcPr>
                    <w:tcW w:w="753" w:type="dxa"/>
                    <w:vMerge/>
                    <w:vAlign w:val="center"/>
                  </w:tcPr>
                  <w:p w14:paraId="59BADE9A" w14:textId="77777777" w:rsidR="00B201D3" w:rsidRDefault="00B201D3">
                    <w:pPr>
                      <w:rPr>
                        <w:color w:val="000000"/>
                      </w:rPr>
                    </w:pPr>
                  </w:p>
                </w:tc>
                <w:tc>
                  <w:tcPr>
                    <w:tcW w:w="3070" w:type="dxa"/>
                    <w:vAlign w:val="center"/>
                  </w:tcPr>
                  <w:p w14:paraId="70FA9BE0" w14:textId="77777777" w:rsidR="00B201D3" w:rsidRDefault="009855E8">
                    <w:pPr>
                      <w:rPr>
                        <w:color w:val="000000"/>
                      </w:rPr>
                    </w:pPr>
                    <w:r>
                      <w:rPr>
                        <w:rFonts w:hint="eastAsia"/>
                        <w:color w:val="000000"/>
                      </w:rPr>
                      <w:t>《地表水环境质量标准》G</w:t>
                    </w:r>
                    <w:r>
                      <w:rPr>
                        <w:color w:val="000000"/>
                      </w:rPr>
                      <w:t>B3838-2002</w:t>
                    </w:r>
                  </w:p>
                </w:tc>
                <w:tc>
                  <w:tcPr>
                    <w:tcW w:w="1650" w:type="dxa"/>
                    <w:vAlign w:val="center"/>
                  </w:tcPr>
                  <w:p w14:paraId="593AC9B9" w14:textId="77777777" w:rsidR="00B201D3" w:rsidRDefault="009855E8">
                    <w:pPr>
                      <w:rPr>
                        <w:color w:val="000000"/>
                      </w:rPr>
                    </w:pPr>
                    <w:r>
                      <w:rPr>
                        <w:rFonts w:hint="eastAsia"/>
                        <w:color w:val="000000"/>
                      </w:rPr>
                      <w:t>COD、氨氮无总量要求</w:t>
                    </w:r>
                  </w:p>
                </w:tc>
                <w:tc>
                  <w:tcPr>
                    <w:tcW w:w="1569" w:type="dxa"/>
                    <w:vAlign w:val="center"/>
                  </w:tcPr>
                  <w:p w14:paraId="3F59A708" w14:textId="77777777" w:rsidR="00B201D3" w:rsidRDefault="009855E8">
                    <w:pPr>
                      <w:rPr>
                        <w:color w:val="000000"/>
                      </w:rPr>
                    </w:pPr>
                    <w:r>
                      <w:rPr>
                        <w:color w:val="000000"/>
                      </w:rPr>
                      <w:t>COD</w:t>
                    </w:r>
                    <w:r>
                      <w:rPr>
                        <w:rFonts w:hint="eastAsia"/>
                        <w:color w:val="000000"/>
                      </w:rPr>
                      <w:t>：</w:t>
                    </w:r>
                    <w:r>
                      <w:rPr>
                        <w:color w:val="000000"/>
                      </w:rPr>
                      <w:t>0.9吨</w:t>
                    </w:r>
                  </w:p>
                  <w:p w14:paraId="6D69BC2A" w14:textId="77777777" w:rsidR="00B201D3" w:rsidRDefault="009855E8">
                    <w:pPr>
                      <w:rPr>
                        <w:color w:val="000000"/>
                      </w:rPr>
                    </w:pPr>
                    <w:r>
                      <w:rPr>
                        <w:color w:val="000000"/>
                      </w:rPr>
                      <w:t>氨氮</w:t>
                    </w:r>
                    <w:r>
                      <w:rPr>
                        <w:rFonts w:hint="eastAsia"/>
                        <w:color w:val="000000"/>
                      </w:rPr>
                      <w:t>：</w:t>
                    </w:r>
                    <w:r>
                      <w:rPr>
                        <w:color w:val="000000"/>
                      </w:rPr>
                      <w:t>0.06</w:t>
                    </w:r>
                    <w:r>
                      <w:rPr>
                        <w:rFonts w:hint="eastAsia"/>
                        <w:color w:val="000000"/>
                      </w:rPr>
                      <w:t>吨</w:t>
                    </w:r>
                  </w:p>
                </w:tc>
              </w:tr>
              <w:tr w:rsidR="00B201D3" w14:paraId="148973CB" w14:textId="77777777">
                <w:trPr>
                  <w:trHeight w:val="593"/>
                  <w:jc w:val="center"/>
                </w:trPr>
                <w:tc>
                  <w:tcPr>
                    <w:tcW w:w="462" w:type="dxa"/>
                    <w:vAlign w:val="center"/>
                  </w:tcPr>
                  <w:p w14:paraId="07393C77" w14:textId="77777777" w:rsidR="00B201D3" w:rsidRDefault="009855E8">
                    <w:pPr>
                      <w:jc w:val="center"/>
                      <w:rPr>
                        <w:color w:val="000000"/>
                      </w:rPr>
                    </w:pPr>
                    <w:r>
                      <w:rPr>
                        <w:rFonts w:hint="eastAsia"/>
                        <w:color w:val="000000"/>
                      </w:rPr>
                      <w:t>10</w:t>
                    </w:r>
                  </w:p>
                </w:tc>
                <w:tc>
                  <w:tcPr>
                    <w:tcW w:w="1064" w:type="dxa"/>
                    <w:vAlign w:val="center"/>
                  </w:tcPr>
                  <w:p w14:paraId="39D1662A" w14:textId="77777777" w:rsidR="00B201D3" w:rsidRDefault="009855E8">
                    <w:pPr>
                      <w:rPr>
                        <w:color w:val="000000"/>
                      </w:rPr>
                    </w:pPr>
                    <w:r>
                      <w:rPr>
                        <w:rFonts w:hint="eastAsia"/>
                        <w:color w:val="000000"/>
                      </w:rPr>
                      <w:t>金鸡滩</w:t>
                    </w:r>
                    <w:r>
                      <w:rPr>
                        <w:color w:val="000000"/>
                      </w:rPr>
                      <w:t>煤矿</w:t>
                    </w:r>
                  </w:p>
                </w:tc>
                <w:tc>
                  <w:tcPr>
                    <w:tcW w:w="645" w:type="dxa"/>
                    <w:vAlign w:val="center"/>
                  </w:tcPr>
                  <w:p w14:paraId="3149374B" w14:textId="77777777" w:rsidR="00B201D3" w:rsidRDefault="009855E8">
                    <w:pPr>
                      <w:rPr>
                        <w:color w:val="000000"/>
                      </w:rPr>
                    </w:pPr>
                    <w:r>
                      <w:rPr>
                        <w:rFonts w:hint="eastAsia"/>
                        <w:color w:val="000000"/>
                      </w:rPr>
                      <w:t>榆林</w:t>
                    </w:r>
                    <w:r>
                      <w:rPr>
                        <w:color w:val="000000"/>
                      </w:rPr>
                      <w:t>市</w:t>
                    </w:r>
                    <w:r>
                      <w:rPr>
                        <w:rFonts w:hint="eastAsia"/>
                        <w:color w:val="000000"/>
                      </w:rPr>
                      <w:t>榆阳区</w:t>
                    </w:r>
                    <w:r>
                      <w:rPr>
                        <w:color w:val="000000"/>
                      </w:rPr>
                      <w:lastRenderedPageBreak/>
                      <w:t>重点排污单位</w:t>
                    </w:r>
                  </w:p>
                </w:tc>
                <w:tc>
                  <w:tcPr>
                    <w:tcW w:w="840" w:type="dxa"/>
                    <w:vMerge w:val="restart"/>
                    <w:vAlign w:val="center"/>
                  </w:tcPr>
                  <w:p w14:paraId="60DB1083" w14:textId="77777777" w:rsidR="00B201D3" w:rsidRDefault="009855E8">
                    <w:pPr>
                      <w:jc w:val="center"/>
                      <w:rPr>
                        <w:color w:val="000000"/>
                      </w:rPr>
                    </w:pPr>
                    <w:r>
                      <w:rPr>
                        <w:rFonts w:hint="eastAsia"/>
                        <w:color w:val="000000"/>
                      </w:rPr>
                      <w:lastRenderedPageBreak/>
                      <w:t>锅炉烟气</w:t>
                    </w:r>
                  </w:p>
                </w:tc>
                <w:tc>
                  <w:tcPr>
                    <w:tcW w:w="870" w:type="dxa"/>
                    <w:vMerge w:val="restart"/>
                    <w:vAlign w:val="center"/>
                  </w:tcPr>
                  <w:p w14:paraId="4F154A61" w14:textId="77777777" w:rsidR="00B201D3" w:rsidRDefault="009855E8">
                    <w:pPr>
                      <w:jc w:val="center"/>
                      <w:rPr>
                        <w:color w:val="000000"/>
                      </w:rPr>
                    </w:pPr>
                    <w:r>
                      <w:rPr>
                        <w:rFonts w:hint="eastAsia"/>
                        <w:color w:val="000000"/>
                      </w:rPr>
                      <w:t>颗粒物SO</w:t>
                    </w:r>
                    <w:r>
                      <w:rPr>
                        <w:rFonts w:hint="eastAsia"/>
                        <w:color w:val="000000"/>
                        <w:vertAlign w:val="subscript"/>
                      </w:rPr>
                      <w:t>2</w:t>
                    </w:r>
                  </w:p>
                  <w:p w14:paraId="7ED34E71" w14:textId="77777777" w:rsidR="00B201D3" w:rsidRDefault="009855E8">
                    <w:pPr>
                      <w:jc w:val="center"/>
                      <w:rPr>
                        <w:color w:val="000000"/>
                      </w:rPr>
                    </w:pPr>
                    <w:r>
                      <w:rPr>
                        <w:color w:val="000000"/>
                      </w:rPr>
                      <w:t>NO</w:t>
                    </w:r>
                    <w:r>
                      <w:rPr>
                        <w:color w:val="000000"/>
                        <w:vertAlign w:val="subscript"/>
                      </w:rPr>
                      <w:t>X</w:t>
                    </w:r>
                  </w:p>
                </w:tc>
                <w:tc>
                  <w:tcPr>
                    <w:tcW w:w="753" w:type="dxa"/>
                    <w:vMerge w:val="restart"/>
                    <w:vAlign w:val="center"/>
                  </w:tcPr>
                  <w:p w14:paraId="0B7531C6" w14:textId="0E58857D" w:rsidR="00B201D3" w:rsidRDefault="009855E8">
                    <w:pPr>
                      <w:rPr>
                        <w:color w:val="000000"/>
                      </w:rPr>
                    </w:pPr>
                    <w:r>
                      <w:rPr>
                        <w:rFonts w:hint="eastAsia"/>
                        <w:color w:val="000000"/>
                      </w:rPr>
                      <w:t>烟气经净化处</w:t>
                    </w:r>
                    <w:r>
                      <w:rPr>
                        <w:rFonts w:hint="eastAsia"/>
                        <w:color w:val="000000"/>
                      </w:rPr>
                      <w:lastRenderedPageBreak/>
                      <w:t>理后排放；污水经处理后重复利用，不外排</w:t>
                    </w:r>
                  </w:p>
                </w:tc>
                <w:tc>
                  <w:tcPr>
                    <w:tcW w:w="3070" w:type="dxa"/>
                    <w:vAlign w:val="center"/>
                  </w:tcPr>
                  <w:p w14:paraId="2A0341FD" w14:textId="77777777" w:rsidR="00B201D3" w:rsidRDefault="009855E8">
                    <w:pPr>
                      <w:rPr>
                        <w:color w:val="000000"/>
                      </w:rPr>
                    </w:pPr>
                    <w:r>
                      <w:rPr>
                        <w:rFonts w:hint="eastAsia"/>
                        <w:color w:val="000000"/>
                      </w:rPr>
                      <w:lastRenderedPageBreak/>
                      <w:t>《锅炉大气污染物排放标准》（G</w:t>
                    </w:r>
                    <w:r>
                      <w:rPr>
                        <w:color w:val="000000"/>
                      </w:rPr>
                      <w:t>B13271-2014</w:t>
                    </w:r>
                    <w:r>
                      <w:rPr>
                        <w:rFonts w:hint="eastAsia"/>
                        <w:color w:val="000000"/>
                      </w:rPr>
                      <w:t>）</w:t>
                    </w:r>
                  </w:p>
                </w:tc>
                <w:tc>
                  <w:tcPr>
                    <w:tcW w:w="1650" w:type="dxa"/>
                    <w:vAlign w:val="center"/>
                  </w:tcPr>
                  <w:p w14:paraId="5A073E35" w14:textId="77777777" w:rsidR="00B201D3" w:rsidRDefault="009855E8">
                    <w:pPr>
                      <w:rPr>
                        <w:color w:val="000000"/>
                        <w:spacing w:val="-12"/>
                      </w:rPr>
                    </w:pPr>
                    <w:r>
                      <w:rPr>
                        <w:rFonts w:hint="eastAsia"/>
                        <w:color w:val="000000"/>
                        <w:spacing w:val="-12"/>
                      </w:rPr>
                      <w:t>颗粒物：</w:t>
                    </w:r>
                    <w:r>
                      <w:rPr>
                        <w:color w:val="000000"/>
                        <w:spacing w:val="-12"/>
                      </w:rPr>
                      <w:t>14.0</w:t>
                    </w:r>
                    <w:r>
                      <w:rPr>
                        <w:rFonts w:hint="eastAsia"/>
                        <w:color w:val="000000"/>
                        <w:spacing w:val="-12"/>
                      </w:rPr>
                      <w:t>吨</w:t>
                    </w:r>
                  </w:p>
                  <w:p w14:paraId="62EA530A" w14:textId="77777777" w:rsidR="00B201D3" w:rsidRDefault="009855E8">
                    <w:pPr>
                      <w:rPr>
                        <w:color w:val="000000"/>
                      </w:rPr>
                    </w:pPr>
                    <w:r>
                      <w:rPr>
                        <w:rFonts w:hint="eastAsia"/>
                        <w:color w:val="000000"/>
                      </w:rPr>
                      <w:t>SO</w:t>
                    </w:r>
                    <w:r>
                      <w:rPr>
                        <w:rFonts w:hint="eastAsia"/>
                        <w:color w:val="000000"/>
                        <w:vertAlign w:val="subscript"/>
                      </w:rPr>
                      <w:t>2</w:t>
                    </w:r>
                    <w:r>
                      <w:rPr>
                        <w:rFonts w:hint="eastAsia"/>
                        <w:color w:val="000000"/>
                      </w:rPr>
                      <w:t>：</w:t>
                    </w:r>
                    <w:r>
                      <w:rPr>
                        <w:color w:val="000000"/>
                      </w:rPr>
                      <w:t>46.6吨</w:t>
                    </w:r>
                  </w:p>
                  <w:p w14:paraId="52809407" w14:textId="77777777" w:rsidR="00B201D3" w:rsidRDefault="009855E8">
                    <w:pPr>
                      <w:rPr>
                        <w:color w:val="000000"/>
                      </w:rPr>
                    </w:pPr>
                    <w:r>
                      <w:rPr>
                        <w:color w:val="000000"/>
                      </w:rPr>
                      <w:t>NO</w:t>
                    </w:r>
                    <w:r>
                      <w:rPr>
                        <w:color w:val="000000"/>
                        <w:vertAlign w:val="subscript"/>
                      </w:rPr>
                      <w:t>X</w:t>
                    </w:r>
                    <w:r>
                      <w:rPr>
                        <w:rFonts w:hint="eastAsia"/>
                        <w:color w:val="000000"/>
                      </w:rPr>
                      <w:t>：</w:t>
                    </w:r>
                    <w:r>
                      <w:rPr>
                        <w:color w:val="000000"/>
                      </w:rPr>
                      <w:t>93.1吨</w:t>
                    </w:r>
                  </w:p>
                </w:tc>
                <w:tc>
                  <w:tcPr>
                    <w:tcW w:w="1569" w:type="dxa"/>
                    <w:vAlign w:val="center"/>
                  </w:tcPr>
                  <w:p w14:paraId="29BBB1E0" w14:textId="77777777" w:rsidR="00B201D3" w:rsidRDefault="009855E8">
                    <w:pPr>
                      <w:rPr>
                        <w:color w:val="000000"/>
                        <w:spacing w:val="-12"/>
                      </w:rPr>
                    </w:pPr>
                    <w:r>
                      <w:rPr>
                        <w:rFonts w:hint="eastAsia"/>
                        <w:color w:val="000000"/>
                        <w:spacing w:val="-12"/>
                      </w:rPr>
                      <w:t>颗粒物：</w:t>
                    </w:r>
                    <w:r>
                      <w:rPr>
                        <w:color w:val="000000"/>
                        <w:spacing w:val="-12"/>
                      </w:rPr>
                      <w:t>0.2</w:t>
                    </w:r>
                    <w:r>
                      <w:rPr>
                        <w:rFonts w:hint="eastAsia"/>
                        <w:color w:val="000000"/>
                        <w:spacing w:val="-12"/>
                      </w:rPr>
                      <w:t>吨</w:t>
                    </w:r>
                  </w:p>
                  <w:p w14:paraId="20A3B658" w14:textId="77777777" w:rsidR="00B201D3" w:rsidRDefault="009855E8">
                    <w:pPr>
                      <w:rPr>
                        <w:color w:val="000000"/>
                      </w:rPr>
                    </w:pPr>
                    <w:r>
                      <w:rPr>
                        <w:rFonts w:hint="eastAsia"/>
                        <w:color w:val="000000"/>
                      </w:rPr>
                      <w:t>SO</w:t>
                    </w:r>
                    <w:r>
                      <w:rPr>
                        <w:rFonts w:hint="eastAsia"/>
                        <w:color w:val="000000"/>
                        <w:vertAlign w:val="subscript"/>
                      </w:rPr>
                      <w:t>2</w:t>
                    </w:r>
                    <w:r>
                      <w:rPr>
                        <w:rFonts w:hint="eastAsia"/>
                        <w:color w:val="000000"/>
                      </w:rPr>
                      <w:t>：</w:t>
                    </w:r>
                    <w:r>
                      <w:rPr>
                        <w:color w:val="000000"/>
                      </w:rPr>
                      <w:t>0.1吨</w:t>
                    </w:r>
                  </w:p>
                  <w:p w14:paraId="43970AE3" w14:textId="77777777" w:rsidR="00B201D3" w:rsidRDefault="009855E8">
                    <w:pPr>
                      <w:rPr>
                        <w:color w:val="000000"/>
                      </w:rPr>
                    </w:pPr>
                    <w:r>
                      <w:rPr>
                        <w:color w:val="000000"/>
                      </w:rPr>
                      <w:t>NO</w:t>
                    </w:r>
                    <w:r>
                      <w:rPr>
                        <w:color w:val="000000"/>
                        <w:vertAlign w:val="subscript"/>
                      </w:rPr>
                      <w:t>X</w:t>
                    </w:r>
                    <w:r>
                      <w:rPr>
                        <w:rFonts w:hint="eastAsia"/>
                        <w:color w:val="000000"/>
                      </w:rPr>
                      <w:t>：</w:t>
                    </w:r>
                    <w:r>
                      <w:rPr>
                        <w:color w:val="000000"/>
                      </w:rPr>
                      <w:t>6.4吨</w:t>
                    </w:r>
                  </w:p>
                </w:tc>
              </w:tr>
              <w:tr w:rsidR="00B201D3" w14:paraId="54D72A19" w14:textId="77777777">
                <w:trPr>
                  <w:trHeight w:val="593"/>
                  <w:jc w:val="center"/>
                </w:trPr>
                <w:tc>
                  <w:tcPr>
                    <w:tcW w:w="462" w:type="dxa"/>
                    <w:vAlign w:val="center"/>
                  </w:tcPr>
                  <w:p w14:paraId="782BF79A" w14:textId="77777777" w:rsidR="00B201D3" w:rsidRDefault="009855E8">
                    <w:pPr>
                      <w:jc w:val="center"/>
                      <w:rPr>
                        <w:color w:val="000000"/>
                      </w:rPr>
                    </w:pPr>
                    <w:r>
                      <w:rPr>
                        <w:rFonts w:hint="eastAsia"/>
                        <w:color w:val="000000"/>
                      </w:rPr>
                      <w:t>11</w:t>
                    </w:r>
                  </w:p>
                </w:tc>
                <w:tc>
                  <w:tcPr>
                    <w:tcW w:w="1064" w:type="dxa"/>
                    <w:vAlign w:val="center"/>
                  </w:tcPr>
                  <w:p w14:paraId="49C6CC60" w14:textId="77777777" w:rsidR="00B201D3" w:rsidRDefault="009855E8">
                    <w:pPr>
                      <w:rPr>
                        <w:color w:val="000000"/>
                      </w:rPr>
                    </w:pPr>
                    <w:r>
                      <w:rPr>
                        <w:rFonts w:hint="eastAsia"/>
                        <w:color w:val="000000"/>
                      </w:rPr>
                      <w:t>未来能源煤制油分公司</w:t>
                    </w:r>
                  </w:p>
                </w:tc>
                <w:tc>
                  <w:tcPr>
                    <w:tcW w:w="645" w:type="dxa"/>
                    <w:vMerge w:val="restart"/>
                    <w:vAlign w:val="center"/>
                  </w:tcPr>
                  <w:p w14:paraId="6A9B5B69" w14:textId="77777777" w:rsidR="00B201D3" w:rsidRDefault="009855E8">
                    <w:pPr>
                      <w:rPr>
                        <w:color w:val="000000"/>
                      </w:rPr>
                    </w:pPr>
                    <w:r>
                      <w:rPr>
                        <w:color w:val="000000"/>
                      </w:rPr>
                      <w:t>国家重点排污单位</w:t>
                    </w:r>
                  </w:p>
                </w:tc>
                <w:tc>
                  <w:tcPr>
                    <w:tcW w:w="840" w:type="dxa"/>
                    <w:vMerge/>
                    <w:vAlign w:val="center"/>
                  </w:tcPr>
                  <w:p w14:paraId="650EB17F" w14:textId="77777777" w:rsidR="00B201D3" w:rsidRDefault="00B201D3">
                    <w:pPr>
                      <w:jc w:val="center"/>
                      <w:rPr>
                        <w:color w:val="000000"/>
                      </w:rPr>
                    </w:pPr>
                  </w:p>
                </w:tc>
                <w:tc>
                  <w:tcPr>
                    <w:tcW w:w="870" w:type="dxa"/>
                    <w:vMerge/>
                    <w:vAlign w:val="center"/>
                  </w:tcPr>
                  <w:p w14:paraId="7FBC339E" w14:textId="77777777" w:rsidR="00B201D3" w:rsidRDefault="00B201D3">
                    <w:pPr>
                      <w:jc w:val="center"/>
                      <w:rPr>
                        <w:color w:val="000000"/>
                      </w:rPr>
                    </w:pPr>
                  </w:p>
                </w:tc>
                <w:tc>
                  <w:tcPr>
                    <w:tcW w:w="753" w:type="dxa"/>
                    <w:vMerge/>
                    <w:vAlign w:val="center"/>
                  </w:tcPr>
                  <w:p w14:paraId="72153679" w14:textId="77777777" w:rsidR="00B201D3" w:rsidRDefault="00B201D3">
                    <w:pPr>
                      <w:rPr>
                        <w:color w:val="000000"/>
                      </w:rPr>
                    </w:pPr>
                  </w:p>
                </w:tc>
                <w:tc>
                  <w:tcPr>
                    <w:tcW w:w="3070" w:type="dxa"/>
                    <w:vMerge w:val="restart"/>
                    <w:vAlign w:val="center"/>
                  </w:tcPr>
                  <w:p w14:paraId="32D7A663" w14:textId="77777777" w:rsidR="00B201D3" w:rsidRDefault="009855E8">
                    <w:pPr>
                      <w:rPr>
                        <w:color w:val="000000"/>
                      </w:rPr>
                    </w:pPr>
                    <w:r>
                      <w:rPr>
                        <w:rFonts w:hint="eastAsia"/>
                        <w:color w:val="000000"/>
                      </w:rPr>
                      <w:t>《火电厂大气污染物排放标准》（</w:t>
                    </w:r>
                    <w:r>
                      <w:rPr>
                        <w:color w:val="000000"/>
                      </w:rPr>
                      <w:t>GB13223-2011）</w:t>
                    </w:r>
                  </w:p>
                </w:tc>
                <w:tc>
                  <w:tcPr>
                    <w:tcW w:w="1650" w:type="dxa"/>
                    <w:vAlign w:val="center"/>
                  </w:tcPr>
                  <w:p w14:paraId="1616E322" w14:textId="77777777" w:rsidR="00B201D3" w:rsidRDefault="009855E8">
                    <w:pPr>
                      <w:rPr>
                        <w:color w:val="000000"/>
                        <w:spacing w:val="-10"/>
                      </w:rPr>
                    </w:pPr>
                    <w:r>
                      <w:rPr>
                        <w:rFonts w:hint="eastAsia"/>
                        <w:color w:val="000000"/>
                        <w:spacing w:val="-18"/>
                      </w:rPr>
                      <w:t>颗粒物：9</w:t>
                    </w:r>
                    <w:r>
                      <w:rPr>
                        <w:color w:val="000000"/>
                        <w:spacing w:val="-18"/>
                      </w:rPr>
                      <w:t>2.1</w:t>
                    </w:r>
                    <w:r>
                      <w:rPr>
                        <w:rFonts w:hint="eastAsia"/>
                        <w:color w:val="000000"/>
                        <w:spacing w:val="-18"/>
                      </w:rPr>
                      <w:t>吨</w:t>
                    </w:r>
                    <w:r>
                      <w:rPr>
                        <w:rFonts w:hint="eastAsia"/>
                        <w:color w:val="000000"/>
                        <w:spacing w:val="-10"/>
                      </w:rPr>
                      <w:t>SO</w:t>
                    </w:r>
                    <w:r>
                      <w:rPr>
                        <w:rFonts w:hint="eastAsia"/>
                        <w:color w:val="000000"/>
                        <w:spacing w:val="-10"/>
                        <w:vertAlign w:val="subscript"/>
                      </w:rPr>
                      <w:t>2</w:t>
                    </w:r>
                    <w:r>
                      <w:rPr>
                        <w:rFonts w:hint="eastAsia"/>
                        <w:color w:val="000000"/>
                        <w:spacing w:val="-10"/>
                      </w:rPr>
                      <w:t>：</w:t>
                    </w:r>
                    <w:r>
                      <w:rPr>
                        <w:color w:val="000000"/>
                        <w:spacing w:val="-10"/>
                      </w:rPr>
                      <w:t>488.9吨</w:t>
                    </w:r>
                  </w:p>
                  <w:p w14:paraId="0714478D" w14:textId="77777777" w:rsidR="00B201D3" w:rsidRDefault="009855E8">
                    <w:pPr>
                      <w:rPr>
                        <w:color w:val="000000"/>
                      </w:rPr>
                    </w:pPr>
                    <w:r>
                      <w:rPr>
                        <w:color w:val="000000"/>
                        <w:spacing w:val="-10"/>
                      </w:rPr>
                      <w:t>NO</w:t>
                    </w:r>
                    <w:r>
                      <w:rPr>
                        <w:color w:val="000000"/>
                        <w:spacing w:val="-10"/>
                        <w:vertAlign w:val="subscript"/>
                      </w:rPr>
                      <w:t>X</w:t>
                    </w:r>
                    <w:r>
                      <w:rPr>
                        <w:rFonts w:hint="eastAsia"/>
                        <w:color w:val="000000"/>
                        <w:spacing w:val="-10"/>
                      </w:rPr>
                      <w:t>：</w:t>
                    </w:r>
                    <w:r>
                      <w:rPr>
                        <w:color w:val="000000"/>
                        <w:spacing w:val="-10"/>
                      </w:rPr>
                      <w:t>1,084.2吨</w:t>
                    </w:r>
                  </w:p>
                </w:tc>
                <w:tc>
                  <w:tcPr>
                    <w:tcW w:w="1569" w:type="dxa"/>
                    <w:vAlign w:val="center"/>
                  </w:tcPr>
                  <w:p w14:paraId="3009A88B" w14:textId="77777777" w:rsidR="00B201D3" w:rsidRDefault="009855E8">
                    <w:pPr>
                      <w:rPr>
                        <w:color w:val="000000"/>
                        <w:spacing w:val="-18"/>
                      </w:rPr>
                    </w:pPr>
                    <w:r>
                      <w:rPr>
                        <w:rFonts w:hint="eastAsia"/>
                        <w:color w:val="000000"/>
                        <w:spacing w:val="-18"/>
                      </w:rPr>
                      <w:t>颗粒物：</w:t>
                    </w:r>
                    <w:r>
                      <w:rPr>
                        <w:color w:val="000000"/>
                        <w:spacing w:val="-18"/>
                      </w:rPr>
                      <w:t>20.7</w:t>
                    </w:r>
                    <w:r>
                      <w:rPr>
                        <w:rFonts w:hint="eastAsia"/>
                        <w:color w:val="000000"/>
                        <w:spacing w:val="-18"/>
                      </w:rPr>
                      <w:t>吨</w:t>
                    </w:r>
                  </w:p>
                  <w:p w14:paraId="7D93986F" w14:textId="77777777" w:rsidR="00B201D3" w:rsidRDefault="009855E8">
                    <w:pPr>
                      <w:rPr>
                        <w:color w:val="000000"/>
                      </w:rPr>
                    </w:pPr>
                    <w:r>
                      <w:rPr>
                        <w:rFonts w:hint="eastAsia"/>
                        <w:color w:val="000000"/>
                      </w:rPr>
                      <w:t>SO</w:t>
                    </w:r>
                    <w:r>
                      <w:rPr>
                        <w:rFonts w:hint="eastAsia"/>
                        <w:color w:val="000000"/>
                        <w:vertAlign w:val="subscript"/>
                      </w:rPr>
                      <w:t>2</w:t>
                    </w:r>
                    <w:r>
                      <w:rPr>
                        <w:rFonts w:hint="eastAsia"/>
                        <w:color w:val="000000"/>
                      </w:rPr>
                      <w:t>：</w:t>
                    </w:r>
                    <w:r>
                      <w:rPr>
                        <w:color w:val="000000"/>
                      </w:rPr>
                      <w:t>41.8吨</w:t>
                    </w:r>
                  </w:p>
                  <w:p w14:paraId="224BE684" w14:textId="77777777" w:rsidR="00B201D3" w:rsidRDefault="009855E8">
                    <w:pPr>
                      <w:rPr>
                        <w:color w:val="000000"/>
                        <w:spacing w:val="-6"/>
                      </w:rPr>
                    </w:pPr>
                    <w:r>
                      <w:rPr>
                        <w:color w:val="000000"/>
                        <w:spacing w:val="-6"/>
                      </w:rPr>
                      <w:t>NO</w:t>
                    </w:r>
                    <w:r>
                      <w:rPr>
                        <w:color w:val="000000"/>
                        <w:spacing w:val="-6"/>
                        <w:vertAlign w:val="subscript"/>
                      </w:rPr>
                      <w:t>X</w:t>
                    </w:r>
                    <w:r>
                      <w:rPr>
                        <w:rFonts w:hint="eastAsia"/>
                        <w:color w:val="000000"/>
                        <w:spacing w:val="-6"/>
                      </w:rPr>
                      <w:t>：</w:t>
                    </w:r>
                    <w:r>
                      <w:rPr>
                        <w:color w:val="000000"/>
                        <w:spacing w:val="-6"/>
                      </w:rPr>
                      <w:t>292.8吨</w:t>
                    </w:r>
                  </w:p>
                </w:tc>
              </w:tr>
              <w:tr w:rsidR="00B201D3" w14:paraId="5AF6797F" w14:textId="77777777">
                <w:trPr>
                  <w:trHeight w:val="593"/>
                  <w:jc w:val="center"/>
                </w:trPr>
                <w:tc>
                  <w:tcPr>
                    <w:tcW w:w="462" w:type="dxa"/>
                    <w:vAlign w:val="center"/>
                  </w:tcPr>
                  <w:p w14:paraId="5D76DA3F" w14:textId="77777777" w:rsidR="00B201D3" w:rsidRDefault="009855E8">
                    <w:pPr>
                      <w:jc w:val="center"/>
                      <w:rPr>
                        <w:color w:val="000000"/>
                      </w:rPr>
                    </w:pPr>
                    <w:r>
                      <w:rPr>
                        <w:rFonts w:hint="eastAsia"/>
                        <w:color w:val="000000"/>
                      </w:rPr>
                      <w:t>12</w:t>
                    </w:r>
                  </w:p>
                </w:tc>
                <w:tc>
                  <w:tcPr>
                    <w:tcW w:w="1064" w:type="dxa"/>
                    <w:vAlign w:val="center"/>
                  </w:tcPr>
                  <w:p w14:paraId="339F8292" w14:textId="77777777" w:rsidR="00B201D3" w:rsidRDefault="009855E8">
                    <w:pPr>
                      <w:rPr>
                        <w:color w:val="000000"/>
                      </w:rPr>
                    </w:pPr>
                    <w:r>
                      <w:rPr>
                        <w:rFonts w:hint="eastAsia"/>
                        <w:color w:val="000000"/>
                      </w:rPr>
                      <w:t>鄂尔多斯公司</w:t>
                    </w:r>
                    <w:r>
                      <w:rPr>
                        <w:color w:val="000000"/>
                      </w:rPr>
                      <w:t>荣信化工</w:t>
                    </w:r>
                  </w:p>
                </w:tc>
                <w:tc>
                  <w:tcPr>
                    <w:tcW w:w="645" w:type="dxa"/>
                    <w:vMerge/>
                    <w:vAlign w:val="center"/>
                  </w:tcPr>
                  <w:p w14:paraId="0960F329" w14:textId="77777777" w:rsidR="00B201D3" w:rsidRDefault="00B201D3">
                    <w:pPr>
                      <w:rPr>
                        <w:color w:val="000000"/>
                      </w:rPr>
                    </w:pPr>
                  </w:p>
                </w:tc>
                <w:tc>
                  <w:tcPr>
                    <w:tcW w:w="840" w:type="dxa"/>
                    <w:vMerge/>
                    <w:vAlign w:val="center"/>
                  </w:tcPr>
                  <w:p w14:paraId="675D1062" w14:textId="77777777" w:rsidR="00B201D3" w:rsidRDefault="00B201D3">
                    <w:pPr>
                      <w:jc w:val="center"/>
                      <w:rPr>
                        <w:color w:val="000000"/>
                      </w:rPr>
                    </w:pPr>
                  </w:p>
                </w:tc>
                <w:tc>
                  <w:tcPr>
                    <w:tcW w:w="870" w:type="dxa"/>
                    <w:vMerge/>
                    <w:vAlign w:val="center"/>
                  </w:tcPr>
                  <w:p w14:paraId="784A6B0C" w14:textId="77777777" w:rsidR="00B201D3" w:rsidRDefault="00B201D3">
                    <w:pPr>
                      <w:jc w:val="center"/>
                      <w:rPr>
                        <w:color w:val="000000"/>
                      </w:rPr>
                    </w:pPr>
                  </w:p>
                </w:tc>
                <w:tc>
                  <w:tcPr>
                    <w:tcW w:w="753" w:type="dxa"/>
                    <w:vMerge/>
                    <w:vAlign w:val="center"/>
                  </w:tcPr>
                  <w:p w14:paraId="59F99754" w14:textId="77777777" w:rsidR="00B201D3" w:rsidRDefault="00B201D3">
                    <w:pPr>
                      <w:rPr>
                        <w:color w:val="000000"/>
                      </w:rPr>
                    </w:pPr>
                  </w:p>
                </w:tc>
                <w:tc>
                  <w:tcPr>
                    <w:tcW w:w="3070" w:type="dxa"/>
                    <w:vMerge/>
                    <w:vAlign w:val="center"/>
                  </w:tcPr>
                  <w:p w14:paraId="572F67FA" w14:textId="77777777" w:rsidR="00B201D3" w:rsidRDefault="00B201D3">
                    <w:pPr>
                      <w:rPr>
                        <w:color w:val="000000"/>
                      </w:rPr>
                    </w:pPr>
                  </w:p>
                </w:tc>
                <w:tc>
                  <w:tcPr>
                    <w:tcW w:w="1650" w:type="dxa"/>
                    <w:vAlign w:val="center"/>
                  </w:tcPr>
                  <w:p w14:paraId="50B4C254" w14:textId="77777777" w:rsidR="00B201D3" w:rsidRDefault="009855E8">
                    <w:pPr>
                      <w:rPr>
                        <w:color w:val="000000"/>
                        <w:spacing w:val="-12"/>
                      </w:rPr>
                    </w:pPr>
                    <w:r>
                      <w:rPr>
                        <w:rFonts w:hint="eastAsia"/>
                        <w:color w:val="000000"/>
                        <w:spacing w:val="-12"/>
                      </w:rPr>
                      <w:t>颗粒物：</w:t>
                    </w:r>
                    <w:r>
                      <w:rPr>
                        <w:color w:val="000000"/>
                        <w:spacing w:val="-12"/>
                      </w:rPr>
                      <w:t>121.8</w:t>
                    </w:r>
                    <w:r>
                      <w:rPr>
                        <w:rFonts w:hint="eastAsia"/>
                        <w:color w:val="000000"/>
                        <w:spacing w:val="-12"/>
                      </w:rPr>
                      <w:t>吨</w:t>
                    </w:r>
                  </w:p>
                  <w:p w14:paraId="418FE88E" w14:textId="77777777" w:rsidR="00B201D3" w:rsidRDefault="009855E8">
                    <w:pPr>
                      <w:rPr>
                        <w:color w:val="000000"/>
                      </w:rPr>
                    </w:pPr>
                    <w:r>
                      <w:rPr>
                        <w:rFonts w:hint="eastAsia"/>
                        <w:color w:val="000000"/>
                      </w:rPr>
                      <w:t>SO</w:t>
                    </w:r>
                    <w:r>
                      <w:rPr>
                        <w:rFonts w:hint="eastAsia"/>
                        <w:color w:val="000000"/>
                        <w:vertAlign w:val="subscript"/>
                      </w:rPr>
                      <w:t>2</w:t>
                    </w:r>
                    <w:r>
                      <w:rPr>
                        <w:rFonts w:hint="eastAsia"/>
                        <w:color w:val="000000"/>
                      </w:rPr>
                      <w:t>：</w:t>
                    </w:r>
                    <w:r>
                      <w:rPr>
                        <w:color w:val="000000"/>
                      </w:rPr>
                      <w:t>406.1吨</w:t>
                    </w:r>
                  </w:p>
                  <w:p w14:paraId="48D979D6" w14:textId="77777777" w:rsidR="00B201D3" w:rsidRDefault="009855E8">
                    <w:pPr>
                      <w:rPr>
                        <w:color w:val="000000"/>
                        <w:spacing w:val="-12"/>
                      </w:rPr>
                    </w:pPr>
                    <w:r>
                      <w:rPr>
                        <w:color w:val="000000"/>
                      </w:rPr>
                      <w:t>NO</w:t>
                    </w:r>
                    <w:r>
                      <w:rPr>
                        <w:color w:val="000000"/>
                        <w:vertAlign w:val="subscript"/>
                      </w:rPr>
                      <w:t>X</w:t>
                    </w:r>
                    <w:r>
                      <w:rPr>
                        <w:rFonts w:hint="eastAsia"/>
                        <w:color w:val="000000"/>
                      </w:rPr>
                      <w:t>：</w:t>
                    </w:r>
                    <w:r>
                      <w:rPr>
                        <w:color w:val="000000"/>
                      </w:rPr>
                      <w:t>609.1吨</w:t>
                    </w:r>
                  </w:p>
                </w:tc>
                <w:tc>
                  <w:tcPr>
                    <w:tcW w:w="1569" w:type="dxa"/>
                    <w:vAlign w:val="center"/>
                  </w:tcPr>
                  <w:p w14:paraId="5A23CFF2" w14:textId="77777777" w:rsidR="00B201D3" w:rsidRDefault="009855E8">
                    <w:pPr>
                      <w:rPr>
                        <w:color w:val="000000"/>
                        <w:spacing w:val="-12"/>
                      </w:rPr>
                    </w:pPr>
                    <w:r>
                      <w:rPr>
                        <w:rFonts w:hint="eastAsia"/>
                        <w:color w:val="000000"/>
                        <w:spacing w:val="-12"/>
                      </w:rPr>
                      <w:t>颗粒物：</w:t>
                    </w:r>
                    <w:r>
                      <w:rPr>
                        <w:color w:val="000000"/>
                        <w:spacing w:val="-12"/>
                      </w:rPr>
                      <w:t>2.0</w:t>
                    </w:r>
                    <w:r>
                      <w:rPr>
                        <w:rFonts w:hint="eastAsia"/>
                        <w:color w:val="000000"/>
                        <w:spacing w:val="-12"/>
                      </w:rPr>
                      <w:t>吨</w:t>
                    </w:r>
                  </w:p>
                  <w:p w14:paraId="2AED6283" w14:textId="77777777" w:rsidR="00B201D3" w:rsidRDefault="009855E8">
                    <w:pPr>
                      <w:rPr>
                        <w:color w:val="000000"/>
                      </w:rPr>
                    </w:pPr>
                    <w:r>
                      <w:rPr>
                        <w:rFonts w:hint="eastAsia"/>
                        <w:color w:val="000000"/>
                      </w:rPr>
                      <w:t>SO</w:t>
                    </w:r>
                    <w:r>
                      <w:rPr>
                        <w:rFonts w:hint="eastAsia"/>
                        <w:color w:val="000000"/>
                        <w:vertAlign w:val="subscript"/>
                      </w:rPr>
                      <w:t>2</w:t>
                    </w:r>
                    <w:r>
                      <w:rPr>
                        <w:rFonts w:hint="eastAsia"/>
                        <w:color w:val="000000"/>
                      </w:rPr>
                      <w:t>：</w:t>
                    </w:r>
                    <w:r>
                      <w:rPr>
                        <w:color w:val="000000"/>
                      </w:rPr>
                      <w:t>62.0吨</w:t>
                    </w:r>
                  </w:p>
                  <w:p w14:paraId="6FE90F22" w14:textId="77777777" w:rsidR="00B201D3" w:rsidRDefault="009855E8">
                    <w:pPr>
                      <w:rPr>
                        <w:color w:val="000000"/>
                        <w:spacing w:val="-12"/>
                      </w:rPr>
                    </w:pPr>
                    <w:r>
                      <w:rPr>
                        <w:color w:val="000000"/>
                        <w:spacing w:val="-4"/>
                      </w:rPr>
                      <w:t>NO</w:t>
                    </w:r>
                    <w:r>
                      <w:rPr>
                        <w:color w:val="000000"/>
                        <w:spacing w:val="-4"/>
                        <w:vertAlign w:val="subscript"/>
                      </w:rPr>
                      <w:t>X</w:t>
                    </w:r>
                    <w:r>
                      <w:rPr>
                        <w:rFonts w:hint="eastAsia"/>
                        <w:color w:val="000000"/>
                        <w:spacing w:val="-4"/>
                      </w:rPr>
                      <w:t>：</w:t>
                    </w:r>
                    <w:r>
                      <w:rPr>
                        <w:color w:val="000000"/>
                        <w:spacing w:val="-4"/>
                      </w:rPr>
                      <w:t>178.5吨</w:t>
                    </w:r>
                  </w:p>
                </w:tc>
              </w:tr>
              <w:tr w:rsidR="00B201D3" w14:paraId="0E2581C0" w14:textId="77777777">
                <w:trPr>
                  <w:trHeight w:val="564"/>
                  <w:jc w:val="center"/>
                </w:trPr>
                <w:tc>
                  <w:tcPr>
                    <w:tcW w:w="462" w:type="dxa"/>
                    <w:vAlign w:val="center"/>
                  </w:tcPr>
                  <w:p w14:paraId="3C9FD793" w14:textId="77777777" w:rsidR="00B201D3" w:rsidRDefault="009855E8">
                    <w:pPr>
                      <w:jc w:val="center"/>
                      <w:rPr>
                        <w:color w:val="000000"/>
                      </w:rPr>
                    </w:pPr>
                    <w:r>
                      <w:rPr>
                        <w:rFonts w:hint="eastAsia"/>
                        <w:color w:val="000000"/>
                      </w:rPr>
                      <w:t>1</w:t>
                    </w:r>
                    <w:r>
                      <w:rPr>
                        <w:color w:val="000000"/>
                      </w:rPr>
                      <w:t>3</w:t>
                    </w:r>
                  </w:p>
                </w:tc>
                <w:tc>
                  <w:tcPr>
                    <w:tcW w:w="1064" w:type="dxa"/>
                    <w:vAlign w:val="center"/>
                  </w:tcPr>
                  <w:p w14:paraId="5B1E0575" w14:textId="77777777" w:rsidR="00B201D3" w:rsidRDefault="009855E8">
                    <w:pPr>
                      <w:rPr>
                        <w:color w:val="000000"/>
                      </w:rPr>
                    </w:pPr>
                    <w:r>
                      <w:rPr>
                        <w:color w:val="000000"/>
                      </w:rPr>
                      <w:t>转龙湾煤矿</w:t>
                    </w:r>
                  </w:p>
                </w:tc>
                <w:tc>
                  <w:tcPr>
                    <w:tcW w:w="645" w:type="dxa"/>
                    <w:vMerge w:val="restart"/>
                    <w:vAlign w:val="center"/>
                  </w:tcPr>
                  <w:p w14:paraId="29C4384A" w14:textId="77777777" w:rsidR="00B201D3" w:rsidRDefault="009855E8">
                    <w:pPr>
                      <w:rPr>
                        <w:color w:val="000000"/>
                      </w:rPr>
                    </w:pPr>
                    <w:r>
                      <w:rPr>
                        <w:color w:val="000000"/>
                      </w:rPr>
                      <w:t>鄂尔多斯市重点排污单位</w:t>
                    </w:r>
                  </w:p>
                </w:tc>
                <w:tc>
                  <w:tcPr>
                    <w:tcW w:w="840" w:type="dxa"/>
                    <w:vMerge/>
                    <w:vAlign w:val="center"/>
                  </w:tcPr>
                  <w:p w14:paraId="67B0401A" w14:textId="77777777" w:rsidR="00B201D3" w:rsidRDefault="00B201D3">
                    <w:pPr>
                      <w:rPr>
                        <w:color w:val="000000"/>
                      </w:rPr>
                    </w:pPr>
                  </w:p>
                </w:tc>
                <w:tc>
                  <w:tcPr>
                    <w:tcW w:w="870" w:type="dxa"/>
                    <w:vMerge/>
                    <w:vAlign w:val="center"/>
                  </w:tcPr>
                  <w:p w14:paraId="6F9821C0" w14:textId="77777777" w:rsidR="00B201D3" w:rsidRDefault="00B201D3">
                    <w:pPr>
                      <w:jc w:val="center"/>
                      <w:rPr>
                        <w:color w:val="000000"/>
                      </w:rPr>
                    </w:pPr>
                  </w:p>
                </w:tc>
                <w:tc>
                  <w:tcPr>
                    <w:tcW w:w="753" w:type="dxa"/>
                    <w:vMerge/>
                    <w:vAlign w:val="center"/>
                  </w:tcPr>
                  <w:p w14:paraId="3A53A9B4" w14:textId="77777777" w:rsidR="00B201D3" w:rsidRDefault="00B201D3">
                    <w:pPr>
                      <w:rPr>
                        <w:color w:val="000000"/>
                      </w:rPr>
                    </w:pPr>
                  </w:p>
                </w:tc>
                <w:tc>
                  <w:tcPr>
                    <w:tcW w:w="3070" w:type="dxa"/>
                    <w:vMerge w:val="restart"/>
                    <w:vAlign w:val="center"/>
                  </w:tcPr>
                  <w:p w14:paraId="36A2280C" w14:textId="77777777" w:rsidR="00B201D3" w:rsidRDefault="009855E8">
                    <w:pPr>
                      <w:rPr>
                        <w:color w:val="000000"/>
                      </w:rPr>
                    </w:pPr>
                    <w:r>
                      <w:rPr>
                        <w:rFonts w:hint="eastAsia"/>
                        <w:color w:val="000000"/>
                      </w:rPr>
                      <w:t>《锅炉大气污染物排放标准》（G</w:t>
                    </w:r>
                    <w:r>
                      <w:rPr>
                        <w:color w:val="000000"/>
                      </w:rPr>
                      <w:t>B13271-2014</w:t>
                    </w:r>
                    <w:r>
                      <w:rPr>
                        <w:rFonts w:hint="eastAsia"/>
                        <w:color w:val="000000"/>
                      </w:rPr>
                      <w:t>）</w:t>
                    </w:r>
                  </w:p>
                </w:tc>
                <w:tc>
                  <w:tcPr>
                    <w:tcW w:w="1650" w:type="dxa"/>
                    <w:vAlign w:val="center"/>
                  </w:tcPr>
                  <w:p w14:paraId="05E71D0B" w14:textId="77777777" w:rsidR="00B201D3" w:rsidRDefault="009855E8">
                    <w:pPr>
                      <w:rPr>
                        <w:color w:val="000000"/>
                        <w:spacing w:val="-18"/>
                      </w:rPr>
                    </w:pPr>
                    <w:r>
                      <w:rPr>
                        <w:rFonts w:hint="eastAsia"/>
                        <w:color w:val="000000"/>
                        <w:spacing w:val="-18"/>
                      </w:rPr>
                      <w:t>颗粒物：</w:t>
                    </w:r>
                    <w:r>
                      <w:rPr>
                        <w:color w:val="000000"/>
                        <w:spacing w:val="-18"/>
                      </w:rPr>
                      <w:t>19.4</w:t>
                    </w:r>
                    <w:r>
                      <w:rPr>
                        <w:rFonts w:hint="eastAsia"/>
                        <w:color w:val="000000"/>
                        <w:spacing w:val="-18"/>
                      </w:rPr>
                      <w:t>吨</w:t>
                    </w:r>
                  </w:p>
                  <w:p w14:paraId="0E51E9D1" w14:textId="77777777" w:rsidR="00B201D3" w:rsidRDefault="009855E8">
                    <w:pPr>
                      <w:rPr>
                        <w:color w:val="000000"/>
                      </w:rPr>
                    </w:pPr>
                    <w:r>
                      <w:rPr>
                        <w:rFonts w:hint="eastAsia"/>
                        <w:color w:val="000000"/>
                      </w:rPr>
                      <w:t>SO</w:t>
                    </w:r>
                    <w:r>
                      <w:rPr>
                        <w:rFonts w:hint="eastAsia"/>
                        <w:color w:val="000000"/>
                        <w:vertAlign w:val="subscript"/>
                      </w:rPr>
                      <w:t>2</w:t>
                    </w:r>
                    <w:r>
                      <w:rPr>
                        <w:rFonts w:hint="eastAsia"/>
                        <w:color w:val="000000"/>
                      </w:rPr>
                      <w:t>：</w:t>
                    </w:r>
                    <w:r>
                      <w:rPr>
                        <w:color w:val="000000"/>
                      </w:rPr>
                      <w:t>89.4吨</w:t>
                    </w:r>
                  </w:p>
                  <w:p w14:paraId="7783C0F4" w14:textId="77777777" w:rsidR="00B201D3" w:rsidRDefault="009855E8">
                    <w:pPr>
                      <w:rPr>
                        <w:color w:val="000000"/>
                      </w:rPr>
                    </w:pPr>
                    <w:r>
                      <w:rPr>
                        <w:color w:val="000000"/>
                      </w:rPr>
                      <w:t>NO</w:t>
                    </w:r>
                    <w:r>
                      <w:rPr>
                        <w:color w:val="000000"/>
                        <w:vertAlign w:val="subscript"/>
                      </w:rPr>
                      <w:t>X</w:t>
                    </w:r>
                    <w:r>
                      <w:rPr>
                        <w:rFonts w:hint="eastAsia"/>
                        <w:color w:val="000000"/>
                      </w:rPr>
                      <w:t>：</w:t>
                    </w:r>
                    <w:r>
                      <w:rPr>
                        <w:color w:val="000000"/>
                      </w:rPr>
                      <w:t>114.8吨</w:t>
                    </w:r>
                  </w:p>
                </w:tc>
                <w:tc>
                  <w:tcPr>
                    <w:tcW w:w="1569" w:type="dxa"/>
                    <w:vAlign w:val="center"/>
                  </w:tcPr>
                  <w:p w14:paraId="148E3C2A" w14:textId="77777777" w:rsidR="00B201D3" w:rsidRDefault="009855E8">
                    <w:pPr>
                      <w:rPr>
                        <w:color w:val="000000"/>
                        <w:spacing w:val="-18"/>
                      </w:rPr>
                    </w:pPr>
                    <w:r>
                      <w:rPr>
                        <w:rFonts w:hint="eastAsia"/>
                        <w:color w:val="000000"/>
                        <w:spacing w:val="-18"/>
                      </w:rPr>
                      <w:t>颗粒物：</w:t>
                    </w:r>
                    <w:r>
                      <w:rPr>
                        <w:color w:val="000000"/>
                        <w:spacing w:val="-18"/>
                      </w:rPr>
                      <w:t>1.3</w:t>
                    </w:r>
                    <w:r>
                      <w:rPr>
                        <w:rFonts w:hint="eastAsia"/>
                        <w:color w:val="000000"/>
                        <w:spacing w:val="-18"/>
                      </w:rPr>
                      <w:t>吨</w:t>
                    </w:r>
                  </w:p>
                  <w:p w14:paraId="2FA6E3E9" w14:textId="77777777" w:rsidR="00B201D3" w:rsidRDefault="009855E8">
                    <w:pPr>
                      <w:rPr>
                        <w:color w:val="000000"/>
                        <w:spacing w:val="-18"/>
                      </w:rPr>
                    </w:pPr>
                    <w:r>
                      <w:rPr>
                        <w:rFonts w:hint="eastAsia"/>
                        <w:color w:val="000000"/>
                        <w:spacing w:val="-18"/>
                      </w:rPr>
                      <w:t>SO</w:t>
                    </w:r>
                    <w:r>
                      <w:rPr>
                        <w:rFonts w:hint="eastAsia"/>
                        <w:color w:val="000000"/>
                        <w:spacing w:val="-18"/>
                        <w:vertAlign w:val="subscript"/>
                      </w:rPr>
                      <w:t>2</w:t>
                    </w:r>
                    <w:r>
                      <w:rPr>
                        <w:rFonts w:hint="eastAsia"/>
                        <w:color w:val="000000"/>
                        <w:spacing w:val="-18"/>
                      </w:rPr>
                      <w:t>：</w:t>
                    </w:r>
                    <w:r>
                      <w:rPr>
                        <w:color w:val="000000"/>
                        <w:spacing w:val="-18"/>
                      </w:rPr>
                      <w:t>2.7吨</w:t>
                    </w:r>
                  </w:p>
                  <w:p w14:paraId="30823484" w14:textId="77777777" w:rsidR="00B201D3" w:rsidRDefault="009855E8">
                    <w:pPr>
                      <w:rPr>
                        <w:color w:val="000000"/>
                        <w:spacing w:val="-18"/>
                      </w:rPr>
                    </w:pPr>
                    <w:r>
                      <w:rPr>
                        <w:color w:val="000000"/>
                        <w:spacing w:val="-18"/>
                      </w:rPr>
                      <w:t>NO</w:t>
                    </w:r>
                    <w:r>
                      <w:rPr>
                        <w:color w:val="000000"/>
                        <w:spacing w:val="-18"/>
                        <w:vertAlign w:val="subscript"/>
                      </w:rPr>
                      <w:t>X</w:t>
                    </w:r>
                    <w:r>
                      <w:rPr>
                        <w:rFonts w:hint="eastAsia"/>
                        <w:color w:val="000000"/>
                        <w:spacing w:val="-18"/>
                      </w:rPr>
                      <w:t>：</w:t>
                    </w:r>
                    <w:r>
                      <w:rPr>
                        <w:color w:val="000000"/>
                        <w:spacing w:val="-18"/>
                      </w:rPr>
                      <w:t>22.8吨</w:t>
                    </w:r>
                  </w:p>
                </w:tc>
              </w:tr>
              <w:tr w:rsidR="00B201D3" w14:paraId="2BDBDF91" w14:textId="77777777">
                <w:trPr>
                  <w:trHeight w:val="564"/>
                  <w:jc w:val="center"/>
                </w:trPr>
                <w:tc>
                  <w:tcPr>
                    <w:tcW w:w="462" w:type="dxa"/>
                    <w:vAlign w:val="center"/>
                  </w:tcPr>
                  <w:p w14:paraId="4FEF5567" w14:textId="77777777" w:rsidR="00B201D3" w:rsidRDefault="009855E8">
                    <w:pPr>
                      <w:jc w:val="center"/>
                      <w:rPr>
                        <w:color w:val="000000"/>
                      </w:rPr>
                    </w:pPr>
                    <w:r>
                      <w:rPr>
                        <w:rFonts w:hint="eastAsia"/>
                        <w:color w:val="000000"/>
                      </w:rPr>
                      <w:t>1</w:t>
                    </w:r>
                    <w:r>
                      <w:rPr>
                        <w:color w:val="000000"/>
                      </w:rPr>
                      <w:t>4</w:t>
                    </w:r>
                  </w:p>
                </w:tc>
                <w:tc>
                  <w:tcPr>
                    <w:tcW w:w="1064" w:type="dxa"/>
                    <w:vAlign w:val="center"/>
                  </w:tcPr>
                  <w:p w14:paraId="2BAC222B" w14:textId="77777777" w:rsidR="00B201D3" w:rsidRDefault="009855E8">
                    <w:pPr>
                      <w:rPr>
                        <w:color w:val="000000"/>
                      </w:rPr>
                    </w:pPr>
                    <w:r>
                      <w:rPr>
                        <w:rFonts w:hint="eastAsia"/>
                        <w:color w:val="000000"/>
                      </w:rPr>
                      <w:t>石拉乌素煤矿</w:t>
                    </w:r>
                  </w:p>
                </w:tc>
                <w:tc>
                  <w:tcPr>
                    <w:tcW w:w="645" w:type="dxa"/>
                    <w:vMerge/>
                    <w:vAlign w:val="center"/>
                  </w:tcPr>
                  <w:p w14:paraId="05A7859F" w14:textId="77777777" w:rsidR="00B201D3" w:rsidRDefault="00B201D3">
                    <w:pPr>
                      <w:rPr>
                        <w:color w:val="000000"/>
                      </w:rPr>
                    </w:pPr>
                  </w:p>
                </w:tc>
                <w:tc>
                  <w:tcPr>
                    <w:tcW w:w="840" w:type="dxa"/>
                    <w:vMerge/>
                    <w:vAlign w:val="center"/>
                  </w:tcPr>
                  <w:p w14:paraId="06BDC882" w14:textId="77777777" w:rsidR="00B201D3" w:rsidRDefault="00B201D3">
                    <w:pPr>
                      <w:rPr>
                        <w:color w:val="000000"/>
                      </w:rPr>
                    </w:pPr>
                  </w:p>
                </w:tc>
                <w:tc>
                  <w:tcPr>
                    <w:tcW w:w="870" w:type="dxa"/>
                    <w:vMerge/>
                    <w:vAlign w:val="center"/>
                  </w:tcPr>
                  <w:p w14:paraId="39C1C8FE" w14:textId="77777777" w:rsidR="00B201D3" w:rsidRDefault="00B201D3">
                    <w:pPr>
                      <w:jc w:val="center"/>
                      <w:rPr>
                        <w:color w:val="000000"/>
                      </w:rPr>
                    </w:pPr>
                  </w:p>
                </w:tc>
                <w:tc>
                  <w:tcPr>
                    <w:tcW w:w="753" w:type="dxa"/>
                    <w:vMerge/>
                    <w:vAlign w:val="center"/>
                  </w:tcPr>
                  <w:p w14:paraId="5A4880BA" w14:textId="77777777" w:rsidR="00B201D3" w:rsidRDefault="00B201D3">
                    <w:pPr>
                      <w:rPr>
                        <w:color w:val="000000"/>
                      </w:rPr>
                    </w:pPr>
                  </w:p>
                </w:tc>
                <w:tc>
                  <w:tcPr>
                    <w:tcW w:w="3070" w:type="dxa"/>
                    <w:vMerge/>
                  </w:tcPr>
                  <w:p w14:paraId="2A7F5236" w14:textId="77777777" w:rsidR="00B201D3" w:rsidRDefault="00B201D3">
                    <w:pPr>
                      <w:rPr>
                        <w:color w:val="000000"/>
                      </w:rPr>
                    </w:pPr>
                  </w:p>
                </w:tc>
                <w:tc>
                  <w:tcPr>
                    <w:tcW w:w="1650" w:type="dxa"/>
                    <w:vAlign w:val="center"/>
                  </w:tcPr>
                  <w:p w14:paraId="7181B802" w14:textId="77777777" w:rsidR="00B201D3" w:rsidRDefault="009855E8">
                    <w:pPr>
                      <w:rPr>
                        <w:color w:val="000000"/>
                        <w:spacing w:val="-18"/>
                      </w:rPr>
                    </w:pPr>
                    <w:r>
                      <w:rPr>
                        <w:rFonts w:hint="eastAsia"/>
                        <w:color w:val="000000"/>
                        <w:spacing w:val="-18"/>
                      </w:rPr>
                      <w:t>颗粒物：</w:t>
                    </w:r>
                    <w:r>
                      <w:rPr>
                        <w:color w:val="000000"/>
                        <w:spacing w:val="-18"/>
                      </w:rPr>
                      <w:t>25.9</w:t>
                    </w:r>
                    <w:r>
                      <w:rPr>
                        <w:rFonts w:hint="eastAsia"/>
                        <w:color w:val="000000"/>
                        <w:spacing w:val="-18"/>
                      </w:rPr>
                      <w:t>吨</w:t>
                    </w:r>
                  </w:p>
                  <w:p w14:paraId="187D0F21" w14:textId="77777777" w:rsidR="00B201D3" w:rsidRDefault="009855E8">
                    <w:pPr>
                      <w:rPr>
                        <w:color w:val="000000"/>
                        <w:spacing w:val="-18"/>
                      </w:rPr>
                    </w:pPr>
                    <w:r>
                      <w:rPr>
                        <w:rFonts w:hint="eastAsia"/>
                        <w:color w:val="000000"/>
                        <w:spacing w:val="-18"/>
                      </w:rPr>
                      <w:t>SO</w:t>
                    </w:r>
                    <w:r>
                      <w:rPr>
                        <w:rFonts w:hint="eastAsia"/>
                        <w:color w:val="000000"/>
                        <w:spacing w:val="-18"/>
                        <w:vertAlign w:val="subscript"/>
                      </w:rPr>
                      <w:t>2</w:t>
                    </w:r>
                    <w:r>
                      <w:rPr>
                        <w:rFonts w:hint="eastAsia"/>
                        <w:color w:val="000000"/>
                        <w:spacing w:val="-18"/>
                      </w:rPr>
                      <w:t>：</w:t>
                    </w:r>
                    <w:r>
                      <w:rPr>
                        <w:color w:val="000000"/>
                        <w:spacing w:val="-18"/>
                      </w:rPr>
                      <w:t>107.2吨</w:t>
                    </w:r>
                  </w:p>
                  <w:p w14:paraId="10BA15C5" w14:textId="77777777" w:rsidR="00B201D3" w:rsidRDefault="009855E8">
                    <w:pPr>
                      <w:rPr>
                        <w:color w:val="000000"/>
                        <w:spacing w:val="-12"/>
                      </w:rPr>
                    </w:pPr>
                    <w:r>
                      <w:rPr>
                        <w:color w:val="000000"/>
                        <w:spacing w:val="-18"/>
                      </w:rPr>
                      <w:t>NO</w:t>
                    </w:r>
                    <w:r>
                      <w:rPr>
                        <w:color w:val="000000"/>
                        <w:spacing w:val="-18"/>
                        <w:vertAlign w:val="subscript"/>
                      </w:rPr>
                      <w:t>X</w:t>
                    </w:r>
                    <w:r>
                      <w:rPr>
                        <w:rFonts w:hint="eastAsia"/>
                        <w:color w:val="000000"/>
                        <w:spacing w:val="-18"/>
                      </w:rPr>
                      <w:t>：</w:t>
                    </w:r>
                    <w:r>
                      <w:rPr>
                        <w:color w:val="000000"/>
                        <w:spacing w:val="-18"/>
                      </w:rPr>
                      <w:t>92.1吨</w:t>
                    </w:r>
                  </w:p>
                </w:tc>
                <w:tc>
                  <w:tcPr>
                    <w:tcW w:w="1569" w:type="dxa"/>
                    <w:vAlign w:val="center"/>
                  </w:tcPr>
                  <w:p w14:paraId="4DE1E38F" w14:textId="77777777" w:rsidR="00B201D3" w:rsidRDefault="009855E8">
                    <w:pPr>
                      <w:rPr>
                        <w:color w:val="000000"/>
                        <w:spacing w:val="-18"/>
                      </w:rPr>
                    </w:pPr>
                    <w:r>
                      <w:rPr>
                        <w:rFonts w:hint="eastAsia"/>
                        <w:color w:val="000000"/>
                        <w:spacing w:val="-18"/>
                      </w:rPr>
                      <w:t>颗粒物：</w:t>
                    </w:r>
                    <w:r>
                      <w:rPr>
                        <w:color w:val="000000"/>
                        <w:spacing w:val="-18"/>
                      </w:rPr>
                      <w:t>1.2</w:t>
                    </w:r>
                    <w:r>
                      <w:rPr>
                        <w:rFonts w:hint="eastAsia"/>
                        <w:color w:val="000000"/>
                        <w:spacing w:val="-18"/>
                      </w:rPr>
                      <w:t>吨</w:t>
                    </w:r>
                  </w:p>
                  <w:p w14:paraId="6DE3B93E" w14:textId="77777777" w:rsidR="00B201D3" w:rsidRDefault="009855E8">
                    <w:pPr>
                      <w:rPr>
                        <w:color w:val="000000"/>
                        <w:spacing w:val="-18"/>
                      </w:rPr>
                    </w:pPr>
                    <w:r>
                      <w:rPr>
                        <w:rFonts w:hint="eastAsia"/>
                        <w:color w:val="000000"/>
                        <w:spacing w:val="-18"/>
                      </w:rPr>
                      <w:t>SO</w:t>
                    </w:r>
                    <w:r>
                      <w:rPr>
                        <w:rFonts w:hint="eastAsia"/>
                        <w:color w:val="000000"/>
                        <w:spacing w:val="-18"/>
                        <w:vertAlign w:val="subscript"/>
                      </w:rPr>
                      <w:t>2</w:t>
                    </w:r>
                    <w:r>
                      <w:rPr>
                        <w:rFonts w:hint="eastAsia"/>
                        <w:color w:val="000000"/>
                        <w:spacing w:val="-18"/>
                      </w:rPr>
                      <w:t>：2</w:t>
                    </w:r>
                    <w:r>
                      <w:rPr>
                        <w:color w:val="000000"/>
                        <w:spacing w:val="-18"/>
                      </w:rPr>
                      <w:t>0吨</w:t>
                    </w:r>
                  </w:p>
                  <w:p w14:paraId="544666A0" w14:textId="77777777" w:rsidR="00B201D3" w:rsidRDefault="009855E8">
                    <w:pPr>
                      <w:rPr>
                        <w:color w:val="000000"/>
                        <w:spacing w:val="-12"/>
                      </w:rPr>
                    </w:pPr>
                    <w:r>
                      <w:rPr>
                        <w:color w:val="000000"/>
                        <w:spacing w:val="-18"/>
                      </w:rPr>
                      <w:t>NO</w:t>
                    </w:r>
                    <w:r>
                      <w:rPr>
                        <w:color w:val="000000"/>
                        <w:spacing w:val="-18"/>
                        <w:vertAlign w:val="subscript"/>
                      </w:rPr>
                      <w:t>X</w:t>
                    </w:r>
                    <w:r>
                      <w:rPr>
                        <w:rFonts w:hint="eastAsia"/>
                        <w:color w:val="000000"/>
                        <w:spacing w:val="-18"/>
                      </w:rPr>
                      <w:t>：</w:t>
                    </w:r>
                    <w:r>
                      <w:rPr>
                        <w:color w:val="000000"/>
                        <w:spacing w:val="-18"/>
                      </w:rPr>
                      <w:t>22.8吨</w:t>
                    </w:r>
                  </w:p>
                </w:tc>
              </w:tr>
              <w:tr w:rsidR="00B201D3" w14:paraId="78F76B2A" w14:textId="77777777">
                <w:trPr>
                  <w:trHeight w:val="564"/>
                  <w:jc w:val="center"/>
                </w:trPr>
                <w:tc>
                  <w:tcPr>
                    <w:tcW w:w="462" w:type="dxa"/>
                    <w:vAlign w:val="center"/>
                  </w:tcPr>
                  <w:p w14:paraId="2D1C968B" w14:textId="77777777" w:rsidR="00B201D3" w:rsidRDefault="009855E8">
                    <w:pPr>
                      <w:jc w:val="center"/>
                      <w:rPr>
                        <w:color w:val="000000"/>
                      </w:rPr>
                    </w:pPr>
                    <w:r>
                      <w:rPr>
                        <w:rFonts w:hint="eastAsia"/>
                        <w:color w:val="000000"/>
                      </w:rPr>
                      <w:t>1</w:t>
                    </w:r>
                    <w:r>
                      <w:rPr>
                        <w:color w:val="000000"/>
                      </w:rPr>
                      <w:t>5</w:t>
                    </w:r>
                  </w:p>
                </w:tc>
                <w:tc>
                  <w:tcPr>
                    <w:tcW w:w="1064" w:type="dxa"/>
                    <w:vAlign w:val="center"/>
                  </w:tcPr>
                  <w:p w14:paraId="3CC8164F" w14:textId="77777777" w:rsidR="00B201D3" w:rsidRDefault="009855E8">
                    <w:pPr>
                      <w:rPr>
                        <w:color w:val="000000"/>
                      </w:rPr>
                    </w:pPr>
                    <w:r>
                      <w:rPr>
                        <w:rFonts w:hint="eastAsia"/>
                        <w:color w:val="000000"/>
                      </w:rPr>
                      <w:t>营盘壕煤矿</w:t>
                    </w:r>
                  </w:p>
                </w:tc>
                <w:tc>
                  <w:tcPr>
                    <w:tcW w:w="645" w:type="dxa"/>
                    <w:vMerge/>
                    <w:vAlign w:val="center"/>
                  </w:tcPr>
                  <w:p w14:paraId="630C96EF" w14:textId="77777777" w:rsidR="00B201D3" w:rsidRDefault="00B201D3">
                    <w:pPr>
                      <w:rPr>
                        <w:color w:val="000000"/>
                      </w:rPr>
                    </w:pPr>
                  </w:p>
                </w:tc>
                <w:tc>
                  <w:tcPr>
                    <w:tcW w:w="840" w:type="dxa"/>
                    <w:vMerge/>
                    <w:vAlign w:val="center"/>
                  </w:tcPr>
                  <w:p w14:paraId="75073E8A" w14:textId="77777777" w:rsidR="00B201D3" w:rsidRDefault="00B201D3">
                    <w:pPr>
                      <w:rPr>
                        <w:color w:val="000000"/>
                      </w:rPr>
                    </w:pPr>
                  </w:p>
                </w:tc>
                <w:tc>
                  <w:tcPr>
                    <w:tcW w:w="870" w:type="dxa"/>
                    <w:vMerge/>
                    <w:vAlign w:val="center"/>
                  </w:tcPr>
                  <w:p w14:paraId="31F72DAB" w14:textId="77777777" w:rsidR="00B201D3" w:rsidRDefault="00B201D3">
                    <w:pPr>
                      <w:jc w:val="center"/>
                      <w:rPr>
                        <w:color w:val="000000"/>
                      </w:rPr>
                    </w:pPr>
                  </w:p>
                </w:tc>
                <w:tc>
                  <w:tcPr>
                    <w:tcW w:w="753" w:type="dxa"/>
                    <w:vMerge/>
                    <w:vAlign w:val="center"/>
                  </w:tcPr>
                  <w:p w14:paraId="729FC492" w14:textId="77777777" w:rsidR="00B201D3" w:rsidRDefault="00B201D3">
                    <w:pPr>
                      <w:rPr>
                        <w:color w:val="000000"/>
                      </w:rPr>
                    </w:pPr>
                  </w:p>
                </w:tc>
                <w:tc>
                  <w:tcPr>
                    <w:tcW w:w="3070" w:type="dxa"/>
                    <w:vMerge/>
                    <w:vAlign w:val="center"/>
                  </w:tcPr>
                  <w:p w14:paraId="764511DE" w14:textId="77777777" w:rsidR="00B201D3" w:rsidRDefault="00B201D3">
                    <w:pPr>
                      <w:rPr>
                        <w:color w:val="000000"/>
                      </w:rPr>
                    </w:pPr>
                  </w:p>
                </w:tc>
                <w:tc>
                  <w:tcPr>
                    <w:tcW w:w="1650" w:type="dxa"/>
                    <w:vAlign w:val="center"/>
                  </w:tcPr>
                  <w:p w14:paraId="52CB632A" w14:textId="77777777" w:rsidR="00B201D3" w:rsidRDefault="009855E8">
                    <w:pPr>
                      <w:rPr>
                        <w:color w:val="000000"/>
                        <w:spacing w:val="-18"/>
                      </w:rPr>
                    </w:pPr>
                    <w:r>
                      <w:rPr>
                        <w:rFonts w:hint="eastAsia"/>
                        <w:color w:val="000000"/>
                        <w:spacing w:val="-18"/>
                      </w:rPr>
                      <w:t>颗粒物：</w:t>
                    </w:r>
                    <w:r>
                      <w:rPr>
                        <w:color w:val="000000"/>
                        <w:spacing w:val="-18"/>
                      </w:rPr>
                      <w:t>21.99</w:t>
                    </w:r>
                    <w:r>
                      <w:rPr>
                        <w:rFonts w:hint="eastAsia"/>
                        <w:color w:val="000000"/>
                        <w:spacing w:val="-18"/>
                      </w:rPr>
                      <w:t>吨</w:t>
                    </w:r>
                  </w:p>
                  <w:p w14:paraId="5FA8234A" w14:textId="77777777" w:rsidR="00B201D3" w:rsidRDefault="009855E8">
                    <w:pPr>
                      <w:rPr>
                        <w:color w:val="000000"/>
                        <w:spacing w:val="-18"/>
                      </w:rPr>
                    </w:pPr>
                    <w:r>
                      <w:rPr>
                        <w:rFonts w:hint="eastAsia"/>
                        <w:color w:val="000000"/>
                        <w:spacing w:val="-18"/>
                      </w:rPr>
                      <w:t>SO</w:t>
                    </w:r>
                    <w:r>
                      <w:rPr>
                        <w:rFonts w:hint="eastAsia"/>
                        <w:color w:val="000000"/>
                        <w:spacing w:val="-18"/>
                        <w:vertAlign w:val="subscript"/>
                      </w:rPr>
                      <w:t>2</w:t>
                    </w:r>
                    <w:r>
                      <w:rPr>
                        <w:rFonts w:hint="eastAsia"/>
                        <w:color w:val="000000"/>
                        <w:spacing w:val="-18"/>
                      </w:rPr>
                      <w:t>：</w:t>
                    </w:r>
                    <w:r>
                      <w:rPr>
                        <w:color w:val="000000"/>
                        <w:spacing w:val="-18"/>
                      </w:rPr>
                      <w:t>96.2吨</w:t>
                    </w:r>
                  </w:p>
                  <w:p w14:paraId="505EB057" w14:textId="77777777" w:rsidR="00B201D3" w:rsidRDefault="009855E8">
                    <w:pPr>
                      <w:rPr>
                        <w:color w:val="000000"/>
                        <w:spacing w:val="-12"/>
                      </w:rPr>
                    </w:pPr>
                    <w:r>
                      <w:rPr>
                        <w:color w:val="000000"/>
                        <w:spacing w:val="-18"/>
                      </w:rPr>
                      <w:t>NO</w:t>
                    </w:r>
                    <w:r>
                      <w:rPr>
                        <w:color w:val="000000"/>
                        <w:spacing w:val="-18"/>
                        <w:vertAlign w:val="subscript"/>
                      </w:rPr>
                      <w:t>X</w:t>
                    </w:r>
                    <w:r>
                      <w:rPr>
                        <w:rFonts w:hint="eastAsia"/>
                        <w:color w:val="000000"/>
                        <w:spacing w:val="-18"/>
                      </w:rPr>
                      <w:t>：</w:t>
                    </w:r>
                    <w:r>
                      <w:rPr>
                        <w:color w:val="000000"/>
                        <w:spacing w:val="-18"/>
                      </w:rPr>
                      <w:t>131.3吨</w:t>
                    </w:r>
                  </w:p>
                </w:tc>
                <w:tc>
                  <w:tcPr>
                    <w:tcW w:w="1569" w:type="dxa"/>
                    <w:vAlign w:val="center"/>
                  </w:tcPr>
                  <w:p w14:paraId="5B9FC701" w14:textId="77777777" w:rsidR="00B201D3" w:rsidRDefault="009855E8">
                    <w:pPr>
                      <w:rPr>
                        <w:color w:val="000000"/>
                        <w:spacing w:val="-18"/>
                      </w:rPr>
                    </w:pPr>
                    <w:r>
                      <w:rPr>
                        <w:rFonts w:hint="eastAsia"/>
                        <w:color w:val="000000"/>
                        <w:spacing w:val="-18"/>
                      </w:rPr>
                      <w:t>颗粒物：</w:t>
                    </w:r>
                    <w:r>
                      <w:rPr>
                        <w:color w:val="000000"/>
                        <w:spacing w:val="-18"/>
                      </w:rPr>
                      <w:t>0.2</w:t>
                    </w:r>
                    <w:r>
                      <w:rPr>
                        <w:rFonts w:hint="eastAsia"/>
                        <w:color w:val="000000"/>
                        <w:spacing w:val="-18"/>
                      </w:rPr>
                      <w:t>吨</w:t>
                    </w:r>
                  </w:p>
                  <w:p w14:paraId="1BA2638E" w14:textId="77777777" w:rsidR="00B201D3" w:rsidRDefault="009855E8">
                    <w:pPr>
                      <w:rPr>
                        <w:color w:val="000000"/>
                        <w:spacing w:val="-18"/>
                      </w:rPr>
                    </w:pPr>
                    <w:r>
                      <w:rPr>
                        <w:rFonts w:hint="eastAsia"/>
                        <w:color w:val="000000"/>
                        <w:spacing w:val="-18"/>
                      </w:rPr>
                      <w:t>SO</w:t>
                    </w:r>
                    <w:r>
                      <w:rPr>
                        <w:rFonts w:hint="eastAsia"/>
                        <w:color w:val="000000"/>
                        <w:spacing w:val="-18"/>
                        <w:vertAlign w:val="subscript"/>
                      </w:rPr>
                      <w:t>2</w:t>
                    </w:r>
                    <w:r>
                      <w:rPr>
                        <w:rFonts w:hint="eastAsia"/>
                        <w:color w:val="000000"/>
                        <w:spacing w:val="-18"/>
                      </w:rPr>
                      <w:t>：</w:t>
                    </w:r>
                    <w:r>
                      <w:rPr>
                        <w:color w:val="000000"/>
                        <w:spacing w:val="-18"/>
                      </w:rPr>
                      <w:t>48.2吨</w:t>
                    </w:r>
                  </w:p>
                  <w:p w14:paraId="3FD21188" w14:textId="77777777" w:rsidR="00B201D3" w:rsidRDefault="009855E8">
                    <w:pPr>
                      <w:rPr>
                        <w:color w:val="000000"/>
                        <w:spacing w:val="-12"/>
                      </w:rPr>
                    </w:pPr>
                    <w:r>
                      <w:rPr>
                        <w:color w:val="000000"/>
                        <w:spacing w:val="-18"/>
                      </w:rPr>
                      <w:t>NO</w:t>
                    </w:r>
                    <w:r>
                      <w:rPr>
                        <w:color w:val="000000"/>
                        <w:spacing w:val="-18"/>
                        <w:vertAlign w:val="subscript"/>
                      </w:rPr>
                      <w:t>X</w:t>
                    </w:r>
                    <w:r>
                      <w:rPr>
                        <w:rFonts w:hint="eastAsia"/>
                        <w:color w:val="000000"/>
                        <w:spacing w:val="-18"/>
                      </w:rPr>
                      <w:t>：</w:t>
                    </w:r>
                    <w:r>
                      <w:rPr>
                        <w:color w:val="000000"/>
                        <w:spacing w:val="-18"/>
                      </w:rPr>
                      <w:t>26.2吨</w:t>
                    </w:r>
                  </w:p>
                </w:tc>
              </w:tr>
              <w:tr w:rsidR="00B201D3" w14:paraId="5B3DC3EA" w14:textId="77777777">
                <w:trPr>
                  <w:trHeight w:val="564"/>
                  <w:jc w:val="center"/>
                </w:trPr>
                <w:tc>
                  <w:tcPr>
                    <w:tcW w:w="462" w:type="dxa"/>
                    <w:vAlign w:val="center"/>
                  </w:tcPr>
                  <w:p w14:paraId="46D72584" w14:textId="77777777" w:rsidR="00B201D3" w:rsidRDefault="009855E8">
                    <w:pPr>
                      <w:jc w:val="center"/>
                      <w:rPr>
                        <w:color w:val="000000"/>
                      </w:rPr>
                    </w:pPr>
                    <w:r>
                      <w:rPr>
                        <w:rFonts w:hint="eastAsia"/>
                        <w:color w:val="000000"/>
                      </w:rPr>
                      <w:t>1</w:t>
                    </w:r>
                    <w:r>
                      <w:rPr>
                        <w:color w:val="000000"/>
                      </w:rPr>
                      <w:t>6</w:t>
                    </w:r>
                  </w:p>
                </w:tc>
                <w:tc>
                  <w:tcPr>
                    <w:tcW w:w="1064" w:type="dxa"/>
                    <w:vAlign w:val="center"/>
                  </w:tcPr>
                  <w:p w14:paraId="46C70B26" w14:textId="77777777" w:rsidR="00B201D3" w:rsidRDefault="009855E8">
                    <w:pPr>
                      <w:rPr>
                        <w:color w:val="000000"/>
                      </w:rPr>
                    </w:pPr>
                    <w:r>
                      <w:rPr>
                        <w:rFonts w:hint="eastAsia"/>
                        <w:color w:val="000000"/>
                      </w:rPr>
                      <w:t>赵楼电厂</w:t>
                    </w:r>
                  </w:p>
                </w:tc>
                <w:tc>
                  <w:tcPr>
                    <w:tcW w:w="645" w:type="dxa"/>
                    <w:vMerge w:val="restart"/>
                    <w:vAlign w:val="center"/>
                  </w:tcPr>
                  <w:p w14:paraId="5D03949C" w14:textId="77777777" w:rsidR="00B201D3" w:rsidRDefault="009855E8">
                    <w:pPr>
                      <w:rPr>
                        <w:color w:val="000000"/>
                      </w:rPr>
                    </w:pPr>
                    <w:r>
                      <w:rPr>
                        <w:color w:val="000000"/>
                      </w:rPr>
                      <w:t>国家重点排污单位</w:t>
                    </w:r>
                  </w:p>
                </w:tc>
                <w:tc>
                  <w:tcPr>
                    <w:tcW w:w="840" w:type="dxa"/>
                    <w:vMerge/>
                    <w:vAlign w:val="center"/>
                  </w:tcPr>
                  <w:p w14:paraId="6D68FC69" w14:textId="77777777" w:rsidR="00B201D3" w:rsidRDefault="00B201D3">
                    <w:pPr>
                      <w:rPr>
                        <w:color w:val="000000"/>
                      </w:rPr>
                    </w:pPr>
                  </w:p>
                </w:tc>
                <w:tc>
                  <w:tcPr>
                    <w:tcW w:w="870" w:type="dxa"/>
                    <w:vMerge/>
                    <w:vAlign w:val="center"/>
                  </w:tcPr>
                  <w:p w14:paraId="6FA83CE1" w14:textId="77777777" w:rsidR="00B201D3" w:rsidRDefault="00B201D3">
                    <w:pPr>
                      <w:jc w:val="center"/>
                      <w:rPr>
                        <w:color w:val="000000"/>
                      </w:rPr>
                    </w:pPr>
                  </w:p>
                </w:tc>
                <w:tc>
                  <w:tcPr>
                    <w:tcW w:w="753" w:type="dxa"/>
                    <w:vMerge w:val="restart"/>
                    <w:vAlign w:val="center"/>
                  </w:tcPr>
                  <w:p w14:paraId="243483F1" w14:textId="77777777" w:rsidR="00B201D3" w:rsidRDefault="009855E8">
                    <w:pPr>
                      <w:rPr>
                        <w:color w:val="000000"/>
                      </w:rPr>
                    </w:pPr>
                    <w:r>
                      <w:rPr>
                        <w:rFonts w:hint="eastAsia"/>
                        <w:color w:val="000000"/>
                      </w:rPr>
                      <w:t>烟气经净化处理后排放</w:t>
                    </w:r>
                  </w:p>
                </w:tc>
                <w:tc>
                  <w:tcPr>
                    <w:tcW w:w="3070" w:type="dxa"/>
                    <w:vMerge w:val="restart"/>
                    <w:vAlign w:val="center"/>
                  </w:tcPr>
                  <w:p w14:paraId="0DB6864D" w14:textId="77777777" w:rsidR="00B201D3" w:rsidRDefault="009855E8">
                    <w:pPr>
                      <w:rPr>
                        <w:color w:val="000000"/>
                      </w:rPr>
                    </w:pPr>
                    <w:r>
                      <w:rPr>
                        <w:rFonts w:hint="eastAsia"/>
                        <w:color w:val="000000"/>
                      </w:rPr>
                      <w:t>山东省《火电厂大气污染物排放标准》（D</w:t>
                    </w:r>
                    <w:r>
                      <w:rPr>
                        <w:color w:val="000000"/>
                      </w:rPr>
                      <w:t>B37/664-2019</w:t>
                    </w:r>
                    <w:r>
                      <w:rPr>
                        <w:rFonts w:hint="eastAsia"/>
                        <w:color w:val="000000"/>
                      </w:rPr>
                      <w:t>）</w:t>
                    </w:r>
                  </w:p>
                </w:tc>
                <w:tc>
                  <w:tcPr>
                    <w:tcW w:w="1650" w:type="dxa"/>
                    <w:vAlign w:val="center"/>
                  </w:tcPr>
                  <w:p w14:paraId="2E4AF1F8" w14:textId="77777777" w:rsidR="00B201D3" w:rsidRDefault="009855E8">
                    <w:pPr>
                      <w:rPr>
                        <w:color w:val="000000"/>
                        <w:spacing w:val="-20"/>
                      </w:rPr>
                    </w:pPr>
                    <w:r>
                      <w:rPr>
                        <w:rFonts w:hint="eastAsia"/>
                        <w:color w:val="000000"/>
                        <w:spacing w:val="-20"/>
                      </w:rPr>
                      <w:t>颗粒物：</w:t>
                    </w:r>
                    <w:r>
                      <w:rPr>
                        <w:color w:val="000000"/>
                        <w:spacing w:val="-20"/>
                      </w:rPr>
                      <w:t>34.6吨</w:t>
                    </w:r>
                  </w:p>
                  <w:p w14:paraId="0C318134" w14:textId="77777777" w:rsidR="00B201D3" w:rsidRDefault="009855E8">
                    <w:pPr>
                      <w:rPr>
                        <w:color w:val="000000"/>
                      </w:rPr>
                    </w:pPr>
                    <w:r>
                      <w:rPr>
                        <w:rFonts w:hint="eastAsia"/>
                        <w:color w:val="000000"/>
                      </w:rPr>
                      <w:t>SO</w:t>
                    </w:r>
                    <w:r>
                      <w:rPr>
                        <w:rFonts w:hint="eastAsia"/>
                        <w:color w:val="000000"/>
                        <w:vertAlign w:val="subscript"/>
                      </w:rPr>
                      <w:t>2</w:t>
                    </w:r>
                    <w:r>
                      <w:rPr>
                        <w:rFonts w:hint="eastAsia"/>
                        <w:color w:val="000000"/>
                      </w:rPr>
                      <w:t>：</w:t>
                    </w:r>
                    <w:r>
                      <w:rPr>
                        <w:color w:val="000000"/>
                      </w:rPr>
                      <w:t>242.4吨</w:t>
                    </w:r>
                  </w:p>
                  <w:p w14:paraId="62364DA7" w14:textId="77777777" w:rsidR="00B201D3" w:rsidRDefault="009855E8">
                    <w:pPr>
                      <w:rPr>
                        <w:color w:val="000000"/>
                        <w:spacing w:val="-12"/>
                      </w:rPr>
                    </w:pPr>
                    <w:r>
                      <w:rPr>
                        <w:color w:val="000000"/>
                      </w:rPr>
                      <w:t>NO</w:t>
                    </w:r>
                    <w:r>
                      <w:rPr>
                        <w:color w:val="000000"/>
                        <w:vertAlign w:val="subscript"/>
                      </w:rPr>
                      <w:t>X</w:t>
                    </w:r>
                    <w:r>
                      <w:rPr>
                        <w:rFonts w:hint="eastAsia"/>
                        <w:color w:val="000000"/>
                      </w:rPr>
                      <w:t>：</w:t>
                    </w:r>
                    <w:r>
                      <w:rPr>
                        <w:color w:val="000000"/>
                      </w:rPr>
                      <w:t>346.3吨</w:t>
                    </w:r>
                  </w:p>
                </w:tc>
                <w:tc>
                  <w:tcPr>
                    <w:tcW w:w="1569" w:type="dxa"/>
                    <w:vAlign w:val="center"/>
                  </w:tcPr>
                  <w:p w14:paraId="584DEE7C" w14:textId="77777777" w:rsidR="00B201D3" w:rsidRDefault="009855E8">
                    <w:pPr>
                      <w:rPr>
                        <w:color w:val="000000"/>
                        <w:spacing w:val="-12"/>
                      </w:rPr>
                    </w:pPr>
                    <w:r>
                      <w:rPr>
                        <w:rFonts w:hint="eastAsia"/>
                        <w:color w:val="000000"/>
                        <w:spacing w:val="-12"/>
                      </w:rPr>
                      <w:t>颗粒物：</w:t>
                    </w:r>
                    <w:r>
                      <w:rPr>
                        <w:color w:val="000000"/>
                        <w:spacing w:val="-12"/>
                      </w:rPr>
                      <w:t>6.0吨</w:t>
                    </w:r>
                  </w:p>
                  <w:p w14:paraId="40C2FDB0" w14:textId="77777777" w:rsidR="00B201D3" w:rsidRDefault="009855E8">
                    <w:pPr>
                      <w:rPr>
                        <w:color w:val="000000"/>
                      </w:rPr>
                    </w:pPr>
                    <w:r>
                      <w:rPr>
                        <w:rFonts w:hint="eastAsia"/>
                        <w:color w:val="000000"/>
                      </w:rPr>
                      <w:t>SO</w:t>
                    </w:r>
                    <w:r>
                      <w:rPr>
                        <w:rFonts w:hint="eastAsia"/>
                        <w:color w:val="000000"/>
                        <w:vertAlign w:val="subscript"/>
                      </w:rPr>
                      <w:t>2</w:t>
                    </w:r>
                    <w:r>
                      <w:rPr>
                        <w:rFonts w:hint="eastAsia"/>
                        <w:color w:val="000000"/>
                      </w:rPr>
                      <w:t>：</w:t>
                    </w:r>
                    <w:r>
                      <w:rPr>
                        <w:color w:val="000000"/>
                      </w:rPr>
                      <w:t>21.8吨</w:t>
                    </w:r>
                  </w:p>
                  <w:p w14:paraId="138B1F55" w14:textId="77777777" w:rsidR="00B201D3" w:rsidRDefault="009855E8">
                    <w:pPr>
                      <w:rPr>
                        <w:color w:val="000000"/>
                        <w:spacing w:val="-12"/>
                      </w:rPr>
                    </w:pPr>
                    <w:r>
                      <w:rPr>
                        <w:color w:val="000000"/>
                      </w:rPr>
                      <w:t>NO</w:t>
                    </w:r>
                    <w:r>
                      <w:rPr>
                        <w:color w:val="000000"/>
                        <w:vertAlign w:val="subscript"/>
                      </w:rPr>
                      <w:t>X</w:t>
                    </w:r>
                    <w:r>
                      <w:rPr>
                        <w:rFonts w:hint="eastAsia"/>
                        <w:color w:val="000000"/>
                      </w:rPr>
                      <w:t>：</w:t>
                    </w:r>
                    <w:r>
                      <w:rPr>
                        <w:color w:val="000000"/>
                      </w:rPr>
                      <w:t>86.6吨</w:t>
                    </w:r>
                  </w:p>
                </w:tc>
              </w:tr>
              <w:tr w:rsidR="00B201D3" w14:paraId="0F44F77F" w14:textId="77777777">
                <w:trPr>
                  <w:trHeight w:val="564"/>
                  <w:jc w:val="center"/>
                </w:trPr>
                <w:tc>
                  <w:tcPr>
                    <w:tcW w:w="462" w:type="dxa"/>
                    <w:vAlign w:val="center"/>
                  </w:tcPr>
                  <w:p w14:paraId="6B91BF26" w14:textId="77777777" w:rsidR="00B201D3" w:rsidRDefault="009855E8">
                    <w:pPr>
                      <w:jc w:val="center"/>
                      <w:rPr>
                        <w:color w:val="000000"/>
                      </w:rPr>
                    </w:pPr>
                    <w:r>
                      <w:rPr>
                        <w:rFonts w:hint="eastAsia"/>
                        <w:color w:val="000000"/>
                      </w:rPr>
                      <w:t>1</w:t>
                    </w:r>
                    <w:r>
                      <w:rPr>
                        <w:color w:val="000000"/>
                      </w:rPr>
                      <w:t>7</w:t>
                    </w:r>
                  </w:p>
                </w:tc>
                <w:tc>
                  <w:tcPr>
                    <w:tcW w:w="1064" w:type="dxa"/>
                    <w:vAlign w:val="center"/>
                  </w:tcPr>
                  <w:p w14:paraId="515EF829" w14:textId="77777777" w:rsidR="00B201D3" w:rsidRDefault="009855E8">
                    <w:pPr>
                      <w:rPr>
                        <w:color w:val="000000"/>
                      </w:rPr>
                    </w:pPr>
                    <w:r>
                      <w:rPr>
                        <w:rFonts w:hint="eastAsia"/>
                        <w:color w:val="000000"/>
                      </w:rPr>
                      <w:t>济三电力</w:t>
                    </w:r>
                  </w:p>
                </w:tc>
                <w:tc>
                  <w:tcPr>
                    <w:tcW w:w="645" w:type="dxa"/>
                    <w:vMerge/>
                    <w:vAlign w:val="center"/>
                  </w:tcPr>
                  <w:p w14:paraId="43631157" w14:textId="77777777" w:rsidR="00B201D3" w:rsidRDefault="00B201D3">
                    <w:pPr>
                      <w:rPr>
                        <w:color w:val="000000"/>
                      </w:rPr>
                    </w:pPr>
                  </w:p>
                </w:tc>
                <w:tc>
                  <w:tcPr>
                    <w:tcW w:w="840" w:type="dxa"/>
                    <w:vMerge/>
                    <w:vAlign w:val="center"/>
                  </w:tcPr>
                  <w:p w14:paraId="4A9D0548" w14:textId="77777777" w:rsidR="00B201D3" w:rsidRDefault="00B201D3">
                    <w:pPr>
                      <w:rPr>
                        <w:color w:val="000000"/>
                      </w:rPr>
                    </w:pPr>
                  </w:p>
                </w:tc>
                <w:tc>
                  <w:tcPr>
                    <w:tcW w:w="870" w:type="dxa"/>
                    <w:vMerge/>
                    <w:vAlign w:val="center"/>
                  </w:tcPr>
                  <w:p w14:paraId="04E06A5C" w14:textId="77777777" w:rsidR="00B201D3" w:rsidRDefault="00B201D3">
                    <w:pPr>
                      <w:jc w:val="center"/>
                      <w:rPr>
                        <w:color w:val="000000"/>
                      </w:rPr>
                    </w:pPr>
                  </w:p>
                </w:tc>
                <w:tc>
                  <w:tcPr>
                    <w:tcW w:w="753" w:type="dxa"/>
                    <w:vMerge/>
                    <w:vAlign w:val="center"/>
                  </w:tcPr>
                  <w:p w14:paraId="305CFEAD" w14:textId="77777777" w:rsidR="00B201D3" w:rsidRDefault="00B201D3">
                    <w:pPr>
                      <w:rPr>
                        <w:color w:val="000000"/>
                      </w:rPr>
                    </w:pPr>
                  </w:p>
                </w:tc>
                <w:tc>
                  <w:tcPr>
                    <w:tcW w:w="3070" w:type="dxa"/>
                    <w:vMerge/>
                  </w:tcPr>
                  <w:p w14:paraId="7AA2EF9C" w14:textId="77777777" w:rsidR="00B201D3" w:rsidRDefault="00B201D3">
                    <w:pPr>
                      <w:rPr>
                        <w:color w:val="000000"/>
                      </w:rPr>
                    </w:pPr>
                  </w:p>
                </w:tc>
                <w:tc>
                  <w:tcPr>
                    <w:tcW w:w="1650" w:type="dxa"/>
                    <w:vAlign w:val="center"/>
                  </w:tcPr>
                  <w:p w14:paraId="57CF3FC9" w14:textId="77777777" w:rsidR="00B201D3" w:rsidRDefault="009855E8">
                    <w:pPr>
                      <w:rPr>
                        <w:color w:val="000000"/>
                        <w:spacing w:val="-20"/>
                      </w:rPr>
                    </w:pPr>
                    <w:r>
                      <w:rPr>
                        <w:rFonts w:hint="eastAsia"/>
                        <w:color w:val="000000"/>
                        <w:spacing w:val="-20"/>
                      </w:rPr>
                      <w:t>颗粒物：3</w:t>
                    </w:r>
                    <w:r>
                      <w:rPr>
                        <w:color w:val="000000"/>
                        <w:spacing w:val="-20"/>
                      </w:rPr>
                      <w:t>3.0吨</w:t>
                    </w:r>
                  </w:p>
                  <w:p w14:paraId="44CEF5A2" w14:textId="77777777" w:rsidR="00B201D3" w:rsidRDefault="009855E8">
                    <w:pPr>
                      <w:rPr>
                        <w:color w:val="000000"/>
                      </w:rPr>
                    </w:pPr>
                    <w:r>
                      <w:rPr>
                        <w:rFonts w:hint="eastAsia"/>
                        <w:color w:val="000000"/>
                      </w:rPr>
                      <w:t>SO</w:t>
                    </w:r>
                    <w:r>
                      <w:rPr>
                        <w:rFonts w:hint="eastAsia"/>
                        <w:color w:val="000000"/>
                        <w:vertAlign w:val="subscript"/>
                      </w:rPr>
                      <w:t>2</w:t>
                    </w:r>
                    <w:r>
                      <w:rPr>
                        <w:rFonts w:hint="eastAsia"/>
                        <w:color w:val="000000"/>
                      </w:rPr>
                      <w:t>：</w:t>
                    </w:r>
                    <w:r>
                      <w:rPr>
                        <w:color w:val="000000"/>
                      </w:rPr>
                      <w:t>227.0吨</w:t>
                    </w:r>
                  </w:p>
                  <w:p w14:paraId="52B22C1B" w14:textId="77777777" w:rsidR="00B201D3" w:rsidRDefault="009855E8">
                    <w:pPr>
                      <w:rPr>
                        <w:color w:val="000000"/>
                        <w:spacing w:val="-12"/>
                      </w:rPr>
                    </w:pPr>
                    <w:r>
                      <w:rPr>
                        <w:color w:val="000000"/>
                      </w:rPr>
                      <w:t>NO</w:t>
                    </w:r>
                    <w:r>
                      <w:rPr>
                        <w:color w:val="000000"/>
                        <w:vertAlign w:val="subscript"/>
                      </w:rPr>
                      <w:t>X</w:t>
                    </w:r>
                    <w:r>
                      <w:rPr>
                        <w:rFonts w:hint="eastAsia"/>
                        <w:color w:val="000000"/>
                      </w:rPr>
                      <w:t>：319</w:t>
                    </w:r>
                    <w:r>
                      <w:rPr>
                        <w:color w:val="000000"/>
                      </w:rPr>
                      <w:t>.0吨</w:t>
                    </w:r>
                  </w:p>
                </w:tc>
                <w:tc>
                  <w:tcPr>
                    <w:tcW w:w="1569" w:type="dxa"/>
                    <w:vAlign w:val="center"/>
                  </w:tcPr>
                  <w:p w14:paraId="1852E300" w14:textId="77777777" w:rsidR="00B201D3" w:rsidRDefault="009855E8">
                    <w:pPr>
                      <w:rPr>
                        <w:color w:val="000000"/>
                        <w:spacing w:val="-12"/>
                      </w:rPr>
                    </w:pPr>
                    <w:r>
                      <w:rPr>
                        <w:rFonts w:hint="eastAsia"/>
                        <w:color w:val="000000"/>
                        <w:spacing w:val="-12"/>
                      </w:rPr>
                      <w:t>颗粒物：</w:t>
                    </w:r>
                    <w:r>
                      <w:rPr>
                        <w:color w:val="000000"/>
                        <w:spacing w:val="-12"/>
                      </w:rPr>
                      <w:t>3.4吨</w:t>
                    </w:r>
                  </w:p>
                  <w:p w14:paraId="3EDB2CA6" w14:textId="77777777" w:rsidR="00B201D3" w:rsidRDefault="009855E8">
                    <w:pPr>
                      <w:rPr>
                        <w:color w:val="000000"/>
                      </w:rPr>
                    </w:pPr>
                    <w:r>
                      <w:rPr>
                        <w:rFonts w:hint="eastAsia"/>
                        <w:color w:val="000000"/>
                      </w:rPr>
                      <w:t>SO</w:t>
                    </w:r>
                    <w:r>
                      <w:rPr>
                        <w:rFonts w:hint="eastAsia"/>
                        <w:color w:val="000000"/>
                        <w:vertAlign w:val="subscript"/>
                      </w:rPr>
                      <w:t>2</w:t>
                    </w:r>
                    <w:r>
                      <w:rPr>
                        <w:rFonts w:hint="eastAsia"/>
                        <w:color w:val="000000"/>
                      </w:rPr>
                      <w:t>：</w:t>
                    </w:r>
                    <w:r>
                      <w:rPr>
                        <w:color w:val="000000"/>
                      </w:rPr>
                      <w:t>28.8吨</w:t>
                    </w:r>
                  </w:p>
                  <w:p w14:paraId="794CB83D" w14:textId="77777777" w:rsidR="00B201D3" w:rsidRDefault="009855E8">
                    <w:pPr>
                      <w:rPr>
                        <w:color w:val="000000"/>
                        <w:spacing w:val="-12"/>
                      </w:rPr>
                    </w:pPr>
                    <w:r>
                      <w:rPr>
                        <w:color w:val="000000"/>
                      </w:rPr>
                      <w:t>NO</w:t>
                    </w:r>
                    <w:r>
                      <w:rPr>
                        <w:color w:val="000000"/>
                        <w:vertAlign w:val="subscript"/>
                      </w:rPr>
                      <w:t>X</w:t>
                    </w:r>
                    <w:r>
                      <w:rPr>
                        <w:rFonts w:hint="eastAsia"/>
                        <w:color w:val="000000"/>
                      </w:rPr>
                      <w:t>：</w:t>
                    </w:r>
                    <w:r>
                      <w:rPr>
                        <w:color w:val="000000"/>
                      </w:rPr>
                      <w:t>152.3吨</w:t>
                    </w:r>
                  </w:p>
                </w:tc>
              </w:tr>
              <w:tr w:rsidR="00B201D3" w14:paraId="6780BE64" w14:textId="77777777">
                <w:trPr>
                  <w:trHeight w:val="564"/>
                  <w:jc w:val="center"/>
                </w:trPr>
                <w:tc>
                  <w:tcPr>
                    <w:tcW w:w="462" w:type="dxa"/>
                    <w:vAlign w:val="center"/>
                  </w:tcPr>
                  <w:p w14:paraId="63D77603" w14:textId="77777777" w:rsidR="00B201D3" w:rsidRDefault="009855E8">
                    <w:pPr>
                      <w:jc w:val="center"/>
                      <w:rPr>
                        <w:color w:val="000000"/>
                      </w:rPr>
                    </w:pPr>
                    <w:r>
                      <w:rPr>
                        <w:rFonts w:hint="eastAsia"/>
                        <w:color w:val="000000"/>
                      </w:rPr>
                      <w:t>1</w:t>
                    </w:r>
                    <w:r>
                      <w:rPr>
                        <w:color w:val="000000"/>
                      </w:rPr>
                      <w:t>8</w:t>
                    </w:r>
                  </w:p>
                </w:tc>
                <w:tc>
                  <w:tcPr>
                    <w:tcW w:w="1064" w:type="dxa"/>
                    <w:vAlign w:val="center"/>
                  </w:tcPr>
                  <w:p w14:paraId="5BD737BD" w14:textId="77777777" w:rsidR="00B201D3" w:rsidRDefault="009855E8">
                    <w:pPr>
                      <w:rPr>
                        <w:color w:val="000000"/>
                      </w:rPr>
                    </w:pPr>
                    <w:r>
                      <w:rPr>
                        <w:rFonts w:hint="eastAsia"/>
                        <w:color w:val="000000"/>
                      </w:rPr>
                      <w:t>内蒙古矿业宏大实业兴和热电</w:t>
                    </w:r>
                  </w:p>
                </w:tc>
                <w:tc>
                  <w:tcPr>
                    <w:tcW w:w="645" w:type="dxa"/>
                    <w:vAlign w:val="center"/>
                  </w:tcPr>
                  <w:p w14:paraId="6A824804" w14:textId="77777777" w:rsidR="00B201D3" w:rsidRDefault="009855E8">
                    <w:pPr>
                      <w:rPr>
                        <w:color w:val="000000"/>
                      </w:rPr>
                    </w:pPr>
                    <w:r>
                      <w:rPr>
                        <w:color w:val="000000"/>
                      </w:rPr>
                      <w:t>乌兰察布市重点排污单位</w:t>
                    </w:r>
                  </w:p>
                </w:tc>
                <w:tc>
                  <w:tcPr>
                    <w:tcW w:w="840" w:type="dxa"/>
                    <w:vMerge/>
                    <w:vAlign w:val="center"/>
                  </w:tcPr>
                  <w:p w14:paraId="2311B30C" w14:textId="77777777" w:rsidR="00B201D3" w:rsidRDefault="00B201D3">
                    <w:pPr>
                      <w:rPr>
                        <w:color w:val="000000"/>
                      </w:rPr>
                    </w:pPr>
                  </w:p>
                </w:tc>
                <w:tc>
                  <w:tcPr>
                    <w:tcW w:w="870" w:type="dxa"/>
                    <w:vMerge/>
                    <w:vAlign w:val="center"/>
                  </w:tcPr>
                  <w:p w14:paraId="790E94EB" w14:textId="77777777" w:rsidR="00B201D3" w:rsidRDefault="00B201D3">
                    <w:pPr>
                      <w:jc w:val="center"/>
                      <w:rPr>
                        <w:color w:val="000000"/>
                      </w:rPr>
                    </w:pPr>
                  </w:p>
                </w:tc>
                <w:tc>
                  <w:tcPr>
                    <w:tcW w:w="753" w:type="dxa"/>
                    <w:vMerge/>
                    <w:vAlign w:val="center"/>
                  </w:tcPr>
                  <w:p w14:paraId="3F73F91A" w14:textId="77777777" w:rsidR="00B201D3" w:rsidRDefault="00B201D3">
                    <w:pPr>
                      <w:rPr>
                        <w:color w:val="000000"/>
                      </w:rPr>
                    </w:pPr>
                  </w:p>
                </w:tc>
                <w:tc>
                  <w:tcPr>
                    <w:tcW w:w="3070" w:type="dxa"/>
                    <w:vAlign w:val="center"/>
                  </w:tcPr>
                  <w:p w14:paraId="5F282C7D" w14:textId="77777777" w:rsidR="00B201D3" w:rsidRDefault="009855E8">
                    <w:pPr>
                      <w:rPr>
                        <w:color w:val="000000"/>
                      </w:rPr>
                    </w:pPr>
                    <w:r>
                      <w:rPr>
                        <w:rFonts w:hint="eastAsia"/>
                        <w:color w:val="000000"/>
                        <w:spacing w:val="-4"/>
                      </w:rPr>
                      <w:t>《火电厂大气污染物排放标准》（</w:t>
                    </w:r>
                    <w:r>
                      <w:rPr>
                        <w:color w:val="000000"/>
                        <w:spacing w:val="-4"/>
                      </w:rPr>
                      <w:t>GB13223-2011）</w:t>
                    </w:r>
                  </w:p>
                </w:tc>
                <w:tc>
                  <w:tcPr>
                    <w:tcW w:w="1650" w:type="dxa"/>
                    <w:vAlign w:val="center"/>
                  </w:tcPr>
                  <w:p w14:paraId="233FB3A5" w14:textId="77777777" w:rsidR="00B201D3" w:rsidRDefault="009855E8">
                    <w:pPr>
                      <w:rPr>
                        <w:color w:val="000000"/>
                        <w:spacing w:val="-18"/>
                      </w:rPr>
                    </w:pPr>
                    <w:r>
                      <w:rPr>
                        <w:color w:val="000000"/>
                        <w:spacing w:val="-18"/>
                      </w:rPr>
                      <w:t>颗粒物：374吨</w:t>
                    </w:r>
                  </w:p>
                  <w:p w14:paraId="5DDB7A8F" w14:textId="77777777" w:rsidR="00B201D3" w:rsidRDefault="009855E8">
                    <w:pPr>
                      <w:rPr>
                        <w:color w:val="000000"/>
                        <w:spacing w:val="-18"/>
                      </w:rPr>
                    </w:pPr>
                    <w:r>
                      <w:rPr>
                        <w:rFonts w:hint="eastAsia"/>
                        <w:color w:val="000000"/>
                        <w:spacing w:val="-18"/>
                      </w:rPr>
                      <w:t>SO</w:t>
                    </w:r>
                    <w:r>
                      <w:rPr>
                        <w:rFonts w:hint="eastAsia"/>
                        <w:color w:val="000000"/>
                        <w:spacing w:val="-18"/>
                        <w:vertAlign w:val="subscript"/>
                      </w:rPr>
                      <w:t>2</w:t>
                    </w:r>
                    <w:r>
                      <w:rPr>
                        <w:color w:val="000000"/>
                        <w:spacing w:val="-18"/>
                      </w:rPr>
                      <w:t>：1</w:t>
                    </w:r>
                    <w:r>
                      <w:rPr>
                        <w:rFonts w:hint="eastAsia"/>
                        <w:color w:val="000000"/>
                        <w:spacing w:val="-18"/>
                      </w:rPr>
                      <w:t>,</w:t>
                    </w:r>
                    <w:r>
                      <w:rPr>
                        <w:color w:val="000000"/>
                        <w:spacing w:val="-18"/>
                      </w:rPr>
                      <w:t>522.1吨</w:t>
                    </w:r>
                  </w:p>
                  <w:p w14:paraId="47F9B3F0" w14:textId="77777777" w:rsidR="00B201D3" w:rsidRDefault="009855E8">
                    <w:pPr>
                      <w:rPr>
                        <w:color w:val="000000"/>
                        <w:spacing w:val="-12"/>
                      </w:rPr>
                    </w:pPr>
                    <w:r>
                      <w:rPr>
                        <w:color w:val="000000"/>
                        <w:spacing w:val="-18"/>
                      </w:rPr>
                      <w:t>NO</w:t>
                    </w:r>
                    <w:r>
                      <w:rPr>
                        <w:color w:val="000000"/>
                        <w:spacing w:val="-18"/>
                        <w:vertAlign w:val="subscript"/>
                      </w:rPr>
                      <w:t>X</w:t>
                    </w:r>
                    <w:r>
                      <w:rPr>
                        <w:rFonts w:hint="eastAsia"/>
                        <w:color w:val="000000"/>
                        <w:spacing w:val="-18"/>
                      </w:rPr>
                      <w:t>：</w:t>
                    </w:r>
                    <w:r>
                      <w:rPr>
                        <w:color w:val="000000"/>
                        <w:spacing w:val="-18"/>
                      </w:rPr>
                      <w:t>1</w:t>
                    </w:r>
                    <w:r>
                      <w:rPr>
                        <w:rFonts w:hint="eastAsia"/>
                        <w:color w:val="000000"/>
                        <w:spacing w:val="-18"/>
                      </w:rPr>
                      <w:t>,</w:t>
                    </w:r>
                    <w:r>
                      <w:rPr>
                        <w:color w:val="000000"/>
                        <w:spacing w:val="-18"/>
                      </w:rPr>
                      <w:t>522.1吨</w:t>
                    </w:r>
                  </w:p>
                </w:tc>
                <w:tc>
                  <w:tcPr>
                    <w:tcW w:w="1569" w:type="dxa"/>
                    <w:vAlign w:val="center"/>
                  </w:tcPr>
                  <w:p w14:paraId="5178DEEB" w14:textId="77777777" w:rsidR="00B201D3" w:rsidRDefault="009855E8">
                    <w:pPr>
                      <w:rPr>
                        <w:color w:val="000000"/>
                        <w:spacing w:val="-10"/>
                      </w:rPr>
                    </w:pPr>
                    <w:r>
                      <w:rPr>
                        <w:rFonts w:hint="eastAsia"/>
                        <w:color w:val="000000"/>
                        <w:spacing w:val="-10"/>
                      </w:rPr>
                      <w:t>颗粒物：</w:t>
                    </w:r>
                    <w:r>
                      <w:rPr>
                        <w:color w:val="000000"/>
                        <w:spacing w:val="-10"/>
                      </w:rPr>
                      <w:t>16.6吨</w:t>
                    </w:r>
                  </w:p>
                  <w:p w14:paraId="250CCA52" w14:textId="77777777" w:rsidR="00B201D3" w:rsidRDefault="009855E8">
                    <w:pPr>
                      <w:rPr>
                        <w:color w:val="000000"/>
                        <w:spacing w:val="-10"/>
                      </w:rPr>
                    </w:pPr>
                    <w:r>
                      <w:rPr>
                        <w:color w:val="000000"/>
                        <w:spacing w:val="-10"/>
                      </w:rPr>
                      <w:t>SO</w:t>
                    </w:r>
                    <w:r>
                      <w:rPr>
                        <w:color w:val="000000"/>
                        <w:spacing w:val="-10"/>
                        <w:vertAlign w:val="subscript"/>
                      </w:rPr>
                      <w:t>2</w:t>
                    </w:r>
                    <w:r>
                      <w:rPr>
                        <w:color w:val="000000"/>
                        <w:spacing w:val="-10"/>
                      </w:rPr>
                      <w:t>：79.5吨</w:t>
                    </w:r>
                  </w:p>
                  <w:p w14:paraId="76BA634F" w14:textId="77777777" w:rsidR="00B201D3" w:rsidRDefault="009855E8">
                    <w:pPr>
                      <w:rPr>
                        <w:color w:val="000000"/>
                        <w:spacing w:val="-12"/>
                      </w:rPr>
                    </w:pPr>
                    <w:r>
                      <w:rPr>
                        <w:color w:val="000000"/>
                        <w:spacing w:val="-10"/>
                      </w:rPr>
                      <w:t>NO</w:t>
                    </w:r>
                    <w:r>
                      <w:rPr>
                        <w:color w:val="000000"/>
                        <w:spacing w:val="-10"/>
                        <w:vertAlign w:val="subscript"/>
                      </w:rPr>
                      <w:t>X</w:t>
                    </w:r>
                    <w:r>
                      <w:rPr>
                        <w:color w:val="000000"/>
                        <w:spacing w:val="-10"/>
                      </w:rPr>
                      <w:t>：258.9吨</w:t>
                    </w:r>
                  </w:p>
                </w:tc>
              </w:tr>
              <w:tr w:rsidR="00B201D3" w14:paraId="7BECC30B" w14:textId="77777777">
                <w:trPr>
                  <w:trHeight w:val="564"/>
                  <w:jc w:val="center"/>
                </w:trPr>
                <w:tc>
                  <w:tcPr>
                    <w:tcW w:w="462" w:type="dxa"/>
                    <w:vAlign w:val="center"/>
                  </w:tcPr>
                  <w:p w14:paraId="5114E35C" w14:textId="77777777" w:rsidR="00B201D3" w:rsidRDefault="009855E8">
                    <w:pPr>
                      <w:jc w:val="center"/>
                      <w:rPr>
                        <w:color w:val="000000"/>
                      </w:rPr>
                    </w:pPr>
                    <w:r>
                      <w:rPr>
                        <w:rFonts w:hint="eastAsia"/>
                        <w:color w:val="000000"/>
                      </w:rPr>
                      <w:t>1</w:t>
                    </w:r>
                    <w:r>
                      <w:rPr>
                        <w:color w:val="000000"/>
                      </w:rPr>
                      <w:t>9</w:t>
                    </w:r>
                  </w:p>
                </w:tc>
                <w:tc>
                  <w:tcPr>
                    <w:tcW w:w="1064" w:type="dxa"/>
                    <w:vAlign w:val="center"/>
                  </w:tcPr>
                  <w:p w14:paraId="296322E1" w14:textId="77777777" w:rsidR="00B201D3" w:rsidRDefault="009855E8">
                    <w:pPr>
                      <w:rPr>
                        <w:color w:val="000000"/>
                      </w:rPr>
                    </w:pPr>
                    <w:r>
                      <w:rPr>
                        <w:color w:val="000000"/>
                      </w:rPr>
                      <w:t>榆林能化</w:t>
                    </w:r>
                  </w:p>
                </w:tc>
                <w:tc>
                  <w:tcPr>
                    <w:tcW w:w="645" w:type="dxa"/>
                    <w:vMerge w:val="restart"/>
                    <w:vAlign w:val="center"/>
                  </w:tcPr>
                  <w:p w14:paraId="5B3DDF23" w14:textId="77777777" w:rsidR="00B201D3" w:rsidRDefault="009855E8">
                    <w:pPr>
                      <w:rPr>
                        <w:color w:val="000000"/>
                      </w:rPr>
                    </w:pPr>
                    <w:r>
                      <w:rPr>
                        <w:color w:val="000000"/>
                      </w:rPr>
                      <w:t>国家重点排污单位</w:t>
                    </w:r>
                  </w:p>
                </w:tc>
                <w:tc>
                  <w:tcPr>
                    <w:tcW w:w="840" w:type="dxa"/>
                    <w:vMerge w:val="restart"/>
                    <w:vAlign w:val="center"/>
                  </w:tcPr>
                  <w:p w14:paraId="6FA633E7" w14:textId="77777777" w:rsidR="00B201D3" w:rsidRDefault="009855E8">
                    <w:pPr>
                      <w:jc w:val="center"/>
                      <w:rPr>
                        <w:color w:val="000000"/>
                      </w:rPr>
                    </w:pPr>
                    <w:r>
                      <w:rPr>
                        <w:rFonts w:hint="eastAsia"/>
                        <w:color w:val="000000"/>
                      </w:rPr>
                      <w:t>锅炉烟气</w:t>
                    </w:r>
                  </w:p>
                  <w:p w14:paraId="56221E3A" w14:textId="77777777" w:rsidR="00B201D3" w:rsidRDefault="009855E8">
                    <w:pPr>
                      <w:jc w:val="center"/>
                      <w:rPr>
                        <w:color w:val="000000"/>
                      </w:rPr>
                    </w:pPr>
                    <w:r>
                      <w:rPr>
                        <w:rFonts w:hint="eastAsia"/>
                        <w:color w:val="000000"/>
                      </w:rPr>
                      <w:t>生产废水</w:t>
                    </w:r>
                  </w:p>
                  <w:p w14:paraId="75EE73E7" w14:textId="77777777" w:rsidR="00B201D3" w:rsidRDefault="009855E8">
                    <w:pPr>
                      <w:jc w:val="center"/>
                      <w:rPr>
                        <w:color w:val="000000"/>
                      </w:rPr>
                    </w:pPr>
                    <w:r>
                      <w:rPr>
                        <w:rFonts w:hint="eastAsia"/>
                        <w:color w:val="000000"/>
                      </w:rPr>
                      <w:t>生活污水</w:t>
                    </w:r>
                  </w:p>
                </w:tc>
                <w:tc>
                  <w:tcPr>
                    <w:tcW w:w="870" w:type="dxa"/>
                    <w:vMerge w:val="restart"/>
                    <w:vAlign w:val="center"/>
                  </w:tcPr>
                  <w:p w14:paraId="57E16724" w14:textId="77777777" w:rsidR="00B201D3" w:rsidRDefault="009855E8">
                    <w:pPr>
                      <w:jc w:val="center"/>
                      <w:rPr>
                        <w:color w:val="000000"/>
                      </w:rPr>
                    </w:pPr>
                    <w:r>
                      <w:rPr>
                        <w:rFonts w:hint="eastAsia"/>
                        <w:color w:val="000000"/>
                      </w:rPr>
                      <w:t>颗粒物SO</w:t>
                    </w:r>
                    <w:r>
                      <w:rPr>
                        <w:rFonts w:hint="eastAsia"/>
                        <w:color w:val="000000"/>
                        <w:vertAlign w:val="subscript"/>
                      </w:rPr>
                      <w:t>2</w:t>
                    </w:r>
                  </w:p>
                  <w:p w14:paraId="7D3EC497" w14:textId="77777777" w:rsidR="00B201D3" w:rsidRDefault="009855E8">
                    <w:pPr>
                      <w:jc w:val="center"/>
                      <w:rPr>
                        <w:color w:val="000000"/>
                      </w:rPr>
                    </w:pPr>
                    <w:r>
                      <w:rPr>
                        <w:color w:val="000000"/>
                      </w:rPr>
                      <w:t>NO</w:t>
                    </w:r>
                    <w:r>
                      <w:rPr>
                        <w:color w:val="000000"/>
                        <w:vertAlign w:val="subscript"/>
                      </w:rPr>
                      <w:t>X</w:t>
                    </w:r>
                  </w:p>
                  <w:p w14:paraId="6C08C000" w14:textId="77777777" w:rsidR="00B201D3" w:rsidRDefault="009855E8">
                    <w:pPr>
                      <w:jc w:val="center"/>
                      <w:rPr>
                        <w:color w:val="000000"/>
                      </w:rPr>
                    </w:pPr>
                    <w:r>
                      <w:rPr>
                        <w:color w:val="000000"/>
                      </w:rPr>
                      <w:t>COD</w:t>
                    </w:r>
                  </w:p>
                  <w:p w14:paraId="26BAB69D" w14:textId="77777777" w:rsidR="00B201D3" w:rsidRDefault="009855E8">
                    <w:pPr>
                      <w:jc w:val="center"/>
                      <w:rPr>
                        <w:color w:val="000000"/>
                      </w:rPr>
                    </w:pPr>
                    <w:r>
                      <w:rPr>
                        <w:color w:val="000000"/>
                      </w:rPr>
                      <w:t>氨氮</w:t>
                    </w:r>
                  </w:p>
                </w:tc>
                <w:tc>
                  <w:tcPr>
                    <w:tcW w:w="753" w:type="dxa"/>
                    <w:vMerge w:val="restart"/>
                    <w:vAlign w:val="center"/>
                  </w:tcPr>
                  <w:p w14:paraId="63FC6D30" w14:textId="77777777" w:rsidR="00B201D3" w:rsidRDefault="009855E8">
                    <w:pPr>
                      <w:rPr>
                        <w:color w:val="000000"/>
                      </w:rPr>
                    </w:pPr>
                    <w:r>
                      <w:rPr>
                        <w:rFonts w:hint="eastAsia"/>
                        <w:color w:val="000000"/>
                      </w:rPr>
                      <w:t>烟气经净化处理后排放；污水经处理后重复利用，剩余外排</w:t>
                    </w:r>
                  </w:p>
                </w:tc>
                <w:tc>
                  <w:tcPr>
                    <w:tcW w:w="3070" w:type="dxa"/>
                    <w:vAlign w:val="center"/>
                  </w:tcPr>
                  <w:p w14:paraId="65F5C791" w14:textId="77777777" w:rsidR="00B201D3" w:rsidRDefault="009855E8">
                    <w:pPr>
                      <w:rPr>
                        <w:color w:val="000000"/>
                        <w:spacing w:val="-20"/>
                      </w:rPr>
                    </w:pPr>
                    <w:r>
                      <w:rPr>
                        <w:rFonts w:hint="eastAsia"/>
                        <w:color w:val="000000"/>
                        <w:spacing w:val="-12"/>
                      </w:rPr>
                      <w:t>《火电厂大气污染物排放标准》（</w:t>
                    </w:r>
                    <w:r>
                      <w:rPr>
                        <w:color w:val="000000"/>
                        <w:spacing w:val="-12"/>
                      </w:rPr>
                      <w:t>GB13223-2011）</w:t>
                    </w:r>
                    <w:r>
                      <w:rPr>
                        <w:rFonts w:hint="eastAsia"/>
                        <w:color w:val="000000"/>
                        <w:spacing w:val="-12"/>
                      </w:rPr>
                      <w:t>、《陕西省黄河流域污水综合排放标准》（D</w:t>
                    </w:r>
                    <w:r>
                      <w:rPr>
                        <w:color w:val="000000"/>
                        <w:spacing w:val="-12"/>
                      </w:rPr>
                      <w:t>B61/224-2018</w:t>
                    </w:r>
                    <w:r>
                      <w:rPr>
                        <w:rFonts w:hint="eastAsia"/>
                        <w:color w:val="000000"/>
                        <w:spacing w:val="-12"/>
                      </w:rPr>
                      <w:t>）</w:t>
                    </w:r>
                  </w:p>
                </w:tc>
                <w:tc>
                  <w:tcPr>
                    <w:tcW w:w="1650" w:type="dxa"/>
                    <w:vAlign w:val="center"/>
                  </w:tcPr>
                  <w:p w14:paraId="20F5EC8E" w14:textId="77777777" w:rsidR="00B201D3" w:rsidRDefault="009855E8">
                    <w:pPr>
                      <w:rPr>
                        <w:color w:val="000000"/>
                        <w:spacing w:val="-12"/>
                      </w:rPr>
                    </w:pPr>
                    <w:r>
                      <w:rPr>
                        <w:rFonts w:hint="eastAsia"/>
                        <w:color w:val="000000"/>
                        <w:spacing w:val="-12"/>
                      </w:rPr>
                      <w:t>颗粒物：</w:t>
                    </w:r>
                    <w:r>
                      <w:rPr>
                        <w:color w:val="000000"/>
                        <w:spacing w:val="-12"/>
                      </w:rPr>
                      <w:t>76.1</w:t>
                    </w:r>
                    <w:r>
                      <w:rPr>
                        <w:rFonts w:hint="eastAsia"/>
                        <w:color w:val="000000"/>
                        <w:spacing w:val="-12"/>
                      </w:rPr>
                      <w:t>吨</w:t>
                    </w:r>
                  </w:p>
                  <w:p w14:paraId="1580C620" w14:textId="77777777" w:rsidR="00B201D3" w:rsidRDefault="009855E8">
                    <w:pPr>
                      <w:rPr>
                        <w:color w:val="000000"/>
                      </w:rPr>
                    </w:pPr>
                    <w:r>
                      <w:rPr>
                        <w:rFonts w:hint="eastAsia"/>
                        <w:color w:val="000000"/>
                      </w:rPr>
                      <w:t>SO</w:t>
                    </w:r>
                    <w:r>
                      <w:rPr>
                        <w:rFonts w:hint="eastAsia"/>
                        <w:color w:val="000000"/>
                        <w:vertAlign w:val="subscript"/>
                      </w:rPr>
                      <w:t>2</w:t>
                    </w:r>
                    <w:r>
                      <w:rPr>
                        <w:rFonts w:hint="eastAsia"/>
                        <w:color w:val="000000"/>
                      </w:rPr>
                      <w:t>：</w:t>
                    </w:r>
                    <w:r>
                      <w:rPr>
                        <w:color w:val="000000"/>
                      </w:rPr>
                      <w:t>242.7吨</w:t>
                    </w:r>
                  </w:p>
                  <w:p w14:paraId="083D787E" w14:textId="77777777" w:rsidR="00B201D3" w:rsidRDefault="009855E8">
                    <w:pPr>
                      <w:rPr>
                        <w:color w:val="000000"/>
                      </w:rPr>
                    </w:pPr>
                    <w:r>
                      <w:rPr>
                        <w:color w:val="000000"/>
                      </w:rPr>
                      <w:t>NO</w:t>
                    </w:r>
                    <w:r>
                      <w:rPr>
                        <w:color w:val="000000"/>
                        <w:vertAlign w:val="subscript"/>
                      </w:rPr>
                      <w:t>X</w:t>
                    </w:r>
                    <w:r>
                      <w:rPr>
                        <w:rFonts w:hint="eastAsia"/>
                        <w:color w:val="000000"/>
                      </w:rPr>
                      <w:t>：</w:t>
                    </w:r>
                    <w:r>
                      <w:rPr>
                        <w:color w:val="000000"/>
                      </w:rPr>
                      <w:t>374.9吨</w:t>
                    </w:r>
                  </w:p>
                  <w:p w14:paraId="39443C76" w14:textId="77777777" w:rsidR="00B201D3" w:rsidRDefault="009855E8">
                    <w:pPr>
                      <w:rPr>
                        <w:color w:val="000000"/>
                      </w:rPr>
                    </w:pPr>
                    <w:r>
                      <w:rPr>
                        <w:color w:val="000000"/>
                      </w:rPr>
                      <w:t>COD</w:t>
                    </w:r>
                    <w:r>
                      <w:rPr>
                        <w:rFonts w:hint="eastAsia"/>
                        <w:color w:val="000000"/>
                      </w:rPr>
                      <w:t>：</w:t>
                    </w:r>
                    <w:r>
                      <w:rPr>
                        <w:color w:val="000000"/>
                      </w:rPr>
                      <w:t>85.8吨</w:t>
                    </w:r>
                  </w:p>
                  <w:p w14:paraId="09D047AC" w14:textId="77777777" w:rsidR="00B201D3" w:rsidRDefault="009855E8">
                    <w:pPr>
                      <w:rPr>
                        <w:color w:val="000000"/>
                      </w:rPr>
                    </w:pPr>
                    <w:r>
                      <w:rPr>
                        <w:color w:val="000000"/>
                      </w:rPr>
                      <w:t>氨氮</w:t>
                    </w:r>
                    <w:r>
                      <w:rPr>
                        <w:rFonts w:hint="eastAsia"/>
                        <w:color w:val="000000"/>
                      </w:rPr>
                      <w:t>：1</w:t>
                    </w:r>
                    <w:r>
                      <w:rPr>
                        <w:color w:val="000000"/>
                      </w:rPr>
                      <w:t>3.7吨</w:t>
                    </w:r>
                  </w:p>
                </w:tc>
                <w:tc>
                  <w:tcPr>
                    <w:tcW w:w="1569" w:type="dxa"/>
                    <w:vAlign w:val="center"/>
                  </w:tcPr>
                  <w:p w14:paraId="165A4BEE" w14:textId="77777777" w:rsidR="00B201D3" w:rsidRDefault="009855E8">
                    <w:pPr>
                      <w:rPr>
                        <w:color w:val="000000"/>
                        <w:spacing w:val="-12"/>
                      </w:rPr>
                    </w:pPr>
                    <w:r>
                      <w:rPr>
                        <w:rFonts w:hint="eastAsia"/>
                        <w:color w:val="000000"/>
                        <w:spacing w:val="-12"/>
                      </w:rPr>
                      <w:t>颗粒物：</w:t>
                    </w:r>
                    <w:r>
                      <w:rPr>
                        <w:color w:val="000000"/>
                        <w:spacing w:val="-12"/>
                      </w:rPr>
                      <w:t>7.6</w:t>
                    </w:r>
                    <w:r>
                      <w:rPr>
                        <w:rFonts w:hint="eastAsia"/>
                        <w:color w:val="000000"/>
                        <w:spacing w:val="-12"/>
                      </w:rPr>
                      <w:t>吨</w:t>
                    </w:r>
                  </w:p>
                  <w:p w14:paraId="211FB704" w14:textId="77777777" w:rsidR="00B201D3" w:rsidRDefault="009855E8">
                    <w:pPr>
                      <w:rPr>
                        <w:color w:val="000000"/>
                      </w:rPr>
                    </w:pPr>
                    <w:r>
                      <w:rPr>
                        <w:rFonts w:hint="eastAsia"/>
                        <w:color w:val="000000"/>
                      </w:rPr>
                      <w:t>SO</w:t>
                    </w:r>
                    <w:r>
                      <w:rPr>
                        <w:rFonts w:hint="eastAsia"/>
                        <w:color w:val="000000"/>
                        <w:vertAlign w:val="subscript"/>
                      </w:rPr>
                      <w:t>2</w:t>
                    </w:r>
                    <w:r>
                      <w:rPr>
                        <w:rFonts w:hint="eastAsia"/>
                        <w:color w:val="000000"/>
                      </w:rPr>
                      <w:t>：</w:t>
                    </w:r>
                    <w:r>
                      <w:rPr>
                        <w:color w:val="000000"/>
                      </w:rPr>
                      <w:t>65.1吨</w:t>
                    </w:r>
                  </w:p>
                  <w:p w14:paraId="58BCC7DA" w14:textId="77777777" w:rsidR="00B201D3" w:rsidRDefault="009855E8">
                    <w:pPr>
                      <w:rPr>
                        <w:color w:val="000000"/>
                        <w:spacing w:val="-4"/>
                      </w:rPr>
                    </w:pPr>
                    <w:r>
                      <w:rPr>
                        <w:color w:val="000000"/>
                        <w:spacing w:val="-4"/>
                      </w:rPr>
                      <w:t>NO</w:t>
                    </w:r>
                    <w:r>
                      <w:rPr>
                        <w:color w:val="000000"/>
                        <w:spacing w:val="-4"/>
                        <w:vertAlign w:val="subscript"/>
                      </w:rPr>
                      <w:t>X</w:t>
                    </w:r>
                    <w:r>
                      <w:rPr>
                        <w:rFonts w:hint="eastAsia"/>
                        <w:color w:val="000000"/>
                        <w:spacing w:val="-4"/>
                      </w:rPr>
                      <w:t>：</w:t>
                    </w:r>
                    <w:r>
                      <w:rPr>
                        <w:color w:val="000000"/>
                        <w:spacing w:val="-4"/>
                      </w:rPr>
                      <w:t>144.8吨</w:t>
                    </w:r>
                  </w:p>
                  <w:p w14:paraId="5D4BE743" w14:textId="77777777" w:rsidR="00B201D3" w:rsidRDefault="009855E8">
                    <w:pPr>
                      <w:rPr>
                        <w:color w:val="000000"/>
                      </w:rPr>
                    </w:pPr>
                    <w:r>
                      <w:rPr>
                        <w:color w:val="000000"/>
                      </w:rPr>
                      <w:t>COD</w:t>
                    </w:r>
                    <w:r>
                      <w:rPr>
                        <w:rFonts w:hint="eastAsia"/>
                        <w:color w:val="000000"/>
                      </w:rPr>
                      <w:t>：3</w:t>
                    </w:r>
                    <w:r>
                      <w:rPr>
                        <w:color w:val="000000"/>
                      </w:rPr>
                      <w:t>.8吨</w:t>
                    </w:r>
                  </w:p>
                  <w:p w14:paraId="43F3D2DA" w14:textId="77777777" w:rsidR="00B201D3" w:rsidRDefault="009855E8">
                    <w:pPr>
                      <w:rPr>
                        <w:color w:val="000000"/>
                      </w:rPr>
                    </w:pPr>
                    <w:r>
                      <w:rPr>
                        <w:color w:val="000000"/>
                      </w:rPr>
                      <w:t>氨氮</w:t>
                    </w:r>
                    <w:r>
                      <w:rPr>
                        <w:rFonts w:hint="eastAsia"/>
                        <w:color w:val="000000"/>
                      </w:rPr>
                      <w:t>：</w:t>
                    </w:r>
                    <w:r>
                      <w:rPr>
                        <w:color w:val="000000"/>
                      </w:rPr>
                      <w:t>0.2吨</w:t>
                    </w:r>
                  </w:p>
                </w:tc>
              </w:tr>
              <w:tr w:rsidR="00B201D3" w14:paraId="57B28196" w14:textId="77777777">
                <w:trPr>
                  <w:trHeight w:val="90"/>
                  <w:jc w:val="center"/>
                </w:trPr>
                <w:tc>
                  <w:tcPr>
                    <w:tcW w:w="462" w:type="dxa"/>
                    <w:vAlign w:val="center"/>
                  </w:tcPr>
                  <w:p w14:paraId="450372A2" w14:textId="77777777" w:rsidR="00B201D3" w:rsidRDefault="009855E8">
                    <w:pPr>
                      <w:jc w:val="center"/>
                      <w:rPr>
                        <w:color w:val="000000"/>
                      </w:rPr>
                    </w:pPr>
                    <w:r>
                      <w:rPr>
                        <w:rFonts w:hint="eastAsia"/>
                        <w:color w:val="000000"/>
                      </w:rPr>
                      <w:t>20</w:t>
                    </w:r>
                  </w:p>
                </w:tc>
                <w:tc>
                  <w:tcPr>
                    <w:tcW w:w="1064" w:type="dxa"/>
                    <w:vAlign w:val="center"/>
                  </w:tcPr>
                  <w:p w14:paraId="30519196" w14:textId="77777777" w:rsidR="00B201D3" w:rsidRDefault="009855E8">
                    <w:pPr>
                      <w:rPr>
                        <w:color w:val="000000"/>
                      </w:rPr>
                    </w:pPr>
                    <w:r>
                      <w:rPr>
                        <w:rFonts w:hint="eastAsia"/>
                        <w:color w:val="000000"/>
                      </w:rPr>
                      <w:t>鲁南化工</w:t>
                    </w:r>
                  </w:p>
                </w:tc>
                <w:tc>
                  <w:tcPr>
                    <w:tcW w:w="645" w:type="dxa"/>
                    <w:vMerge/>
                    <w:vAlign w:val="center"/>
                  </w:tcPr>
                  <w:p w14:paraId="444AEE13" w14:textId="77777777" w:rsidR="00B201D3" w:rsidRDefault="00B201D3">
                    <w:pPr>
                      <w:rPr>
                        <w:color w:val="000000"/>
                      </w:rPr>
                    </w:pPr>
                  </w:p>
                </w:tc>
                <w:tc>
                  <w:tcPr>
                    <w:tcW w:w="840" w:type="dxa"/>
                    <w:vMerge/>
                    <w:vAlign w:val="center"/>
                  </w:tcPr>
                  <w:p w14:paraId="099C2CCB" w14:textId="77777777" w:rsidR="00B201D3" w:rsidRDefault="00B201D3">
                    <w:pPr>
                      <w:rPr>
                        <w:color w:val="000000"/>
                      </w:rPr>
                    </w:pPr>
                  </w:p>
                </w:tc>
                <w:tc>
                  <w:tcPr>
                    <w:tcW w:w="870" w:type="dxa"/>
                    <w:vMerge/>
                    <w:vAlign w:val="center"/>
                  </w:tcPr>
                  <w:p w14:paraId="476F0BB6" w14:textId="77777777" w:rsidR="00B201D3" w:rsidRDefault="00B201D3">
                    <w:pPr>
                      <w:rPr>
                        <w:color w:val="000000"/>
                      </w:rPr>
                    </w:pPr>
                  </w:p>
                </w:tc>
                <w:tc>
                  <w:tcPr>
                    <w:tcW w:w="753" w:type="dxa"/>
                    <w:vMerge/>
                    <w:vAlign w:val="center"/>
                  </w:tcPr>
                  <w:p w14:paraId="0A212627" w14:textId="77777777" w:rsidR="00B201D3" w:rsidRDefault="00B201D3">
                    <w:pPr>
                      <w:rPr>
                        <w:color w:val="000000"/>
                      </w:rPr>
                    </w:pPr>
                  </w:p>
                </w:tc>
                <w:tc>
                  <w:tcPr>
                    <w:tcW w:w="3070" w:type="dxa"/>
                    <w:vAlign w:val="center"/>
                  </w:tcPr>
                  <w:p w14:paraId="34C16243" w14:textId="77777777" w:rsidR="00B201D3" w:rsidRDefault="009855E8">
                    <w:pPr>
                      <w:rPr>
                        <w:color w:val="000000"/>
                      </w:rPr>
                    </w:pPr>
                    <w:r>
                      <w:rPr>
                        <w:rFonts w:hint="eastAsia"/>
                        <w:color w:val="000000"/>
                      </w:rPr>
                      <w:t>山东省《火电厂大气污染物排放标准》（D</w:t>
                    </w:r>
                    <w:r>
                      <w:rPr>
                        <w:color w:val="000000"/>
                      </w:rPr>
                      <w:t>B37/664-2019</w:t>
                    </w:r>
                    <w:r>
                      <w:rPr>
                        <w:rFonts w:hint="eastAsia"/>
                        <w:color w:val="000000"/>
                      </w:rPr>
                      <w:t>）、《区域性大气污染物综合排放标准》（D</w:t>
                    </w:r>
                    <w:r>
                      <w:rPr>
                        <w:color w:val="000000"/>
                      </w:rPr>
                      <w:t>B37/2376-2019</w:t>
                    </w:r>
                    <w:r>
                      <w:rPr>
                        <w:rFonts w:hint="eastAsia"/>
                        <w:color w:val="000000"/>
                      </w:rPr>
                      <w:t>）、《流域水污染物综合排放标准 第1部分：南四湖东平湖流域》（D</w:t>
                    </w:r>
                    <w:r>
                      <w:rPr>
                        <w:color w:val="000000"/>
                      </w:rPr>
                      <w:t>B37/3416.1-2018</w:t>
                    </w:r>
                    <w:r>
                      <w:rPr>
                        <w:rFonts w:hint="eastAsia"/>
                        <w:color w:val="000000"/>
                      </w:rPr>
                      <w:t>）</w:t>
                    </w:r>
                  </w:p>
                </w:tc>
                <w:tc>
                  <w:tcPr>
                    <w:tcW w:w="1650" w:type="dxa"/>
                    <w:vAlign w:val="center"/>
                  </w:tcPr>
                  <w:p w14:paraId="79E371BD" w14:textId="77777777" w:rsidR="00B201D3" w:rsidRDefault="009855E8">
                    <w:pPr>
                      <w:rPr>
                        <w:color w:val="000000"/>
                      </w:rPr>
                    </w:pPr>
                    <w:r>
                      <w:rPr>
                        <w:rFonts w:hint="eastAsia"/>
                        <w:color w:val="000000"/>
                        <w:spacing w:val="-18"/>
                      </w:rPr>
                      <w:t>颗粒物：</w:t>
                    </w:r>
                    <w:r>
                      <w:rPr>
                        <w:color w:val="000000"/>
                        <w:spacing w:val="-18"/>
                      </w:rPr>
                      <w:t>94.5</w:t>
                    </w:r>
                    <w:r>
                      <w:rPr>
                        <w:rFonts w:hint="eastAsia"/>
                        <w:color w:val="000000"/>
                        <w:spacing w:val="-18"/>
                      </w:rPr>
                      <w:t>吨</w:t>
                    </w:r>
                    <w:r>
                      <w:rPr>
                        <w:rFonts w:hint="eastAsia"/>
                        <w:color w:val="000000"/>
                        <w:spacing w:val="-10"/>
                      </w:rPr>
                      <w:t>SO</w:t>
                    </w:r>
                    <w:r>
                      <w:rPr>
                        <w:rFonts w:hint="eastAsia"/>
                        <w:color w:val="000000"/>
                        <w:spacing w:val="-10"/>
                        <w:vertAlign w:val="subscript"/>
                      </w:rPr>
                      <w:t>2</w:t>
                    </w:r>
                    <w:r>
                      <w:rPr>
                        <w:rFonts w:hint="eastAsia"/>
                        <w:color w:val="000000"/>
                        <w:spacing w:val="-10"/>
                      </w:rPr>
                      <w:t>：</w:t>
                    </w:r>
                    <w:r>
                      <w:rPr>
                        <w:color w:val="000000"/>
                        <w:spacing w:val="-10"/>
                      </w:rPr>
                      <w:t>544.6吨</w:t>
                    </w:r>
                  </w:p>
                  <w:p w14:paraId="258F51DA" w14:textId="77777777" w:rsidR="00B201D3" w:rsidRDefault="009855E8">
                    <w:pPr>
                      <w:rPr>
                        <w:color w:val="000000"/>
                      </w:rPr>
                    </w:pPr>
                    <w:r>
                      <w:rPr>
                        <w:color w:val="000000"/>
                      </w:rPr>
                      <w:t>NO</w:t>
                    </w:r>
                    <w:r>
                      <w:rPr>
                        <w:color w:val="000000"/>
                        <w:vertAlign w:val="subscript"/>
                      </w:rPr>
                      <w:t>X</w:t>
                    </w:r>
                    <w:r>
                      <w:rPr>
                        <w:rFonts w:hint="eastAsia"/>
                        <w:color w:val="000000"/>
                      </w:rPr>
                      <w:t>：</w:t>
                    </w:r>
                    <w:r>
                      <w:rPr>
                        <w:color w:val="000000"/>
                      </w:rPr>
                      <w:t>787.7吨</w:t>
                    </w:r>
                  </w:p>
                  <w:p w14:paraId="0643EB25" w14:textId="77777777" w:rsidR="00B201D3" w:rsidRDefault="009855E8">
                    <w:pPr>
                      <w:rPr>
                        <w:color w:val="000000"/>
                      </w:rPr>
                    </w:pPr>
                    <w:r>
                      <w:rPr>
                        <w:color w:val="000000"/>
                      </w:rPr>
                      <w:t>COD</w:t>
                    </w:r>
                    <w:r>
                      <w:rPr>
                        <w:rFonts w:hint="eastAsia"/>
                        <w:color w:val="000000"/>
                      </w:rPr>
                      <w:t>：</w:t>
                    </w:r>
                    <w:r>
                      <w:rPr>
                        <w:color w:val="000000"/>
                      </w:rPr>
                      <w:t>577.0吨</w:t>
                    </w:r>
                  </w:p>
                  <w:p w14:paraId="76A0A0D6" w14:textId="77777777" w:rsidR="00B201D3" w:rsidRDefault="009855E8">
                    <w:pPr>
                      <w:rPr>
                        <w:color w:val="000000"/>
                      </w:rPr>
                    </w:pPr>
                    <w:r>
                      <w:rPr>
                        <w:color w:val="000000"/>
                      </w:rPr>
                      <w:t>氨氮</w:t>
                    </w:r>
                    <w:r>
                      <w:rPr>
                        <w:rFonts w:hint="eastAsia"/>
                        <w:color w:val="000000"/>
                      </w:rPr>
                      <w:t>：9</w:t>
                    </w:r>
                    <w:r>
                      <w:rPr>
                        <w:color w:val="000000"/>
                      </w:rPr>
                      <w:t>1.0吨</w:t>
                    </w:r>
                  </w:p>
                </w:tc>
                <w:tc>
                  <w:tcPr>
                    <w:tcW w:w="1569" w:type="dxa"/>
                    <w:vAlign w:val="center"/>
                  </w:tcPr>
                  <w:p w14:paraId="0B472D01" w14:textId="77777777" w:rsidR="00B201D3" w:rsidRDefault="009855E8">
                    <w:pPr>
                      <w:rPr>
                        <w:color w:val="000000"/>
                        <w:spacing w:val="-18"/>
                      </w:rPr>
                    </w:pPr>
                    <w:r>
                      <w:rPr>
                        <w:rFonts w:hint="eastAsia"/>
                        <w:color w:val="000000"/>
                        <w:spacing w:val="-18"/>
                      </w:rPr>
                      <w:t>颗粒物：</w:t>
                    </w:r>
                    <w:r>
                      <w:rPr>
                        <w:color w:val="000000"/>
                        <w:spacing w:val="-18"/>
                      </w:rPr>
                      <w:t>8.4</w:t>
                    </w:r>
                    <w:r>
                      <w:rPr>
                        <w:rFonts w:hint="eastAsia"/>
                        <w:color w:val="000000"/>
                        <w:spacing w:val="-18"/>
                      </w:rPr>
                      <w:t>吨</w:t>
                    </w:r>
                  </w:p>
                  <w:p w14:paraId="44962B32" w14:textId="77777777" w:rsidR="00B201D3" w:rsidRDefault="009855E8">
                    <w:pPr>
                      <w:rPr>
                        <w:color w:val="000000"/>
                      </w:rPr>
                    </w:pPr>
                    <w:r>
                      <w:rPr>
                        <w:rFonts w:hint="eastAsia"/>
                        <w:color w:val="000000"/>
                      </w:rPr>
                      <w:t>SO</w:t>
                    </w:r>
                    <w:r>
                      <w:rPr>
                        <w:rFonts w:hint="eastAsia"/>
                        <w:color w:val="000000"/>
                        <w:vertAlign w:val="subscript"/>
                      </w:rPr>
                      <w:t>2</w:t>
                    </w:r>
                    <w:r>
                      <w:rPr>
                        <w:rFonts w:hint="eastAsia"/>
                        <w:color w:val="000000"/>
                      </w:rPr>
                      <w:t>：</w:t>
                    </w:r>
                    <w:r>
                      <w:rPr>
                        <w:color w:val="000000"/>
                      </w:rPr>
                      <w:t>60.8吨</w:t>
                    </w:r>
                  </w:p>
                  <w:p w14:paraId="500400F8" w14:textId="77777777" w:rsidR="00B201D3" w:rsidRDefault="009855E8">
                    <w:pPr>
                      <w:rPr>
                        <w:color w:val="000000"/>
                        <w:spacing w:val="-4"/>
                      </w:rPr>
                    </w:pPr>
                    <w:r>
                      <w:rPr>
                        <w:color w:val="000000"/>
                        <w:spacing w:val="-4"/>
                      </w:rPr>
                      <w:t>NO</w:t>
                    </w:r>
                    <w:r>
                      <w:rPr>
                        <w:color w:val="000000"/>
                        <w:spacing w:val="-4"/>
                        <w:vertAlign w:val="subscript"/>
                      </w:rPr>
                      <w:t>X</w:t>
                    </w:r>
                    <w:r>
                      <w:rPr>
                        <w:rFonts w:hint="eastAsia"/>
                        <w:color w:val="000000"/>
                        <w:spacing w:val="-4"/>
                      </w:rPr>
                      <w:t>：</w:t>
                    </w:r>
                    <w:r>
                      <w:rPr>
                        <w:color w:val="000000"/>
                        <w:spacing w:val="-4"/>
                      </w:rPr>
                      <w:t>242.1吨</w:t>
                    </w:r>
                  </w:p>
                  <w:p w14:paraId="44A601D6" w14:textId="77777777" w:rsidR="00B201D3" w:rsidRDefault="009855E8">
                    <w:pPr>
                      <w:rPr>
                        <w:color w:val="000000"/>
                      </w:rPr>
                    </w:pPr>
                    <w:r>
                      <w:rPr>
                        <w:color w:val="000000"/>
                      </w:rPr>
                      <w:t>COD</w:t>
                    </w:r>
                    <w:r>
                      <w:rPr>
                        <w:rFonts w:hint="eastAsia"/>
                        <w:color w:val="000000"/>
                      </w:rPr>
                      <w:t>：</w:t>
                    </w:r>
                    <w:r>
                      <w:rPr>
                        <w:color w:val="000000"/>
                      </w:rPr>
                      <w:t>191.2吨</w:t>
                    </w:r>
                  </w:p>
                  <w:p w14:paraId="2FA13D1E" w14:textId="77777777" w:rsidR="00B201D3" w:rsidRDefault="009855E8">
                    <w:pPr>
                      <w:rPr>
                        <w:color w:val="000000"/>
                      </w:rPr>
                    </w:pPr>
                    <w:r>
                      <w:rPr>
                        <w:color w:val="000000"/>
                      </w:rPr>
                      <w:t>氨氮</w:t>
                    </w:r>
                    <w:r>
                      <w:rPr>
                        <w:rFonts w:hint="eastAsia"/>
                        <w:color w:val="000000"/>
                      </w:rPr>
                      <w:t>：</w:t>
                    </w:r>
                    <w:r>
                      <w:rPr>
                        <w:color w:val="000000"/>
                      </w:rPr>
                      <w:t>5.9吨</w:t>
                    </w:r>
                  </w:p>
                </w:tc>
              </w:tr>
            </w:tbl>
            <w:p w14:paraId="76224196" w14:textId="77777777" w:rsidR="00B201D3" w:rsidRDefault="00C8327E">
              <w:pPr>
                <w:pStyle w:val="aff2"/>
                <w:ind w:firstLineChars="0" w:firstLine="0"/>
                <w:rPr>
                  <w:rFonts w:ascii="宋体" w:hAnsi="宋体"/>
                </w:rPr>
              </w:pPr>
            </w:p>
          </w:sdtContent>
        </w:sdt>
        <w:p w14:paraId="1B3B1F7D" w14:textId="77777777" w:rsidR="00B201D3" w:rsidRDefault="00C8327E">
          <w:pPr>
            <w:pStyle w:val="3903"/>
          </w:pPr>
        </w:p>
      </w:sdtContent>
    </w:sdt>
    <w:sdt>
      <w:sdtPr>
        <w:rPr>
          <w:rFonts w:ascii="宋体" w:hAnsi="宋体" w:hint="eastAsia"/>
          <w:b w:val="0"/>
          <w:bCs w:val="0"/>
          <w:szCs w:val="22"/>
        </w:rPr>
        <w:alias w:val="模块:防治污染设施的建设和运行情况"/>
        <w:tag w:val="_SEC_9647358b46c84a02b09d75557c728419"/>
        <w:id w:val="505099117"/>
        <w:lock w:val="sdtLocked"/>
        <w:placeholder>
          <w:docPart w:val="GBC22222222222222222222222222222"/>
        </w:placeholder>
      </w:sdtPr>
      <w:sdtEndPr/>
      <w:sdtContent>
        <w:p w14:paraId="4633CBF6" w14:textId="77777777" w:rsidR="00B201D3" w:rsidRDefault="009855E8">
          <w:pPr>
            <w:pStyle w:val="4"/>
            <w:numPr>
              <w:ilvl w:val="0"/>
              <w:numId w:val="23"/>
            </w:numPr>
            <w:rPr>
              <w:rFonts w:ascii="宋体" w:hAnsi="宋体"/>
              <w:bCs w:val="0"/>
              <w:szCs w:val="21"/>
            </w:rPr>
          </w:pPr>
          <w:r>
            <w:rPr>
              <w:rFonts w:ascii="宋体" w:hAnsi="宋体" w:hint="eastAsia"/>
            </w:rPr>
            <w:t>防治污染设</w:t>
          </w:r>
          <w:r>
            <w:rPr>
              <w:rFonts w:ascii="宋体" w:hAnsi="宋体" w:hint="eastAsia"/>
              <w:szCs w:val="21"/>
            </w:rPr>
            <w:t>施的建设和运行情况</w:t>
          </w:r>
        </w:p>
        <w:sdt>
          <w:sdtPr>
            <w:alias w:val="是否适用：防治污染设施的建设和运行情况[双击切换]"/>
            <w:tag w:val="_GBC_e5a6ee71f2e449e58d9301e4ca07981f"/>
            <w:id w:val="-1766686926"/>
            <w:lock w:val="sdtLocked"/>
            <w:placeholder>
              <w:docPart w:val="GBC22222222222222222222222222222"/>
            </w:placeholder>
          </w:sdtPr>
          <w:sdtEndPr/>
          <w:sdtContent>
            <w:p w14:paraId="4C247622" w14:textId="77777777" w:rsidR="00B201D3" w:rsidRDefault="009855E8">
              <w:pPr>
                <w:pStyle w:val="390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防治污染设施的建设和运行情况"/>
            <w:tag w:val="_GBC_1c83977b65834eaa98d6c63b6e3074af"/>
            <w:id w:val="89824430"/>
            <w:lock w:val="sdtLocked"/>
            <w:placeholder>
              <w:docPart w:val="GBC22222222222222222222222222222"/>
            </w:placeholder>
          </w:sdtPr>
          <w:sdtEndPr/>
          <w:sdtContent>
            <w:p w14:paraId="2DD4C10E" w14:textId="77777777" w:rsidR="00B201D3" w:rsidRDefault="009855E8">
              <w:pPr>
                <w:ind w:firstLineChars="200" w:firstLine="420"/>
                <w:rPr>
                  <w:color w:val="000000"/>
                </w:rPr>
              </w:pPr>
              <w:r>
                <w:rPr>
                  <w:rFonts w:hint="eastAsia"/>
                  <w:color w:val="000000"/>
                </w:rPr>
                <w:t>本集团所属各相关单位建设有完善的污染源治理设施，治理设施与生产系统同步运行，确保实现污染物达标排放。</w:t>
              </w:r>
            </w:p>
            <w:p w14:paraId="55FF1398" w14:textId="77777777" w:rsidR="00B201D3" w:rsidRDefault="009855E8">
              <w:pPr>
                <w:ind w:firstLineChars="200" w:firstLine="420"/>
                <w:rPr>
                  <w:color w:val="000000"/>
                </w:rPr>
              </w:pPr>
              <w:r>
                <w:rPr>
                  <w:rFonts w:hint="eastAsia"/>
                  <w:color w:val="000000"/>
                </w:rPr>
                <w:t>所属各煤矿企业均建设有完备的矿井水、生活污水处理设施；建设了筒仓、封闭煤棚和封闭物料棚，煤场、矸石堆场等实现全封闭。电厂锅炉全部达到超低排放标准要求。化工企业均建有工业污水处理厂，锅炉按照要求进行了超低排放改造，完成了挥发性有机物治理。</w:t>
              </w:r>
            </w:p>
            <w:tbl>
              <w:tblPr>
                <w:tblStyle w:val="3a"/>
                <w:tblW w:w="10157" w:type="dxa"/>
                <w:jc w:val="center"/>
                <w:tblLook w:val="04A0" w:firstRow="1" w:lastRow="0" w:firstColumn="1" w:lastColumn="0" w:noHBand="0" w:noVBand="1"/>
              </w:tblPr>
              <w:tblGrid>
                <w:gridCol w:w="750"/>
                <w:gridCol w:w="2527"/>
                <w:gridCol w:w="6880"/>
              </w:tblGrid>
              <w:tr w:rsidR="00B201D3" w14:paraId="65E1E344" w14:textId="77777777">
                <w:trPr>
                  <w:trHeight w:val="508"/>
                  <w:tblHeader/>
                  <w:jc w:val="center"/>
                </w:trPr>
                <w:tc>
                  <w:tcPr>
                    <w:tcW w:w="750" w:type="dxa"/>
                    <w:vAlign w:val="center"/>
                  </w:tcPr>
                  <w:p w14:paraId="359FA26F" w14:textId="77777777" w:rsidR="00B201D3" w:rsidRDefault="009855E8">
                    <w:pPr>
                      <w:jc w:val="center"/>
                      <w:rPr>
                        <w:rFonts w:ascii="黑体" w:eastAsia="黑体" w:hAnsi="黑体"/>
                        <w:bCs w:val="0"/>
                        <w:color w:val="000000"/>
                        <w:sz w:val="20"/>
                        <w:szCs w:val="20"/>
                      </w:rPr>
                    </w:pPr>
                    <w:r>
                      <w:rPr>
                        <w:rFonts w:ascii="黑体" w:eastAsia="黑体" w:hAnsi="黑体" w:hint="eastAsia"/>
                        <w:bCs w:val="0"/>
                        <w:color w:val="000000"/>
                        <w:sz w:val="20"/>
                        <w:szCs w:val="20"/>
                      </w:rPr>
                      <w:t>序号</w:t>
                    </w:r>
                  </w:p>
                </w:tc>
                <w:tc>
                  <w:tcPr>
                    <w:tcW w:w="2527" w:type="dxa"/>
                    <w:vAlign w:val="center"/>
                  </w:tcPr>
                  <w:p w14:paraId="48274B99" w14:textId="77777777" w:rsidR="00B201D3" w:rsidRDefault="009855E8">
                    <w:pPr>
                      <w:jc w:val="center"/>
                      <w:rPr>
                        <w:rFonts w:ascii="黑体" w:eastAsia="黑体" w:hAnsi="黑体"/>
                        <w:bCs w:val="0"/>
                        <w:color w:val="000000"/>
                        <w:sz w:val="20"/>
                        <w:szCs w:val="20"/>
                      </w:rPr>
                    </w:pPr>
                    <w:r>
                      <w:rPr>
                        <w:rFonts w:ascii="黑体" w:eastAsia="黑体" w:hAnsi="黑体" w:hint="eastAsia"/>
                        <w:bCs w:val="0"/>
                        <w:color w:val="000000"/>
                        <w:sz w:val="20"/>
                        <w:szCs w:val="20"/>
                      </w:rPr>
                      <w:t>重点排污单位</w:t>
                    </w:r>
                  </w:p>
                </w:tc>
                <w:tc>
                  <w:tcPr>
                    <w:tcW w:w="6880" w:type="dxa"/>
                    <w:vAlign w:val="center"/>
                  </w:tcPr>
                  <w:p w14:paraId="268C0D2B" w14:textId="77777777" w:rsidR="00B201D3" w:rsidRDefault="009855E8">
                    <w:pPr>
                      <w:jc w:val="center"/>
                      <w:rPr>
                        <w:rFonts w:ascii="黑体" w:eastAsia="黑体" w:hAnsi="黑体"/>
                        <w:bCs w:val="0"/>
                        <w:color w:val="000000"/>
                        <w:sz w:val="20"/>
                        <w:szCs w:val="20"/>
                      </w:rPr>
                    </w:pPr>
                    <w:r>
                      <w:rPr>
                        <w:rFonts w:ascii="黑体" w:eastAsia="黑体" w:hAnsi="黑体" w:hint="eastAsia"/>
                        <w:bCs w:val="0"/>
                        <w:color w:val="000000"/>
                        <w:sz w:val="20"/>
                        <w:szCs w:val="20"/>
                      </w:rPr>
                      <w:t>防治污染设施的建设和运行情况</w:t>
                    </w:r>
                  </w:p>
                </w:tc>
              </w:tr>
              <w:tr w:rsidR="00B201D3" w14:paraId="1F10BCA5" w14:textId="77777777">
                <w:trPr>
                  <w:trHeight w:val="430"/>
                  <w:jc w:val="center"/>
                </w:trPr>
                <w:tc>
                  <w:tcPr>
                    <w:tcW w:w="750" w:type="dxa"/>
                    <w:vAlign w:val="center"/>
                  </w:tcPr>
                  <w:p w14:paraId="25D88DD5" w14:textId="77777777" w:rsidR="00B201D3" w:rsidRDefault="009855E8">
                    <w:pPr>
                      <w:jc w:val="center"/>
                      <w:rPr>
                        <w:bCs w:val="0"/>
                        <w:color w:val="000000"/>
                        <w:sz w:val="20"/>
                        <w:szCs w:val="20"/>
                      </w:rPr>
                    </w:pPr>
                    <w:r>
                      <w:rPr>
                        <w:rFonts w:hint="eastAsia"/>
                        <w:bCs w:val="0"/>
                        <w:color w:val="000000"/>
                        <w:sz w:val="20"/>
                        <w:szCs w:val="20"/>
                      </w:rPr>
                      <w:t>1</w:t>
                    </w:r>
                  </w:p>
                </w:tc>
                <w:tc>
                  <w:tcPr>
                    <w:tcW w:w="2527" w:type="dxa"/>
                    <w:vAlign w:val="center"/>
                  </w:tcPr>
                  <w:p w14:paraId="7FC5EDF4" w14:textId="77777777" w:rsidR="00B201D3" w:rsidRDefault="009855E8">
                    <w:pPr>
                      <w:jc w:val="center"/>
                      <w:rPr>
                        <w:bCs w:val="0"/>
                        <w:color w:val="000000"/>
                        <w:kern w:val="2"/>
                        <w:sz w:val="20"/>
                        <w:szCs w:val="20"/>
                      </w:rPr>
                    </w:pPr>
                    <w:r>
                      <w:rPr>
                        <w:bCs w:val="0"/>
                        <w:color w:val="000000"/>
                        <w:kern w:val="2"/>
                        <w:sz w:val="20"/>
                        <w:szCs w:val="20"/>
                      </w:rPr>
                      <w:t>南屯煤矿</w:t>
                    </w:r>
                  </w:p>
                </w:tc>
                <w:tc>
                  <w:tcPr>
                    <w:tcW w:w="6880" w:type="dxa"/>
                    <w:vMerge w:val="restart"/>
                    <w:vAlign w:val="center"/>
                  </w:tcPr>
                  <w:p w14:paraId="6746B814" w14:textId="7505CC89" w:rsidR="00B201D3" w:rsidRDefault="009210DF">
                    <w:pPr>
                      <w:rPr>
                        <w:bCs w:val="0"/>
                        <w:color w:val="000000"/>
                        <w:kern w:val="2"/>
                        <w:sz w:val="20"/>
                        <w:szCs w:val="20"/>
                      </w:rPr>
                    </w:pPr>
                    <w:r>
                      <w:rPr>
                        <w:rFonts w:hint="eastAsia"/>
                        <w:bCs w:val="0"/>
                        <w:color w:val="000000"/>
                        <w:kern w:val="2"/>
                        <w:sz w:val="20"/>
                        <w:szCs w:val="20"/>
                      </w:rPr>
                      <w:t>分别</w:t>
                    </w:r>
                    <w:r w:rsidR="009855E8">
                      <w:rPr>
                        <w:rFonts w:hint="eastAsia"/>
                        <w:bCs w:val="0"/>
                        <w:color w:val="000000"/>
                        <w:kern w:val="2"/>
                        <w:sz w:val="20"/>
                        <w:szCs w:val="20"/>
                      </w:rPr>
                      <w:t>建有一座矿井水处理站、一座生活污水处理站、一套高盐矿井水处理系统，运行正常。建有封闭煤棚和物料棚。</w:t>
                    </w:r>
                  </w:p>
                </w:tc>
              </w:tr>
              <w:tr w:rsidR="00B201D3" w14:paraId="69D85190" w14:textId="77777777">
                <w:trPr>
                  <w:trHeight w:val="430"/>
                  <w:jc w:val="center"/>
                </w:trPr>
                <w:tc>
                  <w:tcPr>
                    <w:tcW w:w="750" w:type="dxa"/>
                    <w:vAlign w:val="center"/>
                  </w:tcPr>
                  <w:p w14:paraId="6021D690" w14:textId="77777777" w:rsidR="00B201D3" w:rsidRDefault="009855E8">
                    <w:pPr>
                      <w:jc w:val="center"/>
                      <w:rPr>
                        <w:bCs w:val="0"/>
                        <w:sz w:val="20"/>
                        <w:szCs w:val="20"/>
                      </w:rPr>
                    </w:pPr>
                    <w:r>
                      <w:rPr>
                        <w:rFonts w:hint="eastAsia"/>
                        <w:bCs w:val="0"/>
                        <w:sz w:val="20"/>
                        <w:szCs w:val="20"/>
                      </w:rPr>
                      <w:t>2</w:t>
                    </w:r>
                  </w:p>
                </w:tc>
                <w:tc>
                  <w:tcPr>
                    <w:tcW w:w="2527" w:type="dxa"/>
                    <w:vAlign w:val="center"/>
                  </w:tcPr>
                  <w:p w14:paraId="0D313D3D" w14:textId="77777777" w:rsidR="00B201D3" w:rsidRDefault="009855E8">
                    <w:pPr>
                      <w:jc w:val="center"/>
                      <w:rPr>
                        <w:bCs w:val="0"/>
                        <w:kern w:val="2"/>
                        <w:sz w:val="20"/>
                        <w:szCs w:val="20"/>
                      </w:rPr>
                    </w:pPr>
                    <w:r>
                      <w:rPr>
                        <w:bCs w:val="0"/>
                        <w:kern w:val="2"/>
                        <w:sz w:val="20"/>
                        <w:szCs w:val="20"/>
                      </w:rPr>
                      <w:t>鲍店煤矿</w:t>
                    </w:r>
                  </w:p>
                </w:tc>
                <w:tc>
                  <w:tcPr>
                    <w:tcW w:w="6880" w:type="dxa"/>
                    <w:vMerge/>
                    <w:vAlign w:val="center"/>
                  </w:tcPr>
                  <w:p w14:paraId="3507085B" w14:textId="77777777" w:rsidR="00B201D3" w:rsidRDefault="00B201D3">
                    <w:pPr>
                      <w:rPr>
                        <w:bCs w:val="0"/>
                        <w:color w:val="FF0000"/>
                        <w:kern w:val="2"/>
                        <w:sz w:val="20"/>
                        <w:szCs w:val="20"/>
                      </w:rPr>
                    </w:pPr>
                  </w:p>
                </w:tc>
              </w:tr>
              <w:tr w:rsidR="00B201D3" w14:paraId="0C3E2B46" w14:textId="77777777">
                <w:trPr>
                  <w:trHeight w:val="430"/>
                  <w:jc w:val="center"/>
                </w:trPr>
                <w:tc>
                  <w:tcPr>
                    <w:tcW w:w="750" w:type="dxa"/>
                    <w:vAlign w:val="center"/>
                  </w:tcPr>
                  <w:p w14:paraId="2ABDFE98" w14:textId="77777777" w:rsidR="00B201D3" w:rsidRDefault="009855E8">
                    <w:pPr>
                      <w:jc w:val="center"/>
                      <w:rPr>
                        <w:bCs w:val="0"/>
                        <w:sz w:val="20"/>
                        <w:szCs w:val="20"/>
                      </w:rPr>
                    </w:pPr>
                    <w:r>
                      <w:rPr>
                        <w:rFonts w:hint="eastAsia"/>
                        <w:bCs w:val="0"/>
                        <w:sz w:val="20"/>
                        <w:szCs w:val="20"/>
                      </w:rPr>
                      <w:t>3</w:t>
                    </w:r>
                  </w:p>
                </w:tc>
                <w:tc>
                  <w:tcPr>
                    <w:tcW w:w="2527" w:type="dxa"/>
                    <w:vAlign w:val="center"/>
                  </w:tcPr>
                  <w:p w14:paraId="55DCDBAB" w14:textId="77777777" w:rsidR="00B201D3" w:rsidRDefault="009855E8">
                    <w:pPr>
                      <w:jc w:val="center"/>
                      <w:rPr>
                        <w:bCs w:val="0"/>
                        <w:kern w:val="2"/>
                        <w:sz w:val="20"/>
                        <w:szCs w:val="20"/>
                      </w:rPr>
                    </w:pPr>
                    <w:r>
                      <w:rPr>
                        <w:bCs w:val="0"/>
                        <w:kern w:val="2"/>
                        <w:sz w:val="20"/>
                        <w:szCs w:val="20"/>
                      </w:rPr>
                      <w:t>东滩煤矿</w:t>
                    </w:r>
                  </w:p>
                </w:tc>
                <w:tc>
                  <w:tcPr>
                    <w:tcW w:w="6880" w:type="dxa"/>
                    <w:vMerge/>
                    <w:vAlign w:val="center"/>
                  </w:tcPr>
                  <w:p w14:paraId="14E40FC8" w14:textId="77777777" w:rsidR="00B201D3" w:rsidRDefault="00B201D3">
                    <w:pPr>
                      <w:rPr>
                        <w:bCs w:val="0"/>
                        <w:kern w:val="2"/>
                        <w:sz w:val="20"/>
                        <w:szCs w:val="20"/>
                      </w:rPr>
                    </w:pPr>
                  </w:p>
                </w:tc>
              </w:tr>
              <w:tr w:rsidR="00B201D3" w14:paraId="749AB161" w14:textId="77777777">
                <w:trPr>
                  <w:trHeight w:val="430"/>
                  <w:jc w:val="center"/>
                </w:trPr>
                <w:tc>
                  <w:tcPr>
                    <w:tcW w:w="750" w:type="dxa"/>
                    <w:vAlign w:val="center"/>
                  </w:tcPr>
                  <w:p w14:paraId="480ED813" w14:textId="77777777" w:rsidR="00B201D3" w:rsidRDefault="009855E8">
                    <w:pPr>
                      <w:jc w:val="center"/>
                      <w:rPr>
                        <w:bCs w:val="0"/>
                        <w:sz w:val="20"/>
                        <w:szCs w:val="20"/>
                      </w:rPr>
                    </w:pPr>
                    <w:r>
                      <w:rPr>
                        <w:rFonts w:hint="eastAsia"/>
                        <w:bCs w:val="0"/>
                        <w:sz w:val="20"/>
                        <w:szCs w:val="20"/>
                      </w:rPr>
                      <w:t>4</w:t>
                    </w:r>
                  </w:p>
                </w:tc>
                <w:tc>
                  <w:tcPr>
                    <w:tcW w:w="2527" w:type="dxa"/>
                    <w:vAlign w:val="center"/>
                  </w:tcPr>
                  <w:p w14:paraId="7C841ADA" w14:textId="77777777" w:rsidR="00B201D3" w:rsidRDefault="009855E8">
                    <w:pPr>
                      <w:jc w:val="center"/>
                      <w:rPr>
                        <w:bCs w:val="0"/>
                        <w:kern w:val="2"/>
                        <w:sz w:val="20"/>
                        <w:szCs w:val="20"/>
                      </w:rPr>
                    </w:pPr>
                    <w:r>
                      <w:rPr>
                        <w:rFonts w:hint="eastAsia"/>
                        <w:bCs w:val="0"/>
                        <w:kern w:val="2"/>
                        <w:sz w:val="20"/>
                        <w:szCs w:val="20"/>
                      </w:rPr>
                      <w:t>济二煤矿</w:t>
                    </w:r>
                  </w:p>
                </w:tc>
                <w:tc>
                  <w:tcPr>
                    <w:tcW w:w="6880" w:type="dxa"/>
                    <w:vMerge/>
                    <w:vAlign w:val="center"/>
                  </w:tcPr>
                  <w:p w14:paraId="7307281C" w14:textId="77777777" w:rsidR="00B201D3" w:rsidRDefault="00B201D3">
                    <w:pPr>
                      <w:rPr>
                        <w:bCs w:val="0"/>
                        <w:kern w:val="2"/>
                        <w:sz w:val="20"/>
                        <w:szCs w:val="20"/>
                      </w:rPr>
                    </w:pPr>
                  </w:p>
                </w:tc>
              </w:tr>
              <w:tr w:rsidR="00B201D3" w14:paraId="65D3BCC1" w14:textId="77777777">
                <w:trPr>
                  <w:trHeight w:val="430"/>
                  <w:jc w:val="center"/>
                </w:trPr>
                <w:tc>
                  <w:tcPr>
                    <w:tcW w:w="750" w:type="dxa"/>
                    <w:vAlign w:val="center"/>
                  </w:tcPr>
                  <w:p w14:paraId="6D93D623" w14:textId="77777777" w:rsidR="00B201D3" w:rsidRDefault="009855E8">
                    <w:pPr>
                      <w:jc w:val="center"/>
                      <w:rPr>
                        <w:bCs w:val="0"/>
                        <w:sz w:val="20"/>
                        <w:szCs w:val="20"/>
                      </w:rPr>
                    </w:pPr>
                    <w:r>
                      <w:rPr>
                        <w:rFonts w:hint="eastAsia"/>
                        <w:bCs w:val="0"/>
                        <w:sz w:val="20"/>
                        <w:szCs w:val="20"/>
                      </w:rPr>
                      <w:t>5</w:t>
                    </w:r>
                  </w:p>
                </w:tc>
                <w:tc>
                  <w:tcPr>
                    <w:tcW w:w="2527" w:type="dxa"/>
                    <w:vAlign w:val="center"/>
                  </w:tcPr>
                  <w:p w14:paraId="5B8AFF50" w14:textId="77777777" w:rsidR="00B201D3" w:rsidRDefault="009855E8">
                    <w:pPr>
                      <w:jc w:val="center"/>
                      <w:rPr>
                        <w:bCs w:val="0"/>
                        <w:kern w:val="2"/>
                        <w:sz w:val="20"/>
                        <w:szCs w:val="20"/>
                      </w:rPr>
                    </w:pPr>
                    <w:r>
                      <w:rPr>
                        <w:bCs w:val="0"/>
                        <w:kern w:val="2"/>
                        <w:sz w:val="20"/>
                        <w:szCs w:val="20"/>
                      </w:rPr>
                      <w:t>济</w:t>
                    </w:r>
                    <w:r>
                      <w:rPr>
                        <w:rFonts w:hint="eastAsia"/>
                        <w:bCs w:val="0"/>
                        <w:kern w:val="2"/>
                        <w:sz w:val="20"/>
                        <w:szCs w:val="20"/>
                      </w:rPr>
                      <w:t>三</w:t>
                    </w:r>
                    <w:r>
                      <w:rPr>
                        <w:bCs w:val="0"/>
                        <w:kern w:val="2"/>
                        <w:sz w:val="20"/>
                        <w:szCs w:val="20"/>
                      </w:rPr>
                      <w:t>煤矿</w:t>
                    </w:r>
                  </w:p>
                </w:tc>
                <w:tc>
                  <w:tcPr>
                    <w:tcW w:w="6880" w:type="dxa"/>
                    <w:vMerge/>
                    <w:vAlign w:val="center"/>
                  </w:tcPr>
                  <w:p w14:paraId="7E7190FA" w14:textId="77777777" w:rsidR="00B201D3" w:rsidRDefault="00B201D3">
                    <w:pPr>
                      <w:rPr>
                        <w:bCs w:val="0"/>
                        <w:kern w:val="2"/>
                        <w:sz w:val="20"/>
                        <w:szCs w:val="20"/>
                      </w:rPr>
                    </w:pPr>
                  </w:p>
                </w:tc>
              </w:tr>
              <w:tr w:rsidR="00B201D3" w14:paraId="65929373" w14:textId="77777777">
                <w:trPr>
                  <w:trHeight w:val="430"/>
                  <w:jc w:val="center"/>
                </w:trPr>
                <w:tc>
                  <w:tcPr>
                    <w:tcW w:w="750" w:type="dxa"/>
                    <w:vAlign w:val="center"/>
                  </w:tcPr>
                  <w:p w14:paraId="06FD34B9" w14:textId="77777777" w:rsidR="00B201D3" w:rsidRDefault="009855E8">
                    <w:pPr>
                      <w:jc w:val="center"/>
                      <w:rPr>
                        <w:bCs w:val="0"/>
                        <w:sz w:val="20"/>
                        <w:szCs w:val="20"/>
                      </w:rPr>
                    </w:pPr>
                    <w:r>
                      <w:rPr>
                        <w:rFonts w:hint="eastAsia"/>
                        <w:bCs w:val="0"/>
                        <w:sz w:val="20"/>
                        <w:szCs w:val="20"/>
                      </w:rPr>
                      <w:t>6</w:t>
                    </w:r>
                  </w:p>
                </w:tc>
                <w:tc>
                  <w:tcPr>
                    <w:tcW w:w="2527" w:type="dxa"/>
                    <w:vAlign w:val="center"/>
                  </w:tcPr>
                  <w:p w14:paraId="3ADC534E" w14:textId="77777777" w:rsidR="00B201D3" w:rsidRDefault="009855E8">
                    <w:pPr>
                      <w:jc w:val="center"/>
                      <w:rPr>
                        <w:bCs w:val="0"/>
                        <w:kern w:val="2"/>
                        <w:sz w:val="20"/>
                        <w:szCs w:val="20"/>
                      </w:rPr>
                    </w:pPr>
                    <w:r>
                      <w:rPr>
                        <w:bCs w:val="0"/>
                        <w:kern w:val="2"/>
                        <w:sz w:val="20"/>
                        <w:szCs w:val="20"/>
                      </w:rPr>
                      <w:t>赵楼煤矿</w:t>
                    </w:r>
                  </w:p>
                </w:tc>
                <w:tc>
                  <w:tcPr>
                    <w:tcW w:w="6880" w:type="dxa"/>
                    <w:vMerge/>
                    <w:vAlign w:val="center"/>
                  </w:tcPr>
                  <w:p w14:paraId="3174B6B9" w14:textId="77777777" w:rsidR="00B201D3" w:rsidRDefault="00B201D3">
                    <w:pPr>
                      <w:rPr>
                        <w:bCs w:val="0"/>
                        <w:kern w:val="2"/>
                        <w:sz w:val="20"/>
                        <w:szCs w:val="20"/>
                      </w:rPr>
                    </w:pPr>
                  </w:p>
                </w:tc>
              </w:tr>
              <w:tr w:rsidR="00B201D3" w14:paraId="1FA65EBE" w14:textId="77777777">
                <w:trPr>
                  <w:trHeight w:val="430"/>
                  <w:jc w:val="center"/>
                </w:trPr>
                <w:tc>
                  <w:tcPr>
                    <w:tcW w:w="750" w:type="dxa"/>
                    <w:vAlign w:val="center"/>
                  </w:tcPr>
                  <w:p w14:paraId="432F7E1D" w14:textId="77777777" w:rsidR="00B201D3" w:rsidRDefault="009855E8">
                    <w:pPr>
                      <w:jc w:val="center"/>
                      <w:rPr>
                        <w:bCs w:val="0"/>
                        <w:sz w:val="20"/>
                        <w:szCs w:val="20"/>
                      </w:rPr>
                    </w:pPr>
                    <w:r>
                      <w:rPr>
                        <w:rFonts w:hint="eastAsia"/>
                        <w:bCs w:val="0"/>
                        <w:sz w:val="20"/>
                        <w:szCs w:val="20"/>
                      </w:rPr>
                      <w:t>7</w:t>
                    </w:r>
                  </w:p>
                </w:tc>
                <w:tc>
                  <w:tcPr>
                    <w:tcW w:w="2527" w:type="dxa"/>
                    <w:vAlign w:val="center"/>
                  </w:tcPr>
                  <w:p w14:paraId="1006087D" w14:textId="77777777" w:rsidR="00B201D3" w:rsidRDefault="009855E8">
                    <w:pPr>
                      <w:jc w:val="center"/>
                      <w:rPr>
                        <w:bCs w:val="0"/>
                        <w:kern w:val="2"/>
                        <w:sz w:val="20"/>
                        <w:szCs w:val="20"/>
                      </w:rPr>
                    </w:pPr>
                    <w:r>
                      <w:rPr>
                        <w:bCs w:val="0"/>
                        <w:kern w:val="2"/>
                        <w:sz w:val="20"/>
                        <w:szCs w:val="20"/>
                      </w:rPr>
                      <w:t>杨村煤矿</w:t>
                    </w:r>
                  </w:p>
                </w:tc>
                <w:tc>
                  <w:tcPr>
                    <w:tcW w:w="6880" w:type="dxa"/>
                    <w:vMerge w:val="restart"/>
                    <w:vAlign w:val="center"/>
                  </w:tcPr>
                  <w:p w14:paraId="528050BE" w14:textId="7A84A74E" w:rsidR="00B201D3" w:rsidRDefault="009210DF">
                    <w:pPr>
                      <w:rPr>
                        <w:bCs w:val="0"/>
                        <w:kern w:val="2"/>
                        <w:sz w:val="20"/>
                        <w:szCs w:val="20"/>
                      </w:rPr>
                    </w:pPr>
                    <w:r>
                      <w:rPr>
                        <w:rFonts w:hint="eastAsia"/>
                        <w:bCs w:val="0"/>
                        <w:kern w:val="2"/>
                        <w:sz w:val="20"/>
                        <w:szCs w:val="20"/>
                      </w:rPr>
                      <w:t>分别</w:t>
                    </w:r>
                    <w:r w:rsidR="009855E8">
                      <w:rPr>
                        <w:rFonts w:hint="eastAsia"/>
                        <w:bCs w:val="0"/>
                        <w:kern w:val="2"/>
                        <w:sz w:val="20"/>
                        <w:szCs w:val="20"/>
                      </w:rPr>
                      <w:t>建有一座矿井水处理站、一座生活污水处理站，运行正常。建有封闭煤棚和物料棚。</w:t>
                    </w:r>
                  </w:p>
                </w:tc>
              </w:tr>
              <w:tr w:rsidR="00B201D3" w14:paraId="7E83AAD3" w14:textId="77777777">
                <w:trPr>
                  <w:trHeight w:val="430"/>
                  <w:jc w:val="center"/>
                </w:trPr>
                <w:tc>
                  <w:tcPr>
                    <w:tcW w:w="750" w:type="dxa"/>
                    <w:vAlign w:val="center"/>
                  </w:tcPr>
                  <w:p w14:paraId="4C8D7112" w14:textId="77777777" w:rsidR="00B201D3" w:rsidRDefault="009855E8">
                    <w:pPr>
                      <w:jc w:val="center"/>
                      <w:rPr>
                        <w:bCs w:val="0"/>
                        <w:sz w:val="20"/>
                        <w:szCs w:val="20"/>
                      </w:rPr>
                    </w:pPr>
                    <w:r>
                      <w:rPr>
                        <w:rFonts w:hint="eastAsia"/>
                        <w:bCs w:val="0"/>
                        <w:sz w:val="20"/>
                        <w:szCs w:val="20"/>
                      </w:rPr>
                      <w:t>8</w:t>
                    </w:r>
                  </w:p>
                </w:tc>
                <w:tc>
                  <w:tcPr>
                    <w:tcW w:w="2527" w:type="dxa"/>
                    <w:vAlign w:val="center"/>
                  </w:tcPr>
                  <w:p w14:paraId="69379568" w14:textId="77777777" w:rsidR="00B201D3" w:rsidRDefault="009855E8">
                    <w:pPr>
                      <w:jc w:val="center"/>
                      <w:rPr>
                        <w:bCs w:val="0"/>
                        <w:kern w:val="2"/>
                        <w:sz w:val="20"/>
                        <w:szCs w:val="20"/>
                      </w:rPr>
                    </w:pPr>
                    <w:r>
                      <w:rPr>
                        <w:bCs w:val="0"/>
                        <w:kern w:val="2"/>
                        <w:sz w:val="20"/>
                        <w:szCs w:val="20"/>
                      </w:rPr>
                      <w:t>兴隆庄煤矿</w:t>
                    </w:r>
                  </w:p>
                </w:tc>
                <w:tc>
                  <w:tcPr>
                    <w:tcW w:w="6880" w:type="dxa"/>
                    <w:vMerge/>
                    <w:vAlign w:val="center"/>
                  </w:tcPr>
                  <w:p w14:paraId="146B96C4" w14:textId="77777777" w:rsidR="00B201D3" w:rsidRDefault="00B201D3">
                    <w:pPr>
                      <w:rPr>
                        <w:bCs w:val="0"/>
                        <w:kern w:val="2"/>
                        <w:sz w:val="20"/>
                        <w:szCs w:val="20"/>
                      </w:rPr>
                    </w:pPr>
                  </w:p>
                </w:tc>
              </w:tr>
              <w:tr w:rsidR="00B201D3" w14:paraId="0D3F7493" w14:textId="77777777">
                <w:trPr>
                  <w:trHeight w:val="430"/>
                  <w:jc w:val="center"/>
                </w:trPr>
                <w:tc>
                  <w:tcPr>
                    <w:tcW w:w="750" w:type="dxa"/>
                    <w:vAlign w:val="center"/>
                  </w:tcPr>
                  <w:p w14:paraId="1C3D67C0" w14:textId="77777777" w:rsidR="00B201D3" w:rsidRDefault="009855E8">
                    <w:pPr>
                      <w:jc w:val="center"/>
                      <w:rPr>
                        <w:bCs w:val="0"/>
                        <w:sz w:val="20"/>
                        <w:szCs w:val="20"/>
                      </w:rPr>
                    </w:pPr>
                    <w:r>
                      <w:rPr>
                        <w:rFonts w:hint="eastAsia"/>
                        <w:bCs w:val="0"/>
                        <w:sz w:val="20"/>
                        <w:szCs w:val="20"/>
                      </w:rPr>
                      <w:t>9</w:t>
                    </w:r>
                  </w:p>
                </w:tc>
                <w:tc>
                  <w:tcPr>
                    <w:tcW w:w="2527" w:type="dxa"/>
                    <w:vAlign w:val="center"/>
                  </w:tcPr>
                  <w:p w14:paraId="7AC1F767" w14:textId="77777777" w:rsidR="00B201D3" w:rsidRDefault="009855E8">
                    <w:pPr>
                      <w:jc w:val="center"/>
                      <w:rPr>
                        <w:bCs w:val="0"/>
                        <w:kern w:val="2"/>
                        <w:sz w:val="20"/>
                        <w:szCs w:val="20"/>
                      </w:rPr>
                    </w:pPr>
                    <w:r>
                      <w:rPr>
                        <w:rFonts w:hint="eastAsia"/>
                        <w:bCs w:val="0"/>
                        <w:kern w:val="2"/>
                        <w:sz w:val="20"/>
                        <w:szCs w:val="20"/>
                      </w:rPr>
                      <w:t>天池煤矿</w:t>
                    </w:r>
                  </w:p>
                </w:tc>
                <w:tc>
                  <w:tcPr>
                    <w:tcW w:w="6880" w:type="dxa"/>
                    <w:vAlign w:val="center"/>
                  </w:tcPr>
                  <w:p w14:paraId="7E3D35A2" w14:textId="77777777" w:rsidR="00B201D3" w:rsidRDefault="009855E8">
                    <w:pPr>
                      <w:rPr>
                        <w:bCs w:val="0"/>
                        <w:kern w:val="2"/>
                        <w:sz w:val="20"/>
                        <w:szCs w:val="20"/>
                      </w:rPr>
                    </w:pPr>
                    <w:r>
                      <w:rPr>
                        <w:bCs w:val="0"/>
                        <w:kern w:val="2"/>
                        <w:sz w:val="20"/>
                        <w:szCs w:val="20"/>
                      </w:rPr>
                      <w:t>建有一座矿井水处理站</w:t>
                    </w:r>
                    <w:r>
                      <w:rPr>
                        <w:rFonts w:hint="eastAsia"/>
                        <w:bCs w:val="0"/>
                        <w:kern w:val="2"/>
                        <w:sz w:val="20"/>
                        <w:szCs w:val="20"/>
                      </w:rPr>
                      <w:t>、</w:t>
                    </w:r>
                    <w:r>
                      <w:rPr>
                        <w:bCs w:val="0"/>
                        <w:kern w:val="2"/>
                        <w:sz w:val="20"/>
                        <w:szCs w:val="20"/>
                      </w:rPr>
                      <w:t>一座生活污水处理站，运行正常。建有</w:t>
                    </w:r>
                    <w:r>
                      <w:rPr>
                        <w:bCs w:val="0"/>
                        <w:kern w:val="2"/>
                        <w:sz w:val="20"/>
                        <w:szCs w:val="20"/>
                      </w:rPr>
                      <w:t>1</w:t>
                    </w:r>
                    <w:r>
                      <w:rPr>
                        <w:bCs w:val="0"/>
                        <w:kern w:val="2"/>
                        <w:sz w:val="20"/>
                        <w:szCs w:val="20"/>
                      </w:rPr>
                      <w:t>台</w:t>
                    </w:r>
                    <w:r>
                      <w:rPr>
                        <w:bCs w:val="0"/>
                        <w:kern w:val="2"/>
                        <w:sz w:val="20"/>
                        <w:szCs w:val="20"/>
                      </w:rPr>
                      <w:t>10</w:t>
                    </w:r>
                    <w:r>
                      <w:rPr>
                        <w:bCs w:val="0"/>
                        <w:kern w:val="2"/>
                        <w:sz w:val="20"/>
                        <w:szCs w:val="20"/>
                      </w:rPr>
                      <w:t>蒸吨和</w:t>
                    </w:r>
                    <w:r>
                      <w:rPr>
                        <w:bCs w:val="0"/>
                        <w:kern w:val="2"/>
                        <w:sz w:val="20"/>
                        <w:szCs w:val="20"/>
                      </w:rPr>
                      <w:t>1</w:t>
                    </w:r>
                    <w:r>
                      <w:rPr>
                        <w:bCs w:val="0"/>
                        <w:kern w:val="2"/>
                        <w:sz w:val="20"/>
                        <w:szCs w:val="20"/>
                      </w:rPr>
                      <w:t>台</w:t>
                    </w:r>
                    <w:r>
                      <w:rPr>
                        <w:bCs w:val="0"/>
                        <w:kern w:val="2"/>
                        <w:sz w:val="20"/>
                        <w:szCs w:val="20"/>
                      </w:rPr>
                      <w:t>6</w:t>
                    </w:r>
                    <w:r>
                      <w:rPr>
                        <w:bCs w:val="0"/>
                        <w:kern w:val="2"/>
                        <w:sz w:val="20"/>
                        <w:szCs w:val="20"/>
                      </w:rPr>
                      <w:t>蒸吨天然气锅炉替代原有燃煤锅炉。</w:t>
                    </w:r>
                  </w:p>
                </w:tc>
              </w:tr>
              <w:tr w:rsidR="00B201D3" w14:paraId="21A19878" w14:textId="77777777">
                <w:trPr>
                  <w:trHeight w:val="430"/>
                  <w:jc w:val="center"/>
                </w:trPr>
                <w:tc>
                  <w:tcPr>
                    <w:tcW w:w="750" w:type="dxa"/>
                    <w:vAlign w:val="center"/>
                  </w:tcPr>
                  <w:p w14:paraId="5667F475" w14:textId="77777777" w:rsidR="00B201D3" w:rsidRDefault="009855E8">
                    <w:pPr>
                      <w:jc w:val="center"/>
                      <w:rPr>
                        <w:bCs w:val="0"/>
                        <w:sz w:val="20"/>
                        <w:szCs w:val="20"/>
                      </w:rPr>
                    </w:pPr>
                    <w:r>
                      <w:rPr>
                        <w:rFonts w:hint="eastAsia"/>
                        <w:bCs w:val="0"/>
                        <w:sz w:val="20"/>
                        <w:szCs w:val="20"/>
                      </w:rPr>
                      <w:t>1</w:t>
                    </w:r>
                    <w:r>
                      <w:rPr>
                        <w:bCs w:val="0"/>
                        <w:sz w:val="20"/>
                        <w:szCs w:val="20"/>
                      </w:rPr>
                      <w:t>0</w:t>
                    </w:r>
                  </w:p>
                </w:tc>
                <w:tc>
                  <w:tcPr>
                    <w:tcW w:w="2527" w:type="dxa"/>
                    <w:vAlign w:val="center"/>
                  </w:tcPr>
                  <w:p w14:paraId="6D1A0A29" w14:textId="77777777" w:rsidR="00B201D3" w:rsidRDefault="009855E8">
                    <w:pPr>
                      <w:jc w:val="center"/>
                      <w:rPr>
                        <w:bCs w:val="0"/>
                        <w:kern w:val="2"/>
                        <w:sz w:val="20"/>
                        <w:szCs w:val="20"/>
                      </w:rPr>
                    </w:pPr>
                    <w:r>
                      <w:rPr>
                        <w:bCs w:val="0"/>
                        <w:kern w:val="2"/>
                        <w:sz w:val="20"/>
                        <w:szCs w:val="20"/>
                      </w:rPr>
                      <w:t>金鸡滩煤矿</w:t>
                    </w:r>
                  </w:p>
                </w:tc>
                <w:tc>
                  <w:tcPr>
                    <w:tcW w:w="6880" w:type="dxa"/>
                    <w:vAlign w:val="center"/>
                  </w:tcPr>
                  <w:p w14:paraId="1B04C90C" w14:textId="77777777" w:rsidR="00B201D3" w:rsidRDefault="009855E8">
                    <w:pPr>
                      <w:rPr>
                        <w:bCs w:val="0"/>
                        <w:kern w:val="2"/>
                        <w:sz w:val="20"/>
                        <w:szCs w:val="20"/>
                      </w:rPr>
                    </w:pPr>
                    <w:r>
                      <w:rPr>
                        <w:bCs w:val="0"/>
                        <w:kern w:val="2"/>
                        <w:sz w:val="20"/>
                        <w:szCs w:val="20"/>
                      </w:rPr>
                      <w:t>建有一座矿井水处理站</w:t>
                    </w:r>
                    <w:r>
                      <w:rPr>
                        <w:rFonts w:hint="eastAsia"/>
                        <w:bCs w:val="0"/>
                        <w:kern w:val="2"/>
                        <w:sz w:val="20"/>
                        <w:szCs w:val="20"/>
                      </w:rPr>
                      <w:t>、</w:t>
                    </w:r>
                    <w:r>
                      <w:rPr>
                        <w:bCs w:val="0"/>
                        <w:kern w:val="2"/>
                        <w:sz w:val="20"/>
                        <w:szCs w:val="20"/>
                      </w:rPr>
                      <w:t>一座生活污水处理站，运行正常。另有</w:t>
                    </w:r>
                    <w:r>
                      <w:rPr>
                        <w:bCs w:val="0"/>
                        <w:kern w:val="2"/>
                        <w:sz w:val="20"/>
                        <w:szCs w:val="20"/>
                      </w:rPr>
                      <w:t>2</w:t>
                    </w:r>
                    <w:r>
                      <w:rPr>
                        <w:bCs w:val="0"/>
                        <w:kern w:val="2"/>
                        <w:sz w:val="20"/>
                        <w:szCs w:val="20"/>
                      </w:rPr>
                      <w:t>台</w:t>
                    </w:r>
                    <w:r>
                      <w:rPr>
                        <w:bCs w:val="0"/>
                        <w:kern w:val="2"/>
                        <w:sz w:val="20"/>
                        <w:szCs w:val="20"/>
                      </w:rPr>
                      <w:t>65</w:t>
                    </w:r>
                    <w:r>
                      <w:rPr>
                        <w:bCs w:val="0"/>
                        <w:kern w:val="2"/>
                        <w:sz w:val="20"/>
                        <w:szCs w:val="20"/>
                      </w:rPr>
                      <w:t>蒸吨锅炉，均建有除尘、脱硫、脱硝设施，运行正常</w:t>
                    </w:r>
                    <w:r>
                      <w:rPr>
                        <w:rFonts w:hint="eastAsia"/>
                        <w:bCs w:val="0"/>
                        <w:kern w:val="2"/>
                        <w:sz w:val="20"/>
                        <w:szCs w:val="20"/>
                      </w:rPr>
                      <w:t>。</w:t>
                    </w:r>
                  </w:p>
                </w:tc>
              </w:tr>
              <w:tr w:rsidR="00B201D3" w14:paraId="70004615" w14:textId="77777777">
                <w:trPr>
                  <w:trHeight w:val="430"/>
                  <w:jc w:val="center"/>
                </w:trPr>
                <w:tc>
                  <w:tcPr>
                    <w:tcW w:w="750" w:type="dxa"/>
                    <w:vAlign w:val="center"/>
                  </w:tcPr>
                  <w:p w14:paraId="4F62F588" w14:textId="77777777" w:rsidR="00B201D3" w:rsidRDefault="009855E8">
                    <w:pPr>
                      <w:jc w:val="center"/>
                      <w:rPr>
                        <w:bCs w:val="0"/>
                        <w:sz w:val="20"/>
                        <w:szCs w:val="20"/>
                      </w:rPr>
                    </w:pPr>
                    <w:r>
                      <w:rPr>
                        <w:rFonts w:hint="eastAsia"/>
                        <w:bCs w:val="0"/>
                        <w:sz w:val="20"/>
                        <w:szCs w:val="20"/>
                      </w:rPr>
                      <w:t>11</w:t>
                    </w:r>
                  </w:p>
                </w:tc>
                <w:tc>
                  <w:tcPr>
                    <w:tcW w:w="2527" w:type="dxa"/>
                    <w:vAlign w:val="center"/>
                  </w:tcPr>
                  <w:p w14:paraId="22723641" w14:textId="77777777" w:rsidR="00B201D3" w:rsidRDefault="009855E8">
                    <w:pPr>
                      <w:jc w:val="center"/>
                      <w:rPr>
                        <w:bCs w:val="0"/>
                        <w:kern w:val="2"/>
                        <w:sz w:val="20"/>
                        <w:szCs w:val="20"/>
                      </w:rPr>
                    </w:pPr>
                    <w:r>
                      <w:rPr>
                        <w:bCs w:val="0"/>
                        <w:kern w:val="2"/>
                        <w:sz w:val="20"/>
                        <w:szCs w:val="20"/>
                      </w:rPr>
                      <w:t>未来能源</w:t>
                    </w:r>
                    <w:r>
                      <w:rPr>
                        <w:rFonts w:hint="eastAsia"/>
                        <w:bCs w:val="0"/>
                        <w:kern w:val="2"/>
                        <w:sz w:val="20"/>
                        <w:szCs w:val="20"/>
                      </w:rPr>
                      <w:t>煤制油分公司</w:t>
                    </w:r>
                  </w:p>
                </w:tc>
                <w:tc>
                  <w:tcPr>
                    <w:tcW w:w="6880" w:type="dxa"/>
                    <w:vAlign w:val="center"/>
                  </w:tcPr>
                  <w:p w14:paraId="129818E8" w14:textId="77777777" w:rsidR="00B201D3" w:rsidRDefault="009855E8">
                    <w:pPr>
                      <w:rPr>
                        <w:bCs w:val="0"/>
                        <w:kern w:val="2"/>
                        <w:sz w:val="20"/>
                        <w:szCs w:val="20"/>
                      </w:rPr>
                    </w:pPr>
                    <w:r>
                      <w:rPr>
                        <w:bCs w:val="0"/>
                        <w:kern w:val="2"/>
                        <w:sz w:val="20"/>
                        <w:szCs w:val="20"/>
                      </w:rPr>
                      <w:t>建有一座工业废水处理厂，运行正常，处理后的废水深度处理后回用。另有</w:t>
                    </w:r>
                    <w:r>
                      <w:rPr>
                        <w:rFonts w:hint="eastAsia"/>
                        <w:bCs w:val="0"/>
                        <w:kern w:val="2"/>
                        <w:sz w:val="20"/>
                        <w:szCs w:val="20"/>
                      </w:rPr>
                      <w:t>3</w:t>
                    </w:r>
                    <w:r>
                      <w:rPr>
                        <w:bCs w:val="0"/>
                        <w:kern w:val="2"/>
                        <w:sz w:val="20"/>
                        <w:szCs w:val="20"/>
                      </w:rPr>
                      <w:t>台</w:t>
                    </w:r>
                    <w:r>
                      <w:rPr>
                        <w:bCs w:val="0"/>
                        <w:kern w:val="2"/>
                        <w:sz w:val="20"/>
                        <w:szCs w:val="20"/>
                      </w:rPr>
                      <w:t>480</w:t>
                    </w:r>
                    <w:r>
                      <w:rPr>
                        <w:bCs w:val="0"/>
                        <w:kern w:val="2"/>
                        <w:sz w:val="20"/>
                        <w:szCs w:val="20"/>
                      </w:rPr>
                      <w:t>蒸吨煤粉炉，均建有除尘、脱硫、脱硝设施，均已完成超低排放改造，运行正常。</w:t>
                    </w:r>
                  </w:p>
                </w:tc>
              </w:tr>
              <w:tr w:rsidR="00B201D3" w14:paraId="642D0E0A" w14:textId="77777777">
                <w:trPr>
                  <w:trHeight w:val="430"/>
                  <w:jc w:val="center"/>
                </w:trPr>
                <w:tc>
                  <w:tcPr>
                    <w:tcW w:w="750" w:type="dxa"/>
                    <w:vAlign w:val="center"/>
                  </w:tcPr>
                  <w:p w14:paraId="558D909C" w14:textId="77777777" w:rsidR="00B201D3" w:rsidRDefault="009855E8">
                    <w:pPr>
                      <w:jc w:val="center"/>
                      <w:rPr>
                        <w:bCs w:val="0"/>
                        <w:sz w:val="20"/>
                        <w:szCs w:val="20"/>
                      </w:rPr>
                    </w:pPr>
                    <w:r>
                      <w:rPr>
                        <w:rFonts w:hint="eastAsia"/>
                        <w:bCs w:val="0"/>
                        <w:sz w:val="20"/>
                        <w:szCs w:val="20"/>
                      </w:rPr>
                      <w:t>1</w:t>
                    </w:r>
                    <w:r>
                      <w:rPr>
                        <w:bCs w:val="0"/>
                        <w:sz w:val="20"/>
                        <w:szCs w:val="20"/>
                      </w:rPr>
                      <w:t>2</w:t>
                    </w:r>
                  </w:p>
                </w:tc>
                <w:tc>
                  <w:tcPr>
                    <w:tcW w:w="2527" w:type="dxa"/>
                    <w:vAlign w:val="center"/>
                  </w:tcPr>
                  <w:p w14:paraId="32F1899D" w14:textId="77777777" w:rsidR="00B201D3" w:rsidRDefault="009855E8">
                    <w:pPr>
                      <w:jc w:val="center"/>
                      <w:rPr>
                        <w:bCs w:val="0"/>
                        <w:kern w:val="2"/>
                        <w:sz w:val="20"/>
                        <w:szCs w:val="20"/>
                      </w:rPr>
                    </w:pPr>
                    <w:r>
                      <w:rPr>
                        <w:rFonts w:hint="eastAsia"/>
                        <w:bCs w:val="0"/>
                        <w:kern w:val="2"/>
                        <w:sz w:val="20"/>
                        <w:szCs w:val="20"/>
                      </w:rPr>
                      <w:t>鄂尔多斯公司</w:t>
                    </w:r>
                    <w:r>
                      <w:rPr>
                        <w:bCs w:val="0"/>
                        <w:kern w:val="2"/>
                        <w:sz w:val="20"/>
                        <w:szCs w:val="20"/>
                      </w:rPr>
                      <w:t>荣信化工</w:t>
                    </w:r>
                  </w:p>
                </w:tc>
                <w:tc>
                  <w:tcPr>
                    <w:tcW w:w="6880" w:type="dxa"/>
                    <w:vAlign w:val="center"/>
                  </w:tcPr>
                  <w:p w14:paraId="773916D0" w14:textId="77777777" w:rsidR="00B201D3" w:rsidRDefault="009855E8">
                    <w:pPr>
                      <w:rPr>
                        <w:bCs w:val="0"/>
                        <w:kern w:val="2"/>
                        <w:sz w:val="20"/>
                        <w:szCs w:val="20"/>
                      </w:rPr>
                    </w:pPr>
                    <w:r>
                      <w:rPr>
                        <w:bCs w:val="0"/>
                        <w:kern w:val="2"/>
                        <w:sz w:val="20"/>
                        <w:szCs w:val="20"/>
                      </w:rPr>
                      <w:t>建有</w:t>
                    </w:r>
                    <w:r>
                      <w:rPr>
                        <w:rFonts w:hint="eastAsia"/>
                        <w:bCs w:val="0"/>
                        <w:kern w:val="2"/>
                        <w:sz w:val="20"/>
                        <w:szCs w:val="20"/>
                      </w:rPr>
                      <w:t>两套</w:t>
                    </w:r>
                    <w:r>
                      <w:rPr>
                        <w:bCs w:val="0"/>
                        <w:kern w:val="2"/>
                        <w:sz w:val="20"/>
                        <w:szCs w:val="20"/>
                      </w:rPr>
                      <w:t>污水处理</w:t>
                    </w:r>
                    <w:r>
                      <w:rPr>
                        <w:rFonts w:hint="eastAsia"/>
                        <w:bCs w:val="0"/>
                        <w:kern w:val="2"/>
                        <w:sz w:val="20"/>
                        <w:szCs w:val="20"/>
                      </w:rPr>
                      <w:t>系统</w:t>
                    </w:r>
                    <w:r>
                      <w:rPr>
                        <w:bCs w:val="0"/>
                        <w:kern w:val="2"/>
                        <w:sz w:val="20"/>
                        <w:szCs w:val="20"/>
                      </w:rPr>
                      <w:t>，运行正常。另有</w:t>
                    </w:r>
                    <w:r>
                      <w:rPr>
                        <w:rFonts w:hint="eastAsia"/>
                        <w:bCs w:val="0"/>
                        <w:kern w:val="2"/>
                        <w:sz w:val="20"/>
                        <w:szCs w:val="20"/>
                      </w:rPr>
                      <w:t>3</w:t>
                    </w:r>
                    <w:r>
                      <w:rPr>
                        <w:bCs w:val="0"/>
                        <w:kern w:val="2"/>
                        <w:sz w:val="20"/>
                        <w:szCs w:val="20"/>
                      </w:rPr>
                      <w:t>台</w:t>
                    </w:r>
                    <w:r>
                      <w:rPr>
                        <w:bCs w:val="0"/>
                        <w:kern w:val="2"/>
                        <w:sz w:val="20"/>
                        <w:szCs w:val="20"/>
                      </w:rPr>
                      <w:t>220</w:t>
                    </w:r>
                    <w:r>
                      <w:rPr>
                        <w:bCs w:val="0"/>
                        <w:kern w:val="2"/>
                        <w:sz w:val="20"/>
                        <w:szCs w:val="20"/>
                      </w:rPr>
                      <w:t>蒸吨</w:t>
                    </w:r>
                    <w:r>
                      <w:rPr>
                        <w:rFonts w:hint="eastAsia"/>
                        <w:bCs w:val="0"/>
                        <w:kern w:val="2"/>
                        <w:sz w:val="20"/>
                        <w:szCs w:val="20"/>
                      </w:rPr>
                      <w:t>、</w:t>
                    </w:r>
                    <w:r>
                      <w:rPr>
                        <w:rFonts w:hint="eastAsia"/>
                        <w:bCs w:val="0"/>
                        <w:kern w:val="2"/>
                        <w:sz w:val="20"/>
                        <w:szCs w:val="20"/>
                      </w:rPr>
                      <w:t>2</w:t>
                    </w:r>
                    <w:r>
                      <w:rPr>
                        <w:rFonts w:hint="eastAsia"/>
                        <w:bCs w:val="0"/>
                        <w:kern w:val="2"/>
                        <w:sz w:val="20"/>
                        <w:szCs w:val="20"/>
                      </w:rPr>
                      <w:t>台</w:t>
                    </w:r>
                    <w:r>
                      <w:rPr>
                        <w:rFonts w:hint="eastAsia"/>
                        <w:bCs w:val="0"/>
                        <w:kern w:val="2"/>
                        <w:sz w:val="20"/>
                        <w:szCs w:val="20"/>
                      </w:rPr>
                      <w:t>3</w:t>
                    </w:r>
                    <w:r>
                      <w:rPr>
                        <w:bCs w:val="0"/>
                        <w:kern w:val="2"/>
                        <w:sz w:val="20"/>
                        <w:szCs w:val="20"/>
                      </w:rPr>
                      <w:t>80</w:t>
                    </w:r>
                    <w:r>
                      <w:rPr>
                        <w:rFonts w:hint="eastAsia"/>
                        <w:bCs w:val="0"/>
                        <w:kern w:val="2"/>
                        <w:sz w:val="20"/>
                        <w:szCs w:val="20"/>
                      </w:rPr>
                      <w:t>蒸吨</w:t>
                    </w:r>
                    <w:r>
                      <w:rPr>
                        <w:bCs w:val="0"/>
                        <w:kern w:val="2"/>
                        <w:sz w:val="20"/>
                        <w:szCs w:val="20"/>
                      </w:rPr>
                      <w:t>循环流化床锅炉，均建有除尘、脱硫、脱硝设施，均</w:t>
                    </w:r>
                    <w:r>
                      <w:rPr>
                        <w:rFonts w:hint="eastAsia"/>
                        <w:bCs w:val="0"/>
                        <w:kern w:val="2"/>
                        <w:sz w:val="20"/>
                        <w:szCs w:val="20"/>
                      </w:rPr>
                      <w:t>实现</w:t>
                    </w:r>
                    <w:r>
                      <w:rPr>
                        <w:bCs w:val="0"/>
                        <w:kern w:val="2"/>
                        <w:sz w:val="20"/>
                        <w:szCs w:val="20"/>
                      </w:rPr>
                      <w:t>超低排放，运行正常。</w:t>
                    </w:r>
                  </w:p>
                </w:tc>
              </w:tr>
              <w:tr w:rsidR="00B201D3" w14:paraId="7E564D76" w14:textId="77777777">
                <w:trPr>
                  <w:trHeight w:val="430"/>
                  <w:jc w:val="center"/>
                </w:trPr>
                <w:tc>
                  <w:tcPr>
                    <w:tcW w:w="750" w:type="dxa"/>
                    <w:vAlign w:val="center"/>
                  </w:tcPr>
                  <w:p w14:paraId="2F8085CD" w14:textId="77777777" w:rsidR="00B201D3" w:rsidRDefault="009855E8">
                    <w:pPr>
                      <w:jc w:val="center"/>
                      <w:rPr>
                        <w:bCs w:val="0"/>
                        <w:sz w:val="20"/>
                        <w:szCs w:val="20"/>
                      </w:rPr>
                    </w:pPr>
                    <w:r>
                      <w:rPr>
                        <w:rFonts w:hint="eastAsia"/>
                        <w:bCs w:val="0"/>
                        <w:sz w:val="20"/>
                        <w:szCs w:val="20"/>
                      </w:rPr>
                      <w:t>1</w:t>
                    </w:r>
                    <w:r>
                      <w:rPr>
                        <w:bCs w:val="0"/>
                        <w:sz w:val="20"/>
                        <w:szCs w:val="20"/>
                      </w:rPr>
                      <w:t>3</w:t>
                    </w:r>
                  </w:p>
                </w:tc>
                <w:tc>
                  <w:tcPr>
                    <w:tcW w:w="2527" w:type="dxa"/>
                    <w:vAlign w:val="center"/>
                  </w:tcPr>
                  <w:p w14:paraId="7099E016" w14:textId="77777777" w:rsidR="00B201D3" w:rsidRDefault="009855E8">
                    <w:pPr>
                      <w:jc w:val="center"/>
                      <w:rPr>
                        <w:bCs w:val="0"/>
                        <w:kern w:val="2"/>
                        <w:sz w:val="20"/>
                        <w:szCs w:val="20"/>
                      </w:rPr>
                    </w:pPr>
                    <w:r>
                      <w:rPr>
                        <w:bCs w:val="0"/>
                        <w:kern w:val="2"/>
                        <w:sz w:val="20"/>
                        <w:szCs w:val="20"/>
                      </w:rPr>
                      <w:t>转龙湾煤矿</w:t>
                    </w:r>
                  </w:p>
                </w:tc>
                <w:tc>
                  <w:tcPr>
                    <w:tcW w:w="6880" w:type="dxa"/>
                    <w:vAlign w:val="center"/>
                  </w:tcPr>
                  <w:p w14:paraId="5A36AB4B" w14:textId="77777777" w:rsidR="00B201D3" w:rsidRDefault="009855E8">
                    <w:pPr>
                      <w:rPr>
                        <w:bCs w:val="0"/>
                        <w:kern w:val="2"/>
                        <w:sz w:val="20"/>
                        <w:szCs w:val="20"/>
                      </w:rPr>
                    </w:pPr>
                    <w:r>
                      <w:rPr>
                        <w:bCs w:val="0"/>
                        <w:kern w:val="2"/>
                        <w:sz w:val="20"/>
                        <w:szCs w:val="20"/>
                      </w:rPr>
                      <w:t>建有一座矿井水处理站</w:t>
                    </w:r>
                    <w:r>
                      <w:rPr>
                        <w:rFonts w:hint="eastAsia"/>
                        <w:bCs w:val="0"/>
                        <w:kern w:val="2"/>
                        <w:sz w:val="20"/>
                        <w:szCs w:val="20"/>
                      </w:rPr>
                      <w:t>、</w:t>
                    </w:r>
                    <w:r>
                      <w:rPr>
                        <w:bCs w:val="0"/>
                        <w:kern w:val="2"/>
                        <w:sz w:val="20"/>
                        <w:szCs w:val="20"/>
                      </w:rPr>
                      <w:t>一座生活污水处理站，运行正常。另有</w:t>
                    </w:r>
                    <w:r>
                      <w:rPr>
                        <w:bCs w:val="0"/>
                        <w:kern w:val="2"/>
                        <w:sz w:val="20"/>
                        <w:szCs w:val="20"/>
                      </w:rPr>
                      <w:t>3</w:t>
                    </w:r>
                    <w:r>
                      <w:rPr>
                        <w:bCs w:val="0"/>
                        <w:kern w:val="2"/>
                        <w:sz w:val="20"/>
                        <w:szCs w:val="20"/>
                      </w:rPr>
                      <w:t>台</w:t>
                    </w:r>
                    <w:r>
                      <w:rPr>
                        <w:bCs w:val="0"/>
                        <w:kern w:val="2"/>
                        <w:sz w:val="20"/>
                        <w:szCs w:val="20"/>
                      </w:rPr>
                      <w:t>20</w:t>
                    </w:r>
                    <w:r>
                      <w:rPr>
                        <w:bCs w:val="0"/>
                        <w:kern w:val="2"/>
                        <w:sz w:val="20"/>
                        <w:szCs w:val="20"/>
                      </w:rPr>
                      <w:t>蒸吨锅炉，均建有除尘、脱硫、脱硝设施，运行正常。</w:t>
                    </w:r>
                  </w:p>
                </w:tc>
              </w:tr>
              <w:tr w:rsidR="00B201D3" w14:paraId="42CC9F91" w14:textId="77777777">
                <w:trPr>
                  <w:trHeight w:val="430"/>
                  <w:jc w:val="center"/>
                </w:trPr>
                <w:tc>
                  <w:tcPr>
                    <w:tcW w:w="750" w:type="dxa"/>
                    <w:vAlign w:val="center"/>
                  </w:tcPr>
                  <w:p w14:paraId="4FE69350" w14:textId="77777777" w:rsidR="00B201D3" w:rsidRDefault="009855E8">
                    <w:pPr>
                      <w:jc w:val="center"/>
                      <w:rPr>
                        <w:bCs w:val="0"/>
                        <w:sz w:val="20"/>
                        <w:szCs w:val="20"/>
                      </w:rPr>
                    </w:pPr>
                    <w:r>
                      <w:rPr>
                        <w:rFonts w:hint="eastAsia"/>
                        <w:bCs w:val="0"/>
                        <w:sz w:val="20"/>
                        <w:szCs w:val="20"/>
                      </w:rPr>
                      <w:t>1</w:t>
                    </w:r>
                    <w:r>
                      <w:rPr>
                        <w:bCs w:val="0"/>
                        <w:sz w:val="20"/>
                        <w:szCs w:val="20"/>
                      </w:rPr>
                      <w:t>4</w:t>
                    </w:r>
                  </w:p>
                </w:tc>
                <w:tc>
                  <w:tcPr>
                    <w:tcW w:w="2527" w:type="dxa"/>
                    <w:vAlign w:val="center"/>
                  </w:tcPr>
                  <w:p w14:paraId="5BAE502F" w14:textId="77777777" w:rsidR="00B201D3" w:rsidRDefault="009855E8">
                    <w:pPr>
                      <w:jc w:val="center"/>
                      <w:rPr>
                        <w:bCs w:val="0"/>
                        <w:kern w:val="2"/>
                        <w:sz w:val="20"/>
                        <w:szCs w:val="20"/>
                      </w:rPr>
                    </w:pPr>
                    <w:r>
                      <w:rPr>
                        <w:rFonts w:hint="eastAsia"/>
                        <w:bCs w:val="0"/>
                        <w:sz w:val="20"/>
                        <w:szCs w:val="20"/>
                      </w:rPr>
                      <w:t>石拉乌素煤矿</w:t>
                    </w:r>
                  </w:p>
                </w:tc>
                <w:tc>
                  <w:tcPr>
                    <w:tcW w:w="6880" w:type="dxa"/>
                    <w:vAlign w:val="center"/>
                  </w:tcPr>
                  <w:p w14:paraId="4946F909" w14:textId="77777777" w:rsidR="00B201D3" w:rsidRDefault="009855E8">
                    <w:pPr>
                      <w:rPr>
                        <w:bCs w:val="0"/>
                        <w:kern w:val="2"/>
                        <w:sz w:val="20"/>
                        <w:szCs w:val="20"/>
                      </w:rPr>
                    </w:pPr>
                    <w:r>
                      <w:rPr>
                        <w:bCs w:val="0"/>
                        <w:sz w:val="20"/>
                        <w:szCs w:val="20"/>
                      </w:rPr>
                      <w:t>建有一座矿井水处理站</w:t>
                    </w:r>
                    <w:r>
                      <w:rPr>
                        <w:rFonts w:hint="eastAsia"/>
                        <w:bCs w:val="0"/>
                        <w:sz w:val="20"/>
                        <w:szCs w:val="20"/>
                      </w:rPr>
                      <w:t>、</w:t>
                    </w:r>
                    <w:r>
                      <w:rPr>
                        <w:bCs w:val="0"/>
                        <w:sz w:val="20"/>
                        <w:szCs w:val="20"/>
                      </w:rPr>
                      <w:t>一座生活污水处理站，运行正常。另有</w:t>
                    </w:r>
                    <w:r>
                      <w:rPr>
                        <w:bCs w:val="0"/>
                        <w:sz w:val="20"/>
                        <w:szCs w:val="20"/>
                      </w:rPr>
                      <w:t>3</w:t>
                    </w:r>
                    <w:r>
                      <w:rPr>
                        <w:bCs w:val="0"/>
                        <w:sz w:val="20"/>
                        <w:szCs w:val="20"/>
                      </w:rPr>
                      <w:t>台</w:t>
                    </w:r>
                    <w:r>
                      <w:rPr>
                        <w:bCs w:val="0"/>
                        <w:sz w:val="20"/>
                        <w:szCs w:val="20"/>
                      </w:rPr>
                      <w:t>20</w:t>
                    </w:r>
                    <w:r>
                      <w:rPr>
                        <w:bCs w:val="0"/>
                        <w:sz w:val="20"/>
                        <w:szCs w:val="20"/>
                      </w:rPr>
                      <w:t>蒸吨锅炉</w:t>
                    </w:r>
                    <w:r>
                      <w:rPr>
                        <w:rFonts w:hint="eastAsia"/>
                        <w:bCs w:val="0"/>
                        <w:sz w:val="20"/>
                        <w:szCs w:val="20"/>
                      </w:rPr>
                      <w:t>、</w:t>
                    </w:r>
                    <w:r>
                      <w:rPr>
                        <w:rFonts w:hint="eastAsia"/>
                        <w:bCs w:val="0"/>
                        <w:sz w:val="20"/>
                        <w:szCs w:val="20"/>
                      </w:rPr>
                      <w:t>1</w:t>
                    </w:r>
                    <w:r>
                      <w:rPr>
                        <w:rFonts w:hint="eastAsia"/>
                        <w:bCs w:val="0"/>
                        <w:sz w:val="20"/>
                        <w:szCs w:val="20"/>
                      </w:rPr>
                      <w:t>台</w:t>
                    </w:r>
                    <w:r>
                      <w:rPr>
                        <w:rFonts w:hint="eastAsia"/>
                        <w:bCs w:val="0"/>
                        <w:sz w:val="20"/>
                        <w:szCs w:val="20"/>
                      </w:rPr>
                      <w:t>4</w:t>
                    </w:r>
                    <w:r>
                      <w:rPr>
                        <w:bCs w:val="0"/>
                        <w:sz w:val="20"/>
                        <w:szCs w:val="20"/>
                      </w:rPr>
                      <w:t>5</w:t>
                    </w:r>
                    <w:r>
                      <w:rPr>
                        <w:rFonts w:hint="eastAsia"/>
                        <w:bCs w:val="0"/>
                        <w:sz w:val="20"/>
                        <w:szCs w:val="20"/>
                      </w:rPr>
                      <w:t>蒸吨循环流化床锅炉</w:t>
                    </w:r>
                    <w:r>
                      <w:rPr>
                        <w:bCs w:val="0"/>
                        <w:sz w:val="20"/>
                        <w:szCs w:val="20"/>
                      </w:rPr>
                      <w:t>，均建有除尘、脱硫、脱硝设施，运行正常。</w:t>
                    </w:r>
                  </w:p>
                </w:tc>
              </w:tr>
              <w:tr w:rsidR="00B201D3" w14:paraId="3EECE97E" w14:textId="77777777">
                <w:trPr>
                  <w:trHeight w:val="430"/>
                  <w:jc w:val="center"/>
                </w:trPr>
                <w:tc>
                  <w:tcPr>
                    <w:tcW w:w="750" w:type="dxa"/>
                    <w:vAlign w:val="center"/>
                  </w:tcPr>
                  <w:p w14:paraId="3F125A96" w14:textId="77777777" w:rsidR="00B201D3" w:rsidRDefault="009855E8">
                    <w:pPr>
                      <w:jc w:val="center"/>
                      <w:rPr>
                        <w:bCs w:val="0"/>
                        <w:sz w:val="20"/>
                        <w:szCs w:val="20"/>
                      </w:rPr>
                    </w:pPr>
                    <w:r>
                      <w:rPr>
                        <w:rFonts w:hint="eastAsia"/>
                        <w:bCs w:val="0"/>
                        <w:sz w:val="20"/>
                        <w:szCs w:val="20"/>
                      </w:rPr>
                      <w:t>1</w:t>
                    </w:r>
                    <w:r>
                      <w:rPr>
                        <w:bCs w:val="0"/>
                        <w:sz w:val="20"/>
                        <w:szCs w:val="20"/>
                      </w:rPr>
                      <w:t>5</w:t>
                    </w:r>
                  </w:p>
                </w:tc>
                <w:tc>
                  <w:tcPr>
                    <w:tcW w:w="2527" w:type="dxa"/>
                    <w:vAlign w:val="center"/>
                  </w:tcPr>
                  <w:p w14:paraId="3E2A0F53" w14:textId="77777777" w:rsidR="00B201D3" w:rsidRDefault="009855E8">
                    <w:pPr>
                      <w:jc w:val="center"/>
                      <w:rPr>
                        <w:bCs w:val="0"/>
                        <w:sz w:val="20"/>
                        <w:szCs w:val="20"/>
                      </w:rPr>
                    </w:pPr>
                    <w:r>
                      <w:rPr>
                        <w:rFonts w:hint="eastAsia"/>
                        <w:bCs w:val="0"/>
                        <w:sz w:val="20"/>
                        <w:szCs w:val="20"/>
                      </w:rPr>
                      <w:t>营盘壕煤矿</w:t>
                    </w:r>
                  </w:p>
                </w:tc>
                <w:tc>
                  <w:tcPr>
                    <w:tcW w:w="6880" w:type="dxa"/>
                    <w:vAlign w:val="center"/>
                  </w:tcPr>
                  <w:p w14:paraId="6E9AAD07" w14:textId="77777777" w:rsidR="00B201D3" w:rsidRDefault="009855E8">
                    <w:pPr>
                      <w:rPr>
                        <w:bCs w:val="0"/>
                        <w:sz w:val="20"/>
                        <w:szCs w:val="20"/>
                      </w:rPr>
                    </w:pPr>
                    <w:r>
                      <w:rPr>
                        <w:bCs w:val="0"/>
                        <w:sz w:val="20"/>
                        <w:szCs w:val="20"/>
                      </w:rPr>
                      <w:t>建有一座矿井水处理站</w:t>
                    </w:r>
                    <w:r>
                      <w:rPr>
                        <w:rFonts w:hint="eastAsia"/>
                        <w:bCs w:val="0"/>
                        <w:sz w:val="20"/>
                        <w:szCs w:val="20"/>
                      </w:rPr>
                      <w:t>、</w:t>
                    </w:r>
                    <w:r>
                      <w:rPr>
                        <w:bCs w:val="0"/>
                        <w:sz w:val="20"/>
                        <w:szCs w:val="20"/>
                      </w:rPr>
                      <w:t>一座生活污水处理站，运行正常。另有</w:t>
                    </w:r>
                    <w:r>
                      <w:rPr>
                        <w:rFonts w:hint="eastAsia"/>
                        <w:bCs w:val="0"/>
                        <w:sz w:val="20"/>
                        <w:szCs w:val="20"/>
                      </w:rPr>
                      <w:t>2</w:t>
                    </w:r>
                    <w:r>
                      <w:rPr>
                        <w:rFonts w:hint="eastAsia"/>
                        <w:bCs w:val="0"/>
                        <w:sz w:val="20"/>
                        <w:szCs w:val="20"/>
                      </w:rPr>
                      <w:t>台</w:t>
                    </w:r>
                    <w:r>
                      <w:rPr>
                        <w:rFonts w:hint="eastAsia"/>
                        <w:bCs w:val="0"/>
                        <w:sz w:val="20"/>
                        <w:szCs w:val="20"/>
                      </w:rPr>
                      <w:t>4</w:t>
                    </w:r>
                    <w:r>
                      <w:rPr>
                        <w:bCs w:val="0"/>
                        <w:sz w:val="20"/>
                        <w:szCs w:val="20"/>
                      </w:rPr>
                      <w:t>5</w:t>
                    </w:r>
                    <w:r>
                      <w:rPr>
                        <w:rFonts w:hint="eastAsia"/>
                        <w:bCs w:val="0"/>
                        <w:sz w:val="20"/>
                        <w:szCs w:val="20"/>
                      </w:rPr>
                      <w:t>蒸吨循环流化床锅炉</w:t>
                    </w:r>
                    <w:r>
                      <w:rPr>
                        <w:bCs w:val="0"/>
                        <w:sz w:val="20"/>
                        <w:szCs w:val="20"/>
                      </w:rPr>
                      <w:t>，均建有除尘、脱硫、脱硝设施，运行正常。</w:t>
                    </w:r>
                  </w:p>
                </w:tc>
              </w:tr>
              <w:tr w:rsidR="00B201D3" w14:paraId="1E421949" w14:textId="77777777">
                <w:trPr>
                  <w:trHeight w:val="430"/>
                  <w:jc w:val="center"/>
                </w:trPr>
                <w:tc>
                  <w:tcPr>
                    <w:tcW w:w="750" w:type="dxa"/>
                    <w:vAlign w:val="center"/>
                  </w:tcPr>
                  <w:p w14:paraId="21C65BAB" w14:textId="77777777" w:rsidR="00B201D3" w:rsidRDefault="009855E8">
                    <w:pPr>
                      <w:jc w:val="center"/>
                      <w:rPr>
                        <w:bCs w:val="0"/>
                        <w:sz w:val="20"/>
                        <w:szCs w:val="20"/>
                      </w:rPr>
                    </w:pPr>
                    <w:r>
                      <w:rPr>
                        <w:bCs w:val="0"/>
                        <w:sz w:val="20"/>
                        <w:szCs w:val="20"/>
                      </w:rPr>
                      <w:t>16</w:t>
                    </w:r>
                  </w:p>
                </w:tc>
                <w:tc>
                  <w:tcPr>
                    <w:tcW w:w="2527" w:type="dxa"/>
                    <w:vAlign w:val="center"/>
                  </w:tcPr>
                  <w:p w14:paraId="51B7813E" w14:textId="77777777" w:rsidR="00B201D3" w:rsidRDefault="009855E8">
                    <w:pPr>
                      <w:jc w:val="center"/>
                      <w:rPr>
                        <w:bCs w:val="0"/>
                        <w:kern w:val="2"/>
                        <w:sz w:val="20"/>
                        <w:szCs w:val="20"/>
                      </w:rPr>
                    </w:pPr>
                    <w:r>
                      <w:rPr>
                        <w:bCs w:val="0"/>
                        <w:kern w:val="2"/>
                        <w:sz w:val="20"/>
                        <w:szCs w:val="20"/>
                      </w:rPr>
                      <w:t>赵楼电厂</w:t>
                    </w:r>
                  </w:p>
                </w:tc>
                <w:tc>
                  <w:tcPr>
                    <w:tcW w:w="6880" w:type="dxa"/>
                    <w:vAlign w:val="center"/>
                  </w:tcPr>
                  <w:p w14:paraId="07E6045D" w14:textId="77777777" w:rsidR="00B201D3" w:rsidRDefault="009855E8">
                    <w:pPr>
                      <w:rPr>
                        <w:bCs w:val="0"/>
                        <w:kern w:val="2"/>
                        <w:sz w:val="20"/>
                        <w:szCs w:val="20"/>
                      </w:rPr>
                    </w:pPr>
                    <w:r>
                      <w:rPr>
                        <w:rFonts w:hint="eastAsia"/>
                        <w:bCs w:val="0"/>
                        <w:kern w:val="2"/>
                        <w:sz w:val="20"/>
                        <w:szCs w:val="20"/>
                      </w:rPr>
                      <w:t>现有</w:t>
                    </w:r>
                    <w:r>
                      <w:rPr>
                        <w:rFonts w:hint="eastAsia"/>
                        <w:bCs w:val="0"/>
                        <w:kern w:val="2"/>
                        <w:sz w:val="20"/>
                        <w:szCs w:val="20"/>
                      </w:rPr>
                      <w:t>1</w:t>
                    </w:r>
                    <w:r>
                      <w:rPr>
                        <w:bCs w:val="0"/>
                        <w:kern w:val="2"/>
                        <w:sz w:val="20"/>
                        <w:szCs w:val="20"/>
                      </w:rPr>
                      <w:t>台</w:t>
                    </w:r>
                    <w:r>
                      <w:rPr>
                        <w:rFonts w:hint="eastAsia"/>
                        <w:bCs w:val="0"/>
                        <w:kern w:val="2"/>
                        <w:sz w:val="20"/>
                        <w:szCs w:val="20"/>
                      </w:rPr>
                      <w:t>1,025</w:t>
                    </w:r>
                    <w:r>
                      <w:rPr>
                        <w:bCs w:val="0"/>
                        <w:kern w:val="2"/>
                        <w:sz w:val="20"/>
                        <w:szCs w:val="20"/>
                      </w:rPr>
                      <w:t>蒸吨</w:t>
                    </w:r>
                    <w:r>
                      <w:rPr>
                        <w:rFonts w:hint="eastAsia"/>
                        <w:bCs w:val="0"/>
                        <w:kern w:val="2"/>
                        <w:sz w:val="20"/>
                        <w:szCs w:val="20"/>
                      </w:rPr>
                      <w:t>循环流化床</w:t>
                    </w:r>
                    <w:r>
                      <w:rPr>
                        <w:bCs w:val="0"/>
                        <w:kern w:val="2"/>
                        <w:sz w:val="20"/>
                        <w:szCs w:val="20"/>
                      </w:rPr>
                      <w:t>锅炉，建有除尘、脱硫、脱硝设施，完成了超低排放改造，运行正常。</w:t>
                    </w:r>
                  </w:p>
                </w:tc>
              </w:tr>
              <w:tr w:rsidR="00B201D3" w14:paraId="707BF85B" w14:textId="77777777">
                <w:trPr>
                  <w:trHeight w:val="430"/>
                  <w:jc w:val="center"/>
                </w:trPr>
                <w:tc>
                  <w:tcPr>
                    <w:tcW w:w="750" w:type="dxa"/>
                    <w:vAlign w:val="center"/>
                  </w:tcPr>
                  <w:p w14:paraId="68D0D385" w14:textId="77777777" w:rsidR="00B201D3" w:rsidRDefault="009855E8">
                    <w:pPr>
                      <w:jc w:val="center"/>
                      <w:rPr>
                        <w:bCs w:val="0"/>
                        <w:sz w:val="20"/>
                        <w:szCs w:val="20"/>
                      </w:rPr>
                    </w:pPr>
                    <w:r>
                      <w:rPr>
                        <w:bCs w:val="0"/>
                        <w:sz w:val="20"/>
                        <w:szCs w:val="20"/>
                      </w:rPr>
                      <w:t>17</w:t>
                    </w:r>
                  </w:p>
                </w:tc>
                <w:tc>
                  <w:tcPr>
                    <w:tcW w:w="2527" w:type="dxa"/>
                    <w:vAlign w:val="center"/>
                  </w:tcPr>
                  <w:p w14:paraId="2E4F7287" w14:textId="77777777" w:rsidR="00B201D3" w:rsidRDefault="009855E8">
                    <w:pPr>
                      <w:jc w:val="center"/>
                      <w:rPr>
                        <w:bCs w:val="0"/>
                        <w:kern w:val="2"/>
                        <w:sz w:val="20"/>
                        <w:szCs w:val="20"/>
                      </w:rPr>
                    </w:pPr>
                    <w:r>
                      <w:rPr>
                        <w:rFonts w:hint="eastAsia"/>
                        <w:bCs w:val="0"/>
                        <w:kern w:val="2"/>
                        <w:sz w:val="20"/>
                        <w:szCs w:val="20"/>
                      </w:rPr>
                      <w:t>济三电力</w:t>
                    </w:r>
                  </w:p>
                </w:tc>
                <w:tc>
                  <w:tcPr>
                    <w:tcW w:w="6880" w:type="dxa"/>
                    <w:vAlign w:val="center"/>
                  </w:tcPr>
                  <w:p w14:paraId="38E97D62" w14:textId="77777777" w:rsidR="00B201D3" w:rsidRDefault="009855E8">
                    <w:pPr>
                      <w:rPr>
                        <w:bCs w:val="0"/>
                        <w:kern w:val="2"/>
                        <w:sz w:val="20"/>
                        <w:szCs w:val="20"/>
                      </w:rPr>
                    </w:pPr>
                    <w:r>
                      <w:rPr>
                        <w:rFonts w:hint="eastAsia"/>
                        <w:bCs w:val="0"/>
                        <w:kern w:val="2"/>
                        <w:sz w:val="20"/>
                        <w:szCs w:val="20"/>
                      </w:rPr>
                      <w:t>现有</w:t>
                    </w:r>
                    <w:r>
                      <w:rPr>
                        <w:rFonts w:hint="eastAsia"/>
                        <w:bCs w:val="0"/>
                        <w:kern w:val="2"/>
                        <w:sz w:val="20"/>
                        <w:szCs w:val="20"/>
                      </w:rPr>
                      <w:t>2</w:t>
                    </w:r>
                    <w:r>
                      <w:rPr>
                        <w:bCs w:val="0"/>
                        <w:kern w:val="2"/>
                        <w:sz w:val="20"/>
                        <w:szCs w:val="20"/>
                      </w:rPr>
                      <w:t>台</w:t>
                    </w:r>
                    <w:r>
                      <w:rPr>
                        <w:rFonts w:hint="eastAsia"/>
                        <w:bCs w:val="0"/>
                        <w:kern w:val="2"/>
                        <w:sz w:val="20"/>
                        <w:szCs w:val="20"/>
                      </w:rPr>
                      <w:t>4</w:t>
                    </w:r>
                    <w:r>
                      <w:rPr>
                        <w:bCs w:val="0"/>
                        <w:kern w:val="2"/>
                        <w:sz w:val="20"/>
                        <w:szCs w:val="20"/>
                      </w:rPr>
                      <w:t>40</w:t>
                    </w:r>
                    <w:r>
                      <w:rPr>
                        <w:rFonts w:hint="eastAsia"/>
                        <w:bCs w:val="0"/>
                        <w:kern w:val="2"/>
                        <w:sz w:val="20"/>
                        <w:szCs w:val="20"/>
                      </w:rPr>
                      <w:t>蒸吨循环流化床</w:t>
                    </w:r>
                    <w:r>
                      <w:rPr>
                        <w:bCs w:val="0"/>
                        <w:kern w:val="2"/>
                        <w:sz w:val="20"/>
                        <w:szCs w:val="20"/>
                      </w:rPr>
                      <w:t>锅炉，均建有除尘、脱硫、脱硝设施，完成了超低排放改造，运行正常。</w:t>
                    </w:r>
                  </w:p>
                </w:tc>
              </w:tr>
              <w:tr w:rsidR="00B201D3" w14:paraId="6C9993FE" w14:textId="77777777">
                <w:trPr>
                  <w:trHeight w:val="430"/>
                  <w:jc w:val="center"/>
                </w:trPr>
                <w:tc>
                  <w:tcPr>
                    <w:tcW w:w="750" w:type="dxa"/>
                    <w:vAlign w:val="center"/>
                  </w:tcPr>
                  <w:p w14:paraId="5EF3C081" w14:textId="77777777" w:rsidR="00B201D3" w:rsidRDefault="009855E8">
                    <w:pPr>
                      <w:jc w:val="center"/>
                      <w:rPr>
                        <w:bCs w:val="0"/>
                        <w:sz w:val="20"/>
                        <w:szCs w:val="20"/>
                      </w:rPr>
                    </w:pPr>
                    <w:r>
                      <w:rPr>
                        <w:rFonts w:hint="eastAsia"/>
                        <w:bCs w:val="0"/>
                        <w:sz w:val="20"/>
                        <w:szCs w:val="20"/>
                      </w:rPr>
                      <w:t>1</w:t>
                    </w:r>
                    <w:r>
                      <w:rPr>
                        <w:bCs w:val="0"/>
                        <w:sz w:val="20"/>
                        <w:szCs w:val="20"/>
                      </w:rPr>
                      <w:t>8</w:t>
                    </w:r>
                  </w:p>
                </w:tc>
                <w:tc>
                  <w:tcPr>
                    <w:tcW w:w="2527" w:type="dxa"/>
                    <w:vAlign w:val="center"/>
                  </w:tcPr>
                  <w:p w14:paraId="482D0209" w14:textId="77777777" w:rsidR="00B201D3" w:rsidRDefault="009855E8">
                    <w:pPr>
                      <w:jc w:val="center"/>
                      <w:rPr>
                        <w:bCs w:val="0"/>
                        <w:kern w:val="2"/>
                        <w:sz w:val="20"/>
                        <w:szCs w:val="20"/>
                      </w:rPr>
                    </w:pPr>
                    <w:r>
                      <w:rPr>
                        <w:rFonts w:hint="eastAsia"/>
                        <w:bCs w:val="0"/>
                        <w:kern w:val="2"/>
                        <w:sz w:val="20"/>
                        <w:szCs w:val="20"/>
                      </w:rPr>
                      <w:t>内蒙古矿业宏大实业兴和热电</w:t>
                    </w:r>
                  </w:p>
                </w:tc>
                <w:tc>
                  <w:tcPr>
                    <w:tcW w:w="6880" w:type="dxa"/>
                    <w:vAlign w:val="center"/>
                  </w:tcPr>
                  <w:p w14:paraId="01B3DFB3" w14:textId="77777777" w:rsidR="00B201D3" w:rsidRDefault="009855E8">
                    <w:pPr>
                      <w:rPr>
                        <w:bCs w:val="0"/>
                        <w:kern w:val="2"/>
                        <w:sz w:val="20"/>
                        <w:szCs w:val="20"/>
                      </w:rPr>
                    </w:pPr>
                    <w:r>
                      <w:rPr>
                        <w:rFonts w:hint="eastAsia"/>
                        <w:bCs w:val="0"/>
                        <w:kern w:val="2"/>
                        <w:sz w:val="20"/>
                        <w:szCs w:val="20"/>
                      </w:rPr>
                      <w:t>现有</w:t>
                    </w:r>
                    <w:r>
                      <w:rPr>
                        <w:rFonts w:hint="eastAsia"/>
                        <w:bCs w:val="0"/>
                        <w:kern w:val="2"/>
                        <w:sz w:val="20"/>
                        <w:szCs w:val="20"/>
                      </w:rPr>
                      <w:t>2</w:t>
                    </w:r>
                    <w:r>
                      <w:rPr>
                        <w:rFonts w:hint="eastAsia"/>
                        <w:bCs w:val="0"/>
                        <w:kern w:val="2"/>
                        <w:sz w:val="20"/>
                        <w:szCs w:val="20"/>
                      </w:rPr>
                      <w:t>台共</w:t>
                    </w:r>
                    <w:r>
                      <w:rPr>
                        <w:rFonts w:hint="eastAsia"/>
                        <w:bCs w:val="0"/>
                        <w:kern w:val="2"/>
                        <w:sz w:val="20"/>
                        <w:szCs w:val="20"/>
                      </w:rPr>
                      <w:t>2,478</w:t>
                    </w:r>
                    <w:r>
                      <w:rPr>
                        <w:rFonts w:hint="eastAsia"/>
                        <w:bCs w:val="0"/>
                        <w:kern w:val="2"/>
                        <w:sz w:val="20"/>
                        <w:szCs w:val="20"/>
                      </w:rPr>
                      <w:t>蒸吨锅炉，均建有除尘、脱硫、脱硝设施，完成了超低排放改造，运行正常。</w:t>
                    </w:r>
                  </w:p>
                </w:tc>
              </w:tr>
              <w:tr w:rsidR="00B201D3" w14:paraId="654DA5FF" w14:textId="77777777">
                <w:trPr>
                  <w:trHeight w:val="430"/>
                  <w:jc w:val="center"/>
                </w:trPr>
                <w:tc>
                  <w:tcPr>
                    <w:tcW w:w="750" w:type="dxa"/>
                    <w:vAlign w:val="center"/>
                  </w:tcPr>
                  <w:p w14:paraId="5ACF596E" w14:textId="77777777" w:rsidR="00B201D3" w:rsidRDefault="009855E8">
                    <w:pPr>
                      <w:jc w:val="center"/>
                      <w:rPr>
                        <w:bCs w:val="0"/>
                        <w:sz w:val="20"/>
                        <w:szCs w:val="20"/>
                      </w:rPr>
                    </w:pPr>
                    <w:r>
                      <w:rPr>
                        <w:rFonts w:hint="eastAsia"/>
                        <w:bCs w:val="0"/>
                        <w:sz w:val="20"/>
                        <w:szCs w:val="20"/>
                      </w:rPr>
                      <w:t>1</w:t>
                    </w:r>
                    <w:r>
                      <w:rPr>
                        <w:bCs w:val="0"/>
                        <w:sz w:val="20"/>
                        <w:szCs w:val="20"/>
                      </w:rPr>
                      <w:t>9</w:t>
                    </w:r>
                  </w:p>
                </w:tc>
                <w:tc>
                  <w:tcPr>
                    <w:tcW w:w="2527" w:type="dxa"/>
                    <w:vAlign w:val="center"/>
                  </w:tcPr>
                  <w:p w14:paraId="5FA6BFEE" w14:textId="77777777" w:rsidR="00B201D3" w:rsidRDefault="009855E8">
                    <w:pPr>
                      <w:jc w:val="center"/>
                      <w:rPr>
                        <w:bCs w:val="0"/>
                        <w:kern w:val="2"/>
                        <w:sz w:val="20"/>
                        <w:szCs w:val="20"/>
                      </w:rPr>
                    </w:pPr>
                    <w:r>
                      <w:rPr>
                        <w:bCs w:val="0"/>
                        <w:kern w:val="2"/>
                        <w:sz w:val="20"/>
                        <w:szCs w:val="20"/>
                      </w:rPr>
                      <w:t>榆林能化</w:t>
                    </w:r>
                  </w:p>
                </w:tc>
                <w:tc>
                  <w:tcPr>
                    <w:tcW w:w="6880" w:type="dxa"/>
                    <w:vAlign w:val="center"/>
                  </w:tcPr>
                  <w:p w14:paraId="1B1DE7AD" w14:textId="77777777" w:rsidR="00B201D3" w:rsidRDefault="009855E8">
                    <w:pPr>
                      <w:rPr>
                        <w:bCs w:val="0"/>
                        <w:kern w:val="2"/>
                        <w:sz w:val="20"/>
                        <w:szCs w:val="20"/>
                      </w:rPr>
                    </w:pPr>
                    <w:r>
                      <w:rPr>
                        <w:bCs w:val="0"/>
                        <w:kern w:val="2"/>
                        <w:sz w:val="20"/>
                        <w:szCs w:val="20"/>
                      </w:rPr>
                      <w:t>建有</w:t>
                    </w:r>
                    <w:r>
                      <w:rPr>
                        <w:rFonts w:hint="eastAsia"/>
                        <w:bCs w:val="0"/>
                        <w:kern w:val="2"/>
                        <w:sz w:val="20"/>
                        <w:szCs w:val="20"/>
                      </w:rPr>
                      <w:t>两套</w:t>
                    </w:r>
                    <w:r>
                      <w:rPr>
                        <w:bCs w:val="0"/>
                        <w:kern w:val="2"/>
                        <w:sz w:val="20"/>
                        <w:szCs w:val="20"/>
                      </w:rPr>
                      <w:t>工业废水处理</w:t>
                    </w:r>
                    <w:r>
                      <w:rPr>
                        <w:rFonts w:hint="eastAsia"/>
                        <w:bCs w:val="0"/>
                        <w:kern w:val="2"/>
                        <w:sz w:val="20"/>
                        <w:szCs w:val="20"/>
                      </w:rPr>
                      <w:t>系统</w:t>
                    </w:r>
                    <w:r>
                      <w:rPr>
                        <w:bCs w:val="0"/>
                        <w:kern w:val="2"/>
                        <w:sz w:val="20"/>
                        <w:szCs w:val="20"/>
                      </w:rPr>
                      <w:t>，运行正常。另有</w:t>
                    </w:r>
                    <w:r>
                      <w:rPr>
                        <w:bCs w:val="0"/>
                        <w:kern w:val="2"/>
                        <w:sz w:val="20"/>
                        <w:szCs w:val="20"/>
                      </w:rPr>
                      <w:t>4</w:t>
                    </w:r>
                    <w:r>
                      <w:rPr>
                        <w:bCs w:val="0"/>
                        <w:kern w:val="2"/>
                        <w:sz w:val="20"/>
                        <w:szCs w:val="20"/>
                      </w:rPr>
                      <w:t>台</w:t>
                    </w:r>
                    <w:r>
                      <w:rPr>
                        <w:bCs w:val="0"/>
                        <w:kern w:val="2"/>
                        <w:sz w:val="20"/>
                        <w:szCs w:val="20"/>
                      </w:rPr>
                      <w:t>260</w:t>
                    </w:r>
                    <w:r>
                      <w:rPr>
                        <w:bCs w:val="0"/>
                        <w:kern w:val="2"/>
                        <w:sz w:val="20"/>
                        <w:szCs w:val="20"/>
                      </w:rPr>
                      <w:t>蒸吨煤粉炉，均建有除尘、脱硫、脱硝设施，均</w:t>
                    </w:r>
                    <w:r>
                      <w:rPr>
                        <w:rFonts w:hint="eastAsia"/>
                        <w:bCs w:val="0"/>
                        <w:kern w:val="2"/>
                        <w:sz w:val="20"/>
                        <w:szCs w:val="20"/>
                      </w:rPr>
                      <w:t>实现</w:t>
                    </w:r>
                    <w:r>
                      <w:rPr>
                        <w:bCs w:val="0"/>
                        <w:kern w:val="2"/>
                        <w:sz w:val="20"/>
                        <w:szCs w:val="20"/>
                      </w:rPr>
                      <w:t>超低排放，运行正常。</w:t>
                    </w:r>
                  </w:p>
                </w:tc>
              </w:tr>
              <w:tr w:rsidR="00B201D3" w14:paraId="1B3FD1B2" w14:textId="77777777">
                <w:trPr>
                  <w:trHeight w:val="430"/>
                  <w:jc w:val="center"/>
                </w:trPr>
                <w:tc>
                  <w:tcPr>
                    <w:tcW w:w="750" w:type="dxa"/>
                    <w:vAlign w:val="center"/>
                  </w:tcPr>
                  <w:p w14:paraId="6EE612C8" w14:textId="77777777" w:rsidR="00B201D3" w:rsidRDefault="009855E8">
                    <w:pPr>
                      <w:jc w:val="center"/>
                      <w:rPr>
                        <w:bCs w:val="0"/>
                        <w:sz w:val="20"/>
                        <w:szCs w:val="20"/>
                      </w:rPr>
                    </w:pPr>
                    <w:r>
                      <w:rPr>
                        <w:rFonts w:hint="eastAsia"/>
                        <w:bCs w:val="0"/>
                        <w:sz w:val="20"/>
                        <w:szCs w:val="20"/>
                      </w:rPr>
                      <w:t>20</w:t>
                    </w:r>
                  </w:p>
                </w:tc>
                <w:tc>
                  <w:tcPr>
                    <w:tcW w:w="2527" w:type="dxa"/>
                    <w:vAlign w:val="center"/>
                  </w:tcPr>
                  <w:p w14:paraId="0B6B791F" w14:textId="77777777" w:rsidR="00B201D3" w:rsidRDefault="009855E8">
                    <w:pPr>
                      <w:jc w:val="center"/>
                      <w:rPr>
                        <w:bCs w:val="0"/>
                        <w:kern w:val="2"/>
                        <w:sz w:val="20"/>
                        <w:szCs w:val="20"/>
                      </w:rPr>
                    </w:pPr>
                    <w:r>
                      <w:rPr>
                        <w:bCs w:val="0"/>
                        <w:kern w:val="2"/>
                        <w:sz w:val="20"/>
                        <w:szCs w:val="20"/>
                      </w:rPr>
                      <w:t>鲁南化工</w:t>
                    </w:r>
                  </w:p>
                </w:tc>
                <w:tc>
                  <w:tcPr>
                    <w:tcW w:w="6880" w:type="dxa"/>
                    <w:vAlign w:val="center"/>
                  </w:tcPr>
                  <w:p w14:paraId="3512547B" w14:textId="77777777" w:rsidR="00B201D3" w:rsidRDefault="009855E8">
                    <w:pPr>
                      <w:rPr>
                        <w:bCs w:val="0"/>
                        <w:kern w:val="2"/>
                        <w:sz w:val="20"/>
                        <w:szCs w:val="20"/>
                      </w:rPr>
                    </w:pPr>
                    <w:r>
                      <w:rPr>
                        <w:bCs w:val="0"/>
                        <w:kern w:val="2"/>
                        <w:sz w:val="20"/>
                        <w:szCs w:val="20"/>
                      </w:rPr>
                      <w:t>建有工业废水处理厂一座，运行正常。另有</w:t>
                    </w:r>
                    <w:r>
                      <w:rPr>
                        <w:bCs w:val="0"/>
                        <w:kern w:val="2"/>
                        <w:sz w:val="20"/>
                        <w:szCs w:val="20"/>
                      </w:rPr>
                      <w:t>2</w:t>
                    </w:r>
                    <w:r>
                      <w:rPr>
                        <w:bCs w:val="0"/>
                        <w:kern w:val="2"/>
                        <w:sz w:val="20"/>
                        <w:szCs w:val="20"/>
                      </w:rPr>
                      <w:t>台</w:t>
                    </w:r>
                    <w:r>
                      <w:rPr>
                        <w:bCs w:val="0"/>
                        <w:kern w:val="2"/>
                        <w:sz w:val="20"/>
                        <w:szCs w:val="20"/>
                      </w:rPr>
                      <w:t>130</w:t>
                    </w:r>
                    <w:r>
                      <w:rPr>
                        <w:bCs w:val="0"/>
                        <w:kern w:val="2"/>
                        <w:sz w:val="20"/>
                        <w:szCs w:val="20"/>
                      </w:rPr>
                      <w:t>蒸吨、</w:t>
                    </w:r>
                    <w:r>
                      <w:rPr>
                        <w:bCs w:val="0"/>
                        <w:kern w:val="2"/>
                        <w:sz w:val="20"/>
                        <w:szCs w:val="20"/>
                      </w:rPr>
                      <w:t>2</w:t>
                    </w:r>
                    <w:r>
                      <w:rPr>
                        <w:bCs w:val="0"/>
                        <w:kern w:val="2"/>
                        <w:sz w:val="20"/>
                        <w:szCs w:val="20"/>
                      </w:rPr>
                      <w:t>台</w:t>
                    </w:r>
                    <w:r>
                      <w:rPr>
                        <w:bCs w:val="0"/>
                        <w:kern w:val="2"/>
                        <w:sz w:val="20"/>
                        <w:szCs w:val="20"/>
                      </w:rPr>
                      <w:t>260</w:t>
                    </w:r>
                    <w:r>
                      <w:rPr>
                        <w:bCs w:val="0"/>
                        <w:kern w:val="2"/>
                        <w:sz w:val="20"/>
                        <w:szCs w:val="20"/>
                      </w:rPr>
                      <w:t>蒸吨循环流化床锅炉和</w:t>
                    </w:r>
                    <w:r>
                      <w:rPr>
                        <w:bCs w:val="0"/>
                        <w:kern w:val="2"/>
                        <w:sz w:val="20"/>
                        <w:szCs w:val="20"/>
                      </w:rPr>
                      <w:t>2</w:t>
                    </w:r>
                    <w:r>
                      <w:rPr>
                        <w:bCs w:val="0"/>
                        <w:kern w:val="2"/>
                        <w:sz w:val="20"/>
                        <w:szCs w:val="20"/>
                      </w:rPr>
                      <w:t>台</w:t>
                    </w:r>
                    <w:r>
                      <w:rPr>
                        <w:bCs w:val="0"/>
                        <w:kern w:val="2"/>
                        <w:sz w:val="20"/>
                        <w:szCs w:val="20"/>
                      </w:rPr>
                      <w:t>480</w:t>
                    </w:r>
                    <w:r>
                      <w:rPr>
                        <w:bCs w:val="0"/>
                        <w:kern w:val="2"/>
                        <w:sz w:val="20"/>
                        <w:szCs w:val="20"/>
                      </w:rPr>
                      <w:t>蒸吨</w:t>
                    </w:r>
                    <w:r>
                      <w:rPr>
                        <w:rFonts w:hint="eastAsia"/>
                        <w:bCs w:val="0"/>
                        <w:kern w:val="2"/>
                        <w:sz w:val="20"/>
                        <w:szCs w:val="20"/>
                      </w:rPr>
                      <w:t>煤粉炉</w:t>
                    </w:r>
                    <w:r>
                      <w:rPr>
                        <w:bCs w:val="0"/>
                        <w:kern w:val="2"/>
                        <w:sz w:val="20"/>
                        <w:szCs w:val="20"/>
                      </w:rPr>
                      <w:t>，均建有除尘、脱硫、脱硝设施，均已完成超低排放改造，运行正常。</w:t>
                    </w:r>
                  </w:p>
                </w:tc>
              </w:tr>
            </w:tbl>
            <w:p w14:paraId="7A5C596D" w14:textId="77777777" w:rsidR="00B201D3" w:rsidRDefault="00C8327E">
              <w:pPr>
                <w:pStyle w:val="3903"/>
              </w:pPr>
            </w:p>
          </w:sdtContent>
        </w:sdt>
        <w:p w14:paraId="43DF9A8A" w14:textId="77777777" w:rsidR="00B201D3" w:rsidRDefault="00C8327E">
          <w:pPr>
            <w:pStyle w:val="aff2"/>
            <w:ind w:firstLineChars="0" w:firstLine="0"/>
            <w:rPr>
              <w:rFonts w:ascii="宋体" w:hAnsi="宋体"/>
            </w:rPr>
          </w:pPr>
        </w:p>
      </w:sdtContent>
    </w:sdt>
    <w:sdt>
      <w:sdtPr>
        <w:rPr>
          <w:rFonts w:ascii="宋体" w:hAnsi="宋体" w:cs="宋体" w:hint="eastAsia"/>
          <w:b w:val="0"/>
          <w:bCs w:val="0"/>
          <w:kern w:val="0"/>
          <w:szCs w:val="21"/>
        </w:rPr>
        <w:alias w:val="模块:建设项目环境影响评价及其他环境保护行政许可情况"/>
        <w:tag w:val="_SEC_2708d5a25473420b9cd1646eac86c715"/>
        <w:id w:val="1078480618"/>
        <w:lock w:val="sdtLocked"/>
        <w:placeholder>
          <w:docPart w:val="GBC22222222222222222222222222222"/>
        </w:placeholder>
      </w:sdtPr>
      <w:sdtEndPr/>
      <w:sdtContent>
        <w:p w14:paraId="7438885B" w14:textId="77777777" w:rsidR="00B201D3" w:rsidRDefault="009855E8">
          <w:pPr>
            <w:pStyle w:val="4"/>
            <w:numPr>
              <w:ilvl w:val="0"/>
              <w:numId w:val="23"/>
            </w:numPr>
            <w:rPr>
              <w:rFonts w:ascii="宋体" w:hAnsi="宋体"/>
              <w:bCs w:val="0"/>
              <w:szCs w:val="22"/>
            </w:rPr>
          </w:pPr>
          <w:r>
            <w:rPr>
              <w:rFonts w:ascii="宋体" w:hAnsi="宋体" w:hint="eastAsia"/>
              <w:szCs w:val="21"/>
            </w:rPr>
            <w:t>建设项目环境影响评价及其他环境保护行政许可情况</w:t>
          </w:r>
        </w:p>
        <w:sdt>
          <w:sdtPr>
            <w:rPr>
              <w:rFonts w:ascii="宋体" w:hAnsi="宋体" w:hint="eastAsia"/>
            </w:rPr>
            <w:alias w:val="是否适用：环境影响评价及其他环境保护行政许可[双击切换]"/>
            <w:tag w:val="_GBC_3824fd66ff4141358cbb17c1d49124d4"/>
            <w:id w:val="1001234742"/>
            <w:lock w:val="sdtLocked"/>
            <w:placeholder>
              <w:docPart w:val="GBC22222222222222222222222222222"/>
            </w:placeholder>
          </w:sdtPr>
          <w:sdtEndPr/>
          <w:sdtContent>
            <w:p w14:paraId="37D3FE4D" w14:textId="77777777" w:rsidR="00B201D3" w:rsidRDefault="009855E8">
              <w:pPr>
                <w:pStyle w:val="aff2"/>
                <w:ind w:firstLineChars="0" w:firstLine="0"/>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环境影响评价及其他环境保护行政许可"/>
            <w:tag w:val="_GBC_8592b333277f43349f710f284bb4c167"/>
            <w:id w:val="-26335863"/>
            <w:lock w:val="sdtLocked"/>
            <w:placeholder>
              <w:docPart w:val="GBC22222222222222222222222222222"/>
            </w:placeholder>
          </w:sdtPr>
          <w:sdtEndPr/>
          <w:sdtContent>
            <w:p w14:paraId="5ACF9189" w14:textId="77777777" w:rsidR="00B201D3" w:rsidRDefault="009855E8">
              <w:pPr>
                <w:ind w:firstLineChars="200" w:firstLine="420"/>
                <w:jc w:val="both"/>
              </w:pPr>
              <w:r>
                <w:rPr>
                  <w:rFonts w:hint="eastAsia"/>
                </w:rPr>
                <w:t>本集团认真落实《环境影响评价法》等相关法律法规，所建项目均严格履行建设项目环境管理程序，落实环境影响评价要求，在项目建设之前开展环境影响评价；落实“三同时”制度，按照环评及批复要求，污染治理和生态保护工程与主体工程同时设计、施工并投入使用；落实建设项目竣工环保验收要求，试运行完成后开展环保验收，确保项目建设依法依规、批建一致。</w:t>
              </w:r>
            </w:p>
            <w:p w14:paraId="680F0C22" w14:textId="77777777" w:rsidR="00B201D3" w:rsidRDefault="009855E8">
              <w:pPr>
                <w:ind w:firstLineChars="200" w:firstLine="420"/>
              </w:pPr>
              <w:r>
                <w:rPr>
                  <w:rFonts w:hint="eastAsia"/>
                </w:rPr>
                <w:t>本集团各重点排污单位严格落实排污许可制度，确保“持证排污、按证排污”，许可证均在有效期内。</w:t>
              </w:r>
            </w:p>
          </w:sdtContent>
        </w:sdt>
        <w:p w14:paraId="24516C9D" w14:textId="77777777" w:rsidR="00B201D3" w:rsidRDefault="00C8327E">
          <w:pPr>
            <w:pStyle w:val="3903"/>
          </w:pPr>
        </w:p>
      </w:sdtContent>
    </w:sdt>
    <w:sdt>
      <w:sdtPr>
        <w:rPr>
          <w:rFonts w:ascii="宋体" w:hAnsi="宋体" w:cs="宋体" w:hint="eastAsia"/>
          <w:b w:val="0"/>
          <w:bCs w:val="0"/>
          <w:kern w:val="0"/>
          <w:szCs w:val="21"/>
        </w:rPr>
        <w:alias w:val="模块:突发环境事件应急预案"/>
        <w:tag w:val="_SEC_8a186947e6794ae7a56369fd5232b227"/>
        <w:id w:val="178698787"/>
        <w:lock w:val="sdtLocked"/>
        <w:placeholder>
          <w:docPart w:val="GBC22222222222222222222222222222"/>
        </w:placeholder>
      </w:sdtPr>
      <w:sdtEndPr>
        <w:rPr>
          <w:rFonts w:hint="default"/>
        </w:rPr>
      </w:sdtEndPr>
      <w:sdtContent>
        <w:p w14:paraId="62C08AF7" w14:textId="77777777" w:rsidR="00B201D3" w:rsidRDefault="009855E8">
          <w:pPr>
            <w:pStyle w:val="4"/>
            <w:numPr>
              <w:ilvl w:val="0"/>
              <w:numId w:val="23"/>
            </w:numPr>
            <w:rPr>
              <w:rFonts w:ascii="宋体" w:hAnsi="宋体"/>
            </w:rPr>
          </w:pPr>
          <w:r>
            <w:rPr>
              <w:rFonts w:ascii="宋体" w:hAnsi="宋体" w:hint="eastAsia"/>
              <w:szCs w:val="21"/>
            </w:rPr>
            <w:t>突发环境事件应急预案</w:t>
          </w:r>
        </w:p>
        <w:sdt>
          <w:sdtPr>
            <w:alias w:val="是否适用：突发环境事件应急预案[双击切换]"/>
            <w:tag w:val="_GBC_df8be27e0fe04478b8e2d99d253dbf26"/>
            <w:id w:val="-1140956786"/>
            <w:lock w:val="sdtLocked"/>
            <w:placeholder>
              <w:docPart w:val="GBC22222222222222222222222222222"/>
            </w:placeholder>
          </w:sdtPr>
          <w:sdtEndPr/>
          <w:sdtContent>
            <w:p w14:paraId="0FA00DF6" w14:textId="77777777" w:rsidR="00B201D3" w:rsidRDefault="009855E8">
              <w:pPr>
                <w:pStyle w:val="390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突发环境事件应急预案"/>
            <w:tag w:val="_GBC_2185e6aced094c6c8ba2229f13fa085b"/>
            <w:id w:val="-507064973"/>
            <w:lock w:val="sdtLocked"/>
            <w:placeholder>
              <w:docPart w:val="GBC22222222222222222222222222222"/>
            </w:placeholder>
          </w:sdtPr>
          <w:sdtEndPr/>
          <w:sdtContent>
            <w:p w14:paraId="0A443CE2" w14:textId="77777777" w:rsidR="00B201D3" w:rsidRDefault="009855E8">
              <w:pPr>
                <w:ind w:firstLineChars="200" w:firstLine="420"/>
                <w:jc w:val="both"/>
              </w:pPr>
              <w:r>
                <w:rPr>
                  <w:rFonts w:hint="eastAsia"/>
                </w:rPr>
                <w:t>本集团各生产单位按要求自行或委托有资质单位编制突发环境事件应急预案，并由政府生态环境主管部门及相关专家评估后备案。同时加强应急设施配备，实施经常性应急演练，提高环境污染事件防控和应急处置能力，最大限度地降低或减少环境事件的发生。</w:t>
              </w:r>
            </w:p>
          </w:sdtContent>
        </w:sdt>
        <w:p w14:paraId="76E06B83" w14:textId="77777777" w:rsidR="00B201D3" w:rsidRDefault="00C8327E">
          <w:pPr>
            <w:pStyle w:val="3903"/>
          </w:pPr>
        </w:p>
      </w:sdtContent>
    </w:sdt>
    <w:sdt>
      <w:sdtPr>
        <w:rPr>
          <w:rFonts w:ascii="宋体" w:hAnsi="宋体" w:cs="宋体" w:hint="eastAsia"/>
          <w:b w:val="0"/>
          <w:bCs w:val="0"/>
          <w:kern w:val="0"/>
          <w:szCs w:val="21"/>
        </w:rPr>
        <w:alias w:val="模块:环境自行监测方案"/>
        <w:tag w:val="_SEC_9756f3e7d2714d9788f7344c9c15bb49"/>
        <w:id w:val="-1757359942"/>
        <w:lock w:val="sdtLocked"/>
        <w:placeholder>
          <w:docPart w:val="GBC22222222222222222222222222222"/>
        </w:placeholder>
      </w:sdtPr>
      <w:sdtEndPr>
        <w:rPr>
          <w:rFonts w:hint="default"/>
        </w:rPr>
      </w:sdtEndPr>
      <w:sdtContent>
        <w:p w14:paraId="1A897063" w14:textId="77777777" w:rsidR="00B201D3" w:rsidRDefault="009855E8">
          <w:pPr>
            <w:pStyle w:val="4"/>
            <w:numPr>
              <w:ilvl w:val="0"/>
              <w:numId w:val="23"/>
            </w:numPr>
            <w:rPr>
              <w:rFonts w:ascii="宋体" w:hAnsi="宋体"/>
              <w:bCs w:val="0"/>
              <w:szCs w:val="22"/>
            </w:rPr>
          </w:pPr>
          <w:r>
            <w:rPr>
              <w:rFonts w:ascii="宋体" w:hAnsi="宋体" w:hint="eastAsia"/>
              <w:szCs w:val="21"/>
            </w:rPr>
            <w:t>环境自行监测方案</w:t>
          </w:r>
        </w:p>
        <w:sdt>
          <w:sdtPr>
            <w:rPr>
              <w:rFonts w:ascii="宋体" w:hAnsi="宋体" w:hint="eastAsia"/>
            </w:rPr>
            <w:alias w:val="是否适用：环境自行监测方案[双击切换]"/>
            <w:tag w:val="_GBC_8282bd073e454f33b6fa8f66542c0ea4"/>
            <w:id w:val="1161974623"/>
            <w:lock w:val="sdtLocked"/>
            <w:placeholder>
              <w:docPart w:val="GBC22222222222222222222222222222"/>
            </w:placeholder>
          </w:sdtPr>
          <w:sdtEndPr/>
          <w:sdtContent>
            <w:p w14:paraId="25A939BE" w14:textId="77777777" w:rsidR="00B201D3" w:rsidRDefault="009855E8">
              <w:pPr>
                <w:pStyle w:val="aff2"/>
                <w:ind w:firstLineChars="0" w:firstLine="0"/>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环境自行监测方案"/>
            <w:tag w:val="_GBC_fcc9259ff58741f496af8580b408371e"/>
            <w:id w:val="-1152905553"/>
            <w:lock w:val="sdtLocked"/>
            <w:placeholder>
              <w:docPart w:val="GBC22222222222222222222222222222"/>
            </w:placeholder>
          </w:sdtPr>
          <w:sdtEndPr/>
          <w:sdtContent>
            <w:p w14:paraId="6818F534" w14:textId="77777777" w:rsidR="00B201D3" w:rsidRDefault="009855E8">
              <w:pPr>
                <w:ind w:firstLineChars="200" w:firstLine="420"/>
                <w:jc w:val="both"/>
              </w:pPr>
              <w:r>
                <w:rPr>
                  <w:rFonts w:hint="eastAsia"/>
                </w:rPr>
                <w:t>本集团所属煤矿企业均安装污水在线监测设施、煤场</w:t>
              </w:r>
              <w:r>
                <w:t>PM</w:t>
              </w:r>
              <w:r>
                <w:rPr>
                  <w:vertAlign w:val="subscript"/>
                </w:rPr>
                <w:t>10</w:t>
              </w:r>
              <w:r>
                <w:t>在线监测设备；电厂均安装</w:t>
              </w:r>
              <w:r>
                <w:rPr>
                  <w:rFonts w:hint="eastAsia"/>
                </w:rPr>
                <w:t>锅炉烟气</w:t>
              </w:r>
              <w:r>
                <w:t>在线监测设施；化工企业均安装工业废水、锅炉烟气在线监测设施。在线</w:t>
              </w:r>
              <w:r>
                <w:rPr>
                  <w:rFonts w:hint="eastAsia"/>
                </w:rPr>
                <w:t>监测</w:t>
              </w:r>
              <w:r>
                <w:t>设施均与政府</w:t>
              </w:r>
              <w:r>
                <w:rPr>
                  <w:rFonts w:hint="eastAsia"/>
                </w:rPr>
                <w:t>生态环境主管</w:t>
              </w:r>
              <w:r>
                <w:t>部门监控平台连接，实现实时</w:t>
              </w:r>
              <w:r>
                <w:rPr>
                  <w:rFonts w:hint="eastAsia"/>
                </w:rPr>
                <w:t>监测</w:t>
              </w:r>
              <w:r>
                <w:t>。同时，各生产单位按要求编制自行监测方案，定期开展自行监测，并向社会公开重点污染源监测信息。监测的主要方式为在线监测和委托监测。</w:t>
              </w:r>
            </w:p>
            <w:p w14:paraId="2083BB29" w14:textId="77777777" w:rsidR="00B201D3" w:rsidRDefault="009855E8">
              <w:pPr>
                <w:ind w:firstLineChars="200" w:firstLine="420"/>
                <w:jc w:val="both"/>
              </w:pPr>
              <w:r>
                <w:rPr>
                  <w:rFonts w:hint="eastAsia"/>
                </w:rPr>
                <w:t>（</w:t>
              </w:r>
              <w:r>
                <w:t>1）在线监测</w:t>
              </w:r>
            </w:p>
            <w:p w14:paraId="78AFE39D" w14:textId="77777777" w:rsidR="00B201D3" w:rsidRDefault="009855E8">
              <w:pPr>
                <w:ind w:firstLineChars="200" w:firstLine="420"/>
                <w:jc w:val="both"/>
              </w:pPr>
              <w:r>
                <w:rPr>
                  <w:rFonts w:hint="eastAsia"/>
                </w:rPr>
                <w:t>①矿井水。由第三方机构对外排水</w:t>
              </w:r>
              <w:r>
                <w:t>COD进行在线监测，监测频率每2小时1次，监测数据与政府监控平台实时联网。</w:t>
              </w:r>
            </w:p>
            <w:p w14:paraId="0EBC086E" w14:textId="77777777" w:rsidR="00B201D3" w:rsidRDefault="009855E8">
              <w:pPr>
                <w:ind w:firstLineChars="200" w:firstLine="420"/>
                <w:jc w:val="both"/>
              </w:pPr>
              <w:r>
                <w:rPr>
                  <w:rFonts w:hint="eastAsia"/>
                </w:rPr>
                <w:t>②生活污水。由第三方机构对外排水</w:t>
              </w:r>
              <w:r>
                <w:t>COD、氨氮、总磷、总氮进行在线监测，监测频率每2小时1次，监测数据与政府监控平台实时联网。</w:t>
              </w:r>
            </w:p>
            <w:p w14:paraId="5E9C2A51" w14:textId="77777777" w:rsidR="00B201D3" w:rsidRDefault="009855E8">
              <w:pPr>
                <w:ind w:firstLineChars="200" w:firstLine="420"/>
                <w:jc w:val="both"/>
              </w:pPr>
              <w:r>
                <w:rPr>
                  <w:rFonts w:hint="eastAsia"/>
                </w:rPr>
                <w:t>③工业废水。由第三方机构对外排水</w:t>
              </w:r>
              <w:r>
                <w:t>COD、氨氮、总磷、总氮等进行在线监测，监测频率每2小时1次，监测数据与政府监控平台实时联网。</w:t>
              </w:r>
            </w:p>
            <w:p w14:paraId="281054C5" w14:textId="77777777" w:rsidR="00B201D3" w:rsidRDefault="009855E8">
              <w:pPr>
                <w:ind w:firstLineChars="200" w:firstLine="420"/>
                <w:jc w:val="both"/>
              </w:pPr>
              <w:r>
                <w:rPr>
                  <w:rFonts w:hint="eastAsia"/>
                </w:rPr>
                <w:t>④锅炉烟气。由第三方机构对外排</w:t>
              </w:r>
              <w:r>
                <w:t>SO</w:t>
              </w:r>
              <w:r>
                <w:rPr>
                  <w:vertAlign w:val="subscript"/>
                </w:rPr>
                <w:t>2</w:t>
              </w:r>
              <w:r>
                <w:t>、NO</w:t>
              </w:r>
              <w:r>
                <w:rPr>
                  <w:vertAlign w:val="subscript"/>
                </w:rPr>
                <w:t>X</w:t>
              </w:r>
              <w:r>
                <w:t>、</w:t>
              </w:r>
              <w:r>
                <w:rPr>
                  <w:rFonts w:hint="eastAsia"/>
                </w:rPr>
                <w:t>颗粒物</w:t>
              </w:r>
              <w:r>
                <w:t>等进行在线监测，监测频率每小时1次，监测数据与政府监控平台实时联网。</w:t>
              </w:r>
            </w:p>
            <w:p w14:paraId="1590E043" w14:textId="77777777" w:rsidR="00B201D3" w:rsidRDefault="009855E8">
              <w:pPr>
                <w:ind w:firstLineChars="200" w:firstLine="420"/>
                <w:jc w:val="both"/>
              </w:pPr>
              <w:r>
                <w:rPr>
                  <w:rFonts w:hint="eastAsia"/>
                </w:rPr>
                <w:t>⑤煤场</w:t>
              </w:r>
              <w:r>
                <w:t>。由第三方机构对储煤场出口处PM</w:t>
              </w:r>
              <w:r>
                <w:rPr>
                  <w:vertAlign w:val="subscript"/>
                </w:rPr>
                <w:t>10</w:t>
              </w:r>
              <w:r>
                <w:t>进行在线监测，监测频率每小时1次，监测数据与政府监控平台实时联网。</w:t>
              </w:r>
            </w:p>
            <w:p w14:paraId="71F823E2" w14:textId="77777777" w:rsidR="00B201D3" w:rsidRDefault="009855E8">
              <w:pPr>
                <w:ind w:firstLineChars="200" w:firstLine="420"/>
                <w:jc w:val="both"/>
              </w:pPr>
              <w:r>
                <w:rPr>
                  <w:rFonts w:hint="eastAsia"/>
                </w:rPr>
                <w:t>（</w:t>
              </w:r>
              <w:r>
                <w:t>2）委托监测</w:t>
              </w:r>
            </w:p>
            <w:p w14:paraId="5785821F" w14:textId="77777777" w:rsidR="00B201D3" w:rsidRDefault="009855E8">
              <w:pPr>
                <w:ind w:firstLineChars="200" w:firstLine="420"/>
                <w:jc w:val="both"/>
              </w:pPr>
              <w:r>
                <w:rPr>
                  <w:rFonts w:hint="eastAsia"/>
                </w:rPr>
                <w:t>①委托第三方机构对外排水污染物监测，频率为每月</w:t>
              </w:r>
              <w:r>
                <w:t>1次，监测项目参照《城镇污水处理厂污染物排放标准》。</w:t>
              </w:r>
            </w:p>
            <w:p w14:paraId="37DDC431" w14:textId="77777777" w:rsidR="00B201D3" w:rsidRDefault="009855E8">
              <w:pPr>
                <w:ind w:firstLineChars="200" w:firstLine="420"/>
                <w:jc w:val="both"/>
              </w:pPr>
              <w:r>
                <w:rPr>
                  <w:rFonts w:hint="eastAsia"/>
                </w:rPr>
                <w:t>②委托第三方机构对颗粒物、</w:t>
              </w:r>
              <w:r>
                <w:t>SO</w:t>
              </w:r>
              <w:r>
                <w:rPr>
                  <w:vertAlign w:val="subscript"/>
                </w:rPr>
                <w:t>2</w:t>
              </w:r>
              <w:r>
                <w:t>、NO</w:t>
              </w:r>
              <w:r>
                <w:rPr>
                  <w:vertAlign w:val="subscript"/>
                </w:rPr>
                <w:t>X</w:t>
              </w:r>
              <w:r>
                <w:t>进行人工监测，监测频率为每季度1次。</w:t>
              </w:r>
            </w:p>
            <w:p w14:paraId="51BC58FA" w14:textId="77777777" w:rsidR="00B201D3" w:rsidRDefault="009855E8">
              <w:pPr>
                <w:ind w:firstLineChars="200" w:firstLine="420"/>
                <w:jc w:val="both"/>
              </w:pPr>
              <w:r>
                <w:rPr>
                  <w:rFonts w:hint="eastAsia"/>
                </w:rPr>
                <w:t>③委托第三方机构对厂界噪声进行监测，监测频率为每季度</w:t>
              </w:r>
              <w:r>
                <w:t>1次。</w:t>
              </w:r>
            </w:p>
            <w:p w14:paraId="41AE4C1B" w14:textId="77777777" w:rsidR="00B201D3" w:rsidRDefault="009855E8">
              <w:pPr>
                <w:ind w:firstLineChars="200" w:firstLine="420"/>
                <w:jc w:val="both"/>
              </w:pPr>
              <w:r>
                <w:rPr>
                  <w:rFonts w:hint="eastAsia"/>
                </w:rPr>
                <w:t>④委托第三方对在用放射源进行辐射监测，监测频率每年</w:t>
              </w:r>
              <w:r>
                <w:t>1次。</w:t>
              </w:r>
            </w:p>
          </w:sdtContent>
        </w:sdt>
      </w:sdtContent>
    </w:sdt>
    <w:p w14:paraId="56AA871E" w14:textId="77777777" w:rsidR="00B201D3" w:rsidRDefault="00B201D3">
      <w:pPr>
        <w:pStyle w:val="3903"/>
      </w:pPr>
    </w:p>
    <w:sdt>
      <w:sdtPr>
        <w:rPr>
          <w:rFonts w:ascii="宋体" w:hAnsi="宋体" w:cs="宋体" w:hint="eastAsia"/>
          <w:b w:val="0"/>
          <w:bCs w:val="0"/>
          <w:kern w:val="0"/>
          <w:szCs w:val="21"/>
        </w:rPr>
        <w:alias w:val="模块:报告期内因环境问题受到行政处罚的情况"/>
        <w:tag w:val="_SEC_d4d4f3aa551f4da6b52a96fc74100d07"/>
        <w:id w:val="1526901536"/>
        <w:lock w:val="sdtLocked"/>
        <w:placeholder>
          <w:docPart w:val="GBC22222222222222222222222222222"/>
        </w:placeholder>
      </w:sdtPr>
      <w:sdtEndPr>
        <w:rPr>
          <w:rFonts w:hint="default"/>
        </w:rPr>
      </w:sdtEndPr>
      <w:sdtContent>
        <w:p w14:paraId="670E6589" w14:textId="77777777" w:rsidR="00B201D3" w:rsidRDefault="009855E8">
          <w:pPr>
            <w:pStyle w:val="4"/>
            <w:numPr>
              <w:ilvl w:val="0"/>
              <w:numId w:val="23"/>
            </w:numPr>
            <w:rPr>
              <w:rFonts w:ascii="宋体" w:hAnsi="宋体" w:cs="宋体"/>
              <w:kern w:val="0"/>
              <w:szCs w:val="21"/>
            </w:rPr>
          </w:pPr>
          <w:r>
            <w:rPr>
              <w:rFonts w:ascii="宋体" w:hAnsi="宋体" w:cs="宋体" w:hint="eastAsia"/>
              <w:kern w:val="0"/>
              <w:szCs w:val="21"/>
            </w:rPr>
            <w:t>报告期内因环境问题受到行政处罚的情况</w:t>
          </w:r>
        </w:p>
        <w:sdt>
          <w:sdtPr>
            <w:rPr>
              <w:rFonts w:ascii="宋体" w:hAnsi="宋体"/>
            </w:rPr>
            <w:alias w:val="是否适用：报告期内因环境问题受到行政处罚的情况[双击切换]"/>
            <w:tag w:val="_GBC_5f5b826efaf649958cd6c4a308bbb8f9"/>
            <w:id w:val="-449627441"/>
            <w:lock w:val="sdtLocked"/>
            <w:placeholder>
              <w:docPart w:val="GBC22222222222222222222222222222"/>
            </w:placeholder>
          </w:sdtPr>
          <w:sdtEndPr/>
          <w:sdtContent>
            <w:p w14:paraId="2E5A183B" w14:textId="77777777" w:rsidR="00B201D3" w:rsidRDefault="009855E8">
              <w:pPr>
                <w:pStyle w:val="747"/>
                <w:ind w:firstLineChars="0" w:firstLine="0"/>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报告期内因环境问题受到行政处罚的情况"/>
            <w:tag w:val="_GBC_88a194d78c7546e58177d14d131ad8ba"/>
            <w:id w:val="1452199538"/>
            <w:lock w:val="sdtLocked"/>
            <w:placeholder>
              <w:docPart w:val="GBC22222222222222222222222222222"/>
            </w:placeholder>
          </w:sdtPr>
          <w:sdtEndPr/>
          <w:sdtContent>
            <w:p w14:paraId="516052A5" w14:textId="77777777" w:rsidR="00B201D3" w:rsidRDefault="009855E8">
              <w:pPr>
                <w:jc w:val="center"/>
                <w:rPr>
                  <w:bCs/>
                </w:rPr>
              </w:pPr>
              <w:r>
                <w:rPr>
                  <w:bCs/>
                </w:rPr>
                <w:t>2023</w:t>
              </w:r>
              <w:r>
                <w:rPr>
                  <w:rFonts w:hint="eastAsia"/>
                  <w:bCs/>
                </w:rPr>
                <w:t>年上半年因环境问题受到行政处罚情况统计表</w:t>
              </w:r>
            </w:p>
            <w:tbl>
              <w:tblPr>
                <w:tblStyle w:val="g2"/>
                <w:tblW w:w="964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1926"/>
                <w:gridCol w:w="2584"/>
                <w:gridCol w:w="2796"/>
                <w:gridCol w:w="1521"/>
              </w:tblGrid>
              <w:tr w:rsidR="00B201D3" w14:paraId="1A7842BE" w14:textId="77777777">
                <w:trPr>
                  <w:jc w:val="center"/>
                </w:trPr>
                <w:tc>
                  <w:tcPr>
                    <w:tcW w:w="813" w:type="dxa"/>
                    <w:vAlign w:val="center"/>
                  </w:tcPr>
                  <w:p w14:paraId="774F5B28" w14:textId="77777777" w:rsidR="00B201D3" w:rsidRDefault="009855E8">
                    <w:pPr>
                      <w:jc w:val="center"/>
                      <w:rPr>
                        <w:rFonts w:ascii="黑体" w:eastAsia="黑体" w:hAnsi="黑体"/>
                      </w:rPr>
                    </w:pPr>
                    <w:r>
                      <w:rPr>
                        <w:rFonts w:ascii="黑体" w:eastAsia="黑体" w:hAnsi="黑体" w:hint="eastAsia"/>
                      </w:rPr>
                      <w:t>序号</w:t>
                    </w:r>
                  </w:p>
                </w:tc>
                <w:tc>
                  <w:tcPr>
                    <w:tcW w:w="1926" w:type="dxa"/>
                    <w:vAlign w:val="center"/>
                  </w:tcPr>
                  <w:p w14:paraId="3A68F7DB" w14:textId="77777777" w:rsidR="00B201D3" w:rsidRDefault="009855E8">
                    <w:pPr>
                      <w:jc w:val="center"/>
                      <w:rPr>
                        <w:rFonts w:ascii="黑体" w:eastAsia="黑体" w:hAnsi="黑体"/>
                      </w:rPr>
                    </w:pPr>
                    <w:r>
                      <w:rPr>
                        <w:rFonts w:ascii="黑体" w:eastAsia="黑体" w:hAnsi="黑体" w:hint="eastAsia"/>
                      </w:rPr>
                      <w:t>受罚单位</w:t>
                    </w:r>
                  </w:p>
                </w:tc>
                <w:tc>
                  <w:tcPr>
                    <w:tcW w:w="2584" w:type="dxa"/>
                    <w:vAlign w:val="center"/>
                  </w:tcPr>
                  <w:p w14:paraId="67F95CCE" w14:textId="77777777" w:rsidR="00B201D3" w:rsidRDefault="009855E8">
                    <w:pPr>
                      <w:jc w:val="center"/>
                      <w:rPr>
                        <w:rFonts w:ascii="黑体" w:eastAsia="黑体" w:hAnsi="黑体"/>
                      </w:rPr>
                    </w:pPr>
                    <w:r>
                      <w:rPr>
                        <w:rFonts w:ascii="黑体" w:eastAsia="黑体" w:hAnsi="黑体" w:hint="eastAsia"/>
                      </w:rPr>
                      <w:t>检查部门</w:t>
                    </w:r>
                  </w:p>
                </w:tc>
                <w:tc>
                  <w:tcPr>
                    <w:tcW w:w="2796" w:type="dxa"/>
                    <w:vAlign w:val="center"/>
                  </w:tcPr>
                  <w:p w14:paraId="646A3947" w14:textId="77777777" w:rsidR="00B201D3" w:rsidRDefault="009855E8">
                    <w:pPr>
                      <w:jc w:val="center"/>
                      <w:rPr>
                        <w:rFonts w:ascii="黑体" w:eastAsia="黑体" w:hAnsi="黑体"/>
                      </w:rPr>
                    </w:pPr>
                    <w:r>
                      <w:rPr>
                        <w:rFonts w:ascii="黑体" w:eastAsia="黑体" w:hAnsi="黑体" w:hint="eastAsia"/>
                      </w:rPr>
                      <w:t>通知书编号</w:t>
                    </w:r>
                  </w:p>
                </w:tc>
                <w:tc>
                  <w:tcPr>
                    <w:tcW w:w="1521" w:type="dxa"/>
                    <w:vAlign w:val="center"/>
                  </w:tcPr>
                  <w:p w14:paraId="5A244EF4" w14:textId="77777777" w:rsidR="00B201D3" w:rsidRDefault="009855E8">
                    <w:pPr>
                      <w:jc w:val="center"/>
                      <w:rPr>
                        <w:rFonts w:ascii="黑体" w:eastAsia="黑体" w:hAnsi="黑体"/>
                      </w:rPr>
                    </w:pPr>
                    <w:r>
                      <w:rPr>
                        <w:rFonts w:ascii="黑体" w:eastAsia="黑体" w:hAnsi="黑体" w:hint="eastAsia"/>
                      </w:rPr>
                      <w:t>罚款金额</w:t>
                    </w:r>
                  </w:p>
                  <w:p w14:paraId="3DF5D1A4" w14:textId="77777777" w:rsidR="00B201D3" w:rsidRDefault="009855E8">
                    <w:pPr>
                      <w:jc w:val="center"/>
                      <w:rPr>
                        <w:rFonts w:ascii="黑体" w:eastAsia="黑体" w:hAnsi="黑体"/>
                      </w:rPr>
                    </w:pPr>
                    <w:r>
                      <w:rPr>
                        <w:rFonts w:ascii="黑体" w:eastAsia="黑体" w:hAnsi="黑体" w:hint="eastAsia"/>
                      </w:rPr>
                      <w:t>（万元）</w:t>
                    </w:r>
                  </w:p>
                </w:tc>
              </w:tr>
              <w:tr w:rsidR="00B201D3" w14:paraId="5B049BE3" w14:textId="77777777">
                <w:trPr>
                  <w:jc w:val="center"/>
                </w:trPr>
                <w:tc>
                  <w:tcPr>
                    <w:tcW w:w="813" w:type="dxa"/>
                    <w:vAlign w:val="center"/>
                  </w:tcPr>
                  <w:p w14:paraId="12A5356A" w14:textId="77777777" w:rsidR="00B201D3" w:rsidRDefault="009855E8">
                    <w:pPr>
                      <w:jc w:val="center"/>
                      <w:rPr>
                        <w:color w:val="000000"/>
                      </w:rPr>
                    </w:pPr>
                    <w:r>
                      <w:rPr>
                        <w:rFonts w:hint="eastAsia"/>
                        <w:color w:val="000000"/>
                      </w:rPr>
                      <w:t>1</w:t>
                    </w:r>
                  </w:p>
                </w:tc>
                <w:tc>
                  <w:tcPr>
                    <w:tcW w:w="1926" w:type="dxa"/>
                    <w:vAlign w:val="center"/>
                  </w:tcPr>
                  <w:p w14:paraId="66FED46F" w14:textId="77777777" w:rsidR="00B201D3" w:rsidRDefault="009855E8">
                    <w:pPr>
                      <w:jc w:val="center"/>
                      <w:rPr>
                        <w:color w:val="000000"/>
                      </w:rPr>
                    </w:pPr>
                    <w:r>
                      <w:rPr>
                        <w:rFonts w:hint="eastAsia"/>
                        <w:color w:val="000000"/>
                      </w:rPr>
                      <w:t>榆林能化</w:t>
                    </w:r>
                  </w:p>
                </w:tc>
                <w:tc>
                  <w:tcPr>
                    <w:tcW w:w="2584" w:type="dxa"/>
                    <w:vAlign w:val="center"/>
                  </w:tcPr>
                  <w:p w14:paraId="5928979D" w14:textId="77777777" w:rsidR="00B201D3" w:rsidRDefault="009855E8">
                    <w:pPr>
                      <w:jc w:val="center"/>
                      <w:rPr>
                        <w:color w:val="000000"/>
                      </w:rPr>
                    </w:pPr>
                    <w:r>
                      <w:rPr>
                        <w:rFonts w:hint="eastAsia"/>
                        <w:color w:val="000000"/>
                      </w:rPr>
                      <w:t>榆林市生态环境局</w:t>
                    </w:r>
                  </w:p>
                </w:tc>
                <w:tc>
                  <w:tcPr>
                    <w:tcW w:w="2796" w:type="dxa"/>
                    <w:vAlign w:val="center"/>
                  </w:tcPr>
                  <w:p w14:paraId="054D5474" w14:textId="77777777" w:rsidR="00B201D3" w:rsidRDefault="009855E8">
                    <w:pPr>
                      <w:jc w:val="center"/>
                      <w:rPr>
                        <w:color w:val="000000"/>
                      </w:rPr>
                    </w:pPr>
                    <w:r>
                      <w:rPr>
                        <w:rFonts w:hint="eastAsia"/>
                        <w:color w:val="000000"/>
                      </w:rPr>
                      <w:t>陕K环罚〔2</w:t>
                    </w:r>
                    <w:r>
                      <w:rPr>
                        <w:color w:val="000000"/>
                      </w:rPr>
                      <w:t>023</w:t>
                    </w:r>
                    <w:r>
                      <w:rPr>
                        <w:rFonts w:hint="eastAsia"/>
                        <w:color w:val="000000"/>
                      </w:rPr>
                      <w:t>〕7</w:t>
                    </w:r>
                    <w:r>
                      <w:rPr>
                        <w:color w:val="000000"/>
                      </w:rPr>
                      <w:t>7</w:t>
                    </w:r>
                    <w:r>
                      <w:rPr>
                        <w:rFonts w:hint="eastAsia"/>
                        <w:color w:val="000000"/>
                      </w:rPr>
                      <w:t>号</w:t>
                    </w:r>
                  </w:p>
                </w:tc>
                <w:tc>
                  <w:tcPr>
                    <w:tcW w:w="1521" w:type="dxa"/>
                    <w:vAlign w:val="center"/>
                  </w:tcPr>
                  <w:p w14:paraId="02ADA7A2" w14:textId="77777777" w:rsidR="00B201D3" w:rsidRDefault="009855E8">
                    <w:pPr>
                      <w:jc w:val="center"/>
                      <w:rPr>
                        <w:color w:val="000000"/>
                      </w:rPr>
                    </w:pPr>
                    <w:r>
                      <w:rPr>
                        <w:rFonts w:hint="eastAsia"/>
                        <w:color w:val="000000"/>
                      </w:rPr>
                      <w:t>3</w:t>
                    </w:r>
                    <w:r>
                      <w:rPr>
                        <w:color w:val="000000"/>
                      </w:rPr>
                      <w:t>2</w:t>
                    </w:r>
                  </w:p>
                </w:tc>
              </w:tr>
              <w:tr w:rsidR="00B201D3" w14:paraId="77318A28" w14:textId="77777777">
                <w:trPr>
                  <w:jc w:val="center"/>
                </w:trPr>
                <w:tc>
                  <w:tcPr>
                    <w:tcW w:w="813" w:type="dxa"/>
                    <w:vAlign w:val="center"/>
                  </w:tcPr>
                  <w:p w14:paraId="5ADD297C" w14:textId="77777777" w:rsidR="00B201D3" w:rsidRDefault="009855E8">
                    <w:pPr>
                      <w:jc w:val="center"/>
                      <w:rPr>
                        <w:color w:val="000000"/>
                      </w:rPr>
                    </w:pPr>
                    <w:r>
                      <w:rPr>
                        <w:rFonts w:hint="eastAsia"/>
                        <w:color w:val="000000"/>
                      </w:rPr>
                      <w:t>2</w:t>
                    </w:r>
                  </w:p>
                </w:tc>
                <w:tc>
                  <w:tcPr>
                    <w:tcW w:w="1926" w:type="dxa"/>
                    <w:vAlign w:val="center"/>
                  </w:tcPr>
                  <w:p w14:paraId="718D589B" w14:textId="77777777" w:rsidR="00B201D3" w:rsidRDefault="009855E8">
                    <w:pPr>
                      <w:jc w:val="center"/>
                      <w:rPr>
                        <w:color w:val="000000"/>
                      </w:rPr>
                    </w:pPr>
                    <w:r>
                      <w:rPr>
                        <w:rFonts w:hint="eastAsia"/>
                        <w:color w:val="000000"/>
                      </w:rPr>
                      <w:t>金鸡滩煤矿</w:t>
                    </w:r>
                  </w:p>
                </w:tc>
                <w:tc>
                  <w:tcPr>
                    <w:tcW w:w="2584" w:type="dxa"/>
                    <w:vAlign w:val="center"/>
                  </w:tcPr>
                  <w:p w14:paraId="568D14FD" w14:textId="77777777" w:rsidR="00B201D3" w:rsidRDefault="009855E8">
                    <w:pPr>
                      <w:jc w:val="center"/>
                      <w:rPr>
                        <w:color w:val="000000"/>
                      </w:rPr>
                    </w:pPr>
                    <w:r>
                      <w:rPr>
                        <w:rFonts w:hint="eastAsia"/>
                        <w:color w:val="000000"/>
                      </w:rPr>
                      <w:t>榆林市生态环境局</w:t>
                    </w:r>
                  </w:p>
                </w:tc>
                <w:tc>
                  <w:tcPr>
                    <w:tcW w:w="2796" w:type="dxa"/>
                    <w:vAlign w:val="center"/>
                  </w:tcPr>
                  <w:p w14:paraId="7D6B104A" w14:textId="77777777" w:rsidR="00B201D3" w:rsidRDefault="009855E8">
                    <w:pPr>
                      <w:jc w:val="center"/>
                      <w:rPr>
                        <w:color w:val="000000"/>
                      </w:rPr>
                    </w:pPr>
                    <w:r>
                      <w:rPr>
                        <w:rFonts w:hint="eastAsia"/>
                        <w:color w:val="000000"/>
                      </w:rPr>
                      <w:t>陕K环罚〔2</w:t>
                    </w:r>
                    <w:r>
                      <w:rPr>
                        <w:color w:val="000000"/>
                      </w:rPr>
                      <w:t>023</w:t>
                    </w:r>
                    <w:r>
                      <w:rPr>
                        <w:rFonts w:hint="eastAsia"/>
                        <w:color w:val="000000"/>
                      </w:rPr>
                      <w:t>〕</w:t>
                    </w:r>
                    <w:r>
                      <w:rPr>
                        <w:color w:val="000000"/>
                      </w:rPr>
                      <w:t>87</w:t>
                    </w:r>
                    <w:r>
                      <w:rPr>
                        <w:rFonts w:hint="eastAsia"/>
                        <w:color w:val="000000"/>
                      </w:rPr>
                      <w:t>号</w:t>
                    </w:r>
                  </w:p>
                </w:tc>
                <w:tc>
                  <w:tcPr>
                    <w:tcW w:w="1521" w:type="dxa"/>
                    <w:vAlign w:val="center"/>
                  </w:tcPr>
                  <w:p w14:paraId="0F5CD3AF" w14:textId="77777777" w:rsidR="00B201D3" w:rsidRDefault="009855E8">
                    <w:pPr>
                      <w:jc w:val="center"/>
                      <w:rPr>
                        <w:color w:val="000000"/>
                      </w:rPr>
                    </w:pPr>
                    <w:r>
                      <w:rPr>
                        <w:rFonts w:hint="eastAsia"/>
                        <w:color w:val="000000"/>
                      </w:rPr>
                      <w:t>8</w:t>
                    </w:r>
                    <w:r>
                      <w:rPr>
                        <w:color w:val="000000"/>
                      </w:rPr>
                      <w:t>8.5</w:t>
                    </w:r>
                  </w:p>
                </w:tc>
              </w:tr>
              <w:tr w:rsidR="00B201D3" w14:paraId="5532ACD4" w14:textId="77777777">
                <w:trPr>
                  <w:jc w:val="center"/>
                </w:trPr>
                <w:tc>
                  <w:tcPr>
                    <w:tcW w:w="8119" w:type="dxa"/>
                    <w:gridSpan w:val="4"/>
                    <w:vAlign w:val="center"/>
                  </w:tcPr>
                  <w:p w14:paraId="428E1977" w14:textId="77777777" w:rsidR="00B201D3" w:rsidRDefault="009855E8">
                    <w:pPr>
                      <w:jc w:val="center"/>
                    </w:pPr>
                    <w:r>
                      <w:rPr>
                        <w:rFonts w:hint="eastAsia"/>
                      </w:rPr>
                      <w:lastRenderedPageBreak/>
                      <w:t>合  计</w:t>
                    </w:r>
                  </w:p>
                </w:tc>
                <w:tc>
                  <w:tcPr>
                    <w:tcW w:w="1521" w:type="dxa"/>
                    <w:vAlign w:val="center"/>
                  </w:tcPr>
                  <w:p w14:paraId="6073CAA9" w14:textId="77777777" w:rsidR="00B201D3" w:rsidRDefault="009855E8">
                    <w:pPr>
                      <w:jc w:val="center"/>
                      <w:rPr>
                        <w:b/>
                      </w:rPr>
                    </w:pPr>
                    <w:r>
                      <w:rPr>
                        <w:b/>
                      </w:rPr>
                      <w:fldChar w:fldCharType="begin"/>
                    </w:r>
                    <w:r>
                      <w:rPr>
                        <w:b/>
                      </w:rPr>
                      <w:instrText xml:space="preserve"> =SUM(ABOVE) </w:instrText>
                    </w:r>
                    <w:r>
                      <w:rPr>
                        <w:b/>
                      </w:rPr>
                      <w:fldChar w:fldCharType="separate"/>
                    </w:r>
                    <w:r>
                      <w:rPr>
                        <w:b/>
                      </w:rPr>
                      <w:t>120.5</w:t>
                    </w:r>
                    <w:r>
                      <w:rPr>
                        <w:b/>
                      </w:rPr>
                      <w:fldChar w:fldCharType="end"/>
                    </w:r>
                  </w:p>
                </w:tc>
              </w:tr>
            </w:tbl>
            <w:p w14:paraId="141D2F63" w14:textId="77777777" w:rsidR="00B201D3" w:rsidRDefault="00C8327E">
              <w:pPr>
                <w:pStyle w:val="3903"/>
              </w:pPr>
            </w:p>
          </w:sdtContent>
        </w:sdt>
      </w:sdtContent>
    </w:sdt>
    <w:p w14:paraId="3EAFB1CC" w14:textId="77777777" w:rsidR="00B201D3" w:rsidRDefault="00B201D3">
      <w:pPr>
        <w:pStyle w:val="3903"/>
      </w:pPr>
    </w:p>
    <w:sdt>
      <w:sdtPr>
        <w:rPr>
          <w:rFonts w:ascii="宋体" w:hAnsi="宋体" w:cs="宋体" w:hint="eastAsia"/>
          <w:b w:val="0"/>
          <w:bCs w:val="0"/>
          <w:kern w:val="0"/>
          <w:szCs w:val="21"/>
        </w:rPr>
        <w:alias w:val="模块:其他应当公开的环境信息"/>
        <w:tag w:val="_SEC_c87c813c87604960a2e846d148a1280c"/>
        <w:id w:val="-817266070"/>
        <w:lock w:val="sdtLocked"/>
        <w:placeholder>
          <w:docPart w:val="GBC22222222222222222222222222222"/>
        </w:placeholder>
      </w:sdtPr>
      <w:sdtEndPr/>
      <w:sdtContent>
        <w:p w14:paraId="7544A7DD" w14:textId="77777777" w:rsidR="00B201D3" w:rsidRDefault="009855E8">
          <w:pPr>
            <w:pStyle w:val="4"/>
            <w:numPr>
              <w:ilvl w:val="0"/>
              <w:numId w:val="23"/>
            </w:numPr>
            <w:rPr>
              <w:rFonts w:ascii="宋体" w:hAnsi="宋体"/>
              <w:bCs w:val="0"/>
              <w:szCs w:val="22"/>
            </w:rPr>
          </w:pPr>
          <w:r>
            <w:rPr>
              <w:rFonts w:ascii="宋体" w:hAnsi="宋体" w:hint="eastAsia"/>
              <w:szCs w:val="21"/>
            </w:rPr>
            <w:t>其他应当公开的环境信息</w:t>
          </w:r>
        </w:p>
        <w:sdt>
          <w:sdtPr>
            <w:alias w:val="是否适用：其他应当公开的环境信息[双击切换]"/>
            <w:tag w:val="_GBC_b667f965a34943718106b9347a0b30af"/>
            <w:id w:val="1442579023"/>
            <w:lock w:val="sdtLocked"/>
            <w:placeholder>
              <w:docPart w:val="GBC22222222222222222222222222222"/>
            </w:placeholder>
          </w:sdtPr>
          <w:sdtEndPr/>
          <w:sdtContent>
            <w:p w14:paraId="65E8B16F" w14:textId="77777777" w:rsidR="00B201D3" w:rsidRDefault="009855E8">
              <w:pPr>
                <w:pStyle w:val="390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AEBDBBF" w14:textId="77777777" w:rsidR="00B201D3" w:rsidRDefault="00C8327E">
          <w:pPr>
            <w:pStyle w:val="3903"/>
          </w:pPr>
        </w:p>
      </w:sdtContent>
    </w:sdt>
    <w:p w14:paraId="355A01DC" w14:textId="77777777" w:rsidR="00B201D3" w:rsidRDefault="009855E8">
      <w:pPr>
        <w:pStyle w:val="3"/>
        <w:numPr>
          <w:ilvl w:val="0"/>
          <w:numId w:val="22"/>
        </w:numPr>
        <w:rPr>
          <w:rFonts w:ascii="宋体" w:hAnsi="宋体"/>
        </w:rPr>
      </w:pPr>
      <w:r>
        <w:rPr>
          <w:rFonts w:ascii="宋体" w:hAnsi="宋体" w:hint="eastAsia"/>
        </w:rPr>
        <w:t>重点排污单位之外的公司环保情况说明</w:t>
      </w:r>
    </w:p>
    <w:sdt>
      <w:sdtPr>
        <w:alias w:val="是否适用：重点排污单位之外的公司的环保情况[双击切换]"/>
        <w:tag w:val="_GBC_5429e6d325df48abbf95eb4f87e71363"/>
        <w:id w:val="2047871380"/>
        <w:lock w:val="sdtLocked"/>
        <w:placeholder>
          <w:docPart w:val="GBC22222222222222222222222222222"/>
        </w:placeholder>
      </w:sdtPr>
      <w:sdtEndPr/>
      <w:sdtContent>
        <w:p w14:paraId="590615BC" w14:textId="77777777" w:rsidR="00B201D3" w:rsidRDefault="009855E8">
          <w:pPr>
            <w:pStyle w:val="390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Start w:id="78" w:name="_Hlk74731776" w:displacedByCustomXml="next"/>
    <w:sdt>
      <w:sdtPr>
        <w:rPr>
          <w:rFonts w:ascii="宋体" w:hAnsi="宋体" w:cs="宋体" w:hint="eastAsia"/>
          <w:b w:val="0"/>
          <w:bCs w:val="0"/>
          <w:kern w:val="0"/>
          <w:szCs w:val="21"/>
        </w:rPr>
        <w:alias w:val="模块:因环境问题受到行政处罚的情况  ____"/>
        <w:tag w:val="_SEC_0394b08510244ffd8c8d1de70ffde99e"/>
        <w:id w:val="-1358802270"/>
        <w:lock w:val="sdtLocked"/>
        <w:placeholder>
          <w:docPart w:val="GBC22222222222222222222222222222"/>
        </w:placeholder>
      </w:sdtPr>
      <w:sdtEndPr>
        <w:rPr>
          <w:rFonts w:hint="default"/>
        </w:rPr>
      </w:sdtEndPr>
      <w:sdtContent>
        <w:p w14:paraId="597CABB5" w14:textId="77777777" w:rsidR="00B201D3" w:rsidRDefault="009855E8">
          <w:pPr>
            <w:pStyle w:val="4"/>
            <w:numPr>
              <w:ilvl w:val="0"/>
              <w:numId w:val="24"/>
            </w:numPr>
            <w:ind w:left="450" w:hanging="450"/>
            <w:rPr>
              <w:rFonts w:ascii="宋体" w:hAnsi="宋体"/>
              <w:szCs w:val="21"/>
            </w:rPr>
          </w:pPr>
          <w:r>
            <w:rPr>
              <w:rFonts w:ascii="宋体" w:hAnsi="宋体" w:hint="eastAsia"/>
              <w:szCs w:val="21"/>
            </w:rPr>
            <w:t>因环境问题受到行政处罚的情况</w:t>
          </w:r>
        </w:p>
        <w:sdt>
          <w:sdtPr>
            <w:rPr>
              <w:rFonts w:ascii="宋体" w:hAnsi="宋体"/>
              <w:szCs w:val="21"/>
            </w:rPr>
            <w:alias w:val="是否适用：重点排污单位之外的公司因环境问题受到行政处罚的情况[双击切换]"/>
            <w:tag w:val="_GBC_305b6bc67ef1434084d2e95288a4935d"/>
            <w:id w:val="-1347084470"/>
            <w:lock w:val="sdtLocked"/>
            <w:placeholder>
              <w:docPart w:val="GBC22222222222222222222222222222"/>
            </w:placeholder>
          </w:sdtPr>
          <w:sdtEndPr/>
          <w:sdtContent>
            <w:p w14:paraId="1ED41380" w14:textId="77777777" w:rsidR="00B201D3" w:rsidRDefault="009855E8">
              <w:pPr>
                <w:pStyle w:val="558"/>
                <w:ind w:firstLineChars="0" w:firstLine="0"/>
                <w:rPr>
                  <w:rFonts w:ascii="宋体" w:hAnsi="宋体"/>
                  <w:szCs w:val="21"/>
                </w:rPr>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p w14:paraId="48FCD9AF" w14:textId="77777777" w:rsidR="00B201D3" w:rsidRDefault="00C8327E">
          <w:pPr>
            <w:pStyle w:val="3903"/>
          </w:pPr>
        </w:p>
      </w:sdtContent>
    </w:sdt>
    <w:bookmarkEnd w:id="78" w:displacedByCustomXml="next"/>
    <w:sdt>
      <w:sdtPr>
        <w:rPr>
          <w:rFonts w:ascii="宋体" w:hAnsi="宋体" w:cs="宋体" w:hint="eastAsia"/>
          <w:b w:val="0"/>
          <w:bCs w:val="0"/>
          <w:kern w:val="0"/>
          <w:szCs w:val="21"/>
        </w:rPr>
        <w:alias w:val="模块:参照重点排污单位披露其它环境信息"/>
        <w:tag w:val="_SEC_15a234e4f4924e908104a96ce6984e16"/>
        <w:id w:val="1733803841"/>
        <w:lock w:val="sdtLocked"/>
        <w:placeholder>
          <w:docPart w:val="GBC22222222222222222222222222222"/>
        </w:placeholder>
      </w:sdtPr>
      <w:sdtEndPr>
        <w:rPr>
          <w:rFonts w:hint="default"/>
        </w:rPr>
      </w:sdtEndPr>
      <w:sdtContent>
        <w:p w14:paraId="2737F3A8" w14:textId="77777777" w:rsidR="00B201D3" w:rsidRDefault="009855E8">
          <w:pPr>
            <w:pStyle w:val="4"/>
            <w:numPr>
              <w:ilvl w:val="0"/>
              <w:numId w:val="24"/>
            </w:numPr>
            <w:ind w:left="450" w:hanging="450"/>
            <w:rPr>
              <w:rFonts w:ascii="宋体" w:hAnsi="宋体"/>
              <w:szCs w:val="21"/>
            </w:rPr>
          </w:pPr>
          <w:r>
            <w:rPr>
              <w:rFonts w:ascii="宋体" w:hAnsi="宋体" w:hint="eastAsia"/>
              <w:szCs w:val="21"/>
            </w:rPr>
            <w:t>参照</w:t>
          </w:r>
          <w:r>
            <w:rPr>
              <w:rFonts w:ascii="宋体" w:hAnsi="宋体"/>
              <w:szCs w:val="21"/>
            </w:rPr>
            <w:t>重点排污单位</w:t>
          </w:r>
          <w:r>
            <w:rPr>
              <w:rFonts w:ascii="宋体" w:hAnsi="宋体" w:hint="eastAsia"/>
              <w:szCs w:val="21"/>
            </w:rPr>
            <w:t>披露其他环境信息</w:t>
          </w:r>
        </w:p>
        <w:sdt>
          <w:sdtPr>
            <w:rPr>
              <w:rFonts w:ascii="宋体" w:hAnsi="宋体"/>
              <w:szCs w:val="21"/>
            </w:rPr>
            <w:alias w:val="是否适用：参照重点排污单位披露其它环境信息[双击切换]"/>
            <w:tag w:val="_GBC_9c01117420e34ec98e6c3270ab89a087"/>
            <w:id w:val="1438333073"/>
            <w:lock w:val="sdtLocked"/>
            <w:placeholder>
              <w:docPart w:val="GBC22222222222222222222222222222"/>
            </w:placeholder>
          </w:sdtPr>
          <w:sdtEndPr/>
          <w:sdtContent>
            <w:p w14:paraId="288B28C8" w14:textId="77777777" w:rsidR="00B201D3" w:rsidRDefault="009855E8">
              <w:pPr>
                <w:pStyle w:val="558"/>
                <w:ind w:firstLineChars="0" w:firstLine="0"/>
                <w:rPr>
                  <w:rFonts w:ascii="宋体" w:hAnsi="宋体"/>
                  <w:szCs w:val="21"/>
                </w:rPr>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p w14:paraId="7DA855B2" w14:textId="77777777" w:rsidR="00B201D3" w:rsidRDefault="00C8327E">
          <w:pPr>
            <w:pStyle w:val="3903"/>
          </w:pPr>
        </w:p>
      </w:sdtContent>
    </w:sdt>
    <w:sdt>
      <w:sdtPr>
        <w:rPr>
          <w:rFonts w:ascii="宋体" w:hAnsi="宋体" w:cs="宋体" w:hint="eastAsia"/>
          <w:b w:val="0"/>
          <w:bCs w:val="0"/>
          <w:kern w:val="0"/>
          <w:szCs w:val="24"/>
        </w:rPr>
        <w:alias w:val="模块:重点排污单位之外的公司未披露环境信息的原因说明"/>
        <w:tag w:val="_SEC_dbf114d9dfed451c943c0db36f9761bc"/>
        <w:id w:val="-499810715"/>
        <w:lock w:val="sdtLocked"/>
        <w:placeholder>
          <w:docPart w:val="GBC22222222222222222222222222222"/>
        </w:placeholder>
      </w:sdtPr>
      <w:sdtEndPr>
        <w:rPr>
          <w:rFonts w:hint="default"/>
          <w:szCs w:val="21"/>
        </w:rPr>
      </w:sdtEndPr>
      <w:sdtContent>
        <w:p w14:paraId="3DEC9416" w14:textId="77777777" w:rsidR="00B201D3" w:rsidRDefault="009855E8">
          <w:pPr>
            <w:pStyle w:val="4"/>
            <w:numPr>
              <w:ilvl w:val="0"/>
              <w:numId w:val="24"/>
            </w:numPr>
            <w:ind w:left="450" w:hanging="450"/>
            <w:rPr>
              <w:rFonts w:ascii="宋体" w:hAnsi="宋体"/>
              <w:szCs w:val="21"/>
            </w:rPr>
          </w:pPr>
          <w:r>
            <w:rPr>
              <w:rFonts w:ascii="宋体" w:hAnsi="宋体" w:hint="eastAsia"/>
              <w:szCs w:val="21"/>
            </w:rPr>
            <w:t>未披露其他环境信息的原因</w:t>
          </w:r>
        </w:p>
        <w:sdt>
          <w:sdtPr>
            <w:alias w:val="是否适用：重点排污单位之外的公司未披露环境信息的原因[双击切换]"/>
            <w:tag w:val="_GBC_31106daab34d41698243bfe90ff75054"/>
            <w:id w:val="2010792610"/>
            <w:lock w:val="sdtLocked"/>
            <w:placeholder>
              <w:docPart w:val="GBC22222222222222222222222222222"/>
            </w:placeholder>
          </w:sdtPr>
          <w:sdtEndPr/>
          <w:sdtContent>
            <w:p w14:paraId="37F9E4BD" w14:textId="77777777" w:rsidR="00B201D3" w:rsidRDefault="009855E8">
              <w:pPr>
                <w:pStyle w:val="390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重点排污单位之外的公司未披露环境信息的原因"/>
            <w:tag w:val="_GBC_0636d353cc134ffa96bbfa3feee9e11d"/>
            <w:id w:val="-1570342432"/>
            <w:lock w:val="sdtLocked"/>
            <w:placeholder>
              <w:docPart w:val="GBC22222222222222222222222222222"/>
            </w:placeholder>
          </w:sdtPr>
          <w:sdtEndPr/>
          <w:sdtContent>
            <w:p w14:paraId="08C8EAD9" w14:textId="77777777" w:rsidR="00B201D3" w:rsidRDefault="009855E8">
              <w:pPr>
                <w:ind w:firstLineChars="200" w:firstLine="420"/>
                <w:rPr>
                  <w:bCs/>
                </w:rPr>
              </w:pPr>
              <w:r>
                <w:rPr>
                  <w:rFonts w:hint="eastAsia"/>
                  <w:bCs/>
                </w:rPr>
                <w:t>重点排污单位之外的公司未披露环境信息，原因是对环境的影响较小，主要是日常办公运营对能源资源消耗和排放。</w:t>
              </w:r>
            </w:p>
            <w:p w14:paraId="1EE6458D" w14:textId="77777777" w:rsidR="00B201D3" w:rsidRDefault="009855E8">
              <w:pPr>
                <w:jc w:val="both"/>
                <w:rPr>
                  <w:bCs/>
                </w:rPr>
              </w:pPr>
              <w:r>
                <w:rPr>
                  <w:bCs/>
                </w:rPr>
                <w:t xml:space="preserve">    兖煤澳洲所属矿井均严格遵守所</w:t>
              </w:r>
              <w:r>
                <w:rPr>
                  <w:rFonts w:hint="eastAsia"/>
                  <w:bCs/>
                </w:rPr>
                <w:t>在</w:t>
              </w:r>
              <w:r>
                <w:rPr>
                  <w:bCs/>
                </w:rPr>
                <w:t>国相关环境保护法律法规及监管条例，建设和运行污染防治设施，积极开展污染防治工作，废气、废水、固体废物及其他污染物的排放均符合所</w:t>
              </w:r>
              <w:r>
                <w:rPr>
                  <w:rFonts w:hint="eastAsia"/>
                  <w:bCs/>
                </w:rPr>
                <w:t>在</w:t>
              </w:r>
              <w:r>
                <w:rPr>
                  <w:bCs/>
                </w:rPr>
                <w:t>国污染物排放标准规定。对可能存在的环境事故风险，均制订环境事故和其他突发事件的应急预案，并建立了向当地政府、环境保护监管机构</w:t>
              </w:r>
              <w:r>
                <w:rPr>
                  <w:rFonts w:hint="eastAsia"/>
                  <w:bCs/>
                </w:rPr>
                <w:t>等</w:t>
              </w:r>
              <w:r>
                <w:rPr>
                  <w:bCs/>
                </w:rPr>
                <w:t>沟通汇报制度。有关兖煤澳洲环境信息请参见兖煤澳洲定期披露的《环境、社会及管治报告》。</w:t>
              </w:r>
            </w:p>
          </w:sdtContent>
        </w:sdt>
        <w:p w14:paraId="0306E6FA" w14:textId="77777777" w:rsidR="00B201D3" w:rsidRDefault="00C8327E">
          <w:pPr>
            <w:pStyle w:val="3903"/>
          </w:pPr>
        </w:p>
      </w:sdtContent>
    </w:sdt>
    <w:sdt>
      <w:sdtPr>
        <w:rPr>
          <w:rFonts w:ascii="宋体" w:hAnsi="宋体" w:cs="宋体" w:hint="eastAsia"/>
          <w:b w:val="0"/>
          <w:bCs w:val="0"/>
          <w:kern w:val="0"/>
          <w:szCs w:val="24"/>
        </w:rPr>
        <w:alias w:val="模块:报告期内披露环境信息内容的后续进展或变化情况的说明"/>
        <w:tag w:val="_SEC_3c63bb32177f4f368bb662e3b696830a"/>
        <w:id w:val="-1550526730"/>
        <w:lock w:val="sdtLocked"/>
        <w:placeholder>
          <w:docPart w:val="GBC22222222222222222222222222222"/>
        </w:placeholder>
      </w:sdtPr>
      <w:sdtEndPr>
        <w:rPr>
          <w:szCs w:val="21"/>
        </w:rPr>
      </w:sdtEndPr>
      <w:sdtContent>
        <w:p w14:paraId="3AD7B380" w14:textId="77777777" w:rsidR="00B201D3" w:rsidRDefault="009855E8">
          <w:pPr>
            <w:pStyle w:val="3"/>
            <w:numPr>
              <w:ilvl w:val="0"/>
              <w:numId w:val="22"/>
            </w:numPr>
            <w:rPr>
              <w:rFonts w:ascii="宋体" w:hAnsi="宋体"/>
            </w:rPr>
          </w:pPr>
          <w:r>
            <w:rPr>
              <w:rFonts w:ascii="宋体" w:hAnsi="宋体" w:hint="eastAsia"/>
            </w:rPr>
            <w:t>报告期内披露环境信息内容的后续进展或变化情况的说明</w:t>
          </w:r>
        </w:p>
        <w:sdt>
          <w:sdtPr>
            <w:alias w:val="是否适用：披露环境信息内容的后续进展或变化情况[双击切换]"/>
            <w:tag w:val="_GBC_451a415ae7344df7ba110ec71bce5279"/>
            <w:id w:val="1379437357"/>
            <w:lock w:val="sdtLocked"/>
            <w:placeholder>
              <w:docPart w:val="GBC22222222222222222222222222222"/>
            </w:placeholder>
          </w:sdtPr>
          <w:sdtEndPr/>
          <w:sdtContent>
            <w:p w14:paraId="000E1591" w14:textId="77777777" w:rsidR="00B201D3" w:rsidRDefault="009855E8">
              <w:pPr>
                <w:pStyle w:val="390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75DFA8C" w14:textId="77777777" w:rsidR="00B201D3" w:rsidRDefault="00C8327E">
          <w:pPr>
            <w:pStyle w:val="3903"/>
          </w:pPr>
        </w:p>
      </w:sdtContent>
    </w:sdt>
    <w:sdt>
      <w:sdtPr>
        <w:rPr>
          <w:rFonts w:ascii="宋体" w:hAnsi="宋体" w:cs="宋体" w:hint="eastAsia"/>
          <w:b w:val="0"/>
          <w:bCs w:val="0"/>
          <w:kern w:val="0"/>
          <w:szCs w:val="24"/>
        </w:rPr>
        <w:alias w:val="模块:有利于保护生态、防治污染、履行环境责任的相关信息  __..."/>
        <w:tag w:val="_SEC_94dff50e6ff346df8df30ef5135f60ea"/>
        <w:id w:val="136780514"/>
        <w:lock w:val="sdtLocked"/>
        <w:placeholder>
          <w:docPart w:val="GBC22222222222222222222222222222"/>
        </w:placeholder>
      </w:sdtPr>
      <w:sdtEndPr>
        <w:rPr>
          <w:rFonts w:hint="default"/>
          <w:szCs w:val="21"/>
        </w:rPr>
      </w:sdtEndPr>
      <w:sdtContent>
        <w:p w14:paraId="2B61A068" w14:textId="77777777" w:rsidR="00B201D3" w:rsidRDefault="009855E8">
          <w:pPr>
            <w:pStyle w:val="3"/>
            <w:numPr>
              <w:ilvl w:val="0"/>
              <w:numId w:val="22"/>
            </w:numPr>
            <w:ind w:left="450" w:hanging="450"/>
            <w:rPr>
              <w:rFonts w:ascii="宋体" w:hAnsi="宋体" w:cs="宋体"/>
              <w:kern w:val="0"/>
              <w:szCs w:val="24"/>
            </w:rPr>
          </w:pPr>
          <w:r>
            <w:rPr>
              <w:rFonts w:ascii="宋体" w:hAnsi="宋体" w:cs="宋体" w:hint="eastAsia"/>
              <w:kern w:val="0"/>
              <w:szCs w:val="24"/>
            </w:rPr>
            <w:t xml:space="preserve"> 有利于保护生态、防治污染、履行环境责任的相关信息</w:t>
          </w:r>
        </w:p>
        <w:sdt>
          <w:sdtPr>
            <w:alias w:val="是否适用：有利于保护生态、防治污染、履行环境责任的相关信息[双击切换]"/>
            <w:tag w:val="_GBC_1d95a0d39baa46e594806677748c6810"/>
            <w:id w:val="206381199"/>
            <w:lock w:val="sdtLocked"/>
            <w:placeholder>
              <w:docPart w:val="GBC22222222222222222222222222222"/>
            </w:placeholder>
          </w:sdtPr>
          <w:sdtEndPr/>
          <w:sdtContent>
            <w:p w14:paraId="5B538B33" w14:textId="77777777" w:rsidR="00B201D3" w:rsidRDefault="009855E8">
              <w:pPr>
                <w:pStyle w:val="390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有利于保护生态、防治污染、履行环境责任的相关信息"/>
            <w:tag w:val="_GBC_a7d973127b43494bb6876b836c3ec06c"/>
            <w:id w:val="1340656163"/>
            <w:lock w:val="sdtLocked"/>
            <w:placeholder>
              <w:docPart w:val="GBC22222222222222222222222222222"/>
            </w:placeholder>
          </w:sdtPr>
          <w:sdtEndPr/>
          <w:sdtContent>
            <w:p w14:paraId="2F100011" w14:textId="77777777" w:rsidR="00B201D3" w:rsidRDefault="009855E8">
              <w:pPr>
                <w:ind w:firstLineChars="200" w:firstLine="420"/>
                <w:jc w:val="both"/>
                <w:rPr>
                  <w:bCs/>
                  <w:color w:val="000000"/>
                </w:rPr>
              </w:pPr>
              <w:r>
                <w:rPr>
                  <w:rFonts w:hint="eastAsia"/>
                  <w:bCs/>
                  <w:color w:val="000000"/>
                </w:rPr>
                <w:t>本集团持续深入推进环境污染防治，东滩煤矿、济三煤矿、赵楼煤矿等矿井高盐水深度处理工程投运后稳定运行，2</w:t>
              </w:r>
              <w:r>
                <w:rPr>
                  <w:bCs/>
                  <w:color w:val="000000"/>
                </w:rPr>
                <w:t>023</w:t>
              </w:r>
              <w:r>
                <w:rPr>
                  <w:rFonts w:hint="eastAsia"/>
                  <w:bCs/>
                  <w:color w:val="000000"/>
                </w:rPr>
                <w:t>年上半年减少排放硫酸钠1</w:t>
              </w:r>
              <w:r>
                <w:rPr>
                  <w:bCs/>
                  <w:color w:val="000000"/>
                </w:rPr>
                <w:t>0,761.6</w:t>
              </w:r>
              <w:r>
                <w:rPr>
                  <w:rFonts w:hint="eastAsia"/>
                  <w:bCs/>
                  <w:color w:val="000000"/>
                </w:rPr>
                <w:t>吨，有利于受纳水体水质改善。</w:t>
              </w:r>
            </w:p>
            <w:p w14:paraId="13DF4C2B" w14:textId="77777777" w:rsidR="00B201D3" w:rsidRDefault="00C8327E">
              <w:pPr>
                <w:pStyle w:val="3903"/>
              </w:pPr>
            </w:p>
          </w:sdtContent>
        </w:sdt>
        <w:p w14:paraId="7879C5BD" w14:textId="77777777" w:rsidR="00B201D3" w:rsidRDefault="00C8327E">
          <w:pPr>
            <w:pStyle w:val="3903"/>
          </w:pPr>
        </w:p>
      </w:sdtContent>
    </w:sdt>
    <w:bookmarkStart w:id="79" w:name="_Hlk138060310" w:displacedByCustomXml="next"/>
    <w:sdt>
      <w:sdtPr>
        <w:rPr>
          <w:rFonts w:ascii="宋体" w:hAnsi="宋体" w:cs="宋体"/>
          <w:b w:val="0"/>
          <w:bCs w:val="0"/>
          <w:kern w:val="0"/>
          <w:szCs w:val="24"/>
        </w:rPr>
        <w:alias w:val="模块:在报告期内为减少其碳排放所采取的措施及效果"/>
        <w:tag w:val="_SEC_0a7b3a01a1cd4768be87b42742d0f169"/>
        <w:id w:val="-729531120"/>
        <w:lock w:val="sdtLocked"/>
        <w:placeholder>
          <w:docPart w:val="GBC22222222222222222222222222222"/>
        </w:placeholder>
      </w:sdtPr>
      <w:sdtEndPr>
        <w:rPr>
          <w:szCs w:val="21"/>
        </w:rPr>
      </w:sdtEndPr>
      <w:sdtContent>
        <w:p w14:paraId="72A3E5BC" w14:textId="77777777" w:rsidR="00B201D3" w:rsidRDefault="009855E8">
          <w:pPr>
            <w:pStyle w:val="3"/>
            <w:numPr>
              <w:ilvl w:val="0"/>
              <w:numId w:val="22"/>
            </w:numPr>
            <w:ind w:left="450" w:hanging="450"/>
            <w:rPr>
              <w:rFonts w:ascii="宋体" w:hAnsi="宋体"/>
            </w:rPr>
          </w:pPr>
          <w:r>
            <w:rPr>
              <w:rFonts w:ascii="宋体" w:hAnsi="宋体"/>
            </w:rPr>
            <w:t>在报告期内为减少其碳排放所采取的措施及效果</w:t>
          </w:r>
        </w:p>
        <w:sdt>
          <w:sdtPr>
            <w:alias w:val="是否适用：在报告期内为减少其碳排放所采取的措施及效果 [双击切换]"/>
            <w:tag w:val="_GBC_3f6f203e2a75413bbe27afcb7ca629ab"/>
            <w:id w:val="-1716733028"/>
            <w:lock w:val="sdtLocked"/>
            <w:placeholder>
              <w:docPart w:val="GBC22222222222222222222222222222"/>
            </w:placeholder>
          </w:sdtPr>
          <w:sdtEndPr/>
          <w:sdtContent>
            <w:p w14:paraId="14B143BA" w14:textId="77777777" w:rsidR="00B201D3" w:rsidRDefault="009855E8">
              <w:pPr>
                <w:pStyle w:val="390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在报告期内为减少其碳排放所采取的措施及效果 "/>
            <w:tag w:val="_GBC_8746e0ea6a004dee9126fc2c7e2176a8"/>
            <w:id w:val="-940918740"/>
            <w:lock w:val="sdtLocked"/>
            <w:placeholder>
              <w:docPart w:val="GBC22222222222222222222222222222"/>
            </w:placeholder>
          </w:sdtPr>
          <w:sdtEndPr/>
          <w:sdtContent>
            <w:p w14:paraId="6F7FF5BB" w14:textId="77777777" w:rsidR="00B201D3" w:rsidRDefault="009855E8">
              <w:pPr>
                <w:ind w:firstLineChars="200" w:firstLine="420"/>
                <w:rPr>
                  <w:bCs/>
                  <w:color w:val="000000"/>
                </w:rPr>
              </w:pPr>
              <w:r>
                <w:rPr>
                  <w:rFonts w:hint="eastAsia"/>
                  <w:bCs/>
                  <w:color w:val="000000"/>
                </w:rPr>
                <w:t>本集团持续开展减少碳排放的措施。2</w:t>
              </w:r>
              <w:r>
                <w:rPr>
                  <w:bCs/>
                  <w:color w:val="000000"/>
                </w:rPr>
                <w:t>023</w:t>
              </w:r>
              <w:r>
                <w:rPr>
                  <w:rFonts w:hint="eastAsia"/>
                  <w:bCs/>
                  <w:color w:val="000000"/>
                </w:rPr>
                <w:t>年上半年完成以下节能项目：</w:t>
              </w:r>
            </w:p>
            <w:p w14:paraId="1B030BDC" w14:textId="77777777" w:rsidR="00B201D3" w:rsidRDefault="009855E8">
              <w:pPr>
                <w:ind w:firstLineChars="200" w:firstLine="420"/>
                <w:jc w:val="both"/>
                <w:rPr>
                  <w:bCs/>
                  <w:color w:val="000000"/>
                </w:rPr>
              </w:pPr>
              <w:r>
                <w:rPr>
                  <w:bCs/>
                  <w:color w:val="000000"/>
                </w:rPr>
                <w:t>1.</w:t>
              </w:r>
              <w:r>
                <w:rPr>
                  <w:rFonts w:hint="eastAsia"/>
                  <w:bCs/>
                  <w:color w:val="000000"/>
                </w:rPr>
                <w:t>济三煤矿实施选煤中心压滤车间无功补偿改造，增加一组无功补偿装置，可实现年节电2</w:t>
              </w:r>
              <w:r>
                <w:rPr>
                  <w:bCs/>
                  <w:color w:val="000000"/>
                </w:rPr>
                <w:t>0.8</w:t>
              </w:r>
              <w:r>
                <w:rPr>
                  <w:rFonts w:hint="eastAsia"/>
                  <w:bCs/>
                  <w:color w:val="000000"/>
                </w:rPr>
                <w:t>万千瓦时；转龙湾煤矿实施恒压供水改造，可实现年节电</w:t>
              </w:r>
              <w:r>
                <w:rPr>
                  <w:bCs/>
                  <w:color w:val="000000"/>
                </w:rPr>
                <w:t>178</w:t>
              </w:r>
              <w:r>
                <w:rPr>
                  <w:rFonts w:hint="eastAsia"/>
                  <w:bCs/>
                  <w:color w:val="000000"/>
                </w:rPr>
                <w:t>万千瓦时；石拉乌素煤矿完成给煤机变频改造，可实现年节电</w:t>
              </w:r>
              <w:r>
                <w:rPr>
                  <w:bCs/>
                  <w:color w:val="000000"/>
                </w:rPr>
                <w:t>5.7</w:t>
              </w:r>
              <w:r>
                <w:rPr>
                  <w:rFonts w:hint="eastAsia"/>
                  <w:bCs/>
                  <w:color w:val="000000"/>
                </w:rPr>
                <w:t>万千瓦时；金鸡滩煤矿实施东翼矿井水井下复用项目，减少矿井水提升及地面处理量，可实现年节电</w:t>
              </w:r>
              <w:r>
                <w:rPr>
                  <w:bCs/>
                  <w:color w:val="000000"/>
                </w:rPr>
                <w:t>95.2</w:t>
              </w:r>
              <w:r>
                <w:rPr>
                  <w:rFonts w:hint="eastAsia"/>
                  <w:bCs/>
                  <w:color w:val="000000"/>
                </w:rPr>
                <w:t>万千瓦时；济三电力实施配水系统优化，可实现年节电</w:t>
              </w:r>
              <w:r>
                <w:rPr>
                  <w:bCs/>
                  <w:color w:val="000000"/>
                </w:rPr>
                <w:t>7.2</w:t>
              </w:r>
              <w:r>
                <w:rPr>
                  <w:rFonts w:hint="eastAsia"/>
                  <w:bCs/>
                  <w:color w:val="000000"/>
                </w:rPr>
                <w:t>万千瓦时。以上项目投用后，每年可减少二氧化碳排放4</w:t>
              </w:r>
              <w:r>
                <w:rPr>
                  <w:bCs/>
                  <w:color w:val="000000"/>
                </w:rPr>
                <w:t>495.5</w:t>
              </w:r>
              <w:r>
                <w:rPr>
                  <w:rFonts w:hint="eastAsia"/>
                  <w:bCs/>
                  <w:color w:val="000000"/>
                </w:rPr>
                <w:t>吨。</w:t>
              </w:r>
            </w:p>
            <w:p w14:paraId="5EEAB363" w14:textId="77777777" w:rsidR="00B201D3" w:rsidRDefault="009855E8">
              <w:pPr>
                <w:ind w:firstLineChars="200" w:firstLine="420"/>
                <w:rPr>
                  <w:bCs/>
                  <w:color w:val="000000"/>
                </w:rPr>
              </w:pPr>
              <w:r>
                <w:rPr>
                  <w:bCs/>
                  <w:color w:val="000000"/>
                </w:rPr>
                <w:t>2.</w:t>
              </w:r>
              <w:r>
                <w:rPr>
                  <w:rFonts w:hint="eastAsia"/>
                  <w:bCs/>
                  <w:color w:val="000000"/>
                </w:rPr>
                <w:t>赵楼电厂实施冷却塔配风配水系统</w:t>
              </w:r>
              <w:r>
                <w:rPr>
                  <w:bCs/>
                  <w:color w:val="000000"/>
                </w:rPr>
                <w:t>优化改造</w:t>
              </w:r>
              <w:r>
                <w:rPr>
                  <w:rFonts w:hint="eastAsia"/>
                  <w:bCs/>
                  <w:color w:val="000000"/>
                </w:rPr>
                <w:t>，发电煤耗降低，可实现年节约标煤1</w:t>
              </w:r>
              <w:r>
                <w:rPr>
                  <w:bCs/>
                  <w:color w:val="000000"/>
                </w:rPr>
                <w:t>550</w:t>
              </w:r>
              <w:r>
                <w:rPr>
                  <w:rFonts w:hint="eastAsia"/>
                  <w:bCs/>
                  <w:color w:val="000000"/>
                </w:rPr>
                <w:t>吨，项目投用后每年减少二氧化碳排放</w:t>
              </w:r>
              <w:r>
                <w:rPr>
                  <w:bCs/>
                  <w:color w:val="000000"/>
                </w:rPr>
                <w:t>3864</w:t>
              </w:r>
              <w:r>
                <w:rPr>
                  <w:rFonts w:hint="eastAsia"/>
                  <w:bCs/>
                  <w:color w:val="000000"/>
                </w:rPr>
                <w:t>吨。</w:t>
              </w:r>
            </w:p>
          </w:sdtContent>
        </w:sdt>
      </w:sdtContent>
    </w:sdt>
    <w:bookmarkEnd w:id="79"/>
    <w:p w14:paraId="6CF0CD34" w14:textId="77777777" w:rsidR="00B201D3" w:rsidRDefault="00B201D3">
      <w:pPr>
        <w:pStyle w:val="3903"/>
      </w:pPr>
    </w:p>
    <w:bookmarkStart w:id="80" w:name="_Hlk138060542" w:displacedByCustomXml="next"/>
    <w:sdt>
      <w:sdtPr>
        <w:rPr>
          <w:rFonts w:ascii="宋体" w:hAnsi="宋体" w:cs="宋体" w:hint="eastAsia"/>
          <w:b w:val="0"/>
          <w:bCs w:val="0"/>
          <w:kern w:val="0"/>
          <w:szCs w:val="24"/>
        </w:rPr>
        <w:alias w:val="模块:巩固拓展脱贫攻坚成果、乡村振兴工作具体情况"/>
        <w:tag w:val="_SEC_7eeef6a842224b3eac28c0a6aa105d7d"/>
        <w:id w:val="1233201261"/>
        <w:lock w:val="sdtLocked"/>
        <w:placeholder>
          <w:docPart w:val="GBC22222222222222222222222222222"/>
        </w:placeholder>
      </w:sdtPr>
      <w:sdtEndPr>
        <w:rPr>
          <w:rFonts w:hint="default"/>
          <w:szCs w:val="21"/>
        </w:rPr>
      </w:sdtEndPr>
      <w:sdtContent>
        <w:p w14:paraId="6CFD47D6" w14:textId="77777777" w:rsidR="00B201D3" w:rsidRDefault="009855E8">
          <w:pPr>
            <w:pStyle w:val="2"/>
            <w:numPr>
              <w:ilvl w:val="0"/>
              <w:numId w:val="21"/>
            </w:numPr>
            <w:tabs>
              <w:tab w:val="left" w:pos="426"/>
            </w:tabs>
            <w:jc w:val="left"/>
            <w:rPr>
              <w:rFonts w:ascii="宋体" w:hAnsi="宋体"/>
            </w:rPr>
          </w:pPr>
          <w:r>
            <w:rPr>
              <w:rFonts w:ascii="宋体" w:hAnsi="宋体" w:hint="eastAsia"/>
            </w:rPr>
            <w:t>巩固拓展脱贫攻坚成果、乡村振兴等工作具体情况</w:t>
          </w:r>
        </w:p>
        <w:sdt>
          <w:sdtPr>
            <w:alias w:val="是否适用：巩固拓展脱贫攻坚成果、乡村振兴工作具体情况[双击切换]"/>
            <w:tag w:val="_GBC_7f424183824c43c9809b2bbaefe89688"/>
            <w:id w:val="-257298911"/>
            <w:lock w:val="sdtLocked"/>
            <w:placeholder>
              <w:docPart w:val="GBC22222222222222222222222222222"/>
            </w:placeholder>
          </w:sdtPr>
          <w:sdtEndPr/>
          <w:sdtContent>
            <w:p w14:paraId="4BB9D800" w14:textId="77777777" w:rsidR="00B201D3" w:rsidRDefault="009855E8">
              <w:pPr>
                <w:pStyle w:val="390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巩固拓展脱贫攻坚成果、乡村振兴工作具体情况"/>
            <w:tag w:val="_GBC_47fe8bcbd1294a14b7be74e9da037113"/>
            <w:id w:val="-557623223"/>
            <w:lock w:val="sdtLocked"/>
            <w:placeholder>
              <w:docPart w:val="GBC22222222222222222222222222222"/>
            </w:placeholder>
          </w:sdtPr>
          <w:sdtEndPr/>
          <w:sdtContent>
            <w:p w14:paraId="33A04A33" w14:textId="77777777" w:rsidR="00B201D3" w:rsidRDefault="009855E8">
              <w:pPr>
                <w:ind w:firstLineChars="200" w:firstLine="420"/>
                <w:jc w:val="both"/>
                <w:rPr>
                  <w:bCs/>
                  <w:color w:val="000000"/>
                </w:rPr>
              </w:pPr>
              <w:r>
                <w:rPr>
                  <w:rFonts w:hint="eastAsia"/>
                  <w:bCs/>
                  <w:color w:val="000000"/>
                </w:rPr>
                <w:t>公司遵循国家乡村振兴战略部署，通过落实“万企兴万村”行动部署，推动消费帮扶与产业帮扶，深化地企合作，融洽</w:t>
              </w:r>
              <w:r>
                <w:rPr>
                  <w:bCs/>
                  <w:color w:val="000000"/>
                </w:rPr>
                <w:t>地企关系，</w:t>
              </w:r>
              <w:r>
                <w:rPr>
                  <w:rFonts w:hint="eastAsia"/>
                  <w:bCs/>
                  <w:color w:val="000000"/>
                </w:rPr>
                <w:t>带动地方发展，巩固拓展脱贫攻坚成果，实现乡村振兴。上半年</w:t>
              </w:r>
              <w:r>
                <w:rPr>
                  <w:bCs/>
                  <w:color w:val="000000"/>
                </w:rPr>
                <w:t>，公司公益性捐赠</w:t>
              </w:r>
              <w:r>
                <w:rPr>
                  <w:rFonts w:hint="eastAsia"/>
                  <w:bCs/>
                  <w:color w:val="000000"/>
                </w:rPr>
                <w:t>790</w:t>
              </w:r>
              <w:r>
                <w:rPr>
                  <w:bCs/>
                  <w:color w:val="000000"/>
                </w:rPr>
                <w:t>.8</w:t>
              </w:r>
              <w:r>
                <w:rPr>
                  <w:rFonts w:hint="eastAsia"/>
                  <w:bCs/>
                  <w:color w:val="000000"/>
                </w:rPr>
                <w:t>万元</w:t>
              </w:r>
              <w:r>
                <w:rPr>
                  <w:bCs/>
                  <w:color w:val="000000"/>
                </w:rPr>
                <w:t>，</w:t>
              </w:r>
              <w:r>
                <w:rPr>
                  <w:rFonts w:hint="eastAsia"/>
                  <w:bCs/>
                  <w:color w:val="000000"/>
                </w:rPr>
                <w:t>主要用于</w:t>
              </w:r>
              <w:r>
                <w:rPr>
                  <w:bCs/>
                  <w:color w:val="000000"/>
                </w:rPr>
                <w:t>慈善捐款</w:t>
              </w:r>
              <w:r>
                <w:rPr>
                  <w:rFonts w:hint="eastAsia"/>
                  <w:bCs/>
                  <w:color w:val="000000"/>
                </w:rPr>
                <w:t>和</w:t>
              </w:r>
              <w:r>
                <w:rPr>
                  <w:bCs/>
                  <w:color w:val="000000"/>
                </w:rPr>
                <w:t>帮扶驻地政府开展乡村振兴等</w:t>
              </w:r>
              <w:r>
                <w:rPr>
                  <w:rFonts w:hint="eastAsia"/>
                  <w:bCs/>
                  <w:color w:val="000000"/>
                </w:rPr>
                <w:t>工作。</w:t>
              </w:r>
            </w:p>
            <w:p w14:paraId="274B43F8" w14:textId="77777777" w:rsidR="00B201D3" w:rsidRDefault="009855E8">
              <w:pPr>
                <w:ind w:firstLineChars="200" w:firstLine="420"/>
                <w:jc w:val="both"/>
                <w:rPr>
                  <w:bCs/>
                  <w:color w:val="000000"/>
                </w:rPr>
              </w:pPr>
              <w:r>
                <w:rPr>
                  <w:rFonts w:hint="eastAsia"/>
                  <w:bCs/>
                  <w:color w:val="000000"/>
                </w:rPr>
                <w:t>坚决贯彻落实“万企兴万村”行动部署。公司深入贯彻落实习近平总书记关于乡村振兴和“万企兴万村”行动重要指示精神，积极响应公司驻地政府定点帮扶号召，持续落实技术扶持、资金支持等措施，帮助定点帮扶村庄修建老年幸福院，完成“一村一圈舍”改造及道路环境修缮等基础设施建设，切实履行国有企业社会责任，实现村企共建，巩固拓展脱贫攻坚成果。</w:t>
              </w:r>
            </w:p>
            <w:p w14:paraId="0D7B58D7" w14:textId="77777777" w:rsidR="00B201D3" w:rsidRDefault="009855E8">
              <w:pPr>
                <w:ind w:firstLineChars="200" w:firstLine="420"/>
                <w:jc w:val="both"/>
                <w:rPr>
                  <w:bCs/>
                  <w:color w:val="000000"/>
                </w:rPr>
              </w:pPr>
              <w:r>
                <w:rPr>
                  <w:rFonts w:hint="eastAsia"/>
                  <w:bCs/>
                  <w:color w:val="000000"/>
                </w:rPr>
                <w:t>全面推动消费帮扶与产业帮扶。公司通过“以购代捐”“以买代帮”等方式积极促进帮扶地区产品销售。未来能源公司连续多年采购横山、佳县春节羊肉礼盒；组织管理技术人员注册“榆阳好产品”会员，带动和发动身边亲朋好友参与到消费帮扶中，让爱心不断传递，助力乡村振兴。</w:t>
              </w:r>
            </w:p>
          </w:sdtContent>
        </w:sdt>
        <w:p w14:paraId="500BD81E" w14:textId="77777777" w:rsidR="00B201D3" w:rsidRDefault="00C8327E">
          <w:pPr>
            <w:pStyle w:val="3903"/>
          </w:pPr>
        </w:p>
      </w:sdtContent>
    </w:sdt>
    <w:bookmarkEnd w:id="80"/>
    <w:p w14:paraId="716ED096" w14:textId="77777777" w:rsidR="00B201D3" w:rsidRDefault="00B201D3">
      <w:pPr>
        <w:sectPr w:rsidR="00B201D3">
          <w:pgSz w:w="11906" w:h="16838"/>
          <w:pgMar w:top="1525" w:right="1276" w:bottom="1440" w:left="1797" w:header="851" w:footer="992" w:gutter="0"/>
          <w:cols w:space="425"/>
          <w:docGrid w:linePitch="312"/>
        </w:sectPr>
      </w:pPr>
    </w:p>
    <w:p w14:paraId="4344F497" w14:textId="77777777" w:rsidR="00B201D3" w:rsidRDefault="009855E8">
      <w:pPr>
        <w:pStyle w:val="1"/>
        <w:numPr>
          <w:ilvl w:val="0"/>
          <w:numId w:val="2"/>
        </w:numPr>
        <w:rPr>
          <w:rFonts w:ascii="黑体" w:hAnsi="黑体"/>
        </w:rPr>
      </w:pPr>
      <w:bookmarkStart w:id="81" w:name="_Toc139552149"/>
      <w:r>
        <w:rPr>
          <w:rFonts w:ascii="黑体" w:hAnsi="黑体"/>
        </w:rPr>
        <w:lastRenderedPageBreak/>
        <w:t>重要事项</w:t>
      </w:r>
      <w:bookmarkEnd w:id="81"/>
    </w:p>
    <w:p w14:paraId="4768267D" w14:textId="77777777" w:rsidR="00B201D3" w:rsidRDefault="00B201D3">
      <w:pPr>
        <w:pStyle w:val="3903"/>
      </w:pPr>
    </w:p>
    <w:p w14:paraId="019956E4" w14:textId="77777777" w:rsidR="00B201D3" w:rsidRDefault="009855E8">
      <w:pPr>
        <w:pStyle w:val="3901"/>
        <w:numPr>
          <w:ilvl w:val="0"/>
          <w:numId w:val="25"/>
        </w:numPr>
        <w:tabs>
          <w:tab w:val="left" w:pos="426"/>
        </w:tabs>
        <w:ind w:firstLineChars="0"/>
        <w:jc w:val="left"/>
        <w:rPr>
          <w:rFonts w:ascii="宋体" w:hAnsi="宋体"/>
        </w:rPr>
      </w:pPr>
      <w:r>
        <w:rPr>
          <w:rFonts w:ascii="宋体" w:hAnsi="宋体" w:hint="eastAsia"/>
        </w:rPr>
        <w:t>承诺事项履行情况</w:t>
      </w:r>
    </w:p>
    <w:sdt>
      <w:sdtPr>
        <w:rPr>
          <w:rFonts w:ascii="宋体" w:hAnsi="宋体" w:cs="宋体" w:hint="eastAsia"/>
          <w:b w:val="0"/>
          <w:bCs/>
          <w:kern w:val="0"/>
          <w:szCs w:val="21"/>
        </w:rPr>
        <w:alias w:val="模块:公司实际控制人、股东、关联方、收购人以及公司等承诺相关方在报..."/>
        <w:tag w:val="_SEC_0b5886e57afd437b88c6e55a33dbccb9"/>
        <w:id w:val="-593563430"/>
        <w:lock w:val="sdtLocked"/>
        <w:placeholder>
          <w:docPart w:val="GBC22222222222222222222222222222"/>
        </w:placeholder>
      </w:sdtPr>
      <w:sdtEndPr>
        <w:rPr>
          <w:rFonts w:asciiTheme="minorEastAsia" w:eastAsiaTheme="minorEastAsia" w:hAnsiTheme="minorEastAsia" w:hint="default"/>
          <w:bCs w:val="0"/>
        </w:rPr>
      </w:sdtEndPr>
      <w:sdtContent>
        <w:p w14:paraId="72A71542" w14:textId="77777777" w:rsidR="00B201D3" w:rsidRDefault="009855E8">
          <w:pPr>
            <w:pStyle w:val="3900"/>
            <w:numPr>
              <w:ilvl w:val="1"/>
              <w:numId w:val="26"/>
            </w:numPr>
            <w:rPr>
              <w:rFonts w:ascii="宋体" w:hAnsi="宋体"/>
              <w:szCs w:val="21"/>
            </w:rPr>
          </w:pPr>
          <w:r>
            <w:rPr>
              <w:rFonts w:ascii="宋体" w:hAnsi="宋体"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1f306de554d7473c98965061dbefd050"/>
            <w:id w:val="747927989"/>
            <w:lock w:val="sdtLocked"/>
            <w:placeholder>
              <w:docPart w:val="GBC22222222222222222222222222222"/>
            </w:placeholder>
          </w:sdtPr>
          <w:sdtEndPr/>
          <w:sdtContent>
            <w:p w14:paraId="0EE77A2B" w14:textId="77777777" w:rsidR="00B201D3" w:rsidRDefault="009855E8">
              <w:pPr>
                <w:pStyle w:val="390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g1"/>
            <w:tblW w:w="5368"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977"/>
            <w:gridCol w:w="1253"/>
            <w:gridCol w:w="6001"/>
            <w:gridCol w:w="1116"/>
            <w:gridCol w:w="836"/>
            <w:gridCol w:w="976"/>
            <w:gridCol w:w="1396"/>
            <w:gridCol w:w="1086"/>
          </w:tblGrid>
          <w:tr w:rsidR="00B201D3" w14:paraId="01709128" w14:textId="77777777">
            <w:sdt>
              <w:sdtPr>
                <w:rPr>
                  <w:rFonts w:asciiTheme="minorEastAsia" w:eastAsiaTheme="minorEastAsia" w:hAnsiTheme="minorEastAsia"/>
                </w:rPr>
                <w:tag w:val="_PLD_7cf4be735507474ea2ffb334536196ae"/>
                <w:id w:val="2027442411"/>
                <w:lock w:val="sdtLocked"/>
              </w:sdtPr>
              <w:sdtEndPr/>
              <w:sdtContent>
                <w:tc>
                  <w:tcPr>
                    <w:tcW w:w="417" w:type="pct"/>
                    <w:shd w:val="clear" w:color="auto" w:fill="auto"/>
                    <w:vAlign w:val="center"/>
                  </w:tcPr>
                  <w:p w14:paraId="614685EE"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承诺背景</w:t>
                    </w:r>
                  </w:p>
                </w:tc>
              </w:sdtContent>
            </w:sdt>
            <w:sdt>
              <w:sdtPr>
                <w:rPr>
                  <w:rFonts w:asciiTheme="minorEastAsia" w:eastAsiaTheme="minorEastAsia" w:hAnsiTheme="minorEastAsia"/>
                </w:rPr>
                <w:tag w:val="_PLD_77809d9b500842ee846f5b9234afaf2c"/>
                <w:id w:val="-1580127840"/>
                <w:lock w:val="sdtLocked"/>
              </w:sdtPr>
              <w:sdtEndPr/>
              <w:sdtContent>
                <w:tc>
                  <w:tcPr>
                    <w:tcW w:w="328" w:type="pct"/>
                    <w:shd w:val="clear" w:color="auto" w:fill="auto"/>
                    <w:vAlign w:val="center"/>
                  </w:tcPr>
                  <w:p w14:paraId="698CF225"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承诺</w:t>
                    </w:r>
                  </w:p>
                  <w:p w14:paraId="5F326ADA"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类型</w:t>
                    </w:r>
                  </w:p>
                </w:tc>
              </w:sdtContent>
            </w:sdt>
            <w:sdt>
              <w:sdtPr>
                <w:rPr>
                  <w:rFonts w:asciiTheme="minorEastAsia" w:eastAsiaTheme="minorEastAsia" w:hAnsiTheme="minorEastAsia"/>
                </w:rPr>
                <w:tag w:val="_PLD_d21f336f76d6499095ebb0491402a947"/>
                <w:id w:val="947358523"/>
                <w:lock w:val="sdtLocked"/>
              </w:sdtPr>
              <w:sdtEndPr/>
              <w:sdtContent>
                <w:tc>
                  <w:tcPr>
                    <w:tcW w:w="421" w:type="pct"/>
                    <w:shd w:val="clear" w:color="auto" w:fill="auto"/>
                    <w:vAlign w:val="center"/>
                  </w:tcPr>
                  <w:p w14:paraId="2C3A1F3D"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承诺方</w:t>
                    </w:r>
                  </w:p>
                </w:tc>
              </w:sdtContent>
            </w:sdt>
            <w:sdt>
              <w:sdtPr>
                <w:rPr>
                  <w:rFonts w:asciiTheme="minorEastAsia" w:eastAsiaTheme="minorEastAsia" w:hAnsiTheme="minorEastAsia"/>
                </w:rPr>
                <w:tag w:val="_PLD_edc023441e514f09b2c6745eaeed4f1d"/>
                <w:id w:val="-1469426045"/>
                <w:lock w:val="sdtLocked"/>
              </w:sdtPr>
              <w:sdtEndPr/>
              <w:sdtContent>
                <w:tc>
                  <w:tcPr>
                    <w:tcW w:w="2016" w:type="pct"/>
                    <w:shd w:val="clear" w:color="auto" w:fill="auto"/>
                    <w:vAlign w:val="center"/>
                  </w:tcPr>
                  <w:p w14:paraId="4CCD2C2B"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承诺</w:t>
                    </w:r>
                  </w:p>
                  <w:p w14:paraId="7624529F"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内容</w:t>
                    </w:r>
                  </w:p>
                </w:tc>
              </w:sdtContent>
            </w:sdt>
            <w:sdt>
              <w:sdtPr>
                <w:rPr>
                  <w:rFonts w:asciiTheme="minorEastAsia" w:eastAsiaTheme="minorEastAsia" w:hAnsiTheme="minorEastAsia"/>
                </w:rPr>
                <w:tag w:val="_PLD_d398e2f412b141208b0742084901cc8c"/>
                <w:id w:val="603384342"/>
                <w:lock w:val="sdtLocked"/>
              </w:sdtPr>
              <w:sdtEndPr/>
              <w:sdtContent>
                <w:tc>
                  <w:tcPr>
                    <w:tcW w:w="375" w:type="pct"/>
                    <w:shd w:val="clear" w:color="auto" w:fill="auto"/>
                    <w:vAlign w:val="center"/>
                  </w:tcPr>
                  <w:p w14:paraId="6A829844"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承诺时间及期限</w:t>
                    </w:r>
                  </w:p>
                </w:tc>
              </w:sdtContent>
            </w:sdt>
            <w:sdt>
              <w:sdtPr>
                <w:rPr>
                  <w:rFonts w:asciiTheme="minorEastAsia" w:eastAsiaTheme="minorEastAsia" w:hAnsiTheme="minorEastAsia"/>
                </w:rPr>
                <w:tag w:val="_PLD_1bb30cce0850445480f1557cc607067b"/>
                <w:id w:val="-1279331204"/>
                <w:lock w:val="sdtLocked"/>
              </w:sdtPr>
              <w:sdtEndPr/>
              <w:sdtContent>
                <w:tc>
                  <w:tcPr>
                    <w:tcW w:w="281" w:type="pct"/>
                    <w:shd w:val="clear" w:color="auto" w:fill="auto"/>
                    <w:vAlign w:val="center"/>
                  </w:tcPr>
                  <w:p w14:paraId="2F18684F"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是否有履行期限</w:t>
                    </w:r>
                  </w:p>
                </w:tc>
              </w:sdtContent>
            </w:sdt>
            <w:sdt>
              <w:sdtPr>
                <w:rPr>
                  <w:rFonts w:asciiTheme="minorEastAsia" w:eastAsiaTheme="minorEastAsia" w:hAnsiTheme="minorEastAsia"/>
                </w:rPr>
                <w:tag w:val="_PLD_163d41dca4704f5ea4aae2d6d04db88e"/>
                <w:id w:val="-1317027095"/>
                <w:lock w:val="sdtLocked"/>
              </w:sdtPr>
              <w:sdtEndPr/>
              <w:sdtContent>
                <w:tc>
                  <w:tcPr>
                    <w:tcW w:w="328" w:type="pct"/>
                    <w:shd w:val="clear" w:color="auto" w:fill="auto"/>
                    <w:vAlign w:val="center"/>
                  </w:tcPr>
                  <w:p w14:paraId="56665EFD"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是否及时严格履行</w:t>
                    </w:r>
                  </w:p>
                </w:tc>
              </w:sdtContent>
            </w:sdt>
            <w:sdt>
              <w:sdtPr>
                <w:rPr>
                  <w:rFonts w:asciiTheme="minorEastAsia" w:eastAsiaTheme="minorEastAsia" w:hAnsiTheme="minorEastAsia"/>
                </w:rPr>
                <w:tag w:val="_PLD_f0ee8c5125074149961859e986fb6c43"/>
                <w:id w:val="-1092772816"/>
                <w:lock w:val="sdtLocked"/>
              </w:sdtPr>
              <w:sdtEndPr/>
              <w:sdtContent>
                <w:tc>
                  <w:tcPr>
                    <w:tcW w:w="469" w:type="pct"/>
                    <w:shd w:val="clear" w:color="auto" w:fill="auto"/>
                    <w:vAlign w:val="center"/>
                  </w:tcPr>
                  <w:p w14:paraId="3056E3E8"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如未能及时履行应说明未完成履行的具体原因</w:t>
                    </w:r>
                  </w:p>
                </w:tc>
              </w:sdtContent>
            </w:sdt>
            <w:sdt>
              <w:sdtPr>
                <w:rPr>
                  <w:rFonts w:asciiTheme="minorEastAsia" w:eastAsiaTheme="minorEastAsia" w:hAnsiTheme="minorEastAsia"/>
                </w:rPr>
                <w:tag w:val="_PLD_a7e59e23ed90488abff575e2b4f10711"/>
                <w:id w:val="947279565"/>
                <w:lock w:val="sdtLocked"/>
              </w:sdtPr>
              <w:sdtEndPr/>
              <w:sdtContent>
                <w:tc>
                  <w:tcPr>
                    <w:tcW w:w="365" w:type="pct"/>
                    <w:shd w:val="clear" w:color="auto" w:fill="auto"/>
                    <w:vAlign w:val="center"/>
                  </w:tcPr>
                  <w:p w14:paraId="10720683"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如未能及时履行应说明下一步计划</w:t>
                    </w:r>
                  </w:p>
                </w:tc>
              </w:sdtContent>
            </w:sdt>
          </w:tr>
          <w:tr w:rsidR="00B201D3" w14:paraId="02F742CE" w14:textId="77777777">
            <w:tc>
              <w:tcPr>
                <w:tcW w:w="417" w:type="pct"/>
                <w:shd w:val="clear" w:color="auto" w:fill="auto"/>
                <w:vAlign w:val="center"/>
              </w:tcPr>
              <w:p w14:paraId="567D5C89" w14:textId="77777777" w:rsidR="00B201D3" w:rsidRDefault="009855E8">
                <w:pPr>
                  <w:pStyle w:val="3903"/>
                  <w:jc w:val="both"/>
                  <w:rPr>
                    <w:rFonts w:asciiTheme="minorEastAsia" w:eastAsiaTheme="minorEastAsia" w:hAnsiTheme="minorEastAsia"/>
                  </w:rPr>
                </w:pPr>
                <w:r>
                  <w:rPr>
                    <w:rFonts w:asciiTheme="minorEastAsia" w:eastAsiaTheme="minorEastAsia" w:hAnsiTheme="minorEastAsia" w:hint="eastAsia"/>
                  </w:rPr>
                  <w:t>与首次公开发行相关的承诺</w:t>
                </w:r>
              </w:p>
            </w:tc>
            <w:sdt>
              <w:sdtPr>
                <w:rPr>
                  <w:rFonts w:asciiTheme="minorEastAsia" w:eastAsiaTheme="minorEastAsia" w:hAnsiTheme="minorEastAsia"/>
                </w:rPr>
                <w:alias w:val="与股改相关的承诺-承诺类型"/>
                <w:tag w:val="_GBC_6a8b676678dd462dafb30b772ab92ae8"/>
                <w:id w:val="1202053485"/>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28" w:type="pct"/>
                    <w:shd w:val="clear" w:color="auto" w:fill="auto"/>
                    <w:vAlign w:val="center"/>
                  </w:tcPr>
                  <w:p w14:paraId="2253C5AB" w14:textId="7A704DA5" w:rsidR="00B201D3" w:rsidRDefault="00F46283">
                    <w:pPr>
                      <w:jc w:val="both"/>
                      <w:rPr>
                        <w:rFonts w:asciiTheme="minorEastAsia" w:eastAsiaTheme="minorEastAsia" w:hAnsiTheme="minorEastAsia"/>
                        <w:color w:val="FFC000"/>
                      </w:rPr>
                    </w:pPr>
                    <w:r>
                      <w:rPr>
                        <w:rFonts w:asciiTheme="minorEastAsia" w:eastAsiaTheme="minorEastAsia" w:hAnsiTheme="minorEastAsia"/>
                      </w:rPr>
                      <w:t>解决同业竞争</w:t>
                    </w:r>
                  </w:p>
                </w:tc>
              </w:sdtContent>
            </w:sdt>
            <w:tc>
              <w:tcPr>
                <w:tcW w:w="421" w:type="pct"/>
                <w:shd w:val="clear" w:color="auto" w:fill="auto"/>
                <w:vAlign w:val="center"/>
              </w:tcPr>
              <w:p w14:paraId="02D30485" w14:textId="77777777" w:rsidR="00B201D3" w:rsidRDefault="009855E8">
                <w:pPr>
                  <w:jc w:val="both"/>
                  <w:rPr>
                    <w:rFonts w:asciiTheme="minorEastAsia" w:eastAsiaTheme="minorEastAsia" w:hAnsiTheme="minorEastAsia"/>
                  </w:rPr>
                </w:pPr>
                <w:r>
                  <w:rPr>
                    <w:rFonts w:asciiTheme="minorEastAsia" w:eastAsiaTheme="minorEastAsia" w:hAnsiTheme="minorEastAsia"/>
                  </w:rPr>
                  <w:t>山东能源</w:t>
                </w:r>
              </w:p>
            </w:tc>
            <w:tc>
              <w:tcPr>
                <w:tcW w:w="2016" w:type="pct"/>
                <w:shd w:val="clear" w:color="auto" w:fill="auto"/>
                <w:vAlign w:val="center"/>
              </w:tcPr>
              <w:p w14:paraId="74611C28" w14:textId="77777777" w:rsidR="00B201D3" w:rsidRDefault="009855E8">
                <w:pPr>
                  <w:jc w:val="both"/>
                  <w:rPr>
                    <w:rFonts w:asciiTheme="minorEastAsia" w:eastAsiaTheme="minorEastAsia" w:hAnsiTheme="minorEastAsia"/>
                  </w:rPr>
                </w:pPr>
                <w:r>
                  <w:rPr>
                    <w:rFonts w:asciiTheme="minorEastAsia" w:eastAsiaTheme="minorEastAsia" w:hAnsiTheme="minorEastAsia" w:hint="eastAsia"/>
                  </w:rPr>
                  <w:t>避免同业竞争。</w:t>
                </w:r>
              </w:p>
              <w:p w14:paraId="4C82336D" w14:textId="77777777" w:rsidR="00B201D3" w:rsidRDefault="009855E8">
                <w:pPr>
                  <w:jc w:val="both"/>
                  <w:rPr>
                    <w:rFonts w:asciiTheme="minorEastAsia" w:eastAsiaTheme="minorEastAsia" w:hAnsiTheme="minorEastAsia"/>
                  </w:rPr>
                </w:pPr>
                <w:r>
                  <w:rPr>
                    <w:rFonts w:asciiTheme="minorEastAsia" w:eastAsiaTheme="minorEastAsia" w:hAnsiTheme="minorEastAsia" w:hint="eastAsia"/>
                  </w:rPr>
                  <w:t>本公司于1997年重组时，山东能源与本公司签订《重组协议》，承诺将采取各种有效措施避免与本公司产生同业竞争。</w:t>
                </w:r>
              </w:p>
            </w:tc>
            <w:tc>
              <w:tcPr>
                <w:tcW w:w="375" w:type="pct"/>
                <w:shd w:val="clear" w:color="auto" w:fill="auto"/>
              </w:tcPr>
              <w:p w14:paraId="39FBC7F8" w14:textId="4B086E82" w:rsidR="00B201D3" w:rsidRDefault="009855E8">
                <w:pPr>
                  <w:pStyle w:val="3903"/>
                  <w:jc w:val="both"/>
                  <w:rPr>
                    <w:rFonts w:asciiTheme="minorEastAsia" w:eastAsiaTheme="minorEastAsia" w:hAnsiTheme="minorEastAsia"/>
                  </w:rPr>
                </w:pPr>
                <w:r>
                  <w:rPr>
                    <w:rFonts w:asciiTheme="minorEastAsia" w:eastAsiaTheme="minorEastAsia" w:hAnsiTheme="minorEastAsia" w:hint="eastAsia"/>
                  </w:rPr>
                  <w:t>1997年</w:t>
                </w:r>
                <w:r w:rsidR="00431878">
                  <w:rPr>
                    <w:rFonts w:asciiTheme="minorEastAsia" w:eastAsiaTheme="minorEastAsia" w:hAnsiTheme="minorEastAsia" w:hint="eastAsia"/>
                  </w:rPr>
                  <w:t>，</w:t>
                </w:r>
                <w:r>
                  <w:rPr>
                    <w:rFonts w:asciiTheme="minorEastAsia" w:eastAsiaTheme="minorEastAsia" w:hAnsiTheme="minorEastAsia" w:hint="eastAsia"/>
                  </w:rPr>
                  <w:t>长期有效</w:t>
                </w:r>
              </w:p>
            </w:tc>
            <w:sdt>
              <w:sdtPr>
                <w:rPr>
                  <w:rFonts w:asciiTheme="minorEastAsia" w:eastAsiaTheme="minorEastAsia" w:hAnsiTheme="minorEastAsia" w:hint="eastAsia"/>
                  <w:bCs/>
                </w:rPr>
                <w:alias w:val="与股改相关的承诺-是否有履行期限"/>
                <w:tag w:val="_GBC_9d8147bb4e314c0a9d1b21d1473297d9"/>
                <w:id w:val="-2044815844"/>
                <w:lock w:val="sdtLocked"/>
                <w:comboBox>
                  <w:listItem w:displayText="是" w:value="true"/>
                  <w:listItem w:displayText="否" w:value="false"/>
                </w:comboBox>
              </w:sdtPr>
              <w:sdtEndPr/>
              <w:sdtContent>
                <w:tc>
                  <w:tcPr>
                    <w:tcW w:w="281" w:type="pct"/>
                    <w:shd w:val="clear" w:color="auto" w:fill="auto"/>
                  </w:tcPr>
                  <w:p w14:paraId="0B335A1A" w14:textId="0DFE2983" w:rsidR="00B201D3" w:rsidRDefault="00F46283">
                    <w:pPr>
                      <w:jc w:val="both"/>
                      <w:rPr>
                        <w:rFonts w:asciiTheme="minorEastAsia" w:eastAsiaTheme="minorEastAsia" w:hAnsiTheme="minorEastAsia"/>
                        <w:color w:val="FFC000"/>
                      </w:rPr>
                    </w:pPr>
                    <w:r>
                      <w:rPr>
                        <w:rFonts w:asciiTheme="minorEastAsia" w:eastAsiaTheme="minorEastAsia" w:hAnsiTheme="minorEastAsia" w:hint="eastAsia"/>
                        <w:bCs/>
                      </w:rPr>
                      <w:t>否</w:t>
                    </w:r>
                  </w:p>
                </w:tc>
              </w:sdtContent>
            </w:sdt>
            <w:sdt>
              <w:sdtPr>
                <w:rPr>
                  <w:rFonts w:asciiTheme="minorEastAsia" w:eastAsiaTheme="minorEastAsia" w:hAnsiTheme="minorEastAsia" w:hint="eastAsia"/>
                  <w:bCs/>
                </w:rPr>
                <w:alias w:val="与股改相关的承诺-是否及时严格履行"/>
                <w:tag w:val="_GBC_f7d744ce0b754e9ca908c8120cb7514b"/>
                <w:id w:val="116649555"/>
                <w:lock w:val="sdtLocked"/>
                <w:comboBox>
                  <w:listItem w:displayText="是" w:value="true"/>
                  <w:listItem w:displayText="否" w:value="false"/>
                </w:comboBox>
              </w:sdtPr>
              <w:sdtEndPr/>
              <w:sdtContent>
                <w:tc>
                  <w:tcPr>
                    <w:tcW w:w="328" w:type="pct"/>
                    <w:shd w:val="clear" w:color="auto" w:fill="auto"/>
                  </w:tcPr>
                  <w:p w14:paraId="4C14453A" w14:textId="7E3D7B13" w:rsidR="00B201D3" w:rsidRDefault="00F46283">
                    <w:pPr>
                      <w:jc w:val="both"/>
                      <w:rPr>
                        <w:rFonts w:asciiTheme="minorEastAsia" w:eastAsiaTheme="minorEastAsia" w:hAnsiTheme="minorEastAsia"/>
                        <w:color w:val="FFC000"/>
                      </w:rPr>
                    </w:pPr>
                    <w:r>
                      <w:rPr>
                        <w:rFonts w:asciiTheme="minorEastAsia" w:eastAsiaTheme="minorEastAsia" w:hAnsiTheme="minorEastAsia" w:hint="eastAsia"/>
                        <w:bCs/>
                      </w:rPr>
                      <w:t>是</w:t>
                    </w:r>
                  </w:p>
                </w:tc>
              </w:sdtContent>
            </w:sdt>
            <w:tc>
              <w:tcPr>
                <w:tcW w:w="469" w:type="pct"/>
                <w:shd w:val="clear" w:color="auto" w:fill="auto"/>
              </w:tcPr>
              <w:p w14:paraId="40B09B3C" w14:textId="77777777" w:rsidR="00B201D3" w:rsidRDefault="009855E8">
                <w:pPr>
                  <w:jc w:val="both"/>
                  <w:rPr>
                    <w:rFonts w:asciiTheme="minorEastAsia" w:eastAsiaTheme="minorEastAsia" w:hAnsiTheme="minorEastAsia"/>
                  </w:rPr>
                </w:pPr>
                <w:r>
                  <w:rPr>
                    <w:rFonts w:asciiTheme="minorEastAsia" w:eastAsiaTheme="minorEastAsia" w:hAnsiTheme="minorEastAsia"/>
                  </w:rPr>
                  <w:t>正常履行</w:t>
                </w:r>
              </w:p>
            </w:tc>
            <w:tc>
              <w:tcPr>
                <w:tcW w:w="365" w:type="pct"/>
                <w:shd w:val="clear" w:color="auto" w:fill="auto"/>
              </w:tcPr>
              <w:p w14:paraId="52402C7B" w14:textId="77777777" w:rsidR="00B201D3" w:rsidRDefault="009855E8">
                <w:pPr>
                  <w:jc w:val="both"/>
                  <w:rPr>
                    <w:rFonts w:asciiTheme="minorEastAsia" w:eastAsiaTheme="minorEastAsia" w:hAnsiTheme="minorEastAsia"/>
                  </w:rPr>
                </w:pPr>
                <w:r>
                  <w:rPr>
                    <w:rFonts w:asciiTheme="minorEastAsia" w:eastAsiaTheme="minorEastAsia" w:hAnsiTheme="minorEastAsia"/>
                  </w:rPr>
                  <w:t>无</w:t>
                </w:r>
              </w:p>
            </w:tc>
          </w:tr>
          <w:tr w:rsidR="00B201D3" w14:paraId="37BE6158" w14:textId="77777777">
            <w:trPr>
              <w:trHeight w:val="1140"/>
            </w:trPr>
            <w:tc>
              <w:tcPr>
                <w:tcW w:w="417" w:type="pct"/>
                <w:shd w:val="clear" w:color="auto" w:fill="auto"/>
                <w:vAlign w:val="center"/>
              </w:tcPr>
              <w:p w14:paraId="62CA7D53" w14:textId="77777777" w:rsidR="00B201D3" w:rsidRDefault="009855E8">
                <w:pPr>
                  <w:jc w:val="both"/>
                  <w:rPr>
                    <w:rFonts w:asciiTheme="minorEastAsia" w:eastAsiaTheme="minorEastAsia" w:hAnsiTheme="minorEastAsia"/>
                  </w:rPr>
                </w:pPr>
                <w:r>
                  <w:rPr>
                    <w:rFonts w:asciiTheme="minorEastAsia" w:eastAsiaTheme="minorEastAsia" w:hAnsiTheme="minorEastAsia"/>
                  </w:rPr>
                  <w:t>其他承诺</w:t>
                </w:r>
              </w:p>
            </w:tc>
            <w:sdt>
              <w:sdtPr>
                <w:rPr>
                  <w:rFonts w:asciiTheme="minorEastAsia" w:eastAsiaTheme="minorEastAsia" w:hAnsiTheme="minorEastAsia"/>
                </w:rPr>
                <w:alias w:val="与收购报告书或权益变动报告书相关承诺-承诺类型"/>
                <w:tag w:val="_GBC_e85a2539ff6f4c0393f66f2fa3e6970d"/>
                <w:id w:val="1173991638"/>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28" w:type="pct"/>
                    <w:shd w:val="clear" w:color="auto" w:fill="auto"/>
                    <w:vAlign w:val="center"/>
                  </w:tcPr>
                  <w:p w14:paraId="0D36C49B" w14:textId="3AA38EC5" w:rsidR="00B201D3" w:rsidRDefault="00F46283">
                    <w:pPr>
                      <w:jc w:val="both"/>
                      <w:rPr>
                        <w:rFonts w:asciiTheme="minorEastAsia" w:eastAsiaTheme="minorEastAsia" w:hAnsiTheme="minorEastAsia"/>
                      </w:rPr>
                    </w:pPr>
                    <w:r>
                      <w:rPr>
                        <w:rFonts w:asciiTheme="minorEastAsia" w:eastAsiaTheme="minorEastAsia" w:hAnsiTheme="minorEastAsia"/>
                      </w:rPr>
                      <w:t>其他</w:t>
                    </w:r>
                  </w:p>
                </w:tc>
              </w:sdtContent>
            </w:sdt>
            <w:tc>
              <w:tcPr>
                <w:tcW w:w="421" w:type="pct"/>
                <w:shd w:val="clear" w:color="auto" w:fill="auto"/>
                <w:vAlign w:val="center"/>
              </w:tcPr>
              <w:p w14:paraId="0921248F" w14:textId="77777777" w:rsidR="00B201D3" w:rsidRDefault="009855E8">
                <w:pPr>
                  <w:jc w:val="both"/>
                  <w:rPr>
                    <w:rFonts w:asciiTheme="minorEastAsia" w:eastAsiaTheme="minorEastAsia" w:hAnsiTheme="minorEastAsia"/>
                  </w:rPr>
                </w:pPr>
                <w:r>
                  <w:rPr>
                    <w:rFonts w:asciiTheme="minorEastAsia" w:eastAsiaTheme="minorEastAsia" w:hAnsiTheme="minorEastAsia"/>
                  </w:rPr>
                  <w:t>山东能源</w:t>
                </w:r>
              </w:p>
            </w:tc>
            <w:tc>
              <w:tcPr>
                <w:tcW w:w="2016" w:type="pct"/>
                <w:shd w:val="clear" w:color="auto" w:fill="auto"/>
                <w:vAlign w:val="center"/>
              </w:tcPr>
              <w:p w14:paraId="578448E8" w14:textId="77777777" w:rsidR="00B201D3" w:rsidRDefault="009855E8">
                <w:pPr>
                  <w:jc w:val="both"/>
                  <w:rPr>
                    <w:rFonts w:asciiTheme="minorEastAsia" w:eastAsiaTheme="minorEastAsia" w:hAnsiTheme="minorEastAsia"/>
                  </w:rPr>
                </w:pPr>
                <w:r>
                  <w:rPr>
                    <w:rFonts w:asciiTheme="minorEastAsia" w:eastAsiaTheme="minorEastAsia" w:hAnsiTheme="minorEastAsia"/>
                  </w:rPr>
                  <w:t>山东能源就其与兖矿财司之间金融业务相关事宜作出如下承诺：1.鉴于兖矿能源在资产、业务、人员、财务、机构等方面均独立于山东能源，山东能源将继续确保兖矿能源的独立性并充分尊重兖矿能源的经营自主权，由兖矿能源及其子公司兖矿财司在符合相关监管规定的条件下，履行法律法规及《公司章程》《兖矿集团财务有限公司章程》等相关规定的决策程序后，根据业务开展的实际需要，自主决策兖矿财司与山东能源之间的金融业务。</w:t>
                </w:r>
              </w:p>
              <w:p w14:paraId="08EDC6A6" w14:textId="77777777" w:rsidR="00B201D3" w:rsidRDefault="009855E8">
                <w:pPr>
                  <w:jc w:val="both"/>
                  <w:rPr>
                    <w:rFonts w:asciiTheme="minorEastAsia" w:eastAsiaTheme="minorEastAsia" w:hAnsiTheme="minorEastAsia"/>
                  </w:rPr>
                </w:pPr>
                <w:r>
                  <w:rPr>
                    <w:rFonts w:asciiTheme="minorEastAsia" w:eastAsiaTheme="minorEastAsia" w:hAnsiTheme="minorEastAsia"/>
                  </w:rPr>
                  <w:t>2.为保障兖矿能源在兖矿财司的资金安全，山东能源及其控制的其他企业将合法合规的与兖矿财司开展金融业务，保证不会通过兖矿财司或其他任何方式变相占用兖矿能源资金。</w:t>
                </w:r>
              </w:p>
              <w:p w14:paraId="24EA8408" w14:textId="77777777" w:rsidR="00B201D3" w:rsidRDefault="009855E8">
                <w:pPr>
                  <w:jc w:val="both"/>
                  <w:rPr>
                    <w:rFonts w:asciiTheme="minorEastAsia" w:eastAsiaTheme="minorEastAsia" w:hAnsiTheme="minorEastAsia"/>
                  </w:rPr>
                </w:pPr>
                <w:r>
                  <w:rPr>
                    <w:rFonts w:asciiTheme="minorEastAsia" w:eastAsiaTheme="minorEastAsia" w:hAnsiTheme="minorEastAsia"/>
                  </w:rPr>
                  <w:t>3.若因山东能源及其控制的其他企业通过兖矿财司或其他任何方式违规占用兖矿能源资金而致使兖矿能源遭受损失，山东能源及山东能源控制的其他企业将以现金予以足额补偿。</w:t>
                </w:r>
              </w:p>
              <w:p w14:paraId="53D7E373" w14:textId="77777777" w:rsidR="00B201D3" w:rsidRDefault="009855E8">
                <w:pPr>
                  <w:jc w:val="both"/>
                  <w:rPr>
                    <w:rFonts w:asciiTheme="minorEastAsia" w:eastAsiaTheme="minorEastAsia" w:hAnsiTheme="minorEastAsia"/>
                  </w:rPr>
                </w:pPr>
                <w:r>
                  <w:rPr>
                    <w:rFonts w:asciiTheme="minorEastAsia" w:eastAsiaTheme="minorEastAsia" w:hAnsiTheme="minorEastAsia"/>
                  </w:rPr>
                  <w:t>4.山东能源保证严格遵守中国证监会、上交所及《公司章程》等有关规定，与其他股东平等地行使股东权利、履行股东义</w:t>
                </w:r>
                <w:r>
                  <w:rPr>
                    <w:rFonts w:asciiTheme="minorEastAsia" w:eastAsiaTheme="minorEastAsia" w:hAnsiTheme="minorEastAsia"/>
                  </w:rPr>
                  <w:lastRenderedPageBreak/>
                  <w:t>务，不利用控股股东的地位谋取不当利益，不损害兖矿能源及其他社会公众股东的合法权益。</w:t>
                </w:r>
              </w:p>
              <w:p w14:paraId="1C3D83A1" w14:textId="77777777" w:rsidR="00B201D3" w:rsidRDefault="009855E8">
                <w:pPr>
                  <w:jc w:val="both"/>
                  <w:rPr>
                    <w:rFonts w:asciiTheme="minorEastAsia" w:eastAsiaTheme="minorEastAsia" w:hAnsiTheme="minorEastAsia"/>
                  </w:rPr>
                </w:pPr>
                <w:r>
                  <w:rPr>
                    <w:rFonts w:asciiTheme="minorEastAsia" w:eastAsiaTheme="minorEastAsia" w:hAnsiTheme="minorEastAsia" w:hint="eastAsia"/>
                  </w:rPr>
                  <w:t>注：经公司2022年10月28日召开的2022年度第二次临时股东大会讨论审议，批准兖矿财司与山东能源集团财务有限公司（“山能财司”）合并重组，合并完成后，兖矿财司注销、山能财司存续。合并后的山能财司将继承以上承诺。</w:t>
                </w:r>
              </w:p>
            </w:tc>
            <w:tc>
              <w:tcPr>
                <w:tcW w:w="375" w:type="pct"/>
                <w:shd w:val="clear" w:color="auto" w:fill="auto"/>
              </w:tcPr>
              <w:p w14:paraId="7EEF6A96" w14:textId="147C2FCE" w:rsidR="00B201D3" w:rsidRDefault="009855E8">
                <w:pPr>
                  <w:jc w:val="both"/>
                  <w:rPr>
                    <w:rFonts w:asciiTheme="minorEastAsia" w:eastAsiaTheme="minorEastAsia" w:hAnsiTheme="minorEastAsia"/>
                  </w:rPr>
                </w:pPr>
                <w:r>
                  <w:rPr>
                    <w:rFonts w:asciiTheme="minorEastAsia" w:eastAsiaTheme="minorEastAsia" w:hAnsiTheme="minorEastAsia"/>
                  </w:rPr>
                  <w:lastRenderedPageBreak/>
                  <w:t>2018年7月27日</w:t>
                </w:r>
                <w:r w:rsidR="00431878">
                  <w:rPr>
                    <w:rFonts w:asciiTheme="minorEastAsia" w:eastAsiaTheme="minorEastAsia" w:hAnsiTheme="minorEastAsia" w:hint="eastAsia"/>
                  </w:rPr>
                  <w:t>，</w:t>
                </w:r>
                <w:r>
                  <w:rPr>
                    <w:rFonts w:asciiTheme="minorEastAsia" w:eastAsiaTheme="minorEastAsia" w:hAnsiTheme="minorEastAsia"/>
                  </w:rPr>
                  <w:t>长期有效 </w:t>
                </w:r>
              </w:p>
            </w:tc>
            <w:sdt>
              <w:sdtPr>
                <w:rPr>
                  <w:rFonts w:asciiTheme="minorEastAsia" w:eastAsiaTheme="minorEastAsia" w:hAnsiTheme="minorEastAsia"/>
                </w:rPr>
                <w:alias w:val="与收购报告书或权益变动报告书相关承诺-是否有履行期限"/>
                <w:tag w:val="_GBC_e3c53a81843746098b3d32e7645ee92f"/>
                <w:id w:val="1714614588"/>
                <w:lock w:val="sdtLocked"/>
                <w:comboBox>
                  <w:listItem w:displayText="是" w:value="true"/>
                  <w:listItem w:displayText="否" w:value="false"/>
                </w:comboBox>
              </w:sdtPr>
              <w:sdtEndPr/>
              <w:sdtContent>
                <w:tc>
                  <w:tcPr>
                    <w:tcW w:w="281" w:type="pct"/>
                    <w:shd w:val="clear" w:color="auto" w:fill="auto"/>
                  </w:tcPr>
                  <w:p w14:paraId="41D8F80D" w14:textId="10D426BC" w:rsidR="00B201D3" w:rsidRDefault="00F46283">
                    <w:pPr>
                      <w:jc w:val="both"/>
                      <w:rPr>
                        <w:rFonts w:asciiTheme="minorEastAsia" w:eastAsiaTheme="minorEastAsia" w:hAnsiTheme="minorEastAsia"/>
                      </w:rPr>
                    </w:pPr>
                    <w:r>
                      <w:rPr>
                        <w:rFonts w:asciiTheme="minorEastAsia" w:eastAsiaTheme="minorEastAsia" w:hAnsiTheme="minorEastAsia"/>
                      </w:rPr>
                      <w:t>否</w:t>
                    </w:r>
                  </w:p>
                </w:tc>
              </w:sdtContent>
            </w:sdt>
            <w:sdt>
              <w:sdtPr>
                <w:rPr>
                  <w:rFonts w:asciiTheme="minorEastAsia" w:eastAsiaTheme="minorEastAsia" w:hAnsiTheme="minorEastAsia"/>
                </w:rPr>
                <w:alias w:val="与收购报告书或权益变动报告书相关承诺-是否及时严格履行"/>
                <w:tag w:val="_GBC_273adbc65ae043908b43ba0e0c47d626"/>
                <w:id w:val="36712876"/>
                <w:lock w:val="sdtLocked"/>
                <w:comboBox>
                  <w:listItem w:displayText="是" w:value="true"/>
                  <w:listItem w:displayText="否" w:value="false"/>
                </w:comboBox>
              </w:sdtPr>
              <w:sdtEndPr/>
              <w:sdtContent>
                <w:tc>
                  <w:tcPr>
                    <w:tcW w:w="328" w:type="pct"/>
                    <w:shd w:val="clear" w:color="auto" w:fill="auto"/>
                  </w:tcPr>
                  <w:p w14:paraId="3BB0D26E" w14:textId="4AAA49F1" w:rsidR="00B201D3" w:rsidRDefault="00F46283">
                    <w:pPr>
                      <w:jc w:val="both"/>
                      <w:rPr>
                        <w:rFonts w:asciiTheme="minorEastAsia" w:eastAsiaTheme="minorEastAsia" w:hAnsiTheme="minorEastAsia"/>
                      </w:rPr>
                    </w:pPr>
                    <w:r>
                      <w:rPr>
                        <w:rFonts w:asciiTheme="minorEastAsia" w:eastAsiaTheme="minorEastAsia" w:hAnsiTheme="minorEastAsia"/>
                      </w:rPr>
                      <w:t>是</w:t>
                    </w:r>
                  </w:p>
                </w:tc>
              </w:sdtContent>
            </w:sdt>
            <w:tc>
              <w:tcPr>
                <w:tcW w:w="469" w:type="pct"/>
                <w:shd w:val="clear" w:color="auto" w:fill="auto"/>
              </w:tcPr>
              <w:p w14:paraId="09859949" w14:textId="77777777" w:rsidR="00B201D3" w:rsidRDefault="009855E8">
                <w:pPr>
                  <w:jc w:val="both"/>
                  <w:rPr>
                    <w:rFonts w:asciiTheme="minorEastAsia" w:eastAsiaTheme="minorEastAsia" w:hAnsiTheme="minorEastAsia"/>
                  </w:rPr>
                </w:pPr>
                <w:r>
                  <w:rPr>
                    <w:rFonts w:asciiTheme="minorEastAsia" w:eastAsiaTheme="minorEastAsia" w:hAnsiTheme="minorEastAsia"/>
                  </w:rPr>
                  <w:t>正常履行</w:t>
                </w:r>
              </w:p>
            </w:tc>
            <w:tc>
              <w:tcPr>
                <w:tcW w:w="365" w:type="pct"/>
                <w:shd w:val="clear" w:color="auto" w:fill="auto"/>
              </w:tcPr>
              <w:p w14:paraId="65563865" w14:textId="77777777" w:rsidR="00B201D3" w:rsidRDefault="009855E8">
                <w:pPr>
                  <w:jc w:val="both"/>
                  <w:rPr>
                    <w:rFonts w:asciiTheme="minorEastAsia" w:eastAsiaTheme="minorEastAsia" w:hAnsiTheme="minorEastAsia"/>
                  </w:rPr>
                </w:pPr>
                <w:r>
                  <w:rPr>
                    <w:rFonts w:asciiTheme="minorEastAsia" w:eastAsiaTheme="minorEastAsia" w:hAnsiTheme="minorEastAsia"/>
                  </w:rPr>
                  <w:t>无</w:t>
                </w:r>
              </w:p>
            </w:tc>
          </w:tr>
          <w:tr w:rsidR="00B201D3" w14:paraId="43C175A7" w14:textId="77777777">
            <w:trPr>
              <w:trHeight w:val="1140"/>
            </w:trPr>
            <w:tc>
              <w:tcPr>
                <w:tcW w:w="417" w:type="pct"/>
                <w:vMerge w:val="restart"/>
                <w:shd w:val="clear" w:color="auto" w:fill="auto"/>
                <w:vAlign w:val="center"/>
              </w:tcPr>
              <w:p w14:paraId="1DA940F7" w14:textId="77777777" w:rsidR="00B201D3" w:rsidRDefault="009855E8">
                <w:pPr>
                  <w:jc w:val="both"/>
                  <w:rPr>
                    <w:rFonts w:asciiTheme="minorEastAsia" w:eastAsiaTheme="minorEastAsia" w:hAnsiTheme="minorEastAsia"/>
                  </w:rPr>
                </w:pPr>
                <w:r>
                  <w:rPr>
                    <w:rFonts w:asciiTheme="minorEastAsia" w:eastAsiaTheme="minorEastAsia" w:hAnsiTheme="minorEastAsia"/>
                  </w:rPr>
                  <w:t>其他承诺</w:t>
                </w:r>
              </w:p>
            </w:tc>
            <w:sdt>
              <w:sdtPr>
                <w:rPr>
                  <w:rFonts w:asciiTheme="minorEastAsia" w:eastAsiaTheme="minorEastAsia" w:hAnsiTheme="minorEastAsia"/>
                </w:rPr>
                <w:alias w:val="与收购报告书或权益变动报告书相关承诺-承诺类型"/>
                <w:tag w:val="_GBC_e85a2539ff6f4c0393f66f2fa3e6970d"/>
                <w:id w:val="-292449062"/>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28" w:type="pct"/>
                    <w:shd w:val="clear" w:color="auto" w:fill="auto"/>
                    <w:vAlign w:val="center"/>
                  </w:tcPr>
                  <w:p w14:paraId="012E0EF6" w14:textId="24440571" w:rsidR="00B201D3" w:rsidRDefault="00F46283">
                    <w:pPr>
                      <w:jc w:val="both"/>
                      <w:rPr>
                        <w:rFonts w:asciiTheme="minorEastAsia" w:eastAsiaTheme="minorEastAsia" w:hAnsiTheme="minorEastAsia"/>
                        <w:color w:val="FFC000"/>
                      </w:rPr>
                    </w:pPr>
                    <w:r>
                      <w:rPr>
                        <w:rFonts w:asciiTheme="minorEastAsia" w:eastAsiaTheme="minorEastAsia" w:hAnsiTheme="minorEastAsia"/>
                      </w:rPr>
                      <w:t>其他</w:t>
                    </w:r>
                  </w:p>
                </w:tc>
              </w:sdtContent>
            </w:sdt>
            <w:tc>
              <w:tcPr>
                <w:tcW w:w="421" w:type="pct"/>
                <w:shd w:val="clear" w:color="auto" w:fill="auto"/>
                <w:vAlign w:val="center"/>
              </w:tcPr>
              <w:p w14:paraId="5F00B4EE" w14:textId="77777777" w:rsidR="00B201D3" w:rsidRDefault="009855E8">
                <w:pPr>
                  <w:jc w:val="both"/>
                  <w:rPr>
                    <w:rFonts w:asciiTheme="minorEastAsia" w:eastAsiaTheme="minorEastAsia" w:hAnsiTheme="minorEastAsia"/>
                  </w:rPr>
                </w:pPr>
                <w:r>
                  <w:rPr>
                    <w:rFonts w:asciiTheme="minorEastAsia" w:eastAsiaTheme="minorEastAsia" w:hAnsiTheme="minorEastAsia" w:hint="eastAsia"/>
                  </w:rPr>
                  <w:t>新汶矿业集团有限责任公司、龙口矿业集团有限公司、淄博矿业集团有限责任公司、肥城肥矿煤业有限公司、临沂矿业集团有限责任公司（以下合称“</w:t>
                </w:r>
                <w:r>
                  <w:rPr>
                    <w:rFonts w:asciiTheme="minorEastAsia" w:eastAsiaTheme="minorEastAsia" w:hAnsiTheme="minorEastAsia" w:hint="eastAsia"/>
                    <w:bCs/>
                  </w:rPr>
                  <w:t>转让方</w:t>
                </w:r>
                <w:r>
                  <w:rPr>
                    <w:rFonts w:asciiTheme="minorEastAsia" w:eastAsiaTheme="minorEastAsia" w:hAnsiTheme="minorEastAsia" w:hint="eastAsia"/>
                  </w:rPr>
                  <w:t>”）</w:t>
                </w:r>
              </w:p>
            </w:tc>
            <w:tc>
              <w:tcPr>
                <w:tcW w:w="2016" w:type="pct"/>
                <w:shd w:val="clear" w:color="auto" w:fill="auto"/>
                <w:vAlign w:val="center"/>
              </w:tcPr>
              <w:p w14:paraId="3929E5D4" w14:textId="77777777" w:rsidR="00B201D3" w:rsidRDefault="009855E8">
                <w:pPr>
                  <w:jc w:val="both"/>
                </w:pPr>
                <w:r>
                  <w:rPr>
                    <w:rFonts w:hint="eastAsia"/>
                  </w:rPr>
                  <w:t>转让方就兖矿能源（“受让方”）收购鲁西矿业51%股权事项向兖矿能源做出如下承诺：</w:t>
                </w:r>
              </w:p>
              <w:p w14:paraId="1762D361" w14:textId="77777777" w:rsidR="00B201D3" w:rsidRDefault="009855E8">
                <w:pPr>
                  <w:jc w:val="both"/>
                </w:pPr>
                <w:r>
                  <w:rPr>
                    <w:rFonts w:hint="eastAsia"/>
                  </w:rPr>
                  <w:t>1.如本次交易交割日后相关政府主管部门依据鲁动能〔2021〕3号、鲁政字〔2021〕143号文件或相关实施细则对鲁西矿业下属子公司煤矿采取限产、停产、关闭退出等处置措施的，转让方承诺：（1）由转让方对受让方给予相应补偿；（2）如转让方及受让方无法就前述具体赔偿金额协商一致的，则受让方可以向转让方书面通知解除《股权转让协议》，转让方应当返还已支付的股权转让价款等；</w:t>
                </w:r>
              </w:p>
              <w:p w14:paraId="4553F027" w14:textId="77777777" w:rsidR="00B201D3" w:rsidRDefault="009855E8">
                <w:pPr>
                  <w:jc w:val="both"/>
                </w:pPr>
                <w:r>
                  <w:rPr>
                    <w:rFonts w:hint="eastAsia"/>
                  </w:rPr>
                  <w:t>2．除已扣减矿业权出让收益的矿业权外，就郭屯煤矿、彭庄煤矿、梁宝寺煤矿以及陈蛮庄煤矿四宗以现金、转增国家资本金等方式有偿处置过的矿业权，在本次交易交割日后，如被相关主管部门就在本次交易中相关采矿权评估范围内的资源储量征收矿业权出让收益且前述出让收益未在本次交易审计报告中体现，则：（1）转让方将按照该等下属子公司被征收出让收益金额向受让方现金补偿（补偿金额为被征收出让收益金额×51%×鲁西矿业持有该等下属子公司的股权比例）；（2）就届时本次交易对应资源储量中剩余的尚未按矿产品销售时的矿业权出让收益率计算征收的部分，由转让方一并向受让方现金补偿；（3）转让方向受让方补偿的金额应以《股权转让协议》依据的评估报告引用的矿业权评估报告所载金额×51%×鲁西矿业持有该等下属子公司的股权比例为限。</w:t>
                </w:r>
              </w:p>
            </w:tc>
            <w:tc>
              <w:tcPr>
                <w:tcW w:w="375" w:type="pct"/>
                <w:shd w:val="clear" w:color="auto" w:fill="auto"/>
              </w:tcPr>
              <w:p w14:paraId="4030DFAF" w14:textId="08F929AC" w:rsidR="00B201D3" w:rsidRDefault="009855E8">
                <w:pPr>
                  <w:jc w:val="both"/>
                  <w:rPr>
                    <w:rFonts w:asciiTheme="minorEastAsia" w:eastAsiaTheme="minorEastAsia" w:hAnsiTheme="minorEastAsia"/>
                  </w:rPr>
                </w:pPr>
                <w:r>
                  <w:rPr>
                    <w:rFonts w:asciiTheme="minorEastAsia" w:eastAsiaTheme="minorEastAsia" w:hAnsiTheme="minorEastAsia" w:hint="eastAsia"/>
                  </w:rPr>
                  <w:t>2023年4月28日</w:t>
                </w:r>
                <w:r w:rsidR="00431878">
                  <w:rPr>
                    <w:rFonts w:asciiTheme="minorEastAsia" w:eastAsiaTheme="minorEastAsia" w:hAnsiTheme="minorEastAsia" w:hint="eastAsia"/>
                  </w:rPr>
                  <w:t>，</w:t>
                </w:r>
              </w:p>
              <w:p w14:paraId="2E021C69" w14:textId="77777777" w:rsidR="00B201D3" w:rsidRDefault="009855E8">
                <w:pPr>
                  <w:jc w:val="both"/>
                  <w:rPr>
                    <w:rFonts w:asciiTheme="minorEastAsia" w:eastAsiaTheme="minorEastAsia" w:hAnsiTheme="minorEastAsia"/>
                  </w:rPr>
                </w:pPr>
                <w:r>
                  <w:rPr>
                    <w:rFonts w:asciiTheme="minorEastAsia" w:eastAsiaTheme="minorEastAsia" w:hAnsiTheme="minorEastAsia" w:hint="eastAsia"/>
                  </w:rPr>
                  <w:t>长期有效</w:t>
                </w:r>
              </w:p>
            </w:tc>
            <w:sdt>
              <w:sdtPr>
                <w:rPr>
                  <w:rFonts w:asciiTheme="minorEastAsia" w:eastAsiaTheme="minorEastAsia" w:hAnsiTheme="minorEastAsia"/>
                </w:rPr>
                <w:alias w:val="与收购报告书或权益变动报告书相关承诺-是否有履行期限"/>
                <w:tag w:val="_GBC_e3c53a81843746098b3d32e7645ee92f"/>
                <w:id w:val="-559707936"/>
                <w:lock w:val="sdtLocked"/>
                <w:comboBox>
                  <w:listItem w:displayText="是" w:value="true"/>
                  <w:listItem w:displayText="否" w:value="false"/>
                </w:comboBox>
              </w:sdtPr>
              <w:sdtEndPr/>
              <w:sdtContent>
                <w:tc>
                  <w:tcPr>
                    <w:tcW w:w="281" w:type="pct"/>
                    <w:shd w:val="clear" w:color="auto" w:fill="auto"/>
                  </w:tcPr>
                  <w:p w14:paraId="2208A7D6" w14:textId="6B2CEDE5" w:rsidR="00B201D3" w:rsidRDefault="00F46283">
                    <w:pPr>
                      <w:jc w:val="both"/>
                      <w:rPr>
                        <w:rFonts w:asciiTheme="minorEastAsia" w:eastAsiaTheme="minorEastAsia" w:hAnsiTheme="minorEastAsia"/>
                        <w:color w:val="FFC000"/>
                      </w:rPr>
                    </w:pPr>
                    <w:r>
                      <w:rPr>
                        <w:rFonts w:asciiTheme="minorEastAsia" w:eastAsiaTheme="minorEastAsia" w:hAnsiTheme="minorEastAsia"/>
                      </w:rPr>
                      <w:t>否</w:t>
                    </w:r>
                  </w:p>
                </w:tc>
              </w:sdtContent>
            </w:sdt>
            <w:sdt>
              <w:sdtPr>
                <w:rPr>
                  <w:rFonts w:asciiTheme="minorEastAsia" w:eastAsiaTheme="minorEastAsia" w:hAnsiTheme="minorEastAsia"/>
                </w:rPr>
                <w:alias w:val="与收购报告书或权益变动报告书相关承诺-是否及时严格履行"/>
                <w:tag w:val="_GBC_273adbc65ae043908b43ba0e0c47d626"/>
                <w:id w:val="1427772433"/>
                <w:lock w:val="sdtLocked"/>
                <w:comboBox>
                  <w:listItem w:displayText="是" w:value="true"/>
                  <w:listItem w:displayText="否" w:value="false"/>
                </w:comboBox>
              </w:sdtPr>
              <w:sdtEndPr/>
              <w:sdtContent>
                <w:tc>
                  <w:tcPr>
                    <w:tcW w:w="328" w:type="pct"/>
                    <w:shd w:val="clear" w:color="auto" w:fill="auto"/>
                  </w:tcPr>
                  <w:p w14:paraId="411B7F5B" w14:textId="4BFDF0D9" w:rsidR="00B201D3" w:rsidRDefault="00F46283">
                    <w:pPr>
                      <w:jc w:val="both"/>
                      <w:rPr>
                        <w:rFonts w:asciiTheme="minorEastAsia" w:eastAsiaTheme="minorEastAsia" w:hAnsiTheme="minorEastAsia"/>
                        <w:color w:val="FFC000"/>
                      </w:rPr>
                    </w:pPr>
                    <w:r>
                      <w:rPr>
                        <w:rFonts w:asciiTheme="minorEastAsia" w:eastAsiaTheme="minorEastAsia" w:hAnsiTheme="minorEastAsia"/>
                      </w:rPr>
                      <w:t>是</w:t>
                    </w:r>
                  </w:p>
                </w:tc>
              </w:sdtContent>
            </w:sdt>
            <w:tc>
              <w:tcPr>
                <w:tcW w:w="469" w:type="pct"/>
                <w:shd w:val="clear" w:color="auto" w:fill="auto"/>
              </w:tcPr>
              <w:p w14:paraId="56F18BE4" w14:textId="77777777" w:rsidR="00B201D3" w:rsidRDefault="009855E8">
                <w:pPr>
                  <w:jc w:val="both"/>
                  <w:rPr>
                    <w:rFonts w:asciiTheme="minorEastAsia" w:eastAsiaTheme="minorEastAsia" w:hAnsiTheme="minorEastAsia"/>
                  </w:rPr>
                </w:pPr>
                <w:r>
                  <w:rPr>
                    <w:rFonts w:asciiTheme="minorEastAsia" w:eastAsiaTheme="minorEastAsia" w:hAnsiTheme="minorEastAsia"/>
                  </w:rPr>
                  <w:t>正常履行</w:t>
                </w:r>
              </w:p>
            </w:tc>
            <w:tc>
              <w:tcPr>
                <w:tcW w:w="365" w:type="pct"/>
                <w:shd w:val="clear" w:color="auto" w:fill="auto"/>
              </w:tcPr>
              <w:p w14:paraId="0B908EC3" w14:textId="77777777" w:rsidR="00B201D3" w:rsidRDefault="009855E8">
                <w:pPr>
                  <w:jc w:val="both"/>
                  <w:rPr>
                    <w:rFonts w:asciiTheme="minorEastAsia" w:eastAsiaTheme="minorEastAsia" w:hAnsiTheme="minorEastAsia"/>
                  </w:rPr>
                </w:pPr>
                <w:r>
                  <w:rPr>
                    <w:rFonts w:asciiTheme="minorEastAsia" w:eastAsiaTheme="minorEastAsia" w:hAnsiTheme="minorEastAsia"/>
                  </w:rPr>
                  <w:t>无</w:t>
                </w:r>
              </w:p>
            </w:tc>
          </w:tr>
          <w:tr w:rsidR="00B201D3" w14:paraId="1C942F7F" w14:textId="77777777">
            <w:trPr>
              <w:trHeight w:val="1140"/>
            </w:trPr>
            <w:tc>
              <w:tcPr>
                <w:tcW w:w="417" w:type="pct"/>
                <w:vMerge/>
                <w:shd w:val="clear" w:color="auto" w:fill="auto"/>
                <w:vAlign w:val="center"/>
              </w:tcPr>
              <w:p w14:paraId="6FCB64F3" w14:textId="77777777" w:rsidR="00B201D3" w:rsidRDefault="00B201D3">
                <w:pPr>
                  <w:jc w:val="both"/>
                  <w:rPr>
                    <w:rFonts w:asciiTheme="minorEastAsia" w:eastAsiaTheme="minorEastAsia" w:hAnsiTheme="minorEastAsia"/>
                  </w:rPr>
                </w:pPr>
              </w:p>
            </w:tc>
            <w:sdt>
              <w:sdtPr>
                <w:rPr>
                  <w:rFonts w:asciiTheme="minorEastAsia" w:eastAsiaTheme="minorEastAsia" w:hAnsiTheme="minorEastAsia"/>
                </w:rPr>
                <w:alias w:val="与收购报告书或权益变动报告书相关承诺-承诺类型"/>
                <w:tag w:val="_GBC_e85a2539ff6f4c0393f66f2fa3e6970d"/>
                <w:id w:val="35030858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28" w:type="pct"/>
                    <w:shd w:val="clear" w:color="auto" w:fill="auto"/>
                    <w:vAlign w:val="center"/>
                  </w:tcPr>
                  <w:p w14:paraId="68ECC3F2" w14:textId="2D118E34" w:rsidR="00B201D3" w:rsidRDefault="00F46283">
                    <w:pPr>
                      <w:jc w:val="both"/>
                      <w:rPr>
                        <w:rFonts w:asciiTheme="minorEastAsia" w:eastAsiaTheme="minorEastAsia" w:hAnsiTheme="minorEastAsia"/>
                        <w:color w:val="FFC000"/>
                      </w:rPr>
                    </w:pPr>
                    <w:r>
                      <w:rPr>
                        <w:rFonts w:asciiTheme="minorEastAsia" w:eastAsiaTheme="minorEastAsia" w:hAnsiTheme="minorEastAsia"/>
                      </w:rPr>
                      <w:t>其他</w:t>
                    </w:r>
                  </w:p>
                </w:tc>
              </w:sdtContent>
            </w:sdt>
            <w:tc>
              <w:tcPr>
                <w:tcW w:w="421" w:type="pct"/>
                <w:shd w:val="clear" w:color="auto" w:fill="auto"/>
                <w:vAlign w:val="center"/>
              </w:tcPr>
              <w:p w14:paraId="5E261CEA" w14:textId="77777777" w:rsidR="00B201D3" w:rsidRDefault="009855E8">
                <w:pPr>
                  <w:jc w:val="both"/>
                  <w:rPr>
                    <w:rFonts w:asciiTheme="minorEastAsia" w:eastAsiaTheme="minorEastAsia" w:hAnsiTheme="minorEastAsia"/>
                  </w:rPr>
                </w:pPr>
                <w:r>
                  <w:rPr>
                    <w:rFonts w:asciiTheme="minorEastAsia" w:eastAsiaTheme="minorEastAsia" w:hAnsiTheme="minorEastAsia"/>
                    <w:color w:val="000000"/>
                  </w:rPr>
                  <w:t>新汶矿业集团有限责任公司、山东能源集团有限公司</w:t>
                </w:r>
                <w:r>
                  <w:rPr>
                    <w:rFonts w:asciiTheme="minorEastAsia" w:eastAsiaTheme="minorEastAsia" w:hAnsiTheme="minorEastAsia" w:hint="eastAsia"/>
                    <w:color w:val="000000"/>
                  </w:rPr>
                  <w:t>（以下合称“转让方”）</w:t>
                </w:r>
              </w:p>
            </w:tc>
            <w:tc>
              <w:tcPr>
                <w:tcW w:w="2016" w:type="pct"/>
                <w:shd w:val="clear" w:color="auto" w:fill="auto"/>
                <w:vAlign w:val="center"/>
              </w:tcPr>
              <w:p w14:paraId="77301C77" w14:textId="77777777" w:rsidR="00B201D3" w:rsidRDefault="009855E8">
                <w:pPr>
                  <w:jc w:val="both"/>
                </w:pPr>
                <w:r>
                  <w:rPr>
                    <w:rFonts w:hint="eastAsia"/>
                  </w:rPr>
                  <w:t>转让方就兖矿能源（“受让方”）收购新疆能化51%股权事项向兖矿能源做出如下承诺：</w:t>
                </w:r>
              </w:p>
              <w:p w14:paraId="0BC0EACF" w14:textId="77777777" w:rsidR="00B201D3" w:rsidRDefault="009855E8">
                <w:pPr>
                  <w:jc w:val="both"/>
                </w:pPr>
                <w:r>
                  <w:rPr>
                    <w:rFonts w:hint="eastAsia"/>
                  </w:rPr>
                  <w:t>1．截至2</w:t>
                </w:r>
                <w:r>
                  <w:t>023</w:t>
                </w:r>
                <w:r>
                  <w:rPr>
                    <w:rFonts w:hint="eastAsia"/>
                  </w:rPr>
                  <w:t>年4月2</w:t>
                </w:r>
                <w:r>
                  <w:t>8</w:t>
                </w:r>
                <w:r>
                  <w:rPr>
                    <w:rFonts w:hint="eastAsia"/>
                  </w:rPr>
                  <w:t>日，新疆能化所持有的新疆准东煤田奇台县黄草湖一至十一勘查区勘探探矿权有效期已经届满。转让方承诺将积极敦促并协助新疆能化尽快完成探矿权变更登记手续，如新疆能化在本次交易交割日后因无法完成或无法按时完成上述探矿权变更登记手续受到损失，则届时由转让方向受让方予以补偿。</w:t>
                </w:r>
              </w:p>
              <w:p w14:paraId="02FCB822" w14:textId="77777777" w:rsidR="00B201D3" w:rsidRDefault="009855E8">
                <w:pPr>
                  <w:jc w:val="both"/>
                </w:pPr>
                <w:r>
                  <w:rPr>
                    <w:rFonts w:hint="eastAsia"/>
                  </w:rPr>
                  <w:t>2．除已扣减矿业权出让收益的矿业权外，就保盛煤矿、红山洼煤矿两宗有偿处置过的矿业权，在本次交易交割日后，如被相关主管部门就在本次交易中相关采矿权评估范围内的资源储量征收矿业权出让收益且前述出让收益未在本次交易审计报告中体现，则：（1）转让方将按照该等下属子公司被征收出让收益金额，在明确缴纳义务后的30日内向受让方现金补偿（补偿金额为被征收出让收益金额×51%×新疆能化持有新疆矿业的股权比例）；（2）就届时本次交易对应资源储量中剩余的尚未按矿产品销售时的矿业权出让收益率计算征收的部分（如涉及），由转让方一并向受让方现金补偿；（3）转让方向受让方补偿的金额应以《股权转让协议》依据的评估报告引用的矿业权评估报告所载金额×51%×新疆能化持有新疆矿业的股权比例为限。</w:t>
                </w:r>
              </w:p>
            </w:tc>
            <w:tc>
              <w:tcPr>
                <w:tcW w:w="375" w:type="pct"/>
                <w:shd w:val="clear" w:color="auto" w:fill="auto"/>
              </w:tcPr>
              <w:p w14:paraId="343094EB" w14:textId="41EE9E08" w:rsidR="00B201D3" w:rsidRDefault="009855E8">
                <w:pPr>
                  <w:jc w:val="both"/>
                  <w:rPr>
                    <w:rFonts w:asciiTheme="minorEastAsia" w:eastAsiaTheme="minorEastAsia" w:hAnsiTheme="minorEastAsia"/>
                  </w:rPr>
                </w:pPr>
                <w:r>
                  <w:rPr>
                    <w:rFonts w:asciiTheme="minorEastAsia" w:eastAsiaTheme="minorEastAsia" w:hAnsiTheme="minorEastAsia"/>
                  </w:rPr>
                  <w:t>2023年4月28日</w:t>
                </w:r>
                <w:r w:rsidR="00431878">
                  <w:rPr>
                    <w:rFonts w:asciiTheme="minorEastAsia" w:eastAsiaTheme="minorEastAsia" w:hAnsiTheme="minorEastAsia" w:hint="eastAsia"/>
                  </w:rPr>
                  <w:t>，</w:t>
                </w:r>
              </w:p>
              <w:p w14:paraId="46CDC76D" w14:textId="77777777" w:rsidR="00B201D3" w:rsidRDefault="009855E8">
                <w:pPr>
                  <w:jc w:val="both"/>
                  <w:rPr>
                    <w:rFonts w:asciiTheme="minorEastAsia" w:eastAsiaTheme="minorEastAsia" w:hAnsiTheme="minorEastAsia"/>
                  </w:rPr>
                </w:pPr>
                <w:r>
                  <w:rPr>
                    <w:rFonts w:asciiTheme="minorEastAsia" w:eastAsiaTheme="minorEastAsia" w:hAnsiTheme="minorEastAsia"/>
                  </w:rPr>
                  <w:t>长期有效</w:t>
                </w:r>
              </w:p>
            </w:tc>
            <w:sdt>
              <w:sdtPr>
                <w:rPr>
                  <w:rFonts w:asciiTheme="minorEastAsia" w:eastAsiaTheme="minorEastAsia" w:hAnsiTheme="minorEastAsia"/>
                </w:rPr>
                <w:alias w:val="与收购报告书或权益变动报告书相关承诺-是否有履行期限"/>
                <w:tag w:val="_GBC_e3c53a81843746098b3d32e7645ee92f"/>
                <w:id w:val="-1406832861"/>
                <w:lock w:val="sdtLocked"/>
                <w:comboBox>
                  <w:listItem w:displayText="是" w:value="true"/>
                  <w:listItem w:displayText="否" w:value="false"/>
                </w:comboBox>
              </w:sdtPr>
              <w:sdtEndPr/>
              <w:sdtContent>
                <w:tc>
                  <w:tcPr>
                    <w:tcW w:w="281" w:type="pct"/>
                    <w:shd w:val="clear" w:color="auto" w:fill="auto"/>
                  </w:tcPr>
                  <w:p w14:paraId="5F687916" w14:textId="5616C56D" w:rsidR="00B201D3" w:rsidRDefault="00F46283">
                    <w:pPr>
                      <w:jc w:val="both"/>
                      <w:rPr>
                        <w:rFonts w:asciiTheme="minorEastAsia" w:eastAsiaTheme="minorEastAsia" w:hAnsiTheme="minorEastAsia"/>
                      </w:rPr>
                    </w:pPr>
                    <w:r>
                      <w:rPr>
                        <w:rFonts w:asciiTheme="minorEastAsia" w:eastAsiaTheme="minorEastAsia" w:hAnsiTheme="minorEastAsia"/>
                      </w:rPr>
                      <w:t>否</w:t>
                    </w:r>
                  </w:p>
                </w:tc>
              </w:sdtContent>
            </w:sdt>
            <w:sdt>
              <w:sdtPr>
                <w:rPr>
                  <w:rFonts w:asciiTheme="minorEastAsia" w:eastAsiaTheme="minorEastAsia" w:hAnsiTheme="minorEastAsia"/>
                </w:rPr>
                <w:alias w:val="与收购报告书或权益变动报告书相关承诺-是否及时严格履行"/>
                <w:tag w:val="_GBC_273adbc65ae043908b43ba0e0c47d626"/>
                <w:id w:val="-204718193"/>
                <w:lock w:val="sdtLocked"/>
                <w:comboBox>
                  <w:listItem w:displayText="是" w:value="true"/>
                  <w:listItem w:displayText="否" w:value="false"/>
                </w:comboBox>
              </w:sdtPr>
              <w:sdtEndPr/>
              <w:sdtContent>
                <w:tc>
                  <w:tcPr>
                    <w:tcW w:w="328" w:type="pct"/>
                    <w:shd w:val="clear" w:color="auto" w:fill="auto"/>
                  </w:tcPr>
                  <w:p w14:paraId="45FA2EB0" w14:textId="3D954EA6" w:rsidR="00B201D3" w:rsidRDefault="00F46283">
                    <w:pPr>
                      <w:jc w:val="both"/>
                      <w:rPr>
                        <w:rFonts w:asciiTheme="minorEastAsia" w:eastAsiaTheme="minorEastAsia" w:hAnsiTheme="minorEastAsia"/>
                      </w:rPr>
                    </w:pPr>
                    <w:r>
                      <w:rPr>
                        <w:rFonts w:asciiTheme="minorEastAsia" w:eastAsiaTheme="minorEastAsia" w:hAnsiTheme="minorEastAsia"/>
                      </w:rPr>
                      <w:t>是</w:t>
                    </w:r>
                  </w:p>
                </w:tc>
              </w:sdtContent>
            </w:sdt>
            <w:tc>
              <w:tcPr>
                <w:tcW w:w="469" w:type="pct"/>
                <w:shd w:val="clear" w:color="auto" w:fill="auto"/>
              </w:tcPr>
              <w:p w14:paraId="29DDECC8" w14:textId="77777777" w:rsidR="00B201D3" w:rsidRDefault="009855E8">
                <w:pPr>
                  <w:jc w:val="both"/>
                </w:pPr>
                <w:r>
                  <w:rPr>
                    <w:rFonts w:hint="eastAsia"/>
                  </w:rPr>
                  <w:t>就黄草湖探矿权续期承诺，新疆能化已于2023年5月完成续期。承诺其他部分正常履行。</w:t>
                </w:r>
              </w:p>
            </w:tc>
            <w:tc>
              <w:tcPr>
                <w:tcW w:w="365" w:type="pct"/>
                <w:shd w:val="clear" w:color="auto" w:fill="auto"/>
              </w:tcPr>
              <w:p w14:paraId="41D17C23" w14:textId="77777777" w:rsidR="00B201D3" w:rsidRDefault="009855E8">
                <w:pPr>
                  <w:jc w:val="both"/>
                  <w:rPr>
                    <w:rFonts w:asciiTheme="minorEastAsia" w:eastAsiaTheme="minorEastAsia" w:hAnsiTheme="minorEastAsia"/>
                  </w:rPr>
                </w:pPr>
                <w:r>
                  <w:rPr>
                    <w:rFonts w:asciiTheme="minorEastAsia" w:eastAsiaTheme="minorEastAsia" w:hAnsiTheme="minorEastAsia"/>
                  </w:rPr>
                  <w:t>无</w:t>
                </w:r>
              </w:p>
            </w:tc>
          </w:tr>
          <w:tr w:rsidR="00B201D3" w14:paraId="7FF85755" w14:textId="77777777">
            <w:tc>
              <w:tcPr>
                <w:tcW w:w="417" w:type="pct"/>
                <w:vMerge w:val="restart"/>
                <w:shd w:val="clear" w:color="auto" w:fill="auto"/>
                <w:vAlign w:val="center"/>
              </w:tcPr>
              <w:p w14:paraId="7BEEDA5F" w14:textId="77777777" w:rsidR="00B201D3" w:rsidRDefault="009855E8">
                <w:pPr>
                  <w:jc w:val="both"/>
                  <w:rPr>
                    <w:rFonts w:asciiTheme="minorEastAsia" w:eastAsiaTheme="minorEastAsia" w:hAnsiTheme="minorEastAsia"/>
                  </w:rPr>
                </w:pPr>
                <w:r>
                  <w:rPr>
                    <w:rFonts w:asciiTheme="minorEastAsia" w:eastAsiaTheme="minorEastAsia" w:hAnsiTheme="minorEastAsia" w:hint="eastAsia"/>
                  </w:rPr>
                  <w:t>其他承诺</w:t>
                </w:r>
              </w:p>
            </w:tc>
            <w:sdt>
              <w:sdtPr>
                <w:rPr>
                  <w:rFonts w:asciiTheme="minorEastAsia" w:eastAsiaTheme="minorEastAsia" w:hAnsiTheme="minorEastAsia"/>
                </w:rPr>
                <w:alias w:val="与重大资产重组相关的承诺-承诺类型"/>
                <w:tag w:val="_GBC_c986a55468114c2fbf6186df07b763ce"/>
                <w:id w:val="-166284801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28" w:type="pct"/>
                    <w:shd w:val="clear" w:color="auto" w:fill="auto"/>
                    <w:vAlign w:val="center"/>
                  </w:tcPr>
                  <w:p w14:paraId="153C7A68" w14:textId="3004E258" w:rsidR="00B201D3" w:rsidRDefault="00F46283">
                    <w:pPr>
                      <w:jc w:val="both"/>
                      <w:rPr>
                        <w:rFonts w:asciiTheme="minorEastAsia" w:eastAsiaTheme="minorEastAsia" w:hAnsiTheme="minorEastAsia"/>
                        <w:color w:val="FFC000"/>
                      </w:rPr>
                    </w:pPr>
                    <w:r>
                      <w:rPr>
                        <w:rFonts w:asciiTheme="minorEastAsia" w:eastAsiaTheme="minorEastAsia" w:hAnsiTheme="minorEastAsia"/>
                      </w:rPr>
                      <w:t>其他</w:t>
                    </w:r>
                  </w:p>
                </w:tc>
              </w:sdtContent>
            </w:sdt>
            <w:tc>
              <w:tcPr>
                <w:tcW w:w="421" w:type="pct"/>
                <w:shd w:val="clear" w:color="auto" w:fill="auto"/>
                <w:vAlign w:val="center"/>
              </w:tcPr>
              <w:p w14:paraId="4C30A00D" w14:textId="77777777" w:rsidR="00B201D3" w:rsidRDefault="009855E8">
                <w:pPr>
                  <w:jc w:val="both"/>
                  <w:rPr>
                    <w:rFonts w:asciiTheme="minorEastAsia" w:eastAsiaTheme="minorEastAsia" w:hAnsiTheme="minorEastAsia"/>
                  </w:rPr>
                </w:pPr>
                <w:r>
                  <w:rPr>
                    <w:rFonts w:asciiTheme="minorEastAsia" w:eastAsiaTheme="minorEastAsia" w:hAnsiTheme="minorEastAsia" w:hint="eastAsia"/>
                  </w:rPr>
                  <w:t>新汶矿业集团有限责任公司、龙口矿业集团有限公司、淄博矿业集团有限责任公司、肥城肥矿煤</w:t>
                </w:r>
                <w:r>
                  <w:rPr>
                    <w:rFonts w:asciiTheme="minorEastAsia" w:eastAsiaTheme="minorEastAsia" w:hAnsiTheme="minorEastAsia" w:hint="eastAsia"/>
                  </w:rPr>
                  <w:lastRenderedPageBreak/>
                  <w:t>业有限公司、临沂矿业集团有限责任公司（以下合称“</w:t>
                </w:r>
                <w:r>
                  <w:rPr>
                    <w:rFonts w:asciiTheme="minorEastAsia" w:eastAsiaTheme="minorEastAsia" w:hAnsiTheme="minorEastAsia" w:hint="eastAsia"/>
                    <w:bCs/>
                  </w:rPr>
                  <w:t>转让方</w:t>
                </w:r>
                <w:r>
                  <w:rPr>
                    <w:rFonts w:asciiTheme="minorEastAsia" w:eastAsiaTheme="minorEastAsia" w:hAnsiTheme="minorEastAsia" w:hint="eastAsia"/>
                  </w:rPr>
                  <w:t>”）</w:t>
                </w:r>
              </w:p>
            </w:tc>
            <w:tc>
              <w:tcPr>
                <w:tcW w:w="2016" w:type="pct"/>
                <w:shd w:val="clear" w:color="auto" w:fill="auto"/>
                <w:vAlign w:val="center"/>
              </w:tcPr>
              <w:p w14:paraId="0078FC60" w14:textId="77777777" w:rsidR="00B201D3" w:rsidRDefault="009855E8">
                <w:pPr>
                  <w:jc w:val="both"/>
                </w:pPr>
                <w:r>
                  <w:rPr>
                    <w:rFonts w:hint="eastAsia"/>
                  </w:rPr>
                  <w:lastRenderedPageBreak/>
                  <w:t>转让方就鲁西矿业（“目标公司”）未来三年经营业绩作出如下承诺：</w:t>
                </w:r>
              </w:p>
              <w:p w14:paraId="3C76A6B2" w14:textId="77777777" w:rsidR="00B201D3" w:rsidRDefault="009855E8">
                <w:pPr>
                  <w:jc w:val="both"/>
                </w:pPr>
                <w:r>
                  <w:rPr>
                    <w:rFonts w:hint="eastAsia"/>
                  </w:rPr>
                  <w:t>1．2023年度、2024年度、2025年度（“承诺期”），按中国会计准则计算，目标公司对应的经审计的扣除非经常性损益后归属于母公司股东的净利润（“净利润”）承诺期累计不低于人民币1,142,480.14万元（“承诺期累计承诺净利润”）。</w:t>
                </w:r>
              </w:p>
              <w:p w14:paraId="2EE5E0DE" w14:textId="77777777" w:rsidR="00B201D3" w:rsidRDefault="009855E8">
                <w:pPr>
                  <w:jc w:val="both"/>
                </w:pPr>
                <w:r>
                  <w:rPr>
                    <w:rFonts w:hint="eastAsia"/>
                  </w:rPr>
                  <w:t>2．若目标公司在承诺期内累计实现净利润未达到承诺期累计承诺净利润，转让方将以现金方式向兖矿能源进行补偿。具体补偿金额按照以下方式计算：</w:t>
                </w:r>
              </w:p>
              <w:p w14:paraId="43F080A9" w14:textId="77777777" w:rsidR="00B201D3" w:rsidRDefault="009855E8">
                <w:pPr>
                  <w:jc w:val="both"/>
                </w:pPr>
                <w:r>
                  <w:rPr>
                    <w:rFonts w:hint="eastAsia"/>
                  </w:rPr>
                  <w:lastRenderedPageBreak/>
                  <w:t>承诺期业绩补偿金额=（承诺期累计承诺净利润-承诺期累计实现净利润）÷承诺期累计承诺净利润×标的股权交易作价-其他已补偿金额。</w:t>
                </w:r>
              </w:p>
            </w:tc>
            <w:tc>
              <w:tcPr>
                <w:tcW w:w="375" w:type="pct"/>
                <w:shd w:val="clear" w:color="auto" w:fill="auto"/>
              </w:tcPr>
              <w:p w14:paraId="2F5535AF" w14:textId="77777777" w:rsidR="00431878" w:rsidRDefault="00431878" w:rsidP="00431878">
                <w:pPr>
                  <w:jc w:val="both"/>
                  <w:rPr>
                    <w:rFonts w:asciiTheme="minorEastAsia" w:eastAsiaTheme="minorEastAsia" w:hAnsiTheme="minorEastAsia"/>
                  </w:rPr>
                </w:pPr>
                <w:r>
                  <w:rPr>
                    <w:rFonts w:asciiTheme="minorEastAsia" w:eastAsiaTheme="minorEastAsia" w:hAnsiTheme="minorEastAsia"/>
                  </w:rPr>
                  <w:lastRenderedPageBreak/>
                  <w:t>2023年4月28日</w:t>
                </w:r>
                <w:r>
                  <w:rPr>
                    <w:rFonts w:asciiTheme="minorEastAsia" w:eastAsiaTheme="minorEastAsia" w:hAnsiTheme="minorEastAsia" w:hint="eastAsia"/>
                  </w:rPr>
                  <w:t>，</w:t>
                </w:r>
              </w:p>
              <w:p w14:paraId="7C84AF54" w14:textId="77777777" w:rsidR="00B201D3" w:rsidRDefault="009855E8">
                <w:pPr>
                  <w:jc w:val="both"/>
                  <w:rPr>
                    <w:rFonts w:asciiTheme="minorEastAsia" w:eastAsiaTheme="minorEastAsia" w:hAnsiTheme="minorEastAsia"/>
                  </w:rPr>
                </w:pPr>
                <w:r>
                  <w:rPr>
                    <w:rFonts w:asciiTheme="minorEastAsia" w:eastAsiaTheme="minorEastAsia" w:hAnsiTheme="minorEastAsia" w:hint="eastAsia"/>
                  </w:rPr>
                  <w:t>2023-2025年度</w:t>
                </w:r>
              </w:p>
            </w:tc>
            <w:sdt>
              <w:sdtPr>
                <w:rPr>
                  <w:rFonts w:asciiTheme="minorEastAsia" w:eastAsiaTheme="minorEastAsia" w:hAnsiTheme="minorEastAsia"/>
                </w:rPr>
                <w:alias w:val="与重大资产重组相关的承诺-是否有履行期限"/>
                <w:tag w:val="_GBC_79e4c1ac8ad34fc58bc66e725cb673e1"/>
                <w:id w:val="-1934585883"/>
                <w:lock w:val="sdtLocked"/>
                <w:comboBox>
                  <w:listItem w:displayText="是" w:value="true"/>
                  <w:listItem w:displayText="否" w:value="false"/>
                </w:comboBox>
              </w:sdtPr>
              <w:sdtEndPr/>
              <w:sdtContent>
                <w:tc>
                  <w:tcPr>
                    <w:tcW w:w="281" w:type="pct"/>
                    <w:shd w:val="clear" w:color="auto" w:fill="auto"/>
                  </w:tcPr>
                  <w:p w14:paraId="094724DA" w14:textId="3F60CE13" w:rsidR="00B201D3" w:rsidRDefault="00F46283">
                    <w:pPr>
                      <w:jc w:val="both"/>
                      <w:rPr>
                        <w:rFonts w:asciiTheme="minorEastAsia" w:eastAsiaTheme="minorEastAsia" w:hAnsiTheme="minorEastAsia"/>
                        <w:color w:val="FFC000"/>
                      </w:rPr>
                    </w:pPr>
                    <w:r>
                      <w:rPr>
                        <w:rFonts w:asciiTheme="minorEastAsia" w:eastAsiaTheme="minorEastAsia" w:hAnsiTheme="minorEastAsia"/>
                      </w:rPr>
                      <w:t>是</w:t>
                    </w:r>
                  </w:p>
                </w:tc>
              </w:sdtContent>
            </w:sdt>
            <w:sdt>
              <w:sdtPr>
                <w:rPr>
                  <w:rFonts w:asciiTheme="minorEastAsia" w:eastAsiaTheme="minorEastAsia" w:hAnsiTheme="minorEastAsia"/>
                </w:rPr>
                <w:alias w:val="与重大资产重组相关的承诺-是否及时严格履行"/>
                <w:tag w:val="_GBC_1aabacc96fa447b3965eabf1922b74c1"/>
                <w:id w:val="-1607882099"/>
                <w:lock w:val="sdtLocked"/>
                <w:comboBox>
                  <w:listItem w:displayText="是" w:value="true"/>
                  <w:listItem w:displayText="否" w:value="false"/>
                </w:comboBox>
              </w:sdtPr>
              <w:sdtEndPr/>
              <w:sdtContent>
                <w:tc>
                  <w:tcPr>
                    <w:tcW w:w="328" w:type="pct"/>
                    <w:shd w:val="clear" w:color="auto" w:fill="auto"/>
                  </w:tcPr>
                  <w:p w14:paraId="095D7213" w14:textId="30CC9ECF" w:rsidR="00B201D3" w:rsidRDefault="00F46283">
                    <w:pPr>
                      <w:jc w:val="both"/>
                      <w:rPr>
                        <w:rFonts w:asciiTheme="minorEastAsia" w:eastAsiaTheme="minorEastAsia" w:hAnsiTheme="minorEastAsia"/>
                        <w:color w:val="FFC000"/>
                      </w:rPr>
                    </w:pPr>
                    <w:r>
                      <w:rPr>
                        <w:rFonts w:asciiTheme="minorEastAsia" w:eastAsiaTheme="minorEastAsia" w:hAnsiTheme="minorEastAsia"/>
                      </w:rPr>
                      <w:t>是</w:t>
                    </w:r>
                  </w:p>
                </w:tc>
              </w:sdtContent>
            </w:sdt>
            <w:tc>
              <w:tcPr>
                <w:tcW w:w="469" w:type="pct"/>
                <w:shd w:val="clear" w:color="auto" w:fill="auto"/>
              </w:tcPr>
              <w:p w14:paraId="60EE0330" w14:textId="77777777" w:rsidR="00B201D3" w:rsidRDefault="009855E8">
                <w:pPr>
                  <w:jc w:val="both"/>
                  <w:rPr>
                    <w:rFonts w:asciiTheme="minorEastAsia" w:eastAsiaTheme="minorEastAsia" w:hAnsiTheme="minorEastAsia"/>
                  </w:rPr>
                </w:pPr>
                <w:r>
                  <w:rPr>
                    <w:rFonts w:asciiTheme="minorEastAsia" w:eastAsiaTheme="minorEastAsia" w:hAnsiTheme="minorEastAsia"/>
                  </w:rPr>
                  <w:t>正常履行</w:t>
                </w:r>
              </w:p>
            </w:tc>
            <w:tc>
              <w:tcPr>
                <w:tcW w:w="365" w:type="pct"/>
                <w:shd w:val="clear" w:color="auto" w:fill="auto"/>
              </w:tcPr>
              <w:p w14:paraId="25FD42CC" w14:textId="77777777" w:rsidR="00B201D3" w:rsidRDefault="009855E8">
                <w:pPr>
                  <w:jc w:val="both"/>
                  <w:rPr>
                    <w:rFonts w:asciiTheme="minorEastAsia" w:eastAsiaTheme="minorEastAsia" w:hAnsiTheme="minorEastAsia"/>
                  </w:rPr>
                </w:pPr>
                <w:r>
                  <w:rPr>
                    <w:rFonts w:asciiTheme="minorEastAsia" w:eastAsiaTheme="minorEastAsia" w:hAnsiTheme="minorEastAsia"/>
                  </w:rPr>
                  <w:t>无</w:t>
                </w:r>
              </w:p>
            </w:tc>
          </w:tr>
          <w:tr w:rsidR="00B201D3" w14:paraId="47525E7D" w14:textId="77777777">
            <w:tc>
              <w:tcPr>
                <w:tcW w:w="417" w:type="pct"/>
                <w:vMerge/>
                <w:shd w:val="clear" w:color="auto" w:fill="auto"/>
                <w:vAlign w:val="center"/>
              </w:tcPr>
              <w:p w14:paraId="753B662A" w14:textId="77777777" w:rsidR="00B201D3" w:rsidRDefault="00B201D3">
                <w:pPr>
                  <w:jc w:val="both"/>
                  <w:rPr>
                    <w:rFonts w:asciiTheme="minorEastAsia" w:eastAsiaTheme="minorEastAsia" w:hAnsiTheme="minorEastAsia"/>
                  </w:rPr>
                </w:pPr>
              </w:p>
            </w:tc>
            <w:sdt>
              <w:sdtPr>
                <w:rPr>
                  <w:rFonts w:asciiTheme="minorEastAsia" w:eastAsiaTheme="minorEastAsia" w:hAnsiTheme="minorEastAsia"/>
                </w:rPr>
                <w:alias w:val="与重大资产重组相关的承诺-承诺类型"/>
                <w:tag w:val="_GBC_c986a55468114c2fbf6186df07b763ce"/>
                <w:id w:val="109259294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sdtContent>
                <w:tc>
                  <w:tcPr>
                    <w:tcW w:w="328" w:type="pct"/>
                    <w:shd w:val="clear" w:color="auto" w:fill="auto"/>
                    <w:vAlign w:val="center"/>
                  </w:tcPr>
                  <w:p w14:paraId="02CB5711" w14:textId="63F22B85" w:rsidR="00B201D3" w:rsidRDefault="00F46283">
                    <w:pPr>
                      <w:jc w:val="both"/>
                      <w:rPr>
                        <w:rFonts w:asciiTheme="minorEastAsia" w:eastAsiaTheme="minorEastAsia" w:hAnsiTheme="minorEastAsia"/>
                        <w:color w:val="FFC000"/>
                      </w:rPr>
                    </w:pPr>
                    <w:r>
                      <w:rPr>
                        <w:rFonts w:asciiTheme="minorEastAsia" w:eastAsiaTheme="minorEastAsia" w:hAnsiTheme="minorEastAsia"/>
                      </w:rPr>
                      <w:t>其他</w:t>
                    </w:r>
                  </w:p>
                </w:tc>
              </w:sdtContent>
            </w:sdt>
            <w:tc>
              <w:tcPr>
                <w:tcW w:w="421" w:type="pct"/>
                <w:shd w:val="clear" w:color="auto" w:fill="auto"/>
                <w:vAlign w:val="center"/>
              </w:tcPr>
              <w:p w14:paraId="4DD7D9C0" w14:textId="77777777" w:rsidR="00B201D3" w:rsidRDefault="009855E8">
                <w:pPr>
                  <w:jc w:val="both"/>
                  <w:rPr>
                    <w:rFonts w:asciiTheme="minorEastAsia" w:eastAsiaTheme="minorEastAsia" w:hAnsiTheme="minorEastAsia"/>
                  </w:rPr>
                </w:pPr>
                <w:r>
                  <w:rPr>
                    <w:rFonts w:asciiTheme="minorEastAsia" w:eastAsiaTheme="minorEastAsia" w:hAnsiTheme="minorEastAsia" w:hint="eastAsia"/>
                  </w:rPr>
                  <w:t>新汶矿业集团有限责任公司、山东能源集团有限公司（以下合称“转让方”）</w:t>
                </w:r>
              </w:p>
            </w:tc>
            <w:tc>
              <w:tcPr>
                <w:tcW w:w="2016" w:type="pct"/>
                <w:shd w:val="clear" w:color="auto" w:fill="auto"/>
                <w:vAlign w:val="center"/>
              </w:tcPr>
              <w:p w14:paraId="6CC98BE4" w14:textId="77777777" w:rsidR="00B201D3" w:rsidRDefault="009855E8">
                <w:pPr>
                  <w:jc w:val="both"/>
                </w:pPr>
                <w:r>
                  <w:rPr>
                    <w:rFonts w:hint="eastAsia"/>
                  </w:rPr>
                  <w:t>转让方就新疆能化（“目标公司”）未来三年经营业绩作出如下承诺：</w:t>
                </w:r>
              </w:p>
              <w:p w14:paraId="0B08A550" w14:textId="77777777" w:rsidR="00B201D3" w:rsidRDefault="009855E8">
                <w:pPr>
                  <w:jc w:val="both"/>
                </w:pPr>
                <w:r>
                  <w:rPr>
                    <w:rFonts w:hint="eastAsia"/>
                  </w:rPr>
                  <w:t>1．2023年度、2024年度、2025年度（“承诺期”），按中国会计准则计算，目标公司对应的经审计的扣除非经常性损益后归属于母公司股东的净利润（“净利润”）承诺期累计不低于人民币401,345.61万元（“承诺期累计承诺净利润”）。</w:t>
                </w:r>
              </w:p>
              <w:p w14:paraId="65BAAEB9" w14:textId="77777777" w:rsidR="00B201D3" w:rsidRDefault="009855E8">
                <w:pPr>
                  <w:jc w:val="both"/>
                </w:pPr>
                <w:r>
                  <w:rPr>
                    <w:rFonts w:hint="eastAsia"/>
                  </w:rPr>
                  <w:t>2．若目标公司在承诺期内累计实现净利润未达到承诺期累计承诺净利润，转让方将以现金方式向兖矿能源进行补偿，具体补偿金额按照以下方式计算：</w:t>
                </w:r>
              </w:p>
              <w:p w14:paraId="45CDE60B" w14:textId="77777777" w:rsidR="00B201D3" w:rsidRDefault="009855E8">
                <w:pPr>
                  <w:jc w:val="both"/>
                </w:pPr>
                <w:r>
                  <w:rPr>
                    <w:rFonts w:hint="eastAsia"/>
                  </w:rPr>
                  <w:t>承诺期业绩补偿金额=（承诺期累计承诺净利润-承诺期累计实现净利润）÷承诺期累计承诺净利润×标的股权交易作价-其他已补偿金额。</w:t>
                </w:r>
              </w:p>
            </w:tc>
            <w:tc>
              <w:tcPr>
                <w:tcW w:w="375" w:type="pct"/>
                <w:shd w:val="clear" w:color="auto" w:fill="auto"/>
              </w:tcPr>
              <w:p w14:paraId="3D5DC816" w14:textId="77777777" w:rsidR="00431878" w:rsidRDefault="00431878" w:rsidP="00431878">
                <w:pPr>
                  <w:jc w:val="both"/>
                  <w:rPr>
                    <w:rFonts w:asciiTheme="minorEastAsia" w:eastAsiaTheme="minorEastAsia" w:hAnsiTheme="minorEastAsia"/>
                  </w:rPr>
                </w:pPr>
                <w:r>
                  <w:rPr>
                    <w:rFonts w:asciiTheme="minorEastAsia" w:eastAsiaTheme="minorEastAsia" w:hAnsiTheme="minorEastAsia"/>
                  </w:rPr>
                  <w:t>2023年4月28日</w:t>
                </w:r>
                <w:r>
                  <w:rPr>
                    <w:rFonts w:asciiTheme="minorEastAsia" w:eastAsiaTheme="minorEastAsia" w:hAnsiTheme="minorEastAsia" w:hint="eastAsia"/>
                  </w:rPr>
                  <w:t>，</w:t>
                </w:r>
              </w:p>
              <w:p w14:paraId="06FF10FC" w14:textId="77777777" w:rsidR="00B201D3" w:rsidRDefault="009855E8">
                <w:pPr>
                  <w:jc w:val="both"/>
                  <w:rPr>
                    <w:rFonts w:asciiTheme="minorEastAsia" w:eastAsiaTheme="minorEastAsia" w:hAnsiTheme="minorEastAsia"/>
                  </w:rPr>
                </w:pPr>
                <w:r>
                  <w:rPr>
                    <w:rFonts w:asciiTheme="minorEastAsia" w:eastAsiaTheme="minorEastAsia" w:hAnsiTheme="minorEastAsia" w:hint="eastAsia"/>
                  </w:rPr>
                  <w:t>2023-2025年度</w:t>
                </w:r>
              </w:p>
            </w:tc>
            <w:sdt>
              <w:sdtPr>
                <w:rPr>
                  <w:rFonts w:asciiTheme="minorEastAsia" w:eastAsiaTheme="minorEastAsia" w:hAnsiTheme="minorEastAsia"/>
                </w:rPr>
                <w:alias w:val="与重大资产重组相关的承诺-是否有履行期限"/>
                <w:tag w:val="_GBC_79e4c1ac8ad34fc58bc66e725cb673e1"/>
                <w:id w:val="-433054018"/>
                <w:lock w:val="sdtLocked"/>
                <w:comboBox>
                  <w:listItem w:displayText="是" w:value="true"/>
                  <w:listItem w:displayText="否" w:value="false"/>
                </w:comboBox>
              </w:sdtPr>
              <w:sdtEndPr/>
              <w:sdtContent>
                <w:tc>
                  <w:tcPr>
                    <w:tcW w:w="281" w:type="pct"/>
                    <w:shd w:val="clear" w:color="auto" w:fill="auto"/>
                  </w:tcPr>
                  <w:p w14:paraId="023B56FD" w14:textId="1BE3CD44" w:rsidR="00B201D3" w:rsidRDefault="00F46283">
                    <w:pPr>
                      <w:jc w:val="both"/>
                      <w:rPr>
                        <w:rFonts w:asciiTheme="minorEastAsia" w:eastAsiaTheme="minorEastAsia" w:hAnsiTheme="minorEastAsia"/>
                        <w:color w:val="FFC000"/>
                      </w:rPr>
                    </w:pPr>
                    <w:r>
                      <w:rPr>
                        <w:rFonts w:asciiTheme="minorEastAsia" w:eastAsiaTheme="minorEastAsia" w:hAnsiTheme="minorEastAsia"/>
                      </w:rPr>
                      <w:t>是</w:t>
                    </w:r>
                  </w:p>
                </w:tc>
              </w:sdtContent>
            </w:sdt>
            <w:sdt>
              <w:sdtPr>
                <w:rPr>
                  <w:rFonts w:asciiTheme="minorEastAsia" w:eastAsiaTheme="minorEastAsia" w:hAnsiTheme="minorEastAsia"/>
                </w:rPr>
                <w:alias w:val="与重大资产重组相关的承诺-是否及时严格履行"/>
                <w:tag w:val="_GBC_1aabacc96fa447b3965eabf1922b74c1"/>
                <w:id w:val="-1208183396"/>
                <w:lock w:val="sdtLocked"/>
                <w:comboBox>
                  <w:listItem w:displayText="是" w:value="true"/>
                  <w:listItem w:displayText="否" w:value="false"/>
                </w:comboBox>
              </w:sdtPr>
              <w:sdtEndPr/>
              <w:sdtContent>
                <w:tc>
                  <w:tcPr>
                    <w:tcW w:w="328" w:type="pct"/>
                    <w:shd w:val="clear" w:color="auto" w:fill="auto"/>
                  </w:tcPr>
                  <w:p w14:paraId="3984C74E" w14:textId="23D5EF97" w:rsidR="00B201D3" w:rsidRDefault="00F46283">
                    <w:pPr>
                      <w:jc w:val="both"/>
                      <w:rPr>
                        <w:rFonts w:asciiTheme="minorEastAsia" w:eastAsiaTheme="minorEastAsia" w:hAnsiTheme="minorEastAsia"/>
                        <w:color w:val="FFC000"/>
                      </w:rPr>
                    </w:pPr>
                    <w:r>
                      <w:rPr>
                        <w:rFonts w:asciiTheme="minorEastAsia" w:eastAsiaTheme="minorEastAsia" w:hAnsiTheme="minorEastAsia"/>
                      </w:rPr>
                      <w:t>是</w:t>
                    </w:r>
                  </w:p>
                </w:tc>
              </w:sdtContent>
            </w:sdt>
            <w:tc>
              <w:tcPr>
                <w:tcW w:w="469" w:type="pct"/>
                <w:shd w:val="clear" w:color="auto" w:fill="auto"/>
              </w:tcPr>
              <w:p w14:paraId="35DED94D" w14:textId="77777777" w:rsidR="00B201D3" w:rsidRDefault="009855E8">
                <w:pPr>
                  <w:jc w:val="both"/>
                  <w:rPr>
                    <w:rFonts w:asciiTheme="minorEastAsia" w:eastAsiaTheme="minorEastAsia" w:hAnsiTheme="minorEastAsia"/>
                  </w:rPr>
                </w:pPr>
                <w:r>
                  <w:rPr>
                    <w:rFonts w:asciiTheme="minorEastAsia" w:eastAsiaTheme="minorEastAsia" w:hAnsiTheme="minorEastAsia"/>
                  </w:rPr>
                  <w:t>正常履行</w:t>
                </w:r>
              </w:p>
            </w:tc>
            <w:tc>
              <w:tcPr>
                <w:tcW w:w="365" w:type="pct"/>
                <w:shd w:val="clear" w:color="auto" w:fill="auto"/>
              </w:tcPr>
              <w:p w14:paraId="414320E9" w14:textId="77777777" w:rsidR="00B201D3" w:rsidRDefault="009855E8">
                <w:pPr>
                  <w:jc w:val="both"/>
                  <w:rPr>
                    <w:rFonts w:asciiTheme="minorEastAsia" w:eastAsiaTheme="minorEastAsia" w:hAnsiTheme="minorEastAsia"/>
                  </w:rPr>
                </w:pPr>
                <w:r>
                  <w:rPr>
                    <w:rFonts w:asciiTheme="minorEastAsia" w:eastAsiaTheme="minorEastAsia" w:hAnsiTheme="minorEastAsia"/>
                  </w:rPr>
                  <w:t>无</w:t>
                </w:r>
              </w:p>
            </w:tc>
          </w:tr>
        </w:tbl>
        <w:p w14:paraId="3DFFC511" w14:textId="77777777" w:rsidR="00B201D3" w:rsidRDefault="00B201D3">
          <w:pPr>
            <w:jc w:val="both"/>
            <w:rPr>
              <w:rFonts w:asciiTheme="minorEastAsia" w:eastAsiaTheme="minorEastAsia" w:hAnsiTheme="minorEastAsia"/>
            </w:rPr>
          </w:pPr>
        </w:p>
        <w:p w14:paraId="1837E6FC" w14:textId="77777777" w:rsidR="00B201D3" w:rsidRDefault="009855E8">
          <w:r>
            <w:rPr>
              <w:rFonts w:hint="eastAsia"/>
            </w:rPr>
            <w:t>注：关于公司收购鲁西矿业51%股权及新疆能化51%股权交易中转让方作出的承诺，有关详情请见公司日期为2023年4月2</w:t>
          </w:r>
          <w:r>
            <w:t>8</w:t>
          </w:r>
          <w:r>
            <w:rPr>
              <w:rFonts w:hint="eastAsia"/>
            </w:rPr>
            <w:t>日的关联交易公告。</w:t>
          </w:r>
        </w:p>
        <w:p w14:paraId="33A501CD" w14:textId="77777777" w:rsidR="00B201D3" w:rsidRDefault="00C8327E">
          <w:pPr>
            <w:rPr>
              <w:rFonts w:asciiTheme="minorEastAsia" w:eastAsiaTheme="minorEastAsia" w:hAnsiTheme="minorEastAsia"/>
            </w:rPr>
          </w:pPr>
        </w:p>
      </w:sdtContent>
    </w:sdt>
    <w:sdt>
      <w:sdtPr>
        <w:rPr>
          <w:rFonts w:asciiTheme="minorEastAsia" w:eastAsiaTheme="minorEastAsia" w:hAnsiTheme="minorEastAsia" w:cs="宋体" w:hint="eastAsia"/>
          <w:b w:val="0"/>
          <w:bCs/>
          <w:kern w:val="0"/>
          <w:szCs w:val="24"/>
        </w:rPr>
        <w:alias w:val="模块:报告期内控股股东及其他关联方非经营性占用资金情况"/>
        <w:tag w:val="_SEC_2f371a3cc949400ea818d66a836d5785"/>
        <w:id w:val="-603649523"/>
        <w:lock w:val="sdtLocked"/>
        <w:placeholder>
          <w:docPart w:val="GBC22222222222222222222222222222"/>
        </w:placeholder>
      </w:sdtPr>
      <w:sdtEndPr>
        <w:rPr>
          <w:rFonts w:hint="default"/>
          <w:bCs w:val="0"/>
          <w:szCs w:val="21"/>
        </w:rPr>
      </w:sdtEndPr>
      <w:sdtContent>
        <w:p w14:paraId="5C42EE69" w14:textId="77777777" w:rsidR="00B201D3" w:rsidRDefault="009855E8">
          <w:pPr>
            <w:pStyle w:val="3901"/>
            <w:numPr>
              <w:ilvl w:val="0"/>
              <w:numId w:val="25"/>
            </w:numPr>
            <w:tabs>
              <w:tab w:val="left" w:pos="426"/>
            </w:tabs>
            <w:jc w:val="left"/>
            <w:rPr>
              <w:rFonts w:asciiTheme="minorEastAsia" w:eastAsiaTheme="minorEastAsia" w:hAnsiTheme="minorEastAsia"/>
            </w:rPr>
          </w:pPr>
          <w:r>
            <w:rPr>
              <w:rFonts w:asciiTheme="minorEastAsia" w:eastAsiaTheme="minorEastAsia" w:hAnsiTheme="minorEastAsia" w:hint="eastAsia"/>
            </w:rPr>
            <w:t>报</w:t>
          </w:r>
          <w:r>
            <w:rPr>
              <w:rFonts w:asciiTheme="minorEastAsia" w:eastAsiaTheme="minorEastAsia" w:hAnsiTheme="minorEastAsia"/>
            </w:rPr>
            <w:t>告期内</w:t>
          </w:r>
          <w:r>
            <w:rPr>
              <w:rFonts w:asciiTheme="minorEastAsia" w:eastAsiaTheme="minorEastAsia" w:hAnsiTheme="minorEastAsia" w:hint="eastAsia"/>
            </w:rPr>
            <w:t>控股股东及其他关联方非经营性占用资金情况</w:t>
          </w:r>
        </w:p>
        <w:sdt>
          <w:sdtPr>
            <w:rPr>
              <w:rFonts w:asciiTheme="minorEastAsia" w:eastAsiaTheme="minorEastAsia" w:hAnsiTheme="minorEastAsia"/>
            </w:rPr>
            <w:alias w:val="是否适用：资金被占用情况及清欠进展情况[双击切换]"/>
            <w:tag w:val="_GBC_ae82394ae54d49eba71e8d8d6447c499"/>
            <w:id w:val="1343898276"/>
            <w:lock w:val="sdtLocked"/>
            <w:placeholder>
              <w:docPart w:val="GBC22222222222222222222222222222"/>
            </w:placeholder>
          </w:sdtPr>
          <w:sdtEndPr/>
          <w:sdtContent>
            <w:p w14:paraId="0EC1234A" w14:textId="77777777" w:rsidR="00B201D3" w:rsidRDefault="009855E8">
              <w:pPr>
                <w:rPr>
                  <w:rFonts w:asciiTheme="minorEastAsia" w:eastAsiaTheme="minorEastAsia" w:hAnsiTheme="minorEastAsia"/>
                </w:rPr>
              </w:pP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sdt>
      <w:sdtPr>
        <w:rPr>
          <w:rFonts w:asciiTheme="minorEastAsia" w:eastAsiaTheme="minorEastAsia" w:hAnsiTheme="minorEastAsia" w:cs="宋体" w:hint="eastAsia"/>
          <w:b w:val="0"/>
          <w:bCs/>
          <w:kern w:val="0"/>
          <w:szCs w:val="24"/>
        </w:rPr>
        <w:alias w:val="模块:违规担保情况"/>
        <w:tag w:val="_SEC_623f0c33c18d4979b146b229057a4e89"/>
        <w:id w:val="1673914126"/>
        <w:lock w:val="sdtLocked"/>
        <w:placeholder>
          <w:docPart w:val="GBC22222222222222222222222222222"/>
        </w:placeholder>
      </w:sdtPr>
      <w:sdtEndPr>
        <w:rPr>
          <w:rFonts w:hint="default"/>
          <w:bCs w:val="0"/>
          <w:szCs w:val="21"/>
        </w:rPr>
      </w:sdtEndPr>
      <w:sdtContent>
        <w:p w14:paraId="22738C00" w14:textId="77777777" w:rsidR="00B201D3" w:rsidRDefault="009855E8">
          <w:pPr>
            <w:pStyle w:val="3901"/>
            <w:numPr>
              <w:ilvl w:val="0"/>
              <w:numId w:val="25"/>
            </w:numPr>
            <w:tabs>
              <w:tab w:val="left" w:pos="426"/>
            </w:tabs>
            <w:jc w:val="left"/>
            <w:rPr>
              <w:rFonts w:asciiTheme="minorEastAsia" w:eastAsiaTheme="minorEastAsia" w:hAnsiTheme="minorEastAsia"/>
            </w:rPr>
          </w:pPr>
          <w:r>
            <w:rPr>
              <w:rFonts w:asciiTheme="minorEastAsia" w:eastAsiaTheme="minorEastAsia" w:hAnsiTheme="minorEastAsia" w:hint="eastAsia"/>
            </w:rPr>
            <w:t>违规担保情况</w:t>
          </w:r>
        </w:p>
        <w:sdt>
          <w:sdtPr>
            <w:rPr>
              <w:rFonts w:asciiTheme="minorEastAsia" w:eastAsiaTheme="minorEastAsia" w:hAnsiTheme="minorEastAsia"/>
            </w:rPr>
            <w:alias w:val="是否适用：违规担保情况[双击切换]"/>
            <w:tag w:val="_GBC_725722c7a37d40c28caf80b13d948933"/>
            <w:id w:val="-252907668"/>
            <w:lock w:val="sdtLocked"/>
            <w:placeholder>
              <w:docPart w:val="GBC22222222222222222222222222222"/>
            </w:placeholder>
          </w:sdtPr>
          <w:sdtEndPr/>
          <w:sdtContent>
            <w:p w14:paraId="45CEA5BB" w14:textId="77777777" w:rsidR="00B201D3" w:rsidRDefault="009855E8">
              <w:pPr>
                <w:rPr>
                  <w:rFonts w:asciiTheme="minorEastAsia" w:eastAsiaTheme="minorEastAsia" w:hAnsiTheme="minorEastAsia"/>
                </w:rPr>
              </w:pP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p w14:paraId="23B8C696" w14:textId="77777777" w:rsidR="00B201D3" w:rsidRDefault="00B201D3">
      <w:pPr>
        <w:sectPr w:rsidR="00B201D3">
          <w:pgSz w:w="16838" w:h="11906" w:orient="landscape"/>
          <w:pgMar w:top="1797" w:right="1525" w:bottom="1276" w:left="1440" w:header="851" w:footer="992" w:gutter="0"/>
          <w:cols w:space="425"/>
          <w:docGrid w:linePitch="312"/>
        </w:sectPr>
      </w:pPr>
    </w:p>
    <w:p w14:paraId="02A71F32" w14:textId="77777777" w:rsidR="00B201D3" w:rsidRDefault="009855E8">
      <w:pPr>
        <w:pStyle w:val="3901"/>
        <w:numPr>
          <w:ilvl w:val="0"/>
          <w:numId w:val="25"/>
        </w:numPr>
        <w:tabs>
          <w:tab w:val="left" w:pos="426"/>
        </w:tabs>
        <w:ind w:left="422" w:hanging="422"/>
        <w:jc w:val="left"/>
        <w:rPr>
          <w:rFonts w:ascii="宋体" w:hAnsi="宋体"/>
        </w:rPr>
      </w:pPr>
      <w:r>
        <w:rPr>
          <w:rFonts w:ascii="宋体" w:hAnsi="宋体" w:hint="eastAsia"/>
        </w:rPr>
        <w:lastRenderedPageBreak/>
        <w:t>半年报审计情况</w:t>
      </w:r>
    </w:p>
    <w:sdt>
      <w:sdtPr>
        <w:alias w:val="是否适用：半年报审计情况  [双击切换]"/>
        <w:tag w:val="_GBC_b2faf86be7fd4060a2a7ad4018aaf033"/>
        <w:id w:val="1959147166"/>
        <w:lock w:val="sdtLocked"/>
        <w:placeholder>
          <w:docPart w:val="GBC22222222222222222222222222222"/>
        </w:placeholder>
      </w:sdtPr>
      <w:sdtEndPr/>
      <w:sdtContent>
        <w:p w14:paraId="60646534" w14:textId="77777777" w:rsidR="00B201D3" w:rsidRDefault="009855E8">
          <w:pPr>
            <w:pStyle w:val="390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68B63E6" w14:textId="77777777" w:rsidR="00B201D3" w:rsidRDefault="00B201D3">
      <w:pPr>
        <w:pStyle w:val="3903"/>
      </w:pPr>
    </w:p>
    <w:sdt>
      <w:sdtPr>
        <w:rPr>
          <w:rFonts w:ascii="宋体" w:hAnsi="宋体" w:cs="宋体" w:hint="eastAsia"/>
          <w:b w:val="0"/>
          <w:bCs/>
          <w:kern w:val="0"/>
          <w:szCs w:val="24"/>
        </w:rPr>
        <w:alias w:val="模块:公司对上年年度报告中的财务报告被注册会计师出具“非标准审计报..."/>
        <w:tag w:val="_SEC_10be83ff0126440a8620e35536191767"/>
        <w:id w:val="818236859"/>
        <w:lock w:val="sdtLocked"/>
        <w:placeholder>
          <w:docPart w:val="GBC22222222222222222222222222222"/>
        </w:placeholder>
      </w:sdtPr>
      <w:sdtEndPr>
        <w:rPr>
          <w:bCs w:val="0"/>
          <w:szCs w:val="21"/>
        </w:rPr>
      </w:sdtEndPr>
      <w:sdtContent>
        <w:p w14:paraId="2C84172B" w14:textId="77777777" w:rsidR="00B201D3" w:rsidRDefault="009855E8">
          <w:pPr>
            <w:pStyle w:val="3901"/>
            <w:numPr>
              <w:ilvl w:val="0"/>
              <w:numId w:val="25"/>
            </w:numPr>
            <w:tabs>
              <w:tab w:val="left" w:pos="426"/>
            </w:tabs>
            <w:jc w:val="left"/>
            <w:rPr>
              <w:rFonts w:ascii="宋体" w:hAnsi="宋体"/>
            </w:rPr>
          </w:pPr>
          <w:r>
            <w:rPr>
              <w:rFonts w:ascii="宋体" w:hAnsi="宋体" w:hint="eastAsia"/>
            </w:rPr>
            <w:t>上年年度报告非标准审计意见涉及事项的变化及处理情况</w:t>
          </w:r>
        </w:p>
        <w:sdt>
          <w:sdtPr>
            <w:rPr>
              <w:rFonts w:hint="eastAsia"/>
            </w:rPr>
            <w:alias w:val="是否适用：公司对上年年度报告中的财务报告被注册会计师出具“非标准审计报告”的说明 [双击切换]"/>
            <w:tag w:val="_GBC_06e0811c47124b6da79369103f766350"/>
            <w:id w:val="-1598947677"/>
            <w:lock w:val="sdtLocked"/>
            <w:placeholder>
              <w:docPart w:val="GBC22222222222222222222222222222"/>
            </w:placeholder>
          </w:sdtPr>
          <w:sdtEndPr/>
          <w:sdtContent>
            <w:p w14:paraId="62799154" w14:textId="77777777" w:rsidR="00B201D3" w:rsidRDefault="009855E8">
              <w:pPr>
                <w:pStyle w:val="390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CC93302" w14:textId="77777777" w:rsidR="00B201D3" w:rsidRDefault="00C8327E">
          <w:pPr>
            <w:pStyle w:val="3903"/>
          </w:pPr>
        </w:p>
      </w:sdtContent>
    </w:sdt>
    <w:sdt>
      <w:sdtPr>
        <w:rPr>
          <w:rFonts w:ascii="宋体" w:hAnsi="宋体" w:cs="宋体" w:hint="eastAsia"/>
          <w:b w:val="0"/>
          <w:bCs/>
          <w:kern w:val="0"/>
          <w:szCs w:val="24"/>
        </w:rPr>
        <w:alias w:val="模块:破产重整相关事项"/>
        <w:tag w:val="_SEC_1ae3a3f4b3c4484980120137749e19ed"/>
        <w:id w:val="-564105862"/>
        <w:lock w:val="sdtLocked"/>
        <w:placeholder>
          <w:docPart w:val="GBC22222222222222222222222222222"/>
        </w:placeholder>
      </w:sdtPr>
      <w:sdtEndPr>
        <w:rPr>
          <w:bCs w:val="0"/>
          <w:szCs w:val="21"/>
        </w:rPr>
      </w:sdtEndPr>
      <w:sdtContent>
        <w:p w14:paraId="7DB6B85A" w14:textId="77777777" w:rsidR="00B201D3" w:rsidRDefault="009855E8">
          <w:pPr>
            <w:pStyle w:val="3901"/>
            <w:numPr>
              <w:ilvl w:val="0"/>
              <w:numId w:val="25"/>
            </w:numPr>
            <w:tabs>
              <w:tab w:val="left" w:pos="426"/>
            </w:tabs>
            <w:jc w:val="left"/>
            <w:rPr>
              <w:rFonts w:ascii="宋体" w:hAnsi="宋体"/>
            </w:rPr>
          </w:pPr>
          <w:r>
            <w:rPr>
              <w:rFonts w:ascii="宋体" w:hAnsi="宋体" w:hint="eastAsia"/>
            </w:rPr>
            <w:t>破产重整相关事项</w:t>
          </w:r>
        </w:p>
        <w:sdt>
          <w:sdtPr>
            <w:rPr>
              <w:rFonts w:hint="eastAsia"/>
            </w:rPr>
            <w:alias w:val="是否适用：破产重整相关事项[双击切换]"/>
            <w:tag w:val="_GBC_c4fc8890d63b44b19353d2188a5bce59"/>
            <w:id w:val="1235350367"/>
            <w:lock w:val="sdtLocked"/>
            <w:placeholder>
              <w:docPart w:val="GBC22222222222222222222222222222"/>
            </w:placeholder>
          </w:sdtPr>
          <w:sdtEndPr/>
          <w:sdtContent>
            <w:p w14:paraId="65CB52CC" w14:textId="77777777" w:rsidR="00B201D3" w:rsidRDefault="009855E8">
              <w:pPr>
                <w:pStyle w:val="390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443450EC" w14:textId="77777777" w:rsidR="00B201D3" w:rsidRDefault="00B201D3">
      <w:pPr>
        <w:pStyle w:val="3903"/>
      </w:pPr>
    </w:p>
    <w:p w14:paraId="26114E65" w14:textId="77777777" w:rsidR="00B201D3" w:rsidRDefault="009855E8">
      <w:pPr>
        <w:pStyle w:val="3901"/>
        <w:numPr>
          <w:ilvl w:val="0"/>
          <w:numId w:val="25"/>
        </w:numPr>
        <w:tabs>
          <w:tab w:val="left" w:pos="426"/>
        </w:tabs>
        <w:ind w:left="422" w:hanging="422"/>
        <w:jc w:val="left"/>
        <w:rPr>
          <w:rFonts w:ascii="宋体" w:hAnsi="宋体"/>
        </w:rPr>
      </w:pPr>
      <w:r>
        <w:rPr>
          <w:rFonts w:ascii="宋体" w:hAnsi="宋体"/>
        </w:rPr>
        <w:t>重大诉讼、仲裁事项</w:t>
      </w:r>
    </w:p>
    <w:sdt>
      <w:sdtPr>
        <w:alias w:val="本年度公司有无重大诉讼、仲裁事项"/>
        <w:tag w:val="_GBC_0fcf1cd2d0814185bde747855edf5227"/>
        <w:id w:val="741605028"/>
        <w:lock w:val="sdtLocked"/>
        <w:placeholder>
          <w:docPart w:val="GBC22222222222222222222222222222"/>
        </w:placeholder>
      </w:sdtPr>
      <w:sdtEndPr/>
      <w:sdtContent>
        <w:p w14:paraId="00F9384F" w14:textId="77777777" w:rsidR="00B201D3" w:rsidRDefault="009855E8">
          <w:pPr>
            <w:pStyle w:val="3903"/>
          </w:pPr>
          <w:r>
            <w:fldChar w:fldCharType="begin"/>
          </w:r>
          <w:r>
            <w:instrText xml:space="preserve"> MACROBUTTON  SnrToggleCheckbox √本报告期公司有重大诉讼、仲裁事项 </w:instrText>
          </w:r>
          <w:r>
            <w:fldChar w:fldCharType="end"/>
          </w:r>
          <w:r>
            <w:fldChar w:fldCharType="begin"/>
          </w:r>
          <w:r>
            <w:instrText xml:space="preserve"> MACROBUTTON  SnrToggleCheckbox □本报告期公司无重大诉讼、仲裁事项 </w:instrText>
          </w:r>
          <w:r>
            <w:fldChar w:fldCharType="end"/>
          </w:r>
        </w:p>
      </w:sdtContent>
    </w:sdt>
    <w:sdt>
      <w:sdtPr>
        <w:rPr>
          <w:rFonts w:ascii="宋体" w:hAnsi="宋体" w:cs="宋体"/>
          <w:b w:val="0"/>
          <w:bCs/>
          <w:kern w:val="0"/>
          <w:szCs w:val="22"/>
        </w:rPr>
        <w:alias w:val="模块:诉讼、仲裁事项已在临时公告披露且无后续进展的"/>
        <w:tag w:val="_SEC_902756a755994b00b80a02d3baa0ea44"/>
        <w:id w:val="-155072647"/>
        <w:lock w:val="sdtLocked"/>
        <w:placeholder>
          <w:docPart w:val="GBC22222222222222222222222222222"/>
        </w:placeholder>
      </w:sdtPr>
      <w:sdtEndPr>
        <w:rPr>
          <w:rFonts w:hint="eastAsia"/>
          <w:bCs w:val="0"/>
          <w:szCs w:val="21"/>
        </w:rPr>
      </w:sdtEndPr>
      <w:sdtContent>
        <w:p w14:paraId="73F1EA57" w14:textId="77777777" w:rsidR="00B201D3" w:rsidRDefault="009855E8">
          <w:pPr>
            <w:pStyle w:val="3900"/>
            <w:numPr>
              <w:ilvl w:val="0"/>
              <w:numId w:val="27"/>
            </w:numPr>
            <w:rPr>
              <w:rFonts w:ascii="宋体" w:hAnsi="宋体"/>
            </w:rPr>
          </w:pPr>
          <w:r>
            <w:rPr>
              <w:rFonts w:ascii="宋体" w:hAnsi="宋体"/>
            </w:rPr>
            <w:t>诉讼、仲裁事项已在临时公告披露且无后续进展的</w:t>
          </w:r>
        </w:p>
        <w:sdt>
          <w:sdtPr>
            <w:alias w:val="是否适用：诉讼、仲裁事项已在临时公告披露且无后续进展的[双击切换]"/>
            <w:tag w:val="_GBC_1c7697ff89954de38b9736575b9b7dc9"/>
            <w:id w:val="1457756970"/>
            <w:lock w:val="sdtLocked"/>
            <w:placeholder>
              <w:docPart w:val="GBC22222222222222222222222222222"/>
            </w:placeholder>
          </w:sdtPr>
          <w:sdtEndPr/>
          <w:sdtContent>
            <w:p w14:paraId="22B7FBED" w14:textId="77777777" w:rsidR="00B201D3" w:rsidRDefault="009855E8">
              <w:pPr>
                <w:pStyle w:val="390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7487CE8" w14:textId="77777777" w:rsidR="00B201D3" w:rsidRDefault="00C8327E">
          <w:pPr>
            <w:pStyle w:val="3903"/>
          </w:pPr>
        </w:p>
      </w:sdtContent>
    </w:sdt>
    <w:sdt>
      <w:sdtPr>
        <w:rPr>
          <w:rFonts w:ascii="宋体" w:hAnsi="宋体" w:cs="宋体"/>
          <w:b w:val="0"/>
          <w:bCs/>
          <w:kern w:val="0"/>
          <w:szCs w:val="22"/>
        </w:rPr>
        <w:alias w:val="模块:临时公告未披露或有后续进展的诉讼、仲裁情况"/>
        <w:tag w:val="_SEC_85376178a04b46fb90efc5d6fa2e6a28"/>
        <w:id w:val="2101443064"/>
        <w:lock w:val="sdtLocked"/>
        <w:placeholder>
          <w:docPart w:val="GBC22222222222222222222222222222"/>
        </w:placeholder>
      </w:sdtPr>
      <w:sdtEndPr>
        <w:rPr>
          <w:rFonts w:asciiTheme="minorEastAsia" w:eastAsiaTheme="minorEastAsia" w:hAnsiTheme="minorEastAsia"/>
          <w:bCs w:val="0"/>
          <w:szCs w:val="21"/>
        </w:rPr>
      </w:sdtEndPr>
      <w:sdtContent>
        <w:p w14:paraId="02EC808A" w14:textId="77777777" w:rsidR="00B201D3" w:rsidRDefault="009855E8">
          <w:pPr>
            <w:pStyle w:val="3900"/>
            <w:numPr>
              <w:ilvl w:val="0"/>
              <w:numId w:val="27"/>
            </w:numPr>
            <w:rPr>
              <w:rFonts w:ascii="宋体" w:hAnsi="宋体"/>
            </w:rPr>
          </w:pPr>
          <w:r>
            <w:rPr>
              <w:rFonts w:ascii="宋体" w:hAnsi="宋体"/>
            </w:rPr>
            <w:t>临时公告未披露或有后续进展的诉讼、仲裁情况</w:t>
          </w:r>
        </w:p>
        <w:sdt>
          <w:sdtPr>
            <w:alias w:val="是否适用：临时公告未披露或有后续进展的诉讼、仲裁情况[双击切换]"/>
            <w:tag w:val="_GBC_3f59cc6ee3354630821313bac686c029"/>
            <w:id w:val="-1571503953"/>
            <w:lock w:val="sdtLocked"/>
            <w:placeholder>
              <w:docPart w:val="GBC22222222222222222222222222222"/>
            </w:placeholder>
          </w:sdtPr>
          <w:sdtEndPr/>
          <w:sdtContent>
            <w:p w14:paraId="460BE0B6" w14:textId="77777777" w:rsidR="00B201D3" w:rsidRDefault="009855E8">
              <w:pPr>
                <w:pStyle w:val="390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0B870E6" w14:textId="775B957C" w:rsidR="00B201D3" w:rsidRDefault="009855E8">
          <w:pPr>
            <w:jc w:val="right"/>
          </w:pPr>
          <w:r>
            <w:rPr>
              <w:rFonts w:hint="eastAsia"/>
            </w:rPr>
            <w:t>单位：</w:t>
          </w:r>
          <w:sdt>
            <w:sdtPr>
              <w:rPr>
                <w:rFonts w:hint="eastAsia"/>
              </w:rPr>
              <w:alias w:val="单位：重大诉讼仲裁事项"/>
              <w:tag w:val="_GBC_ab5a46f4fd35408cba7d05de7b668fac"/>
              <w:id w:val="16059938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F46283">
                <w:rPr>
                  <w:rFonts w:hint="eastAsia"/>
                </w:rPr>
                <w:t>万元</w:t>
              </w:r>
            </w:sdtContent>
          </w:sdt>
          <w:r>
            <w:rPr>
              <w:rFonts w:hint="eastAsia"/>
            </w:rPr>
            <w:t xml:space="preserve">  币种：</w:t>
          </w:r>
          <w:sdt>
            <w:sdtPr>
              <w:rPr>
                <w:rFonts w:hint="eastAsia"/>
              </w:rPr>
              <w:alias w:val="币种：重大诉讼仲裁事项"/>
              <w:tag w:val="_GBC_67f8b933111740f4867b07d27cbb7862"/>
              <w:id w:val="14809626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46283">
                <w:rPr>
                  <w:rFonts w:hint="eastAsia"/>
                </w:rPr>
                <w:t>人民币</w:t>
              </w:r>
            </w:sdtContent>
          </w:sdt>
        </w:p>
        <w:tbl>
          <w:tblPr>
            <w:tblStyle w:val="g6"/>
            <w:tblW w:w="0" w:type="auto"/>
            <w:tblLayout w:type="fixed"/>
            <w:tblLook w:val="04A0" w:firstRow="1" w:lastRow="0" w:firstColumn="1" w:lastColumn="0" w:noHBand="0" w:noVBand="1"/>
          </w:tblPr>
          <w:tblGrid>
            <w:gridCol w:w="675"/>
            <w:gridCol w:w="709"/>
            <w:gridCol w:w="709"/>
            <w:gridCol w:w="425"/>
            <w:gridCol w:w="2410"/>
            <w:gridCol w:w="1276"/>
            <w:gridCol w:w="567"/>
            <w:gridCol w:w="567"/>
            <w:gridCol w:w="992"/>
            <w:gridCol w:w="719"/>
          </w:tblGrid>
          <w:tr w:rsidR="00B201D3" w14:paraId="1C1D3983" w14:textId="77777777">
            <w:sdt>
              <w:sdtPr>
                <w:tag w:val="_PLD_542ec69aa4ef4bfab0931fd1db76a6ba"/>
                <w:id w:val="120737618"/>
                <w:lock w:val="sdtLocked"/>
              </w:sdtPr>
              <w:sdtEndPr/>
              <w:sdtContent>
                <w:tc>
                  <w:tcPr>
                    <w:tcW w:w="9049" w:type="dxa"/>
                    <w:gridSpan w:val="10"/>
                  </w:tcPr>
                  <w:p w14:paraId="4ECFFCAC" w14:textId="77777777" w:rsidR="00B201D3" w:rsidRDefault="009855E8">
                    <w:r>
                      <w:rPr>
                        <w:rFonts w:hint="eastAsia"/>
                      </w:rPr>
                      <w:t>报告期内：</w:t>
                    </w:r>
                  </w:p>
                </w:tc>
              </w:sdtContent>
            </w:sdt>
          </w:tr>
          <w:tr w:rsidR="00B201D3" w14:paraId="2346DBEF" w14:textId="77777777">
            <w:sdt>
              <w:sdtPr>
                <w:rPr>
                  <w:rFonts w:asciiTheme="minorEastAsia" w:eastAsiaTheme="minorEastAsia" w:hAnsiTheme="minorEastAsia"/>
                </w:rPr>
                <w:tag w:val="_PLD_65530f9e2c974c4caf9f0a8143274a84"/>
                <w:id w:val="1432153431"/>
                <w:lock w:val="sdtLocked"/>
              </w:sdtPr>
              <w:sdtEndPr/>
              <w:sdtContent>
                <w:tc>
                  <w:tcPr>
                    <w:tcW w:w="675" w:type="dxa"/>
                    <w:vAlign w:val="center"/>
                  </w:tcPr>
                  <w:p w14:paraId="28342711" w14:textId="77777777" w:rsidR="00B201D3" w:rsidRDefault="009855E8">
                    <w:pPr>
                      <w:jc w:val="center"/>
                      <w:rPr>
                        <w:rFonts w:asciiTheme="minorEastAsia" w:eastAsiaTheme="minorEastAsia" w:hAnsiTheme="minorEastAsia"/>
                      </w:rPr>
                    </w:pPr>
                    <w:r>
                      <w:rPr>
                        <w:rFonts w:asciiTheme="minorEastAsia" w:eastAsiaTheme="minorEastAsia" w:hAnsiTheme="minorEastAsia"/>
                      </w:rPr>
                      <w:t>起诉(申请)方</w:t>
                    </w:r>
                  </w:p>
                </w:tc>
              </w:sdtContent>
            </w:sdt>
            <w:sdt>
              <w:sdtPr>
                <w:rPr>
                  <w:rFonts w:asciiTheme="minorEastAsia" w:eastAsiaTheme="minorEastAsia" w:hAnsiTheme="minorEastAsia"/>
                </w:rPr>
                <w:tag w:val="_PLD_199b4615ac594ea49e4ae790f9604175"/>
                <w:id w:val="-2023924619"/>
                <w:lock w:val="sdtLocked"/>
              </w:sdtPr>
              <w:sdtEndPr/>
              <w:sdtContent>
                <w:tc>
                  <w:tcPr>
                    <w:tcW w:w="709" w:type="dxa"/>
                    <w:vAlign w:val="center"/>
                  </w:tcPr>
                  <w:p w14:paraId="73CB6DCC" w14:textId="77777777" w:rsidR="00B201D3" w:rsidRDefault="009855E8">
                    <w:pPr>
                      <w:jc w:val="center"/>
                      <w:rPr>
                        <w:rFonts w:asciiTheme="minorEastAsia" w:eastAsiaTheme="minorEastAsia" w:hAnsiTheme="minorEastAsia"/>
                      </w:rPr>
                    </w:pPr>
                    <w:r>
                      <w:rPr>
                        <w:rFonts w:asciiTheme="minorEastAsia" w:eastAsiaTheme="minorEastAsia" w:hAnsiTheme="minorEastAsia"/>
                      </w:rPr>
                      <w:t>应诉（被申请</w:t>
                    </w:r>
                    <w:r>
                      <w:rPr>
                        <w:rFonts w:asciiTheme="minorEastAsia" w:eastAsiaTheme="minorEastAsia" w:hAnsiTheme="minorEastAsia" w:hint="eastAsia"/>
                      </w:rPr>
                      <w:t>）</w:t>
                    </w:r>
                    <w:r>
                      <w:rPr>
                        <w:rFonts w:asciiTheme="minorEastAsia" w:eastAsiaTheme="minorEastAsia" w:hAnsiTheme="minorEastAsia"/>
                      </w:rPr>
                      <w:t>方</w:t>
                    </w:r>
                  </w:p>
                </w:tc>
              </w:sdtContent>
            </w:sdt>
            <w:sdt>
              <w:sdtPr>
                <w:rPr>
                  <w:rFonts w:asciiTheme="minorEastAsia" w:eastAsiaTheme="minorEastAsia" w:hAnsiTheme="minorEastAsia"/>
                </w:rPr>
                <w:tag w:val="_PLD_40e0da63dc8243ccadfed7bf52b93f8b"/>
                <w:id w:val="1505468058"/>
                <w:lock w:val="sdtLocked"/>
              </w:sdtPr>
              <w:sdtEndPr/>
              <w:sdtContent>
                <w:tc>
                  <w:tcPr>
                    <w:tcW w:w="709" w:type="dxa"/>
                    <w:vAlign w:val="center"/>
                  </w:tcPr>
                  <w:p w14:paraId="5E4014E8" w14:textId="77777777" w:rsidR="00B201D3" w:rsidRDefault="009855E8">
                    <w:pPr>
                      <w:jc w:val="center"/>
                      <w:rPr>
                        <w:rFonts w:asciiTheme="minorEastAsia" w:eastAsiaTheme="minorEastAsia" w:hAnsiTheme="minorEastAsia"/>
                      </w:rPr>
                    </w:pPr>
                    <w:r>
                      <w:rPr>
                        <w:rFonts w:asciiTheme="minorEastAsia" w:eastAsiaTheme="minorEastAsia" w:hAnsiTheme="minorEastAsia"/>
                      </w:rPr>
                      <w:t>承担连带责任方</w:t>
                    </w:r>
                  </w:p>
                </w:tc>
              </w:sdtContent>
            </w:sdt>
            <w:sdt>
              <w:sdtPr>
                <w:rPr>
                  <w:rFonts w:asciiTheme="minorEastAsia" w:eastAsiaTheme="minorEastAsia" w:hAnsiTheme="minorEastAsia"/>
                </w:rPr>
                <w:tag w:val="_PLD_46f93380e03f45adbc91c2ab3774798c"/>
                <w:id w:val="-403290983"/>
                <w:lock w:val="sdtLocked"/>
              </w:sdtPr>
              <w:sdtEndPr/>
              <w:sdtContent>
                <w:tc>
                  <w:tcPr>
                    <w:tcW w:w="425" w:type="dxa"/>
                    <w:vAlign w:val="center"/>
                  </w:tcPr>
                  <w:p w14:paraId="5B6EF467" w14:textId="77777777" w:rsidR="00B201D3" w:rsidRDefault="009855E8">
                    <w:pPr>
                      <w:jc w:val="center"/>
                      <w:rPr>
                        <w:rFonts w:asciiTheme="minorEastAsia" w:eastAsiaTheme="minorEastAsia" w:hAnsiTheme="minorEastAsia"/>
                      </w:rPr>
                    </w:pPr>
                    <w:r>
                      <w:rPr>
                        <w:rFonts w:asciiTheme="minorEastAsia" w:eastAsiaTheme="minorEastAsia" w:hAnsiTheme="minorEastAsia"/>
                      </w:rPr>
                      <w:t>诉讼仲裁类型</w:t>
                    </w:r>
                  </w:p>
                </w:tc>
              </w:sdtContent>
            </w:sdt>
            <w:sdt>
              <w:sdtPr>
                <w:rPr>
                  <w:rFonts w:asciiTheme="minorEastAsia" w:eastAsiaTheme="minorEastAsia" w:hAnsiTheme="minorEastAsia"/>
                </w:rPr>
                <w:tag w:val="_PLD_29743bdc16de45d8a3449747b5605f16"/>
                <w:id w:val="-82069648"/>
                <w:lock w:val="sdtLocked"/>
              </w:sdtPr>
              <w:sdtEndPr/>
              <w:sdtContent>
                <w:tc>
                  <w:tcPr>
                    <w:tcW w:w="2410" w:type="dxa"/>
                    <w:vAlign w:val="center"/>
                  </w:tcPr>
                  <w:p w14:paraId="4AA2F161" w14:textId="77777777" w:rsidR="00B201D3" w:rsidRDefault="009855E8">
                    <w:pPr>
                      <w:jc w:val="center"/>
                      <w:rPr>
                        <w:rFonts w:asciiTheme="minorEastAsia" w:eastAsiaTheme="minorEastAsia" w:hAnsiTheme="minorEastAsia"/>
                      </w:rPr>
                    </w:pPr>
                    <w:r>
                      <w:rPr>
                        <w:rFonts w:asciiTheme="minorEastAsia" w:eastAsiaTheme="minorEastAsia" w:hAnsiTheme="minorEastAsia"/>
                      </w:rPr>
                      <w:t>诉讼(仲裁)基本情况</w:t>
                    </w:r>
                  </w:p>
                </w:tc>
              </w:sdtContent>
            </w:sdt>
            <w:sdt>
              <w:sdtPr>
                <w:rPr>
                  <w:rFonts w:asciiTheme="minorEastAsia" w:eastAsiaTheme="minorEastAsia" w:hAnsiTheme="minorEastAsia"/>
                </w:rPr>
                <w:tag w:val="_PLD_cc4909272128469b9b9eb68f21f24563"/>
                <w:id w:val="-1783793470"/>
                <w:lock w:val="sdtLocked"/>
              </w:sdtPr>
              <w:sdtEndPr/>
              <w:sdtContent>
                <w:tc>
                  <w:tcPr>
                    <w:tcW w:w="1276" w:type="dxa"/>
                    <w:vAlign w:val="center"/>
                  </w:tcPr>
                  <w:p w14:paraId="6812E789" w14:textId="77777777" w:rsidR="00B201D3" w:rsidRDefault="009855E8">
                    <w:pPr>
                      <w:jc w:val="center"/>
                      <w:rPr>
                        <w:rFonts w:asciiTheme="minorEastAsia" w:eastAsiaTheme="minorEastAsia" w:hAnsiTheme="minorEastAsia"/>
                      </w:rPr>
                    </w:pPr>
                    <w:r>
                      <w:rPr>
                        <w:rFonts w:asciiTheme="minorEastAsia" w:eastAsiaTheme="minorEastAsia" w:hAnsiTheme="minorEastAsia"/>
                      </w:rPr>
                      <w:t>诉讼(仲裁)涉及金额</w:t>
                    </w:r>
                  </w:p>
                </w:tc>
              </w:sdtContent>
            </w:sdt>
            <w:sdt>
              <w:sdtPr>
                <w:rPr>
                  <w:rFonts w:asciiTheme="minorEastAsia" w:eastAsiaTheme="minorEastAsia" w:hAnsiTheme="minorEastAsia"/>
                </w:rPr>
                <w:tag w:val="_PLD_314be9ce30c646b1a34851dbc8c947ff"/>
                <w:id w:val="96607322"/>
                <w:lock w:val="sdtLocked"/>
              </w:sdtPr>
              <w:sdtEndPr/>
              <w:sdtContent>
                <w:tc>
                  <w:tcPr>
                    <w:tcW w:w="567" w:type="dxa"/>
                    <w:vAlign w:val="center"/>
                  </w:tcPr>
                  <w:p w14:paraId="38494FAE" w14:textId="77777777" w:rsidR="00B201D3" w:rsidRDefault="009855E8">
                    <w:pPr>
                      <w:jc w:val="center"/>
                      <w:rPr>
                        <w:rFonts w:asciiTheme="minorEastAsia" w:eastAsiaTheme="minorEastAsia" w:hAnsiTheme="minorEastAsia"/>
                      </w:rPr>
                    </w:pPr>
                    <w:r>
                      <w:rPr>
                        <w:rFonts w:asciiTheme="minorEastAsia" w:eastAsiaTheme="minorEastAsia" w:hAnsiTheme="minorEastAsia"/>
                      </w:rPr>
                      <w:t>诉讼(仲裁)是否形成预计负债及金额</w:t>
                    </w:r>
                  </w:p>
                </w:tc>
              </w:sdtContent>
            </w:sdt>
            <w:sdt>
              <w:sdtPr>
                <w:rPr>
                  <w:rFonts w:asciiTheme="minorEastAsia" w:eastAsiaTheme="minorEastAsia" w:hAnsiTheme="minorEastAsia"/>
                </w:rPr>
                <w:tag w:val="_PLD_27f3a3c3699f4caaa599fe2ff85e043a"/>
                <w:id w:val="-185444245"/>
                <w:lock w:val="sdtLocked"/>
              </w:sdtPr>
              <w:sdtEndPr/>
              <w:sdtContent>
                <w:tc>
                  <w:tcPr>
                    <w:tcW w:w="567" w:type="dxa"/>
                    <w:vAlign w:val="center"/>
                  </w:tcPr>
                  <w:p w14:paraId="6F82A90A" w14:textId="77777777" w:rsidR="00B201D3" w:rsidRDefault="009855E8">
                    <w:pPr>
                      <w:jc w:val="center"/>
                      <w:rPr>
                        <w:rFonts w:asciiTheme="minorEastAsia" w:eastAsiaTheme="minorEastAsia" w:hAnsiTheme="minorEastAsia"/>
                      </w:rPr>
                    </w:pPr>
                    <w:r>
                      <w:rPr>
                        <w:rFonts w:asciiTheme="minorEastAsia" w:eastAsiaTheme="minorEastAsia" w:hAnsiTheme="minorEastAsia"/>
                      </w:rPr>
                      <w:t>诉讼(仲裁)进展情况</w:t>
                    </w:r>
                  </w:p>
                </w:tc>
              </w:sdtContent>
            </w:sdt>
            <w:sdt>
              <w:sdtPr>
                <w:rPr>
                  <w:rFonts w:asciiTheme="minorEastAsia" w:eastAsiaTheme="minorEastAsia" w:hAnsiTheme="minorEastAsia"/>
                </w:rPr>
                <w:tag w:val="_PLD_670326cb24854b3a8bee381fa766735a"/>
                <w:id w:val="1169749262"/>
                <w:lock w:val="sdtLocked"/>
              </w:sdtPr>
              <w:sdtEndPr/>
              <w:sdtContent>
                <w:tc>
                  <w:tcPr>
                    <w:tcW w:w="992" w:type="dxa"/>
                    <w:vAlign w:val="center"/>
                  </w:tcPr>
                  <w:p w14:paraId="029BD4E1" w14:textId="77777777" w:rsidR="00B201D3" w:rsidRDefault="009855E8">
                    <w:pPr>
                      <w:jc w:val="center"/>
                      <w:rPr>
                        <w:rFonts w:asciiTheme="minorEastAsia" w:eastAsiaTheme="minorEastAsia" w:hAnsiTheme="minorEastAsia"/>
                      </w:rPr>
                    </w:pPr>
                    <w:r>
                      <w:rPr>
                        <w:rFonts w:asciiTheme="minorEastAsia" w:eastAsiaTheme="minorEastAsia" w:hAnsiTheme="minorEastAsia"/>
                      </w:rPr>
                      <w:t>诉讼(仲裁)审理结果及影响</w:t>
                    </w:r>
                  </w:p>
                </w:tc>
              </w:sdtContent>
            </w:sdt>
            <w:sdt>
              <w:sdtPr>
                <w:rPr>
                  <w:rFonts w:asciiTheme="minorEastAsia" w:eastAsiaTheme="minorEastAsia" w:hAnsiTheme="minorEastAsia"/>
                </w:rPr>
                <w:tag w:val="_PLD_4b3c312c6ff54512a58be0ff5dc57e46"/>
                <w:id w:val="-1743865245"/>
                <w:lock w:val="sdtLocked"/>
              </w:sdtPr>
              <w:sdtEndPr/>
              <w:sdtContent>
                <w:tc>
                  <w:tcPr>
                    <w:tcW w:w="719" w:type="dxa"/>
                    <w:vAlign w:val="center"/>
                  </w:tcPr>
                  <w:p w14:paraId="2F42731D" w14:textId="77777777" w:rsidR="00B201D3" w:rsidRDefault="009855E8">
                    <w:pPr>
                      <w:jc w:val="center"/>
                      <w:rPr>
                        <w:rFonts w:asciiTheme="minorEastAsia" w:eastAsiaTheme="minorEastAsia" w:hAnsiTheme="minorEastAsia"/>
                      </w:rPr>
                    </w:pPr>
                    <w:r>
                      <w:rPr>
                        <w:rFonts w:asciiTheme="minorEastAsia" w:eastAsiaTheme="minorEastAsia" w:hAnsiTheme="minorEastAsia"/>
                      </w:rPr>
                      <w:t>诉讼(仲裁)判决执行情况</w:t>
                    </w:r>
                  </w:p>
                </w:tc>
              </w:sdtContent>
            </w:sdt>
          </w:tr>
          <w:sdt>
            <w:sdtPr>
              <w:rPr>
                <w:rFonts w:asciiTheme="minorEastAsia" w:eastAsiaTheme="minorEastAsia" w:hAnsiTheme="minorEastAsia" w:cstheme="minorBidi" w:hint="eastAsia"/>
                <w:kern w:val="2"/>
                <w:szCs w:val="22"/>
              </w:rPr>
              <w:alias w:val="重大诉讼、仲裁事项"/>
              <w:tag w:val="_TUP_234d07ec13744d019fad4109a2500e1c"/>
              <w:id w:val="-960333149"/>
              <w:lock w:val="sdtLocked"/>
            </w:sdtPr>
            <w:sdtEndPr/>
            <w:sdtContent>
              <w:tr w:rsidR="00B201D3" w14:paraId="4A377CBC" w14:textId="77777777">
                <w:tc>
                  <w:tcPr>
                    <w:tcW w:w="675" w:type="dxa"/>
                    <w:vAlign w:val="center"/>
                  </w:tcPr>
                  <w:p w14:paraId="7070135F" w14:textId="77777777" w:rsidR="00B201D3" w:rsidRDefault="009855E8">
                    <w:pPr>
                      <w:rPr>
                        <w:rFonts w:asciiTheme="minorEastAsia" w:eastAsiaTheme="minorEastAsia" w:hAnsiTheme="minorEastAsia"/>
                      </w:rPr>
                    </w:pPr>
                    <w:r>
                      <w:rPr>
                        <w:rFonts w:asciiTheme="minorEastAsia" w:eastAsiaTheme="minorEastAsia" w:hAnsiTheme="minorEastAsia"/>
                      </w:rPr>
                      <w:t>内蒙古新长江矿业投资有限公司（“新长江”）</w:t>
                    </w:r>
                  </w:p>
                </w:tc>
                <w:tc>
                  <w:tcPr>
                    <w:tcW w:w="709" w:type="dxa"/>
                    <w:vAlign w:val="center"/>
                  </w:tcPr>
                  <w:p w14:paraId="16A42285" w14:textId="77777777" w:rsidR="00B201D3" w:rsidRDefault="009855E8">
                    <w:pPr>
                      <w:rPr>
                        <w:rFonts w:asciiTheme="minorEastAsia" w:eastAsiaTheme="minorEastAsia" w:hAnsiTheme="minorEastAsia"/>
                      </w:rPr>
                    </w:pPr>
                    <w:r>
                      <w:rPr>
                        <w:rFonts w:asciiTheme="minorEastAsia" w:eastAsiaTheme="minorEastAsia" w:hAnsiTheme="minorEastAsia"/>
                      </w:rPr>
                      <w:t>兖矿能源</w:t>
                    </w:r>
                  </w:p>
                </w:tc>
                <w:tc>
                  <w:tcPr>
                    <w:tcW w:w="709" w:type="dxa"/>
                    <w:vAlign w:val="center"/>
                  </w:tcPr>
                  <w:p w14:paraId="31CCF74C" w14:textId="77777777" w:rsidR="00B201D3" w:rsidRDefault="009855E8">
                    <w:pPr>
                      <w:rPr>
                        <w:rFonts w:asciiTheme="minorEastAsia" w:eastAsiaTheme="minorEastAsia" w:hAnsiTheme="minorEastAsia"/>
                      </w:rPr>
                    </w:pPr>
                    <w:r>
                      <w:rPr>
                        <w:rFonts w:asciiTheme="minorEastAsia" w:eastAsiaTheme="minorEastAsia" w:hAnsiTheme="minorEastAsia"/>
                      </w:rPr>
                      <w:t>无</w:t>
                    </w:r>
                  </w:p>
                </w:tc>
                <w:tc>
                  <w:tcPr>
                    <w:tcW w:w="425" w:type="dxa"/>
                    <w:vAlign w:val="center"/>
                  </w:tcPr>
                  <w:p w14:paraId="1F37F42E" w14:textId="77777777" w:rsidR="00B201D3" w:rsidRDefault="009855E8">
                    <w:pPr>
                      <w:rPr>
                        <w:rFonts w:asciiTheme="minorEastAsia" w:eastAsiaTheme="minorEastAsia" w:hAnsiTheme="minorEastAsia"/>
                      </w:rPr>
                    </w:pPr>
                    <w:r>
                      <w:rPr>
                        <w:rFonts w:asciiTheme="minorEastAsia" w:eastAsiaTheme="minorEastAsia" w:hAnsiTheme="minorEastAsia"/>
                      </w:rPr>
                      <w:t>仲裁</w:t>
                    </w:r>
                  </w:p>
                </w:tc>
                <w:tc>
                  <w:tcPr>
                    <w:tcW w:w="2410" w:type="dxa"/>
                    <w:vAlign w:val="center"/>
                  </w:tcPr>
                  <w:p w14:paraId="409F4CD2" w14:textId="77777777" w:rsidR="00B201D3" w:rsidRDefault="009855E8">
                    <w:pPr>
                      <w:rPr>
                        <w:rFonts w:asciiTheme="minorEastAsia" w:eastAsiaTheme="minorEastAsia" w:hAnsiTheme="minorEastAsia"/>
                      </w:rPr>
                    </w:pPr>
                    <w:r>
                      <w:rPr>
                        <w:rFonts w:asciiTheme="minorEastAsia" w:eastAsiaTheme="minorEastAsia" w:hAnsiTheme="minorEastAsia"/>
                      </w:rPr>
                      <w:t>2018年4月，新长江以兖矿能源违反双方有关股权转让协议为由，向中国国际经济贸易仲裁委员会（“中国贸仲”）提出仲裁申请，要求兖矿能源支付股权转让价款7.49亿元，相应违约金6.56亿元及本案涉及的律师费、仲裁费、保全费等合计约14.35亿元。</w:t>
                    </w:r>
                  </w:p>
                  <w:p w14:paraId="3A52F266" w14:textId="77777777" w:rsidR="00B201D3" w:rsidRDefault="009855E8">
                    <w:pPr>
                      <w:rPr>
                        <w:rFonts w:asciiTheme="minorEastAsia" w:eastAsiaTheme="minorEastAsia" w:hAnsiTheme="minorEastAsia"/>
                      </w:rPr>
                    </w:pPr>
                    <w:r>
                      <w:rPr>
                        <w:rFonts w:asciiTheme="minorEastAsia" w:eastAsiaTheme="minorEastAsia" w:hAnsiTheme="minorEastAsia"/>
                      </w:rPr>
                      <w:t>2023年5月29日，公司收到中国贸仲裁决书，裁决公司完全免责。</w:t>
                    </w:r>
                  </w:p>
                </w:tc>
                <w:tc>
                  <w:tcPr>
                    <w:tcW w:w="1276" w:type="dxa"/>
                    <w:vAlign w:val="center"/>
                  </w:tcPr>
                  <w:p w14:paraId="1B2A124B" w14:textId="77777777" w:rsidR="00B201D3" w:rsidRDefault="009855E8">
                    <w:pPr>
                      <w:jc w:val="right"/>
                      <w:rPr>
                        <w:rFonts w:asciiTheme="minorEastAsia" w:eastAsiaTheme="minorEastAsia" w:hAnsiTheme="minorEastAsia"/>
                      </w:rPr>
                    </w:pPr>
                    <w:r>
                      <w:rPr>
                        <w:rFonts w:asciiTheme="minorEastAsia" w:eastAsiaTheme="minorEastAsia" w:hAnsiTheme="minorEastAsia"/>
                      </w:rPr>
                      <w:t>143,500</w:t>
                    </w:r>
                  </w:p>
                </w:tc>
                <w:tc>
                  <w:tcPr>
                    <w:tcW w:w="567" w:type="dxa"/>
                    <w:vAlign w:val="center"/>
                  </w:tcPr>
                  <w:p w14:paraId="380C758D" w14:textId="77777777" w:rsidR="00B201D3" w:rsidRDefault="009855E8">
                    <w:pPr>
                      <w:rPr>
                        <w:rFonts w:asciiTheme="minorEastAsia" w:eastAsiaTheme="minorEastAsia" w:hAnsiTheme="minorEastAsia"/>
                      </w:rPr>
                    </w:pPr>
                    <w:r>
                      <w:rPr>
                        <w:rFonts w:asciiTheme="minorEastAsia" w:eastAsiaTheme="minorEastAsia" w:hAnsiTheme="minorEastAsia"/>
                      </w:rPr>
                      <w:t>否</w:t>
                    </w:r>
                  </w:p>
                </w:tc>
                <w:tc>
                  <w:tcPr>
                    <w:tcW w:w="567" w:type="dxa"/>
                    <w:vAlign w:val="center"/>
                  </w:tcPr>
                  <w:p w14:paraId="510685CD" w14:textId="77777777" w:rsidR="00B201D3" w:rsidRDefault="009855E8">
                    <w:pPr>
                      <w:rPr>
                        <w:rFonts w:asciiTheme="minorEastAsia" w:eastAsiaTheme="minorEastAsia" w:hAnsiTheme="minorEastAsia"/>
                      </w:rPr>
                    </w:pPr>
                    <w:r>
                      <w:rPr>
                        <w:rFonts w:asciiTheme="minorEastAsia" w:eastAsiaTheme="minorEastAsia" w:hAnsiTheme="minorEastAsia"/>
                      </w:rPr>
                      <w:t>结案</w:t>
                    </w:r>
                  </w:p>
                </w:tc>
                <w:tc>
                  <w:tcPr>
                    <w:tcW w:w="992" w:type="dxa"/>
                    <w:vAlign w:val="center"/>
                  </w:tcPr>
                  <w:p w14:paraId="0247F2AD" w14:textId="77777777" w:rsidR="00B201D3" w:rsidRDefault="009855E8">
                    <w:pPr>
                      <w:rPr>
                        <w:rFonts w:asciiTheme="minorEastAsia" w:eastAsiaTheme="minorEastAsia" w:hAnsiTheme="minorEastAsia"/>
                      </w:rPr>
                    </w:pPr>
                    <w:r>
                      <w:rPr>
                        <w:rFonts w:asciiTheme="minorEastAsia" w:eastAsiaTheme="minorEastAsia" w:hAnsiTheme="minorEastAsia"/>
                      </w:rPr>
                      <w:t>公司</w:t>
                    </w:r>
                  </w:p>
                  <w:p w14:paraId="1D358B3A" w14:textId="77777777" w:rsidR="00B201D3" w:rsidRDefault="009855E8">
                    <w:pPr>
                      <w:rPr>
                        <w:rFonts w:asciiTheme="minorEastAsia" w:eastAsiaTheme="minorEastAsia" w:hAnsiTheme="minorEastAsia"/>
                      </w:rPr>
                    </w:pPr>
                    <w:r>
                      <w:rPr>
                        <w:rFonts w:asciiTheme="minorEastAsia" w:eastAsiaTheme="minorEastAsia" w:hAnsiTheme="minorEastAsia"/>
                      </w:rPr>
                      <w:t>免责</w:t>
                    </w:r>
                  </w:p>
                </w:tc>
                <w:tc>
                  <w:tcPr>
                    <w:tcW w:w="719" w:type="dxa"/>
                    <w:vAlign w:val="center"/>
                  </w:tcPr>
                  <w:p w14:paraId="2A2AE247" w14:textId="77777777" w:rsidR="00B201D3" w:rsidRDefault="009855E8">
                    <w:pPr>
                      <w:rPr>
                        <w:rFonts w:asciiTheme="minorEastAsia" w:eastAsiaTheme="minorEastAsia" w:hAnsiTheme="minorEastAsia"/>
                      </w:rPr>
                    </w:pPr>
                    <w:r>
                      <w:rPr>
                        <w:rFonts w:asciiTheme="minorEastAsia" w:eastAsiaTheme="minorEastAsia" w:hAnsiTheme="minorEastAsia"/>
                      </w:rPr>
                      <w:t>-</w:t>
                    </w:r>
                  </w:p>
                </w:tc>
              </w:tr>
            </w:sdtContent>
          </w:sdt>
          <w:sdt>
            <w:sdtPr>
              <w:rPr>
                <w:rFonts w:asciiTheme="minorEastAsia" w:eastAsiaTheme="minorEastAsia" w:hAnsiTheme="minorEastAsia" w:cstheme="minorBidi" w:hint="eastAsia"/>
                <w:kern w:val="2"/>
                <w:szCs w:val="22"/>
              </w:rPr>
              <w:alias w:val="重大诉讼、仲裁事项"/>
              <w:tag w:val="_TUP_234d07ec13744d019fad4109a2500e1c"/>
              <w:id w:val="284469405"/>
              <w:lock w:val="sdtLocked"/>
            </w:sdtPr>
            <w:sdtEndPr/>
            <w:sdtContent>
              <w:tr w:rsidR="00B201D3" w14:paraId="5B0CCF20" w14:textId="77777777">
                <w:tc>
                  <w:tcPr>
                    <w:tcW w:w="675" w:type="dxa"/>
                    <w:vAlign w:val="center"/>
                  </w:tcPr>
                  <w:p w14:paraId="4DB901F3" w14:textId="77777777" w:rsidR="00B201D3" w:rsidRDefault="009855E8">
                    <w:pPr>
                      <w:rPr>
                        <w:rFonts w:asciiTheme="minorEastAsia" w:eastAsiaTheme="minorEastAsia" w:hAnsiTheme="minorEastAsia"/>
                      </w:rPr>
                    </w:pPr>
                    <w:r>
                      <w:rPr>
                        <w:rFonts w:asciiTheme="minorEastAsia" w:eastAsiaTheme="minorEastAsia" w:hAnsiTheme="minorEastAsia"/>
                      </w:rPr>
                      <w:t>厦门信达股份有限公司（“厦门信达”）</w:t>
                    </w:r>
                  </w:p>
                </w:tc>
                <w:tc>
                  <w:tcPr>
                    <w:tcW w:w="709" w:type="dxa"/>
                    <w:vAlign w:val="center"/>
                  </w:tcPr>
                  <w:p w14:paraId="4D8CB652" w14:textId="77777777" w:rsidR="00B201D3" w:rsidRDefault="009855E8">
                    <w:pPr>
                      <w:rPr>
                        <w:rFonts w:asciiTheme="minorEastAsia" w:eastAsiaTheme="minorEastAsia" w:hAnsiTheme="minorEastAsia"/>
                      </w:rPr>
                    </w:pPr>
                    <w:r>
                      <w:rPr>
                        <w:rFonts w:asciiTheme="minorEastAsia" w:eastAsiaTheme="minorEastAsia" w:hAnsiTheme="minorEastAsia"/>
                      </w:rPr>
                      <w:t>山东中垠物流有限公司（“中垠物流”）</w:t>
                    </w:r>
                  </w:p>
                </w:tc>
                <w:tc>
                  <w:tcPr>
                    <w:tcW w:w="709" w:type="dxa"/>
                    <w:vAlign w:val="center"/>
                  </w:tcPr>
                  <w:p w14:paraId="2A3B48F9" w14:textId="77777777" w:rsidR="00B201D3" w:rsidRDefault="009855E8">
                    <w:pPr>
                      <w:rPr>
                        <w:rFonts w:asciiTheme="minorEastAsia" w:eastAsiaTheme="minorEastAsia" w:hAnsiTheme="minorEastAsia"/>
                      </w:rPr>
                    </w:pPr>
                    <w:r>
                      <w:rPr>
                        <w:rFonts w:asciiTheme="minorEastAsia" w:eastAsiaTheme="minorEastAsia" w:hAnsiTheme="minorEastAsia"/>
                      </w:rPr>
                      <w:t>兖矿能源</w:t>
                    </w:r>
                  </w:p>
                </w:tc>
                <w:tc>
                  <w:tcPr>
                    <w:tcW w:w="425" w:type="dxa"/>
                    <w:vAlign w:val="center"/>
                  </w:tcPr>
                  <w:p w14:paraId="3F6B427D" w14:textId="77777777" w:rsidR="00B201D3" w:rsidRDefault="009855E8">
                    <w:pPr>
                      <w:rPr>
                        <w:rFonts w:asciiTheme="minorEastAsia" w:eastAsiaTheme="minorEastAsia" w:hAnsiTheme="minorEastAsia"/>
                      </w:rPr>
                    </w:pPr>
                    <w:r>
                      <w:rPr>
                        <w:rFonts w:asciiTheme="minorEastAsia" w:eastAsiaTheme="minorEastAsia" w:hAnsiTheme="minorEastAsia"/>
                      </w:rPr>
                      <w:t>诉讼</w:t>
                    </w:r>
                  </w:p>
                </w:tc>
                <w:tc>
                  <w:tcPr>
                    <w:tcW w:w="2410" w:type="dxa"/>
                    <w:vAlign w:val="center"/>
                  </w:tcPr>
                  <w:p w14:paraId="10E27A92" w14:textId="77777777" w:rsidR="00B201D3" w:rsidRDefault="009855E8">
                    <w:pPr>
                      <w:rPr>
                        <w:rFonts w:asciiTheme="minorEastAsia" w:eastAsiaTheme="minorEastAsia" w:hAnsiTheme="minorEastAsia"/>
                      </w:rPr>
                    </w:pPr>
                    <w:r>
                      <w:rPr>
                        <w:rFonts w:asciiTheme="minorEastAsia" w:eastAsiaTheme="minorEastAsia" w:hAnsiTheme="minorEastAsia"/>
                      </w:rPr>
                      <w:t>2020年3月，厦门信达以买卖合同纠纷为由，将中垠物流、兖矿能源诉至厦门市中级人民法院（“厦门中院”），要求中垠物流返还货款本金及相应利息23,266.09万元，要求公司承担连带责任。</w:t>
                    </w:r>
                  </w:p>
                  <w:p w14:paraId="5B84FF9D" w14:textId="77777777" w:rsidR="00B201D3" w:rsidRDefault="009855E8">
                    <w:pPr>
                      <w:rPr>
                        <w:rFonts w:asciiTheme="minorEastAsia" w:eastAsiaTheme="minorEastAsia" w:hAnsiTheme="minorEastAsia"/>
                      </w:rPr>
                    </w:pPr>
                    <w:r>
                      <w:rPr>
                        <w:rFonts w:asciiTheme="minorEastAsia" w:eastAsiaTheme="minorEastAsia" w:hAnsiTheme="minorEastAsia"/>
                      </w:rPr>
                      <w:t>2022年6月，厦门中院一审驳回厦门信达起诉，兖矿能源胜诉。厦门信达上诉至福建省高级人民法院（“福建高院”）。</w:t>
                    </w:r>
                  </w:p>
                  <w:p w14:paraId="184F1C4E" w14:textId="77777777" w:rsidR="00B201D3" w:rsidRDefault="009855E8">
                    <w:pPr>
                      <w:rPr>
                        <w:rFonts w:asciiTheme="minorEastAsia" w:eastAsiaTheme="minorEastAsia" w:hAnsiTheme="minorEastAsia"/>
                      </w:rPr>
                    </w:pPr>
                    <w:r>
                      <w:rPr>
                        <w:rFonts w:asciiTheme="minorEastAsia" w:eastAsiaTheme="minorEastAsia" w:hAnsiTheme="minorEastAsia"/>
                      </w:rPr>
                      <w:t>2022年10月15日，公司收到福建高院裁定，将本案发回厦门中院重审。</w:t>
                    </w:r>
                  </w:p>
                </w:tc>
                <w:tc>
                  <w:tcPr>
                    <w:tcW w:w="1276" w:type="dxa"/>
                    <w:vAlign w:val="center"/>
                  </w:tcPr>
                  <w:p w14:paraId="2DFD8FE3" w14:textId="77777777" w:rsidR="00B201D3" w:rsidRDefault="009855E8">
                    <w:pPr>
                      <w:jc w:val="right"/>
                      <w:rPr>
                        <w:rFonts w:asciiTheme="minorEastAsia" w:eastAsiaTheme="minorEastAsia" w:hAnsiTheme="minorEastAsia"/>
                      </w:rPr>
                    </w:pPr>
                    <w:r>
                      <w:rPr>
                        <w:rFonts w:asciiTheme="minorEastAsia" w:eastAsiaTheme="minorEastAsia" w:hAnsiTheme="minorEastAsia"/>
                      </w:rPr>
                      <w:t>23,266.09</w:t>
                    </w:r>
                  </w:p>
                </w:tc>
                <w:tc>
                  <w:tcPr>
                    <w:tcW w:w="567" w:type="dxa"/>
                    <w:vAlign w:val="center"/>
                  </w:tcPr>
                  <w:p w14:paraId="7385D01A" w14:textId="77777777" w:rsidR="00B201D3" w:rsidRDefault="009855E8">
                    <w:pPr>
                      <w:rPr>
                        <w:rFonts w:asciiTheme="minorEastAsia" w:eastAsiaTheme="minorEastAsia" w:hAnsiTheme="minorEastAsia"/>
                      </w:rPr>
                    </w:pPr>
                    <w:r>
                      <w:rPr>
                        <w:rFonts w:asciiTheme="minorEastAsia" w:eastAsiaTheme="minorEastAsia" w:hAnsiTheme="minorEastAsia"/>
                      </w:rPr>
                      <w:t>否</w:t>
                    </w:r>
                  </w:p>
                </w:tc>
                <w:tc>
                  <w:tcPr>
                    <w:tcW w:w="567" w:type="dxa"/>
                    <w:vAlign w:val="center"/>
                  </w:tcPr>
                  <w:p w14:paraId="6F8D7113" w14:textId="77777777" w:rsidR="00B201D3" w:rsidRDefault="009855E8">
                    <w:pPr>
                      <w:rPr>
                        <w:rFonts w:asciiTheme="minorEastAsia" w:eastAsiaTheme="minorEastAsia" w:hAnsiTheme="minorEastAsia"/>
                      </w:rPr>
                    </w:pPr>
                    <w:r>
                      <w:rPr>
                        <w:rFonts w:asciiTheme="minorEastAsia" w:eastAsiaTheme="minorEastAsia" w:hAnsiTheme="minorEastAsia"/>
                      </w:rPr>
                      <w:t>重审一审程序</w:t>
                    </w:r>
                  </w:p>
                </w:tc>
                <w:tc>
                  <w:tcPr>
                    <w:tcW w:w="992" w:type="dxa"/>
                    <w:vAlign w:val="center"/>
                  </w:tcPr>
                  <w:p w14:paraId="2037DB04" w14:textId="77777777" w:rsidR="00B201D3" w:rsidRDefault="009855E8">
                    <w:pPr>
                      <w:rPr>
                        <w:rFonts w:asciiTheme="minorEastAsia" w:eastAsiaTheme="minorEastAsia" w:hAnsiTheme="minorEastAsia"/>
                      </w:rPr>
                    </w:pPr>
                    <w:r>
                      <w:rPr>
                        <w:rFonts w:asciiTheme="minorEastAsia" w:eastAsiaTheme="minorEastAsia" w:hAnsiTheme="minorEastAsia"/>
                      </w:rPr>
                      <w:t>本案目前正在履行重审一审程序，尚无法判断本次诉讼事项对公司期后利润的影响。</w:t>
                    </w:r>
                  </w:p>
                </w:tc>
                <w:tc>
                  <w:tcPr>
                    <w:tcW w:w="719" w:type="dxa"/>
                    <w:vAlign w:val="center"/>
                  </w:tcPr>
                  <w:p w14:paraId="19D9FEB3" w14:textId="77777777" w:rsidR="00B201D3" w:rsidRDefault="009855E8">
                    <w:pPr>
                      <w:rPr>
                        <w:rFonts w:asciiTheme="minorEastAsia" w:eastAsiaTheme="minorEastAsia" w:hAnsiTheme="minorEastAsia"/>
                      </w:rPr>
                    </w:pPr>
                    <w:r>
                      <w:rPr>
                        <w:rFonts w:asciiTheme="minorEastAsia" w:eastAsiaTheme="minorEastAsia" w:hAnsiTheme="minorEastAsia"/>
                      </w:rPr>
                      <w:t>-</w:t>
                    </w:r>
                  </w:p>
                </w:tc>
              </w:tr>
            </w:sdtContent>
          </w:sdt>
          <w:sdt>
            <w:sdtPr>
              <w:rPr>
                <w:rFonts w:asciiTheme="minorEastAsia" w:eastAsiaTheme="minorEastAsia" w:hAnsiTheme="minorEastAsia" w:cstheme="minorBidi" w:hint="eastAsia"/>
                <w:kern w:val="2"/>
                <w:szCs w:val="22"/>
              </w:rPr>
              <w:alias w:val="重大诉讼、仲裁事项"/>
              <w:tag w:val="_TUP_234d07ec13744d019fad4109a2500e1c"/>
              <w:id w:val="-501820052"/>
              <w:lock w:val="sdtLocked"/>
            </w:sdtPr>
            <w:sdtEndPr/>
            <w:sdtContent>
              <w:tr w:rsidR="00B201D3" w14:paraId="62DC3F98" w14:textId="77777777">
                <w:tc>
                  <w:tcPr>
                    <w:tcW w:w="675" w:type="dxa"/>
                    <w:vAlign w:val="center"/>
                  </w:tcPr>
                  <w:p w14:paraId="1572DE03" w14:textId="77777777" w:rsidR="00B201D3" w:rsidRDefault="009855E8">
                    <w:pPr>
                      <w:rPr>
                        <w:rFonts w:asciiTheme="minorEastAsia" w:eastAsiaTheme="minorEastAsia" w:hAnsiTheme="minorEastAsia"/>
                      </w:rPr>
                    </w:pPr>
                    <w:r>
                      <w:rPr>
                        <w:rFonts w:asciiTheme="minorEastAsia" w:eastAsiaTheme="minorEastAsia" w:hAnsiTheme="minorEastAsia" w:cstheme="minorBidi" w:hint="eastAsia"/>
                        <w:kern w:val="2"/>
                        <w:szCs w:val="22"/>
                      </w:rPr>
                      <w:t>鄂尔多斯市金诚泰化工有限责任公司</w:t>
                    </w:r>
                    <w:r>
                      <w:rPr>
                        <w:rFonts w:asciiTheme="minorEastAsia" w:eastAsiaTheme="minorEastAsia" w:hAnsiTheme="minorEastAsia" w:hint="eastAsia"/>
                      </w:rPr>
                      <w:t>（“金诚泰”）</w:t>
                    </w:r>
                  </w:p>
                </w:tc>
                <w:tc>
                  <w:tcPr>
                    <w:tcW w:w="709" w:type="dxa"/>
                    <w:vAlign w:val="center"/>
                  </w:tcPr>
                  <w:p w14:paraId="72BBD554" w14:textId="77777777" w:rsidR="00B201D3" w:rsidRDefault="009855E8">
                    <w:pPr>
                      <w:rPr>
                        <w:rFonts w:asciiTheme="minorEastAsia" w:eastAsiaTheme="minorEastAsia" w:hAnsiTheme="minorEastAsia"/>
                      </w:rPr>
                    </w:pPr>
                    <w:r>
                      <w:rPr>
                        <w:rFonts w:asciiTheme="minorEastAsia" w:eastAsiaTheme="minorEastAsia" w:hAnsiTheme="minorEastAsia"/>
                      </w:rPr>
                      <w:t>兖矿能源</w:t>
                    </w:r>
                  </w:p>
                </w:tc>
                <w:tc>
                  <w:tcPr>
                    <w:tcW w:w="709" w:type="dxa"/>
                    <w:vAlign w:val="center"/>
                  </w:tcPr>
                  <w:p w14:paraId="2AF3F938" w14:textId="77777777" w:rsidR="00B201D3" w:rsidRDefault="009855E8">
                    <w:pPr>
                      <w:rPr>
                        <w:rFonts w:asciiTheme="minorEastAsia" w:eastAsiaTheme="minorEastAsia" w:hAnsiTheme="minorEastAsia"/>
                      </w:rPr>
                    </w:pPr>
                    <w:r>
                      <w:rPr>
                        <w:rFonts w:asciiTheme="minorEastAsia" w:eastAsiaTheme="minorEastAsia" w:hAnsiTheme="minorEastAsia"/>
                      </w:rPr>
                      <w:t>无</w:t>
                    </w:r>
                  </w:p>
                </w:tc>
                <w:tc>
                  <w:tcPr>
                    <w:tcW w:w="425" w:type="dxa"/>
                    <w:vAlign w:val="center"/>
                  </w:tcPr>
                  <w:p w14:paraId="6CAC9D00" w14:textId="77777777" w:rsidR="00B201D3" w:rsidRDefault="009855E8">
                    <w:pPr>
                      <w:rPr>
                        <w:rFonts w:asciiTheme="minorEastAsia" w:eastAsiaTheme="minorEastAsia" w:hAnsiTheme="minorEastAsia"/>
                      </w:rPr>
                    </w:pPr>
                    <w:r>
                      <w:rPr>
                        <w:rFonts w:asciiTheme="minorEastAsia" w:eastAsiaTheme="minorEastAsia" w:hAnsiTheme="minorEastAsia"/>
                      </w:rPr>
                      <w:t>仲裁</w:t>
                    </w:r>
                  </w:p>
                </w:tc>
                <w:tc>
                  <w:tcPr>
                    <w:tcW w:w="2410" w:type="dxa"/>
                    <w:vAlign w:val="center"/>
                  </w:tcPr>
                  <w:p w14:paraId="35100A07" w14:textId="77777777" w:rsidR="00B201D3" w:rsidRDefault="009855E8">
                    <w:pPr>
                      <w:rPr>
                        <w:rFonts w:asciiTheme="minorEastAsia" w:eastAsiaTheme="minorEastAsia" w:hAnsiTheme="minorEastAsia"/>
                      </w:rPr>
                    </w:pPr>
                    <w:r>
                      <w:rPr>
                        <w:rFonts w:asciiTheme="minorEastAsia" w:eastAsiaTheme="minorEastAsia" w:hAnsiTheme="minorEastAsia"/>
                      </w:rPr>
                      <w:t>2022年7月5日，金诚泰以股权转让合同纠纷为由，向中国贸仲提出仲裁申请，要求兖矿能源给付金诚泰煤矿股权转让费及滞纳金101,590.15万元。目前，正在履行仲裁程序。</w:t>
                    </w:r>
                  </w:p>
                </w:tc>
                <w:tc>
                  <w:tcPr>
                    <w:tcW w:w="1276" w:type="dxa"/>
                    <w:vAlign w:val="center"/>
                  </w:tcPr>
                  <w:p w14:paraId="435D804A" w14:textId="77777777" w:rsidR="00B201D3" w:rsidRDefault="009855E8">
                    <w:pPr>
                      <w:jc w:val="right"/>
                      <w:rPr>
                        <w:rFonts w:asciiTheme="minorEastAsia" w:eastAsiaTheme="minorEastAsia" w:hAnsiTheme="minorEastAsia"/>
                      </w:rPr>
                    </w:pPr>
                    <w:r>
                      <w:rPr>
                        <w:rFonts w:asciiTheme="minorEastAsia" w:eastAsiaTheme="minorEastAsia" w:hAnsiTheme="minorEastAsia"/>
                      </w:rPr>
                      <w:t>101,590.15</w:t>
                    </w:r>
                  </w:p>
                </w:tc>
                <w:tc>
                  <w:tcPr>
                    <w:tcW w:w="567" w:type="dxa"/>
                    <w:vAlign w:val="center"/>
                  </w:tcPr>
                  <w:p w14:paraId="750F773D" w14:textId="77777777" w:rsidR="00B201D3" w:rsidRDefault="009855E8">
                    <w:pPr>
                      <w:rPr>
                        <w:rFonts w:asciiTheme="minorEastAsia" w:eastAsiaTheme="minorEastAsia" w:hAnsiTheme="minorEastAsia"/>
                      </w:rPr>
                    </w:pPr>
                    <w:r>
                      <w:rPr>
                        <w:rFonts w:asciiTheme="minorEastAsia" w:eastAsiaTheme="minorEastAsia" w:hAnsiTheme="minorEastAsia"/>
                      </w:rPr>
                      <w:t>否</w:t>
                    </w:r>
                  </w:p>
                </w:tc>
                <w:tc>
                  <w:tcPr>
                    <w:tcW w:w="567" w:type="dxa"/>
                    <w:vAlign w:val="center"/>
                  </w:tcPr>
                  <w:p w14:paraId="6D5E4FA0" w14:textId="77777777" w:rsidR="00B201D3" w:rsidRDefault="009855E8">
                    <w:pPr>
                      <w:rPr>
                        <w:rFonts w:asciiTheme="minorEastAsia" w:eastAsiaTheme="minorEastAsia" w:hAnsiTheme="minorEastAsia"/>
                      </w:rPr>
                    </w:pPr>
                    <w:r>
                      <w:rPr>
                        <w:rFonts w:asciiTheme="minorEastAsia" w:eastAsiaTheme="minorEastAsia" w:hAnsiTheme="minorEastAsia"/>
                      </w:rPr>
                      <w:t>仲裁</w:t>
                    </w:r>
                  </w:p>
                </w:tc>
                <w:tc>
                  <w:tcPr>
                    <w:tcW w:w="992" w:type="dxa"/>
                    <w:vAlign w:val="center"/>
                  </w:tcPr>
                  <w:p w14:paraId="56219FB0" w14:textId="77777777" w:rsidR="00B201D3" w:rsidRDefault="009855E8">
                    <w:pPr>
                      <w:rPr>
                        <w:rFonts w:asciiTheme="minorEastAsia" w:eastAsiaTheme="minorEastAsia" w:hAnsiTheme="minorEastAsia"/>
                      </w:rPr>
                    </w:pPr>
                    <w:r>
                      <w:rPr>
                        <w:rFonts w:asciiTheme="minorEastAsia" w:eastAsiaTheme="minorEastAsia" w:hAnsiTheme="minorEastAsia"/>
                      </w:rPr>
                      <w:t>本案目前正在履行仲裁程序，尚无法判断本次诉讼事项对公司期后利润的影响。</w:t>
                    </w:r>
                  </w:p>
                </w:tc>
                <w:tc>
                  <w:tcPr>
                    <w:tcW w:w="719" w:type="dxa"/>
                    <w:vAlign w:val="center"/>
                  </w:tcPr>
                  <w:p w14:paraId="62F818CC" w14:textId="77777777" w:rsidR="00B201D3" w:rsidRDefault="009855E8">
                    <w:pPr>
                      <w:rPr>
                        <w:rFonts w:asciiTheme="minorEastAsia" w:eastAsiaTheme="minorEastAsia" w:hAnsiTheme="minorEastAsia"/>
                      </w:rPr>
                    </w:pPr>
                    <w:r>
                      <w:rPr>
                        <w:rFonts w:asciiTheme="minorEastAsia" w:eastAsiaTheme="minorEastAsia" w:hAnsiTheme="minorEastAsia"/>
                      </w:rPr>
                      <w:t>-</w:t>
                    </w:r>
                  </w:p>
                </w:tc>
              </w:tr>
            </w:sdtContent>
          </w:sdt>
          <w:sdt>
            <w:sdtPr>
              <w:rPr>
                <w:rFonts w:asciiTheme="minorEastAsia" w:eastAsiaTheme="minorEastAsia" w:hAnsiTheme="minorEastAsia" w:cstheme="minorBidi" w:hint="eastAsia"/>
                <w:kern w:val="2"/>
                <w:szCs w:val="22"/>
              </w:rPr>
              <w:alias w:val="重大诉讼、仲裁事项"/>
              <w:tag w:val="_TUP_234d07ec13744d019fad4109a2500e1c"/>
              <w:id w:val="26991341"/>
              <w:lock w:val="sdtLocked"/>
            </w:sdtPr>
            <w:sdtEndPr/>
            <w:sdtContent>
              <w:tr w:rsidR="00B201D3" w14:paraId="169CE6EF" w14:textId="77777777">
                <w:tc>
                  <w:tcPr>
                    <w:tcW w:w="675" w:type="dxa"/>
                    <w:vAlign w:val="center"/>
                  </w:tcPr>
                  <w:p w14:paraId="3680A33B" w14:textId="77777777" w:rsidR="00B201D3" w:rsidRDefault="009855E8">
                    <w:pPr>
                      <w:rPr>
                        <w:rFonts w:asciiTheme="minorEastAsia" w:eastAsiaTheme="minorEastAsia" w:hAnsiTheme="minorEastAsia"/>
                      </w:rPr>
                    </w:pPr>
                    <w:r>
                      <w:rPr>
                        <w:rFonts w:asciiTheme="minorEastAsia" w:eastAsiaTheme="minorEastAsia" w:hAnsiTheme="minorEastAsia"/>
                      </w:rPr>
                      <w:t>青岛中兖贸易有限公司（“青岛中兖”）</w:t>
                    </w:r>
                  </w:p>
                </w:tc>
                <w:tc>
                  <w:tcPr>
                    <w:tcW w:w="709" w:type="dxa"/>
                    <w:vAlign w:val="center"/>
                  </w:tcPr>
                  <w:p w14:paraId="0002CF53" w14:textId="77777777" w:rsidR="00B201D3" w:rsidRDefault="009855E8">
                    <w:pPr>
                      <w:rPr>
                        <w:rFonts w:asciiTheme="minorEastAsia" w:eastAsiaTheme="minorEastAsia" w:hAnsiTheme="minorEastAsia"/>
                      </w:rPr>
                    </w:pPr>
                    <w:r>
                      <w:rPr>
                        <w:rFonts w:asciiTheme="minorEastAsia" w:eastAsiaTheme="minorEastAsia" w:hAnsiTheme="minorEastAsia"/>
                      </w:rPr>
                      <w:t>大连集装箱码头物流有限公司（“大连码头”）</w:t>
                    </w:r>
                  </w:p>
                </w:tc>
                <w:tc>
                  <w:tcPr>
                    <w:tcW w:w="709" w:type="dxa"/>
                    <w:vAlign w:val="center"/>
                  </w:tcPr>
                  <w:p w14:paraId="06D8622C" w14:textId="77777777" w:rsidR="00B201D3" w:rsidRDefault="009855E8">
                    <w:pPr>
                      <w:rPr>
                        <w:rFonts w:asciiTheme="minorEastAsia" w:eastAsiaTheme="minorEastAsia" w:hAnsiTheme="minorEastAsia"/>
                      </w:rPr>
                    </w:pPr>
                    <w:r>
                      <w:rPr>
                        <w:rFonts w:asciiTheme="minorEastAsia" w:eastAsiaTheme="minorEastAsia" w:hAnsiTheme="minorEastAsia"/>
                      </w:rPr>
                      <w:t>无</w:t>
                    </w:r>
                  </w:p>
                </w:tc>
                <w:tc>
                  <w:tcPr>
                    <w:tcW w:w="425" w:type="dxa"/>
                    <w:vAlign w:val="center"/>
                  </w:tcPr>
                  <w:p w14:paraId="363ADC3F" w14:textId="77777777" w:rsidR="00B201D3" w:rsidRDefault="009855E8">
                    <w:pPr>
                      <w:rPr>
                        <w:rFonts w:asciiTheme="minorEastAsia" w:eastAsiaTheme="minorEastAsia" w:hAnsiTheme="minorEastAsia"/>
                      </w:rPr>
                    </w:pPr>
                    <w:r>
                      <w:rPr>
                        <w:rFonts w:asciiTheme="minorEastAsia" w:eastAsiaTheme="minorEastAsia" w:hAnsiTheme="minorEastAsia"/>
                      </w:rPr>
                      <w:t>诉讼</w:t>
                    </w:r>
                  </w:p>
                </w:tc>
                <w:tc>
                  <w:tcPr>
                    <w:tcW w:w="2410" w:type="dxa"/>
                    <w:vAlign w:val="center"/>
                  </w:tcPr>
                  <w:p w14:paraId="0B202F49" w14:textId="77777777" w:rsidR="00B201D3" w:rsidRDefault="009855E8">
                    <w:pPr>
                      <w:rPr>
                        <w:rFonts w:asciiTheme="minorEastAsia" w:eastAsiaTheme="minorEastAsia" w:hAnsiTheme="minorEastAsia"/>
                      </w:rPr>
                    </w:pPr>
                    <w:r>
                      <w:rPr>
                        <w:rFonts w:asciiTheme="minorEastAsia" w:eastAsiaTheme="minorEastAsia" w:hAnsiTheme="minorEastAsia"/>
                      </w:rPr>
                      <w:t>2021年4月，兖矿能源全资子公司青岛中兖以仓储合同纠纷为由，将大连码头诉至大连海事法院，要求其赔偿货物损失16,924.64万元。</w:t>
                    </w:r>
                  </w:p>
                  <w:p w14:paraId="6CC2A815" w14:textId="77777777" w:rsidR="00B201D3" w:rsidRDefault="009855E8">
                    <w:pPr>
                      <w:rPr>
                        <w:rFonts w:asciiTheme="minorEastAsia" w:eastAsiaTheme="minorEastAsia" w:hAnsiTheme="minorEastAsia"/>
                      </w:rPr>
                    </w:pPr>
                    <w:r>
                      <w:rPr>
                        <w:rFonts w:asciiTheme="minorEastAsia" w:eastAsiaTheme="minorEastAsia" w:hAnsiTheme="minorEastAsia" w:cs="Times New Roman" w:hint="eastAsia"/>
                      </w:rPr>
                      <w:t>2023</w:t>
                    </w:r>
                    <w:r>
                      <w:rPr>
                        <w:rFonts w:asciiTheme="minorEastAsia" w:eastAsiaTheme="minorEastAsia" w:hAnsiTheme="minorEastAsia" w:hint="eastAsia"/>
                      </w:rPr>
                      <w:t>年</w:t>
                    </w:r>
                    <w:r>
                      <w:rPr>
                        <w:rFonts w:asciiTheme="minorEastAsia" w:eastAsiaTheme="minorEastAsia" w:hAnsiTheme="minorEastAsia" w:cs="Times New Roman" w:hint="eastAsia"/>
                      </w:rPr>
                      <w:t>6</w:t>
                    </w:r>
                    <w:r>
                      <w:rPr>
                        <w:rFonts w:asciiTheme="minorEastAsia" w:eastAsiaTheme="minorEastAsia" w:hAnsiTheme="minorEastAsia" w:hint="eastAsia"/>
                      </w:rPr>
                      <w:t>月</w:t>
                    </w:r>
                    <w:r>
                      <w:rPr>
                        <w:rFonts w:asciiTheme="minorEastAsia" w:eastAsiaTheme="minorEastAsia" w:hAnsiTheme="minorEastAsia" w:cs="Times New Roman" w:hint="eastAsia"/>
                      </w:rPr>
                      <w:t>21</w:t>
                    </w:r>
                    <w:r>
                      <w:rPr>
                        <w:rFonts w:asciiTheme="minorEastAsia" w:eastAsiaTheme="minorEastAsia" w:hAnsiTheme="minorEastAsia" w:hint="eastAsia"/>
                      </w:rPr>
                      <w:t>日，青岛中兖收到一审胜诉判决</w:t>
                    </w:r>
                    <w:r>
                      <w:rPr>
                        <w:rFonts w:asciiTheme="minorEastAsia" w:eastAsiaTheme="minorEastAsia" w:hAnsiTheme="minorEastAsia"/>
                      </w:rPr>
                      <w:t>。</w:t>
                    </w:r>
                    <w:r>
                      <w:rPr>
                        <w:rFonts w:asciiTheme="minorEastAsia" w:eastAsiaTheme="minorEastAsia" w:hAnsiTheme="minorEastAsia" w:hint="eastAsia"/>
                      </w:rPr>
                      <w:t>大连码头不服一审判决，已提起上诉。</w:t>
                    </w:r>
                  </w:p>
                  <w:p w14:paraId="02B7200C" w14:textId="77777777" w:rsidR="00B201D3" w:rsidRDefault="00B201D3">
                    <w:pPr>
                      <w:rPr>
                        <w:rFonts w:asciiTheme="minorEastAsia" w:eastAsiaTheme="minorEastAsia" w:hAnsiTheme="minorEastAsia"/>
                      </w:rPr>
                    </w:pPr>
                  </w:p>
                </w:tc>
                <w:tc>
                  <w:tcPr>
                    <w:tcW w:w="1276" w:type="dxa"/>
                    <w:vAlign w:val="center"/>
                  </w:tcPr>
                  <w:p w14:paraId="46552DEC" w14:textId="77777777" w:rsidR="00B201D3" w:rsidRDefault="009855E8">
                    <w:pPr>
                      <w:jc w:val="right"/>
                      <w:rPr>
                        <w:rFonts w:asciiTheme="minorEastAsia" w:eastAsiaTheme="minorEastAsia" w:hAnsiTheme="minorEastAsia"/>
                      </w:rPr>
                    </w:pPr>
                    <w:r>
                      <w:rPr>
                        <w:rFonts w:asciiTheme="minorEastAsia" w:eastAsiaTheme="minorEastAsia" w:hAnsiTheme="minorEastAsia"/>
                      </w:rPr>
                      <w:t>16,924.64</w:t>
                    </w:r>
                  </w:p>
                </w:tc>
                <w:tc>
                  <w:tcPr>
                    <w:tcW w:w="567" w:type="dxa"/>
                    <w:vAlign w:val="center"/>
                  </w:tcPr>
                  <w:p w14:paraId="4CCF8E1A" w14:textId="77777777" w:rsidR="00B201D3" w:rsidRDefault="009855E8">
                    <w:pPr>
                      <w:rPr>
                        <w:rFonts w:asciiTheme="minorEastAsia" w:eastAsiaTheme="minorEastAsia" w:hAnsiTheme="minorEastAsia"/>
                      </w:rPr>
                    </w:pPr>
                    <w:r>
                      <w:rPr>
                        <w:rFonts w:asciiTheme="minorEastAsia" w:eastAsiaTheme="minorEastAsia" w:hAnsiTheme="minorEastAsia"/>
                      </w:rPr>
                      <w:t>否</w:t>
                    </w:r>
                  </w:p>
                </w:tc>
                <w:tc>
                  <w:tcPr>
                    <w:tcW w:w="567" w:type="dxa"/>
                    <w:vAlign w:val="center"/>
                  </w:tcPr>
                  <w:p w14:paraId="518B6458" w14:textId="77777777" w:rsidR="00B201D3" w:rsidRDefault="009855E8">
                    <w:pPr>
                      <w:rPr>
                        <w:rFonts w:asciiTheme="minorEastAsia" w:eastAsiaTheme="minorEastAsia" w:hAnsiTheme="minorEastAsia"/>
                      </w:rPr>
                    </w:pPr>
                    <w:r>
                      <w:rPr>
                        <w:rFonts w:asciiTheme="minorEastAsia" w:eastAsiaTheme="minorEastAsia" w:hAnsiTheme="minorEastAsia"/>
                      </w:rPr>
                      <w:t>二审程序</w:t>
                    </w:r>
                  </w:p>
                </w:tc>
                <w:tc>
                  <w:tcPr>
                    <w:tcW w:w="992" w:type="dxa"/>
                    <w:vAlign w:val="center"/>
                  </w:tcPr>
                  <w:p w14:paraId="6B956932" w14:textId="77777777" w:rsidR="00B201D3" w:rsidRDefault="009855E8">
                    <w:pPr>
                      <w:rPr>
                        <w:rFonts w:asciiTheme="minorEastAsia" w:eastAsiaTheme="minorEastAsia" w:hAnsiTheme="minorEastAsia"/>
                      </w:rPr>
                    </w:pPr>
                    <w:r>
                      <w:rPr>
                        <w:rFonts w:asciiTheme="minorEastAsia" w:eastAsiaTheme="minorEastAsia" w:hAnsiTheme="minorEastAsia"/>
                      </w:rPr>
                      <w:t>截至本报告期末，公司对本案涉及款项全额计提了减值准备，本次诉讼事项不会对公司期后利润产生不利影响。</w:t>
                    </w:r>
                  </w:p>
                </w:tc>
                <w:tc>
                  <w:tcPr>
                    <w:tcW w:w="719" w:type="dxa"/>
                    <w:vAlign w:val="center"/>
                  </w:tcPr>
                  <w:p w14:paraId="5DF18C36" w14:textId="77777777" w:rsidR="00B201D3" w:rsidRDefault="009855E8">
                    <w:pPr>
                      <w:rPr>
                        <w:rFonts w:asciiTheme="minorEastAsia" w:eastAsiaTheme="minorEastAsia" w:hAnsiTheme="minorEastAsia"/>
                      </w:rPr>
                    </w:pPr>
                    <w:r>
                      <w:rPr>
                        <w:rFonts w:asciiTheme="minorEastAsia" w:eastAsiaTheme="minorEastAsia" w:hAnsiTheme="minorEastAsia"/>
                      </w:rPr>
                      <w:t>-</w:t>
                    </w:r>
                  </w:p>
                </w:tc>
              </w:tr>
            </w:sdtContent>
          </w:sdt>
          <w:sdt>
            <w:sdtPr>
              <w:rPr>
                <w:rFonts w:asciiTheme="minorEastAsia" w:eastAsiaTheme="minorEastAsia" w:hAnsiTheme="minorEastAsia" w:cstheme="minorBidi" w:hint="eastAsia"/>
                <w:kern w:val="2"/>
                <w:szCs w:val="22"/>
              </w:rPr>
              <w:alias w:val="重大诉讼、仲裁事项"/>
              <w:tag w:val="_TUP_234d07ec13744d019fad4109a2500e1c"/>
              <w:id w:val="691495957"/>
              <w:lock w:val="sdtLocked"/>
            </w:sdtPr>
            <w:sdtEndPr>
              <w:rPr>
                <w:rFonts w:ascii="Times New Roman" w:hAnsi="Times New Roman" w:cs="宋体" w:hint="default"/>
                <w:kern w:val="0"/>
                <w:szCs w:val="21"/>
              </w:rPr>
            </w:sdtEndPr>
            <w:sdtContent>
              <w:tr w:rsidR="00B201D3" w14:paraId="7AFE5B9F" w14:textId="77777777">
                <w:tc>
                  <w:tcPr>
                    <w:tcW w:w="675" w:type="dxa"/>
                    <w:vAlign w:val="center"/>
                  </w:tcPr>
                  <w:p w14:paraId="1C542735" w14:textId="77777777" w:rsidR="00B201D3" w:rsidRDefault="009855E8">
                    <w:pPr>
                      <w:rPr>
                        <w:rFonts w:asciiTheme="minorEastAsia" w:eastAsiaTheme="minorEastAsia" w:hAnsiTheme="minorEastAsia" w:cstheme="minorBidi"/>
                        <w:kern w:val="2"/>
                        <w:szCs w:val="22"/>
                      </w:rPr>
                    </w:pPr>
                    <w:r>
                      <w:rPr>
                        <w:rFonts w:asciiTheme="minorEastAsia" w:eastAsiaTheme="minorEastAsia" w:hAnsiTheme="minorEastAsia"/>
                      </w:rPr>
                      <w:t>端信供应</w:t>
                    </w:r>
                    <w:r>
                      <w:rPr>
                        <w:rFonts w:asciiTheme="minorEastAsia" w:eastAsiaTheme="minorEastAsia" w:hAnsiTheme="minorEastAsia"/>
                      </w:rPr>
                      <w:lastRenderedPageBreak/>
                      <w:t>链（深圳）有限公司（“端信供应链”）</w:t>
                    </w:r>
                  </w:p>
                </w:tc>
                <w:tc>
                  <w:tcPr>
                    <w:tcW w:w="709" w:type="dxa"/>
                    <w:vAlign w:val="center"/>
                  </w:tcPr>
                  <w:p w14:paraId="6370E190" w14:textId="77777777" w:rsidR="00B201D3" w:rsidRDefault="009855E8">
                    <w:pPr>
                      <w:rPr>
                        <w:rFonts w:asciiTheme="minorEastAsia" w:eastAsiaTheme="minorEastAsia" w:hAnsiTheme="minorEastAsia"/>
                      </w:rPr>
                    </w:pPr>
                    <w:r>
                      <w:rPr>
                        <w:rFonts w:asciiTheme="minorEastAsia" w:eastAsiaTheme="minorEastAsia" w:hAnsiTheme="minorEastAsia"/>
                      </w:rPr>
                      <w:lastRenderedPageBreak/>
                      <w:t>沙钢（北</w:t>
                    </w:r>
                    <w:r>
                      <w:rPr>
                        <w:rFonts w:asciiTheme="minorEastAsia" w:eastAsiaTheme="minorEastAsia" w:hAnsiTheme="minorEastAsia"/>
                      </w:rPr>
                      <w:lastRenderedPageBreak/>
                      <w:t>京）国际投资有限公司（“沙钢北京”）</w:t>
                    </w:r>
                  </w:p>
                </w:tc>
                <w:tc>
                  <w:tcPr>
                    <w:tcW w:w="709" w:type="dxa"/>
                    <w:vAlign w:val="center"/>
                  </w:tcPr>
                  <w:p w14:paraId="7C8A2BD3" w14:textId="77777777" w:rsidR="00B201D3" w:rsidRDefault="009855E8">
                    <w:pPr>
                      <w:rPr>
                        <w:rFonts w:asciiTheme="minorEastAsia" w:eastAsiaTheme="minorEastAsia" w:hAnsiTheme="minorEastAsia"/>
                      </w:rPr>
                    </w:pPr>
                    <w:r>
                      <w:rPr>
                        <w:rFonts w:asciiTheme="minorEastAsia" w:eastAsiaTheme="minorEastAsia" w:hAnsiTheme="minorEastAsia"/>
                      </w:rPr>
                      <w:lastRenderedPageBreak/>
                      <w:t>天津万通</w:t>
                    </w:r>
                    <w:r>
                      <w:rPr>
                        <w:rFonts w:asciiTheme="minorEastAsia" w:eastAsiaTheme="minorEastAsia" w:hAnsiTheme="minorEastAsia"/>
                      </w:rPr>
                      <w:lastRenderedPageBreak/>
                      <w:t>恒信集团有限公司（“天津万通”）、李磊、江苏沙钢集团有限公司（“沙钢集团”）</w:t>
                    </w:r>
                  </w:p>
                </w:tc>
                <w:tc>
                  <w:tcPr>
                    <w:tcW w:w="425" w:type="dxa"/>
                    <w:vAlign w:val="center"/>
                  </w:tcPr>
                  <w:p w14:paraId="5BC027AD" w14:textId="77777777" w:rsidR="00B201D3" w:rsidRDefault="009855E8">
                    <w:pPr>
                      <w:rPr>
                        <w:rFonts w:asciiTheme="minorEastAsia" w:eastAsiaTheme="minorEastAsia" w:hAnsiTheme="minorEastAsia"/>
                      </w:rPr>
                    </w:pPr>
                    <w:r>
                      <w:rPr>
                        <w:rFonts w:asciiTheme="minorEastAsia" w:eastAsiaTheme="minorEastAsia" w:hAnsiTheme="minorEastAsia"/>
                      </w:rPr>
                      <w:lastRenderedPageBreak/>
                      <w:t>诉讼</w:t>
                    </w:r>
                  </w:p>
                </w:tc>
                <w:tc>
                  <w:tcPr>
                    <w:tcW w:w="2410" w:type="dxa"/>
                    <w:vAlign w:val="center"/>
                  </w:tcPr>
                  <w:p w14:paraId="75BEF295" w14:textId="77777777" w:rsidR="00B201D3" w:rsidRDefault="009855E8">
                    <w:pPr>
                      <w:rPr>
                        <w:rFonts w:asciiTheme="minorEastAsia" w:eastAsiaTheme="minorEastAsia" w:hAnsiTheme="minorEastAsia"/>
                      </w:rPr>
                    </w:pPr>
                    <w:r>
                      <w:rPr>
                        <w:rFonts w:asciiTheme="minorEastAsia" w:eastAsiaTheme="minorEastAsia" w:hAnsiTheme="minorEastAsia"/>
                      </w:rPr>
                      <w:t>2021年4月，兖矿能源全资子公司端信供应链</w:t>
                    </w:r>
                    <w:r>
                      <w:rPr>
                        <w:rFonts w:asciiTheme="minorEastAsia" w:eastAsiaTheme="minorEastAsia" w:hAnsiTheme="minorEastAsia"/>
                      </w:rPr>
                      <w:lastRenderedPageBreak/>
                      <w:t>以煤炭买卖合同纠纷为由，将沙钢北京诉至深圳市中级人民法院（“深圳中院”），要求其返还货款本金12,160.57万元及相应逾期付款违约金，天津万通、李磊及沙钢集团对上述款项承担连带责任。</w:t>
                    </w:r>
                  </w:p>
                  <w:p w14:paraId="4A0B6E5A" w14:textId="77777777" w:rsidR="00B201D3" w:rsidRDefault="009855E8">
                    <w:pPr>
                      <w:rPr>
                        <w:rFonts w:asciiTheme="minorEastAsia" w:eastAsiaTheme="minorEastAsia" w:hAnsiTheme="minorEastAsia"/>
                      </w:rPr>
                    </w:pPr>
                    <w:r>
                      <w:rPr>
                        <w:rFonts w:asciiTheme="minorEastAsia" w:eastAsiaTheme="minorEastAsia" w:hAnsiTheme="minorEastAsia"/>
                      </w:rPr>
                      <w:t>2023年3月，公司收到深圳中院的一审判决，公司胜诉。</w:t>
                    </w:r>
                  </w:p>
                  <w:p w14:paraId="3395474A" w14:textId="77777777" w:rsidR="00173697" w:rsidRPr="00BB7DD6" w:rsidRDefault="00173697" w:rsidP="00173697">
                    <w:pPr>
                      <w:rPr>
                        <w:rFonts w:asciiTheme="minorEastAsia" w:eastAsiaTheme="minorEastAsia" w:hAnsiTheme="minorEastAsia"/>
                      </w:rPr>
                    </w:pPr>
                    <w:r w:rsidRPr="00BB7DD6">
                      <w:rPr>
                        <w:rFonts w:asciiTheme="minorEastAsia" w:eastAsiaTheme="minorEastAsia" w:hAnsiTheme="minorEastAsia" w:hint="eastAsia"/>
                      </w:rPr>
                      <w:t>沙钢北京向广东省高级人民法院提起上诉。</w:t>
                    </w:r>
                  </w:p>
                  <w:p w14:paraId="396D3D0F" w14:textId="00DCBE80" w:rsidR="00173697" w:rsidRDefault="00173697" w:rsidP="00173697">
                    <w:pPr>
                      <w:rPr>
                        <w:rFonts w:asciiTheme="minorEastAsia" w:eastAsiaTheme="minorEastAsia" w:hAnsiTheme="minorEastAsia"/>
                      </w:rPr>
                    </w:pPr>
                    <w:r w:rsidRPr="00BB7DD6">
                      <w:rPr>
                        <w:rFonts w:asciiTheme="minorEastAsia" w:eastAsiaTheme="minorEastAsia" w:hAnsiTheme="minorEastAsia"/>
                      </w:rPr>
                      <w:t>2023年6月，公司收到二审受理通知，目前正在履行二审程序。</w:t>
                    </w:r>
                  </w:p>
                </w:tc>
                <w:tc>
                  <w:tcPr>
                    <w:tcW w:w="1276" w:type="dxa"/>
                    <w:vAlign w:val="center"/>
                  </w:tcPr>
                  <w:p w14:paraId="2ECC36E7" w14:textId="77777777" w:rsidR="00B201D3" w:rsidRDefault="009855E8">
                    <w:pPr>
                      <w:jc w:val="right"/>
                      <w:rPr>
                        <w:rFonts w:asciiTheme="minorEastAsia" w:eastAsiaTheme="minorEastAsia" w:hAnsiTheme="minorEastAsia"/>
                      </w:rPr>
                    </w:pPr>
                    <w:r>
                      <w:rPr>
                        <w:rFonts w:asciiTheme="minorEastAsia" w:eastAsiaTheme="minorEastAsia" w:hAnsiTheme="minorEastAsia"/>
                      </w:rPr>
                      <w:lastRenderedPageBreak/>
                      <w:t>12,160.57</w:t>
                    </w:r>
                  </w:p>
                </w:tc>
                <w:tc>
                  <w:tcPr>
                    <w:tcW w:w="567" w:type="dxa"/>
                    <w:vAlign w:val="center"/>
                  </w:tcPr>
                  <w:p w14:paraId="6B62F636" w14:textId="77777777" w:rsidR="00B201D3" w:rsidRDefault="009855E8">
                    <w:pPr>
                      <w:rPr>
                        <w:rFonts w:asciiTheme="minorEastAsia" w:eastAsiaTheme="minorEastAsia" w:hAnsiTheme="minorEastAsia"/>
                      </w:rPr>
                    </w:pPr>
                    <w:r>
                      <w:rPr>
                        <w:rFonts w:asciiTheme="minorEastAsia" w:eastAsiaTheme="minorEastAsia" w:hAnsiTheme="minorEastAsia"/>
                      </w:rPr>
                      <w:t>否</w:t>
                    </w:r>
                  </w:p>
                </w:tc>
                <w:tc>
                  <w:tcPr>
                    <w:tcW w:w="567" w:type="dxa"/>
                    <w:vAlign w:val="center"/>
                  </w:tcPr>
                  <w:p w14:paraId="4E8C5B98" w14:textId="57ABC4BC" w:rsidR="00B201D3" w:rsidRDefault="00173697">
                    <w:pPr>
                      <w:rPr>
                        <w:rFonts w:asciiTheme="minorEastAsia" w:eastAsiaTheme="minorEastAsia" w:hAnsiTheme="minorEastAsia"/>
                        <w:color w:val="FF0000"/>
                      </w:rPr>
                    </w:pPr>
                    <w:r>
                      <w:rPr>
                        <w:rFonts w:asciiTheme="minorEastAsia" w:eastAsiaTheme="minorEastAsia" w:hAnsiTheme="minorEastAsia" w:hint="eastAsia"/>
                      </w:rPr>
                      <w:t>二</w:t>
                    </w:r>
                    <w:r w:rsidR="009855E8">
                      <w:rPr>
                        <w:rFonts w:asciiTheme="minorEastAsia" w:eastAsiaTheme="minorEastAsia" w:hAnsiTheme="minorEastAsia"/>
                      </w:rPr>
                      <w:t>审</w:t>
                    </w:r>
                    <w:r>
                      <w:rPr>
                        <w:rFonts w:asciiTheme="minorEastAsia" w:eastAsiaTheme="minorEastAsia" w:hAnsiTheme="minorEastAsia" w:hint="eastAsia"/>
                      </w:rPr>
                      <w:lastRenderedPageBreak/>
                      <w:t>程序</w:t>
                    </w:r>
                  </w:p>
                </w:tc>
                <w:tc>
                  <w:tcPr>
                    <w:tcW w:w="992" w:type="dxa"/>
                    <w:vAlign w:val="center"/>
                  </w:tcPr>
                  <w:p w14:paraId="79A2B84C" w14:textId="77777777" w:rsidR="00B201D3" w:rsidRDefault="009855E8">
                    <w:pPr>
                      <w:rPr>
                        <w:rFonts w:asciiTheme="minorEastAsia" w:eastAsiaTheme="minorEastAsia" w:hAnsiTheme="minorEastAsia"/>
                      </w:rPr>
                    </w:pPr>
                    <w:r>
                      <w:rPr>
                        <w:rFonts w:asciiTheme="minorEastAsia" w:eastAsiaTheme="minorEastAsia" w:hAnsiTheme="minorEastAsia"/>
                      </w:rPr>
                      <w:lastRenderedPageBreak/>
                      <w:t>截至本报告期</w:t>
                    </w:r>
                    <w:r>
                      <w:rPr>
                        <w:rFonts w:asciiTheme="minorEastAsia" w:eastAsiaTheme="minorEastAsia" w:hAnsiTheme="minorEastAsia"/>
                      </w:rPr>
                      <w:lastRenderedPageBreak/>
                      <w:t>末，公司对本案涉及款项全额计提了减值准备，本次诉讼事项不会对公司期后利润产生不利影响。</w:t>
                    </w:r>
                  </w:p>
                </w:tc>
                <w:tc>
                  <w:tcPr>
                    <w:tcW w:w="719" w:type="dxa"/>
                    <w:vAlign w:val="center"/>
                  </w:tcPr>
                  <w:p w14:paraId="728532E4" w14:textId="77777777" w:rsidR="00B201D3" w:rsidRDefault="009855E8">
                    <w:pPr>
                      <w:rPr>
                        <w:rFonts w:asciiTheme="minorEastAsia" w:eastAsiaTheme="minorEastAsia" w:hAnsiTheme="minorEastAsia"/>
                      </w:rPr>
                    </w:pPr>
                    <w:r>
                      <w:rPr>
                        <w:rFonts w:asciiTheme="minorEastAsia" w:eastAsiaTheme="minorEastAsia" w:hAnsiTheme="minorEastAsia"/>
                      </w:rPr>
                      <w:lastRenderedPageBreak/>
                      <w:t>-</w:t>
                    </w:r>
                  </w:p>
                </w:tc>
              </w:tr>
            </w:sdtContent>
          </w:sdt>
          <w:sdt>
            <w:sdtPr>
              <w:rPr>
                <w:rFonts w:asciiTheme="minorEastAsia" w:eastAsiaTheme="minorEastAsia" w:hAnsiTheme="minorEastAsia" w:cstheme="minorBidi" w:hint="eastAsia"/>
                <w:kern w:val="2"/>
                <w:szCs w:val="22"/>
              </w:rPr>
              <w:alias w:val="重大诉讼、仲裁事项"/>
              <w:tag w:val="_TUP_234d07ec13744d019fad4109a2500e1c"/>
              <w:id w:val="-848106923"/>
              <w:lock w:val="sdtLocked"/>
            </w:sdtPr>
            <w:sdtEndPr>
              <w:rPr>
                <w:rFonts w:ascii="Times New Roman" w:hAnsi="Times New Roman" w:cs="宋体" w:hint="default"/>
                <w:kern w:val="0"/>
                <w:szCs w:val="21"/>
              </w:rPr>
            </w:sdtEndPr>
            <w:sdtContent>
              <w:tr w:rsidR="00B201D3" w14:paraId="31624743" w14:textId="77777777">
                <w:tc>
                  <w:tcPr>
                    <w:tcW w:w="675" w:type="dxa"/>
                    <w:vAlign w:val="center"/>
                  </w:tcPr>
                  <w:p w14:paraId="0B0DDA47" w14:textId="77777777" w:rsidR="00B201D3" w:rsidRDefault="009855E8">
                    <w:pPr>
                      <w:rPr>
                        <w:rFonts w:asciiTheme="minorEastAsia" w:eastAsiaTheme="minorEastAsia" w:hAnsiTheme="minorEastAsia" w:cstheme="minorBidi"/>
                        <w:kern w:val="2"/>
                        <w:szCs w:val="22"/>
                      </w:rPr>
                    </w:pPr>
                    <w:r>
                      <w:rPr>
                        <w:rFonts w:asciiTheme="minorEastAsia" w:eastAsiaTheme="minorEastAsia" w:hAnsiTheme="minorEastAsia"/>
                      </w:rPr>
                      <w:t>端信供应链</w:t>
                    </w:r>
                  </w:p>
                </w:tc>
                <w:tc>
                  <w:tcPr>
                    <w:tcW w:w="709" w:type="dxa"/>
                    <w:vAlign w:val="center"/>
                  </w:tcPr>
                  <w:p w14:paraId="2D7B7E7B" w14:textId="77777777" w:rsidR="00B201D3" w:rsidRDefault="009855E8">
                    <w:pPr>
                      <w:rPr>
                        <w:rFonts w:asciiTheme="minorEastAsia" w:eastAsiaTheme="minorEastAsia" w:hAnsiTheme="minorEastAsia"/>
                      </w:rPr>
                    </w:pPr>
                    <w:r>
                      <w:rPr>
                        <w:rFonts w:asciiTheme="minorEastAsia" w:eastAsiaTheme="minorEastAsia" w:hAnsiTheme="minorEastAsia"/>
                      </w:rPr>
                      <w:t>深圳市麦凯莱科技有限公司（“麦凯莱公司”）</w:t>
                    </w:r>
                  </w:p>
                </w:tc>
                <w:tc>
                  <w:tcPr>
                    <w:tcW w:w="709" w:type="dxa"/>
                    <w:vAlign w:val="center"/>
                  </w:tcPr>
                  <w:p w14:paraId="75B0005C" w14:textId="77777777" w:rsidR="00B201D3" w:rsidRDefault="009855E8">
                    <w:pPr>
                      <w:rPr>
                        <w:rFonts w:asciiTheme="minorEastAsia" w:eastAsiaTheme="minorEastAsia" w:hAnsiTheme="minorEastAsia"/>
                      </w:rPr>
                    </w:pPr>
                    <w:r>
                      <w:rPr>
                        <w:rFonts w:asciiTheme="minorEastAsia" w:eastAsiaTheme="minorEastAsia" w:hAnsiTheme="minorEastAsia"/>
                      </w:rPr>
                      <w:t>李冠玮、戴丽香等</w:t>
                    </w:r>
                  </w:p>
                </w:tc>
                <w:tc>
                  <w:tcPr>
                    <w:tcW w:w="425" w:type="dxa"/>
                    <w:vAlign w:val="center"/>
                  </w:tcPr>
                  <w:p w14:paraId="7C0AB4CA" w14:textId="77777777" w:rsidR="00B201D3" w:rsidRDefault="009855E8">
                    <w:pPr>
                      <w:rPr>
                        <w:rFonts w:asciiTheme="minorEastAsia" w:eastAsiaTheme="minorEastAsia" w:hAnsiTheme="minorEastAsia"/>
                      </w:rPr>
                    </w:pPr>
                    <w:r>
                      <w:rPr>
                        <w:rFonts w:asciiTheme="minorEastAsia" w:eastAsiaTheme="minorEastAsia" w:hAnsiTheme="minorEastAsia"/>
                      </w:rPr>
                      <w:t>诉讼</w:t>
                    </w:r>
                  </w:p>
                </w:tc>
                <w:tc>
                  <w:tcPr>
                    <w:tcW w:w="2410" w:type="dxa"/>
                    <w:vAlign w:val="center"/>
                  </w:tcPr>
                  <w:p w14:paraId="41C6B4D3" w14:textId="6E0CF4E4" w:rsidR="00B201D3" w:rsidRDefault="009855E8">
                    <w:pPr>
                      <w:rPr>
                        <w:rFonts w:asciiTheme="minorEastAsia" w:eastAsiaTheme="minorEastAsia" w:hAnsiTheme="minorEastAsia"/>
                      </w:rPr>
                    </w:pPr>
                    <w:r>
                      <w:rPr>
                        <w:rFonts w:asciiTheme="minorEastAsia" w:eastAsiaTheme="minorEastAsia" w:hAnsiTheme="minorEastAsia"/>
                      </w:rPr>
                      <w:t>2023年2月，端信供应链以债权债务纠纷为由，将麦凯莱公司及相关担保人起诉至深圳中院，要求其清偿到期债务</w:t>
                    </w:r>
                    <w:r w:rsidR="006C3C03">
                      <w:rPr>
                        <w:rFonts w:asciiTheme="minorEastAsia" w:eastAsiaTheme="minorEastAsia" w:hAnsiTheme="minorEastAsia" w:hint="eastAsia"/>
                      </w:rPr>
                      <w:t>、利息及违约金共计</w:t>
                    </w:r>
                    <w:r>
                      <w:rPr>
                        <w:rFonts w:asciiTheme="minorEastAsia" w:eastAsiaTheme="minorEastAsia" w:hAnsiTheme="minorEastAsia"/>
                      </w:rPr>
                      <w:t>39,618.85万元。</w:t>
                    </w:r>
                  </w:p>
                  <w:p w14:paraId="7F13DDD6" w14:textId="77777777" w:rsidR="00B201D3" w:rsidRDefault="009855E8">
                    <w:pPr>
                      <w:rPr>
                        <w:rFonts w:asciiTheme="minorEastAsia" w:eastAsiaTheme="minorEastAsia" w:hAnsiTheme="minorEastAsia"/>
                      </w:rPr>
                    </w:pPr>
                    <w:r>
                      <w:rPr>
                        <w:rFonts w:asciiTheme="minorEastAsia" w:eastAsiaTheme="minorEastAsia" w:hAnsiTheme="minorEastAsia"/>
                      </w:rPr>
                      <w:t>截至本报告披露日，深圳中院尚未作出裁决。</w:t>
                    </w:r>
                  </w:p>
                </w:tc>
                <w:tc>
                  <w:tcPr>
                    <w:tcW w:w="1276" w:type="dxa"/>
                    <w:vAlign w:val="center"/>
                  </w:tcPr>
                  <w:p w14:paraId="38325D1E" w14:textId="77777777" w:rsidR="00B201D3" w:rsidRDefault="009855E8">
                    <w:pPr>
                      <w:jc w:val="right"/>
                      <w:rPr>
                        <w:rFonts w:asciiTheme="minorEastAsia" w:eastAsiaTheme="minorEastAsia" w:hAnsiTheme="minorEastAsia"/>
                      </w:rPr>
                    </w:pPr>
                    <w:r>
                      <w:rPr>
                        <w:rFonts w:asciiTheme="minorEastAsia" w:eastAsiaTheme="minorEastAsia" w:hAnsiTheme="minorEastAsia"/>
                      </w:rPr>
                      <w:t>39,618.85</w:t>
                    </w:r>
                  </w:p>
                </w:tc>
                <w:tc>
                  <w:tcPr>
                    <w:tcW w:w="567" w:type="dxa"/>
                    <w:vAlign w:val="center"/>
                  </w:tcPr>
                  <w:p w14:paraId="7F2B23D5" w14:textId="77777777" w:rsidR="00B201D3" w:rsidRDefault="009855E8">
                    <w:pPr>
                      <w:rPr>
                        <w:rFonts w:asciiTheme="minorEastAsia" w:eastAsiaTheme="minorEastAsia" w:hAnsiTheme="minorEastAsia"/>
                      </w:rPr>
                    </w:pPr>
                    <w:r>
                      <w:rPr>
                        <w:rFonts w:asciiTheme="minorEastAsia" w:eastAsiaTheme="minorEastAsia" w:hAnsiTheme="minorEastAsia"/>
                      </w:rPr>
                      <w:t>否</w:t>
                    </w:r>
                  </w:p>
                </w:tc>
                <w:tc>
                  <w:tcPr>
                    <w:tcW w:w="567" w:type="dxa"/>
                    <w:vAlign w:val="center"/>
                  </w:tcPr>
                  <w:p w14:paraId="350A9DB6" w14:textId="77777777" w:rsidR="00B201D3" w:rsidRDefault="009855E8">
                    <w:pPr>
                      <w:rPr>
                        <w:rFonts w:asciiTheme="minorEastAsia" w:eastAsiaTheme="minorEastAsia" w:hAnsiTheme="minorEastAsia"/>
                      </w:rPr>
                    </w:pPr>
                    <w:r>
                      <w:rPr>
                        <w:rFonts w:asciiTheme="minorEastAsia" w:eastAsiaTheme="minorEastAsia" w:hAnsiTheme="minorEastAsia"/>
                      </w:rPr>
                      <w:t>一审程序</w:t>
                    </w:r>
                  </w:p>
                </w:tc>
                <w:tc>
                  <w:tcPr>
                    <w:tcW w:w="992" w:type="dxa"/>
                    <w:vAlign w:val="center"/>
                  </w:tcPr>
                  <w:p w14:paraId="7351285B" w14:textId="77777777" w:rsidR="00B201D3" w:rsidRDefault="009855E8">
                    <w:pPr>
                      <w:rPr>
                        <w:rFonts w:asciiTheme="minorEastAsia" w:eastAsiaTheme="minorEastAsia" w:hAnsiTheme="minorEastAsia"/>
                      </w:rPr>
                    </w:pPr>
                    <w:r>
                      <w:rPr>
                        <w:rFonts w:asciiTheme="minorEastAsia" w:eastAsiaTheme="minorEastAsia" w:hAnsiTheme="minorEastAsia" w:hint="eastAsia"/>
                      </w:rPr>
                      <w:t>截至本报告期末，公司对本案涉及款项全额计提了减值准备</w:t>
                    </w:r>
                    <w:r>
                      <w:rPr>
                        <w:rFonts w:asciiTheme="minorEastAsia" w:eastAsiaTheme="minorEastAsia" w:hAnsiTheme="minorEastAsia"/>
                      </w:rPr>
                      <w:t>，本次诉讼事项不会对公司期后利润产生不利影响。</w:t>
                    </w:r>
                  </w:p>
                </w:tc>
                <w:tc>
                  <w:tcPr>
                    <w:tcW w:w="719" w:type="dxa"/>
                    <w:vAlign w:val="center"/>
                  </w:tcPr>
                  <w:p w14:paraId="0B8611B7" w14:textId="77777777" w:rsidR="00B201D3" w:rsidRDefault="009855E8">
                    <w:pPr>
                      <w:rPr>
                        <w:rFonts w:asciiTheme="minorEastAsia" w:eastAsiaTheme="minorEastAsia" w:hAnsiTheme="minorEastAsia"/>
                      </w:rPr>
                    </w:pPr>
                    <w:r>
                      <w:rPr>
                        <w:rFonts w:asciiTheme="minorEastAsia" w:eastAsiaTheme="minorEastAsia" w:hAnsiTheme="minorEastAsia" w:hint="eastAsia"/>
                      </w:rPr>
                      <w:t>-</w:t>
                    </w:r>
                  </w:p>
                </w:tc>
              </w:tr>
            </w:sdtContent>
          </w:sdt>
          <w:sdt>
            <w:sdtPr>
              <w:rPr>
                <w:rFonts w:asciiTheme="minorEastAsia" w:eastAsiaTheme="minorEastAsia" w:hAnsiTheme="minorEastAsia" w:cstheme="minorBidi" w:hint="eastAsia"/>
                <w:kern w:val="2"/>
                <w:szCs w:val="22"/>
              </w:rPr>
              <w:alias w:val="重大诉讼、仲裁事项"/>
              <w:tag w:val="_TUP_234d07ec13744d019fad4109a2500e1c"/>
              <w:id w:val="862721237"/>
              <w:lock w:val="sdtLocked"/>
            </w:sdtPr>
            <w:sdtEndPr>
              <w:rPr>
                <w:rFonts w:ascii="Times New Roman" w:hAnsi="Times New Roman" w:cs="宋体" w:hint="default"/>
                <w:kern w:val="0"/>
                <w:szCs w:val="21"/>
              </w:rPr>
            </w:sdtEndPr>
            <w:sdtContent>
              <w:tr w:rsidR="00B201D3" w14:paraId="5829ADA6" w14:textId="77777777">
                <w:tc>
                  <w:tcPr>
                    <w:tcW w:w="675" w:type="dxa"/>
                    <w:vAlign w:val="center"/>
                  </w:tcPr>
                  <w:p w14:paraId="2254AE82" w14:textId="77777777" w:rsidR="00B201D3" w:rsidRDefault="009855E8">
                    <w:pPr>
                      <w:rPr>
                        <w:rFonts w:asciiTheme="minorEastAsia" w:eastAsiaTheme="minorEastAsia" w:hAnsiTheme="minorEastAsia" w:cstheme="minorBidi"/>
                        <w:kern w:val="2"/>
                        <w:szCs w:val="22"/>
                      </w:rPr>
                    </w:pPr>
                    <w:r>
                      <w:rPr>
                        <w:rFonts w:asciiTheme="minorEastAsia" w:eastAsiaTheme="minorEastAsia" w:hAnsiTheme="minorEastAsia"/>
                      </w:rPr>
                      <w:t>端信供应链</w:t>
                    </w:r>
                  </w:p>
                </w:tc>
                <w:tc>
                  <w:tcPr>
                    <w:tcW w:w="709" w:type="dxa"/>
                    <w:vAlign w:val="center"/>
                  </w:tcPr>
                  <w:p w14:paraId="25B76A8C" w14:textId="77777777" w:rsidR="00B201D3" w:rsidRDefault="009855E8">
                    <w:pPr>
                      <w:rPr>
                        <w:rFonts w:asciiTheme="minorEastAsia" w:eastAsiaTheme="minorEastAsia" w:hAnsiTheme="minorEastAsia"/>
                      </w:rPr>
                    </w:pPr>
                    <w:r>
                      <w:rPr>
                        <w:rFonts w:asciiTheme="minorEastAsia" w:eastAsiaTheme="minorEastAsia" w:hAnsiTheme="minorEastAsia"/>
                      </w:rPr>
                      <w:t>苏宁易购集团股份有限公司（“苏宁易购”）</w:t>
                    </w:r>
                  </w:p>
                </w:tc>
                <w:tc>
                  <w:tcPr>
                    <w:tcW w:w="709" w:type="dxa"/>
                    <w:vAlign w:val="center"/>
                  </w:tcPr>
                  <w:p w14:paraId="087F54FB" w14:textId="77777777" w:rsidR="00B201D3" w:rsidRDefault="009855E8">
                    <w:pPr>
                      <w:rPr>
                        <w:rFonts w:asciiTheme="minorEastAsia" w:eastAsiaTheme="minorEastAsia" w:hAnsiTheme="minorEastAsia"/>
                      </w:rPr>
                    </w:pPr>
                    <w:r>
                      <w:rPr>
                        <w:rFonts w:asciiTheme="minorEastAsia" w:eastAsiaTheme="minorEastAsia" w:hAnsiTheme="minorEastAsia"/>
                      </w:rPr>
                      <w:t>无</w:t>
                    </w:r>
                  </w:p>
                </w:tc>
                <w:tc>
                  <w:tcPr>
                    <w:tcW w:w="425" w:type="dxa"/>
                    <w:vAlign w:val="center"/>
                  </w:tcPr>
                  <w:p w14:paraId="17EBC5AD" w14:textId="77777777" w:rsidR="00B201D3" w:rsidRDefault="009855E8">
                    <w:pPr>
                      <w:rPr>
                        <w:rFonts w:asciiTheme="minorEastAsia" w:eastAsiaTheme="minorEastAsia" w:hAnsiTheme="minorEastAsia"/>
                      </w:rPr>
                    </w:pPr>
                    <w:r>
                      <w:rPr>
                        <w:rFonts w:asciiTheme="minorEastAsia" w:eastAsiaTheme="minorEastAsia" w:hAnsiTheme="minorEastAsia"/>
                      </w:rPr>
                      <w:t>诉讼</w:t>
                    </w:r>
                  </w:p>
                </w:tc>
                <w:tc>
                  <w:tcPr>
                    <w:tcW w:w="2410" w:type="dxa"/>
                    <w:vAlign w:val="center"/>
                  </w:tcPr>
                  <w:p w14:paraId="30E2FB5B" w14:textId="77777777" w:rsidR="00D56784" w:rsidRDefault="009855E8">
                    <w:pPr>
                      <w:rPr>
                        <w:rFonts w:asciiTheme="minorEastAsia" w:eastAsiaTheme="minorEastAsia" w:hAnsiTheme="minorEastAsia"/>
                      </w:rPr>
                    </w:pPr>
                    <w:r>
                      <w:rPr>
                        <w:rFonts w:asciiTheme="minorEastAsia" w:eastAsiaTheme="minorEastAsia" w:hAnsiTheme="minorEastAsia"/>
                      </w:rPr>
                      <w:t>2023年2月，端信供应链以买卖合同纠纷为由，将苏宁易购起诉至南京市中级人民法院，要求其偿付货款</w:t>
                    </w:r>
                    <w:r w:rsidR="006C3C03">
                      <w:rPr>
                        <w:rFonts w:asciiTheme="minorEastAsia" w:eastAsiaTheme="minorEastAsia" w:hAnsiTheme="minorEastAsia" w:hint="eastAsia"/>
                      </w:rPr>
                      <w:t>、利息及违约金共计</w:t>
                    </w:r>
                    <w:r>
                      <w:rPr>
                        <w:rFonts w:asciiTheme="minorEastAsia" w:eastAsiaTheme="minorEastAsia" w:hAnsiTheme="minorEastAsia"/>
                      </w:rPr>
                      <w:t>67,090</w:t>
                    </w:r>
                    <w:r>
                      <w:rPr>
                        <w:rFonts w:asciiTheme="minorEastAsia" w:eastAsiaTheme="minorEastAsia" w:hAnsiTheme="minorEastAsia" w:hint="eastAsia"/>
                      </w:rPr>
                      <w:t>.00</w:t>
                    </w:r>
                    <w:r>
                      <w:rPr>
                        <w:rFonts w:asciiTheme="minorEastAsia" w:eastAsiaTheme="minorEastAsia" w:hAnsiTheme="minorEastAsia"/>
                      </w:rPr>
                      <w:t>万元。</w:t>
                    </w:r>
                  </w:p>
                  <w:p w14:paraId="4B0B42EE" w14:textId="2AEBBDF4" w:rsidR="00B201D3" w:rsidRDefault="009855E8">
                    <w:pPr>
                      <w:rPr>
                        <w:rFonts w:asciiTheme="minorEastAsia" w:eastAsiaTheme="minorEastAsia" w:hAnsiTheme="minorEastAsia"/>
                      </w:rPr>
                    </w:pPr>
                    <w:r>
                      <w:rPr>
                        <w:rFonts w:asciiTheme="minorEastAsia" w:eastAsiaTheme="minorEastAsia" w:hAnsiTheme="minorEastAsia" w:hint="eastAsia"/>
                      </w:rPr>
                      <w:t>截至本报告披露日，</w:t>
                    </w:r>
                    <w:r w:rsidR="00173697">
                      <w:rPr>
                        <w:rFonts w:asciiTheme="minorEastAsia" w:eastAsiaTheme="minorEastAsia" w:hAnsiTheme="minorEastAsia" w:hint="eastAsia"/>
                      </w:rPr>
                      <w:t>南京市中级人民法院</w:t>
                    </w:r>
                    <w:r>
                      <w:rPr>
                        <w:rFonts w:asciiTheme="minorEastAsia" w:eastAsiaTheme="minorEastAsia" w:hAnsiTheme="minorEastAsia" w:hint="eastAsia"/>
                      </w:rPr>
                      <w:t>尚未作出裁决。</w:t>
                    </w:r>
                  </w:p>
                </w:tc>
                <w:tc>
                  <w:tcPr>
                    <w:tcW w:w="1276" w:type="dxa"/>
                    <w:vAlign w:val="center"/>
                  </w:tcPr>
                  <w:p w14:paraId="0A139070" w14:textId="77777777" w:rsidR="00B201D3" w:rsidRDefault="009855E8">
                    <w:pPr>
                      <w:jc w:val="right"/>
                      <w:rPr>
                        <w:rFonts w:asciiTheme="minorEastAsia" w:eastAsiaTheme="minorEastAsia" w:hAnsiTheme="minorEastAsia"/>
                      </w:rPr>
                    </w:pPr>
                    <w:r>
                      <w:rPr>
                        <w:rFonts w:asciiTheme="minorEastAsia" w:eastAsiaTheme="minorEastAsia" w:hAnsiTheme="minorEastAsia"/>
                      </w:rPr>
                      <w:t>67,090</w:t>
                    </w:r>
                    <w:r>
                      <w:rPr>
                        <w:rFonts w:asciiTheme="minorEastAsia" w:eastAsiaTheme="minorEastAsia" w:hAnsiTheme="minorEastAsia" w:hint="eastAsia"/>
                      </w:rPr>
                      <w:t>.00</w:t>
                    </w:r>
                  </w:p>
                </w:tc>
                <w:tc>
                  <w:tcPr>
                    <w:tcW w:w="567" w:type="dxa"/>
                    <w:vAlign w:val="center"/>
                  </w:tcPr>
                  <w:p w14:paraId="2B98C259" w14:textId="77777777" w:rsidR="00B201D3" w:rsidRDefault="009855E8">
                    <w:pPr>
                      <w:rPr>
                        <w:rFonts w:asciiTheme="minorEastAsia" w:eastAsiaTheme="minorEastAsia" w:hAnsiTheme="minorEastAsia"/>
                      </w:rPr>
                    </w:pPr>
                    <w:r>
                      <w:rPr>
                        <w:rFonts w:asciiTheme="minorEastAsia" w:eastAsiaTheme="minorEastAsia" w:hAnsiTheme="minorEastAsia"/>
                      </w:rPr>
                      <w:t>否</w:t>
                    </w:r>
                  </w:p>
                </w:tc>
                <w:tc>
                  <w:tcPr>
                    <w:tcW w:w="567" w:type="dxa"/>
                    <w:vAlign w:val="center"/>
                  </w:tcPr>
                  <w:p w14:paraId="1E64A9E0" w14:textId="77777777" w:rsidR="00B201D3" w:rsidRDefault="009855E8">
                    <w:pPr>
                      <w:rPr>
                        <w:rFonts w:asciiTheme="minorEastAsia" w:eastAsiaTheme="minorEastAsia" w:hAnsiTheme="minorEastAsia"/>
                      </w:rPr>
                    </w:pPr>
                    <w:r>
                      <w:rPr>
                        <w:rFonts w:asciiTheme="minorEastAsia" w:eastAsiaTheme="minorEastAsia" w:hAnsiTheme="minorEastAsia"/>
                      </w:rPr>
                      <w:t>一审程序</w:t>
                    </w:r>
                  </w:p>
                </w:tc>
                <w:tc>
                  <w:tcPr>
                    <w:tcW w:w="992" w:type="dxa"/>
                    <w:vAlign w:val="center"/>
                  </w:tcPr>
                  <w:p w14:paraId="16D5AC2D" w14:textId="77777777" w:rsidR="00B201D3" w:rsidRDefault="009855E8">
                    <w:pPr>
                      <w:rPr>
                        <w:rFonts w:asciiTheme="minorEastAsia" w:eastAsiaTheme="minorEastAsia" w:hAnsiTheme="minorEastAsia"/>
                      </w:rPr>
                    </w:pPr>
                    <w:r>
                      <w:rPr>
                        <w:rFonts w:asciiTheme="minorEastAsia" w:eastAsiaTheme="minorEastAsia" w:hAnsiTheme="minorEastAsia" w:hint="eastAsia"/>
                      </w:rPr>
                      <w:t>截至本报告期末，公司对本案涉及款项全额计提了减值准备，</w:t>
                    </w:r>
                    <w:r>
                      <w:rPr>
                        <w:rFonts w:asciiTheme="minorEastAsia" w:eastAsiaTheme="minorEastAsia" w:hAnsiTheme="minorEastAsia"/>
                      </w:rPr>
                      <w:t>本次诉讼事项不会对</w:t>
                    </w:r>
                    <w:r>
                      <w:rPr>
                        <w:rFonts w:asciiTheme="minorEastAsia" w:eastAsiaTheme="minorEastAsia" w:hAnsiTheme="minorEastAsia"/>
                      </w:rPr>
                      <w:lastRenderedPageBreak/>
                      <w:t>公司期后利润产生不利影响。</w:t>
                    </w:r>
                  </w:p>
                </w:tc>
                <w:tc>
                  <w:tcPr>
                    <w:tcW w:w="719" w:type="dxa"/>
                    <w:vAlign w:val="center"/>
                  </w:tcPr>
                  <w:p w14:paraId="1E3AFDDC" w14:textId="77777777" w:rsidR="00B201D3" w:rsidRDefault="009855E8">
                    <w:pPr>
                      <w:rPr>
                        <w:rFonts w:asciiTheme="minorEastAsia" w:eastAsiaTheme="minorEastAsia" w:hAnsiTheme="minorEastAsia"/>
                      </w:rPr>
                    </w:pPr>
                    <w:r>
                      <w:rPr>
                        <w:rFonts w:asciiTheme="minorEastAsia" w:eastAsiaTheme="minorEastAsia" w:hAnsiTheme="minorEastAsia" w:hint="eastAsia"/>
                      </w:rPr>
                      <w:lastRenderedPageBreak/>
                      <w:t>-</w:t>
                    </w:r>
                  </w:p>
                </w:tc>
              </w:tr>
            </w:sdtContent>
          </w:sdt>
        </w:tbl>
        <w:p w14:paraId="51F79325" w14:textId="77777777" w:rsidR="00B201D3" w:rsidRDefault="009855E8">
          <w:pPr>
            <w:rPr>
              <w:rFonts w:asciiTheme="minorEastAsia" w:eastAsiaTheme="minorEastAsia" w:hAnsiTheme="minorEastAsia"/>
            </w:rPr>
          </w:pPr>
          <w:r>
            <w:rPr>
              <w:rFonts w:asciiTheme="minorEastAsia" w:eastAsiaTheme="minorEastAsia" w:hAnsiTheme="minorEastAsia" w:hint="eastAsia"/>
            </w:rPr>
            <w:t>注：临沂蒙飞商贸有限公司（</w:t>
          </w:r>
          <w:r>
            <w:rPr>
              <w:rFonts w:asciiTheme="minorEastAsia" w:eastAsiaTheme="minorEastAsia" w:hAnsiTheme="minorEastAsia"/>
            </w:rPr>
            <w:t>“</w:t>
          </w:r>
          <w:r>
            <w:rPr>
              <w:rFonts w:asciiTheme="minorEastAsia" w:eastAsiaTheme="minorEastAsia" w:hAnsiTheme="minorEastAsia" w:hint="eastAsia"/>
            </w:rPr>
            <w:t>临沂蒙飞</w:t>
          </w:r>
          <w:r>
            <w:rPr>
              <w:rFonts w:asciiTheme="minorEastAsia" w:eastAsiaTheme="minorEastAsia" w:hAnsiTheme="minorEastAsia"/>
            </w:rPr>
            <w:t>”</w:t>
          </w:r>
          <w:r>
            <w:rPr>
              <w:rFonts w:asciiTheme="minorEastAsia" w:eastAsiaTheme="minorEastAsia" w:hAnsiTheme="minorEastAsia" w:hint="eastAsia"/>
            </w:rPr>
            <w:t>）买卖合同纠纷案（详情请见2022年度报告“第七节重要事项”之“重大诉讼、仲裁”相关内容），山东省高级人民法院二审判决公司胜诉，现已进入执行程序。截至本报告披露日，</w:t>
          </w:r>
          <w:r>
            <w:rPr>
              <w:rFonts w:asciiTheme="minorEastAsia" w:eastAsiaTheme="minorEastAsia" w:hAnsiTheme="minorEastAsia" w:hint="eastAsia"/>
              <w:bCs/>
            </w:rPr>
            <w:t>公司累计回款2</w:t>
          </w:r>
          <w:r>
            <w:rPr>
              <w:rFonts w:asciiTheme="minorEastAsia" w:eastAsiaTheme="minorEastAsia" w:hAnsiTheme="minorEastAsia"/>
              <w:bCs/>
            </w:rPr>
            <w:t>,</w:t>
          </w:r>
          <w:r>
            <w:rPr>
              <w:rFonts w:asciiTheme="minorEastAsia" w:eastAsiaTheme="minorEastAsia" w:hAnsiTheme="minorEastAsia" w:hint="eastAsia"/>
              <w:bCs/>
            </w:rPr>
            <w:t>778</w:t>
          </w:r>
          <w:r>
            <w:rPr>
              <w:rFonts w:asciiTheme="minorEastAsia" w:eastAsiaTheme="minorEastAsia" w:hAnsiTheme="minorEastAsia"/>
              <w:bCs/>
            </w:rPr>
            <w:t>.35</w:t>
          </w:r>
          <w:r>
            <w:rPr>
              <w:rFonts w:asciiTheme="minorEastAsia" w:eastAsiaTheme="minorEastAsia" w:hAnsiTheme="minorEastAsia" w:hint="eastAsia"/>
              <w:bCs/>
            </w:rPr>
            <w:t>万元。</w:t>
          </w:r>
        </w:p>
        <w:p w14:paraId="21D4C41E" w14:textId="77777777" w:rsidR="00B201D3" w:rsidRDefault="009855E8">
          <w:pPr>
            <w:rPr>
              <w:rFonts w:asciiTheme="minorEastAsia" w:eastAsiaTheme="minorEastAsia" w:hAnsiTheme="minorEastAsia"/>
            </w:rPr>
          </w:pPr>
          <w:r>
            <w:rPr>
              <w:rFonts w:asciiTheme="minorEastAsia" w:eastAsiaTheme="minorEastAsia" w:hAnsiTheme="minorEastAsia"/>
            </w:rPr>
            <w:t xml:space="preserve"> </w:t>
          </w:r>
        </w:p>
      </w:sdtContent>
    </w:sdt>
    <w:sdt>
      <w:sdtPr>
        <w:rPr>
          <w:rFonts w:asciiTheme="minorEastAsia" w:eastAsiaTheme="minorEastAsia" w:hAnsiTheme="minorEastAsia" w:cs="宋体"/>
          <w:b w:val="0"/>
          <w:bCs/>
          <w:kern w:val="0"/>
          <w:szCs w:val="22"/>
        </w:rPr>
        <w:alias w:val="模块:其他诉讼仲裁事项说明"/>
        <w:tag w:val="_SEC_c92a88ec21204766afe5f9688cbd21bd"/>
        <w:id w:val="274525613"/>
        <w:lock w:val="sdtLocked"/>
        <w:placeholder>
          <w:docPart w:val="GBC22222222222222222222222222222"/>
        </w:placeholder>
      </w:sdtPr>
      <w:sdtEndPr>
        <w:rPr>
          <w:rFonts w:hint="eastAsia"/>
          <w:bCs w:val="0"/>
          <w:szCs w:val="21"/>
        </w:rPr>
      </w:sdtEndPr>
      <w:sdtContent>
        <w:p w14:paraId="7A7465EC" w14:textId="77777777" w:rsidR="00B201D3" w:rsidRDefault="009855E8">
          <w:pPr>
            <w:pStyle w:val="3900"/>
            <w:numPr>
              <w:ilvl w:val="0"/>
              <w:numId w:val="27"/>
            </w:numPr>
            <w:rPr>
              <w:rFonts w:asciiTheme="minorEastAsia" w:eastAsiaTheme="minorEastAsia" w:hAnsiTheme="minorEastAsia"/>
            </w:rPr>
          </w:pPr>
          <w:r>
            <w:rPr>
              <w:rFonts w:asciiTheme="minorEastAsia" w:eastAsiaTheme="minorEastAsia" w:hAnsiTheme="minorEastAsia"/>
            </w:rPr>
            <w:t>其他说明</w:t>
          </w:r>
        </w:p>
        <w:sdt>
          <w:sdtPr>
            <w:rPr>
              <w:rFonts w:asciiTheme="minorEastAsia" w:eastAsiaTheme="minorEastAsia" w:hAnsiTheme="minorEastAsia" w:hint="eastAsia"/>
            </w:rPr>
            <w:alias w:val="是否适用：重大诉讼、仲裁事项其他说明[双击切换]"/>
            <w:tag w:val="_GBC_d8d8aef394564199936be6639c0e21a5"/>
            <w:id w:val="1913345873"/>
            <w:lock w:val="sdtLocked"/>
            <w:placeholder>
              <w:docPart w:val="GBC22222222222222222222222222222"/>
            </w:placeholder>
          </w:sdtPr>
          <w:sdtEndPr/>
          <w:sdtContent>
            <w:p w14:paraId="5E770352" w14:textId="77777777" w:rsidR="00B201D3" w:rsidRDefault="009855E8">
              <w:pPr>
                <w:rPr>
                  <w:rFonts w:asciiTheme="minorEastAsia" w:eastAsiaTheme="minorEastAsia" w:hAnsiTheme="minorEastAsia"/>
                </w:rPr>
              </w:pP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p w14:paraId="16C752E8" w14:textId="77777777" w:rsidR="00B201D3" w:rsidRDefault="00B201D3">
      <w:pPr>
        <w:rPr>
          <w:rFonts w:asciiTheme="minorEastAsia" w:eastAsiaTheme="minorEastAsia" w:hAnsiTheme="minorEastAsia"/>
        </w:rPr>
      </w:pPr>
    </w:p>
    <w:sdt>
      <w:sdtPr>
        <w:rPr>
          <w:rFonts w:asciiTheme="minorEastAsia" w:eastAsiaTheme="minorEastAsia" w:hAnsiTheme="minorEastAsia" w:cs="宋体"/>
          <w:b w:val="0"/>
          <w:bCs/>
          <w:kern w:val="0"/>
          <w:szCs w:val="24"/>
        </w:rPr>
        <w:alias w:val="模块:上市公司及其董事、监事、高级管理人员、控股股东、实际控制人、收购人处罚及整改情况"/>
        <w:tag w:val="_SEC_61682565f6714c6a81ab8e6d05a5abaa"/>
        <w:id w:val="-2144490397"/>
        <w:lock w:val="sdtLocked"/>
        <w:placeholder>
          <w:docPart w:val="GBC22222222222222222222222222222"/>
        </w:placeholder>
      </w:sdtPr>
      <w:sdtEndPr>
        <w:rPr>
          <w:rFonts w:hint="eastAsia"/>
          <w:bCs w:val="0"/>
          <w:szCs w:val="21"/>
        </w:rPr>
      </w:sdtEndPr>
      <w:sdtContent>
        <w:p w14:paraId="77C45A41" w14:textId="77777777" w:rsidR="00B201D3" w:rsidRDefault="009855E8">
          <w:pPr>
            <w:pStyle w:val="3901"/>
            <w:numPr>
              <w:ilvl w:val="0"/>
              <w:numId w:val="25"/>
            </w:numPr>
            <w:tabs>
              <w:tab w:val="left" w:pos="426"/>
            </w:tabs>
            <w:jc w:val="left"/>
            <w:rPr>
              <w:rFonts w:asciiTheme="minorEastAsia" w:eastAsiaTheme="minorEastAsia" w:hAnsiTheme="minorEastAsia"/>
            </w:rPr>
          </w:pPr>
          <w:r>
            <w:rPr>
              <w:rFonts w:asciiTheme="minorEastAsia" w:eastAsiaTheme="minorEastAsia" w:hAnsiTheme="minorEastAsia"/>
            </w:rPr>
            <w:t>上市公司</w:t>
          </w:r>
          <w:r>
            <w:rPr>
              <w:rFonts w:asciiTheme="minorEastAsia" w:eastAsiaTheme="minorEastAsia" w:hAnsiTheme="minorEastAsia" w:hint="eastAsia"/>
            </w:rPr>
            <w:t>及其董事、监事、高级管理人员、控股股东、实际控制人</w:t>
          </w:r>
          <w:r>
            <w:rPr>
              <w:rFonts w:asciiTheme="minorEastAsia" w:eastAsiaTheme="minorEastAsia" w:hAnsiTheme="minorEastAsia"/>
            </w:rPr>
            <w:t>涉嫌违法违规、受到处罚及整改情况</w:t>
          </w:r>
        </w:p>
        <w:sdt>
          <w:sdtPr>
            <w:rPr>
              <w:rFonts w:asciiTheme="minorEastAsia" w:eastAsiaTheme="minorEastAsia" w:hAnsiTheme="minorEastAsia" w:hint="eastAsia"/>
            </w:rPr>
            <w:alias w:val="是否适用：上市公司及其董事、监事、高级管理人员、持有5%以上股份的股东、实际控制人、收购人处罚及整改情况[双击切换]"/>
            <w:tag w:val="_GBC_05b097ae59254d13916df227f563a3ed"/>
            <w:id w:val="1908338641"/>
            <w:lock w:val="sdtLocked"/>
            <w:placeholder>
              <w:docPart w:val="GBC22222222222222222222222222222"/>
            </w:placeholder>
          </w:sdtPr>
          <w:sdtEndPr/>
          <w:sdtContent>
            <w:p w14:paraId="42C776DC" w14:textId="77777777" w:rsidR="00B201D3" w:rsidRDefault="009855E8">
              <w:pPr>
                <w:rPr>
                  <w:rFonts w:asciiTheme="minorEastAsia" w:eastAsiaTheme="minorEastAsia" w:hAnsiTheme="minorEastAsia"/>
                </w:rPr>
              </w:pP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7927AA83" w14:textId="77777777" w:rsidR="00B201D3" w:rsidRDefault="00C8327E">
          <w:pPr>
            <w:rPr>
              <w:rFonts w:asciiTheme="minorEastAsia" w:eastAsiaTheme="minorEastAsia" w:hAnsiTheme="minorEastAsia"/>
            </w:rPr>
          </w:pPr>
        </w:p>
      </w:sdtContent>
    </w:sdt>
    <w:sdt>
      <w:sdtPr>
        <w:rPr>
          <w:rFonts w:asciiTheme="minorEastAsia" w:eastAsiaTheme="minorEastAsia" w:hAnsiTheme="minorEastAsia" w:cs="宋体" w:hint="eastAsia"/>
          <w:b w:val="0"/>
          <w:bCs/>
          <w:kern w:val="0"/>
          <w:szCs w:val="24"/>
        </w:rPr>
        <w:alias w:val="模块:报告期内公司及其控股股东、实际控制人诚信状况的说明"/>
        <w:tag w:val="_SEC_b6520273283341408b24eceadfb999dd"/>
        <w:id w:val="1860464684"/>
        <w:lock w:val="sdtLocked"/>
        <w:placeholder>
          <w:docPart w:val="GBC22222222222222222222222222222"/>
        </w:placeholder>
      </w:sdtPr>
      <w:sdtEndPr>
        <w:rPr>
          <w:bCs w:val="0"/>
          <w:szCs w:val="21"/>
        </w:rPr>
      </w:sdtEndPr>
      <w:sdtContent>
        <w:p w14:paraId="01C56692" w14:textId="77777777" w:rsidR="00B201D3" w:rsidRDefault="009855E8">
          <w:pPr>
            <w:pStyle w:val="3901"/>
            <w:numPr>
              <w:ilvl w:val="0"/>
              <w:numId w:val="25"/>
            </w:numPr>
            <w:tabs>
              <w:tab w:val="left" w:pos="426"/>
            </w:tabs>
            <w:jc w:val="left"/>
            <w:rPr>
              <w:rFonts w:asciiTheme="minorEastAsia" w:eastAsiaTheme="minorEastAsia" w:hAnsiTheme="minorEastAsia"/>
            </w:rPr>
          </w:pPr>
          <w:r>
            <w:rPr>
              <w:rFonts w:asciiTheme="minorEastAsia" w:eastAsiaTheme="minorEastAsia" w:hAnsiTheme="minorEastAsia"/>
            </w:rPr>
            <w:t>报告期内公司及其控股股东、实际控制人诚信状况的说明</w:t>
          </w:r>
        </w:p>
        <w:sdt>
          <w:sdtPr>
            <w:rPr>
              <w:rFonts w:asciiTheme="minorEastAsia" w:eastAsiaTheme="minorEastAsia" w:hAnsiTheme="minorEastAsia" w:hint="eastAsia"/>
            </w:rPr>
            <w:alias w:val="是否适用：报告期内公司及其控股股东、实际控制人诚信状况的说明[双击切换]"/>
            <w:tag w:val="_GBC_650ef1e21808426d806ee2024dd14590"/>
            <w:id w:val="-1532875949"/>
            <w:lock w:val="sdtLocked"/>
            <w:placeholder>
              <w:docPart w:val="GBC22222222222222222222222222222"/>
            </w:placeholder>
          </w:sdtPr>
          <w:sdtEndPr/>
          <w:sdtContent>
            <w:p w14:paraId="0CFC8FA3" w14:textId="77777777" w:rsidR="00B201D3" w:rsidRDefault="009855E8">
              <w:pPr>
                <w:rPr>
                  <w:rFonts w:asciiTheme="minorEastAsia" w:eastAsiaTheme="minorEastAsia" w:hAnsiTheme="minorEastAsia"/>
                </w:rPr>
              </w:pP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501F1437" w14:textId="77777777" w:rsidR="00B201D3" w:rsidRDefault="009855E8">
          <w:pPr>
            <w:ind w:firstLineChars="200" w:firstLine="420"/>
            <w:rPr>
              <w:rFonts w:asciiTheme="minorEastAsia" w:eastAsiaTheme="minorEastAsia" w:hAnsiTheme="minorEastAsia"/>
            </w:rPr>
          </w:pPr>
          <w:r>
            <w:rPr>
              <w:rFonts w:asciiTheme="minorEastAsia" w:eastAsiaTheme="minorEastAsia" w:hAnsiTheme="minorEastAsia" w:hint="eastAsia"/>
            </w:rPr>
            <w:t>报告期内公司及其控股股东、实际控制人不存在未履行法院生效判决、所负数额较大的债务到期未清偿等不诚信的情况。</w:t>
          </w:r>
        </w:p>
        <w:p w14:paraId="5357750F" w14:textId="77777777" w:rsidR="00B201D3" w:rsidRDefault="00C8327E">
          <w:pPr>
            <w:rPr>
              <w:rFonts w:asciiTheme="minorEastAsia" w:eastAsiaTheme="minorEastAsia" w:hAnsiTheme="minorEastAsia"/>
            </w:rPr>
          </w:pPr>
        </w:p>
      </w:sdtContent>
    </w:sdt>
    <w:p w14:paraId="5D32B15D" w14:textId="77777777" w:rsidR="00B201D3" w:rsidRDefault="009855E8">
      <w:pPr>
        <w:pStyle w:val="3901"/>
        <w:numPr>
          <w:ilvl w:val="0"/>
          <w:numId w:val="25"/>
        </w:numPr>
        <w:tabs>
          <w:tab w:val="left" w:pos="426"/>
        </w:tabs>
        <w:ind w:left="422" w:hanging="422"/>
        <w:jc w:val="left"/>
        <w:rPr>
          <w:rFonts w:asciiTheme="minorEastAsia" w:eastAsiaTheme="minorEastAsia" w:hAnsiTheme="minorEastAsia"/>
        </w:rPr>
      </w:pPr>
      <w:r>
        <w:rPr>
          <w:rFonts w:asciiTheme="minorEastAsia" w:eastAsiaTheme="minorEastAsia" w:hAnsiTheme="minorEastAsia" w:hint="eastAsia"/>
        </w:rPr>
        <w:t>重大关联/关连交易</w:t>
      </w:r>
    </w:p>
    <w:p w14:paraId="7CCB32B8" w14:textId="77777777" w:rsidR="00B201D3" w:rsidRDefault="009855E8">
      <w:pPr>
        <w:pStyle w:val="3900"/>
        <w:numPr>
          <w:ilvl w:val="2"/>
          <w:numId w:val="4"/>
        </w:numPr>
        <w:rPr>
          <w:rFonts w:asciiTheme="minorEastAsia" w:eastAsiaTheme="minorEastAsia" w:hAnsiTheme="minorEastAsia"/>
        </w:rPr>
      </w:pPr>
      <w:r>
        <w:rPr>
          <w:rFonts w:asciiTheme="minorEastAsia" w:eastAsiaTheme="minorEastAsia" w:hAnsiTheme="minorEastAsia" w:hint="eastAsia"/>
        </w:rPr>
        <w:t>与日常经营相关的关联/关连交易</w:t>
      </w:r>
    </w:p>
    <w:p w14:paraId="1A65B94D" w14:textId="77777777" w:rsidR="00B201D3" w:rsidRDefault="009855E8">
      <w:pPr>
        <w:ind w:firstLineChars="200" w:firstLine="420"/>
        <w:rPr>
          <w:rFonts w:asciiTheme="minorEastAsia" w:eastAsiaTheme="minorEastAsia" w:hAnsiTheme="minorEastAsia"/>
        </w:rPr>
      </w:pPr>
      <w:r>
        <w:rPr>
          <w:rFonts w:asciiTheme="minorEastAsia" w:eastAsiaTheme="minorEastAsia" w:hAnsiTheme="minorEastAsia" w:hint="eastAsia"/>
        </w:rPr>
        <w:t>本集团的关联/关连交易主要是本集团与控股股东山东能源及其附属公司（本集团除外）（“山东能源集团”）、Glencore Coal Pty Ltd（“嘉能可”）及其附属公司（“嘉能可集团”）之间的关联/关连交易(嘉能可为本公司附属公司之主要股东，因此是本公司关联/关连人士)。</w:t>
      </w:r>
    </w:p>
    <w:p w14:paraId="4B828D92" w14:textId="77777777" w:rsidR="00B201D3" w:rsidRDefault="00B201D3">
      <w:pPr>
        <w:pStyle w:val="3903"/>
      </w:pPr>
    </w:p>
    <w:sdt>
      <w:sdtPr>
        <w:rPr>
          <w:rFonts w:ascii="宋体" w:hAnsi="宋体" w:cs="宋体"/>
          <w:b w:val="0"/>
          <w:bCs/>
          <w:kern w:val="0"/>
          <w:szCs w:val="22"/>
        </w:rPr>
        <w:alias w:val="模块:已在临时公告披露且后续实施无进展或变化的事项"/>
        <w:tag w:val="_SEC_b9489dd6b4c843e6be6e5a97de24b51b"/>
        <w:id w:val="1143548299"/>
        <w:lock w:val="sdtLocked"/>
        <w:placeholder>
          <w:docPart w:val="GBC22222222222222222222222222222"/>
        </w:placeholder>
      </w:sdtPr>
      <w:sdtEndPr>
        <w:rPr>
          <w:rFonts w:asciiTheme="minorEastAsia" w:eastAsiaTheme="minorEastAsia" w:hAnsiTheme="minorEastAsia"/>
          <w:bCs w:val="0"/>
          <w:szCs w:val="21"/>
        </w:rPr>
      </w:sdtEndPr>
      <w:sdtContent>
        <w:p w14:paraId="6A7E08A2" w14:textId="77777777" w:rsidR="00B201D3" w:rsidRDefault="009855E8">
          <w:pPr>
            <w:pStyle w:val="3899"/>
            <w:numPr>
              <w:ilvl w:val="2"/>
              <w:numId w:val="28"/>
            </w:numPr>
            <w:rPr>
              <w:rFonts w:asciiTheme="minorEastAsia" w:eastAsiaTheme="minorEastAsia" w:hAnsiTheme="minorEastAsia"/>
              <w:color w:val="FF0000"/>
            </w:rPr>
          </w:pPr>
          <w:r>
            <w:rPr>
              <w:rFonts w:asciiTheme="minorEastAsia" w:eastAsiaTheme="minorEastAsia" w:hAnsiTheme="minorEastAsia"/>
            </w:rPr>
            <w:t>已在临时公告披露且后续实施无进展或变化的事项</w:t>
          </w:r>
        </w:p>
        <w:sdt>
          <w:sdtPr>
            <w:rPr>
              <w:rFonts w:asciiTheme="minorEastAsia" w:eastAsiaTheme="minorEastAsia" w:hAnsiTheme="minorEastAsia"/>
            </w:rPr>
            <w:alias w:val="是否适用：已在临时公告披露且后续实施无进展或变化的事项_与日常经营相关的关联交易[双击切换]"/>
            <w:tag w:val="_GBC_9cce66e2c46445bea6fd259dd8b5277c"/>
            <w:id w:val="-1886168818"/>
            <w:lock w:val="sdtLocked"/>
            <w:placeholder>
              <w:docPart w:val="GBC22222222222222222222222222222"/>
            </w:placeholder>
          </w:sdtPr>
          <w:sdtEndPr/>
          <w:sdtContent>
            <w:p w14:paraId="001E0C97" w14:textId="77777777" w:rsidR="00B201D3" w:rsidRDefault="009855E8">
              <w:pPr>
                <w:rPr>
                  <w:rFonts w:asciiTheme="minorEastAsia" w:eastAsiaTheme="minorEastAsia" w:hAnsiTheme="minorEastAsia"/>
                </w:rPr>
              </w:pP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tbl>
          <w:tblPr>
            <w:tblStyle w:val="g6"/>
            <w:tblW w:w="0" w:type="auto"/>
            <w:tblLook w:val="04A0" w:firstRow="1" w:lastRow="0" w:firstColumn="1" w:lastColumn="0" w:noHBand="0" w:noVBand="1"/>
          </w:tblPr>
          <w:tblGrid>
            <w:gridCol w:w="4408"/>
            <w:gridCol w:w="4415"/>
          </w:tblGrid>
          <w:tr w:rsidR="00911690" w14:paraId="6EF107FC" w14:textId="77777777">
            <w:sdt>
              <w:sdtPr>
                <w:tag w:val="_PLD_3978b66ad729485ab420902ac1d8641a"/>
                <w:id w:val="-1302073157"/>
                <w:lock w:val="sdtLocked"/>
              </w:sdtPr>
              <w:sdtEndPr/>
              <w:sdtContent>
                <w:tc>
                  <w:tcPr>
                    <w:tcW w:w="4524" w:type="dxa"/>
                  </w:tcPr>
                  <w:p w14:paraId="1BD5B940" w14:textId="77777777" w:rsidR="00B201D3" w:rsidRDefault="009855E8">
                    <w:pPr>
                      <w:jc w:val="center"/>
                    </w:pPr>
                    <w:r>
                      <w:t>事项概述</w:t>
                    </w:r>
                  </w:p>
                </w:tc>
              </w:sdtContent>
            </w:sdt>
            <w:sdt>
              <w:sdtPr>
                <w:tag w:val="_PLD_28c260015cd145a7bdcdc3be1a2f9896"/>
                <w:id w:val="-1617907633"/>
                <w:lock w:val="sdtLocked"/>
              </w:sdtPr>
              <w:sdtEndPr/>
              <w:sdtContent>
                <w:tc>
                  <w:tcPr>
                    <w:tcW w:w="4524" w:type="dxa"/>
                  </w:tcPr>
                  <w:p w14:paraId="71308F29" w14:textId="77777777" w:rsidR="00B201D3" w:rsidRDefault="009855E8">
                    <w:pPr>
                      <w:jc w:val="center"/>
                    </w:pPr>
                    <w:r>
                      <w:t>查询索引</w:t>
                    </w:r>
                  </w:p>
                </w:tc>
              </w:sdtContent>
            </w:sdt>
          </w:tr>
          <w:sdt>
            <w:sdtPr>
              <w:rPr>
                <w:rFonts w:ascii="宋体" w:eastAsiaTheme="minorEastAsia" w:hAnsi="宋体" w:cstheme="minorBidi" w:hint="eastAsia"/>
                <w:kern w:val="2"/>
                <w:szCs w:val="22"/>
              </w:rPr>
              <w:alias w:val="与日常经营相关的关联交易事项已在临时报告披露且后续实施无进展或变化的"/>
              <w:tag w:val="_TUP_9c260e6d68f140909c4bb894b803a95c"/>
              <w:id w:val="784698121"/>
              <w:lock w:val="sdtLocked"/>
            </w:sdtPr>
            <w:sdtEndPr/>
            <w:sdtContent>
              <w:tr w:rsidR="00911690" w14:paraId="1F3CC05E" w14:textId="77777777">
                <w:tc>
                  <w:tcPr>
                    <w:tcW w:w="4524" w:type="dxa"/>
                  </w:tcPr>
                  <w:p w14:paraId="236E2E7E" w14:textId="77777777" w:rsidR="00CE62FB" w:rsidRDefault="00CE62FB" w:rsidP="00CE62FB">
                    <w:r>
                      <w:rPr>
                        <w:rFonts w:hint="eastAsia"/>
                      </w:rPr>
                      <w:t>调整大宗商品购销</w:t>
                    </w:r>
                    <w:r>
                      <w:rPr>
                        <w:rFonts w:hint="eastAsia"/>
                      </w:rPr>
                      <w:t>2023</w:t>
                    </w:r>
                    <w:r>
                      <w:rPr>
                        <w:rFonts w:hint="eastAsia"/>
                      </w:rPr>
                      <w:t>年度交易上限金额及</w:t>
                    </w:r>
                  </w:p>
                  <w:p w14:paraId="54FA59DC" w14:textId="77777777" w:rsidR="00CE62FB" w:rsidRDefault="00CE62FB" w:rsidP="00CE62FB">
                    <w:r>
                      <w:rPr>
                        <w:rFonts w:hint="eastAsia"/>
                      </w:rPr>
                      <w:t>续签部分持续性关联交易协议</w:t>
                    </w:r>
                  </w:p>
                  <w:p w14:paraId="2FCC448F" w14:textId="2050AD88" w:rsidR="00C13953" w:rsidRPr="00CE62FB" w:rsidRDefault="00CE62FB" w:rsidP="00431878">
                    <w:pPr>
                      <w:rPr>
                        <w:rFonts w:ascii="宋体" w:hAnsi="宋体"/>
                      </w:rPr>
                    </w:pPr>
                    <w:r>
                      <w:rPr>
                        <w:rFonts w:hint="eastAsia"/>
                      </w:rPr>
                      <w:t>经公司</w:t>
                    </w:r>
                    <w:r>
                      <w:rPr>
                        <w:rFonts w:hint="eastAsia"/>
                      </w:rPr>
                      <w:t>2023</w:t>
                    </w:r>
                    <w:r>
                      <w:rPr>
                        <w:rFonts w:hint="eastAsia"/>
                      </w:rPr>
                      <w:t>年</w:t>
                    </w:r>
                    <w:r>
                      <w:rPr>
                        <w:rFonts w:hint="eastAsia"/>
                      </w:rPr>
                      <w:t>8</w:t>
                    </w:r>
                    <w:r>
                      <w:rPr>
                        <w:rFonts w:hint="eastAsia"/>
                      </w:rPr>
                      <w:t>月</w:t>
                    </w:r>
                    <w:r>
                      <w:rPr>
                        <w:rFonts w:hint="eastAsia"/>
                      </w:rPr>
                      <w:t>25</w:t>
                    </w:r>
                    <w:r>
                      <w:rPr>
                        <w:rFonts w:hint="eastAsia"/>
                      </w:rPr>
                      <w:t>日召开的第九届董事会第二次会议审议，通过了调整现行《大宗商品购销协议》</w:t>
                    </w:r>
                    <w:r>
                      <w:rPr>
                        <w:rFonts w:hint="eastAsia"/>
                      </w:rPr>
                      <w:t>2023</w:t>
                    </w:r>
                    <w:r>
                      <w:rPr>
                        <w:rFonts w:hint="eastAsia"/>
                      </w:rPr>
                      <w:t>年度交易上限金额、与山东能源签署新的《大宗商品购销协议》《融资租赁协议》《委托管理服务框架协议》以及各协议于各年度交易上限金额。</w:t>
                    </w:r>
                  </w:p>
                </w:tc>
                <w:tc>
                  <w:tcPr>
                    <w:tcW w:w="4524" w:type="dxa"/>
                  </w:tcPr>
                  <w:p w14:paraId="4A6EFF16" w14:textId="23E13E7C" w:rsidR="00B201D3" w:rsidRDefault="00C13953" w:rsidP="00911690">
                    <w:r>
                      <w:rPr>
                        <w:rFonts w:hint="eastAsia"/>
                      </w:rPr>
                      <w:t>有关详情请见公司日期为</w:t>
                    </w:r>
                    <w:r>
                      <w:rPr>
                        <w:rFonts w:hint="eastAsia"/>
                      </w:rPr>
                      <w:t>2</w:t>
                    </w:r>
                    <w:r>
                      <w:t>023</w:t>
                    </w:r>
                    <w:r>
                      <w:rPr>
                        <w:rFonts w:hint="eastAsia"/>
                      </w:rPr>
                      <w:t>年</w:t>
                    </w:r>
                    <w:r>
                      <w:rPr>
                        <w:rFonts w:hint="eastAsia"/>
                      </w:rPr>
                      <w:t>8</w:t>
                    </w:r>
                    <w:r>
                      <w:rPr>
                        <w:rFonts w:hint="eastAsia"/>
                      </w:rPr>
                      <w:t>月</w:t>
                    </w:r>
                    <w:r>
                      <w:rPr>
                        <w:rFonts w:hint="eastAsia"/>
                      </w:rPr>
                      <w:t>2</w:t>
                    </w:r>
                    <w:r>
                      <w:t>5</w:t>
                    </w:r>
                    <w:r>
                      <w:rPr>
                        <w:rFonts w:hint="eastAsia"/>
                      </w:rPr>
                      <w:t>日第九届董事会第二次会议决议公告</w:t>
                    </w:r>
                    <w:r w:rsidR="00911690">
                      <w:rPr>
                        <w:rFonts w:hint="eastAsia"/>
                      </w:rPr>
                      <w:t>、</w:t>
                    </w:r>
                    <w:r w:rsidR="00911690" w:rsidRPr="00911690">
                      <w:rPr>
                        <w:rFonts w:hint="eastAsia"/>
                      </w:rPr>
                      <w:t>关于调整大宗商品购销</w:t>
                    </w:r>
                    <w:r w:rsidR="00911690" w:rsidRPr="00911690">
                      <w:t>2023</w:t>
                    </w:r>
                    <w:r w:rsidR="00911690" w:rsidRPr="00911690">
                      <w:t>年度交易上限金额及</w:t>
                    </w:r>
                    <w:r w:rsidR="00911690" w:rsidRPr="00911690">
                      <w:rPr>
                        <w:rFonts w:hint="eastAsia"/>
                      </w:rPr>
                      <w:t>续签部分持续性关联交易协议的公告</w:t>
                    </w:r>
                    <w:r w:rsidR="00911690">
                      <w:rPr>
                        <w:rFonts w:hint="eastAsia"/>
                      </w:rPr>
                      <w:t>。该等资料载于上交所网站、香港联交所网站、公司网站及</w:t>
                    </w:r>
                    <w:r w:rsidR="00911690">
                      <w:rPr>
                        <w:rFonts w:hint="eastAsia"/>
                      </w:rPr>
                      <w:t>/</w:t>
                    </w:r>
                    <w:r w:rsidR="00911690">
                      <w:rPr>
                        <w:rFonts w:hint="eastAsia"/>
                      </w:rPr>
                      <w:t>或中国境内《中国证券报》《上海证券报》《证券时报》《证券日报》。</w:t>
                    </w:r>
                  </w:p>
                </w:tc>
              </w:tr>
            </w:sdtContent>
          </w:sdt>
        </w:tbl>
        <w:p w14:paraId="25E2E6E6" w14:textId="77777777" w:rsidR="00B201D3" w:rsidRDefault="00C8327E">
          <w:pPr>
            <w:rPr>
              <w:rFonts w:asciiTheme="minorEastAsia" w:eastAsiaTheme="minorEastAsia" w:hAnsiTheme="minorEastAsia"/>
            </w:rPr>
          </w:pPr>
        </w:p>
      </w:sdtContent>
    </w:sdt>
    <w:sdt>
      <w:sdtPr>
        <w:rPr>
          <w:rFonts w:asciiTheme="minorEastAsia" w:eastAsiaTheme="minorEastAsia" w:hAnsiTheme="minorEastAsia" w:cs="宋体"/>
          <w:b w:val="0"/>
          <w:bCs/>
          <w:kern w:val="0"/>
          <w:szCs w:val="22"/>
        </w:rPr>
        <w:alias w:val="模块:已在临时公告披露，但有后续实施的进展或变化的事项"/>
        <w:tag w:val="_SEC_ec9777844cc44aa6b3f98c8af0a20f95"/>
        <w:id w:val="-1619213214"/>
        <w:lock w:val="sdtLocked"/>
        <w:placeholder>
          <w:docPart w:val="GBC22222222222222222222222222222"/>
        </w:placeholder>
      </w:sdtPr>
      <w:sdtEndPr>
        <w:rPr>
          <w:rFonts w:ascii="宋体" w:eastAsia="宋体" w:hAnsi="宋体" w:hint="eastAsia"/>
          <w:bCs w:val="0"/>
          <w:szCs w:val="21"/>
        </w:rPr>
      </w:sdtEndPr>
      <w:sdtContent>
        <w:p w14:paraId="0CC0C5EC" w14:textId="77777777" w:rsidR="00B201D3" w:rsidRDefault="009855E8">
          <w:pPr>
            <w:pStyle w:val="3899"/>
            <w:numPr>
              <w:ilvl w:val="2"/>
              <w:numId w:val="28"/>
            </w:numPr>
            <w:rPr>
              <w:rFonts w:asciiTheme="minorEastAsia" w:eastAsiaTheme="minorEastAsia" w:hAnsiTheme="minorEastAsia"/>
            </w:rPr>
          </w:pPr>
          <w:r>
            <w:rPr>
              <w:rFonts w:asciiTheme="minorEastAsia" w:eastAsiaTheme="minorEastAsia" w:hAnsiTheme="minorEastAsia"/>
            </w:rPr>
            <w:t>已在临时公告披露，但有后续实施的进展或变化的事项</w:t>
          </w:r>
        </w:p>
        <w:sdt>
          <w:sdtPr>
            <w:rPr>
              <w:rFonts w:asciiTheme="minorEastAsia" w:eastAsiaTheme="minorEastAsia" w:hAnsiTheme="minorEastAsia"/>
            </w:rPr>
            <w:alias w:val="是否适用：已在临时公告披露，但有后续实施的进展或变化的事项_与日常经营相关的关联交易[双击切换]"/>
            <w:tag w:val="_GBC_3d236e76c44140259dd09a3aed77ca15"/>
            <w:id w:val="256264819"/>
            <w:lock w:val="sdtLocked"/>
            <w:placeholder>
              <w:docPart w:val="GBC22222222222222222222222222222"/>
            </w:placeholder>
          </w:sdtPr>
          <w:sdtEndPr/>
          <w:sdtContent>
            <w:p w14:paraId="5A75A355" w14:textId="77777777" w:rsidR="00B201D3" w:rsidRDefault="009855E8">
              <w:pPr>
                <w:rPr>
                  <w:rFonts w:asciiTheme="minorEastAsia" w:eastAsiaTheme="minorEastAsia" w:hAnsiTheme="minorEastAsia"/>
                </w:rPr>
              </w:pP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
          <w:sdtPr>
            <w:rPr>
              <w:rFonts w:asciiTheme="minorEastAsia" w:eastAsiaTheme="minorEastAsia" w:hAnsiTheme="minorEastAsia" w:hint="eastAsia"/>
            </w:rPr>
            <w:alias w:val="与日常经营相关的关联交易事项已在临时报告披露，后续实施的进展或变化"/>
            <w:tag w:val="_GBC_0a4da36928c04bc784d8c97bc6a4a9d9"/>
            <w:id w:val="1539934768"/>
            <w:lock w:val="sdtLocked"/>
            <w:placeholder>
              <w:docPart w:val="GBC22222222222222222222222222222"/>
            </w:placeholder>
          </w:sdtPr>
          <w:sdtEndPr>
            <w:rPr>
              <w:rFonts w:ascii="宋体" w:eastAsia="宋体" w:hAnsi="宋体"/>
            </w:rPr>
          </w:sdtEndPr>
          <w:sdtContent>
            <w:sdt>
              <w:sdtPr>
                <w:rPr>
                  <w:rFonts w:asciiTheme="minorEastAsia" w:eastAsiaTheme="minorEastAsia" w:hAnsiTheme="minorEastAsia" w:hint="eastAsia"/>
                </w:rPr>
                <w:alias w:val="与日常经营相关的关联交易事项已在临时报告披露，后续实施的进展或变化"/>
                <w:tag w:val="_GBC_5fbfc287aede44a486960ae219233887"/>
                <w:id w:val="1898773727"/>
                <w:lock w:val="sdtLocked"/>
              </w:sdtPr>
              <w:sdtEndPr>
                <w:rPr>
                  <w:rFonts w:ascii="宋体" w:eastAsia="宋体" w:hAnsi="宋体"/>
                </w:rPr>
              </w:sdtEndPr>
              <w:sdtContent>
                <w:p w14:paraId="6E07E159" w14:textId="77777777" w:rsidR="00B201D3" w:rsidRDefault="009855E8">
                  <w:pPr>
                    <w:ind w:firstLineChars="200" w:firstLine="420"/>
                    <w:rPr>
                      <w:rFonts w:asciiTheme="minorEastAsia" w:eastAsiaTheme="minorEastAsia" w:hAnsiTheme="minorEastAsia"/>
                    </w:rPr>
                  </w:pPr>
                  <w:r>
                    <w:rPr>
                      <w:rFonts w:asciiTheme="minorEastAsia" w:eastAsiaTheme="minorEastAsia" w:hAnsiTheme="minorEastAsia" w:hint="eastAsia"/>
                    </w:rPr>
                    <w:t>（1）报告期内与山东能源集团持续性关联/关连交易协议审批及执行情况</w:t>
                  </w:r>
                </w:p>
                <w:p w14:paraId="3F5CFBA2" w14:textId="77777777" w:rsidR="00B201D3" w:rsidRDefault="009855E8">
                  <w:pPr>
                    <w:ind w:firstLineChars="200" w:firstLine="420"/>
                    <w:rPr>
                      <w:rFonts w:asciiTheme="minorEastAsia" w:eastAsiaTheme="minorEastAsia" w:hAnsiTheme="minorEastAsia"/>
                    </w:rPr>
                  </w:pPr>
                  <w:r>
                    <w:rPr>
                      <w:rFonts w:asciiTheme="minorEastAsia" w:eastAsiaTheme="minorEastAsia" w:hAnsiTheme="minorEastAsia" w:hint="eastAsia"/>
                    </w:rPr>
                    <w:t>①商品和服务供应及保险金持续性关联/关连交易</w:t>
                  </w:r>
                </w:p>
                <w:p w14:paraId="6D2E49B2" w14:textId="627DBA4A" w:rsidR="00B201D3" w:rsidRDefault="009855E8">
                  <w:pPr>
                    <w:ind w:firstLineChars="200" w:firstLine="420"/>
                    <w:jc w:val="both"/>
                    <w:rPr>
                      <w:rFonts w:asciiTheme="minorEastAsia" w:eastAsiaTheme="minorEastAsia" w:hAnsiTheme="minorEastAsia"/>
                    </w:rPr>
                  </w:pPr>
                  <w:r>
                    <w:rPr>
                      <w:rFonts w:asciiTheme="minorEastAsia" w:eastAsiaTheme="minorEastAsia" w:hAnsiTheme="minorEastAsia" w:hint="eastAsia"/>
                    </w:rPr>
                    <w:t>公司2021年2月5日召开的2021年度第一次临时股东大会，及2022年6月30日召开的2021年度股东周年大会审议批准公司与山东能源签署《大宗商品购销协议》，确定了每项协议所限定交易在2022-2023年每年的交易上限金额。</w:t>
                  </w:r>
                </w:p>
                <w:p w14:paraId="23CE1552" w14:textId="77777777" w:rsidR="00B201D3" w:rsidRDefault="009855E8">
                  <w:pPr>
                    <w:ind w:firstLineChars="200" w:firstLine="420"/>
                    <w:jc w:val="both"/>
                    <w:rPr>
                      <w:rFonts w:asciiTheme="minorEastAsia" w:eastAsiaTheme="minorEastAsia" w:hAnsiTheme="minorEastAsia"/>
                    </w:rPr>
                  </w:pPr>
                  <w:r>
                    <w:rPr>
                      <w:rFonts w:asciiTheme="minorEastAsia" w:eastAsiaTheme="minorEastAsia" w:hAnsiTheme="minorEastAsia" w:hint="eastAsia"/>
                    </w:rPr>
                    <w:lastRenderedPageBreak/>
                    <w:t>公司2023年6月</w:t>
                  </w:r>
                  <w:r>
                    <w:rPr>
                      <w:rFonts w:asciiTheme="minorEastAsia" w:eastAsiaTheme="minorEastAsia" w:hAnsiTheme="minorEastAsia"/>
                    </w:rPr>
                    <w:t>30日召开的2022年度股东周年大会，批准公司与山东能源签署《材料物资供应协议》《劳务及服务互供协议》《保险金管理协议》以及《产品、材料物资供应及资产租赁协议》，及其所限定交易于2023-2025年度交易上限金额。上述持续性关联交易协议生效后，追溯至2023年1月1日起执行。</w:t>
                  </w:r>
                </w:p>
                <w:p w14:paraId="3414B4BF" w14:textId="77777777" w:rsidR="00B201D3" w:rsidRDefault="009855E8">
                  <w:pPr>
                    <w:ind w:firstLineChars="200" w:firstLine="420"/>
                    <w:jc w:val="both"/>
                    <w:rPr>
                      <w:rFonts w:asciiTheme="minorEastAsia" w:eastAsiaTheme="minorEastAsia" w:hAnsiTheme="minorEastAsia"/>
                    </w:rPr>
                  </w:pPr>
                  <w:r>
                    <w:rPr>
                      <w:rFonts w:asciiTheme="minorEastAsia" w:eastAsiaTheme="minorEastAsia" w:hAnsiTheme="minorEastAsia" w:hint="eastAsia"/>
                    </w:rPr>
                    <w:t>除《保险金管理协议》外，确定价格的主要方式有：国家规定的价格；市场价格；以实际成本为基础厘定交易价格。交易费用可一次性或分期支付。每个公历月的最后一个营业日就当月到期应支付给另一方或应向另一方收取的有关持续性关联/关连交易款项登记入账。每个公历月发生的持续性关联/关连交易款项应于紧随下一个月度内结算完毕，但不包括当时尚未完成交易所涉及款项和仍有争议的款项。</w:t>
                  </w:r>
                </w:p>
                <w:p w14:paraId="1966C194" w14:textId="3C2EB3A8" w:rsidR="00B201D3" w:rsidRDefault="009855E8">
                  <w:pPr>
                    <w:ind w:firstLineChars="200" w:firstLine="420"/>
                    <w:jc w:val="both"/>
                    <w:rPr>
                      <w:rFonts w:asciiTheme="minorEastAsia" w:eastAsiaTheme="minorEastAsia" w:hAnsiTheme="minorEastAsia"/>
                    </w:rPr>
                  </w:pPr>
                  <w:r>
                    <w:rPr>
                      <w:rFonts w:asciiTheme="minorEastAsia" w:eastAsiaTheme="minorEastAsia" w:hAnsiTheme="minorEastAsia" w:hint="eastAsia"/>
                    </w:rPr>
                    <w:t>2023年上半年，本集团向山东能源集团销售商品、提供服务收取的费用总金额为</w:t>
                  </w:r>
                  <w:r w:rsidR="002D3E12">
                    <w:rPr>
                      <w:rFonts w:asciiTheme="minorEastAsia" w:eastAsiaTheme="minorEastAsia" w:hAnsiTheme="minorEastAsia" w:hint="eastAsia"/>
                    </w:rPr>
                    <w:t>3</w:t>
                  </w:r>
                  <w:r w:rsidR="002D3E12">
                    <w:rPr>
                      <w:rFonts w:asciiTheme="minorEastAsia" w:eastAsiaTheme="minorEastAsia" w:hAnsiTheme="minorEastAsia"/>
                    </w:rPr>
                    <w:t>3</w:t>
                  </w:r>
                  <w:r w:rsidR="004C2EB2">
                    <w:rPr>
                      <w:rFonts w:asciiTheme="minorEastAsia" w:eastAsiaTheme="minorEastAsia" w:hAnsiTheme="minorEastAsia"/>
                    </w:rPr>
                    <w:t>.12</w:t>
                  </w:r>
                  <w:r>
                    <w:rPr>
                      <w:rFonts w:asciiTheme="minorEastAsia" w:eastAsiaTheme="minorEastAsia" w:hAnsiTheme="minorEastAsia" w:hint="eastAsia"/>
                    </w:rPr>
                    <w:t>亿元；山东能源集团向本集团销售商品、提供服务收取的费用总金额为</w:t>
                  </w:r>
                  <w:r w:rsidR="002D3E12">
                    <w:rPr>
                      <w:rFonts w:asciiTheme="minorEastAsia" w:eastAsiaTheme="minorEastAsia" w:hAnsiTheme="minorEastAsia" w:hint="eastAsia"/>
                    </w:rPr>
                    <w:t>1</w:t>
                  </w:r>
                  <w:r w:rsidR="002D3E12">
                    <w:rPr>
                      <w:rFonts w:asciiTheme="minorEastAsia" w:eastAsiaTheme="minorEastAsia" w:hAnsiTheme="minorEastAsia"/>
                    </w:rPr>
                    <w:t>5.7</w:t>
                  </w:r>
                  <w:r w:rsidR="004C2EB2">
                    <w:rPr>
                      <w:rFonts w:asciiTheme="minorEastAsia" w:eastAsiaTheme="minorEastAsia" w:hAnsiTheme="minorEastAsia"/>
                    </w:rPr>
                    <w:t>4</w:t>
                  </w:r>
                  <w:r>
                    <w:rPr>
                      <w:rFonts w:asciiTheme="minorEastAsia" w:eastAsiaTheme="minorEastAsia" w:hAnsiTheme="minorEastAsia" w:hint="eastAsia"/>
                    </w:rPr>
                    <w:t>亿元。</w:t>
                  </w:r>
                </w:p>
                <w:p w14:paraId="161D1B77" w14:textId="77777777" w:rsidR="00B201D3" w:rsidRDefault="009855E8">
                  <w:pPr>
                    <w:ind w:firstLineChars="200" w:firstLine="420"/>
                    <w:jc w:val="both"/>
                    <w:rPr>
                      <w:rFonts w:asciiTheme="minorEastAsia" w:eastAsiaTheme="minorEastAsia" w:hAnsiTheme="minorEastAsia"/>
                    </w:rPr>
                  </w:pPr>
                  <w:r>
                    <w:rPr>
                      <w:rFonts w:asciiTheme="minorEastAsia" w:eastAsiaTheme="minorEastAsia" w:hAnsiTheme="minorEastAsia" w:hint="eastAsia"/>
                    </w:rPr>
                    <w:t>2023年上半年，本集团与山东能源集团购销商品、提供服务发生的持续性关联/关连交易如下表：</w:t>
                  </w:r>
                </w:p>
                <w:tbl>
                  <w:tblPr>
                    <w:tblStyle w:val="g16"/>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7"/>
                    <w:gridCol w:w="1686"/>
                    <w:gridCol w:w="1413"/>
                    <w:gridCol w:w="1459"/>
                    <w:gridCol w:w="1085"/>
                    <w:gridCol w:w="1243"/>
                  </w:tblGrid>
                  <w:tr w:rsidR="00B201D3" w14:paraId="672013AD" w14:textId="77777777">
                    <w:trPr>
                      <w:cantSplit/>
                      <w:trHeight w:val="135"/>
                      <w:jc w:val="right"/>
                    </w:trPr>
                    <w:tc>
                      <w:tcPr>
                        <w:tcW w:w="2122" w:type="dxa"/>
                        <w:vMerge w:val="restart"/>
                        <w:tcBorders>
                          <w:top w:val="single" w:sz="4" w:space="0" w:color="auto"/>
                          <w:left w:val="single" w:sz="4" w:space="0" w:color="auto"/>
                          <w:bottom w:val="single" w:sz="4" w:space="0" w:color="auto"/>
                          <w:right w:val="single" w:sz="4" w:space="0" w:color="auto"/>
                        </w:tcBorders>
                      </w:tcPr>
                      <w:p w14:paraId="75B36FC1" w14:textId="77777777" w:rsidR="00B201D3" w:rsidRDefault="00B201D3">
                        <w:pPr>
                          <w:pStyle w:val="3903"/>
                          <w:rPr>
                            <w:rFonts w:asciiTheme="minorEastAsia" w:eastAsiaTheme="minorEastAsia" w:hAnsiTheme="minorEastAsia"/>
                          </w:rPr>
                        </w:pPr>
                      </w:p>
                    </w:tc>
                    <w:tc>
                      <w:tcPr>
                        <w:tcW w:w="2952" w:type="dxa"/>
                        <w:gridSpan w:val="2"/>
                        <w:tcBorders>
                          <w:top w:val="single" w:sz="4" w:space="0" w:color="auto"/>
                          <w:left w:val="nil"/>
                          <w:bottom w:val="single" w:sz="4" w:space="0" w:color="auto"/>
                          <w:right w:val="single" w:sz="4" w:space="0" w:color="auto"/>
                        </w:tcBorders>
                        <w:vAlign w:val="center"/>
                      </w:tcPr>
                      <w:p w14:paraId="7FD342E9"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2023年上半年</w:t>
                        </w:r>
                      </w:p>
                    </w:tc>
                    <w:tc>
                      <w:tcPr>
                        <w:tcW w:w="2635" w:type="dxa"/>
                        <w:gridSpan w:val="2"/>
                        <w:tcBorders>
                          <w:top w:val="single" w:sz="4" w:space="0" w:color="auto"/>
                          <w:left w:val="nil"/>
                          <w:bottom w:val="single" w:sz="4" w:space="0" w:color="auto"/>
                          <w:right w:val="single" w:sz="4" w:space="0" w:color="auto"/>
                        </w:tcBorders>
                        <w:vAlign w:val="center"/>
                      </w:tcPr>
                      <w:p w14:paraId="66BAD1F6"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2022年上半年</w:t>
                        </w:r>
                      </w:p>
                    </w:tc>
                    <w:tc>
                      <w:tcPr>
                        <w:tcW w:w="1315" w:type="dxa"/>
                        <w:vMerge w:val="restart"/>
                        <w:tcBorders>
                          <w:top w:val="single" w:sz="4" w:space="0" w:color="auto"/>
                          <w:left w:val="nil"/>
                          <w:bottom w:val="single" w:sz="4" w:space="0" w:color="auto"/>
                          <w:right w:val="single" w:sz="4" w:space="0" w:color="auto"/>
                        </w:tcBorders>
                        <w:vAlign w:val="center"/>
                      </w:tcPr>
                      <w:p w14:paraId="2815CB2C"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关联/关连交易额增减（%）</w:t>
                        </w:r>
                      </w:p>
                    </w:tc>
                  </w:tr>
                  <w:tr w:rsidR="00B201D3" w14:paraId="6456687F" w14:textId="77777777">
                    <w:trPr>
                      <w:cantSplit/>
                      <w:jc w:val="right"/>
                    </w:trPr>
                    <w:tc>
                      <w:tcPr>
                        <w:tcW w:w="0" w:type="auto"/>
                        <w:vMerge/>
                        <w:tcBorders>
                          <w:top w:val="single" w:sz="4" w:space="0" w:color="auto"/>
                          <w:left w:val="single" w:sz="4" w:space="0" w:color="auto"/>
                          <w:bottom w:val="single" w:sz="4" w:space="0" w:color="auto"/>
                          <w:right w:val="single" w:sz="4" w:space="0" w:color="auto"/>
                        </w:tcBorders>
                        <w:vAlign w:val="center"/>
                      </w:tcPr>
                      <w:p w14:paraId="549FB2A2" w14:textId="77777777" w:rsidR="00B201D3" w:rsidRDefault="00B201D3">
                        <w:pPr>
                          <w:rPr>
                            <w:rFonts w:asciiTheme="minorEastAsia" w:eastAsiaTheme="minorEastAsia" w:hAnsiTheme="minorEastAsia"/>
                            <w:bCs/>
                          </w:rPr>
                        </w:pPr>
                      </w:p>
                    </w:tc>
                    <w:tc>
                      <w:tcPr>
                        <w:tcW w:w="1518" w:type="dxa"/>
                        <w:tcBorders>
                          <w:top w:val="single" w:sz="4" w:space="0" w:color="auto"/>
                          <w:left w:val="nil"/>
                          <w:bottom w:val="single" w:sz="4" w:space="0" w:color="auto"/>
                          <w:right w:val="single" w:sz="4" w:space="0" w:color="auto"/>
                        </w:tcBorders>
                        <w:vAlign w:val="center"/>
                      </w:tcPr>
                      <w:p w14:paraId="0D94C214"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金额（千元）</w:t>
                        </w:r>
                      </w:p>
                    </w:tc>
                    <w:tc>
                      <w:tcPr>
                        <w:tcW w:w="1434" w:type="dxa"/>
                        <w:tcBorders>
                          <w:top w:val="single" w:sz="4" w:space="0" w:color="auto"/>
                          <w:left w:val="nil"/>
                          <w:bottom w:val="single" w:sz="4" w:space="0" w:color="auto"/>
                          <w:right w:val="single" w:sz="4" w:space="0" w:color="auto"/>
                        </w:tcBorders>
                        <w:vAlign w:val="center"/>
                      </w:tcPr>
                      <w:p w14:paraId="1EE628D9"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占营业收入比例（%）</w:t>
                        </w:r>
                      </w:p>
                    </w:tc>
                    <w:tc>
                      <w:tcPr>
                        <w:tcW w:w="1501" w:type="dxa"/>
                        <w:tcBorders>
                          <w:top w:val="single" w:sz="4" w:space="0" w:color="auto"/>
                          <w:left w:val="nil"/>
                          <w:bottom w:val="single" w:sz="4" w:space="0" w:color="auto"/>
                          <w:right w:val="single" w:sz="4" w:space="0" w:color="auto"/>
                        </w:tcBorders>
                        <w:vAlign w:val="center"/>
                      </w:tcPr>
                      <w:p w14:paraId="7EB9CD6B"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金额（千元）</w:t>
                        </w:r>
                      </w:p>
                    </w:tc>
                    <w:tc>
                      <w:tcPr>
                        <w:tcW w:w="1134" w:type="dxa"/>
                        <w:tcBorders>
                          <w:top w:val="single" w:sz="4" w:space="0" w:color="auto"/>
                          <w:left w:val="nil"/>
                          <w:bottom w:val="single" w:sz="4" w:space="0" w:color="auto"/>
                          <w:right w:val="single" w:sz="4" w:space="0" w:color="auto"/>
                        </w:tcBorders>
                        <w:vAlign w:val="center"/>
                      </w:tcPr>
                      <w:p w14:paraId="390A71BD"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占营业收入比例（%）</w:t>
                        </w:r>
                      </w:p>
                    </w:tc>
                    <w:tc>
                      <w:tcPr>
                        <w:tcW w:w="0" w:type="auto"/>
                        <w:vMerge/>
                        <w:tcBorders>
                          <w:top w:val="single" w:sz="4" w:space="0" w:color="auto"/>
                          <w:left w:val="nil"/>
                          <w:bottom w:val="single" w:sz="4" w:space="0" w:color="auto"/>
                          <w:right w:val="single" w:sz="4" w:space="0" w:color="auto"/>
                        </w:tcBorders>
                        <w:vAlign w:val="center"/>
                      </w:tcPr>
                      <w:p w14:paraId="60BA40D7" w14:textId="77777777" w:rsidR="00B201D3" w:rsidRDefault="00B201D3">
                        <w:pPr>
                          <w:rPr>
                            <w:rFonts w:asciiTheme="minorEastAsia" w:eastAsiaTheme="minorEastAsia" w:hAnsiTheme="minorEastAsia"/>
                          </w:rPr>
                        </w:pPr>
                      </w:p>
                    </w:tc>
                  </w:tr>
                  <w:tr w:rsidR="00B201D3" w14:paraId="34BFC5FC" w14:textId="77777777">
                    <w:trPr>
                      <w:jc w:val="right"/>
                    </w:trPr>
                    <w:tc>
                      <w:tcPr>
                        <w:tcW w:w="2122" w:type="dxa"/>
                        <w:tcBorders>
                          <w:top w:val="single" w:sz="4" w:space="0" w:color="auto"/>
                          <w:left w:val="single" w:sz="4" w:space="0" w:color="auto"/>
                          <w:bottom w:val="single" w:sz="4" w:space="0" w:color="auto"/>
                          <w:right w:val="single" w:sz="4" w:space="0" w:color="auto"/>
                        </w:tcBorders>
                      </w:tcPr>
                      <w:p w14:paraId="61F3BBA8" w14:textId="77777777" w:rsidR="00B201D3" w:rsidRDefault="009855E8">
                        <w:pPr>
                          <w:pStyle w:val="3903"/>
                          <w:rPr>
                            <w:rFonts w:asciiTheme="minorEastAsia" w:eastAsiaTheme="minorEastAsia" w:hAnsiTheme="minorEastAsia"/>
                          </w:rPr>
                        </w:pPr>
                        <w:r>
                          <w:rPr>
                            <w:rFonts w:asciiTheme="minorEastAsia" w:eastAsiaTheme="minorEastAsia" w:hAnsiTheme="minorEastAsia" w:hint="eastAsia"/>
                          </w:rPr>
                          <w:t>本集团向山东能源集团销售商品、提供服务</w:t>
                        </w:r>
                      </w:p>
                    </w:tc>
                    <w:tc>
                      <w:tcPr>
                        <w:tcW w:w="1518" w:type="dxa"/>
                        <w:tcBorders>
                          <w:top w:val="single" w:sz="4" w:space="0" w:color="auto"/>
                          <w:left w:val="nil"/>
                          <w:bottom w:val="single" w:sz="4" w:space="0" w:color="auto"/>
                          <w:right w:val="single" w:sz="4" w:space="0" w:color="auto"/>
                        </w:tcBorders>
                        <w:vAlign w:val="center"/>
                      </w:tcPr>
                      <w:p w14:paraId="5E730EF8" w14:textId="74EDA97D" w:rsidR="00B201D3" w:rsidRDefault="002D3E12">
                        <w:pPr>
                          <w:pStyle w:val="3903"/>
                          <w:ind w:left="420" w:right="105"/>
                          <w:jc w:val="right"/>
                          <w:rPr>
                            <w:rFonts w:asciiTheme="minorEastAsia" w:eastAsiaTheme="minorEastAsia" w:hAnsiTheme="minorEastAsia"/>
                          </w:rPr>
                        </w:pPr>
                        <w:r w:rsidRPr="002D3E12">
                          <w:rPr>
                            <w:rFonts w:asciiTheme="minorEastAsia" w:eastAsiaTheme="minorEastAsia" w:hAnsiTheme="minorEastAsia"/>
                          </w:rPr>
                          <w:t>3,31</w:t>
                        </w:r>
                        <w:r w:rsidR="004C2EB2">
                          <w:rPr>
                            <w:rFonts w:asciiTheme="minorEastAsia" w:eastAsiaTheme="minorEastAsia" w:hAnsiTheme="minorEastAsia"/>
                          </w:rPr>
                          <w:t>2</w:t>
                        </w:r>
                        <w:r w:rsidRPr="002D3E12">
                          <w:rPr>
                            <w:rFonts w:asciiTheme="minorEastAsia" w:eastAsiaTheme="minorEastAsia" w:hAnsiTheme="minorEastAsia"/>
                          </w:rPr>
                          <w:t>,15</w:t>
                        </w:r>
                        <w:r w:rsidR="004C2EB2">
                          <w:rPr>
                            <w:rFonts w:asciiTheme="minorEastAsia" w:eastAsiaTheme="minorEastAsia" w:hAnsiTheme="minorEastAsia"/>
                          </w:rPr>
                          <w:t>1</w:t>
                        </w:r>
                      </w:p>
                    </w:tc>
                    <w:tc>
                      <w:tcPr>
                        <w:tcW w:w="1434" w:type="dxa"/>
                        <w:tcBorders>
                          <w:top w:val="single" w:sz="4" w:space="0" w:color="auto"/>
                          <w:left w:val="nil"/>
                          <w:bottom w:val="single" w:sz="4" w:space="0" w:color="auto"/>
                          <w:right w:val="single" w:sz="4" w:space="0" w:color="auto"/>
                        </w:tcBorders>
                        <w:vAlign w:val="center"/>
                      </w:tcPr>
                      <w:p w14:paraId="7F12325B" w14:textId="18DCBCC4" w:rsidR="00B201D3" w:rsidRDefault="00011B68">
                        <w:pPr>
                          <w:pStyle w:val="3903"/>
                          <w:ind w:left="420" w:right="210"/>
                          <w:jc w:val="center"/>
                          <w:rPr>
                            <w:rFonts w:asciiTheme="minorEastAsia" w:eastAsiaTheme="minorEastAsia" w:hAnsiTheme="minorEastAsia"/>
                          </w:rPr>
                        </w:pPr>
                        <w:r>
                          <w:rPr>
                            <w:rFonts w:asciiTheme="minorEastAsia" w:eastAsiaTheme="minorEastAsia" w:hAnsiTheme="minorEastAsia" w:hint="eastAsia"/>
                          </w:rPr>
                          <w:t>3</w:t>
                        </w:r>
                        <w:r>
                          <w:rPr>
                            <w:rFonts w:asciiTheme="minorEastAsia" w:eastAsiaTheme="minorEastAsia" w:hAnsiTheme="minorEastAsia"/>
                          </w:rPr>
                          <w:t>.9</w:t>
                        </w:r>
                        <w:r w:rsidR="001C0110">
                          <w:rPr>
                            <w:rFonts w:asciiTheme="minorEastAsia" w:eastAsiaTheme="minorEastAsia" w:hAnsiTheme="minorEastAsia"/>
                          </w:rPr>
                          <w:t>2</w:t>
                        </w:r>
                      </w:p>
                    </w:tc>
                    <w:tc>
                      <w:tcPr>
                        <w:tcW w:w="1501" w:type="dxa"/>
                        <w:tcBorders>
                          <w:top w:val="single" w:sz="4" w:space="0" w:color="auto"/>
                          <w:left w:val="nil"/>
                          <w:bottom w:val="single" w:sz="4" w:space="0" w:color="auto"/>
                          <w:right w:val="single" w:sz="4" w:space="0" w:color="auto"/>
                        </w:tcBorders>
                        <w:vAlign w:val="center"/>
                      </w:tcPr>
                      <w:p w14:paraId="7822CD55" w14:textId="77777777" w:rsidR="00B201D3" w:rsidRDefault="009855E8">
                        <w:pPr>
                          <w:jc w:val="right"/>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rPr>
                          <w:t>,</w:t>
                        </w:r>
                        <w:r>
                          <w:rPr>
                            <w:rFonts w:asciiTheme="minorEastAsia" w:eastAsiaTheme="minorEastAsia" w:hAnsiTheme="minorEastAsia" w:hint="eastAsia"/>
                          </w:rPr>
                          <w:t>845</w:t>
                        </w:r>
                        <w:r>
                          <w:rPr>
                            <w:rFonts w:asciiTheme="minorEastAsia" w:eastAsiaTheme="minorEastAsia" w:hAnsiTheme="minorEastAsia"/>
                          </w:rPr>
                          <w:t>,</w:t>
                        </w:r>
                        <w:r>
                          <w:rPr>
                            <w:rFonts w:asciiTheme="minorEastAsia" w:eastAsiaTheme="minorEastAsia" w:hAnsiTheme="minorEastAsia" w:hint="eastAsia"/>
                          </w:rPr>
                          <w:t>370</w:t>
                        </w:r>
                      </w:p>
                    </w:tc>
                    <w:tc>
                      <w:tcPr>
                        <w:tcW w:w="1134" w:type="dxa"/>
                        <w:tcBorders>
                          <w:top w:val="single" w:sz="4" w:space="0" w:color="auto"/>
                          <w:left w:val="nil"/>
                          <w:bottom w:val="single" w:sz="4" w:space="0" w:color="auto"/>
                          <w:right w:val="single" w:sz="4" w:space="0" w:color="auto"/>
                        </w:tcBorders>
                        <w:vAlign w:val="center"/>
                      </w:tcPr>
                      <w:p w14:paraId="6A2C34E1"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2.84</w:t>
                        </w:r>
                      </w:p>
                    </w:tc>
                    <w:tc>
                      <w:tcPr>
                        <w:tcW w:w="1315" w:type="dxa"/>
                        <w:tcBorders>
                          <w:top w:val="single" w:sz="4" w:space="0" w:color="auto"/>
                          <w:left w:val="nil"/>
                          <w:bottom w:val="single" w:sz="4" w:space="0" w:color="auto"/>
                          <w:right w:val="single" w:sz="4" w:space="0" w:color="auto"/>
                        </w:tcBorders>
                        <w:vAlign w:val="center"/>
                      </w:tcPr>
                      <w:p w14:paraId="3CF59772" w14:textId="390830AF" w:rsidR="00B201D3" w:rsidRDefault="00011B68">
                        <w:pPr>
                          <w:jc w:val="center"/>
                          <w:rPr>
                            <w:rFonts w:asciiTheme="minorEastAsia" w:eastAsiaTheme="minorEastAsia" w:hAnsiTheme="minorEastAsia"/>
                          </w:rPr>
                        </w:pPr>
                        <w:r>
                          <w:rPr>
                            <w:rFonts w:asciiTheme="minorEastAsia" w:eastAsiaTheme="minorEastAsia" w:hAnsiTheme="minorEastAsia" w:hint="eastAsia"/>
                          </w:rPr>
                          <w:t>1</w:t>
                        </w:r>
                        <w:r>
                          <w:rPr>
                            <w:rFonts w:asciiTheme="minorEastAsia" w:eastAsiaTheme="minorEastAsia" w:hAnsiTheme="minorEastAsia"/>
                          </w:rPr>
                          <w:t>6.</w:t>
                        </w:r>
                        <w:r w:rsidR="001C0110">
                          <w:rPr>
                            <w:rFonts w:asciiTheme="minorEastAsia" w:eastAsiaTheme="minorEastAsia" w:hAnsiTheme="minorEastAsia"/>
                          </w:rPr>
                          <w:t>40</w:t>
                        </w:r>
                      </w:p>
                    </w:tc>
                  </w:tr>
                  <w:tr w:rsidR="00B201D3" w14:paraId="3364A353" w14:textId="77777777">
                    <w:trPr>
                      <w:jc w:val="right"/>
                    </w:trPr>
                    <w:tc>
                      <w:tcPr>
                        <w:tcW w:w="2122" w:type="dxa"/>
                        <w:tcBorders>
                          <w:top w:val="single" w:sz="4" w:space="0" w:color="auto"/>
                          <w:left w:val="single" w:sz="4" w:space="0" w:color="auto"/>
                          <w:bottom w:val="single" w:sz="4" w:space="0" w:color="auto"/>
                          <w:right w:val="single" w:sz="4" w:space="0" w:color="auto"/>
                        </w:tcBorders>
                      </w:tcPr>
                      <w:p w14:paraId="3C1B18A8" w14:textId="77777777" w:rsidR="00B201D3" w:rsidRDefault="009855E8">
                        <w:pPr>
                          <w:pStyle w:val="3903"/>
                          <w:rPr>
                            <w:rFonts w:asciiTheme="minorEastAsia" w:eastAsiaTheme="minorEastAsia" w:hAnsiTheme="minorEastAsia"/>
                          </w:rPr>
                        </w:pPr>
                        <w:r>
                          <w:rPr>
                            <w:rFonts w:asciiTheme="minorEastAsia" w:eastAsiaTheme="minorEastAsia" w:hAnsiTheme="minorEastAsia" w:hint="eastAsia"/>
                          </w:rPr>
                          <w:t>山东能源集团向本集团销售商品、提供服务</w:t>
                        </w:r>
                      </w:p>
                    </w:tc>
                    <w:tc>
                      <w:tcPr>
                        <w:tcW w:w="1518" w:type="dxa"/>
                        <w:tcBorders>
                          <w:top w:val="single" w:sz="4" w:space="0" w:color="auto"/>
                          <w:left w:val="nil"/>
                          <w:bottom w:val="single" w:sz="4" w:space="0" w:color="auto"/>
                          <w:right w:val="single" w:sz="4" w:space="0" w:color="auto"/>
                        </w:tcBorders>
                        <w:vAlign w:val="center"/>
                      </w:tcPr>
                      <w:p w14:paraId="768DC323" w14:textId="1AA7E9A3" w:rsidR="00B201D3" w:rsidRDefault="002D3E12">
                        <w:pPr>
                          <w:pStyle w:val="3903"/>
                          <w:ind w:left="420" w:right="105"/>
                          <w:jc w:val="right"/>
                          <w:rPr>
                            <w:rFonts w:asciiTheme="minorEastAsia" w:eastAsiaTheme="minorEastAsia" w:hAnsiTheme="minorEastAsia"/>
                          </w:rPr>
                        </w:pPr>
                        <w:r w:rsidRPr="002D3E12">
                          <w:rPr>
                            <w:rFonts w:asciiTheme="minorEastAsia" w:eastAsiaTheme="minorEastAsia" w:hAnsiTheme="minorEastAsia"/>
                          </w:rPr>
                          <w:t>1,57</w:t>
                        </w:r>
                        <w:r w:rsidR="00CE62FB">
                          <w:rPr>
                            <w:rFonts w:asciiTheme="minorEastAsia" w:eastAsiaTheme="minorEastAsia" w:hAnsiTheme="minorEastAsia"/>
                          </w:rPr>
                          <w:t>3</w:t>
                        </w:r>
                        <w:r w:rsidRPr="002D3E12">
                          <w:rPr>
                            <w:rFonts w:asciiTheme="minorEastAsia" w:eastAsiaTheme="minorEastAsia" w:hAnsiTheme="minorEastAsia"/>
                          </w:rPr>
                          <w:t>,</w:t>
                        </w:r>
                        <w:r w:rsidR="004C2EB2">
                          <w:rPr>
                            <w:rFonts w:asciiTheme="minorEastAsia" w:eastAsiaTheme="minorEastAsia" w:hAnsiTheme="minorEastAsia"/>
                          </w:rPr>
                          <w:t>867</w:t>
                        </w:r>
                      </w:p>
                    </w:tc>
                    <w:tc>
                      <w:tcPr>
                        <w:tcW w:w="1434" w:type="dxa"/>
                        <w:tcBorders>
                          <w:top w:val="single" w:sz="4" w:space="0" w:color="auto"/>
                          <w:left w:val="nil"/>
                          <w:bottom w:val="single" w:sz="4" w:space="0" w:color="auto"/>
                          <w:right w:val="single" w:sz="4" w:space="0" w:color="auto"/>
                        </w:tcBorders>
                        <w:vAlign w:val="center"/>
                      </w:tcPr>
                      <w:p w14:paraId="37841B50" w14:textId="5AA653FD" w:rsidR="00B201D3" w:rsidRDefault="00011B68">
                        <w:pPr>
                          <w:pStyle w:val="3903"/>
                          <w:ind w:left="420" w:right="210"/>
                          <w:jc w:val="center"/>
                          <w:rPr>
                            <w:rFonts w:asciiTheme="minorEastAsia" w:eastAsiaTheme="minorEastAsia" w:hAnsiTheme="minorEastAsia"/>
                          </w:rPr>
                        </w:pPr>
                        <w:r>
                          <w:rPr>
                            <w:rFonts w:asciiTheme="minorEastAsia" w:eastAsiaTheme="minorEastAsia" w:hAnsiTheme="minorEastAsia" w:hint="eastAsia"/>
                          </w:rPr>
                          <w:t>1</w:t>
                        </w:r>
                        <w:r>
                          <w:rPr>
                            <w:rFonts w:asciiTheme="minorEastAsia" w:eastAsiaTheme="minorEastAsia" w:hAnsiTheme="minorEastAsia"/>
                          </w:rPr>
                          <w:t>.8</w:t>
                        </w:r>
                        <w:r w:rsidR="00AC2118">
                          <w:rPr>
                            <w:rFonts w:asciiTheme="minorEastAsia" w:eastAsiaTheme="minorEastAsia" w:hAnsiTheme="minorEastAsia"/>
                          </w:rPr>
                          <w:t>6</w:t>
                        </w:r>
                      </w:p>
                    </w:tc>
                    <w:tc>
                      <w:tcPr>
                        <w:tcW w:w="1501" w:type="dxa"/>
                        <w:tcBorders>
                          <w:top w:val="single" w:sz="4" w:space="0" w:color="auto"/>
                          <w:left w:val="nil"/>
                          <w:bottom w:val="single" w:sz="4" w:space="0" w:color="auto"/>
                          <w:right w:val="single" w:sz="4" w:space="0" w:color="auto"/>
                        </w:tcBorders>
                        <w:vAlign w:val="center"/>
                      </w:tcPr>
                      <w:p w14:paraId="6218A0CE" w14:textId="77777777" w:rsidR="00B201D3" w:rsidRDefault="009855E8">
                        <w:pPr>
                          <w:jc w:val="right"/>
                          <w:rPr>
                            <w:rFonts w:asciiTheme="minorEastAsia" w:eastAsiaTheme="minorEastAsia" w:hAnsiTheme="minorEastAsia"/>
                          </w:rPr>
                        </w:pPr>
                        <w:r>
                          <w:rPr>
                            <w:rFonts w:asciiTheme="minorEastAsia" w:eastAsiaTheme="minorEastAsia" w:hAnsiTheme="minorEastAsia" w:hint="eastAsia"/>
                          </w:rPr>
                          <w:t>1,979,715</w:t>
                        </w:r>
                      </w:p>
                    </w:tc>
                    <w:tc>
                      <w:tcPr>
                        <w:tcW w:w="1134" w:type="dxa"/>
                        <w:tcBorders>
                          <w:top w:val="single" w:sz="4" w:space="0" w:color="auto"/>
                          <w:left w:val="nil"/>
                          <w:bottom w:val="single" w:sz="4" w:space="0" w:color="auto"/>
                          <w:right w:val="single" w:sz="4" w:space="0" w:color="auto"/>
                        </w:tcBorders>
                        <w:vAlign w:val="center"/>
                      </w:tcPr>
                      <w:p w14:paraId="65DDE962"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1.97</w:t>
                        </w:r>
                      </w:p>
                    </w:tc>
                    <w:tc>
                      <w:tcPr>
                        <w:tcW w:w="1315" w:type="dxa"/>
                        <w:tcBorders>
                          <w:top w:val="single" w:sz="4" w:space="0" w:color="auto"/>
                          <w:left w:val="nil"/>
                          <w:bottom w:val="single" w:sz="4" w:space="0" w:color="auto"/>
                          <w:right w:val="single" w:sz="4" w:space="0" w:color="auto"/>
                        </w:tcBorders>
                        <w:vAlign w:val="center"/>
                      </w:tcPr>
                      <w:p w14:paraId="0D4F39AF" w14:textId="69DCA293" w:rsidR="00B201D3" w:rsidRDefault="00011B68">
                        <w:pPr>
                          <w:jc w:val="center"/>
                          <w:rPr>
                            <w:rFonts w:asciiTheme="minorEastAsia" w:eastAsiaTheme="minorEastAsia" w:hAnsiTheme="minorEastAsia"/>
                          </w:rPr>
                        </w:pPr>
                        <w:r>
                          <w:rPr>
                            <w:rFonts w:asciiTheme="minorEastAsia" w:eastAsiaTheme="minorEastAsia" w:hAnsiTheme="minorEastAsia" w:hint="eastAsia"/>
                          </w:rPr>
                          <w:t>-</w:t>
                        </w:r>
                        <w:r>
                          <w:rPr>
                            <w:rFonts w:asciiTheme="minorEastAsia" w:eastAsiaTheme="minorEastAsia" w:hAnsiTheme="minorEastAsia"/>
                          </w:rPr>
                          <w:t>20.</w:t>
                        </w:r>
                        <w:r w:rsidR="00E37EDB">
                          <w:rPr>
                            <w:rFonts w:asciiTheme="minorEastAsia" w:eastAsiaTheme="minorEastAsia" w:hAnsiTheme="minorEastAsia"/>
                          </w:rPr>
                          <w:t>50</w:t>
                        </w:r>
                      </w:p>
                    </w:tc>
                  </w:tr>
                </w:tbl>
                <w:p w14:paraId="36DA7C32" w14:textId="77777777" w:rsidR="00B201D3" w:rsidRDefault="009855E8">
                  <w:pPr>
                    <w:rPr>
                      <w:rFonts w:asciiTheme="minorEastAsia" w:eastAsiaTheme="minorEastAsia" w:hAnsiTheme="minorEastAsia"/>
                    </w:rPr>
                  </w:pPr>
                  <w:r>
                    <w:rPr>
                      <w:rFonts w:asciiTheme="minorEastAsia" w:eastAsiaTheme="minorEastAsia" w:hAnsiTheme="minorEastAsia" w:hint="eastAsia"/>
                    </w:rPr>
                    <w:t xml:space="preserve">    2023年上半年，本集团向山东能源集团销售煤炭对本集团利润的影响如下表：</w:t>
                  </w:r>
                </w:p>
                <w:tbl>
                  <w:tblPr>
                    <w:tblStyle w:val="g1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984"/>
                    <w:gridCol w:w="1896"/>
                    <w:gridCol w:w="1687"/>
                  </w:tblGrid>
                  <w:tr w:rsidR="00B201D3" w14:paraId="1BB99809" w14:textId="77777777">
                    <w:trPr>
                      <w:jc w:val="center"/>
                    </w:trPr>
                    <w:tc>
                      <w:tcPr>
                        <w:tcW w:w="3256" w:type="dxa"/>
                        <w:tcBorders>
                          <w:top w:val="single" w:sz="4" w:space="0" w:color="auto"/>
                          <w:left w:val="single" w:sz="4" w:space="0" w:color="auto"/>
                          <w:bottom w:val="single" w:sz="4" w:space="0" w:color="auto"/>
                          <w:right w:val="single" w:sz="4" w:space="0" w:color="auto"/>
                        </w:tcBorders>
                        <w:vAlign w:val="center"/>
                      </w:tcPr>
                      <w:p w14:paraId="76DB6A38" w14:textId="77777777" w:rsidR="00B201D3" w:rsidRDefault="00B201D3">
                        <w:pPr>
                          <w:pStyle w:val="3903"/>
                          <w:rPr>
                            <w:rFonts w:asciiTheme="minorEastAsia" w:eastAsiaTheme="minorEastAsia" w:hAnsiTheme="minorEastAsia"/>
                          </w:rPr>
                        </w:pPr>
                      </w:p>
                    </w:tc>
                    <w:tc>
                      <w:tcPr>
                        <w:tcW w:w="1984" w:type="dxa"/>
                        <w:tcBorders>
                          <w:top w:val="single" w:sz="4" w:space="0" w:color="auto"/>
                          <w:left w:val="nil"/>
                          <w:bottom w:val="single" w:sz="4" w:space="0" w:color="auto"/>
                          <w:right w:val="single" w:sz="4" w:space="0" w:color="auto"/>
                        </w:tcBorders>
                        <w:vAlign w:val="center"/>
                      </w:tcPr>
                      <w:p w14:paraId="5A86E14D"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营业收入（千元）</w:t>
                        </w:r>
                      </w:p>
                    </w:tc>
                    <w:tc>
                      <w:tcPr>
                        <w:tcW w:w="1896" w:type="dxa"/>
                        <w:tcBorders>
                          <w:top w:val="single" w:sz="4" w:space="0" w:color="auto"/>
                          <w:left w:val="nil"/>
                          <w:bottom w:val="single" w:sz="4" w:space="0" w:color="auto"/>
                          <w:right w:val="single" w:sz="4" w:space="0" w:color="auto"/>
                        </w:tcBorders>
                        <w:vAlign w:val="center"/>
                      </w:tcPr>
                      <w:p w14:paraId="037E23AA"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营业成本（千元）</w:t>
                        </w:r>
                      </w:p>
                    </w:tc>
                    <w:tc>
                      <w:tcPr>
                        <w:tcW w:w="1687" w:type="dxa"/>
                        <w:tcBorders>
                          <w:top w:val="single" w:sz="4" w:space="0" w:color="auto"/>
                          <w:left w:val="nil"/>
                          <w:bottom w:val="single" w:sz="4" w:space="0" w:color="auto"/>
                          <w:right w:val="single" w:sz="4" w:space="0" w:color="auto"/>
                        </w:tcBorders>
                        <w:vAlign w:val="center"/>
                      </w:tcPr>
                      <w:p w14:paraId="192AD853"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毛利（千元）</w:t>
                        </w:r>
                      </w:p>
                    </w:tc>
                  </w:tr>
                  <w:tr w:rsidR="00B201D3" w14:paraId="6BBCB98B" w14:textId="77777777">
                    <w:trPr>
                      <w:trHeight w:val="387"/>
                      <w:jc w:val="center"/>
                    </w:trPr>
                    <w:tc>
                      <w:tcPr>
                        <w:tcW w:w="3256" w:type="dxa"/>
                        <w:tcBorders>
                          <w:top w:val="single" w:sz="4" w:space="0" w:color="auto"/>
                          <w:left w:val="single" w:sz="4" w:space="0" w:color="auto"/>
                          <w:bottom w:val="single" w:sz="4" w:space="0" w:color="auto"/>
                          <w:right w:val="single" w:sz="4" w:space="0" w:color="auto"/>
                        </w:tcBorders>
                        <w:vAlign w:val="center"/>
                      </w:tcPr>
                      <w:p w14:paraId="3A0A475E" w14:textId="77777777" w:rsidR="00B201D3" w:rsidRDefault="009855E8">
                        <w:pPr>
                          <w:pStyle w:val="3903"/>
                          <w:rPr>
                            <w:rFonts w:asciiTheme="minorEastAsia" w:eastAsiaTheme="minorEastAsia" w:hAnsiTheme="minorEastAsia"/>
                          </w:rPr>
                        </w:pPr>
                        <w:r>
                          <w:rPr>
                            <w:rFonts w:asciiTheme="minorEastAsia" w:eastAsiaTheme="minorEastAsia" w:hAnsiTheme="minorEastAsia" w:hint="eastAsia"/>
                          </w:rPr>
                          <w:t>向山东能源集团销售煤炭</w:t>
                        </w:r>
                      </w:p>
                    </w:tc>
                    <w:tc>
                      <w:tcPr>
                        <w:tcW w:w="1984" w:type="dxa"/>
                        <w:tcBorders>
                          <w:top w:val="single" w:sz="4" w:space="0" w:color="auto"/>
                          <w:left w:val="nil"/>
                          <w:bottom w:val="single" w:sz="4" w:space="0" w:color="auto"/>
                          <w:right w:val="single" w:sz="4" w:space="0" w:color="auto"/>
                        </w:tcBorders>
                        <w:vAlign w:val="center"/>
                      </w:tcPr>
                      <w:p w14:paraId="3760C088" w14:textId="75FA656C" w:rsidR="00B201D3" w:rsidRDefault="002D3E12" w:rsidP="00011B68">
                        <w:pPr>
                          <w:jc w:val="center"/>
                          <w:rPr>
                            <w:rFonts w:asciiTheme="minorEastAsia" w:eastAsiaTheme="minorEastAsia" w:hAnsiTheme="minorEastAsia"/>
                          </w:rPr>
                        </w:pPr>
                        <w:r w:rsidRPr="002D3E12">
                          <w:rPr>
                            <w:rFonts w:asciiTheme="minorEastAsia" w:eastAsiaTheme="minorEastAsia" w:hAnsiTheme="minorEastAsia"/>
                          </w:rPr>
                          <w:t>1,707,917</w:t>
                        </w:r>
                      </w:p>
                    </w:tc>
                    <w:tc>
                      <w:tcPr>
                        <w:tcW w:w="1896" w:type="dxa"/>
                        <w:tcBorders>
                          <w:top w:val="single" w:sz="4" w:space="0" w:color="auto"/>
                          <w:left w:val="nil"/>
                          <w:bottom w:val="single" w:sz="4" w:space="0" w:color="auto"/>
                          <w:right w:val="single" w:sz="4" w:space="0" w:color="auto"/>
                        </w:tcBorders>
                        <w:vAlign w:val="center"/>
                      </w:tcPr>
                      <w:p w14:paraId="15C70404" w14:textId="37C8FBE3" w:rsidR="00B201D3" w:rsidRDefault="007D2A0B">
                        <w:pPr>
                          <w:jc w:val="right"/>
                          <w:rPr>
                            <w:rFonts w:asciiTheme="minorEastAsia" w:eastAsiaTheme="minorEastAsia" w:hAnsiTheme="minorEastAsia"/>
                          </w:rPr>
                        </w:pPr>
                        <w:r>
                          <w:rPr>
                            <w:rFonts w:asciiTheme="minorEastAsia" w:eastAsiaTheme="minorEastAsia" w:hAnsiTheme="minorEastAsia" w:hint="eastAsia"/>
                          </w:rPr>
                          <w:t>7</w:t>
                        </w:r>
                        <w:r>
                          <w:rPr>
                            <w:rFonts w:asciiTheme="minorEastAsia" w:eastAsiaTheme="minorEastAsia" w:hAnsiTheme="minorEastAsia"/>
                          </w:rPr>
                          <w:t>17</w:t>
                        </w:r>
                        <w:r w:rsidRPr="007D2A0B">
                          <w:rPr>
                            <w:rFonts w:asciiTheme="minorEastAsia" w:eastAsiaTheme="minorEastAsia" w:hAnsiTheme="minorEastAsia"/>
                          </w:rPr>
                          <w:t>,</w:t>
                        </w:r>
                        <w:r>
                          <w:rPr>
                            <w:rFonts w:asciiTheme="minorEastAsia" w:eastAsiaTheme="minorEastAsia" w:hAnsiTheme="minorEastAsia"/>
                          </w:rPr>
                          <w:t>325</w:t>
                        </w:r>
                      </w:p>
                    </w:tc>
                    <w:tc>
                      <w:tcPr>
                        <w:tcW w:w="1687" w:type="dxa"/>
                        <w:tcBorders>
                          <w:top w:val="single" w:sz="4" w:space="0" w:color="auto"/>
                          <w:left w:val="nil"/>
                          <w:bottom w:val="single" w:sz="4" w:space="0" w:color="auto"/>
                          <w:right w:val="single" w:sz="4" w:space="0" w:color="auto"/>
                        </w:tcBorders>
                        <w:vAlign w:val="center"/>
                      </w:tcPr>
                      <w:p w14:paraId="0EF1C26E" w14:textId="35EA8A5C" w:rsidR="00B201D3" w:rsidRDefault="007D2A0B">
                        <w:pPr>
                          <w:jc w:val="right"/>
                          <w:rPr>
                            <w:rFonts w:asciiTheme="minorEastAsia" w:eastAsiaTheme="minorEastAsia" w:hAnsiTheme="minorEastAsia"/>
                          </w:rPr>
                        </w:pPr>
                        <w:r>
                          <w:rPr>
                            <w:rFonts w:asciiTheme="minorEastAsia" w:eastAsiaTheme="minorEastAsia" w:hAnsiTheme="minorEastAsia" w:hint="eastAsia"/>
                          </w:rPr>
                          <w:t>9</w:t>
                        </w:r>
                        <w:r>
                          <w:rPr>
                            <w:rFonts w:asciiTheme="minorEastAsia" w:eastAsiaTheme="minorEastAsia" w:hAnsiTheme="minorEastAsia"/>
                          </w:rPr>
                          <w:t>90</w:t>
                        </w:r>
                        <w:r w:rsidRPr="007D2A0B">
                          <w:rPr>
                            <w:rFonts w:asciiTheme="minorEastAsia" w:eastAsiaTheme="minorEastAsia" w:hAnsiTheme="minorEastAsia"/>
                          </w:rPr>
                          <w:t>,</w:t>
                        </w:r>
                        <w:r>
                          <w:rPr>
                            <w:rFonts w:asciiTheme="minorEastAsia" w:eastAsiaTheme="minorEastAsia" w:hAnsiTheme="minorEastAsia"/>
                          </w:rPr>
                          <w:t>592</w:t>
                        </w:r>
                      </w:p>
                    </w:tc>
                  </w:tr>
                </w:tbl>
                <w:p w14:paraId="4227038E" w14:textId="4928FD04" w:rsidR="00B201D3" w:rsidRDefault="009855E8">
                  <w:pPr>
                    <w:ind w:firstLineChars="200" w:firstLine="420"/>
                    <w:jc w:val="both"/>
                    <w:rPr>
                      <w:rFonts w:asciiTheme="minorEastAsia" w:eastAsiaTheme="minorEastAsia" w:hAnsiTheme="minorEastAsia"/>
                    </w:rPr>
                  </w:pPr>
                  <w:r>
                    <w:rPr>
                      <w:rFonts w:asciiTheme="minorEastAsia" w:eastAsiaTheme="minorEastAsia" w:hAnsiTheme="minorEastAsia" w:hint="eastAsia"/>
                    </w:rPr>
                    <w:t>根据《保险金管理协议》，山东能源集团就本集团职工的</w:t>
                  </w:r>
                  <w:bookmarkStart w:id="82" w:name="_Hlk142755596"/>
                  <w:r>
                    <w:rPr>
                      <w:rFonts w:asciiTheme="minorEastAsia" w:eastAsiaTheme="minorEastAsia" w:hAnsiTheme="minorEastAsia" w:hint="eastAsia"/>
                    </w:rPr>
                    <w:t>社会保险、住房公积金、企业年金等</w:t>
                  </w:r>
                  <w:bookmarkEnd w:id="82"/>
                  <w:r>
                    <w:rPr>
                      <w:rFonts w:asciiTheme="minorEastAsia" w:eastAsiaTheme="minorEastAsia" w:hAnsiTheme="minorEastAsia" w:hint="eastAsia"/>
                    </w:rPr>
                    <w:t>（“保险金”）免费提供管理及转缴服务。2023年上半年，本集团</w:t>
                  </w:r>
                  <w:r w:rsidR="002D3E12">
                    <w:rPr>
                      <w:rFonts w:asciiTheme="minorEastAsia" w:eastAsiaTheme="minorEastAsia" w:hAnsiTheme="minorEastAsia" w:hint="eastAsia"/>
                    </w:rPr>
                    <w:t>未</w:t>
                  </w:r>
                  <w:r>
                    <w:rPr>
                      <w:rFonts w:asciiTheme="minorEastAsia" w:eastAsiaTheme="minorEastAsia" w:hAnsiTheme="minorEastAsia" w:hint="eastAsia"/>
                    </w:rPr>
                    <w:t>向山东能源集团实际支付保险金。</w:t>
                  </w:r>
                </w:p>
                <w:p w14:paraId="6DC03460" w14:textId="77777777" w:rsidR="00B201D3" w:rsidRDefault="009855E8">
                  <w:pPr>
                    <w:ind w:firstLineChars="200" w:firstLine="420"/>
                    <w:rPr>
                      <w:rFonts w:asciiTheme="minorEastAsia" w:eastAsiaTheme="minorEastAsia" w:hAnsiTheme="minorEastAsia"/>
                    </w:rPr>
                  </w:pPr>
                  <w:r>
                    <w:rPr>
                      <w:rFonts w:asciiTheme="minorEastAsia" w:eastAsiaTheme="minorEastAsia" w:hAnsiTheme="minorEastAsia" w:hint="eastAsia"/>
                    </w:rPr>
                    <w:t>②</w:t>
                  </w:r>
                  <w:r>
                    <w:rPr>
                      <w:rFonts w:asciiTheme="minorEastAsia" w:eastAsiaTheme="minorEastAsia" w:hAnsiTheme="minorEastAsia" w:hint="eastAsia"/>
                      <w:shd w:val="clear" w:color="auto" w:fill="FFFFFF"/>
                    </w:rPr>
                    <w:t>受托管理山东能源部分权属公司</w:t>
                  </w:r>
                  <w:r>
                    <w:rPr>
                      <w:rFonts w:asciiTheme="minorEastAsia" w:eastAsiaTheme="minorEastAsia" w:hAnsiTheme="minorEastAsia" w:hint="eastAsia"/>
                    </w:rPr>
                    <w:t>关联/关连交易</w:t>
                  </w:r>
                </w:p>
                <w:p w14:paraId="01A64642" w14:textId="6D4487B9" w:rsidR="00B201D3" w:rsidRDefault="009855E8">
                  <w:pPr>
                    <w:ind w:firstLineChars="200" w:firstLine="420"/>
                    <w:jc w:val="both"/>
                    <w:rPr>
                      <w:rFonts w:asciiTheme="minorEastAsia" w:eastAsiaTheme="minorEastAsia" w:hAnsiTheme="minorEastAsia"/>
                    </w:rPr>
                  </w:pPr>
                  <w:r>
                    <w:rPr>
                      <w:rFonts w:asciiTheme="minorEastAsia" w:eastAsiaTheme="minorEastAsia" w:hAnsiTheme="minorEastAsia" w:hint="eastAsia"/>
                    </w:rPr>
                    <w:t>公司2021年2月5日召开的2021年度第一次临时股东大会，</w:t>
                  </w:r>
                  <w:r>
                    <w:rPr>
                      <w:rFonts w:asciiTheme="minorEastAsia" w:eastAsiaTheme="minorEastAsia" w:hAnsiTheme="minorEastAsia" w:hint="eastAsia"/>
                      <w:shd w:val="clear" w:color="auto" w:fill="FFFFFF"/>
                    </w:rPr>
                    <w:t>审议批准公司与</w:t>
                  </w:r>
                  <w:r>
                    <w:rPr>
                      <w:rFonts w:asciiTheme="minorEastAsia" w:eastAsiaTheme="minorEastAsia" w:hAnsiTheme="minorEastAsia" w:hint="eastAsia"/>
                    </w:rPr>
                    <w:t>山东能源</w:t>
                  </w:r>
                  <w:r>
                    <w:rPr>
                      <w:rFonts w:asciiTheme="minorEastAsia" w:eastAsiaTheme="minorEastAsia" w:hAnsiTheme="minorEastAsia" w:hint="eastAsia"/>
                      <w:shd w:val="clear" w:color="auto" w:fill="FFFFFF"/>
                    </w:rPr>
                    <w:t>签署《委托管理专项协议》</w:t>
                  </w:r>
                  <w:r>
                    <w:rPr>
                      <w:rFonts w:asciiTheme="minorEastAsia" w:eastAsiaTheme="minorEastAsia" w:hAnsiTheme="minorEastAsia" w:hint="eastAsia"/>
                    </w:rPr>
                    <w:t>及其所限定交易在2021-2023年每年的交易上限金额。委托管理费用采用固定价格，即每个标的公司150万元/年。</w:t>
                  </w:r>
                </w:p>
                <w:p w14:paraId="62E1FD5C" w14:textId="77777777" w:rsidR="00B201D3" w:rsidRDefault="009855E8">
                  <w:pPr>
                    <w:ind w:firstLineChars="200" w:firstLine="420"/>
                    <w:rPr>
                      <w:rFonts w:asciiTheme="minorEastAsia" w:eastAsiaTheme="minorEastAsia" w:hAnsiTheme="minorEastAsia"/>
                      <w:shd w:val="clear" w:color="auto" w:fill="FFFFFF"/>
                    </w:rPr>
                  </w:pPr>
                  <w:r>
                    <w:rPr>
                      <w:rFonts w:asciiTheme="minorEastAsia" w:eastAsiaTheme="minorEastAsia" w:hAnsiTheme="minorEastAsia" w:hint="eastAsia"/>
                    </w:rPr>
                    <w:t>③金融服务持续性关联/关连交易</w:t>
                  </w:r>
                </w:p>
                <w:p w14:paraId="12C192C9" w14:textId="1C1C6CD4" w:rsidR="00B201D3" w:rsidRDefault="009855E8">
                  <w:pPr>
                    <w:ind w:firstLineChars="200" w:firstLine="420"/>
                    <w:jc w:val="both"/>
                    <w:rPr>
                      <w:rFonts w:asciiTheme="minorEastAsia" w:eastAsiaTheme="minorEastAsia" w:hAnsiTheme="minorEastAsia"/>
                    </w:rPr>
                  </w:pPr>
                  <w:r>
                    <w:rPr>
                      <w:rFonts w:asciiTheme="minorEastAsia" w:eastAsiaTheme="minorEastAsia" w:hAnsiTheme="minorEastAsia" w:hint="eastAsia"/>
                    </w:rPr>
                    <w:t>公司2022年6月30日召开的2021年度股东周年大会，审议批准兖矿财司与山东能源签署《金融服务协议》，约定兖矿财司向山东能源集团提供存款、综合授信以及其他金融服务及其所限定交易在2023-2025年每年的交易上限金额。相关存款利率、贷款利率及服务费均按照中国人民银行或金融监管机构的有关规定，参照正常商业条款厘定。</w:t>
                  </w:r>
                </w:p>
                <w:p w14:paraId="2728D83A" w14:textId="53E25EEB" w:rsidR="00B201D3" w:rsidRDefault="009855E8">
                  <w:pPr>
                    <w:ind w:firstLineChars="200" w:firstLine="420"/>
                    <w:rPr>
                      <w:rFonts w:asciiTheme="minorEastAsia" w:eastAsiaTheme="minorEastAsia" w:hAnsiTheme="minorEastAsia"/>
                    </w:rPr>
                  </w:pPr>
                  <w:r>
                    <w:rPr>
                      <w:rFonts w:asciiTheme="minorEastAsia" w:eastAsiaTheme="minorEastAsia" w:hAnsiTheme="minorEastAsia" w:hint="eastAsia"/>
                    </w:rPr>
                    <w:t>2023年6月30日山东能源集团在兖矿财司的存款为</w:t>
                  </w:r>
                  <w:r w:rsidR="004C2EB2">
                    <w:rPr>
                      <w:rFonts w:asciiTheme="minorEastAsia" w:eastAsiaTheme="minorEastAsia" w:hAnsiTheme="minorEastAsia" w:hint="eastAsia"/>
                    </w:rPr>
                    <w:t>1</w:t>
                  </w:r>
                  <w:r w:rsidR="004C2EB2">
                    <w:rPr>
                      <w:rFonts w:asciiTheme="minorEastAsia" w:eastAsiaTheme="minorEastAsia" w:hAnsiTheme="minorEastAsia"/>
                    </w:rPr>
                    <w:t>01.85</w:t>
                  </w:r>
                  <w:r>
                    <w:rPr>
                      <w:rFonts w:asciiTheme="minorEastAsia" w:eastAsiaTheme="minorEastAsia" w:hAnsiTheme="minorEastAsia" w:hint="eastAsia"/>
                    </w:rPr>
                    <w:t>亿元，综合授信余额为</w:t>
                  </w:r>
                  <w:r w:rsidR="004C2EB2">
                    <w:rPr>
                      <w:rFonts w:asciiTheme="minorEastAsia" w:eastAsiaTheme="minorEastAsia" w:hAnsiTheme="minorEastAsia" w:hint="eastAsia"/>
                    </w:rPr>
                    <w:t>7</w:t>
                  </w:r>
                  <w:r w:rsidR="004C2EB2">
                    <w:rPr>
                      <w:rFonts w:asciiTheme="minorEastAsia" w:eastAsiaTheme="minorEastAsia" w:hAnsiTheme="minorEastAsia"/>
                    </w:rPr>
                    <w:t>2.56</w:t>
                  </w:r>
                  <w:r>
                    <w:rPr>
                      <w:rFonts w:asciiTheme="minorEastAsia" w:eastAsiaTheme="minorEastAsia" w:hAnsiTheme="minorEastAsia" w:hint="eastAsia"/>
                    </w:rPr>
                    <w:t>亿元，2023年上半年，发生的金融服务费用为</w:t>
                  </w:r>
                  <w:r w:rsidR="00F529AD">
                    <w:rPr>
                      <w:rFonts w:asciiTheme="minorEastAsia" w:eastAsiaTheme="minorEastAsia" w:hAnsiTheme="minorEastAsia"/>
                    </w:rPr>
                    <w:t>32.60</w:t>
                  </w:r>
                  <w:r w:rsidR="00D56784">
                    <w:rPr>
                      <w:rFonts w:asciiTheme="minorEastAsia" w:eastAsiaTheme="minorEastAsia" w:hAnsiTheme="minorEastAsia" w:hint="eastAsia"/>
                    </w:rPr>
                    <w:t>万</w:t>
                  </w:r>
                  <w:r>
                    <w:rPr>
                      <w:rFonts w:asciiTheme="minorEastAsia" w:eastAsiaTheme="minorEastAsia" w:hAnsiTheme="minorEastAsia" w:hint="eastAsia"/>
                    </w:rPr>
                    <w:t>元。</w:t>
                  </w:r>
                </w:p>
                <w:p w14:paraId="64FBED2E" w14:textId="77777777" w:rsidR="00B201D3" w:rsidRDefault="009855E8">
                  <w:pPr>
                    <w:ind w:firstLineChars="200" w:firstLine="420"/>
                    <w:jc w:val="both"/>
                    <w:rPr>
                      <w:rFonts w:asciiTheme="minorEastAsia" w:eastAsiaTheme="minorEastAsia" w:hAnsiTheme="minorEastAsia"/>
                    </w:rPr>
                  </w:pPr>
                  <w:r>
                    <w:rPr>
                      <w:rFonts w:asciiTheme="minorEastAsia" w:eastAsiaTheme="minorEastAsia" w:hAnsiTheme="minorEastAsia" w:hint="eastAsia"/>
                    </w:rPr>
                    <w:t>④融资租赁持续性关联/关连交易</w:t>
                  </w:r>
                </w:p>
                <w:p w14:paraId="2FC6DBD2" w14:textId="3AF26018" w:rsidR="00B201D3" w:rsidRDefault="009855E8">
                  <w:pPr>
                    <w:ind w:firstLineChars="200" w:firstLine="420"/>
                    <w:jc w:val="both"/>
                    <w:rPr>
                      <w:rFonts w:asciiTheme="minorEastAsia" w:eastAsiaTheme="minorEastAsia" w:hAnsiTheme="minorEastAsia"/>
                      <w:shd w:val="clear" w:color="auto" w:fill="FFFFFF"/>
                    </w:rPr>
                  </w:pPr>
                  <w:r>
                    <w:rPr>
                      <w:rFonts w:asciiTheme="minorEastAsia" w:eastAsiaTheme="minorEastAsia" w:hAnsiTheme="minorEastAsia" w:hint="eastAsia"/>
                    </w:rPr>
                    <w:t>公司2021年2月5日召开的2021年度第一次临时股东大会，</w:t>
                  </w:r>
                  <w:r>
                    <w:rPr>
                      <w:rFonts w:asciiTheme="minorEastAsia" w:eastAsiaTheme="minorEastAsia" w:hAnsiTheme="minorEastAsia" w:hint="eastAsia"/>
                      <w:shd w:val="clear" w:color="auto" w:fill="FFFFFF"/>
                    </w:rPr>
                    <w:t>审议批准公司与</w:t>
                  </w:r>
                  <w:r>
                    <w:rPr>
                      <w:rFonts w:asciiTheme="minorEastAsia" w:eastAsiaTheme="minorEastAsia" w:hAnsiTheme="minorEastAsia" w:hint="eastAsia"/>
                    </w:rPr>
                    <w:t>山东能源</w:t>
                  </w:r>
                  <w:r>
                    <w:rPr>
                      <w:rFonts w:asciiTheme="minorEastAsia" w:eastAsiaTheme="minorEastAsia" w:hAnsiTheme="minorEastAsia" w:hint="eastAsia"/>
                      <w:shd w:val="clear" w:color="auto" w:fill="FFFFFF"/>
                    </w:rPr>
                    <w:t>签署《融资租赁协议》及其所限定交易于</w:t>
                  </w:r>
                  <w:r>
                    <w:rPr>
                      <w:rFonts w:asciiTheme="minorEastAsia" w:eastAsiaTheme="minorEastAsia" w:hAnsiTheme="minorEastAsia" w:hint="eastAsia"/>
                    </w:rPr>
                    <w:t>2021-2023年每年</w:t>
                  </w:r>
                  <w:r>
                    <w:rPr>
                      <w:rFonts w:asciiTheme="minorEastAsia" w:eastAsiaTheme="minorEastAsia" w:hAnsiTheme="minorEastAsia" w:hint="eastAsia"/>
                      <w:shd w:val="clear" w:color="auto" w:fill="FFFFFF"/>
                    </w:rPr>
                    <w:t>的交易上限金额。确定租赁利率的方式为在全国银行间同业拆借中心公布的同期贷款市场报价利率的基础上上浮不低于5%，最高利率不超过7.5%。</w:t>
                  </w:r>
                </w:p>
                <w:p w14:paraId="7AEBE685" w14:textId="77777777" w:rsidR="00B201D3" w:rsidRDefault="009855E8">
                  <w:pPr>
                    <w:ind w:firstLineChars="200" w:firstLine="420"/>
                    <w:jc w:val="both"/>
                    <w:rPr>
                      <w:rFonts w:asciiTheme="minorEastAsia" w:eastAsiaTheme="minorEastAsia" w:hAnsiTheme="minorEastAsia"/>
                      <w:shd w:val="clear" w:color="auto" w:fill="FFFFFF"/>
                    </w:rPr>
                  </w:pPr>
                  <w:r>
                    <w:rPr>
                      <w:rFonts w:asciiTheme="minorEastAsia" w:eastAsiaTheme="minorEastAsia" w:hAnsiTheme="minorEastAsia" w:hint="eastAsia"/>
                      <w:shd w:val="clear" w:color="auto" w:fill="FFFFFF"/>
                    </w:rPr>
                    <w:t>根据《融资租赁协议》，兖矿租赁向</w:t>
                  </w:r>
                  <w:r>
                    <w:rPr>
                      <w:rFonts w:asciiTheme="minorEastAsia" w:eastAsiaTheme="minorEastAsia" w:hAnsiTheme="minorEastAsia" w:hint="eastAsia"/>
                    </w:rPr>
                    <w:t>山东能源集团</w:t>
                  </w:r>
                  <w:r>
                    <w:rPr>
                      <w:rFonts w:asciiTheme="minorEastAsia" w:eastAsiaTheme="minorEastAsia" w:hAnsiTheme="minorEastAsia" w:hint="eastAsia"/>
                      <w:shd w:val="clear" w:color="auto" w:fill="FFFFFF"/>
                    </w:rPr>
                    <w:t>提供融资租赁服务，在兖矿租赁支付租赁资产转让价款当日或之前一次性收取手续费或咨询费，按季度收取租金。</w:t>
                  </w:r>
                </w:p>
                <w:p w14:paraId="46F77759" w14:textId="491D3328" w:rsidR="00B201D3" w:rsidRDefault="002D3E12">
                  <w:pPr>
                    <w:ind w:firstLineChars="200" w:firstLine="420"/>
                    <w:jc w:val="both"/>
                    <w:rPr>
                      <w:rFonts w:asciiTheme="minorEastAsia" w:eastAsiaTheme="minorEastAsia" w:hAnsiTheme="minorEastAsia" w:cs="Arial"/>
                      <w:color w:val="333333"/>
                    </w:rPr>
                  </w:pPr>
                  <w:r w:rsidRPr="002D3E12">
                    <w:rPr>
                      <w:rFonts w:asciiTheme="minorEastAsia" w:eastAsiaTheme="minorEastAsia" w:hAnsiTheme="minorEastAsia"/>
                    </w:rPr>
                    <w:t>2023年上半年，发生融资租赁</w:t>
                  </w:r>
                  <w:r w:rsidR="00431878">
                    <w:rPr>
                      <w:rFonts w:asciiTheme="minorEastAsia" w:eastAsiaTheme="minorEastAsia" w:hAnsiTheme="minorEastAsia" w:hint="eastAsia"/>
                    </w:rPr>
                    <w:t>本金余额、租赁利息、手续费和咨询费共计2</w:t>
                  </w:r>
                  <w:r w:rsidR="00431878">
                    <w:rPr>
                      <w:rFonts w:asciiTheme="minorEastAsia" w:eastAsiaTheme="minorEastAsia" w:hAnsiTheme="minorEastAsia"/>
                    </w:rPr>
                    <w:t>8.60</w:t>
                  </w:r>
                  <w:r w:rsidR="00431878">
                    <w:rPr>
                      <w:rFonts w:asciiTheme="minorEastAsia" w:eastAsiaTheme="minorEastAsia" w:hAnsiTheme="minorEastAsia" w:hint="eastAsia"/>
                    </w:rPr>
                    <w:t>万元。</w:t>
                  </w:r>
                </w:p>
                <w:p w14:paraId="1EAA7510" w14:textId="77777777" w:rsidR="00B201D3" w:rsidRDefault="009855E8">
                  <w:pPr>
                    <w:ind w:firstLineChars="200" w:firstLine="420"/>
                    <w:jc w:val="both"/>
                    <w:rPr>
                      <w:rFonts w:asciiTheme="minorEastAsia" w:eastAsiaTheme="minorEastAsia" w:hAnsiTheme="minorEastAsia"/>
                    </w:rPr>
                  </w:pPr>
                  <w:r>
                    <w:rPr>
                      <w:rFonts w:asciiTheme="minorEastAsia" w:eastAsiaTheme="minorEastAsia" w:hAnsiTheme="minorEastAsia" w:hint="eastAsia"/>
                    </w:rPr>
                    <w:fldChar w:fldCharType="begin"/>
                  </w:r>
                  <w:r>
                    <w:rPr>
                      <w:rFonts w:asciiTheme="minorEastAsia" w:eastAsiaTheme="minorEastAsia" w:hAnsiTheme="minorEastAsia"/>
                    </w:rPr>
                    <w:instrText xml:space="preserve"> = 5 \* GB3 </w:instrText>
                  </w:r>
                  <w:r>
                    <w:rPr>
                      <w:rFonts w:asciiTheme="minorEastAsia" w:eastAsiaTheme="minorEastAsia" w:hAnsiTheme="minorEastAsia" w:hint="eastAsia"/>
                    </w:rPr>
                    <w:fldChar w:fldCharType="separate"/>
                  </w:r>
                  <w:r>
                    <w:rPr>
                      <w:rFonts w:asciiTheme="minorEastAsia" w:eastAsiaTheme="minorEastAsia" w:hAnsiTheme="minorEastAsia" w:hint="eastAsia"/>
                    </w:rPr>
                    <w:t>⑤</w:t>
                  </w:r>
                  <w:r>
                    <w:rPr>
                      <w:rFonts w:asciiTheme="minorEastAsia" w:eastAsiaTheme="minorEastAsia" w:hAnsiTheme="minorEastAsia" w:hint="eastAsia"/>
                    </w:rPr>
                    <w:fldChar w:fldCharType="end"/>
                  </w:r>
                  <w:r>
                    <w:rPr>
                      <w:rFonts w:asciiTheme="minorEastAsia" w:eastAsiaTheme="minorEastAsia" w:hAnsiTheme="minorEastAsia" w:hint="eastAsia"/>
                    </w:rPr>
                    <w:t xml:space="preserve">委托管理持续性关联/关连交易 </w:t>
                  </w:r>
                </w:p>
                <w:p w14:paraId="0C59B797" w14:textId="411BCB3C" w:rsidR="00B201D3" w:rsidRDefault="009855E8">
                  <w:pPr>
                    <w:ind w:firstLineChars="200" w:firstLine="420"/>
                    <w:jc w:val="both"/>
                    <w:rPr>
                      <w:rFonts w:asciiTheme="minorEastAsia" w:eastAsiaTheme="minorEastAsia" w:hAnsiTheme="minorEastAsia"/>
                    </w:rPr>
                  </w:pPr>
                  <w:r>
                    <w:rPr>
                      <w:rFonts w:asciiTheme="minorEastAsia" w:eastAsiaTheme="minorEastAsia" w:hAnsiTheme="minorEastAsia" w:hint="eastAsia"/>
                    </w:rPr>
                    <w:lastRenderedPageBreak/>
                    <w:t>公司2022年1月27日召开的第八届董事会第二十次会议，审议批准公司与山东能源签订《委托管理服务框架协议》及其所限定交易于2022-2024年每年的年度交易上限金额。委托管理费用由双方根据具体标的资产的状况、兖矿能源进行委托管理的成本及标的资产的盈利情况确定。协议有效期内，兖矿能源收取的委托管理费用年度上限金额为人民币6,000万元。</w:t>
                  </w:r>
                </w:p>
                <w:p w14:paraId="68E4C7FC" w14:textId="5EE7FDAD" w:rsidR="00B201D3" w:rsidRDefault="009855E8">
                  <w:pPr>
                    <w:ind w:firstLineChars="200" w:firstLine="420"/>
                    <w:jc w:val="both"/>
                    <w:rPr>
                      <w:rFonts w:asciiTheme="minorEastAsia" w:eastAsiaTheme="minorEastAsia" w:hAnsiTheme="minorEastAsia"/>
                    </w:rPr>
                  </w:pPr>
                  <w:r>
                    <w:rPr>
                      <w:rFonts w:asciiTheme="minorEastAsia" w:eastAsiaTheme="minorEastAsia" w:hAnsiTheme="minorEastAsia" w:hint="eastAsia"/>
                    </w:rPr>
                    <w:t>2023年上半年，山东能源集团向公司支付委托管理费用</w:t>
                  </w:r>
                  <w:r w:rsidR="002D3E12">
                    <w:rPr>
                      <w:rFonts w:asciiTheme="minorEastAsia" w:eastAsiaTheme="minorEastAsia" w:hAnsiTheme="minorEastAsia"/>
                    </w:rPr>
                    <w:t>215</w:t>
                  </w:r>
                  <w:r w:rsidR="007F727A">
                    <w:rPr>
                      <w:rFonts w:asciiTheme="minorEastAsia" w:eastAsiaTheme="minorEastAsia" w:hAnsiTheme="minorEastAsia"/>
                    </w:rPr>
                    <w:t>.10</w:t>
                  </w:r>
                  <w:r>
                    <w:rPr>
                      <w:rFonts w:asciiTheme="minorEastAsia" w:eastAsiaTheme="minorEastAsia" w:hAnsiTheme="minorEastAsia" w:hint="eastAsia"/>
                    </w:rPr>
                    <w:t>万元。</w:t>
                  </w:r>
                </w:p>
                <w:p w14:paraId="2BD90E3A" w14:textId="01315DAB" w:rsidR="00B201D3" w:rsidRDefault="009855E8">
                  <w:pPr>
                    <w:ind w:firstLineChars="200" w:firstLine="420"/>
                    <w:jc w:val="both"/>
                    <w:rPr>
                      <w:rFonts w:asciiTheme="minorEastAsia" w:eastAsiaTheme="minorEastAsia" w:hAnsiTheme="minorEastAsia"/>
                    </w:rPr>
                  </w:pPr>
                  <w:r>
                    <w:rPr>
                      <w:rFonts w:asciiTheme="minorEastAsia" w:eastAsiaTheme="minorEastAsia" w:hAnsiTheme="minorEastAsia" w:hint="eastAsia"/>
                    </w:rPr>
                    <w:t>上述持续性关联/关连交易协议限定的2023年交易上限金额及2023年</w:t>
                  </w:r>
                  <w:r w:rsidR="00CE62FB">
                    <w:rPr>
                      <w:rFonts w:asciiTheme="minorEastAsia" w:eastAsiaTheme="minorEastAsia" w:hAnsiTheme="minorEastAsia" w:hint="eastAsia"/>
                    </w:rPr>
                    <w:t>上半年</w:t>
                  </w:r>
                  <w:r>
                    <w:rPr>
                      <w:rFonts w:asciiTheme="minorEastAsia" w:eastAsiaTheme="minorEastAsia" w:hAnsiTheme="minorEastAsia" w:hint="eastAsia"/>
                    </w:rPr>
                    <w:t>实际交易情况如下：</w:t>
                  </w:r>
                </w:p>
                <w:p w14:paraId="41038E54" w14:textId="77777777" w:rsidR="00B201D3" w:rsidRDefault="009855E8">
                  <w:pPr>
                    <w:ind w:firstLineChars="200" w:firstLine="420"/>
                    <w:rPr>
                      <w:rFonts w:asciiTheme="minorEastAsia" w:eastAsiaTheme="minorEastAsia" w:hAnsiTheme="minorEastAsia"/>
                    </w:rPr>
                  </w:pPr>
                  <w:r>
                    <w:rPr>
                      <w:rFonts w:asciiTheme="minorEastAsia" w:eastAsiaTheme="minorEastAsia" w:hAnsiTheme="minorEastAsia" w:hint="eastAsia"/>
                    </w:rPr>
                    <w:t xml:space="preserve"> </w:t>
                  </w:r>
                </w:p>
                <w:tbl>
                  <w:tblPr>
                    <w:tblStyle w:val="g16"/>
                    <w:tblW w:w="10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719"/>
                    <w:gridCol w:w="1796"/>
                    <w:gridCol w:w="2739"/>
                    <w:gridCol w:w="1495"/>
                    <w:gridCol w:w="1559"/>
                  </w:tblGrid>
                  <w:tr w:rsidR="00B201D3" w14:paraId="00DDE8B3" w14:textId="77777777">
                    <w:trPr>
                      <w:jc w:val="center"/>
                    </w:trPr>
                    <w:tc>
                      <w:tcPr>
                        <w:tcW w:w="724" w:type="dxa"/>
                        <w:tcBorders>
                          <w:top w:val="single" w:sz="4" w:space="0" w:color="auto"/>
                          <w:left w:val="single" w:sz="4" w:space="0" w:color="auto"/>
                          <w:bottom w:val="single" w:sz="4" w:space="0" w:color="auto"/>
                          <w:right w:val="single" w:sz="4" w:space="0" w:color="auto"/>
                        </w:tcBorders>
                        <w:vAlign w:val="center"/>
                      </w:tcPr>
                      <w:p w14:paraId="4077FC64" w14:textId="77777777" w:rsidR="00B201D3" w:rsidRDefault="009855E8">
                        <w:pPr>
                          <w:jc w:val="center"/>
                          <w:rPr>
                            <w:rFonts w:asciiTheme="minorEastAsia" w:eastAsiaTheme="minorEastAsia" w:hAnsiTheme="minorEastAsia"/>
                          </w:rPr>
                        </w:pPr>
                        <w:bookmarkStart w:id="83" w:name="_Hlk78294745"/>
                        <w:r>
                          <w:rPr>
                            <w:rFonts w:asciiTheme="minorEastAsia" w:eastAsiaTheme="minorEastAsia" w:hAnsiTheme="minorEastAsia" w:hint="eastAsia"/>
                          </w:rPr>
                          <w:t>序号</w:t>
                        </w:r>
                        <w:bookmarkEnd w:id="83"/>
                      </w:p>
                    </w:tc>
                    <w:tc>
                      <w:tcPr>
                        <w:tcW w:w="3515" w:type="dxa"/>
                        <w:gridSpan w:val="2"/>
                        <w:tcBorders>
                          <w:top w:val="single" w:sz="4" w:space="0" w:color="auto"/>
                          <w:left w:val="nil"/>
                          <w:bottom w:val="single" w:sz="4" w:space="0" w:color="auto"/>
                          <w:right w:val="single" w:sz="4" w:space="0" w:color="auto"/>
                        </w:tcBorders>
                        <w:vAlign w:val="center"/>
                      </w:tcPr>
                      <w:p w14:paraId="561A53EE"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关联/关连交易类别</w:t>
                        </w:r>
                      </w:p>
                    </w:tc>
                    <w:tc>
                      <w:tcPr>
                        <w:tcW w:w="2739" w:type="dxa"/>
                        <w:tcBorders>
                          <w:top w:val="single" w:sz="4" w:space="0" w:color="auto"/>
                          <w:left w:val="nil"/>
                          <w:bottom w:val="single" w:sz="4" w:space="0" w:color="auto"/>
                          <w:right w:val="single" w:sz="4" w:space="0" w:color="auto"/>
                        </w:tcBorders>
                        <w:vAlign w:val="center"/>
                      </w:tcPr>
                      <w:p w14:paraId="4B12B5DD"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执行依据</w:t>
                        </w:r>
                      </w:p>
                    </w:tc>
                    <w:tc>
                      <w:tcPr>
                        <w:tcW w:w="1495" w:type="dxa"/>
                        <w:tcBorders>
                          <w:top w:val="single" w:sz="4" w:space="0" w:color="auto"/>
                          <w:left w:val="nil"/>
                          <w:bottom w:val="single" w:sz="4" w:space="0" w:color="auto"/>
                          <w:right w:val="single" w:sz="4" w:space="0" w:color="auto"/>
                        </w:tcBorders>
                        <w:vAlign w:val="center"/>
                      </w:tcPr>
                      <w:p w14:paraId="27D7C869"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2023年交易上限金额（千元）</w:t>
                        </w:r>
                      </w:p>
                    </w:tc>
                    <w:tc>
                      <w:tcPr>
                        <w:tcW w:w="1559" w:type="dxa"/>
                        <w:tcBorders>
                          <w:top w:val="single" w:sz="4" w:space="0" w:color="auto"/>
                          <w:left w:val="nil"/>
                          <w:bottom w:val="single" w:sz="4" w:space="0" w:color="auto"/>
                          <w:right w:val="single" w:sz="4" w:space="0" w:color="auto"/>
                        </w:tcBorders>
                        <w:vAlign w:val="center"/>
                      </w:tcPr>
                      <w:p w14:paraId="1C3037EB"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2023年上半年实际执行额（千元）</w:t>
                        </w:r>
                      </w:p>
                    </w:tc>
                  </w:tr>
                  <w:tr w:rsidR="00B201D3" w14:paraId="0DF2A939" w14:textId="77777777">
                    <w:trPr>
                      <w:jc w:val="center"/>
                    </w:trPr>
                    <w:tc>
                      <w:tcPr>
                        <w:tcW w:w="724" w:type="dxa"/>
                        <w:tcBorders>
                          <w:top w:val="single" w:sz="4" w:space="0" w:color="auto"/>
                          <w:left w:val="single" w:sz="4" w:space="0" w:color="auto"/>
                          <w:bottom w:val="single" w:sz="4" w:space="0" w:color="auto"/>
                          <w:right w:val="single" w:sz="4" w:space="0" w:color="auto"/>
                        </w:tcBorders>
                        <w:vAlign w:val="center"/>
                      </w:tcPr>
                      <w:p w14:paraId="5C34C297"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1</w:t>
                        </w:r>
                      </w:p>
                    </w:tc>
                    <w:tc>
                      <w:tcPr>
                        <w:tcW w:w="3515" w:type="dxa"/>
                        <w:gridSpan w:val="2"/>
                        <w:tcBorders>
                          <w:top w:val="single" w:sz="4" w:space="0" w:color="auto"/>
                          <w:left w:val="nil"/>
                          <w:bottom w:val="single" w:sz="4" w:space="0" w:color="auto"/>
                          <w:right w:val="single" w:sz="4" w:space="0" w:color="auto"/>
                        </w:tcBorders>
                      </w:tcPr>
                      <w:p w14:paraId="6F19F119" w14:textId="77777777" w:rsidR="00B201D3" w:rsidRDefault="009855E8">
                        <w:pPr>
                          <w:pStyle w:val="3903"/>
                          <w:rPr>
                            <w:rFonts w:asciiTheme="minorEastAsia" w:eastAsiaTheme="minorEastAsia" w:hAnsiTheme="minorEastAsia"/>
                          </w:rPr>
                        </w:pPr>
                        <w:r>
                          <w:rPr>
                            <w:rFonts w:asciiTheme="minorEastAsia" w:eastAsiaTheme="minorEastAsia" w:hAnsiTheme="minorEastAsia" w:hint="eastAsia"/>
                          </w:rPr>
                          <w:t>从山东能源集团采购材料物资和设备</w:t>
                        </w:r>
                      </w:p>
                    </w:tc>
                    <w:tc>
                      <w:tcPr>
                        <w:tcW w:w="2739" w:type="dxa"/>
                        <w:tcBorders>
                          <w:top w:val="single" w:sz="4" w:space="0" w:color="auto"/>
                          <w:left w:val="nil"/>
                          <w:bottom w:val="single" w:sz="4" w:space="0" w:color="auto"/>
                          <w:right w:val="single" w:sz="4" w:space="0" w:color="auto"/>
                        </w:tcBorders>
                        <w:vAlign w:val="center"/>
                      </w:tcPr>
                      <w:p w14:paraId="51433402" w14:textId="77777777" w:rsidR="00B201D3" w:rsidRDefault="009855E8">
                        <w:pPr>
                          <w:pStyle w:val="3903"/>
                          <w:rPr>
                            <w:rFonts w:asciiTheme="minorEastAsia" w:eastAsiaTheme="minorEastAsia" w:hAnsiTheme="minorEastAsia"/>
                          </w:rPr>
                        </w:pPr>
                        <w:r>
                          <w:rPr>
                            <w:rFonts w:asciiTheme="minorEastAsia" w:eastAsiaTheme="minorEastAsia" w:hAnsiTheme="minorEastAsia" w:hint="eastAsia"/>
                          </w:rPr>
                          <w:t>《材料物资供应协议》</w:t>
                        </w:r>
                      </w:p>
                    </w:tc>
                    <w:tc>
                      <w:tcPr>
                        <w:tcW w:w="1495" w:type="dxa"/>
                        <w:tcBorders>
                          <w:top w:val="single" w:sz="4" w:space="0" w:color="auto"/>
                          <w:left w:val="nil"/>
                          <w:bottom w:val="single" w:sz="4" w:space="0" w:color="auto"/>
                          <w:right w:val="single" w:sz="4" w:space="0" w:color="auto"/>
                        </w:tcBorders>
                        <w:vAlign w:val="center"/>
                      </w:tcPr>
                      <w:p w14:paraId="1A2F082C" w14:textId="77777777" w:rsidR="00B201D3" w:rsidRDefault="009855E8" w:rsidP="00011B68">
                        <w:pPr>
                          <w:jc w:val="center"/>
                          <w:rPr>
                            <w:rFonts w:asciiTheme="minorEastAsia" w:eastAsiaTheme="minorEastAsia" w:hAnsiTheme="minorEastAsia"/>
                          </w:rPr>
                        </w:pPr>
                        <w:r>
                          <w:rPr>
                            <w:rFonts w:asciiTheme="minorEastAsia" w:eastAsiaTheme="minorEastAsia" w:hAnsiTheme="minorEastAsia" w:hint="eastAsia"/>
                          </w:rPr>
                          <w:t>5,370,000</w:t>
                        </w:r>
                      </w:p>
                    </w:tc>
                    <w:tc>
                      <w:tcPr>
                        <w:tcW w:w="1559" w:type="dxa"/>
                        <w:tcBorders>
                          <w:top w:val="single" w:sz="4" w:space="0" w:color="auto"/>
                          <w:left w:val="nil"/>
                          <w:bottom w:val="single" w:sz="4" w:space="0" w:color="auto"/>
                          <w:right w:val="single" w:sz="4" w:space="0" w:color="auto"/>
                        </w:tcBorders>
                        <w:vAlign w:val="center"/>
                      </w:tcPr>
                      <w:p w14:paraId="1959327D" w14:textId="03370E73" w:rsidR="00B201D3" w:rsidRDefault="002040C6" w:rsidP="00011B68">
                        <w:pPr>
                          <w:jc w:val="center"/>
                          <w:rPr>
                            <w:rFonts w:asciiTheme="minorEastAsia" w:eastAsiaTheme="minorEastAsia" w:hAnsiTheme="minorEastAsia"/>
                          </w:rPr>
                        </w:pPr>
                        <w:r>
                          <w:rPr>
                            <w:rFonts w:asciiTheme="minorEastAsia" w:eastAsiaTheme="minorEastAsia" w:hAnsiTheme="minorEastAsia" w:hint="eastAsia"/>
                          </w:rPr>
                          <w:t>7</w:t>
                        </w:r>
                        <w:r>
                          <w:rPr>
                            <w:rFonts w:asciiTheme="minorEastAsia" w:eastAsiaTheme="minorEastAsia" w:hAnsiTheme="minorEastAsia"/>
                          </w:rPr>
                          <w:t>7</w:t>
                        </w:r>
                        <w:r w:rsidR="00E37EDB">
                          <w:rPr>
                            <w:rFonts w:asciiTheme="minorEastAsia" w:eastAsiaTheme="minorEastAsia" w:hAnsiTheme="minorEastAsia"/>
                          </w:rPr>
                          <w:t>1</w:t>
                        </w:r>
                        <w:r w:rsidRPr="002040C6">
                          <w:rPr>
                            <w:rFonts w:asciiTheme="minorEastAsia" w:eastAsiaTheme="minorEastAsia" w:hAnsiTheme="minorEastAsia"/>
                          </w:rPr>
                          <w:t>,</w:t>
                        </w:r>
                        <w:r w:rsidR="00E37EDB">
                          <w:rPr>
                            <w:rFonts w:asciiTheme="minorEastAsia" w:eastAsiaTheme="minorEastAsia" w:hAnsiTheme="minorEastAsia"/>
                          </w:rPr>
                          <w:t>946</w:t>
                        </w:r>
                      </w:p>
                    </w:tc>
                  </w:tr>
                  <w:tr w:rsidR="00B201D3" w14:paraId="46570816" w14:textId="77777777">
                    <w:trPr>
                      <w:jc w:val="center"/>
                    </w:trPr>
                    <w:tc>
                      <w:tcPr>
                        <w:tcW w:w="724" w:type="dxa"/>
                        <w:vMerge w:val="restart"/>
                        <w:tcBorders>
                          <w:top w:val="nil"/>
                          <w:left w:val="single" w:sz="4" w:space="0" w:color="auto"/>
                          <w:bottom w:val="single" w:sz="4" w:space="0" w:color="auto"/>
                          <w:right w:val="single" w:sz="4" w:space="0" w:color="auto"/>
                        </w:tcBorders>
                        <w:vAlign w:val="center"/>
                      </w:tcPr>
                      <w:p w14:paraId="3152B1F2"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2</w:t>
                        </w:r>
                      </w:p>
                    </w:tc>
                    <w:tc>
                      <w:tcPr>
                        <w:tcW w:w="3515" w:type="dxa"/>
                        <w:gridSpan w:val="2"/>
                        <w:tcBorders>
                          <w:top w:val="single" w:sz="4" w:space="0" w:color="auto"/>
                          <w:left w:val="nil"/>
                          <w:bottom w:val="single" w:sz="4" w:space="0" w:color="auto"/>
                          <w:right w:val="single" w:sz="4" w:space="0" w:color="auto"/>
                        </w:tcBorders>
                      </w:tcPr>
                      <w:p w14:paraId="4C815A45" w14:textId="77777777" w:rsidR="00B201D3" w:rsidRDefault="009855E8">
                        <w:pPr>
                          <w:pStyle w:val="3903"/>
                          <w:rPr>
                            <w:rFonts w:asciiTheme="minorEastAsia" w:eastAsiaTheme="minorEastAsia" w:hAnsiTheme="minorEastAsia"/>
                          </w:rPr>
                        </w:pPr>
                        <w:r>
                          <w:rPr>
                            <w:rFonts w:asciiTheme="minorEastAsia" w:eastAsiaTheme="minorEastAsia" w:hAnsiTheme="minorEastAsia" w:hint="eastAsia"/>
                          </w:rPr>
                          <w:t>接受山东能源集团劳务及服务</w:t>
                        </w:r>
                      </w:p>
                    </w:tc>
                    <w:tc>
                      <w:tcPr>
                        <w:tcW w:w="2739" w:type="dxa"/>
                        <w:vMerge w:val="restart"/>
                        <w:tcBorders>
                          <w:top w:val="nil"/>
                          <w:left w:val="nil"/>
                          <w:bottom w:val="single" w:sz="4" w:space="0" w:color="auto"/>
                          <w:right w:val="single" w:sz="4" w:space="0" w:color="auto"/>
                        </w:tcBorders>
                        <w:vAlign w:val="center"/>
                      </w:tcPr>
                      <w:p w14:paraId="1970DC3D" w14:textId="77777777" w:rsidR="00B201D3" w:rsidRDefault="009855E8">
                        <w:pPr>
                          <w:pStyle w:val="3903"/>
                          <w:rPr>
                            <w:rFonts w:asciiTheme="minorEastAsia" w:eastAsiaTheme="minorEastAsia" w:hAnsiTheme="minorEastAsia"/>
                          </w:rPr>
                        </w:pPr>
                        <w:r>
                          <w:rPr>
                            <w:rFonts w:asciiTheme="minorEastAsia" w:eastAsiaTheme="minorEastAsia" w:hAnsiTheme="minorEastAsia" w:hint="eastAsia"/>
                          </w:rPr>
                          <w:t>《劳务及服务互供协议》</w:t>
                        </w:r>
                      </w:p>
                    </w:tc>
                    <w:tc>
                      <w:tcPr>
                        <w:tcW w:w="1495" w:type="dxa"/>
                        <w:tcBorders>
                          <w:top w:val="single" w:sz="4" w:space="0" w:color="auto"/>
                          <w:left w:val="nil"/>
                          <w:bottom w:val="single" w:sz="4" w:space="0" w:color="auto"/>
                          <w:right w:val="single" w:sz="4" w:space="0" w:color="auto"/>
                        </w:tcBorders>
                        <w:vAlign w:val="center"/>
                      </w:tcPr>
                      <w:p w14:paraId="19BDDB77" w14:textId="77777777" w:rsidR="00B201D3" w:rsidRDefault="009855E8" w:rsidP="00011B68">
                        <w:pPr>
                          <w:jc w:val="center"/>
                          <w:rPr>
                            <w:rFonts w:asciiTheme="minorEastAsia" w:eastAsiaTheme="minorEastAsia" w:hAnsiTheme="minorEastAsia"/>
                          </w:rPr>
                        </w:pPr>
                        <w:r>
                          <w:rPr>
                            <w:rFonts w:asciiTheme="minorEastAsia" w:eastAsiaTheme="minorEastAsia" w:hAnsiTheme="minorEastAsia" w:hint="eastAsia"/>
                          </w:rPr>
                          <w:t>4,830,000</w:t>
                        </w:r>
                      </w:p>
                    </w:tc>
                    <w:tc>
                      <w:tcPr>
                        <w:tcW w:w="1559" w:type="dxa"/>
                        <w:tcBorders>
                          <w:top w:val="single" w:sz="4" w:space="0" w:color="auto"/>
                          <w:left w:val="nil"/>
                          <w:bottom w:val="single" w:sz="4" w:space="0" w:color="auto"/>
                          <w:right w:val="single" w:sz="4" w:space="0" w:color="auto"/>
                        </w:tcBorders>
                        <w:vAlign w:val="center"/>
                      </w:tcPr>
                      <w:p w14:paraId="23992CC3" w14:textId="1119A949" w:rsidR="00B201D3" w:rsidRDefault="002040C6" w:rsidP="00011B68">
                        <w:pPr>
                          <w:jc w:val="center"/>
                          <w:rPr>
                            <w:rFonts w:asciiTheme="minorEastAsia" w:eastAsiaTheme="minorEastAsia" w:hAnsiTheme="minorEastAsia"/>
                          </w:rPr>
                        </w:pPr>
                        <w:r>
                          <w:rPr>
                            <w:rFonts w:asciiTheme="minorEastAsia" w:eastAsiaTheme="minorEastAsia" w:hAnsiTheme="minorEastAsia" w:hint="eastAsia"/>
                          </w:rPr>
                          <w:t>4</w:t>
                        </w:r>
                        <w:r>
                          <w:rPr>
                            <w:rFonts w:asciiTheme="minorEastAsia" w:eastAsiaTheme="minorEastAsia" w:hAnsiTheme="minorEastAsia"/>
                          </w:rPr>
                          <w:t>27</w:t>
                        </w:r>
                        <w:r w:rsidRPr="002040C6">
                          <w:rPr>
                            <w:rFonts w:asciiTheme="minorEastAsia" w:eastAsiaTheme="minorEastAsia" w:hAnsiTheme="minorEastAsia"/>
                          </w:rPr>
                          <w:t>,</w:t>
                        </w:r>
                        <w:r>
                          <w:rPr>
                            <w:rFonts w:asciiTheme="minorEastAsia" w:eastAsiaTheme="minorEastAsia" w:hAnsiTheme="minorEastAsia"/>
                          </w:rPr>
                          <w:t>949</w:t>
                        </w:r>
                      </w:p>
                    </w:tc>
                  </w:tr>
                  <w:tr w:rsidR="00B201D3" w14:paraId="3F84C9A5" w14:textId="77777777">
                    <w:trPr>
                      <w:jc w:val="center"/>
                    </w:trPr>
                    <w:tc>
                      <w:tcPr>
                        <w:tcW w:w="0" w:type="auto"/>
                        <w:vMerge/>
                        <w:tcBorders>
                          <w:top w:val="nil"/>
                          <w:left w:val="single" w:sz="4" w:space="0" w:color="auto"/>
                          <w:bottom w:val="single" w:sz="4" w:space="0" w:color="auto"/>
                          <w:right w:val="single" w:sz="4" w:space="0" w:color="auto"/>
                        </w:tcBorders>
                        <w:vAlign w:val="center"/>
                      </w:tcPr>
                      <w:p w14:paraId="13DE0644" w14:textId="77777777" w:rsidR="00B201D3" w:rsidRDefault="00B201D3">
                        <w:pPr>
                          <w:rPr>
                            <w:rFonts w:asciiTheme="minorEastAsia" w:eastAsiaTheme="minorEastAsia" w:hAnsiTheme="minorEastAsia"/>
                          </w:rPr>
                        </w:pPr>
                      </w:p>
                    </w:tc>
                    <w:tc>
                      <w:tcPr>
                        <w:tcW w:w="3515" w:type="dxa"/>
                        <w:gridSpan w:val="2"/>
                        <w:tcBorders>
                          <w:top w:val="single" w:sz="4" w:space="0" w:color="auto"/>
                          <w:left w:val="nil"/>
                          <w:bottom w:val="single" w:sz="4" w:space="0" w:color="auto"/>
                          <w:right w:val="single" w:sz="4" w:space="0" w:color="auto"/>
                        </w:tcBorders>
                        <w:vAlign w:val="center"/>
                      </w:tcPr>
                      <w:p w14:paraId="47A3231D" w14:textId="77777777" w:rsidR="00B201D3" w:rsidRDefault="009855E8">
                        <w:pPr>
                          <w:pStyle w:val="3903"/>
                          <w:rPr>
                            <w:rFonts w:asciiTheme="minorEastAsia" w:eastAsiaTheme="minorEastAsia" w:hAnsiTheme="minorEastAsia"/>
                          </w:rPr>
                        </w:pPr>
                        <w:r>
                          <w:rPr>
                            <w:rFonts w:asciiTheme="minorEastAsia" w:eastAsiaTheme="minorEastAsia" w:hAnsiTheme="minorEastAsia" w:hint="eastAsia"/>
                          </w:rPr>
                          <w:t>向山东能源集团提供劳务及服务</w:t>
                        </w:r>
                      </w:p>
                    </w:tc>
                    <w:tc>
                      <w:tcPr>
                        <w:tcW w:w="0" w:type="auto"/>
                        <w:vMerge/>
                        <w:tcBorders>
                          <w:top w:val="nil"/>
                          <w:left w:val="nil"/>
                          <w:bottom w:val="single" w:sz="4" w:space="0" w:color="auto"/>
                          <w:right w:val="single" w:sz="4" w:space="0" w:color="auto"/>
                        </w:tcBorders>
                        <w:vAlign w:val="center"/>
                      </w:tcPr>
                      <w:p w14:paraId="5886E327" w14:textId="77777777" w:rsidR="00B201D3" w:rsidRDefault="00B201D3">
                        <w:pPr>
                          <w:rPr>
                            <w:rFonts w:asciiTheme="minorEastAsia" w:eastAsiaTheme="minorEastAsia" w:hAnsiTheme="minorEastAsia"/>
                            <w:bCs/>
                          </w:rPr>
                        </w:pPr>
                      </w:p>
                    </w:tc>
                    <w:tc>
                      <w:tcPr>
                        <w:tcW w:w="1495" w:type="dxa"/>
                        <w:tcBorders>
                          <w:top w:val="single" w:sz="4" w:space="0" w:color="auto"/>
                          <w:left w:val="nil"/>
                          <w:bottom w:val="single" w:sz="4" w:space="0" w:color="auto"/>
                          <w:right w:val="single" w:sz="4" w:space="0" w:color="auto"/>
                        </w:tcBorders>
                        <w:vAlign w:val="center"/>
                      </w:tcPr>
                      <w:p w14:paraId="49C54448" w14:textId="77777777" w:rsidR="00B201D3" w:rsidRDefault="009855E8" w:rsidP="00011B68">
                        <w:pPr>
                          <w:jc w:val="center"/>
                          <w:rPr>
                            <w:rFonts w:asciiTheme="minorEastAsia" w:eastAsiaTheme="minorEastAsia" w:hAnsiTheme="minorEastAsia"/>
                          </w:rPr>
                        </w:pPr>
                        <w:r>
                          <w:rPr>
                            <w:rFonts w:asciiTheme="minorEastAsia" w:eastAsiaTheme="minorEastAsia" w:hAnsiTheme="minorEastAsia" w:hint="eastAsia"/>
                          </w:rPr>
                          <w:t>141,000</w:t>
                        </w:r>
                      </w:p>
                    </w:tc>
                    <w:tc>
                      <w:tcPr>
                        <w:tcW w:w="1559" w:type="dxa"/>
                        <w:tcBorders>
                          <w:top w:val="single" w:sz="4" w:space="0" w:color="auto"/>
                          <w:left w:val="nil"/>
                          <w:bottom w:val="single" w:sz="4" w:space="0" w:color="auto"/>
                          <w:right w:val="single" w:sz="4" w:space="0" w:color="auto"/>
                        </w:tcBorders>
                        <w:vAlign w:val="center"/>
                      </w:tcPr>
                      <w:p w14:paraId="2FD95453" w14:textId="77240AD0" w:rsidR="00B201D3" w:rsidRDefault="002040C6" w:rsidP="00011B68">
                        <w:pPr>
                          <w:jc w:val="center"/>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rPr>
                          <w:t>6</w:t>
                        </w:r>
                        <w:r w:rsidRPr="002040C6">
                          <w:rPr>
                            <w:rFonts w:asciiTheme="minorEastAsia" w:eastAsiaTheme="minorEastAsia" w:hAnsiTheme="minorEastAsia"/>
                          </w:rPr>
                          <w:t>,</w:t>
                        </w:r>
                        <w:r>
                          <w:rPr>
                            <w:rFonts w:asciiTheme="minorEastAsia" w:eastAsiaTheme="minorEastAsia" w:hAnsiTheme="minorEastAsia"/>
                          </w:rPr>
                          <w:t>934</w:t>
                        </w:r>
                      </w:p>
                    </w:tc>
                  </w:tr>
                  <w:tr w:rsidR="00B201D3" w14:paraId="2DF8D106" w14:textId="77777777">
                    <w:trPr>
                      <w:jc w:val="center"/>
                    </w:trPr>
                    <w:tc>
                      <w:tcPr>
                        <w:tcW w:w="724" w:type="dxa"/>
                        <w:tcBorders>
                          <w:top w:val="single" w:sz="4" w:space="0" w:color="auto"/>
                          <w:left w:val="single" w:sz="4" w:space="0" w:color="auto"/>
                          <w:bottom w:val="single" w:sz="4" w:space="0" w:color="auto"/>
                          <w:right w:val="single" w:sz="4" w:space="0" w:color="auto"/>
                        </w:tcBorders>
                        <w:vAlign w:val="center"/>
                      </w:tcPr>
                      <w:p w14:paraId="6438A272"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3</w:t>
                        </w:r>
                      </w:p>
                    </w:tc>
                    <w:tc>
                      <w:tcPr>
                        <w:tcW w:w="3515" w:type="dxa"/>
                        <w:gridSpan w:val="2"/>
                        <w:tcBorders>
                          <w:top w:val="single" w:sz="4" w:space="0" w:color="auto"/>
                          <w:left w:val="nil"/>
                          <w:bottom w:val="single" w:sz="4" w:space="0" w:color="auto"/>
                          <w:right w:val="single" w:sz="4" w:space="0" w:color="auto"/>
                        </w:tcBorders>
                      </w:tcPr>
                      <w:p w14:paraId="6BBCD1A5" w14:textId="77777777" w:rsidR="00B201D3" w:rsidRDefault="009855E8">
                        <w:pPr>
                          <w:pStyle w:val="3903"/>
                          <w:rPr>
                            <w:rFonts w:asciiTheme="minorEastAsia" w:eastAsiaTheme="minorEastAsia" w:hAnsiTheme="minorEastAsia"/>
                          </w:rPr>
                        </w:pPr>
                        <w:r>
                          <w:rPr>
                            <w:rFonts w:asciiTheme="minorEastAsia" w:eastAsiaTheme="minorEastAsia" w:hAnsiTheme="minorEastAsia" w:hint="eastAsia"/>
                          </w:rPr>
                          <w:t>山东能源集团就本集团职工的保险金免费提供管理及转缴服务</w:t>
                        </w:r>
                      </w:p>
                    </w:tc>
                    <w:tc>
                      <w:tcPr>
                        <w:tcW w:w="2739" w:type="dxa"/>
                        <w:tcBorders>
                          <w:top w:val="single" w:sz="4" w:space="0" w:color="auto"/>
                          <w:left w:val="nil"/>
                          <w:bottom w:val="single" w:sz="4" w:space="0" w:color="auto"/>
                          <w:right w:val="single" w:sz="4" w:space="0" w:color="auto"/>
                        </w:tcBorders>
                        <w:vAlign w:val="center"/>
                      </w:tcPr>
                      <w:p w14:paraId="45C385CD" w14:textId="77777777" w:rsidR="00B201D3" w:rsidRDefault="009855E8">
                        <w:pPr>
                          <w:pStyle w:val="3903"/>
                          <w:rPr>
                            <w:rFonts w:asciiTheme="minorEastAsia" w:eastAsiaTheme="minorEastAsia" w:hAnsiTheme="minorEastAsia"/>
                          </w:rPr>
                        </w:pPr>
                        <w:r>
                          <w:rPr>
                            <w:rFonts w:asciiTheme="minorEastAsia" w:eastAsiaTheme="minorEastAsia" w:hAnsiTheme="minorEastAsia" w:hint="eastAsia"/>
                          </w:rPr>
                          <w:t>《保险金管理协议》</w:t>
                        </w:r>
                      </w:p>
                    </w:tc>
                    <w:tc>
                      <w:tcPr>
                        <w:tcW w:w="1495" w:type="dxa"/>
                        <w:tcBorders>
                          <w:top w:val="single" w:sz="4" w:space="0" w:color="auto"/>
                          <w:left w:val="nil"/>
                          <w:bottom w:val="single" w:sz="4" w:space="0" w:color="auto"/>
                          <w:right w:val="single" w:sz="4" w:space="0" w:color="auto"/>
                        </w:tcBorders>
                        <w:vAlign w:val="center"/>
                      </w:tcPr>
                      <w:p w14:paraId="78F0E1CF" w14:textId="77777777" w:rsidR="00B201D3" w:rsidRDefault="009855E8" w:rsidP="00011B68">
                        <w:pPr>
                          <w:jc w:val="center"/>
                          <w:rPr>
                            <w:rFonts w:asciiTheme="minorEastAsia" w:eastAsiaTheme="minorEastAsia" w:hAnsiTheme="minorEastAsia"/>
                          </w:rPr>
                        </w:pPr>
                        <w:r>
                          <w:rPr>
                            <w:rFonts w:asciiTheme="minorEastAsia" w:eastAsiaTheme="minorEastAsia" w:hAnsiTheme="minorEastAsia" w:hint="eastAsia"/>
                          </w:rPr>
                          <w:t>230,000</w:t>
                        </w:r>
                      </w:p>
                    </w:tc>
                    <w:tc>
                      <w:tcPr>
                        <w:tcW w:w="1559" w:type="dxa"/>
                        <w:tcBorders>
                          <w:top w:val="single" w:sz="4" w:space="0" w:color="auto"/>
                          <w:left w:val="nil"/>
                          <w:bottom w:val="single" w:sz="4" w:space="0" w:color="auto"/>
                          <w:right w:val="single" w:sz="4" w:space="0" w:color="auto"/>
                        </w:tcBorders>
                        <w:vAlign w:val="center"/>
                      </w:tcPr>
                      <w:p w14:paraId="4C13C852" w14:textId="22040F75" w:rsidR="00B201D3" w:rsidRDefault="002040C6" w:rsidP="00011B68">
                        <w:pPr>
                          <w:jc w:val="center"/>
                          <w:rPr>
                            <w:rFonts w:asciiTheme="minorEastAsia" w:eastAsiaTheme="minorEastAsia" w:hAnsiTheme="minorEastAsia"/>
                          </w:rPr>
                        </w:pPr>
                        <w:r>
                          <w:rPr>
                            <w:rFonts w:asciiTheme="minorEastAsia" w:eastAsiaTheme="minorEastAsia" w:hAnsiTheme="minorEastAsia" w:hint="eastAsia"/>
                          </w:rPr>
                          <w:t>0</w:t>
                        </w:r>
                      </w:p>
                    </w:tc>
                  </w:tr>
                  <w:tr w:rsidR="00B201D3" w14:paraId="030CC63E" w14:textId="77777777">
                    <w:trPr>
                      <w:jc w:val="center"/>
                    </w:trPr>
                    <w:tc>
                      <w:tcPr>
                        <w:tcW w:w="724" w:type="dxa"/>
                        <w:tcBorders>
                          <w:top w:val="single" w:sz="4" w:space="0" w:color="auto"/>
                          <w:left w:val="single" w:sz="4" w:space="0" w:color="auto"/>
                          <w:bottom w:val="single" w:sz="4" w:space="0" w:color="auto"/>
                          <w:right w:val="single" w:sz="4" w:space="0" w:color="auto"/>
                        </w:tcBorders>
                        <w:vAlign w:val="center"/>
                      </w:tcPr>
                      <w:p w14:paraId="3D77A7D9"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4</w:t>
                        </w:r>
                      </w:p>
                    </w:tc>
                    <w:tc>
                      <w:tcPr>
                        <w:tcW w:w="3515" w:type="dxa"/>
                        <w:gridSpan w:val="2"/>
                        <w:tcBorders>
                          <w:top w:val="single" w:sz="4" w:space="0" w:color="auto"/>
                          <w:left w:val="nil"/>
                          <w:bottom w:val="single" w:sz="4" w:space="0" w:color="auto"/>
                          <w:right w:val="single" w:sz="4" w:space="0" w:color="auto"/>
                        </w:tcBorders>
                      </w:tcPr>
                      <w:p w14:paraId="326F136A" w14:textId="77777777" w:rsidR="00B201D3" w:rsidRDefault="009855E8">
                        <w:pPr>
                          <w:pStyle w:val="3903"/>
                          <w:rPr>
                            <w:rFonts w:asciiTheme="minorEastAsia" w:eastAsiaTheme="minorEastAsia" w:hAnsiTheme="minorEastAsia"/>
                          </w:rPr>
                        </w:pPr>
                        <w:r>
                          <w:rPr>
                            <w:rFonts w:asciiTheme="minorEastAsia" w:eastAsiaTheme="minorEastAsia" w:hAnsiTheme="minorEastAsia" w:hint="eastAsia"/>
                          </w:rPr>
                          <w:t>向山东能源集团销售产品、材料物资及资产租赁</w:t>
                        </w:r>
                      </w:p>
                    </w:tc>
                    <w:tc>
                      <w:tcPr>
                        <w:tcW w:w="2739" w:type="dxa"/>
                        <w:tcBorders>
                          <w:top w:val="single" w:sz="4" w:space="0" w:color="auto"/>
                          <w:left w:val="nil"/>
                          <w:bottom w:val="single" w:sz="4" w:space="0" w:color="auto"/>
                          <w:right w:val="single" w:sz="4" w:space="0" w:color="auto"/>
                        </w:tcBorders>
                        <w:vAlign w:val="center"/>
                      </w:tcPr>
                      <w:p w14:paraId="6A488C57" w14:textId="77777777" w:rsidR="00B201D3" w:rsidRDefault="009855E8">
                        <w:pPr>
                          <w:pStyle w:val="3903"/>
                          <w:rPr>
                            <w:rFonts w:asciiTheme="minorEastAsia" w:eastAsiaTheme="minorEastAsia" w:hAnsiTheme="minorEastAsia"/>
                          </w:rPr>
                        </w:pPr>
                        <w:r>
                          <w:rPr>
                            <w:rFonts w:asciiTheme="minorEastAsia" w:eastAsiaTheme="minorEastAsia" w:hAnsiTheme="minorEastAsia" w:hint="eastAsia"/>
                          </w:rPr>
                          <w:t>《产品、材料物资供应及资产租赁协议》</w:t>
                        </w:r>
                      </w:p>
                    </w:tc>
                    <w:tc>
                      <w:tcPr>
                        <w:tcW w:w="1495" w:type="dxa"/>
                        <w:tcBorders>
                          <w:top w:val="single" w:sz="4" w:space="0" w:color="auto"/>
                          <w:left w:val="nil"/>
                          <w:bottom w:val="single" w:sz="4" w:space="0" w:color="auto"/>
                          <w:right w:val="single" w:sz="4" w:space="0" w:color="auto"/>
                        </w:tcBorders>
                        <w:vAlign w:val="center"/>
                      </w:tcPr>
                      <w:p w14:paraId="7C3CE6B4" w14:textId="77777777" w:rsidR="00B201D3" w:rsidRDefault="009855E8" w:rsidP="00011B68">
                        <w:pPr>
                          <w:jc w:val="center"/>
                          <w:rPr>
                            <w:rFonts w:asciiTheme="minorEastAsia" w:eastAsiaTheme="minorEastAsia" w:hAnsiTheme="minorEastAsia"/>
                          </w:rPr>
                        </w:pPr>
                        <w:r>
                          <w:rPr>
                            <w:rFonts w:asciiTheme="minorEastAsia" w:eastAsiaTheme="minorEastAsia" w:hAnsiTheme="minorEastAsia" w:hint="eastAsia"/>
                          </w:rPr>
                          <w:t>14,196,000</w:t>
                        </w:r>
                      </w:p>
                    </w:tc>
                    <w:tc>
                      <w:tcPr>
                        <w:tcW w:w="1559" w:type="dxa"/>
                        <w:tcBorders>
                          <w:top w:val="single" w:sz="4" w:space="0" w:color="auto"/>
                          <w:left w:val="nil"/>
                          <w:bottom w:val="single" w:sz="4" w:space="0" w:color="auto"/>
                          <w:right w:val="single" w:sz="4" w:space="0" w:color="auto"/>
                        </w:tcBorders>
                        <w:vAlign w:val="center"/>
                      </w:tcPr>
                      <w:p w14:paraId="476B8652" w14:textId="27020D5F" w:rsidR="00B201D3" w:rsidRDefault="002040C6" w:rsidP="00011B68">
                        <w:pPr>
                          <w:jc w:val="center"/>
                          <w:rPr>
                            <w:rFonts w:asciiTheme="minorEastAsia" w:eastAsiaTheme="minorEastAsia" w:hAnsiTheme="minorEastAsia"/>
                          </w:rPr>
                        </w:pPr>
                        <w:r>
                          <w:rPr>
                            <w:rFonts w:asciiTheme="minorEastAsia" w:eastAsiaTheme="minorEastAsia" w:hAnsiTheme="minorEastAsia" w:hint="eastAsia"/>
                          </w:rPr>
                          <w:t>1</w:t>
                        </w:r>
                        <w:r w:rsidRPr="002040C6">
                          <w:rPr>
                            <w:rFonts w:asciiTheme="minorEastAsia" w:eastAsiaTheme="minorEastAsia" w:hAnsiTheme="minorEastAsia"/>
                          </w:rPr>
                          <w:t>,</w:t>
                        </w:r>
                        <w:r>
                          <w:rPr>
                            <w:rFonts w:asciiTheme="minorEastAsia" w:eastAsiaTheme="minorEastAsia" w:hAnsiTheme="minorEastAsia"/>
                          </w:rPr>
                          <w:t>987</w:t>
                        </w:r>
                        <w:r w:rsidRPr="002040C6">
                          <w:rPr>
                            <w:rFonts w:asciiTheme="minorEastAsia" w:eastAsiaTheme="minorEastAsia" w:hAnsiTheme="minorEastAsia"/>
                          </w:rPr>
                          <w:t>,</w:t>
                        </w:r>
                        <w:r>
                          <w:rPr>
                            <w:rFonts w:asciiTheme="minorEastAsia" w:eastAsiaTheme="minorEastAsia" w:hAnsiTheme="minorEastAsia"/>
                          </w:rPr>
                          <w:t>917</w:t>
                        </w:r>
                      </w:p>
                    </w:tc>
                  </w:tr>
                  <w:tr w:rsidR="00B201D3" w14:paraId="773D67D0" w14:textId="77777777">
                    <w:trPr>
                      <w:jc w:val="center"/>
                    </w:trPr>
                    <w:tc>
                      <w:tcPr>
                        <w:tcW w:w="724" w:type="dxa"/>
                        <w:vMerge w:val="restart"/>
                        <w:tcBorders>
                          <w:top w:val="nil"/>
                          <w:left w:val="single" w:sz="4" w:space="0" w:color="auto"/>
                          <w:bottom w:val="single" w:sz="4" w:space="0" w:color="auto"/>
                          <w:right w:val="single" w:sz="4" w:space="0" w:color="auto"/>
                        </w:tcBorders>
                        <w:vAlign w:val="center"/>
                      </w:tcPr>
                      <w:p w14:paraId="1C1DF2D2"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5</w:t>
                        </w:r>
                      </w:p>
                    </w:tc>
                    <w:tc>
                      <w:tcPr>
                        <w:tcW w:w="3515" w:type="dxa"/>
                        <w:gridSpan w:val="2"/>
                        <w:tcBorders>
                          <w:top w:val="single" w:sz="4" w:space="0" w:color="auto"/>
                          <w:left w:val="nil"/>
                          <w:bottom w:val="single" w:sz="4" w:space="0" w:color="auto"/>
                          <w:right w:val="single" w:sz="4" w:space="0" w:color="auto"/>
                        </w:tcBorders>
                      </w:tcPr>
                      <w:p w14:paraId="43F921E8" w14:textId="77777777" w:rsidR="00B201D3" w:rsidRDefault="009855E8">
                        <w:pPr>
                          <w:pStyle w:val="3903"/>
                          <w:rPr>
                            <w:rFonts w:asciiTheme="minorEastAsia" w:eastAsiaTheme="minorEastAsia" w:hAnsiTheme="minorEastAsia"/>
                          </w:rPr>
                        </w:pPr>
                        <w:r>
                          <w:rPr>
                            <w:rFonts w:asciiTheme="minorEastAsia" w:eastAsiaTheme="minorEastAsia" w:hAnsiTheme="minorEastAsia" w:hint="eastAsia"/>
                          </w:rPr>
                          <w:t>向山东能源集团采购大宗商品</w:t>
                        </w:r>
                      </w:p>
                    </w:tc>
                    <w:tc>
                      <w:tcPr>
                        <w:tcW w:w="2739" w:type="dxa"/>
                        <w:vMerge w:val="restart"/>
                        <w:tcBorders>
                          <w:top w:val="nil"/>
                          <w:left w:val="nil"/>
                          <w:bottom w:val="single" w:sz="4" w:space="0" w:color="auto"/>
                          <w:right w:val="single" w:sz="4" w:space="0" w:color="auto"/>
                        </w:tcBorders>
                        <w:vAlign w:val="center"/>
                      </w:tcPr>
                      <w:p w14:paraId="479693ED" w14:textId="77777777" w:rsidR="00B201D3" w:rsidRDefault="009855E8">
                        <w:pPr>
                          <w:pStyle w:val="3903"/>
                          <w:rPr>
                            <w:rFonts w:asciiTheme="minorEastAsia" w:eastAsiaTheme="minorEastAsia" w:hAnsiTheme="minorEastAsia"/>
                          </w:rPr>
                        </w:pPr>
                        <w:r>
                          <w:rPr>
                            <w:rFonts w:asciiTheme="minorEastAsia" w:eastAsiaTheme="minorEastAsia" w:hAnsiTheme="minorEastAsia" w:hint="eastAsia"/>
                          </w:rPr>
                          <w:t>《大宗商品购销协议》</w:t>
                        </w:r>
                      </w:p>
                    </w:tc>
                    <w:tc>
                      <w:tcPr>
                        <w:tcW w:w="1495" w:type="dxa"/>
                        <w:tcBorders>
                          <w:top w:val="single" w:sz="4" w:space="0" w:color="auto"/>
                          <w:left w:val="nil"/>
                          <w:bottom w:val="single" w:sz="4" w:space="0" w:color="auto"/>
                          <w:right w:val="single" w:sz="4" w:space="0" w:color="auto"/>
                        </w:tcBorders>
                        <w:vAlign w:val="center"/>
                      </w:tcPr>
                      <w:p w14:paraId="76B5D259" w14:textId="77777777" w:rsidR="00B201D3" w:rsidRDefault="009855E8" w:rsidP="00011B68">
                        <w:pPr>
                          <w:jc w:val="center"/>
                          <w:rPr>
                            <w:rFonts w:asciiTheme="minorEastAsia" w:eastAsiaTheme="minorEastAsia" w:hAnsiTheme="minorEastAsia"/>
                          </w:rPr>
                        </w:pPr>
                        <w:r>
                          <w:rPr>
                            <w:rFonts w:asciiTheme="minorEastAsia" w:eastAsiaTheme="minorEastAsia" w:hAnsiTheme="minorEastAsia"/>
                          </w:rPr>
                          <w:t>2,0</w:t>
                        </w:r>
                        <w:r>
                          <w:rPr>
                            <w:rFonts w:asciiTheme="minorEastAsia" w:eastAsiaTheme="minorEastAsia" w:hAnsiTheme="minorEastAsia" w:hint="eastAsia"/>
                          </w:rPr>
                          <w:t>00,000</w:t>
                        </w:r>
                      </w:p>
                    </w:tc>
                    <w:tc>
                      <w:tcPr>
                        <w:tcW w:w="1559" w:type="dxa"/>
                        <w:tcBorders>
                          <w:top w:val="single" w:sz="4" w:space="0" w:color="auto"/>
                          <w:left w:val="nil"/>
                          <w:bottom w:val="single" w:sz="4" w:space="0" w:color="auto"/>
                          <w:right w:val="single" w:sz="4" w:space="0" w:color="auto"/>
                        </w:tcBorders>
                        <w:vAlign w:val="center"/>
                      </w:tcPr>
                      <w:p w14:paraId="385385B6" w14:textId="10B600BF" w:rsidR="00B201D3" w:rsidRDefault="002040C6" w:rsidP="00011B68">
                        <w:pPr>
                          <w:jc w:val="center"/>
                          <w:rPr>
                            <w:rFonts w:asciiTheme="minorEastAsia" w:eastAsiaTheme="minorEastAsia" w:hAnsiTheme="minorEastAsia"/>
                          </w:rPr>
                        </w:pPr>
                        <w:r>
                          <w:rPr>
                            <w:rFonts w:asciiTheme="minorEastAsia" w:eastAsiaTheme="minorEastAsia" w:hAnsiTheme="minorEastAsia" w:hint="eastAsia"/>
                          </w:rPr>
                          <w:t>3</w:t>
                        </w:r>
                        <w:r>
                          <w:rPr>
                            <w:rFonts w:asciiTheme="minorEastAsia" w:eastAsiaTheme="minorEastAsia" w:hAnsiTheme="minorEastAsia"/>
                          </w:rPr>
                          <w:t>73</w:t>
                        </w:r>
                        <w:r w:rsidRPr="002040C6">
                          <w:rPr>
                            <w:rFonts w:asciiTheme="minorEastAsia" w:eastAsiaTheme="minorEastAsia" w:hAnsiTheme="minorEastAsia"/>
                          </w:rPr>
                          <w:t>,</w:t>
                        </w:r>
                        <w:r>
                          <w:rPr>
                            <w:rFonts w:asciiTheme="minorEastAsia" w:eastAsiaTheme="minorEastAsia" w:hAnsiTheme="minorEastAsia"/>
                          </w:rPr>
                          <w:t>917</w:t>
                        </w:r>
                      </w:p>
                    </w:tc>
                  </w:tr>
                  <w:tr w:rsidR="00B201D3" w14:paraId="7FFF8D53" w14:textId="77777777">
                    <w:trPr>
                      <w:jc w:val="center"/>
                    </w:trPr>
                    <w:tc>
                      <w:tcPr>
                        <w:tcW w:w="0" w:type="auto"/>
                        <w:vMerge/>
                        <w:tcBorders>
                          <w:top w:val="nil"/>
                          <w:left w:val="single" w:sz="4" w:space="0" w:color="auto"/>
                          <w:bottom w:val="single" w:sz="4" w:space="0" w:color="auto"/>
                          <w:right w:val="single" w:sz="4" w:space="0" w:color="auto"/>
                        </w:tcBorders>
                        <w:vAlign w:val="center"/>
                      </w:tcPr>
                      <w:p w14:paraId="09C48875" w14:textId="77777777" w:rsidR="00B201D3" w:rsidRDefault="00B201D3">
                        <w:pPr>
                          <w:rPr>
                            <w:rFonts w:asciiTheme="minorEastAsia" w:eastAsiaTheme="minorEastAsia" w:hAnsiTheme="minorEastAsia"/>
                          </w:rPr>
                        </w:pPr>
                      </w:p>
                    </w:tc>
                    <w:tc>
                      <w:tcPr>
                        <w:tcW w:w="3515" w:type="dxa"/>
                        <w:gridSpan w:val="2"/>
                        <w:tcBorders>
                          <w:top w:val="single" w:sz="4" w:space="0" w:color="auto"/>
                          <w:left w:val="nil"/>
                          <w:bottom w:val="single" w:sz="4" w:space="0" w:color="auto"/>
                          <w:right w:val="single" w:sz="4" w:space="0" w:color="auto"/>
                        </w:tcBorders>
                      </w:tcPr>
                      <w:p w14:paraId="53B3A793" w14:textId="77777777" w:rsidR="00B201D3" w:rsidRDefault="009855E8">
                        <w:pPr>
                          <w:pStyle w:val="3903"/>
                          <w:rPr>
                            <w:rFonts w:asciiTheme="minorEastAsia" w:eastAsiaTheme="minorEastAsia" w:hAnsiTheme="minorEastAsia"/>
                          </w:rPr>
                        </w:pPr>
                        <w:r>
                          <w:rPr>
                            <w:rFonts w:asciiTheme="minorEastAsia" w:eastAsiaTheme="minorEastAsia" w:hAnsiTheme="minorEastAsia" w:hint="eastAsia"/>
                          </w:rPr>
                          <w:t>向山东能源集团销售大宗商品</w:t>
                        </w:r>
                      </w:p>
                    </w:tc>
                    <w:tc>
                      <w:tcPr>
                        <w:tcW w:w="0" w:type="auto"/>
                        <w:vMerge/>
                        <w:tcBorders>
                          <w:top w:val="nil"/>
                          <w:left w:val="nil"/>
                          <w:bottom w:val="single" w:sz="4" w:space="0" w:color="auto"/>
                          <w:right w:val="single" w:sz="4" w:space="0" w:color="auto"/>
                        </w:tcBorders>
                        <w:vAlign w:val="center"/>
                      </w:tcPr>
                      <w:p w14:paraId="2E309FA6" w14:textId="77777777" w:rsidR="00B201D3" w:rsidRDefault="00B201D3">
                        <w:pPr>
                          <w:rPr>
                            <w:rFonts w:asciiTheme="minorEastAsia" w:eastAsiaTheme="minorEastAsia" w:hAnsiTheme="minorEastAsia"/>
                            <w:bCs/>
                          </w:rPr>
                        </w:pPr>
                      </w:p>
                    </w:tc>
                    <w:tc>
                      <w:tcPr>
                        <w:tcW w:w="1495" w:type="dxa"/>
                        <w:tcBorders>
                          <w:top w:val="single" w:sz="4" w:space="0" w:color="auto"/>
                          <w:left w:val="nil"/>
                          <w:bottom w:val="single" w:sz="4" w:space="0" w:color="auto"/>
                          <w:right w:val="single" w:sz="4" w:space="0" w:color="auto"/>
                        </w:tcBorders>
                        <w:vAlign w:val="center"/>
                      </w:tcPr>
                      <w:p w14:paraId="1A6976B4" w14:textId="77777777" w:rsidR="00B201D3" w:rsidRDefault="009855E8" w:rsidP="00011B68">
                        <w:pPr>
                          <w:jc w:val="center"/>
                          <w:rPr>
                            <w:rFonts w:asciiTheme="minorEastAsia" w:eastAsiaTheme="minorEastAsia" w:hAnsiTheme="minorEastAsia"/>
                          </w:rPr>
                        </w:pPr>
                        <w:r>
                          <w:rPr>
                            <w:rFonts w:asciiTheme="minorEastAsia" w:eastAsiaTheme="minorEastAsia" w:hAnsiTheme="minorEastAsia" w:hint="eastAsia"/>
                          </w:rPr>
                          <w:t>3,270,000</w:t>
                        </w:r>
                      </w:p>
                    </w:tc>
                    <w:tc>
                      <w:tcPr>
                        <w:tcW w:w="1559" w:type="dxa"/>
                        <w:tcBorders>
                          <w:top w:val="single" w:sz="4" w:space="0" w:color="auto"/>
                          <w:left w:val="nil"/>
                          <w:bottom w:val="single" w:sz="4" w:space="0" w:color="auto"/>
                          <w:right w:val="single" w:sz="4" w:space="0" w:color="auto"/>
                        </w:tcBorders>
                        <w:vAlign w:val="center"/>
                      </w:tcPr>
                      <w:p w14:paraId="5AFB913C" w14:textId="02C6F5E9" w:rsidR="00B201D3" w:rsidRDefault="002040C6" w:rsidP="00011B68">
                        <w:pPr>
                          <w:jc w:val="center"/>
                          <w:rPr>
                            <w:rFonts w:asciiTheme="minorEastAsia" w:eastAsiaTheme="minorEastAsia" w:hAnsiTheme="minorEastAsia"/>
                          </w:rPr>
                        </w:pPr>
                        <w:r>
                          <w:rPr>
                            <w:rFonts w:asciiTheme="minorEastAsia" w:eastAsiaTheme="minorEastAsia" w:hAnsiTheme="minorEastAsia" w:hint="eastAsia"/>
                          </w:rPr>
                          <w:t>1</w:t>
                        </w:r>
                        <w:r w:rsidRPr="002040C6">
                          <w:rPr>
                            <w:rFonts w:asciiTheme="minorEastAsia" w:eastAsiaTheme="minorEastAsia" w:hAnsiTheme="minorEastAsia"/>
                          </w:rPr>
                          <w:t>,</w:t>
                        </w:r>
                        <w:r>
                          <w:rPr>
                            <w:rFonts w:asciiTheme="minorEastAsia" w:eastAsiaTheme="minorEastAsia" w:hAnsiTheme="minorEastAsia"/>
                          </w:rPr>
                          <w:t>297</w:t>
                        </w:r>
                        <w:r w:rsidRPr="002040C6">
                          <w:rPr>
                            <w:rFonts w:asciiTheme="minorEastAsia" w:eastAsiaTheme="minorEastAsia" w:hAnsiTheme="minorEastAsia"/>
                          </w:rPr>
                          <w:t>,</w:t>
                        </w:r>
                        <w:r>
                          <w:rPr>
                            <w:rFonts w:asciiTheme="minorEastAsia" w:eastAsiaTheme="minorEastAsia" w:hAnsiTheme="minorEastAsia"/>
                          </w:rPr>
                          <w:t>300</w:t>
                        </w:r>
                      </w:p>
                    </w:tc>
                  </w:tr>
                  <w:tr w:rsidR="007F727A" w14:paraId="78250268" w14:textId="77777777" w:rsidTr="00D346F8">
                    <w:trPr>
                      <w:trHeight w:val="335"/>
                      <w:jc w:val="center"/>
                    </w:trPr>
                    <w:tc>
                      <w:tcPr>
                        <w:tcW w:w="724" w:type="dxa"/>
                        <w:vMerge w:val="restart"/>
                        <w:tcBorders>
                          <w:top w:val="nil"/>
                          <w:left w:val="single" w:sz="4" w:space="0" w:color="auto"/>
                          <w:right w:val="single" w:sz="4" w:space="0" w:color="auto"/>
                        </w:tcBorders>
                        <w:vAlign w:val="center"/>
                      </w:tcPr>
                      <w:p w14:paraId="43E272E9" w14:textId="3D298AC6" w:rsidR="007F727A" w:rsidRDefault="007F727A" w:rsidP="00DB40CE">
                        <w:pPr>
                          <w:jc w:val="center"/>
                          <w:rPr>
                            <w:rFonts w:asciiTheme="minorEastAsia" w:eastAsiaTheme="minorEastAsia" w:hAnsiTheme="minorEastAsia"/>
                          </w:rPr>
                        </w:pPr>
                        <w:r>
                          <w:rPr>
                            <w:rFonts w:asciiTheme="minorEastAsia" w:eastAsiaTheme="minorEastAsia" w:hAnsiTheme="minorEastAsia" w:hint="eastAsia"/>
                          </w:rPr>
                          <w:t>6</w:t>
                        </w:r>
                      </w:p>
                    </w:tc>
                    <w:tc>
                      <w:tcPr>
                        <w:tcW w:w="1719" w:type="dxa"/>
                        <w:vMerge w:val="restart"/>
                        <w:tcBorders>
                          <w:top w:val="nil"/>
                          <w:left w:val="nil"/>
                          <w:right w:val="single" w:sz="4" w:space="0" w:color="auto"/>
                        </w:tcBorders>
                        <w:vAlign w:val="center"/>
                      </w:tcPr>
                      <w:p w14:paraId="615F2797" w14:textId="07D6D326" w:rsidR="007F727A" w:rsidRDefault="007F727A" w:rsidP="00922026">
                        <w:pPr>
                          <w:pStyle w:val="3903"/>
                          <w:rPr>
                            <w:rFonts w:asciiTheme="minorEastAsia" w:eastAsiaTheme="minorEastAsia" w:hAnsiTheme="minorEastAsia"/>
                          </w:rPr>
                        </w:pPr>
                        <w:r>
                          <w:rPr>
                            <w:rFonts w:asciiTheme="minorEastAsia" w:eastAsiaTheme="minorEastAsia" w:hAnsiTheme="minorEastAsia" w:hint="eastAsia"/>
                          </w:rPr>
                          <w:t>向山东能源集团提供金融服务</w:t>
                        </w:r>
                      </w:p>
                    </w:tc>
                    <w:tc>
                      <w:tcPr>
                        <w:tcW w:w="1796" w:type="dxa"/>
                        <w:tcBorders>
                          <w:top w:val="single" w:sz="4" w:space="0" w:color="auto"/>
                          <w:left w:val="nil"/>
                          <w:bottom w:val="single" w:sz="4" w:space="0" w:color="auto"/>
                          <w:right w:val="single" w:sz="4" w:space="0" w:color="auto"/>
                        </w:tcBorders>
                      </w:tcPr>
                      <w:p w14:paraId="1A7EA89F" w14:textId="03448C9D" w:rsidR="007F727A" w:rsidRDefault="007F727A">
                        <w:pPr>
                          <w:pStyle w:val="3903"/>
                          <w:rPr>
                            <w:rFonts w:asciiTheme="minorEastAsia" w:eastAsiaTheme="minorEastAsia" w:hAnsiTheme="minorEastAsia"/>
                          </w:rPr>
                        </w:pPr>
                        <w:r>
                          <w:rPr>
                            <w:rFonts w:asciiTheme="minorEastAsia" w:eastAsiaTheme="minorEastAsia" w:hAnsiTheme="minorEastAsia" w:hint="eastAsia"/>
                          </w:rPr>
                          <w:t>存款</w:t>
                        </w:r>
                      </w:p>
                    </w:tc>
                    <w:tc>
                      <w:tcPr>
                        <w:tcW w:w="2739" w:type="dxa"/>
                        <w:vMerge w:val="restart"/>
                        <w:tcBorders>
                          <w:top w:val="nil"/>
                          <w:left w:val="nil"/>
                          <w:right w:val="single" w:sz="4" w:space="0" w:color="auto"/>
                        </w:tcBorders>
                        <w:vAlign w:val="center"/>
                      </w:tcPr>
                      <w:p w14:paraId="08178A4C" w14:textId="7EC224A1" w:rsidR="007F727A" w:rsidRDefault="007F727A" w:rsidP="00D346F8">
                        <w:pPr>
                          <w:pStyle w:val="3903"/>
                          <w:rPr>
                            <w:rFonts w:asciiTheme="minorEastAsia" w:eastAsiaTheme="minorEastAsia" w:hAnsiTheme="minorEastAsia"/>
                          </w:rPr>
                        </w:pPr>
                        <w:r>
                          <w:rPr>
                            <w:rFonts w:asciiTheme="minorEastAsia" w:eastAsiaTheme="minorEastAsia" w:hAnsiTheme="minorEastAsia" w:hint="eastAsia"/>
                          </w:rPr>
                          <w:t>《金融服务协议》</w:t>
                        </w:r>
                      </w:p>
                    </w:tc>
                    <w:tc>
                      <w:tcPr>
                        <w:tcW w:w="1495" w:type="dxa"/>
                        <w:tcBorders>
                          <w:top w:val="single" w:sz="4" w:space="0" w:color="auto"/>
                          <w:left w:val="nil"/>
                          <w:bottom w:val="single" w:sz="4" w:space="0" w:color="auto"/>
                          <w:right w:val="single" w:sz="4" w:space="0" w:color="auto"/>
                        </w:tcBorders>
                        <w:vAlign w:val="center"/>
                      </w:tcPr>
                      <w:p w14:paraId="0A21315F" w14:textId="46F90AD0" w:rsidR="007F727A" w:rsidRDefault="007F727A" w:rsidP="00011B68">
                        <w:pPr>
                          <w:jc w:val="center"/>
                          <w:rPr>
                            <w:rFonts w:asciiTheme="minorEastAsia" w:eastAsiaTheme="minorEastAsia" w:hAnsiTheme="minorEastAsia"/>
                          </w:rPr>
                        </w:pPr>
                        <w:r>
                          <w:rPr>
                            <w:rFonts w:asciiTheme="minorEastAsia" w:eastAsiaTheme="minorEastAsia" w:hAnsiTheme="minorEastAsia" w:hint="eastAsia"/>
                          </w:rPr>
                          <w:t>3</w:t>
                        </w:r>
                        <w:r>
                          <w:rPr>
                            <w:rFonts w:asciiTheme="minorEastAsia" w:eastAsiaTheme="minorEastAsia" w:hAnsiTheme="minorEastAsia"/>
                          </w:rPr>
                          <w:t>5</w:t>
                        </w:r>
                        <w:r>
                          <w:rPr>
                            <w:rFonts w:asciiTheme="minorEastAsia" w:eastAsiaTheme="minorEastAsia" w:hAnsiTheme="minorEastAsia" w:hint="eastAsia"/>
                          </w:rPr>
                          <w:t>,8</w:t>
                        </w:r>
                        <w:r>
                          <w:rPr>
                            <w:rFonts w:asciiTheme="minorEastAsia" w:eastAsiaTheme="minorEastAsia" w:hAnsiTheme="minorEastAsia"/>
                          </w:rPr>
                          <w:t>00,</w:t>
                        </w:r>
                        <w:r>
                          <w:rPr>
                            <w:rFonts w:asciiTheme="minorEastAsia" w:eastAsiaTheme="minorEastAsia" w:hAnsiTheme="minorEastAsia" w:hint="eastAsia"/>
                          </w:rPr>
                          <w:t>0</w:t>
                        </w:r>
                        <w:r>
                          <w:rPr>
                            <w:rFonts w:asciiTheme="minorEastAsia" w:eastAsiaTheme="minorEastAsia" w:hAnsiTheme="minorEastAsia"/>
                          </w:rPr>
                          <w:t>00</w:t>
                        </w:r>
                      </w:p>
                    </w:tc>
                    <w:tc>
                      <w:tcPr>
                        <w:tcW w:w="1559" w:type="dxa"/>
                        <w:tcBorders>
                          <w:top w:val="single" w:sz="4" w:space="0" w:color="auto"/>
                          <w:left w:val="nil"/>
                          <w:bottom w:val="single" w:sz="4" w:space="0" w:color="auto"/>
                          <w:right w:val="single" w:sz="4" w:space="0" w:color="auto"/>
                        </w:tcBorders>
                        <w:vAlign w:val="center"/>
                      </w:tcPr>
                      <w:p w14:paraId="366FBFFC" w14:textId="358F3027" w:rsidR="007F727A" w:rsidRDefault="007F727A" w:rsidP="00011B68">
                        <w:pPr>
                          <w:jc w:val="center"/>
                          <w:rPr>
                            <w:rFonts w:asciiTheme="minorEastAsia" w:eastAsiaTheme="minorEastAsia" w:hAnsiTheme="minorEastAsia"/>
                          </w:rPr>
                        </w:pPr>
                        <w:r>
                          <w:rPr>
                            <w:rFonts w:asciiTheme="minorEastAsia" w:eastAsiaTheme="minorEastAsia" w:hAnsiTheme="minorEastAsia" w:hint="eastAsia"/>
                          </w:rPr>
                          <w:t>1</w:t>
                        </w:r>
                        <w:r>
                          <w:rPr>
                            <w:rFonts w:asciiTheme="minorEastAsia" w:eastAsiaTheme="minorEastAsia" w:hAnsiTheme="minorEastAsia"/>
                          </w:rPr>
                          <w:t>0,185,000</w:t>
                        </w:r>
                      </w:p>
                    </w:tc>
                  </w:tr>
                  <w:tr w:rsidR="007F727A" w14:paraId="343B3CAC" w14:textId="77777777" w:rsidTr="00D346F8">
                    <w:trPr>
                      <w:trHeight w:val="335"/>
                      <w:jc w:val="center"/>
                    </w:trPr>
                    <w:tc>
                      <w:tcPr>
                        <w:tcW w:w="724" w:type="dxa"/>
                        <w:vMerge/>
                        <w:tcBorders>
                          <w:left w:val="single" w:sz="4" w:space="0" w:color="auto"/>
                          <w:right w:val="single" w:sz="4" w:space="0" w:color="auto"/>
                        </w:tcBorders>
                        <w:vAlign w:val="center"/>
                      </w:tcPr>
                      <w:p w14:paraId="09DDA3E3" w14:textId="61EF8761" w:rsidR="007F727A" w:rsidRDefault="007F727A">
                        <w:pPr>
                          <w:jc w:val="center"/>
                          <w:rPr>
                            <w:rFonts w:asciiTheme="minorEastAsia" w:eastAsiaTheme="minorEastAsia" w:hAnsiTheme="minorEastAsia"/>
                          </w:rPr>
                        </w:pPr>
                      </w:p>
                    </w:tc>
                    <w:tc>
                      <w:tcPr>
                        <w:tcW w:w="1719" w:type="dxa"/>
                        <w:vMerge/>
                        <w:tcBorders>
                          <w:left w:val="nil"/>
                          <w:right w:val="single" w:sz="4" w:space="0" w:color="auto"/>
                        </w:tcBorders>
                        <w:vAlign w:val="center"/>
                      </w:tcPr>
                      <w:p w14:paraId="16E50353" w14:textId="2354D0B1" w:rsidR="007F727A" w:rsidRDefault="007F727A">
                        <w:pPr>
                          <w:pStyle w:val="3903"/>
                          <w:rPr>
                            <w:rFonts w:asciiTheme="minorEastAsia" w:eastAsiaTheme="minorEastAsia" w:hAnsiTheme="minorEastAsia"/>
                          </w:rPr>
                        </w:pPr>
                      </w:p>
                    </w:tc>
                    <w:tc>
                      <w:tcPr>
                        <w:tcW w:w="1796" w:type="dxa"/>
                        <w:tcBorders>
                          <w:top w:val="single" w:sz="4" w:space="0" w:color="auto"/>
                          <w:left w:val="nil"/>
                          <w:bottom w:val="single" w:sz="4" w:space="0" w:color="auto"/>
                          <w:right w:val="single" w:sz="4" w:space="0" w:color="auto"/>
                        </w:tcBorders>
                      </w:tcPr>
                      <w:p w14:paraId="6ABD420B" w14:textId="77777777" w:rsidR="007F727A" w:rsidRDefault="007F727A">
                        <w:pPr>
                          <w:pStyle w:val="3903"/>
                          <w:rPr>
                            <w:rFonts w:asciiTheme="minorEastAsia" w:eastAsiaTheme="minorEastAsia" w:hAnsiTheme="minorEastAsia"/>
                          </w:rPr>
                        </w:pPr>
                        <w:r>
                          <w:rPr>
                            <w:rFonts w:asciiTheme="minorEastAsia" w:eastAsiaTheme="minorEastAsia" w:hAnsiTheme="minorEastAsia" w:hint="eastAsia"/>
                          </w:rPr>
                          <w:t>综合授信</w:t>
                        </w:r>
                      </w:p>
                    </w:tc>
                    <w:tc>
                      <w:tcPr>
                        <w:tcW w:w="2739" w:type="dxa"/>
                        <w:vMerge/>
                        <w:tcBorders>
                          <w:left w:val="nil"/>
                          <w:right w:val="single" w:sz="4" w:space="0" w:color="auto"/>
                        </w:tcBorders>
                        <w:vAlign w:val="center"/>
                      </w:tcPr>
                      <w:p w14:paraId="799B975B" w14:textId="44CCC584" w:rsidR="007F727A" w:rsidRDefault="007F727A">
                        <w:pPr>
                          <w:pStyle w:val="3903"/>
                          <w:rPr>
                            <w:rFonts w:asciiTheme="minorEastAsia" w:eastAsiaTheme="minorEastAsia" w:hAnsiTheme="minorEastAsia"/>
                          </w:rPr>
                        </w:pPr>
                      </w:p>
                    </w:tc>
                    <w:tc>
                      <w:tcPr>
                        <w:tcW w:w="1495" w:type="dxa"/>
                        <w:tcBorders>
                          <w:top w:val="single" w:sz="4" w:space="0" w:color="auto"/>
                          <w:left w:val="nil"/>
                          <w:bottom w:val="single" w:sz="4" w:space="0" w:color="auto"/>
                          <w:right w:val="single" w:sz="4" w:space="0" w:color="auto"/>
                        </w:tcBorders>
                        <w:vAlign w:val="center"/>
                      </w:tcPr>
                      <w:p w14:paraId="610A6575" w14:textId="77777777" w:rsidR="007F727A" w:rsidRDefault="007F727A" w:rsidP="00011B68">
                        <w:pPr>
                          <w:jc w:val="center"/>
                          <w:rPr>
                            <w:rFonts w:asciiTheme="minorEastAsia" w:eastAsiaTheme="minorEastAsia" w:hAnsiTheme="minorEastAsia"/>
                          </w:rPr>
                        </w:pPr>
                        <w:r>
                          <w:rPr>
                            <w:rFonts w:asciiTheme="minorEastAsia" w:eastAsiaTheme="minorEastAsia" w:hAnsiTheme="minorEastAsia" w:hint="eastAsia"/>
                          </w:rPr>
                          <w:t>15,000,000</w:t>
                        </w:r>
                      </w:p>
                    </w:tc>
                    <w:tc>
                      <w:tcPr>
                        <w:tcW w:w="1559" w:type="dxa"/>
                        <w:tcBorders>
                          <w:top w:val="single" w:sz="4" w:space="0" w:color="auto"/>
                          <w:left w:val="nil"/>
                          <w:bottom w:val="single" w:sz="4" w:space="0" w:color="auto"/>
                          <w:right w:val="single" w:sz="4" w:space="0" w:color="auto"/>
                        </w:tcBorders>
                        <w:vAlign w:val="center"/>
                      </w:tcPr>
                      <w:p w14:paraId="66E32CD1" w14:textId="31592853" w:rsidR="007F727A" w:rsidRDefault="007F727A" w:rsidP="00011B68">
                        <w:pPr>
                          <w:jc w:val="center"/>
                          <w:rPr>
                            <w:rFonts w:asciiTheme="minorEastAsia" w:eastAsiaTheme="minorEastAsia" w:hAnsiTheme="minorEastAsia"/>
                          </w:rPr>
                        </w:pPr>
                        <w:r>
                          <w:rPr>
                            <w:rFonts w:asciiTheme="minorEastAsia" w:eastAsiaTheme="minorEastAsia" w:hAnsiTheme="minorEastAsia" w:hint="eastAsia"/>
                          </w:rPr>
                          <w:t>7</w:t>
                        </w:r>
                        <w:r w:rsidRPr="00E37EDB">
                          <w:rPr>
                            <w:rFonts w:asciiTheme="minorEastAsia" w:eastAsiaTheme="minorEastAsia" w:hAnsiTheme="minorEastAsia"/>
                          </w:rPr>
                          <w:t>,</w:t>
                        </w:r>
                        <w:r>
                          <w:rPr>
                            <w:rFonts w:asciiTheme="minorEastAsia" w:eastAsiaTheme="minorEastAsia" w:hAnsiTheme="minorEastAsia"/>
                          </w:rPr>
                          <w:t>256</w:t>
                        </w:r>
                        <w:r w:rsidRPr="00E37EDB">
                          <w:rPr>
                            <w:rFonts w:asciiTheme="minorEastAsia" w:eastAsiaTheme="minorEastAsia" w:hAnsiTheme="minorEastAsia"/>
                          </w:rPr>
                          <w:t>,</w:t>
                        </w:r>
                        <w:r>
                          <w:rPr>
                            <w:rFonts w:asciiTheme="minorEastAsia" w:eastAsiaTheme="minorEastAsia" w:hAnsiTheme="minorEastAsia"/>
                          </w:rPr>
                          <w:t>000</w:t>
                        </w:r>
                      </w:p>
                    </w:tc>
                  </w:tr>
                  <w:tr w:rsidR="007F727A" w14:paraId="78256207" w14:textId="77777777" w:rsidTr="00D346F8">
                    <w:trPr>
                      <w:jc w:val="center"/>
                    </w:trPr>
                    <w:tc>
                      <w:tcPr>
                        <w:tcW w:w="0" w:type="auto"/>
                        <w:vMerge/>
                        <w:tcBorders>
                          <w:left w:val="single" w:sz="4" w:space="0" w:color="auto"/>
                          <w:bottom w:val="single" w:sz="4" w:space="0" w:color="auto"/>
                          <w:right w:val="single" w:sz="4" w:space="0" w:color="auto"/>
                        </w:tcBorders>
                        <w:vAlign w:val="center"/>
                      </w:tcPr>
                      <w:p w14:paraId="5F9357CB" w14:textId="77777777" w:rsidR="007F727A" w:rsidRDefault="007F727A">
                        <w:pPr>
                          <w:rPr>
                            <w:rFonts w:asciiTheme="minorEastAsia" w:eastAsiaTheme="minorEastAsia" w:hAnsiTheme="minorEastAsia"/>
                          </w:rPr>
                        </w:pPr>
                      </w:p>
                    </w:tc>
                    <w:tc>
                      <w:tcPr>
                        <w:tcW w:w="0" w:type="auto"/>
                        <w:vMerge/>
                        <w:tcBorders>
                          <w:left w:val="nil"/>
                          <w:bottom w:val="single" w:sz="4" w:space="0" w:color="auto"/>
                          <w:right w:val="single" w:sz="4" w:space="0" w:color="auto"/>
                        </w:tcBorders>
                        <w:vAlign w:val="center"/>
                      </w:tcPr>
                      <w:p w14:paraId="329BE143" w14:textId="77777777" w:rsidR="007F727A" w:rsidRDefault="007F727A">
                        <w:pPr>
                          <w:rPr>
                            <w:rFonts w:asciiTheme="minorEastAsia" w:eastAsiaTheme="minorEastAsia" w:hAnsiTheme="minorEastAsia"/>
                            <w:bCs/>
                          </w:rPr>
                        </w:pPr>
                      </w:p>
                    </w:tc>
                    <w:tc>
                      <w:tcPr>
                        <w:tcW w:w="1796" w:type="dxa"/>
                        <w:tcBorders>
                          <w:top w:val="single" w:sz="4" w:space="0" w:color="auto"/>
                          <w:left w:val="nil"/>
                          <w:bottom w:val="single" w:sz="4" w:space="0" w:color="auto"/>
                          <w:right w:val="single" w:sz="4" w:space="0" w:color="auto"/>
                        </w:tcBorders>
                      </w:tcPr>
                      <w:p w14:paraId="211D8B01" w14:textId="77777777" w:rsidR="007F727A" w:rsidRDefault="007F727A">
                        <w:pPr>
                          <w:pStyle w:val="3903"/>
                          <w:rPr>
                            <w:rFonts w:asciiTheme="minorEastAsia" w:eastAsiaTheme="minorEastAsia" w:hAnsiTheme="minorEastAsia"/>
                          </w:rPr>
                        </w:pPr>
                        <w:r>
                          <w:rPr>
                            <w:rFonts w:asciiTheme="minorEastAsia" w:eastAsiaTheme="minorEastAsia" w:hAnsiTheme="minorEastAsia" w:hint="eastAsia"/>
                          </w:rPr>
                          <w:t>金融服务手续费</w:t>
                        </w:r>
                      </w:p>
                    </w:tc>
                    <w:tc>
                      <w:tcPr>
                        <w:tcW w:w="0" w:type="auto"/>
                        <w:vMerge/>
                        <w:tcBorders>
                          <w:left w:val="nil"/>
                          <w:bottom w:val="single" w:sz="4" w:space="0" w:color="auto"/>
                          <w:right w:val="single" w:sz="4" w:space="0" w:color="auto"/>
                        </w:tcBorders>
                        <w:vAlign w:val="center"/>
                      </w:tcPr>
                      <w:p w14:paraId="056A59AB" w14:textId="77777777" w:rsidR="007F727A" w:rsidRDefault="007F727A">
                        <w:pPr>
                          <w:rPr>
                            <w:rFonts w:asciiTheme="minorEastAsia" w:eastAsiaTheme="minorEastAsia" w:hAnsiTheme="minorEastAsia"/>
                            <w:bCs/>
                          </w:rPr>
                        </w:pPr>
                      </w:p>
                    </w:tc>
                    <w:tc>
                      <w:tcPr>
                        <w:tcW w:w="1495" w:type="dxa"/>
                        <w:tcBorders>
                          <w:top w:val="single" w:sz="4" w:space="0" w:color="auto"/>
                          <w:left w:val="nil"/>
                          <w:bottom w:val="single" w:sz="4" w:space="0" w:color="auto"/>
                          <w:right w:val="single" w:sz="4" w:space="0" w:color="auto"/>
                        </w:tcBorders>
                        <w:vAlign w:val="center"/>
                      </w:tcPr>
                      <w:p w14:paraId="5BFEA05A" w14:textId="77777777" w:rsidR="007F727A" w:rsidRDefault="007F727A" w:rsidP="00011B68">
                        <w:pPr>
                          <w:jc w:val="center"/>
                          <w:rPr>
                            <w:rFonts w:asciiTheme="minorEastAsia" w:eastAsiaTheme="minorEastAsia" w:hAnsiTheme="minorEastAsia"/>
                          </w:rPr>
                        </w:pPr>
                        <w:r>
                          <w:rPr>
                            <w:rFonts w:asciiTheme="minorEastAsia" w:eastAsiaTheme="minorEastAsia" w:hAnsiTheme="minorEastAsia" w:hint="eastAsia"/>
                          </w:rPr>
                          <w:t>4,000</w:t>
                        </w:r>
                      </w:p>
                    </w:tc>
                    <w:tc>
                      <w:tcPr>
                        <w:tcW w:w="1559" w:type="dxa"/>
                        <w:tcBorders>
                          <w:top w:val="single" w:sz="4" w:space="0" w:color="auto"/>
                          <w:left w:val="nil"/>
                          <w:bottom w:val="single" w:sz="4" w:space="0" w:color="auto"/>
                          <w:right w:val="single" w:sz="4" w:space="0" w:color="auto"/>
                        </w:tcBorders>
                        <w:vAlign w:val="center"/>
                      </w:tcPr>
                      <w:p w14:paraId="525A957B" w14:textId="1179B61D" w:rsidR="007F727A" w:rsidRDefault="00F529AD" w:rsidP="00011B68">
                        <w:pPr>
                          <w:jc w:val="center"/>
                          <w:rPr>
                            <w:rFonts w:asciiTheme="minorEastAsia" w:eastAsiaTheme="minorEastAsia" w:hAnsiTheme="minorEastAsia"/>
                          </w:rPr>
                        </w:pPr>
                        <w:r>
                          <w:rPr>
                            <w:rFonts w:asciiTheme="minorEastAsia" w:eastAsiaTheme="minorEastAsia" w:hAnsiTheme="minorEastAsia"/>
                          </w:rPr>
                          <w:t>326</w:t>
                        </w:r>
                      </w:p>
                    </w:tc>
                  </w:tr>
                  <w:tr w:rsidR="00B201D3" w14:paraId="60FBD59F" w14:textId="77777777">
                    <w:trPr>
                      <w:jc w:val="center"/>
                    </w:trPr>
                    <w:tc>
                      <w:tcPr>
                        <w:tcW w:w="724" w:type="dxa"/>
                        <w:tcBorders>
                          <w:top w:val="single" w:sz="4" w:space="0" w:color="auto"/>
                          <w:left w:val="single" w:sz="4" w:space="0" w:color="auto"/>
                          <w:bottom w:val="single" w:sz="4" w:space="0" w:color="auto"/>
                          <w:right w:val="single" w:sz="4" w:space="0" w:color="auto"/>
                        </w:tcBorders>
                        <w:vAlign w:val="center"/>
                      </w:tcPr>
                      <w:p w14:paraId="4D2E9849"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7</w:t>
                        </w:r>
                      </w:p>
                    </w:tc>
                    <w:tc>
                      <w:tcPr>
                        <w:tcW w:w="3515" w:type="dxa"/>
                        <w:gridSpan w:val="2"/>
                        <w:tcBorders>
                          <w:top w:val="single" w:sz="4" w:space="0" w:color="auto"/>
                          <w:left w:val="nil"/>
                          <w:bottom w:val="single" w:sz="4" w:space="0" w:color="auto"/>
                          <w:right w:val="single" w:sz="4" w:space="0" w:color="auto"/>
                        </w:tcBorders>
                        <w:vAlign w:val="center"/>
                      </w:tcPr>
                      <w:p w14:paraId="0F94F82C" w14:textId="77777777" w:rsidR="00B201D3" w:rsidRDefault="009855E8">
                        <w:pPr>
                          <w:pStyle w:val="3903"/>
                          <w:rPr>
                            <w:rFonts w:asciiTheme="minorEastAsia" w:eastAsiaTheme="minorEastAsia" w:hAnsiTheme="minorEastAsia"/>
                          </w:rPr>
                        </w:pPr>
                        <w:r>
                          <w:rPr>
                            <w:rFonts w:asciiTheme="minorEastAsia" w:eastAsiaTheme="minorEastAsia" w:hAnsiTheme="minorEastAsia" w:hint="eastAsia"/>
                          </w:rPr>
                          <w:t>向山东能源集团提供委托管理服务</w:t>
                        </w:r>
                      </w:p>
                    </w:tc>
                    <w:tc>
                      <w:tcPr>
                        <w:tcW w:w="2739" w:type="dxa"/>
                        <w:tcBorders>
                          <w:top w:val="single" w:sz="4" w:space="0" w:color="auto"/>
                          <w:left w:val="nil"/>
                          <w:bottom w:val="single" w:sz="4" w:space="0" w:color="auto"/>
                          <w:right w:val="single" w:sz="4" w:space="0" w:color="auto"/>
                        </w:tcBorders>
                        <w:vAlign w:val="center"/>
                      </w:tcPr>
                      <w:p w14:paraId="610166AE" w14:textId="77777777" w:rsidR="00B201D3" w:rsidRDefault="009855E8">
                        <w:pPr>
                          <w:pStyle w:val="3903"/>
                          <w:rPr>
                            <w:rFonts w:asciiTheme="minorEastAsia" w:eastAsiaTheme="minorEastAsia" w:hAnsiTheme="minorEastAsia"/>
                          </w:rPr>
                        </w:pPr>
                        <w:r>
                          <w:rPr>
                            <w:rFonts w:asciiTheme="minorEastAsia" w:eastAsiaTheme="minorEastAsia" w:hAnsiTheme="minorEastAsia" w:hint="eastAsia"/>
                            <w:shd w:val="clear" w:color="auto" w:fill="FFFFFF"/>
                          </w:rPr>
                          <w:t>《委托管理专项协议》</w:t>
                        </w:r>
                      </w:p>
                    </w:tc>
                    <w:tc>
                      <w:tcPr>
                        <w:tcW w:w="1495" w:type="dxa"/>
                        <w:tcBorders>
                          <w:top w:val="single" w:sz="4" w:space="0" w:color="auto"/>
                          <w:left w:val="nil"/>
                          <w:bottom w:val="single" w:sz="4" w:space="0" w:color="auto"/>
                          <w:right w:val="single" w:sz="4" w:space="0" w:color="auto"/>
                        </w:tcBorders>
                        <w:vAlign w:val="center"/>
                      </w:tcPr>
                      <w:p w14:paraId="0DCD11FB" w14:textId="77777777" w:rsidR="00B201D3" w:rsidRDefault="009855E8" w:rsidP="00011B68">
                        <w:pPr>
                          <w:jc w:val="center"/>
                          <w:rPr>
                            <w:rFonts w:asciiTheme="minorEastAsia" w:eastAsiaTheme="minorEastAsia" w:hAnsiTheme="minorEastAsia"/>
                          </w:rPr>
                        </w:pPr>
                        <w:r>
                          <w:rPr>
                            <w:rFonts w:asciiTheme="minorEastAsia" w:eastAsiaTheme="minorEastAsia" w:hAnsiTheme="minorEastAsia" w:hint="eastAsia"/>
                          </w:rPr>
                          <w:t>3,000</w:t>
                        </w:r>
                      </w:p>
                    </w:tc>
                    <w:tc>
                      <w:tcPr>
                        <w:tcW w:w="1559" w:type="dxa"/>
                        <w:tcBorders>
                          <w:top w:val="single" w:sz="4" w:space="0" w:color="auto"/>
                          <w:left w:val="nil"/>
                          <w:bottom w:val="single" w:sz="4" w:space="0" w:color="auto"/>
                          <w:right w:val="single" w:sz="4" w:space="0" w:color="auto"/>
                        </w:tcBorders>
                        <w:vAlign w:val="center"/>
                      </w:tcPr>
                      <w:p w14:paraId="0F378BD3" w14:textId="22F2A412" w:rsidR="00B201D3" w:rsidRDefault="002040C6" w:rsidP="00011B68">
                        <w:pPr>
                          <w:jc w:val="center"/>
                          <w:rPr>
                            <w:rFonts w:asciiTheme="minorEastAsia" w:eastAsiaTheme="minorEastAsia" w:hAnsiTheme="minorEastAsia"/>
                          </w:rPr>
                        </w:pPr>
                        <w:r>
                          <w:rPr>
                            <w:rFonts w:asciiTheme="minorEastAsia" w:eastAsiaTheme="minorEastAsia" w:hAnsiTheme="minorEastAsia" w:hint="eastAsia"/>
                          </w:rPr>
                          <w:t>0</w:t>
                        </w:r>
                      </w:p>
                    </w:tc>
                  </w:tr>
                  <w:tr w:rsidR="00B201D3" w14:paraId="7553CB3D" w14:textId="77777777">
                    <w:trPr>
                      <w:jc w:val="center"/>
                    </w:trPr>
                    <w:tc>
                      <w:tcPr>
                        <w:tcW w:w="724" w:type="dxa"/>
                        <w:vMerge w:val="restart"/>
                        <w:tcBorders>
                          <w:top w:val="single" w:sz="4" w:space="0" w:color="auto"/>
                          <w:left w:val="single" w:sz="4" w:space="0" w:color="auto"/>
                          <w:bottom w:val="single" w:sz="4" w:space="0" w:color="auto"/>
                          <w:right w:val="single" w:sz="4" w:space="0" w:color="auto"/>
                        </w:tcBorders>
                        <w:vAlign w:val="center"/>
                      </w:tcPr>
                      <w:p w14:paraId="383F28E7"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8</w:t>
                        </w:r>
                      </w:p>
                    </w:tc>
                    <w:tc>
                      <w:tcPr>
                        <w:tcW w:w="1719" w:type="dxa"/>
                        <w:vMerge w:val="restart"/>
                        <w:tcBorders>
                          <w:top w:val="single" w:sz="4" w:space="0" w:color="auto"/>
                          <w:left w:val="nil"/>
                          <w:bottom w:val="single" w:sz="4" w:space="0" w:color="auto"/>
                          <w:right w:val="single" w:sz="4" w:space="0" w:color="auto"/>
                        </w:tcBorders>
                        <w:vAlign w:val="center"/>
                      </w:tcPr>
                      <w:p w14:paraId="6A10EE39" w14:textId="77777777" w:rsidR="00B201D3" w:rsidRDefault="009855E8">
                        <w:pPr>
                          <w:pStyle w:val="3903"/>
                          <w:rPr>
                            <w:rFonts w:asciiTheme="minorEastAsia" w:eastAsiaTheme="minorEastAsia" w:hAnsiTheme="minorEastAsia"/>
                          </w:rPr>
                        </w:pPr>
                        <w:r>
                          <w:rPr>
                            <w:rFonts w:asciiTheme="minorEastAsia" w:eastAsiaTheme="minorEastAsia" w:hAnsiTheme="minorEastAsia" w:hint="eastAsia"/>
                          </w:rPr>
                          <w:t>向山东能源集团提供融资租赁服务</w:t>
                        </w:r>
                      </w:p>
                    </w:tc>
                    <w:tc>
                      <w:tcPr>
                        <w:tcW w:w="1796" w:type="dxa"/>
                        <w:tcBorders>
                          <w:top w:val="single" w:sz="4" w:space="0" w:color="auto"/>
                          <w:left w:val="nil"/>
                          <w:bottom w:val="single" w:sz="4" w:space="0" w:color="auto"/>
                          <w:right w:val="single" w:sz="4" w:space="0" w:color="auto"/>
                        </w:tcBorders>
                        <w:vAlign w:val="center"/>
                      </w:tcPr>
                      <w:p w14:paraId="268FE56A" w14:textId="77777777" w:rsidR="00B201D3" w:rsidRDefault="009855E8">
                        <w:pPr>
                          <w:pStyle w:val="3903"/>
                          <w:rPr>
                            <w:rFonts w:asciiTheme="minorEastAsia" w:eastAsiaTheme="minorEastAsia" w:hAnsiTheme="minorEastAsia"/>
                          </w:rPr>
                        </w:pPr>
                        <w:r>
                          <w:rPr>
                            <w:rFonts w:asciiTheme="minorEastAsia" w:eastAsiaTheme="minorEastAsia" w:hAnsiTheme="minorEastAsia" w:hint="eastAsia"/>
                          </w:rPr>
                          <w:t>融资总额</w:t>
                        </w:r>
                      </w:p>
                    </w:tc>
                    <w:tc>
                      <w:tcPr>
                        <w:tcW w:w="2739" w:type="dxa"/>
                        <w:vMerge w:val="restart"/>
                        <w:tcBorders>
                          <w:top w:val="single" w:sz="4" w:space="0" w:color="auto"/>
                          <w:left w:val="nil"/>
                          <w:bottom w:val="single" w:sz="4" w:space="0" w:color="auto"/>
                          <w:right w:val="single" w:sz="4" w:space="0" w:color="auto"/>
                        </w:tcBorders>
                        <w:vAlign w:val="center"/>
                      </w:tcPr>
                      <w:p w14:paraId="7960CBC7" w14:textId="77777777" w:rsidR="00B201D3" w:rsidRDefault="009855E8">
                        <w:pPr>
                          <w:rPr>
                            <w:rFonts w:asciiTheme="minorEastAsia" w:eastAsiaTheme="minorEastAsia" w:hAnsiTheme="minorEastAsia"/>
                            <w:shd w:val="clear" w:color="auto" w:fill="FFFFFF"/>
                          </w:rPr>
                        </w:pPr>
                        <w:r>
                          <w:rPr>
                            <w:rFonts w:asciiTheme="minorEastAsia" w:eastAsiaTheme="minorEastAsia" w:hAnsiTheme="minorEastAsia" w:hint="eastAsia"/>
                            <w:shd w:val="clear" w:color="auto" w:fill="FFFFFF"/>
                          </w:rPr>
                          <w:t>《融资租赁协议》</w:t>
                        </w:r>
                      </w:p>
                    </w:tc>
                    <w:tc>
                      <w:tcPr>
                        <w:tcW w:w="1495" w:type="dxa"/>
                        <w:tcBorders>
                          <w:top w:val="single" w:sz="4" w:space="0" w:color="auto"/>
                          <w:left w:val="nil"/>
                          <w:bottom w:val="single" w:sz="4" w:space="0" w:color="auto"/>
                          <w:right w:val="single" w:sz="4" w:space="0" w:color="auto"/>
                        </w:tcBorders>
                        <w:vAlign w:val="center"/>
                      </w:tcPr>
                      <w:p w14:paraId="11767AF2" w14:textId="77777777" w:rsidR="00B201D3" w:rsidRDefault="009855E8" w:rsidP="00011B68">
                        <w:pPr>
                          <w:jc w:val="center"/>
                          <w:rPr>
                            <w:rFonts w:asciiTheme="minorEastAsia" w:eastAsiaTheme="minorEastAsia" w:hAnsiTheme="minorEastAsia"/>
                          </w:rPr>
                        </w:pPr>
                        <w:r>
                          <w:rPr>
                            <w:rFonts w:asciiTheme="minorEastAsia" w:eastAsiaTheme="minorEastAsia" w:hAnsiTheme="minorEastAsia"/>
                          </w:rPr>
                          <w:t>8</w:t>
                        </w:r>
                        <w:r>
                          <w:rPr>
                            <w:rFonts w:asciiTheme="minorEastAsia" w:eastAsiaTheme="minorEastAsia" w:hAnsiTheme="minorEastAsia" w:hint="eastAsia"/>
                          </w:rPr>
                          <w:t>,</w:t>
                        </w:r>
                        <w:r>
                          <w:rPr>
                            <w:rFonts w:asciiTheme="minorEastAsia" w:eastAsiaTheme="minorEastAsia" w:hAnsiTheme="minorEastAsia"/>
                          </w:rPr>
                          <w:t>680</w:t>
                        </w:r>
                        <w:r>
                          <w:rPr>
                            <w:rFonts w:asciiTheme="minorEastAsia" w:eastAsiaTheme="minorEastAsia" w:hAnsiTheme="minorEastAsia" w:hint="eastAsia"/>
                          </w:rPr>
                          <w:t>,000</w:t>
                        </w:r>
                      </w:p>
                    </w:tc>
                    <w:tc>
                      <w:tcPr>
                        <w:tcW w:w="1559" w:type="dxa"/>
                        <w:tcBorders>
                          <w:top w:val="single" w:sz="4" w:space="0" w:color="auto"/>
                          <w:left w:val="nil"/>
                          <w:bottom w:val="single" w:sz="4" w:space="0" w:color="auto"/>
                          <w:right w:val="single" w:sz="4" w:space="0" w:color="auto"/>
                        </w:tcBorders>
                        <w:vAlign w:val="center"/>
                      </w:tcPr>
                      <w:p w14:paraId="09574DE4" w14:textId="56EB368F" w:rsidR="00B201D3" w:rsidRDefault="001C0110" w:rsidP="00011B68">
                        <w:pPr>
                          <w:jc w:val="center"/>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rPr>
                          <w:t>7</w:t>
                        </w:r>
                        <w:r w:rsidR="00431878">
                          <w:rPr>
                            <w:rFonts w:asciiTheme="minorEastAsia" w:eastAsiaTheme="minorEastAsia" w:hAnsiTheme="minorEastAsia"/>
                          </w:rPr>
                          <w:t>1</w:t>
                        </w:r>
                      </w:p>
                    </w:tc>
                  </w:tr>
                  <w:tr w:rsidR="00B201D3" w14:paraId="11CC6B18"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AA8D1D5" w14:textId="77777777" w:rsidR="00B201D3" w:rsidRDefault="00B201D3">
                        <w:pPr>
                          <w:rPr>
                            <w:rFonts w:asciiTheme="minorEastAsia" w:eastAsiaTheme="minorEastAsia" w:hAnsiTheme="minorEastAsia"/>
                          </w:rPr>
                        </w:pPr>
                      </w:p>
                    </w:tc>
                    <w:tc>
                      <w:tcPr>
                        <w:tcW w:w="0" w:type="auto"/>
                        <w:vMerge/>
                        <w:tcBorders>
                          <w:top w:val="single" w:sz="4" w:space="0" w:color="auto"/>
                          <w:left w:val="nil"/>
                          <w:bottom w:val="single" w:sz="4" w:space="0" w:color="auto"/>
                          <w:right w:val="single" w:sz="4" w:space="0" w:color="auto"/>
                        </w:tcBorders>
                        <w:vAlign w:val="center"/>
                      </w:tcPr>
                      <w:p w14:paraId="298696CC" w14:textId="77777777" w:rsidR="00B201D3" w:rsidRDefault="00B201D3">
                        <w:pPr>
                          <w:rPr>
                            <w:rFonts w:asciiTheme="minorEastAsia" w:eastAsiaTheme="minorEastAsia" w:hAnsiTheme="minorEastAsia"/>
                            <w:bCs/>
                          </w:rPr>
                        </w:pPr>
                      </w:p>
                    </w:tc>
                    <w:tc>
                      <w:tcPr>
                        <w:tcW w:w="1796" w:type="dxa"/>
                        <w:tcBorders>
                          <w:top w:val="single" w:sz="4" w:space="0" w:color="auto"/>
                          <w:left w:val="nil"/>
                          <w:bottom w:val="single" w:sz="4" w:space="0" w:color="auto"/>
                          <w:right w:val="single" w:sz="4" w:space="0" w:color="auto"/>
                        </w:tcBorders>
                        <w:vAlign w:val="center"/>
                      </w:tcPr>
                      <w:p w14:paraId="2B53CF5A" w14:textId="77777777" w:rsidR="00B201D3" w:rsidRDefault="009855E8">
                        <w:pPr>
                          <w:pStyle w:val="3903"/>
                          <w:rPr>
                            <w:rFonts w:asciiTheme="minorEastAsia" w:eastAsiaTheme="minorEastAsia" w:hAnsiTheme="minorEastAsia"/>
                          </w:rPr>
                        </w:pPr>
                        <w:r>
                          <w:rPr>
                            <w:rFonts w:asciiTheme="minorEastAsia" w:eastAsiaTheme="minorEastAsia" w:hAnsiTheme="minorEastAsia" w:hint="eastAsia"/>
                          </w:rPr>
                          <w:t>利息及费用</w:t>
                        </w:r>
                      </w:p>
                    </w:tc>
                    <w:tc>
                      <w:tcPr>
                        <w:tcW w:w="0" w:type="auto"/>
                        <w:vMerge/>
                        <w:tcBorders>
                          <w:top w:val="single" w:sz="4" w:space="0" w:color="auto"/>
                          <w:left w:val="nil"/>
                          <w:bottom w:val="single" w:sz="4" w:space="0" w:color="auto"/>
                          <w:right w:val="single" w:sz="4" w:space="0" w:color="auto"/>
                        </w:tcBorders>
                        <w:vAlign w:val="center"/>
                      </w:tcPr>
                      <w:p w14:paraId="49466EDC" w14:textId="77777777" w:rsidR="00B201D3" w:rsidRDefault="00B201D3">
                        <w:pPr>
                          <w:rPr>
                            <w:rFonts w:asciiTheme="minorEastAsia" w:eastAsiaTheme="minorEastAsia" w:hAnsiTheme="minorEastAsia"/>
                            <w:shd w:val="clear" w:color="auto" w:fill="FFFFFF"/>
                          </w:rPr>
                        </w:pPr>
                      </w:p>
                    </w:tc>
                    <w:tc>
                      <w:tcPr>
                        <w:tcW w:w="1495" w:type="dxa"/>
                        <w:tcBorders>
                          <w:top w:val="single" w:sz="4" w:space="0" w:color="auto"/>
                          <w:left w:val="nil"/>
                          <w:bottom w:val="single" w:sz="4" w:space="0" w:color="auto"/>
                          <w:right w:val="single" w:sz="4" w:space="0" w:color="auto"/>
                        </w:tcBorders>
                        <w:vAlign w:val="center"/>
                      </w:tcPr>
                      <w:p w14:paraId="2E17CC7C" w14:textId="77777777" w:rsidR="00B201D3" w:rsidRDefault="009855E8" w:rsidP="00011B68">
                        <w:pPr>
                          <w:jc w:val="center"/>
                          <w:rPr>
                            <w:rFonts w:asciiTheme="minorEastAsia" w:eastAsiaTheme="minorEastAsia" w:hAnsiTheme="minorEastAsia"/>
                          </w:rPr>
                        </w:pPr>
                        <w:r>
                          <w:rPr>
                            <w:rFonts w:asciiTheme="minorEastAsia" w:eastAsiaTheme="minorEastAsia" w:hAnsiTheme="minorEastAsia"/>
                          </w:rPr>
                          <w:t>680</w:t>
                        </w:r>
                        <w:r>
                          <w:rPr>
                            <w:rFonts w:asciiTheme="minorEastAsia" w:eastAsiaTheme="minorEastAsia" w:hAnsiTheme="minorEastAsia" w:hint="eastAsia"/>
                          </w:rPr>
                          <w:t>,000</w:t>
                        </w:r>
                      </w:p>
                    </w:tc>
                    <w:tc>
                      <w:tcPr>
                        <w:tcW w:w="1559" w:type="dxa"/>
                        <w:tcBorders>
                          <w:top w:val="single" w:sz="4" w:space="0" w:color="auto"/>
                          <w:left w:val="nil"/>
                          <w:bottom w:val="single" w:sz="4" w:space="0" w:color="auto"/>
                          <w:right w:val="single" w:sz="4" w:space="0" w:color="auto"/>
                        </w:tcBorders>
                        <w:vAlign w:val="center"/>
                      </w:tcPr>
                      <w:p w14:paraId="620C6D5D" w14:textId="0E912997" w:rsidR="00B201D3" w:rsidRDefault="002040C6" w:rsidP="00011B68">
                        <w:pPr>
                          <w:jc w:val="center"/>
                          <w:rPr>
                            <w:rFonts w:asciiTheme="minorEastAsia" w:eastAsiaTheme="minorEastAsia" w:hAnsiTheme="minorEastAsia"/>
                          </w:rPr>
                        </w:pPr>
                        <w:r>
                          <w:rPr>
                            <w:rFonts w:asciiTheme="minorEastAsia" w:eastAsiaTheme="minorEastAsia" w:hAnsiTheme="minorEastAsia" w:hint="eastAsia"/>
                          </w:rPr>
                          <w:t>1</w:t>
                        </w:r>
                        <w:r w:rsidR="001C0110">
                          <w:rPr>
                            <w:rFonts w:asciiTheme="minorEastAsia" w:eastAsiaTheme="minorEastAsia" w:hAnsiTheme="minorEastAsia"/>
                          </w:rPr>
                          <w:t>5</w:t>
                        </w:r>
                      </w:p>
                    </w:tc>
                  </w:tr>
                  <w:tr w:rsidR="00B201D3" w14:paraId="0A337B67" w14:textId="77777777">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6A35372E"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9</w:t>
                        </w:r>
                      </w:p>
                    </w:tc>
                    <w:tc>
                      <w:tcPr>
                        <w:tcW w:w="3515" w:type="dxa"/>
                        <w:gridSpan w:val="2"/>
                        <w:tcBorders>
                          <w:top w:val="single" w:sz="4" w:space="0" w:color="auto"/>
                          <w:left w:val="nil"/>
                          <w:bottom w:val="single" w:sz="4" w:space="0" w:color="auto"/>
                          <w:right w:val="single" w:sz="4" w:space="0" w:color="auto"/>
                        </w:tcBorders>
                        <w:vAlign w:val="center"/>
                      </w:tcPr>
                      <w:p w14:paraId="1692DA26" w14:textId="77777777" w:rsidR="00B201D3" w:rsidRDefault="009855E8">
                        <w:pPr>
                          <w:pStyle w:val="3903"/>
                          <w:rPr>
                            <w:rFonts w:asciiTheme="minorEastAsia" w:eastAsiaTheme="minorEastAsia" w:hAnsiTheme="minorEastAsia"/>
                          </w:rPr>
                        </w:pPr>
                        <w:r>
                          <w:rPr>
                            <w:rFonts w:asciiTheme="minorEastAsia" w:eastAsiaTheme="minorEastAsia" w:hAnsiTheme="minorEastAsia"/>
                          </w:rPr>
                          <w:t>向山东能源集团提供委托管理服务</w:t>
                        </w:r>
                      </w:p>
                    </w:tc>
                    <w:tc>
                      <w:tcPr>
                        <w:tcW w:w="0" w:type="auto"/>
                        <w:tcBorders>
                          <w:top w:val="single" w:sz="4" w:space="0" w:color="auto"/>
                          <w:left w:val="nil"/>
                          <w:bottom w:val="single" w:sz="4" w:space="0" w:color="auto"/>
                          <w:right w:val="single" w:sz="4" w:space="0" w:color="auto"/>
                        </w:tcBorders>
                        <w:vAlign w:val="center"/>
                      </w:tcPr>
                      <w:p w14:paraId="1AC78FA4" w14:textId="77777777" w:rsidR="00B201D3" w:rsidRDefault="009855E8">
                        <w:pPr>
                          <w:rPr>
                            <w:rFonts w:asciiTheme="minorEastAsia" w:eastAsiaTheme="minorEastAsia" w:hAnsiTheme="minorEastAsia"/>
                            <w:shd w:val="clear" w:color="auto" w:fill="FFFFFF"/>
                          </w:rPr>
                        </w:pPr>
                        <w:r>
                          <w:rPr>
                            <w:rFonts w:asciiTheme="minorEastAsia" w:eastAsiaTheme="minorEastAsia" w:hAnsiTheme="minorEastAsia" w:hint="eastAsia"/>
                            <w:shd w:val="clear" w:color="auto" w:fill="FFFFFF"/>
                          </w:rPr>
                          <w:t>《委托管理服务框架协议》</w:t>
                        </w:r>
                      </w:p>
                    </w:tc>
                    <w:tc>
                      <w:tcPr>
                        <w:tcW w:w="1495" w:type="dxa"/>
                        <w:tcBorders>
                          <w:top w:val="single" w:sz="4" w:space="0" w:color="auto"/>
                          <w:left w:val="nil"/>
                          <w:bottom w:val="single" w:sz="4" w:space="0" w:color="auto"/>
                          <w:right w:val="single" w:sz="4" w:space="0" w:color="auto"/>
                        </w:tcBorders>
                        <w:vAlign w:val="center"/>
                      </w:tcPr>
                      <w:p w14:paraId="74DE4404" w14:textId="77777777" w:rsidR="00B201D3" w:rsidRDefault="009855E8" w:rsidP="00011B68">
                        <w:pPr>
                          <w:jc w:val="center"/>
                          <w:rPr>
                            <w:rFonts w:asciiTheme="minorEastAsia" w:eastAsiaTheme="minorEastAsia" w:hAnsiTheme="minorEastAsia"/>
                          </w:rPr>
                        </w:pPr>
                        <w:r>
                          <w:rPr>
                            <w:rFonts w:asciiTheme="minorEastAsia" w:eastAsiaTheme="minorEastAsia" w:hAnsiTheme="minorEastAsia" w:hint="eastAsia"/>
                          </w:rPr>
                          <w:t>60</w:t>
                        </w:r>
                        <w:r>
                          <w:rPr>
                            <w:rFonts w:asciiTheme="minorEastAsia" w:eastAsiaTheme="minorEastAsia" w:hAnsiTheme="minorEastAsia"/>
                          </w:rPr>
                          <w:t>,</w:t>
                        </w:r>
                        <w:r>
                          <w:rPr>
                            <w:rFonts w:asciiTheme="minorEastAsia" w:eastAsiaTheme="minorEastAsia" w:hAnsiTheme="minorEastAsia" w:hint="eastAsia"/>
                          </w:rPr>
                          <w:t>000</w:t>
                        </w:r>
                      </w:p>
                    </w:tc>
                    <w:tc>
                      <w:tcPr>
                        <w:tcW w:w="1559" w:type="dxa"/>
                        <w:tcBorders>
                          <w:top w:val="single" w:sz="4" w:space="0" w:color="auto"/>
                          <w:left w:val="nil"/>
                          <w:bottom w:val="single" w:sz="4" w:space="0" w:color="auto"/>
                          <w:right w:val="single" w:sz="4" w:space="0" w:color="auto"/>
                        </w:tcBorders>
                        <w:vAlign w:val="center"/>
                      </w:tcPr>
                      <w:p w14:paraId="0DE44B90" w14:textId="110D3D5C" w:rsidR="00B201D3" w:rsidRDefault="002040C6" w:rsidP="00011B68">
                        <w:pPr>
                          <w:jc w:val="center"/>
                          <w:rPr>
                            <w:rFonts w:asciiTheme="minorEastAsia" w:eastAsiaTheme="minorEastAsia" w:hAnsiTheme="minorEastAsia"/>
                          </w:rPr>
                        </w:pPr>
                        <w:r>
                          <w:rPr>
                            <w:rFonts w:asciiTheme="minorEastAsia" w:eastAsiaTheme="minorEastAsia" w:hAnsiTheme="minorEastAsia" w:hint="eastAsia"/>
                          </w:rPr>
                          <w:t>2</w:t>
                        </w:r>
                        <w:r w:rsidRPr="002040C6">
                          <w:rPr>
                            <w:rFonts w:asciiTheme="minorEastAsia" w:eastAsiaTheme="minorEastAsia" w:hAnsiTheme="minorEastAsia"/>
                          </w:rPr>
                          <w:t>,</w:t>
                        </w:r>
                        <w:r>
                          <w:rPr>
                            <w:rFonts w:asciiTheme="minorEastAsia" w:eastAsiaTheme="minorEastAsia" w:hAnsiTheme="minorEastAsia"/>
                          </w:rPr>
                          <w:t>151</w:t>
                        </w:r>
                      </w:p>
                    </w:tc>
                  </w:tr>
                </w:tbl>
                <w:p w14:paraId="7411D8B6" w14:textId="77777777" w:rsidR="00B201D3" w:rsidRDefault="009855E8">
                  <w:pPr>
                    <w:pStyle w:val="3903"/>
                  </w:pPr>
                  <w:r>
                    <w:rPr>
                      <w:rFonts w:hint="eastAsia"/>
                    </w:rPr>
                    <w:t xml:space="preserve"> </w:t>
                  </w:r>
                </w:p>
                <w:p w14:paraId="6BB3A418" w14:textId="77777777" w:rsidR="00B201D3" w:rsidRDefault="009855E8">
                  <w:pPr>
                    <w:ind w:firstLineChars="200" w:firstLine="420"/>
                    <w:jc w:val="both"/>
                  </w:pPr>
                  <w:r>
                    <w:rPr>
                      <w:rFonts w:hint="eastAsia"/>
                    </w:rPr>
                    <w:t>（2）报告期内与嘉能可集团持续性关联/关连交易协议审批与执行情况</w:t>
                  </w:r>
                </w:p>
                <w:p w14:paraId="65AB0ECC" w14:textId="77777777" w:rsidR="00B201D3" w:rsidRDefault="009855E8">
                  <w:pPr>
                    <w:ind w:firstLineChars="200" w:firstLine="420"/>
                    <w:jc w:val="both"/>
                  </w:pPr>
                  <w:r>
                    <w:rPr>
                      <w:rFonts w:hint="eastAsia"/>
                    </w:rPr>
                    <w:t>①煤炭销售持续性关联/关连交易</w:t>
                  </w:r>
                </w:p>
                <w:p w14:paraId="6E639F78" w14:textId="77777777" w:rsidR="00B201D3" w:rsidRDefault="009855E8">
                  <w:pPr>
                    <w:ind w:firstLineChars="200" w:firstLine="420"/>
                    <w:jc w:val="both"/>
                  </w:pPr>
                  <w:r>
                    <w:rPr>
                      <w:rFonts w:hint="eastAsia"/>
                    </w:rPr>
                    <w:t>公司2021年2月5日召开的2021年度第一次临时股东大会，审议批准兖煤澳洲与嘉能可集团续期《煤炭销售框架协议》及其所限定交易在2021-2023年每年的交易上限金额。确定价格的主要方式是：以市场价格为基础，并考虑相关行业基准和指数进行调整。交易款项支付时间由双方根据国际惯例及本协议所适用的法律法规来确定，在具体煤炭买卖协议中详细约定。</w:t>
                  </w:r>
                </w:p>
                <w:p w14:paraId="7EE9A5FE" w14:textId="4F88BE9F" w:rsidR="00B201D3" w:rsidRDefault="009855E8">
                  <w:pPr>
                    <w:ind w:firstLineChars="200" w:firstLine="420"/>
                    <w:jc w:val="both"/>
                  </w:pPr>
                  <w:r>
                    <w:rPr>
                      <w:rFonts w:hint="eastAsia"/>
                    </w:rPr>
                    <w:t>2023年本集团向嘉能可集团销售煤炭的年度上限金额为3.5亿美元。2023年上半年，此项关联/关连交易发生金额约</w:t>
                  </w:r>
                  <w:r w:rsidR="002040C6">
                    <w:rPr>
                      <w:rFonts w:hint="eastAsia"/>
                    </w:rPr>
                    <w:t>0</w:t>
                  </w:r>
                  <w:r w:rsidR="002040C6">
                    <w:t>.16</w:t>
                  </w:r>
                  <w:r>
                    <w:rPr>
                      <w:rFonts w:hint="eastAsia"/>
                    </w:rPr>
                    <w:t>亿美元。</w:t>
                  </w:r>
                </w:p>
                <w:p w14:paraId="6491F496" w14:textId="77777777" w:rsidR="00B201D3" w:rsidRDefault="009855E8">
                  <w:pPr>
                    <w:ind w:firstLineChars="200" w:firstLine="420"/>
                    <w:jc w:val="both"/>
                  </w:pPr>
                  <w:r>
                    <w:rPr>
                      <w:rFonts w:hint="eastAsia"/>
                    </w:rPr>
                    <w:t>②煤炭购买持续性关联/关连交易</w:t>
                  </w:r>
                </w:p>
                <w:p w14:paraId="4E610D50" w14:textId="77777777" w:rsidR="00B201D3" w:rsidRDefault="009855E8">
                  <w:pPr>
                    <w:ind w:firstLineChars="200" w:firstLine="420"/>
                    <w:jc w:val="both"/>
                  </w:pPr>
                  <w:r>
                    <w:rPr>
                      <w:rFonts w:hint="eastAsia"/>
                    </w:rPr>
                    <w:t>公司2021年2月5日召开的2021年度第一次临时股东大会，审议批准兖煤澳洲与嘉能可集团签署《HVO销售合约》及其所限定交易在2021-2023年每年的交易上限金额。《HVO销售合约》约定：兖煤澳洲附属公司亨特谷煤炭销售公司根据其与客户订立的每份销售协议收取的总金额及相应的产品配额，分别支付给兖煤澳洲及嘉能可相应的交易款项。亨特谷煤炭销售公司应不迟于在收到客户付款后的三个营业日内，向兖煤澳洲及嘉能可支付交易价款。</w:t>
                  </w:r>
                </w:p>
                <w:p w14:paraId="7C488256" w14:textId="77777777" w:rsidR="00B201D3" w:rsidRDefault="009855E8">
                  <w:pPr>
                    <w:ind w:firstLineChars="200" w:firstLine="420"/>
                    <w:jc w:val="both"/>
                  </w:pPr>
                  <w:r>
                    <w:rPr>
                      <w:rFonts w:hint="eastAsia"/>
                    </w:rPr>
                    <w:t>公司2022年11月9日召开的第八届董事会第二十六次会议，审议批准《HVO销售合约》于2022-2023年每年的交易上限金额，由原审批的7.5亿美元上调至19亿美元。</w:t>
                  </w:r>
                </w:p>
                <w:p w14:paraId="04BD1A00" w14:textId="140E0D45" w:rsidR="00B201D3" w:rsidRDefault="009855E8">
                  <w:pPr>
                    <w:ind w:firstLineChars="200" w:firstLine="420"/>
                    <w:jc w:val="both"/>
                  </w:pPr>
                  <w:r>
                    <w:rPr>
                      <w:rFonts w:hint="eastAsia"/>
                    </w:rPr>
                    <w:t>2023年上半年，此项关联/关连交易发生金额约</w:t>
                  </w:r>
                  <w:r w:rsidR="002040C6">
                    <w:rPr>
                      <w:rFonts w:hint="eastAsia"/>
                    </w:rPr>
                    <w:t>4</w:t>
                  </w:r>
                  <w:r w:rsidR="002040C6">
                    <w:t>.85</w:t>
                  </w:r>
                  <w:r>
                    <w:rPr>
                      <w:rFonts w:hint="eastAsia"/>
                    </w:rPr>
                    <w:t>亿美元。</w:t>
                  </w:r>
                </w:p>
                <w:p w14:paraId="659B361C" w14:textId="77777777" w:rsidR="00B201D3" w:rsidRDefault="009855E8">
                  <w:pPr>
                    <w:ind w:firstLineChars="200" w:firstLine="420"/>
                    <w:jc w:val="both"/>
                  </w:pPr>
                  <w:r>
                    <w:rPr>
                      <w:rFonts w:hint="eastAsia"/>
                    </w:rPr>
                    <w:t>公司2021年2月5日召开的2021年度第一次临时股东大会，审议批准兖煤澳洲与嘉能可集团续期《煤炭购买框架协议》及其所限定交易在2021-2023年每年的交易上限金额。《煤炭购买</w:t>
                  </w:r>
                  <w:r>
                    <w:rPr>
                      <w:rFonts w:hint="eastAsia"/>
                    </w:rPr>
                    <w:lastRenderedPageBreak/>
                    <w:t>框架协议》项下采用的最终交易价格，是在公平磋商的基础上，按照正常商业条款，参照相关类型煤炭当时的市场价格而最终确定。交易款项支付时间由双方根据国际惯例及本协议所适用的法律法规来确定，在具体煤炭买卖协议中详细约定。</w:t>
                  </w:r>
                </w:p>
                <w:p w14:paraId="0E77AE49" w14:textId="33B7C9A0" w:rsidR="00B201D3" w:rsidRDefault="009855E8">
                  <w:pPr>
                    <w:ind w:firstLineChars="200" w:firstLine="420"/>
                    <w:jc w:val="both"/>
                  </w:pPr>
                  <w:r>
                    <w:rPr>
                      <w:rFonts w:hint="eastAsia"/>
                    </w:rPr>
                    <w:t>2023年本集团向嘉能可集团购买《煤炭购买框架协议》项下的煤炭的年度上限金额为2.5亿美元。2023年上半年，此项关联/关连交易发生金额约</w:t>
                  </w:r>
                  <w:r w:rsidR="002040C6">
                    <w:rPr>
                      <w:rFonts w:hint="eastAsia"/>
                    </w:rPr>
                    <w:t>0</w:t>
                  </w:r>
                  <w:r w:rsidR="002040C6">
                    <w:t>.29</w:t>
                  </w:r>
                  <w:r>
                    <w:rPr>
                      <w:rFonts w:hint="eastAsia"/>
                    </w:rPr>
                    <w:t>亿美元。</w:t>
                  </w:r>
                </w:p>
                <w:p w14:paraId="2065DF64" w14:textId="77777777" w:rsidR="00B201D3" w:rsidRDefault="009855E8">
                  <w:pPr>
                    <w:ind w:firstLineChars="200" w:firstLine="420"/>
                    <w:jc w:val="both"/>
                  </w:pPr>
                  <w:r>
                    <w:rPr>
                      <w:rFonts w:hint="eastAsia"/>
                    </w:rPr>
                    <w:t>③煤炭销售服务持续性关联/关连交易</w:t>
                  </w:r>
                </w:p>
                <w:p w14:paraId="7F37D3FE" w14:textId="77777777" w:rsidR="00B201D3" w:rsidRDefault="009855E8">
                  <w:pPr>
                    <w:ind w:firstLineChars="200" w:firstLine="420"/>
                    <w:jc w:val="both"/>
                  </w:pPr>
                  <w:r>
                    <w:rPr>
                      <w:rFonts w:hint="eastAsia"/>
                    </w:rPr>
                    <w:t>公司2021年2月5日召开的2021年度第一次临时股东大会，审议批准兖煤澳洲与嘉能可集团续签《HVO服务协议》及其所限定交易在2021-2023年每年的交易上限金额。根据该协议，兖煤澳洲附属公司亨特谷运营公司需向嘉能可支付：（i）其为亨特谷合资企业或亨特谷煤炭销售公司提供有关服务时所产生的所有成本、费用及开支；（ii）嘉能可提供有关服务时所产生的非现场所有成本、费用及开支（“一般费用”）。在确定一般费用时，按照公平合理的原则，参考嘉能可在执行没有特定地点的类似服务时所产生的所有成本、费用及开支。双方同意每月结束后，嘉能可向亨特谷运营公司提供月度发票，亨特谷运营公司必须在收到发票后的五个工作日内予以支付。</w:t>
                  </w:r>
                </w:p>
                <w:p w14:paraId="1BCCC138" w14:textId="3181E613" w:rsidR="00B201D3" w:rsidRDefault="009855E8">
                  <w:pPr>
                    <w:ind w:firstLineChars="200" w:firstLine="420"/>
                    <w:jc w:val="both"/>
                  </w:pPr>
                  <w:r>
                    <w:rPr>
                      <w:rFonts w:hint="eastAsia"/>
                    </w:rPr>
                    <w:t>2023年本集团向嘉能可购买服务的年度上限金额为1</w:t>
                  </w:r>
                  <w:r>
                    <w:rPr>
                      <w:rFonts w:hint="eastAsia"/>
                      <w:shd w:val="clear" w:color="auto" w:fill="FFFFFF"/>
                    </w:rPr>
                    <w:t>,</w:t>
                  </w:r>
                  <w:r>
                    <w:rPr>
                      <w:rFonts w:hint="eastAsia"/>
                    </w:rPr>
                    <w:t>800万美元。2023年上半年，此项关联/关连交易发生金额约</w:t>
                  </w:r>
                  <w:r w:rsidR="002040C6">
                    <w:rPr>
                      <w:rFonts w:hint="eastAsia"/>
                    </w:rPr>
                    <w:t>6</w:t>
                  </w:r>
                  <w:r w:rsidR="002040C6">
                    <w:t>02</w:t>
                  </w:r>
                  <w:r>
                    <w:rPr>
                      <w:rFonts w:hint="eastAsia"/>
                    </w:rPr>
                    <w:t>万美元。</w:t>
                  </w:r>
                </w:p>
                <w:p w14:paraId="191D4442" w14:textId="77777777" w:rsidR="00B201D3" w:rsidRDefault="00C8327E">
                  <w:pPr>
                    <w:ind w:firstLineChars="200" w:firstLine="420"/>
                    <w:jc w:val="both"/>
                  </w:pPr>
                </w:p>
              </w:sdtContent>
            </w:sdt>
          </w:sdtContent>
        </w:sdt>
      </w:sdtContent>
    </w:sdt>
    <w:sdt>
      <w:sdtPr>
        <w:rPr>
          <w:rFonts w:ascii="宋体" w:hAnsi="宋体" w:cs="宋体" w:hint="eastAsia"/>
          <w:b w:val="0"/>
          <w:bCs/>
          <w:kern w:val="0"/>
          <w:szCs w:val="22"/>
        </w:rPr>
        <w:alias w:val="模块:临时公告未披露的事项"/>
        <w:tag w:val="_SEC_227a4feb5cd045acb20f0e655bf26ea8"/>
        <w:id w:val="222726846"/>
        <w:lock w:val="sdtLocked"/>
        <w:placeholder>
          <w:docPart w:val="GBC22222222222222222222222222222"/>
        </w:placeholder>
      </w:sdtPr>
      <w:sdtEndPr>
        <w:rPr>
          <w:rFonts w:hint="default"/>
          <w:bCs w:val="0"/>
          <w:szCs w:val="21"/>
        </w:rPr>
      </w:sdtEndPr>
      <w:sdtContent>
        <w:p w14:paraId="12D05353" w14:textId="77777777" w:rsidR="00B201D3" w:rsidRDefault="009855E8">
          <w:pPr>
            <w:pStyle w:val="3899"/>
            <w:numPr>
              <w:ilvl w:val="2"/>
              <w:numId w:val="28"/>
            </w:numPr>
            <w:rPr>
              <w:rFonts w:ascii="宋体" w:hAnsi="宋体"/>
            </w:rPr>
          </w:pPr>
          <w:r>
            <w:rPr>
              <w:rFonts w:ascii="宋体" w:hAnsi="宋体" w:hint="eastAsia"/>
            </w:rPr>
            <w:t>临时公告未披露的事项</w:t>
          </w:r>
        </w:p>
        <w:sdt>
          <w:sdtPr>
            <w:alias w:val="是否适用：与日常经营相关的关联交易_临时公告未披露的事项[双击切换]"/>
            <w:tag w:val="_GBC_91ad548daaa84603a8faa6c0ce358499"/>
            <w:id w:val="1328322596"/>
            <w:lock w:val="sdtLocked"/>
            <w:placeholder>
              <w:docPart w:val="GBC22222222222222222222222222222"/>
            </w:placeholder>
          </w:sdtPr>
          <w:sdtEndPr/>
          <w:sdtContent>
            <w:p w14:paraId="5D19453B" w14:textId="77777777" w:rsidR="00B201D3" w:rsidRDefault="009855E8">
              <w:pPr>
                <w:pStyle w:val="390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2D81DD79" w14:textId="77777777" w:rsidR="00B201D3" w:rsidRDefault="009855E8">
      <w:pPr>
        <w:pStyle w:val="3900"/>
        <w:numPr>
          <w:ilvl w:val="2"/>
          <w:numId w:val="4"/>
        </w:numPr>
        <w:rPr>
          <w:rFonts w:ascii="宋体" w:hAnsi="宋体"/>
        </w:rPr>
      </w:pPr>
      <w:r>
        <w:rPr>
          <w:rFonts w:ascii="宋体" w:hAnsi="宋体"/>
        </w:rPr>
        <w:t>资产收购</w:t>
      </w:r>
      <w:r>
        <w:rPr>
          <w:rFonts w:ascii="宋体" w:hAnsi="宋体" w:hint="eastAsia"/>
        </w:rPr>
        <w:t>或股权收购</w:t>
      </w:r>
      <w:r>
        <w:rPr>
          <w:rFonts w:ascii="宋体" w:hAnsi="宋体"/>
        </w:rPr>
        <w:t>、出售发生的关联交易</w:t>
      </w:r>
    </w:p>
    <w:sdt>
      <w:sdtPr>
        <w:rPr>
          <w:rFonts w:ascii="宋体" w:hAnsi="宋体" w:cs="宋体"/>
          <w:b w:val="0"/>
          <w:bCs/>
          <w:kern w:val="0"/>
          <w:szCs w:val="22"/>
        </w:rPr>
        <w:alias w:val="模块:已在临时公告披露且后续实施无进展或变化的事项"/>
        <w:tag w:val="_SEC_bf9131838c5b421d81cb3165b3861506"/>
        <w:id w:val="-1327819463"/>
        <w:lock w:val="sdtLocked"/>
        <w:placeholder>
          <w:docPart w:val="GBC22222222222222222222222222222"/>
        </w:placeholder>
      </w:sdtPr>
      <w:sdtEndPr>
        <w:rPr>
          <w:bCs w:val="0"/>
          <w:szCs w:val="21"/>
        </w:rPr>
      </w:sdtEndPr>
      <w:sdtContent>
        <w:p w14:paraId="6A1A3A27" w14:textId="77777777" w:rsidR="00B201D3" w:rsidRDefault="009855E8">
          <w:pPr>
            <w:pStyle w:val="3899"/>
            <w:numPr>
              <w:ilvl w:val="0"/>
              <w:numId w:val="29"/>
            </w:numPr>
            <w:rPr>
              <w:rFonts w:ascii="宋体" w:hAnsi="宋体"/>
            </w:rPr>
          </w:pPr>
          <w:r>
            <w:rPr>
              <w:rFonts w:ascii="宋体" w:hAnsi="宋体"/>
            </w:rPr>
            <w:t>已在临时公告披露且后续实施无进展或变化的事项</w:t>
          </w:r>
        </w:p>
        <w:sdt>
          <w:sdtPr>
            <w:alias w:val="是否适用：已在临时公告披露且后续实施无进展或变化的事项_资产或股权收购、出售发生的关联交易[双击切换]"/>
            <w:tag w:val="_GBC_208b69178a984ade8f4f4dd7a3362ae3"/>
            <w:id w:val="-69500502"/>
            <w:lock w:val="sdtLocked"/>
            <w:placeholder>
              <w:docPart w:val="GBC22222222222222222222222222222"/>
            </w:placeholder>
          </w:sdtPr>
          <w:sdtEndPr/>
          <w:sdtContent>
            <w:p w14:paraId="0B35EA26" w14:textId="77777777" w:rsidR="00B201D3" w:rsidRDefault="009855E8">
              <w:pPr>
                <w:pStyle w:val="390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b w:val="0"/>
          <w:bCs/>
          <w:kern w:val="0"/>
          <w:szCs w:val="22"/>
        </w:rPr>
        <w:alias w:val="模块:已在临时公告披露，但有后续实施的进展或变化的事项"/>
        <w:tag w:val="_SEC_f9a57b14408248c4bc6881cfd0e81074"/>
        <w:id w:val="-40595357"/>
        <w:lock w:val="sdtLocked"/>
        <w:placeholder>
          <w:docPart w:val="GBC22222222222222222222222222222"/>
        </w:placeholder>
      </w:sdtPr>
      <w:sdtEndPr>
        <w:rPr>
          <w:rFonts w:hint="eastAsia"/>
          <w:bCs w:val="0"/>
          <w:szCs w:val="21"/>
        </w:rPr>
      </w:sdtEndPr>
      <w:sdtContent>
        <w:p w14:paraId="2E647093" w14:textId="77777777" w:rsidR="00B201D3" w:rsidRDefault="009855E8">
          <w:pPr>
            <w:pStyle w:val="3899"/>
            <w:numPr>
              <w:ilvl w:val="0"/>
              <w:numId w:val="29"/>
            </w:numPr>
            <w:rPr>
              <w:rFonts w:ascii="宋体" w:hAnsi="宋体"/>
            </w:rPr>
          </w:pPr>
          <w:r>
            <w:rPr>
              <w:rFonts w:ascii="宋体" w:hAnsi="宋体"/>
            </w:rPr>
            <w:t>已在临时公告披露，但有后续实施的进展或变化的事项</w:t>
          </w:r>
        </w:p>
        <w:sdt>
          <w:sdtPr>
            <w:alias w:val="是否适用：已在临时公告披露，但有后续实施的进展或变化的事项_资产或股权收购、出售发生的关联交易[双击切换]"/>
            <w:tag w:val="_GBC_b72de17637e74020b42aa0636b393f25"/>
            <w:id w:val="-2107727804"/>
            <w:lock w:val="sdtLocked"/>
            <w:placeholder>
              <w:docPart w:val="GBC22222222222222222222222222222"/>
            </w:placeholder>
          </w:sdtPr>
          <w:sdtEndPr/>
          <w:sdtContent>
            <w:p w14:paraId="5E3F76CA" w14:textId="77777777" w:rsidR="00B201D3" w:rsidRDefault="009855E8">
              <w:pPr>
                <w:pStyle w:val="390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Start w:id="84" w:name="_Hlk143186656" w:displacedByCustomXml="next"/>
        <w:sdt>
          <w:sdtPr>
            <w:rPr>
              <w:rFonts w:hint="eastAsia"/>
            </w:rPr>
            <w:alias w:val="资产收购、出售发生的关联交易事项已在临时报告披露，后续实施的进展或变化"/>
            <w:tag w:val="_GBC_0ff587dffeb441f7a9a643284ad60301"/>
            <w:id w:val="-633792392"/>
            <w:lock w:val="sdtLocked"/>
          </w:sdtPr>
          <w:sdtEndPr/>
          <w:sdtContent>
            <w:sdt>
              <w:sdtPr>
                <w:rPr>
                  <w:rFonts w:hint="eastAsia"/>
                </w:rPr>
                <w:alias w:val="资产收购、出售发生的关联交易事项已在临时报告披露，后续实施的进展或变化"/>
                <w:tag w:val="_GBC_8be6819282404c72b37e6b124c015b6a"/>
                <w:id w:val="-1142500202"/>
                <w:lock w:val="sdtLocked"/>
              </w:sdtPr>
              <w:sdtEndPr/>
              <w:sdtContent>
                <w:p w14:paraId="452E5BAC" w14:textId="628ED5CD" w:rsidR="00186317" w:rsidRPr="00186317" w:rsidRDefault="00186317" w:rsidP="00186317">
                  <w:pPr>
                    <w:ind w:firstLine="315"/>
                  </w:pPr>
                  <w:r>
                    <w:rPr>
                      <w:rFonts w:hint="eastAsia"/>
                    </w:rPr>
                    <w:t>（1）兖矿财司与山能财司合并重组的关联/关连交易</w:t>
                  </w:r>
                </w:p>
                <w:p w14:paraId="43BD16D9" w14:textId="2461C2F0" w:rsidR="00B201D3" w:rsidRDefault="00186317" w:rsidP="006C3C03">
                  <w:pPr>
                    <w:ind w:firstLineChars="200" w:firstLine="420"/>
                    <w:jc w:val="both"/>
                  </w:pPr>
                  <w:r>
                    <w:rPr>
                      <w:rFonts w:hint="eastAsia"/>
                    </w:rPr>
                    <w:t>经公司2022年10月28日召开的2022年度第二次临时股东大会讨论审议，批准兖矿财司与山能财司（山东能源的附属公司）合并重组，合并完成后，兖矿财司注销、山能财司存续，公司将成为合并后的山能财司（“新山能财司”）的控股股东；批准新山能财司分别与兖矿能源、山东能源签署《金融服务协议》，及其所限定交易于2023-2025年度的交易上限金额，该协议生效后，现行的《金融服务协议》将予以废止。</w:t>
                  </w:r>
                </w:p>
                <w:p w14:paraId="48225926" w14:textId="5582D502" w:rsidR="00B201D3" w:rsidRDefault="009855E8" w:rsidP="006C3C03">
                  <w:pPr>
                    <w:ind w:firstLineChars="200" w:firstLine="420"/>
                    <w:jc w:val="both"/>
                  </w:pPr>
                  <w:r>
                    <w:rPr>
                      <w:rFonts w:hint="eastAsia"/>
                    </w:rPr>
                    <w:t>截至本报告披露日，上述合并重组事项已获得金融监管机构批准，正</w:t>
                  </w:r>
                  <w:r w:rsidR="00D56784">
                    <w:rPr>
                      <w:rFonts w:hint="eastAsia"/>
                    </w:rPr>
                    <w:t>在</w:t>
                  </w:r>
                  <w:r>
                    <w:rPr>
                      <w:rFonts w:hint="eastAsia"/>
                    </w:rPr>
                    <w:t>履行有关手续。</w:t>
                  </w:r>
                </w:p>
                <w:p w14:paraId="68C2EA3B" w14:textId="77777777" w:rsidR="00B201D3" w:rsidRDefault="009855E8" w:rsidP="006C3C03">
                  <w:pPr>
                    <w:ind w:firstLineChars="200" w:firstLine="420"/>
                    <w:jc w:val="both"/>
                  </w:pPr>
                  <w:r>
                    <w:rPr>
                      <w:rFonts w:hint="eastAsia"/>
                    </w:rPr>
                    <w:t>有关详情请见日期为2022年8月26日的公司第八届董事会第二十四次会议决议公告、关于兖矿财司拟与山能财司合并重组的关联交易公告、新山能财司拟分别与兖矿能源和山东能源开展金融服务持续性关联交易的公告、日期为2</w:t>
                  </w:r>
                  <w:r>
                    <w:t>022</w:t>
                  </w:r>
                  <w:r>
                    <w:rPr>
                      <w:rFonts w:hint="eastAsia"/>
                    </w:rPr>
                    <w:t>年1</w:t>
                  </w:r>
                  <w:r>
                    <w:t>0</w:t>
                  </w:r>
                  <w:r>
                    <w:rPr>
                      <w:rFonts w:hint="eastAsia"/>
                    </w:rPr>
                    <w:t>月1</w:t>
                  </w:r>
                  <w:r>
                    <w:t>2</w:t>
                  </w:r>
                  <w:r>
                    <w:rPr>
                      <w:rFonts w:hint="eastAsia"/>
                    </w:rPr>
                    <w:t>日的H股通函以及日期为2022年10月28日的2022年度第二次临时股东大会决议公告。该等资料载于上交所网站、香港联交所网站、公司网站及/或中国境内《中国证券报》《上海证券报》《证券时报》《证券日报》。</w:t>
                  </w:r>
                </w:p>
                <w:p w14:paraId="18A0DB10" w14:textId="77777777" w:rsidR="00B201D3" w:rsidRDefault="009855E8">
                  <w:pPr>
                    <w:ind w:firstLineChars="150" w:firstLine="315"/>
                    <w:jc w:val="both"/>
                    <w:rPr>
                      <w:shd w:val="clear" w:color="auto" w:fill="FFFFFF"/>
                    </w:rPr>
                  </w:pPr>
                  <w:r>
                    <w:rPr>
                      <w:rFonts w:hint="eastAsia"/>
                    </w:rPr>
                    <w:t>（2）收购鲁西矿业51%股权和新疆能化51%股权</w:t>
                  </w:r>
                </w:p>
                <w:p w14:paraId="6E00B16D" w14:textId="77777777" w:rsidR="00B201D3" w:rsidRDefault="009855E8">
                  <w:pPr>
                    <w:ind w:firstLineChars="196" w:firstLine="412"/>
                    <w:jc w:val="both"/>
                    <w:rPr>
                      <w:shd w:val="clear" w:color="auto" w:fill="FFFFFF"/>
                    </w:rPr>
                  </w:pPr>
                  <w:r>
                    <w:rPr>
                      <w:rFonts w:hint="eastAsia"/>
                      <w:shd w:val="clear" w:color="auto" w:fill="FFFFFF"/>
                    </w:rPr>
                    <w:t>经公司2023年6月30日召开的2022年度股东周年大会讨论审议，批准公司与新汶矿业集团有限责任公司（“新矿集团”）、龙口矿业集团有限公司、淄博矿业集团有限责任公司、肥城肥矿煤业有限公司、临沂矿业集团有限责任公司签署股权转让协议，以约1</w:t>
                  </w:r>
                  <w:r>
                    <w:rPr>
                      <w:shd w:val="clear" w:color="auto" w:fill="FFFFFF"/>
                    </w:rPr>
                    <w:t>83</w:t>
                  </w:r>
                  <w:r>
                    <w:rPr>
                      <w:rFonts w:hint="eastAsia"/>
                      <w:shd w:val="clear" w:color="auto" w:fill="FFFFFF"/>
                    </w:rPr>
                    <w:t>亿元收购鲁西矿业51%股权；与新矿集团、山东能源签署股权转让协议，以约8</w:t>
                  </w:r>
                  <w:r>
                    <w:rPr>
                      <w:shd w:val="clear" w:color="auto" w:fill="FFFFFF"/>
                    </w:rPr>
                    <w:t>1</w:t>
                  </w:r>
                  <w:r>
                    <w:rPr>
                      <w:rFonts w:hint="eastAsia"/>
                      <w:shd w:val="clear" w:color="auto" w:fill="FFFFFF"/>
                    </w:rPr>
                    <w:t>亿元收购新疆能化51%股权。</w:t>
                  </w:r>
                </w:p>
                <w:p w14:paraId="2BA3A0C7" w14:textId="77777777" w:rsidR="00B201D3" w:rsidRDefault="009855E8">
                  <w:pPr>
                    <w:ind w:firstLineChars="196" w:firstLine="412"/>
                    <w:jc w:val="both"/>
                    <w:rPr>
                      <w:shd w:val="clear" w:color="auto" w:fill="FFFFFF"/>
                    </w:rPr>
                  </w:pPr>
                  <w:r>
                    <w:rPr>
                      <w:rFonts w:hint="eastAsia"/>
                      <w:shd w:val="clear" w:color="auto" w:fill="FFFFFF"/>
                    </w:rPr>
                    <w:t>截至本报告披露日，上述交易正在推进股权交割事项。</w:t>
                  </w:r>
                  <w:bookmarkEnd w:id="84"/>
                </w:p>
                <w:p w14:paraId="3F5BC7A3" w14:textId="73635BF4" w:rsidR="00B201D3" w:rsidRDefault="009855E8">
                  <w:pPr>
                    <w:ind w:firstLineChars="200" w:firstLine="420"/>
                    <w:jc w:val="both"/>
                  </w:pPr>
                  <w:r>
                    <w:rPr>
                      <w:rFonts w:hint="eastAsia"/>
                    </w:rPr>
                    <w:t>有关详情请见日期为2023年4月28日的公司第八届董事会第二十九次会议决议公告、关联交易公告、日期为2</w:t>
                  </w:r>
                  <w:r>
                    <w:t>023</w:t>
                  </w:r>
                  <w:r>
                    <w:rPr>
                      <w:rFonts w:hint="eastAsia"/>
                    </w:rPr>
                    <w:t>年6月9日的H股通函、日期为2023年6月15日的关联交易进展公告以及日期为2023年6月30日的2022年度股东周年大会决议公告。该等资料载于上交所网站、香港联交所网站、公司网站及/或中国境内《中国证券报》《上海证券报》《证券时报》《证券日报》。</w:t>
                  </w:r>
                </w:p>
              </w:sdtContent>
            </w:sdt>
          </w:sdtContent>
        </w:sdt>
        <w:p w14:paraId="3F068DC9" w14:textId="77777777" w:rsidR="00B201D3" w:rsidRDefault="00C8327E">
          <w:pPr>
            <w:pStyle w:val="3903"/>
          </w:pPr>
        </w:p>
      </w:sdtContent>
    </w:sdt>
    <w:sdt>
      <w:sdtPr>
        <w:rPr>
          <w:rFonts w:ascii="宋体" w:hAnsi="宋体" w:cs="宋体"/>
          <w:b w:val="0"/>
          <w:bCs/>
          <w:kern w:val="0"/>
          <w:szCs w:val="22"/>
        </w:rPr>
        <w:alias w:val="模块:临时公告未披露的事项"/>
        <w:tag w:val="_SEC_a7b4eef2f39c4550974e81ee8caca798"/>
        <w:id w:val="869958792"/>
        <w:lock w:val="sdtLocked"/>
        <w:placeholder>
          <w:docPart w:val="GBC22222222222222222222222222222"/>
        </w:placeholder>
      </w:sdtPr>
      <w:sdtEndPr>
        <w:rPr>
          <w:rFonts w:hint="eastAsia"/>
          <w:bCs w:val="0"/>
          <w:szCs w:val="21"/>
        </w:rPr>
      </w:sdtEndPr>
      <w:sdtContent>
        <w:p w14:paraId="797A1C20" w14:textId="77777777" w:rsidR="00B201D3" w:rsidRDefault="009855E8">
          <w:pPr>
            <w:pStyle w:val="3899"/>
            <w:numPr>
              <w:ilvl w:val="0"/>
              <w:numId w:val="29"/>
            </w:numPr>
            <w:rPr>
              <w:rFonts w:ascii="宋体" w:hAnsi="宋体"/>
              <w:szCs w:val="32"/>
            </w:rPr>
          </w:pPr>
          <w:r>
            <w:rPr>
              <w:rFonts w:ascii="宋体" w:hAnsi="宋体"/>
              <w:szCs w:val="32"/>
            </w:rPr>
            <w:t>临时公告未披露的事项</w:t>
          </w:r>
        </w:p>
        <w:sdt>
          <w:sdtPr>
            <w:alias w:val="是否适用：资产收购、出售发生的关联交易_临时公告未披露的事项[双击切换]"/>
            <w:tag w:val="_GBC_d3f1f3f5ce564209aee49197432643af"/>
            <w:id w:val="2105614291"/>
            <w:lock w:val="sdtLocked"/>
            <w:placeholder>
              <w:docPart w:val="GBC22222222222222222222222222222"/>
            </w:placeholder>
          </w:sdtPr>
          <w:sdtEndPr/>
          <w:sdtContent>
            <w:p w14:paraId="5C95FC19" w14:textId="77777777" w:rsidR="00B201D3" w:rsidRDefault="009855E8">
              <w:pPr>
                <w:pStyle w:val="390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b w:val="0"/>
          <w:bCs/>
          <w:kern w:val="0"/>
          <w:szCs w:val="24"/>
        </w:rPr>
        <w:alias w:val="模块:涉及业绩约定的，应当披露报告期内的业绩实现情况"/>
        <w:tag w:val="_SEC_e17a03ced9e54c92b773a7e185d85bd3"/>
        <w:id w:val="-1841917300"/>
        <w:lock w:val="sdtLocked"/>
        <w:placeholder>
          <w:docPart w:val="GBC22222222222222222222222222222"/>
        </w:placeholder>
      </w:sdtPr>
      <w:sdtEndPr>
        <w:rPr>
          <w:bCs w:val="0"/>
          <w:szCs w:val="21"/>
        </w:rPr>
      </w:sdtEndPr>
      <w:sdtContent>
        <w:p w14:paraId="00F52A52" w14:textId="77777777" w:rsidR="00B201D3" w:rsidRDefault="009855E8">
          <w:pPr>
            <w:pStyle w:val="3899"/>
            <w:numPr>
              <w:ilvl w:val="0"/>
              <w:numId w:val="29"/>
            </w:numPr>
            <w:rPr>
              <w:rFonts w:ascii="宋体" w:hAnsi="宋体"/>
            </w:rPr>
          </w:pPr>
          <w:r>
            <w:rPr>
              <w:rFonts w:ascii="宋体" w:hAnsi="宋体"/>
            </w:rPr>
            <w:t>涉及业绩约定的，应当披露报告期内的业绩实现情况</w:t>
          </w:r>
        </w:p>
        <w:sdt>
          <w:sdtPr>
            <w:alias w:val="是否适用：涉及业绩约定的，应当披露报告期内的业绩实现情况[双击切换]"/>
            <w:tag w:val="_GBC_0640a8fc3526461ca1eed7810b087c23"/>
            <w:id w:val="-1072046088"/>
            <w:lock w:val="sdtLocked"/>
            <w:placeholder>
              <w:docPart w:val="GBC22222222222222222222222222222"/>
            </w:placeholder>
          </w:sdtPr>
          <w:sdtEndPr/>
          <w:sdtContent>
            <w:p w14:paraId="58653A18" w14:textId="77777777" w:rsidR="00B201D3" w:rsidRDefault="009855E8">
              <w:pPr>
                <w:pStyle w:val="390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3E728E4D" w14:textId="77777777" w:rsidR="00B201D3" w:rsidRDefault="009855E8">
      <w:pPr>
        <w:pStyle w:val="3900"/>
        <w:numPr>
          <w:ilvl w:val="2"/>
          <w:numId w:val="4"/>
        </w:numPr>
        <w:rPr>
          <w:rFonts w:ascii="宋体" w:hAnsi="宋体"/>
        </w:rPr>
      </w:pPr>
      <w:r>
        <w:rPr>
          <w:rFonts w:ascii="宋体" w:hAnsi="宋体"/>
        </w:rPr>
        <w:t>共同对外投资的重大关联交易</w:t>
      </w:r>
    </w:p>
    <w:sdt>
      <w:sdtPr>
        <w:rPr>
          <w:rFonts w:ascii="宋体" w:hAnsi="宋体" w:cs="宋体"/>
          <w:b w:val="0"/>
          <w:bCs/>
          <w:kern w:val="0"/>
          <w:szCs w:val="22"/>
        </w:rPr>
        <w:alias w:val="模块:已在临时公告披露且后续实施无进展或变化的事项"/>
        <w:tag w:val="_SEC_d9e67609bdab489e985efba8758860bd"/>
        <w:id w:val="1704525950"/>
        <w:lock w:val="sdtLocked"/>
        <w:placeholder>
          <w:docPart w:val="GBC22222222222222222222222222222"/>
        </w:placeholder>
      </w:sdtPr>
      <w:sdtEndPr>
        <w:rPr>
          <w:bCs w:val="0"/>
          <w:szCs w:val="21"/>
        </w:rPr>
      </w:sdtEndPr>
      <w:sdtContent>
        <w:p w14:paraId="4BC9EE46" w14:textId="77777777" w:rsidR="00B201D3" w:rsidRDefault="009855E8">
          <w:pPr>
            <w:pStyle w:val="3899"/>
            <w:numPr>
              <w:ilvl w:val="0"/>
              <w:numId w:val="30"/>
            </w:numPr>
            <w:rPr>
              <w:rFonts w:ascii="宋体" w:hAnsi="宋体"/>
            </w:rPr>
          </w:pPr>
          <w:r>
            <w:rPr>
              <w:rFonts w:ascii="宋体" w:hAnsi="宋体"/>
            </w:rPr>
            <w:t>已在临时公告披露且后续实施无进展或变化的事项</w:t>
          </w:r>
        </w:p>
        <w:sdt>
          <w:sdtPr>
            <w:alias w:val="是否适用：已在临时公告披露且后续实施无进展或变化的事项_共同对外投资的重大关联交易[双击切换]"/>
            <w:tag w:val="_GBC_dda9192a67f44f8698afb5d0b3e3c767"/>
            <w:id w:val="1632741916"/>
            <w:lock w:val="sdtLocked"/>
            <w:placeholder>
              <w:docPart w:val="GBC22222222222222222222222222222"/>
            </w:placeholder>
          </w:sdtPr>
          <w:sdtEndPr/>
          <w:sdtContent>
            <w:p w14:paraId="1CC6C627" w14:textId="77777777" w:rsidR="00B201D3" w:rsidRDefault="009855E8">
              <w:pPr>
                <w:pStyle w:val="390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b w:val="0"/>
          <w:bCs/>
          <w:kern w:val="0"/>
          <w:szCs w:val="22"/>
        </w:rPr>
        <w:alias w:val="模块:已在临时公告披露，但有后续实施的进展或变化的事项"/>
        <w:tag w:val="_SEC_53e4f8cd2c114fb1a1c9d74236ebd2fc"/>
        <w:id w:val="1077252915"/>
        <w:lock w:val="sdtLocked"/>
        <w:placeholder>
          <w:docPart w:val="GBC22222222222222222222222222222"/>
        </w:placeholder>
      </w:sdtPr>
      <w:sdtEndPr>
        <w:rPr>
          <w:rFonts w:hint="eastAsia"/>
          <w:bCs w:val="0"/>
          <w:szCs w:val="21"/>
        </w:rPr>
      </w:sdtEndPr>
      <w:sdtContent>
        <w:p w14:paraId="10AC8E07" w14:textId="77777777" w:rsidR="00B201D3" w:rsidRDefault="009855E8">
          <w:pPr>
            <w:pStyle w:val="3899"/>
            <w:numPr>
              <w:ilvl w:val="0"/>
              <w:numId w:val="30"/>
            </w:numPr>
            <w:rPr>
              <w:rFonts w:ascii="宋体" w:hAnsi="宋体"/>
            </w:rPr>
          </w:pPr>
          <w:r>
            <w:rPr>
              <w:rFonts w:ascii="宋体" w:hAnsi="宋体"/>
            </w:rPr>
            <w:t>已在临时公告披露，但有后续实施的进展或变化的事项</w:t>
          </w:r>
        </w:p>
        <w:sdt>
          <w:sdtPr>
            <w:alias w:val="是否适用：已在临时公告披露，但有后续实施的进展或变化的事项_共同对外投资的重大关联交易[双击切换]"/>
            <w:tag w:val="_GBC_f5354c189ecd4cad9ef1e263c325c0db"/>
            <w:id w:val="924374195"/>
            <w:lock w:val="sdtLocked"/>
            <w:placeholder>
              <w:docPart w:val="GBC22222222222222222222222222222"/>
            </w:placeholder>
          </w:sdtPr>
          <w:sdtEndPr/>
          <w:sdtContent>
            <w:p w14:paraId="46D15D70" w14:textId="77777777" w:rsidR="00B201D3" w:rsidRDefault="009855E8">
              <w:pPr>
                <w:pStyle w:val="390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b w:val="0"/>
          <w:bCs/>
          <w:kern w:val="0"/>
          <w:szCs w:val="22"/>
        </w:rPr>
        <w:alias w:val="模块:临时公告未披露的事项"/>
        <w:tag w:val="_SEC_25e347f9cbc546cbafdf30522b654328"/>
        <w:id w:val="-319194672"/>
        <w:lock w:val="sdtLocked"/>
        <w:placeholder>
          <w:docPart w:val="GBC22222222222222222222222222222"/>
        </w:placeholder>
      </w:sdtPr>
      <w:sdtEndPr>
        <w:rPr>
          <w:rFonts w:hint="eastAsia"/>
          <w:bCs w:val="0"/>
          <w:szCs w:val="21"/>
        </w:rPr>
      </w:sdtEndPr>
      <w:sdtContent>
        <w:p w14:paraId="68FA62AF" w14:textId="77777777" w:rsidR="00B201D3" w:rsidRDefault="009855E8">
          <w:pPr>
            <w:pStyle w:val="3899"/>
            <w:numPr>
              <w:ilvl w:val="0"/>
              <w:numId w:val="30"/>
            </w:numPr>
            <w:rPr>
              <w:rFonts w:ascii="宋体" w:hAnsi="宋体"/>
            </w:rPr>
          </w:pPr>
          <w:r>
            <w:rPr>
              <w:rFonts w:ascii="宋体" w:hAnsi="宋体"/>
            </w:rPr>
            <w:t>临时公告未披露的事项</w:t>
          </w:r>
        </w:p>
        <w:sdt>
          <w:sdtPr>
            <w:rPr>
              <w:rFonts w:hint="eastAsia"/>
            </w:rPr>
            <w:alias w:val="是否适用：共同对外投资的重大关联交易_临时公告未披露的事项[双击切换]"/>
            <w:tag w:val="_GBC_3ac28148c3754202ba544078ad581a24"/>
            <w:id w:val="1994526539"/>
            <w:lock w:val="sdtLocked"/>
            <w:placeholder>
              <w:docPart w:val="GBC22222222222222222222222222222"/>
            </w:placeholder>
          </w:sdtPr>
          <w:sdtEndPr/>
          <w:sdtContent>
            <w:p w14:paraId="68A8BAF9" w14:textId="77777777" w:rsidR="00B201D3" w:rsidRDefault="009855E8">
              <w:pPr>
                <w:pStyle w:val="390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2C19D5C6" w14:textId="77777777" w:rsidR="00B201D3" w:rsidRDefault="009855E8">
      <w:pPr>
        <w:pStyle w:val="3900"/>
        <w:numPr>
          <w:ilvl w:val="2"/>
          <w:numId w:val="4"/>
        </w:numPr>
        <w:rPr>
          <w:rFonts w:ascii="宋体" w:hAnsi="宋体"/>
        </w:rPr>
      </w:pPr>
      <w:r>
        <w:rPr>
          <w:rFonts w:ascii="宋体" w:hAnsi="宋体" w:hint="eastAsia"/>
        </w:rPr>
        <w:t>关联债权债务往来</w:t>
      </w:r>
    </w:p>
    <w:sdt>
      <w:sdtPr>
        <w:rPr>
          <w:rFonts w:ascii="宋体" w:hAnsi="宋体" w:cs="宋体"/>
          <w:b w:val="0"/>
          <w:bCs/>
          <w:kern w:val="0"/>
          <w:szCs w:val="22"/>
        </w:rPr>
        <w:alias w:val="模块:已在临时公告披露且后续实施无进展或变化的事项"/>
        <w:tag w:val="_SEC_2fd4e717dd2949d2b4b4fb580dfce32a"/>
        <w:id w:val="1600676804"/>
        <w:lock w:val="sdtLocked"/>
        <w:placeholder>
          <w:docPart w:val="GBC22222222222222222222222222222"/>
        </w:placeholder>
      </w:sdtPr>
      <w:sdtEndPr>
        <w:rPr>
          <w:bCs w:val="0"/>
          <w:szCs w:val="21"/>
        </w:rPr>
      </w:sdtEndPr>
      <w:sdtContent>
        <w:p w14:paraId="762AD54F" w14:textId="77777777" w:rsidR="00B201D3" w:rsidRDefault="009855E8">
          <w:pPr>
            <w:pStyle w:val="3899"/>
            <w:numPr>
              <w:ilvl w:val="0"/>
              <w:numId w:val="31"/>
            </w:numPr>
            <w:rPr>
              <w:rFonts w:ascii="宋体" w:hAnsi="宋体"/>
            </w:rPr>
          </w:pPr>
          <w:r>
            <w:rPr>
              <w:rFonts w:ascii="宋体" w:hAnsi="宋体"/>
            </w:rPr>
            <w:t>已在临时公告披露且后续实施无进展或变化的事项</w:t>
          </w:r>
        </w:p>
        <w:sdt>
          <w:sdtPr>
            <w:alias w:val="是否适用：已在临时公告披露且后续实施无进展或变化的事项_关联债权债务往来[双击切换]"/>
            <w:tag w:val="_GBC_480ccdae6247445ca78cf6327eb0e24f"/>
            <w:id w:val="1905566509"/>
            <w:lock w:val="sdtLocked"/>
            <w:placeholder>
              <w:docPart w:val="GBC22222222222222222222222222222"/>
            </w:placeholder>
          </w:sdtPr>
          <w:sdtEndPr/>
          <w:sdtContent>
            <w:p w14:paraId="6446235F" w14:textId="77777777" w:rsidR="00B201D3" w:rsidRDefault="009855E8">
              <w:pPr>
                <w:pStyle w:val="390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b w:val="0"/>
          <w:bCs/>
          <w:kern w:val="0"/>
          <w:szCs w:val="22"/>
        </w:rPr>
        <w:alias w:val="模块:已在临时公告披露，但有后续实施的进展或变化的事项"/>
        <w:tag w:val="_SEC_dcb3650518df4296931e576a9d6fdaf3"/>
        <w:id w:val="-1665619842"/>
        <w:lock w:val="sdtLocked"/>
        <w:placeholder>
          <w:docPart w:val="GBC22222222222222222222222222222"/>
        </w:placeholder>
      </w:sdtPr>
      <w:sdtEndPr>
        <w:rPr>
          <w:rFonts w:hint="eastAsia"/>
          <w:bCs w:val="0"/>
          <w:szCs w:val="21"/>
        </w:rPr>
      </w:sdtEndPr>
      <w:sdtContent>
        <w:p w14:paraId="71C7CE19" w14:textId="77777777" w:rsidR="00B201D3" w:rsidRDefault="009855E8">
          <w:pPr>
            <w:pStyle w:val="3899"/>
            <w:numPr>
              <w:ilvl w:val="0"/>
              <w:numId w:val="31"/>
            </w:numPr>
            <w:rPr>
              <w:rFonts w:ascii="宋体" w:hAnsi="宋体"/>
            </w:rPr>
          </w:pPr>
          <w:r>
            <w:rPr>
              <w:rFonts w:ascii="宋体" w:hAnsi="宋体"/>
            </w:rPr>
            <w:t>已在临时公告披露，但有后续实施的进展或变化的事项</w:t>
          </w:r>
        </w:p>
        <w:sdt>
          <w:sdtPr>
            <w:alias w:val="是否适用：已在临时公告披露，但有后续实施的进展或变化的事项_关联债权债务往来[双击切换]"/>
            <w:tag w:val="_GBC_06dcfbbd6aed49aa878ab07a09b2270b"/>
            <w:id w:val="-1411767742"/>
            <w:lock w:val="sdtLocked"/>
            <w:placeholder>
              <w:docPart w:val="GBC22222222222222222222222222222"/>
            </w:placeholder>
          </w:sdtPr>
          <w:sdtEndPr/>
          <w:sdtContent>
            <w:p w14:paraId="193A8614" w14:textId="77777777" w:rsidR="00B201D3" w:rsidRDefault="009855E8">
              <w:pPr>
                <w:pStyle w:val="390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kern w:val="0"/>
          <w:szCs w:val="22"/>
        </w:rPr>
        <w:alias w:val="模块:临时公告未披露的事项"/>
        <w:tag w:val="_SEC_da19abf815bb4e3a97fcb901c6225551"/>
        <w:id w:val="260493373"/>
        <w:lock w:val="sdtLocked"/>
        <w:placeholder>
          <w:docPart w:val="GBC22222222222222222222222222222"/>
        </w:placeholder>
      </w:sdtPr>
      <w:sdtEndPr>
        <w:rPr>
          <w:bCs w:val="0"/>
          <w:szCs w:val="21"/>
        </w:rPr>
      </w:sdtEndPr>
      <w:sdtContent>
        <w:p w14:paraId="75365D71" w14:textId="77777777" w:rsidR="00B201D3" w:rsidRDefault="009855E8">
          <w:pPr>
            <w:pStyle w:val="3899"/>
            <w:numPr>
              <w:ilvl w:val="0"/>
              <w:numId w:val="31"/>
            </w:numPr>
            <w:rPr>
              <w:rFonts w:ascii="宋体" w:hAnsi="宋体"/>
            </w:rPr>
          </w:pPr>
          <w:r>
            <w:rPr>
              <w:rFonts w:ascii="宋体" w:hAnsi="宋体" w:hint="eastAsia"/>
            </w:rPr>
            <w:t>临时公告未披露的事项</w:t>
          </w:r>
        </w:p>
        <w:sdt>
          <w:sdtPr>
            <w:alias w:val="是否适用：关联债权债务往来_临时公告未披露的事项[双击切换]"/>
            <w:tag w:val="_GBC_0f4a6802ca704b49a413888379a91f0b"/>
            <w:id w:val="1597441565"/>
            <w:lock w:val="sdtLocked"/>
            <w:placeholder>
              <w:docPart w:val="GBC22222222222222222222222222222"/>
            </w:placeholder>
          </w:sdtPr>
          <w:sdtEndPr/>
          <w:sdtContent>
            <w:p w14:paraId="41ABB063" w14:textId="77777777" w:rsidR="00B201D3" w:rsidRDefault="009855E8">
              <w:pPr>
                <w:pStyle w:val="390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p w14:paraId="729A9503" w14:textId="77777777" w:rsidR="00B201D3" w:rsidRDefault="00C8327E">
              <w:pPr>
                <w:pStyle w:val="3903"/>
              </w:pPr>
            </w:p>
          </w:sdtContent>
        </w:sdt>
        <w:p w14:paraId="2F538622" w14:textId="1976197E" w:rsidR="00B201D3" w:rsidRDefault="009855E8">
          <w:pPr>
            <w:jc w:val="right"/>
          </w:pPr>
          <w:r>
            <w:rPr>
              <w:rFonts w:hint="eastAsia"/>
            </w:rPr>
            <w:t>单位：</w:t>
          </w:r>
          <w:sdt>
            <w:sdtPr>
              <w:rPr>
                <w:rFonts w:hint="eastAsia"/>
              </w:rPr>
              <w:alias w:val="单位：关联债权债务往来"/>
              <w:tag w:val="_GBC_3d4746bf1eac4cb78b4d5e8f638c58a7"/>
              <w:id w:val="-1107418969"/>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F46283">
                <w:rPr>
                  <w:rFonts w:hint="eastAsia"/>
                </w:rPr>
                <w:t>亿元</w:t>
              </w:r>
            </w:sdtContent>
          </w:sdt>
          <w:r>
            <w:rPr>
              <w:rFonts w:hint="eastAsia"/>
            </w:rPr>
            <w:t xml:space="preserve">  币种：</w:t>
          </w:r>
          <w:sdt>
            <w:sdtPr>
              <w:rPr>
                <w:rFonts w:hint="eastAsia"/>
              </w:rPr>
              <w:alias w:val="币种：关联债权债务往来"/>
              <w:tag w:val="_GBC_5091a378d0114c298e9441456458f056"/>
              <w:id w:val="10932872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46283">
                <w:rPr>
                  <w:rFonts w:hint="eastAsia"/>
                </w:rPr>
                <w:t>人民币</w:t>
              </w:r>
            </w:sdtContent>
          </w:sdt>
        </w:p>
        <w:tbl>
          <w:tblPr>
            <w:tblStyle w:val="g1"/>
            <w:tblW w:w="5197"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1415"/>
            <w:gridCol w:w="1427"/>
            <w:gridCol w:w="1126"/>
            <w:gridCol w:w="985"/>
            <w:gridCol w:w="1126"/>
            <w:gridCol w:w="1124"/>
            <w:gridCol w:w="939"/>
            <w:gridCol w:w="1029"/>
          </w:tblGrid>
          <w:tr w:rsidR="00B201D3" w14:paraId="7E5F9BDB" w14:textId="77777777">
            <w:sdt>
              <w:sdtPr>
                <w:tag w:val="_PLD_a03ab7dba8d64a3988ed93cc7ea7faec"/>
                <w:id w:val="239152839"/>
                <w:lock w:val="sdtLocked"/>
              </w:sdtPr>
              <w:sdtEndPr/>
              <w:sdtContent>
                <w:tc>
                  <w:tcPr>
                    <w:tcW w:w="771" w:type="pct"/>
                    <w:vMerge w:val="restart"/>
                    <w:shd w:val="clear" w:color="auto" w:fill="auto"/>
                    <w:vAlign w:val="center"/>
                  </w:tcPr>
                  <w:p w14:paraId="324D8B83" w14:textId="77777777" w:rsidR="00B201D3" w:rsidRDefault="009855E8">
                    <w:pPr>
                      <w:autoSpaceDE w:val="0"/>
                      <w:autoSpaceDN w:val="0"/>
                      <w:adjustRightInd w:val="0"/>
                      <w:jc w:val="center"/>
                    </w:pPr>
                    <w:r>
                      <w:rPr>
                        <w:rFonts w:hint="eastAsia"/>
                      </w:rPr>
                      <w:t>关联方</w:t>
                    </w:r>
                  </w:p>
                </w:tc>
              </w:sdtContent>
            </w:sdt>
            <w:sdt>
              <w:sdtPr>
                <w:tag w:val="_PLD_fd7d9e6d29544e1f819ac61e5ffc7800"/>
                <w:id w:val="-470909035"/>
                <w:lock w:val="sdtLocked"/>
              </w:sdtPr>
              <w:sdtEndPr/>
              <w:sdtContent>
                <w:tc>
                  <w:tcPr>
                    <w:tcW w:w="778" w:type="pct"/>
                    <w:vMerge w:val="restart"/>
                    <w:shd w:val="clear" w:color="auto" w:fill="auto"/>
                    <w:vAlign w:val="center"/>
                  </w:tcPr>
                  <w:p w14:paraId="63EDED2A" w14:textId="77777777" w:rsidR="00B201D3" w:rsidRDefault="009855E8">
                    <w:pPr>
                      <w:autoSpaceDE w:val="0"/>
                      <w:autoSpaceDN w:val="0"/>
                      <w:adjustRightInd w:val="0"/>
                      <w:jc w:val="center"/>
                    </w:pPr>
                    <w:r>
                      <w:rPr>
                        <w:rFonts w:hint="eastAsia"/>
                      </w:rPr>
                      <w:t>关联关系</w:t>
                    </w:r>
                  </w:p>
                </w:tc>
              </w:sdtContent>
            </w:sdt>
            <w:sdt>
              <w:sdtPr>
                <w:tag w:val="_PLD_ab475f26ae1346059edb39a2aa01b7a0"/>
                <w:id w:val="-528795512"/>
                <w:lock w:val="sdtLocked"/>
              </w:sdtPr>
              <w:sdtEndPr/>
              <w:sdtContent>
                <w:tc>
                  <w:tcPr>
                    <w:tcW w:w="1765" w:type="pct"/>
                    <w:gridSpan w:val="3"/>
                    <w:shd w:val="clear" w:color="auto" w:fill="auto"/>
                    <w:vAlign w:val="center"/>
                  </w:tcPr>
                  <w:p w14:paraId="39B05686" w14:textId="77777777" w:rsidR="00B201D3" w:rsidRDefault="009855E8">
                    <w:pPr>
                      <w:autoSpaceDE w:val="0"/>
                      <w:autoSpaceDN w:val="0"/>
                      <w:adjustRightInd w:val="0"/>
                      <w:jc w:val="center"/>
                    </w:pPr>
                    <w:r>
                      <w:rPr>
                        <w:rFonts w:hint="eastAsia"/>
                      </w:rPr>
                      <w:t>向关联方提供资金</w:t>
                    </w:r>
                  </w:p>
                </w:tc>
              </w:sdtContent>
            </w:sdt>
            <w:sdt>
              <w:sdtPr>
                <w:tag w:val="_PLD_563c35dec57c48f3b46f1f62e335b927"/>
                <w:id w:val="263277798"/>
                <w:lock w:val="sdtLocked"/>
              </w:sdtPr>
              <w:sdtEndPr/>
              <w:sdtContent>
                <w:tc>
                  <w:tcPr>
                    <w:tcW w:w="1686" w:type="pct"/>
                    <w:gridSpan w:val="3"/>
                    <w:shd w:val="clear" w:color="auto" w:fill="auto"/>
                    <w:vAlign w:val="center"/>
                  </w:tcPr>
                  <w:p w14:paraId="3CF42C98" w14:textId="77777777" w:rsidR="00B201D3" w:rsidRDefault="009855E8">
                    <w:pPr>
                      <w:autoSpaceDE w:val="0"/>
                      <w:autoSpaceDN w:val="0"/>
                      <w:adjustRightInd w:val="0"/>
                      <w:jc w:val="center"/>
                    </w:pPr>
                    <w:r>
                      <w:rPr>
                        <w:rFonts w:hint="eastAsia"/>
                      </w:rPr>
                      <w:t>关联方向上市公司提供资金</w:t>
                    </w:r>
                  </w:p>
                </w:tc>
              </w:sdtContent>
            </w:sdt>
          </w:tr>
          <w:tr w:rsidR="00B201D3" w14:paraId="68F756C2" w14:textId="77777777">
            <w:tc>
              <w:tcPr>
                <w:tcW w:w="771" w:type="pct"/>
                <w:vMerge/>
                <w:shd w:val="clear" w:color="auto" w:fill="auto"/>
                <w:vAlign w:val="center"/>
              </w:tcPr>
              <w:p w14:paraId="34EB1C31" w14:textId="77777777" w:rsidR="00B201D3" w:rsidRDefault="00B201D3">
                <w:pPr>
                  <w:autoSpaceDE w:val="0"/>
                  <w:autoSpaceDN w:val="0"/>
                  <w:adjustRightInd w:val="0"/>
                  <w:jc w:val="center"/>
                </w:pPr>
              </w:p>
            </w:tc>
            <w:tc>
              <w:tcPr>
                <w:tcW w:w="778" w:type="pct"/>
                <w:vMerge/>
                <w:shd w:val="clear" w:color="auto" w:fill="auto"/>
                <w:vAlign w:val="center"/>
              </w:tcPr>
              <w:p w14:paraId="3AA5528D" w14:textId="77777777" w:rsidR="00B201D3" w:rsidRDefault="00B201D3">
                <w:pPr>
                  <w:autoSpaceDE w:val="0"/>
                  <w:autoSpaceDN w:val="0"/>
                  <w:adjustRightInd w:val="0"/>
                  <w:jc w:val="center"/>
                </w:pPr>
              </w:p>
            </w:tc>
            <w:sdt>
              <w:sdtPr>
                <w:tag w:val="_PLD_84c4eb576c0841edbba1a279db4bece5"/>
                <w:id w:val="1508168416"/>
                <w:lock w:val="sdtLocked"/>
              </w:sdtPr>
              <w:sdtEndPr/>
              <w:sdtContent>
                <w:tc>
                  <w:tcPr>
                    <w:tcW w:w="614" w:type="pct"/>
                    <w:shd w:val="clear" w:color="auto" w:fill="auto"/>
                    <w:vAlign w:val="center"/>
                  </w:tcPr>
                  <w:p w14:paraId="735CC163" w14:textId="77777777" w:rsidR="00B201D3" w:rsidRDefault="009855E8">
                    <w:pPr>
                      <w:autoSpaceDE w:val="0"/>
                      <w:autoSpaceDN w:val="0"/>
                      <w:adjustRightInd w:val="0"/>
                      <w:jc w:val="center"/>
                    </w:pPr>
                    <w:r>
                      <w:rPr>
                        <w:rFonts w:hint="eastAsia"/>
                      </w:rPr>
                      <w:t>期初余额</w:t>
                    </w:r>
                  </w:p>
                </w:tc>
              </w:sdtContent>
            </w:sdt>
            <w:sdt>
              <w:sdtPr>
                <w:tag w:val="_PLD_a0465b18c711498aacc6643f88ec2071"/>
                <w:id w:val="1057049357"/>
                <w:lock w:val="sdtLocked"/>
              </w:sdtPr>
              <w:sdtEndPr/>
              <w:sdtContent>
                <w:tc>
                  <w:tcPr>
                    <w:tcW w:w="537" w:type="pct"/>
                    <w:shd w:val="clear" w:color="auto" w:fill="auto"/>
                    <w:vAlign w:val="center"/>
                  </w:tcPr>
                  <w:p w14:paraId="4873EED2" w14:textId="77777777" w:rsidR="00B201D3" w:rsidRDefault="009855E8">
                    <w:pPr>
                      <w:autoSpaceDE w:val="0"/>
                      <w:autoSpaceDN w:val="0"/>
                      <w:adjustRightInd w:val="0"/>
                      <w:jc w:val="center"/>
                    </w:pPr>
                    <w:r>
                      <w:rPr>
                        <w:rFonts w:hint="eastAsia"/>
                      </w:rPr>
                      <w:t>发生额</w:t>
                    </w:r>
                  </w:p>
                </w:tc>
              </w:sdtContent>
            </w:sdt>
            <w:sdt>
              <w:sdtPr>
                <w:tag w:val="_PLD_50c7dd7dd5804b108bed028ac898954a"/>
                <w:id w:val="-1762140107"/>
                <w:lock w:val="sdtLocked"/>
              </w:sdtPr>
              <w:sdtEndPr/>
              <w:sdtContent>
                <w:tc>
                  <w:tcPr>
                    <w:tcW w:w="614" w:type="pct"/>
                    <w:shd w:val="clear" w:color="auto" w:fill="auto"/>
                    <w:vAlign w:val="center"/>
                  </w:tcPr>
                  <w:p w14:paraId="229DD1DF" w14:textId="77777777" w:rsidR="00B201D3" w:rsidRDefault="009855E8">
                    <w:pPr>
                      <w:autoSpaceDE w:val="0"/>
                      <w:autoSpaceDN w:val="0"/>
                      <w:adjustRightInd w:val="0"/>
                      <w:jc w:val="center"/>
                    </w:pPr>
                    <w:r>
                      <w:rPr>
                        <w:rFonts w:hint="eastAsia"/>
                      </w:rPr>
                      <w:t>期末余额</w:t>
                    </w:r>
                  </w:p>
                </w:tc>
              </w:sdtContent>
            </w:sdt>
            <w:sdt>
              <w:sdtPr>
                <w:tag w:val="_PLD_c6512bddd9054caeb41c5dab753be8c6"/>
                <w:id w:val="-995947937"/>
                <w:lock w:val="sdtLocked"/>
              </w:sdtPr>
              <w:sdtEndPr/>
              <w:sdtContent>
                <w:tc>
                  <w:tcPr>
                    <w:tcW w:w="613" w:type="pct"/>
                    <w:shd w:val="clear" w:color="auto" w:fill="auto"/>
                    <w:vAlign w:val="center"/>
                  </w:tcPr>
                  <w:p w14:paraId="1B891ADA" w14:textId="77777777" w:rsidR="00B201D3" w:rsidRDefault="009855E8">
                    <w:pPr>
                      <w:autoSpaceDE w:val="0"/>
                      <w:autoSpaceDN w:val="0"/>
                      <w:adjustRightInd w:val="0"/>
                      <w:jc w:val="center"/>
                    </w:pPr>
                    <w:r>
                      <w:rPr>
                        <w:rFonts w:hint="eastAsia"/>
                      </w:rPr>
                      <w:t>期初余额</w:t>
                    </w:r>
                  </w:p>
                </w:tc>
              </w:sdtContent>
            </w:sdt>
            <w:sdt>
              <w:sdtPr>
                <w:tag w:val="_PLD_121e88852b0f4d04b04977cd52578513"/>
                <w:id w:val="677158326"/>
                <w:lock w:val="sdtLocked"/>
              </w:sdtPr>
              <w:sdtEndPr/>
              <w:sdtContent>
                <w:tc>
                  <w:tcPr>
                    <w:tcW w:w="512" w:type="pct"/>
                    <w:shd w:val="clear" w:color="auto" w:fill="auto"/>
                    <w:vAlign w:val="center"/>
                  </w:tcPr>
                  <w:p w14:paraId="75D7D191" w14:textId="77777777" w:rsidR="00B201D3" w:rsidRDefault="009855E8">
                    <w:pPr>
                      <w:autoSpaceDE w:val="0"/>
                      <w:autoSpaceDN w:val="0"/>
                      <w:adjustRightInd w:val="0"/>
                      <w:jc w:val="center"/>
                    </w:pPr>
                    <w:r>
                      <w:rPr>
                        <w:rFonts w:hint="eastAsia"/>
                      </w:rPr>
                      <w:t>发生额</w:t>
                    </w:r>
                  </w:p>
                </w:tc>
              </w:sdtContent>
            </w:sdt>
            <w:sdt>
              <w:sdtPr>
                <w:tag w:val="_PLD_656f31b560d642bdb30b1a1db50f1150"/>
                <w:id w:val="-1048840707"/>
                <w:lock w:val="sdtLocked"/>
              </w:sdtPr>
              <w:sdtEndPr/>
              <w:sdtContent>
                <w:tc>
                  <w:tcPr>
                    <w:tcW w:w="561" w:type="pct"/>
                    <w:shd w:val="clear" w:color="auto" w:fill="auto"/>
                    <w:vAlign w:val="center"/>
                  </w:tcPr>
                  <w:p w14:paraId="738FA69A" w14:textId="77777777" w:rsidR="00B201D3" w:rsidRDefault="009855E8">
                    <w:pPr>
                      <w:autoSpaceDE w:val="0"/>
                      <w:autoSpaceDN w:val="0"/>
                      <w:adjustRightInd w:val="0"/>
                      <w:jc w:val="center"/>
                    </w:pPr>
                    <w:r>
                      <w:rPr>
                        <w:rFonts w:hint="eastAsia"/>
                      </w:rPr>
                      <w:t>期末余额</w:t>
                    </w:r>
                  </w:p>
                </w:tc>
              </w:sdtContent>
            </w:sdt>
          </w:tr>
          <w:sdt>
            <w:sdtPr>
              <w:alias w:val="关联债权债务往来"/>
              <w:tag w:val="_TUP_6bcf9c3a79e549839fd3bf2cfdd9967e"/>
              <w:id w:val="209304148"/>
              <w:lock w:val="sdtLocked"/>
            </w:sdtPr>
            <w:sdtEndPr/>
            <w:sdtContent>
              <w:tr w:rsidR="00B201D3" w14:paraId="5F59AF05" w14:textId="77777777">
                <w:tc>
                  <w:tcPr>
                    <w:tcW w:w="771" w:type="pct"/>
                    <w:shd w:val="clear" w:color="auto" w:fill="auto"/>
                    <w:vAlign w:val="center"/>
                  </w:tcPr>
                  <w:p w14:paraId="73C83135" w14:textId="77777777" w:rsidR="00B201D3" w:rsidRDefault="009855E8">
                    <w:pPr>
                      <w:autoSpaceDE w:val="0"/>
                      <w:autoSpaceDN w:val="0"/>
                      <w:adjustRightInd w:val="0"/>
                    </w:pPr>
                    <w:r>
                      <w:t>山东能源集团</w:t>
                    </w:r>
                  </w:p>
                </w:tc>
                <w:sdt>
                  <w:sdtPr>
                    <w:alias w:val="关联债权债务往来的关联方关系"/>
                    <w:tag w:val="_GBC_679285fa5ad84826afdcbe28cc1f1421"/>
                    <w:id w:val="1646088870"/>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778" w:type="pct"/>
                        <w:shd w:val="clear" w:color="auto" w:fill="auto"/>
                        <w:vAlign w:val="center"/>
                      </w:tcPr>
                      <w:p w14:paraId="6214AB33" w14:textId="37909365" w:rsidR="00B201D3" w:rsidRDefault="00F46283">
                        <w:pPr>
                          <w:autoSpaceDE w:val="0"/>
                          <w:autoSpaceDN w:val="0"/>
                          <w:adjustRightInd w:val="0"/>
                        </w:pPr>
                        <w:r>
                          <w:t>控股股东</w:t>
                        </w:r>
                      </w:p>
                    </w:tc>
                  </w:sdtContent>
                </w:sdt>
                <w:tc>
                  <w:tcPr>
                    <w:tcW w:w="614" w:type="pct"/>
                    <w:shd w:val="clear" w:color="auto" w:fill="auto"/>
                    <w:vAlign w:val="center"/>
                  </w:tcPr>
                  <w:p w14:paraId="4DF8A190" w14:textId="7B6CE294" w:rsidR="00B201D3" w:rsidRDefault="004C2EB2">
                    <w:pPr>
                      <w:autoSpaceDE w:val="0"/>
                      <w:autoSpaceDN w:val="0"/>
                      <w:adjustRightInd w:val="0"/>
                      <w:jc w:val="right"/>
                    </w:pPr>
                    <w:r>
                      <w:rPr>
                        <w:rFonts w:hint="eastAsia"/>
                      </w:rPr>
                      <w:t>8</w:t>
                    </w:r>
                    <w:r>
                      <w:t>8.55</w:t>
                    </w:r>
                  </w:p>
                </w:tc>
                <w:tc>
                  <w:tcPr>
                    <w:tcW w:w="537" w:type="pct"/>
                    <w:shd w:val="clear" w:color="auto" w:fill="auto"/>
                    <w:vAlign w:val="center"/>
                  </w:tcPr>
                  <w:p w14:paraId="565AE994" w14:textId="7D2D4019" w:rsidR="00B201D3" w:rsidRDefault="004C2EB2">
                    <w:pPr>
                      <w:autoSpaceDE w:val="0"/>
                      <w:autoSpaceDN w:val="0"/>
                      <w:adjustRightInd w:val="0"/>
                      <w:jc w:val="right"/>
                    </w:pPr>
                    <w:r>
                      <w:rPr>
                        <w:rFonts w:hint="eastAsia"/>
                      </w:rPr>
                      <w:t>-</w:t>
                    </w:r>
                    <w:r>
                      <w:t>1.10</w:t>
                    </w:r>
                  </w:p>
                </w:tc>
                <w:tc>
                  <w:tcPr>
                    <w:tcW w:w="614" w:type="pct"/>
                    <w:shd w:val="clear" w:color="auto" w:fill="auto"/>
                  </w:tcPr>
                  <w:p w14:paraId="78BFAB8D" w14:textId="35B2EB05" w:rsidR="00B201D3" w:rsidRDefault="004C2EB2">
                    <w:pPr>
                      <w:pStyle w:val="3903"/>
                      <w:jc w:val="right"/>
                    </w:pPr>
                    <w:r>
                      <w:rPr>
                        <w:rFonts w:hint="eastAsia"/>
                      </w:rPr>
                      <w:t>8</w:t>
                    </w:r>
                    <w:r>
                      <w:t>7.45</w:t>
                    </w:r>
                  </w:p>
                </w:tc>
                <w:tc>
                  <w:tcPr>
                    <w:tcW w:w="613" w:type="pct"/>
                    <w:shd w:val="clear" w:color="auto" w:fill="auto"/>
                  </w:tcPr>
                  <w:p w14:paraId="6C2549CA" w14:textId="5A3CAED4" w:rsidR="00B201D3" w:rsidRDefault="001C0110">
                    <w:pPr>
                      <w:pStyle w:val="3903"/>
                      <w:jc w:val="right"/>
                    </w:pPr>
                    <w:r>
                      <w:rPr>
                        <w:rFonts w:hint="eastAsia"/>
                      </w:rPr>
                      <w:t>1</w:t>
                    </w:r>
                    <w:r>
                      <w:t>59.63</w:t>
                    </w:r>
                  </w:p>
                </w:tc>
                <w:tc>
                  <w:tcPr>
                    <w:tcW w:w="512" w:type="pct"/>
                    <w:shd w:val="clear" w:color="auto" w:fill="auto"/>
                  </w:tcPr>
                  <w:p w14:paraId="6D8CB71A" w14:textId="0265E46E" w:rsidR="00B201D3" w:rsidRDefault="001C0110">
                    <w:pPr>
                      <w:pStyle w:val="3903"/>
                      <w:jc w:val="right"/>
                    </w:pPr>
                    <w:r>
                      <w:rPr>
                        <w:rFonts w:hint="eastAsia"/>
                      </w:rPr>
                      <w:t>-</w:t>
                    </w:r>
                    <w:r>
                      <w:t>19.26</w:t>
                    </w:r>
                  </w:p>
                </w:tc>
                <w:tc>
                  <w:tcPr>
                    <w:tcW w:w="561" w:type="pct"/>
                    <w:shd w:val="clear" w:color="auto" w:fill="auto"/>
                    <w:vAlign w:val="center"/>
                  </w:tcPr>
                  <w:p w14:paraId="4A594FDD" w14:textId="6FDB079F" w:rsidR="00B201D3" w:rsidRDefault="001C0110">
                    <w:pPr>
                      <w:autoSpaceDE w:val="0"/>
                      <w:autoSpaceDN w:val="0"/>
                      <w:adjustRightInd w:val="0"/>
                      <w:jc w:val="right"/>
                    </w:pPr>
                    <w:r>
                      <w:rPr>
                        <w:rFonts w:hint="eastAsia"/>
                      </w:rPr>
                      <w:t>1</w:t>
                    </w:r>
                    <w:r>
                      <w:t>40.37</w:t>
                    </w:r>
                  </w:p>
                </w:tc>
              </w:tr>
            </w:sdtContent>
          </w:sdt>
          <w:sdt>
            <w:sdtPr>
              <w:alias w:val="关联债权债务往来"/>
              <w:tag w:val="_TUP_6bcf9c3a79e549839fd3bf2cfdd9967e"/>
              <w:id w:val="-2081753035"/>
              <w:lock w:val="sdtLocked"/>
            </w:sdtPr>
            <w:sdtEndPr/>
            <w:sdtContent>
              <w:tr w:rsidR="00B201D3" w14:paraId="1C284365" w14:textId="77777777">
                <w:tc>
                  <w:tcPr>
                    <w:tcW w:w="771" w:type="pct"/>
                    <w:shd w:val="clear" w:color="auto" w:fill="auto"/>
                    <w:vAlign w:val="center"/>
                  </w:tcPr>
                  <w:p w14:paraId="0E9C3593" w14:textId="77777777" w:rsidR="00B201D3" w:rsidRDefault="009855E8">
                    <w:pPr>
                      <w:autoSpaceDE w:val="0"/>
                      <w:autoSpaceDN w:val="0"/>
                      <w:adjustRightInd w:val="0"/>
                    </w:pPr>
                    <w:r>
                      <w:t>嘉能可集团</w:t>
                    </w:r>
                  </w:p>
                </w:tc>
                <w:sdt>
                  <w:sdtPr>
                    <w:alias w:val="关联债权债务往来的关联方关系"/>
                    <w:tag w:val="_GBC_679285fa5ad84826afdcbe28cc1f1421"/>
                    <w:id w:val="-1909293432"/>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778" w:type="pct"/>
                        <w:shd w:val="clear" w:color="auto" w:fill="auto"/>
                        <w:vAlign w:val="center"/>
                      </w:tcPr>
                      <w:p w14:paraId="19C00B51" w14:textId="008EEFCE" w:rsidR="00B201D3" w:rsidRDefault="00F46283">
                        <w:pPr>
                          <w:autoSpaceDE w:val="0"/>
                          <w:autoSpaceDN w:val="0"/>
                          <w:adjustRightInd w:val="0"/>
                        </w:pPr>
                        <w:r>
                          <w:t>其他关联人</w:t>
                        </w:r>
                      </w:p>
                    </w:tc>
                  </w:sdtContent>
                </w:sdt>
                <w:tc>
                  <w:tcPr>
                    <w:tcW w:w="614" w:type="pct"/>
                    <w:shd w:val="clear" w:color="auto" w:fill="auto"/>
                    <w:vAlign w:val="center"/>
                  </w:tcPr>
                  <w:p w14:paraId="777EDDC4" w14:textId="1749DA80" w:rsidR="00B201D3" w:rsidRDefault="004C2EB2">
                    <w:pPr>
                      <w:autoSpaceDE w:val="0"/>
                      <w:autoSpaceDN w:val="0"/>
                      <w:adjustRightInd w:val="0"/>
                      <w:jc w:val="right"/>
                    </w:pPr>
                    <w:r>
                      <w:rPr>
                        <w:rFonts w:hint="eastAsia"/>
                      </w:rPr>
                      <w:t>0</w:t>
                    </w:r>
                  </w:p>
                </w:tc>
                <w:tc>
                  <w:tcPr>
                    <w:tcW w:w="537" w:type="pct"/>
                    <w:shd w:val="clear" w:color="auto" w:fill="auto"/>
                    <w:vAlign w:val="center"/>
                  </w:tcPr>
                  <w:p w14:paraId="590EA302" w14:textId="2E0CFA68" w:rsidR="00B201D3" w:rsidRDefault="004C2EB2">
                    <w:pPr>
                      <w:autoSpaceDE w:val="0"/>
                      <w:autoSpaceDN w:val="0"/>
                      <w:adjustRightInd w:val="0"/>
                      <w:jc w:val="right"/>
                    </w:pPr>
                    <w:r>
                      <w:rPr>
                        <w:rFonts w:hint="eastAsia"/>
                      </w:rPr>
                      <w:t>1</w:t>
                    </w:r>
                    <w:r>
                      <w:t>.14</w:t>
                    </w:r>
                  </w:p>
                </w:tc>
                <w:tc>
                  <w:tcPr>
                    <w:tcW w:w="614" w:type="pct"/>
                    <w:shd w:val="clear" w:color="auto" w:fill="auto"/>
                  </w:tcPr>
                  <w:p w14:paraId="219078D7" w14:textId="09CEB652" w:rsidR="00B201D3" w:rsidRDefault="004C2EB2">
                    <w:pPr>
                      <w:pStyle w:val="3903"/>
                      <w:jc w:val="right"/>
                    </w:pPr>
                    <w:r>
                      <w:rPr>
                        <w:rFonts w:hint="eastAsia"/>
                      </w:rPr>
                      <w:t>0</w:t>
                    </w:r>
                  </w:p>
                </w:tc>
                <w:tc>
                  <w:tcPr>
                    <w:tcW w:w="613" w:type="pct"/>
                    <w:shd w:val="clear" w:color="auto" w:fill="auto"/>
                  </w:tcPr>
                  <w:p w14:paraId="3E78A646" w14:textId="0C70B048" w:rsidR="00B201D3" w:rsidRDefault="001C0110">
                    <w:pPr>
                      <w:pStyle w:val="3903"/>
                      <w:jc w:val="right"/>
                    </w:pPr>
                    <w:r>
                      <w:rPr>
                        <w:rFonts w:hint="eastAsia"/>
                      </w:rPr>
                      <w:t>0</w:t>
                    </w:r>
                  </w:p>
                </w:tc>
                <w:tc>
                  <w:tcPr>
                    <w:tcW w:w="512" w:type="pct"/>
                    <w:shd w:val="clear" w:color="auto" w:fill="auto"/>
                  </w:tcPr>
                  <w:p w14:paraId="358FA0ED" w14:textId="393D766F" w:rsidR="00B201D3" w:rsidRDefault="001C0110">
                    <w:pPr>
                      <w:pStyle w:val="3903"/>
                      <w:jc w:val="right"/>
                    </w:pPr>
                    <w:r>
                      <w:rPr>
                        <w:rFonts w:hint="eastAsia"/>
                      </w:rPr>
                      <w:t>4</w:t>
                    </w:r>
                    <w:r>
                      <w:t>2.06</w:t>
                    </w:r>
                  </w:p>
                </w:tc>
                <w:tc>
                  <w:tcPr>
                    <w:tcW w:w="561" w:type="pct"/>
                    <w:shd w:val="clear" w:color="auto" w:fill="auto"/>
                    <w:vAlign w:val="center"/>
                  </w:tcPr>
                  <w:p w14:paraId="621D613D" w14:textId="4AF1E1E7" w:rsidR="00B201D3" w:rsidRDefault="001C0110">
                    <w:pPr>
                      <w:autoSpaceDE w:val="0"/>
                      <w:autoSpaceDN w:val="0"/>
                      <w:adjustRightInd w:val="0"/>
                      <w:jc w:val="right"/>
                    </w:pPr>
                    <w:r>
                      <w:rPr>
                        <w:rFonts w:hint="eastAsia"/>
                      </w:rPr>
                      <w:t>0</w:t>
                    </w:r>
                  </w:p>
                </w:tc>
              </w:tr>
            </w:sdtContent>
          </w:sdt>
          <w:tr w:rsidR="00B201D3" w14:paraId="40C468C8" w14:textId="77777777">
            <w:sdt>
              <w:sdtPr>
                <w:rPr>
                  <w:rFonts w:ascii="宋体" w:hAnsi="宋体"/>
                </w:rPr>
                <w:tag w:val="_PLD_4e6e1213c0fd4d7ea9bcbd8c87bfc6f1"/>
                <w:id w:val="1909571194"/>
                <w:lock w:val="sdtLocked"/>
              </w:sdtPr>
              <w:sdtEndPr/>
              <w:sdtContent>
                <w:tc>
                  <w:tcPr>
                    <w:tcW w:w="1549" w:type="pct"/>
                    <w:gridSpan w:val="2"/>
                    <w:shd w:val="clear" w:color="auto" w:fill="auto"/>
                    <w:vAlign w:val="center"/>
                  </w:tcPr>
                  <w:p w14:paraId="4FAE3230" w14:textId="77777777" w:rsidR="00B201D3" w:rsidRDefault="009855E8">
                    <w:pPr>
                      <w:pStyle w:val="3888"/>
                      <w:autoSpaceDE w:val="0"/>
                      <w:autoSpaceDN w:val="0"/>
                      <w:adjustRightInd w:val="0"/>
                      <w:jc w:val="center"/>
                      <w:rPr>
                        <w:rFonts w:ascii="宋体" w:hAnsi="宋体"/>
                      </w:rPr>
                    </w:pPr>
                    <w:r>
                      <w:rPr>
                        <w:rFonts w:ascii="宋体" w:hAnsi="宋体" w:hint="eastAsia"/>
                      </w:rPr>
                      <w:t>合计</w:t>
                    </w:r>
                  </w:p>
                </w:tc>
              </w:sdtContent>
            </w:sdt>
            <w:tc>
              <w:tcPr>
                <w:tcW w:w="614" w:type="pct"/>
                <w:tcBorders>
                  <w:bottom w:val="nil"/>
                </w:tcBorders>
                <w:shd w:val="clear" w:color="auto" w:fill="auto"/>
                <w:vAlign w:val="center"/>
              </w:tcPr>
              <w:p w14:paraId="68C833A0" w14:textId="1CF2B099" w:rsidR="00B201D3" w:rsidRDefault="004C2EB2">
                <w:pPr>
                  <w:autoSpaceDE w:val="0"/>
                  <w:autoSpaceDN w:val="0"/>
                  <w:adjustRightInd w:val="0"/>
                  <w:jc w:val="right"/>
                </w:pPr>
                <w:r>
                  <w:rPr>
                    <w:rFonts w:hint="eastAsia"/>
                  </w:rPr>
                  <w:t>8</w:t>
                </w:r>
                <w:r>
                  <w:t>8.55</w:t>
                </w:r>
              </w:p>
            </w:tc>
            <w:tc>
              <w:tcPr>
                <w:tcW w:w="537" w:type="pct"/>
                <w:tcBorders>
                  <w:bottom w:val="nil"/>
                </w:tcBorders>
                <w:shd w:val="clear" w:color="auto" w:fill="auto"/>
              </w:tcPr>
              <w:p w14:paraId="6371794F" w14:textId="70EC9917" w:rsidR="00B201D3" w:rsidRDefault="004C2EB2">
                <w:pPr>
                  <w:pStyle w:val="3903"/>
                  <w:jc w:val="right"/>
                </w:pPr>
                <w:r>
                  <w:rPr>
                    <w:rFonts w:hint="eastAsia"/>
                  </w:rPr>
                  <w:t>0</w:t>
                </w:r>
                <w:r>
                  <w:t>.04</w:t>
                </w:r>
              </w:p>
            </w:tc>
            <w:tc>
              <w:tcPr>
                <w:tcW w:w="614" w:type="pct"/>
                <w:tcBorders>
                  <w:bottom w:val="nil"/>
                </w:tcBorders>
                <w:shd w:val="clear" w:color="auto" w:fill="auto"/>
              </w:tcPr>
              <w:p w14:paraId="1347B307" w14:textId="507571F5" w:rsidR="00B201D3" w:rsidRDefault="004C2EB2">
                <w:pPr>
                  <w:pStyle w:val="3903"/>
                  <w:jc w:val="right"/>
                </w:pPr>
                <w:r>
                  <w:rPr>
                    <w:rFonts w:hint="eastAsia"/>
                  </w:rPr>
                  <w:t>8</w:t>
                </w:r>
                <w:r>
                  <w:t>7.45</w:t>
                </w:r>
              </w:p>
            </w:tc>
            <w:tc>
              <w:tcPr>
                <w:tcW w:w="613" w:type="pct"/>
                <w:tcBorders>
                  <w:bottom w:val="nil"/>
                </w:tcBorders>
                <w:shd w:val="clear" w:color="auto" w:fill="auto"/>
              </w:tcPr>
              <w:p w14:paraId="40ABD987" w14:textId="7FBAF173" w:rsidR="00B201D3" w:rsidRDefault="001C0110">
                <w:pPr>
                  <w:pStyle w:val="3903"/>
                  <w:jc w:val="right"/>
                </w:pPr>
                <w:r>
                  <w:rPr>
                    <w:rFonts w:hint="eastAsia"/>
                  </w:rPr>
                  <w:t>1</w:t>
                </w:r>
                <w:r>
                  <w:t>59.63</w:t>
                </w:r>
              </w:p>
            </w:tc>
            <w:tc>
              <w:tcPr>
                <w:tcW w:w="512" w:type="pct"/>
                <w:tcBorders>
                  <w:bottom w:val="nil"/>
                </w:tcBorders>
                <w:shd w:val="clear" w:color="auto" w:fill="auto"/>
              </w:tcPr>
              <w:p w14:paraId="1BC4DC8C" w14:textId="1F906663" w:rsidR="00B201D3" w:rsidRDefault="001C0110">
                <w:pPr>
                  <w:pStyle w:val="3903"/>
                  <w:jc w:val="right"/>
                </w:pPr>
                <w:r>
                  <w:rPr>
                    <w:rFonts w:hint="eastAsia"/>
                  </w:rPr>
                  <w:t>2</w:t>
                </w:r>
                <w:r>
                  <w:t>2.80</w:t>
                </w:r>
              </w:p>
            </w:tc>
            <w:tc>
              <w:tcPr>
                <w:tcW w:w="561" w:type="pct"/>
                <w:tcBorders>
                  <w:bottom w:val="nil"/>
                </w:tcBorders>
                <w:shd w:val="clear" w:color="auto" w:fill="auto"/>
                <w:vAlign w:val="center"/>
              </w:tcPr>
              <w:p w14:paraId="6A4DABCB" w14:textId="122E3745" w:rsidR="00B201D3" w:rsidRDefault="001C0110">
                <w:pPr>
                  <w:autoSpaceDE w:val="0"/>
                  <w:autoSpaceDN w:val="0"/>
                  <w:adjustRightInd w:val="0"/>
                  <w:jc w:val="right"/>
                </w:pPr>
                <w:r>
                  <w:rPr>
                    <w:rFonts w:hint="eastAsia"/>
                  </w:rPr>
                  <w:t>1</w:t>
                </w:r>
                <w:r>
                  <w:t>40.37</w:t>
                </w:r>
              </w:p>
            </w:tc>
          </w:tr>
          <w:tr w:rsidR="00B201D3" w14:paraId="30EBEDE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sdt>
              <w:sdtPr>
                <w:tag w:val="_PLD_0ae9b8c1a1764adf98d6d650be3ad229"/>
                <w:id w:val="-977144233"/>
                <w:lock w:val="sdtLocked"/>
              </w:sdtPr>
              <w:sdtEndPr/>
              <w:sdtContent>
                <w:tc>
                  <w:tcPr>
                    <w:tcW w:w="15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F498EC" w14:textId="77777777" w:rsidR="00B201D3" w:rsidRDefault="009855E8">
                    <w:pPr>
                      <w:autoSpaceDE w:val="0"/>
                      <w:autoSpaceDN w:val="0"/>
                      <w:adjustRightInd w:val="0"/>
                    </w:pPr>
                    <w:r>
                      <w:rPr>
                        <w:rFonts w:hint="eastAsia"/>
                      </w:rPr>
                      <w:t>关联债权债务形成原因</w:t>
                    </w:r>
                  </w:p>
                </w:tc>
              </w:sdtContent>
            </w:sdt>
            <w:tc>
              <w:tcPr>
                <w:tcW w:w="3451"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79B6E86" w14:textId="77777777" w:rsidR="00B201D3" w:rsidRDefault="009855E8">
                <w:pPr>
                  <w:pStyle w:val="3903"/>
                </w:pPr>
                <w:r>
                  <w:t>双方互相销售商品、提供服务等</w:t>
                </w:r>
              </w:p>
            </w:tc>
          </w:tr>
          <w:tr w:rsidR="00B201D3" w14:paraId="01848B6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sdt>
              <w:sdtPr>
                <w:tag w:val="_PLD_824080e643bb4ac580353d38c3323862"/>
                <w:id w:val="-887109739"/>
                <w:lock w:val="sdtLocked"/>
              </w:sdtPr>
              <w:sdtEndPr/>
              <w:sdtContent>
                <w:tc>
                  <w:tcPr>
                    <w:tcW w:w="15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11E3D2" w14:textId="77777777" w:rsidR="00B201D3" w:rsidRDefault="009855E8">
                    <w:pPr>
                      <w:autoSpaceDE w:val="0"/>
                      <w:autoSpaceDN w:val="0"/>
                      <w:adjustRightInd w:val="0"/>
                    </w:pPr>
                    <w:r>
                      <w:rPr>
                        <w:rFonts w:hint="eastAsia"/>
                      </w:rPr>
                      <w:t>关联债权债务对公司经营成果</w:t>
                    </w:r>
                  </w:p>
                  <w:p w14:paraId="575DDEA2" w14:textId="77777777" w:rsidR="00B201D3" w:rsidRDefault="009855E8">
                    <w:pPr>
                      <w:autoSpaceDE w:val="0"/>
                      <w:autoSpaceDN w:val="0"/>
                      <w:adjustRightInd w:val="0"/>
                    </w:pPr>
                    <w:r>
                      <w:rPr>
                        <w:rFonts w:hint="eastAsia"/>
                      </w:rPr>
                      <w:t>及财务状况的影响</w:t>
                    </w:r>
                  </w:p>
                </w:tc>
              </w:sdtContent>
            </w:sdt>
            <w:tc>
              <w:tcPr>
                <w:tcW w:w="3451"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732C38B" w14:textId="77777777" w:rsidR="00B201D3" w:rsidRDefault="009855E8">
                <w:pPr>
                  <w:pStyle w:val="3903"/>
                </w:pPr>
                <w:r>
                  <w:t>无重大影响</w:t>
                </w:r>
              </w:p>
            </w:tc>
          </w:tr>
        </w:tbl>
        <w:p w14:paraId="54E4DB70" w14:textId="77777777" w:rsidR="00B201D3" w:rsidRDefault="00C8327E">
          <w:pPr>
            <w:pStyle w:val="3903"/>
          </w:pPr>
        </w:p>
      </w:sdtContent>
    </w:sdt>
    <w:p w14:paraId="6AC33C8A" w14:textId="77777777" w:rsidR="00B201D3" w:rsidRDefault="009855E8">
      <w:pPr>
        <w:pStyle w:val="3900"/>
        <w:numPr>
          <w:ilvl w:val="2"/>
          <w:numId w:val="4"/>
        </w:numPr>
        <w:rPr>
          <w:rFonts w:ascii="宋体" w:hAnsi="宋体"/>
        </w:rPr>
      </w:pPr>
      <w:r>
        <w:rPr>
          <w:rFonts w:ascii="宋体" w:hAnsi="宋体"/>
        </w:rPr>
        <w:t>公司与存在关联关系的财务公司、公司控股财务公司与关联方之间的金融业务</w:t>
      </w:r>
    </w:p>
    <w:sdt>
      <w:sdtPr>
        <w:alias w:val="是否适用：公司与存在关联关系的财务公司、公司控股财务公司与关联方之间的金融业务 [双击切换]"/>
        <w:tag w:val="_GBC_918ef76103ad41b4a79075b59fdb8bf4"/>
        <w:id w:val="676008610"/>
        <w:lock w:val="sdtContentLocked"/>
        <w:placeholder>
          <w:docPart w:val="GBC22222222222222222222222222222"/>
        </w:placeholder>
      </w:sdtPr>
      <w:sdtEndPr/>
      <w:sdtContent>
        <w:p w14:paraId="5EF6722B" w14:textId="77777777" w:rsidR="00B201D3" w:rsidRDefault="009855E8">
          <w:pPr>
            <w:pStyle w:val="390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Start w:id="85" w:name="_Hlk106875230" w:displacedByCustomXml="next"/>
    <w:sdt>
      <w:sdtPr>
        <w:rPr>
          <w:rFonts w:ascii="宋体" w:hAnsi="宋体" w:cs="宋体" w:hint="eastAsia"/>
          <w:b w:val="0"/>
          <w:bCs/>
          <w:kern w:val="0"/>
          <w:szCs w:val="24"/>
        </w:rPr>
        <w:alias w:val="模块:存款业务"/>
        <w:tag w:val="_SEC_fc426ce94f134c9ba4ffd1e1a862890e"/>
        <w:id w:val="-1757284822"/>
        <w:lock w:val="sdtLocked"/>
        <w:placeholder>
          <w:docPart w:val="GBC22222222222222222222222222222"/>
        </w:placeholder>
      </w:sdtPr>
      <w:sdtEndPr>
        <w:rPr>
          <w:rFonts w:asciiTheme="minorEastAsia" w:eastAsiaTheme="minorEastAsia" w:hAnsiTheme="minorEastAsia" w:hint="default"/>
          <w:bCs w:val="0"/>
          <w:szCs w:val="21"/>
        </w:rPr>
      </w:sdtEndPr>
      <w:sdtContent>
        <w:p w14:paraId="2F86B503" w14:textId="77777777" w:rsidR="00B201D3" w:rsidRDefault="009855E8">
          <w:pPr>
            <w:pStyle w:val="3899"/>
            <w:numPr>
              <w:ilvl w:val="0"/>
              <w:numId w:val="32"/>
            </w:numPr>
            <w:rPr>
              <w:rFonts w:ascii="宋体" w:hAnsi="宋体"/>
            </w:rPr>
          </w:pPr>
          <w:r>
            <w:rPr>
              <w:rFonts w:ascii="宋体" w:hAnsi="宋体" w:hint="eastAsia"/>
            </w:rPr>
            <w:t>存款业务</w:t>
          </w:r>
        </w:p>
        <w:sdt>
          <w:sdtPr>
            <w:alias w:val="是否适用：存款业务[双击切换]"/>
            <w:tag w:val="_GBC_f9224e59e79e4e7f90861dc9c88bbaf5"/>
            <w:id w:val="195512687"/>
            <w:lock w:val="sdtLocked"/>
            <w:placeholder>
              <w:docPart w:val="GBC22222222222222222222222222222"/>
            </w:placeholder>
          </w:sdtPr>
          <w:sdtEndPr/>
          <w:sdtContent>
            <w:p w14:paraId="5DDB0250" w14:textId="77777777" w:rsidR="00B201D3" w:rsidRDefault="009855E8">
              <w:pPr>
                <w:pStyle w:val="390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p w14:paraId="35F4A92E" w14:textId="77777777" w:rsidR="00B201D3" w:rsidRDefault="00C8327E">
              <w:pPr>
                <w:pStyle w:val="3903"/>
              </w:pPr>
            </w:p>
          </w:sdtContent>
        </w:sdt>
        <w:p w14:paraId="060B15B1" w14:textId="7D2458F0" w:rsidR="00B201D3" w:rsidRDefault="009855E8">
          <w:pPr>
            <w:jc w:val="right"/>
            <w:rPr>
              <w:rFonts w:asciiTheme="minorEastAsia" w:eastAsiaTheme="minorEastAsia" w:hAnsiTheme="minorEastAsia"/>
            </w:rPr>
          </w:pPr>
          <w:r>
            <w:rPr>
              <w:rFonts w:asciiTheme="minorEastAsia" w:eastAsiaTheme="minorEastAsia" w:hAnsiTheme="minorEastAsia" w:hint="eastAsia"/>
            </w:rPr>
            <w:t>单位：</w:t>
          </w:r>
          <w:sdt>
            <w:sdtPr>
              <w:rPr>
                <w:rFonts w:asciiTheme="minorEastAsia" w:eastAsiaTheme="minorEastAsia" w:hAnsiTheme="minorEastAsia" w:hint="eastAsia"/>
              </w:rPr>
              <w:alias w:val="单位：存款业务情况"/>
              <w:tag w:val="_GBC_9ecd65a8331e452c98309d736d6493e0"/>
              <w:id w:val="188182660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46283">
                <w:rPr>
                  <w:rFonts w:asciiTheme="minorEastAsia" w:eastAsiaTheme="minorEastAsia" w:hAnsiTheme="minorEastAsia" w:hint="eastAsia"/>
                </w:rPr>
                <w:t>亿元</w:t>
              </w:r>
            </w:sdtContent>
          </w:sdt>
          <w:r>
            <w:rPr>
              <w:rFonts w:asciiTheme="minorEastAsia" w:eastAsiaTheme="minorEastAsia" w:hAnsiTheme="minorEastAsia" w:hint="eastAsia"/>
            </w:rPr>
            <w:t xml:space="preserve">  币种：</w:t>
          </w:r>
          <w:sdt>
            <w:sdtPr>
              <w:rPr>
                <w:rFonts w:asciiTheme="minorEastAsia" w:eastAsiaTheme="minorEastAsia" w:hAnsiTheme="minorEastAsia" w:hint="eastAsia"/>
              </w:rPr>
              <w:alias w:val="币种：存款业务情况"/>
              <w:tag w:val="_GBC_28238db17bf94957b134a53203001b6c"/>
              <w:id w:val="-2032558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46283">
                <w:rPr>
                  <w:rFonts w:asciiTheme="minorEastAsia" w:eastAsiaTheme="minorEastAsia" w:hAnsiTheme="minorEastAsia"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1271"/>
            <w:gridCol w:w="997"/>
            <w:gridCol w:w="1505"/>
            <w:gridCol w:w="909"/>
            <w:gridCol w:w="1056"/>
            <w:gridCol w:w="1057"/>
            <w:gridCol w:w="846"/>
          </w:tblGrid>
          <w:tr w:rsidR="00B201D3" w14:paraId="74EE0780" w14:textId="77777777" w:rsidTr="00011B68">
            <w:sdt>
              <w:sdtPr>
                <w:rPr>
                  <w:rFonts w:asciiTheme="minorEastAsia" w:eastAsiaTheme="minorEastAsia" w:hAnsiTheme="minorEastAsia" w:hint="eastAsia"/>
                </w:rPr>
                <w:tag w:val="_PLD_ffba45c0a60d4a5eaefab3b7e513ac6f"/>
                <w:id w:val="-1236384357"/>
                <w:lock w:val="sdtLocked"/>
              </w:sdtPr>
              <w:sdtEndPr/>
              <w:sdtContent>
                <w:tc>
                  <w:tcPr>
                    <w:tcW w:w="670" w:type="pct"/>
                    <w:vMerge w:val="restart"/>
                    <w:shd w:val="clear" w:color="auto" w:fill="auto"/>
                    <w:vAlign w:val="center"/>
                  </w:tcPr>
                  <w:p w14:paraId="724BE1D1" w14:textId="77777777" w:rsidR="00B201D3" w:rsidRDefault="009855E8">
                    <w:pPr>
                      <w:autoSpaceDE w:val="0"/>
                      <w:autoSpaceDN w:val="0"/>
                      <w:adjustRightInd w:val="0"/>
                      <w:jc w:val="center"/>
                      <w:rPr>
                        <w:rFonts w:asciiTheme="minorEastAsia" w:eastAsiaTheme="minorEastAsia" w:hAnsiTheme="minorEastAsia"/>
                      </w:rPr>
                    </w:pPr>
                    <w:r>
                      <w:rPr>
                        <w:rFonts w:asciiTheme="minorEastAsia" w:eastAsiaTheme="minorEastAsia" w:hAnsiTheme="minorEastAsia" w:hint="eastAsia"/>
                      </w:rPr>
                      <w:t>关联方</w:t>
                    </w:r>
                  </w:p>
                </w:tc>
              </w:sdtContent>
            </w:sdt>
            <w:sdt>
              <w:sdtPr>
                <w:rPr>
                  <w:rFonts w:asciiTheme="minorEastAsia" w:eastAsiaTheme="minorEastAsia" w:hAnsiTheme="minorEastAsia" w:hint="eastAsia"/>
                </w:rPr>
                <w:tag w:val="_PLD_e0c38f9a2c974c4fbf8f3797e658b580"/>
                <w:id w:val="-1396037835"/>
                <w:lock w:val="sdtLocked"/>
              </w:sdtPr>
              <w:sdtEndPr/>
              <w:sdtContent>
                <w:tc>
                  <w:tcPr>
                    <w:tcW w:w="720" w:type="pct"/>
                    <w:vMerge w:val="restart"/>
                    <w:shd w:val="clear" w:color="auto" w:fill="auto"/>
                    <w:vAlign w:val="center"/>
                  </w:tcPr>
                  <w:p w14:paraId="642309CE" w14:textId="77777777" w:rsidR="00B201D3" w:rsidRDefault="009855E8">
                    <w:pPr>
                      <w:autoSpaceDE w:val="0"/>
                      <w:autoSpaceDN w:val="0"/>
                      <w:adjustRightInd w:val="0"/>
                      <w:jc w:val="center"/>
                      <w:rPr>
                        <w:rFonts w:asciiTheme="minorEastAsia" w:eastAsiaTheme="minorEastAsia" w:hAnsiTheme="minorEastAsia"/>
                      </w:rPr>
                    </w:pPr>
                    <w:r>
                      <w:rPr>
                        <w:rFonts w:asciiTheme="minorEastAsia" w:eastAsiaTheme="minorEastAsia" w:hAnsiTheme="minorEastAsia" w:hint="eastAsia"/>
                      </w:rPr>
                      <w:t>关联关系</w:t>
                    </w:r>
                  </w:p>
                </w:tc>
              </w:sdtContent>
            </w:sdt>
            <w:sdt>
              <w:sdtPr>
                <w:rPr>
                  <w:rFonts w:asciiTheme="minorEastAsia" w:eastAsiaTheme="minorEastAsia" w:hAnsiTheme="minorEastAsia"/>
                </w:rPr>
                <w:tag w:val="_PLD_98e3b28dc1a04a5988e28b76ce9f4d2f"/>
                <w:id w:val="1961232581"/>
                <w:lock w:val="sdtLocked"/>
              </w:sdtPr>
              <w:sdtEndPr/>
              <w:sdtContent>
                <w:tc>
                  <w:tcPr>
                    <w:tcW w:w="565" w:type="pct"/>
                    <w:vMerge w:val="restart"/>
                    <w:shd w:val="clear" w:color="auto" w:fill="auto"/>
                    <w:vAlign w:val="center"/>
                  </w:tcPr>
                  <w:p w14:paraId="2F3C1FD8" w14:textId="77777777" w:rsidR="00B201D3" w:rsidRDefault="009855E8">
                    <w:pPr>
                      <w:autoSpaceDE w:val="0"/>
                      <w:autoSpaceDN w:val="0"/>
                      <w:adjustRightInd w:val="0"/>
                      <w:jc w:val="center"/>
                      <w:rPr>
                        <w:rFonts w:asciiTheme="minorEastAsia" w:eastAsiaTheme="minorEastAsia" w:hAnsiTheme="minorEastAsia"/>
                      </w:rPr>
                    </w:pPr>
                    <w:r>
                      <w:rPr>
                        <w:rFonts w:asciiTheme="minorEastAsia" w:eastAsiaTheme="minorEastAsia" w:hAnsiTheme="minorEastAsia"/>
                      </w:rPr>
                      <w:t>每日最高存款限额</w:t>
                    </w:r>
                  </w:p>
                </w:tc>
              </w:sdtContent>
            </w:sdt>
            <w:sdt>
              <w:sdtPr>
                <w:rPr>
                  <w:rFonts w:asciiTheme="minorEastAsia" w:eastAsiaTheme="minorEastAsia" w:hAnsiTheme="minorEastAsia"/>
                </w:rPr>
                <w:tag w:val="_PLD_53344796359b4d568d3a4496aae806b2"/>
                <w:id w:val="-1375614515"/>
                <w:lock w:val="sdtLocked"/>
              </w:sdtPr>
              <w:sdtEndPr/>
              <w:sdtContent>
                <w:tc>
                  <w:tcPr>
                    <w:tcW w:w="853" w:type="pct"/>
                    <w:vMerge w:val="restart"/>
                    <w:shd w:val="clear" w:color="auto" w:fill="auto"/>
                    <w:vAlign w:val="center"/>
                  </w:tcPr>
                  <w:p w14:paraId="309E6C8C" w14:textId="77777777" w:rsidR="00B201D3" w:rsidRDefault="009855E8">
                    <w:pPr>
                      <w:autoSpaceDE w:val="0"/>
                      <w:autoSpaceDN w:val="0"/>
                      <w:adjustRightInd w:val="0"/>
                      <w:jc w:val="center"/>
                      <w:rPr>
                        <w:rFonts w:asciiTheme="minorEastAsia" w:eastAsiaTheme="minorEastAsia" w:hAnsiTheme="minorEastAsia"/>
                      </w:rPr>
                    </w:pPr>
                    <w:r>
                      <w:rPr>
                        <w:rFonts w:asciiTheme="minorEastAsia" w:eastAsiaTheme="minorEastAsia" w:hAnsiTheme="minorEastAsia"/>
                      </w:rPr>
                      <w:t>存款利率范围</w:t>
                    </w:r>
                  </w:p>
                </w:tc>
              </w:sdtContent>
            </w:sdt>
            <w:sdt>
              <w:sdtPr>
                <w:rPr>
                  <w:rFonts w:asciiTheme="minorEastAsia" w:eastAsiaTheme="minorEastAsia" w:hAnsiTheme="minorEastAsia"/>
                </w:rPr>
                <w:tag w:val="_PLD_6cab16c6c91b47ceb56c93e75218443e"/>
                <w:id w:val="919299654"/>
                <w:lock w:val="sdtLocked"/>
              </w:sdtPr>
              <w:sdtEndPr/>
              <w:sdtContent>
                <w:tc>
                  <w:tcPr>
                    <w:tcW w:w="515" w:type="pct"/>
                    <w:vMerge w:val="restart"/>
                    <w:shd w:val="clear" w:color="auto" w:fill="auto"/>
                    <w:vAlign w:val="center"/>
                  </w:tcPr>
                  <w:p w14:paraId="48B710D9" w14:textId="77777777" w:rsidR="00B201D3" w:rsidRDefault="009855E8">
                    <w:pPr>
                      <w:autoSpaceDE w:val="0"/>
                      <w:autoSpaceDN w:val="0"/>
                      <w:adjustRightInd w:val="0"/>
                      <w:jc w:val="center"/>
                      <w:rPr>
                        <w:rFonts w:asciiTheme="minorEastAsia" w:eastAsiaTheme="minorEastAsia" w:hAnsiTheme="minorEastAsia"/>
                      </w:rPr>
                    </w:pPr>
                    <w:r>
                      <w:rPr>
                        <w:rFonts w:asciiTheme="minorEastAsia" w:eastAsiaTheme="minorEastAsia" w:hAnsiTheme="minorEastAsia"/>
                      </w:rPr>
                      <w:t>期初余额</w:t>
                    </w:r>
                  </w:p>
                </w:tc>
              </w:sdtContent>
            </w:sdt>
            <w:sdt>
              <w:sdtPr>
                <w:rPr>
                  <w:rFonts w:asciiTheme="minorEastAsia" w:eastAsiaTheme="minorEastAsia" w:hAnsiTheme="minorEastAsia"/>
                </w:rPr>
                <w:tag w:val="_PLD_81041006ec3648d191df952d3dd35ca2"/>
                <w:id w:val="-359820440"/>
                <w:lock w:val="sdtLocked"/>
              </w:sdtPr>
              <w:sdtEndPr/>
              <w:sdtContent>
                <w:tc>
                  <w:tcPr>
                    <w:tcW w:w="1197" w:type="pct"/>
                    <w:gridSpan w:val="2"/>
                    <w:shd w:val="clear" w:color="auto" w:fill="auto"/>
                    <w:vAlign w:val="center"/>
                  </w:tcPr>
                  <w:p w14:paraId="320E3471" w14:textId="77777777" w:rsidR="00B201D3" w:rsidRDefault="009855E8">
                    <w:pPr>
                      <w:autoSpaceDE w:val="0"/>
                      <w:autoSpaceDN w:val="0"/>
                      <w:adjustRightInd w:val="0"/>
                      <w:jc w:val="center"/>
                      <w:rPr>
                        <w:rFonts w:asciiTheme="minorEastAsia" w:eastAsiaTheme="minorEastAsia" w:hAnsiTheme="minorEastAsia"/>
                      </w:rPr>
                    </w:pPr>
                    <w:r>
                      <w:rPr>
                        <w:rFonts w:asciiTheme="minorEastAsia" w:eastAsiaTheme="minorEastAsia" w:hAnsiTheme="minorEastAsia"/>
                      </w:rPr>
                      <w:t>本期发生额</w:t>
                    </w:r>
                  </w:p>
                </w:tc>
              </w:sdtContent>
            </w:sdt>
            <w:sdt>
              <w:sdtPr>
                <w:rPr>
                  <w:rFonts w:asciiTheme="minorEastAsia" w:eastAsiaTheme="minorEastAsia" w:hAnsiTheme="minorEastAsia"/>
                </w:rPr>
                <w:tag w:val="_PLD_aa27139c32114925a8a34de1276d74de"/>
                <w:id w:val="1455835094"/>
                <w:lock w:val="sdtLocked"/>
              </w:sdtPr>
              <w:sdtEndPr/>
              <w:sdtContent>
                <w:tc>
                  <w:tcPr>
                    <w:tcW w:w="479" w:type="pct"/>
                    <w:vMerge w:val="restart"/>
                    <w:shd w:val="clear" w:color="auto" w:fill="auto"/>
                    <w:vAlign w:val="center"/>
                  </w:tcPr>
                  <w:p w14:paraId="65FEA432" w14:textId="77777777" w:rsidR="00B201D3" w:rsidRDefault="009855E8">
                    <w:pPr>
                      <w:autoSpaceDE w:val="0"/>
                      <w:autoSpaceDN w:val="0"/>
                      <w:adjustRightInd w:val="0"/>
                      <w:jc w:val="center"/>
                      <w:rPr>
                        <w:rFonts w:asciiTheme="minorEastAsia" w:eastAsiaTheme="minorEastAsia" w:hAnsiTheme="minorEastAsia"/>
                      </w:rPr>
                    </w:pPr>
                    <w:r>
                      <w:rPr>
                        <w:rFonts w:asciiTheme="minorEastAsia" w:eastAsiaTheme="minorEastAsia" w:hAnsiTheme="minorEastAsia"/>
                      </w:rPr>
                      <w:t>期末余额</w:t>
                    </w:r>
                  </w:p>
                </w:tc>
              </w:sdtContent>
            </w:sdt>
          </w:tr>
          <w:tr w:rsidR="00B201D3" w14:paraId="1B5FF891" w14:textId="77777777" w:rsidTr="00011B68">
            <w:tc>
              <w:tcPr>
                <w:tcW w:w="670" w:type="pct"/>
                <w:vMerge/>
                <w:shd w:val="clear" w:color="auto" w:fill="auto"/>
                <w:vAlign w:val="center"/>
              </w:tcPr>
              <w:p w14:paraId="6AA2A492" w14:textId="77777777" w:rsidR="00B201D3" w:rsidRDefault="00B201D3">
                <w:pPr>
                  <w:autoSpaceDE w:val="0"/>
                  <w:autoSpaceDN w:val="0"/>
                  <w:adjustRightInd w:val="0"/>
                  <w:jc w:val="center"/>
                  <w:rPr>
                    <w:rFonts w:asciiTheme="minorEastAsia" w:eastAsiaTheme="minorEastAsia" w:hAnsiTheme="minorEastAsia"/>
                  </w:rPr>
                </w:pPr>
              </w:p>
            </w:tc>
            <w:tc>
              <w:tcPr>
                <w:tcW w:w="720" w:type="pct"/>
                <w:vMerge/>
                <w:shd w:val="clear" w:color="auto" w:fill="auto"/>
                <w:vAlign w:val="center"/>
              </w:tcPr>
              <w:p w14:paraId="7C90649B" w14:textId="77777777" w:rsidR="00B201D3" w:rsidRDefault="00B201D3">
                <w:pPr>
                  <w:autoSpaceDE w:val="0"/>
                  <w:autoSpaceDN w:val="0"/>
                  <w:adjustRightInd w:val="0"/>
                  <w:jc w:val="center"/>
                  <w:rPr>
                    <w:rFonts w:asciiTheme="minorEastAsia" w:eastAsiaTheme="minorEastAsia" w:hAnsiTheme="minorEastAsia"/>
                  </w:rPr>
                </w:pPr>
              </w:p>
            </w:tc>
            <w:tc>
              <w:tcPr>
                <w:tcW w:w="565" w:type="pct"/>
                <w:vMerge/>
                <w:shd w:val="clear" w:color="auto" w:fill="auto"/>
                <w:vAlign w:val="center"/>
              </w:tcPr>
              <w:p w14:paraId="4A7079E8" w14:textId="77777777" w:rsidR="00B201D3" w:rsidRDefault="00B201D3">
                <w:pPr>
                  <w:autoSpaceDE w:val="0"/>
                  <w:autoSpaceDN w:val="0"/>
                  <w:adjustRightInd w:val="0"/>
                  <w:jc w:val="center"/>
                  <w:rPr>
                    <w:rFonts w:asciiTheme="minorEastAsia" w:eastAsiaTheme="minorEastAsia" w:hAnsiTheme="minorEastAsia"/>
                  </w:rPr>
                </w:pPr>
              </w:p>
            </w:tc>
            <w:tc>
              <w:tcPr>
                <w:tcW w:w="853" w:type="pct"/>
                <w:vMerge/>
                <w:shd w:val="clear" w:color="auto" w:fill="auto"/>
                <w:vAlign w:val="center"/>
              </w:tcPr>
              <w:p w14:paraId="58018CD3" w14:textId="77777777" w:rsidR="00B201D3" w:rsidRDefault="00B201D3">
                <w:pPr>
                  <w:autoSpaceDE w:val="0"/>
                  <w:autoSpaceDN w:val="0"/>
                  <w:adjustRightInd w:val="0"/>
                  <w:jc w:val="center"/>
                  <w:rPr>
                    <w:rFonts w:asciiTheme="minorEastAsia" w:eastAsiaTheme="minorEastAsia" w:hAnsiTheme="minorEastAsia"/>
                  </w:rPr>
                </w:pPr>
              </w:p>
            </w:tc>
            <w:tc>
              <w:tcPr>
                <w:tcW w:w="515" w:type="pct"/>
                <w:vMerge/>
                <w:shd w:val="clear" w:color="auto" w:fill="auto"/>
                <w:vAlign w:val="center"/>
              </w:tcPr>
              <w:p w14:paraId="4E8468CC" w14:textId="77777777" w:rsidR="00B201D3" w:rsidRDefault="00B201D3">
                <w:pPr>
                  <w:autoSpaceDE w:val="0"/>
                  <w:autoSpaceDN w:val="0"/>
                  <w:adjustRightInd w:val="0"/>
                  <w:jc w:val="center"/>
                  <w:rPr>
                    <w:rFonts w:asciiTheme="minorEastAsia" w:eastAsiaTheme="minorEastAsia" w:hAnsiTheme="minorEastAsia"/>
                  </w:rPr>
                </w:pPr>
              </w:p>
            </w:tc>
            <w:sdt>
              <w:sdtPr>
                <w:rPr>
                  <w:rFonts w:asciiTheme="minorEastAsia" w:eastAsiaTheme="minorEastAsia" w:hAnsiTheme="minorEastAsia" w:hint="eastAsia"/>
                </w:rPr>
                <w:tag w:val="_PLD_a2f6b5773eb24bb8a29fbf18bb7113a5"/>
                <w:id w:val="953211707"/>
                <w:lock w:val="sdtLocked"/>
              </w:sdtPr>
              <w:sdtEndPr/>
              <w:sdtContent>
                <w:tc>
                  <w:tcPr>
                    <w:tcW w:w="598" w:type="pct"/>
                    <w:shd w:val="clear" w:color="auto" w:fill="auto"/>
                    <w:vAlign w:val="center"/>
                  </w:tcPr>
                  <w:p w14:paraId="48B53466" w14:textId="77777777" w:rsidR="00B201D3" w:rsidRDefault="009855E8">
                    <w:pPr>
                      <w:autoSpaceDE w:val="0"/>
                      <w:autoSpaceDN w:val="0"/>
                      <w:adjustRightInd w:val="0"/>
                      <w:jc w:val="center"/>
                      <w:rPr>
                        <w:rFonts w:asciiTheme="minorEastAsia" w:eastAsiaTheme="minorEastAsia" w:hAnsiTheme="minorEastAsia"/>
                      </w:rPr>
                    </w:pPr>
                    <w:r>
                      <w:rPr>
                        <w:rFonts w:asciiTheme="minorEastAsia" w:eastAsiaTheme="minorEastAsia" w:hAnsiTheme="minorEastAsia" w:hint="eastAsia"/>
                      </w:rPr>
                      <w:t>本期合计存入金额</w:t>
                    </w:r>
                  </w:p>
                </w:tc>
              </w:sdtContent>
            </w:sdt>
            <w:sdt>
              <w:sdtPr>
                <w:rPr>
                  <w:rFonts w:asciiTheme="minorEastAsia" w:eastAsiaTheme="minorEastAsia" w:hAnsiTheme="minorEastAsia" w:hint="eastAsia"/>
                </w:rPr>
                <w:tag w:val="_PLD_20c568f382ae46968ad4e263923079b1"/>
                <w:id w:val="-677106891"/>
                <w:lock w:val="sdtLocked"/>
              </w:sdtPr>
              <w:sdtEndPr/>
              <w:sdtContent>
                <w:tc>
                  <w:tcPr>
                    <w:tcW w:w="598" w:type="pct"/>
                  </w:tcPr>
                  <w:p w14:paraId="6AA8022C" w14:textId="77777777" w:rsidR="00B201D3" w:rsidRDefault="009855E8">
                    <w:pPr>
                      <w:autoSpaceDE w:val="0"/>
                      <w:autoSpaceDN w:val="0"/>
                      <w:adjustRightInd w:val="0"/>
                      <w:jc w:val="center"/>
                      <w:rPr>
                        <w:rFonts w:asciiTheme="minorEastAsia" w:eastAsiaTheme="minorEastAsia" w:hAnsiTheme="minorEastAsia"/>
                      </w:rPr>
                    </w:pPr>
                    <w:r>
                      <w:rPr>
                        <w:rFonts w:asciiTheme="minorEastAsia" w:eastAsiaTheme="minorEastAsia" w:hAnsiTheme="minorEastAsia" w:hint="eastAsia"/>
                      </w:rPr>
                      <w:t>本期合计取出金额</w:t>
                    </w:r>
                  </w:p>
                </w:tc>
              </w:sdtContent>
            </w:sdt>
            <w:tc>
              <w:tcPr>
                <w:tcW w:w="479" w:type="pct"/>
                <w:vMerge/>
                <w:shd w:val="clear" w:color="auto" w:fill="auto"/>
                <w:vAlign w:val="center"/>
              </w:tcPr>
              <w:p w14:paraId="4A683903" w14:textId="77777777" w:rsidR="00B201D3" w:rsidRDefault="00B201D3">
                <w:pPr>
                  <w:autoSpaceDE w:val="0"/>
                  <w:autoSpaceDN w:val="0"/>
                  <w:adjustRightInd w:val="0"/>
                  <w:jc w:val="center"/>
                  <w:rPr>
                    <w:rFonts w:asciiTheme="minorEastAsia" w:eastAsiaTheme="minorEastAsia" w:hAnsiTheme="minorEastAsia"/>
                  </w:rPr>
                </w:pPr>
              </w:p>
            </w:tc>
          </w:tr>
          <w:sdt>
            <w:sdtPr>
              <w:rPr>
                <w:rFonts w:asciiTheme="minorEastAsia" w:eastAsiaTheme="minorEastAsia" w:hAnsiTheme="minorEastAsia"/>
              </w:rPr>
              <w:alias w:val="存款业务情况"/>
              <w:tag w:val="_TUP_7893ada999f84d7184071ef0e6358dc2"/>
              <w:id w:val="-311952176"/>
              <w:lock w:val="sdtLocked"/>
            </w:sdtPr>
            <w:sdtEndPr/>
            <w:sdtContent>
              <w:tr w:rsidR="00B201D3" w14:paraId="58F2015E" w14:textId="77777777" w:rsidTr="00011B68">
                <w:tc>
                  <w:tcPr>
                    <w:tcW w:w="670" w:type="pct"/>
                    <w:shd w:val="clear" w:color="auto" w:fill="auto"/>
                    <w:vAlign w:val="center"/>
                  </w:tcPr>
                  <w:p w14:paraId="4BCF894C" w14:textId="77777777" w:rsidR="00B201D3" w:rsidRDefault="009855E8" w:rsidP="00011B68">
                    <w:pPr>
                      <w:autoSpaceDE w:val="0"/>
                      <w:autoSpaceDN w:val="0"/>
                      <w:adjustRightInd w:val="0"/>
                      <w:jc w:val="center"/>
                      <w:rPr>
                        <w:rFonts w:asciiTheme="minorEastAsia" w:eastAsiaTheme="minorEastAsia" w:hAnsiTheme="minorEastAsia"/>
                      </w:rPr>
                    </w:pPr>
                    <w:r>
                      <w:rPr>
                        <w:rFonts w:asciiTheme="minorEastAsia" w:eastAsiaTheme="minorEastAsia" w:hAnsiTheme="minorEastAsia"/>
                      </w:rPr>
                      <w:t>山东能源集团</w:t>
                    </w:r>
                  </w:p>
                </w:tc>
                <w:tc>
                  <w:tcPr>
                    <w:tcW w:w="720" w:type="pct"/>
                    <w:shd w:val="clear" w:color="auto" w:fill="auto"/>
                    <w:vAlign w:val="center"/>
                  </w:tcPr>
                  <w:p w14:paraId="73D31268" w14:textId="77777777" w:rsidR="00B201D3" w:rsidRDefault="009855E8" w:rsidP="00011B68">
                    <w:pPr>
                      <w:autoSpaceDE w:val="0"/>
                      <w:autoSpaceDN w:val="0"/>
                      <w:adjustRightInd w:val="0"/>
                      <w:jc w:val="center"/>
                      <w:rPr>
                        <w:rFonts w:asciiTheme="minorEastAsia" w:eastAsiaTheme="minorEastAsia" w:hAnsiTheme="minorEastAsia"/>
                      </w:rPr>
                    </w:pPr>
                    <w:r>
                      <w:rPr>
                        <w:rFonts w:asciiTheme="minorEastAsia" w:eastAsiaTheme="minorEastAsia" w:hAnsiTheme="minorEastAsia"/>
                      </w:rPr>
                      <w:t>控股股东</w:t>
                    </w:r>
                  </w:p>
                </w:tc>
                <w:tc>
                  <w:tcPr>
                    <w:tcW w:w="565" w:type="pct"/>
                    <w:shd w:val="clear" w:color="auto" w:fill="auto"/>
                    <w:vAlign w:val="center"/>
                  </w:tcPr>
                  <w:p w14:paraId="03760BE8" w14:textId="77777777" w:rsidR="00B201D3" w:rsidRDefault="009855E8" w:rsidP="00011B68">
                    <w:pPr>
                      <w:autoSpaceDE w:val="0"/>
                      <w:autoSpaceDN w:val="0"/>
                      <w:adjustRightInd w:val="0"/>
                      <w:jc w:val="center"/>
                      <w:rPr>
                        <w:rFonts w:asciiTheme="minorEastAsia" w:eastAsiaTheme="minorEastAsia" w:hAnsiTheme="minorEastAsia"/>
                      </w:rPr>
                    </w:pPr>
                    <w:r>
                      <w:rPr>
                        <w:rFonts w:asciiTheme="minorEastAsia" w:eastAsiaTheme="minorEastAsia" w:hAnsiTheme="minorEastAsia"/>
                      </w:rPr>
                      <w:t>/</w:t>
                    </w:r>
                  </w:p>
                </w:tc>
                <w:tc>
                  <w:tcPr>
                    <w:tcW w:w="853" w:type="pct"/>
                    <w:shd w:val="clear" w:color="auto" w:fill="auto"/>
                    <w:vAlign w:val="center"/>
                  </w:tcPr>
                  <w:p w14:paraId="62B37AF4" w14:textId="32E1F45F" w:rsidR="00B201D3" w:rsidRDefault="009855E8" w:rsidP="00011B68">
                    <w:pPr>
                      <w:autoSpaceDE w:val="0"/>
                      <w:autoSpaceDN w:val="0"/>
                      <w:adjustRightInd w:val="0"/>
                      <w:ind w:right="210"/>
                      <w:jc w:val="center"/>
                      <w:rPr>
                        <w:rFonts w:asciiTheme="minorEastAsia" w:eastAsiaTheme="minorEastAsia" w:hAnsiTheme="minorEastAsia"/>
                      </w:rPr>
                    </w:pPr>
                    <w:r>
                      <w:rPr>
                        <w:rFonts w:asciiTheme="minorEastAsia" w:eastAsiaTheme="minorEastAsia" w:hAnsiTheme="minorEastAsia"/>
                      </w:rPr>
                      <w:t>0.30%</w:t>
                    </w:r>
                    <w:r w:rsidR="00011B68">
                      <w:rPr>
                        <w:rFonts w:asciiTheme="minorEastAsia" w:eastAsiaTheme="minorEastAsia" w:hAnsiTheme="minorEastAsia"/>
                      </w:rPr>
                      <w:t>-</w:t>
                    </w:r>
                    <w:r>
                      <w:rPr>
                        <w:rFonts w:asciiTheme="minorEastAsia" w:eastAsiaTheme="minorEastAsia" w:hAnsiTheme="minorEastAsia"/>
                      </w:rPr>
                      <w:t>2.0%</w:t>
                    </w:r>
                  </w:p>
                </w:tc>
                <w:tc>
                  <w:tcPr>
                    <w:tcW w:w="515" w:type="pct"/>
                    <w:shd w:val="clear" w:color="auto" w:fill="auto"/>
                    <w:vAlign w:val="center"/>
                  </w:tcPr>
                  <w:p w14:paraId="1A80BAE9" w14:textId="77777777" w:rsidR="00B201D3" w:rsidRDefault="009855E8" w:rsidP="00011B68">
                    <w:pPr>
                      <w:autoSpaceDE w:val="0"/>
                      <w:autoSpaceDN w:val="0"/>
                      <w:adjustRightInd w:val="0"/>
                      <w:jc w:val="center"/>
                      <w:rPr>
                        <w:rFonts w:asciiTheme="minorEastAsia" w:eastAsiaTheme="minorEastAsia" w:hAnsiTheme="minorEastAsia"/>
                      </w:rPr>
                    </w:pPr>
                    <w:r>
                      <w:rPr>
                        <w:rFonts w:asciiTheme="minorEastAsia" w:eastAsiaTheme="minorEastAsia" w:hAnsiTheme="minorEastAsia"/>
                      </w:rPr>
                      <w:t>111.30</w:t>
                    </w:r>
                  </w:p>
                </w:tc>
                <w:tc>
                  <w:tcPr>
                    <w:tcW w:w="598" w:type="pct"/>
                    <w:shd w:val="clear" w:color="auto" w:fill="auto"/>
                    <w:vAlign w:val="center"/>
                  </w:tcPr>
                  <w:p w14:paraId="578F2F12" w14:textId="77777777" w:rsidR="00B201D3" w:rsidRDefault="009855E8" w:rsidP="00011B68">
                    <w:pPr>
                      <w:autoSpaceDE w:val="0"/>
                      <w:autoSpaceDN w:val="0"/>
                      <w:adjustRightInd w:val="0"/>
                      <w:jc w:val="center"/>
                      <w:rPr>
                        <w:rFonts w:asciiTheme="minorEastAsia" w:eastAsiaTheme="minorEastAsia" w:hAnsiTheme="minorEastAsia"/>
                      </w:rPr>
                    </w:pPr>
                    <w:r>
                      <w:rPr>
                        <w:rFonts w:asciiTheme="minorEastAsia" w:eastAsiaTheme="minorEastAsia" w:hAnsiTheme="minorEastAsia"/>
                      </w:rPr>
                      <w:t>2,644.82</w:t>
                    </w:r>
                  </w:p>
                </w:tc>
                <w:tc>
                  <w:tcPr>
                    <w:tcW w:w="598" w:type="pct"/>
                    <w:vAlign w:val="center"/>
                  </w:tcPr>
                  <w:p w14:paraId="2B0DA8BF" w14:textId="77777777" w:rsidR="00B201D3" w:rsidRDefault="009855E8" w:rsidP="00011B68">
                    <w:pPr>
                      <w:autoSpaceDE w:val="0"/>
                      <w:autoSpaceDN w:val="0"/>
                      <w:adjustRightInd w:val="0"/>
                      <w:jc w:val="center"/>
                      <w:rPr>
                        <w:rFonts w:asciiTheme="minorEastAsia" w:eastAsiaTheme="minorEastAsia" w:hAnsiTheme="minorEastAsia"/>
                      </w:rPr>
                    </w:pPr>
                    <w:r>
                      <w:rPr>
                        <w:rFonts w:asciiTheme="minorEastAsia" w:eastAsiaTheme="minorEastAsia" w:hAnsiTheme="minorEastAsia"/>
                      </w:rPr>
                      <w:t>2,654.27</w:t>
                    </w:r>
                  </w:p>
                </w:tc>
                <w:tc>
                  <w:tcPr>
                    <w:tcW w:w="479" w:type="pct"/>
                    <w:shd w:val="clear" w:color="auto" w:fill="auto"/>
                    <w:vAlign w:val="center"/>
                  </w:tcPr>
                  <w:p w14:paraId="460F6DBF" w14:textId="77777777" w:rsidR="00B201D3" w:rsidRDefault="009855E8" w:rsidP="00011B68">
                    <w:pPr>
                      <w:autoSpaceDE w:val="0"/>
                      <w:autoSpaceDN w:val="0"/>
                      <w:adjustRightInd w:val="0"/>
                      <w:jc w:val="center"/>
                      <w:rPr>
                        <w:rFonts w:asciiTheme="minorEastAsia" w:eastAsiaTheme="minorEastAsia" w:hAnsiTheme="minorEastAsia"/>
                      </w:rPr>
                    </w:pPr>
                    <w:r>
                      <w:rPr>
                        <w:rFonts w:asciiTheme="minorEastAsia" w:eastAsiaTheme="minorEastAsia" w:hAnsiTheme="minorEastAsia"/>
                      </w:rPr>
                      <w:t>101.85</w:t>
                    </w:r>
                  </w:p>
                </w:tc>
              </w:tr>
            </w:sdtContent>
          </w:sdt>
          <w:sdt>
            <w:sdtPr>
              <w:rPr>
                <w:rFonts w:asciiTheme="minorEastAsia" w:eastAsiaTheme="minorEastAsia" w:hAnsiTheme="minorEastAsia"/>
              </w:rPr>
              <w:alias w:val="存款业务情况"/>
              <w:tag w:val="_TUP_7893ada999f84d7184071ef0e6358dc2"/>
              <w:id w:val="576559398"/>
              <w:lock w:val="sdtLocked"/>
            </w:sdtPr>
            <w:sdtEndPr/>
            <w:sdtContent>
              <w:tr w:rsidR="00B201D3" w14:paraId="30F2F408" w14:textId="77777777" w:rsidTr="00011B68">
                <w:tc>
                  <w:tcPr>
                    <w:tcW w:w="670" w:type="pct"/>
                    <w:shd w:val="clear" w:color="auto" w:fill="auto"/>
                    <w:vAlign w:val="center"/>
                  </w:tcPr>
                  <w:p w14:paraId="572B49D7" w14:textId="77777777" w:rsidR="00B201D3" w:rsidRDefault="009855E8" w:rsidP="00011B68">
                    <w:pPr>
                      <w:autoSpaceDE w:val="0"/>
                      <w:autoSpaceDN w:val="0"/>
                      <w:adjustRightInd w:val="0"/>
                      <w:jc w:val="center"/>
                      <w:rPr>
                        <w:rFonts w:asciiTheme="minorEastAsia" w:eastAsiaTheme="minorEastAsia" w:hAnsiTheme="minorEastAsia"/>
                      </w:rPr>
                    </w:pPr>
                    <w:r>
                      <w:rPr>
                        <w:rFonts w:asciiTheme="minorEastAsia" w:eastAsiaTheme="minorEastAsia" w:hAnsiTheme="minorEastAsia"/>
                      </w:rPr>
                      <w:t>合计</w:t>
                    </w:r>
                  </w:p>
                </w:tc>
                <w:tc>
                  <w:tcPr>
                    <w:tcW w:w="720" w:type="pct"/>
                    <w:shd w:val="clear" w:color="auto" w:fill="auto"/>
                    <w:vAlign w:val="center"/>
                  </w:tcPr>
                  <w:p w14:paraId="32BC9D04" w14:textId="77777777" w:rsidR="00B201D3" w:rsidRDefault="009855E8" w:rsidP="00011B68">
                    <w:pPr>
                      <w:autoSpaceDE w:val="0"/>
                      <w:autoSpaceDN w:val="0"/>
                      <w:adjustRightInd w:val="0"/>
                      <w:jc w:val="center"/>
                      <w:rPr>
                        <w:rFonts w:asciiTheme="minorEastAsia" w:eastAsiaTheme="minorEastAsia" w:hAnsiTheme="minorEastAsia"/>
                      </w:rPr>
                    </w:pPr>
                    <w:r>
                      <w:rPr>
                        <w:rFonts w:asciiTheme="minorEastAsia" w:eastAsiaTheme="minorEastAsia" w:hAnsiTheme="minorEastAsia"/>
                      </w:rPr>
                      <w:t>/</w:t>
                    </w:r>
                  </w:p>
                </w:tc>
                <w:tc>
                  <w:tcPr>
                    <w:tcW w:w="565" w:type="pct"/>
                    <w:shd w:val="clear" w:color="auto" w:fill="auto"/>
                    <w:vAlign w:val="center"/>
                  </w:tcPr>
                  <w:p w14:paraId="08E0691D" w14:textId="77777777" w:rsidR="00B201D3" w:rsidRDefault="009855E8" w:rsidP="00011B68">
                    <w:pPr>
                      <w:autoSpaceDE w:val="0"/>
                      <w:autoSpaceDN w:val="0"/>
                      <w:adjustRightInd w:val="0"/>
                      <w:jc w:val="center"/>
                      <w:rPr>
                        <w:rFonts w:asciiTheme="minorEastAsia" w:eastAsiaTheme="minorEastAsia" w:hAnsiTheme="minorEastAsia"/>
                      </w:rPr>
                    </w:pPr>
                    <w:r>
                      <w:rPr>
                        <w:rFonts w:asciiTheme="minorEastAsia" w:eastAsiaTheme="minorEastAsia" w:hAnsiTheme="minorEastAsia"/>
                      </w:rPr>
                      <w:t>/</w:t>
                    </w:r>
                  </w:p>
                </w:tc>
                <w:tc>
                  <w:tcPr>
                    <w:tcW w:w="853" w:type="pct"/>
                    <w:shd w:val="clear" w:color="auto" w:fill="auto"/>
                    <w:vAlign w:val="center"/>
                  </w:tcPr>
                  <w:p w14:paraId="242D3C07" w14:textId="77777777" w:rsidR="00B201D3" w:rsidRDefault="009855E8" w:rsidP="00011B68">
                    <w:pPr>
                      <w:autoSpaceDE w:val="0"/>
                      <w:autoSpaceDN w:val="0"/>
                      <w:adjustRightInd w:val="0"/>
                      <w:jc w:val="center"/>
                      <w:rPr>
                        <w:rFonts w:asciiTheme="minorEastAsia" w:eastAsiaTheme="minorEastAsia" w:hAnsiTheme="minorEastAsia"/>
                      </w:rPr>
                    </w:pPr>
                    <w:r>
                      <w:rPr>
                        <w:rFonts w:asciiTheme="minorEastAsia" w:eastAsiaTheme="minorEastAsia" w:hAnsiTheme="minorEastAsia"/>
                      </w:rPr>
                      <w:t>/</w:t>
                    </w:r>
                  </w:p>
                </w:tc>
                <w:tc>
                  <w:tcPr>
                    <w:tcW w:w="515" w:type="pct"/>
                    <w:shd w:val="clear" w:color="auto" w:fill="auto"/>
                    <w:vAlign w:val="center"/>
                  </w:tcPr>
                  <w:p w14:paraId="76649EBF" w14:textId="77777777" w:rsidR="00B201D3" w:rsidRDefault="009855E8" w:rsidP="00011B68">
                    <w:pPr>
                      <w:autoSpaceDE w:val="0"/>
                      <w:autoSpaceDN w:val="0"/>
                      <w:adjustRightInd w:val="0"/>
                      <w:jc w:val="center"/>
                      <w:rPr>
                        <w:rFonts w:asciiTheme="minorEastAsia" w:eastAsiaTheme="minorEastAsia" w:hAnsiTheme="minorEastAsia"/>
                      </w:rPr>
                    </w:pPr>
                    <w:r>
                      <w:rPr>
                        <w:rFonts w:asciiTheme="minorEastAsia" w:eastAsiaTheme="minorEastAsia" w:hAnsiTheme="minorEastAsia"/>
                      </w:rPr>
                      <w:t>111.30</w:t>
                    </w:r>
                  </w:p>
                </w:tc>
                <w:tc>
                  <w:tcPr>
                    <w:tcW w:w="598" w:type="pct"/>
                    <w:shd w:val="clear" w:color="auto" w:fill="auto"/>
                    <w:vAlign w:val="center"/>
                  </w:tcPr>
                  <w:p w14:paraId="0D2B0D29" w14:textId="77777777" w:rsidR="00B201D3" w:rsidRDefault="009855E8" w:rsidP="00011B68">
                    <w:pPr>
                      <w:autoSpaceDE w:val="0"/>
                      <w:autoSpaceDN w:val="0"/>
                      <w:adjustRightInd w:val="0"/>
                      <w:jc w:val="center"/>
                      <w:rPr>
                        <w:rFonts w:asciiTheme="minorEastAsia" w:eastAsiaTheme="minorEastAsia" w:hAnsiTheme="minorEastAsia"/>
                      </w:rPr>
                    </w:pPr>
                    <w:r>
                      <w:rPr>
                        <w:rFonts w:asciiTheme="minorEastAsia" w:eastAsiaTheme="minorEastAsia" w:hAnsiTheme="minorEastAsia"/>
                      </w:rPr>
                      <w:t>2,644.82</w:t>
                    </w:r>
                  </w:p>
                </w:tc>
                <w:tc>
                  <w:tcPr>
                    <w:tcW w:w="598" w:type="pct"/>
                    <w:vAlign w:val="center"/>
                  </w:tcPr>
                  <w:p w14:paraId="47A49677" w14:textId="77777777" w:rsidR="00B201D3" w:rsidRDefault="009855E8" w:rsidP="00011B68">
                    <w:pPr>
                      <w:autoSpaceDE w:val="0"/>
                      <w:autoSpaceDN w:val="0"/>
                      <w:adjustRightInd w:val="0"/>
                      <w:jc w:val="center"/>
                      <w:rPr>
                        <w:rFonts w:asciiTheme="minorEastAsia" w:eastAsiaTheme="minorEastAsia" w:hAnsiTheme="minorEastAsia"/>
                      </w:rPr>
                    </w:pPr>
                    <w:r>
                      <w:rPr>
                        <w:rFonts w:asciiTheme="minorEastAsia" w:eastAsiaTheme="minorEastAsia" w:hAnsiTheme="minorEastAsia"/>
                      </w:rPr>
                      <w:t>2,654.27</w:t>
                    </w:r>
                  </w:p>
                </w:tc>
                <w:tc>
                  <w:tcPr>
                    <w:tcW w:w="479" w:type="pct"/>
                    <w:shd w:val="clear" w:color="auto" w:fill="auto"/>
                    <w:vAlign w:val="center"/>
                  </w:tcPr>
                  <w:p w14:paraId="102D3265" w14:textId="77777777" w:rsidR="00B201D3" w:rsidRDefault="009855E8" w:rsidP="00011B68">
                    <w:pPr>
                      <w:autoSpaceDE w:val="0"/>
                      <w:autoSpaceDN w:val="0"/>
                      <w:adjustRightInd w:val="0"/>
                      <w:jc w:val="center"/>
                      <w:rPr>
                        <w:rFonts w:asciiTheme="minorEastAsia" w:eastAsiaTheme="minorEastAsia" w:hAnsiTheme="minorEastAsia"/>
                      </w:rPr>
                    </w:pPr>
                    <w:r>
                      <w:rPr>
                        <w:rFonts w:asciiTheme="minorEastAsia" w:eastAsiaTheme="minorEastAsia" w:hAnsiTheme="minorEastAsia"/>
                      </w:rPr>
                      <w:t>101.85</w:t>
                    </w:r>
                  </w:p>
                </w:tc>
              </w:tr>
            </w:sdtContent>
          </w:sdt>
        </w:tbl>
        <w:p w14:paraId="7388983E" w14:textId="77777777" w:rsidR="00B201D3" w:rsidRDefault="00C8327E" w:rsidP="00011B68">
          <w:pPr>
            <w:jc w:val="center"/>
            <w:rPr>
              <w:rFonts w:asciiTheme="minorEastAsia" w:eastAsiaTheme="minorEastAsia" w:hAnsiTheme="minorEastAsia"/>
            </w:rPr>
          </w:pPr>
        </w:p>
      </w:sdtContent>
    </w:sdt>
    <w:bookmarkEnd w:id="85" w:displacedByCustomXml="next"/>
    <w:bookmarkStart w:id="86" w:name="_Hlk106875255" w:displacedByCustomXml="next"/>
    <w:sdt>
      <w:sdtPr>
        <w:rPr>
          <w:rFonts w:asciiTheme="minorEastAsia" w:eastAsiaTheme="minorEastAsia" w:hAnsiTheme="minorEastAsia" w:cs="宋体" w:hint="eastAsia"/>
          <w:b w:val="0"/>
          <w:bCs/>
          <w:kern w:val="0"/>
          <w:szCs w:val="24"/>
        </w:rPr>
        <w:alias w:val="模块:贷款业务"/>
        <w:tag w:val="_SEC_45b8c1047ae846eebaed610686a59163"/>
        <w:id w:val="-1561705247"/>
        <w:lock w:val="sdtLocked"/>
        <w:placeholder>
          <w:docPart w:val="GBC22222222222222222222222222222"/>
        </w:placeholder>
      </w:sdtPr>
      <w:sdtEndPr>
        <w:rPr>
          <w:rFonts w:hint="default"/>
          <w:bCs w:val="0"/>
          <w:szCs w:val="21"/>
        </w:rPr>
      </w:sdtEndPr>
      <w:sdtContent>
        <w:p w14:paraId="5A456B59" w14:textId="77777777" w:rsidR="00B201D3" w:rsidRDefault="009855E8">
          <w:pPr>
            <w:pStyle w:val="3899"/>
            <w:numPr>
              <w:ilvl w:val="0"/>
              <w:numId w:val="32"/>
            </w:numPr>
            <w:rPr>
              <w:rFonts w:asciiTheme="minorEastAsia" w:eastAsiaTheme="minorEastAsia" w:hAnsiTheme="minorEastAsia"/>
            </w:rPr>
          </w:pPr>
          <w:r>
            <w:rPr>
              <w:rFonts w:asciiTheme="minorEastAsia" w:eastAsiaTheme="minorEastAsia" w:hAnsiTheme="minorEastAsia" w:hint="eastAsia"/>
            </w:rPr>
            <w:t>贷款业务</w:t>
          </w:r>
        </w:p>
        <w:sdt>
          <w:sdtPr>
            <w:rPr>
              <w:rFonts w:asciiTheme="minorEastAsia" w:eastAsiaTheme="minorEastAsia" w:hAnsiTheme="minorEastAsia"/>
            </w:rPr>
            <w:alias w:val="是否适用：贷款业务[双击切换]"/>
            <w:tag w:val="_GBC_15b9ec2cfd26471eb84f966164f4e1fa"/>
            <w:id w:val="650948732"/>
            <w:lock w:val="sdtLocked"/>
            <w:placeholder>
              <w:docPart w:val="GBC22222222222222222222222222222"/>
            </w:placeholder>
          </w:sdtPr>
          <w:sdtEndPr/>
          <w:sdtContent>
            <w:p w14:paraId="343413AB" w14:textId="77777777" w:rsidR="00B201D3" w:rsidRDefault="009855E8">
              <w:pPr>
                <w:rPr>
                  <w:rFonts w:asciiTheme="minorEastAsia" w:eastAsiaTheme="minorEastAsia" w:hAnsiTheme="minorEastAsia"/>
                </w:rPr>
              </w:pP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p w14:paraId="4CE354E5" w14:textId="77777777" w:rsidR="00B201D3" w:rsidRDefault="00C8327E">
              <w:pPr>
                <w:rPr>
                  <w:rFonts w:asciiTheme="minorEastAsia" w:eastAsiaTheme="minorEastAsia" w:hAnsiTheme="minorEastAsia"/>
                </w:rPr>
              </w:pPr>
            </w:p>
          </w:sdtContent>
        </w:sdt>
        <w:p w14:paraId="483CC3DC" w14:textId="3B6AA34B" w:rsidR="00B201D3" w:rsidRDefault="009855E8">
          <w:pPr>
            <w:jc w:val="right"/>
            <w:rPr>
              <w:rFonts w:asciiTheme="minorEastAsia" w:eastAsiaTheme="minorEastAsia" w:hAnsiTheme="minorEastAsia"/>
            </w:rPr>
          </w:pPr>
          <w:r>
            <w:rPr>
              <w:rFonts w:asciiTheme="minorEastAsia" w:eastAsiaTheme="minorEastAsia" w:hAnsiTheme="minorEastAsia" w:hint="eastAsia"/>
            </w:rPr>
            <w:lastRenderedPageBreak/>
            <w:t>单位：</w:t>
          </w:r>
          <w:sdt>
            <w:sdtPr>
              <w:rPr>
                <w:rFonts w:asciiTheme="minorEastAsia" w:eastAsiaTheme="minorEastAsia" w:hAnsiTheme="minorEastAsia" w:hint="eastAsia"/>
              </w:rPr>
              <w:alias w:val="单位：贷款业务情况"/>
              <w:tag w:val="_GBC_00ad76cd7031486d9c7b9a4a4ddf886c"/>
              <w:id w:val="-64596559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46283">
                <w:rPr>
                  <w:rFonts w:asciiTheme="minorEastAsia" w:eastAsiaTheme="minorEastAsia" w:hAnsiTheme="minorEastAsia" w:hint="eastAsia"/>
                </w:rPr>
                <w:t>亿元</w:t>
              </w:r>
            </w:sdtContent>
          </w:sdt>
          <w:r>
            <w:rPr>
              <w:rFonts w:asciiTheme="minorEastAsia" w:eastAsiaTheme="minorEastAsia" w:hAnsiTheme="minorEastAsia" w:hint="eastAsia"/>
            </w:rPr>
            <w:t xml:space="preserve">  币种：</w:t>
          </w:r>
          <w:sdt>
            <w:sdtPr>
              <w:rPr>
                <w:rFonts w:asciiTheme="minorEastAsia" w:eastAsiaTheme="minorEastAsia" w:hAnsiTheme="minorEastAsia" w:hint="eastAsia"/>
              </w:rPr>
              <w:alias w:val="币种：贷款业务情况"/>
              <w:tag w:val="_GBC_2346ac86af354eb19e43f4e9b28e4376"/>
              <w:id w:val="15462649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46283">
                <w:rPr>
                  <w:rFonts w:asciiTheme="minorEastAsia" w:eastAsiaTheme="minorEastAsia" w:hAnsiTheme="minorEastAsia" w:hint="eastAsia"/>
                </w:rPr>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1337"/>
            <w:gridCol w:w="1061"/>
            <w:gridCol w:w="1235"/>
            <w:gridCol w:w="1013"/>
            <w:gridCol w:w="1061"/>
            <w:gridCol w:w="1078"/>
            <w:gridCol w:w="791"/>
          </w:tblGrid>
          <w:tr w:rsidR="00B201D3" w14:paraId="56900432" w14:textId="77777777">
            <w:sdt>
              <w:sdtPr>
                <w:rPr>
                  <w:rFonts w:asciiTheme="minorEastAsia" w:eastAsiaTheme="minorEastAsia" w:hAnsiTheme="minorEastAsia" w:hint="eastAsia"/>
                </w:rPr>
                <w:tag w:val="_PLD_7ccdec2bb6f94443b7713c1c56ae19fd"/>
                <w:id w:val="-338157101"/>
                <w:lock w:val="sdtLocked"/>
              </w:sdtPr>
              <w:sdtEndPr/>
              <w:sdtContent>
                <w:tc>
                  <w:tcPr>
                    <w:tcW w:w="707" w:type="pct"/>
                    <w:vMerge w:val="restart"/>
                    <w:shd w:val="clear" w:color="auto" w:fill="auto"/>
                    <w:vAlign w:val="center"/>
                  </w:tcPr>
                  <w:p w14:paraId="5E32B3A0" w14:textId="77777777" w:rsidR="00B201D3" w:rsidRDefault="009855E8">
                    <w:pPr>
                      <w:autoSpaceDE w:val="0"/>
                      <w:autoSpaceDN w:val="0"/>
                      <w:adjustRightInd w:val="0"/>
                      <w:jc w:val="center"/>
                      <w:rPr>
                        <w:rFonts w:asciiTheme="minorEastAsia" w:eastAsiaTheme="minorEastAsia" w:hAnsiTheme="minorEastAsia"/>
                      </w:rPr>
                    </w:pPr>
                    <w:r>
                      <w:rPr>
                        <w:rFonts w:asciiTheme="minorEastAsia" w:eastAsiaTheme="minorEastAsia" w:hAnsiTheme="minorEastAsia" w:hint="eastAsia"/>
                      </w:rPr>
                      <w:t>关联方</w:t>
                    </w:r>
                  </w:p>
                </w:tc>
              </w:sdtContent>
            </w:sdt>
            <w:sdt>
              <w:sdtPr>
                <w:rPr>
                  <w:rFonts w:asciiTheme="minorEastAsia" w:eastAsiaTheme="minorEastAsia" w:hAnsiTheme="minorEastAsia" w:hint="eastAsia"/>
                </w:rPr>
                <w:tag w:val="_PLD_34800de0a23746a9808d2abc3c4b5f1c"/>
                <w:id w:val="-1767386510"/>
                <w:lock w:val="sdtLocked"/>
              </w:sdtPr>
              <w:sdtEndPr/>
              <w:sdtContent>
                <w:tc>
                  <w:tcPr>
                    <w:tcW w:w="758" w:type="pct"/>
                    <w:vMerge w:val="restart"/>
                    <w:shd w:val="clear" w:color="auto" w:fill="auto"/>
                    <w:vAlign w:val="center"/>
                  </w:tcPr>
                  <w:p w14:paraId="5A21DFC2" w14:textId="77777777" w:rsidR="00B201D3" w:rsidRDefault="009855E8">
                    <w:pPr>
                      <w:autoSpaceDE w:val="0"/>
                      <w:autoSpaceDN w:val="0"/>
                      <w:adjustRightInd w:val="0"/>
                      <w:jc w:val="center"/>
                      <w:rPr>
                        <w:rFonts w:asciiTheme="minorEastAsia" w:eastAsiaTheme="minorEastAsia" w:hAnsiTheme="minorEastAsia"/>
                      </w:rPr>
                    </w:pPr>
                    <w:r>
                      <w:rPr>
                        <w:rFonts w:asciiTheme="minorEastAsia" w:eastAsiaTheme="minorEastAsia" w:hAnsiTheme="minorEastAsia" w:hint="eastAsia"/>
                      </w:rPr>
                      <w:t>关联关系</w:t>
                    </w:r>
                  </w:p>
                </w:tc>
              </w:sdtContent>
            </w:sdt>
            <w:sdt>
              <w:sdtPr>
                <w:rPr>
                  <w:rFonts w:asciiTheme="minorEastAsia" w:eastAsiaTheme="minorEastAsia" w:hAnsiTheme="minorEastAsia"/>
                </w:rPr>
                <w:tag w:val="_PLD_dfb92dc18b4943a2b8e0637ac8e976a9"/>
                <w:id w:val="-797065848"/>
                <w:lock w:val="sdtLocked"/>
              </w:sdtPr>
              <w:sdtEndPr/>
              <w:sdtContent>
                <w:tc>
                  <w:tcPr>
                    <w:tcW w:w="601" w:type="pct"/>
                    <w:vMerge w:val="restart"/>
                    <w:shd w:val="clear" w:color="auto" w:fill="auto"/>
                    <w:vAlign w:val="center"/>
                  </w:tcPr>
                  <w:p w14:paraId="6091FF20" w14:textId="77777777" w:rsidR="00B201D3" w:rsidRDefault="009855E8">
                    <w:pPr>
                      <w:autoSpaceDE w:val="0"/>
                      <w:autoSpaceDN w:val="0"/>
                      <w:adjustRightInd w:val="0"/>
                      <w:jc w:val="center"/>
                      <w:rPr>
                        <w:rFonts w:asciiTheme="minorEastAsia" w:eastAsiaTheme="minorEastAsia" w:hAnsiTheme="minorEastAsia"/>
                      </w:rPr>
                    </w:pPr>
                    <w:r>
                      <w:rPr>
                        <w:rFonts w:asciiTheme="minorEastAsia" w:eastAsiaTheme="minorEastAsia" w:hAnsiTheme="minorEastAsia"/>
                      </w:rPr>
                      <w:t>贷款额度</w:t>
                    </w:r>
                  </w:p>
                </w:tc>
              </w:sdtContent>
            </w:sdt>
            <w:sdt>
              <w:sdtPr>
                <w:rPr>
                  <w:rFonts w:asciiTheme="minorEastAsia" w:eastAsiaTheme="minorEastAsia" w:hAnsiTheme="minorEastAsia"/>
                </w:rPr>
                <w:tag w:val="_PLD_37830bab3f184d6f885fa2d04676b78a"/>
                <w:id w:val="-2135394874"/>
                <w:lock w:val="sdtLocked"/>
              </w:sdtPr>
              <w:sdtEndPr/>
              <w:sdtContent>
                <w:tc>
                  <w:tcPr>
                    <w:tcW w:w="700" w:type="pct"/>
                    <w:vMerge w:val="restart"/>
                    <w:shd w:val="clear" w:color="auto" w:fill="auto"/>
                    <w:vAlign w:val="center"/>
                  </w:tcPr>
                  <w:p w14:paraId="5BF54CCF" w14:textId="77777777" w:rsidR="00B201D3" w:rsidRDefault="009855E8">
                    <w:pPr>
                      <w:autoSpaceDE w:val="0"/>
                      <w:autoSpaceDN w:val="0"/>
                      <w:adjustRightInd w:val="0"/>
                      <w:jc w:val="center"/>
                      <w:rPr>
                        <w:rFonts w:asciiTheme="minorEastAsia" w:eastAsiaTheme="minorEastAsia" w:hAnsiTheme="minorEastAsia"/>
                      </w:rPr>
                    </w:pPr>
                    <w:r>
                      <w:rPr>
                        <w:rFonts w:asciiTheme="minorEastAsia" w:eastAsiaTheme="minorEastAsia" w:hAnsiTheme="minorEastAsia"/>
                      </w:rPr>
                      <w:t>贷款利率范围</w:t>
                    </w:r>
                  </w:p>
                </w:tc>
              </w:sdtContent>
            </w:sdt>
            <w:sdt>
              <w:sdtPr>
                <w:rPr>
                  <w:rFonts w:asciiTheme="minorEastAsia" w:eastAsiaTheme="minorEastAsia" w:hAnsiTheme="minorEastAsia"/>
                </w:rPr>
                <w:tag w:val="_PLD_5cad7812dfed4700b1fd6b6b0d481d68"/>
                <w:id w:val="-1798291189"/>
                <w:lock w:val="sdtLocked"/>
              </w:sdtPr>
              <w:sdtEndPr/>
              <w:sdtContent>
                <w:tc>
                  <w:tcPr>
                    <w:tcW w:w="574" w:type="pct"/>
                    <w:vMerge w:val="restart"/>
                    <w:shd w:val="clear" w:color="auto" w:fill="auto"/>
                    <w:vAlign w:val="center"/>
                  </w:tcPr>
                  <w:p w14:paraId="6C908766" w14:textId="77777777" w:rsidR="00B201D3" w:rsidRDefault="009855E8">
                    <w:pPr>
                      <w:autoSpaceDE w:val="0"/>
                      <w:autoSpaceDN w:val="0"/>
                      <w:adjustRightInd w:val="0"/>
                      <w:jc w:val="center"/>
                      <w:rPr>
                        <w:rFonts w:asciiTheme="minorEastAsia" w:eastAsiaTheme="minorEastAsia" w:hAnsiTheme="minorEastAsia"/>
                      </w:rPr>
                    </w:pPr>
                    <w:r>
                      <w:rPr>
                        <w:rFonts w:asciiTheme="minorEastAsia" w:eastAsiaTheme="minorEastAsia" w:hAnsiTheme="minorEastAsia"/>
                      </w:rPr>
                      <w:t>期初余额</w:t>
                    </w:r>
                  </w:p>
                </w:tc>
              </w:sdtContent>
            </w:sdt>
            <w:sdt>
              <w:sdtPr>
                <w:rPr>
                  <w:rFonts w:asciiTheme="minorEastAsia" w:eastAsiaTheme="minorEastAsia" w:hAnsiTheme="minorEastAsia"/>
                </w:rPr>
                <w:tag w:val="_PLD_cd7f045054244bbf9758d1f15eae221c"/>
                <w:id w:val="-1999650625"/>
                <w:lock w:val="sdtLocked"/>
              </w:sdtPr>
              <w:sdtEndPr/>
              <w:sdtContent>
                <w:tc>
                  <w:tcPr>
                    <w:tcW w:w="1212" w:type="pct"/>
                    <w:gridSpan w:val="2"/>
                    <w:shd w:val="clear" w:color="auto" w:fill="auto"/>
                    <w:vAlign w:val="center"/>
                  </w:tcPr>
                  <w:p w14:paraId="7FA74AF6" w14:textId="77777777" w:rsidR="00B201D3" w:rsidRDefault="009855E8">
                    <w:pPr>
                      <w:autoSpaceDE w:val="0"/>
                      <w:autoSpaceDN w:val="0"/>
                      <w:adjustRightInd w:val="0"/>
                      <w:jc w:val="center"/>
                      <w:rPr>
                        <w:rFonts w:asciiTheme="minorEastAsia" w:eastAsiaTheme="minorEastAsia" w:hAnsiTheme="minorEastAsia"/>
                      </w:rPr>
                    </w:pPr>
                    <w:r>
                      <w:rPr>
                        <w:rFonts w:asciiTheme="minorEastAsia" w:eastAsiaTheme="minorEastAsia" w:hAnsiTheme="minorEastAsia"/>
                      </w:rPr>
                      <w:t>本期发生额</w:t>
                    </w:r>
                  </w:p>
                </w:tc>
              </w:sdtContent>
            </w:sdt>
            <w:sdt>
              <w:sdtPr>
                <w:rPr>
                  <w:rFonts w:asciiTheme="minorEastAsia" w:eastAsiaTheme="minorEastAsia" w:hAnsiTheme="minorEastAsia"/>
                </w:rPr>
                <w:tag w:val="_PLD_5057306024d64be48c625625af4ed37b"/>
                <w:id w:val="-1177037673"/>
                <w:lock w:val="sdtLocked"/>
              </w:sdtPr>
              <w:sdtEndPr/>
              <w:sdtContent>
                <w:tc>
                  <w:tcPr>
                    <w:tcW w:w="450" w:type="pct"/>
                    <w:vMerge w:val="restart"/>
                    <w:shd w:val="clear" w:color="auto" w:fill="auto"/>
                    <w:vAlign w:val="center"/>
                  </w:tcPr>
                  <w:p w14:paraId="4FF3C9C2" w14:textId="77777777" w:rsidR="00B201D3" w:rsidRDefault="009855E8">
                    <w:pPr>
                      <w:autoSpaceDE w:val="0"/>
                      <w:autoSpaceDN w:val="0"/>
                      <w:adjustRightInd w:val="0"/>
                      <w:jc w:val="center"/>
                      <w:rPr>
                        <w:rFonts w:asciiTheme="minorEastAsia" w:eastAsiaTheme="minorEastAsia" w:hAnsiTheme="minorEastAsia"/>
                      </w:rPr>
                    </w:pPr>
                    <w:r>
                      <w:rPr>
                        <w:rFonts w:asciiTheme="minorEastAsia" w:eastAsiaTheme="minorEastAsia" w:hAnsiTheme="minorEastAsia"/>
                      </w:rPr>
                      <w:t>期末余额</w:t>
                    </w:r>
                  </w:p>
                </w:tc>
              </w:sdtContent>
            </w:sdt>
          </w:tr>
          <w:tr w:rsidR="00B201D3" w14:paraId="71E91D1D" w14:textId="77777777">
            <w:tc>
              <w:tcPr>
                <w:tcW w:w="707" w:type="pct"/>
                <w:vMerge/>
                <w:shd w:val="clear" w:color="auto" w:fill="auto"/>
                <w:vAlign w:val="center"/>
              </w:tcPr>
              <w:p w14:paraId="6DFDE181" w14:textId="77777777" w:rsidR="00B201D3" w:rsidRDefault="00B201D3">
                <w:pPr>
                  <w:autoSpaceDE w:val="0"/>
                  <w:autoSpaceDN w:val="0"/>
                  <w:adjustRightInd w:val="0"/>
                  <w:jc w:val="center"/>
                  <w:rPr>
                    <w:rFonts w:asciiTheme="minorEastAsia" w:eastAsiaTheme="minorEastAsia" w:hAnsiTheme="minorEastAsia"/>
                  </w:rPr>
                </w:pPr>
              </w:p>
            </w:tc>
            <w:tc>
              <w:tcPr>
                <w:tcW w:w="758" w:type="pct"/>
                <w:vMerge/>
                <w:shd w:val="clear" w:color="auto" w:fill="auto"/>
                <w:vAlign w:val="center"/>
              </w:tcPr>
              <w:p w14:paraId="3FC10EEB" w14:textId="77777777" w:rsidR="00B201D3" w:rsidRDefault="00B201D3">
                <w:pPr>
                  <w:autoSpaceDE w:val="0"/>
                  <w:autoSpaceDN w:val="0"/>
                  <w:adjustRightInd w:val="0"/>
                  <w:jc w:val="center"/>
                  <w:rPr>
                    <w:rFonts w:asciiTheme="minorEastAsia" w:eastAsiaTheme="minorEastAsia" w:hAnsiTheme="minorEastAsia"/>
                  </w:rPr>
                </w:pPr>
              </w:p>
            </w:tc>
            <w:tc>
              <w:tcPr>
                <w:tcW w:w="601" w:type="pct"/>
                <w:vMerge/>
                <w:shd w:val="clear" w:color="auto" w:fill="auto"/>
                <w:vAlign w:val="center"/>
              </w:tcPr>
              <w:p w14:paraId="6C662D5A" w14:textId="77777777" w:rsidR="00B201D3" w:rsidRDefault="00B201D3">
                <w:pPr>
                  <w:autoSpaceDE w:val="0"/>
                  <w:autoSpaceDN w:val="0"/>
                  <w:adjustRightInd w:val="0"/>
                  <w:jc w:val="center"/>
                  <w:rPr>
                    <w:rFonts w:asciiTheme="minorEastAsia" w:eastAsiaTheme="minorEastAsia" w:hAnsiTheme="minorEastAsia"/>
                  </w:rPr>
                </w:pPr>
              </w:p>
            </w:tc>
            <w:tc>
              <w:tcPr>
                <w:tcW w:w="700" w:type="pct"/>
                <w:vMerge/>
                <w:shd w:val="clear" w:color="auto" w:fill="auto"/>
                <w:vAlign w:val="center"/>
              </w:tcPr>
              <w:p w14:paraId="26E6C9B0" w14:textId="77777777" w:rsidR="00B201D3" w:rsidRDefault="00B201D3">
                <w:pPr>
                  <w:autoSpaceDE w:val="0"/>
                  <w:autoSpaceDN w:val="0"/>
                  <w:adjustRightInd w:val="0"/>
                  <w:jc w:val="center"/>
                  <w:rPr>
                    <w:rFonts w:asciiTheme="minorEastAsia" w:eastAsiaTheme="minorEastAsia" w:hAnsiTheme="minorEastAsia"/>
                  </w:rPr>
                </w:pPr>
              </w:p>
            </w:tc>
            <w:tc>
              <w:tcPr>
                <w:tcW w:w="574" w:type="pct"/>
                <w:vMerge/>
                <w:shd w:val="clear" w:color="auto" w:fill="auto"/>
                <w:vAlign w:val="center"/>
              </w:tcPr>
              <w:p w14:paraId="7ED41F4E" w14:textId="77777777" w:rsidR="00B201D3" w:rsidRDefault="00B201D3">
                <w:pPr>
                  <w:autoSpaceDE w:val="0"/>
                  <w:autoSpaceDN w:val="0"/>
                  <w:adjustRightInd w:val="0"/>
                  <w:jc w:val="center"/>
                  <w:rPr>
                    <w:rFonts w:asciiTheme="minorEastAsia" w:eastAsiaTheme="minorEastAsia" w:hAnsiTheme="minorEastAsia"/>
                  </w:rPr>
                </w:pPr>
              </w:p>
            </w:tc>
            <w:sdt>
              <w:sdtPr>
                <w:rPr>
                  <w:rFonts w:asciiTheme="minorEastAsia" w:eastAsiaTheme="minorEastAsia" w:hAnsiTheme="minorEastAsia" w:hint="eastAsia"/>
                </w:rPr>
                <w:tag w:val="_PLD_5e696e51a65f4c20a7cd76e58adf2d7e"/>
                <w:id w:val="274061248"/>
                <w:lock w:val="sdtLocked"/>
              </w:sdtPr>
              <w:sdtEndPr/>
              <w:sdtContent>
                <w:tc>
                  <w:tcPr>
                    <w:tcW w:w="601" w:type="pct"/>
                    <w:shd w:val="clear" w:color="auto" w:fill="auto"/>
                    <w:vAlign w:val="center"/>
                  </w:tcPr>
                  <w:p w14:paraId="2AC1E049" w14:textId="77777777" w:rsidR="00B201D3" w:rsidRDefault="009855E8">
                    <w:pPr>
                      <w:autoSpaceDE w:val="0"/>
                      <w:autoSpaceDN w:val="0"/>
                      <w:adjustRightInd w:val="0"/>
                      <w:jc w:val="center"/>
                      <w:rPr>
                        <w:rFonts w:asciiTheme="minorEastAsia" w:eastAsiaTheme="minorEastAsia" w:hAnsiTheme="minorEastAsia"/>
                      </w:rPr>
                    </w:pPr>
                    <w:r>
                      <w:rPr>
                        <w:rFonts w:asciiTheme="minorEastAsia" w:eastAsiaTheme="minorEastAsia" w:hAnsiTheme="minorEastAsia" w:hint="eastAsia"/>
                      </w:rPr>
                      <w:t>本期合计贷款金额</w:t>
                    </w:r>
                  </w:p>
                </w:tc>
              </w:sdtContent>
            </w:sdt>
            <w:sdt>
              <w:sdtPr>
                <w:rPr>
                  <w:rFonts w:asciiTheme="minorEastAsia" w:eastAsiaTheme="minorEastAsia" w:hAnsiTheme="minorEastAsia" w:hint="eastAsia"/>
                </w:rPr>
                <w:tag w:val="_PLD_1e91155a2791417ba8957ae6050af745"/>
                <w:id w:val="1214321330"/>
                <w:lock w:val="sdtLocked"/>
              </w:sdtPr>
              <w:sdtEndPr/>
              <w:sdtContent>
                <w:tc>
                  <w:tcPr>
                    <w:tcW w:w="611" w:type="pct"/>
                  </w:tcPr>
                  <w:p w14:paraId="6AC60830" w14:textId="77777777" w:rsidR="00B201D3" w:rsidRDefault="009855E8">
                    <w:pPr>
                      <w:autoSpaceDE w:val="0"/>
                      <w:autoSpaceDN w:val="0"/>
                      <w:adjustRightInd w:val="0"/>
                      <w:jc w:val="center"/>
                      <w:rPr>
                        <w:rFonts w:asciiTheme="minorEastAsia" w:eastAsiaTheme="minorEastAsia" w:hAnsiTheme="minorEastAsia"/>
                      </w:rPr>
                    </w:pPr>
                    <w:r>
                      <w:rPr>
                        <w:rFonts w:asciiTheme="minorEastAsia" w:eastAsiaTheme="minorEastAsia" w:hAnsiTheme="minorEastAsia" w:hint="eastAsia"/>
                      </w:rPr>
                      <w:t>本期合计还款金额</w:t>
                    </w:r>
                  </w:p>
                </w:tc>
              </w:sdtContent>
            </w:sdt>
            <w:tc>
              <w:tcPr>
                <w:tcW w:w="450" w:type="pct"/>
                <w:vMerge/>
                <w:shd w:val="clear" w:color="auto" w:fill="auto"/>
                <w:vAlign w:val="center"/>
              </w:tcPr>
              <w:p w14:paraId="4A351811" w14:textId="77777777" w:rsidR="00B201D3" w:rsidRDefault="00B201D3">
                <w:pPr>
                  <w:autoSpaceDE w:val="0"/>
                  <w:autoSpaceDN w:val="0"/>
                  <w:adjustRightInd w:val="0"/>
                  <w:jc w:val="center"/>
                  <w:rPr>
                    <w:rFonts w:asciiTheme="minorEastAsia" w:eastAsiaTheme="minorEastAsia" w:hAnsiTheme="minorEastAsia"/>
                  </w:rPr>
                </w:pPr>
              </w:p>
            </w:tc>
          </w:tr>
          <w:sdt>
            <w:sdtPr>
              <w:rPr>
                <w:rFonts w:asciiTheme="minorEastAsia" w:eastAsiaTheme="minorEastAsia" w:hAnsiTheme="minorEastAsia"/>
              </w:rPr>
              <w:alias w:val="贷款业务情况"/>
              <w:tag w:val="_TUP_dfa61203a3f74c6a99d6455a5a9a9cd3"/>
              <w:id w:val="-1903202532"/>
              <w:lock w:val="sdtLocked"/>
            </w:sdtPr>
            <w:sdtEndPr/>
            <w:sdtContent>
              <w:tr w:rsidR="00B201D3" w14:paraId="5662F823" w14:textId="77777777">
                <w:tc>
                  <w:tcPr>
                    <w:tcW w:w="707" w:type="pct"/>
                    <w:shd w:val="clear" w:color="auto" w:fill="auto"/>
                    <w:vAlign w:val="center"/>
                  </w:tcPr>
                  <w:p w14:paraId="170ED2AE" w14:textId="77777777" w:rsidR="00B201D3" w:rsidRDefault="009855E8">
                    <w:pPr>
                      <w:autoSpaceDE w:val="0"/>
                      <w:autoSpaceDN w:val="0"/>
                      <w:adjustRightInd w:val="0"/>
                      <w:jc w:val="center"/>
                      <w:rPr>
                        <w:rFonts w:asciiTheme="minorEastAsia" w:eastAsiaTheme="minorEastAsia" w:hAnsiTheme="minorEastAsia"/>
                      </w:rPr>
                    </w:pPr>
                    <w:r>
                      <w:rPr>
                        <w:rFonts w:asciiTheme="minorEastAsia" w:eastAsiaTheme="minorEastAsia" w:hAnsiTheme="minorEastAsia"/>
                      </w:rPr>
                      <w:t>山东能源集团</w:t>
                    </w:r>
                  </w:p>
                </w:tc>
                <w:tc>
                  <w:tcPr>
                    <w:tcW w:w="758" w:type="pct"/>
                    <w:shd w:val="clear" w:color="auto" w:fill="auto"/>
                    <w:vAlign w:val="center"/>
                  </w:tcPr>
                  <w:p w14:paraId="2EB51B7A" w14:textId="77777777" w:rsidR="00B201D3" w:rsidRDefault="009855E8" w:rsidP="00011B68">
                    <w:pPr>
                      <w:autoSpaceDE w:val="0"/>
                      <w:autoSpaceDN w:val="0"/>
                      <w:adjustRightInd w:val="0"/>
                      <w:jc w:val="center"/>
                      <w:rPr>
                        <w:rFonts w:asciiTheme="minorEastAsia" w:eastAsiaTheme="minorEastAsia" w:hAnsiTheme="minorEastAsia"/>
                      </w:rPr>
                    </w:pPr>
                    <w:r>
                      <w:rPr>
                        <w:rFonts w:asciiTheme="minorEastAsia" w:eastAsiaTheme="minorEastAsia" w:hAnsiTheme="minorEastAsia"/>
                      </w:rPr>
                      <w:t>控股股东</w:t>
                    </w:r>
                  </w:p>
                </w:tc>
                <w:tc>
                  <w:tcPr>
                    <w:tcW w:w="601" w:type="pct"/>
                    <w:shd w:val="clear" w:color="auto" w:fill="auto"/>
                    <w:vAlign w:val="center"/>
                  </w:tcPr>
                  <w:p w14:paraId="74EBEEFC" w14:textId="77777777" w:rsidR="00B201D3" w:rsidRDefault="009855E8" w:rsidP="00011B68">
                    <w:pPr>
                      <w:autoSpaceDE w:val="0"/>
                      <w:autoSpaceDN w:val="0"/>
                      <w:adjustRightInd w:val="0"/>
                      <w:jc w:val="center"/>
                      <w:rPr>
                        <w:rFonts w:asciiTheme="minorEastAsia" w:eastAsiaTheme="minorEastAsia" w:hAnsiTheme="minorEastAsia"/>
                      </w:rPr>
                    </w:pPr>
                    <w:r>
                      <w:rPr>
                        <w:rFonts w:asciiTheme="minorEastAsia" w:eastAsiaTheme="minorEastAsia" w:hAnsiTheme="minorEastAsia"/>
                      </w:rPr>
                      <w:t>130</w:t>
                    </w:r>
                  </w:p>
                </w:tc>
                <w:tc>
                  <w:tcPr>
                    <w:tcW w:w="700" w:type="pct"/>
                    <w:shd w:val="clear" w:color="auto" w:fill="auto"/>
                    <w:vAlign w:val="center"/>
                  </w:tcPr>
                  <w:p w14:paraId="1A3C2752" w14:textId="77777777" w:rsidR="00B201D3" w:rsidRDefault="009855E8" w:rsidP="00011B68">
                    <w:pPr>
                      <w:autoSpaceDE w:val="0"/>
                      <w:autoSpaceDN w:val="0"/>
                      <w:adjustRightInd w:val="0"/>
                      <w:jc w:val="center"/>
                      <w:rPr>
                        <w:rFonts w:asciiTheme="minorEastAsia" w:eastAsiaTheme="minorEastAsia" w:hAnsiTheme="minorEastAsia"/>
                      </w:rPr>
                    </w:pPr>
                    <w:r>
                      <w:rPr>
                        <w:rFonts w:asciiTheme="minorEastAsia" w:eastAsiaTheme="minorEastAsia" w:hAnsiTheme="minorEastAsia"/>
                      </w:rPr>
                      <w:t>3.5%-3.7%</w:t>
                    </w:r>
                  </w:p>
                </w:tc>
                <w:tc>
                  <w:tcPr>
                    <w:tcW w:w="574" w:type="pct"/>
                    <w:shd w:val="clear" w:color="auto" w:fill="auto"/>
                    <w:vAlign w:val="center"/>
                  </w:tcPr>
                  <w:p w14:paraId="10BD2C50" w14:textId="77777777" w:rsidR="00B201D3" w:rsidRDefault="009855E8" w:rsidP="00011B68">
                    <w:pPr>
                      <w:autoSpaceDE w:val="0"/>
                      <w:autoSpaceDN w:val="0"/>
                      <w:adjustRightInd w:val="0"/>
                      <w:jc w:val="center"/>
                      <w:rPr>
                        <w:rFonts w:asciiTheme="minorEastAsia" w:eastAsiaTheme="minorEastAsia" w:hAnsiTheme="minorEastAsia"/>
                      </w:rPr>
                    </w:pPr>
                    <w:r>
                      <w:rPr>
                        <w:rFonts w:asciiTheme="minorEastAsia" w:eastAsiaTheme="minorEastAsia" w:hAnsiTheme="minorEastAsia"/>
                      </w:rPr>
                      <w:t>73.44</w:t>
                    </w:r>
                  </w:p>
                </w:tc>
                <w:tc>
                  <w:tcPr>
                    <w:tcW w:w="601" w:type="pct"/>
                    <w:shd w:val="clear" w:color="auto" w:fill="auto"/>
                    <w:vAlign w:val="center"/>
                  </w:tcPr>
                  <w:p w14:paraId="4459C364" w14:textId="77777777" w:rsidR="00B201D3" w:rsidRDefault="009855E8" w:rsidP="00011B68">
                    <w:pPr>
                      <w:autoSpaceDE w:val="0"/>
                      <w:autoSpaceDN w:val="0"/>
                      <w:adjustRightInd w:val="0"/>
                      <w:jc w:val="center"/>
                      <w:rPr>
                        <w:rFonts w:asciiTheme="minorEastAsia" w:eastAsiaTheme="minorEastAsia" w:hAnsiTheme="minorEastAsia"/>
                      </w:rPr>
                    </w:pPr>
                    <w:r>
                      <w:rPr>
                        <w:rFonts w:asciiTheme="minorEastAsia" w:eastAsiaTheme="minorEastAsia" w:hAnsiTheme="minorEastAsia"/>
                      </w:rPr>
                      <w:t>51.40</w:t>
                    </w:r>
                  </w:p>
                </w:tc>
                <w:tc>
                  <w:tcPr>
                    <w:tcW w:w="611" w:type="pct"/>
                    <w:vAlign w:val="center"/>
                  </w:tcPr>
                  <w:p w14:paraId="42A9B45C" w14:textId="77777777" w:rsidR="00B201D3" w:rsidRDefault="009855E8" w:rsidP="00011B68">
                    <w:pPr>
                      <w:autoSpaceDE w:val="0"/>
                      <w:autoSpaceDN w:val="0"/>
                      <w:adjustRightInd w:val="0"/>
                      <w:jc w:val="center"/>
                      <w:rPr>
                        <w:rFonts w:asciiTheme="minorEastAsia" w:eastAsiaTheme="minorEastAsia" w:hAnsiTheme="minorEastAsia"/>
                      </w:rPr>
                    </w:pPr>
                    <w:r>
                      <w:rPr>
                        <w:rFonts w:asciiTheme="minorEastAsia" w:eastAsiaTheme="minorEastAsia" w:hAnsiTheme="minorEastAsia"/>
                      </w:rPr>
                      <w:t>55.10</w:t>
                    </w:r>
                  </w:p>
                </w:tc>
                <w:tc>
                  <w:tcPr>
                    <w:tcW w:w="450" w:type="pct"/>
                    <w:shd w:val="clear" w:color="auto" w:fill="auto"/>
                    <w:vAlign w:val="center"/>
                  </w:tcPr>
                  <w:p w14:paraId="03790FE2" w14:textId="77777777" w:rsidR="00B201D3" w:rsidRDefault="009855E8" w:rsidP="00011B68">
                    <w:pPr>
                      <w:autoSpaceDE w:val="0"/>
                      <w:autoSpaceDN w:val="0"/>
                      <w:adjustRightInd w:val="0"/>
                      <w:jc w:val="center"/>
                      <w:rPr>
                        <w:rFonts w:asciiTheme="minorEastAsia" w:eastAsiaTheme="minorEastAsia" w:hAnsiTheme="minorEastAsia"/>
                      </w:rPr>
                    </w:pPr>
                    <w:r>
                      <w:rPr>
                        <w:rFonts w:asciiTheme="minorEastAsia" w:eastAsiaTheme="minorEastAsia" w:hAnsiTheme="minorEastAsia"/>
                      </w:rPr>
                      <w:t>69.74</w:t>
                    </w:r>
                  </w:p>
                </w:tc>
              </w:tr>
            </w:sdtContent>
          </w:sdt>
          <w:sdt>
            <w:sdtPr>
              <w:rPr>
                <w:rFonts w:asciiTheme="minorEastAsia" w:eastAsiaTheme="minorEastAsia" w:hAnsiTheme="minorEastAsia"/>
              </w:rPr>
              <w:alias w:val="贷款业务情况"/>
              <w:tag w:val="_TUP_dfa61203a3f74c6a99d6455a5a9a9cd3"/>
              <w:id w:val="-507526050"/>
              <w:lock w:val="sdtLocked"/>
            </w:sdtPr>
            <w:sdtEndPr/>
            <w:sdtContent>
              <w:tr w:rsidR="00B201D3" w14:paraId="05F20199" w14:textId="77777777">
                <w:tc>
                  <w:tcPr>
                    <w:tcW w:w="707" w:type="pct"/>
                    <w:shd w:val="clear" w:color="auto" w:fill="auto"/>
                    <w:vAlign w:val="center"/>
                  </w:tcPr>
                  <w:p w14:paraId="2DD648E8" w14:textId="77777777" w:rsidR="00B201D3" w:rsidRDefault="009855E8">
                    <w:pPr>
                      <w:autoSpaceDE w:val="0"/>
                      <w:autoSpaceDN w:val="0"/>
                      <w:adjustRightInd w:val="0"/>
                      <w:jc w:val="center"/>
                      <w:rPr>
                        <w:rFonts w:asciiTheme="minorEastAsia" w:eastAsiaTheme="minorEastAsia" w:hAnsiTheme="minorEastAsia"/>
                      </w:rPr>
                    </w:pPr>
                    <w:r>
                      <w:rPr>
                        <w:rFonts w:asciiTheme="minorEastAsia" w:eastAsiaTheme="minorEastAsia" w:hAnsiTheme="minorEastAsia"/>
                      </w:rPr>
                      <w:t>合计</w:t>
                    </w:r>
                  </w:p>
                </w:tc>
                <w:tc>
                  <w:tcPr>
                    <w:tcW w:w="758" w:type="pct"/>
                    <w:shd w:val="clear" w:color="auto" w:fill="auto"/>
                    <w:vAlign w:val="center"/>
                  </w:tcPr>
                  <w:p w14:paraId="10B7BF3B" w14:textId="77777777" w:rsidR="00B201D3" w:rsidRDefault="009855E8" w:rsidP="00011B68">
                    <w:pPr>
                      <w:autoSpaceDE w:val="0"/>
                      <w:autoSpaceDN w:val="0"/>
                      <w:adjustRightInd w:val="0"/>
                      <w:jc w:val="center"/>
                      <w:rPr>
                        <w:rFonts w:asciiTheme="minorEastAsia" w:eastAsiaTheme="minorEastAsia" w:hAnsiTheme="minorEastAsia"/>
                      </w:rPr>
                    </w:pPr>
                    <w:r>
                      <w:rPr>
                        <w:rFonts w:asciiTheme="minorEastAsia" w:eastAsiaTheme="minorEastAsia" w:hAnsiTheme="minorEastAsia"/>
                      </w:rPr>
                      <w:t>/</w:t>
                    </w:r>
                  </w:p>
                </w:tc>
                <w:tc>
                  <w:tcPr>
                    <w:tcW w:w="601" w:type="pct"/>
                    <w:shd w:val="clear" w:color="auto" w:fill="auto"/>
                    <w:vAlign w:val="center"/>
                  </w:tcPr>
                  <w:p w14:paraId="742FF0D4" w14:textId="77777777" w:rsidR="00B201D3" w:rsidRDefault="009855E8" w:rsidP="00011B68">
                    <w:pPr>
                      <w:autoSpaceDE w:val="0"/>
                      <w:autoSpaceDN w:val="0"/>
                      <w:adjustRightInd w:val="0"/>
                      <w:jc w:val="center"/>
                      <w:rPr>
                        <w:rFonts w:asciiTheme="minorEastAsia" w:eastAsiaTheme="minorEastAsia" w:hAnsiTheme="minorEastAsia"/>
                      </w:rPr>
                    </w:pPr>
                    <w:r>
                      <w:rPr>
                        <w:rFonts w:asciiTheme="minorEastAsia" w:eastAsiaTheme="minorEastAsia" w:hAnsiTheme="minorEastAsia"/>
                      </w:rPr>
                      <w:t>130</w:t>
                    </w:r>
                  </w:p>
                </w:tc>
                <w:tc>
                  <w:tcPr>
                    <w:tcW w:w="700" w:type="pct"/>
                    <w:shd w:val="clear" w:color="auto" w:fill="auto"/>
                    <w:vAlign w:val="center"/>
                  </w:tcPr>
                  <w:p w14:paraId="6E36F045" w14:textId="77777777" w:rsidR="00B201D3" w:rsidRDefault="009855E8" w:rsidP="00011B68">
                    <w:pPr>
                      <w:autoSpaceDE w:val="0"/>
                      <w:autoSpaceDN w:val="0"/>
                      <w:adjustRightInd w:val="0"/>
                      <w:jc w:val="center"/>
                      <w:rPr>
                        <w:rFonts w:asciiTheme="minorEastAsia" w:eastAsiaTheme="minorEastAsia" w:hAnsiTheme="minorEastAsia"/>
                      </w:rPr>
                    </w:pPr>
                    <w:r>
                      <w:rPr>
                        <w:rFonts w:asciiTheme="minorEastAsia" w:eastAsiaTheme="minorEastAsia" w:hAnsiTheme="minorEastAsia"/>
                      </w:rPr>
                      <w:t>/</w:t>
                    </w:r>
                  </w:p>
                </w:tc>
                <w:tc>
                  <w:tcPr>
                    <w:tcW w:w="574" w:type="pct"/>
                    <w:shd w:val="clear" w:color="auto" w:fill="auto"/>
                    <w:vAlign w:val="center"/>
                  </w:tcPr>
                  <w:p w14:paraId="4CAC7FA0" w14:textId="77777777" w:rsidR="00B201D3" w:rsidRDefault="009855E8" w:rsidP="00011B68">
                    <w:pPr>
                      <w:autoSpaceDE w:val="0"/>
                      <w:autoSpaceDN w:val="0"/>
                      <w:adjustRightInd w:val="0"/>
                      <w:jc w:val="center"/>
                      <w:rPr>
                        <w:rFonts w:asciiTheme="minorEastAsia" w:eastAsiaTheme="minorEastAsia" w:hAnsiTheme="minorEastAsia"/>
                      </w:rPr>
                    </w:pPr>
                    <w:r>
                      <w:rPr>
                        <w:rFonts w:asciiTheme="minorEastAsia" w:eastAsiaTheme="minorEastAsia" w:hAnsiTheme="minorEastAsia"/>
                      </w:rPr>
                      <w:t>73.44</w:t>
                    </w:r>
                  </w:p>
                </w:tc>
                <w:tc>
                  <w:tcPr>
                    <w:tcW w:w="601" w:type="pct"/>
                    <w:shd w:val="clear" w:color="auto" w:fill="auto"/>
                    <w:vAlign w:val="center"/>
                  </w:tcPr>
                  <w:p w14:paraId="10A90102" w14:textId="77777777" w:rsidR="00B201D3" w:rsidRDefault="009855E8" w:rsidP="00011B68">
                    <w:pPr>
                      <w:autoSpaceDE w:val="0"/>
                      <w:autoSpaceDN w:val="0"/>
                      <w:adjustRightInd w:val="0"/>
                      <w:jc w:val="center"/>
                      <w:rPr>
                        <w:rFonts w:asciiTheme="minorEastAsia" w:eastAsiaTheme="minorEastAsia" w:hAnsiTheme="minorEastAsia"/>
                      </w:rPr>
                    </w:pPr>
                    <w:r>
                      <w:rPr>
                        <w:rFonts w:asciiTheme="minorEastAsia" w:eastAsiaTheme="minorEastAsia" w:hAnsiTheme="minorEastAsia"/>
                      </w:rPr>
                      <w:t>51.40</w:t>
                    </w:r>
                  </w:p>
                </w:tc>
                <w:tc>
                  <w:tcPr>
                    <w:tcW w:w="611" w:type="pct"/>
                    <w:vAlign w:val="center"/>
                  </w:tcPr>
                  <w:p w14:paraId="3E986213" w14:textId="77777777" w:rsidR="00B201D3" w:rsidRDefault="009855E8" w:rsidP="00011B68">
                    <w:pPr>
                      <w:autoSpaceDE w:val="0"/>
                      <w:autoSpaceDN w:val="0"/>
                      <w:adjustRightInd w:val="0"/>
                      <w:jc w:val="center"/>
                      <w:rPr>
                        <w:rFonts w:asciiTheme="minorEastAsia" w:eastAsiaTheme="minorEastAsia" w:hAnsiTheme="minorEastAsia"/>
                      </w:rPr>
                    </w:pPr>
                    <w:r>
                      <w:rPr>
                        <w:rFonts w:asciiTheme="minorEastAsia" w:eastAsiaTheme="minorEastAsia" w:hAnsiTheme="minorEastAsia"/>
                      </w:rPr>
                      <w:t>55.10</w:t>
                    </w:r>
                  </w:p>
                </w:tc>
                <w:tc>
                  <w:tcPr>
                    <w:tcW w:w="450" w:type="pct"/>
                    <w:shd w:val="clear" w:color="auto" w:fill="auto"/>
                    <w:vAlign w:val="center"/>
                  </w:tcPr>
                  <w:p w14:paraId="76F73D27" w14:textId="77777777" w:rsidR="00B201D3" w:rsidRDefault="009855E8" w:rsidP="00011B68">
                    <w:pPr>
                      <w:autoSpaceDE w:val="0"/>
                      <w:autoSpaceDN w:val="0"/>
                      <w:adjustRightInd w:val="0"/>
                      <w:jc w:val="center"/>
                      <w:rPr>
                        <w:rFonts w:asciiTheme="minorEastAsia" w:eastAsiaTheme="minorEastAsia" w:hAnsiTheme="minorEastAsia"/>
                      </w:rPr>
                    </w:pPr>
                    <w:r>
                      <w:rPr>
                        <w:rFonts w:asciiTheme="minorEastAsia" w:eastAsiaTheme="minorEastAsia" w:hAnsiTheme="minorEastAsia"/>
                      </w:rPr>
                      <w:t>69.74</w:t>
                    </w:r>
                  </w:p>
                </w:tc>
              </w:tr>
            </w:sdtContent>
          </w:sdt>
        </w:tbl>
        <w:p w14:paraId="30340AF2" w14:textId="77777777" w:rsidR="00B201D3" w:rsidRDefault="00C8327E">
          <w:pPr>
            <w:rPr>
              <w:rFonts w:asciiTheme="minorEastAsia" w:eastAsiaTheme="minorEastAsia" w:hAnsiTheme="minorEastAsia"/>
            </w:rPr>
          </w:pPr>
        </w:p>
      </w:sdtContent>
    </w:sdt>
    <w:bookmarkEnd w:id="86" w:displacedByCustomXml="next"/>
    <w:bookmarkStart w:id="87" w:name="_Hlk41316014" w:displacedByCustomXml="next"/>
    <w:sdt>
      <w:sdtPr>
        <w:rPr>
          <w:rFonts w:asciiTheme="minorEastAsia" w:eastAsiaTheme="minorEastAsia" w:hAnsiTheme="minorEastAsia" w:cs="宋体" w:hint="eastAsia"/>
          <w:b w:val="0"/>
          <w:bCs/>
          <w:kern w:val="0"/>
          <w:szCs w:val="24"/>
        </w:rPr>
        <w:alias w:val="模块:授信业务或其他金融业务"/>
        <w:tag w:val="_SEC_12af8280dba7414eaa58fcdd5ef5ac8d"/>
        <w:id w:val="924377420"/>
        <w:lock w:val="sdtLocked"/>
        <w:placeholder>
          <w:docPart w:val="GBC22222222222222222222222222222"/>
        </w:placeholder>
      </w:sdtPr>
      <w:sdtEndPr>
        <w:rPr>
          <w:bCs w:val="0"/>
          <w:szCs w:val="21"/>
        </w:rPr>
      </w:sdtEndPr>
      <w:sdtContent>
        <w:p w14:paraId="5794C0E0" w14:textId="77777777" w:rsidR="00B201D3" w:rsidRDefault="009855E8">
          <w:pPr>
            <w:pStyle w:val="3899"/>
            <w:numPr>
              <w:ilvl w:val="0"/>
              <w:numId w:val="32"/>
            </w:numPr>
            <w:rPr>
              <w:rFonts w:asciiTheme="minorEastAsia" w:eastAsiaTheme="minorEastAsia" w:hAnsiTheme="minorEastAsia" w:cs="宋体"/>
              <w:kern w:val="0"/>
              <w:szCs w:val="24"/>
            </w:rPr>
          </w:pPr>
          <w:r>
            <w:rPr>
              <w:rFonts w:asciiTheme="minorEastAsia" w:eastAsiaTheme="minorEastAsia" w:hAnsiTheme="minorEastAsia" w:cs="宋体"/>
              <w:kern w:val="0"/>
              <w:szCs w:val="24"/>
            </w:rPr>
            <w:t>授信业务或其他金融业务</w:t>
          </w:r>
        </w:p>
        <w:sdt>
          <w:sdtPr>
            <w:rPr>
              <w:rFonts w:asciiTheme="minorEastAsia" w:eastAsiaTheme="minorEastAsia" w:hAnsiTheme="minorEastAsia" w:hint="eastAsia"/>
            </w:rPr>
            <w:alias w:val="是否适用：授信业务或其他金融业务[双击切换]"/>
            <w:tag w:val="_GBC_ed4458effe044108a44d95a5ced67408"/>
            <w:id w:val="-1171723575"/>
            <w:lock w:val="sdtLocked"/>
            <w:placeholder>
              <w:docPart w:val="GBC22222222222222222222222222222"/>
            </w:placeholder>
          </w:sdtPr>
          <w:sdtEndPr/>
          <w:sdtContent>
            <w:p w14:paraId="00B83ED9" w14:textId="77777777" w:rsidR="00B201D3" w:rsidRDefault="009855E8">
              <w:pPr>
                <w:rPr>
                  <w:rFonts w:asciiTheme="minorEastAsia" w:eastAsiaTheme="minorEastAsia" w:hAnsiTheme="minorEastAsia"/>
                </w:rPr>
              </w:pP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p w14:paraId="374FCCC5" w14:textId="77777777" w:rsidR="00B201D3" w:rsidRDefault="00C8327E">
              <w:pPr>
                <w:rPr>
                  <w:rFonts w:asciiTheme="minorEastAsia" w:eastAsiaTheme="minorEastAsia" w:hAnsiTheme="minorEastAsia"/>
                </w:rPr>
              </w:pPr>
            </w:p>
          </w:sdtContent>
        </w:sdt>
        <w:p w14:paraId="0B6F756A" w14:textId="2369375A" w:rsidR="00B201D3" w:rsidRDefault="009855E8">
          <w:pPr>
            <w:jc w:val="right"/>
            <w:rPr>
              <w:rFonts w:asciiTheme="minorEastAsia" w:eastAsiaTheme="minorEastAsia" w:hAnsiTheme="minorEastAsia"/>
            </w:rPr>
          </w:pPr>
          <w:r>
            <w:rPr>
              <w:rFonts w:asciiTheme="minorEastAsia" w:eastAsiaTheme="minorEastAsia" w:hAnsiTheme="minorEastAsia" w:hint="eastAsia"/>
            </w:rPr>
            <w:t>单位：</w:t>
          </w:r>
          <w:sdt>
            <w:sdtPr>
              <w:rPr>
                <w:rFonts w:asciiTheme="minorEastAsia" w:eastAsiaTheme="minorEastAsia" w:hAnsiTheme="minorEastAsia" w:hint="eastAsia"/>
              </w:rPr>
              <w:alias w:val="单位：授信业务或其他金融业务"/>
              <w:tag w:val="_GBC_3d95de16365941ad9622303ec2c7f3f6"/>
              <w:id w:val="-201066812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F46283">
                <w:rPr>
                  <w:rFonts w:asciiTheme="minorEastAsia" w:eastAsiaTheme="minorEastAsia" w:hAnsiTheme="minorEastAsia" w:hint="eastAsia"/>
                </w:rPr>
                <w:t>亿元</w:t>
              </w:r>
            </w:sdtContent>
          </w:sdt>
          <w:r>
            <w:rPr>
              <w:rFonts w:asciiTheme="minorEastAsia" w:eastAsiaTheme="minorEastAsia" w:hAnsiTheme="minorEastAsia" w:hint="eastAsia"/>
            </w:rPr>
            <w:t xml:space="preserve">  币种：</w:t>
          </w:r>
          <w:sdt>
            <w:sdtPr>
              <w:rPr>
                <w:rFonts w:asciiTheme="minorEastAsia" w:eastAsiaTheme="minorEastAsia" w:hAnsiTheme="minorEastAsia" w:hint="eastAsia"/>
              </w:rPr>
              <w:alias w:val="币种：授信业务或其他金融业务"/>
              <w:tag w:val="_GBC_ef34172f59714fa1aefa7b929c79d8bb"/>
              <w:id w:val="19367062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46283">
                <w:rPr>
                  <w:rFonts w:asciiTheme="minorEastAsia" w:eastAsiaTheme="minorEastAsia" w:hAnsiTheme="minorEastAsia" w:hint="eastAsia"/>
                </w:rPr>
                <w:t>人民币</w:t>
              </w:r>
            </w:sdtContent>
          </w:sdt>
        </w:p>
        <w:tbl>
          <w:tblPr>
            <w:tblStyle w:val="g1"/>
            <w:tblW w:w="4994"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1935"/>
            <w:gridCol w:w="2236"/>
            <w:gridCol w:w="1394"/>
            <w:gridCol w:w="1620"/>
          </w:tblGrid>
          <w:tr w:rsidR="00B201D3" w14:paraId="29A485BB" w14:textId="77777777">
            <w:sdt>
              <w:sdtPr>
                <w:rPr>
                  <w:rFonts w:asciiTheme="minorEastAsia" w:eastAsiaTheme="minorEastAsia" w:hAnsiTheme="minorEastAsia" w:hint="eastAsia"/>
                </w:rPr>
                <w:tag w:val="_PLD_a1b48b1b7e60432da307374faf9e8683"/>
                <w:id w:val="599533555"/>
                <w:lock w:val="sdtLocked"/>
              </w:sdtPr>
              <w:sdtEndPr/>
              <w:sdtContent>
                <w:tc>
                  <w:tcPr>
                    <w:tcW w:w="923" w:type="pct"/>
                    <w:shd w:val="clear" w:color="auto" w:fill="auto"/>
                    <w:vAlign w:val="center"/>
                  </w:tcPr>
                  <w:p w14:paraId="4DF82C43"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关联方</w:t>
                    </w:r>
                  </w:p>
                </w:tc>
              </w:sdtContent>
            </w:sdt>
            <w:sdt>
              <w:sdtPr>
                <w:rPr>
                  <w:rFonts w:asciiTheme="minorEastAsia" w:eastAsiaTheme="minorEastAsia" w:hAnsiTheme="minorEastAsia" w:hint="eastAsia"/>
                </w:rPr>
                <w:tag w:val="_PLD_b86a8753f83845749c8d70762f62d625"/>
                <w:id w:val="-453945515"/>
                <w:lock w:val="sdtLocked"/>
              </w:sdtPr>
              <w:sdtEndPr/>
              <w:sdtContent>
                <w:tc>
                  <w:tcPr>
                    <w:tcW w:w="1098" w:type="pct"/>
                    <w:shd w:val="clear" w:color="auto" w:fill="auto"/>
                    <w:vAlign w:val="center"/>
                  </w:tcPr>
                  <w:p w14:paraId="44C6EE7D"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关联关系</w:t>
                    </w:r>
                  </w:p>
                </w:tc>
              </w:sdtContent>
            </w:sdt>
            <w:sdt>
              <w:sdtPr>
                <w:rPr>
                  <w:rFonts w:asciiTheme="minorEastAsia" w:eastAsiaTheme="minorEastAsia" w:hAnsiTheme="minorEastAsia" w:hint="eastAsia"/>
                </w:rPr>
                <w:tag w:val="_PLD_a803596e70994f4b8d0abc41b05df444"/>
                <w:id w:val="-1322658841"/>
                <w:lock w:val="sdtLocked"/>
              </w:sdtPr>
              <w:sdtEndPr/>
              <w:sdtContent>
                <w:tc>
                  <w:tcPr>
                    <w:tcW w:w="1269" w:type="pct"/>
                    <w:shd w:val="clear" w:color="auto" w:fill="auto"/>
                    <w:vAlign w:val="center"/>
                  </w:tcPr>
                  <w:p w14:paraId="1EB81DAF"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业务类型</w:t>
                    </w:r>
                  </w:p>
                </w:tc>
              </w:sdtContent>
            </w:sdt>
            <w:sdt>
              <w:sdtPr>
                <w:rPr>
                  <w:rFonts w:asciiTheme="minorEastAsia" w:eastAsiaTheme="minorEastAsia" w:hAnsiTheme="minorEastAsia" w:hint="eastAsia"/>
                </w:rPr>
                <w:tag w:val="_PLD_8b121a0dc9a44d87928d154453b446f7"/>
                <w:id w:val="-1628318865"/>
                <w:lock w:val="sdtLocked"/>
              </w:sdtPr>
              <w:sdtEndPr/>
              <w:sdtContent>
                <w:tc>
                  <w:tcPr>
                    <w:tcW w:w="791" w:type="pct"/>
                    <w:shd w:val="clear" w:color="auto" w:fill="auto"/>
                    <w:vAlign w:val="center"/>
                  </w:tcPr>
                  <w:p w14:paraId="1857881C"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总额</w:t>
                    </w:r>
                  </w:p>
                </w:tc>
              </w:sdtContent>
            </w:sdt>
            <w:sdt>
              <w:sdtPr>
                <w:rPr>
                  <w:rFonts w:asciiTheme="minorEastAsia" w:eastAsiaTheme="minorEastAsia" w:hAnsiTheme="minorEastAsia" w:hint="eastAsia"/>
                </w:rPr>
                <w:tag w:val="_PLD_c5506f4356ee44cdb9eaf0a1bef214c1"/>
                <w:id w:val="-1312249978"/>
                <w:lock w:val="sdtLocked"/>
              </w:sdtPr>
              <w:sdtEndPr/>
              <w:sdtContent>
                <w:tc>
                  <w:tcPr>
                    <w:tcW w:w="919" w:type="pct"/>
                    <w:shd w:val="clear" w:color="auto" w:fill="auto"/>
                    <w:vAlign w:val="center"/>
                  </w:tcPr>
                  <w:p w14:paraId="710D6339" w14:textId="77777777" w:rsidR="00B201D3" w:rsidRDefault="009855E8">
                    <w:pPr>
                      <w:jc w:val="center"/>
                      <w:rPr>
                        <w:rFonts w:asciiTheme="minorEastAsia" w:eastAsiaTheme="minorEastAsia" w:hAnsiTheme="minorEastAsia"/>
                      </w:rPr>
                    </w:pPr>
                    <w:r>
                      <w:rPr>
                        <w:rFonts w:asciiTheme="minorEastAsia" w:eastAsiaTheme="minorEastAsia" w:hAnsiTheme="minorEastAsia" w:hint="eastAsia"/>
                      </w:rPr>
                      <w:t>实际发生额</w:t>
                    </w:r>
                  </w:p>
                </w:tc>
              </w:sdtContent>
            </w:sdt>
          </w:tr>
          <w:sdt>
            <w:sdtPr>
              <w:rPr>
                <w:rFonts w:asciiTheme="minorEastAsia" w:eastAsiaTheme="minorEastAsia" w:hAnsiTheme="minorEastAsia"/>
              </w:rPr>
              <w:alias w:val="授信业务或其他金融业务"/>
              <w:tag w:val="_TUP_843e63ff98b54ff68363982f88107346"/>
              <w:id w:val="762346261"/>
              <w:lock w:val="sdtLocked"/>
            </w:sdtPr>
            <w:sdtEndPr/>
            <w:sdtContent>
              <w:tr w:rsidR="00B201D3" w14:paraId="14B33F95" w14:textId="77777777">
                <w:tc>
                  <w:tcPr>
                    <w:tcW w:w="923" w:type="pct"/>
                    <w:shd w:val="clear" w:color="auto" w:fill="auto"/>
                    <w:vAlign w:val="center"/>
                  </w:tcPr>
                  <w:p w14:paraId="27AB32DF" w14:textId="77777777" w:rsidR="00B201D3" w:rsidRDefault="009855E8" w:rsidP="00011B68">
                    <w:pPr>
                      <w:autoSpaceDE w:val="0"/>
                      <w:autoSpaceDN w:val="0"/>
                      <w:adjustRightInd w:val="0"/>
                      <w:jc w:val="center"/>
                      <w:rPr>
                        <w:rFonts w:asciiTheme="minorEastAsia" w:eastAsiaTheme="minorEastAsia" w:hAnsiTheme="minorEastAsia"/>
                      </w:rPr>
                    </w:pPr>
                    <w:r>
                      <w:rPr>
                        <w:rFonts w:asciiTheme="minorEastAsia" w:eastAsiaTheme="minorEastAsia" w:hAnsiTheme="minorEastAsia"/>
                      </w:rPr>
                      <w:t>山东能源集团</w:t>
                    </w:r>
                  </w:p>
                </w:tc>
                <w:tc>
                  <w:tcPr>
                    <w:tcW w:w="1098" w:type="pct"/>
                    <w:shd w:val="clear" w:color="auto" w:fill="auto"/>
                    <w:vAlign w:val="center"/>
                  </w:tcPr>
                  <w:p w14:paraId="6DCB69FA" w14:textId="77777777" w:rsidR="00B201D3" w:rsidRDefault="009855E8" w:rsidP="00011B68">
                    <w:pPr>
                      <w:autoSpaceDE w:val="0"/>
                      <w:autoSpaceDN w:val="0"/>
                      <w:adjustRightInd w:val="0"/>
                      <w:jc w:val="center"/>
                      <w:rPr>
                        <w:rFonts w:asciiTheme="minorEastAsia" w:eastAsiaTheme="minorEastAsia" w:hAnsiTheme="minorEastAsia"/>
                      </w:rPr>
                    </w:pPr>
                    <w:r>
                      <w:rPr>
                        <w:rFonts w:asciiTheme="minorEastAsia" w:eastAsiaTheme="minorEastAsia" w:hAnsiTheme="minorEastAsia"/>
                      </w:rPr>
                      <w:t>控股股东</w:t>
                    </w:r>
                  </w:p>
                </w:tc>
                <w:tc>
                  <w:tcPr>
                    <w:tcW w:w="1269" w:type="pct"/>
                    <w:shd w:val="clear" w:color="auto" w:fill="auto"/>
                    <w:vAlign w:val="center"/>
                  </w:tcPr>
                  <w:p w14:paraId="2FAD9B46" w14:textId="77777777" w:rsidR="00B201D3" w:rsidRDefault="009855E8" w:rsidP="00011B68">
                    <w:pPr>
                      <w:autoSpaceDE w:val="0"/>
                      <w:autoSpaceDN w:val="0"/>
                      <w:adjustRightInd w:val="0"/>
                      <w:jc w:val="center"/>
                      <w:rPr>
                        <w:rFonts w:asciiTheme="minorEastAsia" w:eastAsiaTheme="minorEastAsia" w:hAnsiTheme="minorEastAsia"/>
                      </w:rPr>
                    </w:pPr>
                    <w:r>
                      <w:rPr>
                        <w:rFonts w:asciiTheme="minorEastAsia" w:eastAsiaTheme="minorEastAsia" w:hAnsiTheme="minorEastAsia"/>
                      </w:rPr>
                      <w:t>承兑、保函</w:t>
                    </w:r>
                  </w:p>
                </w:tc>
                <w:tc>
                  <w:tcPr>
                    <w:tcW w:w="791" w:type="pct"/>
                    <w:shd w:val="clear" w:color="auto" w:fill="auto"/>
                    <w:vAlign w:val="center"/>
                  </w:tcPr>
                  <w:p w14:paraId="322AA539" w14:textId="77777777" w:rsidR="00B201D3" w:rsidRDefault="009855E8" w:rsidP="00011B68">
                    <w:pPr>
                      <w:autoSpaceDE w:val="0"/>
                      <w:autoSpaceDN w:val="0"/>
                      <w:adjustRightInd w:val="0"/>
                      <w:jc w:val="center"/>
                      <w:rPr>
                        <w:rFonts w:asciiTheme="minorEastAsia" w:eastAsiaTheme="minorEastAsia" w:hAnsiTheme="minorEastAsia"/>
                      </w:rPr>
                    </w:pPr>
                    <w:r>
                      <w:rPr>
                        <w:rFonts w:asciiTheme="minorEastAsia" w:eastAsiaTheme="minorEastAsia" w:hAnsiTheme="minorEastAsia"/>
                      </w:rPr>
                      <w:t>20</w:t>
                    </w:r>
                  </w:p>
                </w:tc>
                <w:tc>
                  <w:tcPr>
                    <w:tcW w:w="919" w:type="pct"/>
                    <w:shd w:val="clear" w:color="auto" w:fill="auto"/>
                    <w:vAlign w:val="center"/>
                  </w:tcPr>
                  <w:p w14:paraId="2911388D" w14:textId="77777777" w:rsidR="00B201D3" w:rsidRDefault="009855E8" w:rsidP="00011B68">
                    <w:pPr>
                      <w:autoSpaceDE w:val="0"/>
                      <w:autoSpaceDN w:val="0"/>
                      <w:adjustRightInd w:val="0"/>
                      <w:jc w:val="center"/>
                      <w:rPr>
                        <w:rFonts w:asciiTheme="minorEastAsia" w:eastAsiaTheme="minorEastAsia" w:hAnsiTheme="minorEastAsia"/>
                      </w:rPr>
                    </w:pPr>
                    <w:r>
                      <w:rPr>
                        <w:rFonts w:asciiTheme="minorEastAsia" w:eastAsiaTheme="minorEastAsia" w:hAnsiTheme="minorEastAsia"/>
                      </w:rPr>
                      <w:t>2.82</w:t>
                    </w:r>
                  </w:p>
                </w:tc>
              </w:tr>
            </w:sdtContent>
          </w:sdt>
        </w:tbl>
        <w:p w14:paraId="3B9B001C" w14:textId="77777777" w:rsidR="00B201D3" w:rsidRDefault="00C8327E">
          <w:pPr>
            <w:rPr>
              <w:rFonts w:asciiTheme="minorEastAsia" w:eastAsiaTheme="minorEastAsia" w:hAnsiTheme="minorEastAsia"/>
            </w:rPr>
          </w:pPr>
        </w:p>
      </w:sdtContent>
    </w:sdt>
    <w:bookmarkEnd w:id="87" w:displacedByCustomXml="next"/>
    <w:bookmarkStart w:id="88" w:name="_Hlk41316022" w:displacedByCustomXml="next"/>
    <w:sdt>
      <w:sdtPr>
        <w:rPr>
          <w:rFonts w:asciiTheme="minorEastAsia" w:eastAsiaTheme="minorEastAsia" w:hAnsiTheme="minorEastAsia" w:cs="宋体" w:hint="eastAsia"/>
          <w:b w:val="0"/>
          <w:bCs/>
          <w:kern w:val="0"/>
          <w:szCs w:val="24"/>
        </w:rPr>
        <w:alias w:val="模块:其他说明"/>
        <w:tag w:val="_SEC_ede026bdca864b809b90849751fe4fc0"/>
        <w:id w:val="725024581"/>
        <w:lock w:val="sdtLocked"/>
        <w:placeholder>
          <w:docPart w:val="GBC22222222222222222222222222222"/>
        </w:placeholder>
      </w:sdtPr>
      <w:sdtEndPr>
        <w:rPr>
          <w:rFonts w:ascii="宋体" w:eastAsia="宋体" w:hAnsi="宋体"/>
          <w:bCs w:val="0"/>
          <w:color w:val="000000" w:themeColor="text1"/>
          <w:szCs w:val="21"/>
        </w:rPr>
      </w:sdtEndPr>
      <w:sdtContent>
        <w:p w14:paraId="446008DD" w14:textId="77777777" w:rsidR="00B201D3" w:rsidRDefault="009855E8">
          <w:pPr>
            <w:pStyle w:val="3899"/>
            <w:numPr>
              <w:ilvl w:val="0"/>
              <w:numId w:val="32"/>
            </w:numPr>
            <w:rPr>
              <w:rFonts w:asciiTheme="minorEastAsia" w:eastAsiaTheme="minorEastAsia" w:hAnsiTheme="minorEastAsia" w:cs="宋体"/>
              <w:kern w:val="0"/>
              <w:szCs w:val="24"/>
            </w:rPr>
          </w:pPr>
          <w:r>
            <w:rPr>
              <w:rFonts w:asciiTheme="minorEastAsia" w:eastAsiaTheme="minorEastAsia" w:hAnsiTheme="minorEastAsia" w:cs="宋体"/>
              <w:kern w:val="0"/>
              <w:szCs w:val="24"/>
            </w:rPr>
            <w:t>其他说明</w:t>
          </w:r>
        </w:p>
        <w:sdt>
          <w:sdtPr>
            <w:rPr>
              <w:rFonts w:asciiTheme="minorEastAsia" w:eastAsiaTheme="minorEastAsia" w:hAnsiTheme="minorEastAsia"/>
              <w:color w:val="000000" w:themeColor="text1"/>
            </w:rPr>
            <w:alias w:val="是否适用：公司与存在关联关系的财务公司、公司控股财务公司与关联方之间的金融业务的其他说明[双击切换]"/>
            <w:tag w:val="_GBC_784bbb2dab8c4fa58a94c1deef51e2c9"/>
            <w:id w:val="2124426693"/>
            <w:lock w:val="sdtLocked"/>
            <w:placeholder>
              <w:docPart w:val="GBC22222222222222222222222222222"/>
            </w:placeholder>
          </w:sdtPr>
          <w:sdtEndPr/>
          <w:sdtContent>
            <w:p w14:paraId="3340E632" w14:textId="77777777" w:rsidR="00B201D3" w:rsidRDefault="009855E8">
              <w:pPr>
                <w:rPr>
                  <w:rFonts w:asciiTheme="minorEastAsia" w:eastAsiaTheme="minorEastAsia" w:hAnsiTheme="minorEastAsia"/>
                  <w:color w:val="000000" w:themeColor="text1"/>
                </w:rPr>
              </w:pPr>
              <w:r>
                <w:rPr>
                  <w:rFonts w:asciiTheme="minorEastAsia" w:eastAsiaTheme="minorEastAsia" w:hAnsiTheme="minorEastAsia"/>
                  <w:color w:val="000000" w:themeColor="text1"/>
                </w:rPr>
                <w:fldChar w:fldCharType="begin"/>
              </w:r>
              <w:r>
                <w:rPr>
                  <w:rFonts w:asciiTheme="minorEastAsia" w:eastAsiaTheme="minorEastAsia" w:hAnsiTheme="minorEastAsia"/>
                  <w:color w:val="000000" w:themeColor="text1"/>
                </w:rPr>
                <w:instrText xml:space="preserve"> MACROBUTTON  SnrToggleCheckbox √适用 </w:instrText>
              </w:r>
              <w:r>
                <w:rPr>
                  <w:rFonts w:asciiTheme="minorEastAsia" w:eastAsiaTheme="minorEastAsia" w:hAnsiTheme="minorEastAsia"/>
                  <w:color w:val="000000" w:themeColor="text1"/>
                </w:rPr>
                <w:fldChar w:fldCharType="end"/>
              </w:r>
              <w:r>
                <w:rPr>
                  <w:rFonts w:asciiTheme="minorEastAsia" w:eastAsiaTheme="minorEastAsia" w:hAnsiTheme="minorEastAsia"/>
                  <w:color w:val="000000" w:themeColor="text1"/>
                </w:rPr>
                <w:fldChar w:fldCharType="begin"/>
              </w:r>
              <w:r>
                <w:rPr>
                  <w:rFonts w:asciiTheme="minorEastAsia" w:eastAsiaTheme="minorEastAsia" w:hAnsiTheme="minorEastAsia"/>
                  <w:color w:val="000000" w:themeColor="text1"/>
                </w:rPr>
                <w:instrText xml:space="preserve"> MACROBUTTON  SnrToggleCheckbox □不适用 </w:instrText>
              </w:r>
              <w:r>
                <w:rPr>
                  <w:rFonts w:asciiTheme="minorEastAsia" w:eastAsiaTheme="minorEastAsia" w:hAnsiTheme="minorEastAsia"/>
                  <w:color w:val="000000" w:themeColor="text1"/>
                </w:rPr>
                <w:fldChar w:fldCharType="end"/>
              </w:r>
            </w:p>
          </w:sdtContent>
        </w:sdt>
        <w:sdt>
          <w:sdtPr>
            <w:rPr>
              <w:rFonts w:asciiTheme="minorEastAsia" w:eastAsiaTheme="minorEastAsia" w:hAnsiTheme="minorEastAsia"/>
              <w:color w:val="000000" w:themeColor="text1"/>
            </w:rPr>
            <w:alias w:val="公司与存在关联关系的财务公司、公司控股财务公司与关联方之间的金融业务的其他说明"/>
            <w:tag w:val="_GBC_0c4c9c24d52140d9986c80246a5f6f0f"/>
            <w:id w:val="1277298961"/>
            <w:lock w:val="sdtLocked"/>
            <w:placeholder>
              <w:docPart w:val="GBC22222222222222222222222222222"/>
            </w:placeholder>
          </w:sdtPr>
          <w:sdtEndPr>
            <w:rPr>
              <w:rFonts w:ascii="宋体" w:eastAsia="宋体" w:hAnsi="宋体"/>
            </w:rPr>
          </w:sdtEndPr>
          <w:sdtContent>
            <w:sdt>
              <w:sdtPr>
                <w:rPr>
                  <w:rFonts w:asciiTheme="minorEastAsia" w:eastAsiaTheme="minorEastAsia" w:hAnsiTheme="minorEastAsia" w:hint="eastAsia"/>
                </w:rPr>
                <w:alias w:val="公司与存在关联关系的财务公司、公司控股财务公司与关联方之间的金融业务的其他说明"/>
                <w:tag w:val="_GBC_4d44517eb6c34963a20f2b2224aa1fa3"/>
                <w:id w:val="994924477"/>
                <w:lock w:val="sdtLocked"/>
              </w:sdtPr>
              <w:sdtEndPr>
                <w:rPr>
                  <w:rFonts w:ascii="宋体" w:eastAsia="宋体" w:hAnsi="宋体"/>
                </w:rPr>
              </w:sdtEndPr>
              <w:sdtContent>
                <w:p w14:paraId="5BCBD2D2" w14:textId="77777777" w:rsidR="00B201D3" w:rsidRDefault="009855E8">
                  <w:pPr>
                    <w:ind w:firstLineChars="200" w:firstLine="420"/>
                    <w:jc w:val="both"/>
                    <w:rPr>
                      <w:rFonts w:asciiTheme="minorEastAsia" w:eastAsiaTheme="minorEastAsia" w:hAnsiTheme="minorEastAsia"/>
                      <w:color w:val="000000"/>
                    </w:rPr>
                  </w:pPr>
                  <w:r>
                    <w:rPr>
                      <w:rFonts w:asciiTheme="minorEastAsia" w:eastAsiaTheme="minorEastAsia" w:hAnsiTheme="minorEastAsia" w:hint="eastAsia"/>
                      <w:color w:val="000000"/>
                    </w:rPr>
                    <w:t>截至本报告期末，兖矿财司为关联方提供的金融服务收取的保证金余额为0.13亿元，保证金部分不占授信额度。</w:t>
                  </w:r>
                </w:p>
                <w:p w14:paraId="3563A725" w14:textId="77777777" w:rsidR="00B201D3" w:rsidRDefault="009855E8">
                  <w:pPr>
                    <w:ind w:firstLineChars="200" w:firstLine="420"/>
                    <w:jc w:val="both"/>
                    <w:rPr>
                      <w:color w:val="FF0000"/>
                    </w:rPr>
                  </w:pPr>
                  <w:r>
                    <w:rPr>
                      <w:rFonts w:asciiTheme="minorEastAsia" w:eastAsiaTheme="minorEastAsia" w:hAnsiTheme="minorEastAsia" w:hint="eastAsia"/>
                    </w:rPr>
                    <w:t>根据上交所《上市公司自律监管指引第5号——交易与关联交易》，公司出具了关于兖矿财司的风险持续评估报告。</w:t>
                  </w:r>
                </w:p>
              </w:sdtContent>
            </w:sdt>
          </w:sdtContent>
        </w:sdt>
        <w:p w14:paraId="4B0FFCA6" w14:textId="77777777" w:rsidR="00B201D3" w:rsidRDefault="00C8327E">
          <w:pPr>
            <w:rPr>
              <w:color w:val="000000" w:themeColor="text1"/>
            </w:rPr>
          </w:pPr>
        </w:p>
      </w:sdtContent>
    </w:sdt>
    <w:bookmarkEnd w:id="88" w:displacedByCustomXml="next"/>
    <w:sdt>
      <w:sdtPr>
        <w:rPr>
          <w:rFonts w:ascii="宋体" w:hAnsi="宋体" w:cs="宋体" w:hint="eastAsia"/>
          <w:b w:val="0"/>
          <w:bCs/>
          <w:kern w:val="0"/>
          <w:szCs w:val="24"/>
        </w:rPr>
        <w:alias w:val="模块:(五) 其他重大关联交易"/>
        <w:tag w:val="_SEC_d0d528034450466db3d12315559a161a"/>
        <w:id w:val="-189910404"/>
        <w:lock w:val="sdtLocked"/>
        <w:placeholder>
          <w:docPart w:val="GBC22222222222222222222222222222"/>
        </w:placeholder>
      </w:sdtPr>
      <w:sdtEndPr>
        <w:rPr>
          <w:rFonts w:hint="default"/>
          <w:bCs w:val="0"/>
          <w:szCs w:val="21"/>
        </w:rPr>
      </w:sdtEndPr>
      <w:sdtContent>
        <w:p w14:paraId="3F5C4DB6" w14:textId="77777777" w:rsidR="00B201D3" w:rsidRDefault="009855E8">
          <w:pPr>
            <w:pStyle w:val="3900"/>
            <w:numPr>
              <w:ilvl w:val="2"/>
              <w:numId w:val="4"/>
            </w:numPr>
            <w:rPr>
              <w:rFonts w:ascii="宋体" w:hAnsi="宋体"/>
            </w:rPr>
          </w:pPr>
          <w:r>
            <w:rPr>
              <w:rFonts w:ascii="宋体" w:hAnsi="宋体" w:hint="eastAsia"/>
            </w:rPr>
            <w:t>其他重大关联交易</w:t>
          </w:r>
        </w:p>
        <w:sdt>
          <w:sdtPr>
            <w:rPr>
              <w:rFonts w:hint="eastAsia"/>
            </w:rPr>
            <w:alias w:val="是否适用：重大关联交易其他说明[双击切换]"/>
            <w:tag w:val="_GBC_7dd39ac420a244dcb8ea88c29ac07190"/>
            <w:id w:val="1908717146"/>
            <w:lock w:val="sdtLocked"/>
            <w:placeholder>
              <w:docPart w:val="GBC22222222222222222222222222222"/>
            </w:placeholder>
          </w:sdtPr>
          <w:sdtEndPr/>
          <w:sdtContent>
            <w:p w14:paraId="531E1E0D" w14:textId="77777777" w:rsidR="00B201D3" w:rsidRDefault="009855E8">
              <w:pPr>
                <w:pStyle w:val="390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573B7E2" w14:textId="77777777" w:rsidR="00B201D3" w:rsidRDefault="00C8327E">
          <w:pPr>
            <w:ind w:firstLineChars="200" w:firstLine="420"/>
            <w:jc w:val="both"/>
          </w:pPr>
        </w:p>
      </w:sdtContent>
    </w:sdt>
    <w:sdt>
      <w:sdtPr>
        <w:rPr>
          <w:rFonts w:ascii="宋体" w:hAnsi="宋体" w:cs="宋体" w:hint="eastAsia"/>
          <w:b w:val="0"/>
          <w:bCs/>
          <w:kern w:val="0"/>
          <w:szCs w:val="24"/>
        </w:rPr>
        <w:alias w:val="模块:其他"/>
        <w:tag w:val="_SEC_94b5dc0c50e04cae8442e9675bd15742"/>
        <w:id w:val="-1876994426"/>
        <w:lock w:val="sdtLocked"/>
        <w:placeholder>
          <w:docPart w:val="GBC22222222222222222222222222222"/>
        </w:placeholder>
      </w:sdtPr>
      <w:sdtEndPr>
        <w:rPr>
          <w:bCs w:val="0"/>
          <w:szCs w:val="21"/>
        </w:rPr>
      </w:sdtEndPr>
      <w:sdtContent>
        <w:p w14:paraId="036226CE" w14:textId="77777777" w:rsidR="00B201D3" w:rsidRDefault="009855E8">
          <w:pPr>
            <w:pStyle w:val="3900"/>
            <w:numPr>
              <w:ilvl w:val="2"/>
              <w:numId w:val="4"/>
            </w:numPr>
            <w:rPr>
              <w:rFonts w:ascii="宋体" w:hAnsi="宋体"/>
            </w:rPr>
          </w:pPr>
          <w:r>
            <w:rPr>
              <w:rFonts w:ascii="宋体" w:hAnsi="宋体" w:hint="eastAsia"/>
            </w:rPr>
            <w:t>其他</w:t>
          </w:r>
        </w:p>
        <w:sdt>
          <w:sdtPr>
            <w:rPr>
              <w:rFonts w:hint="eastAsia"/>
            </w:rPr>
            <w:alias w:val="是否适用：重大关联交易事项其他补充说明[双击切换]"/>
            <w:tag w:val="_GBC_272061194cde466a9c566f0881c76d0d"/>
            <w:id w:val="56519026"/>
            <w:lock w:val="sdtLocked"/>
            <w:placeholder>
              <w:docPart w:val="GBC22222222222222222222222222222"/>
            </w:placeholder>
          </w:sdtPr>
          <w:sdtEndPr/>
          <w:sdtContent>
            <w:p w14:paraId="67776E2C" w14:textId="77777777" w:rsidR="00B201D3" w:rsidRDefault="009855E8">
              <w:pPr>
                <w:pStyle w:val="390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6BCA76CF" w14:textId="77777777" w:rsidR="00B201D3" w:rsidRDefault="00B201D3">
      <w:pPr>
        <w:pStyle w:val="3903"/>
      </w:pPr>
    </w:p>
    <w:p w14:paraId="513CC175" w14:textId="77777777" w:rsidR="00B201D3" w:rsidRDefault="009855E8">
      <w:pPr>
        <w:pStyle w:val="3901"/>
        <w:numPr>
          <w:ilvl w:val="0"/>
          <w:numId w:val="25"/>
        </w:numPr>
        <w:tabs>
          <w:tab w:val="left" w:pos="426"/>
        </w:tabs>
        <w:ind w:left="422" w:hanging="422"/>
        <w:jc w:val="left"/>
        <w:rPr>
          <w:rFonts w:ascii="宋体" w:hAnsi="宋体"/>
        </w:rPr>
      </w:pPr>
      <w:r>
        <w:rPr>
          <w:rFonts w:ascii="宋体" w:hAnsi="宋体" w:hint="eastAsia"/>
        </w:rPr>
        <w:t>重大合同及其履行情况</w:t>
      </w:r>
    </w:p>
    <w:p w14:paraId="22D692D4" w14:textId="77777777" w:rsidR="00B201D3" w:rsidRDefault="009855E8">
      <w:pPr>
        <w:pStyle w:val="3900"/>
        <w:numPr>
          <w:ilvl w:val="0"/>
          <w:numId w:val="33"/>
        </w:numPr>
        <w:rPr>
          <w:rFonts w:ascii="宋体" w:hAnsi="宋体"/>
        </w:rPr>
      </w:pPr>
      <w:r>
        <w:rPr>
          <w:rFonts w:ascii="宋体" w:hAnsi="宋体"/>
        </w:rPr>
        <w:t>托管、承包、租赁事项</w:t>
      </w:r>
    </w:p>
    <w:p w14:paraId="1CCB8305" w14:textId="77777777" w:rsidR="00B201D3" w:rsidRDefault="00C8327E">
      <w:pPr>
        <w:rPr>
          <w:shd w:val="pct10" w:color="auto" w:fill="FFFFFF"/>
        </w:rPr>
      </w:pPr>
      <w:sdt>
        <w:sdtPr>
          <w:alias w:val="是否适用：托管、承包、租赁事项[双击切换]"/>
          <w:tag w:val="_GBC_daed561e68674d828a348a97bffbc154"/>
          <w:id w:val="-1719887913"/>
          <w:lock w:val="sdtLocked"/>
          <w:placeholder>
            <w:docPart w:val="GBC22222222222222222222222222222"/>
          </w:placeholder>
        </w:sdtPr>
        <w:sdtEndPr/>
        <w:sdtContent>
          <w:r w:rsidR="009855E8">
            <w:fldChar w:fldCharType="begin"/>
          </w:r>
          <w:r w:rsidR="009855E8">
            <w:instrText xml:space="preserve"> MACROBUTTON  SnrToggleCheckbox □适用 </w:instrText>
          </w:r>
          <w:r w:rsidR="009855E8">
            <w:fldChar w:fldCharType="end"/>
          </w:r>
          <w:r w:rsidR="009855E8">
            <w:fldChar w:fldCharType="begin"/>
          </w:r>
          <w:r w:rsidR="009855E8">
            <w:instrText xml:space="preserve"> MACROBUTTON  SnrToggleCheckbox √不适用 </w:instrText>
          </w:r>
          <w:r w:rsidR="009855E8">
            <w:fldChar w:fldCharType="end"/>
          </w:r>
        </w:sdtContent>
      </w:sdt>
    </w:p>
    <w:p w14:paraId="466E0C8A" w14:textId="77777777" w:rsidR="00B201D3" w:rsidRDefault="00B201D3">
      <w:pPr>
        <w:rPr>
          <w:shd w:val="pct10" w:color="auto" w:fill="FFFFFF"/>
        </w:rPr>
        <w:sectPr w:rsidR="00B201D3">
          <w:pgSz w:w="11906" w:h="16838"/>
          <w:pgMar w:top="1525" w:right="1276" w:bottom="1440" w:left="1797" w:header="851" w:footer="992" w:gutter="0"/>
          <w:cols w:space="425"/>
          <w:docGrid w:linePitch="312"/>
        </w:sectPr>
      </w:pPr>
    </w:p>
    <w:p w14:paraId="06E3ED0B" w14:textId="77777777" w:rsidR="00B201D3" w:rsidRDefault="009855E8">
      <w:pPr>
        <w:pStyle w:val="3900"/>
        <w:numPr>
          <w:ilvl w:val="0"/>
          <w:numId w:val="33"/>
        </w:numPr>
        <w:rPr>
          <w:rFonts w:ascii="宋体" w:hAnsi="宋体"/>
          <w:szCs w:val="21"/>
        </w:rPr>
      </w:pPr>
      <w:r>
        <w:rPr>
          <w:rFonts w:ascii="宋体" w:hAnsi="宋体" w:hint="eastAsia"/>
          <w:szCs w:val="21"/>
        </w:rPr>
        <w:lastRenderedPageBreak/>
        <w:t xml:space="preserve"> 报告期内履行的及尚未履行完毕的重大担保情况</w:t>
      </w:r>
    </w:p>
    <w:sdt>
      <w:sdtPr>
        <w:alias w:val="是否适用：担保情况[双击切换]"/>
        <w:tag w:val="_GBC_aae98b3e30bd49e4b2e1d2643f200047"/>
        <w:id w:val="1945188575"/>
        <w:lock w:val="sdtContentLocked"/>
        <w:placeholder>
          <w:docPart w:val="GBC22222222222222222222222222222"/>
        </w:placeholder>
      </w:sdtPr>
      <w:sdtEndPr/>
      <w:sdtContent>
        <w:p w14:paraId="7109697A" w14:textId="77777777" w:rsidR="00B201D3" w:rsidRDefault="009855E8">
          <w:pPr>
            <w:pStyle w:val="390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Start w:id="89" w:name="_Hlk42868045" w:displacedByCustomXml="next"/>
    <w:sdt>
      <w:sdtPr>
        <w:rPr>
          <w:rFonts w:hint="eastAsia"/>
        </w:rPr>
        <w:alias w:val="模块:担保情况"/>
        <w:tag w:val="_SEC_7252a26412904d92b0bddfc3266d9f75"/>
        <w:id w:val="1185085657"/>
        <w:placeholder>
          <w:docPart w:val="GBC22222222222222222222222222222"/>
        </w:placeholder>
      </w:sdtPr>
      <w:sdtEndPr>
        <w:rPr>
          <w:rFonts w:asciiTheme="minorEastAsia" w:eastAsiaTheme="minorEastAsia" w:hAnsiTheme="minorEastAsia"/>
        </w:rPr>
      </w:sdtEndPr>
      <w:sdtContent>
        <w:p w14:paraId="11206D27" w14:textId="101E1FC8" w:rsidR="00B201D3" w:rsidRDefault="009855E8">
          <w:pPr>
            <w:ind w:rightChars="-150" w:right="-315"/>
            <w:jc w:val="right"/>
          </w:pPr>
          <w:r>
            <w:rPr>
              <w:rFonts w:hint="eastAsia"/>
            </w:rPr>
            <w:t>单位</w:t>
          </w:r>
          <w:r>
            <w:t>：</w:t>
          </w:r>
          <w:sdt>
            <w:sdtPr>
              <w:alias w:val="单位：担保情况"/>
              <w:tag w:val="_GBC_27c8b92380c14fd7885db4b4050dbded"/>
              <w:id w:val="352614169"/>
              <w:lock w:val="sdtLocked"/>
              <w:placeholder>
                <w:docPart w:val="26685DFA142F4711952995E1628DC31F"/>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431878">
                <w:t>亿元</w:t>
              </w:r>
            </w:sdtContent>
          </w:sdt>
          <w:r w:rsidR="00431878">
            <w:t xml:space="preserve">  </w:t>
          </w:r>
          <w:r>
            <w:rPr>
              <w:rFonts w:hint="eastAsia"/>
            </w:rPr>
            <w:t>币种</w:t>
          </w:r>
          <w:r>
            <w:t>：</w:t>
          </w:r>
          <w:sdt>
            <w:sdtPr>
              <w:alias w:val="币种：担保情况"/>
              <w:tag w:val="_GBC_a5bed87537d146398206f22cc051cc03"/>
              <w:id w:val="1385524383"/>
              <w:lock w:val="sdtLocked"/>
              <w:placeholder>
                <w:docPart w:val="26685DFA142F4711952995E1628DC31F"/>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F46283">
                <w:t>人民币</w:t>
              </w:r>
            </w:sdtContent>
          </w:sdt>
        </w:p>
        <w:tbl>
          <w:tblPr>
            <w:tblStyle w:val="g2"/>
            <w:tblW w:w="5000" w:type="pct"/>
            <w:tblInd w:w="0" w:type="dxa"/>
            <w:tblBorders>
              <w:top w:val="single" w:sz="4" w:space="0" w:color="auto"/>
              <w:left w:val="single" w:sz="4" w:space="0" w:color="auto"/>
              <w:bottom w:val="single" w:sz="4" w:space="0" w:color="auto"/>
              <w:right w:val="single" w:sz="4" w:space="0" w:color="auto"/>
            </w:tblBorders>
            <w:tblCellMar>
              <w:left w:w="30" w:type="dxa"/>
              <w:right w:w="30" w:type="dxa"/>
            </w:tblCellMar>
            <w:tblLook w:val="04A0" w:firstRow="1" w:lastRow="0" w:firstColumn="1" w:lastColumn="0" w:noHBand="0" w:noVBand="1"/>
          </w:tblPr>
          <w:tblGrid>
            <w:gridCol w:w="822"/>
            <w:gridCol w:w="859"/>
            <w:gridCol w:w="859"/>
            <w:gridCol w:w="950"/>
            <w:gridCol w:w="860"/>
            <w:gridCol w:w="857"/>
            <w:gridCol w:w="743"/>
            <w:gridCol w:w="965"/>
            <w:gridCol w:w="860"/>
            <w:gridCol w:w="860"/>
            <w:gridCol w:w="860"/>
            <w:gridCol w:w="860"/>
            <w:gridCol w:w="945"/>
            <w:gridCol w:w="860"/>
            <w:gridCol w:w="860"/>
            <w:gridCol w:w="843"/>
          </w:tblGrid>
          <w:tr w:rsidR="00B201D3" w14:paraId="66C6275F" w14:textId="77777777">
            <w:trPr>
              <w:trHeight w:val="293"/>
            </w:trPr>
            <w:sdt>
              <w:sdtPr>
                <w:tag w:val="_PLD_e4c50adfca70424b94b9e8ceed3333ed"/>
                <w:id w:val="1985274236"/>
                <w:lock w:val="sdtLocked"/>
              </w:sdtPr>
              <w:sdtEndPr/>
              <w:sdtContent>
                <w:tc>
                  <w:tcPr>
                    <w:tcW w:w="5000" w:type="pct"/>
                    <w:gridSpan w:val="16"/>
                    <w:tcBorders>
                      <w:top w:val="single" w:sz="4" w:space="0" w:color="auto"/>
                      <w:bottom w:val="single" w:sz="4" w:space="0" w:color="auto"/>
                    </w:tcBorders>
                    <w:shd w:val="clear" w:color="auto" w:fill="auto"/>
                    <w:vAlign w:val="center"/>
                  </w:tcPr>
                  <w:p w14:paraId="24082026" w14:textId="77777777" w:rsidR="00B201D3" w:rsidRDefault="009855E8">
                    <w:pPr>
                      <w:autoSpaceDE w:val="0"/>
                      <w:autoSpaceDN w:val="0"/>
                      <w:adjustRightInd w:val="0"/>
                      <w:jc w:val="center"/>
                    </w:pPr>
                    <w:r>
                      <w:rPr>
                        <w:rFonts w:hint="eastAsia"/>
                      </w:rPr>
                      <w:t>公司对外担保情况（不包括对子公司的担保）</w:t>
                    </w:r>
                  </w:p>
                </w:tc>
              </w:sdtContent>
            </w:sdt>
          </w:tr>
          <w:tr w:rsidR="00B201D3" w14:paraId="76C6F445" w14:textId="77777777">
            <w:trPr>
              <w:trHeight w:val="293"/>
            </w:trPr>
            <w:sdt>
              <w:sdtPr>
                <w:tag w:val="_PLD_b5e3bfe83f5247d8b2e96e12bee8662f"/>
                <w:id w:val="-1313636996"/>
                <w:lock w:val="sdtLocked"/>
              </w:sdtPr>
              <w:sdtEndPr/>
              <w:sdtContent>
                <w:tc>
                  <w:tcPr>
                    <w:tcW w:w="297" w:type="pct"/>
                    <w:tcBorders>
                      <w:top w:val="single" w:sz="4" w:space="0" w:color="auto"/>
                      <w:bottom w:val="single" w:sz="4" w:space="0" w:color="auto"/>
                      <w:right w:val="single" w:sz="4" w:space="0" w:color="auto"/>
                    </w:tcBorders>
                    <w:shd w:val="clear" w:color="auto" w:fill="auto"/>
                    <w:vAlign w:val="center"/>
                  </w:tcPr>
                  <w:p w14:paraId="5AE151FC" w14:textId="77777777" w:rsidR="00B201D3" w:rsidRDefault="009855E8">
                    <w:pPr>
                      <w:autoSpaceDE w:val="0"/>
                      <w:autoSpaceDN w:val="0"/>
                      <w:adjustRightInd w:val="0"/>
                      <w:jc w:val="center"/>
                    </w:pPr>
                    <w:r>
                      <w:rPr>
                        <w:rFonts w:hint="eastAsia"/>
                      </w:rPr>
                      <w:t>担保方</w:t>
                    </w:r>
                  </w:p>
                </w:tc>
              </w:sdtContent>
            </w:sdt>
            <w:sdt>
              <w:sdtPr>
                <w:tag w:val="_PLD_11e8ec3aaba140989322530dbb4ee821"/>
                <w:id w:val="1707678910"/>
                <w:lock w:val="sdtLocked"/>
              </w:sdtPr>
              <w:sdtEndPr/>
              <w:sdtContent>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11130EA9" w14:textId="77777777" w:rsidR="00B201D3" w:rsidRDefault="009855E8">
                    <w:pPr>
                      <w:autoSpaceDE w:val="0"/>
                      <w:autoSpaceDN w:val="0"/>
                      <w:adjustRightInd w:val="0"/>
                      <w:jc w:val="center"/>
                    </w:pPr>
                    <w:r>
                      <w:rPr>
                        <w:rFonts w:hint="eastAsia"/>
                      </w:rPr>
                      <w:t>担保方与上市公司的关系</w:t>
                    </w:r>
                  </w:p>
                </w:tc>
              </w:sdtContent>
            </w:sdt>
            <w:sdt>
              <w:sdtPr>
                <w:tag w:val="_PLD_0a624167897e488eac102851cdaa2dd6"/>
                <w:id w:val="-467127788"/>
                <w:lock w:val="sdtLocked"/>
              </w:sdtPr>
              <w:sdtEndPr/>
              <w:sdtContent>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23262244" w14:textId="77777777" w:rsidR="00B201D3" w:rsidRDefault="009855E8">
                    <w:pPr>
                      <w:autoSpaceDE w:val="0"/>
                      <w:autoSpaceDN w:val="0"/>
                      <w:adjustRightInd w:val="0"/>
                      <w:jc w:val="center"/>
                    </w:pPr>
                    <w:r>
                      <w:rPr>
                        <w:rFonts w:hint="eastAsia"/>
                      </w:rPr>
                      <w:t>被担保方</w:t>
                    </w:r>
                  </w:p>
                </w:tc>
              </w:sdtContent>
            </w:sdt>
            <w:sdt>
              <w:sdtPr>
                <w:tag w:val="_PLD_d74521a92aaa42b5808e61f4fb826446"/>
                <w:id w:val="1992448738"/>
                <w:lock w:val="sdtLocked"/>
              </w:sdtPr>
              <w:sdtEndPr/>
              <w:sdtContent>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08FD5F60" w14:textId="77777777" w:rsidR="00B201D3" w:rsidRDefault="009855E8">
                    <w:pPr>
                      <w:autoSpaceDE w:val="0"/>
                      <w:autoSpaceDN w:val="0"/>
                      <w:adjustRightInd w:val="0"/>
                      <w:jc w:val="center"/>
                    </w:pPr>
                    <w:r>
                      <w:rPr>
                        <w:rFonts w:hint="eastAsia"/>
                      </w:rPr>
                      <w:t>担保金额</w:t>
                    </w:r>
                  </w:p>
                </w:tc>
              </w:sdtContent>
            </w:sdt>
            <w:sdt>
              <w:sdtPr>
                <w:tag w:val="_PLD_6741824a509a46cebcb644a6151b055d"/>
                <w:id w:val="-575512776"/>
                <w:lock w:val="sdtLocked"/>
              </w:sdtPr>
              <w:sdtEndPr/>
              <w:sdtContent>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7B40A317" w14:textId="77777777" w:rsidR="00B201D3" w:rsidRDefault="009855E8">
                    <w:pPr>
                      <w:autoSpaceDE w:val="0"/>
                      <w:autoSpaceDN w:val="0"/>
                      <w:adjustRightInd w:val="0"/>
                      <w:jc w:val="center"/>
                    </w:pPr>
                    <w:r>
                      <w:rPr>
                        <w:rFonts w:hint="eastAsia"/>
                      </w:rPr>
                      <w:t>担保发生日期</w:t>
                    </w:r>
                    <w:r>
                      <w:t>(</w:t>
                    </w:r>
                    <w:r>
                      <w:rPr>
                        <w:rFonts w:hint="eastAsia"/>
                      </w:rPr>
                      <w:t>协议签署日</w:t>
                    </w:r>
                    <w:r>
                      <w:t>)</w:t>
                    </w:r>
                  </w:p>
                </w:tc>
              </w:sdtContent>
            </w:sdt>
            <w:sdt>
              <w:sdtPr>
                <w:tag w:val="_PLD_0e011a3a87e14e378e635db52fd873bd"/>
                <w:id w:val="1314457461"/>
                <w:lock w:val="sdtLocked"/>
              </w:sdtPr>
              <w:sdtEndPr/>
              <w:sdtContent>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79BD928D" w14:textId="77777777" w:rsidR="00B201D3" w:rsidRDefault="009855E8">
                    <w:pPr>
                      <w:autoSpaceDE w:val="0"/>
                      <w:autoSpaceDN w:val="0"/>
                      <w:adjustRightInd w:val="0"/>
                      <w:jc w:val="center"/>
                    </w:pPr>
                    <w:r>
                      <w:rPr>
                        <w:rFonts w:hint="eastAsia"/>
                      </w:rPr>
                      <w:t>担保</w:t>
                    </w:r>
                  </w:p>
                  <w:p w14:paraId="78AC2C52" w14:textId="77777777" w:rsidR="00B201D3" w:rsidRDefault="009855E8">
                    <w:pPr>
                      <w:autoSpaceDE w:val="0"/>
                      <w:autoSpaceDN w:val="0"/>
                      <w:adjustRightInd w:val="0"/>
                      <w:jc w:val="center"/>
                    </w:pPr>
                    <w:r>
                      <w:rPr>
                        <w:rFonts w:hint="eastAsia"/>
                      </w:rPr>
                      <w:t>起始日</w:t>
                    </w:r>
                  </w:p>
                </w:tc>
              </w:sdtContent>
            </w:sdt>
            <w:sdt>
              <w:sdtPr>
                <w:tag w:val="_PLD_938a1d93f58f4900b7afb7849e3e6a58"/>
                <w:id w:val="1765573095"/>
                <w:lock w:val="sdtLocked"/>
              </w:sdtPr>
              <w:sdtEndPr/>
              <w:sdtContent>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14:paraId="002D44CC" w14:textId="77777777" w:rsidR="00B201D3" w:rsidRDefault="009855E8">
                    <w:pPr>
                      <w:autoSpaceDE w:val="0"/>
                      <w:autoSpaceDN w:val="0"/>
                      <w:adjustRightInd w:val="0"/>
                      <w:jc w:val="center"/>
                    </w:pPr>
                    <w:r>
                      <w:rPr>
                        <w:rFonts w:hint="eastAsia"/>
                      </w:rPr>
                      <w:t>担保</w:t>
                    </w:r>
                  </w:p>
                  <w:p w14:paraId="63B4F516" w14:textId="77777777" w:rsidR="00B201D3" w:rsidRDefault="009855E8">
                    <w:pPr>
                      <w:autoSpaceDE w:val="0"/>
                      <w:autoSpaceDN w:val="0"/>
                      <w:adjustRightInd w:val="0"/>
                      <w:jc w:val="center"/>
                    </w:pPr>
                    <w:r>
                      <w:rPr>
                        <w:rFonts w:hint="eastAsia"/>
                      </w:rPr>
                      <w:t>到期日</w:t>
                    </w:r>
                  </w:p>
                </w:tc>
              </w:sdtContent>
            </w:sdt>
            <w:sdt>
              <w:sdtPr>
                <w:tag w:val="_PLD_51fa31228c524c01adac764c60a6999c"/>
                <w:id w:val="-361827790"/>
                <w:lock w:val="sdtLocked"/>
              </w:sdtPr>
              <w:sdtEndPr/>
              <w:sdtContent>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302B48ED" w14:textId="77777777" w:rsidR="00B201D3" w:rsidRDefault="009855E8">
                    <w:pPr>
                      <w:autoSpaceDE w:val="0"/>
                      <w:autoSpaceDN w:val="0"/>
                      <w:adjustRightInd w:val="0"/>
                      <w:jc w:val="center"/>
                    </w:pPr>
                    <w:r>
                      <w:rPr>
                        <w:rFonts w:hint="eastAsia"/>
                      </w:rPr>
                      <w:t>担保类型</w:t>
                    </w:r>
                  </w:p>
                </w:tc>
              </w:sdtContent>
            </w:sdt>
            <w:sdt>
              <w:sdtPr>
                <w:rPr>
                  <w:rFonts w:hint="eastAsia"/>
                </w:rPr>
                <w:tag w:val="_PLD_1f3f8cca8d8c4b94a8d81954f7951552"/>
                <w:id w:val="-689143388"/>
                <w:lock w:val="sdtLocked"/>
              </w:sdtPr>
              <w:sdtEndPr/>
              <w:sdtContent>
                <w:tc>
                  <w:tcPr>
                    <w:tcW w:w="310" w:type="pct"/>
                    <w:tcBorders>
                      <w:top w:val="single" w:sz="4" w:space="0" w:color="auto"/>
                      <w:left w:val="single" w:sz="4" w:space="0" w:color="auto"/>
                      <w:bottom w:val="single" w:sz="4" w:space="0" w:color="auto"/>
                      <w:right w:val="single" w:sz="4" w:space="0" w:color="auto"/>
                    </w:tcBorders>
                    <w:vAlign w:val="center"/>
                  </w:tcPr>
                  <w:p w14:paraId="07997E99" w14:textId="77777777" w:rsidR="00B201D3" w:rsidRDefault="009855E8">
                    <w:pPr>
                      <w:autoSpaceDE w:val="0"/>
                      <w:autoSpaceDN w:val="0"/>
                      <w:adjustRightInd w:val="0"/>
                      <w:jc w:val="center"/>
                    </w:pPr>
                    <w:r>
                      <w:rPr>
                        <w:rFonts w:hint="eastAsia"/>
                      </w:rPr>
                      <w:t>主债务情况</w:t>
                    </w:r>
                  </w:p>
                </w:tc>
              </w:sdtContent>
            </w:sdt>
            <w:sdt>
              <w:sdtPr>
                <w:rPr>
                  <w:rFonts w:hint="eastAsia"/>
                </w:rPr>
                <w:tag w:val="_PLD_cd7b5ab30a06466e9c30b0ca1035b8c8"/>
                <w:id w:val="-700937092"/>
                <w:lock w:val="sdtLocked"/>
              </w:sdtPr>
              <w:sdtEndPr/>
              <w:sdtContent>
                <w:tc>
                  <w:tcPr>
                    <w:tcW w:w="310" w:type="pct"/>
                    <w:tcBorders>
                      <w:top w:val="single" w:sz="4" w:space="0" w:color="auto"/>
                      <w:left w:val="single" w:sz="4" w:space="0" w:color="auto"/>
                      <w:bottom w:val="single" w:sz="4" w:space="0" w:color="auto"/>
                      <w:right w:val="single" w:sz="4" w:space="0" w:color="auto"/>
                    </w:tcBorders>
                    <w:vAlign w:val="center"/>
                  </w:tcPr>
                  <w:p w14:paraId="269A6689" w14:textId="77777777" w:rsidR="00B201D3" w:rsidRDefault="009855E8">
                    <w:pPr>
                      <w:autoSpaceDE w:val="0"/>
                      <w:autoSpaceDN w:val="0"/>
                      <w:adjustRightInd w:val="0"/>
                      <w:jc w:val="center"/>
                    </w:pPr>
                    <w:r>
                      <w:rPr>
                        <w:rFonts w:hint="eastAsia"/>
                      </w:rPr>
                      <w:t>担保物（如有）</w:t>
                    </w:r>
                  </w:p>
                </w:tc>
              </w:sdtContent>
            </w:sdt>
            <w:sdt>
              <w:sdtPr>
                <w:tag w:val="_PLD_a4bc1e9d84484ec38af3f5d7a2752067"/>
                <w:id w:val="-511609917"/>
                <w:lock w:val="sdtLocked"/>
              </w:sdtPr>
              <w:sdtEndPr/>
              <w:sdtContent>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0C5C5D08" w14:textId="77777777" w:rsidR="00B201D3" w:rsidRDefault="009855E8">
                    <w:pPr>
                      <w:autoSpaceDE w:val="0"/>
                      <w:autoSpaceDN w:val="0"/>
                      <w:adjustRightInd w:val="0"/>
                      <w:jc w:val="center"/>
                    </w:pPr>
                    <w:r>
                      <w:rPr>
                        <w:rFonts w:hint="eastAsia"/>
                      </w:rPr>
                      <w:t>担保是否已经履行完毕</w:t>
                    </w:r>
                  </w:p>
                </w:tc>
              </w:sdtContent>
            </w:sdt>
            <w:sdt>
              <w:sdtPr>
                <w:tag w:val="_PLD_3adcf1d50e504a54949358562441ef7b"/>
                <w:id w:val="1298340517"/>
                <w:lock w:val="sdtLocked"/>
              </w:sdtPr>
              <w:sdtEndPr/>
              <w:sdtContent>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4E69A56A" w14:textId="77777777" w:rsidR="00B201D3" w:rsidRDefault="009855E8">
                    <w:pPr>
                      <w:autoSpaceDE w:val="0"/>
                      <w:autoSpaceDN w:val="0"/>
                      <w:adjustRightInd w:val="0"/>
                      <w:jc w:val="center"/>
                    </w:pPr>
                    <w:r>
                      <w:rPr>
                        <w:rFonts w:hint="eastAsia"/>
                      </w:rPr>
                      <w:t>担保是否逾期</w:t>
                    </w:r>
                  </w:p>
                </w:tc>
              </w:sdtContent>
            </w:sdt>
            <w:sdt>
              <w:sdtPr>
                <w:tag w:val="_PLD_3860b2e281fb4e30b2945d128cc96939"/>
                <w:id w:val="-2115280088"/>
                <w:lock w:val="sdtLocked"/>
              </w:sdtPr>
              <w:sdtEndPr/>
              <w:sdtContent>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45FBC579" w14:textId="77777777" w:rsidR="00B201D3" w:rsidRDefault="009855E8">
                    <w:pPr>
                      <w:autoSpaceDE w:val="0"/>
                      <w:autoSpaceDN w:val="0"/>
                      <w:adjustRightInd w:val="0"/>
                      <w:jc w:val="center"/>
                    </w:pPr>
                    <w:r>
                      <w:rPr>
                        <w:rFonts w:hint="eastAsia"/>
                      </w:rPr>
                      <w:t>担保逾期金额</w:t>
                    </w:r>
                  </w:p>
                </w:tc>
              </w:sdtContent>
            </w:sdt>
            <w:tc>
              <w:tcPr>
                <w:tcW w:w="310" w:type="pct"/>
                <w:tcBorders>
                  <w:top w:val="single" w:sz="4" w:space="0" w:color="auto"/>
                  <w:left w:val="single" w:sz="4" w:space="0" w:color="auto"/>
                  <w:bottom w:val="single" w:sz="4" w:space="0" w:color="auto"/>
                  <w:right w:val="single" w:sz="4" w:space="0" w:color="auto"/>
                </w:tcBorders>
                <w:vAlign w:val="center"/>
              </w:tcPr>
              <w:sdt>
                <w:sdtPr>
                  <w:rPr>
                    <w:rFonts w:hint="eastAsia"/>
                  </w:rPr>
                  <w:tag w:val="_PLD_63e29615db7e439fbe446447d9abc680"/>
                  <w:id w:val="1049575302"/>
                  <w:lock w:val="sdtLocked"/>
                </w:sdtPr>
                <w:sdtEndPr/>
                <w:sdtContent>
                  <w:p w14:paraId="66D3975C" w14:textId="77777777" w:rsidR="00B201D3" w:rsidRDefault="009855E8">
                    <w:pPr>
                      <w:autoSpaceDE w:val="0"/>
                      <w:autoSpaceDN w:val="0"/>
                      <w:adjustRightInd w:val="0"/>
                      <w:jc w:val="center"/>
                    </w:pPr>
                    <w:r>
                      <w:rPr>
                        <w:rFonts w:hint="eastAsia"/>
                      </w:rPr>
                      <w:t>反担保情况</w:t>
                    </w:r>
                  </w:p>
                </w:sdtContent>
              </w:sdt>
            </w:tc>
            <w:sdt>
              <w:sdtPr>
                <w:tag w:val="_PLD_0f93b7a8a3684e3ba874246a93cd5173"/>
                <w:id w:val="1290861132"/>
                <w:lock w:val="sdtLocked"/>
              </w:sdtPr>
              <w:sdtEndPr/>
              <w:sdtContent>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5E628D8B" w14:textId="77777777" w:rsidR="00B201D3" w:rsidRDefault="009855E8">
                    <w:pPr>
                      <w:autoSpaceDE w:val="0"/>
                      <w:autoSpaceDN w:val="0"/>
                      <w:adjustRightInd w:val="0"/>
                      <w:jc w:val="center"/>
                    </w:pPr>
                    <w:r>
                      <w:rPr>
                        <w:rFonts w:hint="eastAsia"/>
                      </w:rPr>
                      <w:t>是否为关联方担保</w:t>
                    </w:r>
                  </w:p>
                </w:tc>
              </w:sdtContent>
            </w:sdt>
            <w:sdt>
              <w:sdtPr>
                <w:tag w:val="_PLD_fd1e6b8b28d64a7ea7816d45bcfc0699"/>
                <w:id w:val="-1855801627"/>
                <w:lock w:val="sdtLocked"/>
              </w:sdtPr>
              <w:sdtEndPr/>
              <w:sdtContent>
                <w:tc>
                  <w:tcPr>
                    <w:tcW w:w="304" w:type="pct"/>
                    <w:tcBorders>
                      <w:top w:val="single" w:sz="4" w:space="0" w:color="auto"/>
                      <w:left w:val="single" w:sz="4" w:space="0" w:color="auto"/>
                      <w:bottom w:val="single" w:sz="4" w:space="0" w:color="auto"/>
                    </w:tcBorders>
                    <w:shd w:val="clear" w:color="auto" w:fill="auto"/>
                    <w:vAlign w:val="center"/>
                  </w:tcPr>
                  <w:p w14:paraId="05DD07A2" w14:textId="77777777" w:rsidR="00B201D3" w:rsidRDefault="009855E8">
                    <w:pPr>
                      <w:autoSpaceDE w:val="0"/>
                      <w:autoSpaceDN w:val="0"/>
                      <w:adjustRightInd w:val="0"/>
                      <w:jc w:val="center"/>
                    </w:pPr>
                    <w:r>
                      <w:rPr>
                        <w:rFonts w:hint="eastAsia"/>
                      </w:rPr>
                      <w:t>关联</w:t>
                    </w:r>
                  </w:p>
                  <w:p w14:paraId="0B7A882E" w14:textId="77777777" w:rsidR="00B201D3" w:rsidRDefault="009855E8">
                    <w:pPr>
                      <w:autoSpaceDE w:val="0"/>
                      <w:autoSpaceDN w:val="0"/>
                      <w:adjustRightInd w:val="0"/>
                      <w:jc w:val="center"/>
                    </w:pPr>
                    <w:r>
                      <w:rPr>
                        <w:rFonts w:hint="eastAsia"/>
                      </w:rPr>
                      <w:t>关系</w:t>
                    </w:r>
                  </w:p>
                </w:tc>
              </w:sdtContent>
            </w:sdt>
          </w:tr>
          <w:sdt>
            <w:sdtPr>
              <w:alias w:val="担保情况"/>
              <w:tag w:val="_TUP_f2ca1cf969184747bfac782d8ffc60e4"/>
              <w:id w:val="750625198"/>
              <w:lock w:val="sdtLocked"/>
              <w:placeholder>
                <w:docPart w:val="260085BDB2674835B679619A4ABD1AA8"/>
              </w:placeholder>
            </w:sdtPr>
            <w:sdtEndPr>
              <w:rPr>
                <w:color w:val="FFC000"/>
              </w:rPr>
            </w:sdtEndPr>
            <w:sdtContent>
              <w:tr w:rsidR="00B201D3" w14:paraId="48E6253B" w14:textId="77777777">
                <w:trPr>
                  <w:trHeight w:val="293"/>
                </w:trPr>
                <w:tc>
                  <w:tcPr>
                    <w:tcW w:w="297" w:type="pct"/>
                    <w:tcBorders>
                      <w:top w:val="single" w:sz="4" w:space="0" w:color="auto"/>
                      <w:bottom w:val="single" w:sz="4" w:space="0" w:color="auto"/>
                      <w:right w:val="single" w:sz="4" w:space="0" w:color="auto"/>
                    </w:tcBorders>
                    <w:shd w:val="clear" w:color="auto" w:fill="auto"/>
                    <w:vAlign w:val="center"/>
                  </w:tcPr>
                  <w:p w14:paraId="4995F7AC" w14:textId="77777777" w:rsidR="00B201D3" w:rsidRDefault="009855E8">
                    <w:pPr>
                      <w:autoSpaceDE w:val="0"/>
                      <w:autoSpaceDN w:val="0"/>
                      <w:adjustRightInd w:val="0"/>
                      <w:jc w:val="center"/>
                      <w:rPr>
                        <w:color w:val="FF0000"/>
                      </w:rPr>
                    </w:pPr>
                    <w:r>
                      <w:t>/</w:t>
                    </w:r>
                  </w:p>
                </w:tc>
                <w:sdt>
                  <w:sdtPr>
                    <w:rPr>
                      <w:rFonts w:hint="eastAsia"/>
                      <w:bCs/>
                    </w:rPr>
                    <w:alias w:val="担保方与上市公司的关联关系"/>
                    <w:tag w:val="_GBC_314278e58f414ef59436a6ba610dfaef"/>
                    <w:id w:val="-814419733"/>
                    <w:lock w:val="sdtLocked"/>
                    <w:comboBox>
                      <w:listItem w:displayText="公司本部" w:value="公司本部"/>
                      <w:listItem w:displayText="控股子公司" w:value="控股子公司"/>
                      <w:listItem w:displayText="全资子公司" w:value="全资子公司"/>
                    </w:comboBox>
                  </w:sdtPr>
                  <w:sdtEndPr/>
                  <w:sdtContent>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194B5E06" w14:textId="6CCEDB6B" w:rsidR="00B201D3" w:rsidRDefault="00F46283">
                        <w:pPr>
                          <w:autoSpaceDE w:val="0"/>
                          <w:autoSpaceDN w:val="0"/>
                          <w:adjustRightInd w:val="0"/>
                          <w:jc w:val="center"/>
                        </w:pPr>
                        <w:r>
                          <w:rPr>
                            <w:rFonts w:hint="eastAsia"/>
                            <w:bCs/>
                          </w:rPr>
                          <w:t>/</w:t>
                        </w:r>
                      </w:p>
                    </w:tc>
                  </w:sdtContent>
                </w:sdt>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7B62CC2A" w14:textId="77777777" w:rsidR="00B201D3" w:rsidRDefault="009855E8">
                    <w:pPr>
                      <w:autoSpaceDE w:val="0"/>
                      <w:autoSpaceDN w:val="0"/>
                      <w:adjustRightInd w:val="0"/>
                      <w:jc w:val="center"/>
                    </w:pPr>
                    <w: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14:paraId="183F6C1C" w14:textId="77777777" w:rsidR="00B201D3" w:rsidRDefault="009855E8">
                    <w:pPr>
                      <w:autoSpaceDE w:val="0"/>
                      <w:autoSpaceDN w:val="0"/>
                      <w:adjustRightInd w:val="0"/>
                      <w:ind w:rightChars="40" w:right="84"/>
                      <w:jc w:val="center"/>
                    </w:pPr>
                    <w:r>
                      <w:t>/</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54232398" w14:textId="77777777" w:rsidR="00B201D3" w:rsidRDefault="009855E8">
                    <w:pPr>
                      <w:autoSpaceDE w:val="0"/>
                      <w:autoSpaceDN w:val="0"/>
                      <w:adjustRightInd w:val="0"/>
                      <w:jc w:val="center"/>
                    </w:pPr>
                    <w:r>
                      <w:t>/</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63196B9D" w14:textId="77777777" w:rsidR="00B201D3" w:rsidRDefault="009855E8">
                    <w:pPr>
                      <w:autoSpaceDE w:val="0"/>
                      <w:autoSpaceDN w:val="0"/>
                      <w:adjustRightInd w:val="0"/>
                      <w:jc w:val="center"/>
                    </w:pPr>
                    <w:r>
                      <w:t>/</w:t>
                    </w: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14:paraId="6142475E" w14:textId="77777777" w:rsidR="00B201D3" w:rsidRDefault="009855E8">
                    <w:pPr>
                      <w:autoSpaceDE w:val="0"/>
                      <w:autoSpaceDN w:val="0"/>
                      <w:adjustRightInd w:val="0"/>
                      <w:jc w:val="center"/>
                    </w:pPr>
                    <w:r>
                      <w:t>/</w:t>
                    </w:r>
                  </w:p>
                </w:tc>
                <w:sdt>
                  <w:sdtPr>
                    <w:alias w:val="担保类型"/>
                    <w:tag w:val="_GBC_5b7281c91f794ab38f9d7314134cce0e"/>
                    <w:id w:val="-936670125"/>
                    <w:lock w:val="sdtLocked"/>
                    <w:comboBox>
                      <w:listItem w:displayText="一般担保" w:value="一般担保"/>
                      <w:listItem w:displayText="连带责任担保" w:value="连带责任担保"/>
                    </w:comboBox>
                  </w:sdtPr>
                  <w:sdtEndPr/>
                  <w:sdtContent>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14:paraId="46B8B91D" w14:textId="229A8D48" w:rsidR="00B201D3" w:rsidRDefault="00F46283">
                        <w:pPr>
                          <w:autoSpaceDE w:val="0"/>
                          <w:autoSpaceDN w:val="0"/>
                          <w:adjustRightInd w:val="0"/>
                          <w:jc w:val="center"/>
                        </w:pPr>
                        <w:r>
                          <w:t>/</w:t>
                        </w:r>
                      </w:p>
                    </w:tc>
                  </w:sdtContent>
                </w:sdt>
                <w:tc>
                  <w:tcPr>
                    <w:tcW w:w="310" w:type="pct"/>
                    <w:tcBorders>
                      <w:top w:val="single" w:sz="4" w:space="0" w:color="auto"/>
                      <w:left w:val="single" w:sz="4" w:space="0" w:color="auto"/>
                      <w:bottom w:val="single" w:sz="4" w:space="0" w:color="auto"/>
                      <w:right w:val="single" w:sz="4" w:space="0" w:color="auto"/>
                    </w:tcBorders>
                    <w:vAlign w:val="center"/>
                  </w:tcPr>
                  <w:p w14:paraId="37A270D1" w14:textId="77777777" w:rsidR="00B201D3" w:rsidRDefault="009855E8">
                    <w:pPr>
                      <w:autoSpaceDE w:val="0"/>
                      <w:autoSpaceDN w:val="0"/>
                      <w:adjustRightInd w:val="0"/>
                      <w:jc w:val="center"/>
                      <w:rPr>
                        <w:bCs/>
                      </w:rPr>
                    </w:pPr>
                    <w:r>
                      <w:t>/</w:t>
                    </w:r>
                  </w:p>
                </w:tc>
                <w:tc>
                  <w:tcPr>
                    <w:tcW w:w="310" w:type="pct"/>
                    <w:tcBorders>
                      <w:top w:val="single" w:sz="4" w:space="0" w:color="auto"/>
                      <w:left w:val="single" w:sz="4" w:space="0" w:color="auto"/>
                      <w:bottom w:val="single" w:sz="4" w:space="0" w:color="auto"/>
                      <w:right w:val="single" w:sz="4" w:space="0" w:color="auto"/>
                    </w:tcBorders>
                    <w:vAlign w:val="center"/>
                  </w:tcPr>
                  <w:p w14:paraId="6DCECF40" w14:textId="77777777" w:rsidR="00B201D3" w:rsidRDefault="009855E8">
                    <w:pPr>
                      <w:autoSpaceDE w:val="0"/>
                      <w:autoSpaceDN w:val="0"/>
                      <w:adjustRightInd w:val="0"/>
                      <w:jc w:val="center"/>
                      <w:rPr>
                        <w:bCs/>
                      </w:rPr>
                    </w:pPr>
                    <w:r>
                      <w:t>/</w:t>
                    </w:r>
                  </w:p>
                </w:tc>
                <w:sdt>
                  <w:sdtPr>
                    <w:rPr>
                      <w:rFonts w:hint="eastAsia"/>
                      <w:bCs/>
                    </w:rPr>
                    <w:alias w:val="担保是否已经履行完毕"/>
                    <w:tag w:val="_GBC_790379edf6c5464398bb5b16c5922675"/>
                    <w:id w:val="-1388646852"/>
                    <w:lock w:val="sdtLocked"/>
                    <w:comboBox>
                      <w:listItem w:displayText="是" w:value="true"/>
                      <w:listItem w:displayText="否" w:value="false"/>
                    </w:comboBox>
                  </w:sdtPr>
                  <w:sdtEndPr/>
                  <w:sdtContent>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31F1B579" w14:textId="3B695358" w:rsidR="00B201D3" w:rsidRDefault="00F46283">
                        <w:pPr>
                          <w:autoSpaceDE w:val="0"/>
                          <w:autoSpaceDN w:val="0"/>
                          <w:adjustRightInd w:val="0"/>
                          <w:jc w:val="center"/>
                        </w:pPr>
                        <w:r>
                          <w:rPr>
                            <w:rFonts w:hint="eastAsia"/>
                            <w:bCs/>
                          </w:rPr>
                          <w:t>/</w:t>
                        </w:r>
                      </w:p>
                    </w:tc>
                  </w:sdtContent>
                </w:sdt>
                <w:sdt>
                  <w:sdtPr>
                    <w:rPr>
                      <w:rFonts w:hint="eastAsia"/>
                      <w:bCs/>
                    </w:rPr>
                    <w:alias w:val="担保是否逾期"/>
                    <w:tag w:val="_GBC_279128b9b4aa4b139c08ccdf093c3266"/>
                    <w:id w:val="-332060515"/>
                    <w:lock w:val="sdtLocked"/>
                    <w:comboBox>
                      <w:listItem w:displayText="是" w:value="true"/>
                      <w:listItem w:displayText="否" w:value="false"/>
                    </w:comboBox>
                  </w:sdtPr>
                  <w:sdtEndPr/>
                  <w:sdtContent>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20CBBA1A" w14:textId="133FF723" w:rsidR="00B201D3" w:rsidRDefault="00F46283">
                        <w:pPr>
                          <w:autoSpaceDE w:val="0"/>
                          <w:autoSpaceDN w:val="0"/>
                          <w:adjustRightInd w:val="0"/>
                          <w:jc w:val="center"/>
                        </w:pPr>
                        <w:r>
                          <w:rPr>
                            <w:rFonts w:hint="eastAsia"/>
                            <w:bCs/>
                          </w:rPr>
                          <w:t>/</w:t>
                        </w:r>
                      </w:p>
                    </w:tc>
                  </w:sdtContent>
                </w:sdt>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42AF3470" w14:textId="77777777" w:rsidR="00B201D3" w:rsidRDefault="009855E8">
                    <w:pPr>
                      <w:autoSpaceDE w:val="0"/>
                      <w:autoSpaceDN w:val="0"/>
                      <w:adjustRightInd w:val="0"/>
                      <w:ind w:rightChars="40" w:right="84"/>
                      <w:jc w:val="center"/>
                      <w:rPr>
                        <w:bCs/>
                      </w:rPr>
                    </w:pPr>
                    <w:r>
                      <w:t>/</w:t>
                    </w:r>
                  </w:p>
                </w:tc>
                <w:tc>
                  <w:tcPr>
                    <w:tcW w:w="310" w:type="pct"/>
                    <w:tcBorders>
                      <w:top w:val="single" w:sz="4" w:space="0" w:color="auto"/>
                      <w:left w:val="single" w:sz="4" w:space="0" w:color="auto"/>
                      <w:bottom w:val="single" w:sz="4" w:space="0" w:color="auto"/>
                      <w:right w:val="single" w:sz="4" w:space="0" w:color="auto"/>
                    </w:tcBorders>
                    <w:vAlign w:val="center"/>
                  </w:tcPr>
                  <w:p w14:paraId="567B80FB" w14:textId="77777777" w:rsidR="00B201D3" w:rsidRDefault="009855E8">
                    <w:pPr>
                      <w:autoSpaceDE w:val="0"/>
                      <w:autoSpaceDN w:val="0"/>
                      <w:adjustRightInd w:val="0"/>
                      <w:jc w:val="center"/>
                      <w:rPr>
                        <w:bCs/>
                      </w:rPr>
                    </w:pPr>
                    <w:r>
                      <w:t>/</w:t>
                    </w:r>
                  </w:p>
                </w:tc>
                <w:sdt>
                  <w:sdtPr>
                    <w:rPr>
                      <w:rFonts w:hint="eastAsia"/>
                      <w:bCs/>
                    </w:rPr>
                    <w:alias w:val="是否为关联方担保"/>
                    <w:tag w:val="_GBC_2ed8d565e4a8488f94e2a908c31053b9"/>
                    <w:id w:val="1860924599"/>
                    <w:lock w:val="sdtLocked"/>
                    <w:comboBox>
                      <w:listItem w:displayText="是" w:value="true"/>
                      <w:listItem w:displayText="否" w:value="false"/>
                    </w:comboBox>
                  </w:sdtPr>
                  <w:sdtEndPr/>
                  <w:sdtContent>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14:paraId="5B100449" w14:textId="10345ED3" w:rsidR="00B201D3" w:rsidRDefault="00F46283">
                        <w:pPr>
                          <w:autoSpaceDE w:val="0"/>
                          <w:autoSpaceDN w:val="0"/>
                          <w:adjustRightInd w:val="0"/>
                          <w:jc w:val="center"/>
                        </w:pPr>
                        <w:r>
                          <w:rPr>
                            <w:rFonts w:hint="eastAsia"/>
                            <w:bCs/>
                          </w:rPr>
                          <w:t>/</w:t>
                        </w:r>
                      </w:p>
                    </w:tc>
                  </w:sdtContent>
                </w:sdt>
                <w:sdt>
                  <w:sdtPr>
                    <w:alias w:val="担保中关联方与本公司关系"/>
                    <w:tag w:val="_GBC_f42e2a714e404fb1856cdca85466ce88"/>
                    <w:id w:val="-188524011"/>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sdtContent>
                    <w:tc>
                      <w:tcPr>
                        <w:tcW w:w="304" w:type="pct"/>
                        <w:tcBorders>
                          <w:top w:val="single" w:sz="4" w:space="0" w:color="auto"/>
                          <w:left w:val="single" w:sz="4" w:space="0" w:color="auto"/>
                          <w:bottom w:val="single" w:sz="4" w:space="0" w:color="auto"/>
                        </w:tcBorders>
                        <w:shd w:val="clear" w:color="auto" w:fill="auto"/>
                        <w:vAlign w:val="center"/>
                      </w:tcPr>
                      <w:p w14:paraId="10813BF7" w14:textId="774C5122" w:rsidR="00B201D3" w:rsidRDefault="00F46283">
                        <w:pPr>
                          <w:autoSpaceDE w:val="0"/>
                          <w:autoSpaceDN w:val="0"/>
                          <w:adjustRightInd w:val="0"/>
                          <w:jc w:val="center"/>
                          <w:rPr>
                            <w:color w:val="FFC000"/>
                          </w:rPr>
                        </w:pPr>
                        <w:r>
                          <w:t>/</w:t>
                        </w:r>
                      </w:p>
                    </w:tc>
                  </w:sdtContent>
                </w:sdt>
              </w:tr>
            </w:sdtContent>
          </w:sdt>
          <w:tr w:rsidR="00B201D3" w14:paraId="5F544FFF" w14:textId="77777777">
            <w:trPr>
              <w:trHeight w:val="308"/>
            </w:trPr>
            <w:sdt>
              <w:sdtPr>
                <w:tag w:val="_PLD_d3f8496ab2aa4285bf776285bebe3438"/>
                <w:id w:val="-341164319"/>
                <w:lock w:val="sdtLocked"/>
              </w:sdtPr>
              <w:sdtEndPr/>
              <w:sdtContent>
                <w:tc>
                  <w:tcPr>
                    <w:tcW w:w="2147" w:type="pct"/>
                    <w:gridSpan w:val="7"/>
                    <w:tcBorders>
                      <w:top w:val="single" w:sz="4" w:space="0" w:color="auto"/>
                      <w:bottom w:val="single" w:sz="4" w:space="0" w:color="auto"/>
                      <w:right w:val="single" w:sz="4" w:space="0" w:color="auto"/>
                    </w:tcBorders>
                    <w:shd w:val="clear" w:color="auto" w:fill="auto"/>
                    <w:vAlign w:val="center"/>
                  </w:tcPr>
                  <w:p w14:paraId="402F329B" w14:textId="77777777" w:rsidR="00B201D3" w:rsidRDefault="009855E8">
                    <w:pPr>
                      <w:autoSpaceDE w:val="0"/>
                      <w:autoSpaceDN w:val="0"/>
                      <w:adjustRightInd w:val="0"/>
                    </w:pPr>
                    <w:r>
                      <w:rPr>
                        <w:rFonts w:hint="eastAsia"/>
                      </w:rPr>
                      <w:t>报告期内担保发生额合计（不包括对子公司的担保）</w:t>
                    </w:r>
                  </w:p>
                </w:tc>
              </w:sdtContent>
            </w:sdt>
            <w:tc>
              <w:tcPr>
                <w:tcW w:w="2853" w:type="pct"/>
                <w:gridSpan w:val="9"/>
                <w:tcBorders>
                  <w:top w:val="single" w:sz="4" w:space="0" w:color="auto"/>
                  <w:left w:val="single" w:sz="4" w:space="0" w:color="auto"/>
                  <w:bottom w:val="single" w:sz="4" w:space="0" w:color="auto"/>
                </w:tcBorders>
                <w:shd w:val="clear" w:color="auto" w:fill="auto"/>
                <w:vAlign w:val="center"/>
              </w:tcPr>
              <w:p w14:paraId="6DB54CE8" w14:textId="77777777" w:rsidR="00B201D3" w:rsidRDefault="009855E8">
                <w:pPr>
                  <w:ind w:rightChars="40" w:right="84"/>
                  <w:jc w:val="right"/>
                </w:pPr>
                <w:r>
                  <w:rPr>
                    <w:rFonts w:hint="eastAsia"/>
                  </w:rPr>
                  <w:t>0</w:t>
                </w:r>
              </w:p>
            </w:tc>
          </w:tr>
          <w:tr w:rsidR="00B201D3" w14:paraId="0D197B4F" w14:textId="77777777">
            <w:trPr>
              <w:trHeight w:val="308"/>
            </w:trPr>
            <w:sdt>
              <w:sdtPr>
                <w:tag w:val="_PLD_b55a1c0b2abc412094fcc159dfb3ecda"/>
                <w:id w:val="-1966646370"/>
                <w:lock w:val="sdtLocked"/>
              </w:sdtPr>
              <w:sdtEndPr/>
              <w:sdtContent>
                <w:tc>
                  <w:tcPr>
                    <w:tcW w:w="2147" w:type="pct"/>
                    <w:gridSpan w:val="7"/>
                    <w:tcBorders>
                      <w:top w:val="single" w:sz="4" w:space="0" w:color="auto"/>
                      <w:bottom w:val="single" w:sz="4" w:space="0" w:color="auto"/>
                      <w:right w:val="single" w:sz="4" w:space="0" w:color="auto"/>
                    </w:tcBorders>
                    <w:shd w:val="clear" w:color="auto" w:fill="auto"/>
                    <w:vAlign w:val="center"/>
                  </w:tcPr>
                  <w:p w14:paraId="408DE33F" w14:textId="77777777" w:rsidR="00B201D3" w:rsidRDefault="009855E8">
                    <w:pPr>
                      <w:autoSpaceDE w:val="0"/>
                      <w:autoSpaceDN w:val="0"/>
                      <w:adjustRightInd w:val="0"/>
                    </w:pPr>
                    <w:r>
                      <w:rPr>
                        <w:rFonts w:hint="eastAsia"/>
                      </w:rPr>
                      <w:t>报告期末担保余额合计（</w:t>
                    </w:r>
                    <w:r>
                      <w:t>A</w:t>
                    </w:r>
                    <w:r>
                      <w:rPr>
                        <w:rFonts w:hint="eastAsia"/>
                      </w:rPr>
                      <w:t>）（不包括对子公司的担保）</w:t>
                    </w:r>
                  </w:p>
                </w:tc>
              </w:sdtContent>
            </w:sdt>
            <w:tc>
              <w:tcPr>
                <w:tcW w:w="2853" w:type="pct"/>
                <w:gridSpan w:val="9"/>
                <w:tcBorders>
                  <w:top w:val="single" w:sz="4" w:space="0" w:color="auto"/>
                  <w:left w:val="single" w:sz="4" w:space="0" w:color="auto"/>
                  <w:bottom w:val="single" w:sz="4" w:space="0" w:color="auto"/>
                </w:tcBorders>
                <w:shd w:val="clear" w:color="auto" w:fill="auto"/>
                <w:vAlign w:val="center"/>
              </w:tcPr>
              <w:p w14:paraId="1E53BA29" w14:textId="77777777" w:rsidR="00B201D3" w:rsidRDefault="009855E8">
                <w:pPr>
                  <w:autoSpaceDE w:val="0"/>
                  <w:autoSpaceDN w:val="0"/>
                  <w:adjustRightInd w:val="0"/>
                  <w:ind w:rightChars="40" w:right="84"/>
                  <w:jc w:val="right"/>
                </w:pPr>
                <w:r>
                  <w:rPr>
                    <w:rFonts w:hint="eastAsia"/>
                  </w:rPr>
                  <w:t>0</w:t>
                </w:r>
              </w:p>
            </w:tc>
          </w:tr>
          <w:tr w:rsidR="00B201D3" w14:paraId="745BAFC0" w14:textId="77777777">
            <w:trPr>
              <w:trHeight w:val="308"/>
            </w:trPr>
            <w:tc>
              <w:tcPr>
                <w:tcW w:w="5000" w:type="pct"/>
                <w:gridSpan w:val="16"/>
                <w:tcBorders>
                  <w:top w:val="single" w:sz="4" w:space="0" w:color="auto"/>
                  <w:bottom w:val="single" w:sz="4" w:space="0" w:color="auto"/>
                </w:tcBorders>
                <w:shd w:val="clear" w:color="auto" w:fill="auto"/>
                <w:vAlign w:val="center"/>
              </w:tcPr>
              <w:p w14:paraId="259C32F5" w14:textId="77777777" w:rsidR="00B201D3" w:rsidRDefault="00C8327E">
                <w:pPr>
                  <w:autoSpaceDE w:val="0"/>
                  <w:autoSpaceDN w:val="0"/>
                  <w:adjustRightInd w:val="0"/>
                  <w:ind w:rightChars="40" w:right="84"/>
                  <w:jc w:val="center"/>
                </w:pPr>
                <w:sdt>
                  <w:sdtPr>
                    <w:rPr>
                      <w:rFonts w:hint="eastAsia"/>
                    </w:rPr>
                    <w:tag w:val="_PLD_05f81595191b432fba2f5467a459f70b"/>
                    <w:id w:val="395629465"/>
                    <w:lock w:val="sdtLocked"/>
                  </w:sdtPr>
                  <w:sdtEndPr/>
                  <w:sdtContent>
                    <w:r w:rsidR="009855E8">
                      <w:rPr>
                        <w:rFonts w:hint="eastAsia"/>
                      </w:rPr>
                      <w:t>公司对子公司的担保情况</w:t>
                    </w:r>
                  </w:sdtContent>
                </w:sdt>
              </w:p>
            </w:tc>
          </w:tr>
          <w:tr w:rsidR="00B201D3" w14:paraId="7DE0039F" w14:textId="77777777">
            <w:trPr>
              <w:trHeight w:val="308"/>
            </w:trPr>
            <w:sdt>
              <w:sdtPr>
                <w:tag w:val="_PLD_bd646052ed464f3aaf4411adbc884bb9"/>
                <w:id w:val="164445765"/>
                <w:lock w:val="sdtLocked"/>
              </w:sdtPr>
              <w:sdtEndPr/>
              <w:sdtContent>
                <w:tc>
                  <w:tcPr>
                    <w:tcW w:w="2147" w:type="pct"/>
                    <w:gridSpan w:val="7"/>
                    <w:tcBorders>
                      <w:top w:val="single" w:sz="4" w:space="0" w:color="auto"/>
                      <w:bottom w:val="single" w:sz="4" w:space="0" w:color="auto"/>
                      <w:right w:val="single" w:sz="4" w:space="0" w:color="auto"/>
                    </w:tcBorders>
                    <w:shd w:val="clear" w:color="auto" w:fill="auto"/>
                    <w:vAlign w:val="center"/>
                  </w:tcPr>
                  <w:p w14:paraId="7C725547" w14:textId="77777777" w:rsidR="00B201D3" w:rsidRDefault="009855E8">
                    <w:pPr>
                      <w:autoSpaceDE w:val="0"/>
                      <w:autoSpaceDN w:val="0"/>
                      <w:adjustRightInd w:val="0"/>
                      <w:ind w:rightChars="40" w:right="84"/>
                      <w:rPr>
                        <w:color w:val="FF0000"/>
                      </w:rPr>
                    </w:pPr>
                    <w:r>
                      <w:rPr>
                        <w:rFonts w:hint="eastAsia"/>
                      </w:rPr>
                      <w:t>报告期内对子公司担保发生额合计</w:t>
                    </w:r>
                  </w:p>
                </w:tc>
              </w:sdtContent>
            </w:sdt>
            <w:tc>
              <w:tcPr>
                <w:tcW w:w="2853" w:type="pct"/>
                <w:gridSpan w:val="9"/>
                <w:tcBorders>
                  <w:top w:val="single" w:sz="4" w:space="0" w:color="auto"/>
                  <w:left w:val="single" w:sz="4" w:space="0" w:color="auto"/>
                  <w:bottom w:val="single" w:sz="4" w:space="0" w:color="auto"/>
                </w:tcBorders>
                <w:shd w:val="clear" w:color="auto" w:fill="auto"/>
                <w:vAlign w:val="center"/>
              </w:tcPr>
              <w:p w14:paraId="493E80CD" w14:textId="77777777" w:rsidR="00B201D3" w:rsidRDefault="009855E8">
                <w:pPr>
                  <w:ind w:rightChars="40" w:right="84"/>
                  <w:jc w:val="right"/>
                </w:pPr>
                <w:r>
                  <w:rPr>
                    <w:rFonts w:hint="eastAsia"/>
                  </w:rPr>
                  <w:t>4</w:t>
                </w:r>
                <w:r>
                  <w:t>3.30</w:t>
                </w:r>
              </w:p>
            </w:tc>
          </w:tr>
          <w:tr w:rsidR="00B201D3" w14:paraId="2B646F2A" w14:textId="77777777">
            <w:trPr>
              <w:trHeight w:val="308"/>
            </w:trPr>
            <w:sdt>
              <w:sdtPr>
                <w:tag w:val="_PLD_350c26e78409464a9a6fe0a9a4a2a65a"/>
                <w:id w:val="1037320725"/>
                <w:lock w:val="sdtLocked"/>
              </w:sdtPr>
              <w:sdtEndPr/>
              <w:sdtContent>
                <w:tc>
                  <w:tcPr>
                    <w:tcW w:w="2147" w:type="pct"/>
                    <w:gridSpan w:val="7"/>
                    <w:tcBorders>
                      <w:top w:val="single" w:sz="4" w:space="0" w:color="auto"/>
                      <w:bottom w:val="single" w:sz="4" w:space="0" w:color="auto"/>
                      <w:right w:val="single" w:sz="4" w:space="0" w:color="auto"/>
                    </w:tcBorders>
                    <w:shd w:val="clear" w:color="auto" w:fill="auto"/>
                    <w:vAlign w:val="center"/>
                  </w:tcPr>
                  <w:p w14:paraId="15F7F216" w14:textId="77777777" w:rsidR="00B201D3" w:rsidRDefault="009855E8">
                    <w:pPr>
                      <w:autoSpaceDE w:val="0"/>
                      <w:autoSpaceDN w:val="0"/>
                      <w:adjustRightInd w:val="0"/>
                      <w:ind w:rightChars="40" w:right="84"/>
                      <w:rPr>
                        <w:color w:val="FF0000"/>
                      </w:rPr>
                    </w:pPr>
                    <w:r>
                      <w:rPr>
                        <w:rFonts w:hint="eastAsia"/>
                      </w:rPr>
                      <w:t>报告期末对子公司担保余额合计（</w:t>
                    </w:r>
                    <w:r>
                      <w:t>B</w:t>
                    </w:r>
                    <w:r>
                      <w:rPr>
                        <w:rFonts w:hint="eastAsia"/>
                      </w:rPr>
                      <w:t>）</w:t>
                    </w:r>
                  </w:p>
                </w:tc>
              </w:sdtContent>
            </w:sdt>
            <w:tc>
              <w:tcPr>
                <w:tcW w:w="2853" w:type="pct"/>
                <w:gridSpan w:val="9"/>
                <w:tcBorders>
                  <w:top w:val="single" w:sz="4" w:space="0" w:color="auto"/>
                  <w:left w:val="single" w:sz="4" w:space="0" w:color="auto"/>
                  <w:bottom w:val="single" w:sz="4" w:space="0" w:color="auto"/>
                </w:tcBorders>
                <w:shd w:val="clear" w:color="auto" w:fill="auto"/>
                <w:vAlign w:val="center"/>
              </w:tcPr>
              <w:p w14:paraId="640EEB44" w14:textId="77777777" w:rsidR="00B201D3" w:rsidRDefault="009855E8">
                <w:pPr>
                  <w:tabs>
                    <w:tab w:val="center" w:pos="2466"/>
                    <w:tab w:val="right" w:pos="4932"/>
                  </w:tabs>
                  <w:autoSpaceDE w:val="0"/>
                  <w:autoSpaceDN w:val="0"/>
                  <w:adjustRightInd w:val="0"/>
                  <w:ind w:rightChars="40" w:right="84"/>
                  <w:jc w:val="right"/>
                </w:pPr>
                <w:r>
                  <w:tab/>
                  <w:t>223.48</w:t>
                </w:r>
              </w:p>
            </w:tc>
          </w:tr>
          <w:tr w:rsidR="00B201D3" w14:paraId="4DED0FCF" w14:textId="77777777">
            <w:trPr>
              <w:trHeight w:val="308"/>
            </w:trPr>
            <w:sdt>
              <w:sdtPr>
                <w:tag w:val="_PLD_7934b7db222a4b859de67adddfbf4ea4"/>
                <w:id w:val="1942093046"/>
                <w:lock w:val="sdtLocked"/>
              </w:sdtPr>
              <w:sdtEndPr/>
              <w:sdtContent>
                <w:tc>
                  <w:tcPr>
                    <w:tcW w:w="5000" w:type="pct"/>
                    <w:gridSpan w:val="16"/>
                    <w:tcBorders>
                      <w:top w:val="single" w:sz="4" w:space="0" w:color="auto"/>
                      <w:bottom w:val="single" w:sz="4" w:space="0" w:color="auto"/>
                    </w:tcBorders>
                    <w:shd w:val="clear" w:color="auto" w:fill="auto"/>
                    <w:vAlign w:val="center"/>
                  </w:tcPr>
                  <w:p w14:paraId="47096178" w14:textId="77777777" w:rsidR="00B201D3" w:rsidRDefault="009855E8">
                    <w:pPr>
                      <w:autoSpaceDE w:val="0"/>
                      <w:autoSpaceDN w:val="0"/>
                      <w:adjustRightInd w:val="0"/>
                      <w:ind w:rightChars="40" w:right="84"/>
                      <w:jc w:val="center"/>
                    </w:pPr>
                    <w:r>
                      <w:rPr>
                        <w:rFonts w:hint="eastAsia"/>
                      </w:rPr>
                      <w:t>公司担保总额情况（包括对子公司的担保）</w:t>
                    </w:r>
                  </w:p>
                </w:tc>
              </w:sdtContent>
            </w:sdt>
          </w:tr>
          <w:tr w:rsidR="00B201D3" w14:paraId="044358AD" w14:textId="77777777">
            <w:trPr>
              <w:trHeight w:val="470"/>
            </w:trPr>
            <w:sdt>
              <w:sdtPr>
                <w:tag w:val="_PLD_6b0c4c002c694982b48e0ac72810185e"/>
                <w:id w:val="-758912683"/>
                <w:lock w:val="sdtLocked"/>
              </w:sdtPr>
              <w:sdtEndPr/>
              <w:sdtContent>
                <w:tc>
                  <w:tcPr>
                    <w:tcW w:w="2147" w:type="pct"/>
                    <w:gridSpan w:val="7"/>
                    <w:tcBorders>
                      <w:top w:val="single" w:sz="4" w:space="0" w:color="auto"/>
                      <w:bottom w:val="single" w:sz="4" w:space="0" w:color="auto"/>
                      <w:right w:val="single" w:sz="4" w:space="0" w:color="auto"/>
                    </w:tcBorders>
                    <w:shd w:val="clear" w:color="auto" w:fill="auto"/>
                    <w:vAlign w:val="center"/>
                  </w:tcPr>
                  <w:p w14:paraId="1A846286" w14:textId="77777777" w:rsidR="00B201D3" w:rsidRDefault="009855E8">
                    <w:pPr>
                      <w:autoSpaceDE w:val="0"/>
                      <w:autoSpaceDN w:val="0"/>
                      <w:adjustRightInd w:val="0"/>
                      <w:ind w:rightChars="40" w:right="84"/>
                    </w:pPr>
                    <w:r>
                      <w:rPr>
                        <w:rFonts w:hint="eastAsia"/>
                      </w:rPr>
                      <w:t>担保总额（</w:t>
                    </w:r>
                    <w:r>
                      <w:t>A+B</w:t>
                    </w:r>
                    <w:r>
                      <w:rPr>
                        <w:rFonts w:hint="eastAsia"/>
                      </w:rPr>
                      <w:t>）</w:t>
                    </w:r>
                  </w:p>
                </w:tc>
              </w:sdtContent>
            </w:sdt>
            <w:tc>
              <w:tcPr>
                <w:tcW w:w="2853" w:type="pct"/>
                <w:gridSpan w:val="9"/>
                <w:tcBorders>
                  <w:top w:val="single" w:sz="4" w:space="0" w:color="auto"/>
                  <w:left w:val="single" w:sz="4" w:space="0" w:color="auto"/>
                  <w:bottom w:val="single" w:sz="4" w:space="0" w:color="auto"/>
                </w:tcBorders>
                <w:shd w:val="clear" w:color="auto" w:fill="auto"/>
                <w:vAlign w:val="center"/>
              </w:tcPr>
              <w:p w14:paraId="63C47EDA" w14:textId="77777777" w:rsidR="00B201D3" w:rsidRDefault="009855E8">
                <w:pPr>
                  <w:autoSpaceDE w:val="0"/>
                  <w:autoSpaceDN w:val="0"/>
                  <w:adjustRightInd w:val="0"/>
                  <w:ind w:rightChars="40" w:right="84"/>
                  <w:jc w:val="right"/>
                </w:pPr>
                <w:r>
                  <w:rPr>
                    <w:rFonts w:hint="eastAsia"/>
                  </w:rPr>
                  <w:t>2</w:t>
                </w:r>
                <w:r>
                  <w:t>23.48</w:t>
                </w:r>
              </w:p>
            </w:tc>
          </w:tr>
          <w:tr w:rsidR="00B201D3" w14:paraId="1AC8BFAF" w14:textId="77777777">
            <w:trPr>
              <w:trHeight w:val="308"/>
            </w:trPr>
            <w:sdt>
              <w:sdtPr>
                <w:tag w:val="_PLD_2d0f72aea87f48239298404a726330f6"/>
                <w:id w:val="-776871192"/>
                <w:lock w:val="sdtLocked"/>
              </w:sdtPr>
              <w:sdtEndPr/>
              <w:sdtContent>
                <w:tc>
                  <w:tcPr>
                    <w:tcW w:w="2147" w:type="pct"/>
                    <w:gridSpan w:val="7"/>
                    <w:tcBorders>
                      <w:top w:val="single" w:sz="4" w:space="0" w:color="auto"/>
                      <w:bottom w:val="single" w:sz="4" w:space="0" w:color="auto"/>
                      <w:right w:val="single" w:sz="4" w:space="0" w:color="auto"/>
                    </w:tcBorders>
                    <w:shd w:val="clear" w:color="auto" w:fill="auto"/>
                    <w:vAlign w:val="center"/>
                  </w:tcPr>
                  <w:p w14:paraId="26AD9268" w14:textId="77777777" w:rsidR="00B201D3" w:rsidRDefault="009855E8">
                    <w:pPr>
                      <w:autoSpaceDE w:val="0"/>
                      <w:autoSpaceDN w:val="0"/>
                      <w:adjustRightInd w:val="0"/>
                      <w:ind w:rightChars="40" w:right="84"/>
                    </w:pPr>
                    <w:r>
                      <w:rPr>
                        <w:rFonts w:hint="eastAsia"/>
                      </w:rPr>
                      <w:t>担保总额占公司净资产的比例</w:t>
                    </w:r>
                    <w:r>
                      <w:t>(%)</w:t>
                    </w:r>
                  </w:p>
                </w:tc>
              </w:sdtContent>
            </w:sdt>
            <w:tc>
              <w:tcPr>
                <w:tcW w:w="2853" w:type="pct"/>
                <w:gridSpan w:val="9"/>
                <w:tcBorders>
                  <w:top w:val="single" w:sz="4" w:space="0" w:color="auto"/>
                  <w:left w:val="single" w:sz="4" w:space="0" w:color="auto"/>
                  <w:bottom w:val="single" w:sz="4" w:space="0" w:color="auto"/>
                </w:tcBorders>
                <w:shd w:val="clear" w:color="auto" w:fill="auto"/>
                <w:vAlign w:val="center"/>
              </w:tcPr>
              <w:p w14:paraId="6BD6640A" w14:textId="46179F42" w:rsidR="00B201D3" w:rsidRDefault="00630598">
                <w:pPr>
                  <w:autoSpaceDE w:val="0"/>
                  <w:autoSpaceDN w:val="0"/>
                  <w:adjustRightInd w:val="0"/>
                  <w:ind w:rightChars="40" w:right="84"/>
                  <w:jc w:val="right"/>
                </w:pPr>
                <w:r>
                  <w:rPr>
                    <w:rFonts w:hint="eastAsia"/>
                  </w:rPr>
                  <w:t>1</w:t>
                </w:r>
                <w:r>
                  <w:t>9.15</w:t>
                </w:r>
              </w:p>
            </w:tc>
          </w:tr>
          <w:tr w:rsidR="00B201D3" w14:paraId="7C9A590C" w14:textId="77777777">
            <w:trPr>
              <w:trHeight w:val="308"/>
            </w:trPr>
            <w:sdt>
              <w:sdtPr>
                <w:rPr>
                  <w:rFonts w:ascii="宋体" w:hAnsi="宋体"/>
                </w:rPr>
                <w:tag w:val="_PLD_a773089c19754364bad6c8803a7c8022"/>
                <w:id w:val="1328950994"/>
                <w:lock w:val="sdtLocked"/>
              </w:sdtPr>
              <w:sdtEndPr/>
              <w:sdtContent>
                <w:tc>
                  <w:tcPr>
                    <w:tcW w:w="5000" w:type="pct"/>
                    <w:gridSpan w:val="16"/>
                    <w:tcBorders>
                      <w:top w:val="single" w:sz="4" w:space="0" w:color="auto"/>
                      <w:bottom w:val="single" w:sz="4" w:space="0" w:color="auto"/>
                    </w:tcBorders>
                    <w:shd w:val="clear" w:color="auto" w:fill="auto"/>
                    <w:vAlign w:val="center"/>
                  </w:tcPr>
                  <w:p w14:paraId="226E4D5B" w14:textId="77777777" w:rsidR="00B201D3" w:rsidRDefault="009855E8">
                    <w:pPr>
                      <w:pStyle w:val="aa"/>
                      <w:autoSpaceDE w:val="0"/>
                      <w:autoSpaceDN w:val="0"/>
                      <w:adjustRightInd w:val="0"/>
                      <w:ind w:rightChars="40" w:right="84"/>
                      <w:rPr>
                        <w:rFonts w:ascii="宋体" w:hAnsi="宋体"/>
                      </w:rPr>
                    </w:pPr>
                    <w:r>
                      <w:rPr>
                        <w:rFonts w:ascii="宋体" w:hAnsi="宋体" w:hint="eastAsia"/>
                      </w:rPr>
                      <w:t>其中：</w:t>
                    </w:r>
                  </w:p>
                </w:tc>
              </w:sdtContent>
            </w:sdt>
          </w:tr>
          <w:tr w:rsidR="00B201D3" w14:paraId="701D7AE5" w14:textId="77777777">
            <w:trPr>
              <w:trHeight w:val="308"/>
            </w:trPr>
            <w:sdt>
              <w:sdtPr>
                <w:tag w:val="_PLD_2b478682f6824384b68d5b0029a80fac"/>
                <w:id w:val="-2022997579"/>
                <w:lock w:val="sdtLocked"/>
              </w:sdtPr>
              <w:sdtEndPr/>
              <w:sdtContent>
                <w:tc>
                  <w:tcPr>
                    <w:tcW w:w="2147" w:type="pct"/>
                    <w:gridSpan w:val="7"/>
                    <w:tcBorders>
                      <w:top w:val="single" w:sz="4" w:space="0" w:color="auto"/>
                      <w:bottom w:val="single" w:sz="4" w:space="0" w:color="auto"/>
                      <w:right w:val="single" w:sz="4" w:space="0" w:color="auto"/>
                    </w:tcBorders>
                    <w:shd w:val="clear" w:color="auto" w:fill="auto"/>
                    <w:vAlign w:val="center"/>
                  </w:tcPr>
                  <w:p w14:paraId="48571C04" w14:textId="77777777" w:rsidR="00B201D3" w:rsidRDefault="009855E8">
                    <w:pPr>
                      <w:autoSpaceDE w:val="0"/>
                      <w:autoSpaceDN w:val="0"/>
                      <w:adjustRightInd w:val="0"/>
                    </w:pPr>
                    <w:r>
                      <w:rPr>
                        <w:rFonts w:hint="eastAsia"/>
                      </w:rPr>
                      <w:t>为股东、实际控制人及其关联方提供担保的金额（</w:t>
                    </w:r>
                    <w:r>
                      <w:t>C</w:t>
                    </w:r>
                    <w:r>
                      <w:rPr>
                        <w:rFonts w:hint="eastAsia"/>
                      </w:rPr>
                      <w:t>）</w:t>
                    </w:r>
                  </w:p>
                </w:tc>
              </w:sdtContent>
            </w:sdt>
            <w:tc>
              <w:tcPr>
                <w:tcW w:w="2853" w:type="pct"/>
                <w:gridSpan w:val="9"/>
                <w:tcBorders>
                  <w:top w:val="single" w:sz="4" w:space="0" w:color="auto"/>
                  <w:left w:val="single" w:sz="4" w:space="0" w:color="auto"/>
                  <w:bottom w:val="single" w:sz="4" w:space="0" w:color="auto"/>
                </w:tcBorders>
                <w:shd w:val="clear" w:color="auto" w:fill="auto"/>
                <w:vAlign w:val="center"/>
              </w:tcPr>
              <w:p w14:paraId="50DAACA1" w14:textId="77777777" w:rsidR="00B201D3" w:rsidRDefault="009855E8">
                <w:pPr>
                  <w:ind w:rightChars="40" w:right="84"/>
                  <w:jc w:val="right"/>
                </w:pPr>
                <w:r>
                  <w:rPr>
                    <w:rFonts w:hint="eastAsia"/>
                  </w:rPr>
                  <w:t>0</w:t>
                </w:r>
              </w:p>
            </w:tc>
          </w:tr>
          <w:tr w:rsidR="00B201D3" w14:paraId="4BA0277B" w14:textId="77777777">
            <w:trPr>
              <w:trHeight w:val="308"/>
            </w:trPr>
            <w:sdt>
              <w:sdtPr>
                <w:tag w:val="_PLD_bd548a5f7dc24a60aa38273913ff7b9c"/>
                <w:id w:val="1476327069"/>
                <w:lock w:val="sdtLocked"/>
              </w:sdtPr>
              <w:sdtEndPr/>
              <w:sdtContent>
                <w:tc>
                  <w:tcPr>
                    <w:tcW w:w="2147" w:type="pct"/>
                    <w:gridSpan w:val="7"/>
                    <w:tcBorders>
                      <w:top w:val="single" w:sz="4" w:space="0" w:color="auto"/>
                      <w:bottom w:val="single" w:sz="4" w:space="0" w:color="auto"/>
                      <w:right w:val="single" w:sz="4" w:space="0" w:color="auto"/>
                    </w:tcBorders>
                    <w:shd w:val="clear" w:color="auto" w:fill="auto"/>
                    <w:vAlign w:val="center"/>
                  </w:tcPr>
                  <w:p w14:paraId="36009E4D" w14:textId="77777777" w:rsidR="00B201D3" w:rsidRDefault="009855E8">
                    <w:pPr>
                      <w:autoSpaceDE w:val="0"/>
                      <w:autoSpaceDN w:val="0"/>
                      <w:adjustRightInd w:val="0"/>
                    </w:pPr>
                    <w:r>
                      <w:rPr>
                        <w:rFonts w:hint="eastAsia"/>
                      </w:rPr>
                      <w:t>直接或间接为资产负债率超过</w:t>
                    </w:r>
                    <w:r>
                      <w:t>70</w:t>
                    </w:r>
                    <w:r>
                      <w:rPr>
                        <w:rFonts w:hint="eastAsia"/>
                      </w:rPr>
                      <w:t>%的被担保对象提供的债务担保金额（</w:t>
                    </w:r>
                    <w:r>
                      <w:t>D</w:t>
                    </w:r>
                    <w:r>
                      <w:rPr>
                        <w:rFonts w:hint="eastAsia"/>
                      </w:rPr>
                      <w:t>）</w:t>
                    </w:r>
                  </w:p>
                </w:tc>
              </w:sdtContent>
            </w:sdt>
            <w:tc>
              <w:tcPr>
                <w:tcW w:w="2853" w:type="pct"/>
                <w:gridSpan w:val="9"/>
                <w:tcBorders>
                  <w:top w:val="single" w:sz="4" w:space="0" w:color="auto"/>
                  <w:left w:val="single" w:sz="4" w:space="0" w:color="auto"/>
                  <w:bottom w:val="single" w:sz="4" w:space="0" w:color="auto"/>
                </w:tcBorders>
                <w:shd w:val="clear" w:color="auto" w:fill="auto"/>
                <w:vAlign w:val="center"/>
              </w:tcPr>
              <w:p w14:paraId="50C5B43B" w14:textId="6A6DD129" w:rsidR="00B201D3" w:rsidRDefault="00630598">
                <w:pPr>
                  <w:autoSpaceDE w:val="0"/>
                  <w:autoSpaceDN w:val="0"/>
                  <w:adjustRightInd w:val="0"/>
                  <w:ind w:rightChars="40" w:right="84"/>
                  <w:jc w:val="right"/>
                </w:pPr>
                <w:r>
                  <w:rPr>
                    <w:rFonts w:hint="eastAsia"/>
                  </w:rPr>
                  <w:t>1</w:t>
                </w:r>
                <w:r>
                  <w:t>62.72</w:t>
                </w:r>
              </w:p>
            </w:tc>
          </w:tr>
          <w:tr w:rsidR="00B201D3" w14:paraId="530E773D" w14:textId="77777777">
            <w:trPr>
              <w:trHeight w:val="308"/>
            </w:trPr>
            <w:sdt>
              <w:sdtPr>
                <w:tag w:val="_PLD_9d058e02099a4546a00404272905f4bd"/>
                <w:id w:val="1087728826"/>
                <w:lock w:val="sdtLocked"/>
              </w:sdtPr>
              <w:sdtEndPr/>
              <w:sdtContent>
                <w:tc>
                  <w:tcPr>
                    <w:tcW w:w="2147" w:type="pct"/>
                    <w:gridSpan w:val="7"/>
                    <w:tcBorders>
                      <w:top w:val="single" w:sz="4" w:space="0" w:color="auto"/>
                      <w:bottom w:val="single" w:sz="4" w:space="0" w:color="auto"/>
                      <w:right w:val="single" w:sz="4" w:space="0" w:color="auto"/>
                    </w:tcBorders>
                    <w:shd w:val="clear" w:color="auto" w:fill="auto"/>
                    <w:vAlign w:val="center"/>
                  </w:tcPr>
                  <w:p w14:paraId="5A1770AD" w14:textId="77777777" w:rsidR="00B201D3" w:rsidRDefault="009855E8">
                    <w:pPr>
                      <w:autoSpaceDE w:val="0"/>
                      <w:autoSpaceDN w:val="0"/>
                      <w:adjustRightInd w:val="0"/>
                    </w:pPr>
                    <w:r>
                      <w:rPr>
                        <w:rFonts w:hint="eastAsia"/>
                      </w:rPr>
                      <w:t>担保总额超过净资产</w:t>
                    </w:r>
                    <w:r>
                      <w:t>50</w:t>
                    </w:r>
                    <w:r>
                      <w:rPr>
                        <w:rFonts w:hint="eastAsia"/>
                      </w:rPr>
                      <w:t>%部分的金额（</w:t>
                    </w:r>
                    <w:r>
                      <w:t>E</w:t>
                    </w:r>
                    <w:r>
                      <w:rPr>
                        <w:rFonts w:hint="eastAsia"/>
                      </w:rPr>
                      <w:t>）</w:t>
                    </w:r>
                  </w:p>
                </w:tc>
              </w:sdtContent>
            </w:sdt>
            <w:tc>
              <w:tcPr>
                <w:tcW w:w="2853" w:type="pct"/>
                <w:gridSpan w:val="9"/>
                <w:tcBorders>
                  <w:top w:val="single" w:sz="4" w:space="0" w:color="auto"/>
                  <w:left w:val="single" w:sz="4" w:space="0" w:color="auto"/>
                  <w:bottom w:val="single" w:sz="4" w:space="0" w:color="auto"/>
                </w:tcBorders>
                <w:shd w:val="clear" w:color="auto" w:fill="auto"/>
                <w:vAlign w:val="center"/>
              </w:tcPr>
              <w:p w14:paraId="504A7244" w14:textId="588257DA" w:rsidR="00B201D3" w:rsidRDefault="00630598">
                <w:pPr>
                  <w:ind w:rightChars="40" w:right="84"/>
                  <w:jc w:val="right"/>
                </w:pPr>
                <w:r>
                  <w:rPr>
                    <w:rFonts w:hint="eastAsia"/>
                  </w:rPr>
                  <w:t>0</w:t>
                </w:r>
              </w:p>
            </w:tc>
          </w:tr>
          <w:tr w:rsidR="00B201D3" w14:paraId="49CE61B0" w14:textId="77777777">
            <w:trPr>
              <w:trHeight w:val="308"/>
            </w:trPr>
            <w:sdt>
              <w:sdtPr>
                <w:tag w:val="_PLD_03da683ec4b5413c894077b5f513200f"/>
                <w:id w:val="2088492351"/>
                <w:lock w:val="sdtLocked"/>
              </w:sdtPr>
              <w:sdtEndPr/>
              <w:sdtContent>
                <w:tc>
                  <w:tcPr>
                    <w:tcW w:w="2147" w:type="pct"/>
                    <w:gridSpan w:val="7"/>
                    <w:tcBorders>
                      <w:top w:val="single" w:sz="4" w:space="0" w:color="auto"/>
                      <w:bottom w:val="single" w:sz="4" w:space="0" w:color="auto"/>
                      <w:right w:val="single" w:sz="4" w:space="0" w:color="auto"/>
                    </w:tcBorders>
                    <w:shd w:val="clear" w:color="auto" w:fill="auto"/>
                    <w:vAlign w:val="center"/>
                  </w:tcPr>
                  <w:p w14:paraId="6D014583" w14:textId="77777777" w:rsidR="00B201D3" w:rsidRDefault="009855E8">
                    <w:pPr>
                      <w:autoSpaceDE w:val="0"/>
                      <w:autoSpaceDN w:val="0"/>
                      <w:adjustRightInd w:val="0"/>
                    </w:pPr>
                    <w:r>
                      <w:rPr>
                        <w:rFonts w:hint="eastAsia"/>
                      </w:rPr>
                      <w:t>上述三项担保金额合计（</w:t>
                    </w:r>
                    <w:r>
                      <w:t>C+D+E</w:t>
                    </w:r>
                    <w:r>
                      <w:rPr>
                        <w:rFonts w:hint="eastAsia"/>
                      </w:rPr>
                      <w:t>）</w:t>
                    </w:r>
                  </w:p>
                </w:tc>
              </w:sdtContent>
            </w:sdt>
            <w:tc>
              <w:tcPr>
                <w:tcW w:w="2853" w:type="pct"/>
                <w:gridSpan w:val="9"/>
                <w:tcBorders>
                  <w:top w:val="single" w:sz="4" w:space="0" w:color="auto"/>
                  <w:left w:val="single" w:sz="4" w:space="0" w:color="auto"/>
                  <w:bottom w:val="single" w:sz="4" w:space="0" w:color="auto"/>
                </w:tcBorders>
                <w:shd w:val="clear" w:color="auto" w:fill="auto"/>
                <w:vAlign w:val="center"/>
              </w:tcPr>
              <w:p w14:paraId="64D49113" w14:textId="062445A4" w:rsidR="00B201D3" w:rsidRDefault="00630598">
                <w:pPr>
                  <w:autoSpaceDE w:val="0"/>
                  <w:autoSpaceDN w:val="0"/>
                  <w:adjustRightInd w:val="0"/>
                  <w:ind w:rightChars="40" w:right="84"/>
                  <w:jc w:val="right"/>
                </w:pPr>
                <w:r>
                  <w:rPr>
                    <w:rFonts w:hint="eastAsia"/>
                  </w:rPr>
                  <w:t>1</w:t>
                </w:r>
                <w:r>
                  <w:t>62.72</w:t>
                </w:r>
              </w:p>
            </w:tc>
          </w:tr>
          <w:tr w:rsidR="00B201D3" w14:paraId="295BAF96" w14:textId="77777777">
            <w:trPr>
              <w:trHeight w:val="308"/>
            </w:trPr>
            <w:sdt>
              <w:sdtPr>
                <w:rPr>
                  <w:rFonts w:ascii="宋体" w:hAnsi="宋体"/>
                </w:rPr>
                <w:tag w:val="_PLD_ae4f1a7cfa594de68497f7d16c7d80e5"/>
                <w:id w:val="563299019"/>
                <w:lock w:val="sdtLocked"/>
              </w:sdtPr>
              <w:sdtEndPr/>
              <w:sdtContent>
                <w:tc>
                  <w:tcPr>
                    <w:tcW w:w="2147" w:type="pct"/>
                    <w:gridSpan w:val="7"/>
                    <w:tcBorders>
                      <w:top w:val="single" w:sz="4" w:space="0" w:color="auto"/>
                      <w:bottom w:val="single" w:sz="4" w:space="0" w:color="auto"/>
                      <w:right w:val="single" w:sz="4" w:space="0" w:color="auto"/>
                    </w:tcBorders>
                    <w:shd w:val="clear" w:color="auto" w:fill="auto"/>
                    <w:vAlign w:val="center"/>
                  </w:tcPr>
                  <w:p w14:paraId="0D868A56" w14:textId="77777777" w:rsidR="00B201D3" w:rsidRDefault="009855E8">
                    <w:pPr>
                      <w:pStyle w:val="aa"/>
                      <w:autoSpaceDE w:val="0"/>
                      <w:autoSpaceDN w:val="0"/>
                      <w:adjustRightInd w:val="0"/>
                      <w:rPr>
                        <w:rFonts w:ascii="宋体" w:hAnsi="宋体"/>
                      </w:rPr>
                    </w:pPr>
                    <w:r>
                      <w:rPr>
                        <w:rFonts w:ascii="宋体" w:hAnsi="宋体" w:hint="eastAsia"/>
                      </w:rPr>
                      <w:t>未到期担保可能承担连带清偿责任说明</w:t>
                    </w:r>
                  </w:p>
                </w:tc>
              </w:sdtContent>
            </w:sdt>
            <w:tc>
              <w:tcPr>
                <w:tcW w:w="2853" w:type="pct"/>
                <w:gridSpan w:val="9"/>
                <w:tcBorders>
                  <w:top w:val="single" w:sz="4" w:space="0" w:color="auto"/>
                  <w:left w:val="single" w:sz="4" w:space="0" w:color="auto"/>
                  <w:bottom w:val="single" w:sz="4" w:space="0" w:color="auto"/>
                </w:tcBorders>
                <w:shd w:val="clear" w:color="auto" w:fill="auto"/>
                <w:vAlign w:val="center"/>
              </w:tcPr>
              <w:p w14:paraId="7D75C035" w14:textId="77777777" w:rsidR="00B201D3" w:rsidRDefault="009855E8">
                <w:pPr>
                  <w:autoSpaceDE w:val="0"/>
                  <w:autoSpaceDN w:val="0"/>
                  <w:adjustRightInd w:val="0"/>
                  <w:jc w:val="right"/>
                </w:pPr>
                <w:r>
                  <w:rPr>
                    <w:rFonts w:hint="eastAsia"/>
                  </w:rPr>
                  <w:t>无</w:t>
                </w:r>
              </w:p>
            </w:tc>
          </w:tr>
          <w:tr w:rsidR="00B201D3" w14:paraId="4FD51709" w14:textId="77777777">
            <w:trPr>
              <w:trHeight w:val="308"/>
            </w:trPr>
            <w:sdt>
              <w:sdtPr>
                <w:tag w:val="_PLD_88f88dacaff54d419c61ced0566505e9"/>
                <w:id w:val="-1153749876"/>
                <w:lock w:val="sdtLocked"/>
              </w:sdtPr>
              <w:sdtEndPr/>
              <w:sdtContent>
                <w:tc>
                  <w:tcPr>
                    <w:tcW w:w="2147" w:type="pct"/>
                    <w:gridSpan w:val="7"/>
                    <w:tcBorders>
                      <w:top w:val="single" w:sz="4" w:space="0" w:color="auto"/>
                      <w:bottom w:val="single" w:sz="4" w:space="0" w:color="auto"/>
                      <w:right w:val="single" w:sz="4" w:space="0" w:color="auto"/>
                    </w:tcBorders>
                    <w:shd w:val="clear" w:color="auto" w:fill="auto"/>
                    <w:vAlign w:val="center"/>
                  </w:tcPr>
                  <w:p w14:paraId="3D6BCA8F" w14:textId="77777777" w:rsidR="00B201D3" w:rsidRDefault="009855E8">
                    <w:pPr>
                      <w:autoSpaceDE w:val="0"/>
                      <w:autoSpaceDN w:val="0"/>
                      <w:adjustRightInd w:val="0"/>
                    </w:pPr>
                    <w:r>
                      <w:rPr>
                        <w:rFonts w:hint="eastAsia"/>
                      </w:rPr>
                      <w:t>担保情况说明</w:t>
                    </w:r>
                  </w:p>
                </w:tc>
              </w:sdtContent>
            </w:sdt>
            <w:tc>
              <w:tcPr>
                <w:tcW w:w="2853" w:type="pct"/>
                <w:gridSpan w:val="9"/>
                <w:tcBorders>
                  <w:top w:val="single" w:sz="4" w:space="0" w:color="auto"/>
                  <w:left w:val="single" w:sz="4" w:space="0" w:color="auto"/>
                  <w:bottom w:val="single" w:sz="4" w:space="0" w:color="auto"/>
                </w:tcBorders>
                <w:shd w:val="clear" w:color="auto" w:fill="auto"/>
                <w:vAlign w:val="center"/>
              </w:tcPr>
              <w:p w14:paraId="6B46AB36" w14:textId="77777777" w:rsidR="00B201D3" w:rsidRDefault="009855E8">
                <w:pPr>
                  <w:rPr>
                    <w:b/>
                  </w:rPr>
                </w:pPr>
                <w:r>
                  <w:rPr>
                    <w:rFonts w:cs="Calibri" w:hint="eastAsia"/>
                    <w:b/>
                  </w:rPr>
                  <w:t>1.</w:t>
                </w:r>
                <w:r>
                  <w:rPr>
                    <w:rFonts w:hint="eastAsia"/>
                    <w:b/>
                  </w:rPr>
                  <w:t>以前期间发生并延续至本报告期的对外担保情况</w:t>
                </w:r>
              </w:p>
              <w:p w14:paraId="1123199A" w14:textId="77777777" w:rsidR="00B201D3" w:rsidRDefault="009855E8">
                <w:r>
                  <w:rPr>
                    <w:rFonts w:hint="eastAsia"/>
                  </w:rPr>
                  <w:t>经</w:t>
                </w:r>
                <w:r>
                  <w:rPr>
                    <w:rFonts w:cs="Calibri" w:hint="eastAsia"/>
                  </w:rPr>
                  <w:t>2019</w:t>
                </w:r>
                <w:r>
                  <w:rPr>
                    <w:rFonts w:hint="eastAsia"/>
                  </w:rPr>
                  <w:t>年度股东周年大会审议批准，公司为兖矿租赁提供</w:t>
                </w:r>
                <w:r>
                  <w:rPr>
                    <w:rFonts w:cs="Calibri" w:hint="eastAsia"/>
                  </w:rPr>
                  <w:t>19.99</w:t>
                </w:r>
                <w:r>
                  <w:rPr>
                    <w:rFonts w:hint="eastAsia"/>
                  </w:rPr>
                  <w:t>亿元担保。截至</w:t>
                </w:r>
                <w:r>
                  <w:t>202</w:t>
                </w:r>
                <w:r>
                  <w:rPr>
                    <w:rFonts w:cs="Calibri" w:hint="eastAsia"/>
                  </w:rPr>
                  <w:t>3</w:t>
                </w:r>
                <w:r>
                  <w:t>年</w:t>
                </w:r>
                <w:r>
                  <w:rPr>
                    <w:rFonts w:cs="Calibri" w:hint="eastAsia"/>
                  </w:rPr>
                  <w:t>6</w:t>
                </w:r>
                <w:r>
                  <w:t>月3</w:t>
                </w:r>
                <w:r>
                  <w:rPr>
                    <w:rFonts w:cs="Calibri" w:hint="eastAsia"/>
                  </w:rPr>
                  <w:t>0</w:t>
                </w:r>
                <w:r>
                  <w:t>日，</w:t>
                </w:r>
                <w:r>
                  <w:rPr>
                    <w:rFonts w:hint="eastAsia"/>
                  </w:rPr>
                  <w:t>上述担保余额为</w:t>
                </w:r>
                <w:r>
                  <w:rPr>
                    <w:rFonts w:cs="Calibri" w:hint="eastAsia"/>
                  </w:rPr>
                  <w:t>1.93</w:t>
                </w:r>
                <w:r>
                  <w:rPr>
                    <w:rFonts w:hint="eastAsia"/>
                  </w:rPr>
                  <w:t>亿元。</w:t>
                </w:r>
              </w:p>
              <w:p w14:paraId="0A99DA7A" w14:textId="77777777" w:rsidR="00B201D3" w:rsidRDefault="009855E8">
                <w:r>
                  <w:rPr>
                    <w:rFonts w:hint="eastAsia"/>
                  </w:rPr>
                  <w:lastRenderedPageBreak/>
                  <w:t>经</w:t>
                </w:r>
                <w:r>
                  <w:rPr>
                    <w:rFonts w:cs="Calibri" w:hint="eastAsia"/>
                  </w:rPr>
                  <w:t>2019</w:t>
                </w:r>
                <w:r>
                  <w:rPr>
                    <w:rFonts w:hint="eastAsia"/>
                  </w:rPr>
                  <w:t>年度股东周年大会审议批准，公司为兖煤国际资源发行</w:t>
                </w:r>
                <w:r>
                  <w:rPr>
                    <w:rFonts w:cs="Calibri" w:hint="eastAsia"/>
                  </w:rPr>
                  <w:t>5</w:t>
                </w:r>
                <w:r>
                  <w:rPr>
                    <w:rFonts w:hint="eastAsia"/>
                  </w:rPr>
                  <w:t>亿美元境外公司债券提供担保。截至</w:t>
                </w:r>
                <w:r>
                  <w:t>202</w:t>
                </w:r>
                <w:r>
                  <w:rPr>
                    <w:rFonts w:cs="Calibri" w:hint="eastAsia"/>
                  </w:rPr>
                  <w:t>3</w:t>
                </w:r>
                <w:r>
                  <w:t>年</w:t>
                </w:r>
                <w:r>
                  <w:rPr>
                    <w:rFonts w:cs="Calibri" w:hint="eastAsia"/>
                  </w:rPr>
                  <w:t>6</w:t>
                </w:r>
                <w:r>
                  <w:t>月3</w:t>
                </w:r>
                <w:r>
                  <w:rPr>
                    <w:rFonts w:cs="Calibri" w:hint="eastAsia"/>
                  </w:rPr>
                  <w:t>0</w:t>
                </w:r>
                <w:r>
                  <w:t>日，</w:t>
                </w:r>
                <w:r>
                  <w:rPr>
                    <w:rFonts w:hint="eastAsia"/>
                  </w:rPr>
                  <w:t>上述担保余额为</w:t>
                </w:r>
                <w:r>
                  <w:rPr>
                    <w:rFonts w:cs="Calibri" w:hint="eastAsia"/>
                  </w:rPr>
                  <w:t>5</w:t>
                </w:r>
                <w:r>
                  <w:rPr>
                    <w:rFonts w:hint="eastAsia"/>
                  </w:rPr>
                  <w:t>亿美元。</w:t>
                </w:r>
              </w:p>
              <w:p w14:paraId="4B5F3045" w14:textId="77777777" w:rsidR="00B201D3" w:rsidRDefault="009855E8">
                <w:r>
                  <w:rPr>
                    <w:rFonts w:hint="eastAsia"/>
                  </w:rPr>
                  <w:t>经</w:t>
                </w:r>
                <w:r>
                  <w:t>2019</w:t>
                </w:r>
                <w:r>
                  <w:rPr>
                    <w:rFonts w:hint="eastAsia"/>
                  </w:rPr>
                  <w:t>年度股东周年大会审议批准，公司为内蒙古荣信化工有限公司提供</w:t>
                </w:r>
                <w:r>
                  <w:rPr>
                    <w:rFonts w:cs="Calibri" w:hint="eastAsia"/>
                  </w:rPr>
                  <w:t>13.8</w:t>
                </w:r>
                <w:r>
                  <w:rPr>
                    <w:rFonts w:hint="eastAsia"/>
                  </w:rPr>
                  <w:t>亿元担保。截至</w:t>
                </w:r>
                <w:r>
                  <w:t>202</w:t>
                </w:r>
                <w:r>
                  <w:rPr>
                    <w:rFonts w:cs="Calibri" w:hint="eastAsia"/>
                  </w:rPr>
                  <w:t>3</w:t>
                </w:r>
                <w:r>
                  <w:t>年</w:t>
                </w:r>
                <w:r>
                  <w:rPr>
                    <w:rFonts w:cs="Calibri" w:hint="eastAsia"/>
                  </w:rPr>
                  <w:t>6</w:t>
                </w:r>
                <w:r>
                  <w:t>月3</w:t>
                </w:r>
                <w:r>
                  <w:rPr>
                    <w:rFonts w:cs="Calibri" w:hint="eastAsia"/>
                  </w:rPr>
                  <w:t>0</w:t>
                </w:r>
                <w:r>
                  <w:t>日，</w:t>
                </w:r>
                <w:r>
                  <w:rPr>
                    <w:rFonts w:hint="eastAsia"/>
                  </w:rPr>
                  <w:t>上述担保余额为</w:t>
                </w:r>
                <w:r>
                  <w:rPr>
                    <w:rFonts w:cs="Calibri" w:hint="eastAsia"/>
                  </w:rPr>
                  <w:t>10</w:t>
                </w:r>
                <w:r>
                  <w:rPr>
                    <w:rFonts w:hint="eastAsia"/>
                  </w:rPr>
                  <w:t>亿元。</w:t>
                </w:r>
              </w:p>
              <w:p w14:paraId="1DCB9884" w14:textId="77777777" w:rsidR="00B201D3" w:rsidRDefault="009855E8">
                <w:r>
                  <w:rPr>
                    <w:rFonts w:hint="eastAsia"/>
                  </w:rPr>
                  <w:t>经</w:t>
                </w:r>
                <w:r>
                  <w:t>2019</w:t>
                </w:r>
                <w:r>
                  <w:rPr>
                    <w:rFonts w:hint="eastAsia"/>
                  </w:rPr>
                  <w:t>年度股东周年大会审议批准，公司为榆林能化提供</w:t>
                </w:r>
                <w:r>
                  <w:rPr>
                    <w:rFonts w:cs="Calibri" w:hint="eastAsia"/>
                  </w:rPr>
                  <w:t>13</w:t>
                </w:r>
                <w:r>
                  <w:rPr>
                    <w:rFonts w:hint="eastAsia"/>
                  </w:rPr>
                  <w:t>亿元担保。截至</w:t>
                </w:r>
                <w:r>
                  <w:t>202</w:t>
                </w:r>
                <w:r>
                  <w:rPr>
                    <w:rFonts w:cs="Calibri" w:hint="eastAsia"/>
                  </w:rPr>
                  <w:t>3</w:t>
                </w:r>
                <w:r>
                  <w:t>年</w:t>
                </w:r>
                <w:r>
                  <w:rPr>
                    <w:rFonts w:cs="Calibri" w:hint="eastAsia"/>
                  </w:rPr>
                  <w:t>6</w:t>
                </w:r>
                <w:r>
                  <w:t>月3</w:t>
                </w:r>
                <w:r>
                  <w:rPr>
                    <w:rFonts w:cs="Calibri" w:hint="eastAsia"/>
                  </w:rPr>
                  <w:t>0</w:t>
                </w:r>
                <w:r>
                  <w:t>日，</w:t>
                </w:r>
                <w:r>
                  <w:rPr>
                    <w:rFonts w:hint="eastAsia"/>
                  </w:rPr>
                  <w:t>上述担保余额为</w:t>
                </w:r>
                <w:r>
                  <w:rPr>
                    <w:rFonts w:cs="Calibri" w:hint="eastAsia"/>
                  </w:rPr>
                  <w:t>9.42</w:t>
                </w:r>
                <w:r>
                  <w:rPr>
                    <w:rFonts w:hint="eastAsia"/>
                  </w:rPr>
                  <w:t>亿元。</w:t>
                </w:r>
              </w:p>
              <w:p w14:paraId="26A6C471" w14:textId="77777777" w:rsidR="00B201D3" w:rsidRDefault="009855E8">
                <w:r>
                  <w:rPr>
                    <w:rFonts w:hint="eastAsia"/>
                  </w:rPr>
                  <w:t>经</w:t>
                </w:r>
                <w:r>
                  <w:t>2019</w:t>
                </w:r>
                <w:r>
                  <w:rPr>
                    <w:rFonts w:hint="eastAsia"/>
                  </w:rPr>
                  <w:t>年度股东周年大会审议批准，公司为鲁南化工提供</w:t>
                </w:r>
                <w:r>
                  <w:rPr>
                    <w:rFonts w:cs="Calibri" w:hint="eastAsia"/>
                  </w:rPr>
                  <w:t>10</w:t>
                </w:r>
                <w:r>
                  <w:rPr>
                    <w:rFonts w:hint="eastAsia"/>
                  </w:rPr>
                  <w:t>亿元担保。截至</w:t>
                </w:r>
                <w:r>
                  <w:t>202</w:t>
                </w:r>
                <w:r>
                  <w:rPr>
                    <w:rFonts w:cs="Calibri" w:hint="eastAsia"/>
                  </w:rPr>
                  <w:t>3</w:t>
                </w:r>
                <w:r>
                  <w:t>年</w:t>
                </w:r>
                <w:r>
                  <w:rPr>
                    <w:rFonts w:cs="Calibri" w:hint="eastAsia"/>
                  </w:rPr>
                  <w:t>6</w:t>
                </w:r>
                <w:r>
                  <w:t>月3</w:t>
                </w:r>
                <w:r>
                  <w:rPr>
                    <w:rFonts w:cs="Calibri" w:hint="eastAsia"/>
                  </w:rPr>
                  <w:t>0</w:t>
                </w:r>
                <w:r>
                  <w:t>日，</w:t>
                </w:r>
                <w:r>
                  <w:rPr>
                    <w:rFonts w:hint="eastAsia"/>
                  </w:rPr>
                  <w:t>上述担保余额为</w:t>
                </w:r>
                <w:r>
                  <w:rPr>
                    <w:rFonts w:cs="Calibri" w:hint="eastAsia"/>
                  </w:rPr>
                  <w:t>9.7</w:t>
                </w:r>
                <w:r>
                  <w:rPr>
                    <w:rFonts w:hint="eastAsia"/>
                  </w:rPr>
                  <w:t>亿元。</w:t>
                </w:r>
              </w:p>
              <w:p w14:paraId="66CAD746" w14:textId="77777777" w:rsidR="00B201D3" w:rsidRDefault="009855E8">
                <w:r>
                  <w:rPr>
                    <w:rFonts w:hint="eastAsia"/>
                  </w:rPr>
                  <w:t>经</w:t>
                </w:r>
                <w:r>
                  <w:rPr>
                    <w:rFonts w:cs="Calibri" w:hint="eastAsia"/>
                  </w:rPr>
                  <w:t>2020</w:t>
                </w:r>
                <w:r>
                  <w:rPr>
                    <w:rFonts w:hint="eastAsia"/>
                  </w:rPr>
                  <w:t>年度股东周年大会审议批准，公司为兖煤国际资源发行</w:t>
                </w:r>
                <w:r>
                  <w:rPr>
                    <w:rFonts w:cs="Calibri" w:hint="eastAsia"/>
                  </w:rPr>
                  <w:t>3</w:t>
                </w:r>
                <w:r>
                  <w:rPr>
                    <w:rFonts w:hint="eastAsia"/>
                  </w:rPr>
                  <w:t>亿美元境外公司债券提供担保。截至</w:t>
                </w:r>
                <w:r>
                  <w:t>202</w:t>
                </w:r>
                <w:r>
                  <w:rPr>
                    <w:rFonts w:cs="Calibri" w:hint="eastAsia"/>
                  </w:rPr>
                  <w:t>3</w:t>
                </w:r>
                <w:r>
                  <w:t>年</w:t>
                </w:r>
                <w:r>
                  <w:rPr>
                    <w:rFonts w:cs="Calibri" w:hint="eastAsia"/>
                  </w:rPr>
                  <w:t>6</w:t>
                </w:r>
                <w:r>
                  <w:t>月3</w:t>
                </w:r>
                <w:r>
                  <w:rPr>
                    <w:rFonts w:cs="Calibri" w:hint="eastAsia"/>
                  </w:rPr>
                  <w:t>0</w:t>
                </w:r>
                <w:r>
                  <w:t>日，</w:t>
                </w:r>
                <w:r>
                  <w:rPr>
                    <w:rFonts w:hint="eastAsia"/>
                  </w:rPr>
                  <w:t>上述担保余额为</w:t>
                </w:r>
                <w:r>
                  <w:rPr>
                    <w:rFonts w:cs="Calibri" w:hint="eastAsia"/>
                  </w:rPr>
                  <w:t>3</w:t>
                </w:r>
                <w:r>
                  <w:rPr>
                    <w:rFonts w:hint="eastAsia"/>
                  </w:rPr>
                  <w:t>亿美元。</w:t>
                </w:r>
              </w:p>
              <w:p w14:paraId="0EB1896D" w14:textId="77777777" w:rsidR="00B201D3" w:rsidRDefault="009855E8">
                <w:r>
                  <w:rPr>
                    <w:rFonts w:hint="eastAsia"/>
                  </w:rPr>
                  <w:t>经</w:t>
                </w:r>
                <w:r>
                  <w:rPr>
                    <w:rFonts w:cs="Calibri" w:hint="eastAsia"/>
                  </w:rPr>
                  <w:t>2020</w:t>
                </w:r>
                <w:r>
                  <w:rPr>
                    <w:rFonts w:hint="eastAsia"/>
                  </w:rPr>
                  <w:t>年度股东周年大会审议批准，公司为兖煤国际提供</w:t>
                </w:r>
                <w:r>
                  <w:rPr>
                    <w:rFonts w:cs="Calibri" w:hint="eastAsia"/>
                  </w:rPr>
                  <w:t>1</w:t>
                </w:r>
                <w:r>
                  <w:rPr>
                    <w:rFonts w:hint="eastAsia"/>
                  </w:rPr>
                  <w:t>亿美元担保。截至</w:t>
                </w:r>
                <w:r>
                  <w:t>202</w:t>
                </w:r>
                <w:r>
                  <w:rPr>
                    <w:rFonts w:cs="Calibri" w:hint="eastAsia"/>
                  </w:rPr>
                  <w:t>3</w:t>
                </w:r>
                <w:r>
                  <w:t>年</w:t>
                </w:r>
                <w:r>
                  <w:rPr>
                    <w:rFonts w:cs="Calibri" w:hint="eastAsia"/>
                  </w:rPr>
                  <w:t>6</w:t>
                </w:r>
                <w:r>
                  <w:t>月3</w:t>
                </w:r>
                <w:r>
                  <w:rPr>
                    <w:rFonts w:cs="Calibri" w:hint="eastAsia"/>
                  </w:rPr>
                  <w:t>0</w:t>
                </w:r>
                <w:r>
                  <w:t>日，</w:t>
                </w:r>
                <w:r>
                  <w:rPr>
                    <w:rFonts w:hint="eastAsia"/>
                  </w:rPr>
                  <w:t>上述担保余额为</w:t>
                </w:r>
                <w:r>
                  <w:rPr>
                    <w:rFonts w:cs="Calibri" w:hint="eastAsia"/>
                  </w:rPr>
                  <w:t>1</w:t>
                </w:r>
                <w:r>
                  <w:rPr>
                    <w:rFonts w:hint="eastAsia"/>
                  </w:rPr>
                  <w:t>亿美元。</w:t>
                </w:r>
              </w:p>
              <w:p w14:paraId="4BF1CAC7" w14:textId="77777777" w:rsidR="00B201D3" w:rsidRDefault="009855E8">
                <w:r>
                  <w:rPr>
                    <w:rFonts w:hint="eastAsia"/>
                  </w:rPr>
                  <w:t>经</w:t>
                </w:r>
                <w:r>
                  <w:rPr>
                    <w:rFonts w:cs="Calibri" w:hint="eastAsia"/>
                  </w:rPr>
                  <w:t>2020</w:t>
                </w:r>
                <w:r>
                  <w:rPr>
                    <w:rFonts w:hint="eastAsia"/>
                  </w:rPr>
                  <w:t>年度股东周年大会审议批准，公司为青岛中兖提供</w:t>
                </w:r>
                <w:r>
                  <w:rPr>
                    <w:rFonts w:cs="Calibri" w:hint="eastAsia"/>
                  </w:rPr>
                  <w:t>10</w:t>
                </w:r>
                <w:r>
                  <w:rPr>
                    <w:rFonts w:hint="eastAsia"/>
                  </w:rPr>
                  <w:t>亿元担保。截至</w:t>
                </w:r>
                <w:r>
                  <w:t>202</w:t>
                </w:r>
                <w:r>
                  <w:rPr>
                    <w:rFonts w:cs="Calibri" w:hint="eastAsia"/>
                  </w:rPr>
                  <w:t>3</w:t>
                </w:r>
                <w:r>
                  <w:t>年</w:t>
                </w:r>
                <w:r>
                  <w:rPr>
                    <w:rFonts w:cs="Calibri" w:hint="eastAsia"/>
                  </w:rPr>
                  <w:t>6</w:t>
                </w:r>
                <w:r>
                  <w:t>月3</w:t>
                </w:r>
                <w:r>
                  <w:rPr>
                    <w:rFonts w:cs="Calibri" w:hint="eastAsia"/>
                  </w:rPr>
                  <w:t>0</w:t>
                </w:r>
                <w:r>
                  <w:t>日，</w:t>
                </w:r>
                <w:r>
                  <w:rPr>
                    <w:rFonts w:hint="eastAsia"/>
                  </w:rPr>
                  <w:t>上述担保余额为</w:t>
                </w:r>
                <w:r>
                  <w:rPr>
                    <w:rFonts w:cs="Calibri" w:hint="eastAsia"/>
                  </w:rPr>
                  <w:t>10</w:t>
                </w:r>
                <w:r>
                  <w:rPr>
                    <w:rFonts w:hint="eastAsia"/>
                  </w:rPr>
                  <w:t>亿元。</w:t>
                </w:r>
              </w:p>
              <w:p w14:paraId="15FD0644" w14:textId="77777777" w:rsidR="00B201D3" w:rsidRDefault="009855E8">
                <w:r>
                  <w:rPr>
                    <w:rFonts w:hint="eastAsia"/>
                  </w:rPr>
                  <w:t>经</w:t>
                </w:r>
                <w:r>
                  <w:rPr>
                    <w:rFonts w:cs="Calibri"/>
                  </w:rPr>
                  <w:t>2020</w:t>
                </w:r>
                <w:r>
                  <w:rPr>
                    <w:rFonts w:hint="eastAsia"/>
                  </w:rPr>
                  <w:t>年度股东周年大会审议批准，内蒙古矿业为乌兰察布市宏大实业有限公司提供</w:t>
                </w:r>
                <w:r>
                  <w:rPr>
                    <w:rFonts w:cs="Calibri"/>
                  </w:rPr>
                  <w:t>11.89</w:t>
                </w:r>
                <w:r>
                  <w:rPr>
                    <w:rFonts w:hint="eastAsia"/>
                  </w:rPr>
                  <w:t>亿元担保；为鄂尔多斯市锋威光电有限公司提供</w:t>
                </w:r>
                <w:r>
                  <w:rPr>
                    <w:rFonts w:cs="Calibri"/>
                  </w:rPr>
                  <w:t>5.48</w:t>
                </w:r>
                <w:r>
                  <w:rPr>
                    <w:rFonts w:hint="eastAsia"/>
                  </w:rPr>
                  <w:t>亿元担保；鄂尔多斯市锋威光电有限公司为内蒙古矿业提供</w:t>
                </w:r>
                <w:r>
                  <w:rPr>
                    <w:rFonts w:cs="Calibri" w:hint="eastAsia"/>
                  </w:rPr>
                  <w:t>4.83</w:t>
                </w:r>
                <w:r>
                  <w:rPr>
                    <w:rFonts w:hint="eastAsia"/>
                  </w:rPr>
                  <w:t>亿元担保。</w:t>
                </w:r>
              </w:p>
              <w:p w14:paraId="26E62D9B" w14:textId="77777777" w:rsidR="00B201D3" w:rsidRDefault="009855E8">
                <w:r>
                  <w:rPr>
                    <w:rFonts w:hint="eastAsia"/>
                  </w:rPr>
                  <w:t>经</w:t>
                </w:r>
                <w:r>
                  <w:rPr>
                    <w:rFonts w:cs="Calibri" w:hint="eastAsia"/>
                  </w:rPr>
                  <w:t>2021</w:t>
                </w:r>
                <w:r>
                  <w:rPr>
                    <w:rFonts w:hint="eastAsia"/>
                  </w:rPr>
                  <w:t>年度股东周年大会审议批准，公司为青岛中兖提供</w:t>
                </w:r>
                <w:r>
                  <w:rPr>
                    <w:rFonts w:cs="Calibri" w:hint="eastAsia"/>
                  </w:rPr>
                  <w:t>4.4</w:t>
                </w:r>
                <w:r>
                  <w:rPr>
                    <w:rFonts w:hint="eastAsia"/>
                  </w:rPr>
                  <w:t>亿元担保。截至</w:t>
                </w:r>
                <w:r>
                  <w:t>202</w:t>
                </w:r>
                <w:r>
                  <w:rPr>
                    <w:rFonts w:cs="Calibri" w:hint="eastAsia"/>
                  </w:rPr>
                  <w:t>3</w:t>
                </w:r>
                <w:r>
                  <w:t>年</w:t>
                </w:r>
                <w:r>
                  <w:rPr>
                    <w:rFonts w:cs="Calibri" w:hint="eastAsia"/>
                  </w:rPr>
                  <w:t>6</w:t>
                </w:r>
                <w:r>
                  <w:t>月3</w:t>
                </w:r>
                <w:r>
                  <w:rPr>
                    <w:rFonts w:cs="Calibri" w:hint="eastAsia"/>
                  </w:rPr>
                  <w:t>0</w:t>
                </w:r>
                <w:r>
                  <w:t>日，</w:t>
                </w:r>
                <w:r>
                  <w:rPr>
                    <w:rFonts w:hint="eastAsia"/>
                  </w:rPr>
                  <w:t>上述担保余额为</w:t>
                </w:r>
                <w:r>
                  <w:rPr>
                    <w:rFonts w:cs="Calibri" w:hint="eastAsia"/>
                  </w:rPr>
                  <w:t>4.4</w:t>
                </w:r>
                <w:r>
                  <w:rPr>
                    <w:rFonts w:hint="eastAsia"/>
                  </w:rPr>
                  <w:t>亿元。</w:t>
                </w:r>
              </w:p>
              <w:p w14:paraId="6770510C" w14:textId="77777777" w:rsidR="00B201D3" w:rsidRDefault="009855E8">
                <w:r>
                  <w:rPr>
                    <w:rFonts w:hint="eastAsia"/>
                  </w:rPr>
                  <w:t>经</w:t>
                </w:r>
                <w:r>
                  <w:rPr>
                    <w:rFonts w:cs="Calibri" w:hint="eastAsia"/>
                  </w:rPr>
                  <w:t>2021</w:t>
                </w:r>
                <w:r>
                  <w:rPr>
                    <w:rFonts w:hint="eastAsia"/>
                  </w:rPr>
                  <w:t>年度股东周年大会审议批准，公司为青岛中垠瑞丰国际贸易有限公司提供</w:t>
                </w:r>
                <w:r>
                  <w:rPr>
                    <w:rFonts w:cs="Calibri" w:hint="eastAsia"/>
                  </w:rPr>
                  <w:t>9</w:t>
                </w:r>
                <w:r>
                  <w:rPr>
                    <w:rFonts w:hint="eastAsia"/>
                  </w:rPr>
                  <w:t>亿元担保。截至</w:t>
                </w:r>
                <w:r>
                  <w:t>202</w:t>
                </w:r>
                <w:r>
                  <w:rPr>
                    <w:rFonts w:cs="Calibri" w:hint="eastAsia"/>
                  </w:rPr>
                  <w:t>3</w:t>
                </w:r>
                <w:r>
                  <w:t>年</w:t>
                </w:r>
                <w:r>
                  <w:rPr>
                    <w:rFonts w:cs="Calibri" w:hint="eastAsia"/>
                  </w:rPr>
                  <w:t>6</w:t>
                </w:r>
                <w:r>
                  <w:t>月3</w:t>
                </w:r>
                <w:r>
                  <w:rPr>
                    <w:rFonts w:cs="Calibri" w:hint="eastAsia"/>
                  </w:rPr>
                  <w:t>0</w:t>
                </w:r>
                <w:r>
                  <w:t>日，</w:t>
                </w:r>
                <w:r>
                  <w:rPr>
                    <w:rFonts w:hint="eastAsia"/>
                  </w:rPr>
                  <w:t>上述担保余额为</w:t>
                </w:r>
                <w:r>
                  <w:rPr>
                    <w:rFonts w:cs="Calibri" w:hint="eastAsia"/>
                  </w:rPr>
                  <w:t>9</w:t>
                </w:r>
                <w:r>
                  <w:rPr>
                    <w:rFonts w:hint="eastAsia"/>
                  </w:rPr>
                  <w:t>亿元。</w:t>
                </w:r>
              </w:p>
              <w:p w14:paraId="5AE22CF9" w14:textId="77777777" w:rsidR="00B201D3" w:rsidRDefault="009855E8">
                <w:r>
                  <w:rPr>
                    <w:rFonts w:hint="eastAsia"/>
                  </w:rPr>
                  <w:t>截至</w:t>
                </w:r>
                <w:r>
                  <w:t>202</w:t>
                </w:r>
                <w:r>
                  <w:rPr>
                    <w:rFonts w:cs="Calibri" w:hint="eastAsia"/>
                  </w:rPr>
                  <w:t>3</w:t>
                </w:r>
                <w:r>
                  <w:t>年</w:t>
                </w:r>
                <w:r>
                  <w:rPr>
                    <w:rFonts w:cs="Calibri" w:hint="eastAsia"/>
                  </w:rPr>
                  <w:t>6</w:t>
                </w:r>
                <w:r>
                  <w:t>月3</w:t>
                </w:r>
                <w:r>
                  <w:rPr>
                    <w:rFonts w:cs="Calibri" w:hint="eastAsia"/>
                  </w:rPr>
                  <w:t>0</w:t>
                </w:r>
                <w:r>
                  <w:t>日，</w:t>
                </w:r>
                <w:r>
                  <w:rPr>
                    <w:rFonts w:hint="eastAsia"/>
                  </w:rPr>
                  <w:t>兖煤澳洲及其子公司因经营必需共有履约押金和保函</w:t>
                </w:r>
                <w:r>
                  <w:rPr>
                    <w:rFonts w:cs="Calibri" w:hint="eastAsia"/>
                  </w:rPr>
                  <w:t>9.6</w:t>
                </w:r>
                <w:r>
                  <w:rPr>
                    <w:rFonts w:hint="eastAsia"/>
                  </w:rPr>
                  <w:t>亿澳元。</w:t>
                </w:r>
              </w:p>
              <w:p w14:paraId="31E430B6" w14:textId="77777777" w:rsidR="00B201D3" w:rsidRDefault="009855E8">
                <w:r>
                  <w:rPr>
                    <w:rFonts w:hint="eastAsia"/>
                  </w:rPr>
                  <w:t>经</w:t>
                </w:r>
                <w:r>
                  <w:rPr>
                    <w:rFonts w:cs="Calibri" w:hint="eastAsia"/>
                  </w:rPr>
                  <w:t>2021</w:t>
                </w:r>
                <w:r>
                  <w:rPr>
                    <w:rFonts w:hint="eastAsia"/>
                  </w:rPr>
                  <w:t>年度第一次临时股东大会审议批准，内蒙古矿业为内蒙古锦联铝材有限公司提供</w:t>
                </w:r>
                <w:r>
                  <w:rPr>
                    <w:rFonts w:cs="Calibri" w:hint="eastAsia"/>
                  </w:rPr>
                  <w:t>1.13</w:t>
                </w:r>
                <w:r>
                  <w:rPr>
                    <w:rFonts w:hint="eastAsia"/>
                  </w:rPr>
                  <w:t>亿元担保。未来能源为陕西靖神铁路有限责任公司提供</w:t>
                </w:r>
                <w:r>
                  <w:rPr>
                    <w:rFonts w:cs="Calibri" w:hint="eastAsia"/>
                  </w:rPr>
                  <w:t>3.24</w:t>
                </w:r>
                <w:r>
                  <w:rPr>
                    <w:rFonts w:hint="eastAsia"/>
                  </w:rPr>
                  <w:t>亿元担保；为陕西未来清洁化学品有限公司提供</w:t>
                </w:r>
                <w:r>
                  <w:rPr>
                    <w:rFonts w:cs="Calibri" w:hint="eastAsia"/>
                  </w:rPr>
                  <w:t>0.06</w:t>
                </w:r>
                <w:r>
                  <w:rPr>
                    <w:rFonts w:hint="eastAsia"/>
                  </w:rPr>
                  <w:t>亿元担保。</w:t>
                </w:r>
              </w:p>
              <w:p w14:paraId="1A2D914F" w14:textId="77777777" w:rsidR="00B201D3" w:rsidRDefault="009855E8">
                <w:pPr>
                  <w:rPr>
                    <w:b/>
                  </w:rPr>
                </w:pPr>
                <w:r>
                  <w:rPr>
                    <w:rFonts w:cs="Calibri" w:hint="eastAsia"/>
                    <w:b/>
                  </w:rPr>
                  <w:t>2.</w:t>
                </w:r>
                <w:r>
                  <w:rPr>
                    <w:rFonts w:hint="eastAsia"/>
                    <w:b/>
                  </w:rPr>
                  <w:t>报告期内发生的担保情况</w:t>
                </w:r>
              </w:p>
              <w:p w14:paraId="612C3959" w14:textId="77777777" w:rsidR="00B201D3" w:rsidRDefault="009855E8">
                <w:r>
                  <w:rPr>
                    <w:rFonts w:hint="eastAsia"/>
                  </w:rPr>
                  <w:t>经</w:t>
                </w:r>
                <w:r>
                  <w:rPr>
                    <w:rFonts w:cs="Calibri" w:hint="eastAsia"/>
                  </w:rPr>
                  <w:t>2</w:t>
                </w:r>
                <w:r>
                  <w:t>02</w:t>
                </w:r>
                <w:r>
                  <w:rPr>
                    <w:rFonts w:cs="Calibri" w:hint="eastAsia"/>
                  </w:rPr>
                  <w:t>1</w:t>
                </w:r>
                <w:r>
                  <w:rPr>
                    <w:rFonts w:hint="eastAsia"/>
                  </w:rPr>
                  <w:t>年度股东周年大会审议批准，报告期内，公司为青岛中垠瑞丰国际贸易有限公司提供</w:t>
                </w:r>
                <w:r>
                  <w:rPr>
                    <w:rFonts w:cs="Calibri" w:hint="eastAsia"/>
                  </w:rPr>
                  <w:t>20.2</w:t>
                </w:r>
                <w:r>
                  <w:rPr>
                    <w:rFonts w:hint="eastAsia"/>
                  </w:rPr>
                  <w:t>亿元担保；为青岛中兖提供11.1亿元担保；为烟台金正环保科技有限公司提供</w:t>
                </w:r>
                <w:r>
                  <w:rPr>
                    <w:rFonts w:cs="Calibri" w:hint="eastAsia"/>
                  </w:rPr>
                  <w:t>1.37</w:t>
                </w:r>
                <w:r>
                  <w:rPr>
                    <w:rFonts w:hint="eastAsia"/>
                  </w:rPr>
                  <w:t>亿元担保。</w:t>
                </w:r>
              </w:p>
              <w:p w14:paraId="78A0E744" w14:textId="17328578" w:rsidR="00B201D3" w:rsidRDefault="009855E8">
                <w:pPr>
                  <w:autoSpaceDE w:val="0"/>
                  <w:autoSpaceDN w:val="0"/>
                  <w:adjustRightInd w:val="0"/>
                </w:pPr>
                <w:r>
                  <w:rPr>
                    <w:rFonts w:hint="eastAsia"/>
                  </w:rPr>
                  <w:lastRenderedPageBreak/>
                  <w:t>经</w:t>
                </w:r>
                <w:r>
                  <w:rPr>
                    <w:rFonts w:cs="Calibri" w:hint="eastAsia"/>
                  </w:rPr>
                  <w:t>20</w:t>
                </w:r>
                <w:r>
                  <w:t>2</w:t>
                </w:r>
                <w:r>
                  <w:rPr>
                    <w:rFonts w:cs="Calibri" w:hint="eastAsia"/>
                  </w:rPr>
                  <w:t>2</w:t>
                </w:r>
                <w:r>
                  <w:rPr>
                    <w:rFonts w:hint="eastAsia"/>
                  </w:rPr>
                  <w:t>年度股东周年大会审议批准，兖煤澳洲及其子公司每年向兖矿能源</w:t>
                </w:r>
                <w:r w:rsidR="00D56784">
                  <w:rPr>
                    <w:rFonts w:hint="eastAsia"/>
                  </w:rPr>
                  <w:t>澳洲</w:t>
                </w:r>
                <w:r>
                  <w:rPr>
                    <w:rFonts w:hint="eastAsia"/>
                  </w:rPr>
                  <w:t>附属公司提供不超过</w:t>
                </w:r>
                <w:r>
                  <w:rPr>
                    <w:rFonts w:cs="Calibri" w:hint="eastAsia"/>
                  </w:rPr>
                  <w:t>15</w:t>
                </w:r>
                <w:r>
                  <w:rPr>
                    <w:rFonts w:hint="eastAsia"/>
                  </w:rPr>
                  <w:t>亿澳元日常经营担保额度。报告期内，兖煤澳洲及其子公司因经营必需共发生履约押金和保函</w:t>
                </w:r>
                <w:r>
                  <w:rPr>
                    <w:rFonts w:cs="Calibri" w:hint="eastAsia"/>
                  </w:rPr>
                  <w:t>2.50</w:t>
                </w:r>
                <w:r>
                  <w:rPr>
                    <w:rFonts w:hint="eastAsia"/>
                  </w:rPr>
                  <w:t>亿澳元。</w:t>
                </w:r>
              </w:p>
            </w:tc>
          </w:tr>
        </w:tbl>
        <w:p w14:paraId="3CE18D82" w14:textId="77777777" w:rsidR="00B201D3" w:rsidRDefault="009855E8">
          <w:pPr>
            <w:ind w:firstLineChars="200" w:firstLine="420"/>
            <w:rPr>
              <w:kern w:val="2"/>
            </w:rPr>
          </w:pPr>
          <w:r>
            <w:rPr>
              <w:rFonts w:hint="eastAsia"/>
            </w:rPr>
            <w:lastRenderedPageBreak/>
            <w:t>注：上表乃按中国会计准则编制，并按照1美元=7.2258元人民币、1澳元=4.7992元人民币的汇率进行计算。</w:t>
          </w:r>
        </w:p>
        <w:p w14:paraId="33FE9AE1" w14:textId="77777777" w:rsidR="00B201D3" w:rsidRDefault="009855E8" w:rsidP="00D56784">
          <w:pPr>
            <w:ind w:firstLineChars="200" w:firstLine="420"/>
          </w:pPr>
          <w:r>
            <w:rPr>
              <w:rFonts w:hint="eastAsia"/>
            </w:rPr>
            <w:t>除上述披露外，公司不存在报告期内履行的及尚未履行完毕的担保合同。</w:t>
          </w:r>
        </w:p>
        <w:p w14:paraId="49887DBC" w14:textId="77777777" w:rsidR="00B201D3" w:rsidRDefault="00C8327E">
          <w:pPr>
            <w:rPr>
              <w:rFonts w:asciiTheme="minorEastAsia" w:eastAsiaTheme="minorEastAsia" w:hAnsiTheme="minorEastAsia"/>
            </w:rPr>
            <w:sectPr w:rsidR="00B201D3">
              <w:pgSz w:w="16838" w:h="11906" w:orient="landscape"/>
              <w:pgMar w:top="1797" w:right="1525" w:bottom="1276" w:left="1440" w:header="851" w:footer="992" w:gutter="0"/>
              <w:cols w:space="425"/>
              <w:docGrid w:linePitch="312"/>
            </w:sectPr>
          </w:pPr>
        </w:p>
      </w:sdtContent>
    </w:sdt>
    <w:bookmarkEnd w:id="89" w:displacedByCustomXml="next"/>
    <w:sdt>
      <w:sdtPr>
        <w:rPr>
          <w:rFonts w:asciiTheme="minorEastAsia" w:eastAsiaTheme="minorEastAsia" w:hAnsiTheme="minorEastAsia" w:cs="宋体"/>
          <w:b w:val="0"/>
          <w:bCs/>
          <w:kern w:val="0"/>
          <w:szCs w:val="21"/>
        </w:rPr>
        <w:alias w:val="模块:其他重大合同"/>
        <w:tag w:val="_SEC_e046194a1b604165ab4ac9dbd406e6b1"/>
        <w:id w:val="1720933663"/>
        <w:lock w:val="sdtLocked"/>
        <w:placeholder>
          <w:docPart w:val="GBC22222222222222222222222222222"/>
        </w:placeholder>
      </w:sdtPr>
      <w:sdtEndPr>
        <w:rPr>
          <w:rFonts w:hint="eastAsia"/>
          <w:bCs w:val="0"/>
        </w:rPr>
      </w:sdtEndPr>
      <w:sdtContent>
        <w:p w14:paraId="144C6087" w14:textId="77777777" w:rsidR="00B201D3" w:rsidRDefault="009855E8">
          <w:pPr>
            <w:pStyle w:val="3900"/>
            <w:numPr>
              <w:ilvl w:val="0"/>
              <w:numId w:val="33"/>
            </w:numPr>
            <w:rPr>
              <w:rFonts w:asciiTheme="minorEastAsia" w:eastAsiaTheme="minorEastAsia" w:hAnsiTheme="minorEastAsia"/>
              <w:szCs w:val="21"/>
            </w:rPr>
          </w:pPr>
          <w:r>
            <w:rPr>
              <w:rFonts w:asciiTheme="minorEastAsia" w:eastAsiaTheme="minorEastAsia" w:hAnsiTheme="minorEastAsia"/>
              <w:szCs w:val="21"/>
            </w:rPr>
            <w:t>其他重大合同</w:t>
          </w:r>
        </w:p>
        <w:sdt>
          <w:sdtPr>
            <w:rPr>
              <w:rFonts w:asciiTheme="minorEastAsia" w:eastAsiaTheme="minorEastAsia" w:hAnsiTheme="minorEastAsia" w:cs="Times New Roman"/>
              <w:kern w:val="2"/>
              <w:szCs w:val="22"/>
            </w:rPr>
            <w:alias w:val="是否适用：其他重大合同[双击切换]"/>
            <w:tag w:val="_GBC_23289ac36e3b4aeeaff6a4f1df0c3165"/>
            <w:id w:val="-42215314"/>
            <w:lock w:val="sdtLocked"/>
            <w:placeholder>
              <w:docPart w:val="GBC22222222222222222222222222222"/>
            </w:placeholder>
          </w:sdtPr>
          <w:sdtEndPr>
            <w:rPr>
              <w:rFonts w:cs="宋体"/>
              <w:kern w:val="0"/>
              <w:szCs w:val="21"/>
            </w:rPr>
          </w:sdtEndPr>
          <w:sdtContent>
            <w:p w14:paraId="511FDC9B" w14:textId="77777777" w:rsidR="00B201D3" w:rsidRDefault="009855E8">
              <w:pPr>
                <w:rPr>
                  <w:rFonts w:asciiTheme="minorEastAsia" w:eastAsiaTheme="minorEastAsia" w:hAnsiTheme="minorEastAsia"/>
                </w:rPr>
              </w:pP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p w14:paraId="4E5EFDAD" w14:textId="77777777" w:rsidR="00B201D3" w:rsidRDefault="00B201D3">
      <w:pPr>
        <w:pStyle w:val="11000"/>
        <w:ind w:left="420" w:firstLineChars="0" w:firstLine="0"/>
        <w:rPr>
          <w:rFonts w:asciiTheme="minorEastAsia" w:eastAsiaTheme="minorEastAsia" w:hAnsiTheme="minorEastAsia"/>
          <w:b/>
        </w:rPr>
      </w:pPr>
    </w:p>
    <w:bookmarkStart w:id="90" w:name="_Hlk74820557" w:displacedByCustomXml="next"/>
    <w:bookmarkStart w:id="91" w:name="_Hlk74904700" w:displacedByCustomXml="next"/>
    <w:sdt>
      <w:sdtPr>
        <w:rPr>
          <w:rFonts w:asciiTheme="minorEastAsia" w:eastAsiaTheme="minorEastAsia" w:hAnsiTheme="minorEastAsia" w:cs="宋体"/>
          <w:b w:val="0"/>
          <w:bCs/>
          <w:kern w:val="0"/>
          <w:szCs w:val="24"/>
        </w:rPr>
        <w:alias w:val="模块:"/>
        <w:tag w:val="_SEC_82a7281a6dc544bea8ef97d430f7b6fc"/>
        <w:id w:val="1465311869"/>
        <w:lock w:val="sdtLocked"/>
        <w:placeholder>
          <w:docPart w:val="GBC22222222222222222222222222222"/>
        </w:placeholder>
      </w:sdtPr>
      <w:sdtEndPr>
        <w:rPr>
          <w:rFonts w:ascii="宋体" w:eastAsia="宋体" w:hAnsi="宋体"/>
          <w:bCs w:val="0"/>
          <w:szCs w:val="21"/>
        </w:rPr>
      </w:sdtEndPr>
      <w:sdtContent>
        <w:p w14:paraId="2D36A7BF" w14:textId="77777777" w:rsidR="00B201D3" w:rsidRDefault="009855E8">
          <w:pPr>
            <w:pStyle w:val="3901"/>
            <w:numPr>
              <w:ilvl w:val="0"/>
              <w:numId w:val="25"/>
            </w:numPr>
            <w:tabs>
              <w:tab w:val="left" w:pos="426"/>
            </w:tabs>
            <w:jc w:val="left"/>
            <w:rPr>
              <w:rFonts w:asciiTheme="minorEastAsia" w:eastAsiaTheme="minorEastAsia" w:hAnsiTheme="minorEastAsia"/>
            </w:rPr>
          </w:pPr>
          <w:r>
            <w:rPr>
              <w:rFonts w:asciiTheme="minorEastAsia" w:eastAsiaTheme="minorEastAsia" w:hAnsiTheme="minorEastAsia"/>
            </w:rPr>
            <w:t>其他</w:t>
          </w:r>
          <w:r>
            <w:rPr>
              <w:rFonts w:asciiTheme="minorEastAsia" w:eastAsiaTheme="minorEastAsia" w:hAnsiTheme="minorEastAsia" w:hint="eastAsia"/>
            </w:rPr>
            <w:t>重大事项的说明</w:t>
          </w:r>
        </w:p>
        <w:sdt>
          <w:sdtPr>
            <w:rPr>
              <w:rFonts w:asciiTheme="minorEastAsia" w:eastAsiaTheme="minorEastAsia" w:hAnsiTheme="minorEastAsia"/>
            </w:rPr>
            <w:alias w:val="是否适用：其他重大事项的说明[双击切换]"/>
            <w:tag w:val="_GBC_60472543195d45309db4d042b8e09883"/>
            <w:id w:val="-867988953"/>
            <w:lock w:val="sdtLocked"/>
            <w:placeholder>
              <w:docPart w:val="GBC22222222222222222222222222222"/>
            </w:placeholder>
          </w:sdtPr>
          <w:sdtEndPr/>
          <w:sdtContent>
            <w:p w14:paraId="24CE1252" w14:textId="77777777" w:rsidR="00B201D3" w:rsidRDefault="009855E8">
              <w:pPr>
                <w:rPr>
                  <w:rFonts w:asciiTheme="minorEastAsia" w:eastAsiaTheme="minorEastAsia" w:hAnsiTheme="minorEastAsia"/>
                </w:rPr>
              </w:pP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bookmarkEnd w:id="90" w:displacedByCustomXml="next"/>
        <w:bookmarkStart w:id="92" w:name="_Hlk142731158" w:displacedByCustomXml="next"/>
        <w:sdt>
          <w:sdtPr>
            <w:rPr>
              <w:rFonts w:asciiTheme="minorEastAsia" w:eastAsiaTheme="minorEastAsia" w:hAnsiTheme="minorEastAsia"/>
            </w:rPr>
            <w:alias w:val="其它重大事项说明"/>
            <w:tag w:val="_GBC_2c1880a5abc34ba7be18fdf6374ac4c1"/>
            <w:id w:val="1519591040"/>
            <w:lock w:val="sdtLocked"/>
          </w:sdtPr>
          <w:sdtEndPr>
            <w:rPr>
              <w:rFonts w:ascii="宋体" w:eastAsia="宋体" w:hAnsi="宋体"/>
            </w:rPr>
          </w:sdtEndPr>
          <w:sdtContent>
            <w:p w14:paraId="10A195A7" w14:textId="77777777" w:rsidR="00B201D3" w:rsidRDefault="009855E8">
              <w:pPr>
                <w:ind w:firstLineChars="200" w:firstLine="420"/>
                <w:rPr>
                  <w:rFonts w:asciiTheme="minorEastAsia" w:eastAsiaTheme="minorEastAsia" w:hAnsiTheme="minorEastAsia"/>
                </w:rPr>
              </w:pPr>
              <w:r>
                <w:rPr>
                  <w:rFonts w:asciiTheme="minorEastAsia" w:eastAsiaTheme="minorEastAsia" w:hAnsiTheme="minorEastAsia" w:hint="eastAsia"/>
                </w:rPr>
                <w:t>（按香港上市监管规定编制）</w:t>
              </w:r>
              <w:bookmarkEnd w:id="92"/>
            </w:p>
            <w:p w14:paraId="21F6F48C" w14:textId="77777777" w:rsidR="00B201D3" w:rsidRDefault="009855E8">
              <w:pPr>
                <w:ind w:firstLineChars="200" w:firstLine="422"/>
                <w:rPr>
                  <w:rFonts w:asciiTheme="minorEastAsia" w:eastAsiaTheme="minorEastAsia" w:hAnsiTheme="minorEastAsia"/>
                  <w:b/>
                </w:rPr>
              </w:pPr>
              <w:r>
                <w:rPr>
                  <w:rFonts w:asciiTheme="minorEastAsia" w:eastAsiaTheme="minorEastAsia" w:hAnsiTheme="minorEastAsia" w:hint="eastAsia"/>
                  <w:b/>
                </w:rPr>
                <w:t>（一）购回、出售或赎回公司之上市证券</w:t>
              </w:r>
            </w:p>
            <w:p w14:paraId="1A106046" w14:textId="77777777" w:rsidR="00B201D3" w:rsidRDefault="009855E8" w:rsidP="00657056">
              <w:pPr>
                <w:pStyle w:val="3903"/>
                <w:ind w:firstLineChars="200" w:firstLine="420"/>
                <w:jc w:val="both"/>
                <w:rPr>
                  <w:rFonts w:asciiTheme="minorEastAsia" w:eastAsiaTheme="minorEastAsia" w:hAnsiTheme="minorEastAsia"/>
                </w:rPr>
              </w:pPr>
              <w:r>
                <w:rPr>
                  <w:rFonts w:asciiTheme="minorEastAsia" w:eastAsiaTheme="minorEastAsia" w:hAnsiTheme="minorEastAsia" w:hint="eastAsia"/>
                </w:rPr>
                <w:t>获得股东大会增发及回购H股股份授权</w:t>
              </w:r>
            </w:p>
            <w:p w14:paraId="014A26DD" w14:textId="77777777" w:rsidR="00B201D3" w:rsidRDefault="009855E8" w:rsidP="00657056">
              <w:pPr>
                <w:pStyle w:val="3903"/>
                <w:ind w:firstLineChars="200" w:firstLine="420"/>
                <w:jc w:val="both"/>
                <w:rPr>
                  <w:rFonts w:asciiTheme="minorEastAsia" w:eastAsiaTheme="minorEastAsia" w:hAnsiTheme="minorEastAsia"/>
                </w:rPr>
              </w:pPr>
              <w:r>
                <w:rPr>
                  <w:rFonts w:asciiTheme="minorEastAsia" w:eastAsiaTheme="minorEastAsia" w:hAnsiTheme="minorEastAsia" w:hint="eastAsia"/>
                </w:rPr>
                <w:t>2023年6月30日召开的2022年度股东周年大会，授予董事会一般性授权，由董事会根据需要和市场情况，在获得有关监管机构批准以及符合法律、行政法规及《公司章程》的情况下，在相关授权期间适时决定是否增发不超过有关决议案通过之日已发行H股总额20%的H股股份。</w:t>
              </w:r>
            </w:p>
            <w:p w14:paraId="14C1A010" w14:textId="77777777" w:rsidR="00B201D3" w:rsidRDefault="009855E8" w:rsidP="00657056">
              <w:pPr>
                <w:pStyle w:val="3903"/>
                <w:ind w:firstLineChars="200" w:firstLine="420"/>
                <w:jc w:val="both"/>
                <w:rPr>
                  <w:rFonts w:asciiTheme="minorEastAsia" w:eastAsiaTheme="minorEastAsia" w:hAnsiTheme="minorEastAsia"/>
                </w:rPr>
              </w:pPr>
              <w:r>
                <w:rPr>
                  <w:rFonts w:asciiTheme="minorEastAsia" w:eastAsiaTheme="minorEastAsia" w:hAnsiTheme="minorEastAsia" w:hint="eastAsia"/>
                </w:rPr>
                <w:t>2023年6月30日召开的2022年度股东周年大会、2023年度第一次A股类别股东大会及2023年度第一次H股类别股东大会，分别授予董事会一般性授权，由董事会根据需要和市场情况，在获得有关监管机构批准以及符合法律、行政法规及《公司章程》的情况下，在相关授权期间适时决定回购不超过有关决议案通过之日已发行H股总额10%的H股股份。</w:t>
              </w:r>
            </w:p>
            <w:p w14:paraId="63264CFE" w14:textId="77777777" w:rsidR="00B201D3" w:rsidRDefault="009855E8" w:rsidP="00657056">
              <w:pPr>
                <w:pStyle w:val="3903"/>
                <w:ind w:firstLineChars="200" w:firstLine="420"/>
                <w:jc w:val="both"/>
                <w:rPr>
                  <w:rFonts w:asciiTheme="minorEastAsia" w:eastAsiaTheme="minorEastAsia" w:hAnsiTheme="minorEastAsia"/>
                </w:rPr>
              </w:pPr>
              <w:r>
                <w:rPr>
                  <w:rFonts w:asciiTheme="minorEastAsia" w:eastAsiaTheme="minorEastAsia" w:hAnsiTheme="minorEastAsia" w:hint="eastAsia"/>
                </w:rPr>
                <w:t>截至本报告披露日，公司董事会尚未行使上述一般性授权。</w:t>
              </w:r>
            </w:p>
            <w:p w14:paraId="4F64A70B" w14:textId="77777777" w:rsidR="00B201D3" w:rsidRDefault="009855E8" w:rsidP="00657056">
              <w:pPr>
                <w:pStyle w:val="3903"/>
                <w:jc w:val="both"/>
                <w:rPr>
                  <w:rFonts w:asciiTheme="minorEastAsia" w:eastAsiaTheme="minorEastAsia" w:hAnsiTheme="minorEastAsia"/>
                  <w:b/>
                </w:rPr>
              </w:pPr>
              <w:r>
                <w:rPr>
                  <w:rFonts w:asciiTheme="minorEastAsia" w:eastAsiaTheme="minorEastAsia" w:hAnsiTheme="minorEastAsia" w:hint="eastAsia"/>
                  <w:b/>
                </w:rPr>
                <w:t xml:space="preserve"> </w:t>
              </w:r>
            </w:p>
            <w:p w14:paraId="63692F67" w14:textId="77777777" w:rsidR="00B201D3" w:rsidRDefault="009855E8" w:rsidP="00657056">
              <w:pPr>
                <w:ind w:firstLineChars="200" w:firstLine="422"/>
                <w:jc w:val="both"/>
                <w:rPr>
                  <w:rFonts w:asciiTheme="minorEastAsia" w:eastAsiaTheme="minorEastAsia" w:hAnsiTheme="minorEastAsia"/>
                  <w:b/>
                </w:rPr>
              </w:pPr>
              <w:r>
                <w:rPr>
                  <w:rFonts w:asciiTheme="minorEastAsia" w:eastAsiaTheme="minorEastAsia" w:hAnsiTheme="minorEastAsia" w:hint="eastAsia"/>
                  <w:b/>
                </w:rPr>
                <w:t>（二）薪酬政策</w:t>
              </w:r>
            </w:p>
            <w:p w14:paraId="554C7D86" w14:textId="77777777" w:rsidR="00B201D3" w:rsidRDefault="009855E8" w:rsidP="00657056">
              <w:pPr>
                <w:ind w:firstLineChars="200" w:firstLine="420"/>
                <w:jc w:val="both"/>
                <w:rPr>
                  <w:rFonts w:asciiTheme="minorEastAsia" w:eastAsiaTheme="minorEastAsia" w:hAnsiTheme="minorEastAsia"/>
                </w:rPr>
              </w:pPr>
              <w:r>
                <w:rPr>
                  <w:rFonts w:asciiTheme="minorEastAsia" w:eastAsiaTheme="minorEastAsia" w:hAnsiTheme="minorEastAsia" w:hint="eastAsia"/>
                </w:rPr>
                <w:t>公司董事、监事和高级管理人员的薪酬，由董事会薪酬委员会向董事会提出建议，董事和监事薪酬经董事会审议通过后提交股东大会批准，高级管理人员薪酬由董事会审议批准。</w:t>
              </w:r>
            </w:p>
            <w:p w14:paraId="7278683A" w14:textId="77777777" w:rsidR="00B201D3" w:rsidRDefault="009855E8" w:rsidP="00657056">
              <w:pPr>
                <w:ind w:firstLineChars="200" w:firstLine="420"/>
                <w:jc w:val="both"/>
                <w:rPr>
                  <w:rFonts w:asciiTheme="minorEastAsia" w:eastAsiaTheme="minorEastAsia" w:hAnsiTheme="minorEastAsia"/>
                </w:rPr>
              </w:pPr>
              <w:r>
                <w:rPr>
                  <w:rFonts w:asciiTheme="minorEastAsia" w:eastAsiaTheme="minorEastAsia" w:hAnsiTheme="minorEastAsia" w:hint="eastAsia"/>
                </w:rPr>
                <w:t>公司对董事及高级管理人员推行以年薪制、安全环保抵押和特别贡献奖励相结合的考评及激励机制。年薪收入由基本年薪和绩效年薪两部分组成：基本年薪根据公司生产经营规模、盈利能力、经营管理难度、职工工资水平等因素综合确定；绩效年薪根据实际经营成果确定。董事和高级管理人员的基本年薪按月度标准预付，绩效年薪于次年审计考核后兑现。</w:t>
              </w:r>
            </w:p>
            <w:p w14:paraId="10435E27" w14:textId="77777777" w:rsidR="00B201D3" w:rsidRDefault="009855E8" w:rsidP="00657056">
              <w:pPr>
                <w:ind w:firstLineChars="200" w:firstLine="420"/>
                <w:jc w:val="both"/>
                <w:rPr>
                  <w:rFonts w:asciiTheme="minorEastAsia" w:eastAsiaTheme="minorEastAsia" w:hAnsiTheme="minorEastAsia"/>
                </w:rPr>
              </w:pPr>
              <w:r>
                <w:rPr>
                  <w:rFonts w:asciiTheme="minorEastAsia" w:eastAsiaTheme="minorEastAsia" w:hAnsiTheme="minorEastAsia" w:hint="eastAsia"/>
                </w:rPr>
                <w:t>本集团其他员工的薪酬政策主要实行以岗位职责及量化考核结果为基础的岗位绩效工资制，并将绩效工资与公司的整体经济效益及个人业绩挂钩考核兑现。</w:t>
              </w:r>
            </w:p>
            <w:p w14:paraId="037FB2FF" w14:textId="77777777" w:rsidR="00B201D3" w:rsidRDefault="009855E8" w:rsidP="00657056">
              <w:pPr>
                <w:jc w:val="both"/>
                <w:rPr>
                  <w:rFonts w:asciiTheme="minorEastAsia" w:eastAsiaTheme="minorEastAsia" w:hAnsiTheme="minorEastAsia"/>
                  <w:b/>
                </w:rPr>
              </w:pPr>
              <w:r>
                <w:rPr>
                  <w:rFonts w:asciiTheme="minorEastAsia" w:eastAsiaTheme="minorEastAsia" w:hAnsiTheme="minorEastAsia" w:hint="eastAsia"/>
                  <w:b/>
                </w:rPr>
                <w:t xml:space="preserve"> </w:t>
              </w:r>
            </w:p>
            <w:p w14:paraId="55029649" w14:textId="77777777" w:rsidR="00B201D3" w:rsidRDefault="009855E8" w:rsidP="00657056">
              <w:pPr>
                <w:ind w:firstLineChars="200" w:firstLine="422"/>
                <w:jc w:val="both"/>
                <w:rPr>
                  <w:rFonts w:asciiTheme="minorEastAsia" w:eastAsiaTheme="minorEastAsia" w:hAnsiTheme="minorEastAsia"/>
                  <w:b/>
                </w:rPr>
              </w:pPr>
              <w:r>
                <w:rPr>
                  <w:rFonts w:asciiTheme="minorEastAsia" w:eastAsiaTheme="minorEastAsia" w:hAnsiTheme="minorEastAsia" w:hint="eastAsia"/>
                  <w:b/>
                </w:rPr>
                <w:t>（三）核数师</w:t>
              </w:r>
            </w:p>
            <w:p w14:paraId="5F4C4A74" w14:textId="77777777" w:rsidR="00B201D3" w:rsidRDefault="009855E8" w:rsidP="00657056">
              <w:pPr>
                <w:ind w:firstLineChars="200" w:firstLine="420"/>
                <w:jc w:val="both"/>
                <w:rPr>
                  <w:rFonts w:asciiTheme="minorEastAsia" w:eastAsiaTheme="minorEastAsia" w:hAnsiTheme="minorEastAsia"/>
                </w:rPr>
              </w:pPr>
              <w:r>
                <w:rPr>
                  <w:rFonts w:asciiTheme="minorEastAsia" w:eastAsiaTheme="minorEastAsia" w:hAnsiTheme="minorEastAsia" w:hint="eastAsia"/>
                </w:rPr>
                <w:t>经2023年6月30日召开的2022年度股东周年大会审议批准，聘任信永中和会计师事务所（特殊普通合伙）和信永中和（香港）会计师事务所有限公司为公司2023年度境内外会计师，负责公司财务报表审计、审核及内部控制审计评估，任期自2022年度股东周年大会结束之日起至2023年度股东周年大会结束之日止。</w:t>
              </w:r>
            </w:p>
            <w:p w14:paraId="0CD13F7A" w14:textId="77777777" w:rsidR="00B201D3" w:rsidRDefault="009855E8" w:rsidP="00657056">
              <w:pPr>
                <w:ind w:firstLineChars="200" w:firstLine="420"/>
                <w:jc w:val="both"/>
                <w:rPr>
                  <w:rFonts w:asciiTheme="minorEastAsia" w:eastAsiaTheme="minorEastAsia" w:hAnsiTheme="minorEastAsia"/>
                </w:rPr>
              </w:pPr>
              <w:r>
                <w:rPr>
                  <w:rFonts w:asciiTheme="minorEastAsia" w:eastAsiaTheme="minorEastAsia" w:hAnsiTheme="minorEastAsia" w:hint="eastAsia"/>
                </w:rPr>
                <w:t>公司2023年度应支付境内外业务的审计服务费用为人民币990万元，公司承担会计师在公司现场审计期间的食宿费用，不承担差旅费及其他费用。授权公司董事会决定并支付由于公司新增子公司或监管规定发生变化，导致增加后续审计、内部控制审核等其他服务费用。</w:t>
              </w:r>
            </w:p>
            <w:p w14:paraId="527CDE0C" w14:textId="77777777" w:rsidR="00B201D3" w:rsidRDefault="009855E8" w:rsidP="00657056">
              <w:pPr>
                <w:ind w:firstLineChars="200" w:firstLine="420"/>
                <w:jc w:val="both"/>
                <w:rPr>
                  <w:rFonts w:asciiTheme="minorEastAsia" w:eastAsiaTheme="minorEastAsia" w:hAnsiTheme="minorEastAsia"/>
                </w:rPr>
              </w:pPr>
              <w:r>
                <w:rPr>
                  <w:rFonts w:asciiTheme="minorEastAsia" w:eastAsiaTheme="minorEastAsia" w:hAnsiTheme="minorEastAsia" w:hint="eastAsia"/>
                </w:rPr>
                <w:t xml:space="preserve">公司董事会认为除常年业务的审计服务费用外，本公司支付给会计师的其他服务费用不会影响会计师的审计独立性意见。 </w:t>
              </w:r>
            </w:p>
            <w:p w14:paraId="1B5F4B14" w14:textId="77777777" w:rsidR="00B201D3" w:rsidRDefault="009855E8" w:rsidP="00657056">
              <w:pPr>
                <w:ind w:firstLineChars="200" w:firstLine="420"/>
                <w:jc w:val="both"/>
              </w:pPr>
              <w:r>
                <w:rPr>
                  <w:rFonts w:asciiTheme="minorEastAsia" w:eastAsiaTheme="minorEastAsia" w:hAnsiTheme="minorEastAsia" w:hint="eastAsia"/>
                </w:rPr>
                <w:t>根据香港法例第588章《财务汇报局条例》（2019年10月1日起生效），公司2023年度会计师信永中和（香港）会计师事务所有限公司为获注册的公众利益实体核数师。</w:t>
              </w:r>
            </w:p>
          </w:sdtContent>
        </w:sdt>
      </w:sdtContent>
    </w:sdt>
    <w:bookmarkEnd w:id="91"/>
    <w:p w14:paraId="31CFF424" w14:textId="77777777" w:rsidR="00B201D3" w:rsidRDefault="00B201D3" w:rsidP="00657056">
      <w:pPr>
        <w:pStyle w:val="3903"/>
        <w:jc w:val="both"/>
      </w:pPr>
    </w:p>
    <w:p w14:paraId="11D5D38F" w14:textId="77777777" w:rsidR="00B201D3" w:rsidRDefault="009855E8">
      <w:pPr>
        <w:pStyle w:val="1"/>
        <w:numPr>
          <w:ilvl w:val="0"/>
          <w:numId w:val="2"/>
        </w:numPr>
        <w:rPr>
          <w:rFonts w:ascii="黑体" w:hAnsi="黑体"/>
        </w:rPr>
      </w:pPr>
      <w:bookmarkStart w:id="93" w:name="_Toc392233016"/>
      <w:bookmarkStart w:id="94" w:name="_Toc139552150"/>
      <w:r>
        <w:rPr>
          <w:rFonts w:ascii="黑体" w:hAnsi="黑体" w:hint="eastAsia"/>
        </w:rPr>
        <w:lastRenderedPageBreak/>
        <w:t>股份变动及股东情况</w:t>
      </w:r>
      <w:bookmarkEnd w:id="93"/>
      <w:bookmarkEnd w:id="94"/>
    </w:p>
    <w:p w14:paraId="5321DD8E" w14:textId="77777777" w:rsidR="00B201D3" w:rsidRDefault="009855E8">
      <w:pPr>
        <w:pStyle w:val="2"/>
        <w:numPr>
          <w:ilvl w:val="0"/>
          <w:numId w:val="34"/>
        </w:numPr>
        <w:spacing w:line="360" w:lineRule="auto"/>
        <w:ind w:left="422" w:hanging="422"/>
        <w:rPr>
          <w:rFonts w:ascii="宋体" w:hAnsi="宋体"/>
        </w:rPr>
      </w:pPr>
      <w:bookmarkStart w:id="95" w:name="_Toc342059476"/>
      <w:bookmarkStart w:id="96" w:name="_Toc342565989"/>
      <w:r>
        <w:rPr>
          <w:rFonts w:ascii="宋体" w:hAnsi="宋体"/>
        </w:rPr>
        <w:t>股</w:t>
      </w:r>
      <w:r>
        <w:rPr>
          <w:rFonts w:ascii="宋体" w:hAnsi="宋体" w:hint="eastAsia"/>
        </w:rPr>
        <w:t>本变动情况</w:t>
      </w:r>
      <w:bookmarkEnd w:id="95"/>
      <w:bookmarkEnd w:id="96"/>
    </w:p>
    <w:p w14:paraId="553D6ACC" w14:textId="77777777" w:rsidR="00B201D3" w:rsidRDefault="009855E8">
      <w:pPr>
        <w:pStyle w:val="3"/>
        <w:numPr>
          <w:ilvl w:val="1"/>
          <w:numId w:val="35"/>
        </w:numPr>
        <w:rPr>
          <w:rFonts w:ascii="宋体" w:hAnsi="宋体"/>
        </w:rPr>
      </w:pPr>
      <w:bookmarkStart w:id="97" w:name="_Toc342565990"/>
      <w:bookmarkStart w:id="98" w:name="_Toc342059477"/>
      <w:r>
        <w:rPr>
          <w:rFonts w:ascii="宋体" w:hAnsi="宋体" w:hint="eastAsia"/>
        </w:rPr>
        <w:t>股份变动情况表</w:t>
      </w:r>
      <w:bookmarkEnd w:id="97"/>
      <w:bookmarkEnd w:id="98"/>
    </w:p>
    <w:p w14:paraId="303708A0" w14:textId="77777777" w:rsidR="00B201D3" w:rsidRDefault="009855E8">
      <w:pPr>
        <w:pStyle w:val="4"/>
        <w:numPr>
          <w:ilvl w:val="2"/>
          <w:numId w:val="36"/>
        </w:numPr>
        <w:rPr>
          <w:rFonts w:ascii="宋体" w:hAnsi="宋体"/>
        </w:rPr>
      </w:pPr>
      <w:r>
        <w:rPr>
          <w:rFonts w:ascii="宋体" w:hAnsi="宋体" w:hint="eastAsia"/>
        </w:rPr>
        <w:t>股份变动情况表</w:t>
      </w:r>
    </w:p>
    <w:sdt>
      <w:sdtPr>
        <w:rPr>
          <w:rFonts w:hint="eastAsia"/>
        </w:rPr>
        <w:tag w:val="_GBC_f9397743097a41aeb54f7cc576d0c924"/>
        <w:id w:val="515961441"/>
        <w:placeholder>
          <w:docPart w:val="GBC22222222222222222222222222222"/>
        </w:placeholder>
      </w:sdtPr>
      <w:sdtEndPr/>
      <w:sdtContent>
        <w:p w14:paraId="4A52A6E9" w14:textId="5CC951D1" w:rsidR="00B201D3" w:rsidRDefault="009855E8">
          <w:pPr>
            <w:jc w:val="right"/>
          </w:pPr>
          <w:r>
            <w:t>单位：</w:t>
          </w:r>
          <w:sdt>
            <w:sdtPr>
              <w:rPr>
                <w:rFonts w:hint="eastAsia"/>
              </w:rPr>
              <w:alias w:val="单位：股份变动情况表"/>
              <w:tag w:val="_GBC_649f6bada42647f7be991e46e2b2e42d"/>
              <w:id w:val="1258101855"/>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sidR="00F46283">
                <w:rPr>
                  <w:rFonts w:hint="eastAsia"/>
                </w:rPr>
                <w:t>股</w:t>
              </w:r>
            </w:sdtContent>
          </w:sdt>
        </w:p>
        <w:tbl>
          <w:tblPr>
            <w:tblStyle w:val="g1"/>
            <w:tblW w:w="5912"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0"/>
            <w:gridCol w:w="1582"/>
            <w:gridCol w:w="855"/>
            <w:gridCol w:w="1266"/>
            <w:gridCol w:w="1266"/>
            <w:gridCol w:w="1581"/>
            <w:gridCol w:w="1212"/>
          </w:tblGrid>
          <w:tr w:rsidR="00B201D3" w14:paraId="6E9FEBF6" w14:textId="77777777">
            <w:trPr>
              <w:jc w:val="center"/>
            </w:trPr>
            <w:tc>
              <w:tcPr>
                <w:tcW w:w="1279" w:type="pct"/>
                <w:vMerge w:val="restart"/>
                <w:shd w:val="clear" w:color="auto" w:fill="auto"/>
              </w:tcPr>
              <w:p w14:paraId="5FDA08BE" w14:textId="77777777" w:rsidR="00B201D3" w:rsidRDefault="00B201D3">
                <w:pPr>
                  <w:jc w:val="center"/>
                </w:pPr>
              </w:p>
            </w:tc>
            <w:sdt>
              <w:sdtPr>
                <w:rPr>
                  <w:rFonts w:hAnsi="宋体"/>
                </w:rPr>
                <w:tag w:val="_PLD_1d3571976c514fb18cb081806befcec3"/>
                <w:id w:val="-1398429550"/>
                <w:lock w:val="sdtLocked"/>
              </w:sdtPr>
              <w:sdtEndPr/>
              <w:sdtContent>
                <w:tc>
                  <w:tcPr>
                    <w:tcW w:w="1168" w:type="pct"/>
                    <w:gridSpan w:val="2"/>
                    <w:shd w:val="clear" w:color="auto" w:fill="auto"/>
                    <w:vAlign w:val="center"/>
                  </w:tcPr>
                  <w:p w14:paraId="4A8E4188" w14:textId="77777777" w:rsidR="00B201D3" w:rsidRDefault="009855E8">
                    <w:pPr>
                      <w:pStyle w:val="a9"/>
                      <w:jc w:val="center"/>
                      <w:rPr>
                        <w:rFonts w:hAnsi="宋体"/>
                      </w:rPr>
                    </w:pPr>
                    <w:r>
                      <w:rPr>
                        <w:rFonts w:hAnsi="宋体"/>
                      </w:rPr>
                      <w:t>本次变动前</w:t>
                    </w:r>
                  </w:p>
                </w:tc>
              </w:sdtContent>
            </w:sdt>
            <w:sdt>
              <w:sdtPr>
                <w:tag w:val="_PLD_f954d926be3144c9ae3f8e8632aa9d60"/>
                <w:id w:val="1151411978"/>
                <w:lock w:val="sdtLocked"/>
              </w:sdtPr>
              <w:sdtEndPr/>
              <w:sdtContent>
                <w:tc>
                  <w:tcPr>
                    <w:tcW w:w="1214" w:type="pct"/>
                    <w:gridSpan w:val="2"/>
                    <w:shd w:val="clear" w:color="auto" w:fill="auto"/>
                    <w:vAlign w:val="center"/>
                  </w:tcPr>
                  <w:p w14:paraId="4E74D672" w14:textId="77777777" w:rsidR="00B201D3" w:rsidRDefault="009855E8">
                    <w:pPr>
                      <w:jc w:val="center"/>
                    </w:pPr>
                    <w:r>
                      <w:t>本次变动增减（</w:t>
                    </w:r>
                    <w:r>
                      <w:rPr>
                        <w:rFonts w:hint="eastAsia"/>
                      </w:rPr>
                      <w:t>+，-</w:t>
                    </w:r>
                    <w:r>
                      <w:t>）</w:t>
                    </w:r>
                  </w:p>
                </w:tc>
              </w:sdtContent>
            </w:sdt>
            <w:sdt>
              <w:sdtPr>
                <w:tag w:val="_PLD_cec7316485294778b9434173c325ba5e"/>
                <w:id w:val="-319432417"/>
                <w:lock w:val="sdtLocked"/>
              </w:sdtPr>
              <w:sdtEndPr/>
              <w:sdtContent>
                <w:tc>
                  <w:tcPr>
                    <w:tcW w:w="1340" w:type="pct"/>
                    <w:gridSpan w:val="2"/>
                    <w:shd w:val="clear" w:color="auto" w:fill="auto"/>
                    <w:vAlign w:val="center"/>
                  </w:tcPr>
                  <w:p w14:paraId="7353BDA9" w14:textId="77777777" w:rsidR="00B201D3" w:rsidRDefault="009855E8">
                    <w:pPr>
                      <w:jc w:val="center"/>
                    </w:pPr>
                    <w:r>
                      <w:t>本次变动后</w:t>
                    </w:r>
                  </w:p>
                </w:tc>
              </w:sdtContent>
            </w:sdt>
          </w:tr>
          <w:tr w:rsidR="00B201D3" w14:paraId="7EDC2ECE" w14:textId="77777777">
            <w:trPr>
              <w:trHeight w:val="273"/>
              <w:jc w:val="center"/>
            </w:trPr>
            <w:tc>
              <w:tcPr>
                <w:tcW w:w="1279" w:type="pct"/>
                <w:vMerge/>
                <w:shd w:val="clear" w:color="auto" w:fill="auto"/>
              </w:tcPr>
              <w:p w14:paraId="082C280B" w14:textId="77777777" w:rsidR="00B201D3" w:rsidRDefault="00B201D3">
                <w:pPr>
                  <w:jc w:val="center"/>
                </w:pPr>
              </w:p>
            </w:tc>
            <w:sdt>
              <w:sdtPr>
                <w:rPr>
                  <w:rFonts w:hAnsi="宋体"/>
                </w:rPr>
                <w:tag w:val="_PLD_988f8052801b48dbbfb8723a148d46cc"/>
                <w:id w:val="-257519803"/>
                <w:lock w:val="sdtLocked"/>
              </w:sdtPr>
              <w:sdtEndPr/>
              <w:sdtContent>
                <w:tc>
                  <w:tcPr>
                    <w:tcW w:w="758" w:type="pct"/>
                    <w:shd w:val="clear" w:color="auto" w:fill="auto"/>
                    <w:vAlign w:val="center"/>
                  </w:tcPr>
                  <w:p w14:paraId="2108E239" w14:textId="77777777" w:rsidR="00B201D3" w:rsidRDefault="009855E8">
                    <w:pPr>
                      <w:pStyle w:val="a9"/>
                      <w:jc w:val="center"/>
                      <w:rPr>
                        <w:rFonts w:hAnsi="宋体"/>
                      </w:rPr>
                    </w:pPr>
                    <w:r>
                      <w:rPr>
                        <w:rFonts w:hAnsi="宋体"/>
                      </w:rPr>
                      <w:t>数量</w:t>
                    </w:r>
                  </w:p>
                </w:tc>
              </w:sdtContent>
            </w:sdt>
            <w:sdt>
              <w:sdtPr>
                <w:rPr>
                  <w:rFonts w:hAnsi="宋体"/>
                </w:rPr>
                <w:tag w:val="_PLD_cc8dc17fd4d4489393b7d886bbaba2ae"/>
                <w:id w:val="-1666391981"/>
                <w:lock w:val="sdtLocked"/>
              </w:sdtPr>
              <w:sdtEndPr/>
              <w:sdtContent>
                <w:tc>
                  <w:tcPr>
                    <w:tcW w:w="410" w:type="pct"/>
                    <w:shd w:val="clear" w:color="auto" w:fill="auto"/>
                    <w:vAlign w:val="center"/>
                  </w:tcPr>
                  <w:p w14:paraId="6CDB6F55" w14:textId="77777777" w:rsidR="00B201D3" w:rsidRDefault="009855E8">
                    <w:pPr>
                      <w:pStyle w:val="a9"/>
                      <w:jc w:val="center"/>
                      <w:rPr>
                        <w:rFonts w:hAnsi="宋体"/>
                      </w:rPr>
                    </w:pPr>
                    <w:r>
                      <w:rPr>
                        <w:rFonts w:hAnsi="宋体"/>
                      </w:rPr>
                      <w:t>比例</w:t>
                    </w:r>
                    <w:r>
                      <w:rPr>
                        <w:rFonts w:hAnsi="宋体"/>
                      </w:rPr>
                      <w:t>(%)</w:t>
                    </w:r>
                  </w:p>
                </w:tc>
              </w:sdtContent>
            </w:sdt>
            <w:sdt>
              <w:sdtPr>
                <w:rPr>
                  <w:rFonts w:hAnsi="宋体"/>
                </w:rPr>
                <w:tag w:val="_PLD_19719ecd361d42b8b1c40359981df642"/>
                <w:id w:val="1153959587"/>
                <w:lock w:val="sdtLocked"/>
              </w:sdtPr>
              <w:sdtEndPr/>
              <w:sdtContent>
                <w:tc>
                  <w:tcPr>
                    <w:tcW w:w="607" w:type="pct"/>
                    <w:shd w:val="clear" w:color="auto" w:fill="auto"/>
                    <w:vAlign w:val="center"/>
                  </w:tcPr>
                  <w:p w14:paraId="394B0CC9" w14:textId="77777777" w:rsidR="00B201D3" w:rsidRDefault="009855E8">
                    <w:pPr>
                      <w:pStyle w:val="a9"/>
                      <w:jc w:val="center"/>
                      <w:rPr>
                        <w:rFonts w:hAnsi="宋体"/>
                      </w:rPr>
                    </w:pPr>
                    <w:r>
                      <w:rPr>
                        <w:rFonts w:hAnsi="宋体"/>
                      </w:rPr>
                      <w:t>其他</w:t>
                    </w:r>
                  </w:p>
                </w:tc>
              </w:sdtContent>
            </w:sdt>
            <w:sdt>
              <w:sdtPr>
                <w:rPr>
                  <w:rFonts w:hAnsi="宋体"/>
                </w:rPr>
                <w:tag w:val="_PLD_3813d11427a043ca89700d021749eb26"/>
                <w:id w:val="-393824803"/>
                <w:lock w:val="sdtLocked"/>
              </w:sdtPr>
              <w:sdtEndPr/>
              <w:sdtContent>
                <w:tc>
                  <w:tcPr>
                    <w:tcW w:w="607" w:type="pct"/>
                    <w:shd w:val="clear" w:color="auto" w:fill="auto"/>
                    <w:vAlign w:val="center"/>
                  </w:tcPr>
                  <w:p w14:paraId="0F364D12" w14:textId="77777777" w:rsidR="00B201D3" w:rsidRDefault="009855E8">
                    <w:pPr>
                      <w:pStyle w:val="a9"/>
                      <w:jc w:val="center"/>
                      <w:rPr>
                        <w:rFonts w:hAnsi="宋体"/>
                      </w:rPr>
                    </w:pPr>
                    <w:r>
                      <w:rPr>
                        <w:rFonts w:hAnsi="宋体"/>
                      </w:rPr>
                      <w:t>小计</w:t>
                    </w:r>
                  </w:p>
                </w:tc>
              </w:sdtContent>
            </w:sdt>
            <w:sdt>
              <w:sdtPr>
                <w:rPr>
                  <w:rFonts w:hAnsi="宋体"/>
                </w:rPr>
                <w:tag w:val="_PLD_8ff8f75dfeaa4bf2a6068460efe092f4"/>
                <w:id w:val="847440863"/>
                <w:lock w:val="sdtLocked"/>
              </w:sdtPr>
              <w:sdtEndPr/>
              <w:sdtContent>
                <w:tc>
                  <w:tcPr>
                    <w:tcW w:w="758" w:type="pct"/>
                    <w:shd w:val="clear" w:color="auto" w:fill="auto"/>
                    <w:vAlign w:val="center"/>
                  </w:tcPr>
                  <w:p w14:paraId="31375B0B" w14:textId="77777777" w:rsidR="00B201D3" w:rsidRDefault="009855E8">
                    <w:pPr>
                      <w:pStyle w:val="a9"/>
                      <w:jc w:val="center"/>
                      <w:rPr>
                        <w:rFonts w:hAnsi="宋体"/>
                      </w:rPr>
                    </w:pPr>
                    <w:r>
                      <w:rPr>
                        <w:rFonts w:hAnsi="宋体"/>
                      </w:rPr>
                      <w:t>数量</w:t>
                    </w:r>
                  </w:p>
                </w:tc>
              </w:sdtContent>
            </w:sdt>
            <w:sdt>
              <w:sdtPr>
                <w:rPr>
                  <w:rFonts w:hAnsi="宋体"/>
                </w:rPr>
                <w:tag w:val="_PLD_e100c0c8ad354419b737193b7eb5de7f"/>
                <w:id w:val="765353127"/>
                <w:lock w:val="sdtLocked"/>
              </w:sdtPr>
              <w:sdtEndPr/>
              <w:sdtContent>
                <w:tc>
                  <w:tcPr>
                    <w:tcW w:w="582" w:type="pct"/>
                    <w:shd w:val="clear" w:color="auto" w:fill="auto"/>
                    <w:vAlign w:val="center"/>
                  </w:tcPr>
                  <w:p w14:paraId="33AC94FB" w14:textId="77777777" w:rsidR="00B201D3" w:rsidRDefault="009855E8">
                    <w:pPr>
                      <w:pStyle w:val="a9"/>
                      <w:jc w:val="center"/>
                      <w:rPr>
                        <w:rFonts w:hAnsi="宋体"/>
                      </w:rPr>
                    </w:pPr>
                    <w:r>
                      <w:rPr>
                        <w:rFonts w:hAnsi="宋体"/>
                      </w:rPr>
                      <w:t>比例</w:t>
                    </w:r>
                    <w:r>
                      <w:rPr>
                        <w:rFonts w:hAnsi="宋体"/>
                      </w:rPr>
                      <w:t>(%)</w:t>
                    </w:r>
                  </w:p>
                </w:tc>
              </w:sdtContent>
            </w:sdt>
          </w:tr>
          <w:tr w:rsidR="00B201D3" w14:paraId="292BE4FA" w14:textId="77777777">
            <w:trPr>
              <w:jc w:val="center"/>
            </w:trPr>
            <w:sdt>
              <w:sdtPr>
                <w:tag w:val="_PLD_621a216776da4cfd878061824b8c5ef1"/>
                <w:id w:val="-716817143"/>
                <w:lock w:val="sdtLocked"/>
              </w:sdtPr>
              <w:sdtEndPr/>
              <w:sdtContent>
                <w:tc>
                  <w:tcPr>
                    <w:tcW w:w="1279" w:type="pct"/>
                    <w:shd w:val="clear" w:color="auto" w:fill="auto"/>
                  </w:tcPr>
                  <w:p w14:paraId="5FFC9BEE" w14:textId="77777777" w:rsidR="00B201D3" w:rsidRDefault="009855E8">
                    <w:pPr>
                      <w:pStyle w:val="3903"/>
                    </w:pPr>
                    <w:r>
                      <w:t>一、有限售条件股份</w:t>
                    </w:r>
                  </w:p>
                </w:tc>
              </w:sdtContent>
            </w:sdt>
            <w:tc>
              <w:tcPr>
                <w:tcW w:w="758" w:type="pct"/>
                <w:tcBorders>
                  <w:top w:val="single" w:sz="4" w:space="0" w:color="auto"/>
                  <w:left w:val="single" w:sz="4" w:space="0" w:color="auto"/>
                  <w:bottom w:val="single" w:sz="4" w:space="0" w:color="auto"/>
                  <w:right w:val="single" w:sz="4" w:space="0" w:color="auto"/>
                </w:tcBorders>
                <w:vAlign w:val="center"/>
              </w:tcPr>
              <w:p w14:paraId="78F6E67A" w14:textId="77777777" w:rsidR="00B201D3" w:rsidRDefault="009855E8">
                <w:pPr>
                  <w:jc w:val="right"/>
                </w:pPr>
                <w:r>
                  <w:rPr>
                    <w:rFonts w:hint="eastAsia"/>
                  </w:rPr>
                  <w:t xml:space="preserve">61,740,000 </w:t>
                </w:r>
              </w:p>
            </w:tc>
            <w:tc>
              <w:tcPr>
                <w:tcW w:w="410" w:type="pct"/>
                <w:tcBorders>
                  <w:top w:val="single" w:sz="4" w:space="0" w:color="auto"/>
                  <w:left w:val="single" w:sz="4" w:space="0" w:color="auto"/>
                  <w:bottom w:val="single" w:sz="4" w:space="0" w:color="auto"/>
                  <w:right w:val="single" w:sz="4" w:space="0" w:color="auto"/>
                </w:tcBorders>
                <w:vAlign w:val="center"/>
              </w:tcPr>
              <w:p w14:paraId="32F4E18A" w14:textId="77777777" w:rsidR="00B201D3" w:rsidRDefault="009855E8">
                <w:pPr>
                  <w:jc w:val="right"/>
                </w:pPr>
                <w:r>
                  <w:rPr>
                    <w:rFonts w:hint="eastAsia"/>
                  </w:rPr>
                  <w:t>1.25</w:t>
                </w:r>
              </w:p>
            </w:tc>
            <w:tc>
              <w:tcPr>
                <w:tcW w:w="607" w:type="pct"/>
                <w:shd w:val="clear" w:color="auto" w:fill="auto"/>
                <w:vAlign w:val="center"/>
              </w:tcPr>
              <w:p w14:paraId="777D317D" w14:textId="77777777" w:rsidR="00B201D3" w:rsidRDefault="009855E8">
                <w:pPr>
                  <w:jc w:val="right"/>
                </w:pPr>
                <w:r>
                  <w:rPr>
                    <w:rFonts w:hint="eastAsia"/>
                  </w:rPr>
                  <w:t>0</w:t>
                </w:r>
              </w:p>
            </w:tc>
            <w:tc>
              <w:tcPr>
                <w:tcW w:w="607" w:type="pct"/>
                <w:shd w:val="clear" w:color="auto" w:fill="auto"/>
                <w:vAlign w:val="center"/>
              </w:tcPr>
              <w:p w14:paraId="18E077C2" w14:textId="77777777" w:rsidR="00B201D3" w:rsidRDefault="009855E8">
                <w:pPr>
                  <w:jc w:val="right"/>
                </w:pPr>
                <w:r>
                  <w:rPr>
                    <w:rFonts w:hint="eastAsia"/>
                  </w:rPr>
                  <w:t>0</w:t>
                </w:r>
              </w:p>
            </w:tc>
            <w:tc>
              <w:tcPr>
                <w:tcW w:w="758" w:type="pct"/>
                <w:shd w:val="clear" w:color="auto" w:fill="auto"/>
                <w:vAlign w:val="center"/>
              </w:tcPr>
              <w:p w14:paraId="765EFDF4" w14:textId="77777777" w:rsidR="00B201D3" w:rsidRDefault="009855E8">
                <w:pPr>
                  <w:jc w:val="right"/>
                </w:pPr>
                <w:r>
                  <w:t>61,740,000</w:t>
                </w:r>
              </w:p>
            </w:tc>
            <w:tc>
              <w:tcPr>
                <w:tcW w:w="582" w:type="pct"/>
                <w:shd w:val="clear" w:color="auto" w:fill="auto"/>
                <w:vAlign w:val="center"/>
              </w:tcPr>
              <w:p w14:paraId="3541677D" w14:textId="77777777" w:rsidR="00B201D3" w:rsidRDefault="009855E8">
                <w:pPr>
                  <w:jc w:val="right"/>
                </w:pPr>
                <w:r>
                  <w:t>1.24</w:t>
                </w:r>
              </w:p>
            </w:tc>
          </w:tr>
          <w:tr w:rsidR="00B201D3" w14:paraId="25162E44" w14:textId="77777777">
            <w:trPr>
              <w:jc w:val="center"/>
            </w:trPr>
            <w:sdt>
              <w:sdtPr>
                <w:tag w:val="_PLD_96f1aa1935a04b8ab80a51c650206e0c"/>
                <w:id w:val="-629852303"/>
                <w:lock w:val="sdtLocked"/>
              </w:sdtPr>
              <w:sdtEndPr/>
              <w:sdtContent>
                <w:tc>
                  <w:tcPr>
                    <w:tcW w:w="1279" w:type="pct"/>
                    <w:shd w:val="clear" w:color="auto" w:fill="auto"/>
                  </w:tcPr>
                  <w:p w14:paraId="13FC1800" w14:textId="77777777" w:rsidR="00B201D3" w:rsidRDefault="009855E8">
                    <w:pPr>
                      <w:pStyle w:val="3903"/>
                    </w:pPr>
                    <w:r>
                      <w:t>二、无限售条件流通股份</w:t>
                    </w:r>
                  </w:p>
                </w:tc>
              </w:sdtContent>
            </w:sdt>
            <w:tc>
              <w:tcPr>
                <w:tcW w:w="758" w:type="pct"/>
                <w:tcBorders>
                  <w:top w:val="single" w:sz="4" w:space="0" w:color="auto"/>
                  <w:left w:val="single" w:sz="4" w:space="0" w:color="auto"/>
                  <w:bottom w:val="single" w:sz="4" w:space="0" w:color="auto"/>
                  <w:right w:val="single" w:sz="4" w:space="0" w:color="auto"/>
                </w:tcBorders>
                <w:vAlign w:val="center"/>
              </w:tcPr>
              <w:p w14:paraId="49316EEC" w14:textId="77777777" w:rsidR="00B201D3" w:rsidRDefault="009855E8">
                <w:pPr>
                  <w:jc w:val="right"/>
                </w:pPr>
                <w:r>
                  <w:rPr>
                    <w:rFonts w:hint="eastAsia"/>
                  </w:rPr>
                  <w:t xml:space="preserve">4,886,963,640 </w:t>
                </w:r>
              </w:p>
            </w:tc>
            <w:tc>
              <w:tcPr>
                <w:tcW w:w="410" w:type="pct"/>
                <w:tcBorders>
                  <w:top w:val="single" w:sz="4" w:space="0" w:color="auto"/>
                  <w:left w:val="single" w:sz="4" w:space="0" w:color="auto"/>
                  <w:bottom w:val="single" w:sz="4" w:space="0" w:color="auto"/>
                  <w:right w:val="single" w:sz="4" w:space="0" w:color="auto"/>
                </w:tcBorders>
                <w:vAlign w:val="center"/>
              </w:tcPr>
              <w:p w14:paraId="0879330C" w14:textId="77777777" w:rsidR="00B201D3" w:rsidRDefault="009855E8">
                <w:pPr>
                  <w:jc w:val="right"/>
                </w:pPr>
                <w:r>
                  <w:rPr>
                    <w:rFonts w:hint="eastAsia"/>
                  </w:rPr>
                  <w:t>98.75</w:t>
                </w:r>
              </w:p>
            </w:tc>
            <w:tc>
              <w:tcPr>
                <w:tcW w:w="607" w:type="pct"/>
                <w:shd w:val="clear" w:color="auto" w:fill="auto"/>
                <w:vAlign w:val="center"/>
              </w:tcPr>
              <w:p w14:paraId="2CA808A3" w14:textId="77777777" w:rsidR="00B201D3" w:rsidRDefault="009855E8">
                <w:pPr>
                  <w:jc w:val="right"/>
                </w:pPr>
                <w:r>
                  <w:t>12,656,840</w:t>
                </w:r>
              </w:p>
            </w:tc>
            <w:tc>
              <w:tcPr>
                <w:tcW w:w="607" w:type="pct"/>
                <w:shd w:val="clear" w:color="auto" w:fill="auto"/>
                <w:vAlign w:val="center"/>
              </w:tcPr>
              <w:p w14:paraId="45600E4F" w14:textId="77777777" w:rsidR="00B201D3" w:rsidRDefault="009855E8">
                <w:pPr>
                  <w:jc w:val="right"/>
                </w:pPr>
                <w:r>
                  <w:t>12,656,840</w:t>
                </w:r>
              </w:p>
            </w:tc>
            <w:tc>
              <w:tcPr>
                <w:tcW w:w="758" w:type="pct"/>
                <w:shd w:val="clear" w:color="auto" w:fill="auto"/>
                <w:vAlign w:val="center"/>
              </w:tcPr>
              <w:p w14:paraId="1111D647" w14:textId="77777777" w:rsidR="00B201D3" w:rsidRDefault="009855E8">
                <w:pPr>
                  <w:jc w:val="right"/>
                </w:pPr>
                <w:r>
                  <w:t>4,899,620,480</w:t>
                </w:r>
              </w:p>
            </w:tc>
            <w:tc>
              <w:tcPr>
                <w:tcW w:w="582" w:type="pct"/>
                <w:shd w:val="clear" w:color="auto" w:fill="auto"/>
                <w:vAlign w:val="center"/>
              </w:tcPr>
              <w:p w14:paraId="745612A5" w14:textId="77777777" w:rsidR="00B201D3" w:rsidRDefault="009855E8">
                <w:pPr>
                  <w:jc w:val="right"/>
                </w:pPr>
                <w:r>
                  <w:t>98.76</w:t>
                </w:r>
              </w:p>
            </w:tc>
          </w:tr>
          <w:tr w:rsidR="00B201D3" w14:paraId="378167A7" w14:textId="77777777">
            <w:trPr>
              <w:jc w:val="center"/>
            </w:trPr>
            <w:sdt>
              <w:sdtPr>
                <w:tag w:val="_PLD_f6699caa719d4738a70d214288990173"/>
                <w:id w:val="702676130"/>
                <w:lock w:val="sdtLocked"/>
              </w:sdtPr>
              <w:sdtEndPr/>
              <w:sdtContent>
                <w:tc>
                  <w:tcPr>
                    <w:tcW w:w="1279" w:type="pct"/>
                    <w:shd w:val="clear" w:color="auto" w:fill="auto"/>
                  </w:tcPr>
                  <w:p w14:paraId="5EF9B6F3" w14:textId="77777777" w:rsidR="00B201D3" w:rsidRDefault="009855E8">
                    <w:pPr>
                      <w:pStyle w:val="3903"/>
                    </w:pPr>
                    <w:r>
                      <w:t>1、人民币普通股</w:t>
                    </w:r>
                  </w:p>
                </w:tc>
              </w:sdtContent>
            </w:sdt>
            <w:tc>
              <w:tcPr>
                <w:tcW w:w="758" w:type="pct"/>
                <w:tcBorders>
                  <w:top w:val="single" w:sz="4" w:space="0" w:color="auto"/>
                  <w:left w:val="single" w:sz="4" w:space="0" w:color="auto"/>
                  <w:bottom w:val="single" w:sz="4" w:space="0" w:color="auto"/>
                  <w:right w:val="single" w:sz="4" w:space="0" w:color="auto"/>
                </w:tcBorders>
                <w:vAlign w:val="center"/>
              </w:tcPr>
              <w:p w14:paraId="2CEC76B9" w14:textId="77777777" w:rsidR="00B201D3" w:rsidRDefault="009855E8">
                <w:pPr>
                  <w:jc w:val="right"/>
                </w:pPr>
                <w:r>
                  <w:rPr>
                    <w:rFonts w:hint="eastAsia"/>
                  </w:rPr>
                  <w:t xml:space="preserve">2,986,963,640 </w:t>
                </w:r>
              </w:p>
            </w:tc>
            <w:tc>
              <w:tcPr>
                <w:tcW w:w="410" w:type="pct"/>
                <w:tcBorders>
                  <w:top w:val="single" w:sz="4" w:space="0" w:color="auto"/>
                  <w:left w:val="single" w:sz="4" w:space="0" w:color="auto"/>
                  <w:bottom w:val="single" w:sz="4" w:space="0" w:color="auto"/>
                  <w:right w:val="single" w:sz="4" w:space="0" w:color="auto"/>
                </w:tcBorders>
                <w:vAlign w:val="center"/>
              </w:tcPr>
              <w:p w14:paraId="06936702" w14:textId="77777777" w:rsidR="00B201D3" w:rsidRDefault="009855E8">
                <w:pPr>
                  <w:jc w:val="right"/>
                </w:pPr>
                <w:r>
                  <w:rPr>
                    <w:rFonts w:hint="eastAsia"/>
                  </w:rPr>
                  <w:t>60.36</w:t>
                </w:r>
              </w:p>
            </w:tc>
            <w:tc>
              <w:tcPr>
                <w:tcW w:w="607" w:type="pct"/>
                <w:shd w:val="clear" w:color="auto" w:fill="auto"/>
                <w:vAlign w:val="center"/>
              </w:tcPr>
              <w:p w14:paraId="5FE37C5C" w14:textId="77777777" w:rsidR="00B201D3" w:rsidRDefault="009855E8">
                <w:pPr>
                  <w:jc w:val="right"/>
                </w:pPr>
                <w:r>
                  <w:t>12,656,840</w:t>
                </w:r>
              </w:p>
            </w:tc>
            <w:tc>
              <w:tcPr>
                <w:tcW w:w="607" w:type="pct"/>
                <w:shd w:val="clear" w:color="auto" w:fill="auto"/>
                <w:vAlign w:val="center"/>
              </w:tcPr>
              <w:p w14:paraId="3526BDF3" w14:textId="77777777" w:rsidR="00B201D3" w:rsidRDefault="009855E8">
                <w:pPr>
                  <w:jc w:val="right"/>
                </w:pPr>
                <w:r>
                  <w:t>12,656,840</w:t>
                </w:r>
              </w:p>
            </w:tc>
            <w:tc>
              <w:tcPr>
                <w:tcW w:w="758" w:type="pct"/>
                <w:shd w:val="clear" w:color="auto" w:fill="auto"/>
                <w:vAlign w:val="center"/>
              </w:tcPr>
              <w:p w14:paraId="2A51D5AA" w14:textId="77777777" w:rsidR="00B201D3" w:rsidRDefault="009855E8">
                <w:pPr>
                  <w:jc w:val="right"/>
                </w:pPr>
                <w:r>
                  <w:t>2,999,620,480</w:t>
                </w:r>
              </w:p>
            </w:tc>
            <w:tc>
              <w:tcPr>
                <w:tcW w:w="582" w:type="pct"/>
                <w:shd w:val="clear" w:color="auto" w:fill="auto"/>
                <w:vAlign w:val="center"/>
              </w:tcPr>
              <w:p w14:paraId="207EB20D" w14:textId="77777777" w:rsidR="00B201D3" w:rsidRDefault="009855E8">
                <w:pPr>
                  <w:jc w:val="right"/>
                </w:pPr>
                <w:r>
                  <w:t>60.46</w:t>
                </w:r>
              </w:p>
            </w:tc>
          </w:tr>
          <w:tr w:rsidR="00B201D3" w14:paraId="5004C37A" w14:textId="77777777">
            <w:trPr>
              <w:jc w:val="center"/>
            </w:trPr>
            <w:sdt>
              <w:sdtPr>
                <w:tag w:val="_PLD_738d7157b56d4720aa9fdbc02cd69609"/>
                <w:id w:val="869109123"/>
                <w:lock w:val="sdtLocked"/>
              </w:sdtPr>
              <w:sdtEndPr/>
              <w:sdtContent>
                <w:tc>
                  <w:tcPr>
                    <w:tcW w:w="1279" w:type="pct"/>
                    <w:shd w:val="clear" w:color="auto" w:fill="auto"/>
                  </w:tcPr>
                  <w:p w14:paraId="7A723DB8" w14:textId="77777777" w:rsidR="00B201D3" w:rsidRDefault="009855E8">
                    <w:pPr>
                      <w:pStyle w:val="3903"/>
                    </w:pPr>
                    <w:r>
                      <w:t>2、境内上市的外资股</w:t>
                    </w:r>
                  </w:p>
                </w:tc>
              </w:sdtContent>
            </w:sdt>
            <w:tc>
              <w:tcPr>
                <w:tcW w:w="758" w:type="pct"/>
                <w:tcBorders>
                  <w:top w:val="single" w:sz="4" w:space="0" w:color="auto"/>
                  <w:left w:val="single" w:sz="4" w:space="0" w:color="auto"/>
                  <w:bottom w:val="single" w:sz="4" w:space="0" w:color="auto"/>
                  <w:right w:val="single" w:sz="4" w:space="0" w:color="auto"/>
                </w:tcBorders>
                <w:vAlign w:val="center"/>
              </w:tcPr>
              <w:p w14:paraId="0BB6A3B3" w14:textId="77777777" w:rsidR="00B201D3" w:rsidRDefault="009855E8">
                <w:pPr>
                  <w:jc w:val="right"/>
                </w:pPr>
                <w:r>
                  <w:rPr>
                    <w:rFonts w:hint="eastAsia"/>
                  </w:rPr>
                  <w:t xml:space="preserve">0 </w:t>
                </w:r>
              </w:p>
            </w:tc>
            <w:tc>
              <w:tcPr>
                <w:tcW w:w="410" w:type="pct"/>
                <w:tcBorders>
                  <w:top w:val="single" w:sz="4" w:space="0" w:color="auto"/>
                  <w:left w:val="single" w:sz="4" w:space="0" w:color="auto"/>
                  <w:bottom w:val="single" w:sz="4" w:space="0" w:color="auto"/>
                  <w:right w:val="single" w:sz="4" w:space="0" w:color="auto"/>
                </w:tcBorders>
                <w:vAlign w:val="center"/>
              </w:tcPr>
              <w:p w14:paraId="78B2B435" w14:textId="77777777" w:rsidR="00B201D3" w:rsidRDefault="009855E8">
                <w:pPr>
                  <w:jc w:val="right"/>
                </w:pPr>
                <w:r>
                  <w:rPr>
                    <w:rFonts w:hint="eastAsia"/>
                  </w:rPr>
                  <w:t>0</w:t>
                </w:r>
              </w:p>
            </w:tc>
            <w:tc>
              <w:tcPr>
                <w:tcW w:w="607" w:type="pct"/>
                <w:shd w:val="clear" w:color="auto" w:fill="auto"/>
                <w:vAlign w:val="center"/>
              </w:tcPr>
              <w:p w14:paraId="7AB85F91" w14:textId="77777777" w:rsidR="00B201D3" w:rsidRDefault="009855E8">
                <w:pPr>
                  <w:jc w:val="right"/>
                </w:pPr>
                <w:r>
                  <w:rPr>
                    <w:rFonts w:hint="eastAsia"/>
                  </w:rPr>
                  <w:t>0</w:t>
                </w:r>
              </w:p>
            </w:tc>
            <w:tc>
              <w:tcPr>
                <w:tcW w:w="607" w:type="pct"/>
                <w:shd w:val="clear" w:color="auto" w:fill="auto"/>
                <w:vAlign w:val="center"/>
              </w:tcPr>
              <w:p w14:paraId="0E3749DF" w14:textId="77777777" w:rsidR="00B201D3" w:rsidRDefault="009855E8">
                <w:pPr>
                  <w:jc w:val="right"/>
                </w:pPr>
                <w:r>
                  <w:t>0</w:t>
                </w:r>
              </w:p>
            </w:tc>
            <w:tc>
              <w:tcPr>
                <w:tcW w:w="758" w:type="pct"/>
                <w:shd w:val="clear" w:color="auto" w:fill="auto"/>
                <w:vAlign w:val="center"/>
              </w:tcPr>
              <w:p w14:paraId="7A199DCA" w14:textId="77777777" w:rsidR="00B201D3" w:rsidRDefault="009855E8">
                <w:pPr>
                  <w:jc w:val="right"/>
                </w:pPr>
                <w:r>
                  <w:t>0</w:t>
                </w:r>
              </w:p>
            </w:tc>
            <w:tc>
              <w:tcPr>
                <w:tcW w:w="582" w:type="pct"/>
                <w:shd w:val="clear" w:color="auto" w:fill="auto"/>
                <w:vAlign w:val="center"/>
              </w:tcPr>
              <w:p w14:paraId="43C74DE9" w14:textId="77777777" w:rsidR="00B201D3" w:rsidRDefault="009855E8">
                <w:pPr>
                  <w:jc w:val="right"/>
                </w:pPr>
                <w:r>
                  <w:t>0</w:t>
                </w:r>
              </w:p>
            </w:tc>
          </w:tr>
          <w:tr w:rsidR="00B201D3" w14:paraId="1E973305" w14:textId="77777777">
            <w:trPr>
              <w:jc w:val="center"/>
            </w:trPr>
            <w:sdt>
              <w:sdtPr>
                <w:tag w:val="_PLD_d9ee6f8045fe47889045c1a68a75f2f9"/>
                <w:id w:val="734826923"/>
                <w:lock w:val="sdtLocked"/>
              </w:sdtPr>
              <w:sdtEndPr/>
              <w:sdtContent>
                <w:tc>
                  <w:tcPr>
                    <w:tcW w:w="1279" w:type="pct"/>
                    <w:shd w:val="clear" w:color="auto" w:fill="auto"/>
                  </w:tcPr>
                  <w:p w14:paraId="61CC055F" w14:textId="77777777" w:rsidR="00B201D3" w:rsidRDefault="009855E8">
                    <w:pPr>
                      <w:pStyle w:val="3903"/>
                    </w:pPr>
                    <w:r>
                      <w:t>3、境外上市的外资股</w:t>
                    </w:r>
                  </w:p>
                </w:tc>
              </w:sdtContent>
            </w:sdt>
            <w:tc>
              <w:tcPr>
                <w:tcW w:w="758" w:type="pct"/>
                <w:tcBorders>
                  <w:top w:val="single" w:sz="4" w:space="0" w:color="auto"/>
                  <w:left w:val="single" w:sz="4" w:space="0" w:color="auto"/>
                  <w:bottom w:val="single" w:sz="4" w:space="0" w:color="auto"/>
                  <w:right w:val="single" w:sz="4" w:space="0" w:color="auto"/>
                </w:tcBorders>
                <w:vAlign w:val="center"/>
              </w:tcPr>
              <w:p w14:paraId="6AF6F67C" w14:textId="77777777" w:rsidR="00B201D3" w:rsidRDefault="009855E8">
                <w:pPr>
                  <w:jc w:val="right"/>
                </w:pPr>
                <w:r>
                  <w:rPr>
                    <w:rFonts w:hint="eastAsia"/>
                  </w:rPr>
                  <w:t xml:space="preserve">1,900,000,000 </w:t>
                </w:r>
              </w:p>
            </w:tc>
            <w:tc>
              <w:tcPr>
                <w:tcW w:w="410" w:type="pct"/>
                <w:tcBorders>
                  <w:top w:val="single" w:sz="4" w:space="0" w:color="auto"/>
                  <w:left w:val="single" w:sz="4" w:space="0" w:color="auto"/>
                  <w:bottom w:val="single" w:sz="4" w:space="0" w:color="auto"/>
                  <w:right w:val="single" w:sz="4" w:space="0" w:color="auto"/>
                </w:tcBorders>
                <w:vAlign w:val="center"/>
              </w:tcPr>
              <w:p w14:paraId="1F5ADF3F" w14:textId="77777777" w:rsidR="00B201D3" w:rsidRDefault="009855E8">
                <w:pPr>
                  <w:jc w:val="right"/>
                </w:pPr>
                <w:r>
                  <w:rPr>
                    <w:rFonts w:hint="eastAsia"/>
                  </w:rPr>
                  <w:t>38.39</w:t>
                </w:r>
              </w:p>
            </w:tc>
            <w:tc>
              <w:tcPr>
                <w:tcW w:w="607" w:type="pct"/>
                <w:shd w:val="clear" w:color="auto" w:fill="auto"/>
                <w:vAlign w:val="center"/>
              </w:tcPr>
              <w:p w14:paraId="7C333273" w14:textId="77777777" w:rsidR="00B201D3" w:rsidRDefault="009855E8">
                <w:pPr>
                  <w:jc w:val="right"/>
                </w:pPr>
                <w:r>
                  <w:t>0</w:t>
                </w:r>
              </w:p>
            </w:tc>
            <w:tc>
              <w:tcPr>
                <w:tcW w:w="607" w:type="pct"/>
                <w:shd w:val="clear" w:color="auto" w:fill="auto"/>
                <w:vAlign w:val="center"/>
              </w:tcPr>
              <w:p w14:paraId="53235951" w14:textId="77777777" w:rsidR="00B201D3" w:rsidRDefault="009855E8">
                <w:pPr>
                  <w:jc w:val="right"/>
                </w:pPr>
                <w:r>
                  <w:t>0</w:t>
                </w:r>
              </w:p>
            </w:tc>
            <w:tc>
              <w:tcPr>
                <w:tcW w:w="758" w:type="pct"/>
                <w:shd w:val="clear" w:color="auto" w:fill="auto"/>
                <w:vAlign w:val="center"/>
              </w:tcPr>
              <w:p w14:paraId="0E2655DD" w14:textId="77777777" w:rsidR="00B201D3" w:rsidRDefault="009855E8">
                <w:pPr>
                  <w:jc w:val="right"/>
                </w:pPr>
                <w:r>
                  <w:t>1,900,000,000</w:t>
                </w:r>
              </w:p>
            </w:tc>
            <w:tc>
              <w:tcPr>
                <w:tcW w:w="582" w:type="pct"/>
                <w:shd w:val="clear" w:color="auto" w:fill="auto"/>
                <w:vAlign w:val="center"/>
              </w:tcPr>
              <w:p w14:paraId="6FB8C62A" w14:textId="77777777" w:rsidR="00B201D3" w:rsidRDefault="009855E8">
                <w:pPr>
                  <w:jc w:val="right"/>
                </w:pPr>
                <w:r>
                  <w:t>38.30</w:t>
                </w:r>
              </w:p>
            </w:tc>
          </w:tr>
          <w:tr w:rsidR="00B201D3" w14:paraId="2381F1F2" w14:textId="77777777">
            <w:trPr>
              <w:jc w:val="center"/>
            </w:trPr>
            <w:sdt>
              <w:sdtPr>
                <w:tag w:val="_PLD_7f62c3d54a4442729759c4c069c9a7c2"/>
                <w:id w:val="-1524544219"/>
                <w:lock w:val="sdtLocked"/>
              </w:sdtPr>
              <w:sdtEndPr/>
              <w:sdtContent>
                <w:tc>
                  <w:tcPr>
                    <w:tcW w:w="1279" w:type="pct"/>
                    <w:shd w:val="clear" w:color="auto" w:fill="auto"/>
                  </w:tcPr>
                  <w:p w14:paraId="298D00BD" w14:textId="77777777" w:rsidR="00B201D3" w:rsidRDefault="009855E8">
                    <w:pPr>
                      <w:pStyle w:val="3903"/>
                    </w:pPr>
                    <w:r>
                      <w:t>4、其他</w:t>
                    </w:r>
                  </w:p>
                </w:tc>
              </w:sdtContent>
            </w:sdt>
            <w:tc>
              <w:tcPr>
                <w:tcW w:w="758" w:type="pct"/>
                <w:tcBorders>
                  <w:top w:val="single" w:sz="4" w:space="0" w:color="auto"/>
                  <w:left w:val="single" w:sz="4" w:space="0" w:color="auto"/>
                  <w:bottom w:val="single" w:sz="4" w:space="0" w:color="auto"/>
                  <w:right w:val="single" w:sz="4" w:space="0" w:color="auto"/>
                </w:tcBorders>
                <w:vAlign w:val="center"/>
              </w:tcPr>
              <w:p w14:paraId="216215CC" w14:textId="77777777" w:rsidR="00B201D3" w:rsidRDefault="009855E8">
                <w:pPr>
                  <w:jc w:val="right"/>
                </w:pPr>
                <w:r>
                  <w:rPr>
                    <w:rFonts w:hint="eastAsia"/>
                  </w:rPr>
                  <w:t xml:space="preserve">0 </w:t>
                </w:r>
              </w:p>
            </w:tc>
            <w:tc>
              <w:tcPr>
                <w:tcW w:w="410" w:type="pct"/>
                <w:tcBorders>
                  <w:top w:val="single" w:sz="4" w:space="0" w:color="auto"/>
                  <w:left w:val="single" w:sz="4" w:space="0" w:color="auto"/>
                  <w:bottom w:val="single" w:sz="4" w:space="0" w:color="auto"/>
                  <w:right w:val="single" w:sz="4" w:space="0" w:color="auto"/>
                </w:tcBorders>
                <w:vAlign w:val="center"/>
              </w:tcPr>
              <w:p w14:paraId="4AEB035B" w14:textId="77777777" w:rsidR="00B201D3" w:rsidRDefault="009855E8">
                <w:pPr>
                  <w:jc w:val="right"/>
                </w:pPr>
                <w:r>
                  <w:rPr>
                    <w:rFonts w:hint="eastAsia"/>
                  </w:rPr>
                  <w:t>0</w:t>
                </w:r>
              </w:p>
            </w:tc>
            <w:tc>
              <w:tcPr>
                <w:tcW w:w="607" w:type="pct"/>
                <w:shd w:val="clear" w:color="auto" w:fill="auto"/>
                <w:vAlign w:val="center"/>
              </w:tcPr>
              <w:p w14:paraId="34ECA881" w14:textId="77777777" w:rsidR="00B201D3" w:rsidRDefault="009855E8">
                <w:pPr>
                  <w:jc w:val="right"/>
                </w:pPr>
                <w:r>
                  <w:t>0</w:t>
                </w:r>
              </w:p>
            </w:tc>
            <w:tc>
              <w:tcPr>
                <w:tcW w:w="607" w:type="pct"/>
                <w:shd w:val="clear" w:color="auto" w:fill="auto"/>
                <w:vAlign w:val="center"/>
              </w:tcPr>
              <w:p w14:paraId="76092CA9" w14:textId="77777777" w:rsidR="00B201D3" w:rsidRDefault="009855E8">
                <w:pPr>
                  <w:jc w:val="right"/>
                </w:pPr>
                <w:r>
                  <w:t>0</w:t>
                </w:r>
              </w:p>
            </w:tc>
            <w:tc>
              <w:tcPr>
                <w:tcW w:w="758" w:type="pct"/>
                <w:shd w:val="clear" w:color="auto" w:fill="auto"/>
                <w:vAlign w:val="center"/>
              </w:tcPr>
              <w:p w14:paraId="59033A64" w14:textId="77777777" w:rsidR="00B201D3" w:rsidRDefault="009855E8">
                <w:pPr>
                  <w:jc w:val="right"/>
                </w:pPr>
                <w:r>
                  <w:t>0</w:t>
                </w:r>
              </w:p>
            </w:tc>
            <w:tc>
              <w:tcPr>
                <w:tcW w:w="582" w:type="pct"/>
                <w:shd w:val="clear" w:color="auto" w:fill="auto"/>
                <w:vAlign w:val="center"/>
              </w:tcPr>
              <w:p w14:paraId="6BE3F6DA" w14:textId="77777777" w:rsidR="00B201D3" w:rsidRDefault="009855E8">
                <w:pPr>
                  <w:jc w:val="right"/>
                </w:pPr>
                <w:r>
                  <w:t>0</w:t>
                </w:r>
              </w:p>
            </w:tc>
          </w:tr>
          <w:tr w:rsidR="00B201D3" w14:paraId="65C120B2" w14:textId="77777777">
            <w:trPr>
              <w:jc w:val="center"/>
            </w:trPr>
            <w:sdt>
              <w:sdtPr>
                <w:tag w:val="_PLD_18428e388059473180af7313fb539834"/>
                <w:id w:val="-525340148"/>
                <w:lock w:val="sdtLocked"/>
              </w:sdtPr>
              <w:sdtEndPr/>
              <w:sdtContent>
                <w:tc>
                  <w:tcPr>
                    <w:tcW w:w="1279" w:type="pct"/>
                    <w:shd w:val="clear" w:color="auto" w:fill="auto"/>
                  </w:tcPr>
                  <w:p w14:paraId="4B2BA85B" w14:textId="77777777" w:rsidR="00B201D3" w:rsidRDefault="009855E8">
                    <w:pPr>
                      <w:pStyle w:val="3903"/>
                    </w:pPr>
                    <w:r>
                      <w:t>三、股份总数</w:t>
                    </w:r>
                  </w:p>
                </w:tc>
              </w:sdtContent>
            </w:sdt>
            <w:tc>
              <w:tcPr>
                <w:tcW w:w="758" w:type="pct"/>
                <w:tcBorders>
                  <w:top w:val="single" w:sz="4" w:space="0" w:color="auto"/>
                  <w:left w:val="single" w:sz="4" w:space="0" w:color="auto"/>
                  <w:bottom w:val="single" w:sz="4" w:space="0" w:color="auto"/>
                  <w:right w:val="single" w:sz="4" w:space="0" w:color="auto"/>
                </w:tcBorders>
                <w:vAlign w:val="center"/>
              </w:tcPr>
              <w:p w14:paraId="64E683EC" w14:textId="77777777" w:rsidR="00B201D3" w:rsidRDefault="009855E8">
                <w:pPr>
                  <w:jc w:val="right"/>
                </w:pPr>
                <w:r>
                  <w:rPr>
                    <w:rFonts w:hint="eastAsia"/>
                  </w:rPr>
                  <w:t xml:space="preserve">4,948,703,640 </w:t>
                </w:r>
              </w:p>
            </w:tc>
            <w:tc>
              <w:tcPr>
                <w:tcW w:w="410" w:type="pct"/>
                <w:tcBorders>
                  <w:top w:val="single" w:sz="4" w:space="0" w:color="auto"/>
                  <w:left w:val="single" w:sz="4" w:space="0" w:color="auto"/>
                  <w:bottom w:val="single" w:sz="4" w:space="0" w:color="auto"/>
                  <w:right w:val="single" w:sz="4" w:space="0" w:color="auto"/>
                </w:tcBorders>
                <w:vAlign w:val="center"/>
              </w:tcPr>
              <w:p w14:paraId="7A5FDEE8" w14:textId="77777777" w:rsidR="00B201D3" w:rsidRDefault="009855E8">
                <w:pPr>
                  <w:jc w:val="right"/>
                </w:pPr>
                <w:r>
                  <w:rPr>
                    <w:rFonts w:hint="eastAsia"/>
                  </w:rPr>
                  <w:t>100</w:t>
                </w:r>
              </w:p>
            </w:tc>
            <w:tc>
              <w:tcPr>
                <w:tcW w:w="607" w:type="pct"/>
                <w:shd w:val="clear" w:color="auto" w:fill="auto"/>
                <w:vAlign w:val="center"/>
              </w:tcPr>
              <w:p w14:paraId="4AF752E1" w14:textId="77777777" w:rsidR="00B201D3" w:rsidRDefault="009855E8">
                <w:pPr>
                  <w:jc w:val="right"/>
                </w:pPr>
                <w:r>
                  <w:t>12,656,840</w:t>
                </w:r>
              </w:p>
            </w:tc>
            <w:tc>
              <w:tcPr>
                <w:tcW w:w="607" w:type="pct"/>
                <w:shd w:val="clear" w:color="auto" w:fill="auto"/>
                <w:vAlign w:val="center"/>
              </w:tcPr>
              <w:p w14:paraId="0D337176" w14:textId="77777777" w:rsidR="00B201D3" w:rsidRDefault="009855E8">
                <w:pPr>
                  <w:jc w:val="right"/>
                </w:pPr>
                <w:r>
                  <w:t>12,656,840</w:t>
                </w:r>
              </w:p>
            </w:tc>
            <w:tc>
              <w:tcPr>
                <w:tcW w:w="758" w:type="pct"/>
                <w:shd w:val="clear" w:color="auto" w:fill="auto"/>
                <w:vAlign w:val="center"/>
              </w:tcPr>
              <w:p w14:paraId="099468AE" w14:textId="77777777" w:rsidR="00B201D3" w:rsidRDefault="009855E8">
                <w:pPr>
                  <w:jc w:val="right"/>
                </w:pPr>
                <w:r>
                  <w:t>4,961,360,480</w:t>
                </w:r>
              </w:p>
            </w:tc>
            <w:tc>
              <w:tcPr>
                <w:tcW w:w="582" w:type="pct"/>
                <w:shd w:val="clear" w:color="auto" w:fill="auto"/>
                <w:vAlign w:val="center"/>
              </w:tcPr>
              <w:p w14:paraId="1D808027" w14:textId="77777777" w:rsidR="00B201D3" w:rsidRDefault="009855E8">
                <w:pPr>
                  <w:jc w:val="right"/>
                </w:pPr>
                <w:r>
                  <w:t>100</w:t>
                </w:r>
              </w:p>
            </w:tc>
          </w:tr>
        </w:tbl>
        <w:p w14:paraId="3D104646" w14:textId="77777777" w:rsidR="00B201D3" w:rsidRDefault="00C8327E">
          <w:pPr>
            <w:ind w:firstLineChars="200" w:firstLine="420"/>
            <w:jc w:val="both"/>
          </w:pPr>
        </w:p>
      </w:sdtContent>
    </w:sdt>
    <w:bookmarkStart w:id="99" w:name="_Toc342565996" w:displacedByCustomXml="next"/>
    <w:bookmarkStart w:id="100" w:name="_Toc342059483" w:displacedByCustomXml="next"/>
    <w:sdt>
      <w:sdtPr>
        <w:rPr>
          <w:rFonts w:ascii="宋体" w:hAnsi="宋体" w:cs="宋体"/>
          <w:b w:val="0"/>
          <w:bCs w:val="0"/>
          <w:kern w:val="0"/>
          <w:szCs w:val="22"/>
        </w:rPr>
        <w:alias w:val="模块:股份变动情况说明"/>
        <w:tag w:val="_GBC_11d26f58e47e4a1f997d73362074f464"/>
        <w:id w:val="-2058923323"/>
        <w:lock w:val="sdtLocked"/>
        <w:placeholder>
          <w:docPart w:val="GBC22222222222222222222222222222"/>
        </w:placeholder>
      </w:sdtPr>
      <w:sdtEndPr>
        <w:rPr>
          <w:rFonts w:hint="eastAsia"/>
          <w:szCs w:val="21"/>
        </w:rPr>
      </w:sdtEndPr>
      <w:sdtContent>
        <w:p w14:paraId="3464BDB4" w14:textId="77777777" w:rsidR="00B201D3" w:rsidRDefault="009855E8">
          <w:pPr>
            <w:pStyle w:val="4"/>
            <w:numPr>
              <w:ilvl w:val="2"/>
              <w:numId w:val="36"/>
            </w:numPr>
            <w:rPr>
              <w:rFonts w:ascii="宋体" w:hAnsi="宋体"/>
            </w:rPr>
          </w:pPr>
          <w:r>
            <w:rPr>
              <w:rFonts w:ascii="宋体" w:hAnsi="宋体"/>
            </w:rPr>
            <w:t>股份变动情况说明</w:t>
          </w:r>
        </w:p>
        <w:sdt>
          <w:sdtPr>
            <w:alias w:val="是否适用：普通股股份变动情况说明[双击切换]"/>
            <w:tag w:val="_GBC_28994e6dc9c649e498c0ab9c340777bf"/>
            <w:id w:val="-476383374"/>
            <w:lock w:val="sdtLocked"/>
            <w:placeholder>
              <w:docPart w:val="GBC22222222222222222222222222222"/>
            </w:placeholder>
          </w:sdtPr>
          <w:sdtEndPr/>
          <w:sdtContent>
            <w:p w14:paraId="17CE66CE" w14:textId="77777777" w:rsidR="00B201D3" w:rsidRDefault="009855E8">
              <w:pPr>
                <w:pStyle w:val="390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股份变动情况说明"/>
            <w:tag w:val="_GBC_370febd389f14759b2ed3f1114b289a6"/>
            <w:id w:val="951136635"/>
            <w:lock w:val="sdtLocked"/>
            <w:placeholder>
              <w:docPart w:val="GBC22222222222222222222222222222"/>
            </w:placeholder>
          </w:sdtPr>
          <w:sdtEndPr/>
          <w:sdtContent>
            <w:p w14:paraId="644A9A17" w14:textId="77777777" w:rsidR="00B201D3" w:rsidRDefault="009855E8">
              <w:pPr>
                <w:ind w:firstLineChars="200" w:firstLine="420"/>
                <w:jc w:val="both"/>
              </w:pPr>
              <w:r>
                <w:rPr>
                  <w:rFonts w:hint="eastAsia"/>
                </w:rPr>
                <w:t>经</w:t>
              </w:r>
              <w:r>
                <w:t>2023年4月24日召开的公司第八届董事会第二十</w:t>
              </w:r>
              <w:r>
                <w:rPr>
                  <w:rFonts w:hint="eastAsia"/>
                </w:rPr>
                <w:t>八</w:t>
              </w:r>
              <w:r>
                <w:t>次会议审议批准，确认公司2018年A股股票期权激励计划第</w:t>
              </w:r>
              <w:r>
                <w:rPr>
                  <w:rFonts w:hint="eastAsia"/>
                </w:rPr>
                <w:t>三</w:t>
              </w:r>
              <w:r>
                <w:t>个行权期行权条件已成就，截至</w:t>
              </w:r>
              <w:r>
                <w:rPr>
                  <w:rFonts w:hint="eastAsia"/>
                </w:rPr>
                <w:t>2</w:t>
              </w:r>
              <w:r>
                <w:t>023</w:t>
              </w:r>
              <w:r>
                <w:rPr>
                  <w:rFonts w:hint="eastAsia"/>
                </w:rPr>
                <w:t>年6月3</w:t>
              </w:r>
              <w:r>
                <w:t>0</w:t>
              </w:r>
              <w:r>
                <w:rPr>
                  <w:rFonts w:hint="eastAsia"/>
                </w:rPr>
                <w:t>日</w:t>
              </w:r>
              <w:r>
                <w:t>，第</w:t>
              </w:r>
              <w:r>
                <w:rPr>
                  <w:rFonts w:hint="eastAsia"/>
                </w:rPr>
                <w:t>三</w:t>
              </w:r>
              <w:r>
                <w:t>个行权期可行权股票期权已全部行权完毕，共行权12,656,840份。本公司总股本由4,948,703,640股增加至4,961,360,480股，对最近一年和最近一期的财务指标未产生重大影响。</w:t>
              </w:r>
            </w:p>
            <w:p w14:paraId="1D065979" w14:textId="77777777" w:rsidR="00B201D3" w:rsidRDefault="009855E8">
              <w:pPr>
                <w:ind w:firstLineChars="200" w:firstLine="420"/>
                <w:jc w:val="both"/>
              </w:pPr>
              <w:r>
                <w:rPr>
                  <w:rFonts w:hint="eastAsia"/>
                </w:rPr>
                <w:t>有关详情请见公司日期为</w:t>
              </w:r>
              <w:r>
                <w:t>2023年4月24日的第</w:t>
              </w:r>
              <w:r>
                <w:rPr>
                  <w:rFonts w:hint="eastAsia"/>
                </w:rPr>
                <w:t>三</w:t>
              </w:r>
              <w:r>
                <w:t>个行权期行权条件成就的公告，以及日期为2023年5月25日的自主行权结果的公告。该等资料载于上交所网站、香港联交所网站、公司网站及/或中国境内《中国证券报》《上海证券报》《证券时报》《证券日报》。</w:t>
              </w:r>
            </w:p>
          </w:sdtContent>
        </w:sdt>
      </w:sdtContent>
    </w:sdt>
    <w:p w14:paraId="17A326C4" w14:textId="77777777" w:rsidR="00B201D3" w:rsidRDefault="00B201D3">
      <w:pPr>
        <w:pStyle w:val="3903"/>
      </w:pPr>
    </w:p>
    <w:sdt>
      <w:sdtPr>
        <w:rPr>
          <w:rFonts w:ascii="宋体" w:hAnsi="宋体" w:cs="宋体"/>
          <w:b w:val="0"/>
          <w:bCs w:val="0"/>
          <w:kern w:val="0"/>
          <w:szCs w:val="22"/>
        </w:rPr>
        <w:alias w:val="模块:报告期后到半年报披露日期间发生股份变动对每股收益等指标影响"/>
        <w:tag w:val="_GBC_2c9eb79778814e39ab254196ba75dab3"/>
        <w:id w:val="1371184508"/>
        <w:lock w:val="sdtLocked"/>
        <w:placeholder>
          <w:docPart w:val="GBC22222222222222222222222222222"/>
        </w:placeholder>
      </w:sdtPr>
      <w:sdtEndPr>
        <w:rPr>
          <w:rFonts w:hint="eastAsia"/>
          <w:szCs w:val="21"/>
        </w:rPr>
      </w:sdtEndPr>
      <w:sdtContent>
        <w:p w14:paraId="6912DC55" w14:textId="77777777" w:rsidR="00B201D3" w:rsidRDefault="009855E8">
          <w:pPr>
            <w:pStyle w:val="4"/>
            <w:numPr>
              <w:ilvl w:val="2"/>
              <w:numId w:val="36"/>
            </w:numPr>
            <w:rPr>
              <w:rFonts w:ascii="宋体" w:hAnsi="宋体" w:cs="宋体"/>
              <w:kern w:val="0"/>
              <w:szCs w:val="22"/>
            </w:rPr>
          </w:pPr>
          <w:r>
            <w:rPr>
              <w:rFonts w:ascii="宋体" w:hAnsi="宋体" w:cs="宋体" w:hint="eastAsia"/>
              <w:kern w:val="0"/>
              <w:szCs w:val="22"/>
            </w:rPr>
            <w:t>报告期后到半年报披露日期间发生股份变动对每股收益、每股净资产等财务指标的影响（如有）</w:t>
          </w:r>
        </w:p>
        <w:sdt>
          <w:sdtPr>
            <w:rPr>
              <w:rFonts w:hint="eastAsia"/>
            </w:rPr>
            <w:alias w:val="是否适用：普通股股份变动对最近一年和最近一期每股收益、每股净资产等财务指标的影响[双击切换]"/>
            <w:tag w:val="_GBC_bb0980f1589b4db8944ca5595f342bfe"/>
            <w:id w:val="-1431348256"/>
            <w:lock w:val="sdtLocked"/>
            <w:placeholder>
              <w:docPart w:val="GBC22222222222222222222222222222"/>
            </w:placeholder>
          </w:sdtPr>
          <w:sdtEndPr/>
          <w:sdtContent>
            <w:p w14:paraId="139B8C63" w14:textId="77777777" w:rsidR="00B201D3" w:rsidRDefault="009855E8">
              <w:pPr>
                <w:pStyle w:val="390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股份变动对最近一年和最近一期财务指标的影响"/>
            <w:tag w:val="_GBC_357a4417afe34f56bf112d0f65cd7d39"/>
            <w:id w:val="-1898660686"/>
            <w:lock w:val="sdtLocked"/>
            <w:placeholder>
              <w:docPart w:val="GBC22222222222222222222222222222"/>
            </w:placeholder>
          </w:sdtPr>
          <w:sdtEndPr/>
          <w:sdtContent>
            <w:p w14:paraId="51656DD5" w14:textId="77777777" w:rsidR="00B201D3" w:rsidRDefault="009855E8">
              <w:pPr>
                <w:ind w:firstLineChars="200" w:firstLine="420"/>
                <w:jc w:val="both"/>
              </w:pPr>
              <w:r>
                <w:t>截至本报告披露日，</w:t>
              </w:r>
              <w:r>
                <w:rPr>
                  <w:rFonts w:hint="eastAsia"/>
                </w:rPr>
                <w:t>因派发股票红利，公司</w:t>
              </w:r>
              <w:r>
                <w:t>总股本由2023年6月30日的4,961,360,480增加至7,442,040,720股。</w:t>
              </w:r>
              <w:r>
                <w:rPr>
                  <w:rFonts w:hint="eastAsia"/>
                </w:rPr>
                <w:t>按当前股本计算，2</w:t>
              </w:r>
              <w:r>
                <w:t>023</w:t>
              </w:r>
              <w:r>
                <w:rPr>
                  <w:rFonts w:hint="eastAsia"/>
                </w:rPr>
                <w:t>年上半年每股收益为</w:t>
              </w:r>
              <w:r>
                <w:t>1.39</w:t>
              </w:r>
              <w:r>
                <w:rPr>
                  <w:rFonts w:hint="eastAsia"/>
                </w:rPr>
                <w:t>元；</w:t>
              </w:r>
              <w:r>
                <w:t>2023年6月30日每股净资产为11.13</w:t>
              </w:r>
              <w:r>
                <w:rPr>
                  <w:rFonts w:hint="eastAsia"/>
                </w:rPr>
                <w:t>元。</w:t>
              </w:r>
            </w:p>
          </w:sdtContent>
        </w:sdt>
      </w:sdtContent>
    </w:sdt>
    <w:p w14:paraId="3B33633D" w14:textId="77777777" w:rsidR="00B201D3" w:rsidRDefault="00B201D3">
      <w:pPr>
        <w:pStyle w:val="3903"/>
      </w:pPr>
    </w:p>
    <w:sdt>
      <w:sdtPr>
        <w:rPr>
          <w:rFonts w:ascii="宋体" w:hAnsi="宋体" w:cs="宋体"/>
          <w:b w:val="0"/>
          <w:bCs w:val="0"/>
          <w:kern w:val="0"/>
          <w:szCs w:val="22"/>
        </w:rPr>
        <w:alias w:val="模块:公司认为必要或证券监管机构要求披露的其他内容"/>
        <w:tag w:val="_GBC_ea8cea8d08c04df4b51a4a58c86eadd2"/>
        <w:id w:val="2116485884"/>
        <w:lock w:val="sdtLocked"/>
        <w:placeholder>
          <w:docPart w:val="GBC22222222222222222222222222222"/>
        </w:placeholder>
      </w:sdtPr>
      <w:sdtEndPr>
        <w:rPr>
          <w:rFonts w:hint="eastAsia"/>
          <w:szCs w:val="21"/>
        </w:rPr>
      </w:sdtEndPr>
      <w:sdtContent>
        <w:p w14:paraId="3D72F35A" w14:textId="77777777" w:rsidR="00B201D3" w:rsidRDefault="009855E8">
          <w:pPr>
            <w:pStyle w:val="4"/>
            <w:numPr>
              <w:ilvl w:val="2"/>
              <w:numId w:val="36"/>
            </w:numPr>
            <w:rPr>
              <w:rFonts w:ascii="宋体" w:hAnsi="宋体"/>
            </w:rPr>
          </w:pPr>
          <w:r>
            <w:rPr>
              <w:rFonts w:ascii="宋体" w:hAnsi="宋体"/>
            </w:rPr>
            <w:t>公司认为必要或证券监管机构要求披露的其他内容</w:t>
          </w:r>
        </w:p>
        <w:sdt>
          <w:sdtPr>
            <w:alias w:val="是否适用：公司认为必要或证券监管机构要求披露的其他内容[双击切换]"/>
            <w:tag w:val="_GBC_7554eed1e25047d282437f24056d532b"/>
            <w:id w:val="-181439895"/>
            <w:lock w:val="sdtLocked"/>
            <w:placeholder>
              <w:docPart w:val="GBC22222222222222222222222222222"/>
            </w:placeholder>
          </w:sdtPr>
          <w:sdtEndPr/>
          <w:sdtContent>
            <w:p w14:paraId="7DEE9583" w14:textId="77777777" w:rsidR="00B201D3" w:rsidRDefault="009855E8">
              <w:pPr>
                <w:pStyle w:val="390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股份变动公司认为必要或证券监管机构要求披露的其他内容"/>
            <w:tag w:val="_GBC_498688d3a046460faa5100f61cc25605"/>
            <w:id w:val="-1902210740"/>
            <w:lock w:val="sdtLocked"/>
            <w:placeholder>
              <w:docPart w:val="GBC22222222222222222222222222222"/>
            </w:placeholder>
          </w:sdtPr>
          <w:sdtEndPr/>
          <w:sdtContent>
            <w:p w14:paraId="44EAD047" w14:textId="77777777" w:rsidR="00B201D3" w:rsidRDefault="009855E8">
              <w:pPr>
                <w:ind w:firstLineChars="200" w:firstLine="420"/>
                <w:jc w:val="both"/>
              </w:pPr>
              <w:r>
                <w:rPr>
                  <w:rFonts w:hint="eastAsia"/>
                </w:rPr>
                <w:t>本公司根据可公开所得的资料以及就董事所知，在本报告披露日，董事相信于报告期内本公司公众持股量占总股本的比例超过</w:t>
              </w:r>
              <w:r>
                <w:t xml:space="preserve"> 25%，符合香港上市规则的规定。</w:t>
              </w:r>
            </w:p>
          </w:sdtContent>
        </w:sdt>
      </w:sdtContent>
    </w:sdt>
    <w:p w14:paraId="7F452036" w14:textId="77777777" w:rsidR="00B201D3" w:rsidRDefault="00B201D3">
      <w:pPr>
        <w:pStyle w:val="3903"/>
      </w:pPr>
    </w:p>
    <w:sdt>
      <w:sdtPr>
        <w:rPr>
          <w:rFonts w:ascii="宋体" w:hAnsi="宋体" w:cs="宋体"/>
          <w:b w:val="0"/>
          <w:bCs w:val="0"/>
          <w:kern w:val="0"/>
          <w:szCs w:val="24"/>
        </w:rPr>
        <w:alias w:val="模块:限售股份变动情况"/>
        <w:tag w:val="_SEC_71bda84d0fff4902850bfc37d3477fb7"/>
        <w:id w:val="1119798364"/>
        <w:lock w:val="sdtLocked"/>
        <w:placeholder>
          <w:docPart w:val="GBC22222222222222222222222222222"/>
        </w:placeholder>
      </w:sdtPr>
      <w:sdtEndPr>
        <w:rPr>
          <w:szCs w:val="21"/>
        </w:rPr>
      </w:sdtEndPr>
      <w:sdtContent>
        <w:p w14:paraId="19F1B174" w14:textId="77777777" w:rsidR="00B201D3" w:rsidRDefault="009855E8">
          <w:pPr>
            <w:pStyle w:val="3"/>
            <w:numPr>
              <w:ilvl w:val="1"/>
              <w:numId w:val="35"/>
            </w:numPr>
            <w:rPr>
              <w:rFonts w:ascii="宋体" w:hAnsi="宋体"/>
            </w:rPr>
          </w:pPr>
          <w:r>
            <w:rPr>
              <w:rFonts w:ascii="宋体" w:hAnsi="宋体"/>
            </w:rPr>
            <w:t>限售股份变动情况</w:t>
          </w:r>
        </w:p>
        <w:sdt>
          <w:sdtPr>
            <w:alias w:val="是否适用：限售股份变动情况表[双击切换]"/>
            <w:tag w:val="_GBC_6f5978a50e224b6aa94189436cdee711"/>
            <w:id w:val="-912550791"/>
            <w:lock w:val="sdtLocked"/>
            <w:placeholder>
              <w:docPart w:val="GBC22222222222222222222222222222"/>
            </w:placeholder>
          </w:sdtPr>
          <w:sdtEndPr/>
          <w:sdtContent>
            <w:p w14:paraId="6831701A" w14:textId="77777777" w:rsidR="00B201D3" w:rsidRDefault="009855E8">
              <w:pPr>
                <w:pStyle w:val="390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4BA681CB" w14:textId="77777777" w:rsidR="00B201D3" w:rsidRDefault="009855E8">
      <w:pPr>
        <w:pStyle w:val="2"/>
        <w:numPr>
          <w:ilvl w:val="0"/>
          <w:numId w:val="34"/>
        </w:numPr>
        <w:spacing w:line="360" w:lineRule="auto"/>
        <w:ind w:left="422" w:hanging="422"/>
        <w:rPr>
          <w:rFonts w:ascii="宋体" w:hAnsi="宋体"/>
        </w:rPr>
      </w:pPr>
      <w:r>
        <w:rPr>
          <w:rFonts w:ascii="宋体" w:hAnsi="宋体"/>
        </w:rPr>
        <w:lastRenderedPageBreak/>
        <w:t>股东情况</w:t>
      </w:r>
      <w:bookmarkEnd w:id="100"/>
      <w:bookmarkEnd w:id="99"/>
    </w:p>
    <w:sdt>
      <w:sdtPr>
        <w:rPr>
          <w:rFonts w:ascii="宋体" w:hAnsi="宋体" w:cs="宋体"/>
          <w:b w:val="0"/>
          <w:bCs w:val="0"/>
          <w:kern w:val="0"/>
          <w:szCs w:val="22"/>
        </w:rPr>
        <w:alias w:val="模块:股东总数"/>
        <w:tag w:val="_GBC_ba0ac3b5d31347c0a620e3662112fa62"/>
        <w:id w:val="507798897"/>
        <w:placeholder>
          <w:docPart w:val="GBC22222222222222222222222222222"/>
        </w:placeholder>
      </w:sdtPr>
      <w:sdtEndPr>
        <w:rPr>
          <w:szCs w:val="21"/>
        </w:rPr>
      </w:sdtEndPr>
      <w:sdtContent>
        <w:p w14:paraId="4DCE153F" w14:textId="77777777" w:rsidR="00B201D3" w:rsidRDefault="009855E8">
          <w:pPr>
            <w:pStyle w:val="3"/>
            <w:numPr>
              <w:ilvl w:val="1"/>
              <w:numId w:val="37"/>
            </w:numPr>
            <w:rPr>
              <w:rFonts w:ascii="宋体" w:hAnsi="宋体"/>
            </w:rPr>
          </w:pPr>
          <w:r>
            <w:rPr>
              <w:rFonts w:ascii="宋体" w:hAnsi="宋体"/>
            </w:rPr>
            <w:t>股东总数：</w:t>
          </w:r>
        </w:p>
        <w:tbl>
          <w:tblPr>
            <w:tblStyle w:val="af9"/>
            <w:tblW w:w="0" w:type="auto"/>
            <w:tblLook w:val="04A0" w:firstRow="1" w:lastRow="0" w:firstColumn="1" w:lastColumn="0" w:noHBand="0" w:noVBand="1"/>
          </w:tblPr>
          <w:tblGrid>
            <w:gridCol w:w="4940"/>
            <w:gridCol w:w="3883"/>
          </w:tblGrid>
          <w:tr w:rsidR="00B201D3" w14:paraId="24CB5484" w14:textId="77777777">
            <w:sdt>
              <w:sdtPr>
                <w:tag w:val="_PLD_9206d6884981495295105158630a6172"/>
                <w:id w:val="1970478554"/>
              </w:sdtPr>
              <w:sdtEndPr/>
              <w:sdtContent>
                <w:tc>
                  <w:tcPr>
                    <w:tcW w:w="5070" w:type="dxa"/>
                  </w:tcPr>
                  <w:p w14:paraId="7611FD2E" w14:textId="77777777" w:rsidR="00B201D3" w:rsidRDefault="009855E8">
                    <w:r>
                      <w:t>截至报告期末</w:t>
                    </w:r>
                    <w:r>
                      <w:rPr>
                        <w:rFonts w:hint="eastAsia"/>
                      </w:rPr>
                      <w:t>普通股</w:t>
                    </w:r>
                    <w:r>
                      <w:t>股东总数</w:t>
                    </w:r>
                    <w:r>
                      <w:t>(</w:t>
                    </w:r>
                    <w:r>
                      <w:t>户</w:t>
                    </w:r>
                    <w:r>
                      <w:t>)</w:t>
                    </w:r>
                  </w:p>
                </w:tc>
              </w:sdtContent>
            </w:sdt>
            <w:sdt>
              <w:sdtPr>
                <w:alias w:val="报告期末股东总数"/>
                <w:tag w:val="_GBC_9fd402ec66014f4e9716c7fdb0286bd2"/>
                <w:id w:val="2053265266"/>
              </w:sdtPr>
              <w:sdtEndPr/>
              <w:sdtContent>
                <w:tc>
                  <w:tcPr>
                    <w:tcW w:w="3978" w:type="dxa"/>
                  </w:tcPr>
                  <w:p w14:paraId="2B2AD21C" w14:textId="77777777" w:rsidR="00B201D3" w:rsidRDefault="009855E8">
                    <w:pPr>
                      <w:jc w:val="right"/>
                    </w:pPr>
                    <w:r>
                      <w:t>113,728</w:t>
                    </w:r>
                  </w:p>
                </w:tc>
              </w:sdtContent>
            </w:sdt>
          </w:tr>
          <w:tr w:rsidR="00B201D3" w14:paraId="2FDAFD9B" w14:textId="77777777">
            <w:sdt>
              <w:sdtPr>
                <w:tag w:val="_PLD_40c51c13ddad420ab635010b5df15a40"/>
                <w:id w:val="-170876924"/>
              </w:sdtPr>
              <w:sdtEndPr/>
              <w:sdtContent>
                <w:tc>
                  <w:tcPr>
                    <w:tcW w:w="5070" w:type="dxa"/>
                  </w:tcPr>
                  <w:p w14:paraId="2776055A" w14:textId="77777777" w:rsidR="00B201D3" w:rsidRDefault="009855E8">
                    <w:r>
                      <w:rPr>
                        <w:rFonts w:hint="eastAsia"/>
                      </w:rPr>
                      <w:t>截至报告期末表决权恢复的优先股股东总数（户）</w:t>
                    </w:r>
                  </w:p>
                </w:tc>
              </w:sdtContent>
            </w:sdt>
            <w:tc>
              <w:tcPr>
                <w:tcW w:w="3978" w:type="dxa"/>
              </w:tcPr>
              <w:p w14:paraId="75B8066A" w14:textId="77777777" w:rsidR="00B201D3" w:rsidRDefault="009855E8">
                <w:pPr>
                  <w:jc w:val="right"/>
                </w:pPr>
                <w:r>
                  <w:rPr>
                    <w:rFonts w:hint="eastAsia"/>
                  </w:rPr>
                  <w:t>0</w:t>
                </w:r>
              </w:p>
            </w:tc>
          </w:tr>
        </w:tbl>
        <w:p w14:paraId="7F3FE8C3" w14:textId="77777777" w:rsidR="00B201D3" w:rsidRDefault="00C8327E">
          <w:pPr>
            <w:pStyle w:val="3903"/>
          </w:pPr>
        </w:p>
      </w:sdtContent>
    </w:sdt>
    <w:bookmarkStart w:id="101" w:name="_Toc342565998" w:displacedByCustomXml="next"/>
    <w:bookmarkEnd w:id="101" w:displacedByCustomXml="next"/>
    <w:bookmarkStart w:id="102" w:name="_Toc342059485" w:displacedByCustomXml="next"/>
    <w:bookmarkEnd w:id="102" w:displacedByCustomXml="next"/>
    <w:sdt>
      <w:sdtPr>
        <w:rPr>
          <w:rFonts w:ascii="宋体" w:hAnsi="宋体" w:cs="宋体" w:hint="eastAsia"/>
          <w:b w:val="0"/>
          <w:bCs w:val="0"/>
          <w:kern w:val="0"/>
          <w:szCs w:val="22"/>
        </w:rPr>
        <w:alias w:val="选项模块:前十名股东持股情况(已完成或不涉及股改)"/>
        <w:tag w:val="_GBC_558dfa41ef4b4fa8adb57b3c9c0a2887"/>
        <w:id w:val="-492650454"/>
        <w:lock w:val="sdtLocked"/>
        <w:placeholder>
          <w:docPart w:val="GBC22222222222222222222222222222"/>
        </w:placeholder>
      </w:sdtPr>
      <w:sdtEndPr>
        <w:rPr>
          <w:rFonts w:hint="default"/>
          <w:szCs w:val="21"/>
        </w:rPr>
      </w:sdtEndPr>
      <w:sdtContent>
        <w:p w14:paraId="51D18FA7" w14:textId="77777777" w:rsidR="00B201D3" w:rsidRDefault="009855E8">
          <w:pPr>
            <w:pStyle w:val="3"/>
            <w:numPr>
              <w:ilvl w:val="1"/>
              <w:numId w:val="37"/>
            </w:numPr>
            <w:rPr>
              <w:rFonts w:ascii="宋体" w:hAnsi="宋体"/>
            </w:rPr>
          </w:pPr>
          <w:r>
            <w:rPr>
              <w:rFonts w:ascii="宋体" w:hAnsi="宋体" w:hint="eastAsia"/>
              <w:szCs w:val="21"/>
            </w:rPr>
            <w:t>截至报告期末前十名股东、前十名流通股东（或无限售条件股东）持股情况表</w:t>
          </w:r>
        </w:p>
        <w:p w14:paraId="6F80DB99" w14:textId="777121A0" w:rsidR="00B201D3" w:rsidRDefault="009855E8">
          <w:pPr>
            <w:jc w:val="right"/>
          </w:pPr>
          <w:r>
            <w:t>单位：</w:t>
          </w:r>
          <w:sdt>
            <w:sdtPr>
              <w:rPr>
                <w:bCs/>
              </w:rPr>
              <w:alias w:val="单位：前十名股东持股情况"/>
              <w:tag w:val="_GBC_9d020b31dcb449c980ed0856cf6dae82"/>
              <w:id w:val="-273948209"/>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sidR="00F46283">
                <w:rPr>
                  <w:bCs/>
                </w:rPr>
                <w:t>股</w:t>
              </w:r>
            </w:sdtContent>
          </w:sdt>
        </w:p>
        <w:tbl>
          <w:tblPr>
            <w:tblStyle w:val="g1"/>
            <w:tblW w:w="1051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1416"/>
            <w:gridCol w:w="1581"/>
            <w:gridCol w:w="741"/>
            <w:gridCol w:w="1090"/>
            <w:gridCol w:w="1098"/>
            <w:gridCol w:w="813"/>
            <w:gridCol w:w="604"/>
            <w:gridCol w:w="1097"/>
          </w:tblGrid>
          <w:tr w:rsidR="00B201D3" w14:paraId="5BD44449" w14:textId="77777777">
            <w:trPr>
              <w:cantSplit/>
            </w:trPr>
            <w:sdt>
              <w:sdtPr>
                <w:rPr>
                  <w:rFonts w:ascii="宋体" w:hAnsi="宋体"/>
                </w:rPr>
                <w:tag w:val="_PLD_3038da138bad4905b589aeba821a8575"/>
                <w:id w:val="500547171"/>
                <w:lock w:val="sdtLocked"/>
              </w:sdtPr>
              <w:sdtEndPr/>
              <w:sdtContent>
                <w:tc>
                  <w:tcPr>
                    <w:tcW w:w="10519" w:type="dxa"/>
                    <w:gridSpan w:val="9"/>
                    <w:shd w:val="clear" w:color="auto" w:fill="auto"/>
                    <w:vAlign w:val="center"/>
                  </w:tcPr>
                  <w:p w14:paraId="3D7565EF" w14:textId="77777777" w:rsidR="00B201D3" w:rsidRDefault="009855E8">
                    <w:pPr>
                      <w:pStyle w:val="aa"/>
                      <w:jc w:val="center"/>
                      <w:rPr>
                        <w:rFonts w:ascii="宋体" w:hAnsi="宋体"/>
                      </w:rPr>
                    </w:pPr>
                    <w:r>
                      <w:rPr>
                        <w:rFonts w:ascii="宋体" w:hAnsi="宋体"/>
                      </w:rPr>
                      <w:t>前十名股东持股情况</w:t>
                    </w:r>
                  </w:p>
                </w:tc>
              </w:sdtContent>
            </w:sdt>
          </w:tr>
          <w:tr w:rsidR="00B201D3" w14:paraId="32088A78" w14:textId="77777777">
            <w:trPr>
              <w:cantSplit/>
            </w:trPr>
            <w:sdt>
              <w:sdtPr>
                <w:tag w:val="_PLD_80eda5ca76254dc1b950ed7de7dc5885"/>
                <w:id w:val="925851154"/>
                <w:lock w:val="sdtLocked"/>
              </w:sdtPr>
              <w:sdtEndPr/>
              <w:sdtContent>
                <w:tc>
                  <w:tcPr>
                    <w:tcW w:w="2079" w:type="dxa"/>
                    <w:vMerge w:val="restart"/>
                    <w:shd w:val="clear" w:color="auto" w:fill="auto"/>
                    <w:vAlign w:val="center"/>
                  </w:tcPr>
                  <w:p w14:paraId="794C82C7" w14:textId="77777777" w:rsidR="00B201D3" w:rsidRDefault="009855E8">
                    <w:pPr>
                      <w:jc w:val="center"/>
                    </w:pPr>
                    <w:r>
                      <w:t>股东名称</w:t>
                    </w:r>
                  </w:p>
                  <w:p w14:paraId="0741F978" w14:textId="77777777" w:rsidR="00B201D3" w:rsidRDefault="009855E8">
                    <w:pPr>
                      <w:jc w:val="center"/>
                    </w:pPr>
                    <w:r>
                      <w:rPr>
                        <w:rFonts w:hint="eastAsia"/>
                      </w:rPr>
                      <w:t>（全称）</w:t>
                    </w:r>
                  </w:p>
                </w:tc>
              </w:sdtContent>
            </w:sdt>
            <w:sdt>
              <w:sdtPr>
                <w:tag w:val="_PLD_ca2ffd3fc186426e98aac562ecc1ba54"/>
                <w:id w:val="595290193"/>
                <w:lock w:val="sdtLocked"/>
              </w:sdtPr>
              <w:sdtEndPr/>
              <w:sdtContent>
                <w:tc>
                  <w:tcPr>
                    <w:tcW w:w="1416" w:type="dxa"/>
                    <w:vMerge w:val="restart"/>
                    <w:shd w:val="clear" w:color="auto" w:fill="auto"/>
                    <w:vAlign w:val="center"/>
                  </w:tcPr>
                  <w:p w14:paraId="090C16BC" w14:textId="77777777" w:rsidR="00B201D3" w:rsidRDefault="009855E8">
                    <w:pPr>
                      <w:jc w:val="center"/>
                    </w:pPr>
                    <w:r>
                      <w:t>报告期内</w:t>
                    </w:r>
                  </w:p>
                  <w:p w14:paraId="2FD0EF3B" w14:textId="77777777" w:rsidR="00B201D3" w:rsidRDefault="009855E8">
                    <w:pPr>
                      <w:jc w:val="center"/>
                    </w:pPr>
                    <w:r>
                      <w:t>增减</w:t>
                    </w:r>
                  </w:p>
                </w:tc>
              </w:sdtContent>
            </w:sdt>
            <w:sdt>
              <w:sdtPr>
                <w:tag w:val="_PLD_084006d53bec42bea9418fc4576a1210"/>
                <w:id w:val="1352067937"/>
                <w:lock w:val="sdtLocked"/>
              </w:sdtPr>
              <w:sdtEndPr/>
              <w:sdtContent>
                <w:tc>
                  <w:tcPr>
                    <w:tcW w:w="1581" w:type="dxa"/>
                    <w:vMerge w:val="restart"/>
                    <w:shd w:val="clear" w:color="auto" w:fill="auto"/>
                    <w:vAlign w:val="center"/>
                  </w:tcPr>
                  <w:p w14:paraId="7D768877" w14:textId="77777777" w:rsidR="00B201D3" w:rsidRDefault="009855E8">
                    <w:pPr>
                      <w:jc w:val="center"/>
                    </w:pPr>
                    <w:r>
                      <w:t>期末</w:t>
                    </w:r>
                  </w:p>
                  <w:p w14:paraId="475E3BDC" w14:textId="77777777" w:rsidR="00B201D3" w:rsidRDefault="009855E8">
                    <w:pPr>
                      <w:jc w:val="center"/>
                    </w:pPr>
                    <w:r>
                      <w:t>持股数量</w:t>
                    </w:r>
                  </w:p>
                </w:tc>
              </w:sdtContent>
            </w:sdt>
            <w:sdt>
              <w:sdtPr>
                <w:tag w:val="_PLD_f27008de77ee4b27b35e2ae22d35699c"/>
                <w:id w:val="1464775855"/>
                <w:lock w:val="sdtLocked"/>
              </w:sdtPr>
              <w:sdtEndPr/>
              <w:sdtContent>
                <w:tc>
                  <w:tcPr>
                    <w:tcW w:w="741" w:type="dxa"/>
                    <w:vMerge w:val="restart"/>
                    <w:shd w:val="clear" w:color="auto" w:fill="auto"/>
                    <w:vAlign w:val="center"/>
                  </w:tcPr>
                  <w:p w14:paraId="052B3FDE" w14:textId="77777777" w:rsidR="00B201D3" w:rsidRDefault="009855E8">
                    <w:pPr>
                      <w:jc w:val="center"/>
                    </w:pPr>
                    <w:r>
                      <w:t>比例(%)</w:t>
                    </w:r>
                  </w:p>
                </w:tc>
              </w:sdtContent>
            </w:sdt>
            <w:sdt>
              <w:sdtPr>
                <w:rPr>
                  <w:rFonts w:ascii="宋体" w:hAnsi="宋体"/>
                </w:rPr>
                <w:tag w:val="_PLD_34fcc5fa9a414555bef1b48aa74c8135"/>
                <w:id w:val="209079794"/>
                <w:lock w:val="sdtLocked"/>
              </w:sdtPr>
              <w:sdtEndPr/>
              <w:sdtContent>
                <w:tc>
                  <w:tcPr>
                    <w:tcW w:w="1090" w:type="dxa"/>
                    <w:vMerge w:val="restart"/>
                    <w:shd w:val="clear" w:color="auto" w:fill="auto"/>
                    <w:vAlign w:val="center"/>
                  </w:tcPr>
                  <w:p w14:paraId="673DCC10" w14:textId="77777777" w:rsidR="00B201D3" w:rsidRDefault="009855E8">
                    <w:pPr>
                      <w:pStyle w:val="a3"/>
                      <w:rPr>
                        <w:rFonts w:ascii="宋体" w:hAnsi="宋体"/>
                        <w:bCs/>
                        <w:color w:val="00B050"/>
                      </w:rPr>
                    </w:pPr>
                    <w:r>
                      <w:rPr>
                        <w:rFonts w:ascii="宋体" w:hAnsi="宋体"/>
                      </w:rPr>
                      <w:t>持有有限售条件股份数量</w:t>
                    </w:r>
                  </w:p>
                </w:tc>
              </w:sdtContent>
            </w:sdt>
            <w:sdt>
              <w:sdtPr>
                <w:tag w:val="_PLD_94fbee67e09740e59eb90272af77b58a"/>
                <w:id w:val="-1658758578"/>
                <w:lock w:val="sdtLocked"/>
              </w:sdtPr>
              <w:sdtEndPr/>
              <w:sdtContent>
                <w:tc>
                  <w:tcPr>
                    <w:tcW w:w="2515" w:type="dxa"/>
                    <w:gridSpan w:val="3"/>
                    <w:shd w:val="clear" w:color="auto" w:fill="auto"/>
                    <w:vAlign w:val="center"/>
                  </w:tcPr>
                  <w:p w14:paraId="48CA664B" w14:textId="77777777" w:rsidR="00B201D3" w:rsidRDefault="009855E8">
                    <w:pPr>
                      <w:jc w:val="center"/>
                    </w:pPr>
                    <w:r>
                      <w:t>质押</w:t>
                    </w:r>
                    <w:r>
                      <w:rPr>
                        <w:rFonts w:hint="eastAsia"/>
                      </w:rPr>
                      <w:t>、标记</w:t>
                    </w:r>
                    <w:r>
                      <w:t>或冻结情况</w:t>
                    </w:r>
                  </w:p>
                </w:tc>
              </w:sdtContent>
            </w:sdt>
            <w:sdt>
              <w:sdtPr>
                <w:tag w:val="_PLD_2228ecf4db6a4362bff11fe1e2d3c903"/>
                <w:id w:val="-987171562"/>
                <w:lock w:val="sdtLocked"/>
              </w:sdtPr>
              <w:sdtEndPr/>
              <w:sdtContent>
                <w:tc>
                  <w:tcPr>
                    <w:tcW w:w="1097" w:type="dxa"/>
                    <w:vMerge w:val="restart"/>
                    <w:shd w:val="clear" w:color="auto" w:fill="auto"/>
                    <w:vAlign w:val="center"/>
                  </w:tcPr>
                  <w:p w14:paraId="17C314FA" w14:textId="77777777" w:rsidR="00B201D3" w:rsidRDefault="009855E8">
                    <w:pPr>
                      <w:jc w:val="center"/>
                    </w:pPr>
                    <w:r>
                      <w:t>股东性质</w:t>
                    </w:r>
                  </w:p>
                </w:tc>
              </w:sdtContent>
            </w:sdt>
          </w:tr>
          <w:tr w:rsidR="00B201D3" w14:paraId="19180C6F" w14:textId="77777777">
            <w:trPr>
              <w:cantSplit/>
            </w:trPr>
            <w:tc>
              <w:tcPr>
                <w:tcW w:w="2079" w:type="dxa"/>
                <w:vMerge/>
                <w:tcBorders>
                  <w:bottom w:val="single" w:sz="4" w:space="0" w:color="auto"/>
                </w:tcBorders>
                <w:shd w:val="clear" w:color="auto" w:fill="auto"/>
                <w:vAlign w:val="center"/>
              </w:tcPr>
              <w:p w14:paraId="0CB4FAA8" w14:textId="77777777" w:rsidR="00B201D3" w:rsidRDefault="00B201D3">
                <w:pPr>
                  <w:jc w:val="center"/>
                </w:pPr>
              </w:p>
            </w:tc>
            <w:tc>
              <w:tcPr>
                <w:tcW w:w="1416" w:type="dxa"/>
                <w:vMerge/>
                <w:tcBorders>
                  <w:bottom w:val="single" w:sz="4" w:space="0" w:color="auto"/>
                </w:tcBorders>
                <w:shd w:val="clear" w:color="auto" w:fill="auto"/>
                <w:vAlign w:val="center"/>
              </w:tcPr>
              <w:p w14:paraId="1600C970" w14:textId="77777777" w:rsidR="00B201D3" w:rsidRDefault="00B201D3">
                <w:pPr>
                  <w:jc w:val="center"/>
                </w:pPr>
              </w:p>
            </w:tc>
            <w:tc>
              <w:tcPr>
                <w:tcW w:w="1581" w:type="dxa"/>
                <w:vMerge/>
                <w:tcBorders>
                  <w:bottom w:val="single" w:sz="4" w:space="0" w:color="auto"/>
                </w:tcBorders>
                <w:shd w:val="clear" w:color="auto" w:fill="auto"/>
                <w:vAlign w:val="center"/>
              </w:tcPr>
              <w:p w14:paraId="373C8F53" w14:textId="77777777" w:rsidR="00B201D3" w:rsidRDefault="00B201D3">
                <w:pPr>
                  <w:jc w:val="center"/>
                </w:pPr>
              </w:p>
            </w:tc>
            <w:tc>
              <w:tcPr>
                <w:tcW w:w="741" w:type="dxa"/>
                <w:vMerge/>
                <w:tcBorders>
                  <w:bottom w:val="single" w:sz="4" w:space="0" w:color="auto"/>
                </w:tcBorders>
                <w:shd w:val="clear" w:color="auto" w:fill="auto"/>
                <w:vAlign w:val="center"/>
              </w:tcPr>
              <w:p w14:paraId="2953417D" w14:textId="77777777" w:rsidR="00B201D3" w:rsidRDefault="00B201D3">
                <w:pPr>
                  <w:jc w:val="center"/>
                </w:pPr>
              </w:p>
            </w:tc>
            <w:tc>
              <w:tcPr>
                <w:tcW w:w="1090" w:type="dxa"/>
                <w:vMerge/>
                <w:tcBorders>
                  <w:bottom w:val="single" w:sz="4" w:space="0" w:color="auto"/>
                </w:tcBorders>
                <w:shd w:val="clear" w:color="auto" w:fill="auto"/>
                <w:vAlign w:val="center"/>
              </w:tcPr>
              <w:p w14:paraId="7A04262F" w14:textId="77777777" w:rsidR="00B201D3" w:rsidRDefault="00B201D3">
                <w:pPr>
                  <w:jc w:val="center"/>
                </w:pPr>
              </w:p>
            </w:tc>
            <w:sdt>
              <w:sdtPr>
                <w:tag w:val="_PLD_45bf36a531de47beb596ebacadac576a"/>
                <w:id w:val="-1357880591"/>
                <w:lock w:val="sdtLocked"/>
              </w:sdtPr>
              <w:sdtEndPr/>
              <w:sdtContent>
                <w:tc>
                  <w:tcPr>
                    <w:tcW w:w="1098" w:type="dxa"/>
                    <w:tcBorders>
                      <w:bottom w:val="single" w:sz="4" w:space="0" w:color="auto"/>
                    </w:tcBorders>
                    <w:shd w:val="clear" w:color="auto" w:fill="auto"/>
                    <w:vAlign w:val="center"/>
                  </w:tcPr>
                  <w:p w14:paraId="0C39C7BF" w14:textId="77777777" w:rsidR="00B201D3" w:rsidRDefault="009855E8">
                    <w:pPr>
                      <w:jc w:val="center"/>
                    </w:pPr>
                    <w:r>
                      <w:t>股份状态</w:t>
                    </w:r>
                  </w:p>
                </w:tc>
              </w:sdtContent>
            </w:sdt>
            <w:sdt>
              <w:sdtPr>
                <w:tag w:val="_PLD_bea7397233604f859f8d14f2ae0a0417"/>
                <w:id w:val="227426461"/>
                <w:lock w:val="sdtLocked"/>
              </w:sdtPr>
              <w:sdtEndPr/>
              <w:sdtContent>
                <w:tc>
                  <w:tcPr>
                    <w:tcW w:w="1417" w:type="dxa"/>
                    <w:gridSpan w:val="2"/>
                    <w:tcBorders>
                      <w:bottom w:val="single" w:sz="4" w:space="0" w:color="auto"/>
                    </w:tcBorders>
                    <w:shd w:val="clear" w:color="auto" w:fill="auto"/>
                    <w:vAlign w:val="center"/>
                  </w:tcPr>
                  <w:p w14:paraId="1FB0A8CE" w14:textId="77777777" w:rsidR="00B201D3" w:rsidRDefault="009855E8">
                    <w:pPr>
                      <w:jc w:val="center"/>
                    </w:pPr>
                    <w:r>
                      <w:t>数量</w:t>
                    </w:r>
                  </w:p>
                </w:tc>
              </w:sdtContent>
            </w:sdt>
            <w:tc>
              <w:tcPr>
                <w:tcW w:w="1097" w:type="dxa"/>
                <w:vMerge/>
                <w:shd w:val="clear" w:color="auto" w:fill="auto"/>
                <w:vAlign w:val="center"/>
              </w:tcPr>
              <w:p w14:paraId="5748A613" w14:textId="77777777" w:rsidR="00B201D3" w:rsidRDefault="00B201D3">
                <w:pPr>
                  <w:jc w:val="center"/>
                </w:pPr>
              </w:p>
            </w:tc>
          </w:tr>
          <w:sdt>
            <w:sdtPr>
              <w:alias w:val="前十名股东持股情况"/>
              <w:tag w:val="_GBC_5fc8eaeeffc7456eb1a09687db3d4206"/>
              <w:id w:val="-1448385366"/>
              <w:lock w:val="sdtLocked"/>
            </w:sdtPr>
            <w:sdtEndPr>
              <w:rPr>
                <w:color w:val="FF9900"/>
              </w:rPr>
            </w:sdtEndPr>
            <w:sdtContent>
              <w:tr w:rsidR="00B201D3" w14:paraId="6DE21B9C" w14:textId="77777777">
                <w:trPr>
                  <w:cantSplit/>
                </w:trPr>
                <w:tc>
                  <w:tcPr>
                    <w:tcW w:w="2079" w:type="dxa"/>
                    <w:shd w:val="clear" w:color="auto" w:fill="auto"/>
                    <w:vAlign w:val="center"/>
                  </w:tcPr>
                  <w:p w14:paraId="4AA1B685" w14:textId="77777777" w:rsidR="00B201D3" w:rsidRDefault="009855E8">
                    <w:pPr>
                      <w:pStyle w:val="3903"/>
                    </w:pPr>
                    <w:r>
                      <w:rPr>
                        <w:rFonts w:hint="eastAsia"/>
                      </w:rPr>
                      <w:t>山东能源集团有限公司</w:t>
                    </w:r>
                  </w:p>
                </w:tc>
                <w:tc>
                  <w:tcPr>
                    <w:tcW w:w="1416" w:type="dxa"/>
                    <w:shd w:val="clear" w:color="auto" w:fill="auto"/>
                    <w:vAlign w:val="center"/>
                  </w:tcPr>
                  <w:p w14:paraId="38E3EEFF" w14:textId="77777777" w:rsidR="00B201D3" w:rsidRDefault="009855E8">
                    <w:pPr>
                      <w:jc w:val="right"/>
                    </w:pPr>
                    <w:r>
                      <w:t xml:space="preserve">0 </w:t>
                    </w:r>
                  </w:p>
                </w:tc>
                <w:tc>
                  <w:tcPr>
                    <w:tcW w:w="1581" w:type="dxa"/>
                    <w:shd w:val="clear" w:color="auto" w:fill="auto"/>
                    <w:vAlign w:val="center"/>
                  </w:tcPr>
                  <w:p w14:paraId="1B548EF2" w14:textId="77777777" w:rsidR="00B201D3" w:rsidRDefault="009855E8">
                    <w:pPr>
                      <w:jc w:val="right"/>
                    </w:pPr>
                    <w:r>
                      <w:t xml:space="preserve">2,257,324,473 </w:t>
                    </w:r>
                  </w:p>
                </w:tc>
                <w:tc>
                  <w:tcPr>
                    <w:tcW w:w="741" w:type="dxa"/>
                    <w:shd w:val="clear" w:color="auto" w:fill="auto"/>
                    <w:vAlign w:val="center"/>
                  </w:tcPr>
                  <w:p w14:paraId="15FC9962" w14:textId="77777777" w:rsidR="00B201D3" w:rsidRDefault="009855E8">
                    <w:pPr>
                      <w:jc w:val="right"/>
                    </w:pPr>
                    <w:r>
                      <w:t xml:space="preserve">45.50 </w:t>
                    </w:r>
                  </w:p>
                </w:tc>
                <w:tc>
                  <w:tcPr>
                    <w:tcW w:w="1090" w:type="dxa"/>
                    <w:shd w:val="clear" w:color="auto" w:fill="auto"/>
                    <w:vAlign w:val="center"/>
                  </w:tcPr>
                  <w:p w14:paraId="1694F250" w14:textId="77777777" w:rsidR="00B201D3" w:rsidRDefault="009855E8">
                    <w:pPr>
                      <w:jc w:val="right"/>
                    </w:pPr>
                    <w:r>
                      <w:rPr>
                        <w:rFonts w:hint="eastAsia"/>
                      </w:rPr>
                      <w:t>0</w:t>
                    </w:r>
                  </w:p>
                </w:tc>
                <w:sdt>
                  <w:sdtPr>
                    <w:alias w:val="前十名股东持有股份状态"/>
                    <w:tag w:val="_GBC_d5194108b2a8481e94140819dbdc5afe"/>
                    <w:id w:val="483133747"/>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1098" w:type="dxa"/>
                        <w:shd w:val="clear" w:color="auto" w:fill="auto"/>
                        <w:vAlign w:val="center"/>
                      </w:tcPr>
                      <w:p w14:paraId="6B2092E5" w14:textId="784E8435" w:rsidR="00B201D3" w:rsidRDefault="00F46283">
                        <w:pPr>
                          <w:jc w:val="center"/>
                          <w:rPr>
                            <w:color w:val="FF9900"/>
                          </w:rPr>
                        </w:pPr>
                        <w:r>
                          <w:t>质押</w:t>
                        </w:r>
                      </w:p>
                    </w:tc>
                  </w:sdtContent>
                </w:sdt>
                <w:tc>
                  <w:tcPr>
                    <w:tcW w:w="1417" w:type="dxa"/>
                    <w:gridSpan w:val="2"/>
                    <w:shd w:val="clear" w:color="auto" w:fill="auto"/>
                    <w:vAlign w:val="center"/>
                  </w:tcPr>
                  <w:p w14:paraId="5BB03EFF" w14:textId="77777777" w:rsidR="00B201D3" w:rsidRDefault="009855E8">
                    <w:pPr>
                      <w:jc w:val="right"/>
                    </w:pPr>
                    <w:r>
                      <w:rPr>
                        <w:rFonts w:hint="eastAsia"/>
                      </w:rPr>
                      <w:t>1</w:t>
                    </w:r>
                    <w:r>
                      <w:t>14,277,185</w:t>
                    </w:r>
                  </w:p>
                </w:tc>
                <w:sdt>
                  <w:sdtPr>
                    <w:alias w:val="前十名股东的股东性质"/>
                    <w:tag w:val="_GBC_71380bc899eb4b9781e95e37e7a1e221"/>
                    <w:id w:val="107084960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097" w:type="dxa"/>
                        <w:shd w:val="clear" w:color="auto" w:fill="auto"/>
                        <w:vAlign w:val="center"/>
                      </w:tcPr>
                      <w:p w14:paraId="136D9461" w14:textId="7AAC56F0" w:rsidR="00B201D3" w:rsidRDefault="00F46283">
                        <w:pPr>
                          <w:jc w:val="center"/>
                          <w:rPr>
                            <w:color w:val="FF9900"/>
                          </w:rPr>
                        </w:pPr>
                        <w:r>
                          <w:t>国有法人</w:t>
                        </w:r>
                      </w:p>
                    </w:tc>
                  </w:sdtContent>
                </w:sdt>
              </w:tr>
            </w:sdtContent>
          </w:sdt>
          <w:sdt>
            <w:sdtPr>
              <w:alias w:val="前十名股东持股情况"/>
              <w:tag w:val="_GBC_5fc8eaeeffc7456eb1a09687db3d4206"/>
              <w:id w:val="728583769"/>
              <w:lock w:val="sdtLocked"/>
            </w:sdtPr>
            <w:sdtEndPr>
              <w:rPr>
                <w:color w:val="FF9900"/>
              </w:rPr>
            </w:sdtEndPr>
            <w:sdtContent>
              <w:tr w:rsidR="00B201D3" w14:paraId="6A4DC1A0" w14:textId="77777777">
                <w:trPr>
                  <w:cantSplit/>
                </w:trPr>
                <w:tc>
                  <w:tcPr>
                    <w:tcW w:w="2079" w:type="dxa"/>
                    <w:shd w:val="clear" w:color="auto" w:fill="auto"/>
                    <w:vAlign w:val="center"/>
                  </w:tcPr>
                  <w:p w14:paraId="164A2FBA" w14:textId="77777777" w:rsidR="00B201D3" w:rsidRDefault="009855E8">
                    <w:pPr>
                      <w:pStyle w:val="3903"/>
                    </w:pPr>
                    <w:r>
                      <w:rPr>
                        <w:rFonts w:hint="eastAsia"/>
                      </w:rPr>
                      <w:t>香港中央结算（代理人）有限公司</w:t>
                    </w:r>
                  </w:p>
                </w:tc>
                <w:tc>
                  <w:tcPr>
                    <w:tcW w:w="1416" w:type="dxa"/>
                    <w:shd w:val="clear" w:color="auto" w:fill="auto"/>
                    <w:vAlign w:val="center"/>
                  </w:tcPr>
                  <w:p w14:paraId="3715B662" w14:textId="77777777" w:rsidR="00B201D3" w:rsidRDefault="009855E8">
                    <w:pPr>
                      <w:jc w:val="right"/>
                    </w:pPr>
                    <w:r>
                      <w:t xml:space="preserve">-73,200 </w:t>
                    </w:r>
                  </w:p>
                </w:tc>
                <w:tc>
                  <w:tcPr>
                    <w:tcW w:w="1581" w:type="dxa"/>
                    <w:shd w:val="clear" w:color="auto" w:fill="auto"/>
                    <w:vAlign w:val="center"/>
                  </w:tcPr>
                  <w:p w14:paraId="57028FD6" w14:textId="77777777" w:rsidR="00B201D3" w:rsidRDefault="009855E8">
                    <w:pPr>
                      <w:jc w:val="right"/>
                    </w:pPr>
                    <w:r>
                      <w:t xml:space="preserve">1,897,851,006 </w:t>
                    </w:r>
                  </w:p>
                </w:tc>
                <w:tc>
                  <w:tcPr>
                    <w:tcW w:w="741" w:type="dxa"/>
                    <w:shd w:val="clear" w:color="auto" w:fill="auto"/>
                    <w:vAlign w:val="center"/>
                  </w:tcPr>
                  <w:p w14:paraId="1854F477" w14:textId="77777777" w:rsidR="00B201D3" w:rsidRDefault="009855E8">
                    <w:pPr>
                      <w:jc w:val="right"/>
                    </w:pPr>
                    <w:r>
                      <w:t xml:space="preserve">38.25 </w:t>
                    </w:r>
                  </w:p>
                </w:tc>
                <w:tc>
                  <w:tcPr>
                    <w:tcW w:w="1090" w:type="dxa"/>
                    <w:shd w:val="clear" w:color="auto" w:fill="auto"/>
                    <w:vAlign w:val="center"/>
                  </w:tcPr>
                  <w:p w14:paraId="0E33260A" w14:textId="77777777" w:rsidR="00B201D3" w:rsidRDefault="009855E8">
                    <w:pPr>
                      <w:jc w:val="right"/>
                    </w:pPr>
                    <w:r>
                      <w:rPr>
                        <w:rFonts w:hint="eastAsia"/>
                      </w:rPr>
                      <w:t>0</w:t>
                    </w:r>
                  </w:p>
                </w:tc>
                <w:sdt>
                  <w:sdtPr>
                    <w:alias w:val="前十名股东持有股份状态"/>
                    <w:tag w:val="_GBC_d5194108b2a8481e94140819dbdc5afe"/>
                    <w:id w:val="912509789"/>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1098" w:type="dxa"/>
                        <w:shd w:val="clear" w:color="auto" w:fill="auto"/>
                        <w:vAlign w:val="center"/>
                      </w:tcPr>
                      <w:p w14:paraId="5B4718EF" w14:textId="7B39D016" w:rsidR="00B201D3" w:rsidRDefault="00F46283">
                        <w:pPr>
                          <w:jc w:val="center"/>
                          <w:rPr>
                            <w:color w:val="FF9900"/>
                          </w:rPr>
                        </w:pPr>
                        <w:r>
                          <w:t>未知</w:t>
                        </w:r>
                      </w:p>
                    </w:tc>
                  </w:sdtContent>
                </w:sdt>
                <w:tc>
                  <w:tcPr>
                    <w:tcW w:w="1417" w:type="dxa"/>
                    <w:gridSpan w:val="2"/>
                    <w:shd w:val="clear" w:color="auto" w:fill="auto"/>
                    <w:vAlign w:val="center"/>
                  </w:tcPr>
                  <w:p w14:paraId="519477B8" w14:textId="77777777" w:rsidR="00B201D3" w:rsidRDefault="009855E8">
                    <w:pPr>
                      <w:jc w:val="right"/>
                    </w:pPr>
                    <w:r>
                      <w:rPr>
                        <w:rFonts w:hint="eastAsia"/>
                      </w:rPr>
                      <w:t>-</w:t>
                    </w:r>
                  </w:p>
                </w:tc>
                <w:sdt>
                  <w:sdtPr>
                    <w:alias w:val="前十名股东的股东性质"/>
                    <w:tag w:val="_GBC_71380bc899eb4b9781e95e37e7a1e221"/>
                    <w:id w:val="33557775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097" w:type="dxa"/>
                        <w:shd w:val="clear" w:color="auto" w:fill="auto"/>
                        <w:vAlign w:val="center"/>
                      </w:tcPr>
                      <w:p w14:paraId="47C1A117" w14:textId="73B0BBA9" w:rsidR="00B201D3" w:rsidRDefault="00F46283">
                        <w:pPr>
                          <w:jc w:val="center"/>
                          <w:rPr>
                            <w:color w:val="FF9900"/>
                          </w:rPr>
                        </w:pPr>
                        <w:r>
                          <w:t>境外法人</w:t>
                        </w:r>
                      </w:p>
                    </w:tc>
                  </w:sdtContent>
                </w:sdt>
              </w:tr>
            </w:sdtContent>
          </w:sdt>
          <w:sdt>
            <w:sdtPr>
              <w:alias w:val="前十名股东持股情况"/>
              <w:tag w:val="_GBC_5fc8eaeeffc7456eb1a09687db3d4206"/>
              <w:id w:val="-1200926781"/>
              <w:lock w:val="sdtLocked"/>
            </w:sdtPr>
            <w:sdtEndPr>
              <w:rPr>
                <w:color w:val="FF9900"/>
              </w:rPr>
            </w:sdtEndPr>
            <w:sdtContent>
              <w:tr w:rsidR="00B201D3" w14:paraId="4C7D9613" w14:textId="77777777">
                <w:trPr>
                  <w:cantSplit/>
                </w:trPr>
                <w:tc>
                  <w:tcPr>
                    <w:tcW w:w="2079" w:type="dxa"/>
                    <w:shd w:val="clear" w:color="auto" w:fill="auto"/>
                    <w:vAlign w:val="center"/>
                  </w:tcPr>
                  <w:p w14:paraId="440A01E6" w14:textId="77777777" w:rsidR="00B201D3" w:rsidRDefault="009855E8">
                    <w:pPr>
                      <w:pStyle w:val="3903"/>
                    </w:pPr>
                    <w:r>
                      <w:rPr>
                        <w:rFonts w:hint="eastAsia"/>
                      </w:rPr>
                      <w:t>香港中央结算有限公司</w:t>
                    </w:r>
                  </w:p>
                </w:tc>
                <w:tc>
                  <w:tcPr>
                    <w:tcW w:w="1416" w:type="dxa"/>
                    <w:shd w:val="clear" w:color="auto" w:fill="auto"/>
                    <w:vAlign w:val="center"/>
                  </w:tcPr>
                  <w:p w14:paraId="4EF7A82D" w14:textId="77777777" w:rsidR="00B201D3" w:rsidRDefault="009855E8">
                    <w:pPr>
                      <w:jc w:val="right"/>
                    </w:pPr>
                    <w:r>
                      <w:t xml:space="preserve">-32,233,880 </w:t>
                    </w:r>
                  </w:p>
                </w:tc>
                <w:tc>
                  <w:tcPr>
                    <w:tcW w:w="1581" w:type="dxa"/>
                    <w:shd w:val="clear" w:color="auto" w:fill="auto"/>
                    <w:vAlign w:val="center"/>
                  </w:tcPr>
                  <w:p w14:paraId="0DFB951A" w14:textId="77777777" w:rsidR="00B201D3" w:rsidRDefault="009855E8">
                    <w:pPr>
                      <w:jc w:val="right"/>
                    </w:pPr>
                    <w:r>
                      <w:t xml:space="preserve">67,389,131 </w:t>
                    </w:r>
                  </w:p>
                </w:tc>
                <w:tc>
                  <w:tcPr>
                    <w:tcW w:w="741" w:type="dxa"/>
                    <w:shd w:val="clear" w:color="auto" w:fill="auto"/>
                    <w:vAlign w:val="center"/>
                  </w:tcPr>
                  <w:p w14:paraId="0793B641" w14:textId="77777777" w:rsidR="00B201D3" w:rsidRDefault="009855E8">
                    <w:pPr>
                      <w:jc w:val="right"/>
                    </w:pPr>
                    <w:r>
                      <w:t xml:space="preserve">1.36 </w:t>
                    </w:r>
                  </w:p>
                </w:tc>
                <w:tc>
                  <w:tcPr>
                    <w:tcW w:w="1090" w:type="dxa"/>
                    <w:shd w:val="clear" w:color="auto" w:fill="auto"/>
                    <w:vAlign w:val="center"/>
                  </w:tcPr>
                  <w:p w14:paraId="48C38ABE" w14:textId="77777777" w:rsidR="00B201D3" w:rsidRDefault="009855E8">
                    <w:pPr>
                      <w:jc w:val="right"/>
                    </w:pPr>
                    <w:r>
                      <w:rPr>
                        <w:rFonts w:hint="eastAsia"/>
                      </w:rPr>
                      <w:t>0</w:t>
                    </w:r>
                  </w:p>
                </w:tc>
                <w:sdt>
                  <w:sdtPr>
                    <w:alias w:val="前十名股东持有股份状态"/>
                    <w:tag w:val="_GBC_d5194108b2a8481e94140819dbdc5afe"/>
                    <w:id w:val="-46466595"/>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1098" w:type="dxa"/>
                        <w:shd w:val="clear" w:color="auto" w:fill="auto"/>
                        <w:vAlign w:val="center"/>
                      </w:tcPr>
                      <w:p w14:paraId="10AE7E88" w14:textId="5E8DBAC6" w:rsidR="00B201D3" w:rsidRDefault="00F46283">
                        <w:pPr>
                          <w:jc w:val="center"/>
                          <w:rPr>
                            <w:color w:val="FF9900"/>
                          </w:rPr>
                        </w:pPr>
                        <w:r>
                          <w:t>无</w:t>
                        </w:r>
                      </w:p>
                    </w:tc>
                  </w:sdtContent>
                </w:sdt>
                <w:tc>
                  <w:tcPr>
                    <w:tcW w:w="1417" w:type="dxa"/>
                    <w:gridSpan w:val="2"/>
                    <w:shd w:val="clear" w:color="auto" w:fill="auto"/>
                    <w:vAlign w:val="center"/>
                  </w:tcPr>
                  <w:p w14:paraId="1138E347" w14:textId="77777777" w:rsidR="00B201D3" w:rsidRDefault="009855E8">
                    <w:pPr>
                      <w:jc w:val="right"/>
                    </w:pPr>
                    <w:r>
                      <w:t>0</w:t>
                    </w:r>
                  </w:p>
                </w:tc>
                <w:sdt>
                  <w:sdtPr>
                    <w:alias w:val="前十名股东的股东性质"/>
                    <w:tag w:val="_GBC_71380bc899eb4b9781e95e37e7a1e221"/>
                    <w:id w:val="4788194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097" w:type="dxa"/>
                        <w:shd w:val="clear" w:color="auto" w:fill="auto"/>
                        <w:vAlign w:val="center"/>
                      </w:tcPr>
                      <w:p w14:paraId="4E73D34A" w14:textId="0231EC6B" w:rsidR="00B201D3" w:rsidRDefault="00F46283">
                        <w:pPr>
                          <w:jc w:val="center"/>
                          <w:rPr>
                            <w:color w:val="FF9900"/>
                          </w:rPr>
                        </w:pPr>
                        <w:r>
                          <w:t>境外法人</w:t>
                        </w:r>
                      </w:p>
                    </w:tc>
                  </w:sdtContent>
                </w:sdt>
              </w:tr>
            </w:sdtContent>
          </w:sdt>
          <w:sdt>
            <w:sdtPr>
              <w:alias w:val="前十名股东持股情况"/>
              <w:tag w:val="_GBC_5fc8eaeeffc7456eb1a09687db3d4206"/>
              <w:id w:val="1978643775"/>
              <w:lock w:val="sdtLocked"/>
            </w:sdtPr>
            <w:sdtEndPr>
              <w:rPr>
                <w:color w:val="FF9900"/>
              </w:rPr>
            </w:sdtEndPr>
            <w:sdtContent>
              <w:tr w:rsidR="00B201D3" w14:paraId="16233571" w14:textId="77777777">
                <w:trPr>
                  <w:cantSplit/>
                </w:trPr>
                <w:tc>
                  <w:tcPr>
                    <w:tcW w:w="2079" w:type="dxa"/>
                    <w:shd w:val="clear" w:color="auto" w:fill="auto"/>
                    <w:vAlign w:val="center"/>
                  </w:tcPr>
                  <w:p w14:paraId="08F328BA" w14:textId="77777777" w:rsidR="00B201D3" w:rsidRDefault="009855E8">
                    <w:pPr>
                      <w:pStyle w:val="3903"/>
                    </w:pPr>
                    <w:r>
                      <w:rPr>
                        <w:rFonts w:hint="eastAsia"/>
                      </w:rPr>
                      <w:t>国新投资有限公司</w:t>
                    </w:r>
                  </w:p>
                </w:tc>
                <w:tc>
                  <w:tcPr>
                    <w:tcW w:w="1416" w:type="dxa"/>
                    <w:shd w:val="clear" w:color="auto" w:fill="auto"/>
                    <w:vAlign w:val="center"/>
                  </w:tcPr>
                  <w:p w14:paraId="736E2888" w14:textId="77777777" w:rsidR="00B201D3" w:rsidRDefault="009855E8">
                    <w:pPr>
                      <w:jc w:val="right"/>
                    </w:pPr>
                    <w:r>
                      <w:t xml:space="preserve">43,881,956 </w:t>
                    </w:r>
                  </w:p>
                </w:tc>
                <w:tc>
                  <w:tcPr>
                    <w:tcW w:w="1581" w:type="dxa"/>
                    <w:shd w:val="clear" w:color="auto" w:fill="auto"/>
                    <w:vAlign w:val="center"/>
                  </w:tcPr>
                  <w:p w14:paraId="6415D5C0" w14:textId="77777777" w:rsidR="00B201D3" w:rsidRDefault="009855E8">
                    <w:pPr>
                      <w:jc w:val="right"/>
                    </w:pPr>
                    <w:r>
                      <w:t xml:space="preserve">43,881,956 </w:t>
                    </w:r>
                  </w:p>
                </w:tc>
                <w:tc>
                  <w:tcPr>
                    <w:tcW w:w="741" w:type="dxa"/>
                    <w:shd w:val="clear" w:color="auto" w:fill="auto"/>
                    <w:vAlign w:val="center"/>
                  </w:tcPr>
                  <w:p w14:paraId="34B619C4" w14:textId="77777777" w:rsidR="00B201D3" w:rsidRDefault="009855E8">
                    <w:pPr>
                      <w:jc w:val="right"/>
                    </w:pPr>
                    <w:r>
                      <w:t xml:space="preserve">0.88 </w:t>
                    </w:r>
                  </w:p>
                </w:tc>
                <w:tc>
                  <w:tcPr>
                    <w:tcW w:w="1090" w:type="dxa"/>
                    <w:shd w:val="clear" w:color="auto" w:fill="auto"/>
                    <w:vAlign w:val="center"/>
                  </w:tcPr>
                  <w:p w14:paraId="49074713" w14:textId="77777777" w:rsidR="00B201D3" w:rsidRDefault="009855E8">
                    <w:pPr>
                      <w:jc w:val="right"/>
                    </w:pPr>
                    <w:r>
                      <w:rPr>
                        <w:rFonts w:hint="eastAsia"/>
                      </w:rPr>
                      <w:t>0</w:t>
                    </w:r>
                  </w:p>
                </w:tc>
                <w:sdt>
                  <w:sdtPr>
                    <w:alias w:val="前十名股东持有股份状态"/>
                    <w:tag w:val="_GBC_d5194108b2a8481e94140819dbdc5afe"/>
                    <w:id w:val="1156339325"/>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1098" w:type="dxa"/>
                        <w:shd w:val="clear" w:color="auto" w:fill="auto"/>
                        <w:vAlign w:val="center"/>
                      </w:tcPr>
                      <w:p w14:paraId="373E79B2" w14:textId="1200A436" w:rsidR="00B201D3" w:rsidRDefault="00F46283">
                        <w:pPr>
                          <w:jc w:val="center"/>
                          <w:rPr>
                            <w:color w:val="FF9900"/>
                          </w:rPr>
                        </w:pPr>
                        <w:r>
                          <w:t>无</w:t>
                        </w:r>
                      </w:p>
                    </w:tc>
                  </w:sdtContent>
                </w:sdt>
                <w:tc>
                  <w:tcPr>
                    <w:tcW w:w="1417" w:type="dxa"/>
                    <w:gridSpan w:val="2"/>
                    <w:shd w:val="clear" w:color="auto" w:fill="auto"/>
                    <w:vAlign w:val="center"/>
                  </w:tcPr>
                  <w:p w14:paraId="72CF7AAD" w14:textId="77777777" w:rsidR="00B201D3" w:rsidRDefault="009855E8">
                    <w:pPr>
                      <w:jc w:val="right"/>
                    </w:pPr>
                    <w:r>
                      <w:t>0</w:t>
                    </w:r>
                  </w:p>
                </w:tc>
                <w:sdt>
                  <w:sdtPr>
                    <w:alias w:val="前十名股东的股东性质"/>
                    <w:tag w:val="_GBC_71380bc899eb4b9781e95e37e7a1e221"/>
                    <w:id w:val="129810326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097" w:type="dxa"/>
                        <w:shd w:val="clear" w:color="auto" w:fill="auto"/>
                        <w:vAlign w:val="center"/>
                      </w:tcPr>
                      <w:p w14:paraId="1CA236F6" w14:textId="7442019A" w:rsidR="00B201D3" w:rsidRDefault="00F46283">
                        <w:pPr>
                          <w:jc w:val="center"/>
                          <w:rPr>
                            <w:color w:val="FF9900"/>
                          </w:rPr>
                        </w:pPr>
                        <w:r>
                          <w:t>国有法人</w:t>
                        </w:r>
                      </w:p>
                    </w:tc>
                  </w:sdtContent>
                </w:sdt>
              </w:tr>
            </w:sdtContent>
          </w:sdt>
          <w:sdt>
            <w:sdtPr>
              <w:alias w:val="前十名股东持股情况"/>
              <w:tag w:val="_GBC_5fc8eaeeffc7456eb1a09687db3d4206"/>
              <w:id w:val="-736470742"/>
              <w:lock w:val="sdtLocked"/>
            </w:sdtPr>
            <w:sdtEndPr>
              <w:rPr>
                <w:color w:val="FF9900"/>
              </w:rPr>
            </w:sdtEndPr>
            <w:sdtContent>
              <w:tr w:rsidR="00B201D3" w14:paraId="71F2BDFA" w14:textId="77777777">
                <w:trPr>
                  <w:cantSplit/>
                </w:trPr>
                <w:tc>
                  <w:tcPr>
                    <w:tcW w:w="2079" w:type="dxa"/>
                    <w:shd w:val="clear" w:color="auto" w:fill="auto"/>
                    <w:vAlign w:val="center"/>
                  </w:tcPr>
                  <w:p w14:paraId="5FC5DAC2" w14:textId="77777777" w:rsidR="00B201D3" w:rsidRDefault="009855E8">
                    <w:pPr>
                      <w:pStyle w:val="3903"/>
                    </w:pPr>
                    <w:r>
                      <w:rPr>
                        <w:rFonts w:hint="eastAsia"/>
                      </w:rPr>
                      <w:t>全国社保基金一一七组合</w:t>
                    </w:r>
                  </w:p>
                </w:tc>
                <w:tc>
                  <w:tcPr>
                    <w:tcW w:w="1416" w:type="dxa"/>
                    <w:shd w:val="clear" w:color="auto" w:fill="auto"/>
                    <w:vAlign w:val="center"/>
                  </w:tcPr>
                  <w:p w14:paraId="446632D9" w14:textId="77777777" w:rsidR="00B201D3" w:rsidRDefault="009855E8">
                    <w:pPr>
                      <w:jc w:val="right"/>
                    </w:pPr>
                    <w:r>
                      <w:t xml:space="preserve">600,000 </w:t>
                    </w:r>
                  </w:p>
                </w:tc>
                <w:tc>
                  <w:tcPr>
                    <w:tcW w:w="1581" w:type="dxa"/>
                    <w:shd w:val="clear" w:color="auto" w:fill="auto"/>
                    <w:vAlign w:val="center"/>
                  </w:tcPr>
                  <w:p w14:paraId="1FB977AA" w14:textId="77777777" w:rsidR="00B201D3" w:rsidRDefault="009855E8">
                    <w:pPr>
                      <w:jc w:val="right"/>
                    </w:pPr>
                    <w:r>
                      <w:t xml:space="preserve">16,008,844 </w:t>
                    </w:r>
                  </w:p>
                </w:tc>
                <w:tc>
                  <w:tcPr>
                    <w:tcW w:w="741" w:type="dxa"/>
                    <w:shd w:val="clear" w:color="auto" w:fill="auto"/>
                    <w:vAlign w:val="center"/>
                  </w:tcPr>
                  <w:p w14:paraId="29307D84" w14:textId="77777777" w:rsidR="00B201D3" w:rsidRDefault="009855E8">
                    <w:pPr>
                      <w:jc w:val="right"/>
                    </w:pPr>
                    <w:r>
                      <w:t xml:space="preserve">0.32 </w:t>
                    </w:r>
                  </w:p>
                </w:tc>
                <w:tc>
                  <w:tcPr>
                    <w:tcW w:w="1090" w:type="dxa"/>
                    <w:shd w:val="clear" w:color="auto" w:fill="auto"/>
                    <w:vAlign w:val="center"/>
                  </w:tcPr>
                  <w:p w14:paraId="444BF2BD" w14:textId="77777777" w:rsidR="00B201D3" w:rsidRDefault="009855E8">
                    <w:pPr>
                      <w:jc w:val="right"/>
                    </w:pPr>
                    <w:r>
                      <w:rPr>
                        <w:rFonts w:hint="eastAsia"/>
                      </w:rPr>
                      <w:t>0</w:t>
                    </w:r>
                  </w:p>
                </w:tc>
                <w:sdt>
                  <w:sdtPr>
                    <w:alias w:val="前十名股东持有股份状态"/>
                    <w:tag w:val="_GBC_d5194108b2a8481e94140819dbdc5afe"/>
                    <w:id w:val="-1520689357"/>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1098" w:type="dxa"/>
                        <w:shd w:val="clear" w:color="auto" w:fill="auto"/>
                        <w:vAlign w:val="center"/>
                      </w:tcPr>
                      <w:p w14:paraId="30AC28EF" w14:textId="4A8138C5" w:rsidR="00B201D3" w:rsidRDefault="00F46283">
                        <w:pPr>
                          <w:jc w:val="center"/>
                          <w:rPr>
                            <w:color w:val="FF9900"/>
                          </w:rPr>
                        </w:pPr>
                        <w:r>
                          <w:t>无</w:t>
                        </w:r>
                      </w:p>
                    </w:tc>
                  </w:sdtContent>
                </w:sdt>
                <w:tc>
                  <w:tcPr>
                    <w:tcW w:w="1417" w:type="dxa"/>
                    <w:gridSpan w:val="2"/>
                    <w:shd w:val="clear" w:color="auto" w:fill="auto"/>
                    <w:vAlign w:val="center"/>
                  </w:tcPr>
                  <w:p w14:paraId="57AB1E5B" w14:textId="77777777" w:rsidR="00B201D3" w:rsidRDefault="009855E8">
                    <w:pPr>
                      <w:jc w:val="right"/>
                    </w:pPr>
                    <w:r>
                      <w:t>0</w:t>
                    </w:r>
                  </w:p>
                </w:tc>
                <w:sdt>
                  <w:sdtPr>
                    <w:alias w:val="前十名股东的股东性质"/>
                    <w:tag w:val="_GBC_71380bc899eb4b9781e95e37e7a1e221"/>
                    <w:id w:val="114917818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097" w:type="dxa"/>
                        <w:shd w:val="clear" w:color="auto" w:fill="auto"/>
                        <w:vAlign w:val="center"/>
                      </w:tcPr>
                      <w:p w14:paraId="5AB8787A" w14:textId="43635D23" w:rsidR="00B201D3" w:rsidRDefault="00F46283">
                        <w:pPr>
                          <w:jc w:val="center"/>
                          <w:rPr>
                            <w:color w:val="FF9900"/>
                          </w:rPr>
                        </w:pPr>
                        <w:r>
                          <w:t>未知</w:t>
                        </w:r>
                      </w:p>
                    </w:tc>
                  </w:sdtContent>
                </w:sdt>
              </w:tr>
            </w:sdtContent>
          </w:sdt>
          <w:sdt>
            <w:sdtPr>
              <w:alias w:val="前十名股东持股情况"/>
              <w:tag w:val="_GBC_5fc8eaeeffc7456eb1a09687db3d4206"/>
              <w:id w:val="1966935578"/>
              <w:lock w:val="sdtLocked"/>
            </w:sdtPr>
            <w:sdtEndPr>
              <w:rPr>
                <w:color w:val="FF9900"/>
              </w:rPr>
            </w:sdtEndPr>
            <w:sdtContent>
              <w:tr w:rsidR="00B201D3" w14:paraId="0DD145B4" w14:textId="77777777">
                <w:trPr>
                  <w:cantSplit/>
                </w:trPr>
                <w:tc>
                  <w:tcPr>
                    <w:tcW w:w="2079" w:type="dxa"/>
                    <w:shd w:val="clear" w:color="auto" w:fill="auto"/>
                    <w:vAlign w:val="center"/>
                  </w:tcPr>
                  <w:p w14:paraId="086F21F9" w14:textId="77777777" w:rsidR="00B201D3" w:rsidRDefault="009855E8">
                    <w:pPr>
                      <w:pStyle w:val="3903"/>
                    </w:pPr>
                    <w:r>
                      <w:rPr>
                        <w:rFonts w:hint="eastAsia"/>
                      </w:rPr>
                      <w:t>招商银行股份有限公司－上证红利交易型开放式指数证券投资基金</w:t>
                    </w:r>
                  </w:p>
                </w:tc>
                <w:tc>
                  <w:tcPr>
                    <w:tcW w:w="1416" w:type="dxa"/>
                    <w:shd w:val="clear" w:color="auto" w:fill="auto"/>
                    <w:vAlign w:val="center"/>
                  </w:tcPr>
                  <w:p w14:paraId="2A771491" w14:textId="77777777" w:rsidR="00B201D3" w:rsidRDefault="009855E8">
                    <w:pPr>
                      <w:jc w:val="right"/>
                    </w:pPr>
                    <w:r>
                      <w:t xml:space="preserve">488,624 </w:t>
                    </w:r>
                  </w:p>
                </w:tc>
                <w:tc>
                  <w:tcPr>
                    <w:tcW w:w="1581" w:type="dxa"/>
                    <w:shd w:val="clear" w:color="auto" w:fill="auto"/>
                    <w:vAlign w:val="center"/>
                  </w:tcPr>
                  <w:p w14:paraId="355CC09D" w14:textId="77777777" w:rsidR="00B201D3" w:rsidRDefault="009855E8">
                    <w:pPr>
                      <w:jc w:val="right"/>
                    </w:pPr>
                    <w:r>
                      <w:t xml:space="preserve">13,427,948 </w:t>
                    </w:r>
                  </w:p>
                </w:tc>
                <w:tc>
                  <w:tcPr>
                    <w:tcW w:w="741" w:type="dxa"/>
                    <w:shd w:val="clear" w:color="auto" w:fill="auto"/>
                    <w:vAlign w:val="center"/>
                  </w:tcPr>
                  <w:p w14:paraId="42561AE1" w14:textId="77777777" w:rsidR="00B201D3" w:rsidRDefault="009855E8">
                    <w:pPr>
                      <w:jc w:val="right"/>
                    </w:pPr>
                    <w:r>
                      <w:t xml:space="preserve">0.27 </w:t>
                    </w:r>
                  </w:p>
                </w:tc>
                <w:tc>
                  <w:tcPr>
                    <w:tcW w:w="1090" w:type="dxa"/>
                    <w:shd w:val="clear" w:color="auto" w:fill="auto"/>
                    <w:vAlign w:val="center"/>
                  </w:tcPr>
                  <w:p w14:paraId="7C520D64" w14:textId="77777777" w:rsidR="00B201D3" w:rsidRDefault="009855E8">
                    <w:pPr>
                      <w:jc w:val="right"/>
                    </w:pPr>
                    <w:r>
                      <w:rPr>
                        <w:rFonts w:hint="eastAsia"/>
                      </w:rPr>
                      <w:t>0</w:t>
                    </w:r>
                  </w:p>
                </w:tc>
                <w:sdt>
                  <w:sdtPr>
                    <w:alias w:val="前十名股东持有股份状态"/>
                    <w:tag w:val="_GBC_d5194108b2a8481e94140819dbdc5afe"/>
                    <w:id w:val="-215659608"/>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1098" w:type="dxa"/>
                        <w:shd w:val="clear" w:color="auto" w:fill="auto"/>
                        <w:vAlign w:val="center"/>
                      </w:tcPr>
                      <w:p w14:paraId="72D8A57E" w14:textId="6DAF5929" w:rsidR="00B201D3" w:rsidRDefault="00F46283">
                        <w:pPr>
                          <w:jc w:val="center"/>
                          <w:rPr>
                            <w:color w:val="FF9900"/>
                          </w:rPr>
                        </w:pPr>
                        <w:r>
                          <w:t>无</w:t>
                        </w:r>
                      </w:p>
                    </w:tc>
                  </w:sdtContent>
                </w:sdt>
                <w:tc>
                  <w:tcPr>
                    <w:tcW w:w="1417" w:type="dxa"/>
                    <w:gridSpan w:val="2"/>
                    <w:shd w:val="clear" w:color="auto" w:fill="auto"/>
                    <w:vAlign w:val="center"/>
                  </w:tcPr>
                  <w:p w14:paraId="7C51CFD3" w14:textId="77777777" w:rsidR="00B201D3" w:rsidRDefault="009855E8">
                    <w:pPr>
                      <w:jc w:val="right"/>
                    </w:pPr>
                    <w:r>
                      <w:t>0</w:t>
                    </w:r>
                  </w:p>
                </w:tc>
                <w:sdt>
                  <w:sdtPr>
                    <w:alias w:val="前十名股东的股东性质"/>
                    <w:tag w:val="_GBC_71380bc899eb4b9781e95e37e7a1e221"/>
                    <w:id w:val="-102994780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097" w:type="dxa"/>
                        <w:shd w:val="clear" w:color="auto" w:fill="auto"/>
                        <w:vAlign w:val="center"/>
                      </w:tcPr>
                      <w:p w14:paraId="699ED7FF" w14:textId="04DEA2F7" w:rsidR="00B201D3" w:rsidRDefault="00F46283">
                        <w:pPr>
                          <w:jc w:val="center"/>
                          <w:rPr>
                            <w:color w:val="FF9900"/>
                          </w:rPr>
                        </w:pPr>
                        <w:r>
                          <w:t>未知</w:t>
                        </w:r>
                      </w:p>
                    </w:tc>
                  </w:sdtContent>
                </w:sdt>
              </w:tr>
            </w:sdtContent>
          </w:sdt>
          <w:sdt>
            <w:sdtPr>
              <w:alias w:val="前十名股东持股情况"/>
              <w:tag w:val="_GBC_5fc8eaeeffc7456eb1a09687db3d4206"/>
              <w:id w:val="-561173592"/>
              <w:lock w:val="sdtLocked"/>
            </w:sdtPr>
            <w:sdtEndPr>
              <w:rPr>
                <w:color w:val="FF9900"/>
              </w:rPr>
            </w:sdtEndPr>
            <w:sdtContent>
              <w:tr w:rsidR="00B201D3" w14:paraId="49508DB7" w14:textId="77777777">
                <w:trPr>
                  <w:cantSplit/>
                </w:trPr>
                <w:tc>
                  <w:tcPr>
                    <w:tcW w:w="2079" w:type="dxa"/>
                    <w:shd w:val="clear" w:color="auto" w:fill="auto"/>
                    <w:vAlign w:val="center"/>
                  </w:tcPr>
                  <w:p w14:paraId="306BCBBB" w14:textId="77777777" w:rsidR="00B201D3" w:rsidRDefault="009855E8">
                    <w:pPr>
                      <w:pStyle w:val="3903"/>
                    </w:pPr>
                    <w:r>
                      <w:rPr>
                        <w:rFonts w:hint="eastAsia"/>
                      </w:rPr>
                      <w:t>全国社保基金六零一组合</w:t>
                    </w:r>
                  </w:p>
                </w:tc>
                <w:tc>
                  <w:tcPr>
                    <w:tcW w:w="1416" w:type="dxa"/>
                    <w:shd w:val="clear" w:color="auto" w:fill="auto"/>
                    <w:vAlign w:val="center"/>
                  </w:tcPr>
                  <w:p w14:paraId="32738765" w14:textId="77777777" w:rsidR="00B201D3" w:rsidRDefault="009855E8">
                    <w:pPr>
                      <w:jc w:val="right"/>
                    </w:pPr>
                    <w:r>
                      <w:t xml:space="preserve">0 </w:t>
                    </w:r>
                  </w:p>
                </w:tc>
                <w:tc>
                  <w:tcPr>
                    <w:tcW w:w="1581" w:type="dxa"/>
                    <w:shd w:val="clear" w:color="auto" w:fill="auto"/>
                    <w:vAlign w:val="center"/>
                  </w:tcPr>
                  <w:p w14:paraId="151E0BF4" w14:textId="77777777" w:rsidR="00B201D3" w:rsidRDefault="009855E8">
                    <w:pPr>
                      <w:jc w:val="right"/>
                    </w:pPr>
                    <w:r>
                      <w:t xml:space="preserve">9,502,363 </w:t>
                    </w:r>
                  </w:p>
                </w:tc>
                <w:tc>
                  <w:tcPr>
                    <w:tcW w:w="741" w:type="dxa"/>
                    <w:shd w:val="clear" w:color="auto" w:fill="auto"/>
                    <w:vAlign w:val="center"/>
                  </w:tcPr>
                  <w:p w14:paraId="3CBD5673" w14:textId="77777777" w:rsidR="00B201D3" w:rsidRDefault="009855E8">
                    <w:pPr>
                      <w:jc w:val="right"/>
                    </w:pPr>
                    <w:r>
                      <w:t xml:space="preserve">0.19 </w:t>
                    </w:r>
                  </w:p>
                </w:tc>
                <w:tc>
                  <w:tcPr>
                    <w:tcW w:w="1090" w:type="dxa"/>
                    <w:shd w:val="clear" w:color="auto" w:fill="auto"/>
                    <w:vAlign w:val="center"/>
                  </w:tcPr>
                  <w:p w14:paraId="46AA4634" w14:textId="77777777" w:rsidR="00B201D3" w:rsidRDefault="009855E8">
                    <w:pPr>
                      <w:jc w:val="right"/>
                    </w:pPr>
                    <w:r>
                      <w:rPr>
                        <w:rFonts w:hint="eastAsia"/>
                      </w:rPr>
                      <w:t>0</w:t>
                    </w:r>
                  </w:p>
                </w:tc>
                <w:sdt>
                  <w:sdtPr>
                    <w:alias w:val="前十名股东持有股份状态"/>
                    <w:tag w:val="_GBC_d5194108b2a8481e94140819dbdc5afe"/>
                    <w:id w:val="1013955999"/>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1098" w:type="dxa"/>
                        <w:shd w:val="clear" w:color="auto" w:fill="auto"/>
                        <w:vAlign w:val="center"/>
                      </w:tcPr>
                      <w:p w14:paraId="0D541D39" w14:textId="6914A045" w:rsidR="00B201D3" w:rsidRDefault="00F46283">
                        <w:pPr>
                          <w:jc w:val="center"/>
                          <w:rPr>
                            <w:color w:val="FF9900"/>
                          </w:rPr>
                        </w:pPr>
                        <w:r>
                          <w:t>无</w:t>
                        </w:r>
                      </w:p>
                    </w:tc>
                  </w:sdtContent>
                </w:sdt>
                <w:tc>
                  <w:tcPr>
                    <w:tcW w:w="1417" w:type="dxa"/>
                    <w:gridSpan w:val="2"/>
                    <w:shd w:val="clear" w:color="auto" w:fill="auto"/>
                    <w:vAlign w:val="center"/>
                  </w:tcPr>
                  <w:p w14:paraId="6EF1CF7F" w14:textId="77777777" w:rsidR="00B201D3" w:rsidRDefault="009855E8">
                    <w:pPr>
                      <w:jc w:val="right"/>
                    </w:pPr>
                    <w:r>
                      <w:t>0</w:t>
                    </w:r>
                  </w:p>
                </w:tc>
                <w:sdt>
                  <w:sdtPr>
                    <w:alias w:val="前十名股东的股东性质"/>
                    <w:tag w:val="_GBC_71380bc899eb4b9781e95e37e7a1e221"/>
                    <w:id w:val="-81587566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097" w:type="dxa"/>
                        <w:shd w:val="clear" w:color="auto" w:fill="auto"/>
                        <w:vAlign w:val="center"/>
                      </w:tcPr>
                      <w:p w14:paraId="4DB23964" w14:textId="44232A92" w:rsidR="00B201D3" w:rsidRDefault="00F46283">
                        <w:pPr>
                          <w:jc w:val="center"/>
                          <w:rPr>
                            <w:color w:val="FF9900"/>
                          </w:rPr>
                        </w:pPr>
                        <w:r>
                          <w:t>未知</w:t>
                        </w:r>
                      </w:p>
                    </w:tc>
                  </w:sdtContent>
                </w:sdt>
              </w:tr>
            </w:sdtContent>
          </w:sdt>
          <w:sdt>
            <w:sdtPr>
              <w:alias w:val="前十名股东持股情况"/>
              <w:tag w:val="_GBC_5fc8eaeeffc7456eb1a09687db3d4206"/>
              <w:id w:val="595439112"/>
              <w:lock w:val="sdtLocked"/>
            </w:sdtPr>
            <w:sdtEndPr>
              <w:rPr>
                <w:color w:val="FF9900"/>
              </w:rPr>
            </w:sdtEndPr>
            <w:sdtContent>
              <w:tr w:rsidR="00B201D3" w14:paraId="01D07123" w14:textId="77777777">
                <w:trPr>
                  <w:cantSplit/>
                </w:trPr>
                <w:tc>
                  <w:tcPr>
                    <w:tcW w:w="2079" w:type="dxa"/>
                    <w:shd w:val="clear" w:color="auto" w:fill="auto"/>
                    <w:vAlign w:val="center"/>
                  </w:tcPr>
                  <w:p w14:paraId="32597DE6" w14:textId="77777777" w:rsidR="00B201D3" w:rsidRDefault="009855E8">
                    <w:pPr>
                      <w:pStyle w:val="3903"/>
                    </w:pPr>
                    <w:r>
                      <w:rPr>
                        <w:rFonts w:hint="eastAsia"/>
                      </w:rPr>
                      <w:t>中国工商银行股份有限公司－国泰中证煤炭交易型开放式指数证券投资基金</w:t>
                    </w:r>
                  </w:p>
                </w:tc>
                <w:tc>
                  <w:tcPr>
                    <w:tcW w:w="1416" w:type="dxa"/>
                    <w:shd w:val="clear" w:color="auto" w:fill="auto"/>
                    <w:vAlign w:val="center"/>
                  </w:tcPr>
                  <w:p w14:paraId="2E3FA0EB" w14:textId="77777777" w:rsidR="00B201D3" w:rsidRDefault="009855E8">
                    <w:pPr>
                      <w:jc w:val="right"/>
                    </w:pPr>
                    <w:r>
                      <w:t xml:space="preserve">-1,666,318 </w:t>
                    </w:r>
                  </w:p>
                </w:tc>
                <w:tc>
                  <w:tcPr>
                    <w:tcW w:w="1581" w:type="dxa"/>
                    <w:shd w:val="clear" w:color="auto" w:fill="auto"/>
                    <w:vAlign w:val="center"/>
                  </w:tcPr>
                  <w:p w14:paraId="5A0D3255" w14:textId="77777777" w:rsidR="00B201D3" w:rsidRDefault="009855E8">
                    <w:pPr>
                      <w:jc w:val="right"/>
                    </w:pPr>
                    <w:r>
                      <w:t xml:space="preserve">8,227,540 </w:t>
                    </w:r>
                  </w:p>
                </w:tc>
                <w:tc>
                  <w:tcPr>
                    <w:tcW w:w="741" w:type="dxa"/>
                    <w:shd w:val="clear" w:color="auto" w:fill="auto"/>
                    <w:vAlign w:val="center"/>
                  </w:tcPr>
                  <w:p w14:paraId="4750D459" w14:textId="77777777" w:rsidR="00B201D3" w:rsidRDefault="009855E8">
                    <w:pPr>
                      <w:jc w:val="right"/>
                    </w:pPr>
                    <w:r>
                      <w:t xml:space="preserve">0.17 </w:t>
                    </w:r>
                  </w:p>
                </w:tc>
                <w:tc>
                  <w:tcPr>
                    <w:tcW w:w="1090" w:type="dxa"/>
                    <w:shd w:val="clear" w:color="auto" w:fill="auto"/>
                    <w:vAlign w:val="center"/>
                  </w:tcPr>
                  <w:p w14:paraId="02EF42A3" w14:textId="77777777" w:rsidR="00B201D3" w:rsidRDefault="009855E8">
                    <w:pPr>
                      <w:jc w:val="right"/>
                    </w:pPr>
                    <w:r>
                      <w:rPr>
                        <w:rFonts w:hint="eastAsia"/>
                      </w:rPr>
                      <w:t>0</w:t>
                    </w:r>
                  </w:p>
                </w:tc>
                <w:sdt>
                  <w:sdtPr>
                    <w:alias w:val="前十名股东持有股份状态"/>
                    <w:tag w:val="_GBC_d5194108b2a8481e94140819dbdc5afe"/>
                    <w:id w:val="547119108"/>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1098" w:type="dxa"/>
                        <w:shd w:val="clear" w:color="auto" w:fill="auto"/>
                        <w:vAlign w:val="center"/>
                      </w:tcPr>
                      <w:p w14:paraId="2FDC14B3" w14:textId="4238DCED" w:rsidR="00B201D3" w:rsidRDefault="00F46283">
                        <w:pPr>
                          <w:jc w:val="center"/>
                          <w:rPr>
                            <w:color w:val="FF9900"/>
                          </w:rPr>
                        </w:pPr>
                        <w:r>
                          <w:t>无</w:t>
                        </w:r>
                      </w:p>
                    </w:tc>
                  </w:sdtContent>
                </w:sdt>
                <w:tc>
                  <w:tcPr>
                    <w:tcW w:w="1417" w:type="dxa"/>
                    <w:gridSpan w:val="2"/>
                    <w:shd w:val="clear" w:color="auto" w:fill="auto"/>
                    <w:vAlign w:val="center"/>
                  </w:tcPr>
                  <w:p w14:paraId="2912D453" w14:textId="77777777" w:rsidR="00B201D3" w:rsidRDefault="009855E8">
                    <w:pPr>
                      <w:jc w:val="right"/>
                    </w:pPr>
                    <w:r>
                      <w:t>0</w:t>
                    </w:r>
                  </w:p>
                </w:tc>
                <w:sdt>
                  <w:sdtPr>
                    <w:alias w:val="前十名股东的股东性质"/>
                    <w:tag w:val="_GBC_71380bc899eb4b9781e95e37e7a1e221"/>
                    <w:id w:val="-60657812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097" w:type="dxa"/>
                        <w:shd w:val="clear" w:color="auto" w:fill="auto"/>
                        <w:vAlign w:val="center"/>
                      </w:tcPr>
                      <w:p w14:paraId="52682E98" w14:textId="0F79CC34" w:rsidR="00B201D3" w:rsidRDefault="00F46283">
                        <w:pPr>
                          <w:jc w:val="center"/>
                          <w:rPr>
                            <w:color w:val="FF9900"/>
                          </w:rPr>
                        </w:pPr>
                        <w:r>
                          <w:t>未知</w:t>
                        </w:r>
                      </w:p>
                    </w:tc>
                  </w:sdtContent>
                </w:sdt>
              </w:tr>
            </w:sdtContent>
          </w:sdt>
          <w:sdt>
            <w:sdtPr>
              <w:alias w:val="前十名股东持股情况"/>
              <w:tag w:val="_GBC_5fc8eaeeffc7456eb1a09687db3d4206"/>
              <w:id w:val="-1784107154"/>
              <w:lock w:val="sdtLocked"/>
            </w:sdtPr>
            <w:sdtEndPr>
              <w:rPr>
                <w:color w:val="FF9900"/>
              </w:rPr>
            </w:sdtEndPr>
            <w:sdtContent>
              <w:tr w:rsidR="00B201D3" w14:paraId="7D1B23DC" w14:textId="77777777">
                <w:trPr>
                  <w:cantSplit/>
                </w:trPr>
                <w:tc>
                  <w:tcPr>
                    <w:tcW w:w="2079" w:type="dxa"/>
                    <w:shd w:val="clear" w:color="auto" w:fill="auto"/>
                    <w:vAlign w:val="center"/>
                  </w:tcPr>
                  <w:p w14:paraId="3490FF1E" w14:textId="77777777" w:rsidR="00B201D3" w:rsidRDefault="009855E8">
                    <w:pPr>
                      <w:pStyle w:val="3903"/>
                    </w:pPr>
                    <w:r>
                      <w:rPr>
                        <w:rFonts w:hint="eastAsia"/>
                      </w:rPr>
                      <w:t>基本养老保险基金一五零五二组合</w:t>
                    </w:r>
                  </w:p>
                </w:tc>
                <w:tc>
                  <w:tcPr>
                    <w:tcW w:w="1416" w:type="dxa"/>
                    <w:shd w:val="clear" w:color="auto" w:fill="auto"/>
                    <w:vAlign w:val="center"/>
                  </w:tcPr>
                  <w:p w14:paraId="3997EC9B" w14:textId="77777777" w:rsidR="00B201D3" w:rsidRDefault="009855E8">
                    <w:pPr>
                      <w:jc w:val="right"/>
                    </w:pPr>
                    <w:r>
                      <w:t xml:space="preserve">1,489,400 </w:t>
                    </w:r>
                  </w:p>
                </w:tc>
                <w:tc>
                  <w:tcPr>
                    <w:tcW w:w="1581" w:type="dxa"/>
                    <w:shd w:val="clear" w:color="auto" w:fill="auto"/>
                    <w:vAlign w:val="center"/>
                  </w:tcPr>
                  <w:p w14:paraId="145CC476" w14:textId="77777777" w:rsidR="00B201D3" w:rsidRDefault="009855E8">
                    <w:pPr>
                      <w:jc w:val="right"/>
                    </w:pPr>
                    <w:r>
                      <w:t xml:space="preserve">5,690,233 </w:t>
                    </w:r>
                  </w:p>
                </w:tc>
                <w:tc>
                  <w:tcPr>
                    <w:tcW w:w="741" w:type="dxa"/>
                    <w:shd w:val="clear" w:color="auto" w:fill="auto"/>
                    <w:vAlign w:val="center"/>
                  </w:tcPr>
                  <w:p w14:paraId="45E9A7A7" w14:textId="77777777" w:rsidR="00B201D3" w:rsidRDefault="009855E8">
                    <w:pPr>
                      <w:jc w:val="right"/>
                    </w:pPr>
                    <w:r>
                      <w:t xml:space="preserve">0.11 </w:t>
                    </w:r>
                  </w:p>
                </w:tc>
                <w:tc>
                  <w:tcPr>
                    <w:tcW w:w="1090" w:type="dxa"/>
                    <w:shd w:val="clear" w:color="auto" w:fill="auto"/>
                    <w:vAlign w:val="center"/>
                  </w:tcPr>
                  <w:p w14:paraId="2FD181C5" w14:textId="77777777" w:rsidR="00B201D3" w:rsidRDefault="009855E8">
                    <w:pPr>
                      <w:jc w:val="right"/>
                    </w:pPr>
                    <w:r>
                      <w:rPr>
                        <w:rFonts w:hint="eastAsia"/>
                      </w:rPr>
                      <w:t>0</w:t>
                    </w:r>
                  </w:p>
                </w:tc>
                <w:sdt>
                  <w:sdtPr>
                    <w:alias w:val="前十名股东持有股份状态"/>
                    <w:tag w:val="_GBC_d5194108b2a8481e94140819dbdc5afe"/>
                    <w:id w:val="-959107025"/>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1098" w:type="dxa"/>
                        <w:shd w:val="clear" w:color="auto" w:fill="auto"/>
                        <w:vAlign w:val="center"/>
                      </w:tcPr>
                      <w:p w14:paraId="136C1CB7" w14:textId="03DAD5BD" w:rsidR="00B201D3" w:rsidRDefault="00F46283">
                        <w:pPr>
                          <w:jc w:val="center"/>
                          <w:rPr>
                            <w:color w:val="FF9900"/>
                          </w:rPr>
                        </w:pPr>
                        <w:r>
                          <w:t>无</w:t>
                        </w:r>
                      </w:p>
                    </w:tc>
                  </w:sdtContent>
                </w:sdt>
                <w:tc>
                  <w:tcPr>
                    <w:tcW w:w="1417" w:type="dxa"/>
                    <w:gridSpan w:val="2"/>
                    <w:shd w:val="clear" w:color="auto" w:fill="auto"/>
                    <w:vAlign w:val="center"/>
                  </w:tcPr>
                  <w:p w14:paraId="35964A29" w14:textId="77777777" w:rsidR="00B201D3" w:rsidRDefault="009855E8">
                    <w:pPr>
                      <w:jc w:val="right"/>
                    </w:pPr>
                    <w:r>
                      <w:t>0</w:t>
                    </w:r>
                  </w:p>
                </w:tc>
                <w:sdt>
                  <w:sdtPr>
                    <w:alias w:val="前十名股东的股东性质"/>
                    <w:tag w:val="_GBC_71380bc899eb4b9781e95e37e7a1e221"/>
                    <w:id w:val="-85133385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097" w:type="dxa"/>
                        <w:shd w:val="clear" w:color="auto" w:fill="auto"/>
                        <w:vAlign w:val="center"/>
                      </w:tcPr>
                      <w:p w14:paraId="61A7CAC7" w14:textId="58341087" w:rsidR="00B201D3" w:rsidRDefault="00F46283">
                        <w:pPr>
                          <w:jc w:val="center"/>
                          <w:rPr>
                            <w:color w:val="FF9900"/>
                          </w:rPr>
                        </w:pPr>
                        <w:r>
                          <w:t>未知</w:t>
                        </w:r>
                      </w:p>
                    </w:tc>
                  </w:sdtContent>
                </w:sdt>
              </w:tr>
            </w:sdtContent>
          </w:sdt>
          <w:sdt>
            <w:sdtPr>
              <w:alias w:val="前十名股东持股情况"/>
              <w:tag w:val="_GBC_5fc8eaeeffc7456eb1a09687db3d4206"/>
              <w:id w:val="-161245970"/>
              <w:lock w:val="sdtLocked"/>
            </w:sdtPr>
            <w:sdtEndPr>
              <w:rPr>
                <w:color w:val="FF9900"/>
              </w:rPr>
            </w:sdtEndPr>
            <w:sdtContent>
              <w:tr w:rsidR="00B201D3" w14:paraId="3AAC0D26" w14:textId="77777777">
                <w:trPr>
                  <w:cantSplit/>
                </w:trPr>
                <w:tc>
                  <w:tcPr>
                    <w:tcW w:w="2079" w:type="dxa"/>
                    <w:shd w:val="clear" w:color="auto" w:fill="auto"/>
                    <w:vAlign w:val="center"/>
                  </w:tcPr>
                  <w:p w14:paraId="153B9A86" w14:textId="77777777" w:rsidR="00B201D3" w:rsidRDefault="009855E8">
                    <w:pPr>
                      <w:pStyle w:val="3903"/>
                    </w:pPr>
                    <w:r>
                      <w:rPr>
                        <w:rFonts w:hint="eastAsia"/>
                      </w:rPr>
                      <w:t>招商证券股份有限公司－建信中小盘先锋股票型证券投资基金</w:t>
                    </w:r>
                  </w:p>
                </w:tc>
                <w:tc>
                  <w:tcPr>
                    <w:tcW w:w="1416" w:type="dxa"/>
                    <w:shd w:val="clear" w:color="auto" w:fill="auto"/>
                    <w:vAlign w:val="center"/>
                  </w:tcPr>
                  <w:p w14:paraId="2AA3B3DD" w14:textId="77777777" w:rsidR="00B201D3" w:rsidRDefault="009855E8">
                    <w:pPr>
                      <w:jc w:val="right"/>
                    </w:pPr>
                    <w:r>
                      <w:t xml:space="preserve">-5,084,647 </w:t>
                    </w:r>
                  </w:p>
                </w:tc>
                <w:tc>
                  <w:tcPr>
                    <w:tcW w:w="1581" w:type="dxa"/>
                    <w:shd w:val="clear" w:color="auto" w:fill="auto"/>
                    <w:vAlign w:val="center"/>
                  </w:tcPr>
                  <w:p w14:paraId="6537ED11" w14:textId="77777777" w:rsidR="00B201D3" w:rsidRDefault="009855E8">
                    <w:pPr>
                      <w:jc w:val="right"/>
                    </w:pPr>
                    <w:r>
                      <w:t xml:space="preserve">5,617,620 </w:t>
                    </w:r>
                  </w:p>
                </w:tc>
                <w:tc>
                  <w:tcPr>
                    <w:tcW w:w="741" w:type="dxa"/>
                    <w:shd w:val="clear" w:color="auto" w:fill="auto"/>
                    <w:vAlign w:val="center"/>
                  </w:tcPr>
                  <w:p w14:paraId="2D8E7F77" w14:textId="77777777" w:rsidR="00B201D3" w:rsidRDefault="009855E8">
                    <w:pPr>
                      <w:jc w:val="right"/>
                    </w:pPr>
                    <w:r>
                      <w:t xml:space="preserve">0.11 </w:t>
                    </w:r>
                  </w:p>
                </w:tc>
                <w:tc>
                  <w:tcPr>
                    <w:tcW w:w="1090" w:type="dxa"/>
                    <w:shd w:val="clear" w:color="auto" w:fill="auto"/>
                    <w:vAlign w:val="center"/>
                  </w:tcPr>
                  <w:p w14:paraId="4EBCCD59" w14:textId="77777777" w:rsidR="00B201D3" w:rsidRDefault="009855E8">
                    <w:pPr>
                      <w:jc w:val="right"/>
                    </w:pPr>
                    <w:r>
                      <w:rPr>
                        <w:rFonts w:hint="eastAsia"/>
                      </w:rPr>
                      <w:t>0</w:t>
                    </w:r>
                  </w:p>
                </w:tc>
                <w:sdt>
                  <w:sdtPr>
                    <w:alias w:val="前十名股东持有股份状态"/>
                    <w:tag w:val="_GBC_d5194108b2a8481e94140819dbdc5afe"/>
                    <w:id w:val="1800809226"/>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sdtContent>
                    <w:tc>
                      <w:tcPr>
                        <w:tcW w:w="1098" w:type="dxa"/>
                        <w:shd w:val="clear" w:color="auto" w:fill="auto"/>
                        <w:vAlign w:val="center"/>
                      </w:tcPr>
                      <w:p w14:paraId="3C1EB65C" w14:textId="0B308CF2" w:rsidR="00B201D3" w:rsidRDefault="00F46283">
                        <w:pPr>
                          <w:jc w:val="center"/>
                          <w:rPr>
                            <w:color w:val="FF9900"/>
                          </w:rPr>
                        </w:pPr>
                        <w:r>
                          <w:t>无</w:t>
                        </w:r>
                      </w:p>
                    </w:tc>
                  </w:sdtContent>
                </w:sdt>
                <w:tc>
                  <w:tcPr>
                    <w:tcW w:w="1417" w:type="dxa"/>
                    <w:gridSpan w:val="2"/>
                    <w:shd w:val="clear" w:color="auto" w:fill="auto"/>
                    <w:vAlign w:val="center"/>
                  </w:tcPr>
                  <w:p w14:paraId="0146B7E6" w14:textId="77777777" w:rsidR="00B201D3" w:rsidRDefault="009855E8">
                    <w:pPr>
                      <w:jc w:val="right"/>
                    </w:pPr>
                    <w:r>
                      <w:t>0</w:t>
                    </w:r>
                  </w:p>
                </w:tc>
                <w:sdt>
                  <w:sdtPr>
                    <w:alias w:val="前十名股东的股东性质"/>
                    <w:tag w:val="_GBC_71380bc899eb4b9781e95e37e7a1e221"/>
                    <w:id w:val="183526060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097" w:type="dxa"/>
                        <w:shd w:val="clear" w:color="auto" w:fill="auto"/>
                        <w:vAlign w:val="center"/>
                      </w:tcPr>
                      <w:p w14:paraId="1109A92E" w14:textId="63362EDE" w:rsidR="00B201D3" w:rsidRDefault="00F46283">
                        <w:pPr>
                          <w:jc w:val="center"/>
                          <w:rPr>
                            <w:color w:val="FF9900"/>
                          </w:rPr>
                        </w:pPr>
                        <w:r>
                          <w:t>未知</w:t>
                        </w:r>
                      </w:p>
                    </w:tc>
                  </w:sdtContent>
                </w:sdt>
              </w:tr>
            </w:sdtContent>
          </w:sdt>
          <w:tr w:rsidR="00B201D3" w14:paraId="79EA1E75" w14:textId="77777777">
            <w:trPr>
              <w:cantSplit/>
            </w:trPr>
            <w:sdt>
              <w:sdtPr>
                <w:tag w:val="_PLD_6f36efd0621247ffb7b2462dd9753e27"/>
                <w:id w:val="-1080205335"/>
                <w:lock w:val="sdtLocked"/>
              </w:sdtPr>
              <w:sdtEndPr/>
              <w:sdtContent>
                <w:tc>
                  <w:tcPr>
                    <w:tcW w:w="10519" w:type="dxa"/>
                    <w:gridSpan w:val="9"/>
                    <w:shd w:val="clear" w:color="auto" w:fill="auto"/>
                    <w:vAlign w:val="center"/>
                  </w:tcPr>
                  <w:p w14:paraId="75813C10" w14:textId="77777777" w:rsidR="00B201D3" w:rsidRDefault="009855E8">
                    <w:pPr>
                      <w:jc w:val="center"/>
                      <w:rPr>
                        <w:color w:val="FF9900"/>
                      </w:rPr>
                    </w:pPr>
                    <w:r>
                      <w:t>前十名无限售条件股东持股情况</w:t>
                    </w:r>
                  </w:p>
                </w:tc>
              </w:sdtContent>
            </w:sdt>
          </w:tr>
          <w:tr w:rsidR="00B201D3" w14:paraId="380A371A" w14:textId="77777777">
            <w:trPr>
              <w:cantSplit/>
            </w:trPr>
            <w:sdt>
              <w:sdtPr>
                <w:tag w:val="_PLD_6c8c7d50ba2b44858757eeaaa20b5499"/>
                <w:id w:val="-1007902303"/>
                <w:lock w:val="sdtLocked"/>
              </w:sdtPr>
              <w:sdtEndPr/>
              <w:sdtContent>
                <w:tc>
                  <w:tcPr>
                    <w:tcW w:w="3495" w:type="dxa"/>
                    <w:gridSpan w:val="2"/>
                    <w:vMerge w:val="restart"/>
                    <w:shd w:val="clear" w:color="auto" w:fill="auto"/>
                    <w:vAlign w:val="center"/>
                  </w:tcPr>
                  <w:p w14:paraId="259F5708" w14:textId="77777777" w:rsidR="00B201D3" w:rsidRDefault="009855E8">
                    <w:pPr>
                      <w:jc w:val="center"/>
                      <w:rPr>
                        <w:color w:val="FF9900"/>
                      </w:rPr>
                    </w:pPr>
                    <w:r>
                      <w:t>股东名称</w:t>
                    </w:r>
                  </w:p>
                </w:tc>
              </w:sdtContent>
            </w:sdt>
            <w:sdt>
              <w:sdtPr>
                <w:tag w:val="_PLD_e4987b1a07a6489c82ab5ef0aa3370ea"/>
                <w:id w:val="51117766"/>
                <w:lock w:val="sdtLocked"/>
              </w:sdtPr>
              <w:sdtEndPr/>
              <w:sdtContent>
                <w:tc>
                  <w:tcPr>
                    <w:tcW w:w="3412" w:type="dxa"/>
                    <w:gridSpan w:val="3"/>
                    <w:vMerge w:val="restart"/>
                    <w:shd w:val="clear" w:color="auto" w:fill="auto"/>
                    <w:vAlign w:val="center"/>
                  </w:tcPr>
                  <w:p w14:paraId="6CDA905E" w14:textId="77777777" w:rsidR="00B201D3" w:rsidRDefault="009855E8">
                    <w:pPr>
                      <w:jc w:val="center"/>
                      <w:rPr>
                        <w:color w:val="FF9900"/>
                      </w:rPr>
                    </w:pPr>
                    <w:r>
                      <w:t>持有无限售条件流通股的数量</w:t>
                    </w:r>
                  </w:p>
                </w:tc>
              </w:sdtContent>
            </w:sdt>
            <w:sdt>
              <w:sdtPr>
                <w:tag w:val="_PLD_26ce78cac14a427ca05aa80b21b65936"/>
                <w:id w:val="1514188289"/>
                <w:lock w:val="sdtLocked"/>
              </w:sdtPr>
              <w:sdtEndPr/>
              <w:sdtContent>
                <w:tc>
                  <w:tcPr>
                    <w:tcW w:w="3612" w:type="dxa"/>
                    <w:gridSpan w:val="4"/>
                    <w:tcBorders>
                      <w:bottom w:val="single" w:sz="4" w:space="0" w:color="auto"/>
                    </w:tcBorders>
                    <w:shd w:val="clear" w:color="auto" w:fill="auto"/>
                    <w:vAlign w:val="center"/>
                  </w:tcPr>
                  <w:p w14:paraId="17E14469" w14:textId="77777777" w:rsidR="00B201D3" w:rsidRDefault="009855E8">
                    <w:pPr>
                      <w:jc w:val="center"/>
                      <w:rPr>
                        <w:color w:val="FF9900"/>
                      </w:rPr>
                    </w:pPr>
                    <w:r>
                      <w:t>股份种类</w:t>
                    </w:r>
                    <w:r>
                      <w:rPr>
                        <w:rFonts w:hint="eastAsia"/>
                      </w:rPr>
                      <w:t>及数量</w:t>
                    </w:r>
                  </w:p>
                </w:tc>
              </w:sdtContent>
            </w:sdt>
          </w:tr>
          <w:tr w:rsidR="00B201D3" w14:paraId="3C1C1F24" w14:textId="77777777">
            <w:trPr>
              <w:cantSplit/>
            </w:trPr>
            <w:tc>
              <w:tcPr>
                <w:tcW w:w="3495" w:type="dxa"/>
                <w:gridSpan w:val="2"/>
                <w:vMerge/>
                <w:shd w:val="clear" w:color="auto" w:fill="auto"/>
                <w:vAlign w:val="center"/>
              </w:tcPr>
              <w:p w14:paraId="7AF0BACE" w14:textId="77777777" w:rsidR="00B201D3" w:rsidRDefault="00B201D3">
                <w:pPr>
                  <w:jc w:val="center"/>
                  <w:rPr>
                    <w:color w:val="FF9900"/>
                  </w:rPr>
                </w:pPr>
              </w:p>
            </w:tc>
            <w:tc>
              <w:tcPr>
                <w:tcW w:w="3412" w:type="dxa"/>
                <w:gridSpan w:val="3"/>
                <w:vMerge/>
                <w:shd w:val="clear" w:color="auto" w:fill="auto"/>
                <w:vAlign w:val="center"/>
              </w:tcPr>
              <w:p w14:paraId="003B734A" w14:textId="77777777" w:rsidR="00B201D3" w:rsidRDefault="00B201D3">
                <w:pPr>
                  <w:jc w:val="center"/>
                  <w:rPr>
                    <w:color w:val="FF9900"/>
                  </w:rPr>
                </w:pPr>
              </w:p>
            </w:tc>
            <w:sdt>
              <w:sdtPr>
                <w:tag w:val="_PLD_05580a00e3f942c0b2da618818a84669"/>
                <w:id w:val="-987160311"/>
                <w:lock w:val="sdtLocked"/>
              </w:sdtPr>
              <w:sdtEndPr/>
              <w:sdtContent>
                <w:tc>
                  <w:tcPr>
                    <w:tcW w:w="1911" w:type="dxa"/>
                    <w:gridSpan w:val="2"/>
                    <w:shd w:val="clear" w:color="auto" w:fill="auto"/>
                    <w:vAlign w:val="center"/>
                  </w:tcPr>
                  <w:p w14:paraId="03C29A81" w14:textId="77777777" w:rsidR="00B201D3" w:rsidRDefault="009855E8">
                    <w:pPr>
                      <w:jc w:val="center"/>
                      <w:rPr>
                        <w:color w:val="008000"/>
                      </w:rPr>
                    </w:pPr>
                    <w:r>
                      <w:rPr>
                        <w:rFonts w:hint="eastAsia"/>
                      </w:rPr>
                      <w:t>种类</w:t>
                    </w:r>
                  </w:p>
                </w:tc>
              </w:sdtContent>
            </w:sdt>
            <w:sdt>
              <w:sdtPr>
                <w:tag w:val="_PLD_7f8ec6251e234192b411b34b07ccd732"/>
                <w:id w:val="-1217740138"/>
                <w:lock w:val="sdtLocked"/>
              </w:sdtPr>
              <w:sdtEndPr/>
              <w:sdtContent>
                <w:tc>
                  <w:tcPr>
                    <w:tcW w:w="1701" w:type="dxa"/>
                    <w:gridSpan w:val="2"/>
                    <w:shd w:val="clear" w:color="auto" w:fill="auto"/>
                    <w:vAlign w:val="center"/>
                  </w:tcPr>
                  <w:p w14:paraId="5BADF851" w14:textId="77777777" w:rsidR="00B201D3" w:rsidRDefault="009855E8">
                    <w:pPr>
                      <w:jc w:val="center"/>
                      <w:rPr>
                        <w:color w:val="008000"/>
                      </w:rPr>
                    </w:pPr>
                    <w:r>
                      <w:rPr>
                        <w:rFonts w:hint="eastAsia"/>
                      </w:rPr>
                      <w:t>数量</w:t>
                    </w:r>
                  </w:p>
                </w:tc>
              </w:sdtContent>
            </w:sdt>
          </w:tr>
          <w:sdt>
            <w:sdtPr>
              <w:alias w:val="前十名无限售条件股东持股情况"/>
              <w:tag w:val="_GBC_d4835fea183942b8823bf8913d1f2f26"/>
              <w:id w:val="759648542"/>
              <w:lock w:val="sdtLocked"/>
            </w:sdtPr>
            <w:sdtEndPr/>
            <w:sdtContent>
              <w:tr w:rsidR="00B201D3" w14:paraId="053F464A" w14:textId="77777777">
                <w:trPr>
                  <w:cantSplit/>
                </w:trPr>
                <w:tc>
                  <w:tcPr>
                    <w:tcW w:w="3495" w:type="dxa"/>
                    <w:gridSpan w:val="2"/>
                    <w:shd w:val="clear" w:color="auto" w:fill="auto"/>
                    <w:vAlign w:val="center"/>
                  </w:tcPr>
                  <w:p w14:paraId="1DE3885D" w14:textId="77777777" w:rsidR="00B201D3" w:rsidRDefault="009855E8">
                    <w:pPr>
                      <w:pStyle w:val="3903"/>
                    </w:pPr>
                    <w:r>
                      <w:rPr>
                        <w:rFonts w:hint="eastAsia"/>
                      </w:rPr>
                      <w:t>山东能源集团有限公司</w:t>
                    </w:r>
                  </w:p>
                </w:tc>
                <w:tc>
                  <w:tcPr>
                    <w:tcW w:w="3412" w:type="dxa"/>
                    <w:gridSpan w:val="3"/>
                    <w:shd w:val="clear" w:color="auto" w:fill="auto"/>
                    <w:vAlign w:val="center"/>
                  </w:tcPr>
                  <w:p w14:paraId="3CF31AEC" w14:textId="77777777" w:rsidR="00B201D3" w:rsidRDefault="009855E8">
                    <w:pPr>
                      <w:jc w:val="right"/>
                    </w:pPr>
                    <w:r>
                      <w:t xml:space="preserve">2,257,324,473 </w:t>
                    </w:r>
                  </w:p>
                </w:tc>
                <w:sdt>
                  <w:sdtPr>
                    <w:rPr>
                      <w:bCs/>
                    </w:rPr>
                    <w:alias w:val="前十名无限售条件股东期末持有流通股的种类"/>
                    <w:tag w:val="_GBC_5d0d3dfc3b8545ce906ab8a21728fb94"/>
                    <w:id w:val="1435247648"/>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911" w:type="dxa"/>
                        <w:gridSpan w:val="2"/>
                        <w:shd w:val="clear" w:color="auto" w:fill="auto"/>
                        <w:vAlign w:val="center"/>
                      </w:tcPr>
                      <w:p w14:paraId="555C9FFB" w14:textId="729C80F5" w:rsidR="00B201D3" w:rsidRDefault="00F46283">
                        <w:pPr>
                          <w:jc w:val="center"/>
                          <w:rPr>
                            <w:bCs/>
                          </w:rPr>
                        </w:pPr>
                        <w:r>
                          <w:rPr>
                            <w:bCs/>
                          </w:rPr>
                          <w:t>人民币普通股</w:t>
                        </w:r>
                      </w:p>
                    </w:tc>
                  </w:sdtContent>
                </w:sdt>
                <w:tc>
                  <w:tcPr>
                    <w:tcW w:w="1701" w:type="dxa"/>
                    <w:gridSpan w:val="2"/>
                    <w:shd w:val="clear" w:color="auto" w:fill="auto"/>
                    <w:vAlign w:val="center"/>
                  </w:tcPr>
                  <w:p w14:paraId="5D724EA0" w14:textId="77777777" w:rsidR="00B201D3" w:rsidRDefault="009855E8">
                    <w:pPr>
                      <w:jc w:val="right"/>
                    </w:pPr>
                    <w:r>
                      <w:t>2,257,324,473</w:t>
                    </w:r>
                  </w:p>
                </w:tc>
              </w:tr>
            </w:sdtContent>
          </w:sdt>
          <w:sdt>
            <w:sdtPr>
              <w:alias w:val="前十名无限售条件股东持股情况"/>
              <w:tag w:val="_GBC_d4835fea183942b8823bf8913d1f2f26"/>
              <w:id w:val="915897709"/>
              <w:lock w:val="sdtLocked"/>
            </w:sdtPr>
            <w:sdtEndPr/>
            <w:sdtContent>
              <w:tr w:rsidR="00B201D3" w14:paraId="3F87FD4F" w14:textId="77777777">
                <w:trPr>
                  <w:cantSplit/>
                </w:trPr>
                <w:tc>
                  <w:tcPr>
                    <w:tcW w:w="3495" w:type="dxa"/>
                    <w:gridSpan w:val="2"/>
                    <w:shd w:val="clear" w:color="auto" w:fill="auto"/>
                    <w:vAlign w:val="center"/>
                  </w:tcPr>
                  <w:p w14:paraId="67784984" w14:textId="77777777" w:rsidR="00B201D3" w:rsidRDefault="009855E8">
                    <w:pPr>
                      <w:pStyle w:val="3903"/>
                    </w:pPr>
                    <w:r>
                      <w:rPr>
                        <w:rFonts w:hint="eastAsia"/>
                      </w:rPr>
                      <w:t>香港中央结算（代理人）有限公司</w:t>
                    </w:r>
                  </w:p>
                </w:tc>
                <w:tc>
                  <w:tcPr>
                    <w:tcW w:w="3412" w:type="dxa"/>
                    <w:gridSpan w:val="3"/>
                    <w:shd w:val="clear" w:color="auto" w:fill="auto"/>
                    <w:vAlign w:val="center"/>
                  </w:tcPr>
                  <w:p w14:paraId="0CA9357B" w14:textId="77777777" w:rsidR="00B201D3" w:rsidRDefault="009855E8">
                    <w:pPr>
                      <w:jc w:val="right"/>
                    </w:pPr>
                    <w:r>
                      <w:t xml:space="preserve">1,897,851,006 </w:t>
                    </w:r>
                  </w:p>
                </w:tc>
                <w:sdt>
                  <w:sdtPr>
                    <w:rPr>
                      <w:bCs/>
                    </w:rPr>
                    <w:alias w:val="前十名无限售条件股东期末持有流通股的种类"/>
                    <w:tag w:val="_GBC_5d0d3dfc3b8545ce906ab8a21728fb94"/>
                    <w:id w:val="950216867"/>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911" w:type="dxa"/>
                        <w:gridSpan w:val="2"/>
                        <w:shd w:val="clear" w:color="auto" w:fill="auto"/>
                        <w:vAlign w:val="center"/>
                      </w:tcPr>
                      <w:p w14:paraId="52757212" w14:textId="79EDF88C" w:rsidR="00B201D3" w:rsidRDefault="00F46283">
                        <w:pPr>
                          <w:jc w:val="center"/>
                          <w:rPr>
                            <w:bCs/>
                          </w:rPr>
                        </w:pPr>
                        <w:r>
                          <w:rPr>
                            <w:bCs/>
                          </w:rPr>
                          <w:t>境外上市外资股</w:t>
                        </w:r>
                      </w:p>
                    </w:tc>
                  </w:sdtContent>
                </w:sdt>
                <w:tc>
                  <w:tcPr>
                    <w:tcW w:w="1701" w:type="dxa"/>
                    <w:gridSpan w:val="2"/>
                    <w:shd w:val="clear" w:color="auto" w:fill="auto"/>
                    <w:vAlign w:val="center"/>
                  </w:tcPr>
                  <w:p w14:paraId="7EA5F3D4" w14:textId="77777777" w:rsidR="00B201D3" w:rsidRDefault="009855E8">
                    <w:pPr>
                      <w:jc w:val="right"/>
                    </w:pPr>
                    <w:r>
                      <w:t>1,897,851,006</w:t>
                    </w:r>
                  </w:p>
                </w:tc>
              </w:tr>
            </w:sdtContent>
          </w:sdt>
          <w:sdt>
            <w:sdtPr>
              <w:alias w:val="前十名无限售条件股东持股情况"/>
              <w:tag w:val="_GBC_d4835fea183942b8823bf8913d1f2f26"/>
              <w:id w:val="827169344"/>
              <w:lock w:val="sdtLocked"/>
            </w:sdtPr>
            <w:sdtEndPr/>
            <w:sdtContent>
              <w:tr w:rsidR="00B201D3" w14:paraId="55DA6277" w14:textId="77777777">
                <w:trPr>
                  <w:cantSplit/>
                </w:trPr>
                <w:tc>
                  <w:tcPr>
                    <w:tcW w:w="3495" w:type="dxa"/>
                    <w:gridSpan w:val="2"/>
                    <w:shd w:val="clear" w:color="auto" w:fill="auto"/>
                    <w:vAlign w:val="center"/>
                  </w:tcPr>
                  <w:p w14:paraId="5F0D8BC0" w14:textId="77777777" w:rsidR="00B201D3" w:rsidRDefault="009855E8">
                    <w:pPr>
                      <w:pStyle w:val="3903"/>
                    </w:pPr>
                    <w:r>
                      <w:rPr>
                        <w:rFonts w:hint="eastAsia"/>
                      </w:rPr>
                      <w:t>香港中央结算有限公司</w:t>
                    </w:r>
                  </w:p>
                </w:tc>
                <w:tc>
                  <w:tcPr>
                    <w:tcW w:w="3412" w:type="dxa"/>
                    <w:gridSpan w:val="3"/>
                    <w:shd w:val="clear" w:color="auto" w:fill="auto"/>
                    <w:vAlign w:val="center"/>
                  </w:tcPr>
                  <w:p w14:paraId="25B72C9A" w14:textId="77777777" w:rsidR="00B201D3" w:rsidRDefault="009855E8">
                    <w:pPr>
                      <w:jc w:val="right"/>
                    </w:pPr>
                    <w:r>
                      <w:t xml:space="preserve">67,389,131 </w:t>
                    </w:r>
                  </w:p>
                </w:tc>
                <w:sdt>
                  <w:sdtPr>
                    <w:rPr>
                      <w:bCs/>
                    </w:rPr>
                    <w:alias w:val="前十名无限售条件股东期末持有流通股的种类"/>
                    <w:tag w:val="_GBC_5d0d3dfc3b8545ce906ab8a21728fb94"/>
                    <w:id w:val="693500542"/>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911" w:type="dxa"/>
                        <w:gridSpan w:val="2"/>
                        <w:shd w:val="clear" w:color="auto" w:fill="auto"/>
                        <w:vAlign w:val="center"/>
                      </w:tcPr>
                      <w:p w14:paraId="7F36E057" w14:textId="56AF0A80" w:rsidR="00B201D3" w:rsidRDefault="00F46283">
                        <w:pPr>
                          <w:jc w:val="center"/>
                          <w:rPr>
                            <w:bCs/>
                          </w:rPr>
                        </w:pPr>
                        <w:r>
                          <w:rPr>
                            <w:bCs/>
                          </w:rPr>
                          <w:t>人民币普通股</w:t>
                        </w:r>
                      </w:p>
                    </w:tc>
                  </w:sdtContent>
                </w:sdt>
                <w:tc>
                  <w:tcPr>
                    <w:tcW w:w="1701" w:type="dxa"/>
                    <w:gridSpan w:val="2"/>
                    <w:shd w:val="clear" w:color="auto" w:fill="auto"/>
                    <w:vAlign w:val="center"/>
                  </w:tcPr>
                  <w:p w14:paraId="774965FC" w14:textId="77777777" w:rsidR="00B201D3" w:rsidRDefault="009855E8">
                    <w:pPr>
                      <w:jc w:val="right"/>
                    </w:pPr>
                    <w:r>
                      <w:t>67,389,131</w:t>
                    </w:r>
                  </w:p>
                </w:tc>
              </w:tr>
            </w:sdtContent>
          </w:sdt>
          <w:sdt>
            <w:sdtPr>
              <w:alias w:val="前十名无限售条件股东持股情况"/>
              <w:tag w:val="_GBC_d4835fea183942b8823bf8913d1f2f26"/>
              <w:id w:val="2037005682"/>
              <w:lock w:val="sdtLocked"/>
            </w:sdtPr>
            <w:sdtEndPr/>
            <w:sdtContent>
              <w:tr w:rsidR="00B201D3" w14:paraId="66001CF3" w14:textId="77777777">
                <w:trPr>
                  <w:cantSplit/>
                </w:trPr>
                <w:tc>
                  <w:tcPr>
                    <w:tcW w:w="3495" w:type="dxa"/>
                    <w:gridSpan w:val="2"/>
                    <w:shd w:val="clear" w:color="auto" w:fill="auto"/>
                    <w:vAlign w:val="center"/>
                  </w:tcPr>
                  <w:p w14:paraId="36005B0E" w14:textId="77777777" w:rsidR="00B201D3" w:rsidRDefault="009855E8">
                    <w:pPr>
                      <w:pStyle w:val="3903"/>
                    </w:pPr>
                    <w:r>
                      <w:rPr>
                        <w:rFonts w:hint="eastAsia"/>
                      </w:rPr>
                      <w:t>国新投资有限公司</w:t>
                    </w:r>
                  </w:p>
                </w:tc>
                <w:tc>
                  <w:tcPr>
                    <w:tcW w:w="3412" w:type="dxa"/>
                    <w:gridSpan w:val="3"/>
                    <w:shd w:val="clear" w:color="auto" w:fill="auto"/>
                    <w:vAlign w:val="center"/>
                  </w:tcPr>
                  <w:p w14:paraId="46B1EA2C" w14:textId="77777777" w:rsidR="00B201D3" w:rsidRDefault="009855E8">
                    <w:pPr>
                      <w:jc w:val="right"/>
                    </w:pPr>
                    <w:r>
                      <w:t xml:space="preserve">43,881,956 </w:t>
                    </w:r>
                  </w:p>
                </w:tc>
                <w:sdt>
                  <w:sdtPr>
                    <w:rPr>
                      <w:bCs/>
                    </w:rPr>
                    <w:alias w:val="前十名无限售条件股东期末持有流通股的种类"/>
                    <w:tag w:val="_GBC_5d0d3dfc3b8545ce906ab8a21728fb94"/>
                    <w:id w:val="-81683874"/>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911" w:type="dxa"/>
                        <w:gridSpan w:val="2"/>
                        <w:shd w:val="clear" w:color="auto" w:fill="auto"/>
                        <w:vAlign w:val="center"/>
                      </w:tcPr>
                      <w:p w14:paraId="32717BC4" w14:textId="480C7661" w:rsidR="00B201D3" w:rsidRDefault="00F46283">
                        <w:pPr>
                          <w:jc w:val="center"/>
                          <w:rPr>
                            <w:bCs/>
                          </w:rPr>
                        </w:pPr>
                        <w:r>
                          <w:rPr>
                            <w:bCs/>
                          </w:rPr>
                          <w:t>人民币普通股</w:t>
                        </w:r>
                      </w:p>
                    </w:tc>
                  </w:sdtContent>
                </w:sdt>
                <w:tc>
                  <w:tcPr>
                    <w:tcW w:w="1701" w:type="dxa"/>
                    <w:gridSpan w:val="2"/>
                    <w:shd w:val="clear" w:color="auto" w:fill="auto"/>
                    <w:vAlign w:val="center"/>
                  </w:tcPr>
                  <w:p w14:paraId="46A5E99E" w14:textId="77777777" w:rsidR="00B201D3" w:rsidRDefault="009855E8">
                    <w:pPr>
                      <w:jc w:val="right"/>
                    </w:pPr>
                    <w:r>
                      <w:t>43,881,956</w:t>
                    </w:r>
                  </w:p>
                </w:tc>
              </w:tr>
            </w:sdtContent>
          </w:sdt>
          <w:sdt>
            <w:sdtPr>
              <w:alias w:val="前十名无限售条件股东持股情况"/>
              <w:tag w:val="_GBC_d4835fea183942b8823bf8913d1f2f26"/>
              <w:id w:val="2145767476"/>
              <w:lock w:val="sdtLocked"/>
            </w:sdtPr>
            <w:sdtEndPr/>
            <w:sdtContent>
              <w:tr w:rsidR="00B201D3" w14:paraId="48FA6490" w14:textId="77777777">
                <w:trPr>
                  <w:cantSplit/>
                </w:trPr>
                <w:tc>
                  <w:tcPr>
                    <w:tcW w:w="3495" w:type="dxa"/>
                    <w:gridSpan w:val="2"/>
                    <w:shd w:val="clear" w:color="auto" w:fill="auto"/>
                    <w:vAlign w:val="center"/>
                  </w:tcPr>
                  <w:p w14:paraId="2D638C37" w14:textId="77777777" w:rsidR="00B201D3" w:rsidRDefault="009855E8">
                    <w:pPr>
                      <w:pStyle w:val="3903"/>
                    </w:pPr>
                    <w:r>
                      <w:rPr>
                        <w:rFonts w:hint="eastAsia"/>
                      </w:rPr>
                      <w:t>全国社保基金一一七组合</w:t>
                    </w:r>
                  </w:p>
                </w:tc>
                <w:tc>
                  <w:tcPr>
                    <w:tcW w:w="3412" w:type="dxa"/>
                    <w:gridSpan w:val="3"/>
                    <w:shd w:val="clear" w:color="auto" w:fill="auto"/>
                    <w:vAlign w:val="center"/>
                  </w:tcPr>
                  <w:p w14:paraId="5F06F012" w14:textId="77777777" w:rsidR="00B201D3" w:rsidRDefault="009855E8">
                    <w:pPr>
                      <w:jc w:val="right"/>
                    </w:pPr>
                    <w:r>
                      <w:t xml:space="preserve">16,008,844 </w:t>
                    </w:r>
                  </w:p>
                </w:tc>
                <w:sdt>
                  <w:sdtPr>
                    <w:rPr>
                      <w:bCs/>
                    </w:rPr>
                    <w:alias w:val="前十名无限售条件股东期末持有流通股的种类"/>
                    <w:tag w:val="_GBC_5d0d3dfc3b8545ce906ab8a21728fb94"/>
                    <w:id w:val="-1922861152"/>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911" w:type="dxa"/>
                        <w:gridSpan w:val="2"/>
                        <w:shd w:val="clear" w:color="auto" w:fill="auto"/>
                        <w:vAlign w:val="center"/>
                      </w:tcPr>
                      <w:p w14:paraId="2834D76E" w14:textId="649E591C" w:rsidR="00B201D3" w:rsidRDefault="00F46283">
                        <w:pPr>
                          <w:jc w:val="center"/>
                          <w:rPr>
                            <w:bCs/>
                          </w:rPr>
                        </w:pPr>
                        <w:r>
                          <w:rPr>
                            <w:bCs/>
                          </w:rPr>
                          <w:t>人民币普通股</w:t>
                        </w:r>
                      </w:p>
                    </w:tc>
                  </w:sdtContent>
                </w:sdt>
                <w:tc>
                  <w:tcPr>
                    <w:tcW w:w="1701" w:type="dxa"/>
                    <w:gridSpan w:val="2"/>
                    <w:shd w:val="clear" w:color="auto" w:fill="auto"/>
                    <w:vAlign w:val="center"/>
                  </w:tcPr>
                  <w:p w14:paraId="0E39583A" w14:textId="77777777" w:rsidR="00B201D3" w:rsidRDefault="009855E8">
                    <w:pPr>
                      <w:jc w:val="right"/>
                    </w:pPr>
                    <w:r>
                      <w:t>16,008,844</w:t>
                    </w:r>
                  </w:p>
                </w:tc>
              </w:tr>
            </w:sdtContent>
          </w:sdt>
          <w:sdt>
            <w:sdtPr>
              <w:alias w:val="前十名无限售条件股东持股情况"/>
              <w:tag w:val="_GBC_d4835fea183942b8823bf8913d1f2f26"/>
              <w:id w:val="2104219583"/>
              <w:lock w:val="sdtLocked"/>
            </w:sdtPr>
            <w:sdtEndPr/>
            <w:sdtContent>
              <w:tr w:rsidR="00B201D3" w14:paraId="7F00699A" w14:textId="77777777">
                <w:trPr>
                  <w:cantSplit/>
                </w:trPr>
                <w:tc>
                  <w:tcPr>
                    <w:tcW w:w="3495" w:type="dxa"/>
                    <w:gridSpan w:val="2"/>
                    <w:shd w:val="clear" w:color="auto" w:fill="auto"/>
                    <w:vAlign w:val="center"/>
                  </w:tcPr>
                  <w:p w14:paraId="48F0CAB1" w14:textId="77777777" w:rsidR="00B201D3" w:rsidRDefault="009855E8">
                    <w:pPr>
                      <w:pStyle w:val="3903"/>
                    </w:pPr>
                    <w:r>
                      <w:rPr>
                        <w:rFonts w:hint="eastAsia"/>
                      </w:rPr>
                      <w:t>招商银行股份有限公司－上证红利交易型开放式指数证券投资基金</w:t>
                    </w:r>
                  </w:p>
                </w:tc>
                <w:tc>
                  <w:tcPr>
                    <w:tcW w:w="3412" w:type="dxa"/>
                    <w:gridSpan w:val="3"/>
                    <w:shd w:val="clear" w:color="auto" w:fill="auto"/>
                    <w:vAlign w:val="center"/>
                  </w:tcPr>
                  <w:p w14:paraId="589CD518" w14:textId="77777777" w:rsidR="00B201D3" w:rsidRDefault="009855E8">
                    <w:pPr>
                      <w:jc w:val="right"/>
                    </w:pPr>
                    <w:r>
                      <w:t xml:space="preserve">13,427,948 </w:t>
                    </w:r>
                  </w:p>
                </w:tc>
                <w:sdt>
                  <w:sdtPr>
                    <w:rPr>
                      <w:bCs/>
                    </w:rPr>
                    <w:alias w:val="前十名无限售条件股东期末持有流通股的种类"/>
                    <w:tag w:val="_GBC_5d0d3dfc3b8545ce906ab8a21728fb94"/>
                    <w:id w:val="-717665069"/>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911" w:type="dxa"/>
                        <w:gridSpan w:val="2"/>
                        <w:shd w:val="clear" w:color="auto" w:fill="auto"/>
                        <w:vAlign w:val="center"/>
                      </w:tcPr>
                      <w:p w14:paraId="13A7F009" w14:textId="0E401F98" w:rsidR="00B201D3" w:rsidRDefault="00F46283">
                        <w:pPr>
                          <w:jc w:val="center"/>
                          <w:rPr>
                            <w:bCs/>
                          </w:rPr>
                        </w:pPr>
                        <w:r>
                          <w:rPr>
                            <w:bCs/>
                          </w:rPr>
                          <w:t>人民币普通股</w:t>
                        </w:r>
                      </w:p>
                    </w:tc>
                  </w:sdtContent>
                </w:sdt>
                <w:tc>
                  <w:tcPr>
                    <w:tcW w:w="1701" w:type="dxa"/>
                    <w:gridSpan w:val="2"/>
                    <w:shd w:val="clear" w:color="auto" w:fill="auto"/>
                    <w:vAlign w:val="center"/>
                  </w:tcPr>
                  <w:p w14:paraId="2CB0357B" w14:textId="77777777" w:rsidR="00B201D3" w:rsidRDefault="009855E8">
                    <w:pPr>
                      <w:jc w:val="right"/>
                    </w:pPr>
                    <w:r>
                      <w:t>13,427,948</w:t>
                    </w:r>
                  </w:p>
                </w:tc>
              </w:tr>
            </w:sdtContent>
          </w:sdt>
          <w:sdt>
            <w:sdtPr>
              <w:alias w:val="前十名无限售条件股东持股情况"/>
              <w:tag w:val="_GBC_d4835fea183942b8823bf8913d1f2f26"/>
              <w:id w:val="-207425830"/>
              <w:lock w:val="sdtLocked"/>
            </w:sdtPr>
            <w:sdtEndPr/>
            <w:sdtContent>
              <w:tr w:rsidR="00B201D3" w14:paraId="5AC257EA" w14:textId="77777777">
                <w:trPr>
                  <w:cantSplit/>
                </w:trPr>
                <w:tc>
                  <w:tcPr>
                    <w:tcW w:w="3495" w:type="dxa"/>
                    <w:gridSpan w:val="2"/>
                    <w:shd w:val="clear" w:color="auto" w:fill="auto"/>
                    <w:vAlign w:val="center"/>
                  </w:tcPr>
                  <w:p w14:paraId="4DE02272" w14:textId="77777777" w:rsidR="00B201D3" w:rsidRDefault="009855E8">
                    <w:pPr>
                      <w:pStyle w:val="3903"/>
                    </w:pPr>
                    <w:r>
                      <w:rPr>
                        <w:rFonts w:hint="eastAsia"/>
                      </w:rPr>
                      <w:t>全国社保基金六零一组合</w:t>
                    </w:r>
                  </w:p>
                </w:tc>
                <w:tc>
                  <w:tcPr>
                    <w:tcW w:w="3412" w:type="dxa"/>
                    <w:gridSpan w:val="3"/>
                    <w:shd w:val="clear" w:color="auto" w:fill="auto"/>
                    <w:vAlign w:val="center"/>
                  </w:tcPr>
                  <w:p w14:paraId="2A963FAA" w14:textId="77777777" w:rsidR="00B201D3" w:rsidRDefault="009855E8">
                    <w:pPr>
                      <w:jc w:val="right"/>
                    </w:pPr>
                    <w:r>
                      <w:t xml:space="preserve">9,502,363 </w:t>
                    </w:r>
                  </w:p>
                </w:tc>
                <w:sdt>
                  <w:sdtPr>
                    <w:rPr>
                      <w:bCs/>
                    </w:rPr>
                    <w:alias w:val="前十名无限售条件股东期末持有流通股的种类"/>
                    <w:tag w:val="_GBC_5d0d3dfc3b8545ce906ab8a21728fb94"/>
                    <w:id w:val="318694291"/>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911" w:type="dxa"/>
                        <w:gridSpan w:val="2"/>
                        <w:shd w:val="clear" w:color="auto" w:fill="auto"/>
                        <w:vAlign w:val="center"/>
                      </w:tcPr>
                      <w:p w14:paraId="611524D6" w14:textId="3CBC7BE4" w:rsidR="00B201D3" w:rsidRDefault="00F46283">
                        <w:pPr>
                          <w:jc w:val="center"/>
                          <w:rPr>
                            <w:bCs/>
                          </w:rPr>
                        </w:pPr>
                        <w:r>
                          <w:rPr>
                            <w:bCs/>
                          </w:rPr>
                          <w:t>人民币普通股</w:t>
                        </w:r>
                      </w:p>
                    </w:tc>
                  </w:sdtContent>
                </w:sdt>
                <w:tc>
                  <w:tcPr>
                    <w:tcW w:w="1701" w:type="dxa"/>
                    <w:gridSpan w:val="2"/>
                    <w:shd w:val="clear" w:color="auto" w:fill="auto"/>
                    <w:vAlign w:val="center"/>
                  </w:tcPr>
                  <w:p w14:paraId="03331BE8" w14:textId="77777777" w:rsidR="00B201D3" w:rsidRDefault="009855E8">
                    <w:pPr>
                      <w:jc w:val="right"/>
                    </w:pPr>
                    <w:r>
                      <w:t>9,502,363</w:t>
                    </w:r>
                  </w:p>
                </w:tc>
              </w:tr>
            </w:sdtContent>
          </w:sdt>
          <w:sdt>
            <w:sdtPr>
              <w:alias w:val="前十名无限售条件股东持股情况"/>
              <w:tag w:val="_GBC_d4835fea183942b8823bf8913d1f2f26"/>
              <w:id w:val="1708298786"/>
              <w:lock w:val="sdtLocked"/>
            </w:sdtPr>
            <w:sdtEndPr/>
            <w:sdtContent>
              <w:tr w:rsidR="00B201D3" w14:paraId="0F4E6053" w14:textId="77777777">
                <w:trPr>
                  <w:cantSplit/>
                </w:trPr>
                <w:tc>
                  <w:tcPr>
                    <w:tcW w:w="3495" w:type="dxa"/>
                    <w:gridSpan w:val="2"/>
                    <w:shd w:val="clear" w:color="auto" w:fill="auto"/>
                    <w:vAlign w:val="center"/>
                  </w:tcPr>
                  <w:p w14:paraId="6CB39488" w14:textId="77777777" w:rsidR="00B201D3" w:rsidRDefault="009855E8">
                    <w:pPr>
                      <w:pStyle w:val="3903"/>
                    </w:pPr>
                    <w:r>
                      <w:rPr>
                        <w:rFonts w:hint="eastAsia"/>
                      </w:rPr>
                      <w:t>中国工商银行股份有限公司－国泰中证煤炭交易型开放式指数证券投资基金</w:t>
                    </w:r>
                  </w:p>
                </w:tc>
                <w:tc>
                  <w:tcPr>
                    <w:tcW w:w="3412" w:type="dxa"/>
                    <w:gridSpan w:val="3"/>
                    <w:shd w:val="clear" w:color="auto" w:fill="auto"/>
                    <w:vAlign w:val="center"/>
                  </w:tcPr>
                  <w:p w14:paraId="40562529" w14:textId="77777777" w:rsidR="00B201D3" w:rsidRDefault="009855E8">
                    <w:pPr>
                      <w:jc w:val="right"/>
                    </w:pPr>
                    <w:r>
                      <w:t xml:space="preserve">8,227,540 </w:t>
                    </w:r>
                  </w:p>
                </w:tc>
                <w:sdt>
                  <w:sdtPr>
                    <w:rPr>
                      <w:bCs/>
                    </w:rPr>
                    <w:alias w:val="前十名无限售条件股东期末持有流通股的种类"/>
                    <w:tag w:val="_GBC_5d0d3dfc3b8545ce906ab8a21728fb94"/>
                    <w:id w:val="-1712874300"/>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911" w:type="dxa"/>
                        <w:gridSpan w:val="2"/>
                        <w:shd w:val="clear" w:color="auto" w:fill="auto"/>
                        <w:vAlign w:val="center"/>
                      </w:tcPr>
                      <w:p w14:paraId="43DC6432" w14:textId="05FC88ED" w:rsidR="00B201D3" w:rsidRDefault="00F46283">
                        <w:pPr>
                          <w:jc w:val="center"/>
                          <w:rPr>
                            <w:bCs/>
                          </w:rPr>
                        </w:pPr>
                        <w:r>
                          <w:rPr>
                            <w:bCs/>
                          </w:rPr>
                          <w:t>人民币普通股</w:t>
                        </w:r>
                      </w:p>
                    </w:tc>
                  </w:sdtContent>
                </w:sdt>
                <w:tc>
                  <w:tcPr>
                    <w:tcW w:w="1701" w:type="dxa"/>
                    <w:gridSpan w:val="2"/>
                    <w:shd w:val="clear" w:color="auto" w:fill="auto"/>
                    <w:vAlign w:val="center"/>
                  </w:tcPr>
                  <w:p w14:paraId="78FCA4E2" w14:textId="77777777" w:rsidR="00B201D3" w:rsidRDefault="009855E8">
                    <w:pPr>
                      <w:jc w:val="right"/>
                    </w:pPr>
                    <w:r>
                      <w:t>8,227,540</w:t>
                    </w:r>
                  </w:p>
                </w:tc>
              </w:tr>
            </w:sdtContent>
          </w:sdt>
          <w:sdt>
            <w:sdtPr>
              <w:alias w:val="前十名无限售条件股东持股情况"/>
              <w:tag w:val="_GBC_d4835fea183942b8823bf8913d1f2f26"/>
              <w:id w:val="708462746"/>
              <w:lock w:val="sdtLocked"/>
            </w:sdtPr>
            <w:sdtEndPr/>
            <w:sdtContent>
              <w:tr w:rsidR="00B201D3" w14:paraId="4AB32D0A" w14:textId="77777777">
                <w:trPr>
                  <w:cantSplit/>
                </w:trPr>
                <w:tc>
                  <w:tcPr>
                    <w:tcW w:w="3495" w:type="dxa"/>
                    <w:gridSpan w:val="2"/>
                    <w:shd w:val="clear" w:color="auto" w:fill="auto"/>
                    <w:vAlign w:val="center"/>
                  </w:tcPr>
                  <w:p w14:paraId="4CD20B1F" w14:textId="77777777" w:rsidR="00B201D3" w:rsidRDefault="009855E8">
                    <w:pPr>
                      <w:pStyle w:val="3903"/>
                    </w:pPr>
                    <w:r>
                      <w:rPr>
                        <w:rFonts w:hint="eastAsia"/>
                      </w:rPr>
                      <w:t>基本养老保险基金一五零五二组合</w:t>
                    </w:r>
                  </w:p>
                </w:tc>
                <w:tc>
                  <w:tcPr>
                    <w:tcW w:w="3412" w:type="dxa"/>
                    <w:gridSpan w:val="3"/>
                    <w:shd w:val="clear" w:color="auto" w:fill="auto"/>
                    <w:vAlign w:val="center"/>
                  </w:tcPr>
                  <w:p w14:paraId="31017C3B" w14:textId="77777777" w:rsidR="00B201D3" w:rsidRDefault="009855E8">
                    <w:pPr>
                      <w:jc w:val="right"/>
                    </w:pPr>
                    <w:r>
                      <w:t xml:space="preserve">5,690,233 </w:t>
                    </w:r>
                  </w:p>
                </w:tc>
                <w:sdt>
                  <w:sdtPr>
                    <w:rPr>
                      <w:bCs/>
                    </w:rPr>
                    <w:alias w:val="前十名无限售条件股东期末持有流通股的种类"/>
                    <w:tag w:val="_GBC_5d0d3dfc3b8545ce906ab8a21728fb94"/>
                    <w:id w:val="1862778159"/>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911" w:type="dxa"/>
                        <w:gridSpan w:val="2"/>
                        <w:shd w:val="clear" w:color="auto" w:fill="auto"/>
                        <w:vAlign w:val="center"/>
                      </w:tcPr>
                      <w:p w14:paraId="2107A05A" w14:textId="6115E8A4" w:rsidR="00B201D3" w:rsidRDefault="00F46283">
                        <w:pPr>
                          <w:jc w:val="center"/>
                          <w:rPr>
                            <w:bCs/>
                          </w:rPr>
                        </w:pPr>
                        <w:r>
                          <w:rPr>
                            <w:bCs/>
                          </w:rPr>
                          <w:t>人民币普通股</w:t>
                        </w:r>
                      </w:p>
                    </w:tc>
                  </w:sdtContent>
                </w:sdt>
                <w:tc>
                  <w:tcPr>
                    <w:tcW w:w="1701" w:type="dxa"/>
                    <w:gridSpan w:val="2"/>
                    <w:shd w:val="clear" w:color="auto" w:fill="auto"/>
                    <w:vAlign w:val="center"/>
                  </w:tcPr>
                  <w:p w14:paraId="3C9F6A06" w14:textId="77777777" w:rsidR="00B201D3" w:rsidRDefault="009855E8">
                    <w:pPr>
                      <w:jc w:val="right"/>
                    </w:pPr>
                    <w:r>
                      <w:t>5,690,233</w:t>
                    </w:r>
                  </w:p>
                </w:tc>
              </w:tr>
            </w:sdtContent>
          </w:sdt>
          <w:sdt>
            <w:sdtPr>
              <w:alias w:val="前十名无限售条件股东持股情况"/>
              <w:tag w:val="_GBC_d4835fea183942b8823bf8913d1f2f26"/>
              <w:id w:val="99067639"/>
              <w:lock w:val="sdtLocked"/>
            </w:sdtPr>
            <w:sdtEndPr/>
            <w:sdtContent>
              <w:tr w:rsidR="00B201D3" w14:paraId="1E5891D5" w14:textId="77777777">
                <w:trPr>
                  <w:cantSplit/>
                </w:trPr>
                <w:tc>
                  <w:tcPr>
                    <w:tcW w:w="3495" w:type="dxa"/>
                    <w:gridSpan w:val="2"/>
                    <w:shd w:val="clear" w:color="auto" w:fill="auto"/>
                    <w:vAlign w:val="center"/>
                  </w:tcPr>
                  <w:p w14:paraId="56D3AFB3" w14:textId="77777777" w:rsidR="00B201D3" w:rsidRDefault="009855E8">
                    <w:pPr>
                      <w:pStyle w:val="3903"/>
                    </w:pPr>
                    <w:r>
                      <w:rPr>
                        <w:rFonts w:hint="eastAsia"/>
                      </w:rPr>
                      <w:t>招商证券股份有限公司－建信中小盘先锋股票型证券投资基金</w:t>
                    </w:r>
                  </w:p>
                </w:tc>
                <w:tc>
                  <w:tcPr>
                    <w:tcW w:w="3412" w:type="dxa"/>
                    <w:gridSpan w:val="3"/>
                    <w:shd w:val="clear" w:color="auto" w:fill="auto"/>
                    <w:vAlign w:val="center"/>
                  </w:tcPr>
                  <w:p w14:paraId="1208426B" w14:textId="77777777" w:rsidR="00B201D3" w:rsidRDefault="009855E8">
                    <w:pPr>
                      <w:jc w:val="right"/>
                    </w:pPr>
                    <w:r>
                      <w:t xml:space="preserve">5,617,620 </w:t>
                    </w:r>
                  </w:p>
                </w:tc>
                <w:sdt>
                  <w:sdtPr>
                    <w:rPr>
                      <w:bCs/>
                    </w:rPr>
                    <w:alias w:val="前十名无限售条件股东期末持有流通股的种类"/>
                    <w:tag w:val="_GBC_5d0d3dfc3b8545ce906ab8a21728fb94"/>
                    <w:id w:val="-1791813178"/>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sdtContent>
                    <w:tc>
                      <w:tcPr>
                        <w:tcW w:w="1911" w:type="dxa"/>
                        <w:gridSpan w:val="2"/>
                        <w:shd w:val="clear" w:color="auto" w:fill="auto"/>
                        <w:vAlign w:val="center"/>
                      </w:tcPr>
                      <w:p w14:paraId="61E8B4EC" w14:textId="2447BB47" w:rsidR="00B201D3" w:rsidRDefault="00F46283">
                        <w:pPr>
                          <w:jc w:val="center"/>
                          <w:rPr>
                            <w:bCs/>
                          </w:rPr>
                        </w:pPr>
                        <w:r>
                          <w:rPr>
                            <w:bCs/>
                          </w:rPr>
                          <w:t>人民币普通股</w:t>
                        </w:r>
                      </w:p>
                    </w:tc>
                  </w:sdtContent>
                </w:sdt>
                <w:tc>
                  <w:tcPr>
                    <w:tcW w:w="1701" w:type="dxa"/>
                    <w:gridSpan w:val="2"/>
                    <w:shd w:val="clear" w:color="auto" w:fill="auto"/>
                    <w:vAlign w:val="center"/>
                  </w:tcPr>
                  <w:p w14:paraId="3771A876" w14:textId="77777777" w:rsidR="00B201D3" w:rsidRDefault="009855E8">
                    <w:pPr>
                      <w:jc w:val="right"/>
                    </w:pPr>
                    <w:r>
                      <w:t>5,617,620</w:t>
                    </w:r>
                  </w:p>
                </w:tc>
              </w:tr>
            </w:sdtContent>
          </w:sdt>
          <w:tr w:rsidR="00B201D3" w14:paraId="119D2A2E" w14:textId="77777777">
            <w:trPr>
              <w:cantSplit/>
            </w:trPr>
            <w:tc>
              <w:tcPr>
                <w:tcW w:w="3495" w:type="dxa"/>
                <w:gridSpan w:val="2"/>
                <w:shd w:val="clear" w:color="auto" w:fill="auto"/>
                <w:vAlign w:val="center"/>
              </w:tcPr>
              <w:sdt>
                <w:sdtPr>
                  <w:rPr>
                    <w:rFonts w:hint="eastAsia"/>
                  </w:rPr>
                  <w:tag w:val="_PLD_4b46a710569e470996b1037551fc02bf"/>
                  <w:id w:val="-1035346924"/>
                  <w:lock w:val="sdtLocked"/>
                </w:sdtPr>
                <w:sdtEndPr/>
                <w:sdtContent>
                  <w:p w14:paraId="46DF5F7C" w14:textId="77777777" w:rsidR="00B201D3" w:rsidRDefault="009855E8">
                    <w:pPr>
                      <w:pStyle w:val="3903"/>
                    </w:pPr>
                    <w:r>
                      <w:rPr>
                        <w:rFonts w:hint="eastAsia"/>
                      </w:rPr>
                      <w:t>前十名股东中回购专户情况说明</w:t>
                    </w:r>
                  </w:p>
                </w:sdtContent>
              </w:sdt>
            </w:tc>
            <w:tc>
              <w:tcPr>
                <w:tcW w:w="7024" w:type="dxa"/>
                <w:gridSpan w:val="7"/>
                <w:shd w:val="clear" w:color="auto" w:fill="auto"/>
                <w:vAlign w:val="center"/>
              </w:tcPr>
              <w:p w14:paraId="025F005A" w14:textId="77777777" w:rsidR="00B201D3" w:rsidRDefault="009855E8">
                <w:pPr>
                  <w:pStyle w:val="3903"/>
                </w:pPr>
                <w:r>
                  <w:rPr>
                    <w:rFonts w:hint="eastAsia"/>
                  </w:rPr>
                  <w:t>不适用</w:t>
                </w:r>
              </w:p>
            </w:tc>
          </w:tr>
          <w:tr w:rsidR="00B201D3" w14:paraId="3BBEF489" w14:textId="77777777">
            <w:trPr>
              <w:cantSplit/>
            </w:trPr>
            <w:tc>
              <w:tcPr>
                <w:tcW w:w="3495" w:type="dxa"/>
                <w:gridSpan w:val="2"/>
                <w:shd w:val="clear" w:color="auto" w:fill="auto"/>
                <w:vAlign w:val="center"/>
              </w:tcPr>
              <w:sdt>
                <w:sdtPr>
                  <w:tag w:val="_PLD_bc2af940e93042a39994415f0e50380a"/>
                  <w:id w:val="1645090524"/>
                  <w:lock w:val="sdtLocked"/>
                </w:sdtPr>
                <w:sdtEndPr/>
                <w:sdtContent>
                  <w:p w14:paraId="5567E401" w14:textId="77777777" w:rsidR="00B201D3" w:rsidRDefault="009855E8">
                    <w:pPr>
                      <w:pStyle w:val="3903"/>
                    </w:pPr>
                    <w:r>
                      <w:t>上述股东</w:t>
                    </w:r>
                    <w:r>
                      <w:rPr>
                        <w:rFonts w:hint="eastAsia"/>
                      </w:rPr>
                      <w:t>委托表决权、受托表决权、放弃表决权</w:t>
                    </w:r>
                    <w:r>
                      <w:t>的说明</w:t>
                    </w:r>
                  </w:p>
                </w:sdtContent>
              </w:sdt>
            </w:tc>
            <w:tc>
              <w:tcPr>
                <w:tcW w:w="7024" w:type="dxa"/>
                <w:gridSpan w:val="7"/>
                <w:shd w:val="clear" w:color="auto" w:fill="auto"/>
                <w:vAlign w:val="center"/>
              </w:tcPr>
              <w:p w14:paraId="0DA2DB2D" w14:textId="77777777" w:rsidR="00B201D3" w:rsidRDefault="009855E8">
                <w:pPr>
                  <w:pStyle w:val="3903"/>
                </w:pPr>
                <w:r>
                  <w:rPr>
                    <w:rFonts w:hint="eastAsia"/>
                  </w:rPr>
                  <w:t>不适用</w:t>
                </w:r>
              </w:p>
            </w:tc>
          </w:tr>
          <w:tr w:rsidR="00B201D3" w14:paraId="4D6EE772" w14:textId="77777777">
            <w:trPr>
              <w:cantSplit/>
            </w:trPr>
            <w:sdt>
              <w:sdtPr>
                <w:tag w:val="_PLD_7013809d29cf4718a9bcc3305f3a2fcd"/>
                <w:id w:val="860250951"/>
                <w:lock w:val="sdtLocked"/>
              </w:sdtPr>
              <w:sdtEndPr/>
              <w:sdtContent>
                <w:tc>
                  <w:tcPr>
                    <w:tcW w:w="3495" w:type="dxa"/>
                    <w:gridSpan w:val="2"/>
                    <w:shd w:val="clear" w:color="auto" w:fill="auto"/>
                    <w:vAlign w:val="center"/>
                  </w:tcPr>
                  <w:p w14:paraId="27B80589" w14:textId="77777777" w:rsidR="00B201D3" w:rsidRDefault="009855E8">
                    <w:pPr>
                      <w:pStyle w:val="3903"/>
                    </w:pPr>
                    <w:r>
                      <w:t>上述股东关联关系或一致行动的说明</w:t>
                    </w:r>
                  </w:p>
                </w:tc>
              </w:sdtContent>
            </w:sdt>
            <w:tc>
              <w:tcPr>
                <w:tcW w:w="7024" w:type="dxa"/>
                <w:gridSpan w:val="7"/>
                <w:shd w:val="clear" w:color="auto" w:fill="auto"/>
                <w:vAlign w:val="center"/>
              </w:tcPr>
              <w:p w14:paraId="59B92379" w14:textId="77777777" w:rsidR="00B201D3" w:rsidRDefault="009855E8">
                <w:pPr>
                  <w:pStyle w:val="3903"/>
                </w:pPr>
                <w:r>
                  <w:rPr>
                    <w:rFonts w:hint="eastAsia"/>
                  </w:rPr>
                  <w:t>控股股东全资子公司兖矿集团</w:t>
                </w:r>
                <w:r>
                  <w:t>(香港)有限公司（“兖矿香港公司”）通</w:t>
                </w:r>
                <w:r>
                  <w:rPr>
                    <w:rFonts w:hint="eastAsia"/>
                  </w:rPr>
                  <w:t>过香港中央结算（代理人）有限公司持有本公司</w:t>
                </w:r>
                <w:r>
                  <w:t>4.55亿股H股。</w:t>
                </w:r>
              </w:p>
              <w:p w14:paraId="2E92B678" w14:textId="77777777" w:rsidR="00B201D3" w:rsidRDefault="009855E8">
                <w:pPr>
                  <w:pStyle w:val="3903"/>
                </w:pPr>
                <w:r>
                  <w:rPr>
                    <w:rFonts w:hint="eastAsia"/>
                  </w:rPr>
                  <w:t>除此之外，其他股东的关联关系和一致行动关系不详。</w:t>
                </w:r>
              </w:p>
            </w:tc>
          </w:tr>
          <w:tr w:rsidR="00B201D3" w14:paraId="50519453" w14:textId="77777777">
            <w:trPr>
              <w:cantSplit/>
            </w:trPr>
            <w:sdt>
              <w:sdtPr>
                <w:tag w:val="_PLD_03a6639ad7fb4ac1a2cd145fe333146e"/>
                <w:id w:val="-342937629"/>
                <w:lock w:val="sdtLocked"/>
              </w:sdtPr>
              <w:sdtEndPr/>
              <w:sdtContent>
                <w:tc>
                  <w:tcPr>
                    <w:tcW w:w="3495" w:type="dxa"/>
                    <w:gridSpan w:val="2"/>
                    <w:shd w:val="clear" w:color="auto" w:fill="auto"/>
                    <w:vAlign w:val="center"/>
                  </w:tcPr>
                  <w:p w14:paraId="32B1CFB0" w14:textId="77777777" w:rsidR="00B201D3" w:rsidRDefault="009855E8">
                    <w:pPr>
                      <w:pStyle w:val="3903"/>
                    </w:pPr>
                    <w:r>
                      <w:rPr>
                        <w:rFonts w:hint="eastAsia"/>
                      </w:rPr>
                      <w:t>表决权恢复的优先股股东及持股数量的说明</w:t>
                    </w:r>
                  </w:p>
                </w:tc>
              </w:sdtContent>
            </w:sdt>
            <w:tc>
              <w:tcPr>
                <w:tcW w:w="7024" w:type="dxa"/>
                <w:gridSpan w:val="7"/>
                <w:shd w:val="clear" w:color="auto" w:fill="auto"/>
                <w:vAlign w:val="center"/>
              </w:tcPr>
              <w:p w14:paraId="6A797385" w14:textId="77777777" w:rsidR="00B201D3" w:rsidRDefault="009855E8">
                <w:pPr>
                  <w:pStyle w:val="3903"/>
                </w:pPr>
                <w:r>
                  <w:rPr>
                    <w:rFonts w:hint="eastAsia"/>
                  </w:rPr>
                  <w:t>不适用</w:t>
                </w:r>
              </w:p>
            </w:tc>
          </w:tr>
        </w:tbl>
        <w:p w14:paraId="64B41A47" w14:textId="77777777" w:rsidR="00B201D3" w:rsidRDefault="00B201D3">
          <w:pPr>
            <w:rPr>
              <w:color w:val="00B050"/>
            </w:rPr>
          </w:pPr>
        </w:p>
        <w:p w14:paraId="6C6105BC" w14:textId="77777777" w:rsidR="00B201D3" w:rsidRDefault="009855E8">
          <w:pPr>
            <w:ind w:firstLineChars="200" w:firstLine="420"/>
            <w:jc w:val="both"/>
            <w:rPr>
              <w:rFonts w:cs="Times New Roman"/>
              <w:szCs w:val="20"/>
            </w:rPr>
          </w:pPr>
          <w:r>
            <w:rPr>
              <w:rFonts w:cs="Times New Roman" w:hint="eastAsia"/>
              <w:szCs w:val="20"/>
            </w:rPr>
            <w:t>注：</w:t>
          </w:r>
        </w:p>
        <w:p w14:paraId="6125E55F" w14:textId="77777777" w:rsidR="00B201D3" w:rsidRDefault="009855E8">
          <w:pPr>
            <w:ind w:firstLineChars="200" w:firstLine="420"/>
            <w:jc w:val="both"/>
            <w:rPr>
              <w:rFonts w:cs="Times New Roman"/>
              <w:szCs w:val="20"/>
            </w:rPr>
          </w:pPr>
          <w:r>
            <w:rPr>
              <w:rFonts w:cs="Times New Roman" w:hint="eastAsia"/>
              <w:szCs w:val="20"/>
            </w:rPr>
            <w:t>①以上“报告期末普通股股东总数”及“前</w:t>
          </w:r>
          <w:r>
            <w:rPr>
              <w:rFonts w:cs="Times New Roman"/>
              <w:szCs w:val="20"/>
            </w:rPr>
            <w:t>10名股东持股情况、前10名无限售条件股东持股情况”资料，是根据中国证券登记结算有限责任公司上海分公司、香港证券登记有限公司提供的公司股东名册编制。</w:t>
          </w:r>
        </w:p>
        <w:p w14:paraId="05DD52E5" w14:textId="77777777" w:rsidR="00B201D3" w:rsidRDefault="009855E8">
          <w:pPr>
            <w:ind w:firstLineChars="200" w:firstLine="420"/>
            <w:jc w:val="both"/>
            <w:rPr>
              <w:rFonts w:cs="Times New Roman"/>
              <w:szCs w:val="20"/>
            </w:rPr>
          </w:pPr>
          <w:r>
            <w:rPr>
              <w:rFonts w:cs="Times New Roman" w:hint="eastAsia"/>
              <w:szCs w:val="20"/>
            </w:rPr>
            <w:t>②香港中央结算（代理人）有限公司作为公司</w:t>
          </w:r>
          <w:r>
            <w:rPr>
              <w:rFonts w:cs="Times New Roman"/>
              <w:szCs w:val="20"/>
            </w:rPr>
            <w:t>H股的结算公司，以代理人身份持有公司股票。香港中央结算有限公司为公司沪股通股票的名义持有人。</w:t>
          </w:r>
        </w:p>
        <w:p w14:paraId="16C1C574" w14:textId="77777777" w:rsidR="00B201D3" w:rsidRDefault="009855E8">
          <w:pPr>
            <w:ind w:firstLineChars="200" w:firstLine="420"/>
            <w:jc w:val="both"/>
            <w:rPr>
              <w:rFonts w:cs="Times New Roman"/>
              <w:szCs w:val="20"/>
            </w:rPr>
          </w:pPr>
          <w:r>
            <w:rPr>
              <w:rFonts w:cs="Times New Roman" w:hint="eastAsia"/>
              <w:szCs w:val="20"/>
            </w:rPr>
            <w:t>③截至</w:t>
          </w:r>
          <w:r>
            <w:rPr>
              <w:rFonts w:cs="Times New Roman"/>
              <w:szCs w:val="20"/>
            </w:rPr>
            <w:t>2023年6月30日，</w:t>
          </w:r>
          <w:r>
            <w:rPr>
              <w:rFonts w:cs="Times New Roman" w:hint="eastAsia"/>
              <w:szCs w:val="20"/>
            </w:rPr>
            <w:t>山东能源共持有公司</w:t>
          </w:r>
          <w:r>
            <w:rPr>
              <w:rFonts w:cs="Times New Roman"/>
              <w:szCs w:val="20"/>
            </w:rPr>
            <w:t>A股2,257,324,473股，包括通过自身账号</w:t>
          </w:r>
          <w:r>
            <w:rPr>
              <w:rFonts w:cs="Times New Roman" w:hint="eastAsia"/>
              <w:szCs w:val="20"/>
            </w:rPr>
            <w:t>持有</w:t>
          </w:r>
          <w:r>
            <w:rPr>
              <w:rFonts w:cs="Times New Roman"/>
              <w:szCs w:val="20"/>
            </w:rPr>
            <w:t>2,143,047,288股，通过可交换公司债券质押专户持有114,277,185股；通过兖矿香港公司</w:t>
          </w:r>
          <w:r>
            <w:rPr>
              <w:rFonts w:cs="Times New Roman" w:hint="eastAsia"/>
              <w:szCs w:val="20"/>
            </w:rPr>
            <w:t>持有公司</w:t>
          </w:r>
          <w:r>
            <w:rPr>
              <w:rFonts w:cs="Times New Roman"/>
              <w:szCs w:val="20"/>
            </w:rPr>
            <w:t>H股454,989,000股。山东能源直接和间接持有本公司股份共2,712,313,473股，占本</w:t>
          </w:r>
          <w:r>
            <w:rPr>
              <w:rFonts w:cs="Times New Roman" w:hint="eastAsia"/>
              <w:szCs w:val="20"/>
            </w:rPr>
            <w:t>公司总股本的</w:t>
          </w:r>
          <w:r>
            <w:rPr>
              <w:rFonts w:cs="Times New Roman"/>
              <w:szCs w:val="20"/>
            </w:rPr>
            <w:t>54.67%。</w:t>
          </w:r>
        </w:p>
        <w:p w14:paraId="22C0B7B4" w14:textId="77777777" w:rsidR="00B201D3" w:rsidRDefault="009855E8">
          <w:pPr>
            <w:rPr>
              <w:color w:val="00B050"/>
            </w:rPr>
          </w:pPr>
          <w:r>
            <w:rPr>
              <w:rFonts w:hint="eastAsia"/>
              <w:color w:val="00B050"/>
            </w:rPr>
            <w:t xml:space="preserve"> </w:t>
          </w:r>
        </w:p>
        <w:p w14:paraId="56542F95" w14:textId="77777777" w:rsidR="00B201D3" w:rsidRDefault="009855E8">
          <w:pPr>
            <w:pStyle w:val="3903"/>
          </w:pPr>
          <w:r>
            <w:t>前十名有限售条件股东持股数量及限售条件</w:t>
          </w:r>
        </w:p>
        <w:sdt>
          <w:sdtPr>
            <w:rPr>
              <w:bCs/>
            </w:rPr>
            <w:alias w:val="是否适用：前十名有限售条件股东持股数量及限售条件[双击切换]"/>
            <w:tag w:val="_GBC_681c25d581914cb19d4b007c00511b6a"/>
            <w:id w:val="1825473687"/>
            <w:lock w:val="sdtLocked"/>
            <w:placeholder>
              <w:docPart w:val="GBC22222222222222222222222222222"/>
            </w:placeholder>
          </w:sdtPr>
          <w:sdtEndPr/>
          <w:sdtContent>
            <w:p w14:paraId="76B253FF" w14:textId="77777777" w:rsidR="00B201D3" w:rsidRDefault="009855E8">
              <w:pPr>
                <w:pStyle w:val="3903"/>
              </w:pPr>
              <w:r>
                <w:rPr>
                  <w:bCs/>
                </w:rPr>
                <w:fldChar w:fldCharType="begin"/>
              </w:r>
              <w:r>
                <w:instrText xml:space="preserve"> MACROBUTTON  SnrToggleCheckbox □适用 </w:instrText>
              </w:r>
              <w:r>
                <w:rPr>
                  <w:bCs/>
                </w:rPr>
                <w:fldChar w:fldCharType="end"/>
              </w:r>
              <w:r>
                <w:rPr>
                  <w:bCs/>
                </w:rPr>
                <w:fldChar w:fldCharType="begin"/>
              </w:r>
              <w:r>
                <w:instrText xml:space="preserve"> MACROBUTTON  SnrToggleCheckbox √不适用 </w:instrText>
              </w:r>
              <w:r>
                <w:rPr>
                  <w:bCs/>
                </w:rPr>
                <w:fldChar w:fldCharType="end"/>
              </w:r>
            </w:p>
          </w:sdtContent>
        </w:sdt>
      </w:sdtContent>
    </w:sdt>
    <w:bookmarkStart w:id="103" w:name="_Toc342566000" w:displacedByCustomXml="next"/>
    <w:bookmarkStart w:id="104" w:name="_Toc342059487" w:displacedByCustomXml="next"/>
    <w:sdt>
      <w:sdtPr>
        <w:rPr>
          <w:rFonts w:ascii="宋体" w:hAnsi="宋体" w:cs="宋体"/>
          <w:b w:val="0"/>
          <w:bCs w:val="0"/>
          <w:kern w:val="0"/>
          <w:szCs w:val="22"/>
        </w:rPr>
        <w:alias w:val="模块:战略投资者或一般法人因配售新股成为前10名股东"/>
        <w:tag w:val="_GBC_e978a717352b4bf6852a761b15c1e95b"/>
        <w:id w:val="-1071810944"/>
        <w:lock w:val="sdtLocked"/>
        <w:placeholder>
          <w:docPart w:val="GBC22222222222222222222222222222"/>
        </w:placeholder>
      </w:sdtPr>
      <w:sdtEndPr>
        <w:rPr>
          <w:szCs w:val="21"/>
        </w:rPr>
      </w:sdtEndPr>
      <w:sdtContent>
        <w:p w14:paraId="324D5AEB" w14:textId="77777777" w:rsidR="00B201D3" w:rsidRDefault="009855E8">
          <w:pPr>
            <w:pStyle w:val="3"/>
            <w:numPr>
              <w:ilvl w:val="1"/>
              <w:numId w:val="37"/>
            </w:numPr>
            <w:rPr>
              <w:rFonts w:ascii="宋体" w:hAnsi="宋体"/>
            </w:rPr>
          </w:pPr>
          <w:r>
            <w:rPr>
              <w:rFonts w:ascii="宋体" w:hAnsi="宋体"/>
            </w:rPr>
            <w:t>战略投资者或一般法人因配售新股成为前</w:t>
          </w:r>
          <w:r>
            <w:rPr>
              <w:rFonts w:ascii="宋体" w:hAnsi="宋体" w:hint="eastAsia"/>
            </w:rPr>
            <w:t>十</w:t>
          </w:r>
          <w:r>
            <w:rPr>
              <w:rFonts w:ascii="宋体" w:hAnsi="宋体"/>
            </w:rPr>
            <w:t>名股东</w:t>
          </w:r>
        </w:p>
        <w:sdt>
          <w:sdtPr>
            <w:alias w:val="是否适用：战略投资者或一般法人因配售新股成为前10名股东[双击切换]"/>
            <w:tag w:val="_GBC_fe7bdc72bd78490fb48d0f3eaca6248e"/>
            <w:id w:val="1813442588"/>
            <w:lock w:val="sdtLocked"/>
            <w:placeholder>
              <w:docPart w:val="GBC22222222222222222222222222222"/>
            </w:placeholder>
          </w:sdtPr>
          <w:sdtEndPr/>
          <w:sdtContent>
            <w:p w14:paraId="5CA5B7D2" w14:textId="77777777" w:rsidR="00B201D3" w:rsidRDefault="009855E8">
              <w:pPr>
                <w:pStyle w:val="390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5C89D3F2" w14:textId="77777777" w:rsidR="00B201D3" w:rsidRDefault="00B201D3">
      <w:pPr>
        <w:pStyle w:val="3903"/>
      </w:pPr>
    </w:p>
    <w:p w14:paraId="2E94D0E5" w14:textId="77777777" w:rsidR="00B201D3" w:rsidRDefault="009855E8">
      <w:pPr>
        <w:pStyle w:val="3"/>
        <w:numPr>
          <w:ilvl w:val="1"/>
          <w:numId w:val="37"/>
        </w:numPr>
        <w:rPr>
          <w:b w:val="0"/>
          <w:lang w:val="en-GB"/>
        </w:rPr>
      </w:pPr>
      <w:r>
        <w:rPr>
          <w:rFonts w:hint="eastAsia"/>
          <w:lang w:val="en-GB"/>
        </w:rPr>
        <w:t>主要股东持有公司的股份或相关股份及</w:t>
      </w:r>
      <w:r>
        <w:rPr>
          <w:lang w:val="en-GB"/>
        </w:rPr>
        <w:t>/</w:t>
      </w:r>
      <w:r>
        <w:rPr>
          <w:rFonts w:hint="eastAsia"/>
          <w:lang w:val="en-GB"/>
        </w:rPr>
        <w:t>或淡仓情况</w:t>
      </w:r>
    </w:p>
    <w:p w14:paraId="1E1E9CD6" w14:textId="77777777" w:rsidR="00B201D3" w:rsidRDefault="009855E8">
      <w:pPr>
        <w:ind w:firstLineChars="200" w:firstLine="420"/>
        <w:jc w:val="both"/>
      </w:pPr>
      <w:r>
        <w:rPr>
          <w:rFonts w:hint="eastAsia"/>
        </w:rPr>
        <w:t>除下述披露外，据董事所知，截至</w:t>
      </w:r>
      <w:r>
        <w:t>2023</w:t>
      </w:r>
      <w:r>
        <w:rPr>
          <w:rFonts w:hint="eastAsia"/>
        </w:rPr>
        <w:t>年</w:t>
      </w:r>
      <w:r>
        <w:t>6</w:t>
      </w:r>
      <w:r>
        <w:rPr>
          <w:rFonts w:hint="eastAsia"/>
        </w:rPr>
        <w:t>月</w:t>
      </w:r>
      <w:r>
        <w:t>30</w:t>
      </w:r>
      <w:r>
        <w:rPr>
          <w:rFonts w:hint="eastAsia"/>
        </w:rPr>
        <w:t>日，除本公司董事、监事或最高行政人员以外，并无任何其他人士是本公司主要股东，或者在本公司的股份或相关股份中拥有符合以下条件的权益或淡仓：</w:t>
      </w:r>
      <w:r>
        <w:t>(1)</w:t>
      </w:r>
      <w:r>
        <w:rPr>
          <w:rFonts w:hint="eastAsia"/>
        </w:rPr>
        <w:t>根据《证券及期货条例》第</w:t>
      </w:r>
      <w:r>
        <w:t>XV</w:t>
      </w:r>
      <w:r>
        <w:rPr>
          <w:rFonts w:hint="eastAsia"/>
        </w:rPr>
        <w:t>部第</w:t>
      </w:r>
      <w:r>
        <w:t>2</w:t>
      </w:r>
      <w:r>
        <w:rPr>
          <w:rFonts w:hint="eastAsia"/>
        </w:rPr>
        <w:t>及</w:t>
      </w:r>
      <w:r>
        <w:t>3</w:t>
      </w:r>
      <w:r>
        <w:rPr>
          <w:rFonts w:hint="eastAsia"/>
        </w:rPr>
        <w:t>分部规定应做出披露；</w:t>
      </w:r>
      <w:r>
        <w:t>(2)</w:t>
      </w:r>
      <w:r>
        <w:rPr>
          <w:rFonts w:hint="eastAsia"/>
        </w:rPr>
        <w:t>记录于本公司根据《证券及期货条例》第</w:t>
      </w:r>
      <w:r>
        <w:t>336</w:t>
      </w:r>
      <w:r>
        <w:rPr>
          <w:rFonts w:hint="eastAsia"/>
        </w:rPr>
        <w:t>条而备存的登记册；或</w:t>
      </w:r>
      <w:r>
        <w:t>(3)</w:t>
      </w:r>
      <w:r>
        <w:rPr>
          <w:rFonts w:hint="eastAsia"/>
        </w:rPr>
        <w:t>以其他方式知会本公司及香港联交所。</w:t>
      </w:r>
    </w:p>
    <w:p w14:paraId="177387B3" w14:textId="77777777" w:rsidR="00B201D3" w:rsidRDefault="00B201D3">
      <w:pPr>
        <w:pStyle w:val="3903"/>
      </w:pPr>
    </w:p>
    <w:tbl>
      <w:tblPr>
        <w:tblStyle w:val="af9"/>
        <w:tblW w:w="9910" w:type="dxa"/>
        <w:jc w:val="center"/>
        <w:tblLayout w:type="fixed"/>
        <w:tblLook w:val="04A0" w:firstRow="1" w:lastRow="0" w:firstColumn="1" w:lastColumn="0" w:noHBand="0" w:noVBand="1"/>
      </w:tblPr>
      <w:tblGrid>
        <w:gridCol w:w="1418"/>
        <w:gridCol w:w="1801"/>
        <w:gridCol w:w="1276"/>
        <w:gridCol w:w="1842"/>
        <w:gridCol w:w="851"/>
        <w:gridCol w:w="1304"/>
        <w:gridCol w:w="1418"/>
      </w:tblGrid>
      <w:tr w:rsidR="00B201D3" w:rsidRPr="0069461D" w14:paraId="230E57ED" w14:textId="77777777">
        <w:trPr>
          <w:jc w:val="center"/>
        </w:trPr>
        <w:tc>
          <w:tcPr>
            <w:tcW w:w="1418" w:type="dxa"/>
            <w:vAlign w:val="center"/>
          </w:tcPr>
          <w:p w14:paraId="46299C38" w14:textId="77777777" w:rsidR="00B201D3" w:rsidRPr="0069461D" w:rsidRDefault="009855E8">
            <w:pPr>
              <w:jc w:val="center"/>
              <w:rPr>
                <w:rFonts w:ascii="宋体" w:hAnsi="宋体"/>
                <w:bCs/>
              </w:rPr>
            </w:pPr>
            <w:bookmarkStart w:id="105" w:name="_Hlk100158446"/>
            <w:r w:rsidRPr="0069461D">
              <w:rPr>
                <w:rFonts w:ascii="宋体" w:hAnsi="宋体" w:hint="eastAsia"/>
                <w:bCs/>
              </w:rPr>
              <w:t>主要股东</w:t>
            </w:r>
            <w:r w:rsidRPr="0069461D">
              <w:rPr>
                <w:rFonts w:ascii="宋体" w:hAnsi="宋体"/>
                <w:bCs/>
              </w:rPr>
              <w:br/>
            </w:r>
            <w:r w:rsidRPr="0069461D">
              <w:rPr>
                <w:rFonts w:ascii="宋体" w:hAnsi="宋体" w:hint="eastAsia"/>
                <w:bCs/>
              </w:rPr>
              <w:t>名称</w:t>
            </w:r>
          </w:p>
        </w:tc>
        <w:tc>
          <w:tcPr>
            <w:tcW w:w="1801" w:type="dxa"/>
            <w:vAlign w:val="center"/>
          </w:tcPr>
          <w:p w14:paraId="455AE10B" w14:textId="77777777" w:rsidR="00B201D3" w:rsidRPr="0069461D" w:rsidRDefault="009855E8">
            <w:pPr>
              <w:jc w:val="center"/>
              <w:rPr>
                <w:rFonts w:ascii="宋体" w:hAnsi="宋体"/>
                <w:bCs/>
              </w:rPr>
            </w:pPr>
            <w:r w:rsidRPr="0069461D">
              <w:rPr>
                <w:rFonts w:ascii="宋体" w:hAnsi="宋体" w:hint="eastAsia"/>
                <w:bCs/>
              </w:rPr>
              <w:t>股份类别</w:t>
            </w:r>
          </w:p>
        </w:tc>
        <w:tc>
          <w:tcPr>
            <w:tcW w:w="1276" w:type="dxa"/>
            <w:vAlign w:val="center"/>
          </w:tcPr>
          <w:p w14:paraId="4A782E86" w14:textId="77777777" w:rsidR="00B201D3" w:rsidRPr="0069461D" w:rsidRDefault="009855E8">
            <w:pPr>
              <w:jc w:val="center"/>
              <w:rPr>
                <w:rFonts w:ascii="宋体" w:hAnsi="宋体"/>
                <w:bCs/>
              </w:rPr>
            </w:pPr>
            <w:r w:rsidRPr="0069461D">
              <w:rPr>
                <w:rFonts w:ascii="宋体" w:hAnsi="宋体" w:hint="eastAsia"/>
                <w:bCs/>
              </w:rPr>
              <w:t>身份</w:t>
            </w:r>
          </w:p>
        </w:tc>
        <w:tc>
          <w:tcPr>
            <w:tcW w:w="1842" w:type="dxa"/>
            <w:vAlign w:val="center"/>
          </w:tcPr>
          <w:p w14:paraId="7F9DA81D" w14:textId="77777777" w:rsidR="00B201D3" w:rsidRPr="0069461D" w:rsidRDefault="009855E8">
            <w:pPr>
              <w:jc w:val="center"/>
              <w:rPr>
                <w:rFonts w:ascii="宋体" w:hAnsi="宋体"/>
                <w:bCs/>
              </w:rPr>
            </w:pPr>
            <w:r w:rsidRPr="0069461D">
              <w:rPr>
                <w:rFonts w:ascii="宋体" w:hAnsi="宋体" w:hint="eastAsia"/>
                <w:bCs/>
              </w:rPr>
              <w:t>持有股份数目（股）</w:t>
            </w:r>
          </w:p>
        </w:tc>
        <w:tc>
          <w:tcPr>
            <w:tcW w:w="851" w:type="dxa"/>
            <w:vAlign w:val="center"/>
          </w:tcPr>
          <w:p w14:paraId="5E474DC7" w14:textId="77777777" w:rsidR="00B201D3" w:rsidRPr="0069461D" w:rsidRDefault="009855E8">
            <w:pPr>
              <w:jc w:val="center"/>
              <w:rPr>
                <w:rFonts w:ascii="宋体" w:hAnsi="宋体"/>
                <w:bCs/>
              </w:rPr>
            </w:pPr>
            <w:r w:rsidRPr="0069461D">
              <w:rPr>
                <w:rFonts w:ascii="宋体" w:hAnsi="宋体" w:hint="eastAsia"/>
                <w:bCs/>
              </w:rPr>
              <w:t>权益性质</w:t>
            </w:r>
          </w:p>
        </w:tc>
        <w:tc>
          <w:tcPr>
            <w:tcW w:w="1304" w:type="dxa"/>
            <w:vAlign w:val="center"/>
          </w:tcPr>
          <w:p w14:paraId="707FC533" w14:textId="77777777" w:rsidR="00B201D3" w:rsidRPr="0069461D" w:rsidRDefault="009855E8">
            <w:pPr>
              <w:jc w:val="center"/>
              <w:rPr>
                <w:rFonts w:ascii="宋体" w:hAnsi="宋体"/>
                <w:bCs/>
              </w:rPr>
            </w:pPr>
            <w:r w:rsidRPr="0069461D">
              <w:rPr>
                <w:rFonts w:ascii="宋体" w:hAnsi="宋体" w:hint="eastAsia"/>
                <w:bCs/>
              </w:rPr>
              <w:t>占公司</w:t>
            </w:r>
            <w:r w:rsidRPr="0069461D">
              <w:rPr>
                <w:rFonts w:ascii="宋体" w:hAnsi="宋体"/>
                <w:bCs/>
              </w:rPr>
              <w:t>H</w:t>
            </w:r>
            <w:r w:rsidRPr="0069461D">
              <w:rPr>
                <w:rFonts w:ascii="宋体" w:hAnsi="宋体" w:hint="eastAsia"/>
                <w:bCs/>
              </w:rPr>
              <w:t>股类别之百分比</w:t>
            </w:r>
          </w:p>
        </w:tc>
        <w:tc>
          <w:tcPr>
            <w:tcW w:w="1418" w:type="dxa"/>
            <w:vAlign w:val="center"/>
          </w:tcPr>
          <w:p w14:paraId="70BD23AB" w14:textId="77777777" w:rsidR="00B201D3" w:rsidRPr="0069461D" w:rsidRDefault="009855E8">
            <w:pPr>
              <w:jc w:val="center"/>
              <w:rPr>
                <w:rFonts w:ascii="宋体" w:hAnsi="宋体"/>
                <w:bCs/>
              </w:rPr>
            </w:pPr>
            <w:r w:rsidRPr="0069461D">
              <w:rPr>
                <w:rFonts w:ascii="宋体" w:hAnsi="宋体" w:hint="eastAsia"/>
                <w:bCs/>
              </w:rPr>
              <w:t>占公司已发行股本总数之百分比</w:t>
            </w:r>
          </w:p>
        </w:tc>
      </w:tr>
      <w:tr w:rsidR="00B201D3" w:rsidRPr="0069461D" w14:paraId="372E0A44" w14:textId="77777777">
        <w:trPr>
          <w:jc w:val="center"/>
        </w:trPr>
        <w:tc>
          <w:tcPr>
            <w:tcW w:w="1418" w:type="dxa"/>
            <w:vMerge w:val="restart"/>
            <w:vAlign w:val="center"/>
          </w:tcPr>
          <w:p w14:paraId="784FDBDD" w14:textId="77777777" w:rsidR="00B201D3" w:rsidRPr="0069461D" w:rsidRDefault="009855E8">
            <w:pPr>
              <w:rPr>
                <w:rFonts w:ascii="宋体" w:hAnsi="宋体"/>
                <w:bCs/>
              </w:rPr>
            </w:pPr>
            <w:r w:rsidRPr="0069461D">
              <w:rPr>
                <w:rFonts w:ascii="宋体" w:hAnsi="宋体" w:hint="eastAsia"/>
              </w:rPr>
              <w:t>山东能源</w:t>
            </w:r>
          </w:p>
        </w:tc>
        <w:tc>
          <w:tcPr>
            <w:tcW w:w="1801" w:type="dxa"/>
            <w:vMerge w:val="restart"/>
            <w:vAlign w:val="center"/>
          </w:tcPr>
          <w:p w14:paraId="2AB2930A" w14:textId="77777777" w:rsidR="00B201D3" w:rsidRPr="0069461D" w:rsidRDefault="009855E8">
            <w:pPr>
              <w:jc w:val="center"/>
              <w:rPr>
                <w:rFonts w:ascii="宋体" w:hAnsi="宋体"/>
              </w:rPr>
            </w:pPr>
            <w:r w:rsidRPr="0069461D">
              <w:rPr>
                <w:rFonts w:ascii="宋体" w:hAnsi="宋体"/>
              </w:rPr>
              <w:t>A</w:t>
            </w:r>
            <w:r w:rsidRPr="0069461D">
              <w:rPr>
                <w:rFonts w:ascii="宋体" w:hAnsi="宋体" w:hint="eastAsia"/>
              </w:rPr>
              <w:t>股</w:t>
            </w:r>
          </w:p>
          <w:p w14:paraId="1FBFB3E3" w14:textId="77777777" w:rsidR="00B201D3" w:rsidRPr="0069461D" w:rsidRDefault="009855E8">
            <w:pPr>
              <w:jc w:val="center"/>
              <w:rPr>
                <w:rFonts w:ascii="宋体" w:hAnsi="宋体"/>
                <w:bCs/>
              </w:rPr>
            </w:pPr>
            <w:r w:rsidRPr="0069461D">
              <w:rPr>
                <w:rFonts w:ascii="宋体" w:hAnsi="宋体" w:hint="eastAsia"/>
              </w:rPr>
              <w:t>（国有法人股）</w:t>
            </w:r>
          </w:p>
        </w:tc>
        <w:tc>
          <w:tcPr>
            <w:tcW w:w="1276" w:type="dxa"/>
            <w:vMerge w:val="restart"/>
            <w:vAlign w:val="center"/>
          </w:tcPr>
          <w:p w14:paraId="1864C95C" w14:textId="77777777" w:rsidR="00B201D3" w:rsidRPr="0069461D" w:rsidRDefault="009855E8">
            <w:pPr>
              <w:jc w:val="center"/>
              <w:rPr>
                <w:rFonts w:ascii="宋体" w:hAnsi="宋体"/>
                <w:bCs/>
              </w:rPr>
            </w:pPr>
            <w:r w:rsidRPr="0069461D">
              <w:rPr>
                <w:rFonts w:ascii="宋体" w:hAnsi="宋体" w:hint="eastAsia"/>
              </w:rPr>
              <w:t>实益拥有人</w:t>
            </w:r>
          </w:p>
        </w:tc>
        <w:tc>
          <w:tcPr>
            <w:tcW w:w="1842" w:type="dxa"/>
            <w:vAlign w:val="center"/>
          </w:tcPr>
          <w:p w14:paraId="6D8D833E" w14:textId="77777777" w:rsidR="00B201D3" w:rsidRPr="0069461D" w:rsidRDefault="009855E8">
            <w:pPr>
              <w:jc w:val="center"/>
              <w:rPr>
                <w:rFonts w:ascii="宋体" w:hAnsi="宋体"/>
                <w:bCs/>
              </w:rPr>
            </w:pPr>
            <w:r w:rsidRPr="0069461D">
              <w:rPr>
                <w:rFonts w:ascii="宋体" w:hAnsi="宋体"/>
              </w:rPr>
              <w:t>2,257,324,473</w:t>
            </w:r>
          </w:p>
        </w:tc>
        <w:tc>
          <w:tcPr>
            <w:tcW w:w="851" w:type="dxa"/>
            <w:vAlign w:val="center"/>
          </w:tcPr>
          <w:p w14:paraId="68F0E3E6" w14:textId="77777777" w:rsidR="00B201D3" w:rsidRPr="0069461D" w:rsidRDefault="009855E8">
            <w:pPr>
              <w:jc w:val="center"/>
              <w:rPr>
                <w:rFonts w:ascii="宋体" w:hAnsi="宋体"/>
                <w:bCs/>
              </w:rPr>
            </w:pPr>
            <w:r w:rsidRPr="0069461D">
              <w:rPr>
                <w:rFonts w:ascii="宋体" w:hAnsi="宋体" w:hint="eastAsia"/>
              </w:rPr>
              <w:t>好仓</w:t>
            </w:r>
          </w:p>
        </w:tc>
        <w:tc>
          <w:tcPr>
            <w:tcW w:w="1304" w:type="dxa"/>
            <w:vAlign w:val="center"/>
          </w:tcPr>
          <w:p w14:paraId="7C63CA7D" w14:textId="77777777" w:rsidR="00B201D3" w:rsidRPr="0069461D" w:rsidRDefault="009855E8">
            <w:pPr>
              <w:jc w:val="center"/>
              <w:rPr>
                <w:rFonts w:ascii="宋体" w:hAnsi="宋体"/>
                <w:bCs/>
              </w:rPr>
            </w:pPr>
            <w:r w:rsidRPr="0069461D">
              <w:rPr>
                <w:rFonts w:ascii="宋体" w:hAnsi="宋体"/>
              </w:rPr>
              <w:t>-</w:t>
            </w:r>
          </w:p>
        </w:tc>
        <w:tc>
          <w:tcPr>
            <w:tcW w:w="1418" w:type="dxa"/>
            <w:vAlign w:val="center"/>
          </w:tcPr>
          <w:p w14:paraId="1B5C18BF" w14:textId="77777777" w:rsidR="00B201D3" w:rsidRPr="0069461D" w:rsidRDefault="009855E8">
            <w:pPr>
              <w:jc w:val="center"/>
              <w:rPr>
                <w:rFonts w:ascii="宋体" w:hAnsi="宋体"/>
              </w:rPr>
            </w:pPr>
            <w:r w:rsidRPr="0069461D">
              <w:rPr>
                <w:rFonts w:ascii="宋体" w:hAnsi="宋体"/>
              </w:rPr>
              <w:t>45.50%</w:t>
            </w:r>
          </w:p>
        </w:tc>
      </w:tr>
      <w:tr w:rsidR="00B201D3" w:rsidRPr="0069461D" w14:paraId="0CA60D1C" w14:textId="77777777">
        <w:trPr>
          <w:jc w:val="center"/>
        </w:trPr>
        <w:tc>
          <w:tcPr>
            <w:tcW w:w="1418" w:type="dxa"/>
            <w:vMerge/>
            <w:vAlign w:val="center"/>
          </w:tcPr>
          <w:p w14:paraId="7C4C92FD" w14:textId="77777777" w:rsidR="00B201D3" w:rsidRPr="0069461D" w:rsidRDefault="00B201D3">
            <w:pPr>
              <w:rPr>
                <w:rFonts w:ascii="宋体" w:hAnsi="宋体"/>
              </w:rPr>
            </w:pPr>
          </w:p>
        </w:tc>
        <w:tc>
          <w:tcPr>
            <w:tcW w:w="1801" w:type="dxa"/>
            <w:vMerge/>
            <w:vAlign w:val="center"/>
          </w:tcPr>
          <w:p w14:paraId="20AFEE45" w14:textId="77777777" w:rsidR="00B201D3" w:rsidRPr="0069461D" w:rsidRDefault="00B201D3">
            <w:pPr>
              <w:jc w:val="center"/>
              <w:rPr>
                <w:rFonts w:ascii="宋体" w:hAnsi="宋体"/>
              </w:rPr>
            </w:pPr>
          </w:p>
        </w:tc>
        <w:tc>
          <w:tcPr>
            <w:tcW w:w="1276" w:type="dxa"/>
            <w:vMerge/>
            <w:vAlign w:val="center"/>
          </w:tcPr>
          <w:p w14:paraId="1854985F" w14:textId="77777777" w:rsidR="00B201D3" w:rsidRPr="0069461D" w:rsidRDefault="00B201D3">
            <w:pPr>
              <w:jc w:val="center"/>
              <w:rPr>
                <w:rFonts w:ascii="宋体" w:hAnsi="宋体"/>
              </w:rPr>
            </w:pPr>
          </w:p>
        </w:tc>
        <w:tc>
          <w:tcPr>
            <w:tcW w:w="1842" w:type="dxa"/>
            <w:vAlign w:val="center"/>
          </w:tcPr>
          <w:p w14:paraId="00663D0C" w14:textId="77777777" w:rsidR="00B201D3" w:rsidRPr="0069461D" w:rsidRDefault="009855E8">
            <w:pPr>
              <w:jc w:val="center"/>
              <w:rPr>
                <w:rFonts w:ascii="宋体" w:hAnsi="宋体"/>
              </w:rPr>
            </w:pPr>
            <w:r w:rsidRPr="0069461D">
              <w:rPr>
                <w:rFonts w:ascii="宋体" w:hAnsi="宋体"/>
              </w:rPr>
              <w:t>114,277,185</w:t>
            </w:r>
          </w:p>
        </w:tc>
        <w:tc>
          <w:tcPr>
            <w:tcW w:w="851" w:type="dxa"/>
            <w:vAlign w:val="center"/>
          </w:tcPr>
          <w:p w14:paraId="6D40A23D" w14:textId="77777777" w:rsidR="00B201D3" w:rsidRPr="0069461D" w:rsidRDefault="009855E8">
            <w:pPr>
              <w:jc w:val="center"/>
              <w:rPr>
                <w:rFonts w:ascii="宋体" w:hAnsi="宋体"/>
              </w:rPr>
            </w:pPr>
            <w:r w:rsidRPr="0069461D">
              <w:rPr>
                <w:rFonts w:ascii="宋体" w:hAnsi="宋体" w:hint="eastAsia"/>
              </w:rPr>
              <w:t>淡仓</w:t>
            </w:r>
          </w:p>
        </w:tc>
        <w:tc>
          <w:tcPr>
            <w:tcW w:w="1304" w:type="dxa"/>
            <w:vAlign w:val="center"/>
          </w:tcPr>
          <w:p w14:paraId="639CF6CB" w14:textId="77777777" w:rsidR="00B201D3" w:rsidRPr="0069461D" w:rsidRDefault="009855E8">
            <w:pPr>
              <w:jc w:val="center"/>
              <w:rPr>
                <w:rFonts w:ascii="宋体" w:hAnsi="宋体"/>
              </w:rPr>
            </w:pPr>
            <w:r w:rsidRPr="0069461D">
              <w:rPr>
                <w:rFonts w:ascii="宋体" w:hAnsi="宋体"/>
              </w:rPr>
              <w:t>-</w:t>
            </w:r>
          </w:p>
        </w:tc>
        <w:tc>
          <w:tcPr>
            <w:tcW w:w="1418" w:type="dxa"/>
            <w:vAlign w:val="center"/>
          </w:tcPr>
          <w:p w14:paraId="17B4C2E8" w14:textId="77777777" w:rsidR="00B201D3" w:rsidRPr="0069461D" w:rsidRDefault="009855E8">
            <w:pPr>
              <w:jc w:val="center"/>
              <w:rPr>
                <w:rFonts w:ascii="宋体" w:hAnsi="宋体"/>
              </w:rPr>
            </w:pPr>
            <w:r w:rsidRPr="0069461D">
              <w:rPr>
                <w:rFonts w:ascii="宋体" w:hAnsi="宋体"/>
              </w:rPr>
              <w:t>2.30%</w:t>
            </w:r>
          </w:p>
        </w:tc>
      </w:tr>
      <w:tr w:rsidR="00B201D3" w:rsidRPr="0069461D" w14:paraId="1B8F8DAF" w14:textId="77777777">
        <w:trPr>
          <w:jc w:val="center"/>
        </w:trPr>
        <w:tc>
          <w:tcPr>
            <w:tcW w:w="1418" w:type="dxa"/>
            <w:vAlign w:val="center"/>
          </w:tcPr>
          <w:p w14:paraId="5951A1F1" w14:textId="77777777" w:rsidR="00B201D3" w:rsidRPr="0069461D" w:rsidRDefault="009855E8">
            <w:pPr>
              <w:rPr>
                <w:rFonts w:ascii="宋体" w:hAnsi="宋体"/>
                <w:bCs/>
              </w:rPr>
            </w:pPr>
            <w:r w:rsidRPr="0069461D">
              <w:rPr>
                <w:rFonts w:ascii="宋体" w:hAnsi="宋体" w:hint="eastAsia"/>
              </w:rPr>
              <w:t>山东能源</w:t>
            </w:r>
            <w:r w:rsidRPr="0069461D">
              <w:rPr>
                <w:rFonts w:ascii="宋体" w:hAnsi="宋体" w:hint="eastAsia"/>
                <w:vertAlign w:val="superscript"/>
              </w:rPr>
              <w:t>①</w:t>
            </w:r>
          </w:p>
        </w:tc>
        <w:tc>
          <w:tcPr>
            <w:tcW w:w="1801" w:type="dxa"/>
            <w:vAlign w:val="center"/>
          </w:tcPr>
          <w:p w14:paraId="2BBE924A" w14:textId="77777777" w:rsidR="00B201D3" w:rsidRPr="0069461D" w:rsidRDefault="009855E8">
            <w:pPr>
              <w:jc w:val="center"/>
              <w:rPr>
                <w:rFonts w:ascii="宋体" w:hAnsi="宋体"/>
                <w:bCs/>
              </w:rPr>
            </w:pPr>
            <w:r w:rsidRPr="0069461D">
              <w:rPr>
                <w:rFonts w:ascii="宋体" w:hAnsi="宋体"/>
              </w:rPr>
              <w:t>H</w:t>
            </w:r>
            <w:r w:rsidRPr="0069461D">
              <w:rPr>
                <w:rFonts w:ascii="宋体" w:hAnsi="宋体" w:hint="eastAsia"/>
              </w:rPr>
              <w:t>股</w:t>
            </w:r>
          </w:p>
        </w:tc>
        <w:tc>
          <w:tcPr>
            <w:tcW w:w="1276" w:type="dxa"/>
            <w:vAlign w:val="center"/>
          </w:tcPr>
          <w:p w14:paraId="48FEDE66" w14:textId="77777777" w:rsidR="00B201D3" w:rsidRPr="0069461D" w:rsidRDefault="009855E8">
            <w:pPr>
              <w:jc w:val="center"/>
              <w:rPr>
                <w:rFonts w:ascii="宋体" w:hAnsi="宋体"/>
                <w:bCs/>
              </w:rPr>
            </w:pPr>
            <w:r w:rsidRPr="0069461D">
              <w:rPr>
                <w:rFonts w:ascii="宋体" w:hAnsi="宋体" w:hint="eastAsia"/>
              </w:rPr>
              <w:t>所控制法团的权益</w:t>
            </w:r>
          </w:p>
        </w:tc>
        <w:tc>
          <w:tcPr>
            <w:tcW w:w="1842" w:type="dxa"/>
            <w:vAlign w:val="center"/>
          </w:tcPr>
          <w:p w14:paraId="74A6CDC3" w14:textId="77777777" w:rsidR="00B201D3" w:rsidRPr="0069461D" w:rsidRDefault="009855E8">
            <w:pPr>
              <w:jc w:val="center"/>
              <w:rPr>
                <w:rFonts w:ascii="宋体" w:hAnsi="宋体"/>
                <w:bCs/>
              </w:rPr>
            </w:pPr>
            <w:r w:rsidRPr="0069461D">
              <w:rPr>
                <w:rFonts w:ascii="宋体" w:hAnsi="宋体"/>
              </w:rPr>
              <w:t>454,989,000</w:t>
            </w:r>
          </w:p>
        </w:tc>
        <w:tc>
          <w:tcPr>
            <w:tcW w:w="851" w:type="dxa"/>
            <w:vAlign w:val="center"/>
          </w:tcPr>
          <w:p w14:paraId="3E30A275" w14:textId="77777777" w:rsidR="00B201D3" w:rsidRPr="0069461D" w:rsidRDefault="009855E8">
            <w:pPr>
              <w:jc w:val="center"/>
              <w:rPr>
                <w:rFonts w:ascii="宋体" w:hAnsi="宋体"/>
                <w:bCs/>
              </w:rPr>
            </w:pPr>
            <w:r w:rsidRPr="0069461D">
              <w:rPr>
                <w:rFonts w:ascii="宋体" w:hAnsi="宋体" w:hint="eastAsia"/>
              </w:rPr>
              <w:t>好仓</w:t>
            </w:r>
          </w:p>
        </w:tc>
        <w:tc>
          <w:tcPr>
            <w:tcW w:w="1304" w:type="dxa"/>
            <w:vAlign w:val="center"/>
          </w:tcPr>
          <w:p w14:paraId="6AD53CA4" w14:textId="77777777" w:rsidR="00B201D3" w:rsidRPr="0069461D" w:rsidRDefault="009855E8">
            <w:pPr>
              <w:jc w:val="center"/>
              <w:rPr>
                <w:rFonts w:ascii="宋体" w:hAnsi="宋体"/>
                <w:bCs/>
              </w:rPr>
            </w:pPr>
            <w:r w:rsidRPr="0069461D">
              <w:rPr>
                <w:rFonts w:ascii="宋体" w:hAnsi="宋体"/>
              </w:rPr>
              <w:t>23.95%</w:t>
            </w:r>
          </w:p>
        </w:tc>
        <w:tc>
          <w:tcPr>
            <w:tcW w:w="1418" w:type="dxa"/>
            <w:vAlign w:val="center"/>
          </w:tcPr>
          <w:p w14:paraId="11844D20" w14:textId="77777777" w:rsidR="00B201D3" w:rsidRPr="0069461D" w:rsidRDefault="009855E8">
            <w:pPr>
              <w:jc w:val="center"/>
              <w:rPr>
                <w:rFonts w:ascii="宋体" w:hAnsi="宋体"/>
              </w:rPr>
            </w:pPr>
            <w:r w:rsidRPr="0069461D">
              <w:rPr>
                <w:rFonts w:ascii="宋体" w:hAnsi="宋体"/>
              </w:rPr>
              <w:t>9.17%</w:t>
            </w:r>
          </w:p>
        </w:tc>
      </w:tr>
      <w:tr w:rsidR="00B201D3" w:rsidRPr="0069461D" w14:paraId="688E0574" w14:textId="77777777">
        <w:trPr>
          <w:jc w:val="center"/>
        </w:trPr>
        <w:tc>
          <w:tcPr>
            <w:tcW w:w="1418" w:type="dxa"/>
            <w:vAlign w:val="center"/>
          </w:tcPr>
          <w:p w14:paraId="6D3B29DE" w14:textId="77777777" w:rsidR="00B201D3" w:rsidRPr="0069461D" w:rsidRDefault="009855E8">
            <w:pPr>
              <w:rPr>
                <w:rFonts w:ascii="宋体" w:hAnsi="宋体"/>
                <w:bCs/>
              </w:rPr>
            </w:pPr>
            <w:r w:rsidRPr="0069461D">
              <w:rPr>
                <w:rFonts w:ascii="宋体" w:hAnsi="宋体"/>
              </w:rPr>
              <w:lastRenderedPageBreak/>
              <w:t>BNP Paribas Investment Partners SA</w:t>
            </w:r>
          </w:p>
        </w:tc>
        <w:tc>
          <w:tcPr>
            <w:tcW w:w="1801" w:type="dxa"/>
            <w:vAlign w:val="center"/>
          </w:tcPr>
          <w:p w14:paraId="11C22BCD" w14:textId="77777777" w:rsidR="00B201D3" w:rsidRPr="0069461D" w:rsidRDefault="009855E8">
            <w:pPr>
              <w:jc w:val="center"/>
              <w:rPr>
                <w:rFonts w:ascii="宋体" w:hAnsi="宋体"/>
                <w:bCs/>
              </w:rPr>
            </w:pPr>
            <w:r w:rsidRPr="0069461D">
              <w:rPr>
                <w:rFonts w:ascii="宋体" w:hAnsi="宋体"/>
              </w:rPr>
              <w:t>H</w:t>
            </w:r>
            <w:r w:rsidRPr="0069461D">
              <w:rPr>
                <w:rFonts w:ascii="宋体" w:hAnsi="宋体" w:hint="eastAsia"/>
              </w:rPr>
              <w:t>股</w:t>
            </w:r>
          </w:p>
        </w:tc>
        <w:tc>
          <w:tcPr>
            <w:tcW w:w="1276" w:type="dxa"/>
            <w:vAlign w:val="center"/>
          </w:tcPr>
          <w:p w14:paraId="61171E94" w14:textId="77777777" w:rsidR="00B201D3" w:rsidRPr="0069461D" w:rsidRDefault="009855E8">
            <w:pPr>
              <w:jc w:val="center"/>
              <w:rPr>
                <w:rFonts w:ascii="宋体" w:hAnsi="宋体"/>
                <w:bCs/>
              </w:rPr>
            </w:pPr>
            <w:r w:rsidRPr="0069461D">
              <w:rPr>
                <w:rFonts w:ascii="宋体" w:hAnsi="宋体" w:hint="eastAsia"/>
              </w:rPr>
              <w:t>投资经理</w:t>
            </w:r>
          </w:p>
        </w:tc>
        <w:tc>
          <w:tcPr>
            <w:tcW w:w="1842" w:type="dxa"/>
            <w:vAlign w:val="center"/>
          </w:tcPr>
          <w:p w14:paraId="4EFCFC11" w14:textId="77777777" w:rsidR="00B201D3" w:rsidRPr="0069461D" w:rsidRDefault="009855E8">
            <w:pPr>
              <w:jc w:val="center"/>
              <w:rPr>
                <w:rFonts w:ascii="宋体" w:hAnsi="宋体"/>
                <w:bCs/>
              </w:rPr>
            </w:pPr>
            <w:r w:rsidRPr="0069461D">
              <w:rPr>
                <w:rFonts w:ascii="宋体" w:hAnsi="宋体"/>
              </w:rPr>
              <w:t>117,641,207</w:t>
            </w:r>
          </w:p>
        </w:tc>
        <w:tc>
          <w:tcPr>
            <w:tcW w:w="851" w:type="dxa"/>
            <w:vAlign w:val="center"/>
          </w:tcPr>
          <w:p w14:paraId="5A5EEC05" w14:textId="77777777" w:rsidR="00B201D3" w:rsidRPr="0069461D" w:rsidRDefault="009855E8">
            <w:pPr>
              <w:jc w:val="center"/>
              <w:rPr>
                <w:rFonts w:ascii="宋体" w:hAnsi="宋体"/>
                <w:bCs/>
              </w:rPr>
            </w:pPr>
            <w:r w:rsidRPr="0069461D">
              <w:rPr>
                <w:rFonts w:ascii="宋体" w:hAnsi="宋体" w:hint="eastAsia"/>
              </w:rPr>
              <w:t>好仓</w:t>
            </w:r>
          </w:p>
        </w:tc>
        <w:tc>
          <w:tcPr>
            <w:tcW w:w="1304" w:type="dxa"/>
            <w:vAlign w:val="center"/>
          </w:tcPr>
          <w:p w14:paraId="06915F7A" w14:textId="77777777" w:rsidR="00B201D3" w:rsidRPr="0069461D" w:rsidRDefault="009855E8">
            <w:pPr>
              <w:jc w:val="center"/>
              <w:rPr>
                <w:rFonts w:ascii="宋体" w:hAnsi="宋体"/>
                <w:bCs/>
              </w:rPr>
            </w:pPr>
            <w:r w:rsidRPr="0069461D">
              <w:rPr>
                <w:rFonts w:ascii="宋体" w:hAnsi="宋体"/>
              </w:rPr>
              <w:t>6.19%</w:t>
            </w:r>
          </w:p>
        </w:tc>
        <w:tc>
          <w:tcPr>
            <w:tcW w:w="1418" w:type="dxa"/>
            <w:vAlign w:val="center"/>
          </w:tcPr>
          <w:p w14:paraId="12086EC4" w14:textId="77777777" w:rsidR="00B201D3" w:rsidRPr="0069461D" w:rsidRDefault="009855E8">
            <w:pPr>
              <w:jc w:val="center"/>
              <w:rPr>
                <w:rFonts w:ascii="宋体" w:hAnsi="宋体"/>
                <w:bCs/>
              </w:rPr>
            </w:pPr>
            <w:r w:rsidRPr="0069461D">
              <w:rPr>
                <w:rFonts w:ascii="宋体" w:hAnsi="宋体"/>
              </w:rPr>
              <w:t>2.37%</w:t>
            </w:r>
          </w:p>
        </w:tc>
      </w:tr>
    </w:tbl>
    <w:bookmarkEnd w:id="105"/>
    <w:p w14:paraId="2B743272" w14:textId="77777777" w:rsidR="00B201D3" w:rsidRPr="0069461D" w:rsidRDefault="009855E8">
      <w:pPr>
        <w:pStyle w:val="3903"/>
      </w:pPr>
      <w:r w:rsidRPr="0069461D">
        <w:rPr>
          <w:rFonts w:hint="eastAsia"/>
        </w:rPr>
        <w:t>注：</w:t>
      </w:r>
    </w:p>
    <w:p w14:paraId="23C00A32" w14:textId="77777777" w:rsidR="00B201D3" w:rsidRPr="0069461D" w:rsidRDefault="009855E8">
      <w:pPr>
        <w:jc w:val="both"/>
      </w:pPr>
      <w:r w:rsidRPr="0069461D">
        <w:rPr>
          <w:rFonts w:hint="eastAsia"/>
        </w:rPr>
        <w:t>①该等</w:t>
      </w:r>
      <w:r w:rsidRPr="0069461D">
        <w:t>H</w:t>
      </w:r>
      <w:r w:rsidRPr="0069461D">
        <w:rPr>
          <w:rFonts w:hint="eastAsia"/>
        </w:rPr>
        <w:t>股是由兖矿香港公司以实益拥有人的身份持有。</w:t>
      </w:r>
    </w:p>
    <w:p w14:paraId="1953DE48" w14:textId="77777777" w:rsidR="00B201D3" w:rsidRPr="0069461D" w:rsidRDefault="009855E8">
      <w:pPr>
        <w:jc w:val="both"/>
      </w:pPr>
      <w:r w:rsidRPr="0069461D">
        <w:rPr>
          <w:rFonts w:hint="eastAsia"/>
        </w:rPr>
        <w:t>②百分比数据保留至小数点后两位。</w:t>
      </w:r>
    </w:p>
    <w:p w14:paraId="418339E3" w14:textId="4ED83F9C" w:rsidR="00B201D3" w:rsidRDefault="009855E8">
      <w:pPr>
        <w:jc w:val="both"/>
      </w:pPr>
      <w:r w:rsidRPr="0069461D">
        <w:rPr>
          <w:rFonts w:hint="eastAsia"/>
        </w:rPr>
        <w:t>③所披露的信息乃是基于香港联交所网站</w:t>
      </w:r>
      <w:r w:rsidRPr="0069461D">
        <w:t>(</w:t>
      </w:r>
      <w:r w:rsidR="00D3303D" w:rsidRPr="00D3303D">
        <w:t>http://www.hkexnews.hk</w:t>
      </w:r>
      <w:r w:rsidRPr="0069461D">
        <w:t>)</w:t>
      </w:r>
      <w:bookmarkStart w:id="106" w:name="_Hlk133085934"/>
      <w:r w:rsidRPr="0069461D">
        <w:rPr>
          <w:rFonts w:hint="eastAsia"/>
        </w:rPr>
        <w:t>及中国证券登记</w:t>
      </w:r>
      <w:r>
        <w:rPr>
          <w:rFonts w:hint="eastAsia"/>
        </w:rPr>
        <w:t>结算有限责任公司上海分公司</w:t>
      </w:r>
      <w:bookmarkEnd w:id="106"/>
      <w:r>
        <w:rPr>
          <w:rFonts w:hint="eastAsia"/>
        </w:rPr>
        <w:t>所提供的信息作出。</w:t>
      </w:r>
    </w:p>
    <w:p w14:paraId="6250891D" w14:textId="77777777" w:rsidR="00B201D3" w:rsidRDefault="00B201D3">
      <w:pPr>
        <w:pStyle w:val="3903"/>
      </w:pPr>
    </w:p>
    <w:p w14:paraId="46A8FA99" w14:textId="77777777" w:rsidR="00B201D3" w:rsidRDefault="009855E8">
      <w:pPr>
        <w:pStyle w:val="2"/>
        <w:numPr>
          <w:ilvl w:val="0"/>
          <w:numId w:val="34"/>
        </w:numPr>
        <w:spacing w:line="360" w:lineRule="auto"/>
        <w:ind w:left="422" w:hanging="422"/>
        <w:rPr>
          <w:rFonts w:ascii="宋体" w:hAnsi="宋体"/>
        </w:rPr>
      </w:pPr>
      <w:bookmarkStart w:id="107" w:name="_Toc342566004"/>
      <w:bookmarkStart w:id="108" w:name="_Toc342057944"/>
      <w:r>
        <w:rPr>
          <w:rFonts w:ascii="宋体" w:hAnsi="宋体"/>
        </w:rPr>
        <w:t>董事、监事和高级管理人员情况</w:t>
      </w:r>
    </w:p>
    <w:sdt>
      <w:sdtPr>
        <w:rPr>
          <w:rFonts w:ascii="宋体" w:hAnsi="宋体" w:cs="宋体"/>
          <w:b w:val="0"/>
          <w:bCs w:val="0"/>
          <w:kern w:val="0"/>
          <w:szCs w:val="24"/>
        </w:rPr>
        <w:alias w:val="模块:现任及报告期内离任董事、监事和高级管理人员持股变动情况 "/>
        <w:tag w:val="_SEC_34f8808520ab47be851d00ee44fc510b"/>
        <w:id w:val="1307356573"/>
        <w:lock w:val="sdtLocked"/>
        <w:placeholder>
          <w:docPart w:val="GBC22222222222222222222222222222"/>
        </w:placeholder>
      </w:sdtPr>
      <w:sdtEndPr>
        <w:rPr>
          <w:szCs w:val="21"/>
        </w:rPr>
      </w:sdtEndPr>
      <w:sdtContent>
        <w:p w14:paraId="5BA289FC" w14:textId="77777777" w:rsidR="00B201D3" w:rsidRDefault="009855E8">
          <w:pPr>
            <w:pStyle w:val="3"/>
            <w:numPr>
              <w:ilvl w:val="2"/>
              <w:numId w:val="38"/>
            </w:numPr>
            <w:rPr>
              <w:rFonts w:ascii="宋体" w:hAnsi="宋体"/>
            </w:rPr>
          </w:pPr>
          <w:r>
            <w:rPr>
              <w:rFonts w:ascii="宋体" w:hAnsi="宋体"/>
            </w:rPr>
            <w:t>现任及报告期内离任董事、监事和高级管理人员持股变动情况</w:t>
          </w:r>
        </w:p>
        <w:sdt>
          <w:sdtPr>
            <w:alias w:val="是否适用：董事、监事和高级管理人员持股变动[双击切换]"/>
            <w:tag w:val="_GBC_e4aa9f89c24b4cbb80c479762adcf568"/>
            <w:id w:val="1443418118"/>
            <w:lock w:val="sdtLocked"/>
            <w:placeholder>
              <w:docPart w:val="GBC22222222222222222222222222222"/>
            </w:placeholder>
          </w:sdtPr>
          <w:sdtEndPr/>
          <w:sdtContent>
            <w:p w14:paraId="0594708D" w14:textId="77777777" w:rsidR="00B201D3" w:rsidRDefault="009855E8">
              <w:pPr>
                <w:pStyle w:val="390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AAE8932" w14:textId="77777777" w:rsidR="00B201D3" w:rsidRDefault="009855E8">
          <w:pPr>
            <w:ind w:firstLineChars="200" w:firstLine="420"/>
            <w:jc w:val="both"/>
          </w:pPr>
          <w:r>
            <w:rPr>
              <w:rFonts w:hint="eastAsia"/>
            </w:rPr>
            <w:t>截至报告期末，除下述披露外，本公司各董事、监事和高级管理人员概无在本公司或其任何相联法团（定义见香港《证券及期货条例》第</w:t>
          </w:r>
          <w:r>
            <w:t xml:space="preserve"> XV 部所指的相联法团）的股份、相关股份中拥</w:t>
          </w:r>
          <w:r>
            <w:rPr>
              <w:rFonts w:hint="eastAsia"/>
            </w:rPr>
            <w:t>有权益及淡仓，而该等权益及淡仓（</w:t>
          </w:r>
          <w:r>
            <w:t>i）根据香港《证券及期货条例》第352条规定，应记录在须</w:t>
          </w:r>
          <w:r>
            <w:rPr>
              <w:rFonts w:hint="eastAsia"/>
            </w:rPr>
            <w:t>予备存的登记册中；或（</w:t>
          </w:r>
          <w:r>
            <w:t>ii）根据《标准守则》规定，需通知上市发行人及香港联交所（有关规</w:t>
          </w:r>
          <w:r>
            <w:rPr>
              <w:rFonts w:hint="eastAsia"/>
            </w:rPr>
            <w:t>定被视为同样适用于本公司的监事，适用程度与本公司董事一致）。</w:t>
          </w:r>
          <w:r>
            <w:cr/>
          </w:r>
        </w:p>
        <w:p w14:paraId="04D210F2" w14:textId="6A3CD824" w:rsidR="00B201D3" w:rsidRDefault="009855E8">
          <w:pPr>
            <w:jc w:val="right"/>
          </w:pPr>
          <w:r>
            <w:rPr>
              <w:rFonts w:hint="eastAsia"/>
            </w:rPr>
            <w:t>单位：</w:t>
          </w:r>
          <w:sdt>
            <w:sdtPr>
              <w:rPr>
                <w:rFonts w:hint="eastAsia"/>
              </w:rPr>
              <w:alias w:val="单位：董事、监事、高级管理人员基本情况"/>
              <w:tag w:val="_GBC_87d809188f454ec0b46d64b3aa35bd40"/>
              <w:id w:val="-741948802"/>
              <w:lock w:val="sdtLocked"/>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EndPr/>
            <w:sdtContent>
              <w:r w:rsidR="00F46283">
                <w:rPr>
                  <w:rFonts w:hint="eastAsia"/>
                </w:rPr>
                <w:t>股</w:t>
              </w:r>
            </w:sdtContent>
          </w:sdt>
        </w:p>
        <w:tbl>
          <w:tblPr>
            <w:tblStyle w:val="af9"/>
            <w:tblW w:w="9498" w:type="dxa"/>
            <w:tblInd w:w="-572" w:type="dxa"/>
            <w:tblLook w:val="04A0" w:firstRow="1" w:lastRow="0" w:firstColumn="1" w:lastColumn="0" w:noHBand="0" w:noVBand="1"/>
          </w:tblPr>
          <w:tblGrid>
            <w:gridCol w:w="1560"/>
            <w:gridCol w:w="1954"/>
            <w:gridCol w:w="1471"/>
            <w:gridCol w:w="1470"/>
            <w:gridCol w:w="1470"/>
            <w:gridCol w:w="1573"/>
          </w:tblGrid>
          <w:tr w:rsidR="00B201D3" w14:paraId="6750F0A6" w14:textId="77777777">
            <w:sdt>
              <w:sdtPr>
                <w:tag w:val="_PLD_1f7680f216a54f238a0fc6f41541ae82"/>
                <w:id w:val="-1153983579"/>
                <w:lock w:val="sdtLocked"/>
              </w:sdtPr>
              <w:sdtEndPr/>
              <w:sdtContent>
                <w:tc>
                  <w:tcPr>
                    <w:tcW w:w="1560" w:type="dxa"/>
                    <w:vAlign w:val="center"/>
                  </w:tcPr>
                  <w:p w14:paraId="09E0B5DC" w14:textId="77777777" w:rsidR="00B201D3" w:rsidRDefault="009855E8">
                    <w:pPr>
                      <w:jc w:val="center"/>
                    </w:pPr>
                    <w:r>
                      <w:t>姓名</w:t>
                    </w:r>
                  </w:p>
                </w:tc>
              </w:sdtContent>
            </w:sdt>
            <w:sdt>
              <w:sdtPr>
                <w:tag w:val="_PLD_f9cf95b77e9f44c08a598757ed99ae89"/>
                <w:id w:val="1844427500"/>
                <w:lock w:val="sdtLocked"/>
              </w:sdtPr>
              <w:sdtEndPr/>
              <w:sdtContent>
                <w:tc>
                  <w:tcPr>
                    <w:tcW w:w="1954" w:type="dxa"/>
                    <w:vAlign w:val="center"/>
                  </w:tcPr>
                  <w:p w14:paraId="0CAD7744" w14:textId="77777777" w:rsidR="00B201D3" w:rsidRDefault="009855E8">
                    <w:pPr>
                      <w:jc w:val="center"/>
                    </w:pPr>
                    <w:r>
                      <w:t>职务</w:t>
                    </w:r>
                  </w:p>
                </w:tc>
              </w:sdtContent>
            </w:sdt>
            <w:sdt>
              <w:sdtPr>
                <w:tag w:val="_PLD_97b791fb142e4247b083ceff8590ac69"/>
                <w:id w:val="1544327744"/>
                <w:lock w:val="sdtLocked"/>
              </w:sdtPr>
              <w:sdtEndPr/>
              <w:sdtContent>
                <w:tc>
                  <w:tcPr>
                    <w:tcW w:w="1471" w:type="dxa"/>
                    <w:vAlign w:val="center"/>
                  </w:tcPr>
                  <w:p w14:paraId="75C523F9" w14:textId="77777777" w:rsidR="00B201D3" w:rsidRDefault="009855E8">
                    <w:pPr>
                      <w:jc w:val="center"/>
                    </w:pPr>
                    <w:r>
                      <w:t>期初持股数</w:t>
                    </w:r>
                  </w:p>
                </w:tc>
              </w:sdtContent>
            </w:sdt>
            <w:sdt>
              <w:sdtPr>
                <w:tag w:val="_PLD_548f968bd4a54832b0fba78005a85b32"/>
                <w:id w:val="-36888197"/>
                <w:lock w:val="sdtLocked"/>
              </w:sdtPr>
              <w:sdtEndPr/>
              <w:sdtContent>
                <w:tc>
                  <w:tcPr>
                    <w:tcW w:w="1470" w:type="dxa"/>
                    <w:vAlign w:val="center"/>
                  </w:tcPr>
                  <w:p w14:paraId="2701F11C" w14:textId="77777777" w:rsidR="00B201D3" w:rsidRDefault="009855E8">
                    <w:pPr>
                      <w:jc w:val="center"/>
                    </w:pPr>
                    <w:r>
                      <w:t>期末持股数</w:t>
                    </w:r>
                  </w:p>
                </w:tc>
              </w:sdtContent>
            </w:sdt>
            <w:sdt>
              <w:sdtPr>
                <w:tag w:val="_PLD_bbad2f3819564189adee6d267c1fd8e7"/>
                <w:id w:val="-1465653204"/>
                <w:lock w:val="sdtLocked"/>
              </w:sdtPr>
              <w:sdtEndPr/>
              <w:sdtContent>
                <w:tc>
                  <w:tcPr>
                    <w:tcW w:w="1470" w:type="dxa"/>
                    <w:vAlign w:val="center"/>
                  </w:tcPr>
                  <w:p w14:paraId="108B7726" w14:textId="77777777" w:rsidR="00B201D3" w:rsidRDefault="009855E8">
                    <w:pPr>
                      <w:jc w:val="center"/>
                    </w:pPr>
                    <w:r>
                      <w:t>报告期内股份增减变动量</w:t>
                    </w:r>
                  </w:p>
                </w:tc>
              </w:sdtContent>
            </w:sdt>
            <w:sdt>
              <w:sdtPr>
                <w:tag w:val="_PLD_4dafa7f2d8e14e03aadd815fa6ee7ac6"/>
                <w:id w:val="1395012415"/>
                <w:lock w:val="sdtLocked"/>
              </w:sdtPr>
              <w:sdtEndPr/>
              <w:sdtContent>
                <w:tc>
                  <w:tcPr>
                    <w:tcW w:w="1573" w:type="dxa"/>
                    <w:vAlign w:val="center"/>
                  </w:tcPr>
                  <w:p w14:paraId="51669437" w14:textId="77777777" w:rsidR="00B201D3" w:rsidRDefault="009855E8">
                    <w:pPr>
                      <w:jc w:val="center"/>
                    </w:pPr>
                    <w:r>
                      <w:t>增减变动原因</w:t>
                    </w:r>
                  </w:p>
                </w:tc>
              </w:sdtContent>
            </w:sdt>
          </w:tr>
          <w:tr w:rsidR="00B201D3" w14:paraId="13DEC8B1" w14:textId="77777777">
            <w:tc>
              <w:tcPr>
                <w:tcW w:w="1560" w:type="dxa"/>
                <w:vAlign w:val="center"/>
              </w:tcPr>
              <w:p w14:paraId="272CF503" w14:textId="77777777" w:rsidR="00B201D3" w:rsidRDefault="009855E8">
                <w:r>
                  <w:rPr>
                    <w:rFonts w:hint="eastAsia"/>
                  </w:rPr>
                  <w:t>李</w:t>
                </w:r>
                <w:r>
                  <w:rPr>
                    <w:rFonts w:hint="eastAsia"/>
                  </w:rPr>
                  <w:t xml:space="preserve"> </w:t>
                </w:r>
                <w:r>
                  <w:t xml:space="preserve">   </w:t>
                </w:r>
                <w:r>
                  <w:rPr>
                    <w:rFonts w:hint="eastAsia"/>
                  </w:rPr>
                  <w:t>伟</w:t>
                </w:r>
              </w:p>
            </w:tc>
            <w:tc>
              <w:tcPr>
                <w:tcW w:w="1954" w:type="dxa"/>
                <w:vAlign w:val="center"/>
              </w:tcPr>
              <w:p w14:paraId="02C02C5D" w14:textId="77777777" w:rsidR="00B201D3" w:rsidRDefault="009855E8">
                <w:r>
                  <w:rPr>
                    <w:rFonts w:hint="eastAsia"/>
                  </w:rPr>
                  <w:t>董事长</w:t>
                </w:r>
              </w:p>
            </w:tc>
            <w:tc>
              <w:tcPr>
                <w:tcW w:w="1471" w:type="dxa"/>
                <w:vAlign w:val="center"/>
              </w:tcPr>
              <w:p w14:paraId="2172AF13" w14:textId="77777777" w:rsidR="00B201D3" w:rsidRPr="0069461D" w:rsidRDefault="009855E8">
                <w:pPr>
                  <w:jc w:val="right"/>
                  <w:rPr>
                    <w:rFonts w:ascii="宋体" w:hAnsi="宋体"/>
                  </w:rPr>
                </w:pPr>
                <w:r w:rsidRPr="0069461D">
                  <w:rPr>
                    <w:rFonts w:ascii="宋体" w:hAnsi="宋体"/>
                  </w:rPr>
                  <w:t xml:space="preserve">10,000 </w:t>
                </w:r>
              </w:p>
            </w:tc>
            <w:tc>
              <w:tcPr>
                <w:tcW w:w="1470" w:type="dxa"/>
                <w:vAlign w:val="center"/>
              </w:tcPr>
              <w:p w14:paraId="47B323BA" w14:textId="77777777" w:rsidR="00B201D3" w:rsidRPr="0069461D" w:rsidRDefault="009855E8">
                <w:pPr>
                  <w:jc w:val="right"/>
                  <w:rPr>
                    <w:rFonts w:ascii="宋体" w:hAnsi="宋体"/>
                  </w:rPr>
                </w:pPr>
                <w:r w:rsidRPr="0069461D">
                  <w:rPr>
                    <w:rFonts w:ascii="宋体" w:hAnsi="宋体"/>
                  </w:rPr>
                  <w:t xml:space="preserve">10,000 </w:t>
                </w:r>
              </w:p>
            </w:tc>
            <w:tc>
              <w:tcPr>
                <w:tcW w:w="1470" w:type="dxa"/>
                <w:vAlign w:val="center"/>
              </w:tcPr>
              <w:p w14:paraId="3E6E6D6A" w14:textId="77777777" w:rsidR="00B201D3" w:rsidRPr="0069461D" w:rsidRDefault="009855E8">
                <w:pPr>
                  <w:jc w:val="right"/>
                  <w:rPr>
                    <w:rFonts w:ascii="宋体" w:hAnsi="宋体"/>
                  </w:rPr>
                </w:pPr>
                <w:r w:rsidRPr="0069461D">
                  <w:rPr>
                    <w:rFonts w:ascii="宋体" w:hAnsi="宋体"/>
                  </w:rPr>
                  <w:t xml:space="preserve">0 </w:t>
                </w:r>
              </w:p>
            </w:tc>
            <w:tc>
              <w:tcPr>
                <w:tcW w:w="1573" w:type="dxa"/>
                <w:vAlign w:val="center"/>
              </w:tcPr>
              <w:p w14:paraId="2D6842FE" w14:textId="77777777" w:rsidR="00B201D3" w:rsidRPr="0069461D" w:rsidRDefault="009855E8">
                <w:pPr>
                  <w:rPr>
                    <w:rFonts w:ascii="宋体" w:hAnsi="宋体"/>
                  </w:rPr>
                </w:pPr>
                <w:r w:rsidRPr="0069461D">
                  <w:rPr>
                    <w:rFonts w:ascii="宋体" w:hAnsi="宋体"/>
                  </w:rPr>
                  <w:t>-</w:t>
                </w:r>
              </w:p>
            </w:tc>
          </w:tr>
          <w:tr w:rsidR="00B201D3" w14:paraId="26B49CEE" w14:textId="77777777">
            <w:tc>
              <w:tcPr>
                <w:tcW w:w="1560" w:type="dxa"/>
                <w:vAlign w:val="center"/>
              </w:tcPr>
              <w:p w14:paraId="64C5ED8A" w14:textId="77777777" w:rsidR="00B201D3" w:rsidRDefault="009855E8">
                <w:r>
                  <w:rPr>
                    <w:rFonts w:hint="eastAsia"/>
                  </w:rPr>
                  <w:t>肖耀猛</w:t>
                </w:r>
              </w:p>
            </w:tc>
            <w:tc>
              <w:tcPr>
                <w:tcW w:w="1954" w:type="dxa"/>
                <w:vAlign w:val="center"/>
              </w:tcPr>
              <w:p w14:paraId="1836ACAA" w14:textId="77777777" w:rsidR="00B201D3" w:rsidRDefault="009855E8">
                <w:r>
                  <w:rPr>
                    <w:rFonts w:hint="eastAsia"/>
                  </w:rPr>
                  <w:t>董事、高管</w:t>
                </w:r>
              </w:p>
            </w:tc>
            <w:tc>
              <w:tcPr>
                <w:tcW w:w="1471" w:type="dxa"/>
                <w:vAlign w:val="center"/>
              </w:tcPr>
              <w:p w14:paraId="048AADF5" w14:textId="77777777" w:rsidR="00B201D3" w:rsidRPr="0069461D" w:rsidRDefault="009855E8">
                <w:pPr>
                  <w:jc w:val="right"/>
                  <w:rPr>
                    <w:rFonts w:ascii="宋体" w:hAnsi="宋体"/>
                  </w:rPr>
                </w:pPr>
                <w:r w:rsidRPr="0069461D">
                  <w:rPr>
                    <w:rFonts w:ascii="宋体" w:hAnsi="宋体"/>
                  </w:rPr>
                  <w:t xml:space="preserve">299,000 </w:t>
                </w:r>
              </w:p>
            </w:tc>
            <w:tc>
              <w:tcPr>
                <w:tcW w:w="1470" w:type="dxa"/>
                <w:vAlign w:val="center"/>
              </w:tcPr>
              <w:p w14:paraId="57404C52" w14:textId="77777777" w:rsidR="00B201D3" w:rsidRPr="0069461D" w:rsidRDefault="009855E8">
                <w:pPr>
                  <w:jc w:val="right"/>
                  <w:rPr>
                    <w:rFonts w:ascii="宋体" w:hAnsi="宋体"/>
                  </w:rPr>
                </w:pPr>
                <w:r w:rsidRPr="0069461D">
                  <w:rPr>
                    <w:rFonts w:ascii="宋体" w:hAnsi="宋体"/>
                  </w:rPr>
                  <w:t>350,000</w:t>
                </w:r>
              </w:p>
            </w:tc>
            <w:tc>
              <w:tcPr>
                <w:tcW w:w="1470" w:type="dxa"/>
                <w:vAlign w:val="center"/>
              </w:tcPr>
              <w:p w14:paraId="58BCC818" w14:textId="77777777" w:rsidR="00B201D3" w:rsidRPr="0069461D" w:rsidRDefault="009855E8">
                <w:pPr>
                  <w:jc w:val="right"/>
                  <w:rPr>
                    <w:rFonts w:ascii="宋体" w:hAnsi="宋体"/>
                  </w:rPr>
                </w:pPr>
                <w:r w:rsidRPr="0069461D">
                  <w:rPr>
                    <w:rFonts w:ascii="宋体" w:hAnsi="宋体"/>
                  </w:rPr>
                  <w:t xml:space="preserve">51,000 </w:t>
                </w:r>
              </w:p>
            </w:tc>
            <w:tc>
              <w:tcPr>
                <w:tcW w:w="1573" w:type="dxa"/>
                <w:vAlign w:val="center"/>
              </w:tcPr>
              <w:p w14:paraId="5D55268B" w14:textId="77777777" w:rsidR="00B201D3" w:rsidRPr="0069461D" w:rsidRDefault="009855E8">
                <w:pPr>
                  <w:rPr>
                    <w:rFonts w:ascii="宋体" w:hAnsi="宋体"/>
                  </w:rPr>
                </w:pPr>
                <w:r w:rsidRPr="0069461D">
                  <w:rPr>
                    <w:rFonts w:ascii="宋体" w:hAnsi="宋体" w:hint="eastAsia"/>
                  </w:rPr>
                  <w:t>股票期权</w:t>
                </w:r>
                <w:r w:rsidRPr="0069461D">
                  <w:rPr>
                    <w:rFonts w:ascii="宋体" w:hAnsi="宋体"/>
                  </w:rPr>
                  <w:t>行权</w:t>
                </w:r>
              </w:p>
            </w:tc>
          </w:tr>
          <w:tr w:rsidR="00B201D3" w14:paraId="35BFC003" w14:textId="77777777">
            <w:tc>
              <w:tcPr>
                <w:tcW w:w="1560" w:type="dxa"/>
                <w:vAlign w:val="center"/>
              </w:tcPr>
              <w:p w14:paraId="79F528A7" w14:textId="77777777" w:rsidR="00B201D3" w:rsidRDefault="009855E8">
                <w:r>
                  <w:rPr>
                    <w:rFonts w:hint="eastAsia"/>
                  </w:rPr>
                  <w:t>刘</w:t>
                </w:r>
                <w:r>
                  <w:rPr>
                    <w:rFonts w:hint="eastAsia"/>
                  </w:rPr>
                  <w:t xml:space="preserve"> </w:t>
                </w:r>
                <w:r>
                  <w:t xml:space="preserve">   </w:t>
                </w:r>
                <w:r>
                  <w:rPr>
                    <w:rFonts w:hint="eastAsia"/>
                  </w:rPr>
                  <w:t>健</w:t>
                </w:r>
              </w:p>
            </w:tc>
            <w:tc>
              <w:tcPr>
                <w:tcW w:w="1954" w:type="dxa"/>
                <w:vAlign w:val="center"/>
              </w:tcPr>
              <w:p w14:paraId="4D2598D6" w14:textId="77777777" w:rsidR="00B201D3" w:rsidRDefault="009855E8">
                <w:r>
                  <w:rPr>
                    <w:rFonts w:hint="eastAsia"/>
                  </w:rPr>
                  <w:t>董事</w:t>
                </w:r>
              </w:p>
            </w:tc>
            <w:tc>
              <w:tcPr>
                <w:tcW w:w="1471" w:type="dxa"/>
                <w:vAlign w:val="center"/>
              </w:tcPr>
              <w:p w14:paraId="3665217C" w14:textId="77777777" w:rsidR="00B201D3" w:rsidRPr="0069461D" w:rsidRDefault="009855E8">
                <w:pPr>
                  <w:jc w:val="right"/>
                  <w:rPr>
                    <w:rFonts w:ascii="宋体" w:hAnsi="宋体"/>
                  </w:rPr>
                </w:pPr>
                <w:r w:rsidRPr="0069461D">
                  <w:rPr>
                    <w:rFonts w:ascii="宋体" w:hAnsi="宋体"/>
                  </w:rPr>
                  <w:t xml:space="preserve">85,800 </w:t>
                </w:r>
              </w:p>
            </w:tc>
            <w:tc>
              <w:tcPr>
                <w:tcW w:w="1470" w:type="dxa"/>
                <w:vAlign w:val="center"/>
              </w:tcPr>
              <w:p w14:paraId="60C2606C" w14:textId="77777777" w:rsidR="00B201D3" w:rsidRPr="0069461D" w:rsidRDefault="009855E8">
                <w:pPr>
                  <w:jc w:val="right"/>
                  <w:rPr>
                    <w:rFonts w:ascii="宋体" w:hAnsi="宋体"/>
                  </w:rPr>
                </w:pPr>
                <w:r w:rsidRPr="0069461D">
                  <w:rPr>
                    <w:rFonts w:ascii="宋体" w:hAnsi="宋体"/>
                  </w:rPr>
                  <w:t>85,800</w:t>
                </w:r>
              </w:p>
            </w:tc>
            <w:tc>
              <w:tcPr>
                <w:tcW w:w="1470" w:type="dxa"/>
                <w:vAlign w:val="center"/>
              </w:tcPr>
              <w:p w14:paraId="1BF9E8ED" w14:textId="77777777" w:rsidR="00B201D3" w:rsidRPr="0069461D" w:rsidRDefault="009855E8">
                <w:pPr>
                  <w:jc w:val="right"/>
                  <w:rPr>
                    <w:rFonts w:ascii="宋体" w:hAnsi="宋体"/>
                  </w:rPr>
                </w:pPr>
                <w:r w:rsidRPr="0069461D">
                  <w:rPr>
                    <w:rFonts w:ascii="宋体" w:hAnsi="宋体"/>
                  </w:rPr>
                  <w:t xml:space="preserve">0 </w:t>
                </w:r>
              </w:p>
            </w:tc>
            <w:tc>
              <w:tcPr>
                <w:tcW w:w="1573" w:type="dxa"/>
                <w:vAlign w:val="center"/>
              </w:tcPr>
              <w:p w14:paraId="5D698FD5" w14:textId="77777777" w:rsidR="00B201D3" w:rsidRPr="0069461D" w:rsidRDefault="009855E8">
                <w:pPr>
                  <w:rPr>
                    <w:rFonts w:ascii="宋体" w:hAnsi="宋体"/>
                  </w:rPr>
                </w:pPr>
                <w:r w:rsidRPr="0069461D">
                  <w:rPr>
                    <w:rFonts w:ascii="宋体" w:hAnsi="宋体"/>
                  </w:rPr>
                  <w:t>-</w:t>
                </w:r>
              </w:p>
            </w:tc>
          </w:tr>
          <w:tr w:rsidR="00B201D3" w14:paraId="6D283BE4" w14:textId="77777777">
            <w:tc>
              <w:tcPr>
                <w:tcW w:w="1560" w:type="dxa"/>
                <w:vAlign w:val="center"/>
              </w:tcPr>
              <w:p w14:paraId="18360092" w14:textId="77777777" w:rsidR="00B201D3" w:rsidRDefault="009855E8">
                <w:r>
                  <w:rPr>
                    <w:rFonts w:hint="eastAsia"/>
                  </w:rPr>
                  <w:t>刘</w:t>
                </w:r>
                <w:r>
                  <w:rPr>
                    <w:rFonts w:hint="eastAsia"/>
                  </w:rPr>
                  <w:t xml:space="preserve"> </w:t>
                </w:r>
                <w:r>
                  <w:t xml:space="preserve">   </w:t>
                </w:r>
                <w:r>
                  <w:rPr>
                    <w:rFonts w:hint="eastAsia"/>
                  </w:rPr>
                  <w:t>强</w:t>
                </w:r>
              </w:p>
            </w:tc>
            <w:tc>
              <w:tcPr>
                <w:tcW w:w="1954" w:type="dxa"/>
                <w:vAlign w:val="center"/>
              </w:tcPr>
              <w:p w14:paraId="6AC08D78" w14:textId="77777777" w:rsidR="00B201D3" w:rsidRDefault="009855E8">
                <w:r>
                  <w:rPr>
                    <w:rFonts w:hint="eastAsia"/>
                  </w:rPr>
                  <w:t>董事</w:t>
                </w:r>
              </w:p>
            </w:tc>
            <w:tc>
              <w:tcPr>
                <w:tcW w:w="1471" w:type="dxa"/>
                <w:vAlign w:val="center"/>
              </w:tcPr>
              <w:p w14:paraId="780029C7" w14:textId="77777777" w:rsidR="00B201D3" w:rsidRPr="0069461D" w:rsidRDefault="009855E8">
                <w:pPr>
                  <w:jc w:val="right"/>
                  <w:rPr>
                    <w:rFonts w:ascii="宋体" w:hAnsi="宋体"/>
                  </w:rPr>
                </w:pPr>
                <w:r w:rsidRPr="0069461D">
                  <w:rPr>
                    <w:rFonts w:ascii="宋体" w:hAnsi="宋体"/>
                  </w:rPr>
                  <w:t xml:space="preserve">160,000 </w:t>
                </w:r>
              </w:p>
            </w:tc>
            <w:tc>
              <w:tcPr>
                <w:tcW w:w="1470" w:type="dxa"/>
                <w:vAlign w:val="center"/>
              </w:tcPr>
              <w:p w14:paraId="394FBACB" w14:textId="77777777" w:rsidR="00B201D3" w:rsidRPr="0069461D" w:rsidRDefault="009855E8">
                <w:pPr>
                  <w:jc w:val="right"/>
                  <w:rPr>
                    <w:rFonts w:ascii="宋体" w:hAnsi="宋体"/>
                  </w:rPr>
                </w:pPr>
                <w:r w:rsidRPr="0069461D">
                  <w:rPr>
                    <w:rFonts w:ascii="宋体" w:hAnsi="宋体"/>
                  </w:rPr>
                  <w:t>160,000</w:t>
                </w:r>
              </w:p>
            </w:tc>
            <w:tc>
              <w:tcPr>
                <w:tcW w:w="1470" w:type="dxa"/>
                <w:vAlign w:val="center"/>
              </w:tcPr>
              <w:p w14:paraId="42BDCF31" w14:textId="77777777" w:rsidR="00B201D3" w:rsidRPr="0069461D" w:rsidRDefault="009855E8">
                <w:pPr>
                  <w:jc w:val="right"/>
                  <w:rPr>
                    <w:rFonts w:ascii="宋体" w:hAnsi="宋体"/>
                  </w:rPr>
                </w:pPr>
                <w:r w:rsidRPr="0069461D">
                  <w:rPr>
                    <w:rFonts w:ascii="宋体" w:hAnsi="宋体"/>
                  </w:rPr>
                  <w:t xml:space="preserve">0 </w:t>
                </w:r>
              </w:p>
            </w:tc>
            <w:tc>
              <w:tcPr>
                <w:tcW w:w="1573" w:type="dxa"/>
                <w:vAlign w:val="center"/>
              </w:tcPr>
              <w:p w14:paraId="06C275A7" w14:textId="77777777" w:rsidR="00B201D3" w:rsidRPr="0069461D" w:rsidRDefault="009855E8">
                <w:pPr>
                  <w:rPr>
                    <w:rFonts w:ascii="宋体" w:hAnsi="宋体"/>
                  </w:rPr>
                </w:pPr>
                <w:r w:rsidRPr="0069461D">
                  <w:rPr>
                    <w:rFonts w:ascii="宋体" w:hAnsi="宋体"/>
                  </w:rPr>
                  <w:t>-</w:t>
                </w:r>
              </w:p>
            </w:tc>
          </w:tr>
          <w:tr w:rsidR="00B201D3" w14:paraId="2A0CABF8" w14:textId="77777777">
            <w:tc>
              <w:tcPr>
                <w:tcW w:w="1560" w:type="dxa"/>
                <w:vAlign w:val="center"/>
              </w:tcPr>
              <w:p w14:paraId="3B8E8AD2" w14:textId="77777777" w:rsidR="00B201D3" w:rsidRDefault="009855E8">
                <w:r>
                  <w:rPr>
                    <w:rFonts w:hint="eastAsia"/>
                  </w:rPr>
                  <w:t>张海军</w:t>
                </w:r>
              </w:p>
            </w:tc>
            <w:tc>
              <w:tcPr>
                <w:tcW w:w="1954" w:type="dxa"/>
                <w:vAlign w:val="center"/>
              </w:tcPr>
              <w:p w14:paraId="667070D4" w14:textId="77777777" w:rsidR="00B201D3" w:rsidRDefault="009855E8">
                <w:r>
                  <w:rPr>
                    <w:rFonts w:hint="eastAsia"/>
                  </w:rPr>
                  <w:t>董事</w:t>
                </w:r>
              </w:p>
            </w:tc>
            <w:tc>
              <w:tcPr>
                <w:tcW w:w="1471" w:type="dxa"/>
                <w:vAlign w:val="center"/>
              </w:tcPr>
              <w:p w14:paraId="02A56D5B" w14:textId="77777777" w:rsidR="00B201D3" w:rsidRPr="0069461D" w:rsidRDefault="009855E8">
                <w:pPr>
                  <w:jc w:val="right"/>
                  <w:rPr>
                    <w:rFonts w:ascii="宋体" w:hAnsi="宋体"/>
                  </w:rPr>
                </w:pPr>
                <w:r w:rsidRPr="0069461D">
                  <w:rPr>
                    <w:rFonts w:ascii="宋体" w:hAnsi="宋体"/>
                  </w:rPr>
                  <w:t xml:space="preserve">0 </w:t>
                </w:r>
              </w:p>
            </w:tc>
            <w:tc>
              <w:tcPr>
                <w:tcW w:w="1470" w:type="dxa"/>
                <w:vAlign w:val="center"/>
              </w:tcPr>
              <w:p w14:paraId="1F60E499" w14:textId="77777777" w:rsidR="00B201D3" w:rsidRPr="0069461D" w:rsidRDefault="009855E8">
                <w:pPr>
                  <w:jc w:val="right"/>
                  <w:rPr>
                    <w:rFonts w:ascii="宋体" w:hAnsi="宋体"/>
                  </w:rPr>
                </w:pPr>
                <w:r w:rsidRPr="0069461D">
                  <w:rPr>
                    <w:rFonts w:ascii="宋体" w:hAnsi="宋体"/>
                  </w:rPr>
                  <w:t>0</w:t>
                </w:r>
              </w:p>
            </w:tc>
            <w:tc>
              <w:tcPr>
                <w:tcW w:w="1470" w:type="dxa"/>
                <w:vAlign w:val="center"/>
              </w:tcPr>
              <w:p w14:paraId="632E7F53" w14:textId="77777777" w:rsidR="00B201D3" w:rsidRPr="0069461D" w:rsidRDefault="009855E8">
                <w:pPr>
                  <w:jc w:val="right"/>
                  <w:rPr>
                    <w:rFonts w:ascii="宋体" w:hAnsi="宋体"/>
                  </w:rPr>
                </w:pPr>
                <w:r w:rsidRPr="0069461D">
                  <w:rPr>
                    <w:rFonts w:ascii="宋体" w:hAnsi="宋体"/>
                  </w:rPr>
                  <w:t xml:space="preserve">0 </w:t>
                </w:r>
              </w:p>
            </w:tc>
            <w:tc>
              <w:tcPr>
                <w:tcW w:w="1573" w:type="dxa"/>
                <w:vAlign w:val="center"/>
              </w:tcPr>
              <w:p w14:paraId="09D77769" w14:textId="77777777" w:rsidR="00B201D3" w:rsidRPr="0069461D" w:rsidRDefault="009855E8">
                <w:pPr>
                  <w:rPr>
                    <w:rFonts w:ascii="宋体" w:hAnsi="宋体"/>
                  </w:rPr>
                </w:pPr>
                <w:r w:rsidRPr="0069461D">
                  <w:rPr>
                    <w:rFonts w:ascii="宋体" w:hAnsi="宋体"/>
                  </w:rPr>
                  <w:t>-</w:t>
                </w:r>
              </w:p>
            </w:tc>
          </w:tr>
          <w:tr w:rsidR="00B201D3" w14:paraId="433B6611" w14:textId="77777777">
            <w:tc>
              <w:tcPr>
                <w:tcW w:w="1560" w:type="dxa"/>
                <w:vAlign w:val="center"/>
              </w:tcPr>
              <w:p w14:paraId="432E251B" w14:textId="77777777" w:rsidR="00B201D3" w:rsidRDefault="009855E8">
                <w:pPr>
                  <w:pStyle w:val="3903"/>
                </w:pPr>
                <w:r>
                  <w:rPr>
                    <w:rFonts w:hint="eastAsia"/>
                  </w:rPr>
                  <w:t>李士鹏</w:t>
                </w:r>
              </w:p>
            </w:tc>
            <w:tc>
              <w:tcPr>
                <w:tcW w:w="1954" w:type="dxa"/>
                <w:vAlign w:val="center"/>
              </w:tcPr>
              <w:p w14:paraId="5C5258BF" w14:textId="77777777" w:rsidR="00B201D3" w:rsidRDefault="009855E8">
                <w:pPr>
                  <w:pStyle w:val="3903"/>
                </w:pPr>
                <w:r>
                  <w:rPr>
                    <w:rFonts w:hint="eastAsia"/>
                  </w:rPr>
                  <w:t>监事</w:t>
                </w:r>
              </w:p>
            </w:tc>
            <w:tc>
              <w:tcPr>
                <w:tcW w:w="1471" w:type="dxa"/>
                <w:vAlign w:val="center"/>
              </w:tcPr>
              <w:p w14:paraId="5E236C5B" w14:textId="77777777" w:rsidR="00B201D3" w:rsidRPr="0069461D" w:rsidRDefault="009855E8">
                <w:pPr>
                  <w:jc w:val="right"/>
                  <w:rPr>
                    <w:rFonts w:ascii="宋体" w:hAnsi="宋体"/>
                  </w:rPr>
                </w:pPr>
                <w:r w:rsidRPr="0069461D">
                  <w:rPr>
                    <w:rFonts w:ascii="宋体" w:hAnsi="宋体"/>
                  </w:rPr>
                  <w:t xml:space="preserve">0 </w:t>
                </w:r>
              </w:p>
            </w:tc>
            <w:tc>
              <w:tcPr>
                <w:tcW w:w="1470" w:type="dxa"/>
                <w:vAlign w:val="center"/>
              </w:tcPr>
              <w:p w14:paraId="1000B827" w14:textId="77777777" w:rsidR="00B201D3" w:rsidRPr="0069461D" w:rsidRDefault="009855E8">
                <w:pPr>
                  <w:jc w:val="right"/>
                  <w:rPr>
                    <w:rFonts w:ascii="宋体" w:hAnsi="宋体"/>
                  </w:rPr>
                </w:pPr>
                <w:r w:rsidRPr="0069461D">
                  <w:rPr>
                    <w:rFonts w:ascii="宋体" w:hAnsi="宋体"/>
                  </w:rPr>
                  <w:t>0</w:t>
                </w:r>
              </w:p>
            </w:tc>
            <w:tc>
              <w:tcPr>
                <w:tcW w:w="1470" w:type="dxa"/>
                <w:vAlign w:val="center"/>
              </w:tcPr>
              <w:p w14:paraId="06A56286" w14:textId="77777777" w:rsidR="00B201D3" w:rsidRPr="0069461D" w:rsidRDefault="009855E8">
                <w:pPr>
                  <w:jc w:val="right"/>
                  <w:rPr>
                    <w:rFonts w:ascii="宋体" w:hAnsi="宋体"/>
                  </w:rPr>
                </w:pPr>
                <w:r w:rsidRPr="0069461D">
                  <w:rPr>
                    <w:rFonts w:ascii="宋体" w:hAnsi="宋体"/>
                  </w:rPr>
                  <w:t xml:space="preserve">0 </w:t>
                </w:r>
              </w:p>
            </w:tc>
            <w:tc>
              <w:tcPr>
                <w:tcW w:w="1573" w:type="dxa"/>
                <w:vAlign w:val="center"/>
              </w:tcPr>
              <w:p w14:paraId="11C1648E" w14:textId="77777777" w:rsidR="00B201D3" w:rsidRPr="0069461D" w:rsidRDefault="009855E8">
                <w:pPr>
                  <w:pStyle w:val="3903"/>
                  <w:rPr>
                    <w:rFonts w:ascii="宋体" w:hAnsi="宋体"/>
                  </w:rPr>
                </w:pPr>
                <w:r w:rsidRPr="0069461D">
                  <w:rPr>
                    <w:rFonts w:ascii="宋体" w:hAnsi="宋体"/>
                  </w:rPr>
                  <w:t>-</w:t>
                </w:r>
              </w:p>
            </w:tc>
          </w:tr>
          <w:tr w:rsidR="00B201D3" w14:paraId="4A4C4950" w14:textId="77777777">
            <w:tc>
              <w:tcPr>
                <w:tcW w:w="1560" w:type="dxa"/>
                <w:vAlign w:val="center"/>
              </w:tcPr>
              <w:p w14:paraId="58C762C8" w14:textId="77777777" w:rsidR="00B201D3" w:rsidRDefault="009855E8">
                <w:pPr>
                  <w:pStyle w:val="3903"/>
                </w:pPr>
                <w:r>
                  <w:rPr>
                    <w:rFonts w:hint="eastAsia"/>
                  </w:rPr>
                  <w:t>朱</w:t>
                </w:r>
                <w:r>
                  <w:rPr>
                    <w:rFonts w:hint="eastAsia"/>
                  </w:rPr>
                  <w:t xml:space="preserve"> </w:t>
                </w:r>
                <w:r>
                  <w:t xml:space="preserve"> </w:t>
                </w:r>
                <w:r>
                  <w:rPr>
                    <w:rFonts w:hint="eastAsia"/>
                  </w:rPr>
                  <w:t xml:space="preserve"> </w:t>
                </w:r>
                <w:r>
                  <w:t xml:space="preserve"> </w:t>
                </w:r>
                <w:r>
                  <w:rPr>
                    <w:rFonts w:hint="eastAsia"/>
                  </w:rPr>
                  <w:t>昊</w:t>
                </w:r>
              </w:p>
            </w:tc>
            <w:tc>
              <w:tcPr>
                <w:tcW w:w="1954" w:type="dxa"/>
                <w:vAlign w:val="center"/>
              </w:tcPr>
              <w:p w14:paraId="74256CDE" w14:textId="77777777" w:rsidR="00B201D3" w:rsidRDefault="009855E8">
                <w:pPr>
                  <w:pStyle w:val="3903"/>
                </w:pPr>
                <w:r>
                  <w:rPr>
                    <w:rFonts w:hint="eastAsia"/>
                  </w:rPr>
                  <w:t>监事</w:t>
                </w:r>
              </w:p>
            </w:tc>
            <w:tc>
              <w:tcPr>
                <w:tcW w:w="1471" w:type="dxa"/>
                <w:vAlign w:val="center"/>
              </w:tcPr>
              <w:p w14:paraId="5ACE7529" w14:textId="77777777" w:rsidR="00B201D3" w:rsidRPr="0069461D" w:rsidRDefault="009855E8">
                <w:pPr>
                  <w:jc w:val="right"/>
                  <w:rPr>
                    <w:rFonts w:ascii="宋体" w:hAnsi="宋体"/>
                  </w:rPr>
                </w:pPr>
                <w:r w:rsidRPr="0069461D">
                  <w:rPr>
                    <w:rFonts w:ascii="宋体" w:hAnsi="宋体"/>
                  </w:rPr>
                  <w:t xml:space="preserve">0 </w:t>
                </w:r>
              </w:p>
            </w:tc>
            <w:tc>
              <w:tcPr>
                <w:tcW w:w="1470" w:type="dxa"/>
                <w:vAlign w:val="center"/>
              </w:tcPr>
              <w:p w14:paraId="3D71911E" w14:textId="77777777" w:rsidR="00B201D3" w:rsidRPr="0069461D" w:rsidRDefault="009855E8">
                <w:pPr>
                  <w:jc w:val="right"/>
                  <w:rPr>
                    <w:rFonts w:ascii="宋体" w:hAnsi="宋体"/>
                  </w:rPr>
                </w:pPr>
                <w:r w:rsidRPr="0069461D">
                  <w:rPr>
                    <w:rFonts w:ascii="宋体" w:hAnsi="宋体"/>
                  </w:rPr>
                  <w:t>0</w:t>
                </w:r>
              </w:p>
            </w:tc>
            <w:tc>
              <w:tcPr>
                <w:tcW w:w="1470" w:type="dxa"/>
                <w:vAlign w:val="center"/>
              </w:tcPr>
              <w:p w14:paraId="48D902F7" w14:textId="77777777" w:rsidR="00B201D3" w:rsidRPr="0069461D" w:rsidRDefault="009855E8">
                <w:pPr>
                  <w:jc w:val="right"/>
                  <w:rPr>
                    <w:rFonts w:ascii="宋体" w:hAnsi="宋体"/>
                  </w:rPr>
                </w:pPr>
                <w:r w:rsidRPr="0069461D">
                  <w:rPr>
                    <w:rFonts w:ascii="宋体" w:hAnsi="宋体"/>
                  </w:rPr>
                  <w:t xml:space="preserve">0 </w:t>
                </w:r>
              </w:p>
            </w:tc>
            <w:tc>
              <w:tcPr>
                <w:tcW w:w="1573" w:type="dxa"/>
                <w:vAlign w:val="center"/>
              </w:tcPr>
              <w:p w14:paraId="48539A1E" w14:textId="77777777" w:rsidR="00B201D3" w:rsidRPr="0069461D" w:rsidRDefault="009855E8">
                <w:pPr>
                  <w:pStyle w:val="3903"/>
                  <w:rPr>
                    <w:rFonts w:ascii="宋体" w:hAnsi="宋体"/>
                  </w:rPr>
                </w:pPr>
                <w:r w:rsidRPr="0069461D">
                  <w:rPr>
                    <w:rFonts w:ascii="宋体" w:hAnsi="宋体"/>
                  </w:rPr>
                  <w:t>-</w:t>
                </w:r>
              </w:p>
            </w:tc>
          </w:tr>
          <w:tr w:rsidR="00B201D3" w14:paraId="1BDD5B0F" w14:textId="77777777">
            <w:tc>
              <w:tcPr>
                <w:tcW w:w="1560" w:type="dxa"/>
                <w:vAlign w:val="center"/>
              </w:tcPr>
              <w:p w14:paraId="6BA568C9" w14:textId="77777777" w:rsidR="00B201D3" w:rsidRDefault="009855E8">
                <w:pPr>
                  <w:pStyle w:val="3903"/>
                </w:pPr>
                <w:r>
                  <w:rPr>
                    <w:rFonts w:hint="eastAsia"/>
                  </w:rPr>
                  <w:t>彭苏萍</w:t>
                </w:r>
              </w:p>
            </w:tc>
            <w:tc>
              <w:tcPr>
                <w:tcW w:w="1954" w:type="dxa"/>
                <w:vAlign w:val="center"/>
              </w:tcPr>
              <w:p w14:paraId="43B1E859" w14:textId="77777777" w:rsidR="00B201D3" w:rsidRDefault="009855E8">
                <w:pPr>
                  <w:pStyle w:val="3903"/>
                </w:pPr>
                <w:r>
                  <w:rPr>
                    <w:rFonts w:hint="eastAsia"/>
                  </w:rPr>
                  <w:t>独立董事</w:t>
                </w:r>
              </w:p>
            </w:tc>
            <w:tc>
              <w:tcPr>
                <w:tcW w:w="1471" w:type="dxa"/>
                <w:vAlign w:val="center"/>
              </w:tcPr>
              <w:p w14:paraId="1B2B6597" w14:textId="77777777" w:rsidR="00B201D3" w:rsidRPr="0069461D" w:rsidRDefault="009855E8">
                <w:pPr>
                  <w:jc w:val="right"/>
                  <w:rPr>
                    <w:rFonts w:ascii="宋体" w:hAnsi="宋体"/>
                  </w:rPr>
                </w:pPr>
                <w:r w:rsidRPr="0069461D">
                  <w:rPr>
                    <w:rFonts w:ascii="宋体" w:hAnsi="宋体"/>
                  </w:rPr>
                  <w:t>0</w:t>
                </w:r>
              </w:p>
            </w:tc>
            <w:tc>
              <w:tcPr>
                <w:tcW w:w="1470" w:type="dxa"/>
                <w:vAlign w:val="center"/>
              </w:tcPr>
              <w:p w14:paraId="6AE521BA" w14:textId="77777777" w:rsidR="00B201D3" w:rsidRPr="0069461D" w:rsidRDefault="009855E8">
                <w:pPr>
                  <w:jc w:val="right"/>
                  <w:rPr>
                    <w:rFonts w:ascii="宋体" w:hAnsi="宋体"/>
                  </w:rPr>
                </w:pPr>
                <w:r w:rsidRPr="0069461D">
                  <w:rPr>
                    <w:rFonts w:ascii="宋体" w:hAnsi="宋体"/>
                  </w:rPr>
                  <w:t>0</w:t>
                </w:r>
              </w:p>
            </w:tc>
            <w:tc>
              <w:tcPr>
                <w:tcW w:w="1470" w:type="dxa"/>
                <w:vAlign w:val="center"/>
              </w:tcPr>
              <w:p w14:paraId="734BCE89" w14:textId="77777777" w:rsidR="00B201D3" w:rsidRPr="0069461D" w:rsidRDefault="009855E8">
                <w:pPr>
                  <w:jc w:val="right"/>
                  <w:rPr>
                    <w:rFonts w:ascii="宋体" w:hAnsi="宋体"/>
                  </w:rPr>
                </w:pPr>
                <w:r w:rsidRPr="0069461D">
                  <w:rPr>
                    <w:rFonts w:ascii="宋体" w:hAnsi="宋体"/>
                  </w:rPr>
                  <w:t xml:space="preserve">0 </w:t>
                </w:r>
              </w:p>
            </w:tc>
            <w:tc>
              <w:tcPr>
                <w:tcW w:w="1573" w:type="dxa"/>
                <w:vAlign w:val="center"/>
              </w:tcPr>
              <w:p w14:paraId="3E3F4240" w14:textId="77777777" w:rsidR="00B201D3" w:rsidRPr="0069461D" w:rsidRDefault="009855E8">
                <w:pPr>
                  <w:pStyle w:val="3903"/>
                  <w:rPr>
                    <w:rFonts w:ascii="宋体" w:hAnsi="宋体"/>
                  </w:rPr>
                </w:pPr>
                <w:r w:rsidRPr="0069461D">
                  <w:rPr>
                    <w:rFonts w:ascii="宋体" w:hAnsi="宋体"/>
                  </w:rPr>
                  <w:t>-</w:t>
                </w:r>
              </w:p>
            </w:tc>
          </w:tr>
          <w:tr w:rsidR="00B201D3" w14:paraId="60D202A4" w14:textId="77777777">
            <w:tc>
              <w:tcPr>
                <w:tcW w:w="1560" w:type="dxa"/>
                <w:vAlign w:val="center"/>
              </w:tcPr>
              <w:p w14:paraId="15FAFEB5" w14:textId="77777777" w:rsidR="00B201D3" w:rsidRDefault="009855E8">
                <w:pPr>
                  <w:pStyle w:val="3903"/>
                </w:pPr>
                <w:r>
                  <w:rPr>
                    <w:rFonts w:hint="eastAsia"/>
                  </w:rPr>
                  <w:t>朱利民</w:t>
                </w:r>
              </w:p>
            </w:tc>
            <w:tc>
              <w:tcPr>
                <w:tcW w:w="1954" w:type="dxa"/>
                <w:vAlign w:val="center"/>
              </w:tcPr>
              <w:p w14:paraId="590A1854" w14:textId="77777777" w:rsidR="00B201D3" w:rsidRDefault="009855E8">
                <w:pPr>
                  <w:pStyle w:val="3903"/>
                </w:pPr>
                <w:r>
                  <w:rPr>
                    <w:rFonts w:hint="eastAsia"/>
                  </w:rPr>
                  <w:t>独立董事</w:t>
                </w:r>
              </w:p>
            </w:tc>
            <w:tc>
              <w:tcPr>
                <w:tcW w:w="1471" w:type="dxa"/>
                <w:vAlign w:val="center"/>
              </w:tcPr>
              <w:p w14:paraId="73543FA8" w14:textId="77777777" w:rsidR="00B201D3" w:rsidRPr="0069461D" w:rsidRDefault="009855E8">
                <w:pPr>
                  <w:jc w:val="right"/>
                  <w:rPr>
                    <w:rFonts w:ascii="宋体" w:hAnsi="宋体"/>
                  </w:rPr>
                </w:pPr>
                <w:r w:rsidRPr="0069461D">
                  <w:rPr>
                    <w:rFonts w:ascii="宋体" w:hAnsi="宋体"/>
                  </w:rPr>
                  <w:t>0</w:t>
                </w:r>
              </w:p>
            </w:tc>
            <w:tc>
              <w:tcPr>
                <w:tcW w:w="1470" w:type="dxa"/>
                <w:vAlign w:val="center"/>
              </w:tcPr>
              <w:p w14:paraId="021AF484" w14:textId="77777777" w:rsidR="00B201D3" w:rsidRPr="0069461D" w:rsidRDefault="009855E8">
                <w:pPr>
                  <w:jc w:val="right"/>
                  <w:rPr>
                    <w:rFonts w:ascii="宋体" w:hAnsi="宋体"/>
                  </w:rPr>
                </w:pPr>
                <w:r w:rsidRPr="0069461D">
                  <w:rPr>
                    <w:rFonts w:ascii="宋体" w:hAnsi="宋体"/>
                  </w:rPr>
                  <w:t>0</w:t>
                </w:r>
              </w:p>
            </w:tc>
            <w:tc>
              <w:tcPr>
                <w:tcW w:w="1470" w:type="dxa"/>
                <w:vAlign w:val="center"/>
              </w:tcPr>
              <w:p w14:paraId="5F230F65" w14:textId="77777777" w:rsidR="00B201D3" w:rsidRPr="0069461D" w:rsidRDefault="009855E8">
                <w:pPr>
                  <w:jc w:val="right"/>
                  <w:rPr>
                    <w:rFonts w:ascii="宋体" w:hAnsi="宋体"/>
                  </w:rPr>
                </w:pPr>
                <w:r w:rsidRPr="0069461D">
                  <w:rPr>
                    <w:rFonts w:ascii="宋体" w:hAnsi="宋体"/>
                  </w:rPr>
                  <w:t xml:space="preserve">0 </w:t>
                </w:r>
              </w:p>
            </w:tc>
            <w:tc>
              <w:tcPr>
                <w:tcW w:w="1573" w:type="dxa"/>
                <w:vAlign w:val="center"/>
              </w:tcPr>
              <w:p w14:paraId="5F126C4F" w14:textId="77777777" w:rsidR="00B201D3" w:rsidRPr="0069461D" w:rsidRDefault="009855E8">
                <w:pPr>
                  <w:pStyle w:val="3903"/>
                  <w:rPr>
                    <w:rFonts w:ascii="宋体" w:hAnsi="宋体"/>
                  </w:rPr>
                </w:pPr>
                <w:r w:rsidRPr="0069461D">
                  <w:rPr>
                    <w:rFonts w:ascii="宋体" w:hAnsi="宋体"/>
                  </w:rPr>
                  <w:t>-</w:t>
                </w:r>
              </w:p>
            </w:tc>
          </w:tr>
          <w:tr w:rsidR="00B201D3" w14:paraId="4DC442D3" w14:textId="77777777">
            <w:tc>
              <w:tcPr>
                <w:tcW w:w="1560" w:type="dxa"/>
                <w:vAlign w:val="center"/>
              </w:tcPr>
              <w:p w14:paraId="73BC35A7" w14:textId="77777777" w:rsidR="00B201D3" w:rsidRDefault="009855E8">
                <w:pPr>
                  <w:pStyle w:val="3903"/>
                </w:pPr>
                <w:r>
                  <w:rPr>
                    <w:rFonts w:hint="eastAsia"/>
                  </w:rPr>
                  <w:t>胡家栋</w:t>
                </w:r>
              </w:p>
            </w:tc>
            <w:tc>
              <w:tcPr>
                <w:tcW w:w="1954" w:type="dxa"/>
                <w:vAlign w:val="center"/>
              </w:tcPr>
              <w:p w14:paraId="16632CF9" w14:textId="77777777" w:rsidR="00B201D3" w:rsidRDefault="009855E8">
                <w:pPr>
                  <w:pStyle w:val="3903"/>
                </w:pPr>
                <w:r>
                  <w:rPr>
                    <w:rFonts w:hint="eastAsia"/>
                  </w:rPr>
                  <w:t>独立董事</w:t>
                </w:r>
              </w:p>
            </w:tc>
            <w:tc>
              <w:tcPr>
                <w:tcW w:w="1471" w:type="dxa"/>
                <w:vAlign w:val="center"/>
              </w:tcPr>
              <w:p w14:paraId="75C1161C" w14:textId="77777777" w:rsidR="00B201D3" w:rsidRPr="0069461D" w:rsidRDefault="009855E8">
                <w:pPr>
                  <w:jc w:val="right"/>
                  <w:rPr>
                    <w:rFonts w:ascii="宋体" w:hAnsi="宋体"/>
                  </w:rPr>
                </w:pPr>
                <w:r w:rsidRPr="0069461D">
                  <w:rPr>
                    <w:rFonts w:ascii="宋体" w:hAnsi="宋体"/>
                  </w:rPr>
                  <w:t>0</w:t>
                </w:r>
              </w:p>
            </w:tc>
            <w:tc>
              <w:tcPr>
                <w:tcW w:w="1470" w:type="dxa"/>
                <w:vAlign w:val="center"/>
              </w:tcPr>
              <w:p w14:paraId="0B7A1F38" w14:textId="77777777" w:rsidR="00B201D3" w:rsidRPr="0069461D" w:rsidRDefault="009855E8">
                <w:pPr>
                  <w:jc w:val="right"/>
                  <w:rPr>
                    <w:rFonts w:ascii="宋体" w:hAnsi="宋体"/>
                  </w:rPr>
                </w:pPr>
                <w:r w:rsidRPr="0069461D">
                  <w:rPr>
                    <w:rFonts w:ascii="宋体" w:hAnsi="宋体"/>
                  </w:rPr>
                  <w:t>0</w:t>
                </w:r>
              </w:p>
            </w:tc>
            <w:tc>
              <w:tcPr>
                <w:tcW w:w="1470" w:type="dxa"/>
                <w:vAlign w:val="center"/>
              </w:tcPr>
              <w:p w14:paraId="670C624F" w14:textId="77777777" w:rsidR="00B201D3" w:rsidRPr="0069461D" w:rsidRDefault="009855E8">
                <w:pPr>
                  <w:jc w:val="right"/>
                  <w:rPr>
                    <w:rFonts w:ascii="宋体" w:hAnsi="宋体"/>
                  </w:rPr>
                </w:pPr>
                <w:r w:rsidRPr="0069461D">
                  <w:rPr>
                    <w:rFonts w:ascii="宋体" w:hAnsi="宋体"/>
                  </w:rPr>
                  <w:t xml:space="preserve">0 </w:t>
                </w:r>
              </w:p>
            </w:tc>
            <w:tc>
              <w:tcPr>
                <w:tcW w:w="1573" w:type="dxa"/>
                <w:vAlign w:val="center"/>
              </w:tcPr>
              <w:p w14:paraId="61246F07" w14:textId="77777777" w:rsidR="00B201D3" w:rsidRPr="0069461D" w:rsidRDefault="009855E8">
                <w:pPr>
                  <w:pStyle w:val="3903"/>
                  <w:rPr>
                    <w:rFonts w:ascii="宋体" w:hAnsi="宋体"/>
                  </w:rPr>
                </w:pPr>
                <w:r w:rsidRPr="0069461D">
                  <w:rPr>
                    <w:rFonts w:ascii="宋体" w:hAnsi="宋体"/>
                  </w:rPr>
                  <w:t>-</w:t>
                </w:r>
              </w:p>
            </w:tc>
          </w:tr>
          <w:tr w:rsidR="00B201D3" w14:paraId="24161420" w14:textId="77777777">
            <w:tc>
              <w:tcPr>
                <w:tcW w:w="1560" w:type="dxa"/>
                <w:vAlign w:val="center"/>
              </w:tcPr>
              <w:p w14:paraId="7D4465FA" w14:textId="77777777" w:rsidR="00B201D3" w:rsidRDefault="009855E8">
                <w:pPr>
                  <w:pStyle w:val="3903"/>
                </w:pPr>
                <w:r>
                  <w:rPr>
                    <w:rFonts w:hint="eastAsia"/>
                  </w:rPr>
                  <w:t>朱</w:t>
                </w:r>
                <w:r>
                  <w:t xml:space="preserve">    </w:t>
                </w:r>
                <w:r>
                  <w:rPr>
                    <w:rFonts w:hint="eastAsia"/>
                  </w:rPr>
                  <w:t>睿</w:t>
                </w:r>
              </w:p>
            </w:tc>
            <w:tc>
              <w:tcPr>
                <w:tcW w:w="1954" w:type="dxa"/>
                <w:vAlign w:val="center"/>
              </w:tcPr>
              <w:p w14:paraId="4409130B" w14:textId="77777777" w:rsidR="00B201D3" w:rsidRDefault="009855E8">
                <w:pPr>
                  <w:pStyle w:val="3903"/>
                </w:pPr>
                <w:r>
                  <w:rPr>
                    <w:rFonts w:hint="eastAsia"/>
                  </w:rPr>
                  <w:t>独立董事</w:t>
                </w:r>
              </w:p>
            </w:tc>
            <w:tc>
              <w:tcPr>
                <w:tcW w:w="1471" w:type="dxa"/>
                <w:vAlign w:val="center"/>
              </w:tcPr>
              <w:p w14:paraId="2B2C6424" w14:textId="77777777" w:rsidR="00B201D3" w:rsidRPr="0069461D" w:rsidRDefault="009855E8">
                <w:pPr>
                  <w:jc w:val="right"/>
                  <w:rPr>
                    <w:rFonts w:ascii="宋体" w:hAnsi="宋体"/>
                  </w:rPr>
                </w:pPr>
                <w:r w:rsidRPr="0069461D">
                  <w:rPr>
                    <w:rFonts w:ascii="宋体" w:hAnsi="宋体"/>
                  </w:rPr>
                  <w:t>0</w:t>
                </w:r>
              </w:p>
            </w:tc>
            <w:tc>
              <w:tcPr>
                <w:tcW w:w="1470" w:type="dxa"/>
                <w:vAlign w:val="center"/>
              </w:tcPr>
              <w:p w14:paraId="610A7611" w14:textId="77777777" w:rsidR="00B201D3" w:rsidRPr="0069461D" w:rsidRDefault="009855E8">
                <w:pPr>
                  <w:jc w:val="right"/>
                  <w:rPr>
                    <w:rFonts w:ascii="宋体" w:hAnsi="宋体"/>
                  </w:rPr>
                </w:pPr>
                <w:r w:rsidRPr="0069461D">
                  <w:rPr>
                    <w:rFonts w:ascii="宋体" w:hAnsi="宋体"/>
                  </w:rPr>
                  <w:t>0</w:t>
                </w:r>
              </w:p>
            </w:tc>
            <w:tc>
              <w:tcPr>
                <w:tcW w:w="1470" w:type="dxa"/>
                <w:vAlign w:val="center"/>
              </w:tcPr>
              <w:p w14:paraId="696064D5" w14:textId="77777777" w:rsidR="00B201D3" w:rsidRPr="0069461D" w:rsidRDefault="009855E8">
                <w:pPr>
                  <w:jc w:val="right"/>
                  <w:rPr>
                    <w:rFonts w:ascii="宋体" w:hAnsi="宋体"/>
                  </w:rPr>
                </w:pPr>
                <w:r w:rsidRPr="0069461D">
                  <w:rPr>
                    <w:rFonts w:ascii="宋体" w:hAnsi="宋体"/>
                  </w:rPr>
                  <w:t xml:space="preserve">0 </w:t>
                </w:r>
              </w:p>
            </w:tc>
            <w:tc>
              <w:tcPr>
                <w:tcW w:w="1573" w:type="dxa"/>
                <w:vAlign w:val="center"/>
              </w:tcPr>
              <w:p w14:paraId="3209267B" w14:textId="77777777" w:rsidR="00B201D3" w:rsidRPr="0069461D" w:rsidRDefault="009855E8">
                <w:pPr>
                  <w:pStyle w:val="3903"/>
                  <w:rPr>
                    <w:rFonts w:ascii="宋体" w:hAnsi="宋体"/>
                  </w:rPr>
                </w:pPr>
                <w:r w:rsidRPr="0069461D">
                  <w:rPr>
                    <w:rFonts w:ascii="宋体" w:hAnsi="宋体"/>
                  </w:rPr>
                  <w:t>-</w:t>
                </w:r>
              </w:p>
            </w:tc>
          </w:tr>
          <w:tr w:rsidR="00B201D3" w14:paraId="7E5E9A39" w14:textId="77777777">
            <w:tc>
              <w:tcPr>
                <w:tcW w:w="1560" w:type="dxa"/>
                <w:vAlign w:val="center"/>
              </w:tcPr>
              <w:p w14:paraId="7E0EE87D" w14:textId="77777777" w:rsidR="00B201D3" w:rsidRDefault="009855E8">
                <w:pPr>
                  <w:pStyle w:val="3903"/>
                </w:pPr>
                <w:r>
                  <w:rPr>
                    <w:rFonts w:hint="eastAsia"/>
                  </w:rPr>
                  <w:t>苏</w:t>
                </w:r>
                <w:r>
                  <w:t xml:space="preserve">    </w:t>
                </w:r>
                <w:r>
                  <w:rPr>
                    <w:rFonts w:hint="eastAsia"/>
                  </w:rPr>
                  <w:t>力</w:t>
                </w:r>
              </w:p>
            </w:tc>
            <w:tc>
              <w:tcPr>
                <w:tcW w:w="1954" w:type="dxa"/>
                <w:vAlign w:val="center"/>
              </w:tcPr>
              <w:p w14:paraId="1CF9ED96" w14:textId="77777777" w:rsidR="00B201D3" w:rsidRDefault="009855E8">
                <w:pPr>
                  <w:pStyle w:val="3903"/>
                </w:pPr>
                <w:r>
                  <w:rPr>
                    <w:rFonts w:hint="eastAsia"/>
                  </w:rPr>
                  <w:t>董事</w:t>
                </w:r>
              </w:p>
            </w:tc>
            <w:tc>
              <w:tcPr>
                <w:tcW w:w="1471" w:type="dxa"/>
                <w:vAlign w:val="center"/>
              </w:tcPr>
              <w:p w14:paraId="3B1C55CE" w14:textId="77777777" w:rsidR="00B201D3" w:rsidRPr="0069461D" w:rsidRDefault="009855E8">
                <w:pPr>
                  <w:jc w:val="right"/>
                  <w:rPr>
                    <w:rFonts w:ascii="宋体" w:hAnsi="宋体"/>
                  </w:rPr>
                </w:pPr>
                <w:r w:rsidRPr="0069461D">
                  <w:rPr>
                    <w:rFonts w:ascii="宋体" w:hAnsi="宋体"/>
                  </w:rPr>
                  <w:t xml:space="preserve">0 </w:t>
                </w:r>
              </w:p>
            </w:tc>
            <w:tc>
              <w:tcPr>
                <w:tcW w:w="1470" w:type="dxa"/>
                <w:vAlign w:val="center"/>
              </w:tcPr>
              <w:p w14:paraId="49149029" w14:textId="77777777" w:rsidR="00B201D3" w:rsidRPr="0069461D" w:rsidRDefault="009855E8">
                <w:pPr>
                  <w:jc w:val="right"/>
                  <w:rPr>
                    <w:rFonts w:ascii="宋体" w:hAnsi="宋体"/>
                  </w:rPr>
                </w:pPr>
                <w:r w:rsidRPr="0069461D">
                  <w:rPr>
                    <w:rFonts w:ascii="宋体" w:hAnsi="宋体"/>
                  </w:rPr>
                  <w:t>0</w:t>
                </w:r>
              </w:p>
            </w:tc>
            <w:tc>
              <w:tcPr>
                <w:tcW w:w="1470" w:type="dxa"/>
                <w:vAlign w:val="center"/>
              </w:tcPr>
              <w:p w14:paraId="34EB43F2" w14:textId="77777777" w:rsidR="00B201D3" w:rsidRPr="0069461D" w:rsidRDefault="009855E8">
                <w:pPr>
                  <w:jc w:val="right"/>
                  <w:rPr>
                    <w:rFonts w:ascii="宋体" w:hAnsi="宋体"/>
                  </w:rPr>
                </w:pPr>
                <w:r w:rsidRPr="0069461D">
                  <w:rPr>
                    <w:rFonts w:ascii="宋体" w:hAnsi="宋体"/>
                  </w:rPr>
                  <w:t xml:space="preserve">0 </w:t>
                </w:r>
              </w:p>
            </w:tc>
            <w:tc>
              <w:tcPr>
                <w:tcW w:w="1573" w:type="dxa"/>
                <w:vAlign w:val="center"/>
              </w:tcPr>
              <w:p w14:paraId="409A6698" w14:textId="77777777" w:rsidR="00B201D3" w:rsidRPr="0069461D" w:rsidRDefault="009855E8">
                <w:pPr>
                  <w:pStyle w:val="3903"/>
                  <w:rPr>
                    <w:rFonts w:ascii="宋体" w:hAnsi="宋体"/>
                  </w:rPr>
                </w:pPr>
                <w:r w:rsidRPr="0069461D">
                  <w:rPr>
                    <w:rFonts w:ascii="宋体" w:hAnsi="宋体"/>
                  </w:rPr>
                  <w:t>-</w:t>
                </w:r>
              </w:p>
            </w:tc>
          </w:tr>
          <w:tr w:rsidR="00B201D3" w14:paraId="5B347904" w14:textId="77777777">
            <w:tc>
              <w:tcPr>
                <w:tcW w:w="1560" w:type="dxa"/>
                <w:vAlign w:val="center"/>
              </w:tcPr>
              <w:p w14:paraId="0E4F8814" w14:textId="77777777" w:rsidR="00B201D3" w:rsidRDefault="009855E8">
                <w:pPr>
                  <w:pStyle w:val="3903"/>
                </w:pPr>
                <w:r>
                  <w:rPr>
                    <w:rFonts w:hint="eastAsia"/>
                  </w:rPr>
                  <w:t>赵青春</w:t>
                </w:r>
              </w:p>
            </w:tc>
            <w:tc>
              <w:tcPr>
                <w:tcW w:w="1954" w:type="dxa"/>
                <w:vAlign w:val="center"/>
              </w:tcPr>
              <w:p w14:paraId="1C24150D" w14:textId="77777777" w:rsidR="00B201D3" w:rsidRDefault="009855E8">
                <w:pPr>
                  <w:pStyle w:val="3903"/>
                </w:pPr>
                <w:r>
                  <w:rPr>
                    <w:rFonts w:hint="eastAsia"/>
                  </w:rPr>
                  <w:t>高管</w:t>
                </w:r>
              </w:p>
            </w:tc>
            <w:tc>
              <w:tcPr>
                <w:tcW w:w="1471" w:type="dxa"/>
                <w:vAlign w:val="center"/>
              </w:tcPr>
              <w:p w14:paraId="2F484686" w14:textId="77777777" w:rsidR="00B201D3" w:rsidRPr="0069461D" w:rsidRDefault="009855E8">
                <w:pPr>
                  <w:jc w:val="right"/>
                  <w:rPr>
                    <w:rFonts w:ascii="宋体" w:hAnsi="宋体"/>
                  </w:rPr>
                </w:pPr>
                <w:r w:rsidRPr="0069461D">
                  <w:rPr>
                    <w:rFonts w:ascii="宋体" w:hAnsi="宋体"/>
                  </w:rPr>
                  <w:t xml:space="preserve">331,600 </w:t>
                </w:r>
              </w:p>
            </w:tc>
            <w:tc>
              <w:tcPr>
                <w:tcW w:w="1470" w:type="dxa"/>
                <w:vAlign w:val="center"/>
              </w:tcPr>
              <w:p w14:paraId="02C6625E" w14:textId="77777777" w:rsidR="00B201D3" w:rsidRPr="0069461D" w:rsidRDefault="009855E8">
                <w:pPr>
                  <w:jc w:val="right"/>
                  <w:rPr>
                    <w:rFonts w:ascii="宋体" w:hAnsi="宋体"/>
                  </w:rPr>
                </w:pPr>
                <w:r w:rsidRPr="0069461D">
                  <w:rPr>
                    <w:rFonts w:ascii="宋体" w:hAnsi="宋体"/>
                  </w:rPr>
                  <w:t>420,000</w:t>
                </w:r>
              </w:p>
            </w:tc>
            <w:tc>
              <w:tcPr>
                <w:tcW w:w="1470" w:type="dxa"/>
                <w:vAlign w:val="center"/>
              </w:tcPr>
              <w:p w14:paraId="0FB861E7" w14:textId="77777777" w:rsidR="00B201D3" w:rsidRPr="0069461D" w:rsidRDefault="009855E8">
                <w:pPr>
                  <w:jc w:val="right"/>
                  <w:rPr>
                    <w:rFonts w:ascii="宋体" w:hAnsi="宋体"/>
                  </w:rPr>
                </w:pPr>
                <w:r w:rsidRPr="0069461D">
                  <w:rPr>
                    <w:rFonts w:ascii="宋体" w:hAnsi="宋体"/>
                  </w:rPr>
                  <w:t xml:space="preserve">88,400 </w:t>
                </w:r>
              </w:p>
            </w:tc>
            <w:tc>
              <w:tcPr>
                <w:tcW w:w="1573" w:type="dxa"/>
                <w:vAlign w:val="center"/>
              </w:tcPr>
              <w:p w14:paraId="2F90A5C6" w14:textId="77777777" w:rsidR="00B201D3" w:rsidRPr="0069461D" w:rsidRDefault="009855E8">
                <w:pPr>
                  <w:pStyle w:val="3903"/>
                  <w:rPr>
                    <w:rFonts w:ascii="宋体" w:hAnsi="宋体"/>
                  </w:rPr>
                </w:pPr>
                <w:r w:rsidRPr="0069461D">
                  <w:rPr>
                    <w:rFonts w:ascii="宋体" w:hAnsi="宋体" w:hint="eastAsia"/>
                  </w:rPr>
                  <w:t>股票期权行权</w:t>
                </w:r>
              </w:p>
            </w:tc>
          </w:tr>
          <w:tr w:rsidR="00B201D3" w14:paraId="413AFA42" w14:textId="77777777">
            <w:tc>
              <w:tcPr>
                <w:tcW w:w="1560" w:type="dxa"/>
                <w:vAlign w:val="center"/>
              </w:tcPr>
              <w:p w14:paraId="0713715D" w14:textId="77777777" w:rsidR="00B201D3" w:rsidRDefault="009855E8">
                <w:pPr>
                  <w:pStyle w:val="3903"/>
                </w:pPr>
                <w:r>
                  <w:rPr>
                    <w:rFonts w:hint="eastAsia"/>
                  </w:rPr>
                  <w:t>靳家皓</w:t>
                </w:r>
              </w:p>
            </w:tc>
            <w:tc>
              <w:tcPr>
                <w:tcW w:w="1954" w:type="dxa"/>
                <w:vAlign w:val="center"/>
              </w:tcPr>
              <w:p w14:paraId="0FF0A746" w14:textId="77777777" w:rsidR="00B201D3" w:rsidRDefault="009855E8">
                <w:pPr>
                  <w:pStyle w:val="3903"/>
                </w:pPr>
                <w:r>
                  <w:rPr>
                    <w:rFonts w:hint="eastAsia"/>
                  </w:rPr>
                  <w:t>监事</w:t>
                </w:r>
              </w:p>
            </w:tc>
            <w:tc>
              <w:tcPr>
                <w:tcW w:w="1471" w:type="dxa"/>
                <w:vAlign w:val="center"/>
              </w:tcPr>
              <w:p w14:paraId="1E4DDB88" w14:textId="77777777" w:rsidR="00B201D3" w:rsidRPr="0069461D" w:rsidRDefault="009855E8">
                <w:pPr>
                  <w:jc w:val="right"/>
                  <w:rPr>
                    <w:rFonts w:ascii="宋体" w:hAnsi="宋体"/>
                  </w:rPr>
                </w:pPr>
                <w:r w:rsidRPr="0069461D">
                  <w:rPr>
                    <w:rFonts w:ascii="宋体" w:hAnsi="宋体"/>
                  </w:rPr>
                  <w:t xml:space="preserve">0 </w:t>
                </w:r>
              </w:p>
            </w:tc>
            <w:tc>
              <w:tcPr>
                <w:tcW w:w="1470" w:type="dxa"/>
                <w:vAlign w:val="center"/>
              </w:tcPr>
              <w:p w14:paraId="2BEBC59A" w14:textId="77777777" w:rsidR="00B201D3" w:rsidRPr="0069461D" w:rsidRDefault="009855E8">
                <w:pPr>
                  <w:jc w:val="right"/>
                  <w:rPr>
                    <w:rFonts w:ascii="宋体" w:hAnsi="宋体"/>
                  </w:rPr>
                </w:pPr>
                <w:r w:rsidRPr="0069461D">
                  <w:rPr>
                    <w:rFonts w:ascii="宋体" w:hAnsi="宋体"/>
                  </w:rPr>
                  <w:t xml:space="preserve">0 </w:t>
                </w:r>
              </w:p>
            </w:tc>
            <w:tc>
              <w:tcPr>
                <w:tcW w:w="1470" w:type="dxa"/>
                <w:vAlign w:val="center"/>
              </w:tcPr>
              <w:p w14:paraId="0F086C94" w14:textId="77777777" w:rsidR="00B201D3" w:rsidRPr="0069461D" w:rsidRDefault="009855E8">
                <w:pPr>
                  <w:jc w:val="right"/>
                  <w:rPr>
                    <w:rFonts w:ascii="宋体" w:hAnsi="宋体"/>
                  </w:rPr>
                </w:pPr>
                <w:r w:rsidRPr="0069461D">
                  <w:rPr>
                    <w:rFonts w:ascii="宋体" w:hAnsi="宋体"/>
                  </w:rPr>
                  <w:t xml:space="preserve">0 </w:t>
                </w:r>
              </w:p>
            </w:tc>
            <w:tc>
              <w:tcPr>
                <w:tcW w:w="1573" w:type="dxa"/>
                <w:vAlign w:val="center"/>
              </w:tcPr>
              <w:p w14:paraId="513A361E" w14:textId="77777777" w:rsidR="00B201D3" w:rsidRPr="0069461D" w:rsidRDefault="009855E8">
                <w:pPr>
                  <w:pStyle w:val="3903"/>
                  <w:rPr>
                    <w:rFonts w:ascii="宋体" w:hAnsi="宋体"/>
                  </w:rPr>
                </w:pPr>
                <w:r w:rsidRPr="0069461D">
                  <w:rPr>
                    <w:rFonts w:ascii="宋体" w:hAnsi="宋体"/>
                  </w:rPr>
                  <w:t>-</w:t>
                </w:r>
              </w:p>
            </w:tc>
          </w:tr>
          <w:tr w:rsidR="00B201D3" w14:paraId="54BDF597" w14:textId="77777777">
            <w:tc>
              <w:tcPr>
                <w:tcW w:w="1560" w:type="dxa"/>
                <w:vAlign w:val="center"/>
              </w:tcPr>
              <w:p w14:paraId="0E9F9C42" w14:textId="77777777" w:rsidR="00B201D3" w:rsidRDefault="009855E8">
                <w:pPr>
                  <w:pStyle w:val="3903"/>
                </w:pPr>
                <w:r>
                  <w:rPr>
                    <w:rFonts w:hint="eastAsia"/>
                  </w:rPr>
                  <w:t>李洪国</w:t>
                </w:r>
              </w:p>
            </w:tc>
            <w:tc>
              <w:tcPr>
                <w:tcW w:w="1954" w:type="dxa"/>
                <w:vAlign w:val="center"/>
              </w:tcPr>
              <w:p w14:paraId="1C3A4122" w14:textId="77777777" w:rsidR="00B201D3" w:rsidRDefault="009855E8">
                <w:pPr>
                  <w:pStyle w:val="3903"/>
                </w:pPr>
                <w:r>
                  <w:rPr>
                    <w:rFonts w:hint="eastAsia"/>
                  </w:rPr>
                  <w:t>高管</w:t>
                </w:r>
              </w:p>
            </w:tc>
            <w:tc>
              <w:tcPr>
                <w:tcW w:w="1471" w:type="dxa"/>
                <w:vAlign w:val="center"/>
              </w:tcPr>
              <w:p w14:paraId="01E16ED3" w14:textId="77777777" w:rsidR="00B201D3" w:rsidRPr="0069461D" w:rsidRDefault="009855E8">
                <w:pPr>
                  <w:jc w:val="right"/>
                  <w:rPr>
                    <w:rFonts w:ascii="宋体" w:hAnsi="宋体"/>
                  </w:rPr>
                </w:pPr>
                <w:r w:rsidRPr="0069461D">
                  <w:rPr>
                    <w:rFonts w:ascii="宋体" w:hAnsi="宋体" w:hint="eastAsia"/>
                  </w:rPr>
                  <w:t>0</w:t>
                </w:r>
              </w:p>
            </w:tc>
            <w:tc>
              <w:tcPr>
                <w:tcW w:w="1470" w:type="dxa"/>
                <w:vAlign w:val="center"/>
              </w:tcPr>
              <w:p w14:paraId="40655457" w14:textId="77777777" w:rsidR="00B201D3" w:rsidRPr="0069461D" w:rsidRDefault="009855E8">
                <w:pPr>
                  <w:jc w:val="right"/>
                  <w:rPr>
                    <w:rFonts w:ascii="宋体" w:hAnsi="宋体"/>
                  </w:rPr>
                </w:pPr>
                <w:r w:rsidRPr="0069461D">
                  <w:rPr>
                    <w:rFonts w:ascii="宋体" w:hAnsi="宋体" w:hint="eastAsia"/>
                  </w:rPr>
                  <w:t>0</w:t>
                </w:r>
              </w:p>
            </w:tc>
            <w:tc>
              <w:tcPr>
                <w:tcW w:w="1470" w:type="dxa"/>
                <w:vAlign w:val="center"/>
              </w:tcPr>
              <w:p w14:paraId="0A617696" w14:textId="77777777" w:rsidR="00B201D3" w:rsidRPr="0069461D" w:rsidRDefault="009855E8">
                <w:pPr>
                  <w:jc w:val="right"/>
                  <w:rPr>
                    <w:rFonts w:ascii="宋体" w:hAnsi="宋体"/>
                  </w:rPr>
                </w:pPr>
                <w:r w:rsidRPr="0069461D">
                  <w:rPr>
                    <w:rFonts w:ascii="宋体" w:hAnsi="宋体"/>
                  </w:rPr>
                  <w:t xml:space="preserve">0 </w:t>
                </w:r>
              </w:p>
            </w:tc>
            <w:tc>
              <w:tcPr>
                <w:tcW w:w="1573" w:type="dxa"/>
                <w:vAlign w:val="center"/>
              </w:tcPr>
              <w:p w14:paraId="580F0EF7" w14:textId="77777777" w:rsidR="00B201D3" w:rsidRPr="0069461D" w:rsidRDefault="009855E8">
                <w:pPr>
                  <w:pStyle w:val="3903"/>
                  <w:rPr>
                    <w:rFonts w:ascii="宋体" w:hAnsi="宋体"/>
                  </w:rPr>
                </w:pPr>
                <w:r w:rsidRPr="0069461D">
                  <w:rPr>
                    <w:rFonts w:ascii="宋体" w:hAnsi="宋体"/>
                  </w:rPr>
                  <w:t>-</w:t>
                </w:r>
              </w:p>
            </w:tc>
          </w:tr>
          <w:tr w:rsidR="00B201D3" w14:paraId="0156734F" w14:textId="77777777">
            <w:tc>
              <w:tcPr>
                <w:tcW w:w="1560" w:type="dxa"/>
                <w:vAlign w:val="center"/>
              </w:tcPr>
              <w:p w14:paraId="16839639" w14:textId="77777777" w:rsidR="00B201D3" w:rsidRDefault="009855E8">
                <w:pPr>
                  <w:pStyle w:val="3903"/>
                </w:pPr>
                <w:r>
                  <w:rPr>
                    <w:rFonts w:hint="eastAsia"/>
                  </w:rPr>
                  <w:t>张传昌</w:t>
                </w:r>
              </w:p>
            </w:tc>
            <w:tc>
              <w:tcPr>
                <w:tcW w:w="1954" w:type="dxa"/>
                <w:vAlign w:val="center"/>
              </w:tcPr>
              <w:p w14:paraId="5126BF8E" w14:textId="77777777" w:rsidR="00B201D3" w:rsidRDefault="009855E8">
                <w:pPr>
                  <w:pStyle w:val="3903"/>
                </w:pPr>
                <w:r>
                  <w:rPr>
                    <w:rFonts w:hint="eastAsia"/>
                  </w:rPr>
                  <w:t>高管</w:t>
                </w:r>
              </w:p>
            </w:tc>
            <w:tc>
              <w:tcPr>
                <w:tcW w:w="1471" w:type="dxa"/>
                <w:vAlign w:val="center"/>
              </w:tcPr>
              <w:p w14:paraId="568F82ED" w14:textId="77777777" w:rsidR="00B201D3" w:rsidRPr="0069461D" w:rsidRDefault="009855E8">
                <w:pPr>
                  <w:jc w:val="right"/>
                  <w:rPr>
                    <w:rFonts w:ascii="宋体" w:hAnsi="宋体"/>
                  </w:rPr>
                </w:pPr>
                <w:r w:rsidRPr="0069461D">
                  <w:rPr>
                    <w:rFonts w:ascii="宋体" w:hAnsi="宋体"/>
                  </w:rPr>
                  <w:t xml:space="preserve">160,000 </w:t>
                </w:r>
              </w:p>
            </w:tc>
            <w:tc>
              <w:tcPr>
                <w:tcW w:w="1470" w:type="dxa"/>
                <w:vAlign w:val="center"/>
              </w:tcPr>
              <w:p w14:paraId="5A9E9DDB" w14:textId="77777777" w:rsidR="00B201D3" w:rsidRPr="0069461D" w:rsidRDefault="009855E8">
                <w:pPr>
                  <w:jc w:val="right"/>
                  <w:rPr>
                    <w:rFonts w:ascii="宋体" w:hAnsi="宋体"/>
                  </w:rPr>
                </w:pPr>
                <w:r w:rsidRPr="0069461D">
                  <w:rPr>
                    <w:rFonts w:ascii="宋体" w:hAnsi="宋体"/>
                  </w:rPr>
                  <w:t>160,000</w:t>
                </w:r>
              </w:p>
            </w:tc>
            <w:tc>
              <w:tcPr>
                <w:tcW w:w="1470" w:type="dxa"/>
                <w:vAlign w:val="center"/>
              </w:tcPr>
              <w:p w14:paraId="121AB9A5" w14:textId="77777777" w:rsidR="00B201D3" w:rsidRPr="0069461D" w:rsidRDefault="009855E8">
                <w:pPr>
                  <w:jc w:val="right"/>
                  <w:rPr>
                    <w:rFonts w:ascii="宋体" w:hAnsi="宋体"/>
                  </w:rPr>
                </w:pPr>
                <w:r w:rsidRPr="0069461D">
                  <w:rPr>
                    <w:rFonts w:ascii="宋体" w:hAnsi="宋体"/>
                  </w:rPr>
                  <w:t xml:space="preserve">0 </w:t>
                </w:r>
              </w:p>
            </w:tc>
            <w:tc>
              <w:tcPr>
                <w:tcW w:w="1573" w:type="dxa"/>
                <w:vAlign w:val="center"/>
              </w:tcPr>
              <w:p w14:paraId="2650B5AD" w14:textId="77777777" w:rsidR="00B201D3" w:rsidRPr="0069461D" w:rsidRDefault="009855E8">
                <w:pPr>
                  <w:pStyle w:val="3903"/>
                  <w:rPr>
                    <w:rFonts w:ascii="宋体" w:hAnsi="宋体"/>
                  </w:rPr>
                </w:pPr>
                <w:r w:rsidRPr="0069461D">
                  <w:rPr>
                    <w:rFonts w:ascii="宋体" w:hAnsi="宋体"/>
                  </w:rPr>
                  <w:t>-</w:t>
                </w:r>
              </w:p>
            </w:tc>
          </w:tr>
          <w:tr w:rsidR="00B201D3" w14:paraId="74A349F3" w14:textId="77777777">
            <w:tc>
              <w:tcPr>
                <w:tcW w:w="1560" w:type="dxa"/>
                <w:vAlign w:val="center"/>
              </w:tcPr>
              <w:p w14:paraId="6C925FC9" w14:textId="77777777" w:rsidR="00B201D3" w:rsidRDefault="009855E8">
                <w:r>
                  <w:rPr>
                    <w:rFonts w:hint="eastAsia"/>
                  </w:rPr>
                  <w:t>田兆华</w:t>
                </w:r>
              </w:p>
            </w:tc>
            <w:tc>
              <w:tcPr>
                <w:tcW w:w="1954" w:type="dxa"/>
                <w:vAlign w:val="center"/>
              </w:tcPr>
              <w:p w14:paraId="467183CD" w14:textId="77777777" w:rsidR="00B201D3" w:rsidRDefault="009855E8">
                <w:r>
                  <w:rPr>
                    <w:rFonts w:hint="eastAsia"/>
                  </w:rPr>
                  <w:t>高管</w:t>
                </w:r>
              </w:p>
            </w:tc>
            <w:tc>
              <w:tcPr>
                <w:tcW w:w="1471" w:type="dxa"/>
                <w:vAlign w:val="center"/>
              </w:tcPr>
              <w:p w14:paraId="0BDA3681" w14:textId="77777777" w:rsidR="00B201D3" w:rsidRPr="0069461D" w:rsidRDefault="009855E8">
                <w:pPr>
                  <w:jc w:val="right"/>
                  <w:rPr>
                    <w:rFonts w:ascii="宋体" w:hAnsi="宋体"/>
                  </w:rPr>
                </w:pPr>
                <w:r w:rsidRPr="0069461D">
                  <w:rPr>
                    <w:rFonts w:ascii="宋体" w:hAnsi="宋体"/>
                  </w:rPr>
                  <w:t xml:space="preserve">259,000 </w:t>
                </w:r>
              </w:p>
            </w:tc>
            <w:tc>
              <w:tcPr>
                <w:tcW w:w="1470" w:type="dxa"/>
                <w:vAlign w:val="center"/>
              </w:tcPr>
              <w:p w14:paraId="4D699CF9" w14:textId="77777777" w:rsidR="00B201D3" w:rsidRPr="0069461D" w:rsidRDefault="009855E8">
                <w:pPr>
                  <w:jc w:val="right"/>
                  <w:rPr>
                    <w:rFonts w:ascii="宋体" w:hAnsi="宋体"/>
                  </w:rPr>
                </w:pPr>
                <w:r w:rsidRPr="0069461D">
                  <w:rPr>
                    <w:rFonts w:ascii="宋体" w:hAnsi="宋体"/>
                  </w:rPr>
                  <w:t>310,000</w:t>
                </w:r>
              </w:p>
            </w:tc>
            <w:tc>
              <w:tcPr>
                <w:tcW w:w="1470" w:type="dxa"/>
                <w:vAlign w:val="center"/>
              </w:tcPr>
              <w:p w14:paraId="67B7D971" w14:textId="77777777" w:rsidR="00B201D3" w:rsidRPr="0069461D" w:rsidRDefault="009855E8">
                <w:pPr>
                  <w:jc w:val="right"/>
                  <w:rPr>
                    <w:rFonts w:ascii="宋体" w:hAnsi="宋体"/>
                  </w:rPr>
                </w:pPr>
                <w:r w:rsidRPr="0069461D">
                  <w:rPr>
                    <w:rFonts w:ascii="宋体" w:hAnsi="宋体"/>
                  </w:rPr>
                  <w:t xml:space="preserve">51,000 </w:t>
                </w:r>
              </w:p>
            </w:tc>
            <w:tc>
              <w:tcPr>
                <w:tcW w:w="1573" w:type="dxa"/>
                <w:vAlign w:val="center"/>
              </w:tcPr>
              <w:p w14:paraId="131DADDA" w14:textId="77777777" w:rsidR="00B201D3" w:rsidRPr="0069461D" w:rsidRDefault="009855E8">
                <w:pPr>
                  <w:rPr>
                    <w:rFonts w:ascii="宋体" w:hAnsi="宋体"/>
                  </w:rPr>
                </w:pPr>
                <w:r w:rsidRPr="0069461D">
                  <w:rPr>
                    <w:rFonts w:ascii="宋体" w:hAnsi="宋体" w:hint="eastAsia"/>
                  </w:rPr>
                  <w:t>股票期权行权</w:t>
                </w:r>
              </w:p>
            </w:tc>
          </w:tr>
          <w:tr w:rsidR="00B201D3" w14:paraId="473F2991" w14:textId="77777777">
            <w:tc>
              <w:tcPr>
                <w:tcW w:w="1560" w:type="dxa"/>
                <w:vAlign w:val="center"/>
              </w:tcPr>
              <w:p w14:paraId="3758F39A" w14:textId="77777777" w:rsidR="00B201D3" w:rsidRDefault="009855E8">
                <w:r>
                  <w:rPr>
                    <w:rFonts w:hint="eastAsia"/>
                  </w:rPr>
                  <w:t>黄霄龙</w:t>
                </w:r>
              </w:p>
            </w:tc>
            <w:tc>
              <w:tcPr>
                <w:tcW w:w="1954" w:type="dxa"/>
                <w:vAlign w:val="center"/>
              </w:tcPr>
              <w:p w14:paraId="6A862C64" w14:textId="77777777" w:rsidR="00B201D3" w:rsidRDefault="009855E8">
                <w:r>
                  <w:rPr>
                    <w:rFonts w:hint="eastAsia"/>
                  </w:rPr>
                  <w:t>董事、高管</w:t>
                </w:r>
              </w:p>
            </w:tc>
            <w:tc>
              <w:tcPr>
                <w:tcW w:w="1471" w:type="dxa"/>
                <w:vAlign w:val="center"/>
              </w:tcPr>
              <w:p w14:paraId="3861E32D" w14:textId="77777777" w:rsidR="00B201D3" w:rsidRPr="0069461D" w:rsidRDefault="009855E8">
                <w:pPr>
                  <w:jc w:val="right"/>
                  <w:rPr>
                    <w:rFonts w:ascii="宋体" w:hAnsi="宋体"/>
                  </w:rPr>
                </w:pPr>
                <w:r w:rsidRPr="0069461D">
                  <w:rPr>
                    <w:rFonts w:ascii="宋体" w:hAnsi="宋体"/>
                  </w:rPr>
                  <w:t xml:space="preserve">160,000 </w:t>
                </w:r>
              </w:p>
            </w:tc>
            <w:tc>
              <w:tcPr>
                <w:tcW w:w="1470" w:type="dxa"/>
                <w:vAlign w:val="center"/>
              </w:tcPr>
              <w:p w14:paraId="1E550FF0" w14:textId="77777777" w:rsidR="00B201D3" w:rsidRPr="0069461D" w:rsidRDefault="009855E8">
                <w:pPr>
                  <w:jc w:val="right"/>
                  <w:rPr>
                    <w:rFonts w:ascii="宋体" w:hAnsi="宋体"/>
                  </w:rPr>
                </w:pPr>
                <w:r w:rsidRPr="0069461D">
                  <w:rPr>
                    <w:rFonts w:ascii="宋体" w:hAnsi="宋体"/>
                  </w:rPr>
                  <w:t>160,000</w:t>
                </w:r>
              </w:p>
            </w:tc>
            <w:tc>
              <w:tcPr>
                <w:tcW w:w="1470" w:type="dxa"/>
                <w:vAlign w:val="center"/>
              </w:tcPr>
              <w:p w14:paraId="405134D1" w14:textId="77777777" w:rsidR="00B201D3" w:rsidRPr="0069461D" w:rsidRDefault="009855E8">
                <w:pPr>
                  <w:jc w:val="right"/>
                  <w:rPr>
                    <w:rFonts w:ascii="宋体" w:hAnsi="宋体"/>
                  </w:rPr>
                </w:pPr>
                <w:r w:rsidRPr="0069461D">
                  <w:rPr>
                    <w:rFonts w:ascii="宋体" w:hAnsi="宋体"/>
                  </w:rPr>
                  <w:t xml:space="preserve">0 </w:t>
                </w:r>
              </w:p>
            </w:tc>
            <w:tc>
              <w:tcPr>
                <w:tcW w:w="1573" w:type="dxa"/>
                <w:vAlign w:val="center"/>
              </w:tcPr>
              <w:p w14:paraId="06640C79" w14:textId="77777777" w:rsidR="00B201D3" w:rsidRPr="0069461D" w:rsidRDefault="009855E8">
                <w:pPr>
                  <w:rPr>
                    <w:rFonts w:ascii="宋体" w:hAnsi="宋体"/>
                  </w:rPr>
                </w:pPr>
                <w:r w:rsidRPr="0069461D">
                  <w:rPr>
                    <w:rFonts w:ascii="宋体" w:hAnsi="宋体"/>
                  </w:rPr>
                  <w:t>-</w:t>
                </w:r>
              </w:p>
            </w:tc>
          </w:tr>
          <w:tr w:rsidR="00B201D3" w14:paraId="67728F95" w14:textId="77777777">
            <w:tc>
              <w:tcPr>
                <w:tcW w:w="1560" w:type="dxa"/>
                <w:vAlign w:val="center"/>
              </w:tcPr>
              <w:p w14:paraId="5D2A6E93" w14:textId="77777777" w:rsidR="00B201D3" w:rsidRDefault="009855E8">
                <w:r>
                  <w:rPr>
                    <w:rFonts w:hint="eastAsia"/>
                  </w:rPr>
                  <w:t>马俊鹏</w:t>
                </w:r>
              </w:p>
            </w:tc>
            <w:tc>
              <w:tcPr>
                <w:tcW w:w="1954" w:type="dxa"/>
              </w:tcPr>
              <w:p w14:paraId="3FE0E182" w14:textId="77777777" w:rsidR="00B201D3" w:rsidRDefault="009855E8">
                <w:r>
                  <w:rPr>
                    <w:rFonts w:hint="eastAsia"/>
                  </w:rPr>
                  <w:t>高管</w:t>
                </w:r>
              </w:p>
            </w:tc>
            <w:tc>
              <w:tcPr>
                <w:tcW w:w="1471" w:type="dxa"/>
                <w:vAlign w:val="center"/>
              </w:tcPr>
              <w:p w14:paraId="3138057B" w14:textId="77777777" w:rsidR="00B201D3" w:rsidRPr="0069461D" w:rsidRDefault="009855E8">
                <w:pPr>
                  <w:jc w:val="right"/>
                  <w:rPr>
                    <w:rFonts w:ascii="宋体" w:hAnsi="宋体"/>
                  </w:rPr>
                </w:pPr>
                <w:r w:rsidRPr="0069461D">
                  <w:rPr>
                    <w:rFonts w:ascii="宋体" w:hAnsi="宋体"/>
                  </w:rPr>
                  <w:t xml:space="preserve">131,600 </w:t>
                </w:r>
              </w:p>
            </w:tc>
            <w:tc>
              <w:tcPr>
                <w:tcW w:w="1470" w:type="dxa"/>
                <w:vAlign w:val="center"/>
              </w:tcPr>
              <w:p w14:paraId="4D36FD93" w14:textId="77777777" w:rsidR="00B201D3" w:rsidRPr="0069461D" w:rsidRDefault="009855E8">
                <w:pPr>
                  <w:jc w:val="right"/>
                  <w:rPr>
                    <w:rFonts w:ascii="宋体" w:hAnsi="宋体"/>
                  </w:rPr>
                </w:pPr>
                <w:r w:rsidRPr="0069461D">
                  <w:rPr>
                    <w:rFonts w:ascii="宋体" w:hAnsi="宋体"/>
                  </w:rPr>
                  <w:t>182,600</w:t>
                </w:r>
              </w:p>
            </w:tc>
            <w:tc>
              <w:tcPr>
                <w:tcW w:w="1470" w:type="dxa"/>
                <w:vAlign w:val="center"/>
              </w:tcPr>
              <w:p w14:paraId="51AACB97" w14:textId="77777777" w:rsidR="00B201D3" w:rsidRPr="0069461D" w:rsidRDefault="009855E8">
                <w:pPr>
                  <w:jc w:val="right"/>
                  <w:rPr>
                    <w:rFonts w:ascii="宋体" w:hAnsi="宋体"/>
                  </w:rPr>
                </w:pPr>
                <w:r w:rsidRPr="0069461D">
                  <w:rPr>
                    <w:rFonts w:ascii="宋体" w:hAnsi="宋体"/>
                  </w:rPr>
                  <w:t xml:space="preserve">51,000 </w:t>
                </w:r>
              </w:p>
            </w:tc>
            <w:tc>
              <w:tcPr>
                <w:tcW w:w="1573" w:type="dxa"/>
                <w:vAlign w:val="center"/>
              </w:tcPr>
              <w:p w14:paraId="20513BDF" w14:textId="77777777" w:rsidR="00B201D3" w:rsidRPr="0069461D" w:rsidRDefault="009855E8">
                <w:pPr>
                  <w:rPr>
                    <w:rFonts w:ascii="宋体" w:hAnsi="宋体"/>
                  </w:rPr>
                </w:pPr>
                <w:r w:rsidRPr="0069461D">
                  <w:rPr>
                    <w:rFonts w:ascii="宋体" w:hAnsi="宋体" w:hint="eastAsia"/>
                  </w:rPr>
                  <w:t>股票期权行权</w:t>
                </w:r>
              </w:p>
            </w:tc>
          </w:tr>
          <w:tr w:rsidR="00B201D3" w14:paraId="29364582" w14:textId="77777777">
            <w:tc>
              <w:tcPr>
                <w:tcW w:w="1560" w:type="dxa"/>
                <w:vAlign w:val="center"/>
              </w:tcPr>
              <w:p w14:paraId="30FB4276" w14:textId="77777777" w:rsidR="00B201D3" w:rsidRDefault="009855E8">
                <w:r>
                  <w:rPr>
                    <w:rFonts w:hint="eastAsia"/>
                  </w:rPr>
                  <w:t>康</w:t>
                </w:r>
                <w:r>
                  <w:rPr>
                    <w:rFonts w:hint="eastAsia"/>
                  </w:rPr>
                  <w:t xml:space="preserve"> </w:t>
                </w:r>
                <w:r>
                  <w:t xml:space="preserve">   </w:t>
                </w:r>
                <w:r>
                  <w:rPr>
                    <w:rFonts w:hint="eastAsia"/>
                  </w:rPr>
                  <w:t>丹</w:t>
                </w:r>
              </w:p>
            </w:tc>
            <w:tc>
              <w:tcPr>
                <w:tcW w:w="1954" w:type="dxa"/>
              </w:tcPr>
              <w:p w14:paraId="323181F5" w14:textId="77777777" w:rsidR="00B201D3" w:rsidRDefault="009855E8">
                <w:r>
                  <w:rPr>
                    <w:rFonts w:hint="eastAsia"/>
                  </w:rPr>
                  <w:t>高管</w:t>
                </w:r>
              </w:p>
            </w:tc>
            <w:tc>
              <w:tcPr>
                <w:tcW w:w="1471" w:type="dxa"/>
                <w:vAlign w:val="center"/>
              </w:tcPr>
              <w:p w14:paraId="30536CB8" w14:textId="77777777" w:rsidR="00B201D3" w:rsidRPr="0069461D" w:rsidRDefault="009855E8">
                <w:pPr>
                  <w:jc w:val="right"/>
                  <w:rPr>
                    <w:rFonts w:ascii="宋体" w:hAnsi="宋体"/>
                  </w:rPr>
                </w:pPr>
                <w:r w:rsidRPr="0069461D">
                  <w:rPr>
                    <w:rFonts w:ascii="宋体" w:hAnsi="宋体"/>
                  </w:rPr>
                  <w:t xml:space="preserve">80,000 </w:t>
                </w:r>
              </w:p>
            </w:tc>
            <w:tc>
              <w:tcPr>
                <w:tcW w:w="1470" w:type="dxa"/>
                <w:vAlign w:val="center"/>
              </w:tcPr>
              <w:p w14:paraId="0B7EAB16" w14:textId="77777777" w:rsidR="00B201D3" w:rsidRPr="0069461D" w:rsidRDefault="009855E8">
                <w:pPr>
                  <w:jc w:val="right"/>
                  <w:rPr>
                    <w:rFonts w:ascii="宋体" w:hAnsi="宋体"/>
                  </w:rPr>
                </w:pPr>
                <w:r w:rsidRPr="0069461D">
                  <w:rPr>
                    <w:rFonts w:ascii="宋体" w:hAnsi="宋体"/>
                  </w:rPr>
                  <w:t>120,800</w:t>
                </w:r>
              </w:p>
            </w:tc>
            <w:tc>
              <w:tcPr>
                <w:tcW w:w="1470" w:type="dxa"/>
                <w:vAlign w:val="center"/>
              </w:tcPr>
              <w:p w14:paraId="15760F1C" w14:textId="77777777" w:rsidR="00B201D3" w:rsidRPr="0069461D" w:rsidRDefault="009855E8">
                <w:pPr>
                  <w:jc w:val="right"/>
                  <w:rPr>
                    <w:rFonts w:ascii="宋体" w:hAnsi="宋体"/>
                  </w:rPr>
                </w:pPr>
                <w:r w:rsidRPr="0069461D">
                  <w:rPr>
                    <w:rFonts w:ascii="宋体" w:hAnsi="宋体"/>
                  </w:rPr>
                  <w:t xml:space="preserve">40,800 </w:t>
                </w:r>
              </w:p>
            </w:tc>
            <w:tc>
              <w:tcPr>
                <w:tcW w:w="1573" w:type="dxa"/>
                <w:vAlign w:val="center"/>
              </w:tcPr>
              <w:p w14:paraId="6D2E6DC6" w14:textId="77777777" w:rsidR="00B201D3" w:rsidRPr="0069461D" w:rsidRDefault="009855E8">
                <w:pPr>
                  <w:rPr>
                    <w:rFonts w:ascii="宋体" w:hAnsi="宋体"/>
                  </w:rPr>
                </w:pPr>
                <w:r w:rsidRPr="0069461D">
                  <w:rPr>
                    <w:rFonts w:ascii="宋体" w:hAnsi="宋体" w:hint="eastAsia"/>
                  </w:rPr>
                  <w:t>股票期权行权</w:t>
                </w:r>
              </w:p>
            </w:tc>
          </w:tr>
          <w:tr w:rsidR="00B201D3" w14:paraId="7507B7CF" w14:textId="77777777">
            <w:tc>
              <w:tcPr>
                <w:tcW w:w="1560" w:type="dxa"/>
                <w:vAlign w:val="center"/>
              </w:tcPr>
              <w:p w14:paraId="22155A61" w14:textId="77777777" w:rsidR="00B201D3" w:rsidRDefault="009855E8">
                <w:r>
                  <w:rPr>
                    <w:rFonts w:hint="eastAsia"/>
                  </w:rPr>
                  <w:t>尤加强</w:t>
                </w:r>
              </w:p>
            </w:tc>
            <w:tc>
              <w:tcPr>
                <w:tcW w:w="1954" w:type="dxa"/>
              </w:tcPr>
              <w:p w14:paraId="28390006" w14:textId="77777777" w:rsidR="00B201D3" w:rsidRDefault="009855E8">
                <w:r>
                  <w:rPr>
                    <w:rFonts w:hint="eastAsia"/>
                  </w:rPr>
                  <w:t>高管</w:t>
                </w:r>
              </w:p>
            </w:tc>
            <w:tc>
              <w:tcPr>
                <w:tcW w:w="1471" w:type="dxa"/>
                <w:vAlign w:val="center"/>
              </w:tcPr>
              <w:p w14:paraId="2DC2B648" w14:textId="77777777" w:rsidR="00B201D3" w:rsidRPr="0069461D" w:rsidRDefault="009855E8">
                <w:pPr>
                  <w:jc w:val="right"/>
                  <w:rPr>
                    <w:rFonts w:ascii="宋体" w:hAnsi="宋体"/>
                  </w:rPr>
                </w:pPr>
                <w:r w:rsidRPr="0069461D">
                  <w:rPr>
                    <w:rFonts w:ascii="宋体" w:hAnsi="宋体"/>
                  </w:rPr>
                  <w:t xml:space="preserve">0 </w:t>
                </w:r>
              </w:p>
            </w:tc>
            <w:tc>
              <w:tcPr>
                <w:tcW w:w="1470" w:type="dxa"/>
                <w:vAlign w:val="center"/>
              </w:tcPr>
              <w:p w14:paraId="21D7A24E" w14:textId="77777777" w:rsidR="00B201D3" w:rsidRPr="0069461D" w:rsidRDefault="009855E8">
                <w:pPr>
                  <w:jc w:val="right"/>
                  <w:rPr>
                    <w:rFonts w:ascii="宋体" w:hAnsi="宋体"/>
                  </w:rPr>
                </w:pPr>
                <w:r w:rsidRPr="0069461D">
                  <w:rPr>
                    <w:rFonts w:ascii="宋体" w:hAnsi="宋体"/>
                  </w:rPr>
                  <w:t>0</w:t>
                </w:r>
              </w:p>
            </w:tc>
            <w:tc>
              <w:tcPr>
                <w:tcW w:w="1470" w:type="dxa"/>
                <w:vAlign w:val="center"/>
              </w:tcPr>
              <w:p w14:paraId="687A3C03" w14:textId="77777777" w:rsidR="00B201D3" w:rsidRPr="0069461D" w:rsidRDefault="009855E8">
                <w:pPr>
                  <w:jc w:val="right"/>
                  <w:rPr>
                    <w:rFonts w:ascii="宋体" w:hAnsi="宋体"/>
                  </w:rPr>
                </w:pPr>
                <w:r w:rsidRPr="0069461D">
                  <w:rPr>
                    <w:rFonts w:ascii="宋体" w:hAnsi="宋体"/>
                  </w:rPr>
                  <w:t xml:space="preserve">0 </w:t>
                </w:r>
              </w:p>
            </w:tc>
            <w:tc>
              <w:tcPr>
                <w:tcW w:w="1573" w:type="dxa"/>
                <w:vAlign w:val="center"/>
              </w:tcPr>
              <w:p w14:paraId="345D2957" w14:textId="77777777" w:rsidR="00B201D3" w:rsidRPr="0069461D" w:rsidRDefault="009855E8">
                <w:pPr>
                  <w:rPr>
                    <w:rFonts w:ascii="宋体" w:hAnsi="宋体"/>
                  </w:rPr>
                </w:pPr>
                <w:r w:rsidRPr="0069461D">
                  <w:rPr>
                    <w:rFonts w:ascii="宋体" w:hAnsi="宋体" w:hint="eastAsia"/>
                  </w:rPr>
                  <w:t>-</w:t>
                </w:r>
              </w:p>
            </w:tc>
          </w:tr>
          <w:tr w:rsidR="00B201D3" w14:paraId="3DD6D7D4" w14:textId="77777777">
            <w:tc>
              <w:tcPr>
                <w:tcW w:w="1560" w:type="dxa"/>
                <w:vAlign w:val="center"/>
              </w:tcPr>
              <w:p w14:paraId="44236BCC" w14:textId="77777777" w:rsidR="00B201D3" w:rsidRDefault="009855E8">
                <w:r>
                  <w:rPr>
                    <w:rFonts w:hint="eastAsia"/>
                  </w:rPr>
                  <w:t>王九红</w:t>
                </w:r>
              </w:p>
            </w:tc>
            <w:tc>
              <w:tcPr>
                <w:tcW w:w="1954" w:type="dxa"/>
              </w:tcPr>
              <w:p w14:paraId="1DEB44A8" w14:textId="77777777" w:rsidR="00B201D3" w:rsidRDefault="009855E8">
                <w:r>
                  <w:rPr>
                    <w:rFonts w:hint="eastAsia"/>
                  </w:rPr>
                  <w:t>高管</w:t>
                </w:r>
              </w:p>
            </w:tc>
            <w:tc>
              <w:tcPr>
                <w:tcW w:w="1471" w:type="dxa"/>
                <w:vAlign w:val="center"/>
              </w:tcPr>
              <w:p w14:paraId="65B5A8D0" w14:textId="77777777" w:rsidR="00B201D3" w:rsidRPr="0069461D" w:rsidRDefault="009855E8">
                <w:pPr>
                  <w:jc w:val="right"/>
                  <w:rPr>
                    <w:rFonts w:ascii="宋体" w:hAnsi="宋体"/>
                  </w:rPr>
                </w:pPr>
                <w:r w:rsidRPr="0069461D">
                  <w:rPr>
                    <w:rFonts w:ascii="宋体" w:hAnsi="宋体"/>
                  </w:rPr>
                  <w:t xml:space="preserve">80,000 </w:t>
                </w:r>
              </w:p>
            </w:tc>
            <w:tc>
              <w:tcPr>
                <w:tcW w:w="1470" w:type="dxa"/>
                <w:vAlign w:val="center"/>
              </w:tcPr>
              <w:p w14:paraId="051A0DDB" w14:textId="77777777" w:rsidR="00B201D3" w:rsidRPr="0069461D" w:rsidRDefault="009855E8">
                <w:pPr>
                  <w:jc w:val="right"/>
                  <w:rPr>
                    <w:rFonts w:ascii="宋体" w:hAnsi="宋体"/>
                  </w:rPr>
                </w:pPr>
                <w:r w:rsidRPr="0069461D">
                  <w:rPr>
                    <w:rFonts w:ascii="宋体" w:hAnsi="宋体"/>
                  </w:rPr>
                  <w:t>120,800</w:t>
                </w:r>
              </w:p>
            </w:tc>
            <w:tc>
              <w:tcPr>
                <w:tcW w:w="1470" w:type="dxa"/>
                <w:vAlign w:val="center"/>
              </w:tcPr>
              <w:p w14:paraId="53923950" w14:textId="77777777" w:rsidR="00B201D3" w:rsidRPr="0069461D" w:rsidRDefault="009855E8">
                <w:pPr>
                  <w:jc w:val="right"/>
                  <w:rPr>
                    <w:rFonts w:ascii="宋体" w:hAnsi="宋体"/>
                  </w:rPr>
                </w:pPr>
                <w:r w:rsidRPr="0069461D">
                  <w:rPr>
                    <w:rFonts w:ascii="宋体" w:hAnsi="宋体"/>
                  </w:rPr>
                  <w:t xml:space="preserve">40,800 </w:t>
                </w:r>
              </w:p>
            </w:tc>
            <w:tc>
              <w:tcPr>
                <w:tcW w:w="1573" w:type="dxa"/>
                <w:vAlign w:val="center"/>
              </w:tcPr>
              <w:p w14:paraId="2BAD9917" w14:textId="77777777" w:rsidR="00B201D3" w:rsidRPr="0069461D" w:rsidRDefault="009855E8">
                <w:pPr>
                  <w:rPr>
                    <w:rFonts w:ascii="宋体" w:hAnsi="宋体"/>
                  </w:rPr>
                </w:pPr>
                <w:r w:rsidRPr="0069461D">
                  <w:rPr>
                    <w:rFonts w:ascii="宋体" w:hAnsi="宋体" w:hint="eastAsia"/>
                  </w:rPr>
                  <w:t>股票期权行权</w:t>
                </w:r>
              </w:p>
            </w:tc>
          </w:tr>
          <w:tr w:rsidR="00B201D3" w14:paraId="3067A51F" w14:textId="77777777">
            <w:tc>
              <w:tcPr>
                <w:tcW w:w="1560" w:type="dxa"/>
                <w:vAlign w:val="center"/>
              </w:tcPr>
              <w:p w14:paraId="7622BD00" w14:textId="77777777" w:rsidR="00B201D3" w:rsidRDefault="009855E8">
                <w:r>
                  <w:rPr>
                    <w:rFonts w:hint="eastAsia"/>
                  </w:rPr>
                  <w:t>张</w:t>
                </w:r>
                <w:r>
                  <w:rPr>
                    <w:rFonts w:hint="eastAsia"/>
                  </w:rPr>
                  <w:t xml:space="preserve"> </w:t>
                </w:r>
                <w:r>
                  <w:t xml:space="preserve">   </w:t>
                </w:r>
                <w:r>
                  <w:rPr>
                    <w:rFonts w:hint="eastAsia"/>
                  </w:rPr>
                  <w:t>磊</w:t>
                </w:r>
              </w:p>
            </w:tc>
            <w:tc>
              <w:tcPr>
                <w:tcW w:w="1954" w:type="dxa"/>
              </w:tcPr>
              <w:p w14:paraId="2DB992CD" w14:textId="77777777" w:rsidR="00B201D3" w:rsidRDefault="009855E8">
                <w:r>
                  <w:rPr>
                    <w:rFonts w:hint="eastAsia"/>
                  </w:rPr>
                  <w:t>高管</w:t>
                </w:r>
              </w:p>
            </w:tc>
            <w:tc>
              <w:tcPr>
                <w:tcW w:w="1471" w:type="dxa"/>
                <w:vAlign w:val="center"/>
              </w:tcPr>
              <w:p w14:paraId="4341883B" w14:textId="77777777" w:rsidR="00B201D3" w:rsidRPr="0069461D" w:rsidRDefault="009855E8">
                <w:pPr>
                  <w:jc w:val="right"/>
                  <w:rPr>
                    <w:rFonts w:ascii="宋体" w:hAnsi="宋体"/>
                  </w:rPr>
                </w:pPr>
                <w:r w:rsidRPr="0069461D">
                  <w:rPr>
                    <w:rFonts w:ascii="宋体" w:hAnsi="宋体"/>
                  </w:rPr>
                  <w:t xml:space="preserve">0 </w:t>
                </w:r>
              </w:p>
            </w:tc>
            <w:tc>
              <w:tcPr>
                <w:tcW w:w="1470" w:type="dxa"/>
                <w:vAlign w:val="center"/>
              </w:tcPr>
              <w:p w14:paraId="44141D65" w14:textId="77777777" w:rsidR="00B201D3" w:rsidRPr="0069461D" w:rsidRDefault="009855E8">
                <w:pPr>
                  <w:jc w:val="right"/>
                  <w:rPr>
                    <w:rFonts w:ascii="宋体" w:hAnsi="宋体"/>
                  </w:rPr>
                </w:pPr>
                <w:r w:rsidRPr="0069461D">
                  <w:rPr>
                    <w:rFonts w:ascii="宋体" w:hAnsi="宋体"/>
                  </w:rPr>
                  <w:t>0</w:t>
                </w:r>
              </w:p>
            </w:tc>
            <w:tc>
              <w:tcPr>
                <w:tcW w:w="1470" w:type="dxa"/>
                <w:vAlign w:val="center"/>
              </w:tcPr>
              <w:p w14:paraId="52B87CFD" w14:textId="77777777" w:rsidR="00B201D3" w:rsidRPr="0069461D" w:rsidRDefault="009855E8">
                <w:pPr>
                  <w:jc w:val="right"/>
                  <w:rPr>
                    <w:rFonts w:ascii="宋体" w:hAnsi="宋体"/>
                  </w:rPr>
                </w:pPr>
                <w:r w:rsidRPr="0069461D">
                  <w:rPr>
                    <w:rFonts w:ascii="宋体" w:hAnsi="宋体"/>
                  </w:rPr>
                  <w:t xml:space="preserve">0 </w:t>
                </w:r>
              </w:p>
            </w:tc>
            <w:tc>
              <w:tcPr>
                <w:tcW w:w="1573" w:type="dxa"/>
                <w:vAlign w:val="center"/>
              </w:tcPr>
              <w:p w14:paraId="0A9FD2D3" w14:textId="77777777" w:rsidR="00B201D3" w:rsidRPr="0069461D" w:rsidRDefault="009855E8">
                <w:pPr>
                  <w:rPr>
                    <w:rFonts w:ascii="宋体" w:hAnsi="宋体"/>
                  </w:rPr>
                </w:pPr>
                <w:r w:rsidRPr="0069461D">
                  <w:rPr>
                    <w:rFonts w:ascii="宋体" w:hAnsi="宋体"/>
                  </w:rPr>
                  <w:t>-</w:t>
                </w:r>
              </w:p>
            </w:tc>
          </w:tr>
          <w:tr w:rsidR="00B201D3" w14:paraId="56307608" w14:textId="77777777">
            <w:tc>
              <w:tcPr>
                <w:tcW w:w="1560" w:type="dxa"/>
                <w:vAlign w:val="center"/>
              </w:tcPr>
              <w:p w14:paraId="13366025" w14:textId="77777777" w:rsidR="00B201D3" w:rsidRDefault="009855E8">
                <w:r>
                  <w:rPr>
                    <w:rFonts w:hint="eastAsia"/>
                  </w:rPr>
                  <w:t>祝庆瑞</w:t>
                </w:r>
              </w:p>
            </w:tc>
            <w:tc>
              <w:tcPr>
                <w:tcW w:w="1954" w:type="dxa"/>
              </w:tcPr>
              <w:p w14:paraId="281322AA" w14:textId="77777777" w:rsidR="00B201D3" w:rsidRDefault="009855E8">
                <w:r>
                  <w:rPr>
                    <w:rFonts w:hint="eastAsia"/>
                  </w:rPr>
                  <w:t>董事（离任）</w:t>
                </w:r>
              </w:p>
            </w:tc>
            <w:tc>
              <w:tcPr>
                <w:tcW w:w="1471" w:type="dxa"/>
                <w:vAlign w:val="center"/>
              </w:tcPr>
              <w:p w14:paraId="0125A895" w14:textId="77777777" w:rsidR="00B201D3" w:rsidRPr="0069461D" w:rsidRDefault="009855E8">
                <w:pPr>
                  <w:jc w:val="right"/>
                  <w:rPr>
                    <w:rFonts w:ascii="宋体" w:hAnsi="宋体"/>
                  </w:rPr>
                </w:pPr>
                <w:r w:rsidRPr="0069461D">
                  <w:rPr>
                    <w:rFonts w:ascii="宋体" w:hAnsi="宋体"/>
                  </w:rPr>
                  <w:t xml:space="preserve">0 </w:t>
                </w:r>
              </w:p>
            </w:tc>
            <w:tc>
              <w:tcPr>
                <w:tcW w:w="1470" w:type="dxa"/>
                <w:vAlign w:val="center"/>
              </w:tcPr>
              <w:p w14:paraId="1CC100EC" w14:textId="77777777" w:rsidR="00B201D3" w:rsidRPr="0069461D" w:rsidRDefault="009855E8">
                <w:pPr>
                  <w:jc w:val="right"/>
                  <w:rPr>
                    <w:rFonts w:ascii="宋体" w:hAnsi="宋体"/>
                  </w:rPr>
                </w:pPr>
                <w:r w:rsidRPr="0069461D">
                  <w:rPr>
                    <w:rFonts w:ascii="宋体" w:hAnsi="宋体"/>
                  </w:rPr>
                  <w:t>0</w:t>
                </w:r>
              </w:p>
            </w:tc>
            <w:tc>
              <w:tcPr>
                <w:tcW w:w="1470" w:type="dxa"/>
                <w:vAlign w:val="center"/>
              </w:tcPr>
              <w:p w14:paraId="334D1855" w14:textId="77777777" w:rsidR="00B201D3" w:rsidRPr="0069461D" w:rsidRDefault="009855E8">
                <w:pPr>
                  <w:jc w:val="right"/>
                  <w:rPr>
                    <w:rFonts w:ascii="宋体" w:hAnsi="宋体"/>
                  </w:rPr>
                </w:pPr>
                <w:r w:rsidRPr="0069461D">
                  <w:rPr>
                    <w:rFonts w:ascii="宋体" w:hAnsi="宋体"/>
                  </w:rPr>
                  <w:t xml:space="preserve">0 </w:t>
                </w:r>
              </w:p>
            </w:tc>
            <w:tc>
              <w:tcPr>
                <w:tcW w:w="1573" w:type="dxa"/>
              </w:tcPr>
              <w:p w14:paraId="2FAB3582" w14:textId="77777777" w:rsidR="00B201D3" w:rsidRPr="0069461D" w:rsidRDefault="009855E8">
                <w:pPr>
                  <w:rPr>
                    <w:rFonts w:ascii="宋体" w:hAnsi="宋体"/>
                  </w:rPr>
                </w:pPr>
                <w:r w:rsidRPr="0069461D">
                  <w:rPr>
                    <w:rFonts w:ascii="宋体" w:hAnsi="宋体"/>
                  </w:rPr>
                  <w:t>-</w:t>
                </w:r>
              </w:p>
            </w:tc>
          </w:tr>
          <w:tr w:rsidR="00B201D3" w14:paraId="374198A1" w14:textId="77777777">
            <w:tc>
              <w:tcPr>
                <w:tcW w:w="1560" w:type="dxa"/>
                <w:vAlign w:val="center"/>
              </w:tcPr>
              <w:p w14:paraId="1C2D0323" w14:textId="77777777" w:rsidR="00B201D3" w:rsidRDefault="009855E8">
                <w:r>
                  <w:rPr>
                    <w:rFonts w:hint="eastAsia"/>
                  </w:rPr>
                  <w:lastRenderedPageBreak/>
                  <w:t>田</w:t>
                </w:r>
                <w:r>
                  <w:rPr>
                    <w:rFonts w:hint="eastAsia"/>
                  </w:rPr>
                  <w:t xml:space="preserve"> </w:t>
                </w:r>
                <w:r>
                  <w:t xml:space="preserve">   </w:t>
                </w:r>
                <w:r>
                  <w:rPr>
                    <w:rFonts w:hint="eastAsia"/>
                  </w:rPr>
                  <w:t>会</w:t>
                </w:r>
              </w:p>
            </w:tc>
            <w:tc>
              <w:tcPr>
                <w:tcW w:w="1954" w:type="dxa"/>
              </w:tcPr>
              <w:p w14:paraId="05DE1901" w14:textId="77777777" w:rsidR="00B201D3" w:rsidRDefault="009855E8">
                <w:r>
                  <w:rPr>
                    <w:rFonts w:hint="eastAsia"/>
                  </w:rPr>
                  <w:t>独立董事（离任）</w:t>
                </w:r>
              </w:p>
            </w:tc>
            <w:tc>
              <w:tcPr>
                <w:tcW w:w="1471" w:type="dxa"/>
                <w:vAlign w:val="center"/>
              </w:tcPr>
              <w:p w14:paraId="3471F330" w14:textId="77777777" w:rsidR="00B201D3" w:rsidRPr="0069461D" w:rsidRDefault="009855E8">
                <w:pPr>
                  <w:jc w:val="right"/>
                  <w:rPr>
                    <w:rFonts w:ascii="宋体" w:hAnsi="宋体"/>
                  </w:rPr>
                </w:pPr>
                <w:r w:rsidRPr="0069461D">
                  <w:rPr>
                    <w:rFonts w:ascii="宋体" w:hAnsi="宋体"/>
                  </w:rPr>
                  <w:t xml:space="preserve">0 </w:t>
                </w:r>
              </w:p>
            </w:tc>
            <w:tc>
              <w:tcPr>
                <w:tcW w:w="1470" w:type="dxa"/>
                <w:vAlign w:val="center"/>
              </w:tcPr>
              <w:p w14:paraId="128B3848" w14:textId="77777777" w:rsidR="00B201D3" w:rsidRPr="0069461D" w:rsidRDefault="009855E8">
                <w:pPr>
                  <w:jc w:val="right"/>
                  <w:rPr>
                    <w:rFonts w:ascii="宋体" w:hAnsi="宋体"/>
                  </w:rPr>
                </w:pPr>
                <w:r w:rsidRPr="0069461D">
                  <w:rPr>
                    <w:rFonts w:ascii="宋体" w:hAnsi="宋体"/>
                  </w:rPr>
                  <w:t>0</w:t>
                </w:r>
              </w:p>
            </w:tc>
            <w:tc>
              <w:tcPr>
                <w:tcW w:w="1470" w:type="dxa"/>
                <w:vAlign w:val="center"/>
              </w:tcPr>
              <w:p w14:paraId="01FACC58" w14:textId="77777777" w:rsidR="00B201D3" w:rsidRPr="0069461D" w:rsidRDefault="009855E8">
                <w:pPr>
                  <w:jc w:val="right"/>
                  <w:rPr>
                    <w:rFonts w:ascii="宋体" w:hAnsi="宋体"/>
                  </w:rPr>
                </w:pPr>
                <w:r w:rsidRPr="0069461D">
                  <w:rPr>
                    <w:rFonts w:ascii="宋体" w:hAnsi="宋体"/>
                  </w:rPr>
                  <w:t xml:space="preserve">0 </w:t>
                </w:r>
              </w:p>
            </w:tc>
            <w:tc>
              <w:tcPr>
                <w:tcW w:w="1573" w:type="dxa"/>
              </w:tcPr>
              <w:p w14:paraId="0D7E0990" w14:textId="77777777" w:rsidR="00B201D3" w:rsidRPr="0069461D" w:rsidRDefault="009855E8">
                <w:pPr>
                  <w:rPr>
                    <w:rFonts w:ascii="宋体" w:hAnsi="宋体"/>
                  </w:rPr>
                </w:pPr>
                <w:r w:rsidRPr="0069461D">
                  <w:rPr>
                    <w:rFonts w:ascii="宋体" w:hAnsi="宋体"/>
                  </w:rPr>
                  <w:t>-</w:t>
                </w:r>
              </w:p>
            </w:tc>
          </w:tr>
          <w:tr w:rsidR="00B201D3" w14:paraId="4952393F" w14:textId="77777777">
            <w:tc>
              <w:tcPr>
                <w:tcW w:w="1560" w:type="dxa"/>
                <w:vAlign w:val="center"/>
              </w:tcPr>
              <w:p w14:paraId="6A89359F" w14:textId="77777777" w:rsidR="00B201D3" w:rsidRDefault="009855E8">
                <w:r>
                  <w:rPr>
                    <w:rFonts w:hint="eastAsia"/>
                  </w:rPr>
                  <w:t>蔡</w:t>
                </w:r>
                <w:r>
                  <w:rPr>
                    <w:rFonts w:hint="eastAsia"/>
                  </w:rPr>
                  <w:t xml:space="preserve"> </w:t>
                </w:r>
                <w:r>
                  <w:t xml:space="preserve">   </w:t>
                </w:r>
                <w:r>
                  <w:rPr>
                    <w:rFonts w:hint="eastAsia"/>
                  </w:rPr>
                  <w:t>昌</w:t>
                </w:r>
              </w:p>
            </w:tc>
            <w:tc>
              <w:tcPr>
                <w:tcW w:w="1954" w:type="dxa"/>
              </w:tcPr>
              <w:p w14:paraId="2CDB0C80" w14:textId="77777777" w:rsidR="00B201D3" w:rsidRDefault="009855E8">
                <w:r>
                  <w:rPr>
                    <w:rFonts w:hint="eastAsia"/>
                  </w:rPr>
                  <w:t>独立董事（离任）</w:t>
                </w:r>
              </w:p>
            </w:tc>
            <w:tc>
              <w:tcPr>
                <w:tcW w:w="1471" w:type="dxa"/>
                <w:vAlign w:val="center"/>
              </w:tcPr>
              <w:p w14:paraId="6A7B4804" w14:textId="77777777" w:rsidR="00B201D3" w:rsidRPr="0069461D" w:rsidRDefault="009855E8">
                <w:pPr>
                  <w:jc w:val="right"/>
                  <w:rPr>
                    <w:rFonts w:ascii="宋体" w:hAnsi="宋体"/>
                  </w:rPr>
                </w:pPr>
                <w:r w:rsidRPr="0069461D">
                  <w:rPr>
                    <w:rFonts w:ascii="宋体" w:hAnsi="宋体"/>
                  </w:rPr>
                  <w:t xml:space="preserve">0 </w:t>
                </w:r>
              </w:p>
            </w:tc>
            <w:tc>
              <w:tcPr>
                <w:tcW w:w="1470" w:type="dxa"/>
                <w:vAlign w:val="center"/>
              </w:tcPr>
              <w:p w14:paraId="1686A02A" w14:textId="77777777" w:rsidR="00B201D3" w:rsidRPr="0069461D" w:rsidRDefault="009855E8">
                <w:pPr>
                  <w:jc w:val="right"/>
                  <w:rPr>
                    <w:rFonts w:ascii="宋体" w:hAnsi="宋体"/>
                  </w:rPr>
                </w:pPr>
                <w:r w:rsidRPr="0069461D">
                  <w:rPr>
                    <w:rFonts w:ascii="宋体" w:hAnsi="宋体"/>
                  </w:rPr>
                  <w:t>0</w:t>
                </w:r>
              </w:p>
            </w:tc>
            <w:tc>
              <w:tcPr>
                <w:tcW w:w="1470" w:type="dxa"/>
                <w:vAlign w:val="center"/>
              </w:tcPr>
              <w:p w14:paraId="45BB3583" w14:textId="77777777" w:rsidR="00B201D3" w:rsidRPr="0069461D" w:rsidRDefault="009855E8">
                <w:pPr>
                  <w:jc w:val="right"/>
                  <w:rPr>
                    <w:rFonts w:ascii="宋体" w:hAnsi="宋体"/>
                  </w:rPr>
                </w:pPr>
                <w:r w:rsidRPr="0069461D">
                  <w:rPr>
                    <w:rFonts w:ascii="宋体" w:hAnsi="宋体"/>
                  </w:rPr>
                  <w:t xml:space="preserve">0 </w:t>
                </w:r>
              </w:p>
            </w:tc>
            <w:tc>
              <w:tcPr>
                <w:tcW w:w="1573" w:type="dxa"/>
              </w:tcPr>
              <w:p w14:paraId="3A00BCA8" w14:textId="77777777" w:rsidR="00B201D3" w:rsidRPr="0069461D" w:rsidRDefault="009855E8">
                <w:pPr>
                  <w:rPr>
                    <w:rFonts w:ascii="宋体" w:hAnsi="宋体"/>
                  </w:rPr>
                </w:pPr>
                <w:r w:rsidRPr="0069461D">
                  <w:rPr>
                    <w:rFonts w:ascii="宋体" w:hAnsi="宋体"/>
                  </w:rPr>
                  <w:t>-</w:t>
                </w:r>
              </w:p>
            </w:tc>
          </w:tr>
          <w:tr w:rsidR="00B201D3" w14:paraId="08035206" w14:textId="77777777">
            <w:tc>
              <w:tcPr>
                <w:tcW w:w="1560" w:type="dxa"/>
                <w:vAlign w:val="center"/>
              </w:tcPr>
              <w:p w14:paraId="726AF2E9" w14:textId="77777777" w:rsidR="00B201D3" w:rsidRDefault="009855E8">
                <w:r>
                  <w:rPr>
                    <w:rFonts w:hint="eastAsia"/>
                  </w:rPr>
                  <w:t>潘昭国</w:t>
                </w:r>
              </w:p>
            </w:tc>
            <w:tc>
              <w:tcPr>
                <w:tcW w:w="1954" w:type="dxa"/>
              </w:tcPr>
              <w:p w14:paraId="0BF5CA5C" w14:textId="77777777" w:rsidR="00B201D3" w:rsidRDefault="009855E8">
                <w:r>
                  <w:rPr>
                    <w:rFonts w:hint="eastAsia"/>
                  </w:rPr>
                  <w:t>独立董事（离任）</w:t>
                </w:r>
              </w:p>
            </w:tc>
            <w:tc>
              <w:tcPr>
                <w:tcW w:w="1471" w:type="dxa"/>
                <w:vAlign w:val="center"/>
              </w:tcPr>
              <w:p w14:paraId="6F60ECAF" w14:textId="77777777" w:rsidR="00B201D3" w:rsidRPr="0069461D" w:rsidRDefault="009855E8">
                <w:pPr>
                  <w:jc w:val="right"/>
                  <w:rPr>
                    <w:rFonts w:ascii="宋体" w:hAnsi="宋体"/>
                  </w:rPr>
                </w:pPr>
                <w:r w:rsidRPr="0069461D">
                  <w:rPr>
                    <w:rFonts w:ascii="宋体" w:hAnsi="宋体"/>
                  </w:rPr>
                  <w:t xml:space="preserve">0 </w:t>
                </w:r>
              </w:p>
            </w:tc>
            <w:tc>
              <w:tcPr>
                <w:tcW w:w="1470" w:type="dxa"/>
                <w:vAlign w:val="center"/>
              </w:tcPr>
              <w:p w14:paraId="7464D76D" w14:textId="77777777" w:rsidR="00B201D3" w:rsidRPr="0069461D" w:rsidRDefault="009855E8">
                <w:pPr>
                  <w:jc w:val="right"/>
                  <w:rPr>
                    <w:rFonts w:ascii="宋体" w:hAnsi="宋体"/>
                  </w:rPr>
                </w:pPr>
                <w:r w:rsidRPr="0069461D">
                  <w:rPr>
                    <w:rFonts w:ascii="宋体" w:hAnsi="宋体"/>
                  </w:rPr>
                  <w:t>0</w:t>
                </w:r>
              </w:p>
            </w:tc>
            <w:tc>
              <w:tcPr>
                <w:tcW w:w="1470" w:type="dxa"/>
                <w:vAlign w:val="center"/>
              </w:tcPr>
              <w:p w14:paraId="5BA9797E" w14:textId="77777777" w:rsidR="00B201D3" w:rsidRPr="0069461D" w:rsidRDefault="009855E8">
                <w:pPr>
                  <w:jc w:val="right"/>
                  <w:rPr>
                    <w:rFonts w:ascii="宋体" w:hAnsi="宋体"/>
                  </w:rPr>
                </w:pPr>
                <w:r w:rsidRPr="0069461D">
                  <w:rPr>
                    <w:rFonts w:ascii="宋体" w:hAnsi="宋体"/>
                  </w:rPr>
                  <w:t xml:space="preserve">0 </w:t>
                </w:r>
              </w:p>
            </w:tc>
            <w:tc>
              <w:tcPr>
                <w:tcW w:w="1573" w:type="dxa"/>
              </w:tcPr>
              <w:p w14:paraId="0FA6AB39" w14:textId="77777777" w:rsidR="00B201D3" w:rsidRPr="0069461D" w:rsidRDefault="009855E8">
                <w:pPr>
                  <w:rPr>
                    <w:rFonts w:ascii="宋体" w:hAnsi="宋体"/>
                  </w:rPr>
                </w:pPr>
                <w:r w:rsidRPr="0069461D">
                  <w:rPr>
                    <w:rFonts w:ascii="宋体" w:hAnsi="宋体"/>
                  </w:rPr>
                  <w:t>-</w:t>
                </w:r>
              </w:p>
            </w:tc>
          </w:tr>
          <w:tr w:rsidR="00B201D3" w14:paraId="6EDCDBF7" w14:textId="77777777">
            <w:tc>
              <w:tcPr>
                <w:tcW w:w="1560" w:type="dxa"/>
                <w:vAlign w:val="center"/>
              </w:tcPr>
              <w:p w14:paraId="026E5905" w14:textId="77777777" w:rsidR="00B201D3" w:rsidRDefault="009855E8">
                <w:r>
                  <w:rPr>
                    <w:rFonts w:hint="eastAsia"/>
                  </w:rPr>
                  <w:t>秦言坡</w:t>
                </w:r>
              </w:p>
            </w:tc>
            <w:tc>
              <w:tcPr>
                <w:tcW w:w="1954" w:type="dxa"/>
              </w:tcPr>
              <w:p w14:paraId="5E59C811" w14:textId="77777777" w:rsidR="00B201D3" w:rsidRDefault="009855E8">
                <w:r>
                  <w:rPr>
                    <w:rFonts w:hint="eastAsia"/>
                  </w:rPr>
                  <w:t>监事（离任）</w:t>
                </w:r>
              </w:p>
            </w:tc>
            <w:tc>
              <w:tcPr>
                <w:tcW w:w="1471" w:type="dxa"/>
                <w:vAlign w:val="center"/>
              </w:tcPr>
              <w:p w14:paraId="355D174F" w14:textId="77777777" w:rsidR="00B201D3" w:rsidRPr="0069461D" w:rsidRDefault="009855E8">
                <w:pPr>
                  <w:jc w:val="right"/>
                  <w:rPr>
                    <w:rFonts w:ascii="宋体" w:hAnsi="宋体"/>
                  </w:rPr>
                </w:pPr>
                <w:r w:rsidRPr="0069461D">
                  <w:rPr>
                    <w:rFonts w:ascii="宋体" w:hAnsi="宋体"/>
                  </w:rPr>
                  <w:t xml:space="preserve">0 </w:t>
                </w:r>
              </w:p>
            </w:tc>
            <w:tc>
              <w:tcPr>
                <w:tcW w:w="1470" w:type="dxa"/>
                <w:vAlign w:val="center"/>
              </w:tcPr>
              <w:p w14:paraId="4F540817" w14:textId="77777777" w:rsidR="00B201D3" w:rsidRPr="0069461D" w:rsidRDefault="009855E8">
                <w:pPr>
                  <w:jc w:val="right"/>
                  <w:rPr>
                    <w:rFonts w:ascii="宋体" w:hAnsi="宋体"/>
                  </w:rPr>
                </w:pPr>
                <w:r w:rsidRPr="0069461D">
                  <w:rPr>
                    <w:rFonts w:ascii="宋体" w:hAnsi="宋体"/>
                  </w:rPr>
                  <w:t>0</w:t>
                </w:r>
              </w:p>
            </w:tc>
            <w:tc>
              <w:tcPr>
                <w:tcW w:w="1470" w:type="dxa"/>
                <w:vAlign w:val="center"/>
              </w:tcPr>
              <w:p w14:paraId="65C744C0" w14:textId="77777777" w:rsidR="00B201D3" w:rsidRPr="0069461D" w:rsidRDefault="009855E8">
                <w:pPr>
                  <w:jc w:val="right"/>
                  <w:rPr>
                    <w:rFonts w:ascii="宋体" w:hAnsi="宋体"/>
                  </w:rPr>
                </w:pPr>
                <w:r w:rsidRPr="0069461D">
                  <w:rPr>
                    <w:rFonts w:ascii="宋体" w:hAnsi="宋体"/>
                  </w:rPr>
                  <w:t xml:space="preserve">0 </w:t>
                </w:r>
              </w:p>
            </w:tc>
            <w:tc>
              <w:tcPr>
                <w:tcW w:w="1573" w:type="dxa"/>
              </w:tcPr>
              <w:p w14:paraId="28A57742" w14:textId="77777777" w:rsidR="00B201D3" w:rsidRPr="0069461D" w:rsidRDefault="009855E8">
                <w:pPr>
                  <w:rPr>
                    <w:rFonts w:ascii="宋体" w:hAnsi="宋体"/>
                  </w:rPr>
                </w:pPr>
                <w:r w:rsidRPr="0069461D">
                  <w:rPr>
                    <w:rFonts w:ascii="宋体" w:hAnsi="宋体"/>
                  </w:rPr>
                  <w:t>-</w:t>
                </w:r>
              </w:p>
            </w:tc>
          </w:tr>
          <w:tr w:rsidR="00B201D3" w14:paraId="6A2C490F" w14:textId="77777777">
            <w:tc>
              <w:tcPr>
                <w:tcW w:w="1560" w:type="dxa"/>
                <w:vAlign w:val="center"/>
              </w:tcPr>
              <w:p w14:paraId="29EF8D64" w14:textId="77777777" w:rsidR="00B201D3" w:rsidRDefault="009855E8">
                <w:r>
                  <w:rPr>
                    <w:rFonts w:hint="eastAsia"/>
                  </w:rPr>
                  <w:t>邓</w:t>
                </w:r>
                <w:r>
                  <w:rPr>
                    <w:rFonts w:hint="eastAsia"/>
                  </w:rPr>
                  <w:t xml:space="preserve"> </w:t>
                </w:r>
                <w:r>
                  <w:t xml:space="preserve">   </w:t>
                </w:r>
                <w:r>
                  <w:rPr>
                    <w:rFonts w:hint="eastAsia"/>
                  </w:rPr>
                  <w:t>辉</w:t>
                </w:r>
              </w:p>
            </w:tc>
            <w:tc>
              <w:tcPr>
                <w:tcW w:w="1954" w:type="dxa"/>
              </w:tcPr>
              <w:p w14:paraId="660FF624" w14:textId="77777777" w:rsidR="00B201D3" w:rsidRDefault="009855E8">
                <w:r>
                  <w:rPr>
                    <w:rFonts w:hint="eastAsia"/>
                  </w:rPr>
                  <w:t>监事（离任）</w:t>
                </w:r>
              </w:p>
            </w:tc>
            <w:tc>
              <w:tcPr>
                <w:tcW w:w="1471" w:type="dxa"/>
                <w:vAlign w:val="center"/>
              </w:tcPr>
              <w:p w14:paraId="0D62A17E" w14:textId="77777777" w:rsidR="00B201D3" w:rsidRPr="0069461D" w:rsidRDefault="009855E8">
                <w:pPr>
                  <w:jc w:val="right"/>
                  <w:rPr>
                    <w:rFonts w:ascii="宋体" w:hAnsi="宋体"/>
                  </w:rPr>
                </w:pPr>
                <w:r w:rsidRPr="0069461D">
                  <w:rPr>
                    <w:rFonts w:ascii="宋体" w:hAnsi="宋体"/>
                  </w:rPr>
                  <w:t xml:space="preserve">0 </w:t>
                </w:r>
              </w:p>
            </w:tc>
            <w:tc>
              <w:tcPr>
                <w:tcW w:w="1470" w:type="dxa"/>
                <w:vAlign w:val="center"/>
              </w:tcPr>
              <w:p w14:paraId="1BDA0D28" w14:textId="77777777" w:rsidR="00B201D3" w:rsidRPr="0069461D" w:rsidRDefault="009855E8">
                <w:pPr>
                  <w:jc w:val="right"/>
                  <w:rPr>
                    <w:rFonts w:ascii="宋体" w:hAnsi="宋体"/>
                  </w:rPr>
                </w:pPr>
                <w:r w:rsidRPr="0069461D">
                  <w:rPr>
                    <w:rFonts w:ascii="宋体" w:hAnsi="宋体"/>
                  </w:rPr>
                  <w:t>0</w:t>
                </w:r>
              </w:p>
            </w:tc>
            <w:tc>
              <w:tcPr>
                <w:tcW w:w="1470" w:type="dxa"/>
                <w:vAlign w:val="center"/>
              </w:tcPr>
              <w:p w14:paraId="17377BB8" w14:textId="77777777" w:rsidR="00B201D3" w:rsidRPr="0069461D" w:rsidRDefault="009855E8">
                <w:pPr>
                  <w:jc w:val="right"/>
                  <w:rPr>
                    <w:rFonts w:ascii="宋体" w:hAnsi="宋体"/>
                  </w:rPr>
                </w:pPr>
                <w:r w:rsidRPr="0069461D">
                  <w:rPr>
                    <w:rFonts w:ascii="宋体" w:hAnsi="宋体"/>
                  </w:rPr>
                  <w:t xml:space="preserve">0 </w:t>
                </w:r>
              </w:p>
            </w:tc>
            <w:tc>
              <w:tcPr>
                <w:tcW w:w="1573" w:type="dxa"/>
              </w:tcPr>
              <w:p w14:paraId="4692008F" w14:textId="77777777" w:rsidR="00B201D3" w:rsidRPr="0069461D" w:rsidRDefault="009855E8">
                <w:pPr>
                  <w:rPr>
                    <w:rFonts w:ascii="宋体" w:hAnsi="宋体"/>
                  </w:rPr>
                </w:pPr>
                <w:r w:rsidRPr="0069461D">
                  <w:rPr>
                    <w:rFonts w:ascii="宋体" w:hAnsi="宋体"/>
                  </w:rPr>
                  <w:t>-</w:t>
                </w:r>
              </w:p>
            </w:tc>
          </w:tr>
        </w:tbl>
        <w:p w14:paraId="3FFBBFDB" w14:textId="77777777" w:rsidR="00B201D3" w:rsidRDefault="00C8327E">
          <w:pPr>
            <w:pStyle w:val="3903"/>
          </w:pPr>
        </w:p>
      </w:sdtContent>
    </w:sdt>
    <w:sdt>
      <w:sdtPr>
        <w:alias w:val="模块:其它情况说明"/>
        <w:tag w:val="_SEC_ddbdd27d049d452a9d63bfa087a3f3c5"/>
        <w:id w:val="-2037570562"/>
        <w:lock w:val="sdtLocked"/>
        <w:placeholder>
          <w:docPart w:val="GBC22222222222222222222222222222"/>
        </w:placeholder>
      </w:sdtPr>
      <w:sdtEndPr>
        <w:rPr>
          <w:rFonts w:hint="eastAsia"/>
        </w:rPr>
      </w:sdtEndPr>
      <w:sdtContent>
        <w:p w14:paraId="37FC149E" w14:textId="77777777" w:rsidR="00B201D3" w:rsidRDefault="009855E8">
          <w:pPr>
            <w:pStyle w:val="3903"/>
          </w:pPr>
          <w:r>
            <w:t>其它情况说明</w:t>
          </w:r>
        </w:p>
        <w:sdt>
          <w:sdtPr>
            <w:alias w:val="是否适用：董事、监事 和高级管理人员持股变动及报酬情况其他情况说明[双击切换]"/>
            <w:tag w:val="_GBC_6604d619d6f94a81b12f8155637bb211"/>
            <w:id w:val="-1139419791"/>
            <w:lock w:val="sdtLocked"/>
            <w:placeholder>
              <w:docPart w:val="GBC22222222222222222222222222222"/>
            </w:placeholder>
          </w:sdtPr>
          <w:sdtEndPr/>
          <w:sdtContent>
            <w:p w14:paraId="5CAFC5FE" w14:textId="77777777" w:rsidR="00B201D3" w:rsidRDefault="009855E8">
              <w:pPr>
                <w:pStyle w:val="390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董事、监事和高级管理人员持股变动及报酬其他情况说明"/>
            <w:tag w:val="_GBC_520552c5760c4b59804fd199ba28d397"/>
            <w:id w:val="-1014224591"/>
            <w:lock w:val="sdtLocked"/>
          </w:sdtPr>
          <w:sdtEndPr/>
          <w:sdtContent>
            <w:p w14:paraId="5E4B7DE2" w14:textId="4CF84754" w:rsidR="00B201D3" w:rsidRDefault="009855E8">
              <w:pPr>
                <w:pStyle w:val="3903"/>
              </w:pPr>
              <w:r>
                <w:t>1.</w:t>
              </w:r>
              <w:r>
                <w:rPr>
                  <w:rFonts w:hint="eastAsia"/>
                </w:rPr>
                <w:t>截</w:t>
              </w:r>
              <w:r w:rsidR="002721FD">
                <w:rPr>
                  <w:rFonts w:hint="eastAsia"/>
                </w:rPr>
                <w:t>至</w:t>
              </w:r>
              <w:r>
                <w:rPr>
                  <w:rFonts w:hint="eastAsia"/>
                </w:rPr>
                <w:t>本报告披露日，因实施权益分派，上述董事、高级管理人员持有的公司股票数量已发生变化。</w:t>
              </w:r>
            </w:p>
            <w:p w14:paraId="1129346D" w14:textId="0112017B" w:rsidR="00B201D3" w:rsidRDefault="009855E8">
              <w:pPr>
                <w:pStyle w:val="3903"/>
              </w:pPr>
              <w:r>
                <w:rPr>
                  <w:rFonts w:hint="eastAsia"/>
                </w:rPr>
                <w:t>2</w:t>
              </w:r>
              <w:r>
                <w:t>.</w:t>
              </w:r>
              <w:r>
                <w:rPr>
                  <w:rFonts w:hint="eastAsia"/>
                </w:rPr>
                <w:t>经2</w:t>
              </w:r>
              <w:r>
                <w:t>023</w:t>
              </w:r>
              <w:r>
                <w:rPr>
                  <w:rFonts w:hint="eastAsia"/>
                </w:rPr>
                <w:t>年8月</w:t>
              </w:r>
              <w:r w:rsidR="00FD0ABC">
                <w:t>25</w:t>
              </w:r>
              <w:r>
                <w:rPr>
                  <w:rFonts w:hint="eastAsia"/>
                </w:rPr>
                <w:t>日召开的第九届董事会</w:t>
              </w:r>
              <w:r w:rsidRPr="00FD0ABC">
                <w:rPr>
                  <w:rFonts w:hint="eastAsia"/>
                </w:rPr>
                <w:t>第二次会议审议批准</w:t>
              </w:r>
              <w:r>
                <w:rPr>
                  <w:rFonts w:hint="eastAsia"/>
                </w:rPr>
                <w:t>，公司将择机回购注销部分上述人员持有的公司股票。</w:t>
              </w:r>
            </w:p>
          </w:sdtContent>
        </w:sdt>
        <w:p w14:paraId="74CCED98" w14:textId="77777777" w:rsidR="00B201D3" w:rsidRDefault="00C8327E">
          <w:pPr>
            <w:pStyle w:val="3903"/>
          </w:pPr>
        </w:p>
      </w:sdtContent>
    </w:sdt>
    <w:p w14:paraId="74C3E2AA" w14:textId="77777777" w:rsidR="00B201D3" w:rsidRDefault="00B201D3">
      <w:pPr>
        <w:pStyle w:val="3903"/>
      </w:pPr>
    </w:p>
    <w:bookmarkEnd w:id="108" w:displacedByCustomXml="next"/>
    <w:bookmarkEnd w:id="107" w:displacedByCustomXml="next"/>
    <w:bookmarkStart w:id="109" w:name="_Toc342057945" w:displacedByCustomXml="next"/>
    <w:bookmarkStart w:id="110" w:name="_Toc342566005" w:displacedByCustomXml="next"/>
    <w:sdt>
      <w:sdtPr>
        <w:rPr>
          <w:rFonts w:ascii="宋体" w:hAnsi="宋体" w:cs="宋体" w:hint="eastAsia"/>
          <w:b w:val="0"/>
          <w:bCs w:val="0"/>
          <w:kern w:val="0"/>
          <w:szCs w:val="24"/>
        </w:rPr>
        <w:alias w:val="模块:董事、监事、高级管理人员报告期内被授予的股权激励情况"/>
        <w:tag w:val="_SEC_e31f847e559a4ff7aa07914d45526543"/>
        <w:id w:val="-1572645835"/>
        <w:lock w:val="sdtLocked"/>
        <w:placeholder>
          <w:docPart w:val="GBC22222222222222222222222222222"/>
        </w:placeholder>
      </w:sdtPr>
      <w:sdtEndPr>
        <w:rPr>
          <w:rFonts w:hint="default"/>
          <w:color w:val="0000FF"/>
          <w:szCs w:val="21"/>
        </w:rPr>
      </w:sdtEndPr>
      <w:sdtContent>
        <w:p w14:paraId="19DB9D1B" w14:textId="77777777" w:rsidR="00B201D3" w:rsidRDefault="009855E8">
          <w:pPr>
            <w:pStyle w:val="3"/>
            <w:numPr>
              <w:ilvl w:val="2"/>
              <w:numId w:val="38"/>
            </w:numPr>
            <w:rPr>
              <w:rFonts w:ascii="宋体" w:hAnsi="宋体"/>
            </w:rPr>
          </w:pPr>
          <w:r>
            <w:rPr>
              <w:rFonts w:ascii="宋体" w:hAnsi="宋体" w:hint="eastAsia"/>
            </w:rPr>
            <w:t>董事、监事、高级管理人员报告期内被授予的股权激励情况</w:t>
          </w:r>
          <w:bookmarkEnd w:id="110"/>
          <w:bookmarkEnd w:id="109"/>
        </w:p>
        <w:p w14:paraId="1926C657" w14:textId="77777777" w:rsidR="00B201D3" w:rsidRDefault="00C8327E">
          <w:pPr>
            <w:kinsoku w:val="0"/>
            <w:overflowPunct w:val="0"/>
            <w:autoSpaceDE w:val="0"/>
            <w:autoSpaceDN w:val="0"/>
            <w:adjustRightInd w:val="0"/>
            <w:snapToGrid w:val="0"/>
          </w:pPr>
          <w:sdt>
            <w:sdtPr>
              <w:rPr>
                <w:rFonts w:hint="eastAsia"/>
              </w:rPr>
              <w:alias w:val="是否适用：董事、监事、高级管理人员报告期内被授予的股权激励情况[双击切换]"/>
              <w:tag w:val="_GBC_3c204ebee7cf4fc2a7c4a3ad63ffe1c4"/>
              <w:id w:val="496233572"/>
              <w:lock w:val="sdtLocked"/>
              <w:placeholder>
                <w:docPart w:val="GBC22222222222222222222222222222"/>
              </w:placeholder>
            </w:sdtPr>
            <w:sdtEndPr/>
            <w:sdtContent>
              <w:r w:rsidR="009855E8">
                <w:fldChar w:fldCharType="begin"/>
              </w:r>
              <w:r w:rsidR="009855E8">
                <w:instrText xml:space="preserve"> MACROBUTTON  SnrToggleCheckbox √适用 </w:instrText>
              </w:r>
              <w:r w:rsidR="009855E8">
                <w:fldChar w:fldCharType="end"/>
              </w:r>
              <w:r w:rsidR="009855E8">
                <w:fldChar w:fldCharType="begin"/>
              </w:r>
              <w:r w:rsidR="009855E8">
                <w:instrText xml:space="preserve"> MACROBUTTON  SnrToggleCheckbox □不适用 </w:instrText>
              </w:r>
              <w:r w:rsidR="009855E8">
                <w:fldChar w:fldCharType="end"/>
              </w:r>
            </w:sdtContent>
          </w:sdt>
        </w:p>
        <w:p w14:paraId="7F93AD8D" w14:textId="74EC50E3" w:rsidR="00B201D3" w:rsidRDefault="009855E8">
          <w:pPr>
            <w:kinsoku w:val="0"/>
            <w:overflowPunct w:val="0"/>
            <w:autoSpaceDE w:val="0"/>
            <w:autoSpaceDN w:val="0"/>
            <w:adjustRightInd w:val="0"/>
            <w:snapToGrid w:val="0"/>
            <w:jc w:val="right"/>
          </w:pPr>
          <w:r>
            <w:rPr>
              <w:rFonts w:hint="eastAsia"/>
            </w:rPr>
            <w:t>单位</w:t>
          </w:r>
          <w:r>
            <w:t>：</w:t>
          </w:r>
          <w:sdt>
            <w:sdtPr>
              <w:alias w:val="单位：董事、监事、高级管理人员报告期内被授予的股权激励情况"/>
              <w:tag w:val="_GBC_495b8a2e2fb84c38bd252c034b6d6912"/>
              <w:id w:val="600849154"/>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sidR="00F46283">
                <w:t>股</w:t>
              </w:r>
            </w:sdtContent>
          </w:sdt>
        </w:p>
        <w:tbl>
          <w:tblPr>
            <w:tblStyle w:val="g1"/>
            <w:tblW w:w="5083"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1314"/>
            <w:gridCol w:w="1275"/>
            <w:gridCol w:w="1155"/>
            <w:gridCol w:w="1313"/>
            <w:gridCol w:w="1535"/>
            <w:gridCol w:w="1415"/>
          </w:tblGrid>
          <w:tr w:rsidR="00B201D3" w14:paraId="669E741D" w14:textId="77777777">
            <w:trPr>
              <w:trHeight w:val="20"/>
            </w:trPr>
            <w:sdt>
              <w:sdtPr>
                <w:tag w:val="_PLD_d222a7742ae146abaef9ffd87c82b5b7"/>
                <w:id w:val="9508282"/>
                <w:lock w:val="sdtLocked"/>
              </w:sdtPr>
              <w:sdtEndPr/>
              <w:sdtContent>
                <w:tc>
                  <w:tcPr>
                    <w:tcW w:w="536" w:type="pct"/>
                    <w:shd w:val="clear" w:color="auto" w:fill="auto"/>
                    <w:vAlign w:val="center"/>
                  </w:tcPr>
                  <w:p w14:paraId="5F75F208" w14:textId="77777777" w:rsidR="00B201D3" w:rsidRDefault="009855E8">
                    <w:pPr>
                      <w:kinsoku w:val="0"/>
                      <w:overflowPunct w:val="0"/>
                      <w:autoSpaceDE w:val="0"/>
                      <w:autoSpaceDN w:val="0"/>
                      <w:adjustRightInd w:val="0"/>
                      <w:snapToGrid w:val="0"/>
                      <w:jc w:val="center"/>
                    </w:pPr>
                    <w:r>
                      <w:rPr>
                        <w:rFonts w:hint="eastAsia"/>
                      </w:rPr>
                      <w:t>姓名</w:t>
                    </w:r>
                  </w:p>
                </w:tc>
              </w:sdtContent>
            </w:sdt>
            <w:sdt>
              <w:sdtPr>
                <w:tag w:val="_PLD_9142a9486353449898ce9fa156b22767"/>
                <w:id w:val="-1013914918"/>
                <w:lock w:val="sdtLocked"/>
              </w:sdtPr>
              <w:sdtEndPr/>
              <w:sdtContent>
                <w:tc>
                  <w:tcPr>
                    <w:tcW w:w="732" w:type="pct"/>
                    <w:shd w:val="clear" w:color="auto" w:fill="auto"/>
                    <w:vAlign w:val="center"/>
                  </w:tcPr>
                  <w:p w14:paraId="4AD307D4" w14:textId="77777777" w:rsidR="00B201D3" w:rsidRDefault="009855E8">
                    <w:pPr>
                      <w:kinsoku w:val="0"/>
                      <w:overflowPunct w:val="0"/>
                      <w:autoSpaceDE w:val="0"/>
                      <w:autoSpaceDN w:val="0"/>
                      <w:adjustRightInd w:val="0"/>
                      <w:snapToGrid w:val="0"/>
                      <w:jc w:val="center"/>
                    </w:pPr>
                    <w:r>
                      <w:rPr>
                        <w:rFonts w:hint="eastAsia"/>
                      </w:rPr>
                      <w:t>职务</w:t>
                    </w:r>
                  </w:p>
                </w:tc>
              </w:sdtContent>
            </w:sdt>
            <w:sdt>
              <w:sdtPr>
                <w:tag w:val="_PLD_ba7243471f0b4660a9d2a99cba15755e"/>
                <w:id w:val="635069510"/>
                <w:lock w:val="sdtLocked"/>
              </w:sdtPr>
              <w:sdtEndPr/>
              <w:sdtContent>
                <w:tc>
                  <w:tcPr>
                    <w:tcW w:w="711" w:type="pct"/>
                    <w:shd w:val="clear" w:color="auto" w:fill="auto"/>
                    <w:vAlign w:val="center"/>
                  </w:tcPr>
                  <w:p w14:paraId="1CE03193" w14:textId="77777777" w:rsidR="00B201D3" w:rsidRDefault="009855E8">
                    <w:pPr>
                      <w:kinsoku w:val="0"/>
                      <w:overflowPunct w:val="0"/>
                      <w:autoSpaceDE w:val="0"/>
                      <w:autoSpaceDN w:val="0"/>
                      <w:adjustRightInd w:val="0"/>
                      <w:snapToGrid w:val="0"/>
                      <w:jc w:val="center"/>
                    </w:pPr>
                    <w:r>
                      <w:rPr>
                        <w:rFonts w:hint="eastAsia"/>
                      </w:rPr>
                      <w:t>期初持有股票期权数量</w:t>
                    </w:r>
                  </w:p>
                </w:tc>
              </w:sdtContent>
            </w:sdt>
            <w:sdt>
              <w:sdtPr>
                <w:tag w:val="_PLD_cf5a02e48e154dc6b5dae6e73e3bb8f7"/>
                <w:id w:val="399635653"/>
                <w:lock w:val="sdtLocked"/>
              </w:sdtPr>
              <w:sdtEndPr/>
              <w:sdtContent>
                <w:tc>
                  <w:tcPr>
                    <w:tcW w:w="644" w:type="pct"/>
                    <w:shd w:val="clear" w:color="auto" w:fill="auto"/>
                    <w:vAlign w:val="center"/>
                  </w:tcPr>
                  <w:p w14:paraId="5FDA9AE9" w14:textId="77777777" w:rsidR="00B201D3" w:rsidRDefault="009855E8">
                    <w:pPr>
                      <w:kinsoku w:val="0"/>
                      <w:overflowPunct w:val="0"/>
                      <w:autoSpaceDE w:val="0"/>
                      <w:autoSpaceDN w:val="0"/>
                      <w:adjustRightInd w:val="0"/>
                      <w:snapToGrid w:val="0"/>
                      <w:jc w:val="center"/>
                    </w:pPr>
                    <w:r>
                      <w:rPr>
                        <w:rFonts w:hint="eastAsia"/>
                      </w:rPr>
                      <w:t>报告期新授予股票期权数量</w:t>
                    </w:r>
                  </w:p>
                </w:tc>
              </w:sdtContent>
            </w:sdt>
            <w:sdt>
              <w:sdtPr>
                <w:tag w:val="_PLD_8b03fdc541444f75a74b3e1421176f3c"/>
                <w:id w:val="-2044437176"/>
                <w:lock w:val="sdtLocked"/>
              </w:sdtPr>
              <w:sdtEndPr/>
              <w:sdtContent>
                <w:tc>
                  <w:tcPr>
                    <w:tcW w:w="732" w:type="pct"/>
                    <w:shd w:val="clear" w:color="auto" w:fill="auto"/>
                    <w:vAlign w:val="center"/>
                  </w:tcPr>
                  <w:p w14:paraId="6075B38F" w14:textId="77777777" w:rsidR="00B201D3" w:rsidRDefault="009855E8">
                    <w:pPr>
                      <w:kinsoku w:val="0"/>
                      <w:overflowPunct w:val="0"/>
                      <w:autoSpaceDE w:val="0"/>
                      <w:autoSpaceDN w:val="0"/>
                      <w:adjustRightInd w:val="0"/>
                      <w:snapToGrid w:val="0"/>
                      <w:jc w:val="center"/>
                    </w:pPr>
                    <w:r>
                      <w:rPr>
                        <w:rFonts w:hint="eastAsia"/>
                      </w:rPr>
                      <w:t>报告期内可行权股份</w:t>
                    </w:r>
                  </w:p>
                </w:tc>
              </w:sdtContent>
            </w:sdt>
            <w:sdt>
              <w:sdtPr>
                <w:tag w:val="_PLD_f7dae67ded2c4498a4b7939b3a18f829"/>
                <w:id w:val="-439994299"/>
                <w:lock w:val="sdtLocked"/>
              </w:sdtPr>
              <w:sdtEndPr/>
              <w:sdtContent>
                <w:tc>
                  <w:tcPr>
                    <w:tcW w:w="856" w:type="pct"/>
                    <w:shd w:val="clear" w:color="auto" w:fill="auto"/>
                    <w:vAlign w:val="center"/>
                  </w:tcPr>
                  <w:p w14:paraId="1E7669C4" w14:textId="77777777" w:rsidR="00B201D3" w:rsidRDefault="009855E8">
                    <w:pPr>
                      <w:kinsoku w:val="0"/>
                      <w:overflowPunct w:val="0"/>
                      <w:autoSpaceDE w:val="0"/>
                      <w:autoSpaceDN w:val="0"/>
                      <w:adjustRightInd w:val="0"/>
                      <w:snapToGrid w:val="0"/>
                      <w:jc w:val="center"/>
                    </w:pPr>
                    <w:r>
                      <w:rPr>
                        <w:rFonts w:hint="eastAsia"/>
                      </w:rPr>
                      <w:t>报告期股票期权行权股份</w:t>
                    </w:r>
                  </w:p>
                </w:tc>
              </w:sdtContent>
            </w:sdt>
            <w:sdt>
              <w:sdtPr>
                <w:tag w:val="_PLD_59b4b6f509b9422781e718c02517534b"/>
                <w:id w:val="215563867"/>
                <w:lock w:val="sdtLocked"/>
              </w:sdtPr>
              <w:sdtEndPr/>
              <w:sdtContent>
                <w:tc>
                  <w:tcPr>
                    <w:tcW w:w="790" w:type="pct"/>
                    <w:shd w:val="clear" w:color="auto" w:fill="auto"/>
                    <w:vAlign w:val="center"/>
                  </w:tcPr>
                  <w:p w14:paraId="3FC43E7F" w14:textId="77777777" w:rsidR="00B201D3" w:rsidRDefault="009855E8">
                    <w:pPr>
                      <w:kinsoku w:val="0"/>
                      <w:overflowPunct w:val="0"/>
                      <w:autoSpaceDE w:val="0"/>
                      <w:autoSpaceDN w:val="0"/>
                      <w:adjustRightInd w:val="0"/>
                      <w:snapToGrid w:val="0"/>
                      <w:jc w:val="center"/>
                    </w:pPr>
                    <w:r>
                      <w:rPr>
                        <w:rFonts w:hint="eastAsia"/>
                      </w:rPr>
                      <w:t>期末持有股票期权数量</w:t>
                    </w:r>
                  </w:p>
                </w:tc>
              </w:sdtContent>
            </w:sdt>
          </w:tr>
          <w:sdt>
            <w:sdtPr>
              <w:alias w:val="董事、监事、高级管理人员被授予的股权激励情况明细"/>
              <w:tag w:val="_GBC_c3e34dc75db34cfd9d2a757df8c0026e"/>
              <w:id w:val="-1012224736"/>
              <w:lock w:val="sdtLocked"/>
            </w:sdtPr>
            <w:sdtEndPr>
              <w:rPr>
                <w:color w:val="000000" w:themeColor="text1"/>
              </w:rPr>
            </w:sdtEndPr>
            <w:sdtContent>
              <w:tr w:rsidR="00B201D3" w14:paraId="761883E5" w14:textId="77777777">
                <w:trPr>
                  <w:trHeight w:val="20"/>
                </w:trPr>
                <w:tc>
                  <w:tcPr>
                    <w:tcW w:w="536" w:type="pct"/>
                    <w:vAlign w:val="center"/>
                  </w:tcPr>
                  <w:p w14:paraId="67D95E8A" w14:textId="77777777" w:rsidR="00B201D3" w:rsidRDefault="009855E8">
                    <w:pPr>
                      <w:kinsoku w:val="0"/>
                      <w:overflowPunct w:val="0"/>
                      <w:autoSpaceDE w:val="0"/>
                      <w:autoSpaceDN w:val="0"/>
                      <w:adjustRightInd w:val="0"/>
                      <w:snapToGrid w:val="0"/>
                      <w:ind w:right="26"/>
                    </w:pPr>
                    <w:r>
                      <w:rPr>
                        <w:rFonts w:hint="eastAsia"/>
                      </w:rPr>
                      <w:t>肖耀猛</w:t>
                    </w:r>
                  </w:p>
                </w:tc>
                <w:tc>
                  <w:tcPr>
                    <w:tcW w:w="732" w:type="pct"/>
                    <w:vAlign w:val="center"/>
                  </w:tcPr>
                  <w:p w14:paraId="190CC474" w14:textId="450197A0" w:rsidR="00B201D3" w:rsidRDefault="00C8327E">
                    <w:pPr>
                      <w:kinsoku w:val="0"/>
                      <w:overflowPunct w:val="0"/>
                      <w:autoSpaceDE w:val="0"/>
                      <w:autoSpaceDN w:val="0"/>
                      <w:adjustRightInd w:val="0"/>
                      <w:snapToGrid w:val="0"/>
                      <w:ind w:right="26"/>
                      <w:rPr>
                        <w:color w:val="0070C0"/>
                      </w:rPr>
                    </w:pPr>
                    <w:sdt>
                      <w:sdtPr>
                        <w:alias w:val="董事、监事、高级管理人员被授予的股权激励情况明细-职务"/>
                        <w:tag w:val="_GBC_eabe3aae92674932b1ad6090b5317acb"/>
                        <w:id w:val="1784228440"/>
                        <w:lock w:val="sdtLocked"/>
                        <w:comboBox>
                          <w:listItem w:displayText="董事" w:value="董事"/>
                          <w:listItem w:displayText="独立董事" w:value="独立董事"/>
                          <w:listItem w:displayText="监事" w:value="监事"/>
                          <w:listItem w:displayText="高管" w:value="高管"/>
                        </w:comboBox>
                      </w:sdtPr>
                      <w:sdtEndPr/>
                      <w:sdtContent>
                        <w:r w:rsidR="00F46283">
                          <w:t>董事</w:t>
                        </w:r>
                      </w:sdtContent>
                    </w:sdt>
                    <w:r w:rsidR="009855E8">
                      <w:rPr>
                        <w:rFonts w:hint="eastAsia"/>
                      </w:rPr>
                      <w:t>、高管</w:t>
                    </w:r>
                  </w:p>
                </w:tc>
                <w:tc>
                  <w:tcPr>
                    <w:tcW w:w="711" w:type="pct"/>
                  </w:tcPr>
                  <w:p w14:paraId="19D95455" w14:textId="77777777" w:rsidR="00B201D3" w:rsidRDefault="009855E8">
                    <w:pPr>
                      <w:kinsoku w:val="0"/>
                      <w:overflowPunct w:val="0"/>
                      <w:autoSpaceDE w:val="0"/>
                      <w:autoSpaceDN w:val="0"/>
                      <w:adjustRightInd w:val="0"/>
                      <w:snapToGrid w:val="0"/>
                      <w:ind w:right="26"/>
                      <w:jc w:val="right"/>
                      <w:rPr>
                        <w:color w:val="000000" w:themeColor="text1"/>
                      </w:rPr>
                    </w:pPr>
                    <w:r>
                      <w:rPr>
                        <w:color w:val="000000" w:themeColor="text1"/>
                      </w:rPr>
                      <w:t xml:space="preserve">51,000 </w:t>
                    </w:r>
                  </w:p>
                </w:tc>
                <w:tc>
                  <w:tcPr>
                    <w:tcW w:w="644" w:type="pct"/>
                    <w:vAlign w:val="bottom"/>
                  </w:tcPr>
                  <w:p w14:paraId="41851194" w14:textId="77777777" w:rsidR="00B201D3" w:rsidRDefault="009855E8">
                    <w:pPr>
                      <w:kinsoku w:val="0"/>
                      <w:overflowPunct w:val="0"/>
                      <w:autoSpaceDE w:val="0"/>
                      <w:autoSpaceDN w:val="0"/>
                      <w:adjustRightInd w:val="0"/>
                      <w:snapToGrid w:val="0"/>
                      <w:ind w:right="26"/>
                      <w:jc w:val="right"/>
                      <w:rPr>
                        <w:color w:val="000000" w:themeColor="text1"/>
                      </w:rPr>
                    </w:pPr>
                    <w:r>
                      <w:rPr>
                        <w:rFonts w:hint="eastAsia"/>
                        <w:color w:val="000000" w:themeColor="text1"/>
                      </w:rPr>
                      <w:t>0</w:t>
                    </w:r>
                  </w:p>
                </w:tc>
                <w:tc>
                  <w:tcPr>
                    <w:tcW w:w="732" w:type="pct"/>
                  </w:tcPr>
                  <w:p w14:paraId="2900264C" w14:textId="77777777" w:rsidR="00B201D3" w:rsidRDefault="009855E8">
                    <w:pPr>
                      <w:kinsoku w:val="0"/>
                      <w:overflowPunct w:val="0"/>
                      <w:autoSpaceDE w:val="0"/>
                      <w:autoSpaceDN w:val="0"/>
                      <w:adjustRightInd w:val="0"/>
                      <w:snapToGrid w:val="0"/>
                      <w:ind w:right="26"/>
                      <w:jc w:val="right"/>
                      <w:rPr>
                        <w:color w:val="000000" w:themeColor="text1"/>
                      </w:rPr>
                    </w:pPr>
                    <w:r>
                      <w:rPr>
                        <w:color w:val="000000" w:themeColor="text1"/>
                      </w:rPr>
                      <w:t xml:space="preserve">51,000 </w:t>
                    </w:r>
                  </w:p>
                </w:tc>
                <w:tc>
                  <w:tcPr>
                    <w:tcW w:w="856" w:type="pct"/>
                  </w:tcPr>
                  <w:p w14:paraId="05C9E8B0" w14:textId="77777777" w:rsidR="00B201D3" w:rsidRDefault="009855E8">
                    <w:pPr>
                      <w:kinsoku w:val="0"/>
                      <w:overflowPunct w:val="0"/>
                      <w:autoSpaceDE w:val="0"/>
                      <w:autoSpaceDN w:val="0"/>
                      <w:adjustRightInd w:val="0"/>
                      <w:snapToGrid w:val="0"/>
                      <w:ind w:right="26"/>
                      <w:jc w:val="right"/>
                      <w:rPr>
                        <w:color w:val="000000" w:themeColor="text1"/>
                      </w:rPr>
                    </w:pPr>
                    <w:r>
                      <w:rPr>
                        <w:color w:val="000000" w:themeColor="text1"/>
                      </w:rPr>
                      <w:t xml:space="preserve">51,000 </w:t>
                    </w:r>
                  </w:p>
                </w:tc>
                <w:tc>
                  <w:tcPr>
                    <w:tcW w:w="790" w:type="pct"/>
                    <w:vAlign w:val="center"/>
                  </w:tcPr>
                  <w:p w14:paraId="2DF04875" w14:textId="77777777" w:rsidR="00B201D3" w:rsidRDefault="009855E8">
                    <w:pPr>
                      <w:kinsoku w:val="0"/>
                      <w:overflowPunct w:val="0"/>
                      <w:autoSpaceDE w:val="0"/>
                      <w:autoSpaceDN w:val="0"/>
                      <w:adjustRightInd w:val="0"/>
                      <w:snapToGrid w:val="0"/>
                      <w:ind w:right="26"/>
                      <w:jc w:val="right"/>
                      <w:rPr>
                        <w:color w:val="000000" w:themeColor="text1"/>
                      </w:rPr>
                    </w:pPr>
                    <w:r>
                      <w:rPr>
                        <w:rFonts w:hint="eastAsia"/>
                        <w:color w:val="000000" w:themeColor="text1"/>
                      </w:rPr>
                      <w:t>0</w:t>
                    </w:r>
                  </w:p>
                </w:tc>
              </w:tr>
            </w:sdtContent>
          </w:sdt>
          <w:sdt>
            <w:sdtPr>
              <w:alias w:val="董事、监事、高级管理人员被授予的股权激励情况明细"/>
              <w:tag w:val="_GBC_c3e34dc75db34cfd9d2a757df8c0026e"/>
              <w:id w:val="-1931340658"/>
              <w:lock w:val="sdtLocked"/>
            </w:sdtPr>
            <w:sdtEndPr>
              <w:rPr>
                <w:color w:val="000000" w:themeColor="text1"/>
              </w:rPr>
            </w:sdtEndPr>
            <w:sdtContent>
              <w:tr w:rsidR="00B201D3" w14:paraId="7996D327" w14:textId="77777777">
                <w:trPr>
                  <w:trHeight w:val="20"/>
                </w:trPr>
                <w:tc>
                  <w:tcPr>
                    <w:tcW w:w="536" w:type="pct"/>
                    <w:vAlign w:val="center"/>
                  </w:tcPr>
                  <w:p w14:paraId="2588EEC4" w14:textId="77777777" w:rsidR="00B201D3" w:rsidRDefault="009855E8">
                    <w:pPr>
                      <w:kinsoku w:val="0"/>
                      <w:overflowPunct w:val="0"/>
                      <w:autoSpaceDE w:val="0"/>
                      <w:autoSpaceDN w:val="0"/>
                      <w:adjustRightInd w:val="0"/>
                      <w:snapToGrid w:val="0"/>
                      <w:ind w:right="26"/>
                    </w:pPr>
                    <w:r>
                      <w:rPr>
                        <w:rFonts w:hint="eastAsia"/>
                      </w:rPr>
                      <w:t>赵青春</w:t>
                    </w:r>
                  </w:p>
                </w:tc>
                <w:sdt>
                  <w:sdtPr>
                    <w:alias w:val="董事、监事、高级管理人员被授予的股权激励情况明细-职务"/>
                    <w:tag w:val="_GBC_eabe3aae92674932b1ad6090b5317acb"/>
                    <w:id w:val="387076965"/>
                    <w:lock w:val="sdtLocked"/>
                    <w:comboBox>
                      <w:listItem w:displayText="董事" w:value="董事"/>
                      <w:listItem w:displayText="独立董事" w:value="独立董事"/>
                      <w:listItem w:displayText="监事" w:value="监事"/>
                      <w:listItem w:displayText="高管" w:value="高管"/>
                    </w:comboBox>
                  </w:sdtPr>
                  <w:sdtEndPr/>
                  <w:sdtContent>
                    <w:tc>
                      <w:tcPr>
                        <w:tcW w:w="732" w:type="pct"/>
                        <w:vAlign w:val="center"/>
                      </w:tcPr>
                      <w:p w14:paraId="113C9160" w14:textId="35B20305" w:rsidR="00B201D3" w:rsidRDefault="00F46283">
                        <w:pPr>
                          <w:kinsoku w:val="0"/>
                          <w:overflowPunct w:val="0"/>
                          <w:autoSpaceDE w:val="0"/>
                          <w:autoSpaceDN w:val="0"/>
                          <w:adjustRightInd w:val="0"/>
                          <w:snapToGrid w:val="0"/>
                          <w:ind w:right="26"/>
                        </w:pPr>
                        <w:r>
                          <w:t>高管</w:t>
                        </w:r>
                      </w:p>
                    </w:tc>
                  </w:sdtContent>
                </w:sdt>
                <w:tc>
                  <w:tcPr>
                    <w:tcW w:w="711" w:type="pct"/>
                  </w:tcPr>
                  <w:p w14:paraId="5BA1BDE1" w14:textId="77777777" w:rsidR="00B201D3" w:rsidRDefault="009855E8">
                    <w:pPr>
                      <w:kinsoku w:val="0"/>
                      <w:overflowPunct w:val="0"/>
                      <w:autoSpaceDE w:val="0"/>
                      <w:autoSpaceDN w:val="0"/>
                      <w:adjustRightInd w:val="0"/>
                      <w:snapToGrid w:val="0"/>
                      <w:ind w:right="26"/>
                      <w:jc w:val="right"/>
                      <w:rPr>
                        <w:color w:val="000000" w:themeColor="text1"/>
                      </w:rPr>
                    </w:pPr>
                    <w:r>
                      <w:rPr>
                        <w:color w:val="000000" w:themeColor="text1"/>
                      </w:rPr>
                      <w:t xml:space="preserve">88,400 </w:t>
                    </w:r>
                  </w:p>
                </w:tc>
                <w:tc>
                  <w:tcPr>
                    <w:tcW w:w="644" w:type="pct"/>
                    <w:vAlign w:val="bottom"/>
                  </w:tcPr>
                  <w:p w14:paraId="66FE4ECE" w14:textId="77777777" w:rsidR="00B201D3" w:rsidRDefault="009855E8">
                    <w:pPr>
                      <w:kinsoku w:val="0"/>
                      <w:overflowPunct w:val="0"/>
                      <w:autoSpaceDE w:val="0"/>
                      <w:autoSpaceDN w:val="0"/>
                      <w:adjustRightInd w:val="0"/>
                      <w:snapToGrid w:val="0"/>
                      <w:ind w:right="26"/>
                      <w:jc w:val="right"/>
                      <w:rPr>
                        <w:color w:val="000000" w:themeColor="text1"/>
                      </w:rPr>
                    </w:pPr>
                    <w:r>
                      <w:rPr>
                        <w:rFonts w:hint="eastAsia"/>
                        <w:color w:val="000000" w:themeColor="text1"/>
                      </w:rPr>
                      <w:t>0</w:t>
                    </w:r>
                  </w:p>
                </w:tc>
                <w:tc>
                  <w:tcPr>
                    <w:tcW w:w="732" w:type="pct"/>
                  </w:tcPr>
                  <w:p w14:paraId="45222E85" w14:textId="77777777" w:rsidR="00B201D3" w:rsidRDefault="009855E8">
                    <w:pPr>
                      <w:kinsoku w:val="0"/>
                      <w:overflowPunct w:val="0"/>
                      <w:autoSpaceDE w:val="0"/>
                      <w:autoSpaceDN w:val="0"/>
                      <w:adjustRightInd w:val="0"/>
                      <w:snapToGrid w:val="0"/>
                      <w:ind w:right="26"/>
                      <w:jc w:val="right"/>
                      <w:rPr>
                        <w:color w:val="000000" w:themeColor="text1"/>
                      </w:rPr>
                    </w:pPr>
                    <w:r>
                      <w:rPr>
                        <w:color w:val="000000" w:themeColor="text1"/>
                      </w:rPr>
                      <w:t xml:space="preserve">88,400 </w:t>
                    </w:r>
                  </w:p>
                </w:tc>
                <w:tc>
                  <w:tcPr>
                    <w:tcW w:w="856" w:type="pct"/>
                  </w:tcPr>
                  <w:p w14:paraId="4B5F7D8E" w14:textId="77777777" w:rsidR="00B201D3" w:rsidRDefault="009855E8">
                    <w:pPr>
                      <w:kinsoku w:val="0"/>
                      <w:overflowPunct w:val="0"/>
                      <w:autoSpaceDE w:val="0"/>
                      <w:autoSpaceDN w:val="0"/>
                      <w:adjustRightInd w:val="0"/>
                      <w:snapToGrid w:val="0"/>
                      <w:ind w:right="26"/>
                      <w:jc w:val="right"/>
                      <w:rPr>
                        <w:color w:val="000000" w:themeColor="text1"/>
                      </w:rPr>
                    </w:pPr>
                    <w:r>
                      <w:rPr>
                        <w:color w:val="000000" w:themeColor="text1"/>
                      </w:rPr>
                      <w:t xml:space="preserve">88,400 </w:t>
                    </w:r>
                  </w:p>
                </w:tc>
                <w:tc>
                  <w:tcPr>
                    <w:tcW w:w="790" w:type="pct"/>
                    <w:vAlign w:val="center"/>
                  </w:tcPr>
                  <w:p w14:paraId="2960973D" w14:textId="77777777" w:rsidR="00B201D3" w:rsidRDefault="009855E8">
                    <w:pPr>
                      <w:kinsoku w:val="0"/>
                      <w:overflowPunct w:val="0"/>
                      <w:autoSpaceDE w:val="0"/>
                      <w:autoSpaceDN w:val="0"/>
                      <w:adjustRightInd w:val="0"/>
                      <w:snapToGrid w:val="0"/>
                      <w:ind w:right="26"/>
                      <w:jc w:val="right"/>
                      <w:rPr>
                        <w:color w:val="000000" w:themeColor="text1"/>
                      </w:rPr>
                    </w:pPr>
                    <w:r>
                      <w:rPr>
                        <w:rFonts w:hint="eastAsia"/>
                        <w:color w:val="000000" w:themeColor="text1"/>
                      </w:rPr>
                      <w:t>0</w:t>
                    </w:r>
                  </w:p>
                </w:tc>
              </w:tr>
            </w:sdtContent>
          </w:sdt>
          <w:sdt>
            <w:sdtPr>
              <w:alias w:val="董事、监事、高级管理人员被授予的股权激励情况明细"/>
              <w:tag w:val="_GBC_c3e34dc75db34cfd9d2a757df8c0026e"/>
              <w:id w:val="1027988024"/>
              <w:lock w:val="sdtLocked"/>
            </w:sdtPr>
            <w:sdtEndPr>
              <w:rPr>
                <w:color w:val="000000" w:themeColor="text1"/>
              </w:rPr>
            </w:sdtEndPr>
            <w:sdtContent>
              <w:tr w:rsidR="00B201D3" w14:paraId="3EF4E7EF" w14:textId="77777777">
                <w:trPr>
                  <w:trHeight w:val="20"/>
                </w:trPr>
                <w:tc>
                  <w:tcPr>
                    <w:tcW w:w="536" w:type="pct"/>
                    <w:vAlign w:val="center"/>
                  </w:tcPr>
                  <w:p w14:paraId="2A2F70C3" w14:textId="77777777" w:rsidR="00B201D3" w:rsidRDefault="009855E8">
                    <w:pPr>
                      <w:kinsoku w:val="0"/>
                      <w:overflowPunct w:val="0"/>
                      <w:autoSpaceDE w:val="0"/>
                      <w:autoSpaceDN w:val="0"/>
                      <w:adjustRightInd w:val="0"/>
                      <w:snapToGrid w:val="0"/>
                      <w:ind w:right="26"/>
                    </w:pPr>
                    <w:r>
                      <w:rPr>
                        <w:rFonts w:hint="eastAsia"/>
                      </w:rPr>
                      <w:t>田兆华</w:t>
                    </w:r>
                  </w:p>
                </w:tc>
                <w:sdt>
                  <w:sdtPr>
                    <w:alias w:val="董事、监事、高级管理人员被授予的股权激励情况明细-职务"/>
                    <w:tag w:val="_GBC_eabe3aae92674932b1ad6090b5317acb"/>
                    <w:id w:val="-865290680"/>
                    <w:lock w:val="sdtLocked"/>
                    <w:comboBox>
                      <w:listItem w:displayText="董事" w:value="董事"/>
                      <w:listItem w:displayText="独立董事" w:value="独立董事"/>
                      <w:listItem w:displayText="监事" w:value="监事"/>
                      <w:listItem w:displayText="高管" w:value="高管"/>
                    </w:comboBox>
                  </w:sdtPr>
                  <w:sdtEndPr/>
                  <w:sdtContent>
                    <w:tc>
                      <w:tcPr>
                        <w:tcW w:w="732" w:type="pct"/>
                        <w:vAlign w:val="center"/>
                      </w:tcPr>
                      <w:p w14:paraId="7905AA66" w14:textId="6CCA7934" w:rsidR="00B201D3" w:rsidRDefault="00F46283">
                        <w:pPr>
                          <w:kinsoku w:val="0"/>
                          <w:overflowPunct w:val="0"/>
                          <w:autoSpaceDE w:val="0"/>
                          <w:autoSpaceDN w:val="0"/>
                          <w:adjustRightInd w:val="0"/>
                          <w:snapToGrid w:val="0"/>
                          <w:ind w:right="26"/>
                        </w:pPr>
                        <w:r>
                          <w:t>高管</w:t>
                        </w:r>
                      </w:p>
                    </w:tc>
                  </w:sdtContent>
                </w:sdt>
                <w:tc>
                  <w:tcPr>
                    <w:tcW w:w="711" w:type="pct"/>
                  </w:tcPr>
                  <w:p w14:paraId="696708C8" w14:textId="77777777" w:rsidR="00B201D3" w:rsidRDefault="009855E8">
                    <w:pPr>
                      <w:kinsoku w:val="0"/>
                      <w:overflowPunct w:val="0"/>
                      <w:autoSpaceDE w:val="0"/>
                      <w:autoSpaceDN w:val="0"/>
                      <w:adjustRightInd w:val="0"/>
                      <w:snapToGrid w:val="0"/>
                      <w:ind w:right="26"/>
                      <w:jc w:val="right"/>
                      <w:rPr>
                        <w:color w:val="000000" w:themeColor="text1"/>
                      </w:rPr>
                    </w:pPr>
                    <w:r>
                      <w:rPr>
                        <w:color w:val="000000" w:themeColor="text1"/>
                      </w:rPr>
                      <w:t xml:space="preserve">51,000 </w:t>
                    </w:r>
                  </w:p>
                </w:tc>
                <w:tc>
                  <w:tcPr>
                    <w:tcW w:w="644" w:type="pct"/>
                    <w:vAlign w:val="bottom"/>
                  </w:tcPr>
                  <w:p w14:paraId="30C8D911" w14:textId="77777777" w:rsidR="00B201D3" w:rsidRDefault="009855E8">
                    <w:pPr>
                      <w:kinsoku w:val="0"/>
                      <w:overflowPunct w:val="0"/>
                      <w:autoSpaceDE w:val="0"/>
                      <w:autoSpaceDN w:val="0"/>
                      <w:adjustRightInd w:val="0"/>
                      <w:snapToGrid w:val="0"/>
                      <w:ind w:right="26"/>
                      <w:jc w:val="right"/>
                      <w:rPr>
                        <w:color w:val="000000" w:themeColor="text1"/>
                      </w:rPr>
                    </w:pPr>
                    <w:r>
                      <w:rPr>
                        <w:rFonts w:hint="eastAsia"/>
                        <w:color w:val="000000" w:themeColor="text1"/>
                      </w:rPr>
                      <w:t>0</w:t>
                    </w:r>
                  </w:p>
                </w:tc>
                <w:tc>
                  <w:tcPr>
                    <w:tcW w:w="732" w:type="pct"/>
                  </w:tcPr>
                  <w:p w14:paraId="243C370C" w14:textId="77777777" w:rsidR="00B201D3" w:rsidRDefault="009855E8">
                    <w:pPr>
                      <w:kinsoku w:val="0"/>
                      <w:overflowPunct w:val="0"/>
                      <w:autoSpaceDE w:val="0"/>
                      <w:autoSpaceDN w:val="0"/>
                      <w:adjustRightInd w:val="0"/>
                      <w:snapToGrid w:val="0"/>
                      <w:ind w:right="26"/>
                      <w:jc w:val="right"/>
                      <w:rPr>
                        <w:color w:val="000000" w:themeColor="text1"/>
                      </w:rPr>
                    </w:pPr>
                    <w:r>
                      <w:rPr>
                        <w:color w:val="000000" w:themeColor="text1"/>
                      </w:rPr>
                      <w:t xml:space="preserve">51,000 </w:t>
                    </w:r>
                  </w:p>
                </w:tc>
                <w:tc>
                  <w:tcPr>
                    <w:tcW w:w="856" w:type="pct"/>
                  </w:tcPr>
                  <w:p w14:paraId="351880FB" w14:textId="77777777" w:rsidR="00B201D3" w:rsidRDefault="009855E8">
                    <w:pPr>
                      <w:kinsoku w:val="0"/>
                      <w:overflowPunct w:val="0"/>
                      <w:autoSpaceDE w:val="0"/>
                      <w:autoSpaceDN w:val="0"/>
                      <w:adjustRightInd w:val="0"/>
                      <w:snapToGrid w:val="0"/>
                      <w:ind w:right="26"/>
                      <w:jc w:val="right"/>
                      <w:rPr>
                        <w:color w:val="000000" w:themeColor="text1"/>
                      </w:rPr>
                    </w:pPr>
                    <w:r>
                      <w:rPr>
                        <w:color w:val="000000" w:themeColor="text1"/>
                      </w:rPr>
                      <w:t xml:space="preserve">51,000 </w:t>
                    </w:r>
                  </w:p>
                </w:tc>
                <w:tc>
                  <w:tcPr>
                    <w:tcW w:w="790" w:type="pct"/>
                    <w:vAlign w:val="center"/>
                  </w:tcPr>
                  <w:p w14:paraId="0818EAD0" w14:textId="77777777" w:rsidR="00B201D3" w:rsidRDefault="009855E8">
                    <w:pPr>
                      <w:kinsoku w:val="0"/>
                      <w:overflowPunct w:val="0"/>
                      <w:autoSpaceDE w:val="0"/>
                      <w:autoSpaceDN w:val="0"/>
                      <w:adjustRightInd w:val="0"/>
                      <w:snapToGrid w:val="0"/>
                      <w:ind w:right="26"/>
                      <w:jc w:val="right"/>
                      <w:rPr>
                        <w:color w:val="000000" w:themeColor="text1"/>
                      </w:rPr>
                    </w:pPr>
                    <w:r>
                      <w:rPr>
                        <w:rFonts w:hint="eastAsia"/>
                        <w:color w:val="000000" w:themeColor="text1"/>
                      </w:rPr>
                      <w:t>0</w:t>
                    </w:r>
                  </w:p>
                </w:tc>
              </w:tr>
            </w:sdtContent>
          </w:sdt>
          <w:sdt>
            <w:sdtPr>
              <w:alias w:val="董事、监事、高级管理人员被授予的股权激励情况明细"/>
              <w:tag w:val="_GBC_c3e34dc75db34cfd9d2a757df8c0026e"/>
              <w:id w:val="1138072513"/>
              <w:lock w:val="sdtLocked"/>
            </w:sdtPr>
            <w:sdtEndPr>
              <w:rPr>
                <w:color w:val="000000" w:themeColor="text1"/>
              </w:rPr>
            </w:sdtEndPr>
            <w:sdtContent>
              <w:tr w:rsidR="00B201D3" w14:paraId="57CC30FC" w14:textId="77777777">
                <w:trPr>
                  <w:trHeight w:val="20"/>
                </w:trPr>
                <w:tc>
                  <w:tcPr>
                    <w:tcW w:w="536" w:type="pct"/>
                    <w:vAlign w:val="center"/>
                  </w:tcPr>
                  <w:p w14:paraId="54728268" w14:textId="77777777" w:rsidR="00B201D3" w:rsidRDefault="009855E8">
                    <w:pPr>
                      <w:kinsoku w:val="0"/>
                      <w:overflowPunct w:val="0"/>
                      <w:autoSpaceDE w:val="0"/>
                      <w:autoSpaceDN w:val="0"/>
                      <w:adjustRightInd w:val="0"/>
                      <w:snapToGrid w:val="0"/>
                      <w:ind w:right="26"/>
                    </w:pPr>
                    <w:r>
                      <w:rPr>
                        <w:rFonts w:hint="eastAsia"/>
                      </w:rPr>
                      <w:t>马俊鹏</w:t>
                    </w:r>
                  </w:p>
                </w:tc>
                <w:sdt>
                  <w:sdtPr>
                    <w:alias w:val="董事、监事、高级管理人员被授予的股权激励情况明细-职务"/>
                    <w:tag w:val="_GBC_eabe3aae92674932b1ad6090b5317acb"/>
                    <w:id w:val="53362025"/>
                    <w:lock w:val="sdtLocked"/>
                    <w:comboBox>
                      <w:listItem w:displayText="董事" w:value="董事"/>
                      <w:listItem w:displayText="独立董事" w:value="独立董事"/>
                      <w:listItem w:displayText="监事" w:value="监事"/>
                      <w:listItem w:displayText="高管" w:value="高管"/>
                    </w:comboBox>
                  </w:sdtPr>
                  <w:sdtEndPr/>
                  <w:sdtContent>
                    <w:tc>
                      <w:tcPr>
                        <w:tcW w:w="732" w:type="pct"/>
                        <w:vAlign w:val="center"/>
                      </w:tcPr>
                      <w:p w14:paraId="4801ADAB" w14:textId="562E3617" w:rsidR="00B201D3" w:rsidRDefault="00F46283">
                        <w:pPr>
                          <w:kinsoku w:val="0"/>
                          <w:overflowPunct w:val="0"/>
                          <w:autoSpaceDE w:val="0"/>
                          <w:autoSpaceDN w:val="0"/>
                          <w:adjustRightInd w:val="0"/>
                          <w:snapToGrid w:val="0"/>
                          <w:ind w:right="26"/>
                        </w:pPr>
                        <w:r>
                          <w:t>高管</w:t>
                        </w:r>
                      </w:p>
                    </w:tc>
                  </w:sdtContent>
                </w:sdt>
                <w:tc>
                  <w:tcPr>
                    <w:tcW w:w="711" w:type="pct"/>
                  </w:tcPr>
                  <w:p w14:paraId="03704374" w14:textId="77777777" w:rsidR="00B201D3" w:rsidRDefault="009855E8">
                    <w:pPr>
                      <w:kinsoku w:val="0"/>
                      <w:overflowPunct w:val="0"/>
                      <w:autoSpaceDE w:val="0"/>
                      <w:autoSpaceDN w:val="0"/>
                      <w:adjustRightInd w:val="0"/>
                      <w:snapToGrid w:val="0"/>
                      <w:ind w:right="26"/>
                      <w:jc w:val="right"/>
                      <w:rPr>
                        <w:color w:val="000000" w:themeColor="text1"/>
                      </w:rPr>
                    </w:pPr>
                    <w:r>
                      <w:rPr>
                        <w:color w:val="000000" w:themeColor="text1"/>
                      </w:rPr>
                      <w:t>51,000</w:t>
                    </w:r>
                  </w:p>
                </w:tc>
                <w:tc>
                  <w:tcPr>
                    <w:tcW w:w="644" w:type="pct"/>
                    <w:vAlign w:val="bottom"/>
                  </w:tcPr>
                  <w:p w14:paraId="04D873D0" w14:textId="77777777" w:rsidR="00B201D3" w:rsidRDefault="009855E8">
                    <w:pPr>
                      <w:kinsoku w:val="0"/>
                      <w:overflowPunct w:val="0"/>
                      <w:autoSpaceDE w:val="0"/>
                      <w:autoSpaceDN w:val="0"/>
                      <w:adjustRightInd w:val="0"/>
                      <w:snapToGrid w:val="0"/>
                      <w:ind w:right="26"/>
                      <w:jc w:val="right"/>
                      <w:rPr>
                        <w:color w:val="000000" w:themeColor="text1"/>
                      </w:rPr>
                    </w:pPr>
                    <w:r>
                      <w:rPr>
                        <w:rFonts w:hint="eastAsia"/>
                        <w:color w:val="000000" w:themeColor="text1"/>
                      </w:rPr>
                      <w:t>0</w:t>
                    </w:r>
                  </w:p>
                </w:tc>
                <w:tc>
                  <w:tcPr>
                    <w:tcW w:w="732" w:type="pct"/>
                  </w:tcPr>
                  <w:p w14:paraId="7EDFAEA7" w14:textId="77777777" w:rsidR="00B201D3" w:rsidRDefault="009855E8">
                    <w:pPr>
                      <w:kinsoku w:val="0"/>
                      <w:overflowPunct w:val="0"/>
                      <w:autoSpaceDE w:val="0"/>
                      <w:autoSpaceDN w:val="0"/>
                      <w:adjustRightInd w:val="0"/>
                      <w:snapToGrid w:val="0"/>
                      <w:ind w:right="26"/>
                      <w:jc w:val="right"/>
                      <w:rPr>
                        <w:color w:val="000000" w:themeColor="text1"/>
                      </w:rPr>
                    </w:pPr>
                    <w:r>
                      <w:rPr>
                        <w:color w:val="000000" w:themeColor="text1"/>
                      </w:rPr>
                      <w:t>51,000</w:t>
                    </w:r>
                  </w:p>
                </w:tc>
                <w:tc>
                  <w:tcPr>
                    <w:tcW w:w="856" w:type="pct"/>
                  </w:tcPr>
                  <w:p w14:paraId="663C306E" w14:textId="77777777" w:rsidR="00B201D3" w:rsidRDefault="009855E8">
                    <w:pPr>
                      <w:kinsoku w:val="0"/>
                      <w:overflowPunct w:val="0"/>
                      <w:autoSpaceDE w:val="0"/>
                      <w:autoSpaceDN w:val="0"/>
                      <w:adjustRightInd w:val="0"/>
                      <w:snapToGrid w:val="0"/>
                      <w:ind w:right="26"/>
                      <w:jc w:val="right"/>
                      <w:rPr>
                        <w:color w:val="000000" w:themeColor="text1"/>
                      </w:rPr>
                    </w:pPr>
                    <w:r>
                      <w:rPr>
                        <w:color w:val="000000" w:themeColor="text1"/>
                      </w:rPr>
                      <w:t>51,000</w:t>
                    </w:r>
                  </w:p>
                </w:tc>
                <w:tc>
                  <w:tcPr>
                    <w:tcW w:w="790" w:type="pct"/>
                    <w:vAlign w:val="center"/>
                  </w:tcPr>
                  <w:p w14:paraId="2E1ADE3A" w14:textId="77777777" w:rsidR="00B201D3" w:rsidRDefault="009855E8">
                    <w:pPr>
                      <w:kinsoku w:val="0"/>
                      <w:overflowPunct w:val="0"/>
                      <w:autoSpaceDE w:val="0"/>
                      <w:autoSpaceDN w:val="0"/>
                      <w:adjustRightInd w:val="0"/>
                      <w:snapToGrid w:val="0"/>
                      <w:ind w:right="26"/>
                      <w:jc w:val="right"/>
                      <w:rPr>
                        <w:color w:val="000000" w:themeColor="text1"/>
                      </w:rPr>
                    </w:pPr>
                    <w:r>
                      <w:rPr>
                        <w:rFonts w:hint="eastAsia"/>
                        <w:color w:val="000000" w:themeColor="text1"/>
                      </w:rPr>
                      <w:t>0</w:t>
                    </w:r>
                  </w:p>
                </w:tc>
              </w:tr>
            </w:sdtContent>
          </w:sdt>
          <w:sdt>
            <w:sdtPr>
              <w:alias w:val="董事、监事、高级管理人员被授予的股权激励情况明细"/>
              <w:tag w:val="_GBC_c3e34dc75db34cfd9d2a757df8c0026e"/>
              <w:id w:val="-93944330"/>
              <w:lock w:val="sdtLocked"/>
            </w:sdtPr>
            <w:sdtEndPr>
              <w:rPr>
                <w:color w:val="000000" w:themeColor="text1"/>
              </w:rPr>
            </w:sdtEndPr>
            <w:sdtContent>
              <w:tr w:rsidR="00B201D3" w14:paraId="45B8DC20" w14:textId="77777777">
                <w:trPr>
                  <w:trHeight w:val="20"/>
                </w:trPr>
                <w:tc>
                  <w:tcPr>
                    <w:tcW w:w="536" w:type="pct"/>
                    <w:vAlign w:val="center"/>
                  </w:tcPr>
                  <w:p w14:paraId="4F800C30" w14:textId="77777777" w:rsidR="00B201D3" w:rsidRDefault="009855E8">
                    <w:pPr>
                      <w:kinsoku w:val="0"/>
                      <w:overflowPunct w:val="0"/>
                      <w:autoSpaceDE w:val="0"/>
                      <w:autoSpaceDN w:val="0"/>
                      <w:adjustRightInd w:val="0"/>
                      <w:snapToGrid w:val="0"/>
                      <w:ind w:right="26"/>
                    </w:pPr>
                    <w:r>
                      <w:rPr>
                        <w:rFonts w:hint="eastAsia"/>
                      </w:rPr>
                      <w:t xml:space="preserve">康 </w:t>
                    </w:r>
                    <w:r>
                      <w:t xml:space="preserve"> </w:t>
                    </w:r>
                    <w:r>
                      <w:rPr>
                        <w:rFonts w:hint="eastAsia"/>
                      </w:rPr>
                      <w:t>丹</w:t>
                    </w:r>
                  </w:p>
                </w:tc>
                <w:sdt>
                  <w:sdtPr>
                    <w:alias w:val="董事、监事、高级管理人员被授予的股权激励情况明细-职务"/>
                    <w:tag w:val="_GBC_eabe3aae92674932b1ad6090b5317acb"/>
                    <w:id w:val="-1824573571"/>
                    <w:lock w:val="sdtLocked"/>
                    <w:comboBox>
                      <w:listItem w:displayText="董事" w:value="董事"/>
                      <w:listItem w:displayText="独立董事" w:value="独立董事"/>
                      <w:listItem w:displayText="监事" w:value="监事"/>
                      <w:listItem w:displayText="高管" w:value="高管"/>
                    </w:comboBox>
                  </w:sdtPr>
                  <w:sdtEndPr/>
                  <w:sdtContent>
                    <w:tc>
                      <w:tcPr>
                        <w:tcW w:w="732" w:type="pct"/>
                        <w:vAlign w:val="center"/>
                      </w:tcPr>
                      <w:p w14:paraId="7E6062B4" w14:textId="1911D643" w:rsidR="00B201D3" w:rsidRDefault="00F46283">
                        <w:pPr>
                          <w:kinsoku w:val="0"/>
                          <w:overflowPunct w:val="0"/>
                          <w:autoSpaceDE w:val="0"/>
                          <w:autoSpaceDN w:val="0"/>
                          <w:adjustRightInd w:val="0"/>
                          <w:snapToGrid w:val="0"/>
                          <w:ind w:right="26"/>
                        </w:pPr>
                        <w:r>
                          <w:t>高管</w:t>
                        </w:r>
                      </w:p>
                    </w:tc>
                  </w:sdtContent>
                </w:sdt>
                <w:tc>
                  <w:tcPr>
                    <w:tcW w:w="711" w:type="pct"/>
                    <w:vAlign w:val="center"/>
                  </w:tcPr>
                  <w:p w14:paraId="52B7885A" w14:textId="77777777" w:rsidR="00B201D3" w:rsidRDefault="009855E8">
                    <w:pPr>
                      <w:kinsoku w:val="0"/>
                      <w:overflowPunct w:val="0"/>
                      <w:autoSpaceDE w:val="0"/>
                      <w:autoSpaceDN w:val="0"/>
                      <w:adjustRightInd w:val="0"/>
                      <w:snapToGrid w:val="0"/>
                      <w:ind w:right="26"/>
                      <w:jc w:val="right"/>
                      <w:rPr>
                        <w:color w:val="000000" w:themeColor="text1"/>
                      </w:rPr>
                    </w:pPr>
                    <w:r>
                      <w:t>40,800</w:t>
                    </w:r>
                  </w:p>
                </w:tc>
                <w:tc>
                  <w:tcPr>
                    <w:tcW w:w="644" w:type="pct"/>
                    <w:vAlign w:val="bottom"/>
                  </w:tcPr>
                  <w:p w14:paraId="65F6D35D" w14:textId="77777777" w:rsidR="00B201D3" w:rsidRDefault="009855E8">
                    <w:pPr>
                      <w:kinsoku w:val="0"/>
                      <w:overflowPunct w:val="0"/>
                      <w:autoSpaceDE w:val="0"/>
                      <w:autoSpaceDN w:val="0"/>
                      <w:adjustRightInd w:val="0"/>
                      <w:snapToGrid w:val="0"/>
                      <w:ind w:right="26"/>
                      <w:jc w:val="right"/>
                      <w:rPr>
                        <w:color w:val="000000" w:themeColor="text1"/>
                      </w:rPr>
                    </w:pPr>
                    <w:r>
                      <w:rPr>
                        <w:rFonts w:hint="eastAsia"/>
                        <w:color w:val="000000" w:themeColor="text1"/>
                      </w:rPr>
                      <w:t>0</w:t>
                    </w:r>
                  </w:p>
                </w:tc>
                <w:tc>
                  <w:tcPr>
                    <w:tcW w:w="732" w:type="pct"/>
                    <w:vAlign w:val="center"/>
                  </w:tcPr>
                  <w:p w14:paraId="49177B7D" w14:textId="77777777" w:rsidR="00B201D3" w:rsidRDefault="009855E8">
                    <w:pPr>
                      <w:kinsoku w:val="0"/>
                      <w:overflowPunct w:val="0"/>
                      <w:autoSpaceDE w:val="0"/>
                      <w:autoSpaceDN w:val="0"/>
                      <w:adjustRightInd w:val="0"/>
                      <w:snapToGrid w:val="0"/>
                      <w:ind w:right="26"/>
                      <w:jc w:val="right"/>
                      <w:rPr>
                        <w:color w:val="000000" w:themeColor="text1"/>
                      </w:rPr>
                    </w:pPr>
                    <w:r>
                      <w:t>40,800</w:t>
                    </w:r>
                  </w:p>
                </w:tc>
                <w:tc>
                  <w:tcPr>
                    <w:tcW w:w="856" w:type="pct"/>
                    <w:vAlign w:val="center"/>
                  </w:tcPr>
                  <w:p w14:paraId="24E9490C" w14:textId="77777777" w:rsidR="00B201D3" w:rsidRDefault="009855E8">
                    <w:pPr>
                      <w:kinsoku w:val="0"/>
                      <w:overflowPunct w:val="0"/>
                      <w:autoSpaceDE w:val="0"/>
                      <w:autoSpaceDN w:val="0"/>
                      <w:adjustRightInd w:val="0"/>
                      <w:snapToGrid w:val="0"/>
                      <w:ind w:right="26"/>
                      <w:jc w:val="right"/>
                      <w:rPr>
                        <w:color w:val="000000" w:themeColor="text1"/>
                      </w:rPr>
                    </w:pPr>
                    <w:r>
                      <w:t>40,800</w:t>
                    </w:r>
                  </w:p>
                </w:tc>
                <w:tc>
                  <w:tcPr>
                    <w:tcW w:w="790" w:type="pct"/>
                    <w:vAlign w:val="center"/>
                  </w:tcPr>
                  <w:p w14:paraId="24A414A6" w14:textId="77777777" w:rsidR="00B201D3" w:rsidRDefault="009855E8">
                    <w:pPr>
                      <w:kinsoku w:val="0"/>
                      <w:overflowPunct w:val="0"/>
                      <w:autoSpaceDE w:val="0"/>
                      <w:autoSpaceDN w:val="0"/>
                      <w:adjustRightInd w:val="0"/>
                      <w:snapToGrid w:val="0"/>
                      <w:ind w:right="26"/>
                      <w:jc w:val="right"/>
                      <w:rPr>
                        <w:color w:val="000000" w:themeColor="text1"/>
                      </w:rPr>
                    </w:pPr>
                    <w:r>
                      <w:rPr>
                        <w:rFonts w:hint="eastAsia"/>
                        <w:color w:val="000000" w:themeColor="text1"/>
                      </w:rPr>
                      <w:t>0</w:t>
                    </w:r>
                  </w:p>
                </w:tc>
              </w:tr>
            </w:sdtContent>
          </w:sdt>
          <w:sdt>
            <w:sdtPr>
              <w:alias w:val="董事、监事、高级管理人员被授予的股权激励情况明细"/>
              <w:tag w:val="_GBC_c3e34dc75db34cfd9d2a757df8c0026e"/>
              <w:id w:val="-463263671"/>
              <w:lock w:val="sdtLocked"/>
            </w:sdtPr>
            <w:sdtEndPr>
              <w:rPr>
                <w:color w:val="000000" w:themeColor="text1"/>
              </w:rPr>
            </w:sdtEndPr>
            <w:sdtContent>
              <w:tr w:rsidR="00B201D3" w14:paraId="0C3103AF" w14:textId="77777777">
                <w:trPr>
                  <w:trHeight w:val="20"/>
                </w:trPr>
                <w:tc>
                  <w:tcPr>
                    <w:tcW w:w="536" w:type="pct"/>
                    <w:vAlign w:val="center"/>
                  </w:tcPr>
                  <w:p w14:paraId="5FE19DD3" w14:textId="77777777" w:rsidR="00B201D3" w:rsidRDefault="009855E8">
                    <w:pPr>
                      <w:kinsoku w:val="0"/>
                      <w:overflowPunct w:val="0"/>
                      <w:autoSpaceDE w:val="0"/>
                      <w:autoSpaceDN w:val="0"/>
                      <w:adjustRightInd w:val="0"/>
                      <w:snapToGrid w:val="0"/>
                      <w:ind w:right="26"/>
                    </w:pPr>
                    <w:r>
                      <w:rPr>
                        <w:rFonts w:hint="eastAsia"/>
                      </w:rPr>
                      <w:t>王九红</w:t>
                    </w:r>
                  </w:p>
                </w:tc>
                <w:sdt>
                  <w:sdtPr>
                    <w:alias w:val="董事、监事、高级管理人员被授予的股权激励情况明细-职务"/>
                    <w:tag w:val="_GBC_eabe3aae92674932b1ad6090b5317acb"/>
                    <w:id w:val="-2006589026"/>
                    <w:lock w:val="sdtLocked"/>
                    <w:comboBox>
                      <w:listItem w:displayText="董事" w:value="董事"/>
                      <w:listItem w:displayText="独立董事" w:value="独立董事"/>
                      <w:listItem w:displayText="监事" w:value="监事"/>
                      <w:listItem w:displayText="高管" w:value="高管"/>
                    </w:comboBox>
                  </w:sdtPr>
                  <w:sdtEndPr/>
                  <w:sdtContent>
                    <w:tc>
                      <w:tcPr>
                        <w:tcW w:w="732" w:type="pct"/>
                        <w:vAlign w:val="center"/>
                      </w:tcPr>
                      <w:p w14:paraId="6D709E90" w14:textId="782ED180" w:rsidR="00B201D3" w:rsidRDefault="00F46283">
                        <w:pPr>
                          <w:kinsoku w:val="0"/>
                          <w:overflowPunct w:val="0"/>
                          <w:autoSpaceDE w:val="0"/>
                          <w:autoSpaceDN w:val="0"/>
                          <w:adjustRightInd w:val="0"/>
                          <w:snapToGrid w:val="0"/>
                          <w:ind w:right="26"/>
                          <w:rPr>
                            <w:color w:val="0070C0"/>
                          </w:rPr>
                        </w:pPr>
                        <w:r>
                          <w:t>高管</w:t>
                        </w:r>
                      </w:p>
                    </w:tc>
                  </w:sdtContent>
                </w:sdt>
                <w:tc>
                  <w:tcPr>
                    <w:tcW w:w="711" w:type="pct"/>
                    <w:vAlign w:val="center"/>
                  </w:tcPr>
                  <w:p w14:paraId="147FDE45" w14:textId="77777777" w:rsidR="00B201D3" w:rsidRDefault="009855E8">
                    <w:pPr>
                      <w:kinsoku w:val="0"/>
                      <w:overflowPunct w:val="0"/>
                      <w:autoSpaceDE w:val="0"/>
                      <w:autoSpaceDN w:val="0"/>
                      <w:adjustRightInd w:val="0"/>
                      <w:snapToGrid w:val="0"/>
                      <w:ind w:right="26"/>
                      <w:jc w:val="right"/>
                      <w:rPr>
                        <w:color w:val="000000" w:themeColor="text1"/>
                      </w:rPr>
                    </w:pPr>
                    <w:r>
                      <w:t>40,800</w:t>
                    </w:r>
                  </w:p>
                </w:tc>
                <w:tc>
                  <w:tcPr>
                    <w:tcW w:w="644" w:type="pct"/>
                    <w:vAlign w:val="bottom"/>
                  </w:tcPr>
                  <w:p w14:paraId="087EBC89" w14:textId="77777777" w:rsidR="00B201D3" w:rsidRDefault="009855E8">
                    <w:pPr>
                      <w:kinsoku w:val="0"/>
                      <w:overflowPunct w:val="0"/>
                      <w:autoSpaceDE w:val="0"/>
                      <w:autoSpaceDN w:val="0"/>
                      <w:adjustRightInd w:val="0"/>
                      <w:snapToGrid w:val="0"/>
                      <w:ind w:right="26"/>
                      <w:jc w:val="right"/>
                      <w:rPr>
                        <w:color w:val="000000" w:themeColor="text1"/>
                      </w:rPr>
                    </w:pPr>
                    <w:r>
                      <w:rPr>
                        <w:rFonts w:hint="eastAsia"/>
                        <w:color w:val="000000" w:themeColor="text1"/>
                      </w:rPr>
                      <w:t>0</w:t>
                    </w:r>
                  </w:p>
                </w:tc>
                <w:tc>
                  <w:tcPr>
                    <w:tcW w:w="732" w:type="pct"/>
                    <w:vAlign w:val="center"/>
                  </w:tcPr>
                  <w:p w14:paraId="0113817B" w14:textId="77777777" w:rsidR="00B201D3" w:rsidRDefault="009855E8">
                    <w:pPr>
                      <w:kinsoku w:val="0"/>
                      <w:overflowPunct w:val="0"/>
                      <w:autoSpaceDE w:val="0"/>
                      <w:autoSpaceDN w:val="0"/>
                      <w:adjustRightInd w:val="0"/>
                      <w:snapToGrid w:val="0"/>
                      <w:ind w:right="26"/>
                      <w:jc w:val="right"/>
                      <w:rPr>
                        <w:color w:val="000000" w:themeColor="text1"/>
                      </w:rPr>
                    </w:pPr>
                    <w:r>
                      <w:t>40,800</w:t>
                    </w:r>
                  </w:p>
                </w:tc>
                <w:tc>
                  <w:tcPr>
                    <w:tcW w:w="856" w:type="pct"/>
                    <w:vAlign w:val="center"/>
                  </w:tcPr>
                  <w:p w14:paraId="645AF784" w14:textId="77777777" w:rsidR="00B201D3" w:rsidRDefault="009855E8">
                    <w:pPr>
                      <w:kinsoku w:val="0"/>
                      <w:overflowPunct w:val="0"/>
                      <w:autoSpaceDE w:val="0"/>
                      <w:autoSpaceDN w:val="0"/>
                      <w:adjustRightInd w:val="0"/>
                      <w:snapToGrid w:val="0"/>
                      <w:ind w:right="26"/>
                      <w:jc w:val="right"/>
                      <w:rPr>
                        <w:color w:val="000000" w:themeColor="text1"/>
                      </w:rPr>
                    </w:pPr>
                    <w:r>
                      <w:t>40,800</w:t>
                    </w:r>
                  </w:p>
                </w:tc>
                <w:tc>
                  <w:tcPr>
                    <w:tcW w:w="790" w:type="pct"/>
                    <w:vAlign w:val="center"/>
                  </w:tcPr>
                  <w:p w14:paraId="10D666C3" w14:textId="77777777" w:rsidR="00B201D3" w:rsidRDefault="009855E8">
                    <w:pPr>
                      <w:kinsoku w:val="0"/>
                      <w:overflowPunct w:val="0"/>
                      <w:autoSpaceDE w:val="0"/>
                      <w:autoSpaceDN w:val="0"/>
                      <w:adjustRightInd w:val="0"/>
                      <w:snapToGrid w:val="0"/>
                      <w:ind w:right="26"/>
                      <w:jc w:val="right"/>
                      <w:rPr>
                        <w:color w:val="000000" w:themeColor="text1"/>
                      </w:rPr>
                    </w:pPr>
                    <w:r>
                      <w:rPr>
                        <w:rFonts w:hint="eastAsia"/>
                        <w:color w:val="000000" w:themeColor="text1"/>
                      </w:rPr>
                      <w:t>0</w:t>
                    </w:r>
                  </w:p>
                </w:tc>
              </w:tr>
            </w:sdtContent>
          </w:sdt>
          <w:tr w:rsidR="00B201D3" w14:paraId="2691BE19" w14:textId="77777777">
            <w:trPr>
              <w:trHeight w:val="20"/>
            </w:trPr>
            <w:sdt>
              <w:sdtPr>
                <w:tag w:val="_PLD_221ea6cdbdc24c7fa3d91092ef91ac17"/>
                <w:id w:val="-1104962936"/>
                <w:lock w:val="sdtLocked"/>
              </w:sdtPr>
              <w:sdtEndPr/>
              <w:sdtContent>
                <w:tc>
                  <w:tcPr>
                    <w:tcW w:w="536" w:type="pct"/>
                    <w:shd w:val="clear" w:color="auto" w:fill="auto"/>
                    <w:vAlign w:val="center"/>
                  </w:tcPr>
                  <w:p w14:paraId="4F6716EE" w14:textId="77777777" w:rsidR="00B201D3" w:rsidRDefault="009855E8">
                    <w:pPr>
                      <w:kinsoku w:val="0"/>
                      <w:overflowPunct w:val="0"/>
                      <w:autoSpaceDE w:val="0"/>
                      <w:autoSpaceDN w:val="0"/>
                      <w:adjustRightInd w:val="0"/>
                      <w:snapToGrid w:val="0"/>
                      <w:ind w:right="26"/>
                      <w:jc w:val="center"/>
                    </w:pPr>
                    <w:r>
                      <w:rPr>
                        <w:rFonts w:hint="eastAsia"/>
                      </w:rPr>
                      <w:t>合计</w:t>
                    </w:r>
                  </w:p>
                </w:tc>
              </w:sdtContent>
            </w:sdt>
            <w:tc>
              <w:tcPr>
                <w:tcW w:w="732" w:type="pct"/>
                <w:vAlign w:val="center"/>
              </w:tcPr>
              <w:p w14:paraId="40E797CE" w14:textId="77777777" w:rsidR="00B201D3" w:rsidRDefault="009855E8">
                <w:pPr>
                  <w:kinsoku w:val="0"/>
                  <w:overflowPunct w:val="0"/>
                  <w:autoSpaceDE w:val="0"/>
                  <w:autoSpaceDN w:val="0"/>
                  <w:adjustRightInd w:val="0"/>
                  <w:snapToGrid w:val="0"/>
                  <w:ind w:right="26"/>
                  <w:jc w:val="center"/>
                </w:pPr>
                <w:r>
                  <w:t>/</w:t>
                </w:r>
              </w:p>
            </w:tc>
            <w:tc>
              <w:tcPr>
                <w:tcW w:w="711" w:type="pct"/>
                <w:vAlign w:val="center"/>
              </w:tcPr>
              <w:p w14:paraId="0FB79088" w14:textId="77777777" w:rsidR="00B201D3" w:rsidRDefault="009855E8">
                <w:pPr>
                  <w:kinsoku w:val="0"/>
                  <w:overflowPunct w:val="0"/>
                  <w:autoSpaceDE w:val="0"/>
                  <w:autoSpaceDN w:val="0"/>
                  <w:adjustRightInd w:val="0"/>
                  <w:snapToGrid w:val="0"/>
                  <w:ind w:right="26"/>
                  <w:jc w:val="right"/>
                </w:pPr>
                <w:r>
                  <w:t>323,000</w:t>
                </w:r>
              </w:p>
            </w:tc>
            <w:tc>
              <w:tcPr>
                <w:tcW w:w="644" w:type="pct"/>
                <w:vAlign w:val="center"/>
              </w:tcPr>
              <w:p w14:paraId="10306AF4" w14:textId="77777777" w:rsidR="00B201D3" w:rsidRDefault="009855E8">
                <w:pPr>
                  <w:kinsoku w:val="0"/>
                  <w:overflowPunct w:val="0"/>
                  <w:autoSpaceDE w:val="0"/>
                  <w:autoSpaceDN w:val="0"/>
                  <w:adjustRightInd w:val="0"/>
                  <w:snapToGrid w:val="0"/>
                  <w:ind w:right="26"/>
                  <w:jc w:val="right"/>
                </w:pPr>
                <w:r>
                  <w:rPr>
                    <w:rFonts w:hint="eastAsia"/>
                  </w:rPr>
                  <w:t>0</w:t>
                </w:r>
              </w:p>
            </w:tc>
            <w:tc>
              <w:tcPr>
                <w:tcW w:w="732" w:type="pct"/>
                <w:vAlign w:val="center"/>
              </w:tcPr>
              <w:p w14:paraId="2C83D94D" w14:textId="77777777" w:rsidR="00B201D3" w:rsidRDefault="009855E8">
                <w:pPr>
                  <w:kinsoku w:val="0"/>
                  <w:overflowPunct w:val="0"/>
                  <w:autoSpaceDE w:val="0"/>
                  <w:autoSpaceDN w:val="0"/>
                  <w:adjustRightInd w:val="0"/>
                  <w:snapToGrid w:val="0"/>
                  <w:ind w:right="26"/>
                  <w:jc w:val="right"/>
                </w:pPr>
                <w:r>
                  <w:t>323,000</w:t>
                </w:r>
              </w:p>
            </w:tc>
            <w:tc>
              <w:tcPr>
                <w:tcW w:w="856" w:type="pct"/>
                <w:vAlign w:val="center"/>
              </w:tcPr>
              <w:p w14:paraId="59341D76" w14:textId="77777777" w:rsidR="00B201D3" w:rsidRDefault="009855E8">
                <w:pPr>
                  <w:kinsoku w:val="0"/>
                  <w:overflowPunct w:val="0"/>
                  <w:autoSpaceDE w:val="0"/>
                  <w:autoSpaceDN w:val="0"/>
                  <w:adjustRightInd w:val="0"/>
                  <w:snapToGrid w:val="0"/>
                  <w:ind w:right="26"/>
                  <w:jc w:val="right"/>
                </w:pPr>
                <w:r>
                  <w:t>323,000</w:t>
                </w:r>
              </w:p>
            </w:tc>
            <w:tc>
              <w:tcPr>
                <w:tcW w:w="790" w:type="pct"/>
                <w:vAlign w:val="center"/>
              </w:tcPr>
              <w:p w14:paraId="3F5B2470" w14:textId="77777777" w:rsidR="00B201D3" w:rsidRDefault="009855E8">
                <w:pPr>
                  <w:kinsoku w:val="0"/>
                  <w:overflowPunct w:val="0"/>
                  <w:autoSpaceDE w:val="0"/>
                  <w:autoSpaceDN w:val="0"/>
                  <w:adjustRightInd w:val="0"/>
                  <w:snapToGrid w:val="0"/>
                  <w:ind w:right="26"/>
                  <w:jc w:val="right"/>
                </w:pPr>
                <w:r>
                  <w:rPr>
                    <w:rFonts w:hint="eastAsia"/>
                  </w:rPr>
                  <w:t>0</w:t>
                </w:r>
              </w:p>
            </w:tc>
          </w:tr>
        </w:tbl>
        <w:p w14:paraId="40367DA7" w14:textId="77777777" w:rsidR="00B201D3" w:rsidRDefault="00C8327E">
          <w:pPr>
            <w:kinsoku w:val="0"/>
            <w:overflowPunct w:val="0"/>
            <w:autoSpaceDE w:val="0"/>
            <w:autoSpaceDN w:val="0"/>
            <w:adjustRightInd w:val="0"/>
            <w:snapToGrid w:val="0"/>
            <w:rPr>
              <w:color w:val="0000FF"/>
            </w:rPr>
          </w:pPr>
        </w:p>
      </w:sdtContent>
    </w:sdt>
    <w:p w14:paraId="057F4ED5" w14:textId="77777777" w:rsidR="00B201D3" w:rsidRDefault="00B201D3">
      <w:pPr>
        <w:pStyle w:val="3903"/>
      </w:pPr>
    </w:p>
    <w:sdt>
      <w:sdtPr>
        <w:rPr>
          <w:rFonts w:ascii="宋体" w:hAnsi="宋体" w:cs="宋体" w:hint="eastAsia"/>
          <w:b w:val="0"/>
          <w:bCs w:val="0"/>
          <w:kern w:val="0"/>
          <w:szCs w:val="24"/>
        </w:rPr>
        <w:alias w:val="模块:其他董事、监事、高级管理人员和员工情况"/>
        <w:tag w:val="_SEC_a1a4d90699494886b231030a7c17645b"/>
        <w:id w:val="-270707524"/>
        <w:lock w:val="sdtLocked"/>
        <w:placeholder>
          <w:docPart w:val="GBC22222222222222222222222222222"/>
        </w:placeholder>
      </w:sdtPr>
      <w:sdtEndPr>
        <w:rPr>
          <w:rFonts w:hint="default"/>
          <w:szCs w:val="21"/>
        </w:rPr>
      </w:sdtEndPr>
      <w:sdtContent>
        <w:p w14:paraId="7FFFE8B6" w14:textId="77777777" w:rsidR="00B201D3" w:rsidRDefault="009855E8">
          <w:pPr>
            <w:pStyle w:val="3"/>
            <w:numPr>
              <w:ilvl w:val="2"/>
              <w:numId w:val="38"/>
            </w:numPr>
            <w:rPr>
              <w:rFonts w:ascii="宋体" w:hAnsi="宋体"/>
            </w:rPr>
          </w:pPr>
          <w:r>
            <w:rPr>
              <w:rFonts w:ascii="宋体" w:hAnsi="宋体" w:hint="eastAsia"/>
            </w:rPr>
            <w:t>其他说明</w:t>
          </w:r>
        </w:p>
        <w:sdt>
          <w:sdtPr>
            <w:alias w:val="是否适用：其他董事、监事、高级管理人员情况说明[双击切换]"/>
            <w:tag w:val="_GBC_8e7eb434c4c34c1b86cdb9f39b70c323"/>
            <w:id w:val="-780177916"/>
            <w:lock w:val="sdtLocked"/>
            <w:placeholder>
              <w:docPart w:val="GBC22222222222222222222222222222"/>
            </w:placeholder>
          </w:sdtPr>
          <w:sdtEndPr/>
          <w:sdtContent>
            <w:p w14:paraId="178F9C2F" w14:textId="77777777" w:rsidR="00B201D3" w:rsidRDefault="009855E8">
              <w:pPr>
                <w:pStyle w:val="390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04"/>
    <w:bookmarkEnd w:id="103"/>
    <w:p w14:paraId="7B677988" w14:textId="77777777" w:rsidR="00B201D3" w:rsidRDefault="009855E8">
      <w:pPr>
        <w:pStyle w:val="2"/>
        <w:numPr>
          <w:ilvl w:val="0"/>
          <w:numId w:val="34"/>
        </w:numPr>
        <w:spacing w:line="360" w:lineRule="auto"/>
        <w:ind w:left="422" w:hanging="422"/>
        <w:rPr>
          <w:rFonts w:ascii="宋体" w:hAnsi="宋体"/>
        </w:rPr>
      </w:pPr>
      <w:r>
        <w:rPr>
          <w:rFonts w:ascii="宋体" w:hAnsi="宋体" w:hint="eastAsia"/>
        </w:rPr>
        <w:t>控股股东或实际控制人变更情况</w:t>
      </w:r>
    </w:p>
    <w:sdt>
      <w:sdtPr>
        <w:alias w:val="模块:控股股东及实际控制人变更情况"/>
        <w:tag w:val="_GBC_2e7a202224f3494aa0093f3bd0f39d33"/>
        <w:id w:val="-298924961"/>
        <w:lock w:val="sdtLocked"/>
        <w:placeholder>
          <w:docPart w:val="GBC22222222222222222222222222222"/>
        </w:placeholder>
      </w:sdtPr>
      <w:sdtEndPr/>
      <w:sdtContent>
        <w:sdt>
          <w:sdtPr>
            <w:alias w:val="是否适用：控股股东及实际控制人变更情况[双击切换]"/>
            <w:tag w:val="_GBC_84ff369a3f714dbbbec5a13460906f4b"/>
            <w:id w:val="169145790"/>
            <w:lock w:val="sdtLocked"/>
            <w:placeholder>
              <w:docPart w:val="GBC22222222222222222222222222222"/>
            </w:placeholder>
          </w:sdtPr>
          <w:sdtEndPr/>
          <w:sdtContent>
            <w:p w14:paraId="4BAE5B07" w14:textId="77777777" w:rsidR="00B201D3" w:rsidRDefault="009855E8">
              <w:pPr>
                <w:pStyle w:val="390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AE708DC" w14:textId="77777777" w:rsidR="00B201D3" w:rsidRDefault="00C8327E">
          <w:pPr>
            <w:sectPr w:rsidR="00B201D3">
              <w:pgSz w:w="11906" w:h="16838"/>
              <w:pgMar w:top="1525" w:right="1276" w:bottom="1440" w:left="1797" w:header="851" w:footer="992" w:gutter="0"/>
              <w:cols w:space="425"/>
              <w:docGrid w:type="lines" w:linePitch="312"/>
            </w:sectPr>
          </w:pPr>
        </w:p>
      </w:sdtContent>
    </w:sdt>
    <w:p w14:paraId="0C4BE0A7" w14:textId="77777777" w:rsidR="00B201D3" w:rsidRDefault="009855E8">
      <w:pPr>
        <w:pStyle w:val="1"/>
        <w:numPr>
          <w:ilvl w:val="0"/>
          <w:numId w:val="2"/>
        </w:numPr>
        <w:rPr>
          <w:rFonts w:ascii="黑体" w:hAnsi="黑体"/>
          <w:bCs w:val="0"/>
          <w:szCs w:val="28"/>
        </w:rPr>
      </w:pPr>
      <w:bookmarkStart w:id="111" w:name="_Toc139552151"/>
      <w:bookmarkStart w:id="112" w:name="_Toc437440717"/>
      <w:bookmarkStart w:id="113" w:name="_Toc438111012"/>
      <w:bookmarkStart w:id="114" w:name="_Hlk140766683"/>
      <w:r>
        <w:rPr>
          <w:rFonts w:ascii="黑体" w:hAnsi="黑体" w:hint="eastAsia"/>
          <w:szCs w:val="28"/>
        </w:rPr>
        <w:lastRenderedPageBreak/>
        <w:t xml:space="preserve"> 债券相关情况</w:t>
      </w:r>
      <w:bookmarkEnd w:id="111"/>
      <w:bookmarkEnd w:id="112"/>
      <w:bookmarkEnd w:id="113"/>
    </w:p>
    <w:p w14:paraId="55F61C8A" w14:textId="77777777" w:rsidR="00B201D3" w:rsidRDefault="009855E8">
      <w:pPr>
        <w:pStyle w:val="2"/>
        <w:numPr>
          <w:ilvl w:val="0"/>
          <w:numId w:val="39"/>
        </w:numPr>
        <w:ind w:firstLineChars="0"/>
        <w:rPr>
          <w:rFonts w:ascii="宋体" w:hAnsi="宋体"/>
        </w:rPr>
      </w:pPr>
      <w:r>
        <w:rPr>
          <w:rFonts w:ascii="宋体" w:hAnsi="宋体" w:hint="eastAsia"/>
        </w:rPr>
        <w:t>企业债券、公司债券和非金融企业债务融资工具</w:t>
      </w:r>
    </w:p>
    <w:bookmarkStart w:id="115" w:name="_Hlk73352152" w:displacedByCustomXml="next"/>
    <w:sdt>
      <w:sdtPr>
        <w:alias w:val="是否适用：债券相关情况[双击切换]"/>
        <w:tag w:val="_GBC_8e6b9cf2d8c24a6faf41199f98e408b3"/>
        <w:id w:val="-698468618"/>
        <w:lock w:val="contentLocked"/>
        <w:placeholder>
          <w:docPart w:val="GBC22222222222222222222222222222"/>
        </w:placeholder>
      </w:sdtPr>
      <w:sdtEndPr/>
      <w:sdtContent>
        <w:p w14:paraId="5DB1CAF9" w14:textId="77777777" w:rsidR="00B201D3" w:rsidRDefault="009855E8">
          <w:pPr>
            <w:pStyle w:val="390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115"/>
    <w:p w14:paraId="08C4A16E" w14:textId="77777777" w:rsidR="00B201D3" w:rsidRDefault="00B201D3">
      <w:pPr>
        <w:pStyle w:val="3903"/>
      </w:pPr>
    </w:p>
    <w:p w14:paraId="7A71ACCF" w14:textId="77777777" w:rsidR="00B201D3" w:rsidRDefault="009855E8">
      <w:pPr>
        <w:pStyle w:val="3"/>
        <w:numPr>
          <w:ilvl w:val="0"/>
          <w:numId w:val="40"/>
        </w:numPr>
        <w:rPr>
          <w:rFonts w:ascii="宋体" w:hAnsi="宋体"/>
        </w:rPr>
      </w:pPr>
      <w:r>
        <w:rPr>
          <w:rFonts w:ascii="宋体" w:hAnsi="宋体" w:hint="eastAsia"/>
        </w:rPr>
        <w:t>企业债券</w:t>
      </w:r>
    </w:p>
    <w:sdt>
      <w:sdtPr>
        <w:rPr>
          <w:rFonts w:cs="Times New Roman" w:hint="eastAsia"/>
          <w:bCs/>
          <w:kern w:val="2"/>
        </w:rPr>
        <w:alias w:val="是否适用：企业债券相关情况[双击切换]"/>
        <w:tag w:val="_GBC_7c4c7c12d42c40e9887e57bdc1801da4"/>
        <w:id w:val="-1046368931"/>
        <w:lock w:val="sdtLocked"/>
      </w:sdtPr>
      <w:sdtEndPr/>
      <w:sdtContent>
        <w:p w14:paraId="75FF75B6" w14:textId="77777777" w:rsidR="00B201D3" w:rsidRDefault="009855E8">
          <w:pPr>
            <w:pStyle w:val="3903"/>
          </w:pPr>
          <w:r>
            <w:rPr>
              <w:rFonts w:cs="Times New Roman"/>
              <w:bCs/>
              <w:kern w:val="2"/>
            </w:rPr>
            <w:fldChar w:fldCharType="begin"/>
          </w:r>
          <w:r>
            <w:rPr>
              <w:rFonts w:cs="Times New Roman"/>
              <w:kern w:val="2"/>
            </w:rPr>
            <w:instrText xml:space="preserve"> MACROBUTTON  SnrToggleCheckbox □适用 </w:instrText>
          </w:r>
          <w:r>
            <w:rPr>
              <w:rFonts w:cs="Times New Roman"/>
              <w:bCs/>
              <w:kern w:val="2"/>
            </w:rPr>
            <w:fldChar w:fldCharType="end"/>
          </w:r>
          <w:r>
            <w:rPr>
              <w:rFonts w:cs="Times New Roman"/>
              <w:bCs/>
              <w:kern w:val="2"/>
            </w:rPr>
            <w:fldChar w:fldCharType="begin"/>
          </w:r>
          <w:r>
            <w:rPr>
              <w:rFonts w:cs="Times New Roman"/>
              <w:kern w:val="2"/>
            </w:rPr>
            <w:instrText xml:space="preserve"> MACROBUTTON  SnrToggleCheckbox √不适用 </w:instrText>
          </w:r>
          <w:r>
            <w:rPr>
              <w:rFonts w:cs="Times New Roman"/>
              <w:bCs/>
              <w:kern w:val="2"/>
            </w:rPr>
            <w:fldChar w:fldCharType="end"/>
          </w:r>
        </w:p>
      </w:sdtContent>
    </w:sdt>
    <w:p w14:paraId="6453B256" w14:textId="77777777" w:rsidR="00B201D3" w:rsidRDefault="00B201D3">
      <w:pPr>
        <w:pStyle w:val="3903"/>
      </w:pPr>
    </w:p>
    <w:p w14:paraId="79ED8ABE" w14:textId="77777777" w:rsidR="00B201D3" w:rsidRDefault="009855E8">
      <w:pPr>
        <w:pStyle w:val="3"/>
        <w:numPr>
          <w:ilvl w:val="0"/>
          <w:numId w:val="40"/>
        </w:numPr>
        <w:rPr>
          <w:rFonts w:ascii="宋体" w:hAnsi="宋体"/>
        </w:rPr>
      </w:pPr>
      <w:r>
        <w:rPr>
          <w:rFonts w:ascii="宋体" w:hAnsi="宋体" w:hint="eastAsia"/>
        </w:rPr>
        <w:t>公司债券</w:t>
      </w:r>
    </w:p>
    <w:sdt>
      <w:sdtPr>
        <w:alias w:val="是否适用：公司债券相关情况[双击切换]"/>
        <w:tag w:val="_GBC_0aefba4fc6d84d32a7c7d372906dfb2e"/>
        <w:id w:val="743150656"/>
        <w:lock w:val="sdtContentLocked"/>
      </w:sdtPr>
      <w:sdtEndPr/>
      <w:sdtContent>
        <w:p w14:paraId="28F0A4BE" w14:textId="77777777" w:rsidR="00B201D3" w:rsidRDefault="009855E8">
          <w:pPr>
            <w:pStyle w:val="390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2ECE178" w14:textId="77777777" w:rsidR="00B201D3" w:rsidRDefault="00B201D3">
      <w:pPr>
        <w:pStyle w:val="3903"/>
      </w:pPr>
    </w:p>
    <w:sdt>
      <w:sdtPr>
        <w:rPr>
          <w:rFonts w:ascii="宋体" w:hAnsi="宋体" w:cs="宋体" w:hint="eastAsia"/>
          <w:b w:val="0"/>
          <w:bCs w:val="0"/>
          <w:kern w:val="0"/>
          <w:szCs w:val="24"/>
        </w:rPr>
        <w:alias w:val="模块:公司债券基本情况"/>
        <w:tag w:val="_SEC_ea7d4fd769564315a74d9d85b6aed2f9"/>
        <w:id w:val="-1001502700"/>
        <w:lock w:val="sdtLocked"/>
      </w:sdtPr>
      <w:sdtEndPr>
        <w:rPr>
          <w:rFonts w:hint="default"/>
          <w:szCs w:val="21"/>
        </w:rPr>
      </w:sdtEndPr>
      <w:sdtContent>
        <w:p w14:paraId="44928745" w14:textId="77777777" w:rsidR="00B201D3" w:rsidRDefault="009855E8">
          <w:pPr>
            <w:pStyle w:val="4"/>
            <w:numPr>
              <w:ilvl w:val="0"/>
              <w:numId w:val="41"/>
            </w:numPr>
            <w:rPr>
              <w:rFonts w:ascii="宋体" w:hAnsi="宋体"/>
            </w:rPr>
          </w:pPr>
          <w:r>
            <w:rPr>
              <w:rFonts w:ascii="宋体" w:hAnsi="宋体" w:hint="eastAsia"/>
            </w:rPr>
            <w:t>公司债券基本情况</w:t>
          </w:r>
        </w:p>
        <w:p w14:paraId="445C3144" w14:textId="333A168B" w:rsidR="00B201D3" w:rsidRDefault="009855E8">
          <w:pPr>
            <w:jc w:val="right"/>
          </w:pPr>
          <w:r>
            <w:rPr>
              <w:rFonts w:hint="eastAsia"/>
            </w:rPr>
            <w:t>单位</w:t>
          </w:r>
          <w:r>
            <w:t>：</w:t>
          </w:r>
          <w:sdt>
            <w:sdtPr>
              <w:alias w:val="单位：财务附注：公司债券基本情况"/>
              <w:tag w:val="_GBC_bd658d77218145d782a67ef68bab687b"/>
              <w:id w:val="-1151200681"/>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sidR="00F46283">
                <w:t>亿元</w:t>
              </w:r>
            </w:sdtContent>
          </w:sdt>
          <w:r>
            <w:rPr>
              <w:rFonts w:hint="eastAsia"/>
            </w:rPr>
            <w:t xml:space="preserve">  币种</w:t>
          </w:r>
          <w:r>
            <w:t>：</w:t>
          </w:r>
          <w:sdt>
            <w:sdtPr>
              <w:alias w:val="币种：财务附注：公司债券基本情况"/>
              <w:tag w:val="_GBC_99178ae7acc84ea696b56df7822a8594"/>
              <w:id w:val="-43274631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sidR="00F46283">
                <w:t>人民币</w:t>
              </w:r>
            </w:sdtContent>
          </w:sdt>
        </w:p>
        <w:tbl>
          <w:tblPr>
            <w:tblStyle w:val="g1"/>
            <w:tblW w:w="5378"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6"/>
            <w:gridCol w:w="1036"/>
            <w:gridCol w:w="1245"/>
            <w:gridCol w:w="1266"/>
            <w:gridCol w:w="1266"/>
            <w:gridCol w:w="1266"/>
            <w:gridCol w:w="815"/>
            <w:gridCol w:w="741"/>
            <w:gridCol w:w="1549"/>
            <w:gridCol w:w="899"/>
            <w:gridCol w:w="1033"/>
            <w:gridCol w:w="1176"/>
            <w:gridCol w:w="1173"/>
          </w:tblGrid>
          <w:tr w:rsidR="00B201D3" w14:paraId="142612F8" w14:textId="77777777">
            <w:trPr>
              <w:jc w:val="center"/>
            </w:trPr>
            <w:sdt>
              <w:sdtPr>
                <w:tag w:val="_PLD_ee9ae463d25e492ca21fbb706dc69510"/>
                <w:id w:val="1899475566"/>
                <w:lock w:val="sdtLocked"/>
              </w:sdtPr>
              <w:sdtEndPr/>
              <w:sdtContent>
                <w:tc>
                  <w:tcPr>
                    <w:tcW w:w="488" w:type="pct"/>
                    <w:vAlign w:val="center"/>
                  </w:tcPr>
                  <w:p w14:paraId="1FDAD752" w14:textId="77777777" w:rsidR="00B201D3" w:rsidRDefault="009855E8">
                    <w:pPr>
                      <w:jc w:val="center"/>
                      <w:rPr>
                        <w:rFonts w:cs="Times New Roman"/>
                        <w:b/>
                        <w:bCs/>
                        <w:kern w:val="2"/>
                      </w:rPr>
                    </w:pPr>
                    <w:r>
                      <w:rPr>
                        <w:rFonts w:hint="eastAsia"/>
                      </w:rPr>
                      <w:t>债券名称</w:t>
                    </w:r>
                  </w:p>
                </w:tc>
              </w:sdtContent>
            </w:sdt>
            <w:sdt>
              <w:sdtPr>
                <w:tag w:val="_PLD_7cfab760046e4722b30a3d9d7139915a"/>
                <w:id w:val="-1851703375"/>
                <w:lock w:val="sdtLocked"/>
              </w:sdtPr>
              <w:sdtEndPr/>
              <w:sdtContent>
                <w:tc>
                  <w:tcPr>
                    <w:tcW w:w="350" w:type="pct"/>
                    <w:vAlign w:val="center"/>
                  </w:tcPr>
                  <w:p w14:paraId="2983218F" w14:textId="77777777" w:rsidR="00B201D3" w:rsidRDefault="009855E8">
                    <w:pPr>
                      <w:jc w:val="center"/>
                    </w:pPr>
                    <w:r>
                      <w:rPr>
                        <w:rFonts w:hint="eastAsia"/>
                      </w:rPr>
                      <w:t>简称</w:t>
                    </w:r>
                  </w:p>
                </w:tc>
              </w:sdtContent>
            </w:sdt>
            <w:sdt>
              <w:sdtPr>
                <w:tag w:val="_PLD_158dc23ab6eb449eb1af98db4f76a461"/>
                <w:id w:val="-1332370925"/>
                <w:lock w:val="sdtLocked"/>
              </w:sdtPr>
              <w:sdtEndPr/>
              <w:sdtContent>
                <w:tc>
                  <w:tcPr>
                    <w:tcW w:w="420" w:type="pct"/>
                    <w:vAlign w:val="center"/>
                  </w:tcPr>
                  <w:p w14:paraId="26AB2A57" w14:textId="77777777" w:rsidR="00B201D3" w:rsidRDefault="009855E8">
                    <w:pPr>
                      <w:jc w:val="center"/>
                    </w:pPr>
                    <w:r>
                      <w:rPr>
                        <w:rFonts w:hint="eastAsia"/>
                      </w:rPr>
                      <w:t>代码</w:t>
                    </w:r>
                  </w:p>
                </w:tc>
              </w:sdtContent>
            </w:sdt>
            <w:sdt>
              <w:sdtPr>
                <w:tag w:val="_PLD_0786059317ff458e8abe297727e93701"/>
                <w:id w:val="583188067"/>
                <w:lock w:val="sdtLocked"/>
              </w:sdtPr>
              <w:sdtEndPr/>
              <w:sdtContent>
                <w:tc>
                  <w:tcPr>
                    <w:tcW w:w="418" w:type="pct"/>
                    <w:vAlign w:val="center"/>
                  </w:tcPr>
                  <w:p w14:paraId="0F8418B6" w14:textId="77777777" w:rsidR="00B201D3" w:rsidRDefault="009855E8">
                    <w:pPr>
                      <w:jc w:val="center"/>
                    </w:pPr>
                    <w:r>
                      <w:rPr>
                        <w:rFonts w:hint="eastAsia"/>
                      </w:rPr>
                      <w:t>发行日</w:t>
                    </w:r>
                  </w:p>
                </w:tc>
              </w:sdtContent>
            </w:sdt>
            <w:tc>
              <w:tcPr>
                <w:tcW w:w="418" w:type="pct"/>
                <w:vAlign w:val="center"/>
              </w:tcPr>
              <w:sdt>
                <w:sdtPr>
                  <w:rPr>
                    <w:rFonts w:hint="eastAsia"/>
                  </w:rPr>
                  <w:tag w:val="_PLD_4b6f0176cf0c49b1887cd73b4c82c54c"/>
                  <w:id w:val="1354535146"/>
                  <w:lock w:val="sdtLocked"/>
                </w:sdtPr>
                <w:sdtEndPr/>
                <w:sdtContent>
                  <w:p w14:paraId="59B4AE12" w14:textId="77777777" w:rsidR="00B201D3" w:rsidRDefault="009855E8">
                    <w:pPr>
                      <w:jc w:val="center"/>
                    </w:pPr>
                    <w:r>
                      <w:rPr>
                        <w:rFonts w:hint="eastAsia"/>
                      </w:rPr>
                      <w:t>起息日</w:t>
                    </w:r>
                  </w:p>
                </w:sdtContent>
              </w:sdt>
            </w:tc>
            <w:sdt>
              <w:sdtPr>
                <w:tag w:val="_PLD_73414814a5554ab9a3b2f77ed7981a78"/>
                <w:id w:val="-1302919311"/>
                <w:lock w:val="sdtLocked"/>
              </w:sdtPr>
              <w:sdtEndPr/>
              <w:sdtContent>
                <w:tc>
                  <w:tcPr>
                    <w:tcW w:w="418" w:type="pct"/>
                    <w:vAlign w:val="center"/>
                  </w:tcPr>
                  <w:p w14:paraId="0386CBF9" w14:textId="77777777" w:rsidR="00B201D3" w:rsidRDefault="009855E8">
                    <w:pPr>
                      <w:jc w:val="center"/>
                    </w:pPr>
                    <w:r>
                      <w:rPr>
                        <w:rFonts w:hint="eastAsia"/>
                      </w:rPr>
                      <w:t>到期日</w:t>
                    </w:r>
                  </w:p>
                </w:tc>
              </w:sdtContent>
            </w:sdt>
            <w:sdt>
              <w:sdtPr>
                <w:tag w:val="_PLD_5e1a5c514ba44564b503b46180ef32f6"/>
                <w:id w:val="-1034193682"/>
                <w:lock w:val="sdtLocked"/>
              </w:sdtPr>
              <w:sdtEndPr/>
              <w:sdtContent>
                <w:tc>
                  <w:tcPr>
                    <w:tcW w:w="276" w:type="pct"/>
                    <w:vAlign w:val="center"/>
                  </w:tcPr>
                  <w:p w14:paraId="654BC45B" w14:textId="77777777" w:rsidR="00B201D3" w:rsidRDefault="009855E8">
                    <w:pPr>
                      <w:jc w:val="center"/>
                    </w:pPr>
                    <w:r>
                      <w:rPr>
                        <w:rFonts w:hint="eastAsia"/>
                      </w:rPr>
                      <w:t>债券余额</w:t>
                    </w:r>
                  </w:p>
                </w:tc>
              </w:sdtContent>
            </w:sdt>
            <w:sdt>
              <w:sdtPr>
                <w:tag w:val="_PLD_dad6727aad3e47e9a90174643bbb9999"/>
                <w:id w:val="442268597"/>
                <w:lock w:val="sdtLocked"/>
              </w:sdtPr>
              <w:sdtEndPr/>
              <w:sdtContent>
                <w:tc>
                  <w:tcPr>
                    <w:tcW w:w="244" w:type="pct"/>
                    <w:vAlign w:val="center"/>
                  </w:tcPr>
                  <w:p w14:paraId="26B8BA0A" w14:textId="77777777" w:rsidR="00B201D3" w:rsidRDefault="009855E8">
                    <w:pPr>
                      <w:jc w:val="center"/>
                    </w:pPr>
                    <w:r>
                      <w:rPr>
                        <w:rFonts w:hint="eastAsia"/>
                      </w:rPr>
                      <w:t>利率（%）</w:t>
                    </w:r>
                  </w:p>
                </w:tc>
              </w:sdtContent>
            </w:sdt>
            <w:sdt>
              <w:sdtPr>
                <w:tag w:val="_PLD_0dc08131a697459984a729607a3f1745"/>
                <w:id w:val="862552410"/>
                <w:lock w:val="sdtLocked"/>
              </w:sdtPr>
              <w:sdtEndPr/>
              <w:sdtContent>
                <w:tc>
                  <w:tcPr>
                    <w:tcW w:w="522" w:type="pct"/>
                    <w:vAlign w:val="center"/>
                  </w:tcPr>
                  <w:p w14:paraId="17C5E974" w14:textId="77777777" w:rsidR="00B201D3" w:rsidRDefault="009855E8">
                    <w:pPr>
                      <w:jc w:val="center"/>
                    </w:pPr>
                    <w:r>
                      <w:rPr>
                        <w:rFonts w:hint="eastAsia"/>
                      </w:rPr>
                      <w:t>还本付息方式</w:t>
                    </w:r>
                  </w:p>
                </w:tc>
              </w:sdtContent>
            </w:sdt>
            <w:sdt>
              <w:sdtPr>
                <w:tag w:val="_PLD_a52870a0bed34b6f81618fdbf439c3e2"/>
                <w:id w:val="-950087133"/>
                <w:lock w:val="sdtLocked"/>
              </w:sdtPr>
              <w:sdtEndPr/>
              <w:sdtContent>
                <w:tc>
                  <w:tcPr>
                    <w:tcW w:w="304" w:type="pct"/>
                    <w:vAlign w:val="center"/>
                  </w:tcPr>
                  <w:p w14:paraId="1E99B61F" w14:textId="77777777" w:rsidR="00B201D3" w:rsidRDefault="009855E8">
                    <w:pPr>
                      <w:jc w:val="center"/>
                    </w:pPr>
                    <w:r>
                      <w:rPr>
                        <w:rFonts w:hint="eastAsia"/>
                      </w:rPr>
                      <w:t>交易</w:t>
                    </w:r>
                  </w:p>
                  <w:p w14:paraId="09EC98D5" w14:textId="77777777" w:rsidR="00B201D3" w:rsidRDefault="009855E8">
                    <w:pPr>
                      <w:jc w:val="center"/>
                    </w:pPr>
                    <w:r>
                      <w:rPr>
                        <w:rFonts w:hint="eastAsia"/>
                      </w:rPr>
                      <w:t>场所</w:t>
                    </w:r>
                  </w:p>
                </w:tc>
              </w:sdtContent>
            </w:sdt>
            <w:sdt>
              <w:sdtPr>
                <w:rPr>
                  <w:rFonts w:hint="eastAsia"/>
                </w:rPr>
                <w:tag w:val="_PLD_2b5f840745ff4e6fade269d44347ba29"/>
                <w:id w:val="-406997227"/>
                <w:lock w:val="sdtLocked"/>
              </w:sdtPr>
              <w:sdtEndPr/>
              <w:sdtContent>
                <w:tc>
                  <w:tcPr>
                    <w:tcW w:w="349" w:type="pct"/>
                    <w:vAlign w:val="center"/>
                  </w:tcPr>
                  <w:p w14:paraId="54AFE77D" w14:textId="77777777" w:rsidR="00B201D3" w:rsidRDefault="009855E8">
                    <w:pPr>
                      <w:jc w:val="center"/>
                    </w:pPr>
                    <w:r>
                      <w:rPr>
                        <w:rFonts w:hint="eastAsia"/>
                      </w:rPr>
                      <w:t>投资者适当性安排（如有）</w:t>
                    </w:r>
                  </w:p>
                </w:tc>
              </w:sdtContent>
            </w:sdt>
            <w:tc>
              <w:tcPr>
                <w:tcW w:w="397" w:type="pct"/>
                <w:vAlign w:val="center"/>
              </w:tcPr>
              <w:sdt>
                <w:sdtPr>
                  <w:rPr>
                    <w:rFonts w:hint="eastAsia"/>
                  </w:rPr>
                  <w:tag w:val="_PLD_02d29026295c4cbc93c2501c0d82e582"/>
                  <w:id w:val="382300541"/>
                  <w:lock w:val="sdtLocked"/>
                </w:sdtPr>
                <w:sdtEndPr/>
                <w:sdtContent>
                  <w:p w14:paraId="7B508484" w14:textId="77777777" w:rsidR="00B201D3" w:rsidRDefault="009855E8">
                    <w:pPr>
                      <w:jc w:val="center"/>
                    </w:pPr>
                    <w:r>
                      <w:rPr>
                        <w:rFonts w:hint="eastAsia"/>
                      </w:rPr>
                      <w:t>交易机制</w:t>
                    </w:r>
                  </w:p>
                </w:sdtContent>
              </w:sdt>
            </w:tc>
            <w:sdt>
              <w:sdtPr>
                <w:rPr>
                  <w:rFonts w:hint="eastAsia"/>
                </w:rPr>
                <w:tag w:val="_PLD_537d595e1283406a968193650e8334f1"/>
                <w:id w:val="611022036"/>
                <w:lock w:val="sdtLocked"/>
              </w:sdtPr>
              <w:sdtEndPr/>
              <w:sdtContent>
                <w:tc>
                  <w:tcPr>
                    <w:tcW w:w="396" w:type="pct"/>
                  </w:tcPr>
                  <w:p w14:paraId="5AF8C18D" w14:textId="77777777" w:rsidR="00B201D3" w:rsidRDefault="009855E8">
                    <w:pPr>
                      <w:jc w:val="center"/>
                    </w:pPr>
                    <w:r>
                      <w:rPr>
                        <w:rFonts w:hint="eastAsia"/>
                      </w:rPr>
                      <w:t>是否存在终止上市交易的风险</w:t>
                    </w:r>
                  </w:p>
                </w:tc>
              </w:sdtContent>
            </w:sdt>
          </w:tr>
          <w:sdt>
            <w:sdtPr>
              <w:rPr>
                <w:rFonts w:asciiTheme="minorHAnsi" w:eastAsiaTheme="minorEastAsia" w:hAnsiTheme="minorHAnsi" w:cstheme="minorBidi" w:hint="eastAsia"/>
                <w:kern w:val="2"/>
                <w:szCs w:val="22"/>
              </w:rPr>
              <w:alias w:val="公司债券基本情况明细"/>
              <w:tag w:val="_TUP_f9a2be8b4d794140bf70d041ece6adeb"/>
              <w:id w:val="1735204645"/>
              <w:lock w:val="sdtLocked"/>
            </w:sdtPr>
            <w:sdtEndPr/>
            <w:sdtContent>
              <w:tr w:rsidR="00B201D3" w14:paraId="5FFF1B40" w14:textId="77777777">
                <w:trPr>
                  <w:jc w:val="center"/>
                </w:trPr>
                <w:tc>
                  <w:tcPr>
                    <w:tcW w:w="488" w:type="pct"/>
                    <w:vAlign w:val="center"/>
                  </w:tcPr>
                  <w:p w14:paraId="13B27848" w14:textId="77777777" w:rsidR="00B201D3" w:rsidRDefault="009855E8">
                    <w:r>
                      <w:rPr>
                        <w:rFonts w:cstheme="minorBidi" w:hint="eastAsia"/>
                        <w:kern w:val="2"/>
                      </w:rPr>
                      <w:t>2012年公司债券（第二期）</w:t>
                    </w:r>
                  </w:p>
                </w:tc>
                <w:tc>
                  <w:tcPr>
                    <w:tcW w:w="350" w:type="pct"/>
                    <w:vAlign w:val="center"/>
                  </w:tcPr>
                  <w:p w14:paraId="40BD20DF" w14:textId="77777777" w:rsidR="00B201D3" w:rsidRDefault="009855E8">
                    <w:r>
                      <w:t>12兖煤04</w:t>
                    </w:r>
                  </w:p>
                </w:tc>
                <w:tc>
                  <w:tcPr>
                    <w:tcW w:w="420" w:type="pct"/>
                    <w:vAlign w:val="center"/>
                  </w:tcPr>
                  <w:p w14:paraId="32A2E620" w14:textId="77777777" w:rsidR="00B201D3" w:rsidRDefault="009855E8">
                    <w:r>
                      <w:t>122272</w:t>
                    </w:r>
                  </w:p>
                </w:tc>
                <w:tc>
                  <w:tcPr>
                    <w:tcW w:w="418" w:type="pct"/>
                    <w:vAlign w:val="center"/>
                  </w:tcPr>
                  <w:p w14:paraId="2E632EAC" w14:textId="77777777" w:rsidR="00B201D3" w:rsidRDefault="009855E8">
                    <w:r>
                      <w:t>2014/3/3</w:t>
                    </w:r>
                  </w:p>
                </w:tc>
                <w:tc>
                  <w:tcPr>
                    <w:tcW w:w="418" w:type="pct"/>
                    <w:vAlign w:val="center"/>
                  </w:tcPr>
                  <w:p w14:paraId="2E02362E" w14:textId="77777777" w:rsidR="00B201D3" w:rsidRDefault="009855E8">
                    <w:r>
                      <w:t>2014/3/3</w:t>
                    </w:r>
                  </w:p>
                </w:tc>
                <w:tc>
                  <w:tcPr>
                    <w:tcW w:w="418" w:type="pct"/>
                    <w:vAlign w:val="center"/>
                  </w:tcPr>
                  <w:p w14:paraId="25E5574F" w14:textId="77777777" w:rsidR="00B201D3" w:rsidRDefault="009855E8">
                    <w:r>
                      <w:t>2024/3/3</w:t>
                    </w:r>
                  </w:p>
                </w:tc>
                <w:tc>
                  <w:tcPr>
                    <w:tcW w:w="276" w:type="pct"/>
                    <w:vAlign w:val="center"/>
                  </w:tcPr>
                  <w:p w14:paraId="6A5327F2" w14:textId="77777777" w:rsidR="00B201D3" w:rsidRDefault="009855E8">
                    <w:r>
                      <w:rPr>
                        <w:color w:val="000000"/>
                      </w:rPr>
                      <w:t>30.5</w:t>
                    </w:r>
                  </w:p>
                </w:tc>
                <w:tc>
                  <w:tcPr>
                    <w:tcW w:w="244" w:type="pct"/>
                    <w:vAlign w:val="center"/>
                  </w:tcPr>
                  <w:p w14:paraId="13305C3D" w14:textId="77777777" w:rsidR="00B201D3" w:rsidRDefault="009855E8">
                    <w:r>
                      <w:t>6.15</w:t>
                    </w:r>
                  </w:p>
                </w:tc>
                <w:tc>
                  <w:tcPr>
                    <w:tcW w:w="522" w:type="pct"/>
                    <w:vAlign w:val="center"/>
                  </w:tcPr>
                  <w:p w14:paraId="414F4429" w14:textId="77777777" w:rsidR="00B201D3" w:rsidRDefault="009855E8">
                    <w:pPr>
                      <w:jc w:val="both"/>
                    </w:pPr>
                    <w:r>
                      <w:rPr>
                        <w:rFonts w:hint="eastAsia"/>
                      </w:rPr>
                      <w:t>每年付息一次，到期一次还本，最后一期利息随本金一起支付</w:t>
                    </w:r>
                  </w:p>
                </w:tc>
                <w:tc>
                  <w:tcPr>
                    <w:tcW w:w="304" w:type="pct"/>
                    <w:vAlign w:val="center"/>
                  </w:tcPr>
                  <w:p w14:paraId="18F6B4FC" w14:textId="77777777" w:rsidR="00B201D3" w:rsidRDefault="009855E8">
                    <w:pPr>
                      <w:jc w:val="center"/>
                    </w:pPr>
                    <w:r>
                      <w:rPr>
                        <w:rFonts w:hint="eastAsia"/>
                      </w:rPr>
                      <w:t>上交所</w:t>
                    </w:r>
                  </w:p>
                </w:tc>
                <w:tc>
                  <w:tcPr>
                    <w:tcW w:w="349" w:type="pct"/>
                    <w:vAlign w:val="center"/>
                  </w:tcPr>
                  <w:p w14:paraId="4B89E417" w14:textId="77777777" w:rsidR="00B201D3" w:rsidRDefault="009855E8">
                    <w:r>
                      <w:rPr>
                        <w:rFonts w:hint="eastAsia"/>
                      </w:rPr>
                      <w:t>面向合格投资者</w:t>
                    </w:r>
                  </w:p>
                </w:tc>
                <w:tc>
                  <w:tcPr>
                    <w:tcW w:w="397" w:type="pct"/>
                    <w:vAlign w:val="center"/>
                  </w:tcPr>
                  <w:p w14:paraId="04001735" w14:textId="77777777" w:rsidR="00B201D3" w:rsidRDefault="009855E8">
                    <w:pPr>
                      <w:jc w:val="both"/>
                    </w:pPr>
                    <w:r>
                      <w:rPr>
                        <w:rFonts w:hint="eastAsia"/>
                      </w:rPr>
                      <w:t>竞价、报价、询价和协议交易</w:t>
                    </w:r>
                  </w:p>
                </w:tc>
                <w:sdt>
                  <w:sdtPr>
                    <w:alias w:val="公司债券基本情况明细_是否存在终止上市交易的风险 "/>
                    <w:tag w:val="_GBC_02667000c78f476fba73f0964c9865b3"/>
                    <w:id w:val="1258253678"/>
                    <w:lock w:val="sdtLocked"/>
                    <w:comboBox>
                      <w:listItem w:displayText="是" w:value="是"/>
                      <w:listItem w:displayText="否" w:value="否"/>
                    </w:comboBox>
                  </w:sdtPr>
                  <w:sdtEndPr/>
                  <w:sdtContent>
                    <w:tc>
                      <w:tcPr>
                        <w:tcW w:w="396" w:type="pct"/>
                        <w:vAlign w:val="center"/>
                      </w:tcPr>
                      <w:p w14:paraId="1286FF5C" w14:textId="2AB81871" w:rsidR="00B201D3" w:rsidRDefault="00F46283">
                        <w:pPr>
                          <w:jc w:val="center"/>
                        </w:pPr>
                        <w:r>
                          <w:t>否</w:t>
                        </w:r>
                      </w:p>
                    </w:tc>
                  </w:sdtContent>
                </w:sdt>
              </w:tr>
            </w:sdtContent>
          </w:sdt>
          <w:sdt>
            <w:sdtPr>
              <w:rPr>
                <w:rFonts w:asciiTheme="minorHAnsi" w:eastAsiaTheme="minorEastAsia" w:hAnsiTheme="minorHAnsi" w:cstheme="minorBidi" w:hint="eastAsia"/>
                <w:kern w:val="2"/>
                <w:szCs w:val="22"/>
              </w:rPr>
              <w:alias w:val="公司债券基本情况明细"/>
              <w:tag w:val="_TUP_f9a2be8b4d794140bf70d041ece6adeb"/>
              <w:id w:val="-892891477"/>
              <w:lock w:val="sdtLocked"/>
            </w:sdtPr>
            <w:sdtEndPr/>
            <w:sdtContent>
              <w:tr w:rsidR="00B201D3" w14:paraId="7AB46842" w14:textId="77777777">
                <w:trPr>
                  <w:jc w:val="center"/>
                </w:trPr>
                <w:tc>
                  <w:tcPr>
                    <w:tcW w:w="488" w:type="pct"/>
                    <w:vAlign w:val="center"/>
                  </w:tcPr>
                  <w:p w14:paraId="58C5543E" w14:textId="77777777" w:rsidR="00B201D3" w:rsidRDefault="009855E8">
                    <w:r>
                      <w:rPr>
                        <w:rFonts w:cstheme="minorBidi" w:hint="eastAsia"/>
                        <w:kern w:val="2"/>
                      </w:rPr>
                      <w:t>2020年公司债券（第一期）（品种二）</w:t>
                    </w:r>
                  </w:p>
                </w:tc>
                <w:tc>
                  <w:tcPr>
                    <w:tcW w:w="350" w:type="pct"/>
                    <w:vAlign w:val="center"/>
                  </w:tcPr>
                  <w:p w14:paraId="253DC13E" w14:textId="77777777" w:rsidR="00B201D3" w:rsidRDefault="009855E8">
                    <w:r>
                      <w:t>20兖煤02</w:t>
                    </w:r>
                  </w:p>
                </w:tc>
                <w:tc>
                  <w:tcPr>
                    <w:tcW w:w="420" w:type="pct"/>
                    <w:vAlign w:val="center"/>
                  </w:tcPr>
                  <w:p w14:paraId="4D2B1E85" w14:textId="77777777" w:rsidR="00B201D3" w:rsidRDefault="009855E8">
                    <w:r>
                      <w:t>163235</w:t>
                    </w:r>
                  </w:p>
                </w:tc>
                <w:tc>
                  <w:tcPr>
                    <w:tcW w:w="418" w:type="pct"/>
                    <w:vAlign w:val="center"/>
                  </w:tcPr>
                  <w:p w14:paraId="0A3EBA99" w14:textId="77777777" w:rsidR="00B201D3" w:rsidRDefault="009855E8">
                    <w:r>
                      <w:t>2020/3/10</w:t>
                    </w:r>
                  </w:p>
                </w:tc>
                <w:tc>
                  <w:tcPr>
                    <w:tcW w:w="418" w:type="pct"/>
                    <w:vAlign w:val="center"/>
                  </w:tcPr>
                  <w:p w14:paraId="238930BD" w14:textId="77777777" w:rsidR="00B201D3" w:rsidRDefault="009855E8">
                    <w:r>
                      <w:t>2020/3/12</w:t>
                    </w:r>
                  </w:p>
                </w:tc>
                <w:tc>
                  <w:tcPr>
                    <w:tcW w:w="418" w:type="pct"/>
                    <w:vAlign w:val="center"/>
                  </w:tcPr>
                  <w:p w14:paraId="611F7C21" w14:textId="77777777" w:rsidR="00B201D3" w:rsidRDefault="009855E8">
                    <w:r>
                      <w:t>2025/3/12</w:t>
                    </w:r>
                  </w:p>
                </w:tc>
                <w:tc>
                  <w:tcPr>
                    <w:tcW w:w="276" w:type="pct"/>
                    <w:vAlign w:val="center"/>
                  </w:tcPr>
                  <w:p w14:paraId="0FE9E40B" w14:textId="77777777" w:rsidR="00B201D3" w:rsidRDefault="009855E8">
                    <w:r>
                      <w:rPr>
                        <w:color w:val="000000"/>
                      </w:rPr>
                      <w:t>27</w:t>
                    </w:r>
                  </w:p>
                </w:tc>
                <w:tc>
                  <w:tcPr>
                    <w:tcW w:w="244" w:type="pct"/>
                    <w:vAlign w:val="center"/>
                  </w:tcPr>
                  <w:p w14:paraId="1ADE3C9C" w14:textId="77777777" w:rsidR="00B201D3" w:rsidRDefault="009855E8">
                    <w:r>
                      <w:t>3.43</w:t>
                    </w:r>
                  </w:p>
                </w:tc>
                <w:tc>
                  <w:tcPr>
                    <w:tcW w:w="522" w:type="pct"/>
                    <w:vAlign w:val="center"/>
                  </w:tcPr>
                  <w:p w14:paraId="5AC7F281" w14:textId="77777777" w:rsidR="00B201D3" w:rsidRDefault="009855E8">
                    <w:pPr>
                      <w:jc w:val="both"/>
                    </w:pPr>
                    <w:r>
                      <w:rPr>
                        <w:rFonts w:hint="eastAsia"/>
                      </w:rPr>
                      <w:t>每年付息一次，到期一次还本，最后一</w:t>
                    </w:r>
                    <w:r>
                      <w:rPr>
                        <w:rFonts w:hint="eastAsia"/>
                      </w:rPr>
                      <w:lastRenderedPageBreak/>
                      <w:t>期利息随本金一起支付</w:t>
                    </w:r>
                  </w:p>
                </w:tc>
                <w:tc>
                  <w:tcPr>
                    <w:tcW w:w="304" w:type="pct"/>
                    <w:vAlign w:val="center"/>
                  </w:tcPr>
                  <w:p w14:paraId="43AF23CB" w14:textId="77777777" w:rsidR="00B201D3" w:rsidRDefault="009855E8">
                    <w:pPr>
                      <w:jc w:val="center"/>
                    </w:pPr>
                    <w:r>
                      <w:rPr>
                        <w:rFonts w:hint="eastAsia"/>
                      </w:rPr>
                      <w:lastRenderedPageBreak/>
                      <w:t>上交所</w:t>
                    </w:r>
                  </w:p>
                </w:tc>
                <w:tc>
                  <w:tcPr>
                    <w:tcW w:w="349" w:type="pct"/>
                    <w:vAlign w:val="center"/>
                  </w:tcPr>
                  <w:p w14:paraId="30FCEFEC" w14:textId="77777777" w:rsidR="00B201D3" w:rsidRDefault="009855E8">
                    <w:r>
                      <w:rPr>
                        <w:rFonts w:hint="eastAsia"/>
                      </w:rPr>
                      <w:t>面向合格投资者</w:t>
                    </w:r>
                  </w:p>
                </w:tc>
                <w:tc>
                  <w:tcPr>
                    <w:tcW w:w="397" w:type="pct"/>
                    <w:vAlign w:val="center"/>
                  </w:tcPr>
                  <w:p w14:paraId="728D0E04" w14:textId="77777777" w:rsidR="00B201D3" w:rsidRDefault="009855E8">
                    <w:pPr>
                      <w:jc w:val="both"/>
                    </w:pPr>
                    <w:r>
                      <w:rPr>
                        <w:rFonts w:hint="eastAsia"/>
                      </w:rPr>
                      <w:t>竞价、报价、询价和协议交易</w:t>
                    </w:r>
                  </w:p>
                </w:tc>
                <w:sdt>
                  <w:sdtPr>
                    <w:alias w:val="公司债券基本情况明细_是否存在终止上市交易的风险 "/>
                    <w:tag w:val="_GBC_02667000c78f476fba73f0964c9865b3"/>
                    <w:id w:val="368491914"/>
                    <w:lock w:val="sdtLocked"/>
                    <w:comboBox>
                      <w:listItem w:displayText="是" w:value="是"/>
                      <w:listItem w:displayText="否" w:value="否"/>
                    </w:comboBox>
                  </w:sdtPr>
                  <w:sdtEndPr/>
                  <w:sdtContent>
                    <w:tc>
                      <w:tcPr>
                        <w:tcW w:w="396" w:type="pct"/>
                        <w:vAlign w:val="center"/>
                      </w:tcPr>
                      <w:p w14:paraId="285FB521" w14:textId="72FFF77B" w:rsidR="00B201D3" w:rsidRDefault="00F46283">
                        <w:pPr>
                          <w:jc w:val="center"/>
                        </w:pPr>
                        <w:r>
                          <w:t>否</w:t>
                        </w:r>
                      </w:p>
                    </w:tc>
                  </w:sdtContent>
                </w:sdt>
              </w:tr>
            </w:sdtContent>
          </w:sdt>
          <w:sdt>
            <w:sdtPr>
              <w:rPr>
                <w:rFonts w:asciiTheme="minorHAnsi" w:eastAsiaTheme="minorEastAsia" w:hAnsiTheme="minorHAnsi" w:cstheme="minorBidi" w:hint="eastAsia"/>
                <w:kern w:val="2"/>
                <w:szCs w:val="22"/>
              </w:rPr>
              <w:alias w:val="公司债券基本情况明细"/>
              <w:tag w:val="_TUP_f9a2be8b4d794140bf70d041ece6adeb"/>
              <w:id w:val="-368830164"/>
              <w:lock w:val="sdtLocked"/>
            </w:sdtPr>
            <w:sdtEndPr/>
            <w:sdtContent>
              <w:tr w:rsidR="00B201D3" w14:paraId="277BE380" w14:textId="77777777">
                <w:trPr>
                  <w:jc w:val="center"/>
                </w:trPr>
                <w:tc>
                  <w:tcPr>
                    <w:tcW w:w="488" w:type="pct"/>
                    <w:vAlign w:val="center"/>
                  </w:tcPr>
                  <w:p w14:paraId="7610B1CC" w14:textId="77777777" w:rsidR="00B201D3" w:rsidRDefault="009855E8">
                    <w:r>
                      <w:rPr>
                        <w:rFonts w:cstheme="minorBidi" w:hint="eastAsia"/>
                        <w:kern w:val="2"/>
                      </w:rPr>
                      <w:t>2020年公司债券（第一期）（品种三）</w:t>
                    </w:r>
                  </w:p>
                </w:tc>
                <w:tc>
                  <w:tcPr>
                    <w:tcW w:w="350" w:type="pct"/>
                    <w:vAlign w:val="center"/>
                  </w:tcPr>
                  <w:p w14:paraId="7981C8D4" w14:textId="77777777" w:rsidR="00B201D3" w:rsidRDefault="009855E8">
                    <w:r>
                      <w:t>20兖煤03</w:t>
                    </w:r>
                  </w:p>
                </w:tc>
                <w:tc>
                  <w:tcPr>
                    <w:tcW w:w="420" w:type="pct"/>
                    <w:vAlign w:val="center"/>
                  </w:tcPr>
                  <w:p w14:paraId="0302789C" w14:textId="77777777" w:rsidR="00B201D3" w:rsidRDefault="009855E8">
                    <w:r>
                      <w:t>163236</w:t>
                    </w:r>
                  </w:p>
                </w:tc>
                <w:tc>
                  <w:tcPr>
                    <w:tcW w:w="418" w:type="pct"/>
                    <w:vAlign w:val="center"/>
                  </w:tcPr>
                  <w:p w14:paraId="10D9BB70" w14:textId="77777777" w:rsidR="00B201D3" w:rsidRDefault="009855E8">
                    <w:r>
                      <w:t>2020/3/10</w:t>
                    </w:r>
                  </w:p>
                </w:tc>
                <w:tc>
                  <w:tcPr>
                    <w:tcW w:w="418" w:type="pct"/>
                    <w:vAlign w:val="center"/>
                  </w:tcPr>
                  <w:p w14:paraId="0BF8651A" w14:textId="77777777" w:rsidR="00B201D3" w:rsidRDefault="009855E8">
                    <w:r>
                      <w:t>2020/3/12</w:t>
                    </w:r>
                  </w:p>
                </w:tc>
                <w:tc>
                  <w:tcPr>
                    <w:tcW w:w="418" w:type="pct"/>
                    <w:vAlign w:val="center"/>
                  </w:tcPr>
                  <w:p w14:paraId="534B3D68" w14:textId="77777777" w:rsidR="00B201D3" w:rsidRDefault="009855E8">
                    <w:r>
                      <w:t>2030/3/12</w:t>
                    </w:r>
                  </w:p>
                </w:tc>
                <w:tc>
                  <w:tcPr>
                    <w:tcW w:w="276" w:type="pct"/>
                    <w:vAlign w:val="center"/>
                  </w:tcPr>
                  <w:p w14:paraId="087FAA02" w14:textId="77777777" w:rsidR="00B201D3" w:rsidRDefault="009855E8">
                    <w:r>
                      <w:rPr>
                        <w:color w:val="000000"/>
                      </w:rPr>
                      <w:t>20</w:t>
                    </w:r>
                  </w:p>
                </w:tc>
                <w:tc>
                  <w:tcPr>
                    <w:tcW w:w="244" w:type="pct"/>
                    <w:vAlign w:val="center"/>
                  </w:tcPr>
                  <w:p w14:paraId="24A9BF6F" w14:textId="77777777" w:rsidR="00B201D3" w:rsidRDefault="009855E8">
                    <w:r>
                      <w:t>4.29</w:t>
                    </w:r>
                  </w:p>
                </w:tc>
                <w:tc>
                  <w:tcPr>
                    <w:tcW w:w="522" w:type="pct"/>
                  </w:tcPr>
                  <w:p w14:paraId="1F21BB5A" w14:textId="77777777" w:rsidR="00B201D3" w:rsidRDefault="009855E8">
                    <w:pPr>
                      <w:jc w:val="both"/>
                    </w:pPr>
                    <w:r>
                      <w:rPr>
                        <w:rFonts w:hint="eastAsia"/>
                      </w:rPr>
                      <w:t>每年付息一次，到期一次还本，最后一期利息随本金一起支付</w:t>
                    </w:r>
                  </w:p>
                </w:tc>
                <w:tc>
                  <w:tcPr>
                    <w:tcW w:w="304" w:type="pct"/>
                    <w:vAlign w:val="center"/>
                  </w:tcPr>
                  <w:p w14:paraId="6C1D1DBF" w14:textId="77777777" w:rsidR="00B201D3" w:rsidRDefault="009855E8">
                    <w:pPr>
                      <w:jc w:val="center"/>
                    </w:pPr>
                    <w:r>
                      <w:rPr>
                        <w:rFonts w:hint="eastAsia"/>
                      </w:rPr>
                      <w:t>上交所</w:t>
                    </w:r>
                  </w:p>
                </w:tc>
                <w:tc>
                  <w:tcPr>
                    <w:tcW w:w="349" w:type="pct"/>
                    <w:vAlign w:val="center"/>
                  </w:tcPr>
                  <w:p w14:paraId="340B0F1D" w14:textId="77777777" w:rsidR="00B201D3" w:rsidRDefault="009855E8">
                    <w:r>
                      <w:rPr>
                        <w:rFonts w:hint="eastAsia"/>
                      </w:rPr>
                      <w:t>面向合格投资者</w:t>
                    </w:r>
                  </w:p>
                </w:tc>
                <w:tc>
                  <w:tcPr>
                    <w:tcW w:w="397" w:type="pct"/>
                    <w:vAlign w:val="center"/>
                  </w:tcPr>
                  <w:p w14:paraId="274FA693" w14:textId="77777777" w:rsidR="00B201D3" w:rsidRDefault="009855E8">
                    <w:pPr>
                      <w:jc w:val="both"/>
                    </w:pPr>
                    <w:r>
                      <w:rPr>
                        <w:rFonts w:hint="eastAsia"/>
                      </w:rPr>
                      <w:t>竞价、报价、询价和协议交易</w:t>
                    </w:r>
                  </w:p>
                </w:tc>
                <w:sdt>
                  <w:sdtPr>
                    <w:alias w:val="公司债券基本情况明细_是否存在终止上市交易的风险 "/>
                    <w:tag w:val="_GBC_02667000c78f476fba73f0964c9865b3"/>
                    <w:id w:val="-1811558234"/>
                    <w:lock w:val="sdtLocked"/>
                    <w:comboBox>
                      <w:listItem w:displayText="是" w:value="是"/>
                      <w:listItem w:displayText="否" w:value="否"/>
                    </w:comboBox>
                  </w:sdtPr>
                  <w:sdtEndPr/>
                  <w:sdtContent>
                    <w:tc>
                      <w:tcPr>
                        <w:tcW w:w="396" w:type="pct"/>
                        <w:vAlign w:val="center"/>
                      </w:tcPr>
                      <w:p w14:paraId="35B6237B" w14:textId="2408F7F2" w:rsidR="00B201D3" w:rsidRDefault="00F46283">
                        <w:pPr>
                          <w:jc w:val="center"/>
                        </w:pPr>
                        <w:r>
                          <w:t>否</w:t>
                        </w:r>
                      </w:p>
                    </w:tc>
                  </w:sdtContent>
                </w:sdt>
              </w:tr>
            </w:sdtContent>
          </w:sdt>
          <w:sdt>
            <w:sdtPr>
              <w:rPr>
                <w:rFonts w:asciiTheme="minorHAnsi" w:eastAsiaTheme="minorEastAsia" w:hAnsiTheme="minorHAnsi" w:cstheme="minorBidi" w:hint="eastAsia"/>
                <w:kern w:val="2"/>
                <w:szCs w:val="22"/>
              </w:rPr>
              <w:alias w:val="公司债券基本情况明细"/>
              <w:tag w:val="_TUP_f9a2be8b4d794140bf70d041ece6adeb"/>
              <w:id w:val="-1087684930"/>
              <w:lock w:val="sdtLocked"/>
            </w:sdtPr>
            <w:sdtEndPr/>
            <w:sdtContent>
              <w:tr w:rsidR="00B201D3" w14:paraId="5B68CACA" w14:textId="77777777">
                <w:trPr>
                  <w:jc w:val="center"/>
                </w:trPr>
                <w:tc>
                  <w:tcPr>
                    <w:tcW w:w="488" w:type="pct"/>
                    <w:vAlign w:val="center"/>
                  </w:tcPr>
                  <w:p w14:paraId="56D379B8" w14:textId="77777777" w:rsidR="00B201D3" w:rsidRDefault="009855E8">
                    <w:r>
                      <w:rPr>
                        <w:rFonts w:cstheme="minorBidi" w:hint="eastAsia"/>
                        <w:kern w:val="2"/>
                      </w:rPr>
                      <w:t>2020年公司债券（第二期）（品种一）</w:t>
                    </w:r>
                    <w:r>
                      <w:rPr>
                        <w:rFonts w:cstheme="minorBidi" w:hint="eastAsia"/>
                        <w:kern w:val="2"/>
                        <w:vertAlign w:val="superscript"/>
                      </w:rPr>
                      <w:t>①</w:t>
                    </w:r>
                  </w:p>
                </w:tc>
                <w:tc>
                  <w:tcPr>
                    <w:tcW w:w="350" w:type="pct"/>
                    <w:vAlign w:val="center"/>
                  </w:tcPr>
                  <w:p w14:paraId="09F167FB" w14:textId="77777777" w:rsidR="00B201D3" w:rsidRDefault="009855E8">
                    <w:r>
                      <w:t>20兖煤04</w:t>
                    </w:r>
                  </w:p>
                </w:tc>
                <w:tc>
                  <w:tcPr>
                    <w:tcW w:w="420" w:type="pct"/>
                    <w:vAlign w:val="center"/>
                  </w:tcPr>
                  <w:p w14:paraId="0D2EBD63" w14:textId="77777777" w:rsidR="00B201D3" w:rsidRDefault="009855E8">
                    <w:r>
                      <w:t>175274</w:t>
                    </w:r>
                  </w:p>
                </w:tc>
                <w:tc>
                  <w:tcPr>
                    <w:tcW w:w="418" w:type="pct"/>
                    <w:vAlign w:val="center"/>
                  </w:tcPr>
                  <w:p w14:paraId="55243117" w14:textId="77777777" w:rsidR="00B201D3" w:rsidRDefault="009855E8">
                    <w:r>
                      <w:t>2020/10/21</w:t>
                    </w:r>
                  </w:p>
                </w:tc>
                <w:tc>
                  <w:tcPr>
                    <w:tcW w:w="418" w:type="pct"/>
                    <w:vAlign w:val="center"/>
                  </w:tcPr>
                  <w:p w14:paraId="687C2D0C" w14:textId="77777777" w:rsidR="00B201D3" w:rsidRDefault="009855E8">
                    <w:r>
                      <w:t>2020/10/23</w:t>
                    </w:r>
                  </w:p>
                </w:tc>
                <w:tc>
                  <w:tcPr>
                    <w:tcW w:w="418" w:type="pct"/>
                    <w:vAlign w:val="center"/>
                  </w:tcPr>
                  <w:p w14:paraId="7ED92290" w14:textId="77777777" w:rsidR="00B201D3" w:rsidRDefault="009855E8">
                    <w:r>
                      <w:t>2035/10/23</w:t>
                    </w:r>
                  </w:p>
                </w:tc>
                <w:tc>
                  <w:tcPr>
                    <w:tcW w:w="276" w:type="pct"/>
                    <w:vAlign w:val="center"/>
                  </w:tcPr>
                  <w:p w14:paraId="6B0FDC28" w14:textId="77777777" w:rsidR="00B201D3" w:rsidRDefault="009855E8">
                    <w:r>
                      <w:rPr>
                        <w:color w:val="000000"/>
                      </w:rPr>
                      <w:t>35</w:t>
                    </w:r>
                  </w:p>
                </w:tc>
                <w:tc>
                  <w:tcPr>
                    <w:tcW w:w="244" w:type="pct"/>
                    <w:vAlign w:val="center"/>
                  </w:tcPr>
                  <w:p w14:paraId="5A7DCF75" w14:textId="77777777" w:rsidR="00B201D3" w:rsidRDefault="009855E8">
                    <w:r>
                      <w:t>3.89</w:t>
                    </w:r>
                  </w:p>
                </w:tc>
                <w:tc>
                  <w:tcPr>
                    <w:tcW w:w="522" w:type="pct"/>
                  </w:tcPr>
                  <w:p w14:paraId="278CAF1F" w14:textId="77777777" w:rsidR="00B201D3" w:rsidRDefault="009855E8">
                    <w:pPr>
                      <w:jc w:val="both"/>
                    </w:pPr>
                    <w:r>
                      <w:rPr>
                        <w:rFonts w:hint="eastAsia"/>
                      </w:rPr>
                      <w:t>每年付息一次，到期一次还本，最后一期利息随本金一起支付</w:t>
                    </w:r>
                  </w:p>
                </w:tc>
                <w:tc>
                  <w:tcPr>
                    <w:tcW w:w="304" w:type="pct"/>
                    <w:vAlign w:val="center"/>
                  </w:tcPr>
                  <w:p w14:paraId="5B26F627" w14:textId="77777777" w:rsidR="00B201D3" w:rsidRDefault="009855E8">
                    <w:pPr>
                      <w:jc w:val="center"/>
                    </w:pPr>
                    <w:r>
                      <w:rPr>
                        <w:rFonts w:hint="eastAsia"/>
                      </w:rPr>
                      <w:t>上交所</w:t>
                    </w:r>
                  </w:p>
                </w:tc>
                <w:tc>
                  <w:tcPr>
                    <w:tcW w:w="349" w:type="pct"/>
                    <w:vAlign w:val="center"/>
                  </w:tcPr>
                  <w:p w14:paraId="00BE115C" w14:textId="77777777" w:rsidR="00B201D3" w:rsidRDefault="009855E8">
                    <w:pPr>
                      <w:jc w:val="both"/>
                    </w:pPr>
                    <w:r>
                      <w:rPr>
                        <w:rFonts w:hint="eastAsia"/>
                      </w:rPr>
                      <w:t>面向合格投资者</w:t>
                    </w:r>
                  </w:p>
                </w:tc>
                <w:tc>
                  <w:tcPr>
                    <w:tcW w:w="397" w:type="pct"/>
                  </w:tcPr>
                  <w:p w14:paraId="16ACAC13" w14:textId="77777777" w:rsidR="00B201D3" w:rsidRDefault="009855E8">
                    <w:pPr>
                      <w:jc w:val="both"/>
                    </w:pPr>
                    <w:r>
                      <w:rPr>
                        <w:rFonts w:hint="eastAsia"/>
                      </w:rPr>
                      <w:t>竞价、报价、询价和协议交易</w:t>
                    </w:r>
                  </w:p>
                </w:tc>
                <w:sdt>
                  <w:sdtPr>
                    <w:alias w:val="公司债券基本情况明细_是否存在终止上市交易的风险 "/>
                    <w:tag w:val="_GBC_02667000c78f476fba73f0964c9865b3"/>
                    <w:id w:val="143407919"/>
                    <w:lock w:val="sdtLocked"/>
                    <w:comboBox>
                      <w:listItem w:displayText="是" w:value="是"/>
                      <w:listItem w:displayText="否" w:value="否"/>
                    </w:comboBox>
                  </w:sdtPr>
                  <w:sdtEndPr/>
                  <w:sdtContent>
                    <w:tc>
                      <w:tcPr>
                        <w:tcW w:w="396" w:type="pct"/>
                        <w:vAlign w:val="center"/>
                      </w:tcPr>
                      <w:p w14:paraId="79520A79" w14:textId="06092379" w:rsidR="00B201D3" w:rsidRDefault="00F46283">
                        <w:pPr>
                          <w:jc w:val="center"/>
                        </w:pPr>
                        <w:r>
                          <w:t>否</w:t>
                        </w:r>
                      </w:p>
                    </w:tc>
                  </w:sdtContent>
                </w:sdt>
              </w:tr>
            </w:sdtContent>
          </w:sdt>
          <w:sdt>
            <w:sdtPr>
              <w:rPr>
                <w:rFonts w:asciiTheme="minorHAnsi" w:eastAsiaTheme="minorEastAsia" w:hAnsiTheme="minorHAnsi" w:cstheme="minorBidi" w:hint="eastAsia"/>
                <w:kern w:val="2"/>
                <w:szCs w:val="22"/>
              </w:rPr>
              <w:alias w:val="公司债券基本情况明细"/>
              <w:tag w:val="_TUP_f9a2be8b4d794140bf70d041ece6adeb"/>
              <w:id w:val="735516429"/>
              <w:lock w:val="sdtLocked"/>
            </w:sdtPr>
            <w:sdtEndPr/>
            <w:sdtContent>
              <w:tr w:rsidR="00B201D3" w14:paraId="6544D57C" w14:textId="77777777">
                <w:trPr>
                  <w:jc w:val="center"/>
                </w:trPr>
                <w:tc>
                  <w:tcPr>
                    <w:tcW w:w="488" w:type="pct"/>
                    <w:vAlign w:val="center"/>
                  </w:tcPr>
                  <w:p w14:paraId="5E388F28" w14:textId="77777777" w:rsidR="00B201D3" w:rsidRDefault="009855E8">
                    <w:r>
                      <w:rPr>
                        <w:rFonts w:cstheme="minorBidi" w:hint="eastAsia"/>
                        <w:kern w:val="2"/>
                      </w:rPr>
                      <w:t>2020年公司债券（第二期）（品种二）</w:t>
                    </w:r>
                    <w:r>
                      <w:rPr>
                        <w:rFonts w:cstheme="minorBidi" w:hint="eastAsia"/>
                        <w:kern w:val="2"/>
                        <w:vertAlign w:val="superscript"/>
                      </w:rPr>
                      <w:t>②</w:t>
                    </w:r>
                  </w:p>
                </w:tc>
                <w:tc>
                  <w:tcPr>
                    <w:tcW w:w="350" w:type="pct"/>
                    <w:vAlign w:val="center"/>
                  </w:tcPr>
                  <w:p w14:paraId="3AD8E153" w14:textId="77777777" w:rsidR="00B201D3" w:rsidRDefault="009855E8">
                    <w:r>
                      <w:t>20兖煤05</w:t>
                    </w:r>
                  </w:p>
                </w:tc>
                <w:tc>
                  <w:tcPr>
                    <w:tcW w:w="420" w:type="pct"/>
                    <w:vAlign w:val="center"/>
                  </w:tcPr>
                  <w:p w14:paraId="2D49074B" w14:textId="77777777" w:rsidR="00B201D3" w:rsidRDefault="009855E8">
                    <w:r>
                      <w:t>175275</w:t>
                    </w:r>
                  </w:p>
                </w:tc>
                <w:tc>
                  <w:tcPr>
                    <w:tcW w:w="418" w:type="pct"/>
                    <w:vAlign w:val="center"/>
                  </w:tcPr>
                  <w:p w14:paraId="65A98F6D" w14:textId="77777777" w:rsidR="00B201D3" w:rsidRDefault="009855E8">
                    <w:r>
                      <w:t>2020/10/21</w:t>
                    </w:r>
                  </w:p>
                </w:tc>
                <w:tc>
                  <w:tcPr>
                    <w:tcW w:w="418" w:type="pct"/>
                    <w:vAlign w:val="center"/>
                  </w:tcPr>
                  <w:p w14:paraId="34F037DE" w14:textId="77777777" w:rsidR="00B201D3" w:rsidRDefault="009855E8">
                    <w:r>
                      <w:t>2020/10/23</w:t>
                    </w:r>
                  </w:p>
                </w:tc>
                <w:tc>
                  <w:tcPr>
                    <w:tcW w:w="418" w:type="pct"/>
                    <w:vAlign w:val="center"/>
                  </w:tcPr>
                  <w:p w14:paraId="7E9C0F5E" w14:textId="77777777" w:rsidR="00B201D3" w:rsidRDefault="009855E8">
                    <w:r>
                      <w:t>2030/10/23</w:t>
                    </w:r>
                  </w:p>
                </w:tc>
                <w:tc>
                  <w:tcPr>
                    <w:tcW w:w="276" w:type="pct"/>
                    <w:vAlign w:val="center"/>
                  </w:tcPr>
                  <w:p w14:paraId="4406938B" w14:textId="77777777" w:rsidR="00B201D3" w:rsidRDefault="009855E8">
                    <w:r>
                      <w:rPr>
                        <w:color w:val="000000"/>
                      </w:rPr>
                      <w:t>15</w:t>
                    </w:r>
                  </w:p>
                </w:tc>
                <w:tc>
                  <w:tcPr>
                    <w:tcW w:w="244" w:type="pct"/>
                    <w:vAlign w:val="center"/>
                  </w:tcPr>
                  <w:p w14:paraId="4B5701DA" w14:textId="77777777" w:rsidR="00B201D3" w:rsidRDefault="009855E8">
                    <w:r>
                      <w:t>4.27</w:t>
                    </w:r>
                  </w:p>
                </w:tc>
                <w:tc>
                  <w:tcPr>
                    <w:tcW w:w="522" w:type="pct"/>
                  </w:tcPr>
                  <w:p w14:paraId="63EEF789" w14:textId="77777777" w:rsidR="00B201D3" w:rsidRDefault="009855E8">
                    <w:pPr>
                      <w:jc w:val="both"/>
                    </w:pPr>
                    <w:r>
                      <w:rPr>
                        <w:rFonts w:hint="eastAsia"/>
                      </w:rPr>
                      <w:t>每年付息一次，到期一次还本，最后一期利息随本金一起支付</w:t>
                    </w:r>
                  </w:p>
                </w:tc>
                <w:tc>
                  <w:tcPr>
                    <w:tcW w:w="304" w:type="pct"/>
                    <w:vAlign w:val="center"/>
                  </w:tcPr>
                  <w:p w14:paraId="619B3FD3" w14:textId="77777777" w:rsidR="00B201D3" w:rsidRDefault="009855E8">
                    <w:pPr>
                      <w:jc w:val="center"/>
                    </w:pPr>
                    <w:r>
                      <w:rPr>
                        <w:rFonts w:hint="eastAsia"/>
                      </w:rPr>
                      <w:t>上交所</w:t>
                    </w:r>
                  </w:p>
                </w:tc>
                <w:tc>
                  <w:tcPr>
                    <w:tcW w:w="349" w:type="pct"/>
                    <w:vAlign w:val="center"/>
                  </w:tcPr>
                  <w:p w14:paraId="1BEC6190" w14:textId="77777777" w:rsidR="00B201D3" w:rsidRDefault="009855E8">
                    <w:pPr>
                      <w:jc w:val="both"/>
                    </w:pPr>
                    <w:r>
                      <w:rPr>
                        <w:rFonts w:hint="eastAsia"/>
                      </w:rPr>
                      <w:t>面向合格投资者</w:t>
                    </w:r>
                  </w:p>
                </w:tc>
                <w:tc>
                  <w:tcPr>
                    <w:tcW w:w="397" w:type="pct"/>
                  </w:tcPr>
                  <w:p w14:paraId="566797F8" w14:textId="77777777" w:rsidR="00B201D3" w:rsidRDefault="009855E8">
                    <w:pPr>
                      <w:jc w:val="both"/>
                    </w:pPr>
                    <w:r>
                      <w:rPr>
                        <w:rFonts w:hint="eastAsia"/>
                      </w:rPr>
                      <w:t>竞价、报价、询价和协议交易</w:t>
                    </w:r>
                  </w:p>
                </w:tc>
                <w:sdt>
                  <w:sdtPr>
                    <w:alias w:val="公司债券基本情况明细_是否存在终止上市交易的风险 "/>
                    <w:tag w:val="_GBC_02667000c78f476fba73f0964c9865b3"/>
                    <w:id w:val="1544641065"/>
                    <w:lock w:val="sdtLocked"/>
                    <w:comboBox>
                      <w:listItem w:displayText="是" w:value="是"/>
                      <w:listItem w:displayText="否" w:value="否"/>
                    </w:comboBox>
                  </w:sdtPr>
                  <w:sdtEndPr/>
                  <w:sdtContent>
                    <w:tc>
                      <w:tcPr>
                        <w:tcW w:w="396" w:type="pct"/>
                        <w:vAlign w:val="center"/>
                      </w:tcPr>
                      <w:p w14:paraId="5F3DE9F2" w14:textId="782D3DF0" w:rsidR="00B201D3" w:rsidRDefault="00F46283">
                        <w:pPr>
                          <w:jc w:val="center"/>
                        </w:pPr>
                        <w:r>
                          <w:t>否</w:t>
                        </w:r>
                      </w:p>
                    </w:tc>
                  </w:sdtContent>
                </w:sdt>
              </w:tr>
            </w:sdtContent>
          </w:sdt>
          <w:sdt>
            <w:sdtPr>
              <w:rPr>
                <w:rFonts w:asciiTheme="minorHAnsi" w:eastAsiaTheme="minorEastAsia" w:hAnsiTheme="minorHAnsi" w:cstheme="minorBidi" w:hint="eastAsia"/>
                <w:kern w:val="2"/>
                <w:szCs w:val="22"/>
              </w:rPr>
              <w:alias w:val="公司债券基本情况明细"/>
              <w:tag w:val="_TUP_f9a2be8b4d794140bf70d041ece6adeb"/>
              <w:id w:val="-324751922"/>
              <w:lock w:val="sdtLocked"/>
            </w:sdtPr>
            <w:sdtEndPr/>
            <w:sdtContent>
              <w:tr w:rsidR="00B201D3" w14:paraId="4965FE44" w14:textId="77777777">
                <w:trPr>
                  <w:jc w:val="center"/>
                </w:trPr>
                <w:tc>
                  <w:tcPr>
                    <w:tcW w:w="488" w:type="pct"/>
                    <w:vAlign w:val="center"/>
                  </w:tcPr>
                  <w:p w14:paraId="1CBED775" w14:textId="77777777" w:rsidR="00B201D3" w:rsidRDefault="009855E8">
                    <w:r>
                      <w:rPr>
                        <w:rFonts w:cstheme="minorBidi" w:hint="eastAsia"/>
                        <w:kern w:val="2"/>
                      </w:rPr>
                      <w:t>2021年公司债券（第一期）（品种一）</w:t>
                    </w:r>
                  </w:p>
                </w:tc>
                <w:tc>
                  <w:tcPr>
                    <w:tcW w:w="350" w:type="pct"/>
                    <w:vAlign w:val="center"/>
                  </w:tcPr>
                  <w:p w14:paraId="605C5C13" w14:textId="77777777" w:rsidR="00B201D3" w:rsidRDefault="009855E8">
                    <w:r>
                      <w:t>21</w:t>
                    </w:r>
                    <w:r>
                      <w:rPr>
                        <w:rFonts w:hint="eastAsia"/>
                      </w:rPr>
                      <w:t>兖煤</w:t>
                    </w:r>
                    <w:r>
                      <w:t>01</w:t>
                    </w:r>
                  </w:p>
                </w:tc>
                <w:tc>
                  <w:tcPr>
                    <w:tcW w:w="420" w:type="pct"/>
                    <w:vAlign w:val="center"/>
                  </w:tcPr>
                  <w:p w14:paraId="5245240F" w14:textId="77777777" w:rsidR="00B201D3" w:rsidRDefault="009855E8">
                    <w:r>
                      <w:t>188163</w:t>
                    </w:r>
                  </w:p>
                </w:tc>
                <w:tc>
                  <w:tcPr>
                    <w:tcW w:w="418" w:type="pct"/>
                    <w:vAlign w:val="center"/>
                  </w:tcPr>
                  <w:p w14:paraId="41854783" w14:textId="77777777" w:rsidR="00B201D3" w:rsidRDefault="009855E8">
                    <w:r>
                      <w:t>2021/5/28</w:t>
                    </w:r>
                  </w:p>
                </w:tc>
                <w:tc>
                  <w:tcPr>
                    <w:tcW w:w="418" w:type="pct"/>
                    <w:vAlign w:val="center"/>
                  </w:tcPr>
                  <w:p w14:paraId="3115544B" w14:textId="77777777" w:rsidR="00B201D3" w:rsidRDefault="009855E8">
                    <w:r>
                      <w:t>2021/5/31</w:t>
                    </w:r>
                  </w:p>
                </w:tc>
                <w:tc>
                  <w:tcPr>
                    <w:tcW w:w="418" w:type="pct"/>
                    <w:vAlign w:val="center"/>
                  </w:tcPr>
                  <w:p w14:paraId="1A4F83B6" w14:textId="77777777" w:rsidR="00B201D3" w:rsidRDefault="009855E8">
                    <w:r>
                      <w:t>2024/5/31</w:t>
                    </w:r>
                  </w:p>
                </w:tc>
                <w:tc>
                  <w:tcPr>
                    <w:tcW w:w="276" w:type="pct"/>
                    <w:vAlign w:val="center"/>
                  </w:tcPr>
                  <w:p w14:paraId="777C9503" w14:textId="77777777" w:rsidR="00B201D3" w:rsidRDefault="009855E8">
                    <w:r>
                      <w:rPr>
                        <w:color w:val="000000"/>
                      </w:rPr>
                      <w:t>30</w:t>
                    </w:r>
                  </w:p>
                </w:tc>
                <w:tc>
                  <w:tcPr>
                    <w:tcW w:w="244" w:type="pct"/>
                    <w:vAlign w:val="center"/>
                  </w:tcPr>
                  <w:p w14:paraId="016D8144" w14:textId="77777777" w:rsidR="00B201D3" w:rsidRDefault="009855E8">
                    <w:r>
                      <w:t>3.74</w:t>
                    </w:r>
                  </w:p>
                </w:tc>
                <w:tc>
                  <w:tcPr>
                    <w:tcW w:w="522" w:type="pct"/>
                  </w:tcPr>
                  <w:p w14:paraId="6104B3D7" w14:textId="77777777" w:rsidR="00B201D3" w:rsidRDefault="009855E8">
                    <w:pPr>
                      <w:jc w:val="both"/>
                    </w:pPr>
                    <w:r>
                      <w:rPr>
                        <w:rFonts w:hint="eastAsia"/>
                      </w:rPr>
                      <w:t>每年付息一次，到期一次还本，最后一期利息随本金一起支付</w:t>
                    </w:r>
                  </w:p>
                </w:tc>
                <w:tc>
                  <w:tcPr>
                    <w:tcW w:w="304" w:type="pct"/>
                    <w:vAlign w:val="center"/>
                  </w:tcPr>
                  <w:p w14:paraId="0C742A68" w14:textId="77777777" w:rsidR="00B201D3" w:rsidRDefault="009855E8">
                    <w:pPr>
                      <w:jc w:val="center"/>
                    </w:pPr>
                    <w:r>
                      <w:rPr>
                        <w:rFonts w:hint="eastAsia"/>
                      </w:rPr>
                      <w:t>上交所</w:t>
                    </w:r>
                  </w:p>
                </w:tc>
                <w:tc>
                  <w:tcPr>
                    <w:tcW w:w="349" w:type="pct"/>
                    <w:vAlign w:val="center"/>
                  </w:tcPr>
                  <w:p w14:paraId="5F8B9AEA" w14:textId="77777777" w:rsidR="00B201D3" w:rsidRDefault="009855E8">
                    <w:pPr>
                      <w:jc w:val="both"/>
                    </w:pPr>
                    <w:r>
                      <w:rPr>
                        <w:rFonts w:hint="eastAsia"/>
                      </w:rPr>
                      <w:t>面向合格投资者</w:t>
                    </w:r>
                  </w:p>
                </w:tc>
                <w:tc>
                  <w:tcPr>
                    <w:tcW w:w="397" w:type="pct"/>
                  </w:tcPr>
                  <w:p w14:paraId="09C2F99F" w14:textId="77777777" w:rsidR="00B201D3" w:rsidRDefault="009855E8">
                    <w:pPr>
                      <w:jc w:val="both"/>
                    </w:pPr>
                    <w:r>
                      <w:rPr>
                        <w:rFonts w:hint="eastAsia"/>
                      </w:rPr>
                      <w:t>竞价、报价、询价和协议交易</w:t>
                    </w:r>
                  </w:p>
                </w:tc>
                <w:sdt>
                  <w:sdtPr>
                    <w:alias w:val="公司债券基本情况明细_是否存在终止上市交易的风险 "/>
                    <w:tag w:val="_GBC_02667000c78f476fba73f0964c9865b3"/>
                    <w:id w:val="-1553152908"/>
                    <w:lock w:val="sdtLocked"/>
                    <w:comboBox>
                      <w:listItem w:displayText="是" w:value="是"/>
                      <w:listItem w:displayText="否" w:value="否"/>
                    </w:comboBox>
                  </w:sdtPr>
                  <w:sdtEndPr/>
                  <w:sdtContent>
                    <w:tc>
                      <w:tcPr>
                        <w:tcW w:w="396" w:type="pct"/>
                        <w:vAlign w:val="center"/>
                      </w:tcPr>
                      <w:p w14:paraId="17EF10D8" w14:textId="460B537F" w:rsidR="00B201D3" w:rsidRDefault="00F46283">
                        <w:pPr>
                          <w:jc w:val="center"/>
                        </w:pPr>
                        <w:r>
                          <w:t>否</w:t>
                        </w:r>
                      </w:p>
                    </w:tc>
                  </w:sdtContent>
                </w:sdt>
              </w:tr>
            </w:sdtContent>
          </w:sdt>
          <w:sdt>
            <w:sdtPr>
              <w:rPr>
                <w:rFonts w:asciiTheme="minorHAnsi" w:eastAsiaTheme="minorEastAsia" w:hAnsiTheme="minorHAnsi" w:cstheme="minorBidi" w:hint="eastAsia"/>
                <w:kern w:val="2"/>
                <w:szCs w:val="22"/>
              </w:rPr>
              <w:alias w:val="公司债券基本情况明细"/>
              <w:tag w:val="_TUP_f9a2be8b4d794140bf70d041ece6adeb"/>
              <w:id w:val="44189393"/>
              <w:lock w:val="sdtLocked"/>
            </w:sdtPr>
            <w:sdtEndPr/>
            <w:sdtContent>
              <w:tr w:rsidR="00B201D3" w14:paraId="7027B73B" w14:textId="77777777">
                <w:trPr>
                  <w:jc w:val="center"/>
                </w:trPr>
                <w:tc>
                  <w:tcPr>
                    <w:tcW w:w="488" w:type="pct"/>
                    <w:vAlign w:val="center"/>
                  </w:tcPr>
                  <w:p w14:paraId="68D861B3" w14:textId="77777777" w:rsidR="00B201D3" w:rsidRDefault="009855E8">
                    <w:r>
                      <w:rPr>
                        <w:rFonts w:cstheme="minorBidi" w:hint="eastAsia"/>
                        <w:kern w:val="2"/>
                      </w:rPr>
                      <w:t>2021年公司债券（第一期）（品种二）</w:t>
                    </w:r>
                  </w:p>
                </w:tc>
                <w:tc>
                  <w:tcPr>
                    <w:tcW w:w="350" w:type="pct"/>
                    <w:vAlign w:val="center"/>
                  </w:tcPr>
                  <w:p w14:paraId="5028F88D" w14:textId="77777777" w:rsidR="00B201D3" w:rsidRDefault="009855E8">
                    <w:r>
                      <w:t>21兖煤02</w:t>
                    </w:r>
                  </w:p>
                </w:tc>
                <w:tc>
                  <w:tcPr>
                    <w:tcW w:w="420" w:type="pct"/>
                    <w:vAlign w:val="center"/>
                  </w:tcPr>
                  <w:p w14:paraId="4ED421F9" w14:textId="77777777" w:rsidR="00B201D3" w:rsidRDefault="009855E8">
                    <w:r>
                      <w:t>188164</w:t>
                    </w:r>
                  </w:p>
                </w:tc>
                <w:tc>
                  <w:tcPr>
                    <w:tcW w:w="418" w:type="pct"/>
                    <w:vAlign w:val="center"/>
                  </w:tcPr>
                  <w:p w14:paraId="3B2824C0" w14:textId="77777777" w:rsidR="00B201D3" w:rsidRDefault="009855E8">
                    <w:r>
                      <w:t>2021/5/28</w:t>
                    </w:r>
                  </w:p>
                </w:tc>
                <w:tc>
                  <w:tcPr>
                    <w:tcW w:w="418" w:type="pct"/>
                    <w:vAlign w:val="center"/>
                  </w:tcPr>
                  <w:p w14:paraId="0E16A4AF" w14:textId="77777777" w:rsidR="00B201D3" w:rsidRDefault="009855E8">
                    <w:r>
                      <w:t>2021/5/31</w:t>
                    </w:r>
                  </w:p>
                </w:tc>
                <w:tc>
                  <w:tcPr>
                    <w:tcW w:w="418" w:type="pct"/>
                    <w:vAlign w:val="center"/>
                  </w:tcPr>
                  <w:p w14:paraId="15B87344" w14:textId="77777777" w:rsidR="00B201D3" w:rsidRDefault="009855E8">
                    <w:r>
                      <w:t>2026/5/31</w:t>
                    </w:r>
                  </w:p>
                </w:tc>
                <w:tc>
                  <w:tcPr>
                    <w:tcW w:w="276" w:type="pct"/>
                    <w:vAlign w:val="center"/>
                  </w:tcPr>
                  <w:p w14:paraId="602AB930" w14:textId="77777777" w:rsidR="00B201D3" w:rsidRDefault="009855E8">
                    <w:r>
                      <w:rPr>
                        <w:color w:val="000000"/>
                      </w:rPr>
                      <w:t>10</w:t>
                    </w:r>
                  </w:p>
                </w:tc>
                <w:tc>
                  <w:tcPr>
                    <w:tcW w:w="244" w:type="pct"/>
                    <w:vAlign w:val="center"/>
                  </w:tcPr>
                  <w:p w14:paraId="620F5D32" w14:textId="77777777" w:rsidR="00B201D3" w:rsidRDefault="009855E8">
                    <w:r>
                      <w:t>4.13</w:t>
                    </w:r>
                  </w:p>
                </w:tc>
                <w:tc>
                  <w:tcPr>
                    <w:tcW w:w="522" w:type="pct"/>
                  </w:tcPr>
                  <w:p w14:paraId="0277438D" w14:textId="77777777" w:rsidR="00B201D3" w:rsidRDefault="009855E8">
                    <w:pPr>
                      <w:jc w:val="both"/>
                    </w:pPr>
                    <w:r>
                      <w:rPr>
                        <w:rFonts w:hint="eastAsia"/>
                      </w:rPr>
                      <w:t>每年付息一次，到期一次还本，最后一期利息随本金一起支付</w:t>
                    </w:r>
                  </w:p>
                </w:tc>
                <w:tc>
                  <w:tcPr>
                    <w:tcW w:w="304" w:type="pct"/>
                    <w:vAlign w:val="center"/>
                  </w:tcPr>
                  <w:p w14:paraId="3467196B" w14:textId="77777777" w:rsidR="00B201D3" w:rsidRDefault="009855E8">
                    <w:pPr>
                      <w:jc w:val="center"/>
                    </w:pPr>
                    <w:r>
                      <w:rPr>
                        <w:rFonts w:hint="eastAsia"/>
                      </w:rPr>
                      <w:t>上交所</w:t>
                    </w:r>
                  </w:p>
                </w:tc>
                <w:tc>
                  <w:tcPr>
                    <w:tcW w:w="349" w:type="pct"/>
                    <w:vAlign w:val="center"/>
                  </w:tcPr>
                  <w:p w14:paraId="7246E341" w14:textId="77777777" w:rsidR="00B201D3" w:rsidRDefault="009855E8">
                    <w:pPr>
                      <w:jc w:val="both"/>
                    </w:pPr>
                    <w:r>
                      <w:rPr>
                        <w:rFonts w:hint="eastAsia"/>
                      </w:rPr>
                      <w:t>面向合格投资者</w:t>
                    </w:r>
                  </w:p>
                </w:tc>
                <w:tc>
                  <w:tcPr>
                    <w:tcW w:w="397" w:type="pct"/>
                  </w:tcPr>
                  <w:p w14:paraId="24892D1A" w14:textId="77777777" w:rsidR="00B201D3" w:rsidRDefault="009855E8">
                    <w:pPr>
                      <w:jc w:val="both"/>
                    </w:pPr>
                    <w:r>
                      <w:rPr>
                        <w:rFonts w:hint="eastAsia"/>
                      </w:rPr>
                      <w:t>竞价、报价、询价和协议交易</w:t>
                    </w:r>
                  </w:p>
                </w:tc>
                <w:sdt>
                  <w:sdtPr>
                    <w:alias w:val="公司债券基本情况明细_是否存在终止上市交易的风险 "/>
                    <w:tag w:val="_GBC_02667000c78f476fba73f0964c9865b3"/>
                    <w:id w:val="672080253"/>
                    <w:lock w:val="sdtLocked"/>
                    <w:comboBox>
                      <w:listItem w:displayText="是" w:value="是"/>
                      <w:listItem w:displayText="否" w:value="否"/>
                    </w:comboBox>
                  </w:sdtPr>
                  <w:sdtEndPr/>
                  <w:sdtContent>
                    <w:tc>
                      <w:tcPr>
                        <w:tcW w:w="396" w:type="pct"/>
                        <w:vAlign w:val="center"/>
                      </w:tcPr>
                      <w:p w14:paraId="3D93F4EB" w14:textId="29F9A3B5" w:rsidR="00B201D3" w:rsidRDefault="00F46283">
                        <w:pPr>
                          <w:jc w:val="center"/>
                        </w:pPr>
                        <w:r>
                          <w:t>否</w:t>
                        </w:r>
                      </w:p>
                    </w:tc>
                  </w:sdtContent>
                </w:sdt>
              </w:tr>
            </w:sdtContent>
          </w:sdt>
          <w:sdt>
            <w:sdtPr>
              <w:rPr>
                <w:rFonts w:asciiTheme="minorHAnsi" w:eastAsiaTheme="minorEastAsia" w:hAnsiTheme="minorHAnsi" w:cstheme="minorBidi" w:hint="eastAsia"/>
                <w:kern w:val="2"/>
                <w:szCs w:val="22"/>
              </w:rPr>
              <w:alias w:val="公司债券基本情况明细"/>
              <w:tag w:val="_TUP_f9a2be8b4d794140bf70d041ece6adeb"/>
              <w:id w:val="-1877226064"/>
              <w:lock w:val="sdtLocked"/>
              <w:placeholder>
                <w:docPart w:val="653F03A594CC437685743C089D0401FC"/>
              </w:placeholder>
            </w:sdtPr>
            <w:sdtEndPr>
              <w:rPr>
                <w:rFonts w:ascii="宋体" w:eastAsia="宋体" w:hAnsi="宋体" w:cs="宋体" w:hint="default"/>
                <w:kern w:val="0"/>
                <w:szCs w:val="21"/>
              </w:rPr>
            </w:sdtEndPr>
            <w:sdtContent>
              <w:tr w:rsidR="00B201D3" w14:paraId="5966E82B" w14:textId="77777777">
                <w:trPr>
                  <w:jc w:val="center"/>
                </w:trPr>
                <w:tc>
                  <w:tcPr>
                    <w:tcW w:w="488" w:type="pct"/>
                    <w:vAlign w:val="center"/>
                  </w:tcPr>
                  <w:p w14:paraId="3EAD46CC" w14:textId="77777777" w:rsidR="00B201D3" w:rsidRDefault="009855E8">
                    <w:pPr>
                      <w:rPr>
                        <w:rFonts w:asciiTheme="minorHAnsi" w:eastAsiaTheme="minorEastAsia" w:hAnsiTheme="minorHAnsi" w:cstheme="minorBidi"/>
                        <w:kern w:val="2"/>
                        <w:szCs w:val="22"/>
                      </w:rPr>
                    </w:pPr>
                    <w:r>
                      <w:rPr>
                        <w:rFonts w:cstheme="minorBidi"/>
                        <w:kern w:val="2"/>
                      </w:rPr>
                      <w:t>2021年可续期公司债券（第一期）</w:t>
                    </w:r>
                    <w:r>
                      <w:rPr>
                        <w:rFonts w:cstheme="minorBidi" w:hint="eastAsia"/>
                        <w:kern w:val="2"/>
                      </w:rPr>
                      <w:t>（品种二）</w:t>
                    </w:r>
                    <w:r>
                      <w:rPr>
                        <w:rFonts w:cstheme="minorBidi" w:hint="eastAsia"/>
                        <w:kern w:val="2"/>
                        <w:vertAlign w:val="superscript"/>
                      </w:rPr>
                      <w:t>③</w:t>
                    </w:r>
                  </w:p>
                </w:tc>
                <w:tc>
                  <w:tcPr>
                    <w:tcW w:w="350" w:type="pct"/>
                    <w:vAlign w:val="center"/>
                  </w:tcPr>
                  <w:p w14:paraId="1881DD66" w14:textId="77777777" w:rsidR="00B201D3" w:rsidRDefault="009855E8">
                    <w:r>
                      <w:t>21</w:t>
                    </w:r>
                    <w:r>
                      <w:rPr>
                        <w:rFonts w:hint="eastAsia"/>
                      </w:rPr>
                      <w:t>兖煤</w:t>
                    </w:r>
                    <w:r>
                      <w:t>Y2</w:t>
                    </w:r>
                  </w:p>
                </w:tc>
                <w:tc>
                  <w:tcPr>
                    <w:tcW w:w="420" w:type="pct"/>
                    <w:vAlign w:val="center"/>
                  </w:tcPr>
                  <w:p w14:paraId="49174B00" w14:textId="77777777" w:rsidR="00B201D3" w:rsidRDefault="009855E8">
                    <w:r>
                      <w:t>188286</w:t>
                    </w:r>
                  </w:p>
                </w:tc>
                <w:tc>
                  <w:tcPr>
                    <w:tcW w:w="418" w:type="pct"/>
                    <w:vAlign w:val="center"/>
                  </w:tcPr>
                  <w:p w14:paraId="1DA51AA4" w14:textId="77777777" w:rsidR="00B201D3" w:rsidRDefault="009855E8">
                    <w:r>
                      <w:t>2021/6/21</w:t>
                    </w:r>
                  </w:p>
                </w:tc>
                <w:tc>
                  <w:tcPr>
                    <w:tcW w:w="418" w:type="pct"/>
                    <w:vAlign w:val="center"/>
                  </w:tcPr>
                  <w:p w14:paraId="61FBBEAC" w14:textId="77777777" w:rsidR="00B201D3" w:rsidRDefault="009855E8">
                    <w:r>
                      <w:t>2021/6/22</w:t>
                    </w:r>
                  </w:p>
                </w:tc>
                <w:tc>
                  <w:tcPr>
                    <w:tcW w:w="418" w:type="pct"/>
                    <w:vAlign w:val="center"/>
                  </w:tcPr>
                  <w:p w14:paraId="11CEB610" w14:textId="77777777" w:rsidR="00B201D3" w:rsidRDefault="009855E8">
                    <w:r>
                      <w:t>2024/6/22</w:t>
                    </w:r>
                  </w:p>
                </w:tc>
                <w:tc>
                  <w:tcPr>
                    <w:tcW w:w="276" w:type="pct"/>
                    <w:vAlign w:val="center"/>
                  </w:tcPr>
                  <w:p w14:paraId="422B34AA" w14:textId="77777777" w:rsidR="00B201D3" w:rsidRDefault="009855E8">
                    <w:r>
                      <w:rPr>
                        <w:color w:val="000000"/>
                      </w:rPr>
                      <w:t>33</w:t>
                    </w:r>
                  </w:p>
                </w:tc>
                <w:tc>
                  <w:tcPr>
                    <w:tcW w:w="244" w:type="pct"/>
                    <w:vAlign w:val="center"/>
                  </w:tcPr>
                  <w:p w14:paraId="0E904816" w14:textId="77777777" w:rsidR="00B201D3" w:rsidRDefault="009855E8">
                    <w:r>
                      <w:t>4.40</w:t>
                    </w:r>
                  </w:p>
                </w:tc>
                <w:tc>
                  <w:tcPr>
                    <w:tcW w:w="522" w:type="pct"/>
                  </w:tcPr>
                  <w:p w14:paraId="502A1DCD" w14:textId="77777777" w:rsidR="00B201D3" w:rsidRDefault="009855E8">
                    <w:pPr>
                      <w:jc w:val="both"/>
                    </w:pPr>
                    <w:r>
                      <w:rPr>
                        <w:rFonts w:hint="eastAsia"/>
                      </w:rPr>
                      <w:t>每年付息一次，到期一次还本，最后一</w:t>
                    </w:r>
                    <w:r>
                      <w:rPr>
                        <w:rFonts w:hint="eastAsia"/>
                      </w:rPr>
                      <w:lastRenderedPageBreak/>
                      <w:t>期利息随本金一起支付</w:t>
                    </w:r>
                  </w:p>
                </w:tc>
                <w:tc>
                  <w:tcPr>
                    <w:tcW w:w="304" w:type="pct"/>
                    <w:vAlign w:val="center"/>
                  </w:tcPr>
                  <w:p w14:paraId="7AC628F2" w14:textId="77777777" w:rsidR="00B201D3" w:rsidRDefault="009855E8">
                    <w:pPr>
                      <w:jc w:val="center"/>
                    </w:pPr>
                    <w:r>
                      <w:rPr>
                        <w:rFonts w:hint="eastAsia"/>
                      </w:rPr>
                      <w:lastRenderedPageBreak/>
                      <w:t>上交所</w:t>
                    </w:r>
                  </w:p>
                </w:tc>
                <w:tc>
                  <w:tcPr>
                    <w:tcW w:w="349" w:type="pct"/>
                    <w:vAlign w:val="center"/>
                  </w:tcPr>
                  <w:p w14:paraId="1F1DC633" w14:textId="77777777" w:rsidR="00B201D3" w:rsidRDefault="009855E8">
                    <w:pPr>
                      <w:jc w:val="both"/>
                    </w:pPr>
                    <w:r>
                      <w:t>面向合格投资者</w:t>
                    </w:r>
                  </w:p>
                </w:tc>
                <w:tc>
                  <w:tcPr>
                    <w:tcW w:w="397" w:type="pct"/>
                    <w:vAlign w:val="center"/>
                  </w:tcPr>
                  <w:p w14:paraId="544956C9" w14:textId="77777777" w:rsidR="00B201D3" w:rsidRDefault="009855E8">
                    <w:pPr>
                      <w:jc w:val="both"/>
                    </w:pPr>
                    <w:r>
                      <w:t>竞价、报价、询价和协议交易</w:t>
                    </w:r>
                  </w:p>
                </w:tc>
                <w:sdt>
                  <w:sdtPr>
                    <w:alias w:val="公司债券基本情况明细_是否存在终止上市交易的风险 "/>
                    <w:tag w:val="_GBC_02667000c78f476fba73f0964c9865b3"/>
                    <w:id w:val="96616441"/>
                    <w:lock w:val="sdtLocked"/>
                    <w:placeholder>
                      <w:docPart w:val="7464A59A938A46268B5D3D00D05411C6"/>
                    </w:placeholder>
                    <w:comboBox>
                      <w:listItem w:displayText="是" w:value="是"/>
                      <w:listItem w:displayText="否" w:value="否"/>
                    </w:comboBox>
                  </w:sdtPr>
                  <w:sdtEndPr/>
                  <w:sdtContent>
                    <w:tc>
                      <w:tcPr>
                        <w:tcW w:w="396" w:type="pct"/>
                        <w:vAlign w:val="center"/>
                      </w:tcPr>
                      <w:p w14:paraId="1C934912" w14:textId="4F997D64" w:rsidR="00B201D3" w:rsidRDefault="00F46283">
                        <w:pPr>
                          <w:jc w:val="center"/>
                        </w:pPr>
                        <w:r>
                          <w:t>否</w:t>
                        </w:r>
                      </w:p>
                    </w:tc>
                  </w:sdtContent>
                </w:sdt>
              </w:tr>
            </w:sdtContent>
          </w:sdt>
          <w:sdt>
            <w:sdtPr>
              <w:rPr>
                <w:rFonts w:asciiTheme="minorHAnsi" w:eastAsiaTheme="minorEastAsia" w:hAnsiTheme="minorHAnsi" w:cstheme="minorBidi" w:hint="eastAsia"/>
                <w:kern w:val="2"/>
                <w:szCs w:val="22"/>
              </w:rPr>
              <w:alias w:val="公司债券基本情况明细"/>
              <w:tag w:val="_TUP_f9a2be8b4d794140bf70d041ece6adeb"/>
              <w:id w:val="1994216961"/>
              <w:lock w:val="sdtLocked"/>
              <w:placeholder>
                <w:docPart w:val="653F03A594CC437685743C089D0401FC"/>
              </w:placeholder>
            </w:sdtPr>
            <w:sdtEndPr>
              <w:rPr>
                <w:rFonts w:ascii="宋体" w:eastAsia="宋体" w:hAnsi="宋体" w:cs="宋体" w:hint="default"/>
                <w:kern w:val="0"/>
                <w:szCs w:val="21"/>
              </w:rPr>
            </w:sdtEndPr>
            <w:sdtContent>
              <w:tr w:rsidR="00B201D3" w14:paraId="02A10B4D" w14:textId="77777777">
                <w:trPr>
                  <w:jc w:val="center"/>
                </w:trPr>
                <w:tc>
                  <w:tcPr>
                    <w:tcW w:w="488" w:type="pct"/>
                    <w:vAlign w:val="center"/>
                  </w:tcPr>
                  <w:p w14:paraId="5BE58F0A" w14:textId="77777777" w:rsidR="00B201D3" w:rsidRDefault="009855E8">
                    <w:pPr>
                      <w:rPr>
                        <w:rFonts w:asciiTheme="minorHAnsi" w:eastAsiaTheme="minorEastAsia" w:hAnsiTheme="minorHAnsi" w:cstheme="minorBidi"/>
                        <w:kern w:val="2"/>
                        <w:szCs w:val="22"/>
                      </w:rPr>
                    </w:pPr>
                    <w:r>
                      <w:rPr>
                        <w:rFonts w:cstheme="minorBidi"/>
                        <w:kern w:val="2"/>
                      </w:rPr>
                      <w:t>2021年可续期公司债券（第二期）</w:t>
                    </w:r>
                    <w:r>
                      <w:rPr>
                        <w:rFonts w:cstheme="minorBidi" w:hint="eastAsia"/>
                        <w:kern w:val="2"/>
                        <w:vertAlign w:val="superscript"/>
                      </w:rPr>
                      <w:t>④</w:t>
                    </w:r>
                  </w:p>
                </w:tc>
                <w:tc>
                  <w:tcPr>
                    <w:tcW w:w="350" w:type="pct"/>
                    <w:vAlign w:val="center"/>
                  </w:tcPr>
                  <w:p w14:paraId="10AD4F2C" w14:textId="77777777" w:rsidR="00B201D3" w:rsidRDefault="009855E8">
                    <w:r>
                      <w:t>21兖煤Y4</w:t>
                    </w:r>
                  </w:p>
                </w:tc>
                <w:tc>
                  <w:tcPr>
                    <w:tcW w:w="420" w:type="pct"/>
                    <w:vAlign w:val="center"/>
                  </w:tcPr>
                  <w:p w14:paraId="63C30AF9" w14:textId="77777777" w:rsidR="00B201D3" w:rsidRDefault="009855E8">
                    <w:r>
                      <w:t>188613</w:t>
                    </w:r>
                  </w:p>
                </w:tc>
                <w:tc>
                  <w:tcPr>
                    <w:tcW w:w="418" w:type="pct"/>
                    <w:vAlign w:val="center"/>
                  </w:tcPr>
                  <w:p w14:paraId="4C88D0F1" w14:textId="77777777" w:rsidR="00B201D3" w:rsidRDefault="009855E8">
                    <w:r>
                      <w:t>2021/8/19</w:t>
                    </w:r>
                  </w:p>
                </w:tc>
                <w:tc>
                  <w:tcPr>
                    <w:tcW w:w="418" w:type="pct"/>
                    <w:vAlign w:val="center"/>
                  </w:tcPr>
                  <w:p w14:paraId="37C48944" w14:textId="77777777" w:rsidR="00B201D3" w:rsidRDefault="009855E8">
                    <w:r>
                      <w:t>2021/8/20</w:t>
                    </w:r>
                  </w:p>
                </w:tc>
                <w:tc>
                  <w:tcPr>
                    <w:tcW w:w="418" w:type="pct"/>
                    <w:vAlign w:val="center"/>
                  </w:tcPr>
                  <w:p w14:paraId="09D2B5C5" w14:textId="77777777" w:rsidR="00B201D3" w:rsidRDefault="009855E8">
                    <w:r>
                      <w:t>2024/8/20</w:t>
                    </w:r>
                  </w:p>
                </w:tc>
                <w:tc>
                  <w:tcPr>
                    <w:tcW w:w="276" w:type="pct"/>
                    <w:vAlign w:val="center"/>
                  </w:tcPr>
                  <w:p w14:paraId="739405A7" w14:textId="77777777" w:rsidR="00B201D3" w:rsidRDefault="009855E8">
                    <w:r>
                      <w:t>10</w:t>
                    </w:r>
                  </w:p>
                </w:tc>
                <w:tc>
                  <w:tcPr>
                    <w:tcW w:w="244" w:type="pct"/>
                    <w:vAlign w:val="center"/>
                  </w:tcPr>
                  <w:p w14:paraId="10A9D5A0" w14:textId="77777777" w:rsidR="00B201D3" w:rsidRDefault="009855E8">
                    <w:r>
                      <w:t>3.54</w:t>
                    </w:r>
                  </w:p>
                </w:tc>
                <w:tc>
                  <w:tcPr>
                    <w:tcW w:w="522" w:type="pct"/>
                  </w:tcPr>
                  <w:p w14:paraId="5E751BA3" w14:textId="77777777" w:rsidR="00B201D3" w:rsidRDefault="009855E8">
                    <w:pPr>
                      <w:jc w:val="both"/>
                    </w:pPr>
                    <w:r>
                      <w:rPr>
                        <w:rFonts w:hint="eastAsia"/>
                      </w:rPr>
                      <w:t>每年付息一次，到期一次还本，最后一期利息随本金一起支付</w:t>
                    </w:r>
                  </w:p>
                </w:tc>
                <w:tc>
                  <w:tcPr>
                    <w:tcW w:w="304" w:type="pct"/>
                  </w:tcPr>
                  <w:p w14:paraId="4DB2251D" w14:textId="77777777" w:rsidR="00B201D3" w:rsidRDefault="009855E8">
                    <w:r>
                      <w:rPr>
                        <w:rFonts w:hint="eastAsia"/>
                      </w:rPr>
                      <w:t>上交所</w:t>
                    </w:r>
                  </w:p>
                </w:tc>
                <w:tc>
                  <w:tcPr>
                    <w:tcW w:w="349" w:type="pct"/>
                    <w:vAlign w:val="center"/>
                  </w:tcPr>
                  <w:p w14:paraId="4646AEC3" w14:textId="77777777" w:rsidR="00B201D3" w:rsidRDefault="009855E8">
                    <w:pPr>
                      <w:jc w:val="both"/>
                    </w:pPr>
                    <w:r>
                      <w:t>面向合格投资者</w:t>
                    </w:r>
                  </w:p>
                </w:tc>
                <w:tc>
                  <w:tcPr>
                    <w:tcW w:w="397" w:type="pct"/>
                    <w:vAlign w:val="center"/>
                  </w:tcPr>
                  <w:p w14:paraId="20AB57E4" w14:textId="77777777" w:rsidR="00B201D3" w:rsidRDefault="009855E8">
                    <w:pPr>
                      <w:jc w:val="both"/>
                    </w:pPr>
                    <w:r>
                      <w:t>竞价、报价、询价和协议交易</w:t>
                    </w:r>
                  </w:p>
                </w:tc>
                <w:sdt>
                  <w:sdtPr>
                    <w:alias w:val="公司债券基本情况明细_是否存在终止上市交易的风险 "/>
                    <w:tag w:val="_GBC_02667000c78f476fba73f0964c9865b3"/>
                    <w:id w:val="1036934703"/>
                    <w:lock w:val="sdtLocked"/>
                    <w:placeholder>
                      <w:docPart w:val="9F2E857B141D4B59B03898F0E1B13BC8"/>
                    </w:placeholder>
                    <w:comboBox>
                      <w:listItem w:displayText="是" w:value="是"/>
                      <w:listItem w:displayText="否" w:value="否"/>
                    </w:comboBox>
                  </w:sdtPr>
                  <w:sdtEndPr/>
                  <w:sdtContent>
                    <w:tc>
                      <w:tcPr>
                        <w:tcW w:w="396" w:type="pct"/>
                        <w:vAlign w:val="center"/>
                      </w:tcPr>
                      <w:p w14:paraId="685792A1" w14:textId="51451237" w:rsidR="00B201D3" w:rsidRDefault="00F46283">
                        <w:pPr>
                          <w:jc w:val="center"/>
                        </w:pPr>
                        <w:r>
                          <w:t>否</w:t>
                        </w:r>
                      </w:p>
                    </w:tc>
                  </w:sdtContent>
                </w:sdt>
              </w:tr>
            </w:sdtContent>
          </w:sdt>
          <w:sdt>
            <w:sdtPr>
              <w:rPr>
                <w:rFonts w:cstheme="minorBidi" w:hint="eastAsia"/>
                <w:kern w:val="2"/>
                <w:szCs w:val="22"/>
              </w:rPr>
              <w:alias w:val="公司债券基本情况明细"/>
              <w:tag w:val="_TUP_f9a2be8b4d794140bf70d041ece6adeb"/>
              <w:id w:val="-262611182"/>
              <w:lock w:val="sdtLocked"/>
            </w:sdtPr>
            <w:sdtEndPr>
              <w:rPr>
                <w:rFonts w:asciiTheme="minorHAnsi" w:eastAsiaTheme="minorEastAsia" w:hAnsiTheme="minorHAnsi"/>
              </w:rPr>
            </w:sdtEndPr>
            <w:sdtContent>
              <w:tr w:rsidR="00B201D3" w14:paraId="0713348C" w14:textId="77777777">
                <w:trPr>
                  <w:jc w:val="center"/>
                </w:trPr>
                <w:tc>
                  <w:tcPr>
                    <w:tcW w:w="488" w:type="pct"/>
                    <w:vAlign w:val="center"/>
                  </w:tcPr>
                  <w:p w14:paraId="773B3028" w14:textId="77777777" w:rsidR="00B201D3" w:rsidRDefault="009855E8">
                    <w:r>
                      <w:rPr>
                        <w:rFonts w:hint="eastAsia"/>
                        <w:bCs/>
                      </w:rPr>
                      <w:t>2023年</w:t>
                    </w:r>
                    <w:r>
                      <w:rPr>
                        <w:rFonts w:cstheme="minorBidi" w:hint="eastAsia"/>
                        <w:kern w:val="2"/>
                      </w:rPr>
                      <w:t>公司债券（第一期）（品种一）</w:t>
                    </w:r>
                  </w:p>
                </w:tc>
                <w:tc>
                  <w:tcPr>
                    <w:tcW w:w="350" w:type="pct"/>
                    <w:vAlign w:val="center"/>
                  </w:tcPr>
                  <w:p w14:paraId="34B36EA9" w14:textId="77777777" w:rsidR="00B201D3" w:rsidRDefault="009855E8">
                    <w:r>
                      <w:rPr>
                        <w:bCs/>
                      </w:rPr>
                      <w:t>23兖矿01</w:t>
                    </w:r>
                  </w:p>
                </w:tc>
                <w:tc>
                  <w:tcPr>
                    <w:tcW w:w="420" w:type="pct"/>
                    <w:vAlign w:val="center"/>
                  </w:tcPr>
                  <w:p w14:paraId="62A92B2D" w14:textId="77777777" w:rsidR="00B201D3" w:rsidRDefault="009855E8">
                    <w:r>
                      <w:rPr>
                        <w:rFonts w:hint="eastAsia"/>
                        <w:bCs/>
                      </w:rPr>
                      <w:t>115406</w:t>
                    </w:r>
                  </w:p>
                </w:tc>
                <w:tc>
                  <w:tcPr>
                    <w:tcW w:w="418" w:type="pct"/>
                    <w:vAlign w:val="center"/>
                  </w:tcPr>
                  <w:p w14:paraId="0EEA38C3" w14:textId="77777777" w:rsidR="00B201D3" w:rsidRDefault="009855E8">
                    <w:r>
                      <w:rPr>
                        <w:rFonts w:hint="eastAsia"/>
                        <w:bCs/>
                      </w:rPr>
                      <w:t>2023/5/25</w:t>
                    </w:r>
                  </w:p>
                </w:tc>
                <w:tc>
                  <w:tcPr>
                    <w:tcW w:w="418" w:type="pct"/>
                    <w:vAlign w:val="center"/>
                  </w:tcPr>
                  <w:p w14:paraId="4A905B65" w14:textId="77777777" w:rsidR="00B201D3" w:rsidRDefault="009855E8">
                    <w:r>
                      <w:rPr>
                        <w:rFonts w:hint="eastAsia"/>
                        <w:bCs/>
                      </w:rPr>
                      <w:t>2023/5/26</w:t>
                    </w:r>
                  </w:p>
                </w:tc>
                <w:tc>
                  <w:tcPr>
                    <w:tcW w:w="418" w:type="pct"/>
                    <w:vAlign w:val="center"/>
                  </w:tcPr>
                  <w:p w14:paraId="1F0F0145" w14:textId="77777777" w:rsidR="00B201D3" w:rsidRDefault="009855E8">
                    <w:r>
                      <w:rPr>
                        <w:rFonts w:hint="eastAsia"/>
                        <w:bCs/>
                      </w:rPr>
                      <w:t>2028/5/26</w:t>
                    </w:r>
                  </w:p>
                </w:tc>
                <w:tc>
                  <w:tcPr>
                    <w:tcW w:w="276" w:type="pct"/>
                    <w:vAlign w:val="center"/>
                  </w:tcPr>
                  <w:p w14:paraId="1DB063CC" w14:textId="77777777" w:rsidR="00B201D3" w:rsidRDefault="009855E8">
                    <w:r>
                      <w:rPr>
                        <w:rFonts w:hint="eastAsia"/>
                        <w:bCs/>
                      </w:rPr>
                      <w:t>10</w:t>
                    </w:r>
                  </w:p>
                </w:tc>
                <w:tc>
                  <w:tcPr>
                    <w:tcW w:w="244" w:type="pct"/>
                    <w:vAlign w:val="center"/>
                  </w:tcPr>
                  <w:p w14:paraId="12F157A3" w14:textId="77777777" w:rsidR="00B201D3" w:rsidRDefault="009855E8">
                    <w:r>
                      <w:rPr>
                        <w:rFonts w:hint="eastAsia"/>
                        <w:bCs/>
                      </w:rPr>
                      <w:t>3.34</w:t>
                    </w:r>
                  </w:p>
                </w:tc>
                <w:tc>
                  <w:tcPr>
                    <w:tcW w:w="522" w:type="pct"/>
                  </w:tcPr>
                  <w:p w14:paraId="4FBBC97A" w14:textId="77777777" w:rsidR="00B201D3" w:rsidRDefault="009855E8">
                    <w:pPr>
                      <w:jc w:val="both"/>
                    </w:pPr>
                    <w:r>
                      <w:rPr>
                        <w:rFonts w:hint="eastAsia"/>
                      </w:rPr>
                      <w:t>每年付息一次，到期一次还本，最后一期利息随本金一起支付</w:t>
                    </w:r>
                  </w:p>
                </w:tc>
                <w:tc>
                  <w:tcPr>
                    <w:tcW w:w="304" w:type="pct"/>
                    <w:vAlign w:val="center"/>
                  </w:tcPr>
                  <w:p w14:paraId="722D2F2D" w14:textId="77777777" w:rsidR="00B201D3" w:rsidRDefault="009855E8">
                    <w:pPr>
                      <w:jc w:val="center"/>
                    </w:pPr>
                    <w:r>
                      <w:rPr>
                        <w:rFonts w:hint="eastAsia"/>
                      </w:rPr>
                      <w:t>上交所</w:t>
                    </w:r>
                  </w:p>
                </w:tc>
                <w:tc>
                  <w:tcPr>
                    <w:tcW w:w="349" w:type="pct"/>
                    <w:vAlign w:val="center"/>
                  </w:tcPr>
                  <w:p w14:paraId="4A77B3BA" w14:textId="77777777" w:rsidR="00B201D3" w:rsidRDefault="009855E8">
                    <w:pPr>
                      <w:jc w:val="both"/>
                    </w:pPr>
                    <w:r>
                      <w:rPr>
                        <w:rFonts w:hint="eastAsia"/>
                      </w:rPr>
                      <w:t>面向合格投资者</w:t>
                    </w:r>
                  </w:p>
                </w:tc>
                <w:tc>
                  <w:tcPr>
                    <w:tcW w:w="397" w:type="pct"/>
                  </w:tcPr>
                  <w:p w14:paraId="6D36D370" w14:textId="77777777" w:rsidR="00B201D3" w:rsidRDefault="009855E8">
                    <w:pPr>
                      <w:jc w:val="both"/>
                    </w:pPr>
                    <w:r>
                      <w:rPr>
                        <w:rFonts w:hint="eastAsia"/>
                      </w:rPr>
                      <w:t>竞价、报价、询价和协议交易</w:t>
                    </w:r>
                  </w:p>
                </w:tc>
                <w:sdt>
                  <w:sdtPr>
                    <w:alias w:val="公司债券基本情况明细_是否存在终止上市交易的风险 "/>
                    <w:tag w:val="_GBC_02667000c78f476fba73f0964c9865b3"/>
                    <w:id w:val="-1204087318"/>
                    <w:lock w:val="sdtLocked"/>
                    <w:comboBox>
                      <w:listItem w:displayText="是" w:value="是"/>
                      <w:listItem w:displayText="否" w:value="否"/>
                    </w:comboBox>
                  </w:sdtPr>
                  <w:sdtEndPr/>
                  <w:sdtContent>
                    <w:tc>
                      <w:tcPr>
                        <w:tcW w:w="396" w:type="pct"/>
                        <w:vAlign w:val="center"/>
                      </w:tcPr>
                      <w:p w14:paraId="6B5A6CF7" w14:textId="0FFEC4E4" w:rsidR="00B201D3" w:rsidRDefault="00F46283">
                        <w:pPr>
                          <w:jc w:val="center"/>
                        </w:pPr>
                        <w:r>
                          <w:t>否</w:t>
                        </w:r>
                      </w:p>
                    </w:tc>
                  </w:sdtContent>
                </w:sdt>
              </w:tr>
            </w:sdtContent>
          </w:sdt>
          <w:sdt>
            <w:sdtPr>
              <w:rPr>
                <w:rFonts w:cstheme="minorBidi" w:hint="eastAsia"/>
                <w:kern w:val="2"/>
                <w:szCs w:val="22"/>
              </w:rPr>
              <w:alias w:val="公司债券基本情况明细"/>
              <w:tag w:val="_TUP_f9a2be8b4d794140bf70d041ece6adeb"/>
              <w:id w:val="1848910496"/>
              <w:lock w:val="sdtLocked"/>
            </w:sdtPr>
            <w:sdtEndPr>
              <w:rPr>
                <w:rFonts w:asciiTheme="minorHAnsi" w:eastAsiaTheme="minorEastAsia" w:hAnsiTheme="minorHAnsi"/>
              </w:rPr>
            </w:sdtEndPr>
            <w:sdtContent>
              <w:tr w:rsidR="00B201D3" w14:paraId="3E42E154" w14:textId="77777777">
                <w:trPr>
                  <w:jc w:val="center"/>
                </w:trPr>
                <w:tc>
                  <w:tcPr>
                    <w:tcW w:w="488" w:type="pct"/>
                    <w:vAlign w:val="center"/>
                  </w:tcPr>
                  <w:p w14:paraId="06D3993B" w14:textId="77777777" w:rsidR="00B201D3" w:rsidRDefault="009855E8">
                    <w:r>
                      <w:rPr>
                        <w:rFonts w:hint="eastAsia"/>
                        <w:bCs/>
                      </w:rPr>
                      <w:t>2023年</w:t>
                    </w:r>
                    <w:r>
                      <w:rPr>
                        <w:rFonts w:cstheme="minorBidi" w:hint="eastAsia"/>
                        <w:kern w:val="2"/>
                      </w:rPr>
                      <w:t>公司债券（第一期）（品种二）</w:t>
                    </w:r>
                  </w:p>
                </w:tc>
                <w:tc>
                  <w:tcPr>
                    <w:tcW w:w="350" w:type="pct"/>
                    <w:vAlign w:val="center"/>
                  </w:tcPr>
                  <w:p w14:paraId="7EAA3303" w14:textId="77777777" w:rsidR="00B201D3" w:rsidRDefault="009855E8">
                    <w:r>
                      <w:rPr>
                        <w:bCs/>
                      </w:rPr>
                      <w:t>23兖矿02</w:t>
                    </w:r>
                  </w:p>
                </w:tc>
                <w:tc>
                  <w:tcPr>
                    <w:tcW w:w="420" w:type="pct"/>
                    <w:vAlign w:val="center"/>
                  </w:tcPr>
                  <w:p w14:paraId="6273FE56" w14:textId="77777777" w:rsidR="00B201D3" w:rsidRDefault="009855E8">
                    <w:r>
                      <w:rPr>
                        <w:rFonts w:hint="eastAsia"/>
                        <w:bCs/>
                      </w:rPr>
                      <w:t>115407</w:t>
                    </w:r>
                  </w:p>
                </w:tc>
                <w:tc>
                  <w:tcPr>
                    <w:tcW w:w="418" w:type="pct"/>
                    <w:vAlign w:val="center"/>
                  </w:tcPr>
                  <w:p w14:paraId="16F11A03" w14:textId="77777777" w:rsidR="00B201D3" w:rsidRDefault="009855E8">
                    <w:r>
                      <w:rPr>
                        <w:rFonts w:hint="eastAsia"/>
                        <w:bCs/>
                      </w:rPr>
                      <w:t>2023/5/25</w:t>
                    </w:r>
                  </w:p>
                </w:tc>
                <w:tc>
                  <w:tcPr>
                    <w:tcW w:w="418" w:type="pct"/>
                    <w:vAlign w:val="center"/>
                  </w:tcPr>
                  <w:p w14:paraId="3A7FA6BA" w14:textId="77777777" w:rsidR="00B201D3" w:rsidRDefault="009855E8">
                    <w:r>
                      <w:rPr>
                        <w:rFonts w:hint="eastAsia"/>
                        <w:bCs/>
                      </w:rPr>
                      <w:t>2023/5/26</w:t>
                    </w:r>
                  </w:p>
                </w:tc>
                <w:tc>
                  <w:tcPr>
                    <w:tcW w:w="418" w:type="pct"/>
                    <w:vAlign w:val="center"/>
                  </w:tcPr>
                  <w:p w14:paraId="4E2C0BE8" w14:textId="77777777" w:rsidR="00B201D3" w:rsidRDefault="009855E8">
                    <w:r>
                      <w:rPr>
                        <w:rFonts w:hint="eastAsia"/>
                        <w:bCs/>
                      </w:rPr>
                      <w:t>2033/5/26</w:t>
                    </w:r>
                  </w:p>
                </w:tc>
                <w:tc>
                  <w:tcPr>
                    <w:tcW w:w="276" w:type="pct"/>
                    <w:vAlign w:val="center"/>
                  </w:tcPr>
                  <w:p w14:paraId="0AD1910F" w14:textId="77777777" w:rsidR="00B201D3" w:rsidRDefault="009855E8">
                    <w:r>
                      <w:rPr>
                        <w:rFonts w:hint="eastAsia"/>
                        <w:bCs/>
                      </w:rPr>
                      <w:t>20</w:t>
                    </w:r>
                  </w:p>
                </w:tc>
                <w:tc>
                  <w:tcPr>
                    <w:tcW w:w="244" w:type="pct"/>
                    <w:vAlign w:val="center"/>
                  </w:tcPr>
                  <w:p w14:paraId="24B6B4C2" w14:textId="77777777" w:rsidR="00B201D3" w:rsidRDefault="009855E8">
                    <w:r>
                      <w:rPr>
                        <w:rFonts w:hint="eastAsia"/>
                        <w:bCs/>
                      </w:rPr>
                      <w:t>3.80</w:t>
                    </w:r>
                  </w:p>
                </w:tc>
                <w:tc>
                  <w:tcPr>
                    <w:tcW w:w="522" w:type="pct"/>
                  </w:tcPr>
                  <w:p w14:paraId="104134D2" w14:textId="77777777" w:rsidR="00B201D3" w:rsidRDefault="009855E8">
                    <w:pPr>
                      <w:jc w:val="both"/>
                    </w:pPr>
                    <w:r>
                      <w:rPr>
                        <w:rFonts w:hint="eastAsia"/>
                      </w:rPr>
                      <w:t>每年付息一次，到期一次还本，最后一期利息随本金一起支付</w:t>
                    </w:r>
                  </w:p>
                </w:tc>
                <w:tc>
                  <w:tcPr>
                    <w:tcW w:w="304" w:type="pct"/>
                    <w:vAlign w:val="center"/>
                  </w:tcPr>
                  <w:p w14:paraId="30941490" w14:textId="77777777" w:rsidR="00B201D3" w:rsidRDefault="009855E8">
                    <w:pPr>
                      <w:jc w:val="center"/>
                    </w:pPr>
                    <w:r>
                      <w:rPr>
                        <w:rFonts w:hint="eastAsia"/>
                      </w:rPr>
                      <w:t>上交所</w:t>
                    </w:r>
                  </w:p>
                </w:tc>
                <w:tc>
                  <w:tcPr>
                    <w:tcW w:w="349" w:type="pct"/>
                    <w:vAlign w:val="center"/>
                  </w:tcPr>
                  <w:p w14:paraId="3BE59B99" w14:textId="77777777" w:rsidR="00B201D3" w:rsidRDefault="009855E8">
                    <w:pPr>
                      <w:jc w:val="both"/>
                    </w:pPr>
                    <w:r>
                      <w:rPr>
                        <w:rFonts w:hint="eastAsia"/>
                      </w:rPr>
                      <w:t>面向合格投资者</w:t>
                    </w:r>
                  </w:p>
                </w:tc>
                <w:tc>
                  <w:tcPr>
                    <w:tcW w:w="397" w:type="pct"/>
                    <w:vAlign w:val="center"/>
                  </w:tcPr>
                  <w:p w14:paraId="728F1AC4" w14:textId="77777777" w:rsidR="00B201D3" w:rsidRDefault="009855E8">
                    <w:pPr>
                      <w:jc w:val="both"/>
                    </w:pPr>
                    <w:r>
                      <w:rPr>
                        <w:rFonts w:hint="eastAsia"/>
                      </w:rPr>
                      <w:t>竞价、报价、询价和协议交易</w:t>
                    </w:r>
                  </w:p>
                </w:tc>
                <w:sdt>
                  <w:sdtPr>
                    <w:alias w:val="公司债券基本情况明细_是否存在终止上市交易的风险 "/>
                    <w:tag w:val="_GBC_02667000c78f476fba73f0964c9865b3"/>
                    <w:id w:val="490686150"/>
                    <w:lock w:val="sdtLocked"/>
                    <w:comboBox>
                      <w:listItem w:displayText="是" w:value="是"/>
                      <w:listItem w:displayText="否" w:value="否"/>
                    </w:comboBox>
                  </w:sdtPr>
                  <w:sdtEndPr/>
                  <w:sdtContent>
                    <w:tc>
                      <w:tcPr>
                        <w:tcW w:w="396" w:type="pct"/>
                        <w:vAlign w:val="center"/>
                      </w:tcPr>
                      <w:p w14:paraId="7702B767" w14:textId="081DD061" w:rsidR="00B201D3" w:rsidRDefault="00F46283">
                        <w:pPr>
                          <w:jc w:val="center"/>
                        </w:pPr>
                        <w:r>
                          <w:t>否</w:t>
                        </w:r>
                      </w:p>
                    </w:tc>
                  </w:sdtContent>
                </w:sdt>
              </w:tr>
            </w:sdtContent>
          </w:sdt>
          <w:sdt>
            <w:sdtPr>
              <w:rPr>
                <w:rFonts w:cstheme="minorBidi" w:hint="eastAsia"/>
                <w:kern w:val="2"/>
                <w:szCs w:val="22"/>
              </w:rPr>
              <w:alias w:val="公司债券基本情况明细"/>
              <w:tag w:val="_TUP_f9a2be8b4d794140bf70d041ece6adeb"/>
              <w:id w:val="-990944416"/>
              <w:lock w:val="sdtLocked"/>
              <w:placeholder>
                <w:docPart w:val="E04DABAF80C944249B1EDA6857C1C84A"/>
              </w:placeholder>
            </w:sdtPr>
            <w:sdtEndPr>
              <w:rPr>
                <w:rFonts w:cs="宋体" w:hint="default"/>
                <w:kern w:val="0"/>
                <w:szCs w:val="21"/>
              </w:rPr>
            </w:sdtEndPr>
            <w:sdtContent>
              <w:tr w:rsidR="00B201D3" w14:paraId="6FB37388" w14:textId="77777777">
                <w:trPr>
                  <w:jc w:val="center"/>
                </w:trPr>
                <w:tc>
                  <w:tcPr>
                    <w:tcW w:w="488" w:type="pct"/>
                    <w:vAlign w:val="center"/>
                  </w:tcPr>
                  <w:p w14:paraId="26CB378C" w14:textId="77777777" w:rsidR="00B201D3" w:rsidRDefault="009855E8">
                    <w:pPr>
                      <w:rPr>
                        <w:rFonts w:cstheme="minorBidi"/>
                        <w:kern w:val="2"/>
                        <w:szCs w:val="22"/>
                      </w:rPr>
                    </w:pPr>
                    <w:r>
                      <w:rPr>
                        <w:rFonts w:cstheme="minorBidi"/>
                        <w:kern w:val="2"/>
                        <w:szCs w:val="22"/>
                      </w:rPr>
                      <w:t>2023年公司债券（第二期）</w:t>
                    </w:r>
                  </w:p>
                </w:tc>
                <w:tc>
                  <w:tcPr>
                    <w:tcW w:w="350" w:type="pct"/>
                    <w:vAlign w:val="center"/>
                  </w:tcPr>
                  <w:p w14:paraId="5D1EBC24" w14:textId="77777777" w:rsidR="00B201D3" w:rsidRDefault="009855E8">
                    <w:r>
                      <w:rPr>
                        <w:bCs/>
                      </w:rPr>
                      <w:t>23兖矿04</w:t>
                    </w:r>
                  </w:p>
                </w:tc>
                <w:tc>
                  <w:tcPr>
                    <w:tcW w:w="420" w:type="pct"/>
                    <w:vAlign w:val="center"/>
                  </w:tcPr>
                  <w:p w14:paraId="7F249973" w14:textId="77777777" w:rsidR="00B201D3" w:rsidRDefault="009855E8">
                    <w:r>
                      <w:rPr>
                        <w:rFonts w:hint="eastAsia"/>
                        <w:bCs/>
                      </w:rPr>
                      <w:t>115544</w:t>
                    </w:r>
                  </w:p>
                </w:tc>
                <w:tc>
                  <w:tcPr>
                    <w:tcW w:w="418" w:type="pct"/>
                    <w:vAlign w:val="center"/>
                  </w:tcPr>
                  <w:p w14:paraId="3A1FD1F4" w14:textId="77777777" w:rsidR="00B201D3" w:rsidRDefault="009855E8">
                    <w:r>
                      <w:rPr>
                        <w:rFonts w:hint="eastAsia"/>
                        <w:bCs/>
                      </w:rPr>
                      <w:t>2023/6/15</w:t>
                    </w:r>
                  </w:p>
                </w:tc>
                <w:tc>
                  <w:tcPr>
                    <w:tcW w:w="418" w:type="pct"/>
                    <w:vAlign w:val="center"/>
                  </w:tcPr>
                  <w:p w14:paraId="71C65D2C" w14:textId="77777777" w:rsidR="00B201D3" w:rsidRDefault="009855E8">
                    <w:r>
                      <w:rPr>
                        <w:rFonts w:hint="eastAsia"/>
                        <w:bCs/>
                      </w:rPr>
                      <w:t>2023/6/16</w:t>
                    </w:r>
                  </w:p>
                </w:tc>
                <w:tc>
                  <w:tcPr>
                    <w:tcW w:w="418" w:type="pct"/>
                    <w:vAlign w:val="center"/>
                  </w:tcPr>
                  <w:p w14:paraId="61F15186" w14:textId="77777777" w:rsidR="00B201D3" w:rsidRDefault="009855E8">
                    <w:r>
                      <w:rPr>
                        <w:rFonts w:hint="eastAsia"/>
                        <w:bCs/>
                      </w:rPr>
                      <w:t>2033/6/16</w:t>
                    </w:r>
                  </w:p>
                </w:tc>
                <w:tc>
                  <w:tcPr>
                    <w:tcW w:w="276" w:type="pct"/>
                    <w:vAlign w:val="center"/>
                  </w:tcPr>
                  <w:p w14:paraId="01D17B4B" w14:textId="77777777" w:rsidR="00B201D3" w:rsidRDefault="009855E8">
                    <w:r>
                      <w:rPr>
                        <w:rFonts w:hint="eastAsia"/>
                        <w:bCs/>
                      </w:rPr>
                      <w:t>20</w:t>
                    </w:r>
                  </w:p>
                </w:tc>
                <w:tc>
                  <w:tcPr>
                    <w:tcW w:w="244" w:type="pct"/>
                    <w:vAlign w:val="center"/>
                  </w:tcPr>
                  <w:p w14:paraId="5C739827" w14:textId="77777777" w:rsidR="00B201D3" w:rsidRDefault="009855E8">
                    <w:r>
                      <w:rPr>
                        <w:rFonts w:hint="eastAsia"/>
                        <w:bCs/>
                      </w:rPr>
                      <w:t>3.75</w:t>
                    </w:r>
                  </w:p>
                </w:tc>
                <w:tc>
                  <w:tcPr>
                    <w:tcW w:w="522" w:type="pct"/>
                  </w:tcPr>
                  <w:p w14:paraId="59A0FAF1" w14:textId="77777777" w:rsidR="00B201D3" w:rsidRDefault="009855E8">
                    <w:pPr>
                      <w:jc w:val="both"/>
                    </w:pPr>
                    <w:r>
                      <w:rPr>
                        <w:rFonts w:hint="eastAsia"/>
                      </w:rPr>
                      <w:t>每年付息一次，到期一次还本，最后一期利息随本金一起支付</w:t>
                    </w:r>
                  </w:p>
                </w:tc>
                <w:tc>
                  <w:tcPr>
                    <w:tcW w:w="304" w:type="pct"/>
                    <w:vAlign w:val="center"/>
                  </w:tcPr>
                  <w:p w14:paraId="0FC7DA2D" w14:textId="77777777" w:rsidR="00B201D3" w:rsidRDefault="009855E8">
                    <w:pPr>
                      <w:jc w:val="center"/>
                    </w:pPr>
                    <w:r>
                      <w:rPr>
                        <w:rFonts w:hint="eastAsia"/>
                      </w:rPr>
                      <w:t>上交所</w:t>
                    </w:r>
                  </w:p>
                </w:tc>
                <w:tc>
                  <w:tcPr>
                    <w:tcW w:w="349" w:type="pct"/>
                    <w:vAlign w:val="center"/>
                  </w:tcPr>
                  <w:p w14:paraId="0109B609" w14:textId="77777777" w:rsidR="00B201D3" w:rsidRDefault="009855E8">
                    <w:pPr>
                      <w:jc w:val="both"/>
                    </w:pPr>
                    <w:r>
                      <w:t>面向合格投资者</w:t>
                    </w:r>
                  </w:p>
                </w:tc>
                <w:tc>
                  <w:tcPr>
                    <w:tcW w:w="397" w:type="pct"/>
                    <w:vAlign w:val="center"/>
                  </w:tcPr>
                  <w:p w14:paraId="6C9927E5" w14:textId="77777777" w:rsidR="00B201D3" w:rsidRDefault="009855E8">
                    <w:pPr>
                      <w:jc w:val="both"/>
                    </w:pPr>
                    <w:r>
                      <w:t>竞价、报价、询价和协议交易</w:t>
                    </w:r>
                  </w:p>
                </w:tc>
                <w:sdt>
                  <w:sdtPr>
                    <w:alias w:val="公司债券基本情况明细_是否存在终止上市交易的风险 "/>
                    <w:tag w:val="_GBC_02667000c78f476fba73f0964c9865b3"/>
                    <w:id w:val="-1380712613"/>
                    <w:lock w:val="sdtLocked"/>
                    <w:placeholder>
                      <w:docPart w:val="7ECCF2705F584C64B0AE6EFAFDA0E9BF"/>
                    </w:placeholder>
                    <w:comboBox>
                      <w:listItem w:displayText="是" w:value="是"/>
                      <w:listItem w:displayText="否" w:value="否"/>
                    </w:comboBox>
                  </w:sdtPr>
                  <w:sdtEndPr/>
                  <w:sdtContent>
                    <w:tc>
                      <w:tcPr>
                        <w:tcW w:w="396" w:type="pct"/>
                        <w:vAlign w:val="center"/>
                      </w:tcPr>
                      <w:p w14:paraId="4A9C77F9" w14:textId="05DAB0C2" w:rsidR="00B201D3" w:rsidRDefault="00F46283">
                        <w:pPr>
                          <w:jc w:val="center"/>
                        </w:pPr>
                        <w:r>
                          <w:t>否</w:t>
                        </w:r>
                      </w:p>
                    </w:tc>
                  </w:sdtContent>
                </w:sdt>
              </w:tr>
            </w:sdtContent>
          </w:sdt>
        </w:tbl>
        <w:p w14:paraId="52640DB5" w14:textId="77777777" w:rsidR="00B201D3" w:rsidRDefault="009855E8">
          <w:pPr>
            <w:pStyle w:val="3903"/>
            <w:ind w:firstLineChars="200" w:firstLine="420"/>
            <w:jc w:val="both"/>
          </w:pPr>
          <w:r>
            <w:rPr>
              <w:rFonts w:hint="eastAsia"/>
            </w:rPr>
            <w:t>注：</w:t>
          </w:r>
        </w:p>
        <w:p w14:paraId="636EC8C5" w14:textId="77777777" w:rsidR="00B201D3" w:rsidRDefault="009855E8">
          <w:pPr>
            <w:pStyle w:val="3903"/>
            <w:ind w:firstLineChars="200" w:firstLine="420"/>
            <w:jc w:val="both"/>
          </w:pPr>
          <w:r>
            <w:rPr>
              <w:rFonts w:hint="eastAsia"/>
            </w:rPr>
            <w:t>①</w:t>
          </w:r>
          <w:r>
            <w:t>2020年公司债券（第二期）（品种一）为15年固定利率债券，以3个计息年度为1个周期。在每个周期末，公司有权选择调整本期债券后续期</w:t>
          </w:r>
          <w:r>
            <w:rPr>
              <w:rFonts w:hint="eastAsia"/>
            </w:rPr>
            <w:t>限的票面利率，投资者有权在每个周期末选择将持有债券回售给公司。</w:t>
          </w:r>
        </w:p>
        <w:p w14:paraId="2C191C9D" w14:textId="77777777" w:rsidR="00B201D3" w:rsidRDefault="009855E8">
          <w:pPr>
            <w:pStyle w:val="3903"/>
            <w:ind w:firstLineChars="200" w:firstLine="420"/>
            <w:jc w:val="both"/>
          </w:pPr>
          <w:r>
            <w:rPr>
              <w:rFonts w:hint="eastAsia"/>
            </w:rPr>
            <w:t>②</w:t>
          </w:r>
          <w:r>
            <w:t>2020年公司债券（第二期）（品种二）为10年固定利率债券。在第5个计息年度末，公司有权选择调整本期债券后续期限的票面利率，投资者</w:t>
          </w:r>
          <w:r>
            <w:rPr>
              <w:rFonts w:hint="eastAsia"/>
            </w:rPr>
            <w:t>有权选择将持有债券回售给公司。</w:t>
          </w:r>
        </w:p>
        <w:p w14:paraId="5A6B6DDA" w14:textId="77777777" w:rsidR="00B201D3" w:rsidRDefault="009855E8">
          <w:pPr>
            <w:pStyle w:val="3903"/>
            <w:ind w:firstLineChars="200" w:firstLine="420"/>
            <w:jc w:val="both"/>
          </w:pPr>
          <w:r>
            <w:rPr>
              <w:rFonts w:hint="eastAsia"/>
            </w:rPr>
            <w:t>③</w:t>
          </w:r>
          <w:r>
            <w:t>2021年可续期公司债券(第一期)（品种二）以每3个计息年度为1个周期。在每个周期末，公司有权选择将本期债券期限延长1个周期（即延长3年），或选择在该周期末到期全额兑付本期债券。</w:t>
          </w:r>
        </w:p>
        <w:p w14:paraId="66623496" w14:textId="77777777" w:rsidR="00B201D3" w:rsidRDefault="009855E8">
          <w:pPr>
            <w:pStyle w:val="3903"/>
            <w:ind w:firstLineChars="200" w:firstLine="420"/>
            <w:jc w:val="both"/>
          </w:pPr>
          <w:r>
            <w:rPr>
              <w:rFonts w:hint="eastAsia"/>
            </w:rPr>
            <w:lastRenderedPageBreak/>
            <w:t>④</w:t>
          </w:r>
          <w:r>
            <w:t>2021年可续期公司债券(第二期)以每3个计息年度为1个周期。在每个周期末，公司有权选择将本期债券期限延长1个周期（即延长3年），或</w:t>
          </w:r>
          <w:r>
            <w:rPr>
              <w:rFonts w:hint="eastAsia"/>
            </w:rPr>
            <w:t>选择在该周期末到期全额兑付本期债券。</w:t>
          </w:r>
        </w:p>
        <w:p w14:paraId="60884A03" w14:textId="77777777" w:rsidR="00B201D3" w:rsidRDefault="00C8327E">
          <w:pPr>
            <w:pStyle w:val="3903"/>
          </w:pPr>
        </w:p>
      </w:sdtContent>
    </w:sdt>
    <w:sdt>
      <w:sdtPr>
        <w:rPr>
          <w:rFonts w:hint="eastAsia"/>
        </w:rPr>
        <w:alias w:val="模块:公司对债券终止上市交易风险的应对措施  ____"/>
        <w:tag w:val="_SEC_a78818601652484a980eda0c78d6536d"/>
        <w:id w:val="-191613621"/>
        <w:lock w:val="sdtLocked"/>
      </w:sdtPr>
      <w:sdtEndPr>
        <w:rPr>
          <w:color w:val="000000" w:themeColor="text1"/>
        </w:rPr>
      </w:sdtEndPr>
      <w:sdtContent>
        <w:p w14:paraId="678C4807" w14:textId="77777777" w:rsidR="00B201D3" w:rsidRDefault="009855E8">
          <w:pPr>
            <w:pStyle w:val="3903"/>
          </w:pPr>
          <w:r>
            <w:rPr>
              <w:rFonts w:hint="eastAsia"/>
            </w:rPr>
            <w:t>公司对债券终止上市交易风险的应对措施</w:t>
          </w:r>
        </w:p>
        <w:sdt>
          <w:sdtPr>
            <w:rPr>
              <w:rFonts w:cs="Times New Roman"/>
              <w:bCs/>
              <w:color w:val="000000" w:themeColor="text1"/>
              <w:kern w:val="2"/>
            </w:rPr>
            <w:alias w:val="是否适用：公司对债券终止上市交易风险的应对措施 [双击切换]"/>
            <w:tag w:val="_GBC_fa1265d9d8f2402a80462c3b9ee0681e"/>
            <w:id w:val="-2092068809"/>
            <w:lock w:val="sdtLocked"/>
          </w:sdtPr>
          <w:sdtEndPr/>
          <w:sdtContent>
            <w:p w14:paraId="0BB426D0" w14:textId="77777777" w:rsidR="00B201D3" w:rsidRDefault="009855E8">
              <w:pPr>
                <w:rPr>
                  <w:color w:val="000000" w:themeColor="text1"/>
                </w:rPr>
              </w:pPr>
              <w:r>
                <w:rPr>
                  <w:rFonts w:cs="Times New Roman"/>
                  <w:bCs/>
                  <w:color w:val="000000" w:themeColor="text1"/>
                  <w:kern w:val="2"/>
                </w:rPr>
                <w:fldChar w:fldCharType="begin"/>
              </w:r>
              <w:r>
                <w:rPr>
                  <w:rFonts w:cs="Times New Roman"/>
                  <w:color w:val="000000" w:themeColor="text1"/>
                  <w:kern w:val="2"/>
                </w:rPr>
                <w:instrText xml:space="preserve"> MACROBUTTON  SnrToggleCheckbox □适用 </w:instrText>
              </w:r>
              <w:r>
                <w:rPr>
                  <w:rFonts w:cs="Times New Roman"/>
                  <w:bCs/>
                  <w:color w:val="000000" w:themeColor="text1"/>
                  <w:kern w:val="2"/>
                </w:rPr>
                <w:fldChar w:fldCharType="end"/>
              </w:r>
              <w:r>
                <w:rPr>
                  <w:rFonts w:cs="Times New Roman"/>
                  <w:bCs/>
                  <w:color w:val="000000" w:themeColor="text1"/>
                  <w:kern w:val="2"/>
                </w:rPr>
                <w:fldChar w:fldCharType="begin"/>
              </w:r>
              <w:r>
                <w:rPr>
                  <w:rFonts w:cs="Times New Roman"/>
                  <w:color w:val="000000" w:themeColor="text1"/>
                  <w:kern w:val="2"/>
                </w:rPr>
                <w:instrText xml:space="preserve"> MACROBUTTON  SnrToggleCheckbox √不适用 </w:instrText>
              </w:r>
              <w:r>
                <w:rPr>
                  <w:rFonts w:cs="Times New Roman"/>
                  <w:bCs/>
                  <w:color w:val="000000" w:themeColor="text1"/>
                  <w:kern w:val="2"/>
                </w:rPr>
                <w:fldChar w:fldCharType="end"/>
              </w:r>
            </w:p>
          </w:sdtContent>
        </w:sdt>
        <w:p w14:paraId="1941AD1E" w14:textId="77777777" w:rsidR="00B201D3" w:rsidRDefault="00C8327E">
          <w:pPr>
            <w:rPr>
              <w:rFonts w:cs="Times New Roman"/>
              <w:bCs/>
              <w:color w:val="000000" w:themeColor="text1"/>
              <w:kern w:val="2"/>
            </w:rPr>
          </w:pPr>
        </w:p>
      </w:sdtContent>
    </w:sdt>
    <w:bookmarkStart w:id="116" w:name="_Hlk41317655" w:displacedByCustomXml="next"/>
    <w:sdt>
      <w:sdtPr>
        <w:alias w:val="模块:逾期未偿还债券"/>
        <w:tag w:val="_SEC_93ba28f6e182409d9aa6e3ecd1486efd"/>
        <w:id w:val="-1030645112"/>
        <w:lock w:val="sdtLocked"/>
      </w:sdtPr>
      <w:sdtEndPr>
        <w:rPr>
          <w:rFonts w:cs="Times New Roman"/>
          <w:b/>
          <w:bCs/>
          <w:kern w:val="2"/>
        </w:rPr>
      </w:sdtEndPr>
      <w:sdtContent>
        <w:p w14:paraId="079B0A2E" w14:textId="77777777" w:rsidR="00B201D3" w:rsidRDefault="009855E8">
          <w:pPr>
            <w:pStyle w:val="3903"/>
          </w:pPr>
          <w:r>
            <w:t>逾期未偿还债券</w:t>
          </w:r>
        </w:p>
        <w:sdt>
          <w:sdtPr>
            <w:rPr>
              <w:rFonts w:hint="eastAsia"/>
            </w:rPr>
            <w:alias w:val="是否适用：逾期未偿还债券[双击切换]"/>
            <w:tag w:val="_GBC_fb634e5ee243464e99bfca2d087924e6"/>
            <w:id w:val="-496959018"/>
            <w:lock w:val="sdtLocked"/>
          </w:sdtPr>
          <w:sdtEndPr/>
          <w:sdtContent>
            <w:p w14:paraId="61E2359D" w14:textId="77777777" w:rsidR="00B201D3" w:rsidRDefault="009855E8">
              <w:pPr>
                <w:rPr>
                  <w:rFonts w:cs="Times New Roman"/>
                  <w:b/>
                  <w:bCs/>
                  <w:kern w:val="2"/>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16" w:displacedByCustomXml="next"/>
    <w:sdt>
      <w:sdtPr>
        <w:alias w:val="模块:关于逾期债项的说明"/>
        <w:tag w:val="_SEC_db8f5be58baf40d0bb47b6b45fabbfae"/>
        <w:id w:val="-366369548"/>
        <w:lock w:val="sdtLocked"/>
      </w:sdtPr>
      <w:sdtEndPr>
        <w:rPr>
          <w:rFonts w:hint="eastAsia"/>
        </w:rPr>
      </w:sdtEndPr>
      <w:sdtContent>
        <w:p w14:paraId="3E2FBD00" w14:textId="77777777" w:rsidR="00B201D3" w:rsidRDefault="009855E8">
          <w:pPr>
            <w:pStyle w:val="3903"/>
          </w:pPr>
          <w:r>
            <w:t>关于逾期债项的说明</w:t>
          </w:r>
        </w:p>
        <w:sdt>
          <w:sdtPr>
            <w:rPr>
              <w:rFonts w:hint="eastAsia"/>
            </w:rPr>
            <w:alias w:val="是否适用：关于逾期债项的说明 [双击切换]"/>
            <w:tag w:val="_GBC_e709a54869bd438eab4c79ff3c52d7d0"/>
            <w:id w:val="-1358038897"/>
            <w:lock w:val="sdtLocked"/>
          </w:sdtPr>
          <w:sdtEndPr/>
          <w:sdtContent>
            <w:p w14:paraId="4872713B" w14:textId="77777777" w:rsidR="00B201D3" w:rsidRDefault="009855E8">
              <w:pPr>
                <w:pStyle w:val="390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696EC22B" w14:textId="77777777" w:rsidR="00B201D3" w:rsidRDefault="00B201D3">
      <w:pPr>
        <w:rPr>
          <w:rFonts w:cs="Times New Roman"/>
          <w:bCs/>
          <w:kern w:val="2"/>
        </w:rPr>
      </w:pPr>
    </w:p>
    <w:bookmarkStart w:id="117" w:name="_Hlk41317963" w:displacedByCustomXml="next"/>
    <w:sdt>
      <w:sdtPr>
        <w:rPr>
          <w:rFonts w:ascii="宋体" w:hAnsi="宋体" w:cs="宋体" w:hint="eastAsia"/>
          <w:b w:val="0"/>
          <w:bCs w:val="0"/>
          <w:kern w:val="0"/>
          <w:szCs w:val="24"/>
        </w:rPr>
        <w:alias w:val="模块:发行人或投资者选择权条款、投资者保护条款的触发和执行情况 ..."/>
        <w:tag w:val="_SEC_5399143278374bc6a0338b597e80e0a8"/>
        <w:id w:val="169065583"/>
        <w:lock w:val="sdtLocked"/>
      </w:sdtPr>
      <w:sdtEndPr>
        <w:rPr>
          <w:rFonts w:hint="default"/>
          <w:color w:val="000000" w:themeColor="text1"/>
          <w:szCs w:val="21"/>
        </w:rPr>
      </w:sdtEndPr>
      <w:sdtContent>
        <w:p w14:paraId="591BCE60" w14:textId="77777777" w:rsidR="00B201D3" w:rsidRDefault="009855E8">
          <w:pPr>
            <w:pStyle w:val="4"/>
            <w:numPr>
              <w:ilvl w:val="0"/>
              <w:numId w:val="41"/>
            </w:numPr>
            <w:rPr>
              <w:rFonts w:ascii="宋体" w:hAnsi="宋体"/>
            </w:rPr>
          </w:pPr>
          <w:r>
            <w:rPr>
              <w:rFonts w:ascii="宋体" w:hAnsi="宋体" w:hint="eastAsia"/>
            </w:rPr>
            <w:t>发行人或投资者选择权条款、投资者保护条款的触发和执行情况</w:t>
          </w:r>
        </w:p>
        <w:sdt>
          <w:sdtPr>
            <w:rPr>
              <w:rFonts w:cs="Times New Roman"/>
              <w:bCs/>
              <w:color w:val="000000" w:themeColor="text1"/>
              <w:kern w:val="2"/>
            </w:rPr>
            <w:alias w:val="是否适用：发行人或投资者选择权条款、投资者保护条款的触发和执行情况[双击切换]"/>
            <w:tag w:val="_GBC_185e6a8631e94bd5ac84f901f842a806"/>
            <w:id w:val="-2071343097"/>
            <w:lock w:val="sdtLocked"/>
          </w:sdtPr>
          <w:sdtEndPr/>
          <w:sdtContent>
            <w:p w14:paraId="1AC92227" w14:textId="77777777" w:rsidR="00B201D3" w:rsidRDefault="009855E8">
              <w:pPr>
                <w:rPr>
                  <w:rFonts w:cs="Times New Roman"/>
                  <w:bCs/>
                  <w:color w:val="000000" w:themeColor="text1"/>
                  <w:kern w:val="2"/>
                </w:rPr>
              </w:pPr>
              <w:r>
                <w:rPr>
                  <w:rFonts w:cs="Times New Roman"/>
                  <w:bCs/>
                  <w:color w:val="000000" w:themeColor="text1"/>
                  <w:kern w:val="2"/>
                </w:rPr>
                <w:fldChar w:fldCharType="begin"/>
              </w:r>
              <w:r>
                <w:rPr>
                  <w:rFonts w:cs="Times New Roman"/>
                  <w:color w:val="000000" w:themeColor="text1"/>
                  <w:kern w:val="2"/>
                </w:rPr>
                <w:instrText xml:space="preserve"> MACROBUTTON  SnrToggleCheckbox □适用 </w:instrText>
              </w:r>
              <w:r>
                <w:rPr>
                  <w:rFonts w:cs="Times New Roman"/>
                  <w:bCs/>
                  <w:color w:val="000000" w:themeColor="text1"/>
                  <w:kern w:val="2"/>
                </w:rPr>
                <w:fldChar w:fldCharType="end"/>
              </w:r>
              <w:r>
                <w:rPr>
                  <w:rFonts w:cs="Times New Roman"/>
                  <w:bCs/>
                  <w:color w:val="000000" w:themeColor="text1"/>
                  <w:kern w:val="2"/>
                </w:rPr>
                <w:fldChar w:fldCharType="begin"/>
              </w:r>
              <w:r>
                <w:rPr>
                  <w:rFonts w:cs="Times New Roman"/>
                  <w:color w:val="000000" w:themeColor="text1"/>
                  <w:kern w:val="2"/>
                </w:rPr>
                <w:instrText xml:space="preserve"> MACROBUTTON  SnrToggleCheckbox √不适用 </w:instrText>
              </w:r>
              <w:r>
                <w:rPr>
                  <w:rFonts w:cs="Times New Roman"/>
                  <w:bCs/>
                  <w:color w:val="000000" w:themeColor="text1"/>
                  <w:kern w:val="2"/>
                </w:rPr>
                <w:fldChar w:fldCharType="end"/>
              </w:r>
            </w:p>
          </w:sdtContent>
        </w:sdt>
        <w:p w14:paraId="312FED83" w14:textId="77777777" w:rsidR="00B201D3" w:rsidRDefault="00C8327E">
          <w:pPr>
            <w:rPr>
              <w:color w:val="000000" w:themeColor="text1"/>
            </w:rPr>
          </w:pPr>
        </w:p>
      </w:sdtContent>
    </w:sdt>
    <w:bookmarkEnd w:id="117" w:displacedByCustomXml="next"/>
    <w:bookmarkStart w:id="118" w:name="_Hlk105685913" w:displacedByCustomXml="next"/>
    <w:bookmarkStart w:id="119" w:name="_Hlk105762728" w:displacedByCustomXml="next"/>
    <w:sdt>
      <w:sdtPr>
        <w:rPr>
          <w:rFonts w:ascii="宋体" w:hAnsi="宋体" w:cs="宋体"/>
          <w:b w:val="0"/>
          <w:bCs w:val="0"/>
          <w:kern w:val="0"/>
          <w:szCs w:val="24"/>
        </w:rPr>
        <w:alias w:val="模块:信用评级结果调整情况"/>
        <w:tag w:val="_SEC_f79901d570c546118d8c8e652fd6699d"/>
        <w:id w:val="-338007132"/>
        <w:lock w:val="sdtLocked"/>
      </w:sdtPr>
      <w:sdtEndPr>
        <w:rPr>
          <w:color w:val="000000" w:themeColor="text1"/>
          <w:szCs w:val="21"/>
        </w:rPr>
      </w:sdtEndPr>
      <w:sdtContent>
        <w:p w14:paraId="16B78F09" w14:textId="77777777" w:rsidR="00B201D3" w:rsidRDefault="009855E8">
          <w:pPr>
            <w:pStyle w:val="4"/>
            <w:numPr>
              <w:ilvl w:val="0"/>
              <w:numId w:val="41"/>
            </w:numPr>
            <w:tabs>
              <w:tab w:val="left" w:pos="360"/>
            </w:tabs>
            <w:ind w:left="425" w:hanging="425"/>
            <w:rPr>
              <w:rFonts w:ascii="宋体" w:hAnsi="宋体" w:cs="宋体"/>
              <w:kern w:val="0"/>
              <w:szCs w:val="24"/>
            </w:rPr>
          </w:pPr>
          <w:r>
            <w:rPr>
              <w:rFonts w:ascii="宋体" w:hAnsi="宋体" w:cs="宋体" w:hint="eastAsia"/>
              <w:kern w:val="0"/>
              <w:szCs w:val="24"/>
            </w:rPr>
            <w:t>信用评级结果调整情况</w:t>
          </w:r>
        </w:p>
        <w:sdt>
          <w:sdtPr>
            <w:rPr>
              <w:rFonts w:cs="Times New Roman" w:hint="eastAsia"/>
              <w:bCs/>
              <w:color w:val="000000" w:themeColor="text1"/>
              <w:kern w:val="2"/>
            </w:rPr>
            <w:alias w:val="是否适用：公司债券评级情况[双击切换]"/>
            <w:tag w:val="_GBC_964e49aa0366415fa055308c9faddb13"/>
            <w:id w:val="1472167936"/>
            <w:lock w:val="sdtLocked"/>
          </w:sdtPr>
          <w:sdtEndPr/>
          <w:sdtContent>
            <w:p w14:paraId="1AF71AF2" w14:textId="77777777" w:rsidR="00B201D3" w:rsidRDefault="009855E8">
              <w:pPr>
                <w:rPr>
                  <w:color w:val="000000" w:themeColor="text1"/>
                </w:rPr>
              </w:pPr>
              <w:r>
                <w:rPr>
                  <w:rFonts w:cs="Times New Roman"/>
                  <w:bCs/>
                  <w:color w:val="000000" w:themeColor="text1"/>
                  <w:kern w:val="2"/>
                </w:rPr>
                <w:fldChar w:fldCharType="begin"/>
              </w:r>
              <w:r>
                <w:rPr>
                  <w:rFonts w:cs="Times New Roman"/>
                  <w:color w:val="000000" w:themeColor="text1"/>
                  <w:kern w:val="2"/>
                </w:rPr>
                <w:instrText xml:space="preserve"> MACROBUTTON  SnrToggleCheckbox □适用 </w:instrText>
              </w:r>
              <w:r>
                <w:rPr>
                  <w:rFonts w:cs="Times New Roman"/>
                  <w:bCs/>
                  <w:color w:val="000000" w:themeColor="text1"/>
                  <w:kern w:val="2"/>
                </w:rPr>
                <w:fldChar w:fldCharType="end"/>
              </w:r>
              <w:r>
                <w:rPr>
                  <w:rFonts w:cs="Times New Roman"/>
                  <w:bCs/>
                  <w:color w:val="000000" w:themeColor="text1"/>
                  <w:kern w:val="2"/>
                </w:rPr>
                <w:fldChar w:fldCharType="begin"/>
              </w:r>
              <w:r>
                <w:rPr>
                  <w:rFonts w:cs="Times New Roman"/>
                  <w:color w:val="000000" w:themeColor="text1"/>
                  <w:kern w:val="2"/>
                </w:rPr>
                <w:instrText xml:space="preserve"> MACROBUTTON  SnrToggleCheckbox √不适用 </w:instrText>
              </w:r>
              <w:r>
                <w:rPr>
                  <w:rFonts w:cs="Times New Roman"/>
                  <w:bCs/>
                  <w:color w:val="000000" w:themeColor="text1"/>
                  <w:kern w:val="2"/>
                </w:rPr>
                <w:fldChar w:fldCharType="end"/>
              </w:r>
            </w:p>
          </w:sdtContent>
        </w:sdt>
      </w:sdtContent>
    </w:sdt>
    <w:bookmarkEnd w:id="118" w:displacedByCustomXml="next"/>
    <w:bookmarkStart w:id="120" w:name="_Hlk105686033" w:displacedByCustomXml="next"/>
    <w:sdt>
      <w:sdtPr>
        <w:rPr>
          <w:rFonts w:ascii="宋体" w:hAnsi="宋体" w:cs="宋体"/>
          <w:b w:val="0"/>
          <w:bCs w:val="0"/>
          <w:kern w:val="0"/>
          <w:szCs w:val="24"/>
        </w:rPr>
        <w:alias w:val="模块:担保情况、偿债计划及其他偿债保障措施在报告期内的执行和变化情况及其影响"/>
        <w:tag w:val="_SEC_82f9c67b20cb45eda99d978cc09be2e9"/>
        <w:id w:val="-1145426256"/>
        <w:lock w:val="sdtLocked"/>
      </w:sdtPr>
      <w:sdtEndPr>
        <w:rPr>
          <w:color w:val="000000" w:themeColor="text1"/>
          <w:szCs w:val="21"/>
        </w:rPr>
      </w:sdtEndPr>
      <w:sdtContent>
        <w:p w14:paraId="14D1851E" w14:textId="77777777" w:rsidR="00B201D3" w:rsidRDefault="009855E8">
          <w:pPr>
            <w:pStyle w:val="4"/>
            <w:numPr>
              <w:ilvl w:val="0"/>
              <w:numId w:val="41"/>
            </w:numPr>
            <w:tabs>
              <w:tab w:val="left" w:pos="360"/>
            </w:tabs>
            <w:ind w:left="425" w:hanging="425"/>
            <w:rPr>
              <w:rFonts w:ascii="宋体" w:hAnsi="宋体" w:cs="宋体"/>
              <w:kern w:val="0"/>
              <w:szCs w:val="24"/>
            </w:rPr>
          </w:pPr>
          <w:r>
            <w:rPr>
              <w:rFonts w:ascii="宋体" w:hAnsi="宋体" w:cs="宋体" w:hint="eastAsia"/>
              <w:kern w:val="0"/>
              <w:szCs w:val="24"/>
            </w:rPr>
            <w:t>担保情况、偿债计划及其他偿债保障措施在报告期内的执行和变化情况及其影响</w:t>
          </w:r>
        </w:p>
        <w:sdt>
          <w:sdtPr>
            <w:rPr>
              <w:rFonts w:cs="Times New Roman"/>
              <w:bCs/>
              <w:color w:val="000000" w:themeColor="text1"/>
              <w:kern w:val="2"/>
            </w:rPr>
            <w:alias w:val="是否适用：担保情况、偿债计划及其他偿债保障措施在报告期内的执行情况和变化情况及对债券投资者权益的影响[双击切换]"/>
            <w:tag w:val="_GBC_ad1e9e8b0cdb4fc6835d46e0c897eb78"/>
            <w:id w:val="-769932234"/>
            <w:lock w:val="sdtLocked"/>
          </w:sdtPr>
          <w:sdtEndPr/>
          <w:sdtContent>
            <w:p w14:paraId="44EC8326" w14:textId="77777777" w:rsidR="00B201D3" w:rsidRDefault="009855E8">
              <w:pPr>
                <w:rPr>
                  <w:color w:val="000000" w:themeColor="text1"/>
                </w:rPr>
              </w:pPr>
              <w:r>
                <w:rPr>
                  <w:rFonts w:cs="Times New Roman"/>
                  <w:bCs/>
                  <w:color w:val="000000" w:themeColor="text1"/>
                  <w:kern w:val="2"/>
                </w:rPr>
                <w:fldChar w:fldCharType="begin"/>
              </w:r>
              <w:r>
                <w:rPr>
                  <w:rFonts w:cs="Times New Roman"/>
                  <w:color w:val="000000" w:themeColor="text1"/>
                  <w:kern w:val="2"/>
                </w:rPr>
                <w:instrText xml:space="preserve"> MACROBUTTON  SnrToggleCheckbox □适用 </w:instrText>
              </w:r>
              <w:r>
                <w:rPr>
                  <w:rFonts w:cs="Times New Roman"/>
                  <w:bCs/>
                  <w:color w:val="000000" w:themeColor="text1"/>
                  <w:kern w:val="2"/>
                </w:rPr>
                <w:fldChar w:fldCharType="end"/>
              </w:r>
              <w:r>
                <w:rPr>
                  <w:rFonts w:cs="Times New Roman"/>
                  <w:bCs/>
                  <w:color w:val="000000" w:themeColor="text1"/>
                  <w:kern w:val="2"/>
                </w:rPr>
                <w:fldChar w:fldCharType="begin"/>
              </w:r>
              <w:r>
                <w:rPr>
                  <w:rFonts w:cs="Times New Roman"/>
                  <w:color w:val="000000" w:themeColor="text1"/>
                  <w:kern w:val="2"/>
                </w:rPr>
                <w:instrText xml:space="preserve"> MACROBUTTON  SnrToggleCheckbox √不适用 </w:instrText>
              </w:r>
              <w:r>
                <w:rPr>
                  <w:rFonts w:cs="Times New Roman"/>
                  <w:bCs/>
                  <w:color w:val="000000" w:themeColor="text1"/>
                  <w:kern w:val="2"/>
                </w:rPr>
                <w:fldChar w:fldCharType="end"/>
              </w:r>
            </w:p>
          </w:sdtContent>
        </w:sdt>
      </w:sdtContent>
    </w:sdt>
    <w:bookmarkEnd w:id="120" w:displacedByCustomXml="next"/>
    <w:sdt>
      <w:sdtPr>
        <w:rPr>
          <w:b/>
          <w:bCs/>
        </w:rPr>
        <w:alias w:val="模块:担保情况、偿债计划及其他偿债保障措施在报告期内的执行情况和变..."/>
        <w:tag w:val="_SEC_b7d50a796590402696ce9352af7e9496"/>
        <w:id w:val="-994718337"/>
        <w:lock w:val="sdtLocked"/>
      </w:sdtPr>
      <w:sdtEndPr>
        <w:rPr>
          <w:b w:val="0"/>
          <w:bCs w:val="0"/>
          <w:color w:val="000000" w:themeColor="text1"/>
        </w:rPr>
      </w:sdtEndPr>
      <w:sdtContent>
        <w:p w14:paraId="40702BEF" w14:textId="77777777" w:rsidR="00B201D3" w:rsidRDefault="009855E8">
          <w:pPr>
            <w:pStyle w:val="3903"/>
          </w:pPr>
          <w:r>
            <w:rPr>
              <w:rFonts w:hint="eastAsia"/>
            </w:rPr>
            <w:t>其他说明</w:t>
          </w:r>
        </w:p>
        <w:sdt>
          <w:sdtPr>
            <w:rPr>
              <w:color w:val="000000" w:themeColor="text1"/>
            </w:rPr>
            <w:alias w:val="担保情况、偿债计划及其他偿债保障措施在报告期内的执行情况和变化情况及对债券投资者权益的影响"/>
            <w:tag w:val="_GBC_e7d8ccefedc845ea9a1d4f6abbccb657"/>
            <w:id w:val="1793779472"/>
            <w:lock w:val="sdtLocked"/>
          </w:sdtPr>
          <w:sdtEndPr/>
          <w:sdtContent>
            <w:p w14:paraId="2A525594" w14:textId="0F0498FD" w:rsidR="00B201D3" w:rsidRDefault="009855E8">
              <w:pPr>
                <w:rPr>
                  <w:color w:val="000000" w:themeColor="text1"/>
                </w:rPr>
              </w:pPr>
              <w:r>
                <w:rPr>
                  <w:rFonts w:hint="eastAsia"/>
                  <w:color w:val="000000" w:themeColor="text1"/>
                </w:rPr>
                <w:t>本公司所发行公司</w:t>
              </w:r>
              <w:r w:rsidR="00A12A1A">
                <w:rPr>
                  <w:rFonts w:hint="eastAsia"/>
                  <w:color w:val="000000" w:themeColor="text1"/>
                </w:rPr>
                <w:t>公司债券</w:t>
              </w:r>
              <w:r>
                <w:rPr>
                  <w:rFonts w:hint="eastAsia"/>
                  <w:color w:val="000000" w:themeColor="text1"/>
                </w:rPr>
                <w:t>情况、偿债计划及其他偿债保障措施与募集说明书保持一致，报告期内未发生变化。</w:t>
              </w:r>
            </w:p>
          </w:sdtContent>
        </w:sdt>
        <w:p w14:paraId="33A9DBDE" w14:textId="77777777" w:rsidR="00B201D3" w:rsidRDefault="00C8327E">
          <w:pPr>
            <w:rPr>
              <w:color w:val="000000" w:themeColor="text1"/>
            </w:rPr>
          </w:pPr>
        </w:p>
      </w:sdtContent>
    </w:sdt>
    <w:bookmarkEnd w:id="119" w:displacedByCustomXml="next"/>
    <w:bookmarkStart w:id="121" w:name="_Hlk41317937" w:displacedByCustomXml="next"/>
    <w:sdt>
      <w:sdtPr>
        <w:rPr>
          <w:rFonts w:ascii="宋体" w:hAnsi="宋体" w:cs="宋体" w:hint="eastAsia"/>
          <w:b w:val="0"/>
          <w:bCs w:val="0"/>
          <w:kern w:val="0"/>
          <w:szCs w:val="24"/>
        </w:rPr>
        <w:alias w:val="模块:公司债券其他情况的说明  "/>
        <w:tag w:val="_SEC_c37bdbc7a0544c2485b82ea29a71e678"/>
        <w:id w:val="-1418779904"/>
        <w:lock w:val="sdtLocked"/>
      </w:sdtPr>
      <w:sdtEndPr>
        <w:rPr>
          <w:szCs w:val="21"/>
        </w:rPr>
      </w:sdtEndPr>
      <w:sdtContent>
        <w:p w14:paraId="1664A9F8" w14:textId="77777777" w:rsidR="00B201D3" w:rsidRDefault="009855E8">
          <w:pPr>
            <w:pStyle w:val="4"/>
            <w:numPr>
              <w:ilvl w:val="0"/>
              <w:numId w:val="41"/>
            </w:numPr>
            <w:rPr>
              <w:rFonts w:ascii="宋体" w:hAnsi="宋体"/>
            </w:rPr>
          </w:pPr>
          <w:r>
            <w:rPr>
              <w:rFonts w:ascii="宋体" w:hAnsi="宋体" w:hint="eastAsia"/>
            </w:rPr>
            <w:t>公司债券其他情况的说明</w:t>
          </w:r>
        </w:p>
        <w:sdt>
          <w:sdtPr>
            <w:rPr>
              <w:rFonts w:cs="Times New Roman"/>
              <w:bCs/>
              <w:kern w:val="2"/>
            </w:rPr>
            <w:alias w:val="是否适用：公司债券其他情况的说明[双击切换]"/>
            <w:tag w:val="_GBC_f43ee2ad9a1340e2803eef0b47f048f2"/>
            <w:id w:val="-472216226"/>
            <w:lock w:val="sdtLocked"/>
          </w:sdtPr>
          <w:sdtEndPr/>
          <w:sdtContent>
            <w:p w14:paraId="2ED94C29" w14:textId="77777777" w:rsidR="00B201D3" w:rsidRDefault="009855E8">
              <w:pPr>
                <w:rPr>
                  <w:rFonts w:cs="Times New Roman"/>
                  <w:bCs/>
                  <w:kern w:val="2"/>
                </w:rPr>
              </w:pPr>
              <w:r>
                <w:rPr>
                  <w:rFonts w:cs="Times New Roman"/>
                  <w:bCs/>
                  <w:kern w:val="2"/>
                </w:rPr>
                <w:fldChar w:fldCharType="begin"/>
              </w:r>
              <w:r>
                <w:rPr>
                  <w:rFonts w:cs="Times New Roman"/>
                  <w:kern w:val="2"/>
                </w:rPr>
                <w:instrText xml:space="preserve"> MACROBUTTON  SnrToggleCheckbox □适用 </w:instrText>
              </w:r>
              <w:r>
                <w:rPr>
                  <w:rFonts w:cs="Times New Roman"/>
                  <w:bCs/>
                  <w:kern w:val="2"/>
                </w:rPr>
                <w:fldChar w:fldCharType="end"/>
              </w:r>
              <w:r>
                <w:rPr>
                  <w:rFonts w:cs="Times New Roman"/>
                  <w:bCs/>
                  <w:kern w:val="2"/>
                </w:rPr>
                <w:fldChar w:fldCharType="begin"/>
              </w:r>
              <w:r>
                <w:rPr>
                  <w:rFonts w:cs="Times New Roman"/>
                  <w:kern w:val="2"/>
                </w:rPr>
                <w:instrText xml:space="preserve"> MACROBUTTON  SnrToggleCheckbox √不适用 </w:instrText>
              </w:r>
              <w:r>
                <w:rPr>
                  <w:rFonts w:cs="Times New Roman"/>
                  <w:bCs/>
                  <w:kern w:val="2"/>
                </w:rPr>
                <w:fldChar w:fldCharType="end"/>
              </w:r>
            </w:p>
          </w:sdtContent>
        </w:sdt>
        <w:p w14:paraId="614B9C28" w14:textId="77777777" w:rsidR="00B201D3" w:rsidRDefault="00C8327E">
          <w:pPr>
            <w:pStyle w:val="3903"/>
          </w:pPr>
        </w:p>
      </w:sdtContent>
    </w:sdt>
    <w:bookmarkEnd w:id="121"/>
    <w:p w14:paraId="2CB28D83" w14:textId="77777777" w:rsidR="00B201D3" w:rsidRDefault="009855E8">
      <w:pPr>
        <w:pStyle w:val="3"/>
        <w:numPr>
          <w:ilvl w:val="0"/>
          <w:numId w:val="40"/>
        </w:numPr>
        <w:rPr>
          <w:rFonts w:ascii="宋体" w:hAnsi="宋体"/>
        </w:rPr>
      </w:pPr>
      <w:r>
        <w:rPr>
          <w:rFonts w:ascii="宋体" w:hAnsi="宋体"/>
        </w:rPr>
        <w:lastRenderedPageBreak/>
        <w:t>银行间债券市场非金融企业债务融资工具</w:t>
      </w:r>
    </w:p>
    <w:sdt>
      <w:sdtPr>
        <w:rPr>
          <w:rFonts w:hint="eastAsia"/>
        </w:rPr>
        <w:alias w:val="是否适用：银行间债券市场非金融企业债务融资工具相关情况[双击切换]"/>
        <w:tag w:val="_GBC_26e1b928d11c47bfad361d998e446706"/>
        <w:id w:val="108334460"/>
        <w:lock w:val="sdtContentLocked"/>
      </w:sdtPr>
      <w:sdtEndPr/>
      <w:sdtContent>
        <w:p w14:paraId="58EBB268" w14:textId="77777777" w:rsidR="00B201D3" w:rsidRDefault="009855E8">
          <w:pPr>
            <w:pStyle w:val="390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Start w:id="122" w:name="_Hlk74747055" w:displacedByCustomXml="next"/>
    <w:sdt>
      <w:sdtPr>
        <w:rPr>
          <w:rFonts w:ascii="宋体" w:hAnsi="宋体" w:cs="宋体"/>
          <w:b w:val="0"/>
          <w:bCs w:val="0"/>
          <w:kern w:val="0"/>
          <w:szCs w:val="24"/>
        </w:rPr>
        <w:alias w:val="模块:非金融企业债务融资工具基本情况"/>
        <w:tag w:val="_SEC_3f8a3448cfdb4a6b9a931cd5e6b90c54"/>
        <w:id w:val="154740242"/>
        <w:lock w:val="sdtLocked"/>
      </w:sdtPr>
      <w:sdtEndPr>
        <w:rPr>
          <w:szCs w:val="21"/>
        </w:rPr>
      </w:sdtEndPr>
      <w:sdtContent>
        <w:p w14:paraId="6528151F" w14:textId="77777777" w:rsidR="00B201D3" w:rsidRDefault="009855E8">
          <w:pPr>
            <w:pStyle w:val="4"/>
            <w:numPr>
              <w:ilvl w:val="0"/>
              <w:numId w:val="42"/>
            </w:numPr>
            <w:rPr>
              <w:rFonts w:ascii="宋体" w:hAnsi="宋体" w:cs="宋体"/>
              <w:kern w:val="0"/>
              <w:szCs w:val="24"/>
            </w:rPr>
          </w:pPr>
          <w:r>
            <w:rPr>
              <w:rFonts w:ascii="宋体" w:hAnsi="宋体" w:cs="宋体"/>
              <w:kern w:val="0"/>
              <w:szCs w:val="24"/>
            </w:rPr>
            <w:t>非金融企业债务融资工具</w:t>
          </w:r>
          <w:r>
            <w:rPr>
              <w:rFonts w:ascii="宋体" w:hAnsi="宋体" w:cs="宋体" w:hint="eastAsia"/>
              <w:kern w:val="0"/>
              <w:szCs w:val="24"/>
            </w:rPr>
            <w:t>基本情况</w:t>
          </w:r>
        </w:p>
        <w:p w14:paraId="4DBF4231" w14:textId="0CD4384A" w:rsidR="00B201D3" w:rsidRDefault="009855E8">
          <w:pPr>
            <w:jc w:val="right"/>
          </w:pPr>
          <w:r>
            <w:rPr>
              <w:rFonts w:hint="eastAsia"/>
            </w:rPr>
            <w:t>单位</w:t>
          </w:r>
          <w:r>
            <w:t>：</w:t>
          </w:r>
          <w:sdt>
            <w:sdtPr>
              <w:alias w:val="单位：财务附注：公司债券基本情况"/>
              <w:tag w:val="_GBC_7df1b0ddc1ae48d2a74c0fa42ce9eb2d"/>
              <w:id w:val="-1556077089"/>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sidR="00F46283">
                <w:t>亿元</w:t>
              </w:r>
            </w:sdtContent>
          </w:sdt>
          <w:r>
            <w:rPr>
              <w:rFonts w:hint="eastAsia"/>
            </w:rPr>
            <w:t xml:space="preserve">  币种</w:t>
          </w:r>
          <w:r>
            <w:t>：</w:t>
          </w:r>
          <w:sdt>
            <w:sdtPr>
              <w:alias w:val="币种：财务附注：公司债券基本情况"/>
              <w:tag w:val="_GBC_7135d7c4f3914194be67f9b07af24f15"/>
              <w:id w:val="64023500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sidR="00F46283">
                <w:t>人民币</w:t>
              </w:r>
            </w:sdtContent>
          </w:sdt>
        </w:p>
        <w:tbl>
          <w:tblPr>
            <w:tblStyle w:val="g1"/>
            <w:tblW w:w="5131"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4"/>
            <w:gridCol w:w="1070"/>
            <w:gridCol w:w="1281"/>
            <w:gridCol w:w="1266"/>
            <w:gridCol w:w="1266"/>
            <w:gridCol w:w="1266"/>
            <w:gridCol w:w="846"/>
            <w:gridCol w:w="741"/>
            <w:gridCol w:w="1238"/>
            <w:gridCol w:w="1113"/>
            <w:gridCol w:w="906"/>
            <w:gridCol w:w="906"/>
            <w:gridCol w:w="1083"/>
          </w:tblGrid>
          <w:tr w:rsidR="00B201D3" w14:paraId="6534DFA7" w14:textId="77777777">
            <w:sdt>
              <w:sdtPr>
                <w:tag w:val="_PLD_5efc9fa0055f44cfbb3ae7a661706d4c"/>
                <w:id w:val="-361518878"/>
                <w:lock w:val="sdtLocked"/>
              </w:sdtPr>
              <w:sdtEndPr/>
              <w:sdtContent>
                <w:tc>
                  <w:tcPr>
                    <w:tcW w:w="440" w:type="pct"/>
                    <w:vAlign w:val="center"/>
                  </w:tcPr>
                  <w:p w14:paraId="3D5B3C46" w14:textId="77777777" w:rsidR="00B201D3" w:rsidRDefault="009855E8">
                    <w:pPr>
                      <w:widowControl w:val="0"/>
                      <w:jc w:val="center"/>
                      <w:rPr>
                        <w:rFonts w:cs="Times New Roman"/>
                        <w:b/>
                        <w:bCs/>
                        <w:kern w:val="2"/>
                      </w:rPr>
                    </w:pPr>
                    <w:r>
                      <w:rPr>
                        <w:rFonts w:hint="eastAsia"/>
                      </w:rPr>
                      <w:t>债券名称</w:t>
                    </w:r>
                  </w:p>
                </w:tc>
              </w:sdtContent>
            </w:sdt>
            <w:sdt>
              <w:sdtPr>
                <w:tag w:val="_PLD_14ccfc2bb9ad4cb8b4a686db812a0260"/>
                <w:id w:val="905567266"/>
                <w:lock w:val="sdtLocked"/>
              </w:sdtPr>
              <w:sdtEndPr/>
              <w:sdtContent>
                <w:tc>
                  <w:tcPr>
                    <w:tcW w:w="379" w:type="pct"/>
                    <w:vAlign w:val="center"/>
                  </w:tcPr>
                  <w:p w14:paraId="70242789" w14:textId="77777777" w:rsidR="00B201D3" w:rsidRDefault="009855E8">
                    <w:pPr>
                      <w:widowControl w:val="0"/>
                      <w:jc w:val="center"/>
                    </w:pPr>
                    <w:r>
                      <w:rPr>
                        <w:rFonts w:hint="eastAsia"/>
                      </w:rPr>
                      <w:t>简称</w:t>
                    </w:r>
                  </w:p>
                </w:tc>
              </w:sdtContent>
            </w:sdt>
            <w:sdt>
              <w:sdtPr>
                <w:tag w:val="_PLD_91751b709ecb43eea4bbb230f28a4472"/>
                <w:id w:val="1887373855"/>
                <w:lock w:val="sdtLocked"/>
              </w:sdtPr>
              <w:sdtEndPr/>
              <w:sdtContent>
                <w:tc>
                  <w:tcPr>
                    <w:tcW w:w="453" w:type="pct"/>
                    <w:vAlign w:val="center"/>
                  </w:tcPr>
                  <w:p w14:paraId="360DB85E" w14:textId="77777777" w:rsidR="00B201D3" w:rsidRDefault="009855E8">
                    <w:pPr>
                      <w:widowControl w:val="0"/>
                      <w:jc w:val="center"/>
                    </w:pPr>
                    <w:r>
                      <w:rPr>
                        <w:rFonts w:hint="eastAsia"/>
                      </w:rPr>
                      <w:t>代码</w:t>
                    </w:r>
                  </w:p>
                </w:tc>
              </w:sdtContent>
            </w:sdt>
            <w:sdt>
              <w:sdtPr>
                <w:tag w:val="_PLD_5cd0c320e788477eb40e6b1e1a0b21d3"/>
                <w:id w:val="-1659762082"/>
                <w:lock w:val="sdtLocked"/>
              </w:sdtPr>
              <w:sdtEndPr/>
              <w:sdtContent>
                <w:tc>
                  <w:tcPr>
                    <w:tcW w:w="438" w:type="pct"/>
                    <w:vAlign w:val="center"/>
                  </w:tcPr>
                  <w:p w14:paraId="4766C2E4" w14:textId="77777777" w:rsidR="00B201D3" w:rsidRDefault="009855E8">
                    <w:pPr>
                      <w:widowControl w:val="0"/>
                      <w:jc w:val="center"/>
                    </w:pPr>
                    <w:r>
                      <w:rPr>
                        <w:rFonts w:hint="eastAsia"/>
                      </w:rPr>
                      <w:t>发行日</w:t>
                    </w:r>
                  </w:p>
                </w:tc>
              </w:sdtContent>
            </w:sdt>
            <w:tc>
              <w:tcPr>
                <w:tcW w:w="438" w:type="pct"/>
                <w:vAlign w:val="center"/>
              </w:tcPr>
              <w:sdt>
                <w:sdtPr>
                  <w:rPr>
                    <w:rFonts w:hint="eastAsia"/>
                  </w:rPr>
                  <w:tag w:val="_PLD_a179a38dcf5742f6924600a59e8c23df"/>
                  <w:id w:val="-2282386"/>
                  <w:lock w:val="sdtLocked"/>
                </w:sdtPr>
                <w:sdtEndPr/>
                <w:sdtContent>
                  <w:p w14:paraId="4C4F8F60" w14:textId="77777777" w:rsidR="00B201D3" w:rsidRDefault="009855E8">
                    <w:pPr>
                      <w:widowControl w:val="0"/>
                      <w:jc w:val="center"/>
                    </w:pPr>
                    <w:r>
                      <w:rPr>
                        <w:rFonts w:hint="eastAsia"/>
                      </w:rPr>
                      <w:t>起息日</w:t>
                    </w:r>
                  </w:p>
                </w:sdtContent>
              </w:sdt>
            </w:tc>
            <w:sdt>
              <w:sdtPr>
                <w:tag w:val="_PLD_57eb03616af54594b8b86984ce9ae577"/>
                <w:id w:val="-681979700"/>
                <w:lock w:val="sdtLocked"/>
              </w:sdtPr>
              <w:sdtEndPr/>
              <w:sdtContent>
                <w:tc>
                  <w:tcPr>
                    <w:tcW w:w="438" w:type="pct"/>
                    <w:vAlign w:val="center"/>
                  </w:tcPr>
                  <w:p w14:paraId="233C3AF5" w14:textId="77777777" w:rsidR="00B201D3" w:rsidRDefault="009855E8">
                    <w:pPr>
                      <w:widowControl w:val="0"/>
                      <w:jc w:val="center"/>
                    </w:pPr>
                    <w:r>
                      <w:rPr>
                        <w:rFonts w:hint="eastAsia"/>
                      </w:rPr>
                      <w:t>到期日</w:t>
                    </w:r>
                  </w:p>
                </w:tc>
              </w:sdtContent>
            </w:sdt>
            <w:sdt>
              <w:sdtPr>
                <w:tag w:val="_PLD_8519bda52cad4bbb90b70955340d3ce9"/>
                <w:id w:val="-1965417569"/>
                <w:lock w:val="sdtLocked"/>
              </w:sdtPr>
              <w:sdtEndPr/>
              <w:sdtContent>
                <w:tc>
                  <w:tcPr>
                    <w:tcW w:w="300" w:type="pct"/>
                    <w:vAlign w:val="center"/>
                  </w:tcPr>
                  <w:p w14:paraId="58AE7DC1" w14:textId="77777777" w:rsidR="00B201D3" w:rsidRDefault="009855E8">
                    <w:pPr>
                      <w:widowControl w:val="0"/>
                      <w:jc w:val="center"/>
                    </w:pPr>
                    <w:r>
                      <w:rPr>
                        <w:rFonts w:hint="eastAsia"/>
                      </w:rPr>
                      <w:t>债券余额</w:t>
                    </w:r>
                  </w:p>
                </w:tc>
              </w:sdtContent>
            </w:sdt>
            <w:sdt>
              <w:sdtPr>
                <w:tag w:val="_PLD_284486936ee94f7ba1480887494dcdf9"/>
                <w:id w:val="-445470690"/>
                <w:lock w:val="sdtLocked"/>
              </w:sdtPr>
              <w:sdtEndPr/>
              <w:sdtContent>
                <w:tc>
                  <w:tcPr>
                    <w:tcW w:w="257" w:type="pct"/>
                    <w:vAlign w:val="center"/>
                  </w:tcPr>
                  <w:p w14:paraId="391B2A28" w14:textId="77777777" w:rsidR="00B201D3" w:rsidRDefault="009855E8">
                    <w:pPr>
                      <w:widowControl w:val="0"/>
                      <w:jc w:val="center"/>
                    </w:pPr>
                    <w:r>
                      <w:rPr>
                        <w:rFonts w:hint="eastAsia"/>
                      </w:rPr>
                      <w:t>利率（%）</w:t>
                    </w:r>
                  </w:p>
                </w:tc>
              </w:sdtContent>
            </w:sdt>
            <w:sdt>
              <w:sdtPr>
                <w:tag w:val="_PLD_9c5aaa44f2284f91ad1e98d6975891cb"/>
                <w:id w:val="-266163907"/>
                <w:lock w:val="sdtLocked"/>
              </w:sdtPr>
              <w:sdtEndPr/>
              <w:sdtContent>
                <w:tc>
                  <w:tcPr>
                    <w:tcW w:w="438" w:type="pct"/>
                    <w:vAlign w:val="center"/>
                  </w:tcPr>
                  <w:p w14:paraId="622D2096" w14:textId="77777777" w:rsidR="00B201D3" w:rsidRDefault="009855E8">
                    <w:pPr>
                      <w:widowControl w:val="0"/>
                      <w:jc w:val="center"/>
                    </w:pPr>
                    <w:r>
                      <w:rPr>
                        <w:rFonts w:hint="eastAsia"/>
                      </w:rPr>
                      <w:t>还本付息方式</w:t>
                    </w:r>
                  </w:p>
                </w:tc>
              </w:sdtContent>
            </w:sdt>
            <w:sdt>
              <w:sdtPr>
                <w:tag w:val="_PLD_6f95e644000d48a497b513d88ac448b2"/>
                <w:id w:val="-428426412"/>
                <w:lock w:val="sdtLocked"/>
              </w:sdtPr>
              <w:sdtEndPr/>
              <w:sdtContent>
                <w:tc>
                  <w:tcPr>
                    <w:tcW w:w="394" w:type="pct"/>
                    <w:vAlign w:val="center"/>
                  </w:tcPr>
                  <w:p w14:paraId="78481572" w14:textId="77777777" w:rsidR="00B201D3" w:rsidRDefault="009855E8">
                    <w:pPr>
                      <w:widowControl w:val="0"/>
                      <w:jc w:val="center"/>
                    </w:pPr>
                    <w:r>
                      <w:rPr>
                        <w:rFonts w:hint="eastAsia"/>
                      </w:rPr>
                      <w:t>交易场所</w:t>
                    </w:r>
                  </w:p>
                </w:tc>
              </w:sdtContent>
            </w:sdt>
            <w:sdt>
              <w:sdtPr>
                <w:rPr>
                  <w:rFonts w:hint="eastAsia"/>
                </w:rPr>
                <w:tag w:val="_PLD_4f8bb6ea216146418807f05b78ac10dc"/>
                <w:id w:val="-112989736"/>
                <w:lock w:val="sdtLocked"/>
              </w:sdtPr>
              <w:sdtEndPr/>
              <w:sdtContent>
                <w:tc>
                  <w:tcPr>
                    <w:tcW w:w="321" w:type="pct"/>
                    <w:vAlign w:val="center"/>
                  </w:tcPr>
                  <w:p w14:paraId="006BB965" w14:textId="77777777" w:rsidR="00B201D3" w:rsidRDefault="009855E8">
                    <w:pPr>
                      <w:widowControl w:val="0"/>
                      <w:jc w:val="center"/>
                    </w:pPr>
                    <w:r>
                      <w:rPr>
                        <w:rFonts w:hint="eastAsia"/>
                      </w:rPr>
                      <w:t>投资者适当性安排（如有）</w:t>
                    </w:r>
                  </w:p>
                </w:tc>
              </w:sdtContent>
            </w:sdt>
            <w:tc>
              <w:tcPr>
                <w:tcW w:w="321" w:type="pct"/>
                <w:vAlign w:val="center"/>
              </w:tcPr>
              <w:sdt>
                <w:sdtPr>
                  <w:rPr>
                    <w:rFonts w:hint="eastAsia"/>
                  </w:rPr>
                  <w:tag w:val="_PLD_d192663cc211442b88877c029c729869"/>
                  <w:id w:val="1568225637"/>
                  <w:lock w:val="sdtLocked"/>
                </w:sdtPr>
                <w:sdtEndPr/>
                <w:sdtContent>
                  <w:p w14:paraId="3FB3F849" w14:textId="77777777" w:rsidR="00B201D3" w:rsidRDefault="009855E8">
                    <w:pPr>
                      <w:widowControl w:val="0"/>
                      <w:jc w:val="center"/>
                    </w:pPr>
                    <w:r>
                      <w:rPr>
                        <w:rFonts w:hint="eastAsia"/>
                      </w:rPr>
                      <w:t>交易机制</w:t>
                    </w:r>
                  </w:p>
                </w:sdtContent>
              </w:sdt>
            </w:tc>
            <w:sdt>
              <w:sdtPr>
                <w:rPr>
                  <w:rFonts w:hint="eastAsia"/>
                </w:rPr>
                <w:tag w:val="_PLD_0f76b4981a9049cbbe1a608fda9cd3b0"/>
                <w:id w:val="558671348"/>
                <w:lock w:val="sdtLocked"/>
              </w:sdtPr>
              <w:sdtEndPr/>
              <w:sdtContent>
                <w:tc>
                  <w:tcPr>
                    <w:tcW w:w="385" w:type="pct"/>
                  </w:tcPr>
                  <w:p w14:paraId="7648E2E2" w14:textId="77777777" w:rsidR="00B201D3" w:rsidRDefault="009855E8">
                    <w:pPr>
                      <w:widowControl w:val="0"/>
                      <w:jc w:val="center"/>
                    </w:pPr>
                    <w:r>
                      <w:rPr>
                        <w:rFonts w:hint="eastAsia"/>
                      </w:rPr>
                      <w:t>是否存在终止上市交易的风险</w:t>
                    </w:r>
                  </w:p>
                </w:tc>
              </w:sdtContent>
            </w:sdt>
          </w:tr>
          <w:sdt>
            <w:sdtPr>
              <w:rPr>
                <w:rFonts w:hint="eastAsia"/>
                <w:color w:val="000000" w:themeColor="text1"/>
              </w:rPr>
              <w:alias w:val="公司债券基本情况明细"/>
              <w:tag w:val="_TUP_6c2c7e42d34f452cb78fc3b6634a6447"/>
              <w:id w:val="1834643587"/>
              <w:lock w:val="sdtLocked"/>
            </w:sdtPr>
            <w:sdtEndPr/>
            <w:sdtContent>
              <w:tr w:rsidR="00B201D3" w14:paraId="634139CA" w14:textId="77777777">
                <w:tc>
                  <w:tcPr>
                    <w:tcW w:w="440" w:type="pct"/>
                    <w:vAlign w:val="center"/>
                  </w:tcPr>
                  <w:p w14:paraId="3874E4B5" w14:textId="77777777" w:rsidR="00B201D3" w:rsidRDefault="009855E8">
                    <w:pPr>
                      <w:widowControl w:val="0"/>
                      <w:jc w:val="both"/>
                      <w:rPr>
                        <w:color w:val="000000" w:themeColor="text1"/>
                      </w:rPr>
                    </w:pPr>
                    <w:r>
                      <w:rPr>
                        <w:color w:val="000000" w:themeColor="text1"/>
                      </w:rPr>
                      <w:t>2021年度第一期中期票据</w:t>
                    </w:r>
                  </w:p>
                </w:tc>
                <w:tc>
                  <w:tcPr>
                    <w:tcW w:w="379" w:type="pct"/>
                    <w:vAlign w:val="center"/>
                  </w:tcPr>
                  <w:p w14:paraId="7776C1D3" w14:textId="77777777" w:rsidR="00B201D3" w:rsidRDefault="009855E8">
                    <w:pPr>
                      <w:widowControl w:val="0"/>
                      <w:jc w:val="both"/>
                      <w:rPr>
                        <w:color w:val="000000" w:themeColor="text1"/>
                      </w:rPr>
                    </w:pPr>
                    <w:r>
                      <w:rPr>
                        <w:rFonts w:hint="eastAsia"/>
                        <w:color w:val="000000" w:themeColor="text1"/>
                      </w:rPr>
                      <w:t>21兖州煤业MTN001</w:t>
                    </w:r>
                  </w:p>
                </w:tc>
                <w:tc>
                  <w:tcPr>
                    <w:tcW w:w="453" w:type="pct"/>
                    <w:vAlign w:val="center"/>
                  </w:tcPr>
                  <w:p w14:paraId="21F6C632" w14:textId="77777777" w:rsidR="00B201D3" w:rsidRDefault="009855E8">
                    <w:pPr>
                      <w:widowControl w:val="0"/>
                      <w:jc w:val="both"/>
                      <w:rPr>
                        <w:color w:val="000000" w:themeColor="text1"/>
                      </w:rPr>
                    </w:pPr>
                    <w:r>
                      <w:rPr>
                        <w:rFonts w:hint="eastAsia"/>
                        <w:color w:val="000000" w:themeColor="text1"/>
                      </w:rPr>
                      <w:t>102101379</w:t>
                    </w:r>
                  </w:p>
                </w:tc>
                <w:tc>
                  <w:tcPr>
                    <w:tcW w:w="438" w:type="pct"/>
                    <w:vAlign w:val="center"/>
                  </w:tcPr>
                  <w:p w14:paraId="131E4076" w14:textId="77777777" w:rsidR="00B201D3" w:rsidRDefault="009855E8">
                    <w:pPr>
                      <w:widowControl w:val="0"/>
                      <w:jc w:val="both"/>
                      <w:rPr>
                        <w:color w:val="000000" w:themeColor="text1"/>
                      </w:rPr>
                    </w:pPr>
                    <w:r>
                      <w:rPr>
                        <w:rFonts w:hint="eastAsia"/>
                        <w:color w:val="000000" w:themeColor="text1"/>
                      </w:rPr>
                      <w:t>2021/07/22</w:t>
                    </w:r>
                  </w:p>
                </w:tc>
                <w:tc>
                  <w:tcPr>
                    <w:tcW w:w="438" w:type="pct"/>
                    <w:vAlign w:val="center"/>
                  </w:tcPr>
                  <w:p w14:paraId="0A9BAF9C" w14:textId="77777777" w:rsidR="00B201D3" w:rsidRDefault="009855E8">
                    <w:pPr>
                      <w:widowControl w:val="0"/>
                      <w:jc w:val="both"/>
                      <w:rPr>
                        <w:color w:val="000000" w:themeColor="text1"/>
                      </w:rPr>
                    </w:pPr>
                    <w:r>
                      <w:rPr>
                        <w:rFonts w:hint="eastAsia"/>
                        <w:color w:val="000000" w:themeColor="text1"/>
                      </w:rPr>
                      <w:t>2021/07/26</w:t>
                    </w:r>
                  </w:p>
                </w:tc>
                <w:tc>
                  <w:tcPr>
                    <w:tcW w:w="438" w:type="pct"/>
                    <w:vAlign w:val="center"/>
                  </w:tcPr>
                  <w:p w14:paraId="11ACA4C1" w14:textId="77777777" w:rsidR="00B201D3" w:rsidRDefault="009855E8">
                    <w:pPr>
                      <w:widowControl w:val="0"/>
                      <w:jc w:val="both"/>
                      <w:rPr>
                        <w:color w:val="000000" w:themeColor="text1"/>
                      </w:rPr>
                    </w:pPr>
                    <w:r>
                      <w:rPr>
                        <w:rFonts w:hint="eastAsia"/>
                        <w:color w:val="000000" w:themeColor="text1"/>
                      </w:rPr>
                      <w:t>2026/07/26</w:t>
                    </w:r>
                  </w:p>
                </w:tc>
                <w:tc>
                  <w:tcPr>
                    <w:tcW w:w="300" w:type="pct"/>
                    <w:vAlign w:val="center"/>
                  </w:tcPr>
                  <w:p w14:paraId="2739329E" w14:textId="77777777" w:rsidR="00B201D3" w:rsidRDefault="009855E8">
                    <w:pPr>
                      <w:widowControl w:val="0"/>
                      <w:jc w:val="center"/>
                      <w:rPr>
                        <w:color w:val="000000" w:themeColor="text1"/>
                      </w:rPr>
                    </w:pPr>
                    <w:r>
                      <w:rPr>
                        <w:rFonts w:hint="eastAsia"/>
                        <w:color w:val="000000" w:themeColor="text1"/>
                      </w:rPr>
                      <w:t>20</w:t>
                    </w:r>
                  </w:p>
                </w:tc>
                <w:tc>
                  <w:tcPr>
                    <w:tcW w:w="257" w:type="pct"/>
                    <w:vAlign w:val="center"/>
                  </w:tcPr>
                  <w:p w14:paraId="58579B35" w14:textId="77777777" w:rsidR="00B201D3" w:rsidRDefault="009855E8">
                    <w:pPr>
                      <w:widowControl w:val="0"/>
                      <w:jc w:val="both"/>
                      <w:rPr>
                        <w:color w:val="000000" w:themeColor="text1"/>
                      </w:rPr>
                    </w:pPr>
                    <w:r>
                      <w:rPr>
                        <w:rFonts w:hint="eastAsia"/>
                        <w:color w:val="000000" w:themeColor="text1"/>
                      </w:rPr>
                      <w:t>3.80</w:t>
                    </w:r>
                  </w:p>
                </w:tc>
                <w:tc>
                  <w:tcPr>
                    <w:tcW w:w="438" w:type="pct"/>
                    <w:vAlign w:val="center"/>
                  </w:tcPr>
                  <w:p w14:paraId="33EA28DB" w14:textId="77777777" w:rsidR="00B201D3" w:rsidRDefault="009855E8">
                    <w:pPr>
                      <w:widowControl w:val="0"/>
                      <w:jc w:val="both"/>
                      <w:rPr>
                        <w:color w:val="000000" w:themeColor="text1"/>
                      </w:rPr>
                    </w:pPr>
                    <w:r>
                      <w:rPr>
                        <w:color w:val="000000" w:themeColor="text1"/>
                      </w:rPr>
                      <w:t>到期一次还本，最后一期利息随本金一起支付</w:t>
                    </w:r>
                  </w:p>
                </w:tc>
                <w:tc>
                  <w:tcPr>
                    <w:tcW w:w="394" w:type="pct"/>
                    <w:vAlign w:val="center"/>
                  </w:tcPr>
                  <w:p w14:paraId="392E22EA" w14:textId="77777777" w:rsidR="00B201D3" w:rsidRDefault="009855E8">
                    <w:pPr>
                      <w:widowControl w:val="0"/>
                      <w:jc w:val="both"/>
                      <w:rPr>
                        <w:color w:val="000000" w:themeColor="text1"/>
                      </w:rPr>
                    </w:pPr>
                    <w:r>
                      <w:rPr>
                        <w:color w:val="000000" w:themeColor="text1"/>
                      </w:rPr>
                      <w:t>银行间债券市场</w:t>
                    </w:r>
                  </w:p>
                </w:tc>
                <w:tc>
                  <w:tcPr>
                    <w:tcW w:w="321" w:type="pct"/>
                    <w:vAlign w:val="center"/>
                  </w:tcPr>
                  <w:p w14:paraId="39FE3E2E" w14:textId="77777777" w:rsidR="00B201D3" w:rsidRDefault="009855E8">
                    <w:pPr>
                      <w:widowControl w:val="0"/>
                      <w:jc w:val="both"/>
                      <w:rPr>
                        <w:color w:val="000000" w:themeColor="text1"/>
                      </w:rPr>
                    </w:pPr>
                    <w:r>
                      <w:rPr>
                        <w:color w:val="000000" w:themeColor="text1"/>
                      </w:rPr>
                      <w:t>面向银行间债券市场的机构投资者</w:t>
                    </w:r>
                  </w:p>
                </w:tc>
                <w:tc>
                  <w:tcPr>
                    <w:tcW w:w="321" w:type="pct"/>
                    <w:vAlign w:val="center"/>
                  </w:tcPr>
                  <w:p w14:paraId="69A43603" w14:textId="77777777" w:rsidR="00B201D3" w:rsidRDefault="009855E8">
                    <w:pPr>
                      <w:widowControl w:val="0"/>
                      <w:jc w:val="both"/>
                      <w:rPr>
                        <w:color w:val="000000" w:themeColor="text1"/>
                      </w:rPr>
                    </w:pPr>
                    <w:r>
                      <w:rPr>
                        <w:color w:val="000000" w:themeColor="text1"/>
                      </w:rPr>
                      <w:t>全国银行间债券市场流通转让</w:t>
                    </w:r>
                  </w:p>
                </w:tc>
                <w:sdt>
                  <w:sdtPr>
                    <w:rPr>
                      <w:color w:val="000000" w:themeColor="text1"/>
                    </w:rPr>
                    <w:alias w:val="公司债券基本情况明细_是否存在终止上市交易的风险 "/>
                    <w:tag w:val="_GBC_55933d0e33804432bc2d8ad90d191ec6"/>
                    <w:id w:val="-1192139464"/>
                    <w:lock w:val="sdtLocked"/>
                    <w:comboBox>
                      <w:listItem w:displayText="是" w:value="是"/>
                      <w:listItem w:displayText="否" w:value="否"/>
                    </w:comboBox>
                  </w:sdtPr>
                  <w:sdtEndPr/>
                  <w:sdtContent>
                    <w:tc>
                      <w:tcPr>
                        <w:tcW w:w="385" w:type="pct"/>
                        <w:vAlign w:val="center"/>
                      </w:tcPr>
                      <w:p w14:paraId="5BB8FFFB" w14:textId="6EE83FAC" w:rsidR="00B201D3" w:rsidRDefault="00F46283">
                        <w:pPr>
                          <w:widowControl w:val="0"/>
                          <w:jc w:val="center"/>
                          <w:rPr>
                            <w:color w:val="000000" w:themeColor="text1"/>
                          </w:rPr>
                        </w:pPr>
                        <w:r>
                          <w:rPr>
                            <w:color w:val="000000" w:themeColor="text1"/>
                          </w:rPr>
                          <w:t>否</w:t>
                        </w:r>
                      </w:p>
                    </w:tc>
                  </w:sdtContent>
                </w:sdt>
              </w:tr>
            </w:sdtContent>
          </w:sdt>
          <w:sdt>
            <w:sdtPr>
              <w:rPr>
                <w:rFonts w:hint="eastAsia"/>
                <w:color w:val="000000" w:themeColor="text1"/>
              </w:rPr>
              <w:alias w:val="公司债券基本情况明细"/>
              <w:tag w:val="_TUP_6c2c7e42d34f452cb78fc3b6634a6447"/>
              <w:id w:val="638376311"/>
              <w:lock w:val="sdtLocked"/>
              <w:placeholder>
                <w:docPart w:val="B292F7F5571D4BD282A08D4A6AC27AEF"/>
              </w:placeholder>
            </w:sdtPr>
            <w:sdtEndPr>
              <w:rPr>
                <w:rFonts w:hint="default"/>
              </w:rPr>
            </w:sdtEndPr>
            <w:sdtContent>
              <w:tr w:rsidR="00B201D3" w14:paraId="0A59F489" w14:textId="77777777">
                <w:tc>
                  <w:tcPr>
                    <w:tcW w:w="440" w:type="pct"/>
                    <w:vAlign w:val="center"/>
                  </w:tcPr>
                  <w:p w14:paraId="5852F304" w14:textId="77777777" w:rsidR="00B201D3" w:rsidRDefault="009855E8">
                    <w:pPr>
                      <w:widowControl w:val="0"/>
                      <w:jc w:val="both"/>
                      <w:rPr>
                        <w:color w:val="000000" w:themeColor="text1"/>
                      </w:rPr>
                    </w:pPr>
                    <w:r>
                      <w:rPr>
                        <w:color w:val="000000" w:themeColor="text1"/>
                      </w:rPr>
                      <w:t>2021年度第二期中期票据</w:t>
                    </w:r>
                    <w:r>
                      <w:rPr>
                        <w:rFonts w:hint="eastAsia"/>
                        <w:color w:val="000000" w:themeColor="text1"/>
                        <w:vertAlign w:val="superscript"/>
                      </w:rPr>
                      <w:t>①</w:t>
                    </w:r>
                  </w:p>
                </w:tc>
                <w:tc>
                  <w:tcPr>
                    <w:tcW w:w="379" w:type="pct"/>
                    <w:vAlign w:val="center"/>
                  </w:tcPr>
                  <w:p w14:paraId="0141CB3B" w14:textId="77777777" w:rsidR="00B201D3" w:rsidRDefault="009855E8">
                    <w:pPr>
                      <w:widowControl w:val="0"/>
                      <w:jc w:val="both"/>
                      <w:rPr>
                        <w:color w:val="000000" w:themeColor="text1"/>
                      </w:rPr>
                    </w:pPr>
                    <w:r>
                      <w:rPr>
                        <w:rFonts w:hint="eastAsia"/>
                        <w:color w:val="000000" w:themeColor="text1"/>
                      </w:rPr>
                      <w:t>21兖州煤业MTN002</w:t>
                    </w:r>
                  </w:p>
                </w:tc>
                <w:tc>
                  <w:tcPr>
                    <w:tcW w:w="453" w:type="pct"/>
                    <w:vAlign w:val="center"/>
                  </w:tcPr>
                  <w:p w14:paraId="541E43B0" w14:textId="77777777" w:rsidR="00B201D3" w:rsidRDefault="009855E8">
                    <w:pPr>
                      <w:widowControl w:val="0"/>
                      <w:jc w:val="both"/>
                      <w:rPr>
                        <w:color w:val="000000" w:themeColor="text1"/>
                      </w:rPr>
                    </w:pPr>
                    <w:r>
                      <w:rPr>
                        <w:rFonts w:hint="eastAsia"/>
                        <w:color w:val="000000" w:themeColor="text1"/>
                      </w:rPr>
                      <w:t>102103102</w:t>
                    </w:r>
                  </w:p>
                </w:tc>
                <w:tc>
                  <w:tcPr>
                    <w:tcW w:w="438" w:type="pct"/>
                    <w:vAlign w:val="center"/>
                  </w:tcPr>
                  <w:p w14:paraId="2817AC0E" w14:textId="77777777" w:rsidR="00B201D3" w:rsidRDefault="009855E8">
                    <w:pPr>
                      <w:widowControl w:val="0"/>
                      <w:jc w:val="both"/>
                      <w:rPr>
                        <w:color w:val="000000" w:themeColor="text1"/>
                      </w:rPr>
                    </w:pPr>
                    <w:r>
                      <w:rPr>
                        <w:rFonts w:hint="eastAsia"/>
                        <w:color w:val="000000" w:themeColor="text1"/>
                      </w:rPr>
                      <w:t>2021/11/24</w:t>
                    </w:r>
                  </w:p>
                </w:tc>
                <w:tc>
                  <w:tcPr>
                    <w:tcW w:w="438" w:type="pct"/>
                    <w:vAlign w:val="center"/>
                  </w:tcPr>
                  <w:p w14:paraId="2F30505B" w14:textId="77777777" w:rsidR="00B201D3" w:rsidRDefault="009855E8">
                    <w:pPr>
                      <w:widowControl w:val="0"/>
                      <w:jc w:val="both"/>
                      <w:rPr>
                        <w:color w:val="000000" w:themeColor="text1"/>
                      </w:rPr>
                    </w:pPr>
                    <w:r>
                      <w:rPr>
                        <w:rFonts w:hint="eastAsia"/>
                        <w:color w:val="000000" w:themeColor="text1"/>
                      </w:rPr>
                      <w:t>2021/11/26</w:t>
                    </w:r>
                  </w:p>
                </w:tc>
                <w:tc>
                  <w:tcPr>
                    <w:tcW w:w="438" w:type="pct"/>
                    <w:vAlign w:val="center"/>
                  </w:tcPr>
                  <w:p w14:paraId="6B878088" w14:textId="77777777" w:rsidR="00B201D3" w:rsidRDefault="009855E8">
                    <w:pPr>
                      <w:widowControl w:val="0"/>
                      <w:jc w:val="both"/>
                      <w:rPr>
                        <w:color w:val="000000" w:themeColor="text1"/>
                      </w:rPr>
                    </w:pPr>
                    <w:r>
                      <w:rPr>
                        <w:rFonts w:hint="eastAsia"/>
                        <w:color w:val="000000" w:themeColor="text1"/>
                      </w:rPr>
                      <w:t>2024/11/26</w:t>
                    </w:r>
                  </w:p>
                </w:tc>
                <w:tc>
                  <w:tcPr>
                    <w:tcW w:w="300" w:type="pct"/>
                    <w:vAlign w:val="center"/>
                  </w:tcPr>
                  <w:p w14:paraId="485ADA91" w14:textId="77777777" w:rsidR="00B201D3" w:rsidRDefault="009855E8">
                    <w:pPr>
                      <w:widowControl w:val="0"/>
                      <w:jc w:val="center"/>
                      <w:rPr>
                        <w:color w:val="000000" w:themeColor="text1"/>
                      </w:rPr>
                    </w:pPr>
                    <w:r>
                      <w:rPr>
                        <w:rFonts w:hint="eastAsia"/>
                        <w:color w:val="000000" w:themeColor="text1"/>
                      </w:rPr>
                      <w:t>20</w:t>
                    </w:r>
                  </w:p>
                </w:tc>
                <w:tc>
                  <w:tcPr>
                    <w:tcW w:w="257" w:type="pct"/>
                    <w:vAlign w:val="center"/>
                  </w:tcPr>
                  <w:p w14:paraId="607FBB93" w14:textId="77777777" w:rsidR="00B201D3" w:rsidRDefault="009855E8">
                    <w:pPr>
                      <w:widowControl w:val="0"/>
                      <w:jc w:val="both"/>
                      <w:rPr>
                        <w:color w:val="000000" w:themeColor="text1"/>
                      </w:rPr>
                    </w:pPr>
                    <w:r>
                      <w:rPr>
                        <w:rFonts w:hint="eastAsia"/>
                        <w:color w:val="000000" w:themeColor="text1"/>
                      </w:rPr>
                      <w:t>3.67</w:t>
                    </w:r>
                  </w:p>
                </w:tc>
                <w:tc>
                  <w:tcPr>
                    <w:tcW w:w="438" w:type="pct"/>
                    <w:vAlign w:val="center"/>
                  </w:tcPr>
                  <w:p w14:paraId="1F4BDA82" w14:textId="77777777" w:rsidR="00B201D3" w:rsidRDefault="009855E8">
                    <w:pPr>
                      <w:widowControl w:val="0"/>
                      <w:jc w:val="both"/>
                      <w:rPr>
                        <w:color w:val="000000" w:themeColor="text1"/>
                      </w:rPr>
                    </w:pPr>
                    <w:r>
                      <w:rPr>
                        <w:color w:val="000000" w:themeColor="text1"/>
                      </w:rPr>
                      <w:t>到期一次还本，最后一期利息随本金一起支付</w:t>
                    </w:r>
                  </w:p>
                </w:tc>
                <w:tc>
                  <w:tcPr>
                    <w:tcW w:w="394" w:type="pct"/>
                    <w:vAlign w:val="center"/>
                  </w:tcPr>
                  <w:p w14:paraId="3C0A7A7A" w14:textId="77777777" w:rsidR="00B201D3" w:rsidRDefault="009855E8">
                    <w:pPr>
                      <w:widowControl w:val="0"/>
                      <w:jc w:val="both"/>
                      <w:rPr>
                        <w:color w:val="000000" w:themeColor="text1"/>
                      </w:rPr>
                    </w:pPr>
                    <w:r>
                      <w:rPr>
                        <w:color w:val="000000" w:themeColor="text1"/>
                      </w:rPr>
                      <w:t>银行间债券市场</w:t>
                    </w:r>
                  </w:p>
                </w:tc>
                <w:tc>
                  <w:tcPr>
                    <w:tcW w:w="321" w:type="pct"/>
                    <w:vAlign w:val="center"/>
                  </w:tcPr>
                  <w:p w14:paraId="79097E92" w14:textId="77777777" w:rsidR="00B201D3" w:rsidRDefault="009855E8">
                    <w:pPr>
                      <w:widowControl w:val="0"/>
                      <w:jc w:val="both"/>
                      <w:rPr>
                        <w:color w:val="000000" w:themeColor="text1"/>
                      </w:rPr>
                    </w:pPr>
                    <w:r>
                      <w:rPr>
                        <w:color w:val="000000" w:themeColor="text1"/>
                      </w:rPr>
                      <w:t>面向银行间债券市场的机构投资者</w:t>
                    </w:r>
                  </w:p>
                </w:tc>
                <w:tc>
                  <w:tcPr>
                    <w:tcW w:w="321" w:type="pct"/>
                    <w:vAlign w:val="center"/>
                  </w:tcPr>
                  <w:p w14:paraId="7C49A896" w14:textId="77777777" w:rsidR="00B201D3" w:rsidRDefault="009855E8">
                    <w:pPr>
                      <w:widowControl w:val="0"/>
                      <w:jc w:val="both"/>
                      <w:rPr>
                        <w:color w:val="000000" w:themeColor="text1"/>
                      </w:rPr>
                    </w:pPr>
                    <w:r>
                      <w:rPr>
                        <w:color w:val="000000" w:themeColor="text1"/>
                      </w:rPr>
                      <w:t>全国银行间债券市场流通转让</w:t>
                    </w:r>
                  </w:p>
                </w:tc>
                <w:sdt>
                  <w:sdtPr>
                    <w:rPr>
                      <w:color w:val="000000" w:themeColor="text1"/>
                    </w:rPr>
                    <w:alias w:val="公司债券基本情况明细_是否存在终止上市交易的风险 "/>
                    <w:tag w:val="_GBC_55933d0e33804432bc2d8ad90d191ec6"/>
                    <w:id w:val="-1095251467"/>
                    <w:lock w:val="sdtLocked"/>
                    <w:placeholder>
                      <w:docPart w:val="F34C859A44A54099A1A6859192B47A73"/>
                    </w:placeholder>
                    <w:comboBox>
                      <w:listItem w:displayText="是" w:value="是"/>
                      <w:listItem w:displayText="否" w:value="否"/>
                    </w:comboBox>
                  </w:sdtPr>
                  <w:sdtEndPr/>
                  <w:sdtContent>
                    <w:tc>
                      <w:tcPr>
                        <w:tcW w:w="385" w:type="pct"/>
                        <w:vAlign w:val="center"/>
                      </w:tcPr>
                      <w:p w14:paraId="30D584F2" w14:textId="243E0E28" w:rsidR="00B201D3" w:rsidRDefault="00F46283">
                        <w:pPr>
                          <w:widowControl w:val="0"/>
                          <w:jc w:val="center"/>
                          <w:rPr>
                            <w:color w:val="000000" w:themeColor="text1"/>
                          </w:rPr>
                        </w:pPr>
                        <w:r>
                          <w:rPr>
                            <w:color w:val="000000" w:themeColor="text1"/>
                          </w:rPr>
                          <w:t>否</w:t>
                        </w:r>
                      </w:p>
                    </w:tc>
                  </w:sdtContent>
                </w:sdt>
              </w:tr>
            </w:sdtContent>
          </w:sdt>
          <w:sdt>
            <w:sdtPr>
              <w:rPr>
                <w:rFonts w:hint="eastAsia"/>
                <w:color w:val="000000" w:themeColor="text1"/>
              </w:rPr>
              <w:alias w:val="公司债券基本情况明细"/>
              <w:tag w:val="_TUP_6c2c7e42d34f452cb78fc3b6634a6447"/>
              <w:id w:val="688108787"/>
              <w:lock w:val="sdtLocked"/>
              <w:placeholder>
                <w:docPart w:val="B292F7F5571D4BD282A08D4A6AC27AEF"/>
              </w:placeholder>
            </w:sdtPr>
            <w:sdtEndPr>
              <w:rPr>
                <w:rFonts w:hint="default"/>
              </w:rPr>
            </w:sdtEndPr>
            <w:sdtContent>
              <w:tr w:rsidR="00B201D3" w14:paraId="5EA946FF" w14:textId="77777777">
                <w:tc>
                  <w:tcPr>
                    <w:tcW w:w="440" w:type="pct"/>
                    <w:vAlign w:val="center"/>
                  </w:tcPr>
                  <w:p w14:paraId="3806DD39" w14:textId="77777777" w:rsidR="00B201D3" w:rsidRDefault="009855E8">
                    <w:pPr>
                      <w:widowControl w:val="0"/>
                      <w:jc w:val="both"/>
                      <w:rPr>
                        <w:color w:val="000000" w:themeColor="text1"/>
                      </w:rPr>
                    </w:pPr>
                    <w:r>
                      <w:rPr>
                        <w:color w:val="000000" w:themeColor="text1"/>
                      </w:rPr>
                      <w:t>2022年度第一期中期票据(品种一)</w:t>
                    </w:r>
                    <w:r>
                      <w:rPr>
                        <w:rFonts w:hint="eastAsia"/>
                        <w:color w:val="000000" w:themeColor="text1"/>
                        <w:vertAlign w:val="superscript"/>
                      </w:rPr>
                      <w:t>②</w:t>
                    </w:r>
                  </w:p>
                </w:tc>
                <w:tc>
                  <w:tcPr>
                    <w:tcW w:w="379" w:type="pct"/>
                    <w:vAlign w:val="center"/>
                  </w:tcPr>
                  <w:p w14:paraId="7A61A90C" w14:textId="77777777" w:rsidR="00B201D3" w:rsidRDefault="009855E8">
                    <w:pPr>
                      <w:widowControl w:val="0"/>
                      <w:jc w:val="both"/>
                      <w:rPr>
                        <w:color w:val="000000" w:themeColor="text1"/>
                      </w:rPr>
                    </w:pPr>
                    <w:r>
                      <w:rPr>
                        <w:rFonts w:cs="Arial"/>
                        <w:color w:val="000000" w:themeColor="text1"/>
                        <w:shd w:val="clear" w:color="auto" w:fill="FFFFFF"/>
                      </w:rPr>
                      <w:t>22</w:t>
                    </w:r>
                    <w:r>
                      <w:rPr>
                        <w:rFonts w:cs="Arial" w:hint="eastAsia"/>
                        <w:color w:val="000000" w:themeColor="text1"/>
                        <w:shd w:val="clear" w:color="auto" w:fill="FFFFFF"/>
                      </w:rPr>
                      <w:t>兖矿能源</w:t>
                    </w:r>
                    <w:r>
                      <w:rPr>
                        <w:rFonts w:cs="Arial"/>
                        <w:color w:val="000000" w:themeColor="text1"/>
                        <w:shd w:val="clear" w:color="auto" w:fill="FFFFFF"/>
                      </w:rPr>
                      <w:t>MTN001A</w:t>
                    </w:r>
                  </w:p>
                </w:tc>
                <w:tc>
                  <w:tcPr>
                    <w:tcW w:w="453" w:type="pct"/>
                    <w:vAlign w:val="center"/>
                  </w:tcPr>
                  <w:p w14:paraId="0F9F2D4B" w14:textId="77777777" w:rsidR="00B201D3" w:rsidRDefault="009855E8">
                    <w:pPr>
                      <w:widowControl w:val="0"/>
                      <w:jc w:val="both"/>
                      <w:rPr>
                        <w:color w:val="000000" w:themeColor="text1"/>
                      </w:rPr>
                    </w:pPr>
                    <w:r>
                      <w:rPr>
                        <w:rFonts w:cs="Arial"/>
                        <w:color w:val="000000" w:themeColor="text1"/>
                        <w:shd w:val="clear" w:color="auto" w:fill="FFFFFF"/>
                      </w:rPr>
                      <w:t>102281098</w:t>
                    </w:r>
                  </w:p>
                </w:tc>
                <w:tc>
                  <w:tcPr>
                    <w:tcW w:w="438" w:type="pct"/>
                    <w:vAlign w:val="center"/>
                  </w:tcPr>
                  <w:p w14:paraId="68995A81" w14:textId="77777777" w:rsidR="00B201D3" w:rsidRDefault="009855E8">
                    <w:pPr>
                      <w:widowControl w:val="0"/>
                      <w:jc w:val="both"/>
                      <w:rPr>
                        <w:color w:val="000000" w:themeColor="text1"/>
                      </w:rPr>
                    </w:pPr>
                    <w:r>
                      <w:rPr>
                        <w:rFonts w:cs="Arial"/>
                        <w:color w:val="000000" w:themeColor="text1"/>
                        <w:shd w:val="clear" w:color="auto" w:fill="FFFFFF"/>
                      </w:rPr>
                      <w:t>2022/05/18</w:t>
                    </w:r>
                  </w:p>
                </w:tc>
                <w:tc>
                  <w:tcPr>
                    <w:tcW w:w="438" w:type="pct"/>
                    <w:vAlign w:val="center"/>
                  </w:tcPr>
                  <w:p w14:paraId="5E31F2E9" w14:textId="77777777" w:rsidR="00B201D3" w:rsidRDefault="009855E8">
                    <w:pPr>
                      <w:widowControl w:val="0"/>
                      <w:jc w:val="both"/>
                      <w:rPr>
                        <w:color w:val="000000" w:themeColor="text1"/>
                      </w:rPr>
                    </w:pPr>
                    <w:r>
                      <w:rPr>
                        <w:rFonts w:cs="Arial"/>
                        <w:color w:val="000000" w:themeColor="text1"/>
                        <w:shd w:val="clear" w:color="auto" w:fill="FFFFFF"/>
                      </w:rPr>
                      <w:t>2022/05/20</w:t>
                    </w:r>
                  </w:p>
                </w:tc>
                <w:tc>
                  <w:tcPr>
                    <w:tcW w:w="438" w:type="pct"/>
                    <w:vAlign w:val="center"/>
                  </w:tcPr>
                  <w:p w14:paraId="3D40ABA3" w14:textId="77777777" w:rsidR="00B201D3" w:rsidRDefault="009855E8">
                    <w:pPr>
                      <w:widowControl w:val="0"/>
                      <w:jc w:val="both"/>
                      <w:rPr>
                        <w:color w:val="000000" w:themeColor="text1"/>
                      </w:rPr>
                    </w:pPr>
                    <w:r>
                      <w:rPr>
                        <w:rFonts w:cs="Arial"/>
                        <w:color w:val="000000" w:themeColor="text1"/>
                        <w:shd w:val="clear" w:color="auto" w:fill="FFFFFF"/>
                      </w:rPr>
                      <w:t>2025/05/20</w:t>
                    </w:r>
                  </w:p>
                </w:tc>
                <w:tc>
                  <w:tcPr>
                    <w:tcW w:w="300" w:type="pct"/>
                    <w:vAlign w:val="center"/>
                  </w:tcPr>
                  <w:p w14:paraId="750561A1" w14:textId="77777777" w:rsidR="00B201D3" w:rsidRDefault="009855E8">
                    <w:pPr>
                      <w:widowControl w:val="0"/>
                      <w:jc w:val="center"/>
                      <w:rPr>
                        <w:color w:val="000000" w:themeColor="text1"/>
                      </w:rPr>
                    </w:pPr>
                    <w:r>
                      <w:rPr>
                        <w:rFonts w:hint="eastAsia"/>
                        <w:color w:val="000000" w:themeColor="text1"/>
                      </w:rPr>
                      <w:t>25</w:t>
                    </w:r>
                  </w:p>
                </w:tc>
                <w:tc>
                  <w:tcPr>
                    <w:tcW w:w="257" w:type="pct"/>
                    <w:vAlign w:val="center"/>
                  </w:tcPr>
                  <w:p w14:paraId="6A7F6063" w14:textId="77777777" w:rsidR="00B201D3" w:rsidRDefault="009855E8">
                    <w:pPr>
                      <w:widowControl w:val="0"/>
                      <w:jc w:val="both"/>
                      <w:rPr>
                        <w:color w:val="000000" w:themeColor="text1"/>
                      </w:rPr>
                    </w:pPr>
                    <w:r>
                      <w:rPr>
                        <w:rFonts w:cs="Arial"/>
                        <w:color w:val="000000" w:themeColor="text1"/>
                        <w:shd w:val="clear" w:color="auto" w:fill="FFFFFF"/>
                      </w:rPr>
                      <w:t>3.28</w:t>
                    </w:r>
                  </w:p>
                </w:tc>
                <w:tc>
                  <w:tcPr>
                    <w:tcW w:w="438" w:type="pct"/>
                    <w:vAlign w:val="center"/>
                  </w:tcPr>
                  <w:p w14:paraId="33A19C65" w14:textId="77777777" w:rsidR="00B201D3" w:rsidRDefault="009855E8">
                    <w:pPr>
                      <w:widowControl w:val="0"/>
                      <w:jc w:val="both"/>
                      <w:rPr>
                        <w:color w:val="000000" w:themeColor="text1"/>
                      </w:rPr>
                    </w:pPr>
                    <w:r>
                      <w:rPr>
                        <w:color w:val="000000" w:themeColor="text1"/>
                      </w:rPr>
                      <w:t>到期一次还本，最后一期利息随本金一起支付</w:t>
                    </w:r>
                  </w:p>
                </w:tc>
                <w:tc>
                  <w:tcPr>
                    <w:tcW w:w="394" w:type="pct"/>
                    <w:vAlign w:val="center"/>
                  </w:tcPr>
                  <w:p w14:paraId="59F98DC8" w14:textId="77777777" w:rsidR="00B201D3" w:rsidRDefault="009855E8">
                    <w:pPr>
                      <w:widowControl w:val="0"/>
                      <w:jc w:val="both"/>
                      <w:rPr>
                        <w:color w:val="000000" w:themeColor="text1"/>
                      </w:rPr>
                    </w:pPr>
                    <w:r>
                      <w:rPr>
                        <w:color w:val="000000" w:themeColor="text1"/>
                      </w:rPr>
                      <w:t>银行间债券市场</w:t>
                    </w:r>
                  </w:p>
                </w:tc>
                <w:tc>
                  <w:tcPr>
                    <w:tcW w:w="321" w:type="pct"/>
                    <w:vAlign w:val="center"/>
                  </w:tcPr>
                  <w:p w14:paraId="55C1093F" w14:textId="77777777" w:rsidR="00B201D3" w:rsidRDefault="009855E8">
                    <w:pPr>
                      <w:widowControl w:val="0"/>
                      <w:jc w:val="both"/>
                      <w:rPr>
                        <w:color w:val="000000" w:themeColor="text1"/>
                      </w:rPr>
                    </w:pPr>
                    <w:r>
                      <w:rPr>
                        <w:color w:val="000000" w:themeColor="text1"/>
                      </w:rPr>
                      <w:t>面向银行间债券市场的机构投资者</w:t>
                    </w:r>
                  </w:p>
                </w:tc>
                <w:tc>
                  <w:tcPr>
                    <w:tcW w:w="321" w:type="pct"/>
                    <w:vAlign w:val="center"/>
                  </w:tcPr>
                  <w:p w14:paraId="698C9CB0" w14:textId="77777777" w:rsidR="00B201D3" w:rsidRDefault="009855E8">
                    <w:pPr>
                      <w:widowControl w:val="0"/>
                      <w:jc w:val="both"/>
                      <w:rPr>
                        <w:color w:val="000000" w:themeColor="text1"/>
                      </w:rPr>
                    </w:pPr>
                    <w:r>
                      <w:rPr>
                        <w:color w:val="000000" w:themeColor="text1"/>
                      </w:rPr>
                      <w:t>全国银行间债券市场流通转让</w:t>
                    </w:r>
                  </w:p>
                </w:tc>
                <w:sdt>
                  <w:sdtPr>
                    <w:rPr>
                      <w:color w:val="000000" w:themeColor="text1"/>
                    </w:rPr>
                    <w:alias w:val="公司债券基本情况明细_是否存在终止上市交易的风险 "/>
                    <w:tag w:val="_GBC_55933d0e33804432bc2d8ad90d191ec6"/>
                    <w:id w:val="601920085"/>
                    <w:lock w:val="sdtLocked"/>
                    <w:placeholder>
                      <w:docPart w:val="854ADD50C3F945518EA6EE61D8AE2102"/>
                    </w:placeholder>
                    <w:comboBox>
                      <w:listItem w:displayText="是" w:value="是"/>
                      <w:listItem w:displayText="否" w:value="否"/>
                    </w:comboBox>
                  </w:sdtPr>
                  <w:sdtEndPr/>
                  <w:sdtContent>
                    <w:tc>
                      <w:tcPr>
                        <w:tcW w:w="385" w:type="pct"/>
                        <w:vAlign w:val="center"/>
                      </w:tcPr>
                      <w:p w14:paraId="5263EDDE" w14:textId="5DC0F129" w:rsidR="00B201D3" w:rsidRDefault="00F46283">
                        <w:pPr>
                          <w:widowControl w:val="0"/>
                          <w:jc w:val="center"/>
                          <w:rPr>
                            <w:color w:val="000000" w:themeColor="text1"/>
                          </w:rPr>
                        </w:pPr>
                        <w:r>
                          <w:rPr>
                            <w:color w:val="000000" w:themeColor="text1"/>
                          </w:rPr>
                          <w:t>否</w:t>
                        </w:r>
                      </w:p>
                    </w:tc>
                  </w:sdtContent>
                </w:sdt>
              </w:tr>
            </w:sdtContent>
          </w:sdt>
          <w:sdt>
            <w:sdtPr>
              <w:rPr>
                <w:rFonts w:hint="eastAsia"/>
                <w:color w:val="000000" w:themeColor="text1"/>
              </w:rPr>
              <w:alias w:val="公司债券基本情况明细"/>
              <w:tag w:val="_TUP_6c2c7e42d34f452cb78fc3b6634a6447"/>
              <w:id w:val="-1084069636"/>
              <w:lock w:val="sdtLocked"/>
              <w:placeholder>
                <w:docPart w:val="B292F7F5571D4BD282A08D4A6AC27AEF"/>
              </w:placeholder>
            </w:sdtPr>
            <w:sdtEndPr>
              <w:rPr>
                <w:rFonts w:hint="default"/>
              </w:rPr>
            </w:sdtEndPr>
            <w:sdtContent>
              <w:tr w:rsidR="00B201D3" w14:paraId="309E8E70" w14:textId="77777777">
                <w:tc>
                  <w:tcPr>
                    <w:tcW w:w="440" w:type="pct"/>
                    <w:vAlign w:val="center"/>
                  </w:tcPr>
                  <w:p w14:paraId="1F158D50" w14:textId="77777777" w:rsidR="00B201D3" w:rsidRDefault="009855E8">
                    <w:pPr>
                      <w:widowControl w:val="0"/>
                      <w:jc w:val="both"/>
                      <w:rPr>
                        <w:color w:val="000000" w:themeColor="text1"/>
                      </w:rPr>
                    </w:pPr>
                    <w:r>
                      <w:rPr>
                        <w:color w:val="000000" w:themeColor="text1"/>
                      </w:rPr>
                      <w:t>2022年度第一期中期票据(品种二)</w:t>
                    </w:r>
                    <w:r>
                      <w:rPr>
                        <w:color w:val="000000" w:themeColor="text1"/>
                        <w:vertAlign w:val="superscript"/>
                      </w:rPr>
                      <w:t>③</w:t>
                    </w:r>
                  </w:p>
                </w:tc>
                <w:tc>
                  <w:tcPr>
                    <w:tcW w:w="379" w:type="pct"/>
                    <w:vAlign w:val="center"/>
                  </w:tcPr>
                  <w:p w14:paraId="18DB0663" w14:textId="77777777" w:rsidR="00B201D3" w:rsidRDefault="009855E8">
                    <w:pPr>
                      <w:widowControl w:val="0"/>
                      <w:jc w:val="both"/>
                      <w:rPr>
                        <w:color w:val="000000" w:themeColor="text1"/>
                      </w:rPr>
                    </w:pPr>
                    <w:r>
                      <w:rPr>
                        <w:rFonts w:cs="Arial"/>
                        <w:color w:val="000000" w:themeColor="text1"/>
                        <w:shd w:val="clear" w:color="auto" w:fill="FFFFFF"/>
                      </w:rPr>
                      <w:t>22</w:t>
                    </w:r>
                    <w:r>
                      <w:rPr>
                        <w:rFonts w:cs="Arial" w:hint="eastAsia"/>
                        <w:color w:val="000000" w:themeColor="text1"/>
                        <w:shd w:val="clear" w:color="auto" w:fill="FFFFFF"/>
                      </w:rPr>
                      <w:t>兖矿能源</w:t>
                    </w:r>
                    <w:r>
                      <w:rPr>
                        <w:rFonts w:cs="Arial"/>
                        <w:color w:val="000000" w:themeColor="text1"/>
                        <w:shd w:val="clear" w:color="auto" w:fill="FFFFFF"/>
                      </w:rPr>
                      <w:t>MTN001B</w:t>
                    </w:r>
                  </w:p>
                </w:tc>
                <w:tc>
                  <w:tcPr>
                    <w:tcW w:w="453" w:type="pct"/>
                    <w:vAlign w:val="center"/>
                  </w:tcPr>
                  <w:p w14:paraId="2590D304" w14:textId="77777777" w:rsidR="00B201D3" w:rsidRDefault="009855E8">
                    <w:pPr>
                      <w:widowControl w:val="0"/>
                      <w:jc w:val="both"/>
                      <w:rPr>
                        <w:color w:val="000000" w:themeColor="text1"/>
                      </w:rPr>
                    </w:pPr>
                    <w:r>
                      <w:rPr>
                        <w:rFonts w:cs="Arial"/>
                        <w:color w:val="000000" w:themeColor="text1"/>
                        <w:shd w:val="clear" w:color="auto" w:fill="FFFFFF"/>
                      </w:rPr>
                      <w:t>102281099</w:t>
                    </w:r>
                  </w:p>
                </w:tc>
                <w:tc>
                  <w:tcPr>
                    <w:tcW w:w="438" w:type="pct"/>
                    <w:vAlign w:val="center"/>
                  </w:tcPr>
                  <w:p w14:paraId="3FFC0C22" w14:textId="77777777" w:rsidR="00B201D3" w:rsidRDefault="009855E8">
                    <w:pPr>
                      <w:widowControl w:val="0"/>
                      <w:jc w:val="both"/>
                      <w:rPr>
                        <w:color w:val="000000" w:themeColor="text1"/>
                      </w:rPr>
                    </w:pPr>
                    <w:r>
                      <w:rPr>
                        <w:rFonts w:cs="Arial"/>
                        <w:color w:val="000000" w:themeColor="text1"/>
                        <w:shd w:val="clear" w:color="auto" w:fill="FFFFFF"/>
                      </w:rPr>
                      <w:t>2022/05/18</w:t>
                    </w:r>
                  </w:p>
                </w:tc>
                <w:tc>
                  <w:tcPr>
                    <w:tcW w:w="438" w:type="pct"/>
                    <w:vAlign w:val="center"/>
                  </w:tcPr>
                  <w:p w14:paraId="436A395C" w14:textId="77777777" w:rsidR="00B201D3" w:rsidRDefault="009855E8">
                    <w:pPr>
                      <w:widowControl w:val="0"/>
                      <w:jc w:val="both"/>
                      <w:rPr>
                        <w:color w:val="000000" w:themeColor="text1"/>
                      </w:rPr>
                    </w:pPr>
                    <w:r>
                      <w:rPr>
                        <w:rFonts w:cs="Arial"/>
                        <w:color w:val="000000" w:themeColor="text1"/>
                        <w:shd w:val="clear" w:color="auto" w:fill="FFFFFF"/>
                      </w:rPr>
                      <w:t>2022/05/20</w:t>
                    </w:r>
                  </w:p>
                </w:tc>
                <w:tc>
                  <w:tcPr>
                    <w:tcW w:w="438" w:type="pct"/>
                    <w:vAlign w:val="center"/>
                  </w:tcPr>
                  <w:p w14:paraId="5D27636C" w14:textId="77777777" w:rsidR="00B201D3" w:rsidRDefault="009855E8">
                    <w:pPr>
                      <w:widowControl w:val="0"/>
                      <w:jc w:val="both"/>
                      <w:rPr>
                        <w:color w:val="000000" w:themeColor="text1"/>
                      </w:rPr>
                    </w:pPr>
                    <w:r>
                      <w:rPr>
                        <w:rFonts w:cs="Arial"/>
                        <w:color w:val="000000" w:themeColor="text1"/>
                        <w:shd w:val="clear" w:color="auto" w:fill="FFFFFF"/>
                      </w:rPr>
                      <w:t>2027/05/20</w:t>
                    </w:r>
                  </w:p>
                </w:tc>
                <w:tc>
                  <w:tcPr>
                    <w:tcW w:w="300" w:type="pct"/>
                    <w:vAlign w:val="center"/>
                  </w:tcPr>
                  <w:p w14:paraId="4B1E20BE" w14:textId="77777777" w:rsidR="00B201D3" w:rsidRDefault="009855E8">
                    <w:pPr>
                      <w:widowControl w:val="0"/>
                      <w:jc w:val="center"/>
                      <w:rPr>
                        <w:color w:val="000000" w:themeColor="text1"/>
                      </w:rPr>
                    </w:pPr>
                    <w:r>
                      <w:rPr>
                        <w:rFonts w:hint="eastAsia"/>
                        <w:color w:val="000000" w:themeColor="text1"/>
                      </w:rPr>
                      <w:t>5</w:t>
                    </w:r>
                  </w:p>
                </w:tc>
                <w:tc>
                  <w:tcPr>
                    <w:tcW w:w="257" w:type="pct"/>
                    <w:vAlign w:val="center"/>
                  </w:tcPr>
                  <w:p w14:paraId="5DDAF230" w14:textId="77777777" w:rsidR="00B201D3" w:rsidRDefault="009855E8">
                    <w:pPr>
                      <w:widowControl w:val="0"/>
                      <w:jc w:val="both"/>
                      <w:rPr>
                        <w:color w:val="000000" w:themeColor="text1"/>
                      </w:rPr>
                    </w:pPr>
                    <w:r>
                      <w:rPr>
                        <w:rFonts w:hint="eastAsia"/>
                        <w:color w:val="000000" w:themeColor="text1"/>
                      </w:rPr>
                      <w:t>3.71</w:t>
                    </w:r>
                  </w:p>
                </w:tc>
                <w:tc>
                  <w:tcPr>
                    <w:tcW w:w="438" w:type="pct"/>
                    <w:vAlign w:val="center"/>
                  </w:tcPr>
                  <w:p w14:paraId="3389FB1F" w14:textId="77777777" w:rsidR="00B201D3" w:rsidRDefault="009855E8">
                    <w:pPr>
                      <w:widowControl w:val="0"/>
                      <w:jc w:val="both"/>
                      <w:rPr>
                        <w:color w:val="000000" w:themeColor="text1"/>
                      </w:rPr>
                    </w:pPr>
                    <w:r>
                      <w:rPr>
                        <w:color w:val="000000" w:themeColor="text1"/>
                      </w:rPr>
                      <w:t>到期一次还本，最后一期利息随本金一起支付</w:t>
                    </w:r>
                  </w:p>
                </w:tc>
                <w:tc>
                  <w:tcPr>
                    <w:tcW w:w="394" w:type="pct"/>
                    <w:vAlign w:val="center"/>
                  </w:tcPr>
                  <w:p w14:paraId="4F73AC60" w14:textId="77777777" w:rsidR="00B201D3" w:rsidRDefault="009855E8">
                    <w:pPr>
                      <w:widowControl w:val="0"/>
                      <w:jc w:val="both"/>
                      <w:rPr>
                        <w:color w:val="000000" w:themeColor="text1"/>
                      </w:rPr>
                    </w:pPr>
                    <w:r>
                      <w:rPr>
                        <w:color w:val="000000" w:themeColor="text1"/>
                      </w:rPr>
                      <w:t>银行间债券市场</w:t>
                    </w:r>
                  </w:p>
                </w:tc>
                <w:tc>
                  <w:tcPr>
                    <w:tcW w:w="321" w:type="pct"/>
                    <w:vAlign w:val="center"/>
                  </w:tcPr>
                  <w:p w14:paraId="23A8D018" w14:textId="77777777" w:rsidR="00B201D3" w:rsidRDefault="009855E8">
                    <w:pPr>
                      <w:widowControl w:val="0"/>
                      <w:jc w:val="both"/>
                      <w:rPr>
                        <w:color w:val="000000" w:themeColor="text1"/>
                      </w:rPr>
                    </w:pPr>
                    <w:r>
                      <w:rPr>
                        <w:color w:val="000000" w:themeColor="text1"/>
                      </w:rPr>
                      <w:t>面向银行间债券市场的机构投资者</w:t>
                    </w:r>
                  </w:p>
                </w:tc>
                <w:tc>
                  <w:tcPr>
                    <w:tcW w:w="321" w:type="pct"/>
                    <w:vAlign w:val="center"/>
                  </w:tcPr>
                  <w:p w14:paraId="1E43EDCE" w14:textId="77777777" w:rsidR="00B201D3" w:rsidRDefault="009855E8">
                    <w:pPr>
                      <w:widowControl w:val="0"/>
                      <w:jc w:val="both"/>
                      <w:rPr>
                        <w:color w:val="000000" w:themeColor="text1"/>
                      </w:rPr>
                    </w:pPr>
                    <w:r>
                      <w:rPr>
                        <w:color w:val="000000" w:themeColor="text1"/>
                      </w:rPr>
                      <w:t>全国银行间债券市场流通转让</w:t>
                    </w:r>
                  </w:p>
                </w:tc>
                <w:sdt>
                  <w:sdtPr>
                    <w:rPr>
                      <w:color w:val="000000" w:themeColor="text1"/>
                    </w:rPr>
                    <w:alias w:val="公司债券基本情况明细_是否存在终止上市交易的风险 "/>
                    <w:tag w:val="_GBC_55933d0e33804432bc2d8ad90d191ec6"/>
                    <w:id w:val="918226320"/>
                    <w:lock w:val="sdtLocked"/>
                    <w:placeholder>
                      <w:docPart w:val="E981BC595025474CAEB8F17A495382F8"/>
                    </w:placeholder>
                    <w:comboBox>
                      <w:listItem w:displayText="是" w:value="是"/>
                      <w:listItem w:displayText="否" w:value="否"/>
                    </w:comboBox>
                  </w:sdtPr>
                  <w:sdtEndPr/>
                  <w:sdtContent>
                    <w:tc>
                      <w:tcPr>
                        <w:tcW w:w="385" w:type="pct"/>
                        <w:vAlign w:val="center"/>
                      </w:tcPr>
                      <w:p w14:paraId="2F06BD72" w14:textId="5AA56249" w:rsidR="00B201D3" w:rsidRDefault="00F46283">
                        <w:pPr>
                          <w:widowControl w:val="0"/>
                          <w:jc w:val="center"/>
                          <w:rPr>
                            <w:color w:val="000000" w:themeColor="text1"/>
                          </w:rPr>
                        </w:pPr>
                        <w:r>
                          <w:rPr>
                            <w:color w:val="000000" w:themeColor="text1"/>
                          </w:rPr>
                          <w:t>否</w:t>
                        </w:r>
                      </w:p>
                    </w:tc>
                  </w:sdtContent>
                </w:sdt>
              </w:tr>
            </w:sdtContent>
          </w:sdt>
          <w:sdt>
            <w:sdtPr>
              <w:rPr>
                <w:rFonts w:hint="eastAsia"/>
                <w:color w:val="000000" w:themeColor="text1"/>
              </w:rPr>
              <w:alias w:val="公司债券基本情况明细"/>
              <w:tag w:val="_TUP_6c2c7e42d34f452cb78fc3b6634a6447"/>
              <w:id w:val="1185562201"/>
              <w:lock w:val="sdtLocked"/>
            </w:sdtPr>
            <w:sdtEndPr/>
            <w:sdtContent>
              <w:tr w:rsidR="00B201D3" w14:paraId="1A45095E" w14:textId="77777777">
                <w:tc>
                  <w:tcPr>
                    <w:tcW w:w="440" w:type="pct"/>
                    <w:vAlign w:val="center"/>
                  </w:tcPr>
                  <w:p w14:paraId="4DCB383A" w14:textId="77777777" w:rsidR="00B201D3" w:rsidRDefault="009855E8">
                    <w:pPr>
                      <w:widowControl w:val="0"/>
                      <w:jc w:val="both"/>
                      <w:rPr>
                        <w:color w:val="000000" w:themeColor="text1"/>
                      </w:rPr>
                    </w:pPr>
                    <w:r>
                      <w:rPr>
                        <w:color w:val="000000" w:themeColor="text1"/>
                      </w:rPr>
                      <w:t>2022年度</w:t>
                    </w:r>
                    <w:r>
                      <w:rPr>
                        <w:color w:val="000000" w:themeColor="text1"/>
                      </w:rPr>
                      <w:lastRenderedPageBreak/>
                      <w:t>第二期中期票据</w:t>
                    </w:r>
                    <w:r>
                      <w:rPr>
                        <w:color w:val="000000" w:themeColor="text1"/>
                        <w:vertAlign w:val="superscript"/>
                      </w:rPr>
                      <w:t>④</w:t>
                    </w:r>
                  </w:p>
                </w:tc>
                <w:tc>
                  <w:tcPr>
                    <w:tcW w:w="379" w:type="pct"/>
                    <w:vAlign w:val="center"/>
                  </w:tcPr>
                  <w:p w14:paraId="0838E53C" w14:textId="77777777" w:rsidR="00B201D3" w:rsidRDefault="009855E8">
                    <w:pPr>
                      <w:widowControl w:val="0"/>
                      <w:jc w:val="both"/>
                      <w:rPr>
                        <w:color w:val="000000" w:themeColor="text1"/>
                      </w:rPr>
                    </w:pPr>
                    <w:r>
                      <w:rPr>
                        <w:rFonts w:cs="Arial"/>
                        <w:color w:val="000000" w:themeColor="text1"/>
                        <w:shd w:val="clear" w:color="auto" w:fill="FFFFFF"/>
                      </w:rPr>
                      <w:lastRenderedPageBreak/>
                      <w:t>22</w:t>
                    </w:r>
                    <w:r>
                      <w:rPr>
                        <w:rFonts w:cs="Arial" w:hint="eastAsia"/>
                        <w:color w:val="000000" w:themeColor="text1"/>
                        <w:shd w:val="clear" w:color="auto" w:fill="FFFFFF"/>
                      </w:rPr>
                      <w:t>兖矿</w:t>
                    </w:r>
                    <w:r>
                      <w:rPr>
                        <w:rFonts w:cs="Arial" w:hint="eastAsia"/>
                        <w:color w:val="000000" w:themeColor="text1"/>
                        <w:shd w:val="clear" w:color="auto" w:fill="FFFFFF"/>
                      </w:rPr>
                      <w:lastRenderedPageBreak/>
                      <w:t>能源</w:t>
                    </w:r>
                    <w:r>
                      <w:rPr>
                        <w:rFonts w:cs="Arial"/>
                        <w:color w:val="000000" w:themeColor="text1"/>
                        <w:shd w:val="clear" w:color="auto" w:fill="FFFFFF"/>
                      </w:rPr>
                      <w:t>MTN002</w:t>
                    </w:r>
                  </w:p>
                </w:tc>
                <w:tc>
                  <w:tcPr>
                    <w:tcW w:w="453" w:type="pct"/>
                    <w:vAlign w:val="center"/>
                  </w:tcPr>
                  <w:p w14:paraId="09BEF250" w14:textId="77777777" w:rsidR="00B201D3" w:rsidRDefault="009855E8">
                    <w:pPr>
                      <w:widowControl w:val="0"/>
                      <w:jc w:val="both"/>
                      <w:rPr>
                        <w:color w:val="000000" w:themeColor="text1"/>
                      </w:rPr>
                    </w:pPr>
                    <w:r>
                      <w:rPr>
                        <w:rFonts w:cs="Arial"/>
                        <w:color w:val="000000" w:themeColor="text1"/>
                        <w:shd w:val="clear" w:color="auto" w:fill="FFFFFF"/>
                      </w:rPr>
                      <w:lastRenderedPageBreak/>
                      <w:t>102281229</w:t>
                    </w:r>
                  </w:p>
                </w:tc>
                <w:tc>
                  <w:tcPr>
                    <w:tcW w:w="438" w:type="pct"/>
                    <w:vAlign w:val="center"/>
                  </w:tcPr>
                  <w:p w14:paraId="7D628D6C" w14:textId="77777777" w:rsidR="00B201D3" w:rsidRDefault="009855E8">
                    <w:pPr>
                      <w:widowControl w:val="0"/>
                      <w:jc w:val="both"/>
                      <w:rPr>
                        <w:color w:val="000000" w:themeColor="text1"/>
                      </w:rPr>
                    </w:pPr>
                    <w:r>
                      <w:rPr>
                        <w:rFonts w:cs="Arial"/>
                        <w:color w:val="000000" w:themeColor="text1"/>
                        <w:shd w:val="clear" w:color="auto" w:fill="FFFFFF"/>
                      </w:rPr>
                      <w:t>2022/06/08</w:t>
                    </w:r>
                  </w:p>
                </w:tc>
                <w:tc>
                  <w:tcPr>
                    <w:tcW w:w="438" w:type="pct"/>
                    <w:vAlign w:val="center"/>
                  </w:tcPr>
                  <w:p w14:paraId="48D86870" w14:textId="77777777" w:rsidR="00B201D3" w:rsidRDefault="009855E8">
                    <w:pPr>
                      <w:widowControl w:val="0"/>
                      <w:jc w:val="both"/>
                      <w:rPr>
                        <w:color w:val="000000" w:themeColor="text1"/>
                      </w:rPr>
                    </w:pPr>
                    <w:r>
                      <w:rPr>
                        <w:rFonts w:cs="Arial"/>
                        <w:color w:val="000000" w:themeColor="text1"/>
                        <w:shd w:val="clear" w:color="auto" w:fill="FFFFFF"/>
                      </w:rPr>
                      <w:t>2022/06/10</w:t>
                    </w:r>
                  </w:p>
                </w:tc>
                <w:tc>
                  <w:tcPr>
                    <w:tcW w:w="438" w:type="pct"/>
                    <w:vAlign w:val="center"/>
                  </w:tcPr>
                  <w:p w14:paraId="312B626F" w14:textId="77777777" w:rsidR="00B201D3" w:rsidRDefault="009855E8">
                    <w:pPr>
                      <w:widowControl w:val="0"/>
                      <w:jc w:val="both"/>
                      <w:rPr>
                        <w:color w:val="000000" w:themeColor="text1"/>
                      </w:rPr>
                    </w:pPr>
                    <w:r>
                      <w:rPr>
                        <w:rFonts w:cs="Arial"/>
                        <w:color w:val="000000" w:themeColor="text1"/>
                        <w:shd w:val="clear" w:color="auto" w:fill="FFFFFF"/>
                      </w:rPr>
                      <w:t>2025/06/10</w:t>
                    </w:r>
                  </w:p>
                </w:tc>
                <w:tc>
                  <w:tcPr>
                    <w:tcW w:w="300" w:type="pct"/>
                    <w:vAlign w:val="center"/>
                  </w:tcPr>
                  <w:p w14:paraId="686C1CAE" w14:textId="77777777" w:rsidR="00B201D3" w:rsidRDefault="009855E8">
                    <w:pPr>
                      <w:widowControl w:val="0"/>
                      <w:jc w:val="center"/>
                      <w:rPr>
                        <w:color w:val="000000" w:themeColor="text1"/>
                      </w:rPr>
                    </w:pPr>
                    <w:r>
                      <w:rPr>
                        <w:color w:val="000000" w:themeColor="text1"/>
                      </w:rPr>
                      <w:t>20</w:t>
                    </w:r>
                  </w:p>
                </w:tc>
                <w:tc>
                  <w:tcPr>
                    <w:tcW w:w="257" w:type="pct"/>
                    <w:vAlign w:val="center"/>
                  </w:tcPr>
                  <w:p w14:paraId="16952FAE" w14:textId="77777777" w:rsidR="00B201D3" w:rsidRDefault="009855E8">
                    <w:pPr>
                      <w:widowControl w:val="0"/>
                      <w:jc w:val="both"/>
                      <w:rPr>
                        <w:color w:val="000000" w:themeColor="text1"/>
                      </w:rPr>
                    </w:pPr>
                    <w:r>
                      <w:rPr>
                        <w:color w:val="000000" w:themeColor="text1"/>
                      </w:rPr>
                      <w:t>3.30</w:t>
                    </w:r>
                  </w:p>
                </w:tc>
                <w:tc>
                  <w:tcPr>
                    <w:tcW w:w="438" w:type="pct"/>
                    <w:vAlign w:val="center"/>
                  </w:tcPr>
                  <w:p w14:paraId="7452F256" w14:textId="77777777" w:rsidR="00B201D3" w:rsidRDefault="009855E8">
                    <w:pPr>
                      <w:widowControl w:val="0"/>
                      <w:jc w:val="both"/>
                      <w:rPr>
                        <w:color w:val="000000" w:themeColor="text1"/>
                      </w:rPr>
                    </w:pPr>
                    <w:r>
                      <w:rPr>
                        <w:color w:val="000000" w:themeColor="text1"/>
                      </w:rPr>
                      <w:t>到期一次</w:t>
                    </w:r>
                    <w:r>
                      <w:rPr>
                        <w:color w:val="000000" w:themeColor="text1"/>
                      </w:rPr>
                      <w:lastRenderedPageBreak/>
                      <w:t>还本，最后一期利息随本金一起支付</w:t>
                    </w:r>
                  </w:p>
                </w:tc>
                <w:tc>
                  <w:tcPr>
                    <w:tcW w:w="394" w:type="pct"/>
                    <w:vAlign w:val="center"/>
                  </w:tcPr>
                  <w:p w14:paraId="2D27BC10" w14:textId="77777777" w:rsidR="00B201D3" w:rsidRDefault="009855E8">
                    <w:pPr>
                      <w:widowControl w:val="0"/>
                      <w:jc w:val="both"/>
                      <w:rPr>
                        <w:color w:val="000000" w:themeColor="text1"/>
                      </w:rPr>
                    </w:pPr>
                    <w:r>
                      <w:rPr>
                        <w:color w:val="000000" w:themeColor="text1"/>
                      </w:rPr>
                      <w:lastRenderedPageBreak/>
                      <w:t>银行间债</w:t>
                    </w:r>
                    <w:r>
                      <w:rPr>
                        <w:color w:val="000000" w:themeColor="text1"/>
                      </w:rPr>
                      <w:lastRenderedPageBreak/>
                      <w:t>券市场</w:t>
                    </w:r>
                  </w:p>
                </w:tc>
                <w:tc>
                  <w:tcPr>
                    <w:tcW w:w="321" w:type="pct"/>
                    <w:vAlign w:val="center"/>
                  </w:tcPr>
                  <w:p w14:paraId="68667E2A" w14:textId="77777777" w:rsidR="00B201D3" w:rsidRDefault="009855E8">
                    <w:pPr>
                      <w:widowControl w:val="0"/>
                      <w:jc w:val="both"/>
                      <w:rPr>
                        <w:color w:val="000000" w:themeColor="text1"/>
                      </w:rPr>
                    </w:pPr>
                    <w:r>
                      <w:rPr>
                        <w:color w:val="000000" w:themeColor="text1"/>
                      </w:rPr>
                      <w:lastRenderedPageBreak/>
                      <w:t>面向银</w:t>
                    </w:r>
                    <w:r>
                      <w:rPr>
                        <w:color w:val="000000" w:themeColor="text1"/>
                      </w:rPr>
                      <w:lastRenderedPageBreak/>
                      <w:t>行间债券市场的机构投资者</w:t>
                    </w:r>
                  </w:p>
                </w:tc>
                <w:tc>
                  <w:tcPr>
                    <w:tcW w:w="321" w:type="pct"/>
                    <w:vAlign w:val="center"/>
                  </w:tcPr>
                  <w:p w14:paraId="3F02EE9E" w14:textId="77777777" w:rsidR="00B201D3" w:rsidRDefault="009855E8">
                    <w:pPr>
                      <w:widowControl w:val="0"/>
                      <w:jc w:val="both"/>
                      <w:rPr>
                        <w:color w:val="000000" w:themeColor="text1"/>
                      </w:rPr>
                    </w:pPr>
                    <w:r>
                      <w:rPr>
                        <w:color w:val="000000" w:themeColor="text1"/>
                      </w:rPr>
                      <w:lastRenderedPageBreak/>
                      <w:t>全国银</w:t>
                    </w:r>
                    <w:r>
                      <w:rPr>
                        <w:color w:val="000000" w:themeColor="text1"/>
                      </w:rPr>
                      <w:lastRenderedPageBreak/>
                      <w:t>行间债券市场流通转让</w:t>
                    </w:r>
                  </w:p>
                </w:tc>
                <w:sdt>
                  <w:sdtPr>
                    <w:rPr>
                      <w:color w:val="000000" w:themeColor="text1"/>
                    </w:rPr>
                    <w:alias w:val="公司债券基本情况明细_是否存在终止上市交易的风险 "/>
                    <w:tag w:val="_GBC_55933d0e33804432bc2d8ad90d191ec6"/>
                    <w:id w:val="-364912450"/>
                    <w:lock w:val="sdtLocked"/>
                    <w:comboBox>
                      <w:listItem w:displayText="是" w:value="是"/>
                      <w:listItem w:displayText="否" w:value="否"/>
                    </w:comboBox>
                  </w:sdtPr>
                  <w:sdtEndPr/>
                  <w:sdtContent>
                    <w:tc>
                      <w:tcPr>
                        <w:tcW w:w="385" w:type="pct"/>
                        <w:vAlign w:val="center"/>
                      </w:tcPr>
                      <w:p w14:paraId="6E8909AC" w14:textId="24625EE8" w:rsidR="00B201D3" w:rsidRDefault="00F46283">
                        <w:pPr>
                          <w:widowControl w:val="0"/>
                          <w:jc w:val="center"/>
                          <w:rPr>
                            <w:color w:val="000000" w:themeColor="text1"/>
                          </w:rPr>
                        </w:pPr>
                        <w:r>
                          <w:rPr>
                            <w:color w:val="000000" w:themeColor="text1"/>
                          </w:rPr>
                          <w:t>否</w:t>
                        </w:r>
                      </w:p>
                    </w:tc>
                  </w:sdtContent>
                </w:sdt>
              </w:tr>
            </w:sdtContent>
          </w:sdt>
          <w:sdt>
            <w:sdtPr>
              <w:rPr>
                <w:rFonts w:hint="eastAsia"/>
                <w:color w:val="000000" w:themeColor="text1"/>
              </w:rPr>
              <w:alias w:val="公司债券基本情况明细"/>
              <w:tag w:val="_TUP_6c2c7e42d34f452cb78fc3b6634a6447"/>
              <w:id w:val="1256791538"/>
              <w:lock w:val="sdtLocked"/>
              <w:placeholder>
                <w:docPart w:val="EFE8677F51A44CE69C3D35A5CDC73575"/>
              </w:placeholder>
            </w:sdtPr>
            <w:sdtEndPr>
              <w:rPr>
                <w:rFonts w:hint="default"/>
              </w:rPr>
            </w:sdtEndPr>
            <w:sdtContent>
              <w:tr w:rsidR="00B201D3" w14:paraId="26665E47" w14:textId="77777777">
                <w:tc>
                  <w:tcPr>
                    <w:tcW w:w="440" w:type="pct"/>
                    <w:vAlign w:val="center"/>
                  </w:tcPr>
                  <w:p w14:paraId="6585149E" w14:textId="77777777" w:rsidR="00B201D3" w:rsidRDefault="009855E8">
                    <w:pPr>
                      <w:rPr>
                        <w:color w:val="000000" w:themeColor="text1"/>
                      </w:rPr>
                    </w:pPr>
                    <w:r>
                      <w:rPr>
                        <w:bCs/>
                        <w:color w:val="000000" w:themeColor="text1"/>
                      </w:rPr>
                      <w:t>2023年度</w:t>
                    </w:r>
                    <w:r>
                      <w:rPr>
                        <w:rFonts w:hint="eastAsia"/>
                        <w:bCs/>
                        <w:color w:val="000000" w:themeColor="text1"/>
                      </w:rPr>
                      <w:t>第一期超短期融资券</w:t>
                    </w:r>
                  </w:p>
                </w:tc>
                <w:tc>
                  <w:tcPr>
                    <w:tcW w:w="379" w:type="pct"/>
                    <w:vAlign w:val="center"/>
                  </w:tcPr>
                  <w:p w14:paraId="3D74D774" w14:textId="77777777" w:rsidR="00B201D3" w:rsidRDefault="009855E8">
                    <w:pPr>
                      <w:widowControl w:val="0"/>
                      <w:jc w:val="both"/>
                      <w:rPr>
                        <w:color w:val="000000" w:themeColor="text1"/>
                      </w:rPr>
                    </w:pPr>
                    <w:r>
                      <w:rPr>
                        <w:bCs/>
                        <w:color w:val="000000" w:themeColor="text1"/>
                      </w:rPr>
                      <w:t>23</w:t>
                    </w:r>
                    <w:r>
                      <w:rPr>
                        <w:rFonts w:hint="eastAsia"/>
                        <w:bCs/>
                        <w:color w:val="000000" w:themeColor="text1"/>
                      </w:rPr>
                      <w:t>兖矿能源</w:t>
                    </w:r>
                    <w:r>
                      <w:rPr>
                        <w:bCs/>
                        <w:color w:val="000000" w:themeColor="text1"/>
                      </w:rPr>
                      <w:t>SCP001</w:t>
                    </w:r>
                  </w:p>
                </w:tc>
                <w:tc>
                  <w:tcPr>
                    <w:tcW w:w="453" w:type="pct"/>
                    <w:vAlign w:val="center"/>
                  </w:tcPr>
                  <w:p w14:paraId="467A3FC0" w14:textId="77777777" w:rsidR="00B201D3" w:rsidRDefault="009855E8">
                    <w:pPr>
                      <w:widowControl w:val="0"/>
                      <w:jc w:val="both"/>
                      <w:rPr>
                        <w:color w:val="000000" w:themeColor="text1"/>
                      </w:rPr>
                    </w:pPr>
                    <w:r>
                      <w:rPr>
                        <w:rFonts w:cs="Arial"/>
                        <w:color w:val="000000" w:themeColor="text1"/>
                        <w:shd w:val="clear" w:color="auto" w:fill="FFFFFF"/>
                      </w:rPr>
                      <w:t>012382261</w:t>
                    </w:r>
                  </w:p>
                </w:tc>
                <w:tc>
                  <w:tcPr>
                    <w:tcW w:w="438" w:type="pct"/>
                    <w:vAlign w:val="center"/>
                  </w:tcPr>
                  <w:p w14:paraId="5AEC94F2" w14:textId="2C234F49" w:rsidR="00B201D3" w:rsidRDefault="009855E8">
                    <w:pPr>
                      <w:widowControl w:val="0"/>
                      <w:jc w:val="both"/>
                      <w:rPr>
                        <w:color w:val="000000" w:themeColor="text1"/>
                      </w:rPr>
                    </w:pPr>
                    <w:r>
                      <w:rPr>
                        <w:rFonts w:cs="Arial"/>
                        <w:color w:val="000000" w:themeColor="text1"/>
                        <w:shd w:val="clear" w:color="auto" w:fill="FFFFFF"/>
                      </w:rPr>
                      <w:t>2023/</w:t>
                    </w:r>
                    <w:r w:rsidR="009A527D">
                      <w:rPr>
                        <w:rFonts w:cs="Arial"/>
                        <w:color w:val="000000" w:themeColor="text1"/>
                        <w:shd w:val="clear" w:color="auto" w:fill="FFFFFF"/>
                      </w:rPr>
                      <w:t>0</w:t>
                    </w:r>
                    <w:r>
                      <w:rPr>
                        <w:rFonts w:cs="Arial"/>
                        <w:color w:val="000000" w:themeColor="text1"/>
                        <w:shd w:val="clear" w:color="auto" w:fill="FFFFFF"/>
                      </w:rPr>
                      <w:t>6/15</w:t>
                    </w:r>
                  </w:p>
                </w:tc>
                <w:tc>
                  <w:tcPr>
                    <w:tcW w:w="438" w:type="pct"/>
                    <w:vAlign w:val="center"/>
                  </w:tcPr>
                  <w:p w14:paraId="411AECD8" w14:textId="4B2D83BA" w:rsidR="00B201D3" w:rsidRDefault="009855E8">
                    <w:pPr>
                      <w:widowControl w:val="0"/>
                      <w:jc w:val="both"/>
                      <w:rPr>
                        <w:color w:val="000000" w:themeColor="text1"/>
                      </w:rPr>
                    </w:pPr>
                    <w:r>
                      <w:rPr>
                        <w:rFonts w:cs="Arial"/>
                        <w:color w:val="000000" w:themeColor="text1"/>
                        <w:shd w:val="clear" w:color="auto" w:fill="FFFFFF"/>
                      </w:rPr>
                      <w:t>2023/</w:t>
                    </w:r>
                    <w:r w:rsidR="009A527D">
                      <w:rPr>
                        <w:rFonts w:cs="Arial"/>
                        <w:color w:val="000000" w:themeColor="text1"/>
                        <w:shd w:val="clear" w:color="auto" w:fill="FFFFFF"/>
                      </w:rPr>
                      <w:t>0</w:t>
                    </w:r>
                    <w:r>
                      <w:rPr>
                        <w:rFonts w:cs="Arial"/>
                        <w:color w:val="000000" w:themeColor="text1"/>
                        <w:shd w:val="clear" w:color="auto" w:fill="FFFFFF"/>
                      </w:rPr>
                      <w:t>6/16</w:t>
                    </w:r>
                  </w:p>
                </w:tc>
                <w:tc>
                  <w:tcPr>
                    <w:tcW w:w="438" w:type="pct"/>
                    <w:vAlign w:val="center"/>
                  </w:tcPr>
                  <w:p w14:paraId="40FCE7A5" w14:textId="77777777" w:rsidR="00B201D3" w:rsidRDefault="009855E8">
                    <w:pPr>
                      <w:widowControl w:val="0"/>
                      <w:jc w:val="both"/>
                      <w:rPr>
                        <w:color w:val="000000" w:themeColor="text1"/>
                      </w:rPr>
                    </w:pPr>
                    <w:r>
                      <w:rPr>
                        <w:rFonts w:cs="Arial"/>
                        <w:color w:val="000000" w:themeColor="text1"/>
                        <w:shd w:val="clear" w:color="auto" w:fill="FFFFFF"/>
                      </w:rPr>
                      <w:t>2023/12/13</w:t>
                    </w:r>
                  </w:p>
                </w:tc>
                <w:tc>
                  <w:tcPr>
                    <w:tcW w:w="300" w:type="pct"/>
                    <w:vAlign w:val="center"/>
                  </w:tcPr>
                  <w:p w14:paraId="414F823A" w14:textId="77777777" w:rsidR="00B201D3" w:rsidRDefault="009855E8">
                    <w:pPr>
                      <w:widowControl w:val="0"/>
                      <w:jc w:val="center"/>
                      <w:rPr>
                        <w:color w:val="000000" w:themeColor="text1"/>
                      </w:rPr>
                    </w:pPr>
                    <w:r>
                      <w:rPr>
                        <w:bCs/>
                        <w:color w:val="000000" w:themeColor="text1"/>
                      </w:rPr>
                      <w:t>30</w:t>
                    </w:r>
                  </w:p>
                </w:tc>
                <w:tc>
                  <w:tcPr>
                    <w:tcW w:w="257" w:type="pct"/>
                    <w:vAlign w:val="center"/>
                  </w:tcPr>
                  <w:p w14:paraId="2243CA62" w14:textId="77777777" w:rsidR="00B201D3" w:rsidRDefault="009855E8">
                    <w:pPr>
                      <w:widowControl w:val="0"/>
                      <w:jc w:val="both"/>
                      <w:rPr>
                        <w:color w:val="000000" w:themeColor="text1"/>
                      </w:rPr>
                    </w:pPr>
                    <w:r>
                      <w:rPr>
                        <w:bCs/>
                        <w:color w:val="000000" w:themeColor="text1"/>
                      </w:rPr>
                      <w:t>2.08</w:t>
                    </w:r>
                  </w:p>
                </w:tc>
                <w:tc>
                  <w:tcPr>
                    <w:tcW w:w="438" w:type="pct"/>
                    <w:vAlign w:val="center"/>
                  </w:tcPr>
                  <w:p w14:paraId="1DB7C6E1" w14:textId="77777777" w:rsidR="00B201D3" w:rsidRDefault="009855E8">
                    <w:pPr>
                      <w:widowControl w:val="0"/>
                      <w:jc w:val="both"/>
                      <w:rPr>
                        <w:color w:val="000000" w:themeColor="text1"/>
                      </w:rPr>
                    </w:pPr>
                    <w:r>
                      <w:rPr>
                        <w:rFonts w:hint="eastAsia"/>
                        <w:color w:val="000000" w:themeColor="text1"/>
                      </w:rPr>
                      <w:t>到期一次还本付息</w:t>
                    </w:r>
                  </w:p>
                </w:tc>
                <w:tc>
                  <w:tcPr>
                    <w:tcW w:w="394" w:type="pct"/>
                    <w:vAlign w:val="center"/>
                  </w:tcPr>
                  <w:p w14:paraId="2E555ED6" w14:textId="77777777" w:rsidR="00B201D3" w:rsidRDefault="009855E8">
                    <w:pPr>
                      <w:widowControl w:val="0"/>
                      <w:jc w:val="both"/>
                      <w:rPr>
                        <w:color w:val="000000" w:themeColor="text1"/>
                      </w:rPr>
                    </w:pPr>
                    <w:r>
                      <w:rPr>
                        <w:rFonts w:hint="eastAsia"/>
                        <w:color w:val="000000" w:themeColor="text1"/>
                      </w:rPr>
                      <w:t>银行间债券市场</w:t>
                    </w:r>
                  </w:p>
                </w:tc>
                <w:tc>
                  <w:tcPr>
                    <w:tcW w:w="321" w:type="pct"/>
                    <w:vAlign w:val="center"/>
                  </w:tcPr>
                  <w:p w14:paraId="1C23FAF5" w14:textId="77777777" w:rsidR="00B201D3" w:rsidRDefault="009855E8">
                    <w:pPr>
                      <w:widowControl w:val="0"/>
                      <w:jc w:val="both"/>
                      <w:rPr>
                        <w:color w:val="000000" w:themeColor="text1"/>
                      </w:rPr>
                    </w:pPr>
                    <w:r>
                      <w:rPr>
                        <w:rFonts w:hint="eastAsia"/>
                        <w:color w:val="000000" w:themeColor="text1"/>
                      </w:rPr>
                      <w:t>面向银行间债券市场的机构投资者</w:t>
                    </w:r>
                  </w:p>
                </w:tc>
                <w:tc>
                  <w:tcPr>
                    <w:tcW w:w="321" w:type="pct"/>
                    <w:vAlign w:val="center"/>
                  </w:tcPr>
                  <w:p w14:paraId="2B5F39DC" w14:textId="77777777" w:rsidR="00B201D3" w:rsidRDefault="009855E8">
                    <w:pPr>
                      <w:widowControl w:val="0"/>
                      <w:jc w:val="both"/>
                      <w:rPr>
                        <w:color w:val="000000" w:themeColor="text1"/>
                      </w:rPr>
                    </w:pPr>
                    <w:r>
                      <w:rPr>
                        <w:rFonts w:hint="eastAsia"/>
                        <w:color w:val="000000" w:themeColor="text1"/>
                      </w:rPr>
                      <w:t>全国银行间债券市场流通转让</w:t>
                    </w:r>
                  </w:p>
                </w:tc>
                <w:sdt>
                  <w:sdtPr>
                    <w:rPr>
                      <w:color w:val="000000" w:themeColor="text1"/>
                    </w:rPr>
                    <w:alias w:val="公司债券基本情况明细_是否存在终止上市交易的风险 "/>
                    <w:tag w:val="_GBC_55933d0e33804432bc2d8ad90d191ec6"/>
                    <w:id w:val="671695747"/>
                    <w:lock w:val="sdtLocked"/>
                    <w:placeholder>
                      <w:docPart w:val="AF04184FF85048E0874E7D760B4A81A2"/>
                    </w:placeholder>
                    <w:comboBox>
                      <w:listItem w:displayText="是" w:value="是"/>
                      <w:listItem w:displayText="否" w:value="否"/>
                    </w:comboBox>
                  </w:sdtPr>
                  <w:sdtEndPr/>
                  <w:sdtContent>
                    <w:tc>
                      <w:tcPr>
                        <w:tcW w:w="385" w:type="pct"/>
                        <w:vAlign w:val="center"/>
                      </w:tcPr>
                      <w:p w14:paraId="7F3B70E1" w14:textId="694DCAB1" w:rsidR="00B201D3" w:rsidRDefault="00F46283">
                        <w:pPr>
                          <w:widowControl w:val="0"/>
                          <w:jc w:val="center"/>
                          <w:rPr>
                            <w:color w:val="000000" w:themeColor="text1"/>
                          </w:rPr>
                        </w:pPr>
                        <w:r>
                          <w:rPr>
                            <w:color w:val="000000" w:themeColor="text1"/>
                          </w:rPr>
                          <w:t>否</w:t>
                        </w:r>
                      </w:p>
                    </w:tc>
                  </w:sdtContent>
                </w:sdt>
              </w:tr>
            </w:sdtContent>
          </w:sdt>
        </w:tbl>
        <w:p w14:paraId="403B8B0E" w14:textId="77777777" w:rsidR="00B201D3" w:rsidRDefault="009855E8">
          <w:pPr>
            <w:pStyle w:val="3903"/>
            <w:ind w:firstLineChars="200" w:firstLine="420"/>
            <w:jc w:val="both"/>
          </w:pPr>
          <w:r>
            <w:rPr>
              <w:rFonts w:hint="eastAsia"/>
            </w:rPr>
            <w:t>注：</w:t>
          </w:r>
        </w:p>
        <w:p w14:paraId="475279F1" w14:textId="77777777" w:rsidR="00B201D3" w:rsidRDefault="009855E8">
          <w:pPr>
            <w:pStyle w:val="3903"/>
            <w:ind w:firstLineChars="200" w:firstLine="420"/>
            <w:jc w:val="both"/>
          </w:pPr>
          <w:r>
            <w:rPr>
              <w:rFonts w:hint="eastAsia"/>
            </w:rPr>
            <w:t>①</w:t>
          </w:r>
          <w:r>
            <w:t>2021年度第二期中期票据以每3个计息年度为1个周期。在每个周期末，公司有权选择将本期中期票据期限延长1个周期（即延长3年），或选择在该周期末到期全额兑付本期中期票据。</w:t>
          </w:r>
        </w:p>
        <w:p w14:paraId="421CF4EF" w14:textId="77777777" w:rsidR="00B201D3" w:rsidRDefault="009855E8">
          <w:pPr>
            <w:pStyle w:val="3903"/>
            <w:ind w:firstLineChars="200" w:firstLine="420"/>
            <w:jc w:val="both"/>
          </w:pPr>
          <w:r>
            <w:rPr>
              <w:rFonts w:hint="eastAsia"/>
            </w:rPr>
            <w:t>②</w:t>
          </w:r>
          <w:r>
            <w:t>2022年度第一期中期票据(品种一)以每3个计息年度为1个周期。在每个周期末，公司有权选择将本期中期票据期限延长1个周期（即延长3年），或选择在该周期末到期全额兑付本期中期票据。</w:t>
          </w:r>
        </w:p>
        <w:p w14:paraId="6BED3B41" w14:textId="77777777" w:rsidR="00B201D3" w:rsidRDefault="009855E8">
          <w:pPr>
            <w:pStyle w:val="3903"/>
            <w:ind w:firstLineChars="200" w:firstLine="420"/>
            <w:jc w:val="both"/>
          </w:pPr>
          <w:r>
            <w:rPr>
              <w:rFonts w:hint="eastAsia"/>
            </w:rPr>
            <w:t>③</w:t>
          </w:r>
          <w:r>
            <w:t>2022年度第一期中期票据(品种二)以每5个计息年度为1个周期。在每个周期末，公司有权选择将本期中期票据期限延长1个周期（即延长5年），或选择在该周期末到期全额兑付本期中期票据。</w:t>
          </w:r>
        </w:p>
        <w:p w14:paraId="070722EE" w14:textId="77777777" w:rsidR="00B201D3" w:rsidRDefault="009855E8">
          <w:pPr>
            <w:pStyle w:val="3903"/>
            <w:ind w:firstLineChars="200" w:firstLine="420"/>
            <w:jc w:val="both"/>
          </w:pPr>
          <w:r>
            <w:rPr>
              <w:rFonts w:hint="eastAsia"/>
            </w:rPr>
            <w:t>④</w:t>
          </w:r>
          <w:r>
            <w:t>2022年度第二期中期票据以每3个计息年度为1个周期。在每个周期末，公司有权选择将本期中期票据期限延长1个周期（即延长3年），或选择在该周期末到期全额兑付本期中期票据。</w:t>
          </w:r>
        </w:p>
        <w:p w14:paraId="37D3B0BF" w14:textId="77777777" w:rsidR="00B201D3" w:rsidRDefault="00C8327E">
          <w:pPr>
            <w:pStyle w:val="3903"/>
          </w:pPr>
        </w:p>
      </w:sdtContent>
    </w:sdt>
    <w:bookmarkEnd w:id="122" w:displacedByCustomXml="next"/>
    <w:bookmarkStart w:id="123" w:name="_Hlk74747078" w:displacedByCustomXml="next"/>
    <w:sdt>
      <w:sdtPr>
        <w:rPr>
          <w:rFonts w:cs="Times New Roman"/>
          <w:bCs/>
          <w:kern w:val="2"/>
        </w:rPr>
        <w:alias w:val="模块:(一) 非金融企业债务融资工具 公司对债券终止上市交易风险的应对措施"/>
        <w:tag w:val="_SEC_c960bfcad3944f559dd2eefcbad971ce"/>
        <w:id w:val="1247385850"/>
        <w:lock w:val="sdtLocked"/>
      </w:sdtPr>
      <w:sdtEndPr>
        <w:rPr>
          <w:color w:val="000000" w:themeColor="text1"/>
        </w:rPr>
      </w:sdtEndPr>
      <w:sdtContent>
        <w:p w14:paraId="4F305046" w14:textId="77777777" w:rsidR="00B201D3" w:rsidRDefault="009855E8">
          <w:pPr>
            <w:pStyle w:val="3903"/>
          </w:pPr>
          <w:r>
            <w:rPr>
              <w:rFonts w:hint="eastAsia"/>
            </w:rPr>
            <w:t>公司对债券终止上市交易风险的应对措施</w:t>
          </w:r>
        </w:p>
        <w:sdt>
          <w:sdtPr>
            <w:rPr>
              <w:rFonts w:cs="Times New Roman"/>
              <w:bCs/>
              <w:color w:val="000000" w:themeColor="text1"/>
              <w:kern w:val="2"/>
            </w:rPr>
            <w:alias w:val="是否适用：公司对债券终止上市交易风险的应对措施 [双击切换]"/>
            <w:tag w:val="_GBC_0bf7144a544f49b783e7bb7f2a3c8140"/>
            <w:id w:val="-961962439"/>
            <w:lock w:val="sdtLocked"/>
          </w:sdtPr>
          <w:sdtEndPr/>
          <w:sdtContent>
            <w:p w14:paraId="0B8472D0" w14:textId="77777777" w:rsidR="00B201D3" w:rsidRDefault="009855E8">
              <w:pPr>
                <w:rPr>
                  <w:color w:val="000000" w:themeColor="text1"/>
                </w:rPr>
              </w:pPr>
              <w:r>
                <w:rPr>
                  <w:rFonts w:cs="Times New Roman"/>
                  <w:bCs/>
                  <w:color w:val="000000" w:themeColor="text1"/>
                  <w:kern w:val="2"/>
                </w:rPr>
                <w:fldChar w:fldCharType="begin"/>
              </w:r>
              <w:r>
                <w:rPr>
                  <w:rFonts w:cs="Times New Roman"/>
                  <w:color w:val="000000" w:themeColor="text1"/>
                  <w:kern w:val="2"/>
                </w:rPr>
                <w:instrText xml:space="preserve"> MACROBUTTON  SnrToggleCheckbox □适用 </w:instrText>
              </w:r>
              <w:r>
                <w:rPr>
                  <w:rFonts w:cs="Times New Roman"/>
                  <w:bCs/>
                  <w:color w:val="000000" w:themeColor="text1"/>
                  <w:kern w:val="2"/>
                </w:rPr>
                <w:fldChar w:fldCharType="end"/>
              </w:r>
              <w:r>
                <w:rPr>
                  <w:rFonts w:cs="Times New Roman"/>
                  <w:bCs/>
                  <w:color w:val="000000" w:themeColor="text1"/>
                  <w:kern w:val="2"/>
                </w:rPr>
                <w:fldChar w:fldCharType="begin"/>
              </w:r>
              <w:r>
                <w:rPr>
                  <w:rFonts w:cs="Times New Roman"/>
                  <w:color w:val="000000" w:themeColor="text1"/>
                  <w:kern w:val="2"/>
                </w:rPr>
                <w:instrText xml:space="preserve"> MACROBUTTON  SnrToggleCheckbox √不适用 </w:instrText>
              </w:r>
              <w:r>
                <w:rPr>
                  <w:rFonts w:cs="Times New Roman"/>
                  <w:bCs/>
                  <w:color w:val="000000" w:themeColor="text1"/>
                  <w:kern w:val="2"/>
                </w:rPr>
                <w:fldChar w:fldCharType="end"/>
              </w:r>
            </w:p>
          </w:sdtContent>
        </w:sdt>
        <w:p w14:paraId="73353FD2" w14:textId="77777777" w:rsidR="00B201D3" w:rsidRDefault="00C8327E">
          <w:pPr>
            <w:rPr>
              <w:rFonts w:cs="Times New Roman"/>
              <w:bCs/>
              <w:color w:val="000000" w:themeColor="text1"/>
              <w:kern w:val="2"/>
            </w:rPr>
          </w:pPr>
        </w:p>
      </w:sdtContent>
    </w:sdt>
    <w:bookmarkEnd w:id="123" w:displacedByCustomXml="next"/>
    <w:bookmarkStart w:id="124" w:name="_Hlk74747105" w:displacedByCustomXml="next"/>
    <w:sdt>
      <w:sdtPr>
        <w:rPr>
          <w:rFonts w:cs="Times New Roman"/>
          <w:bCs/>
          <w:kern w:val="2"/>
        </w:rPr>
        <w:alias w:val="模块:非金融企业债务融资工具逾期未偿还债券"/>
        <w:tag w:val="_SEC_7345dace4a85448a8e1bbd6a35cf959d"/>
        <w:id w:val="439192581"/>
        <w:lock w:val="sdtLocked"/>
      </w:sdtPr>
      <w:sdtEndPr/>
      <w:sdtContent>
        <w:p w14:paraId="5CDE4636" w14:textId="77777777" w:rsidR="00B201D3" w:rsidRDefault="009855E8">
          <w:pPr>
            <w:pStyle w:val="3903"/>
          </w:pPr>
          <w:r>
            <w:t>逾期未偿还债券</w:t>
          </w:r>
        </w:p>
        <w:sdt>
          <w:sdtPr>
            <w:rPr>
              <w:rFonts w:hint="eastAsia"/>
            </w:rPr>
            <w:alias w:val="是否适用：逾期未偿还债券[双击切换]"/>
            <w:tag w:val="_GBC_01199c5296ec4fb5a190bdc6acefc487"/>
            <w:id w:val="482896386"/>
            <w:lock w:val="sdtLocked"/>
          </w:sdtPr>
          <w:sdtEndPr/>
          <w:sdtContent>
            <w:p w14:paraId="5638673F" w14:textId="77777777" w:rsidR="00B201D3" w:rsidRDefault="009855E8">
              <w:pPr>
                <w:rPr>
                  <w:rFonts w:cs="Times New Roman"/>
                  <w:bCs/>
                  <w:kern w:val="2"/>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24" w:displacedByCustomXml="next"/>
    <w:bookmarkStart w:id="125" w:name="_Hlk74747129" w:displacedByCustomXml="next"/>
    <w:sdt>
      <w:sdtPr>
        <w:rPr>
          <w:rFonts w:cs="Times New Roman"/>
          <w:bCs/>
          <w:kern w:val="2"/>
        </w:rPr>
        <w:alias w:val="模块:非金融企业债务融资工具关于逾期债项的说明"/>
        <w:tag w:val="_SEC_93a4b57e6e6e46698f68241bcd35c49f"/>
        <w:id w:val="1743915153"/>
        <w:lock w:val="sdtLocked"/>
      </w:sdtPr>
      <w:sdtEndPr/>
      <w:sdtContent>
        <w:p w14:paraId="4CDDCFBA" w14:textId="77777777" w:rsidR="00B201D3" w:rsidRDefault="009855E8">
          <w:pPr>
            <w:pStyle w:val="3903"/>
          </w:pPr>
          <w:r>
            <w:t>关于逾期债项的说明</w:t>
          </w:r>
        </w:p>
        <w:sdt>
          <w:sdtPr>
            <w:rPr>
              <w:rFonts w:hint="eastAsia"/>
            </w:rPr>
            <w:alias w:val="是否适用：关于逾期债项的说明 [双击切换]"/>
            <w:tag w:val="_GBC_66b418e5abd740418ffc74949497dc68"/>
            <w:id w:val="12591628"/>
            <w:lock w:val="sdtLocked"/>
          </w:sdtPr>
          <w:sdtEndPr/>
          <w:sdtContent>
            <w:p w14:paraId="7476E55D" w14:textId="77777777" w:rsidR="00B201D3" w:rsidRDefault="009855E8">
              <w:pPr>
                <w:pStyle w:val="390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04A15FA" w14:textId="77777777" w:rsidR="00B201D3" w:rsidRDefault="00C8327E">
          <w:pPr>
            <w:rPr>
              <w:rFonts w:cs="Times New Roman"/>
              <w:bCs/>
              <w:kern w:val="2"/>
            </w:rPr>
          </w:pPr>
        </w:p>
      </w:sdtContent>
    </w:sdt>
    <w:bookmarkEnd w:id="125" w:displacedByCustomXml="next"/>
    <w:bookmarkStart w:id="126" w:name="_Hlk74747153" w:displacedByCustomXml="next"/>
    <w:sdt>
      <w:sdtPr>
        <w:rPr>
          <w:rFonts w:ascii="宋体" w:hAnsi="宋体" w:cs="宋体"/>
          <w:b w:val="0"/>
          <w:bCs w:val="0"/>
          <w:kern w:val="0"/>
          <w:szCs w:val="24"/>
        </w:rPr>
        <w:alias w:val="模块:非金融企业债务融资工具发行人或投资者选择权条款、投资者保护条款的触发和执行情况"/>
        <w:tag w:val="_SEC_ee8ef2708a4c4a4bbfcdb7705ac59e4b"/>
        <w:id w:val="2066905875"/>
        <w:lock w:val="sdtLocked"/>
      </w:sdtPr>
      <w:sdtEndPr>
        <w:rPr>
          <w:szCs w:val="21"/>
        </w:rPr>
      </w:sdtEndPr>
      <w:sdtContent>
        <w:p w14:paraId="0539CE99" w14:textId="77777777" w:rsidR="00B201D3" w:rsidRDefault="009855E8">
          <w:pPr>
            <w:pStyle w:val="4"/>
            <w:numPr>
              <w:ilvl w:val="0"/>
              <w:numId w:val="42"/>
            </w:numPr>
            <w:rPr>
              <w:rFonts w:ascii="宋体" w:hAnsi="宋体" w:cs="宋体"/>
              <w:kern w:val="0"/>
              <w:szCs w:val="24"/>
            </w:rPr>
          </w:pPr>
          <w:r>
            <w:rPr>
              <w:rFonts w:ascii="宋体" w:hAnsi="宋体" w:cs="宋体" w:hint="eastAsia"/>
              <w:kern w:val="0"/>
              <w:szCs w:val="24"/>
            </w:rPr>
            <w:t>发行人或投资者选择权条款、投资者保护条款的触发和执行情况</w:t>
          </w:r>
        </w:p>
        <w:sdt>
          <w:sdtPr>
            <w:rPr>
              <w:rFonts w:cs="Times New Roman"/>
              <w:bCs/>
              <w:kern w:val="2"/>
            </w:rPr>
            <w:alias w:val="是否适用：发行人或投资者选择权条款、投资者保护条款的触发和执行情况[双击切换]"/>
            <w:tag w:val="_GBC_272e98a7f8184f1abf1274b7fb444f09"/>
            <w:id w:val="-296221758"/>
            <w:lock w:val="sdtLocked"/>
          </w:sdtPr>
          <w:sdtEndPr/>
          <w:sdtContent>
            <w:p w14:paraId="15B76E98" w14:textId="77777777" w:rsidR="00B201D3" w:rsidRDefault="009855E8">
              <w:pPr>
                <w:rPr>
                  <w:rFonts w:cs="Times New Roman"/>
                  <w:bCs/>
                  <w:kern w:val="2"/>
                </w:rPr>
              </w:pPr>
              <w:r>
                <w:rPr>
                  <w:rFonts w:cs="Times New Roman"/>
                  <w:bCs/>
                  <w:kern w:val="2"/>
                </w:rPr>
                <w:fldChar w:fldCharType="begin"/>
              </w:r>
              <w:r>
                <w:rPr>
                  <w:rFonts w:cs="Times New Roman"/>
                  <w:kern w:val="2"/>
                </w:rPr>
                <w:instrText xml:space="preserve"> MACROBUTTON  SnrToggleCheckbox □适用 </w:instrText>
              </w:r>
              <w:r>
                <w:rPr>
                  <w:rFonts w:cs="Times New Roman"/>
                  <w:bCs/>
                  <w:kern w:val="2"/>
                </w:rPr>
                <w:fldChar w:fldCharType="end"/>
              </w:r>
              <w:r>
                <w:rPr>
                  <w:rFonts w:cs="Times New Roman"/>
                  <w:bCs/>
                  <w:kern w:val="2"/>
                </w:rPr>
                <w:fldChar w:fldCharType="begin"/>
              </w:r>
              <w:r>
                <w:rPr>
                  <w:rFonts w:cs="Times New Roman"/>
                  <w:kern w:val="2"/>
                </w:rPr>
                <w:instrText xml:space="preserve"> MACROBUTTON  SnrToggleCheckbox √不适用 </w:instrText>
              </w:r>
              <w:r>
                <w:rPr>
                  <w:rFonts w:cs="Times New Roman"/>
                  <w:bCs/>
                  <w:kern w:val="2"/>
                </w:rPr>
                <w:fldChar w:fldCharType="end"/>
              </w:r>
            </w:p>
          </w:sdtContent>
        </w:sdt>
        <w:p w14:paraId="391A7ABC" w14:textId="77777777" w:rsidR="00B201D3" w:rsidRDefault="00C8327E">
          <w:pPr>
            <w:rPr>
              <w:rFonts w:cs="Times New Roman"/>
              <w:bCs/>
              <w:kern w:val="2"/>
            </w:rPr>
          </w:pPr>
        </w:p>
      </w:sdtContent>
    </w:sdt>
    <w:bookmarkEnd w:id="126" w:displacedByCustomXml="next"/>
    <w:bookmarkStart w:id="127" w:name="_Hlk105686306" w:displacedByCustomXml="next"/>
    <w:bookmarkStart w:id="128" w:name="_Hlk105762790" w:displacedByCustomXml="next"/>
    <w:sdt>
      <w:sdtPr>
        <w:rPr>
          <w:rFonts w:ascii="宋体" w:hAnsi="宋体" w:cs="宋体"/>
          <w:b w:val="0"/>
          <w:bCs w:val="0"/>
          <w:kern w:val="0"/>
          <w:szCs w:val="24"/>
        </w:rPr>
        <w:alias w:val="模块:企业债券信用评级结果调整情况"/>
        <w:tag w:val="_SEC_21c70a9f67594b1f943dc6ddb6783183"/>
        <w:id w:val="-1752583334"/>
        <w:lock w:val="sdtLocked"/>
      </w:sdtPr>
      <w:sdtEndPr>
        <w:rPr>
          <w:color w:val="000000" w:themeColor="text1"/>
          <w:szCs w:val="21"/>
        </w:rPr>
      </w:sdtEndPr>
      <w:sdtContent>
        <w:p w14:paraId="47E35D02" w14:textId="77777777" w:rsidR="00B201D3" w:rsidRDefault="009855E8">
          <w:pPr>
            <w:pStyle w:val="4"/>
            <w:numPr>
              <w:ilvl w:val="0"/>
              <w:numId w:val="42"/>
            </w:numPr>
            <w:tabs>
              <w:tab w:val="left" w:pos="360"/>
            </w:tabs>
            <w:ind w:left="425" w:hanging="425"/>
            <w:rPr>
              <w:rFonts w:ascii="宋体" w:hAnsi="宋体" w:cs="宋体"/>
              <w:kern w:val="0"/>
              <w:szCs w:val="24"/>
            </w:rPr>
          </w:pPr>
          <w:r>
            <w:rPr>
              <w:rFonts w:ascii="宋体" w:hAnsi="宋体" w:cs="宋体" w:hint="eastAsia"/>
              <w:kern w:val="0"/>
              <w:szCs w:val="24"/>
            </w:rPr>
            <w:t>信用评级结果调整情况</w:t>
          </w:r>
        </w:p>
        <w:sdt>
          <w:sdtPr>
            <w:rPr>
              <w:rFonts w:cs="Times New Roman" w:hint="eastAsia"/>
              <w:bCs/>
              <w:color w:val="000000" w:themeColor="text1"/>
              <w:kern w:val="2"/>
            </w:rPr>
            <w:alias w:val="是否适用：公司债券评级情况[双击切换]"/>
            <w:tag w:val="_GBC_bbc1fd646553402a82fb0612b4175686"/>
            <w:id w:val="-227147033"/>
            <w:lock w:val="sdtLocked"/>
          </w:sdtPr>
          <w:sdtEndPr/>
          <w:sdtContent>
            <w:p w14:paraId="7873DFFA" w14:textId="77777777" w:rsidR="00B201D3" w:rsidRDefault="009855E8">
              <w:pPr>
                <w:rPr>
                  <w:color w:val="000000" w:themeColor="text1"/>
                </w:rPr>
              </w:pPr>
              <w:r>
                <w:rPr>
                  <w:rFonts w:cs="Times New Roman"/>
                  <w:bCs/>
                  <w:color w:val="000000" w:themeColor="text1"/>
                  <w:kern w:val="2"/>
                </w:rPr>
                <w:fldChar w:fldCharType="begin"/>
              </w:r>
              <w:r>
                <w:rPr>
                  <w:rFonts w:cs="Times New Roman"/>
                  <w:color w:val="000000" w:themeColor="text1"/>
                  <w:kern w:val="2"/>
                </w:rPr>
                <w:instrText xml:space="preserve"> MACROBUTTON  SnrToggleCheckbox □适用 </w:instrText>
              </w:r>
              <w:r>
                <w:rPr>
                  <w:rFonts w:cs="Times New Roman"/>
                  <w:bCs/>
                  <w:color w:val="000000" w:themeColor="text1"/>
                  <w:kern w:val="2"/>
                </w:rPr>
                <w:fldChar w:fldCharType="end"/>
              </w:r>
              <w:r>
                <w:rPr>
                  <w:rFonts w:cs="Times New Roman"/>
                  <w:bCs/>
                  <w:color w:val="000000" w:themeColor="text1"/>
                  <w:kern w:val="2"/>
                </w:rPr>
                <w:fldChar w:fldCharType="begin"/>
              </w:r>
              <w:r>
                <w:rPr>
                  <w:rFonts w:cs="Times New Roman"/>
                  <w:color w:val="000000" w:themeColor="text1"/>
                  <w:kern w:val="2"/>
                </w:rPr>
                <w:instrText xml:space="preserve"> MACROBUTTON  SnrToggleCheckbox √不适用 </w:instrText>
              </w:r>
              <w:r>
                <w:rPr>
                  <w:rFonts w:cs="Times New Roman"/>
                  <w:bCs/>
                  <w:color w:val="000000" w:themeColor="text1"/>
                  <w:kern w:val="2"/>
                </w:rPr>
                <w:fldChar w:fldCharType="end"/>
              </w:r>
            </w:p>
          </w:sdtContent>
        </w:sdt>
      </w:sdtContent>
    </w:sdt>
    <w:bookmarkEnd w:id="127" w:displacedByCustomXml="next"/>
    <w:bookmarkStart w:id="129" w:name="_Hlk105686452" w:displacedByCustomXml="next"/>
    <w:sdt>
      <w:sdtPr>
        <w:rPr>
          <w:rFonts w:ascii="宋体" w:hAnsi="宋体" w:cs="宋体"/>
          <w:b w:val="0"/>
          <w:bCs w:val="0"/>
          <w:kern w:val="0"/>
          <w:szCs w:val="24"/>
        </w:rPr>
        <w:alias w:val="模块:企业债券_担保情况、偿债计划及其他偿债保障措施在报告期内的执行和变化情况及其影响"/>
        <w:tag w:val="_SEC_1787be1f0f6f4989a888633e99a258d5"/>
        <w:id w:val="-1025162869"/>
        <w:lock w:val="sdtLocked"/>
      </w:sdtPr>
      <w:sdtEndPr>
        <w:rPr>
          <w:color w:val="000000" w:themeColor="text1"/>
          <w:szCs w:val="21"/>
        </w:rPr>
      </w:sdtEndPr>
      <w:sdtContent>
        <w:p w14:paraId="10647A40" w14:textId="77777777" w:rsidR="00B201D3" w:rsidRDefault="009855E8">
          <w:pPr>
            <w:pStyle w:val="4"/>
            <w:numPr>
              <w:ilvl w:val="0"/>
              <w:numId w:val="42"/>
            </w:numPr>
            <w:tabs>
              <w:tab w:val="left" w:pos="360"/>
            </w:tabs>
            <w:ind w:left="425" w:hanging="425"/>
            <w:rPr>
              <w:rFonts w:ascii="宋体" w:hAnsi="宋体" w:cs="宋体"/>
              <w:kern w:val="0"/>
              <w:szCs w:val="24"/>
            </w:rPr>
          </w:pPr>
          <w:r>
            <w:rPr>
              <w:rFonts w:ascii="宋体" w:hAnsi="宋体" w:cs="宋体" w:hint="eastAsia"/>
              <w:kern w:val="0"/>
              <w:szCs w:val="24"/>
            </w:rPr>
            <w:t>担保情况、偿债计划及其他偿债保障措施在报告期内的执行和变化情况及其影响</w:t>
          </w:r>
        </w:p>
        <w:sdt>
          <w:sdtPr>
            <w:rPr>
              <w:rFonts w:cs="Times New Roman"/>
              <w:bCs/>
              <w:color w:val="000000" w:themeColor="text1"/>
              <w:kern w:val="2"/>
            </w:rPr>
            <w:alias w:val="是否适用：担保情况、偿债计划及其他偿债保障措施在报告期内的执行情况和变化情况及对债券投资者权益的影响[双击切换]"/>
            <w:tag w:val="_GBC_0e3aec2f88da46aaa1096da2686ba9be"/>
            <w:id w:val="-206262876"/>
            <w:lock w:val="sdtLocked"/>
          </w:sdtPr>
          <w:sdtEndPr/>
          <w:sdtContent>
            <w:p w14:paraId="79B2A99C" w14:textId="77777777" w:rsidR="00B201D3" w:rsidRDefault="009855E8">
              <w:pPr>
                <w:rPr>
                  <w:color w:val="000000" w:themeColor="text1"/>
                </w:rPr>
              </w:pPr>
              <w:r>
                <w:rPr>
                  <w:rFonts w:cs="Times New Roman"/>
                  <w:bCs/>
                  <w:color w:val="000000" w:themeColor="text1"/>
                  <w:kern w:val="2"/>
                </w:rPr>
                <w:fldChar w:fldCharType="begin"/>
              </w:r>
              <w:r>
                <w:rPr>
                  <w:rFonts w:cs="Times New Roman"/>
                  <w:color w:val="000000" w:themeColor="text1"/>
                  <w:kern w:val="2"/>
                </w:rPr>
                <w:instrText xml:space="preserve"> MACROBUTTON  SnrToggleCheckbox □适用 </w:instrText>
              </w:r>
              <w:r>
                <w:rPr>
                  <w:rFonts w:cs="Times New Roman"/>
                  <w:bCs/>
                  <w:color w:val="000000" w:themeColor="text1"/>
                  <w:kern w:val="2"/>
                </w:rPr>
                <w:fldChar w:fldCharType="end"/>
              </w:r>
              <w:r>
                <w:rPr>
                  <w:rFonts w:cs="Times New Roman"/>
                  <w:bCs/>
                  <w:color w:val="000000" w:themeColor="text1"/>
                  <w:kern w:val="2"/>
                </w:rPr>
                <w:fldChar w:fldCharType="begin"/>
              </w:r>
              <w:r>
                <w:rPr>
                  <w:rFonts w:cs="Times New Roman"/>
                  <w:color w:val="000000" w:themeColor="text1"/>
                  <w:kern w:val="2"/>
                </w:rPr>
                <w:instrText xml:space="preserve"> MACROBUTTON  SnrToggleCheckbox √不适用 </w:instrText>
              </w:r>
              <w:r>
                <w:rPr>
                  <w:rFonts w:cs="Times New Roman"/>
                  <w:bCs/>
                  <w:color w:val="000000" w:themeColor="text1"/>
                  <w:kern w:val="2"/>
                </w:rPr>
                <w:fldChar w:fldCharType="end"/>
              </w:r>
            </w:p>
          </w:sdtContent>
        </w:sdt>
      </w:sdtContent>
    </w:sdt>
    <w:bookmarkEnd w:id="129" w:displacedByCustomXml="next"/>
    <w:bookmarkStart w:id="130" w:name="_Hlk74747197" w:displacedByCustomXml="next"/>
    <w:sdt>
      <w:sdtPr>
        <w:rPr>
          <w:b/>
          <w:bCs/>
        </w:rPr>
        <w:alias w:val="模块:非金融企业债务融资工具担保情况、偿债计划及其他偿债保障措施在报告期内的执行和变化情况及其影响"/>
        <w:tag w:val="_SEC_96d3c49bcdff4a708e6cc02215c1760c"/>
        <w:id w:val="258725249"/>
        <w:lock w:val="sdtLocked"/>
      </w:sdtPr>
      <w:sdtEndPr>
        <w:rPr>
          <w:b w:val="0"/>
          <w:bCs w:val="0"/>
          <w:color w:val="000000" w:themeColor="text1"/>
        </w:rPr>
      </w:sdtEndPr>
      <w:sdtContent>
        <w:p w14:paraId="5621C6FF" w14:textId="77777777" w:rsidR="00B201D3" w:rsidRDefault="009855E8">
          <w:pPr>
            <w:pStyle w:val="3903"/>
          </w:pPr>
          <w:r>
            <w:rPr>
              <w:rFonts w:hint="eastAsia"/>
            </w:rPr>
            <w:t>其他说明</w:t>
          </w:r>
        </w:p>
        <w:sdt>
          <w:sdtPr>
            <w:rPr>
              <w:color w:val="000000" w:themeColor="text1"/>
            </w:rPr>
            <w:alias w:val="担保情况、偿债计划及其他偿债保障措施在报告期内的执行情况和变化情况及对债券投资者权益的影响"/>
            <w:tag w:val="_GBC_a38608f5e4ed4154888c9017d276a5a8"/>
            <w:id w:val="-1128090295"/>
            <w:lock w:val="sdtLocked"/>
          </w:sdtPr>
          <w:sdtEndPr/>
          <w:sdtContent>
            <w:p w14:paraId="68DC1241" w14:textId="77777777" w:rsidR="00B201D3" w:rsidRDefault="009855E8">
              <w:pPr>
                <w:rPr>
                  <w:color w:val="000000" w:themeColor="text1"/>
                </w:rPr>
              </w:pPr>
              <w:r>
                <w:rPr>
                  <w:rFonts w:hint="eastAsia"/>
                  <w:color w:val="000000" w:themeColor="text1"/>
                </w:rPr>
                <w:t>本公司所发行债务融资工具担保情况、偿债计划及其他偿债保障措施与募集说明书保持一致，报告期内未发生变化。</w:t>
              </w:r>
            </w:p>
          </w:sdtContent>
        </w:sdt>
        <w:p w14:paraId="5DB53DD9" w14:textId="77777777" w:rsidR="00B201D3" w:rsidRDefault="00C8327E">
          <w:pPr>
            <w:rPr>
              <w:color w:val="000000" w:themeColor="text1"/>
            </w:rPr>
          </w:pPr>
        </w:p>
      </w:sdtContent>
    </w:sdt>
    <w:bookmarkEnd w:id="130" w:displacedByCustomXml="next"/>
    <w:bookmarkEnd w:id="128" w:displacedByCustomXml="next"/>
    <w:sdt>
      <w:sdtPr>
        <w:rPr>
          <w:rFonts w:ascii="宋体" w:hAnsi="宋体" w:cs="宋体"/>
          <w:b w:val="0"/>
          <w:bCs w:val="0"/>
          <w:kern w:val="0"/>
          <w:szCs w:val="24"/>
        </w:rPr>
        <w:alias w:val="模块:非金融企业债务融资工具其他情况的说明"/>
        <w:tag w:val="_SEC_f9bf2c4fe6ff467498e3773fc0c13df6"/>
        <w:id w:val="1427228670"/>
        <w:lock w:val="sdtLocked"/>
      </w:sdtPr>
      <w:sdtEndPr>
        <w:rPr>
          <w:szCs w:val="21"/>
        </w:rPr>
      </w:sdtEndPr>
      <w:sdtContent>
        <w:p w14:paraId="0D129FCD" w14:textId="77777777" w:rsidR="00B201D3" w:rsidRDefault="009855E8">
          <w:pPr>
            <w:pStyle w:val="4"/>
            <w:numPr>
              <w:ilvl w:val="0"/>
              <w:numId w:val="42"/>
            </w:numPr>
            <w:rPr>
              <w:rFonts w:ascii="宋体" w:hAnsi="宋体" w:cs="宋体"/>
              <w:kern w:val="0"/>
              <w:szCs w:val="24"/>
            </w:rPr>
          </w:pPr>
          <w:r>
            <w:rPr>
              <w:rFonts w:ascii="宋体" w:hAnsi="宋体" w:cs="宋体"/>
              <w:kern w:val="0"/>
              <w:szCs w:val="24"/>
            </w:rPr>
            <w:t>非金融企业债务融资工具</w:t>
          </w:r>
          <w:r>
            <w:rPr>
              <w:rFonts w:ascii="宋体" w:hAnsi="宋体" w:cs="宋体" w:hint="eastAsia"/>
              <w:kern w:val="0"/>
              <w:szCs w:val="24"/>
            </w:rPr>
            <w:t>其他情况的说明</w:t>
          </w:r>
        </w:p>
        <w:sdt>
          <w:sdtPr>
            <w:rPr>
              <w:rFonts w:cs="Times New Roman"/>
              <w:bCs/>
              <w:kern w:val="2"/>
            </w:rPr>
            <w:alias w:val="是否适用：非金融企业债务融资工具其他情况的说明[双击切换]"/>
            <w:tag w:val="_GBC_1545a32f6e064f4ba4a6f6496d1c3fdc"/>
            <w:id w:val="749462015"/>
            <w:lock w:val="sdtLocked"/>
          </w:sdtPr>
          <w:sdtEndPr/>
          <w:sdtContent>
            <w:p w14:paraId="1E893984" w14:textId="77777777" w:rsidR="00B201D3" w:rsidRDefault="009855E8">
              <w:pPr>
                <w:rPr>
                  <w:rFonts w:cs="Times New Roman"/>
                  <w:bCs/>
                  <w:kern w:val="2"/>
                </w:rPr>
              </w:pPr>
              <w:r>
                <w:rPr>
                  <w:rFonts w:cs="Times New Roman"/>
                  <w:bCs/>
                  <w:kern w:val="2"/>
                </w:rPr>
                <w:fldChar w:fldCharType="begin"/>
              </w:r>
              <w:r>
                <w:rPr>
                  <w:rFonts w:cs="Times New Roman"/>
                  <w:kern w:val="2"/>
                </w:rPr>
                <w:instrText xml:space="preserve"> MACROBUTTON  SnrToggleCheckbox □适用 </w:instrText>
              </w:r>
              <w:r>
                <w:rPr>
                  <w:rFonts w:cs="Times New Roman"/>
                  <w:bCs/>
                  <w:kern w:val="2"/>
                </w:rPr>
                <w:fldChar w:fldCharType="end"/>
              </w:r>
              <w:r>
                <w:rPr>
                  <w:rFonts w:cs="Times New Roman"/>
                  <w:bCs/>
                  <w:kern w:val="2"/>
                </w:rPr>
                <w:fldChar w:fldCharType="begin"/>
              </w:r>
              <w:r>
                <w:rPr>
                  <w:rFonts w:cs="Times New Roman"/>
                  <w:kern w:val="2"/>
                </w:rPr>
                <w:instrText xml:space="preserve"> MACROBUTTON  SnrToggleCheckbox √不适用 </w:instrText>
              </w:r>
              <w:r>
                <w:rPr>
                  <w:rFonts w:cs="Times New Roman"/>
                  <w:bCs/>
                  <w:kern w:val="2"/>
                </w:rPr>
                <w:fldChar w:fldCharType="end"/>
              </w:r>
            </w:p>
          </w:sdtContent>
        </w:sdt>
        <w:p w14:paraId="11703FB8" w14:textId="77777777" w:rsidR="00B201D3" w:rsidRDefault="00C8327E">
          <w:pPr>
            <w:rPr>
              <w:rFonts w:cs="Times New Roman"/>
              <w:bCs/>
              <w:kern w:val="2"/>
            </w:rPr>
          </w:pPr>
        </w:p>
      </w:sdtContent>
    </w:sdt>
    <w:sdt>
      <w:sdtPr>
        <w:rPr>
          <w:rFonts w:ascii="宋体" w:hAnsi="宋体" w:cs="宋体"/>
          <w:b w:val="0"/>
          <w:bCs w:val="0"/>
          <w:kern w:val="0"/>
          <w:szCs w:val="24"/>
        </w:rPr>
        <w:alias w:val="模块:公司报告期内合并报表范围亏损超过上年末净资产10%亏损情..."/>
        <w:tag w:val="_SEC_53cb8a9927c84975874838d7d288b8eb"/>
        <w:id w:val="-1954552061"/>
        <w:lock w:val="sdtLocked"/>
      </w:sdtPr>
      <w:sdtEndPr>
        <w:rPr>
          <w:szCs w:val="21"/>
        </w:rPr>
      </w:sdtEndPr>
      <w:sdtContent>
        <w:p w14:paraId="1A492341" w14:textId="77777777" w:rsidR="00B201D3" w:rsidRDefault="009855E8">
          <w:pPr>
            <w:pStyle w:val="3"/>
            <w:numPr>
              <w:ilvl w:val="0"/>
              <w:numId w:val="40"/>
            </w:numPr>
            <w:rPr>
              <w:rFonts w:ascii="宋体" w:hAnsi="宋体"/>
            </w:rPr>
          </w:pPr>
          <w:r>
            <w:rPr>
              <w:rFonts w:ascii="宋体" w:hAnsi="宋体"/>
            </w:rPr>
            <w:t>公司报告期内合并报表范围亏损超过上年末净资产10%</w:t>
          </w:r>
        </w:p>
        <w:sdt>
          <w:sdtPr>
            <w:rPr>
              <w:rFonts w:cs="Times New Roman"/>
              <w:bCs/>
              <w:kern w:val="2"/>
            </w:rPr>
            <w:alias w:val="是否适用：公司报告期内合并报表范围亏损超过上年末净资产10% [双击切换]"/>
            <w:tag w:val="_GBC_ff0f2375ea374f0b8a9d7ba3ce91f6ae"/>
            <w:id w:val="-997198218"/>
            <w:lock w:val="sdtLocked"/>
          </w:sdtPr>
          <w:sdtEndPr/>
          <w:sdtContent>
            <w:p w14:paraId="02DA2AF1" w14:textId="77777777" w:rsidR="00B201D3" w:rsidRDefault="009855E8">
              <w:pPr>
                <w:adjustRightInd w:val="0"/>
                <w:snapToGrid w:val="0"/>
                <w:rPr>
                  <w:rFonts w:cs="Times New Roman"/>
                  <w:bCs/>
                  <w:kern w:val="2"/>
                </w:rPr>
              </w:pPr>
              <w:r>
                <w:rPr>
                  <w:rFonts w:cs="Times New Roman"/>
                  <w:bCs/>
                  <w:kern w:val="2"/>
                </w:rPr>
                <w:fldChar w:fldCharType="begin"/>
              </w:r>
              <w:r>
                <w:rPr>
                  <w:rFonts w:cs="Times New Roman"/>
                  <w:kern w:val="2"/>
                </w:rPr>
                <w:instrText xml:space="preserve"> MACROBUTTON  SnrToggleCheckbox □适用 </w:instrText>
              </w:r>
              <w:r>
                <w:rPr>
                  <w:rFonts w:cs="Times New Roman"/>
                  <w:bCs/>
                  <w:kern w:val="2"/>
                </w:rPr>
                <w:fldChar w:fldCharType="end"/>
              </w:r>
              <w:r>
                <w:rPr>
                  <w:rFonts w:cs="Times New Roman"/>
                  <w:bCs/>
                  <w:kern w:val="2"/>
                </w:rPr>
                <w:fldChar w:fldCharType="begin"/>
              </w:r>
              <w:r>
                <w:rPr>
                  <w:rFonts w:cs="Times New Roman"/>
                  <w:kern w:val="2"/>
                </w:rPr>
                <w:instrText xml:space="preserve"> MACROBUTTON  SnrToggleCheckbox √不适用 </w:instrText>
              </w:r>
              <w:r>
                <w:rPr>
                  <w:rFonts w:cs="Times New Roman"/>
                  <w:bCs/>
                  <w:kern w:val="2"/>
                </w:rPr>
                <w:fldChar w:fldCharType="end"/>
              </w:r>
            </w:p>
          </w:sdtContent>
        </w:sdt>
      </w:sdtContent>
    </w:sdt>
    <w:sdt>
      <w:sdtPr>
        <w:rPr>
          <w:rFonts w:ascii="宋体" w:hAnsi="宋体" w:cs="宋体" w:hint="eastAsia"/>
          <w:b w:val="0"/>
          <w:bCs w:val="0"/>
          <w:kern w:val="0"/>
          <w:szCs w:val="24"/>
        </w:rPr>
        <w:alias w:val="模块:截至报告期末公司近2年的会计数据和财务指标"/>
        <w:tag w:val="_SEC_9f3013bc6d4940f49cf3cfe39dab5a57"/>
        <w:id w:val="1299105592"/>
        <w:lock w:val="sdtLocked"/>
      </w:sdtPr>
      <w:sdtEndPr>
        <w:rPr>
          <w:szCs w:val="21"/>
        </w:rPr>
      </w:sdtEndPr>
      <w:sdtContent>
        <w:p w14:paraId="06AE071E" w14:textId="77777777" w:rsidR="00B201D3" w:rsidRDefault="009855E8">
          <w:pPr>
            <w:pStyle w:val="3"/>
            <w:numPr>
              <w:ilvl w:val="0"/>
              <w:numId w:val="40"/>
            </w:numPr>
            <w:rPr>
              <w:rFonts w:ascii="宋体" w:hAnsi="宋体"/>
            </w:rPr>
          </w:pPr>
          <w:r>
            <w:rPr>
              <w:rFonts w:ascii="宋体" w:hAnsi="宋体" w:cs="宋体" w:hint="eastAsia"/>
              <w:kern w:val="0"/>
              <w:szCs w:val="24"/>
            </w:rPr>
            <w:t>主要</w:t>
          </w:r>
          <w:r>
            <w:rPr>
              <w:rFonts w:ascii="宋体" w:hAnsi="宋体" w:hint="eastAsia"/>
            </w:rPr>
            <w:t>会计数据和</w:t>
          </w:r>
          <w:bookmarkStart w:id="131" w:name="_Hlk142637063"/>
          <w:r>
            <w:rPr>
              <w:rFonts w:ascii="宋体" w:hAnsi="宋体" w:hint="eastAsia"/>
            </w:rPr>
            <w:t>财务指标</w:t>
          </w:r>
          <w:r>
            <w:rPr>
              <w:rFonts w:ascii="宋体" w:hAnsi="宋体"/>
            </w:rPr>
            <w:t xml:space="preserve"> </w:t>
          </w:r>
        </w:p>
        <w:sdt>
          <w:sdtPr>
            <w:alias w:val="是否适用：截至报告期末和上年末（或本报告期和上年同期）下列会计数据和财务指标 [双击切换]"/>
            <w:tag w:val="_GBC_e1fb30558f9c454b8f3ba9e82315063f"/>
            <w:id w:val="-1137944391"/>
            <w:lock w:val="sdtLocked"/>
          </w:sdtPr>
          <w:sdtEndPr/>
          <w:sdtContent>
            <w:p w14:paraId="5D53B9C7" w14:textId="77777777" w:rsidR="00B201D3" w:rsidRDefault="009855E8">
              <w:pPr>
                <w:pStyle w:val="390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00AFABF" w14:textId="2175CC1D" w:rsidR="00B201D3" w:rsidRDefault="009855E8">
          <w:pPr>
            <w:jc w:val="right"/>
          </w:pPr>
          <w:r>
            <w:rPr>
              <w:rFonts w:hint="eastAsia"/>
            </w:rPr>
            <w:t>单位</w:t>
          </w:r>
          <w:r>
            <w:t>：</w:t>
          </w:r>
          <w:sdt>
            <w:sdtPr>
              <w:alias w:val="单位：财务附注：截至报告期末公司近2年的会计数据和财务指标"/>
              <w:tag w:val="_GBC_afc0f331fd4b47ce87ad91eec01d628d"/>
              <w:id w:val="291564611"/>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sidR="00F46283">
                <w:t>万元</w:t>
              </w:r>
            </w:sdtContent>
          </w:sdt>
          <w:r>
            <w:rPr>
              <w:rFonts w:hint="eastAsia"/>
            </w:rPr>
            <w:t xml:space="preserve">  币种</w:t>
          </w:r>
          <w:r>
            <w:t>：</w:t>
          </w:r>
          <w:sdt>
            <w:sdtPr>
              <w:alias w:val="币种：财务附注：截至报告期末公司近2年的会计数据和财务指标"/>
              <w:tag w:val="_GBC_17d60ed9196541edac6e74398e4722b2"/>
              <w:id w:val="91181951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sidR="00F46283">
                <w:t>人民币</w:t>
              </w:r>
            </w:sdtContent>
          </w:sdt>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8"/>
            <w:gridCol w:w="3022"/>
            <w:gridCol w:w="2920"/>
            <w:gridCol w:w="3103"/>
          </w:tblGrid>
          <w:tr w:rsidR="00B201D3" w14:paraId="173A0C40" w14:textId="77777777">
            <w:sdt>
              <w:sdtPr>
                <w:tag w:val="_PLD_d195a4fd0c8947ce9988f222f3a78dcb"/>
                <w:id w:val="-2110497095"/>
                <w:lock w:val="sdtLocked"/>
              </w:sdtPr>
              <w:sdtEndPr/>
              <w:sdtContent>
                <w:tc>
                  <w:tcPr>
                    <w:tcW w:w="1738" w:type="pct"/>
                    <w:vAlign w:val="center"/>
                  </w:tcPr>
                  <w:p w14:paraId="70425EC8" w14:textId="77777777" w:rsidR="00B201D3" w:rsidRDefault="009855E8">
                    <w:pPr>
                      <w:jc w:val="center"/>
                      <w:rPr>
                        <w:rFonts w:cs="Times New Roman"/>
                        <w:b/>
                        <w:bCs/>
                      </w:rPr>
                    </w:pPr>
                    <w:r>
                      <w:rPr>
                        <w:rFonts w:hint="eastAsia"/>
                      </w:rPr>
                      <w:t>主要指标</w:t>
                    </w:r>
                  </w:p>
                </w:tc>
              </w:sdtContent>
            </w:sdt>
            <w:sdt>
              <w:sdtPr>
                <w:tag w:val="_PLD_c7ed68982a194c52a3ba61882b189048"/>
                <w:id w:val="611790162"/>
                <w:lock w:val="sdtLocked"/>
              </w:sdtPr>
              <w:sdtEndPr/>
              <w:sdtContent>
                <w:tc>
                  <w:tcPr>
                    <w:tcW w:w="1090" w:type="pct"/>
                    <w:vAlign w:val="center"/>
                  </w:tcPr>
                  <w:p w14:paraId="3D3AFFFD" w14:textId="77777777" w:rsidR="00B201D3" w:rsidRDefault="009855E8">
                    <w:pPr>
                      <w:jc w:val="center"/>
                    </w:pPr>
                    <w:r>
                      <w:rPr>
                        <w:rFonts w:hint="eastAsia"/>
                      </w:rPr>
                      <w:t>本报告期末</w:t>
                    </w:r>
                  </w:p>
                </w:tc>
              </w:sdtContent>
            </w:sdt>
            <w:sdt>
              <w:sdtPr>
                <w:tag w:val="_PLD_47ecd04c8b4547359265315ddd51a277"/>
                <w:id w:val="-344329102"/>
                <w:lock w:val="sdtLocked"/>
              </w:sdtPr>
              <w:sdtEndPr/>
              <w:sdtContent>
                <w:tc>
                  <w:tcPr>
                    <w:tcW w:w="1053" w:type="pct"/>
                    <w:vAlign w:val="center"/>
                  </w:tcPr>
                  <w:p w14:paraId="1B7B64F4" w14:textId="77777777" w:rsidR="00B201D3" w:rsidRDefault="009855E8">
                    <w:pPr>
                      <w:jc w:val="center"/>
                    </w:pPr>
                    <w:r>
                      <w:rPr>
                        <w:rFonts w:hint="eastAsia"/>
                      </w:rPr>
                      <w:t>上年度末</w:t>
                    </w:r>
                  </w:p>
                </w:tc>
              </w:sdtContent>
            </w:sdt>
            <w:sdt>
              <w:sdtPr>
                <w:tag w:val="_PLD_d7987bdd020141d68b5e9af795a4bf39"/>
                <w:id w:val="466173867"/>
                <w:lock w:val="sdtLocked"/>
              </w:sdtPr>
              <w:sdtEndPr/>
              <w:sdtContent>
                <w:tc>
                  <w:tcPr>
                    <w:tcW w:w="1119" w:type="pct"/>
                    <w:vAlign w:val="center"/>
                  </w:tcPr>
                  <w:p w14:paraId="67DCA886" w14:textId="77777777" w:rsidR="00B201D3" w:rsidRDefault="009855E8">
                    <w:pPr>
                      <w:jc w:val="center"/>
                    </w:pPr>
                    <w:r>
                      <w:rPr>
                        <w:rFonts w:hint="eastAsia"/>
                      </w:rPr>
                      <w:t>本报告期末比上年度末增减（%）</w:t>
                    </w:r>
                  </w:p>
                </w:tc>
              </w:sdtContent>
            </w:sdt>
          </w:tr>
          <w:tr w:rsidR="00B201D3" w14:paraId="464CA500" w14:textId="77777777">
            <w:sdt>
              <w:sdtPr>
                <w:rPr>
                  <w:rFonts w:hint="eastAsia"/>
                </w:rPr>
                <w:tag w:val="_PLD_4177f3cf6f4849f8bb08b6d94373a325"/>
                <w:id w:val="-684208473"/>
                <w:lock w:val="sdtLocked"/>
              </w:sdtPr>
              <w:sdtEndPr/>
              <w:sdtContent>
                <w:tc>
                  <w:tcPr>
                    <w:tcW w:w="1738" w:type="pct"/>
                  </w:tcPr>
                  <w:p w14:paraId="28F4B87C" w14:textId="77777777" w:rsidR="00B201D3" w:rsidRDefault="009855E8">
                    <w:pPr>
                      <w:pStyle w:val="3903"/>
                    </w:pPr>
                    <w:r>
                      <w:rPr>
                        <w:rFonts w:hint="eastAsia"/>
                      </w:rPr>
                      <w:t>流动比率</w:t>
                    </w:r>
                  </w:p>
                </w:tc>
              </w:sdtContent>
            </w:sdt>
            <w:tc>
              <w:tcPr>
                <w:tcW w:w="1090" w:type="pct"/>
              </w:tcPr>
              <w:p w14:paraId="4F564097" w14:textId="77777777" w:rsidR="00B201D3" w:rsidRDefault="009855E8">
                <w:pPr>
                  <w:jc w:val="right"/>
                </w:pPr>
                <w:r>
                  <w:rPr>
                    <w:rFonts w:hint="eastAsia"/>
                  </w:rPr>
                  <w:t>0.99</w:t>
                </w:r>
              </w:p>
            </w:tc>
            <w:tc>
              <w:tcPr>
                <w:tcW w:w="1053" w:type="pct"/>
              </w:tcPr>
              <w:p w14:paraId="3AF8CF00" w14:textId="77777777" w:rsidR="00B201D3" w:rsidRPr="0069461D" w:rsidRDefault="009855E8">
                <w:pPr>
                  <w:jc w:val="right"/>
                </w:pPr>
                <w:r w:rsidRPr="0069461D">
                  <w:rPr>
                    <w:rFonts w:hint="eastAsia"/>
                  </w:rPr>
                  <w:t>1.06</w:t>
                </w:r>
              </w:p>
            </w:tc>
            <w:tc>
              <w:tcPr>
                <w:tcW w:w="1119" w:type="pct"/>
              </w:tcPr>
              <w:p w14:paraId="762A0D49" w14:textId="77777777" w:rsidR="00B201D3" w:rsidRPr="0069461D" w:rsidRDefault="009855E8">
                <w:pPr>
                  <w:jc w:val="right"/>
                </w:pPr>
                <w:r w:rsidRPr="0069461D">
                  <w:t>-6.60</w:t>
                </w:r>
              </w:p>
            </w:tc>
          </w:tr>
          <w:tr w:rsidR="00B201D3" w14:paraId="428C7A2B" w14:textId="77777777">
            <w:sdt>
              <w:sdtPr>
                <w:rPr>
                  <w:rFonts w:hint="eastAsia"/>
                </w:rPr>
                <w:tag w:val="_PLD_b787e366186540abb8f119f3907046d7"/>
                <w:id w:val="909275229"/>
                <w:lock w:val="sdtLocked"/>
              </w:sdtPr>
              <w:sdtEndPr/>
              <w:sdtContent>
                <w:tc>
                  <w:tcPr>
                    <w:tcW w:w="1738" w:type="pct"/>
                  </w:tcPr>
                  <w:p w14:paraId="0562D808" w14:textId="77777777" w:rsidR="00B201D3" w:rsidRDefault="009855E8">
                    <w:pPr>
                      <w:pStyle w:val="3903"/>
                    </w:pPr>
                    <w:r>
                      <w:rPr>
                        <w:rFonts w:hint="eastAsia"/>
                      </w:rPr>
                      <w:t>速动比率</w:t>
                    </w:r>
                  </w:p>
                </w:tc>
              </w:sdtContent>
            </w:sdt>
            <w:tc>
              <w:tcPr>
                <w:tcW w:w="1090" w:type="pct"/>
              </w:tcPr>
              <w:p w14:paraId="3C065504" w14:textId="77777777" w:rsidR="00B201D3" w:rsidRDefault="009855E8">
                <w:pPr>
                  <w:jc w:val="right"/>
                </w:pPr>
                <w:r>
                  <w:rPr>
                    <w:rFonts w:hint="eastAsia"/>
                  </w:rPr>
                  <w:t>0.87</w:t>
                </w:r>
              </w:p>
            </w:tc>
            <w:tc>
              <w:tcPr>
                <w:tcW w:w="1053" w:type="pct"/>
              </w:tcPr>
              <w:p w14:paraId="59F85770" w14:textId="77777777" w:rsidR="00B201D3" w:rsidRPr="0069461D" w:rsidRDefault="009855E8">
                <w:pPr>
                  <w:jc w:val="right"/>
                </w:pPr>
                <w:r w:rsidRPr="0069461D">
                  <w:rPr>
                    <w:rFonts w:hint="eastAsia"/>
                  </w:rPr>
                  <w:t>0.90</w:t>
                </w:r>
              </w:p>
            </w:tc>
            <w:tc>
              <w:tcPr>
                <w:tcW w:w="1119" w:type="pct"/>
              </w:tcPr>
              <w:p w14:paraId="273F4D7D" w14:textId="77777777" w:rsidR="00B201D3" w:rsidRPr="0069461D" w:rsidRDefault="009855E8">
                <w:pPr>
                  <w:jc w:val="right"/>
                </w:pPr>
                <w:r w:rsidRPr="0069461D">
                  <w:t>-3.33</w:t>
                </w:r>
              </w:p>
            </w:tc>
          </w:tr>
          <w:tr w:rsidR="00B201D3" w14:paraId="56649B54" w14:textId="77777777">
            <w:sdt>
              <w:sdtPr>
                <w:rPr>
                  <w:rFonts w:hint="eastAsia"/>
                </w:rPr>
                <w:tag w:val="_PLD_432ac5f4629b473a891520f926a7d73d"/>
                <w:id w:val="-178818741"/>
                <w:lock w:val="sdtLocked"/>
              </w:sdtPr>
              <w:sdtEndPr/>
              <w:sdtContent>
                <w:tc>
                  <w:tcPr>
                    <w:tcW w:w="1738" w:type="pct"/>
                  </w:tcPr>
                  <w:p w14:paraId="2237A195" w14:textId="77777777" w:rsidR="00B201D3" w:rsidRDefault="009855E8">
                    <w:pPr>
                      <w:pStyle w:val="3903"/>
                    </w:pPr>
                    <w:r>
                      <w:rPr>
                        <w:rFonts w:hint="eastAsia"/>
                      </w:rPr>
                      <w:t>资产负债率（%）</w:t>
                    </w:r>
                  </w:p>
                </w:tc>
              </w:sdtContent>
            </w:sdt>
            <w:tc>
              <w:tcPr>
                <w:tcW w:w="1090" w:type="pct"/>
              </w:tcPr>
              <w:p w14:paraId="4B3EA26D" w14:textId="77777777" w:rsidR="00B201D3" w:rsidRDefault="009855E8">
                <w:pPr>
                  <w:jc w:val="right"/>
                </w:pPr>
                <w:r>
                  <w:rPr>
                    <w:rFonts w:hint="eastAsia"/>
                  </w:rPr>
                  <w:t>61.75</w:t>
                </w:r>
              </w:p>
            </w:tc>
            <w:tc>
              <w:tcPr>
                <w:tcW w:w="1053" w:type="pct"/>
              </w:tcPr>
              <w:p w14:paraId="3CEA0C82" w14:textId="77777777" w:rsidR="00B201D3" w:rsidRPr="0069461D" w:rsidRDefault="009855E8">
                <w:pPr>
                  <w:jc w:val="right"/>
                </w:pPr>
                <w:r w:rsidRPr="0069461D">
                  <w:rPr>
                    <w:rFonts w:hint="eastAsia"/>
                  </w:rPr>
                  <w:t>56.75</w:t>
                </w:r>
              </w:p>
            </w:tc>
            <w:tc>
              <w:tcPr>
                <w:tcW w:w="1119" w:type="pct"/>
              </w:tcPr>
              <w:p w14:paraId="79EEBA0E" w14:textId="77777777" w:rsidR="00B201D3" w:rsidRPr="0069461D" w:rsidRDefault="009855E8">
                <w:pPr>
                  <w:jc w:val="right"/>
                </w:pPr>
                <w:r w:rsidRPr="0069461D">
                  <w:rPr>
                    <w:rFonts w:hint="eastAsia"/>
                  </w:rPr>
                  <w:t>增加5</w:t>
                </w:r>
                <w:r w:rsidRPr="0069461D">
                  <w:t>.01</w:t>
                </w:r>
                <w:r w:rsidRPr="0069461D">
                  <w:rPr>
                    <w:rFonts w:hint="eastAsia"/>
                  </w:rPr>
                  <w:t>个百分点</w:t>
                </w:r>
              </w:p>
            </w:tc>
          </w:tr>
          <w:tr w:rsidR="00B201D3" w14:paraId="79B0718D" w14:textId="77777777">
            <w:tc>
              <w:tcPr>
                <w:tcW w:w="1738" w:type="pct"/>
                <w:vAlign w:val="center"/>
              </w:tcPr>
              <w:p w14:paraId="6CA7C340" w14:textId="77777777" w:rsidR="00B201D3" w:rsidRDefault="00B201D3">
                <w:pPr>
                  <w:jc w:val="center"/>
                </w:pPr>
              </w:p>
            </w:tc>
            <w:sdt>
              <w:sdtPr>
                <w:tag w:val="_PLD_cd01cbf2064441c59f0d55273cf5edd8"/>
                <w:id w:val="-1610424058"/>
                <w:lock w:val="sdtLocked"/>
              </w:sdtPr>
              <w:sdtEndPr/>
              <w:sdtContent>
                <w:tc>
                  <w:tcPr>
                    <w:tcW w:w="1090" w:type="pct"/>
                    <w:vAlign w:val="center"/>
                  </w:tcPr>
                  <w:p w14:paraId="7AFA5101" w14:textId="77777777" w:rsidR="00B201D3" w:rsidRDefault="009855E8">
                    <w:pPr>
                      <w:kinsoku w:val="0"/>
                      <w:overflowPunct w:val="0"/>
                      <w:autoSpaceDE w:val="0"/>
                      <w:autoSpaceDN w:val="0"/>
                      <w:adjustRightInd w:val="0"/>
                      <w:snapToGrid w:val="0"/>
                      <w:jc w:val="center"/>
                    </w:pPr>
                    <w:r>
                      <w:rPr>
                        <w:rFonts w:hint="eastAsia"/>
                      </w:rPr>
                      <w:t>本报告期</w:t>
                    </w:r>
                  </w:p>
                  <w:p w14:paraId="70027CC9" w14:textId="77777777" w:rsidR="00B201D3" w:rsidRDefault="009855E8">
                    <w:pPr>
                      <w:jc w:val="center"/>
                    </w:pPr>
                    <w:r>
                      <w:rPr>
                        <w:rFonts w:hint="eastAsia"/>
                      </w:rPr>
                      <w:t>（1-6月）</w:t>
                    </w:r>
                  </w:p>
                </w:tc>
              </w:sdtContent>
            </w:sdt>
            <w:sdt>
              <w:sdtPr>
                <w:tag w:val="_PLD_d9f41572fdf9470db9c0bdb0e5965c99"/>
                <w:id w:val="145548890"/>
                <w:lock w:val="sdtLocked"/>
              </w:sdtPr>
              <w:sdtEndPr/>
              <w:sdtContent>
                <w:tc>
                  <w:tcPr>
                    <w:tcW w:w="1053" w:type="pct"/>
                    <w:vAlign w:val="center"/>
                  </w:tcPr>
                  <w:p w14:paraId="2A7A1ABD" w14:textId="77777777" w:rsidR="00B201D3" w:rsidRPr="0069461D" w:rsidRDefault="009855E8">
                    <w:pPr>
                      <w:jc w:val="center"/>
                    </w:pPr>
                    <w:r w:rsidRPr="0069461D">
                      <w:rPr>
                        <w:rFonts w:hint="eastAsia"/>
                      </w:rPr>
                      <w:t>上年同期</w:t>
                    </w:r>
                  </w:p>
                </w:tc>
              </w:sdtContent>
            </w:sdt>
            <w:sdt>
              <w:sdtPr>
                <w:tag w:val="_PLD_56d0ed11f2ac430eba65cfcf410fb79a"/>
                <w:id w:val="-2003416007"/>
                <w:lock w:val="sdtLocked"/>
              </w:sdtPr>
              <w:sdtEndPr/>
              <w:sdtContent>
                <w:tc>
                  <w:tcPr>
                    <w:tcW w:w="1119" w:type="pct"/>
                    <w:vAlign w:val="center"/>
                  </w:tcPr>
                  <w:p w14:paraId="296097E8" w14:textId="77777777" w:rsidR="00B201D3" w:rsidRPr="0069461D" w:rsidRDefault="009855E8">
                    <w:pPr>
                      <w:jc w:val="center"/>
                    </w:pPr>
                    <w:r w:rsidRPr="0069461D">
                      <w:t>本报告期比上年同期增减(%)</w:t>
                    </w:r>
                  </w:p>
                </w:tc>
              </w:sdtContent>
            </w:sdt>
          </w:tr>
          <w:tr w:rsidR="00B201D3" w14:paraId="456E0181" w14:textId="77777777">
            <w:trPr>
              <w:trHeight w:val="275"/>
            </w:trPr>
            <w:tc>
              <w:tcPr>
                <w:tcW w:w="1738" w:type="pct"/>
              </w:tcPr>
              <w:sdt>
                <w:sdtPr>
                  <w:tag w:val="_PLD_2f9bbaf519d7471f8b1718ca1201bfc5"/>
                  <w:id w:val="1757173958"/>
                  <w:lock w:val="sdtLocked"/>
                </w:sdtPr>
                <w:sdtEndPr/>
                <w:sdtContent>
                  <w:p w14:paraId="01011900" w14:textId="77777777" w:rsidR="00B201D3" w:rsidRDefault="009855E8">
                    <w:pPr>
                      <w:pStyle w:val="3903"/>
                    </w:pPr>
                    <w:r>
                      <w:t>扣除非经常性损益后净利润</w:t>
                    </w:r>
                  </w:p>
                </w:sdtContent>
              </w:sdt>
            </w:tc>
            <w:tc>
              <w:tcPr>
                <w:tcW w:w="1090" w:type="pct"/>
              </w:tcPr>
              <w:p w14:paraId="2228C255" w14:textId="77777777" w:rsidR="00B201D3" w:rsidRDefault="009855E8">
                <w:pPr>
                  <w:jc w:val="right"/>
                </w:pPr>
                <w:r>
                  <w:t>1,004,937</w:t>
                </w:r>
              </w:p>
            </w:tc>
            <w:tc>
              <w:tcPr>
                <w:tcW w:w="1053" w:type="pct"/>
              </w:tcPr>
              <w:p w14:paraId="10B40C9A" w14:textId="77777777" w:rsidR="00B201D3" w:rsidRPr="0069461D" w:rsidRDefault="009855E8">
                <w:pPr>
                  <w:jc w:val="right"/>
                </w:pPr>
                <w:r w:rsidRPr="0069461D">
                  <w:t>1,783,858</w:t>
                </w:r>
              </w:p>
            </w:tc>
            <w:tc>
              <w:tcPr>
                <w:tcW w:w="1119" w:type="pct"/>
              </w:tcPr>
              <w:p w14:paraId="66542721" w14:textId="59B3A987" w:rsidR="00B201D3" w:rsidRPr="0069461D" w:rsidRDefault="009855E8">
                <w:pPr>
                  <w:jc w:val="right"/>
                </w:pPr>
                <w:r w:rsidRPr="0069461D">
                  <w:t>-43.66</w:t>
                </w:r>
              </w:p>
            </w:tc>
          </w:tr>
          <w:tr w:rsidR="00B201D3" w14:paraId="4720F9C1" w14:textId="77777777">
            <w:tc>
              <w:tcPr>
                <w:tcW w:w="1738" w:type="pct"/>
              </w:tcPr>
              <w:sdt>
                <w:sdtPr>
                  <w:tag w:val="_PLD_569b53edd23745689349d8e78614dfaa"/>
                  <w:id w:val="-41374934"/>
                  <w:lock w:val="sdtLocked"/>
                </w:sdtPr>
                <w:sdtEndPr/>
                <w:sdtContent>
                  <w:p w14:paraId="283C9239" w14:textId="77777777" w:rsidR="00B201D3" w:rsidRDefault="009855E8">
                    <w:pPr>
                      <w:pStyle w:val="3903"/>
                    </w:pPr>
                    <w:r>
                      <w:t>EBITDA全部债务比</w:t>
                    </w:r>
                  </w:p>
                </w:sdtContent>
              </w:sdt>
            </w:tc>
            <w:tc>
              <w:tcPr>
                <w:tcW w:w="1090" w:type="pct"/>
              </w:tcPr>
              <w:p w14:paraId="36C25ED0" w14:textId="77777777" w:rsidR="00B201D3" w:rsidRDefault="009855E8">
                <w:pPr>
                  <w:jc w:val="right"/>
                </w:pPr>
                <w:r>
                  <w:t xml:space="preserve">4.01 </w:t>
                </w:r>
              </w:p>
            </w:tc>
            <w:tc>
              <w:tcPr>
                <w:tcW w:w="1053" w:type="pct"/>
              </w:tcPr>
              <w:p w14:paraId="59BC1DB0" w14:textId="77777777" w:rsidR="00B201D3" w:rsidRPr="0069461D" w:rsidRDefault="009855E8">
                <w:pPr>
                  <w:jc w:val="right"/>
                </w:pPr>
                <w:r w:rsidRPr="0069461D">
                  <w:t>2.70</w:t>
                </w:r>
              </w:p>
            </w:tc>
            <w:tc>
              <w:tcPr>
                <w:tcW w:w="1119" w:type="pct"/>
              </w:tcPr>
              <w:p w14:paraId="20CBD7C2" w14:textId="77777777" w:rsidR="00B201D3" w:rsidRPr="0069461D" w:rsidRDefault="009855E8">
                <w:pPr>
                  <w:jc w:val="right"/>
                </w:pPr>
                <w:r w:rsidRPr="0069461D">
                  <w:t>48.52</w:t>
                </w:r>
              </w:p>
            </w:tc>
          </w:tr>
          <w:tr w:rsidR="00B201D3" w14:paraId="520FE8ED" w14:textId="77777777">
            <w:trPr>
              <w:trHeight w:val="275"/>
            </w:trPr>
            <w:tc>
              <w:tcPr>
                <w:tcW w:w="1738" w:type="pct"/>
              </w:tcPr>
              <w:sdt>
                <w:sdtPr>
                  <w:tag w:val="_PLD_895a8b19c0454c66b5dda4a41b56a53e"/>
                  <w:id w:val="-825202616"/>
                  <w:lock w:val="sdtLocked"/>
                </w:sdtPr>
                <w:sdtEndPr/>
                <w:sdtContent>
                  <w:p w14:paraId="571A3781" w14:textId="77777777" w:rsidR="00B201D3" w:rsidRDefault="009855E8">
                    <w:pPr>
                      <w:pStyle w:val="3903"/>
                    </w:pPr>
                    <w:r>
                      <w:t>利息保障倍数</w:t>
                    </w:r>
                  </w:p>
                </w:sdtContent>
              </w:sdt>
            </w:tc>
            <w:tc>
              <w:tcPr>
                <w:tcW w:w="1090" w:type="pct"/>
              </w:tcPr>
              <w:p w14:paraId="23D03A43" w14:textId="77777777" w:rsidR="00B201D3" w:rsidRDefault="009855E8">
                <w:pPr>
                  <w:jc w:val="right"/>
                </w:pPr>
                <w:r>
                  <w:t xml:space="preserve">9.90 </w:t>
                </w:r>
              </w:p>
            </w:tc>
            <w:tc>
              <w:tcPr>
                <w:tcW w:w="1053" w:type="pct"/>
              </w:tcPr>
              <w:p w14:paraId="0657F37C" w14:textId="77777777" w:rsidR="00B201D3" w:rsidRPr="0069461D" w:rsidRDefault="009855E8">
                <w:pPr>
                  <w:jc w:val="right"/>
                </w:pPr>
                <w:r w:rsidRPr="0069461D">
                  <w:t>13.68</w:t>
                </w:r>
              </w:p>
            </w:tc>
            <w:tc>
              <w:tcPr>
                <w:tcW w:w="1119" w:type="pct"/>
              </w:tcPr>
              <w:p w14:paraId="77249909" w14:textId="77777777" w:rsidR="00B201D3" w:rsidRPr="0069461D" w:rsidRDefault="009855E8">
                <w:pPr>
                  <w:jc w:val="right"/>
                </w:pPr>
                <w:r w:rsidRPr="0069461D">
                  <w:t>-27.63</w:t>
                </w:r>
              </w:p>
            </w:tc>
          </w:tr>
          <w:tr w:rsidR="00B201D3" w14:paraId="718EF72F" w14:textId="77777777">
            <w:trPr>
              <w:trHeight w:val="275"/>
            </w:trPr>
            <w:tc>
              <w:tcPr>
                <w:tcW w:w="1738" w:type="pct"/>
              </w:tcPr>
              <w:sdt>
                <w:sdtPr>
                  <w:tag w:val="_PLD_9e76937ddcca4df388abd237c4f6e534"/>
                  <w:id w:val="-612061572"/>
                  <w:lock w:val="sdtLocked"/>
                </w:sdtPr>
                <w:sdtEndPr/>
                <w:sdtContent>
                  <w:p w14:paraId="4767B346" w14:textId="77777777" w:rsidR="00B201D3" w:rsidRDefault="009855E8">
                    <w:pPr>
                      <w:pStyle w:val="3903"/>
                    </w:pPr>
                    <w:r>
                      <w:t>现金利息保障倍数</w:t>
                    </w:r>
                  </w:p>
                </w:sdtContent>
              </w:sdt>
            </w:tc>
            <w:tc>
              <w:tcPr>
                <w:tcW w:w="1090" w:type="pct"/>
              </w:tcPr>
              <w:p w14:paraId="705562D6" w14:textId="77777777" w:rsidR="00B201D3" w:rsidRDefault="009855E8">
                <w:pPr>
                  <w:jc w:val="right"/>
                </w:pPr>
                <w:r>
                  <w:t xml:space="preserve">5.63 </w:t>
                </w:r>
              </w:p>
            </w:tc>
            <w:tc>
              <w:tcPr>
                <w:tcW w:w="1053" w:type="pct"/>
              </w:tcPr>
              <w:p w14:paraId="16BDA6DA" w14:textId="77777777" w:rsidR="00B201D3" w:rsidRPr="0069461D" w:rsidRDefault="009855E8">
                <w:pPr>
                  <w:jc w:val="right"/>
                </w:pPr>
                <w:r w:rsidRPr="0069461D">
                  <w:t>5.72</w:t>
                </w:r>
              </w:p>
            </w:tc>
            <w:tc>
              <w:tcPr>
                <w:tcW w:w="1119" w:type="pct"/>
              </w:tcPr>
              <w:p w14:paraId="04B6BD75" w14:textId="77777777" w:rsidR="00B201D3" w:rsidRPr="0069461D" w:rsidRDefault="009855E8">
                <w:pPr>
                  <w:jc w:val="right"/>
                </w:pPr>
                <w:r w:rsidRPr="0069461D">
                  <w:t>-1.50</w:t>
                </w:r>
              </w:p>
            </w:tc>
          </w:tr>
          <w:tr w:rsidR="00B201D3" w14:paraId="08C617D9" w14:textId="77777777">
            <w:trPr>
              <w:trHeight w:val="275"/>
            </w:trPr>
            <w:sdt>
              <w:sdtPr>
                <w:tag w:val="_PLD_bccf7ac01f4d434baa485db49ed2cd18"/>
                <w:id w:val="704458257"/>
                <w:lock w:val="sdtLocked"/>
              </w:sdtPr>
              <w:sdtEndPr/>
              <w:sdtContent>
                <w:tc>
                  <w:tcPr>
                    <w:tcW w:w="1738" w:type="pct"/>
                  </w:tcPr>
                  <w:p w14:paraId="14ADC36F" w14:textId="77777777" w:rsidR="00B201D3" w:rsidRDefault="009855E8">
                    <w:pPr>
                      <w:pStyle w:val="3903"/>
                    </w:pPr>
                    <w:r>
                      <w:t>EBITDA利息保障倍数</w:t>
                    </w:r>
                  </w:p>
                </w:tc>
              </w:sdtContent>
            </w:sdt>
            <w:tc>
              <w:tcPr>
                <w:tcW w:w="1090" w:type="pct"/>
              </w:tcPr>
              <w:p w14:paraId="692F2874" w14:textId="77777777" w:rsidR="00B201D3" w:rsidRDefault="009855E8">
                <w:pPr>
                  <w:jc w:val="right"/>
                </w:pPr>
                <w:r>
                  <w:t xml:space="preserve">14.33 </w:t>
                </w:r>
              </w:p>
            </w:tc>
            <w:tc>
              <w:tcPr>
                <w:tcW w:w="1053" w:type="pct"/>
              </w:tcPr>
              <w:p w14:paraId="512FCDA5" w14:textId="77777777" w:rsidR="00B201D3" w:rsidRPr="0069461D" w:rsidRDefault="009855E8">
                <w:pPr>
                  <w:jc w:val="right"/>
                </w:pPr>
                <w:r w:rsidRPr="0069461D">
                  <w:t>16.76</w:t>
                </w:r>
              </w:p>
            </w:tc>
            <w:tc>
              <w:tcPr>
                <w:tcW w:w="1119" w:type="pct"/>
              </w:tcPr>
              <w:p w14:paraId="31F1152C" w14:textId="77777777" w:rsidR="00B201D3" w:rsidRPr="0069461D" w:rsidRDefault="009855E8">
                <w:pPr>
                  <w:jc w:val="right"/>
                </w:pPr>
                <w:r w:rsidRPr="0069461D">
                  <w:t>-14.50</w:t>
                </w:r>
              </w:p>
            </w:tc>
          </w:tr>
          <w:tr w:rsidR="00B201D3" w14:paraId="43BEB8F2" w14:textId="77777777">
            <w:sdt>
              <w:sdtPr>
                <w:tag w:val="_PLD_71161f8aa3fa4dd0a9227db7b69ebf12"/>
                <w:id w:val="-1570723953"/>
                <w:lock w:val="sdtLocked"/>
              </w:sdtPr>
              <w:sdtEndPr/>
              <w:sdtContent>
                <w:tc>
                  <w:tcPr>
                    <w:tcW w:w="1738" w:type="pct"/>
                  </w:tcPr>
                  <w:p w14:paraId="328D91A9" w14:textId="77777777" w:rsidR="00B201D3" w:rsidRDefault="009855E8">
                    <w:pPr>
                      <w:pStyle w:val="3903"/>
                    </w:pPr>
                    <w:r>
                      <w:rPr>
                        <w:rFonts w:hint="eastAsia"/>
                      </w:rPr>
                      <w:t>贷款偿还率（%）</w:t>
                    </w:r>
                  </w:p>
                </w:tc>
              </w:sdtContent>
            </w:sdt>
            <w:tc>
              <w:tcPr>
                <w:tcW w:w="1090" w:type="pct"/>
              </w:tcPr>
              <w:p w14:paraId="7C19D236" w14:textId="77777777" w:rsidR="00B201D3" w:rsidRDefault="009855E8">
                <w:pPr>
                  <w:jc w:val="right"/>
                </w:pPr>
                <w:r>
                  <w:rPr>
                    <w:rFonts w:hint="eastAsia"/>
                  </w:rPr>
                  <w:t>100</w:t>
                </w:r>
              </w:p>
            </w:tc>
            <w:tc>
              <w:tcPr>
                <w:tcW w:w="1053" w:type="pct"/>
              </w:tcPr>
              <w:p w14:paraId="05A26F4F" w14:textId="77777777" w:rsidR="00B201D3" w:rsidRPr="0069461D" w:rsidRDefault="009855E8">
                <w:pPr>
                  <w:jc w:val="right"/>
                </w:pPr>
                <w:r w:rsidRPr="0069461D">
                  <w:rPr>
                    <w:rFonts w:hint="eastAsia"/>
                  </w:rPr>
                  <w:t>1</w:t>
                </w:r>
                <w:r w:rsidRPr="0069461D">
                  <w:t>00</w:t>
                </w:r>
              </w:p>
            </w:tc>
            <w:tc>
              <w:tcPr>
                <w:tcW w:w="1119" w:type="pct"/>
              </w:tcPr>
              <w:p w14:paraId="4394EFC2" w14:textId="77777777" w:rsidR="00B201D3" w:rsidRPr="0069461D" w:rsidRDefault="009855E8">
                <w:pPr>
                  <w:jc w:val="right"/>
                </w:pPr>
                <w:r w:rsidRPr="0069461D">
                  <w:rPr>
                    <w:rFonts w:hint="eastAsia"/>
                  </w:rPr>
                  <w:t>-</w:t>
                </w:r>
              </w:p>
            </w:tc>
          </w:tr>
          <w:tr w:rsidR="00B201D3" w14:paraId="398C57F2" w14:textId="77777777">
            <w:sdt>
              <w:sdtPr>
                <w:tag w:val="_PLD_078136c2ae4b45de8464e961cd743a59"/>
                <w:id w:val="-2126683839"/>
                <w:lock w:val="sdtLocked"/>
              </w:sdtPr>
              <w:sdtEndPr/>
              <w:sdtContent>
                <w:tc>
                  <w:tcPr>
                    <w:tcW w:w="1738" w:type="pct"/>
                  </w:tcPr>
                  <w:p w14:paraId="06CA0318" w14:textId="77777777" w:rsidR="00B201D3" w:rsidRDefault="009855E8">
                    <w:pPr>
                      <w:pStyle w:val="3903"/>
                    </w:pPr>
                    <w:r>
                      <w:rPr>
                        <w:rFonts w:hint="eastAsia"/>
                      </w:rPr>
                      <w:t>利息偿付率（%）</w:t>
                    </w:r>
                  </w:p>
                </w:tc>
              </w:sdtContent>
            </w:sdt>
            <w:tc>
              <w:tcPr>
                <w:tcW w:w="1090" w:type="pct"/>
              </w:tcPr>
              <w:p w14:paraId="0EE567C5" w14:textId="77777777" w:rsidR="00B201D3" w:rsidRDefault="009855E8">
                <w:pPr>
                  <w:jc w:val="right"/>
                </w:pPr>
                <w:r>
                  <w:rPr>
                    <w:rFonts w:hint="eastAsia"/>
                  </w:rPr>
                  <w:t>100</w:t>
                </w:r>
              </w:p>
            </w:tc>
            <w:tc>
              <w:tcPr>
                <w:tcW w:w="1053" w:type="pct"/>
              </w:tcPr>
              <w:p w14:paraId="11CA9EF3" w14:textId="77777777" w:rsidR="00B201D3" w:rsidRPr="0069461D" w:rsidRDefault="009855E8">
                <w:pPr>
                  <w:jc w:val="right"/>
                </w:pPr>
                <w:r w:rsidRPr="0069461D">
                  <w:rPr>
                    <w:rFonts w:hint="eastAsia"/>
                  </w:rPr>
                  <w:t>1</w:t>
                </w:r>
                <w:r w:rsidRPr="0069461D">
                  <w:t>00</w:t>
                </w:r>
              </w:p>
            </w:tc>
            <w:tc>
              <w:tcPr>
                <w:tcW w:w="1119" w:type="pct"/>
              </w:tcPr>
              <w:p w14:paraId="25409477" w14:textId="77777777" w:rsidR="00B201D3" w:rsidRPr="0069461D" w:rsidRDefault="009855E8">
                <w:pPr>
                  <w:jc w:val="right"/>
                </w:pPr>
                <w:r w:rsidRPr="0069461D">
                  <w:rPr>
                    <w:rFonts w:hint="eastAsia"/>
                  </w:rPr>
                  <w:t>-</w:t>
                </w:r>
              </w:p>
            </w:tc>
          </w:tr>
        </w:tbl>
        <w:p w14:paraId="5816BA07" w14:textId="77777777" w:rsidR="00B201D3" w:rsidRDefault="00C8327E">
          <w:pPr>
            <w:pStyle w:val="3903"/>
          </w:pPr>
        </w:p>
      </w:sdtContent>
    </w:sdt>
    <w:bookmarkEnd w:id="131"/>
    <w:p w14:paraId="7AEB7395" w14:textId="77777777" w:rsidR="00B201D3" w:rsidRDefault="009855E8">
      <w:pPr>
        <w:pStyle w:val="2"/>
        <w:numPr>
          <w:ilvl w:val="0"/>
          <w:numId w:val="39"/>
        </w:numPr>
        <w:ind w:firstLineChars="0"/>
        <w:rPr>
          <w:rFonts w:ascii="宋体" w:hAnsi="宋体"/>
        </w:rPr>
      </w:pPr>
      <w:r>
        <w:rPr>
          <w:rFonts w:ascii="宋体" w:hAnsi="宋体" w:hint="eastAsia"/>
        </w:rPr>
        <w:t>可转换公司债券情况</w:t>
      </w:r>
    </w:p>
    <w:sdt>
      <w:sdtPr>
        <w:alias w:val="是否适用：可转换公司债券情况[双击切换]"/>
        <w:tag w:val="_GBC_6a49e99841294af3b87ba6216b1997d9"/>
        <w:id w:val="627448647"/>
        <w:lock w:val="sdtLocked"/>
        <w:placeholder>
          <w:docPart w:val="GBC22222222222222222222222222222"/>
        </w:placeholder>
      </w:sdtPr>
      <w:sdtEndPr/>
      <w:sdtContent>
        <w:p w14:paraId="35BE218D" w14:textId="77777777" w:rsidR="00B201D3" w:rsidRDefault="009855E8">
          <w:pPr>
            <w:pStyle w:val="390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114"/>
    <w:p w14:paraId="5A19F2F7" w14:textId="77777777" w:rsidR="00B201D3" w:rsidRDefault="00B201D3">
      <w:pPr>
        <w:sectPr w:rsidR="00B201D3">
          <w:pgSz w:w="16838" w:h="11906" w:orient="landscape"/>
          <w:pgMar w:top="1797" w:right="1525" w:bottom="1276" w:left="1440" w:header="851" w:footer="992" w:gutter="0"/>
          <w:cols w:space="425"/>
          <w:docGrid w:type="lines" w:linePitch="312"/>
        </w:sectPr>
      </w:pPr>
    </w:p>
    <w:p w14:paraId="316B43F3" w14:textId="77777777" w:rsidR="007E7472" w:rsidRPr="00132B90" w:rsidRDefault="00EC1269" w:rsidP="007E7472">
      <w:pPr>
        <w:pStyle w:val="1"/>
        <w:numPr>
          <w:ilvl w:val="0"/>
          <w:numId w:val="2"/>
        </w:numPr>
        <w:rPr>
          <w:rFonts w:ascii="黑体" w:hAnsi="黑体"/>
          <w:bCs w:val="0"/>
          <w:szCs w:val="28"/>
        </w:rPr>
      </w:pPr>
      <w:bookmarkStart w:id="132" w:name="_Toc139552152"/>
      <w:r w:rsidRPr="00132B90">
        <w:rPr>
          <w:rFonts w:ascii="黑体" w:hAnsi="黑体"/>
          <w:szCs w:val="28"/>
        </w:rPr>
        <w:lastRenderedPageBreak/>
        <w:t>财务报告</w:t>
      </w:r>
      <w:bookmarkEnd w:id="132"/>
    </w:p>
    <w:sdt>
      <w:sdtPr>
        <w:rPr>
          <w:rFonts w:ascii="宋体" w:hAnsi="宋体" w:cs="宋体" w:hint="eastAsia"/>
          <w:b w:val="0"/>
          <w:bCs w:val="0"/>
          <w:kern w:val="0"/>
          <w:sz w:val="20"/>
          <w:szCs w:val="24"/>
        </w:rPr>
        <w:alias w:val="模块:审计报告"/>
        <w:tag w:val="_GBC_3c4b7d00409449a2b71d41277e7bd042"/>
        <w:id w:val="1429543410"/>
        <w:lock w:val="sdtLocked"/>
        <w:placeholder>
          <w:docPart w:val="GBC22222222222222222222222222222"/>
        </w:placeholder>
      </w:sdtPr>
      <w:sdtEndPr>
        <w:rPr>
          <w:szCs w:val="21"/>
        </w:rPr>
      </w:sdtEndPr>
      <w:sdtContent>
        <w:p w14:paraId="7B1A9A10" w14:textId="62C45FA0" w:rsidR="007E7472" w:rsidRPr="002D2B09" w:rsidRDefault="00EC1269" w:rsidP="00162493">
          <w:pPr>
            <w:pStyle w:val="2"/>
            <w:numPr>
              <w:ilvl w:val="0"/>
              <w:numId w:val="43"/>
            </w:numPr>
            <w:ind w:firstLineChars="0"/>
            <w:rPr>
              <w:bCs w:val="0"/>
            </w:rPr>
          </w:pPr>
          <w:r w:rsidRPr="002D2B09">
            <w:rPr>
              <w:rFonts w:hint="eastAsia"/>
              <w:bCs w:val="0"/>
            </w:rPr>
            <w:t>审计报告</w:t>
          </w:r>
        </w:p>
        <w:sdt>
          <w:sdtPr>
            <w:alias w:val="是否适用：审计报告[双击切换]"/>
            <w:tag w:val="_GBC_33dac3baf6634fba91e3026ebaaad280"/>
            <w:id w:val="-1274484652"/>
            <w:lock w:val="sdtLocked"/>
            <w:placeholder>
              <w:docPart w:val="GBC22222222222222222222222222222"/>
            </w:placeholder>
          </w:sdtPr>
          <w:sdtEndPr/>
          <w:sdtContent>
            <w:p w14:paraId="46956161" w14:textId="77777777" w:rsidR="007E7472" w:rsidRDefault="00EC1269">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Content>
    </w:sdt>
    <w:p w14:paraId="6BC5B2F5" w14:textId="77777777" w:rsidR="007E7472" w:rsidRDefault="00C8327E"/>
    <w:p w14:paraId="1A6F505A" w14:textId="77777777" w:rsidR="007E7472" w:rsidRPr="009D036F" w:rsidRDefault="00EC1269" w:rsidP="00162493">
      <w:pPr>
        <w:pStyle w:val="2"/>
        <w:numPr>
          <w:ilvl w:val="0"/>
          <w:numId w:val="43"/>
        </w:numPr>
        <w:ind w:firstLineChars="0"/>
        <w:rPr>
          <w:rFonts w:ascii="宋体" w:hAnsi="宋体"/>
        </w:rPr>
      </w:pPr>
      <w:r w:rsidRPr="009D036F">
        <w:rPr>
          <w:rFonts w:ascii="宋体" w:hAnsi="宋体" w:hint="eastAsia"/>
        </w:rPr>
        <w:t>财务报表</w:t>
      </w:r>
    </w:p>
    <w:bookmarkStart w:id="133" w:name="_Hlk10208794" w:displacedByCustomXml="next"/>
    <w:sdt>
      <w:sdtPr>
        <w:rPr>
          <w:rFonts w:ascii="宋体" w:hAnsi="宋体" w:cs="宋体"/>
          <w:b w:val="0"/>
          <w:bCs w:val="0"/>
          <w:kern w:val="0"/>
          <w:szCs w:val="24"/>
        </w:rPr>
        <w:alias w:val="选项模块:需要编制合并报表"/>
        <w:tag w:val="_GBC_f3d43b26b5d34a4c88db3cb7d81650cc"/>
        <w:id w:val="969789318"/>
        <w:placeholder>
          <w:docPart w:val="GBC22222222222222222222222222222"/>
        </w:placeholder>
      </w:sdtPr>
      <w:sdtEndPr>
        <w:rPr>
          <w:szCs w:val="21"/>
        </w:rPr>
      </w:sdtEndPr>
      <w:sdtContent>
        <w:sdt>
          <w:sdtPr>
            <w:rPr>
              <w:rFonts w:ascii="宋体" w:hAnsi="宋体" w:cs="宋体" w:hint="eastAsia"/>
              <w:b w:val="0"/>
              <w:bCs w:val="0"/>
              <w:kern w:val="0"/>
              <w:szCs w:val="24"/>
            </w:rPr>
            <w:tag w:val="_GBC_b84409e42f904bdab44813a972d54149"/>
            <w:id w:val="116955194"/>
            <w:placeholder>
              <w:docPart w:val="GBC22222222222222222222222222222"/>
            </w:placeholder>
          </w:sdtPr>
          <w:sdtEndPr>
            <w:rPr>
              <w:rFonts w:hint="default"/>
              <w:color w:val="008000"/>
              <w:szCs w:val="21"/>
              <w:u w:val="single"/>
            </w:rPr>
          </w:sdtEndPr>
          <w:sdtContent>
            <w:p w14:paraId="3B6A3D2D" w14:textId="77777777" w:rsidR="007E7472" w:rsidRDefault="00EC1269" w:rsidP="007E7472">
              <w:pPr>
                <w:pStyle w:val="3"/>
                <w:jc w:val="center"/>
              </w:pPr>
              <w:r>
                <w:rPr>
                  <w:rFonts w:hint="eastAsia"/>
                </w:rPr>
                <w:t>合并资产负债表</w:t>
              </w:r>
            </w:p>
            <w:p w14:paraId="75B9AED4" w14:textId="77777777" w:rsidR="007E7472" w:rsidRDefault="00EC1269">
              <w:pPr>
                <w:snapToGrid w:val="0"/>
                <w:spacing w:line="240" w:lineRule="atLeast"/>
                <w:jc w:val="center"/>
                <w:rPr>
                  <w:b/>
                </w:rPr>
              </w:pPr>
              <w:r>
                <w:t>2023年6月30日</w:t>
              </w:r>
            </w:p>
            <w:p w14:paraId="6F74DFCB" w14:textId="6736E6A7" w:rsidR="007E7472" w:rsidRDefault="00EC1269">
              <w:r>
                <w:t>编制单位：</w:t>
              </w:r>
              <w:sdt>
                <w:sdtPr>
                  <w:alias w:val="公司法定中文名称"/>
                  <w:tag w:val="_GBC_76dae7aa62d842859c05c05e750163c2"/>
                  <w:id w:val="-1829666849"/>
                  <w:placeholder>
                    <w:docPart w:val="GBC22222222222222222222222222222"/>
                  </w:placeholder>
                  <w:dataBinding w:prefixMappings="xmlns:clcid-cgi='clcid-cgi'" w:xpath="/*/clcid-cgi:GongSiFaDingZhongWenMingCheng[not(@periodRef)]" w:storeItemID="{89EBAB94-44A0-46A2-B712-30D997D04A6D}"/>
                  <w:text/>
                </w:sdtPr>
                <w:sdtEndPr/>
                <w:sdtContent>
                  <w:r w:rsidR="006F3F93">
                    <w:t>兖矿能源集团股份有限公司</w:t>
                  </w:r>
                </w:sdtContent>
              </w:sdt>
            </w:p>
            <w:p w14:paraId="71BA546C" w14:textId="3C0270A0" w:rsidR="007E7472" w:rsidRDefault="00EC1269">
              <w:pPr>
                <w:jc w:val="right"/>
              </w:pPr>
              <w:r>
                <w:t>单位：</w:t>
              </w:r>
              <w:sdt>
                <w:sdtPr>
                  <w:alias w:val="单位：合并资产负债表"/>
                  <w:tag w:val="_GBC_710dced47e5943589779e071c78c5512"/>
                  <w:id w:val="-16116445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t>千元</w:t>
                  </w:r>
                </w:sdtContent>
              </w:sdt>
              <w:r>
                <w:t>币种：</w:t>
              </w:r>
              <w:sdt>
                <w:sdtPr>
                  <w:alias w:val="币种：合并资产负债表"/>
                  <w:tag w:val="_GBC_7e2679155b104d33ba04158c7414bcff"/>
                  <w:id w:val="194357184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t>人民币</w:t>
                  </w:r>
                </w:sdtContent>
              </w:sdt>
            </w:p>
            <w:tbl>
              <w:tblPr>
                <w:tblStyle w:val="g4"/>
                <w:tblW w:w="4994"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69"/>
                <w:gridCol w:w="1104"/>
                <w:gridCol w:w="2485"/>
                <w:gridCol w:w="2348"/>
              </w:tblGrid>
              <w:tr w:rsidR="007E7472" w14:paraId="191DC2AA" w14:textId="77777777">
                <w:bookmarkStart w:id="134" w:name="_Hlk137046697" w:displacedByCustomXml="next"/>
                <w:sdt>
                  <w:sdtPr>
                    <w:tag w:val="_PLD_1d3f74748a444e6ea0d191e81e54edca"/>
                    <w:id w:val="516810424"/>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4459FCF" w14:textId="77777777" w:rsidR="007E7472" w:rsidRDefault="00EC1269">
                        <w:pPr>
                          <w:jc w:val="center"/>
                          <w:rPr>
                            <w:b/>
                          </w:rPr>
                        </w:pPr>
                        <w:r>
                          <w:rPr>
                            <w:b/>
                          </w:rPr>
                          <w:t>项目</w:t>
                        </w:r>
                      </w:p>
                    </w:tc>
                  </w:sdtContent>
                </w:sdt>
                <w:sdt>
                  <w:sdtPr>
                    <w:tag w:val="_PLD_da216b439a53487e85f12225916c5563"/>
                    <w:id w:val="-1687368413"/>
                  </w:sdtPr>
                  <w:sdtEndPr/>
                  <w:sdtContent>
                    <w:tc>
                      <w:tcPr>
                        <w:tcW w:w="627" w:type="pct"/>
                        <w:tcBorders>
                          <w:top w:val="outset" w:sz="6" w:space="0" w:color="auto"/>
                          <w:left w:val="outset" w:sz="6" w:space="0" w:color="auto"/>
                          <w:bottom w:val="outset" w:sz="6" w:space="0" w:color="auto"/>
                          <w:right w:val="outset" w:sz="6" w:space="0" w:color="auto"/>
                        </w:tcBorders>
                        <w:vAlign w:val="center"/>
                      </w:tcPr>
                      <w:p w14:paraId="4E108351" w14:textId="77777777" w:rsidR="007E7472" w:rsidRDefault="00EC1269">
                        <w:pPr>
                          <w:jc w:val="center"/>
                          <w:rPr>
                            <w:b/>
                          </w:rPr>
                        </w:pPr>
                        <w:r>
                          <w:rPr>
                            <w:rFonts w:hint="eastAsia"/>
                            <w:b/>
                          </w:rPr>
                          <w:t>附注</w:t>
                        </w:r>
                      </w:p>
                    </w:tc>
                  </w:sdtContent>
                </w:sdt>
                <w:sdt>
                  <w:sdtPr>
                    <w:tag w:val="_PLD_21df1d74f3114abf83688ef31bc4d9a7"/>
                    <w:id w:val="604003103"/>
                  </w:sdtPr>
                  <w:sdtEndPr/>
                  <w:sdtContent>
                    <w:tc>
                      <w:tcPr>
                        <w:tcW w:w="1411" w:type="pct"/>
                        <w:tcBorders>
                          <w:top w:val="outset" w:sz="6" w:space="0" w:color="auto"/>
                          <w:left w:val="outset" w:sz="6" w:space="0" w:color="auto"/>
                          <w:bottom w:val="outset" w:sz="6" w:space="0" w:color="auto"/>
                          <w:right w:val="outset" w:sz="6" w:space="0" w:color="auto"/>
                        </w:tcBorders>
                        <w:vAlign w:val="center"/>
                      </w:tcPr>
                      <w:p w14:paraId="6A8AA053" w14:textId="77777777" w:rsidR="007E7472" w:rsidRDefault="00EC1269">
                        <w:pPr>
                          <w:jc w:val="center"/>
                          <w:rPr>
                            <w:b/>
                          </w:rPr>
                        </w:pPr>
                        <w:r>
                          <w:rPr>
                            <w:rFonts w:hint="eastAsia"/>
                            <w:b/>
                          </w:rPr>
                          <w:t>2023年6月</w:t>
                        </w:r>
                        <w:r>
                          <w:rPr>
                            <w:b/>
                          </w:rPr>
                          <w:t>3</w:t>
                        </w:r>
                        <w:r>
                          <w:rPr>
                            <w:rFonts w:hint="eastAsia"/>
                            <w:b/>
                          </w:rPr>
                          <w:t>0日</w:t>
                        </w:r>
                      </w:p>
                    </w:tc>
                  </w:sdtContent>
                </w:sdt>
                <w:sdt>
                  <w:sdtPr>
                    <w:tag w:val="_PLD_d92c936206d34a64b4b2139999e7311b"/>
                    <w:id w:val="-87000671"/>
                  </w:sdtPr>
                  <w:sdtEndPr/>
                  <w:sdtContent>
                    <w:tc>
                      <w:tcPr>
                        <w:tcW w:w="1333" w:type="pct"/>
                        <w:tcBorders>
                          <w:top w:val="outset" w:sz="6" w:space="0" w:color="auto"/>
                          <w:left w:val="outset" w:sz="6" w:space="0" w:color="auto"/>
                          <w:bottom w:val="outset" w:sz="6" w:space="0" w:color="auto"/>
                          <w:right w:val="outset" w:sz="6" w:space="0" w:color="auto"/>
                        </w:tcBorders>
                        <w:vAlign w:val="center"/>
                      </w:tcPr>
                      <w:p w14:paraId="6335918D" w14:textId="77777777" w:rsidR="007E7472" w:rsidRDefault="00EC1269">
                        <w:pPr>
                          <w:jc w:val="center"/>
                          <w:rPr>
                            <w:b/>
                          </w:rPr>
                        </w:pPr>
                        <w:r>
                          <w:rPr>
                            <w:rFonts w:hint="eastAsia"/>
                            <w:b/>
                          </w:rPr>
                          <w:t>202</w:t>
                        </w:r>
                        <w:r>
                          <w:rPr>
                            <w:b/>
                          </w:rPr>
                          <w:t>2</w:t>
                        </w:r>
                        <w:r>
                          <w:rPr>
                            <w:rFonts w:hint="eastAsia"/>
                            <w:b/>
                          </w:rPr>
                          <w:t>年12月31日</w:t>
                        </w:r>
                      </w:p>
                    </w:tc>
                  </w:sdtContent>
                </w:sdt>
              </w:tr>
              <w:tr w:rsidR="007E7472" w14:paraId="12C628A0" w14:textId="77777777">
                <w:sdt>
                  <w:sdtPr>
                    <w:tag w:val="_PLD_c47a329e79ad491ca413bdaf35b1f19b"/>
                    <w:id w:val="1694028340"/>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25C1B193" w14:textId="77777777" w:rsidR="007E7472" w:rsidRDefault="00EC1269">
                        <w:pPr>
                          <w:rPr>
                            <w:b/>
                            <w:color w:val="FF00FF"/>
                          </w:rPr>
                        </w:pPr>
                        <w:r>
                          <w:rPr>
                            <w:rFonts w:hint="eastAsia"/>
                            <w:b/>
                          </w:rPr>
                          <w:t>流动资产：</w:t>
                        </w:r>
                      </w:p>
                    </w:tc>
                  </w:sdtContent>
                </w:sdt>
              </w:tr>
              <w:tr w:rsidR="007E7472" w14:paraId="3EF8B26C" w14:textId="77777777">
                <w:sdt>
                  <w:sdtPr>
                    <w:tag w:val="_PLD_36a7056a6e314e22ba0fd39d033ba0ea"/>
                    <w:id w:val="1955820806"/>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7113BE5" w14:textId="77777777" w:rsidR="007E7472" w:rsidRDefault="00EC1269">
                        <w:pPr>
                          <w:ind w:firstLineChars="100" w:firstLine="210"/>
                        </w:pPr>
                        <w:r>
                          <w:rPr>
                            <w:rFonts w:hint="eastAsia"/>
                          </w:rPr>
                          <w:t>货币资金</w:t>
                        </w:r>
                      </w:p>
                    </w:tc>
                  </w:sdtContent>
                </w:sdt>
                <w:tc>
                  <w:tcPr>
                    <w:tcW w:w="627" w:type="pct"/>
                    <w:tcBorders>
                      <w:top w:val="outset" w:sz="6" w:space="0" w:color="auto"/>
                      <w:left w:val="outset" w:sz="6" w:space="0" w:color="auto"/>
                      <w:bottom w:val="outset" w:sz="6" w:space="0" w:color="auto"/>
                      <w:right w:val="outset" w:sz="6" w:space="0" w:color="auto"/>
                    </w:tcBorders>
                  </w:tcPr>
                  <w:p w14:paraId="4B339BC1" w14:textId="77777777" w:rsidR="007E7472" w:rsidRDefault="00EC1269">
                    <w:pPr>
                      <w:jc w:val="center"/>
                      <w:rPr>
                        <w:rFonts w:asciiTheme="majorEastAsia" w:eastAsiaTheme="majorEastAsia" w:hAnsiTheme="majorEastAsia"/>
                      </w:rPr>
                    </w:pPr>
                    <w:r>
                      <w:rPr>
                        <w:rFonts w:asciiTheme="majorEastAsia" w:eastAsiaTheme="majorEastAsia" w:hAnsiTheme="majorEastAsia" w:hint="eastAsia"/>
                      </w:rPr>
                      <w:t>七、</w:t>
                    </w:r>
                    <w:r>
                      <w:rPr>
                        <w:rFonts w:asciiTheme="majorEastAsia" w:eastAsiaTheme="majorEastAsia" w:hAnsiTheme="majorEastAsia"/>
                      </w:rPr>
                      <w:t>1</w:t>
                    </w:r>
                  </w:p>
                </w:tc>
                <w:tc>
                  <w:tcPr>
                    <w:tcW w:w="1411" w:type="pct"/>
                    <w:tcBorders>
                      <w:top w:val="outset" w:sz="6" w:space="0" w:color="auto"/>
                      <w:left w:val="outset" w:sz="6" w:space="0" w:color="auto"/>
                      <w:bottom w:val="outset" w:sz="6" w:space="0" w:color="auto"/>
                      <w:right w:val="outset" w:sz="6" w:space="0" w:color="auto"/>
                    </w:tcBorders>
                    <w:vAlign w:val="center"/>
                  </w:tcPr>
                  <w:p w14:paraId="15EB139B" w14:textId="77777777" w:rsidR="007E7472" w:rsidRDefault="00EC1269">
                    <w:pPr>
                      <w:jc w:val="right"/>
                    </w:pPr>
                    <w:r>
                      <w:t>53,524,087</w:t>
                    </w:r>
                  </w:p>
                </w:tc>
                <w:tc>
                  <w:tcPr>
                    <w:tcW w:w="1333" w:type="pct"/>
                    <w:tcBorders>
                      <w:top w:val="outset" w:sz="6" w:space="0" w:color="auto"/>
                      <w:left w:val="outset" w:sz="6" w:space="0" w:color="auto"/>
                      <w:bottom w:val="outset" w:sz="6" w:space="0" w:color="auto"/>
                      <w:right w:val="outset" w:sz="6" w:space="0" w:color="auto"/>
                    </w:tcBorders>
                    <w:vAlign w:val="center"/>
                  </w:tcPr>
                  <w:p w14:paraId="765BE8A3" w14:textId="77777777" w:rsidR="007E7472" w:rsidRDefault="00EC1269">
                    <w:pPr>
                      <w:jc w:val="right"/>
                    </w:pPr>
                    <w:r>
                      <w:t>45,180,326</w:t>
                    </w:r>
                  </w:p>
                </w:tc>
              </w:tr>
              <w:tr w:rsidR="007E7472" w14:paraId="7F36E02C" w14:textId="77777777">
                <w:sdt>
                  <w:sdtPr>
                    <w:tag w:val="_PLD_eeecea89787644c581a60f0ab1e1e353"/>
                    <w:id w:val="-1252503283"/>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5E1A0CA" w14:textId="77777777" w:rsidR="007E7472" w:rsidRDefault="00EC1269">
                        <w:pPr>
                          <w:ind w:firstLineChars="100" w:firstLine="210"/>
                        </w:pPr>
                        <w:r>
                          <w:rPr>
                            <w:rFonts w:hint="eastAsia"/>
                          </w:rPr>
                          <w:t>结算备付金</w:t>
                        </w:r>
                      </w:p>
                    </w:tc>
                  </w:sdtContent>
                </w:sdt>
                <w:tc>
                  <w:tcPr>
                    <w:tcW w:w="627" w:type="pct"/>
                    <w:tcBorders>
                      <w:top w:val="outset" w:sz="6" w:space="0" w:color="auto"/>
                      <w:left w:val="outset" w:sz="6" w:space="0" w:color="auto"/>
                      <w:bottom w:val="outset" w:sz="6" w:space="0" w:color="auto"/>
                      <w:right w:val="outset" w:sz="6" w:space="0" w:color="auto"/>
                    </w:tcBorders>
                  </w:tcPr>
                  <w:p w14:paraId="1BE25122" w14:textId="77777777" w:rsidR="007E7472" w:rsidRDefault="00C8327E">
                    <w:pPr>
                      <w:jc w:val="center"/>
                      <w:rPr>
                        <w:rFonts w:asciiTheme="majorEastAsia" w:eastAsiaTheme="majorEastAsia" w:hAnsiTheme="maj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544F4078" w14:textId="77777777" w:rsidR="007E7472" w:rsidRDefault="00C832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7F69217E" w14:textId="77777777" w:rsidR="007E7472" w:rsidRDefault="00C8327E">
                    <w:pPr>
                      <w:jc w:val="right"/>
                    </w:pPr>
                  </w:p>
                </w:tc>
              </w:tr>
              <w:tr w:rsidR="007E7472" w14:paraId="756BBA6A" w14:textId="77777777">
                <w:sdt>
                  <w:sdtPr>
                    <w:tag w:val="_PLD_879bf785eb864905ac5a35d3fcf6fc5e"/>
                    <w:id w:val="-1005359594"/>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742EC7F" w14:textId="77777777" w:rsidR="007E7472" w:rsidRDefault="00EC1269">
                        <w:pPr>
                          <w:ind w:firstLineChars="100" w:firstLine="210"/>
                        </w:pPr>
                        <w:r>
                          <w:rPr>
                            <w:rFonts w:hint="eastAsia"/>
                          </w:rPr>
                          <w:t>拆出资金</w:t>
                        </w:r>
                      </w:p>
                    </w:tc>
                  </w:sdtContent>
                </w:sdt>
                <w:tc>
                  <w:tcPr>
                    <w:tcW w:w="627" w:type="pct"/>
                    <w:tcBorders>
                      <w:top w:val="outset" w:sz="6" w:space="0" w:color="auto"/>
                      <w:left w:val="outset" w:sz="6" w:space="0" w:color="auto"/>
                      <w:bottom w:val="outset" w:sz="6" w:space="0" w:color="auto"/>
                      <w:right w:val="outset" w:sz="6" w:space="0" w:color="auto"/>
                    </w:tcBorders>
                  </w:tcPr>
                  <w:p w14:paraId="5D77AF5C" w14:textId="77777777" w:rsidR="007E7472" w:rsidRDefault="00C8327E">
                    <w:pPr>
                      <w:jc w:val="center"/>
                      <w:rPr>
                        <w:rFonts w:asciiTheme="majorEastAsia" w:eastAsiaTheme="majorEastAsia" w:hAnsiTheme="maj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538F3390" w14:textId="77777777" w:rsidR="007E7472" w:rsidRDefault="00C832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37B9FEAB" w14:textId="77777777" w:rsidR="007E7472" w:rsidRDefault="00C8327E">
                    <w:pPr>
                      <w:jc w:val="right"/>
                    </w:pPr>
                  </w:p>
                </w:tc>
              </w:tr>
              <w:tr w:rsidR="007E7472" w14:paraId="34B9FCAC" w14:textId="7777777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6d63ef987134b32b553402ba76eef23"/>
                      <w:id w:val="-1634780744"/>
                    </w:sdtPr>
                    <w:sdtEndPr/>
                    <w:sdtContent>
                      <w:p w14:paraId="40DB5B9C" w14:textId="77777777" w:rsidR="007E7472" w:rsidRDefault="00EC1269">
                        <w:pPr>
                          <w:ind w:firstLineChars="100" w:firstLine="210"/>
                        </w:pPr>
                        <w:r>
                          <w:rPr>
                            <w:rFonts w:hint="eastAsia"/>
                          </w:rPr>
                          <w:t>交易性金融资产</w:t>
                        </w:r>
                      </w:p>
                    </w:sdtContent>
                  </w:sdt>
                </w:tc>
                <w:tc>
                  <w:tcPr>
                    <w:tcW w:w="627" w:type="pct"/>
                    <w:tcBorders>
                      <w:top w:val="outset" w:sz="6" w:space="0" w:color="auto"/>
                      <w:left w:val="outset" w:sz="6" w:space="0" w:color="auto"/>
                      <w:bottom w:val="outset" w:sz="6" w:space="0" w:color="auto"/>
                      <w:right w:val="outset" w:sz="6" w:space="0" w:color="auto"/>
                    </w:tcBorders>
                  </w:tcPr>
                  <w:p w14:paraId="3A56471D" w14:textId="77777777" w:rsidR="007E7472" w:rsidRDefault="00EC1269">
                    <w:pPr>
                      <w:jc w:val="center"/>
                      <w:rPr>
                        <w:rFonts w:asciiTheme="majorEastAsia" w:eastAsiaTheme="majorEastAsia" w:hAnsiTheme="majorEastAsia"/>
                      </w:rPr>
                    </w:pPr>
                    <w:r>
                      <w:rPr>
                        <w:rFonts w:asciiTheme="majorEastAsia" w:eastAsiaTheme="majorEastAsia" w:hAnsiTheme="majorEastAsia" w:hint="eastAsia"/>
                      </w:rPr>
                      <w:t>七、</w:t>
                    </w:r>
                    <w:r>
                      <w:rPr>
                        <w:rFonts w:asciiTheme="majorEastAsia" w:eastAsiaTheme="majorEastAsia" w:hAnsiTheme="majorEastAsia"/>
                      </w:rPr>
                      <w:t>2</w:t>
                    </w:r>
                  </w:p>
                </w:tc>
                <w:tc>
                  <w:tcPr>
                    <w:tcW w:w="1411" w:type="pct"/>
                    <w:tcBorders>
                      <w:top w:val="outset" w:sz="6" w:space="0" w:color="auto"/>
                      <w:left w:val="outset" w:sz="6" w:space="0" w:color="auto"/>
                      <w:bottom w:val="outset" w:sz="6" w:space="0" w:color="auto"/>
                      <w:right w:val="outset" w:sz="6" w:space="0" w:color="auto"/>
                    </w:tcBorders>
                    <w:vAlign w:val="center"/>
                  </w:tcPr>
                  <w:p w14:paraId="1AF2FC67" w14:textId="77777777" w:rsidR="007E7472" w:rsidRDefault="00EC1269">
                    <w:pPr>
                      <w:jc w:val="right"/>
                    </w:pPr>
                    <w:r>
                      <w:t>112,731</w:t>
                    </w:r>
                  </w:p>
                </w:tc>
                <w:tc>
                  <w:tcPr>
                    <w:tcW w:w="1333" w:type="pct"/>
                    <w:tcBorders>
                      <w:top w:val="outset" w:sz="6" w:space="0" w:color="auto"/>
                      <w:left w:val="outset" w:sz="6" w:space="0" w:color="auto"/>
                      <w:bottom w:val="outset" w:sz="6" w:space="0" w:color="auto"/>
                      <w:right w:val="outset" w:sz="6" w:space="0" w:color="auto"/>
                    </w:tcBorders>
                    <w:vAlign w:val="center"/>
                  </w:tcPr>
                  <w:p w14:paraId="76C9BF3A" w14:textId="77777777" w:rsidR="007E7472" w:rsidRDefault="00EC1269">
                    <w:pPr>
                      <w:jc w:val="right"/>
                    </w:pPr>
                    <w:r>
                      <w:t>95,713</w:t>
                    </w:r>
                  </w:p>
                </w:tc>
              </w:tr>
              <w:tr w:rsidR="007E7472" w14:paraId="4C43CE48" w14:textId="77777777">
                <w:sdt>
                  <w:sdtPr>
                    <w:tag w:val="_PLD_a2a2e8b160574a929568047f67b21dba"/>
                    <w:id w:val="-1406373038"/>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E1F1BD6" w14:textId="77777777" w:rsidR="007E7472" w:rsidRDefault="00EC1269">
                        <w:pPr>
                          <w:ind w:firstLineChars="100" w:firstLine="210"/>
                        </w:pPr>
                        <w:r>
                          <w:rPr>
                            <w:rFonts w:hint="eastAsia"/>
                          </w:rPr>
                          <w:t>衍生金融资产</w:t>
                        </w:r>
                      </w:p>
                    </w:tc>
                  </w:sdtContent>
                </w:sdt>
                <w:tc>
                  <w:tcPr>
                    <w:tcW w:w="627" w:type="pct"/>
                    <w:tcBorders>
                      <w:top w:val="outset" w:sz="6" w:space="0" w:color="auto"/>
                      <w:left w:val="outset" w:sz="6" w:space="0" w:color="auto"/>
                      <w:bottom w:val="outset" w:sz="6" w:space="0" w:color="auto"/>
                      <w:right w:val="outset" w:sz="6" w:space="0" w:color="auto"/>
                    </w:tcBorders>
                  </w:tcPr>
                  <w:p w14:paraId="6A7BDA46" w14:textId="77777777" w:rsidR="007E7472" w:rsidRDefault="00C8327E">
                    <w:pPr>
                      <w:jc w:val="center"/>
                      <w:rPr>
                        <w:rFonts w:asciiTheme="majorEastAsia" w:eastAsiaTheme="majorEastAsia" w:hAnsiTheme="maj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2C71A119" w14:textId="77777777" w:rsidR="007E7472" w:rsidRDefault="00C832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1E3E049D" w14:textId="77777777" w:rsidR="007E7472" w:rsidRDefault="00C8327E">
                    <w:pPr>
                      <w:jc w:val="right"/>
                    </w:pPr>
                  </w:p>
                </w:tc>
              </w:tr>
              <w:tr w:rsidR="007E7472" w14:paraId="7595889C" w14:textId="77777777">
                <w:sdt>
                  <w:sdtPr>
                    <w:tag w:val="_PLD_b4275fbbd6c24380aaa849df8e4a5394"/>
                    <w:id w:val="2117321321"/>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04D726D" w14:textId="77777777" w:rsidR="007E7472" w:rsidRDefault="00EC1269">
                        <w:pPr>
                          <w:ind w:firstLineChars="100" w:firstLine="210"/>
                        </w:pPr>
                        <w:r>
                          <w:rPr>
                            <w:rFonts w:hint="eastAsia"/>
                          </w:rPr>
                          <w:t>应收票据</w:t>
                        </w:r>
                      </w:p>
                    </w:tc>
                  </w:sdtContent>
                </w:sdt>
                <w:tc>
                  <w:tcPr>
                    <w:tcW w:w="627" w:type="pct"/>
                    <w:tcBorders>
                      <w:top w:val="outset" w:sz="6" w:space="0" w:color="auto"/>
                      <w:left w:val="outset" w:sz="6" w:space="0" w:color="auto"/>
                      <w:bottom w:val="outset" w:sz="6" w:space="0" w:color="auto"/>
                      <w:right w:val="outset" w:sz="6" w:space="0" w:color="auto"/>
                    </w:tcBorders>
                  </w:tcPr>
                  <w:p w14:paraId="162BAA60" w14:textId="77777777" w:rsidR="007E7472" w:rsidRDefault="00C8327E">
                    <w:pPr>
                      <w:jc w:val="center"/>
                      <w:rPr>
                        <w:rFonts w:asciiTheme="majorEastAsia" w:eastAsiaTheme="majorEastAsia" w:hAnsiTheme="maj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2433D222" w14:textId="77777777" w:rsidR="007E7472" w:rsidRDefault="00EC1269">
                    <w:pPr>
                      <w:jc w:val="right"/>
                    </w:pPr>
                    <w:r>
                      <w:t>160,526</w:t>
                    </w:r>
                  </w:p>
                </w:tc>
                <w:tc>
                  <w:tcPr>
                    <w:tcW w:w="1333" w:type="pct"/>
                    <w:tcBorders>
                      <w:top w:val="outset" w:sz="6" w:space="0" w:color="auto"/>
                      <w:left w:val="outset" w:sz="6" w:space="0" w:color="auto"/>
                      <w:bottom w:val="outset" w:sz="6" w:space="0" w:color="auto"/>
                      <w:right w:val="outset" w:sz="6" w:space="0" w:color="auto"/>
                    </w:tcBorders>
                    <w:vAlign w:val="center"/>
                  </w:tcPr>
                  <w:p w14:paraId="73113119" w14:textId="77777777" w:rsidR="007E7472" w:rsidRDefault="00EC1269">
                    <w:pPr>
                      <w:jc w:val="right"/>
                    </w:pPr>
                    <w:r>
                      <w:t>132,382</w:t>
                    </w:r>
                  </w:p>
                </w:tc>
              </w:tr>
              <w:tr w:rsidR="007E7472" w14:paraId="236DA11D" w14:textId="77777777">
                <w:sdt>
                  <w:sdtPr>
                    <w:tag w:val="_PLD_916701d47616495dad873446e57f88f1"/>
                    <w:id w:val="-1617748579"/>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4A6C4AF" w14:textId="77777777" w:rsidR="007E7472" w:rsidRDefault="00EC1269">
                        <w:pPr>
                          <w:ind w:firstLineChars="100" w:firstLine="210"/>
                        </w:pPr>
                        <w:r>
                          <w:rPr>
                            <w:rFonts w:hint="eastAsia"/>
                          </w:rPr>
                          <w:t>应收账款</w:t>
                        </w:r>
                      </w:p>
                    </w:tc>
                  </w:sdtContent>
                </w:sdt>
                <w:tc>
                  <w:tcPr>
                    <w:tcW w:w="627" w:type="pct"/>
                    <w:tcBorders>
                      <w:top w:val="outset" w:sz="6" w:space="0" w:color="auto"/>
                      <w:left w:val="outset" w:sz="6" w:space="0" w:color="auto"/>
                      <w:bottom w:val="outset" w:sz="6" w:space="0" w:color="auto"/>
                      <w:right w:val="outset" w:sz="6" w:space="0" w:color="auto"/>
                    </w:tcBorders>
                  </w:tcPr>
                  <w:p w14:paraId="0CD4125E" w14:textId="77777777" w:rsidR="007E7472" w:rsidRDefault="00EC1269">
                    <w:pPr>
                      <w:jc w:val="center"/>
                      <w:rPr>
                        <w:rFonts w:asciiTheme="majorEastAsia" w:eastAsiaTheme="majorEastAsia" w:hAnsiTheme="majorEastAsia"/>
                      </w:rPr>
                    </w:pPr>
                    <w:r>
                      <w:rPr>
                        <w:rFonts w:asciiTheme="majorEastAsia" w:eastAsiaTheme="majorEastAsia" w:hAnsiTheme="majorEastAsia" w:hint="eastAsia"/>
                      </w:rPr>
                      <w:t>七、</w:t>
                    </w:r>
                    <w:r>
                      <w:rPr>
                        <w:rFonts w:asciiTheme="majorEastAsia" w:eastAsiaTheme="majorEastAsia" w:hAnsiTheme="majorEastAsia"/>
                      </w:rPr>
                      <w:t>5</w:t>
                    </w:r>
                  </w:p>
                </w:tc>
                <w:tc>
                  <w:tcPr>
                    <w:tcW w:w="1411" w:type="pct"/>
                    <w:tcBorders>
                      <w:top w:val="outset" w:sz="6" w:space="0" w:color="auto"/>
                      <w:left w:val="outset" w:sz="6" w:space="0" w:color="auto"/>
                      <w:bottom w:val="outset" w:sz="6" w:space="0" w:color="auto"/>
                      <w:right w:val="outset" w:sz="6" w:space="0" w:color="auto"/>
                    </w:tcBorders>
                    <w:vAlign w:val="center"/>
                  </w:tcPr>
                  <w:p w14:paraId="3ED15ABE" w14:textId="77777777" w:rsidR="007E7472" w:rsidRDefault="00EC1269">
                    <w:pPr>
                      <w:jc w:val="right"/>
                    </w:pPr>
                    <w:r>
                      <w:t>6,924,545</w:t>
                    </w:r>
                  </w:p>
                </w:tc>
                <w:tc>
                  <w:tcPr>
                    <w:tcW w:w="1333" w:type="pct"/>
                    <w:tcBorders>
                      <w:top w:val="outset" w:sz="6" w:space="0" w:color="auto"/>
                      <w:left w:val="outset" w:sz="6" w:space="0" w:color="auto"/>
                      <w:bottom w:val="outset" w:sz="6" w:space="0" w:color="auto"/>
                      <w:right w:val="outset" w:sz="6" w:space="0" w:color="auto"/>
                    </w:tcBorders>
                    <w:vAlign w:val="center"/>
                  </w:tcPr>
                  <w:p w14:paraId="00930684" w14:textId="77777777" w:rsidR="007E7472" w:rsidRDefault="00EC1269">
                    <w:pPr>
                      <w:jc w:val="right"/>
                    </w:pPr>
                    <w:r>
                      <w:t>6,558,266</w:t>
                    </w:r>
                  </w:p>
                </w:tc>
              </w:tr>
              <w:tr w:rsidR="007E7472" w14:paraId="67DA7767" w14:textId="7777777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1ffdf4cf3084797bec970e07c957549"/>
                      <w:id w:val="1715766438"/>
                    </w:sdtPr>
                    <w:sdtEndPr/>
                    <w:sdtContent>
                      <w:p w14:paraId="3FCAA0FD" w14:textId="77777777" w:rsidR="007E7472" w:rsidRDefault="00EC1269">
                        <w:pPr>
                          <w:ind w:firstLineChars="100" w:firstLine="210"/>
                        </w:pPr>
                        <w:r>
                          <w:rPr>
                            <w:rFonts w:hint="eastAsia"/>
                          </w:rPr>
                          <w:t>应收款项融资</w:t>
                        </w:r>
                      </w:p>
                    </w:sdtContent>
                  </w:sdt>
                </w:tc>
                <w:tc>
                  <w:tcPr>
                    <w:tcW w:w="627" w:type="pct"/>
                    <w:tcBorders>
                      <w:top w:val="outset" w:sz="6" w:space="0" w:color="auto"/>
                      <w:left w:val="outset" w:sz="6" w:space="0" w:color="auto"/>
                      <w:bottom w:val="outset" w:sz="6" w:space="0" w:color="auto"/>
                      <w:right w:val="outset" w:sz="6" w:space="0" w:color="auto"/>
                    </w:tcBorders>
                  </w:tcPr>
                  <w:p w14:paraId="5B8EEBE1" w14:textId="77777777" w:rsidR="007E7472" w:rsidRDefault="00EC1269">
                    <w:pPr>
                      <w:jc w:val="center"/>
                      <w:rPr>
                        <w:rFonts w:asciiTheme="majorEastAsia" w:eastAsiaTheme="majorEastAsia" w:hAnsiTheme="majorEastAsia"/>
                      </w:rPr>
                    </w:pPr>
                    <w:r>
                      <w:rPr>
                        <w:rFonts w:asciiTheme="majorEastAsia" w:eastAsiaTheme="majorEastAsia" w:hAnsiTheme="majorEastAsia" w:hint="eastAsia"/>
                      </w:rPr>
                      <w:t>七、</w:t>
                    </w:r>
                    <w:r>
                      <w:rPr>
                        <w:rFonts w:asciiTheme="majorEastAsia" w:eastAsiaTheme="majorEastAsia" w:hAnsiTheme="majorEastAsia"/>
                      </w:rPr>
                      <w:t>6</w:t>
                    </w:r>
                  </w:p>
                </w:tc>
                <w:tc>
                  <w:tcPr>
                    <w:tcW w:w="1411" w:type="pct"/>
                    <w:tcBorders>
                      <w:top w:val="outset" w:sz="6" w:space="0" w:color="auto"/>
                      <w:left w:val="outset" w:sz="6" w:space="0" w:color="auto"/>
                      <w:bottom w:val="outset" w:sz="6" w:space="0" w:color="auto"/>
                      <w:right w:val="outset" w:sz="6" w:space="0" w:color="auto"/>
                    </w:tcBorders>
                    <w:vAlign w:val="center"/>
                  </w:tcPr>
                  <w:p w14:paraId="14FBF05B" w14:textId="77777777" w:rsidR="007E7472" w:rsidRDefault="00EC1269">
                    <w:pPr>
                      <w:jc w:val="right"/>
                    </w:pPr>
                    <w:r>
                      <w:t>5,289,588</w:t>
                    </w:r>
                  </w:p>
                </w:tc>
                <w:tc>
                  <w:tcPr>
                    <w:tcW w:w="1333" w:type="pct"/>
                    <w:tcBorders>
                      <w:top w:val="outset" w:sz="6" w:space="0" w:color="auto"/>
                      <w:left w:val="outset" w:sz="6" w:space="0" w:color="auto"/>
                      <w:bottom w:val="outset" w:sz="6" w:space="0" w:color="auto"/>
                      <w:right w:val="outset" w:sz="6" w:space="0" w:color="auto"/>
                    </w:tcBorders>
                    <w:vAlign w:val="center"/>
                  </w:tcPr>
                  <w:p w14:paraId="20408FD4" w14:textId="77777777" w:rsidR="007E7472" w:rsidRDefault="00EC1269">
                    <w:pPr>
                      <w:jc w:val="right"/>
                    </w:pPr>
                    <w:r>
                      <w:t>4,369,745</w:t>
                    </w:r>
                  </w:p>
                </w:tc>
              </w:tr>
              <w:tr w:rsidR="007E7472" w14:paraId="6EA98EC6" w14:textId="77777777">
                <w:sdt>
                  <w:sdtPr>
                    <w:tag w:val="_PLD_eff32a719f7a407f8e2bd0fc67579696"/>
                    <w:id w:val="947742431"/>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3239DE2" w14:textId="77777777" w:rsidR="007E7472" w:rsidRDefault="00EC1269">
                        <w:pPr>
                          <w:ind w:firstLineChars="100" w:firstLine="210"/>
                        </w:pPr>
                        <w:r>
                          <w:rPr>
                            <w:rFonts w:hint="eastAsia"/>
                          </w:rPr>
                          <w:t>预付款项</w:t>
                        </w:r>
                      </w:p>
                    </w:tc>
                  </w:sdtContent>
                </w:sdt>
                <w:tc>
                  <w:tcPr>
                    <w:tcW w:w="627" w:type="pct"/>
                    <w:tcBorders>
                      <w:top w:val="outset" w:sz="6" w:space="0" w:color="auto"/>
                      <w:left w:val="outset" w:sz="6" w:space="0" w:color="auto"/>
                      <w:bottom w:val="outset" w:sz="6" w:space="0" w:color="auto"/>
                      <w:right w:val="outset" w:sz="6" w:space="0" w:color="auto"/>
                    </w:tcBorders>
                  </w:tcPr>
                  <w:p w14:paraId="486CBD6B" w14:textId="77777777" w:rsidR="007E7472" w:rsidRDefault="00EC1269">
                    <w:pPr>
                      <w:jc w:val="center"/>
                      <w:rPr>
                        <w:rFonts w:asciiTheme="majorEastAsia" w:eastAsiaTheme="majorEastAsia" w:hAnsiTheme="majorEastAsia"/>
                      </w:rPr>
                    </w:pPr>
                    <w:r>
                      <w:rPr>
                        <w:rFonts w:asciiTheme="majorEastAsia" w:eastAsiaTheme="majorEastAsia" w:hAnsiTheme="majorEastAsia" w:hint="eastAsia"/>
                      </w:rPr>
                      <w:t>七、</w:t>
                    </w:r>
                    <w:r>
                      <w:rPr>
                        <w:rFonts w:asciiTheme="majorEastAsia" w:eastAsiaTheme="majorEastAsia" w:hAnsiTheme="majorEastAsia"/>
                      </w:rPr>
                      <w:t>7</w:t>
                    </w:r>
                  </w:p>
                </w:tc>
                <w:tc>
                  <w:tcPr>
                    <w:tcW w:w="1411" w:type="pct"/>
                    <w:tcBorders>
                      <w:top w:val="outset" w:sz="6" w:space="0" w:color="auto"/>
                      <w:left w:val="outset" w:sz="6" w:space="0" w:color="auto"/>
                      <w:bottom w:val="outset" w:sz="6" w:space="0" w:color="auto"/>
                      <w:right w:val="outset" w:sz="6" w:space="0" w:color="auto"/>
                    </w:tcBorders>
                    <w:vAlign w:val="center"/>
                  </w:tcPr>
                  <w:p w14:paraId="0EAB954E" w14:textId="77777777" w:rsidR="007E7472" w:rsidRDefault="00EC1269">
                    <w:pPr>
                      <w:jc w:val="right"/>
                    </w:pPr>
                    <w:r>
                      <w:t>4,633,541</w:t>
                    </w:r>
                  </w:p>
                </w:tc>
                <w:tc>
                  <w:tcPr>
                    <w:tcW w:w="1333" w:type="pct"/>
                    <w:tcBorders>
                      <w:top w:val="outset" w:sz="6" w:space="0" w:color="auto"/>
                      <w:left w:val="outset" w:sz="6" w:space="0" w:color="auto"/>
                      <w:bottom w:val="outset" w:sz="6" w:space="0" w:color="auto"/>
                      <w:right w:val="outset" w:sz="6" w:space="0" w:color="auto"/>
                    </w:tcBorders>
                    <w:vAlign w:val="center"/>
                  </w:tcPr>
                  <w:p w14:paraId="678B863C" w14:textId="77777777" w:rsidR="007E7472" w:rsidRDefault="00EC1269">
                    <w:pPr>
                      <w:jc w:val="right"/>
                    </w:pPr>
                    <w:r>
                      <w:t>4,128,540</w:t>
                    </w:r>
                  </w:p>
                </w:tc>
              </w:tr>
              <w:tr w:rsidR="007E7472" w14:paraId="753CAD61" w14:textId="77777777">
                <w:sdt>
                  <w:sdtPr>
                    <w:tag w:val="_PLD_a40cfdfb0ba6490cb057d30f2eced3ad"/>
                    <w:id w:val="-817729161"/>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9D7401B" w14:textId="77777777" w:rsidR="007E7472" w:rsidRDefault="00EC1269">
                        <w:pPr>
                          <w:ind w:firstLineChars="100" w:firstLine="210"/>
                        </w:pPr>
                        <w:r>
                          <w:rPr>
                            <w:rFonts w:hint="eastAsia"/>
                          </w:rPr>
                          <w:t>应收保费</w:t>
                        </w:r>
                      </w:p>
                    </w:tc>
                  </w:sdtContent>
                </w:sdt>
                <w:tc>
                  <w:tcPr>
                    <w:tcW w:w="627" w:type="pct"/>
                    <w:tcBorders>
                      <w:top w:val="outset" w:sz="6" w:space="0" w:color="auto"/>
                      <w:left w:val="outset" w:sz="6" w:space="0" w:color="auto"/>
                      <w:bottom w:val="outset" w:sz="6" w:space="0" w:color="auto"/>
                      <w:right w:val="outset" w:sz="6" w:space="0" w:color="auto"/>
                    </w:tcBorders>
                  </w:tcPr>
                  <w:p w14:paraId="51C34784" w14:textId="77777777" w:rsidR="007E7472" w:rsidRDefault="00C8327E">
                    <w:pPr>
                      <w:jc w:val="center"/>
                      <w:rPr>
                        <w:rFonts w:asciiTheme="majorEastAsia" w:eastAsiaTheme="majorEastAsia" w:hAnsiTheme="maj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4B9B6899" w14:textId="77777777" w:rsidR="007E7472" w:rsidRDefault="00C832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240880AA" w14:textId="77777777" w:rsidR="007E7472" w:rsidRDefault="00C8327E">
                    <w:pPr>
                      <w:jc w:val="right"/>
                    </w:pPr>
                  </w:p>
                </w:tc>
              </w:tr>
              <w:tr w:rsidR="007E7472" w14:paraId="015AAB1C" w14:textId="77777777">
                <w:sdt>
                  <w:sdtPr>
                    <w:tag w:val="_PLD_78ae33502cc54f38ad943e4f0832ea8d"/>
                    <w:id w:val="1291937560"/>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3D46836" w14:textId="77777777" w:rsidR="007E7472" w:rsidRDefault="00EC1269">
                        <w:pPr>
                          <w:ind w:firstLineChars="100" w:firstLine="210"/>
                        </w:pPr>
                        <w:r>
                          <w:rPr>
                            <w:rFonts w:hint="eastAsia"/>
                          </w:rPr>
                          <w:t>应收分保账款</w:t>
                        </w:r>
                      </w:p>
                    </w:tc>
                  </w:sdtContent>
                </w:sdt>
                <w:tc>
                  <w:tcPr>
                    <w:tcW w:w="627" w:type="pct"/>
                    <w:tcBorders>
                      <w:top w:val="outset" w:sz="6" w:space="0" w:color="auto"/>
                      <w:left w:val="outset" w:sz="6" w:space="0" w:color="auto"/>
                      <w:bottom w:val="outset" w:sz="6" w:space="0" w:color="auto"/>
                      <w:right w:val="outset" w:sz="6" w:space="0" w:color="auto"/>
                    </w:tcBorders>
                  </w:tcPr>
                  <w:p w14:paraId="76AEB0C3" w14:textId="77777777" w:rsidR="007E7472" w:rsidRDefault="00C8327E">
                    <w:pPr>
                      <w:jc w:val="center"/>
                      <w:rPr>
                        <w:rFonts w:asciiTheme="majorEastAsia" w:eastAsiaTheme="majorEastAsia" w:hAnsiTheme="maj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26C01E2E" w14:textId="77777777" w:rsidR="007E7472" w:rsidRDefault="00C832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33528F92" w14:textId="77777777" w:rsidR="007E7472" w:rsidRDefault="00C8327E">
                    <w:pPr>
                      <w:jc w:val="right"/>
                    </w:pPr>
                  </w:p>
                </w:tc>
              </w:tr>
              <w:tr w:rsidR="007E7472" w14:paraId="2E5EFCFC" w14:textId="77777777">
                <w:sdt>
                  <w:sdtPr>
                    <w:tag w:val="_PLD_c81dfd1c51694e04be879fd98e2f222f"/>
                    <w:id w:val="1363781355"/>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E630733" w14:textId="77777777" w:rsidR="007E7472" w:rsidRDefault="00EC1269">
                        <w:pPr>
                          <w:ind w:firstLineChars="100" w:firstLine="210"/>
                        </w:pPr>
                        <w:r>
                          <w:rPr>
                            <w:rFonts w:hint="eastAsia"/>
                          </w:rPr>
                          <w:t>应收分保合同准备金</w:t>
                        </w:r>
                      </w:p>
                    </w:tc>
                  </w:sdtContent>
                </w:sdt>
                <w:tc>
                  <w:tcPr>
                    <w:tcW w:w="627" w:type="pct"/>
                    <w:tcBorders>
                      <w:top w:val="outset" w:sz="6" w:space="0" w:color="auto"/>
                      <w:left w:val="outset" w:sz="6" w:space="0" w:color="auto"/>
                      <w:bottom w:val="outset" w:sz="6" w:space="0" w:color="auto"/>
                      <w:right w:val="outset" w:sz="6" w:space="0" w:color="auto"/>
                    </w:tcBorders>
                  </w:tcPr>
                  <w:p w14:paraId="0817E196" w14:textId="77777777" w:rsidR="007E7472" w:rsidRDefault="00C8327E">
                    <w:pPr>
                      <w:jc w:val="center"/>
                      <w:rPr>
                        <w:rFonts w:asciiTheme="majorEastAsia" w:eastAsiaTheme="majorEastAsia" w:hAnsiTheme="maj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1735DCFF" w14:textId="77777777" w:rsidR="007E7472" w:rsidRDefault="00C832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086BE5E3" w14:textId="77777777" w:rsidR="007E7472" w:rsidRDefault="00C8327E">
                    <w:pPr>
                      <w:jc w:val="right"/>
                    </w:pPr>
                  </w:p>
                </w:tc>
              </w:tr>
              <w:tr w:rsidR="007E7472" w14:paraId="29F381A1" w14:textId="77777777">
                <w:sdt>
                  <w:sdtPr>
                    <w:tag w:val="_PLD_14b6c1004ee94e9c86f6872629ce8ec5"/>
                    <w:id w:val="-310790539"/>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D1C24A2" w14:textId="77777777" w:rsidR="007E7472" w:rsidRDefault="00EC1269">
                        <w:pPr>
                          <w:ind w:firstLineChars="100" w:firstLine="210"/>
                        </w:pPr>
                        <w:r>
                          <w:rPr>
                            <w:rFonts w:hint="eastAsia"/>
                          </w:rPr>
                          <w:t>其他应收款</w:t>
                        </w:r>
                      </w:p>
                    </w:tc>
                  </w:sdtContent>
                </w:sdt>
                <w:tc>
                  <w:tcPr>
                    <w:tcW w:w="627" w:type="pct"/>
                    <w:tcBorders>
                      <w:top w:val="outset" w:sz="6" w:space="0" w:color="auto"/>
                      <w:left w:val="outset" w:sz="6" w:space="0" w:color="auto"/>
                      <w:bottom w:val="outset" w:sz="6" w:space="0" w:color="auto"/>
                      <w:right w:val="outset" w:sz="6" w:space="0" w:color="auto"/>
                    </w:tcBorders>
                  </w:tcPr>
                  <w:p w14:paraId="0BB604DA" w14:textId="77777777" w:rsidR="007E7472" w:rsidRDefault="00EC1269">
                    <w:pPr>
                      <w:jc w:val="center"/>
                      <w:rPr>
                        <w:rFonts w:asciiTheme="majorEastAsia" w:eastAsiaTheme="majorEastAsia" w:hAnsiTheme="majorEastAsia"/>
                      </w:rPr>
                    </w:pPr>
                    <w:r>
                      <w:rPr>
                        <w:rFonts w:asciiTheme="majorEastAsia" w:eastAsiaTheme="majorEastAsia" w:hAnsiTheme="majorEastAsia" w:hint="eastAsia"/>
                      </w:rPr>
                      <w:t>七、</w:t>
                    </w:r>
                    <w:r>
                      <w:rPr>
                        <w:rFonts w:asciiTheme="majorEastAsia" w:eastAsiaTheme="majorEastAsia" w:hAnsiTheme="majorEastAsia"/>
                      </w:rPr>
                      <w:t>8</w:t>
                    </w:r>
                  </w:p>
                </w:tc>
                <w:tc>
                  <w:tcPr>
                    <w:tcW w:w="1411" w:type="pct"/>
                    <w:tcBorders>
                      <w:top w:val="outset" w:sz="6" w:space="0" w:color="auto"/>
                      <w:left w:val="outset" w:sz="6" w:space="0" w:color="auto"/>
                      <w:bottom w:val="outset" w:sz="6" w:space="0" w:color="auto"/>
                      <w:right w:val="outset" w:sz="6" w:space="0" w:color="auto"/>
                    </w:tcBorders>
                    <w:vAlign w:val="center"/>
                  </w:tcPr>
                  <w:p w14:paraId="60E4DE8C" w14:textId="77777777" w:rsidR="007E7472" w:rsidRDefault="00EC1269">
                    <w:pPr>
                      <w:jc w:val="right"/>
                    </w:pPr>
                    <w:r>
                      <w:t>3,140,832</w:t>
                    </w:r>
                  </w:p>
                </w:tc>
                <w:tc>
                  <w:tcPr>
                    <w:tcW w:w="1333" w:type="pct"/>
                    <w:tcBorders>
                      <w:top w:val="outset" w:sz="6" w:space="0" w:color="auto"/>
                      <w:left w:val="outset" w:sz="6" w:space="0" w:color="auto"/>
                      <w:bottom w:val="outset" w:sz="6" w:space="0" w:color="auto"/>
                      <w:right w:val="outset" w:sz="6" w:space="0" w:color="auto"/>
                    </w:tcBorders>
                    <w:vAlign w:val="center"/>
                  </w:tcPr>
                  <w:p w14:paraId="473A7DA8" w14:textId="77777777" w:rsidR="007E7472" w:rsidRDefault="00EC1269">
                    <w:pPr>
                      <w:jc w:val="right"/>
                    </w:pPr>
                    <w:r>
                      <w:t>2,997,781</w:t>
                    </w:r>
                  </w:p>
                </w:tc>
              </w:tr>
              <w:tr w:rsidR="007E7472" w14:paraId="05AD0F11" w14:textId="77777777">
                <w:sdt>
                  <w:sdtPr>
                    <w:tag w:val="_PLD_f7b8b5cf09f34b18bdaa893a720147a3"/>
                    <w:id w:val="-38213202"/>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DC0D108" w14:textId="77777777" w:rsidR="007E7472" w:rsidRDefault="00EC1269">
                        <w:pPr>
                          <w:ind w:firstLineChars="100" w:firstLine="210"/>
                        </w:pPr>
                        <w:r>
                          <w:rPr>
                            <w:rFonts w:hint="eastAsia"/>
                          </w:rPr>
                          <w:t>其中：应收利息</w:t>
                        </w:r>
                      </w:p>
                    </w:tc>
                  </w:sdtContent>
                </w:sdt>
                <w:tc>
                  <w:tcPr>
                    <w:tcW w:w="627" w:type="pct"/>
                    <w:tcBorders>
                      <w:top w:val="outset" w:sz="6" w:space="0" w:color="auto"/>
                      <w:left w:val="outset" w:sz="6" w:space="0" w:color="auto"/>
                      <w:bottom w:val="outset" w:sz="6" w:space="0" w:color="auto"/>
                      <w:right w:val="outset" w:sz="6" w:space="0" w:color="auto"/>
                    </w:tcBorders>
                  </w:tcPr>
                  <w:p w14:paraId="69200E0C" w14:textId="77777777" w:rsidR="007E7472" w:rsidRDefault="00EC1269">
                    <w:pPr>
                      <w:jc w:val="center"/>
                      <w:rPr>
                        <w:rFonts w:asciiTheme="majorEastAsia" w:eastAsiaTheme="majorEastAsia" w:hAnsiTheme="majorEastAsia"/>
                      </w:rPr>
                    </w:pPr>
                    <w:r>
                      <w:rPr>
                        <w:rFonts w:asciiTheme="majorEastAsia" w:eastAsiaTheme="majorEastAsia" w:hAnsiTheme="majorEastAsia" w:hint="eastAsia"/>
                      </w:rPr>
                      <w:t>七、</w:t>
                    </w:r>
                    <w:r>
                      <w:rPr>
                        <w:rFonts w:asciiTheme="majorEastAsia" w:eastAsiaTheme="majorEastAsia" w:hAnsiTheme="majorEastAsia"/>
                      </w:rPr>
                      <w:t>8</w:t>
                    </w:r>
                  </w:p>
                </w:tc>
                <w:tc>
                  <w:tcPr>
                    <w:tcW w:w="1411" w:type="pct"/>
                    <w:tcBorders>
                      <w:top w:val="outset" w:sz="6" w:space="0" w:color="auto"/>
                      <w:left w:val="outset" w:sz="6" w:space="0" w:color="auto"/>
                      <w:bottom w:val="outset" w:sz="6" w:space="0" w:color="auto"/>
                      <w:right w:val="outset" w:sz="6" w:space="0" w:color="auto"/>
                    </w:tcBorders>
                    <w:vAlign w:val="center"/>
                  </w:tcPr>
                  <w:p w14:paraId="0DC7E32A" w14:textId="77777777" w:rsidR="007E7472" w:rsidRDefault="00EC1269">
                    <w:pPr>
                      <w:jc w:val="right"/>
                    </w:pPr>
                    <w:r>
                      <w:t>46,677</w:t>
                    </w:r>
                  </w:p>
                </w:tc>
                <w:tc>
                  <w:tcPr>
                    <w:tcW w:w="1333" w:type="pct"/>
                    <w:tcBorders>
                      <w:top w:val="outset" w:sz="6" w:space="0" w:color="auto"/>
                      <w:left w:val="outset" w:sz="6" w:space="0" w:color="auto"/>
                      <w:bottom w:val="outset" w:sz="6" w:space="0" w:color="auto"/>
                      <w:right w:val="outset" w:sz="6" w:space="0" w:color="auto"/>
                    </w:tcBorders>
                    <w:vAlign w:val="center"/>
                  </w:tcPr>
                  <w:p w14:paraId="48627EF3" w14:textId="77777777" w:rsidR="007E7472" w:rsidRDefault="00EC1269">
                    <w:pPr>
                      <w:jc w:val="right"/>
                    </w:pPr>
                    <w:r>
                      <w:t>36,063</w:t>
                    </w:r>
                  </w:p>
                </w:tc>
              </w:tr>
              <w:tr w:rsidR="007E7472" w14:paraId="5ABD9A9A" w14:textId="77777777">
                <w:sdt>
                  <w:sdtPr>
                    <w:tag w:val="_PLD_4d3fdbd13bd44399aedfc802cf2f5e84"/>
                    <w:id w:val="640160871"/>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B27AA09" w14:textId="77777777" w:rsidR="007E7472" w:rsidRDefault="00EC1269">
                        <w:pPr>
                          <w:ind w:firstLineChars="400" w:firstLine="840"/>
                        </w:pPr>
                        <w:r>
                          <w:rPr>
                            <w:rFonts w:hint="eastAsia"/>
                          </w:rPr>
                          <w:t>应收股利</w:t>
                        </w:r>
                      </w:p>
                    </w:tc>
                  </w:sdtContent>
                </w:sdt>
                <w:tc>
                  <w:tcPr>
                    <w:tcW w:w="627" w:type="pct"/>
                    <w:tcBorders>
                      <w:top w:val="outset" w:sz="6" w:space="0" w:color="auto"/>
                      <w:left w:val="outset" w:sz="6" w:space="0" w:color="auto"/>
                      <w:bottom w:val="outset" w:sz="6" w:space="0" w:color="auto"/>
                      <w:right w:val="outset" w:sz="6" w:space="0" w:color="auto"/>
                    </w:tcBorders>
                  </w:tcPr>
                  <w:p w14:paraId="1BB2F137" w14:textId="77777777" w:rsidR="007E7472" w:rsidRDefault="00EC1269">
                    <w:pPr>
                      <w:jc w:val="center"/>
                      <w:rPr>
                        <w:rFonts w:asciiTheme="majorEastAsia" w:eastAsiaTheme="majorEastAsia" w:hAnsiTheme="majorEastAsia"/>
                      </w:rPr>
                    </w:pPr>
                    <w:r>
                      <w:rPr>
                        <w:rFonts w:asciiTheme="majorEastAsia" w:eastAsiaTheme="majorEastAsia" w:hAnsiTheme="majorEastAsia" w:hint="eastAsia"/>
                      </w:rPr>
                      <w:t>七、</w:t>
                    </w:r>
                    <w:r>
                      <w:rPr>
                        <w:rFonts w:asciiTheme="majorEastAsia" w:eastAsiaTheme="majorEastAsia" w:hAnsiTheme="majorEastAsia"/>
                      </w:rPr>
                      <w:t>8</w:t>
                    </w:r>
                  </w:p>
                </w:tc>
                <w:tc>
                  <w:tcPr>
                    <w:tcW w:w="1411" w:type="pct"/>
                    <w:tcBorders>
                      <w:top w:val="outset" w:sz="6" w:space="0" w:color="auto"/>
                      <w:left w:val="outset" w:sz="6" w:space="0" w:color="auto"/>
                      <w:bottom w:val="outset" w:sz="6" w:space="0" w:color="auto"/>
                      <w:right w:val="outset" w:sz="6" w:space="0" w:color="auto"/>
                    </w:tcBorders>
                    <w:vAlign w:val="center"/>
                  </w:tcPr>
                  <w:p w14:paraId="3ADC8B92" w14:textId="77777777" w:rsidR="007E7472" w:rsidRDefault="00EC1269">
                    <w:pPr>
                      <w:jc w:val="right"/>
                    </w:pPr>
                    <w:r>
                      <w:t>210,312</w:t>
                    </w:r>
                  </w:p>
                </w:tc>
                <w:tc>
                  <w:tcPr>
                    <w:tcW w:w="1333" w:type="pct"/>
                    <w:tcBorders>
                      <w:top w:val="outset" w:sz="6" w:space="0" w:color="auto"/>
                      <w:left w:val="outset" w:sz="6" w:space="0" w:color="auto"/>
                      <w:bottom w:val="outset" w:sz="6" w:space="0" w:color="auto"/>
                      <w:right w:val="outset" w:sz="6" w:space="0" w:color="auto"/>
                    </w:tcBorders>
                    <w:vAlign w:val="center"/>
                  </w:tcPr>
                  <w:p w14:paraId="39E3298B" w14:textId="77777777" w:rsidR="007E7472" w:rsidRDefault="00EC1269">
                    <w:pPr>
                      <w:jc w:val="right"/>
                    </w:pPr>
                    <w:r>
                      <w:t>220,311</w:t>
                    </w:r>
                  </w:p>
                </w:tc>
              </w:tr>
              <w:tr w:rsidR="007E7472" w14:paraId="0046BD7F" w14:textId="77777777">
                <w:sdt>
                  <w:sdtPr>
                    <w:tag w:val="_PLD_150565b75bcd4f3c8e385b838e4135fa"/>
                    <w:id w:val="7572091"/>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6E0EF5F" w14:textId="77777777" w:rsidR="007E7472" w:rsidRDefault="00EC1269">
                        <w:pPr>
                          <w:ind w:firstLineChars="100" w:firstLine="210"/>
                        </w:pPr>
                        <w:r>
                          <w:rPr>
                            <w:rFonts w:hint="eastAsia"/>
                          </w:rPr>
                          <w:t>买入返售金融资产</w:t>
                        </w:r>
                      </w:p>
                    </w:tc>
                  </w:sdtContent>
                </w:sdt>
                <w:tc>
                  <w:tcPr>
                    <w:tcW w:w="627" w:type="pct"/>
                    <w:tcBorders>
                      <w:top w:val="outset" w:sz="6" w:space="0" w:color="auto"/>
                      <w:left w:val="outset" w:sz="6" w:space="0" w:color="auto"/>
                      <w:bottom w:val="outset" w:sz="6" w:space="0" w:color="auto"/>
                      <w:right w:val="outset" w:sz="6" w:space="0" w:color="auto"/>
                    </w:tcBorders>
                  </w:tcPr>
                  <w:p w14:paraId="6E4BD8CA" w14:textId="77777777" w:rsidR="007E7472" w:rsidRDefault="00C8327E">
                    <w:pPr>
                      <w:jc w:val="center"/>
                      <w:rPr>
                        <w:rFonts w:asciiTheme="majorEastAsia" w:eastAsiaTheme="majorEastAsia" w:hAnsiTheme="maj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6EC8AFF2" w14:textId="77777777" w:rsidR="007E7472" w:rsidRDefault="00C832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2412CCC7" w14:textId="77777777" w:rsidR="007E7472" w:rsidRDefault="00C8327E">
                    <w:pPr>
                      <w:jc w:val="right"/>
                    </w:pPr>
                  </w:p>
                </w:tc>
              </w:tr>
              <w:tr w:rsidR="007E7472" w14:paraId="4F0E82C6" w14:textId="77777777">
                <w:sdt>
                  <w:sdtPr>
                    <w:tag w:val="_PLD_0967af437eee4294b4f611b5abd91937"/>
                    <w:id w:val="-460273828"/>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4E06464" w14:textId="77777777" w:rsidR="007E7472" w:rsidRDefault="00EC1269">
                        <w:pPr>
                          <w:ind w:firstLineChars="100" w:firstLine="210"/>
                        </w:pPr>
                        <w:r>
                          <w:rPr>
                            <w:rFonts w:hint="eastAsia"/>
                          </w:rPr>
                          <w:t>存货</w:t>
                        </w:r>
                      </w:p>
                    </w:tc>
                  </w:sdtContent>
                </w:sdt>
                <w:tc>
                  <w:tcPr>
                    <w:tcW w:w="627" w:type="pct"/>
                    <w:tcBorders>
                      <w:top w:val="outset" w:sz="6" w:space="0" w:color="auto"/>
                      <w:left w:val="outset" w:sz="6" w:space="0" w:color="auto"/>
                      <w:bottom w:val="outset" w:sz="6" w:space="0" w:color="auto"/>
                      <w:right w:val="outset" w:sz="6" w:space="0" w:color="auto"/>
                    </w:tcBorders>
                  </w:tcPr>
                  <w:p w14:paraId="1F780D19" w14:textId="77777777" w:rsidR="007E7472" w:rsidRDefault="00EC1269">
                    <w:pPr>
                      <w:jc w:val="center"/>
                      <w:rPr>
                        <w:rFonts w:asciiTheme="majorEastAsia" w:eastAsiaTheme="majorEastAsia" w:hAnsiTheme="majorEastAsia"/>
                      </w:rPr>
                    </w:pPr>
                    <w:r>
                      <w:rPr>
                        <w:rFonts w:asciiTheme="majorEastAsia" w:eastAsiaTheme="majorEastAsia" w:hAnsiTheme="majorEastAsia" w:hint="eastAsia"/>
                      </w:rPr>
                      <w:t>七、</w:t>
                    </w:r>
                    <w:r>
                      <w:rPr>
                        <w:rFonts w:asciiTheme="majorEastAsia" w:eastAsiaTheme="majorEastAsia" w:hAnsiTheme="majorEastAsia"/>
                      </w:rPr>
                      <w:t>9</w:t>
                    </w:r>
                  </w:p>
                </w:tc>
                <w:tc>
                  <w:tcPr>
                    <w:tcW w:w="1411" w:type="pct"/>
                    <w:tcBorders>
                      <w:top w:val="outset" w:sz="6" w:space="0" w:color="auto"/>
                      <w:left w:val="outset" w:sz="6" w:space="0" w:color="auto"/>
                      <w:bottom w:val="outset" w:sz="6" w:space="0" w:color="auto"/>
                      <w:right w:val="outset" w:sz="6" w:space="0" w:color="auto"/>
                    </w:tcBorders>
                    <w:vAlign w:val="center"/>
                  </w:tcPr>
                  <w:p w14:paraId="5B9B45DB" w14:textId="77777777" w:rsidR="007E7472" w:rsidRDefault="00EC1269">
                    <w:pPr>
                      <w:jc w:val="right"/>
                    </w:pPr>
                    <w:r>
                      <w:t>7,182,659</w:t>
                    </w:r>
                  </w:p>
                </w:tc>
                <w:tc>
                  <w:tcPr>
                    <w:tcW w:w="1333" w:type="pct"/>
                    <w:tcBorders>
                      <w:top w:val="outset" w:sz="6" w:space="0" w:color="auto"/>
                      <w:left w:val="outset" w:sz="6" w:space="0" w:color="auto"/>
                      <w:bottom w:val="outset" w:sz="6" w:space="0" w:color="auto"/>
                      <w:right w:val="outset" w:sz="6" w:space="0" w:color="auto"/>
                    </w:tcBorders>
                    <w:vAlign w:val="center"/>
                  </w:tcPr>
                  <w:p w14:paraId="6ED3D13A" w14:textId="77777777" w:rsidR="007E7472" w:rsidRDefault="00EC1269">
                    <w:pPr>
                      <w:jc w:val="right"/>
                    </w:pPr>
                    <w:r>
                      <w:t>8,916,500</w:t>
                    </w:r>
                  </w:p>
                </w:tc>
              </w:tr>
              <w:tr w:rsidR="007E7472" w14:paraId="35A6CCEE" w14:textId="7777777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ecfb75d6b6f43eaab87b9fe006ab819"/>
                      <w:id w:val="1883356284"/>
                    </w:sdtPr>
                    <w:sdtEndPr/>
                    <w:sdtContent>
                      <w:p w14:paraId="7ABBC490" w14:textId="77777777" w:rsidR="007E7472" w:rsidRDefault="00EC1269">
                        <w:pPr>
                          <w:ind w:firstLineChars="100" w:firstLine="210"/>
                        </w:pPr>
                        <w:r>
                          <w:rPr>
                            <w:rFonts w:hint="eastAsia"/>
                          </w:rPr>
                          <w:t>合同资产</w:t>
                        </w:r>
                      </w:p>
                    </w:sdtContent>
                  </w:sdt>
                </w:tc>
                <w:tc>
                  <w:tcPr>
                    <w:tcW w:w="627" w:type="pct"/>
                    <w:tcBorders>
                      <w:top w:val="outset" w:sz="6" w:space="0" w:color="auto"/>
                      <w:left w:val="outset" w:sz="6" w:space="0" w:color="auto"/>
                      <w:bottom w:val="outset" w:sz="6" w:space="0" w:color="auto"/>
                      <w:right w:val="outset" w:sz="6" w:space="0" w:color="auto"/>
                    </w:tcBorders>
                  </w:tcPr>
                  <w:p w14:paraId="1070B1F7" w14:textId="77777777" w:rsidR="007E7472" w:rsidRDefault="00C8327E">
                    <w:pPr>
                      <w:jc w:val="center"/>
                      <w:rPr>
                        <w:rFonts w:asciiTheme="majorEastAsia" w:eastAsiaTheme="majorEastAsia" w:hAnsiTheme="maj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4E6808B4" w14:textId="77777777" w:rsidR="007E7472" w:rsidRDefault="00C832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0822AF2C" w14:textId="77777777" w:rsidR="007E7472" w:rsidRDefault="00C8327E">
                    <w:pPr>
                      <w:jc w:val="right"/>
                    </w:pPr>
                  </w:p>
                </w:tc>
              </w:tr>
              <w:tr w:rsidR="007E7472" w14:paraId="10F16825" w14:textId="77777777">
                <w:sdt>
                  <w:sdtPr>
                    <w:tag w:val="_PLD_20a26361e8f8463bbf996022971e66c0"/>
                    <w:id w:val="1496847496"/>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B1084CD" w14:textId="77777777" w:rsidR="007E7472" w:rsidRDefault="00EC1269">
                        <w:pPr>
                          <w:ind w:firstLineChars="100" w:firstLine="210"/>
                        </w:pPr>
                        <w:r>
                          <w:rPr>
                            <w:rFonts w:hint="eastAsia"/>
                          </w:rPr>
                          <w:t>持有待售资产</w:t>
                        </w:r>
                      </w:p>
                    </w:tc>
                  </w:sdtContent>
                </w:sdt>
                <w:tc>
                  <w:tcPr>
                    <w:tcW w:w="627" w:type="pct"/>
                    <w:tcBorders>
                      <w:top w:val="outset" w:sz="6" w:space="0" w:color="auto"/>
                      <w:left w:val="outset" w:sz="6" w:space="0" w:color="auto"/>
                      <w:bottom w:val="outset" w:sz="6" w:space="0" w:color="auto"/>
                      <w:right w:val="outset" w:sz="6" w:space="0" w:color="auto"/>
                    </w:tcBorders>
                  </w:tcPr>
                  <w:p w14:paraId="23C38B1C" w14:textId="77777777" w:rsidR="007E7472" w:rsidRDefault="00C8327E">
                    <w:pPr>
                      <w:jc w:val="center"/>
                      <w:rPr>
                        <w:rFonts w:asciiTheme="majorEastAsia" w:eastAsiaTheme="majorEastAsia" w:hAnsiTheme="maj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1FBC7476" w14:textId="77777777" w:rsidR="007E7472" w:rsidRDefault="00EC1269">
                    <w:pPr>
                      <w:jc w:val="right"/>
                    </w:pPr>
                    <w:r>
                      <w:t>56,093</w:t>
                    </w:r>
                  </w:p>
                </w:tc>
                <w:tc>
                  <w:tcPr>
                    <w:tcW w:w="1333" w:type="pct"/>
                    <w:tcBorders>
                      <w:top w:val="outset" w:sz="6" w:space="0" w:color="auto"/>
                      <w:left w:val="outset" w:sz="6" w:space="0" w:color="auto"/>
                      <w:bottom w:val="outset" w:sz="6" w:space="0" w:color="auto"/>
                      <w:right w:val="outset" w:sz="6" w:space="0" w:color="auto"/>
                    </w:tcBorders>
                    <w:vAlign w:val="center"/>
                  </w:tcPr>
                  <w:p w14:paraId="1BCC8AB1" w14:textId="77777777" w:rsidR="007E7472" w:rsidRDefault="00EC1269">
                    <w:pPr>
                      <w:jc w:val="right"/>
                    </w:pPr>
                    <w:r>
                      <w:t>8,061</w:t>
                    </w:r>
                  </w:p>
                </w:tc>
              </w:tr>
              <w:tr w:rsidR="007E7472" w14:paraId="5E5F2FCC" w14:textId="77777777">
                <w:sdt>
                  <w:sdtPr>
                    <w:tag w:val="_PLD_85034baf09ae473db2e4694be7430d29"/>
                    <w:id w:val="-243882182"/>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834FDA1" w14:textId="77777777" w:rsidR="007E7472" w:rsidRDefault="00EC1269">
                        <w:pPr>
                          <w:ind w:firstLineChars="100" w:firstLine="210"/>
                        </w:pPr>
                        <w:r>
                          <w:rPr>
                            <w:rFonts w:hint="eastAsia"/>
                          </w:rPr>
                          <w:t>一年内到期的非流动资产</w:t>
                        </w:r>
                      </w:p>
                    </w:tc>
                  </w:sdtContent>
                </w:sdt>
                <w:tc>
                  <w:tcPr>
                    <w:tcW w:w="627" w:type="pct"/>
                    <w:tcBorders>
                      <w:top w:val="outset" w:sz="6" w:space="0" w:color="auto"/>
                      <w:left w:val="outset" w:sz="6" w:space="0" w:color="auto"/>
                      <w:bottom w:val="outset" w:sz="6" w:space="0" w:color="auto"/>
                      <w:right w:val="outset" w:sz="6" w:space="0" w:color="auto"/>
                    </w:tcBorders>
                  </w:tcPr>
                  <w:p w14:paraId="43F2C714" w14:textId="77777777" w:rsidR="007E7472" w:rsidRDefault="00EC1269">
                    <w:pPr>
                      <w:jc w:val="center"/>
                      <w:rPr>
                        <w:rFonts w:asciiTheme="majorEastAsia" w:eastAsiaTheme="majorEastAsia" w:hAnsiTheme="majorEastAsia"/>
                      </w:rPr>
                    </w:pPr>
                    <w:r>
                      <w:rPr>
                        <w:rFonts w:asciiTheme="majorEastAsia" w:eastAsiaTheme="majorEastAsia" w:hAnsiTheme="majorEastAsia" w:hint="eastAsia"/>
                      </w:rPr>
                      <w:t>七、</w:t>
                    </w:r>
                    <w:r>
                      <w:rPr>
                        <w:rFonts w:asciiTheme="majorEastAsia" w:eastAsiaTheme="majorEastAsia" w:hAnsiTheme="majorEastAsia"/>
                      </w:rPr>
                      <w:t>12</w:t>
                    </w:r>
                  </w:p>
                </w:tc>
                <w:tc>
                  <w:tcPr>
                    <w:tcW w:w="1411" w:type="pct"/>
                    <w:tcBorders>
                      <w:top w:val="outset" w:sz="6" w:space="0" w:color="auto"/>
                      <w:left w:val="outset" w:sz="6" w:space="0" w:color="auto"/>
                      <w:bottom w:val="outset" w:sz="6" w:space="0" w:color="auto"/>
                      <w:right w:val="outset" w:sz="6" w:space="0" w:color="auto"/>
                    </w:tcBorders>
                    <w:vAlign w:val="center"/>
                  </w:tcPr>
                  <w:p w14:paraId="53CC2FF1" w14:textId="77777777" w:rsidR="007E7472" w:rsidRDefault="00EC1269">
                    <w:pPr>
                      <w:jc w:val="right"/>
                    </w:pPr>
                    <w:r>
                      <w:t>2,802,663</w:t>
                    </w:r>
                  </w:p>
                </w:tc>
                <w:tc>
                  <w:tcPr>
                    <w:tcW w:w="1333" w:type="pct"/>
                    <w:tcBorders>
                      <w:top w:val="outset" w:sz="6" w:space="0" w:color="auto"/>
                      <w:left w:val="outset" w:sz="6" w:space="0" w:color="auto"/>
                      <w:bottom w:val="outset" w:sz="6" w:space="0" w:color="auto"/>
                      <w:right w:val="outset" w:sz="6" w:space="0" w:color="auto"/>
                    </w:tcBorders>
                    <w:vAlign w:val="center"/>
                  </w:tcPr>
                  <w:p w14:paraId="5B581D0C" w14:textId="77777777" w:rsidR="007E7472" w:rsidRDefault="00EC1269">
                    <w:pPr>
                      <w:jc w:val="right"/>
                    </w:pPr>
                    <w:r>
                      <w:t>4,516,988</w:t>
                    </w:r>
                  </w:p>
                </w:tc>
              </w:tr>
              <w:tr w:rsidR="007E7472" w14:paraId="6D00328B" w14:textId="77777777">
                <w:sdt>
                  <w:sdtPr>
                    <w:tag w:val="_PLD_59111301b0474503970c30d14c6c16c1"/>
                    <w:id w:val="-1368990975"/>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4B9882B" w14:textId="77777777" w:rsidR="007E7472" w:rsidRDefault="00EC1269">
                        <w:pPr>
                          <w:ind w:firstLineChars="100" w:firstLine="210"/>
                        </w:pPr>
                        <w:r>
                          <w:rPr>
                            <w:rFonts w:hint="eastAsia"/>
                          </w:rPr>
                          <w:t>其他流动资产</w:t>
                        </w:r>
                      </w:p>
                    </w:tc>
                  </w:sdtContent>
                </w:sdt>
                <w:tc>
                  <w:tcPr>
                    <w:tcW w:w="627" w:type="pct"/>
                    <w:tcBorders>
                      <w:top w:val="outset" w:sz="6" w:space="0" w:color="auto"/>
                      <w:left w:val="outset" w:sz="6" w:space="0" w:color="auto"/>
                      <w:bottom w:val="outset" w:sz="6" w:space="0" w:color="auto"/>
                      <w:right w:val="outset" w:sz="6" w:space="0" w:color="auto"/>
                    </w:tcBorders>
                  </w:tcPr>
                  <w:p w14:paraId="5CA9920A" w14:textId="77777777" w:rsidR="007E7472" w:rsidRDefault="00EC1269">
                    <w:pPr>
                      <w:jc w:val="center"/>
                      <w:rPr>
                        <w:rFonts w:asciiTheme="majorEastAsia" w:eastAsiaTheme="majorEastAsia" w:hAnsiTheme="majorEastAsia"/>
                      </w:rPr>
                    </w:pPr>
                    <w:r>
                      <w:rPr>
                        <w:rFonts w:asciiTheme="majorEastAsia" w:eastAsiaTheme="majorEastAsia" w:hAnsiTheme="majorEastAsia" w:hint="eastAsia"/>
                      </w:rPr>
                      <w:t>七、</w:t>
                    </w:r>
                    <w:r>
                      <w:rPr>
                        <w:rFonts w:asciiTheme="majorEastAsia" w:eastAsiaTheme="majorEastAsia" w:hAnsiTheme="majorEastAsia"/>
                      </w:rPr>
                      <w:t>13</w:t>
                    </w:r>
                  </w:p>
                </w:tc>
                <w:tc>
                  <w:tcPr>
                    <w:tcW w:w="1411" w:type="pct"/>
                    <w:tcBorders>
                      <w:top w:val="outset" w:sz="6" w:space="0" w:color="auto"/>
                      <w:left w:val="outset" w:sz="6" w:space="0" w:color="auto"/>
                      <w:bottom w:val="outset" w:sz="6" w:space="0" w:color="auto"/>
                      <w:right w:val="outset" w:sz="6" w:space="0" w:color="auto"/>
                    </w:tcBorders>
                    <w:vAlign w:val="center"/>
                  </w:tcPr>
                  <w:p w14:paraId="70548137" w14:textId="77777777" w:rsidR="007E7472" w:rsidRDefault="00EC1269">
                    <w:pPr>
                      <w:jc w:val="right"/>
                    </w:pPr>
                    <w:r>
                      <w:t>14,336,438</w:t>
                    </w:r>
                  </w:p>
                </w:tc>
                <w:tc>
                  <w:tcPr>
                    <w:tcW w:w="1333" w:type="pct"/>
                    <w:tcBorders>
                      <w:top w:val="outset" w:sz="6" w:space="0" w:color="auto"/>
                      <w:left w:val="outset" w:sz="6" w:space="0" w:color="auto"/>
                      <w:bottom w:val="outset" w:sz="6" w:space="0" w:color="auto"/>
                      <w:right w:val="outset" w:sz="6" w:space="0" w:color="auto"/>
                    </w:tcBorders>
                    <w:vAlign w:val="center"/>
                  </w:tcPr>
                  <w:p w14:paraId="74EE1749" w14:textId="77777777" w:rsidR="007E7472" w:rsidRDefault="00EC1269">
                    <w:pPr>
                      <w:jc w:val="right"/>
                    </w:pPr>
                    <w:r>
                      <w:t>11,831,445</w:t>
                    </w:r>
                  </w:p>
                </w:tc>
              </w:tr>
              <w:tr w:rsidR="007E7472" w14:paraId="72B15948" w14:textId="77777777">
                <w:sdt>
                  <w:sdtPr>
                    <w:tag w:val="_PLD_e89c5fc1115a4751868d93f96af78d12"/>
                    <w:id w:val="608399687"/>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B9FF568" w14:textId="77777777" w:rsidR="007E7472" w:rsidRDefault="00EC1269">
                        <w:pPr>
                          <w:ind w:firstLineChars="200" w:firstLine="420"/>
                        </w:pPr>
                        <w:r>
                          <w:rPr>
                            <w:rFonts w:hint="eastAsia"/>
                          </w:rPr>
                          <w:t>流动资产合计</w:t>
                        </w:r>
                      </w:p>
                    </w:tc>
                  </w:sdtContent>
                </w:sdt>
                <w:tc>
                  <w:tcPr>
                    <w:tcW w:w="627" w:type="pct"/>
                    <w:tcBorders>
                      <w:top w:val="outset" w:sz="6" w:space="0" w:color="auto"/>
                      <w:left w:val="outset" w:sz="6" w:space="0" w:color="auto"/>
                      <w:bottom w:val="outset" w:sz="6" w:space="0" w:color="auto"/>
                      <w:right w:val="outset" w:sz="6" w:space="0" w:color="auto"/>
                    </w:tcBorders>
                  </w:tcPr>
                  <w:p w14:paraId="02967AD1" w14:textId="77777777" w:rsidR="007E7472" w:rsidRDefault="00C8327E">
                    <w:pPr>
                      <w:jc w:val="center"/>
                      <w:rPr>
                        <w:rFonts w:asciiTheme="majorEastAsia" w:eastAsiaTheme="majorEastAsia" w:hAnsiTheme="maj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61F243D8" w14:textId="77777777" w:rsidR="007E7472" w:rsidRDefault="00EC1269">
                    <w:pPr>
                      <w:jc w:val="right"/>
                    </w:pPr>
                    <w:r>
                      <w:t>98,163,703</w:t>
                    </w:r>
                  </w:p>
                </w:tc>
                <w:tc>
                  <w:tcPr>
                    <w:tcW w:w="1333" w:type="pct"/>
                    <w:tcBorders>
                      <w:top w:val="outset" w:sz="6" w:space="0" w:color="auto"/>
                      <w:left w:val="outset" w:sz="6" w:space="0" w:color="auto"/>
                      <w:bottom w:val="outset" w:sz="6" w:space="0" w:color="auto"/>
                      <w:right w:val="outset" w:sz="6" w:space="0" w:color="auto"/>
                    </w:tcBorders>
                    <w:vAlign w:val="center"/>
                  </w:tcPr>
                  <w:p w14:paraId="26219DD9" w14:textId="77777777" w:rsidR="007E7472" w:rsidRDefault="00EC1269">
                    <w:pPr>
                      <w:jc w:val="right"/>
                    </w:pPr>
                    <w:r>
                      <w:t>88,735,747</w:t>
                    </w:r>
                  </w:p>
                </w:tc>
              </w:tr>
              <w:tr w:rsidR="007E7472" w14:paraId="5D2D8410" w14:textId="77777777">
                <w:sdt>
                  <w:sdtPr>
                    <w:tag w:val="_PLD_66ac6acc14e74939b5cc43190a3afd2b"/>
                    <w:id w:val="-127091654"/>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18BB1BFD" w14:textId="77777777" w:rsidR="007E7472" w:rsidRDefault="00EC1269">
                        <w:pPr>
                          <w:rPr>
                            <w:color w:val="008000"/>
                          </w:rPr>
                        </w:pPr>
                        <w:r>
                          <w:rPr>
                            <w:rFonts w:hint="eastAsia"/>
                            <w:b/>
                          </w:rPr>
                          <w:t>非流动资产：</w:t>
                        </w:r>
                      </w:p>
                    </w:tc>
                  </w:sdtContent>
                </w:sdt>
              </w:tr>
              <w:tr w:rsidR="007E7472" w14:paraId="28869718" w14:textId="77777777">
                <w:sdt>
                  <w:sdtPr>
                    <w:tag w:val="_PLD_22aa48a975974ca794a64ae94835362c"/>
                    <w:id w:val="1891533531"/>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6303AC5" w14:textId="77777777" w:rsidR="007E7472" w:rsidRDefault="00EC1269">
                        <w:pPr>
                          <w:ind w:firstLineChars="100" w:firstLine="210"/>
                        </w:pPr>
                        <w:r>
                          <w:rPr>
                            <w:rFonts w:hint="eastAsia"/>
                          </w:rPr>
                          <w:t>发放贷款和垫款</w:t>
                        </w:r>
                      </w:p>
                    </w:tc>
                  </w:sdtContent>
                </w:sdt>
                <w:tc>
                  <w:tcPr>
                    <w:tcW w:w="627" w:type="pct"/>
                    <w:tcBorders>
                      <w:top w:val="outset" w:sz="6" w:space="0" w:color="auto"/>
                      <w:left w:val="outset" w:sz="6" w:space="0" w:color="auto"/>
                      <w:bottom w:val="outset" w:sz="6" w:space="0" w:color="auto"/>
                      <w:right w:val="outset" w:sz="6" w:space="0" w:color="auto"/>
                    </w:tcBorders>
                  </w:tcPr>
                  <w:p w14:paraId="734B730D" w14:textId="77777777" w:rsidR="007E7472" w:rsidRDefault="00C8327E">
                    <w:pPr>
                      <w:jc w:val="center"/>
                      <w:rPr>
                        <w:rFonts w:asciiTheme="majorEastAsia" w:eastAsiaTheme="majorEastAsia" w:hAnsiTheme="maj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3089B19C" w14:textId="77777777" w:rsidR="007E7472" w:rsidRDefault="00C832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2D6F7920" w14:textId="77777777" w:rsidR="007E7472" w:rsidRDefault="00C8327E">
                    <w:pPr>
                      <w:jc w:val="right"/>
                    </w:pPr>
                  </w:p>
                </w:tc>
              </w:tr>
              <w:tr w:rsidR="007E7472" w14:paraId="35509662" w14:textId="7777777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b4e85a6b3e74bac9cd4834b80365bf5"/>
                      <w:id w:val="2053967197"/>
                    </w:sdtPr>
                    <w:sdtEndPr/>
                    <w:sdtContent>
                      <w:p w14:paraId="4E5F3EB9" w14:textId="77777777" w:rsidR="007E7472" w:rsidRDefault="00EC1269">
                        <w:pPr>
                          <w:ind w:firstLineChars="100" w:firstLine="210"/>
                        </w:pPr>
                        <w:r>
                          <w:rPr>
                            <w:rFonts w:hint="eastAsia"/>
                          </w:rPr>
                          <w:t>债权投资</w:t>
                        </w:r>
                      </w:p>
                    </w:sdtContent>
                  </w:sdt>
                </w:tc>
                <w:tc>
                  <w:tcPr>
                    <w:tcW w:w="627" w:type="pct"/>
                    <w:tcBorders>
                      <w:top w:val="outset" w:sz="6" w:space="0" w:color="auto"/>
                      <w:left w:val="outset" w:sz="6" w:space="0" w:color="auto"/>
                      <w:bottom w:val="outset" w:sz="6" w:space="0" w:color="auto"/>
                      <w:right w:val="outset" w:sz="6" w:space="0" w:color="auto"/>
                    </w:tcBorders>
                  </w:tcPr>
                  <w:p w14:paraId="36F6123A" w14:textId="77777777" w:rsidR="007E7472" w:rsidRDefault="00EC1269">
                    <w:pPr>
                      <w:jc w:val="center"/>
                      <w:rPr>
                        <w:rFonts w:asciiTheme="majorEastAsia" w:eastAsiaTheme="majorEastAsia" w:hAnsiTheme="majorEastAsia"/>
                      </w:rPr>
                    </w:pPr>
                    <w:r>
                      <w:rPr>
                        <w:rFonts w:asciiTheme="majorEastAsia" w:eastAsiaTheme="majorEastAsia" w:hAnsiTheme="majorEastAsia" w:hint="eastAsia"/>
                      </w:rPr>
                      <w:t>七、</w:t>
                    </w:r>
                    <w:r>
                      <w:rPr>
                        <w:rFonts w:asciiTheme="majorEastAsia" w:eastAsiaTheme="majorEastAsia" w:hAnsiTheme="majorEastAsia"/>
                      </w:rPr>
                      <w:t>14</w:t>
                    </w:r>
                  </w:p>
                </w:tc>
                <w:tc>
                  <w:tcPr>
                    <w:tcW w:w="1411" w:type="pct"/>
                    <w:tcBorders>
                      <w:top w:val="outset" w:sz="6" w:space="0" w:color="auto"/>
                      <w:left w:val="outset" w:sz="6" w:space="0" w:color="auto"/>
                      <w:bottom w:val="outset" w:sz="6" w:space="0" w:color="auto"/>
                      <w:right w:val="outset" w:sz="6" w:space="0" w:color="auto"/>
                    </w:tcBorders>
                    <w:vAlign w:val="center"/>
                  </w:tcPr>
                  <w:p w14:paraId="19261ECD" w14:textId="77777777" w:rsidR="007E7472" w:rsidRDefault="00EC1269">
                    <w:pPr>
                      <w:jc w:val="right"/>
                    </w:pPr>
                    <w:r>
                      <w:t>212,665</w:t>
                    </w:r>
                  </w:p>
                </w:tc>
                <w:tc>
                  <w:tcPr>
                    <w:tcW w:w="1333" w:type="pct"/>
                    <w:tcBorders>
                      <w:top w:val="outset" w:sz="6" w:space="0" w:color="auto"/>
                      <w:left w:val="outset" w:sz="6" w:space="0" w:color="auto"/>
                      <w:bottom w:val="outset" w:sz="6" w:space="0" w:color="auto"/>
                      <w:right w:val="outset" w:sz="6" w:space="0" w:color="auto"/>
                    </w:tcBorders>
                    <w:vAlign w:val="center"/>
                  </w:tcPr>
                  <w:p w14:paraId="66786F3E" w14:textId="77777777" w:rsidR="007E7472" w:rsidRDefault="00EC1269">
                    <w:pPr>
                      <w:jc w:val="right"/>
                    </w:pPr>
                    <w:r>
                      <w:t>206,228</w:t>
                    </w:r>
                  </w:p>
                </w:tc>
              </w:tr>
              <w:tr w:rsidR="007E7472" w14:paraId="125F5F43" w14:textId="7777777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a42e80c658846cda83a637d16a3300f"/>
                      <w:id w:val="-287041886"/>
                    </w:sdtPr>
                    <w:sdtEndPr/>
                    <w:sdtContent>
                      <w:p w14:paraId="6FA606EA" w14:textId="77777777" w:rsidR="007E7472" w:rsidRDefault="00EC1269">
                        <w:pPr>
                          <w:ind w:firstLineChars="100" w:firstLine="210"/>
                        </w:pPr>
                        <w:r>
                          <w:rPr>
                            <w:rFonts w:hint="eastAsia"/>
                          </w:rPr>
                          <w:t>其他债权投资</w:t>
                        </w:r>
                      </w:p>
                    </w:sdtContent>
                  </w:sdt>
                </w:tc>
                <w:tc>
                  <w:tcPr>
                    <w:tcW w:w="627" w:type="pct"/>
                    <w:tcBorders>
                      <w:top w:val="outset" w:sz="6" w:space="0" w:color="auto"/>
                      <w:left w:val="outset" w:sz="6" w:space="0" w:color="auto"/>
                      <w:bottom w:val="outset" w:sz="6" w:space="0" w:color="auto"/>
                      <w:right w:val="outset" w:sz="6" w:space="0" w:color="auto"/>
                    </w:tcBorders>
                  </w:tcPr>
                  <w:p w14:paraId="4F642CA1" w14:textId="77777777" w:rsidR="007E7472" w:rsidRDefault="00C8327E">
                    <w:pPr>
                      <w:jc w:val="center"/>
                      <w:rPr>
                        <w:rFonts w:asciiTheme="majorEastAsia" w:eastAsiaTheme="majorEastAsia" w:hAnsiTheme="maj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5110EC70" w14:textId="77777777" w:rsidR="007E7472" w:rsidRDefault="00C832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114B5743" w14:textId="77777777" w:rsidR="007E7472" w:rsidRDefault="00C8327E">
                    <w:pPr>
                      <w:jc w:val="right"/>
                    </w:pPr>
                  </w:p>
                </w:tc>
              </w:tr>
              <w:tr w:rsidR="007E7472" w14:paraId="14898E57" w14:textId="77777777">
                <w:sdt>
                  <w:sdtPr>
                    <w:tag w:val="_PLD_235e8def5b4b4c7abc05596f3566e5ca"/>
                    <w:id w:val="-1616432791"/>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FD65079" w14:textId="77777777" w:rsidR="007E7472" w:rsidRDefault="00EC1269">
                        <w:pPr>
                          <w:ind w:firstLineChars="100" w:firstLine="210"/>
                        </w:pPr>
                        <w:r>
                          <w:rPr>
                            <w:rFonts w:hint="eastAsia"/>
                          </w:rPr>
                          <w:t>长期应收款</w:t>
                        </w:r>
                      </w:p>
                    </w:tc>
                  </w:sdtContent>
                </w:sdt>
                <w:tc>
                  <w:tcPr>
                    <w:tcW w:w="627" w:type="pct"/>
                    <w:tcBorders>
                      <w:top w:val="outset" w:sz="6" w:space="0" w:color="auto"/>
                      <w:left w:val="outset" w:sz="6" w:space="0" w:color="auto"/>
                      <w:bottom w:val="outset" w:sz="6" w:space="0" w:color="auto"/>
                      <w:right w:val="outset" w:sz="6" w:space="0" w:color="auto"/>
                    </w:tcBorders>
                  </w:tcPr>
                  <w:p w14:paraId="0BDA2892" w14:textId="77777777" w:rsidR="007E7472" w:rsidRDefault="00EC1269">
                    <w:pPr>
                      <w:jc w:val="center"/>
                      <w:rPr>
                        <w:rFonts w:asciiTheme="majorEastAsia" w:eastAsiaTheme="majorEastAsia" w:hAnsiTheme="majorEastAsia"/>
                      </w:rPr>
                    </w:pPr>
                    <w:r>
                      <w:rPr>
                        <w:rFonts w:asciiTheme="majorEastAsia" w:eastAsiaTheme="majorEastAsia" w:hAnsiTheme="majorEastAsia" w:hint="eastAsia"/>
                      </w:rPr>
                      <w:t>七、</w:t>
                    </w:r>
                    <w:r>
                      <w:rPr>
                        <w:rFonts w:asciiTheme="majorEastAsia" w:eastAsiaTheme="majorEastAsia" w:hAnsiTheme="majorEastAsia"/>
                      </w:rPr>
                      <w:t>16</w:t>
                    </w:r>
                  </w:p>
                </w:tc>
                <w:tc>
                  <w:tcPr>
                    <w:tcW w:w="1411" w:type="pct"/>
                    <w:tcBorders>
                      <w:top w:val="outset" w:sz="6" w:space="0" w:color="auto"/>
                      <w:left w:val="outset" w:sz="6" w:space="0" w:color="auto"/>
                      <w:bottom w:val="outset" w:sz="6" w:space="0" w:color="auto"/>
                      <w:right w:val="outset" w:sz="6" w:space="0" w:color="auto"/>
                    </w:tcBorders>
                    <w:vAlign w:val="center"/>
                  </w:tcPr>
                  <w:p w14:paraId="4B533132" w14:textId="77777777" w:rsidR="007E7472" w:rsidRDefault="00EC1269">
                    <w:pPr>
                      <w:jc w:val="right"/>
                    </w:pPr>
                    <w:r>
                      <w:t>1,988,932</w:t>
                    </w:r>
                  </w:p>
                </w:tc>
                <w:tc>
                  <w:tcPr>
                    <w:tcW w:w="1333" w:type="pct"/>
                    <w:tcBorders>
                      <w:top w:val="outset" w:sz="6" w:space="0" w:color="auto"/>
                      <w:left w:val="outset" w:sz="6" w:space="0" w:color="auto"/>
                      <w:bottom w:val="outset" w:sz="6" w:space="0" w:color="auto"/>
                      <w:right w:val="outset" w:sz="6" w:space="0" w:color="auto"/>
                    </w:tcBorders>
                    <w:vAlign w:val="center"/>
                  </w:tcPr>
                  <w:p w14:paraId="519321EE" w14:textId="77777777" w:rsidR="007E7472" w:rsidRDefault="00EC1269">
                    <w:pPr>
                      <w:jc w:val="right"/>
                    </w:pPr>
                    <w:r>
                      <w:t>2,364,596</w:t>
                    </w:r>
                  </w:p>
                </w:tc>
              </w:tr>
              <w:tr w:rsidR="007E7472" w14:paraId="6EBB18E6" w14:textId="77777777">
                <w:sdt>
                  <w:sdtPr>
                    <w:tag w:val="_PLD_a03693997f484cfcaa912b0e71d5709d"/>
                    <w:id w:val="-915008788"/>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C266223" w14:textId="77777777" w:rsidR="007E7472" w:rsidRDefault="00EC1269">
                        <w:pPr>
                          <w:ind w:firstLineChars="100" w:firstLine="210"/>
                        </w:pPr>
                        <w:r>
                          <w:rPr>
                            <w:rFonts w:hint="eastAsia"/>
                          </w:rPr>
                          <w:t>长期股权投资</w:t>
                        </w:r>
                      </w:p>
                    </w:tc>
                  </w:sdtContent>
                </w:sdt>
                <w:tc>
                  <w:tcPr>
                    <w:tcW w:w="627" w:type="pct"/>
                    <w:tcBorders>
                      <w:top w:val="outset" w:sz="6" w:space="0" w:color="auto"/>
                      <w:left w:val="outset" w:sz="6" w:space="0" w:color="auto"/>
                      <w:bottom w:val="outset" w:sz="6" w:space="0" w:color="auto"/>
                      <w:right w:val="outset" w:sz="6" w:space="0" w:color="auto"/>
                    </w:tcBorders>
                  </w:tcPr>
                  <w:p w14:paraId="678FE44E" w14:textId="77777777" w:rsidR="007E7472" w:rsidRDefault="00EC1269">
                    <w:pPr>
                      <w:jc w:val="center"/>
                      <w:rPr>
                        <w:rFonts w:asciiTheme="majorEastAsia" w:eastAsiaTheme="majorEastAsia" w:hAnsiTheme="majorEastAsia"/>
                      </w:rPr>
                    </w:pPr>
                    <w:r>
                      <w:rPr>
                        <w:rFonts w:asciiTheme="majorEastAsia" w:eastAsiaTheme="majorEastAsia" w:hAnsiTheme="majorEastAsia" w:hint="eastAsia"/>
                      </w:rPr>
                      <w:t>七、</w:t>
                    </w:r>
                    <w:r>
                      <w:rPr>
                        <w:rFonts w:asciiTheme="majorEastAsia" w:eastAsiaTheme="majorEastAsia" w:hAnsiTheme="majorEastAsia"/>
                      </w:rPr>
                      <w:t>17</w:t>
                    </w:r>
                  </w:p>
                </w:tc>
                <w:tc>
                  <w:tcPr>
                    <w:tcW w:w="1411" w:type="pct"/>
                    <w:tcBorders>
                      <w:top w:val="outset" w:sz="6" w:space="0" w:color="auto"/>
                      <w:left w:val="outset" w:sz="6" w:space="0" w:color="auto"/>
                      <w:bottom w:val="outset" w:sz="6" w:space="0" w:color="auto"/>
                      <w:right w:val="outset" w:sz="6" w:space="0" w:color="auto"/>
                    </w:tcBorders>
                    <w:vAlign w:val="center"/>
                  </w:tcPr>
                  <w:p w14:paraId="16366D77" w14:textId="77777777" w:rsidR="007E7472" w:rsidRDefault="00EC1269">
                    <w:pPr>
                      <w:jc w:val="right"/>
                    </w:pPr>
                    <w:r>
                      <w:t>23,262,332</w:t>
                    </w:r>
                  </w:p>
                </w:tc>
                <w:tc>
                  <w:tcPr>
                    <w:tcW w:w="1333" w:type="pct"/>
                    <w:tcBorders>
                      <w:top w:val="outset" w:sz="6" w:space="0" w:color="auto"/>
                      <w:left w:val="outset" w:sz="6" w:space="0" w:color="auto"/>
                      <w:bottom w:val="outset" w:sz="6" w:space="0" w:color="auto"/>
                      <w:right w:val="outset" w:sz="6" w:space="0" w:color="auto"/>
                    </w:tcBorders>
                    <w:vAlign w:val="center"/>
                  </w:tcPr>
                  <w:p w14:paraId="41121BA3" w14:textId="77777777" w:rsidR="007E7472" w:rsidRDefault="00EC1269">
                    <w:pPr>
                      <w:jc w:val="right"/>
                    </w:pPr>
                    <w:r>
                      <w:t>22,329,749</w:t>
                    </w:r>
                  </w:p>
                </w:tc>
              </w:tr>
              <w:tr w:rsidR="007E7472" w14:paraId="0F79563B" w14:textId="7777777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c57523e7f9d4490b8fc01da554e0edf"/>
                      <w:id w:val="761497898"/>
                    </w:sdtPr>
                    <w:sdtEndPr/>
                    <w:sdtContent>
                      <w:p w14:paraId="1AB723D9" w14:textId="77777777" w:rsidR="007E7472" w:rsidRDefault="00EC1269">
                        <w:pPr>
                          <w:ind w:firstLineChars="100" w:firstLine="210"/>
                        </w:pPr>
                        <w:r>
                          <w:rPr>
                            <w:rFonts w:hint="eastAsia"/>
                          </w:rPr>
                          <w:t>其他权益工具投资</w:t>
                        </w:r>
                      </w:p>
                    </w:sdtContent>
                  </w:sdt>
                </w:tc>
                <w:tc>
                  <w:tcPr>
                    <w:tcW w:w="627" w:type="pct"/>
                    <w:tcBorders>
                      <w:top w:val="outset" w:sz="6" w:space="0" w:color="auto"/>
                      <w:left w:val="outset" w:sz="6" w:space="0" w:color="auto"/>
                      <w:bottom w:val="outset" w:sz="6" w:space="0" w:color="auto"/>
                      <w:right w:val="outset" w:sz="6" w:space="0" w:color="auto"/>
                    </w:tcBorders>
                  </w:tcPr>
                  <w:p w14:paraId="7EE6EBB5" w14:textId="77777777" w:rsidR="007E7472" w:rsidRDefault="00EC1269">
                    <w:pPr>
                      <w:jc w:val="center"/>
                      <w:rPr>
                        <w:rFonts w:asciiTheme="majorEastAsia" w:eastAsiaTheme="majorEastAsia" w:hAnsiTheme="majorEastAsia"/>
                      </w:rPr>
                    </w:pPr>
                    <w:r>
                      <w:rPr>
                        <w:rFonts w:asciiTheme="majorEastAsia" w:eastAsiaTheme="majorEastAsia" w:hAnsiTheme="majorEastAsia" w:hint="eastAsia"/>
                      </w:rPr>
                      <w:t>七、</w:t>
                    </w:r>
                    <w:r>
                      <w:rPr>
                        <w:rFonts w:asciiTheme="majorEastAsia" w:eastAsiaTheme="majorEastAsia" w:hAnsiTheme="majorEastAsia"/>
                      </w:rPr>
                      <w:t>18</w:t>
                    </w:r>
                  </w:p>
                </w:tc>
                <w:tc>
                  <w:tcPr>
                    <w:tcW w:w="1411" w:type="pct"/>
                    <w:tcBorders>
                      <w:top w:val="outset" w:sz="6" w:space="0" w:color="auto"/>
                      <w:left w:val="outset" w:sz="6" w:space="0" w:color="auto"/>
                      <w:bottom w:val="outset" w:sz="6" w:space="0" w:color="auto"/>
                      <w:right w:val="outset" w:sz="6" w:space="0" w:color="auto"/>
                    </w:tcBorders>
                    <w:vAlign w:val="center"/>
                  </w:tcPr>
                  <w:p w14:paraId="7BED8193" w14:textId="77777777" w:rsidR="007E7472" w:rsidRDefault="00EC1269">
                    <w:pPr>
                      <w:jc w:val="right"/>
                    </w:pPr>
                    <w:r>
                      <w:t>126,707</w:t>
                    </w:r>
                  </w:p>
                </w:tc>
                <w:tc>
                  <w:tcPr>
                    <w:tcW w:w="1333" w:type="pct"/>
                    <w:tcBorders>
                      <w:top w:val="outset" w:sz="6" w:space="0" w:color="auto"/>
                      <w:left w:val="outset" w:sz="6" w:space="0" w:color="auto"/>
                      <w:bottom w:val="outset" w:sz="6" w:space="0" w:color="auto"/>
                      <w:right w:val="outset" w:sz="6" w:space="0" w:color="auto"/>
                    </w:tcBorders>
                    <w:vAlign w:val="center"/>
                  </w:tcPr>
                  <w:p w14:paraId="6190EA4C" w14:textId="77777777" w:rsidR="007E7472" w:rsidRDefault="00EC1269">
                    <w:pPr>
                      <w:jc w:val="right"/>
                    </w:pPr>
                    <w:r>
                      <w:t>126,764</w:t>
                    </w:r>
                  </w:p>
                </w:tc>
              </w:tr>
              <w:tr w:rsidR="007E7472" w14:paraId="07CD9A1B" w14:textId="7777777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89d47082a034512856b0d9af89eed72"/>
                      <w:id w:val="2090575636"/>
                    </w:sdtPr>
                    <w:sdtEndPr/>
                    <w:sdtContent>
                      <w:p w14:paraId="3CEDC922" w14:textId="77777777" w:rsidR="007E7472" w:rsidRDefault="00EC1269">
                        <w:pPr>
                          <w:ind w:firstLineChars="100" w:firstLine="210"/>
                        </w:pPr>
                        <w:r>
                          <w:rPr>
                            <w:rFonts w:hint="eastAsia"/>
                          </w:rPr>
                          <w:t>其他非流动金融资产</w:t>
                        </w:r>
                      </w:p>
                    </w:sdtContent>
                  </w:sdt>
                </w:tc>
                <w:tc>
                  <w:tcPr>
                    <w:tcW w:w="627" w:type="pct"/>
                    <w:tcBorders>
                      <w:top w:val="outset" w:sz="6" w:space="0" w:color="auto"/>
                      <w:left w:val="outset" w:sz="6" w:space="0" w:color="auto"/>
                      <w:bottom w:val="outset" w:sz="6" w:space="0" w:color="auto"/>
                      <w:right w:val="outset" w:sz="6" w:space="0" w:color="auto"/>
                    </w:tcBorders>
                  </w:tcPr>
                  <w:p w14:paraId="094A03EF" w14:textId="77777777" w:rsidR="007E7472" w:rsidRDefault="00EC1269">
                    <w:pPr>
                      <w:jc w:val="center"/>
                      <w:rPr>
                        <w:rFonts w:asciiTheme="majorEastAsia" w:eastAsiaTheme="majorEastAsia" w:hAnsiTheme="majorEastAsia"/>
                      </w:rPr>
                    </w:pPr>
                    <w:r>
                      <w:rPr>
                        <w:rFonts w:asciiTheme="majorEastAsia" w:eastAsiaTheme="majorEastAsia" w:hAnsiTheme="majorEastAsia" w:hint="eastAsia"/>
                      </w:rPr>
                      <w:t>七、</w:t>
                    </w:r>
                    <w:r>
                      <w:rPr>
                        <w:rFonts w:asciiTheme="majorEastAsia" w:eastAsiaTheme="majorEastAsia" w:hAnsiTheme="majorEastAsia"/>
                      </w:rPr>
                      <w:t>19</w:t>
                    </w:r>
                  </w:p>
                </w:tc>
                <w:tc>
                  <w:tcPr>
                    <w:tcW w:w="1411" w:type="pct"/>
                    <w:tcBorders>
                      <w:top w:val="outset" w:sz="6" w:space="0" w:color="auto"/>
                      <w:left w:val="outset" w:sz="6" w:space="0" w:color="auto"/>
                      <w:bottom w:val="outset" w:sz="6" w:space="0" w:color="auto"/>
                      <w:right w:val="outset" w:sz="6" w:space="0" w:color="auto"/>
                    </w:tcBorders>
                    <w:vAlign w:val="center"/>
                  </w:tcPr>
                  <w:p w14:paraId="77858E7C" w14:textId="77777777" w:rsidR="007E7472" w:rsidRDefault="00EC1269">
                    <w:pPr>
                      <w:jc w:val="right"/>
                    </w:pPr>
                    <w:r>
                      <w:t>1,485,513</w:t>
                    </w:r>
                  </w:p>
                </w:tc>
                <w:tc>
                  <w:tcPr>
                    <w:tcW w:w="1333" w:type="pct"/>
                    <w:tcBorders>
                      <w:top w:val="outset" w:sz="6" w:space="0" w:color="auto"/>
                      <w:left w:val="outset" w:sz="6" w:space="0" w:color="auto"/>
                      <w:bottom w:val="outset" w:sz="6" w:space="0" w:color="auto"/>
                      <w:right w:val="outset" w:sz="6" w:space="0" w:color="auto"/>
                    </w:tcBorders>
                    <w:vAlign w:val="center"/>
                  </w:tcPr>
                  <w:p w14:paraId="59B820C2" w14:textId="77777777" w:rsidR="007E7472" w:rsidRDefault="00EC1269">
                    <w:pPr>
                      <w:jc w:val="right"/>
                    </w:pPr>
                    <w:r>
                      <w:t>1,538,761</w:t>
                    </w:r>
                  </w:p>
                </w:tc>
              </w:tr>
              <w:tr w:rsidR="007E7472" w14:paraId="7186D8AA" w14:textId="77777777">
                <w:sdt>
                  <w:sdtPr>
                    <w:tag w:val="_PLD_4684cd13f34942aabf4f5a55f1148c84"/>
                    <w:id w:val="54361874"/>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59DB94C" w14:textId="77777777" w:rsidR="007E7472" w:rsidRDefault="00EC1269">
                        <w:pPr>
                          <w:ind w:firstLineChars="100" w:firstLine="210"/>
                        </w:pPr>
                        <w:r>
                          <w:rPr>
                            <w:rFonts w:hint="eastAsia"/>
                          </w:rPr>
                          <w:t>投资性房地产</w:t>
                        </w:r>
                      </w:p>
                    </w:tc>
                  </w:sdtContent>
                </w:sdt>
                <w:tc>
                  <w:tcPr>
                    <w:tcW w:w="627" w:type="pct"/>
                    <w:tcBorders>
                      <w:top w:val="outset" w:sz="6" w:space="0" w:color="auto"/>
                      <w:left w:val="outset" w:sz="6" w:space="0" w:color="auto"/>
                      <w:bottom w:val="outset" w:sz="6" w:space="0" w:color="auto"/>
                      <w:right w:val="outset" w:sz="6" w:space="0" w:color="auto"/>
                    </w:tcBorders>
                  </w:tcPr>
                  <w:p w14:paraId="3EDAA15B" w14:textId="77777777" w:rsidR="007E7472" w:rsidRDefault="00EC1269">
                    <w:pPr>
                      <w:jc w:val="center"/>
                      <w:rPr>
                        <w:rFonts w:asciiTheme="majorEastAsia" w:eastAsiaTheme="majorEastAsia" w:hAnsiTheme="majorEastAsia"/>
                      </w:rPr>
                    </w:pPr>
                    <w:r>
                      <w:rPr>
                        <w:rFonts w:asciiTheme="majorEastAsia" w:eastAsiaTheme="majorEastAsia" w:hAnsiTheme="majorEastAsia" w:hint="eastAsia"/>
                      </w:rPr>
                      <w:t>七、</w:t>
                    </w:r>
                    <w:r>
                      <w:rPr>
                        <w:rFonts w:asciiTheme="majorEastAsia" w:eastAsiaTheme="majorEastAsia" w:hAnsiTheme="majorEastAsia"/>
                      </w:rPr>
                      <w:t>20</w:t>
                    </w:r>
                  </w:p>
                </w:tc>
                <w:tc>
                  <w:tcPr>
                    <w:tcW w:w="1411" w:type="pct"/>
                    <w:tcBorders>
                      <w:top w:val="outset" w:sz="6" w:space="0" w:color="auto"/>
                      <w:left w:val="outset" w:sz="6" w:space="0" w:color="auto"/>
                      <w:bottom w:val="outset" w:sz="6" w:space="0" w:color="auto"/>
                      <w:right w:val="outset" w:sz="6" w:space="0" w:color="auto"/>
                    </w:tcBorders>
                    <w:vAlign w:val="center"/>
                  </w:tcPr>
                  <w:p w14:paraId="646CE690" w14:textId="77777777" w:rsidR="007E7472" w:rsidRDefault="00EC1269">
                    <w:pPr>
                      <w:jc w:val="right"/>
                    </w:pPr>
                    <w:r>
                      <w:t>1,471,730</w:t>
                    </w:r>
                  </w:p>
                </w:tc>
                <w:tc>
                  <w:tcPr>
                    <w:tcW w:w="1333" w:type="pct"/>
                    <w:tcBorders>
                      <w:top w:val="outset" w:sz="6" w:space="0" w:color="auto"/>
                      <w:left w:val="outset" w:sz="6" w:space="0" w:color="auto"/>
                      <w:bottom w:val="outset" w:sz="6" w:space="0" w:color="auto"/>
                      <w:right w:val="outset" w:sz="6" w:space="0" w:color="auto"/>
                    </w:tcBorders>
                    <w:vAlign w:val="center"/>
                  </w:tcPr>
                  <w:p w14:paraId="40D61F98" w14:textId="77777777" w:rsidR="007E7472" w:rsidRDefault="00EC1269">
                    <w:pPr>
                      <w:jc w:val="right"/>
                    </w:pPr>
                    <w:r>
                      <w:t>1,471,730</w:t>
                    </w:r>
                  </w:p>
                </w:tc>
              </w:tr>
              <w:tr w:rsidR="007E7472" w14:paraId="61CB0184" w14:textId="77777777">
                <w:sdt>
                  <w:sdtPr>
                    <w:tag w:val="_PLD_ea85d42312a14428bf960d1d9ac28904"/>
                    <w:id w:val="609938437"/>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D32F8C7" w14:textId="77777777" w:rsidR="007E7472" w:rsidRDefault="00EC1269">
                        <w:pPr>
                          <w:ind w:firstLineChars="100" w:firstLine="210"/>
                        </w:pPr>
                        <w:r>
                          <w:rPr>
                            <w:rFonts w:hint="eastAsia"/>
                          </w:rPr>
                          <w:t>固定资产</w:t>
                        </w:r>
                      </w:p>
                    </w:tc>
                  </w:sdtContent>
                </w:sdt>
                <w:tc>
                  <w:tcPr>
                    <w:tcW w:w="627" w:type="pct"/>
                    <w:tcBorders>
                      <w:top w:val="outset" w:sz="6" w:space="0" w:color="auto"/>
                      <w:left w:val="outset" w:sz="6" w:space="0" w:color="auto"/>
                      <w:bottom w:val="outset" w:sz="6" w:space="0" w:color="auto"/>
                      <w:right w:val="outset" w:sz="6" w:space="0" w:color="auto"/>
                    </w:tcBorders>
                  </w:tcPr>
                  <w:p w14:paraId="077ED06D" w14:textId="77777777" w:rsidR="007E7472" w:rsidRDefault="00EC1269">
                    <w:pPr>
                      <w:jc w:val="center"/>
                      <w:rPr>
                        <w:rFonts w:asciiTheme="majorEastAsia" w:eastAsiaTheme="majorEastAsia" w:hAnsiTheme="majorEastAsia"/>
                      </w:rPr>
                    </w:pPr>
                    <w:r>
                      <w:rPr>
                        <w:rFonts w:asciiTheme="majorEastAsia" w:eastAsiaTheme="majorEastAsia" w:hAnsiTheme="majorEastAsia" w:hint="eastAsia"/>
                      </w:rPr>
                      <w:t>七、</w:t>
                    </w:r>
                    <w:r>
                      <w:rPr>
                        <w:rFonts w:asciiTheme="majorEastAsia" w:eastAsiaTheme="majorEastAsia" w:hAnsiTheme="majorEastAsia"/>
                      </w:rPr>
                      <w:t>21</w:t>
                    </w:r>
                  </w:p>
                </w:tc>
                <w:tc>
                  <w:tcPr>
                    <w:tcW w:w="1411" w:type="pct"/>
                    <w:tcBorders>
                      <w:top w:val="outset" w:sz="6" w:space="0" w:color="auto"/>
                      <w:left w:val="outset" w:sz="6" w:space="0" w:color="auto"/>
                      <w:bottom w:val="outset" w:sz="6" w:space="0" w:color="auto"/>
                      <w:right w:val="outset" w:sz="6" w:space="0" w:color="auto"/>
                    </w:tcBorders>
                    <w:vAlign w:val="center"/>
                  </w:tcPr>
                  <w:p w14:paraId="270E88D1" w14:textId="77777777" w:rsidR="007E7472" w:rsidRDefault="00EC1269">
                    <w:pPr>
                      <w:jc w:val="right"/>
                    </w:pPr>
                    <w:r>
                      <w:t>80,772,365</w:t>
                    </w:r>
                  </w:p>
                </w:tc>
                <w:tc>
                  <w:tcPr>
                    <w:tcW w:w="1333" w:type="pct"/>
                    <w:tcBorders>
                      <w:top w:val="outset" w:sz="6" w:space="0" w:color="auto"/>
                      <w:left w:val="outset" w:sz="6" w:space="0" w:color="auto"/>
                      <w:bottom w:val="outset" w:sz="6" w:space="0" w:color="auto"/>
                      <w:right w:val="outset" w:sz="6" w:space="0" w:color="auto"/>
                    </w:tcBorders>
                    <w:vAlign w:val="center"/>
                  </w:tcPr>
                  <w:p w14:paraId="73A37BA3" w14:textId="77777777" w:rsidR="007E7472" w:rsidRDefault="00EC1269">
                    <w:pPr>
                      <w:jc w:val="right"/>
                    </w:pPr>
                    <w:r>
                      <w:t>82,961,718</w:t>
                    </w:r>
                  </w:p>
                </w:tc>
              </w:tr>
              <w:tr w:rsidR="007E7472" w14:paraId="039604A8" w14:textId="77777777">
                <w:sdt>
                  <w:sdtPr>
                    <w:tag w:val="_PLD_6572a20e6bfc4146a00336e842a92a6c"/>
                    <w:id w:val="-348415955"/>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40614F9" w14:textId="77777777" w:rsidR="007E7472" w:rsidRDefault="00EC1269">
                        <w:pPr>
                          <w:ind w:firstLineChars="100" w:firstLine="210"/>
                        </w:pPr>
                        <w:r>
                          <w:rPr>
                            <w:rFonts w:hint="eastAsia"/>
                          </w:rPr>
                          <w:t>在建工程</w:t>
                        </w:r>
                      </w:p>
                    </w:tc>
                  </w:sdtContent>
                </w:sdt>
                <w:tc>
                  <w:tcPr>
                    <w:tcW w:w="627" w:type="pct"/>
                    <w:tcBorders>
                      <w:top w:val="outset" w:sz="6" w:space="0" w:color="auto"/>
                      <w:left w:val="outset" w:sz="6" w:space="0" w:color="auto"/>
                      <w:bottom w:val="outset" w:sz="6" w:space="0" w:color="auto"/>
                      <w:right w:val="outset" w:sz="6" w:space="0" w:color="auto"/>
                    </w:tcBorders>
                  </w:tcPr>
                  <w:p w14:paraId="385F5D23" w14:textId="77777777" w:rsidR="007E7472" w:rsidRDefault="00EC1269">
                    <w:pPr>
                      <w:jc w:val="center"/>
                      <w:rPr>
                        <w:rFonts w:asciiTheme="majorEastAsia" w:eastAsiaTheme="majorEastAsia" w:hAnsiTheme="majorEastAsia"/>
                      </w:rPr>
                    </w:pPr>
                    <w:r>
                      <w:rPr>
                        <w:rFonts w:asciiTheme="majorEastAsia" w:eastAsiaTheme="majorEastAsia" w:hAnsiTheme="majorEastAsia" w:hint="eastAsia"/>
                      </w:rPr>
                      <w:t>七、</w:t>
                    </w:r>
                    <w:r>
                      <w:rPr>
                        <w:rFonts w:asciiTheme="majorEastAsia" w:eastAsiaTheme="majorEastAsia" w:hAnsiTheme="majorEastAsia"/>
                      </w:rPr>
                      <w:t>22</w:t>
                    </w:r>
                  </w:p>
                </w:tc>
                <w:tc>
                  <w:tcPr>
                    <w:tcW w:w="1411" w:type="pct"/>
                    <w:tcBorders>
                      <w:top w:val="outset" w:sz="6" w:space="0" w:color="auto"/>
                      <w:left w:val="outset" w:sz="6" w:space="0" w:color="auto"/>
                      <w:bottom w:val="outset" w:sz="6" w:space="0" w:color="auto"/>
                      <w:right w:val="outset" w:sz="6" w:space="0" w:color="auto"/>
                    </w:tcBorders>
                    <w:vAlign w:val="center"/>
                  </w:tcPr>
                  <w:p w14:paraId="3D84E8E6" w14:textId="77777777" w:rsidR="007E7472" w:rsidRDefault="00EC1269">
                    <w:pPr>
                      <w:jc w:val="right"/>
                    </w:pPr>
                    <w:r>
                      <w:t>18,290,471</w:t>
                    </w:r>
                  </w:p>
                </w:tc>
                <w:tc>
                  <w:tcPr>
                    <w:tcW w:w="1333" w:type="pct"/>
                    <w:tcBorders>
                      <w:top w:val="outset" w:sz="6" w:space="0" w:color="auto"/>
                      <w:left w:val="outset" w:sz="6" w:space="0" w:color="auto"/>
                      <w:bottom w:val="outset" w:sz="6" w:space="0" w:color="auto"/>
                      <w:right w:val="outset" w:sz="6" w:space="0" w:color="auto"/>
                    </w:tcBorders>
                    <w:vAlign w:val="center"/>
                  </w:tcPr>
                  <w:p w14:paraId="2EE78996" w14:textId="77777777" w:rsidR="007E7472" w:rsidRDefault="00EC1269">
                    <w:pPr>
                      <w:jc w:val="right"/>
                    </w:pPr>
                    <w:r>
                      <w:t>16,516,648</w:t>
                    </w:r>
                  </w:p>
                </w:tc>
              </w:tr>
              <w:tr w:rsidR="007E7472" w14:paraId="2871B298" w14:textId="77777777">
                <w:sdt>
                  <w:sdtPr>
                    <w:tag w:val="_PLD_681c8940563045f7a9114e64a64c0cbb"/>
                    <w:id w:val="1523749641"/>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D3D473F" w14:textId="77777777" w:rsidR="007E7472" w:rsidRDefault="00EC1269">
                        <w:pPr>
                          <w:ind w:firstLineChars="100" w:firstLine="210"/>
                        </w:pPr>
                        <w:r>
                          <w:rPr>
                            <w:rFonts w:hint="eastAsia"/>
                          </w:rPr>
                          <w:t>生产性生物资产</w:t>
                        </w:r>
                      </w:p>
                    </w:tc>
                  </w:sdtContent>
                </w:sdt>
                <w:tc>
                  <w:tcPr>
                    <w:tcW w:w="627" w:type="pct"/>
                    <w:tcBorders>
                      <w:top w:val="outset" w:sz="6" w:space="0" w:color="auto"/>
                      <w:left w:val="outset" w:sz="6" w:space="0" w:color="auto"/>
                      <w:bottom w:val="outset" w:sz="6" w:space="0" w:color="auto"/>
                      <w:right w:val="outset" w:sz="6" w:space="0" w:color="auto"/>
                    </w:tcBorders>
                  </w:tcPr>
                  <w:p w14:paraId="22E307CB" w14:textId="77777777" w:rsidR="007E7472" w:rsidRDefault="00C8327E">
                    <w:pPr>
                      <w:jc w:val="center"/>
                      <w:rPr>
                        <w:rFonts w:asciiTheme="majorEastAsia" w:eastAsiaTheme="majorEastAsia" w:hAnsiTheme="maj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7AAEAA4B" w14:textId="77777777" w:rsidR="007E7472" w:rsidRDefault="00C832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19C7FE41" w14:textId="77777777" w:rsidR="007E7472" w:rsidRDefault="00C8327E">
                    <w:pPr>
                      <w:jc w:val="right"/>
                    </w:pPr>
                  </w:p>
                </w:tc>
              </w:tr>
              <w:tr w:rsidR="007E7472" w14:paraId="21C1AAEA" w14:textId="77777777">
                <w:sdt>
                  <w:sdtPr>
                    <w:tag w:val="_PLD_86e2225c67a84720afd738287a9c2365"/>
                    <w:id w:val="261119130"/>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CDD46CA" w14:textId="77777777" w:rsidR="007E7472" w:rsidRDefault="00EC1269">
                        <w:pPr>
                          <w:ind w:firstLineChars="100" w:firstLine="210"/>
                        </w:pPr>
                        <w:r>
                          <w:rPr>
                            <w:rFonts w:hint="eastAsia"/>
                          </w:rPr>
                          <w:t>油气资产</w:t>
                        </w:r>
                      </w:p>
                    </w:tc>
                  </w:sdtContent>
                </w:sdt>
                <w:tc>
                  <w:tcPr>
                    <w:tcW w:w="627" w:type="pct"/>
                    <w:tcBorders>
                      <w:top w:val="outset" w:sz="6" w:space="0" w:color="auto"/>
                      <w:left w:val="outset" w:sz="6" w:space="0" w:color="auto"/>
                      <w:bottom w:val="outset" w:sz="6" w:space="0" w:color="auto"/>
                      <w:right w:val="outset" w:sz="6" w:space="0" w:color="auto"/>
                    </w:tcBorders>
                  </w:tcPr>
                  <w:p w14:paraId="3FF1777E" w14:textId="77777777" w:rsidR="007E7472" w:rsidRDefault="00C8327E">
                    <w:pPr>
                      <w:jc w:val="center"/>
                      <w:rPr>
                        <w:rFonts w:asciiTheme="majorEastAsia" w:eastAsiaTheme="majorEastAsia" w:hAnsiTheme="maj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2D81FAE3" w14:textId="77777777" w:rsidR="007E7472" w:rsidRDefault="00C832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6E828F55" w14:textId="77777777" w:rsidR="007E7472" w:rsidRDefault="00C8327E">
                    <w:pPr>
                      <w:jc w:val="right"/>
                    </w:pPr>
                  </w:p>
                </w:tc>
              </w:tr>
              <w:tr w:rsidR="007E7472" w14:paraId="67F30AA3" w14:textId="7777777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b039fa9358a43b398f3274466785fc8"/>
                      <w:id w:val="-996960533"/>
                    </w:sdtPr>
                    <w:sdtEndPr/>
                    <w:sdtContent>
                      <w:p w14:paraId="1DC69060" w14:textId="77777777" w:rsidR="007E7472" w:rsidRDefault="00EC1269">
                        <w:pPr>
                          <w:ind w:firstLineChars="100" w:firstLine="210"/>
                        </w:pPr>
                        <w:r>
                          <w:rPr>
                            <w:rFonts w:hint="eastAsia"/>
                          </w:rPr>
                          <w:t>使用权资产</w:t>
                        </w:r>
                      </w:p>
                    </w:sdtContent>
                  </w:sdt>
                </w:tc>
                <w:tc>
                  <w:tcPr>
                    <w:tcW w:w="627" w:type="pct"/>
                    <w:tcBorders>
                      <w:top w:val="outset" w:sz="6" w:space="0" w:color="auto"/>
                      <w:left w:val="outset" w:sz="6" w:space="0" w:color="auto"/>
                      <w:bottom w:val="outset" w:sz="6" w:space="0" w:color="auto"/>
                      <w:right w:val="outset" w:sz="6" w:space="0" w:color="auto"/>
                    </w:tcBorders>
                  </w:tcPr>
                  <w:p w14:paraId="659D83A5" w14:textId="77777777" w:rsidR="007E7472" w:rsidRDefault="00EC1269">
                    <w:pPr>
                      <w:jc w:val="center"/>
                      <w:rPr>
                        <w:rFonts w:asciiTheme="majorEastAsia" w:eastAsiaTheme="majorEastAsia" w:hAnsiTheme="majorEastAsia"/>
                      </w:rPr>
                    </w:pPr>
                    <w:r>
                      <w:rPr>
                        <w:rFonts w:asciiTheme="majorEastAsia" w:eastAsiaTheme="majorEastAsia" w:hAnsiTheme="majorEastAsia" w:hint="eastAsia"/>
                      </w:rPr>
                      <w:t>七、</w:t>
                    </w:r>
                    <w:r>
                      <w:rPr>
                        <w:rFonts w:asciiTheme="majorEastAsia" w:eastAsiaTheme="majorEastAsia" w:hAnsiTheme="majorEastAsia"/>
                      </w:rPr>
                      <w:t>25</w:t>
                    </w:r>
                  </w:p>
                </w:tc>
                <w:tc>
                  <w:tcPr>
                    <w:tcW w:w="1411" w:type="pct"/>
                    <w:tcBorders>
                      <w:top w:val="outset" w:sz="6" w:space="0" w:color="auto"/>
                      <w:left w:val="outset" w:sz="6" w:space="0" w:color="auto"/>
                      <w:bottom w:val="outset" w:sz="6" w:space="0" w:color="auto"/>
                      <w:right w:val="outset" w:sz="6" w:space="0" w:color="auto"/>
                    </w:tcBorders>
                    <w:vAlign w:val="center"/>
                  </w:tcPr>
                  <w:p w14:paraId="66D049CC" w14:textId="77777777" w:rsidR="007E7472" w:rsidRDefault="00EC1269">
                    <w:pPr>
                      <w:jc w:val="right"/>
                    </w:pPr>
                    <w:r>
                      <w:t>669,650</w:t>
                    </w:r>
                  </w:p>
                </w:tc>
                <w:tc>
                  <w:tcPr>
                    <w:tcW w:w="1333" w:type="pct"/>
                    <w:tcBorders>
                      <w:top w:val="outset" w:sz="6" w:space="0" w:color="auto"/>
                      <w:left w:val="outset" w:sz="6" w:space="0" w:color="auto"/>
                      <w:bottom w:val="outset" w:sz="6" w:space="0" w:color="auto"/>
                      <w:right w:val="outset" w:sz="6" w:space="0" w:color="auto"/>
                    </w:tcBorders>
                    <w:vAlign w:val="center"/>
                  </w:tcPr>
                  <w:p w14:paraId="5FAC16C9" w14:textId="77777777" w:rsidR="007E7472" w:rsidRDefault="00EC1269">
                    <w:pPr>
                      <w:jc w:val="right"/>
                    </w:pPr>
                    <w:r>
                      <w:t>746,176</w:t>
                    </w:r>
                  </w:p>
                </w:tc>
              </w:tr>
              <w:tr w:rsidR="007E7472" w14:paraId="43D777DE" w14:textId="77777777">
                <w:sdt>
                  <w:sdtPr>
                    <w:tag w:val="_PLD_f9f0cc8ce8dc4387b1611032921da1ea"/>
                    <w:id w:val="663351339"/>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1EC0573" w14:textId="77777777" w:rsidR="007E7472" w:rsidRDefault="00EC1269">
                        <w:pPr>
                          <w:ind w:firstLineChars="100" w:firstLine="210"/>
                        </w:pPr>
                        <w:r>
                          <w:rPr>
                            <w:rFonts w:hint="eastAsia"/>
                          </w:rPr>
                          <w:t>无形资产</w:t>
                        </w:r>
                      </w:p>
                    </w:tc>
                  </w:sdtContent>
                </w:sdt>
                <w:tc>
                  <w:tcPr>
                    <w:tcW w:w="627" w:type="pct"/>
                    <w:tcBorders>
                      <w:top w:val="outset" w:sz="6" w:space="0" w:color="auto"/>
                      <w:left w:val="outset" w:sz="6" w:space="0" w:color="auto"/>
                      <w:bottom w:val="outset" w:sz="6" w:space="0" w:color="auto"/>
                      <w:right w:val="outset" w:sz="6" w:space="0" w:color="auto"/>
                    </w:tcBorders>
                  </w:tcPr>
                  <w:p w14:paraId="0699FEBF" w14:textId="77777777" w:rsidR="007E7472" w:rsidRDefault="00EC1269">
                    <w:pPr>
                      <w:jc w:val="center"/>
                      <w:rPr>
                        <w:rFonts w:asciiTheme="majorEastAsia" w:eastAsiaTheme="majorEastAsia" w:hAnsiTheme="majorEastAsia"/>
                      </w:rPr>
                    </w:pPr>
                    <w:r>
                      <w:rPr>
                        <w:rFonts w:asciiTheme="majorEastAsia" w:eastAsiaTheme="majorEastAsia" w:hAnsiTheme="majorEastAsia" w:hint="eastAsia"/>
                      </w:rPr>
                      <w:t>七、</w:t>
                    </w:r>
                    <w:r>
                      <w:rPr>
                        <w:rFonts w:asciiTheme="majorEastAsia" w:eastAsiaTheme="majorEastAsia" w:hAnsiTheme="majorEastAsia"/>
                      </w:rPr>
                      <w:t>26</w:t>
                    </w:r>
                  </w:p>
                </w:tc>
                <w:tc>
                  <w:tcPr>
                    <w:tcW w:w="1411" w:type="pct"/>
                    <w:tcBorders>
                      <w:top w:val="outset" w:sz="6" w:space="0" w:color="auto"/>
                      <w:left w:val="outset" w:sz="6" w:space="0" w:color="auto"/>
                      <w:bottom w:val="outset" w:sz="6" w:space="0" w:color="auto"/>
                      <w:right w:val="outset" w:sz="6" w:space="0" w:color="auto"/>
                    </w:tcBorders>
                    <w:vAlign w:val="center"/>
                  </w:tcPr>
                  <w:p w14:paraId="5CCEA380" w14:textId="77777777" w:rsidR="007E7472" w:rsidRDefault="00EC1269">
                    <w:pPr>
                      <w:jc w:val="right"/>
                    </w:pPr>
                    <w:r>
                      <w:t>59,075,152</w:t>
                    </w:r>
                  </w:p>
                </w:tc>
                <w:tc>
                  <w:tcPr>
                    <w:tcW w:w="1333" w:type="pct"/>
                    <w:tcBorders>
                      <w:top w:val="outset" w:sz="6" w:space="0" w:color="auto"/>
                      <w:left w:val="outset" w:sz="6" w:space="0" w:color="auto"/>
                      <w:bottom w:val="outset" w:sz="6" w:space="0" w:color="auto"/>
                      <w:right w:val="outset" w:sz="6" w:space="0" w:color="auto"/>
                    </w:tcBorders>
                    <w:vAlign w:val="center"/>
                  </w:tcPr>
                  <w:p w14:paraId="7E635597" w14:textId="77777777" w:rsidR="007E7472" w:rsidRDefault="00EC1269">
                    <w:pPr>
                      <w:jc w:val="right"/>
                    </w:pPr>
                    <w:r>
                      <w:t>59,736,783</w:t>
                    </w:r>
                  </w:p>
                </w:tc>
              </w:tr>
              <w:tr w:rsidR="007E7472" w14:paraId="34E48CDB" w14:textId="77777777">
                <w:sdt>
                  <w:sdtPr>
                    <w:tag w:val="_PLD_9e19501f4749495c8e2c099358304536"/>
                    <w:id w:val="216869378"/>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C1E5CC9" w14:textId="77777777" w:rsidR="007E7472" w:rsidRDefault="00EC1269">
                        <w:pPr>
                          <w:ind w:firstLineChars="100" w:firstLine="210"/>
                        </w:pPr>
                        <w:r>
                          <w:rPr>
                            <w:rFonts w:hint="eastAsia"/>
                          </w:rPr>
                          <w:t>开发支出</w:t>
                        </w:r>
                      </w:p>
                    </w:tc>
                  </w:sdtContent>
                </w:sdt>
                <w:tc>
                  <w:tcPr>
                    <w:tcW w:w="627" w:type="pct"/>
                    <w:tcBorders>
                      <w:top w:val="outset" w:sz="6" w:space="0" w:color="auto"/>
                      <w:left w:val="outset" w:sz="6" w:space="0" w:color="auto"/>
                      <w:bottom w:val="outset" w:sz="6" w:space="0" w:color="auto"/>
                      <w:right w:val="outset" w:sz="6" w:space="0" w:color="auto"/>
                    </w:tcBorders>
                  </w:tcPr>
                  <w:p w14:paraId="73DA5C64" w14:textId="77777777" w:rsidR="007E7472" w:rsidRDefault="00C8327E">
                    <w:pPr>
                      <w:jc w:val="center"/>
                      <w:rPr>
                        <w:rFonts w:asciiTheme="majorEastAsia" w:eastAsiaTheme="majorEastAsia" w:hAnsiTheme="maj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1B174C36" w14:textId="77777777" w:rsidR="007E7472" w:rsidRDefault="00C832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67D36C09" w14:textId="77777777" w:rsidR="007E7472" w:rsidRDefault="00C8327E">
                    <w:pPr>
                      <w:jc w:val="right"/>
                    </w:pPr>
                  </w:p>
                </w:tc>
              </w:tr>
              <w:tr w:rsidR="007E7472" w14:paraId="7E1003A7" w14:textId="77777777">
                <w:sdt>
                  <w:sdtPr>
                    <w:tag w:val="_PLD_f8ed91a88675406ea5643bb20525ebab"/>
                    <w:id w:val="-358512476"/>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EFC8380" w14:textId="77777777" w:rsidR="007E7472" w:rsidRDefault="00EC1269">
                        <w:pPr>
                          <w:ind w:firstLineChars="100" w:firstLine="210"/>
                        </w:pPr>
                        <w:r>
                          <w:rPr>
                            <w:rFonts w:hint="eastAsia"/>
                          </w:rPr>
                          <w:t>商誉</w:t>
                        </w:r>
                      </w:p>
                    </w:tc>
                  </w:sdtContent>
                </w:sdt>
                <w:tc>
                  <w:tcPr>
                    <w:tcW w:w="627" w:type="pct"/>
                    <w:tcBorders>
                      <w:top w:val="outset" w:sz="6" w:space="0" w:color="auto"/>
                      <w:left w:val="outset" w:sz="6" w:space="0" w:color="auto"/>
                      <w:bottom w:val="outset" w:sz="6" w:space="0" w:color="auto"/>
                      <w:right w:val="outset" w:sz="6" w:space="0" w:color="auto"/>
                    </w:tcBorders>
                  </w:tcPr>
                  <w:p w14:paraId="784DAC73" w14:textId="77777777" w:rsidR="007E7472" w:rsidRDefault="00EC1269">
                    <w:pPr>
                      <w:jc w:val="center"/>
                      <w:rPr>
                        <w:rFonts w:asciiTheme="majorEastAsia" w:eastAsiaTheme="majorEastAsia" w:hAnsiTheme="majorEastAsia"/>
                      </w:rPr>
                    </w:pPr>
                    <w:r>
                      <w:rPr>
                        <w:rFonts w:asciiTheme="majorEastAsia" w:eastAsiaTheme="majorEastAsia" w:hAnsiTheme="majorEastAsia" w:hint="eastAsia"/>
                      </w:rPr>
                      <w:t>七、</w:t>
                    </w:r>
                    <w:r>
                      <w:rPr>
                        <w:rFonts w:asciiTheme="majorEastAsia" w:eastAsiaTheme="majorEastAsia" w:hAnsiTheme="majorEastAsia"/>
                      </w:rPr>
                      <w:t>28</w:t>
                    </w:r>
                  </w:p>
                </w:tc>
                <w:tc>
                  <w:tcPr>
                    <w:tcW w:w="1411" w:type="pct"/>
                    <w:tcBorders>
                      <w:top w:val="outset" w:sz="6" w:space="0" w:color="auto"/>
                      <w:left w:val="outset" w:sz="6" w:space="0" w:color="auto"/>
                      <w:bottom w:val="outset" w:sz="6" w:space="0" w:color="auto"/>
                      <w:right w:val="outset" w:sz="6" w:space="0" w:color="auto"/>
                    </w:tcBorders>
                    <w:vAlign w:val="center"/>
                  </w:tcPr>
                  <w:p w14:paraId="56DDA7A5" w14:textId="77777777" w:rsidR="007E7472" w:rsidRDefault="00EC1269">
                    <w:pPr>
                      <w:jc w:val="right"/>
                    </w:pPr>
                    <w:r>
                      <w:t>315,784</w:t>
                    </w:r>
                  </w:p>
                </w:tc>
                <w:tc>
                  <w:tcPr>
                    <w:tcW w:w="1333" w:type="pct"/>
                    <w:tcBorders>
                      <w:top w:val="outset" w:sz="6" w:space="0" w:color="auto"/>
                      <w:left w:val="outset" w:sz="6" w:space="0" w:color="auto"/>
                      <w:bottom w:val="outset" w:sz="6" w:space="0" w:color="auto"/>
                      <w:right w:val="outset" w:sz="6" w:space="0" w:color="auto"/>
                    </w:tcBorders>
                    <w:vAlign w:val="center"/>
                  </w:tcPr>
                  <w:p w14:paraId="10754620" w14:textId="77777777" w:rsidR="007E7472" w:rsidRDefault="00EC1269">
                    <w:pPr>
                      <w:jc w:val="right"/>
                    </w:pPr>
                    <w:r>
                      <w:t>310,343</w:t>
                    </w:r>
                  </w:p>
                </w:tc>
              </w:tr>
              <w:tr w:rsidR="007E7472" w14:paraId="296E891E" w14:textId="77777777">
                <w:sdt>
                  <w:sdtPr>
                    <w:tag w:val="_PLD_c7616aaf37e541948f0c2ca1f9b68af9"/>
                    <w:id w:val="1546021578"/>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7690931" w14:textId="77777777" w:rsidR="007E7472" w:rsidRDefault="00EC1269">
                        <w:pPr>
                          <w:ind w:firstLineChars="100" w:firstLine="210"/>
                        </w:pPr>
                        <w:r>
                          <w:rPr>
                            <w:rFonts w:hint="eastAsia"/>
                          </w:rPr>
                          <w:t>长期待摊费用</w:t>
                        </w:r>
                      </w:p>
                    </w:tc>
                  </w:sdtContent>
                </w:sdt>
                <w:tc>
                  <w:tcPr>
                    <w:tcW w:w="627" w:type="pct"/>
                    <w:tcBorders>
                      <w:top w:val="outset" w:sz="6" w:space="0" w:color="auto"/>
                      <w:left w:val="outset" w:sz="6" w:space="0" w:color="auto"/>
                      <w:bottom w:val="outset" w:sz="6" w:space="0" w:color="auto"/>
                      <w:right w:val="outset" w:sz="6" w:space="0" w:color="auto"/>
                    </w:tcBorders>
                  </w:tcPr>
                  <w:p w14:paraId="23926974" w14:textId="77777777" w:rsidR="007E7472" w:rsidRDefault="00C8327E">
                    <w:pPr>
                      <w:jc w:val="center"/>
                      <w:rPr>
                        <w:rFonts w:asciiTheme="majorEastAsia" w:eastAsiaTheme="majorEastAsia" w:hAnsiTheme="maj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42E45A03" w14:textId="77777777" w:rsidR="007E7472" w:rsidRDefault="00EC1269">
                    <w:pPr>
                      <w:jc w:val="right"/>
                    </w:pPr>
                    <w:r>
                      <w:t>582,993</w:t>
                    </w:r>
                  </w:p>
                </w:tc>
                <w:tc>
                  <w:tcPr>
                    <w:tcW w:w="1333" w:type="pct"/>
                    <w:tcBorders>
                      <w:top w:val="outset" w:sz="6" w:space="0" w:color="auto"/>
                      <w:left w:val="outset" w:sz="6" w:space="0" w:color="auto"/>
                      <w:bottom w:val="outset" w:sz="6" w:space="0" w:color="auto"/>
                      <w:right w:val="outset" w:sz="6" w:space="0" w:color="auto"/>
                    </w:tcBorders>
                    <w:vAlign w:val="center"/>
                  </w:tcPr>
                  <w:p w14:paraId="4D5DFAE2" w14:textId="77777777" w:rsidR="007E7472" w:rsidRDefault="00EC1269">
                    <w:pPr>
                      <w:jc w:val="right"/>
                    </w:pPr>
                    <w:r>
                      <w:t>358,106</w:t>
                    </w:r>
                  </w:p>
                </w:tc>
              </w:tr>
              <w:tr w:rsidR="007E7472" w14:paraId="3C67C526" w14:textId="77777777">
                <w:sdt>
                  <w:sdtPr>
                    <w:tag w:val="_PLD_831746b98bdc4418bed3ce5f97331371"/>
                    <w:id w:val="714079182"/>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08F15A6" w14:textId="77777777" w:rsidR="007E7472" w:rsidRDefault="00EC1269">
                        <w:pPr>
                          <w:ind w:firstLineChars="100" w:firstLine="210"/>
                        </w:pPr>
                        <w:r>
                          <w:rPr>
                            <w:rFonts w:hint="eastAsia"/>
                          </w:rPr>
                          <w:t>递延所得税资产</w:t>
                        </w:r>
                      </w:p>
                    </w:tc>
                  </w:sdtContent>
                </w:sdt>
                <w:tc>
                  <w:tcPr>
                    <w:tcW w:w="627" w:type="pct"/>
                    <w:tcBorders>
                      <w:top w:val="outset" w:sz="6" w:space="0" w:color="auto"/>
                      <w:left w:val="outset" w:sz="6" w:space="0" w:color="auto"/>
                      <w:bottom w:val="outset" w:sz="6" w:space="0" w:color="auto"/>
                      <w:right w:val="outset" w:sz="6" w:space="0" w:color="auto"/>
                    </w:tcBorders>
                  </w:tcPr>
                  <w:p w14:paraId="5C3E3B4C" w14:textId="77777777" w:rsidR="007E7472" w:rsidRDefault="00EC1269">
                    <w:pPr>
                      <w:jc w:val="center"/>
                      <w:rPr>
                        <w:rFonts w:asciiTheme="majorEastAsia" w:eastAsiaTheme="majorEastAsia" w:hAnsiTheme="majorEastAsia"/>
                      </w:rPr>
                    </w:pPr>
                    <w:r>
                      <w:rPr>
                        <w:rFonts w:asciiTheme="majorEastAsia" w:eastAsiaTheme="majorEastAsia" w:hAnsiTheme="majorEastAsia" w:hint="eastAsia"/>
                      </w:rPr>
                      <w:t>七、</w:t>
                    </w:r>
                    <w:r>
                      <w:rPr>
                        <w:rFonts w:asciiTheme="majorEastAsia" w:eastAsiaTheme="majorEastAsia" w:hAnsiTheme="majorEastAsia"/>
                      </w:rPr>
                      <w:t>30</w:t>
                    </w:r>
                  </w:p>
                </w:tc>
                <w:tc>
                  <w:tcPr>
                    <w:tcW w:w="1411" w:type="pct"/>
                    <w:tcBorders>
                      <w:top w:val="outset" w:sz="6" w:space="0" w:color="auto"/>
                      <w:left w:val="outset" w:sz="6" w:space="0" w:color="auto"/>
                      <w:bottom w:val="outset" w:sz="6" w:space="0" w:color="auto"/>
                      <w:right w:val="outset" w:sz="6" w:space="0" w:color="auto"/>
                    </w:tcBorders>
                    <w:vAlign w:val="center"/>
                  </w:tcPr>
                  <w:p w14:paraId="5A75C313" w14:textId="77777777" w:rsidR="007E7472" w:rsidRDefault="00EC1269">
                    <w:pPr>
                      <w:jc w:val="right"/>
                    </w:pPr>
                    <w:r>
                      <w:t>3,132,458</w:t>
                    </w:r>
                  </w:p>
                </w:tc>
                <w:tc>
                  <w:tcPr>
                    <w:tcW w:w="1333" w:type="pct"/>
                    <w:tcBorders>
                      <w:top w:val="outset" w:sz="6" w:space="0" w:color="auto"/>
                      <w:left w:val="outset" w:sz="6" w:space="0" w:color="auto"/>
                      <w:bottom w:val="outset" w:sz="6" w:space="0" w:color="auto"/>
                      <w:right w:val="outset" w:sz="6" w:space="0" w:color="auto"/>
                    </w:tcBorders>
                    <w:vAlign w:val="center"/>
                  </w:tcPr>
                  <w:p w14:paraId="72C9A264" w14:textId="77777777" w:rsidR="007E7472" w:rsidRDefault="00EC1269">
                    <w:pPr>
                      <w:jc w:val="right"/>
                    </w:pPr>
                    <w:r>
                      <w:t>2,770,994</w:t>
                    </w:r>
                  </w:p>
                </w:tc>
              </w:tr>
              <w:tr w:rsidR="007E7472" w14:paraId="29FA79C5" w14:textId="77777777">
                <w:sdt>
                  <w:sdtPr>
                    <w:tag w:val="_PLD_b16d4dbbdf9e4712984ce3d90131c10b"/>
                    <w:id w:val="2096743941"/>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4030F27" w14:textId="77777777" w:rsidR="007E7472" w:rsidRDefault="00EC1269">
                        <w:pPr>
                          <w:ind w:firstLineChars="100" w:firstLine="210"/>
                        </w:pPr>
                        <w:r>
                          <w:rPr>
                            <w:rFonts w:hint="eastAsia"/>
                          </w:rPr>
                          <w:t>其他非流动资产</w:t>
                        </w:r>
                      </w:p>
                    </w:tc>
                  </w:sdtContent>
                </w:sdt>
                <w:tc>
                  <w:tcPr>
                    <w:tcW w:w="627" w:type="pct"/>
                    <w:tcBorders>
                      <w:top w:val="outset" w:sz="6" w:space="0" w:color="auto"/>
                      <w:left w:val="outset" w:sz="6" w:space="0" w:color="auto"/>
                      <w:bottom w:val="outset" w:sz="6" w:space="0" w:color="auto"/>
                      <w:right w:val="outset" w:sz="6" w:space="0" w:color="auto"/>
                    </w:tcBorders>
                  </w:tcPr>
                  <w:p w14:paraId="34694EE5" w14:textId="77777777" w:rsidR="007E7472" w:rsidRDefault="00EC1269">
                    <w:pPr>
                      <w:jc w:val="center"/>
                      <w:rPr>
                        <w:rFonts w:asciiTheme="majorEastAsia" w:eastAsiaTheme="majorEastAsia" w:hAnsiTheme="majorEastAsia"/>
                      </w:rPr>
                    </w:pPr>
                    <w:r>
                      <w:rPr>
                        <w:rFonts w:asciiTheme="majorEastAsia" w:eastAsiaTheme="majorEastAsia" w:hAnsiTheme="majorEastAsia" w:hint="eastAsia"/>
                      </w:rPr>
                      <w:t>七、</w:t>
                    </w:r>
                    <w:r>
                      <w:rPr>
                        <w:rFonts w:asciiTheme="majorEastAsia" w:eastAsiaTheme="majorEastAsia" w:hAnsiTheme="majorEastAsia"/>
                      </w:rPr>
                      <w:t>31</w:t>
                    </w:r>
                  </w:p>
                </w:tc>
                <w:tc>
                  <w:tcPr>
                    <w:tcW w:w="1411" w:type="pct"/>
                    <w:tcBorders>
                      <w:top w:val="outset" w:sz="6" w:space="0" w:color="auto"/>
                      <w:left w:val="outset" w:sz="6" w:space="0" w:color="auto"/>
                      <w:bottom w:val="outset" w:sz="6" w:space="0" w:color="auto"/>
                      <w:right w:val="outset" w:sz="6" w:space="0" w:color="auto"/>
                    </w:tcBorders>
                    <w:vAlign w:val="center"/>
                  </w:tcPr>
                  <w:p w14:paraId="47046741" w14:textId="77777777" w:rsidR="007E7472" w:rsidRDefault="00EC1269">
                    <w:pPr>
                      <w:jc w:val="right"/>
                    </w:pPr>
                    <w:r>
                      <w:t>15,590,444</w:t>
                    </w:r>
                  </w:p>
                </w:tc>
                <w:tc>
                  <w:tcPr>
                    <w:tcW w:w="1333" w:type="pct"/>
                    <w:tcBorders>
                      <w:top w:val="outset" w:sz="6" w:space="0" w:color="auto"/>
                      <w:left w:val="outset" w:sz="6" w:space="0" w:color="auto"/>
                      <w:bottom w:val="outset" w:sz="6" w:space="0" w:color="auto"/>
                      <w:right w:val="outset" w:sz="6" w:space="0" w:color="auto"/>
                    </w:tcBorders>
                    <w:vAlign w:val="center"/>
                  </w:tcPr>
                  <w:p w14:paraId="0EFA0E12" w14:textId="77777777" w:rsidR="007E7472" w:rsidRDefault="00EC1269">
                    <w:pPr>
                      <w:jc w:val="right"/>
                    </w:pPr>
                    <w:r>
                      <w:t>16,074,371</w:t>
                    </w:r>
                  </w:p>
                </w:tc>
              </w:tr>
              <w:tr w:rsidR="007E7472" w14:paraId="000FDD85" w14:textId="77777777">
                <w:sdt>
                  <w:sdtPr>
                    <w:tag w:val="_PLD_244b63fab9214d849ab2fc2afd25f0a8"/>
                    <w:id w:val="592902893"/>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91E3B02" w14:textId="77777777" w:rsidR="007E7472" w:rsidRDefault="00EC1269">
                        <w:pPr>
                          <w:ind w:firstLineChars="200" w:firstLine="420"/>
                        </w:pPr>
                        <w:r>
                          <w:rPr>
                            <w:rFonts w:hint="eastAsia"/>
                          </w:rPr>
                          <w:t>非流动资产合计</w:t>
                        </w:r>
                      </w:p>
                    </w:tc>
                  </w:sdtContent>
                </w:sdt>
                <w:tc>
                  <w:tcPr>
                    <w:tcW w:w="627" w:type="pct"/>
                    <w:tcBorders>
                      <w:top w:val="outset" w:sz="6" w:space="0" w:color="auto"/>
                      <w:left w:val="outset" w:sz="6" w:space="0" w:color="auto"/>
                      <w:bottom w:val="outset" w:sz="6" w:space="0" w:color="auto"/>
                      <w:right w:val="outset" w:sz="6" w:space="0" w:color="auto"/>
                    </w:tcBorders>
                  </w:tcPr>
                  <w:p w14:paraId="67CA774B" w14:textId="77777777" w:rsidR="007E7472" w:rsidRDefault="00C8327E">
                    <w:pPr>
                      <w:jc w:val="center"/>
                      <w:rPr>
                        <w:rFonts w:asciiTheme="majorEastAsia" w:eastAsiaTheme="majorEastAsia" w:hAnsiTheme="maj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5D4F6198" w14:textId="77777777" w:rsidR="007E7472" w:rsidRDefault="00EC1269">
                    <w:pPr>
                      <w:jc w:val="right"/>
                    </w:pPr>
                    <w:r>
                      <w:t>206,977,196</w:t>
                    </w:r>
                  </w:p>
                </w:tc>
                <w:tc>
                  <w:tcPr>
                    <w:tcW w:w="1333" w:type="pct"/>
                    <w:tcBorders>
                      <w:top w:val="outset" w:sz="6" w:space="0" w:color="auto"/>
                      <w:left w:val="outset" w:sz="6" w:space="0" w:color="auto"/>
                      <w:bottom w:val="outset" w:sz="6" w:space="0" w:color="auto"/>
                      <w:right w:val="outset" w:sz="6" w:space="0" w:color="auto"/>
                    </w:tcBorders>
                    <w:vAlign w:val="center"/>
                  </w:tcPr>
                  <w:p w14:paraId="495FECE5" w14:textId="77777777" w:rsidR="007E7472" w:rsidRDefault="00EC1269">
                    <w:pPr>
                      <w:jc w:val="right"/>
                    </w:pPr>
                    <w:r>
                      <w:t>207,512,967</w:t>
                    </w:r>
                  </w:p>
                </w:tc>
              </w:tr>
              <w:tr w:rsidR="007E7472" w14:paraId="01128220" w14:textId="77777777">
                <w:sdt>
                  <w:sdtPr>
                    <w:tag w:val="_PLD_6e563319c2e4471398624f06f1db4a4e"/>
                    <w:id w:val="-1282572265"/>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BB1E000" w14:textId="77777777" w:rsidR="007E7472" w:rsidRDefault="00EC1269">
                        <w:pPr>
                          <w:ind w:firstLineChars="300" w:firstLine="630"/>
                        </w:pPr>
                        <w:r>
                          <w:rPr>
                            <w:rFonts w:hint="eastAsia"/>
                          </w:rPr>
                          <w:t>资产总计</w:t>
                        </w:r>
                      </w:p>
                    </w:tc>
                  </w:sdtContent>
                </w:sdt>
                <w:tc>
                  <w:tcPr>
                    <w:tcW w:w="627" w:type="pct"/>
                    <w:tcBorders>
                      <w:top w:val="outset" w:sz="6" w:space="0" w:color="auto"/>
                      <w:left w:val="outset" w:sz="6" w:space="0" w:color="auto"/>
                      <w:bottom w:val="outset" w:sz="6" w:space="0" w:color="auto"/>
                      <w:right w:val="outset" w:sz="6" w:space="0" w:color="auto"/>
                    </w:tcBorders>
                  </w:tcPr>
                  <w:p w14:paraId="71EB520A" w14:textId="77777777" w:rsidR="007E7472" w:rsidRDefault="00C8327E">
                    <w:pPr>
                      <w:jc w:val="center"/>
                      <w:rPr>
                        <w:rFonts w:asciiTheme="majorEastAsia" w:eastAsiaTheme="majorEastAsia" w:hAnsiTheme="maj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6BB742CA" w14:textId="77777777" w:rsidR="007E7472" w:rsidRDefault="00EC1269">
                    <w:pPr>
                      <w:jc w:val="right"/>
                    </w:pPr>
                    <w:r>
                      <w:t>305,140,899</w:t>
                    </w:r>
                  </w:p>
                </w:tc>
                <w:tc>
                  <w:tcPr>
                    <w:tcW w:w="1333" w:type="pct"/>
                    <w:tcBorders>
                      <w:top w:val="outset" w:sz="6" w:space="0" w:color="auto"/>
                      <w:left w:val="outset" w:sz="6" w:space="0" w:color="auto"/>
                      <w:bottom w:val="outset" w:sz="6" w:space="0" w:color="auto"/>
                      <w:right w:val="outset" w:sz="6" w:space="0" w:color="auto"/>
                    </w:tcBorders>
                    <w:vAlign w:val="center"/>
                  </w:tcPr>
                  <w:p w14:paraId="708A34A5" w14:textId="77777777" w:rsidR="007E7472" w:rsidRDefault="00EC1269">
                    <w:pPr>
                      <w:jc w:val="right"/>
                    </w:pPr>
                    <w:r>
                      <w:t>296,248,714</w:t>
                    </w:r>
                  </w:p>
                </w:tc>
              </w:tr>
              <w:tr w:rsidR="007E7472" w14:paraId="07F335B1" w14:textId="77777777">
                <w:sdt>
                  <w:sdtPr>
                    <w:tag w:val="_PLD_9375d0f637964c329fb26d2b4f648745"/>
                    <w:id w:val="1180616881"/>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3E16B38E" w14:textId="77777777" w:rsidR="007E7472" w:rsidRDefault="00EC1269">
                        <w:pPr>
                          <w:rPr>
                            <w:color w:val="FF00FF"/>
                          </w:rPr>
                        </w:pPr>
                        <w:r>
                          <w:rPr>
                            <w:rFonts w:hint="eastAsia"/>
                            <w:b/>
                          </w:rPr>
                          <w:t>流动负债：</w:t>
                        </w:r>
                      </w:p>
                    </w:tc>
                  </w:sdtContent>
                </w:sdt>
              </w:tr>
              <w:tr w:rsidR="007E7472" w14:paraId="771367CF" w14:textId="77777777">
                <w:sdt>
                  <w:sdtPr>
                    <w:tag w:val="_PLD_2fd37dc37d5e4c28b5b0dbe25be93232"/>
                    <w:id w:val="-2044279798"/>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85F83D8" w14:textId="77777777" w:rsidR="007E7472" w:rsidRDefault="00EC1269">
                        <w:pPr>
                          <w:ind w:firstLineChars="100" w:firstLine="210"/>
                        </w:pPr>
                        <w:r>
                          <w:rPr>
                            <w:rFonts w:hint="eastAsia"/>
                          </w:rPr>
                          <w:t>短期借款</w:t>
                        </w:r>
                      </w:p>
                    </w:tc>
                  </w:sdtContent>
                </w:sdt>
                <w:tc>
                  <w:tcPr>
                    <w:tcW w:w="627" w:type="pct"/>
                    <w:tcBorders>
                      <w:top w:val="outset" w:sz="6" w:space="0" w:color="auto"/>
                      <w:left w:val="outset" w:sz="6" w:space="0" w:color="auto"/>
                      <w:bottom w:val="outset" w:sz="6" w:space="0" w:color="auto"/>
                      <w:right w:val="outset" w:sz="6" w:space="0" w:color="auto"/>
                    </w:tcBorders>
                  </w:tcPr>
                  <w:p w14:paraId="2351C652" w14:textId="77777777" w:rsidR="007E7472" w:rsidRDefault="00EC1269">
                    <w:pPr>
                      <w:jc w:val="center"/>
                      <w:rPr>
                        <w:rFonts w:asciiTheme="majorEastAsia" w:eastAsiaTheme="majorEastAsia" w:hAnsiTheme="majorEastAsia"/>
                      </w:rPr>
                    </w:pPr>
                    <w:r>
                      <w:rPr>
                        <w:rFonts w:asciiTheme="majorEastAsia" w:eastAsiaTheme="majorEastAsia" w:hAnsiTheme="majorEastAsia" w:hint="eastAsia"/>
                      </w:rPr>
                      <w:t>七、</w:t>
                    </w:r>
                    <w:r>
                      <w:rPr>
                        <w:rFonts w:asciiTheme="majorEastAsia" w:eastAsiaTheme="majorEastAsia" w:hAnsiTheme="majorEastAsia"/>
                      </w:rPr>
                      <w:t>32</w:t>
                    </w:r>
                  </w:p>
                </w:tc>
                <w:tc>
                  <w:tcPr>
                    <w:tcW w:w="1411" w:type="pct"/>
                    <w:tcBorders>
                      <w:top w:val="outset" w:sz="6" w:space="0" w:color="auto"/>
                      <w:left w:val="outset" w:sz="6" w:space="0" w:color="auto"/>
                      <w:bottom w:val="outset" w:sz="6" w:space="0" w:color="auto"/>
                      <w:right w:val="outset" w:sz="6" w:space="0" w:color="auto"/>
                    </w:tcBorders>
                    <w:vAlign w:val="center"/>
                  </w:tcPr>
                  <w:p w14:paraId="1331EAE5" w14:textId="77777777" w:rsidR="007E7472" w:rsidRDefault="00EC1269">
                    <w:pPr>
                      <w:jc w:val="right"/>
                    </w:pPr>
                    <w:r>
                      <w:t>1,426,594</w:t>
                    </w:r>
                  </w:p>
                </w:tc>
                <w:tc>
                  <w:tcPr>
                    <w:tcW w:w="1333" w:type="pct"/>
                    <w:tcBorders>
                      <w:top w:val="outset" w:sz="6" w:space="0" w:color="auto"/>
                      <w:left w:val="outset" w:sz="6" w:space="0" w:color="auto"/>
                      <w:bottom w:val="outset" w:sz="6" w:space="0" w:color="auto"/>
                      <w:right w:val="outset" w:sz="6" w:space="0" w:color="auto"/>
                    </w:tcBorders>
                    <w:vAlign w:val="center"/>
                  </w:tcPr>
                  <w:p w14:paraId="7D0D0205" w14:textId="77777777" w:rsidR="007E7472" w:rsidRDefault="00EC1269">
                    <w:pPr>
                      <w:jc w:val="right"/>
                    </w:pPr>
                    <w:r>
                      <w:t>1,319,348</w:t>
                    </w:r>
                  </w:p>
                </w:tc>
              </w:tr>
              <w:tr w:rsidR="007E7472" w14:paraId="66A06592" w14:textId="77777777">
                <w:sdt>
                  <w:sdtPr>
                    <w:tag w:val="_PLD_d4d41992aeff449e841a25d78244a217"/>
                    <w:id w:val="287165663"/>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E8262EA" w14:textId="77777777" w:rsidR="007E7472" w:rsidRDefault="00EC1269">
                        <w:pPr>
                          <w:ind w:firstLineChars="100" w:firstLine="210"/>
                        </w:pPr>
                        <w:r>
                          <w:rPr>
                            <w:rFonts w:hint="eastAsia"/>
                          </w:rPr>
                          <w:t>向中央银行借款</w:t>
                        </w:r>
                      </w:p>
                    </w:tc>
                  </w:sdtContent>
                </w:sdt>
                <w:tc>
                  <w:tcPr>
                    <w:tcW w:w="627" w:type="pct"/>
                    <w:tcBorders>
                      <w:top w:val="outset" w:sz="6" w:space="0" w:color="auto"/>
                      <w:left w:val="outset" w:sz="6" w:space="0" w:color="auto"/>
                      <w:bottom w:val="outset" w:sz="6" w:space="0" w:color="auto"/>
                      <w:right w:val="outset" w:sz="6" w:space="0" w:color="auto"/>
                    </w:tcBorders>
                  </w:tcPr>
                  <w:p w14:paraId="2B198872" w14:textId="77777777" w:rsidR="007E7472" w:rsidRDefault="00C8327E">
                    <w:pPr>
                      <w:jc w:val="center"/>
                      <w:rPr>
                        <w:rFonts w:asciiTheme="majorEastAsia" w:eastAsiaTheme="majorEastAsia" w:hAnsiTheme="maj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0D94444D" w14:textId="77777777" w:rsidR="007E7472" w:rsidRDefault="00C832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0C0CEB02" w14:textId="77777777" w:rsidR="007E7472" w:rsidRDefault="00C8327E">
                    <w:pPr>
                      <w:jc w:val="right"/>
                    </w:pPr>
                  </w:p>
                </w:tc>
              </w:tr>
              <w:tr w:rsidR="007E7472" w14:paraId="190D5F11" w14:textId="77777777">
                <w:sdt>
                  <w:sdtPr>
                    <w:tag w:val="_PLD_aa8e7d1680b146519de30874741a7d72"/>
                    <w:id w:val="-516240667"/>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2657492" w14:textId="77777777" w:rsidR="007E7472" w:rsidRDefault="00EC1269">
                        <w:pPr>
                          <w:ind w:firstLineChars="100" w:firstLine="210"/>
                        </w:pPr>
                        <w:r>
                          <w:rPr>
                            <w:rFonts w:hint="eastAsia"/>
                          </w:rPr>
                          <w:t>拆入资金</w:t>
                        </w:r>
                      </w:p>
                    </w:tc>
                  </w:sdtContent>
                </w:sdt>
                <w:tc>
                  <w:tcPr>
                    <w:tcW w:w="627" w:type="pct"/>
                    <w:tcBorders>
                      <w:top w:val="outset" w:sz="6" w:space="0" w:color="auto"/>
                      <w:left w:val="outset" w:sz="6" w:space="0" w:color="auto"/>
                      <w:bottom w:val="outset" w:sz="6" w:space="0" w:color="auto"/>
                      <w:right w:val="outset" w:sz="6" w:space="0" w:color="auto"/>
                    </w:tcBorders>
                  </w:tcPr>
                  <w:p w14:paraId="7935D968" w14:textId="77777777" w:rsidR="007E7472" w:rsidRDefault="00C8327E">
                    <w:pPr>
                      <w:jc w:val="center"/>
                      <w:rPr>
                        <w:rFonts w:asciiTheme="majorEastAsia" w:eastAsiaTheme="majorEastAsia" w:hAnsiTheme="maj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21E258DA" w14:textId="77777777" w:rsidR="007E7472" w:rsidRDefault="00C832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03777698" w14:textId="77777777" w:rsidR="007E7472" w:rsidRDefault="00C8327E">
                    <w:pPr>
                      <w:jc w:val="right"/>
                    </w:pPr>
                  </w:p>
                </w:tc>
              </w:tr>
              <w:tr w:rsidR="007E7472" w14:paraId="60CA00D7" w14:textId="7777777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695121b86514004a89ae09bf4805868"/>
                      <w:id w:val="524377431"/>
                    </w:sdtPr>
                    <w:sdtEndPr/>
                    <w:sdtContent>
                      <w:p w14:paraId="3104CB58" w14:textId="77777777" w:rsidR="007E7472" w:rsidRDefault="00EC1269">
                        <w:pPr>
                          <w:ind w:firstLineChars="100" w:firstLine="210"/>
                        </w:pPr>
                        <w:r>
                          <w:rPr>
                            <w:rFonts w:hint="eastAsia"/>
                          </w:rPr>
                          <w:t>交易性金融负债</w:t>
                        </w:r>
                      </w:p>
                    </w:sdtContent>
                  </w:sdt>
                </w:tc>
                <w:tc>
                  <w:tcPr>
                    <w:tcW w:w="627" w:type="pct"/>
                    <w:tcBorders>
                      <w:top w:val="outset" w:sz="6" w:space="0" w:color="auto"/>
                      <w:left w:val="outset" w:sz="6" w:space="0" w:color="auto"/>
                      <w:bottom w:val="outset" w:sz="6" w:space="0" w:color="auto"/>
                      <w:right w:val="outset" w:sz="6" w:space="0" w:color="auto"/>
                    </w:tcBorders>
                  </w:tcPr>
                  <w:p w14:paraId="1FF9C357" w14:textId="77777777" w:rsidR="007E7472" w:rsidRDefault="00C8327E">
                    <w:pPr>
                      <w:jc w:val="center"/>
                      <w:rPr>
                        <w:rFonts w:asciiTheme="majorEastAsia" w:eastAsiaTheme="majorEastAsia" w:hAnsiTheme="maj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4BC7A850" w14:textId="77777777" w:rsidR="007E7472" w:rsidRDefault="00EC1269">
                    <w:pPr>
                      <w:jc w:val="right"/>
                    </w:pPr>
                    <w:r>
                      <w:t>682,601</w:t>
                    </w:r>
                  </w:p>
                </w:tc>
                <w:tc>
                  <w:tcPr>
                    <w:tcW w:w="1333" w:type="pct"/>
                    <w:tcBorders>
                      <w:top w:val="outset" w:sz="6" w:space="0" w:color="auto"/>
                      <w:left w:val="outset" w:sz="6" w:space="0" w:color="auto"/>
                      <w:bottom w:val="outset" w:sz="6" w:space="0" w:color="auto"/>
                      <w:right w:val="outset" w:sz="6" w:space="0" w:color="auto"/>
                    </w:tcBorders>
                    <w:vAlign w:val="center"/>
                  </w:tcPr>
                  <w:p w14:paraId="4590D862" w14:textId="77777777" w:rsidR="007E7472" w:rsidRDefault="00EC1269">
                    <w:pPr>
                      <w:jc w:val="right"/>
                    </w:pPr>
                    <w:r>
                      <w:t>634,537</w:t>
                    </w:r>
                  </w:p>
                </w:tc>
              </w:tr>
              <w:tr w:rsidR="007E7472" w14:paraId="3A0A2F71" w14:textId="77777777">
                <w:sdt>
                  <w:sdtPr>
                    <w:tag w:val="_PLD_24e5d5bfa7f841d1bd60fddcb2e66c58"/>
                    <w:id w:val="524912897"/>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08F1EC2" w14:textId="77777777" w:rsidR="007E7472" w:rsidRDefault="00EC1269">
                        <w:pPr>
                          <w:ind w:firstLineChars="100" w:firstLine="210"/>
                        </w:pPr>
                        <w:r>
                          <w:rPr>
                            <w:rFonts w:hint="eastAsia"/>
                          </w:rPr>
                          <w:t>衍生金融负债</w:t>
                        </w:r>
                      </w:p>
                    </w:tc>
                  </w:sdtContent>
                </w:sdt>
                <w:tc>
                  <w:tcPr>
                    <w:tcW w:w="627" w:type="pct"/>
                    <w:tcBorders>
                      <w:top w:val="outset" w:sz="6" w:space="0" w:color="auto"/>
                      <w:left w:val="outset" w:sz="6" w:space="0" w:color="auto"/>
                      <w:bottom w:val="outset" w:sz="6" w:space="0" w:color="auto"/>
                      <w:right w:val="outset" w:sz="6" w:space="0" w:color="auto"/>
                    </w:tcBorders>
                  </w:tcPr>
                  <w:p w14:paraId="4D9BCC78" w14:textId="77777777" w:rsidR="007E7472" w:rsidRDefault="00C8327E">
                    <w:pPr>
                      <w:jc w:val="center"/>
                      <w:rPr>
                        <w:rFonts w:asciiTheme="majorEastAsia" w:eastAsiaTheme="majorEastAsia" w:hAnsiTheme="maj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6D00092F" w14:textId="77777777" w:rsidR="007E7472" w:rsidRDefault="00C832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356D3800" w14:textId="77777777" w:rsidR="007E7472" w:rsidRDefault="00C8327E">
                    <w:pPr>
                      <w:jc w:val="right"/>
                    </w:pPr>
                  </w:p>
                </w:tc>
              </w:tr>
              <w:tr w:rsidR="007E7472" w14:paraId="7FBFA00A" w14:textId="77777777">
                <w:sdt>
                  <w:sdtPr>
                    <w:tag w:val="_PLD_a1ccdf0c4f4443b685142442e1c3f8f6"/>
                    <w:id w:val="1244146114"/>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3CADAEB" w14:textId="77777777" w:rsidR="007E7472" w:rsidRDefault="00EC1269">
                        <w:pPr>
                          <w:ind w:firstLineChars="100" w:firstLine="210"/>
                        </w:pPr>
                        <w:r>
                          <w:rPr>
                            <w:rFonts w:hint="eastAsia"/>
                          </w:rPr>
                          <w:t>应付票据</w:t>
                        </w:r>
                      </w:p>
                    </w:tc>
                  </w:sdtContent>
                </w:sdt>
                <w:tc>
                  <w:tcPr>
                    <w:tcW w:w="627" w:type="pct"/>
                    <w:tcBorders>
                      <w:top w:val="outset" w:sz="6" w:space="0" w:color="auto"/>
                      <w:left w:val="outset" w:sz="6" w:space="0" w:color="auto"/>
                      <w:bottom w:val="outset" w:sz="6" w:space="0" w:color="auto"/>
                      <w:right w:val="outset" w:sz="6" w:space="0" w:color="auto"/>
                    </w:tcBorders>
                  </w:tcPr>
                  <w:p w14:paraId="083D2D2F" w14:textId="77777777" w:rsidR="007E7472" w:rsidRDefault="00EC1269">
                    <w:pPr>
                      <w:jc w:val="center"/>
                      <w:rPr>
                        <w:rFonts w:asciiTheme="majorEastAsia" w:eastAsiaTheme="majorEastAsia" w:hAnsiTheme="majorEastAsia"/>
                      </w:rPr>
                    </w:pPr>
                    <w:r>
                      <w:rPr>
                        <w:rFonts w:asciiTheme="majorEastAsia" w:eastAsiaTheme="majorEastAsia" w:hAnsiTheme="majorEastAsia" w:hint="eastAsia"/>
                      </w:rPr>
                      <w:t>七、</w:t>
                    </w:r>
                    <w:r>
                      <w:rPr>
                        <w:rFonts w:asciiTheme="majorEastAsia" w:eastAsiaTheme="majorEastAsia" w:hAnsiTheme="majorEastAsia"/>
                      </w:rPr>
                      <w:t>35</w:t>
                    </w:r>
                  </w:p>
                </w:tc>
                <w:tc>
                  <w:tcPr>
                    <w:tcW w:w="1411" w:type="pct"/>
                    <w:tcBorders>
                      <w:top w:val="outset" w:sz="6" w:space="0" w:color="auto"/>
                      <w:left w:val="outset" w:sz="6" w:space="0" w:color="auto"/>
                      <w:bottom w:val="outset" w:sz="6" w:space="0" w:color="auto"/>
                      <w:right w:val="outset" w:sz="6" w:space="0" w:color="auto"/>
                    </w:tcBorders>
                    <w:vAlign w:val="center"/>
                  </w:tcPr>
                  <w:p w14:paraId="2DFB2650" w14:textId="77777777" w:rsidR="007E7472" w:rsidRDefault="00EC1269">
                    <w:pPr>
                      <w:jc w:val="right"/>
                    </w:pPr>
                    <w:r>
                      <w:t>10,413,135</w:t>
                    </w:r>
                  </w:p>
                </w:tc>
                <w:tc>
                  <w:tcPr>
                    <w:tcW w:w="1333" w:type="pct"/>
                    <w:tcBorders>
                      <w:top w:val="outset" w:sz="6" w:space="0" w:color="auto"/>
                      <w:left w:val="outset" w:sz="6" w:space="0" w:color="auto"/>
                      <w:bottom w:val="outset" w:sz="6" w:space="0" w:color="auto"/>
                      <w:right w:val="outset" w:sz="6" w:space="0" w:color="auto"/>
                    </w:tcBorders>
                    <w:vAlign w:val="center"/>
                  </w:tcPr>
                  <w:p w14:paraId="16F9946C" w14:textId="77777777" w:rsidR="007E7472" w:rsidRDefault="00EC1269">
                    <w:pPr>
                      <w:jc w:val="right"/>
                    </w:pPr>
                    <w:r>
                      <w:t>10,782,641</w:t>
                    </w:r>
                  </w:p>
                </w:tc>
              </w:tr>
              <w:tr w:rsidR="007E7472" w14:paraId="2BF06AEB" w14:textId="77777777">
                <w:sdt>
                  <w:sdtPr>
                    <w:tag w:val="_PLD_63f7bc90fdbe4fe9b76159c57157c382"/>
                    <w:id w:val="1197196413"/>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56B914C" w14:textId="77777777" w:rsidR="007E7472" w:rsidRDefault="00EC1269">
                        <w:pPr>
                          <w:ind w:firstLineChars="100" w:firstLine="210"/>
                        </w:pPr>
                        <w:r>
                          <w:rPr>
                            <w:rFonts w:hint="eastAsia"/>
                          </w:rPr>
                          <w:t>应付账款</w:t>
                        </w:r>
                      </w:p>
                    </w:tc>
                  </w:sdtContent>
                </w:sdt>
                <w:tc>
                  <w:tcPr>
                    <w:tcW w:w="627" w:type="pct"/>
                    <w:tcBorders>
                      <w:top w:val="outset" w:sz="6" w:space="0" w:color="auto"/>
                      <w:left w:val="outset" w:sz="6" w:space="0" w:color="auto"/>
                      <w:bottom w:val="outset" w:sz="6" w:space="0" w:color="auto"/>
                      <w:right w:val="outset" w:sz="6" w:space="0" w:color="auto"/>
                    </w:tcBorders>
                  </w:tcPr>
                  <w:p w14:paraId="3AB1FF94" w14:textId="77777777" w:rsidR="007E7472" w:rsidRDefault="00EC1269">
                    <w:pPr>
                      <w:jc w:val="center"/>
                      <w:rPr>
                        <w:rFonts w:asciiTheme="majorEastAsia" w:eastAsiaTheme="majorEastAsia" w:hAnsiTheme="majorEastAsia"/>
                      </w:rPr>
                    </w:pPr>
                    <w:r>
                      <w:rPr>
                        <w:rFonts w:asciiTheme="majorEastAsia" w:eastAsiaTheme="majorEastAsia" w:hAnsiTheme="majorEastAsia" w:hint="eastAsia"/>
                      </w:rPr>
                      <w:t>七、</w:t>
                    </w:r>
                    <w:r>
                      <w:rPr>
                        <w:rFonts w:asciiTheme="majorEastAsia" w:eastAsiaTheme="majorEastAsia" w:hAnsiTheme="majorEastAsia"/>
                      </w:rPr>
                      <w:t>36</w:t>
                    </w:r>
                  </w:p>
                </w:tc>
                <w:tc>
                  <w:tcPr>
                    <w:tcW w:w="1411" w:type="pct"/>
                    <w:tcBorders>
                      <w:top w:val="outset" w:sz="6" w:space="0" w:color="auto"/>
                      <w:left w:val="outset" w:sz="6" w:space="0" w:color="auto"/>
                      <w:bottom w:val="outset" w:sz="6" w:space="0" w:color="auto"/>
                      <w:right w:val="outset" w:sz="6" w:space="0" w:color="auto"/>
                    </w:tcBorders>
                    <w:vAlign w:val="center"/>
                  </w:tcPr>
                  <w:p w14:paraId="59A6AB0E" w14:textId="77777777" w:rsidR="007E7472" w:rsidRDefault="00EC1269">
                    <w:pPr>
                      <w:jc w:val="right"/>
                    </w:pPr>
                    <w:r>
                      <w:t>13,360,835</w:t>
                    </w:r>
                  </w:p>
                </w:tc>
                <w:tc>
                  <w:tcPr>
                    <w:tcW w:w="1333" w:type="pct"/>
                    <w:tcBorders>
                      <w:top w:val="outset" w:sz="6" w:space="0" w:color="auto"/>
                      <w:left w:val="outset" w:sz="6" w:space="0" w:color="auto"/>
                      <w:bottom w:val="outset" w:sz="6" w:space="0" w:color="auto"/>
                      <w:right w:val="outset" w:sz="6" w:space="0" w:color="auto"/>
                    </w:tcBorders>
                    <w:vAlign w:val="center"/>
                  </w:tcPr>
                  <w:p w14:paraId="69FD0D34" w14:textId="77777777" w:rsidR="007E7472" w:rsidRDefault="00EC1269">
                    <w:pPr>
                      <w:jc w:val="right"/>
                    </w:pPr>
                    <w:r>
                      <w:t>18,991,182</w:t>
                    </w:r>
                  </w:p>
                </w:tc>
              </w:tr>
              <w:tr w:rsidR="007E7472" w14:paraId="06200EAA" w14:textId="77777777">
                <w:sdt>
                  <w:sdtPr>
                    <w:tag w:val="_PLD_3652c9d68fee4d45b2cd80abc417bcfd"/>
                    <w:id w:val="1548412419"/>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14289D8" w14:textId="77777777" w:rsidR="007E7472" w:rsidRDefault="00EC1269">
                        <w:pPr>
                          <w:ind w:firstLineChars="100" w:firstLine="210"/>
                        </w:pPr>
                        <w:r>
                          <w:rPr>
                            <w:rFonts w:hint="eastAsia"/>
                          </w:rPr>
                          <w:t>预收款项</w:t>
                        </w:r>
                      </w:p>
                    </w:tc>
                  </w:sdtContent>
                </w:sdt>
                <w:tc>
                  <w:tcPr>
                    <w:tcW w:w="627" w:type="pct"/>
                    <w:tcBorders>
                      <w:top w:val="outset" w:sz="6" w:space="0" w:color="auto"/>
                      <w:left w:val="outset" w:sz="6" w:space="0" w:color="auto"/>
                      <w:bottom w:val="outset" w:sz="6" w:space="0" w:color="auto"/>
                      <w:right w:val="outset" w:sz="6" w:space="0" w:color="auto"/>
                    </w:tcBorders>
                  </w:tcPr>
                  <w:p w14:paraId="30AF0075" w14:textId="77777777" w:rsidR="007E7472" w:rsidRDefault="00C8327E">
                    <w:pPr>
                      <w:jc w:val="center"/>
                      <w:rPr>
                        <w:rFonts w:asciiTheme="majorEastAsia" w:eastAsiaTheme="majorEastAsia" w:hAnsiTheme="maj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44B14BF0" w14:textId="77777777" w:rsidR="007E7472" w:rsidRDefault="00C832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60BB224F" w14:textId="77777777" w:rsidR="007E7472" w:rsidRDefault="00C8327E">
                    <w:pPr>
                      <w:jc w:val="right"/>
                    </w:pPr>
                  </w:p>
                </w:tc>
              </w:tr>
              <w:tr w:rsidR="007E7472" w14:paraId="52876E9E" w14:textId="7777777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c16bfcfaac284e66b961859169968520"/>
                      <w:id w:val="1934708588"/>
                    </w:sdtPr>
                    <w:sdtEndPr/>
                    <w:sdtContent>
                      <w:p w14:paraId="16DF3AB2" w14:textId="77777777" w:rsidR="007E7472" w:rsidRDefault="00EC1269">
                        <w:pPr>
                          <w:ind w:firstLineChars="100" w:firstLine="210"/>
                        </w:pPr>
                        <w:r>
                          <w:rPr>
                            <w:rFonts w:hint="eastAsia"/>
                          </w:rPr>
                          <w:t>合同负债</w:t>
                        </w:r>
                      </w:p>
                    </w:sdtContent>
                  </w:sdt>
                </w:tc>
                <w:tc>
                  <w:tcPr>
                    <w:tcW w:w="627" w:type="pct"/>
                    <w:tcBorders>
                      <w:top w:val="outset" w:sz="6" w:space="0" w:color="auto"/>
                      <w:left w:val="outset" w:sz="6" w:space="0" w:color="auto"/>
                      <w:bottom w:val="outset" w:sz="6" w:space="0" w:color="auto"/>
                      <w:right w:val="outset" w:sz="6" w:space="0" w:color="auto"/>
                    </w:tcBorders>
                  </w:tcPr>
                  <w:p w14:paraId="0CDB7537" w14:textId="77777777" w:rsidR="007E7472" w:rsidRDefault="00EC1269">
                    <w:pPr>
                      <w:jc w:val="center"/>
                      <w:rPr>
                        <w:rFonts w:asciiTheme="majorEastAsia" w:eastAsiaTheme="majorEastAsia" w:hAnsiTheme="majorEastAsia"/>
                      </w:rPr>
                    </w:pPr>
                    <w:r>
                      <w:rPr>
                        <w:rFonts w:asciiTheme="majorEastAsia" w:eastAsiaTheme="majorEastAsia" w:hAnsiTheme="majorEastAsia" w:hint="eastAsia"/>
                      </w:rPr>
                      <w:t>七、</w:t>
                    </w:r>
                    <w:r>
                      <w:rPr>
                        <w:rFonts w:asciiTheme="majorEastAsia" w:eastAsiaTheme="majorEastAsia" w:hAnsiTheme="majorEastAsia"/>
                      </w:rPr>
                      <w:t>38</w:t>
                    </w:r>
                  </w:p>
                </w:tc>
                <w:tc>
                  <w:tcPr>
                    <w:tcW w:w="1411" w:type="pct"/>
                    <w:tcBorders>
                      <w:top w:val="outset" w:sz="6" w:space="0" w:color="auto"/>
                      <w:left w:val="outset" w:sz="6" w:space="0" w:color="auto"/>
                      <w:bottom w:val="outset" w:sz="6" w:space="0" w:color="auto"/>
                      <w:right w:val="outset" w:sz="6" w:space="0" w:color="auto"/>
                    </w:tcBorders>
                    <w:vAlign w:val="center"/>
                  </w:tcPr>
                  <w:p w14:paraId="5A2C7B72" w14:textId="77777777" w:rsidR="007E7472" w:rsidRDefault="00EC1269">
                    <w:pPr>
                      <w:jc w:val="right"/>
                    </w:pPr>
                    <w:r>
                      <w:t>4,529,451</w:t>
                    </w:r>
                  </w:p>
                </w:tc>
                <w:tc>
                  <w:tcPr>
                    <w:tcW w:w="1333" w:type="pct"/>
                    <w:tcBorders>
                      <w:top w:val="outset" w:sz="6" w:space="0" w:color="auto"/>
                      <w:left w:val="outset" w:sz="6" w:space="0" w:color="auto"/>
                      <w:bottom w:val="outset" w:sz="6" w:space="0" w:color="auto"/>
                      <w:right w:val="outset" w:sz="6" w:space="0" w:color="auto"/>
                    </w:tcBorders>
                    <w:vAlign w:val="center"/>
                  </w:tcPr>
                  <w:p w14:paraId="7788B4A7" w14:textId="77777777" w:rsidR="007E7472" w:rsidRDefault="00EC1269">
                    <w:pPr>
                      <w:jc w:val="right"/>
                    </w:pPr>
                    <w:r>
                      <w:t>4,833,680</w:t>
                    </w:r>
                  </w:p>
                </w:tc>
              </w:tr>
              <w:tr w:rsidR="007E7472" w14:paraId="24619226" w14:textId="77777777">
                <w:sdt>
                  <w:sdtPr>
                    <w:tag w:val="_PLD_be5eec398fb24e96b51c778e07be994c"/>
                    <w:id w:val="1114014492"/>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0AB784B" w14:textId="77777777" w:rsidR="007E7472" w:rsidRDefault="00EC1269">
                        <w:pPr>
                          <w:ind w:firstLineChars="100" w:firstLine="210"/>
                        </w:pPr>
                        <w:r>
                          <w:rPr>
                            <w:rFonts w:hint="eastAsia"/>
                          </w:rPr>
                          <w:t>卖出回购金融资产款</w:t>
                        </w:r>
                      </w:p>
                    </w:tc>
                  </w:sdtContent>
                </w:sdt>
                <w:tc>
                  <w:tcPr>
                    <w:tcW w:w="627" w:type="pct"/>
                    <w:tcBorders>
                      <w:top w:val="outset" w:sz="6" w:space="0" w:color="auto"/>
                      <w:left w:val="outset" w:sz="6" w:space="0" w:color="auto"/>
                      <w:bottom w:val="outset" w:sz="6" w:space="0" w:color="auto"/>
                      <w:right w:val="outset" w:sz="6" w:space="0" w:color="auto"/>
                    </w:tcBorders>
                  </w:tcPr>
                  <w:p w14:paraId="3D32A75E" w14:textId="77777777" w:rsidR="007E7472" w:rsidRDefault="00C8327E">
                    <w:pPr>
                      <w:jc w:val="center"/>
                      <w:rPr>
                        <w:rFonts w:asciiTheme="majorEastAsia" w:eastAsiaTheme="majorEastAsia" w:hAnsiTheme="maj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5B4B9DFC" w14:textId="77777777" w:rsidR="007E7472" w:rsidRDefault="00C832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7EF8A868" w14:textId="77777777" w:rsidR="007E7472" w:rsidRDefault="00C8327E">
                    <w:pPr>
                      <w:jc w:val="right"/>
                    </w:pPr>
                  </w:p>
                </w:tc>
              </w:tr>
              <w:tr w:rsidR="007E7472" w14:paraId="708BD373" w14:textId="77777777">
                <w:sdt>
                  <w:sdtPr>
                    <w:tag w:val="_PLD_c96881e9f0ab40769bcc86283e6097ff"/>
                    <w:id w:val="638003565"/>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E3072BA" w14:textId="77777777" w:rsidR="007E7472" w:rsidRDefault="00EC1269">
                        <w:pPr>
                          <w:ind w:firstLineChars="100" w:firstLine="210"/>
                        </w:pPr>
                        <w:r>
                          <w:rPr>
                            <w:rFonts w:hint="eastAsia"/>
                          </w:rPr>
                          <w:t>吸收存款及同业存放</w:t>
                        </w:r>
                      </w:p>
                    </w:tc>
                  </w:sdtContent>
                </w:sdt>
                <w:tc>
                  <w:tcPr>
                    <w:tcW w:w="627" w:type="pct"/>
                    <w:tcBorders>
                      <w:top w:val="outset" w:sz="6" w:space="0" w:color="auto"/>
                      <w:left w:val="outset" w:sz="6" w:space="0" w:color="auto"/>
                      <w:bottom w:val="outset" w:sz="6" w:space="0" w:color="auto"/>
                      <w:right w:val="outset" w:sz="6" w:space="0" w:color="auto"/>
                    </w:tcBorders>
                  </w:tcPr>
                  <w:p w14:paraId="33AE28E1" w14:textId="77777777" w:rsidR="007E7472" w:rsidRDefault="00C8327E">
                    <w:pPr>
                      <w:jc w:val="center"/>
                      <w:rPr>
                        <w:rFonts w:asciiTheme="majorEastAsia" w:eastAsiaTheme="majorEastAsia" w:hAnsiTheme="maj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3B631B60" w14:textId="77777777" w:rsidR="007E7472" w:rsidRDefault="00C832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641E1155" w14:textId="77777777" w:rsidR="007E7472" w:rsidRDefault="00C8327E">
                    <w:pPr>
                      <w:jc w:val="right"/>
                    </w:pPr>
                  </w:p>
                </w:tc>
              </w:tr>
              <w:tr w:rsidR="007E7472" w14:paraId="5573E871" w14:textId="77777777">
                <w:sdt>
                  <w:sdtPr>
                    <w:tag w:val="_PLD_f52e1d03b4c642029c957ce402548b4d"/>
                    <w:id w:val="-1914306197"/>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F3BE05C" w14:textId="77777777" w:rsidR="007E7472" w:rsidRDefault="00EC1269">
                        <w:pPr>
                          <w:ind w:firstLineChars="100" w:firstLine="210"/>
                        </w:pPr>
                        <w:r>
                          <w:rPr>
                            <w:rFonts w:hint="eastAsia"/>
                          </w:rPr>
                          <w:t>代理买卖证券款</w:t>
                        </w:r>
                      </w:p>
                    </w:tc>
                  </w:sdtContent>
                </w:sdt>
                <w:tc>
                  <w:tcPr>
                    <w:tcW w:w="627" w:type="pct"/>
                    <w:tcBorders>
                      <w:top w:val="outset" w:sz="6" w:space="0" w:color="auto"/>
                      <w:left w:val="outset" w:sz="6" w:space="0" w:color="auto"/>
                      <w:bottom w:val="outset" w:sz="6" w:space="0" w:color="auto"/>
                      <w:right w:val="outset" w:sz="6" w:space="0" w:color="auto"/>
                    </w:tcBorders>
                  </w:tcPr>
                  <w:p w14:paraId="771AED61" w14:textId="77777777" w:rsidR="007E7472" w:rsidRDefault="00C8327E">
                    <w:pPr>
                      <w:jc w:val="center"/>
                      <w:rPr>
                        <w:rFonts w:asciiTheme="majorEastAsia" w:eastAsiaTheme="majorEastAsia" w:hAnsiTheme="maj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5F1198C6" w14:textId="77777777" w:rsidR="007E7472" w:rsidRDefault="00C832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411ECB8E" w14:textId="77777777" w:rsidR="007E7472" w:rsidRDefault="00C8327E">
                    <w:pPr>
                      <w:jc w:val="right"/>
                    </w:pPr>
                  </w:p>
                </w:tc>
              </w:tr>
              <w:tr w:rsidR="007E7472" w14:paraId="0C46BD0F" w14:textId="77777777">
                <w:sdt>
                  <w:sdtPr>
                    <w:tag w:val="_PLD_eac3eaf64a174f42beaddc0b3be0ef73"/>
                    <w:id w:val="-1062489044"/>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AA9196E" w14:textId="77777777" w:rsidR="007E7472" w:rsidRDefault="00EC1269">
                        <w:pPr>
                          <w:ind w:firstLineChars="100" w:firstLine="210"/>
                        </w:pPr>
                        <w:r>
                          <w:rPr>
                            <w:rFonts w:hint="eastAsia"/>
                          </w:rPr>
                          <w:t>代理承销证券款</w:t>
                        </w:r>
                      </w:p>
                    </w:tc>
                  </w:sdtContent>
                </w:sdt>
                <w:tc>
                  <w:tcPr>
                    <w:tcW w:w="627" w:type="pct"/>
                    <w:tcBorders>
                      <w:top w:val="outset" w:sz="6" w:space="0" w:color="auto"/>
                      <w:left w:val="outset" w:sz="6" w:space="0" w:color="auto"/>
                      <w:bottom w:val="outset" w:sz="6" w:space="0" w:color="auto"/>
                      <w:right w:val="outset" w:sz="6" w:space="0" w:color="auto"/>
                    </w:tcBorders>
                  </w:tcPr>
                  <w:p w14:paraId="24417DC2" w14:textId="77777777" w:rsidR="007E7472" w:rsidRDefault="00C8327E">
                    <w:pPr>
                      <w:jc w:val="center"/>
                      <w:rPr>
                        <w:rFonts w:asciiTheme="majorEastAsia" w:eastAsiaTheme="majorEastAsia" w:hAnsiTheme="maj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7F824B6C" w14:textId="77777777" w:rsidR="007E7472" w:rsidRDefault="00C832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4494672B" w14:textId="77777777" w:rsidR="007E7472" w:rsidRDefault="00C8327E">
                    <w:pPr>
                      <w:jc w:val="right"/>
                    </w:pPr>
                  </w:p>
                </w:tc>
              </w:tr>
              <w:tr w:rsidR="007E7472" w14:paraId="062C8804" w14:textId="77777777">
                <w:sdt>
                  <w:sdtPr>
                    <w:tag w:val="_PLD_b46164c72e3e41ec9fc7c62554dc88df"/>
                    <w:id w:val="1566378057"/>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0CF9329" w14:textId="77777777" w:rsidR="007E7472" w:rsidRDefault="00EC1269">
                        <w:pPr>
                          <w:ind w:firstLineChars="100" w:firstLine="210"/>
                        </w:pPr>
                        <w:r>
                          <w:rPr>
                            <w:rFonts w:hint="eastAsia"/>
                          </w:rPr>
                          <w:t>应付职工薪酬</w:t>
                        </w:r>
                      </w:p>
                    </w:tc>
                  </w:sdtContent>
                </w:sdt>
                <w:tc>
                  <w:tcPr>
                    <w:tcW w:w="627" w:type="pct"/>
                    <w:tcBorders>
                      <w:top w:val="outset" w:sz="6" w:space="0" w:color="auto"/>
                      <w:left w:val="outset" w:sz="6" w:space="0" w:color="auto"/>
                      <w:bottom w:val="outset" w:sz="6" w:space="0" w:color="auto"/>
                      <w:right w:val="outset" w:sz="6" w:space="0" w:color="auto"/>
                    </w:tcBorders>
                  </w:tcPr>
                  <w:p w14:paraId="064D53E8" w14:textId="77777777" w:rsidR="007E7472" w:rsidRDefault="00EC1269">
                    <w:pPr>
                      <w:jc w:val="center"/>
                      <w:rPr>
                        <w:rFonts w:asciiTheme="majorEastAsia" w:eastAsiaTheme="majorEastAsia" w:hAnsiTheme="majorEastAsia"/>
                      </w:rPr>
                    </w:pPr>
                    <w:r>
                      <w:rPr>
                        <w:rFonts w:asciiTheme="majorEastAsia" w:eastAsiaTheme="majorEastAsia" w:hAnsiTheme="majorEastAsia" w:hint="eastAsia"/>
                      </w:rPr>
                      <w:t>七、</w:t>
                    </w:r>
                    <w:r>
                      <w:rPr>
                        <w:rFonts w:asciiTheme="majorEastAsia" w:eastAsiaTheme="majorEastAsia" w:hAnsiTheme="majorEastAsia"/>
                      </w:rPr>
                      <w:t>39</w:t>
                    </w:r>
                  </w:p>
                </w:tc>
                <w:tc>
                  <w:tcPr>
                    <w:tcW w:w="1411" w:type="pct"/>
                    <w:tcBorders>
                      <w:top w:val="outset" w:sz="6" w:space="0" w:color="auto"/>
                      <w:left w:val="outset" w:sz="6" w:space="0" w:color="auto"/>
                      <w:bottom w:val="outset" w:sz="6" w:space="0" w:color="auto"/>
                      <w:right w:val="outset" w:sz="6" w:space="0" w:color="auto"/>
                    </w:tcBorders>
                    <w:vAlign w:val="center"/>
                  </w:tcPr>
                  <w:p w14:paraId="5F988DBF" w14:textId="77777777" w:rsidR="007E7472" w:rsidRDefault="00EC1269">
                    <w:pPr>
                      <w:jc w:val="right"/>
                    </w:pPr>
                    <w:r>
                      <w:t>1,975,119</w:t>
                    </w:r>
                  </w:p>
                </w:tc>
                <w:tc>
                  <w:tcPr>
                    <w:tcW w:w="1333" w:type="pct"/>
                    <w:tcBorders>
                      <w:top w:val="outset" w:sz="6" w:space="0" w:color="auto"/>
                      <w:left w:val="outset" w:sz="6" w:space="0" w:color="auto"/>
                      <w:bottom w:val="outset" w:sz="6" w:space="0" w:color="auto"/>
                      <w:right w:val="outset" w:sz="6" w:space="0" w:color="auto"/>
                    </w:tcBorders>
                    <w:vAlign w:val="center"/>
                  </w:tcPr>
                  <w:p w14:paraId="7A82C781" w14:textId="77777777" w:rsidR="007E7472" w:rsidRDefault="00EC1269">
                    <w:pPr>
                      <w:jc w:val="right"/>
                    </w:pPr>
                    <w:r>
                      <w:t>2,110,582</w:t>
                    </w:r>
                  </w:p>
                </w:tc>
              </w:tr>
              <w:tr w:rsidR="007E7472" w14:paraId="185B3E4C" w14:textId="77777777">
                <w:sdt>
                  <w:sdtPr>
                    <w:tag w:val="_PLD_da4e94adb66d4e528e4e8867ce4f2302"/>
                    <w:id w:val="426088144"/>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56AC782" w14:textId="77777777" w:rsidR="007E7472" w:rsidRDefault="00EC1269">
                        <w:pPr>
                          <w:ind w:firstLineChars="100" w:firstLine="210"/>
                        </w:pPr>
                        <w:r>
                          <w:rPr>
                            <w:rFonts w:hint="eastAsia"/>
                          </w:rPr>
                          <w:t>应交税费</w:t>
                        </w:r>
                      </w:p>
                    </w:tc>
                  </w:sdtContent>
                </w:sdt>
                <w:tc>
                  <w:tcPr>
                    <w:tcW w:w="627" w:type="pct"/>
                    <w:tcBorders>
                      <w:top w:val="outset" w:sz="6" w:space="0" w:color="auto"/>
                      <w:left w:val="outset" w:sz="6" w:space="0" w:color="auto"/>
                      <w:bottom w:val="outset" w:sz="6" w:space="0" w:color="auto"/>
                      <w:right w:val="outset" w:sz="6" w:space="0" w:color="auto"/>
                    </w:tcBorders>
                  </w:tcPr>
                  <w:p w14:paraId="1C74C010" w14:textId="77777777" w:rsidR="007E7472" w:rsidRDefault="00EC1269">
                    <w:pPr>
                      <w:jc w:val="center"/>
                      <w:rPr>
                        <w:rFonts w:asciiTheme="majorEastAsia" w:eastAsiaTheme="majorEastAsia" w:hAnsiTheme="majorEastAsia"/>
                      </w:rPr>
                    </w:pPr>
                    <w:r>
                      <w:rPr>
                        <w:rFonts w:asciiTheme="majorEastAsia" w:eastAsiaTheme="majorEastAsia" w:hAnsiTheme="majorEastAsia" w:hint="eastAsia"/>
                      </w:rPr>
                      <w:t>七、</w:t>
                    </w:r>
                    <w:r>
                      <w:rPr>
                        <w:rFonts w:asciiTheme="majorEastAsia" w:eastAsiaTheme="majorEastAsia" w:hAnsiTheme="majorEastAsia"/>
                      </w:rPr>
                      <w:t>40</w:t>
                    </w:r>
                  </w:p>
                </w:tc>
                <w:tc>
                  <w:tcPr>
                    <w:tcW w:w="1411" w:type="pct"/>
                    <w:tcBorders>
                      <w:top w:val="outset" w:sz="6" w:space="0" w:color="auto"/>
                      <w:left w:val="outset" w:sz="6" w:space="0" w:color="auto"/>
                      <w:bottom w:val="outset" w:sz="6" w:space="0" w:color="auto"/>
                      <w:right w:val="outset" w:sz="6" w:space="0" w:color="auto"/>
                    </w:tcBorders>
                    <w:vAlign w:val="center"/>
                  </w:tcPr>
                  <w:p w14:paraId="45F8E6C6" w14:textId="77777777" w:rsidR="007E7472" w:rsidRDefault="00EC1269">
                    <w:pPr>
                      <w:jc w:val="right"/>
                    </w:pPr>
                    <w:r>
                      <w:t>3,837,660</w:t>
                    </w:r>
                  </w:p>
                </w:tc>
                <w:tc>
                  <w:tcPr>
                    <w:tcW w:w="1333" w:type="pct"/>
                    <w:tcBorders>
                      <w:top w:val="outset" w:sz="6" w:space="0" w:color="auto"/>
                      <w:left w:val="outset" w:sz="6" w:space="0" w:color="auto"/>
                      <w:bottom w:val="outset" w:sz="6" w:space="0" w:color="auto"/>
                      <w:right w:val="outset" w:sz="6" w:space="0" w:color="auto"/>
                    </w:tcBorders>
                    <w:vAlign w:val="center"/>
                  </w:tcPr>
                  <w:p w14:paraId="78BA2646" w14:textId="77777777" w:rsidR="007E7472" w:rsidRDefault="00EC1269">
                    <w:pPr>
                      <w:jc w:val="right"/>
                    </w:pPr>
                    <w:r>
                      <w:t>11,746,465</w:t>
                    </w:r>
                  </w:p>
                </w:tc>
              </w:tr>
              <w:tr w:rsidR="007E7472" w14:paraId="2F0E4401" w14:textId="77777777">
                <w:sdt>
                  <w:sdtPr>
                    <w:tag w:val="_PLD_f1bb75ef275f4cabafc790de2f817512"/>
                    <w:id w:val="155815719"/>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F71AE9D" w14:textId="77777777" w:rsidR="007E7472" w:rsidRDefault="00EC1269">
                        <w:pPr>
                          <w:ind w:firstLineChars="100" w:firstLine="210"/>
                        </w:pPr>
                        <w:r>
                          <w:rPr>
                            <w:rFonts w:hint="eastAsia"/>
                          </w:rPr>
                          <w:t>其他应付款</w:t>
                        </w:r>
                      </w:p>
                    </w:tc>
                  </w:sdtContent>
                </w:sdt>
                <w:tc>
                  <w:tcPr>
                    <w:tcW w:w="627" w:type="pct"/>
                    <w:tcBorders>
                      <w:top w:val="outset" w:sz="6" w:space="0" w:color="auto"/>
                      <w:left w:val="outset" w:sz="6" w:space="0" w:color="auto"/>
                      <w:bottom w:val="outset" w:sz="6" w:space="0" w:color="auto"/>
                      <w:right w:val="outset" w:sz="6" w:space="0" w:color="auto"/>
                    </w:tcBorders>
                  </w:tcPr>
                  <w:p w14:paraId="4744C867" w14:textId="77777777" w:rsidR="007E7472" w:rsidRDefault="00EC1269">
                    <w:pPr>
                      <w:jc w:val="center"/>
                      <w:rPr>
                        <w:rFonts w:asciiTheme="majorEastAsia" w:eastAsiaTheme="majorEastAsia" w:hAnsiTheme="majorEastAsia"/>
                      </w:rPr>
                    </w:pPr>
                    <w:r>
                      <w:rPr>
                        <w:rFonts w:asciiTheme="majorEastAsia" w:eastAsiaTheme="majorEastAsia" w:hAnsiTheme="majorEastAsia" w:hint="eastAsia"/>
                      </w:rPr>
                      <w:t>七、</w:t>
                    </w:r>
                    <w:r>
                      <w:rPr>
                        <w:rFonts w:asciiTheme="majorEastAsia" w:eastAsiaTheme="majorEastAsia" w:hAnsiTheme="majorEastAsia"/>
                      </w:rPr>
                      <w:t>41</w:t>
                    </w:r>
                  </w:p>
                </w:tc>
                <w:tc>
                  <w:tcPr>
                    <w:tcW w:w="1411" w:type="pct"/>
                    <w:tcBorders>
                      <w:top w:val="outset" w:sz="6" w:space="0" w:color="auto"/>
                      <w:left w:val="outset" w:sz="6" w:space="0" w:color="auto"/>
                      <w:bottom w:val="outset" w:sz="6" w:space="0" w:color="auto"/>
                      <w:right w:val="outset" w:sz="6" w:space="0" w:color="auto"/>
                    </w:tcBorders>
                    <w:vAlign w:val="center"/>
                  </w:tcPr>
                  <w:p w14:paraId="34C8EB90" w14:textId="77777777" w:rsidR="007E7472" w:rsidRDefault="00EC1269">
                    <w:pPr>
                      <w:jc w:val="right"/>
                    </w:pPr>
                    <w:r>
                      <w:t>37,947,212</w:t>
                    </w:r>
                  </w:p>
                </w:tc>
                <w:tc>
                  <w:tcPr>
                    <w:tcW w:w="1333" w:type="pct"/>
                    <w:tcBorders>
                      <w:top w:val="outset" w:sz="6" w:space="0" w:color="auto"/>
                      <w:left w:val="outset" w:sz="6" w:space="0" w:color="auto"/>
                      <w:bottom w:val="outset" w:sz="6" w:space="0" w:color="auto"/>
                      <w:right w:val="outset" w:sz="6" w:space="0" w:color="auto"/>
                    </w:tcBorders>
                    <w:vAlign w:val="center"/>
                  </w:tcPr>
                  <w:p w14:paraId="1B01CC7B" w14:textId="77777777" w:rsidR="007E7472" w:rsidRDefault="00EC1269">
                    <w:pPr>
                      <w:jc w:val="right"/>
                    </w:pPr>
                    <w:r>
                      <w:t>17,048,819</w:t>
                    </w:r>
                  </w:p>
                </w:tc>
              </w:tr>
              <w:tr w:rsidR="007E7472" w14:paraId="1B37FFAB" w14:textId="77777777">
                <w:sdt>
                  <w:sdtPr>
                    <w:tag w:val="_PLD_c2d9be160e384569b83c6b4fa8a1aa71"/>
                    <w:id w:val="437723736"/>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153B27A" w14:textId="77777777" w:rsidR="007E7472" w:rsidRDefault="00EC1269">
                        <w:pPr>
                          <w:ind w:firstLineChars="100" w:firstLine="210"/>
                        </w:pPr>
                        <w:r>
                          <w:rPr>
                            <w:rFonts w:hint="eastAsia"/>
                          </w:rPr>
                          <w:t>其中：应付利息</w:t>
                        </w:r>
                      </w:p>
                    </w:tc>
                  </w:sdtContent>
                </w:sdt>
                <w:tc>
                  <w:tcPr>
                    <w:tcW w:w="627" w:type="pct"/>
                    <w:tcBorders>
                      <w:top w:val="outset" w:sz="6" w:space="0" w:color="auto"/>
                      <w:left w:val="outset" w:sz="6" w:space="0" w:color="auto"/>
                      <w:bottom w:val="outset" w:sz="6" w:space="0" w:color="auto"/>
                      <w:right w:val="outset" w:sz="6" w:space="0" w:color="auto"/>
                    </w:tcBorders>
                  </w:tcPr>
                  <w:p w14:paraId="12F2E38A" w14:textId="77777777" w:rsidR="007E7472" w:rsidRDefault="00EC1269">
                    <w:pPr>
                      <w:jc w:val="center"/>
                      <w:rPr>
                        <w:rFonts w:asciiTheme="majorEastAsia" w:eastAsiaTheme="majorEastAsia" w:hAnsiTheme="majorEastAsia"/>
                      </w:rPr>
                    </w:pPr>
                    <w:r>
                      <w:rPr>
                        <w:rFonts w:asciiTheme="majorEastAsia" w:eastAsiaTheme="majorEastAsia" w:hAnsiTheme="majorEastAsia" w:hint="eastAsia"/>
                      </w:rPr>
                      <w:t>七、</w:t>
                    </w:r>
                    <w:r>
                      <w:rPr>
                        <w:rFonts w:asciiTheme="majorEastAsia" w:eastAsiaTheme="majorEastAsia" w:hAnsiTheme="majorEastAsia"/>
                      </w:rPr>
                      <w:t>41</w:t>
                    </w:r>
                  </w:p>
                </w:tc>
                <w:tc>
                  <w:tcPr>
                    <w:tcW w:w="1411" w:type="pct"/>
                    <w:tcBorders>
                      <w:top w:val="outset" w:sz="6" w:space="0" w:color="auto"/>
                      <w:left w:val="outset" w:sz="6" w:space="0" w:color="auto"/>
                      <w:bottom w:val="outset" w:sz="6" w:space="0" w:color="auto"/>
                      <w:right w:val="outset" w:sz="6" w:space="0" w:color="auto"/>
                    </w:tcBorders>
                    <w:vAlign w:val="center"/>
                  </w:tcPr>
                  <w:p w14:paraId="0B0FEA38" w14:textId="77777777" w:rsidR="007E7472" w:rsidRDefault="00EC1269">
                    <w:pPr>
                      <w:jc w:val="right"/>
                    </w:pPr>
                    <w:r>
                      <w:t>534,684</w:t>
                    </w:r>
                  </w:p>
                </w:tc>
                <w:tc>
                  <w:tcPr>
                    <w:tcW w:w="1333" w:type="pct"/>
                    <w:tcBorders>
                      <w:top w:val="outset" w:sz="6" w:space="0" w:color="auto"/>
                      <w:left w:val="outset" w:sz="6" w:space="0" w:color="auto"/>
                      <w:bottom w:val="outset" w:sz="6" w:space="0" w:color="auto"/>
                      <w:right w:val="outset" w:sz="6" w:space="0" w:color="auto"/>
                    </w:tcBorders>
                    <w:vAlign w:val="center"/>
                  </w:tcPr>
                  <w:p w14:paraId="7C992BF3" w14:textId="77777777" w:rsidR="007E7472" w:rsidRDefault="00EC1269">
                    <w:pPr>
                      <w:jc w:val="right"/>
                    </w:pPr>
                    <w:r>
                      <w:t>650,799</w:t>
                    </w:r>
                  </w:p>
                </w:tc>
              </w:tr>
              <w:tr w:rsidR="007E7472" w14:paraId="5778D322" w14:textId="77777777">
                <w:sdt>
                  <w:sdtPr>
                    <w:tag w:val="_PLD_d687f45d03d4450780c80600a9c2e9d5"/>
                    <w:id w:val="-495572264"/>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E57F64C" w14:textId="77777777" w:rsidR="007E7472" w:rsidRDefault="00EC1269">
                        <w:pPr>
                          <w:ind w:firstLineChars="400" w:firstLine="840"/>
                        </w:pPr>
                        <w:r>
                          <w:rPr>
                            <w:rFonts w:hint="eastAsia"/>
                          </w:rPr>
                          <w:t>应付股利</w:t>
                        </w:r>
                      </w:p>
                    </w:tc>
                  </w:sdtContent>
                </w:sdt>
                <w:tc>
                  <w:tcPr>
                    <w:tcW w:w="627" w:type="pct"/>
                    <w:tcBorders>
                      <w:top w:val="outset" w:sz="6" w:space="0" w:color="auto"/>
                      <w:left w:val="outset" w:sz="6" w:space="0" w:color="auto"/>
                      <w:bottom w:val="outset" w:sz="6" w:space="0" w:color="auto"/>
                      <w:right w:val="outset" w:sz="6" w:space="0" w:color="auto"/>
                    </w:tcBorders>
                  </w:tcPr>
                  <w:p w14:paraId="1F909DC6" w14:textId="77777777" w:rsidR="007E7472" w:rsidRDefault="00EC1269">
                    <w:pPr>
                      <w:jc w:val="center"/>
                      <w:rPr>
                        <w:rFonts w:asciiTheme="majorEastAsia" w:eastAsiaTheme="majorEastAsia" w:hAnsiTheme="majorEastAsia"/>
                      </w:rPr>
                    </w:pPr>
                    <w:r>
                      <w:rPr>
                        <w:rFonts w:asciiTheme="majorEastAsia" w:eastAsiaTheme="majorEastAsia" w:hAnsiTheme="majorEastAsia" w:hint="eastAsia"/>
                      </w:rPr>
                      <w:t>七、</w:t>
                    </w:r>
                    <w:r>
                      <w:rPr>
                        <w:rFonts w:asciiTheme="majorEastAsia" w:eastAsiaTheme="majorEastAsia" w:hAnsiTheme="majorEastAsia"/>
                      </w:rPr>
                      <w:t>41</w:t>
                    </w:r>
                  </w:p>
                </w:tc>
                <w:tc>
                  <w:tcPr>
                    <w:tcW w:w="1411" w:type="pct"/>
                    <w:tcBorders>
                      <w:top w:val="outset" w:sz="6" w:space="0" w:color="auto"/>
                      <w:left w:val="outset" w:sz="6" w:space="0" w:color="auto"/>
                      <w:bottom w:val="outset" w:sz="6" w:space="0" w:color="auto"/>
                      <w:right w:val="outset" w:sz="6" w:space="0" w:color="auto"/>
                    </w:tcBorders>
                    <w:vAlign w:val="center"/>
                  </w:tcPr>
                  <w:p w14:paraId="0A017872" w14:textId="77777777" w:rsidR="007E7472" w:rsidRDefault="00EC1269">
                    <w:pPr>
                      <w:jc w:val="right"/>
                    </w:pPr>
                    <w:r>
                      <w:t>21,344,450</w:t>
                    </w:r>
                  </w:p>
                </w:tc>
                <w:tc>
                  <w:tcPr>
                    <w:tcW w:w="1333" w:type="pct"/>
                    <w:tcBorders>
                      <w:top w:val="outset" w:sz="6" w:space="0" w:color="auto"/>
                      <w:left w:val="outset" w:sz="6" w:space="0" w:color="auto"/>
                      <w:bottom w:val="outset" w:sz="6" w:space="0" w:color="auto"/>
                      <w:right w:val="outset" w:sz="6" w:space="0" w:color="auto"/>
                    </w:tcBorders>
                    <w:vAlign w:val="center"/>
                  </w:tcPr>
                  <w:p w14:paraId="757653C6" w14:textId="77777777" w:rsidR="007E7472" w:rsidRDefault="00EC1269">
                    <w:pPr>
                      <w:jc w:val="right"/>
                    </w:pPr>
                    <w:r>
                      <w:t>3,544</w:t>
                    </w:r>
                  </w:p>
                </w:tc>
              </w:tr>
              <w:tr w:rsidR="007E7472" w14:paraId="3D013ADA" w14:textId="77777777">
                <w:sdt>
                  <w:sdtPr>
                    <w:tag w:val="_PLD_92ed0ec1441a49ed9ae726f88f149d23"/>
                    <w:id w:val="5724982"/>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1489119" w14:textId="77777777" w:rsidR="007E7472" w:rsidRDefault="00EC1269">
                        <w:pPr>
                          <w:ind w:firstLineChars="100" w:firstLine="210"/>
                        </w:pPr>
                        <w:r>
                          <w:rPr>
                            <w:rFonts w:hint="eastAsia"/>
                          </w:rPr>
                          <w:t>应付手续费及佣金</w:t>
                        </w:r>
                      </w:p>
                    </w:tc>
                  </w:sdtContent>
                </w:sdt>
                <w:tc>
                  <w:tcPr>
                    <w:tcW w:w="627" w:type="pct"/>
                    <w:tcBorders>
                      <w:top w:val="outset" w:sz="6" w:space="0" w:color="auto"/>
                      <w:left w:val="outset" w:sz="6" w:space="0" w:color="auto"/>
                      <w:bottom w:val="outset" w:sz="6" w:space="0" w:color="auto"/>
                      <w:right w:val="outset" w:sz="6" w:space="0" w:color="auto"/>
                    </w:tcBorders>
                  </w:tcPr>
                  <w:p w14:paraId="67F34C70" w14:textId="77777777" w:rsidR="007E7472" w:rsidRDefault="00C8327E">
                    <w:pPr>
                      <w:jc w:val="center"/>
                      <w:rPr>
                        <w:rFonts w:asciiTheme="majorEastAsia" w:eastAsiaTheme="majorEastAsia" w:hAnsiTheme="maj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7BC85527" w14:textId="77777777" w:rsidR="007E7472" w:rsidRDefault="00C832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4F77ABA8" w14:textId="77777777" w:rsidR="007E7472" w:rsidRDefault="00C8327E">
                    <w:pPr>
                      <w:jc w:val="right"/>
                    </w:pPr>
                  </w:p>
                </w:tc>
              </w:tr>
              <w:tr w:rsidR="007E7472" w14:paraId="29ED6026" w14:textId="77777777">
                <w:sdt>
                  <w:sdtPr>
                    <w:tag w:val="_PLD_3cd74a6b00ca416da58e99206b2a6150"/>
                    <w:id w:val="-2147114445"/>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33B8978" w14:textId="77777777" w:rsidR="007E7472" w:rsidRDefault="00EC1269">
                        <w:pPr>
                          <w:ind w:firstLineChars="100" w:firstLine="210"/>
                        </w:pPr>
                        <w:r>
                          <w:rPr>
                            <w:rFonts w:hint="eastAsia"/>
                          </w:rPr>
                          <w:t>应付分保账款</w:t>
                        </w:r>
                      </w:p>
                    </w:tc>
                  </w:sdtContent>
                </w:sdt>
                <w:tc>
                  <w:tcPr>
                    <w:tcW w:w="627" w:type="pct"/>
                    <w:tcBorders>
                      <w:top w:val="outset" w:sz="6" w:space="0" w:color="auto"/>
                      <w:left w:val="outset" w:sz="6" w:space="0" w:color="auto"/>
                      <w:bottom w:val="outset" w:sz="6" w:space="0" w:color="auto"/>
                      <w:right w:val="outset" w:sz="6" w:space="0" w:color="auto"/>
                    </w:tcBorders>
                  </w:tcPr>
                  <w:p w14:paraId="4E15BD59" w14:textId="77777777" w:rsidR="007E7472" w:rsidRDefault="00C8327E">
                    <w:pPr>
                      <w:jc w:val="center"/>
                      <w:rPr>
                        <w:rFonts w:asciiTheme="majorEastAsia" w:eastAsiaTheme="majorEastAsia" w:hAnsiTheme="maj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330DE9CE" w14:textId="77777777" w:rsidR="007E7472" w:rsidRDefault="00C832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37CF61F2" w14:textId="77777777" w:rsidR="007E7472" w:rsidRDefault="00C8327E">
                    <w:pPr>
                      <w:jc w:val="right"/>
                    </w:pPr>
                  </w:p>
                </w:tc>
              </w:tr>
              <w:tr w:rsidR="007E7472" w14:paraId="09AF86F3" w14:textId="77777777">
                <w:sdt>
                  <w:sdtPr>
                    <w:tag w:val="_PLD_e2e76edca1004352bfa9fe9ea4f74480"/>
                    <w:id w:val="-604118601"/>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28E667A" w14:textId="77777777" w:rsidR="007E7472" w:rsidRDefault="00EC1269">
                        <w:pPr>
                          <w:ind w:firstLineChars="100" w:firstLine="210"/>
                        </w:pPr>
                        <w:r>
                          <w:rPr>
                            <w:rFonts w:hint="eastAsia"/>
                          </w:rPr>
                          <w:t>持有待售负债</w:t>
                        </w:r>
                      </w:p>
                    </w:tc>
                  </w:sdtContent>
                </w:sdt>
                <w:tc>
                  <w:tcPr>
                    <w:tcW w:w="627" w:type="pct"/>
                    <w:tcBorders>
                      <w:top w:val="outset" w:sz="6" w:space="0" w:color="auto"/>
                      <w:left w:val="outset" w:sz="6" w:space="0" w:color="auto"/>
                      <w:bottom w:val="outset" w:sz="6" w:space="0" w:color="auto"/>
                      <w:right w:val="outset" w:sz="6" w:space="0" w:color="auto"/>
                    </w:tcBorders>
                  </w:tcPr>
                  <w:p w14:paraId="7BFE1389" w14:textId="77777777" w:rsidR="007E7472" w:rsidRDefault="00C8327E">
                    <w:pPr>
                      <w:jc w:val="center"/>
                      <w:rPr>
                        <w:rFonts w:asciiTheme="majorEastAsia" w:eastAsiaTheme="majorEastAsia" w:hAnsiTheme="maj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5D4057F8" w14:textId="77777777" w:rsidR="007E7472" w:rsidRDefault="00C832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087B9FD6" w14:textId="77777777" w:rsidR="007E7472" w:rsidRDefault="00C8327E">
                    <w:pPr>
                      <w:jc w:val="right"/>
                    </w:pPr>
                  </w:p>
                </w:tc>
              </w:tr>
              <w:tr w:rsidR="007E7472" w14:paraId="3C2E9F4F" w14:textId="77777777">
                <w:sdt>
                  <w:sdtPr>
                    <w:tag w:val="_PLD_3d84ac3419c14af1a70409a1e659bc33"/>
                    <w:id w:val="-1522861153"/>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DD8C037" w14:textId="77777777" w:rsidR="007E7472" w:rsidRDefault="00EC1269">
                        <w:pPr>
                          <w:ind w:firstLineChars="100" w:firstLine="210"/>
                        </w:pPr>
                        <w:r>
                          <w:rPr>
                            <w:rFonts w:hint="eastAsia"/>
                          </w:rPr>
                          <w:t>一年内到期的非流动负债</w:t>
                        </w:r>
                      </w:p>
                    </w:tc>
                  </w:sdtContent>
                </w:sdt>
                <w:tc>
                  <w:tcPr>
                    <w:tcW w:w="627" w:type="pct"/>
                    <w:tcBorders>
                      <w:top w:val="outset" w:sz="6" w:space="0" w:color="auto"/>
                      <w:left w:val="outset" w:sz="6" w:space="0" w:color="auto"/>
                      <w:bottom w:val="outset" w:sz="6" w:space="0" w:color="auto"/>
                      <w:right w:val="outset" w:sz="6" w:space="0" w:color="auto"/>
                    </w:tcBorders>
                  </w:tcPr>
                  <w:p w14:paraId="6F52D0B3" w14:textId="77777777" w:rsidR="007E7472" w:rsidRDefault="00EC1269">
                    <w:pPr>
                      <w:jc w:val="center"/>
                      <w:rPr>
                        <w:rFonts w:asciiTheme="majorEastAsia" w:eastAsiaTheme="majorEastAsia" w:hAnsiTheme="majorEastAsia"/>
                      </w:rPr>
                    </w:pPr>
                    <w:r>
                      <w:rPr>
                        <w:rFonts w:asciiTheme="majorEastAsia" w:eastAsiaTheme="majorEastAsia" w:hAnsiTheme="majorEastAsia" w:hint="eastAsia"/>
                      </w:rPr>
                      <w:t>七、</w:t>
                    </w:r>
                    <w:r>
                      <w:rPr>
                        <w:rFonts w:asciiTheme="majorEastAsia" w:eastAsiaTheme="majorEastAsia" w:hAnsiTheme="majorEastAsia"/>
                      </w:rPr>
                      <w:t>43</w:t>
                    </w:r>
                  </w:p>
                </w:tc>
                <w:tc>
                  <w:tcPr>
                    <w:tcW w:w="1411" w:type="pct"/>
                    <w:tcBorders>
                      <w:top w:val="outset" w:sz="6" w:space="0" w:color="auto"/>
                      <w:left w:val="outset" w:sz="6" w:space="0" w:color="auto"/>
                      <w:bottom w:val="outset" w:sz="6" w:space="0" w:color="auto"/>
                      <w:right w:val="outset" w:sz="6" w:space="0" w:color="auto"/>
                    </w:tcBorders>
                    <w:vAlign w:val="center"/>
                  </w:tcPr>
                  <w:p w14:paraId="571D513F" w14:textId="77777777" w:rsidR="007E7472" w:rsidRDefault="00EC1269">
                    <w:pPr>
                      <w:jc w:val="right"/>
                    </w:pPr>
                    <w:r>
                      <w:t>19,551,986</w:t>
                    </w:r>
                  </w:p>
                </w:tc>
                <w:tc>
                  <w:tcPr>
                    <w:tcW w:w="1333" w:type="pct"/>
                    <w:tcBorders>
                      <w:top w:val="outset" w:sz="6" w:space="0" w:color="auto"/>
                      <w:left w:val="outset" w:sz="6" w:space="0" w:color="auto"/>
                      <w:bottom w:val="outset" w:sz="6" w:space="0" w:color="auto"/>
                      <w:right w:val="outset" w:sz="6" w:space="0" w:color="auto"/>
                    </w:tcBorders>
                    <w:vAlign w:val="center"/>
                  </w:tcPr>
                  <w:p w14:paraId="1AC2BF39" w14:textId="77777777" w:rsidR="007E7472" w:rsidRDefault="00EC1269">
                    <w:pPr>
                      <w:jc w:val="right"/>
                    </w:pPr>
                    <w:r>
                      <w:t>14,268,059</w:t>
                    </w:r>
                  </w:p>
                </w:tc>
              </w:tr>
              <w:tr w:rsidR="007E7472" w14:paraId="3DDE08BA" w14:textId="77777777">
                <w:sdt>
                  <w:sdtPr>
                    <w:tag w:val="_PLD_d98d6b8169c447a0bc0b1ae069d60a30"/>
                    <w:id w:val="-2143414297"/>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3A27CFA" w14:textId="77777777" w:rsidR="007E7472" w:rsidRDefault="00EC1269">
                        <w:pPr>
                          <w:ind w:firstLineChars="100" w:firstLine="210"/>
                        </w:pPr>
                        <w:r>
                          <w:rPr>
                            <w:rFonts w:hint="eastAsia"/>
                          </w:rPr>
                          <w:t>其他流动负债</w:t>
                        </w:r>
                      </w:p>
                    </w:tc>
                  </w:sdtContent>
                </w:sdt>
                <w:tc>
                  <w:tcPr>
                    <w:tcW w:w="627" w:type="pct"/>
                    <w:tcBorders>
                      <w:top w:val="outset" w:sz="6" w:space="0" w:color="auto"/>
                      <w:left w:val="outset" w:sz="6" w:space="0" w:color="auto"/>
                      <w:bottom w:val="outset" w:sz="6" w:space="0" w:color="auto"/>
                      <w:right w:val="outset" w:sz="6" w:space="0" w:color="auto"/>
                    </w:tcBorders>
                  </w:tcPr>
                  <w:p w14:paraId="6BA17682" w14:textId="77777777" w:rsidR="007E7472" w:rsidRDefault="00EC1269">
                    <w:pPr>
                      <w:jc w:val="center"/>
                      <w:rPr>
                        <w:rFonts w:asciiTheme="majorEastAsia" w:eastAsiaTheme="majorEastAsia" w:hAnsiTheme="majorEastAsia"/>
                      </w:rPr>
                    </w:pPr>
                    <w:r>
                      <w:rPr>
                        <w:rFonts w:asciiTheme="majorEastAsia" w:eastAsiaTheme="majorEastAsia" w:hAnsiTheme="majorEastAsia" w:hint="eastAsia"/>
                      </w:rPr>
                      <w:t>七、</w:t>
                    </w:r>
                    <w:r>
                      <w:rPr>
                        <w:rFonts w:asciiTheme="majorEastAsia" w:eastAsiaTheme="majorEastAsia" w:hAnsiTheme="majorEastAsia"/>
                      </w:rPr>
                      <w:t>44</w:t>
                    </w:r>
                  </w:p>
                </w:tc>
                <w:tc>
                  <w:tcPr>
                    <w:tcW w:w="1411" w:type="pct"/>
                    <w:tcBorders>
                      <w:top w:val="outset" w:sz="6" w:space="0" w:color="auto"/>
                      <w:left w:val="outset" w:sz="6" w:space="0" w:color="auto"/>
                      <w:bottom w:val="outset" w:sz="6" w:space="0" w:color="auto"/>
                      <w:right w:val="outset" w:sz="6" w:space="0" w:color="auto"/>
                    </w:tcBorders>
                    <w:vAlign w:val="center"/>
                  </w:tcPr>
                  <w:p w14:paraId="2C4C4473" w14:textId="77777777" w:rsidR="007E7472" w:rsidRDefault="00EC1269">
                    <w:pPr>
                      <w:jc w:val="right"/>
                    </w:pPr>
                    <w:r>
                      <w:t>4,969,603</w:t>
                    </w:r>
                  </w:p>
                </w:tc>
                <w:tc>
                  <w:tcPr>
                    <w:tcW w:w="1333" w:type="pct"/>
                    <w:tcBorders>
                      <w:top w:val="outset" w:sz="6" w:space="0" w:color="auto"/>
                      <w:left w:val="outset" w:sz="6" w:space="0" w:color="auto"/>
                      <w:bottom w:val="outset" w:sz="6" w:space="0" w:color="auto"/>
                      <w:right w:val="outset" w:sz="6" w:space="0" w:color="auto"/>
                    </w:tcBorders>
                    <w:vAlign w:val="center"/>
                  </w:tcPr>
                  <w:p w14:paraId="04EAC6EC" w14:textId="77777777" w:rsidR="007E7472" w:rsidRDefault="00EC1269">
                    <w:pPr>
                      <w:jc w:val="right"/>
                    </w:pPr>
                    <w:r>
                      <w:t>1,827,921</w:t>
                    </w:r>
                  </w:p>
                </w:tc>
              </w:tr>
              <w:tr w:rsidR="007E7472" w14:paraId="42BEF310" w14:textId="77777777">
                <w:sdt>
                  <w:sdtPr>
                    <w:tag w:val="_PLD_d6387f8c45ce4f8599c26d4b88544573"/>
                    <w:id w:val="993061030"/>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A019BDE" w14:textId="77777777" w:rsidR="007E7472" w:rsidRDefault="00EC1269">
                        <w:pPr>
                          <w:ind w:firstLineChars="200" w:firstLine="420"/>
                        </w:pPr>
                        <w:r>
                          <w:rPr>
                            <w:rFonts w:hint="eastAsia"/>
                          </w:rPr>
                          <w:t>流动负债合计</w:t>
                        </w:r>
                      </w:p>
                    </w:tc>
                  </w:sdtContent>
                </w:sdt>
                <w:tc>
                  <w:tcPr>
                    <w:tcW w:w="627" w:type="pct"/>
                    <w:tcBorders>
                      <w:top w:val="outset" w:sz="6" w:space="0" w:color="auto"/>
                      <w:left w:val="outset" w:sz="6" w:space="0" w:color="auto"/>
                      <w:bottom w:val="outset" w:sz="6" w:space="0" w:color="auto"/>
                      <w:right w:val="outset" w:sz="6" w:space="0" w:color="auto"/>
                    </w:tcBorders>
                  </w:tcPr>
                  <w:p w14:paraId="7AC55462" w14:textId="77777777" w:rsidR="007E7472" w:rsidRDefault="00C8327E">
                    <w:pPr>
                      <w:jc w:val="center"/>
                      <w:rPr>
                        <w:rFonts w:asciiTheme="majorEastAsia" w:eastAsiaTheme="majorEastAsia" w:hAnsiTheme="maj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7F433167" w14:textId="77777777" w:rsidR="007E7472" w:rsidRDefault="00EC1269">
                    <w:pPr>
                      <w:jc w:val="right"/>
                    </w:pPr>
                    <w:r>
                      <w:t>98,694,196</w:t>
                    </w:r>
                  </w:p>
                </w:tc>
                <w:tc>
                  <w:tcPr>
                    <w:tcW w:w="1333" w:type="pct"/>
                    <w:tcBorders>
                      <w:top w:val="outset" w:sz="6" w:space="0" w:color="auto"/>
                      <w:left w:val="outset" w:sz="6" w:space="0" w:color="auto"/>
                      <w:bottom w:val="outset" w:sz="6" w:space="0" w:color="auto"/>
                      <w:right w:val="outset" w:sz="6" w:space="0" w:color="auto"/>
                    </w:tcBorders>
                    <w:vAlign w:val="center"/>
                  </w:tcPr>
                  <w:p w14:paraId="4FCB3BB8" w14:textId="77777777" w:rsidR="007E7472" w:rsidRDefault="00EC1269">
                    <w:pPr>
                      <w:jc w:val="right"/>
                    </w:pPr>
                    <w:r>
                      <w:t>83,563,234</w:t>
                    </w:r>
                  </w:p>
                </w:tc>
              </w:tr>
              <w:tr w:rsidR="007E7472" w14:paraId="5E414A29" w14:textId="77777777">
                <w:sdt>
                  <w:sdtPr>
                    <w:tag w:val="_PLD_e92d79badc1945afbed8782cdacf599f"/>
                    <w:id w:val="-1948151328"/>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327F71E6" w14:textId="77777777" w:rsidR="007E7472" w:rsidRDefault="00EC1269">
                        <w:pPr>
                          <w:rPr>
                            <w:color w:val="008000"/>
                          </w:rPr>
                        </w:pPr>
                        <w:r>
                          <w:rPr>
                            <w:rFonts w:hint="eastAsia"/>
                            <w:b/>
                          </w:rPr>
                          <w:t>非流动负债：</w:t>
                        </w:r>
                      </w:p>
                    </w:tc>
                  </w:sdtContent>
                </w:sdt>
              </w:tr>
              <w:tr w:rsidR="007E7472" w14:paraId="12FDF3C6" w14:textId="77777777">
                <w:sdt>
                  <w:sdtPr>
                    <w:tag w:val="_PLD_4515eae7d3ee403aac2fdade1a6ff71a"/>
                    <w:id w:val="-1698609232"/>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9C6FD49" w14:textId="77777777" w:rsidR="007E7472" w:rsidRDefault="00EC1269">
                        <w:pPr>
                          <w:ind w:firstLineChars="100" w:firstLine="210"/>
                        </w:pPr>
                        <w:r>
                          <w:rPr>
                            <w:rFonts w:hint="eastAsia"/>
                          </w:rPr>
                          <w:t>保险合同准备金</w:t>
                        </w:r>
                      </w:p>
                    </w:tc>
                  </w:sdtContent>
                </w:sdt>
                <w:tc>
                  <w:tcPr>
                    <w:tcW w:w="627" w:type="pct"/>
                    <w:tcBorders>
                      <w:top w:val="outset" w:sz="6" w:space="0" w:color="auto"/>
                      <w:left w:val="outset" w:sz="6" w:space="0" w:color="auto"/>
                      <w:bottom w:val="outset" w:sz="6" w:space="0" w:color="auto"/>
                      <w:right w:val="outset" w:sz="6" w:space="0" w:color="auto"/>
                    </w:tcBorders>
                  </w:tcPr>
                  <w:p w14:paraId="31EF8CB2" w14:textId="77777777" w:rsidR="007E7472" w:rsidRDefault="00C8327E">
                    <w:pPr>
                      <w:jc w:val="center"/>
                      <w:rPr>
                        <w:rFonts w:asciiTheme="majorEastAsia" w:eastAsiaTheme="majorEastAsia" w:hAnsiTheme="maj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4DF564D3" w14:textId="77777777" w:rsidR="007E7472" w:rsidRDefault="00C832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5A29DC86" w14:textId="77777777" w:rsidR="007E7472" w:rsidRDefault="00C8327E">
                    <w:pPr>
                      <w:jc w:val="right"/>
                    </w:pPr>
                  </w:p>
                </w:tc>
              </w:tr>
              <w:tr w:rsidR="007E7472" w14:paraId="78DFE179" w14:textId="77777777">
                <w:sdt>
                  <w:sdtPr>
                    <w:tag w:val="_PLD_0b8d7682584443f4bae26e2ed50f8040"/>
                    <w:id w:val="-1938587396"/>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37DA668" w14:textId="77777777" w:rsidR="007E7472" w:rsidRDefault="00EC1269">
                        <w:pPr>
                          <w:ind w:firstLineChars="100" w:firstLine="210"/>
                        </w:pPr>
                        <w:r>
                          <w:rPr>
                            <w:rFonts w:hint="eastAsia"/>
                          </w:rPr>
                          <w:t>长期借款</w:t>
                        </w:r>
                      </w:p>
                    </w:tc>
                  </w:sdtContent>
                </w:sdt>
                <w:tc>
                  <w:tcPr>
                    <w:tcW w:w="627" w:type="pct"/>
                    <w:tcBorders>
                      <w:top w:val="outset" w:sz="6" w:space="0" w:color="auto"/>
                      <w:left w:val="outset" w:sz="6" w:space="0" w:color="auto"/>
                      <w:bottom w:val="outset" w:sz="6" w:space="0" w:color="auto"/>
                      <w:right w:val="outset" w:sz="6" w:space="0" w:color="auto"/>
                    </w:tcBorders>
                  </w:tcPr>
                  <w:p w14:paraId="7665B573" w14:textId="77777777" w:rsidR="007E7472" w:rsidRDefault="00EC1269">
                    <w:pPr>
                      <w:jc w:val="center"/>
                      <w:rPr>
                        <w:rFonts w:asciiTheme="majorEastAsia" w:eastAsiaTheme="majorEastAsia" w:hAnsiTheme="majorEastAsia"/>
                      </w:rPr>
                    </w:pPr>
                    <w:r>
                      <w:rPr>
                        <w:rFonts w:asciiTheme="majorEastAsia" w:eastAsiaTheme="majorEastAsia" w:hAnsiTheme="majorEastAsia" w:hint="eastAsia"/>
                      </w:rPr>
                      <w:t>七、</w:t>
                    </w:r>
                    <w:r>
                      <w:rPr>
                        <w:rFonts w:asciiTheme="majorEastAsia" w:eastAsiaTheme="majorEastAsia" w:hAnsiTheme="majorEastAsia"/>
                      </w:rPr>
                      <w:t>45</w:t>
                    </w:r>
                  </w:p>
                </w:tc>
                <w:tc>
                  <w:tcPr>
                    <w:tcW w:w="1411" w:type="pct"/>
                    <w:tcBorders>
                      <w:top w:val="outset" w:sz="6" w:space="0" w:color="auto"/>
                      <w:left w:val="outset" w:sz="6" w:space="0" w:color="auto"/>
                      <w:bottom w:val="outset" w:sz="6" w:space="0" w:color="auto"/>
                      <w:right w:val="outset" w:sz="6" w:space="0" w:color="auto"/>
                    </w:tcBorders>
                    <w:vAlign w:val="center"/>
                  </w:tcPr>
                  <w:p w14:paraId="36EEFC88" w14:textId="77777777" w:rsidR="007E7472" w:rsidRDefault="00EC1269">
                    <w:pPr>
                      <w:jc w:val="right"/>
                    </w:pPr>
                    <w:r>
                      <w:t>43,091,930</w:t>
                    </w:r>
                  </w:p>
                </w:tc>
                <w:tc>
                  <w:tcPr>
                    <w:tcW w:w="1333" w:type="pct"/>
                    <w:tcBorders>
                      <w:top w:val="outset" w:sz="6" w:space="0" w:color="auto"/>
                      <w:left w:val="outset" w:sz="6" w:space="0" w:color="auto"/>
                      <w:bottom w:val="outset" w:sz="6" w:space="0" w:color="auto"/>
                      <w:right w:val="outset" w:sz="6" w:space="0" w:color="auto"/>
                    </w:tcBorders>
                    <w:vAlign w:val="center"/>
                  </w:tcPr>
                  <w:p w14:paraId="095ABBB6" w14:textId="77777777" w:rsidR="007E7472" w:rsidRDefault="00EC1269">
                    <w:pPr>
                      <w:jc w:val="right"/>
                    </w:pPr>
                    <w:r>
                      <w:t>38,224,094</w:t>
                    </w:r>
                  </w:p>
                </w:tc>
              </w:tr>
              <w:tr w:rsidR="007E7472" w14:paraId="081F65D1" w14:textId="77777777">
                <w:sdt>
                  <w:sdtPr>
                    <w:tag w:val="_PLD_21503c6281dc48d19440b9f16f150ec0"/>
                    <w:id w:val="-1809698157"/>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FD9CD2D" w14:textId="77777777" w:rsidR="007E7472" w:rsidRDefault="00EC1269">
                        <w:pPr>
                          <w:ind w:firstLineChars="100" w:firstLine="210"/>
                        </w:pPr>
                        <w:r>
                          <w:rPr>
                            <w:rFonts w:hint="eastAsia"/>
                          </w:rPr>
                          <w:t>应付债券</w:t>
                        </w:r>
                      </w:p>
                    </w:tc>
                  </w:sdtContent>
                </w:sdt>
                <w:tc>
                  <w:tcPr>
                    <w:tcW w:w="627" w:type="pct"/>
                    <w:tcBorders>
                      <w:top w:val="outset" w:sz="6" w:space="0" w:color="auto"/>
                      <w:left w:val="outset" w:sz="6" w:space="0" w:color="auto"/>
                      <w:bottom w:val="outset" w:sz="6" w:space="0" w:color="auto"/>
                      <w:right w:val="outset" w:sz="6" w:space="0" w:color="auto"/>
                    </w:tcBorders>
                  </w:tcPr>
                  <w:p w14:paraId="21A118AF" w14:textId="77777777" w:rsidR="007E7472" w:rsidRDefault="00EC1269">
                    <w:pPr>
                      <w:jc w:val="center"/>
                      <w:rPr>
                        <w:rFonts w:asciiTheme="majorEastAsia" w:eastAsiaTheme="majorEastAsia" w:hAnsiTheme="majorEastAsia"/>
                      </w:rPr>
                    </w:pPr>
                    <w:r>
                      <w:rPr>
                        <w:rFonts w:asciiTheme="majorEastAsia" w:eastAsiaTheme="majorEastAsia" w:hAnsiTheme="majorEastAsia" w:hint="eastAsia"/>
                      </w:rPr>
                      <w:t>七、</w:t>
                    </w:r>
                    <w:r>
                      <w:rPr>
                        <w:rFonts w:asciiTheme="majorEastAsia" w:eastAsiaTheme="majorEastAsia" w:hAnsiTheme="majorEastAsia"/>
                      </w:rPr>
                      <w:t>46</w:t>
                    </w:r>
                  </w:p>
                </w:tc>
                <w:tc>
                  <w:tcPr>
                    <w:tcW w:w="1411" w:type="pct"/>
                    <w:tcBorders>
                      <w:top w:val="outset" w:sz="6" w:space="0" w:color="auto"/>
                      <w:left w:val="outset" w:sz="6" w:space="0" w:color="auto"/>
                      <w:bottom w:val="outset" w:sz="6" w:space="0" w:color="auto"/>
                      <w:right w:val="outset" w:sz="6" w:space="0" w:color="auto"/>
                    </w:tcBorders>
                    <w:vAlign w:val="center"/>
                  </w:tcPr>
                  <w:p w14:paraId="3C3CA32D" w14:textId="77777777" w:rsidR="007E7472" w:rsidRDefault="00EC1269">
                    <w:pPr>
                      <w:jc w:val="right"/>
                    </w:pPr>
                    <w:r>
                      <w:t>19,829,218</w:t>
                    </w:r>
                  </w:p>
                </w:tc>
                <w:tc>
                  <w:tcPr>
                    <w:tcW w:w="1333" w:type="pct"/>
                    <w:tcBorders>
                      <w:top w:val="outset" w:sz="6" w:space="0" w:color="auto"/>
                      <w:left w:val="outset" w:sz="6" w:space="0" w:color="auto"/>
                      <w:bottom w:val="outset" w:sz="6" w:space="0" w:color="auto"/>
                      <w:right w:val="outset" w:sz="6" w:space="0" w:color="auto"/>
                    </w:tcBorders>
                    <w:vAlign w:val="center"/>
                  </w:tcPr>
                  <w:p w14:paraId="7D4CD8A0" w14:textId="77777777" w:rsidR="007E7472" w:rsidRDefault="00EC1269">
                    <w:pPr>
                      <w:jc w:val="right"/>
                    </w:pPr>
                    <w:r>
                      <w:t>20,792,407</w:t>
                    </w:r>
                  </w:p>
                </w:tc>
              </w:tr>
              <w:tr w:rsidR="007E7472" w14:paraId="48D3B744" w14:textId="77777777">
                <w:sdt>
                  <w:sdtPr>
                    <w:tag w:val="_PLD_cfeff2e31a4d4689842e8f9ce5e8b342"/>
                    <w:id w:val="-2055062403"/>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791C7C9" w14:textId="77777777" w:rsidR="007E7472" w:rsidRDefault="00EC1269">
                        <w:pPr>
                          <w:ind w:firstLineChars="100" w:firstLine="210"/>
                        </w:pPr>
                        <w:r>
                          <w:rPr>
                            <w:rFonts w:hint="eastAsia"/>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14:paraId="6EAA4115" w14:textId="77777777" w:rsidR="007E7472" w:rsidRDefault="00C8327E">
                    <w:pPr>
                      <w:jc w:val="center"/>
                      <w:rPr>
                        <w:rFonts w:asciiTheme="majorEastAsia" w:eastAsiaTheme="majorEastAsia" w:hAnsiTheme="maj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148FC562" w14:textId="77777777" w:rsidR="007E7472" w:rsidRDefault="00C832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6A93F2BA" w14:textId="77777777" w:rsidR="007E7472" w:rsidRDefault="00C8327E">
                    <w:pPr>
                      <w:jc w:val="right"/>
                    </w:pPr>
                  </w:p>
                </w:tc>
              </w:tr>
              <w:tr w:rsidR="007E7472" w14:paraId="3E116F33" w14:textId="77777777">
                <w:sdt>
                  <w:sdtPr>
                    <w:tag w:val="_PLD_36b6cba673904261afdd80fbfbf5d1b4"/>
                    <w:id w:val="-479006829"/>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D2A828B" w14:textId="77777777" w:rsidR="007E7472" w:rsidRDefault="00EC1269">
                        <w:pPr>
                          <w:ind w:leftChars="300" w:left="630" w:firstLineChars="100" w:firstLine="210"/>
                        </w:pPr>
                        <w:r>
                          <w:rPr>
                            <w:rFonts w:hint="eastAsia"/>
                          </w:rPr>
                          <w:t>永续债</w:t>
                        </w:r>
                      </w:p>
                    </w:tc>
                  </w:sdtContent>
                </w:sdt>
                <w:tc>
                  <w:tcPr>
                    <w:tcW w:w="627" w:type="pct"/>
                    <w:tcBorders>
                      <w:top w:val="outset" w:sz="6" w:space="0" w:color="auto"/>
                      <w:left w:val="outset" w:sz="6" w:space="0" w:color="auto"/>
                      <w:bottom w:val="outset" w:sz="6" w:space="0" w:color="auto"/>
                      <w:right w:val="outset" w:sz="6" w:space="0" w:color="auto"/>
                    </w:tcBorders>
                  </w:tcPr>
                  <w:p w14:paraId="62DEFC57" w14:textId="77777777" w:rsidR="007E7472" w:rsidRDefault="00C8327E">
                    <w:pPr>
                      <w:jc w:val="center"/>
                      <w:rPr>
                        <w:rFonts w:asciiTheme="majorEastAsia" w:eastAsiaTheme="majorEastAsia" w:hAnsiTheme="maj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1F837A89" w14:textId="77777777" w:rsidR="007E7472" w:rsidRDefault="00C832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1200A6F3" w14:textId="77777777" w:rsidR="007E7472" w:rsidRDefault="00C8327E">
                    <w:pPr>
                      <w:jc w:val="right"/>
                    </w:pPr>
                  </w:p>
                </w:tc>
              </w:tr>
              <w:tr w:rsidR="007E7472" w14:paraId="5F2C7860" w14:textId="7777777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5f24a143dea468283877b9adfce049b"/>
                      <w:id w:val="1118576969"/>
                    </w:sdtPr>
                    <w:sdtEndPr/>
                    <w:sdtContent>
                      <w:p w14:paraId="3DE3D6D6" w14:textId="77777777" w:rsidR="007E7472" w:rsidRDefault="00EC1269">
                        <w:pPr>
                          <w:ind w:firstLineChars="100" w:firstLine="210"/>
                        </w:pPr>
                        <w:r>
                          <w:rPr>
                            <w:rFonts w:hint="eastAsia"/>
                          </w:rPr>
                          <w:t>租赁负债</w:t>
                        </w:r>
                      </w:p>
                    </w:sdtContent>
                  </w:sdt>
                </w:tc>
                <w:tc>
                  <w:tcPr>
                    <w:tcW w:w="627" w:type="pct"/>
                    <w:tcBorders>
                      <w:top w:val="outset" w:sz="6" w:space="0" w:color="auto"/>
                      <w:left w:val="outset" w:sz="6" w:space="0" w:color="auto"/>
                      <w:bottom w:val="outset" w:sz="6" w:space="0" w:color="auto"/>
                      <w:right w:val="outset" w:sz="6" w:space="0" w:color="auto"/>
                    </w:tcBorders>
                  </w:tcPr>
                  <w:p w14:paraId="68B5AB61" w14:textId="77777777" w:rsidR="007E7472" w:rsidRDefault="00EC1269">
                    <w:pPr>
                      <w:jc w:val="center"/>
                      <w:rPr>
                        <w:rFonts w:asciiTheme="majorEastAsia" w:eastAsiaTheme="majorEastAsia" w:hAnsiTheme="majorEastAsia"/>
                      </w:rPr>
                    </w:pPr>
                    <w:r>
                      <w:rPr>
                        <w:rFonts w:asciiTheme="majorEastAsia" w:eastAsiaTheme="majorEastAsia" w:hAnsiTheme="majorEastAsia" w:hint="eastAsia"/>
                      </w:rPr>
                      <w:t>七、</w:t>
                    </w:r>
                    <w:r>
                      <w:rPr>
                        <w:rFonts w:asciiTheme="majorEastAsia" w:eastAsiaTheme="majorEastAsia" w:hAnsiTheme="majorEastAsia"/>
                      </w:rPr>
                      <w:t>47</w:t>
                    </w:r>
                  </w:p>
                </w:tc>
                <w:tc>
                  <w:tcPr>
                    <w:tcW w:w="1411" w:type="pct"/>
                    <w:tcBorders>
                      <w:top w:val="outset" w:sz="6" w:space="0" w:color="auto"/>
                      <w:left w:val="outset" w:sz="6" w:space="0" w:color="auto"/>
                      <w:bottom w:val="outset" w:sz="6" w:space="0" w:color="auto"/>
                      <w:right w:val="outset" w:sz="6" w:space="0" w:color="auto"/>
                    </w:tcBorders>
                    <w:vAlign w:val="center"/>
                  </w:tcPr>
                  <w:p w14:paraId="1C7C87B3" w14:textId="77777777" w:rsidR="007E7472" w:rsidRDefault="00EC1269">
                    <w:pPr>
                      <w:jc w:val="right"/>
                    </w:pPr>
                    <w:r>
                      <w:t>344,561</w:t>
                    </w:r>
                  </w:p>
                </w:tc>
                <w:tc>
                  <w:tcPr>
                    <w:tcW w:w="1333" w:type="pct"/>
                    <w:tcBorders>
                      <w:top w:val="outset" w:sz="6" w:space="0" w:color="auto"/>
                      <w:left w:val="outset" w:sz="6" w:space="0" w:color="auto"/>
                      <w:bottom w:val="outset" w:sz="6" w:space="0" w:color="auto"/>
                      <w:right w:val="outset" w:sz="6" w:space="0" w:color="auto"/>
                    </w:tcBorders>
                    <w:vAlign w:val="center"/>
                  </w:tcPr>
                  <w:p w14:paraId="706EA13C" w14:textId="77777777" w:rsidR="007E7472" w:rsidRDefault="00EC1269">
                    <w:pPr>
                      <w:jc w:val="right"/>
                    </w:pPr>
                    <w:r>
                      <w:t>411,033</w:t>
                    </w:r>
                  </w:p>
                </w:tc>
              </w:tr>
              <w:tr w:rsidR="007E7472" w14:paraId="57E2AE47" w14:textId="77777777">
                <w:sdt>
                  <w:sdtPr>
                    <w:tag w:val="_PLD_e7eb803a0fb248e2b8805e67dbe2336f"/>
                    <w:id w:val="1142998373"/>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812E533" w14:textId="77777777" w:rsidR="007E7472" w:rsidRDefault="00EC1269">
                        <w:pPr>
                          <w:ind w:firstLineChars="100" w:firstLine="210"/>
                        </w:pPr>
                        <w:r>
                          <w:rPr>
                            <w:rFonts w:hint="eastAsia"/>
                          </w:rPr>
                          <w:t>长期应付款</w:t>
                        </w:r>
                      </w:p>
                    </w:tc>
                  </w:sdtContent>
                </w:sdt>
                <w:tc>
                  <w:tcPr>
                    <w:tcW w:w="627" w:type="pct"/>
                    <w:tcBorders>
                      <w:top w:val="outset" w:sz="6" w:space="0" w:color="auto"/>
                      <w:left w:val="outset" w:sz="6" w:space="0" w:color="auto"/>
                      <w:bottom w:val="outset" w:sz="6" w:space="0" w:color="auto"/>
                      <w:right w:val="outset" w:sz="6" w:space="0" w:color="auto"/>
                    </w:tcBorders>
                  </w:tcPr>
                  <w:p w14:paraId="17EFA5B4" w14:textId="77777777" w:rsidR="007E7472" w:rsidRDefault="00EC1269">
                    <w:pPr>
                      <w:jc w:val="center"/>
                      <w:rPr>
                        <w:rFonts w:asciiTheme="majorEastAsia" w:eastAsiaTheme="majorEastAsia" w:hAnsiTheme="majorEastAsia"/>
                      </w:rPr>
                    </w:pPr>
                    <w:r>
                      <w:rPr>
                        <w:rFonts w:asciiTheme="majorEastAsia" w:eastAsiaTheme="majorEastAsia" w:hAnsiTheme="majorEastAsia" w:hint="eastAsia"/>
                      </w:rPr>
                      <w:t>七、</w:t>
                    </w:r>
                    <w:r>
                      <w:rPr>
                        <w:rFonts w:asciiTheme="majorEastAsia" w:eastAsiaTheme="majorEastAsia" w:hAnsiTheme="majorEastAsia"/>
                      </w:rPr>
                      <w:t>48</w:t>
                    </w:r>
                  </w:p>
                </w:tc>
                <w:tc>
                  <w:tcPr>
                    <w:tcW w:w="1411" w:type="pct"/>
                    <w:tcBorders>
                      <w:top w:val="outset" w:sz="6" w:space="0" w:color="auto"/>
                      <w:left w:val="outset" w:sz="6" w:space="0" w:color="auto"/>
                      <w:bottom w:val="outset" w:sz="6" w:space="0" w:color="auto"/>
                      <w:right w:val="outset" w:sz="6" w:space="0" w:color="auto"/>
                    </w:tcBorders>
                    <w:vAlign w:val="center"/>
                  </w:tcPr>
                  <w:p w14:paraId="5FB4AB80" w14:textId="77777777" w:rsidR="007E7472" w:rsidRDefault="00EC1269">
                    <w:pPr>
                      <w:jc w:val="right"/>
                    </w:pPr>
                    <w:r>
                      <w:t>7,989,518</w:t>
                    </w:r>
                  </w:p>
                </w:tc>
                <w:tc>
                  <w:tcPr>
                    <w:tcW w:w="1333" w:type="pct"/>
                    <w:tcBorders>
                      <w:top w:val="outset" w:sz="6" w:space="0" w:color="auto"/>
                      <w:left w:val="outset" w:sz="6" w:space="0" w:color="auto"/>
                      <w:bottom w:val="outset" w:sz="6" w:space="0" w:color="auto"/>
                      <w:right w:val="outset" w:sz="6" w:space="0" w:color="auto"/>
                    </w:tcBorders>
                    <w:vAlign w:val="center"/>
                  </w:tcPr>
                  <w:p w14:paraId="312447C9" w14:textId="77777777" w:rsidR="007E7472" w:rsidRDefault="00EC1269">
                    <w:pPr>
                      <w:jc w:val="right"/>
                    </w:pPr>
                    <w:r>
                      <w:t>6,840,228</w:t>
                    </w:r>
                  </w:p>
                </w:tc>
              </w:tr>
              <w:tr w:rsidR="007E7472" w14:paraId="4A9D929F" w14:textId="77777777">
                <w:sdt>
                  <w:sdtPr>
                    <w:tag w:val="_PLD_5eafba3923544dfc81be450ef6e000ee"/>
                    <w:id w:val="440664612"/>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E44C5D7" w14:textId="77777777" w:rsidR="007E7472" w:rsidRDefault="00EC1269">
                        <w:pPr>
                          <w:ind w:firstLineChars="100" w:firstLine="210"/>
                        </w:pPr>
                        <w:r>
                          <w:rPr>
                            <w:rFonts w:hint="eastAsia"/>
                          </w:rPr>
                          <w:t>长期应付职工薪酬</w:t>
                        </w:r>
                      </w:p>
                    </w:tc>
                  </w:sdtContent>
                </w:sdt>
                <w:tc>
                  <w:tcPr>
                    <w:tcW w:w="627" w:type="pct"/>
                    <w:tcBorders>
                      <w:top w:val="outset" w:sz="6" w:space="0" w:color="auto"/>
                      <w:left w:val="outset" w:sz="6" w:space="0" w:color="auto"/>
                      <w:bottom w:val="outset" w:sz="6" w:space="0" w:color="auto"/>
                      <w:right w:val="outset" w:sz="6" w:space="0" w:color="auto"/>
                    </w:tcBorders>
                  </w:tcPr>
                  <w:p w14:paraId="1F66A019" w14:textId="77777777" w:rsidR="007E7472" w:rsidRDefault="00EC1269">
                    <w:pPr>
                      <w:jc w:val="center"/>
                      <w:rPr>
                        <w:rFonts w:asciiTheme="majorEastAsia" w:eastAsiaTheme="majorEastAsia" w:hAnsiTheme="majorEastAsia"/>
                      </w:rPr>
                    </w:pPr>
                    <w:r>
                      <w:rPr>
                        <w:rFonts w:asciiTheme="majorEastAsia" w:eastAsiaTheme="majorEastAsia" w:hAnsiTheme="majorEastAsia" w:hint="eastAsia"/>
                      </w:rPr>
                      <w:t>七、</w:t>
                    </w:r>
                    <w:r>
                      <w:rPr>
                        <w:rFonts w:asciiTheme="majorEastAsia" w:eastAsiaTheme="majorEastAsia" w:hAnsiTheme="majorEastAsia"/>
                      </w:rPr>
                      <w:t>49</w:t>
                    </w:r>
                  </w:p>
                </w:tc>
                <w:tc>
                  <w:tcPr>
                    <w:tcW w:w="1411" w:type="pct"/>
                    <w:tcBorders>
                      <w:top w:val="outset" w:sz="6" w:space="0" w:color="auto"/>
                      <w:left w:val="outset" w:sz="6" w:space="0" w:color="auto"/>
                      <w:bottom w:val="outset" w:sz="6" w:space="0" w:color="auto"/>
                      <w:right w:val="outset" w:sz="6" w:space="0" w:color="auto"/>
                    </w:tcBorders>
                    <w:vAlign w:val="center"/>
                  </w:tcPr>
                  <w:p w14:paraId="3F18B480" w14:textId="77777777" w:rsidR="007E7472" w:rsidRDefault="00EC1269">
                    <w:pPr>
                      <w:jc w:val="right"/>
                    </w:pPr>
                    <w:r>
                      <w:t>495,280</w:t>
                    </w:r>
                  </w:p>
                </w:tc>
                <w:tc>
                  <w:tcPr>
                    <w:tcW w:w="1333" w:type="pct"/>
                    <w:tcBorders>
                      <w:top w:val="outset" w:sz="6" w:space="0" w:color="auto"/>
                      <w:left w:val="outset" w:sz="6" w:space="0" w:color="auto"/>
                      <w:bottom w:val="outset" w:sz="6" w:space="0" w:color="auto"/>
                      <w:right w:val="outset" w:sz="6" w:space="0" w:color="auto"/>
                    </w:tcBorders>
                    <w:vAlign w:val="center"/>
                  </w:tcPr>
                  <w:p w14:paraId="31D16F0A" w14:textId="77777777" w:rsidR="007E7472" w:rsidRDefault="00EC1269">
                    <w:pPr>
                      <w:jc w:val="right"/>
                    </w:pPr>
                    <w:r>
                      <w:t>544,841</w:t>
                    </w:r>
                  </w:p>
                </w:tc>
              </w:tr>
              <w:tr w:rsidR="007E7472" w14:paraId="1D6B524E" w14:textId="77777777">
                <w:sdt>
                  <w:sdtPr>
                    <w:tag w:val="_PLD_ed2d2511d3684ed0ac593049a3abc203"/>
                    <w:id w:val="1905337046"/>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A0EBC40" w14:textId="77777777" w:rsidR="007E7472" w:rsidRDefault="00EC1269">
                        <w:pPr>
                          <w:ind w:firstLineChars="100" w:firstLine="210"/>
                        </w:pPr>
                        <w:r>
                          <w:rPr>
                            <w:rFonts w:hint="eastAsia"/>
                          </w:rPr>
                          <w:t>预计负债</w:t>
                        </w:r>
                      </w:p>
                    </w:tc>
                  </w:sdtContent>
                </w:sdt>
                <w:tc>
                  <w:tcPr>
                    <w:tcW w:w="627" w:type="pct"/>
                    <w:tcBorders>
                      <w:top w:val="outset" w:sz="6" w:space="0" w:color="auto"/>
                      <w:left w:val="outset" w:sz="6" w:space="0" w:color="auto"/>
                      <w:bottom w:val="outset" w:sz="6" w:space="0" w:color="auto"/>
                      <w:right w:val="outset" w:sz="6" w:space="0" w:color="auto"/>
                    </w:tcBorders>
                  </w:tcPr>
                  <w:p w14:paraId="42589899" w14:textId="77777777" w:rsidR="007E7472" w:rsidRDefault="00EC1269">
                    <w:pPr>
                      <w:jc w:val="center"/>
                      <w:rPr>
                        <w:rFonts w:asciiTheme="majorEastAsia" w:eastAsiaTheme="majorEastAsia" w:hAnsiTheme="majorEastAsia"/>
                      </w:rPr>
                    </w:pPr>
                    <w:r>
                      <w:rPr>
                        <w:rFonts w:asciiTheme="majorEastAsia" w:eastAsiaTheme="majorEastAsia" w:hAnsiTheme="majorEastAsia" w:hint="eastAsia"/>
                      </w:rPr>
                      <w:t>七、</w:t>
                    </w:r>
                    <w:r>
                      <w:rPr>
                        <w:rFonts w:asciiTheme="majorEastAsia" w:eastAsiaTheme="majorEastAsia" w:hAnsiTheme="majorEastAsia"/>
                      </w:rPr>
                      <w:t>50</w:t>
                    </w:r>
                  </w:p>
                </w:tc>
                <w:tc>
                  <w:tcPr>
                    <w:tcW w:w="1411" w:type="pct"/>
                    <w:tcBorders>
                      <w:top w:val="outset" w:sz="6" w:space="0" w:color="auto"/>
                      <w:left w:val="outset" w:sz="6" w:space="0" w:color="auto"/>
                      <w:bottom w:val="outset" w:sz="6" w:space="0" w:color="auto"/>
                      <w:right w:val="outset" w:sz="6" w:space="0" w:color="auto"/>
                    </w:tcBorders>
                    <w:vAlign w:val="center"/>
                  </w:tcPr>
                  <w:p w14:paraId="5BE30C02" w14:textId="77777777" w:rsidR="007E7472" w:rsidRDefault="00EC1269">
                    <w:pPr>
                      <w:jc w:val="right"/>
                    </w:pPr>
                    <w:r>
                      <w:t>9,526,376</w:t>
                    </w:r>
                  </w:p>
                </w:tc>
                <w:tc>
                  <w:tcPr>
                    <w:tcW w:w="1333" w:type="pct"/>
                    <w:tcBorders>
                      <w:top w:val="outset" w:sz="6" w:space="0" w:color="auto"/>
                      <w:left w:val="outset" w:sz="6" w:space="0" w:color="auto"/>
                      <w:bottom w:val="outset" w:sz="6" w:space="0" w:color="auto"/>
                      <w:right w:val="outset" w:sz="6" w:space="0" w:color="auto"/>
                    </w:tcBorders>
                    <w:vAlign w:val="center"/>
                  </w:tcPr>
                  <w:p w14:paraId="30508E2E" w14:textId="77777777" w:rsidR="007E7472" w:rsidRDefault="00EC1269">
                    <w:pPr>
                      <w:jc w:val="right"/>
                    </w:pPr>
                    <w:r>
                      <w:t>9,420,859</w:t>
                    </w:r>
                  </w:p>
                </w:tc>
              </w:tr>
              <w:tr w:rsidR="007E7472" w14:paraId="34AAF059" w14:textId="77777777">
                <w:sdt>
                  <w:sdtPr>
                    <w:tag w:val="_PLD_ee1b0ee29ae24aa09d29da2690e141a2"/>
                    <w:id w:val="-1257596272"/>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9413AC6" w14:textId="77777777" w:rsidR="007E7472" w:rsidRDefault="00EC1269">
                        <w:pPr>
                          <w:ind w:firstLineChars="100" w:firstLine="210"/>
                        </w:pPr>
                        <w:r>
                          <w:rPr>
                            <w:rFonts w:hint="eastAsia"/>
                          </w:rPr>
                          <w:t>递延收益</w:t>
                        </w:r>
                      </w:p>
                    </w:tc>
                  </w:sdtContent>
                </w:sdt>
                <w:tc>
                  <w:tcPr>
                    <w:tcW w:w="627" w:type="pct"/>
                    <w:tcBorders>
                      <w:top w:val="outset" w:sz="6" w:space="0" w:color="auto"/>
                      <w:left w:val="outset" w:sz="6" w:space="0" w:color="auto"/>
                      <w:bottom w:val="outset" w:sz="6" w:space="0" w:color="auto"/>
                      <w:right w:val="outset" w:sz="6" w:space="0" w:color="auto"/>
                    </w:tcBorders>
                  </w:tcPr>
                  <w:p w14:paraId="16789FDD" w14:textId="77777777" w:rsidR="007E7472" w:rsidRDefault="00C8327E">
                    <w:pPr>
                      <w:jc w:val="center"/>
                      <w:rPr>
                        <w:rFonts w:asciiTheme="majorEastAsia" w:eastAsiaTheme="majorEastAsia" w:hAnsiTheme="maj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2C99A446" w14:textId="77777777" w:rsidR="007E7472" w:rsidRDefault="00EC1269">
                    <w:pPr>
                      <w:jc w:val="right"/>
                    </w:pPr>
                    <w:r>
                      <w:t>180,546</w:t>
                    </w:r>
                  </w:p>
                </w:tc>
                <w:tc>
                  <w:tcPr>
                    <w:tcW w:w="1333" w:type="pct"/>
                    <w:tcBorders>
                      <w:top w:val="outset" w:sz="6" w:space="0" w:color="auto"/>
                      <w:left w:val="outset" w:sz="6" w:space="0" w:color="auto"/>
                      <w:bottom w:val="outset" w:sz="6" w:space="0" w:color="auto"/>
                      <w:right w:val="outset" w:sz="6" w:space="0" w:color="auto"/>
                    </w:tcBorders>
                    <w:vAlign w:val="center"/>
                  </w:tcPr>
                  <w:p w14:paraId="1D3FD3BE" w14:textId="77777777" w:rsidR="007E7472" w:rsidRDefault="00EC1269">
                    <w:pPr>
                      <w:jc w:val="right"/>
                    </w:pPr>
                    <w:r>
                      <w:t>189,508</w:t>
                    </w:r>
                  </w:p>
                </w:tc>
              </w:tr>
              <w:tr w:rsidR="007E7472" w14:paraId="35A1415B" w14:textId="77777777">
                <w:sdt>
                  <w:sdtPr>
                    <w:tag w:val="_PLD_f6e51ce85b734d1984a9495c17250c42"/>
                    <w:id w:val="-443606548"/>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CD35562" w14:textId="77777777" w:rsidR="007E7472" w:rsidRDefault="00EC1269">
                        <w:pPr>
                          <w:ind w:firstLineChars="100" w:firstLine="210"/>
                        </w:pPr>
                        <w:r>
                          <w:rPr>
                            <w:rFonts w:hint="eastAsia"/>
                          </w:rPr>
                          <w:t>递延所得税负债</w:t>
                        </w:r>
                      </w:p>
                    </w:tc>
                  </w:sdtContent>
                </w:sdt>
                <w:tc>
                  <w:tcPr>
                    <w:tcW w:w="627" w:type="pct"/>
                    <w:tcBorders>
                      <w:top w:val="outset" w:sz="6" w:space="0" w:color="auto"/>
                      <w:left w:val="outset" w:sz="6" w:space="0" w:color="auto"/>
                      <w:bottom w:val="outset" w:sz="6" w:space="0" w:color="auto"/>
                      <w:right w:val="outset" w:sz="6" w:space="0" w:color="auto"/>
                    </w:tcBorders>
                  </w:tcPr>
                  <w:p w14:paraId="727F5C47" w14:textId="77777777" w:rsidR="007E7472" w:rsidRDefault="00EC1269">
                    <w:pPr>
                      <w:jc w:val="center"/>
                      <w:rPr>
                        <w:rFonts w:asciiTheme="majorEastAsia" w:eastAsiaTheme="majorEastAsia" w:hAnsiTheme="majorEastAsia"/>
                      </w:rPr>
                    </w:pPr>
                    <w:r>
                      <w:rPr>
                        <w:rFonts w:asciiTheme="majorEastAsia" w:eastAsiaTheme="majorEastAsia" w:hAnsiTheme="majorEastAsia" w:hint="eastAsia"/>
                      </w:rPr>
                      <w:t>七、</w:t>
                    </w:r>
                    <w:r>
                      <w:rPr>
                        <w:rFonts w:asciiTheme="majorEastAsia" w:eastAsiaTheme="majorEastAsia" w:hAnsiTheme="majorEastAsia"/>
                      </w:rPr>
                      <w:t>30</w:t>
                    </w:r>
                  </w:p>
                </w:tc>
                <w:tc>
                  <w:tcPr>
                    <w:tcW w:w="1411" w:type="pct"/>
                    <w:tcBorders>
                      <w:top w:val="outset" w:sz="6" w:space="0" w:color="auto"/>
                      <w:left w:val="outset" w:sz="6" w:space="0" w:color="auto"/>
                      <w:bottom w:val="outset" w:sz="6" w:space="0" w:color="auto"/>
                      <w:right w:val="outset" w:sz="6" w:space="0" w:color="auto"/>
                    </w:tcBorders>
                    <w:vAlign w:val="center"/>
                  </w:tcPr>
                  <w:p w14:paraId="1B03FB2B" w14:textId="77777777" w:rsidR="007E7472" w:rsidRDefault="00EC1269">
                    <w:pPr>
                      <w:jc w:val="right"/>
                    </w:pPr>
                    <w:r>
                      <w:t>8,286,700</w:t>
                    </w:r>
                  </w:p>
                </w:tc>
                <w:tc>
                  <w:tcPr>
                    <w:tcW w:w="1333" w:type="pct"/>
                    <w:tcBorders>
                      <w:top w:val="outset" w:sz="6" w:space="0" w:color="auto"/>
                      <w:left w:val="outset" w:sz="6" w:space="0" w:color="auto"/>
                      <w:bottom w:val="outset" w:sz="6" w:space="0" w:color="auto"/>
                      <w:right w:val="outset" w:sz="6" w:space="0" w:color="auto"/>
                    </w:tcBorders>
                    <w:vAlign w:val="center"/>
                  </w:tcPr>
                  <w:p w14:paraId="02C75F57" w14:textId="77777777" w:rsidR="007E7472" w:rsidRDefault="00EC1269">
                    <w:pPr>
                      <w:jc w:val="right"/>
                    </w:pPr>
                    <w:r>
                      <w:t>8,122,334</w:t>
                    </w:r>
                  </w:p>
                </w:tc>
              </w:tr>
              <w:tr w:rsidR="007E7472" w14:paraId="1548541C" w14:textId="77777777">
                <w:sdt>
                  <w:sdtPr>
                    <w:tag w:val="_PLD_4811ce5907e64a868d871af763ddc347"/>
                    <w:id w:val="-1000036322"/>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655151C" w14:textId="77777777" w:rsidR="007E7472" w:rsidRDefault="00EC1269">
                        <w:pPr>
                          <w:ind w:firstLineChars="100" w:firstLine="210"/>
                        </w:pPr>
                        <w:r>
                          <w:rPr>
                            <w:rFonts w:hint="eastAsia"/>
                          </w:rPr>
                          <w:t>其他非流动负债</w:t>
                        </w:r>
                      </w:p>
                    </w:tc>
                  </w:sdtContent>
                </w:sdt>
                <w:tc>
                  <w:tcPr>
                    <w:tcW w:w="627" w:type="pct"/>
                    <w:tcBorders>
                      <w:top w:val="outset" w:sz="6" w:space="0" w:color="auto"/>
                      <w:left w:val="outset" w:sz="6" w:space="0" w:color="auto"/>
                      <w:bottom w:val="outset" w:sz="6" w:space="0" w:color="auto"/>
                      <w:right w:val="outset" w:sz="6" w:space="0" w:color="auto"/>
                    </w:tcBorders>
                  </w:tcPr>
                  <w:p w14:paraId="09177D83" w14:textId="77777777" w:rsidR="007E7472" w:rsidRDefault="00C8327E">
                    <w:pPr>
                      <w:jc w:val="center"/>
                      <w:rPr>
                        <w:rFonts w:asciiTheme="majorEastAsia" w:eastAsiaTheme="majorEastAsia" w:hAnsiTheme="maj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6536AFC1" w14:textId="77777777" w:rsidR="007E7472" w:rsidRDefault="00C832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7E015C8C" w14:textId="77777777" w:rsidR="007E7472" w:rsidRDefault="00C8327E">
                    <w:pPr>
                      <w:jc w:val="right"/>
                    </w:pPr>
                  </w:p>
                </w:tc>
              </w:tr>
              <w:tr w:rsidR="007E7472" w14:paraId="5A24AE39" w14:textId="77777777">
                <w:sdt>
                  <w:sdtPr>
                    <w:tag w:val="_PLD_9a037ee272c84e11aebdce23c3e2fab7"/>
                    <w:id w:val="-416562603"/>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2CF635B" w14:textId="77777777" w:rsidR="007E7472" w:rsidRDefault="00EC1269">
                        <w:pPr>
                          <w:ind w:firstLineChars="200" w:firstLine="420"/>
                        </w:pPr>
                        <w:r>
                          <w:rPr>
                            <w:rFonts w:hint="eastAsia"/>
                          </w:rPr>
                          <w:t>非流动负债合计</w:t>
                        </w:r>
                      </w:p>
                    </w:tc>
                  </w:sdtContent>
                </w:sdt>
                <w:tc>
                  <w:tcPr>
                    <w:tcW w:w="627" w:type="pct"/>
                    <w:tcBorders>
                      <w:top w:val="outset" w:sz="6" w:space="0" w:color="auto"/>
                      <w:left w:val="outset" w:sz="6" w:space="0" w:color="auto"/>
                      <w:bottom w:val="outset" w:sz="6" w:space="0" w:color="auto"/>
                      <w:right w:val="outset" w:sz="6" w:space="0" w:color="auto"/>
                    </w:tcBorders>
                  </w:tcPr>
                  <w:p w14:paraId="392361D7" w14:textId="77777777" w:rsidR="007E7472" w:rsidRDefault="00C8327E">
                    <w:pPr>
                      <w:jc w:val="center"/>
                      <w:rPr>
                        <w:rFonts w:asciiTheme="majorEastAsia" w:eastAsiaTheme="majorEastAsia" w:hAnsiTheme="maj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1D6D4F66" w14:textId="77777777" w:rsidR="007E7472" w:rsidRDefault="00EC1269">
                    <w:pPr>
                      <w:jc w:val="right"/>
                    </w:pPr>
                    <w:r>
                      <w:t>89,744,129</w:t>
                    </w:r>
                  </w:p>
                </w:tc>
                <w:tc>
                  <w:tcPr>
                    <w:tcW w:w="1333" w:type="pct"/>
                    <w:tcBorders>
                      <w:top w:val="outset" w:sz="6" w:space="0" w:color="auto"/>
                      <w:left w:val="outset" w:sz="6" w:space="0" w:color="auto"/>
                      <w:bottom w:val="outset" w:sz="6" w:space="0" w:color="auto"/>
                      <w:right w:val="outset" w:sz="6" w:space="0" w:color="auto"/>
                    </w:tcBorders>
                    <w:vAlign w:val="center"/>
                  </w:tcPr>
                  <w:p w14:paraId="058BAAD0" w14:textId="77777777" w:rsidR="007E7472" w:rsidRDefault="00EC1269">
                    <w:pPr>
                      <w:jc w:val="right"/>
                    </w:pPr>
                    <w:r>
                      <w:t>84,545,304</w:t>
                    </w:r>
                  </w:p>
                </w:tc>
              </w:tr>
              <w:tr w:rsidR="007E7472" w14:paraId="7CA262CB" w14:textId="77777777">
                <w:sdt>
                  <w:sdtPr>
                    <w:tag w:val="_PLD_233108162bf84d59baba5ef73da9dcd0"/>
                    <w:id w:val="-1524246122"/>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C3CB78B" w14:textId="77777777" w:rsidR="007E7472" w:rsidRDefault="00EC1269">
                        <w:pPr>
                          <w:ind w:firstLineChars="300" w:firstLine="630"/>
                        </w:pPr>
                        <w:r>
                          <w:rPr>
                            <w:rFonts w:hint="eastAsia"/>
                          </w:rPr>
                          <w:t>负债合计</w:t>
                        </w:r>
                      </w:p>
                    </w:tc>
                  </w:sdtContent>
                </w:sdt>
                <w:tc>
                  <w:tcPr>
                    <w:tcW w:w="627" w:type="pct"/>
                    <w:tcBorders>
                      <w:top w:val="outset" w:sz="6" w:space="0" w:color="auto"/>
                      <w:left w:val="outset" w:sz="6" w:space="0" w:color="auto"/>
                      <w:bottom w:val="outset" w:sz="6" w:space="0" w:color="auto"/>
                      <w:right w:val="outset" w:sz="6" w:space="0" w:color="auto"/>
                    </w:tcBorders>
                  </w:tcPr>
                  <w:p w14:paraId="505A2C7B" w14:textId="77777777" w:rsidR="007E7472" w:rsidRDefault="00C8327E"/>
                </w:tc>
                <w:tc>
                  <w:tcPr>
                    <w:tcW w:w="1411" w:type="pct"/>
                    <w:tcBorders>
                      <w:top w:val="outset" w:sz="6" w:space="0" w:color="auto"/>
                      <w:left w:val="outset" w:sz="6" w:space="0" w:color="auto"/>
                      <w:bottom w:val="outset" w:sz="6" w:space="0" w:color="auto"/>
                      <w:right w:val="outset" w:sz="6" w:space="0" w:color="auto"/>
                    </w:tcBorders>
                    <w:vAlign w:val="center"/>
                  </w:tcPr>
                  <w:p w14:paraId="2E69547C" w14:textId="77777777" w:rsidR="007E7472" w:rsidRDefault="00EC1269">
                    <w:pPr>
                      <w:jc w:val="right"/>
                    </w:pPr>
                    <w:r>
                      <w:t>188,438,325</w:t>
                    </w:r>
                  </w:p>
                </w:tc>
                <w:tc>
                  <w:tcPr>
                    <w:tcW w:w="1333" w:type="pct"/>
                    <w:tcBorders>
                      <w:top w:val="outset" w:sz="6" w:space="0" w:color="auto"/>
                      <w:left w:val="outset" w:sz="6" w:space="0" w:color="auto"/>
                      <w:bottom w:val="outset" w:sz="6" w:space="0" w:color="auto"/>
                      <w:right w:val="outset" w:sz="6" w:space="0" w:color="auto"/>
                    </w:tcBorders>
                    <w:vAlign w:val="center"/>
                  </w:tcPr>
                  <w:p w14:paraId="19DADECF" w14:textId="77777777" w:rsidR="007E7472" w:rsidRDefault="00EC1269">
                    <w:pPr>
                      <w:jc w:val="right"/>
                    </w:pPr>
                    <w:r>
                      <w:t>168,108,538</w:t>
                    </w:r>
                  </w:p>
                </w:tc>
              </w:tr>
              <w:tr w:rsidR="007E7472" w14:paraId="466A5BC4" w14:textId="77777777">
                <w:sdt>
                  <w:sdtPr>
                    <w:tag w:val="_PLD_4fe68479676b4c8c840de2211f0c67b8"/>
                    <w:id w:val="-1340307501"/>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7CB4FD67" w14:textId="77777777" w:rsidR="007E7472" w:rsidRDefault="00EC1269">
                        <w:pPr>
                          <w:rPr>
                            <w:color w:val="008000"/>
                          </w:rPr>
                        </w:pPr>
                        <w:r>
                          <w:rPr>
                            <w:rFonts w:hint="eastAsia"/>
                            <w:b/>
                          </w:rPr>
                          <w:t>所有者权益（或股东权益）：</w:t>
                        </w:r>
                      </w:p>
                    </w:tc>
                  </w:sdtContent>
                </w:sdt>
              </w:tr>
              <w:tr w:rsidR="007E7472" w14:paraId="29617584" w14:textId="77777777">
                <w:sdt>
                  <w:sdtPr>
                    <w:tag w:val="_PLD_b456a8ee715b430f8ed57755440db66b"/>
                    <w:id w:val="8572058"/>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94F5813" w14:textId="77777777" w:rsidR="007E7472" w:rsidRDefault="00EC1269">
                        <w:pPr>
                          <w:ind w:firstLineChars="100" w:firstLine="210"/>
                        </w:pPr>
                        <w:r>
                          <w:rPr>
                            <w:rFonts w:hint="eastAsia"/>
                          </w:rPr>
                          <w:t>实收资本（或股本）</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73F2C3FD" w14:textId="77777777" w:rsidR="007E7472" w:rsidRDefault="00EC1269">
                    <w:pPr>
                      <w:jc w:val="center"/>
                      <w:rPr>
                        <w:rFonts w:asciiTheme="majorEastAsia" w:eastAsiaTheme="majorEastAsia" w:hAnsiTheme="majorEastAsia"/>
                      </w:rPr>
                    </w:pPr>
                    <w:r>
                      <w:rPr>
                        <w:rFonts w:asciiTheme="majorEastAsia" w:eastAsiaTheme="majorEastAsia" w:hAnsiTheme="majorEastAsia" w:hint="eastAsia"/>
                      </w:rPr>
                      <w:t>七、</w:t>
                    </w:r>
                    <w:r>
                      <w:rPr>
                        <w:rFonts w:asciiTheme="majorEastAsia" w:eastAsiaTheme="majorEastAsia" w:hAnsiTheme="majorEastAsia"/>
                      </w:rPr>
                      <w:t>53</w:t>
                    </w:r>
                  </w:p>
                </w:tc>
                <w:tc>
                  <w:tcPr>
                    <w:tcW w:w="1411" w:type="pct"/>
                    <w:tcBorders>
                      <w:top w:val="outset" w:sz="6" w:space="0" w:color="auto"/>
                      <w:left w:val="outset" w:sz="6" w:space="0" w:color="auto"/>
                      <w:bottom w:val="outset" w:sz="6" w:space="0" w:color="auto"/>
                      <w:right w:val="outset" w:sz="6" w:space="0" w:color="auto"/>
                    </w:tcBorders>
                    <w:vAlign w:val="center"/>
                  </w:tcPr>
                  <w:p w14:paraId="4355C11D" w14:textId="77777777" w:rsidR="007E7472" w:rsidRDefault="00EC1269">
                    <w:pPr>
                      <w:jc w:val="right"/>
                    </w:pPr>
                    <w:r>
                      <w:t>4,961,361</w:t>
                    </w:r>
                  </w:p>
                </w:tc>
                <w:tc>
                  <w:tcPr>
                    <w:tcW w:w="1333" w:type="pct"/>
                    <w:tcBorders>
                      <w:top w:val="outset" w:sz="6" w:space="0" w:color="auto"/>
                      <w:left w:val="outset" w:sz="6" w:space="0" w:color="auto"/>
                      <w:bottom w:val="outset" w:sz="6" w:space="0" w:color="auto"/>
                      <w:right w:val="outset" w:sz="6" w:space="0" w:color="auto"/>
                    </w:tcBorders>
                    <w:vAlign w:val="center"/>
                  </w:tcPr>
                  <w:p w14:paraId="4BDE4748" w14:textId="77777777" w:rsidR="007E7472" w:rsidRDefault="00EC1269">
                    <w:pPr>
                      <w:jc w:val="right"/>
                    </w:pPr>
                    <w:r>
                      <w:t>4,948,704</w:t>
                    </w:r>
                  </w:p>
                </w:tc>
              </w:tr>
              <w:tr w:rsidR="007E7472" w14:paraId="0525B7F1" w14:textId="77777777">
                <w:sdt>
                  <w:sdtPr>
                    <w:tag w:val="_PLD_f03411a9f0b84565a295b92424cbb955"/>
                    <w:id w:val="-1760517653"/>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AE6130F" w14:textId="77777777" w:rsidR="007E7472" w:rsidRDefault="00EC1269">
                        <w:pPr>
                          <w:ind w:firstLineChars="100" w:firstLine="210"/>
                        </w:pPr>
                        <w:r>
                          <w:rPr>
                            <w:rFonts w:hint="eastAsia"/>
                          </w:rPr>
                          <w:t>其他权益工具</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0775F295" w14:textId="77777777" w:rsidR="007E7472" w:rsidRDefault="00EC1269">
                    <w:pPr>
                      <w:jc w:val="center"/>
                      <w:rPr>
                        <w:rFonts w:asciiTheme="majorEastAsia" w:eastAsiaTheme="majorEastAsia" w:hAnsiTheme="majorEastAsia"/>
                      </w:rPr>
                    </w:pPr>
                    <w:r>
                      <w:rPr>
                        <w:rFonts w:asciiTheme="majorEastAsia" w:eastAsiaTheme="majorEastAsia" w:hAnsiTheme="majorEastAsia" w:hint="eastAsia"/>
                      </w:rPr>
                      <w:t>七、</w:t>
                    </w:r>
                    <w:r>
                      <w:rPr>
                        <w:rFonts w:asciiTheme="majorEastAsia" w:eastAsiaTheme="majorEastAsia" w:hAnsiTheme="majorEastAsia"/>
                      </w:rPr>
                      <w:t>54</w:t>
                    </w:r>
                  </w:p>
                </w:tc>
                <w:tc>
                  <w:tcPr>
                    <w:tcW w:w="1411" w:type="pct"/>
                    <w:tcBorders>
                      <w:top w:val="outset" w:sz="6" w:space="0" w:color="auto"/>
                      <w:left w:val="outset" w:sz="6" w:space="0" w:color="auto"/>
                      <w:bottom w:val="outset" w:sz="6" w:space="0" w:color="auto"/>
                      <w:right w:val="outset" w:sz="6" w:space="0" w:color="auto"/>
                    </w:tcBorders>
                    <w:vAlign w:val="center"/>
                  </w:tcPr>
                  <w:p w14:paraId="52E7E038" w14:textId="77777777" w:rsidR="007E7472" w:rsidRDefault="00EC1269">
                    <w:pPr>
                      <w:jc w:val="right"/>
                    </w:pPr>
                    <w:r>
                      <w:t>11,379,189</w:t>
                    </w:r>
                  </w:p>
                </w:tc>
                <w:tc>
                  <w:tcPr>
                    <w:tcW w:w="1333" w:type="pct"/>
                    <w:tcBorders>
                      <w:top w:val="outset" w:sz="6" w:space="0" w:color="auto"/>
                      <w:left w:val="outset" w:sz="6" w:space="0" w:color="auto"/>
                      <w:bottom w:val="outset" w:sz="6" w:space="0" w:color="auto"/>
                      <w:right w:val="outset" w:sz="6" w:space="0" w:color="auto"/>
                    </w:tcBorders>
                    <w:vAlign w:val="center"/>
                  </w:tcPr>
                  <w:p w14:paraId="2491B6FC" w14:textId="77777777" w:rsidR="007E7472" w:rsidRDefault="00EC1269">
                    <w:pPr>
                      <w:jc w:val="right"/>
                    </w:pPr>
                    <w:r>
                      <w:t>13,248,614</w:t>
                    </w:r>
                  </w:p>
                </w:tc>
              </w:tr>
              <w:tr w:rsidR="007E7472" w14:paraId="54D11DF6" w14:textId="77777777">
                <w:sdt>
                  <w:sdtPr>
                    <w:tag w:val="_PLD_c9ec7a87a13f488c86dc6eef623b59eb"/>
                    <w:id w:val="194969432"/>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30E5C97" w14:textId="77777777" w:rsidR="007E7472" w:rsidRDefault="00EC1269">
                        <w:pPr>
                          <w:ind w:firstLineChars="100" w:firstLine="210"/>
                        </w:pPr>
                        <w:r>
                          <w:rPr>
                            <w:rFonts w:hint="eastAsia"/>
                          </w:rPr>
                          <w:t>其中：优先股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902BDA3" w14:textId="77777777" w:rsidR="007E7472" w:rsidRDefault="00C8327E">
                    <w:pPr>
                      <w:jc w:val="center"/>
                      <w:rPr>
                        <w:rFonts w:asciiTheme="majorEastAsia" w:eastAsiaTheme="majorEastAsia" w:hAnsiTheme="maj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6931D334" w14:textId="77777777" w:rsidR="007E7472" w:rsidRDefault="00C832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37806C8D" w14:textId="77777777" w:rsidR="007E7472" w:rsidRDefault="00C8327E">
                    <w:pPr>
                      <w:jc w:val="right"/>
                    </w:pPr>
                  </w:p>
                </w:tc>
              </w:tr>
              <w:tr w:rsidR="007E7472" w14:paraId="2319D4D0" w14:textId="77777777">
                <w:sdt>
                  <w:sdtPr>
                    <w:tag w:val="_PLD_cb955a4562374c1795f3fa8ff4b3341b"/>
                    <w:id w:val="1186795950"/>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5773DCE" w14:textId="77777777" w:rsidR="007E7472" w:rsidRDefault="00EC1269">
                        <w:pPr>
                          <w:ind w:leftChars="300" w:left="630" w:firstLineChars="100" w:firstLine="210"/>
                        </w:pPr>
                        <w:r>
                          <w:rPr>
                            <w:rFonts w:hint="eastAsia"/>
                          </w:rPr>
                          <w:t>永续债</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7A8B0710" w14:textId="77777777" w:rsidR="007E7472" w:rsidRDefault="00EC1269">
                    <w:pPr>
                      <w:jc w:val="center"/>
                      <w:rPr>
                        <w:rFonts w:asciiTheme="majorEastAsia" w:eastAsiaTheme="majorEastAsia" w:hAnsiTheme="majorEastAsia"/>
                      </w:rPr>
                    </w:pPr>
                    <w:r>
                      <w:rPr>
                        <w:rFonts w:asciiTheme="majorEastAsia" w:eastAsiaTheme="majorEastAsia" w:hAnsiTheme="majorEastAsia" w:hint="eastAsia"/>
                      </w:rPr>
                      <w:t>七、</w:t>
                    </w:r>
                    <w:r>
                      <w:rPr>
                        <w:rFonts w:asciiTheme="majorEastAsia" w:eastAsiaTheme="majorEastAsia" w:hAnsiTheme="majorEastAsia"/>
                      </w:rPr>
                      <w:t>54</w:t>
                    </w:r>
                  </w:p>
                </w:tc>
                <w:tc>
                  <w:tcPr>
                    <w:tcW w:w="1411" w:type="pct"/>
                    <w:tcBorders>
                      <w:top w:val="outset" w:sz="6" w:space="0" w:color="auto"/>
                      <w:left w:val="outset" w:sz="6" w:space="0" w:color="auto"/>
                      <w:bottom w:val="outset" w:sz="6" w:space="0" w:color="auto"/>
                      <w:right w:val="outset" w:sz="6" w:space="0" w:color="auto"/>
                    </w:tcBorders>
                    <w:vAlign w:val="center"/>
                  </w:tcPr>
                  <w:p w14:paraId="429ADB23" w14:textId="77777777" w:rsidR="007E7472" w:rsidRDefault="00EC1269">
                    <w:pPr>
                      <w:jc w:val="right"/>
                    </w:pPr>
                    <w:r>
                      <w:t>11,379,189</w:t>
                    </w:r>
                  </w:p>
                </w:tc>
                <w:tc>
                  <w:tcPr>
                    <w:tcW w:w="1333" w:type="pct"/>
                    <w:tcBorders>
                      <w:top w:val="outset" w:sz="6" w:space="0" w:color="auto"/>
                      <w:left w:val="outset" w:sz="6" w:space="0" w:color="auto"/>
                      <w:bottom w:val="outset" w:sz="6" w:space="0" w:color="auto"/>
                      <w:right w:val="outset" w:sz="6" w:space="0" w:color="auto"/>
                    </w:tcBorders>
                    <w:vAlign w:val="center"/>
                  </w:tcPr>
                  <w:p w14:paraId="49D59DF6" w14:textId="77777777" w:rsidR="007E7472" w:rsidRDefault="00EC1269">
                    <w:pPr>
                      <w:jc w:val="right"/>
                    </w:pPr>
                    <w:r>
                      <w:t>13,248,614</w:t>
                    </w:r>
                  </w:p>
                </w:tc>
              </w:tr>
              <w:tr w:rsidR="007E7472" w14:paraId="2439B158" w14:textId="77777777">
                <w:sdt>
                  <w:sdtPr>
                    <w:tag w:val="_PLD_e6837305adaf4d9aba334aa74c5bef79"/>
                    <w:id w:val="-1680739826"/>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105FF5D" w14:textId="77777777" w:rsidR="007E7472" w:rsidRDefault="00EC1269">
                        <w:pPr>
                          <w:ind w:firstLineChars="100" w:firstLine="210"/>
                        </w:pPr>
                        <w:r>
                          <w:rPr>
                            <w:rFonts w:hint="eastAsia"/>
                          </w:rPr>
                          <w:t>资本公积</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4E22576B" w14:textId="77777777" w:rsidR="007E7472" w:rsidRDefault="00EC1269">
                    <w:pPr>
                      <w:jc w:val="center"/>
                      <w:rPr>
                        <w:rFonts w:asciiTheme="majorEastAsia" w:eastAsiaTheme="majorEastAsia" w:hAnsiTheme="majorEastAsia"/>
                      </w:rPr>
                    </w:pPr>
                    <w:r>
                      <w:rPr>
                        <w:rFonts w:asciiTheme="majorEastAsia" w:eastAsiaTheme="majorEastAsia" w:hAnsiTheme="majorEastAsia" w:hint="eastAsia"/>
                      </w:rPr>
                      <w:t>七、</w:t>
                    </w:r>
                    <w:r>
                      <w:rPr>
                        <w:rFonts w:asciiTheme="majorEastAsia" w:eastAsiaTheme="majorEastAsia" w:hAnsiTheme="majorEastAsia"/>
                      </w:rPr>
                      <w:t>55</w:t>
                    </w:r>
                  </w:p>
                </w:tc>
                <w:tc>
                  <w:tcPr>
                    <w:tcW w:w="1411" w:type="pct"/>
                    <w:tcBorders>
                      <w:top w:val="outset" w:sz="6" w:space="0" w:color="auto"/>
                      <w:left w:val="outset" w:sz="6" w:space="0" w:color="auto"/>
                      <w:bottom w:val="outset" w:sz="6" w:space="0" w:color="auto"/>
                      <w:right w:val="outset" w:sz="6" w:space="0" w:color="auto"/>
                    </w:tcBorders>
                    <w:vAlign w:val="center"/>
                  </w:tcPr>
                  <w:p w14:paraId="16808C66" w14:textId="77777777" w:rsidR="007E7472" w:rsidRDefault="00EC1269">
                    <w:pPr>
                      <w:jc w:val="right"/>
                    </w:pPr>
                    <w:r>
                      <w:t>1,781,590</w:t>
                    </w:r>
                  </w:p>
                </w:tc>
                <w:tc>
                  <w:tcPr>
                    <w:tcW w:w="1333" w:type="pct"/>
                    <w:tcBorders>
                      <w:top w:val="outset" w:sz="6" w:space="0" w:color="auto"/>
                      <w:left w:val="outset" w:sz="6" w:space="0" w:color="auto"/>
                      <w:bottom w:val="outset" w:sz="6" w:space="0" w:color="auto"/>
                      <w:right w:val="outset" w:sz="6" w:space="0" w:color="auto"/>
                    </w:tcBorders>
                    <w:vAlign w:val="center"/>
                  </w:tcPr>
                  <w:p w14:paraId="5C96E771" w14:textId="77777777" w:rsidR="007E7472" w:rsidRDefault="00EC1269">
                    <w:pPr>
                      <w:jc w:val="right"/>
                    </w:pPr>
                    <w:r>
                      <w:t>1,788,353</w:t>
                    </w:r>
                  </w:p>
                </w:tc>
              </w:tr>
              <w:tr w:rsidR="007E7472" w14:paraId="52460C43" w14:textId="77777777">
                <w:sdt>
                  <w:sdtPr>
                    <w:tag w:val="_PLD_a0bc7febf8c447638471a1616647725d"/>
                    <w:id w:val="1589271870"/>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45547E5" w14:textId="77777777" w:rsidR="007E7472" w:rsidRDefault="00EC1269">
                        <w:pPr>
                          <w:ind w:firstLineChars="100" w:firstLine="210"/>
                        </w:pPr>
                        <w:r>
                          <w:rPr>
                            <w:rFonts w:hint="eastAsia"/>
                          </w:rPr>
                          <w:t>减：库存股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66B40E9B" w14:textId="77777777" w:rsidR="007E7472" w:rsidRDefault="00EC1269">
                    <w:pPr>
                      <w:jc w:val="center"/>
                      <w:rPr>
                        <w:rFonts w:asciiTheme="majorEastAsia" w:eastAsiaTheme="majorEastAsia" w:hAnsiTheme="majorEastAsia"/>
                      </w:rPr>
                    </w:pPr>
                    <w:r>
                      <w:rPr>
                        <w:rFonts w:asciiTheme="majorEastAsia" w:eastAsiaTheme="majorEastAsia" w:hAnsiTheme="majorEastAsia" w:hint="eastAsia"/>
                      </w:rPr>
                      <w:t>七、</w:t>
                    </w:r>
                    <w:r>
                      <w:rPr>
                        <w:rFonts w:asciiTheme="majorEastAsia" w:eastAsiaTheme="majorEastAsia" w:hAnsiTheme="majorEastAsia"/>
                      </w:rPr>
                      <w:t>56</w:t>
                    </w:r>
                  </w:p>
                </w:tc>
                <w:tc>
                  <w:tcPr>
                    <w:tcW w:w="1411" w:type="pct"/>
                    <w:tcBorders>
                      <w:top w:val="outset" w:sz="6" w:space="0" w:color="auto"/>
                      <w:left w:val="outset" w:sz="6" w:space="0" w:color="auto"/>
                      <w:bottom w:val="outset" w:sz="6" w:space="0" w:color="auto"/>
                      <w:right w:val="outset" w:sz="6" w:space="0" w:color="auto"/>
                    </w:tcBorders>
                    <w:vAlign w:val="center"/>
                  </w:tcPr>
                  <w:p w14:paraId="24A13829" w14:textId="77777777" w:rsidR="007E7472" w:rsidRDefault="00EC1269">
                    <w:pPr>
                      <w:jc w:val="right"/>
                    </w:pPr>
                    <w:r>
                      <w:t>723,593</w:t>
                    </w:r>
                  </w:p>
                </w:tc>
                <w:tc>
                  <w:tcPr>
                    <w:tcW w:w="1333" w:type="pct"/>
                    <w:tcBorders>
                      <w:top w:val="outset" w:sz="6" w:space="0" w:color="auto"/>
                      <w:left w:val="outset" w:sz="6" w:space="0" w:color="auto"/>
                      <w:bottom w:val="outset" w:sz="6" w:space="0" w:color="auto"/>
                      <w:right w:val="outset" w:sz="6" w:space="0" w:color="auto"/>
                    </w:tcBorders>
                    <w:vAlign w:val="center"/>
                  </w:tcPr>
                  <w:p w14:paraId="57F44D4B" w14:textId="77777777" w:rsidR="007E7472" w:rsidRDefault="00EC1269">
                    <w:pPr>
                      <w:jc w:val="right"/>
                    </w:pPr>
                    <w:r>
                      <w:t>723,593</w:t>
                    </w:r>
                  </w:p>
                </w:tc>
              </w:tr>
              <w:tr w:rsidR="007E7472" w14:paraId="149DAD25" w14:textId="77777777">
                <w:sdt>
                  <w:sdtPr>
                    <w:tag w:val="_PLD_ed778b8c2aaa425cb45af63fe0d20a4d"/>
                    <w:id w:val="1653789605"/>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4515442" w14:textId="77777777" w:rsidR="007E7472" w:rsidRDefault="00EC1269">
                        <w:pPr>
                          <w:ind w:firstLineChars="100" w:firstLine="210"/>
                        </w:pPr>
                        <w:r>
                          <w:rPr>
                            <w:rFonts w:hint="eastAsia"/>
                          </w:rPr>
                          <w:t>其他综合收益</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1F1A53BA" w14:textId="77777777" w:rsidR="007E7472" w:rsidRDefault="00EC1269">
                    <w:pPr>
                      <w:jc w:val="center"/>
                      <w:rPr>
                        <w:rFonts w:asciiTheme="majorEastAsia" w:eastAsiaTheme="majorEastAsia" w:hAnsiTheme="majorEastAsia"/>
                      </w:rPr>
                    </w:pPr>
                    <w:r>
                      <w:rPr>
                        <w:rFonts w:asciiTheme="majorEastAsia" w:eastAsiaTheme="majorEastAsia" w:hAnsiTheme="majorEastAsia" w:hint="eastAsia"/>
                      </w:rPr>
                      <w:t>七、</w:t>
                    </w:r>
                    <w:r>
                      <w:rPr>
                        <w:rFonts w:asciiTheme="majorEastAsia" w:eastAsiaTheme="majorEastAsia" w:hAnsiTheme="majorEastAsia"/>
                      </w:rPr>
                      <w:t>57</w:t>
                    </w:r>
                  </w:p>
                </w:tc>
                <w:tc>
                  <w:tcPr>
                    <w:tcW w:w="1411" w:type="pct"/>
                    <w:tcBorders>
                      <w:top w:val="outset" w:sz="6" w:space="0" w:color="auto"/>
                      <w:left w:val="outset" w:sz="6" w:space="0" w:color="auto"/>
                      <w:bottom w:val="outset" w:sz="6" w:space="0" w:color="auto"/>
                      <w:right w:val="outset" w:sz="6" w:space="0" w:color="auto"/>
                    </w:tcBorders>
                    <w:vAlign w:val="center"/>
                  </w:tcPr>
                  <w:p w14:paraId="500AC1B0" w14:textId="77777777" w:rsidR="007E7472" w:rsidRDefault="00EC1269">
                    <w:pPr>
                      <w:jc w:val="right"/>
                    </w:pPr>
                    <w:r>
                      <w:t>-6,446,926</w:t>
                    </w:r>
                  </w:p>
                </w:tc>
                <w:tc>
                  <w:tcPr>
                    <w:tcW w:w="1333" w:type="pct"/>
                    <w:tcBorders>
                      <w:top w:val="outset" w:sz="6" w:space="0" w:color="auto"/>
                      <w:left w:val="outset" w:sz="6" w:space="0" w:color="auto"/>
                      <w:bottom w:val="outset" w:sz="6" w:space="0" w:color="auto"/>
                      <w:right w:val="outset" w:sz="6" w:space="0" w:color="auto"/>
                    </w:tcBorders>
                    <w:vAlign w:val="center"/>
                  </w:tcPr>
                  <w:p w14:paraId="47B562D7" w14:textId="77777777" w:rsidR="007E7472" w:rsidRDefault="00EC1269">
                    <w:pPr>
                      <w:jc w:val="right"/>
                    </w:pPr>
                    <w:r>
                      <w:t>-7,151,945</w:t>
                    </w:r>
                  </w:p>
                </w:tc>
              </w:tr>
              <w:tr w:rsidR="007E7472" w14:paraId="16853303" w14:textId="77777777">
                <w:sdt>
                  <w:sdtPr>
                    <w:tag w:val="_PLD_88ef3a1b7ae6448183de3fe2b91f7cd5"/>
                    <w:id w:val="-655769382"/>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0083285" w14:textId="77777777" w:rsidR="007E7472" w:rsidRDefault="00EC1269">
                        <w:pPr>
                          <w:ind w:firstLineChars="100" w:firstLine="210"/>
                        </w:pPr>
                        <w:r>
                          <w:rPr>
                            <w:rFonts w:hint="eastAsia"/>
                          </w:rPr>
                          <w:t>专项储备</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586D622" w14:textId="77777777" w:rsidR="007E7472" w:rsidRDefault="00EC1269">
                    <w:pPr>
                      <w:jc w:val="center"/>
                      <w:rPr>
                        <w:rFonts w:asciiTheme="majorEastAsia" w:eastAsiaTheme="majorEastAsia" w:hAnsiTheme="majorEastAsia"/>
                      </w:rPr>
                    </w:pPr>
                    <w:r>
                      <w:rPr>
                        <w:rFonts w:asciiTheme="majorEastAsia" w:eastAsiaTheme="majorEastAsia" w:hAnsiTheme="majorEastAsia" w:hint="eastAsia"/>
                      </w:rPr>
                      <w:t>七、</w:t>
                    </w:r>
                    <w:r>
                      <w:rPr>
                        <w:rFonts w:asciiTheme="majorEastAsia" w:eastAsiaTheme="majorEastAsia" w:hAnsiTheme="majorEastAsia"/>
                      </w:rPr>
                      <w:t>58</w:t>
                    </w:r>
                  </w:p>
                </w:tc>
                <w:tc>
                  <w:tcPr>
                    <w:tcW w:w="1411" w:type="pct"/>
                    <w:tcBorders>
                      <w:top w:val="outset" w:sz="6" w:space="0" w:color="auto"/>
                      <w:left w:val="outset" w:sz="6" w:space="0" w:color="auto"/>
                      <w:bottom w:val="outset" w:sz="6" w:space="0" w:color="auto"/>
                      <w:right w:val="outset" w:sz="6" w:space="0" w:color="auto"/>
                    </w:tcBorders>
                    <w:vAlign w:val="center"/>
                  </w:tcPr>
                  <w:p w14:paraId="30D1AA93" w14:textId="77777777" w:rsidR="007E7472" w:rsidRDefault="00EC1269">
                    <w:pPr>
                      <w:jc w:val="right"/>
                    </w:pPr>
                    <w:r>
                      <w:t>4,670,636</w:t>
                    </w:r>
                  </w:p>
                </w:tc>
                <w:tc>
                  <w:tcPr>
                    <w:tcW w:w="1333" w:type="pct"/>
                    <w:tcBorders>
                      <w:top w:val="outset" w:sz="6" w:space="0" w:color="auto"/>
                      <w:left w:val="outset" w:sz="6" w:space="0" w:color="auto"/>
                      <w:bottom w:val="outset" w:sz="6" w:space="0" w:color="auto"/>
                      <w:right w:val="outset" w:sz="6" w:space="0" w:color="auto"/>
                    </w:tcBorders>
                    <w:vAlign w:val="center"/>
                  </w:tcPr>
                  <w:p w14:paraId="768990CE" w14:textId="77777777" w:rsidR="007E7472" w:rsidRDefault="00EC1269">
                    <w:pPr>
                      <w:jc w:val="right"/>
                    </w:pPr>
                    <w:r>
                      <w:t>4,522,237</w:t>
                    </w:r>
                  </w:p>
                </w:tc>
              </w:tr>
              <w:tr w:rsidR="007E7472" w14:paraId="052E932E" w14:textId="77777777">
                <w:sdt>
                  <w:sdtPr>
                    <w:tag w:val="_PLD_9f1157091e4b41f7b980273a3e11b2e5"/>
                    <w:id w:val="-663246904"/>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F02BD74" w14:textId="77777777" w:rsidR="007E7472" w:rsidRDefault="00EC1269">
                        <w:pPr>
                          <w:ind w:firstLineChars="100" w:firstLine="210"/>
                        </w:pPr>
                        <w:r>
                          <w:rPr>
                            <w:rFonts w:hint="eastAsia"/>
                          </w:rPr>
                          <w:t>盈余公积</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772AC9ED" w14:textId="77777777" w:rsidR="007E7472" w:rsidRDefault="00EC1269">
                    <w:pPr>
                      <w:jc w:val="center"/>
                      <w:rPr>
                        <w:rFonts w:asciiTheme="majorEastAsia" w:eastAsiaTheme="majorEastAsia" w:hAnsiTheme="majorEastAsia"/>
                      </w:rPr>
                    </w:pPr>
                    <w:r>
                      <w:rPr>
                        <w:rFonts w:asciiTheme="majorEastAsia" w:eastAsiaTheme="majorEastAsia" w:hAnsiTheme="majorEastAsia" w:hint="eastAsia"/>
                      </w:rPr>
                      <w:t>七、</w:t>
                    </w:r>
                    <w:r>
                      <w:rPr>
                        <w:rFonts w:asciiTheme="majorEastAsia" w:eastAsiaTheme="majorEastAsia" w:hAnsiTheme="majorEastAsia"/>
                      </w:rPr>
                      <w:t>59</w:t>
                    </w:r>
                  </w:p>
                </w:tc>
                <w:tc>
                  <w:tcPr>
                    <w:tcW w:w="1411" w:type="pct"/>
                    <w:tcBorders>
                      <w:top w:val="outset" w:sz="6" w:space="0" w:color="auto"/>
                      <w:left w:val="outset" w:sz="6" w:space="0" w:color="auto"/>
                      <w:bottom w:val="outset" w:sz="6" w:space="0" w:color="auto"/>
                      <w:right w:val="outset" w:sz="6" w:space="0" w:color="auto"/>
                    </w:tcBorders>
                    <w:vAlign w:val="center"/>
                  </w:tcPr>
                  <w:p w14:paraId="3F91918B" w14:textId="77777777" w:rsidR="007E7472" w:rsidRDefault="00EC1269">
                    <w:pPr>
                      <w:jc w:val="right"/>
                    </w:pPr>
                    <w:r>
                      <w:t>912,700</w:t>
                    </w:r>
                  </w:p>
                </w:tc>
                <w:tc>
                  <w:tcPr>
                    <w:tcW w:w="1333" w:type="pct"/>
                    <w:tcBorders>
                      <w:top w:val="outset" w:sz="6" w:space="0" w:color="auto"/>
                      <w:left w:val="outset" w:sz="6" w:space="0" w:color="auto"/>
                      <w:bottom w:val="outset" w:sz="6" w:space="0" w:color="auto"/>
                      <w:right w:val="outset" w:sz="6" w:space="0" w:color="auto"/>
                    </w:tcBorders>
                    <w:vAlign w:val="center"/>
                  </w:tcPr>
                  <w:p w14:paraId="4E89527E" w14:textId="77777777" w:rsidR="007E7472" w:rsidRDefault="00EC1269">
                    <w:pPr>
                      <w:jc w:val="right"/>
                    </w:pPr>
                    <w:r>
                      <w:t>912,700</w:t>
                    </w:r>
                  </w:p>
                </w:tc>
              </w:tr>
              <w:tr w:rsidR="007E7472" w14:paraId="3193214A" w14:textId="77777777">
                <w:sdt>
                  <w:sdtPr>
                    <w:tag w:val="_PLD_c223f5905b0e4651a5a022690a7a5a1c"/>
                    <w:id w:val="229742357"/>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6D0F24C" w14:textId="77777777" w:rsidR="007E7472" w:rsidRDefault="00EC1269">
                        <w:pPr>
                          <w:ind w:firstLineChars="100" w:firstLine="210"/>
                        </w:pPr>
                        <w:r>
                          <w:rPr>
                            <w:rFonts w:hint="eastAsia"/>
                          </w:rPr>
                          <w:t>一般风险准备</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78EC3C5A" w14:textId="77777777" w:rsidR="007E7472" w:rsidRDefault="00C8327E">
                    <w:pPr>
                      <w:jc w:val="center"/>
                      <w:rPr>
                        <w:rFonts w:asciiTheme="majorEastAsia" w:eastAsiaTheme="majorEastAsia" w:hAnsiTheme="maj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19D4345F" w14:textId="77777777" w:rsidR="007E7472" w:rsidRDefault="00C832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7CE9D4BC" w14:textId="77777777" w:rsidR="007E7472" w:rsidRDefault="00C8327E">
                    <w:pPr>
                      <w:jc w:val="right"/>
                    </w:pPr>
                  </w:p>
                </w:tc>
              </w:tr>
              <w:tr w:rsidR="007E7472" w14:paraId="44B3A147" w14:textId="77777777">
                <w:sdt>
                  <w:sdtPr>
                    <w:tag w:val="_PLD_c329719465d9412cab74b5424ac30bd4"/>
                    <w:id w:val="1306121883"/>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470EA6C" w14:textId="77777777" w:rsidR="007E7472" w:rsidRDefault="00EC1269">
                        <w:pPr>
                          <w:ind w:firstLineChars="100" w:firstLine="210"/>
                        </w:pPr>
                        <w:r>
                          <w:rPr>
                            <w:rFonts w:hint="eastAsia"/>
                          </w:rPr>
                          <w:t>未分配利润</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ADE2992" w14:textId="77777777" w:rsidR="007E7472" w:rsidRDefault="00EC1269">
                    <w:pPr>
                      <w:jc w:val="center"/>
                      <w:rPr>
                        <w:rFonts w:asciiTheme="majorEastAsia" w:eastAsiaTheme="majorEastAsia" w:hAnsiTheme="majorEastAsia"/>
                      </w:rPr>
                    </w:pPr>
                    <w:r>
                      <w:rPr>
                        <w:rFonts w:asciiTheme="majorEastAsia" w:eastAsiaTheme="majorEastAsia" w:hAnsiTheme="majorEastAsia" w:hint="eastAsia"/>
                      </w:rPr>
                      <w:t>七、</w:t>
                    </w:r>
                    <w:r>
                      <w:rPr>
                        <w:rFonts w:asciiTheme="majorEastAsia" w:eastAsiaTheme="majorEastAsia" w:hAnsiTheme="majorEastAsia"/>
                      </w:rPr>
                      <w:t>60</w:t>
                    </w:r>
                  </w:p>
                </w:tc>
                <w:tc>
                  <w:tcPr>
                    <w:tcW w:w="1411" w:type="pct"/>
                    <w:tcBorders>
                      <w:top w:val="outset" w:sz="6" w:space="0" w:color="auto"/>
                      <w:left w:val="outset" w:sz="6" w:space="0" w:color="auto"/>
                      <w:bottom w:val="outset" w:sz="6" w:space="0" w:color="auto"/>
                      <w:right w:val="outset" w:sz="6" w:space="0" w:color="auto"/>
                    </w:tcBorders>
                    <w:vAlign w:val="center"/>
                  </w:tcPr>
                  <w:p w14:paraId="27ED9517" w14:textId="77777777" w:rsidR="007E7472" w:rsidRDefault="00EC1269">
                    <w:pPr>
                      <w:jc w:val="right"/>
                    </w:pPr>
                    <w:r>
                      <w:t>66,276,764</w:t>
                    </w:r>
                  </w:p>
                </w:tc>
                <w:tc>
                  <w:tcPr>
                    <w:tcW w:w="1333" w:type="pct"/>
                    <w:tcBorders>
                      <w:top w:val="outset" w:sz="6" w:space="0" w:color="auto"/>
                      <w:left w:val="outset" w:sz="6" w:space="0" w:color="auto"/>
                      <w:bottom w:val="outset" w:sz="6" w:space="0" w:color="auto"/>
                      <w:right w:val="outset" w:sz="6" w:space="0" w:color="auto"/>
                    </w:tcBorders>
                    <w:vAlign w:val="center"/>
                  </w:tcPr>
                  <w:p w14:paraId="607D5F08" w14:textId="77777777" w:rsidR="007E7472" w:rsidRDefault="00EC1269">
                    <w:pPr>
                      <w:jc w:val="right"/>
                    </w:pPr>
                    <w:r>
                      <w:t>77,231,415</w:t>
                    </w:r>
                  </w:p>
                </w:tc>
              </w:tr>
              <w:tr w:rsidR="007E7472" w14:paraId="357374F0" w14:textId="77777777">
                <w:sdt>
                  <w:sdtPr>
                    <w:tag w:val="_PLD_09fcb4ca82f14307ab214d34a90b9ef2"/>
                    <w:id w:val="1889064478"/>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A3F05CC" w14:textId="77777777" w:rsidR="007E7472" w:rsidRDefault="00EC1269">
                        <w:pPr>
                          <w:ind w:firstLineChars="100" w:firstLine="210"/>
                        </w:pPr>
                        <w:r>
                          <w:rPr>
                            <w:rFonts w:hint="eastAsia"/>
                          </w:rPr>
                          <w:t>归属于母公司所有者权益（或股东权益）合计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1ECE3742" w14:textId="77777777" w:rsidR="007E7472" w:rsidRDefault="00C8327E">
                    <w:pPr>
                      <w:jc w:val="center"/>
                      <w:rPr>
                        <w:rFonts w:asciiTheme="majorEastAsia" w:eastAsiaTheme="majorEastAsia" w:hAnsiTheme="maj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682A91C7" w14:textId="77777777" w:rsidR="007E7472" w:rsidRDefault="00EC1269">
                    <w:pPr>
                      <w:jc w:val="right"/>
                    </w:pPr>
                    <w:r>
                      <w:t>82,811,721</w:t>
                    </w:r>
                  </w:p>
                </w:tc>
                <w:tc>
                  <w:tcPr>
                    <w:tcW w:w="1333" w:type="pct"/>
                    <w:tcBorders>
                      <w:top w:val="outset" w:sz="6" w:space="0" w:color="auto"/>
                      <w:left w:val="outset" w:sz="6" w:space="0" w:color="auto"/>
                      <w:bottom w:val="outset" w:sz="6" w:space="0" w:color="auto"/>
                      <w:right w:val="outset" w:sz="6" w:space="0" w:color="auto"/>
                    </w:tcBorders>
                    <w:vAlign w:val="center"/>
                  </w:tcPr>
                  <w:p w14:paraId="44275EFA" w14:textId="77777777" w:rsidR="007E7472" w:rsidRDefault="00EC1269">
                    <w:pPr>
                      <w:jc w:val="right"/>
                    </w:pPr>
                    <w:r>
                      <w:t>94,776,485</w:t>
                    </w:r>
                  </w:p>
                </w:tc>
              </w:tr>
              <w:tr w:rsidR="007E7472" w14:paraId="3315C87C" w14:textId="77777777">
                <w:sdt>
                  <w:sdtPr>
                    <w:tag w:val="_PLD_ba9844f67b5f427c8b672b584512bc30"/>
                    <w:id w:val="-1817243985"/>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959E60B" w14:textId="77777777" w:rsidR="007E7472" w:rsidRDefault="00EC1269">
                        <w:pPr>
                          <w:ind w:firstLineChars="100" w:firstLine="210"/>
                        </w:pPr>
                        <w:r>
                          <w:rPr>
                            <w:rFonts w:hint="eastAsia"/>
                          </w:rPr>
                          <w:t>少数股东权益</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78DAF914" w14:textId="77777777" w:rsidR="007E7472" w:rsidRDefault="00C8327E">
                    <w:pPr>
                      <w:jc w:val="center"/>
                      <w:rPr>
                        <w:rFonts w:asciiTheme="majorEastAsia" w:eastAsiaTheme="majorEastAsia" w:hAnsiTheme="maj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0392603E" w14:textId="77777777" w:rsidR="007E7472" w:rsidRDefault="00EC1269">
                    <w:pPr>
                      <w:jc w:val="right"/>
                    </w:pPr>
                    <w:r>
                      <w:t>33,890,853</w:t>
                    </w:r>
                  </w:p>
                </w:tc>
                <w:tc>
                  <w:tcPr>
                    <w:tcW w:w="1333" w:type="pct"/>
                    <w:tcBorders>
                      <w:top w:val="outset" w:sz="6" w:space="0" w:color="auto"/>
                      <w:left w:val="outset" w:sz="6" w:space="0" w:color="auto"/>
                      <w:bottom w:val="outset" w:sz="6" w:space="0" w:color="auto"/>
                      <w:right w:val="outset" w:sz="6" w:space="0" w:color="auto"/>
                    </w:tcBorders>
                    <w:vAlign w:val="center"/>
                  </w:tcPr>
                  <w:p w14:paraId="2182D443" w14:textId="77777777" w:rsidR="007E7472" w:rsidRDefault="00EC1269">
                    <w:pPr>
                      <w:jc w:val="right"/>
                    </w:pPr>
                    <w:r>
                      <w:t>33,363,691</w:t>
                    </w:r>
                  </w:p>
                </w:tc>
              </w:tr>
              <w:tr w:rsidR="007E7472" w14:paraId="1B71222B" w14:textId="77777777">
                <w:sdt>
                  <w:sdtPr>
                    <w:tag w:val="_PLD_49d0693ecf324c179ed30b3065d9fd15"/>
                    <w:id w:val="-1695605426"/>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5B91516" w14:textId="77777777" w:rsidR="007E7472" w:rsidRDefault="00EC1269">
                        <w:pPr>
                          <w:ind w:firstLineChars="200" w:firstLine="420"/>
                        </w:pPr>
                        <w:r>
                          <w:rPr>
                            <w:rFonts w:hint="eastAsia"/>
                          </w:rPr>
                          <w:t>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086AD73F" w14:textId="77777777" w:rsidR="007E7472" w:rsidRDefault="00C8327E">
                    <w:pPr>
                      <w:jc w:val="center"/>
                      <w:rPr>
                        <w:rFonts w:asciiTheme="majorEastAsia" w:eastAsiaTheme="majorEastAsia" w:hAnsiTheme="maj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05D02EBB" w14:textId="77777777" w:rsidR="007E7472" w:rsidRDefault="00EC1269">
                    <w:pPr>
                      <w:jc w:val="right"/>
                    </w:pPr>
                    <w:r>
                      <w:t>116,702,574</w:t>
                    </w:r>
                  </w:p>
                </w:tc>
                <w:tc>
                  <w:tcPr>
                    <w:tcW w:w="1333" w:type="pct"/>
                    <w:tcBorders>
                      <w:top w:val="outset" w:sz="6" w:space="0" w:color="auto"/>
                      <w:left w:val="outset" w:sz="6" w:space="0" w:color="auto"/>
                      <w:bottom w:val="outset" w:sz="6" w:space="0" w:color="auto"/>
                      <w:right w:val="outset" w:sz="6" w:space="0" w:color="auto"/>
                    </w:tcBorders>
                    <w:vAlign w:val="center"/>
                  </w:tcPr>
                  <w:p w14:paraId="1E9D812B" w14:textId="77777777" w:rsidR="007E7472" w:rsidRDefault="00EC1269">
                    <w:pPr>
                      <w:jc w:val="right"/>
                    </w:pPr>
                    <w:r>
                      <w:t>128,140,176</w:t>
                    </w:r>
                  </w:p>
                </w:tc>
              </w:tr>
              <w:tr w:rsidR="007E7472" w14:paraId="137B1E1C" w14:textId="77777777">
                <w:sdt>
                  <w:sdtPr>
                    <w:tag w:val="_PLD_def9f9081ac845ec93bbb1e70817d650"/>
                    <w:id w:val="-1799524996"/>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E389367" w14:textId="77777777" w:rsidR="007E7472" w:rsidRDefault="00EC1269">
                        <w:pPr>
                          <w:ind w:firstLineChars="300" w:firstLine="630"/>
                        </w:pPr>
                        <w:r>
                          <w:rPr>
                            <w:rFonts w:hint="eastAsia"/>
                          </w:rPr>
                          <w:t>负债和所有者权益（或股东权益）总计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3B7BB0B5" w14:textId="77777777" w:rsidR="007E7472" w:rsidRDefault="00C8327E">
                    <w:pPr>
                      <w:jc w:val="center"/>
                      <w:rPr>
                        <w:rFonts w:asciiTheme="majorEastAsia" w:eastAsiaTheme="majorEastAsia" w:hAnsiTheme="maj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1336E4E0" w14:textId="77777777" w:rsidR="007E7472" w:rsidRDefault="00EC1269">
                    <w:pPr>
                      <w:jc w:val="right"/>
                    </w:pPr>
                    <w:r>
                      <w:t>305,140,899</w:t>
                    </w:r>
                  </w:p>
                </w:tc>
                <w:tc>
                  <w:tcPr>
                    <w:tcW w:w="1333" w:type="pct"/>
                    <w:tcBorders>
                      <w:top w:val="outset" w:sz="6" w:space="0" w:color="auto"/>
                      <w:left w:val="outset" w:sz="6" w:space="0" w:color="auto"/>
                      <w:bottom w:val="outset" w:sz="6" w:space="0" w:color="auto"/>
                      <w:right w:val="outset" w:sz="6" w:space="0" w:color="auto"/>
                    </w:tcBorders>
                    <w:vAlign w:val="center"/>
                  </w:tcPr>
                  <w:p w14:paraId="3BF7260A" w14:textId="77777777" w:rsidR="007E7472" w:rsidRDefault="00EC1269">
                    <w:pPr>
                      <w:jc w:val="right"/>
                    </w:pPr>
                    <w:r>
                      <w:t>296,248,714</w:t>
                    </w:r>
                  </w:p>
                </w:tc>
              </w:tr>
              <w:bookmarkEnd w:id="134"/>
            </w:tbl>
            <w:p w14:paraId="753ECECB" w14:textId="77777777" w:rsidR="007E7472" w:rsidRDefault="00C8327E"/>
            <w:p w14:paraId="05902B8C" w14:textId="0F63A8F8" w:rsidR="007E7472" w:rsidRDefault="00EC1269">
              <w:pPr>
                <w:ind w:rightChars="-73" w:right="-153"/>
                <w:rPr>
                  <w:color w:val="008000"/>
                  <w:u w:val="single"/>
                </w:rPr>
              </w:pPr>
              <w:r>
                <w:t>公司负责人</w:t>
              </w:r>
              <w:r>
                <w:rPr>
                  <w:rFonts w:hint="eastAsia"/>
                </w:rPr>
                <w:t>：</w:t>
              </w:r>
              <w:sdt>
                <w:sdtPr>
                  <w:rPr>
                    <w:rFonts w:hint="eastAsia"/>
                  </w:rPr>
                  <w:alias w:val="公司负责人"/>
                  <w:tag w:val="_GBC_82350876809b4479afe9f3c55db147dd"/>
                  <w:id w:val="-1987779360"/>
                  <w:placeholder>
                    <w:docPart w:val="GBC22222222222222222222222222222"/>
                  </w:placeholder>
                  <w:dataBinding w:prefixMappings="xmlns:clcid-mr='clcid-mr'" w:xpath="/*/clcid-mr:GongSiFuZeRenXingMing[not(@periodRef)]" w:storeItemID="{89EBAB94-44A0-46A2-B712-30D997D04A6D}"/>
                  <w:text/>
                </w:sdtPr>
                <w:sdtEndPr/>
                <w:sdtContent>
                  <w:r w:rsidR="00B47FFE">
                    <w:rPr>
                      <w:rFonts w:hint="eastAsia"/>
                    </w:rPr>
                    <w:t>李伟</w:t>
                  </w:r>
                </w:sdtContent>
              </w:sdt>
              <w:r>
                <w:t>主管会计工作负责人</w:t>
              </w:r>
              <w:r>
                <w:rPr>
                  <w:rFonts w:hint="eastAsia"/>
                </w:rPr>
                <w:t>：</w:t>
              </w:r>
              <w:sdt>
                <w:sdtPr>
                  <w:rPr>
                    <w:rFonts w:hint="eastAsia"/>
                  </w:rPr>
                  <w:alias w:val="主管会计工作负责人姓名"/>
                  <w:tag w:val="_GBC_9caf2fff268b41a7b3fe74fc4a3d6533"/>
                  <w:id w:val="-989632558"/>
                  <w:placeholder>
                    <w:docPart w:val="GBC22222222222222222222222222222"/>
                  </w:placeholder>
                  <w:dataBinding w:prefixMappings="xmlns:clcid-mr='clcid-mr'" w:xpath="/*/clcid-mr:ZhuGuanKuaiJiGongZuoFuZeRenXingMing[not(@periodRef)]" w:storeItemID="{89EBAB94-44A0-46A2-B712-30D997D04A6D}"/>
                  <w:text/>
                </w:sdtPr>
                <w:sdtEndPr/>
                <w:sdtContent>
                  <w:r w:rsidR="00B47FFE">
                    <w:rPr>
                      <w:rFonts w:hint="eastAsia"/>
                    </w:rPr>
                    <w:t>赵青春</w:t>
                  </w:r>
                </w:sdtContent>
              </w:sdt>
              <w:r>
                <w:t>会计机构负责人</w:t>
              </w:r>
              <w:r>
                <w:rPr>
                  <w:rFonts w:hint="eastAsia"/>
                </w:rPr>
                <w:t>：</w:t>
              </w:r>
              <w:sdt>
                <w:sdtPr>
                  <w:rPr>
                    <w:rFonts w:hint="eastAsia"/>
                  </w:rPr>
                  <w:alias w:val="会计机构负责人姓名"/>
                  <w:tag w:val="_GBC_8cacbe4a6fcc41699e67ce809516ec50"/>
                  <w:id w:val="692815053"/>
                  <w:placeholder>
                    <w:docPart w:val="GBC22222222222222222222222222222"/>
                  </w:placeholder>
                  <w:dataBinding w:prefixMappings="xmlns:clcid-mr='clcid-mr'" w:xpath="/*/clcid-mr:KuaiJiJiGouFuZeRenXingMing[not(@periodRef)]" w:storeItemID="{89EBAB94-44A0-46A2-B712-30D997D04A6D}"/>
                  <w:text/>
                </w:sdtPr>
                <w:sdtEndPr/>
                <w:sdtContent>
                  <w:r w:rsidR="006F3F93">
                    <w:rPr>
                      <w:rFonts w:hint="eastAsia"/>
                    </w:rPr>
                    <w:t>赵治国</w:t>
                  </w:r>
                </w:sdtContent>
              </w:sdt>
            </w:p>
            <w:p w14:paraId="06E35F9F" w14:textId="77777777" w:rsidR="007E7472" w:rsidRDefault="00C8327E">
              <w:pPr>
                <w:ind w:rightChars="-73" w:right="-153"/>
                <w:rPr>
                  <w:b/>
                  <w:bCs/>
                  <w:color w:val="008000"/>
                  <w:u w:val="single"/>
                </w:rPr>
              </w:pPr>
            </w:p>
          </w:sdtContent>
        </w:sdt>
        <w:p w14:paraId="5BD80E5B" w14:textId="77777777" w:rsidR="007E7472" w:rsidRDefault="00C8327E">
          <w:pPr>
            <w:snapToGrid w:val="0"/>
            <w:spacing w:line="240" w:lineRule="atLeast"/>
            <w:ind w:rightChars="-759" w:right="-1594"/>
          </w:pPr>
        </w:p>
        <w:sdt>
          <w:sdtPr>
            <w:rPr>
              <w:rFonts w:ascii="宋体" w:hAnsi="宋体" w:cs="宋体" w:hint="eastAsia"/>
              <w:b w:val="0"/>
              <w:bCs w:val="0"/>
              <w:kern w:val="0"/>
              <w:szCs w:val="24"/>
            </w:rPr>
            <w:tag w:val="_GBC_af8c8d1094d041008b00be724891aff3"/>
            <w:id w:val="445517851"/>
            <w:placeholder>
              <w:docPart w:val="GBC22222222222222222222222222222"/>
            </w:placeholder>
          </w:sdtPr>
          <w:sdtEndPr>
            <w:rPr>
              <w:szCs w:val="21"/>
            </w:rPr>
          </w:sdtEndPr>
          <w:sdtContent>
            <w:p w14:paraId="0AABB0B9" w14:textId="77777777" w:rsidR="007E7472" w:rsidRDefault="00EC1269" w:rsidP="007E7472">
              <w:pPr>
                <w:pStyle w:val="3"/>
                <w:jc w:val="center"/>
              </w:pPr>
              <w:r>
                <w:rPr>
                  <w:rFonts w:hint="eastAsia"/>
                </w:rPr>
                <w:t>母公司</w:t>
              </w:r>
              <w:r>
                <w:t>资产负债表</w:t>
              </w:r>
            </w:p>
            <w:p w14:paraId="77A75FC0" w14:textId="77777777" w:rsidR="007E7472" w:rsidRDefault="00EC1269">
              <w:pPr>
                <w:snapToGrid w:val="0"/>
                <w:spacing w:line="240" w:lineRule="atLeast"/>
                <w:jc w:val="center"/>
                <w:rPr>
                  <w:b/>
                </w:rPr>
              </w:pPr>
              <w:r>
                <w:t>2023年6月30日</w:t>
              </w:r>
            </w:p>
            <w:p w14:paraId="6B1151F1" w14:textId="096DB834" w:rsidR="007E7472" w:rsidRDefault="00EC1269">
              <w:r>
                <w:t>编制单位：</w:t>
              </w:r>
              <w:sdt>
                <w:sdtPr>
                  <w:alias w:val="公司法定中文名称"/>
                  <w:tag w:val="_GBC_824a3e7402834e78aa66a9ee77d287bc"/>
                  <w:id w:val="1440715211"/>
                  <w:placeholder>
                    <w:docPart w:val="GBC22222222222222222222222222222"/>
                  </w:placeholder>
                  <w:dataBinding w:prefixMappings="xmlns:clcid-cgi='clcid-cgi'" w:xpath="/*/clcid-cgi:GongSiFaDingZhongWenMingCheng[not(@periodRef)]" w:storeItemID="{89EBAB94-44A0-46A2-B712-30D997D04A6D}"/>
                  <w:text/>
                </w:sdtPr>
                <w:sdtEndPr/>
                <w:sdtContent>
                  <w:r w:rsidR="006F3F93">
                    <w:t>兖矿能源集团股份有限公司</w:t>
                  </w:r>
                </w:sdtContent>
              </w:sdt>
            </w:p>
            <w:p w14:paraId="12817ADF" w14:textId="65FC3F11" w:rsidR="007E7472" w:rsidRDefault="00EC1269">
              <w:pPr>
                <w:jc w:val="right"/>
              </w:pPr>
              <w:r>
                <w:t>单位：</w:t>
              </w:r>
              <w:sdt>
                <w:sdtPr>
                  <w:alias w:val="单位：母公司资产负债表"/>
                  <w:tag w:val="_GBC_7be010b1a07f4048a3805d40208ccda4"/>
                  <w:id w:val="174622023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t>千元</w:t>
                  </w:r>
                </w:sdtContent>
              </w:sdt>
              <w:r>
                <w:t>币种：</w:t>
              </w:r>
              <w:sdt>
                <w:sdtPr>
                  <w:alias w:val="币种：母公司资产负债表"/>
                  <w:tag w:val="_GBC_ecd35f8ce6f84d6f8ad30e1e244c15ff"/>
                  <w:id w:val="70383207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t>人民币</w:t>
                  </w:r>
                </w:sdtContent>
              </w:sdt>
            </w:p>
            <w:tbl>
              <w:tblPr>
                <w:tblStyle w:val="g4"/>
                <w:tblW w:w="4994"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69"/>
                <w:gridCol w:w="1104"/>
                <w:gridCol w:w="2485"/>
                <w:gridCol w:w="2348"/>
              </w:tblGrid>
              <w:tr w:rsidR="007E7472" w14:paraId="035174C3" w14:textId="77777777">
                <w:bookmarkStart w:id="135" w:name="_Hlk105686791" w:displacedByCustomXml="next"/>
                <w:sdt>
                  <w:sdtPr>
                    <w:tag w:val="_PLD_7b231a79acb54050b640bf23dd34ab8c"/>
                    <w:id w:val="71552983"/>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C537B48" w14:textId="77777777" w:rsidR="007E7472" w:rsidRDefault="00EC1269">
                        <w:pPr>
                          <w:jc w:val="center"/>
                          <w:rPr>
                            <w:b/>
                          </w:rPr>
                        </w:pPr>
                        <w:r>
                          <w:rPr>
                            <w:b/>
                          </w:rPr>
                          <w:t>项目</w:t>
                        </w:r>
                      </w:p>
                    </w:tc>
                  </w:sdtContent>
                </w:sdt>
                <w:sdt>
                  <w:sdtPr>
                    <w:tag w:val="_PLD_5e370aa08a144a709185abd9b2f11c20"/>
                    <w:id w:val="-681200810"/>
                  </w:sdtPr>
                  <w:sdtEndPr/>
                  <w:sdtContent>
                    <w:tc>
                      <w:tcPr>
                        <w:tcW w:w="627" w:type="pct"/>
                        <w:tcBorders>
                          <w:top w:val="outset" w:sz="6" w:space="0" w:color="auto"/>
                          <w:left w:val="outset" w:sz="6" w:space="0" w:color="auto"/>
                          <w:bottom w:val="outset" w:sz="6" w:space="0" w:color="auto"/>
                          <w:right w:val="outset" w:sz="6" w:space="0" w:color="auto"/>
                        </w:tcBorders>
                        <w:vAlign w:val="center"/>
                      </w:tcPr>
                      <w:p w14:paraId="79AD2A75" w14:textId="77777777" w:rsidR="007E7472" w:rsidRDefault="00EC1269">
                        <w:pPr>
                          <w:jc w:val="center"/>
                          <w:rPr>
                            <w:b/>
                          </w:rPr>
                        </w:pPr>
                        <w:r>
                          <w:rPr>
                            <w:rFonts w:hint="eastAsia"/>
                            <w:b/>
                          </w:rPr>
                          <w:t>附注</w:t>
                        </w:r>
                      </w:p>
                    </w:tc>
                  </w:sdtContent>
                </w:sdt>
                <w:sdt>
                  <w:sdtPr>
                    <w:tag w:val="_PLD_0aa0a7a0cd4c45afa7cfb1bcfbba36c3"/>
                    <w:id w:val="1050803479"/>
                  </w:sdtPr>
                  <w:sdtEndPr/>
                  <w:sdtContent>
                    <w:tc>
                      <w:tcPr>
                        <w:tcW w:w="1411" w:type="pct"/>
                        <w:tcBorders>
                          <w:top w:val="outset" w:sz="6" w:space="0" w:color="auto"/>
                          <w:left w:val="outset" w:sz="6" w:space="0" w:color="auto"/>
                          <w:bottom w:val="outset" w:sz="6" w:space="0" w:color="auto"/>
                          <w:right w:val="outset" w:sz="6" w:space="0" w:color="auto"/>
                        </w:tcBorders>
                        <w:vAlign w:val="center"/>
                      </w:tcPr>
                      <w:p w14:paraId="0342B847" w14:textId="77777777" w:rsidR="007E7472" w:rsidRDefault="00EC1269">
                        <w:pPr>
                          <w:jc w:val="center"/>
                          <w:rPr>
                            <w:b/>
                          </w:rPr>
                        </w:pPr>
                        <w:r>
                          <w:rPr>
                            <w:rFonts w:hint="eastAsia"/>
                            <w:b/>
                          </w:rPr>
                          <w:t>2023年6月</w:t>
                        </w:r>
                        <w:r>
                          <w:rPr>
                            <w:b/>
                          </w:rPr>
                          <w:t>3</w:t>
                        </w:r>
                        <w:r>
                          <w:rPr>
                            <w:rFonts w:hint="eastAsia"/>
                            <w:b/>
                          </w:rPr>
                          <w:t>0日</w:t>
                        </w:r>
                      </w:p>
                    </w:tc>
                  </w:sdtContent>
                </w:sdt>
                <w:sdt>
                  <w:sdtPr>
                    <w:tag w:val="_PLD_e986dda0dbc74346a9296e5a4646b696"/>
                    <w:id w:val="-1132705937"/>
                  </w:sdtPr>
                  <w:sdtEndPr/>
                  <w:sdtContent>
                    <w:tc>
                      <w:tcPr>
                        <w:tcW w:w="1333" w:type="pct"/>
                        <w:tcBorders>
                          <w:top w:val="outset" w:sz="6" w:space="0" w:color="auto"/>
                          <w:left w:val="outset" w:sz="6" w:space="0" w:color="auto"/>
                          <w:bottom w:val="outset" w:sz="6" w:space="0" w:color="auto"/>
                          <w:right w:val="outset" w:sz="6" w:space="0" w:color="auto"/>
                        </w:tcBorders>
                        <w:vAlign w:val="center"/>
                      </w:tcPr>
                      <w:p w14:paraId="31A43351" w14:textId="77777777" w:rsidR="007E7472" w:rsidRDefault="00EC1269">
                        <w:pPr>
                          <w:jc w:val="center"/>
                          <w:rPr>
                            <w:b/>
                          </w:rPr>
                        </w:pPr>
                        <w:r>
                          <w:rPr>
                            <w:rFonts w:hint="eastAsia"/>
                            <w:b/>
                          </w:rPr>
                          <w:t>202</w:t>
                        </w:r>
                        <w:r>
                          <w:rPr>
                            <w:b/>
                          </w:rPr>
                          <w:t>2</w:t>
                        </w:r>
                        <w:r>
                          <w:rPr>
                            <w:rFonts w:hint="eastAsia"/>
                            <w:b/>
                          </w:rPr>
                          <w:t>年12月31日</w:t>
                        </w:r>
                      </w:p>
                    </w:tc>
                  </w:sdtContent>
                </w:sdt>
              </w:tr>
              <w:tr w:rsidR="007E7472" w14:paraId="7ABA7331" w14:textId="77777777">
                <w:sdt>
                  <w:sdtPr>
                    <w:tag w:val="_PLD_64ae72669eea4837a1a220d585585bdf"/>
                    <w:id w:val="-1092699939"/>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66F90825" w14:textId="77777777" w:rsidR="007E7472" w:rsidRDefault="00EC1269">
                        <w:pPr>
                          <w:rPr>
                            <w:b/>
                            <w:color w:val="FF00FF"/>
                          </w:rPr>
                        </w:pPr>
                        <w:r>
                          <w:rPr>
                            <w:rFonts w:hint="eastAsia"/>
                            <w:b/>
                          </w:rPr>
                          <w:t>流动资产：</w:t>
                        </w:r>
                      </w:p>
                    </w:tc>
                  </w:sdtContent>
                </w:sdt>
              </w:tr>
              <w:tr w:rsidR="007E7472" w14:paraId="2BD535CE" w14:textId="77777777">
                <w:sdt>
                  <w:sdtPr>
                    <w:tag w:val="_PLD_9b78743cdab64576b5cd6da9a3a930fa"/>
                    <w:id w:val="1603151636"/>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DE22A64" w14:textId="77777777" w:rsidR="007E7472" w:rsidRDefault="00EC1269">
                        <w:pPr>
                          <w:ind w:firstLineChars="100" w:firstLine="210"/>
                        </w:pPr>
                        <w:r>
                          <w:rPr>
                            <w:rFonts w:hint="eastAsia"/>
                          </w:rPr>
                          <w:t>货币资金</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48812774" w14:textId="77777777" w:rsidR="007E7472" w:rsidRDefault="00C8327E">
                    <w:pPr>
                      <w:jc w:val="center"/>
                      <w:rPr>
                        <w:rFonts w:asciiTheme="majorEastAsia" w:eastAsiaTheme="majorEastAsia" w:hAnsiTheme="maj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1DD360EA" w14:textId="77777777" w:rsidR="007E7472" w:rsidRDefault="00EC1269">
                    <w:pPr>
                      <w:jc w:val="right"/>
                    </w:pPr>
                    <w:r>
                      <w:t>22,008,292</w:t>
                    </w:r>
                  </w:p>
                </w:tc>
                <w:tc>
                  <w:tcPr>
                    <w:tcW w:w="1333" w:type="pct"/>
                    <w:tcBorders>
                      <w:top w:val="outset" w:sz="6" w:space="0" w:color="auto"/>
                      <w:left w:val="outset" w:sz="6" w:space="0" w:color="auto"/>
                      <w:bottom w:val="outset" w:sz="6" w:space="0" w:color="auto"/>
                      <w:right w:val="outset" w:sz="6" w:space="0" w:color="auto"/>
                    </w:tcBorders>
                    <w:vAlign w:val="center"/>
                  </w:tcPr>
                  <w:p w14:paraId="5139A755" w14:textId="77777777" w:rsidR="007E7472" w:rsidRDefault="00EC1269">
                    <w:pPr>
                      <w:jc w:val="right"/>
                    </w:pPr>
                    <w:r>
                      <w:t>14,604,152</w:t>
                    </w:r>
                  </w:p>
                </w:tc>
              </w:tr>
              <w:tr w:rsidR="007E7472" w14:paraId="79995E39" w14:textId="7777777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110b32630da4518a6cd2897b5ab904c"/>
                      <w:id w:val="-2075960345"/>
                    </w:sdtPr>
                    <w:sdtEndPr/>
                    <w:sdtContent>
                      <w:p w14:paraId="2D7DF614" w14:textId="77777777" w:rsidR="007E7472" w:rsidRDefault="00EC1269">
                        <w:pPr>
                          <w:ind w:firstLineChars="100" w:firstLine="210"/>
                        </w:pPr>
                        <w:r>
                          <w:rPr>
                            <w:rFonts w:hint="eastAsia"/>
                          </w:rPr>
                          <w:t>交易性金融资产</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545639BA" w14:textId="77777777" w:rsidR="007E7472" w:rsidRDefault="00C8327E">
                    <w:pPr>
                      <w:jc w:val="center"/>
                      <w:rPr>
                        <w:rFonts w:asciiTheme="majorEastAsia" w:eastAsiaTheme="majorEastAsia" w:hAnsiTheme="maj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0AF173F5" w14:textId="77777777" w:rsidR="007E7472" w:rsidRDefault="00EC1269">
                    <w:pPr>
                      <w:jc w:val="right"/>
                    </w:pPr>
                    <w:r>
                      <w:t>224</w:t>
                    </w:r>
                  </w:p>
                </w:tc>
                <w:tc>
                  <w:tcPr>
                    <w:tcW w:w="1333" w:type="pct"/>
                    <w:tcBorders>
                      <w:top w:val="outset" w:sz="6" w:space="0" w:color="auto"/>
                      <w:left w:val="outset" w:sz="6" w:space="0" w:color="auto"/>
                      <w:bottom w:val="outset" w:sz="6" w:space="0" w:color="auto"/>
                      <w:right w:val="outset" w:sz="6" w:space="0" w:color="auto"/>
                    </w:tcBorders>
                    <w:vAlign w:val="center"/>
                  </w:tcPr>
                  <w:p w14:paraId="6BFA3A3E" w14:textId="77777777" w:rsidR="007E7472" w:rsidRDefault="00EC1269">
                    <w:pPr>
                      <w:jc w:val="right"/>
                    </w:pPr>
                    <w:r>
                      <w:t>425</w:t>
                    </w:r>
                  </w:p>
                </w:tc>
              </w:tr>
              <w:tr w:rsidR="007E7472" w14:paraId="02CB86A5" w14:textId="77777777">
                <w:sdt>
                  <w:sdtPr>
                    <w:tag w:val="_PLD_1bfca77991c7445a99252c547d869547"/>
                    <w:id w:val="176242181"/>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BC09ABC" w14:textId="77777777" w:rsidR="007E7472" w:rsidRDefault="00EC1269">
                        <w:pPr>
                          <w:ind w:firstLineChars="100" w:firstLine="210"/>
                        </w:pPr>
                        <w:r>
                          <w:rPr>
                            <w:rFonts w:hint="eastAsia"/>
                          </w:rPr>
                          <w:t>衍生金融资产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76FCD2AB" w14:textId="77777777" w:rsidR="007E7472" w:rsidRDefault="00C8327E">
                    <w:pPr>
                      <w:jc w:val="center"/>
                      <w:rPr>
                        <w:rFonts w:asciiTheme="majorEastAsia" w:eastAsiaTheme="majorEastAsia" w:hAnsiTheme="maj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5C2AE90C" w14:textId="77777777" w:rsidR="007E7472" w:rsidRDefault="00C832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753B662B" w14:textId="77777777" w:rsidR="007E7472" w:rsidRDefault="00C8327E">
                    <w:pPr>
                      <w:jc w:val="right"/>
                    </w:pPr>
                  </w:p>
                </w:tc>
              </w:tr>
              <w:tr w:rsidR="007E7472" w14:paraId="6216B300" w14:textId="77777777">
                <w:sdt>
                  <w:sdtPr>
                    <w:tag w:val="_PLD_ff993f326eb24b209c608805e7d5452d"/>
                    <w:id w:val="-1992167534"/>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4F927B4" w14:textId="77777777" w:rsidR="007E7472" w:rsidRDefault="00EC1269">
                        <w:pPr>
                          <w:ind w:firstLineChars="100" w:firstLine="210"/>
                        </w:pPr>
                        <w:r>
                          <w:rPr>
                            <w:rFonts w:hint="eastAsia"/>
                          </w:rPr>
                          <w:t>应收票据</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75751455" w14:textId="77777777" w:rsidR="007E7472" w:rsidRDefault="00C8327E">
                    <w:pPr>
                      <w:jc w:val="center"/>
                      <w:rPr>
                        <w:rFonts w:asciiTheme="majorEastAsia" w:eastAsiaTheme="majorEastAsia" w:hAnsiTheme="maj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2799FFF6" w14:textId="77777777" w:rsidR="007E7472" w:rsidRDefault="00C832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59FD363D" w14:textId="77777777" w:rsidR="007E7472" w:rsidRDefault="00C8327E">
                    <w:pPr>
                      <w:jc w:val="right"/>
                    </w:pPr>
                  </w:p>
                </w:tc>
              </w:tr>
              <w:tr w:rsidR="007E7472" w14:paraId="217C9D6F" w14:textId="77777777">
                <w:sdt>
                  <w:sdtPr>
                    <w:tag w:val="_PLD_e1b51c42e6ff4b2b89ce73b84b0ca8c1"/>
                    <w:id w:val="250932415"/>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BDDF5F9" w14:textId="77777777" w:rsidR="007E7472" w:rsidRDefault="00EC1269">
                        <w:pPr>
                          <w:ind w:firstLineChars="100" w:firstLine="210"/>
                        </w:pPr>
                        <w:r>
                          <w:rPr>
                            <w:rFonts w:hint="eastAsia"/>
                          </w:rPr>
                          <w:t>应收账款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D32054F" w14:textId="77777777" w:rsidR="007E7472" w:rsidRDefault="00EC1269">
                    <w:pPr>
                      <w:jc w:val="center"/>
                      <w:rPr>
                        <w:rFonts w:asciiTheme="majorEastAsia" w:eastAsiaTheme="majorEastAsia" w:hAnsiTheme="majorEastAsia"/>
                      </w:rPr>
                    </w:pPr>
                    <w:r>
                      <w:rPr>
                        <w:rFonts w:asciiTheme="majorEastAsia" w:eastAsiaTheme="majorEastAsia" w:hAnsiTheme="majorEastAsia" w:hint="eastAsia"/>
                      </w:rPr>
                      <w:t>十七、</w:t>
                    </w:r>
                    <w:r>
                      <w:rPr>
                        <w:rFonts w:asciiTheme="majorEastAsia" w:eastAsiaTheme="majorEastAsia" w:hAnsiTheme="majorEastAsia"/>
                      </w:rPr>
                      <w:t>1</w:t>
                    </w:r>
                  </w:p>
                </w:tc>
                <w:tc>
                  <w:tcPr>
                    <w:tcW w:w="1411" w:type="pct"/>
                    <w:tcBorders>
                      <w:top w:val="outset" w:sz="6" w:space="0" w:color="auto"/>
                      <w:left w:val="outset" w:sz="6" w:space="0" w:color="auto"/>
                      <w:bottom w:val="outset" w:sz="6" w:space="0" w:color="auto"/>
                      <w:right w:val="outset" w:sz="6" w:space="0" w:color="auto"/>
                    </w:tcBorders>
                    <w:vAlign w:val="center"/>
                  </w:tcPr>
                  <w:p w14:paraId="730275D9" w14:textId="77777777" w:rsidR="007E7472" w:rsidRDefault="00EC1269">
                    <w:pPr>
                      <w:jc w:val="right"/>
                    </w:pPr>
                    <w:r>
                      <w:t>2,412,690</w:t>
                    </w:r>
                  </w:p>
                </w:tc>
                <w:tc>
                  <w:tcPr>
                    <w:tcW w:w="1333" w:type="pct"/>
                    <w:tcBorders>
                      <w:top w:val="outset" w:sz="6" w:space="0" w:color="auto"/>
                      <w:left w:val="outset" w:sz="6" w:space="0" w:color="auto"/>
                      <w:bottom w:val="outset" w:sz="6" w:space="0" w:color="auto"/>
                      <w:right w:val="outset" w:sz="6" w:space="0" w:color="auto"/>
                    </w:tcBorders>
                    <w:vAlign w:val="center"/>
                  </w:tcPr>
                  <w:p w14:paraId="406FF0FB" w14:textId="77777777" w:rsidR="007E7472" w:rsidRDefault="00EC1269">
                    <w:pPr>
                      <w:jc w:val="right"/>
                    </w:pPr>
                    <w:r>
                      <w:t>1,458,290</w:t>
                    </w:r>
                  </w:p>
                </w:tc>
              </w:tr>
              <w:tr w:rsidR="007E7472" w14:paraId="415D8989" w14:textId="7777777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11cc65422d84c058777e9f23de9aaef"/>
                      <w:id w:val="-1225368300"/>
                    </w:sdtPr>
                    <w:sdtEndPr/>
                    <w:sdtContent>
                      <w:p w14:paraId="44B07368" w14:textId="77777777" w:rsidR="007E7472" w:rsidRDefault="00EC1269">
                        <w:pPr>
                          <w:ind w:firstLineChars="100" w:firstLine="210"/>
                        </w:pPr>
                        <w:r>
                          <w:rPr>
                            <w:rFonts w:hint="eastAsia"/>
                          </w:rPr>
                          <w:t>应收款项融资</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40482C95" w14:textId="77777777" w:rsidR="007E7472" w:rsidRDefault="00C8327E">
                    <w:pPr>
                      <w:jc w:val="center"/>
                      <w:rPr>
                        <w:rFonts w:asciiTheme="majorEastAsia" w:eastAsiaTheme="majorEastAsia" w:hAnsiTheme="maj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2BE314C4" w14:textId="77777777" w:rsidR="007E7472" w:rsidRDefault="00EC1269">
                    <w:pPr>
                      <w:jc w:val="right"/>
                    </w:pPr>
                    <w:r>
                      <w:t>2,933,909</w:t>
                    </w:r>
                  </w:p>
                </w:tc>
                <w:tc>
                  <w:tcPr>
                    <w:tcW w:w="1333" w:type="pct"/>
                    <w:tcBorders>
                      <w:top w:val="outset" w:sz="6" w:space="0" w:color="auto"/>
                      <w:left w:val="outset" w:sz="6" w:space="0" w:color="auto"/>
                      <w:bottom w:val="outset" w:sz="6" w:space="0" w:color="auto"/>
                      <w:right w:val="outset" w:sz="6" w:space="0" w:color="auto"/>
                    </w:tcBorders>
                    <w:vAlign w:val="center"/>
                  </w:tcPr>
                  <w:p w14:paraId="41A0655D" w14:textId="77777777" w:rsidR="007E7472" w:rsidRDefault="00EC1269">
                    <w:pPr>
                      <w:jc w:val="right"/>
                    </w:pPr>
                    <w:r>
                      <w:t>2,573,685</w:t>
                    </w:r>
                  </w:p>
                </w:tc>
              </w:tr>
              <w:tr w:rsidR="007E7472" w14:paraId="47321484" w14:textId="77777777">
                <w:sdt>
                  <w:sdtPr>
                    <w:tag w:val="_PLD_805b2d340ad24fae990479b422656525"/>
                    <w:id w:val="643082900"/>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C722410" w14:textId="77777777" w:rsidR="007E7472" w:rsidRDefault="00EC1269">
                        <w:pPr>
                          <w:ind w:firstLineChars="100" w:firstLine="210"/>
                        </w:pPr>
                        <w:r>
                          <w:rPr>
                            <w:rFonts w:hint="eastAsia"/>
                          </w:rPr>
                          <w:t>预付款项</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01DE44BF" w14:textId="77777777" w:rsidR="007E7472" w:rsidRDefault="00C8327E">
                    <w:pPr>
                      <w:jc w:val="center"/>
                      <w:rPr>
                        <w:rFonts w:asciiTheme="majorEastAsia" w:eastAsiaTheme="majorEastAsia" w:hAnsiTheme="maj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46FFF913" w14:textId="77777777" w:rsidR="007E7472" w:rsidRDefault="00EC1269">
                    <w:pPr>
                      <w:jc w:val="right"/>
                    </w:pPr>
                    <w:r>
                      <w:t>100,978</w:t>
                    </w:r>
                  </w:p>
                </w:tc>
                <w:tc>
                  <w:tcPr>
                    <w:tcW w:w="1333" w:type="pct"/>
                    <w:tcBorders>
                      <w:top w:val="outset" w:sz="6" w:space="0" w:color="auto"/>
                      <w:left w:val="outset" w:sz="6" w:space="0" w:color="auto"/>
                      <w:bottom w:val="outset" w:sz="6" w:space="0" w:color="auto"/>
                      <w:right w:val="outset" w:sz="6" w:space="0" w:color="auto"/>
                    </w:tcBorders>
                    <w:vAlign w:val="center"/>
                  </w:tcPr>
                  <w:p w14:paraId="650335C1" w14:textId="77777777" w:rsidR="007E7472" w:rsidRDefault="00EC1269">
                    <w:pPr>
                      <w:jc w:val="right"/>
                    </w:pPr>
                    <w:r>
                      <w:t>20,863</w:t>
                    </w:r>
                  </w:p>
                </w:tc>
              </w:tr>
              <w:tr w:rsidR="007E7472" w14:paraId="61ECE2F6" w14:textId="77777777">
                <w:sdt>
                  <w:sdtPr>
                    <w:tag w:val="_PLD_cf9f116dabbb48b2a5a0f3ba0b4772cd"/>
                    <w:id w:val="1166592620"/>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749D8E7" w14:textId="77777777" w:rsidR="007E7472" w:rsidRDefault="00EC1269">
                        <w:pPr>
                          <w:ind w:firstLineChars="100" w:firstLine="210"/>
                        </w:pPr>
                        <w:r>
                          <w:rPr>
                            <w:rFonts w:hint="eastAsia"/>
                          </w:rPr>
                          <w:t>其他应收款</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171304AA" w14:textId="77777777" w:rsidR="007E7472" w:rsidRDefault="00EC1269">
                    <w:pPr>
                      <w:jc w:val="center"/>
                      <w:rPr>
                        <w:rFonts w:asciiTheme="majorEastAsia" w:eastAsiaTheme="majorEastAsia" w:hAnsiTheme="majorEastAsia"/>
                      </w:rPr>
                    </w:pPr>
                    <w:r>
                      <w:rPr>
                        <w:rFonts w:asciiTheme="majorEastAsia" w:eastAsiaTheme="majorEastAsia" w:hAnsiTheme="majorEastAsia" w:hint="eastAsia"/>
                      </w:rPr>
                      <w:t>十七、</w:t>
                    </w:r>
                    <w:r>
                      <w:rPr>
                        <w:rFonts w:asciiTheme="majorEastAsia" w:eastAsiaTheme="majorEastAsia" w:hAnsiTheme="majorEastAsia"/>
                      </w:rPr>
                      <w:t>2</w:t>
                    </w:r>
                  </w:p>
                </w:tc>
                <w:tc>
                  <w:tcPr>
                    <w:tcW w:w="1411" w:type="pct"/>
                    <w:tcBorders>
                      <w:top w:val="outset" w:sz="6" w:space="0" w:color="auto"/>
                      <w:left w:val="outset" w:sz="6" w:space="0" w:color="auto"/>
                      <w:bottom w:val="outset" w:sz="6" w:space="0" w:color="auto"/>
                      <w:right w:val="outset" w:sz="6" w:space="0" w:color="auto"/>
                    </w:tcBorders>
                    <w:vAlign w:val="center"/>
                  </w:tcPr>
                  <w:p w14:paraId="4FA6B311" w14:textId="77777777" w:rsidR="007E7472" w:rsidRDefault="00EC1269">
                    <w:pPr>
                      <w:jc w:val="right"/>
                    </w:pPr>
                    <w:r>
                      <w:t>33,357,244</w:t>
                    </w:r>
                  </w:p>
                </w:tc>
                <w:tc>
                  <w:tcPr>
                    <w:tcW w:w="1333" w:type="pct"/>
                    <w:tcBorders>
                      <w:top w:val="outset" w:sz="6" w:space="0" w:color="auto"/>
                      <w:left w:val="outset" w:sz="6" w:space="0" w:color="auto"/>
                      <w:bottom w:val="outset" w:sz="6" w:space="0" w:color="auto"/>
                      <w:right w:val="outset" w:sz="6" w:space="0" w:color="auto"/>
                    </w:tcBorders>
                    <w:vAlign w:val="center"/>
                  </w:tcPr>
                  <w:p w14:paraId="49306DB0" w14:textId="77777777" w:rsidR="007E7472" w:rsidRDefault="00EC1269">
                    <w:pPr>
                      <w:jc w:val="right"/>
                    </w:pPr>
                    <w:r>
                      <w:t>35,840,082</w:t>
                    </w:r>
                  </w:p>
                </w:tc>
              </w:tr>
              <w:tr w:rsidR="007E7472" w14:paraId="50EFAF07" w14:textId="77777777">
                <w:sdt>
                  <w:sdtPr>
                    <w:tag w:val="_PLD_b55f9182bb0f4ff099725b83128277f5"/>
                    <w:id w:val="35167141"/>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7CBD207" w14:textId="77777777" w:rsidR="007E7472" w:rsidRDefault="00EC1269">
                        <w:pPr>
                          <w:ind w:firstLineChars="100" w:firstLine="210"/>
                        </w:pPr>
                        <w:r>
                          <w:rPr>
                            <w:rFonts w:hint="eastAsia"/>
                          </w:rPr>
                          <w:t>其中：应收利息</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41454E81" w14:textId="77777777" w:rsidR="007E7472" w:rsidRDefault="00EC1269">
                    <w:pPr>
                      <w:jc w:val="center"/>
                      <w:rPr>
                        <w:rFonts w:asciiTheme="majorEastAsia" w:eastAsiaTheme="majorEastAsia" w:hAnsiTheme="majorEastAsia"/>
                      </w:rPr>
                    </w:pPr>
                    <w:r>
                      <w:rPr>
                        <w:rFonts w:asciiTheme="majorEastAsia" w:eastAsiaTheme="majorEastAsia" w:hAnsiTheme="majorEastAsia" w:hint="eastAsia"/>
                      </w:rPr>
                      <w:t>十七、</w:t>
                    </w:r>
                    <w:r>
                      <w:rPr>
                        <w:rFonts w:asciiTheme="majorEastAsia" w:eastAsiaTheme="majorEastAsia" w:hAnsiTheme="majorEastAsia"/>
                      </w:rPr>
                      <w:t>2</w:t>
                    </w:r>
                  </w:p>
                </w:tc>
                <w:tc>
                  <w:tcPr>
                    <w:tcW w:w="1411" w:type="pct"/>
                    <w:tcBorders>
                      <w:top w:val="outset" w:sz="6" w:space="0" w:color="auto"/>
                      <w:left w:val="outset" w:sz="6" w:space="0" w:color="auto"/>
                      <w:bottom w:val="outset" w:sz="6" w:space="0" w:color="auto"/>
                      <w:right w:val="outset" w:sz="6" w:space="0" w:color="auto"/>
                    </w:tcBorders>
                    <w:vAlign w:val="center"/>
                  </w:tcPr>
                  <w:p w14:paraId="1AE17D49" w14:textId="77777777" w:rsidR="007E7472" w:rsidRDefault="00EC1269">
                    <w:pPr>
                      <w:jc w:val="right"/>
                    </w:pPr>
                    <w:r>
                      <w:t>386,322</w:t>
                    </w:r>
                  </w:p>
                </w:tc>
                <w:tc>
                  <w:tcPr>
                    <w:tcW w:w="1333" w:type="pct"/>
                    <w:tcBorders>
                      <w:top w:val="outset" w:sz="6" w:space="0" w:color="auto"/>
                      <w:left w:val="outset" w:sz="6" w:space="0" w:color="auto"/>
                      <w:bottom w:val="outset" w:sz="6" w:space="0" w:color="auto"/>
                      <w:right w:val="outset" w:sz="6" w:space="0" w:color="auto"/>
                    </w:tcBorders>
                    <w:vAlign w:val="center"/>
                  </w:tcPr>
                  <w:p w14:paraId="57902BDD" w14:textId="77777777" w:rsidR="007E7472" w:rsidRDefault="00EC1269">
                    <w:pPr>
                      <w:jc w:val="right"/>
                    </w:pPr>
                    <w:r>
                      <w:t>320,837</w:t>
                    </w:r>
                  </w:p>
                </w:tc>
              </w:tr>
              <w:tr w:rsidR="007E7472" w14:paraId="4D53BCC9" w14:textId="77777777">
                <w:sdt>
                  <w:sdtPr>
                    <w:tag w:val="_PLD_e9ef2df028eb46cbb98922f7b2e9c423"/>
                    <w:id w:val="1834569347"/>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61A6F0B" w14:textId="77777777" w:rsidR="007E7472" w:rsidRDefault="00EC1269">
                        <w:pPr>
                          <w:ind w:firstLineChars="400" w:firstLine="840"/>
                        </w:pPr>
                        <w:r>
                          <w:rPr>
                            <w:rFonts w:hint="eastAsia"/>
                          </w:rPr>
                          <w:t>应收股利</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0F22C820" w14:textId="77777777" w:rsidR="007E7472" w:rsidRDefault="00EC1269">
                    <w:pPr>
                      <w:jc w:val="center"/>
                      <w:rPr>
                        <w:rFonts w:asciiTheme="majorEastAsia" w:eastAsiaTheme="majorEastAsia" w:hAnsiTheme="majorEastAsia"/>
                      </w:rPr>
                    </w:pPr>
                    <w:r>
                      <w:rPr>
                        <w:rFonts w:asciiTheme="majorEastAsia" w:eastAsiaTheme="majorEastAsia" w:hAnsiTheme="majorEastAsia" w:hint="eastAsia"/>
                      </w:rPr>
                      <w:t>十七、</w:t>
                    </w:r>
                    <w:r>
                      <w:rPr>
                        <w:rFonts w:asciiTheme="majorEastAsia" w:eastAsiaTheme="majorEastAsia" w:hAnsiTheme="majorEastAsia"/>
                      </w:rPr>
                      <w:t>2</w:t>
                    </w:r>
                  </w:p>
                </w:tc>
                <w:tc>
                  <w:tcPr>
                    <w:tcW w:w="1411" w:type="pct"/>
                    <w:tcBorders>
                      <w:top w:val="outset" w:sz="6" w:space="0" w:color="auto"/>
                      <w:left w:val="outset" w:sz="6" w:space="0" w:color="auto"/>
                      <w:bottom w:val="outset" w:sz="6" w:space="0" w:color="auto"/>
                      <w:right w:val="outset" w:sz="6" w:space="0" w:color="auto"/>
                    </w:tcBorders>
                    <w:vAlign w:val="center"/>
                  </w:tcPr>
                  <w:p w14:paraId="44641FE8" w14:textId="77777777" w:rsidR="007E7472" w:rsidRDefault="00C832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5028EE88" w14:textId="77777777" w:rsidR="007E7472" w:rsidRDefault="00EC1269">
                    <w:pPr>
                      <w:jc w:val="right"/>
                    </w:pPr>
                    <w:r>
                      <w:t>9,999</w:t>
                    </w:r>
                  </w:p>
                </w:tc>
              </w:tr>
              <w:tr w:rsidR="007E7472" w14:paraId="6F578FEB" w14:textId="77777777">
                <w:sdt>
                  <w:sdtPr>
                    <w:tag w:val="_PLD_6cc0aeaf59b04efabb1f01b5c63b990f"/>
                    <w:id w:val="1582958485"/>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07E3BA5" w14:textId="77777777" w:rsidR="007E7472" w:rsidRDefault="00EC1269">
                        <w:pPr>
                          <w:ind w:firstLineChars="100" w:firstLine="210"/>
                        </w:pPr>
                        <w:r>
                          <w:rPr>
                            <w:rFonts w:hint="eastAsia"/>
                          </w:rPr>
                          <w:t>存货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25C2ED81" w14:textId="77777777" w:rsidR="007E7472" w:rsidRDefault="00C8327E">
                    <w:pPr>
                      <w:jc w:val="center"/>
                      <w:rPr>
                        <w:rFonts w:asciiTheme="majorEastAsia" w:eastAsiaTheme="majorEastAsia" w:hAnsiTheme="maj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421E290F" w14:textId="77777777" w:rsidR="007E7472" w:rsidRDefault="00EC1269">
                    <w:pPr>
                      <w:jc w:val="right"/>
                    </w:pPr>
                    <w:r>
                      <w:t>485,008</w:t>
                    </w:r>
                  </w:p>
                </w:tc>
                <w:tc>
                  <w:tcPr>
                    <w:tcW w:w="1333" w:type="pct"/>
                    <w:tcBorders>
                      <w:top w:val="outset" w:sz="6" w:space="0" w:color="auto"/>
                      <w:left w:val="outset" w:sz="6" w:space="0" w:color="auto"/>
                      <w:bottom w:val="outset" w:sz="6" w:space="0" w:color="auto"/>
                      <w:right w:val="outset" w:sz="6" w:space="0" w:color="auto"/>
                    </w:tcBorders>
                    <w:vAlign w:val="center"/>
                  </w:tcPr>
                  <w:p w14:paraId="1A19EAF6" w14:textId="77777777" w:rsidR="007E7472" w:rsidRDefault="00EC1269">
                    <w:pPr>
                      <w:jc w:val="right"/>
                    </w:pPr>
                    <w:r>
                      <w:t>666,281</w:t>
                    </w:r>
                  </w:p>
                </w:tc>
              </w:tr>
              <w:tr w:rsidR="007E7472" w14:paraId="63CDA5D3" w14:textId="7777777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e3d0e1008ca4d3b96e66b5c92068d38"/>
                      <w:id w:val="611791927"/>
                    </w:sdtPr>
                    <w:sdtEndPr/>
                    <w:sdtContent>
                      <w:p w14:paraId="0D391F30" w14:textId="77777777" w:rsidR="007E7472" w:rsidRDefault="00EC1269">
                        <w:pPr>
                          <w:ind w:firstLineChars="100" w:firstLine="210"/>
                        </w:pPr>
                        <w:r>
                          <w:rPr>
                            <w:rFonts w:hint="eastAsia"/>
                          </w:rPr>
                          <w:t>合同资产</w:t>
                        </w:r>
                      </w:p>
                    </w:sdtContent>
                  </w:sdt>
                </w:tc>
                <w:tc>
                  <w:tcPr>
                    <w:tcW w:w="627" w:type="pct"/>
                    <w:tcBorders>
                      <w:top w:val="outset" w:sz="6" w:space="0" w:color="auto"/>
                      <w:left w:val="outset" w:sz="6" w:space="0" w:color="auto"/>
                      <w:bottom w:val="outset" w:sz="6" w:space="0" w:color="auto"/>
                      <w:right w:val="outset" w:sz="6" w:space="0" w:color="auto"/>
                    </w:tcBorders>
                    <w:vAlign w:val="center"/>
                  </w:tcPr>
                  <w:p w14:paraId="636E2ECE" w14:textId="77777777" w:rsidR="007E7472" w:rsidRDefault="00C8327E">
                    <w:pPr>
                      <w:jc w:val="center"/>
                      <w:rPr>
                        <w:rFonts w:asciiTheme="majorEastAsia" w:eastAsiaTheme="majorEastAsia" w:hAnsiTheme="maj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150681C9" w14:textId="77777777" w:rsidR="007E7472" w:rsidRDefault="00C832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35ADB38B" w14:textId="77777777" w:rsidR="007E7472" w:rsidRDefault="00C8327E">
                    <w:pPr>
                      <w:jc w:val="right"/>
                    </w:pPr>
                  </w:p>
                </w:tc>
              </w:tr>
              <w:tr w:rsidR="007E7472" w14:paraId="5FBBE3FD" w14:textId="77777777">
                <w:sdt>
                  <w:sdtPr>
                    <w:tag w:val="_PLD_a0e80251eb49414f8ed0e4f3efcb5263"/>
                    <w:id w:val="1738052294"/>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35F70AF" w14:textId="77777777" w:rsidR="007E7472" w:rsidRDefault="00EC1269">
                        <w:pPr>
                          <w:ind w:firstLineChars="100" w:firstLine="210"/>
                        </w:pPr>
                        <w:r>
                          <w:rPr>
                            <w:rFonts w:hint="eastAsia"/>
                          </w:rPr>
                          <w:t>持有待售资产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F72CC07" w14:textId="77777777" w:rsidR="007E7472" w:rsidRDefault="00C8327E">
                    <w:pPr>
                      <w:jc w:val="center"/>
                      <w:rPr>
                        <w:rFonts w:asciiTheme="majorEastAsia" w:eastAsiaTheme="majorEastAsia" w:hAnsiTheme="maj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520A1C4E" w14:textId="77777777" w:rsidR="007E7472" w:rsidRDefault="00C832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68ECCE86" w14:textId="77777777" w:rsidR="007E7472" w:rsidRDefault="00C8327E">
                    <w:pPr>
                      <w:jc w:val="right"/>
                    </w:pPr>
                  </w:p>
                </w:tc>
              </w:tr>
              <w:tr w:rsidR="007E7472" w14:paraId="01AE54D8" w14:textId="77777777">
                <w:sdt>
                  <w:sdtPr>
                    <w:tag w:val="_PLD_b0b228c115df478088a29f03f8d7ad59"/>
                    <w:id w:val="558375473"/>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6263DAC" w14:textId="77777777" w:rsidR="007E7472" w:rsidRDefault="00EC1269">
                        <w:pPr>
                          <w:ind w:firstLineChars="100" w:firstLine="210"/>
                        </w:pPr>
                        <w:r>
                          <w:rPr>
                            <w:rFonts w:hint="eastAsia"/>
                          </w:rPr>
                          <w:t>一年内到期的非流动资产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4418C461" w14:textId="77777777" w:rsidR="007E7472" w:rsidRDefault="00C8327E">
                    <w:pPr>
                      <w:jc w:val="center"/>
                      <w:rPr>
                        <w:rFonts w:asciiTheme="majorEastAsia" w:eastAsiaTheme="majorEastAsia" w:hAnsiTheme="maj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05328F5D" w14:textId="77777777" w:rsidR="007E7472" w:rsidRDefault="00C832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7FB29941" w14:textId="77777777" w:rsidR="007E7472" w:rsidRDefault="00C8327E">
                    <w:pPr>
                      <w:jc w:val="right"/>
                    </w:pPr>
                  </w:p>
                </w:tc>
              </w:tr>
              <w:tr w:rsidR="007E7472" w14:paraId="3A19D624" w14:textId="77777777">
                <w:sdt>
                  <w:sdtPr>
                    <w:tag w:val="_PLD_62c79909426d483f990fd7869da0a773"/>
                    <w:id w:val="-213892713"/>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7F98A42" w14:textId="77777777" w:rsidR="007E7472" w:rsidRDefault="00EC1269">
                        <w:pPr>
                          <w:ind w:firstLineChars="100" w:firstLine="210"/>
                        </w:pPr>
                        <w:r>
                          <w:rPr>
                            <w:rFonts w:hint="eastAsia"/>
                          </w:rPr>
                          <w:t>其他流动资产</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5B39CAC3" w14:textId="77777777" w:rsidR="007E7472" w:rsidRDefault="00C8327E">
                    <w:pPr>
                      <w:jc w:val="center"/>
                      <w:rPr>
                        <w:rFonts w:asciiTheme="majorEastAsia" w:eastAsiaTheme="majorEastAsia" w:hAnsiTheme="maj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532481F1" w14:textId="77777777" w:rsidR="007E7472" w:rsidRDefault="00EC1269">
                    <w:pPr>
                      <w:jc w:val="right"/>
                    </w:pPr>
                    <w:r>
                      <w:t>2,197,129</w:t>
                    </w:r>
                  </w:p>
                </w:tc>
                <w:tc>
                  <w:tcPr>
                    <w:tcW w:w="1333" w:type="pct"/>
                    <w:tcBorders>
                      <w:top w:val="outset" w:sz="6" w:space="0" w:color="auto"/>
                      <w:left w:val="outset" w:sz="6" w:space="0" w:color="auto"/>
                      <w:bottom w:val="outset" w:sz="6" w:space="0" w:color="auto"/>
                      <w:right w:val="outset" w:sz="6" w:space="0" w:color="auto"/>
                    </w:tcBorders>
                    <w:vAlign w:val="center"/>
                  </w:tcPr>
                  <w:p w14:paraId="3A99D1FE" w14:textId="77777777" w:rsidR="007E7472" w:rsidRDefault="00EC1269">
                    <w:pPr>
                      <w:jc w:val="right"/>
                    </w:pPr>
                    <w:r>
                      <w:t>2,202,757</w:t>
                    </w:r>
                  </w:p>
                </w:tc>
              </w:tr>
              <w:tr w:rsidR="007E7472" w14:paraId="06C8E0F1" w14:textId="77777777">
                <w:sdt>
                  <w:sdtPr>
                    <w:tag w:val="_PLD_b5f1546085cd4f41ba16ec6a8b42ac7f"/>
                    <w:id w:val="-1594008876"/>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C38E6E4" w14:textId="77777777" w:rsidR="007E7472" w:rsidRDefault="00EC1269">
                        <w:pPr>
                          <w:ind w:firstLineChars="200" w:firstLine="420"/>
                        </w:pPr>
                        <w:r>
                          <w:rPr>
                            <w:rFonts w:hint="eastAsia"/>
                          </w:rPr>
                          <w:t>流动资产合计</w:t>
                        </w:r>
                      </w:p>
                    </w:tc>
                  </w:sdtContent>
                </w:sdt>
                <w:tc>
                  <w:tcPr>
                    <w:tcW w:w="627" w:type="pct"/>
                    <w:tcBorders>
                      <w:top w:val="outset" w:sz="6" w:space="0" w:color="auto"/>
                      <w:left w:val="outset" w:sz="6" w:space="0" w:color="auto"/>
                      <w:bottom w:val="outset" w:sz="6" w:space="0" w:color="auto"/>
                      <w:right w:val="outset" w:sz="6" w:space="0" w:color="auto"/>
                    </w:tcBorders>
                    <w:vAlign w:val="center"/>
                  </w:tcPr>
                  <w:p w14:paraId="7DFE7B10" w14:textId="77777777" w:rsidR="007E7472" w:rsidRDefault="00C8327E">
                    <w:pPr>
                      <w:jc w:val="center"/>
                      <w:rPr>
                        <w:rFonts w:asciiTheme="majorEastAsia" w:eastAsiaTheme="majorEastAsia" w:hAnsiTheme="maj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26C40488" w14:textId="77777777" w:rsidR="007E7472" w:rsidRDefault="00EC1269">
                    <w:pPr>
                      <w:jc w:val="right"/>
                    </w:pPr>
                    <w:r>
                      <w:t>63,495,474</w:t>
                    </w:r>
                  </w:p>
                </w:tc>
                <w:tc>
                  <w:tcPr>
                    <w:tcW w:w="1333" w:type="pct"/>
                    <w:tcBorders>
                      <w:top w:val="outset" w:sz="6" w:space="0" w:color="auto"/>
                      <w:left w:val="outset" w:sz="6" w:space="0" w:color="auto"/>
                      <w:bottom w:val="outset" w:sz="6" w:space="0" w:color="auto"/>
                      <w:right w:val="outset" w:sz="6" w:space="0" w:color="auto"/>
                    </w:tcBorders>
                    <w:vAlign w:val="center"/>
                  </w:tcPr>
                  <w:p w14:paraId="48EEA8A7" w14:textId="77777777" w:rsidR="007E7472" w:rsidRDefault="00EC1269">
                    <w:pPr>
                      <w:jc w:val="right"/>
                    </w:pPr>
                    <w:r>
                      <w:t>57,366,535</w:t>
                    </w:r>
                  </w:p>
                </w:tc>
              </w:tr>
              <w:tr w:rsidR="007E7472" w14:paraId="7E714DFC" w14:textId="77777777">
                <w:sdt>
                  <w:sdtPr>
                    <w:tag w:val="_PLD_71f45ac7535d4ffeaa6273d6527bae0d"/>
                    <w:id w:val="-911000222"/>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636A41F5" w14:textId="77777777" w:rsidR="007E7472" w:rsidRDefault="00EC1269">
                        <w:pPr>
                          <w:rPr>
                            <w:color w:val="008000"/>
                          </w:rPr>
                        </w:pPr>
                        <w:r>
                          <w:rPr>
                            <w:rFonts w:hint="eastAsia"/>
                            <w:b/>
                          </w:rPr>
                          <w:t>非流动资产：</w:t>
                        </w:r>
                      </w:p>
                    </w:tc>
                  </w:sdtContent>
                </w:sdt>
              </w:tr>
              <w:tr w:rsidR="007E7472" w14:paraId="6148750A" w14:textId="7777777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c2fbd80d951495a9e6e271d71a458e3"/>
                      <w:id w:val="563304373"/>
                    </w:sdtPr>
                    <w:sdtEndPr/>
                    <w:sdtContent>
                      <w:p w14:paraId="5BC9B1A9" w14:textId="77777777" w:rsidR="007E7472" w:rsidRDefault="00EC1269">
                        <w:pPr>
                          <w:ind w:firstLineChars="100" w:firstLine="210"/>
                        </w:pPr>
                        <w:r>
                          <w:rPr>
                            <w:rFonts w:hint="eastAsia"/>
                          </w:rPr>
                          <w:t>债权投资</w:t>
                        </w:r>
                      </w:p>
                    </w:sdtContent>
                  </w:sdt>
                </w:tc>
                <w:tc>
                  <w:tcPr>
                    <w:tcW w:w="627" w:type="pct"/>
                    <w:tcBorders>
                      <w:top w:val="outset" w:sz="6" w:space="0" w:color="auto"/>
                      <w:left w:val="outset" w:sz="6" w:space="0" w:color="auto"/>
                      <w:bottom w:val="outset" w:sz="6" w:space="0" w:color="auto"/>
                      <w:right w:val="outset" w:sz="6" w:space="0" w:color="auto"/>
                    </w:tcBorders>
                  </w:tcPr>
                  <w:p w14:paraId="63B176A3" w14:textId="77777777" w:rsidR="007E7472" w:rsidRDefault="00C8327E"/>
                </w:tc>
                <w:tc>
                  <w:tcPr>
                    <w:tcW w:w="1411" w:type="pct"/>
                    <w:tcBorders>
                      <w:top w:val="outset" w:sz="6" w:space="0" w:color="auto"/>
                      <w:left w:val="outset" w:sz="6" w:space="0" w:color="auto"/>
                      <w:bottom w:val="outset" w:sz="6" w:space="0" w:color="auto"/>
                      <w:right w:val="outset" w:sz="6" w:space="0" w:color="auto"/>
                    </w:tcBorders>
                    <w:vAlign w:val="center"/>
                  </w:tcPr>
                  <w:p w14:paraId="2A2127AE" w14:textId="77777777" w:rsidR="007E7472" w:rsidRDefault="00C832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54FBF73B" w14:textId="77777777" w:rsidR="007E7472" w:rsidRDefault="00C8327E">
                    <w:pPr>
                      <w:jc w:val="right"/>
                    </w:pPr>
                  </w:p>
                </w:tc>
              </w:tr>
              <w:tr w:rsidR="007E7472" w14:paraId="113C2DDE" w14:textId="7777777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e13bbca7370496690a32404c8d408c7"/>
                      <w:id w:val="150346773"/>
                    </w:sdtPr>
                    <w:sdtEndPr/>
                    <w:sdtContent>
                      <w:p w14:paraId="33BEDBF9" w14:textId="77777777" w:rsidR="007E7472" w:rsidRDefault="00EC1269">
                        <w:pPr>
                          <w:ind w:firstLineChars="100" w:firstLine="210"/>
                        </w:pPr>
                        <w:r>
                          <w:rPr>
                            <w:rFonts w:hint="eastAsia"/>
                          </w:rPr>
                          <w:t>其他债权投资</w:t>
                        </w:r>
                      </w:p>
                    </w:sdtContent>
                  </w:sdt>
                </w:tc>
                <w:tc>
                  <w:tcPr>
                    <w:tcW w:w="627" w:type="pct"/>
                    <w:tcBorders>
                      <w:top w:val="outset" w:sz="6" w:space="0" w:color="auto"/>
                      <w:left w:val="outset" w:sz="6" w:space="0" w:color="auto"/>
                      <w:bottom w:val="outset" w:sz="6" w:space="0" w:color="auto"/>
                      <w:right w:val="outset" w:sz="6" w:space="0" w:color="auto"/>
                    </w:tcBorders>
                  </w:tcPr>
                  <w:p w14:paraId="3C09A30B" w14:textId="77777777" w:rsidR="007E7472" w:rsidRDefault="00C8327E"/>
                </w:tc>
                <w:tc>
                  <w:tcPr>
                    <w:tcW w:w="1411" w:type="pct"/>
                    <w:tcBorders>
                      <w:top w:val="outset" w:sz="6" w:space="0" w:color="auto"/>
                      <w:left w:val="outset" w:sz="6" w:space="0" w:color="auto"/>
                      <w:bottom w:val="outset" w:sz="6" w:space="0" w:color="auto"/>
                      <w:right w:val="outset" w:sz="6" w:space="0" w:color="auto"/>
                    </w:tcBorders>
                    <w:vAlign w:val="center"/>
                  </w:tcPr>
                  <w:p w14:paraId="58C0B0B1" w14:textId="77777777" w:rsidR="007E7472" w:rsidRDefault="00C832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73474C04" w14:textId="77777777" w:rsidR="007E7472" w:rsidRDefault="00C8327E">
                    <w:pPr>
                      <w:jc w:val="right"/>
                    </w:pPr>
                  </w:p>
                </w:tc>
              </w:tr>
              <w:tr w:rsidR="007E7472" w14:paraId="46C6AAA3" w14:textId="77777777">
                <w:sdt>
                  <w:sdtPr>
                    <w:tag w:val="_PLD_6305d0ab634c4b40bd8df81ff23c8d0d"/>
                    <w:id w:val="-1926867330"/>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CB84D3A" w14:textId="77777777" w:rsidR="007E7472" w:rsidRDefault="00EC1269">
                        <w:pPr>
                          <w:ind w:firstLineChars="100" w:firstLine="210"/>
                        </w:pPr>
                        <w:r>
                          <w:rPr>
                            <w:rFonts w:hint="eastAsia"/>
                          </w:rPr>
                          <w:t>长期应收款</w:t>
                        </w:r>
                      </w:p>
                    </w:tc>
                  </w:sdtContent>
                </w:sdt>
                <w:tc>
                  <w:tcPr>
                    <w:tcW w:w="627" w:type="pct"/>
                    <w:tcBorders>
                      <w:top w:val="outset" w:sz="6" w:space="0" w:color="auto"/>
                      <w:left w:val="outset" w:sz="6" w:space="0" w:color="auto"/>
                      <w:bottom w:val="outset" w:sz="6" w:space="0" w:color="auto"/>
                      <w:right w:val="outset" w:sz="6" w:space="0" w:color="auto"/>
                    </w:tcBorders>
                  </w:tcPr>
                  <w:p w14:paraId="55779105" w14:textId="77777777" w:rsidR="007E7472" w:rsidRDefault="00C8327E"/>
                </w:tc>
                <w:tc>
                  <w:tcPr>
                    <w:tcW w:w="1411" w:type="pct"/>
                    <w:tcBorders>
                      <w:top w:val="outset" w:sz="6" w:space="0" w:color="auto"/>
                      <w:left w:val="outset" w:sz="6" w:space="0" w:color="auto"/>
                      <w:bottom w:val="outset" w:sz="6" w:space="0" w:color="auto"/>
                      <w:right w:val="outset" w:sz="6" w:space="0" w:color="auto"/>
                    </w:tcBorders>
                    <w:vAlign w:val="center"/>
                  </w:tcPr>
                  <w:p w14:paraId="67035CAF" w14:textId="77777777" w:rsidR="007E7472" w:rsidRDefault="00C832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070786AF" w14:textId="77777777" w:rsidR="007E7472" w:rsidRDefault="00C8327E">
                    <w:pPr>
                      <w:jc w:val="right"/>
                    </w:pPr>
                  </w:p>
                </w:tc>
              </w:tr>
              <w:tr w:rsidR="007E7472" w14:paraId="400368A8" w14:textId="77777777">
                <w:sdt>
                  <w:sdtPr>
                    <w:tag w:val="_PLD_fa3d0d37a62a4d8890171550ab1664b1"/>
                    <w:id w:val="1993753628"/>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E8CF87F" w14:textId="77777777" w:rsidR="007E7472" w:rsidRDefault="00EC1269">
                        <w:pPr>
                          <w:ind w:firstLineChars="100" w:firstLine="210"/>
                        </w:pPr>
                        <w:r>
                          <w:rPr>
                            <w:rFonts w:hint="eastAsia"/>
                          </w:rPr>
                          <w:t>长期股权投资</w:t>
                        </w:r>
                      </w:p>
                    </w:tc>
                  </w:sdtContent>
                </w:sdt>
                <w:tc>
                  <w:tcPr>
                    <w:tcW w:w="627" w:type="pct"/>
                    <w:tcBorders>
                      <w:top w:val="outset" w:sz="6" w:space="0" w:color="auto"/>
                      <w:left w:val="outset" w:sz="6" w:space="0" w:color="auto"/>
                      <w:bottom w:val="outset" w:sz="6" w:space="0" w:color="auto"/>
                      <w:right w:val="outset" w:sz="6" w:space="0" w:color="auto"/>
                    </w:tcBorders>
                  </w:tcPr>
                  <w:p w14:paraId="1125EC58" w14:textId="77777777" w:rsidR="007E7472" w:rsidRDefault="00EC1269">
                    <w:pPr>
                      <w:jc w:val="center"/>
                      <w:rPr>
                        <w:rFonts w:asciiTheme="majorEastAsia" w:eastAsiaTheme="majorEastAsia" w:hAnsiTheme="majorEastAsia"/>
                      </w:rPr>
                    </w:pPr>
                    <w:r>
                      <w:rPr>
                        <w:rFonts w:asciiTheme="majorEastAsia" w:eastAsiaTheme="majorEastAsia" w:hAnsiTheme="majorEastAsia" w:hint="eastAsia"/>
                      </w:rPr>
                      <w:t>十七、</w:t>
                    </w:r>
                    <w:r>
                      <w:rPr>
                        <w:rFonts w:asciiTheme="majorEastAsia" w:eastAsiaTheme="majorEastAsia" w:hAnsiTheme="majorEastAsia"/>
                      </w:rPr>
                      <w:t>3</w:t>
                    </w:r>
                  </w:p>
                </w:tc>
                <w:tc>
                  <w:tcPr>
                    <w:tcW w:w="1411" w:type="pct"/>
                    <w:tcBorders>
                      <w:top w:val="outset" w:sz="6" w:space="0" w:color="auto"/>
                      <w:left w:val="outset" w:sz="6" w:space="0" w:color="auto"/>
                      <w:bottom w:val="outset" w:sz="6" w:space="0" w:color="auto"/>
                      <w:right w:val="outset" w:sz="6" w:space="0" w:color="auto"/>
                    </w:tcBorders>
                    <w:vAlign w:val="center"/>
                  </w:tcPr>
                  <w:p w14:paraId="76E89507" w14:textId="77777777" w:rsidR="007E7472" w:rsidRDefault="00EC1269">
                    <w:pPr>
                      <w:jc w:val="right"/>
                    </w:pPr>
                    <w:r>
                      <w:t>96,098,455</w:t>
                    </w:r>
                  </w:p>
                </w:tc>
                <w:tc>
                  <w:tcPr>
                    <w:tcW w:w="1333" w:type="pct"/>
                    <w:tcBorders>
                      <w:top w:val="outset" w:sz="6" w:space="0" w:color="auto"/>
                      <w:left w:val="outset" w:sz="6" w:space="0" w:color="auto"/>
                      <w:bottom w:val="outset" w:sz="6" w:space="0" w:color="auto"/>
                      <w:right w:val="outset" w:sz="6" w:space="0" w:color="auto"/>
                    </w:tcBorders>
                    <w:vAlign w:val="center"/>
                  </w:tcPr>
                  <w:p w14:paraId="53AA1C10" w14:textId="77777777" w:rsidR="007E7472" w:rsidRDefault="00EC1269">
                    <w:pPr>
                      <w:jc w:val="right"/>
                    </w:pPr>
                    <w:r>
                      <w:t>95,004,801</w:t>
                    </w:r>
                  </w:p>
                </w:tc>
              </w:tr>
              <w:tr w:rsidR="007E7472" w14:paraId="661CCE5A" w14:textId="7777777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ff348e432d64b2db9dfbd6062b82eb5"/>
                      <w:id w:val="741833100"/>
                    </w:sdtPr>
                    <w:sdtEndPr/>
                    <w:sdtContent>
                      <w:p w14:paraId="5DD2BC83" w14:textId="77777777" w:rsidR="007E7472" w:rsidRDefault="00EC1269">
                        <w:pPr>
                          <w:ind w:firstLineChars="100" w:firstLine="210"/>
                        </w:pPr>
                        <w:r>
                          <w:rPr>
                            <w:rFonts w:hint="eastAsia"/>
                          </w:rPr>
                          <w:t>其他权益工具投资</w:t>
                        </w:r>
                      </w:p>
                    </w:sdtContent>
                  </w:sdt>
                </w:tc>
                <w:tc>
                  <w:tcPr>
                    <w:tcW w:w="627" w:type="pct"/>
                    <w:tcBorders>
                      <w:top w:val="outset" w:sz="6" w:space="0" w:color="auto"/>
                      <w:left w:val="outset" w:sz="6" w:space="0" w:color="auto"/>
                      <w:bottom w:val="outset" w:sz="6" w:space="0" w:color="auto"/>
                      <w:right w:val="outset" w:sz="6" w:space="0" w:color="auto"/>
                    </w:tcBorders>
                  </w:tcPr>
                  <w:p w14:paraId="7896D25E" w14:textId="77777777" w:rsidR="007E7472" w:rsidRDefault="00C8327E">
                    <w:pPr>
                      <w:jc w:val="center"/>
                      <w:rPr>
                        <w:rFonts w:asciiTheme="majorEastAsia" w:eastAsiaTheme="majorEastAsia" w:hAnsiTheme="majorEastAsia"/>
                      </w:rPr>
                    </w:pPr>
                  </w:p>
                </w:tc>
                <w:tc>
                  <w:tcPr>
                    <w:tcW w:w="1411" w:type="pct"/>
                    <w:tcBorders>
                      <w:top w:val="outset" w:sz="6" w:space="0" w:color="auto"/>
                      <w:left w:val="outset" w:sz="6" w:space="0" w:color="auto"/>
                      <w:bottom w:val="outset" w:sz="6" w:space="0" w:color="auto"/>
                      <w:right w:val="outset" w:sz="6" w:space="0" w:color="auto"/>
                    </w:tcBorders>
                    <w:vAlign w:val="center"/>
                  </w:tcPr>
                  <w:p w14:paraId="4D1145C0" w14:textId="77777777" w:rsidR="007E7472" w:rsidRDefault="00EC1269">
                    <w:pPr>
                      <w:jc w:val="right"/>
                    </w:pPr>
                    <w:r>
                      <w:t>4,154</w:t>
                    </w:r>
                  </w:p>
                </w:tc>
                <w:tc>
                  <w:tcPr>
                    <w:tcW w:w="1333" w:type="pct"/>
                    <w:tcBorders>
                      <w:top w:val="outset" w:sz="6" w:space="0" w:color="auto"/>
                      <w:left w:val="outset" w:sz="6" w:space="0" w:color="auto"/>
                      <w:bottom w:val="outset" w:sz="6" w:space="0" w:color="auto"/>
                      <w:right w:val="outset" w:sz="6" w:space="0" w:color="auto"/>
                    </w:tcBorders>
                    <w:vAlign w:val="center"/>
                  </w:tcPr>
                  <w:p w14:paraId="2AADBC48" w14:textId="77777777" w:rsidR="007E7472" w:rsidRDefault="00EC1269">
                    <w:pPr>
                      <w:jc w:val="right"/>
                    </w:pPr>
                    <w:r>
                      <w:t>4,211</w:t>
                    </w:r>
                  </w:p>
                </w:tc>
              </w:tr>
              <w:tr w:rsidR="007E7472" w14:paraId="095C1A8E" w14:textId="7777777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3127ce1ff284582992a5980b440c217"/>
                      <w:id w:val="1288780956"/>
                    </w:sdtPr>
                    <w:sdtEndPr/>
                    <w:sdtContent>
                      <w:p w14:paraId="7A25355F" w14:textId="77777777" w:rsidR="007E7472" w:rsidRDefault="00EC1269">
                        <w:pPr>
                          <w:ind w:firstLineChars="100" w:firstLine="210"/>
                        </w:pPr>
                        <w:r>
                          <w:rPr>
                            <w:rFonts w:hint="eastAsia"/>
                          </w:rPr>
                          <w:t>其他非流动金融资产</w:t>
                        </w:r>
                      </w:p>
                    </w:sdtContent>
                  </w:sdt>
                </w:tc>
                <w:tc>
                  <w:tcPr>
                    <w:tcW w:w="627" w:type="pct"/>
                    <w:tcBorders>
                      <w:top w:val="outset" w:sz="6" w:space="0" w:color="auto"/>
                      <w:left w:val="outset" w:sz="6" w:space="0" w:color="auto"/>
                      <w:bottom w:val="outset" w:sz="6" w:space="0" w:color="auto"/>
                      <w:right w:val="outset" w:sz="6" w:space="0" w:color="auto"/>
                    </w:tcBorders>
                  </w:tcPr>
                  <w:p w14:paraId="007D862F" w14:textId="77777777" w:rsidR="007E7472" w:rsidRDefault="00C8327E"/>
                </w:tc>
                <w:tc>
                  <w:tcPr>
                    <w:tcW w:w="1411" w:type="pct"/>
                    <w:tcBorders>
                      <w:top w:val="outset" w:sz="6" w:space="0" w:color="auto"/>
                      <w:left w:val="outset" w:sz="6" w:space="0" w:color="auto"/>
                      <w:bottom w:val="outset" w:sz="6" w:space="0" w:color="auto"/>
                      <w:right w:val="outset" w:sz="6" w:space="0" w:color="auto"/>
                    </w:tcBorders>
                    <w:vAlign w:val="center"/>
                  </w:tcPr>
                  <w:p w14:paraId="6A917889" w14:textId="77777777" w:rsidR="007E7472" w:rsidRDefault="00C832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69CA1A34" w14:textId="77777777" w:rsidR="007E7472" w:rsidRDefault="00C8327E">
                    <w:pPr>
                      <w:jc w:val="right"/>
                    </w:pPr>
                  </w:p>
                </w:tc>
              </w:tr>
              <w:tr w:rsidR="007E7472" w14:paraId="02C7A85C" w14:textId="77777777">
                <w:sdt>
                  <w:sdtPr>
                    <w:tag w:val="_PLD_d598b192b9aa4c77b3dbe14be0a567ae"/>
                    <w:id w:val="-1901430732"/>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D736F03" w14:textId="77777777" w:rsidR="007E7472" w:rsidRDefault="00EC1269">
                        <w:pPr>
                          <w:ind w:firstLineChars="100" w:firstLine="210"/>
                        </w:pPr>
                        <w:r>
                          <w:rPr>
                            <w:rFonts w:hint="eastAsia"/>
                          </w:rPr>
                          <w:t>投资性房地产</w:t>
                        </w:r>
                      </w:p>
                    </w:tc>
                  </w:sdtContent>
                </w:sdt>
                <w:tc>
                  <w:tcPr>
                    <w:tcW w:w="627" w:type="pct"/>
                    <w:tcBorders>
                      <w:top w:val="outset" w:sz="6" w:space="0" w:color="auto"/>
                      <w:left w:val="outset" w:sz="6" w:space="0" w:color="auto"/>
                      <w:bottom w:val="outset" w:sz="6" w:space="0" w:color="auto"/>
                      <w:right w:val="outset" w:sz="6" w:space="0" w:color="auto"/>
                    </w:tcBorders>
                  </w:tcPr>
                  <w:p w14:paraId="40768D1F" w14:textId="77777777" w:rsidR="007E7472" w:rsidRDefault="00C8327E"/>
                </w:tc>
                <w:tc>
                  <w:tcPr>
                    <w:tcW w:w="1411" w:type="pct"/>
                    <w:tcBorders>
                      <w:top w:val="outset" w:sz="6" w:space="0" w:color="auto"/>
                      <w:left w:val="outset" w:sz="6" w:space="0" w:color="auto"/>
                      <w:bottom w:val="outset" w:sz="6" w:space="0" w:color="auto"/>
                      <w:right w:val="outset" w:sz="6" w:space="0" w:color="auto"/>
                    </w:tcBorders>
                    <w:vAlign w:val="center"/>
                  </w:tcPr>
                  <w:p w14:paraId="1F10BF99" w14:textId="77777777" w:rsidR="007E7472" w:rsidRDefault="00C832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6093022F" w14:textId="77777777" w:rsidR="007E7472" w:rsidRDefault="00C8327E">
                    <w:pPr>
                      <w:jc w:val="right"/>
                    </w:pPr>
                  </w:p>
                </w:tc>
              </w:tr>
              <w:tr w:rsidR="007E7472" w14:paraId="56AFD648" w14:textId="77777777">
                <w:sdt>
                  <w:sdtPr>
                    <w:tag w:val="_PLD_36c5e0c04606490d92af21e793463b46"/>
                    <w:id w:val="-1292350820"/>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0927863" w14:textId="77777777" w:rsidR="007E7472" w:rsidRDefault="00EC1269">
                        <w:pPr>
                          <w:ind w:firstLineChars="100" w:firstLine="210"/>
                        </w:pPr>
                        <w:r>
                          <w:rPr>
                            <w:rFonts w:hint="eastAsia"/>
                          </w:rPr>
                          <w:t>固定资产</w:t>
                        </w:r>
                      </w:p>
                    </w:tc>
                  </w:sdtContent>
                </w:sdt>
                <w:tc>
                  <w:tcPr>
                    <w:tcW w:w="627" w:type="pct"/>
                    <w:tcBorders>
                      <w:top w:val="outset" w:sz="6" w:space="0" w:color="auto"/>
                      <w:left w:val="outset" w:sz="6" w:space="0" w:color="auto"/>
                      <w:bottom w:val="outset" w:sz="6" w:space="0" w:color="auto"/>
                      <w:right w:val="outset" w:sz="6" w:space="0" w:color="auto"/>
                    </w:tcBorders>
                  </w:tcPr>
                  <w:p w14:paraId="4E2132D3" w14:textId="77777777" w:rsidR="007E7472" w:rsidRDefault="00C8327E"/>
                </w:tc>
                <w:tc>
                  <w:tcPr>
                    <w:tcW w:w="1411" w:type="pct"/>
                    <w:tcBorders>
                      <w:top w:val="outset" w:sz="6" w:space="0" w:color="auto"/>
                      <w:left w:val="outset" w:sz="6" w:space="0" w:color="auto"/>
                      <w:bottom w:val="outset" w:sz="6" w:space="0" w:color="auto"/>
                      <w:right w:val="outset" w:sz="6" w:space="0" w:color="auto"/>
                    </w:tcBorders>
                    <w:vAlign w:val="center"/>
                  </w:tcPr>
                  <w:p w14:paraId="6AA7B6B8" w14:textId="77777777" w:rsidR="007E7472" w:rsidRDefault="00EC1269">
                    <w:pPr>
                      <w:jc w:val="right"/>
                    </w:pPr>
                    <w:r>
                      <w:t>10,671,406</w:t>
                    </w:r>
                  </w:p>
                </w:tc>
                <w:tc>
                  <w:tcPr>
                    <w:tcW w:w="1333" w:type="pct"/>
                    <w:tcBorders>
                      <w:top w:val="outset" w:sz="6" w:space="0" w:color="auto"/>
                      <w:left w:val="outset" w:sz="6" w:space="0" w:color="auto"/>
                      <w:bottom w:val="outset" w:sz="6" w:space="0" w:color="auto"/>
                      <w:right w:val="outset" w:sz="6" w:space="0" w:color="auto"/>
                    </w:tcBorders>
                    <w:vAlign w:val="center"/>
                  </w:tcPr>
                  <w:p w14:paraId="3F19AA87" w14:textId="77777777" w:rsidR="007E7472" w:rsidRDefault="00EC1269">
                    <w:pPr>
                      <w:jc w:val="right"/>
                    </w:pPr>
                    <w:r>
                      <w:t>10,700,907</w:t>
                    </w:r>
                  </w:p>
                </w:tc>
              </w:tr>
              <w:tr w:rsidR="007E7472" w14:paraId="6C5DDBF9" w14:textId="77777777">
                <w:sdt>
                  <w:sdtPr>
                    <w:tag w:val="_PLD_81cd0ff44d5a4f0e8701c556dd24e59c"/>
                    <w:id w:val="-131104840"/>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2BC6ECF" w14:textId="77777777" w:rsidR="007E7472" w:rsidRDefault="00EC1269">
                        <w:pPr>
                          <w:ind w:firstLineChars="100" w:firstLine="210"/>
                        </w:pPr>
                        <w:r>
                          <w:rPr>
                            <w:rFonts w:hint="eastAsia"/>
                          </w:rPr>
                          <w:t>在建工程</w:t>
                        </w:r>
                      </w:p>
                    </w:tc>
                  </w:sdtContent>
                </w:sdt>
                <w:tc>
                  <w:tcPr>
                    <w:tcW w:w="627" w:type="pct"/>
                    <w:tcBorders>
                      <w:top w:val="outset" w:sz="6" w:space="0" w:color="auto"/>
                      <w:left w:val="outset" w:sz="6" w:space="0" w:color="auto"/>
                      <w:bottom w:val="outset" w:sz="6" w:space="0" w:color="auto"/>
                      <w:right w:val="outset" w:sz="6" w:space="0" w:color="auto"/>
                    </w:tcBorders>
                  </w:tcPr>
                  <w:p w14:paraId="01F3CF33" w14:textId="77777777" w:rsidR="007E7472" w:rsidRDefault="00C8327E"/>
                </w:tc>
                <w:tc>
                  <w:tcPr>
                    <w:tcW w:w="1411" w:type="pct"/>
                    <w:tcBorders>
                      <w:top w:val="outset" w:sz="6" w:space="0" w:color="auto"/>
                      <w:left w:val="outset" w:sz="6" w:space="0" w:color="auto"/>
                      <w:bottom w:val="outset" w:sz="6" w:space="0" w:color="auto"/>
                      <w:right w:val="outset" w:sz="6" w:space="0" w:color="auto"/>
                    </w:tcBorders>
                    <w:vAlign w:val="center"/>
                  </w:tcPr>
                  <w:p w14:paraId="01607C65" w14:textId="77777777" w:rsidR="007E7472" w:rsidRDefault="00EC1269">
                    <w:pPr>
                      <w:jc w:val="right"/>
                    </w:pPr>
                    <w:r>
                      <w:t>2,284,554</w:t>
                    </w:r>
                  </w:p>
                </w:tc>
                <w:tc>
                  <w:tcPr>
                    <w:tcW w:w="1333" w:type="pct"/>
                    <w:tcBorders>
                      <w:top w:val="outset" w:sz="6" w:space="0" w:color="auto"/>
                      <w:left w:val="outset" w:sz="6" w:space="0" w:color="auto"/>
                      <w:bottom w:val="outset" w:sz="6" w:space="0" w:color="auto"/>
                      <w:right w:val="outset" w:sz="6" w:space="0" w:color="auto"/>
                    </w:tcBorders>
                    <w:vAlign w:val="center"/>
                  </w:tcPr>
                  <w:p w14:paraId="6D90F041" w14:textId="77777777" w:rsidR="007E7472" w:rsidRDefault="00EC1269">
                    <w:pPr>
                      <w:jc w:val="right"/>
                    </w:pPr>
                    <w:r>
                      <w:t>1,897,256</w:t>
                    </w:r>
                  </w:p>
                </w:tc>
              </w:tr>
              <w:tr w:rsidR="007E7472" w14:paraId="385973F2" w14:textId="77777777">
                <w:sdt>
                  <w:sdtPr>
                    <w:tag w:val="_PLD_74c33ad5ce6d42528b0c43102a02972c"/>
                    <w:id w:val="207920294"/>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7CCE1E8" w14:textId="77777777" w:rsidR="007E7472" w:rsidRDefault="00EC1269">
                        <w:pPr>
                          <w:ind w:firstLineChars="100" w:firstLine="210"/>
                        </w:pPr>
                        <w:r>
                          <w:rPr>
                            <w:rFonts w:hint="eastAsia"/>
                          </w:rPr>
                          <w:t>生产性生物资产</w:t>
                        </w:r>
                      </w:p>
                    </w:tc>
                  </w:sdtContent>
                </w:sdt>
                <w:tc>
                  <w:tcPr>
                    <w:tcW w:w="627" w:type="pct"/>
                    <w:tcBorders>
                      <w:top w:val="outset" w:sz="6" w:space="0" w:color="auto"/>
                      <w:left w:val="outset" w:sz="6" w:space="0" w:color="auto"/>
                      <w:bottom w:val="outset" w:sz="6" w:space="0" w:color="auto"/>
                      <w:right w:val="outset" w:sz="6" w:space="0" w:color="auto"/>
                    </w:tcBorders>
                  </w:tcPr>
                  <w:p w14:paraId="3A036443" w14:textId="77777777" w:rsidR="007E7472" w:rsidRDefault="00C8327E"/>
                </w:tc>
                <w:tc>
                  <w:tcPr>
                    <w:tcW w:w="1411" w:type="pct"/>
                    <w:tcBorders>
                      <w:top w:val="outset" w:sz="6" w:space="0" w:color="auto"/>
                      <w:left w:val="outset" w:sz="6" w:space="0" w:color="auto"/>
                      <w:bottom w:val="outset" w:sz="6" w:space="0" w:color="auto"/>
                      <w:right w:val="outset" w:sz="6" w:space="0" w:color="auto"/>
                    </w:tcBorders>
                    <w:vAlign w:val="center"/>
                  </w:tcPr>
                  <w:p w14:paraId="2F2A3628" w14:textId="77777777" w:rsidR="007E7472" w:rsidRDefault="00C832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016C71E1" w14:textId="77777777" w:rsidR="007E7472" w:rsidRDefault="00C8327E">
                    <w:pPr>
                      <w:jc w:val="right"/>
                    </w:pPr>
                  </w:p>
                </w:tc>
              </w:tr>
              <w:tr w:rsidR="007E7472" w14:paraId="42B1AD47" w14:textId="77777777">
                <w:sdt>
                  <w:sdtPr>
                    <w:tag w:val="_PLD_edcc58c83399408895b0a6d09d9073f2"/>
                    <w:id w:val="-88090102"/>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AC1CF06" w14:textId="77777777" w:rsidR="007E7472" w:rsidRDefault="00EC1269">
                        <w:pPr>
                          <w:ind w:firstLineChars="100" w:firstLine="210"/>
                        </w:pPr>
                        <w:r>
                          <w:rPr>
                            <w:rFonts w:hint="eastAsia"/>
                          </w:rPr>
                          <w:t>油气资产</w:t>
                        </w:r>
                      </w:p>
                    </w:tc>
                  </w:sdtContent>
                </w:sdt>
                <w:tc>
                  <w:tcPr>
                    <w:tcW w:w="627" w:type="pct"/>
                    <w:tcBorders>
                      <w:top w:val="outset" w:sz="6" w:space="0" w:color="auto"/>
                      <w:left w:val="outset" w:sz="6" w:space="0" w:color="auto"/>
                      <w:bottom w:val="outset" w:sz="6" w:space="0" w:color="auto"/>
                      <w:right w:val="outset" w:sz="6" w:space="0" w:color="auto"/>
                    </w:tcBorders>
                  </w:tcPr>
                  <w:p w14:paraId="583002C1" w14:textId="77777777" w:rsidR="007E7472" w:rsidRDefault="00C8327E"/>
                </w:tc>
                <w:tc>
                  <w:tcPr>
                    <w:tcW w:w="1411" w:type="pct"/>
                    <w:tcBorders>
                      <w:top w:val="outset" w:sz="6" w:space="0" w:color="auto"/>
                      <w:left w:val="outset" w:sz="6" w:space="0" w:color="auto"/>
                      <w:bottom w:val="outset" w:sz="6" w:space="0" w:color="auto"/>
                      <w:right w:val="outset" w:sz="6" w:space="0" w:color="auto"/>
                    </w:tcBorders>
                    <w:vAlign w:val="center"/>
                  </w:tcPr>
                  <w:p w14:paraId="44E67D54" w14:textId="77777777" w:rsidR="007E7472" w:rsidRDefault="00C832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5962E9D6" w14:textId="77777777" w:rsidR="007E7472" w:rsidRDefault="00C8327E">
                    <w:pPr>
                      <w:jc w:val="right"/>
                    </w:pPr>
                  </w:p>
                </w:tc>
              </w:tr>
              <w:tr w:rsidR="007E7472" w14:paraId="6D305443" w14:textId="7777777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d2c3b675df54b0b89d82ab1b691d06c"/>
                      <w:id w:val="507334733"/>
                    </w:sdtPr>
                    <w:sdtEndPr/>
                    <w:sdtContent>
                      <w:p w14:paraId="35516445" w14:textId="77777777" w:rsidR="007E7472" w:rsidRDefault="00EC1269">
                        <w:pPr>
                          <w:ind w:firstLineChars="100" w:firstLine="210"/>
                        </w:pPr>
                        <w:r>
                          <w:rPr>
                            <w:rFonts w:hint="eastAsia"/>
                          </w:rPr>
                          <w:t>使用权资产</w:t>
                        </w:r>
                      </w:p>
                    </w:sdtContent>
                  </w:sdt>
                </w:tc>
                <w:tc>
                  <w:tcPr>
                    <w:tcW w:w="627" w:type="pct"/>
                    <w:tcBorders>
                      <w:top w:val="outset" w:sz="6" w:space="0" w:color="auto"/>
                      <w:left w:val="outset" w:sz="6" w:space="0" w:color="auto"/>
                      <w:bottom w:val="outset" w:sz="6" w:space="0" w:color="auto"/>
                      <w:right w:val="outset" w:sz="6" w:space="0" w:color="auto"/>
                    </w:tcBorders>
                  </w:tcPr>
                  <w:p w14:paraId="0E807EFD" w14:textId="77777777" w:rsidR="007E7472" w:rsidRDefault="00C8327E"/>
                </w:tc>
                <w:tc>
                  <w:tcPr>
                    <w:tcW w:w="1411" w:type="pct"/>
                    <w:tcBorders>
                      <w:top w:val="outset" w:sz="6" w:space="0" w:color="auto"/>
                      <w:left w:val="outset" w:sz="6" w:space="0" w:color="auto"/>
                      <w:bottom w:val="outset" w:sz="6" w:space="0" w:color="auto"/>
                      <w:right w:val="outset" w:sz="6" w:space="0" w:color="auto"/>
                    </w:tcBorders>
                    <w:vAlign w:val="center"/>
                  </w:tcPr>
                  <w:p w14:paraId="7294742B" w14:textId="77777777" w:rsidR="007E7472" w:rsidRDefault="00EC1269">
                    <w:pPr>
                      <w:jc w:val="right"/>
                    </w:pPr>
                    <w:r>
                      <w:t>6,121,438</w:t>
                    </w:r>
                  </w:p>
                </w:tc>
                <w:tc>
                  <w:tcPr>
                    <w:tcW w:w="1333" w:type="pct"/>
                    <w:tcBorders>
                      <w:top w:val="outset" w:sz="6" w:space="0" w:color="auto"/>
                      <w:left w:val="outset" w:sz="6" w:space="0" w:color="auto"/>
                      <w:bottom w:val="outset" w:sz="6" w:space="0" w:color="auto"/>
                      <w:right w:val="outset" w:sz="6" w:space="0" w:color="auto"/>
                    </w:tcBorders>
                    <w:vAlign w:val="center"/>
                  </w:tcPr>
                  <w:p w14:paraId="443981AB" w14:textId="77777777" w:rsidR="007E7472" w:rsidRDefault="00EC1269">
                    <w:pPr>
                      <w:jc w:val="right"/>
                    </w:pPr>
                    <w:r>
                      <w:t>6,606,462</w:t>
                    </w:r>
                  </w:p>
                </w:tc>
              </w:tr>
              <w:tr w:rsidR="007E7472" w14:paraId="4AADA05B" w14:textId="77777777">
                <w:sdt>
                  <w:sdtPr>
                    <w:tag w:val="_PLD_e97c32de07ca406c995520445e6dffbf"/>
                    <w:id w:val="-358740098"/>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21D71B1" w14:textId="77777777" w:rsidR="007E7472" w:rsidRDefault="00EC1269">
                        <w:pPr>
                          <w:ind w:firstLineChars="100" w:firstLine="210"/>
                        </w:pPr>
                        <w:r>
                          <w:rPr>
                            <w:rFonts w:hint="eastAsia"/>
                          </w:rPr>
                          <w:t>无形资产</w:t>
                        </w:r>
                      </w:p>
                    </w:tc>
                  </w:sdtContent>
                </w:sdt>
                <w:tc>
                  <w:tcPr>
                    <w:tcW w:w="627" w:type="pct"/>
                    <w:tcBorders>
                      <w:top w:val="outset" w:sz="6" w:space="0" w:color="auto"/>
                      <w:left w:val="outset" w:sz="6" w:space="0" w:color="auto"/>
                      <w:bottom w:val="outset" w:sz="6" w:space="0" w:color="auto"/>
                      <w:right w:val="outset" w:sz="6" w:space="0" w:color="auto"/>
                    </w:tcBorders>
                  </w:tcPr>
                  <w:p w14:paraId="6E9F8E1B" w14:textId="77777777" w:rsidR="007E7472" w:rsidRDefault="00C8327E"/>
                </w:tc>
                <w:tc>
                  <w:tcPr>
                    <w:tcW w:w="1411" w:type="pct"/>
                    <w:tcBorders>
                      <w:top w:val="outset" w:sz="6" w:space="0" w:color="auto"/>
                      <w:left w:val="outset" w:sz="6" w:space="0" w:color="auto"/>
                      <w:bottom w:val="outset" w:sz="6" w:space="0" w:color="auto"/>
                      <w:right w:val="outset" w:sz="6" w:space="0" w:color="auto"/>
                    </w:tcBorders>
                    <w:vAlign w:val="center"/>
                  </w:tcPr>
                  <w:p w14:paraId="7A1B96EB" w14:textId="77777777" w:rsidR="007E7472" w:rsidRDefault="00EC1269">
                    <w:pPr>
                      <w:jc w:val="right"/>
                    </w:pPr>
                    <w:r>
                      <w:t>983,648</w:t>
                    </w:r>
                  </w:p>
                </w:tc>
                <w:tc>
                  <w:tcPr>
                    <w:tcW w:w="1333" w:type="pct"/>
                    <w:tcBorders>
                      <w:top w:val="outset" w:sz="6" w:space="0" w:color="auto"/>
                      <w:left w:val="outset" w:sz="6" w:space="0" w:color="auto"/>
                      <w:bottom w:val="outset" w:sz="6" w:space="0" w:color="auto"/>
                      <w:right w:val="outset" w:sz="6" w:space="0" w:color="auto"/>
                    </w:tcBorders>
                    <w:vAlign w:val="center"/>
                  </w:tcPr>
                  <w:p w14:paraId="0F79B1FB" w14:textId="77777777" w:rsidR="007E7472" w:rsidRDefault="00EC1269">
                    <w:pPr>
                      <w:jc w:val="right"/>
                    </w:pPr>
                    <w:r>
                      <w:t>1,057,554</w:t>
                    </w:r>
                  </w:p>
                </w:tc>
              </w:tr>
              <w:tr w:rsidR="007E7472" w14:paraId="4390E764" w14:textId="77777777">
                <w:sdt>
                  <w:sdtPr>
                    <w:tag w:val="_PLD_f4ffd10790ec4e6bb2e54090fd20cdea"/>
                    <w:id w:val="-1676564497"/>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1EDA96A" w14:textId="77777777" w:rsidR="007E7472" w:rsidRDefault="00EC1269">
                        <w:pPr>
                          <w:ind w:firstLineChars="100" w:firstLine="210"/>
                        </w:pPr>
                        <w:r>
                          <w:rPr>
                            <w:rFonts w:hint="eastAsia"/>
                          </w:rPr>
                          <w:t>开发支出</w:t>
                        </w:r>
                      </w:p>
                    </w:tc>
                  </w:sdtContent>
                </w:sdt>
                <w:tc>
                  <w:tcPr>
                    <w:tcW w:w="627" w:type="pct"/>
                    <w:tcBorders>
                      <w:top w:val="outset" w:sz="6" w:space="0" w:color="auto"/>
                      <w:left w:val="outset" w:sz="6" w:space="0" w:color="auto"/>
                      <w:bottom w:val="outset" w:sz="6" w:space="0" w:color="auto"/>
                      <w:right w:val="outset" w:sz="6" w:space="0" w:color="auto"/>
                    </w:tcBorders>
                  </w:tcPr>
                  <w:p w14:paraId="1588FFA2" w14:textId="77777777" w:rsidR="007E7472" w:rsidRDefault="00C8327E"/>
                </w:tc>
                <w:tc>
                  <w:tcPr>
                    <w:tcW w:w="1411" w:type="pct"/>
                    <w:tcBorders>
                      <w:top w:val="outset" w:sz="6" w:space="0" w:color="auto"/>
                      <w:left w:val="outset" w:sz="6" w:space="0" w:color="auto"/>
                      <w:bottom w:val="outset" w:sz="6" w:space="0" w:color="auto"/>
                      <w:right w:val="outset" w:sz="6" w:space="0" w:color="auto"/>
                    </w:tcBorders>
                    <w:vAlign w:val="center"/>
                  </w:tcPr>
                  <w:p w14:paraId="43C39F34" w14:textId="77777777" w:rsidR="007E7472" w:rsidRDefault="00C832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42BF64F5" w14:textId="77777777" w:rsidR="007E7472" w:rsidRDefault="00C8327E">
                    <w:pPr>
                      <w:jc w:val="right"/>
                    </w:pPr>
                  </w:p>
                </w:tc>
              </w:tr>
              <w:tr w:rsidR="007E7472" w14:paraId="52F91388" w14:textId="77777777">
                <w:sdt>
                  <w:sdtPr>
                    <w:tag w:val="_PLD_8ab7a8967dca44f3b2bd0ec65150e937"/>
                    <w:id w:val="-649438195"/>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909BFBF" w14:textId="77777777" w:rsidR="007E7472" w:rsidRDefault="00EC1269">
                        <w:pPr>
                          <w:ind w:firstLineChars="100" w:firstLine="210"/>
                        </w:pPr>
                        <w:r>
                          <w:rPr>
                            <w:rFonts w:hint="eastAsia"/>
                          </w:rPr>
                          <w:t>商誉</w:t>
                        </w:r>
                      </w:p>
                    </w:tc>
                  </w:sdtContent>
                </w:sdt>
                <w:tc>
                  <w:tcPr>
                    <w:tcW w:w="627" w:type="pct"/>
                    <w:tcBorders>
                      <w:top w:val="outset" w:sz="6" w:space="0" w:color="auto"/>
                      <w:left w:val="outset" w:sz="6" w:space="0" w:color="auto"/>
                      <w:bottom w:val="outset" w:sz="6" w:space="0" w:color="auto"/>
                      <w:right w:val="outset" w:sz="6" w:space="0" w:color="auto"/>
                    </w:tcBorders>
                  </w:tcPr>
                  <w:p w14:paraId="760DC2BF" w14:textId="77777777" w:rsidR="007E7472" w:rsidRDefault="00C8327E"/>
                </w:tc>
                <w:tc>
                  <w:tcPr>
                    <w:tcW w:w="1411" w:type="pct"/>
                    <w:tcBorders>
                      <w:top w:val="outset" w:sz="6" w:space="0" w:color="auto"/>
                      <w:left w:val="outset" w:sz="6" w:space="0" w:color="auto"/>
                      <w:bottom w:val="outset" w:sz="6" w:space="0" w:color="auto"/>
                      <w:right w:val="outset" w:sz="6" w:space="0" w:color="auto"/>
                    </w:tcBorders>
                    <w:vAlign w:val="center"/>
                  </w:tcPr>
                  <w:p w14:paraId="08F51AB7" w14:textId="77777777" w:rsidR="007E7472" w:rsidRDefault="00C832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3E0EA5BD" w14:textId="77777777" w:rsidR="007E7472" w:rsidRDefault="00C8327E">
                    <w:pPr>
                      <w:jc w:val="right"/>
                    </w:pPr>
                  </w:p>
                </w:tc>
              </w:tr>
              <w:tr w:rsidR="007E7472" w14:paraId="0F8581F4" w14:textId="77777777">
                <w:sdt>
                  <w:sdtPr>
                    <w:tag w:val="_PLD_c056001bc1b3464fb0b5268a537d7ec4"/>
                    <w:id w:val="-1310014473"/>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86F3A5F" w14:textId="77777777" w:rsidR="007E7472" w:rsidRDefault="00EC1269">
                        <w:pPr>
                          <w:ind w:firstLineChars="100" w:firstLine="210"/>
                        </w:pPr>
                        <w:r>
                          <w:rPr>
                            <w:rFonts w:hint="eastAsia"/>
                          </w:rPr>
                          <w:t>长期待摊费用</w:t>
                        </w:r>
                      </w:p>
                    </w:tc>
                  </w:sdtContent>
                </w:sdt>
                <w:tc>
                  <w:tcPr>
                    <w:tcW w:w="627" w:type="pct"/>
                    <w:tcBorders>
                      <w:top w:val="outset" w:sz="6" w:space="0" w:color="auto"/>
                      <w:left w:val="outset" w:sz="6" w:space="0" w:color="auto"/>
                      <w:bottom w:val="outset" w:sz="6" w:space="0" w:color="auto"/>
                      <w:right w:val="outset" w:sz="6" w:space="0" w:color="auto"/>
                    </w:tcBorders>
                  </w:tcPr>
                  <w:p w14:paraId="1E1F32EB" w14:textId="77777777" w:rsidR="007E7472" w:rsidRDefault="00C8327E"/>
                </w:tc>
                <w:tc>
                  <w:tcPr>
                    <w:tcW w:w="1411" w:type="pct"/>
                    <w:tcBorders>
                      <w:top w:val="outset" w:sz="6" w:space="0" w:color="auto"/>
                      <w:left w:val="outset" w:sz="6" w:space="0" w:color="auto"/>
                      <w:bottom w:val="outset" w:sz="6" w:space="0" w:color="auto"/>
                      <w:right w:val="outset" w:sz="6" w:space="0" w:color="auto"/>
                    </w:tcBorders>
                    <w:vAlign w:val="center"/>
                  </w:tcPr>
                  <w:p w14:paraId="2DF12422" w14:textId="77777777" w:rsidR="007E7472" w:rsidRDefault="00EC1269">
                    <w:pPr>
                      <w:jc w:val="right"/>
                    </w:pPr>
                    <w:r>
                      <w:t>1,917</w:t>
                    </w:r>
                  </w:p>
                </w:tc>
                <w:tc>
                  <w:tcPr>
                    <w:tcW w:w="1333" w:type="pct"/>
                    <w:tcBorders>
                      <w:top w:val="outset" w:sz="6" w:space="0" w:color="auto"/>
                      <w:left w:val="outset" w:sz="6" w:space="0" w:color="auto"/>
                      <w:bottom w:val="outset" w:sz="6" w:space="0" w:color="auto"/>
                      <w:right w:val="outset" w:sz="6" w:space="0" w:color="auto"/>
                    </w:tcBorders>
                    <w:vAlign w:val="center"/>
                  </w:tcPr>
                  <w:p w14:paraId="17040020" w14:textId="77777777" w:rsidR="007E7472" w:rsidRDefault="00EC1269">
                    <w:pPr>
                      <w:jc w:val="right"/>
                    </w:pPr>
                    <w:r>
                      <w:t>2,302</w:t>
                    </w:r>
                  </w:p>
                </w:tc>
              </w:tr>
              <w:tr w:rsidR="007E7472" w14:paraId="0223A686" w14:textId="77777777">
                <w:sdt>
                  <w:sdtPr>
                    <w:tag w:val="_PLD_8c08fa756eba4bf89ad37621da0216df"/>
                    <w:id w:val="1302734158"/>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FD71535" w14:textId="77777777" w:rsidR="007E7472" w:rsidRDefault="00EC1269">
                        <w:pPr>
                          <w:ind w:firstLineChars="100" w:firstLine="210"/>
                        </w:pPr>
                        <w:r>
                          <w:rPr>
                            <w:rFonts w:hint="eastAsia"/>
                          </w:rPr>
                          <w:t>递延所得税资产</w:t>
                        </w:r>
                      </w:p>
                    </w:tc>
                  </w:sdtContent>
                </w:sdt>
                <w:tc>
                  <w:tcPr>
                    <w:tcW w:w="627" w:type="pct"/>
                    <w:tcBorders>
                      <w:top w:val="outset" w:sz="6" w:space="0" w:color="auto"/>
                      <w:left w:val="outset" w:sz="6" w:space="0" w:color="auto"/>
                      <w:bottom w:val="outset" w:sz="6" w:space="0" w:color="auto"/>
                      <w:right w:val="outset" w:sz="6" w:space="0" w:color="auto"/>
                    </w:tcBorders>
                  </w:tcPr>
                  <w:p w14:paraId="49554222" w14:textId="77777777" w:rsidR="007E7472" w:rsidRDefault="00C8327E"/>
                </w:tc>
                <w:tc>
                  <w:tcPr>
                    <w:tcW w:w="1411" w:type="pct"/>
                    <w:tcBorders>
                      <w:top w:val="outset" w:sz="6" w:space="0" w:color="auto"/>
                      <w:left w:val="outset" w:sz="6" w:space="0" w:color="auto"/>
                      <w:bottom w:val="outset" w:sz="6" w:space="0" w:color="auto"/>
                      <w:right w:val="outset" w:sz="6" w:space="0" w:color="auto"/>
                    </w:tcBorders>
                    <w:vAlign w:val="center"/>
                  </w:tcPr>
                  <w:p w14:paraId="66D6EED0" w14:textId="77777777" w:rsidR="007E7472" w:rsidRDefault="00EC1269">
                    <w:pPr>
                      <w:jc w:val="right"/>
                    </w:pPr>
                    <w:r>
                      <w:t>1,254,077</w:t>
                    </w:r>
                  </w:p>
                </w:tc>
                <w:tc>
                  <w:tcPr>
                    <w:tcW w:w="1333" w:type="pct"/>
                    <w:tcBorders>
                      <w:top w:val="outset" w:sz="6" w:space="0" w:color="auto"/>
                      <w:left w:val="outset" w:sz="6" w:space="0" w:color="auto"/>
                      <w:bottom w:val="outset" w:sz="6" w:space="0" w:color="auto"/>
                      <w:right w:val="outset" w:sz="6" w:space="0" w:color="auto"/>
                    </w:tcBorders>
                    <w:vAlign w:val="center"/>
                  </w:tcPr>
                  <w:p w14:paraId="5E9480F2" w14:textId="77777777" w:rsidR="007E7472" w:rsidRDefault="00EC1269">
                    <w:pPr>
                      <w:jc w:val="right"/>
                    </w:pPr>
                    <w:r>
                      <w:t>1,115,003</w:t>
                    </w:r>
                  </w:p>
                </w:tc>
              </w:tr>
              <w:tr w:rsidR="007E7472" w14:paraId="0F8A4D2C" w14:textId="77777777">
                <w:sdt>
                  <w:sdtPr>
                    <w:tag w:val="_PLD_2c72539456a6441ab49e4634f35d3b45"/>
                    <w:id w:val="1929924318"/>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CB817A8" w14:textId="77777777" w:rsidR="007E7472" w:rsidRDefault="00EC1269">
                        <w:pPr>
                          <w:ind w:firstLineChars="100" w:firstLine="210"/>
                        </w:pPr>
                        <w:r>
                          <w:rPr>
                            <w:rFonts w:hint="eastAsia"/>
                          </w:rPr>
                          <w:t>其他非流动资产</w:t>
                        </w:r>
                      </w:p>
                    </w:tc>
                  </w:sdtContent>
                </w:sdt>
                <w:tc>
                  <w:tcPr>
                    <w:tcW w:w="627" w:type="pct"/>
                    <w:tcBorders>
                      <w:top w:val="outset" w:sz="6" w:space="0" w:color="auto"/>
                      <w:left w:val="outset" w:sz="6" w:space="0" w:color="auto"/>
                      <w:bottom w:val="outset" w:sz="6" w:space="0" w:color="auto"/>
                      <w:right w:val="outset" w:sz="6" w:space="0" w:color="auto"/>
                    </w:tcBorders>
                  </w:tcPr>
                  <w:p w14:paraId="2D704B9F" w14:textId="77777777" w:rsidR="007E7472" w:rsidRDefault="00C8327E"/>
                </w:tc>
                <w:tc>
                  <w:tcPr>
                    <w:tcW w:w="1411" w:type="pct"/>
                    <w:tcBorders>
                      <w:top w:val="outset" w:sz="6" w:space="0" w:color="auto"/>
                      <w:left w:val="outset" w:sz="6" w:space="0" w:color="auto"/>
                      <w:bottom w:val="outset" w:sz="6" w:space="0" w:color="auto"/>
                      <w:right w:val="outset" w:sz="6" w:space="0" w:color="auto"/>
                    </w:tcBorders>
                    <w:vAlign w:val="center"/>
                  </w:tcPr>
                  <w:p w14:paraId="4811D719" w14:textId="77777777" w:rsidR="007E7472" w:rsidRDefault="00EC1269">
                    <w:pPr>
                      <w:jc w:val="right"/>
                    </w:pPr>
                    <w:r>
                      <w:t>118,154</w:t>
                    </w:r>
                  </w:p>
                </w:tc>
                <w:tc>
                  <w:tcPr>
                    <w:tcW w:w="1333" w:type="pct"/>
                    <w:tcBorders>
                      <w:top w:val="outset" w:sz="6" w:space="0" w:color="auto"/>
                      <w:left w:val="outset" w:sz="6" w:space="0" w:color="auto"/>
                      <w:bottom w:val="outset" w:sz="6" w:space="0" w:color="auto"/>
                      <w:right w:val="outset" w:sz="6" w:space="0" w:color="auto"/>
                    </w:tcBorders>
                    <w:vAlign w:val="center"/>
                  </w:tcPr>
                  <w:p w14:paraId="6F75A6BB" w14:textId="77777777" w:rsidR="007E7472" w:rsidRDefault="00EC1269">
                    <w:pPr>
                      <w:jc w:val="right"/>
                    </w:pPr>
                    <w:r>
                      <w:t>118,154</w:t>
                    </w:r>
                  </w:p>
                </w:tc>
              </w:tr>
              <w:tr w:rsidR="007E7472" w14:paraId="291AEDD9" w14:textId="77777777">
                <w:sdt>
                  <w:sdtPr>
                    <w:tag w:val="_PLD_0584991385414bca8cca9a7a9f5fabfd"/>
                    <w:id w:val="-531189893"/>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7BF4090" w14:textId="77777777" w:rsidR="007E7472" w:rsidRDefault="00EC1269">
                        <w:pPr>
                          <w:ind w:firstLineChars="200" w:firstLine="420"/>
                        </w:pPr>
                        <w:r>
                          <w:rPr>
                            <w:rFonts w:hint="eastAsia"/>
                          </w:rPr>
                          <w:t>非流动资产合计</w:t>
                        </w:r>
                      </w:p>
                    </w:tc>
                  </w:sdtContent>
                </w:sdt>
                <w:tc>
                  <w:tcPr>
                    <w:tcW w:w="627" w:type="pct"/>
                    <w:tcBorders>
                      <w:top w:val="outset" w:sz="6" w:space="0" w:color="auto"/>
                      <w:left w:val="outset" w:sz="6" w:space="0" w:color="auto"/>
                      <w:bottom w:val="outset" w:sz="6" w:space="0" w:color="auto"/>
                      <w:right w:val="outset" w:sz="6" w:space="0" w:color="auto"/>
                    </w:tcBorders>
                  </w:tcPr>
                  <w:p w14:paraId="0F1CBB44" w14:textId="77777777" w:rsidR="007E7472" w:rsidRDefault="00C8327E"/>
                </w:tc>
                <w:tc>
                  <w:tcPr>
                    <w:tcW w:w="1411" w:type="pct"/>
                    <w:tcBorders>
                      <w:top w:val="outset" w:sz="6" w:space="0" w:color="auto"/>
                      <w:left w:val="outset" w:sz="6" w:space="0" w:color="auto"/>
                      <w:bottom w:val="outset" w:sz="6" w:space="0" w:color="auto"/>
                      <w:right w:val="outset" w:sz="6" w:space="0" w:color="auto"/>
                    </w:tcBorders>
                    <w:vAlign w:val="center"/>
                  </w:tcPr>
                  <w:p w14:paraId="5C48E935" w14:textId="77777777" w:rsidR="007E7472" w:rsidRDefault="00EC1269">
                    <w:pPr>
                      <w:jc w:val="right"/>
                    </w:pPr>
                    <w:r>
                      <w:t>117,537,803</w:t>
                    </w:r>
                  </w:p>
                </w:tc>
                <w:tc>
                  <w:tcPr>
                    <w:tcW w:w="1333" w:type="pct"/>
                    <w:tcBorders>
                      <w:top w:val="outset" w:sz="6" w:space="0" w:color="auto"/>
                      <w:left w:val="outset" w:sz="6" w:space="0" w:color="auto"/>
                      <w:bottom w:val="outset" w:sz="6" w:space="0" w:color="auto"/>
                      <w:right w:val="outset" w:sz="6" w:space="0" w:color="auto"/>
                    </w:tcBorders>
                    <w:vAlign w:val="center"/>
                  </w:tcPr>
                  <w:p w14:paraId="7427775C" w14:textId="77777777" w:rsidR="007E7472" w:rsidRDefault="00EC1269">
                    <w:pPr>
                      <w:jc w:val="right"/>
                    </w:pPr>
                    <w:r>
                      <w:t>116,506,650</w:t>
                    </w:r>
                  </w:p>
                </w:tc>
              </w:tr>
              <w:tr w:rsidR="007E7472" w14:paraId="14B620F2" w14:textId="77777777">
                <w:sdt>
                  <w:sdtPr>
                    <w:tag w:val="_PLD_064f3b6fe172472c8abf2e1bf1a2b68a"/>
                    <w:id w:val="1945489134"/>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9236731" w14:textId="77777777" w:rsidR="007E7472" w:rsidRDefault="00EC1269">
                        <w:pPr>
                          <w:ind w:firstLineChars="300" w:firstLine="630"/>
                        </w:pPr>
                        <w:r>
                          <w:rPr>
                            <w:rFonts w:hint="eastAsia"/>
                          </w:rPr>
                          <w:t>资产总计</w:t>
                        </w:r>
                      </w:p>
                    </w:tc>
                  </w:sdtContent>
                </w:sdt>
                <w:tc>
                  <w:tcPr>
                    <w:tcW w:w="627" w:type="pct"/>
                    <w:tcBorders>
                      <w:top w:val="outset" w:sz="6" w:space="0" w:color="auto"/>
                      <w:left w:val="outset" w:sz="6" w:space="0" w:color="auto"/>
                      <w:bottom w:val="outset" w:sz="6" w:space="0" w:color="auto"/>
                      <w:right w:val="outset" w:sz="6" w:space="0" w:color="auto"/>
                    </w:tcBorders>
                  </w:tcPr>
                  <w:p w14:paraId="2E3A6F9C" w14:textId="77777777" w:rsidR="007E7472" w:rsidRDefault="00C8327E"/>
                </w:tc>
                <w:tc>
                  <w:tcPr>
                    <w:tcW w:w="1411" w:type="pct"/>
                    <w:tcBorders>
                      <w:top w:val="outset" w:sz="6" w:space="0" w:color="auto"/>
                      <w:left w:val="outset" w:sz="6" w:space="0" w:color="auto"/>
                      <w:bottom w:val="outset" w:sz="6" w:space="0" w:color="auto"/>
                      <w:right w:val="outset" w:sz="6" w:space="0" w:color="auto"/>
                    </w:tcBorders>
                    <w:vAlign w:val="center"/>
                  </w:tcPr>
                  <w:p w14:paraId="12D87EFA" w14:textId="77777777" w:rsidR="007E7472" w:rsidRDefault="00EC1269">
                    <w:pPr>
                      <w:jc w:val="right"/>
                    </w:pPr>
                    <w:r>
                      <w:t>181,033,277</w:t>
                    </w:r>
                  </w:p>
                </w:tc>
                <w:tc>
                  <w:tcPr>
                    <w:tcW w:w="1333" w:type="pct"/>
                    <w:tcBorders>
                      <w:top w:val="outset" w:sz="6" w:space="0" w:color="auto"/>
                      <w:left w:val="outset" w:sz="6" w:space="0" w:color="auto"/>
                      <w:bottom w:val="outset" w:sz="6" w:space="0" w:color="auto"/>
                      <w:right w:val="outset" w:sz="6" w:space="0" w:color="auto"/>
                    </w:tcBorders>
                    <w:vAlign w:val="center"/>
                  </w:tcPr>
                  <w:p w14:paraId="168C055B" w14:textId="77777777" w:rsidR="007E7472" w:rsidRDefault="00EC1269">
                    <w:pPr>
                      <w:jc w:val="right"/>
                    </w:pPr>
                    <w:r>
                      <w:t>173,873,185</w:t>
                    </w:r>
                  </w:p>
                </w:tc>
              </w:tr>
              <w:tr w:rsidR="007E7472" w14:paraId="580C5610" w14:textId="77777777">
                <w:sdt>
                  <w:sdtPr>
                    <w:tag w:val="_PLD_380943e088034c15ad8af33927d58d1b"/>
                    <w:id w:val="-82078060"/>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2A1A8FD3" w14:textId="77777777" w:rsidR="007E7472" w:rsidRDefault="00EC1269">
                        <w:pPr>
                          <w:rPr>
                            <w:color w:val="FF00FF"/>
                          </w:rPr>
                        </w:pPr>
                        <w:r>
                          <w:rPr>
                            <w:rFonts w:hint="eastAsia"/>
                            <w:b/>
                          </w:rPr>
                          <w:t>流动负债：</w:t>
                        </w:r>
                      </w:p>
                    </w:tc>
                  </w:sdtContent>
                </w:sdt>
              </w:tr>
              <w:tr w:rsidR="007E7472" w14:paraId="1977AB4E" w14:textId="77777777">
                <w:sdt>
                  <w:sdtPr>
                    <w:tag w:val="_PLD_43de8e9c3fff4ed09c99de434527ef0d"/>
                    <w:id w:val="132372595"/>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C4E776E" w14:textId="77777777" w:rsidR="007E7472" w:rsidRDefault="00EC1269">
                        <w:pPr>
                          <w:ind w:firstLineChars="100" w:firstLine="210"/>
                        </w:pPr>
                        <w:r>
                          <w:rPr>
                            <w:rFonts w:hint="eastAsia"/>
                          </w:rPr>
                          <w:t>短期借款</w:t>
                        </w:r>
                      </w:p>
                    </w:tc>
                  </w:sdtContent>
                </w:sdt>
                <w:tc>
                  <w:tcPr>
                    <w:tcW w:w="627" w:type="pct"/>
                    <w:tcBorders>
                      <w:top w:val="outset" w:sz="6" w:space="0" w:color="auto"/>
                      <w:left w:val="outset" w:sz="6" w:space="0" w:color="auto"/>
                      <w:bottom w:val="outset" w:sz="6" w:space="0" w:color="auto"/>
                      <w:right w:val="outset" w:sz="6" w:space="0" w:color="auto"/>
                    </w:tcBorders>
                  </w:tcPr>
                  <w:p w14:paraId="1948AC14" w14:textId="77777777" w:rsidR="007E7472" w:rsidRDefault="00C8327E"/>
                </w:tc>
                <w:tc>
                  <w:tcPr>
                    <w:tcW w:w="1411" w:type="pct"/>
                    <w:tcBorders>
                      <w:top w:val="outset" w:sz="6" w:space="0" w:color="auto"/>
                      <w:left w:val="outset" w:sz="6" w:space="0" w:color="auto"/>
                      <w:bottom w:val="outset" w:sz="6" w:space="0" w:color="auto"/>
                      <w:right w:val="outset" w:sz="6" w:space="0" w:color="auto"/>
                    </w:tcBorders>
                    <w:vAlign w:val="center"/>
                  </w:tcPr>
                  <w:p w14:paraId="13FE2B26" w14:textId="77777777" w:rsidR="007E7472" w:rsidRDefault="00EC1269">
                    <w:pPr>
                      <w:jc w:val="right"/>
                    </w:pPr>
                    <w:r>
                      <w:t>5,600,000</w:t>
                    </w:r>
                  </w:p>
                </w:tc>
                <w:tc>
                  <w:tcPr>
                    <w:tcW w:w="1333" w:type="pct"/>
                    <w:tcBorders>
                      <w:top w:val="outset" w:sz="6" w:space="0" w:color="auto"/>
                      <w:left w:val="outset" w:sz="6" w:space="0" w:color="auto"/>
                      <w:bottom w:val="outset" w:sz="6" w:space="0" w:color="auto"/>
                      <w:right w:val="outset" w:sz="6" w:space="0" w:color="auto"/>
                    </w:tcBorders>
                    <w:vAlign w:val="center"/>
                  </w:tcPr>
                  <w:p w14:paraId="18CA06E8" w14:textId="77777777" w:rsidR="007E7472" w:rsidRDefault="00EC1269">
                    <w:pPr>
                      <w:jc w:val="right"/>
                    </w:pPr>
                    <w:r>
                      <w:t>2,300,000</w:t>
                    </w:r>
                  </w:p>
                </w:tc>
              </w:tr>
              <w:tr w:rsidR="007E7472" w14:paraId="28464725" w14:textId="7777777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c16a31b429943b78fc30663bc4be1b8"/>
                      <w:id w:val="442123461"/>
                    </w:sdtPr>
                    <w:sdtEndPr/>
                    <w:sdtContent>
                      <w:p w14:paraId="1EF38B95" w14:textId="77777777" w:rsidR="007E7472" w:rsidRDefault="00EC1269">
                        <w:pPr>
                          <w:ind w:firstLineChars="100" w:firstLine="210"/>
                        </w:pPr>
                        <w:r>
                          <w:rPr>
                            <w:rFonts w:hint="eastAsia"/>
                          </w:rPr>
                          <w:t>交易性金融负债</w:t>
                        </w:r>
                      </w:p>
                    </w:sdtContent>
                  </w:sdt>
                </w:tc>
                <w:tc>
                  <w:tcPr>
                    <w:tcW w:w="627" w:type="pct"/>
                    <w:tcBorders>
                      <w:top w:val="outset" w:sz="6" w:space="0" w:color="auto"/>
                      <w:left w:val="outset" w:sz="6" w:space="0" w:color="auto"/>
                      <w:bottom w:val="outset" w:sz="6" w:space="0" w:color="auto"/>
                      <w:right w:val="outset" w:sz="6" w:space="0" w:color="auto"/>
                    </w:tcBorders>
                  </w:tcPr>
                  <w:p w14:paraId="003E881C" w14:textId="77777777" w:rsidR="007E7472" w:rsidRDefault="00C8327E"/>
                </w:tc>
                <w:tc>
                  <w:tcPr>
                    <w:tcW w:w="1411" w:type="pct"/>
                    <w:tcBorders>
                      <w:top w:val="outset" w:sz="6" w:space="0" w:color="auto"/>
                      <w:left w:val="outset" w:sz="6" w:space="0" w:color="auto"/>
                      <w:bottom w:val="outset" w:sz="6" w:space="0" w:color="auto"/>
                      <w:right w:val="outset" w:sz="6" w:space="0" w:color="auto"/>
                    </w:tcBorders>
                    <w:vAlign w:val="center"/>
                  </w:tcPr>
                  <w:p w14:paraId="79F83764" w14:textId="77777777" w:rsidR="007E7472" w:rsidRDefault="00C832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4271F163" w14:textId="77777777" w:rsidR="007E7472" w:rsidRDefault="00C8327E">
                    <w:pPr>
                      <w:jc w:val="right"/>
                    </w:pPr>
                  </w:p>
                </w:tc>
              </w:tr>
              <w:tr w:rsidR="007E7472" w14:paraId="642D98CD" w14:textId="77777777">
                <w:sdt>
                  <w:sdtPr>
                    <w:tag w:val="_PLD_9ca7ab0d48474bdbb62e5ad7f94b7c27"/>
                    <w:id w:val="2138599731"/>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B242AAA" w14:textId="77777777" w:rsidR="007E7472" w:rsidRDefault="00EC1269">
                        <w:pPr>
                          <w:ind w:firstLineChars="100" w:firstLine="210"/>
                        </w:pPr>
                        <w:r>
                          <w:rPr>
                            <w:rFonts w:hint="eastAsia"/>
                          </w:rPr>
                          <w:t>衍生金融负债</w:t>
                        </w:r>
                      </w:p>
                    </w:tc>
                  </w:sdtContent>
                </w:sdt>
                <w:tc>
                  <w:tcPr>
                    <w:tcW w:w="627" w:type="pct"/>
                    <w:tcBorders>
                      <w:top w:val="outset" w:sz="6" w:space="0" w:color="auto"/>
                      <w:left w:val="outset" w:sz="6" w:space="0" w:color="auto"/>
                      <w:bottom w:val="outset" w:sz="6" w:space="0" w:color="auto"/>
                      <w:right w:val="outset" w:sz="6" w:space="0" w:color="auto"/>
                    </w:tcBorders>
                  </w:tcPr>
                  <w:p w14:paraId="25857588" w14:textId="77777777" w:rsidR="007E7472" w:rsidRDefault="00C8327E"/>
                </w:tc>
                <w:tc>
                  <w:tcPr>
                    <w:tcW w:w="1411" w:type="pct"/>
                    <w:tcBorders>
                      <w:top w:val="outset" w:sz="6" w:space="0" w:color="auto"/>
                      <w:left w:val="outset" w:sz="6" w:space="0" w:color="auto"/>
                      <w:bottom w:val="outset" w:sz="6" w:space="0" w:color="auto"/>
                      <w:right w:val="outset" w:sz="6" w:space="0" w:color="auto"/>
                    </w:tcBorders>
                    <w:vAlign w:val="center"/>
                  </w:tcPr>
                  <w:p w14:paraId="0BFA979C" w14:textId="77777777" w:rsidR="007E7472" w:rsidRDefault="00C832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2796EDCD" w14:textId="77777777" w:rsidR="007E7472" w:rsidRDefault="00C8327E">
                    <w:pPr>
                      <w:jc w:val="right"/>
                    </w:pPr>
                  </w:p>
                </w:tc>
              </w:tr>
              <w:tr w:rsidR="007E7472" w14:paraId="0B27C02E" w14:textId="77777777">
                <w:sdt>
                  <w:sdtPr>
                    <w:tag w:val="_PLD_ef54e09967474f6490bedae105a3d5af"/>
                    <w:id w:val="261817243"/>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44BEDAE" w14:textId="77777777" w:rsidR="007E7472" w:rsidRDefault="00EC1269">
                        <w:pPr>
                          <w:ind w:firstLineChars="100" w:firstLine="210"/>
                        </w:pPr>
                        <w:r>
                          <w:rPr>
                            <w:rFonts w:hint="eastAsia"/>
                          </w:rPr>
                          <w:t>应付票据</w:t>
                        </w:r>
                      </w:p>
                    </w:tc>
                  </w:sdtContent>
                </w:sdt>
                <w:tc>
                  <w:tcPr>
                    <w:tcW w:w="627" w:type="pct"/>
                    <w:tcBorders>
                      <w:top w:val="outset" w:sz="6" w:space="0" w:color="auto"/>
                      <w:left w:val="outset" w:sz="6" w:space="0" w:color="auto"/>
                      <w:bottom w:val="outset" w:sz="6" w:space="0" w:color="auto"/>
                      <w:right w:val="outset" w:sz="6" w:space="0" w:color="auto"/>
                    </w:tcBorders>
                  </w:tcPr>
                  <w:p w14:paraId="2FE9F3B2" w14:textId="77777777" w:rsidR="007E7472" w:rsidRDefault="00C8327E"/>
                </w:tc>
                <w:tc>
                  <w:tcPr>
                    <w:tcW w:w="1411" w:type="pct"/>
                    <w:tcBorders>
                      <w:top w:val="outset" w:sz="6" w:space="0" w:color="auto"/>
                      <w:left w:val="outset" w:sz="6" w:space="0" w:color="auto"/>
                      <w:bottom w:val="outset" w:sz="6" w:space="0" w:color="auto"/>
                      <w:right w:val="outset" w:sz="6" w:space="0" w:color="auto"/>
                    </w:tcBorders>
                    <w:vAlign w:val="center"/>
                  </w:tcPr>
                  <w:p w14:paraId="3D36B214" w14:textId="77777777" w:rsidR="007E7472" w:rsidRDefault="00EC1269">
                    <w:pPr>
                      <w:jc w:val="right"/>
                    </w:pPr>
                    <w:r>
                      <w:t>3,361,596</w:t>
                    </w:r>
                  </w:p>
                </w:tc>
                <w:tc>
                  <w:tcPr>
                    <w:tcW w:w="1333" w:type="pct"/>
                    <w:tcBorders>
                      <w:top w:val="outset" w:sz="6" w:space="0" w:color="auto"/>
                      <w:left w:val="outset" w:sz="6" w:space="0" w:color="auto"/>
                      <w:bottom w:val="outset" w:sz="6" w:space="0" w:color="auto"/>
                      <w:right w:val="outset" w:sz="6" w:space="0" w:color="auto"/>
                    </w:tcBorders>
                    <w:vAlign w:val="center"/>
                  </w:tcPr>
                  <w:p w14:paraId="765A8EDE" w14:textId="77777777" w:rsidR="007E7472" w:rsidRDefault="00EC1269">
                    <w:pPr>
                      <w:jc w:val="right"/>
                    </w:pPr>
                    <w:r>
                      <w:t>2,809,321</w:t>
                    </w:r>
                  </w:p>
                </w:tc>
              </w:tr>
              <w:tr w:rsidR="007E7472" w14:paraId="68917580" w14:textId="77777777">
                <w:sdt>
                  <w:sdtPr>
                    <w:tag w:val="_PLD_73f601396ff94f55ba0d9f4f04bea3f7"/>
                    <w:id w:val="-1900125798"/>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F045CFC" w14:textId="77777777" w:rsidR="007E7472" w:rsidRDefault="00EC1269">
                        <w:pPr>
                          <w:ind w:firstLineChars="100" w:firstLine="210"/>
                        </w:pPr>
                        <w:r>
                          <w:rPr>
                            <w:rFonts w:hint="eastAsia"/>
                          </w:rPr>
                          <w:t>应付账款</w:t>
                        </w:r>
                      </w:p>
                    </w:tc>
                  </w:sdtContent>
                </w:sdt>
                <w:tc>
                  <w:tcPr>
                    <w:tcW w:w="627" w:type="pct"/>
                    <w:tcBorders>
                      <w:top w:val="outset" w:sz="6" w:space="0" w:color="auto"/>
                      <w:left w:val="outset" w:sz="6" w:space="0" w:color="auto"/>
                      <w:bottom w:val="outset" w:sz="6" w:space="0" w:color="auto"/>
                      <w:right w:val="outset" w:sz="6" w:space="0" w:color="auto"/>
                    </w:tcBorders>
                  </w:tcPr>
                  <w:p w14:paraId="356FF2D5" w14:textId="77777777" w:rsidR="007E7472" w:rsidRDefault="00C8327E"/>
                </w:tc>
                <w:tc>
                  <w:tcPr>
                    <w:tcW w:w="1411" w:type="pct"/>
                    <w:tcBorders>
                      <w:top w:val="outset" w:sz="6" w:space="0" w:color="auto"/>
                      <w:left w:val="outset" w:sz="6" w:space="0" w:color="auto"/>
                      <w:bottom w:val="outset" w:sz="6" w:space="0" w:color="auto"/>
                      <w:right w:val="outset" w:sz="6" w:space="0" w:color="auto"/>
                    </w:tcBorders>
                    <w:vAlign w:val="center"/>
                  </w:tcPr>
                  <w:p w14:paraId="22C3B391" w14:textId="77777777" w:rsidR="007E7472" w:rsidRDefault="00EC1269">
                    <w:pPr>
                      <w:jc w:val="right"/>
                    </w:pPr>
                    <w:r>
                      <w:t>3,955,666</w:t>
                    </w:r>
                  </w:p>
                </w:tc>
                <w:tc>
                  <w:tcPr>
                    <w:tcW w:w="1333" w:type="pct"/>
                    <w:tcBorders>
                      <w:top w:val="outset" w:sz="6" w:space="0" w:color="auto"/>
                      <w:left w:val="outset" w:sz="6" w:space="0" w:color="auto"/>
                      <w:bottom w:val="outset" w:sz="6" w:space="0" w:color="auto"/>
                      <w:right w:val="outset" w:sz="6" w:space="0" w:color="auto"/>
                    </w:tcBorders>
                    <w:vAlign w:val="center"/>
                  </w:tcPr>
                  <w:p w14:paraId="48CC8184" w14:textId="77777777" w:rsidR="007E7472" w:rsidRDefault="00EC1269">
                    <w:pPr>
                      <w:jc w:val="right"/>
                    </w:pPr>
                    <w:r>
                      <w:t>6,170,641</w:t>
                    </w:r>
                  </w:p>
                </w:tc>
              </w:tr>
              <w:tr w:rsidR="007E7472" w14:paraId="2C9D0E28" w14:textId="77777777">
                <w:sdt>
                  <w:sdtPr>
                    <w:tag w:val="_PLD_8d33cba97f8f47758fee51d65c9dfe52"/>
                    <w:id w:val="-1384866257"/>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F559375" w14:textId="77777777" w:rsidR="007E7472" w:rsidRDefault="00EC1269">
                        <w:pPr>
                          <w:ind w:firstLineChars="100" w:firstLine="210"/>
                        </w:pPr>
                        <w:r>
                          <w:rPr>
                            <w:rFonts w:hint="eastAsia"/>
                          </w:rPr>
                          <w:t>预收款项</w:t>
                        </w:r>
                      </w:p>
                    </w:tc>
                  </w:sdtContent>
                </w:sdt>
                <w:tc>
                  <w:tcPr>
                    <w:tcW w:w="627" w:type="pct"/>
                    <w:tcBorders>
                      <w:top w:val="outset" w:sz="6" w:space="0" w:color="auto"/>
                      <w:left w:val="outset" w:sz="6" w:space="0" w:color="auto"/>
                      <w:bottom w:val="outset" w:sz="6" w:space="0" w:color="auto"/>
                      <w:right w:val="outset" w:sz="6" w:space="0" w:color="auto"/>
                    </w:tcBorders>
                  </w:tcPr>
                  <w:p w14:paraId="0106AED3" w14:textId="77777777" w:rsidR="007E7472" w:rsidRDefault="00C8327E"/>
                </w:tc>
                <w:tc>
                  <w:tcPr>
                    <w:tcW w:w="1411" w:type="pct"/>
                    <w:tcBorders>
                      <w:top w:val="outset" w:sz="6" w:space="0" w:color="auto"/>
                      <w:left w:val="outset" w:sz="6" w:space="0" w:color="auto"/>
                      <w:bottom w:val="outset" w:sz="6" w:space="0" w:color="auto"/>
                      <w:right w:val="outset" w:sz="6" w:space="0" w:color="auto"/>
                    </w:tcBorders>
                    <w:vAlign w:val="center"/>
                  </w:tcPr>
                  <w:p w14:paraId="786D746B" w14:textId="77777777" w:rsidR="007E7472" w:rsidRDefault="00C832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1A182DAD" w14:textId="77777777" w:rsidR="007E7472" w:rsidRDefault="00C8327E">
                    <w:pPr>
                      <w:jc w:val="right"/>
                    </w:pPr>
                  </w:p>
                </w:tc>
              </w:tr>
              <w:tr w:rsidR="007E7472" w14:paraId="1A3E62D6" w14:textId="77777777">
                <w:tc>
                  <w:tcPr>
                    <w:tcW w:w="162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7a9889c00684dd48ad945fce53e8274"/>
                      <w:id w:val="-1028260766"/>
                    </w:sdtPr>
                    <w:sdtEndPr/>
                    <w:sdtContent>
                      <w:p w14:paraId="2034D2E0" w14:textId="77777777" w:rsidR="007E7472" w:rsidRDefault="00EC1269">
                        <w:pPr>
                          <w:ind w:firstLineChars="100" w:firstLine="210"/>
                        </w:pPr>
                        <w:r>
                          <w:rPr>
                            <w:rFonts w:hint="eastAsia"/>
                          </w:rPr>
                          <w:t>合同负债</w:t>
                        </w:r>
                      </w:p>
                    </w:sdtContent>
                  </w:sdt>
                </w:tc>
                <w:tc>
                  <w:tcPr>
                    <w:tcW w:w="627" w:type="pct"/>
                    <w:tcBorders>
                      <w:top w:val="outset" w:sz="6" w:space="0" w:color="auto"/>
                      <w:left w:val="outset" w:sz="6" w:space="0" w:color="auto"/>
                      <w:bottom w:val="outset" w:sz="6" w:space="0" w:color="auto"/>
                      <w:right w:val="outset" w:sz="6" w:space="0" w:color="auto"/>
                    </w:tcBorders>
                  </w:tcPr>
                  <w:p w14:paraId="258A93A6" w14:textId="77777777" w:rsidR="007E7472" w:rsidRDefault="00C8327E"/>
                </w:tc>
                <w:tc>
                  <w:tcPr>
                    <w:tcW w:w="1411" w:type="pct"/>
                    <w:tcBorders>
                      <w:top w:val="outset" w:sz="6" w:space="0" w:color="auto"/>
                      <w:left w:val="outset" w:sz="6" w:space="0" w:color="auto"/>
                      <w:bottom w:val="outset" w:sz="6" w:space="0" w:color="auto"/>
                      <w:right w:val="outset" w:sz="6" w:space="0" w:color="auto"/>
                    </w:tcBorders>
                    <w:vAlign w:val="center"/>
                  </w:tcPr>
                  <w:p w14:paraId="504F0A97" w14:textId="77777777" w:rsidR="007E7472" w:rsidRDefault="00EC1269">
                    <w:pPr>
                      <w:jc w:val="right"/>
                    </w:pPr>
                    <w:r>
                      <w:t>819,657</w:t>
                    </w:r>
                  </w:p>
                </w:tc>
                <w:tc>
                  <w:tcPr>
                    <w:tcW w:w="1333" w:type="pct"/>
                    <w:tcBorders>
                      <w:top w:val="outset" w:sz="6" w:space="0" w:color="auto"/>
                      <w:left w:val="outset" w:sz="6" w:space="0" w:color="auto"/>
                      <w:bottom w:val="outset" w:sz="6" w:space="0" w:color="auto"/>
                      <w:right w:val="outset" w:sz="6" w:space="0" w:color="auto"/>
                    </w:tcBorders>
                    <w:vAlign w:val="center"/>
                  </w:tcPr>
                  <w:p w14:paraId="0356210B" w14:textId="77777777" w:rsidR="007E7472" w:rsidRDefault="00EC1269">
                    <w:pPr>
                      <w:jc w:val="right"/>
                    </w:pPr>
                    <w:r>
                      <w:t>795,632</w:t>
                    </w:r>
                  </w:p>
                </w:tc>
              </w:tr>
              <w:tr w:rsidR="007E7472" w14:paraId="19BCDE76" w14:textId="77777777">
                <w:sdt>
                  <w:sdtPr>
                    <w:tag w:val="_PLD_5179db1f484045d98b88860edc153236"/>
                    <w:id w:val="-1481682588"/>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6627C4A" w14:textId="77777777" w:rsidR="007E7472" w:rsidRDefault="00EC1269">
                        <w:pPr>
                          <w:ind w:firstLineChars="100" w:firstLine="210"/>
                        </w:pPr>
                        <w:r>
                          <w:rPr>
                            <w:rFonts w:hint="eastAsia"/>
                          </w:rPr>
                          <w:t>应付职工薪酬</w:t>
                        </w:r>
                      </w:p>
                    </w:tc>
                  </w:sdtContent>
                </w:sdt>
                <w:tc>
                  <w:tcPr>
                    <w:tcW w:w="627" w:type="pct"/>
                    <w:tcBorders>
                      <w:top w:val="outset" w:sz="6" w:space="0" w:color="auto"/>
                      <w:left w:val="outset" w:sz="6" w:space="0" w:color="auto"/>
                      <w:bottom w:val="outset" w:sz="6" w:space="0" w:color="auto"/>
                      <w:right w:val="outset" w:sz="6" w:space="0" w:color="auto"/>
                    </w:tcBorders>
                  </w:tcPr>
                  <w:p w14:paraId="6B4706D6" w14:textId="77777777" w:rsidR="007E7472" w:rsidRDefault="00C8327E"/>
                </w:tc>
                <w:tc>
                  <w:tcPr>
                    <w:tcW w:w="1411" w:type="pct"/>
                    <w:tcBorders>
                      <w:top w:val="outset" w:sz="6" w:space="0" w:color="auto"/>
                      <w:left w:val="outset" w:sz="6" w:space="0" w:color="auto"/>
                      <w:bottom w:val="outset" w:sz="6" w:space="0" w:color="auto"/>
                      <w:right w:val="outset" w:sz="6" w:space="0" w:color="auto"/>
                    </w:tcBorders>
                    <w:vAlign w:val="center"/>
                  </w:tcPr>
                  <w:p w14:paraId="1EDE256C" w14:textId="77777777" w:rsidR="007E7472" w:rsidRDefault="00EC1269">
                    <w:pPr>
                      <w:jc w:val="right"/>
                    </w:pPr>
                    <w:r>
                      <w:t>657,790</w:t>
                    </w:r>
                  </w:p>
                </w:tc>
                <w:tc>
                  <w:tcPr>
                    <w:tcW w:w="1333" w:type="pct"/>
                    <w:tcBorders>
                      <w:top w:val="outset" w:sz="6" w:space="0" w:color="auto"/>
                      <w:left w:val="outset" w:sz="6" w:space="0" w:color="auto"/>
                      <w:bottom w:val="outset" w:sz="6" w:space="0" w:color="auto"/>
                      <w:right w:val="outset" w:sz="6" w:space="0" w:color="auto"/>
                    </w:tcBorders>
                    <w:vAlign w:val="center"/>
                  </w:tcPr>
                  <w:p w14:paraId="4B4E6671" w14:textId="77777777" w:rsidR="007E7472" w:rsidRDefault="00EC1269">
                    <w:pPr>
                      <w:jc w:val="right"/>
                    </w:pPr>
                    <w:r>
                      <w:t>838,745</w:t>
                    </w:r>
                  </w:p>
                </w:tc>
              </w:tr>
              <w:tr w:rsidR="007E7472" w14:paraId="3EDB8F91" w14:textId="77777777">
                <w:sdt>
                  <w:sdtPr>
                    <w:tag w:val="_PLD_f9c6f095658e40b2a72d3d8b778fd72b"/>
                    <w:id w:val="-1146969292"/>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DAF0D6F" w14:textId="77777777" w:rsidR="007E7472" w:rsidRDefault="00EC1269">
                        <w:pPr>
                          <w:ind w:firstLineChars="100" w:firstLine="210"/>
                        </w:pPr>
                        <w:r>
                          <w:rPr>
                            <w:rFonts w:hint="eastAsia"/>
                          </w:rPr>
                          <w:t>应交税费</w:t>
                        </w:r>
                      </w:p>
                    </w:tc>
                  </w:sdtContent>
                </w:sdt>
                <w:tc>
                  <w:tcPr>
                    <w:tcW w:w="627" w:type="pct"/>
                    <w:tcBorders>
                      <w:top w:val="outset" w:sz="6" w:space="0" w:color="auto"/>
                      <w:left w:val="outset" w:sz="6" w:space="0" w:color="auto"/>
                      <w:bottom w:val="outset" w:sz="6" w:space="0" w:color="auto"/>
                      <w:right w:val="outset" w:sz="6" w:space="0" w:color="auto"/>
                    </w:tcBorders>
                  </w:tcPr>
                  <w:p w14:paraId="3FA360D9" w14:textId="77777777" w:rsidR="007E7472" w:rsidRDefault="00C8327E"/>
                </w:tc>
                <w:tc>
                  <w:tcPr>
                    <w:tcW w:w="1411" w:type="pct"/>
                    <w:tcBorders>
                      <w:top w:val="outset" w:sz="6" w:space="0" w:color="auto"/>
                      <w:left w:val="outset" w:sz="6" w:space="0" w:color="auto"/>
                      <w:bottom w:val="outset" w:sz="6" w:space="0" w:color="auto"/>
                      <w:right w:val="outset" w:sz="6" w:space="0" w:color="auto"/>
                    </w:tcBorders>
                    <w:vAlign w:val="center"/>
                  </w:tcPr>
                  <w:p w14:paraId="79C732AE" w14:textId="77777777" w:rsidR="007E7472" w:rsidRDefault="00EC1269">
                    <w:pPr>
                      <w:jc w:val="right"/>
                    </w:pPr>
                    <w:r>
                      <w:t>1,068,458</w:t>
                    </w:r>
                  </w:p>
                </w:tc>
                <w:tc>
                  <w:tcPr>
                    <w:tcW w:w="1333" w:type="pct"/>
                    <w:tcBorders>
                      <w:top w:val="outset" w:sz="6" w:space="0" w:color="auto"/>
                      <w:left w:val="outset" w:sz="6" w:space="0" w:color="auto"/>
                      <w:bottom w:val="outset" w:sz="6" w:space="0" w:color="auto"/>
                      <w:right w:val="outset" w:sz="6" w:space="0" w:color="auto"/>
                    </w:tcBorders>
                    <w:vAlign w:val="center"/>
                  </w:tcPr>
                  <w:p w14:paraId="69F032D9" w14:textId="77777777" w:rsidR="007E7472" w:rsidRDefault="00EC1269">
                    <w:pPr>
                      <w:jc w:val="right"/>
                    </w:pPr>
                    <w:r>
                      <w:t>2,222,655</w:t>
                    </w:r>
                  </w:p>
                </w:tc>
              </w:tr>
              <w:tr w:rsidR="007E7472" w14:paraId="5C9FD7B4" w14:textId="77777777">
                <w:sdt>
                  <w:sdtPr>
                    <w:tag w:val="_PLD_c490ad2cbccd426084cbcc4f5ffff983"/>
                    <w:id w:val="1456677016"/>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81F7443" w14:textId="77777777" w:rsidR="007E7472" w:rsidRDefault="00EC1269">
                        <w:pPr>
                          <w:ind w:firstLineChars="100" w:firstLine="210"/>
                        </w:pPr>
                        <w:r>
                          <w:rPr>
                            <w:rFonts w:hint="eastAsia"/>
                          </w:rPr>
                          <w:t>其他应付款</w:t>
                        </w:r>
                      </w:p>
                    </w:tc>
                  </w:sdtContent>
                </w:sdt>
                <w:tc>
                  <w:tcPr>
                    <w:tcW w:w="627" w:type="pct"/>
                    <w:tcBorders>
                      <w:top w:val="outset" w:sz="6" w:space="0" w:color="auto"/>
                      <w:left w:val="outset" w:sz="6" w:space="0" w:color="auto"/>
                      <w:bottom w:val="outset" w:sz="6" w:space="0" w:color="auto"/>
                      <w:right w:val="outset" w:sz="6" w:space="0" w:color="auto"/>
                    </w:tcBorders>
                  </w:tcPr>
                  <w:p w14:paraId="39BBE5DD" w14:textId="77777777" w:rsidR="007E7472" w:rsidRDefault="00C8327E"/>
                </w:tc>
                <w:tc>
                  <w:tcPr>
                    <w:tcW w:w="1411" w:type="pct"/>
                    <w:tcBorders>
                      <w:top w:val="outset" w:sz="6" w:space="0" w:color="auto"/>
                      <w:left w:val="outset" w:sz="6" w:space="0" w:color="auto"/>
                      <w:bottom w:val="outset" w:sz="6" w:space="0" w:color="auto"/>
                      <w:right w:val="outset" w:sz="6" w:space="0" w:color="auto"/>
                    </w:tcBorders>
                    <w:vAlign w:val="center"/>
                  </w:tcPr>
                  <w:p w14:paraId="786E199C" w14:textId="77777777" w:rsidR="007E7472" w:rsidRDefault="00EC1269">
                    <w:pPr>
                      <w:jc w:val="right"/>
                    </w:pPr>
                    <w:r>
                      <w:t>40,658,491</w:t>
                    </w:r>
                  </w:p>
                </w:tc>
                <w:tc>
                  <w:tcPr>
                    <w:tcW w:w="1333" w:type="pct"/>
                    <w:tcBorders>
                      <w:top w:val="outset" w:sz="6" w:space="0" w:color="auto"/>
                      <w:left w:val="outset" w:sz="6" w:space="0" w:color="auto"/>
                      <w:bottom w:val="outset" w:sz="6" w:space="0" w:color="auto"/>
                      <w:right w:val="outset" w:sz="6" w:space="0" w:color="auto"/>
                    </w:tcBorders>
                    <w:vAlign w:val="center"/>
                  </w:tcPr>
                  <w:p w14:paraId="32D97D12" w14:textId="77777777" w:rsidR="007E7472" w:rsidRDefault="00EC1269">
                    <w:pPr>
                      <w:jc w:val="right"/>
                    </w:pPr>
                    <w:r>
                      <w:t>31,865,074</w:t>
                    </w:r>
                  </w:p>
                </w:tc>
              </w:tr>
              <w:tr w:rsidR="007E7472" w14:paraId="6EAA46BE" w14:textId="77777777">
                <w:sdt>
                  <w:sdtPr>
                    <w:tag w:val="_PLD_33305757c71a4e02885ac4b4bd4dd023"/>
                    <w:id w:val="-1287496693"/>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B230F1F" w14:textId="77777777" w:rsidR="007E7472" w:rsidRDefault="00EC1269">
                        <w:pPr>
                          <w:ind w:firstLineChars="100" w:firstLine="210"/>
                        </w:pPr>
                        <w:r>
                          <w:rPr>
                            <w:rFonts w:hint="eastAsia"/>
                          </w:rPr>
                          <w:t>其中：应付利息</w:t>
                        </w:r>
                      </w:p>
                    </w:tc>
                  </w:sdtContent>
                </w:sdt>
                <w:tc>
                  <w:tcPr>
                    <w:tcW w:w="627" w:type="pct"/>
                    <w:tcBorders>
                      <w:top w:val="outset" w:sz="6" w:space="0" w:color="auto"/>
                      <w:left w:val="outset" w:sz="6" w:space="0" w:color="auto"/>
                      <w:bottom w:val="outset" w:sz="6" w:space="0" w:color="auto"/>
                      <w:right w:val="outset" w:sz="6" w:space="0" w:color="auto"/>
                    </w:tcBorders>
                  </w:tcPr>
                  <w:p w14:paraId="0B080656" w14:textId="77777777" w:rsidR="007E7472" w:rsidRDefault="00C8327E"/>
                </w:tc>
                <w:tc>
                  <w:tcPr>
                    <w:tcW w:w="1411" w:type="pct"/>
                    <w:tcBorders>
                      <w:top w:val="outset" w:sz="6" w:space="0" w:color="auto"/>
                      <w:left w:val="outset" w:sz="6" w:space="0" w:color="auto"/>
                      <w:bottom w:val="outset" w:sz="6" w:space="0" w:color="auto"/>
                      <w:right w:val="outset" w:sz="6" w:space="0" w:color="auto"/>
                    </w:tcBorders>
                    <w:vAlign w:val="center"/>
                  </w:tcPr>
                  <w:p w14:paraId="4DE7BE46" w14:textId="77777777" w:rsidR="007E7472" w:rsidRDefault="00EC1269">
                    <w:pPr>
                      <w:jc w:val="right"/>
                    </w:pPr>
                    <w:r>
                      <w:t>879,173</w:t>
                    </w:r>
                  </w:p>
                </w:tc>
                <w:tc>
                  <w:tcPr>
                    <w:tcW w:w="1333" w:type="pct"/>
                    <w:tcBorders>
                      <w:top w:val="outset" w:sz="6" w:space="0" w:color="auto"/>
                      <w:left w:val="outset" w:sz="6" w:space="0" w:color="auto"/>
                      <w:bottom w:val="outset" w:sz="6" w:space="0" w:color="auto"/>
                      <w:right w:val="outset" w:sz="6" w:space="0" w:color="auto"/>
                    </w:tcBorders>
                    <w:vAlign w:val="center"/>
                  </w:tcPr>
                  <w:p w14:paraId="4E7B63A3" w14:textId="77777777" w:rsidR="007E7472" w:rsidRDefault="00EC1269">
                    <w:pPr>
                      <w:jc w:val="right"/>
                    </w:pPr>
                    <w:r>
                      <w:t>997,917</w:t>
                    </w:r>
                  </w:p>
                </w:tc>
              </w:tr>
              <w:tr w:rsidR="007E7472" w14:paraId="67026142" w14:textId="77777777">
                <w:sdt>
                  <w:sdtPr>
                    <w:tag w:val="_PLD_af17ddcf0f4c41d7ad5d3631e95d7da2"/>
                    <w:id w:val="1938792356"/>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568E1C2" w14:textId="77777777" w:rsidR="007E7472" w:rsidRDefault="00EC1269">
                        <w:pPr>
                          <w:ind w:firstLineChars="400" w:firstLine="840"/>
                        </w:pPr>
                        <w:r>
                          <w:rPr>
                            <w:rFonts w:hint="eastAsia"/>
                          </w:rPr>
                          <w:t>应付股利</w:t>
                        </w:r>
                      </w:p>
                    </w:tc>
                  </w:sdtContent>
                </w:sdt>
                <w:tc>
                  <w:tcPr>
                    <w:tcW w:w="627" w:type="pct"/>
                    <w:tcBorders>
                      <w:top w:val="outset" w:sz="6" w:space="0" w:color="auto"/>
                      <w:left w:val="outset" w:sz="6" w:space="0" w:color="auto"/>
                      <w:bottom w:val="outset" w:sz="6" w:space="0" w:color="auto"/>
                      <w:right w:val="outset" w:sz="6" w:space="0" w:color="auto"/>
                    </w:tcBorders>
                  </w:tcPr>
                  <w:p w14:paraId="73A99754" w14:textId="77777777" w:rsidR="007E7472" w:rsidRDefault="00C8327E"/>
                </w:tc>
                <w:tc>
                  <w:tcPr>
                    <w:tcW w:w="1411" w:type="pct"/>
                    <w:tcBorders>
                      <w:top w:val="outset" w:sz="6" w:space="0" w:color="auto"/>
                      <w:left w:val="outset" w:sz="6" w:space="0" w:color="auto"/>
                      <w:bottom w:val="outset" w:sz="6" w:space="0" w:color="auto"/>
                      <w:right w:val="outset" w:sz="6" w:space="0" w:color="auto"/>
                    </w:tcBorders>
                    <w:vAlign w:val="center"/>
                  </w:tcPr>
                  <w:p w14:paraId="4C1F7923" w14:textId="77777777" w:rsidR="007E7472" w:rsidRDefault="00C832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6E7704DC" w14:textId="77777777" w:rsidR="007E7472" w:rsidRDefault="00C8327E">
                    <w:pPr>
                      <w:jc w:val="right"/>
                    </w:pPr>
                  </w:p>
                </w:tc>
              </w:tr>
              <w:tr w:rsidR="007E7472" w14:paraId="2B1757EF" w14:textId="77777777">
                <w:sdt>
                  <w:sdtPr>
                    <w:tag w:val="_PLD_f77f7dcdf9d04cd9ae289b7b3f5b7b02"/>
                    <w:id w:val="-1493476974"/>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15A0C32" w14:textId="77777777" w:rsidR="007E7472" w:rsidRDefault="00EC1269">
                        <w:pPr>
                          <w:ind w:firstLineChars="100" w:firstLine="210"/>
                        </w:pPr>
                        <w:r>
                          <w:rPr>
                            <w:rFonts w:hint="eastAsia"/>
                          </w:rPr>
                          <w:t>持有待售负债</w:t>
                        </w:r>
                      </w:p>
                    </w:tc>
                  </w:sdtContent>
                </w:sdt>
                <w:tc>
                  <w:tcPr>
                    <w:tcW w:w="627" w:type="pct"/>
                    <w:tcBorders>
                      <w:top w:val="outset" w:sz="6" w:space="0" w:color="auto"/>
                      <w:left w:val="outset" w:sz="6" w:space="0" w:color="auto"/>
                      <w:bottom w:val="outset" w:sz="6" w:space="0" w:color="auto"/>
                      <w:right w:val="outset" w:sz="6" w:space="0" w:color="auto"/>
                    </w:tcBorders>
                  </w:tcPr>
                  <w:p w14:paraId="5692D798" w14:textId="77777777" w:rsidR="007E7472" w:rsidRDefault="00C8327E"/>
                </w:tc>
                <w:tc>
                  <w:tcPr>
                    <w:tcW w:w="1411" w:type="pct"/>
                    <w:tcBorders>
                      <w:top w:val="outset" w:sz="6" w:space="0" w:color="auto"/>
                      <w:left w:val="outset" w:sz="6" w:space="0" w:color="auto"/>
                      <w:bottom w:val="outset" w:sz="6" w:space="0" w:color="auto"/>
                      <w:right w:val="outset" w:sz="6" w:space="0" w:color="auto"/>
                    </w:tcBorders>
                    <w:vAlign w:val="center"/>
                  </w:tcPr>
                  <w:p w14:paraId="5A65BE9B" w14:textId="77777777" w:rsidR="007E7472" w:rsidRDefault="00C832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0C4E18BA" w14:textId="77777777" w:rsidR="007E7472" w:rsidRDefault="00C8327E">
                    <w:pPr>
                      <w:jc w:val="right"/>
                    </w:pPr>
                  </w:p>
                </w:tc>
              </w:tr>
              <w:tr w:rsidR="007E7472" w14:paraId="0FE63307" w14:textId="77777777">
                <w:sdt>
                  <w:sdtPr>
                    <w:tag w:val="_PLD_a29046fb2b7d4844a6a2146909afbe96"/>
                    <w:id w:val="-1633170318"/>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99546CA" w14:textId="77777777" w:rsidR="007E7472" w:rsidRDefault="00EC1269">
                        <w:pPr>
                          <w:ind w:firstLineChars="100" w:firstLine="210"/>
                        </w:pPr>
                        <w:r>
                          <w:rPr>
                            <w:rFonts w:hint="eastAsia"/>
                          </w:rPr>
                          <w:t>一年内到期的非流动负债</w:t>
                        </w:r>
                      </w:p>
                    </w:tc>
                  </w:sdtContent>
                </w:sdt>
                <w:tc>
                  <w:tcPr>
                    <w:tcW w:w="627" w:type="pct"/>
                    <w:tcBorders>
                      <w:top w:val="outset" w:sz="6" w:space="0" w:color="auto"/>
                      <w:left w:val="outset" w:sz="6" w:space="0" w:color="auto"/>
                      <w:bottom w:val="outset" w:sz="6" w:space="0" w:color="auto"/>
                      <w:right w:val="outset" w:sz="6" w:space="0" w:color="auto"/>
                    </w:tcBorders>
                  </w:tcPr>
                  <w:p w14:paraId="2EC97A7E" w14:textId="77777777" w:rsidR="007E7472" w:rsidRDefault="00C8327E"/>
                </w:tc>
                <w:tc>
                  <w:tcPr>
                    <w:tcW w:w="1411" w:type="pct"/>
                    <w:tcBorders>
                      <w:top w:val="outset" w:sz="6" w:space="0" w:color="auto"/>
                      <w:left w:val="outset" w:sz="6" w:space="0" w:color="auto"/>
                      <w:bottom w:val="outset" w:sz="6" w:space="0" w:color="auto"/>
                      <w:right w:val="outset" w:sz="6" w:space="0" w:color="auto"/>
                    </w:tcBorders>
                    <w:vAlign w:val="center"/>
                  </w:tcPr>
                  <w:p w14:paraId="026CF5B7" w14:textId="77777777" w:rsidR="007E7472" w:rsidRDefault="00EC1269">
                    <w:pPr>
                      <w:jc w:val="right"/>
                    </w:pPr>
                    <w:r>
                      <w:t>12,050,406</w:t>
                    </w:r>
                  </w:p>
                </w:tc>
                <w:tc>
                  <w:tcPr>
                    <w:tcW w:w="1333" w:type="pct"/>
                    <w:tcBorders>
                      <w:top w:val="outset" w:sz="6" w:space="0" w:color="auto"/>
                      <w:left w:val="outset" w:sz="6" w:space="0" w:color="auto"/>
                      <w:bottom w:val="outset" w:sz="6" w:space="0" w:color="auto"/>
                      <w:right w:val="outset" w:sz="6" w:space="0" w:color="auto"/>
                    </w:tcBorders>
                    <w:vAlign w:val="center"/>
                  </w:tcPr>
                  <w:p w14:paraId="291B1AF7" w14:textId="77777777" w:rsidR="007E7472" w:rsidRDefault="00EC1269">
                    <w:pPr>
                      <w:jc w:val="right"/>
                    </w:pPr>
                    <w:r>
                      <w:t>6,815,257</w:t>
                    </w:r>
                  </w:p>
                </w:tc>
              </w:tr>
              <w:tr w:rsidR="007E7472" w14:paraId="11F549D7" w14:textId="77777777">
                <w:sdt>
                  <w:sdtPr>
                    <w:tag w:val="_PLD_29a119c77a3042f187a5aba37b5deecc"/>
                    <w:id w:val="-1428727658"/>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D404DFE" w14:textId="77777777" w:rsidR="007E7472" w:rsidRDefault="00EC1269">
                        <w:pPr>
                          <w:ind w:firstLineChars="100" w:firstLine="210"/>
                        </w:pPr>
                        <w:r>
                          <w:rPr>
                            <w:rFonts w:hint="eastAsia"/>
                          </w:rPr>
                          <w:t>其他流动负债</w:t>
                        </w:r>
                      </w:p>
                    </w:tc>
                  </w:sdtContent>
                </w:sdt>
                <w:tc>
                  <w:tcPr>
                    <w:tcW w:w="627" w:type="pct"/>
                    <w:tcBorders>
                      <w:top w:val="outset" w:sz="6" w:space="0" w:color="auto"/>
                      <w:left w:val="outset" w:sz="6" w:space="0" w:color="auto"/>
                      <w:bottom w:val="outset" w:sz="6" w:space="0" w:color="auto"/>
                      <w:right w:val="outset" w:sz="6" w:space="0" w:color="auto"/>
                    </w:tcBorders>
                  </w:tcPr>
                  <w:p w14:paraId="76FCB075" w14:textId="77777777" w:rsidR="007E7472" w:rsidRDefault="00C8327E"/>
                </w:tc>
                <w:tc>
                  <w:tcPr>
                    <w:tcW w:w="1411" w:type="pct"/>
                    <w:tcBorders>
                      <w:top w:val="outset" w:sz="6" w:space="0" w:color="auto"/>
                      <w:left w:val="outset" w:sz="6" w:space="0" w:color="auto"/>
                      <w:bottom w:val="outset" w:sz="6" w:space="0" w:color="auto"/>
                      <w:right w:val="outset" w:sz="6" w:space="0" w:color="auto"/>
                    </w:tcBorders>
                    <w:vAlign w:val="center"/>
                  </w:tcPr>
                  <w:p w14:paraId="570A78A1" w14:textId="77777777" w:rsidR="007E7472" w:rsidRDefault="00EC1269">
                    <w:pPr>
                      <w:jc w:val="right"/>
                    </w:pPr>
                    <w:r>
                      <w:t>3,127,510</w:t>
                    </w:r>
                  </w:p>
                </w:tc>
                <w:tc>
                  <w:tcPr>
                    <w:tcW w:w="1333" w:type="pct"/>
                    <w:tcBorders>
                      <w:top w:val="outset" w:sz="6" w:space="0" w:color="auto"/>
                      <w:left w:val="outset" w:sz="6" w:space="0" w:color="auto"/>
                      <w:bottom w:val="outset" w:sz="6" w:space="0" w:color="auto"/>
                      <w:right w:val="outset" w:sz="6" w:space="0" w:color="auto"/>
                    </w:tcBorders>
                    <w:vAlign w:val="center"/>
                  </w:tcPr>
                  <w:p w14:paraId="47C2A9B4" w14:textId="77777777" w:rsidR="007E7472" w:rsidRDefault="00EC1269">
                    <w:pPr>
                      <w:jc w:val="right"/>
                    </w:pPr>
                    <w:r>
                      <w:t>104,466</w:t>
                    </w:r>
                  </w:p>
                </w:tc>
              </w:tr>
              <w:tr w:rsidR="007E7472" w14:paraId="3BA5C2A4" w14:textId="77777777">
                <w:sdt>
                  <w:sdtPr>
                    <w:tag w:val="_PLD_fd497b996a3c46b99eb5112ec0f3d649"/>
                    <w:id w:val="-1061171200"/>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A1E82B8" w14:textId="77777777" w:rsidR="007E7472" w:rsidRDefault="00EC1269">
                        <w:pPr>
                          <w:ind w:firstLineChars="200" w:firstLine="420"/>
                        </w:pPr>
                        <w:r>
                          <w:rPr>
                            <w:rFonts w:hint="eastAsia"/>
                          </w:rPr>
                          <w:t>流动负债合计</w:t>
                        </w:r>
                      </w:p>
                    </w:tc>
                  </w:sdtContent>
                </w:sdt>
                <w:tc>
                  <w:tcPr>
                    <w:tcW w:w="627" w:type="pct"/>
                    <w:tcBorders>
                      <w:top w:val="outset" w:sz="6" w:space="0" w:color="auto"/>
                      <w:left w:val="outset" w:sz="6" w:space="0" w:color="auto"/>
                      <w:bottom w:val="outset" w:sz="6" w:space="0" w:color="auto"/>
                      <w:right w:val="outset" w:sz="6" w:space="0" w:color="auto"/>
                    </w:tcBorders>
                  </w:tcPr>
                  <w:p w14:paraId="4F897681" w14:textId="77777777" w:rsidR="007E7472" w:rsidRDefault="00C8327E"/>
                </w:tc>
                <w:tc>
                  <w:tcPr>
                    <w:tcW w:w="1411" w:type="pct"/>
                    <w:tcBorders>
                      <w:top w:val="outset" w:sz="6" w:space="0" w:color="auto"/>
                      <w:left w:val="outset" w:sz="6" w:space="0" w:color="auto"/>
                      <w:bottom w:val="outset" w:sz="6" w:space="0" w:color="auto"/>
                      <w:right w:val="outset" w:sz="6" w:space="0" w:color="auto"/>
                    </w:tcBorders>
                    <w:vAlign w:val="center"/>
                  </w:tcPr>
                  <w:p w14:paraId="67940C67" w14:textId="77777777" w:rsidR="007E7472" w:rsidRDefault="00EC1269">
                    <w:pPr>
                      <w:jc w:val="right"/>
                    </w:pPr>
                    <w:r>
                      <w:t>71,299,574</w:t>
                    </w:r>
                  </w:p>
                </w:tc>
                <w:tc>
                  <w:tcPr>
                    <w:tcW w:w="1333" w:type="pct"/>
                    <w:tcBorders>
                      <w:top w:val="outset" w:sz="6" w:space="0" w:color="auto"/>
                      <w:left w:val="outset" w:sz="6" w:space="0" w:color="auto"/>
                      <w:bottom w:val="outset" w:sz="6" w:space="0" w:color="auto"/>
                      <w:right w:val="outset" w:sz="6" w:space="0" w:color="auto"/>
                    </w:tcBorders>
                    <w:vAlign w:val="center"/>
                  </w:tcPr>
                  <w:p w14:paraId="35ACA795" w14:textId="77777777" w:rsidR="007E7472" w:rsidRDefault="00EC1269">
                    <w:pPr>
                      <w:jc w:val="right"/>
                    </w:pPr>
                    <w:r>
                      <w:t>53,921,791</w:t>
                    </w:r>
                  </w:p>
                </w:tc>
              </w:tr>
              <w:tr w:rsidR="007E7472" w14:paraId="774BBC2C" w14:textId="77777777">
                <w:sdt>
                  <w:sdtPr>
                    <w:tag w:val="_PLD_e62929b21cd4456494013c9cb0dc5b16"/>
                    <w:id w:val="-318734170"/>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6128DA4E" w14:textId="77777777" w:rsidR="007E7472" w:rsidRDefault="00EC1269">
                        <w:pPr>
                          <w:rPr>
                            <w:color w:val="008000"/>
                          </w:rPr>
                        </w:pPr>
                        <w:r>
                          <w:rPr>
                            <w:rFonts w:hint="eastAsia"/>
                            <w:b/>
                          </w:rPr>
                          <w:t>非流动负债：</w:t>
                        </w:r>
                      </w:p>
                    </w:tc>
                  </w:sdtContent>
                </w:sdt>
              </w:tr>
              <w:tr w:rsidR="007E7472" w14:paraId="46D8D712" w14:textId="77777777">
                <w:sdt>
                  <w:sdtPr>
                    <w:tag w:val="_PLD_dc705bf824d14c06a0f0ff2183f061bb"/>
                    <w:id w:val="-944534260"/>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F7EDC05" w14:textId="77777777" w:rsidR="007E7472" w:rsidRDefault="00EC1269">
                        <w:pPr>
                          <w:ind w:firstLineChars="100" w:firstLine="210"/>
                        </w:pPr>
                        <w:r>
                          <w:rPr>
                            <w:rFonts w:hint="eastAsia"/>
                          </w:rPr>
                          <w:t>长期借款</w:t>
                        </w:r>
                      </w:p>
                    </w:tc>
                  </w:sdtContent>
                </w:sdt>
                <w:tc>
                  <w:tcPr>
                    <w:tcW w:w="627" w:type="pct"/>
                    <w:tcBorders>
                      <w:top w:val="outset" w:sz="6" w:space="0" w:color="auto"/>
                      <w:left w:val="outset" w:sz="6" w:space="0" w:color="auto"/>
                      <w:bottom w:val="outset" w:sz="6" w:space="0" w:color="auto"/>
                      <w:right w:val="outset" w:sz="6" w:space="0" w:color="auto"/>
                    </w:tcBorders>
                  </w:tcPr>
                  <w:p w14:paraId="30CB855B" w14:textId="77777777" w:rsidR="007E7472" w:rsidRDefault="00C8327E"/>
                </w:tc>
                <w:tc>
                  <w:tcPr>
                    <w:tcW w:w="1411" w:type="pct"/>
                    <w:tcBorders>
                      <w:top w:val="outset" w:sz="6" w:space="0" w:color="auto"/>
                      <w:left w:val="outset" w:sz="6" w:space="0" w:color="auto"/>
                      <w:bottom w:val="outset" w:sz="6" w:space="0" w:color="auto"/>
                      <w:right w:val="outset" w:sz="6" w:space="0" w:color="auto"/>
                    </w:tcBorders>
                    <w:vAlign w:val="center"/>
                  </w:tcPr>
                  <w:p w14:paraId="0AC7D039" w14:textId="77777777" w:rsidR="007E7472" w:rsidRDefault="00EC1269">
                    <w:pPr>
                      <w:jc w:val="right"/>
                    </w:pPr>
                    <w:r>
                      <w:t>34,708,120</w:t>
                    </w:r>
                  </w:p>
                </w:tc>
                <w:tc>
                  <w:tcPr>
                    <w:tcW w:w="1333" w:type="pct"/>
                    <w:tcBorders>
                      <w:top w:val="outset" w:sz="6" w:space="0" w:color="auto"/>
                      <w:left w:val="outset" w:sz="6" w:space="0" w:color="auto"/>
                      <w:bottom w:val="outset" w:sz="6" w:space="0" w:color="auto"/>
                      <w:right w:val="outset" w:sz="6" w:space="0" w:color="auto"/>
                    </w:tcBorders>
                    <w:vAlign w:val="center"/>
                  </w:tcPr>
                  <w:p w14:paraId="2E8BDE38" w14:textId="77777777" w:rsidR="007E7472" w:rsidRDefault="00EC1269">
                    <w:pPr>
                      <w:jc w:val="right"/>
                    </w:pPr>
                    <w:r>
                      <w:t>28,411,190</w:t>
                    </w:r>
                  </w:p>
                </w:tc>
              </w:tr>
              <w:tr w:rsidR="007E7472" w14:paraId="44C3FBE4" w14:textId="77777777">
                <w:sdt>
                  <w:sdtPr>
                    <w:tag w:val="_PLD_338e61244aeb4a06b85c45422b5d2e25"/>
                    <w:id w:val="1853525856"/>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7BFA762" w14:textId="77777777" w:rsidR="007E7472" w:rsidRDefault="00EC1269">
                        <w:pPr>
                          <w:ind w:firstLineChars="100" w:firstLine="210"/>
                        </w:pPr>
                        <w:r>
                          <w:rPr>
                            <w:rFonts w:hint="eastAsia"/>
                          </w:rPr>
                          <w:t>应付债券</w:t>
                        </w:r>
                      </w:p>
                    </w:tc>
                  </w:sdtContent>
                </w:sdt>
                <w:tc>
                  <w:tcPr>
                    <w:tcW w:w="627" w:type="pct"/>
                    <w:tcBorders>
                      <w:top w:val="outset" w:sz="6" w:space="0" w:color="auto"/>
                      <w:left w:val="outset" w:sz="6" w:space="0" w:color="auto"/>
                      <w:bottom w:val="outset" w:sz="6" w:space="0" w:color="auto"/>
                      <w:right w:val="outset" w:sz="6" w:space="0" w:color="auto"/>
                    </w:tcBorders>
                  </w:tcPr>
                  <w:p w14:paraId="5E8505E9" w14:textId="77777777" w:rsidR="007E7472" w:rsidRDefault="00C8327E"/>
                </w:tc>
                <w:tc>
                  <w:tcPr>
                    <w:tcW w:w="1411" w:type="pct"/>
                    <w:tcBorders>
                      <w:top w:val="outset" w:sz="6" w:space="0" w:color="auto"/>
                      <w:left w:val="outset" w:sz="6" w:space="0" w:color="auto"/>
                      <w:bottom w:val="outset" w:sz="6" w:space="0" w:color="auto"/>
                      <w:right w:val="outset" w:sz="6" w:space="0" w:color="auto"/>
                    </w:tcBorders>
                    <w:vAlign w:val="center"/>
                  </w:tcPr>
                  <w:p w14:paraId="30409509" w14:textId="77777777" w:rsidR="007E7472" w:rsidRDefault="00EC1269">
                    <w:pPr>
                      <w:jc w:val="right"/>
                    </w:pPr>
                    <w:r>
                      <w:t>17,673,458</w:t>
                    </w:r>
                  </w:p>
                </w:tc>
                <w:tc>
                  <w:tcPr>
                    <w:tcW w:w="1333" w:type="pct"/>
                    <w:tcBorders>
                      <w:top w:val="outset" w:sz="6" w:space="0" w:color="auto"/>
                      <w:left w:val="outset" w:sz="6" w:space="0" w:color="auto"/>
                      <w:bottom w:val="outset" w:sz="6" w:space="0" w:color="auto"/>
                      <w:right w:val="outset" w:sz="6" w:space="0" w:color="auto"/>
                    </w:tcBorders>
                    <w:vAlign w:val="center"/>
                  </w:tcPr>
                  <w:p w14:paraId="38A2487F" w14:textId="77777777" w:rsidR="007E7472" w:rsidRDefault="00EC1269">
                    <w:pPr>
                      <w:jc w:val="right"/>
                    </w:pPr>
                    <w:r>
                      <w:t>18,712,100</w:t>
                    </w:r>
                  </w:p>
                </w:tc>
              </w:tr>
              <w:tr w:rsidR="007E7472" w14:paraId="14FFA70B" w14:textId="77777777">
                <w:sdt>
                  <w:sdtPr>
                    <w:tag w:val="_PLD_314bd73553e7420a8c904cb2018c47e8"/>
                    <w:id w:val="-1293829955"/>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DA325CF" w14:textId="77777777" w:rsidR="007E7472" w:rsidRDefault="00EC1269">
                        <w:pPr>
                          <w:ind w:firstLineChars="100" w:firstLine="210"/>
                        </w:pPr>
                        <w:r>
                          <w:rPr>
                            <w:rFonts w:hint="eastAsia"/>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14:paraId="66EE30B7" w14:textId="77777777" w:rsidR="007E7472" w:rsidRDefault="00C8327E"/>
                </w:tc>
                <w:tc>
                  <w:tcPr>
                    <w:tcW w:w="1411" w:type="pct"/>
                    <w:tcBorders>
                      <w:top w:val="outset" w:sz="6" w:space="0" w:color="auto"/>
                      <w:left w:val="outset" w:sz="6" w:space="0" w:color="auto"/>
                      <w:bottom w:val="outset" w:sz="6" w:space="0" w:color="auto"/>
                      <w:right w:val="outset" w:sz="6" w:space="0" w:color="auto"/>
                    </w:tcBorders>
                    <w:vAlign w:val="center"/>
                  </w:tcPr>
                  <w:p w14:paraId="5ACFD75D" w14:textId="77777777" w:rsidR="007E7472" w:rsidRDefault="00C832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7285E06D" w14:textId="77777777" w:rsidR="007E7472" w:rsidRDefault="00C8327E">
                    <w:pPr>
                      <w:jc w:val="right"/>
                    </w:pPr>
                  </w:p>
                </w:tc>
              </w:tr>
              <w:tr w:rsidR="007E7472" w14:paraId="0C8001F6" w14:textId="77777777">
                <w:sdt>
                  <w:sdtPr>
                    <w:tag w:val="_PLD_5044e414e8a34f969372ff67406d75ff"/>
                    <w:id w:val="-1668852499"/>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EB804C6" w14:textId="77777777" w:rsidR="007E7472" w:rsidRDefault="00EC1269">
                        <w:pPr>
                          <w:ind w:leftChars="300" w:left="630" w:firstLineChars="100" w:firstLine="210"/>
                        </w:pPr>
                        <w:r>
                          <w:rPr>
                            <w:rFonts w:hint="eastAsia"/>
                          </w:rPr>
                          <w:t>永续债</w:t>
                        </w:r>
                      </w:p>
                    </w:tc>
                  </w:sdtContent>
                </w:sdt>
                <w:tc>
                  <w:tcPr>
                    <w:tcW w:w="627" w:type="pct"/>
                    <w:tcBorders>
                      <w:top w:val="outset" w:sz="6" w:space="0" w:color="auto"/>
                      <w:left w:val="outset" w:sz="6" w:space="0" w:color="auto"/>
                      <w:bottom w:val="outset" w:sz="6" w:space="0" w:color="auto"/>
                      <w:right w:val="outset" w:sz="6" w:space="0" w:color="auto"/>
                    </w:tcBorders>
                  </w:tcPr>
                  <w:p w14:paraId="649BE71C" w14:textId="77777777" w:rsidR="007E7472" w:rsidRDefault="00C8327E"/>
                </w:tc>
                <w:tc>
                  <w:tcPr>
                    <w:tcW w:w="1411" w:type="pct"/>
                    <w:tcBorders>
                      <w:top w:val="outset" w:sz="6" w:space="0" w:color="auto"/>
                      <w:left w:val="outset" w:sz="6" w:space="0" w:color="auto"/>
                      <w:bottom w:val="outset" w:sz="6" w:space="0" w:color="auto"/>
                      <w:right w:val="outset" w:sz="6" w:space="0" w:color="auto"/>
                    </w:tcBorders>
                    <w:vAlign w:val="center"/>
                  </w:tcPr>
                  <w:p w14:paraId="4BFE0C71" w14:textId="77777777" w:rsidR="007E7472" w:rsidRDefault="00C832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6C301AC6" w14:textId="77777777" w:rsidR="007E7472" w:rsidRDefault="00C8327E">
                    <w:pPr>
                      <w:jc w:val="right"/>
                    </w:pPr>
                  </w:p>
                </w:tc>
              </w:tr>
              <w:tr w:rsidR="007E7472" w14:paraId="53A36507" w14:textId="77777777">
                <w:sdt>
                  <w:sdtPr>
                    <w:tag w:val="_PLD_7b2441d86aba45d4ab5739ca0af69796"/>
                    <w:id w:val="1357393333"/>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5D800BA" w14:textId="77777777" w:rsidR="007E7472" w:rsidRDefault="00EC1269">
                        <w:pPr>
                          <w:ind w:firstLineChars="100" w:firstLine="210"/>
                        </w:pPr>
                        <w:r>
                          <w:rPr>
                            <w:rFonts w:hint="eastAsia"/>
                          </w:rPr>
                          <w:t>租赁负债</w:t>
                        </w:r>
                      </w:p>
                    </w:tc>
                  </w:sdtContent>
                </w:sdt>
                <w:tc>
                  <w:tcPr>
                    <w:tcW w:w="627" w:type="pct"/>
                    <w:tcBorders>
                      <w:top w:val="outset" w:sz="6" w:space="0" w:color="auto"/>
                      <w:left w:val="outset" w:sz="6" w:space="0" w:color="auto"/>
                      <w:bottom w:val="outset" w:sz="6" w:space="0" w:color="auto"/>
                      <w:right w:val="outset" w:sz="6" w:space="0" w:color="auto"/>
                    </w:tcBorders>
                  </w:tcPr>
                  <w:p w14:paraId="6AA0A88C" w14:textId="77777777" w:rsidR="007E7472" w:rsidRDefault="00C8327E"/>
                </w:tc>
                <w:tc>
                  <w:tcPr>
                    <w:tcW w:w="1411" w:type="pct"/>
                    <w:tcBorders>
                      <w:top w:val="outset" w:sz="6" w:space="0" w:color="auto"/>
                      <w:left w:val="outset" w:sz="6" w:space="0" w:color="auto"/>
                      <w:bottom w:val="outset" w:sz="6" w:space="0" w:color="auto"/>
                      <w:right w:val="outset" w:sz="6" w:space="0" w:color="auto"/>
                    </w:tcBorders>
                    <w:vAlign w:val="center"/>
                  </w:tcPr>
                  <w:p w14:paraId="306EFFEA" w14:textId="77777777" w:rsidR="007E7472" w:rsidRDefault="00EC1269">
                    <w:pPr>
                      <w:jc w:val="right"/>
                    </w:pPr>
                    <w:r>
                      <w:t>5,294,247</w:t>
                    </w:r>
                  </w:p>
                </w:tc>
                <w:tc>
                  <w:tcPr>
                    <w:tcW w:w="1333" w:type="pct"/>
                    <w:tcBorders>
                      <w:top w:val="outset" w:sz="6" w:space="0" w:color="auto"/>
                      <w:left w:val="outset" w:sz="6" w:space="0" w:color="auto"/>
                      <w:bottom w:val="outset" w:sz="6" w:space="0" w:color="auto"/>
                      <w:right w:val="outset" w:sz="6" w:space="0" w:color="auto"/>
                    </w:tcBorders>
                    <w:vAlign w:val="center"/>
                  </w:tcPr>
                  <w:p w14:paraId="2D5C93EB" w14:textId="77777777" w:rsidR="007E7472" w:rsidRDefault="00EC1269">
                    <w:pPr>
                      <w:jc w:val="right"/>
                    </w:pPr>
                    <w:r>
                      <w:t>5,675,406</w:t>
                    </w:r>
                  </w:p>
                </w:tc>
              </w:tr>
              <w:tr w:rsidR="007E7472" w14:paraId="5C6AFF06" w14:textId="77777777">
                <w:sdt>
                  <w:sdtPr>
                    <w:tag w:val="_PLD_d268871ae8f24f1d920dd95b56180bba"/>
                    <w:id w:val="-817654851"/>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E67A266" w14:textId="77777777" w:rsidR="007E7472" w:rsidRDefault="00EC1269">
                        <w:pPr>
                          <w:ind w:firstLineChars="100" w:firstLine="210"/>
                        </w:pPr>
                        <w:r>
                          <w:rPr>
                            <w:rFonts w:hint="eastAsia"/>
                          </w:rPr>
                          <w:t>长期应付款</w:t>
                        </w:r>
                      </w:p>
                    </w:tc>
                  </w:sdtContent>
                </w:sdt>
                <w:tc>
                  <w:tcPr>
                    <w:tcW w:w="627" w:type="pct"/>
                    <w:tcBorders>
                      <w:top w:val="outset" w:sz="6" w:space="0" w:color="auto"/>
                      <w:left w:val="outset" w:sz="6" w:space="0" w:color="auto"/>
                      <w:bottom w:val="outset" w:sz="6" w:space="0" w:color="auto"/>
                      <w:right w:val="outset" w:sz="6" w:space="0" w:color="auto"/>
                    </w:tcBorders>
                  </w:tcPr>
                  <w:p w14:paraId="28CDE944" w14:textId="77777777" w:rsidR="007E7472" w:rsidRDefault="00C8327E"/>
                </w:tc>
                <w:tc>
                  <w:tcPr>
                    <w:tcW w:w="1411" w:type="pct"/>
                    <w:tcBorders>
                      <w:top w:val="outset" w:sz="6" w:space="0" w:color="auto"/>
                      <w:left w:val="outset" w:sz="6" w:space="0" w:color="auto"/>
                      <w:bottom w:val="outset" w:sz="6" w:space="0" w:color="auto"/>
                      <w:right w:val="outset" w:sz="6" w:space="0" w:color="auto"/>
                    </w:tcBorders>
                    <w:vAlign w:val="center"/>
                  </w:tcPr>
                  <w:p w14:paraId="7E7A90BE" w14:textId="77777777" w:rsidR="007E7472" w:rsidRDefault="00EC1269">
                    <w:pPr>
                      <w:jc w:val="right"/>
                    </w:pPr>
                    <w:r>
                      <w:t>18,002</w:t>
                    </w:r>
                  </w:p>
                </w:tc>
                <w:tc>
                  <w:tcPr>
                    <w:tcW w:w="1333" w:type="pct"/>
                    <w:tcBorders>
                      <w:top w:val="outset" w:sz="6" w:space="0" w:color="auto"/>
                      <w:left w:val="outset" w:sz="6" w:space="0" w:color="auto"/>
                      <w:bottom w:val="outset" w:sz="6" w:space="0" w:color="auto"/>
                      <w:right w:val="outset" w:sz="6" w:space="0" w:color="auto"/>
                    </w:tcBorders>
                    <w:vAlign w:val="center"/>
                  </w:tcPr>
                  <w:p w14:paraId="3F0FCE52" w14:textId="77777777" w:rsidR="007E7472" w:rsidRDefault="00EC1269">
                    <w:pPr>
                      <w:jc w:val="right"/>
                    </w:pPr>
                    <w:r>
                      <w:t>19,237</w:t>
                    </w:r>
                  </w:p>
                </w:tc>
              </w:tr>
              <w:tr w:rsidR="007E7472" w14:paraId="64E81C64" w14:textId="77777777">
                <w:sdt>
                  <w:sdtPr>
                    <w:tag w:val="_PLD_200b2b0412114e3b932260eef9b4c6fe"/>
                    <w:id w:val="638469040"/>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FC65DDA" w14:textId="77777777" w:rsidR="007E7472" w:rsidRDefault="00EC1269">
                        <w:pPr>
                          <w:ind w:firstLineChars="100" w:firstLine="210"/>
                        </w:pPr>
                        <w:r>
                          <w:rPr>
                            <w:rFonts w:hint="eastAsia"/>
                          </w:rPr>
                          <w:t>长期应付职工薪酬</w:t>
                        </w:r>
                      </w:p>
                    </w:tc>
                  </w:sdtContent>
                </w:sdt>
                <w:tc>
                  <w:tcPr>
                    <w:tcW w:w="627" w:type="pct"/>
                    <w:tcBorders>
                      <w:top w:val="outset" w:sz="6" w:space="0" w:color="auto"/>
                      <w:left w:val="outset" w:sz="6" w:space="0" w:color="auto"/>
                      <w:bottom w:val="outset" w:sz="6" w:space="0" w:color="auto"/>
                      <w:right w:val="outset" w:sz="6" w:space="0" w:color="auto"/>
                    </w:tcBorders>
                  </w:tcPr>
                  <w:p w14:paraId="480B3169" w14:textId="77777777" w:rsidR="007E7472" w:rsidRDefault="00C8327E"/>
                </w:tc>
                <w:tc>
                  <w:tcPr>
                    <w:tcW w:w="1411" w:type="pct"/>
                    <w:tcBorders>
                      <w:top w:val="outset" w:sz="6" w:space="0" w:color="auto"/>
                      <w:left w:val="outset" w:sz="6" w:space="0" w:color="auto"/>
                      <w:bottom w:val="outset" w:sz="6" w:space="0" w:color="auto"/>
                      <w:right w:val="outset" w:sz="6" w:space="0" w:color="auto"/>
                    </w:tcBorders>
                    <w:vAlign w:val="center"/>
                  </w:tcPr>
                  <w:p w14:paraId="70737257" w14:textId="77777777" w:rsidR="007E7472" w:rsidRDefault="00C832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17F674B6" w14:textId="77777777" w:rsidR="007E7472" w:rsidRDefault="00C8327E">
                    <w:pPr>
                      <w:jc w:val="right"/>
                    </w:pPr>
                  </w:p>
                </w:tc>
              </w:tr>
              <w:tr w:rsidR="007E7472" w14:paraId="6CE6CC4B" w14:textId="77777777">
                <w:sdt>
                  <w:sdtPr>
                    <w:tag w:val="_PLD_175206d9834f4332bb966826e2fc6cf7"/>
                    <w:id w:val="251244861"/>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79623F6" w14:textId="77777777" w:rsidR="007E7472" w:rsidRDefault="00EC1269">
                        <w:pPr>
                          <w:ind w:firstLineChars="100" w:firstLine="210"/>
                        </w:pPr>
                        <w:r>
                          <w:rPr>
                            <w:rFonts w:hint="eastAsia"/>
                          </w:rPr>
                          <w:t>预计负债</w:t>
                        </w:r>
                      </w:p>
                    </w:tc>
                  </w:sdtContent>
                </w:sdt>
                <w:tc>
                  <w:tcPr>
                    <w:tcW w:w="627" w:type="pct"/>
                    <w:tcBorders>
                      <w:top w:val="outset" w:sz="6" w:space="0" w:color="auto"/>
                      <w:left w:val="outset" w:sz="6" w:space="0" w:color="auto"/>
                      <w:bottom w:val="outset" w:sz="6" w:space="0" w:color="auto"/>
                      <w:right w:val="outset" w:sz="6" w:space="0" w:color="auto"/>
                    </w:tcBorders>
                  </w:tcPr>
                  <w:p w14:paraId="15EE62F8" w14:textId="77777777" w:rsidR="007E7472" w:rsidRDefault="00C8327E"/>
                </w:tc>
                <w:tc>
                  <w:tcPr>
                    <w:tcW w:w="1411" w:type="pct"/>
                    <w:tcBorders>
                      <w:top w:val="outset" w:sz="6" w:space="0" w:color="auto"/>
                      <w:left w:val="outset" w:sz="6" w:space="0" w:color="auto"/>
                      <w:bottom w:val="outset" w:sz="6" w:space="0" w:color="auto"/>
                      <w:right w:val="outset" w:sz="6" w:space="0" w:color="auto"/>
                    </w:tcBorders>
                    <w:vAlign w:val="center"/>
                  </w:tcPr>
                  <w:p w14:paraId="75578C52" w14:textId="77777777" w:rsidR="007E7472" w:rsidRDefault="00EC1269">
                    <w:pPr>
                      <w:jc w:val="right"/>
                    </w:pPr>
                    <w:r>
                      <w:t>1,908,893</w:t>
                    </w:r>
                  </w:p>
                </w:tc>
                <w:tc>
                  <w:tcPr>
                    <w:tcW w:w="1333" w:type="pct"/>
                    <w:tcBorders>
                      <w:top w:val="outset" w:sz="6" w:space="0" w:color="auto"/>
                      <w:left w:val="outset" w:sz="6" w:space="0" w:color="auto"/>
                      <w:bottom w:val="outset" w:sz="6" w:space="0" w:color="auto"/>
                      <w:right w:val="outset" w:sz="6" w:space="0" w:color="auto"/>
                    </w:tcBorders>
                    <w:vAlign w:val="center"/>
                  </w:tcPr>
                  <w:p w14:paraId="3AAF29E3" w14:textId="77777777" w:rsidR="007E7472" w:rsidRDefault="00EC1269">
                    <w:pPr>
                      <w:jc w:val="right"/>
                    </w:pPr>
                    <w:r>
                      <w:t>1,862,335</w:t>
                    </w:r>
                  </w:p>
                </w:tc>
              </w:tr>
              <w:tr w:rsidR="007E7472" w14:paraId="183E7370" w14:textId="77777777">
                <w:sdt>
                  <w:sdtPr>
                    <w:tag w:val="_PLD_eab00dbf5a03497493b7cecfc307a4f7"/>
                    <w:id w:val="-797677165"/>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D38497C" w14:textId="77777777" w:rsidR="007E7472" w:rsidRDefault="00EC1269">
                        <w:pPr>
                          <w:ind w:firstLineChars="100" w:firstLine="210"/>
                        </w:pPr>
                        <w:r>
                          <w:rPr>
                            <w:rFonts w:hint="eastAsia"/>
                          </w:rPr>
                          <w:t>递延收益</w:t>
                        </w:r>
                      </w:p>
                    </w:tc>
                  </w:sdtContent>
                </w:sdt>
                <w:tc>
                  <w:tcPr>
                    <w:tcW w:w="627" w:type="pct"/>
                    <w:tcBorders>
                      <w:top w:val="outset" w:sz="6" w:space="0" w:color="auto"/>
                      <w:left w:val="outset" w:sz="6" w:space="0" w:color="auto"/>
                      <w:bottom w:val="outset" w:sz="6" w:space="0" w:color="auto"/>
                      <w:right w:val="outset" w:sz="6" w:space="0" w:color="auto"/>
                    </w:tcBorders>
                  </w:tcPr>
                  <w:p w14:paraId="23681E26" w14:textId="77777777" w:rsidR="007E7472" w:rsidRDefault="00C8327E"/>
                </w:tc>
                <w:tc>
                  <w:tcPr>
                    <w:tcW w:w="1411" w:type="pct"/>
                    <w:tcBorders>
                      <w:top w:val="outset" w:sz="6" w:space="0" w:color="auto"/>
                      <w:left w:val="outset" w:sz="6" w:space="0" w:color="auto"/>
                      <w:bottom w:val="outset" w:sz="6" w:space="0" w:color="auto"/>
                      <w:right w:val="outset" w:sz="6" w:space="0" w:color="auto"/>
                    </w:tcBorders>
                    <w:vAlign w:val="center"/>
                  </w:tcPr>
                  <w:p w14:paraId="6C595445" w14:textId="77777777" w:rsidR="007E7472" w:rsidRDefault="00EC1269">
                    <w:pPr>
                      <w:jc w:val="right"/>
                    </w:pPr>
                    <w:r>
                      <w:t>128,816</w:t>
                    </w:r>
                  </w:p>
                </w:tc>
                <w:tc>
                  <w:tcPr>
                    <w:tcW w:w="1333" w:type="pct"/>
                    <w:tcBorders>
                      <w:top w:val="outset" w:sz="6" w:space="0" w:color="auto"/>
                      <w:left w:val="outset" w:sz="6" w:space="0" w:color="auto"/>
                      <w:bottom w:val="outset" w:sz="6" w:space="0" w:color="auto"/>
                      <w:right w:val="outset" w:sz="6" w:space="0" w:color="auto"/>
                    </w:tcBorders>
                    <w:vAlign w:val="center"/>
                  </w:tcPr>
                  <w:p w14:paraId="3A02CB4F" w14:textId="77777777" w:rsidR="007E7472" w:rsidRDefault="00EC1269">
                    <w:pPr>
                      <w:jc w:val="right"/>
                    </w:pPr>
                    <w:r>
                      <w:t>134,594</w:t>
                    </w:r>
                  </w:p>
                </w:tc>
              </w:tr>
              <w:tr w:rsidR="007E7472" w14:paraId="37A426E6" w14:textId="77777777">
                <w:sdt>
                  <w:sdtPr>
                    <w:tag w:val="_PLD_b27860a290d6473991cd09d203f00279"/>
                    <w:id w:val="2081090101"/>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EDF4C15" w14:textId="77777777" w:rsidR="007E7472" w:rsidRDefault="00EC1269">
                        <w:pPr>
                          <w:ind w:firstLineChars="100" w:firstLine="210"/>
                        </w:pPr>
                        <w:r>
                          <w:rPr>
                            <w:rFonts w:hint="eastAsia"/>
                          </w:rPr>
                          <w:t>递延所得税负债</w:t>
                        </w:r>
                      </w:p>
                    </w:tc>
                  </w:sdtContent>
                </w:sdt>
                <w:tc>
                  <w:tcPr>
                    <w:tcW w:w="627" w:type="pct"/>
                    <w:tcBorders>
                      <w:top w:val="outset" w:sz="6" w:space="0" w:color="auto"/>
                      <w:left w:val="outset" w:sz="6" w:space="0" w:color="auto"/>
                      <w:bottom w:val="outset" w:sz="6" w:space="0" w:color="auto"/>
                      <w:right w:val="outset" w:sz="6" w:space="0" w:color="auto"/>
                    </w:tcBorders>
                  </w:tcPr>
                  <w:p w14:paraId="4776848A" w14:textId="77777777" w:rsidR="007E7472" w:rsidRDefault="00C8327E"/>
                </w:tc>
                <w:tc>
                  <w:tcPr>
                    <w:tcW w:w="1411" w:type="pct"/>
                    <w:tcBorders>
                      <w:top w:val="outset" w:sz="6" w:space="0" w:color="auto"/>
                      <w:left w:val="outset" w:sz="6" w:space="0" w:color="auto"/>
                      <w:bottom w:val="outset" w:sz="6" w:space="0" w:color="auto"/>
                      <w:right w:val="outset" w:sz="6" w:space="0" w:color="auto"/>
                    </w:tcBorders>
                    <w:vAlign w:val="center"/>
                  </w:tcPr>
                  <w:p w14:paraId="28C783D7" w14:textId="77777777" w:rsidR="007E7472" w:rsidRDefault="00EC1269">
                    <w:pPr>
                      <w:jc w:val="right"/>
                    </w:pPr>
                    <w:r>
                      <w:t>7,906</w:t>
                    </w:r>
                  </w:p>
                </w:tc>
                <w:tc>
                  <w:tcPr>
                    <w:tcW w:w="1333" w:type="pct"/>
                    <w:tcBorders>
                      <w:top w:val="outset" w:sz="6" w:space="0" w:color="auto"/>
                      <w:left w:val="outset" w:sz="6" w:space="0" w:color="auto"/>
                      <w:bottom w:val="outset" w:sz="6" w:space="0" w:color="auto"/>
                      <w:right w:val="outset" w:sz="6" w:space="0" w:color="auto"/>
                    </w:tcBorders>
                    <w:vAlign w:val="center"/>
                  </w:tcPr>
                  <w:p w14:paraId="0919A38E" w14:textId="77777777" w:rsidR="007E7472" w:rsidRDefault="00EC1269">
                    <w:pPr>
                      <w:jc w:val="right"/>
                    </w:pPr>
                    <w:r>
                      <w:t>7,920</w:t>
                    </w:r>
                  </w:p>
                </w:tc>
              </w:tr>
              <w:tr w:rsidR="007E7472" w14:paraId="687D1CC1" w14:textId="77777777">
                <w:sdt>
                  <w:sdtPr>
                    <w:tag w:val="_PLD_4e68f69147854f91a45d2da03b70d4d5"/>
                    <w:id w:val="1384604875"/>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F7514C1" w14:textId="77777777" w:rsidR="007E7472" w:rsidRDefault="00EC1269">
                        <w:pPr>
                          <w:ind w:firstLineChars="100" w:firstLine="210"/>
                        </w:pPr>
                        <w:r>
                          <w:rPr>
                            <w:rFonts w:hint="eastAsia"/>
                          </w:rPr>
                          <w:t>其他非流动负债</w:t>
                        </w:r>
                      </w:p>
                    </w:tc>
                  </w:sdtContent>
                </w:sdt>
                <w:tc>
                  <w:tcPr>
                    <w:tcW w:w="627" w:type="pct"/>
                    <w:tcBorders>
                      <w:top w:val="outset" w:sz="6" w:space="0" w:color="auto"/>
                      <w:left w:val="outset" w:sz="6" w:space="0" w:color="auto"/>
                      <w:bottom w:val="outset" w:sz="6" w:space="0" w:color="auto"/>
                      <w:right w:val="outset" w:sz="6" w:space="0" w:color="auto"/>
                    </w:tcBorders>
                  </w:tcPr>
                  <w:p w14:paraId="39AA09BA" w14:textId="77777777" w:rsidR="007E7472" w:rsidRDefault="00C8327E"/>
                </w:tc>
                <w:tc>
                  <w:tcPr>
                    <w:tcW w:w="1411" w:type="pct"/>
                    <w:tcBorders>
                      <w:top w:val="outset" w:sz="6" w:space="0" w:color="auto"/>
                      <w:left w:val="outset" w:sz="6" w:space="0" w:color="auto"/>
                      <w:bottom w:val="outset" w:sz="6" w:space="0" w:color="auto"/>
                      <w:right w:val="outset" w:sz="6" w:space="0" w:color="auto"/>
                    </w:tcBorders>
                    <w:vAlign w:val="center"/>
                  </w:tcPr>
                  <w:p w14:paraId="4B4407B3" w14:textId="77777777" w:rsidR="007E7472" w:rsidRDefault="00C832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0BE843C9" w14:textId="77777777" w:rsidR="007E7472" w:rsidRDefault="00C8327E">
                    <w:pPr>
                      <w:jc w:val="right"/>
                    </w:pPr>
                  </w:p>
                </w:tc>
              </w:tr>
              <w:tr w:rsidR="007E7472" w14:paraId="6323F539" w14:textId="77777777">
                <w:sdt>
                  <w:sdtPr>
                    <w:tag w:val="_PLD_2c899ef8da434424b5289e4324851489"/>
                    <w:id w:val="706138141"/>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22C514CC" w14:textId="77777777" w:rsidR="007E7472" w:rsidRDefault="00EC1269">
                        <w:pPr>
                          <w:ind w:firstLineChars="200" w:firstLine="420"/>
                        </w:pPr>
                        <w:r>
                          <w:rPr>
                            <w:rFonts w:hint="eastAsia"/>
                          </w:rPr>
                          <w:t>非流动负债合计</w:t>
                        </w:r>
                      </w:p>
                    </w:tc>
                  </w:sdtContent>
                </w:sdt>
                <w:tc>
                  <w:tcPr>
                    <w:tcW w:w="627" w:type="pct"/>
                    <w:tcBorders>
                      <w:top w:val="outset" w:sz="6" w:space="0" w:color="auto"/>
                      <w:left w:val="outset" w:sz="6" w:space="0" w:color="auto"/>
                      <w:bottom w:val="outset" w:sz="6" w:space="0" w:color="auto"/>
                      <w:right w:val="outset" w:sz="6" w:space="0" w:color="auto"/>
                    </w:tcBorders>
                  </w:tcPr>
                  <w:p w14:paraId="7DBB932C" w14:textId="77777777" w:rsidR="007E7472" w:rsidRDefault="00C8327E"/>
                </w:tc>
                <w:tc>
                  <w:tcPr>
                    <w:tcW w:w="1411" w:type="pct"/>
                    <w:tcBorders>
                      <w:top w:val="outset" w:sz="6" w:space="0" w:color="auto"/>
                      <w:left w:val="outset" w:sz="6" w:space="0" w:color="auto"/>
                      <w:bottom w:val="outset" w:sz="6" w:space="0" w:color="auto"/>
                      <w:right w:val="outset" w:sz="6" w:space="0" w:color="auto"/>
                    </w:tcBorders>
                    <w:vAlign w:val="center"/>
                  </w:tcPr>
                  <w:p w14:paraId="200A009D" w14:textId="77777777" w:rsidR="007E7472" w:rsidRDefault="00EC1269">
                    <w:pPr>
                      <w:jc w:val="right"/>
                    </w:pPr>
                    <w:r>
                      <w:t>59,739,442</w:t>
                    </w:r>
                  </w:p>
                </w:tc>
                <w:tc>
                  <w:tcPr>
                    <w:tcW w:w="1333" w:type="pct"/>
                    <w:tcBorders>
                      <w:top w:val="outset" w:sz="6" w:space="0" w:color="auto"/>
                      <w:left w:val="outset" w:sz="6" w:space="0" w:color="auto"/>
                      <w:bottom w:val="outset" w:sz="6" w:space="0" w:color="auto"/>
                      <w:right w:val="outset" w:sz="6" w:space="0" w:color="auto"/>
                    </w:tcBorders>
                    <w:vAlign w:val="center"/>
                  </w:tcPr>
                  <w:p w14:paraId="3AC643CD" w14:textId="77777777" w:rsidR="007E7472" w:rsidRDefault="00EC1269">
                    <w:pPr>
                      <w:jc w:val="right"/>
                    </w:pPr>
                    <w:r>
                      <w:t>54,822,782</w:t>
                    </w:r>
                  </w:p>
                </w:tc>
              </w:tr>
              <w:tr w:rsidR="007E7472" w14:paraId="60D54257" w14:textId="77777777">
                <w:sdt>
                  <w:sdtPr>
                    <w:tag w:val="_PLD_e2102ad9792147f2bf11ec884c204033"/>
                    <w:id w:val="1286000605"/>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5837F2B" w14:textId="77777777" w:rsidR="007E7472" w:rsidRDefault="00EC1269">
                        <w:pPr>
                          <w:ind w:firstLineChars="300" w:firstLine="630"/>
                        </w:pPr>
                        <w:r>
                          <w:rPr>
                            <w:rFonts w:hint="eastAsia"/>
                          </w:rPr>
                          <w:t>负债合计</w:t>
                        </w:r>
                      </w:p>
                    </w:tc>
                  </w:sdtContent>
                </w:sdt>
                <w:tc>
                  <w:tcPr>
                    <w:tcW w:w="627" w:type="pct"/>
                    <w:tcBorders>
                      <w:top w:val="outset" w:sz="6" w:space="0" w:color="auto"/>
                      <w:left w:val="outset" w:sz="6" w:space="0" w:color="auto"/>
                      <w:bottom w:val="outset" w:sz="6" w:space="0" w:color="auto"/>
                      <w:right w:val="outset" w:sz="6" w:space="0" w:color="auto"/>
                    </w:tcBorders>
                  </w:tcPr>
                  <w:p w14:paraId="50B2914D" w14:textId="77777777" w:rsidR="007E7472" w:rsidRDefault="00C8327E"/>
                </w:tc>
                <w:tc>
                  <w:tcPr>
                    <w:tcW w:w="1411" w:type="pct"/>
                    <w:tcBorders>
                      <w:top w:val="outset" w:sz="6" w:space="0" w:color="auto"/>
                      <w:left w:val="outset" w:sz="6" w:space="0" w:color="auto"/>
                      <w:bottom w:val="outset" w:sz="6" w:space="0" w:color="auto"/>
                      <w:right w:val="outset" w:sz="6" w:space="0" w:color="auto"/>
                    </w:tcBorders>
                    <w:vAlign w:val="center"/>
                  </w:tcPr>
                  <w:p w14:paraId="6D7D1A66" w14:textId="77777777" w:rsidR="007E7472" w:rsidRDefault="00EC1269">
                    <w:pPr>
                      <w:jc w:val="right"/>
                    </w:pPr>
                    <w:r>
                      <w:t>131,039,016</w:t>
                    </w:r>
                  </w:p>
                </w:tc>
                <w:tc>
                  <w:tcPr>
                    <w:tcW w:w="1333" w:type="pct"/>
                    <w:tcBorders>
                      <w:top w:val="outset" w:sz="6" w:space="0" w:color="auto"/>
                      <w:left w:val="outset" w:sz="6" w:space="0" w:color="auto"/>
                      <w:bottom w:val="outset" w:sz="6" w:space="0" w:color="auto"/>
                      <w:right w:val="outset" w:sz="6" w:space="0" w:color="auto"/>
                    </w:tcBorders>
                    <w:vAlign w:val="center"/>
                  </w:tcPr>
                  <w:p w14:paraId="736ABCAE" w14:textId="77777777" w:rsidR="007E7472" w:rsidRDefault="00EC1269">
                    <w:pPr>
                      <w:jc w:val="right"/>
                    </w:pPr>
                    <w:r>
                      <w:t>108,744,573</w:t>
                    </w:r>
                  </w:p>
                </w:tc>
              </w:tr>
              <w:tr w:rsidR="007E7472" w14:paraId="042E1B66" w14:textId="77777777">
                <w:sdt>
                  <w:sdtPr>
                    <w:tag w:val="_PLD_b3c95ee428314f8b8091bd15dff2a83d"/>
                    <w:id w:val="-1282490746"/>
                  </w:sdtPr>
                  <w:sdtEndPr/>
                  <w:sdtContent>
                    <w:tc>
                      <w:tcPr>
                        <w:tcW w:w="5000" w:type="pct"/>
                        <w:gridSpan w:val="4"/>
                        <w:tcBorders>
                          <w:top w:val="outset" w:sz="6" w:space="0" w:color="auto"/>
                          <w:left w:val="outset" w:sz="6" w:space="0" w:color="auto"/>
                          <w:bottom w:val="outset" w:sz="6" w:space="0" w:color="auto"/>
                          <w:right w:val="outset" w:sz="6" w:space="0" w:color="auto"/>
                        </w:tcBorders>
                        <w:vAlign w:val="center"/>
                      </w:tcPr>
                      <w:p w14:paraId="705EE96E" w14:textId="77777777" w:rsidR="007E7472" w:rsidRDefault="00EC1269">
                        <w:pPr>
                          <w:rPr>
                            <w:color w:val="008000"/>
                          </w:rPr>
                        </w:pPr>
                        <w:r>
                          <w:rPr>
                            <w:rFonts w:hint="eastAsia"/>
                            <w:b/>
                          </w:rPr>
                          <w:t>所有者权益（或股东权益）：</w:t>
                        </w:r>
                      </w:p>
                    </w:tc>
                  </w:sdtContent>
                </w:sdt>
              </w:tr>
              <w:tr w:rsidR="007E7472" w14:paraId="7403E39C" w14:textId="77777777">
                <w:sdt>
                  <w:sdtPr>
                    <w:tag w:val="_PLD_4dc50e71aa7b412096aaa176abd95e28"/>
                    <w:id w:val="2027516676"/>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7DDC409" w14:textId="77777777" w:rsidR="007E7472" w:rsidRDefault="00EC1269">
                        <w:pPr>
                          <w:ind w:firstLineChars="100" w:firstLine="210"/>
                        </w:pPr>
                        <w:r>
                          <w:rPr>
                            <w:rFonts w:hint="eastAsia"/>
                          </w:rPr>
                          <w:t>实收资本（或股本）</w:t>
                        </w:r>
                      </w:p>
                    </w:tc>
                  </w:sdtContent>
                </w:sdt>
                <w:tc>
                  <w:tcPr>
                    <w:tcW w:w="627" w:type="pct"/>
                    <w:tcBorders>
                      <w:top w:val="outset" w:sz="6" w:space="0" w:color="auto"/>
                      <w:left w:val="outset" w:sz="6" w:space="0" w:color="auto"/>
                      <w:bottom w:val="outset" w:sz="6" w:space="0" w:color="auto"/>
                      <w:right w:val="outset" w:sz="6" w:space="0" w:color="auto"/>
                    </w:tcBorders>
                  </w:tcPr>
                  <w:p w14:paraId="11B67F04" w14:textId="77777777" w:rsidR="007E7472" w:rsidRDefault="00C8327E"/>
                </w:tc>
                <w:tc>
                  <w:tcPr>
                    <w:tcW w:w="1411" w:type="pct"/>
                    <w:tcBorders>
                      <w:top w:val="outset" w:sz="6" w:space="0" w:color="auto"/>
                      <w:left w:val="outset" w:sz="6" w:space="0" w:color="auto"/>
                      <w:bottom w:val="outset" w:sz="6" w:space="0" w:color="auto"/>
                      <w:right w:val="outset" w:sz="6" w:space="0" w:color="auto"/>
                    </w:tcBorders>
                    <w:vAlign w:val="center"/>
                  </w:tcPr>
                  <w:p w14:paraId="213365BE" w14:textId="77777777" w:rsidR="007E7472" w:rsidRDefault="00EC1269">
                    <w:pPr>
                      <w:jc w:val="right"/>
                    </w:pPr>
                    <w:r>
                      <w:t>4,961,361</w:t>
                    </w:r>
                  </w:p>
                </w:tc>
                <w:tc>
                  <w:tcPr>
                    <w:tcW w:w="1333" w:type="pct"/>
                    <w:tcBorders>
                      <w:top w:val="outset" w:sz="6" w:space="0" w:color="auto"/>
                      <w:left w:val="outset" w:sz="6" w:space="0" w:color="auto"/>
                      <w:bottom w:val="outset" w:sz="6" w:space="0" w:color="auto"/>
                      <w:right w:val="outset" w:sz="6" w:space="0" w:color="auto"/>
                    </w:tcBorders>
                    <w:vAlign w:val="center"/>
                  </w:tcPr>
                  <w:p w14:paraId="4BD2E0B8" w14:textId="77777777" w:rsidR="007E7472" w:rsidRDefault="00EC1269">
                    <w:pPr>
                      <w:jc w:val="right"/>
                    </w:pPr>
                    <w:r>
                      <w:t>4,948,704</w:t>
                    </w:r>
                  </w:p>
                </w:tc>
              </w:tr>
              <w:tr w:rsidR="007E7472" w14:paraId="275EF077" w14:textId="77777777">
                <w:sdt>
                  <w:sdtPr>
                    <w:tag w:val="_PLD_f36127e51236487893688b464544872d"/>
                    <w:id w:val="-1126618731"/>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543FBFAC" w14:textId="77777777" w:rsidR="007E7472" w:rsidRDefault="00EC1269">
                        <w:pPr>
                          <w:ind w:firstLineChars="100" w:firstLine="210"/>
                        </w:pPr>
                        <w:r>
                          <w:rPr>
                            <w:rFonts w:hint="eastAsia"/>
                          </w:rPr>
                          <w:t>其他权益工具</w:t>
                        </w:r>
                      </w:p>
                    </w:tc>
                  </w:sdtContent>
                </w:sdt>
                <w:tc>
                  <w:tcPr>
                    <w:tcW w:w="627" w:type="pct"/>
                    <w:tcBorders>
                      <w:top w:val="outset" w:sz="6" w:space="0" w:color="auto"/>
                      <w:left w:val="outset" w:sz="6" w:space="0" w:color="auto"/>
                      <w:bottom w:val="outset" w:sz="6" w:space="0" w:color="auto"/>
                      <w:right w:val="outset" w:sz="6" w:space="0" w:color="auto"/>
                    </w:tcBorders>
                  </w:tcPr>
                  <w:p w14:paraId="2CA907D2" w14:textId="77777777" w:rsidR="007E7472" w:rsidRDefault="00C8327E"/>
                </w:tc>
                <w:tc>
                  <w:tcPr>
                    <w:tcW w:w="1411" w:type="pct"/>
                    <w:tcBorders>
                      <w:top w:val="outset" w:sz="6" w:space="0" w:color="auto"/>
                      <w:left w:val="outset" w:sz="6" w:space="0" w:color="auto"/>
                      <w:bottom w:val="outset" w:sz="6" w:space="0" w:color="auto"/>
                      <w:right w:val="outset" w:sz="6" w:space="0" w:color="auto"/>
                    </w:tcBorders>
                    <w:vAlign w:val="center"/>
                  </w:tcPr>
                  <w:p w14:paraId="6B9DD110" w14:textId="77777777" w:rsidR="007E7472" w:rsidRDefault="00EC1269">
                    <w:pPr>
                      <w:jc w:val="right"/>
                    </w:pPr>
                    <w:r>
                      <w:t>11,379,189</w:t>
                    </w:r>
                  </w:p>
                </w:tc>
                <w:tc>
                  <w:tcPr>
                    <w:tcW w:w="1333" w:type="pct"/>
                    <w:tcBorders>
                      <w:top w:val="outset" w:sz="6" w:space="0" w:color="auto"/>
                      <w:left w:val="outset" w:sz="6" w:space="0" w:color="auto"/>
                      <w:bottom w:val="outset" w:sz="6" w:space="0" w:color="auto"/>
                      <w:right w:val="outset" w:sz="6" w:space="0" w:color="auto"/>
                    </w:tcBorders>
                    <w:vAlign w:val="center"/>
                  </w:tcPr>
                  <w:p w14:paraId="206A417C" w14:textId="77777777" w:rsidR="007E7472" w:rsidRDefault="00EC1269">
                    <w:pPr>
                      <w:jc w:val="right"/>
                    </w:pPr>
                    <w:r>
                      <w:t>13,248,614</w:t>
                    </w:r>
                  </w:p>
                </w:tc>
              </w:tr>
              <w:tr w:rsidR="007E7472" w14:paraId="5452319A" w14:textId="77777777">
                <w:sdt>
                  <w:sdtPr>
                    <w:tag w:val="_PLD_6ff9fed10f5e4421b4d017b86f339700"/>
                    <w:id w:val="-1795125596"/>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003BC479" w14:textId="77777777" w:rsidR="007E7472" w:rsidRDefault="00EC1269">
                        <w:pPr>
                          <w:ind w:firstLineChars="100" w:firstLine="210"/>
                        </w:pPr>
                        <w:r>
                          <w:rPr>
                            <w:rFonts w:hint="eastAsia"/>
                          </w:rPr>
                          <w:t>其中：优先股</w:t>
                        </w:r>
                      </w:p>
                    </w:tc>
                  </w:sdtContent>
                </w:sdt>
                <w:tc>
                  <w:tcPr>
                    <w:tcW w:w="627" w:type="pct"/>
                    <w:tcBorders>
                      <w:top w:val="outset" w:sz="6" w:space="0" w:color="auto"/>
                      <w:left w:val="outset" w:sz="6" w:space="0" w:color="auto"/>
                      <w:bottom w:val="outset" w:sz="6" w:space="0" w:color="auto"/>
                      <w:right w:val="outset" w:sz="6" w:space="0" w:color="auto"/>
                    </w:tcBorders>
                  </w:tcPr>
                  <w:p w14:paraId="0FED1520" w14:textId="77777777" w:rsidR="007E7472" w:rsidRDefault="00C8327E"/>
                </w:tc>
                <w:tc>
                  <w:tcPr>
                    <w:tcW w:w="1411" w:type="pct"/>
                    <w:tcBorders>
                      <w:top w:val="outset" w:sz="6" w:space="0" w:color="auto"/>
                      <w:left w:val="outset" w:sz="6" w:space="0" w:color="auto"/>
                      <w:bottom w:val="outset" w:sz="6" w:space="0" w:color="auto"/>
                      <w:right w:val="outset" w:sz="6" w:space="0" w:color="auto"/>
                    </w:tcBorders>
                    <w:vAlign w:val="center"/>
                  </w:tcPr>
                  <w:p w14:paraId="155024D3" w14:textId="77777777" w:rsidR="007E7472" w:rsidRDefault="00C8327E">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14:paraId="3EA17D56" w14:textId="77777777" w:rsidR="007E7472" w:rsidRDefault="00C8327E">
                    <w:pPr>
                      <w:jc w:val="right"/>
                    </w:pPr>
                  </w:p>
                </w:tc>
              </w:tr>
              <w:tr w:rsidR="007E7472" w14:paraId="75B9874D" w14:textId="77777777">
                <w:sdt>
                  <w:sdtPr>
                    <w:tag w:val="_PLD_a53508683d034577843778ba9d06a615"/>
                    <w:id w:val="2138287027"/>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045B96F" w14:textId="77777777" w:rsidR="007E7472" w:rsidRDefault="00EC1269">
                        <w:pPr>
                          <w:ind w:leftChars="300" w:left="630" w:firstLineChars="100" w:firstLine="210"/>
                        </w:pPr>
                        <w:r>
                          <w:rPr>
                            <w:rFonts w:hint="eastAsia"/>
                          </w:rPr>
                          <w:t>永续债</w:t>
                        </w:r>
                      </w:p>
                    </w:tc>
                  </w:sdtContent>
                </w:sdt>
                <w:tc>
                  <w:tcPr>
                    <w:tcW w:w="627" w:type="pct"/>
                    <w:tcBorders>
                      <w:top w:val="outset" w:sz="6" w:space="0" w:color="auto"/>
                      <w:left w:val="outset" w:sz="6" w:space="0" w:color="auto"/>
                      <w:bottom w:val="outset" w:sz="6" w:space="0" w:color="auto"/>
                      <w:right w:val="outset" w:sz="6" w:space="0" w:color="auto"/>
                    </w:tcBorders>
                  </w:tcPr>
                  <w:p w14:paraId="3DE7C505" w14:textId="77777777" w:rsidR="007E7472" w:rsidRDefault="00C8327E"/>
                </w:tc>
                <w:tc>
                  <w:tcPr>
                    <w:tcW w:w="1411" w:type="pct"/>
                    <w:tcBorders>
                      <w:top w:val="outset" w:sz="6" w:space="0" w:color="auto"/>
                      <w:left w:val="outset" w:sz="6" w:space="0" w:color="auto"/>
                      <w:bottom w:val="outset" w:sz="6" w:space="0" w:color="auto"/>
                      <w:right w:val="outset" w:sz="6" w:space="0" w:color="auto"/>
                    </w:tcBorders>
                    <w:vAlign w:val="center"/>
                  </w:tcPr>
                  <w:p w14:paraId="7F7E27A8" w14:textId="77777777" w:rsidR="007E7472" w:rsidRDefault="00EC1269">
                    <w:pPr>
                      <w:jc w:val="right"/>
                    </w:pPr>
                    <w:r>
                      <w:t>11,379,189</w:t>
                    </w:r>
                  </w:p>
                </w:tc>
                <w:tc>
                  <w:tcPr>
                    <w:tcW w:w="1333" w:type="pct"/>
                    <w:tcBorders>
                      <w:top w:val="outset" w:sz="6" w:space="0" w:color="auto"/>
                      <w:left w:val="outset" w:sz="6" w:space="0" w:color="auto"/>
                      <w:bottom w:val="outset" w:sz="6" w:space="0" w:color="auto"/>
                      <w:right w:val="outset" w:sz="6" w:space="0" w:color="auto"/>
                    </w:tcBorders>
                    <w:vAlign w:val="center"/>
                  </w:tcPr>
                  <w:p w14:paraId="25C445E1" w14:textId="77777777" w:rsidR="007E7472" w:rsidRDefault="00EC1269">
                    <w:pPr>
                      <w:jc w:val="right"/>
                    </w:pPr>
                    <w:r>
                      <w:t>13,248,614</w:t>
                    </w:r>
                  </w:p>
                </w:tc>
              </w:tr>
              <w:tr w:rsidR="007E7472" w14:paraId="5765A67B" w14:textId="77777777">
                <w:sdt>
                  <w:sdtPr>
                    <w:tag w:val="_PLD_08724ab7c9244a1186a8219085238e9f"/>
                    <w:id w:val="1271199028"/>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69888883" w14:textId="77777777" w:rsidR="007E7472" w:rsidRDefault="00EC1269">
                        <w:pPr>
                          <w:ind w:firstLineChars="100" w:firstLine="210"/>
                        </w:pPr>
                        <w:r>
                          <w:rPr>
                            <w:rFonts w:hint="eastAsia"/>
                          </w:rPr>
                          <w:t>资本公积</w:t>
                        </w:r>
                      </w:p>
                    </w:tc>
                  </w:sdtContent>
                </w:sdt>
                <w:tc>
                  <w:tcPr>
                    <w:tcW w:w="627" w:type="pct"/>
                    <w:tcBorders>
                      <w:top w:val="outset" w:sz="6" w:space="0" w:color="auto"/>
                      <w:left w:val="outset" w:sz="6" w:space="0" w:color="auto"/>
                      <w:bottom w:val="outset" w:sz="6" w:space="0" w:color="auto"/>
                      <w:right w:val="outset" w:sz="6" w:space="0" w:color="auto"/>
                    </w:tcBorders>
                  </w:tcPr>
                  <w:p w14:paraId="35E9E707" w14:textId="77777777" w:rsidR="007E7472" w:rsidRDefault="00C8327E"/>
                </w:tc>
                <w:tc>
                  <w:tcPr>
                    <w:tcW w:w="1411" w:type="pct"/>
                    <w:tcBorders>
                      <w:top w:val="outset" w:sz="6" w:space="0" w:color="auto"/>
                      <w:left w:val="outset" w:sz="6" w:space="0" w:color="auto"/>
                      <w:bottom w:val="outset" w:sz="6" w:space="0" w:color="auto"/>
                      <w:right w:val="outset" w:sz="6" w:space="0" w:color="auto"/>
                    </w:tcBorders>
                    <w:vAlign w:val="center"/>
                  </w:tcPr>
                  <w:p w14:paraId="6950BE6C" w14:textId="77777777" w:rsidR="007E7472" w:rsidRDefault="00EC1269">
                    <w:pPr>
                      <w:jc w:val="right"/>
                    </w:pPr>
                    <w:r>
                      <w:t>767,884</w:t>
                    </w:r>
                  </w:p>
                </w:tc>
                <w:tc>
                  <w:tcPr>
                    <w:tcW w:w="1333" w:type="pct"/>
                    <w:tcBorders>
                      <w:top w:val="outset" w:sz="6" w:space="0" w:color="auto"/>
                      <w:left w:val="outset" w:sz="6" w:space="0" w:color="auto"/>
                      <w:bottom w:val="outset" w:sz="6" w:space="0" w:color="auto"/>
                      <w:right w:val="outset" w:sz="6" w:space="0" w:color="auto"/>
                    </w:tcBorders>
                    <w:vAlign w:val="center"/>
                  </w:tcPr>
                  <w:p w14:paraId="59A62EFE" w14:textId="77777777" w:rsidR="007E7472" w:rsidRDefault="00EC1269">
                    <w:pPr>
                      <w:jc w:val="right"/>
                    </w:pPr>
                    <w:r>
                      <w:t>741,560</w:t>
                    </w:r>
                  </w:p>
                </w:tc>
              </w:tr>
              <w:tr w:rsidR="007E7472" w14:paraId="7F3D86AD" w14:textId="77777777">
                <w:sdt>
                  <w:sdtPr>
                    <w:tag w:val="_PLD_acf5eb5023ce48a38a6314aa3a59978b"/>
                    <w:id w:val="831642278"/>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1B09F36" w14:textId="77777777" w:rsidR="007E7472" w:rsidRDefault="00EC1269">
                        <w:pPr>
                          <w:ind w:firstLineChars="100" w:firstLine="210"/>
                        </w:pPr>
                        <w:r>
                          <w:rPr>
                            <w:rFonts w:hint="eastAsia"/>
                          </w:rPr>
                          <w:t>减：库存股</w:t>
                        </w:r>
                      </w:p>
                    </w:tc>
                  </w:sdtContent>
                </w:sdt>
                <w:tc>
                  <w:tcPr>
                    <w:tcW w:w="627" w:type="pct"/>
                    <w:tcBorders>
                      <w:top w:val="outset" w:sz="6" w:space="0" w:color="auto"/>
                      <w:left w:val="outset" w:sz="6" w:space="0" w:color="auto"/>
                      <w:bottom w:val="outset" w:sz="6" w:space="0" w:color="auto"/>
                      <w:right w:val="outset" w:sz="6" w:space="0" w:color="auto"/>
                    </w:tcBorders>
                  </w:tcPr>
                  <w:p w14:paraId="1FD8D55A" w14:textId="77777777" w:rsidR="007E7472" w:rsidRDefault="00C8327E"/>
                </w:tc>
                <w:tc>
                  <w:tcPr>
                    <w:tcW w:w="1411" w:type="pct"/>
                    <w:tcBorders>
                      <w:top w:val="outset" w:sz="6" w:space="0" w:color="auto"/>
                      <w:left w:val="outset" w:sz="6" w:space="0" w:color="auto"/>
                      <w:bottom w:val="outset" w:sz="6" w:space="0" w:color="auto"/>
                      <w:right w:val="outset" w:sz="6" w:space="0" w:color="auto"/>
                    </w:tcBorders>
                    <w:vAlign w:val="center"/>
                  </w:tcPr>
                  <w:p w14:paraId="5C7DA58D" w14:textId="77777777" w:rsidR="007E7472" w:rsidRDefault="00EC1269">
                    <w:pPr>
                      <w:jc w:val="right"/>
                    </w:pPr>
                    <w:r>
                      <w:t>723,593</w:t>
                    </w:r>
                  </w:p>
                </w:tc>
                <w:tc>
                  <w:tcPr>
                    <w:tcW w:w="1333" w:type="pct"/>
                    <w:tcBorders>
                      <w:top w:val="outset" w:sz="6" w:space="0" w:color="auto"/>
                      <w:left w:val="outset" w:sz="6" w:space="0" w:color="auto"/>
                      <w:bottom w:val="outset" w:sz="6" w:space="0" w:color="auto"/>
                      <w:right w:val="outset" w:sz="6" w:space="0" w:color="auto"/>
                    </w:tcBorders>
                    <w:vAlign w:val="center"/>
                  </w:tcPr>
                  <w:p w14:paraId="5B44F37A" w14:textId="77777777" w:rsidR="007E7472" w:rsidRDefault="00EC1269">
                    <w:pPr>
                      <w:jc w:val="right"/>
                    </w:pPr>
                    <w:r>
                      <w:t>723,593</w:t>
                    </w:r>
                  </w:p>
                </w:tc>
              </w:tr>
              <w:tr w:rsidR="007E7472" w14:paraId="00F7CF25" w14:textId="77777777">
                <w:sdt>
                  <w:sdtPr>
                    <w:tag w:val="_PLD_b511319799ae49febdfc2f1e81f6d67c"/>
                    <w:id w:val="2039088804"/>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664A89C" w14:textId="77777777" w:rsidR="007E7472" w:rsidRDefault="00EC1269">
                        <w:pPr>
                          <w:ind w:firstLineChars="100" w:firstLine="210"/>
                        </w:pPr>
                        <w:r>
                          <w:rPr>
                            <w:rFonts w:hint="eastAsia"/>
                          </w:rPr>
                          <w:t>其他综合收益</w:t>
                        </w:r>
                      </w:p>
                    </w:tc>
                  </w:sdtContent>
                </w:sdt>
                <w:tc>
                  <w:tcPr>
                    <w:tcW w:w="627" w:type="pct"/>
                    <w:tcBorders>
                      <w:top w:val="outset" w:sz="6" w:space="0" w:color="auto"/>
                      <w:left w:val="outset" w:sz="6" w:space="0" w:color="auto"/>
                      <w:bottom w:val="outset" w:sz="6" w:space="0" w:color="auto"/>
                      <w:right w:val="outset" w:sz="6" w:space="0" w:color="auto"/>
                    </w:tcBorders>
                  </w:tcPr>
                  <w:p w14:paraId="0EA55BFD" w14:textId="77777777" w:rsidR="007E7472" w:rsidRDefault="00C8327E"/>
                </w:tc>
                <w:tc>
                  <w:tcPr>
                    <w:tcW w:w="1411" w:type="pct"/>
                    <w:tcBorders>
                      <w:top w:val="outset" w:sz="6" w:space="0" w:color="auto"/>
                      <w:left w:val="outset" w:sz="6" w:space="0" w:color="auto"/>
                      <w:bottom w:val="outset" w:sz="6" w:space="0" w:color="auto"/>
                      <w:right w:val="outset" w:sz="6" w:space="0" w:color="auto"/>
                    </w:tcBorders>
                    <w:vAlign w:val="center"/>
                  </w:tcPr>
                  <w:p w14:paraId="78C6C15D" w14:textId="77777777" w:rsidR="007E7472" w:rsidRDefault="00EC1269">
                    <w:pPr>
                      <w:jc w:val="right"/>
                    </w:pPr>
                    <w:r>
                      <w:t>244,466</w:t>
                    </w:r>
                  </w:p>
                </w:tc>
                <w:tc>
                  <w:tcPr>
                    <w:tcW w:w="1333" w:type="pct"/>
                    <w:tcBorders>
                      <w:top w:val="outset" w:sz="6" w:space="0" w:color="auto"/>
                      <w:left w:val="outset" w:sz="6" w:space="0" w:color="auto"/>
                      <w:bottom w:val="outset" w:sz="6" w:space="0" w:color="auto"/>
                      <w:right w:val="outset" w:sz="6" w:space="0" w:color="auto"/>
                    </w:tcBorders>
                    <w:vAlign w:val="center"/>
                  </w:tcPr>
                  <w:p w14:paraId="7BF4FF6C" w14:textId="77777777" w:rsidR="007E7472" w:rsidRDefault="00EC1269">
                    <w:pPr>
                      <w:jc w:val="right"/>
                    </w:pPr>
                    <w:r>
                      <w:t>187,468</w:t>
                    </w:r>
                  </w:p>
                </w:tc>
              </w:tr>
              <w:tr w:rsidR="007E7472" w14:paraId="3696A773" w14:textId="77777777">
                <w:sdt>
                  <w:sdtPr>
                    <w:tag w:val="_PLD_485864b6f1a24685a2635ee51b952005"/>
                    <w:id w:val="417062130"/>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DD26A20" w14:textId="77777777" w:rsidR="007E7472" w:rsidRDefault="00EC1269">
                        <w:pPr>
                          <w:ind w:firstLineChars="100" w:firstLine="210"/>
                        </w:pPr>
                        <w:r>
                          <w:rPr>
                            <w:rFonts w:hint="eastAsia"/>
                          </w:rPr>
                          <w:t>专项储备</w:t>
                        </w:r>
                      </w:p>
                    </w:tc>
                  </w:sdtContent>
                </w:sdt>
                <w:tc>
                  <w:tcPr>
                    <w:tcW w:w="627" w:type="pct"/>
                    <w:tcBorders>
                      <w:top w:val="outset" w:sz="6" w:space="0" w:color="auto"/>
                      <w:left w:val="outset" w:sz="6" w:space="0" w:color="auto"/>
                      <w:bottom w:val="outset" w:sz="6" w:space="0" w:color="auto"/>
                      <w:right w:val="outset" w:sz="6" w:space="0" w:color="auto"/>
                    </w:tcBorders>
                  </w:tcPr>
                  <w:p w14:paraId="4C3E237E" w14:textId="77777777" w:rsidR="007E7472" w:rsidRDefault="00C8327E"/>
                </w:tc>
                <w:tc>
                  <w:tcPr>
                    <w:tcW w:w="1411" w:type="pct"/>
                    <w:tcBorders>
                      <w:top w:val="outset" w:sz="6" w:space="0" w:color="auto"/>
                      <w:left w:val="outset" w:sz="6" w:space="0" w:color="auto"/>
                      <w:bottom w:val="outset" w:sz="6" w:space="0" w:color="auto"/>
                      <w:right w:val="outset" w:sz="6" w:space="0" w:color="auto"/>
                    </w:tcBorders>
                    <w:vAlign w:val="center"/>
                  </w:tcPr>
                  <w:p w14:paraId="06E48439" w14:textId="77777777" w:rsidR="007E7472" w:rsidRDefault="00EC1269">
                    <w:pPr>
                      <w:jc w:val="right"/>
                    </w:pPr>
                    <w:r>
                      <w:t>2,299,162</w:t>
                    </w:r>
                  </w:p>
                </w:tc>
                <w:tc>
                  <w:tcPr>
                    <w:tcW w:w="1333" w:type="pct"/>
                    <w:tcBorders>
                      <w:top w:val="outset" w:sz="6" w:space="0" w:color="auto"/>
                      <w:left w:val="outset" w:sz="6" w:space="0" w:color="auto"/>
                      <w:bottom w:val="outset" w:sz="6" w:space="0" w:color="auto"/>
                      <w:right w:val="outset" w:sz="6" w:space="0" w:color="auto"/>
                    </w:tcBorders>
                    <w:vAlign w:val="center"/>
                  </w:tcPr>
                  <w:p w14:paraId="07B14452" w14:textId="77777777" w:rsidR="007E7472" w:rsidRDefault="00EC1269">
                    <w:pPr>
                      <w:jc w:val="right"/>
                    </w:pPr>
                    <w:r>
                      <w:t>2,229,349</w:t>
                    </w:r>
                  </w:p>
                </w:tc>
              </w:tr>
              <w:tr w:rsidR="007E7472" w14:paraId="44EFC437" w14:textId="77777777">
                <w:sdt>
                  <w:sdtPr>
                    <w:tag w:val="_PLD_81d459a1820947dd8bb91df8e71c615b"/>
                    <w:id w:val="-1759746517"/>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4CA2C051" w14:textId="77777777" w:rsidR="007E7472" w:rsidRDefault="00EC1269">
                        <w:pPr>
                          <w:ind w:firstLineChars="100" w:firstLine="210"/>
                        </w:pPr>
                        <w:r>
                          <w:rPr>
                            <w:rFonts w:hint="eastAsia"/>
                          </w:rPr>
                          <w:t>盈余公积</w:t>
                        </w:r>
                      </w:p>
                    </w:tc>
                  </w:sdtContent>
                </w:sdt>
                <w:tc>
                  <w:tcPr>
                    <w:tcW w:w="627" w:type="pct"/>
                    <w:tcBorders>
                      <w:top w:val="outset" w:sz="6" w:space="0" w:color="auto"/>
                      <w:left w:val="outset" w:sz="6" w:space="0" w:color="auto"/>
                      <w:bottom w:val="outset" w:sz="6" w:space="0" w:color="auto"/>
                      <w:right w:val="outset" w:sz="6" w:space="0" w:color="auto"/>
                    </w:tcBorders>
                  </w:tcPr>
                  <w:p w14:paraId="1AB8BF97" w14:textId="77777777" w:rsidR="007E7472" w:rsidRDefault="00C8327E"/>
                </w:tc>
                <w:tc>
                  <w:tcPr>
                    <w:tcW w:w="1411" w:type="pct"/>
                    <w:tcBorders>
                      <w:top w:val="outset" w:sz="6" w:space="0" w:color="auto"/>
                      <w:left w:val="outset" w:sz="6" w:space="0" w:color="auto"/>
                      <w:bottom w:val="outset" w:sz="6" w:space="0" w:color="auto"/>
                      <w:right w:val="outset" w:sz="6" w:space="0" w:color="auto"/>
                    </w:tcBorders>
                    <w:vAlign w:val="center"/>
                  </w:tcPr>
                  <w:p w14:paraId="3C9AC75E" w14:textId="77777777" w:rsidR="007E7472" w:rsidRDefault="00EC1269">
                    <w:pPr>
                      <w:jc w:val="right"/>
                    </w:pPr>
                    <w:r>
                      <w:t>2,703,146</w:t>
                    </w:r>
                  </w:p>
                </w:tc>
                <w:tc>
                  <w:tcPr>
                    <w:tcW w:w="1333" w:type="pct"/>
                    <w:tcBorders>
                      <w:top w:val="outset" w:sz="6" w:space="0" w:color="auto"/>
                      <w:left w:val="outset" w:sz="6" w:space="0" w:color="auto"/>
                      <w:bottom w:val="outset" w:sz="6" w:space="0" w:color="auto"/>
                      <w:right w:val="outset" w:sz="6" w:space="0" w:color="auto"/>
                    </w:tcBorders>
                    <w:vAlign w:val="center"/>
                  </w:tcPr>
                  <w:p w14:paraId="18DF2DE1" w14:textId="77777777" w:rsidR="007E7472" w:rsidRDefault="00EC1269">
                    <w:pPr>
                      <w:jc w:val="right"/>
                    </w:pPr>
                    <w:r>
                      <w:t>2,703,146</w:t>
                    </w:r>
                  </w:p>
                </w:tc>
              </w:tr>
              <w:tr w:rsidR="007E7472" w14:paraId="17CEFFED" w14:textId="77777777">
                <w:sdt>
                  <w:sdtPr>
                    <w:tag w:val="_PLD_9bf3fa2bf87240889853d8e32c117a77"/>
                    <w:id w:val="-841857267"/>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3D4743A7" w14:textId="77777777" w:rsidR="007E7472" w:rsidRDefault="00EC1269">
                        <w:pPr>
                          <w:ind w:firstLineChars="100" w:firstLine="210"/>
                        </w:pPr>
                        <w:r>
                          <w:rPr>
                            <w:rFonts w:hint="eastAsia"/>
                          </w:rPr>
                          <w:t>未分配利润</w:t>
                        </w:r>
                      </w:p>
                    </w:tc>
                  </w:sdtContent>
                </w:sdt>
                <w:tc>
                  <w:tcPr>
                    <w:tcW w:w="627" w:type="pct"/>
                    <w:tcBorders>
                      <w:top w:val="outset" w:sz="6" w:space="0" w:color="auto"/>
                      <w:left w:val="outset" w:sz="6" w:space="0" w:color="auto"/>
                      <w:bottom w:val="outset" w:sz="6" w:space="0" w:color="auto"/>
                      <w:right w:val="outset" w:sz="6" w:space="0" w:color="auto"/>
                    </w:tcBorders>
                  </w:tcPr>
                  <w:p w14:paraId="71FB370E" w14:textId="77777777" w:rsidR="007E7472" w:rsidRDefault="00C8327E"/>
                </w:tc>
                <w:tc>
                  <w:tcPr>
                    <w:tcW w:w="1411" w:type="pct"/>
                    <w:tcBorders>
                      <w:top w:val="outset" w:sz="6" w:space="0" w:color="auto"/>
                      <w:left w:val="outset" w:sz="6" w:space="0" w:color="auto"/>
                      <w:bottom w:val="outset" w:sz="6" w:space="0" w:color="auto"/>
                      <w:right w:val="outset" w:sz="6" w:space="0" w:color="auto"/>
                    </w:tcBorders>
                    <w:vAlign w:val="center"/>
                  </w:tcPr>
                  <w:p w14:paraId="4D7C08AD" w14:textId="77777777" w:rsidR="007E7472" w:rsidRDefault="00EC1269">
                    <w:pPr>
                      <w:jc w:val="right"/>
                    </w:pPr>
                    <w:r>
                      <w:t>28,362,646</w:t>
                    </w:r>
                  </w:p>
                </w:tc>
                <w:tc>
                  <w:tcPr>
                    <w:tcW w:w="1333" w:type="pct"/>
                    <w:tcBorders>
                      <w:top w:val="outset" w:sz="6" w:space="0" w:color="auto"/>
                      <w:left w:val="outset" w:sz="6" w:space="0" w:color="auto"/>
                      <w:bottom w:val="outset" w:sz="6" w:space="0" w:color="auto"/>
                      <w:right w:val="outset" w:sz="6" w:space="0" w:color="auto"/>
                    </w:tcBorders>
                    <w:vAlign w:val="center"/>
                  </w:tcPr>
                  <w:p w14:paraId="2A65A09A" w14:textId="77777777" w:rsidR="007E7472" w:rsidRDefault="00EC1269">
                    <w:pPr>
                      <w:jc w:val="right"/>
                    </w:pPr>
                    <w:r>
                      <w:t>41,793,364</w:t>
                    </w:r>
                  </w:p>
                </w:tc>
              </w:tr>
              <w:tr w:rsidR="007E7472" w14:paraId="0BE2FA8C" w14:textId="77777777">
                <w:sdt>
                  <w:sdtPr>
                    <w:tag w:val="_PLD_a8e701b7d2f8447c8bb34870babce384"/>
                    <w:id w:val="44269205"/>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7B3CE19D" w14:textId="77777777" w:rsidR="007E7472" w:rsidRDefault="00EC1269">
                        <w:pPr>
                          <w:ind w:firstLineChars="200" w:firstLine="420"/>
                        </w:pPr>
                        <w:r>
                          <w:rPr>
                            <w:rFonts w:hint="eastAsia"/>
                          </w:rPr>
                          <w:t>所有者权益（或股东权益）合计</w:t>
                        </w:r>
                      </w:p>
                    </w:tc>
                  </w:sdtContent>
                </w:sdt>
                <w:tc>
                  <w:tcPr>
                    <w:tcW w:w="627" w:type="pct"/>
                    <w:tcBorders>
                      <w:top w:val="outset" w:sz="6" w:space="0" w:color="auto"/>
                      <w:left w:val="outset" w:sz="6" w:space="0" w:color="auto"/>
                      <w:bottom w:val="outset" w:sz="6" w:space="0" w:color="auto"/>
                      <w:right w:val="outset" w:sz="6" w:space="0" w:color="auto"/>
                    </w:tcBorders>
                  </w:tcPr>
                  <w:p w14:paraId="69A83EEA" w14:textId="77777777" w:rsidR="007E7472" w:rsidRDefault="00C8327E"/>
                </w:tc>
                <w:tc>
                  <w:tcPr>
                    <w:tcW w:w="1411" w:type="pct"/>
                    <w:tcBorders>
                      <w:top w:val="outset" w:sz="6" w:space="0" w:color="auto"/>
                      <w:left w:val="outset" w:sz="6" w:space="0" w:color="auto"/>
                      <w:bottom w:val="outset" w:sz="6" w:space="0" w:color="auto"/>
                      <w:right w:val="outset" w:sz="6" w:space="0" w:color="auto"/>
                    </w:tcBorders>
                    <w:vAlign w:val="center"/>
                  </w:tcPr>
                  <w:p w14:paraId="76829303" w14:textId="77777777" w:rsidR="007E7472" w:rsidRDefault="00EC1269">
                    <w:pPr>
                      <w:jc w:val="right"/>
                    </w:pPr>
                    <w:r>
                      <w:t>49,994,261</w:t>
                    </w:r>
                  </w:p>
                </w:tc>
                <w:tc>
                  <w:tcPr>
                    <w:tcW w:w="1333" w:type="pct"/>
                    <w:tcBorders>
                      <w:top w:val="outset" w:sz="6" w:space="0" w:color="auto"/>
                      <w:left w:val="outset" w:sz="6" w:space="0" w:color="auto"/>
                      <w:bottom w:val="outset" w:sz="6" w:space="0" w:color="auto"/>
                      <w:right w:val="outset" w:sz="6" w:space="0" w:color="auto"/>
                    </w:tcBorders>
                    <w:vAlign w:val="center"/>
                  </w:tcPr>
                  <w:p w14:paraId="0A4ECB89" w14:textId="77777777" w:rsidR="007E7472" w:rsidRDefault="00EC1269">
                    <w:pPr>
                      <w:jc w:val="right"/>
                    </w:pPr>
                    <w:r>
                      <w:t>65,128,612</w:t>
                    </w:r>
                  </w:p>
                </w:tc>
              </w:tr>
              <w:tr w:rsidR="007E7472" w14:paraId="45AEF0F4" w14:textId="77777777">
                <w:sdt>
                  <w:sdtPr>
                    <w:tag w:val="_PLD_448d7a5f1f6c488cb5525aa8d0d88441"/>
                    <w:id w:val="1670910510"/>
                  </w:sdtPr>
                  <w:sdtEndPr/>
                  <w:sdtContent>
                    <w:tc>
                      <w:tcPr>
                        <w:tcW w:w="1629" w:type="pct"/>
                        <w:tcBorders>
                          <w:top w:val="outset" w:sz="6" w:space="0" w:color="auto"/>
                          <w:left w:val="outset" w:sz="6" w:space="0" w:color="auto"/>
                          <w:bottom w:val="outset" w:sz="6" w:space="0" w:color="auto"/>
                          <w:right w:val="outset" w:sz="6" w:space="0" w:color="auto"/>
                        </w:tcBorders>
                        <w:vAlign w:val="center"/>
                      </w:tcPr>
                      <w:p w14:paraId="1DB2940B" w14:textId="77777777" w:rsidR="007E7472" w:rsidRDefault="00EC1269">
                        <w:pPr>
                          <w:ind w:firstLineChars="300" w:firstLine="630"/>
                        </w:pPr>
                        <w:r>
                          <w:rPr>
                            <w:rFonts w:hint="eastAsia"/>
                          </w:rPr>
                          <w:t>负债和所有者权益（或股东权益）总计</w:t>
                        </w:r>
                      </w:p>
                    </w:tc>
                  </w:sdtContent>
                </w:sdt>
                <w:tc>
                  <w:tcPr>
                    <w:tcW w:w="627" w:type="pct"/>
                    <w:tcBorders>
                      <w:top w:val="outset" w:sz="6" w:space="0" w:color="auto"/>
                      <w:left w:val="outset" w:sz="6" w:space="0" w:color="auto"/>
                      <w:bottom w:val="outset" w:sz="6" w:space="0" w:color="auto"/>
                      <w:right w:val="outset" w:sz="6" w:space="0" w:color="auto"/>
                    </w:tcBorders>
                  </w:tcPr>
                  <w:p w14:paraId="66E632E6" w14:textId="77777777" w:rsidR="007E7472" w:rsidRDefault="00C8327E"/>
                </w:tc>
                <w:tc>
                  <w:tcPr>
                    <w:tcW w:w="1411" w:type="pct"/>
                    <w:tcBorders>
                      <w:top w:val="outset" w:sz="6" w:space="0" w:color="auto"/>
                      <w:left w:val="outset" w:sz="6" w:space="0" w:color="auto"/>
                      <w:bottom w:val="outset" w:sz="6" w:space="0" w:color="auto"/>
                      <w:right w:val="outset" w:sz="6" w:space="0" w:color="auto"/>
                    </w:tcBorders>
                    <w:vAlign w:val="center"/>
                  </w:tcPr>
                  <w:p w14:paraId="283B97A5" w14:textId="77777777" w:rsidR="007E7472" w:rsidRDefault="00EC1269">
                    <w:pPr>
                      <w:jc w:val="right"/>
                    </w:pPr>
                    <w:r>
                      <w:t>181,033,277</w:t>
                    </w:r>
                  </w:p>
                </w:tc>
                <w:tc>
                  <w:tcPr>
                    <w:tcW w:w="1333" w:type="pct"/>
                    <w:tcBorders>
                      <w:top w:val="outset" w:sz="6" w:space="0" w:color="auto"/>
                      <w:left w:val="outset" w:sz="6" w:space="0" w:color="auto"/>
                      <w:bottom w:val="outset" w:sz="6" w:space="0" w:color="auto"/>
                      <w:right w:val="outset" w:sz="6" w:space="0" w:color="auto"/>
                    </w:tcBorders>
                    <w:vAlign w:val="center"/>
                  </w:tcPr>
                  <w:p w14:paraId="1135529C" w14:textId="77777777" w:rsidR="007E7472" w:rsidRDefault="00EC1269">
                    <w:pPr>
                      <w:jc w:val="right"/>
                    </w:pPr>
                    <w:r>
                      <w:t>173,873,185</w:t>
                    </w:r>
                  </w:p>
                </w:tc>
              </w:tr>
              <w:bookmarkEnd w:id="135"/>
            </w:tbl>
            <w:p w14:paraId="69CE62EC" w14:textId="77777777" w:rsidR="007E7472" w:rsidRDefault="00C8327E">
              <w:pPr>
                <w:ind w:rightChars="-73" w:right="-153"/>
              </w:pPr>
            </w:p>
            <w:p w14:paraId="635EA904" w14:textId="1AEDA9E1" w:rsidR="007E7472" w:rsidRDefault="00EC1269">
              <w:pPr>
                <w:ind w:rightChars="-73" w:right="-153"/>
              </w:pPr>
              <w:r>
                <w:t>公司负责人</w:t>
              </w:r>
              <w:r>
                <w:rPr>
                  <w:rFonts w:hint="eastAsia"/>
                </w:rPr>
                <w:t>：</w:t>
              </w:r>
              <w:sdt>
                <w:sdtPr>
                  <w:rPr>
                    <w:rFonts w:hint="eastAsia"/>
                  </w:rPr>
                  <w:alias w:val="公司负责人"/>
                  <w:tag w:val="_GBC_f43f422c96ec4e009c3976ce8e58b778"/>
                  <w:id w:val="-1231845294"/>
                  <w:placeholder>
                    <w:docPart w:val="GBC22222222222222222222222222222"/>
                  </w:placeholder>
                  <w:dataBinding w:prefixMappings="xmlns:clcid-mr='clcid-mr'" w:xpath="/*/clcid-mr:GongSiFuZeRenXingMing[not(@periodRef)]" w:storeItemID="{89EBAB94-44A0-46A2-B712-30D997D04A6D}"/>
                  <w:text/>
                </w:sdtPr>
                <w:sdtEndPr/>
                <w:sdtContent>
                  <w:r w:rsidR="00B47FFE">
                    <w:rPr>
                      <w:rFonts w:hint="eastAsia"/>
                    </w:rPr>
                    <w:t>李伟</w:t>
                  </w:r>
                </w:sdtContent>
              </w:sdt>
              <w:r>
                <w:t>主管会计工作负责人</w:t>
              </w:r>
              <w:r>
                <w:rPr>
                  <w:rFonts w:hint="eastAsia"/>
                </w:rPr>
                <w:t>：</w:t>
              </w:r>
              <w:sdt>
                <w:sdtPr>
                  <w:rPr>
                    <w:rFonts w:hint="eastAsia"/>
                  </w:rPr>
                  <w:alias w:val="主管会计工作负责人姓名"/>
                  <w:tag w:val="_GBC_3ac751c8378d4424bbdf4c74057683d9"/>
                  <w:id w:val="-12840052"/>
                  <w:placeholder>
                    <w:docPart w:val="GBC22222222222222222222222222222"/>
                  </w:placeholder>
                  <w:dataBinding w:prefixMappings="xmlns:clcid-mr='clcid-mr'" w:xpath="/*/clcid-mr:ZhuGuanKuaiJiGongZuoFuZeRenXingMing[not(@periodRef)]" w:storeItemID="{89EBAB94-44A0-46A2-B712-30D997D04A6D}"/>
                  <w:text/>
                </w:sdtPr>
                <w:sdtEndPr/>
                <w:sdtContent>
                  <w:r w:rsidR="00B47FFE">
                    <w:rPr>
                      <w:rFonts w:hint="eastAsia"/>
                    </w:rPr>
                    <w:t>赵青春</w:t>
                  </w:r>
                </w:sdtContent>
              </w:sdt>
              <w:r>
                <w:t>会计机构负责人</w:t>
              </w:r>
              <w:r>
                <w:rPr>
                  <w:rFonts w:hint="eastAsia"/>
                </w:rPr>
                <w:t>：</w:t>
              </w:r>
              <w:sdt>
                <w:sdtPr>
                  <w:rPr>
                    <w:rFonts w:hint="eastAsia"/>
                  </w:rPr>
                  <w:alias w:val="会计机构负责人姓名"/>
                  <w:tag w:val="_GBC_182ff185180a4ea4b9c93bbd4b01de2c"/>
                  <w:id w:val="1012734366"/>
                  <w:placeholder>
                    <w:docPart w:val="GBC22222222222222222222222222222"/>
                  </w:placeholder>
                  <w:dataBinding w:prefixMappings="xmlns:clcid-mr='clcid-mr'" w:xpath="/*/clcid-mr:KuaiJiJiGouFuZeRenXingMing[not(@periodRef)]" w:storeItemID="{89EBAB94-44A0-46A2-B712-30D997D04A6D}"/>
                  <w:text/>
                </w:sdtPr>
                <w:sdtEndPr/>
                <w:sdtContent>
                  <w:r w:rsidR="006F3F93">
                    <w:rPr>
                      <w:rFonts w:hint="eastAsia"/>
                    </w:rPr>
                    <w:t>赵治国</w:t>
                  </w:r>
                </w:sdtContent>
              </w:sdt>
            </w:p>
          </w:sdtContent>
        </w:sdt>
        <w:p w14:paraId="4186D944" w14:textId="77777777" w:rsidR="007E7472" w:rsidRDefault="00C8327E">
          <w:pPr>
            <w:snapToGrid w:val="0"/>
          </w:pPr>
        </w:p>
      </w:sdtContent>
    </w:sdt>
    <w:bookmarkEnd w:id="133"/>
    <w:p w14:paraId="6D49E53C" w14:textId="77777777" w:rsidR="007E7472" w:rsidRDefault="00C8327E">
      <w:pPr>
        <w:ind w:rightChars="-73" w:right="-153"/>
        <w:rPr>
          <w:b/>
          <w:bCs/>
          <w:color w:val="008000"/>
          <w:u w:val="single"/>
        </w:rPr>
      </w:pPr>
    </w:p>
    <w:bookmarkStart w:id="136" w:name="_Hlk10210822" w:displacedByCustomXml="next"/>
    <w:sdt>
      <w:sdtPr>
        <w:rPr>
          <w:rFonts w:hint="eastAsia"/>
          <w:b/>
        </w:rPr>
        <w:alias w:val="选项模块:需要编制合并报表"/>
        <w:tag w:val="_GBC_bf89afc47e17438594730edb3412d929"/>
        <w:id w:val="1147484556"/>
        <w:placeholder>
          <w:docPart w:val="GBC22222222222222222222222222222"/>
        </w:placeholder>
      </w:sdtPr>
      <w:sdtEndPr>
        <w:rPr>
          <w:rFonts w:cs="宋体-方正超大字符集"/>
          <w:b w:val="0"/>
        </w:rPr>
      </w:sdtEndPr>
      <w:sdtContent>
        <w:p w14:paraId="46EC1F57" w14:textId="77777777" w:rsidR="007E7472" w:rsidRDefault="00C8327E">
          <w:pPr>
            <w:jc w:val="center"/>
            <w:rPr>
              <w:b/>
            </w:rPr>
          </w:pPr>
        </w:p>
        <w:sdt>
          <w:sdtPr>
            <w:rPr>
              <w:rFonts w:ascii="宋体" w:hAnsi="宋体" w:cs="宋体" w:hint="eastAsia"/>
              <w:b w:val="0"/>
              <w:bCs w:val="0"/>
              <w:kern w:val="0"/>
              <w:szCs w:val="24"/>
            </w:rPr>
            <w:tag w:val="_GBC_cc363e9840a448cbaf363887668cbe2a"/>
            <w:id w:val="996082477"/>
            <w:lock w:val="sdtLocked"/>
          </w:sdtPr>
          <w:sdtEndPr>
            <w:rPr>
              <w:szCs w:val="21"/>
            </w:rPr>
          </w:sdtEndPr>
          <w:sdtContent>
            <w:p w14:paraId="6B7B1FD9" w14:textId="77777777" w:rsidR="007E7472" w:rsidRDefault="00EC1269" w:rsidP="007E7472">
              <w:pPr>
                <w:pStyle w:val="3"/>
                <w:jc w:val="center"/>
              </w:pPr>
              <w:r>
                <w:rPr>
                  <w:rFonts w:hint="eastAsia"/>
                </w:rPr>
                <w:t>合并</w:t>
              </w:r>
              <w:r>
                <w:t>利润表</w:t>
              </w:r>
            </w:p>
            <w:p w14:paraId="6D81C077" w14:textId="77777777" w:rsidR="007E7472" w:rsidRDefault="00EC1269">
              <w:pPr>
                <w:jc w:val="center"/>
                <w:rPr>
                  <w:b/>
                  <w:bCs/>
                </w:rPr>
              </w:pPr>
              <w:r>
                <w:t>2023年</w:t>
              </w:r>
              <w:r>
                <w:rPr>
                  <w:rFonts w:hint="eastAsia"/>
                </w:rPr>
                <w:t>1—6</w:t>
              </w:r>
              <w:r>
                <w:t>月</w:t>
              </w:r>
            </w:p>
            <w:p w14:paraId="25C18028" w14:textId="29700139" w:rsidR="007E7472" w:rsidRDefault="00EC1269">
              <w:pPr>
                <w:jc w:val="right"/>
              </w:pPr>
              <w:r>
                <w:t>单位：</w:t>
              </w:r>
              <w:sdt>
                <w:sdtPr>
                  <w:alias w:val="单位：合并利润表"/>
                  <w:tag w:val="_GBC_4fec24feb4834b768c484fe556046382"/>
                  <w:id w:val="-1293904763"/>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6F3F93">
                    <w:t>千元</w:t>
                  </w:r>
                </w:sdtContent>
              </w:sdt>
              <w:r>
                <w:t>币种：</w:t>
              </w:r>
              <w:sdt>
                <w:sdtPr>
                  <w:alias w:val="币种：合并利润表"/>
                  <w:tag w:val="_GBC_ae5c0d79e5694eb28ba1b8160e27a464"/>
                  <w:id w:val="51866953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t>人民币</w:t>
                  </w:r>
                </w:sdtContent>
              </w:sdt>
            </w:p>
            <w:tbl>
              <w:tblPr>
                <w:tblStyle w:val="g4"/>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419"/>
                <w:gridCol w:w="1479"/>
                <w:gridCol w:w="1959"/>
                <w:gridCol w:w="1966"/>
              </w:tblGrid>
              <w:tr w:rsidR="007E7472" w14:paraId="70F16EB4" w14:textId="77777777">
                <w:trPr>
                  <w:cantSplit/>
                </w:trPr>
                <w:sdt>
                  <w:sdtPr>
                    <w:tag w:val="_PLD_ea01e0b0c9224fe59426c375515c2359"/>
                    <w:id w:val="21933435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0B5E39CE" w14:textId="77777777" w:rsidR="007E7472" w:rsidRDefault="00EC1269">
                        <w:pPr>
                          <w:ind w:leftChars="-19" w:hangingChars="19" w:hanging="40"/>
                          <w:jc w:val="center"/>
                          <w:rPr>
                            <w:b/>
                          </w:rPr>
                        </w:pPr>
                        <w:r>
                          <w:rPr>
                            <w:b/>
                          </w:rPr>
                          <w:t>项目</w:t>
                        </w:r>
                      </w:p>
                    </w:tc>
                  </w:sdtContent>
                </w:sdt>
                <w:sdt>
                  <w:sdtPr>
                    <w:tag w:val="_PLD_e4f45f42e79e4a4aba892e3a7a7b123d"/>
                    <w:id w:val="2032609893"/>
                    <w:lock w:val="sdtLocked"/>
                  </w:sdtPr>
                  <w:sdtEndPr/>
                  <w:sdtContent>
                    <w:tc>
                      <w:tcPr>
                        <w:tcW w:w="838" w:type="pct"/>
                        <w:tcBorders>
                          <w:top w:val="outset" w:sz="4" w:space="0" w:color="auto"/>
                          <w:left w:val="outset" w:sz="4" w:space="0" w:color="auto"/>
                          <w:bottom w:val="outset" w:sz="4" w:space="0" w:color="auto"/>
                          <w:right w:val="outset" w:sz="4" w:space="0" w:color="auto"/>
                        </w:tcBorders>
                        <w:vAlign w:val="center"/>
                      </w:tcPr>
                      <w:p w14:paraId="38DC3AF3" w14:textId="77777777" w:rsidR="007E7472" w:rsidRDefault="00EC1269">
                        <w:pPr>
                          <w:jc w:val="center"/>
                          <w:rPr>
                            <w:b/>
                          </w:rPr>
                        </w:pPr>
                        <w:r>
                          <w:rPr>
                            <w:rFonts w:hint="eastAsia"/>
                            <w:b/>
                          </w:rPr>
                          <w:t>附注</w:t>
                        </w:r>
                      </w:p>
                    </w:tc>
                  </w:sdtContent>
                </w:sdt>
                <w:sdt>
                  <w:sdtPr>
                    <w:tag w:val="_PLD_41682cdf00e5450394986df99de953d1"/>
                    <w:id w:val="-1157302673"/>
                    <w:lock w:val="sdtLocked"/>
                  </w:sdtPr>
                  <w:sdtEndPr/>
                  <w:sdtContent>
                    <w:tc>
                      <w:tcPr>
                        <w:tcW w:w="1110" w:type="pct"/>
                        <w:tcBorders>
                          <w:top w:val="outset" w:sz="4" w:space="0" w:color="auto"/>
                          <w:left w:val="outset" w:sz="4" w:space="0" w:color="auto"/>
                          <w:bottom w:val="outset" w:sz="4" w:space="0" w:color="auto"/>
                          <w:right w:val="outset" w:sz="4" w:space="0" w:color="auto"/>
                        </w:tcBorders>
                        <w:vAlign w:val="center"/>
                      </w:tcPr>
                      <w:p w14:paraId="73CE4F12" w14:textId="77777777" w:rsidR="007E7472" w:rsidRDefault="00EC1269">
                        <w:pPr>
                          <w:jc w:val="center"/>
                          <w:rPr>
                            <w:b/>
                          </w:rPr>
                        </w:pPr>
                        <w:r>
                          <w:rPr>
                            <w:rFonts w:hint="eastAsia"/>
                            <w:b/>
                          </w:rPr>
                          <w:t>2023年半年度</w:t>
                        </w:r>
                      </w:p>
                    </w:tc>
                  </w:sdtContent>
                </w:sdt>
                <w:sdt>
                  <w:sdtPr>
                    <w:tag w:val="_PLD_f020215569a54a6db2bd3d5298280e01"/>
                    <w:id w:val="1863165101"/>
                    <w:lock w:val="sdtLocked"/>
                  </w:sdtPr>
                  <w:sdtEndPr/>
                  <w:sdtContent>
                    <w:tc>
                      <w:tcPr>
                        <w:tcW w:w="1114" w:type="pct"/>
                        <w:tcBorders>
                          <w:top w:val="outset" w:sz="4" w:space="0" w:color="auto"/>
                          <w:left w:val="outset" w:sz="4" w:space="0" w:color="auto"/>
                          <w:bottom w:val="outset" w:sz="4" w:space="0" w:color="auto"/>
                          <w:right w:val="outset" w:sz="4" w:space="0" w:color="auto"/>
                        </w:tcBorders>
                        <w:vAlign w:val="center"/>
                      </w:tcPr>
                      <w:p w14:paraId="4CBC5ABA" w14:textId="77777777" w:rsidR="007E7472" w:rsidRDefault="00EC1269">
                        <w:pPr>
                          <w:jc w:val="center"/>
                          <w:rPr>
                            <w:b/>
                          </w:rPr>
                        </w:pPr>
                        <w:r>
                          <w:rPr>
                            <w:rFonts w:hint="eastAsia"/>
                            <w:b/>
                          </w:rPr>
                          <w:t>2022年半年度</w:t>
                        </w:r>
                      </w:p>
                    </w:tc>
                  </w:sdtContent>
                </w:sdt>
              </w:tr>
              <w:tr w:rsidR="007E7472" w14:paraId="488E0B64" w14:textId="77777777">
                <w:sdt>
                  <w:sdtPr>
                    <w:tag w:val="_PLD_2d877c352d5440b8bf7dcd1940d9f85b"/>
                    <w:id w:val="-35026104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7930E71F" w14:textId="77777777" w:rsidR="007E7472" w:rsidRDefault="00EC1269">
                        <w:pPr>
                          <w:rPr>
                            <w:color w:val="000000"/>
                          </w:rPr>
                        </w:pPr>
                        <w:r>
                          <w:rPr>
                            <w:rFonts w:hint="eastAsia"/>
                          </w:rPr>
                          <w:t>一、营业总收入</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641F9AA7" w14:textId="77777777" w:rsidR="007E7472" w:rsidRDefault="00EC1269">
                    <w:pPr>
                      <w:jc w:val="center"/>
                    </w:pPr>
                    <w:r>
                      <w:rPr>
                        <w:rFonts w:hint="eastAsia"/>
                      </w:rPr>
                      <w:t>七、61</w:t>
                    </w:r>
                  </w:p>
                </w:tc>
                <w:tc>
                  <w:tcPr>
                    <w:tcW w:w="1110" w:type="pct"/>
                    <w:tcBorders>
                      <w:top w:val="outset" w:sz="4" w:space="0" w:color="auto"/>
                      <w:left w:val="outset" w:sz="4" w:space="0" w:color="auto"/>
                      <w:bottom w:val="outset" w:sz="4" w:space="0" w:color="auto"/>
                      <w:right w:val="outset" w:sz="4" w:space="0" w:color="auto"/>
                    </w:tcBorders>
                    <w:vAlign w:val="center"/>
                  </w:tcPr>
                  <w:p w14:paraId="2B7CE564" w14:textId="77777777" w:rsidR="007E7472" w:rsidRDefault="00EC1269">
                    <w:pPr>
                      <w:jc w:val="right"/>
                    </w:pPr>
                    <w:r>
                      <w:rPr>
                        <w:rFonts w:hint="eastAsia"/>
                      </w:rPr>
                      <w:t>84,401,342</w:t>
                    </w:r>
                  </w:p>
                </w:tc>
                <w:tc>
                  <w:tcPr>
                    <w:tcW w:w="1114" w:type="pct"/>
                    <w:tcBorders>
                      <w:top w:val="outset" w:sz="4" w:space="0" w:color="auto"/>
                      <w:left w:val="outset" w:sz="4" w:space="0" w:color="auto"/>
                      <w:bottom w:val="outset" w:sz="4" w:space="0" w:color="auto"/>
                      <w:right w:val="outset" w:sz="4" w:space="0" w:color="auto"/>
                    </w:tcBorders>
                    <w:vAlign w:val="center"/>
                  </w:tcPr>
                  <w:p w14:paraId="7178F64E" w14:textId="77777777" w:rsidR="007E7472" w:rsidRDefault="00EC1269">
                    <w:pPr>
                      <w:jc w:val="right"/>
                    </w:pPr>
                    <w:r>
                      <w:rPr>
                        <w:rFonts w:hint="eastAsia"/>
                      </w:rPr>
                      <w:t>100,285,198</w:t>
                    </w:r>
                  </w:p>
                </w:tc>
              </w:tr>
              <w:tr w:rsidR="007E7472" w14:paraId="6D32A00F" w14:textId="77777777">
                <w:sdt>
                  <w:sdtPr>
                    <w:tag w:val="_PLD_7f7b1fb368014debb0a48d797b8c9159"/>
                    <w:id w:val="5991870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0C57DB51" w14:textId="77777777" w:rsidR="007E7472" w:rsidRDefault="00EC1269">
                        <w:pPr>
                          <w:rPr>
                            <w:color w:val="000000"/>
                          </w:rPr>
                        </w:pPr>
                        <w:r>
                          <w:rPr>
                            <w:rFonts w:hint="eastAsia"/>
                          </w:rPr>
                          <w:t>其中：营业收入</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218559B1" w14:textId="77777777" w:rsidR="007E7472" w:rsidRDefault="00EC1269">
                    <w:pPr>
                      <w:jc w:val="center"/>
                    </w:pPr>
                    <w:r>
                      <w:rPr>
                        <w:rFonts w:hint="eastAsia"/>
                      </w:rPr>
                      <w:t>七、61</w:t>
                    </w:r>
                  </w:p>
                </w:tc>
                <w:tc>
                  <w:tcPr>
                    <w:tcW w:w="1110" w:type="pct"/>
                    <w:tcBorders>
                      <w:top w:val="outset" w:sz="4" w:space="0" w:color="auto"/>
                      <w:left w:val="outset" w:sz="4" w:space="0" w:color="auto"/>
                      <w:bottom w:val="outset" w:sz="4" w:space="0" w:color="auto"/>
                      <w:right w:val="outset" w:sz="4" w:space="0" w:color="auto"/>
                    </w:tcBorders>
                    <w:vAlign w:val="center"/>
                  </w:tcPr>
                  <w:p w14:paraId="13CE95AC" w14:textId="77777777" w:rsidR="007E7472" w:rsidRDefault="00EC1269">
                    <w:pPr>
                      <w:jc w:val="right"/>
                    </w:pPr>
                    <w:r>
                      <w:rPr>
                        <w:rFonts w:hint="eastAsia"/>
                      </w:rPr>
                      <w:t>84,401,342</w:t>
                    </w:r>
                  </w:p>
                </w:tc>
                <w:tc>
                  <w:tcPr>
                    <w:tcW w:w="1114" w:type="pct"/>
                    <w:tcBorders>
                      <w:top w:val="outset" w:sz="4" w:space="0" w:color="auto"/>
                      <w:left w:val="outset" w:sz="4" w:space="0" w:color="auto"/>
                      <w:bottom w:val="outset" w:sz="4" w:space="0" w:color="auto"/>
                      <w:right w:val="outset" w:sz="4" w:space="0" w:color="auto"/>
                    </w:tcBorders>
                    <w:vAlign w:val="center"/>
                  </w:tcPr>
                  <w:p w14:paraId="7750AE10" w14:textId="77777777" w:rsidR="007E7472" w:rsidRDefault="00EC1269">
                    <w:pPr>
                      <w:jc w:val="right"/>
                    </w:pPr>
                    <w:r>
                      <w:rPr>
                        <w:rFonts w:hint="eastAsia"/>
                      </w:rPr>
                      <w:t>100,285,198</w:t>
                    </w:r>
                  </w:p>
                </w:tc>
              </w:tr>
              <w:tr w:rsidR="007E7472" w14:paraId="7E009939" w14:textId="77777777">
                <w:sdt>
                  <w:sdtPr>
                    <w:tag w:val="_PLD_4bb4a9195510467caafeb8cff0762036"/>
                    <w:id w:val="-151198771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4A335037" w14:textId="77777777" w:rsidR="007E7472" w:rsidRDefault="00EC1269">
                        <w:pPr>
                          <w:ind w:firstLineChars="300" w:firstLine="630"/>
                          <w:rPr>
                            <w:color w:val="000000"/>
                          </w:rPr>
                        </w:pPr>
                        <w:r>
                          <w:rPr>
                            <w:rFonts w:hint="eastAsia"/>
                          </w:rPr>
                          <w:t>利息收入</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2D99360F" w14:textId="77777777" w:rsidR="007E7472" w:rsidRDefault="00C8327E"/>
                </w:tc>
                <w:tc>
                  <w:tcPr>
                    <w:tcW w:w="1110" w:type="pct"/>
                    <w:tcBorders>
                      <w:top w:val="outset" w:sz="4" w:space="0" w:color="auto"/>
                      <w:left w:val="outset" w:sz="4" w:space="0" w:color="auto"/>
                      <w:bottom w:val="outset" w:sz="4" w:space="0" w:color="auto"/>
                      <w:right w:val="outset" w:sz="4" w:space="0" w:color="auto"/>
                    </w:tcBorders>
                    <w:vAlign w:val="center"/>
                  </w:tcPr>
                  <w:p w14:paraId="69BB9C63" w14:textId="77777777" w:rsidR="007E7472" w:rsidRDefault="00C8327E">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14:paraId="5D6B71FB" w14:textId="77777777" w:rsidR="007E7472" w:rsidRDefault="00C8327E">
                    <w:pPr>
                      <w:jc w:val="right"/>
                    </w:pPr>
                  </w:p>
                </w:tc>
              </w:tr>
              <w:tr w:rsidR="007E7472" w14:paraId="217D472D" w14:textId="77777777">
                <w:sdt>
                  <w:sdtPr>
                    <w:tag w:val="_PLD_30359468eba04ffa9f75eced8813c7f6"/>
                    <w:id w:val="-15414050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78032740" w14:textId="77777777" w:rsidR="007E7472" w:rsidRDefault="00EC1269">
                        <w:pPr>
                          <w:ind w:firstLineChars="300" w:firstLine="630"/>
                        </w:pPr>
                        <w:r>
                          <w:rPr>
                            <w:rFonts w:hint="eastAsia"/>
                          </w:rPr>
                          <w:t>已赚保费</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2C05B2B8" w14:textId="77777777" w:rsidR="007E7472" w:rsidRDefault="00C8327E"/>
                </w:tc>
                <w:tc>
                  <w:tcPr>
                    <w:tcW w:w="1110" w:type="pct"/>
                    <w:tcBorders>
                      <w:top w:val="outset" w:sz="4" w:space="0" w:color="auto"/>
                      <w:left w:val="outset" w:sz="4" w:space="0" w:color="auto"/>
                      <w:bottom w:val="outset" w:sz="4" w:space="0" w:color="auto"/>
                      <w:right w:val="outset" w:sz="4" w:space="0" w:color="auto"/>
                    </w:tcBorders>
                    <w:vAlign w:val="center"/>
                  </w:tcPr>
                  <w:p w14:paraId="71A6090B" w14:textId="77777777" w:rsidR="007E7472" w:rsidRDefault="00C8327E">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14:paraId="09B5E0C9" w14:textId="77777777" w:rsidR="007E7472" w:rsidRDefault="00C8327E">
                    <w:pPr>
                      <w:jc w:val="right"/>
                    </w:pPr>
                  </w:p>
                </w:tc>
              </w:tr>
              <w:tr w:rsidR="007E7472" w14:paraId="6EEB1AD4" w14:textId="77777777">
                <w:sdt>
                  <w:sdtPr>
                    <w:tag w:val="_PLD_b7b3fd7ce91b4e7e9b50735409fad4b2"/>
                    <w:id w:val="5844950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5E20601D" w14:textId="77777777" w:rsidR="007E7472" w:rsidRDefault="00EC1269">
                        <w:pPr>
                          <w:ind w:firstLineChars="300" w:firstLine="630"/>
                        </w:pPr>
                        <w:r>
                          <w:rPr>
                            <w:rFonts w:hint="eastAsia"/>
                          </w:rPr>
                          <w:t>手续费及佣金收入</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1B141F6A" w14:textId="77777777" w:rsidR="007E7472" w:rsidRDefault="00C8327E"/>
                </w:tc>
                <w:tc>
                  <w:tcPr>
                    <w:tcW w:w="1110" w:type="pct"/>
                    <w:tcBorders>
                      <w:top w:val="outset" w:sz="4" w:space="0" w:color="auto"/>
                      <w:left w:val="outset" w:sz="4" w:space="0" w:color="auto"/>
                      <w:bottom w:val="outset" w:sz="4" w:space="0" w:color="auto"/>
                      <w:right w:val="outset" w:sz="4" w:space="0" w:color="auto"/>
                    </w:tcBorders>
                    <w:vAlign w:val="center"/>
                  </w:tcPr>
                  <w:p w14:paraId="6E05E80B" w14:textId="77777777" w:rsidR="007E7472" w:rsidRDefault="00C8327E">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14:paraId="73A3D339" w14:textId="77777777" w:rsidR="007E7472" w:rsidRDefault="00C8327E">
                    <w:pPr>
                      <w:jc w:val="right"/>
                    </w:pPr>
                  </w:p>
                </w:tc>
              </w:tr>
              <w:tr w:rsidR="007E7472" w14:paraId="4A02EE19" w14:textId="77777777">
                <w:sdt>
                  <w:sdtPr>
                    <w:tag w:val="_PLD_f666055067944f82816d6d4acfa0eb4c"/>
                    <w:id w:val="-112268396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4C713139" w14:textId="77777777" w:rsidR="007E7472" w:rsidRDefault="00EC1269">
                        <w:pPr>
                          <w:rPr>
                            <w:color w:val="000000"/>
                          </w:rPr>
                        </w:pPr>
                        <w:r>
                          <w:rPr>
                            <w:rFonts w:hint="eastAsia"/>
                          </w:rPr>
                          <w:t>二、营业总成本</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2D7A3B70" w14:textId="77777777" w:rsidR="007E7472" w:rsidRDefault="00C8327E"/>
                </w:tc>
                <w:tc>
                  <w:tcPr>
                    <w:tcW w:w="1110" w:type="pct"/>
                    <w:tcBorders>
                      <w:top w:val="outset" w:sz="4" w:space="0" w:color="auto"/>
                      <w:left w:val="outset" w:sz="4" w:space="0" w:color="auto"/>
                      <w:bottom w:val="outset" w:sz="4" w:space="0" w:color="auto"/>
                      <w:right w:val="outset" w:sz="4" w:space="0" w:color="auto"/>
                    </w:tcBorders>
                    <w:vAlign w:val="center"/>
                  </w:tcPr>
                  <w:p w14:paraId="45470876" w14:textId="77777777" w:rsidR="007E7472" w:rsidRDefault="00EC1269">
                    <w:pPr>
                      <w:jc w:val="right"/>
                    </w:pPr>
                    <w:r>
                      <w:rPr>
                        <w:rFonts w:hint="eastAsia"/>
                      </w:rPr>
                      <w:t>68,028,086</w:t>
                    </w:r>
                  </w:p>
                </w:tc>
                <w:tc>
                  <w:tcPr>
                    <w:tcW w:w="1114" w:type="pct"/>
                    <w:tcBorders>
                      <w:top w:val="outset" w:sz="4" w:space="0" w:color="auto"/>
                      <w:left w:val="outset" w:sz="4" w:space="0" w:color="auto"/>
                      <w:bottom w:val="outset" w:sz="4" w:space="0" w:color="auto"/>
                      <w:right w:val="outset" w:sz="4" w:space="0" w:color="auto"/>
                    </w:tcBorders>
                    <w:vAlign w:val="center"/>
                  </w:tcPr>
                  <w:p w14:paraId="511C695D" w14:textId="77777777" w:rsidR="007E7472" w:rsidRDefault="00EC1269">
                    <w:pPr>
                      <w:jc w:val="right"/>
                    </w:pPr>
                    <w:r>
                      <w:rPr>
                        <w:rFonts w:hint="eastAsia"/>
                      </w:rPr>
                      <w:t>71,472,93</w:t>
                    </w:r>
                    <w:r>
                      <w:t>2</w:t>
                    </w:r>
                  </w:p>
                </w:tc>
              </w:tr>
              <w:tr w:rsidR="007E7472" w14:paraId="3BD15E91" w14:textId="77777777">
                <w:sdt>
                  <w:sdtPr>
                    <w:tag w:val="_PLD_21171334ba69445a843af4e467f2f7b1"/>
                    <w:id w:val="-119491621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6D7522B3" w14:textId="77777777" w:rsidR="007E7472" w:rsidRDefault="00EC1269">
                        <w:pPr>
                          <w:rPr>
                            <w:color w:val="000000"/>
                          </w:rPr>
                        </w:pPr>
                        <w:r>
                          <w:rPr>
                            <w:rFonts w:hint="eastAsia"/>
                          </w:rPr>
                          <w:t>其中：营业成本</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41C12344" w14:textId="77777777" w:rsidR="007E7472" w:rsidRDefault="00EC1269">
                    <w:pPr>
                      <w:jc w:val="center"/>
                    </w:pPr>
                    <w:r>
                      <w:rPr>
                        <w:rFonts w:hint="eastAsia"/>
                      </w:rPr>
                      <w:t>七、61</w:t>
                    </w:r>
                  </w:p>
                </w:tc>
                <w:tc>
                  <w:tcPr>
                    <w:tcW w:w="1110" w:type="pct"/>
                    <w:tcBorders>
                      <w:top w:val="outset" w:sz="4" w:space="0" w:color="auto"/>
                      <w:left w:val="outset" w:sz="4" w:space="0" w:color="auto"/>
                      <w:bottom w:val="outset" w:sz="4" w:space="0" w:color="auto"/>
                      <w:right w:val="outset" w:sz="4" w:space="0" w:color="auto"/>
                    </w:tcBorders>
                    <w:vAlign w:val="center"/>
                  </w:tcPr>
                  <w:p w14:paraId="2972B375" w14:textId="77777777" w:rsidR="007E7472" w:rsidRDefault="00EC1269">
                    <w:pPr>
                      <w:jc w:val="right"/>
                    </w:pPr>
                    <w:r>
                      <w:rPr>
                        <w:rFonts w:hint="eastAsia"/>
                      </w:rPr>
                      <w:t>58,063,477</w:t>
                    </w:r>
                  </w:p>
                </w:tc>
                <w:tc>
                  <w:tcPr>
                    <w:tcW w:w="1114" w:type="pct"/>
                    <w:tcBorders>
                      <w:top w:val="outset" w:sz="4" w:space="0" w:color="auto"/>
                      <w:left w:val="outset" w:sz="4" w:space="0" w:color="auto"/>
                      <w:bottom w:val="outset" w:sz="4" w:space="0" w:color="auto"/>
                      <w:right w:val="outset" w:sz="4" w:space="0" w:color="auto"/>
                    </w:tcBorders>
                    <w:vAlign w:val="center"/>
                  </w:tcPr>
                  <w:p w14:paraId="305B5B7C" w14:textId="77777777" w:rsidR="007E7472" w:rsidRDefault="00EC1269">
                    <w:pPr>
                      <w:jc w:val="right"/>
                    </w:pPr>
                    <w:r>
                      <w:rPr>
                        <w:rFonts w:hint="eastAsia"/>
                      </w:rPr>
                      <w:t>60,869,536</w:t>
                    </w:r>
                  </w:p>
                </w:tc>
              </w:tr>
              <w:tr w:rsidR="007E7472" w14:paraId="1310F545" w14:textId="77777777">
                <w:sdt>
                  <w:sdtPr>
                    <w:tag w:val="_PLD_63933a3d083f4e46896b598fd5ce81e0"/>
                    <w:id w:val="163699280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6A25B531" w14:textId="77777777" w:rsidR="007E7472" w:rsidRDefault="00EC1269">
                        <w:pPr>
                          <w:ind w:firstLineChars="300" w:firstLine="630"/>
                        </w:pPr>
                        <w:r>
                          <w:rPr>
                            <w:rFonts w:hint="eastAsia"/>
                          </w:rPr>
                          <w:t>利息支出</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43A514CF" w14:textId="77777777" w:rsidR="007E7472" w:rsidRDefault="00C8327E">
                    <w:pPr>
                      <w:jc w:val="center"/>
                    </w:pPr>
                  </w:p>
                </w:tc>
                <w:tc>
                  <w:tcPr>
                    <w:tcW w:w="1110" w:type="pct"/>
                    <w:tcBorders>
                      <w:top w:val="outset" w:sz="4" w:space="0" w:color="auto"/>
                      <w:left w:val="outset" w:sz="4" w:space="0" w:color="auto"/>
                      <w:bottom w:val="outset" w:sz="4" w:space="0" w:color="auto"/>
                      <w:right w:val="outset" w:sz="4" w:space="0" w:color="auto"/>
                    </w:tcBorders>
                    <w:vAlign w:val="center"/>
                  </w:tcPr>
                  <w:p w14:paraId="2F1C1447" w14:textId="77777777" w:rsidR="007E7472" w:rsidRDefault="00C8327E">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14:paraId="6342C1C8" w14:textId="77777777" w:rsidR="007E7472" w:rsidRDefault="00C8327E">
                    <w:pPr>
                      <w:jc w:val="right"/>
                    </w:pPr>
                  </w:p>
                </w:tc>
              </w:tr>
              <w:tr w:rsidR="007E7472" w14:paraId="41FF1160" w14:textId="77777777">
                <w:sdt>
                  <w:sdtPr>
                    <w:tag w:val="_PLD_934fe982f64044ad97c0d08ecb41b364"/>
                    <w:id w:val="-51245846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0C9E02DB" w14:textId="77777777" w:rsidR="007E7472" w:rsidRDefault="00EC1269">
                        <w:pPr>
                          <w:ind w:firstLineChars="300" w:firstLine="630"/>
                        </w:pPr>
                        <w:r>
                          <w:rPr>
                            <w:rFonts w:hint="eastAsia"/>
                          </w:rPr>
                          <w:t>手续费及佣金支出</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24E0342C" w14:textId="77777777" w:rsidR="007E7472" w:rsidRDefault="00C8327E">
                    <w:pPr>
                      <w:jc w:val="center"/>
                    </w:pPr>
                  </w:p>
                </w:tc>
                <w:tc>
                  <w:tcPr>
                    <w:tcW w:w="1110" w:type="pct"/>
                    <w:tcBorders>
                      <w:top w:val="outset" w:sz="4" w:space="0" w:color="auto"/>
                      <w:left w:val="outset" w:sz="4" w:space="0" w:color="auto"/>
                      <w:bottom w:val="outset" w:sz="4" w:space="0" w:color="auto"/>
                      <w:right w:val="outset" w:sz="4" w:space="0" w:color="auto"/>
                    </w:tcBorders>
                    <w:vAlign w:val="center"/>
                  </w:tcPr>
                  <w:p w14:paraId="483E40B2" w14:textId="77777777" w:rsidR="007E7472" w:rsidRDefault="00C8327E">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14:paraId="1744B5CC" w14:textId="77777777" w:rsidR="007E7472" w:rsidRDefault="00C8327E">
                    <w:pPr>
                      <w:jc w:val="right"/>
                    </w:pPr>
                  </w:p>
                </w:tc>
              </w:tr>
              <w:tr w:rsidR="007E7472" w14:paraId="770B4249" w14:textId="77777777">
                <w:sdt>
                  <w:sdtPr>
                    <w:tag w:val="_PLD_eaafee5ba2dd4351ac6567c52b90028d"/>
                    <w:id w:val="-152447496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714A678A" w14:textId="77777777" w:rsidR="007E7472" w:rsidRDefault="00EC1269">
                        <w:pPr>
                          <w:ind w:firstLineChars="300" w:firstLine="630"/>
                        </w:pPr>
                        <w:r>
                          <w:rPr>
                            <w:rFonts w:hint="eastAsia"/>
                          </w:rPr>
                          <w:t>退保金</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4E7306E7" w14:textId="77777777" w:rsidR="007E7472" w:rsidRDefault="00C8327E">
                    <w:pPr>
                      <w:jc w:val="center"/>
                    </w:pPr>
                  </w:p>
                </w:tc>
                <w:tc>
                  <w:tcPr>
                    <w:tcW w:w="1110" w:type="pct"/>
                    <w:tcBorders>
                      <w:top w:val="outset" w:sz="4" w:space="0" w:color="auto"/>
                      <w:left w:val="outset" w:sz="4" w:space="0" w:color="auto"/>
                      <w:bottom w:val="outset" w:sz="4" w:space="0" w:color="auto"/>
                      <w:right w:val="outset" w:sz="4" w:space="0" w:color="auto"/>
                    </w:tcBorders>
                    <w:vAlign w:val="center"/>
                  </w:tcPr>
                  <w:p w14:paraId="2DDCA9CE" w14:textId="77777777" w:rsidR="007E7472" w:rsidRDefault="00C8327E">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14:paraId="056B0E2B" w14:textId="77777777" w:rsidR="007E7472" w:rsidRDefault="00C8327E">
                    <w:pPr>
                      <w:jc w:val="right"/>
                    </w:pPr>
                  </w:p>
                </w:tc>
              </w:tr>
              <w:tr w:rsidR="007E7472" w14:paraId="0317BE94" w14:textId="77777777">
                <w:sdt>
                  <w:sdtPr>
                    <w:tag w:val="_PLD_d2b12062f8d44ca990403c69bec23c10"/>
                    <w:id w:val="-42919303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05FAF358" w14:textId="77777777" w:rsidR="007E7472" w:rsidRDefault="00EC1269">
                        <w:pPr>
                          <w:ind w:firstLineChars="300" w:firstLine="630"/>
                        </w:pPr>
                        <w:r>
                          <w:rPr>
                            <w:rFonts w:hint="eastAsia"/>
                          </w:rPr>
                          <w:t>赔付支出净额</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07561E29" w14:textId="77777777" w:rsidR="007E7472" w:rsidRDefault="00C8327E">
                    <w:pPr>
                      <w:jc w:val="center"/>
                    </w:pPr>
                  </w:p>
                </w:tc>
                <w:tc>
                  <w:tcPr>
                    <w:tcW w:w="1110" w:type="pct"/>
                    <w:tcBorders>
                      <w:top w:val="outset" w:sz="4" w:space="0" w:color="auto"/>
                      <w:left w:val="outset" w:sz="4" w:space="0" w:color="auto"/>
                      <w:bottom w:val="outset" w:sz="4" w:space="0" w:color="auto"/>
                      <w:right w:val="outset" w:sz="4" w:space="0" w:color="auto"/>
                    </w:tcBorders>
                    <w:vAlign w:val="center"/>
                  </w:tcPr>
                  <w:p w14:paraId="0DCFBE4C" w14:textId="77777777" w:rsidR="007E7472" w:rsidRDefault="00C8327E">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14:paraId="75C4344F" w14:textId="77777777" w:rsidR="007E7472" w:rsidRDefault="00C8327E">
                    <w:pPr>
                      <w:jc w:val="right"/>
                    </w:pPr>
                  </w:p>
                </w:tc>
              </w:tr>
              <w:tr w:rsidR="007E7472" w14:paraId="719B6BC8" w14:textId="77777777">
                <w:sdt>
                  <w:sdtPr>
                    <w:tag w:val="_PLD_875c876824d140a6b5076aa4e7f82db5"/>
                    <w:id w:val="-11452377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40F6DB41" w14:textId="77777777" w:rsidR="007E7472" w:rsidRDefault="00EC1269">
                        <w:pPr>
                          <w:ind w:firstLineChars="300" w:firstLine="630"/>
                        </w:pPr>
                        <w:r>
                          <w:rPr>
                            <w:rFonts w:hint="eastAsia"/>
                          </w:rPr>
                          <w:t>提取保险责任准备金净额</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59461BE3" w14:textId="77777777" w:rsidR="007E7472" w:rsidRDefault="00C8327E">
                    <w:pPr>
                      <w:jc w:val="center"/>
                    </w:pPr>
                  </w:p>
                </w:tc>
                <w:tc>
                  <w:tcPr>
                    <w:tcW w:w="1110" w:type="pct"/>
                    <w:tcBorders>
                      <w:top w:val="outset" w:sz="4" w:space="0" w:color="auto"/>
                      <w:left w:val="outset" w:sz="4" w:space="0" w:color="auto"/>
                      <w:bottom w:val="outset" w:sz="4" w:space="0" w:color="auto"/>
                      <w:right w:val="outset" w:sz="4" w:space="0" w:color="auto"/>
                    </w:tcBorders>
                    <w:vAlign w:val="center"/>
                  </w:tcPr>
                  <w:p w14:paraId="71A8CB0C" w14:textId="77777777" w:rsidR="007E7472" w:rsidRDefault="00C8327E">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14:paraId="738287AA" w14:textId="77777777" w:rsidR="007E7472" w:rsidRDefault="00C8327E">
                    <w:pPr>
                      <w:jc w:val="right"/>
                    </w:pPr>
                  </w:p>
                </w:tc>
              </w:tr>
              <w:tr w:rsidR="007E7472" w14:paraId="072A75A6" w14:textId="77777777">
                <w:sdt>
                  <w:sdtPr>
                    <w:tag w:val="_PLD_9d4d1ca3123b4cdc816e88724acaf725"/>
                    <w:id w:val="115857838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7282CE91" w14:textId="77777777" w:rsidR="007E7472" w:rsidRDefault="00EC1269">
                        <w:pPr>
                          <w:ind w:firstLineChars="300" w:firstLine="630"/>
                        </w:pPr>
                        <w:r>
                          <w:rPr>
                            <w:rFonts w:hint="eastAsia"/>
                          </w:rPr>
                          <w:t>保单红利支出</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1F3B74B5" w14:textId="77777777" w:rsidR="007E7472" w:rsidRDefault="00C8327E">
                    <w:pPr>
                      <w:jc w:val="center"/>
                    </w:pPr>
                  </w:p>
                </w:tc>
                <w:tc>
                  <w:tcPr>
                    <w:tcW w:w="1110" w:type="pct"/>
                    <w:tcBorders>
                      <w:top w:val="outset" w:sz="4" w:space="0" w:color="auto"/>
                      <w:left w:val="outset" w:sz="4" w:space="0" w:color="auto"/>
                      <w:bottom w:val="outset" w:sz="4" w:space="0" w:color="auto"/>
                      <w:right w:val="outset" w:sz="4" w:space="0" w:color="auto"/>
                    </w:tcBorders>
                    <w:vAlign w:val="center"/>
                  </w:tcPr>
                  <w:p w14:paraId="46F90A1D" w14:textId="77777777" w:rsidR="007E7472" w:rsidRDefault="00C8327E">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14:paraId="5B05C384" w14:textId="77777777" w:rsidR="007E7472" w:rsidRDefault="00C8327E">
                    <w:pPr>
                      <w:jc w:val="right"/>
                    </w:pPr>
                  </w:p>
                </w:tc>
              </w:tr>
              <w:tr w:rsidR="007E7472" w14:paraId="78085B29" w14:textId="77777777">
                <w:sdt>
                  <w:sdtPr>
                    <w:tag w:val="_PLD_c70ac86a67b244f1a170db9b0705b55a"/>
                    <w:id w:val="87403637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02F01ADB" w14:textId="77777777" w:rsidR="007E7472" w:rsidRDefault="00EC1269">
                        <w:pPr>
                          <w:ind w:firstLineChars="300" w:firstLine="630"/>
                        </w:pPr>
                        <w:r>
                          <w:rPr>
                            <w:rFonts w:hint="eastAsia"/>
                          </w:rPr>
                          <w:t>分保费用</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5042E3DA" w14:textId="77777777" w:rsidR="007E7472" w:rsidRDefault="00C8327E">
                    <w:pPr>
                      <w:jc w:val="center"/>
                    </w:pPr>
                  </w:p>
                </w:tc>
                <w:tc>
                  <w:tcPr>
                    <w:tcW w:w="1110" w:type="pct"/>
                    <w:tcBorders>
                      <w:top w:val="outset" w:sz="4" w:space="0" w:color="auto"/>
                      <w:left w:val="outset" w:sz="4" w:space="0" w:color="auto"/>
                      <w:bottom w:val="outset" w:sz="4" w:space="0" w:color="auto"/>
                      <w:right w:val="outset" w:sz="4" w:space="0" w:color="auto"/>
                    </w:tcBorders>
                    <w:vAlign w:val="center"/>
                  </w:tcPr>
                  <w:p w14:paraId="312C070D" w14:textId="77777777" w:rsidR="007E7472" w:rsidRDefault="00C8327E">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14:paraId="01175AF0" w14:textId="77777777" w:rsidR="007E7472" w:rsidRDefault="00C8327E">
                    <w:pPr>
                      <w:jc w:val="right"/>
                    </w:pPr>
                  </w:p>
                </w:tc>
              </w:tr>
              <w:tr w:rsidR="007E7472" w14:paraId="08E40561" w14:textId="77777777">
                <w:sdt>
                  <w:sdtPr>
                    <w:tag w:val="_PLD_06c17ba723b44617ab108e2265705c9e"/>
                    <w:id w:val="-177324158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739E3A04" w14:textId="77777777" w:rsidR="007E7472" w:rsidRDefault="00EC1269">
                        <w:pPr>
                          <w:ind w:firstLineChars="300" w:firstLine="630"/>
                        </w:pPr>
                        <w:r>
                          <w:rPr>
                            <w:rFonts w:hint="eastAsia"/>
                          </w:rPr>
                          <w:t>税金及附加</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18249614" w14:textId="77777777" w:rsidR="007E7472" w:rsidRDefault="00EC1269">
                    <w:pPr>
                      <w:jc w:val="center"/>
                    </w:pPr>
                    <w:r>
                      <w:rPr>
                        <w:rFonts w:hint="eastAsia"/>
                      </w:rPr>
                      <w:t>七、62</w:t>
                    </w:r>
                  </w:p>
                </w:tc>
                <w:tc>
                  <w:tcPr>
                    <w:tcW w:w="1110" w:type="pct"/>
                    <w:tcBorders>
                      <w:top w:val="outset" w:sz="4" w:space="0" w:color="auto"/>
                      <w:left w:val="outset" w:sz="4" w:space="0" w:color="auto"/>
                      <w:bottom w:val="outset" w:sz="4" w:space="0" w:color="auto"/>
                      <w:right w:val="outset" w:sz="4" w:space="0" w:color="auto"/>
                    </w:tcBorders>
                    <w:vAlign w:val="center"/>
                  </w:tcPr>
                  <w:p w14:paraId="4E9E4306" w14:textId="77777777" w:rsidR="007E7472" w:rsidRDefault="00EC1269">
                    <w:pPr>
                      <w:jc w:val="right"/>
                    </w:pPr>
                    <w:r>
                      <w:rPr>
                        <w:rFonts w:hint="eastAsia"/>
                      </w:rPr>
                      <w:t>2,995,852</w:t>
                    </w:r>
                  </w:p>
                </w:tc>
                <w:tc>
                  <w:tcPr>
                    <w:tcW w:w="1114" w:type="pct"/>
                    <w:tcBorders>
                      <w:top w:val="outset" w:sz="4" w:space="0" w:color="auto"/>
                      <w:left w:val="outset" w:sz="4" w:space="0" w:color="auto"/>
                      <w:bottom w:val="outset" w:sz="4" w:space="0" w:color="auto"/>
                      <w:right w:val="outset" w:sz="4" w:space="0" w:color="auto"/>
                    </w:tcBorders>
                    <w:vAlign w:val="center"/>
                  </w:tcPr>
                  <w:p w14:paraId="287E1B24" w14:textId="77777777" w:rsidR="007E7472" w:rsidRDefault="00EC1269">
                    <w:pPr>
                      <w:jc w:val="right"/>
                    </w:pPr>
                    <w:r>
                      <w:rPr>
                        <w:rFonts w:hint="eastAsia"/>
                      </w:rPr>
                      <w:t>3,075,815</w:t>
                    </w:r>
                  </w:p>
                </w:tc>
              </w:tr>
              <w:tr w:rsidR="007E7472" w14:paraId="75E5A03A" w14:textId="77777777">
                <w:sdt>
                  <w:sdtPr>
                    <w:tag w:val="_PLD_a3b8d65ff4ec461aa0e45656973f9d4f"/>
                    <w:id w:val="-59578208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2EAF10CA" w14:textId="77777777" w:rsidR="007E7472" w:rsidRDefault="00EC1269">
                        <w:pPr>
                          <w:ind w:firstLineChars="300" w:firstLine="630"/>
                        </w:pPr>
                        <w:r>
                          <w:rPr>
                            <w:rFonts w:hint="eastAsia"/>
                          </w:rPr>
                          <w:t>销售费用</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0D23D1DA" w14:textId="77777777" w:rsidR="007E7472" w:rsidRDefault="00EC1269">
                    <w:pPr>
                      <w:jc w:val="center"/>
                    </w:pPr>
                    <w:r>
                      <w:rPr>
                        <w:rFonts w:hint="eastAsia"/>
                      </w:rPr>
                      <w:t>七、63</w:t>
                    </w:r>
                  </w:p>
                </w:tc>
                <w:tc>
                  <w:tcPr>
                    <w:tcW w:w="1110" w:type="pct"/>
                    <w:tcBorders>
                      <w:top w:val="outset" w:sz="4" w:space="0" w:color="auto"/>
                      <w:left w:val="outset" w:sz="4" w:space="0" w:color="auto"/>
                      <w:bottom w:val="outset" w:sz="4" w:space="0" w:color="auto"/>
                      <w:right w:val="outset" w:sz="4" w:space="0" w:color="auto"/>
                    </w:tcBorders>
                    <w:vAlign w:val="center"/>
                  </w:tcPr>
                  <w:p w14:paraId="32366213" w14:textId="77777777" w:rsidR="007E7472" w:rsidRDefault="00EC1269">
                    <w:pPr>
                      <w:jc w:val="right"/>
                    </w:pPr>
                    <w:r>
                      <w:rPr>
                        <w:rFonts w:hint="eastAsia"/>
                      </w:rPr>
                      <w:t>2,461,638</w:t>
                    </w:r>
                  </w:p>
                </w:tc>
                <w:tc>
                  <w:tcPr>
                    <w:tcW w:w="1114" w:type="pct"/>
                    <w:tcBorders>
                      <w:top w:val="outset" w:sz="4" w:space="0" w:color="auto"/>
                      <w:left w:val="outset" w:sz="4" w:space="0" w:color="auto"/>
                      <w:bottom w:val="outset" w:sz="4" w:space="0" w:color="auto"/>
                      <w:right w:val="outset" w:sz="4" w:space="0" w:color="auto"/>
                    </w:tcBorders>
                    <w:vAlign w:val="center"/>
                  </w:tcPr>
                  <w:p w14:paraId="6B5D507C" w14:textId="77777777" w:rsidR="007E7472" w:rsidRDefault="00EC1269">
                    <w:pPr>
                      <w:jc w:val="right"/>
                    </w:pPr>
                    <w:r>
                      <w:rPr>
                        <w:rFonts w:hint="eastAsia"/>
                      </w:rPr>
                      <w:t>2,470,336</w:t>
                    </w:r>
                  </w:p>
                </w:tc>
              </w:tr>
              <w:tr w:rsidR="007E7472" w14:paraId="4A59BEBA" w14:textId="77777777">
                <w:sdt>
                  <w:sdtPr>
                    <w:tag w:val="_PLD_bed77e0a08324462af3ef7a5005bb139"/>
                    <w:id w:val="-195494182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0540C297" w14:textId="77777777" w:rsidR="007E7472" w:rsidRDefault="00EC1269">
                        <w:pPr>
                          <w:ind w:firstLineChars="300" w:firstLine="630"/>
                        </w:pPr>
                        <w:r>
                          <w:rPr>
                            <w:rFonts w:hint="eastAsia"/>
                          </w:rPr>
                          <w:t>管理费用</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2075D587" w14:textId="77777777" w:rsidR="007E7472" w:rsidRDefault="00EC1269">
                    <w:pPr>
                      <w:jc w:val="center"/>
                    </w:pPr>
                    <w:r>
                      <w:rPr>
                        <w:rFonts w:hint="eastAsia"/>
                      </w:rPr>
                      <w:t>七、64</w:t>
                    </w:r>
                  </w:p>
                </w:tc>
                <w:tc>
                  <w:tcPr>
                    <w:tcW w:w="1110" w:type="pct"/>
                    <w:tcBorders>
                      <w:top w:val="outset" w:sz="4" w:space="0" w:color="auto"/>
                      <w:left w:val="outset" w:sz="4" w:space="0" w:color="auto"/>
                      <w:bottom w:val="outset" w:sz="4" w:space="0" w:color="auto"/>
                      <w:right w:val="outset" w:sz="4" w:space="0" w:color="auto"/>
                    </w:tcBorders>
                    <w:vAlign w:val="center"/>
                  </w:tcPr>
                  <w:p w14:paraId="638D5822" w14:textId="77777777" w:rsidR="007E7472" w:rsidRDefault="00EC1269">
                    <w:pPr>
                      <w:jc w:val="right"/>
                    </w:pPr>
                    <w:r>
                      <w:rPr>
                        <w:rFonts w:hint="eastAsia"/>
                      </w:rPr>
                      <w:t>2,896,612</w:t>
                    </w:r>
                  </w:p>
                </w:tc>
                <w:tc>
                  <w:tcPr>
                    <w:tcW w:w="1114" w:type="pct"/>
                    <w:tcBorders>
                      <w:top w:val="outset" w:sz="4" w:space="0" w:color="auto"/>
                      <w:left w:val="outset" w:sz="4" w:space="0" w:color="auto"/>
                      <w:bottom w:val="outset" w:sz="4" w:space="0" w:color="auto"/>
                      <w:right w:val="outset" w:sz="4" w:space="0" w:color="auto"/>
                    </w:tcBorders>
                    <w:vAlign w:val="center"/>
                  </w:tcPr>
                  <w:p w14:paraId="407B041E" w14:textId="77777777" w:rsidR="007E7472" w:rsidRDefault="00EC1269">
                    <w:pPr>
                      <w:jc w:val="right"/>
                    </w:pPr>
                    <w:r>
                      <w:rPr>
                        <w:rFonts w:hint="eastAsia"/>
                      </w:rPr>
                      <w:t>2,891,462</w:t>
                    </w:r>
                  </w:p>
                </w:tc>
              </w:tr>
              <w:tr w:rsidR="007E7472" w14:paraId="44294041" w14:textId="77777777">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016c8567363a4b4facb5a9c7d99f206b"/>
                      <w:id w:val="1497309988"/>
                      <w:lock w:val="sdtLocked"/>
                    </w:sdtPr>
                    <w:sdtEndPr/>
                    <w:sdtContent>
                      <w:p w14:paraId="6FF6B883" w14:textId="77777777" w:rsidR="007E7472" w:rsidRDefault="00EC1269">
                        <w:pPr>
                          <w:ind w:firstLineChars="300" w:firstLine="630"/>
                        </w:pPr>
                        <w:r>
                          <w:rPr>
                            <w:rFonts w:hint="eastAsia"/>
                          </w:rPr>
                          <w:t>研发费用</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67117CB6" w14:textId="77777777" w:rsidR="007E7472" w:rsidRDefault="00EC1269">
                    <w:pPr>
                      <w:jc w:val="center"/>
                    </w:pPr>
                    <w:r>
                      <w:rPr>
                        <w:rFonts w:hint="eastAsia"/>
                      </w:rPr>
                      <w:t>七、65</w:t>
                    </w:r>
                  </w:p>
                </w:tc>
                <w:tc>
                  <w:tcPr>
                    <w:tcW w:w="1110" w:type="pct"/>
                    <w:tcBorders>
                      <w:top w:val="outset" w:sz="4" w:space="0" w:color="auto"/>
                      <w:left w:val="outset" w:sz="4" w:space="0" w:color="auto"/>
                      <w:bottom w:val="outset" w:sz="4" w:space="0" w:color="auto"/>
                      <w:right w:val="outset" w:sz="4" w:space="0" w:color="auto"/>
                    </w:tcBorders>
                    <w:vAlign w:val="center"/>
                  </w:tcPr>
                  <w:p w14:paraId="24EA4D87" w14:textId="77777777" w:rsidR="007E7472" w:rsidRDefault="00EC1269">
                    <w:pPr>
                      <w:jc w:val="right"/>
                    </w:pPr>
                    <w:r>
                      <w:rPr>
                        <w:rFonts w:hint="eastAsia"/>
                      </w:rPr>
                      <w:t>360,89</w:t>
                    </w:r>
                    <w:r>
                      <w:t>2</w:t>
                    </w:r>
                  </w:p>
                </w:tc>
                <w:tc>
                  <w:tcPr>
                    <w:tcW w:w="1114" w:type="pct"/>
                    <w:tcBorders>
                      <w:top w:val="outset" w:sz="4" w:space="0" w:color="auto"/>
                      <w:left w:val="outset" w:sz="4" w:space="0" w:color="auto"/>
                      <w:bottom w:val="outset" w:sz="4" w:space="0" w:color="auto"/>
                      <w:right w:val="outset" w:sz="4" w:space="0" w:color="auto"/>
                    </w:tcBorders>
                    <w:vAlign w:val="center"/>
                  </w:tcPr>
                  <w:p w14:paraId="4BACEDBD" w14:textId="77777777" w:rsidR="007E7472" w:rsidRDefault="00EC1269">
                    <w:pPr>
                      <w:jc w:val="right"/>
                    </w:pPr>
                    <w:r>
                      <w:rPr>
                        <w:rFonts w:hint="eastAsia"/>
                      </w:rPr>
                      <w:t>283,194</w:t>
                    </w:r>
                  </w:p>
                </w:tc>
              </w:tr>
              <w:tr w:rsidR="007E7472" w14:paraId="25EB6AF2" w14:textId="77777777">
                <w:sdt>
                  <w:sdtPr>
                    <w:tag w:val="_PLD_6faf3cf39dfa4fd1925e0d9be4566671"/>
                    <w:id w:val="188813706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7D92DA39" w14:textId="77777777" w:rsidR="007E7472" w:rsidRDefault="00EC1269">
                        <w:pPr>
                          <w:ind w:firstLineChars="300" w:firstLine="630"/>
                        </w:pPr>
                        <w:r>
                          <w:rPr>
                            <w:rFonts w:hint="eastAsia"/>
                          </w:rPr>
                          <w:t>财务费用</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05CAAA08" w14:textId="77777777" w:rsidR="007E7472" w:rsidRDefault="00EC1269">
                    <w:pPr>
                      <w:jc w:val="center"/>
                    </w:pPr>
                    <w:r>
                      <w:rPr>
                        <w:rFonts w:hint="eastAsia"/>
                      </w:rPr>
                      <w:t>七、66</w:t>
                    </w:r>
                  </w:p>
                </w:tc>
                <w:tc>
                  <w:tcPr>
                    <w:tcW w:w="1110" w:type="pct"/>
                    <w:tcBorders>
                      <w:top w:val="outset" w:sz="4" w:space="0" w:color="auto"/>
                      <w:left w:val="outset" w:sz="4" w:space="0" w:color="auto"/>
                      <w:bottom w:val="outset" w:sz="4" w:space="0" w:color="auto"/>
                      <w:right w:val="outset" w:sz="4" w:space="0" w:color="auto"/>
                    </w:tcBorders>
                    <w:vAlign w:val="center"/>
                  </w:tcPr>
                  <w:p w14:paraId="4AE9A8FB" w14:textId="77777777" w:rsidR="007E7472" w:rsidRDefault="00EC1269">
                    <w:pPr>
                      <w:jc w:val="right"/>
                    </w:pPr>
                    <w:r>
                      <w:rPr>
                        <w:rFonts w:hint="eastAsia"/>
                      </w:rPr>
                      <w:t>1,249,615</w:t>
                    </w:r>
                  </w:p>
                </w:tc>
                <w:tc>
                  <w:tcPr>
                    <w:tcW w:w="1114" w:type="pct"/>
                    <w:tcBorders>
                      <w:top w:val="outset" w:sz="4" w:space="0" w:color="auto"/>
                      <w:left w:val="outset" w:sz="4" w:space="0" w:color="auto"/>
                      <w:bottom w:val="outset" w:sz="4" w:space="0" w:color="auto"/>
                      <w:right w:val="outset" w:sz="4" w:space="0" w:color="auto"/>
                    </w:tcBorders>
                    <w:vAlign w:val="center"/>
                  </w:tcPr>
                  <w:p w14:paraId="0104883E" w14:textId="77777777" w:rsidR="007E7472" w:rsidRDefault="00EC1269">
                    <w:pPr>
                      <w:jc w:val="right"/>
                    </w:pPr>
                    <w:r>
                      <w:rPr>
                        <w:rFonts w:hint="eastAsia"/>
                      </w:rPr>
                      <w:t>1,882,590</w:t>
                    </w:r>
                  </w:p>
                </w:tc>
              </w:tr>
              <w:tr w:rsidR="007E7472" w14:paraId="46F9AEA4" w14:textId="77777777">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8e9b72af75c437aafc0c975b29e2a55"/>
                      <w:id w:val="75409586"/>
                      <w:lock w:val="sdtLocked"/>
                    </w:sdtPr>
                    <w:sdtEndPr/>
                    <w:sdtContent>
                      <w:p w14:paraId="53729723" w14:textId="77777777" w:rsidR="007E7472" w:rsidRDefault="00EC1269">
                        <w:pPr>
                          <w:ind w:firstLineChars="300" w:firstLine="630"/>
                        </w:pPr>
                        <w:r>
                          <w:rPr>
                            <w:rFonts w:hint="eastAsia"/>
                          </w:rPr>
                          <w:t>其中：利息费用</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6E1CFB28" w14:textId="77777777" w:rsidR="007E7472" w:rsidRDefault="00EC1269">
                    <w:pPr>
                      <w:jc w:val="center"/>
                    </w:pPr>
                    <w:r>
                      <w:rPr>
                        <w:rFonts w:hint="eastAsia"/>
                      </w:rPr>
                      <w:t>七、66</w:t>
                    </w:r>
                  </w:p>
                </w:tc>
                <w:tc>
                  <w:tcPr>
                    <w:tcW w:w="1110" w:type="pct"/>
                    <w:tcBorders>
                      <w:top w:val="outset" w:sz="4" w:space="0" w:color="auto"/>
                      <w:left w:val="outset" w:sz="4" w:space="0" w:color="auto"/>
                      <w:bottom w:val="outset" w:sz="4" w:space="0" w:color="auto"/>
                      <w:right w:val="outset" w:sz="4" w:space="0" w:color="auto"/>
                    </w:tcBorders>
                    <w:vAlign w:val="center"/>
                  </w:tcPr>
                  <w:p w14:paraId="68DC232B" w14:textId="77777777" w:rsidR="007E7472" w:rsidRDefault="00EC1269">
                    <w:pPr>
                      <w:jc w:val="right"/>
                    </w:pPr>
                    <w:r>
                      <w:rPr>
                        <w:rFonts w:hint="eastAsia"/>
                      </w:rPr>
                      <w:t>1,646,990</w:t>
                    </w:r>
                  </w:p>
                </w:tc>
                <w:tc>
                  <w:tcPr>
                    <w:tcW w:w="1114" w:type="pct"/>
                    <w:tcBorders>
                      <w:top w:val="outset" w:sz="4" w:space="0" w:color="auto"/>
                      <w:left w:val="outset" w:sz="4" w:space="0" w:color="auto"/>
                      <w:bottom w:val="outset" w:sz="4" w:space="0" w:color="auto"/>
                      <w:right w:val="outset" w:sz="4" w:space="0" w:color="auto"/>
                    </w:tcBorders>
                    <w:vAlign w:val="center"/>
                  </w:tcPr>
                  <w:p w14:paraId="603E095A" w14:textId="77777777" w:rsidR="007E7472" w:rsidRDefault="00EC1269">
                    <w:pPr>
                      <w:jc w:val="right"/>
                    </w:pPr>
                    <w:r>
                      <w:rPr>
                        <w:rFonts w:hint="eastAsia"/>
                      </w:rPr>
                      <w:t>2,341,181</w:t>
                    </w:r>
                  </w:p>
                </w:tc>
              </w:tr>
              <w:tr w:rsidR="007E7472" w14:paraId="7EA433FA" w14:textId="77777777">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9295ba98b84473595f32450ae66410e"/>
                      <w:id w:val="211092821"/>
                      <w:lock w:val="sdtLocked"/>
                    </w:sdtPr>
                    <w:sdtEndPr/>
                    <w:sdtContent>
                      <w:p w14:paraId="73ADA776" w14:textId="77777777" w:rsidR="007E7472" w:rsidRDefault="00EC1269">
                        <w:pPr>
                          <w:ind w:firstLineChars="600" w:firstLine="1260"/>
                        </w:pPr>
                        <w:r>
                          <w:rPr>
                            <w:rFonts w:hint="eastAsia"/>
                          </w:rPr>
                          <w:t>利息收入</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67FE4A8F" w14:textId="77777777" w:rsidR="007E7472" w:rsidRDefault="00EC1269">
                    <w:pPr>
                      <w:jc w:val="center"/>
                    </w:pPr>
                    <w:r>
                      <w:rPr>
                        <w:rFonts w:hint="eastAsia"/>
                      </w:rPr>
                      <w:t>七、66</w:t>
                    </w:r>
                  </w:p>
                </w:tc>
                <w:tc>
                  <w:tcPr>
                    <w:tcW w:w="1110" w:type="pct"/>
                    <w:tcBorders>
                      <w:top w:val="outset" w:sz="4" w:space="0" w:color="auto"/>
                      <w:left w:val="outset" w:sz="4" w:space="0" w:color="auto"/>
                      <w:bottom w:val="outset" w:sz="4" w:space="0" w:color="auto"/>
                      <w:right w:val="outset" w:sz="4" w:space="0" w:color="auto"/>
                    </w:tcBorders>
                    <w:vAlign w:val="center"/>
                  </w:tcPr>
                  <w:p w14:paraId="217F30FC" w14:textId="77777777" w:rsidR="007E7472" w:rsidRDefault="00EC1269">
                    <w:pPr>
                      <w:jc w:val="right"/>
                    </w:pPr>
                    <w:r>
                      <w:rPr>
                        <w:rFonts w:hint="eastAsia"/>
                      </w:rPr>
                      <w:t>407,917</w:t>
                    </w:r>
                  </w:p>
                </w:tc>
                <w:tc>
                  <w:tcPr>
                    <w:tcW w:w="1114" w:type="pct"/>
                    <w:tcBorders>
                      <w:top w:val="outset" w:sz="4" w:space="0" w:color="auto"/>
                      <w:left w:val="outset" w:sz="4" w:space="0" w:color="auto"/>
                      <w:bottom w:val="outset" w:sz="4" w:space="0" w:color="auto"/>
                      <w:right w:val="outset" w:sz="4" w:space="0" w:color="auto"/>
                    </w:tcBorders>
                    <w:vAlign w:val="center"/>
                  </w:tcPr>
                  <w:p w14:paraId="2786EFA4" w14:textId="77777777" w:rsidR="007E7472" w:rsidRDefault="00EC1269">
                    <w:pPr>
                      <w:jc w:val="right"/>
                    </w:pPr>
                    <w:r>
                      <w:rPr>
                        <w:rFonts w:hint="eastAsia"/>
                      </w:rPr>
                      <w:t>465,606</w:t>
                    </w:r>
                  </w:p>
                </w:tc>
              </w:tr>
              <w:tr w:rsidR="007E7472" w14:paraId="2A6B337D" w14:textId="77777777">
                <w:sdt>
                  <w:sdtPr>
                    <w:tag w:val="_PLD_c5148208867748028cb9d238ab2addb6"/>
                    <w:id w:val="-48269742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7C6AF002" w14:textId="77777777" w:rsidR="007E7472" w:rsidRDefault="00EC1269">
                        <w:pPr>
                          <w:ind w:firstLineChars="100" w:firstLine="210"/>
                        </w:pPr>
                        <w:r>
                          <w:rPr>
                            <w:rFonts w:hint="eastAsia"/>
                          </w:rPr>
                          <w:t>加：其他收益</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2D867609" w14:textId="77777777" w:rsidR="007E7472" w:rsidRDefault="00EC1269">
                    <w:pPr>
                      <w:jc w:val="center"/>
                    </w:pPr>
                    <w:r>
                      <w:rPr>
                        <w:rFonts w:hint="eastAsia"/>
                      </w:rPr>
                      <w:t>七、67</w:t>
                    </w:r>
                  </w:p>
                </w:tc>
                <w:tc>
                  <w:tcPr>
                    <w:tcW w:w="1110" w:type="pct"/>
                    <w:tcBorders>
                      <w:top w:val="outset" w:sz="4" w:space="0" w:color="auto"/>
                      <w:left w:val="outset" w:sz="4" w:space="0" w:color="auto"/>
                      <w:bottom w:val="outset" w:sz="4" w:space="0" w:color="auto"/>
                      <w:right w:val="outset" w:sz="4" w:space="0" w:color="auto"/>
                    </w:tcBorders>
                    <w:vAlign w:val="center"/>
                  </w:tcPr>
                  <w:p w14:paraId="1A6B141C" w14:textId="77777777" w:rsidR="007E7472" w:rsidRDefault="00EC1269">
                    <w:pPr>
                      <w:jc w:val="right"/>
                    </w:pPr>
                    <w:r>
                      <w:rPr>
                        <w:rFonts w:hint="eastAsia"/>
                      </w:rPr>
                      <w:t>41,735</w:t>
                    </w:r>
                  </w:p>
                </w:tc>
                <w:tc>
                  <w:tcPr>
                    <w:tcW w:w="1114" w:type="pct"/>
                    <w:tcBorders>
                      <w:top w:val="outset" w:sz="4" w:space="0" w:color="auto"/>
                      <w:left w:val="outset" w:sz="4" w:space="0" w:color="auto"/>
                      <w:bottom w:val="outset" w:sz="4" w:space="0" w:color="auto"/>
                      <w:right w:val="outset" w:sz="4" w:space="0" w:color="auto"/>
                    </w:tcBorders>
                    <w:vAlign w:val="center"/>
                  </w:tcPr>
                  <w:p w14:paraId="18EF2BAC" w14:textId="77777777" w:rsidR="007E7472" w:rsidRDefault="00EC1269">
                    <w:pPr>
                      <w:jc w:val="right"/>
                    </w:pPr>
                    <w:r>
                      <w:rPr>
                        <w:rFonts w:hint="eastAsia"/>
                      </w:rPr>
                      <w:t>52,405</w:t>
                    </w:r>
                  </w:p>
                </w:tc>
              </w:tr>
              <w:tr w:rsidR="007E7472" w14:paraId="41B9A785" w14:textId="77777777">
                <w:sdt>
                  <w:sdtPr>
                    <w:tag w:val="_PLD_c58a027e2ee74b79b026fbba720ccf3a"/>
                    <w:id w:val="-193126218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6DA2F941" w14:textId="77777777" w:rsidR="007E7472" w:rsidRDefault="00EC1269">
                        <w:pPr>
                          <w:ind w:firstLineChars="300" w:firstLine="630"/>
                        </w:pPr>
                        <w:r>
                          <w:rPr>
                            <w:rFonts w:hint="eastAsia"/>
                          </w:rPr>
                          <w:t>投资收益（损失以“－”号填列）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20413152" w14:textId="77777777" w:rsidR="007E7472" w:rsidRDefault="00EC1269">
                    <w:pPr>
                      <w:jc w:val="center"/>
                    </w:pPr>
                    <w:r>
                      <w:rPr>
                        <w:rFonts w:hint="eastAsia"/>
                      </w:rPr>
                      <w:t>七、68</w:t>
                    </w:r>
                  </w:p>
                </w:tc>
                <w:tc>
                  <w:tcPr>
                    <w:tcW w:w="1110" w:type="pct"/>
                    <w:tcBorders>
                      <w:top w:val="outset" w:sz="4" w:space="0" w:color="auto"/>
                      <w:left w:val="outset" w:sz="4" w:space="0" w:color="auto"/>
                      <w:bottom w:val="outset" w:sz="4" w:space="0" w:color="auto"/>
                      <w:right w:val="outset" w:sz="4" w:space="0" w:color="auto"/>
                    </w:tcBorders>
                    <w:vAlign w:val="center"/>
                  </w:tcPr>
                  <w:p w14:paraId="000DD043" w14:textId="77777777" w:rsidR="007E7472" w:rsidRDefault="00EC1269">
                    <w:pPr>
                      <w:jc w:val="right"/>
                    </w:pPr>
                    <w:r>
                      <w:rPr>
                        <w:rFonts w:hint="eastAsia"/>
                      </w:rPr>
                      <w:t>656,551</w:t>
                    </w:r>
                  </w:p>
                </w:tc>
                <w:tc>
                  <w:tcPr>
                    <w:tcW w:w="1114" w:type="pct"/>
                    <w:tcBorders>
                      <w:top w:val="outset" w:sz="4" w:space="0" w:color="auto"/>
                      <w:left w:val="outset" w:sz="4" w:space="0" w:color="auto"/>
                      <w:bottom w:val="outset" w:sz="4" w:space="0" w:color="auto"/>
                      <w:right w:val="outset" w:sz="4" w:space="0" w:color="auto"/>
                    </w:tcBorders>
                    <w:vAlign w:val="center"/>
                  </w:tcPr>
                  <w:p w14:paraId="2CFB5A08" w14:textId="77777777" w:rsidR="007E7472" w:rsidRDefault="00EC1269">
                    <w:pPr>
                      <w:jc w:val="right"/>
                    </w:pPr>
                    <w:r>
                      <w:rPr>
                        <w:rFonts w:hint="eastAsia"/>
                      </w:rPr>
                      <w:t>1,523,753</w:t>
                    </w:r>
                  </w:p>
                </w:tc>
              </w:tr>
              <w:tr w:rsidR="007E7472" w14:paraId="4DBBE7FD" w14:textId="77777777">
                <w:sdt>
                  <w:sdtPr>
                    <w:tag w:val="_PLD_58f92dc598044243844972f7264dee3f"/>
                    <w:id w:val="-64712778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0A5C6CCA" w14:textId="77777777" w:rsidR="007E7472" w:rsidRDefault="00EC1269">
                        <w:pPr>
                          <w:ind w:firstLineChars="300" w:firstLine="630"/>
                        </w:pPr>
                        <w:r>
                          <w:rPr>
                            <w:rFonts w:hint="eastAsia"/>
                          </w:rPr>
                          <w:t>其中：对联营企业和合营企业的投资收益</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16C64233" w14:textId="77777777" w:rsidR="007E7472" w:rsidRDefault="00EC1269">
                    <w:pPr>
                      <w:jc w:val="center"/>
                    </w:pPr>
                    <w:r>
                      <w:rPr>
                        <w:rFonts w:hint="eastAsia"/>
                      </w:rPr>
                      <w:t>七、68</w:t>
                    </w:r>
                  </w:p>
                </w:tc>
                <w:tc>
                  <w:tcPr>
                    <w:tcW w:w="1110" w:type="pct"/>
                    <w:tcBorders>
                      <w:top w:val="outset" w:sz="4" w:space="0" w:color="auto"/>
                      <w:left w:val="outset" w:sz="4" w:space="0" w:color="auto"/>
                      <w:bottom w:val="outset" w:sz="4" w:space="0" w:color="auto"/>
                      <w:right w:val="outset" w:sz="4" w:space="0" w:color="auto"/>
                    </w:tcBorders>
                    <w:vAlign w:val="center"/>
                  </w:tcPr>
                  <w:p w14:paraId="4EE65693" w14:textId="77777777" w:rsidR="007E7472" w:rsidRDefault="00EC1269">
                    <w:pPr>
                      <w:jc w:val="right"/>
                    </w:pPr>
                    <w:r>
                      <w:rPr>
                        <w:rFonts w:hint="eastAsia"/>
                      </w:rPr>
                      <w:t>642,511</w:t>
                    </w:r>
                  </w:p>
                </w:tc>
                <w:tc>
                  <w:tcPr>
                    <w:tcW w:w="1114" w:type="pct"/>
                    <w:tcBorders>
                      <w:top w:val="outset" w:sz="4" w:space="0" w:color="auto"/>
                      <w:left w:val="outset" w:sz="4" w:space="0" w:color="auto"/>
                      <w:bottom w:val="outset" w:sz="4" w:space="0" w:color="auto"/>
                      <w:right w:val="outset" w:sz="4" w:space="0" w:color="auto"/>
                    </w:tcBorders>
                    <w:vAlign w:val="center"/>
                  </w:tcPr>
                  <w:p w14:paraId="75941A25" w14:textId="77777777" w:rsidR="007E7472" w:rsidRDefault="00EC1269">
                    <w:pPr>
                      <w:jc w:val="right"/>
                    </w:pPr>
                    <w:r>
                      <w:rPr>
                        <w:rFonts w:hint="eastAsia"/>
                      </w:rPr>
                      <w:t>1,481,576</w:t>
                    </w:r>
                  </w:p>
                </w:tc>
              </w:tr>
              <w:tr w:rsidR="007E7472" w14:paraId="7FA11988" w14:textId="77777777">
                <w:sdt>
                  <w:sdtPr>
                    <w:tag w:val="_PLD_f783ee8c18aa4ec6b0fe746603c1afc2"/>
                    <w:id w:val="2093662053"/>
                    <w:lock w:val="sdtLocked"/>
                  </w:sdtPr>
                  <w:sdtEndPr/>
                  <w:sdtContent>
                    <w:tc>
                      <w:tcPr>
                        <w:tcW w:w="1938" w:type="pct"/>
                        <w:tcBorders>
                          <w:top w:val="outset" w:sz="4" w:space="0" w:color="auto"/>
                          <w:left w:val="outset" w:sz="4" w:space="0" w:color="auto"/>
                          <w:bottom w:val="outset" w:sz="4" w:space="0" w:color="auto"/>
                          <w:right w:val="outset" w:sz="4" w:space="0" w:color="auto"/>
                        </w:tcBorders>
                      </w:tcPr>
                      <w:p w14:paraId="3CBFBA24" w14:textId="77777777" w:rsidR="007E7472" w:rsidRDefault="00EC1269">
                        <w:pPr>
                          <w:ind w:firstLineChars="550" w:firstLine="1155"/>
                        </w:pPr>
                        <w:r>
                          <w:rPr>
                            <w:rFonts w:hint="eastAsia"/>
                          </w:rPr>
                          <w:t>以摊余成本计量的金融资产终止确认收益（损失以“</w:t>
                        </w:r>
                        <w:r>
                          <w:t>-”号填列）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2254B9C4" w14:textId="77777777" w:rsidR="007E7472" w:rsidRDefault="00C8327E">
                    <w:pPr>
                      <w:jc w:val="center"/>
                    </w:pPr>
                  </w:p>
                </w:tc>
                <w:tc>
                  <w:tcPr>
                    <w:tcW w:w="1110" w:type="pct"/>
                    <w:tcBorders>
                      <w:top w:val="outset" w:sz="4" w:space="0" w:color="auto"/>
                      <w:left w:val="outset" w:sz="4" w:space="0" w:color="auto"/>
                      <w:bottom w:val="outset" w:sz="4" w:space="0" w:color="auto"/>
                      <w:right w:val="outset" w:sz="4" w:space="0" w:color="auto"/>
                    </w:tcBorders>
                  </w:tcPr>
                  <w:p w14:paraId="27676102" w14:textId="77777777" w:rsidR="007E7472" w:rsidRDefault="00C8327E">
                    <w:pPr>
                      <w:jc w:val="right"/>
                    </w:pPr>
                  </w:p>
                </w:tc>
                <w:tc>
                  <w:tcPr>
                    <w:tcW w:w="1114" w:type="pct"/>
                    <w:tcBorders>
                      <w:top w:val="outset" w:sz="4" w:space="0" w:color="auto"/>
                      <w:left w:val="outset" w:sz="4" w:space="0" w:color="auto"/>
                      <w:bottom w:val="outset" w:sz="4" w:space="0" w:color="auto"/>
                      <w:right w:val="outset" w:sz="4" w:space="0" w:color="auto"/>
                    </w:tcBorders>
                  </w:tcPr>
                  <w:p w14:paraId="4401442C" w14:textId="77777777" w:rsidR="007E7472" w:rsidRDefault="00C8327E">
                    <w:pPr>
                      <w:jc w:val="right"/>
                    </w:pPr>
                  </w:p>
                </w:tc>
              </w:tr>
              <w:tr w:rsidR="007E7472" w14:paraId="4AD2B118" w14:textId="77777777">
                <w:sdt>
                  <w:sdtPr>
                    <w:tag w:val="_PLD_33855fc7ddf74a1b9f9c1dfc4ab34fc7"/>
                    <w:id w:val="-30447138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625D7688" w14:textId="77777777" w:rsidR="007E7472" w:rsidRDefault="00EC1269">
                        <w:pPr>
                          <w:ind w:firstLineChars="300" w:firstLine="630"/>
                        </w:pPr>
                        <w:r>
                          <w:rPr>
                            <w:rFonts w:hint="eastAsia"/>
                          </w:rPr>
                          <w:t>汇兑收益（损失以“－”号填列）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369930A0" w14:textId="77777777" w:rsidR="007E7472" w:rsidRDefault="00C8327E">
                    <w:pPr>
                      <w:jc w:val="center"/>
                    </w:pPr>
                  </w:p>
                </w:tc>
                <w:tc>
                  <w:tcPr>
                    <w:tcW w:w="1110" w:type="pct"/>
                    <w:tcBorders>
                      <w:top w:val="outset" w:sz="4" w:space="0" w:color="auto"/>
                      <w:left w:val="outset" w:sz="4" w:space="0" w:color="auto"/>
                      <w:bottom w:val="outset" w:sz="4" w:space="0" w:color="auto"/>
                      <w:right w:val="outset" w:sz="4" w:space="0" w:color="auto"/>
                    </w:tcBorders>
                  </w:tcPr>
                  <w:p w14:paraId="2DEB2F36" w14:textId="77777777" w:rsidR="007E7472" w:rsidRDefault="00C8327E">
                    <w:pPr>
                      <w:jc w:val="right"/>
                    </w:pPr>
                  </w:p>
                </w:tc>
                <w:tc>
                  <w:tcPr>
                    <w:tcW w:w="1114" w:type="pct"/>
                    <w:tcBorders>
                      <w:top w:val="outset" w:sz="4" w:space="0" w:color="auto"/>
                      <w:left w:val="outset" w:sz="4" w:space="0" w:color="auto"/>
                      <w:bottom w:val="outset" w:sz="4" w:space="0" w:color="auto"/>
                      <w:right w:val="outset" w:sz="4" w:space="0" w:color="auto"/>
                    </w:tcBorders>
                  </w:tcPr>
                  <w:p w14:paraId="327EF03A" w14:textId="77777777" w:rsidR="007E7472" w:rsidRDefault="00C8327E">
                    <w:pPr>
                      <w:jc w:val="right"/>
                    </w:pPr>
                  </w:p>
                </w:tc>
              </w:tr>
              <w:tr w:rsidR="007E7472" w14:paraId="0ABFDDF9" w14:textId="77777777">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351bb9f9f034ce8b252cc8056810655"/>
                      <w:id w:val="1632431606"/>
                      <w:lock w:val="sdtLocked"/>
                    </w:sdtPr>
                    <w:sdtEndPr>
                      <w:rPr>
                        <w:rFonts w:hint="default"/>
                      </w:rPr>
                    </w:sdtEndPr>
                    <w:sdtContent>
                      <w:p w14:paraId="0FE0BF43" w14:textId="77777777" w:rsidR="007E7472" w:rsidRDefault="00EC1269">
                        <w:pPr>
                          <w:ind w:firstLineChars="300" w:firstLine="630"/>
                        </w:pPr>
                        <w:r>
                          <w:rPr>
                            <w:rFonts w:hint="eastAsia"/>
                          </w:rPr>
                          <w:t>净敞口套期收益（损失以“</w:t>
                        </w:r>
                        <w:r>
                          <w:t>-”号填列）</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3C162324" w14:textId="77777777" w:rsidR="007E7472" w:rsidRDefault="00EC1269">
                    <w:pPr>
                      <w:jc w:val="center"/>
                    </w:pPr>
                    <w:r>
                      <w:rPr>
                        <w:rFonts w:hint="eastAsia"/>
                      </w:rPr>
                      <w:t>七、69</w:t>
                    </w:r>
                  </w:p>
                </w:tc>
                <w:tc>
                  <w:tcPr>
                    <w:tcW w:w="1110" w:type="pct"/>
                    <w:tcBorders>
                      <w:top w:val="outset" w:sz="4" w:space="0" w:color="auto"/>
                      <w:left w:val="outset" w:sz="4" w:space="0" w:color="auto"/>
                      <w:bottom w:val="outset" w:sz="4" w:space="0" w:color="auto"/>
                      <w:right w:val="outset" w:sz="4" w:space="0" w:color="auto"/>
                    </w:tcBorders>
                    <w:vAlign w:val="center"/>
                  </w:tcPr>
                  <w:p w14:paraId="384EDF97" w14:textId="77777777" w:rsidR="007E7472" w:rsidRDefault="00EC1269">
                    <w:pPr>
                      <w:jc w:val="right"/>
                    </w:pPr>
                    <w:r>
                      <w:rPr>
                        <w:rFonts w:hint="eastAsia"/>
                      </w:rPr>
                      <w:t>57,658</w:t>
                    </w:r>
                  </w:p>
                </w:tc>
                <w:tc>
                  <w:tcPr>
                    <w:tcW w:w="1114" w:type="pct"/>
                    <w:tcBorders>
                      <w:top w:val="outset" w:sz="4" w:space="0" w:color="auto"/>
                      <w:left w:val="outset" w:sz="4" w:space="0" w:color="auto"/>
                      <w:bottom w:val="outset" w:sz="4" w:space="0" w:color="auto"/>
                      <w:right w:val="outset" w:sz="4" w:space="0" w:color="auto"/>
                    </w:tcBorders>
                    <w:vAlign w:val="center"/>
                  </w:tcPr>
                  <w:p w14:paraId="44E47095" w14:textId="77777777" w:rsidR="007E7472" w:rsidRDefault="00EC1269">
                    <w:pPr>
                      <w:jc w:val="right"/>
                    </w:pPr>
                    <w:r>
                      <w:rPr>
                        <w:rFonts w:hint="eastAsia"/>
                      </w:rPr>
                      <w:t>-812,574</w:t>
                    </w:r>
                  </w:p>
                </w:tc>
              </w:tr>
              <w:tr w:rsidR="007E7472" w14:paraId="7CD4FD7C" w14:textId="77777777">
                <w:sdt>
                  <w:sdtPr>
                    <w:tag w:val="_PLD_e6e5f627ac054b8b8f91f930cd45c7d6"/>
                    <w:id w:val="171168755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7DB344C3" w14:textId="77777777" w:rsidR="007E7472" w:rsidRDefault="00EC1269">
                        <w:pPr>
                          <w:ind w:firstLineChars="300" w:firstLine="630"/>
                          <w:rPr>
                            <w:color w:val="000000"/>
                          </w:rPr>
                        </w:pPr>
                        <w:r>
                          <w:rPr>
                            <w:rFonts w:hint="eastAsia"/>
                          </w:rPr>
                          <w:t>公允价值变动收益（损失以“－”号填列）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6161EC97" w14:textId="77777777" w:rsidR="007E7472" w:rsidRDefault="00EC1269">
                    <w:pPr>
                      <w:jc w:val="center"/>
                    </w:pPr>
                    <w:r>
                      <w:rPr>
                        <w:rFonts w:hint="eastAsia"/>
                      </w:rPr>
                      <w:t>七、70</w:t>
                    </w:r>
                  </w:p>
                </w:tc>
                <w:tc>
                  <w:tcPr>
                    <w:tcW w:w="1110" w:type="pct"/>
                    <w:tcBorders>
                      <w:top w:val="outset" w:sz="4" w:space="0" w:color="auto"/>
                      <w:left w:val="outset" w:sz="4" w:space="0" w:color="auto"/>
                      <w:bottom w:val="outset" w:sz="4" w:space="0" w:color="auto"/>
                      <w:right w:val="outset" w:sz="4" w:space="0" w:color="auto"/>
                    </w:tcBorders>
                    <w:vAlign w:val="center"/>
                  </w:tcPr>
                  <w:p w14:paraId="04BE5186" w14:textId="77777777" w:rsidR="007E7472" w:rsidRDefault="00EC1269">
                    <w:pPr>
                      <w:jc w:val="right"/>
                    </w:pPr>
                    <w:r>
                      <w:rPr>
                        <w:rFonts w:hint="eastAsia"/>
                      </w:rPr>
                      <w:t>-68,054</w:t>
                    </w:r>
                  </w:p>
                </w:tc>
                <w:tc>
                  <w:tcPr>
                    <w:tcW w:w="1114" w:type="pct"/>
                    <w:tcBorders>
                      <w:top w:val="outset" w:sz="4" w:space="0" w:color="auto"/>
                      <w:left w:val="outset" w:sz="4" w:space="0" w:color="auto"/>
                      <w:bottom w:val="outset" w:sz="4" w:space="0" w:color="auto"/>
                      <w:right w:val="outset" w:sz="4" w:space="0" w:color="auto"/>
                    </w:tcBorders>
                    <w:vAlign w:val="center"/>
                  </w:tcPr>
                  <w:p w14:paraId="144A2E0A" w14:textId="77777777" w:rsidR="007E7472" w:rsidRDefault="00EC1269">
                    <w:pPr>
                      <w:jc w:val="right"/>
                    </w:pPr>
                    <w:r>
                      <w:rPr>
                        <w:rFonts w:hint="eastAsia"/>
                      </w:rPr>
                      <w:t>-40,736</w:t>
                    </w:r>
                  </w:p>
                </w:tc>
              </w:tr>
              <w:tr w:rsidR="007E7472" w14:paraId="49F00AE2" w14:textId="77777777">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30e32ac0eb74cccbe4261a78579a5ff"/>
                      <w:id w:val="-538280493"/>
                      <w:lock w:val="sdtLocked"/>
                    </w:sdtPr>
                    <w:sdtEndPr/>
                    <w:sdtContent>
                      <w:p w14:paraId="120D85AC" w14:textId="77777777" w:rsidR="007E7472" w:rsidRDefault="00EC1269">
                        <w:pPr>
                          <w:ind w:firstLineChars="300" w:firstLine="630"/>
                        </w:pPr>
                        <w:r>
                          <w:rPr>
                            <w:rFonts w:hint="eastAsia"/>
                          </w:rPr>
                          <w:t>信用减值损失（损失以“</w:t>
                        </w:r>
                        <w:r>
                          <w:t>-”号填列）</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2BCDC245" w14:textId="77777777" w:rsidR="007E7472" w:rsidRDefault="00EC1269">
                    <w:pPr>
                      <w:jc w:val="center"/>
                    </w:pPr>
                    <w:r>
                      <w:rPr>
                        <w:rFonts w:hint="eastAsia"/>
                      </w:rPr>
                      <w:t>七、71</w:t>
                    </w:r>
                  </w:p>
                </w:tc>
                <w:tc>
                  <w:tcPr>
                    <w:tcW w:w="1110" w:type="pct"/>
                    <w:tcBorders>
                      <w:top w:val="outset" w:sz="4" w:space="0" w:color="auto"/>
                      <w:left w:val="outset" w:sz="4" w:space="0" w:color="auto"/>
                      <w:bottom w:val="outset" w:sz="4" w:space="0" w:color="auto"/>
                      <w:right w:val="outset" w:sz="4" w:space="0" w:color="auto"/>
                    </w:tcBorders>
                    <w:vAlign w:val="center"/>
                  </w:tcPr>
                  <w:p w14:paraId="0FA2A00B" w14:textId="77777777" w:rsidR="007E7472" w:rsidRDefault="00EC1269">
                    <w:pPr>
                      <w:jc w:val="right"/>
                    </w:pPr>
                    <w:r>
                      <w:rPr>
                        <w:rFonts w:hint="eastAsia"/>
                      </w:rPr>
                      <w:t>36,185</w:t>
                    </w:r>
                  </w:p>
                </w:tc>
                <w:tc>
                  <w:tcPr>
                    <w:tcW w:w="1114" w:type="pct"/>
                    <w:tcBorders>
                      <w:top w:val="outset" w:sz="4" w:space="0" w:color="auto"/>
                      <w:left w:val="outset" w:sz="4" w:space="0" w:color="auto"/>
                      <w:bottom w:val="outset" w:sz="4" w:space="0" w:color="auto"/>
                      <w:right w:val="outset" w:sz="4" w:space="0" w:color="auto"/>
                    </w:tcBorders>
                    <w:vAlign w:val="center"/>
                  </w:tcPr>
                  <w:p w14:paraId="6CE28AB4" w14:textId="77777777" w:rsidR="007E7472" w:rsidRDefault="00EC1269">
                    <w:pPr>
                      <w:jc w:val="right"/>
                    </w:pPr>
                    <w:r>
                      <w:rPr>
                        <w:rFonts w:hint="eastAsia"/>
                      </w:rPr>
                      <w:t>1,487</w:t>
                    </w:r>
                  </w:p>
                </w:tc>
              </w:tr>
              <w:tr w:rsidR="007E7472" w14:paraId="6D24D896" w14:textId="77777777">
                <w:sdt>
                  <w:sdtPr>
                    <w:tag w:val="_PLD_fe82d7189b7a42a6ae64dd80ca9bbe80"/>
                    <w:id w:val="175970616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18DE64BC" w14:textId="77777777" w:rsidR="007E7472" w:rsidRDefault="00EC1269">
                        <w:pPr>
                          <w:ind w:firstLineChars="300" w:firstLine="630"/>
                        </w:pPr>
                        <w:r>
                          <w:rPr>
                            <w:rFonts w:hint="eastAsia"/>
                          </w:rPr>
                          <w:t>资产减值损失（损失以“</w:t>
                        </w:r>
                        <w:r>
                          <w:t>-”号填列）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26CB319A" w14:textId="77777777" w:rsidR="007E7472" w:rsidRDefault="00EC1269">
                    <w:pPr>
                      <w:jc w:val="center"/>
                    </w:pPr>
                    <w:r>
                      <w:rPr>
                        <w:rFonts w:hint="eastAsia"/>
                      </w:rPr>
                      <w:t>七、72</w:t>
                    </w:r>
                  </w:p>
                </w:tc>
                <w:tc>
                  <w:tcPr>
                    <w:tcW w:w="1110" w:type="pct"/>
                    <w:tcBorders>
                      <w:top w:val="outset" w:sz="4" w:space="0" w:color="auto"/>
                      <w:left w:val="outset" w:sz="4" w:space="0" w:color="auto"/>
                      <w:bottom w:val="outset" w:sz="4" w:space="0" w:color="auto"/>
                      <w:right w:val="outset" w:sz="4" w:space="0" w:color="auto"/>
                    </w:tcBorders>
                    <w:vAlign w:val="center"/>
                  </w:tcPr>
                  <w:p w14:paraId="5C3AA85A" w14:textId="77777777" w:rsidR="007E7472" w:rsidRDefault="00EC1269">
                    <w:pPr>
                      <w:jc w:val="right"/>
                    </w:pPr>
                    <w:r>
                      <w:rPr>
                        <w:rFonts w:hint="eastAsia"/>
                      </w:rPr>
                      <w:t>-2,007</w:t>
                    </w:r>
                  </w:p>
                </w:tc>
                <w:tc>
                  <w:tcPr>
                    <w:tcW w:w="1114" w:type="pct"/>
                    <w:tcBorders>
                      <w:top w:val="outset" w:sz="4" w:space="0" w:color="auto"/>
                      <w:left w:val="outset" w:sz="4" w:space="0" w:color="auto"/>
                      <w:bottom w:val="outset" w:sz="4" w:space="0" w:color="auto"/>
                      <w:right w:val="outset" w:sz="4" w:space="0" w:color="auto"/>
                    </w:tcBorders>
                    <w:vAlign w:val="center"/>
                  </w:tcPr>
                  <w:p w14:paraId="51596281" w14:textId="77777777" w:rsidR="007E7472" w:rsidRDefault="00EC1269">
                    <w:pPr>
                      <w:jc w:val="right"/>
                    </w:pPr>
                    <w:r>
                      <w:rPr>
                        <w:rFonts w:hint="eastAsia"/>
                      </w:rPr>
                      <w:t>295</w:t>
                    </w:r>
                  </w:p>
                </w:tc>
              </w:tr>
              <w:tr w:rsidR="007E7472" w14:paraId="056DFC38" w14:textId="77777777">
                <w:sdt>
                  <w:sdtPr>
                    <w:rPr>
                      <w:rFonts w:hint="eastAsia"/>
                    </w:rPr>
                    <w:tag w:val="_PLD_60761ec4a82c4bc298a64deee215586d"/>
                    <w:id w:val="48112170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3995D7A5" w14:textId="77777777" w:rsidR="007E7472" w:rsidRDefault="00EC1269">
                        <w:pPr>
                          <w:ind w:firstLineChars="300" w:firstLine="630"/>
                        </w:pPr>
                        <w:r>
                          <w:rPr>
                            <w:rFonts w:hint="eastAsia"/>
                          </w:rPr>
                          <w:t>资产处置收益（损失以“－”号填列）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447EB72C" w14:textId="77777777" w:rsidR="007E7472" w:rsidRDefault="00EC1269">
                    <w:pPr>
                      <w:jc w:val="center"/>
                    </w:pPr>
                    <w:r>
                      <w:rPr>
                        <w:rFonts w:hint="eastAsia"/>
                      </w:rPr>
                      <w:t>七、73</w:t>
                    </w:r>
                  </w:p>
                </w:tc>
                <w:tc>
                  <w:tcPr>
                    <w:tcW w:w="1110" w:type="pct"/>
                    <w:tcBorders>
                      <w:top w:val="outset" w:sz="4" w:space="0" w:color="auto"/>
                      <w:left w:val="outset" w:sz="4" w:space="0" w:color="auto"/>
                      <w:bottom w:val="outset" w:sz="4" w:space="0" w:color="auto"/>
                      <w:right w:val="outset" w:sz="4" w:space="0" w:color="auto"/>
                    </w:tcBorders>
                    <w:vAlign w:val="center"/>
                  </w:tcPr>
                  <w:p w14:paraId="4C45F1D8" w14:textId="77777777" w:rsidR="007E7472" w:rsidRDefault="00EC1269">
                    <w:pPr>
                      <w:jc w:val="right"/>
                    </w:pPr>
                    <w:r>
                      <w:rPr>
                        <w:rFonts w:hint="eastAsia"/>
                      </w:rPr>
                      <w:t>5,190</w:t>
                    </w:r>
                  </w:p>
                </w:tc>
                <w:tc>
                  <w:tcPr>
                    <w:tcW w:w="1114" w:type="pct"/>
                    <w:tcBorders>
                      <w:top w:val="outset" w:sz="4" w:space="0" w:color="auto"/>
                      <w:left w:val="outset" w:sz="4" w:space="0" w:color="auto"/>
                      <w:bottom w:val="outset" w:sz="4" w:space="0" w:color="auto"/>
                      <w:right w:val="outset" w:sz="4" w:space="0" w:color="auto"/>
                    </w:tcBorders>
                    <w:vAlign w:val="center"/>
                  </w:tcPr>
                  <w:p w14:paraId="325BC3A9" w14:textId="77777777" w:rsidR="007E7472" w:rsidRDefault="00EC1269">
                    <w:pPr>
                      <w:jc w:val="right"/>
                    </w:pPr>
                    <w:r>
                      <w:rPr>
                        <w:rFonts w:hint="eastAsia"/>
                      </w:rPr>
                      <w:t>18,263</w:t>
                    </w:r>
                  </w:p>
                </w:tc>
              </w:tr>
              <w:tr w:rsidR="007E7472" w14:paraId="095BF991" w14:textId="77777777">
                <w:sdt>
                  <w:sdtPr>
                    <w:tag w:val="_PLD_18d15c0eacb94678be3131e09c8d9904"/>
                    <w:id w:val="4503997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6771B14E" w14:textId="77777777" w:rsidR="007E7472" w:rsidRDefault="00EC1269">
                        <w:pPr>
                          <w:rPr>
                            <w:color w:val="000000"/>
                          </w:rPr>
                        </w:pPr>
                        <w:r>
                          <w:rPr>
                            <w:rFonts w:hint="eastAsia"/>
                          </w:rPr>
                          <w:t>三、营业利润（亏损以“－”号填列）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0FABE9AF" w14:textId="77777777" w:rsidR="007E7472" w:rsidRDefault="00C8327E">
                    <w:pPr>
                      <w:jc w:val="center"/>
                    </w:pPr>
                  </w:p>
                </w:tc>
                <w:tc>
                  <w:tcPr>
                    <w:tcW w:w="1110" w:type="pct"/>
                    <w:tcBorders>
                      <w:top w:val="outset" w:sz="4" w:space="0" w:color="auto"/>
                      <w:left w:val="outset" w:sz="4" w:space="0" w:color="auto"/>
                      <w:bottom w:val="outset" w:sz="4" w:space="0" w:color="auto"/>
                      <w:right w:val="outset" w:sz="4" w:space="0" w:color="auto"/>
                    </w:tcBorders>
                    <w:vAlign w:val="center"/>
                  </w:tcPr>
                  <w:p w14:paraId="5130AB13" w14:textId="77777777" w:rsidR="007E7472" w:rsidRDefault="00EC1269">
                    <w:pPr>
                      <w:jc w:val="right"/>
                    </w:pPr>
                    <w:r>
                      <w:rPr>
                        <w:rFonts w:hint="eastAsia"/>
                      </w:rPr>
                      <w:t>17,100,514</w:t>
                    </w:r>
                  </w:p>
                </w:tc>
                <w:tc>
                  <w:tcPr>
                    <w:tcW w:w="1114" w:type="pct"/>
                    <w:tcBorders>
                      <w:top w:val="outset" w:sz="4" w:space="0" w:color="auto"/>
                      <w:left w:val="outset" w:sz="4" w:space="0" w:color="auto"/>
                      <w:bottom w:val="outset" w:sz="4" w:space="0" w:color="auto"/>
                      <w:right w:val="outset" w:sz="4" w:space="0" w:color="auto"/>
                    </w:tcBorders>
                    <w:vAlign w:val="center"/>
                  </w:tcPr>
                  <w:p w14:paraId="531FE333" w14:textId="77777777" w:rsidR="007E7472" w:rsidRDefault="00EC1269">
                    <w:pPr>
                      <w:jc w:val="right"/>
                    </w:pPr>
                    <w:r>
                      <w:rPr>
                        <w:rFonts w:hint="eastAsia"/>
                      </w:rPr>
                      <w:t>29,555,1</w:t>
                    </w:r>
                    <w:r>
                      <w:t>59</w:t>
                    </w:r>
                  </w:p>
                </w:tc>
              </w:tr>
              <w:tr w:rsidR="007E7472" w14:paraId="09F1C7CB" w14:textId="77777777">
                <w:sdt>
                  <w:sdtPr>
                    <w:tag w:val="_PLD_e328c8d559944bfd89e7332623e0aea3"/>
                    <w:id w:val="-180777479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2881E194" w14:textId="77777777" w:rsidR="007E7472" w:rsidRDefault="00EC1269">
                        <w:pPr>
                          <w:ind w:firstLineChars="100" w:firstLine="210"/>
                        </w:pPr>
                        <w:r>
                          <w:rPr>
                            <w:rFonts w:hint="eastAsia"/>
                          </w:rPr>
                          <w:t>加：营业外收入</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19B7C38F" w14:textId="77777777" w:rsidR="007E7472" w:rsidRDefault="00EC1269">
                    <w:pPr>
                      <w:jc w:val="center"/>
                    </w:pPr>
                    <w:r>
                      <w:rPr>
                        <w:rFonts w:hint="eastAsia"/>
                      </w:rPr>
                      <w:t>七、74</w:t>
                    </w:r>
                  </w:p>
                </w:tc>
                <w:tc>
                  <w:tcPr>
                    <w:tcW w:w="1110" w:type="pct"/>
                    <w:tcBorders>
                      <w:top w:val="outset" w:sz="4" w:space="0" w:color="auto"/>
                      <w:left w:val="outset" w:sz="4" w:space="0" w:color="auto"/>
                      <w:bottom w:val="outset" w:sz="4" w:space="0" w:color="auto"/>
                      <w:right w:val="outset" w:sz="4" w:space="0" w:color="auto"/>
                    </w:tcBorders>
                    <w:vAlign w:val="center"/>
                  </w:tcPr>
                  <w:p w14:paraId="39D601CB" w14:textId="77777777" w:rsidR="007E7472" w:rsidRDefault="00EC1269">
                    <w:pPr>
                      <w:jc w:val="right"/>
                    </w:pPr>
                    <w:r>
                      <w:rPr>
                        <w:rFonts w:hint="eastAsia"/>
                      </w:rPr>
                      <w:t>168,749</w:t>
                    </w:r>
                  </w:p>
                </w:tc>
                <w:tc>
                  <w:tcPr>
                    <w:tcW w:w="1114" w:type="pct"/>
                    <w:tcBorders>
                      <w:top w:val="outset" w:sz="4" w:space="0" w:color="auto"/>
                      <w:left w:val="outset" w:sz="4" w:space="0" w:color="auto"/>
                      <w:bottom w:val="outset" w:sz="4" w:space="0" w:color="auto"/>
                      <w:right w:val="outset" w:sz="4" w:space="0" w:color="auto"/>
                    </w:tcBorders>
                    <w:vAlign w:val="center"/>
                  </w:tcPr>
                  <w:p w14:paraId="620F8F1A" w14:textId="77777777" w:rsidR="007E7472" w:rsidRDefault="00EC1269">
                    <w:pPr>
                      <w:jc w:val="right"/>
                    </w:pPr>
                    <w:r>
                      <w:rPr>
                        <w:rFonts w:hint="eastAsia"/>
                      </w:rPr>
                      <w:t>193,899</w:t>
                    </w:r>
                  </w:p>
                </w:tc>
              </w:tr>
              <w:tr w:rsidR="007E7472" w14:paraId="724EA0E2" w14:textId="77777777">
                <w:sdt>
                  <w:sdtPr>
                    <w:tag w:val="_PLD_862b6a23799a4cfdb3792bfc43248bcd"/>
                    <w:id w:val="179154361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1B8A6714" w14:textId="77777777" w:rsidR="007E7472" w:rsidRDefault="00EC1269">
                        <w:pPr>
                          <w:ind w:firstLineChars="100" w:firstLine="210"/>
                        </w:pPr>
                        <w:r>
                          <w:rPr>
                            <w:rFonts w:hint="eastAsia"/>
                          </w:rPr>
                          <w:t>减：营业外支出</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27A123D0" w14:textId="77777777" w:rsidR="007E7472" w:rsidRDefault="00EC1269">
                    <w:pPr>
                      <w:jc w:val="center"/>
                    </w:pPr>
                    <w:r>
                      <w:rPr>
                        <w:rFonts w:hint="eastAsia"/>
                      </w:rPr>
                      <w:t>七、75</w:t>
                    </w:r>
                  </w:p>
                </w:tc>
                <w:tc>
                  <w:tcPr>
                    <w:tcW w:w="1110" w:type="pct"/>
                    <w:tcBorders>
                      <w:top w:val="outset" w:sz="4" w:space="0" w:color="auto"/>
                      <w:left w:val="outset" w:sz="4" w:space="0" w:color="auto"/>
                      <w:bottom w:val="outset" w:sz="4" w:space="0" w:color="auto"/>
                      <w:right w:val="outset" w:sz="4" w:space="0" w:color="auto"/>
                    </w:tcBorders>
                    <w:vAlign w:val="center"/>
                  </w:tcPr>
                  <w:p w14:paraId="6BE7A938" w14:textId="77777777" w:rsidR="007E7472" w:rsidRDefault="00EC1269">
                    <w:pPr>
                      <w:jc w:val="right"/>
                    </w:pPr>
                    <w:r>
                      <w:rPr>
                        <w:rFonts w:hint="eastAsia"/>
                      </w:rPr>
                      <w:t>59,340</w:t>
                    </w:r>
                  </w:p>
                </w:tc>
                <w:tc>
                  <w:tcPr>
                    <w:tcW w:w="1114" w:type="pct"/>
                    <w:tcBorders>
                      <w:top w:val="outset" w:sz="4" w:space="0" w:color="auto"/>
                      <w:left w:val="outset" w:sz="4" w:space="0" w:color="auto"/>
                      <w:bottom w:val="outset" w:sz="4" w:space="0" w:color="auto"/>
                      <w:right w:val="outset" w:sz="4" w:space="0" w:color="auto"/>
                    </w:tcBorders>
                    <w:vAlign w:val="center"/>
                  </w:tcPr>
                  <w:p w14:paraId="3153AE33" w14:textId="77777777" w:rsidR="007E7472" w:rsidRDefault="00EC1269">
                    <w:pPr>
                      <w:jc w:val="right"/>
                    </w:pPr>
                    <w:r>
                      <w:rPr>
                        <w:rFonts w:hint="eastAsia"/>
                      </w:rPr>
                      <w:t>61,786</w:t>
                    </w:r>
                  </w:p>
                </w:tc>
              </w:tr>
              <w:tr w:rsidR="007E7472" w14:paraId="714EA4C2" w14:textId="77777777">
                <w:sdt>
                  <w:sdtPr>
                    <w:tag w:val="_PLD_91e0599aa02a45b39a5b0dfc801cbadf"/>
                    <w:id w:val="83442820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4D7EED72" w14:textId="77777777" w:rsidR="007E7472" w:rsidRDefault="00EC1269">
                        <w:pPr>
                          <w:rPr>
                            <w:color w:val="000000"/>
                          </w:rPr>
                        </w:pPr>
                        <w:r>
                          <w:rPr>
                            <w:rFonts w:hint="eastAsia"/>
                          </w:rPr>
                          <w:t>四、利润总额（亏损总额以</w:t>
                        </w:r>
                        <w:r>
                          <w:t>“</w:t>
                        </w:r>
                        <w:r>
                          <w:rPr>
                            <w:rFonts w:hint="eastAsia"/>
                          </w:rPr>
                          <w:t>－</w:t>
                        </w:r>
                        <w:r>
                          <w:t>”</w:t>
                        </w:r>
                        <w:r>
                          <w:rPr>
                            <w:rFonts w:hint="eastAsia"/>
                          </w:rPr>
                          <w:t>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19680542" w14:textId="77777777" w:rsidR="007E7472" w:rsidRDefault="00C8327E">
                    <w:pPr>
                      <w:jc w:val="center"/>
                    </w:pPr>
                  </w:p>
                </w:tc>
                <w:tc>
                  <w:tcPr>
                    <w:tcW w:w="1110" w:type="pct"/>
                    <w:tcBorders>
                      <w:top w:val="outset" w:sz="4" w:space="0" w:color="auto"/>
                      <w:left w:val="outset" w:sz="4" w:space="0" w:color="auto"/>
                      <w:bottom w:val="outset" w:sz="4" w:space="0" w:color="auto"/>
                      <w:right w:val="outset" w:sz="4" w:space="0" w:color="auto"/>
                    </w:tcBorders>
                    <w:vAlign w:val="center"/>
                  </w:tcPr>
                  <w:p w14:paraId="469E7C75" w14:textId="77777777" w:rsidR="007E7472" w:rsidRDefault="00EC1269">
                    <w:pPr>
                      <w:jc w:val="right"/>
                    </w:pPr>
                    <w:r>
                      <w:rPr>
                        <w:rFonts w:hint="eastAsia"/>
                      </w:rPr>
                      <w:t>17,209,923</w:t>
                    </w:r>
                  </w:p>
                </w:tc>
                <w:tc>
                  <w:tcPr>
                    <w:tcW w:w="1114" w:type="pct"/>
                    <w:tcBorders>
                      <w:top w:val="outset" w:sz="4" w:space="0" w:color="auto"/>
                      <w:left w:val="outset" w:sz="4" w:space="0" w:color="auto"/>
                      <w:bottom w:val="outset" w:sz="4" w:space="0" w:color="auto"/>
                      <w:right w:val="outset" w:sz="4" w:space="0" w:color="auto"/>
                    </w:tcBorders>
                    <w:vAlign w:val="center"/>
                  </w:tcPr>
                  <w:p w14:paraId="49197948" w14:textId="77777777" w:rsidR="007E7472" w:rsidRDefault="00EC1269">
                    <w:pPr>
                      <w:jc w:val="right"/>
                    </w:pPr>
                    <w:r>
                      <w:rPr>
                        <w:rFonts w:hint="eastAsia"/>
                      </w:rPr>
                      <w:t>29,687,27</w:t>
                    </w:r>
                    <w:r>
                      <w:t>2</w:t>
                    </w:r>
                  </w:p>
                </w:tc>
              </w:tr>
              <w:tr w:rsidR="007E7472" w14:paraId="10169F7D" w14:textId="77777777">
                <w:sdt>
                  <w:sdtPr>
                    <w:tag w:val="_PLD_068015dc8ea145fca7f54b4569a31184"/>
                    <w:id w:val="101518786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71138C00" w14:textId="77777777" w:rsidR="007E7472" w:rsidRDefault="00EC1269">
                        <w:pPr>
                          <w:ind w:firstLineChars="100" w:firstLine="210"/>
                          <w:rPr>
                            <w:color w:val="000000"/>
                          </w:rPr>
                        </w:pPr>
                        <w:r>
                          <w:rPr>
                            <w:rFonts w:hint="eastAsia"/>
                          </w:rPr>
                          <w:t>减：所得税费用</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15EEE100" w14:textId="77777777" w:rsidR="007E7472" w:rsidRDefault="00EC1269">
                    <w:pPr>
                      <w:jc w:val="center"/>
                    </w:pPr>
                    <w:r>
                      <w:rPr>
                        <w:rFonts w:hint="eastAsia"/>
                      </w:rPr>
                      <w:t>七、76</w:t>
                    </w:r>
                  </w:p>
                </w:tc>
                <w:tc>
                  <w:tcPr>
                    <w:tcW w:w="1110" w:type="pct"/>
                    <w:tcBorders>
                      <w:top w:val="outset" w:sz="4" w:space="0" w:color="auto"/>
                      <w:left w:val="outset" w:sz="4" w:space="0" w:color="auto"/>
                      <w:bottom w:val="outset" w:sz="4" w:space="0" w:color="auto"/>
                      <w:right w:val="outset" w:sz="4" w:space="0" w:color="auto"/>
                    </w:tcBorders>
                    <w:vAlign w:val="center"/>
                  </w:tcPr>
                  <w:p w14:paraId="083A805D" w14:textId="77777777" w:rsidR="007E7472" w:rsidRDefault="00EC1269">
                    <w:pPr>
                      <w:jc w:val="right"/>
                    </w:pPr>
                    <w:r>
                      <w:rPr>
                        <w:rFonts w:hint="eastAsia"/>
                      </w:rPr>
                      <w:t>4,446,023</w:t>
                    </w:r>
                  </w:p>
                </w:tc>
                <w:tc>
                  <w:tcPr>
                    <w:tcW w:w="1114" w:type="pct"/>
                    <w:tcBorders>
                      <w:top w:val="outset" w:sz="4" w:space="0" w:color="auto"/>
                      <w:left w:val="outset" w:sz="4" w:space="0" w:color="auto"/>
                      <w:bottom w:val="outset" w:sz="4" w:space="0" w:color="auto"/>
                      <w:right w:val="outset" w:sz="4" w:space="0" w:color="auto"/>
                    </w:tcBorders>
                    <w:vAlign w:val="center"/>
                  </w:tcPr>
                  <w:p w14:paraId="475B2E93" w14:textId="77777777" w:rsidR="007E7472" w:rsidRDefault="00EC1269">
                    <w:pPr>
                      <w:jc w:val="right"/>
                    </w:pPr>
                    <w:r>
                      <w:rPr>
                        <w:rFonts w:hint="eastAsia"/>
                      </w:rPr>
                      <w:t>7,471,088</w:t>
                    </w:r>
                  </w:p>
                </w:tc>
              </w:tr>
              <w:tr w:rsidR="007E7472" w14:paraId="7F6C411C" w14:textId="77777777">
                <w:sdt>
                  <w:sdtPr>
                    <w:tag w:val="_PLD_355129e4ca9b4d29bd85d210d08f622f"/>
                    <w:id w:val="168361726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4EF128F8" w14:textId="77777777" w:rsidR="007E7472" w:rsidRDefault="00EC1269">
                        <w:pPr>
                          <w:rPr>
                            <w:color w:val="000000"/>
                          </w:rPr>
                        </w:pPr>
                        <w:r>
                          <w:rPr>
                            <w:rFonts w:hint="eastAsia"/>
                          </w:rPr>
                          <w:t>五、净利润（净亏损以</w:t>
                        </w:r>
                        <w:r>
                          <w:t>“</w:t>
                        </w:r>
                        <w:r>
                          <w:rPr>
                            <w:rFonts w:hint="eastAsia"/>
                          </w:rPr>
                          <w:t>－</w:t>
                        </w:r>
                        <w:r>
                          <w:t>”</w:t>
                        </w:r>
                        <w:r>
                          <w:rPr>
                            <w:rFonts w:hint="eastAsia"/>
                          </w:rPr>
                          <w:t>号填列）</w:t>
                        </w:r>
                      </w:p>
                    </w:tc>
                  </w:sdtContent>
                </w:sdt>
                <w:tc>
                  <w:tcPr>
                    <w:tcW w:w="838" w:type="pct"/>
                    <w:tcBorders>
                      <w:top w:val="outset" w:sz="4" w:space="0" w:color="auto"/>
                      <w:left w:val="outset" w:sz="4" w:space="0" w:color="auto"/>
                      <w:bottom w:val="outset" w:sz="4" w:space="0" w:color="auto"/>
                      <w:right w:val="outset" w:sz="4" w:space="0" w:color="auto"/>
                    </w:tcBorders>
                  </w:tcPr>
                  <w:p w14:paraId="14BD9288" w14:textId="77777777" w:rsidR="007E7472" w:rsidRDefault="00C8327E"/>
                </w:tc>
                <w:tc>
                  <w:tcPr>
                    <w:tcW w:w="1110" w:type="pct"/>
                    <w:tcBorders>
                      <w:top w:val="outset" w:sz="4" w:space="0" w:color="auto"/>
                      <w:left w:val="outset" w:sz="4" w:space="0" w:color="auto"/>
                      <w:bottom w:val="outset" w:sz="4" w:space="0" w:color="auto"/>
                      <w:right w:val="outset" w:sz="4" w:space="0" w:color="auto"/>
                    </w:tcBorders>
                    <w:vAlign w:val="center"/>
                  </w:tcPr>
                  <w:p w14:paraId="47AB161E" w14:textId="77777777" w:rsidR="007E7472" w:rsidRDefault="00EC1269">
                    <w:pPr>
                      <w:jc w:val="right"/>
                    </w:pPr>
                    <w:r>
                      <w:rPr>
                        <w:rFonts w:hint="eastAsia"/>
                      </w:rPr>
                      <w:t>12,763,900</w:t>
                    </w:r>
                  </w:p>
                </w:tc>
                <w:tc>
                  <w:tcPr>
                    <w:tcW w:w="1114" w:type="pct"/>
                    <w:tcBorders>
                      <w:top w:val="outset" w:sz="4" w:space="0" w:color="auto"/>
                      <w:left w:val="outset" w:sz="4" w:space="0" w:color="auto"/>
                      <w:bottom w:val="outset" w:sz="4" w:space="0" w:color="auto"/>
                      <w:right w:val="outset" w:sz="4" w:space="0" w:color="auto"/>
                    </w:tcBorders>
                    <w:vAlign w:val="center"/>
                  </w:tcPr>
                  <w:p w14:paraId="097C44E8" w14:textId="77777777" w:rsidR="007E7472" w:rsidRDefault="00EC1269">
                    <w:pPr>
                      <w:jc w:val="right"/>
                    </w:pPr>
                    <w:r>
                      <w:rPr>
                        <w:rFonts w:hint="eastAsia"/>
                      </w:rPr>
                      <w:t>22,216,18</w:t>
                    </w:r>
                    <w:r>
                      <w:t>4</w:t>
                    </w:r>
                  </w:p>
                </w:tc>
              </w:tr>
              <w:tr w:rsidR="007E7472" w14:paraId="7233051B" w14:textId="77777777">
                <w:sdt>
                  <w:sdtPr>
                    <w:tag w:val="_PLD_c576a2f5fbec4ba2b1cc36d0a215ba5c"/>
                    <w:id w:val="1547876369"/>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770ABE4A" w14:textId="77777777" w:rsidR="007E7472" w:rsidRDefault="00EC1269">
                        <w:r>
                          <w:rPr>
                            <w:rFonts w:hint="eastAsia"/>
                          </w:rPr>
                          <w:t>（一）</w:t>
                        </w:r>
                        <w:r>
                          <w:t>按经营持续性分类</w:t>
                        </w:r>
                      </w:p>
                    </w:tc>
                  </w:sdtContent>
                </w:sdt>
              </w:tr>
              <w:tr w:rsidR="007E7472" w14:paraId="05178FE3" w14:textId="77777777">
                <w:sdt>
                  <w:sdtPr>
                    <w:rPr>
                      <w:rFonts w:hint="eastAsia"/>
                    </w:rPr>
                    <w:tag w:val="_PLD_0cbbecfa36204e9cb4a8afb27df49afc"/>
                    <w:id w:val="-76423139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2A57D020" w14:textId="77777777" w:rsidR="007E7472" w:rsidRDefault="00EC1269">
                        <w:pPr>
                          <w:ind w:firstLineChars="200" w:firstLine="420"/>
                        </w:pPr>
                        <w:r>
                          <w:t>1.持续经营净利润（净亏损以“－”号填列）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14:paraId="05D82416" w14:textId="77777777" w:rsidR="007E7472" w:rsidRDefault="00C8327E"/>
                </w:tc>
                <w:tc>
                  <w:tcPr>
                    <w:tcW w:w="1110" w:type="pct"/>
                    <w:tcBorders>
                      <w:top w:val="outset" w:sz="4" w:space="0" w:color="auto"/>
                      <w:left w:val="outset" w:sz="4" w:space="0" w:color="auto"/>
                      <w:bottom w:val="outset" w:sz="4" w:space="0" w:color="auto"/>
                      <w:right w:val="outset" w:sz="4" w:space="0" w:color="auto"/>
                    </w:tcBorders>
                    <w:vAlign w:val="center"/>
                  </w:tcPr>
                  <w:p w14:paraId="4FED05E8" w14:textId="77777777" w:rsidR="007E7472" w:rsidRDefault="00EC1269">
                    <w:pPr>
                      <w:jc w:val="right"/>
                    </w:pPr>
                    <w:r>
                      <w:rPr>
                        <w:rFonts w:hint="eastAsia"/>
                      </w:rPr>
                      <w:t>12,763,900</w:t>
                    </w:r>
                  </w:p>
                </w:tc>
                <w:tc>
                  <w:tcPr>
                    <w:tcW w:w="1114" w:type="pct"/>
                    <w:tcBorders>
                      <w:top w:val="outset" w:sz="4" w:space="0" w:color="auto"/>
                      <w:left w:val="outset" w:sz="4" w:space="0" w:color="auto"/>
                      <w:bottom w:val="outset" w:sz="4" w:space="0" w:color="auto"/>
                      <w:right w:val="outset" w:sz="4" w:space="0" w:color="auto"/>
                    </w:tcBorders>
                    <w:vAlign w:val="center"/>
                  </w:tcPr>
                  <w:p w14:paraId="53086BAC" w14:textId="77777777" w:rsidR="007E7472" w:rsidRDefault="00EC1269">
                    <w:pPr>
                      <w:jc w:val="right"/>
                    </w:pPr>
                    <w:r>
                      <w:rPr>
                        <w:rFonts w:hint="eastAsia"/>
                      </w:rPr>
                      <w:t>22,216,18</w:t>
                    </w:r>
                    <w:r>
                      <w:t>4</w:t>
                    </w:r>
                  </w:p>
                </w:tc>
              </w:tr>
              <w:tr w:rsidR="007E7472" w14:paraId="4FDF3EE5" w14:textId="77777777">
                <w:sdt>
                  <w:sdtPr>
                    <w:rPr>
                      <w:rFonts w:hint="eastAsia"/>
                    </w:rPr>
                    <w:tag w:val="_PLD_52694b4d274c4f909bf793dd26abeda4"/>
                    <w:id w:val="-114025890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73F7A83E" w14:textId="77777777" w:rsidR="007E7472" w:rsidRDefault="00EC1269">
                        <w:pPr>
                          <w:ind w:firstLineChars="200" w:firstLine="420"/>
                        </w:pPr>
                        <w:r>
                          <w:t>2.终止经营净利润（净亏损以“－”号填列）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14:paraId="7EFE35E0" w14:textId="77777777" w:rsidR="007E7472" w:rsidRDefault="00C8327E"/>
                </w:tc>
                <w:tc>
                  <w:tcPr>
                    <w:tcW w:w="1110" w:type="pct"/>
                    <w:tcBorders>
                      <w:top w:val="outset" w:sz="4" w:space="0" w:color="auto"/>
                      <w:left w:val="outset" w:sz="4" w:space="0" w:color="auto"/>
                      <w:bottom w:val="outset" w:sz="4" w:space="0" w:color="auto"/>
                      <w:right w:val="outset" w:sz="4" w:space="0" w:color="auto"/>
                    </w:tcBorders>
                  </w:tcPr>
                  <w:p w14:paraId="7965CD2E" w14:textId="77777777" w:rsidR="007E7472" w:rsidRDefault="00C8327E">
                    <w:pPr>
                      <w:jc w:val="right"/>
                    </w:pPr>
                  </w:p>
                </w:tc>
                <w:tc>
                  <w:tcPr>
                    <w:tcW w:w="1114" w:type="pct"/>
                    <w:tcBorders>
                      <w:top w:val="outset" w:sz="4" w:space="0" w:color="auto"/>
                      <w:left w:val="outset" w:sz="4" w:space="0" w:color="auto"/>
                      <w:bottom w:val="outset" w:sz="4" w:space="0" w:color="auto"/>
                      <w:right w:val="outset" w:sz="4" w:space="0" w:color="auto"/>
                    </w:tcBorders>
                  </w:tcPr>
                  <w:p w14:paraId="517D52D3" w14:textId="77777777" w:rsidR="007E7472" w:rsidRDefault="00C8327E">
                    <w:pPr>
                      <w:jc w:val="right"/>
                    </w:pPr>
                  </w:p>
                </w:tc>
              </w:tr>
              <w:tr w:rsidR="007E7472" w14:paraId="4504ED0D" w14:textId="77777777">
                <w:sdt>
                  <w:sdtPr>
                    <w:tag w:val="_PLD_5da729560f54464cbcc9ce762078f9ba"/>
                    <w:id w:val="-2066246108"/>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427CB3A7" w14:textId="77777777" w:rsidR="007E7472" w:rsidRDefault="00EC1269">
                        <w:r>
                          <w:rPr>
                            <w:rFonts w:hint="eastAsia"/>
                          </w:rPr>
                          <w:t>（二）</w:t>
                        </w:r>
                        <w:r>
                          <w:t>按所有权归属分类</w:t>
                        </w:r>
                      </w:p>
                    </w:tc>
                  </w:sdtContent>
                </w:sdt>
              </w:tr>
              <w:tr w:rsidR="007E7472" w14:paraId="26D5176F" w14:textId="77777777">
                <w:sdt>
                  <w:sdtPr>
                    <w:tag w:val="_PLD_d4f7c178814a4729a89415435ac2aac1"/>
                    <w:id w:val="128669386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6906EE53" w14:textId="77777777" w:rsidR="007E7472" w:rsidRDefault="00EC1269">
                        <w:pPr>
                          <w:ind w:firstLineChars="200" w:firstLine="420"/>
                        </w:pPr>
                        <w:r>
                          <w:t>1.</w:t>
                        </w:r>
                        <w:r>
                          <w:rPr>
                            <w:rFonts w:hint="eastAsia"/>
                          </w:rPr>
                          <w:t>归属于母公司股东的净利润（净亏损以“</w:t>
                        </w:r>
                        <w:r>
                          <w:t>-”号填列）</w:t>
                        </w:r>
                      </w:p>
                    </w:tc>
                  </w:sdtContent>
                </w:sdt>
                <w:tc>
                  <w:tcPr>
                    <w:tcW w:w="838" w:type="pct"/>
                    <w:tcBorders>
                      <w:top w:val="outset" w:sz="4" w:space="0" w:color="auto"/>
                      <w:left w:val="outset" w:sz="4" w:space="0" w:color="auto"/>
                      <w:bottom w:val="outset" w:sz="4" w:space="0" w:color="auto"/>
                      <w:right w:val="outset" w:sz="4" w:space="0" w:color="auto"/>
                    </w:tcBorders>
                  </w:tcPr>
                  <w:p w14:paraId="49F1E7DA" w14:textId="77777777" w:rsidR="007E7472" w:rsidRDefault="00C8327E"/>
                </w:tc>
                <w:tc>
                  <w:tcPr>
                    <w:tcW w:w="1110" w:type="pct"/>
                    <w:tcBorders>
                      <w:top w:val="outset" w:sz="4" w:space="0" w:color="auto"/>
                      <w:left w:val="outset" w:sz="4" w:space="0" w:color="auto"/>
                      <w:bottom w:val="outset" w:sz="4" w:space="0" w:color="auto"/>
                      <w:right w:val="outset" w:sz="4" w:space="0" w:color="auto"/>
                    </w:tcBorders>
                    <w:vAlign w:val="center"/>
                  </w:tcPr>
                  <w:p w14:paraId="60588024" w14:textId="77777777" w:rsidR="007E7472" w:rsidRDefault="00EC1269">
                    <w:pPr>
                      <w:jc w:val="right"/>
                    </w:pPr>
                    <w:r>
                      <w:rPr>
                        <w:rFonts w:hint="eastAsia"/>
                      </w:rPr>
                      <w:t>10,210,068</w:t>
                    </w:r>
                  </w:p>
                </w:tc>
                <w:tc>
                  <w:tcPr>
                    <w:tcW w:w="1114" w:type="pct"/>
                    <w:tcBorders>
                      <w:top w:val="outset" w:sz="4" w:space="0" w:color="auto"/>
                      <w:left w:val="outset" w:sz="4" w:space="0" w:color="auto"/>
                      <w:bottom w:val="outset" w:sz="4" w:space="0" w:color="auto"/>
                      <w:right w:val="outset" w:sz="4" w:space="0" w:color="auto"/>
                    </w:tcBorders>
                    <w:vAlign w:val="center"/>
                  </w:tcPr>
                  <w:p w14:paraId="3E38DF23" w14:textId="77777777" w:rsidR="007E7472" w:rsidRDefault="00EC1269">
                    <w:pPr>
                      <w:jc w:val="right"/>
                    </w:pPr>
                    <w:r>
                      <w:rPr>
                        <w:rFonts w:hint="eastAsia"/>
                      </w:rPr>
                      <w:t>18,037,071</w:t>
                    </w:r>
                  </w:p>
                </w:tc>
              </w:tr>
              <w:sdt>
                <w:sdtPr>
                  <w:rPr>
                    <w:rFonts w:asciiTheme="minorHAnsi" w:eastAsiaTheme="minorEastAsia" w:hAnsiTheme="minorHAnsi" w:cstheme="minorBidi"/>
                    <w:kern w:val="2"/>
                    <w:szCs w:val="22"/>
                  </w:rPr>
                  <w:alias w:val="2.归属于母公司其他权益工具持有者的净利润"/>
                  <w:tag w:val="_TUP_cf47eec94c064c9483fde0eec40545db"/>
                  <w:id w:val="2094576860"/>
                  <w:lock w:val="sdtLocked"/>
                </w:sdtPr>
                <w:sdtEndPr/>
                <w:sdtContent>
                  <w:tr w:rsidR="007E7472" w14:paraId="0B6E5F9D" w14:textId="77777777">
                    <w:sdt>
                      <w:sdtPr>
                        <w:rPr>
                          <w:rFonts w:asciiTheme="minorHAnsi" w:eastAsiaTheme="minorEastAsia" w:hAnsiTheme="minorHAnsi" w:cstheme="minorBidi"/>
                          <w:kern w:val="2"/>
                          <w:szCs w:val="22"/>
                        </w:rPr>
                        <w:alias w:val="2.归属于母公司其他权益工具持有者的净利润"/>
                        <w:tag w:val="_GBC_5215297807074a89a6c6efb062712160"/>
                        <w:id w:val="-834913997"/>
                        <w:lock w:val="sdtLocked"/>
                      </w:sdtPr>
                      <w:sdtEndPr>
                        <w:rPr>
                          <w:rFonts w:ascii="Times New Roman" w:eastAsia="宋体" w:hAnsi="Times New Roman" w:cs="Times New Roman"/>
                          <w:kern w:val="0"/>
                          <w:sz w:val="20"/>
                          <w:szCs w:val="20"/>
                        </w:r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57F0CF5F" w14:textId="77777777" w:rsidR="007E7472" w:rsidRDefault="00EC1269">
                            <w:pPr>
                              <w:ind w:firstLineChars="200" w:firstLine="420"/>
                            </w:pPr>
                            <w:r>
                              <w:t>2.归属于母公司其他权益工具持有者的净利润</w:t>
                            </w:r>
                          </w:p>
                        </w:tc>
                      </w:sdtContent>
                    </w:sdt>
                    <w:sdt>
                      <w:sdtPr>
                        <w:tag w:val="_GBC_a753df69d8a540c092916e9d25e6d43a"/>
                        <w:id w:val="-1225993316"/>
                        <w:lock w:val="sdtLocked"/>
                      </w:sdtPr>
                      <w:sdtEndPr/>
                      <w:sdtContent>
                        <w:tc>
                          <w:tcPr>
                            <w:tcW w:w="838" w:type="pct"/>
                            <w:tcBorders>
                              <w:top w:val="outset" w:sz="4" w:space="0" w:color="auto"/>
                              <w:left w:val="outset" w:sz="4" w:space="0" w:color="auto"/>
                              <w:bottom w:val="outset" w:sz="4" w:space="0" w:color="auto"/>
                              <w:right w:val="outset" w:sz="4" w:space="0" w:color="auto"/>
                            </w:tcBorders>
                          </w:tcPr>
                          <w:p w14:paraId="4C504561" w14:textId="77777777" w:rsidR="007E7472" w:rsidRDefault="00C8327E"/>
                        </w:tc>
                      </w:sdtContent>
                    </w:sdt>
                    <w:sdt>
                      <w:sdtPr>
                        <w:tag w:val="_GBC_34cf563afa074133a5863e13b27c3c21"/>
                        <w:id w:val="2110622943"/>
                        <w:lock w:val="sdtLocked"/>
                      </w:sdtPr>
                      <w:sdtEndPr/>
                      <w:sdtContent>
                        <w:tc>
                          <w:tcPr>
                            <w:tcW w:w="1110" w:type="pct"/>
                            <w:tcBorders>
                              <w:top w:val="outset" w:sz="4" w:space="0" w:color="auto"/>
                              <w:left w:val="outset" w:sz="4" w:space="0" w:color="auto"/>
                              <w:bottom w:val="outset" w:sz="4" w:space="0" w:color="auto"/>
                              <w:right w:val="outset" w:sz="4" w:space="0" w:color="auto"/>
                            </w:tcBorders>
                            <w:vAlign w:val="center"/>
                          </w:tcPr>
                          <w:p w14:paraId="3E827A39" w14:textId="77777777" w:rsidR="007E7472" w:rsidRDefault="00EC1269">
                            <w:pPr>
                              <w:jc w:val="right"/>
                            </w:pPr>
                            <w:r>
                              <w:t>206,755</w:t>
                            </w:r>
                          </w:p>
                        </w:tc>
                      </w:sdtContent>
                    </w:sdt>
                    <w:sdt>
                      <w:sdtPr>
                        <w:tag w:val="_GBC_fb8126b2bb3543b397b756c65ce456f9"/>
                        <w:id w:val="-1366670994"/>
                        <w:lock w:val="sdtLocked"/>
                      </w:sdtPr>
                      <w:sdtEndPr/>
                      <w:sdtContent>
                        <w:tc>
                          <w:tcPr>
                            <w:tcW w:w="1114" w:type="pct"/>
                            <w:tcBorders>
                              <w:top w:val="outset" w:sz="4" w:space="0" w:color="auto"/>
                              <w:left w:val="outset" w:sz="4" w:space="0" w:color="auto"/>
                              <w:bottom w:val="outset" w:sz="4" w:space="0" w:color="auto"/>
                              <w:right w:val="outset" w:sz="4" w:space="0" w:color="auto"/>
                            </w:tcBorders>
                            <w:vAlign w:val="center"/>
                          </w:tcPr>
                          <w:p w14:paraId="2E97AA56" w14:textId="77777777" w:rsidR="007E7472" w:rsidRDefault="00EC1269">
                            <w:pPr>
                              <w:jc w:val="right"/>
                            </w:pPr>
                            <w:r>
                              <w:t>176,927</w:t>
                            </w:r>
                          </w:p>
                        </w:tc>
                      </w:sdtContent>
                    </w:sdt>
                  </w:tr>
                </w:sdtContent>
              </w:sdt>
              <w:tr w:rsidR="007E7472" w14:paraId="057B42BF" w14:textId="77777777">
                <w:sdt>
                  <w:sdtPr>
                    <w:tag w:val="_PLD_095b31d3979943dc85b47d9a42d89a91"/>
                    <w:id w:val="-126737852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2456D09F" w14:textId="77777777" w:rsidR="007E7472" w:rsidRDefault="00EC1269">
                        <w:pPr>
                          <w:ind w:firstLineChars="200" w:firstLine="420"/>
                        </w:pPr>
                        <w:r>
                          <w:t>3.</w:t>
                        </w:r>
                        <w:r>
                          <w:rPr>
                            <w:rFonts w:hint="eastAsia"/>
                          </w:rPr>
                          <w:t>少数股东损益（净亏损以“</w:t>
                        </w:r>
                        <w:r>
                          <w:t>-”号填列）</w:t>
                        </w:r>
                      </w:p>
                    </w:tc>
                  </w:sdtContent>
                </w:sdt>
                <w:tc>
                  <w:tcPr>
                    <w:tcW w:w="838" w:type="pct"/>
                    <w:tcBorders>
                      <w:top w:val="outset" w:sz="4" w:space="0" w:color="auto"/>
                      <w:left w:val="outset" w:sz="4" w:space="0" w:color="auto"/>
                      <w:bottom w:val="outset" w:sz="4" w:space="0" w:color="auto"/>
                      <w:right w:val="outset" w:sz="4" w:space="0" w:color="auto"/>
                    </w:tcBorders>
                  </w:tcPr>
                  <w:p w14:paraId="318E1B49" w14:textId="77777777" w:rsidR="007E7472" w:rsidRDefault="00C8327E"/>
                </w:tc>
                <w:tc>
                  <w:tcPr>
                    <w:tcW w:w="1110" w:type="pct"/>
                    <w:tcBorders>
                      <w:top w:val="outset" w:sz="4" w:space="0" w:color="auto"/>
                      <w:left w:val="outset" w:sz="4" w:space="0" w:color="auto"/>
                      <w:bottom w:val="outset" w:sz="4" w:space="0" w:color="auto"/>
                      <w:right w:val="outset" w:sz="4" w:space="0" w:color="auto"/>
                    </w:tcBorders>
                    <w:vAlign w:val="center"/>
                  </w:tcPr>
                  <w:p w14:paraId="33B989D9" w14:textId="77777777" w:rsidR="007E7472" w:rsidRDefault="00EC1269">
                    <w:pPr>
                      <w:jc w:val="right"/>
                    </w:pPr>
                    <w:r>
                      <w:rPr>
                        <w:rFonts w:hint="eastAsia"/>
                      </w:rPr>
                      <w:t>2,347,07</w:t>
                    </w:r>
                    <w:r>
                      <w:t>7</w:t>
                    </w:r>
                  </w:p>
                </w:tc>
                <w:tc>
                  <w:tcPr>
                    <w:tcW w:w="1114" w:type="pct"/>
                    <w:tcBorders>
                      <w:top w:val="outset" w:sz="4" w:space="0" w:color="auto"/>
                      <w:left w:val="outset" w:sz="4" w:space="0" w:color="auto"/>
                      <w:bottom w:val="outset" w:sz="4" w:space="0" w:color="auto"/>
                      <w:right w:val="outset" w:sz="4" w:space="0" w:color="auto"/>
                    </w:tcBorders>
                    <w:vAlign w:val="center"/>
                  </w:tcPr>
                  <w:p w14:paraId="6FEA2ADD" w14:textId="77777777" w:rsidR="007E7472" w:rsidRDefault="00EC1269">
                    <w:pPr>
                      <w:jc w:val="right"/>
                    </w:pPr>
                    <w:r>
                      <w:rPr>
                        <w:rFonts w:hint="eastAsia"/>
                      </w:rPr>
                      <w:t>4,002,18</w:t>
                    </w:r>
                    <w:r>
                      <w:t>6</w:t>
                    </w:r>
                  </w:p>
                </w:tc>
              </w:tr>
              <w:tr w:rsidR="007E7472" w14:paraId="2412019C" w14:textId="77777777">
                <w:sdt>
                  <w:sdtPr>
                    <w:tag w:val="_PLD_6a43e7f14d234c52a7ab5dff443252a7"/>
                    <w:id w:val="205033552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64BC4093" w14:textId="77777777" w:rsidR="007E7472" w:rsidRDefault="00EC1269">
                        <w:r>
                          <w:rPr>
                            <w:rFonts w:hint="eastAsia"/>
                          </w:rPr>
                          <w:t>六、其他综合收益的税后净额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2506212B" w14:textId="77777777" w:rsidR="007E7472" w:rsidRDefault="00EC1269">
                    <w:pPr>
                      <w:jc w:val="center"/>
                    </w:pPr>
                    <w:r>
                      <w:rPr>
                        <w:rFonts w:hint="eastAsia"/>
                      </w:rPr>
                      <w:t>七、77</w:t>
                    </w:r>
                  </w:p>
                </w:tc>
                <w:tc>
                  <w:tcPr>
                    <w:tcW w:w="1110" w:type="pct"/>
                    <w:tcBorders>
                      <w:top w:val="outset" w:sz="4" w:space="0" w:color="auto"/>
                      <w:left w:val="outset" w:sz="4" w:space="0" w:color="auto"/>
                      <w:bottom w:val="outset" w:sz="4" w:space="0" w:color="auto"/>
                      <w:right w:val="outset" w:sz="4" w:space="0" w:color="auto"/>
                    </w:tcBorders>
                    <w:vAlign w:val="center"/>
                  </w:tcPr>
                  <w:p w14:paraId="77333952" w14:textId="77777777" w:rsidR="007E7472" w:rsidRDefault="00EC1269">
                    <w:pPr>
                      <w:jc w:val="right"/>
                    </w:pPr>
                    <w:r>
                      <w:rPr>
                        <w:rFonts w:hint="eastAsia"/>
                      </w:rPr>
                      <w:t>901,53</w:t>
                    </w:r>
                    <w:r>
                      <w:t>3</w:t>
                    </w:r>
                  </w:p>
                </w:tc>
                <w:tc>
                  <w:tcPr>
                    <w:tcW w:w="1114" w:type="pct"/>
                    <w:tcBorders>
                      <w:top w:val="outset" w:sz="4" w:space="0" w:color="auto"/>
                      <w:left w:val="outset" w:sz="4" w:space="0" w:color="auto"/>
                      <w:bottom w:val="outset" w:sz="4" w:space="0" w:color="auto"/>
                      <w:right w:val="outset" w:sz="4" w:space="0" w:color="auto"/>
                    </w:tcBorders>
                    <w:vAlign w:val="center"/>
                  </w:tcPr>
                  <w:p w14:paraId="032B02AB" w14:textId="77777777" w:rsidR="007E7472" w:rsidRDefault="00EC1269">
                    <w:pPr>
                      <w:jc w:val="right"/>
                    </w:pPr>
                    <w:r>
                      <w:rPr>
                        <w:rFonts w:hint="eastAsia"/>
                      </w:rPr>
                      <w:t>19,996</w:t>
                    </w:r>
                  </w:p>
                </w:tc>
              </w:tr>
              <w:tr w:rsidR="007E7472" w14:paraId="4FA74504" w14:textId="77777777">
                <w:sdt>
                  <w:sdtPr>
                    <w:tag w:val="_PLD_402e48f41e92468e9ccfc9f5b154d698"/>
                    <w:id w:val="-3573956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61D48CF2" w14:textId="77777777" w:rsidR="007E7472" w:rsidRDefault="00EC1269">
                        <w:pPr>
                          <w:ind w:firstLineChars="100" w:firstLine="210"/>
                        </w:pPr>
                        <w:r>
                          <w:rPr>
                            <w:rFonts w:hint="eastAsia"/>
                          </w:rPr>
                          <w:t>（一）归属母公司所有者的其他综合收益的税后净额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32301780" w14:textId="77777777" w:rsidR="007E7472" w:rsidRDefault="00EC1269">
                    <w:pPr>
                      <w:jc w:val="center"/>
                    </w:pPr>
                    <w:r>
                      <w:rPr>
                        <w:rFonts w:hint="eastAsia"/>
                      </w:rPr>
                      <w:t>七、77</w:t>
                    </w:r>
                  </w:p>
                </w:tc>
                <w:tc>
                  <w:tcPr>
                    <w:tcW w:w="1110" w:type="pct"/>
                    <w:tcBorders>
                      <w:top w:val="outset" w:sz="4" w:space="0" w:color="auto"/>
                      <w:left w:val="outset" w:sz="4" w:space="0" w:color="auto"/>
                      <w:bottom w:val="outset" w:sz="4" w:space="0" w:color="auto"/>
                      <w:right w:val="outset" w:sz="4" w:space="0" w:color="auto"/>
                    </w:tcBorders>
                    <w:vAlign w:val="center"/>
                  </w:tcPr>
                  <w:p w14:paraId="7A025F71" w14:textId="77777777" w:rsidR="007E7472" w:rsidRDefault="00EC1269">
                    <w:pPr>
                      <w:jc w:val="right"/>
                    </w:pPr>
                    <w:r>
                      <w:rPr>
                        <w:rFonts w:hint="eastAsia"/>
                      </w:rPr>
                      <w:t>705,01</w:t>
                    </w:r>
                    <w:r>
                      <w:t>9</w:t>
                    </w:r>
                  </w:p>
                </w:tc>
                <w:tc>
                  <w:tcPr>
                    <w:tcW w:w="1114" w:type="pct"/>
                    <w:tcBorders>
                      <w:top w:val="outset" w:sz="4" w:space="0" w:color="auto"/>
                      <w:left w:val="outset" w:sz="4" w:space="0" w:color="auto"/>
                      <w:bottom w:val="outset" w:sz="4" w:space="0" w:color="auto"/>
                      <w:right w:val="outset" w:sz="4" w:space="0" w:color="auto"/>
                    </w:tcBorders>
                    <w:vAlign w:val="center"/>
                  </w:tcPr>
                  <w:p w14:paraId="48145901" w14:textId="77777777" w:rsidR="007E7472" w:rsidRDefault="00EC1269">
                    <w:pPr>
                      <w:jc w:val="right"/>
                    </w:pPr>
                    <w:r>
                      <w:rPr>
                        <w:rFonts w:hint="eastAsia"/>
                      </w:rPr>
                      <w:t>33,322</w:t>
                    </w:r>
                  </w:p>
                </w:tc>
              </w:tr>
              <w:tr w:rsidR="007E7472" w14:paraId="04E7925C" w14:textId="77777777">
                <w:sdt>
                  <w:sdtPr>
                    <w:tag w:val="_PLD_b367f8195cde49b4861d967effb0f541"/>
                    <w:id w:val="207708389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5F0F997F" w14:textId="77777777" w:rsidR="007E7472" w:rsidRDefault="00EC1269">
                        <w:pPr>
                          <w:ind w:firstLineChars="200" w:firstLine="420"/>
                        </w:pPr>
                        <w:r>
                          <w:t>1.</w:t>
                        </w:r>
                        <w:r>
                          <w:rPr>
                            <w:rFonts w:hint="eastAsia"/>
                          </w:rPr>
                          <w:t>不能重分类进损益的其他综合收益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74807E51" w14:textId="77777777" w:rsidR="007E7472" w:rsidRDefault="00EC1269">
                    <w:pPr>
                      <w:jc w:val="center"/>
                    </w:pPr>
                    <w:r>
                      <w:rPr>
                        <w:rFonts w:hint="eastAsia"/>
                      </w:rPr>
                      <w:t>七、77</w:t>
                    </w:r>
                  </w:p>
                </w:tc>
                <w:tc>
                  <w:tcPr>
                    <w:tcW w:w="1110" w:type="pct"/>
                    <w:tcBorders>
                      <w:top w:val="outset" w:sz="4" w:space="0" w:color="auto"/>
                      <w:left w:val="outset" w:sz="4" w:space="0" w:color="auto"/>
                      <w:bottom w:val="outset" w:sz="4" w:space="0" w:color="auto"/>
                      <w:right w:val="outset" w:sz="4" w:space="0" w:color="auto"/>
                    </w:tcBorders>
                    <w:vAlign w:val="center"/>
                  </w:tcPr>
                  <w:p w14:paraId="007AD9D3" w14:textId="77777777" w:rsidR="007E7472" w:rsidRDefault="00EC1269">
                    <w:pPr>
                      <w:jc w:val="right"/>
                    </w:pPr>
                    <w:r>
                      <w:rPr>
                        <w:rFonts w:hint="eastAsia"/>
                      </w:rPr>
                      <w:t>5,940</w:t>
                    </w:r>
                  </w:p>
                </w:tc>
                <w:tc>
                  <w:tcPr>
                    <w:tcW w:w="1114" w:type="pct"/>
                    <w:tcBorders>
                      <w:top w:val="outset" w:sz="4" w:space="0" w:color="auto"/>
                      <w:left w:val="outset" w:sz="4" w:space="0" w:color="auto"/>
                      <w:bottom w:val="outset" w:sz="4" w:space="0" w:color="auto"/>
                      <w:right w:val="outset" w:sz="4" w:space="0" w:color="auto"/>
                    </w:tcBorders>
                    <w:vAlign w:val="center"/>
                  </w:tcPr>
                  <w:p w14:paraId="04031274" w14:textId="77777777" w:rsidR="007E7472" w:rsidRDefault="00EC1269">
                    <w:pPr>
                      <w:jc w:val="right"/>
                    </w:pPr>
                    <w:r>
                      <w:rPr>
                        <w:rFonts w:hint="eastAsia"/>
                      </w:rPr>
                      <w:t>24</w:t>
                    </w:r>
                  </w:p>
                </w:tc>
              </w:tr>
              <w:tr w:rsidR="007E7472" w14:paraId="5D9DFC23" w14:textId="77777777">
                <w:sdt>
                  <w:sdtPr>
                    <w:tag w:val="_PLD_c1d0eb5a70bd4147bff8f5ac51104882"/>
                    <w:id w:val="147217704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42E68475" w14:textId="77777777" w:rsidR="007E7472" w:rsidRDefault="00EC1269">
                        <w:r>
                          <w:rPr>
                            <w:rFonts w:hint="eastAsia"/>
                          </w:rPr>
                          <w:t>（1）</w:t>
                        </w:r>
                        <w:r>
                          <w:t>重新计量设定受益计划变动额</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20745D71" w14:textId="77777777" w:rsidR="007E7472" w:rsidRDefault="00C8327E">
                    <w:pPr>
                      <w:jc w:val="center"/>
                    </w:pPr>
                  </w:p>
                </w:tc>
                <w:tc>
                  <w:tcPr>
                    <w:tcW w:w="1110" w:type="pct"/>
                    <w:tcBorders>
                      <w:top w:val="outset" w:sz="4" w:space="0" w:color="auto"/>
                      <w:left w:val="outset" w:sz="4" w:space="0" w:color="auto"/>
                      <w:bottom w:val="outset" w:sz="4" w:space="0" w:color="auto"/>
                      <w:right w:val="outset" w:sz="4" w:space="0" w:color="auto"/>
                    </w:tcBorders>
                  </w:tcPr>
                  <w:p w14:paraId="2B316D67" w14:textId="77777777" w:rsidR="007E7472" w:rsidRDefault="00C8327E">
                    <w:pPr>
                      <w:jc w:val="right"/>
                    </w:pPr>
                  </w:p>
                </w:tc>
                <w:tc>
                  <w:tcPr>
                    <w:tcW w:w="1114" w:type="pct"/>
                    <w:tcBorders>
                      <w:top w:val="outset" w:sz="4" w:space="0" w:color="auto"/>
                      <w:left w:val="outset" w:sz="4" w:space="0" w:color="auto"/>
                      <w:bottom w:val="outset" w:sz="4" w:space="0" w:color="auto"/>
                      <w:right w:val="outset" w:sz="4" w:space="0" w:color="auto"/>
                    </w:tcBorders>
                  </w:tcPr>
                  <w:p w14:paraId="223EC87C" w14:textId="77777777" w:rsidR="007E7472" w:rsidRDefault="00C8327E">
                    <w:pPr>
                      <w:jc w:val="right"/>
                    </w:pPr>
                  </w:p>
                </w:tc>
              </w:tr>
              <w:tr w:rsidR="007E7472" w14:paraId="5C348B8E" w14:textId="77777777">
                <w:sdt>
                  <w:sdtPr>
                    <w:tag w:val="_PLD_da98b29079a040128e53e7426fc30a60"/>
                    <w:id w:val="111001634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10DEA24F" w14:textId="77777777" w:rsidR="007E7472" w:rsidRDefault="00EC1269">
                        <w:r>
                          <w:rPr>
                            <w:rFonts w:hint="eastAsia"/>
                          </w:rPr>
                          <w:t>（</w:t>
                        </w:r>
                        <w:r>
                          <w:t>2</w:t>
                        </w:r>
                        <w:r>
                          <w:rPr>
                            <w:rFonts w:hint="eastAsia"/>
                          </w:rPr>
                          <w:t>）</w:t>
                        </w:r>
                        <w:r>
                          <w:t>权益法下不能转损益的其他综合收益</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48057123" w14:textId="77777777" w:rsidR="007E7472" w:rsidRDefault="00EC1269">
                    <w:pPr>
                      <w:jc w:val="center"/>
                    </w:pPr>
                    <w:r>
                      <w:rPr>
                        <w:rFonts w:hint="eastAsia"/>
                      </w:rPr>
                      <w:t>七、77</w:t>
                    </w:r>
                  </w:p>
                </w:tc>
                <w:tc>
                  <w:tcPr>
                    <w:tcW w:w="1110" w:type="pct"/>
                    <w:tcBorders>
                      <w:top w:val="outset" w:sz="4" w:space="0" w:color="auto"/>
                      <w:left w:val="outset" w:sz="4" w:space="0" w:color="auto"/>
                      <w:bottom w:val="outset" w:sz="4" w:space="0" w:color="auto"/>
                      <w:right w:val="outset" w:sz="4" w:space="0" w:color="auto"/>
                    </w:tcBorders>
                    <w:vAlign w:val="center"/>
                  </w:tcPr>
                  <w:p w14:paraId="13D22DA6" w14:textId="77777777" w:rsidR="007E7472" w:rsidRDefault="00EC1269">
                    <w:pPr>
                      <w:jc w:val="right"/>
                    </w:pPr>
                    <w:r>
                      <w:rPr>
                        <w:rFonts w:hint="eastAsia"/>
                      </w:rPr>
                      <w:t>5,983</w:t>
                    </w:r>
                  </w:p>
                </w:tc>
                <w:tc>
                  <w:tcPr>
                    <w:tcW w:w="1114" w:type="pct"/>
                    <w:tcBorders>
                      <w:top w:val="outset" w:sz="4" w:space="0" w:color="auto"/>
                      <w:left w:val="outset" w:sz="4" w:space="0" w:color="auto"/>
                      <w:bottom w:val="outset" w:sz="4" w:space="0" w:color="auto"/>
                      <w:right w:val="outset" w:sz="4" w:space="0" w:color="auto"/>
                    </w:tcBorders>
                    <w:vAlign w:val="center"/>
                  </w:tcPr>
                  <w:p w14:paraId="012DFC4B" w14:textId="77777777" w:rsidR="007E7472" w:rsidRDefault="00C8327E">
                    <w:pPr>
                      <w:jc w:val="right"/>
                    </w:pPr>
                  </w:p>
                </w:tc>
              </w:tr>
              <w:tr w:rsidR="007E7472" w14:paraId="7BFFD6A4" w14:textId="77777777">
                <w:tc>
                  <w:tcPr>
                    <w:tcW w:w="1938" w:type="pct"/>
                    <w:tcBorders>
                      <w:top w:val="outset" w:sz="4" w:space="0" w:color="auto"/>
                      <w:left w:val="outset" w:sz="4" w:space="0" w:color="auto"/>
                      <w:bottom w:val="outset" w:sz="4" w:space="0" w:color="auto"/>
                      <w:right w:val="outset" w:sz="4" w:space="0" w:color="auto"/>
                    </w:tcBorders>
                    <w:vAlign w:val="center"/>
                  </w:tcPr>
                  <w:sdt>
                    <w:sdtPr>
                      <w:tag w:val="_PLD_9346e4819ec34beabe92d365c497e001"/>
                      <w:id w:val="-1863968154"/>
                      <w:lock w:val="sdtLocked"/>
                    </w:sdtPr>
                    <w:sdtEndPr/>
                    <w:sdtContent>
                      <w:p w14:paraId="66DABD45" w14:textId="77777777" w:rsidR="007E7472" w:rsidRDefault="00EC1269">
                        <w:r>
                          <w:rPr>
                            <w:rFonts w:hint="eastAsia"/>
                          </w:rPr>
                          <w:t>（3）</w:t>
                        </w:r>
                        <w:r>
                          <w:t>其他权益工具投资公允价值变动</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709C00F1" w14:textId="77777777" w:rsidR="007E7472" w:rsidRDefault="00EC1269">
                    <w:pPr>
                      <w:jc w:val="center"/>
                    </w:pPr>
                    <w:r>
                      <w:rPr>
                        <w:rFonts w:hint="eastAsia"/>
                      </w:rPr>
                      <w:t>七、77</w:t>
                    </w:r>
                  </w:p>
                </w:tc>
                <w:tc>
                  <w:tcPr>
                    <w:tcW w:w="1110" w:type="pct"/>
                    <w:tcBorders>
                      <w:top w:val="outset" w:sz="4" w:space="0" w:color="auto"/>
                      <w:left w:val="outset" w:sz="4" w:space="0" w:color="auto"/>
                      <w:bottom w:val="outset" w:sz="4" w:space="0" w:color="auto"/>
                      <w:right w:val="outset" w:sz="4" w:space="0" w:color="auto"/>
                    </w:tcBorders>
                    <w:vAlign w:val="center"/>
                  </w:tcPr>
                  <w:p w14:paraId="2BDD0793" w14:textId="77777777" w:rsidR="007E7472" w:rsidRDefault="00EC1269">
                    <w:pPr>
                      <w:jc w:val="right"/>
                    </w:pPr>
                    <w:r>
                      <w:rPr>
                        <w:rFonts w:hint="eastAsia"/>
                      </w:rPr>
                      <w:t>-43</w:t>
                    </w:r>
                  </w:p>
                </w:tc>
                <w:tc>
                  <w:tcPr>
                    <w:tcW w:w="1114" w:type="pct"/>
                    <w:tcBorders>
                      <w:top w:val="outset" w:sz="4" w:space="0" w:color="auto"/>
                      <w:left w:val="outset" w:sz="4" w:space="0" w:color="auto"/>
                      <w:bottom w:val="outset" w:sz="4" w:space="0" w:color="auto"/>
                      <w:right w:val="outset" w:sz="4" w:space="0" w:color="auto"/>
                    </w:tcBorders>
                    <w:vAlign w:val="center"/>
                  </w:tcPr>
                  <w:p w14:paraId="59786D24" w14:textId="77777777" w:rsidR="007E7472" w:rsidRDefault="00EC1269">
                    <w:pPr>
                      <w:jc w:val="right"/>
                    </w:pPr>
                    <w:r>
                      <w:rPr>
                        <w:rFonts w:hint="eastAsia"/>
                      </w:rPr>
                      <w:t>24</w:t>
                    </w:r>
                  </w:p>
                </w:tc>
              </w:tr>
              <w:tr w:rsidR="007E7472" w14:paraId="2D034C5C" w14:textId="77777777">
                <w:tc>
                  <w:tcPr>
                    <w:tcW w:w="1938" w:type="pct"/>
                    <w:tcBorders>
                      <w:top w:val="outset" w:sz="4" w:space="0" w:color="auto"/>
                      <w:left w:val="outset" w:sz="4" w:space="0" w:color="auto"/>
                      <w:bottom w:val="outset" w:sz="4" w:space="0" w:color="auto"/>
                      <w:right w:val="outset" w:sz="4" w:space="0" w:color="auto"/>
                    </w:tcBorders>
                    <w:vAlign w:val="center"/>
                  </w:tcPr>
                  <w:sdt>
                    <w:sdtPr>
                      <w:tag w:val="_PLD_70f86b80dfa1468c8c481e18f675ad6a"/>
                      <w:id w:val="202683274"/>
                      <w:lock w:val="sdtLocked"/>
                    </w:sdtPr>
                    <w:sdtEndPr/>
                    <w:sdtContent>
                      <w:p w14:paraId="20DA463E" w14:textId="77777777" w:rsidR="007E7472" w:rsidRDefault="00EC1269">
                        <w:r>
                          <w:rPr>
                            <w:rFonts w:hint="eastAsia"/>
                          </w:rPr>
                          <w:t>（4）</w:t>
                        </w:r>
                        <w:r>
                          <w:t>企业自身信用风险公允价值变动</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70C58B51" w14:textId="77777777" w:rsidR="007E7472" w:rsidRDefault="00C8327E"/>
                </w:tc>
                <w:tc>
                  <w:tcPr>
                    <w:tcW w:w="1110" w:type="pct"/>
                    <w:tcBorders>
                      <w:top w:val="outset" w:sz="4" w:space="0" w:color="auto"/>
                      <w:left w:val="outset" w:sz="4" w:space="0" w:color="auto"/>
                      <w:bottom w:val="outset" w:sz="4" w:space="0" w:color="auto"/>
                      <w:right w:val="outset" w:sz="4" w:space="0" w:color="auto"/>
                    </w:tcBorders>
                  </w:tcPr>
                  <w:p w14:paraId="657E979D" w14:textId="77777777" w:rsidR="007E7472" w:rsidRDefault="00C8327E">
                    <w:pPr>
                      <w:jc w:val="right"/>
                    </w:pPr>
                  </w:p>
                </w:tc>
                <w:tc>
                  <w:tcPr>
                    <w:tcW w:w="1114" w:type="pct"/>
                    <w:tcBorders>
                      <w:top w:val="outset" w:sz="4" w:space="0" w:color="auto"/>
                      <w:left w:val="outset" w:sz="4" w:space="0" w:color="auto"/>
                      <w:bottom w:val="outset" w:sz="4" w:space="0" w:color="auto"/>
                      <w:right w:val="outset" w:sz="4" w:space="0" w:color="auto"/>
                    </w:tcBorders>
                  </w:tcPr>
                  <w:p w14:paraId="448B3F2C" w14:textId="77777777" w:rsidR="007E7472" w:rsidRDefault="00C8327E">
                    <w:pPr>
                      <w:jc w:val="right"/>
                    </w:pPr>
                  </w:p>
                </w:tc>
              </w:tr>
              <w:tr w:rsidR="007E7472" w14:paraId="4102E7EB" w14:textId="77777777">
                <w:sdt>
                  <w:sdtPr>
                    <w:tag w:val="_PLD_1d4c3625b1a9453f98b920131a00b22a"/>
                    <w:id w:val="37790432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729522EF" w14:textId="77777777" w:rsidR="007E7472" w:rsidRDefault="00EC1269">
                        <w:pPr>
                          <w:ind w:firstLineChars="200" w:firstLine="420"/>
                        </w:pPr>
                        <w:r>
                          <w:t>2.</w:t>
                        </w:r>
                        <w:r>
                          <w:rPr>
                            <w:rFonts w:hint="eastAsia"/>
                          </w:rPr>
                          <w:t>将重分类进损益的其他综合收益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5E6A2FE5" w14:textId="77777777" w:rsidR="007E7472" w:rsidRDefault="00EC1269">
                    <w:pPr>
                      <w:jc w:val="center"/>
                    </w:pPr>
                    <w:r>
                      <w:rPr>
                        <w:rFonts w:hint="eastAsia"/>
                      </w:rPr>
                      <w:t>七、77</w:t>
                    </w:r>
                  </w:p>
                </w:tc>
                <w:tc>
                  <w:tcPr>
                    <w:tcW w:w="1110" w:type="pct"/>
                    <w:tcBorders>
                      <w:top w:val="outset" w:sz="4" w:space="0" w:color="auto"/>
                      <w:left w:val="outset" w:sz="4" w:space="0" w:color="auto"/>
                      <w:bottom w:val="outset" w:sz="4" w:space="0" w:color="auto"/>
                      <w:right w:val="outset" w:sz="4" w:space="0" w:color="auto"/>
                    </w:tcBorders>
                    <w:vAlign w:val="center"/>
                  </w:tcPr>
                  <w:p w14:paraId="2ABC54CF" w14:textId="77777777" w:rsidR="007E7472" w:rsidRDefault="00EC1269">
                    <w:pPr>
                      <w:jc w:val="right"/>
                    </w:pPr>
                    <w:r>
                      <w:rPr>
                        <w:rFonts w:hint="eastAsia"/>
                      </w:rPr>
                      <w:t>699,07</w:t>
                    </w:r>
                    <w:r>
                      <w:t>9</w:t>
                    </w:r>
                  </w:p>
                </w:tc>
                <w:tc>
                  <w:tcPr>
                    <w:tcW w:w="1114" w:type="pct"/>
                    <w:tcBorders>
                      <w:top w:val="outset" w:sz="4" w:space="0" w:color="auto"/>
                      <w:left w:val="outset" w:sz="4" w:space="0" w:color="auto"/>
                      <w:bottom w:val="outset" w:sz="4" w:space="0" w:color="auto"/>
                      <w:right w:val="outset" w:sz="4" w:space="0" w:color="auto"/>
                    </w:tcBorders>
                    <w:vAlign w:val="center"/>
                  </w:tcPr>
                  <w:p w14:paraId="160E6344" w14:textId="77777777" w:rsidR="007E7472" w:rsidRDefault="00EC1269">
                    <w:pPr>
                      <w:jc w:val="right"/>
                    </w:pPr>
                    <w:r>
                      <w:rPr>
                        <w:rFonts w:hint="eastAsia"/>
                      </w:rPr>
                      <w:t>33,298</w:t>
                    </w:r>
                  </w:p>
                </w:tc>
              </w:tr>
              <w:tr w:rsidR="007E7472" w14:paraId="612314AF" w14:textId="77777777">
                <w:sdt>
                  <w:sdtPr>
                    <w:tag w:val="_PLD_e78255a0eaf548199db0c5a635c041ec"/>
                    <w:id w:val="88845424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2787EF66" w14:textId="77777777" w:rsidR="007E7472" w:rsidRDefault="00EC1269">
                        <w:r>
                          <w:rPr>
                            <w:rFonts w:hint="eastAsia"/>
                          </w:rPr>
                          <w:t>（1）</w:t>
                        </w:r>
                        <w:r>
                          <w:t>权益法下可转损益的其他综合收益</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24F7EB68" w14:textId="77777777" w:rsidR="007E7472" w:rsidRDefault="00EC1269">
                    <w:pPr>
                      <w:jc w:val="center"/>
                    </w:pPr>
                    <w:r>
                      <w:rPr>
                        <w:rFonts w:hint="eastAsia"/>
                      </w:rPr>
                      <w:t>七、77</w:t>
                    </w:r>
                  </w:p>
                </w:tc>
                <w:tc>
                  <w:tcPr>
                    <w:tcW w:w="1110" w:type="pct"/>
                    <w:tcBorders>
                      <w:top w:val="outset" w:sz="4" w:space="0" w:color="auto"/>
                      <w:left w:val="outset" w:sz="4" w:space="0" w:color="auto"/>
                      <w:bottom w:val="outset" w:sz="4" w:space="0" w:color="auto"/>
                      <w:right w:val="outset" w:sz="4" w:space="0" w:color="auto"/>
                    </w:tcBorders>
                    <w:vAlign w:val="center"/>
                  </w:tcPr>
                  <w:p w14:paraId="560EB5F8" w14:textId="77777777" w:rsidR="007E7472" w:rsidRDefault="00EC1269">
                    <w:pPr>
                      <w:jc w:val="right"/>
                    </w:pPr>
                    <w:r>
                      <w:rPr>
                        <w:rFonts w:hint="eastAsia"/>
                      </w:rPr>
                      <w:t>128,77</w:t>
                    </w:r>
                    <w:r>
                      <w:t>3</w:t>
                    </w:r>
                  </w:p>
                </w:tc>
                <w:tc>
                  <w:tcPr>
                    <w:tcW w:w="1114" w:type="pct"/>
                    <w:tcBorders>
                      <w:top w:val="outset" w:sz="4" w:space="0" w:color="auto"/>
                      <w:left w:val="outset" w:sz="4" w:space="0" w:color="auto"/>
                      <w:bottom w:val="outset" w:sz="4" w:space="0" w:color="auto"/>
                      <w:right w:val="outset" w:sz="4" w:space="0" w:color="auto"/>
                    </w:tcBorders>
                    <w:vAlign w:val="center"/>
                  </w:tcPr>
                  <w:p w14:paraId="0D67C5FC" w14:textId="77777777" w:rsidR="007E7472" w:rsidRDefault="00EC1269">
                    <w:pPr>
                      <w:jc w:val="right"/>
                    </w:pPr>
                    <w:r>
                      <w:rPr>
                        <w:rFonts w:hint="eastAsia"/>
                      </w:rPr>
                      <w:t>-20,998</w:t>
                    </w:r>
                  </w:p>
                </w:tc>
              </w:tr>
              <w:tr w:rsidR="007E7472" w14:paraId="4A44F5BF" w14:textId="77777777">
                <w:tc>
                  <w:tcPr>
                    <w:tcW w:w="1938" w:type="pct"/>
                    <w:tcBorders>
                      <w:top w:val="outset" w:sz="4" w:space="0" w:color="auto"/>
                      <w:left w:val="outset" w:sz="4" w:space="0" w:color="auto"/>
                      <w:bottom w:val="outset" w:sz="4" w:space="0" w:color="auto"/>
                      <w:right w:val="outset" w:sz="4" w:space="0" w:color="auto"/>
                    </w:tcBorders>
                    <w:vAlign w:val="center"/>
                  </w:tcPr>
                  <w:sdt>
                    <w:sdtPr>
                      <w:tag w:val="_PLD_a608a9b526b94d059af9488704db19ed"/>
                      <w:id w:val="1684626750"/>
                      <w:lock w:val="sdtLocked"/>
                    </w:sdtPr>
                    <w:sdtEndPr/>
                    <w:sdtContent>
                      <w:p w14:paraId="19DD6A00" w14:textId="77777777" w:rsidR="007E7472" w:rsidRDefault="00EC1269">
                        <w:r>
                          <w:rPr>
                            <w:rFonts w:hint="eastAsia"/>
                          </w:rPr>
                          <w:t>（</w:t>
                        </w:r>
                        <w:r>
                          <w:t>2</w:t>
                        </w:r>
                        <w:r>
                          <w:rPr>
                            <w:rFonts w:hint="eastAsia"/>
                          </w:rPr>
                          <w:t>）</w:t>
                        </w:r>
                        <w:r>
                          <w:t>其他债权投资公允价值变动</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5E382F1B" w14:textId="77777777" w:rsidR="007E7472" w:rsidRDefault="00C8327E">
                    <w:pPr>
                      <w:jc w:val="center"/>
                    </w:pPr>
                  </w:p>
                </w:tc>
                <w:tc>
                  <w:tcPr>
                    <w:tcW w:w="1110" w:type="pct"/>
                    <w:tcBorders>
                      <w:top w:val="outset" w:sz="4" w:space="0" w:color="auto"/>
                      <w:left w:val="outset" w:sz="4" w:space="0" w:color="auto"/>
                      <w:bottom w:val="outset" w:sz="4" w:space="0" w:color="auto"/>
                      <w:right w:val="outset" w:sz="4" w:space="0" w:color="auto"/>
                    </w:tcBorders>
                  </w:tcPr>
                  <w:p w14:paraId="2C7405FD" w14:textId="77777777" w:rsidR="007E7472" w:rsidRDefault="00C8327E">
                    <w:pPr>
                      <w:jc w:val="right"/>
                    </w:pPr>
                  </w:p>
                </w:tc>
                <w:tc>
                  <w:tcPr>
                    <w:tcW w:w="1114" w:type="pct"/>
                    <w:tcBorders>
                      <w:top w:val="outset" w:sz="4" w:space="0" w:color="auto"/>
                      <w:left w:val="outset" w:sz="4" w:space="0" w:color="auto"/>
                      <w:bottom w:val="outset" w:sz="4" w:space="0" w:color="auto"/>
                      <w:right w:val="outset" w:sz="4" w:space="0" w:color="auto"/>
                    </w:tcBorders>
                  </w:tcPr>
                  <w:p w14:paraId="7A1672F4" w14:textId="77777777" w:rsidR="007E7472" w:rsidRDefault="00C8327E">
                    <w:pPr>
                      <w:jc w:val="right"/>
                    </w:pPr>
                  </w:p>
                </w:tc>
              </w:tr>
              <w:tr w:rsidR="007E7472" w14:paraId="69B5E0B4" w14:textId="77777777">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7a9ae8ab6d184d70b8bcabf893d29ffc"/>
                      <w:id w:val="1586502292"/>
                      <w:lock w:val="sdtLocked"/>
                    </w:sdtPr>
                    <w:sdtEndPr>
                      <w:rPr>
                        <w:rFonts w:hint="default"/>
                      </w:rPr>
                    </w:sdtEndPr>
                    <w:sdtContent>
                      <w:p w14:paraId="52948B02" w14:textId="77777777" w:rsidR="007E7472" w:rsidRDefault="00EC1269">
                        <w:r>
                          <w:rPr>
                            <w:rFonts w:hint="eastAsia"/>
                          </w:rPr>
                          <w:t>（3）</w:t>
                        </w:r>
                        <w:r>
                          <w:t>金融资产重分类计入其他综合收益的金额</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27A5B7C6" w14:textId="77777777" w:rsidR="007E7472" w:rsidRDefault="00C8327E">
                    <w:pPr>
                      <w:jc w:val="center"/>
                    </w:pPr>
                  </w:p>
                </w:tc>
                <w:tc>
                  <w:tcPr>
                    <w:tcW w:w="1110" w:type="pct"/>
                    <w:tcBorders>
                      <w:top w:val="outset" w:sz="4" w:space="0" w:color="auto"/>
                      <w:left w:val="outset" w:sz="4" w:space="0" w:color="auto"/>
                      <w:bottom w:val="outset" w:sz="4" w:space="0" w:color="auto"/>
                      <w:right w:val="outset" w:sz="4" w:space="0" w:color="auto"/>
                    </w:tcBorders>
                  </w:tcPr>
                  <w:p w14:paraId="1B87FDED" w14:textId="77777777" w:rsidR="007E7472" w:rsidRDefault="00C8327E">
                    <w:pPr>
                      <w:jc w:val="right"/>
                    </w:pPr>
                  </w:p>
                </w:tc>
                <w:tc>
                  <w:tcPr>
                    <w:tcW w:w="1114" w:type="pct"/>
                    <w:tcBorders>
                      <w:top w:val="outset" w:sz="4" w:space="0" w:color="auto"/>
                      <w:left w:val="outset" w:sz="4" w:space="0" w:color="auto"/>
                      <w:bottom w:val="outset" w:sz="4" w:space="0" w:color="auto"/>
                      <w:right w:val="outset" w:sz="4" w:space="0" w:color="auto"/>
                    </w:tcBorders>
                  </w:tcPr>
                  <w:p w14:paraId="4B251C27" w14:textId="77777777" w:rsidR="007E7472" w:rsidRDefault="00C8327E">
                    <w:pPr>
                      <w:jc w:val="right"/>
                    </w:pPr>
                  </w:p>
                </w:tc>
              </w:tr>
              <w:tr w:rsidR="007E7472" w14:paraId="613929B3" w14:textId="77777777">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5de4743667a48328a43f776b78669b0"/>
                      <w:id w:val="-67347176"/>
                      <w:lock w:val="sdtLocked"/>
                    </w:sdtPr>
                    <w:sdtEndPr>
                      <w:rPr>
                        <w:rFonts w:hint="default"/>
                      </w:rPr>
                    </w:sdtEndPr>
                    <w:sdtContent>
                      <w:p w14:paraId="017A3FBF" w14:textId="77777777" w:rsidR="007E7472" w:rsidRDefault="00EC1269">
                        <w:r>
                          <w:rPr>
                            <w:rFonts w:hint="eastAsia"/>
                          </w:rPr>
                          <w:t>（4）</w:t>
                        </w:r>
                        <w:r>
                          <w:t>其他债权投资信用减值准备</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49EC3A82" w14:textId="77777777" w:rsidR="007E7472" w:rsidRDefault="00C8327E">
                    <w:pPr>
                      <w:jc w:val="center"/>
                    </w:pPr>
                  </w:p>
                </w:tc>
                <w:tc>
                  <w:tcPr>
                    <w:tcW w:w="1110" w:type="pct"/>
                    <w:tcBorders>
                      <w:top w:val="outset" w:sz="4" w:space="0" w:color="auto"/>
                      <w:left w:val="outset" w:sz="4" w:space="0" w:color="auto"/>
                      <w:bottom w:val="outset" w:sz="4" w:space="0" w:color="auto"/>
                      <w:right w:val="outset" w:sz="4" w:space="0" w:color="auto"/>
                    </w:tcBorders>
                  </w:tcPr>
                  <w:p w14:paraId="068D68F2" w14:textId="77777777" w:rsidR="007E7472" w:rsidRDefault="00C8327E">
                    <w:pPr>
                      <w:jc w:val="right"/>
                    </w:pPr>
                  </w:p>
                </w:tc>
                <w:tc>
                  <w:tcPr>
                    <w:tcW w:w="1114" w:type="pct"/>
                    <w:tcBorders>
                      <w:top w:val="outset" w:sz="4" w:space="0" w:color="auto"/>
                      <w:left w:val="outset" w:sz="4" w:space="0" w:color="auto"/>
                      <w:bottom w:val="outset" w:sz="4" w:space="0" w:color="auto"/>
                      <w:right w:val="outset" w:sz="4" w:space="0" w:color="auto"/>
                    </w:tcBorders>
                  </w:tcPr>
                  <w:p w14:paraId="79FFB113" w14:textId="77777777" w:rsidR="007E7472" w:rsidRDefault="00C8327E">
                    <w:pPr>
                      <w:jc w:val="right"/>
                    </w:pPr>
                  </w:p>
                </w:tc>
              </w:tr>
              <w:tr w:rsidR="007E7472" w14:paraId="326A52C0" w14:textId="77777777">
                <w:tc>
                  <w:tcPr>
                    <w:tcW w:w="1938" w:type="pct"/>
                    <w:tcBorders>
                      <w:top w:val="outset" w:sz="4" w:space="0" w:color="auto"/>
                      <w:left w:val="outset" w:sz="4" w:space="0" w:color="auto"/>
                      <w:bottom w:val="outset" w:sz="4" w:space="0" w:color="auto"/>
                      <w:right w:val="outset" w:sz="4" w:space="0" w:color="auto"/>
                    </w:tcBorders>
                    <w:vAlign w:val="center"/>
                  </w:tcPr>
                  <w:sdt>
                    <w:sdtPr>
                      <w:tag w:val="_PLD_30eadfe5eb0b43159a484d6e9e241037"/>
                      <w:id w:val="-1037437468"/>
                      <w:lock w:val="sdtLocked"/>
                    </w:sdtPr>
                    <w:sdtEndPr/>
                    <w:sdtContent>
                      <w:p w14:paraId="6901A558" w14:textId="77777777" w:rsidR="007E7472" w:rsidRDefault="00EC1269">
                        <w:r>
                          <w:rPr>
                            <w:rFonts w:hint="eastAsia"/>
                          </w:rPr>
                          <w:t>（5）</w:t>
                        </w:r>
                        <w:r>
                          <w:t>现金流量套期储备</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7F3121B1" w14:textId="77777777" w:rsidR="007E7472" w:rsidRDefault="00EC1269">
                    <w:pPr>
                      <w:jc w:val="center"/>
                    </w:pPr>
                    <w:r>
                      <w:rPr>
                        <w:rFonts w:hint="eastAsia"/>
                      </w:rPr>
                      <w:t>七、77</w:t>
                    </w:r>
                  </w:p>
                </w:tc>
                <w:tc>
                  <w:tcPr>
                    <w:tcW w:w="1110" w:type="pct"/>
                    <w:tcBorders>
                      <w:top w:val="outset" w:sz="4" w:space="0" w:color="auto"/>
                      <w:left w:val="outset" w:sz="4" w:space="0" w:color="auto"/>
                      <w:bottom w:val="outset" w:sz="4" w:space="0" w:color="auto"/>
                      <w:right w:val="outset" w:sz="4" w:space="0" w:color="auto"/>
                    </w:tcBorders>
                    <w:vAlign w:val="center"/>
                  </w:tcPr>
                  <w:p w14:paraId="1AE685C1" w14:textId="77777777" w:rsidR="007E7472" w:rsidRDefault="00EC1269">
                    <w:pPr>
                      <w:jc w:val="right"/>
                    </w:pPr>
                    <w:r>
                      <w:rPr>
                        <w:rFonts w:hint="eastAsia"/>
                      </w:rPr>
                      <w:t>-34,11</w:t>
                    </w:r>
                    <w:r>
                      <w:t>4</w:t>
                    </w:r>
                  </w:p>
                </w:tc>
                <w:tc>
                  <w:tcPr>
                    <w:tcW w:w="1114" w:type="pct"/>
                    <w:tcBorders>
                      <w:top w:val="outset" w:sz="4" w:space="0" w:color="auto"/>
                      <w:left w:val="outset" w:sz="4" w:space="0" w:color="auto"/>
                      <w:bottom w:val="outset" w:sz="4" w:space="0" w:color="auto"/>
                      <w:right w:val="outset" w:sz="4" w:space="0" w:color="auto"/>
                    </w:tcBorders>
                    <w:vAlign w:val="center"/>
                  </w:tcPr>
                  <w:p w14:paraId="18A5F9BC" w14:textId="77777777" w:rsidR="007E7472" w:rsidRDefault="00EC1269">
                    <w:pPr>
                      <w:jc w:val="right"/>
                    </w:pPr>
                    <w:r>
                      <w:rPr>
                        <w:rFonts w:hint="eastAsia"/>
                      </w:rPr>
                      <w:t>50,933</w:t>
                    </w:r>
                  </w:p>
                </w:tc>
              </w:tr>
              <w:tr w:rsidR="007E7472" w14:paraId="61D8C9D5" w14:textId="77777777">
                <w:tc>
                  <w:tcPr>
                    <w:tcW w:w="1938" w:type="pct"/>
                    <w:tcBorders>
                      <w:top w:val="outset" w:sz="4" w:space="0" w:color="auto"/>
                      <w:left w:val="outset" w:sz="4" w:space="0" w:color="auto"/>
                      <w:bottom w:val="outset" w:sz="4" w:space="0" w:color="auto"/>
                      <w:right w:val="outset" w:sz="4" w:space="0" w:color="auto"/>
                    </w:tcBorders>
                    <w:vAlign w:val="center"/>
                  </w:tcPr>
                  <w:sdt>
                    <w:sdtPr>
                      <w:tag w:val="_PLD_a5d181921d264dc2857e201385fa2b90"/>
                      <w:id w:val="-1569256865"/>
                      <w:lock w:val="sdtLocked"/>
                    </w:sdtPr>
                    <w:sdtEndPr/>
                    <w:sdtContent>
                      <w:p w14:paraId="33F56518" w14:textId="77777777" w:rsidR="007E7472" w:rsidRDefault="00EC1269">
                        <w:r>
                          <w:rPr>
                            <w:rFonts w:hint="eastAsia"/>
                          </w:rPr>
                          <w:t>（6）</w:t>
                        </w:r>
                        <w:r>
                          <w:t>外币财务报表折算差额</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68341F49" w14:textId="77777777" w:rsidR="007E7472" w:rsidRDefault="00EC1269">
                    <w:pPr>
                      <w:jc w:val="center"/>
                    </w:pPr>
                    <w:r>
                      <w:rPr>
                        <w:rFonts w:hint="eastAsia"/>
                      </w:rPr>
                      <w:t>七、77</w:t>
                    </w:r>
                  </w:p>
                </w:tc>
                <w:tc>
                  <w:tcPr>
                    <w:tcW w:w="1110" w:type="pct"/>
                    <w:tcBorders>
                      <w:top w:val="outset" w:sz="4" w:space="0" w:color="auto"/>
                      <w:left w:val="outset" w:sz="4" w:space="0" w:color="auto"/>
                      <w:bottom w:val="outset" w:sz="4" w:space="0" w:color="auto"/>
                      <w:right w:val="outset" w:sz="4" w:space="0" w:color="auto"/>
                    </w:tcBorders>
                    <w:vAlign w:val="center"/>
                  </w:tcPr>
                  <w:p w14:paraId="32A11DFE" w14:textId="77777777" w:rsidR="007E7472" w:rsidRDefault="00EC1269">
                    <w:pPr>
                      <w:jc w:val="right"/>
                    </w:pPr>
                    <w:r>
                      <w:rPr>
                        <w:rFonts w:hint="eastAsia"/>
                      </w:rPr>
                      <w:t>604,4</w:t>
                    </w:r>
                    <w:r>
                      <w:t>20</w:t>
                    </w:r>
                  </w:p>
                </w:tc>
                <w:tc>
                  <w:tcPr>
                    <w:tcW w:w="1114" w:type="pct"/>
                    <w:tcBorders>
                      <w:top w:val="outset" w:sz="4" w:space="0" w:color="auto"/>
                      <w:left w:val="outset" w:sz="4" w:space="0" w:color="auto"/>
                      <w:bottom w:val="outset" w:sz="4" w:space="0" w:color="auto"/>
                      <w:right w:val="outset" w:sz="4" w:space="0" w:color="auto"/>
                    </w:tcBorders>
                    <w:vAlign w:val="center"/>
                  </w:tcPr>
                  <w:p w14:paraId="6A087762" w14:textId="77777777" w:rsidR="007E7472" w:rsidRDefault="00EC1269">
                    <w:pPr>
                      <w:jc w:val="right"/>
                    </w:pPr>
                    <w:r>
                      <w:rPr>
                        <w:rFonts w:hint="eastAsia"/>
                      </w:rPr>
                      <w:t>3,363</w:t>
                    </w:r>
                  </w:p>
                </w:tc>
              </w:tr>
              <w:tr w:rsidR="007E7472" w14:paraId="35DD9EE2" w14:textId="77777777">
                <w:tc>
                  <w:tcPr>
                    <w:tcW w:w="1938" w:type="pct"/>
                    <w:tcBorders>
                      <w:top w:val="outset" w:sz="4" w:space="0" w:color="auto"/>
                      <w:left w:val="outset" w:sz="4" w:space="0" w:color="auto"/>
                      <w:bottom w:val="outset" w:sz="4" w:space="0" w:color="auto"/>
                      <w:right w:val="outset" w:sz="4" w:space="0" w:color="auto"/>
                    </w:tcBorders>
                    <w:vAlign w:val="center"/>
                  </w:tcPr>
                  <w:sdt>
                    <w:sdtPr>
                      <w:tag w:val="_PLD_efc9c8840682443ab9c10573fa124a4f"/>
                      <w:id w:val="919443476"/>
                      <w:lock w:val="sdtLocked"/>
                    </w:sdtPr>
                    <w:sdtEndPr/>
                    <w:sdtContent>
                      <w:p w14:paraId="54C3EB69" w14:textId="77777777" w:rsidR="007E7472" w:rsidRDefault="00EC1269">
                        <w:r>
                          <w:rPr>
                            <w:rFonts w:hint="eastAsia"/>
                          </w:rPr>
                          <w:t>（7）</w:t>
                        </w:r>
                        <w:r>
                          <w:t>其他</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7B2AFEB9" w14:textId="77777777" w:rsidR="007E7472" w:rsidRDefault="00C8327E">
                    <w:pPr>
                      <w:jc w:val="center"/>
                    </w:pPr>
                  </w:p>
                </w:tc>
                <w:tc>
                  <w:tcPr>
                    <w:tcW w:w="1110" w:type="pct"/>
                    <w:tcBorders>
                      <w:top w:val="outset" w:sz="4" w:space="0" w:color="auto"/>
                      <w:left w:val="outset" w:sz="4" w:space="0" w:color="auto"/>
                      <w:bottom w:val="outset" w:sz="4" w:space="0" w:color="auto"/>
                      <w:right w:val="outset" w:sz="4" w:space="0" w:color="auto"/>
                    </w:tcBorders>
                  </w:tcPr>
                  <w:p w14:paraId="3B7AE868" w14:textId="77777777" w:rsidR="007E7472" w:rsidRDefault="00C8327E">
                    <w:pPr>
                      <w:jc w:val="right"/>
                    </w:pPr>
                  </w:p>
                </w:tc>
                <w:tc>
                  <w:tcPr>
                    <w:tcW w:w="1114" w:type="pct"/>
                    <w:tcBorders>
                      <w:top w:val="outset" w:sz="4" w:space="0" w:color="auto"/>
                      <w:left w:val="outset" w:sz="4" w:space="0" w:color="auto"/>
                      <w:bottom w:val="outset" w:sz="4" w:space="0" w:color="auto"/>
                      <w:right w:val="outset" w:sz="4" w:space="0" w:color="auto"/>
                    </w:tcBorders>
                  </w:tcPr>
                  <w:p w14:paraId="7532B884" w14:textId="77777777" w:rsidR="007E7472" w:rsidRDefault="00C8327E">
                    <w:pPr>
                      <w:jc w:val="right"/>
                    </w:pPr>
                  </w:p>
                </w:tc>
              </w:tr>
              <w:tr w:rsidR="007E7472" w14:paraId="3ECDD75D" w14:textId="77777777">
                <w:sdt>
                  <w:sdtPr>
                    <w:tag w:val="_PLD_4f19daa8ec184be19a8a0afe308c1896"/>
                    <w:id w:val="-146449423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1225128E" w14:textId="77777777" w:rsidR="007E7472" w:rsidRDefault="00EC1269">
                        <w:pPr>
                          <w:ind w:firstLineChars="100" w:firstLine="210"/>
                        </w:pPr>
                        <w:r>
                          <w:rPr>
                            <w:rFonts w:hint="eastAsia"/>
                          </w:rPr>
                          <w:t>（二）归属于少数股东的其他综合收益的税后净额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33458BE2" w14:textId="77777777" w:rsidR="007E7472" w:rsidRDefault="00EC1269">
                    <w:pPr>
                      <w:jc w:val="center"/>
                    </w:pPr>
                    <w:r>
                      <w:rPr>
                        <w:rFonts w:hint="eastAsia"/>
                      </w:rPr>
                      <w:t>七、</w:t>
                    </w:r>
                    <w:r>
                      <w:t>77</w:t>
                    </w:r>
                  </w:p>
                </w:tc>
                <w:tc>
                  <w:tcPr>
                    <w:tcW w:w="1110" w:type="pct"/>
                    <w:tcBorders>
                      <w:top w:val="outset" w:sz="4" w:space="0" w:color="auto"/>
                      <w:left w:val="outset" w:sz="4" w:space="0" w:color="auto"/>
                      <w:bottom w:val="outset" w:sz="4" w:space="0" w:color="auto"/>
                      <w:right w:val="outset" w:sz="4" w:space="0" w:color="auto"/>
                    </w:tcBorders>
                    <w:vAlign w:val="center"/>
                  </w:tcPr>
                  <w:p w14:paraId="0E141CB8" w14:textId="77777777" w:rsidR="007E7472" w:rsidRDefault="00EC1269">
                    <w:pPr>
                      <w:jc w:val="right"/>
                    </w:pPr>
                    <w:r>
                      <w:rPr>
                        <w:rFonts w:hint="eastAsia"/>
                      </w:rPr>
                      <w:t>196,51</w:t>
                    </w:r>
                    <w:r>
                      <w:t>4</w:t>
                    </w:r>
                  </w:p>
                </w:tc>
                <w:tc>
                  <w:tcPr>
                    <w:tcW w:w="1114" w:type="pct"/>
                    <w:tcBorders>
                      <w:top w:val="outset" w:sz="4" w:space="0" w:color="auto"/>
                      <w:left w:val="outset" w:sz="4" w:space="0" w:color="auto"/>
                      <w:bottom w:val="outset" w:sz="4" w:space="0" w:color="auto"/>
                      <w:right w:val="outset" w:sz="4" w:space="0" w:color="auto"/>
                    </w:tcBorders>
                    <w:vAlign w:val="center"/>
                  </w:tcPr>
                  <w:p w14:paraId="349E7A7D" w14:textId="77777777" w:rsidR="007E7472" w:rsidRDefault="00EC1269">
                    <w:pPr>
                      <w:jc w:val="right"/>
                    </w:pPr>
                    <w:r>
                      <w:rPr>
                        <w:rFonts w:hint="eastAsia"/>
                      </w:rPr>
                      <w:t>-13,326</w:t>
                    </w:r>
                  </w:p>
                </w:tc>
              </w:tr>
              <w:tr w:rsidR="007E7472" w14:paraId="1EE50CFB" w14:textId="77777777">
                <w:sdt>
                  <w:sdtPr>
                    <w:tag w:val="_PLD_29e4ab6c011f4b23961b002b616b19d8"/>
                    <w:id w:val="-87361478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79CBEF56" w14:textId="77777777" w:rsidR="007E7472" w:rsidRDefault="00EC1269">
                        <w:r>
                          <w:rPr>
                            <w:rFonts w:hint="eastAsia"/>
                          </w:rPr>
                          <w:t>七、综合收益总额</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1FA9AD4E" w14:textId="77777777" w:rsidR="007E7472" w:rsidRDefault="00C8327E">
                    <w:pPr>
                      <w:jc w:val="center"/>
                    </w:pPr>
                  </w:p>
                </w:tc>
                <w:tc>
                  <w:tcPr>
                    <w:tcW w:w="1110" w:type="pct"/>
                    <w:tcBorders>
                      <w:top w:val="outset" w:sz="4" w:space="0" w:color="auto"/>
                      <w:left w:val="outset" w:sz="4" w:space="0" w:color="auto"/>
                      <w:bottom w:val="outset" w:sz="4" w:space="0" w:color="auto"/>
                      <w:right w:val="outset" w:sz="4" w:space="0" w:color="auto"/>
                    </w:tcBorders>
                    <w:vAlign w:val="center"/>
                  </w:tcPr>
                  <w:p w14:paraId="4B6A54F0" w14:textId="77777777" w:rsidR="007E7472" w:rsidRDefault="00EC1269">
                    <w:pPr>
                      <w:jc w:val="right"/>
                    </w:pPr>
                    <w:r>
                      <w:rPr>
                        <w:rFonts w:hint="eastAsia"/>
                      </w:rPr>
                      <w:t>13,665,43</w:t>
                    </w:r>
                    <w:r>
                      <w:t>3</w:t>
                    </w:r>
                  </w:p>
                </w:tc>
                <w:tc>
                  <w:tcPr>
                    <w:tcW w:w="1114" w:type="pct"/>
                    <w:tcBorders>
                      <w:top w:val="outset" w:sz="4" w:space="0" w:color="auto"/>
                      <w:left w:val="outset" w:sz="4" w:space="0" w:color="auto"/>
                      <w:bottom w:val="outset" w:sz="4" w:space="0" w:color="auto"/>
                      <w:right w:val="outset" w:sz="4" w:space="0" w:color="auto"/>
                    </w:tcBorders>
                    <w:vAlign w:val="center"/>
                  </w:tcPr>
                  <w:p w14:paraId="49495F97" w14:textId="77777777" w:rsidR="007E7472" w:rsidRDefault="00EC1269">
                    <w:pPr>
                      <w:jc w:val="right"/>
                    </w:pPr>
                    <w:r>
                      <w:rPr>
                        <w:rFonts w:hint="eastAsia"/>
                      </w:rPr>
                      <w:t>22,236,18</w:t>
                    </w:r>
                    <w:r>
                      <w:t>0</w:t>
                    </w:r>
                  </w:p>
                </w:tc>
              </w:tr>
              <w:tr w:rsidR="007E7472" w14:paraId="7422DBB4" w14:textId="77777777">
                <w:sdt>
                  <w:sdtPr>
                    <w:tag w:val="_PLD_c6a40d405b9d4a8a8406c1d4ba16ad58"/>
                    <w:id w:val="68332934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542FCCF4" w14:textId="77777777" w:rsidR="007E7472" w:rsidRDefault="00EC1269">
                        <w:pPr>
                          <w:ind w:firstLineChars="100" w:firstLine="210"/>
                        </w:pPr>
                        <w:r>
                          <w:t>（一）</w:t>
                        </w:r>
                        <w:r>
                          <w:rPr>
                            <w:rFonts w:hint="eastAsia"/>
                          </w:rPr>
                          <w:t>归属于母公司所有者的综合收益总额</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48D68954" w14:textId="77777777" w:rsidR="007E7472" w:rsidRDefault="00C8327E">
                    <w:pPr>
                      <w:jc w:val="center"/>
                    </w:pPr>
                  </w:p>
                </w:tc>
                <w:tc>
                  <w:tcPr>
                    <w:tcW w:w="1110" w:type="pct"/>
                    <w:tcBorders>
                      <w:top w:val="outset" w:sz="4" w:space="0" w:color="auto"/>
                      <w:left w:val="outset" w:sz="4" w:space="0" w:color="auto"/>
                      <w:bottom w:val="outset" w:sz="4" w:space="0" w:color="auto"/>
                      <w:right w:val="outset" w:sz="4" w:space="0" w:color="auto"/>
                    </w:tcBorders>
                    <w:vAlign w:val="center"/>
                  </w:tcPr>
                  <w:p w14:paraId="695F2970" w14:textId="77777777" w:rsidR="007E7472" w:rsidRDefault="00EC1269">
                    <w:pPr>
                      <w:jc w:val="right"/>
                    </w:pPr>
                    <w:r>
                      <w:rPr>
                        <w:rFonts w:hint="eastAsia"/>
                      </w:rPr>
                      <w:t>10,915,08</w:t>
                    </w:r>
                    <w:r>
                      <w:t>7</w:t>
                    </w:r>
                  </w:p>
                </w:tc>
                <w:tc>
                  <w:tcPr>
                    <w:tcW w:w="1114" w:type="pct"/>
                    <w:tcBorders>
                      <w:top w:val="outset" w:sz="4" w:space="0" w:color="auto"/>
                      <w:left w:val="outset" w:sz="4" w:space="0" w:color="auto"/>
                      <w:bottom w:val="outset" w:sz="4" w:space="0" w:color="auto"/>
                      <w:right w:val="outset" w:sz="4" w:space="0" w:color="auto"/>
                    </w:tcBorders>
                    <w:vAlign w:val="center"/>
                  </w:tcPr>
                  <w:p w14:paraId="02C5AA4C" w14:textId="77777777" w:rsidR="007E7472" w:rsidRDefault="00EC1269">
                    <w:pPr>
                      <w:jc w:val="right"/>
                    </w:pPr>
                    <w:r>
                      <w:rPr>
                        <w:rFonts w:hint="eastAsia"/>
                      </w:rPr>
                      <w:t>18,070,393</w:t>
                    </w:r>
                  </w:p>
                </w:tc>
              </w:tr>
              <w:sdt>
                <w:sdtPr>
                  <w:rPr>
                    <w:rFonts w:asciiTheme="minorHAnsi" w:eastAsiaTheme="minorEastAsia" w:hAnsiTheme="minorHAnsi" w:cstheme="minorBidi"/>
                    <w:kern w:val="2"/>
                    <w:szCs w:val="22"/>
                  </w:rPr>
                  <w:alias w:val="（二）归属于母公司其他权益工具持有者的综合收益总额"/>
                  <w:tag w:val="_TUP_99cdc96d5a3847ae97ceb7c046a717b5"/>
                  <w:id w:val="877599442"/>
                  <w:lock w:val="sdtLocked"/>
                </w:sdtPr>
                <w:sdtEndPr/>
                <w:sdtContent>
                  <w:tr w:rsidR="007E7472" w14:paraId="64C4D43C" w14:textId="77777777">
                    <w:sdt>
                      <w:sdtPr>
                        <w:rPr>
                          <w:rFonts w:asciiTheme="minorHAnsi" w:eastAsiaTheme="minorEastAsia" w:hAnsiTheme="minorHAnsi" w:cstheme="minorBidi"/>
                          <w:kern w:val="2"/>
                          <w:szCs w:val="22"/>
                        </w:rPr>
                        <w:alias w:val="（二）归属于母公司其他权益工具持有者的综合收益总额"/>
                        <w:tag w:val="_GBC_fc8ccfee5a474867901f03f0c0ebf8d3"/>
                        <w:id w:val="157437291"/>
                        <w:lock w:val="sdtLocked"/>
                      </w:sdtPr>
                      <w:sdtEndPr>
                        <w:rPr>
                          <w:rFonts w:ascii="宋体" w:eastAsia="宋体" w:hAnsi="宋体" w:cs="宋体"/>
                          <w:kern w:val="0"/>
                          <w:szCs w:val="21"/>
                        </w:r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78538E23" w14:textId="77777777" w:rsidR="007E7472" w:rsidRDefault="00EC1269">
                            <w:pPr>
                              <w:ind w:firstLineChars="100" w:firstLine="210"/>
                            </w:pPr>
                            <w:r>
                              <w:t>（二）归属于母公司其他权益工具持有者的综合收益总额</w:t>
                            </w:r>
                          </w:p>
                        </w:tc>
                      </w:sdtContent>
                    </w:sdt>
                    <w:sdt>
                      <w:sdtPr>
                        <w:tag w:val="_GBC_02f73a68640f48fdb98649dec3c6d863"/>
                        <w:id w:val="1214466511"/>
                        <w:lock w:val="sdtLocked"/>
                      </w:sdtPr>
                      <w:sdtEndPr/>
                      <w:sdtContent>
                        <w:tc>
                          <w:tcPr>
                            <w:tcW w:w="838" w:type="pct"/>
                            <w:tcBorders>
                              <w:top w:val="outset" w:sz="4" w:space="0" w:color="auto"/>
                              <w:left w:val="outset" w:sz="4" w:space="0" w:color="auto"/>
                              <w:bottom w:val="outset" w:sz="4" w:space="0" w:color="auto"/>
                              <w:right w:val="outset" w:sz="4" w:space="0" w:color="auto"/>
                            </w:tcBorders>
                            <w:vAlign w:val="center"/>
                          </w:tcPr>
                          <w:p w14:paraId="3880CE53" w14:textId="77777777" w:rsidR="007E7472" w:rsidRDefault="00C8327E">
                            <w:pPr>
                              <w:jc w:val="center"/>
                            </w:pPr>
                          </w:p>
                        </w:tc>
                      </w:sdtContent>
                    </w:sdt>
                    <w:sdt>
                      <w:sdtPr>
                        <w:tag w:val="_GBC_58a26cc3e272475bac44710e73027af1"/>
                        <w:id w:val="-511919193"/>
                        <w:lock w:val="sdtLocked"/>
                      </w:sdtPr>
                      <w:sdtEndPr/>
                      <w:sdtContent>
                        <w:tc>
                          <w:tcPr>
                            <w:tcW w:w="1110" w:type="pct"/>
                            <w:tcBorders>
                              <w:top w:val="outset" w:sz="4" w:space="0" w:color="auto"/>
                              <w:left w:val="outset" w:sz="4" w:space="0" w:color="auto"/>
                              <w:bottom w:val="outset" w:sz="4" w:space="0" w:color="auto"/>
                              <w:right w:val="outset" w:sz="4" w:space="0" w:color="auto"/>
                            </w:tcBorders>
                            <w:vAlign w:val="center"/>
                          </w:tcPr>
                          <w:p w14:paraId="40781880" w14:textId="77777777" w:rsidR="007E7472" w:rsidRDefault="00EC1269">
                            <w:pPr>
                              <w:jc w:val="right"/>
                            </w:pPr>
                            <w:r>
                              <w:t>206,755</w:t>
                            </w:r>
                          </w:p>
                        </w:tc>
                      </w:sdtContent>
                    </w:sdt>
                    <w:sdt>
                      <w:sdtPr>
                        <w:tag w:val="_GBC_956d13fe011949e78586fb10fb5ed0e9"/>
                        <w:id w:val="1589119296"/>
                        <w:lock w:val="sdtLocked"/>
                      </w:sdtPr>
                      <w:sdtEndPr/>
                      <w:sdtContent>
                        <w:tc>
                          <w:tcPr>
                            <w:tcW w:w="1114" w:type="pct"/>
                            <w:tcBorders>
                              <w:top w:val="outset" w:sz="4" w:space="0" w:color="auto"/>
                              <w:left w:val="outset" w:sz="4" w:space="0" w:color="auto"/>
                              <w:bottom w:val="outset" w:sz="4" w:space="0" w:color="auto"/>
                              <w:right w:val="outset" w:sz="4" w:space="0" w:color="auto"/>
                            </w:tcBorders>
                            <w:vAlign w:val="center"/>
                          </w:tcPr>
                          <w:p w14:paraId="5A50B1E0" w14:textId="77777777" w:rsidR="007E7472" w:rsidRDefault="00EC1269">
                            <w:pPr>
                              <w:jc w:val="right"/>
                            </w:pPr>
                            <w:r>
                              <w:t>176,927</w:t>
                            </w:r>
                          </w:p>
                        </w:tc>
                      </w:sdtContent>
                    </w:sdt>
                  </w:tr>
                </w:sdtContent>
              </w:sdt>
              <w:tr w:rsidR="007E7472" w14:paraId="7ED10CD2" w14:textId="77777777">
                <w:sdt>
                  <w:sdtPr>
                    <w:tag w:val="_PLD_a3f7a78de9cc4a0c8e2b3e050895da67"/>
                    <w:id w:val="103115815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6E0EF748" w14:textId="77777777" w:rsidR="007E7472" w:rsidRDefault="00EC1269">
                        <w:pPr>
                          <w:ind w:firstLineChars="100" w:firstLine="210"/>
                        </w:pPr>
                        <w:r>
                          <w:t>（</w:t>
                        </w:r>
                        <w:r>
                          <w:rPr>
                            <w:rFonts w:hint="eastAsia"/>
                          </w:rPr>
                          <w:t>三</w:t>
                        </w:r>
                        <w:r>
                          <w:t>）</w:t>
                        </w:r>
                        <w:r>
                          <w:rPr>
                            <w:rFonts w:hint="eastAsia"/>
                          </w:rPr>
                          <w:t>归属于少数股东的综合收益总额</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4F317E2A" w14:textId="77777777" w:rsidR="007E7472" w:rsidRDefault="00C8327E">
                    <w:pPr>
                      <w:jc w:val="center"/>
                    </w:pPr>
                  </w:p>
                </w:tc>
                <w:tc>
                  <w:tcPr>
                    <w:tcW w:w="1110" w:type="pct"/>
                    <w:tcBorders>
                      <w:top w:val="outset" w:sz="4" w:space="0" w:color="auto"/>
                      <w:left w:val="outset" w:sz="4" w:space="0" w:color="auto"/>
                      <w:bottom w:val="outset" w:sz="4" w:space="0" w:color="auto"/>
                      <w:right w:val="outset" w:sz="4" w:space="0" w:color="auto"/>
                    </w:tcBorders>
                    <w:vAlign w:val="center"/>
                  </w:tcPr>
                  <w:p w14:paraId="38C1F896" w14:textId="77777777" w:rsidR="007E7472" w:rsidRDefault="00EC1269">
                    <w:pPr>
                      <w:jc w:val="right"/>
                    </w:pPr>
                    <w:r>
                      <w:rPr>
                        <w:rFonts w:hint="eastAsia"/>
                      </w:rPr>
                      <w:t>2,543,591</w:t>
                    </w:r>
                  </w:p>
                </w:tc>
                <w:tc>
                  <w:tcPr>
                    <w:tcW w:w="1114" w:type="pct"/>
                    <w:tcBorders>
                      <w:top w:val="outset" w:sz="4" w:space="0" w:color="auto"/>
                      <w:left w:val="outset" w:sz="4" w:space="0" w:color="auto"/>
                      <w:bottom w:val="outset" w:sz="4" w:space="0" w:color="auto"/>
                      <w:right w:val="outset" w:sz="4" w:space="0" w:color="auto"/>
                    </w:tcBorders>
                    <w:vAlign w:val="center"/>
                  </w:tcPr>
                  <w:p w14:paraId="046A587B" w14:textId="77777777" w:rsidR="007E7472" w:rsidRDefault="00EC1269">
                    <w:pPr>
                      <w:jc w:val="right"/>
                    </w:pPr>
                    <w:r>
                      <w:rPr>
                        <w:rFonts w:hint="eastAsia"/>
                      </w:rPr>
                      <w:t>3,988,8</w:t>
                    </w:r>
                    <w:r>
                      <w:t>60</w:t>
                    </w:r>
                  </w:p>
                </w:tc>
              </w:tr>
              <w:tr w:rsidR="007E7472" w14:paraId="6CF3BB86" w14:textId="77777777">
                <w:sdt>
                  <w:sdtPr>
                    <w:tag w:val="_PLD_2faba48500f741229b3467bfe3ce2495"/>
                    <w:id w:val="469182756"/>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34E5BF96" w14:textId="77777777" w:rsidR="007E7472" w:rsidRDefault="00EC1269">
                        <w:pPr>
                          <w:rPr>
                            <w:color w:val="008000"/>
                          </w:rPr>
                        </w:pPr>
                        <w:r>
                          <w:rPr>
                            <w:rFonts w:hint="eastAsia"/>
                          </w:rPr>
                          <w:t>八、每股收益：</w:t>
                        </w:r>
                      </w:p>
                    </w:tc>
                  </w:sdtContent>
                </w:sdt>
              </w:tr>
              <w:tr w:rsidR="007E7472" w14:paraId="435C5DDD" w14:textId="77777777">
                <w:sdt>
                  <w:sdtPr>
                    <w:tag w:val="_PLD_16d9b9d4e8c34e3b874fbdaedc915880"/>
                    <w:id w:val="-189543220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5D6E024F" w14:textId="77777777" w:rsidR="007E7472" w:rsidRDefault="00EC1269">
                        <w:pPr>
                          <w:ind w:firstLineChars="100" w:firstLine="210"/>
                        </w:pPr>
                        <w:r>
                          <w:t>（一）基本每股收益</w:t>
                        </w:r>
                        <w:r>
                          <w:rPr>
                            <w:rFonts w:hint="eastAsia"/>
                          </w:rPr>
                          <w:t>(元/股)</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605B69A3" w14:textId="77777777" w:rsidR="007E7472" w:rsidRDefault="00EC1269">
                    <w:pPr>
                      <w:jc w:val="center"/>
                    </w:pPr>
                    <w:r>
                      <w:rPr>
                        <w:rFonts w:hint="eastAsia"/>
                      </w:rPr>
                      <w:t>十八、2</w:t>
                    </w:r>
                  </w:p>
                </w:tc>
                <w:tc>
                  <w:tcPr>
                    <w:tcW w:w="1110" w:type="pct"/>
                    <w:tcBorders>
                      <w:top w:val="outset" w:sz="4" w:space="0" w:color="auto"/>
                      <w:left w:val="outset" w:sz="4" w:space="0" w:color="auto"/>
                      <w:bottom w:val="outset" w:sz="4" w:space="0" w:color="auto"/>
                      <w:right w:val="outset" w:sz="4" w:space="0" w:color="auto"/>
                    </w:tcBorders>
                    <w:vAlign w:val="center"/>
                  </w:tcPr>
                  <w:p w14:paraId="2DF0835C" w14:textId="77777777" w:rsidR="007E7472" w:rsidRDefault="00EC1269">
                    <w:pPr>
                      <w:jc w:val="right"/>
                      <w:rPr>
                        <w:color w:val="FF0000"/>
                      </w:rPr>
                    </w:pPr>
                    <w:r>
                      <w:rPr>
                        <w:rFonts w:hint="eastAsia"/>
                      </w:rPr>
                      <w:t>2.0874</w:t>
                    </w:r>
                  </w:p>
                </w:tc>
                <w:tc>
                  <w:tcPr>
                    <w:tcW w:w="1114" w:type="pct"/>
                    <w:tcBorders>
                      <w:top w:val="outset" w:sz="4" w:space="0" w:color="auto"/>
                      <w:left w:val="outset" w:sz="4" w:space="0" w:color="auto"/>
                      <w:bottom w:val="outset" w:sz="4" w:space="0" w:color="auto"/>
                      <w:right w:val="outset" w:sz="4" w:space="0" w:color="auto"/>
                    </w:tcBorders>
                    <w:vAlign w:val="center"/>
                  </w:tcPr>
                  <w:p w14:paraId="7EEC1E89" w14:textId="77777777" w:rsidR="007E7472" w:rsidRDefault="00EC1269">
                    <w:pPr>
                      <w:jc w:val="right"/>
                    </w:pPr>
                    <w:r>
                      <w:rPr>
                        <w:rFonts w:hint="eastAsia"/>
                      </w:rPr>
                      <w:t>3.6957</w:t>
                    </w:r>
                  </w:p>
                </w:tc>
              </w:tr>
              <w:tr w:rsidR="007E7472" w14:paraId="450C6FA4" w14:textId="77777777">
                <w:sdt>
                  <w:sdtPr>
                    <w:tag w:val="_PLD_ec4d9e148cba4e79bb3da0f8a0ddb92a"/>
                    <w:id w:val="-50473881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4989B6EF" w14:textId="77777777" w:rsidR="007E7472" w:rsidRDefault="00EC1269">
                        <w:pPr>
                          <w:ind w:firstLineChars="100" w:firstLine="210"/>
                        </w:pPr>
                        <w:r>
                          <w:t>（二）稀释每股收益</w:t>
                        </w:r>
                        <w:r>
                          <w:rPr>
                            <w:rFonts w:hint="eastAsia"/>
                          </w:rPr>
                          <w:t>(元/股)</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433BCBE3" w14:textId="77777777" w:rsidR="007E7472" w:rsidRDefault="00EC1269">
                    <w:pPr>
                      <w:jc w:val="center"/>
                    </w:pPr>
                    <w:r>
                      <w:rPr>
                        <w:rFonts w:hint="eastAsia"/>
                      </w:rPr>
                      <w:t>十八、2</w:t>
                    </w:r>
                  </w:p>
                </w:tc>
                <w:tc>
                  <w:tcPr>
                    <w:tcW w:w="1110" w:type="pct"/>
                    <w:tcBorders>
                      <w:top w:val="outset" w:sz="4" w:space="0" w:color="auto"/>
                      <w:left w:val="outset" w:sz="4" w:space="0" w:color="auto"/>
                      <w:bottom w:val="outset" w:sz="4" w:space="0" w:color="auto"/>
                      <w:right w:val="outset" w:sz="4" w:space="0" w:color="auto"/>
                    </w:tcBorders>
                    <w:vAlign w:val="center"/>
                  </w:tcPr>
                  <w:p w14:paraId="68098DDE" w14:textId="77777777" w:rsidR="007E7472" w:rsidRDefault="00EC1269">
                    <w:pPr>
                      <w:jc w:val="right"/>
                    </w:pPr>
                    <w:r>
                      <w:rPr>
                        <w:rFonts w:hint="eastAsia"/>
                      </w:rPr>
                      <w:t>2.08</w:t>
                    </w:r>
                    <w:r>
                      <w:t>88</w:t>
                    </w:r>
                  </w:p>
                </w:tc>
                <w:tc>
                  <w:tcPr>
                    <w:tcW w:w="1114" w:type="pct"/>
                    <w:tcBorders>
                      <w:top w:val="outset" w:sz="4" w:space="0" w:color="auto"/>
                      <w:left w:val="outset" w:sz="4" w:space="0" w:color="auto"/>
                      <w:bottom w:val="outset" w:sz="4" w:space="0" w:color="auto"/>
                      <w:right w:val="outset" w:sz="4" w:space="0" w:color="auto"/>
                    </w:tcBorders>
                    <w:vAlign w:val="center"/>
                  </w:tcPr>
                  <w:p w14:paraId="519465A6" w14:textId="77777777" w:rsidR="007E7472" w:rsidRDefault="00EC1269">
                    <w:pPr>
                      <w:jc w:val="right"/>
                    </w:pPr>
                    <w:r>
                      <w:rPr>
                        <w:rFonts w:hint="eastAsia"/>
                      </w:rPr>
                      <w:t>3.6709</w:t>
                    </w:r>
                  </w:p>
                </w:tc>
              </w:tr>
            </w:tbl>
            <w:p w14:paraId="0923B45B" w14:textId="77777777" w:rsidR="007E7472" w:rsidRDefault="00C8327E"/>
            <w:p w14:paraId="39CACF5D" w14:textId="77777777" w:rsidR="007E7472" w:rsidRDefault="00EC1269">
              <w:pPr>
                <w:rPr>
                  <w:b/>
                  <w:bCs/>
                  <w:color w:val="FF0000"/>
                </w:rPr>
              </w:pPr>
              <w:r>
                <w:rPr>
                  <w:rFonts w:hint="eastAsia"/>
                </w:rPr>
                <w:t>本期发生同一控制下企业合并的，被合并方在合并前实现的净利润为：</w:t>
              </w:r>
              <w:sdt>
                <w:sdtPr>
                  <w:rPr>
                    <w:rFonts w:hint="eastAsia"/>
                  </w:rPr>
                  <w:alias w:val="同一控制下的企业合并中被合并方在合并前实现的净利润"/>
                  <w:tag w:val="_GBC_0d3f3004d896427080339d4b0e2d499c"/>
                  <w:id w:val="-1865437463"/>
                  <w:lock w:val="sdtLocked"/>
                </w:sdtPr>
                <w:sdtEndPr/>
                <w:sdtContent>
                  <w:r>
                    <w:rPr>
                      <w:rFonts w:hint="eastAsia"/>
                    </w:rPr>
                    <w:t>2</w:t>
                  </w:r>
                </w:sdtContent>
              </w:sdt>
              <w:r>
                <w:rPr>
                  <w:rFonts w:hint="eastAsia"/>
                </w:rPr>
                <w:t>千元,上期被合并方实现的净利润为：</w:t>
              </w:r>
              <w:sdt>
                <w:sdtPr>
                  <w:rPr>
                    <w:rFonts w:hint="eastAsia"/>
                  </w:rPr>
                  <w:alias w:val="同一控制下的企业合并中被合并方在合并前实现的净利润"/>
                  <w:tag w:val="_GBC_7e8cf02e71b9434883c60dcb8fb33270"/>
                  <w:id w:val="-1998954926"/>
                  <w:lock w:val="sdtLocked"/>
                </w:sdtPr>
                <w:sdtEndPr>
                  <w:rPr>
                    <w:rFonts w:hint="default"/>
                  </w:rPr>
                </w:sdtEndPr>
                <w:sdtContent>
                  <w:r>
                    <w:t>0</w:t>
                  </w:r>
                </w:sdtContent>
              </w:sdt>
              <w:r>
                <w:rPr>
                  <w:rFonts w:hint="eastAsia"/>
                </w:rPr>
                <w:t>千元。</w:t>
              </w:r>
            </w:p>
            <w:p w14:paraId="3482077D" w14:textId="29E19256" w:rsidR="007E7472" w:rsidRDefault="00EC1269">
              <w:pPr>
                <w:rPr>
                  <w:color w:val="008000"/>
                  <w:u w:val="single"/>
                </w:rPr>
              </w:pPr>
              <w:r>
                <w:t>公司负责人</w:t>
              </w:r>
              <w:r>
                <w:rPr>
                  <w:rFonts w:hint="eastAsia"/>
                </w:rPr>
                <w:t>：</w:t>
              </w:r>
              <w:sdt>
                <w:sdtPr>
                  <w:rPr>
                    <w:rFonts w:hint="eastAsia"/>
                  </w:rPr>
                  <w:alias w:val="公司负责人"/>
                  <w:tag w:val="_GBC_84d2ead02dbe49699dff5184a9cd1bd3"/>
                  <w:id w:val="-908225317"/>
                  <w:lock w:val="sdtLocked"/>
                  <w:dataBinding w:prefixMappings="xmlns:clcid-mr='clcid-mr'" w:xpath="/*/clcid-mr:GongSiFuZeRenXingMing[not(@periodRef)]" w:storeItemID="{89EBAB94-44A0-46A2-B712-30D997D04A6D}"/>
                  <w:text/>
                </w:sdtPr>
                <w:sdtEndPr/>
                <w:sdtContent>
                  <w:r w:rsidR="00B47FFE">
                    <w:rPr>
                      <w:rFonts w:hint="eastAsia"/>
                    </w:rPr>
                    <w:t>李伟</w:t>
                  </w:r>
                </w:sdtContent>
              </w:sdt>
              <w:r>
                <w:t>主管会计工作负责人</w:t>
              </w:r>
              <w:r>
                <w:rPr>
                  <w:rFonts w:hint="eastAsia"/>
                </w:rPr>
                <w:t>：</w:t>
              </w:r>
              <w:sdt>
                <w:sdtPr>
                  <w:rPr>
                    <w:rFonts w:hint="eastAsia"/>
                  </w:rPr>
                  <w:alias w:val="主管会计工作负责人姓名"/>
                  <w:tag w:val="_GBC_e958f3d59232458da90c4799548d15ea"/>
                  <w:id w:val="-3369848"/>
                  <w:lock w:val="sdtLocked"/>
                  <w:dataBinding w:prefixMappings="xmlns:clcid-mr='clcid-mr'" w:xpath="/*/clcid-mr:ZhuGuanKuaiJiGongZuoFuZeRenXingMing[not(@periodRef)]" w:storeItemID="{89EBAB94-44A0-46A2-B712-30D997D04A6D}"/>
                  <w:text/>
                </w:sdtPr>
                <w:sdtEndPr/>
                <w:sdtContent>
                  <w:r w:rsidR="00B47FFE">
                    <w:rPr>
                      <w:rFonts w:hint="eastAsia"/>
                    </w:rPr>
                    <w:t>赵青春</w:t>
                  </w:r>
                </w:sdtContent>
              </w:sdt>
              <w:r>
                <w:t>会计机构负责人</w:t>
              </w:r>
              <w:r>
                <w:rPr>
                  <w:rFonts w:hint="eastAsia"/>
                </w:rPr>
                <w:t>：</w:t>
              </w:r>
              <w:sdt>
                <w:sdtPr>
                  <w:rPr>
                    <w:rFonts w:hint="eastAsia"/>
                  </w:rPr>
                  <w:alias w:val="会计机构负责人姓名"/>
                  <w:tag w:val="_GBC_83eea96809554a8b86e8c53c6e3da040"/>
                  <w:id w:val="-1789809588"/>
                  <w:lock w:val="sdtLocked"/>
                  <w:dataBinding w:prefixMappings="xmlns:clcid-mr='clcid-mr'" w:xpath="/*/clcid-mr:KuaiJiJiGouFuZeRenXingMing[not(@periodRef)]" w:storeItemID="{89EBAB94-44A0-46A2-B712-30D997D04A6D}"/>
                  <w:text/>
                </w:sdtPr>
                <w:sdtEndPr/>
                <w:sdtContent>
                  <w:r w:rsidR="006F3F93">
                    <w:rPr>
                      <w:rFonts w:hint="eastAsia"/>
                    </w:rPr>
                    <w:t>赵治国</w:t>
                  </w:r>
                </w:sdtContent>
              </w:sdt>
            </w:p>
          </w:sdtContent>
        </w:sdt>
        <w:p w14:paraId="7B66250B" w14:textId="77777777" w:rsidR="007E7472" w:rsidRDefault="00C8327E">
          <w:pPr>
            <w:rPr>
              <w:color w:val="008000"/>
              <w:u w:val="single"/>
            </w:rPr>
          </w:pPr>
        </w:p>
        <w:p w14:paraId="18A800A6" w14:textId="77777777" w:rsidR="007E7472" w:rsidRDefault="00C8327E">
          <w:pPr>
            <w:rPr>
              <w:color w:val="008000"/>
              <w:u w:val="single"/>
            </w:rPr>
          </w:pPr>
        </w:p>
        <w:sdt>
          <w:sdtPr>
            <w:rPr>
              <w:rFonts w:ascii="宋体" w:hAnsi="宋体" w:cs="宋体" w:hint="eastAsia"/>
              <w:b w:val="0"/>
              <w:bCs w:val="0"/>
              <w:kern w:val="0"/>
              <w:szCs w:val="24"/>
            </w:rPr>
            <w:tag w:val="_GBC_fab740d2e6854481af171030c14673b7"/>
            <w:id w:val="-113061759"/>
            <w:lock w:val="sdtLocked"/>
          </w:sdtPr>
          <w:sdtEndPr>
            <w:rPr>
              <w:rFonts w:cs="宋体-方正超大字符集"/>
              <w:szCs w:val="21"/>
            </w:rPr>
          </w:sdtEndPr>
          <w:sdtContent>
            <w:p w14:paraId="002D9848" w14:textId="77777777" w:rsidR="007E7472" w:rsidRDefault="00EC1269" w:rsidP="007E7472">
              <w:pPr>
                <w:pStyle w:val="3"/>
                <w:jc w:val="center"/>
              </w:pPr>
              <w:r>
                <w:rPr>
                  <w:rFonts w:hint="eastAsia"/>
                </w:rPr>
                <w:t>母公司</w:t>
              </w:r>
              <w:r>
                <w:t>利润表</w:t>
              </w:r>
            </w:p>
            <w:p w14:paraId="7037A991" w14:textId="77777777" w:rsidR="007E7472" w:rsidRDefault="00EC1269">
              <w:pPr>
                <w:jc w:val="center"/>
                <w:rPr>
                  <w:b/>
                  <w:bCs/>
                </w:rPr>
              </w:pPr>
              <w:r>
                <w:t>2023年</w:t>
              </w:r>
              <w:r>
                <w:rPr>
                  <w:rFonts w:hint="eastAsia"/>
                </w:rPr>
                <w:t>1—6</w:t>
              </w:r>
              <w:r>
                <w:t>月</w:t>
              </w:r>
            </w:p>
            <w:p w14:paraId="22710E59" w14:textId="2525F134" w:rsidR="007E7472" w:rsidRDefault="00EC1269">
              <w:pPr>
                <w:snapToGrid w:val="0"/>
                <w:spacing w:line="240" w:lineRule="atLeast"/>
                <w:jc w:val="right"/>
                <w:rPr>
                  <w:b/>
                  <w:bCs/>
                  <w:color w:val="FF0000"/>
                </w:rPr>
              </w:pPr>
              <w:r>
                <w:t>单位：</w:t>
              </w:r>
              <w:sdt>
                <w:sdtPr>
                  <w:alias w:val="单位：母公司利润表"/>
                  <w:tag w:val="_GBC_955732cd74ff4f1f9b098e70c1b85c60"/>
                  <w:id w:val="767972634"/>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6F3F93">
                    <w:t>千元</w:t>
                  </w:r>
                </w:sdtContent>
              </w:sdt>
              <w:r>
                <w:t>币种：</w:t>
              </w:r>
              <w:sdt>
                <w:sdtPr>
                  <w:alias w:val="币种：母公司利润表"/>
                  <w:tag w:val="_GBC_125a2547934143ccb384434361f57d37"/>
                  <w:id w:val="41313295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t>人民币</w:t>
                  </w:r>
                </w:sdtContent>
              </w:sdt>
            </w:p>
            <w:tbl>
              <w:tblPr>
                <w:tblStyle w:val="g4"/>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419"/>
                <w:gridCol w:w="1479"/>
                <w:gridCol w:w="1959"/>
                <w:gridCol w:w="1966"/>
              </w:tblGrid>
              <w:tr w:rsidR="007E7472" w14:paraId="7136EA69" w14:textId="77777777">
                <w:trPr>
                  <w:cantSplit/>
                </w:trPr>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2746da9ce382479bbcc34de94cc91419"/>
                      <w:id w:val="1729192098"/>
                      <w:lock w:val="sdtLocked"/>
                    </w:sdtPr>
                    <w:sdtEndPr/>
                    <w:sdtContent>
                      <w:p w14:paraId="66403922" w14:textId="77777777" w:rsidR="007E7472" w:rsidRDefault="00EC1269">
                        <w:pPr>
                          <w:ind w:leftChars="-19" w:hangingChars="19" w:hanging="40"/>
                          <w:jc w:val="center"/>
                          <w:rPr>
                            <w:b/>
                          </w:rPr>
                        </w:pPr>
                        <w:r>
                          <w:rPr>
                            <w:rFonts w:hint="eastAsia"/>
                            <w:b/>
                          </w:rPr>
                          <w:t>项目</w:t>
                        </w:r>
                      </w:p>
                    </w:sdtContent>
                  </w:sdt>
                </w:tc>
                <w:tc>
                  <w:tcPr>
                    <w:tcW w:w="838" w:type="pct"/>
                    <w:tcBorders>
                      <w:top w:val="outset" w:sz="4" w:space="0" w:color="auto"/>
                      <w:left w:val="outset" w:sz="4" w:space="0" w:color="auto"/>
                      <w:bottom w:val="outset" w:sz="4" w:space="0" w:color="auto"/>
                      <w:right w:val="outset" w:sz="4" w:space="0" w:color="auto"/>
                    </w:tcBorders>
                  </w:tcPr>
                  <w:sdt>
                    <w:sdtPr>
                      <w:rPr>
                        <w:rFonts w:hint="eastAsia"/>
                        <w:b/>
                      </w:rPr>
                      <w:tag w:val="_PLD_353d1b95815e4cb9bce619c23384aae7"/>
                      <w:id w:val="1989054951"/>
                      <w:lock w:val="sdtLocked"/>
                    </w:sdtPr>
                    <w:sdtEndPr/>
                    <w:sdtContent>
                      <w:p w14:paraId="48DCAE29" w14:textId="77777777" w:rsidR="007E7472" w:rsidRDefault="00EC1269">
                        <w:pPr>
                          <w:jc w:val="center"/>
                          <w:rPr>
                            <w:b/>
                          </w:rPr>
                        </w:pPr>
                        <w:r>
                          <w:rPr>
                            <w:rFonts w:hint="eastAsia"/>
                            <w:b/>
                          </w:rPr>
                          <w:t>附注</w:t>
                        </w:r>
                      </w:p>
                    </w:sdtContent>
                  </w:sdt>
                </w:tc>
                <w:tc>
                  <w:tcPr>
                    <w:tcW w:w="1110"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aa6da19e961f4f0aa9c1f47a5d8bdb21"/>
                      <w:id w:val="-1574883817"/>
                      <w:lock w:val="sdtLocked"/>
                    </w:sdtPr>
                    <w:sdtEndPr/>
                    <w:sdtContent>
                      <w:p w14:paraId="55122872" w14:textId="77777777" w:rsidR="007E7472" w:rsidRDefault="00EC1269">
                        <w:pPr>
                          <w:jc w:val="center"/>
                          <w:rPr>
                            <w:b/>
                          </w:rPr>
                        </w:pPr>
                        <w:r>
                          <w:rPr>
                            <w:rFonts w:hint="eastAsia"/>
                            <w:b/>
                          </w:rPr>
                          <w:t>2023年半年度</w:t>
                        </w:r>
                      </w:p>
                    </w:sdtContent>
                  </w:sdt>
                </w:tc>
                <w:tc>
                  <w:tcPr>
                    <w:tcW w:w="1114" w:type="pct"/>
                    <w:tcBorders>
                      <w:top w:val="outset" w:sz="4" w:space="0" w:color="auto"/>
                      <w:left w:val="outset" w:sz="4" w:space="0" w:color="auto"/>
                      <w:bottom w:val="outset" w:sz="4" w:space="0" w:color="auto"/>
                      <w:right w:val="outset" w:sz="4" w:space="0" w:color="auto"/>
                    </w:tcBorders>
                    <w:vAlign w:val="center"/>
                  </w:tcPr>
                  <w:sdt>
                    <w:sdtPr>
                      <w:rPr>
                        <w:rFonts w:hint="eastAsia"/>
                        <w:b/>
                      </w:rPr>
                      <w:tag w:val="_PLD_fd6f3d63a7544a05b6f572cee64f39fb"/>
                      <w:id w:val="1880661583"/>
                      <w:lock w:val="sdtLocked"/>
                    </w:sdtPr>
                    <w:sdtEndPr/>
                    <w:sdtContent>
                      <w:p w14:paraId="34A6772E" w14:textId="77777777" w:rsidR="007E7472" w:rsidRDefault="00EC1269">
                        <w:pPr>
                          <w:jc w:val="center"/>
                          <w:rPr>
                            <w:b/>
                          </w:rPr>
                        </w:pPr>
                        <w:r>
                          <w:rPr>
                            <w:rFonts w:hint="eastAsia"/>
                            <w:b/>
                          </w:rPr>
                          <w:t>2022年半年度</w:t>
                        </w:r>
                      </w:p>
                    </w:sdtContent>
                  </w:sdt>
                </w:tc>
              </w:tr>
              <w:tr w:rsidR="007E7472" w14:paraId="56A9BD70" w14:textId="77777777">
                <w:sdt>
                  <w:sdtPr>
                    <w:tag w:val="_PLD_064cf96d2f1c4cf0927ae1121cfbe089"/>
                    <w:id w:val="-160302477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62CBC204" w14:textId="77777777" w:rsidR="007E7472" w:rsidRDefault="00EC1269">
                        <w:pPr>
                          <w:ind w:left="-19"/>
                          <w:rPr>
                            <w:color w:val="000000"/>
                          </w:rPr>
                        </w:pPr>
                        <w:r>
                          <w:rPr>
                            <w:rFonts w:hint="eastAsia"/>
                          </w:rPr>
                          <w:t>一、营业收入</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3DDF07AB" w14:textId="77777777" w:rsidR="007E7472" w:rsidRDefault="00EC1269">
                    <w:pPr>
                      <w:jc w:val="center"/>
                    </w:pPr>
                    <w:r>
                      <w:rPr>
                        <w:rFonts w:hint="eastAsia"/>
                      </w:rPr>
                      <w:t>十七、4</w:t>
                    </w:r>
                  </w:p>
                </w:tc>
                <w:tc>
                  <w:tcPr>
                    <w:tcW w:w="1110" w:type="pct"/>
                    <w:tcBorders>
                      <w:top w:val="outset" w:sz="4" w:space="0" w:color="auto"/>
                      <w:left w:val="outset" w:sz="4" w:space="0" w:color="auto"/>
                      <w:bottom w:val="outset" w:sz="4" w:space="0" w:color="auto"/>
                      <w:right w:val="outset" w:sz="4" w:space="0" w:color="auto"/>
                    </w:tcBorders>
                    <w:vAlign w:val="center"/>
                  </w:tcPr>
                  <w:p w14:paraId="3035FA66" w14:textId="77777777" w:rsidR="007E7472" w:rsidRDefault="00EC1269">
                    <w:pPr>
                      <w:jc w:val="right"/>
                    </w:pPr>
                    <w:r>
                      <w:rPr>
                        <w:rFonts w:hint="eastAsia"/>
                      </w:rPr>
                      <w:t>14,058,998</w:t>
                    </w:r>
                  </w:p>
                </w:tc>
                <w:tc>
                  <w:tcPr>
                    <w:tcW w:w="1114" w:type="pct"/>
                    <w:tcBorders>
                      <w:top w:val="outset" w:sz="4" w:space="0" w:color="auto"/>
                      <w:left w:val="outset" w:sz="4" w:space="0" w:color="auto"/>
                      <w:bottom w:val="outset" w:sz="4" w:space="0" w:color="auto"/>
                      <w:right w:val="outset" w:sz="4" w:space="0" w:color="auto"/>
                    </w:tcBorders>
                    <w:vAlign w:val="center"/>
                  </w:tcPr>
                  <w:p w14:paraId="21D3D547" w14:textId="77777777" w:rsidR="007E7472" w:rsidRDefault="00EC1269">
                    <w:pPr>
                      <w:jc w:val="right"/>
                    </w:pPr>
                    <w:r>
                      <w:rPr>
                        <w:rFonts w:hint="eastAsia"/>
                      </w:rPr>
                      <w:t>18,517,588</w:t>
                    </w:r>
                  </w:p>
                </w:tc>
              </w:tr>
              <w:tr w:rsidR="007E7472" w14:paraId="0344416F" w14:textId="77777777">
                <w:sdt>
                  <w:sdtPr>
                    <w:tag w:val="_PLD_d41d97fe7493434d8f6c5694b95ac217"/>
                    <w:id w:val="-137353626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48D557D1" w14:textId="77777777" w:rsidR="007E7472" w:rsidRDefault="00EC1269">
                        <w:pPr>
                          <w:ind w:firstLineChars="100" w:firstLine="210"/>
                          <w:rPr>
                            <w:color w:val="000000"/>
                          </w:rPr>
                        </w:pPr>
                        <w:r>
                          <w:rPr>
                            <w:rFonts w:hint="eastAsia"/>
                          </w:rPr>
                          <w:t>减：营业成本</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3B96B682" w14:textId="77777777" w:rsidR="007E7472" w:rsidRDefault="00EC1269">
                    <w:pPr>
                      <w:jc w:val="center"/>
                    </w:pPr>
                    <w:r>
                      <w:rPr>
                        <w:rFonts w:hint="eastAsia"/>
                      </w:rPr>
                      <w:t>十七、4</w:t>
                    </w:r>
                  </w:p>
                </w:tc>
                <w:tc>
                  <w:tcPr>
                    <w:tcW w:w="1110" w:type="pct"/>
                    <w:tcBorders>
                      <w:top w:val="outset" w:sz="4" w:space="0" w:color="auto"/>
                      <w:left w:val="outset" w:sz="4" w:space="0" w:color="auto"/>
                      <w:bottom w:val="outset" w:sz="4" w:space="0" w:color="auto"/>
                      <w:right w:val="outset" w:sz="4" w:space="0" w:color="auto"/>
                    </w:tcBorders>
                    <w:vAlign w:val="center"/>
                  </w:tcPr>
                  <w:p w14:paraId="1FE45AF1" w14:textId="77777777" w:rsidR="007E7472" w:rsidRDefault="00EC1269">
                    <w:pPr>
                      <w:jc w:val="right"/>
                    </w:pPr>
                    <w:r>
                      <w:rPr>
                        <w:rFonts w:hint="eastAsia"/>
                      </w:rPr>
                      <w:t>7,317,411</w:t>
                    </w:r>
                  </w:p>
                </w:tc>
                <w:tc>
                  <w:tcPr>
                    <w:tcW w:w="1114" w:type="pct"/>
                    <w:tcBorders>
                      <w:top w:val="outset" w:sz="4" w:space="0" w:color="auto"/>
                      <w:left w:val="outset" w:sz="4" w:space="0" w:color="auto"/>
                      <w:bottom w:val="outset" w:sz="4" w:space="0" w:color="auto"/>
                      <w:right w:val="outset" w:sz="4" w:space="0" w:color="auto"/>
                    </w:tcBorders>
                    <w:vAlign w:val="center"/>
                  </w:tcPr>
                  <w:p w14:paraId="16818E7E" w14:textId="77777777" w:rsidR="007E7472" w:rsidRDefault="00EC1269">
                    <w:pPr>
                      <w:jc w:val="right"/>
                    </w:pPr>
                    <w:r>
                      <w:rPr>
                        <w:rFonts w:hint="eastAsia"/>
                      </w:rPr>
                      <w:t>7,471,435</w:t>
                    </w:r>
                  </w:p>
                </w:tc>
              </w:tr>
              <w:tr w:rsidR="007E7472" w14:paraId="0D695800" w14:textId="77777777">
                <w:sdt>
                  <w:sdtPr>
                    <w:tag w:val="_PLD_310d343d286f48cca8b82d2d78d02a7b"/>
                    <w:id w:val="57556356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6C8EE1A4" w14:textId="77777777" w:rsidR="007E7472" w:rsidRDefault="00EC1269">
                        <w:pPr>
                          <w:ind w:firstLineChars="300" w:firstLine="630"/>
                        </w:pPr>
                        <w:r>
                          <w:rPr>
                            <w:rFonts w:hint="eastAsia"/>
                          </w:rPr>
                          <w:t>税金及附加</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407331C3" w14:textId="77777777" w:rsidR="007E7472" w:rsidRDefault="00C8327E">
                    <w:pPr>
                      <w:jc w:val="center"/>
                    </w:pPr>
                  </w:p>
                </w:tc>
                <w:tc>
                  <w:tcPr>
                    <w:tcW w:w="1110" w:type="pct"/>
                    <w:tcBorders>
                      <w:top w:val="outset" w:sz="4" w:space="0" w:color="auto"/>
                      <w:left w:val="outset" w:sz="4" w:space="0" w:color="auto"/>
                      <w:bottom w:val="outset" w:sz="4" w:space="0" w:color="auto"/>
                      <w:right w:val="outset" w:sz="4" w:space="0" w:color="auto"/>
                    </w:tcBorders>
                    <w:vAlign w:val="center"/>
                  </w:tcPr>
                  <w:p w14:paraId="1E48E6E0" w14:textId="77777777" w:rsidR="007E7472" w:rsidRDefault="00EC1269">
                    <w:pPr>
                      <w:jc w:val="right"/>
                    </w:pPr>
                    <w:r>
                      <w:rPr>
                        <w:rFonts w:hint="eastAsia"/>
                      </w:rPr>
                      <w:t>657,740</w:t>
                    </w:r>
                  </w:p>
                </w:tc>
                <w:tc>
                  <w:tcPr>
                    <w:tcW w:w="1114" w:type="pct"/>
                    <w:tcBorders>
                      <w:top w:val="outset" w:sz="4" w:space="0" w:color="auto"/>
                      <w:left w:val="outset" w:sz="4" w:space="0" w:color="auto"/>
                      <w:bottom w:val="outset" w:sz="4" w:space="0" w:color="auto"/>
                      <w:right w:val="outset" w:sz="4" w:space="0" w:color="auto"/>
                    </w:tcBorders>
                    <w:vAlign w:val="center"/>
                  </w:tcPr>
                  <w:p w14:paraId="6DCDDB77" w14:textId="77777777" w:rsidR="007E7472" w:rsidRDefault="00EC1269">
                    <w:pPr>
                      <w:jc w:val="right"/>
                    </w:pPr>
                    <w:r>
                      <w:rPr>
                        <w:rFonts w:hint="eastAsia"/>
                      </w:rPr>
                      <w:t>869,843</w:t>
                    </w:r>
                  </w:p>
                </w:tc>
              </w:tr>
              <w:tr w:rsidR="007E7472" w14:paraId="3472E8AB" w14:textId="77777777">
                <w:sdt>
                  <w:sdtPr>
                    <w:tag w:val="_PLD_991800b670f245798d81fceda321ab53"/>
                    <w:id w:val="159604735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1D619D8B" w14:textId="77777777" w:rsidR="007E7472" w:rsidRDefault="00EC1269">
                        <w:pPr>
                          <w:ind w:firstLineChars="300" w:firstLine="630"/>
                        </w:pPr>
                        <w:r>
                          <w:rPr>
                            <w:rFonts w:hint="eastAsia"/>
                          </w:rPr>
                          <w:t>销售费用</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44E5910C" w14:textId="77777777" w:rsidR="007E7472" w:rsidRDefault="00C8327E">
                    <w:pPr>
                      <w:jc w:val="center"/>
                    </w:pPr>
                  </w:p>
                </w:tc>
                <w:tc>
                  <w:tcPr>
                    <w:tcW w:w="1110" w:type="pct"/>
                    <w:tcBorders>
                      <w:top w:val="outset" w:sz="4" w:space="0" w:color="auto"/>
                      <w:left w:val="outset" w:sz="4" w:space="0" w:color="auto"/>
                      <w:bottom w:val="outset" w:sz="4" w:space="0" w:color="auto"/>
                      <w:right w:val="outset" w:sz="4" w:space="0" w:color="auto"/>
                    </w:tcBorders>
                    <w:vAlign w:val="center"/>
                  </w:tcPr>
                  <w:p w14:paraId="35FA5200" w14:textId="77777777" w:rsidR="007E7472" w:rsidRDefault="00EC1269">
                    <w:pPr>
                      <w:jc w:val="right"/>
                    </w:pPr>
                    <w:r>
                      <w:rPr>
                        <w:rFonts w:hint="eastAsia"/>
                      </w:rPr>
                      <w:t>78,018</w:t>
                    </w:r>
                  </w:p>
                </w:tc>
                <w:tc>
                  <w:tcPr>
                    <w:tcW w:w="1114" w:type="pct"/>
                    <w:tcBorders>
                      <w:top w:val="outset" w:sz="4" w:space="0" w:color="auto"/>
                      <w:left w:val="outset" w:sz="4" w:space="0" w:color="auto"/>
                      <w:bottom w:val="outset" w:sz="4" w:space="0" w:color="auto"/>
                      <w:right w:val="outset" w:sz="4" w:space="0" w:color="auto"/>
                    </w:tcBorders>
                    <w:vAlign w:val="center"/>
                  </w:tcPr>
                  <w:p w14:paraId="5F289F44" w14:textId="77777777" w:rsidR="007E7472" w:rsidRDefault="00EC1269">
                    <w:pPr>
                      <w:jc w:val="right"/>
                    </w:pPr>
                    <w:r>
                      <w:rPr>
                        <w:rFonts w:hint="eastAsia"/>
                      </w:rPr>
                      <w:t>70,028</w:t>
                    </w:r>
                  </w:p>
                </w:tc>
              </w:tr>
              <w:tr w:rsidR="007E7472" w14:paraId="1AAAEED3" w14:textId="77777777">
                <w:sdt>
                  <w:sdtPr>
                    <w:tag w:val="_PLD_a0661646595b49dea568535f2a30949c"/>
                    <w:id w:val="95414654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3754B05A" w14:textId="77777777" w:rsidR="007E7472" w:rsidRDefault="00EC1269">
                        <w:pPr>
                          <w:ind w:firstLineChars="300" w:firstLine="630"/>
                        </w:pPr>
                        <w:r>
                          <w:rPr>
                            <w:rFonts w:hint="eastAsia"/>
                          </w:rPr>
                          <w:t>管理费用</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46FE4A6E" w14:textId="77777777" w:rsidR="007E7472" w:rsidRDefault="00C8327E">
                    <w:pPr>
                      <w:jc w:val="center"/>
                    </w:pPr>
                  </w:p>
                </w:tc>
                <w:tc>
                  <w:tcPr>
                    <w:tcW w:w="1110" w:type="pct"/>
                    <w:tcBorders>
                      <w:top w:val="outset" w:sz="4" w:space="0" w:color="auto"/>
                      <w:left w:val="outset" w:sz="4" w:space="0" w:color="auto"/>
                      <w:bottom w:val="outset" w:sz="4" w:space="0" w:color="auto"/>
                      <w:right w:val="outset" w:sz="4" w:space="0" w:color="auto"/>
                    </w:tcBorders>
                    <w:vAlign w:val="center"/>
                  </w:tcPr>
                  <w:p w14:paraId="247A40B8" w14:textId="77777777" w:rsidR="007E7472" w:rsidRDefault="00EC1269">
                    <w:pPr>
                      <w:jc w:val="right"/>
                    </w:pPr>
                    <w:r>
                      <w:rPr>
                        <w:rFonts w:hint="eastAsia"/>
                      </w:rPr>
                      <w:t>1,410,3</w:t>
                    </w:r>
                    <w:r>
                      <w:t>77</w:t>
                    </w:r>
                  </w:p>
                </w:tc>
                <w:tc>
                  <w:tcPr>
                    <w:tcW w:w="1114" w:type="pct"/>
                    <w:tcBorders>
                      <w:top w:val="outset" w:sz="4" w:space="0" w:color="auto"/>
                      <w:left w:val="outset" w:sz="4" w:space="0" w:color="auto"/>
                      <w:bottom w:val="outset" w:sz="4" w:space="0" w:color="auto"/>
                      <w:right w:val="outset" w:sz="4" w:space="0" w:color="auto"/>
                    </w:tcBorders>
                    <w:vAlign w:val="center"/>
                  </w:tcPr>
                  <w:p w14:paraId="011195C2" w14:textId="77777777" w:rsidR="007E7472" w:rsidRDefault="00EC1269">
                    <w:pPr>
                      <w:jc w:val="right"/>
                    </w:pPr>
                    <w:r>
                      <w:rPr>
                        <w:rFonts w:hint="eastAsia"/>
                      </w:rPr>
                      <w:t>1,565,142</w:t>
                    </w:r>
                  </w:p>
                </w:tc>
              </w:tr>
              <w:tr w:rsidR="007E7472" w14:paraId="693BED21" w14:textId="77777777">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9852ba9e79247049df3a6bc9ca51ca0"/>
                      <w:id w:val="-1612814465"/>
                      <w:lock w:val="sdtLocked"/>
                    </w:sdtPr>
                    <w:sdtEndPr/>
                    <w:sdtContent>
                      <w:p w14:paraId="2A98C2BC" w14:textId="77777777" w:rsidR="007E7472" w:rsidRDefault="00EC1269">
                        <w:pPr>
                          <w:ind w:firstLineChars="300" w:firstLine="630"/>
                        </w:pPr>
                        <w:r>
                          <w:rPr>
                            <w:rFonts w:hint="eastAsia"/>
                          </w:rPr>
                          <w:t>研发费用</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41738079" w14:textId="77777777" w:rsidR="007E7472" w:rsidRDefault="00C8327E">
                    <w:pPr>
                      <w:jc w:val="center"/>
                    </w:pPr>
                  </w:p>
                </w:tc>
                <w:tc>
                  <w:tcPr>
                    <w:tcW w:w="1110" w:type="pct"/>
                    <w:tcBorders>
                      <w:top w:val="outset" w:sz="4" w:space="0" w:color="auto"/>
                      <w:left w:val="outset" w:sz="4" w:space="0" w:color="auto"/>
                      <w:bottom w:val="outset" w:sz="4" w:space="0" w:color="auto"/>
                      <w:right w:val="outset" w:sz="4" w:space="0" w:color="auto"/>
                    </w:tcBorders>
                    <w:vAlign w:val="center"/>
                  </w:tcPr>
                  <w:p w14:paraId="07147FCF" w14:textId="77777777" w:rsidR="007E7472" w:rsidRDefault="00EC1269">
                    <w:pPr>
                      <w:jc w:val="right"/>
                    </w:pPr>
                    <w:r>
                      <w:rPr>
                        <w:rFonts w:hint="eastAsia"/>
                      </w:rPr>
                      <w:t>100,911</w:t>
                    </w:r>
                  </w:p>
                </w:tc>
                <w:tc>
                  <w:tcPr>
                    <w:tcW w:w="1114" w:type="pct"/>
                    <w:tcBorders>
                      <w:top w:val="outset" w:sz="4" w:space="0" w:color="auto"/>
                      <w:left w:val="outset" w:sz="4" w:space="0" w:color="auto"/>
                      <w:bottom w:val="outset" w:sz="4" w:space="0" w:color="auto"/>
                      <w:right w:val="outset" w:sz="4" w:space="0" w:color="auto"/>
                    </w:tcBorders>
                    <w:vAlign w:val="center"/>
                  </w:tcPr>
                  <w:p w14:paraId="3877DBE7" w14:textId="77777777" w:rsidR="007E7472" w:rsidRDefault="00EC1269">
                    <w:pPr>
                      <w:jc w:val="right"/>
                    </w:pPr>
                    <w:r>
                      <w:rPr>
                        <w:rFonts w:hint="eastAsia"/>
                      </w:rPr>
                      <w:t>73,304</w:t>
                    </w:r>
                  </w:p>
                </w:tc>
              </w:tr>
              <w:tr w:rsidR="007E7472" w14:paraId="00234C9C" w14:textId="77777777">
                <w:sdt>
                  <w:sdtPr>
                    <w:tag w:val="_PLD_8d80afb387a7412cacbf6e23bf7e765d"/>
                    <w:id w:val="-114797104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3B04FE61" w14:textId="77777777" w:rsidR="007E7472" w:rsidRDefault="00EC1269">
                        <w:pPr>
                          <w:ind w:firstLineChars="300" w:firstLine="630"/>
                        </w:pPr>
                        <w:r>
                          <w:rPr>
                            <w:rFonts w:hint="eastAsia"/>
                          </w:rPr>
                          <w:t>财务费用</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499F9E96" w14:textId="77777777" w:rsidR="007E7472" w:rsidRDefault="00C8327E">
                    <w:pPr>
                      <w:jc w:val="center"/>
                    </w:pPr>
                  </w:p>
                </w:tc>
                <w:tc>
                  <w:tcPr>
                    <w:tcW w:w="1110" w:type="pct"/>
                    <w:tcBorders>
                      <w:top w:val="outset" w:sz="4" w:space="0" w:color="auto"/>
                      <w:left w:val="outset" w:sz="4" w:space="0" w:color="auto"/>
                      <w:bottom w:val="outset" w:sz="4" w:space="0" w:color="auto"/>
                      <w:right w:val="outset" w:sz="4" w:space="0" w:color="auto"/>
                    </w:tcBorders>
                    <w:vAlign w:val="center"/>
                  </w:tcPr>
                  <w:p w14:paraId="0B93C80C" w14:textId="77777777" w:rsidR="007E7472" w:rsidRDefault="00EC1269">
                    <w:pPr>
                      <w:jc w:val="right"/>
                    </w:pPr>
                    <w:r>
                      <w:rPr>
                        <w:rFonts w:hint="eastAsia"/>
                      </w:rPr>
                      <w:t>556,524</w:t>
                    </w:r>
                  </w:p>
                </w:tc>
                <w:tc>
                  <w:tcPr>
                    <w:tcW w:w="1114" w:type="pct"/>
                    <w:tcBorders>
                      <w:top w:val="outset" w:sz="4" w:space="0" w:color="auto"/>
                      <w:left w:val="outset" w:sz="4" w:space="0" w:color="auto"/>
                      <w:bottom w:val="outset" w:sz="4" w:space="0" w:color="auto"/>
                      <w:right w:val="outset" w:sz="4" w:space="0" w:color="auto"/>
                    </w:tcBorders>
                    <w:vAlign w:val="center"/>
                  </w:tcPr>
                  <w:p w14:paraId="3F6E28E2" w14:textId="77777777" w:rsidR="007E7472" w:rsidRDefault="00EC1269">
                    <w:pPr>
                      <w:jc w:val="right"/>
                    </w:pPr>
                    <w:r>
                      <w:rPr>
                        <w:rFonts w:hint="eastAsia"/>
                      </w:rPr>
                      <w:t>593,542</w:t>
                    </w:r>
                  </w:p>
                </w:tc>
              </w:tr>
              <w:tr w:rsidR="007E7472" w14:paraId="0812B951" w14:textId="77777777">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b579b7cdda84cef98e4af379ba33cb2"/>
                      <w:id w:val="-137187921"/>
                      <w:lock w:val="sdtLocked"/>
                    </w:sdtPr>
                    <w:sdtEndPr/>
                    <w:sdtContent>
                      <w:p w14:paraId="653E9C5D" w14:textId="77777777" w:rsidR="007E7472" w:rsidRDefault="00EC1269">
                        <w:pPr>
                          <w:ind w:firstLineChars="300" w:firstLine="630"/>
                        </w:pPr>
                        <w:r>
                          <w:rPr>
                            <w:rFonts w:hint="eastAsia"/>
                          </w:rPr>
                          <w:t>其中：利息费用</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2E01959F" w14:textId="77777777" w:rsidR="007E7472" w:rsidRDefault="00C8327E">
                    <w:pPr>
                      <w:jc w:val="center"/>
                    </w:pPr>
                  </w:p>
                </w:tc>
                <w:tc>
                  <w:tcPr>
                    <w:tcW w:w="1110" w:type="pct"/>
                    <w:tcBorders>
                      <w:top w:val="outset" w:sz="4" w:space="0" w:color="auto"/>
                      <w:left w:val="outset" w:sz="4" w:space="0" w:color="auto"/>
                      <w:bottom w:val="outset" w:sz="4" w:space="0" w:color="auto"/>
                      <w:right w:val="outset" w:sz="4" w:space="0" w:color="auto"/>
                    </w:tcBorders>
                    <w:vAlign w:val="center"/>
                  </w:tcPr>
                  <w:p w14:paraId="0DD5C3F7" w14:textId="77777777" w:rsidR="007E7472" w:rsidRDefault="00EC1269">
                    <w:pPr>
                      <w:jc w:val="right"/>
                    </w:pPr>
                    <w:r>
                      <w:rPr>
                        <w:rFonts w:hint="eastAsia"/>
                      </w:rPr>
                      <w:t>1,414,081</w:t>
                    </w:r>
                  </w:p>
                </w:tc>
                <w:tc>
                  <w:tcPr>
                    <w:tcW w:w="1114" w:type="pct"/>
                    <w:tcBorders>
                      <w:top w:val="outset" w:sz="4" w:space="0" w:color="auto"/>
                      <w:left w:val="outset" w:sz="4" w:space="0" w:color="auto"/>
                      <w:bottom w:val="outset" w:sz="4" w:space="0" w:color="auto"/>
                      <w:right w:val="outset" w:sz="4" w:space="0" w:color="auto"/>
                    </w:tcBorders>
                    <w:vAlign w:val="center"/>
                  </w:tcPr>
                  <w:p w14:paraId="5CCB8DFB" w14:textId="77777777" w:rsidR="007E7472" w:rsidRDefault="00EC1269">
                    <w:pPr>
                      <w:jc w:val="right"/>
                    </w:pPr>
                    <w:r>
                      <w:rPr>
                        <w:rFonts w:hint="eastAsia"/>
                      </w:rPr>
                      <w:t>1,804,475</w:t>
                    </w:r>
                  </w:p>
                </w:tc>
              </w:tr>
              <w:tr w:rsidR="007E7472" w14:paraId="4B89BAF5" w14:textId="77777777">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935359bdf6941b58ec89fcbf4066014"/>
                      <w:id w:val="1658108533"/>
                      <w:lock w:val="sdtLocked"/>
                    </w:sdtPr>
                    <w:sdtEndPr/>
                    <w:sdtContent>
                      <w:p w14:paraId="515C17D0" w14:textId="77777777" w:rsidR="007E7472" w:rsidRDefault="00EC1269">
                        <w:pPr>
                          <w:ind w:firstLineChars="600" w:firstLine="1260"/>
                        </w:pPr>
                        <w:r>
                          <w:rPr>
                            <w:rFonts w:hint="eastAsia"/>
                          </w:rPr>
                          <w:t>利息收入</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550A7A07" w14:textId="77777777" w:rsidR="007E7472" w:rsidRDefault="00C8327E">
                    <w:pPr>
                      <w:jc w:val="center"/>
                    </w:pPr>
                  </w:p>
                </w:tc>
                <w:tc>
                  <w:tcPr>
                    <w:tcW w:w="1110" w:type="pct"/>
                    <w:tcBorders>
                      <w:top w:val="outset" w:sz="4" w:space="0" w:color="auto"/>
                      <w:left w:val="outset" w:sz="4" w:space="0" w:color="auto"/>
                      <w:bottom w:val="outset" w:sz="4" w:space="0" w:color="auto"/>
                      <w:right w:val="outset" w:sz="4" w:space="0" w:color="auto"/>
                    </w:tcBorders>
                    <w:vAlign w:val="center"/>
                  </w:tcPr>
                  <w:p w14:paraId="0DF834DD" w14:textId="77777777" w:rsidR="007E7472" w:rsidRDefault="00EC1269">
                    <w:pPr>
                      <w:jc w:val="right"/>
                    </w:pPr>
                    <w:r>
                      <w:rPr>
                        <w:rFonts w:hint="eastAsia"/>
                      </w:rPr>
                      <w:t>829,167</w:t>
                    </w:r>
                  </w:p>
                </w:tc>
                <w:tc>
                  <w:tcPr>
                    <w:tcW w:w="1114" w:type="pct"/>
                    <w:tcBorders>
                      <w:top w:val="outset" w:sz="4" w:space="0" w:color="auto"/>
                      <w:left w:val="outset" w:sz="4" w:space="0" w:color="auto"/>
                      <w:bottom w:val="outset" w:sz="4" w:space="0" w:color="auto"/>
                      <w:right w:val="outset" w:sz="4" w:space="0" w:color="auto"/>
                    </w:tcBorders>
                    <w:vAlign w:val="center"/>
                  </w:tcPr>
                  <w:p w14:paraId="0610BF5B" w14:textId="77777777" w:rsidR="007E7472" w:rsidRDefault="00EC1269">
                    <w:pPr>
                      <w:jc w:val="right"/>
                    </w:pPr>
                    <w:r>
                      <w:rPr>
                        <w:rFonts w:hint="eastAsia"/>
                      </w:rPr>
                      <w:t>1,193,378</w:t>
                    </w:r>
                  </w:p>
                </w:tc>
              </w:tr>
              <w:tr w:rsidR="007E7472" w14:paraId="33D24C36" w14:textId="77777777">
                <w:sdt>
                  <w:sdtPr>
                    <w:tag w:val="_PLD_57b368ef9f204da9ac5a6e42b07d2fda"/>
                    <w:id w:val="-197274391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7DD62BFB" w14:textId="77777777" w:rsidR="007E7472" w:rsidRDefault="00EC1269">
                        <w:pPr>
                          <w:ind w:firstLineChars="100" w:firstLine="210"/>
                        </w:pPr>
                        <w:r>
                          <w:rPr>
                            <w:rFonts w:hint="eastAsia"/>
                          </w:rPr>
                          <w:t>加：其他收益</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1C623A5E" w14:textId="77777777" w:rsidR="007E7472" w:rsidRDefault="00C8327E">
                    <w:pPr>
                      <w:jc w:val="center"/>
                    </w:pPr>
                  </w:p>
                </w:tc>
                <w:tc>
                  <w:tcPr>
                    <w:tcW w:w="1110" w:type="pct"/>
                    <w:tcBorders>
                      <w:top w:val="outset" w:sz="4" w:space="0" w:color="auto"/>
                      <w:left w:val="outset" w:sz="4" w:space="0" w:color="auto"/>
                      <w:bottom w:val="outset" w:sz="4" w:space="0" w:color="auto"/>
                      <w:right w:val="outset" w:sz="4" w:space="0" w:color="auto"/>
                    </w:tcBorders>
                    <w:vAlign w:val="center"/>
                  </w:tcPr>
                  <w:p w14:paraId="7F65D720" w14:textId="77777777" w:rsidR="007E7472" w:rsidRDefault="00EC1269">
                    <w:pPr>
                      <w:jc w:val="right"/>
                    </w:pPr>
                    <w:r>
                      <w:rPr>
                        <w:rFonts w:hint="eastAsia"/>
                      </w:rPr>
                      <w:t>7,876</w:t>
                    </w:r>
                  </w:p>
                </w:tc>
                <w:tc>
                  <w:tcPr>
                    <w:tcW w:w="1114" w:type="pct"/>
                    <w:tcBorders>
                      <w:top w:val="outset" w:sz="4" w:space="0" w:color="auto"/>
                      <w:left w:val="outset" w:sz="4" w:space="0" w:color="auto"/>
                      <w:bottom w:val="outset" w:sz="4" w:space="0" w:color="auto"/>
                      <w:right w:val="outset" w:sz="4" w:space="0" w:color="auto"/>
                    </w:tcBorders>
                    <w:vAlign w:val="center"/>
                  </w:tcPr>
                  <w:p w14:paraId="00FAE290" w14:textId="77777777" w:rsidR="007E7472" w:rsidRDefault="00EC1269">
                    <w:pPr>
                      <w:jc w:val="right"/>
                    </w:pPr>
                    <w:r>
                      <w:rPr>
                        <w:rFonts w:hint="eastAsia"/>
                      </w:rPr>
                      <w:t>6,784</w:t>
                    </w:r>
                  </w:p>
                </w:tc>
              </w:tr>
              <w:tr w:rsidR="007E7472" w14:paraId="5F73A715" w14:textId="77777777">
                <w:sdt>
                  <w:sdtPr>
                    <w:tag w:val="_PLD_16fd18eb434d4828b40716d17c61b068"/>
                    <w:id w:val="-207912968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25C2794E" w14:textId="77777777" w:rsidR="007E7472" w:rsidRDefault="00EC1269">
                        <w:pPr>
                          <w:ind w:firstLineChars="300" w:firstLine="630"/>
                        </w:pPr>
                        <w:r>
                          <w:rPr>
                            <w:rFonts w:hint="eastAsia"/>
                          </w:rPr>
                          <w:t>投资收益（损失以“－”号填列）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30B46178" w14:textId="77777777" w:rsidR="007E7472" w:rsidRDefault="00EC1269">
                    <w:pPr>
                      <w:jc w:val="center"/>
                    </w:pPr>
                    <w:r>
                      <w:rPr>
                        <w:rFonts w:hint="eastAsia"/>
                      </w:rPr>
                      <w:t>十七、5</w:t>
                    </w:r>
                  </w:p>
                </w:tc>
                <w:tc>
                  <w:tcPr>
                    <w:tcW w:w="1110" w:type="pct"/>
                    <w:tcBorders>
                      <w:top w:val="outset" w:sz="4" w:space="0" w:color="auto"/>
                      <w:left w:val="outset" w:sz="4" w:space="0" w:color="auto"/>
                      <w:bottom w:val="outset" w:sz="4" w:space="0" w:color="auto"/>
                      <w:right w:val="outset" w:sz="4" w:space="0" w:color="auto"/>
                    </w:tcBorders>
                    <w:vAlign w:val="center"/>
                  </w:tcPr>
                  <w:p w14:paraId="130BF64D" w14:textId="77777777" w:rsidR="007E7472" w:rsidRDefault="00EC1269">
                    <w:pPr>
                      <w:jc w:val="right"/>
                    </w:pPr>
                    <w:r>
                      <w:rPr>
                        <w:rFonts w:hint="eastAsia"/>
                      </w:rPr>
                      <w:t>5,087,046</w:t>
                    </w:r>
                  </w:p>
                </w:tc>
                <w:tc>
                  <w:tcPr>
                    <w:tcW w:w="1114" w:type="pct"/>
                    <w:tcBorders>
                      <w:top w:val="outset" w:sz="4" w:space="0" w:color="auto"/>
                      <w:left w:val="outset" w:sz="4" w:space="0" w:color="auto"/>
                      <w:bottom w:val="outset" w:sz="4" w:space="0" w:color="auto"/>
                      <w:right w:val="outset" w:sz="4" w:space="0" w:color="auto"/>
                    </w:tcBorders>
                    <w:vAlign w:val="center"/>
                  </w:tcPr>
                  <w:p w14:paraId="4CF49E8F" w14:textId="77777777" w:rsidR="007E7472" w:rsidRDefault="00EC1269">
                    <w:pPr>
                      <w:jc w:val="right"/>
                    </w:pPr>
                    <w:r>
                      <w:rPr>
                        <w:rFonts w:hint="eastAsia"/>
                      </w:rPr>
                      <w:t>3,783,750</w:t>
                    </w:r>
                  </w:p>
                </w:tc>
              </w:tr>
              <w:tr w:rsidR="007E7472" w14:paraId="3395CB18" w14:textId="77777777">
                <w:sdt>
                  <w:sdtPr>
                    <w:tag w:val="_PLD_2bea34f5113c449e9a05ba733de8a76c"/>
                    <w:id w:val="1580322243"/>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72DDAB97" w14:textId="77777777" w:rsidR="007E7472" w:rsidRDefault="00EC1269">
                        <w:pPr>
                          <w:ind w:firstLineChars="300" w:firstLine="630"/>
                        </w:pPr>
                        <w:r>
                          <w:rPr>
                            <w:rFonts w:hint="eastAsia"/>
                          </w:rPr>
                          <w:t>其中：对联营企业和合营企业的投资收益</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3D0CAD54" w14:textId="77777777" w:rsidR="007E7472" w:rsidRDefault="00EC1269">
                    <w:pPr>
                      <w:jc w:val="center"/>
                    </w:pPr>
                    <w:r>
                      <w:rPr>
                        <w:rFonts w:hint="eastAsia"/>
                      </w:rPr>
                      <w:t>十七、5</w:t>
                    </w:r>
                  </w:p>
                </w:tc>
                <w:tc>
                  <w:tcPr>
                    <w:tcW w:w="1110" w:type="pct"/>
                    <w:tcBorders>
                      <w:top w:val="outset" w:sz="4" w:space="0" w:color="auto"/>
                      <w:left w:val="outset" w:sz="4" w:space="0" w:color="auto"/>
                      <w:bottom w:val="outset" w:sz="4" w:space="0" w:color="auto"/>
                      <w:right w:val="outset" w:sz="4" w:space="0" w:color="auto"/>
                    </w:tcBorders>
                    <w:vAlign w:val="center"/>
                  </w:tcPr>
                  <w:p w14:paraId="2A623187" w14:textId="77777777" w:rsidR="007E7472" w:rsidRDefault="00EC1269">
                    <w:pPr>
                      <w:jc w:val="right"/>
                    </w:pPr>
                    <w:r>
                      <w:rPr>
                        <w:rFonts w:hint="eastAsia"/>
                      </w:rPr>
                      <w:t>226,624</w:t>
                    </w:r>
                  </w:p>
                </w:tc>
                <w:tc>
                  <w:tcPr>
                    <w:tcW w:w="1114" w:type="pct"/>
                    <w:tcBorders>
                      <w:top w:val="outset" w:sz="4" w:space="0" w:color="auto"/>
                      <w:left w:val="outset" w:sz="4" w:space="0" w:color="auto"/>
                      <w:bottom w:val="outset" w:sz="4" w:space="0" w:color="auto"/>
                      <w:right w:val="outset" w:sz="4" w:space="0" w:color="auto"/>
                    </w:tcBorders>
                    <w:vAlign w:val="center"/>
                  </w:tcPr>
                  <w:p w14:paraId="1412E2DC" w14:textId="77777777" w:rsidR="007E7472" w:rsidRDefault="00EC1269">
                    <w:pPr>
                      <w:jc w:val="right"/>
                    </w:pPr>
                    <w:r>
                      <w:rPr>
                        <w:rFonts w:hint="eastAsia"/>
                      </w:rPr>
                      <w:t>208,346</w:t>
                    </w:r>
                  </w:p>
                </w:tc>
              </w:tr>
              <w:tr w:rsidR="007E7472" w14:paraId="2BAA7953" w14:textId="77777777">
                <w:sdt>
                  <w:sdtPr>
                    <w:tag w:val="_PLD_a015afefb87543308b983fbb12c6212d"/>
                    <w:id w:val="318078676"/>
                    <w:lock w:val="sdtLocked"/>
                  </w:sdtPr>
                  <w:sdtEndPr/>
                  <w:sdtContent>
                    <w:tc>
                      <w:tcPr>
                        <w:tcW w:w="1938" w:type="pct"/>
                        <w:tcBorders>
                          <w:top w:val="outset" w:sz="4" w:space="0" w:color="auto"/>
                          <w:left w:val="outset" w:sz="4" w:space="0" w:color="auto"/>
                          <w:bottom w:val="outset" w:sz="4" w:space="0" w:color="auto"/>
                          <w:right w:val="outset" w:sz="4" w:space="0" w:color="auto"/>
                        </w:tcBorders>
                      </w:tcPr>
                      <w:p w14:paraId="149D21E7" w14:textId="77777777" w:rsidR="007E7472" w:rsidRDefault="00EC1269">
                        <w:pPr>
                          <w:ind w:firstLineChars="550" w:firstLine="1155"/>
                        </w:pPr>
                        <w:r>
                          <w:rPr>
                            <w:rFonts w:hint="eastAsia"/>
                          </w:rPr>
                          <w:t>以摊余成本计量的金融资产终止确认收益（损失以“</w:t>
                        </w:r>
                        <w:r>
                          <w:t>-”号填列）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6B2A47A6" w14:textId="77777777" w:rsidR="007E7472" w:rsidRDefault="00C8327E">
                    <w:pPr>
                      <w:jc w:val="center"/>
                    </w:pPr>
                  </w:p>
                </w:tc>
                <w:tc>
                  <w:tcPr>
                    <w:tcW w:w="1110" w:type="pct"/>
                    <w:tcBorders>
                      <w:top w:val="outset" w:sz="4" w:space="0" w:color="auto"/>
                      <w:left w:val="outset" w:sz="4" w:space="0" w:color="auto"/>
                      <w:bottom w:val="outset" w:sz="4" w:space="0" w:color="auto"/>
                      <w:right w:val="outset" w:sz="4" w:space="0" w:color="auto"/>
                    </w:tcBorders>
                    <w:vAlign w:val="center"/>
                  </w:tcPr>
                  <w:p w14:paraId="500B9600" w14:textId="77777777" w:rsidR="007E7472" w:rsidRDefault="00C8327E">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14:paraId="67867103" w14:textId="77777777" w:rsidR="007E7472" w:rsidRDefault="00C8327E">
                    <w:pPr>
                      <w:jc w:val="right"/>
                      <w:rPr>
                        <w:bCs/>
                      </w:rPr>
                    </w:pPr>
                  </w:p>
                </w:tc>
              </w:tr>
              <w:tr w:rsidR="007E7472" w14:paraId="713F8049" w14:textId="77777777">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bcb300b294e416d865b2977935ac43a"/>
                      <w:id w:val="-110438787"/>
                      <w:lock w:val="sdtLocked"/>
                    </w:sdtPr>
                    <w:sdtEndPr>
                      <w:rPr>
                        <w:rFonts w:hint="default"/>
                      </w:rPr>
                    </w:sdtEndPr>
                    <w:sdtContent>
                      <w:p w14:paraId="45FD3AF2" w14:textId="77777777" w:rsidR="007E7472" w:rsidRDefault="00EC1269">
                        <w:pPr>
                          <w:ind w:firstLineChars="300" w:firstLine="630"/>
                        </w:pPr>
                        <w:r>
                          <w:rPr>
                            <w:rFonts w:hint="eastAsia"/>
                          </w:rPr>
                          <w:t>净敞口套期收益（损失以“</w:t>
                        </w:r>
                        <w:r>
                          <w:t>-”号填列）</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1ECB2EEE" w14:textId="77777777" w:rsidR="007E7472" w:rsidRDefault="00C8327E">
                    <w:pPr>
                      <w:jc w:val="center"/>
                    </w:pPr>
                  </w:p>
                </w:tc>
                <w:tc>
                  <w:tcPr>
                    <w:tcW w:w="1110" w:type="pct"/>
                    <w:tcBorders>
                      <w:top w:val="outset" w:sz="4" w:space="0" w:color="auto"/>
                      <w:left w:val="outset" w:sz="4" w:space="0" w:color="auto"/>
                      <w:bottom w:val="outset" w:sz="4" w:space="0" w:color="auto"/>
                      <w:right w:val="outset" w:sz="4" w:space="0" w:color="auto"/>
                    </w:tcBorders>
                    <w:vAlign w:val="center"/>
                  </w:tcPr>
                  <w:p w14:paraId="73D43234" w14:textId="77777777" w:rsidR="007E7472" w:rsidRDefault="00EC1269">
                    <w:pPr>
                      <w:jc w:val="right"/>
                    </w:pPr>
                    <w:r>
                      <w:rPr>
                        <w:rFonts w:hint="eastAsia"/>
                      </w:rPr>
                      <w:t>22,586</w:t>
                    </w:r>
                  </w:p>
                </w:tc>
                <w:tc>
                  <w:tcPr>
                    <w:tcW w:w="1114" w:type="pct"/>
                    <w:tcBorders>
                      <w:top w:val="outset" w:sz="4" w:space="0" w:color="auto"/>
                      <w:left w:val="outset" w:sz="4" w:space="0" w:color="auto"/>
                      <w:bottom w:val="outset" w:sz="4" w:space="0" w:color="auto"/>
                      <w:right w:val="outset" w:sz="4" w:space="0" w:color="auto"/>
                    </w:tcBorders>
                    <w:vAlign w:val="center"/>
                  </w:tcPr>
                  <w:p w14:paraId="2E96FB9D" w14:textId="77777777" w:rsidR="007E7472" w:rsidRDefault="00EC1269">
                    <w:pPr>
                      <w:jc w:val="right"/>
                    </w:pPr>
                    <w:r>
                      <w:rPr>
                        <w:rFonts w:hint="eastAsia"/>
                      </w:rPr>
                      <w:t>-25,380</w:t>
                    </w:r>
                  </w:p>
                </w:tc>
              </w:tr>
              <w:tr w:rsidR="007E7472" w14:paraId="409EEB3F" w14:textId="77777777">
                <w:sdt>
                  <w:sdtPr>
                    <w:tag w:val="_PLD_96dddecaabdb4c699853ad79ff8ce0c7"/>
                    <w:id w:val="-28705347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2C2970F3" w14:textId="77777777" w:rsidR="007E7472" w:rsidRDefault="00EC1269">
                        <w:pPr>
                          <w:ind w:firstLineChars="300" w:firstLine="630"/>
                          <w:rPr>
                            <w:color w:val="000000"/>
                          </w:rPr>
                        </w:pPr>
                        <w:r>
                          <w:rPr>
                            <w:rFonts w:hint="eastAsia"/>
                          </w:rPr>
                          <w:t>公允价值变动收益（损失以“－”号填列）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4CDEDAA4" w14:textId="77777777" w:rsidR="007E7472" w:rsidRDefault="00C8327E">
                    <w:pPr>
                      <w:jc w:val="center"/>
                    </w:pPr>
                  </w:p>
                </w:tc>
                <w:tc>
                  <w:tcPr>
                    <w:tcW w:w="1110" w:type="pct"/>
                    <w:tcBorders>
                      <w:top w:val="outset" w:sz="4" w:space="0" w:color="auto"/>
                      <w:left w:val="outset" w:sz="4" w:space="0" w:color="auto"/>
                      <w:bottom w:val="outset" w:sz="4" w:space="0" w:color="auto"/>
                      <w:right w:val="outset" w:sz="4" w:space="0" w:color="auto"/>
                    </w:tcBorders>
                    <w:vAlign w:val="center"/>
                  </w:tcPr>
                  <w:p w14:paraId="1C76A08B" w14:textId="77777777" w:rsidR="007E7472" w:rsidRDefault="00EC1269">
                    <w:pPr>
                      <w:jc w:val="right"/>
                    </w:pPr>
                    <w:r>
                      <w:rPr>
                        <w:rFonts w:hint="eastAsia"/>
                      </w:rPr>
                      <w:t>-</w:t>
                    </w:r>
                    <w:r>
                      <w:t>201</w:t>
                    </w:r>
                  </w:p>
                </w:tc>
                <w:tc>
                  <w:tcPr>
                    <w:tcW w:w="1114" w:type="pct"/>
                    <w:tcBorders>
                      <w:top w:val="outset" w:sz="4" w:space="0" w:color="auto"/>
                      <w:left w:val="outset" w:sz="4" w:space="0" w:color="auto"/>
                      <w:bottom w:val="outset" w:sz="4" w:space="0" w:color="auto"/>
                      <w:right w:val="outset" w:sz="4" w:space="0" w:color="auto"/>
                    </w:tcBorders>
                    <w:vAlign w:val="center"/>
                  </w:tcPr>
                  <w:p w14:paraId="0DF9BB9B" w14:textId="77777777" w:rsidR="007E7472" w:rsidRDefault="00C8327E">
                    <w:pPr>
                      <w:jc w:val="right"/>
                    </w:pPr>
                  </w:p>
                </w:tc>
              </w:tr>
              <w:tr w:rsidR="007E7472" w14:paraId="09486809" w14:textId="77777777">
                <w:tc>
                  <w:tcPr>
                    <w:tcW w:w="1938"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2ea4b74b8c74945853430e402c6958a"/>
                      <w:id w:val="1552429640"/>
                      <w:lock w:val="sdtLocked"/>
                    </w:sdtPr>
                    <w:sdtEndPr/>
                    <w:sdtContent>
                      <w:p w14:paraId="2BB3A3BC" w14:textId="77777777" w:rsidR="007E7472" w:rsidRDefault="00EC1269">
                        <w:pPr>
                          <w:ind w:firstLineChars="300" w:firstLine="630"/>
                        </w:pPr>
                        <w:r>
                          <w:rPr>
                            <w:rFonts w:hint="eastAsia"/>
                          </w:rPr>
                          <w:t>信用减值损失（损失以“</w:t>
                        </w:r>
                        <w:r>
                          <w:t>-”号填列）</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259D2097" w14:textId="77777777" w:rsidR="007E7472" w:rsidRDefault="00C8327E">
                    <w:pPr>
                      <w:jc w:val="center"/>
                    </w:pPr>
                  </w:p>
                </w:tc>
                <w:tc>
                  <w:tcPr>
                    <w:tcW w:w="1110" w:type="pct"/>
                    <w:tcBorders>
                      <w:top w:val="outset" w:sz="4" w:space="0" w:color="auto"/>
                      <w:left w:val="outset" w:sz="4" w:space="0" w:color="auto"/>
                      <w:bottom w:val="outset" w:sz="4" w:space="0" w:color="auto"/>
                      <w:right w:val="outset" w:sz="4" w:space="0" w:color="auto"/>
                    </w:tcBorders>
                    <w:vAlign w:val="center"/>
                  </w:tcPr>
                  <w:p w14:paraId="17F80AAA" w14:textId="77777777" w:rsidR="007E7472" w:rsidRDefault="00EC1269">
                    <w:pPr>
                      <w:jc w:val="right"/>
                    </w:pPr>
                    <w:r>
                      <w:rPr>
                        <w:rFonts w:hint="eastAsia"/>
                      </w:rPr>
                      <w:t>213</w:t>
                    </w:r>
                  </w:p>
                </w:tc>
                <w:tc>
                  <w:tcPr>
                    <w:tcW w:w="1114" w:type="pct"/>
                    <w:tcBorders>
                      <w:top w:val="outset" w:sz="4" w:space="0" w:color="auto"/>
                      <w:left w:val="outset" w:sz="4" w:space="0" w:color="auto"/>
                      <w:bottom w:val="outset" w:sz="4" w:space="0" w:color="auto"/>
                      <w:right w:val="outset" w:sz="4" w:space="0" w:color="auto"/>
                    </w:tcBorders>
                    <w:vAlign w:val="center"/>
                  </w:tcPr>
                  <w:p w14:paraId="21BDCC04" w14:textId="77777777" w:rsidR="007E7472" w:rsidRDefault="00EC1269">
                    <w:pPr>
                      <w:jc w:val="right"/>
                    </w:pPr>
                    <w:r>
                      <w:rPr>
                        <w:rFonts w:hint="eastAsia"/>
                      </w:rPr>
                      <w:t>7,566</w:t>
                    </w:r>
                  </w:p>
                </w:tc>
              </w:tr>
              <w:tr w:rsidR="007E7472" w14:paraId="7D6CBE76" w14:textId="77777777">
                <w:sdt>
                  <w:sdtPr>
                    <w:tag w:val="_PLD_16430dcabb93489da19dede13b679da4"/>
                    <w:id w:val="84775559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39CBC5AF" w14:textId="77777777" w:rsidR="007E7472" w:rsidRDefault="00EC1269">
                        <w:pPr>
                          <w:ind w:firstLineChars="300" w:firstLine="630"/>
                        </w:pPr>
                        <w:r>
                          <w:rPr>
                            <w:rFonts w:hint="eastAsia"/>
                          </w:rPr>
                          <w:t>资产减值损失（损失以“</w:t>
                        </w:r>
                        <w:r>
                          <w:t>-”号填列）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596BAF0D" w14:textId="77777777" w:rsidR="007E7472" w:rsidRDefault="00C8327E">
                    <w:pPr>
                      <w:jc w:val="center"/>
                    </w:pPr>
                  </w:p>
                </w:tc>
                <w:tc>
                  <w:tcPr>
                    <w:tcW w:w="1110" w:type="pct"/>
                    <w:tcBorders>
                      <w:top w:val="outset" w:sz="4" w:space="0" w:color="auto"/>
                      <w:left w:val="outset" w:sz="4" w:space="0" w:color="auto"/>
                      <w:bottom w:val="outset" w:sz="4" w:space="0" w:color="auto"/>
                      <w:right w:val="outset" w:sz="4" w:space="0" w:color="auto"/>
                    </w:tcBorders>
                    <w:vAlign w:val="center"/>
                  </w:tcPr>
                  <w:p w14:paraId="132775D2" w14:textId="77777777" w:rsidR="007E7472" w:rsidRDefault="00C8327E">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14:paraId="6BDFA292" w14:textId="77777777" w:rsidR="007E7472" w:rsidRDefault="00C8327E">
                    <w:pPr>
                      <w:jc w:val="right"/>
                    </w:pPr>
                  </w:p>
                </w:tc>
              </w:tr>
              <w:tr w:rsidR="007E7472" w14:paraId="10661153" w14:textId="77777777">
                <w:sdt>
                  <w:sdtPr>
                    <w:rPr>
                      <w:rFonts w:hint="eastAsia"/>
                    </w:rPr>
                    <w:tag w:val="_PLD_907d21105eff451b99c14b026296e12a"/>
                    <w:id w:val="1657879012"/>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4FD3A5C9" w14:textId="77777777" w:rsidR="007E7472" w:rsidRDefault="00EC1269">
                        <w:pPr>
                          <w:ind w:firstLineChars="300" w:firstLine="630"/>
                        </w:pPr>
                        <w:r>
                          <w:rPr>
                            <w:rFonts w:hint="eastAsia"/>
                          </w:rPr>
                          <w:t>资产处置收益（损失以“－”号填列）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058BDFAC" w14:textId="77777777" w:rsidR="007E7472" w:rsidRDefault="00C8327E">
                    <w:pPr>
                      <w:jc w:val="center"/>
                    </w:pPr>
                  </w:p>
                </w:tc>
                <w:tc>
                  <w:tcPr>
                    <w:tcW w:w="1110" w:type="pct"/>
                    <w:tcBorders>
                      <w:top w:val="outset" w:sz="4" w:space="0" w:color="auto"/>
                      <w:left w:val="outset" w:sz="4" w:space="0" w:color="auto"/>
                      <w:bottom w:val="outset" w:sz="4" w:space="0" w:color="auto"/>
                      <w:right w:val="outset" w:sz="4" w:space="0" w:color="auto"/>
                    </w:tcBorders>
                    <w:vAlign w:val="center"/>
                  </w:tcPr>
                  <w:p w14:paraId="6210802E" w14:textId="77777777" w:rsidR="007E7472" w:rsidRDefault="00C8327E">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14:paraId="2E12557B" w14:textId="77777777" w:rsidR="007E7472" w:rsidRDefault="00EC1269">
                    <w:pPr>
                      <w:jc w:val="right"/>
                    </w:pPr>
                    <w:r>
                      <w:rPr>
                        <w:rFonts w:hint="eastAsia"/>
                      </w:rPr>
                      <w:t>3,197</w:t>
                    </w:r>
                  </w:p>
                </w:tc>
              </w:tr>
              <w:tr w:rsidR="007E7472" w14:paraId="787C6347" w14:textId="77777777">
                <w:sdt>
                  <w:sdtPr>
                    <w:tag w:val="_PLD_107926df9ebd4b039128ab562ec28ff7"/>
                    <w:id w:val="76605308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36B35520" w14:textId="77777777" w:rsidR="007E7472" w:rsidRDefault="00EC1269">
                        <w:pPr>
                          <w:ind w:left="-19"/>
                          <w:rPr>
                            <w:color w:val="000000"/>
                          </w:rPr>
                        </w:pPr>
                        <w:r>
                          <w:rPr>
                            <w:rFonts w:hint="eastAsia"/>
                          </w:rPr>
                          <w:t>二、营业利润（亏损以“－”号填列）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18D57A67" w14:textId="77777777" w:rsidR="007E7472" w:rsidRDefault="00C8327E"/>
                </w:tc>
                <w:tc>
                  <w:tcPr>
                    <w:tcW w:w="1110" w:type="pct"/>
                    <w:tcBorders>
                      <w:top w:val="outset" w:sz="4" w:space="0" w:color="auto"/>
                      <w:left w:val="outset" w:sz="4" w:space="0" w:color="auto"/>
                      <w:bottom w:val="outset" w:sz="4" w:space="0" w:color="auto"/>
                      <w:right w:val="outset" w:sz="4" w:space="0" w:color="auto"/>
                    </w:tcBorders>
                    <w:vAlign w:val="center"/>
                  </w:tcPr>
                  <w:p w14:paraId="50C589B9" w14:textId="77777777" w:rsidR="007E7472" w:rsidRDefault="00EC1269">
                    <w:pPr>
                      <w:jc w:val="right"/>
                    </w:pPr>
                    <w:r>
                      <w:rPr>
                        <w:rFonts w:hint="eastAsia"/>
                      </w:rPr>
                      <w:t>9,055,</w:t>
                    </w:r>
                    <w:r>
                      <w:t>537</w:t>
                    </w:r>
                  </w:p>
                </w:tc>
                <w:tc>
                  <w:tcPr>
                    <w:tcW w:w="1114" w:type="pct"/>
                    <w:tcBorders>
                      <w:top w:val="outset" w:sz="4" w:space="0" w:color="auto"/>
                      <w:left w:val="outset" w:sz="4" w:space="0" w:color="auto"/>
                      <w:bottom w:val="outset" w:sz="4" w:space="0" w:color="auto"/>
                      <w:right w:val="outset" w:sz="4" w:space="0" w:color="auto"/>
                    </w:tcBorders>
                    <w:vAlign w:val="center"/>
                  </w:tcPr>
                  <w:p w14:paraId="454162E9" w14:textId="77777777" w:rsidR="007E7472" w:rsidRDefault="00EC1269">
                    <w:pPr>
                      <w:jc w:val="right"/>
                    </w:pPr>
                    <w:r>
                      <w:rPr>
                        <w:rFonts w:hint="eastAsia"/>
                      </w:rPr>
                      <w:t>11,650,211</w:t>
                    </w:r>
                  </w:p>
                </w:tc>
              </w:tr>
              <w:tr w:rsidR="007E7472" w14:paraId="1253D839" w14:textId="77777777">
                <w:sdt>
                  <w:sdtPr>
                    <w:tag w:val="_PLD_279fac843c63467da244e8b49f89e4dc"/>
                    <w:id w:val="1922446728"/>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56F98471" w14:textId="77777777" w:rsidR="007E7472" w:rsidRDefault="00EC1269">
                        <w:pPr>
                          <w:ind w:firstLineChars="100" w:firstLine="210"/>
                          <w:rPr>
                            <w:color w:val="000000"/>
                          </w:rPr>
                        </w:pPr>
                        <w:r>
                          <w:rPr>
                            <w:rFonts w:hint="eastAsia"/>
                          </w:rPr>
                          <w:t>加：营业外收入</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3D5AC163" w14:textId="77777777" w:rsidR="007E7472" w:rsidRDefault="00C8327E"/>
                </w:tc>
                <w:tc>
                  <w:tcPr>
                    <w:tcW w:w="1110" w:type="pct"/>
                    <w:tcBorders>
                      <w:top w:val="outset" w:sz="4" w:space="0" w:color="auto"/>
                      <w:left w:val="outset" w:sz="4" w:space="0" w:color="auto"/>
                      <w:bottom w:val="outset" w:sz="4" w:space="0" w:color="auto"/>
                      <w:right w:val="outset" w:sz="4" w:space="0" w:color="auto"/>
                    </w:tcBorders>
                    <w:vAlign w:val="center"/>
                  </w:tcPr>
                  <w:p w14:paraId="5DB9C0BD" w14:textId="77777777" w:rsidR="007E7472" w:rsidRDefault="00EC1269">
                    <w:pPr>
                      <w:jc w:val="right"/>
                    </w:pPr>
                    <w:r>
                      <w:rPr>
                        <w:rFonts w:hint="eastAsia"/>
                      </w:rPr>
                      <w:t>107,373</w:t>
                    </w:r>
                  </w:p>
                </w:tc>
                <w:tc>
                  <w:tcPr>
                    <w:tcW w:w="1114" w:type="pct"/>
                    <w:tcBorders>
                      <w:top w:val="outset" w:sz="4" w:space="0" w:color="auto"/>
                      <w:left w:val="outset" w:sz="4" w:space="0" w:color="auto"/>
                      <w:bottom w:val="outset" w:sz="4" w:space="0" w:color="auto"/>
                      <w:right w:val="outset" w:sz="4" w:space="0" w:color="auto"/>
                    </w:tcBorders>
                    <w:vAlign w:val="center"/>
                  </w:tcPr>
                  <w:p w14:paraId="3A240154" w14:textId="77777777" w:rsidR="007E7472" w:rsidRDefault="00EC1269">
                    <w:pPr>
                      <w:jc w:val="right"/>
                    </w:pPr>
                    <w:r>
                      <w:rPr>
                        <w:rFonts w:hint="eastAsia"/>
                      </w:rPr>
                      <w:t>106,291</w:t>
                    </w:r>
                  </w:p>
                </w:tc>
              </w:tr>
              <w:tr w:rsidR="007E7472" w14:paraId="1085CBB0" w14:textId="77777777">
                <w:sdt>
                  <w:sdtPr>
                    <w:tag w:val="_PLD_f7c3a61b735644a1a4b866e88cef247a"/>
                    <w:id w:val="-184671447"/>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359ABAFB" w14:textId="77777777" w:rsidR="007E7472" w:rsidRDefault="00EC1269">
                        <w:pPr>
                          <w:ind w:firstLineChars="100" w:firstLine="210"/>
                          <w:rPr>
                            <w:color w:val="000000"/>
                          </w:rPr>
                        </w:pPr>
                        <w:r>
                          <w:rPr>
                            <w:rFonts w:hint="eastAsia"/>
                          </w:rPr>
                          <w:t>减：营业外支出</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0C03F279" w14:textId="77777777" w:rsidR="007E7472" w:rsidRDefault="00C8327E"/>
                </w:tc>
                <w:tc>
                  <w:tcPr>
                    <w:tcW w:w="1110" w:type="pct"/>
                    <w:tcBorders>
                      <w:top w:val="outset" w:sz="4" w:space="0" w:color="auto"/>
                      <w:left w:val="outset" w:sz="4" w:space="0" w:color="auto"/>
                      <w:bottom w:val="outset" w:sz="4" w:space="0" w:color="auto"/>
                      <w:right w:val="outset" w:sz="4" w:space="0" w:color="auto"/>
                    </w:tcBorders>
                    <w:vAlign w:val="center"/>
                  </w:tcPr>
                  <w:p w14:paraId="0E79C3C8" w14:textId="77777777" w:rsidR="007E7472" w:rsidRDefault="00EC1269">
                    <w:pPr>
                      <w:jc w:val="right"/>
                    </w:pPr>
                    <w:r>
                      <w:rPr>
                        <w:rFonts w:hint="eastAsia"/>
                      </w:rPr>
                      <w:t>19,989</w:t>
                    </w:r>
                  </w:p>
                </w:tc>
                <w:tc>
                  <w:tcPr>
                    <w:tcW w:w="1114" w:type="pct"/>
                    <w:tcBorders>
                      <w:top w:val="outset" w:sz="4" w:space="0" w:color="auto"/>
                      <w:left w:val="outset" w:sz="4" w:space="0" w:color="auto"/>
                      <w:bottom w:val="outset" w:sz="4" w:space="0" w:color="auto"/>
                      <w:right w:val="outset" w:sz="4" w:space="0" w:color="auto"/>
                    </w:tcBorders>
                    <w:vAlign w:val="center"/>
                  </w:tcPr>
                  <w:p w14:paraId="70588F7E" w14:textId="77777777" w:rsidR="007E7472" w:rsidRDefault="00EC1269">
                    <w:pPr>
                      <w:jc w:val="right"/>
                    </w:pPr>
                    <w:r>
                      <w:rPr>
                        <w:rFonts w:hint="eastAsia"/>
                      </w:rPr>
                      <w:t>10,618</w:t>
                    </w:r>
                  </w:p>
                </w:tc>
              </w:tr>
              <w:tr w:rsidR="007E7472" w14:paraId="7F3DDB12" w14:textId="77777777">
                <w:sdt>
                  <w:sdtPr>
                    <w:tag w:val="_PLD_5956406fbb5b47029f2bca13fce9359e"/>
                    <w:id w:val="921753000"/>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77E3DC9A" w14:textId="77777777" w:rsidR="007E7472" w:rsidRDefault="00EC1269">
                        <w:pPr>
                          <w:ind w:left="-19"/>
                          <w:rPr>
                            <w:color w:val="000000"/>
                          </w:rPr>
                        </w:pPr>
                        <w:r>
                          <w:rPr>
                            <w:rFonts w:hint="eastAsia"/>
                          </w:rPr>
                          <w:t>三、利润总额（亏损总额以“－”号填列）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7B92EC97" w14:textId="77777777" w:rsidR="007E7472" w:rsidRDefault="00C8327E"/>
                </w:tc>
                <w:tc>
                  <w:tcPr>
                    <w:tcW w:w="1110" w:type="pct"/>
                    <w:tcBorders>
                      <w:top w:val="outset" w:sz="4" w:space="0" w:color="auto"/>
                      <w:left w:val="outset" w:sz="4" w:space="0" w:color="auto"/>
                      <w:bottom w:val="outset" w:sz="4" w:space="0" w:color="auto"/>
                      <w:right w:val="outset" w:sz="4" w:space="0" w:color="auto"/>
                    </w:tcBorders>
                    <w:vAlign w:val="center"/>
                  </w:tcPr>
                  <w:p w14:paraId="4E8B4561" w14:textId="77777777" w:rsidR="007E7472" w:rsidRDefault="00EC1269">
                    <w:pPr>
                      <w:jc w:val="right"/>
                    </w:pPr>
                    <w:r>
                      <w:rPr>
                        <w:rFonts w:hint="eastAsia"/>
                      </w:rPr>
                      <w:t>9,14</w:t>
                    </w:r>
                    <w:r>
                      <w:t>2</w:t>
                    </w:r>
                    <w:r>
                      <w:rPr>
                        <w:rFonts w:hint="eastAsia"/>
                      </w:rPr>
                      <w:t>,</w:t>
                    </w:r>
                    <w:r>
                      <w:t>921</w:t>
                    </w:r>
                  </w:p>
                </w:tc>
                <w:tc>
                  <w:tcPr>
                    <w:tcW w:w="1114" w:type="pct"/>
                    <w:tcBorders>
                      <w:top w:val="outset" w:sz="4" w:space="0" w:color="auto"/>
                      <w:left w:val="outset" w:sz="4" w:space="0" w:color="auto"/>
                      <w:bottom w:val="outset" w:sz="4" w:space="0" w:color="auto"/>
                      <w:right w:val="outset" w:sz="4" w:space="0" w:color="auto"/>
                    </w:tcBorders>
                    <w:vAlign w:val="center"/>
                  </w:tcPr>
                  <w:p w14:paraId="4FF18310" w14:textId="77777777" w:rsidR="007E7472" w:rsidRDefault="00EC1269">
                    <w:pPr>
                      <w:jc w:val="right"/>
                    </w:pPr>
                    <w:r>
                      <w:rPr>
                        <w:rFonts w:hint="eastAsia"/>
                      </w:rPr>
                      <w:t>11,745,884</w:t>
                    </w:r>
                  </w:p>
                </w:tc>
              </w:tr>
              <w:tr w:rsidR="007E7472" w14:paraId="16108598" w14:textId="77777777">
                <w:sdt>
                  <w:sdtPr>
                    <w:tag w:val="_PLD_6de0aad305fe4960b4c088f68ada351b"/>
                    <w:id w:val="-2525756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030A2EB7" w14:textId="77777777" w:rsidR="007E7472" w:rsidRDefault="00EC1269">
                        <w:pPr>
                          <w:ind w:left="-19" w:firstLineChars="200" w:firstLine="420"/>
                          <w:rPr>
                            <w:color w:val="000000"/>
                          </w:rPr>
                        </w:pPr>
                        <w:r>
                          <w:rPr>
                            <w:rFonts w:hint="eastAsia"/>
                          </w:rPr>
                          <w:t>减：所得税费用</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38AEC89F" w14:textId="77777777" w:rsidR="007E7472" w:rsidRDefault="00C8327E"/>
                </w:tc>
                <w:tc>
                  <w:tcPr>
                    <w:tcW w:w="1110" w:type="pct"/>
                    <w:tcBorders>
                      <w:top w:val="outset" w:sz="4" w:space="0" w:color="auto"/>
                      <w:left w:val="outset" w:sz="4" w:space="0" w:color="auto"/>
                      <w:bottom w:val="outset" w:sz="4" w:space="0" w:color="auto"/>
                      <w:right w:val="outset" w:sz="4" w:space="0" w:color="auto"/>
                    </w:tcBorders>
                    <w:vAlign w:val="center"/>
                  </w:tcPr>
                  <w:p w14:paraId="245340B3" w14:textId="77777777" w:rsidR="007E7472" w:rsidRDefault="00EC1269">
                    <w:pPr>
                      <w:jc w:val="right"/>
                    </w:pPr>
                    <w:r>
                      <w:rPr>
                        <w:rFonts w:hint="eastAsia"/>
                      </w:rPr>
                      <w:t>1,033,035</w:t>
                    </w:r>
                  </w:p>
                </w:tc>
                <w:tc>
                  <w:tcPr>
                    <w:tcW w:w="1114" w:type="pct"/>
                    <w:tcBorders>
                      <w:top w:val="outset" w:sz="4" w:space="0" w:color="auto"/>
                      <w:left w:val="outset" w:sz="4" w:space="0" w:color="auto"/>
                      <w:bottom w:val="outset" w:sz="4" w:space="0" w:color="auto"/>
                      <w:right w:val="outset" w:sz="4" w:space="0" w:color="auto"/>
                    </w:tcBorders>
                    <w:vAlign w:val="center"/>
                  </w:tcPr>
                  <w:p w14:paraId="28E5E1B4" w14:textId="77777777" w:rsidR="007E7472" w:rsidRDefault="00EC1269">
                    <w:pPr>
                      <w:jc w:val="right"/>
                    </w:pPr>
                    <w:r>
                      <w:rPr>
                        <w:rFonts w:hint="eastAsia"/>
                      </w:rPr>
                      <w:t>2,367,75</w:t>
                    </w:r>
                    <w:r>
                      <w:t>5</w:t>
                    </w:r>
                  </w:p>
                </w:tc>
              </w:tr>
              <w:tr w:rsidR="007E7472" w14:paraId="4F0372A7" w14:textId="77777777">
                <w:sdt>
                  <w:sdtPr>
                    <w:tag w:val="_PLD_7ab8a9f66eb1439ab50e43a032c9541e"/>
                    <w:id w:val="-2472271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12E1CB79" w14:textId="77777777" w:rsidR="007E7472" w:rsidRDefault="00EC1269">
                        <w:pPr>
                          <w:ind w:left="-19"/>
                          <w:rPr>
                            <w:color w:val="000000"/>
                          </w:rPr>
                        </w:pPr>
                        <w:r>
                          <w:rPr>
                            <w:rFonts w:hint="eastAsia"/>
                          </w:rPr>
                          <w:t>四、净利润（净亏损以“－”号填列）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7B479DB8" w14:textId="77777777" w:rsidR="007E7472" w:rsidRDefault="00C8327E"/>
                </w:tc>
                <w:tc>
                  <w:tcPr>
                    <w:tcW w:w="1110" w:type="pct"/>
                    <w:tcBorders>
                      <w:top w:val="outset" w:sz="4" w:space="0" w:color="auto"/>
                      <w:left w:val="outset" w:sz="4" w:space="0" w:color="auto"/>
                      <w:bottom w:val="outset" w:sz="4" w:space="0" w:color="auto"/>
                      <w:right w:val="outset" w:sz="4" w:space="0" w:color="auto"/>
                    </w:tcBorders>
                    <w:vAlign w:val="center"/>
                  </w:tcPr>
                  <w:p w14:paraId="057AA7F7" w14:textId="77777777" w:rsidR="007E7472" w:rsidRDefault="00EC1269">
                    <w:pPr>
                      <w:jc w:val="right"/>
                    </w:pPr>
                    <w:r>
                      <w:t>8,109,886</w:t>
                    </w:r>
                  </w:p>
                </w:tc>
                <w:tc>
                  <w:tcPr>
                    <w:tcW w:w="1114" w:type="pct"/>
                    <w:tcBorders>
                      <w:top w:val="outset" w:sz="4" w:space="0" w:color="auto"/>
                      <w:left w:val="outset" w:sz="4" w:space="0" w:color="auto"/>
                      <w:bottom w:val="outset" w:sz="4" w:space="0" w:color="auto"/>
                      <w:right w:val="outset" w:sz="4" w:space="0" w:color="auto"/>
                    </w:tcBorders>
                    <w:vAlign w:val="center"/>
                  </w:tcPr>
                  <w:p w14:paraId="4D8A559E" w14:textId="77777777" w:rsidR="007E7472" w:rsidRDefault="00EC1269">
                    <w:pPr>
                      <w:jc w:val="right"/>
                    </w:pPr>
                    <w:r>
                      <w:t>9,378,129</w:t>
                    </w:r>
                  </w:p>
                </w:tc>
              </w:tr>
              <w:tr w:rsidR="007E7472" w14:paraId="2A0C9579" w14:textId="77777777">
                <w:sdt>
                  <w:sdtPr>
                    <w:tag w:val="_PLD_289ca01a050e4d34aae7f623dfff6058"/>
                    <w:id w:val="17793754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52524BDB" w14:textId="77777777" w:rsidR="007E7472" w:rsidRDefault="00EC1269">
                        <w:pPr>
                          <w:ind w:firstLineChars="108" w:firstLine="227"/>
                        </w:pPr>
                        <w:r>
                          <w:rPr>
                            <w:rFonts w:hint="eastAsia"/>
                          </w:rPr>
                          <w:t>（一）</w:t>
                        </w:r>
                        <w:r>
                          <w:t>持续经营净利润（净亏损以“－”号填列）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3A34EC92" w14:textId="77777777" w:rsidR="007E7472" w:rsidRDefault="00C8327E"/>
                </w:tc>
                <w:tc>
                  <w:tcPr>
                    <w:tcW w:w="1110" w:type="pct"/>
                    <w:tcBorders>
                      <w:top w:val="outset" w:sz="4" w:space="0" w:color="auto"/>
                      <w:left w:val="outset" w:sz="4" w:space="0" w:color="auto"/>
                      <w:bottom w:val="outset" w:sz="4" w:space="0" w:color="auto"/>
                      <w:right w:val="outset" w:sz="4" w:space="0" w:color="auto"/>
                    </w:tcBorders>
                    <w:vAlign w:val="center"/>
                  </w:tcPr>
                  <w:p w14:paraId="1B6478FB" w14:textId="77777777" w:rsidR="007E7472" w:rsidRDefault="00C8327E">
                    <w:pPr>
                      <w:jc w:val="right"/>
                    </w:pPr>
                  </w:p>
                </w:tc>
                <w:tc>
                  <w:tcPr>
                    <w:tcW w:w="1114" w:type="pct"/>
                    <w:tcBorders>
                      <w:top w:val="outset" w:sz="4" w:space="0" w:color="auto"/>
                      <w:left w:val="outset" w:sz="4" w:space="0" w:color="auto"/>
                      <w:bottom w:val="outset" w:sz="4" w:space="0" w:color="auto"/>
                      <w:right w:val="outset" w:sz="4" w:space="0" w:color="auto"/>
                    </w:tcBorders>
                    <w:vAlign w:val="center"/>
                  </w:tcPr>
                  <w:p w14:paraId="7881E3C9" w14:textId="77777777" w:rsidR="007E7472" w:rsidRDefault="00C8327E">
                    <w:pPr>
                      <w:jc w:val="right"/>
                    </w:pPr>
                  </w:p>
                </w:tc>
              </w:tr>
              <w:tr w:rsidR="007E7472" w14:paraId="4FB51E14" w14:textId="77777777">
                <w:sdt>
                  <w:sdtPr>
                    <w:tag w:val="_PLD_289ca01a050e4d34aae7f623dfff6058"/>
                    <w:id w:val="27059586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3FCF1BBF" w14:textId="77777777" w:rsidR="007E7472" w:rsidRDefault="00EC1269">
                        <w:pPr>
                          <w:ind w:firstLineChars="108" w:firstLine="227"/>
                        </w:pPr>
                        <w:r>
                          <w:rPr>
                            <w:rFonts w:hint="eastAsia"/>
                          </w:rPr>
                          <w:t>1</w:t>
                        </w:r>
                        <w:r>
                          <w:t>.持续经营净利润（净亏损以“－”号填列）</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07685198" w14:textId="77777777" w:rsidR="007E7472" w:rsidRDefault="00C8327E"/>
                </w:tc>
                <w:tc>
                  <w:tcPr>
                    <w:tcW w:w="1110" w:type="pct"/>
                    <w:tcBorders>
                      <w:top w:val="outset" w:sz="4" w:space="0" w:color="auto"/>
                      <w:left w:val="outset" w:sz="4" w:space="0" w:color="auto"/>
                      <w:bottom w:val="outset" w:sz="4" w:space="0" w:color="auto"/>
                      <w:right w:val="outset" w:sz="4" w:space="0" w:color="auto"/>
                    </w:tcBorders>
                    <w:vAlign w:val="center"/>
                  </w:tcPr>
                  <w:p w14:paraId="480EFA94" w14:textId="77777777" w:rsidR="007E7472" w:rsidRDefault="00EC1269">
                    <w:pPr>
                      <w:jc w:val="right"/>
                    </w:pPr>
                    <w:r>
                      <w:t>8,109,886</w:t>
                    </w:r>
                  </w:p>
                </w:tc>
                <w:tc>
                  <w:tcPr>
                    <w:tcW w:w="1114" w:type="pct"/>
                    <w:tcBorders>
                      <w:top w:val="outset" w:sz="4" w:space="0" w:color="auto"/>
                      <w:left w:val="outset" w:sz="4" w:space="0" w:color="auto"/>
                      <w:bottom w:val="outset" w:sz="4" w:space="0" w:color="auto"/>
                      <w:right w:val="outset" w:sz="4" w:space="0" w:color="auto"/>
                    </w:tcBorders>
                    <w:vAlign w:val="center"/>
                  </w:tcPr>
                  <w:p w14:paraId="01AFC8C0" w14:textId="77777777" w:rsidR="007E7472" w:rsidRDefault="00EC1269">
                    <w:pPr>
                      <w:jc w:val="right"/>
                    </w:pPr>
                    <w:r>
                      <w:t>9,378,129</w:t>
                    </w:r>
                  </w:p>
                </w:tc>
              </w:tr>
              <w:tr w:rsidR="007E7472" w14:paraId="6C2B379A" w14:textId="77777777">
                <w:sdt>
                  <w:sdtPr>
                    <w:rPr>
                      <w:rFonts w:hint="eastAsia"/>
                    </w:rPr>
                    <w:tag w:val="_PLD_3b2e8ef21ec246eaabe42c7024d8ce19"/>
                    <w:id w:val="211802140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724FC52C" w14:textId="77777777" w:rsidR="007E7472" w:rsidRDefault="00EC1269">
                        <w:pPr>
                          <w:ind w:firstLineChars="108" w:firstLine="227"/>
                        </w:pPr>
                        <w:r>
                          <w:rPr>
                            <w:rFonts w:hint="eastAsia"/>
                          </w:rPr>
                          <w:t>2</w:t>
                        </w:r>
                        <w:r>
                          <w:t>.</w:t>
                        </w:r>
                        <w:r>
                          <w:rPr>
                            <w:rFonts w:hint="eastAsia"/>
                          </w:rPr>
                          <w:t>终止经营净利润（净亏损以“－”号填列）</w:t>
                        </w:r>
                      </w:p>
                    </w:tc>
                  </w:sdtContent>
                </w:sdt>
                <w:tc>
                  <w:tcPr>
                    <w:tcW w:w="838" w:type="pct"/>
                    <w:tcBorders>
                      <w:top w:val="outset" w:sz="4" w:space="0" w:color="auto"/>
                      <w:left w:val="outset" w:sz="4" w:space="0" w:color="auto"/>
                      <w:bottom w:val="outset" w:sz="4" w:space="0" w:color="auto"/>
                      <w:right w:val="outset" w:sz="4" w:space="0" w:color="auto"/>
                    </w:tcBorders>
                  </w:tcPr>
                  <w:p w14:paraId="794C2D01" w14:textId="77777777" w:rsidR="007E7472" w:rsidRDefault="00C8327E"/>
                </w:tc>
                <w:tc>
                  <w:tcPr>
                    <w:tcW w:w="1110" w:type="pct"/>
                    <w:tcBorders>
                      <w:top w:val="outset" w:sz="4" w:space="0" w:color="auto"/>
                      <w:left w:val="outset" w:sz="4" w:space="0" w:color="auto"/>
                      <w:bottom w:val="outset" w:sz="4" w:space="0" w:color="auto"/>
                      <w:right w:val="outset" w:sz="4" w:space="0" w:color="auto"/>
                    </w:tcBorders>
                  </w:tcPr>
                  <w:p w14:paraId="7A6781A9" w14:textId="77777777" w:rsidR="007E7472" w:rsidRDefault="00C8327E">
                    <w:pPr>
                      <w:jc w:val="right"/>
                    </w:pPr>
                  </w:p>
                </w:tc>
                <w:tc>
                  <w:tcPr>
                    <w:tcW w:w="1114" w:type="pct"/>
                    <w:tcBorders>
                      <w:top w:val="outset" w:sz="4" w:space="0" w:color="auto"/>
                      <w:left w:val="outset" w:sz="4" w:space="0" w:color="auto"/>
                      <w:bottom w:val="outset" w:sz="4" w:space="0" w:color="auto"/>
                      <w:right w:val="outset" w:sz="4" w:space="0" w:color="auto"/>
                    </w:tcBorders>
                  </w:tcPr>
                  <w:p w14:paraId="6FE62BCD" w14:textId="77777777" w:rsidR="007E7472" w:rsidRDefault="00C8327E">
                    <w:pPr>
                      <w:jc w:val="right"/>
                    </w:pPr>
                  </w:p>
                </w:tc>
              </w:tr>
              <w:sdt>
                <w:sdtPr>
                  <w:rPr>
                    <w:rFonts w:asciiTheme="minorHAnsi" w:eastAsiaTheme="minorEastAsia" w:hAnsiTheme="minorHAnsi" w:cstheme="minorBidi"/>
                    <w:kern w:val="2"/>
                    <w:szCs w:val="22"/>
                  </w:rPr>
                  <w:alias w:val="（二）按所有权归属分类："/>
                  <w:tag w:val="_TUP_258b3ecc090141728c826dd157b25b37"/>
                  <w:id w:val="-399210564"/>
                  <w:lock w:val="sdtLocked"/>
                </w:sdtPr>
                <w:sdtEndPr/>
                <w:sdtContent>
                  <w:tr w:rsidR="007E7472" w14:paraId="596A77C7" w14:textId="77777777">
                    <w:sdt>
                      <w:sdtPr>
                        <w:rPr>
                          <w:rFonts w:asciiTheme="minorHAnsi" w:eastAsiaTheme="minorEastAsia" w:hAnsiTheme="minorHAnsi" w:cstheme="minorBidi"/>
                          <w:kern w:val="2"/>
                          <w:szCs w:val="22"/>
                        </w:rPr>
                        <w:alias w:val="（二）按所有权归属分类："/>
                        <w:tag w:val="_GBC_8c1d1a410fcb46d69f84aa2c72faac23"/>
                        <w:id w:val="-824203313"/>
                        <w:lock w:val="sdtLocked"/>
                      </w:sdtPr>
                      <w:sdtEndPr>
                        <w:rPr>
                          <w:rFonts w:ascii="Times New Roman" w:eastAsia="宋体" w:hAnsi="Times New Roman" w:cs="Times New Roman" w:hint="eastAsia"/>
                          <w:kern w:val="0"/>
                          <w:sz w:val="20"/>
                          <w:szCs w:val="20"/>
                        </w:r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510110F2" w14:textId="77777777" w:rsidR="007E7472" w:rsidRDefault="00EC1269">
                            <w:pPr>
                              <w:ind w:firstLineChars="108" w:firstLine="227"/>
                            </w:pPr>
                            <w:r>
                              <w:rPr>
                                <w:rFonts w:hint="eastAsia"/>
                              </w:rPr>
                              <w:t>（二）按所有权归属分类：</w:t>
                            </w:r>
                          </w:p>
                        </w:tc>
                      </w:sdtContent>
                    </w:sdt>
                    <w:sdt>
                      <w:sdtPr>
                        <w:tag w:val="_GBC_f816896433fe430192b65c24952bea06"/>
                        <w:id w:val="296264699"/>
                        <w:lock w:val="sdtLocked"/>
                      </w:sdtPr>
                      <w:sdtEndPr/>
                      <w:sdtContent>
                        <w:tc>
                          <w:tcPr>
                            <w:tcW w:w="838" w:type="pct"/>
                            <w:tcBorders>
                              <w:top w:val="outset" w:sz="4" w:space="0" w:color="auto"/>
                              <w:left w:val="outset" w:sz="4" w:space="0" w:color="auto"/>
                              <w:bottom w:val="outset" w:sz="4" w:space="0" w:color="auto"/>
                              <w:right w:val="outset" w:sz="4" w:space="0" w:color="auto"/>
                            </w:tcBorders>
                          </w:tcPr>
                          <w:p w14:paraId="30F3F373" w14:textId="77777777" w:rsidR="007E7472" w:rsidRDefault="00C8327E"/>
                        </w:tc>
                      </w:sdtContent>
                    </w:sdt>
                    <w:sdt>
                      <w:sdtPr>
                        <w:tag w:val="_GBC_b6117a1c7eaf44958a5e1a49275c063f"/>
                        <w:id w:val="983895121"/>
                        <w:lock w:val="sdtLocked"/>
                      </w:sdtPr>
                      <w:sdtEndPr/>
                      <w:sdtContent>
                        <w:tc>
                          <w:tcPr>
                            <w:tcW w:w="1110" w:type="pct"/>
                            <w:tcBorders>
                              <w:top w:val="outset" w:sz="4" w:space="0" w:color="auto"/>
                              <w:left w:val="outset" w:sz="4" w:space="0" w:color="auto"/>
                              <w:bottom w:val="outset" w:sz="4" w:space="0" w:color="auto"/>
                              <w:right w:val="outset" w:sz="4" w:space="0" w:color="auto"/>
                            </w:tcBorders>
                          </w:tcPr>
                          <w:p w14:paraId="19CF4CF6" w14:textId="77777777" w:rsidR="007E7472" w:rsidRDefault="00C8327E">
                            <w:pPr>
                              <w:jc w:val="right"/>
                            </w:pPr>
                          </w:p>
                        </w:tc>
                      </w:sdtContent>
                    </w:sdt>
                    <w:sdt>
                      <w:sdtPr>
                        <w:tag w:val="_GBC_d8a959fb75a047bdb0fd56fdae9b79ea"/>
                        <w:id w:val="-1126230904"/>
                        <w:lock w:val="sdtLocked"/>
                      </w:sdtPr>
                      <w:sdtEndPr/>
                      <w:sdtContent>
                        <w:tc>
                          <w:tcPr>
                            <w:tcW w:w="1114" w:type="pct"/>
                            <w:tcBorders>
                              <w:top w:val="outset" w:sz="4" w:space="0" w:color="auto"/>
                              <w:left w:val="outset" w:sz="4" w:space="0" w:color="auto"/>
                              <w:bottom w:val="outset" w:sz="4" w:space="0" w:color="auto"/>
                              <w:right w:val="outset" w:sz="4" w:space="0" w:color="auto"/>
                            </w:tcBorders>
                          </w:tcPr>
                          <w:p w14:paraId="40C8261A" w14:textId="77777777" w:rsidR="007E7472" w:rsidRDefault="00C8327E">
                            <w:pPr>
                              <w:jc w:val="right"/>
                            </w:pPr>
                          </w:p>
                        </w:tc>
                      </w:sdtContent>
                    </w:sdt>
                  </w:tr>
                </w:sdtContent>
              </w:sdt>
              <w:tr w:rsidR="007E7472" w14:paraId="4ABB5B70" w14:textId="77777777">
                <w:tc>
                  <w:tcPr>
                    <w:tcW w:w="1938" w:type="pct"/>
                    <w:tcBorders>
                      <w:top w:val="outset" w:sz="4" w:space="0" w:color="auto"/>
                      <w:left w:val="outset" w:sz="4" w:space="0" w:color="auto"/>
                      <w:bottom w:val="outset" w:sz="4" w:space="0" w:color="auto"/>
                      <w:right w:val="outset" w:sz="4" w:space="0" w:color="auto"/>
                    </w:tcBorders>
                    <w:vAlign w:val="center"/>
                  </w:tcPr>
                  <w:p w14:paraId="6482004E" w14:textId="77777777" w:rsidR="007E7472" w:rsidRDefault="00EC1269">
                    <w:pPr>
                      <w:ind w:firstLineChars="108" w:firstLine="227"/>
                    </w:pPr>
                    <w:r>
                      <w:t>1.</w:t>
                    </w:r>
                    <w:sdt>
                      <w:sdtPr>
                        <w:tag w:val="_PLD_cad1b25bd15c4280bb7965cf20d171e0"/>
                        <w:id w:val="-1707863892"/>
                        <w:lock w:val="sdtLocked"/>
                      </w:sdtPr>
                      <w:sdtEndPr>
                        <w:rPr>
                          <w:rFonts w:hint="eastAsia"/>
                        </w:rPr>
                      </w:sdtEndPr>
                      <w:sdtContent>
                        <w:r>
                          <w:t>归属于母公司股东的净利润</w:t>
                        </w:r>
                      </w:sdtContent>
                    </w:sdt>
                  </w:p>
                </w:tc>
                <w:sdt>
                  <w:sdtPr>
                    <w:alias w:val="附注_归属于母公司所有者的净利润"/>
                    <w:tag w:val="_GBC_e39591441a5e465ea816f58e5025c0ff"/>
                    <w:id w:val="-718359437"/>
                    <w:lock w:val="sdtLocked"/>
                    <w:showingPlcHdr/>
                  </w:sdtPr>
                  <w:sdtEndPr/>
                  <w:sdtContent>
                    <w:tc>
                      <w:tcPr>
                        <w:tcW w:w="838" w:type="pct"/>
                        <w:tcBorders>
                          <w:top w:val="outset" w:sz="4" w:space="0" w:color="auto"/>
                          <w:left w:val="outset" w:sz="4" w:space="0" w:color="auto"/>
                          <w:bottom w:val="outset" w:sz="4" w:space="0" w:color="auto"/>
                          <w:right w:val="outset" w:sz="4" w:space="0" w:color="auto"/>
                        </w:tcBorders>
                      </w:tcPr>
                      <w:p w14:paraId="6A52A991" w14:textId="77777777" w:rsidR="007E7472" w:rsidRDefault="00EC1269">
                        <w:r>
                          <w:t xml:space="preserve">　</w:t>
                        </w:r>
                      </w:p>
                    </w:tc>
                  </w:sdtContent>
                </w:sdt>
                <w:sdt>
                  <w:sdtPr>
                    <w:alias w:val="归属于母公司所有者的净利润"/>
                    <w:tag w:val="_GBC_67542606483f47ca822a386f08e2a427"/>
                    <w:id w:val="250859853"/>
                    <w:lock w:val="sdtLocked"/>
                  </w:sdtPr>
                  <w:sdtEndPr/>
                  <w:sdtContent>
                    <w:tc>
                      <w:tcPr>
                        <w:tcW w:w="1110" w:type="pct"/>
                        <w:tcBorders>
                          <w:top w:val="outset" w:sz="4" w:space="0" w:color="auto"/>
                          <w:left w:val="outset" w:sz="4" w:space="0" w:color="auto"/>
                          <w:bottom w:val="outset" w:sz="4" w:space="0" w:color="auto"/>
                          <w:right w:val="outset" w:sz="4" w:space="0" w:color="auto"/>
                        </w:tcBorders>
                      </w:tcPr>
                      <w:p w14:paraId="00401BD6" w14:textId="77777777" w:rsidR="007E7472" w:rsidRDefault="00EC1269">
                        <w:pPr>
                          <w:jc w:val="right"/>
                        </w:pPr>
                        <w:r>
                          <w:t>7,903,131</w:t>
                        </w:r>
                      </w:p>
                    </w:tc>
                  </w:sdtContent>
                </w:sdt>
                <w:sdt>
                  <w:sdtPr>
                    <w:alias w:val="归属于母公司所有者的净利润"/>
                    <w:tag w:val="_GBC_bd18de9e9a1a495aa4c1983d287ef2c2"/>
                    <w:id w:val="-282575110"/>
                    <w:lock w:val="sdtLocked"/>
                  </w:sdtPr>
                  <w:sdtEndPr/>
                  <w:sdtContent>
                    <w:tc>
                      <w:tcPr>
                        <w:tcW w:w="1114" w:type="pct"/>
                        <w:tcBorders>
                          <w:top w:val="outset" w:sz="4" w:space="0" w:color="auto"/>
                          <w:left w:val="outset" w:sz="4" w:space="0" w:color="auto"/>
                          <w:bottom w:val="outset" w:sz="4" w:space="0" w:color="auto"/>
                          <w:right w:val="outset" w:sz="4" w:space="0" w:color="auto"/>
                        </w:tcBorders>
                      </w:tcPr>
                      <w:p w14:paraId="36789365" w14:textId="77777777" w:rsidR="007E7472" w:rsidRDefault="00EC1269">
                        <w:pPr>
                          <w:jc w:val="right"/>
                        </w:pPr>
                        <w:r>
                          <w:t>9,201,202</w:t>
                        </w:r>
                      </w:p>
                    </w:tc>
                  </w:sdtContent>
                </w:sdt>
              </w:tr>
              <w:sdt>
                <w:sdtPr>
                  <w:rPr>
                    <w:rFonts w:asciiTheme="minorHAnsi" w:eastAsiaTheme="minorEastAsia" w:hAnsiTheme="minorHAnsi" w:cstheme="minorBidi"/>
                    <w:kern w:val="2"/>
                    <w:szCs w:val="22"/>
                  </w:rPr>
                  <w:alias w:val="2.归属于母公司其他权益工具持有者的净利润"/>
                  <w:tag w:val="_TUP_abce679e8f0c4bb5a5a12924ab455633"/>
                  <w:id w:val="-561487441"/>
                  <w:lock w:val="sdtLocked"/>
                </w:sdtPr>
                <w:sdtEndPr/>
                <w:sdtContent>
                  <w:tr w:rsidR="007E7472" w14:paraId="45DC46F0" w14:textId="77777777">
                    <w:tc>
                      <w:tcPr>
                        <w:tcW w:w="1938" w:type="pct"/>
                        <w:tcBorders>
                          <w:top w:val="outset" w:sz="4" w:space="0" w:color="auto"/>
                          <w:left w:val="outset" w:sz="4" w:space="0" w:color="auto"/>
                          <w:bottom w:val="outset" w:sz="4" w:space="0" w:color="auto"/>
                          <w:right w:val="outset" w:sz="4" w:space="0" w:color="auto"/>
                        </w:tcBorders>
                        <w:vAlign w:val="center"/>
                      </w:tcPr>
                      <w:p w14:paraId="10AFC66F" w14:textId="77777777" w:rsidR="007E7472" w:rsidRDefault="00C8327E">
                        <w:pPr>
                          <w:ind w:firstLineChars="108" w:firstLine="227"/>
                        </w:pPr>
                        <w:sdt>
                          <w:sdtPr>
                            <w:alias w:val="2.归属于母公司其他权益工具持有者的净利润"/>
                            <w:tag w:val="_GBC_27f34a0ef7b147b2b47d2802c8e3a3b8"/>
                            <w:id w:val="1544863007"/>
                            <w:lock w:val="sdtLocked"/>
                          </w:sdtPr>
                          <w:sdtEndPr>
                            <w:rPr>
                              <w:rFonts w:hint="eastAsia"/>
                            </w:rPr>
                          </w:sdtEndPr>
                          <w:sdtContent>
                            <w:r w:rsidR="00EC1269">
                              <w:t>2.归属于母公司其他权益工具持有者的净利润</w:t>
                            </w:r>
                          </w:sdtContent>
                        </w:sdt>
                      </w:p>
                    </w:tc>
                    <w:sdt>
                      <w:sdtPr>
                        <w:tag w:val="_GBC_98af661fe1bb4cdca46b69c36b6dc3ec"/>
                        <w:id w:val="-1501271928"/>
                        <w:lock w:val="sdtLocked"/>
                        <w:showingPlcHdr/>
                      </w:sdtPr>
                      <w:sdtEndPr/>
                      <w:sdtContent>
                        <w:tc>
                          <w:tcPr>
                            <w:tcW w:w="838" w:type="pct"/>
                            <w:tcBorders>
                              <w:top w:val="outset" w:sz="4" w:space="0" w:color="auto"/>
                              <w:left w:val="outset" w:sz="4" w:space="0" w:color="auto"/>
                              <w:bottom w:val="outset" w:sz="4" w:space="0" w:color="auto"/>
                              <w:right w:val="outset" w:sz="4" w:space="0" w:color="auto"/>
                            </w:tcBorders>
                          </w:tcPr>
                          <w:p w14:paraId="425C55A2" w14:textId="77777777" w:rsidR="007E7472" w:rsidRDefault="00EC1269">
                            <w:r>
                              <w:t xml:space="preserve">　</w:t>
                            </w:r>
                          </w:p>
                        </w:tc>
                      </w:sdtContent>
                    </w:sdt>
                    <w:sdt>
                      <w:sdtPr>
                        <w:tag w:val="_GBC_bca3565ea3f948559fc53f6545e5ca1d"/>
                        <w:id w:val="-2005657518"/>
                        <w:lock w:val="sdtLocked"/>
                      </w:sdtPr>
                      <w:sdtEndPr/>
                      <w:sdtContent>
                        <w:tc>
                          <w:tcPr>
                            <w:tcW w:w="1110" w:type="pct"/>
                            <w:tcBorders>
                              <w:top w:val="outset" w:sz="4" w:space="0" w:color="auto"/>
                              <w:left w:val="outset" w:sz="4" w:space="0" w:color="auto"/>
                              <w:bottom w:val="outset" w:sz="4" w:space="0" w:color="auto"/>
                              <w:right w:val="outset" w:sz="4" w:space="0" w:color="auto"/>
                            </w:tcBorders>
                          </w:tcPr>
                          <w:p w14:paraId="6B4E025D" w14:textId="77777777" w:rsidR="007E7472" w:rsidRDefault="00EC1269">
                            <w:pPr>
                              <w:jc w:val="right"/>
                            </w:pPr>
                            <w:r>
                              <w:t>206,755</w:t>
                            </w:r>
                          </w:p>
                        </w:tc>
                      </w:sdtContent>
                    </w:sdt>
                    <w:sdt>
                      <w:sdtPr>
                        <w:tag w:val="_GBC_377f54daad86418aa9bbc77e3ac4373c"/>
                        <w:id w:val="1104697254"/>
                        <w:lock w:val="sdtLocked"/>
                      </w:sdtPr>
                      <w:sdtEndPr/>
                      <w:sdtContent>
                        <w:tc>
                          <w:tcPr>
                            <w:tcW w:w="1114" w:type="pct"/>
                            <w:tcBorders>
                              <w:top w:val="outset" w:sz="4" w:space="0" w:color="auto"/>
                              <w:left w:val="outset" w:sz="4" w:space="0" w:color="auto"/>
                              <w:bottom w:val="outset" w:sz="4" w:space="0" w:color="auto"/>
                              <w:right w:val="outset" w:sz="4" w:space="0" w:color="auto"/>
                            </w:tcBorders>
                          </w:tcPr>
                          <w:p w14:paraId="2ABD93CF" w14:textId="77777777" w:rsidR="007E7472" w:rsidRDefault="00EC1269">
                            <w:pPr>
                              <w:jc w:val="right"/>
                            </w:pPr>
                            <w:r>
                              <w:t>176,927</w:t>
                            </w:r>
                          </w:p>
                        </w:tc>
                      </w:sdtContent>
                    </w:sdt>
                  </w:tr>
                </w:sdtContent>
              </w:sdt>
              <w:tr w:rsidR="007E7472" w14:paraId="574F4723" w14:textId="77777777">
                <w:sdt>
                  <w:sdtPr>
                    <w:tag w:val="_PLD_843a2fab84a848319e89b43f4f5f13af"/>
                    <w:id w:val="-81864786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2E9A3DC1" w14:textId="77777777" w:rsidR="007E7472" w:rsidRDefault="00EC1269">
                        <w:pPr>
                          <w:ind w:leftChars="-19" w:hangingChars="19" w:hanging="40"/>
                        </w:pPr>
                        <w:r>
                          <w:rPr>
                            <w:rFonts w:hint="eastAsia"/>
                          </w:rPr>
                          <w:t>五、其他综合收益的税后净额</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6E3FE369" w14:textId="77777777" w:rsidR="007E7472" w:rsidRDefault="00C8327E"/>
                </w:tc>
                <w:tc>
                  <w:tcPr>
                    <w:tcW w:w="1110" w:type="pct"/>
                    <w:tcBorders>
                      <w:top w:val="outset" w:sz="4" w:space="0" w:color="auto"/>
                      <w:left w:val="outset" w:sz="4" w:space="0" w:color="auto"/>
                      <w:bottom w:val="outset" w:sz="4" w:space="0" w:color="auto"/>
                      <w:right w:val="outset" w:sz="4" w:space="0" w:color="auto"/>
                    </w:tcBorders>
                    <w:vAlign w:val="center"/>
                  </w:tcPr>
                  <w:p w14:paraId="24042C3B" w14:textId="77777777" w:rsidR="007E7472" w:rsidRDefault="00EC1269">
                    <w:pPr>
                      <w:jc w:val="right"/>
                    </w:pPr>
                    <w:r>
                      <w:rPr>
                        <w:rFonts w:hint="eastAsia"/>
                      </w:rPr>
                      <w:t>56,998</w:t>
                    </w:r>
                  </w:p>
                </w:tc>
                <w:tc>
                  <w:tcPr>
                    <w:tcW w:w="1114" w:type="pct"/>
                    <w:tcBorders>
                      <w:top w:val="outset" w:sz="4" w:space="0" w:color="auto"/>
                      <w:left w:val="outset" w:sz="4" w:space="0" w:color="auto"/>
                      <w:bottom w:val="outset" w:sz="4" w:space="0" w:color="auto"/>
                      <w:right w:val="outset" w:sz="4" w:space="0" w:color="auto"/>
                    </w:tcBorders>
                    <w:vAlign w:val="center"/>
                  </w:tcPr>
                  <w:p w14:paraId="4F219B4A" w14:textId="77777777" w:rsidR="007E7472" w:rsidRDefault="00EC1269">
                    <w:pPr>
                      <w:jc w:val="right"/>
                    </w:pPr>
                    <w:r>
                      <w:rPr>
                        <w:rFonts w:hint="eastAsia"/>
                      </w:rPr>
                      <w:t>-12,67</w:t>
                    </w:r>
                    <w:r>
                      <w:t>5</w:t>
                    </w:r>
                  </w:p>
                </w:tc>
              </w:tr>
              <w:tr w:rsidR="007E7472" w14:paraId="2CCFAF2A" w14:textId="77777777">
                <w:sdt>
                  <w:sdtPr>
                    <w:tag w:val="_PLD_b8aa6d052de04d1a947a8cf96dde3fef"/>
                    <w:id w:val="-188449715"/>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17690114" w14:textId="77777777" w:rsidR="007E7472" w:rsidRDefault="00EC1269">
                        <w:pPr>
                          <w:ind w:firstLineChars="100" w:firstLine="210"/>
                        </w:pPr>
                        <w:r>
                          <w:rPr>
                            <w:rFonts w:hint="eastAsia"/>
                          </w:rPr>
                          <w:t>（一）不能重分类进损益的其他综合收益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325B1D4E" w14:textId="77777777" w:rsidR="007E7472" w:rsidRDefault="00C8327E"/>
                </w:tc>
                <w:tc>
                  <w:tcPr>
                    <w:tcW w:w="1110" w:type="pct"/>
                    <w:tcBorders>
                      <w:top w:val="outset" w:sz="4" w:space="0" w:color="auto"/>
                      <w:left w:val="outset" w:sz="4" w:space="0" w:color="auto"/>
                      <w:bottom w:val="outset" w:sz="4" w:space="0" w:color="auto"/>
                      <w:right w:val="outset" w:sz="4" w:space="0" w:color="auto"/>
                    </w:tcBorders>
                    <w:vAlign w:val="center"/>
                  </w:tcPr>
                  <w:p w14:paraId="6C800649" w14:textId="77777777" w:rsidR="007E7472" w:rsidRDefault="00EC1269">
                    <w:pPr>
                      <w:jc w:val="right"/>
                    </w:pPr>
                    <w:r>
                      <w:rPr>
                        <w:rFonts w:hint="eastAsia"/>
                      </w:rPr>
                      <w:t>-43</w:t>
                    </w:r>
                  </w:p>
                </w:tc>
                <w:tc>
                  <w:tcPr>
                    <w:tcW w:w="1114" w:type="pct"/>
                    <w:tcBorders>
                      <w:top w:val="outset" w:sz="4" w:space="0" w:color="auto"/>
                      <w:left w:val="outset" w:sz="4" w:space="0" w:color="auto"/>
                      <w:bottom w:val="outset" w:sz="4" w:space="0" w:color="auto"/>
                      <w:right w:val="outset" w:sz="4" w:space="0" w:color="auto"/>
                    </w:tcBorders>
                    <w:vAlign w:val="center"/>
                  </w:tcPr>
                  <w:p w14:paraId="067E0D44" w14:textId="77777777" w:rsidR="007E7472" w:rsidRDefault="00EC1269">
                    <w:pPr>
                      <w:jc w:val="right"/>
                    </w:pPr>
                    <w:r>
                      <w:rPr>
                        <w:rFonts w:hint="eastAsia"/>
                      </w:rPr>
                      <w:t>24</w:t>
                    </w:r>
                  </w:p>
                </w:tc>
              </w:tr>
              <w:tr w:rsidR="007E7472" w14:paraId="3420FA23" w14:textId="77777777">
                <w:sdt>
                  <w:sdtPr>
                    <w:tag w:val="_PLD_2f95025f3e0f4c69b258974fe8486517"/>
                    <w:id w:val="-3651862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367FA058" w14:textId="77777777" w:rsidR="007E7472" w:rsidRDefault="00EC1269">
                        <w:pPr>
                          <w:ind w:firstLineChars="200" w:firstLine="420"/>
                        </w:pPr>
                        <w:r>
                          <w:t>1.重新计量设定受益计划变动额</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593731C0" w14:textId="77777777" w:rsidR="007E7472" w:rsidRDefault="00C8327E"/>
                </w:tc>
                <w:tc>
                  <w:tcPr>
                    <w:tcW w:w="1110" w:type="pct"/>
                    <w:tcBorders>
                      <w:top w:val="outset" w:sz="4" w:space="0" w:color="auto"/>
                      <w:left w:val="outset" w:sz="4" w:space="0" w:color="auto"/>
                      <w:bottom w:val="outset" w:sz="4" w:space="0" w:color="auto"/>
                      <w:right w:val="outset" w:sz="4" w:space="0" w:color="auto"/>
                    </w:tcBorders>
                  </w:tcPr>
                  <w:p w14:paraId="357C6E2A" w14:textId="77777777" w:rsidR="007E7472" w:rsidRDefault="00C8327E">
                    <w:pPr>
                      <w:jc w:val="right"/>
                    </w:pPr>
                  </w:p>
                </w:tc>
                <w:tc>
                  <w:tcPr>
                    <w:tcW w:w="1114" w:type="pct"/>
                    <w:tcBorders>
                      <w:top w:val="outset" w:sz="4" w:space="0" w:color="auto"/>
                      <w:left w:val="outset" w:sz="4" w:space="0" w:color="auto"/>
                      <w:bottom w:val="outset" w:sz="4" w:space="0" w:color="auto"/>
                      <w:right w:val="outset" w:sz="4" w:space="0" w:color="auto"/>
                    </w:tcBorders>
                  </w:tcPr>
                  <w:p w14:paraId="019B0BD1" w14:textId="77777777" w:rsidR="007E7472" w:rsidRDefault="00C8327E">
                    <w:pPr>
                      <w:jc w:val="right"/>
                    </w:pPr>
                  </w:p>
                </w:tc>
              </w:tr>
              <w:tr w:rsidR="007E7472" w14:paraId="36D90A1F" w14:textId="77777777">
                <w:sdt>
                  <w:sdtPr>
                    <w:tag w:val="_PLD_a1dd2af1863b4e3d917020633c99734c"/>
                    <w:id w:val="285166224"/>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7028E6CE" w14:textId="77777777" w:rsidR="007E7472" w:rsidRDefault="00EC1269">
                        <w:pPr>
                          <w:ind w:firstLineChars="200" w:firstLine="420"/>
                        </w:pPr>
                        <w:r>
                          <w:t>2.权益法下不能转损益的其他综合收益</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6C2B6D39" w14:textId="77777777" w:rsidR="007E7472" w:rsidRDefault="00C8327E"/>
                </w:tc>
                <w:tc>
                  <w:tcPr>
                    <w:tcW w:w="1110" w:type="pct"/>
                    <w:tcBorders>
                      <w:top w:val="outset" w:sz="4" w:space="0" w:color="auto"/>
                      <w:left w:val="outset" w:sz="4" w:space="0" w:color="auto"/>
                      <w:bottom w:val="outset" w:sz="4" w:space="0" w:color="auto"/>
                      <w:right w:val="outset" w:sz="4" w:space="0" w:color="auto"/>
                    </w:tcBorders>
                  </w:tcPr>
                  <w:p w14:paraId="590A1A05" w14:textId="77777777" w:rsidR="007E7472" w:rsidRDefault="00C8327E">
                    <w:pPr>
                      <w:jc w:val="right"/>
                    </w:pPr>
                  </w:p>
                </w:tc>
                <w:tc>
                  <w:tcPr>
                    <w:tcW w:w="1114" w:type="pct"/>
                    <w:tcBorders>
                      <w:top w:val="outset" w:sz="4" w:space="0" w:color="auto"/>
                      <w:left w:val="outset" w:sz="4" w:space="0" w:color="auto"/>
                      <w:bottom w:val="outset" w:sz="4" w:space="0" w:color="auto"/>
                      <w:right w:val="outset" w:sz="4" w:space="0" w:color="auto"/>
                    </w:tcBorders>
                  </w:tcPr>
                  <w:p w14:paraId="73950476" w14:textId="77777777" w:rsidR="007E7472" w:rsidRDefault="00C8327E">
                    <w:pPr>
                      <w:jc w:val="right"/>
                    </w:pPr>
                  </w:p>
                </w:tc>
              </w:tr>
              <w:tr w:rsidR="007E7472" w14:paraId="629B4B8F" w14:textId="77777777">
                <w:tc>
                  <w:tcPr>
                    <w:tcW w:w="1938" w:type="pct"/>
                    <w:tcBorders>
                      <w:top w:val="outset" w:sz="4" w:space="0" w:color="auto"/>
                      <w:left w:val="outset" w:sz="4" w:space="0" w:color="auto"/>
                      <w:bottom w:val="outset" w:sz="4" w:space="0" w:color="auto"/>
                      <w:right w:val="outset" w:sz="4" w:space="0" w:color="auto"/>
                    </w:tcBorders>
                    <w:vAlign w:val="center"/>
                  </w:tcPr>
                  <w:sdt>
                    <w:sdtPr>
                      <w:tag w:val="_PLD_db2b7892b44f4f818af9a0a288171043"/>
                      <w:id w:val="-994187690"/>
                      <w:lock w:val="sdtLocked"/>
                    </w:sdtPr>
                    <w:sdtEndPr/>
                    <w:sdtContent>
                      <w:p w14:paraId="3F66066D" w14:textId="77777777" w:rsidR="007E7472" w:rsidRDefault="00EC1269">
                        <w:pPr>
                          <w:ind w:firstLineChars="200" w:firstLine="420"/>
                        </w:pPr>
                        <w:r>
                          <w:t>3.其他权益工具投资公允价值变动</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48116228" w14:textId="77777777" w:rsidR="007E7472" w:rsidRDefault="00C8327E"/>
                </w:tc>
                <w:tc>
                  <w:tcPr>
                    <w:tcW w:w="1110" w:type="pct"/>
                    <w:tcBorders>
                      <w:top w:val="outset" w:sz="4" w:space="0" w:color="auto"/>
                      <w:left w:val="outset" w:sz="4" w:space="0" w:color="auto"/>
                      <w:bottom w:val="outset" w:sz="4" w:space="0" w:color="auto"/>
                      <w:right w:val="outset" w:sz="4" w:space="0" w:color="auto"/>
                    </w:tcBorders>
                    <w:vAlign w:val="center"/>
                  </w:tcPr>
                  <w:p w14:paraId="5DEF7B36" w14:textId="77777777" w:rsidR="007E7472" w:rsidRDefault="00EC1269">
                    <w:pPr>
                      <w:jc w:val="right"/>
                    </w:pPr>
                    <w:r>
                      <w:rPr>
                        <w:rFonts w:hint="eastAsia"/>
                      </w:rPr>
                      <w:t>-43</w:t>
                    </w:r>
                  </w:p>
                </w:tc>
                <w:tc>
                  <w:tcPr>
                    <w:tcW w:w="1114" w:type="pct"/>
                    <w:tcBorders>
                      <w:top w:val="outset" w:sz="4" w:space="0" w:color="auto"/>
                      <w:left w:val="outset" w:sz="4" w:space="0" w:color="auto"/>
                      <w:bottom w:val="outset" w:sz="4" w:space="0" w:color="auto"/>
                      <w:right w:val="outset" w:sz="4" w:space="0" w:color="auto"/>
                    </w:tcBorders>
                    <w:vAlign w:val="center"/>
                  </w:tcPr>
                  <w:p w14:paraId="4756A8EC" w14:textId="77777777" w:rsidR="007E7472" w:rsidRDefault="00EC1269">
                    <w:pPr>
                      <w:jc w:val="right"/>
                    </w:pPr>
                    <w:r>
                      <w:rPr>
                        <w:rFonts w:hint="eastAsia"/>
                      </w:rPr>
                      <w:t>24</w:t>
                    </w:r>
                  </w:p>
                </w:tc>
              </w:tr>
              <w:tr w:rsidR="007E7472" w14:paraId="60DFFF04" w14:textId="77777777">
                <w:tc>
                  <w:tcPr>
                    <w:tcW w:w="1938" w:type="pct"/>
                    <w:tcBorders>
                      <w:top w:val="outset" w:sz="4" w:space="0" w:color="auto"/>
                      <w:left w:val="outset" w:sz="4" w:space="0" w:color="auto"/>
                      <w:bottom w:val="outset" w:sz="4" w:space="0" w:color="auto"/>
                      <w:right w:val="outset" w:sz="4" w:space="0" w:color="auto"/>
                    </w:tcBorders>
                    <w:vAlign w:val="center"/>
                  </w:tcPr>
                  <w:sdt>
                    <w:sdtPr>
                      <w:tag w:val="_PLD_2a0fa7e33fb34cd1bed8ba1525721e1e"/>
                      <w:id w:val="1676918186"/>
                      <w:lock w:val="sdtLocked"/>
                    </w:sdtPr>
                    <w:sdtEndPr/>
                    <w:sdtContent>
                      <w:p w14:paraId="7AAEA761" w14:textId="77777777" w:rsidR="007E7472" w:rsidRDefault="00EC1269">
                        <w:pPr>
                          <w:ind w:firstLineChars="200" w:firstLine="420"/>
                        </w:pPr>
                        <w:r>
                          <w:t>4.企业自身信用风险公允价值变动</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19582CCD" w14:textId="77777777" w:rsidR="007E7472" w:rsidRDefault="00C8327E"/>
                </w:tc>
                <w:tc>
                  <w:tcPr>
                    <w:tcW w:w="1110" w:type="pct"/>
                    <w:tcBorders>
                      <w:top w:val="outset" w:sz="4" w:space="0" w:color="auto"/>
                      <w:left w:val="outset" w:sz="4" w:space="0" w:color="auto"/>
                      <w:bottom w:val="outset" w:sz="4" w:space="0" w:color="auto"/>
                      <w:right w:val="outset" w:sz="4" w:space="0" w:color="auto"/>
                    </w:tcBorders>
                  </w:tcPr>
                  <w:p w14:paraId="66BB71FD" w14:textId="77777777" w:rsidR="007E7472" w:rsidRDefault="00C8327E">
                    <w:pPr>
                      <w:jc w:val="right"/>
                    </w:pPr>
                  </w:p>
                </w:tc>
                <w:tc>
                  <w:tcPr>
                    <w:tcW w:w="1114" w:type="pct"/>
                    <w:tcBorders>
                      <w:top w:val="outset" w:sz="4" w:space="0" w:color="auto"/>
                      <w:left w:val="outset" w:sz="4" w:space="0" w:color="auto"/>
                      <w:bottom w:val="outset" w:sz="4" w:space="0" w:color="auto"/>
                      <w:right w:val="outset" w:sz="4" w:space="0" w:color="auto"/>
                    </w:tcBorders>
                  </w:tcPr>
                  <w:p w14:paraId="4010D59F" w14:textId="77777777" w:rsidR="007E7472" w:rsidRDefault="00C8327E">
                    <w:pPr>
                      <w:jc w:val="right"/>
                    </w:pPr>
                  </w:p>
                </w:tc>
              </w:tr>
              <w:tr w:rsidR="007E7472" w14:paraId="4B183509" w14:textId="77777777">
                <w:sdt>
                  <w:sdtPr>
                    <w:tag w:val="_PLD_37e542b34b764230a84886c730eceb4b"/>
                    <w:id w:val="-1737314549"/>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0C471685" w14:textId="77777777" w:rsidR="007E7472" w:rsidRDefault="00EC1269">
                        <w:pPr>
                          <w:ind w:firstLineChars="100" w:firstLine="210"/>
                        </w:pPr>
                        <w:r>
                          <w:rPr>
                            <w:rFonts w:hint="eastAsia"/>
                          </w:rPr>
                          <w:t>（二）将重分类进损益的其他综合收益</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1E37AC88" w14:textId="77777777" w:rsidR="007E7472" w:rsidRDefault="00C8327E"/>
                </w:tc>
                <w:tc>
                  <w:tcPr>
                    <w:tcW w:w="1110" w:type="pct"/>
                    <w:tcBorders>
                      <w:top w:val="outset" w:sz="4" w:space="0" w:color="auto"/>
                      <w:left w:val="outset" w:sz="4" w:space="0" w:color="auto"/>
                      <w:bottom w:val="outset" w:sz="4" w:space="0" w:color="auto"/>
                      <w:right w:val="outset" w:sz="4" w:space="0" w:color="auto"/>
                    </w:tcBorders>
                    <w:vAlign w:val="center"/>
                  </w:tcPr>
                  <w:p w14:paraId="58E2AA6E" w14:textId="77777777" w:rsidR="007E7472" w:rsidRDefault="00EC1269">
                    <w:pPr>
                      <w:jc w:val="right"/>
                    </w:pPr>
                    <w:r>
                      <w:rPr>
                        <w:rFonts w:hint="eastAsia"/>
                      </w:rPr>
                      <w:t>57,041</w:t>
                    </w:r>
                  </w:p>
                </w:tc>
                <w:tc>
                  <w:tcPr>
                    <w:tcW w:w="1114" w:type="pct"/>
                    <w:tcBorders>
                      <w:top w:val="outset" w:sz="4" w:space="0" w:color="auto"/>
                      <w:left w:val="outset" w:sz="4" w:space="0" w:color="auto"/>
                      <w:bottom w:val="outset" w:sz="4" w:space="0" w:color="auto"/>
                      <w:right w:val="outset" w:sz="4" w:space="0" w:color="auto"/>
                    </w:tcBorders>
                    <w:vAlign w:val="center"/>
                  </w:tcPr>
                  <w:p w14:paraId="0AB133AD" w14:textId="77777777" w:rsidR="007E7472" w:rsidRDefault="00EC1269">
                    <w:pPr>
                      <w:jc w:val="right"/>
                    </w:pPr>
                    <w:r>
                      <w:rPr>
                        <w:rFonts w:hint="eastAsia"/>
                      </w:rPr>
                      <w:t>-12,</w:t>
                    </w:r>
                    <w:r>
                      <w:t>699</w:t>
                    </w:r>
                  </w:p>
                </w:tc>
              </w:tr>
              <w:tr w:rsidR="007E7472" w14:paraId="2E200498" w14:textId="77777777">
                <w:sdt>
                  <w:sdtPr>
                    <w:tag w:val="_PLD_d4ccf04d8d17419faa79e993ba558b97"/>
                    <w:id w:val="-1777475911"/>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7AB77527" w14:textId="77777777" w:rsidR="007E7472" w:rsidRDefault="00EC1269">
                        <w:pPr>
                          <w:ind w:firstLineChars="200" w:firstLine="420"/>
                        </w:pPr>
                        <w:r>
                          <w:t>1.权益法下可转损益的其他综合收益</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6B166608" w14:textId="77777777" w:rsidR="007E7472" w:rsidRDefault="00C8327E"/>
                </w:tc>
                <w:tc>
                  <w:tcPr>
                    <w:tcW w:w="1110" w:type="pct"/>
                    <w:tcBorders>
                      <w:top w:val="outset" w:sz="4" w:space="0" w:color="auto"/>
                      <w:left w:val="outset" w:sz="4" w:space="0" w:color="auto"/>
                      <w:bottom w:val="outset" w:sz="4" w:space="0" w:color="auto"/>
                      <w:right w:val="outset" w:sz="4" w:space="0" w:color="auto"/>
                    </w:tcBorders>
                    <w:vAlign w:val="center"/>
                  </w:tcPr>
                  <w:p w14:paraId="55552D54" w14:textId="77777777" w:rsidR="007E7472" w:rsidRDefault="00EC1269">
                    <w:pPr>
                      <w:jc w:val="right"/>
                    </w:pPr>
                    <w:r>
                      <w:rPr>
                        <w:rFonts w:hint="eastAsia"/>
                      </w:rPr>
                      <w:t>57,041</w:t>
                    </w:r>
                  </w:p>
                </w:tc>
                <w:tc>
                  <w:tcPr>
                    <w:tcW w:w="1114" w:type="pct"/>
                    <w:tcBorders>
                      <w:top w:val="outset" w:sz="4" w:space="0" w:color="auto"/>
                      <w:left w:val="outset" w:sz="4" w:space="0" w:color="auto"/>
                      <w:bottom w:val="outset" w:sz="4" w:space="0" w:color="auto"/>
                      <w:right w:val="outset" w:sz="4" w:space="0" w:color="auto"/>
                    </w:tcBorders>
                    <w:vAlign w:val="center"/>
                  </w:tcPr>
                  <w:p w14:paraId="3FB8C310" w14:textId="77777777" w:rsidR="007E7472" w:rsidRDefault="00EC1269">
                    <w:pPr>
                      <w:jc w:val="right"/>
                    </w:pPr>
                    <w:r>
                      <w:rPr>
                        <w:rFonts w:hint="eastAsia"/>
                      </w:rPr>
                      <w:t>-12,</w:t>
                    </w:r>
                    <w:r>
                      <w:t>699</w:t>
                    </w:r>
                  </w:p>
                </w:tc>
              </w:tr>
              <w:tr w:rsidR="007E7472" w14:paraId="45F09528" w14:textId="77777777">
                <w:tc>
                  <w:tcPr>
                    <w:tcW w:w="1938" w:type="pct"/>
                    <w:tcBorders>
                      <w:top w:val="outset" w:sz="4" w:space="0" w:color="auto"/>
                      <w:left w:val="outset" w:sz="4" w:space="0" w:color="auto"/>
                      <w:bottom w:val="outset" w:sz="4" w:space="0" w:color="auto"/>
                      <w:right w:val="outset" w:sz="4" w:space="0" w:color="auto"/>
                    </w:tcBorders>
                    <w:vAlign w:val="center"/>
                  </w:tcPr>
                  <w:sdt>
                    <w:sdtPr>
                      <w:tag w:val="_PLD_93132456e42c443bbad89584529b2f0a"/>
                      <w:id w:val="-1091463324"/>
                      <w:lock w:val="sdtLocked"/>
                    </w:sdtPr>
                    <w:sdtEndPr/>
                    <w:sdtContent>
                      <w:p w14:paraId="1D5D1583" w14:textId="77777777" w:rsidR="007E7472" w:rsidRDefault="00EC1269">
                        <w:pPr>
                          <w:ind w:firstLineChars="200" w:firstLine="420"/>
                        </w:pPr>
                        <w:r>
                          <w:t>2.其他债权投资公允价值变动</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170EF159" w14:textId="77777777" w:rsidR="007E7472" w:rsidRDefault="00C8327E"/>
                </w:tc>
                <w:tc>
                  <w:tcPr>
                    <w:tcW w:w="1110" w:type="pct"/>
                    <w:tcBorders>
                      <w:top w:val="outset" w:sz="4" w:space="0" w:color="auto"/>
                      <w:left w:val="outset" w:sz="4" w:space="0" w:color="auto"/>
                      <w:bottom w:val="outset" w:sz="4" w:space="0" w:color="auto"/>
                      <w:right w:val="outset" w:sz="4" w:space="0" w:color="auto"/>
                    </w:tcBorders>
                  </w:tcPr>
                  <w:p w14:paraId="334DA3FF" w14:textId="77777777" w:rsidR="007E7472" w:rsidRDefault="00C8327E">
                    <w:pPr>
                      <w:jc w:val="right"/>
                    </w:pPr>
                  </w:p>
                </w:tc>
                <w:tc>
                  <w:tcPr>
                    <w:tcW w:w="1114" w:type="pct"/>
                    <w:tcBorders>
                      <w:top w:val="outset" w:sz="4" w:space="0" w:color="auto"/>
                      <w:left w:val="outset" w:sz="4" w:space="0" w:color="auto"/>
                      <w:bottom w:val="outset" w:sz="4" w:space="0" w:color="auto"/>
                      <w:right w:val="outset" w:sz="4" w:space="0" w:color="auto"/>
                    </w:tcBorders>
                  </w:tcPr>
                  <w:p w14:paraId="44993E1C" w14:textId="77777777" w:rsidR="007E7472" w:rsidRDefault="00C8327E">
                    <w:pPr>
                      <w:jc w:val="right"/>
                    </w:pPr>
                  </w:p>
                </w:tc>
              </w:tr>
              <w:tr w:rsidR="007E7472" w14:paraId="2A240F98" w14:textId="77777777">
                <w:tc>
                  <w:tcPr>
                    <w:tcW w:w="1938" w:type="pct"/>
                    <w:tcBorders>
                      <w:top w:val="outset" w:sz="4" w:space="0" w:color="auto"/>
                      <w:left w:val="outset" w:sz="4" w:space="0" w:color="auto"/>
                      <w:bottom w:val="outset" w:sz="4" w:space="0" w:color="auto"/>
                      <w:right w:val="outset" w:sz="4" w:space="0" w:color="auto"/>
                    </w:tcBorders>
                    <w:vAlign w:val="center"/>
                  </w:tcPr>
                  <w:sdt>
                    <w:sdtPr>
                      <w:tag w:val="_PLD_a743db4ee3c74304b756c0773ac46b11"/>
                      <w:id w:val="1055822436"/>
                      <w:lock w:val="sdtLocked"/>
                    </w:sdtPr>
                    <w:sdtEndPr/>
                    <w:sdtContent>
                      <w:p w14:paraId="39970955" w14:textId="77777777" w:rsidR="007E7472" w:rsidRDefault="00EC1269">
                        <w:pPr>
                          <w:ind w:firstLineChars="200" w:firstLine="420"/>
                        </w:pPr>
                        <w:r>
                          <w:t>3.金融资产重分类计入其他综合收益的金额</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724DC7A2" w14:textId="77777777" w:rsidR="007E7472" w:rsidRDefault="00C8327E"/>
                </w:tc>
                <w:tc>
                  <w:tcPr>
                    <w:tcW w:w="1110" w:type="pct"/>
                    <w:tcBorders>
                      <w:top w:val="outset" w:sz="4" w:space="0" w:color="auto"/>
                      <w:left w:val="outset" w:sz="4" w:space="0" w:color="auto"/>
                      <w:bottom w:val="outset" w:sz="4" w:space="0" w:color="auto"/>
                      <w:right w:val="outset" w:sz="4" w:space="0" w:color="auto"/>
                    </w:tcBorders>
                  </w:tcPr>
                  <w:p w14:paraId="2CF0962D" w14:textId="77777777" w:rsidR="007E7472" w:rsidRDefault="00C8327E">
                    <w:pPr>
                      <w:jc w:val="right"/>
                    </w:pPr>
                  </w:p>
                </w:tc>
                <w:tc>
                  <w:tcPr>
                    <w:tcW w:w="1114" w:type="pct"/>
                    <w:tcBorders>
                      <w:top w:val="outset" w:sz="4" w:space="0" w:color="auto"/>
                      <w:left w:val="outset" w:sz="4" w:space="0" w:color="auto"/>
                      <w:bottom w:val="outset" w:sz="4" w:space="0" w:color="auto"/>
                      <w:right w:val="outset" w:sz="4" w:space="0" w:color="auto"/>
                    </w:tcBorders>
                  </w:tcPr>
                  <w:p w14:paraId="24BE0DCC" w14:textId="77777777" w:rsidR="007E7472" w:rsidRDefault="00C8327E">
                    <w:pPr>
                      <w:jc w:val="right"/>
                    </w:pPr>
                  </w:p>
                </w:tc>
              </w:tr>
              <w:tr w:rsidR="007E7472" w14:paraId="224621A3" w14:textId="77777777">
                <w:tc>
                  <w:tcPr>
                    <w:tcW w:w="1938" w:type="pct"/>
                    <w:tcBorders>
                      <w:top w:val="outset" w:sz="4" w:space="0" w:color="auto"/>
                      <w:left w:val="outset" w:sz="4" w:space="0" w:color="auto"/>
                      <w:bottom w:val="outset" w:sz="4" w:space="0" w:color="auto"/>
                      <w:right w:val="outset" w:sz="4" w:space="0" w:color="auto"/>
                    </w:tcBorders>
                    <w:vAlign w:val="center"/>
                  </w:tcPr>
                  <w:sdt>
                    <w:sdtPr>
                      <w:tag w:val="_PLD_14b4f884fa314ceab81d81f32b566281"/>
                      <w:id w:val="1780445348"/>
                      <w:lock w:val="sdtLocked"/>
                    </w:sdtPr>
                    <w:sdtEndPr/>
                    <w:sdtContent>
                      <w:p w14:paraId="447714CF" w14:textId="77777777" w:rsidR="007E7472" w:rsidRDefault="00EC1269">
                        <w:pPr>
                          <w:ind w:firstLineChars="200" w:firstLine="420"/>
                        </w:pPr>
                        <w:r>
                          <w:t>4.其他债权投资信用减值准备</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276613D4" w14:textId="77777777" w:rsidR="007E7472" w:rsidRDefault="00C8327E"/>
                </w:tc>
                <w:tc>
                  <w:tcPr>
                    <w:tcW w:w="1110" w:type="pct"/>
                    <w:tcBorders>
                      <w:top w:val="outset" w:sz="4" w:space="0" w:color="auto"/>
                      <w:left w:val="outset" w:sz="4" w:space="0" w:color="auto"/>
                      <w:bottom w:val="outset" w:sz="4" w:space="0" w:color="auto"/>
                      <w:right w:val="outset" w:sz="4" w:space="0" w:color="auto"/>
                    </w:tcBorders>
                  </w:tcPr>
                  <w:p w14:paraId="12138290" w14:textId="77777777" w:rsidR="007E7472" w:rsidRDefault="00C8327E">
                    <w:pPr>
                      <w:jc w:val="right"/>
                    </w:pPr>
                  </w:p>
                </w:tc>
                <w:tc>
                  <w:tcPr>
                    <w:tcW w:w="1114" w:type="pct"/>
                    <w:tcBorders>
                      <w:top w:val="outset" w:sz="4" w:space="0" w:color="auto"/>
                      <w:left w:val="outset" w:sz="4" w:space="0" w:color="auto"/>
                      <w:bottom w:val="outset" w:sz="4" w:space="0" w:color="auto"/>
                      <w:right w:val="outset" w:sz="4" w:space="0" w:color="auto"/>
                    </w:tcBorders>
                  </w:tcPr>
                  <w:p w14:paraId="118479ED" w14:textId="77777777" w:rsidR="007E7472" w:rsidRDefault="00C8327E">
                    <w:pPr>
                      <w:jc w:val="right"/>
                    </w:pPr>
                  </w:p>
                </w:tc>
              </w:tr>
              <w:tr w:rsidR="007E7472" w14:paraId="63ED6EA5" w14:textId="77777777">
                <w:tc>
                  <w:tcPr>
                    <w:tcW w:w="1938" w:type="pct"/>
                    <w:tcBorders>
                      <w:top w:val="outset" w:sz="4" w:space="0" w:color="auto"/>
                      <w:left w:val="outset" w:sz="4" w:space="0" w:color="auto"/>
                      <w:bottom w:val="outset" w:sz="4" w:space="0" w:color="auto"/>
                      <w:right w:val="outset" w:sz="4" w:space="0" w:color="auto"/>
                    </w:tcBorders>
                    <w:vAlign w:val="center"/>
                  </w:tcPr>
                  <w:sdt>
                    <w:sdtPr>
                      <w:tag w:val="_PLD_796032270909454aa844e29f93af9bfd"/>
                      <w:id w:val="-1840849548"/>
                      <w:lock w:val="sdtLocked"/>
                    </w:sdtPr>
                    <w:sdtEndPr/>
                    <w:sdtContent>
                      <w:p w14:paraId="778527F4" w14:textId="77777777" w:rsidR="007E7472" w:rsidRDefault="00EC1269">
                        <w:pPr>
                          <w:ind w:firstLineChars="200" w:firstLine="420"/>
                        </w:pPr>
                        <w:r>
                          <w:t>5.现金流量套期储备</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4A5AAF41" w14:textId="77777777" w:rsidR="007E7472" w:rsidRDefault="00C8327E"/>
                </w:tc>
                <w:tc>
                  <w:tcPr>
                    <w:tcW w:w="1110" w:type="pct"/>
                    <w:tcBorders>
                      <w:top w:val="outset" w:sz="4" w:space="0" w:color="auto"/>
                      <w:left w:val="outset" w:sz="4" w:space="0" w:color="auto"/>
                      <w:bottom w:val="outset" w:sz="4" w:space="0" w:color="auto"/>
                      <w:right w:val="outset" w:sz="4" w:space="0" w:color="auto"/>
                    </w:tcBorders>
                  </w:tcPr>
                  <w:p w14:paraId="140234F2" w14:textId="77777777" w:rsidR="007E7472" w:rsidRDefault="00C8327E">
                    <w:pPr>
                      <w:jc w:val="right"/>
                    </w:pPr>
                  </w:p>
                </w:tc>
                <w:tc>
                  <w:tcPr>
                    <w:tcW w:w="1114" w:type="pct"/>
                    <w:tcBorders>
                      <w:top w:val="outset" w:sz="4" w:space="0" w:color="auto"/>
                      <w:left w:val="outset" w:sz="4" w:space="0" w:color="auto"/>
                      <w:bottom w:val="outset" w:sz="4" w:space="0" w:color="auto"/>
                      <w:right w:val="outset" w:sz="4" w:space="0" w:color="auto"/>
                    </w:tcBorders>
                  </w:tcPr>
                  <w:p w14:paraId="33B5E3B5" w14:textId="77777777" w:rsidR="007E7472" w:rsidRDefault="00C8327E">
                    <w:pPr>
                      <w:jc w:val="right"/>
                    </w:pPr>
                  </w:p>
                </w:tc>
              </w:tr>
              <w:tr w:rsidR="007E7472" w14:paraId="03CA0629" w14:textId="77777777">
                <w:tc>
                  <w:tcPr>
                    <w:tcW w:w="1938" w:type="pct"/>
                    <w:tcBorders>
                      <w:top w:val="outset" w:sz="4" w:space="0" w:color="auto"/>
                      <w:left w:val="outset" w:sz="4" w:space="0" w:color="auto"/>
                      <w:bottom w:val="outset" w:sz="4" w:space="0" w:color="auto"/>
                      <w:right w:val="outset" w:sz="4" w:space="0" w:color="auto"/>
                    </w:tcBorders>
                    <w:vAlign w:val="center"/>
                  </w:tcPr>
                  <w:sdt>
                    <w:sdtPr>
                      <w:tag w:val="_PLD_323d275a987c439884f3d362a19ee65f"/>
                      <w:id w:val="560605433"/>
                      <w:lock w:val="sdtLocked"/>
                    </w:sdtPr>
                    <w:sdtEndPr/>
                    <w:sdtContent>
                      <w:p w14:paraId="26BA8C41" w14:textId="77777777" w:rsidR="007E7472" w:rsidRDefault="00EC1269">
                        <w:pPr>
                          <w:ind w:firstLineChars="200" w:firstLine="420"/>
                        </w:pPr>
                        <w:r>
                          <w:t>6.外币财务报表折算差额</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5DA36B0F" w14:textId="77777777" w:rsidR="007E7472" w:rsidRDefault="00C8327E"/>
                </w:tc>
                <w:tc>
                  <w:tcPr>
                    <w:tcW w:w="1110" w:type="pct"/>
                    <w:tcBorders>
                      <w:top w:val="outset" w:sz="4" w:space="0" w:color="auto"/>
                      <w:left w:val="outset" w:sz="4" w:space="0" w:color="auto"/>
                      <w:bottom w:val="outset" w:sz="4" w:space="0" w:color="auto"/>
                      <w:right w:val="outset" w:sz="4" w:space="0" w:color="auto"/>
                    </w:tcBorders>
                  </w:tcPr>
                  <w:p w14:paraId="614F094C" w14:textId="77777777" w:rsidR="007E7472" w:rsidRDefault="00C8327E">
                    <w:pPr>
                      <w:jc w:val="right"/>
                    </w:pPr>
                  </w:p>
                </w:tc>
                <w:tc>
                  <w:tcPr>
                    <w:tcW w:w="1114" w:type="pct"/>
                    <w:tcBorders>
                      <w:top w:val="outset" w:sz="4" w:space="0" w:color="auto"/>
                      <w:left w:val="outset" w:sz="4" w:space="0" w:color="auto"/>
                      <w:bottom w:val="outset" w:sz="4" w:space="0" w:color="auto"/>
                      <w:right w:val="outset" w:sz="4" w:space="0" w:color="auto"/>
                    </w:tcBorders>
                  </w:tcPr>
                  <w:p w14:paraId="30248333" w14:textId="77777777" w:rsidR="007E7472" w:rsidRDefault="00C8327E">
                    <w:pPr>
                      <w:jc w:val="right"/>
                    </w:pPr>
                  </w:p>
                </w:tc>
              </w:tr>
              <w:tr w:rsidR="007E7472" w14:paraId="1E7C8ACE" w14:textId="77777777">
                <w:tc>
                  <w:tcPr>
                    <w:tcW w:w="1938" w:type="pct"/>
                    <w:tcBorders>
                      <w:top w:val="outset" w:sz="4" w:space="0" w:color="auto"/>
                      <w:left w:val="outset" w:sz="4" w:space="0" w:color="auto"/>
                      <w:bottom w:val="outset" w:sz="4" w:space="0" w:color="auto"/>
                      <w:right w:val="outset" w:sz="4" w:space="0" w:color="auto"/>
                    </w:tcBorders>
                    <w:vAlign w:val="center"/>
                  </w:tcPr>
                  <w:sdt>
                    <w:sdtPr>
                      <w:tag w:val="_PLD_4762e9ad5d4d4b7c9fc8455f2f975e7d"/>
                      <w:id w:val="858626785"/>
                      <w:lock w:val="sdtLocked"/>
                    </w:sdtPr>
                    <w:sdtEndPr/>
                    <w:sdtContent>
                      <w:p w14:paraId="785B0312" w14:textId="77777777" w:rsidR="007E7472" w:rsidRDefault="00EC1269">
                        <w:pPr>
                          <w:ind w:firstLineChars="200" w:firstLine="420"/>
                        </w:pPr>
                        <w:r>
                          <w:t>7.其他</w:t>
                        </w:r>
                      </w:p>
                    </w:sdtContent>
                  </w:sdt>
                </w:tc>
                <w:tc>
                  <w:tcPr>
                    <w:tcW w:w="838" w:type="pct"/>
                    <w:tcBorders>
                      <w:top w:val="outset" w:sz="4" w:space="0" w:color="auto"/>
                      <w:left w:val="outset" w:sz="4" w:space="0" w:color="auto"/>
                      <w:bottom w:val="outset" w:sz="4" w:space="0" w:color="auto"/>
                      <w:right w:val="outset" w:sz="4" w:space="0" w:color="auto"/>
                    </w:tcBorders>
                    <w:vAlign w:val="center"/>
                  </w:tcPr>
                  <w:p w14:paraId="5691C1DF" w14:textId="77777777" w:rsidR="007E7472" w:rsidRDefault="00C8327E"/>
                </w:tc>
                <w:tc>
                  <w:tcPr>
                    <w:tcW w:w="1110" w:type="pct"/>
                    <w:tcBorders>
                      <w:top w:val="outset" w:sz="4" w:space="0" w:color="auto"/>
                      <w:left w:val="outset" w:sz="4" w:space="0" w:color="auto"/>
                      <w:bottom w:val="outset" w:sz="4" w:space="0" w:color="auto"/>
                      <w:right w:val="outset" w:sz="4" w:space="0" w:color="auto"/>
                    </w:tcBorders>
                  </w:tcPr>
                  <w:p w14:paraId="30C77D6D" w14:textId="77777777" w:rsidR="007E7472" w:rsidRDefault="00C8327E">
                    <w:pPr>
                      <w:jc w:val="right"/>
                    </w:pPr>
                  </w:p>
                </w:tc>
                <w:tc>
                  <w:tcPr>
                    <w:tcW w:w="1114" w:type="pct"/>
                    <w:tcBorders>
                      <w:top w:val="outset" w:sz="4" w:space="0" w:color="auto"/>
                      <w:left w:val="outset" w:sz="4" w:space="0" w:color="auto"/>
                      <w:bottom w:val="outset" w:sz="4" w:space="0" w:color="auto"/>
                      <w:right w:val="outset" w:sz="4" w:space="0" w:color="auto"/>
                    </w:tcBorders>
                  </w:tcPr>
                  <w:p w14:paraId="70238A46" w14:textId="77777777" w:rsidR="007E7472" w:rsidRDefault="00C8327E">
                    <w:pPr>
                      <w:jc w:val="right"/>
                    </w:pPr>
                  </w:p>
                </w:tc>
              </w:tr>
              <w:tr w:rsidR="007E7472" w14:paraId="25A6E55D" w14:textId="77777777">
                <w:sdt>
                  <w:sdtPr>
                    <w:tag w:val="_PLD_28547dbb231643aebb7e2c7f824bc757"/>
                    <w:id w:val="478269296"/>
                    <w:lock w:val="sdtLocked"/>
                  </w:sdt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2AE5BF8D" w14:textId="77777777" w:rsidR="007E7472" w:rsidRDefault="00EC1269">
                        <w:pPr>
                          <w:ind w:left="-19"/>
                        </w:pPr>
                        <w:r>
                          <w:rPr>
                            <w:rFonts w:hint="eastAsia"/>
                          </w:rPr>
                          <w:t>六、综合收益总额</w:t>
                        </w:r>
                      </w:p>
                    </w:tc>
                  </w:sdtContent>
                </w:sdt>
                <w:tc>
                  <w:tcPr>
                    <w:tcW w:w="838" w:type="pct"/>
                    <w:tcBorders>
                      <w:top w:val="outset" w:sz="4" w:space="0" w:color="auto"/>
                      <w:left w:val="outset" w:sz="4" w:space="0" w:color="auto"/>
                      <w:bottom w:val="outset" w:sz="4" w:space="0" w:color="auto"/>
                      <w:right w:val="outset" w:sz="4" w:space="0" w:color="auto"/>
                    </w:tcBorders>
                    <w:vAlign w:val="center"/>
                  </w:tcPr>
                  <w:p w14:paraId="4AF25F56" w14:textId="77777777" w:rsidR="007E7472" w:rsidRDefault="00C8327E"/>
                </w:tc>
                <w:tc>
                  <w:tcPr>
                    <w:tcW w:w="1110" w:type="pct"/>
                    <w:tcBorders>
                      <w:top w:val="outset" w:sz="4" w:space="0" w:color="auto"/>
                      <w:left w:val="outset" w:sz="4" w:space="0" w:color="auto"/>
                      <w:bottom w:val="outset" w:sz="4" w:space="0" w:color="auto"/>
                      <w:right w:val="outset" w:sz="4" w:space="0" w:color="auto"/>
                    </w:tcBorders>
                    <w:vAlign w:val="center"/>
                  </w:tcPr>
                  <w:p w14:paraId="4F403B49" w14:textId="77777777" w:rsidR="007E7472" w:rsidRDefault="00EC1269">
                    <w:pPr>
                      <w:jc w:val="right"/>
                    </w:pPr>
                    <w:r>
                      <w:rPr>
                        <w:rFonts w:hint="eastAsia"/>
                      </w:rPr>
                      <w:t>8,16</w:t>
                    </w:r>
                    <w:r>
                      <w:t>6</w:t>
                    </w:r>
                    <w:r>
                      <w:rPr>
                        <w:rFonts w:hint="eastAsia"/>
                      </w:rPr>
                      <w:t>,</w:t>
                    </w:r>
                    <w:r>
                      <w:t>884</w:t>
                    </w:r>
                  </w:p>
                </w:tc>
                <w:tc>
                  <w:tcPr>
                    <w:tcW w:w="1114" w:type="pct"/>
                    <w:tcBorders>
                      <w:top w:val="outset" w:sz="4" w:space="0" w:color="auto"/>
                      <w:left w:val="outset" w:sz="4" w:space="0" w:color="auto"/>
                      <w:bottom w:val="outset" w:sz="4" w:space="0" w:color="auto"/>
                      <w:right w:val="outset" w:sz="4" w:space="0" w:color="auto"/>
                    </w:tcBorders>
                    <w:vAlign w:val="center"/>
                  </w:tcPr>
                  <w:p w14:paraId="6E2F3F93" w14:textId="77777777" w:rsidR="007E7472" w:rsidRDefault="00EC1269">
                    <w:pPr>
                      <w:jc w:val="right"/>
                    </w:pPr>
                    <w:r>
                      <w:rPr>
                        <w:rFonts w:hint="eastAsia"/>
                      </w:rPr>
                      <w:t>9,365,454</w:t>
                    </w:r>
                  </w:p>
                </w:tc>
              </w:tr>
              <w:sdt>
                <w:sdtPr>
                  <w:rPr>
                    <w:rFonts w:asciiTheme="minorHAnsi" w:eastAsiaTheme="minorEastAsia" w:hAnsiTheme="minorHAnsi" w:cstheme="minorBidi"/>
                    <w:kern w:val="2"/>
                    <w:szCs w:val="22"/>
                  </w:rPr>
                  <w:alias w:val="归属于母公司股东的综合收益总额"/>
                  <w:tag w:val="_TUP_6b042ead0097410a8c7f0ff420071b5c"/>
                  <w:id w:val="881907041"/>
                  <w:lock w:val="sdtLocked"/>
                </w:sdtPr>
                <w:sdtEndPr/>
                <w:sdtContent>
                  <w:tr w:rsidR="007E7472" w14:paraId="5831866B" w14:textId="77777777">
                    <w:sdt>
                      <w:sdtPr>
                        <w:rPr>
                          <w:rFonts w:asciiTheme="minorHAnsi" w:eastAsiaTheme="minorEastAsia" w:hAnsiTheme="minorHAnsi" w:cstheme="minorBidi"/>
                          <w:kern w:val="2"/>
                          <w:szCs w:val="22"/>
                        </w:rPr>
                        <w:alias w:val="归属于母公司股东的综合收益总额"/>
                        <w:tag w:val="_GBC_4d26dfddc5694a8baf9646e0de519d0b"/>
                        <w:id w:val="1586575206"/>
                        <w:lock w:val="sdtLocked"/>
                      </w:sdtPr>
                      <w:sdtEndPr>
                        <w:rPr>
                          <w:rFonts w:ascii="Times New Roman" w:eastAsia="宋体" w:hAnsi="Times New Roman" w:cs="Times New Roman"/>
                          <w:kern w:val="0"/>
                          <w:sz w:val="20"/>
                          <w:szCs w:val="20"/>
                        </w:r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0EB9D71D" w14:textId="77777777" w:rsidR="007E7472" w:rsidRDefault="00EC1269">
                            <w:pPr>
                              <w:ind w:left="-19"/>
                            </w:pPr>
                            <w:r>
                              <w:t>归属于母公司股东的综合收益总额</w:t>
                            </w:r>
                          </w:p>
                        </w:tc>
                      </w:sdtContent>
                    </w:sdt>
                    <w:sdt>
                      <w:sdtPr>
                        <w:tag w:val="_GBC_8c657265a00341b5974b0d6ca7186ed9"/>
                        <w:id w:val="-1651053268"/>
                        <w:lock w:val="sdtLocked"/>
                      </w:sdtPr>
                      <w:sdtEndPr/>
                      <w:sdtContent>
                        <w:tc>
                          <w:tcPr>
                            <w:tcW w:w="838" w:type="pct"/>
                            <w:tcBorders>
                              <w:top w:val="outset" w:sz="4" w:space="0" w:color="auto"/>
                              <w:left w:val="outset" w:sz="4" w:space="0" w:color="auto"/>
                              <w:bottom w:val="outset" w:sz="4" w:space="0" w:color="auto"/>
                              <w:right w:val="outset" w:sz="4" w:space="0" w:color="auto"/>
                            </w:tcBorders>
                            <w:vAlign w:val="center"/>
                          </w:tcPr>
                          <w:p w14:paraId="0A7E1B1A" w14:textId="77777777" w:rsidR="007E7472" w:rsidRDefault="00C8327E"/>
                        </w:tc>
                      </w:sdtContent>
                    </w:sdt>
                    <w:sdt>
                      <w:sdtPr>
                        <w:tag w:val="_GBC_0df1ed4785504c31ac5a1b8abae0f8c5"/>
                        <w:id w:val="790329624"/>
                        <w:lock w:val="sdtLocked"/>
                      </w:sdtPr>
                      <w:sdtEndPr/>
                      <w:sdtContent>
                        <w:tc>
                          <w:tcPr>
                            <w:tcW w:w="1110" w:type="pct"/>
                            <w:tcBorders>
                              <w:top w:val="outset" w:sz="4" w:space="0" w:color="auto"/>
                              <w:left w:val="outset" w:sz="4" w:space="0" w:color="auto"/>
                              <w:bottom w:val="outset" w:sz="4" w:space="0" w:color="auto"/>
                              <w:right w:val="outset" w:sz="4" w:space="0" w:color="auto"/>
                            </w:tcBorders>
                            <w:vAlign w:val="center"/>
                          </w:tcPr>
                          <w:p w14:paraId="22E26454" w14:textId="77777777" w:rsidR="007E7472" w:rsidRDefault="00EC1269">
                            <w:pPr>
                              <w:jc w:val="right"/>
                            </w:pPr>
                            <w:r>
                              <w:t>7,960,129</w:t>
                            </w:r>
                          </w:p>
                        </w:tc>
                      </w:sdtContent>
                    </w:sdt>
                    <w:sdt>
                      <w:sdtPr>
                        <w:tag w:val="_GBC_090313fef6744a6aa49ad145138aea25"/>
                        <w:id w:val="-576363036"/>
                        <w:lock w:val="sdtLocked"/>
                      </w:sdtPr>
                      <w:sdtEndPr/>
                      <w:sdtContent>
                        <w:tc>
                          <w:tcPr>
                            <w:tcW w:w="1114" w:type="pct"/>
                            <w:tcBorders>
                              <w:top w:val="outset" w:sz="4" w:space="0" w:color="auto"/>
                              <w:left w:val="outset" w:sz="4" w:space="0" w:color="auto"/>
                              <w:bottom w:val="outset" w:sz="4" w:space="0" w:color="auto"/>
                              <w:right w:val="outset" w:sz="4" w:space="0" w:color="auto"/>
                            </w:tcBorders>
                            <w:vAlign w:val="center"/>
                          </w:tcPr>
                          <w:p w14:paraId="622FA09D" w14:textId="77777777" w:rsidR="007E7472" w:rsidRDefault="00EC1269">
                            <w:pPr>
                              <w:jc w:val="right"/>
                            </w:pPr>
                            <w:r>
                              <w:t>9,188</w:t>
                            </w:r>
                            <w:r>
                              <w:rPr>
                                <w:rFonts w:hint="eastAsia"/>
                              </w:rPr>
                              <w:t>,</w:t>
                            </w:r>
                            <w:r>
                              <w:t>527</w:t>
                            </w:r>
                          </w:p>
                        </w:tc>
                      </w:sdtContent>
                    </w:sdt>
                  </w:tr>
                </w:sdtContent>
              </w:sdt>
              <w:sdt>
                <w:sdtPr>
                  <w:rPr>
                    <w:rFonts w:asciiTheme="minorHAnsi" w:eastAsiaTheme="minorEastAsia" w:hAnsiTheme="minorHAnsi" w:cstheme="minorBidi"/>
                    <w:kern w:val="2"/>
                    <w:szCs w:val="22"/>
                  </w:rPr>
                  <w:alias w:val="归属于母公司其他权益工具持有者的综合收益总额"/>
                  <w:tag w:val="_TUP_262984a66c3d4f76b0b808c27c6d1d33"/>
                  <w:id w:val="1968473053"/>
                  <w:lock w:val="sdtLocked"/>
                </w:sdtPr>
                <w:sdtEndPr/>
                <w:sdtContent>
                  <w:tr w:rsidR="007E7472" w14:paraId="31EA8559" w14:textId="77777777">
                    <w:sdt>
                      <w:sdtPr>
                        <w:rPr>
                          <w:rFonts w:asciiTheme="minorHAnsi" w:eastAsiaTheme="minorEastAsia" w:hAnsiTheme="minorHAnsi" w:cstheme="minorBidi"/>
                          <w:kern w:val="2"/>
                          <w:szCs w:val="22"/>
                        </w:rPr>
                        <w:alias w:val="归属于母公司其他权益工具持有者的综合收益总额"/>
                        <w:tag w:val="_GBC_06b83c84cf4945e7b408227881490b08"/>
                        <w:id w:val="1377975350"/>
                        <w:lock w:val="sdtLocked"/>
                      </w:sdtPr>
                      <w:sdtEndPr>
                        <w:rPr>
                          <w:rFonts w:ascii="Times New Roman" w:eastAsia="宋体" w:hAnsi="Times New Roman" w:cs="Times New Roman"/>
                          <w:kern w:val="0"/>
                          <w:sz w:val="20"/>
                          <w:szCs w:val="20"/>
                        </w:rPr>
                      </w:sdtEndPr>
                      <w:sdtContent>
                        <w:tc>
                          <w:tcPr>
                            <w:tcW w:w="1938" w:type="pct"/>
                            <w:tcBorders>
                              <w:top w:val="outset" w:sz="4" w:space="0" w:color="auto"/>
                              <w:left w:val="outset" w:sz="4" w:space="0" w:color="auto"/>
                              <w:bottom w:val="outset" w:sz="4" w:space="0" w:color="auto"/>
                              <w:right w:val="outset" w:sz="4" w:space="0" w:color="auto"/>
                            </w:tcBorders>
                            <w:vAlign w:val="center"/>
                          </w:tcPr>
                          <w:p w14:paraId="7EFE9979" w14:textId="77777777" w:rsidR="007E7472" w:rsidRDefault="00EC1269">
                            <w:pPr>
                              <w:ind w:left="-19"/>
                            </w:pPr>
                            <w:r>
                              <w:rPr>
                                <w:rFonts w:asciiTheme="minorHAnsi" w:eastAsiaTheme="minorEastAsia" w:hAnsiTheme="minorHAnsi" w:cstheme="minorBidi"/>
                                <w:kern w:val="2"/>
                                <w:szCs w:val="22"/>
                              </w:rPr>
                              <w:t>归属于母公司其他权益工具持有者的综合收益总额</w:t>
                            </w:r>
                          </w:p>
                        </w:tc>
                      </w:sdtContent>
                    </w:sdt>
                    <w:sdt>
                      <w:sdtPr>
                        <w:tag w:val="_GBC_5bf29e1762fc48879c865c31d1f51215"/>
                        <w:id w:val="659739951"/>
                        <w:lock w:val="sdtLocked"/>
                        <w:showingPlcHdr/>
                      </w:sdtPr>
                      <w:sdtEndPr/>
                      <w:sdtContent>
                        <w:tc>
                          <w:tcPr>
                            <w:tcW w:w="838" w:type="pct"/>
                            <w:tcBorders>
                              <w:top w:val="outset" w:sz="4" w:space="0" w:color="auto"/>
                              <w:left w:val="outset" w:sz="4" w:space="0" w:color="auto"/>
                              <w:bottom w:val="outset" w:sz="4" w:space="0" w:color="auto"/>
                              <w:right w:val="outset" w:sz="4" w:space="0" w:color="auto"/>
                            </w:tcBorders>
                            <w:vAlign w:val="center"/>
                          </w:tcPr>
                          <w:p w14:paraId="0852B8A9" w14:textId="77777777" w:rsidR="007E7472" w:rsidRDefault="00C8327E"/>
                        </w:tc>
                      </w:sdtContent>
                    </w:sdt>
                    <w:sdt>
                      <w:sdtPr>
                        <w:tag w:val="_GBC_d8c2da0f7672458283a95e447cb455a9"/>
                        <w:id w:val="-990256340"/>
                        <w:lock w:val="sdtLocked"/>
                      </w:sdtPr>
                      <w:sdtEndPr/>
                      <w:sdtContent>
                        <w:tc>
                          <w:tcPr>
                            <w:tcW w:w="1110" w:type="pct"/>
                            <w:tcBorders>
                              <w:top w:val="outset" w:sz="4" w:space="0" w:color="auto"/>
                              <w:left w:val="outset" w:sz="4" w:space="0" w:color="auto"/>
                              <w:bottom w:val="outset" w:sz="4" w:space="0" w:color="auto"/>
                              <w:right w:val="outset" w:sz="4" w:space="0" w:color="auto"/>
                            </w:tcBorders>
                            <w:vAlign w:val="center"/>
                          </w:tcPr>
                          <w:p w14:paraId="6882EF0D" w14:textId="77777777" w:rsidR="007E7472" w:rsidRDefault="00EC1269">
                            <w:pPr>
                              <w:jc w:val="right"/>
                            </w:pPr>
                            <w:r>
                              <w:t>206,755</w:t>
                            </w:r>
                          </w:p>
                        </w:tc>
                      </w:sdtContent>
                    </w:sdt>
                    <w:sdt>
                      <w:sdtPr>
                        <w:tag w:val="_GBC_1478ff3efa104340842fc3d2ffa20e6e"/>
                        <w:id w:val="1952046475"/>
                        <w:lock w:val="sdtLocked"/>
                      </w:sdtPr>
                      <w:sdtEndPr/>
                      <w:sdtContent>
                        <w:tc>
                          <w:tcPr>
                            <w:tcW w:w="1114" w:type="pct"/>
                            <w:tcBorders>
                              <w:top w:val="outset" w:sz="4" w:space="0" w:color="auto"/>
                              <w:left w:val="outset" w:sz="4" w:space="0" w:color="auto"/>
                              <w:bottom w:val="outset" w:sz="4" w:space="0" w:color="auto"/>
                              <w:right w:val="outset" w:sz="4" w:space="0" w:color="auto"/>
                            </w:tcBorders>
                            <w:vAlign w:val="center"/>
                          </w:tcPr>
                          <w:p w14:paraId="0219C6C1" w14:textId="77777777" w:rsidR="007E7472" w:rsidRDefault="00EC1269">
                            <w:pPr>
                              <w:jc w:val="right"/>
                            </w:pPr>
                            <w:r>
                              <w:t>176,927</w:t>
                            </w:r>
                          </w:p>
                        </w:tc>
                      </w:sdtContent>
                    </w:sdt>
                  </w:tr>
                </w:sdtContent>
              </w:sdt>
            </w:tbl>
            <w:p w14:paraId="0D0A79C2" w14:textId="77777777" w:rsidR="007E7472" w:rsidRDefault="00C8327E"/>
            <w:p w14:paraId="6E7CF98A" w14:textId="08105E93" w:rsidR="007E7472" w:rsidRPr="002D2B09" w:rsidRDefault="00EC1269">
              <w:pPr>
                <w:snapToGrid w:val="0"/>
                <w:spacing w:line="240" w:lineRule="atLeast"/>
                <w:ind w:rightChars="-73" w:right="-153"/>
                <w:rPr>
                  <w:rFonts w:cs="宋体-方正超大字符集"/>
                </w:rPr>
              </w:pPr>
              <w:r>
                <w:t>公司负责人</w:t>
              </w:r>
              <w:r>
                <w:rPr>
                  <w:rFonts w:hint="eastAsia"/>
                </w:rPr>
                <w:t>：</w:t>
              </w:r>
              <w:sdt>
                <w:sdtPr>
                  <w:rPr>
                    <w:rFonts w:hint="eastAsia"/>
                  </w:rPr>
                  <w:alias w:val="公司负责人"/>
                  <w:tag w:val="_GBC_6be9c51ef68a40f0b60486f4414f2413"/>
                  <w:id w:val="18204225"/>
                  <w:lock w:val="sdtLocked"/>
                  <w:dataBinding w:prefixMappings="xmlns:clcid-mr='clcid-mr'" w:xpath="/*/clcid-mr:GongSiFuZeRenXingMing[not(@periodRef)]" w:storeItemID="{89EBAB94-44A0-46A2-B712-30D997D04A6D}"/>
                  <w:text/>
                </w:sdtPr>
                <w:sdtEndPr/>
                <w:sdtContent>
                  <w:r w:rsidR="00B47FFE">
                    <w:rPr>
                      <w:rFonts w:hint="eastAsia"/>
                    </w:rPr>
                    <w:t>李伟</w:t>
                  </w:r>
                </w:sdtContent>
              </w:sdt>
              <w:r>
                <w:t>主管会计工作负责人</w:t>
              </w:r>
              <w:r>
                <w:rPr>
                  <w:rFonts w:hint="eastAsia"/>
                </w:rPr>
                <w:t>：</w:t>
              </w:r>
              <w:sdt>
                <w:sdtPr>
                  <w:rPr>
                    <w:rFonts w:hint="eastAsia"/>
                  </w:rPr>
                  <w:alias w:val="主管会计工作负责人姓名"/>
                  <w:tag w:val="_GBC_ac91a6c67f0a401ab312a449bd87b833"/>
                  <w:id w:val="579027353"/>
                  <w:lock w:val="sdtLocked"/>
                  <w:dataBinding w:prefixMappings="xmlns:clcid-mr='clcid-mr'" w:xpath="/*/clcid-mr:ZhuGuanKuaiJiGongZuoFuZeRenXingMing[not(@periodRef)]" w:storeItemID="{89EBAB94-44A0-46A2-B712-30D997D04A6D}"/>
                  <w:text/>
                </w:sdtPr>
                <w:sdtEndPr/>
                <w:sdtContent>
                  <w:r w:rsidR="00B47FFE">
                    <w:rPr>
                      <w:rFonts w:hint="eastAsia"/>
                    </w:rPr>
                    <w:t>赵青春</w:t>
                  </w:r>
                </w:sdtContent>
              </w:sdt>
              <w:r>
                <w:t>会计机构负责人</w:t>
              </w:r>
              <w:r>
                <w:rPr>
                  <w:rFonts w:hint="eastAsia"/>
                </w:rPr>
                <w:t>：</w:t>
              </w:r>
              <w:sdt>
                <w:sdtPr>
                  <w:rPr>
                    <w:rFonts w:hint="eastAsia"/>
                  </w:rPr>
                  <w:alias w:val="会计机构负责人姓名"/>
                  <w:tag w:val="_GBC_60f6b900783346cfad817de4d84acf5e"/>
                  <w:id w:val="-715197954"/>
                  <w:lock w:val="sdtLocked"/>
                  <w:dataBinding w:prefixMappings="xmlns:clcid-mr='clcid-mr'" w:xpath="/*/clcid-mr:KuaiJiJiGouFuZeRenXingMing[not(@periodRef)]" w:storeItemID="{89EBAB94-44A0-46A2-B712-30D997D04A6D}"/>
                  <w:text/>
                </w:sdtPr>
                <w:sdtEndPr/>
                <w:sdtContent>
                  <w:r w:rsidR="006F3F93">
                    <w:rPr>
                      <w:rFonts w:hint="eastAsia"/>
                    </w:rPr>
                    <w:t>赵治国</w:t>
                  </w:r>
                </w:sdtContent>
              </w:sdt>
            </w:p>
          </w:sdtContent>
        </w:sdt>
        <w:p w14:paraId="4B7E19D2" w14:textId="77777777" w:rsidR="007E7472" w:rsidRDefault="00C8327E">
          <w:pPr>
            <w:snapToGrid w:val="0"/>
            <w:spacing w:line="240" w:lineRule="atLeast"/>
            <w:ind w:rightChars="-73" w:right="-153"/>
            <w:rPr>
              <w:b/>
              <w:bCs/>
              <w:color w:val="FF0000"/>
            </w:rPr>
          </w:pPr>
        </w:p>
      </w:sdtContent>
    </w:sdt>
    <w:bookmarkEnd w:id="136"/>
    <w:p w14:paraId="3FB15C57" w14:textId="77777777" w:rsidR="007E7472" w:rsidRDefault="00C8327E">
      <w:pPr>
        <w:rPr>
          <w:color w:val="FF0000"/>
        </w:rPr>
      </w:pPr>
    </w:p>
    <w:p w14:paraId="12304149" w14:textId="77777777" w:rsidR="007E7472" w:rsidRDefault="00C8327E">
      <w:pPr>
        <w:rPr>
          <w:color w:val="FF0000"/>
        </w:rPr>
      </w:pPr>
    </w:p>
    <w:bookmarkStart w:id="137" w:name="_Hlk10211590" w:displacedByCustomXml="next"/>
    <w:sdt>
      <w:sdtPr>
        <w:rPr>
          <w:rFonts w:ascii="宋体" w:hAnsi="宋体" w:cs="宋体" w:hint="eastAsia"/>
          <w:b w:val="0"/>
          <w:bCs w:val="0"/>
          <w:kern w:val="0"/>
          <w:szCs w:val="24"/>
        </w:rPr>
        <w:alias w:val="选项模块:需要编制合并报表"/>
        <w:tag w:val="_GBC_d6533048a32749eaa7738390457b7f24"/>
        <w:id w:val="-1479446633"/>
        <w:placeholder>
          <w:docPart w:val="GBC22222222222222222222222222222"/>
        </w:placeholder>
      </w:sdtPr>
      <w:sdtEndPr>
        <w:rPr>
          <w:szCs w:val="21"/>
        </w:rPr>
      </w:sdtEndPr>
      <w:sdtContent>
        <w:sdt>
          <w:sdtPr>
            <w:rPr>
              <w:rFonts w:ascii="宋体" w:hAnsi="宋体" w:cs="宋体" w:hint="eastAsia"/>
              <w:b w:val="0"/>
              <w:bCs w:val="0"/>
              <w:kern w:val="0"/>
              <w:szCs w:val="24"/>
            </w:rPr>
            <w:tag w:val="_GBC_17c43da24c7845d3aa093910aeaf2348"/>
            <w:id w:val="-1103799189"/>
            <w:lock w:val="sdtLocked"/>
            <w:placeholder>
              <w:docPart w:val="GBC22222222222222222222222222222"/>
            </w:placeholder>
          </w:sdtPr>
          <w:sdtEndPr>
            <w:rPr>
              <w:szCs w:val="21"/>
            </w:rPr>
          </w:sdtEndPr>
          <w:sdtContent>
            <w:p w14:paraId="60455287" w14:textId="77777777" w:rsidR="007E7472" w:rsidRDefault="00EC1269" w:rsidP="007E7472">
              <w:pPr>
                <w:pStyle w:val="3"/>
                <w:jc w:val="center"/>
              </w:pPr>
              <w:r>
                <w:rPr>
                  <w:rFonts w:hint="eastAsia"/>
                </w:rPr>
                <w:t>合并</w:t>
              </w:r>
              <w:r>
                <w:t>现金流量表</w:t>
              </w:r>
            </w:p>
            <w:p w14:paraId="5E7BEA0B" w14:textId="77777777" w:rsidR="007E7472" w:rsidRDefault="00EC1269">
              <w:pPr>
                <w:jc w:val="center"/>
                <w:rPr>
                  <w:b/>
                  <w:bCs/>
                </w:rPr>
              </w:pPr>
              <w:r>
                <w:t>2023年</w:t>
              </w:r>
              <w:r>
                <w:rPr>
                  <w:rFonts w:hint="eastAsia"/>
                </w:rPr>
                <w:t>1—6</w:t>
              </w:r>
              <w:r>
                <w:t>月</w:t>
              </w:r>
            </w:p>
            <w:p w14:paraId="52CEA281" w14:textId="3291A0A6" w:rsidR="007E7472" w:rsidRDefault="00EC1269">
              <w:pPr>
                <w:jc w:val="right"/>
              </w:pPr>
              <w:r>
                <w:t>单位</w:t>
              </w:r>
              <w:r>
                <w:rPr>
                  <w:rFonts w:hint="eastAsia"/>
                </w:rPr>
                <w:t>：</w:t>
              </w:r>
              <w:sdt>
                <w:sdtPr>
                  <w:rPr>
                    <w:rFonts w:hint="eastAsia"/>
                  </w:rPr>
                  <w:alias w:val="单位：合并现金流量表"/>
                  <w:tag w:val="_GBC_7049413ddb8f4e5eac9cb9fb4f802433"/>
                  <w:id w:val="8173720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t>币种</w:t>
              </w:r>
              <w:r>
                <w:rPr>
                  <w:rFonts w:hint="eastAsia"/>
                </w:rPr>
                <w:t>：</w:t>
              </w:r>
              <w:sdt>
                <w:sdtPr>
                  <w:rPr>
                    <w:rFonts w:hint="eastAsia"/>
                  </w:rPr>
                  <w:alias w:val="币种：合并现金流量表"/>
                  <w:tag w:val="_GBC_5ab1c6e244484b228b8cdc6ee3840fd6"/>
                  <w:id w:val="-33792549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064"/>
                <w:gridCol w:w="1528"/>
                <w:gridCol w:w="2119"/>
                <w:gridCol w:w="2112"/>
              </w:tblGrid>
              <w:tr w:rsidR="007E7472" w14:paraId="11814368" w14:textId="77777777">
                <w:sdt>
                  <w:sdtPr>
                    <w:tag w:val="_PLD_2a3b6af3ab824e2db1022630f7a58e18"/>
                    <w:id w:val="1649172381"/>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5C3D0807" w14:textId="77777777" w:rsidR="007E7472" w:rsidRDefault="00EC1269">
                        <w:pPr>
                          <w:jc w:val="center"/>
                          <w:rPr>
                            <w:b/>
                            <w:bCs/>
                          </w:rPr>
                        </w:pPr>
                        <w:r>
                          <w:rPr>
                            <w:b/>
                          </w:rPr>
                          <w:t>项目</w:t>
                        </w:r>
                      </w:p>
                    </w:tc>
                  </w:sdtContent>
                </w:sdt>
                <w:sdt>
                  <w:sdtPr>
                    <w:tag w:val="_PLD_49df1a6f5a224085bdcd56671a898d47"/>
                    <w:id w:val="1675837731"/>
                    <w:lock w:val="sdtLocked"/>
                  </w:sdtPr>
                  <w:sdtEndPr/>
                  <w:sdtContent>
                    <w:tc>
                      <w:tcPr>
                        <w:tcW w:w="866" w:type="pct"/>
                        <w:tcBorders>
                          <w:top w:val="outset" w:sz="4" w:space="0" w:color="auto"/>
                          <w:left w:val="outset" w:sz="4" w:space="0" w:color="auto"/>
                          <w:bottom w:val="outset" w:sz="4" w:space="0" w:color="auto"/>
                          <w:right w:val="outset" w:sz="4" w:space="0" w:color="auto"/>
                        </w:tcBorders>
                      </w:tcPr>
                      <w:p w14:paraId="2C69D43A" w14:textId="77777777" w:rsidR="007E7472" w:rsidRDefault="00EC1269">
                        <w:pPr>
                          <w:jc w:val="center"/>
                          <w:rPr>
                            <w:b/>
                          </w:rPr>
                        </w:pPr>
                        <w:r>
                          <w:rPr>
                            <w:b/>
                          </w:rPr>
                          <w:t>附注</w:t>
                        </w:r>
                      </w:p>
                    </w:tc>
                  </w:sdtContent>
                </w:sdt>
                <w:sdt>
                  <w:sdtPr>
                    <w:tag w:val="_PLD_aba5e14092764f689b78fdbe9892bc51"/>
                    <w:id w:val="759725222"/>
                    <w:lock w:val="sdtLocked"/>
                  </w:sdtPr>
                  <w:sdtEndPr/>
                  <w:sdtContent>
                    <w:tc>
                      <w:tcPr>
                        <w:tcW w:w="1201" w:type="pct"/>
                        <w:tcBorders>
                          <w:top w:val="outset" w:sz="4" w:space="0" w:color="auto"/>
                          <w:left w:val="outset" w:sz="4" w:space="0" w:color="auto"/>
                          <w:bottom w:val="outset" w:sz="4" w:space="0" w:color="auto"/>
                          <w:right w:val="outset" w:sz="4" w:space="0" w:color="auto"/>
                        </w:tcBorders>
                      </w:tcPr>
                      <w:p w14:paraId="72FF8D2F" w14:textId="77777777" w:rsidR="007E7472" w:rsidRDefault="00EC1269">
                        <w:pPr>
                          <w:autoSpaceDE w:val="0"/>
                          <w:autoSpaceDN w:val="0"/>
                          <w:adjustRightInd w:val="0"/>
                          <w:jc w:val="center"/>
                          <w:rPr>
                            <w:b/>
                          </w:rPr>
                        </w:pPr>
                        <w:r>
                          <w:rPr>
                            <w:rFonts w:hint="eastAsia"/>
                            <w:b/>
                          </w:rPr>
                          <w:t>2023年半年度</w:t>
                        </w:r>
                      </w:p>
                    </w:tc>
                  </w:sdtContent>
                </w:sdt>
                <w:sdt>
                  <w:sdtPr>
                    <w:tag w:val="_PLD_8cac70c6f00c4266a9b8cff482cc71cc"/>
                    <w:id w:val="1324007876"/>
                    <w:lock w:val="sdtLocked"/>
                  </w:sdtPr>
                  <w:sdtEndPr/>
                  <w:sdtContent>
                    <w:tc>
                      <w:tcPr>
                        <w:tcW w:w="1197" w:type="pct"/>
                        <w:tcBorders>
                          <w:top w:val="outset" w:sz="4" w:space="0" w:color="auto"/>
                          <w:left w:val="outset" w:sz="4" w:space="0" w:color="auto"/>
                          <w:bottom w:val="outset" w:sz="4" w:space="0" w:color="auto"/>
                          <w:right w:val="outset" w:sz="4" w:space="0" w:color="auto"/>
                        </w:tcBorders>
                      </w:tcPr>
                      <w:p w14:paraId="50D8354A" w14:textId="77777777" w:rsidR="007E7472" w:rsidRDefault="00EC1269">
                        <w:pPr>
                          <w:autoSpaceDE w:val="0"/>
                          <w:autoSpaceDN w:val="0"/>
                          <w:adjustRightInd w:val="0"/>
                          <w:jc w:val="center"/>
                          <w:rPr>
                            <w:b/>
                          </w:rPr>
                        </w:pPr>
                        <w:r>
                          <w:rPr>
                            <w:rFonts w:hint="eastAsia"/>
                            <w:b/>
                          </w:rPr>
                          <w:t>2022年半年度</w:t>
                        </w:r>
                      </w:p>
                    </w:tc>
                  </w:sdtContent>
                </w:sdt>
              </w:tr>
              <w:tr w:rsidR="007E7472" w14:paraId="54EACA53" w14:textId="77777777">
                <w:sdt>
                  <w:sdtPr>
                    <w:tag w:val="_PLD_ffd119a1ffa641c1a00397806a78ee23"/>
                    <w:id w:val="-604730886"/>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tcPr>
                      <w:p w14:paraId="2703B95C" w14:textId="77777777" w:rsidR="007E7472" w:rsidRDefault="00EC1269">
                        <w:r>
                          <w:rPr>
                            <w:rFonts w:hint="eastAsia"/>
                            <w:b/>
                          </w:rPr>
                          <w:t>一、经营活动产生的现金流量：</w:t>
                        </w:r>
                      </w:p>
                    </w:tc>
                  </w:sdtContent>
                </w:sdt>
              </w:tr>
              <w:tr w:rsidR="007E7472" w14:paraId="57DA8240" w14:textId="77777777">
                <w:tc>
                  <w:tcPr>
                    <w:tcW w:w="1736" w:type="pct"/>
                    <w:tcBorders>
                      <w:top w:val="outset" w:sz="4" w:space="0" w:color="auto"/>
                      <w:left w:val="outset" w:sz="4" w:space="0" w:color="auto"/>
                      <w:bottom w:val="outset" w:sz="4" w:space="0" w:color="auto"/>
                      <w:right w:val="outset" w:sz="4" w:space="0" w:color="auto"/>
                    </w:tcBorders>
                  </w:tcPr>
                  <w:p w14:paraId="4E60AC11" w14:textId="77777777" w:rsidR="007E7472" w:rsidRDefault="00EC1269">
                    <w:pPr>
                      <w:ind w:firstLineChars="100" w:firstLine="210"/>
                      <w:rPr>
                        <w:color w:val="000000"/>
                      </w:rPr>
                    </w:pPr>
                    <w:r>
                      <w:rPr>
                        <w:rFonts w:hint="eastAsia"/>
                      </w:rPr>
                      <w:t>销售商品、提供劳务收到的现金</w:t>
                    </w:r>
                  </w:p>
                </w:tc>
                <w:tc>
                  <w:tcPr>
                    <w:tcW w:w="866" w:type="pct"/>
                    <w:tcBorders>
                      <w:top w:val="outset" w:sz="4" w:space="0" w:color="auto"/>
                      <w:left w:val="outset" w:sz="4" w:space="0" w:color="auto"/>
                      <w:bottom w:val="outset" w:sz="4" w:space="0" w:color="auto"/>
                      <w:right w:val="outset" w:sz="4" w:space="0" w:color="auto"/>
                    </w:tcBorders>
                    <w:vAlign w:val="center"/>
                  </w:tcPr>
                  <w:p w14:paraId="6DB5E0D0" w14:textId="77777777" w:rsidR="007E7472" w:rsidRDefault="00C8327E">
                    <w:pPr>
                      <w:jc w:val="center"/>
                      <w:rPr>
                        <w:rFonts w:asciiTheme="majorEastAsia" w:eastAsiaTheme="majorEastAsia" w:hAnsiTheme="majorEastAsia"/>
                      </w:rPr>
                    </w:pPr>
                  </w:p>
                </w:tc>
                <w:tc>
                  <w:tcPr>
                    <w:tcW w:w="1201" w:type="pct"/>
                    <w:tcBorders>
                      <w:top w:val="outset" w:sz="4" w:space="0" w:color="auto"/>
                      <w:left w:val="outset" w:sz="4" w:space="0" w:color="auto"/>
                      <w:bottom w:val="outset" w:sz="4" w:space="0" w:color="auto"/>
                      <w:right w:val="outset" w:sz="4" w:space="0" w:color="auto"/>
                    </w:tcBorders>
                    <w:vAlign w:val="center"/>
                  </w:tcPr>
                  <w:p w14:paraId="757E8731" w14:textId="77777777" w:rsidR="007E7472" w:rsidRDefault="00EC1269">
                    <w:pPr>
                      <w:jc w:val="right"/>
                    </w:pPr>
                    <w:r>
                      <w:t>94,490,941</w:t>
                    </w:r>
                  </w:p>
                </w:tc>
                <w:tc>
                  <w:tcPr>
                    <w:tcW w:w="1197" w:type="pct"/>
                    <w:tcBorders>
                      <w:top w:val="outset" w:sz="4" w:space="0" w:color="auto"/>
                      <w:left w:val="outset" w:sz="4" w:space="0" w:color="auto"/>
                      <w:bottom w:val="outset" w:sz="4" w:space="0" w:color="auto"/>
                      <w:right w:val="outset" w:sz="4" w:space="0" w:color="auto"/>
                    </w:tcBorders>
                    <w:vAlign w:val="center"/>
                  </w:tcPr>
                  <w:p w14:paraId="121557EB" w14:textId="77777777" w:rsidR="007E7472" w:rsidRDefault="00EC1269">
                    <w:pPr>
                      <w:jc w:val="right"/>
                    </w:pPr>
                    <w:r>
                      <w:t>103,373,417</w:t>
                    </w:r>
                  </w:p>
                </w:tc>
              </w:tr>
              <w:tr w:rsidR="007E7472" w14:paraId="1A8D1949" w14:textId="77777777">
                <w:tc>
                  <w:tcPr>
                    <w:tcW w:w="1736" w:type="pct"/>
                    <w:tcBorders>
                      <w:top w:val="outset" w:sz="4" w:space="0" w:color="auto"/>
                      <w:left w:val="outset" w:sz="4" w:space="0" w:color="auto"/>
                      <w:bottom w:val="outset" w:sz="4" w:space="0" w:color="auto"/>
                      <w:right w:val="outset" w:sz="4" w:space="0" w:color="auto"/>
                    </w:tcBorders>
                  </w:tcPr>
                  <w:p w14:paraId="74C3ADB5" w14:textId="77777777" w:rsidR="007E7472" w:rsidRDefault="00EC1269">
                    <w:pPr>
                      <w:ind w:firstLineChars="100" w:firstLine="210"/>
                    </w:pPr>
                    <w:r>
                      <w:rPr>
                        <w:rFonts w:hint="eastAsia"/>
                      </w:rPr>
                      <w:t>客户存款和同业存放款项净增加额</w:t>
                    </w:r>
                  </w:p>
                </w:tc>
                <w:tc>
                  <w:tcPr>
                    <w:tcW w:w="866" w:type="pct"/>
                    <w:tcBorders>
                      <w:top w:val="outset" w:sz="4" w:space="0" w:color="auto"/>
                      <w:left w:val="outset" w:sz="4" w:space="0" w:color="auto"/>
                      <w:bottom w:val="outset" w:sz="4" w:space="0" w:color="auto"/>
                      <w:right w:val="outset" w:sz="4" w:space="0" w:color="auto"/>
                    </w:tcBorders>
                    <w:vAlign w:val="center"/>
                  </w:tcPr>
                  <w:p w14:paraId="11EBFE81" w14:textId="77777777" w:rsidR="007E7472" w:rsidRDefault="00C8327E">
                    <w:pPr>
                      <w:jc w:val="center"/>
                      <w:rPr>
                        <w:rFonts w:asciiTheme="majorEastAsia" w:eastAsiaTheme="majorEastAsia" w:hAnsiTheme="majorEastAsia"/>
                      </w:rPr>
                    </w:pPr>
                  </w:p>
                </w:tc>
                <w:tc>
                  <w:tcPr>
                    <w:tcW w:w="1201" w:type="pct"/>
                    <w:tcBorders>
                      <w:top w:val="outset" w:sz="4" w:space="0" w:color="auto"/>
                      <w:left w:val="outset" w:sz="4" w:space="0" w:color="auto"/>
                      <w:bottom w:val="outset" w:sz="4" w:space="0" w:color="auto"/>
                      <w:right w:val="outset" w:sz="4" w:space="0" w:color="auto"/>
                    </w:tcBorders>
                    <w:vAlign w:val="center"/>
                  </w:tcPr>
                  <w:p w14:paraId="258F572F" w14:textId="77777777" w:rsidR="007E7472" w:rsidRDefault="00EC1269">
                    <w:pPr>
                      <w:jc w:val="right"/>
                    </w:pPr>
                    <w:r>
                      <w:t>-889,703</w:t>
                    </w:r>
                  </w:p>
                </w:tc>
                <w:tc>
                  <w:tcPr>
                    <w:tcW w:w="1197" w:type="pct"/>
                    <w:tcBorders>
                      <w:top w:val="outset" w:sz="4" w:space="0" w:color="auto"/>
                      <w:left w:val="outset" w:sz="4" w:space="0" w:color="auto"/>
                      <w:bottom w:val="outset" w:sz="4" w:space="0" w:color="auto"/>
                      <w:right w:val="outset" w:sz="4" w:space="0" w:color="auto"/>
                    </w:tcBorders>
                    <w:vAlign w:val="center"/>
                  </w:tcPr>
                  <w:p w14:paraId="07106205" w14:textId="77777777" w:rsidR="007E7472" w:rsidRDefault="00EC1269">
                    <w:pPr>
                      <w:jc w:val="right"/>
                    </w:pPr>
                    <w:r>
                      <w:t>-12,693,018</w:t>
                    </w:r>
                  </w:p>
                </w:tc>
              </w:tr>
              <w:tr w:rsidR="007E7472" w14:paraId="5B982878" w14:textId="77777777">
                <w:sdt>
                  <w:sdtPr>
                    <w:tag w:val="_PLD_53ac9ac9881c4fd7a23a964afe0f5ab9"/>
                    <w:id w:val="-1538348930"/>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320FB33A" w14:textId="77777777" w:rsidR="007E7472" w:rsidRDefault="00EC1269">
                        <w:pPr>
                          <w:ind w:firstLineChars="100" w:firstLine="210"/>
                        </w:pPr>
                        <w:r>
                          <w:rPr>
                            <w:rFonts w:hint="eastAsia"/>
                          </w:rPr>
                          <w:t>向中央银行借款净增加额</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1F5B8A45" w14:textId="77777777" w:rsidR="007E7472" w:rsidRDefault="00C8327E">
                    <w:pPr>
                      <w:jc w:val="center"/>
                      <w:rPr>
                        <w:rFonts w:asciiTheme="majorEastAsia" w:eastAsiaTheme="majorEastAsia" w:hAnsiTheme="majorEastAsia"/>
                      </w:rPr>
                    </w:pPr>
                  </w:p>
                </w:tc>
                <w:tc>
                  <w:tcPr>
                    <w:tcW w:w="1201" w:type="pct"/>
                    <w:tcBorders>
                      <w:top w:val="outset" w:sz="4" w:space="0" w:color="auto"/>
                      <w:left w:val="outset" w:sz="4" w:space="0" w:color="auto"/>
                      <w:bottom w:val="outset" w:sz="4" w:space="0" w:color="auto"/>
                      <w:right w:val="outset" w:sz="4" w:space="0" w:color="auto"/>
                    </w:tcBorders>
                    <w:vAlign w:val="center"/>
                  </w:tcPr>
                  <w:p w14:paraId="15D43683" w14:textId="77777777" w:rsidR="007E7472" w:rsidRDefault="00C8327E">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14:paraId="093BF0F9" w14:textId="77777777" w:rsidR="007E7472" w:rsidRDefault="00C8327E">
                    <w:pPr>
                      <w:jc w:val="right"/>
                    </w:pPr>
                  </w:p>
                </w:tc>
              </w:tr>
              <w:tr w:rsidR="007E7472" w14:paraId="25BB9095" w14:textId="77777777">
                <w:sdt>
                  <w:sdtPr>
                    <w:tag w:val="_PLD_4fa5cd7231084d5e8d16a86dececd3b2"/>
                    <w:id w:val="134952901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77555D48" w14:textId="77777777" w:rsidR="007E7472" w:rsidRDefault="00EC1269">
                        <w:pPr>
                          <w:ind w:firstLineChars="100" w:firstLine="210"/>
                        </w:pPr>
                        <w:r>
                          <w:rPr>
                            <w:rFonts w:hint="eastAsia"/>
                          </w:rPr>
                          <w:t>向其他金融机构拆入资金净增加额</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20E87D42" w14:textId="77777777" w:rsidR="007E7472" w:rsidRDefault="00C8327E">
                    <w:pPr>
                      <w:jc w:val="center"/>
                      <w:rPr>
                        <w:rFonts w:asciiTheme="majorEastAsia" w:eastAsiaTheme="majorEastAsia" w:hAnsiTheme="majorEastAsia"/>
                      </w:rPr>
                    </w:pPr>
                  </w:p>
                </w:tc>
                <w:tc>
                  <w:tcPr>
                    <w:tcW w:w="1201" w:type="pct"/>
                    <w:tcBorders>
                      <w:top w:val="outset" w:sz="4" w:space="0" w:color="auto"/>
                      <w:left w:val="outset" w:sz="4" w:space="0" w:color="auto"/>
                      <w:bottom w:val="outset" w:sz="4" w:space="0" w:color="auto"/>
                      <w:right w:val="outset" w:sz="4" w:space="0" w:color="auto"/>
                    </w:tcBorders>
                    <w:vAlign w:val="center"/>
                  </w:tcPr>
                  <w:p w14:paraId="121A083F" w14:textId="77777777" w:rsidR="007E7472" w:rsidRDefault="00C8327E">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14:paraId="0BBB265E" w14:textId="77777777" w:rsidR="007E7472" w:rsidRDefault="00C8327E">
                    <w:pPr>
                      <w:jc w:val="right"/>
                    </w:pPr>
                  </w:p>
                </w:tc>
              </w:tr>
              <w:tr w:rsidR="007E7472" w14:paraId="289442ED" w14:textId="77777777">
                <w:sdt>
                  <w:sdtPr>
                    <w:tag w:val="_PLD_ca0d502c0b574483ab47d4c8173169f9"/>
                    <w:id w:val="-87175787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27A672F5" w14:textId="77777777" w:rsidR="007E7472" w:rsidRDefault="00EC1269">
                        <w:pPr>
                          <w:ind w:firstLineChars="100" w:firstLine="210"/>
                        </w:pPr>
                        <w:r>
                          <w:rPr>
                            <w:rFonts w:hint="eastAsia"/>
                          </w:rPr>
                          <w:t>收到原保险合同保费取得的现金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3794D7C7" w14:textId="77777777" w:rsidR="007E7472" w:rsidRDefault="00C8327E">
                    <w:pPr>
                      <w:jc w:val="center"/>
                      <w:rPr>
                        <w:rFonts w:asciiTheme="majorEastAsia" w:eastAsiaTheme="majorEastAsia" w:hAnsiTheme="majorEastAsia"/>
                      </w:rPr>
                    </w:pPr>
                  </w:p>
                </w:tc>
                <w:tc>
                  <w:tcPr>
                    <w:tcW w:w="1201" w:type="pct"/>
                    <w:tcBorders>
                      <w:top w:val="outset" w:sz="4" w:space="0" w:color="auto"/>
                      <w:left w:val="outset" w:sz="4" w:space="0" w:color="auto"/>
                      <w:bottom w:val="outset" w:sz="4" w:space="0" w:color="auto"/>
                      <w:right w:val="outset" w:sz="4" w:space="0" w:color="auto"/>
                    </w:tcBorders>
                    <w:vAlign w:val="center"/>
                  </w:tcPr>
                  <w:p w14:paraId="6426BEAA" w14:textId="77777777" w:rsidR="007E7472" w:rsidRDefault="00C8327E">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14:paraId="3D6D63A3" w14:textId="77777777" w:rsidR="007E7472" w:rsidRDefault="00C8327E">
                    <w:pPr>
                      <w:jc w:val="right"/>
                    </w:pPr>
                  </w:p>
                </w:tc>
              </w:tr>
              <w:tr w:rsidR="007E7472" w14:paraId="69A6ACE2" w14:textId="77777777">
                <w:sdt>
                  <w:sdtPr>
                    <w:tag w:val="_PLD_27d3854b584b426e821112162a2315b7"/>
                    <w:id w:val="-400527331"/>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5AD8485A" w14:textId="77777777" w:rsidR="007E7472" w:rsidRDefault="00EC1269">
                        <w:pPr>
                          <w:ind w:firstLineChars="100" w:firstLine="210"/>
                        </w:pPr>
                        <w:r>
                          <w:rPr>
                            <w:rFonts w:hint="eastAsia"/>
                          </w:rPr>
                          <w:t>收到再保业务现金净额</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365C7EC3" w14:textId="77777777" w:rsidR="007E7472" w:rsidRDefault="00C8327E">
                    <w:pPr>
                      <w:jc w:val="center"/>
                      <w:rPr>
                        <w:rFonts w:asciiTheme="majorEastAsia" w:eastAsiaTheme="majorEastAsia" w:hAnsiTheme="majorEastAsia"/>
                      </w:rPr>
                    </w:pPr>
                  </w:p>
                </w:tc>
                <w:tc>
                  <w:tcPr>
                    <w:tcW w:w="1201" w:type="pct"/>
                    <w:tcBorders>
                      <w:top w:val="outset" w:sz="4" w:space="0" w:color="auto"/>
                      <w:left w:val="outset" w:sz="4" w:space="0" w:color="auto"/>
                      <w:bottom w:val="outset" w:sz="4" w:space="0" w:color="auto"/>
                      <w:right w:val="outset" w:sz="4" w:space="0" w:color="auto"/>
                    </w:tcBorders>
                    <w:vAlign w:val="center"/>
                  </w:tcPr>
                  <w:p w14:paraId="1577BF0E" w14:textId="77777777" w:rsidR="007E7472" w:rsidRDefault="00C8327E">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14:paraId="2DE9491D" w14:textId="77777777" w:rsidR="007E7472" w:rsidRDefault="00C8327E">
                    <w:pPr>
                      <w:jc w:val="right"/>
                    </w:pPr>
                  </w:p>
                </w:tc>
              </w:tr>
              <w:tr w:rsidR="007E7472" w14:paraId="06B1A20F" w14:textId="77777777">
                <w:sdt>
                  <w:sdtPr>
                    <w:tag w:val="_PLD_9042657b6c95463292e1d70a9dcb4339"/>
                    <w:id w:val="144040559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3A4341A7" w14:textId="77777777" w:rsidR="007E7472" w:rsidRDefault="00EC1269">
                        <w:pPr>
                          <w:ind w:firstLineChars="100" w:firstLine="210"/>
                        </w:pPr>
                        <w:r>
                          <w:rPr>
                            <w:rFonts w:hint="eastAsia"/>
                          </w:rPr>
                          <w:t>保户储金及投资款净增加额</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413A7E8E" w14:textId="77777777" w:rsidR="007E7472" w:rsidRDefault="00C8327E">
                    <w:pPr>
                      <w:jc w:val="center"/>
                      <w:rPr>
                        <w:rFonts w:asciiTheme="majorEastAsia" w:eastAsiaTheme="majorEastAsia" w:hAnsiTheme="majorEastAsia"/>
                      </w:rPr>
                    </w:pPr>
                  </w:p>
                </w:tc>
                <w:tc>
                  <w:tcPr>
                    <w:tcW w:w="1201" w:type="pct"/>
                    <w:tcBorders>
                      <w:top w:val="outset" w:sz="4" w:space="0" w:color="auto"/>
                      <w:left w:val="outset" w:sz="4" w:space="0" w:color="auto"/>
                      <w:bottom w:val="outset" w:sz="4" w:space="0" w:color="auto"/>
                      <w:right w:val="outset" w:sz="4" w:space="0" w:color="auto"/>
                    </w:tcBorders>
                    <w:vAlign w:val="center"/>
                  </w:tcPr>
                  <w:p w14:paraId="7C15F416" w14:textId="77777777" w:rsidR="007E7472" w:rsidRDefault="00C8327E">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14:paraId="7141DC69" w14:textId="77777777" w:rsidR="007E7472" w:rsidRDefault="00C8327E">
                    <w:pPr>
                      <w:jc w:val="right"/>
                    </w:pPr>
                  </w:p>
                </w:tc>
              </w:tr>
              <w:tr w:rsidR="007E7472" w14:paraId="52070EA0" w14:textId="77777777">
                <w:sdt>
                  <w:sdtPr>
                    <w:tag w:val="_PLD_f2b940928e9a441385d0fbc1e03e9847"/>
                    <w:id w:val="-1232457474"/>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67A2BAF1" w14:textId="77777777" w:rsidR="007E7472" w:rsidRDefault="00EC1269">
                        <w:pPr>
                          <w:ind w:firstLineChars="100" w:firstLine="210"/>
                        </w:pPr>
                        <w:r>
                          <w:rPr>
                            <w:rFonts w:hint="eastAsia"/>
                          </w:rPr>
                          <w:t>收取利息、手续费及佣金的现金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68EA90CE" w14:textId="77777777" w:rsidR="007E7472" w:rsidRDefault="00C8327E">
                    <w:pPr>
                      <w:jc w:val="center"/>
                      <w:rPr>
                        <w:rFonts w:asciiTheme="majorEastAsia" w:eastAsiaTheme="majorEastAsia" w:hAnsiTheme="majorEastAsia"/>
                      </w:rPr>
                    </w:pPr>
                  </w:p>
                </w:tc>
                <w:tc>
                  <w:tcPr>
                    <w:tcW w:w="1201" w:type="pct"/>
                    <w:tcBorders>
                      <w:top w:val="outset" w:sz="4" w:space="0" w:color="auto"/>
                      <w:left w:val="outset" w:sz="4" w:space="0" w:color="auto"/>
                      <w:bottom w:val="outset" w:sz="4" w:space="0" w:color="auto"/>
                      <w:right w:val="outset" w:sz="4" w:space="0" w:color="auto"/>
                    </w:tcBorders>
                    <w:vAlign w:val="center"/>
                  </w:tcPr>
                  <w:p w14:paraId="09C22633" w14:textId="77777777" w:rsidR="007E7472" w:rsidRDefault="00C8327E">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14:paraId="78403390" w14:textId="77777777" w:rsidR="007E7472" w:rsidRDefault="00C8327E">
                    <w:pPr>
                      <w:jc w:val="right"/>
                    </w:pPr>
                  </w:p>
                </w:tc>
              </w:tr>
              <w:tr w:rsidR="007E7472" w14:paraId="7C5620F3" w14:textId="77777777">
                <w:sdt>
                  <w:sdtPr>
                    <w:tag w:val="_PLD_fb8a102c0adb420b81df819e96f35605"/>
                    <w:id w:val="-67781232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73C8FEF1" w14:textId="77777777" w:rsidR="007E7472" w:rsidRDefault="00EC1269">
                        <w:pPr>
                          <w:ind w:firstLineChars="100" w:firstLine="210"/>
                        </w:pPr>
                        <w:r>
                          <w:rPr>
                            <w:rFonts w:hint="eastAsia"/>
                          </w:rPr>
                          <w:t>拆入资金净增加额</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00E95632" w14:textId="77777777" w:rsidR="007E7472" w:rsidRDefault="00C8327E">
                    <w:pPr>
                      <w:jc w:val="center"/>
                      <w:rPr>
                        <w:rFonts w:asciiTheme="majorEastAsia" w:eastAsiaTheme="majorEastAsia" w:hAnsiTheme="majorEastAsia"/>
                      </w:rPr>
                    </w:pPr>
                  </w:p>
                </w:tc>
                <w:tc>
                  <w:tcPr>
                    <w:tcW w:w="1201" w:type="pct"/>
                    <w:tcBorders>
                      <w:top w:val="outset" w:sz="4" w:space="0" w:color="auto"/>
                      <w:left w:val="outset" w:sz="4" w:space="0" w:color="auto"/>
                      <w:bottom w:val="outset" w:sz="4" w:space="0" w:color="auto"/>
                      <w:right w:val="outset" w:sz="4" w:space="0" w:color="auto"/>
                    </w:tcBorders>
                    <w:vAlign w:val="center"/>
                  </w:tcPr>
                  <w:p w14:paraId="129C6C59" w14:textId="77777777" w:rsidR="007E7472" w:rsidRDefault="00C8327E">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14:paraId="15F53DF2" w14:textId="77777777" w:rsidR="007E7472" w:rsidRDefault="00C8327E">
                    <w:pPr>
                      <w:jc w:val="right"/>
                    </w:pPr>
                  </w:p>
                </w:tc>
              </w:tr>
              <w:tr w:rsidR="007E7472" w14:paraId="017E7F7D" w14:textId="77777777">
                <w:sdt>
                  <w:sdtPr>
                    <w:tag w:val="_PLD_ed524170a3b440c494db2f51afa02dae"/>
                    <w:id w:val="102358826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0F3AFD09" w14:textId="77777777" w:rsidR="007E7472" w:rsidRDefault="00EC1269">
                        <w:pPr>
                          <w:ind w:firstLineChars="100" w:firstLine="210"/>
                        </w:pPr>
                        <w:r>
                          <w:rPr>
                            <w:rFonts w:hint="eastAsia"/>
                          </w:rPr>
                          <w:t>回购业务资金净增加额</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6509E99B" w14:textId="77777777" w:rsidR="007E7472" w:rsidRDefault="00C8327E">
                    <w:pPr>
                      <w:jc w:val="center"/>
                      <w:rPr>
                        <w:rFonts w:asciiTheme="majorEastAsia" w:eastAsiaTheme="majorEastAsia" w:hAnsiTheme="majorEastAsia"/>
                      </w:rPr>
                    </w:pPr>
                  </w:p>
                </w:tc>
                <w:tc>
                  <w:tcPr>
                    <w:tcW w:w="1201" w:type="pct"/>
                    <w:tcBorders>
                      <w:top w:val="outset" w:sz="4" w:space="0" w:color="auto"/>
                      <w:left w:val="outset" w:sz="4" w:space="0" w:color="auto"/>
                      <w:bottom w:val="outset" w:sz="4" w:space="0" w:color="auto"/>
                      <w:right w:val="outset" w:sz="4" w:space="0" w:color="auto"/>
                    </w:tcBorders>
                    <w:vAlign w:val="center"/>
                  </w:tcPr>
                  <w:p w14:paraId="4853C702" w14:textId="77777777" w:rsidR="007E7472" w:rsidRDefault="00C8327E">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14:paraId="5106808D" w14:textId="77777777" w:rsidR="007E7472" w:rsidRDefault="00C8327E">
                    <w:pPr>
                      <w:jc w:val="right"/>
                    </w:pPr>
                  </w:p>
                </w:tc>
              </w:tr>
              <w:tr w:rsidR="007E7472" w14:paraId="5CA3A154" w14:textId="77777777">
                <w:tc>
                  <w:tcPr>
                    <w:tcW w:w="1736" w:type="pct"/>
                    <w:tcBorders>
                      <w:top w:val="outset" w:sz="4" w:space="0" w:color="auto"/>
                      <w:left w:val="outset" w:sz="4" w:space="0" w:color="auto"/>
                      <w:bottom w:val="outset" w:sz="4" w:space="0" w:color="auto"/>
                      <w:right w:val="outset" w:sz="4" w:space="0" w:color="auto"/>
                    </w:tcBorders>
                  </w:tcPr>
                  <w:sdt>
                    <w:sdtPr>
                      <w:rPr>
                        <w:rFonts w:hint="eastAsia"/>
                      </w:rPr>
                      <w:tag w:val="_PLD_92047b241c2a4992afcdac105b616305"/>
                      <w:id w:val="-117377533"/>
                      <w:lock w:val="sdtLocked"/>
                    </w:sdtPr>
                    <w:sdtEndPr/>
                    <w:sdtContent>
                      <w:p w14:paraId="6CED7EDA" w14:textId="77777777" w:rsidR="007E7472" w:rsidRDefault="00EC1269">
                        <w:pPr>
                          <w:ind w:firstLineChars="100" w:firstLine="210"/>
                        </w:pPr>
                        <w:r>
                          <w:rPr>
                            <w:rFonts w:hint="eastAsia"/>
                          </w:rPr>
                          <w:t>代理买卖证券收到的现金净额</w:t>
                        </w:r>
                      </w:p>
                    </w:sdtContent>
                  </w:sdt>
                </w:tc>
                <w:tc>
                  <w:tcPr>
                    <w:tcW w:w="866" w:type="pct"/>
                    <w:tcBorders>
                      <w:top w:val="outset" w:sz="4" w:space="0" w:color="auto"/>
                      <w:left w:val="outset" w:sz="4" w:space="0" w:color="auto"/>
                      <w:bottom w:val="outset" w:sz="4" w:space="0" w:color="auto"/>
                      <w:right w:val="outset" w:sz="4" w:space="0" w:color="auto"/>
                    </w:tcBorders>
                    <w:vAlign w:val="center"/>
                  </w:tcPr>
                  <w:p w14:paraId="6E2863FC" w14:textId="77777777" w:rsidR="007E7472" w:rsidRDefault="00C8327E">
                    <w:pPr>
                      <w:jc w:val="center"/>
                      <w:rPr>
                        <w:rFonts w:asciiTheme="majorEastAsia" w:eastAsiaTheme="majorEastAsia" w:hAnsiTheme="majorEastAsia"/>
                      </w:rPr>
                    </w:pPr>
                  </w:p>
                </w:tc>
                <w:tc>
                  <w:tcPr>
                    <w:tcW w:w="1201" w:type="pct"/>
                    <w:tcBorders>
                      <w:top w:val="outset" w:sz="4" w:space="0" w:color="auto"/>
                      <w:left w:val="outset" w:sz="4" w:space="0" w:color="auto"/>
                      <w:bottom w:val="outset" w:sz="4" w:space="0" w:color="auto"/>
                      <w:right w:val="outset" w:sz="4" w:space="0" w:color="auto"/>
                    </w:tcBorders>
                    <w:vAlign w:val="center"/>
                  </w:tcPr>
                  <w:p w14:paraId="1E90AA6B" w14:textId="77777777" w:rsidR="007E7472" w:rsidRDefault="00C8327E">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14:paraId="2EE685B1" w14:textId="77777777" w:rsidR="007E7472" w:rsidRDefault="00C8327E">
                    <w:pPr>
                      <w:jc w:val="right"/>
                    </w:pPr>
                  </w:p>
                </w:tc>
              </w:tr>
              <w:tr w:rsidR="007E7472" w14:paraId="352C3E13" w14:textId="77777777">
                <w:tc>
                  <w:tcPr>
                    <w:tcW w:w="1736" w:type="pct"/>
                    <w:tcBorders>
                      <w:top w:val="outset" w:sz="4" w:space="0" w:color="auto"/>
                      <w:left w:val="outset" w:sz="4" w:space="0" w:color="auto"/>
                      <w:bottom w:val="outset" w:sz="4" w:space="0" w:color="auto"/>
                      <w:right w:val="outset" w:sz="4" w:space="0" w:color="auto"/>
                    </w:tcBorders>
                  </w:tcPr>
                  <w:p w14:paraId="0C70FF0B" w14:textId="77777777" w:rsidR="007E7472" w:rsidRDefault="00EC1269">
                    <w:pPr>
                      <w:ind w:firstLineChars="100" w:firstLine="210"/>
                    </w:pPr>
                    <w:r>
                      <w:rPr>
                        <w:rFonts w:hint="eastAsia"/>
                      </w:rPr>
                      <w:t>收到的税费返还</w:t>
                    </w:r>
                  </w:p>
                </w:tc>
                <w:tc>
                  <w:tcPr>
                    <w:tcW w:w="866" w:type="pct"/>
                    <w:tcBorders>
                      <w:top w:val="outset" w:sz="4" w:space="0" w:color="auto"/>
                      <w:left w:val="outset" w:sz="4" w:space="0" w:color="auto"/>
                      <w:bottom w:val="outset" w:sz="4" w:space="0" w:color="auto"/>
                      <w:right w:val="outset" w:sz="4" w:space="0" w:color="auto"/>
                    </w:tcBorders>
                    <w:vAlign w:val="center"/>
                  </w:tcPr>
                  <w:p w14:paraId="65F4EF35" w14:textId="77777777" w:rsidR="007E7472" w:rsidRDefault="00C8327E">
                    <w:pPr>
                      <w:jc w:val="center"/>
                      <w:rPr>
                        <w:rFonts w:asciiTheme="majorEastAsia" w:eastAsiaTheme="majorEastAsia" w:hAnsiTheme="majorEastAsia"/>
                      </w:rPr>
                    </w:pPr>
                  </w:p>
                </w:tc>
                <w:tc>
                  <w:tcPr>
                    <w:tcW w:w="1201" w:type="pct"/>
                    <w:tcBorders>
                      <w:top w:val="outset" w:sz="4" w:space="0" w:color="auto"/>
                      <w:left w:val="outset" w:sz="4" w:space="0" w:color="auto"/>
                      <w:bottom w:val="outset" w:sz="4" w:space="0" w:color="auto"/>
                      <w:right w:val="outset" w:sz="4" w:space="0" w:color="auto"/>
                    </w:tcBorders>
                    <w:vAlign w:val="center"/>
                  </w:tcPr>
                  <w:p w14:paraId="0089B686" w14:textId="77777777" w:rsidR="007E7472" w:rsidRDefault="00EC1269">
                    <w:pPr>
                      <w:jc w:val="right"/>
                    </w:pPr>
                    <w:r>
                      <w:t>1,129,163</w:t>
                    </w:r>
                  </w:p>
                </w:tc>
                <w:tc>
                  <w:tcPr>
                    <w:tcW w:w="1197" w:type="pct"/>
                    <w:tcBorders>
                      <w:top w:val="outset" w:sz="4" w:space="0" w:color="auto"/>
                      <w:left w:val="outset" w:sz="4" w:space="0" w:color="auto"/>
                      <w:bottom w:val="outset" w:sz="4" w:space="0" w:color="auto"/>
                      <w:right w:val="outset" w:sz="4" w:space="0" w:color="auto"/>
                    </w:tcBorders>
                    <w:vAlign w:val="center"/>
                  </w:tcPr>
                  <w:p w14:paraId="3E2BE63B" w14:textId="77777777" w:rsidR="007E7472" w:rsidRDefault="00EC1269">
                    <w:pPr>
                      <w:jc w:val="right"/>
                    </w:pPr>
                    <w:r>
                      <w:t>1,066,161</w:t>
                    </w:r>
                  </w:p>
                </w:tc>
              </w:tr>
              <w:tr w:rsidR="007E7472" w14:paraId="29AA2D6B" w14:textId="77777777">
                <w:tc>
                  <w:tcPr>
                    <w:tcW w:w="1736" w:type="pct"/>
                    <w:tcBorders>
                      <w:top w:val="outset" w:sz="4" w:space="0" w:color="auto"/>
                      <w:left w:val="outset" w:sz="4" w:space="0" w:color="auto"/>
                      <w:bottom w:val="outset" w:sz="4" w:space="0" w:color="auto"/>
                      <w:right w:val="outset" w:sz="4" w:space="0" w:color="auto"/>
                    </w:tcBorders>
                  </w:tcPr>
                  <w:p w14:paraId="7D563FA2" w14:textId="77777777" w:rsidR="007E7472" w:rsidRDefault="00EC1269">
                    <w:pPr>
                      <w:ind w:firstLineChars="100" w:firstLine="210"/>
                    </w:pPr>
                    <w:r>
                      <w:rPr>
                        <w:rFonts w:hint="eastAsia"/>
                      </w:rPr>
                      <w:t>收到其他与经营活动有关的现金</w:t>
                    </w:r>
                  </w:p>
                </w:tc>
                <w:tc>
                  <w:tcPr>
                    <w:tcW w:w="866" w:type="pct"/>
                    <w:tcBorders>
                      <w:top w:val="outset" w:sz="4" w:space="0" w:color="auto"/>
                      <w:left w:val="outset" w:sz="4" w:space="0" w:color="auto"/>
                      <w:bottom w:val="outset" w:sz="4" w:space="0" w:color="auto"/>
                      <w:right w:val="outset" w:sz="4" w:space="0" w:color="auto"/>
                    </w:tcBorders>
                    <w:vAlign w:val="center"/>
                  </w:tcPr>
                  <w:p w14:paraId="70D416CB" w14:textId="77777777" w:rsidR="007E7472" w:rsidRDefault="00EC1269">
                    <w:pPr>
                      <w:jc w:val="center"/>
                      <w:rPr>
                        <w:rFonts w:asciiTheme="majorEastAsia" w:eastAsiaTheme="majorEastAsia" w:hAnsiTheme="majorEastAsia"/>
                      </w:rPr>
                    </w:pPr>
                    <w:r>
                      <w:rPr>
                        <w:rFonts w:asciiTheme="majorEastAsia" w:eastAsiaTheme="majorEastAsia" w:hAnsiTheme="majorEastAsia" w:hint="eastAsia"/>
                      </w:rPr>
                      <w:t>七、7</w:t>
                    </w:r>
                    <w:r>
                      <w:rPr>
                        <w:rFonts w:asciiTheme="majorEastAsia" w:eastAsiaTheme="majorEastAsia" w:hAnsiTheme="majorEastAsia"/>
                      </w:rPr>
                      <w:t>8</w:t>
                    </w:r>
                  </w:p>
                </w:tc>
                <w:tc>
                  <w:tcPr>
                    <w:tcW w:w="1201" w:type="pct"/>
                    <w:tcBorders>
                      <w:top w:val="outset" w:sz="4" w:space="0" w:color="auto"/>
                      <w:left w:val="outset" w:sz="4" w:space="0" w:color="auto"/>
                      <w:bottom w:val="outset" w:sz="4" w:space="0" w:color="auto"/>
                      <w:right w:val="outset" w:sz="4" w:space="0" w:color="auto"/>
                    </w:tcBorders>
                    <w:vAlign w:val="center"/>
                  </w:tcPr>
                  <w:p w14:paraId="137B6E26" w14:textId="77777777" w:rsidR="007E7472" w:rsidRDefault="00EC1269">
                    <w:pPr>
                      <w:jc w:val="right"/>
                    </w:pPr>
                    <w:r>
                      <w:t>1,981,886</w:t>
                    </w:r>
                  </w:p>
                </w:tc>
                <w:tc>
                  <w:tcPr>
                    <w:tcW w:w="1197" w:type="pct"/>
                    <w:tcBorders>
                      <w:top w:val="outset" w:sz="4" w:space="0" w:color="auto"/>
                      <w:left w:val="outset" w:sz="4" w:space="0" w:color="auto"/>
                      <w:bottom w:val="outset" w:sz="4" w:space="0" w:color="auto"/>
                      <w:right w:val="outset" w:sz="4" w:space="0" w:color="auto"/>
                    </w:tcBorders>
                    <w:vAlign w:val="center"/>
                  </w:tcPr>
                  <w:p w14:paraId="013D59C9" w14:textId="77777777" w:rsidR="007E7472" w:rsidRDefault="00EC1269">
                    <w:pPr>
                      <w:jc w:val="right"/>
                    </w:pPr>
                    <w:r>
                      <w:t>1,744,455</w:t>
                    </w:r>
                  </w:p>
                </w:tc>
              </w:tr>
              <w:tr w:rsidR="007E7472" w14:paraId="0FBFC277" w14:textId="77777777">
                <w:tc>
                  <w:tcPr>
                    <w:tcW w:w="1736" w:type="pct"/>
                    <w:tcBorders>
                      <w:top w:val="outset" w:sz="4" w:space="0" w:color="auto"/>
                      <w:left w:val="outset" w:sz="4" w:space="0" w:color="auto"/>
                      <w:bottom w:val="outset" w:sz="4" w:space="0" w:color="auto"/>
                      <w:right w:val="outset" w:sz="4" w:space="0" w:color="auto"/>
                    </w:tcBorders>
                  </w:tcPr>
                  <w:p w14:paraId="009D1A99" w14:textId="77777777" w:rsidR="007E7472" w:rsidRDefault="00EC1269">
                    <w:pPr>
                      <w:ind w:firstLineChars="200" w:firstLine="420"/>
                      <w:rPr>
                        <w:color w:val="000000"/>
                      </w:rPr>
                    </w:pPr>
                    <w:r>
                      <w:rPr>
                        <w:rFonts w:hint="eastAsia"/>
                      </w:rPr>
                      <w:t>经营活动现金流入小计</w:t>
                    </w:r>
                  </w:p>
                </w:tc>
                <w:tc>
                  <w:tcPr>
                    <w:tcW w:w="866" w:type="pct"/>
                    <w:tcBorders>
                      <w:top w:val="outset" w:sz="4" w:space="0" w:color="auto"/>
                      <w:left w:val="outset" w:sz="4" w:space="0" w:color="auto"/>
                      <w:bottom w:val="outset" w:sz="4" w:space="0" w:color="auto"/>
                      <w:right w:val="outset" w:sz="4" w:space="0" w:color="auto"/>
                    </w:tcBorders>
                    <w:vAlign w:val="center"/>
                  </w:tcPr>
                  <w:p w14:paraId="26120B74" w14:textId="77777777" w:rsidR="007E7472" w:rsidRDefault="00C8327E">
                    <w:pPr>
                      <w:jc w:val="center"/>
                      <w:rPr>
                        <w:rFonts w:asciiTheme="majorEastAsia" w:eastAsiaTheme="majorEastAsia" w:hAnsiTheme="majorEastAsia"/>
                      </w:rPr>
                    </w:pPr>
                  </w:p>
                </w:tc>
                <w:tc>
                  <w:tcPr>
                    <w:tcW w:w="1201" w:type="pct"/>
                    <w:tcBorders>
                      <w:top w:val="outset" w:sz="4" w:space="0" w:color="auto"/>
                      <w:left w:val="outset" w:sz="4" w:space="0" w:color="auto"/>
                      <w:bottom w:val="outset" w:sz="4" w:space="0" w:color="auto"/>
                      <w:right w:val="outset" w:sz="4" w:space="0" w:color="auto"/>
                    </w:tcBorders>
                    <w:vAlign w:val="center"/>
                  </w:tcPr>
                  <w:p w14:paraId="1D4E3540" w14:textId="77777777" w:rsidR="007E7472" w:rsidRDefault="00EC1269">
                    <w:pPr>
                      <w:jc w:val="right"/>
                    </w:pPr>
                    <w:r>
                      <w:t>96,712,287</w:t>
                    </w:r>
                  </w:p>
                </w:tc>
                <w:tc>
                  <w:tcPr>
                    <w:tcW w:w="1197" w:type="pct"/>
                    <w:tcBorders>
                      <w:top w:val="outset" w:sz="4" w:space="0" w:color="auto"/>
                      <w:left w:val="outset" w:sz="4" w:space="0" w:color="auto"/>
                      <w:bottom w:val="outset" w:sz="4" w:space="0" w:color="auto"/>
                      <w:right w:val="outset" w:sz="4" w:space="0" w:color="auto"/>
                    </w:tcBorders>
                    <w:vAlign w:val="center"/>
                  </w:tcPr>
                  <w:p w14:paraId="5C5DA640" w14:textId="77777777" w:rsidR="007E7472" w:rsidRDefault="00EC1269">
                    <w:pPr>
                      <w:jc w:val="right"/>
                    </w:pPr>
                    <w:r>
                      <w:t>93,491,015</w:t>
                    </w:r>
                  </w:p>
                </w:tc>
              </w:tr>
              <w:tr w:rsidR="007E7472" w14:paraId="34D08417" w14:textId="77777777">
                <w:tc>
                  <w:tcPr>
                    <w:tcW w:w="1736" w:type="pct"/>
                    <w:tcBorders>
                      <w:top w:val="outset" w:sz="4" w:space="0" w:color="auto"/>
                      <w:left w:val="outset" w:sz="4" w:space="0" w:color="auto"/>
                      <w:bottom w:val="outset" w:sz="4" w:space="0" w:color="auto"/>
                      <w:right w:val="outset" w:sz="4" w:space="0" w:color="auto"/>
                    </w:tcBorders>
                  </w:tcPr>
                  <w:p w14:paraId="4A940135" w14:textId="77777777" w:rsidR="007E7472" w:rsidRDefault="00EC1269">
                    <w:pPr>
                      <w:ind w:firstLineChars="100" w:firstLine="210"/>
                    </w:pPr>
                    <w:r>
                      <w:rPr>
                        <w:rFonts w:hint="eastAsia"/>
                      </w:rPr>
                      <w:t>购买商品、接受劳务支付的现金</w:t>
                    </w:r>
                  </w:p>
                </w:tc>
                <w:tc>
                  <w:tcPr>
                    <w:tcW w:w="866" w:type="pct"/>
                    <w:tcBorders>
                      <w:top w:val="outset" w:sz="4" w:space="0" w:color="auto"/>
                      <w:left w:val="outset" w:sz="4" w:space="0" w:color="auto"/>
                      <w:bottom w:val="outset" w:sz="4" w:space="0" w:color="auto"/>
                      <w:right w:val="outset" w:sz="4" w:space="0" w:color="auto"/>
                    </w:tcBorders>
                    <w:vAlign w:val="center"/>
                  </w:tcPr>
                  <w:p w14:paraId="2AFF2E04" w14:textId="77777777" w:rsidR="007E7472" w:rsidRDefault="00C8327E">
                    <w:pPr>
                      <w:jc w:val="center"/>
                      <w:rPr>
                        <w:rFonts w:asciiTheme="majorEastAsia" w:eastAsiaTheme="majorEastAsia" w:hAnsiTheme="majorEastAsia"/>
                      </w:rPr>
                    </w:pPr>
                  </w:p>
                </w:tc>
                <w:tc>
                  <w:tcPr>
                    <w:tcW w:w="1201" w:type="pct"/>
                    <w:tcBorders>
                      <w:top w:val="outset" w:sz="4" w:space="0" w:color="auto"/>
                      <w:left w:val="outset" w:sz="4" w:space="0" w:color="auto"/>
                      <w:bottom w:val="outset" w:sz="4" w:space="0" w:color="auto"/>
                      <w:right w:val="outset" w:sz="4" w:space="0" w:color="auto"/>
                    </w:tcBorders>
                    <w:vAlign w:val="center"/>
                  </w:tcPr>
                  <w:p w14:paraId="1A95082D" w14:textId="77777777" w:rsidR="007E7472" w:rsidRDefault="00EC1269">
                    <w:pPr>
                      <w:jc w:val="right"/>
                    </w:pPr>
                    <w:r>
                      <w:t>56,337,919</w:t>
                    </w:r>
                  </w:p>
                </w:tc>
                <w:tc>
                  <w:tcPr>
                    <w:tcW w:w="1197" w:type="pct"/>
                    <w:tcBorders>
                      <w:top w:val="outset" w:sz="4" w:space="0" w:color="auto"/>
                      <w:left w:val="outset" w:sz="4" w:space="0" w:color="auto"/>
                      <w:bottom w:val="outset" w:sz="4" w:space="0" w:color="auto"/>
                      <w:right w:val="outset" w:sz="4" w:space="0" w:color="auto"/>
                    </w:tcBorders>
                    <w:vAlign w:val="center"/>
                  </w:tcPr>
                  <w:p w14:paraId="62676D14" w14:textId="77777777" w:rsidR="007E7472" w:rsidRDefault="00EC1269">
                    <w:pPr>
                      <w:jc w:val="right"/>
                    </w:pPr>
                    <w:r>
                      <w:t>52,177,216</w:t>
                    </w:r>
                  </w:p>
                </w:tc>
              </w:tr>
              <w:tr w:rsidR="007E7472" w14:paraId="1F5A258C" w14:textId="77777777">
                <w:tc>
                  <w:tcPr>
                    <w:tcW w:w="1736" w:type="pct"/>
                    <w:tcBorders>
                      <w:top w:val="outset" w:sz="4" w:space="0" w:color="auto"/>
                      <w:left w:val="outset" w:sz="4" w:space="0" w:color="auto"/>
                      <w:bottom w:val="outset" w:sz="4" w:space="0" w:color="auto"/>
                      <w:right w:val="outset" w:sz="4" w:space="0" w:color="auto"/>
                    </w:tcBorders>
                  </w:tcPr>
                  <w:p w14:paraId="3E682871" w14:textId="77777777" w:rsidR="007E7472" w:rsidRDefault="00EC1269">
                    <w:pPr>
                      <w:ind w:firstLineChars="100" w:firstLine="210"/>
                    </w:pPr>
                    <w:r>
                      <w:rPr>
                        <w:rFonts w:hint="eastAsia"/>
                      </w:rPr>
                      <w:t>客户贷款及垫款净增加额</w:t>
                    </w:r>
                  </w:p>
                </w:tc>
                <w:tc>
                  <w:tcPr>
                    <w:tcW w:w="866" w:type="pct"/>
                    <w:tcBorders>
                      <w:top w:val="outset" w:sz="4" w:space="0" w:color="auto"/>
                      <w:left w:val="outset" w:sz="4" w:space="0" w:color="auto"/>
                      <w:bottom w:val="outset" w:sz="4" w:space="0" w:color="auto"/>
                      <w:right w:val="outset" w:sz="4" w:space="0" w:color="auto"/>
                    </w:tcBorders>
                    <w:vAlign w:val="center"/>
                  </w:tcPr>
                  <w:p w14:paraId="3CE458D5" w14:textId="77777777" w:rsidR="007E7472" w:rsidRDefault="00C8327E">
                    <w:pPr>
                      <w:jc w:val="center"/>
                      <w:rPr>
                        <w:rFonts w:asciiTheme="majorEastAsia" w:eastAsiaTheme="majorEastAsia" w:hAnsiTheme="majorEastAsia"/>
                      </w:rPr>
                    </w:pPr>
                  </w:p>
                </w:tc>
                <w:tc>
                  <w:tcPr>
                    <w:tcW w:w="1201" w:type="pct"/>
                    <w:tcBorders>
                      <w:top w:val="outset" w:sz="4" w:space="0" w:color="auto"/>
                      <w:left w:val="outset" w:sz="4" w:space="0" w:color="auto"/>
                      <w:bottom w:val="outset" w:sz="4" w:space="0" w:color="auto"/>
                      <w:right w:val="outset" w:sz="4" w:space="0" w:color="auto"/>
                    </w:tcBorders>
                    <w:vAlign w:val="center"/>
                  </w:tcPr>
                  <w:p w14:paraId="1F30BECB" w14:textId="77777777" w:rsidR="007E7472" w:rsidRDefault="00EC1269">
                    <w:pPr>
                      <w:jc w:val="right"/>
                    </w:pPr>
                    <w:r>
                      <w:t>-271,064</w:t>
                    </w:r>
                  </w:p>
                </w:tc>
                <w:tc>
                  <w:tcPr>
                    <w:tcW w:w="1197" w:type="pct"/>
                    <w:tcBorders>
                      <w:top w:val="outset" w:sz="4" w:space="0" w:color="auto"/>
                      <w:left w:val="outset" w:sz="4" w:space="0" w:color="auto"/>
                      <w:bottom w:val="outset" w:sz="4" w:space="0" w:color="auto"/>
                      <w:right w:val="outset" w:sz="4" w:space="0" w:color="auto"/>
                    </w:tcBorders>
                    <w:vAlign w:val="center"/>
                  </w:tcPr>
                  <w:p w14:paraId="2C143C4D" w14:textId="77777777" w:rsidR="007E7472" w:rsidRDefault="00EC1269">
                    <w:pPr>
                      <w:jc w:val="right"/>
                    </w:pPr>
                    <w:r>
                      <w:t>-1,144,624</w:t>
                    </w:r>
                  </w:p>
                </w:tc>
              </w:tr>
              <w:tr w:rsidR="007E7472" w14:paraId="2F9D2A63" w14:textId="77777777">
                <w:sdt>
                  <w:sdtPr>
                    <w:tag w:val="_PLD_c930b8bdc14d4d048d2b903bf85928a6"/>
                    <w:id w:val="1381748861"/>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605F41F3" w14:textId="77777777" w:rsidR="007E7472" w:rsidRDefault="00EC1269">
                        <w:pPr>
                          <w:ind w:firstLineChars="100" w:firstLine="210"/>
                        </w:pPr>
                        <w:r>
                          <w:rPr>
                            <w:rFonts w:hint="eastAsia"/>
                          </w:rPr>
                          <w:t>存放中央银行和同业款项净增加额</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4171FC2A" w14:textId="77777777" w:rsidR="007E7472" w:rsidRDefault="00C8327E">
                    <w:pPr>
                      <w:jc w:val="center"/>
                      <w:rPr>
                        <w:rFonts w:asciiTheme="majorEastAsia" w:eastAsiaTheme="majorEastAsia" w:hAnsiTheme="majorEastAsia"/>
                      </w:rPr>
                    </w:pPr>
                  </w:p>
                </w:tc>
                <w:tc>
                  <w:tcPr>
                    <w:tcW w:w="1201" w:type="pct"/>
                    <w:tcBorders>
                      <w:top w:val="outset" w:sz="4" w:space="0" w:color="auto"/>
                      <w:left w:val="outset" w:sz="4" w:space="0" w:color="auto"/>
                      <w:bottom w:val="outset" w:sz="4" w:space="0" w:color="auto"/>
                      <w:right w:val="outset" w:sz="4" w:space="0" w:color="auto"/>
                    </w:tcBorders>
                    <w:vAlign w:val="center"/>
                  </w:tcPr>
                  <w:p w14:paraId="4CE3BEE2" w14:textId="77777777" w:rsidR="007E7472" w:rsidRDefault="00C8327E">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14:paraId="581EC5F5" w14:textId="77777777" w:rsidR="007E7472" w:rsidRDefault="00C8327E">
                    <w:pPr>
                      <w:jc w:val="right"/>
                    </w:pPr>
                  </w:p>
                </w:tc>
              </w:tr>
              <w:tr w:rsidR="007E7472" w14:paraId="6D08B54E" w14:textId="77777777">
                <w:sdt>
                  <w:sdtPr>
                    <w:tag w:val="_PLD_eb41952abbe741389032345de9aedbff"/>
                    <w:id w:val="-1102103879"/>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3B6FDE66" w14:textId="77777777" w:rsidR="007E7472" w:rsidRDefault="00EC1269">
                        <w:pPr>
                          <w:ind w:firstLineChars="100" w:firstLine="210"/>
                        </w:pPr>
                        <w:r>
                          <w:rPr>
                            <w:rFonts w:hint="eastAsia"/>
                          </w:rPr>
                          <w:t>支付原保险合同赔付款项的现金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4DB3BF01" w14:textId="77777777" w:rsidR="007E7472" w:rsidRDefault="00C8327E">
                    <w:pPr>
                      <w:jc w:val="center"/>
                      <w:rPr>
                        <w:rFonts w:asciiTheme="majorEastAsia" w:eastAsiaTheme="majorEastAsia" w:hAnsiTheme="majorEastAsia"/>
                      </w:rPr>
                    </w:pPr>
                  </w:p>
                </w:tc>
                <w:tc>
                  <w:tcPr>
                    <w:tcW w:w="1201" w:type="pct"/>
                    <w:tcBorders>
                      <w:top w:val="outset" w:sz="4" w:space="0" w:color="auto"/>
                      <w:left w:val="outset" w:sz="4" w:space="0" w:color="auto"/>
                      <w:bottom w:val="outset" w:sz="4" w:space="0" w:color="auto"/>
                      <w:right w:val="outset" w:sz="4" w:space="0" w:color="auto"/>
                    </w:tcBorders>
                    <w:vAlign w:val="center"/>
                  </w:tcPr>
                  <w:p w14:paraId="03B35BF0" w14:textId="77777777" w:rsidR="007E7472" w:rsidRDefault="00C8327E">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14:paraId="12DAC01C" w14:textId="77777777" w:rsidR="007E7472" w:rsidRDefault="00C8327E">
                    <w:pPr>
                      <w:jc w:val="right"/>
                    </w:pPr>
                  </w:p>
                </w:tc>
              </w:tr>
              <w:tr w:rsidR="007E7472" w14:paraId="07129FA2" w14:textId="77777777">
                <w:tc>
                  <w:tcPr>
                    <w:tcW w:w="1736" w:type="pct"/>
                    <w:tcBorders>
                      <w:top w:val="outset" w:sz="4" w:space="0" w:color="auto"/>
                      <w:left w:val="outset" w:sz="4" w:space="0" w:color="auto"/>
                      <w:bottom w:val="outset" w:sz="4" w:space="0" w:color="auto"/>
                      <w:right w:val="outset" w:sz="4" w:space="0" w:color="auto"/>
                    </w:tcBorders>
                  </w:tcPr>
                  <w:sdt>
                    <w:sdtPr>
                      <w:rPr>
                        <w:rFonts w:hint="eastAsia"/>
                      </w:rPr>
                      <w:tag w:val="_PLD_22a8c5b88fa84ee5bb2a7df3c08dff78"/>
                      <w:id w:val="207620683"/>
                      <w:lock w:val="sdtLocked"/>
                    </w:sdtPr>
                    <w:sdtEndPr/>
                    <w:sdtContent>
                      <w:p w14:paraId="022067F4" w14:textId="77777777" w:rsidR="007E7472" w:rsidRDefault="00EC1269">
                        <w:pPr>
                          <w:ind w:firstLineChars="100" w:firstLine="210"/>
                        </w:pPr>
                        <w:r>
                          <w:rPr>
                            <w:rFonts w:hint="eastAsia"/>
                          </w:rPr>
                          <w:t>拆出资金净增加额</w:t>
                        </w:r>
                      </w:p>
                    </w:sdtContent>
                  </w:sdt>
                </w:tc>
                <w:tc>
                  <w:tcPr>
                    <w:tcW w:w="866" w:type="pct"/>
                    <w:tcBorders>
                      <w:top w:val="outset" w:sz="4" w:space="0" w:color="auto"/>
                      <w:left w:val="outset" w:sz="4" w:space="0" w:color="auto"/>
                      <w:bottom w:val="outset" w:sz="4" w:space="0" w:color="auto"/>
                      <w:right w:val="outset" w:sz="4" w:space="0" w:color="auto"/>
                    </w:tcBorders>
                    <w:vAlign w:val="center"/>
                  </w:tcPr>
                  <w:p w14:paraId="30409D6F" w14:textId="77777777" w:rsidR="007E7472" w:rsidRDefault="00C8327E">
                    <w:pPr>
                      <w:jc w:val="center"/>
                      <w:rPr>
                        <w:rFonts w:asciiTheme="majorEastAsia" w:eastAsiaTheme="majorEastAsia" w:hAnsiTheme="majorEastAsia"/>
                      </w:rPr>
                    </w:pPr>
                  </w:p>
                </w:tc>
                <w:tc>
                  <w:tcPr>
                    <w:tcW w:w="1201" w:type="pct"/>
                    <w:tcBorders>
                      <w:top w:val="outset" w:sz="4" w:space="0" w:color="auto"/>
                      <w:left w:val="outset" w:sz="4" w:space="0" w:color="auto"/>
                      <w:bottom w:val="outset" w:sz="4" w:space="0" w:color="auto"/>
                      <w:right w:val="outset" w:sz="4" w:space="0" w:color="auto"/>
                    </w:tcBorders>
                    <w:vAlign w:val="center"/>
                  </w:tcPr>
                  <w:p w14:paraId="39E48218" w14:textId="77777777" w:rsidR="007E7472" w:rsidRDefault="00C8327E">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14:paraId="0E5FAA3D" w14:textId="77777777" w:rsidR="007E7472" w:rsidRDefault="00C8327E">
                    <w:pPr>
                      <w:jc w:val="right"/>
                    </w:pPr>
                  </w:p>
                </w:tc>
              </w:tr>
              <w:tr w:rsidR="007E7472" w14:paraId="706D374F" w14:textId="77777777">
                <w:sdt>
                  <w:sdtPr>
                    <w:tag w:val="_PLD_182352293eb948718bd2d2895af0d012"/>
                    <w:id w:val="533164480"/>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7082C98A" w14:textId="77777777" w:rsidR="007E7472" w:rsidRDefault="00EC1269">
                        <w:pPr>
                          <w:ind w:firstLineChars="100" w:firstLine="210"/>
                        </w:pPr>
                        <w:r>
                          <w:rPr>
                            <w:rFonts w:hint="eastAsia"/>
                          </w:rPr>
                          <w:t>支付利息、手续费及佣金的现金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647A9C1B" w14:textId="77777777" w:rsidR="007E7472" w:rsidRDefault="00C8327E">
                    <w:pPr>
                      <w:jc w:val="center"/>
                      <w:rPr>
                        <w:rFonts w:asciiTheme="majorEastAsia" w:eastAsiaTheme="majorEastAsia" w:hAnsiTheme="majorEastAsia"/>
                      </w:rPr>
                    </w:pPr>
                  </w:p>
                </w:tc>
                <w:tc>
                  <w:tcPr>
                    <w:tcW w:w="1201" w:type="pct"/>
                    <w:tcBorders>
                      <w:top w:val="outset" w:sz="4" w:space="0" w:color="auto"/>
                      <w:left w:val="outset" w:sz="4" w:space="0" w:color="auto"/>
                      <w:bottom w:val="outset" w:sz="4" w:space="0" w:color="auto"/>
                      <w:right w:val="outset" w:sz="4" w:space="0" w:color="auto"/>
                    </w:tcBorders>
                    <w:vAlign w:val="center"/>
                  </w:tcPr>
                  <w:p w14:paraId="4EC3A414" w14:textId="77777777" w:rsidR="007E7472" w:rsidRDefault="00C8327E">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14:paraId="427A7F2A" w14:textId="77777777" w:rsidR="007E7472" w:rsidRDefault="00C8327E">
                    <w:pPr>
                      <w:jc w:val="right"/>
                    </w:pPr>
                  </w:p>
                </w:tc>
              </w:tr>
              <w:tr w:rsidR="007E7472" w14:paraId="3A962583" w14:textId="77777777">
                <w:sdt>
                  <w:sdtPr>
                    <w:tag w:val="_PLD_c4e139d97f004b09b9ef784db1d19d92"/>
                    <w:id w:val="1012496756"/>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28EFD5BA" w14:textId="77777777" w:rsidR="007E7472" w:rsidRDefault="00EC1269">
                        <w:pPr>
                          <w:ind w:firstLineChars="100" w:firstLine="210"/>
                        </w:pPr>
                        <w:r>
                          <w:rPr>
                            <w:rFonts w:hint="eastAsia"/>
                          </w:rPr>
                          <w:t>支付保单红利的现金</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13E6F626" w14:textId="77777777" w:rsidR="007E7472" w:rsidRDefault="00C8327E">
                    <w:pPr>
                      <w:jc w:val="center"/>
                      <w:rPr>
                        <w:rFonts w:asciiTheme="majorEastAsia" w:eastAsiaTheme="majorEastAsia" w:hAnsiTheme="majorEastAsia"/>
                      </w:rPr>
                    </w:pPr>
                  </w:p>
                </w:tc>
                <w:tc>
                  <w:tcPr>
                    <w:tcW w:w="1201" w:type="pct"/>
                    <w:tcBorders>
                      <w:top w:val="outset" w:sz="4" w:space="0" w:color="auto"/>
                      <w:left w:val="outset" w:sz="4" w:space="0" w:color="auto"/>
                      <w:bottom w:val="outset" w:sz="4" w:space="0" w:color="auto"/>
                      <w:right w:val="outset" w:sz="4" w:space="0" w:color="auto"/>
                    </w:tcBorders>
                    <w:vAlign w:val="center"/>
                  </w:tcPr>
                  <w:p w14:paraId="1E7DBE6A" w14:textId="77777777" w:rsidR="007E7472" w:rsidRDefault="00C8327E">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14:paraId="58FE9B3C" w14:textId="77777777" w:rsidR="007E7472" w:rsidRDefault="00C8327E">
                    <w:pPr>
                      <w:jc w:val="right"/>
                    </w:pPr>
                  </w:p>
                </w:tc>
              </w:tr>
              <w:tr w:rsidR="007E7472" w14:paraId="4689824F" w14:textId="77777777">
                <w:tc>
                  <w:tcPr>
                    <w:tcW w:w="1736" w:type="pct"/>
                    <w:tcBorders>
                      <w:top w:val="outset" w:sz="4" w:space="0" w:color="auto"/>
                      <w:left w:val="outset" w:sz="4" w:space="0" w:color="auto"/>
                      <w:bottom w:val="outset" w:sz="4" w:space="0" w:color="auto"/>
                      <w:right w:val="outset" w:sz="4" w:space="0" w:color="auto"/>
                    </w:tcBorders>
                  </w:tcPr>
                  <w:p w14:paraId="2D29EED4" w14:textId="77777777" w:rsidR="007E7472" w:rsidRDefault="00EC1269">
                    <w:pPr>
                      <w:ind w:firstLineChars="100" w:firstLine="210"/>
                    </w:pPr>
                    <w:r>
                      <w:rPr>
                        <w:rFonts w:hint="eastAsia"/>
                      </w:rPr>
                      <w:t>支付给职工及为职工支付的现金</w:t>
                    </w:r>
                  </w:p>
                </w:tc>
                <w:tc>
                  <w:tcPr>
                    <w:tcW w:w="866" w:type="pct"/>
                    <w:tcBorders>
                      <w:top w:val="outset" w:sz="4" w:space="0" w:color="auto"/>
                      <w:left w:val="outset" w:sz="4" w:space="0" w:color="auto"/>
                      <w:bottom w:val="outset" w:sz="4" w:space="0" w:color="auto"/>
                      <w:right w:val="outset" w:sz="4" w:space="0" w:color="auto"/>
                    </w:tcBorders>
                    <w:vAlign w:val="center"/>
                  </w:tcPr>
                  <w:p w14:paraId="3CBC057F" w14:textId="77777777" w:rsidR="007E7472" w:rsidRDefault="00C8327E">
                    <w:pPr>
                      <w:jc w:val="center"/>
                      <w:rPr>
                        <w:rFonts w:asciiTheme="majorEastAsia" w:eastAsiaTheme="majorEastAsia" w:hAnsiTheme="majorEastAsia"/>
                      </w:rPr>
                    </w:pPr>
                  </w:p>
                </w:tc>
                <w:tc>
                  <w:tcPr>
                    <w:tcW w:w="1201" w:type="pct"/>
                    <w:tcBorders>
                      <w:top w:val="outset" w:sz="4" w:space="0" w:color="auto"/>
                      <w:left w:val="outset" w:sz="4" w:space="0" w:color="auto"/>
                      <w:bottom w:val="outset" w:sz="4" w:space="0" w:color="auto"/>
                      <w:right w:val="outset" w:sz="4" w:space="0" w:color="auto"/>
                    </w:tcBorders>
                    <w:vAlign w:val="center"/>
                  </w:tcPr>
                  <w:p w14:paraId="142BA1BF" w14:textId="77777777" w:rsidR="007E7472" w:rsidRDefault="00EC1269">
                    <w:pPr>
                      <w:jc w:val="right"/>
                    </w:pPr>
                    <w:r>
                      <w:t>8,354,787</w:t>
                    </w:r>
                  </w:p>
                </w:tc>
                <w:tc>
                  <w:tcPr>
                    <w:tcW w:w="1197" w:type="pct"/>
                    <w:tcBorders>
                      <w:top w:val="outset" w:sz="4" w:space="0" w:color="auto"/>
                      <w:left w:val="outset" w:sz="4" w:space="0" w:color="auto"/>
                      <w:bottom w:val="outset" w:sz="4" w:space="0" w:color="auto"/>
                      <w:right w:val="outset" w:sz="4" w:space="0" w:color="auto"/>
                    </w:tcBorders>
                    <w:vAlign w:val="center"/>
                  </w:tcPr>
                  <w:p w14:paraId="68E8D03C" w14:textId="77777777" w:rsidR="007E7472" w:rsidRDefault="00EC1269">
                    <w:pPr>
                      <w:jc w:val="right"/>
                    </w:pPr>
                    <w:r>
                      <w:t>7,574,413</w:t>
                    </w:r>
                  </w:p>
                </w:tc>
              </w:tr>
              <w:tr w:rsidR="007E7472" w14:paraId="14ABA59A" w14:textId="77777777">
                <w:tc>
                  <w:tcPr>
                    <w:tcW w:w="1736" w:type="pct"/>
                    <w:tcBorders>
                      <w:top w:val="outset" w:sz="4" w:space="0" w:color="auto"/>
                      <w:left w:val="outset" w:sz="4" w:space="0" w:color="auto"/>
                      <w:bottom w:val="outset" w:sz="4" w:space="0" w:color="auto"/>
                      <w:right w:val="outset" w:sz="4" w:space="0" w:color="auto"/>
                    </w:tcBorders>
                  </w:tcPr>
                  <w:p w14:paraId="2458FBD9" w14:textId="77777777" w:rsidR="007E7472" w:rsidRDefault="00EC1269">
                    <w:pPr>
                      <w:ind w:firstLineChars="100" w:firstLine="210"/>
                    </w:pPr>
                    <w:r>
                      <w:rPr>
                        <w:rFonts w:hint="eastAsia"/>
                      </w:rPr>
                      <w:t>支付的各项税费</w:t>
                    </w:r>
                  </w:p>
                </w:tc>
                <w:tc>
                  <w:tcPr>
                    <w:tcW w:w="866" w:type="pct"/>
                    <w:tcBorders>
                      <w:top w:val="outset" w:sz="4" w:space="0" w:color="auto"/>
                      <w:left w:val="outset" w:sz="4" w:space="0" w:color="auto"/>
                      <w:bottom w:val="outset" w:sz="4" w:space="0" w:color="auto"/>
                      <w:right w:val="outset" w:sz="4" w:space="0" w:color="auto"/>
                    </w:tcBorders>
                    <w:vAlign w:val="center"/>
                  </w:tcPr>
                  <w:p w14:paraId="04C283EF" w14:textId="77777777" w:rsidR="007E7472" w:rsidRDefault="00C8327E">
                    <w:pPr>
                      <w:jc w:val="center"/>
                      <w:rPr>
                        <w:rFonts w:asciiTheme="majorEastAsia" w:eastAsiaTheme="majorEastAsia" w:hAnsiTheme="majorEastAsia"/>
                      </w:rPr>
                    </w:pPr>
                  </w:p>
                </w:tc>
                <w:tc>
                  <w:tcPr>
                    <w:tcW w:w="1201" w:type="pct"/>
                    <w:tcBorders>
                      <w:top w:val="outset" w:sz="4" w:space="0" w:color="auto"/>
                      <w:left w:val="outset" w:sz="4" w:space="0" w:color="auto"/>
                      <w:bottom w:val="outset" w:sz="4" w:space="0" w:color="auto"/>
                      <w:right w:val="outset" w:sz="4" w:space="0" w:color="auto"/>
                    </w:tcBorders>
                    <w:vAlign w:val="center"/>
                  </w:tcPr>
                  <w:p w14:paraId="354C21F8" w14:textId="77777777" w:rsidR="007E7472" w:rsidRDefault="00EC1269">
                    <w:pPr>
                      <w:jc w:val="right"/>
                    </w:pPr>
                    <w:r>
                      <w:t>18,529,457</w:t>
                    </w:r>
                  </w:p>
                </w:tc>
                <w:tc>
                  <w:tcPr>
                    <w:tcW w:w="1197" w:type="pct"/>
                    <w:tcBorders>
                      <w:top w:val="outset" w:sz="4" w:space="0" w:color="auto"/>
                      <w:left w:val="outset" w:sz="4" w:space="0" w:color="auto"/>
                      <w:bottom w:val="outset" w:sz="4" w:space="0" w:color="auto"/>
                      <w:right w:val="outset" w:sz="4" w:space="0" w:color="auto"/>
                    </w:tcBorders>
                    <w:vAlign w:val="center"/>
                  </w:tcPr>
                  <w:p w14:paraId="44BFFF22" w14:textId="77777777" w:rsidR="007E7472" w:rsidRDefault="00EC1269">
                    <w:pPr>
                      <w:jc w:val="right"/>
                    </w:pPr>
                    <w:r>
                      <w:t>14,177,078</w:t>
                    </w:r>
                  </w:p>
                </w:tc>
              </w:tr>
              <w:tr w:rsidR="007E7472" w14:paraId="498E4BE1" w14:textId="77777777">
                <w:tc>
                  <w:tcPr>
                    <w:tcW w:w="1736" w:type="pct"/>
                    <w:tcBorders>
                      <w:top w:val="outset" w:sz="4" w:space="0" w:color="auto"/>
                      <w:left w:val="outset" w:sz="4" w:space="0" w:color="auto"/>
                      <w:bottom w:val="outset" w:sz="4" w:space="0" w:color="auto"/>
                      <w:right w:val="outset" w:sz="4" w:space="0" w:color="auto"/>
                    </w:tcBorders>
                  </w:tcPr>
                  <w:p w14:paraId="17FCCE27" w14:textId="77777777" w:rsidR="007E7472" w:rsidRDefault="00EC1269">
                    <w:pPr>
                      <w:ind w:firstLineChars="100" w:firstLine="210"/>
                    </w:pPr>
                    <w:r>
                      <w:rPr>
                        <w:rFonts w:hint="eastAsia"/>
                      </w:rPr>
                      <w:t>支付其他与经营活动有关的现金</w:t>
                    </w:r>
                  </w:p>
                </w:tc>
                <w:tc>
                  <w:tcPr>
                    <w:tcW w:w="866" w:type="pct"/>
                    <w:tcBorders>
                      <w:top w:val="outset" w:sz="4" w:space="0" w:color="auto"/>
                      <w:left w:val="outset" w:sz="4" w:space="0" w:color="auto"/>
                      <w:bottom w:val="outset" w:sz="4" w:space="0" w:color="auto"/>
                      <w:right w:val="outset" w:sz="4" w:space="0" w:color="auto"/>
                    </w:tcBorders>
                    <w:vAlign w:val="center"/>
                  </w:tcPr>
                  <w:p w14:paraId="587D7367" w14:textId="77777777" w:rsidR="007E7472" w:rsidRDefault="00EC1269">
                    <w:pPr>
                      <w:jc w:val="center"/>
                      <w:rPr>
                        <w:rFonts w:asciiTheme="majorEastAsia" w:eastAsiaTheme="majorEastAsia" w:hAnsiTheme="majorEastAsia"/>
                      </w:rPr>
                    </w:pPr>
                    <w:r>
                      <w:rPr>
                        <w:rFonts w:asciiTheme="majorEastAsia" w:eastAsiaTheme="majorEastAsia" w:hAnsiTheme="majorEastAsia" w:hint="eastAsia"/>
                      </w:rPr>
                      <w:t>七、7</w:t>
                    </w:r>
                    <w:r>
                      <w:rPr>
                        <w:rFonts w:asciiTheme="majorEastAsia" w:eastAsiaTheme="majorEastAsia" w:hAnsiTheme="majorEastAsia"/>
                      </w:rPr>
                      <w:t>8</w:t>
                    </w:r>
                  </w:p>
                </w:tc>
                <w:tc>
                  <w:tcPr>
                    <w:tcW w:w="1201" w:type="pct"/>
                    <w:tcBorders>
                      <w:top w:val="outset" w:sz="4" w:space="0" w:color="auto"/>
                      <w:left w:val="outset" w:sz="4" w:space="0" w:color="auto"/>
                      <w:bottom w:val="outset" w:sz="4" w:space="0" w:color="auto"/>
                      <w:right w:val="outset" w:sz="4" w:space="0" w:color="auto"/>
                    </w:tcBorders>
                    <w:vAlign w:val="center"/>
                  </w:tcPr>
                  <w:p w14:paraId="5FC109F6" w14:textId="77777777" w:rsidR="007E7472" w:rsidRDefault="00EC1269">
                    <w:pPr>
                      <w:jc w:val="right"/>
                    </w:pPr>
                    <w:r>
                      <w:t>5,100,068</w:t>
                    </w:r>
                  </w:p>
                </w:tc>
                <w:tc>
                  <w:tcPr>
                    <w:tcW w:w="1197" w:type="pct"/>
                    <w:tcBorders>
                      <w:top w:val="outset" w:sz="4" w:space="0" w:color="auto"/>
                      <w:left w:val="outset" w:sz="4" w:space="0" w:color="auto"/>
                      <w:bottom w:val="outset" w:sz="4" w:space="0" w:color="auto"/>
                      <w:right w:val="outset" w:sz="4" w:space="0" w:color="auto"/>
                    </w:tcBorders>
                    <w:vAlign w:val="center"/>
                  </w:tcPr>
                  <w:p w14:paraId="0BA81084" w14:textId="77777777" w:rsidR="007E7472" w:rsidRDefault="00EC1269">
                    <w:pPr>
                      <w:jc w:val="right"/>
                    </w:pPr>
                    <w:r>
                      <w:t>7,308,327</w:t>
                    </w:r>
                  </w:p>
                </w:tc>
              </w:tr>
              <w:tr w:rsidR="007E7472" w14:paraId="48EC8D2B" w14:textId="77777777">
                <w:tc>
                  <w:tcPr>
                    <w:tcW w:w="1736" w:type="pct"/>
                    <w:tcBorders>
                      <w:top w:val="outset" w:sz="4" w:space="0" w:color="auto"/>
                      <w:left w:val="outset" w:sz="4" w:space="0" w:color="auto"/>
                      <w:bottom w:val="outset" w:sz="4" w:space="0" w:color="auto"/>
                      <w:right w:val="outset" w:sz="4" w:space="0" w:color="auto"/>
                    </w:tcBorders>
                  </w:tcPr>
                  <w:p w14:paraId="7301CBDB" w14:textId="77777777" w:rsidR="007E7472" w:rsidRDefault="00EC1269">
                    <w:pPr>
                      <w:ind w:firstLineChars="200" w:firstLine="420"/>
                      <w:rPr>
                        <w:color w:val="000000"/>
                      </w:rPr>
                    </w:pPr>
                    <w:r>
                      <w:rPr>
                        <w:rFonts w:hint="eastAsia"/>
                      </w:rPr>
                      <w:t>经营活动现金流出小计</w:t>
                    </w:r>
                  </w:p>
                </w:tc>
                <w:tc>
                  <w:tcPr>
                    <w:tcW w:w="866" w:type="pct"/>
                    <w:tcBorders>
                      <w:top w:val="outset" w:sz="4" w:space="0" w:color="auto"/>
                      <w:left w:val="outset" w:sz="4" w:space="0" w:color="auto"/>
                      <w:bottom w:val="outset" w:sz="4" w:space="0" w:color="auto"/>
                      <w:right w:val="outset" w:sz="4" w:space="0" w:color="auto"/>
                    </w:tcBorders>
                    <w:vAlign w:val="center"/>
                  </w:tcPr>
                  <w:p w14:paraId="26F67796" w14:textId="77777777" w:rsidR="007E7472" w:rsidRDefault="00C8327E">
                    <w:pPr>
                      <w:jc w:val="center"/>
                      <w:rPr>
                        <w:rFonts w:asciiTheme="majorEastAsia" w:eastAsiaTheme="majorEastAsia" w:hAnsiTheme="majorEastAsia"/>
                      </w:rPr>
                    </w:pPr>
                  </w:p>
                </w:tc>
                <w:tc>
                  <w:tcPr>
                    <w:tcW w:w="1201" w:type="pct"/>
                    <w:tcBorders>
                      <w:top w:val="outset" w:sz="4" w:space="0" w:color="auto"/>
                      <w:left w:val="outset" w:sz="4" w:space="0" w:color="auto"/>
                      <w:bottom w:val="outset" w:sz="4" w:space="0" w:color="auto"/>
                      <w:right w:val="outset" w:sz="4" w:space="0" w:color="auto"/>
                    </w:tcBorders>
                    <w:vAlign w:val="center"/>
                  </w:tcPr>
                  <w:p w14:paraId="5856860A" w14:textId="77777777" w:rsidR="007E7472" w:rsidRDefault="00EC1269">
                    <w:pPr>
                      <w:jc w:val="right"/>
                    </w:pPr>
                    <w:r>
                      <w:t>88,051,167</w:t>
                    </w:r>
                  </w:p>
                </w:tc>
                <w:tc>
                  <w:tcPr>
                    <w:tcW w:w="1197" w:type="pct"/>
                    <w:tcBorders>
                      <w:top w:val="outset" w:sz="4" w:space="0" w:color="auto"/>
                      <w:left w:val="outset" w:sz="4" w:space="0" w:color="auto"/>
                      <w:bottom w:val="outset" w:sz="4" w:space="0" w:color="auto"/>
                      <w:right w:val="outset" w:sz="4" w:space="0" w:color="auto"/>
                    </w:tcBorders>
                    <w:vAlign w:val="center"/>
                  </w:tcPr>
                  <w:p w14:paraId="0A611197" w14:textId="77777777" w:rsidR="007E7472" w:rsidRDefault="00EC1269">
                    <w:pPr>
                      <w:jc w:val="right"/>
                    </w:pPr>
                    <w:r>
                      <w:t>80,092,410</w:t>
                    </w:r>
                  </w:p>
                </w:tc>
              </w:tr>
              <w:tr w:rsidR="007E7472" w14:paraId="3B2D67EA" w14:textId="77777777">
                <w:tc>
                  <w:tcPr>
                    <w:tcW w:w="1736" w:type="pct"/>
                    <w:tcBorders>
                      <w:top w:val="outset" w:sz="4" w:space="0" w:color="auto"/>
                      <w:left w:val="outset" w:sz="4" w:space="0" w:color="auto"/>
                      <w:bottom w:val="outset" w:sz="4" w:space="0" w:color="auto"/>
                      <w:right w:val="outset" w:sz="4" w:space="0" w:color="auto"/>
                    </w:tcBorders>
                  </w:tcPr>
                  <w:p w14:paraId="35F0971E" w14:textId="77777777" w:rsidR="007E7472" w:rsidRDefault="00EC1269">
                    <w:pPr>
                      <w:ind w:firstLineChars="300" w:firstLine="630"/>
                      <w:rPr>
                        <w:color w:val="000000"/>
                      </w:rPr>
                    </w:pPr>
                    <w:r>
                      <w:rPr>
                        <w:rFonts w:hint="eastAsia"/>
                      </w:rPr>
                      <w:t>经营活动产生的现金流量净额</w:t>
                    </w:r>
                  </w:p>
                </w:tc>
                <w:tc>
                  <w:tcPr>
                    <w:tcW w:w="866" w:type="pct"/>
                    <w:tcBorders>
                      <w:top w:val="outset" w:sz="4" w:space="0" w:color="auto"/>
                      <w:left w:val="outset" w:sz="4" w:space="0" w:color="auto"/>
                      <w:bottom w:val="outset" w:sz="4" w:space="0" w:color="auto"/>
                      <w:right w:val="outset" w:sz="4" w:space="0" w:color="auto"/>
                    </w:tcBorders>
                    <w:vAlign w:val="center"/>
                  </w:tcPr>
                  <w:p w14:paraId="69E23456" w14:textId="77777777" w:rsidR="007E7472" w:rsidRDefault="00C8327E">
                    <w:pPr>
                      <w:jc w:val="center"/>
                      <w:rPr>
                        <w:rFonts w:asciiTheme="majorEastAsia" w:eastAsiaTheme="majorEastAsia" w:hAnsiTheme="majorEastAsia"/>
                      </w:rPr>
                    </w:pPr>
                  </w:p>
                </w:tc>
                <w:tc>
                  <w:tcPr>
                    <w:tcW w:w="1201" w:type="pct"/>
                    <w:tcBorders>
                      <w:top w:val="outset" w:sz="4" w:space="0" w:color="auto"/>
                      <w:left w:val="outset" w:sz="4" w:space="0" w:color="auto"/>
                      <w:bottom w:val="outset" w:sz="4" w:space="0" w:color="auto"/>
                      <w:right w:val="outset" w:sz="4" w:space="0" w:color="auto"/>
                    </w:tcBorders>
                    <w:vAlign w:val="center"/>
                  </w:tcPr>
                  <w:p w14:paraId="25FEAA4D" w14:textId="77777777" w:rsidR="007E7472" w:rsidRDefault="00EC1269">
                    <w:pPr>
                      <w:jc w:val="right"/>
                    </w:pPr>
                    <w:r>
                      <w:t>8,661,120</w:t>
                    </w:r>
                  </w:p>
                </w:tc>
                <w:tc>
                  <w:tcPr>
                    <w:tcW w:w="1197" w:type="pct"/>
                    <w:tcBorders>
                      <w:top w:val="outset" w:sz="4" w:space="0" w:color="auto"/>
                      <w:left w:val="outset" w:sz="4" w:space="0" w:color="auto"/>
                      <w:bottom w:val="outset" w:sz="4" w:space="0" w:color="auto"/>
                      <w:right w:val="outset" w:sz="4" w:space="0" w:color="auto"/>
                    </w:tcBorders>
                    <w:vAlign w:val="center"/>
                  </w:tcPr>
                  <w:p w14:paraId="35D80465" w14:textId="77777777" w:rsidR="007E7472" w:rsidRDefault="00EC1269">
                    <w:pPr>
                      <w:jc w:val="right"/>
                    </w:pPr>
                    <w:r>
                      <w:t>13,398,605</w:t>
                    </w:r>
                  </w:p>
                </w:tc>
              </w:tr>
              <w:tr w:rsidR="007E7472" w14:paraId="6C6CBE3A" w14:textId="77777777">
                <w:sdt>
                  <w:sdtPr>
                    <w:tag w:val="_PLD_95b1c638e8714129b03173a0758b863f"/>
                    <w:id w:val="-1478762419"/>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57F851F3" w14:textId="77777777" w:rsidR="007E7472" w:rsidRDefault="00EC1269">
                        <w:pPr>
                          <w:rPr>
                            <w:color w:val="008000"/>
                          </w:rPr>
                        </w:pPr>
                        <w:r>
                          <w:rPr>
                            <w:rFonts w:hint="eastAsia"/>
                            <w:b/>
                          </w:rPr>
                          <w:t>二、投资活动产生的现金流量：</w:t>
                        </w:r>
                      </w:p>
                    </w:tc>
                  </w:sdtContent>
                </w:sdt>
              </w:tr>
              <w:tr w:rsidR="007E7472" w14:paraId="11A6029C" w14:textId="77777777">
                <w:tc>
                  <w:tcPr>
                    <w:tcW w:w="1736" w:type="pct"/>
                    <w:tcBorders>
                      <w:top w:val="outset" w:sz="4" w:space="0" w:color="auto"/>
                      <w:left w:val="outset" w:sz="4" w:space="0" w:color="auto"/>
                      <w:bottom w:val="outset" w:sz="4" w:space="0" w:color="auto"/>
                      <w:right w:val="outset" w:sz="4" w:space="0" w:color="auto"/>
                    </w:tcBorders>
                  </w:tcPr>
                  <w:p w14:paraId="22CAA6F1" w14:textId="77777777" w:rsidR="007E7472" w:rsidRDefault="00EC1269">
                    <w:pPr>
                      <w:ind w:firstLineChars="100" w:firstLine="210"/>
                    </w:pPr>
                    <w:r>
                      <w:rPr>
                        <w:rFonts w:hint="eastAsia"/>
                      </w:rPr>
                      <w:t>收回投资收到的现金</w:t>
                    </w:r>
                  </w:p>
                </w:tc>
                <w:tc>
                  <w:tcPr>
                    <w:tcW w:w="866" w:type="pct"/>
                    <w:tcBorders>
                      <w:top w:val="outset" w:sz="4" w:space="0" w:color="auto"/>
                      <w:left w:val="outset" w:sz="4" w:space="0" w:color="auto"/>
                      <w:bottom w:val="outset" w:sz="4" w:space="0" w:color="auto"/>
                      <w:right w:val="outset" w:sz="4" w:space="0" w:color="auto"/>
                    </w:tcBorders>
                    <w:vAlign w:val="center"/>
                  </w:tcPr>
                  <w:p w14:paraId="5373265E" w14:textId="77777777" w:rsidR="007E7472" w:rsidRDefault="00C8327E">
                    <w:pPr>
                      <w:jc w:val="center"/>
                      <w:rPr>
                        <w:rFonts w:asciiTheme="majorEastAsia" w:eastAsiaTheme="majorEastAsia" w:hAnsiTheme="majorEastAsia"/>
                      </w:rPr>
                    </w:pPr>
                  </w:p>
                </w:tc>
                <w:tc>
                  <w:tcPr>
                    <w:tcW w:w="1201" w:type="pct"/>
                    <w:tcBorders>
                      <w:top w:val="outset" w:sz="4" w:space="0" w:color="auto"/>
                      <w:left w:val="outset" w:sz="4" w:space="0" w:color="auto"/>
                      <w:bottom w:val="outset" w:sz="4" w:space="0" w:color="auto"/>
                      <w:right w:val="outset" w:sz="4" w:space="0" w:color="auto"/>
                    </w:tcBorders>
                    <w:vAlign w:val="center"/>
                  </w:tcPr>
                  <w:p w14:paraId="0393D48B" w14:textId="77777777" w:rsidR="007E7472" w:rsidRDefault="00EC1269">
                    <w:pPr>
                      <w:jc w:val="right"/>
                    </w:pPr>
                    <w:r>
                      <w:t>2,123,530</w:t>
                    </w:r>
                  </w:p>
                </w:tc>
                <w:tc>
                  <w:tcPr>
                    <w:tcW w:w="1197" w:type="pct"/>
                    <w:tcBorders>
                      <w:top w:val="outset" w:sz="4" w:space="0" w:color="auto"/>
                      <w:left w:val="outset" w:sz="4" w:space="0" w:color="auto"/>
                      <w:bottom w:val="outset" w:sz="4" w:space="0" w:color="auto"/>
                      <w:right w:val="outset" w:sz="4" w:space="0" w:color="auto"/>
                    </w:tcBorders>
                    <w:vAlign w:val="center"/>
                  </w:tcPr>
                  <w:p w14:paraId="594D9DA7" w14:textId="77777777" w:rsidR="007E7472" w:rsidRDefault="00EC1269">
                    <w:pPr>
                      <w:jc w:val="right"/>
                    </w:pPr>
                    <w:r>
                      <w:t>1,372,937</w:t>
                    </w:r>
                  </w:p>
                </w:tc>
              </w:tr>
              <w:tr w:rsidR="007E7472" w14:paraId="019E2805" w14:textId="77777777">
                <w:tc>
                  <w:tcPr>
                    <w:tcW w:w="1736" w:type="pct"/>
                    <w:tcBorders>
                      <w:top w:val="outset" w:sz="4" w:space="0" w:color="auto"/>
                      <w:left w:val="outset" w:sz="4" w:space="0" w:color="auto"/>
                      <w:bottom w:val="outset" w:sz="4" w:space="0" w:color="auto"/>
                      <w:right w:val="outset" w:sz="4" w:space="0" w:color="auto"/>
                    </w:tcBorders>
                  </w:tcPr>
                  <w:p w14:paraId="28BEE693" w14:textId="77777777" w:rsidR="007E7472" w:rsidRDefault="00EC1269">
                    <w:pPr>
                      <w:ind w:firstLineChars="100" w:firstLine="210"/>
                    </w:pPr>
                    <w:r>
                      <w:rPr>
                        <w:rFonts w:hint="eastAsia"/>
                      </w:rPr>
                      <w:t>取得投资收益收到的现金</w:t>
                    </w:r>
                  </w:p>
                </w:tc>
                <w:tc>
                  <w:tcPr>
                    <w:tcW w:w="866" w:type="pct"/>
                    <w:tcBorders>
                      <w:top w:val="outset" w:sz="4" w:space="0" w:color="auto"/>
                      <w:left w:val="outset" w:sz="4" w:space="0" w:color="auto"/>
                      <w:bottom w:val="outset" w:sz="4" w:space="0" w:color="auto"/>
                      <w:right w:val="outset" w:sz="4" w:space="0" w:color="auto"/>
                    </w:tcBorders>
                    <w:vAlign w:val="center"/>
                  </w:tcPr>
                  <w:p w14:paraId="3EA06F51" w14:textId="77777777" w:rsidR="007E7472" w:rsidRDefault="00C8327E">
                    <w:pPr>
                      <w:jc w:val="center"/>
                      <w:rPr>
                        <w:rFonts w:asciiTheme="majorEastAsia" w:eastAsiaTheme="majorEastAsia" w:hAnsiTheme="majorEastAsia"/>
                      </w:rPr>
                    </w:pPr>
                  </w:p>
                </w:tc>
                <w:tc>
                  <w:tcPr>
                    <w:tcW w:w="1201" w:type="pct"/>
                    <w:tcBorders>
                      <w:top w:val="outset" w:sz="4" w:space="0" w:color="auto"/>
                      <w:left w:val="outset" w:sz="4" w:space="0" w:color="auto"/>
                      <w:bottom w:val="outset" w:sz="4" w:space="0" w:color="auto"/>
                      <w:right w:val="outset" w:sz="4" w:space="0" w:color="auto"/>
                    </w:tcBorders>
                    <w:vAlign w:val="center"/>
                  </w:tcPr>
                  <w:p w14:paraId="2BDB4F11" w14:textId="77777777" w:rsidR="007E7472" w:rsidRDefault="00EC1269">
                    <w:pPr>
                      <w:jc w:val="right"/>
                    </w:pPr>
                    <w:r>
                      <w:t>221,389</w:t>
                    </w:r>
                  </w:p>
                </w:tc>
                <w:tc>
                  <w:tcPr>
                    <w:tcW w:w="1197" w:type="pct"/>
                    <w:tcBorders>
                      <w:top w:val="outset" w:sz="4" w:space="0" w:color="auto"/>
                      <w:left w:val="outset" w:sz="4" w:space="0" w:color="auto"/>
                      <w:bottom w:val="outset" w:sz="4" w:space="0" w:color="auto"/>
                      <w:right w:val="outset" w:sz="4" w:space="0" w:color="auto"/>
                    </w:tcBorders>
                    <w:vAlign w:val="center"/>
                  </w:tcPr>
                  <w:p w14:paraId="17751472" w14:textId="77777777" w:rsidR="007E7472" w:rsidRDefault="00EC1269">
                    <w:pPr>
                      <w:jc w:val="right"/>
                    </w:pPr>
                    <w:r>
                      <w:t>103,022</w:t>
                    </w:r>
                  </w:p>
                </w:tc>
              </w:tr>
              <w:tr w:rsidR="007E7472" w14:paraId="14EEFE80" w14:textId="77777777">
                <w:tc>
                  <w:tcPr>
                    <w:tcW w:w="1736" w:type="pct"/>
                    <w:tcBorders>
                      <w:top w:val="outset" w:sz="4" w:space="0" w:color="auto"/>
                      <w:left w:val="outset" w:sz="4" w:space="0" w:color="auto"/>
                      <w:bottom w:val="outset" w:sz="4" w:space="0" w:color="auto"/>
                      <w:right w:val="outset" w:sz="4" w:space="0" w:color="auto"/>
                    </w:tcBorders>
                  </w:tcPr>
                  <w:p w14:paraId="2B71E9B0" w14:textId="77777777" w:rsidR="007E7472" w:rsidRDefault="00EC1269">
                    <w:pPr>
                      <w:ind w:firstLineChars="100" w:firstLine="210"/>
                    </w:pPr>
                    <w:r>
                      <w:rPr>
                        <w:rFonts w:hint="eastAsia"/>
                      </w:rPr>
                      <w:t>处置固定资产、无形资产和其他长期资产收回的现金净额</w:t>
                    </w:r>
                  </w:p>
                </w:tc>
                <w:tc>
                  <w:tcPr>
                    <w:tcW w:w="866" w:type="pct"/>
                    <w:tcBorders>
                      <w:top w:val="outset" w:sz="4" w:space="0" w:color="auto"/>
                      <w:left w:val="outset" w:sz="4" w:space="0" w:color="auto"/>
                      <w:bottom w:val="outset" w:sz="4" w:space="0" w:color="auto"/>
                      <w:right w:val="outset" w:sz="4" w:space="0" w:color="auto"/>
                    </w:tcBorders>
                    <w:vAlign w:val="center"/>
                  </w:tcPr>
                  <w:p w14:paraId="4C1EBC4F" w14:textId="77777777" w:rsidR="007E7472" w:rsidRDefault="00C8327E">
                    <w:pPr>
                      <w:jc w:val="center"/>
                      <w:rPr>
                        <w:rFonts w:asciiTheme="majorEastAsia" w:eastAsiaTheme="majorEastAsia" w:hAnsiTheme="majorEastAsia"/>
                      </w:rPr>
                    </w:pPr>
                  </w:p>
                </w:tc>
                <w:tc>
                  <w:tcPr>
                    <w:tcW w:w="1201" w:type="pct"/>
                    <w:tcBorders>
                      <w:top w:val="outset" w:sz="4" w:space="0" w:color="auto"/>
                      <w:left w:val="outset" w:sz="4" w:space="0" w:color="auto"/>
                      <w:bottom w:val="outset" w:sz="4" w:space="0" w:color="auto"/>
                      <w:right w:val="outset" w:sz="4" w:space="0" w:color="auto"/>
                    </w:tcBorders>
                    <w:vAlign w:val="center"/>
                  </w:tcPr>
                  <w:p w14:paraId="522B10F5" w14:textId="77777777" w:rsidR="007E7472" w:rsidRDefault="00EC1269">
                    <w:pPr>
                      <w:jc w:val="right"/>
                    </w:pPr>
                    <w:r>
                      <w:t>134,900</w:t>
                    </w:r>
                  </w:p>
                </w:tc>
                <w:tc>
                  <w:tcPr>
                    <w:tcW w:w="1197" w:type="pct"/>
                    <w:tcBorders>
                      <w:top w:val="outset" w:sz="4" w:space="0" w:color="auto"/>
                      <w:left w:val="outset" w:sz="4" w:space="0" w:color="auto"/>
                      <w:bottom w:val="outset" w:sz="4" w:space="0" w:color="auto"/>
                      <w:right w:val="outset" w:sz="4" w:space="0" w:color="auto"/>
                    </w:tcBorders>
                    <w:vAlign w:val="center"/>
                  </w:tcPr>
                  <w:p w14:paraId="59365886" w14:textId="77777777" w:rsidR="007E7472" w:rsidRDefault="00EC1269">
                    <w:pPr>
                      <w:jc w:val="right"/>
                    </w:pPr>
                    <w:r>
                      <w:t>123,221</w:t>
                    </w:r>
                  </w:p>
                </w:tc>
              </w:tr>
              <w:tr w:rsidR="007E7472" w14:paraId="230AAC32" w14:textId="77777777">
                <w:sdt>
                  <w:sdtPr>
                    <w:tag w:val="_PLD_c759f863222a4b86a2bd00d28adee545"/>
                    <w:id w:val="1320775529"/>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2FA6249B" w14:textId="77777777" w:rsidR="007E7472" w:rsidRDefault="00EC1269">
                        <w:pPr>
                          <w:ind w:firstLineChars="100" w:firstLine="210"/>
                        </w:pPr>
                        <w:r>
                          <w:rPr>
                            <w:rFonts w:hint="eastAsia"/>
                          </w:rPr>
                          <w:t>处置子公司及其他营业单位收到的现金净额</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13D71951" w14:textId="77777777" w:rsidR="007E7472" w:rsidRDefault="00C8327E">
                    <w:pPr>
                      <w:jc w:val="center"/>
                      <w:rPr>
                        <w:rFonts w:asciiTheme="majorEastAsia" w:eastAsiaTheme="majorEastAsia" w:hAnsiTheme="majorEastAsia"/>
                      </w:rPr>
                    </w:pPr>
                  </w:p>
                </w:tc>
                <w:tc>
                  <w:tcPr>
                    <w:tcW w:w="1201" w:type="pct"/>
                    <w:tcBorders>
                      <w:top w:val="outset" w:sz="4" w:space="0" w:color="auto"/>
                      <w:left w:val="outset" w:sz="4" w:space="0" w:color="auto"/>
                      <w:bottom w:val="outset" w:sz="4" w:space="0" w:color="auto"/>
                      <w:right w:val="outset" w:sz="4" w:space="0" w:color="auto"/>
                    </w:tcBorders>
                    <w:vAlign w:val="center"/>
                  </w:tcPr>
                  <w:p w14:paraId="3DF2E515" w14:textId="77777777" w:rsidR="007E7472" w:rsidRDefault="00C8327E">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14:paraId="2A4B3A5C" w14:textId="77777777" w:rsidR="007E7472" w:rsidRDefault="00C8327E">
                    <w:pPr>
                      <w:jc w:val="right"/>
                    </w:pPr>
                  </w:p>
                </w:tc>
              </w:tr>
              <w:tr w:rsidR="007E7472" w14:paraId="2997585B" w14:textId="77777777">
                <w:tc>
                  <w:tcPr>
                    <w:tcW w:w="1736" w:type="pct"/>
                    <w:tcBorders>
                      <w:top w:val="outset" w:sz="4" w:space="0" w:color="auto"/>
                      <w:left w:val="outset" w:sz="4" w:space="0" w:color="auto"/>
                      <w:bottom w:val="outset" w:sz="4" w:space="0" w:color="auto"/>
                      <w:right w:val="outset" w:sz="4" w:space="0" w:color="auto"/>
                    </w:tcBorders>
                  </w:tcPr>
                  <w:p w14:paraId="6B7CCCA8" w14:textId="77777777" w:rsidR="007E7472" w:rsidRDefault="00EC1269">
                    <w:pPr>
                      <w:ind w:firstLineChars="100" w:firstLine="210"/>
                    </w:pPr>
                    <w:r>
                      <w:rPr>
                        <w:rFonts w:hint="eastAsia"/>
                      </w:rPr>
                      <w:t>收到其他与投资活动有关的现金</w:t>
                    </w:r>
                  </w:p>
                </w:tc>
                <w:tc>
                  <w:tcPr>
                    <w:tcW w:w="866" w:type="pct"/>
                    <w:tcBorders>
                      <w:top w:val="outset" w:sz="4" w:space="0" w:color="auto"/>
                      <w:left w:val="outset" w:sz="4" w:space="0" w:color="auto"/>
                      <w:bottom w:val="outset" w:sz="4" w:space="0" w:color="auto"/>
                      <w:right w:val="outset" w:sz="4" w:space="0" w:color="auto"/>
                    </w:tcBorders>
                    <w:vAlign w:val="center"/>
                  </w:tcPr>
                  <w:p w14:paraId="2DC448B6" w14:textId="77777777" w:rsidR="007E7472" w:rsidRDefault="00EC1269">
                    <w:pPr>
                      <w:jc w:val="center"/>
                      <w:rPr>
                        <w:rFonts w:asciiTheme="majorEastAsia" w:eastAsiaTheme="majorEastAsia" w:hAnsiTheme="majorEastAsia"/>
                      </w:rPr>
                    </w:pPr>
                    <w:r>
                      <w:rPr>
                        <w:rFonts w:asciiTheme="majorEastAsia" w:eastAsiaTheme="majorEastAsia" w:hAnsiTheme="majorEastAsia" w:hint="eastAsia"/>
                      </w:rPr>
                      <w:t>七、7</w:t>
                    </w:r>
                    <w:r>
                      <w:rPr>
                        <w:rFonts w:asciiTheme="majorEastAsia" w:eastAsiaTheme="majorEastAsia" w:hAnsiTheme="majorEastAsia"/>
                      </w:rPr>
                      <w:t>8</w:t>
                    </w:r>
                  </w:p>
                </w:tc>
                <w:tc>
                  <w:tcPr>
                    <w:tcW w:w="1201" w:type="pct"/>
                    <w:tcBorders>
                      <w:top w:val="outset" w:sz="4" w:space="0" w:color="auto"/>
                      <w:left w:val="outset" w:sz="4" w:space="0" w:color="auto"/>
                      <w:bottom w:val="outset" w:sz="4" w:space="0" w:color="auto"/>
                      <w:right w:val="outset" w:sz="4" w:space="0" w:color="auto"/>
                    </w:tcBorders>
                    <w:vAlign w:val="center"/>
                  </w:tcPr>
                  <w:p w14:paraId="5E26355F" w14:textId="77777777" w:rsidR="007E7472" w:rsidRDefault="00EC1269">
                    <w:pPr>
                      <w:jc w:val="right"/>
                    </w:pPr>
                    <w:r>
                      <w:t>31,628</w:t>
                    </w:r>
                  </w:p>
                </w:tc>
                <w:tc>
                  <w:tcPr>
                    <w:tcW w:w="1197" w:type="pct"/>
                    <w:tcBorders>
                      <w:top w:val="outset" w:sz="4" w:space="0" w:color="auto"/>
                      <w:left w:val="outset" w:sz="4" w:space="0" w:color="auto"/>
                      <w:bottom w:val="outset" w:sz="4" w:space="0" w:color="auto"/>
                      <w:right w:val="outset" w:sz="4" w:space="0" w:color="auto"/>
                    </w:tcBorders>
                    <w:vAlign w:val="center"/>
                  </w:tcPr>
                  <w:p w14:paraId="7ADA73BF" w14:textId="77777777" w:rsidR="007E7472" w:rsidRDefault="00EC1269">
                    <w:pPr>
                      <w:jc w:val="right"/>
                    </w:pPr>
                    <w:r>
                      <w:t>1,049,681</w:t>
                    </w:r>
                  </w:p>
                </w:tc>
              </w:tr>
              <w:tr w:rsidR="007E7472" w14:paraId="6A3A01F1" w14:textId="77777777">
                <w:tc>
                  <w:tcPr>
                    <w:tcW w:w="1736" w:type="pct"/>
                    <w:tcBorders>
                      <w:top w:val="outset" w:sz="4" w:space="0" w:color="auto"/>
                      <w:left w:val="outset" w:sz="4" w:space="0" w:color="auto"/>
                      <w:bottom w:val="outset" w:sz="4" w:space="0" w:color="auto"/>
                      <w:right w:val="outset" w:sz="4" w:space="0" w:color="auto"/>
                    </w:tcBorders>
                  </w:tcPr>
                  <w:p w14:paraId="2E25592D" w14:textId="77777777" w:rsidR="007E7472" w:rsidRDefault="00EC1269">
                    <w:pPr>
                      <w:ind w:firstLineChars="200" w:firstLine="420"/>
                      <w:rPr>
                        <w:color w:val="000000"/>
                      </w:rPr>
                    </w:pPr>
                    <w:r>
                      <w:rPr>
                        <w:rFonts w:hint="eastAsia"/>
                      </w:rPr>
                      <w:t>投资活动现金流入小计</w:t>
                    </w:r>
                  </w:p>
                </w:tc>
                <w:tc>
                  <w:tcPr>
                    <w:tcW w:w="866" w:type="pct"/>
                    <w:tcBorders>
                      <w:top w:val="outset" w:sz="4" w:space="0" w:color="auto"/>
                      <w:left w:val="outset" w:sz="4" w:space="0" w:color="auto"/>
                      <w:bottom w:val="outset" w:sz="4" w:space="0" w:color="auto"/>
                      <w:right w:val="outset" w:sz="4" w:space="0" w:color="auto"/>
                    </w:tcBorders>
                    <w:vAlign w:val="center"/>
                  </w:tcPr>
                  <w:p w14:paraId="69DADD13" w14:textId="77777777" w:rsidR="007E7472" w:rsidRDefault="00C8327E">
                    <w:pPr>
                      <w:jc w:val="center"/>
                      <w:rPr>
                        <w:rFonts w:asciiTheme="majorEastAsia" w:eastAsiaTheme="majorEastAsia" w:hAnsiTheme="majorEastAsia"/>
                      </w:rPr>
                    </w:pPr>
                  </w:p>
                </w:tc>
                <w:tc>
                  <w:tcPr>
                    <w:tcW w:w="1201" w:type="pct"/>
                    <w:tcBorders>
                      <w:top w:val="outset" w:sz="4" w:space="0" w:color="auto"/>
                      <w:left w:val="outset" w:sz="4" w:space="0" w:color="auto"/>
                      <w:bottom w:val="outset" w:sz="4" w:space="0" w:color="auto"/>
                      <w:right w:val="outset" w:sz="4" w:space="0" w:color="auto"/>
                    </w:tcBorders>
                    <w:vAlign w:val="center"/>
                  </w:tcPr>
                  <w:p w14:paraId="0C6017EB" w14:textId="77777777" w:rsidR="007E7472" w:rsidRDefault="00EC1269">
                    <w:pPr>
                      <w:jc w:val="right"/>
                    </w:pPr>
                    <w:r>
                      <w:t>2,511,447</w:t>
                    </w:r>
                  </w:p>
                </w:tc>
                <w:tc>
                  <w:tcPr>
                    <w:tcW w:w="1197" w:type="pct"/>
                    <w:tcBorders>
                      <w:top w:val="outset" w:sz="4" w:space="0" w:color="auto"/>
                      <w:left w:val="outset" w:sz="4" w:space="0" w:color="auto"/>
                      <w:bottom w:val="outset" w:sz="4" w:space="0" w:color="auto"/>
                      <w:right w:val="outset" w:sz="4" w:space="0" w:color="auto"/>
                    </w:tcBorders>
                    <w:vAlign w:val="center"/>
                  </w:tcPr>
                  <w:p w14:paraId="5D824911" w14:textId="77777777" w:rsidR="007E7472" w:rsidRDefault="00EC1269">
                    <w:pPr>
                      <w:jc w:val="right"/>
                    </w:pPr>
                    <w:r>
                      <w:t>2,648,861</w:t>
                    </w:r>
                  </w:p>
                </w:tc>
              </w:tr>
              <w:tr w:rsidR="007E7472" w14:paraId="08857128" w14:textId="77777777">
                <w:tc>
                  <w:tcPr>
                    <w:tcW w:w="1736" w:type="pct"/>
                    <w:tcBorders>
                      <w:top w:val="outset" w:sz="4" w:space="0" w:color="auto"/>
                      <w:left w:val="outset" w:sz="4" w:space="0" w:color="auto"/>
                      <w:bottom w:val="outset" w:sz="4" w:space="0" w:color="auto"/>
                      <w:right w:val="outset" w:sz="4" w:space="0" w:color="auto"/>
                    </w:tcBorders>
                  </w:tcPr>
                  <w:p w14:paraId="4E69628D" w14:textId="77777777" w:rsidR="007E7472" w:rsidRDefault="00EC1269">
                    <w:pPr>
                      <w:ind w:firstLineChars="100" w:firstLine="210"/>
                      <w:rPr>
                        <w:color w:val="000000"/>
                      </w:rPr>
                    </w:pPr>
                    <w:r>
                      <w:rPr>
                        <w:rFonts w:hint="eastAsia"/>
                      </w:rPr>
                      <w:t>购建固定资产、无形资产和其他长期资产支付的现金</w:t>
                    </w:r>
                  </w:p>
                </w:tc>
                <w:tc>
                  <w:tcPr>
                    <w:tcW w:w="866" w:type="pct"/>
                    <w:tcBorders>
                      <w:top w:val="outset" w:sz="4" w:space="0" w:color="auto"/>
                      <w:left w:val="outset" w:sz="4" w:space="0" w:color="auto"/>
                      <w:bottom w:val="outset" w:sz="4" w:space="0" w:color="auto"/>
                      <w:right w:val="outset" w:sz="4" w:space="0" w:color="auto"/>
                    </w:tcBorders>
                    <w:vAlign w:val="center"/>
                  </w:tcPr>
                  <w:p w14:paraId="3BF6998F" w14:textId="77777777" w:rsidR="007E7472" w:rsidRDefault="00C8327E">
                    <w:pPr>
                      <w:jc w:val="center"/>
                      <w:rPr>
                        <w:rFonts w:asciiTheme="majorEastAsia" w:eastAsiaTheme="majorEastAsia" w:hAnsiTheme="majorEastAsia"/>
                      </w:rPr>
                    </w:pPr>
                  </w:p>
                </w:tc>
                <w:tc>
                  <w:tcPr>
                    <w:tcW w:w="1201" w:type="pct"/>
                    <w:tcBorders>
                      <w:top w:val="outset" w:sz="4" w:space="0" w:color="auto"/>
                      <w:left w:val="outset" w:sz="4" w:space="0" w:color="auto"/>
                      <w:bottom w:val="outset" w:sz="4" w:space="0" w:color="auto"/>
                      <w:right w:val="outset" w:sz="4" w:space="0" w:color="auto"/>
                    </w:tcBorders>
                    <w:vAlign w:val="center"/>
                  </w:tcPr>
                  <w:p w14:paraId="7E6DD0B9" w14:textId="77777777" w:rsidR="007E7472" w:rsidRDefault="00EC1269">
                    <w:pPr>
                      <w:jc w:val="right"/>
                    </w:pPr>
                    <w:r>
                      <w:t>8,472,247</w:t>
                    </w:r>
                  </w:p>
                </w:tc>
                <w:tc>
                  <w:tcPr>
                    <w:tcW w:w="1197" w:type="pct"/>
                    <w:tcBorders>
                      <w:top w:val="outset" w:sz="4" w:space="0" w:color="auto"/>
                      <w:left w:val="outset" w:sz="4" w:space="0" w:color="auto"/>
                      <w:bottom w:val="outset" w:sz="4" w:space="0" w:color="auto"/>
                      <w:right w:val="outset" w:sz="4" w:space="0" w:color="auto"/>
                    </w:tcBorders>
                    <w:vAlign w:val="center"/>
                  </w:tcPr>
                  <w:p w14:paraId="55ED37E0" w14:textId="77777777" w:rsidR="007E7472" w:rsidRDefault="00EC1269">
                    <w:pPr>
                      <w:jc w:val="right"/>
                    </w:pPr>
                    <w:r>
                      <w:t>4,222,819</w:t>
                    </w:r>
                  </w:p>
                </w:tc>
              </w:tr>
              <w:tr w:rsidR="007E7472" w14:paraId="76129A8F" w14:textId="77777777">
                <w:tc>
                  <w:tcPr>
                    <w:tcW w:w="1736" w:type="pct"/>
                    <w:tcBorders>
                      <w:top w:val="outset" w:sz="4" w:space="0" w:color="auto"/>
                      <w:left w:val="outset" w:sz="4" w:space="0" w:color="auto"/>
                      <w:bottom w:val="outset" w:sz="4" w:space="0" w:color="auto"/>
                      <w:right w:val="outset" w:sz="4" w:space="0" w:color="auto"/>
                    </w:tcBorders>
                  </w:tcPr>
                  <w:p w14:paraId="0252CAC6" w14:textId="77777777" w:rsidR="007E7472" w:rsidRDefault="00EC1269">
                    <w:pPr>
                      <w:ind w:firstLineChars="100" w:firstLine="210"/>
                    </w:pPr>
                    <w:r>
                      <w:rPr>
                        <w:rFonts w:hint="eastAsia"/>
                      </w:rPr>
                      <w:t>投资支付的现金</w:t>
                    </w:r>
                  </w:p>
                </w:tc>
                <w:tc>
                  <w:tcPr>
                    <w:tcW w:w="866" w:type="pct"/>
                    <w:tcBorders>
                      <w:top w:val="outset" w:sz="4" w:space="0" w:color="auto"/>
                      <w:left w:val="outset" w:sz="4" w:space="0" w:color="auto"/>
                      <w:bottom w:val="outset" w:sz="4" w:space="0" w:color="auto"/>
                      <w:right w:val="outset" w:sz="4" w:space="0" w:color="auto"/>
                    </w:tcBorders>
                    <w:vAlign w:val="center"/>
                  </w:tcPr>
                  <w:p w14:paraId="3D39CD18" w14:textId="77777777" w:rsidR="007E7472" w:rsidRDefault="00C8327E">
                    <w:pPr>
                      <w:jc w:val="center"/>
                      <w:rPr>
                        <w:rFonts w:asciiTheme="majorEastAsia" w:eastAsiaTheme="majorEastAsia" w:hAnsiTheme="majorEastAsia"/>
                      </w:rPr>
                    </w:pPr>
                  </w:p>
                </w:tc>
                <w:tc>
                  <w:tcPr>
                    <w:tcW w:w="1201" w:type="pct"/>
                    <w:tcBorders>
                      <w:top w:val="outset" w:sz="4" w:space="0" w:color="auto"/>
                      <w:left w:val="outset" w:sz="4" w:space="0" w:color="auto"/>
                      <w:bottom w:val="outset" w:sz="4" w:space="0" w:color="auto"/>
                      <w:right w:val="outset" w:sz="4" w:space="0" w:color="auto"/>
                    </w:tcBorders>
                    <w:vAlign w:val="center"/>
                  </w:tcPr>
                  <w:p w14:paraId="6D7DF047" w14:textId="77777777" w:rsidR="007E7472" w:rsidRDefault="00EC1269">
                    <w:pPr>
                      <w:jc w:val="right"/>
                    </w:pPr>
                    <w:r>
                      <w:t>1,105,029</w:t>
                    </w:r>
                  </w:p>
                </w:tc>
                <w:tc>
                  <w:tcPr>
                    <w:tcW w:w="1197" w:type="pct"/>
                    <w:tcBorders>
                      <w:top w:val="outset" w:sz="4" w:space="0" w:color="auto"/>
                      <w:left w:val="outset" w:sz="4" w:space="0" w:color="auto"/>
                      <w:bottom w:val="outset" w:sz="4" w:space="0" w:color="auto"/>
                      <w:right w:val="outset" w:sz="4" w:space="0" w:color="auto"/>
                    </w:tcBorders>
                    <w:vAlign w:val="center"/>
                  </w:tcPr>
                  <w:p w14:paraId="1377CD7B" w14:textId="77777777" w:rsidR="007E7472" w:rsidRDefault="00EC1269">
                    <w:pPr>
                      <w:jc w:val="right"/>
                    </w:pPr>
                    <w:r>
                      <w:t>24,000</w:t>
                    </w:r>
                  </w:p>
                </w:tc>
              </w:tr>
              <w:tr w:rsidR="007E7472" w14:paraId="78CC3F1D" w14:textId="77777777">
                <w:sdt>
                  <w:sdtPr>
                    <w:tag w:val="_PLD_40c2de7357364683ba4aa78c10d20704"/>
                    <w:id w:val="1963229793"/>
                    <w:lock w:val="sdtLocked"/>
                  </w:sdtPr>
                  <w:sdtEndPr/>
                  <w:sdtContent>
                    <w:tc>
                      <w:tcPr>
                        <w:tcW w:w="1736" w:type="pct"/>
                        <w:tcBorders>
                          <w:top w:val="outset" w:sz="4" w:space="0" w:color="auto"/>
                          <w:left w:val="outset" w:sz="4" w:space="0" w:color="auto"/>
                          <w:bottom w:val="outset" w:sz="4" w:space="0" w:color="auto"/>
                          <w:right w:val="outset" w:sz="4" w:space="0" w:color="auto"/>
                        </w:tcBorders>
                      </w:tcPr>
                      <w:p w14:paraId="42C0469A" w14:textId="77777777" w:rsidR="007E7472" w:rsidRDefault="00EC1269">
                        <w:pPr>
                          <w:ind w:firstLineChars="100" w:firstLine="210"/>
                        </w:pPr>
                        <w:r>
                          <w:rPr>
                            <w:rFonts w:hint="eastAsia"/>
                          </w:rPr>
                          <w:t>质押贷款净增加额</w:t>
                        </w:r>
                      </w:p>
                    </w:tc>
                  </w:sdtContent>
                </w:sdt>
                <w:tc>
                  <w:tcPr>
                    <w:tcW w:w="866" w:type="pct"/>
                    <w:tcBorders>
                      <w:top w:val="outset" w:sz="4" w:space="0" w:color="auto"/>
                      <w:left w:val="outset" w:sz="4" w:space="0" w:color="auto"/>
                      <w:bottom w:val="outset" w:sz="4" w:space="0" w:color="auto"/>
                      <w:right w:val="outset" w:sz="4" w:space="0" w:color="auto"/>
                    </w:tcBorders>
                    <w:vAlign w:val="center"/>
                  </w:tcPr>
                  <w:p w14:paraId="65615616" w14:textId="77777777" w:rsidR="007E7472" w:rsidRDefault="00C8327E">
                    <w:pPr>
                      <w:jc w:val="center"/>
                      <w:rPr>
                        <w:rFonts w:asciiTheme="majorEastAsia" w:eastAsiaTheme="majorEastAsia" w:hAnsiTheme="majorEastAsia"/>
                      </w:rPr>
                    </w:pPr>
                  </w:p>
                </w:tc>
                <w:tc>
                  <w:tcPr>
                    <w:tcW w:w="1201" w:type="pct"/>
                    <w:tcBorders>
                      <w:top w:val="outset" w:sz="4" w:space="0" w:color="auto"/>
                      <w:left w:val="outset" w:sz="4" w:space="0" w:color="auto"/>
                      <w:bottom w:val="outset" w:sz="4" w:space="0" w:color="auto"/>
                      <w:right w:val="outset" w:sz="4" w:space="0" w:color="auto"/>
                    </w:tcBorders>
                    <w:vAlign w:val="center"/>
                  </w:tcPr>
                  <w:p w14:paraId="62308985" w14:textId="77777777" w:rsidR="007E7472" w:rsidRDefault="00C8327E">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14:paraId="7B1892FF" w14:textId="77777777" w:rsidR="007E7472" w:rsidRDefault="00C8327E">
                    <w:pPr>
                      <w:jc w:val="right"/>
                    </w:pPr>
                  </w:p>
                </w:tc>
              </w:tr>
              <w:tr w:rsidR="007E7472" w14:paraId="5D502D7A" w14:textId="77777777">
                <w:tc>
                  <w:tcPr>
                    <w:tcW w:w="1736" w:type="pct"/>
                    <w:tcBorders>
                      <w:top w:val="outset" w:sz="4" w:space="0" w:color="auto"/>
                      <w:left w:val="outset" w:sz="4" w:space="0" w:color="auto"/>
                      <w:bottom w:val="outset" w:sz="4" w:space="0" w:color="auto"/>
                      <w:right w:val="outset" w:sz="4" w:space="0" w:color="auto"/>
                    </w:tcBorders>
                  </w:tcPr>
                  <w:p w14:paraId="4E9E2CC0" w14:textId="77777777" w:rsidR="007E7472" w:rsidRDefault="00EC1269">
                    <w:pPr>
                      <w:ind w:firstLineChars="100" w:firstLine="210"/>
                    </w:pPr>
                    <w:r>
                      <w:rPr>
                        <w:rFonts w:hint="eastAsia"/>
                      </w:rPr>
                      <w:t>取得子公司及其他营业单位支付的现金净额</w:t>
                    </w:r>
                  </w:p>
                </w:tc>
                <w:tc>
                  <w:tcPr>
                    <w:tcW w:w="866" w:type="pct"/>
                    <w:tcBorders>
                      <w:top w:val="outset" w:sz="4" w:space="0" w:color="auto"/>
                      <w:left w:val="outset" w:sz="4" w:space="0" w:color="auto"/>
                      <w:bottom w:val="outset" w:sz="4" w:space="0" w:color="auto"/>
                      <w:right w:val="outset" w:sz="4" w:space="0" w:color="auto"/>
                    </w:tcBorders>
                    <w:vAlign w:val="center"/>
                  </w:tcPr>
                  <w:p w14:paraId="2527AD46" w14:textId="77777777" w:rsidR="007E7472" w:rsidRDefault="00C8327E">
                    <w:pPr>
                      <w:jc w:val="center"/>
                      <w:rPr>
                        <w:rFonts w:asciiTheme="majorEastAsia" w:eastAsiaTheme="majorEastAsia" w:hAnsiTheme="majorEastAsia"/>
                      </w:rPr>
                    </w:pPr>
                  </w:p>
                </w:tc>
                <w:tc>
                  <w:tcPr>
                    <w:tcW w:w="1201" w:type="pct"/>
                    <w:tcBorders>
                      <w:top w:val="outset" w:sz="4" w:space="0" w:color="auto"/>
                      <w:left w:val="outset" w:sz="4" w:space="0" w:color="auto"/>
                      <w:bottom w:val="outset" w:sz="4" w:space="0" w:color="auto"/>
                      <w:right w:val="outset" w:sz="4" w:space="0" w:color="auto"/>
                    </w:tcBorders>
                    <w:vAlign w:val="center"/>
                  </w:tcPr>
                  <w:p w14:paraId="7E2F2301" w14:textId="77777777" w:rsidR="007E7472" w:rsidRDefault="00C8327E">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14:paraId="715ECFA0" w14:textId="77777777" w:rsidR="007E7472" w:rsidRDefault="00EC1269">
                    <w:pPr>
                      <w:jc w:val="right"/>
                    </w:pPr>
                    <w:r>
                      <w:t>1,073</w:t>
                    </w:r>
                  </w:p>
                </w:tc>
              </w:tr>
              <w:tr w:rsidR="007E7472" w14:paraId="5C64F8F3" w14:textId="77777777">
                <w:tc>
                  <w:tcPr>
                    <w:tcW w:w="1736" w:type="pct"/>
                    <w:tcBorders>
                      <w:top w:val="outset" w:sz="4" w:space="0" w:color="auto"/>
                      <w:left w:val="outset" w:sz="4" w:space="0" w:color="auto"/>
                      <w:bottom w:val="outset" w:sz="4" w:space="0" w:color="auto"/>
                      <w:right w:val="outset" w:sz="4" w:space="0" w:color="auto"/>
                    </w:tcBorders>
                  </w:tcPr>
                  <w:p w14:paraId="67ED8100" w14:textId="77777777" w:rsidR="007E7472" w:rsidRDefault="00EC1269">
                    <w:pPr>
                      <w:ind w:firstLineChars="100" w:firstLine="210"/>
                    </w:pPr>
                    <w:r>
                      <w:rPr>
                        <w:rFonts w:hint="eastAsia"/>
                      </w:rPr>
                      <w:t>支付其他与投资活动有关的现金</w:t>
                    </w:r>
                  </w:p>
                </w:tc>
                <w:tc>
                  <w:tcPr>
                    <w:tcW w:w="866" w:type="pct"/>
                    <w:tcBorders>
                      <w:top w:val="outset" w:sz="4" w:space="0" w:color="auto"/>
                      <w:left w:val="outset" w:sz="4" w:space="0" w:color="auto"/>
                      <w:bottom w:val="outset" w:sz="4" w:space="0" w:color="auto"/>
                      <w:right w:val="outset" w:sz="4" w:space="0" w:color="auto"/>
                    </w:tcBorders>
                    <w:vAlign w:val="center"/>
                  </w:tcPr>
                  <w:p w14:paraId="1D7ADB7B" w14:textId="77777777" w:rsidR="007E7472" w:rsidRDefault="00EC1269">
                    <w:pPr>
                      <w:jc w:val="center"/>
                      <w:rPr>
                        <w:rFonts w:asciiTheme="majorEastAsia" w:eastAsiaTheme="majorEastAsia" w:hAnsiTheme="majorEastAsia"/>
                      </w:rPr>
                    </w:pPr>
                    <w:r>
                      <w:rPr>
                        <w:rFonts w:asciiTheme="majorEastAsia" w:eastAsiaTheme="majorEastAsia" w:hAnsiTheme="majorEastAsia" w:hint="eastAsia"/>
                      </w:rPr>
                      <w:t>七、7</w:t>
                    </w:r>
                    <w:r>
                      <w:rPr>
                        <w:rFonts w:asciiTheme="majorEastAsia" w:eastAsiaTheme="majorEastAsia" w:hAnsiTheme="majorEastAsia"/>
                      </w:rPr>
                      <w:t>8</w:t>
                    </w:r>
                  </w:p>
                </w:tc>
                <w:tc>
                  <w:tcPr>
                    <w:tcW w:w="1201" w:type="pct"/>
                    <w:tcBorders>
                      <w:top w:val="outset" w:sz="4" w:space="0" w:color="auto"/>
                      <w:left w:val="outset" w:sz="4" w:space="0" w:color="auto"/>
                      <w:bottom w:val="outset" w:sz="4" w:space="0" w:color="auto"/>
                      <w:right w:val="outset" w:sz="4" w:space="0" w:color="auto"/>
                    </w:tcBorders>
                    <w:vAlign w:val="center"/>
                  </w:tcPr>
                  <w:p w14:paraId="0D42C88A" w14:textId="77777777" w:rsidR="007E7472" w:rsidRDefault="00EC1269">
                    <w:pPr>
                      <w:jc w:val="right"/>
                    </w:pPr>
                    <w:r>
                      <w:t>70,325</w:t>
                    </w:r>
                  </w:p>
                </w:tc>
                <w:tc>
                  <w:tcPr>
                    <w:tcW w:w="1197" w:type="pct"/>
                    <w:tcBorders>
                      <w:top w:val="outset" w:sz="4" w:space="0" w:color="auto"/>
                      <w:left w:val="outset" w:sz="4" w:space="0" w:color="auto"/>
                      <w:bottom w:val="outset" w:sz="4" w:space="0" w:color="auto"/>
                      <w:right w:val="outset" w:sz="4" w:space="0" w:color="auto"/>
                    </w:tcBorders>
                    <w:vAlign w:val="center"/>
                  </w:tcPr>
                  <w:p w14:paraId="56141B37" w14:textId="77777777" w:rsidR="007E7472" w:rsidRDefault="00EC1269">
                    <w:pPr>
                      <w:jc w:val="right"/>
                    </w:pPr>
                    <w:r>
                      <w:t>25,540</w:t>
                    </w:r>
                  </w:p>
                </w:tc>
              </w:tr>
              <w:tr w:rsidR="007E7472" w14:paraId="25B4DC85" w14:textId="77777777">
                <w:tc>
                  <w:tcPr>
                    <w:tcW w:w="1736" w:type="pct"/>
                    <w:tcBorders>
                      <w:top w:val="outset" w:sz="4" w:space="0" w:color="auto"/>
                      <w:left w:val="outset" w:sz="4" w:space="0" w:color="auto"/>
                      <w:bottom w:val="outset" w:sz="4" w:space="0" w:color="auto"/>
                      <w:right w:val="outset" w:sz="4" w:space="0" w:color="auto"/>
                    </w:tcBorders>
                  </w:tcPr>
                  <w:p w14:paraId="28AF78AA" w14:textId="77777777" w:rsidR="007E7472" w:rsidRDefault="00EC1269">
                    <w:pPr>
                      <w:ind w:firstLineChars="200" w:firstLine="420"/>
                      <w:rPr>
                        <w:color w:val="000000"/>
                      </w:rPr>
                    </w:pPr>
                    <w:r>
                      <w:rPr>
                        <w:rFonts w:hint="eastAsia"/>
                      </w:rPr>
                      <w:t>投资活动现金流出小计</w:t>
                    </w:r>
                  </w:p>
                </w:tc>
                <w:tc>
                  <w:tcPr>
                    <w:tcW w:w="866" w:type="pct"/>
                    <w:tcBorders>
                      <w:top w:val="outset" w:sz="4" w:space="0" w:color="auto"/>
                      <w:left w:val="outset" w:sz="4" w:space="0" w:color="auto"/>
                      <w:bottom w:val="outset" w:sz="4" w:space="0" w:color="auto"/>
                      <w:right w:val="outset" w:sz="4" w:space="0" w:color="auto"/>
                    </w:tcBorders>
                    <w:vAlign w:val="center"/>
                  </w:tcPr>
                  <w:p w14:paraId="6EB4EB4B" w14:textId="77777777" w:rsidR="007E7472" w:rsidRDefault="00C8327E">
                    <w:pPr>
                      <w:jc w:val="center"/>
                      <w:rPr>
                        <w:rFonts w:asciiTheme="majorEastAsia" w:eastAsiaTheme="majorEastAsia" w:hAnsiTheme="majorEastAsia"/>
                      </w:rPr>
                    </w:pPr>
                  </w:p>
                </w:tc>
                <w:tc>
                  <w:tcPr>
                    <w:tcW w:w="1201" w:type="pct"/>
                    <w:tcBorders>
                      <w:top w:val="outset" w:sz="4" w:space="0" w:color="auto"/>
                      <w:left w:val="outset" w:sz="4" w:space="0" w:color="auto"/>
                      <w:bottom w:val="outset" w:sz="4" w:space="0" w:color="auto"/>
                      <w:right w:val="outset" w:sz="4" w:space="0" w:color="auto"/>
                    </w:tcBorders>
                    <w:vAlign w:val="center"/>
                  </w:tcPr>
                  <w:p w14:paraId="2DB39EC6" w14:textId="77777777" w:rsidR="007E7472" w:rsidRDefault="00EC1269">
                    <w:pPr>
                      <w:jc w:val="right"/>
                    </w:pPr>
                    <w:r>
                      <w:t>9,647,601</w:t>
                    </w:r>
                  </w:p>
                </w:tc>
                <w:tc>
                  <w:tcPr>
                    <w:tcW w:w="1197" w:type="pct"/>
                    <w:tcBorders>
                      <w:top w:val="outset" w:sz="4" w:space="0" w:color="auto"/>
                      <w:left w:val="outset" w:sz="4" w:space="0" w:color="auto"/>
                      <w:bottom w:val="outset" w:sz="4" w:space="0" w:color="auto"/>
                      <w:right w:val="outset" w:sz="4" w:space="0" w:color="auto"/>
                    </w:tcBorders>
                    <w:vAlign w:val="center"/>
                  </w:tcPr>
                  <w:p w14:paraId="5EDED597" w14:textId="77777777" w:rsidR="007E7472" w:rsidRDefault="00EC1269">
                    <w:pPr>
                      <w:jc w:val="right"/>
                    </w:pPr>
                    <w:r>
                      <w:t>4,273,432</w:t>
                    </w:r>
                  </w:p>
                </w:tc>
              </w:tr>
              <w:tr w:rsidR="007E7472" w14:paraId="3882F0EA" w14:textId="77777777">
                <w:tc>
                  <w:tcPr>
                    <w:tcW w:w="1736" w:type="pct"/>
                    <w:tcBorders>
                      <w:top w:val="outset" w:sz="4" w:space="0" w:color="auto"/>
                      <w:left w:val="outset" w:sz="4" w:space="0" w:color="auto"/>
                      <w:bottom w:val="outset" w:sz="4" w:space="0" w:color="auto"/>
                      <w:right w:val="outset" w:sz="4" w:space="0" w:color="auto"/>
                    </w:tcBorders>
                  </w:tcPr>
                  <w:p w14:paraId="267CABEA" w14:textId="77777777" w:rsidR="007E7472" w:rsidRDefault="00EC1269">
                    <w:pPr>
                      <w:ind w:firstLineChars="300" w:firstLine="630"/>
                      <w:rPr>
                        <w:color w:val="000000"/>
                      </w:rPr>
                    </w:pPr>
                    <w:r>
                      <w:rPr>
                        <w:rFonts w:hint="eastAsia"/>
                      </w:rPr>
                      <w:t>投资活动产生的现金流量净额</w:t>
                    </w:r>
                  </w:p>
                </w:tc>
                <w:tc>
                  <w:tcPr>
                    <w:tcW w:w="866" w:type="pct"/>
                    <w:tcBorders>
                      <w:top w:val="outset" w:sz="4" w:space="0" w:color="auto"/>
                      <w:left w:val="outset" w:sz="4" w:space="0" w:color="auto"/>
                      <w:bottom w:val="outset" w:sz="4" w:space="0" w:color="auto"/>
                      <w:right w:val="outset" w:sz="4" w:space="0" w:color="auto"/>
                    </w:tcBorders>
                    <w:vAlign w:val="center"/>
                  </w:tcPr>
                  <w:p w14:paraId="17DC026F" w14:textId="77777777" w:rsidR="007E7472" w:rsidRDefault="00C8327E">
                    <w:pPr>
                      <w:jc w:val="center"/>
                      <w:rPr>
                        <w:rFonts w:asciiTheme="majorEastAsia" w:eastAsiaTheme="majorEastAsia" w:hAnsiTheme="majorEastAsia"/>
                      </w:rPr>
                    </w:pPr>
                  </w:p>
                </w:tc>
                <w:tc>
                  <w:tcPr>
                    <w:tcW w:w="1201" w:type="pct"/>
                    <w:tcBorders>
                      <w:top w:val="outset" w:sz="4" w:space="0" w:color="auto"/>
                      <w:left w:val="outset" w:sz="4" w:space="0" w:color="auto"/>
                      <w:bottom w:val="outset" w:sz="4" w:space="0" w:color="auto"/>
                      <w:right w:val="outset" w:sz="4" w:space="0" w:color="auto"/>
                    </w:tcBorders>
                    <w:vAlign w:val="center"/>
                  </w:tcPr>
                  <w:p w14:paraId="6E56084E" w14:textId="77777777" w:rsidR="007E7472" w:rsidRDefault="00EC1269">
                    <w:pPr>
                      <w:jc w:val="right"/>
                    </w:pPr>
                    <w:r>
                      <w:t>-7,136,154</w:t>
                    </w:r>
                  </w:p>
                </w:tc>
                <w:tc>
                  <w:tcPr>
                    <w:tcW w:w="1197" w:type="pct"/>
                    <w:tcBorders>
                      <w:top w:val="outset" w:sz="4" w:space="0" w:color="auto"/>
                      <w:left w:val="outset" w:sz="4" w:space="0" w:color="auto"/>
                      <w:bottom w:val="outset" w:sz="4" w:space="0" w:color="auto"/>
                      <w:right w:val="outset" w:sz="4" w:space="0" w:color="auto"/>
                    </w:tcBorders>
                    <w:vAlign w:val="center"/>
                  </w:tcPr>
                  <w:p w14:paraId="75898A13" w14:textId="77777777" w:rsidR="007E7472" w:rsidRDefault="00EC1269">
                    <w:pPr>
                      <w:jc w:val="right"/>
                    </w:pPr>
                    <w:r>
                      <w:t>-1,624,571</w:t>
                    </w:r>
                  </w:p>
                </w:tc>
              </w:tr>
              <w:tr w:rsidR="007E7472" w14:paraId="32CE42D1" w14:textId="77777777">
                <w:sdt>
                  <w:sdtPr>
                    <w:tag w:val="_PLD_0ebd9a8b5d8e4227a6bc3b0738379ef1"/>
                    <w:id w:val="555828808"/>
                    <w:lock w:val="sdtLocked"/>
                  </w:sdtPr>
                  <w:sdtEndPr/>
                  <w:sdtContent>
                    <w:tc>
                      <w:tcPr>
                        <w:tcW w:w="5000" w:type="pct"/>
                        <w:gridSpan w:val="4"/>
                        <w:tcBorders>
                          <w:top w:val="outset" w:sz="4" w:space="0" w:color="auto"/>
                          <w:left w:val="outset" w:sz="4" w:space="0" w:color="auto"/>
                          <w:bottom w:val="outset" w:sz="4" w:space="0" w:color="auto"/>
                          <w:right w:val="outset" w:sz="4" w:space="0" w:color="auto"/>
                        </w:tcBorders>
                        <w:vAlign w:val="center"/>
                      </w:tcPr>
                      <w:p w14:paraId="12611E26" w14:textId="77777777" w:rsidR="007E7472" w:rsidRDefault="00EC1269">
                        <w:pPr>
                          <w:rPr>
                            <w:color w:val="008000"/>
                          </w:rPr>
                        </w:pPr>
                        <w:r>
                          <w:rPr>
                            <w:rFonts w:hint="eastAsia"/>
                            <w:b/>
                          </w:rPr>
                          <w:t>三、筹资活动产生的现金流量：</w:t>
                        </w:r>
                      </w:p>
                    </w:tc>
                  </w:sdtContent>
                </w:sdt>
              </w:tr>
              <w:tr w:rsidR="007E7472" w14:paraId="636FDE2D" w14:textId="77777777">
                <w:tc>
                  <w:tcPr>
                    <w:tcW w:w="1736" w:type="pct"/>
                    <w:tcBorders>
                      <w:top w:val="outset" w:sz="4" w:space="0" w:color="auto"/>
                      <w:left w:val="outset" w:sz="4" w:space="0" w:color="auto"/>
                      <w:bottom w:val="outset" w:sz="4" w:space="0" w:color="auto"/>
                      <w:right w:val="outset" w:sz="4" w:space="0" w:color="auto"/>
                    </w:tcBorders>
                  </w:tcPr>
                  <w:p w14:paraId="2DE60971" w14:textId="77777777" w:rsidR="007E7472" w:rsidRDefault="00EC1269">
                    <w:pPr>
                      <w:ind w:firstLineChars="100" w:firstLine="210"/>
                      <w:rPr>
                        <w:color w:val="000000"/>
                      </w:rPr>
                    </w:pPr>
                    <w:r>
                      <w:rPr>
                        <w:rFonts w:hint="eastAsia"/>
                      </w:rPr>
                      <w:t>吸收投资收到的现金</w:t>
                    </w:r>
                  </w:p>
                </w:tc>
                <w:tc>
                  <w:tcPr>
                    <w:tcW w:w="866" w:type="pct"/>
                    <w:tcBorders>
                      <w:top w:val="outset" w:sz="4" w:space="0" w:color="auto"/>
                      <w:left w:val="outset" w:sz="4" w:space="0" w:color="auto"/>
                      <w:bottom w:val="outset" w:sz="4" w:space="0" w:color="auto"/>
                      <w:right w:val="outset" w:sz="4" w:space="0" w:color="auto"/>
                    </w:tcBorders>
                    <w:vAlign w:val="center"/>
                  </w:tcPr>
                  <w:p w14:paraId="6D0512C2" w14:textId="77777777" w:rsidR="007E7472" w:rsidRDefault="00C8327E">
                    <w:pPr>
                      <w:jc w:val="center"/>
                      <w:rPr>
                        <w:rFonts w:asciiTheme="majorEastAsia" w:eastAsiaTheme="majorEastAsia" w:hAnsiTheme="majorEastAsia"/>
                      </w:rPr>
                    </w:pPr>
                  </w:p>
                </w:tc>
                <w:tc>
                  <w:tcPr>
                    <w:tcW w:w="1201" w:type="pct"/>
                    <w:tcBorders>
                      <w:top w:val="outset" w:sz="4" w:space="0" w:color="auto"/>
                      <w:left w:val="outset" w:sz="4" w:space="0" w:color="auto"/>
                      <w:bottom w:val="outset" w:sz="4" w:space="0" w:color="auto"/>
                      <w:right w:val="outset" w:sz="4" w:space="0" w:color="auto"/>
                    </w:tcBorders>
                    <w:vAlign w:val="center"/>
                  </w:tcPr>
                  <w:p w14:paraId="76AD8D17" w14:textId="77777777" w:rsidR="007E7472" w:rsidRDefault="00EC1269">
                    <w:pPr>
                      <w:jc w:val="right"/>
                    </w:pPr>
                    <w:r>
                      <w:t>67,209</w:t>
                    </w:r>
                  </w:p>
                </w:tc>
                <w:tc>
                  <w:tcPr>
                    <w:tcW w:w="1197" w:type="pct"/>
                    <w:tcBorders>
                      <w:top w:val="outset" w:sz="4" w:space="0" w:color="auto"/>
                      <w:left w:val="outset" w:sz="4" w:space="0" w:color="auto"/>
                      <w:bottom w:val="outset" w:sz="4" w:space="0" w:color="auto"/>
                      <w:right w:val="outset" w:sz="4" w:space="0" w:color="auto"/>
                    </w:tcBorders>
                    <w:vAlign w:val="center"/>
                  </w:tcPr>
                  <w:p w14:paraId="7B0AABDB" w14:textId="77777777" w:rsidR="007E7472" w:rsidRDefault="00EC1269">
                    <w:pPr>
                      <w:jc w:val="right"/>
                    </w:pPr>
                    <w:r>
                      <w:t>5,797,316</w:t>
                    </w:r>
                  </w:p>
                </w:tc>
              </w:tr>
              <w:tr w:rsidR="007E7472" w14:paraId="2BE7141B" w14:textId="77777777">
                <w:tc>
                  <w:tcPr>
                    <w:tcW w:w="1736" w:type="pct"/>
                    <w:tcBorders>
                      <w:top w:val="outset" w:sz="4" w:space="0" w:color="auto"/>
                      <w:left w:val="outset" w:sz="4" w:space="0" w:color="auto"/>
                      <w:bottom w:val="outset" w:sz="4" w:space="0" w:color="auto"/>
                      <w:right w:val="outset" w:sz="4" w:space="0" w:color="auto"/>
                    </w:tcBorders>
                  </w:tcPr>
                  <w:p w14:paraId="55AB5AA9" w14:textId="77777777" w:rsidR="007E7472" w:rsidRDefault="00EC1269">
                    <w:pPr>
                      <w:ind w:firstLineChars="100" w:firstLine="210"/>
                      <w:rPr>
                        <w:color w:val="000000"/>
                      </w:rPr>
                    </w:pPr>
                    <w:r>
                      <w:rPr>
                        <w:rFonts w:hint="eastAsia"/>
                      </w:rPr>
                      <w:t>其中：子公司吸收少数股东投资收到的现金</w:t>
                    </w:r>
                  </w:p>
                </w:tc>
                <w:tc>
                  <w:tcPr>
                    <w:tcW w:w="866" w:type="pct"/>
                    <w:tcBorders>
                      <w:top w:val="outset" w:sz="4" w:space="0" w:color="auto"/>
                      <w:left w:val="outset" w:sz="4" w:space="0" w:color="auto"/>
                      <w:bottom w:val="outset" w:sz="4" w:space="0" w:color="auto"/>
                      <w:right w:val="outset" w:sz="4" w:space="0" w:color="auto"/>
                    </w:tcBorders>
                    <w:vAlign w:val="center"/>
                  </w:tcPr>
                  <w:p w14:paraId="29C1D7F8" w14:textId="77777777" w:rsidR="007E7472" w:rsidRDefault="00C8327E">
                    <w:pPr>
                      <w:jc w:val="center"/>
                      <w:rPr>
                        <w:rFonts w:asciiTheme="majorEastAsia" w:eastAsiaTheme="majorEastAsia" w:hAnsiTheme="majorEastAsia"/>
                      </w:rPr>
                    </w:pPr>
                  </w:p>
                </w:tc>
                <w:tc>
                  <w:tcPr>
                    <w:tcW w:w="1201" w:type="pct"/>
                    <w:tcBorders>
                      <w:top w:val="outset" w:sz="4" w:space="0" w:color="auto"/>
                      <w:left w:val="outset" w:sz="4" w:space="0" w:color="auto"/>
                      <w:bottom w:val="outset" w:sz="4" w:space="0" w:color="auto"/>
                      <w:right w:val="outset" w:sz="4" w:space="0" w:color="auto"/>
                    </w:tcBorders>
                    <w:vAlign w:val="center"/>
                  </w:tcPr>
                  <w:p w14:paraId="0C86FF04" w14:textId="77777777" w:rsidR="007E7472" w:rsidRDefault="00EC1269">
                    <w:pPr>
                      <w:jc w:val="right"/>
                    </w:pPr>
                    <w:r>
                      <w:t>10,000</w:t>
                    </w:r>
                  </w:p>
                </w:tc>
                <w:tc>
                  <w:tcPr>
                    <w:tcW w:w="1197" w:type="pct"/>
                    <w:tcBorders>
                      <w:top w:val="outset" w:sz="4" w:space="0" w:color="auto"/>
                      <w:left w:val="outset" w:sz="4" w:space="0" w:color="auto"/>
                      <w:bottom w:val="outset" w:sz="4" w:space="0" w:color="auto"/>
                      <w:right w:val="outset" w:sz="4" w:space="0" w:color="auto"/>
                    </w:tcBorders>
                    <w:vAlign w:val="center"/>
                  </w:tcPr>
                  <w:p w14:paraId="31F1FF97" w14:textId="77777777" w:rsidR="007E7472" w:rsidRDefault="00C8327E">
                    <w:pPr>
                      <w:jc w:val="right"/>
                    </w:pPr>
                  </w:p>
                </w:tc>
              </w:tr>
              <w:tr w:rsidR="007E7472" w14:paraId="69FBB6D8" w14:textId="77777777">
                <w:tc>
                  <w:tcPr>
                    <w:tcW w:w="1736" w:type="pct"/>
                    <w:tcBorders>
                      <w:top w:val="outset" w:sz="4" w:space="0" w:color="auto"/>
                      <w:left w:val="outset" w:sz="4" w:space="0" w:color="auto"/>
                      <w:bottom w:val="outset" w:sz="4" w:space="0" w:color="auto"/>
                      <w:right w:val="outset" w:sz="4" w:space="0" w:color="auto"/>
                    </w:tcBorders>
                  </w:tcPr>
                  <w:p w14:paraId="5AFB17E3" w14:textId="77777777" w:rsidR="007E7472" w:rsidRDefault="00EC1269">
                    <w:pPr>
                      <w:ind w:firstLineChars="100" w:firstLine="210"/>
                    </w:pPr>
                    <w:r>
                      <w:t>发行其他权益工具收到的现金</w:t>
                    </w:r>
                  </w:p>
                </w:tc>
                <w:tc>
                  <w:tcPr>
                    <w:tcW w:w="866" w:type="pct"/>
                    <w:tcBorders>
                      <w:top w:val="outset" w:sz="4" w:space="0" w:color="auto"/>
                      <w:left w:val="outset" w:sz="4" w:space="0" w:color="auto"/>
                      <w:bottom w:val="outset" w:sz="4" w:space="0" w:color="auto"/>
                      <w:right w:val="outset" w:sz="4" w:space="0" w:color="auto"/>
                    </w:tcBorders>
                    <w:vAlign w:val="center"/>
                  </w:tcPr>
                  <w:p w14:paraId="6DD055A0" w14:textId="77777777" w:rsidR="007E7472" w:rsidRDefault="00C8327E">
                    <w:pPr>
                      <w:jc w:val="center"/>
                      <w:rPr>
                        <w:rFonts w:asciiTheme="majorEastAsia" w:eastAsiaTheme="majorEastAsia" w:hAnsiTheme="majorEastAsia"/>
                      </w:rPr>
                    </w:pPr>
                  </w:p>
                </w:tc>
                <w:tc>
                  <w:tcPr>
                    <w:tcW w:w="1201" w:type="pct"/>
                    <w:tcBorders>
                      <w:top w:val="outset" w:sz="4" w:space="0" w:color="auto"/>
                      <w:left w:val="outset" w:sz="4" w:space="0" w:color="auto"/>
                      <w:bottom w:val="outset" w:sz="4" w:space="0" w:color="auto"/>
                      <w:right w:val="outset" w:sz="4" w:space="0" w:color="auto"/>
                    </w:tcBorders>
                    <w:vAlign w:val="center"/>
                  </w:tcPr>
                  <w:p w14:paraId="6C71C61F" w14:textId="77777777" w:rsidR="007E7472" w:rsidRDefault="00C8327E">
                    <w:pPr>
                      <w:jc w:val="right"/>
                    </w:pPr>
                  </w:p>
                </w:tc>
                <w:tc>
                  <w:tcPr>
                    <w:tcW w:w="1197" w:type="pct"/>
                    <w:tcBorders>
                      <w:top w:val="outset" w:sz="4" w:space="0" w:color="auto"/>
                      <w:left w:val="outset" w:sz="4" w:space="0" w:color="auto"/>
                      <w:bottom w:val="outset" w:sz="4" w:space="0" w:color="auto"/>
                      <w:right w:val="outset" w:sz="4" w:space="0" w:color="auto"/>
                    </w:tcBorders>
                    <w:vAlign w:val="center"/>
                  </w:tcPr>
                  <w:p w14:paraId="63CA7BC9" w14:textId="77777777" w:rsidR="007E7472" w:rsidRDefault="00EC1269">
                    <w:pPr>
                      <w:jc w:val="right"/>
                    </w:pPr>
                    <w:r>
                      <w:t>4,990,400</w:t>
                    </w:r>
                  </w:p>
                </w:tc>
              </w:tr>
              <w:tr w:rsidR="007E7472" w14:paraId="3C4E9ADB" w14:textId="77777777">
                <w:tc>
                  <w:tcPr>
                    <w:tcW w:w="1736" w:type="pct"/>
                    <w:tcBorders>
                      <w:top w:val="outset" w:sz="4" w:space="0" w:color="auto"/>
                      <w:left w:val="outset" w:sz="4" w:space="0" w:color="auto"/>
                      <w:bottom w:val="outset" w:sz="4" w:space="0" w:color="auto"/>
                      <w:right w:val="outset" w:sz="4" w:space="0" w:color="auto"/>
                    </w:tcBorders>
                  </w:tcPr>
                  <w:p w14:paraId="78A25ABA" w14:textId="77777777" w:rsidR="007E7472" w:rsidRDefault="00EC1269">
                    <w:pPr>
                      <w:ind w:firstLineChars="100" w:firstLine="210"/>
                      <w:rPr>
                        <w:color w:val="000000"/>
                      </w:rPr>
                    </w:pPr>
                    <w:r>
                      <w:rPr>
                        <w:rFonts w:hint="eastAsia"/>
                      </w:rPr>
                      <w:t>取得借款收到的现金</w:t>
                    </w:r>
                  </w:p>
                </w:tc>
                <w:tc>
                  <w:tcPr>
                    <w:tcW w:w="866" w:type="pct"/>
                    <w:tcBorders>
                      <w:top w:val="outset" w:sz="4" w:space="0" w:color="auto"/>
                      <w:left w:val="outset" w:sz="4" w:space="0" w:color="auto"/>
                      <w:bottom w:val="outset" w:sz="4" w:space="0" w:color="auto"/>
                      <w:right w:val="outset" w:sz="4" w:space="0" w:color="auto"/>
                    </w:tcBorders>
                    <w:vAlign w:val="center"/>
                  </w:tcPr>
                  <w:p w14:paraId="077F7EBF" w14:textId="77777777" w:rsidR="007E7472" w:rsidRDefault="00C8327E">
                    <w:pPr>
                      <w:jc w:val="center"/>
                      <w:rPr>
                        <w:rFonts w:asciiTheme="majorEastAsia" w:eastAsiaTheme="majorEastAsia" w:hAnsiTheme="majorEastAsia"/>
                      </w:rPr>
                    </w:pPr>
                  </w:p>
                </w:tc>
                <w:tc>
                  <w:tcPr>
                    <w:tcW w:w="1201" w:type="pct"/>
                    <w:tcBorders>
                      <w:top w:val="outset" w:sz="4" w:space="0" w:color="auto"/>
                      <w:left w:val="outset" w:sz="4" w:space="0" w:color="auto"/>
                      <w:bottom w:val="outset" w:sz="4" w:space="0" w:color="auto"/>
                      <w:right w:val="outset" w:sz="4" w:space="0" w:color="auto"/>
                    </w:tcBorders>
                    <w:vAlign w:val="center"/>
                  </w:tcPr>
                  <w:p w14:paraId="412E0B87" w14:textId="77777777" w:rsidR="007E7472" w:rsidRDefault="00EC1269">
                    <w:pPr>
                      <w:jc w:val="right"/>
                    </w:pPr>
                    <w:r>
                      <w:t>23,342,998</w:t>
                    </w:r>
                  </w:p>
                </w:tc>
                <w:tc>
                  <w:tcPr>
                    <w:tcW w:w="1197" w:type="pct"/>
                    <w:tcBorders>
                      <w:top w:val="outset" w:sz="4" w:space="0" w:color="auto"/>
                      <w:left w:val="outset" w:sz="4" w:space="0" w:color="auto"/>
                      <w:bottom w:val="outset" w:sz="4" w:space="0" w:color="auto"/>
                      <w:right w:val="outset" w:sz="4" w:space="0" w:color="auto"/>
                    </w:tcBorders>
                    <w:vAlign w:val="center"/>
                  </w:tcPr>
                  <w:p w14:paraId="1E7CFEFB" w14:textId="77777777" w:rsidR="007E7472" w:rsidRDefault="00EC1269">
                    <w:pPr>
                      <w:jc w:val="right"/>
                    </w:pPr>
                    <w:r>
                      <w:t>13,178,810</w:t>
                    </w:r>
                  </w:p>
                </w:tc>
              </w:tr>
              <w:tr w:rsidR="007E7472" w14:paraId="0EFE2E3A" w14:textId="77777777">
                <w:tc>
                  <w:tcPr>
                    <w:tcW w:w="1736" w:type="pct"/>
                    <w:tcBorders>
                      <w:top w:val="outset" w:sz="4" w:space="0" w:color="auto"/>
                      <w:left w:val="outset" w:sz="4" w:space="0" w:color="auto"/>
                      <w:bottom w:val="outset" w:sz="4" w:space="0" w:color="auto"/>
                      <w:right w:val="outset" w:sz="4" w:space="0" w:color="auto"/>
                    </w:tcBorders>
                  </w:tcPr>
                  <w:p w14:paraId="2E979BD3" w14:textId="77777777" w:rsidR="007E7472" w:rsidRDefault="00EC1269">
                    <w:pPr>
                      <w:ind w:firstLineChars="100" w:firstLine="210"/>
                      <w:rPr>
                        <w:color w:val="000000"/>
                      </w:rPr>
                    </w:pPr>
                    <w:r>
                      <w:rPr>
                        <w:rFonts w:hint="eastAsia"/>
                      </w:rPr>
                      <w:t>收到其他与筹资活动有关的现金</w:t>
                    </w:r>
                  </w:p>
                </w:tc>
                <w:tc>
                  <w:tcPr>
                    <w:tcW w:w="866" w:type="pct"/>
                    <w:tcBorders>
                      <w:top w:val="outset" w:sz="4" w:space="0" w:color="auto"/>
                      <w:left w:val="outset" w:sz="4" w:space="0" w:color="auto"/>
                      <w:bottom w:val="outset" w:sz="4" w:space="0" w:color="auto"/>
                      <w:right w:val="outset" w:sz="4" w:space="0" w:color="auto"/>
                    </w:tcBorders>
                    <w:vAlign w:val="center"/>
                  </w:tcPr>
                  <w:p w14:paraId="0941C672" w14:textId="77777777" w:rsidR="007E7472" w:rsidRDefault="00EC1269">
                    <w:pPr>
                      <w:jc w:val="center"/>
                      <w:rPr>
                        <w:rFonts w:asciiTheme="majorEastAsia" w:eastAsiaTheme="majorEastAsia" w:hAnsiTheme="majorEastAsia"/>
                      </w:rPr>
                    </w:pPr>
                    <w:r>
                      <w:rPr>
                        <w:rFonts w:asciiTheme="majorEastAsia" w:eastAsiaTheme="majorEastAsia" w:hAnsiTheme="majorEastAsia" w:hint="eastAsia"/>
                      </w:rPr>
                      <w:t>七、7</w:t>
                    </w:r>
                    <w:r>
                      <w:rPr>
                        <w:rFonts w:asciiTheme="majorEastAsia" w:eastAsiaTheme="majorEastAsia" w:hAnsiTheme="majorEastAsia"/>
                      </w:rPr>
                      <w:t>8</w:t>
                    </w:r>
                  </w:p>
                </w:tc>
                <w:tc>
                  <w:tcPr>
                    <w:tcW w:w="1201" w:type="pct"/>
                    <w:tcBorders>
                      <w:top w:val="outset" w:sz="4" w:space="0" w:color="auto"/>
                      <w:left w:val="outset" w:sz="4" w:space="0" w:color="auto"/>
                      <w:bottom w:val="outset" w:sz="4" w:space="0" w:color="auto"/>
                      <w:right w:val="outset" w:sz="4" w:space="0" w:color="auto"/>
                    </w:tcBorders>
                    <w:vAlign w:val="center"/>
                  </w:tcPr>
                  <w:p w14:paraId="3B66C042" w14:textId="77777777" w:rsidR="007E7472" w:rsidRDefault="00EC1269">
                    <w:pPr>
                      <w:jc w:val="right"/>
                    </w:pPr>
                    <w:r>
                      <w:t>1,500,000</w:t>
                    </w:r>
                  </w:p>
                </w:tc>
                <w:tc>
                  <w:tcPr>
                    <w:tcW w:w="1197" w:type="pct"/>
                    <w:tcBorders>
                      <w:top w:val="outset" w:sz="4" w:space="0" w:color="auto"/>
                      <w:left w:val="outset" w:sz="4" w:space="0" w:color="auto"/>
                      <w:bottom w:val="outset" w:sz="4" w:space="0" w:color="auto"/>
                      <w:right w:val="outset" w:sz="4" w:space="0" w:color="auto"/>
                    </w:tcBorders>
                    <w:vAlign w:val="center"/>
                  </w:tcPr>
                  <w:p w14:paraId="6FEA6A55" w14:textId="77777777" w:rsidR="007E7472" w:rsidRDefault="00EC1269">
                    <w:pPr>
                      <w:jc w:val="right"/>
                    </w:pPr>
                    <w:r>
                      <w:t>1,501,741</w:t>
                    </w:r>
                  </w:p>
                </w:tc>
              </w:tr>
              <w:tr w:rsidR="007E7472" w14:paraId="15B6A83D" w14:textId="77777777">
                <w:tc>
                  <w:tcPr>
                    <w:tcW w:w="1736" w:type="pct"/>
                    <w:tcBorders>
                      <w:top w:val="outset" w:sz="4" w:space="0" w:color="auto"/>
                      <w:left w:val="outset" w:sz="4" w:space="0" w:color="auto"/>
                      <w:bottom w:val="outset" w:sz="4" w:space="0" w:color="auto"/>
                      <w:right w:val="outset" w:sz="4" w:space="0" w:color="auto"/>
                    </w:tcBorders>
                  </w:tcPr>
                  <w:p w14:paraId="4840178C" w14:textId="77777777" w:rsidR="007E7472" w:rsidRDefault="00EC1269">
                    <w:pPr>
                      <w:ind w:firstLineChars="200" w:firstLine="420"/>
                      <w:rPr>
                        <w:color w:val="000000"/>
                      </w:rPr>
                    </w:pPr>
                    <w:r>
                      <w:rPr>
                        <w:rFonts w:hint="eastAsia"/>
                      </w:rPr>
                      <w:t>筹资活动现金流入小计</w:t>
                    </w:r>
                  </w:p>
                </w:tc>
                <w:tc>
                  <w:tcPr>
                    <w:tcW w:w="866" w:type="pct"/>
                    <w:tcBorders>
                      <w:top w:val="outset" w:sz="4" w:space="0" w:color="auto"/>
                      <w:left w:val="outset" w:sz="4" w:space="0" w:color="auto"/>
                      <w:bottom w:val="outset" w:sz="4" w:space="0" w:color="auto"/>
                      <w:right w:val="outset" w:sz="4" w:space="0" w:color="auto"/>
                    </w:tcBorders>
                    <w:vAlign w:val="center"/>
                  </w:tcPr>
                  <w:p w14:paraId="5DD443B4" w14:textId="77777777" w:rsidR="007E7472" w:rsidRDefault="00C8327E">
                    <w:pPr>
                      <w:jc w:val="center"/>
                      <w:rPr>
                        <w:rFonts w:asciiTheme="majorEastAsia" w:eastAsiaTheme="majorEastAsia" w:hAnsiTheme="majorEastAsia"/>
                      </w:rPr>
                    </w:pPr>
                  </w:p>
                </w:tc>
                <w:tc>
                  <w:tcPr>
                    <w:tcW w:w="1201" w:type="pct"/>
                    <w:tcBorders>
                      <w:top w:val="outset" w:sz="4" w:space="0" w:color="auto"/>
                      <w:left w:val="outset" w:sz="4" w:space="0" w:color="auto"/>
                      <w:bottom w:val="outset" w:sz="4" w:space="0" w:color="auto"/>
                      <w:right w:val="outset" w:sz="4" w:space="0" w:color="auto"/>
                    </w:tcBorders>
                    <w:vAlign w:val="center"/>
                  </w:tcPr>
                  <w:p w14:paraId="3336352C" w14:textId="77777777" w:rsidR="007E7472" w:rsidRDefault="00EC1269">
                    <w:pPr>
                      <w:jc w:val="right"/>
                    </w:pPr>
                    <w:r>
                      <w:t>24,910,207</w:t>
                    </w:r>
                  </w:p>
                </w:tc>
                <w:tc>
                  <w:tcPr>
                    <w:tcW w:w="1197" w:type="pct"/>
                    <w:tcBorders>
                      <w:top w:val="outset" w:sz="4" w:space="0" w:color="auto"/>
                      <w:left w:val="outset" w:sz="4" w:space="0" w:color="auto"/>
                      <w:bottom w:val="outset" w:sz="4" w:space="0" w:color="auto"/>
                      <w:right w:val="outset" w:sz="4" w:space="0" w:color="auto"/>
                    </w:tcBorders>
                    <w:vAlign w:val="center"/>
                  </w:tcPr>
                  <w:p w14:paraId="41A29839" w14:textId="77777777" w:rsidR="007E7472" w:rsidRDefault="00EC1269">
                    <w:pPr>
                      <w:jc w:val="right"/>
                    </w:pPr>
                    <w:r>
                      <w:t>20,477,867</w:t>
                    </w:r>
                  </w:p>
                </w:tc>
              </w:tr>
              <w:tr w:rsidR="007E7472" w14:paraId="23DA7805" w14:textId="77777777">
                <w:tc>
                  <w:tcPr>
                    <w:tcW w:w="1736" w:type="pct"/>
                    <w:tcBorders>
                      <w:top w:val="outset" w:sz="4" w:space="0" w:color="auto"/>
                      <w:left w:val="outset" w:sz="4" w:space="0" w:color="auto"/>
                      <w:bottom w:val="outset" w:sz="4" w:space="0" w:color="auto"/>
                      <w:right w:val="outset" w:sz="4" w:space="0" w:color="auto"/>
                    </w:tcBorders>
                  </w:tcPr>
                  <w:p w14:paraId="1B60E45C" w14:textId="77777777" w:rsidR="007E7472" w:rsidRDefault="00EC1269">
                    <w:pPr>
                      <w:ind w:firstLineChars="100" w:firstLine="210"/>
                      <w:rPr>
                        <w:color w:val="000000"/>
                      </w:rPr>
                    </w:pPr>
                    <w:r>
                      <w:rPr>
                        <w:rFonts w:hint="eastAsia"/>
                      </w:rPr>
                      <w:t>偿还债务支付的现金</w:t>
                    </w:r>
                  </w:p>
                </w:tc>
                <w:tc>
                  <w:tcPr>
                    <w:tcW w:w="866" w:type="pct"/>
                    <w:tcBorders>
                      <w:top w:val="outset" w:sz="4" w:space="0" w:color="auto"/>
                      <w:left w:val="outset" w:sz="4" w:space="0" w:color="auto"/>
                      <w:bottom w:val="outset" w:sz="4" w:space="0" w:color="auto"/>
                      <w:right w:val="outset" w:sz="4" w:space="0" w:color="auto"/>
                    </w:tcBorders>
                    <w:vAlign w:val="center"/>
                  </w:tcPr>
                  <w:p w14:paraId="6F2559BD" w14:textId="77777777" w:rsidR="007E7472" w:rsidRDefault="00C8327E">
                    <w:pPr>
                      <w:jc w:val="center"/>
                      <w:rPr>
                        <w:rFonts w:asciiTheme="majorEastAsia" w:eastAsiaTheme="majorEastAsia" w:hAnsiTheme="majorEastAsia"/>
                      </w:rPr>
                    </w:pPr>
                  </w:p>
                </w:tc>
                <w:tc>
                  <w:tcPr>
                    <w:tcW w:w="1201" w:type="pct"/>
                    <w:tcBorders>
                      <w:top w:val="outset" w:sz="4" w:space="0" w:color="auto"/>
                      <w:left w:val="outset" w:sz="4" w:space="0" w:color="auto"/>
                      <w:bottom w:val="outset" w:sz="4" w:space="0" w:color="auto"/>
                      <w:right w:val="outset" w:sz="4" w:space="0" w:color="auto"/>
                    </w:tcBorders>
                    <w:vAlign w:val="center"/>
                  </w:tcPr>
                  <w:p w14:paraId="06F089F8" w14:textId="77777777" w:rsidR="007E7472" w:rsidRDefault="00EC1269">
                    <w:pPr>
                      <w:jc w:val="right"/>
                    </w:pPr>
                    <w:r>
                      <w:t>13,379,465</w:t>
                    </w:r>
                  </w:p>
                </w:tc>
                <w:tc>
                  <w:tcPr>
                    <w:tcW w:w="1197" w:type="pct"/>
                    <w:tcBorders>
                      <w:top w:val="outset" w:sz="4" w:space="0" w:color="auto"/>
                      <w:left w:val="outset" w:sz="4" w:space="0" w:color="auto"/>
                      <w:bottom w:val="outset" w:sz="4" w:space="0" w:color="auto"/>
                      <w:right w:val="outset" w:sz="4" w:space="0" w:color="auto"/>
                    </w:tcBorders>
                    <w:vAlign w:val="center"/>
                  </w:tcPr>
                  <w:p w14:paraId="54E9AE8F" w14:textId="77777777" w:rsidR="007E7472" w:rsidRDefault="00EC1269">
                    <w:pPr>
                      <w:jc w:val="right"/>
                    </w:pPr>
                    <w:r>
                      <w:t>17,379,151</w:t>
                    </w:r>
                  </w:p>
                </w:tc>
              </w:tr>
              <w:tr w:rsidR="007E7472" w14:paraId="058F8117" w14:textId="77777777">
                <w:tc>
                  <w:tcPr>
                    <w:tcW w:w="1736" w:type="pct"/>
                    <w:tcBorders>
                      <w:top w:val="outset" w:sz="4" w:space="0" w:color="auto"/>
                      <w:left w:val="outset" w:sz="4" w:space="0" w:color="auto"/>
                      <w:bottom w:val="outset" w:sz="4" w:space="0" w:color="auto"/>
                      <w:right w:val="outset" w:sz="4" w:space="0" w:color="auto"/>
                    </w:tcBorders>
                  </w:tcPr>
                  <w:p w14:paraId="0F3B2A04" w14:textId="77777777" w:rsidR="007E7472" w:rsidRDefault="00EC1269">
                    <w:pPr>
                      <w:ind w:firstLineChars="100" w:firstLine="210"/>
                    </w:pPr>
                    <w:r>
                      <w:rPr>
                        <w:rFonts w:hint="eastAsia"/>
                      </w:rPr>
                      <w:t>分配股利、利润或偿付利息支付的现金</w:t>
                    </w:r>
                  </w:p>
                </w:tc>
                <w:tc>
                  <w:tcPr>
                    <w:tcW w:w="866" w:type="pct"/>
                    <w:tcBorders>
                      <w:top w:val="outset" w:sz="4" w:space="0" w:color="auto"/>
                      <w:left w:val="outset" w:sz="4" w:space="0" w:color="auto"/>
                      <w:bottom w:val="outset" w:sz="4" w:space="0" w:color="auto"/>
                      <w:right w:val="outset" w:sz="4" w:space="0" w:color="auto"/>
                    </w:tcBorders>
                    <w:vAlign w:val="center"/>
                  </w:tcPr>
                  <w:p w14:paraId="6BC798E4" w14:textId="77777777" w:rsidR="007E7472" w:rsidRDefault="00C8327E">
                    <w:pPr>
                      <w:jc w:val="center"/>
                      <w:rPr>
                        <w:rFonts w:asciiTheme="majorEastAsia" w:eastAsiaTheme="majorEastAsia" w:hAnsiTheme="majorEastAsia"/>
                      </w:rPr>
                    </w:pPr>
                  </w:p>
                </w:tc>
                <w:tc>
                  <w:tcPr>
                    <w:tcW w:w="1201" w:type="pct"/>
                    <w:tcBorders>
                      <w:top w:val="outset" w:sz="4" w:space="0" w:color="auto"/>
                      <w:left w:val="outset" w:sz="4" w:space="0" w:color="auto"/>
                      <w:bottom w:val="outset" w:sz="4" w:space="0" w:color="auto"/>
                      <w:right w:val="outset" w:sz="4" w:space="0" w:color="auto"/>
                    </w:tcBorders>
                    <w:vAlign w:val="center"/>
                  </w:tcPr>
                  <w:p w14:paraId="634160EE" w14:textId="77777777" w:rsidR="007E7472" w:rsidRDefault="00EC1269">
                    <w:pPr>
                      <w:jc w:val="right"/>
                    </w:pPr>
                    <w:r>
                      <w:t>4,514,912</w:t>
                    </w:r>
                  </w:p>
                </w:tc>
                <w:tc>
                  <w:tcPr>
                    <w:tcW w:w="1197" w:type="pct"/>
                    <w:tcBorders>
                      <w:top w:val="outset" w:sz="4" w:space="0" w:color="auto"/>
                      <w:left w:val="outset" w:sz="4" w:space="0" w:color="auto"/>
                      <w:bottom w:val="outset" w:sz="4" w:space="0" w:color="auto"/>
                      <w:right w:val="outset" w:sz="4" w:space="0" w:color="auto"/>
                    </w:tcBorders>
                    <w:vAlign w:val="center"/>
                  </w:tcPr>
                  <w:p w14:paraId="5E307F46" w14:textId="77777777" w:rsidR="007E7472" w:rsidRDefault="00EC1269">
                    <w:pPr>
                      <w:jc w:val="right"/>
                    </w:pPr>
                    <w:r>
                      <w:t>4,352,557</w:t>
                    </w:r>
                  </w:p>
                </w:tc>
              </w:tr>
              <w:tr w:rsidR="007E7472" w14:paraId="3D3A9B5F" w14:textId="77777777">
                <w:tc>
                  <w:tcPr>
                    <w:tcW w:w="1736" w:type="pct"/>
                    <w:tcBorders>
                      <w:top w:val="outset" w:sz="4" w:space="0" w:color="auto"/>
                      <w:left w:val="outset" w:sz="4" w:space="0" w:color="auto"/>
                      <w:bottom w:val="outset" w:sz="4" w:space="0" w:color="auto"/>
                      <w:right w:val="outset" w:sz="4" w:space="0" w:color="auto"/>
                    </w:tcBorders>
                  </w:tcPr>
                  <w:p w14:paraId="6D580EF8" w14:textId="77777777" w:rsidR="007E7472" w:rsidRDefault="00EC1269">
                    <w:pPr>
                      <w:ind w:firstLineChars="100" w:firstLine="210"/>
                    </w:pPr>
                    <w:r>
                      <w:rPr>
                        <w:rFonts w:hint="eastAsia"/>
                      </w:rPr>
                      <w:t>其中：子公司支付给少数股东的股利、利润</w:t>
                    </w:r>
                  </w:p>
                </w:tc>
                <w:tc>
                  <w:tcPr>
                    <w:tcW w:w="866" w:type="pct"/>
                    <w:tcBorders>
                      <w:top w:val="outset" w:sz="4" w:space="0" w:color="auto"/>
                      <w:left w:val="outset" w:sz="4" w:space="0" w:color="auto"/>
                      <w:bottom w:val="outset" w:sz="4" w:space="0" w:color="auto"/>
                      <w:right w:val="outset" w:sz="4" w:space="0" w:color="auto"/>
                    </w:tcBorders>
                    <w:vAlign w:val="center"/>
                  </w:tcPr>
                  <w:p w14:paraId="66432219" w14:textId="77777777" w:rsidR="007E7472" w:rsidRDefault="00C8327E">
                    <w:pPr>
                      <w:jc w:val="center"/>
                      <w:rPr>
                        <w:rFonts w:asciiTheme="majorEastAsia" w:eastAsiaTheme="majorEastAsia" w:hAnsiTheme="majorEastAsia"/>
                      </w:rPr>
                    </w:pPr>
                  </w:p>
                </w:tc>
                <w:tc>
                  <w:tcPr>
                    <w:tcW w:w="1201" w:type="pct"/>
                    <w:tcBorders>
                      <w:top w:val="outset" w:sz="4" w:space="0" w:color="auto"/>
                      <w:left w:val="outset" w:sz="4" w:space="0" w:color="auto"/>
                      <w:bottom w:val="outset" w:sz="4" w:space="0" w:color="auto"/>
                      <w:right w:val="outset" w:sz="4" w:space="0" w:color="auto"/>
                    </w:tcBorders>
                    <w:vAlign w:val="center"/>
                  </w:tcPr>
                  <w:p w14:paraId="38800966" w14:textId="77777777" w:rsidR="007E7472" w:rsidRDefault="00EC1269">
                    <w:pPr>
                      <w:jc w:val="right"/>
                    </w:pPr>
                    <w:r>
                      <w:t>2,403,718</w:t>
                    </w:r>
                  </w:p>
                </w:tc>
                <w:tc>
                  <w:tcPr>
                    <w:tcW w:w="1197" w:type="pct"/>
                    <w:tcBorders>
                      <w:top w:val="outset" w:sz="4" w:space="0" w:color="auto"/>
                      <w:left w:val="outset" w:sz="4" w:space="0" w:color="auto"/>
                      <w:bottom w:val="outset" w:sz="4" w:space="0" w:color="auto"/>
                      <w:right w:val="outset" w:sz="4" w:space="0" w:color="auto"/>
                    </w:tcBorders>
                    <w:vAlign w:val="center"/>
                  </w:tcPr>
                  <w:p w14:paraId="22F5729C" w14:textId="77777777" w:rsidR="007E7472" w:rsidRDefault="00EC1269">
                    <w:pPr>
                      <w:jc w:val="right"/>
                    </w:pPr>
                    <w:r>
                      <w:t>1,799,289</w:t>
                    </w:r>
                  </w:p>
                </w:tc>
              </w:tr>
              <w:tr w:rsidR="007E7472" w14:paraId="30CA5371" w14:textId="77777777">
                <w:tc>
                  <w:tcPr>
                    <w:tcW w:w="1736" w:type="pct"/>
                    <w:tcBorders>
                      <w:top w:val="outset" w:sz="4" w:space="0" w:color="auto"/>
                      <w:left w:val="outset" w:sz="4" w:space="0" w:color="auto"/>
                      <w:bottom w:val="outset" w:sz="4" w:space="0" w:color="auto"/>
                      <w:right w:val="outset" w:sz="4" w:space="0" w:color="auto"/>
                    </w:tcBorders>
                  </w:tcPr>
                  <w:p w14:paraId="0C67570B" w14:textId="77777777" w:rsidR="007E7472" w:rsidRDefault="00EC1269">
                    <w:pPr>
                      <w:ind w:firstLineChars="100" w:firstLine="210"/>
                    </w:pPr>
                    <w:r>
                      <w:rPr>
                        <w:rFonts w:hint="eastAsia"/>
                      </w:rPr>
                      <w:lastRenderedPageBreak/>
                      <w:t>支付其他与筹资活动有关的现金</w:t>
                    </w:r>
                  </w:p>
                </w:tc>
                <w:tc>
                  <w:tcPr>
                    <w:tcW w:w="866" w:type="pct"/>
                    <w:tcBorders>
                      <w:top w:val="outset" w:sz="4" w:space="0" w:color="auto"/>
                      <w:left w:val="outset" w:sz="4" w:space="0" w:color="auto"/>
                      <w:bottom w:val="outset" w:sz="4" w:space="0" w:color="auto"/>
                      <w:right w:val="outset" w:sz="4" w:space="0" w:color="auto"/>
                    </w:tcBorders>
                    <w:vAlign w:val="center"/>
                  </w:tcPr>
                  <w:p w14:paraId="7382F811" w14:textId="77777777" w:rsidR="007E7472" w:rsidRDefault="00EC1269">
                    <w:pPr>
                      <w:jc w:val="center"/>
                      <w:rPr>
                        <w:rFonts w:asciiTheme="majorEastAsia" w:eastAsiaTheme="majorEastAsia" w:hAnsiTheme="majorEastAsia"/>
                      </w:rPr>
                    </w:pPr>
                    <w:r>
                      <w:rPr>
                        <w:rFonts w:asciiTheme="majorEastAsia" w:eastAsiaTheme="majorEastAsia" w:hAnsiTheme="majorEastAsia" w:hint="eastAsia"/>
                      </w:rPr>
                      <w:t>七、7</w:t>
                    </w:r>
                    <w:r>
                      <w:rPr>
                        <w:rFonts w:asciiTheme="majorEastAsia" w:eastAsiaTheme="majorEastAsia" w:hAnsiTheme="majorEastAsia"/>
                      </w:rPr>
                      <w:t>8</w:t>
                    </w:r>
                  </w:p>
                </w:tc>
                <w:tc>
                  <w:tcPr>
                    <w:tcW w:w="1201" w:type="pct"/>
                    <w:tcBorders>
                      <w:top w:val="outset" w:sz="4" w:space="0" w:color="auto"/>
                      <w:left w:val="outset" w:sz="4" w:space="0" w:color="auto"/>
                      <w:bottom w:val="outset" w:sz="4" w:space="0" w:color="auto"/>
                      <w:right w:val="outset" w:sz="4" w:space="0" w:color="auto"/>
                    </w:tcBorders>
                    <w:vAlign w:val="center"/>
                  </w:tcPr>
                  <w:p w14:paraId="0273916D" w14:textId="77777777" w:rsidR="007E7472" w:rsidRDefault="00EC1269">
                    <w:pPr>
                      <w:jc w:val="right"/>
                    </w:pPr>
                    <w:r>
                      <w:t>496,249</w:t>
                    </w:r>
                  </w:p>
                </w:tc>
                <w:tc>
                  <w:tcPr>
                    <w:tcW w:w="1197" w:type="pct"/>
                    <w:tcBorders>
                      <w:top w:val="outset" w:sz="4" w:space="0" w:color="auto"/>
                      <w:left w:val="outset" w:sz="4" w:space="0" w:color="auto"/>
                      <w:bottom w:val="outset" w:sz="4" w:space="0" w:color="auto"/>
                      <w:right w:val="outset" w:sz="4" w:space="0" w:color="auto"/>
                    </w:tcBorders>
                    <w:vAlign w:val="center"/>
                  </w:tcPr>
                  <w:p w14:paraId="269EAFC8" w14:textId="77777777" w:rsidR="007E7472" w:rsidRDefault="00EC1269">
                    <w:pPr>
                      <w:jc w:val="right"/>
                    </w:pPr>
                    <w:r>
                      <w:t>862,276</w:t>
                    </w:r>
                  </w:p>
                </w:tc>
              </w:tr>
              <w:tr w:rsidR="007E7472" w14:paraId="313A3927" w14:textId="77777777">
                <w:tc>
                  <w:tcPr>
                    <w:tcW w:w="1736" w:type="pct"/>
                    <w:tcBorders>
                      <w:top w:val="outset" w:sz="4" w:space="0" w:color="auto"/>
                      <w:left w:val="outset" w:sz="4" w:space="0" w:color="auto"/>
                      <w:bottom w:val="outset" w:sz="4" w:space="0" w:color="auto"/>
                      <w:right w:val="outset" w:sz="4" w:space="0" w:color="auto"/>
                    </w:tcBorders>
                  </w:tcPr>
                  <w:p w14:paraId="5CEFE0FA" w14:textId="77777777" w:rsidR="007E7472" w:rsidRDefault="00EC1269">
                    <w:pPr>
                      <w:ind w:firstLineChars="200" w:firstLine="420"/>
                      <w:rPr>
                        <w:color w:val="000000"/>
                      </w:rPr>
                    </w:pPr>
                    <w:r>
                      <w:rPr>
                        <w:rFonts w:hint="eastAsia"/>
                      </w:rPr>
                      <w:t>筹资活动现金流出小计</w:t>
                    </w:r>
                  </w:p>
                </w:tc>
                <w:tc>
                  <w:tcPr>
                    <w:tcW w:w="866" w:type="pct"/>
                    <w:tcBorders>
                      <w:top w:val="outset" w:sz="4" w:space="0" w:color="auto"/>
                      <w:left w:val="outset" w:sz="4" w:space="0" w:color="auto"/>
                      <w:bottom w:val="outset" w:sz="4" w:space="0" w:color="auto"/>
                      <w:right w:val="outset" w:sz="4" w:space="0" w:color="auto"/>
                    </w:tcBorders>
                    <w:vAlign w:val="center"/>
                  </w:tcPr>
                  <w:p w14:paraId="7996C93C" w14:textId="77777777" w:rsidR="007E7472" w:rsidRDefault="00C8327E">
                    <w:pPr>
                      <w:jc w:val="center"/>
                      <w:rPr>
                        <w:rFonts w:asciiTheme="majorEastAsia" w:eastAsiaTheme="majorEastAsia" w:hAnsiTheme="majorEastAsia"/>
                      </w:rPr>
                    </w:pPr>
                  </w:p>
                </w:tc>
                <w:tc>
                  <w:tcPr>
                    <w:tcW w:w="1201" w:type="pct"/>
                    <w:tcBorders>
                      <w:top w:val="outset" w:sz="4" w:space="0" w:color="auto"/>
                      <w:left w:val="outset" w:sz="4" w:space="0" w:color="auto"/>
                      <w:bottom w:val="outset" w:sz="4" w:space="0" w:color="auto"/>
                      <w:right w:val="outset" w:sz="4" w:space="0" w:color="auto"/>
                    </w:tcBorders>
                    <w:vAlign w:val="center"/>
                  </w:tcPr>
                  <w:p w14:paraId="28B2EAA6" w14:textId="77777777" w:rsidR="007E7472" w:rsidRDefault="00EC1269">
                    <w:pPr>
                      <w:jc w:val="right"/>
                    </w:pPr>
                    <w:r>
                      <w:t>18,390,626</w:t>
                    </w:r>
                  </w:p>
                </w:tc>
                <w:tc>
                  <w:tcPr>
                    <w:tcW w:w="1197" w:type="pct"/>
                    <w:tcBorders>
                      <w:top w:val="outset" w:sz="4" w:space="0" w:color="auto"/>
                      <w:left w:val="outset" w:sz="4" w:space="0" w:color="auto"/>
                      <w:bottom w:val="outset" w:sz="4" w:space="0" w:color="auto"/>
                      <w:right w:val="outset" w:sz="4" w:space="0" w:color="auto"/>
                    </w:tcBorders>
                    <w:vAlign w:val="center"/>
                  </w:tcPr>
                  <w:p w14:paraId="72E0B2DA" w14:textId="77777777" w:rsidR="007E7472" w:rsidRDefault="00EC1269">
                    <w:pPr>
                      <w:jc w:val="right"/>
                    </w:pPr>
                    <w:r>
                      <w:t>22,593,984</w:t>
                    </w:r>
                  </w:p>
                </w:tc>
              </w:tr>
              <w:tr w:rsidR="007E7472" w14:paraId="27111372" w14:textId="77777777">
                <w:tc>
                  <w:tcPr>
                    <w:tcW w:w="1736" w:type="pct"/>
                    <w:tcBorders>
                      <w:top w:val="outset" w:sz="4" w:space="0" w:color="auto"/>
                      <w:left w:val="outset" w:sz="4" w:space="0" w:color="auto"/>
                      <w:bottom w:val="outset" w:sz="4" w:space="0" w:color="auto"/>
                      <w:right w:val="outset" w:sz="4" w:space="0" w:color="auto"/>
                    </w:tcBorders>
                  </w:tcPr>
                  <w:p w14:paraId="21AF4CA2" w14:textId="77777777" w:rsidR="007E7472" w:rsidRDefault="00EC1269">
                    <w:pPr>
                      <w:ind w:firstLineChars="300" w:firstLine="630"/>
                      <w:rPr>
                        <w:color w:val="000000"/>
                      </w:rPr>
                    </w:pPr>
                    <w:r>
                      <w:rPr>
                        <w:rFonts w:hint="eastAsia"/>
                      </w:rPr>
                      <w:t>筹资活动产生的现金流量净额</w:t>
                    </w:r>
                  </w:p>
                </w:tc>
                <w:tc>
                  <w:tcPr>
                    <w:tcW w:w="866" w:type="pct"/>
                    <w:tcBorders>
                      <w:top w:val="outset" w:sz="4" w:space="0" w:color="auto"/>
                      <w:left w:val="outset" w:sz="4" w:space="0" w:color="auto"/>
                      <w:bottom w:val="outset" w:sz="4" w:space="0" w:color="auto"/>
                      <w:right w:val="outset" w:sz="4" w:space="0" w:color="auto"/>
                    </w:tcBorders>
                    <w:vAlign w:val="center"/>
                  </w:tcPr>
                  <w:p w14:paraId="5D1BB6EB" w14:textId="77777777" w:rsidR="007E7472" w:rsidRDefault="00C8327E">
                    <w:pPr>
                      <w:jc w:val="center"/>
                      <w:rPr>
                        <w:rFonts w:asciiTheme="majorEastAsia" w:eastAsiaTheme="majorEastAsia" w:hAnsiTheme="majorEastAsia"/>
                      </w:rPr>
                    </w:pPr>
                  </w:p>
                </w:tc>
                <w:tc>
                  <w:tcPr>
                    <w:tcW w:w="1201" w:type="pct"/>
                    <w:tcBorders>
                      <w:top w:val="outset" w:sz="4" w:space="0" w:color="auto"/>
                      <w:left w:val="outset" w:sz="4" w:space="0" w:color="auto"/>
                      <w:bottom w:val="outset" w:sz="4" w:space="0" w:color="auto"/>
                      <w:right w:val="outset" w:sz="4" w:space="0" w:color="auto"/>
                    </w:tcBorders>
                    <w:vAlign w:val="center"/>
                  </w:tcPr>
                  <w:p w14:paraId="0B454DEF" w14:textId="77777777" w:rsidR="007E7472" w:rsidRDefault="00EC1269">
                    <w:pPr>
                      <w:jc w:val="right"/>
                    </w:pPr>
                    <w:r>
                      <w:t>6,519,581</w:t>
                    </w:r>
                  </w:p>
                </w:tc>
                <w:tc>
                  <w:tcPr>
                    <w:tcW w:w="1197" w:type="pct"/>
                    <w:tcBorders>
                      <w:top w:val="outset" w:sz="4" w:space="0" w:color="auto"/>
                      <w:left w:val="outset" w:sz="4" w:space="0" w:color="auto"/>
                      <w:bottom w:val="outset" w:sz="4" w:space="0" w:color="auto"/>
                      <w:right w:val="outset" w:sz="4" w:space="0" w:color="auto"/>
                    </w:tcBorders>
                    <w:vAlign w:val="center"/>
                  </w:tcPr>
                  <w:p w14:paraId="7CCB8743" w14:textId="77777777" w:rsidR="007E7472" w:rsidRDefault="00EC1269">
                    <w:pPr>
                      <w:jc w:val="right"/>
                    </w:pPr>
                    <w:r>
                      <w:t>-2,116,117</w:t>
                    </w:r>
                  </w:p>
                </w:tc>
              </w:tr>
              <w:tr w:rsidR="007E7472" w14:paraId="1EEA80AE" w14:textId="77777777">
                <w:tc>
                  <w:tcPr>
                    <w:tcW w:w="1736" w:type="pct"/>
                    <w:tcBorders>
                      <w:top w:val="outset" w:sz="4" w:space="0" w:color="auto"/>
                      <w:left w:val="outset" w:sz="4" w:space="0" w:color="auto"/>
                      <w:bottom w:val="outset" w:sz="4" w:space="0" w:color="auto"/>
                      <w:right w:val="outset" w:sz="4" w:space="0" w:color="auto"/>
                    </w:tcBorders>
                  </w:tcPr>
                  <w:p w14:paraId="5523CADD" w14:textId="77777777" w:rsidR="007E7472" w:rsidRDefault="00EC1269">
                    <w:pPr>
                      <w:rPr>
                        <w:color w:val="000000"/>
                      </w:rPr>
                    </w:pPr>
                    <w:r>
                      <w:rPr>
                        <w:rFonts w:hint="eastAsia"/>
                        <w:b/>
                      </w:rPr>
                      <w:t>四、汇率变动对现金及现金等价物的影响</w:t>
                    </w:r>
                  </w:p>
                </w:tc>
                <w:tc>
                  <w:tcPr>
                    <w:tcW w:w="866" w:type="pct"/>
                    <w:tcBorders>
                      <w:top w:val="outset" w:sz="4" w:space="0" w:color="auto"/>
                      <w:left w:val="outset" w:sz="4" w:space="0" w:color="auto"/>
                      <w:bottom w:val="outset" w:sz="4" w:space="0" w:color="auto"/>
                      <w:right w:val="outset" w:sz="4" w:space="0" w:color="auto"/>
                    </w:tcBorders>
                    <w:vAlign w:val="center"/>
                  </w:tcPr>
                  <w:p w14:paraId="592A60F1" w14:textId="77777777" w:rsidR="007E7472" w:rsidRDefault="00C8327E">
                    <w:pPr>
                      <w:jc w:val="center"/>
                      <w:rPr>
                        <w:rFonts w:asciiTheme="majorEastAsia" w:eastAsiaTheme="majorEastAsia" w:hAnsiTheme="majorEastAsia"/>
                      </w:rPr>
                    </w:pPr>
                  </w:p>
                </w:tc>
                <w:tc>
                  <w:tcPr>
                    <w:tcW w:w="1201" w:type="pct"/>
                    <w:tcBorders>
                      <w:top w:val="outset" w:sz="4" w:space="0" w:color="auto"/>
                      <w:left w:val="outset" w:sz="4" w:space="0" w:color="auto"/>
                      <w:bottom w:val="outset" w:sz="4" w:space="0" w:color="auto"/>
                      <w:right w:val="outset" w:sz="4" w:space="0" w:color="auto"/>
                    </w:tcBorders>
                    <w:vAlign w:val="center"/>
                  </w:tcPr>
                  <w:p w14:paraId="49D5E387" w14:textId="77777777" w:rsidR="007E7472" w:rsidRDefault="00EC1269">
                    <w:pPr>
                      <w:jc w:val="right"/>
                    </w:pPr>
                    <w:r>
                      <w:t>402,198</w:t>
                    </w:r>
                  </w:p>
                </w:tc>
                <w:tc>
                  <w:tcPr>
                    <w:tcW w:w="1197" w:type="pct"/>
                    <w:tcBorders>
                      <w:top w:val="outset" w:sz="4" w:space="0" w:color="auto"/>
                      <w:left w:val="outset" w:sz="4" w:space="0" w:color="auto"/>
                      <w:bottom w:val="outset" w:sz="4" w:space="0" w:color="auto"/>
                      <w:right w:val="outset" w:sz="4" w:space="0" w:color="auto"/>
                    </w:tcBorders>
                    <w:vAlign w:val="center"/>
                  </w:tcPr>
                  <w:p w14:paraId="2D86940D" w14:textId="77777777" w:rsidR="007E7472" w:rsidRDefault="00EC1269">
                    <w:pPr>
                      <w:jc w:val="right"/>
                    </w:pPr>
                    <w:r>
                      <w:t>294,431</w:t>
                    </w:r>
                  </w:p>
                </w:tc>
              </w:tr>
              <w:tr w:rsidR="007E7472" w14:paraId="1BDE2227" w14:textId="77777777">
                <w:tc>
                  <w:tcPr>
                    <w:tcW w:w="1736" w:type="pct"/>
                    <w:tcBorders>
                      <w:top w:val="outset" w:sz="4" w:space="0" w:color="auto"/>
                      <w:left w:val="outset" w:sz="4" w:space="0" w:color="auto"/>
                      <w:bottom w:val="outset" w:sz="4" w:space="0" w:color="auto"/>
                      <w:right w:val="outset" w:sz="4" w:space="0" w:color="auto"/>
                    </w:tcBorders>
                  </w:tcPr>
                  <w:p w14:paraId="25575167" w14:textId="77777777" w:rsidR="007E7472" w:rsidRDefault="00EC1269">
                    <w:pPr>
                      <w:rPr>
                        <w:color w:val="000000"/>
                      </w:rPr>
                    </w:pPr>
                    <w:r>
                      <w:rPr>
                        <w:rFonts w:hint="eastAsia"/>
                        <w:b/>
                      </w:rPr>
                      <w:t>五、现金及现金等价物净增加额</w:t>
                    </w:r>
                  </w:p>
                </w:tc>
                <w:tc>
                  <w:tcPr>
                    <w:tcW w:w="866" w:type="pct"/>
                    <w:tcBorders>
                      <w:top w:val="outset" w:sz="4" w:space="0" w:color="auto"/>
                      <w:left w:val="outset" w:sz="4" w:space="0" w:color="auto"/>
                      <w:bottom w:val="outset" w:sz="4" w:space="0" w:color="auto"/>
                      <w:right w:val="outset" w:sz="4" w:space="0" w:color="auto"/>
                    </w:tcBorders>
                    <w:vAlign w:val="center"/>
                  </w:tcPr>
                  <w:p w14:paraId="21DAAD1E" w14:textId="77777777" w:rsidR="007E7472" w:rsidRDefault="00EC1269">
                    <w:pPr>
                      <w:jc w:val="center"/>
                      <w:rPr>
                        <w:rFonts w:asciiTheme="majorEastAsia" w:eastAsiaTheme="majorEastAsia" w:hAnsiTheme="majorEastAsia"/>
                      </w:rPr>
                    </w:pPr>
                    <w:r>
                      <w:rPr>
                        <w:rFonts w:asciiTheme="majorEastAsia" w:eastAsiaTheme="majorEastAsia" w:hAnsiTheme="majorEastAsia" w:hint="eastAsia"/>
                      </w:rPr>
                      <w:t>七、7</w:t>
                    </w:r>
                    <w:r>
                      <w:rPr>
                        <w:rFonts w:asciiTheme="majorEastAsia" w:eastAsiaTheme="majorEastAsia" w:hAnsiTheme="majorEastAsia"/>
                      </w:rPr>
                      <w:t>9</w:t>
                    </w:r>
                  </w:p>
                </w:tc>
                <w:tc>
                  <w:tcPr>
                    <w:tcW w:w="1201" w:type="pct"/>
                    <w:tcBorders>
                      <w:top w:val="outset" w:sz="4" w:space="0" w:color="auto"/>
                      <w:left w:val="outset" w:sz="4" w:space="0" w:color="auto"/>
                      <w:bottom w:val="outset" w:sz="4" w:space="0" w:color="auto"/>
                      <w:right w:val="outset" w:sz="4" w:space="0" w:color="auto"/>
                    </w:tcBorders>
                    <w:vAlign w:val="center"/>
                  </w:tcPr>
                  <w:p w14:paraId="5D30236D" w14:textId="77777777" w:rsidR="007E7472" w:rsidRDefault="00EC1269">
                    <w:pPr>
                      <w:jc w:val="right"/>
                    </w:pPr>
                    <w:r>
                      <w:t>8,446,745</w:t>
                    </w:r>
                  </w:p>
                </w:tc>
                <w:tc>
                  <w:tcPr>
                    <w:tcW w:w="1197" w:type="pct"/>
                    <w:tcBorders>
                      <w:top w:val="outset" w:sz="4" w:space="0" w:color="auto"/>
                      <w:left w:val="outset" w:sz="4" w:space="0" w:color="auto"/>
                      <w:bottom w:val="outset" w:sz="4" w:space="0" w:color="auto"/>
                      <w:right w:val="outset" w:sz="4" w:space="0" w:color="auto"/>
                    </w:tcBorders>
                    <w:vAlign w:val="center"/>
                  </w:tcPr>
                  <w:p w14:paraId="1ACBEA09" w14:textId="77777777" w:rsidR="007E7472" w:rsidRDefault="00EC1269">
                    <w:pPr>
                      <w:jc w:val="right"/>
                    </w:pPr>
                    <w:r>
                      <w:t>9,952,348</w:t>
                    </w:r>
                  </w:p>
                </w:tc>
              </w:tr>
              <w:tr w:rsidR="007E7472" w14:paraId="010E7079" w14:textId="77777777">
                <w:tc>
                  <w:tcPr>
                    <w:tcW w:w="1736" w:type="pct"/>
                    <w:tcBorders>
                      <w:top w:val="outset" w:sz="4" w:space="0" w:color="auto"/>
                      <w:left w:val="outset" w:sz="4" w:space="0" w:color="auto"/>
                      <w:bottom w:val="outset" w:sz="4" w:space="0" w:color="auto"/>
                      <w:right w:val="outset" w:sz="4" w:space="0" w:color="auto"/>
                    </w:tcBorders>
                  </w:tcPr>
                  <w:p w14:paraId="33D10590" w14:textId="77777777" w:rsidR="007E7472" w:rsidRDefault="00EC1269">
                    <w:pPr>
                      <w:ind w:firstLineChars="100" w:firstLine="210"/>
                      <w:rPr>
                        <w:color w:val="000000"/>
                      </w:rPr>
                    </w:pPr>
                    <w:r>
                      <w:rPr>
                        <w:rFonts w:hint="eastAsia"/>
                      </w:rPr>
                      <w:t>加：期初现金及现金等价物余额</w:t>
                    </w:r>
                  </w:p>
                </w:tc>
                <w:tc>
                  <w:tcPr>
                    <w:tcW w:w="866" w:type="pct"/>
                    <w:tcBorders>
                      <w:top w:val="outset" w:sz="4" w:space="0" w:color="auto"/>
                      <w:left w:val="outset" w:sz="4" w:space="0" w:color="auto"/>
                      <w:bottom w:val="outset" w:sz="4" w:space="0" w:color="auto"/>
                      <w:right w:val="outset" w:sz="4" w:space="0" w:color="auto"/>
                    </w:tcBorders>
                    <w:vAlign w:val="center"/>
                  </w:tcPr>
                  <w:p w14:paraId="74CF4584" w14:textId="77777777" w:rsidR="007E7472" w:rsidRDefault="00EC1269">
                    <w:pPr>
                      <w:jc w:val="center"/>
                      <w:rPr>
                        <w:rFonts w:asciiTheme="majorEastAsia" w:eastAsiaTheme="majorEastAsia" w:hAnsiTheme="majorEastAsia"/>
                      </w:rPr>
                    </w:pPr>
                    <w:r>
                      <w:rPr>
                        <w:rFonts w:asciiTheme="majorEastAsia" w:eastAsiaTheme="majorEastAsia" w:hAnsiTheme="majorEastAsia" w:hint="eastAsia"/>
                      </w:rPr>
                      <w:t>七、7</w:t>
                    </w:r>
                    <w:r>
                      <w:rPr>
                        <w:rFonts w:asciiTheme="majorEastAsia" w:eastAsiaTheme="majorEastAsia" w:hAnsiTheme="majorEastAsia"/>
                      </w:rPr>
                      <w:t>9</w:t>
                    </w:r>
                  </w:p>
                </w:tc>
                <w:tc>
                  <w:tcPr>
                    <w:tcW w:w="1201" w:type="pct"/>
                    <w:tcBorders>
                      <w:top w:val="outset" w:sz="4" w:space="0" w:color="auto"/>
                      <w:left w:val="outset" w:sz="4" w:space="0" w:color="auto"/>
                      <w:bottom w:val="outset" w:sz="4" w:space="0" w:color="auto"/>
                      <w:right w:val="outset" w:sz="4" w:space="0" w:color="auto"/>
                    </w:tcBorders>
                    <w:vAlign w:val="center"/>
                  </w:tcPr>
                  <w:p w14:paraId="4EAAE1D9" w14:textId="77777777" w:rsidR="007E7472" w:rsidRDefault="00EC1269">
                    <w:pPr>
                      <w:jc w:val="right"/>
                    </w:pPr>
                    <w:r>
                      <w:t>38,626,792</w:t>
                    </w:r>
                  </w:p>
                </w:tc>
                <w:tc>
                  <w:tcPr>
                    <w:tcW w:w="1197" w:type="pct"/>
                    <w:tcBorders>
                      <w:top w:val="outset" w:sz="4" w:space="0" w:color="auto"/>
                      <w:left w:val="outset" w:sz="4" w:space="0" w:color="auto"/>
                      <w:bottom w:val="outset" w:sz="4" w:space="0" w:color="auto"/>
                      <w:right w:val="outset" w:sz="4" w:space="0" w:color="auto"/>
                    </w:tcBorders>
                    <w:vAlign w:val="center"/>
                  </w:tcPr>
                  <w:p w14:paraId="0CA71648" w14:textId="77777777" w:rsidR="007E7472" w:rsidRDefault="00EC1269">
                    <w:pPr>
                      <w:jc w:val="right"/>
                    </w:pPr>
                    <w:r>
                      <w:t>40,045,060</w:t>
                    </w:r>
                  </w:p>
                </w:tc>
              </w:tr>
              <w:tr w:rsidR="007E7472" w14:paraId="205EEF1A" w14:textId="77777777">
                <w:tc>
                  <w:tcPr>
                    <w:tcW w:w="1736" w:type="pct"/>
                    <w:tcBorders>
                      <w:top w:val="outset" w:sz="4" w:space="0" w:color="auto"/>
                      <w:left w:val="outset" w:sz="4" w:space="0" w:color="auto"/>
                      <w:bottom w:val="outset" w:sz="4" w:space="0" w:color="auto"/>
                      <w:right w:val="outset" w:sz="4" w:space="0" w:color="auto"/>
                    </w:tcBorders>
                  </w:tcPr>
                  <w:p w14:paraId="21FD7ACC" w14:textId="77777777" w:rsidR="007E7472" w:rsidRDefault="00EC1269">
                    <w:pPr>
                      <w:rPr>
                        <w:color w:val="000000"/>
                      </w:rPr>
                    </w:pPr>
                    <w:r>
                      <w:rPr>
                        <w:rFonts w:hint="eastAsia"/>
                        <w:b/>
                      </w:rPr>
                      <w:t>六、期末现金及现金等价物余额</w:t>
                    </w:r>
                  </w:p>
                </w:tc>
                <w:tc>
                  <w:tcPr>
                    <w:tcW w:w="866" w:type="pct"/>
                    <w:tcBorders>
                      <w:top w:val="outset" w:sz="4" w:space="0" w:color="auto"/>
                      <w:left w:val="outset" w:sz="4" w:space="0" w:color="auto"/>
                      <w:bottom w:val="outset" w:sz="4" w:space="0" w:color="auto"/>
                      <w:right w:val="outset" w:sz="4" w:space="0" w:color="auto"/>
                    </w:tcBorders>
                    <w:vAlign w:val="center"/>
                  </w:tcPr>
                  <w:p w14:paraId="145C975D" w14:textId="77777777" w:rsidR="007E7472" w:rsidRDefault="00EC1269">
                    <w:pPr>
                      <w:jc w:val="center"/>
                      <w:rPr>
                        <w:rFonts w:asciiTheme="majorEastAsia" w:eastAsiaTheme="majorEastAsia" w:hAnsiTheme="majorEastAsia"/>
                      </w:rPr>
                    </w:pPr>
                    <w:r>
                      <w:rPr>
                        <w:rFonts w:asciiTheme="majorEastAsia" w:eastAsiaTheme="majorEastAsia" w:hAnsiTheme="majorEastAsia" w:hint="eastAsia"/>
                      </w:rPr>
                      <w:t>七、7</w:t>
                    </w:r>
                    <w:r>
                      <w:rPr>
                        <w:rFonts w:asciiTheme="majorEastAsia" w:eastAsiaTheme="majorEastAsia" w:hAnsiTheme="majorEastAsia"/>
                      </w:rPr>
                      <w:t>9</w:t>
                    </w:r>
                  </w:p>
                </w:tc>
                <w:tc>
                  <w:tcPr>
                    <w:tcW w:w="1201" w:type="pct"/>
                    <w:tcBorders>
                      <w:top w:val="outset" w:sz="4" w:space="0" w:color="auto"/>
                      <w:left w:val="outset" w:sz="4" w:space="0" w:color="auto"/>
                      <w:bottom w:val="outset" w:sz="4" w:space="0" w:color="auto"/>
                      <w:right w:val="outset" w:sz="4" w:space="0" w:color="auto"/>
                    </w:tcBorders>
                    <w:vAlign w:val="center"/>
                  </w:tcPr>
                  <w:p w14:paraId="3F27930E" w14:textId="77777777" w:rsidR="007E7472" w:rsidRDefault="00EC1269">
                    <w:pPr>
                      <w:jc w:val="right"/>
                    </w:pPr>
                    <w:r>
                      <w:t>47,073,537</w:t>
                    </w:r>
                  </w:p>
                </w:tc>
                <w:tc>
                  <w:tcPr>
                    <w:tcW w:w="1197" w:type="pct"/>
                    <w:tcBorders>
                      <w:top w:val="outset" w:sz="4" w:space="0" w:color="auto"/>
                      <w:left w:val="outset" w:sz="4" w:space="0" w:color="auto"/>
                      <w:bottom w:val="outset" w:sz="4" w:space="0" w:color="auto"/>
                      <w:right w:val="outset" w:sz="4" w:space="0" w:color="auto"/>
                    </w:tcBorders>
                    <w:vAlign w:val="center"/>
                  </w:tcPr>
                  <w:p w14:paraId="6C414E1F" w14:textId="77777777" w:rsidR="007E7472" w:rsidRDefault="00EC1269">
                    <w:pPr>
                      <w:jc w:val="right"/>
                    </w:pPr>
                    <w:r>
                      <w:t>49,997,408</w:t>
                    </w:r>
                  </w:p>
                </w:tc>
              </w:tr>
            </w:tbl>
            <w:p w14:paraId="75078B63" w14:textId="77777777" w:rsidR="007E7472" w:rsidRDefault="00C8327E"/>
            <w:p w14:paraId="3D7B5817" w14:textId="78C7D8FB" w:rsidR="007E7472" w:rsidRDefault="00EC1269">
              <w:pPr>
                <w:snapToGrid w:val="0"/>
                <w:spacing w:line="240" w:lineRule="atLeast"/>
                <w:ind w:rightChars="12" w:right="25"/>
                <w:rPr>
                  <w:b/>
                  <w:bCs/>
                  <w:color w:val="FF0000"/>
                </w:rPr>
              </w:pPr>
              <w:r>
                <w:t>公司负责人</w:t>
              </w:r>
              <w:r>
                <w:rPr>
                  <w:rFonts w:hint="eastAsia"/>
                </w:rPr>
                <w:t>：</w:t>
              </w:r>
              <w:sdt>
                <w:sdtPr>
                  <w:rPr>
                    <w:rFonts w:hint="eastAsia"/>
                  </w:rPr>
                  <w:alias w:val="公司负责人"/>
                  <w:tag w:val="_GBC_d1f7cb193ab444ff8482a06aad12f0db"/>
                  <w:id w:val="-2127150751"/>
                  <w:placeholder>
                    <w:docPart w:val="GBC22222222222222222222222222222"/>
                  </w:placeholder>
                  <w:dataBinding w:prefixMappings="xmlns:clcid-mr='clcid-mr'" w:xpath="/*/clcid-mr:GongSiFuZeRenXingMing[not(@periodRef)]" w:storeItemID="{89EBAB94-44A0-46A2-B712-30D997D04A6D}"/>
                  <w:text/>
                </w:sdtPr>
                <w:sdtEndPr/>
                <w:sdtContent>
                  <w:r w:rsidR="00B47FFE">
                    <w:rPr>
                      <w:rFonts w:hint="eastAsia"/>
                    </w:rPr>
                    <w:t>李伟</w:t>
                  </w:r>
                </w:sdtContent>
              </w:sdt>
              <w:r>
                <w:t>主管会计工作负责人</w:t>
              </w:r>
              <w:r>
                <w:rPr>
                  <w:rFonts w:hint="eastAsia"/>
                </w:rPr>
                <w:t>：</w:t>
              </w:r>
              <w:sdt>
                <w:sdtPr>
                  <w:rPr>
                    <w:rFonts w:hint="eastAsia"/>
                  </w:rPr>
                  <w:alias w:val="主管会计工作负责人姓名"/>
                  <w:tag w:val="_GBC_45110b4746914613a7aad68cef7b1bed"/>
                  <w:id w:val="2145763930"/>
                  <w:placeholder>
                    <w:docPart w:val="GBC22222222222222222222222222222"/>
                  </w:placeholder>
                  <w:dataBinding w:prefixMappings="xmlns:clcid-mr='clcid-mr'" w:xpath="/*/clcid-mr:ZhuGuanKuaiJiGongZuoFuZeRenXingMing[not(@periodRef)]" w:storeItemID="{89EBAB94-44A0-46A2-B712-30D997D04A6D}"/>
                  <w:text/>
                </w:sdtPr>
                <w:sdtEndPr/>
                <w:sdtContent>
                  <w:r w:rsidR="00B47FFE">
                    <w:rPr>
                      <w:rFonts w:hint="eastAsia"/>
                    </w:rPr>
                    <w:t>赵青春</w:t>
                  </w:r>
                </w:sdtContent>
              </w:sdt>
              <w:r>
                <w:t>会计机构负责人</w:t>
              </w:r>
              <w:r>
                <w:rPr>
                  <w:rFonts w:hint="eastAsia"/>
                </w:rPr>
                <w:t>：</w:t>
              </w:r>
              <w:sdt>
                <w:sdtPr>
                  <w:rPr>
                    <w:rFonts w:hint="eastAsia"/>
                  </w:rPr>
                  <w:alias w:val="会计机构负责人姓名"/>
                  <w:tag w:val="_GBC_e7d70223996e482d9871cfff87704452"/>
                  <w:id w:val="1320390863"/>
                  <w:placeholder>
                    <w:docPart w:val="GBC22222222222222222222222222222"/>
                  </w:placeholder>
                  <w:dataBinding w:prefixMappings="xmlns:clcid-mr='clcid-mr'" w:xpath="/*/clcid-mr:KuaiJiJiGouFuZeRenXingMing[not(@periodRef)]" w:storeItemID="{89EBAB94-44A0-46A2-B712-30D997D04A6D}"/>
                  <w:text/>
                </w:sdtPr>
                <w:sdtEndPr/>
                <w:sdtContent>
                  <w:r w:rsidR="006F3F93">
                    <w:rPr>
                      <w:rFonts w:hint="eastAsia"/>
                    </w:rPr>
                    <w:t>赵治国</w:t>
                  </w:r>
                </w:sdtContent>
              </w:sdt>
            </w:p>
          </w:sdtContent>
        </w:sdt>
        <w:p w14:paraId="3FEF3F66" w14:textId="77777777" w:rsidR="007E7472" w:rsidRDefault="00C8327E"/>
        <w:p w14:paraId="58600C1D" w14:textId="77777777" w:rsidR="007E7472" w:rsidRDefault="00C8327E">
          <w:pPr>
            <w:jc w:val="center"/>
            <w:rPr>
              <w:b/>
              <w:bCs/>
            </w:rPr>
          </w:pPr>
        </w:p>
        <w:sdt>
          <w:sdtPr>
            <w:rPr>
              <w:rFonts w:ascii="宋体" w:hAnsi="宋体" w:cs="宋体" w:hint="eastAsia"/>
              <w:b w:val="0"/>
              <w:bCs w:val="0"/>
              <w:kern w:val="0"/>
              <w:szCs w:val="24"/>
            </w:rPr>
            <w:tag w:val="_GBC_fa07832b39b14b348ba105d6cedbd7b8"/>
            <w:id w:val="1103226559"/>
            <w:placeholder>
              <w:docPart w:val="GBC22222222222222222222222222222"/>
            </w:placeholder>
          </w:sdtPr>
          <w:sdtEndPr>
            <w:rPr>
              <w:szCs w:val="21"/>
            </w:rPr>
          </w:sdtEndPr>
          <w:sdtContent>
            <w:p w14:paraId="77BD8920" w14:textId="77777777" w:rsidR="007E7472" w:rsidRDefault="00EC1269" w:rsidP="007E7472">
              <w:pPr>
                <w:pStyle w:val="3"/>
                <w:jc w:val="center"/>
              </w:pPr>
              <w:r>
                <w:rPr>
                  <w:rFonts w:hint="eastAsia"/>
                </w:rPr>
                <w:t>母公司</w:t>
              </w:r>
              <w:r>
                <w:t>现金流量表</w:t>
              </w:r>
            </w:p>
            <w:p w14:paraId="3D42939A" w14:textId="77777777" w:rsidR="007E7472" w:rsidRDefault="00EC1269">
              <w:pPr>
                <w:jc w:val="center"/>
                <w:rPr>
                  <w:b/>
                  <w:bCs/>
                </w:rPr>
              </w:pPr>
              <w:r>
                <w:t>2023年</w:t>
              </w:r>
              <w:r>
                <w:rPr>
                  <w:rFonts w:hint="eastAsia"/>
                </w:rPr>
                <w:t>1—6</w:t>
              </w:r>
              <w:r>
                <w:t>月</w:t>
              </w:r>
            </w:p>
            <w:p w14:paraId="3E2541E7" w14:textId="1E60C248" w:rsidR="007E7472" w:rsidRDefault="00EC1269">
              <w:pPr>
                <w:jc w:val="right"/>
              </w:pPr>
              <w:r>
                <w:t>单位：</w:t>
              </w:r>
              <w:sdt>
                <w:sdtPr>
                  <w:alias w:val="单位：母公司现金流量表"/>
                  <w:tag w:val="_GBC_993ead81b27a41dfaccaacfaec8b7c78"/>
                  <w:id w:val="-98416378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t>千元</w:t>
                  </w:r>
                </w:sdtContent>
              </w:sdt>
              <w:r>
                <w:t>币种：</w:t>
              </w:r>
              <w:sdt>
                <w:sdtPr>
                  <w:alias w:val="币种：母公司现金流量表"/>
                  <w:tag w:val="_GBC_2dd4b706d0a244a4b4c21166025356cc"/>
                  <w:id w:val="-113563437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t>人民币</w:t>
                  </w:r>
                </w:sdtContent>
              </w:sdt>
            </w:p>
            <w:tbl>
              <w:tblPr>
                <w:tblStyle w:val="g4"/>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991"/>
                <w:gridCol w:w="1756"/>
                <w:gridCol w:w="2043"/>
                <w:gridCol w:w="2033"/>
              </w:tblGrid>
              <w:tr w:rsidR="007E7472" w14:paraId="352332AA" w14:textId="77777777">
                <w:sdt>
                  <w:sdtPr>
                    <w:tag w:val="_PLD_20ae0904ed714106892a5beddfe5846a"/>
                    <w:id w:val="-1916700360"/>
                  </w:sdtPr>
                  <w:sdtEndPr/>
                  <w:sdtContent>
                    <w:tc>
                      <w:tcPr>
                        <w:tcW w:w="1695" w:type="pct"/>
                        <w:tcBorders>
                          <w:top w:val="outset" w:sz="4" w:space="0" w:color="auto"/>
                          <w:left w:val="outset" w:sz="4" w:space="0" w:color="auto"/>
                          <w:bottom w:val="outset" w:sz="4" w:space="0" w:color="auto"/>
                          <w:right w:val="outset" w:sz="4" w:space="0" w:color="auto"/>
                        </w:tcBorders>
                      </w:tcPr>
                      <w:p w14:paraId="365E1548" w14:textId="77777777" w:rsidR="007E7472" w:rsidRDefault="00EC1269">
                        <w:pPr>
                          <w:jc w:val="center"/>
                          <w:rPr>
                            <w:b/>
                            <w:bCs/>
                          </w:rPr>
                        </w:pPr>
                        <w:r>
                          <w:rPr>
                            <w:b/>
                          </w:rPr>
                          <w:t>项目</w:t>
                        </w:r>
                      </w:p>
                    </w:tc>
                  </w:sdtContent>
                </w:sdt>
                <w:sdt>
                  <w:sdtPr>
                    <w:tag w:val="_PLD_9cb87427e0de42d2b7e58a286ff58290"/>
                    <w:id w:val="-1403516273"/>
                  </w:sdtPr>
                  <w:sdtEndPr/>
                  <w:sdtContent>
                    <w:tc>
                      <w:tcPr>
                        <w:tcW w:w="995" w:type="pct"/>
                        <w:tcBorders>
                          <w:top w:val="outset" w:sz="4" w:space="0" w:color="auto"/>
                          <w:left w:val="outset" w:sz="4" w:space="0" w:color="auto"/>
                          <w:bottom w:val="outset" w:sz="4" w:space="0" w:color="auto"/>
                          <w:right w:val="outset" w:sz="4" w:space="0" w:color="auto"/>
                        </w:tcBorders>
                      </w:tcPr>
                      <w:p w14:paraId="5263473E" w14:textId="77777777" w:rsidR="007E7472" w:rsidRDefault="00EC1269">
                        <w:pPr>
                          <w:autoSpaceDE w:val="0"/>
                          <w:autoSpaceDN w:val="0"/>
                          <w:adjustRightInd w:val="0"/>
                          <w:jc w:val="center"/>
                          <w:rPr>
                            <w:b/>
                          </w:rPr>
                        </w:pPr>
                        <w:r>
                          <w:rPr>
                            <w:b/>
                          </w:rPr>
                          <w:t>附注</w:t>
                        </w:r>
                      </w:p>
                    </w:tc>
                  </w:sdtContent>
                </w:sdt>
                <w:sdt>
                  <w:sdtPr>
                    <w:tag w:val="_PLD_514bbce28b6040e393e59c5ec50c3820"/>
                    <w:id w:val="1330248433"/>
                  </w:sdtPr>
                  <w:sdtEndPr/>
                  <w:sdtContent>
                    <w:tc>
                      <w:tcPr>
                        <w:tcW w:w="1158" w:type="pct"/>
                        <w:tcBorders>
                          <w:top w:val="outset" w:sz="4" w:space="0" w:color="auto"/>
                          <w:left w:val="outset" w:sz="4" w:space="0" w:color="auto"/>
                          <w:bottom w:val="outset" w:sz="4" w:space="0" w:color="auto"/>
                          <w:right w:val="outset" w:sz="4" w:space="0" w:color="auto"/>
                        </w:tcBorders>
                      </w:tcPr>
                      <w:p w14:paraId="45B0F86E" w14:textId="77777777" w:rsidR="007E7472" w:rsidRDefault="00EC1269">
                        <w:pPr>
                          <w:autoSpaceDE w:val="0"/>
                          <w:autoSpaceDN w:val="0"/>
                          <w:adjustRightInd w:val="0"/>
                          <w:jc w:val="center"/>
                          <w:rPr>
                            <w:b/>
                          </w:rPr>
                        </w:pPr>
                        <w:r>
                          <w:rPr>
                            <w:rFonts w:hint="eastAsia"/>
                            <w:b/>
                          </w:rPr>
                          <w:t>2023年半年度</w:t>
                        </w:r>
                      </w:p>
                    </w:tc>
                  </w:sdtContent>
                </w:sdt>
                <w:sdt>
                  <w:sdtPr>
                    <w:tag w:val="_PLD_de39c3f730c74ecca3c9a890bc08a2c1"/>
                    <w:id w:val="1740908311"/>
                  </w:sdtPr>
                  <w:sdtEndPr/>
                  <w:sdtContent>
                    <w:tc>
                      <w:tcPr>
                        <w:tcW w:w="1152" w:type="pct"/>
                        <w:tcBorders>
                          <w:top w:val="outset" w:sz="4" w:space="0" w:color="auto"/>
                          <w:left w:val="outset" w:sz="4" w:space="0" w:color="auto"/>
                          <w:bottom w:val="outset" w:sz="4" w:space="0" w:color="auto"/>
                          <w:right w:val="outset" w:sz="4" w:space="0" w:color="auto"/>
                        </w:tcBorders>
                      </w:tcPr>
                      <w:p w14:paraId="313764CF" w14:textId="77777777" w:rsidR="007E7472" w:rsidRDefault="00EC1269">
                        <w:pPr>
                          <w:autoSpaceDE w:val="0"/>
                          <w:autoSpaceDN w:val="0"/>
                          <w:adjustRightInd w:val="0"/>
                          <w:jc w:val="center"/>
                          <w:rPr>
                            <w:b/>
                          </w:rPr>
                        </w:pPr>
                        <w:r>
                          <w:rPr>
                            <w:rFonts w:hint="eastAsia"/>
                            <w:b/>
                          </w:rPr>
                          <w:t>2022年半年度</w:t>
                        </w:r>
                      </w:p>
                    </w:tc>
                  </w:sdtContent>
                </w:sdt>
              </w:tr>
              <w:tr w:rsidR="007E7472" w14:paraId="2A3BF046" w14:textId="77777777">
                <w:sdt>
                  <w:sdtPr>
                    <w:tag w:val="_PLD_575fd724a7cb4261a6c80660162ce2fb"/>
                    <w:id w:val="-258221516"/>
                  </w:sdtPr>
                  <w:sdtEndPr/>
                  <w:sdtContent>
                    <w:tc>
                      <w:tcPr>
                        <w:tcW w:w="5000" w:type="pct"/>
                        <w:gridSpan w:val="4"/>
                        <w:tcBorders>
                          <w:top w:val="outset" w:sz="4" w:space="0" w:color="auto"/>
                          <w:left w:val="outset" w:sz="4" w:space="0" w:color="auto"/>
                          <w:bottom w:val="outset" w:sz="4" w:space="0" w:color="auto"/>
                          <w:right w:val="outset" w:sz="4" w:space="0" w:color="auto"/>
                        </w:tcBorders>
                      </w:tcPr>
                      <w:p w14:paraId="225B78F4" w14:textId="77777777" w:rsidR="007E7472" w:rsidRDefault="00EC1269">
                        <w:r>
                          <w:rPr>
                            <w:rFonts w:hint="eastAsia"/>
                            <w:b/>
                          </w:rPr>
                          <w:t>一、经营活动产生的现金流量：</w:t>
                        </w:r>
                      </w:p>
                    </w:tc>
                  </w:sdtContent>
                </w:sdt>
              </w:tr>
              <w:tr w:rsidR="007E7472" w14:paraId="3A45129C" w14:textId="77777777">
                <w:sdt>
                  <w:sdtPr>
                    <w:tag w:val="_PLD_82863635c2aa4636ad77b92e44fbd77d"/>
                    <w:id w:val="1819841939"/>
                  </w:sdtPr>
                  <w:sdtEndPr/>
                  <w:sdtContent>
                    <w:tc>
                      <w:tcPr>
                        <w:tcW w:w="1695" w:type="pct"/>
                        <w:tcBorders>
                          <w:top w:val="outset" w:sz="4" w:space="0" w:color="auto"/>
                          <w:left w:val="outset" w:sz="4" w:space="0" w:color="auto"/>
                          <w:bottom w:val="outset" w:sz="4" w:space="0" w:color="auto"/>
                          <w:right w:val="outset" w:sz="4" w:space="0" w:color="auto"/>
                        </w:tcBorders>
                      </w:tcPr>
                      <w:p w14:paraId="587D79C8" w14:textId="77777777" w:rsidR="007E7472" w:rsidRDefault="00EC1269">
                        <w:pPr>
                          <w:ind w:firstLineChars="100" w:firstLine="210"/>
                          <w:rPr>
                            <w:color w:val="000000"/>
                          </w:rPr>
                        </w:pPr>
                        <w:r>
                          <w:rPr>
                            <w:rFonts w:hint="eastAsia"/>
                          </w:rPr>
                          <w:t>销售商品、提供劳务收到的现金</w:t>
                        </w:r>
                      </w:p>
                    </w:tc>
                  </w:sdtContent>
                </w:sdt>
                <w:tc>
                  <w:tcPr>
                    <w:tcW w:w="995" w:type="pct"/>
                    <w:tcBorders>
                      <w:top w:val="outset" w:sz="4" w:space="0" w:color="auto"/>
                      <w:left w:val="outset" w:sz="4" w:space="0" w:color="auto"/>
                      <w:bottom w:val="outset" w:sz="4" w:space="0" w:color="auto"/>
                      <w:right w:val="outset" w:sz="4" w:space="0" w:color="auto"/>
                    </w:tcBorders>
                  </w:tcPr>
                  <w:p w14:paraId="60B5CB04" w14:textId="77777777" w:rsidR="007E7472" w:rsidRDefault="00C8327E"/>
                </w:tc>
                <w:tc>
                  <w:tcPr>
                    <w:tcW w:w="1158" w:type="pct"/>
                    <w:tcBorders>
                      <w:top w:val="outset" w:sz="4" w:space="0" w:color="auto"/>
                      <w:left w:val="outset" w:sz="4" w:space="0" w:color="auto"/>
                      <w:bottom w:val="outset" w:sz="4" w:space="0" w:color="auto"/>
                      <w:right w:val="outset" w:sz="4" w:space="0" w:color="auto"/>
                    </w:tcBorders>
                    <w:vAlign w:val="center"/>
                  </w:tcPr>
                  <w:p w14:paraId="393A3EBB" w14:textId="77777777" w:rsidR="007E7472" w:rsidRDefault="00EC1269">
                    <w:pPr>
                      <w:jc w:val="right"/>
                    </w:pPr>
                    <w:r>
                      <w:t>16,150,803</w:t>
                    </w:r>
                  </w:p>
                </w:tc>
                <w:tc>
                  <w:tcPr>
                    <w:tcW w:w="1152" w:type="pct"/>
                    <w:tcBorders>
                      <w:top w:val="outset" w:sz="4" w:space="0" w:color="auto"/>
                      <w:left w:val="outset" w:sz="4" w:space="0" w:color="auto"/>
                      <w:bottom w:val="outset" w:sz="4" w:space="0" w:color="auto"/>
                      <w:right w:val="outset" w:sz="4" w:space="0" w:color="auto"/>
                    </w:tcBorders>
                    <w:vAlign w:val="center"/>
                  </w:tcPr>
                  <w:p w14:paraId="0A856374" w14:textId="77777777" w:rsidR="007E7472" w:rsidRDefault="00EC1269">
                    <w:pPr>
                      <w:jc w:val="right"/>
                    </w:pPr>
                    <w:r>
                      <w:t>21,246,075</w:t>
                    </w:r>
                  </w:p>
                </w:tc>
              </w:tr>
              <w:tr w:rsidR="007E7472" w14:paraId="55E593CB" w14:textId="77777777">
                <w:sdt>
                  <w:sdtPr>
                    <w:tag w:val="_PLD_6f6ba49a98924345bef562f06bfcb294"/>
                    <w:id w:val="1995452251"/>
                  </w:sdtPr>
                  <w:sdtEndPr/>
                  <w:sdtContent>
                    <w:tc>
                      <w:tcPr>
                        <w:tcW w:w="1695" w:type="pct"/>
                        <w:tcBorders>
                          <w:top w:val="outset" w:sz="4" w:space="0" w:color="auto"/>
                          <w:left w:val="outset" w:sz="4" w:space="0" w:color="auto"/>
                          <w:bottom w:val="outset" w:sz="4" w:space="0" w:color="auto"/>
                          <w:right w:val="outset" w:sz="4" w:space="0" w:color="auto"/>
                        </w:tcBorders>
                      </w:tcPr>
                      <w:p w14:paraId="06E7D0BA" w14:textId="77777777" w:rsidR="007E7472" w:rsidRDefault="00EC1269">
                        <w:pPr>
                          <w:ind w:firstLineChars="100" w:firstLine="210"/>
                          <w:rPr>
                            <w:color w:val="000000"/>
                          </w:rPr>
                        </w:pPr>
                        <w:r>
                          <w:rPr>
                            <w:rFonts w:hint="eastAsia"/>
                          </w:rPr>
                          <w:t>收到的税费返还</w:t>
                        </w:r>
                      </w:p>
                    </w:tc>
                  </w:sdtContent>
                </w:sdt>
                <w:tc>
                  <w:tcPr>
                    <w:tcW w:w="995" w:type="pct"/>
                    <w:tcBorders>
                      <w:top w:val="outset" w:sz="4" w:space="0" w:color="auto"/>
                      <w:left w:val="outset" w:sz="4" w:space="0" w:color="auto"/>
                      <w:bottom w:val="outset" w:sz="4" w:space="0" w:color="auto"/>
                      <w:right w:val="outset" w:sz="4" w:space="0" w:color="auto"/>
                    </w:tcBorders>
                  </w:tcPr>
                  <w:p w14:paraId="063F322F" w14:textId="77777777" w:rsidR="007E7472" w:rsidRDefault="00C8327E"/>
                </w:tc>
                <w:tc>
                  <w:tcPr>
                    <w:tcW w:w="1158" w:type="pct"/>
                    <w:tcBorders>
                      <w:top w:val="outset" w:sz="4" w:space="0" w:color="auto"/>
                      <w:left w:val="outset" w:sz="4" w:space="0" w:color="auto"/>
                      <w:bottom w:val="outset" w:sz="4" w:space="0" w:color="auto"/>
                      <w:right w:val="outset" w:sz="4" w:space="0" w:color="auto"/>
                    </w:tcBorders>
                    <w:vAlign w:val="center"/>
                  </w:tcPr>
                  <w:p w14:paraId="4174FAE8" w14:textId="77777777" w:rsidR="007E7472" w:rsidRDefault="00C8327E">
                    <w:pPr>
                      <w:jc w:val="right"/>
                    </w:pPr>
                  </w:p>
                </w:tc>
                <w:tc>
                  <w:tcPr>
                    <w:tcW w:w="1152" w:type="pct"/>
                    <w:tcBorders>
                      <w:top w:val="outset" w:sz="4" w:space="0" w:color="auto"/>
                      <w:left w:val="outset" w:sz="4" w:space="0" w:color="auto"/>
                      <w:bottom w:val="outset" w:sz="4" w:space="0" w:color="auto"/>
                      <w:right w:val="outset" w:sz="4" w:space="0" w:color="auto"/>
                    </w:tcBorders>
                    <w:vAlign w:val="center"/>
                  </w:tcPr>
                  <w:p w14:paraId="3FCA7B36" w14:textId="77777777" w:rsidR="007E7472" w:rsidRDefault="00C8327E">
                    <w:pPr>
                      <w:jc w:val="right"/>
                    </w:pPr>
                  </w:p>
                </w:tc>
              </w:tr>
              <w:tr w:rsidR="007E7472" w14:paraId="7DCB5935" w14:textId="77777777">
                <w:sdt>
                  <w:sdtPr>
                    <w:tag w:val="_PLD_06639b4a021d45c5a9c028b0a988399d"/>
                    <w:id w:val="-170489571"/>
                  </w:sdtPr>
                  <w:sdtEndPr/>
                  <w:sdtContent>
                    <w:tc>
                      <w:tcPr>
                        <w:tcW w:w="1695" w:type="pct"/>
                        <w:tcBorders>
                          <w:top w:val="outset" w:sz="4" w:space="0" w:color="auto"/>
                          <w:left w:val="outset" w:sz="4" w:space="0" w:color="auto"/>
                          <w:bottom w:val="outset" w:sz="4" w:space="0" w:color="auto"/>
                          <w:right w:val="outset" w:sz="4" w:space="0" w:color="auto"/>
                        </w:tcBorders>
                      </w:tcPr>
                      <w:p w14:paraId="6363B008" w14:textId="77777777" w:rsidR="007E7472" w:rsidRDefault="00EC1269">
                        <w:pPr>
                          <w:ind w:firstLineChars="100" w:firstLine="210"/>
                          <w:rPr>
                            <w:color w:val="000000"/>
                          </w:rPr>
                        </w:pPr>
                        <w:r>
                          <w:rPr>
                            <w:rFonts w:hint="eastAsia"/>
                          </w:rPr>
                          <w:t>收到其他与经营活动有关的现金</w:t>
                        </w:r>
                      </w:p>
                    </w:tc>
                  </w:sdtContent>
                </w:sdt>
                <w:tc>
                  <w:tcPr>
                    <w:tcW w:w="995" w:type="pct"/>
                    <w:tcBorders>
                      <w:top w:val="outset" w:sz="4" w:space="0" w:color="auto"/>
                      <w:left w:val="outset" w:sz="4" w:space="0" w:color="auto"/>
                      <w:bottom w:val="outset" w:sz="4" w:space="0" w:color="auto"/>
                      <w:right w:val="outset" w:sz="4" w:space="0" w:color="auto"/>
                    </w:tcBorders>
                  </w:tcPr>
                  <w:p w14:paraId="02650238" w14:textId="77777777" w:rsidR="007E7472" w:rsidRDefault="00C8327E"/>
                </w:tc>
                <w:tc>
                  <w:tcPr>
                    <w:tcW w:w="1158" w:type="pct"/>
                    <w:tcBorders>
                      <w:top w:val="outset" w:sz="4" w:space="0" w:color="auto"/>
                      <w:left w:val="outset" w:sz="4" w:space="0" w:color="auto"/>
                      <w:bottom w:val="outset" w:sz="4" w:space="0" w:color="auto"/>
                      <w:right w:val="outset" w:sz="4" w:space="0" w:color="auto"/>
                    </w:tcBorders>
                    <w:vAlign w:val="center"/>
                  </w:tcPr>
                  <w:p w14:paraId="7812D39D" w14:textId="77777777" w:rsidR="007E7472" w:rsidRDefault="00EC1269">
                    <w:pPr>
                      <w:jc w:val="right"/>
                    </w:pPr>
                    <w:r>
                      <w:t>295,839</w:t>
                    </w:r>
                  </w:p>
                </w:tc>
                <w:tc>
                  <w:tcPr>
                    <w:tcW w:w="1152" w:type="pct"/>
                    <w:tcBorders>
                      <w:top w:val="outset" w:sz="4" w:space="0" w:color="auto"/>
                      <w:left w:val="outset" w:sz="4" w:space="0" w:color="auto"/>
                      <w:bottom w:val="outset" w:sz="4" w:space="0" w:color="auto"/>
                      <w:right w:val="outset" w:sz="4" w:space="0" w:color="auto"/>
                    </w:tcBorders>
                    <w:vAlign w:val="center"/>
                  </w:tcPr>
                  <w:p w14:paraId="054D33DD" w14:textId="77777777" w:rsidR="007E7472" w:rsidRDefault="00EC1269">
                    <w:pPr>
                      <w:jc w:val="right"/>
                    </w:pPr>
                    <w:r>
                      <w:t>359,762</w:t>
                    </w:r>
                  </w:p>
                </w:tc>
              </w:tr>
              <w:tr w:rsidR="007E7472" w14:paraId="200250DD" w14:textId="77777777">
                <w:sdt>
                  <w:sdtPr>
                    <w:tag w:val="_PLD_64de81055bc940a3b2e810f08ea30cd0"/>
                    <w:id w:val="-2059162622"/>
                  </w:sdtPr>
                  <w:sdtEndPr/>
                  <w:sdtContent>
                    <w:tc>
                      <w:tcPr>
                        <w:tcW w:w="1695" w:type="pct"/>
                        <w:tcBorders>
                          <w:top w:val="outset" w:sz="4" w:space="0" w:color="auto"/>
                          <w:left w:val="outset" w:sz="4" w:space="0" w:color="auto"/>
                          <w:bottom w:val="outset" w:sz="4" w:space="0" w:color="auto"/>
                          <w:right w:val="outset" w:sz="4" w:space="0" w:color="auto"/>
                        </w:tcBorders>
                      </w:tcPr>
                      <w:p w14:paraId="7D2A41BB" w14:textId="77777777" w:rsidR="007E7472" w:rsidRDefault="00EC1269">
                        <w:pPr>
                          <w:ind w:firstLineChars="200" w:firstLine="420"/>
                          <w:rPr>
                            <w:color w:val="000000"/>
                          </w:rPr>
                        </w:pPr>
                        <w:r>
                          <w:rPr>
                            <w:rFonts w:hint="eastAsia"/>
                          </w:rPr>
                          <w:t>经营活动现金流入小计</w:t>
                        </w:r>
                      </w:p>
                    </w:tc>
                  </w:sdtContent>
                </w:sdt>
                <w:tc>
                  <w:tcPr>
                    <w:tcW w:w="995" w:type="pct"/>
                    <w:tcBorders>
                      <w:top w:val="outset" w:sz="4" w:space="0" w:color="auto"/>
                      <w:left w:val="outset" w:sz="4" w:space="0" w:color="auto"/>
                      <w:bottom w:val="outset" w:sz="4" w:space="0" w:color="auto"/>
                      <w:right w:val="outset" w:sz="4" w:space="0" w:color="auto"/>
                    </w:tcBorders>
                  </w:tcPr>
                  <w:p w14:paraId="5928B052" w14:textId="77777777" w:rsidR="007E7472" w:rsidRDefault="00C8327E"/>
                </w:tc>
                <w:tc>
                  <w:tcPr>
                    <w:tcW w:w="1158" w:type="pct"/>
                    <w:tcBorders>
                      <w:top w:val="outset" w:sz="4" w:space="0" w:color="auto"/>
                      <w:left w:val="outset" w:sz="4" w:space="0" w:color="auto"/>
                      <w:bottom w:val="outset" w:sz="4" w:space="0" w:color="auto"/>
                      <w:right w:val="outset" w:sz="4" w:space="0" w:color="auto"/>
                    </w:tcBorders>
                    <w:vAlign w:val="center"/>
                  </w:tcPr>
                  <w:p w14:paraId="090130B4" w14:textId="77777777" w:rsidR="007E7472" w:rsidRDefault="00EC1269">
                    <w:pPr>
                      <w:jc w:val="right"/>
                    </w:pPr>
                    <w:r>
                      <w:t>16,446,642</w:t>
                    </w:r>
                  </w:p>
                </w:tc>
                <w:tc>
                  <w:tcPr>
                    <w:tcW w:w="1152" w:type="pct"/>
                    <w:tcBorders>
                      <w:top w:val="outset" w:sz="4" w:space="0" w:color="auto"/>
                      <w:left w:val="outset" w:sz="4" w:space="0" w:color="auto"/>
                      <w:bottom w:val="outset" w:sz="4" w:space="0" w:color="auto"/>
                      <w:right w:val="outset" w:sz="4" w:space="0" w:color="auto"/>
                    </w:tcBorders>
                    <w:vAlign w:val="center"/>
                  </w:tcPr>
                  <w:p w14:paraId="0DB626FC" w14:textId="77777777" w:rsidR="007E7472" w:rsidRDefault="00EC1269">
                    <w:pPr>
                      <w:jc w:val="right"/>
                    </w:pPr>
                    <w:r>
                      <w:t>21,605,837</w:t>
                    </w:r>
                  </w:p>
                </w:tc>
              </w:tr>
              <w:tr w:rsidR="007E7472" w14:paraId="49578EDA" w14:textId="77777777">
                <w:sdt>
                  <w:sdtPr>
                    <w:tag w:val="_PLD_9225a8e3c0d04e74be5259e8c6d2c503"/>
                    <w:id w:val="936637167"/>
                  </w:sdtPr>
                  <w:sdtEndPr/>
                  <w:sdtContent>
                    <w:tc>
                      <w:tcPr>
                        <w:tcW w:w="1695" w:type="pct"/>
                        <w:tcBorders>
                          <w:top w:val="outset" w:sz="4" w:space="0" w:color="auto"/>
                          <w:left w:val="outset" w:sz="4" w:space="0" w:color="auto"/>
                          <w:bottom w:val="outset" w:sz="4" w:space="0" w:color="auto"/>
                          <w:right w:val="outset" w:sz="4" w:space="0" w:color="auto"/>
                        </w:tcBorders>
                      </w:tcPr>
                      <w:p w14:paraId="13E4F46C" w14:textId="77777777" w:rsidR="007E7472" w:rsidRDefault="00EC1269">
                        <w:pPr>
                          <w:ind w:firstLineChars="100" w:firstLine="210"/>
                        </w:pPr>
                        <w:r>
                          <w:rPr>
                            <w:rFonts w:hint="eastAsia"/>
                          </w:rPr>
                          <w:t>购买商品、接受劳务支付的现金</w:t>
                        </w:r>
                      </w:p>
                    </w:tc>
                  </w:sdtContent>
                </w:sdt>
                <w:tc>
                  <w:tcPr>
                    <w:tcW w:w="995" w:type="pct"/>
                    <w:tcBorders>
                      <w:top w:val="outset" w:sz="4" w:space="0" w:color="auto"/>
                      <w:left w:val="outset" w:sz="4" w:space="0" w:color="auto"/>
                      <w:bottom w:val="outset" w:sz="4" w:space="0" w:color="auto"/>
                      <w:right w:val="outset" w:sz="4" w:space="0" w:color="auto"/>
                    </w:tcBorders>
                  </w:tcPr>
                  <w:p w14:paraId="5181874F" w14:textId="77777777" w:rsidR="007E7472" w:rsidRDefault="00C8327E"/>
                </w:tc>
                <w:tc>
                  <w:tcPr>
                    <w:tcW w:w="1158" w:type="pct"/>
                    <w:tcBorders>
                      <w:top w:val="outset" w:sz="4" w:space="0" w:color="auto"/>
                      <w:left w:val="outset" w:sz="4" w:space="0" w:color="auto"/>
                      <w:bottom w:val="outset" w:sz="4" w:space="0" w:color="auto"/>
                      <w:right w:val="outset" w:sz="4" w:space="0" w:color="auto"/>
                    </w:tcBorders>
                    <w:vAlign w:val="center"/>
                  </w:tcPr>
                  <w:p w14:paraId="7130C4C0" w14:textId="77777777" w:rsidR="007E7472" w:rsidRDefault="00EC1269">
                    <w:pPr>
                      <w:jc w:val="right"/>
                    </w:pPr>
                    <w:r>
                      <w:t>4,672,717</w:t>
                    </w:r>
                  </w:p>
                </w:tc>
                <w:tc>
                  <w:tcPr>
                    <w:tcW w:w="1152" w:type="pct"/>
                    <w:tcBorders>
                      <w:top w:val="outset" w:sz="4" w:space="0" w:color="auto"/>
                      <w:left w:val="outset" w:sz="4" w:space="0" w:color="auto"/>
                      <w:bottom w:val="outset" w:sz="4" w:space="0" w:color="auto"/>
                      <w:right w:val="outset" w:sz="4" w:space="0" w:color="auto"/>
                    </w:tcBorders>
                    <w:vAlign w:val="center"/>
                  </w:tcPr>
                  <w:p w14:paraId="76F8FEE5" w14:textId="77777777" w:rsidR="007E7472" w:rsidRDefault="00EC1269">
                    <w:pPr>
                      <w:jc w:val="right"/>
                    </w:pPr>
                    <w:r>
                      <w:t>4,330,853</w:t>
                    </w:r>
                  </w:p>
                </w:tc>
              </w:tr>
              <w:tr w:rsidR="007E7472" w14:paraId="6B5E558A" w14:textId="77777777">
                <w:sdt>
                  <w:sdtPr>
                    <w:tag w:val="_PLD_3bc74c61fa7a4ba98c9b2ee5eb59820e"/>
                    <w:id w:val="805899198"/>
                  </w:sdtPr>
                  <w:sdtEndPr/>
                  <w:sdtContent>
                    <w:tc>
                      <w:tcPr>
                        <w:tcW w:w="1695" w:type="pct"/>
                        <w:tcBorders>
                          <w:top w:val="outset" w:sz="4" w:space="0" w:color="auto"/>
                          <w:left w:val="outset" w:sz="4" w:space="0" w:color="auto"/>
                          <w:bottom w:val="outset" w:sz="4" w:space="0" w:color="auto"/>
                          <w:right w:val="outset" w:sz="4" w:space="0" w:color="auto"/>
                        </w:tcBorders>
                      </w:tcPr>
                      <w:p w14:paraId="3F101E2F" w14:textId="77777777" w:rsidR="007E7472" w:rsidRDefault="00EC1269">
                        <w:pPr>
                          <w:ind w:firstLineChars="100" w:firstLine="210"/>
                        </w:pPr>
                        <w:r>
                          <w:rPr>
                            <w:rFonts w:hint="eastAsia"/>
                          </w:rPr>
                          <w:t>支付给职工及为职工支付的现金</w:t>
                        </w:r>
                      </w:p>
                    </w:tc>
                  </w:sdtContent>
                </w:sdt>
                <w:tc>
                  <w:tcPr>
                    <w:tcW w:w="995" w:type="pct"/>
                    <w:tcBorders>
                      <w:top w:val="outset" w:sz="4" w:space="0" w:color="auto"/>
                      <w:left w:val="outset" w:sz="4" w:space="0" w:color="auto"/>
                      <w:bottom w:val="outset" w:sz="4" w:space="0" w:color="auto"/>
                      <w:right w:val="outset" w:sz="4" w:space="0" w:color="auto"/>
                    </w:tcBorders>
                  </w:tcPr>
                  <w:p w14:paraId="6862B482" w14:textId="77777777" w:rsidR="007E7472" w:rsidRDefault="00C8327E"/>
                </w:tc>
                <w:tc>
                  <w:tcPr>
                    <w:tcW w:w="1158" w:type="pct"/>
                    <w:tcBorders>
                      <w:top w:val="outset" w:sz="4" w:space="0" w:color="auto"/>
                      <w:left w:val="outset" w:sz="4" w:space="0" w:color="auto"/>
                      <w:bottom w:val="outset" w:sz="4" w:space="0" w:color="auto"/>
                      <w:right w:val="outset" w:sz="4" w:space="0" w:color="auto"/>
                    </w:tcBorders>
                    <w:vAlign w:val="center"/>
                  </w:tcPr>
                  <w:p w14:paraId="2DB3CB59" w14:textId="77777777" w:rsidR="007E7472" w:rsidRDefault="00EC1269">
                    <w:pPr>
                      <w:jc w:val="right"/>
                    </w:pPr>
                    <w:r>
                      <w:t>3,728,856</w:t>
                    </w:r>
                  </w:p>
                </w:tc>
                <w:tc>
                  <w:tcPr>
                    <w:tcW w:w="1152" w:type="pct"/>
                    <w:tcBorders>
                      <w:top w:val="outset" w:sz="4" w:space="0" w:color="auto"/>
                      <w:left w:val="outset" w:sz="4" w:space="0" w:color="auto"/>
                      <w:bottom w:val="outset" w:sz="4" w:space="0" w:color="auto"/>
                      <w:right w:val="outset" w:sz="4" w:space="0" w:color="auto"/>
                    </w:tcBorders>
                    <w:vAlign w:val="center"/>
                  </w:tcPr>
                  <w:p w14:paraId="658CF34A" w14:textId="77777777" w:rsidR="007E7472" w:rsidRDefault="00EC1269">
                    <w:pPr>
                      <w:jc w:val="right"/>
                    </w:pPr>
                    <w:r>
                      <w:t>3,488,738</w:t>
                    </w:r>
                  </w:p>
                </w:tc>
              </w:tr>
              <w:tr w:rsidR="007E7472" w14:paraId="5C3B6C09" w14:textId="77777777">
                <w:sdt>
                  <w:sdtPr>
                    <w:tag w:val="_PLD_336b8ff4ff8840c58c0c9f99f358310c"/>
                    <w:id w:val="-737005222"/>
                  </w:sdtPr>
                  <w:sdtEndPr/>
                  <w:sdtContent>
                    <w:tc>
                      <w:tcPr>
                        <w:tcW w:w="1695" w:type="pct"/>
                        <w:tcBorders>
                          <w:top w:val="outset" w:sz="4" w:space="0" w:color="auto"/>
                          <w:left w:val="outset" w:sz="4" w:space="0" w:color="auto"/>
                          <w:bottom w:val="outset" w:sz="4" w:space="0" w:color="auto"/>
                          <w:right w:val="outset" w:sz="4" w:space="0" w:color="auto"/>
                        </w:tcBorders>
                      </w:tcPr>
                      <w:p w14:paraId="1D049269" w14:textId="77777777" w:rsidR="007E7472" w:rsidRDefault="00EC1269">
                        <w:pPr>
                          <w:ind w:firstLineChars="100" w:firstLine="210"/>
                        </w:pPr>
                        <w:r>
                          <w:rPr>
                            <w:rFonts w:hint="eastAsia"/>
                          </w:rPr>
                          <w:t>支付的各项税费</w:t>
                        </w:r>
                      </w:p>
                    </w:tc>
                  </w:sdtContent>
                </w:sdt>
                <w:tc>
                  <w:tcPr>
                    <w:tcW w:w="995" w:type="pct"/>
                    <w:tcBorders>
                      <w:top w:val="outset" w:sz="4" w:space="0" w:color="auto"/>
                      <w:left w:val="outset" w:sz="4" w:space="0" w:color="auto"/>
                      <w:bottom w:val="outset" w:sz="4" w:space="0" w:color="auto"/>
                      <w:right w:val="outset" w:sz="4" w:space="0" w:color="auto"/>
                    </w:tcBorders>
                  </w:tcPr>
                  <w:p w14:paraId="5371829C" w14:textId="77777777" w:rsidR="007E7472" w:rsidRDefault="00C8327E"/>
                </w:tc>
                <w:tc>
                  <w:tcPr>
                    <w:tcW w:w="1158" w:type="pct"/>
                    <w:tcBorders>
                      <w:top w:val="outset" w:sz="4" w:space="0" w:color="auto"/>
                      <w:left w:val="outset" w:sz="4" w:space="0" w:color="auto"/>
                      <w:bottom w:val="outset" w:sz="4" w:space="0" w:color="auto"/>
                      <w:right w:val="outset" w:sz="4" w:space="0" w:color="auto"/>
                    </w:tcBorders>
                    <w:vAlign w:val="center"/>
                  </w:tcPr>
                  <w:p w14:paraId="44AC8AEA" w14:textId="77777777" w:rsidR="007E7472" w:rsidRDefault="00EC1269">
                    <w:pPr>
                      <w:jc w:val="right"/>
                    </w:pPr>
                    <w:r>
                      <w:t>4,059,450</w:t>
                    </w:r>
                  </w:p>
                </w:tc>
                <w:tc>
                  <w:tcPr>
                    <w:tcW w:w="1152" w:type="pct"/>
                    <w:tcBorders>
                      <w:top w:val="outset" w:sz="4" w:space="0" w:color="auto"/>
                      <w:left w:val="outset" w:sz="4" w:space="0" w:color="auto"/>
                      <w:bottom w:val="outset" w:sz="4" w:space="0" w:color="auto"/>
                      <w:right w:val="outset" w:sz="4" w:space="0" w:color="auto"/>
                    </w:tcBorders>
                    <w:vAlign w:val="center"/>
                  </w:tcPr>
                  <w:p w14:paraId="2A5A1098" w14:textId="77777777" w:rsidR="007E7472" w:rsidRDefault="00EC1269">
                    <w:pPr>
                      <w:jc w:val="right"/>
                    </w:pPr>
                    <w:r>
                      <w:t>6,221,648</w:t>
                    </w:r>
                  </w:p>
                </w:tc>
              </w:tr>
              <w:tr w:rsidR="007E7472" w14:paraId="7868D4CF" w14:textId="77777777">
                <w:sdt>
                  <w:sdtPr>
                    <w:tag w:val="_PLD_6ca36b1e8aed4dcf8f2b3a0daeff07e6"/>
                    <w:id w:val="-1786729565"/>
                  </w:sdtPr>
                  <w:sdtEndPr/>
                  <w:sdtContent>
                    <w:tc>
                      <w:tcPr>
                        <w:tcW w:w="1695" w:type="pct"/>
                        <w:tcBorders>
                          <w:top w:val="outset" w:sz="4" w:space="0" w:color="auto"/>
                          <w:left w:val="outset" w:sz="4" w:space="0" w:color="auto"/>
                          <w:bottom w:val="outset" w:sz="4" w:space="0" w:color="auto"/>
                          <w:right w:val="outset" w:sz="4" w:space="0" w:color="auto"/>
                        </w:tcBorders>
                      </w:tcPr>
                      <w:p w14:paraId="6EAC86C9" w14:textId="77777777" w:rsidR="007E7472" w:rsidRDefault="00EC1269">
                        <w:pPr>
                          <w:ind w:firstLineChars="100" w:firstLine="210"/>
                        </w:pPr>
                        <w:r>
                          <w:rPr>
                            <w:rFonts w:hint="eastAsia"/>
                          </w:rPr>
                          <w:t>支付其他与经营活动有关的现金</w:t>
                        </w:r>
                      </w:p>
                    </w:tc>
                  </w:sdtContent>
                </w:sdt>
                <w:tc>
                  <w:tcPr>
                    <w:tcW w:w="995" w:type="pct"/>
                    <w:tcBorders>
                      <w:top w:val="outset" w:sz="4" w:space="0" w:color="auto"/>
                      <w:left w:val="outset" w:sz="4" w:space="0" w:color="auto"/>
                      <w:bottom w:val="outset" w:sz="4" w:space="0" w:color="auto"/>
                      <w:right w:val="outset" w:sz="4" w:space="0" w:color="auto"/>
                    </w:tcBorders>
                  </w:tcPr>
                  <w:p w14:paraId="6BBBADF9" w14:textId="77777777" w:rsidR="007E7472" w:rsidRDefault="00C8327E"/>
                </w:tc>
                <w:tc>
                  <w:tcPr>
                    <w:tcW w:w="1158" w:type="pct"/>
                    <w:tcBorders>
                      <w:top w:val="outset" w:sz="4" w:space="0" w:color="auto"/>
                      <w:left w:val="outset" w:sz="4" w:space="0" w:color="auto"/>
                      <w:bottom w:val="outset" w:sz="4" w:space="0" w:color="auto"/>
                      <w:right w:val="outset" w:sz="4" w:space="0" w:color="auto"/>
                    </w:tcBorders>
                    <w:vAlign w:val="center"/>
                  </w:tcPr>
                  <w:p w14:paraId="1A0E2B76" w14:textId="77777777" w:rsidR="007E7472" w:rsidRDefault="00EC1269">
                    <w:pPr>
                      <w:jc w:val="right"/>
                    </w:pPr>
                    <w:r>
                      <w:t>1,243,320</w:t>
                    </w:r>
                  </w:p>
                </w:tc>
                <w:tc>
                  <w:tcPr>
                    <w:tcW w:w="1152" w:type="pct"/>
                    <w:tcBorders>
                      <w:top w:val="outset" w:sz="4" w:space="0" w:color="auto"/>
                      <w:left w:val="outset" w:sz="4" w:space="0" w:color="auto"/>
                      <w:bottom w:val="outset" w:sz="4" w:space="0" w:color="auto"/>
                      <w:right w:val="outset" w:sz="4" w:space="0" w:color="auto"/>
                    </w:tcBorders>
                    <w:vAlign w:val="center"/>
                  </w:tcPr>
                  <w:p w14:paraId="2CA6070A" w14:textId="77777777" w:rsidR="007E7472" w:rsidRDefault="00EC1269">
                    <w:pPr>
                      <w:jc w:val="right"/>
                    </w:pPr>
                    <w:r>
                      <w:t>1,486,545</w:t>
                    </w:r>
                  </w:p>
                </w:tc>
              </w:tr>
              <w:tr w:rsidR="007E7472" w14:paraId="494E05DB" w14:textId="77777777">
                <w:sdt>
                  <w:sdtPr>
                    <w:tag w:val="_PLD_340429c1d7014fa58e9b7238e10cefc6"/>
                    <w:id w:val="-304851122"/>
                  </w:sdtPr>
                  <w:sdtEndPr/>
                  <w:sdtContent>
                    <w:tc>
                      <w:tcPr>
                        <w:tcW w:w="1695" w:type="pct"/>
                        <w:tcBorders>
                          <w:top w:val="outset" w:sz="4" w:space="0" w:color="auto"/>
                          <w:left w:val="outset" w:sz="4" w:space="0" w:color="auto"/>
                          <w:bottom w:val="outset" w:sz="4" w:space="0" w:color="auto"/>
                          <w:right w:val="outset" w:sz="4" w:space="0" w:color="auto"/>
                        </w:tcBorders>
                      </w:tcPr>
                      <w:p w14:paraId="68B902A8" w14:textId="77777777" w:rsidR="007E7472" w:rsidRDefault="00EC1269">
                        <w:pPr>
                          <w:ind w:firstLineChars="200" w:firstLine="420"/>
                          <w:rPr>
                            <w:color w:val="000000"/>
                          </w:rPr>
                        </w:pPr>
                        <w:r>
                          <w:rPr>
                            <w:rFonts w:hint="eastAsia"/>
                          </w:rPr>
                          <w:t>经营活动现金流出小计</w:t>
                        </w:r>
                      </w:p>
                    </w:tc>
                  </w:sdtContent>
                </w:sdt>
                <w:tc>
                  <w:tcPr>
                    <w:tcW w:w="995" w:type="pct"/>
                    <w:tcBorders>
                      <w:top w:val="outset" w:sz="4" w:space="0" w:color="auto"/>
                      <w:left w:val="outset" w:sz="4" w:space="0" w:color="auto"/>
                      <w:bottom w:val="outset" w:sz="4" w:space="0" w:color="auto"/>
                      <w:right w:val="outset" w:sz="4" w:space="0" w:color="auto"/>
                    </w:tcBorders>
                  </w:tcPr>
                  <w:p w14:paraId="1CA7D1CE" w14:textId="77777777" w:rsidR="007E7472" w:rsidRDefault="00C8327E"/>
                </w:tc>
                <w:tc>
                  <w:tcPr>
                    <w:tcW w:w="1158" w:type="pct"/>
                    <w:tcBorders>
                      <w:top w:val="outset" w:sz="4" w:space="0" w:color="auto"/>
                      <w:left w:val="outset" w:sz="4" w:space="0" w:color="auto"/>
                      <w:bottom w:val="outset" w:sz="4" w:space="0" w:color="auto"/>
                      <w:right w:val="outset" w:sz="4" w:space="0" w:color="auto"/>
                    </w:tcBorders>
                    <w:vAlign w:val="center"/>
                  </w:tcPr>
                  <w:p w14:paraId="6D289F74" w14:textId="77777777" w:rsidR="007E7472" w:rsidRDefault="00EC1269">
                    <w:pPr>
                      <w:jc w:val="right"/>
                    </w:pPr>
                    <w:r>
                      <w:t>13,704,343</w:t>
                    </w:r>
                  </w:p>
                </w:tc>
                <w:tc>
                  <w:tcPr>
                    <w:tcW w:w="1152" w:type="pct"/>
                    <w:tcBorders>
                      <w:top w:val="outset" w:sz="4" w:space="0" w:color="auto"/>
                      <w:left w:val="outset" w:sz="4" w:space="0" w:color="auto"/>
                      <w:bottom w:val="outset" w:sz="4" w:space="0" w:color="auto"/>
                      <w:right w:val="outset" w:sz="4" w:space="0" w:color="auto"/>
                    </w:tcBorders>
                    <w:vAlign w:val="center"/>
                  </w:tcPr>
                  <w:p w14:paraId="4A7A1A41" w14:textId="77777777" w:rsidR="007E7472" w:rsidRDefault="00EC1269">
                    <w:pPr>
                      <w:jc w:val="right"/>
                    </w:pPr>
                    <w:r>
                      <w:t>15,527,784</w:t>
                    </w:r>
                  </w:p>
                </w:tc>
              </w:tr>
              <w:tr w:rsidR="007E7472" w14:paraId="573759E3" w14:textId="77777777">
                <w:sdt>
                  <w:sdtPr>
                    <w:tag w:val="_PLD_61f55569c4e04d6a8c94438f8ecb1122"/>
                    <w:id w:val="-1421249389"/>
                  </w:sdtPr>
                  <w:sdtEndPr/>
                  <w:sdtContent>
                    <w:tc>
                      <w:tcPr>
                        <w:tcW w:w="1695" w:type="pct"/>
                        <w:tcBorders>
                          <w:top w:val="outset" w:sz="4" w:space="0" w:color="auto"/>
                          <w:left w:val="outset" w:sz="4" w:space="0" w:color="auto"/>
                          <w:bottom w:val="outset" w:sz="4" w:space="0" w:color="auto"/>
                          <w:right w:val="outset" w:sz="4" w:space="0" w:color="auto"/>
                        </w:tcBorders>
                      </w:tcPr>
                      <w:p w14:paraId="51437F05" w14:textId="77777777" w:rsidR="007E7472" w:rsidRDefault="00EC1269">
                        <w:pPr>
                          <w:ind w:firstLineChars="100" w:firstLine="210"/>
                          <w:rPr>
                            <w:color w:val="000000"/>
                          </w:rPr>
                        </w:pPr>
                        <w:r>
                          <w:rPr>
                            <w:rFonts w:hint="eastAsia"/>
                          </w:rPr>
                          <w:t>经营活动产生的现金流量净额</w:t>
                        </w:r>
                      </w:p>
                    </w:tc>
                  </w:sdtContent>
                </w:sdt>
                <w:tc>
                  <w:tcPr>
                    <w:tcW w:w="995" w:type="pct"/>
                    <w:tcBorders>
                      <w:top w:val="outset" w:sz="4" w:space="0" w:color="auto"/>
                      <w:left w:val="outset" w:sz="4" w:space="0" w:color="auto"/>
                      <w:bottom w:val="outset" w:sz="4" w:space="0" w:color="auto"/>
                      <w:right w:val="outset" w:sz="4" w:space="0" w:color="auto"/>
                    </w:tcBorders>
                  </w:tcPr>
                  <w:p w14:paraId="256CC234" w14:textId="77777777" w:rsidR="007E7472" w:rsidRDefault="00C8327E"/>
                </w:tc>
                <w:tc>
                  <w:tcPr>
                    <w:tcW w:w="1158" w:type="pct"/>
                    <w:tcBorders>
                      <w:top w:val="outset" w:sz="4" w:space="0" w:color="auto"/>
                      <w:left w:val="outset" w:sz="4" w:space="0" w:color="auto"/>
                      <w:bottom w:val="outset" w:sz="4" w:space="0" w:color="auto"/>
                      <w:right w:val="outset" w:sz="4" w:space="0" w:color="auto"/>
                    </w:tcBorders>
                    <w:vAlign w:val="center"/>
                  </w:tcPr>
                  <w:p w14:paraId="58630122" w14:textId="77777777" w:rsidR="007E7472" w:rsidRDefault="00EC1269">
                    <w:pPr>
                      <w:jc w:val="right"/>
                    </w:pPr>
                    <w:r>
                      <w:t>2,742,299</w:t>
                    </w:r>
                  </w:p>
                </w:tc>
                <w:tc>
                  <w:tcPr>
                    <w:tcW w:w="1152" w:type="pct"/>
                    <w:tcBorders>
                      <w:top w:val="outset" w:sz="4" w:space="0" w:color="auto"/>
                      <w:left w:val="outset" w:sz="4" w:space="0" w:color="auto"/>
                      <w:bottom w:val="outset" w:sz="4" w:space="0" w:color="auto"/>
                      <w:right w:val="outset" w:sz="4" w:space="0" w:color="auto"/>
                    </w:tcBorders>
                    <w:vAlign w:val="center"/>
                  </w:tcPr>
                  <w:p w14:paraId="692F50B0" w14:textId="77777777" w:rsidR="007E7472" w:rsidRDefault="00EC1269">
                    <w:pPr>
                      <w:jc w:val="right"/>
                    </w:pPr>
                    <w:r>
                      <w:t>6,078,053</w:t>
                    </w:r>
                  </w:p>
                </w:tc>
              </w:tr>
              <w:tr w:rsidR="007E7472" w14:paraId="2D51539D" w14:textId="77777777">
                <w:sdt>
                  <w:sdtPr>
                    <w:tag w:val="_PLD_8f9190ce4227402ab02ac6431a00b46e"/>
                    <w:id w:val="1973948040"/>
                  </w:sdtPr>
                  <w:sdtEndPr/>
                  <w:sdtContent>
                    <w:tc>
                      <w:tcPr>
                        <w:tcW w:w="5000" w:type="pct"/>
                        <w:gridSpan w:val="4"/>
                        <w:tcBorders>
                          <w:top w:val="outset" w:sz="4" w:space="0" w:color="auto"/>
                          <w:left w:val="outset" w:sz="4" w:space="0" w:color="auto"/>
                          <w:bottom w:val="outset" w:sz="4" w:space="0" w:color="auto"/>
                          <w:right w:val="outset" w:sz="4" w:space="0" w:color="auto"/>
                        </w:tcBorders>
                      </w:tcPr>
                      <w:p w14:paraId="01802D2A" w14:textId="77777777" w:rsidR="007E7472" w:rsidRDefault="00EC1269">
                        <w:pPr>
                          <w:rPr>
                            <w:color w:val="008000"/>
                          </w:rPr>
                        </w:pPr>
                        <w:r>
                          <w:rPr>
                            <w:rFonts w:hint="eastAsia"/>
                            <w:b/>
                          </w:rPr>
                          <w:t>二、投资活动产生的现金流量：</w:t>
                        </w:r>
                      </w:p>
                    </w:tc>
                  </w:sdtContent>
                </w:sdt>
              </w:tr>
              <w:tr w:rsidR="007E7472" w14:paraId="182B6543" w14:textId="77777777">
                <w:sdt>
                  <w:sdtPr>
                    <w:tag w:val="_PLD_beb5ade569574a3c87ebe15ef758047a"/>
                    <w:id w:val="-1121221818"/>
                  </w:sdtPr>
                  <w:sdtEndPr/>
                  <w:sdtContent>
                    <w:tc>
                      <w:tcPr>
                        <w:tcW w:w="1695" w:type="pct"/>
                        <w:tcBorders>
                          <w:top w:val="outset" w:sz="4" w:space="0" w:color="auto"/>
                          <w:left w:val="outset" w:sz="4" w:space="0" w:color="auto"/>
                          <w:bottom w:val="outset" w:sz="4" w:space="0" w:color="auto"/>
                          <w:right w:val="outset" w:sz="4" w:space="0" w:color="auto"/>
                        </w:tcBorders>
                      </w:tcPr>
                      <w:p w14:paraId="24018016" w14:textId="77777777" w:rsidR="007E7472" w:rsidRDefault="00EC1269">
                        <w:pPr>
                          <w:ind w:firstLineChars="100" w:firstLine="210"/>
                        </w:pPr>
                        <w:r>
                          <w:rPr>
                            <w:rFonts w:hint="eastAsia"/>
                          </w:rPr>
                          <w:t>收回投资收到的现金</w:t>
                        </w:r>
                      </w:p>
                    </w:tc>
                  </w:sdtContent>
                </w:sdt>
                <w:tc>
                  <w:tcPr>
                    <w:tcW w:w="995" w:type="pct"/>
                    <w:tcBorders>
                      <w:top w:val="outset" w:sz="4" w:space="0" w:color="auto"/>
                      <w:left w:val="outset" w:sz="4" w:space="0" w:color="auto"/>
                      <w:bottom w:val="outset" w:sz="4" w:space="0" w:color="auto"/>
                      <w:right w:val="outset" w:sz="4" w:space="0" w:color="auto"/>
                    </w:tcBorders>
                  </w:tcPr>
                  <w:p w14:paraId="689B86FF" w14:textId="77777777" w:rsidR="007E7472" w:rsidRDefault="00C8327E"/>
                </w:tc>
                <w:tc>
                  <w:tcPr>
                    <w:tcW w:w="1158" w:type="pct"/>
                    <w:tcBorders>
                      <w:top w:val="outset" w:sz="4" w:space="0" w:color="auto"/>
                      <w:left w:val="outset" w:sz="4" w:space="0" w:color="auto"/>
                      <w:bottom w:val="outset" w:sz="4" w:space="0" w:color="auto"/>
                      <w:right w:val="outset" w:sz="4" w:space="0" w:color="auto"/>
                    </w:tcBorders>
                  </w:tcPr>
                  <w:p w14:paraId="3196D345" w14:textId="77777777" w:rsidR="007E7472" w:rsidRDefault="00C8327E">
                    <w:pPr>
                      <w:jc w:val="right"/>
                    </w:pPr>
                  </w:p>
                </w:tc>
                <w:tc>
                  <w:tcPr>
                    <w:tcW w:w="1152" w:type="pct"/>
                    <w:tcBorders>
                      <w:top w:val="outset" w:sz="4" w:space="0" w:color="auto"/>
                      <w:left w:val="outset" w:sz="4" w:space="0" w:color="auto"/>
                      <w:bottom w:val="outset" w:sz="4" w:space="0" w:color="auto"/>
                      <w:right w:val="outset" w:sz="4" w:space="0" w:color="auto"/>
                    </w:tcBorders>
                  </w:tcPr>
                  <w:p w14:paraId="0233CC25" w14:textId="77777777" w:rsidR="007E7472" w:rsidRDefault="00C8327E">
                    <w:pPr>
                      <w:jc w:val="right"/>
                    </w:pPr>
                  </w:p>
                </w:tc>
              </w:tr>
              <w:tr w:rsidR="007E7472" w14:paraId="06A1F3E8" w14:textId="77777777">
                <w:sdt>
                  <w:sdtPr>
                    <w:tag w:val="_PLD_3a0ffc6a5d6f4279bf5f479f6d37fa63"/>
                    <w:id w:val="-2120293706"/>
                  </w:sdtPr>
                  <w:sdtEndPr/>
                  <w:sdtContent>
                    <w:tc>
                      <w:tcPr>
                        <w:tcW w:w="1695" w:type="pct"/>
                        <w:tcBorders>
                          <w:top w:val="outset" w:sz="4" w:space="0" w:color="auto"/>
                          <w:left w:val="outset" w:sz="4" w:space="0" w:color="auto"/>
                          <w:bottom w:val="outset" w:sz="4" w:space="0" w:color="auto"/>
                          <w:right w:val="outset" w:sz="4" w:space="0" w:color="auto"/>
                        </w:tcBorders>
                      </w:tcPr>
                      <w:p w14:paraId="53D86933" w14:textId="77777777" w:rsidR="007E7472" w:rsidRDefault="00EC1269">
                        <w:pPr>
                          <w:ind w:firstLineChars="100" w:firstLine="210"/>
                        </w:pPr>
                        <w:r>
                          <w:rPr>
                            <w:rFonts w:hint="eastAsia"/>
                          </w:rPr>
                          <w:t>取得投资收益收到的现金</w:t>
                        </w:r>
                      </w:p>
                    </w:tc>
                  </w:sdtContent>
                </w:sdt>
                <w:tc>
                  <w:tcPr>
                    <w:tcW w:w="995" w:type="pct"/>
                    <w:tcBorders>
                      <w:top w:val="outset" w:sz="4" w:space="0" w:color="auto"/>
                      <w:left w:val="outset" w:sz="4" w:space="0" w:color="auto"/>
                      <w:bottom w:val="outset" w:sz="4" w:space="0" w:color="auto"/>
                      <w:right w:val="outset" w:sz="4" w:space="0" w:color="auto"/>
                    </w:tcBorders>
                  </w:tcPr>
                  <w:p w14:paraId="30489A4D" w14:textId="77777777" w:rsidR="007E7472" w:rsidRDefault="00C8327E"/>
                </w:tc>
                <w:tc>
                  <w:tcPr>
                    <w:tcW w:w="1158" w:type="pct"/>
                    <w:tcBorders>
                      <w:top w:val="outset" w:sz="4" w:space="0" w:color="auto"/>
                      <w:left w:val="outset" w:sz="4" w:space="0" w:color="auto"/>
                      <w:bottom w:val="outset" w:sz="4" w:space="0" w:color="auto"/>
                      <w:right w:val="outset" w:sz="4" w:space="0" w:color="auto"/>
                    </w:tcBorders>
                    <w:vAlign w:val="center"/>
                  </w:tcPr>
                  <w:p w14:paraId="6C544E77" w14:textId="77777777" w:rsidR="007E7472" w:rsidRDefault="00EC1269">
                    <w:pPr>
                      <w:jc w:val="right"/>
                    </w:pPr>
                    <w:r>
                      <w:t>4,868,153</w:t>
                    </w:r>
                  </w:p>
                </w:tc>
                <w:tc>
                  <w:tcPr>
                    <w:tcW w:w="1152" w:type="pct"/>
                    <w:tcBorders>
                      <w:top w:val="outset" w:sz="4" w:space="0" w:color="auto"/>
                      <w:left w:val="outset" w:sz="4" w:space="0" w:color="auto"/>
                      <w:bottom w:val="outset" w:sz="4" w:space="0" w:color="auto"/>
                      <w:right w:val="outset" w:sz="4" w:space="0" w:color="auto"/>
                    </w:tcBorders>
                    <w:vAlign w:val="center"/>
                  </w:tcPr>
                  <w:p w14:paraId="79532AE8" w14:textId="77777777" w:rsidR="007E7472" w:rsidRDefault="00EC1269">
                    <w:pPr>
                      <w:jc w:val="right"/>
                    </w:pPr>
                    <w:r>
                      <w:t>3,599,678</w:t>
                    </w:r>
                  </w:p>
                </w:tc>
              </w:tr>
              <w:tr w:rsidR="007E7472" w14:paraId="45F70C60" w14:textId="77777777">
                <w:sdt>
                  <w:sdtPr>
                    <w:tag w:val="_PLD_ab86d628c73648de84f4c45b64cce1a7"/>
                    <w:id w:val="-1002120808"/>
                  </w:sdtPr>
                  <w:sdtEndPr/>
                  <w:sdtContent>
                    <w:tc>
                      <w:tcPr>
                        <w:tcW w:w="1695" w:type="pct"/>
                        <w:tcBorders>
                          <w:top w:val="outset" w:sz="4" w:space="0" w:color="auto"/>
                          <w:left w:val="outset" w:sz="4" w:space="0" w:color="auto"/>
                          <w:bottom w:val="outset" w:sz="4" w:space="0" w:color="auto"/>
                          <w:right w:val="outset" w:sz="4" w:space="0" w:color="auto"/>
                        </w:tcBorders>
                      </w:tcPr>
                      <w:p w14:paraId="0E16B4DF" w14:textId="77777777" w:rsidR="007E7472" w:rsidRDefault="00EC1269">
                        <w:pPr>
                          <w:ind w:firstLineChars="100" w:firstLine="210"/>
                        </w:pPr>
                        <w:r>
                          <w:rPr>
                            <w:rFonts w:hint="eastAsia"/>
                          </w:rPr>
                          <w:t>处置固定资产、无形资产和其他长期资产收回的现金净额</w:t>
                        </w:r>
                      </w:p>
                    </w:tc>
                  </w:sdtContent>
                </w:sdt>
                <w:tc>
                  <w:tcPr>
                    <w:tcW w:w="995" w:type="pct"/>
                    <w:tcBorders>
                      <w:top w:val="outset" w:sz="4" w:space="0" w:color="auto"/>
                      <w:left w:val="outset" w:sz="4" w:space="0" w:color="auto"/>
                      <w:bottom w:val="outset" w:sz="4" w:space="0" w:color="auto"/>
                      <w:right w:val="outset" w:sz="4" w:space="0" w:color="auto"/>
                    </w:tcBorders>
                  </w:tcPr>
                  <w:p w14:paraId="18257B39" w14:textId="77777777" w:rsidR="007E7472" w:rsidRDefault="00C8327E"/>
                </w:tc>
                <w:tc>
                  <w:tcPr>
                    <w:tcW w:w="1158" w:type="pct"/>
                    <w:tcBorders>
                      <w:top w:val="outset" w:sz="4" w:space="0" w:color="auto"/>
                      <w:left w:val="outset" w:sz="4" w:space="0" w:color="auto"/>
                      <w:bottom w:val="outset" w:sz="4" w:space="0" w:color="auto"/>
                      <w:right w:val="outset" w:sz="4" w:space="0" w:color="auto"/>
                    </w:tcBorders>
                    <w:vAlign w:val="center"/>
                  </w:tcPr>
                  <w:p w14:paraId="70F4F3A0" w14:textId="77777777" w:rsidR="007E7472" w:rsidRDefault="00EC1269">
                    <w:pPr>
                      <w:jc w:val="right"/>
                    </w:pPr>
                    <w:r>
                      <w:t>85,087</w:t>
                    </w:r>
                  </w:p>
                </w:tc>
                <w:tc>
                  <w:tcPr>
                    <w:tcW w:w="1152" w:type="pct"/>
                    <w:tcBorders>
                      <w:top w:val="outset" w:sz="4" w:space="0" w:color="auto"/>
                      <w:left w:val="outset" w:sz="4" w:space="0" w:color="auto"/>
                      <w:bottom w:val="outset" w:sz="4" w:space="0" w:color="auto"/>
                      <w:right w:val="outset" w:sz="4" w:space="0" w:color="auto"/>
                    </w:tcBorders>
                    <w:vAlign w:val="center"/>
                  </w:tcPr>
                  <w:p w14:paraId="00332AA1" w14:textId="77777777" w:rsidR="007E7472" w:rsidRDefault="00EC1269">
                    <w:pPr>
                      <w:jc w:val="right"/>
                    </w:pPr>
                    <w:r>
                      <w:t>64,105</w:t>
                    </w:r>
                  </w:p>
                </w:tc>
              </w:tr>
              <w:tr w:rsidR="007E7472" w14:paraId="02396195" w14:textId="77777777">
                <w:sdt>
                  <w:sdtPr>
                    <w:tag w:val="_PLD_21334c9538694cfcadc2b7850ff168f3"/>
                    <w:id w:val="114409031"/>
                  </w:sdtPr>
                  <w:sdtEndPr/>
                  <w:sdtContent>
                    <w:tc>
                      <w:tcPr>
                        <w:tcW w:w="1695" w:type="pct"/>
                        <w:tcBorders>
                          <w:top w:val="outset" w:sz="4" w:space="0" w:color="auto"/>
                          <w:left w:val="outset" w:sz="4" w:space="0" w:color="auto"/>
                          <w:bottom w:val="outset" w:sz="4" w:space="0" w:color="auto"/>
                          <w:right w:val="outset" w:sz="4" w:space="0" w:color="auto"/>
                        </w:tcBorders>
                      </w:tcPr>
                      <w:p w14:paraId="31A286F5" w14:textId="77777777" w:rsidR="007E7472" w:rsidRDefault="00EC1269">
                        <w:pPr>
                          <w:ind w:firstLineChars="100" w:firstLine="210"/>
                        </w:pPr>
                        <w:r>
                          <w:rPr>
                            <w:rFonts w:hint="eastAsia"/>
                          </w:rPr>
                          <w:t>处置子公司及其他营业单位收到的现金净额</w:t>
                        </w:r>
                      </w:p>
                    </w:tc>
                  </w:sdtContent>
                </w:sdt>
                <w:tc>
                  <w:tcPr>
                    <w:tcW w:w="995" w:type="pct"/>
                    <w:tcBorders>
                      <w:top w:val="outset" w:sz="4" w:space="0" w:color="auto"/>
                      <w:left w:val="outset" w:sz="4" w:space="0" w:color="auto"/>
                      <w:bottom w:val="outset" w:sz="4" w:space="0" w:color="auto"/>
                      <w:right w:val="outset" w:sz="4" w:space="0" w:color="auto"/>
                    </w:tcBorders>
                  </w:tcPr>
                  <w:p w14:paraId="43204330" w14:textId="77777777" w:rsidR="007E7472" w:rsidRDefault="00C8327E"/>
                </w:tc>
                <w:tc>
                  <w:tcPr>
                    <w:tcW w:w="1158" w:type="pct"/>
                    <w:tcBorders>
                      <w:top w:val="outset" w:sz="4" w:space="0" w:color="auto"/>
                      <w:left w:val="outset" w:sz="4" w:space="0" w:color="auto"/>
                      <w:bottom w:val="outset" w:sz="4" w:space="0" w:color="auto"/>
                      <w:right w:val="outset" w:sz="4" w:space="0" w:color="auto"/>
                    </w:tcBorders>
                    <w:vAlign w:val="center"/>
                  </w:tcPr>
                  <w:p w14:paraId="47BE6EA4" w14:textId="77777777" w:rsidR="007E7472" w:rsidRDefault="00C8327E">
                    <w:pPr>
                      <w:jc w:val="right"/>
                    </w:pPr>
                  </w:p>
                </w:tc>
                <w:tc>
                  <w:tcPr>
                    <w:tcW w:w="1152" w:type="pct"/>
                    <w:tcBorders>
                      <w:top w:val="outset" w:sz="4" w:space="0" w:color="auto"/>
                      <w:left w:val="outset" w:sz="4" w:space="0" w:color="auto"/>
                      <w:bottom w:val="outset" w:sz="4" w:space="0" w:color="auto"/>
                      <w:right w:val="outset" w:sz="4" w:space="0" w:color="auto"/>
                    </w:tcBorders>
                    <w:vAlign w:val="center"/>
                  </w:tcPr>
                  <w:p w14:paraId="6FA75A20" w14:textId="77777777" w:rsidR="007E7472" w:rsidRDefault="00C8327E">
                    <w:pPr>
                      <w:jc w:val="right"/>
                    </w:pPr>
                  </w:p>
                </w:tc>
              </w:tr>
              <w:tr w:rsidR="007E7472" w14:paraId="1A75AF9B" w14:textId="77777777">
                <w:sdt>
                  <w:sdtPr>
                    <w:tag w:val="_PLD_1bbc06129d1649f69097b53902bcb183"/>
                    <w:id w:val="397485889"/>
                  </w:sdtPr>
                  <w:sdtEndPr/>
                  <w:sdtContent>
                    <w:tc>
                      <w:tcPr>
                        <w:tcW w:w="1695" w:type="pct"/>
                        <w:tcBorders>
                          <w:top w:val="outset" w:sz="4" w:space="0" w:color="auto"/>
                          <w:left w:val="outset" w:sz="4" w:space="0" w:color="auto"/>
                          <w:bottom w:val="outset" w:sz="4" w:space="0" w:color="auto"/>
                          <w:right w:val="outset" w:sz="4" w:space="0" w:color="auto"/>
                        </w:tcBorders>
                      </w:tcPr>
                      <w:p w14:paraId="6E615097" w14:textId="77777777" w:rsidR="007E7472" w:rsidRDefault="00EC1269">
                        <w:pPr>
                          <w:ind w:firstLineChars="100" w:firstLine="210"/>
                        </w:pPr>
                        <w:r>
                          <w:rPr>
                            <w:rFonts w:hint="eastAsia"/>
                          </w:rPr>
                          <w:t>收到其他与投资活动有关的现金</w:t>
                        </w:r>
                      </w:p>
                    </w:tc>
                  </w:sdtContent>
                </w:sdt>
                <w:tc>
                  <w:tcPr>
                    <w:tcW w:w="995" w:type="pct"/>
                    <w:tcBorders>
                      <w:top w:val="outset" w:sz="4" w:space="0" w:color="auto"/>
                      <w:left w:val="outset" w:sz="4" w:space="0" w:color="auto"/>
                      <w:bottom w:val="outset" w:sz="4" w:space="0" w:color="auto"/>
                      <w:right w:val="outset" w:sz="4" w:space="0" w:color="auto"/>
                    </w:tcBorders>
                  </w:tcPr>
                  <w:p w14:paraId="265DAB4B" w14:textId="77777777" w:rsidR="007E7472" w:rsidRDefault="00C8327E"/>
                </w:tc>
                <w:tc>
                  <w:tcPr>
                    <w:tcW w:w="1158" w:type="pct"/>
                    <w:tcBorders>
                      <w:top w:val="outset" w:sz="4" w:space="0" w:color="auto"/>
                      <w:left w:val="outset" w:sz="4" w:space="0" w:color="auto"/>
                      <w:bottom w:val="outset" w:sz="4" w:space="0" w:color="auto"/>
                      <w:right w:val="outset" w:sz="4" w:space="0" w:color="auto"/>
                    </w:tcBorders>
                    <w:vAlign w:val="center"/>
                  </w:tcPr>
                  <w:p w14:paraId="72811F28" w14:textId="77777777" w:rsidR="007E7472" w:rsidRDefault="00EC1269">
                    <w:pPr>
                      <w:jc w:val="right"/>
                    </w:pPr>
                    <w:r>
                      <w:t>4,442,353</w:t>
                    </w:r>
                  </w:p>
                </w:tc>
                <w:tc>
                  <w:tcPr>
                    <w:tcW w:w="1152" w:type="pct"/>
                    <w:tcBorders>
                      <w:top w:val="outset" w:sz="4" w:space="0" w:color="auto"/>
                      <w:left w:val="outset" w:sz="4" w:space="0" w:color="auto"/>
                      <w:bottom w:val="outset" w:sz="4" w:space="0" w:color="auto"/>
                      <w:right w:val="outset" w:sz="4" w:space="0" w:color="auto"/>
                    </w:tcBorders>
                    <w:vAlign w:val="center"/>
                  </w:tcPr>
                  <w:p w14:paraId="5E95233C" w14:textId="77777777" w:rsidR="007E7472" w:rsidRDefault="00EC1269">
                    <w:pPr>
                      <w:jc w:val="right"/>
                    </w:pPr>
                    <w:r>
                      <w:t>3,877,300</w:t>
                    </w:r>
                  </w:p>
                </w:tc>
              </w:tr>
              <w:tr w:rsidR="007E7472" w14:paraId="767DB4BD" w14:textId="77777777">
                <w:sdt>
                  <w:sdtPr>
                    <w:tag w:val="_PLD_7d740284844e4f809679ef6bb77b25bc"/>
                    <w:id w:val="930703133"/>
                  </w:sdtPr>
                  <w:sdtEndPr/>
                  <w:sdtContent>
                    <w:tc>
                      <w:tcPr>
                        <w:tcW w:w="1695" w:type="pct"/>
                        <w:tcBorders>
                          <w:top w:val="outset" w:sz="4" w:space="0" w:color="auto"/>
                          <w:left w:val="outset" w:sz="4" w:space="0" w:color="auto"/>
                          <w:bottom w:val="outset" w:sz="4" w:space="0" w:color="auto"/>
                          <w:right w:val="outset" w:sz="4" w:space="0" w:color="auto"/>
                        </w:tcBorders>
                      </w:tcPr>
                      <w:p w14:paraId="2FDE9BFC" w14:textId="77777777" w:rsidR="007E7472" w:rsidRDefault="00EC1269">
                        <w:pPr>
                          <w:ind w:firstLineChars="200" w:firstLine="420"/>
                          <w:rPr>
                            <w:color w:val="000000"/>
                          </w:rPr>
                        </w:pPr>
                        <w:r>
                          <w:rPr>
                            <w:rFonts w:hint="eastAsia"/>
                          </w:rPr>
                          <w:t>投资活动现金流入小计</w:t>
                        </w:r>
                      </w:p>
                    </w:tc>
                  </w:sdtContent>
                </w:sdt>
                <w:tc>
                  <w:tcPr>
                    <w:tcW w:w="995" w:type="pct"/>
                    <w:tcBorders>
                      <w:top w:val="outset" w:sz="4" w:space="0" w:color="auto"/>
                      <w:left w:val="outset" w:sz="4" w:space="0" w:color="auto"/>
                      <w:bottom w:val="outset" w:sz="4" w:space="0" w:color="auto"/>
                      <w:right w:val="outset" w:sz="4" w:space="0" w:color="auto"/>
                    </w:tcBorders>
                  </w:tcPr>
                  <w:p w14:paraId="0A12E1C0" w14:textId="77777777" w:rsidR="007E7472" w:rsidRDefault="00C8327E"/>
                </w:tc>
                <w:tc>
                  <w:tcPr>
                    <w:tcW w:w="1158" w:type="pct"/>
                    <w:tcBorders>
                      <w:top w:val="outset" w:sz="4" w:space="0" w:color="auto"/>
                      <w:left w:val="outset" w:sz="4" w:space="0" w:color="auto"/>
                      <w:bottom w:val="outset" w:sz="4" w:space="0" w:color="auto"/>
                      <w:right w:val="outset" w:sz="4" w:space="0" w:color="auto"/>
                    </w:tcBorders>
                    <w:vAlign w:val="center"/>
                  </w:tcPr>
                  <w:p w14:paraId="116B3601" w14:textId="77777777" w:rsidR="007E7472" w:rsidRDefault="00EC1269">
                    <w:pPr>
                      <w:jc w:val="right"/>
                    </w:pPr>
                    <w:r>
                      <w:t>9,395,593</w:t>
                    </w:r>
                  </w:p>
                </w:tc>
                <w:tc>
                  <w:tcPr>
                    <w:tcW w:w="1152" w:type="pct"/>
                    <w:tcBorders>
                      <w:top w:val="outset" w:sz="4" w:space="0" w:color="auto"/>
                      <w:left w:val="outset" w:sz="4" w:space="0" w:color="auto"/>
                      <w:bottom w:val="outset" w:sz="4" w:space="0" w:color="auto"/>
                      <w:right w:val="outset" w:sz="4" w:space="0" w:color="auto"/>
                    </w:tcBorders>
                    <w:vAlign w:val="center"/>
                  </w:tcPr>
                  <w:p w14:paraId="59038121" w14:textId="77777777" w:rsidR="007E7472" w:rsidRDefault="00EC1269">
                    <w:pPr>
                      <w:jc w:val="right"/>
                    </w:pPr>
                    <w:r>
                      <w:t>7,541,083</w:t>
                    </w:r>
                  </w:p>
                </w:tc>
              </w:tr>
              <w:tr w:rsidR="007E7472" w14:paraId="6694CFAC" w14:textId="77777777">
                <w:sdt>
                  <w:sdtPr>
                    <w:tag w:val="_PLD_62fef635400a49fdab7a94e37c70f56f"/>
                    <w:id w:val="353468247"/>
                  </w:sdtPr>
                  <w:sdtEndPr/>
                  <w:sdtContent>
                    <w:tc>
                      <w:tcPr>
                        <w:tcW w:w="1695" w:type="pct"/>
                        <w:tcBorders>
                          <w:top w:val="outset" w:sz="4" w:space="0" w:color="auto"/>
                          <w:left w:val="outset" w:sz="4" w:space="0" w:color="auto"/>
                          <w:bottom w:val="outset" w:sz="4" w:space="0" w:color="auto"/>
                          <w:right w:val="outset" w:sz="4" w:space="0" w:color="auto"/>
                        </w:tcBorders>
                      </w:tcPr>
                      <w:p w14:paraId="4F8BAA20" w14:textId="77777777" w:rsidR="007E7472" w:rsidRDefault="00EC1269">
                        <w:pPr>
                          <w:ind w:firstLineChars="100" w:firstLine="210"/>
                        </w:pPr>
                        <w:r>
                          <w:rPr>
                            <w:rFonts w:hint="eastAsia"/>
                          </w:rPr>
                          <w:t>购建固定资产、无形资产和其他长期资产支付的现金</w:t>
                        </w:r>
                      </w:p>
                    </w:tc>
                  </w:sdtContent>
                </w:sdt>
                <w:tc>
                  <w:tcPr>
                    <w:tcW w:w="995" w:type="pct"/>
                    <w:tcBorders>
                      <w:top w:val="outset" w:sz="4" w:space="0" w:color="auto"/>
                      <w:left w:val="outset" w:sz="4" w:space="0" w:color="auto"/>
                      <w:bottom w:val="outset" w:sz="4" w:space="0" w:color="auto"/>
                      <w:right w:val="outset" w:sz="4" w:space="0" w:color="auto"/>
                    </w:tcBorders>
                  </w:tcPr>
                  <w:p w14:paraId="3C0A6405" w14:textId="77777777" w:rsidR="007E7472" w:rsidRDefault="00C8327E"/>
                </w:tc>
                <w:tc>
                  <w:tcPr>
                    <w:tcW w:w="1158" w:type="pct"/>
                    <w:tcBorders>
                      <w:top w:val="outset" w:sz="4" w:space="0" w:color="auto"/>
                      <w:left w:val="outset" w:sz="4" w:space="0" w:color="auto"/>
                      <w:bottom w:val="outset" w:sz="4" w:space="0" w:color="auto"/>
                      <w:right w:val="outset" w:sz="4" w:space="0" w:color="auto"/>
                    </w:tcBorders>
                    <w:vAlign w:val="center"/>
                  </w:tcPr>
                  <w:p w14:paraId="75ABD7D9" w14:textId="77777777" w:rsidR="007E7472" w:rsidRDefault="00EC1269">
                    <w:pPr>
                      <w:jc w:val="right"/>
                    </w:pPr>
                    <w:r>
                      <w:t>2,329,351</w:t>
                    </w:r>
                  </w:p>
                </w:tc>
                <w:tc>
                  <w:tcPr>
                    <w:tcW w:w="1152" w:type="pct"/>
                    <w:tcBorders>
                      <w:top w:val="outset" w:sz="4" w:space="0" w:color="auto"/>
                      <w:left w:val="outset" w:sz="4" w:space="0" w:color="auto"/>
                      <w:bottom w:val="outset" w:sz="4" w:space="0" w:color="auto"/>
                      <w:right w:val="outset" w:sz="4" w:space="0" w:color="auto"/>
                    </w:tcBorders>
                    <w:vAlign w:val="center"/>
                  </w:tcPr>
                  <w:p w14:paraId="5C849D56" w14:textId="77777777" w:rsidR="007E7472" w:rsidRDefault="00EC1269">
                    <w:pPr>
                      <w:jc w:val="right"/>
                    </w:pPr>
                    <w:r>
                      <w:t>1,297,204</w:t>
                    </w:r>
                  </w:p>
                </w:tc>
              </w:tr>
              <w:tr w:rsidR="007E7472" w14:paraId="2F3CA05D" w14:textId="77777777">
                <w:sdt>
                  <w:sdtPr>
                    <w:tag w:val="_PLD_1ef5a0eb21854c7a9b13f6f3b7a8ebcc"/>
                    <w:id w:val="-1819031048"/>
                  </w:sdtPr>
                  <w:sdtEndPr/>
                  <w:sdtContent>
                    <w:tc>
                      <w:tcPr>
                        <w:tcW w:w="1695" w:type="pct"/>
                        <w:tcBorders>
                          <w:top w:val="outset" w:sz="4" w:space="0" w:color="auto"/>
                          <w:left w:val="outset" w:sz="4" w:space="0" w:color="auto"/>
                          <w:bottom w:val="outset" w:sz="4" w:space="0" w:color="auto"/>
                          <w:right w:val="outset" w:sz="4" w:space="0" w:color="auto"/>
                        </w:tcBorders>
                      </w:tcPr>
                      <w:p w14:paraId="75EFD4BE" w14:textId="77777777" w:rsidR="007E7472" w:rsidRDefault="00EC1269">
                        <w:pPr>
                          <w:ind w:firstLineChars="100" w:firstLine="210"/>
                        </w:pPr>
                        <w:r>
                          <w:rPr>
                            <w:rFonts w:hint="eastAsia"/>
                          </w:rPr>
                          <w:t>投资支付的现金</w:t>
                        </w:r>
                      </w:p>
                    </w:tc>
                  </w:sdtContent>
                </w:sdt>
                <w:tc>
                  <w:tcPr>
                    <w:tcW w:w="995" w:type="pct"/>
                    <w:tcBorders>
                      <w:top w:val="outset" w:sz="4" w:space="0" w:color="auto"/>
                      <w:left w:val="outset" w:sz="4" w:space="0" w:color="auto"/>
                      <w:bottom w:val="outset" w:sz="4" w:space="0" w:color="auto"/>
                      <w:right w:val="outset" w:sz="4" w:space="0" w:color="auto"/>
                    </w:tcBorders>
                  </w:tcPr>
                  <w:p w14:paraId="0CC1865F" w14:textId="77777777" w:rsidR="007E7472" w:rsidRDefault="00C8327E"/>
                </w:tc>
                <w:tc>
                  <w:tcPr>
                    <w:tcW w:w="1158" w:type="pct"/>
                    <w:tcBorders>
                      <w:top w:val="outset" w:sz="4" w:space="0" w:color="auto"/>
                      <w:left w:val="outset" w:sz="4" w:space="0" w:color="auto"/>
                      <w:bottom w:val="outset" w:sz="4" w:space="0" w:color="auto"/>
                      <w:right w:val="outset" w:sz="4" w:space="0" w:color="auto"/>
                    </w:tcBorders>
                    <w:vAlign w:val="center"/>
                  </w:tcPr>
                  <w:p w14:paraId="774C9C09" w14:textId="77777777" w:rsidR="007E7472" w:rsidRDefault="00EC1269">
                    <w:pPr>
                      <w:jc w:val="right"/>
                    </w:pPr>
                    <w:r>
                      <w:t>956,770</w:t>
                    </w:r>
                  </w:p>
                </w:tc>
                <w:tc>
                  <w:tcPr>
                    <w:tcW w:w="1152" w:type="pct"/>
                    <w:tcBorders>
                      <w:top w:val="outset" w:sz="4" w:space="0" w:color="auto"/>
                      <w:left w:val="outset" w:sz="4" w:space="0" w:color="auto"/>
                      <w:bottom w:val="outset" w:sz="4" w:space="0" w:color="auto"/>
                      <w:right w:val="outset" w:sz="4" w:space="0" w:color="auto"/>
                    </w:tcBorders>
                    <w:vAlign w:val="center"/>
                  </w:tcPr>
                  <w:p w14:paraId="510B07F2" w14:textId="77777777" w:rsidR="007E7472" w:rsidRDefault="00EC1269">
                    <w:pPr>
                      <w:jc w:val="right"/>
                    </w:pPr>
                    <w:r>
                      <w:t>268,972</w:t>
                    </w:r>
                  </w:p>
                </w:tc>
              </w:tr>
              <w:tr w:rsidR="007E7472" w14:paraId="2BE2A629" w14:textId="77777777">
                <w:sdt>
                  <w:sdtPr>
                    <w:tag w:val="_PLD_7d0701b5e83d4159a4e201e3bfc27ba1"/>
                    <w:id w:val="-1896575079"/>
                  </w:sdtPr>
                  <w:sdtEndPr/>
                  <w:sdtContent>
                    <w:tc>
                      <w:tcPr>
                        <w:tcW w:w="1695" w:type="pct"/>
                        <w:tcBorders>
                          <w:top w:val="outset" w:sz="4" w:space="0" w:color="auto"/>
                          <w:left w:val="outset" w:sz="4" w:space="0" w:color="auto"/>
                          <w:bottom w:val="outset" w:sz="4" w:space="0" w:color="auto"/>
                          <w:right w:val="outset" w:sz="4" w:space="0" w:color="auto"/>
                        </w:tcBorders>
                      </w:tcPr>
                      <w:p w14:paraId="43E0D445" w14:textId="77777777" w:rsidR="007E7472" w:rsidRDefault="00EC1269">
                        <w:pPr>
                          <w:ind w:firstLineChars="100" w:firstLine="210"/>
                        </w:pPr>
                        <w:r>
                          <w:rPr>
                            <w:rFonts w:hint="eastAsia"/>
                          </w:rPr>
                          <w:t>取得子公司及其他营业单位支付的现金净额</w:t>
                        </w:r>
                      </w:p>
                    </w:tc>
                  </w:sdtContent>
                </w:sdt>
                <w:tc>
                  <w:tcPr>
                    <w:tcW w:w="995" w:type="pct"/>
                    <w:tcBorders>
                      <w:top w:val="outset" w:sz="4" w:space="0" w:color="auto"/>
                      <w:left w:val="outset" w:sz="4" w:space="0" w:color="auto"/>
                      <w:bottom w:val="outset" w:sz="4" w:space="0" w:color="auto"/>
                      <w:right w:val="outset" w:sz="4" w:space="0" w:color="auto"/>
                    </w:tcBorders>
                  </w:tcPr>
                  <w:p w14:paraId="233C35A8" w14:textId="77777777" w:rsidR="007E7472" w:rsidRDefault="00C8327E"/>
                </w:tc>
                <w:tc>
                  <w:tcPr>
                    <w:tcW w:w="1158" w:type="pct"/>
                    <w:tcBorders>
                      <w:top w:val="outset" w:sz="4" w:space="0" w:color="auto"/>
                      <w:left w:val="outset" w:sz="4" w:space="0" w:color="auto"/>
                      <w:bottom w:val="outset" w:sz="4" w:space="0" w:color="auto"/>
                      <w:right w:val="outset" w:sz="4" w:space="0" w:color="auto"/>
                    </w:tcBorders>
                    <w:vAlign w:val="center"/>
                  </w:tcPr>
                  <w:p w14:paraId="57E338A9" w14:textId="77777777" w:rsidR="007E7472" w:rsidRDefault="00C8327E">
                    <w:pPr>
                      <w:jc w:val="right"/>
                    </w:pPr>
                  </w:p>
                </w:tc>
                <w:tc>
                  <w:tcPr>
                    <w:tcW w:w="1152" w:type="pct"/>
                    <w:tcBorders>
                      <w:top w:val="outset" w:sz="4" w:space="0" w:color="auto"/>
                      <w:left w:val="outset" w:sz="4" w:space="0" w:color="auto"/>
                      <w:bottom w:val="outset" w:sz="4" w:space="0" w:color="auto"/>
                      <w:right w:val="outset" w:sz="4" w:space="0" w:color="auto"/>
                    </w:tcBorders>
                    <w:vAlign w:val="center"/>
                  </w:tcPr>
                  <w:p w14:paraId="430181F0" w14:textId="77777777" w:rsidR="007E7472" w:rsidRDefault="00C8327E">
                    <w:pPr>
                      <w:jc w:val="right"/>
                    </w:pPr>
                  </w:p>
                </w:tc>
              </w:tr>
              <w:tr w:rsidR="007E7472" w14:paraId="53D4C44F" w14:textId="77777777">
                <w:sdt>
                  <w:sdtPr>
                    <w:tag w:val="_PLD_813ddb5a043d48ffa883eb8db9d86449"/>
                    <w:id w:val="1215703516"/>
                  </w:sdtPr>
                  <w:sdtEndPr/>
                  <w:sdtContent>
                    <w:tc>
                      <w:tcPr>
                        <w:tcW w:w="1695" w:type="pct"/>
                        <w:tcBorders>
                          <w:top w:val="outset" w:sz="4" w:space="0" w:color="auto"/>
                          <w:left w:val="outset" w:sz="4" w:space="0" w:color="auto"/>
                          <w:bottom w:val="outset" w:sz="4" w:space="0" w:color="auto"/>
                          <w:right w:val="outset" w:sz="4" w:space="0" w:color="auto"/>
                        </w:tcBorders>
                      </w:tcPr>
                      <w:p w14:paraId="310D41CC" w14:textId="77777777" w:rsidR="007E7472" w:rsidRDefault="00EC1269">
                        <w:pPr>
                          <w:ind w:firstLineChars="100" w:firstLine="210"/>
                        </w:pPr>
                        <w:r>
                          <w:rPr>
                            <w:rFonts w:hint="eastAsia"/>
                          </w:rPr>
                          <w:t>支付其他与投资活动有关的现金</w:t>
                        </w:r>
                      </w:p>
                    </w:tc>
                  </w:sdtContent>
                </w:sdt>
                <w:tc>
                  <w:tcPr>
                    <w:tcW w:w="995" w:type="pct"/>
                    <w:tcBorders>
                      <w:top w:val="outset" w:sz="4" w:space="0" w:color="auto"/>
                      <w:left w:val="outset" w:sz="4" w:space="0" w:color="auto"/>
                      <w:bottom w:val="outset" w:sz="4" w:space="0" w:color="auto"/>
                      <w:right w:val="outset" w:sz="4" w:space="0" w:color="auto"/>
                    </w:tcBorders>
                  </w:tcPr>
                  <w:p w14:paraId="64A1ECD9" w14:textId="77777777" w:rsidR="007E7472" w:rsidRDefault="00C8327E"/>
                </w:tc>
                <w:tc>
                  <w:tcPr>
                    <w:tcW w:w="1158" w:type="pct"/>
                    <w:tcBorders>
                      <w:top w:val="outset" w:sz="4" w:space="0" w:color="auto"/>
                      <w:left w:val="outset" w:sz="4" w:space="0" w:color="auto"/>
                      <w:bottom w:val="outset" w:sz="4" w:space="0" w:color="auto"/>
                      <w:right w:val="outset" w:sz="4" w:space="0" w:color="auto"/>
                    </w:tcBorders>
                    <w:vAlign w:val="center"/>
                  </w:tcPr>
                  <w:p w14:paraId="33083473" w14:textId="77777777" w:rsidR="007E7472" w:rsidRDefault="00EC1269">
                    <w:pPr>
                      <w:jc w:val="right"/>
                    </w:pPr>
                    <w:r>
                      <w:t>1,950,000</w:t>
                    </w:r>
                  </w:p>
                </w:tc>
                <w:tc>
                  <w:tcPr>
                    <w:tcW w:w="1152" w:type="pct"/>
                    <w:tcBorders>
                      <w:top w:val="outset" w:sz="4" w:space="0" w:color="auto"/>
                      <w:left w:val="outset" w:sz="4" w:space="0" w:color="auto"/>
                      <w:bottom w:val="outset" w:sz="4" w:space="0" w:color="auto"/>
                      <w:right w:val="outset" w:sz="4" w:space="0" w:color="auto"/>
                    </w:tcBorders>
                    <w:vAlign w:val="center"/>
                  </w:tcPr>
                  <w:p w14:paraId="5CD0DDAB" w14:textId="77777777" w:rsidR="007E7472" w:rsidRDefault="00EC1269">
                    <w:pPr>
                      <w:jc w:val="right"/>
                    </w:pPr>
                    <w:r>
                      <w:t>438,380</w:t>
                    </w:r>
                  </w:p>
                </w:tc>
              </w:tr>
              <w:tr w:rsidR="007E7472" w14:paraId="48E5CF10" w14:textId="77777777">
                <w:sdt>
                  <w:sdtPr>
                    <w:tag w:val="_PLD_ebc63f66aafc42e49516dac116f4b4d5"/>
                    <w:id w:val="523596454"/>
                  </w:sdtPr>
                  <w:sdtEndPr/>
                  <w:sdtContent>
                    <w:tc>
                      <w:tcPr>
                        <w:tcW w:w="1695" w:type="pct"/>
                        <w:tcBorders>
                          <w:top w:val="outset" w:sz="4" w:space="0" w:color="auto"/>
                          <w:left w:val="outset" w:sz="4" w:space="0" w:color="auto"/>
                          <w:bottom w:val="outset" w:sz="4" w:space="0" w:color="auto"/>
                          <w:right w:val="outset" w:sz="4" w:space="0" w:color="auto"/>
                        </w:tcBorders>
                      </w:tcPr>
                      <w:p w14:paraId="247BE6B7" w14:textId="77777777" w:rsidR="007E7472" w:rsidRDefault="00EC1269">
                        <w:pPr>
                          <w:ind w:firstLineChars="200" w:firstLine="420"/>
                          <w:rPr>
                            <w:color w:val="000000"/>
                          </w:rPr>
                        </w:pPr>
                        <w:r>
                          <w:rPr>
                            <w:rFonts w:hint="eastAsia"/>
                          </w:rPr>
                          <w:t>投资活动现金流出小计</w:t>
                        </w:r>
                      </w:p>
                    </w:tc>
                  </w:sdtContent>
                </w:sdt>
                <w:tc>
                  <w:tcPr>
                    <w:tcW w:w="995" w:type="pct"/>
                    <w:tcBorders>
                      <w:top w:val="outset" w:sz="4" w:space="0" w:color="auto"/>
                      <w:left w:val="outset" w:sz="4" w:space="0" w:color="auto"/>
                      <w:bottom w:val="outset" w:sz="4" w:space="0" w:color="auto"/>
                      <w:right w:val="outset" w:sz="4" w:space="0" w:color="auto"/>
                    </w:tcBorders>
                  </w:tcPr>
                  <w:p w14:paraId="404EB00E" w14:textId="77777777" w:rsidR="007E7472" w:rsidRDefault="00C8327E"/>
                </w:tc>
                <w:tc>
                  <w:tcPr>
                    <w:tcW w:w="1158" w:type="pct"/>
                    <w:tcBorders>
                      <w:top w:val="outset" w:sz="4" w:space="0" w:color="auto"/>
                      <w:left w:val="outset" w:sz="4" w:space="0" w:color="auto"/>
                      <w:bottom w:val="outset" w:sz="4" w:space="0" w:color="auto"/>
                      <w:right w:val="outset" w:sz="4" w:space="0" w:color="auto"/>
                    </w:tcBorders>
                    <w:vAlign w:val="center"/>
                  </w:tcPr>
                  <w:p w14:paraId="25C4DE0E" w14:textId="77777777" w:rsidR="007E7472" w:rsidRDefault="00EC1269">
                    <w:pPr>
                      <w:jc w:val="right"/>
                    </w:pPr>
                    <w:r>
                      <w:t>5,236,121</w:t>
                    </w:r>
                  </w:p>
                </w:tc>
                <w:tc>
                  <w:tcPr>
                    <w:tcW w:w="1152" w:type="pct"/>
                    <w:tcBorders>
                      <w:top w:val="outset" w:sz="4" w:space="0" w:color="auto"/>
                      <w:left w:val="outset" w:sz="4" w:space="0" w:color="auto"/>
                      <w:bottom w:val="outset" w:sz="4" w:space="0" w:color="auto"/>
                      <w:right w:val="outset" w:sz="4" w:space="0" w:color="auto"/>
                    </w:tcBorders>
                    <w:vAlign w:val="center"/>
                  </w:tcPr>
                  <w:p w14:paraId="0C87982E" w14:textId="77777777" w:rsidR="007E7472" w:rsidRDefault="00EC1269">
                    <w:pPr>
                      <w:jc w:val="right"/>
                    </w:pPr>
                    <w:r>
                      <w:t>2,004,556</w:t>
                    </w:r>
                  </w:p>
                </w:tc>
              </w:tr>
              <w:tr w:rsidR="007E7472" w14:paraId="11A305D9" w14:textId="77777777">
                <w:sdt>
                  <w:sdtPr>
                    <w:tag w:val="_PLD_616b02a522724a558ecbae77fe729bdb"/>
                    <w:id w:val="-1675257043"/>
                  </w:sdtPr>
                  <w:sdtEndPr/>
                  <w:sdtContent>
                    <w:tc>
                      <w:tcPr>
                        <w:tcW w:w="1695" w:type="pct"/>
                        <w:tcBorders>
                          <w:top w:val="outset" w:sz="4" w:space="0" w:color="auto"/>
                          <w:left w:val="outset" w:sz="4" w:space="0" w:color="auto"/>
                          <w:bottom w:val="outset" w:sz="4" w:space="0" w:color="auto"/>
                          <w:right w:val="outset" w:sz="4" w:space="0" w:color="auto"/>
                        </w:tcBorders>
                      </w:tcPr>
                      <w:p w14:paraId="3345750D" w14:textId="77777777" w:rsidR="007E7472" w:rsidRDefault="00EC1269">
                        <w:pPr>
                          <w:ind w:firstLineChars="300" w:firstLine="630"/>
                          <w:rPr>
                            <w:color w:val="000000"/>
                          </w:rPr>
                        </w:pPr>
                        <w:r>
                          <w:rPr>
                            <w:rFonts w:hint="eastAsia"/>
                          </w:rPr>
                          <w:t>投资活动产生的现金流量净额</w:t>
                        </w:r>
                      </w:p>
                    </w:tc>
                  </w:sdtContent>
                </w:sdt>
                <w:tc>
                  <w:tcPr>
                    <w:tcW w:w="995" w:type="pct"/>
                    <w:tcBorders>
                      <w:top w:val="outset" w:sz="4" w:space="0" w:color="auto"/>
                      <w:left w:val="outset" w:sz="4" w:space="0" w:color="auto"/>
                      <w:bottom w:val="outset" w:sz="4" w:space="0" w:color="auto"/>
                      <w:right w:val="outset" w:sz="4" w:space="0" w:color="auto"/>
                    </w:tcBorders>
                  </w:tcPr>
                  <w:p w14:paraId="0AA83E34" w14:textId="77777777" w:rsidR="007E7472" w:rsidRDefault="00C8327E"/>
                </w:tc>
                <w:tc>
                  <w:tcPr>
                    <w:tcW w:w="1158" w:type="pct"/>
                    <w:tcBorders>
                      <w:top w:val="outset" w:sz="4" w:space="0" w:color="auto"/>
                      <w:left w:val="outset" w:sz="4" w:space="0" w:color="auto"/>
                      <w:bottom w:val="outset" w:sz="4" w:space="0" w:color="auto"/>
                      <w:right w:val="outset" w:sz="4" w:space="0" w:color="auto"/>
                    </w:tcBorders>
                    <w:vAlign w:val="center"/>
                  </w:tcPr>
                  <w:p w14:paraId="7367197E" w14:textId="77777777" w:rsidR="007E7472" w:rsidRDefault="00EC1269">
                    <w:pPr>
                      <w:jc w:val="right"/>
                    </w:pPr>
                    <w:r>
                      <w:t>4,159,472</w:t>
                    </w:r>
                  </w:p>
                </w:tc>
                <w:tc>
                  <w:tcPr>
                    <w:tcW w:w="1152" w:type="pct"/>
                    <w:tcBorders>
                      <w:top w:val="outset" w:sz="4" w:space="0" w:color="auto"/>
                      <w:left w:val="outset" w:sz="4" w:space="0" w:color="auto"/>
                      <w:bottom w:val="outset" w:sz="4" w:space="0" w:color="auto"/>
                      <w:right w:val="outset" w:sz="4" w:space="0" w:color="auto"/>
                    </w:tcBorders>
                    <w:vAlign w:val="center"/>
                  </w:tcPr>
                  <w:p w14:paraId="5549F759" w14:textId="77777777" w:rsidR="007E7472" w:rsidRDefault="00EC1269">
                    <w:pPr>
                      <w:jc w:val="right"/>
                    </w:pPr>
                    <w:r>
                      <w:t>5,536,527</w:t>
                    </w:r>
                  </w:p>
                </w:tc>
              </w:tr>
              <w:tr w:rsidR="007E7472" w14:paraId="221DEF80" w14:textId="77777777">
                <w:sdt>
                  <w:sdtPr>
                    <w:tag w:val="_PLD_7d68e34216d04af0934267b3078d3c35"/>
                    <w:id w:val="1537003132"/>
                  </w:sdtPr>
                  <w:sdtEndPr/>
                  <w:sdtContent>
                    <w:tc>
                      <w:tcPr>
                        <w:tcW w:w="5000" w:type="pct"/>
                        <w:gridSpan w:val="4"/>
                        <w:tcBorders>
                          <w:top w:val="outset" w:sz="4" w:space="0" w:color="auto"/>
                          <w:left w:val="outset" w:sz="4" w:space="0" w:color="auto"/>
                          <w:bottom w:val="outset" w:sz="4" w:space="0" w:color="auto"/>
                          <w:right w:val="outset" w:sz="4" w:space="0" w:color="auto"/>
                        </w:tcBorders>
                      </w:tcPr>
                      <w:p w14:paraId="36241A9E" w14:textId="77777777" w:rsidR="007E7472" w:rsidRDefault="00EC1269">
                        <w:pPr>
                          <w:rPr>
                            <w:color w:val="008000"/>
                          </w:rPr>
                        </w:pPr>
                        <w:r>
                          <w:rPr>
                            <w:rFonts w:hint="eastAsia"/>
                            <w:b/>
                          </w:rPr>
                          <w:t>三、筹资活动产生的现金流量：</w:t>
                        </w:r>
                      </w:p>
                    </w:tc>
                  </w:sdtContent>
                </w:sdt>
              </w:tr>
              <w:tr w:rsidR="007E7472" w14:paraId="04F2EE89" w14:textId="77777777">
                <w:tc>
                  <w:tcPr>
                    <w:tcW w:w="1695" w:type="pct"/>
                    <w:tcBorders>
                      <w:top w:val="outset" w:sz="4" w:space="0" w:color="auto"/>
                      <w:left w:val="outset" w:sz="4" w:space="0" w:color="auto"/>
                      <w:bottom w:val="outset" w:sz="4" w:space="0" w:color="auto"/>
                      <w:right w:val="outset" w:sz="4" w:space="0" w:color="auto"/>
                    </w:tcBorders>
                  </w:tcPr>
                  <w:p w14:paraId="7179BBA4" w14:textId="77777777" w:rsidR="007E7472" w:rsidRDefault="00EC1269">
                    <w:pPr>
                      <w:ind w:firstLineChars="100" w:firstLine="210"/>
                      <w:rPr>
                        <w:color w:val="000000"/>
                      </w:rPr>
                    </w:pPr>
                    <w:r>
                      <w:rPr>
                        <w:rFonts w:hint="eastAsia"/>
                      </w:rPr>
                      <w:t>吸收投资收到的现金</w:t>
                    </w:r>
                  </w:p>
                </w:tc>
                <w:tc>
                  <w:tcPr>
                    <w:tcW w:w="995" w:type="pct"/>
                    <w:tcBorders>
                      <w:top w:val="outset" w:sz="4" w:space="0" w:color="auto"/>
                      <w:left w:val="outset" w:sz="4" w:space="0" w:color="auto"/>
                      <w:bottom w:val="outset" w:sz="4" w:space="0" w:color="auto"/>
                      <w:right w:val="outset" w:sz="4" w:space="0" w:color="auto"/>
                    </w:tcBorders>
                  </w:tcPr>
                  <w:p w14:paraId="662080FB" w14:textId="77777777" w:rsidR="007E7472" w:rsidRDefault="00C8327E"/>
                </w:tc>
                <w:tc>
                  <w:tcPr>
                    <w:tcW w:w="1158" w:type="pct"/>
                    <w:tcBorders>
                      <w:top w:val="outset" w:sz="4" w:space="0" w:color="auto"/>
                      <w:left w:val="outset" w:sz="4" w:space="0" w:color="auto"/>
                      <w:bottom w:val="outset" w:sz="4" w:space="0" w:color="auto"/>
                      <w:right w:val="outset" w:sz="4" w:space="0" w:color="auto"/>
                    </w:tcBorders>
                    <w:vAlign w:val="center"/>
                  </w:tcPr>
                  <w:p w14:paraId="08010783" w14:textId="77777777" w:rsidR="007E7472" w:rsidRDefault="00EC1269">
                    <w:pPr>
                      <w:jc w:val="right"/>
                    </w:pPr>
                    <w:r>
                      <w:t>57,209</w:t>
                    </w:r>
                  </w:p>
                </w:tc>
                <w:tc>
                  <w:tcPr>
                    <w:tcW w:w="1152" w:type="pct"/>
                    <w:tcBorders>
                      <w:top w:val="outset" w:sz="4" w:space="0" w:color="auto"/>
                      <w:left w:val="outset" w:sz="4" w:space="0" w:color="auto"/>
                      <w:bottom w:val="outset" w:sz="4" w:space="0" w:color="auto"/>
                      <w:right w:val="outset" w:sz="4" w:space="0" w:color="auto"/>
                    </w:tcBorders>
                    <w:vAlign w:val="center"/>
                  </w:tcPr>
                  <w:p w14:paraId="2A89D667" w14:textId="77777777" w:rsidR="007E7472" w:rsidRDefault="00EC1269">
                    <w:pPr>
                      <w:jc w:val="right"/>
                    </w:pPr>
                    <w:r>
                      <w:t>5,797,316</w:t>
                    </w:r>
                  </w:p>
                </w:tc>
              </w:tr>
              <w:tr w:rsidR="007E7472" w14:paraId="36FE4FDF" w14:textId="77777777">
                <w:tc>
                  <w:tcPr>
                    <w:tcW w:w="1695" w:type="pct"/>
                    <w:tcBorders>
                      <w:top w:val="outset" w:sz="4" w:space="0" w:color="auto"/>
                      <w:left w:val="outset" w:sz="4" w:space="0" w:color="auto"/>
                      <w:bottom w:val="outset" w:sz="4" w:space="0" w:color="auto"/>
                      <w:right w:val="outset" w:sz="4" w:space="0" w:color="auto"/>
                    </w:tcBorders>
                  </w:tcPr>
                  <w:p w14:paraId="76B5AB53" w14:textId="77777777" w:rsidR="007E7472" w:rsidRDefault="00EC1269">
                    <w:pPr>
                      <w:ind w:firstLineChars="100" w:firstLine="210"/>
                      <w:rPr>
                        <w:color w:val="000000"/>
                      </w:rPr>
                    </w:pPr>
                    <w:r>
                      <w:rPr>
                        <w:rFonts w:hint="eastAsia"/>
                      </w:rPr>
                      <w:t>取得借款收到的现金</w:t>
                    </w:r>
                  </w:p>
                </w:tc>
                <w:tc>
                  <w:tcPr>
                    <w:tcW w:w="995" w:type="pct"/>
                    <w:tcBorders>
                      <w:top w:val="outset" w:sz="4" w:space="0" w:color="auto"/>
                      <w:left w:val="outset" w:sz="4" w:space="0" w:color="auto"/>
                      <w:bottom w:val="outset" w:sz="4" w:space="0" w:color="auto"/>
                      <w:right w:val="outset" w:sz="4" w:space="0" w:color="auto"/>
                    </w:tcBorders>
                  </w:tcPr>
                  <w:p w14:paraId="327A79C7" w14:textId="77777777" w:rsidR="007E7472" w:rsidRDefault="00C8327E"/>
                </w:tc>
                <w:tc>
                  <w:tcPr>
                    <w:tcW w:w="1158" w:type="pct"/>
                    <w:tcBorders>
                      <w:top w:val="outset" w:sz="4" w:space="0" w:color="auto"/>
                      <w:left w:val="outset" w:sz="4" w:space="0" w:color="auto"/>
                      <w:bottom w:val="outset" w:sz="4" w:space="0" w:color="auto"/>
                      <w:right w:val="outset" w:sz="4" w:space="0" w:color="auto"/>
                    </w:tcBorders>
                    <w:vAlign w:val="center"/>
                  </w:tcPr>
                  <w:p w14:paraId="1F9E8D0E" w14:textId="77777777" w:rsidR="007E7472" w:rsidRDefault="00EC1269">
                    <w:pPr>
                      <w:jc w:val="right"/>
                    </w:pPr>
                    <w:r>
                      <w:t>22,588,850</w:t>
                    </w:r>
                  </w:p>
                </w:tc>
                <w:tc>
                  <w:tcPr>
                    <w:tcW w:w="1152" w:type="pct"/>
                    <w:tcBorders>
                      <w:top w:val="outset" w:sz="4" w:space="0" w:color="auto"/>
                      <w:left w:val="outset" w:sz="4" w:space="0" w:color="auto"/>
                      <w:bottom w:val="outset" w:sz="4" w:space="0" w:color="auto"/>
                      <w:right w:val="outset" w:sz="4" w:space="0" w:color="auto"/>
                    </w:tcBorders>
                    <w:vAlign w:val="center"/>
                  </w:tcPr>
                  <w:p w14:paraId="209609AF" w14:textId="77777777" w:rsidR="007E7472" w:rsidRDefault="00EC1269">
                    <w:pPr>
                      <w:jc w:val="right"/>
                    </w:pPr>
                    <w:r>
                      <w:t>12,545,000</w:t>
                    </w:r>
                  </w:p>
                </w:tc>
              </w:tr>
              <w:tr w:rsidR="007E7472" w14:paraId="5443DBE1" w14:textId="77777777">
                <w:tc>
                  <w:tcPr>
                    <w:tcW w:w="1695" w:type="pct"/>
                    <w:tcBorders>
                      <w:top w:val="outset" w:sz="4" w:space="0" w:color="auto"/>
                      <w:left w:val="outset" w:sz="4" w:space="0" w:color="auto"/>
                      <w:bottom w:val="outset" w:sz="4" w:space="0" w:color="auto"/>
                      <w:right w:val="outset" w:sz="4" w:space="0" w:color="auto"/>
                    </w:tcBorders>
                  </w:tcPr>
                  <w:p w14:paraId="554AFAEC" w14:textId="77777777" w:rsidR="007E7472" w:rsidRDefault="00EC1269">
                    <w:pPr>
                      <w:ind w:firstLineChars="100" w:firstLine="210"/>
                      <w:rPr>
                        <w:color w:val="000000"/>
                      </w:rPr>
                    </w:pPr>
                    <w:r>
                      <w:rPr>
                        <w:rFonts w:hint="eastAsia"/>
                      </w:rPr>
                      <w:t>收到其他与筹资活动有关的现金</w:t>
                    </w:r>
                  </w:p>
                </w:tc>
                <w:tc>
                  <w:tcPr>
                    <w:tcW w:w="995" w:type="pct"/>
                    <w:tcBorders>
                      <w:top w:val="outset" w:sz="4" w:space="0" w:color="auto"/>
                      <w:left w:val="outset" w:sz="4" w:space="0" w:color="auto"/>
                      <w:bottom w:val="outset" w:sz="4" w:space="0" w:color="auto"/>
                      <w:right w:val="outset" w:sz="4" w:space="0" w:color="auto"/>
                    </w:tcBorders>
                  </w:tcPr>
                  <w:p w14:paraId="38891291" w14:textId="77777777" w:rsidR="007E7472" w:rsidRDefault="00C8327E"/>
                </w:tc>
                <w:tc>
                  <w:tcPr>
                    <w:tcW w:w="1158" w:type="pct"/>
                    <w:tcBorders>
                      <w:top w:val="outset" w:sz="4" w:space="0" w:color="auto"/>
                      <w:left w:val="outset" w:sz="4" w:space="0" w:color="auto"/>
                      <w:bottom w:val="outset" w:sz="4" w:space="0" w:color="auto"/>
                      <w:right w:val="outset" w:sz="4" w:space="0" w:color="auto"/>
                    </w:tcBorders>
                    <w:vAlign w:val="center"/>
                  </w:tcPr>
                  <w:p w14:paraId="7D9A0E8D" w14:textId="77777777" w:rsidR="007E7472" w:rsidRDefault="00EC1269">
                    <w:pPr>
                      <w:jc w:val="right"/>
                    </w:pPr>
                    <w:r>
                      <w:t>2,007,134</w:t>
                    </w:r>
                  </w:p>
                </w:tc>
                <w:tc>
                  <w:tcPr>
                    <w:tcW w:w="1152" w:type="pct"/>
                    <w:tcBorders>
                      <w:top w:val="outset" w:sz="4" w:space="0" w:color="auto"/>
                      <w:left w:val="outset" w:sz="4" w:space="0" w:color="auto"/>
                      <w:bottom w:val="outset" w:sz="4" w:space="0" w:color="auto"/>
                      <w:right w:val="outset" w:sz="4" w:space="0" w:color="auto"/>
                    </w:tcBorders>
                    <w:vAlign w:val="center"/>
                  </w:tcPr>
                  <w:p w14:paraId="1A2D3B2D" w14:textId="77777777" w:rsidR="007E7472" w:rsidRDefault="00EC1269">
                    <w:pPr>
                      <w:jc w:val="right"/>
                    </w:pPr>
                    <w:r>
                      <w:t>3,229,744</w:t>
                    </w:r>
                  </w:p>
                </w:tc>
              </w:tr>
              <w:tr w:rsidR="007E7472" w14:paraId="715ACC84" w14:textId="77777777">
                <w:tc>
                  <w:tcPr>
                    <w:tcW w:w="1695" w:type="pct"/>
                    <w:tcBorders>
                      <w:top w:val="outset" w:sz="4" w:space="0" w:color="auto"/>
                      <w:left w:val="outset" w:sz="4" w:space="0" w:color="auto"/>
                      <w:bottom w:val="outset" w:sz="4" w:space="0" w:color="auto"/>
                      <w:right w:val="outset" w:sz="4" w:space="0" w:color="auto"/>
                    </w:tcBorders>
                  </w:tcPr>
                  <w:p w14:paraId="4A5718DC" w14:textId="77777777" w:rsidR="007E7472" w:rsidRDefault="00EC1269">
                    <w:pPr>
                      <w:ind w:firstLineChars="200" w:firstLine="420"/>
                      <w:rPr>
                        <w:color w:val="000000"/>
                      </w:rPr>
                    </w:pPr>
                    <w:r>
                      <w:rPr>
                        <w:rFonts w:hint="eastAsia"/>
                      </w:rPr>
                      <w:t>筹资活动现金流入小计</w:t>
                    </w:r>
                  </w:p>
                </w:tc>
                <w:tc>
                  <w:tcPr>
                    <w:tcW w:w="995" w:type="pct"/>
                    <w:tcBorders>
                      <w:top w:val="outset" w:sz="4" w:space="0" w:color="auto"/>
                      <w:left w:val="outset" w:sz="4" w:space="0" w:color="auto"/>
                      <w:bottom w:val="outset" w:sz="4" w:space="0" w:color="auto"/>
                      <w:right w:val="outset" w:sz="4" w:space="0" w:color="auto"/>
                    </w:tcBorders>
                  </w:tcPr>
                  <w:p w14:paraId="0A618CC3" w14:textId="77777777" w:rsidR="007E7472" w:rsidRDefault="00C8327E"/>
                </w:tc>
                <w:tc>
                  <w:tcPr>
                    <w:tcW w:w="1158" w:type="pct"/>
                    <w:tcBorders>
                      <w:top w:val="outset" w:sz="4" w:space="0" w:color="auto"/>
                      <w:left w:val="outset" w:sz="4" w:space="0" w:color="auto"/>
                      <w:bottom w:val="outset" w:sz="4" w:space="0" w:color="auto"/>
                      <w:right w:val="outset" w:sz="4" w:space="0" w:color="auto"/>
                    </w:tcBorders>
                    <w:vAlign w:val="center"/>
                  </w:tcPr>
                  <w:p w14:paraId="5B61CA56" w14:textId="77777777" w:rsidR="007E7472" w:rsidRDefault="00EC1269">
                    <w:pPr>
                      <w:jc w:val="right"/>
                    </w:pPr>
                    <w:r>
                      <w:t>24,653,193</w:t>
                    </w:r>
                  </w:p>
                </w:tc>
                <w:tc>
                  <w:tcPr>
                    <w:tcW w:w="1152" w:type="pct"/>
                    <w:tcBorders>
                      <w:top w:val="outset" w:sz="4" w:space="0" w:color="auto"/>
                      <w:left w:val="outset" w:sz="4" w:space="0" w:color="auto"/>
                      <w:bottom w:val="outset" w:sz="4" w:space="0" w:color="auto"/>
                      <w:right w:val="outset" w:sz="4" w:space="0" w:color="auto"/>
                    </w:tcBorders>
                    <w:vAlign w:val="center"/>
                  </w:tcPr>
                  <w:p w14:paraId="519C399B" w14:textId="77777777" w:rsidR="007E7472" w:rsidRDefault="00EC1269">
                    <w:pPr>
                      <w:tabs>
                        <w:tab w:val="center" w:pos="989"/>
                        <w:tab w:val="right" w:pos="1979"/>
                      </w:tabs>
                      <w:jc w:val="right"/>
                    </w:pPr>
                    <w:r>
                      <w:t>21,572,060</w:t>
                    </w:r>
                  </w:p>
                </w:tc>
              </w:tr>
              <w:tr w:rsidR="007E7472" w14:paraId="153A282E" w14:textId="77777777">
                <w:tc>
                  <w:tcPr>
                    <w:tcW w:w="1695" w:type="pct"/>
                    <w:tcBorders>
                      <w:top w:val="outset" w:sz="4" w:space="0" w:color="auto"/>
                      <w:left w:val="outset" w:sz="4" w:space="0" w:color="auto"/>
                      <w:bottom w:val="outset" w:sz="4" w:space="0" w:color="auto"/>
                      <w:right w:val="outset" w:sz="4" w:space="0" w:color="auto"/>
                    </w:tcBorders>
                  </w:tcPr>
                  <w:p w14:paraId="4364E2A8" w14:textId="77777777" w:rsidR="007E7472" w:rsidRDefault="00EC1269">
                    <w:pPr>
                      <w:ind w:firstLineChars="100" w:firstLine="210"/>
                    </w:pPr>
                    <w:r>
                      <w:rPr>
                        <w:rFonts w:hint="eastAsia"/>
                      </w:rPr>
                      <w:t>偿还债务支付的现金</w:t>
                    </w:r>
                  </w:p>
                </w:tc>
                <w:tc>
                  <w:tcPr>
                    <w:tcW w:w="995" w:type="pct"/>
                    <w:tcBorders>
                      <w:top w:val="outset" w:sz="4" w:space="0" w:color="auto"/>
                      <w:left w:val="outset" w:sz="4" w:space="0" w:color="auto"/>
                      <w:bottom w:val="outset" w:sz="4" w:space="0" w:color="auto"/>
                      <w:right w:val="outset" w:sz="4" w:space="0" w:color="auto"/>
                    </w:tcBorders>
                  </w:tcPr>
                  <w:p w14:paraId="105826DE" w14:textId="77777777" w:rsidR="007E7472" w:rsidRDefault="00C8327E"/>
                </w:tc>
                <w:tc>
                  <w:tcPr>
                    <w:tcW w:w="1158" w:type="pct"/>
                    <w:tcBorders>
                      <w:top w:val="outset" w:sz="4" w:space="0" w:color="auto"/>
                      <w:left w:val="outset" w:sz="4" w:space="0" w:color="auto"/>
                      <w:bottom w:val="outset" w:sz="4" w:space="0" w:color="auto"/>
                      <w:right w:val="outset" w:sz="4" w:space="0" w:color="auto"/>
                    </w:tcBorders>
                    <w:vAlign w:val="center"/>
                  </w:tcPr>
                  <w:p w14:paraId="20D7D257" w14:textId="77777777" w:rsidR="007E7472" w:rsidRDefault="00EC1269">
                    <w:pPr>
                      <w:jc w:val="right"/>
                    </w:pPr>
                    <w:r>
                      <w:t>7,557,750</w:t>
                    </w:r>
                  </w:p>
                </w:tc>
                <w:tc>
                  <w:tcPr>
                    <w:tcW w:w="1152" w:type="pct"/>
                    <w:tcBorders>
                      <w:top w:val="outset" w:sz="4" w:space="0" w:color="auto"/>
                      <w:left w:val="outset" w:sz="4" w:space="0" w:color="auto"/>
                      <w:bottom w:val="outset" w:sz="4" w:space="0" w:color="auto"/>
                      <w:right w:val="outset" w:sz="4" w:space="0" w:color="auto"/>
                    </w:tcBorders>
                    <w:vAlign w:val="center"/>
                  </w:tcPr>
                  <w:p w14:paraId="12AD1638" w14:textId="77777777" w:rsidR="007E7472" w:rsidRDefault="00EC1269">
                    <w:pPr>
                      <w:jc w:val="right"/>
                    </w:pPr>
                    <w:r>
                      <w:t>13,883,598</w:t>
                    </w:r>
                  </w:p>
                </w:tc>
              </w:tr>
              <w:tr w:rsidR="007E7472" w14:paraId="794F3C46" w14:textId="77777777">
                <w:tc>
                  <w:tcPr>
                    <w:tcW w:w="1695" w:type="pct"/>
                    <w:tcBorders>
                      <w:top w:val="outset" w:sz="4" w:space="0" w:color="auto"/>
                      <w:left w:val="outset" w:sz="4" w:space="0" w:color="auto"/>
                      <w:bottom w:val="outset" w:sz="4" w:space="0" w:color="auto"/>
                      <w:right w:val="outset" w:sz="4" w:space="0" w:color="auto"/>
                    </w:tcBorders>
                  </w:tcPr>
                  <w:p w14:paraId="73242B46" w14:textId="77777777" w:rsidR="007E7472" w:rsidRDefault="00EC1269">
                    <w:pPr>
                      <w:ind w:firstLineChars="100" w:firstLine="210"/>
                    </w:pPr>
                    <w:r>
                      <w:rPr>
                        <w:rFonts w:hint="eastAsia"/>
                      </w:rPr>
                      <w:t>分配股利、利润或偿付利息支付的现金</w:t>
                    </w:r>
                  </w:p>
                </w:tc>
                <w:tc>
                  <w:tcPr>
                    <w:tcW w:w="995" w:type="pct"/>
                    <w:tcBorders>
                      <w:top w:val="outset" w:sz="4" w:space="0" w:color="auto"/>
                      <w:left w:val="outset" w:sz="4" w:space="0" w:color="auto"/>
                      <w:bottom w:val="outset" w:sz="4" w:space="0" w:color="auto"/>
                      <w:right w:val="outset" w:sz="4" w:space="0" w:color="auto"/>
                    </w:tcBorders>
                  </w:tcPr>
                  <w:p w14:paraId="4D9D0FF8" w14:textId="77777777" w:rsidR="007E7472" w:rsidRDefault="00C8327E"/>
                </w:tc>
                <w:tc>
                  <w:tcPr>
                    <w:tcW w:w="1158" w:type="pct"/>
                    <w:tcBorders>
                      <w:top w:val="outset" w:sz="4" w:space="0" w:color="auto"/>
                      <w:left w:val="outset" w:sz="4" w:space="0" w:color="auto"/>
                      <w:bottom w:val="outset" w:sz="4" w:space="0" w:color="auto"/>
                      <w:right w:val="outset" w:sz="4" w:space="0" w:color="auto"/>
                    </w:tcBorders>
                    <w:vAlign w:val="center"/>
                  </w:tcPr>
                  <w:p w14:paraId="1D7A7A88" w14:textId="77777777" w:rsidR="007E7472" w:rsidRDefault="00EC1269">
                    <w:pPr>
                      <w:jc w:val="right"/>
                    </w:pPr>
                    <w:r>
                      <w:t>1,596,676</w:t>
                    </w:r>
                  </w:p>
                </w:tc>
                <w:tc>
                  <w:tcPr>
                    <w:tcW w:w="1152" w:type="pct"/>
                    <w:tcBorders>
                      <w:top w:val="outset" w:sz="4" w:space="0" w:color="auto"/>
                      <w:left w:val="outset" w:sz="4" w:space="0" w:color="auto"/>
                      <w:bottom w:val="outset" w:sz="4" w:space="0" w:color="auto"/>
                      <w:right w:val="outset" w:sz="4" w:space="0" w:color="auto"/>
                    </w:tcBorders>
                    <w:vAlign w:val="center"/>
                  </w:tcPr>
                  <w:p w14:paraId="7EBB7A49" w14:textId="77777777" w:rsidR="007E7472" w:rsidRDefault="00EC1269">
                    <w:pPr>
                      <w:jc w:val="right"/>
                    </w:pPr>
                    <w:r>
                      <w:t>1,811,823</w:t>
                    </w:r>
                  </w:p>
                </w:tc>
              </w:tr>
              <w:tr w:rsidR="007E7472" w14:paraId="59568DA7" w14:textId="77777777">
                <w:tc>
                  <w:tcPr>
                    <w:tcW w:w="1695" w:type="pct"/>
                    <w:tcBorders>
                      <w:top w:val="outset" w:sz="4" w:space="0" w:color="auto"/>
                      <w:left w:val="outset" w:sz="4" w:space="0" w:color="auto"/>
                      <w:bottom w:val="outset" w:sz="4" w:space="0" w:color="auto"/>
                      <w:right w:val="outset" w:sz="4" w:space="0" w:color="auto"/>
                    </w:tcBorders>
                  </w:tcPr>
                  <w:p w14:paraId="6FC85013" w14:textId="77777777" w:rsidR="007E7472" w:rsidRDefault="00EC1269">
                    <w:pPr>
                      <w:ind w:firstLineChars="100" w:firstLine="210"/>
                      <w:rPr>
                        <w:color w:val="000000"/>
                      </w:rPr>
                    </w:pPr>
                    <w:r>
                      <w:rPr>
                        <w:rFonts w:hint="eastAsia"/>
                      </w:rPr>
                      <w:t>支付其他与筹资活动有关的现金</w:t>
                    </w:r>
                  </w:p>
                </w:tc>
                <w:tc>
                  <w:tcPr>
                    <w:tcW w:w="995" w:type="pct"/>
                    <w:tcBorders>
                      <w:top w:val="outset" w:sz="4" w:space="0" w:color="auto"/>
                      <w:left w:val="outset" w:sz="4" w:space="0" w:color="auto"/>
                      <w:bottom w:val="outset" w:sz="4" w:space="0" w:color="auto"/>
                      <w:right w:val="outset" w:sz="4" w:space="0" w:color="auto"/>
                    </w:tcBorders>
                  </w:tcPr>
                  <w:p w14:paraId="72B4D279" w14:textId="77777777" w:rsidR="007E7472" w:rsidRDefault="00C8327E"/>
                </w:tc>
                <w:tc>
                  <w:tcPr>
                    <w:tcW w:w="1158" w:type="pct"/>
                    <w:tcBorders>
                      <w:top w:val="outset" w:sz="4" w:space="0" w:color="auto"/>
                      <w:left w:val="outset" w:sz="4" w:space="0" w:color="auto"/>
                      <w:bottom w:val="outset" w:sz="4" w:space="0" w:color="auto"/>
                      <w:right w:val="outset" w:sz="4" w:space="0" w:color="auto"/>
                    </w:tcBorders>
                    <w:vAlign w:val="center"/>
                  </w:tcPr>
                  <w:p w14:paraId="1DFB699D" w14:textId="77777777" w:rsidR="007E7472" w:rsidRDefault="00EC1269">
                    <w:pPr>
                      <w:jc w:val="right"/>
                    </w:pPr>
                    <w:r>
                      <w:t>15,064,148</w:t>
                    </w:r>
                  </w:p>
                </w:tc>
                <w:tc>
                  <w:tcPr>
                    <w:tcW w:w="1152" w:type="pct"/>
                    <w:tcBorders>
                      <w:top w:val="outset" w:sz="4" w:space="0" w:color="auto"/>
                      <w:left w:val="outset" w:sz="4" w:space="0" w:color="auto"/>
                      <w:bottom w:val="outset" w:sz="4" w:space="0" w:color="auto"/>
                      <w:right w:val="outset" w:sz="4" w:space="0" w:color="auto"/>
                    </w:tcBorders>
                    <w:vAlign w:val="center"/>
                  </w:tcPr>
                  <w:p w14:paraId="510F770A" w14:textId="77777777" w:rsidR="007E7472" w:rsidRDefault="00EC1269">
                    <w:pPr>
                      <w:jc w:val="right"/>
                    </w:pPr>
                    <w:r>
                      <w:t>5,632,693</w:t>
                    </w:r>
                  </w:p>
                </w:tc>
              </w:tr>
              <w:tr w:rsidR="007E7472" w14:paraId="0E707C8B" w14:textId="77777777">
                <w:tc>
                  <w:tcPr>
                    <w:tcW w:w="1695" w:type="pct"/>
                    <w:tcBorders>
                      <w:top w:val="outset" w:sz="4" w:space="0" w:color="auto"/>
                      <w:left w:val="outset" w:sz="4" w:space="0" w:color="auto"/>
                      <w:bottom w:val="outset" w:sz="4" w:space="0" w:color="auto"/>
                      <w:right w:val="outset" w:sz="4" w:space="0" w:color="auto"/>
                    </w:tcBorders>
                  </w:tcPr>
                  <w:p w14:paraId="68852365" w14:textId="77777777" w:rsidR="007E7472" w:rsidRDefault="00EC1269">
                    <w:pPr>
                      <w:ind w:firstLineChars="200" w:firstLine="420"/>
                      <w:rPr>
                        <w:color w:val="000000"/>
                      </w:rPr>
                    </w:pPr>
                    <w:r>
                      <w:rPr>
                        <w:rFonts w:hint="eastAsia"/>
                      </w:rPr>
                      <w:t>筹资活动现金流出小计</w:t>
                    </w:r>
                  </w:p>
                </w:tc>
                <w:tc>
                  <w:tcPr>
                    <w:tcW w:w="995" w:type="pct"/>
                    <w:tcBorders>
                      <w:top w:val="outset" w:sz="4" w:space="0" w:color="auto"/>
                      <w:left w:val="outset" w:sz="4" w:space="0" w:color="auto"/>
                      <w:bottom w:val="outset" w:sz="4" w:space="0" w:color="auto"/>
                      <w:right w:val="outset" w:sz="4" w:space="0" w:color="auto"/>
                    </w:tcBorders>
                  </w:tcPr>
                  <w:p w14:paraId="56ABD0D4" w14:textId="77777777" w:rsidR="007E7472" w:rsidRDefault="00C8327E"/>
                </w:tc>
                <w:tc>
                  <w:tcPr>
                    <w:tcW w:w="1158" w:type="pct"/>
                    <w:tcBorders>
                      <w:top w:val="outset" w:sz="4" w:space="0" w:color="auto"/>
                      <w:left w:val="outset" w:sz="4" w:space="0" w:color="auto"/>
                      <w:bottom w:val="outset" w:sz="4" w:space="0" w:color="auto"/>
                      <w:right w:val="outset" w:sz="4" w:space="0" w:color="auto"/>
                    </w:tcBorders>
                    <w:vAlign w:val="center"/>
                  </w:tcPr>
                  <w:p w14:paraId="18772784" w14:textId="77777777" w:rsidR="007E7472" w:rsidRDefault="00EC1269">
                    <w:pPr>
                      <w:jc w:val="right"/>
                    </w:pPr>
                    <w:r>
                      <w:t>24,218,574</w:t>
                    </w:r>
                  </w:p>
                </w:tc>
                <w:tc>
                  <w:tcPr>
                    <w:tcW w:w="1152" w:type="pct"/>
                    <w:tcBorders>
                      <w:top w:val="outset" w:sz="4" w:space="0" w:color="auto"/>
                      <w:left w:val="outset" w:sz="4" w:space="0" w:color="auto"/>
                      <w:bottom w:val="outset" w:sz="4" w:space="0" w:color="auto"/>
                      <w:right w:val="outset" w:sz="4" w:space="0" w:color="auto"/>
                    </w:tcBorders>
                    <w:vAlign w:val="center"/>
                  </w:tcPr>
                  <w:p w14:paraId="2E33A5E8" w14:textId="77777777" w:rsidR="007E7472" w:rsidRDefault="00EC1269">
                    <w:pPr>
                      <w:jc w:val="right"/>
                    </w:pPr>
                    <w:r>
                      <w:t>21,328,114</w:t>
                    </w:r>
                  </w:p>
                </w:tc>
              </w:tr>
              <w:tr w:rsidR="007E7472" w14:paraId="67AC67E8" w14:textId="77777777">
                <w:tc>
                  <w:tcPr>
                    <w:tcW w:w="1695" w:type="pct"/>
                    <w:tcBorders>
                      <w:top w:val="outset" w:sz="4" w:space="0" w:color="auto"/>
                      <w:left w:val="outset" w:sz="4" w:space="0" w:color="auto"/>
                      <w:bottom w:val="outset" w:sz="4" w:space="0" w:color="auto"/>
                      <w:right w:val="outset" w:sz="4" w:space="0" w:color="auto"/>
                    </w:tcBorders>
                  </w:tcPr>
                  <w:p w14:paraId="0C668A03" w14:textId="77777777" w:rsidR="007E7472" w:rsidRDefault="00EC1269">
                    <w:pPr>
                      <w:ind w:firstLineChars="300" w:firstLine="630"/>
                      <w:rPr>
                        <w:color w:val="000000"/>
                      </w:rPr>
                    </w:pPr>
                    <w:r>
                      <w:rPr>
                        <w:rFonts w:hint="eastAsia"/>
                      </w:rPr>
                      <w:t>筹资活动产生的现金流量净额</w:t>
                    </w:r>
                  </w:p>
                </w:tc>
                <w:tc>
                  <w:tcPr>
                    <w:tcW w:w="995" w:type="pct"/>
                    <w:tcBorders>
                      <w:top w:val="outset" w:sz="4" w:space="0" w:color="auto"/>
                      <w:left w:val="outset" w:sz="4" w:space="0" w:color="auto"/>
                      <w:bottom w:val="outset" w:sz="4" w:space="0" w:color="auto"/>
                      <w:right w:val="outset" w:sz="4" w:space="0" w:color="auto"/>
                    </w:tcBorders>
                  </w:tcPr>
                  <w:p w14:paraId="54C93A54" w14:textId="77777777" w:rsidR="007E7472" w:rsidRDefault="00C8327E"/>
                </w:tc>
                <w:tc>
                  <w:tcPr>
                    <w:tcW w:w="1158" w:type="pct"/>
                    <w:tcBorders>
                      <w:top w:val="outset" w:sz="4" w:space="0" w:color="auto"/>
                      <w:left w:val="outset" w:sz="4" w:space="0" w:color="auto"/>
                      <w:bottom w:val="outset" w:sz="4" w:space="0" w:color="auto"/>
                      <w:right w:val="outset" w:sz="4" w:space="0" w:color="auto"/>
                    </w:tcBorders>
                    <w:vAlign w:val="center"/>
                  </w:tcPr>
                  <w:p w14:paraId="46CF8CEB" w14:textId="77777777" w:rsidR="007E7472" w:rsidRDefault="00EC1269">
                    <w:pPr>
                      <w:jc w:val="right"/>
                    </w:pPr>
                    <w:r>
                      <w:t>434,619</w:t>
                    </w:r>
                  </w:p>
                </w:tc>
                <w:tc>
                  <w:tcPr>
                    <w:tcW w:w="1152" w:type="pct"/>
                    <w:tcBorders>
                      <w:top w:val="outset" w:sz="4" w:space="0" w:color="auto"/>
                      <w:left w:val="outset" w:sz="4" w:space="0" w:color="auto"/>
                      <w:bottom w:val="outset" w:sz="4" w:space="0" w:color="auto"/>
                      <w:right w:val="outset" w:sz="4" w:space="0" w:color="auto"/>
                    </w:tcBorders>
                    <w:vAlign w:val="center"/>
                  </w:tcPr>
                  <w:p w14:paraId="235DFC7F" w14:textId="77777777" w:rsidR="007E7472" w:rsidRDefault="00EC1269">
                    <w:pPr>
                      <w:jc w:val="right"/>
                    </w:pPr>
                    <w:r>
                      <w:t>243,946</w:t>
                    </w:r>
                  </w:p>
                </w:tc>
              </w:tr>
              <w:tr w:rsidR="007E7472" w14:paraId="4A523207" w14:textId="77777777">
                <w:tc>
                  <w:tcPr>
                    <w:tcW w:w="1695" w:type="pct"/>
                    <w:tcBorders>
                      <w:top w:val="outset" w:sz="4" w:space="0" w:color="auto"/>
                      <w:left w:val="outset" w:sz="4" w:space="0" w:color="auto"/>
                      <w:bottom w:val="outset" w:sz="4" w:space="0" w:color="auto"/>
                      <w:right w:val="outset" w:sz="4" w:space="0" w:color="auto"/>
                    </w:tcBorders>
                  </w:tcPr>
                  <w:p w14:paraId="5C1B0BF7" w14:textId="77777777" w:rsidR="007E7472" w:rsidRDefault="00EC1269">
                    <w:pPr>
                      <w:rPr>
                        <w:color w:val="000000"/>
                      </w:rPr>
                    </w:pPr>
                    <w:r>
                      <w:rPr>
                        <w:rFonts w:hint="eastAsia"/>
                        <w:b/>
                      </w:rPr>
                      <w:t>四、汇率变动对现金及现金等价物的影响</w:t>
                    </w:r>
                  </w:p>
                </w:tc>
                <w:tc>
                  <w:tcPr>
                    <w:tcW w:w="995" w:type="pct"/>
                    <w:tcBorders>
                      <w:top w:val="outset" w:sz="4" w:space="0" w:color="auto"/>
                      <w:left w:val="outset" w:sz="4" w:space="0" w:color="auto"/>
                      <w:bottom w:val="outset" w:sz="4" w:space="0" w:color="auto"/>
                      <w:right w:val="outset" w:sz="4" w:space="0" w:color="auto"/>
                    </w:tcBorders>
                  </w:tcPr>
                  <w:p w14:paraId="14A6F706" w14:textId="77777777" w:rsidR="007E7472" w:rsidRDefault="00C8327E"/>
                </w:tc>
                <w:tc>
                  <w:tcPr>
                    <w:tcW w:w="1158" w:type="pct"/>
                    <w:tcBorders>
                      <w:top w:val="outset" w:sz="4" w:space="0" w:color="auto"/>
                      <w:left w:val="outset" w:sz="4" w:space="0" w:color="auto"/>
                      <w:bottom w:val="outset" w:sz="4" w:space="0" w:color="auto"/>
                      <w:right w:val="outset" w:sz="4" w:space="0" w:color="auto"/>
                    </w:tcBorders>
                    <w:vAlign w:val="center"/>
                  </w:tcPr>
                  <w:p w14:paraId="645F510F" w14:textId="77777777" w:rsidR="007E7472" w:rsidRDefault="00EC1269">
                    <w:pPr>
                      <w:jc w:val="right"/>
                    </w:pPr>
                    <w:r>
                      <w:t>119,007</w:t>
                    </w:r>
                  </w:p>
                </w:tc>
                <w:tc>
                  <w:tcPr>
                    <w:tcW w:w="1152" w:type="pct"/>
                    <w:tcBorders>
                      <w:top w:val="outset" w:sz="4" w:space="0" w:color="auto"/>
                      <w:left w:val="outset" w:sz="4" w:space="0" w:color="auto"/>
                      <w:bottom w:val="outset" w:sz="4" w:space="0" w:color="auto"/>
                      <w:right w:val="outset" w:sz="4" w:space="0" w:color="auto"/>
                    </w:tcBorders>
                    <w:vAlign w:val="center"/>
                  </w:tcPr>
                  <w:p w14:paraId="37B588E9" w14:textId="77777777" w:rsidR="007E7472" w:rsidRDefault="00EC1269">
                    <w:pPr>
                      <w:jc w:val="right"/>
                    </w:pPr>
                    <w:r>
                      <w:t>12,740</w:t>
                    </w:r>
                  </w:p>
                </w:tc>
              </w:tr>
              <w:tr w:rsidR="007E7472" w14:paraId="29F18AF4" w14:textId="77777777">
                <w:tc>
                  <w:tcPr>
                    <w:tcW w:w="1695" w:type="pct"/>
                    <w:tcBorders>
                      <w:top w:val="outset" w:sz="4" w:space="0" w:color="auto"/>
                      <w:left w:val="outset" w:sz="4" w:space="0" w:color="auto"/>
                      <w:bottom w:val="outset" w:sz="4" w:space="0" w:color="auto"/>
                      <w:right w:val="outset" w:sz="4" w:space="0" w:color="auto"/>
                    </w:tcBorders>
                  </w:tcPr>
                  <w:p w14:paraId="4E561926" w14:textId="77777777" w:rsidR="007E7472" w:rsidRDefault="00EC1269">
                    <w:pPr>
                      <w:rPr>
                        <w:color w:val="000000"/>
                      </w:rPr>
                    </w:pPr>
                    <w:r>
                      <w:rPr>
                        <w:rFonts w:hint="eastAsia"/>
                        <w:b/>
                      </w:rPr>
                      <w:t>五、现金及现金等价物净增加额</w:t>
                    </w:r>
                  </w:p>
                </w:tc>
                <w:tc>
                  <w:tcPr>
                    <w:tcW w:w="995" w:type="pct"/>
                    <w:tcBorders>
                      <w:top w:val="outset" w:sz="4" w:space="0" w:color="auto"/>
                      <w:left w:val="outset" w:sz="4" w:space="0" w:color="auto"/>
                      <w:bottom w:val="outset" w:sz="4" w:space="0" w:color="auto"/>
                      <w:right w:val="outset" w:sz="4" w:space="0" w:color="auto"/>
                    </w:tcBorders>
                  </w:tcPr>
                  <w:p w14:paraId="580FA224" w14:textId="77777777" w:rsidR="007E7472" w:rsidRDefault="00C8327E"/>
                </w:tc>
                <w:tc>
                  <w:tcPr>
                    <w:tcW w:w="1158" w:type="pct"/>
                    <w:tcBorders>
                      <w:top w:val="outset" w:sz="4" w:space="0" w:color="auto"/>
                      <w:left w:val="outset" w:sz="4" w:space="0" w:color="auto"/>
                      <w:bottom w:val="outset" w:sz="4" w:space="0" w:color="auto"/>
                      <w:right w:val="outset" w:sz="4" w:space="0" w:color="auto"/>
                    </w:tcBorders>
                    <w:vAlign w:val="center"/>
                  </w:tcPr>
                  <w:p w14:paraId="6ACC2906" w14:textId="77777777" w:rsidR="007E7472" w:rsidRDefault="00EC1269">
                    <w:pPr>
                      <w:jc w:val="right"/>
                    </w:pPr>
                    <w:r>
                      <w:t>7,455,397</w:t>
                    </w:r>
                  </w:p>
                </w:tc>
                <w:tc>
                  <w:tcPr>
                    <w:tcW w:w="1152" w:type="pct"/>
                    <w:tcBorders>
                      <w:top w:val="outset" w:sz="4" w:space="0" w:color="auto"/>
                      <w:left w:val="outset" w:sz="4" w:space="0" w:color="auto"/>
                      <w:bottom w:val="outset" w:sz="4" w:space="0" w:color="auto"/>
                      <w:right w:val="outset" w:sz="4" w:space="0" w:color="auto"/>
                    </w:tcBorders>
                    <w:vAlign w:val="center"/>
                  </w:tcPr>
                  <w:p w14:paraId="354EC53D" w14:textId="77777777" w:rsidR="007E7472" w:rsidRDefault="00EC1269">
                    <w:pPr>
                      <w:jc w:val="right"/>
                    </w:pPr>
                    <w:r>
                      <w:t>11,871,266</w:t>
                    </w:r>
                  </w:p>
                </w:tc>
              </w:tr>
              <w:tr w:rsidR="007E7472" w14:paraId="036F3B10" w14:textId="77777777">
                <w:tc>
                  <w:tcPr>
                    <w:tcW w:w="1695" w:type="pct"/>
                    <w:tcBorders>
                      <w:top w:val="outset" w:sz="4" w:space="0" w:color="auto"/>
                      <w:left w:val="outset" w:sz="4" w:space="0" w:color="auto"/>
                      <w:bottom w:val="outset" w:sz="4" w:space="0" w:color="auto"/>
                      <w:right w:val="outset" w:sz="4" w:space="0" w:color="auto"/>
                    </w:tcBorders>
                  </w:tcPr>
                  <w:p w14:paraId="326C8BA8" w14:textId="77777777" w:rsidR="007E7472" w:rsidRDefault="00EC1269">
                    <w:pPr>
                      <w:ind w:firstLineChars="100" w:firstLine="210"/>
                      <w:rPr>
                        <w:color w:val="000000"/>
                      </w:rPr>
                    </w:pPr>
                    <w:r>
                      <w:rPr>
                        <w:rFonts w:hint="eastAsia"/>
                      </w:rPr>
                      <w:t>加：期初现金及现金等价物余额</w:t>
                    </w:r>
                  </w:p>
                </w:tc>
                <w:tc>
                  <w:tcPr>
                    <w:tcW w:w="995" w:type="pct"/>
                    <w:tcBorders>
                      <w:top w:val="outset" w:sz="4" w:space="0" w:color="auto"/>
                      <w:left w:val="outset" w:sz="4" w:space="0" w:color="auto"/>
                      <w:bottom w:val="outset" w:sz="4" w:space="0" w:color="auto"/>
                      <w:right w:val="outset" w:sz="4" w:space="0" w:color="auto"/>
                    </w:tcBorders>
                  </w:tcPr>
                  <w:p w14:paraId="09367DC8" w14:textId="77777777" w:rsidR="007E7472" w:rsidRDefault="00C8327E"/>
                </w:tc>
                <w:tc>
                  <w:tcPr>
                    <w:tcW w:w="1158" w:type="pct"/>
                    <w:tcBorders>
                      <w:top w:val="outset" w:sz="4" w:space="0" w:color="auto"/>
                      <w:left w:val="outset" w:sz="4" w:space="0" w:color="auto"/>
                      <w:bottom w:val="outset" w:sz="4" w:space="0" w:color="auto"/>
                      <w:right w:val="outset" w:sz="4" w:space="0" w:color="auto"/>
                    </w:tcBorders>
                    <w:vAlign w:val="center"/>
                  </w:tcPr>
                  <w:p w14:paraId="0A841BA8" w14:textId="77777777" w:rsidR="007E7472" w:rsidRDefault="00EC1269">
                    <w:pPr>
                      <w:jc w:val="right"/>
                    </w:pPr>
                    <w:r>
                      <w:t>13,801,365</w:t>
                    </w:r>
                  </w:p>
                </w:tc>
                <w:tc>
                  <w:tcPr>
                    <w:tcW w:w="1152" w:type="pct"/>
                    <w:tcBorders>
                      <w:top w:val="outset" w:sz="4" w:space="0" w:color="auto"/>
                      <w:left w:val="outset" w:sz="4" w:space="0" w:color="auto"/>
                      <w:bottom w:val="outset" w:sz="4" w:space="0" w:color="auto"/>
                      <w:right w:val="outset" w:sz="4" w:space="0" w:color="auto"/>
                    </w:tcBorders>
                    <w:vAlign w:val="center"/>
                  </w:tcPr>
                  <w:p w14:paraId="09259FC7" w14:textId="77777777" w:rsidR="007E7472" w:rsidRDefault="00EC1269">
                    <w:pPr>
                      <w:jc w:val="right"/>
                    </w:pPr>
                    <w:r>
                      <w:t>14,249,813</w:t>
                    </w:r>
                  </w:p>
                </w:tc>
              </w:tr>
              <w:tr w:rsidR="007E7472" w14:paraId="7E9F3701" w14:textId="77777777">
                <w:tc>
                  <w:tcPr>
                    <w:tcW w:w="1695" w:type="pct"/>
                    <w:tcBorders>
                      <w:top w:val="outset" w:sz="4" w:space="0" w:color="auto"/>
                      <w:left w:val="outset" w:sz="4" w:space="0" w:color="auto"/>
                      <w:bottom w:val="outset" w:sz="4" w:space="0" w:color="auto"/>
                      <w:right w:val="outset" w:sz="4" w:space="0" w:color="auto"/>
                    </w:tcBorders>
                  </w:tcPr>
                  <w:p w14:paraId="5D3976E7" w14:textId="77777777" w:rsidR="007E7472" w:rsidRDefault="00EC1269">
                    <w:pPr>
                      <w:rPr>
                        <w:color w:val="000000"/>
                      </w:rPr>
                    </w:pPr>
                    <w:r>
                      <w:rPr>
                        <w:rFonts w:hint="eastAsia"/>
                        <w:b/>
                      </w:rPr>
                      <w:t>六、期末现金及现金等价物余额</w:t>
                    </w:r>
                  </w:p>
                </w:tc>
                <w:tc>
                  <w:tcPr>
                    <w:tcW w:w="995" w:type="pct"/>
                    <w:tcBorders>
                      <w:top w:val="outset" w:sz="4" w:space="0" w:color="auto"/>
                      <w:left w:val="outset" w:sz="4" w:space="0" w:color="auto"/>
                      <w:bottom w:val="outset" w:sz="4" w:space="0" w:color="auto"/>
                      <w:right w:val="outset" w:sz="4" w:space="0" w:color="auto"/>
                    </w:tcBorders>
                  </w:tcPr>
                  <w:p w14:paraId="00936E90" w14:textId="77777777" w:rsidR="007E7472" w:rsidRDefault="00C8327E"/>
                </w:tc>
                <w:tc>
                  <w:tcPr>
                    <w:tcW w:w="1158" w:type="pct"/>
                    <w:tcBorders>
                      <w:top w:val="outset" w:sz="4" w:space="0" w:color="auto"/>
                      <w:left w:val="outset" w:sz="4" w:space="0" w:color="auto"/>
                      <w:bottom w:val="outset" w:sz="4" w:space="0" w:color="auto"/>
                      <w:right w:val="outset" w:sz="4" w:space="0" w:color="auto"/>
                    </w:tcBorders>
                    <w:vAlign w:val="center"/>
                  </w:tcPr>
                  <w:p w14:paraId="33053A58" w14:textId="77777777" w:rsidR="007E7472" w:rsidRDefault="00EC1269">
                    <w:pPr>
                      <w:jc w:val="right"/>
                    </w:pPr>
                    <w:r>
                      <w:t>21,256,762</w:t>
                    </w:r>
                  </w:p>
                </w:tc>
                <w:tc>
                  <w:tcPr>
                    <w:tcW w:w="1152" w:type="pct"/>
                    <w:tcBorders>
                      <w:top w:val="outset" w:sz="4" w:space="0" w:color="auto"/>
                      <w:left w:val="outset" w:sz="4" w:space="0" w:color="auto"/>
                      <w:bottom w:val="outset" w:sz="4" w:space="0" w:color="auto"/>
                      <w:right w:val="outset" w:sz="4" w:space="0" w:color="auto"/>
                    </w:tcBorders>
                    <w:vAlign w:val="center"/>
                  </w:tcPr>
                  <w:p w14:paraId="6A9C0601" w14:textId="77777777" w:rsidR="007E7472" w:rsidRDefault="00EC1269">
                    <w:pPr>
                      <w:jc w:val="right"/>
                    </w:pPr>
                    <w:r>
                      <w:t>26,121,079</w:t>
                    </w:r>
                  </w:p>
                </w:tc>
              </w:tr>
            </w:tbl>
            <w:p w14:paraId="3D0E1368" w14:textId="19001750" w:rsidR="007E7472" w:rsidRDefault="00EC1269">
              <w:pPr>
                <w:snapToGrid w:val="0"/>
                <w:spacing w:line="240" w:lineRule="atLeast"/>
                <w:ind w:rightChars="-73" w:right="-153"/>
                <w:rPr>
                  <w:b/>
                  <w:bCs/>
                  <w:color w:val="FF0000"/>
                </w:rPr>
              </w:pPr>
              <w:r>
                <w:t>公司负责人</w:t>
              </w:r>
              <w:r>
                <w:rPr>
                  <w:rFonts w:hint="eastAsia"/>
                </w:rPr>
                <w:t>：</w:t>
              </w:r>
              <w:sdt>
                <w:sdtPr>
                  <w:rPr>
                    <w:rFonts w:hint="eastAsia"/>
                  </w:rPr>
                  <w:alias w:val="公司负责人"/>
                  <w:tag w:val="_GBC_b872f4b10a12453987b2d73dfe2a5ff9"/>
                  <w:id w:val="-714196134"/>
                  <w:placeholder>
                    <w:docPart w:val="GBC22222222222222222222222222222"/>
                  </w:placeholder>
                  <w:dataBinding w:prefixMappings="xmlns:clcid-mr='clcid-mr'" w:xpath="/*/clcid-mr:GongSiFuZeRenXingMing[not(@periodRef)]" w:storeItemID="{89EBAB94-44A0-46A2-B712-30D997D04A6D}"/>
                  <w:text/>
                </w:sdtPr>
                <w:sdtEndPr/>
                <w:sdtContent>
                  <w:r w:rsidR="00B47FFE">
                    <w:rPr>
                      <w:rFonts w:hint="eastAsia"/>
                    </w:rPr>
                    <w:t>李伟</w:t>
                  </w:r>
                </w:sdtContent>
              </w:sdt>
              <w:r>
                <w:t>主管会计工作负责人</w:t>
              </w:r>
              <w:r>
                <w:rPr>
                  <w:rFonts w:hint="eastAsia"/>
                </w:rPr>
                <w:t>：</w:t>
              </w:r>
              <w:sdt>
                <w:sdtPr>
                  <w:rPr>
                    <w:rFonts w:hint="eastAsia"/>
                  </w:rPr>
                  <w:alias w:val="主管会计工作负责人姓名"/>
                  <w:tag w:val="_GBC_29443dd8858043c68f8217b05d1e3346"/>
                  <w:id w:val="851373601"/>
                  <w:placeholder>
                    <w:docPart w:val="GBC22222222222222222222222222222"/>
                  </w:placeholder>
                  <w:dataBinding w:prefixMappings="xmlns:clcid-mr='clcid-mr'" w:xpath="/*/clcid-mr:ZhuGuanKuaiJiGongZuoFuZeRenXingMing[not(@periodRef)]" w:storeItemID="{89EBAB94-44A0-46A2-B712-30D997D04A6D}"/>
                  <w:text/>
                </w:sdtPr>
                <w:sdtEndPr/>
                <w:sdtContent>
                  <w:r w:rsidR="00B47FFE">
                    <w:rPr>
                      <w:rFonts w:hint="eastAsia"/>
                    </w:rPr>
                    <w:t>赵青春</w:t>
                  </w:r>
                </w:sdtContent>
              </w:sdt>
              <w:r>
                <w:t>会计机构负责人</w:t>
              </w:r>
              <w:r>
                <w:rPr>
                  <w:rFonts w:hint="eastAsia"/>
                </w:rPr>
                <w:t>：</w:t>
              </w:r>
              <w:sdt>
                <w:sdtPr>
                  <w:rPr>
                    <w:rFonts w:hint="eastAsia"/>
                  </w:rPr>
                  <w:alias w:val="会计机构负责人姓名"/>
                  <w:tag w:val="_GBC_952065710c0f41709539d877935c1903"/>
                  <w:id w:val="-894201065"/>
                  <w:placeholder>
                    <w:docPart w:val="GBC22222222222222222222222222222"/>
                  </w:placeholder>
                  <w:dataBinding w:prefixMappings="xmlns:clcid-mr='clcid-mr'" w:xpath="/*/clcid-mr:KuaiJiJiGouFuZeRenXingMing[not(@periodRef)]" w:storeItemID="{89EBAB94-44A0-46A2-B712-30D997D04A6D}"/>
                  <w:text/>
                </w:sdtPr>
                <w:sdtEndPr/>
                <w:sdtContent>
                  <w:r w:rsidR="006F3F93">
                    <w:rPr>
                      <w:rFonts w:hint="eastAsia"/>
                    </w:rPr>
                    <w:t>赵治国</w:t>
                  </w:r>
                </w:sdtContent>
              </w:sdt>
            </w:p>
          </w:sdtContent>
        </w:sdt>
        <w:p w14:paraId="600B41F0" w14:textId="77777777" w:rsidR="007E7472" w:rsidRDefault="00C8327E">
          <w:pPr>
            <w:rPr>
              <w:b/>
              <w:bCs/>
              <w:color w:val="FF0000"/>
            </w:rPr>
          </w:pPr>
        </w:p>
      </w:sdtContent>
    </w:sdt>
    <w:bookmarkEnd w:id="137"/>
    <w:p w14:paraId="2AED8721" w14:textId="77777777" w:rsidR="007E7472" w:rsidRDefault="00C8327E">
      <w:pPr>
        <w:sectPr w:rsidR="007E7472">
          <w:pgSz w:w="11906" w:h="16838"/>
          <w:pgMar w:top="1525" w:right="1276" w:bottom="1440" w:left="1797" w:header="851" w:footer="992" w:gutter="0"/>
          <w:cols w:space="425"/>
          <w:docGrid w:linePitch="312"/>
        </w:sectPr>
      </w:pPr>
    </w:p>
    <w:bookmarkStart w:id="138" w:name="_Hlk10211858" w:displacedByCustomXml="next"/>
    <w:sdt>
      <w:sdtPr>
        <w:rPr>
          <w:rFonts w:ascii="宋体" w:hAnsi="宋体" w:cs="宋体"/>
          <w:b w:val="0"/>
          <w:bCs w:val="0"/>
          <w:kern w:val="0"/>
          <w:szCs w:val="24"/>
        </w:rPr>
        <w:alias w:val="选项模块:需要编制合并报表"/>
        <w:tag w:val="_GBC_3b1dcbfa33024cc0a5c2f3d693817342"/>
        <w:id w:val="-432591487"/>
        <w:placeholder>
          <w:docPart w:val="GBC22222222222222222222222222222"/>
        </w:placeholder>
      </w:sdtPr>
      <w:sdtEndPr>
        <w:rPr>
          <w:color w:val="FF0000"/>
          <w:szCs w:val="21"/>
        </w:rPr>
      </w:sdtEndPr>
      <w:sdtContent>
        <w:sdt>
          <w:sdtPr>
            <w:rPr>
              <w:rFonts w:ascii="宋体" w:hAnsi="宋体" w:cs="宋体"/>
              <w:b w:val="0"/>
              <w:bCs w:val="0"/>
              <w:kern w:val="0"/>
              <w:szCs w:val="24"/>
            </w:rPr>
            <w:tag w:val="_GBC_3eeab460b9b64d53b91f5e0ddcd3030f"/>
            <w:id w:val="-551161060"/>
            <w:lock w:val="sdtLocked"/>
          </w:sdtPr>
          <w:sdtEndPr>
            <w:rPr>
              <w:rFonts w:hint="eastAsia"/>
              <w:szCs w:val="21"/>
            </w:rPr>
          </w:sdtEndPr>
          <w:sdtContent>
            <w:p w14:paraId="7565C8E3" w14:textId="77777777" w:rsidR="007E7472" w:rsidRDefault="00EC1269" w:rsidP="007E7472">
              <w:pPr>
                <w:pStyle w:val="3"/>
                <w:jc w:val="center"/>
              </w:pPr>
              <w:r>
                <w:t>合并</w:t>
              </w:r>
              <w:r>
                <w:rPr>
                  <w:rFonts w:hint="eastAsia"/>
                </w:rPr>
                <w:t>所有者权益变动表</w:t>
              </w:r>
            </w:p>
            <w:p w14:paraId="5CD8ACBE" w14:textId="77777777" w:rsidR="007E7472" w:rsidRDefault="00EC1269">
              <w:pPr>
                <w:tabs>
                  <w:tab w:val="left" w:pos="10080"/>
                </w:tabs>
                <w:snapToGrid w:val="0"/>
                <w:spacing w:line="240" w:lineRule="atLeast"/>
                <w:ind w:rightChars="12" w:right="25"/>
                <w:jc w:val="center"/>
              </w:pPr>
              <w:r>
                <w:t>2023年</w:t>
              </w:r>
              <w:r>
                <w:rPr>
                  <w:rFonts w:hint="eastAsia"/>
                </w:rPr>
                <w:t>1—6月</w:t>
              </w:r>
            </w:p>
            <w:p w14:paraId="7F67CDA9" w14:textId="779F5BFE" w:rsidR="007E7472" w:rsidRDefault="00EC1269">
              <w:pPr>
                <w:tabs>
                  <w:tab w:val="left" w:pos="10080"/>
                </w:tabs>
                <w:snapToGrid w:val="0"/>
                <w:spacing w:line="240" w:lineRule="atLeast"/>
                <w:jc w:val="right"/>
              </w:pPr>
              <w:r>
                <w:t>单位：</w:t>
              </w:r>
              <w:sdt>
                <w:sdtPr>
                  <w:alias w:val="单位：合并股东权益调节表"/>
                  <w:tag w:val="_GBC_57faea4e453e49ad93821b7dd6ce8bc4"/>
                  <w:id w:val="1438169667"/>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6F3F93">
                    <w:t>千元</w:t>
                  </w:r>
                </w:sdtContent>
              </w:sdt>
              <w:r>
                <w:t>币种：</w:t>
              </w:r>
              <w:sdt>
                <w:sdtPr>
                  <w:alias w:val="币种：合并股东权益调节表"/>
                  <w:tag w:val="_GBC_cef77704267643d794145c73763360e5"/>
                  <w:id w:val="14695199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846"/>
                <w:gridCol w:w="531"/>
                <w:gridCol w:w="916"/>
                <w:gridCol w:w="407"/>
                <w:gridCol w:w="992"/>
                <w:gridCol w:w="710"/>
                <w:gridCol w:w="987"/>
                <w:gridCol w:w="846"/>
                <w:gridCol w:w="707"/>
                <w:gridCol w:w="607"/>
                <w:gridCol w:w="1103"/>
                <w:gridCol w:w="568"/>
                <w:gridCol w:w="1051"/>
                <w:gridCol w:w="916"/>
                <w:gridCol w:w="986"/>
              </w:tblGrid>
              <w:tr w:rsidR="007E7472" w14:paraId="1438AA6B" w14:textId="77777777">
                <w:trPr>
                  <w:cantSplit/>
                </w:trPr>
                <w:tc>
                  <w:tcPr>
                    <w:tcW w:w="610" w:type="pct"/>
                    <w:vMerge w:val="restart"/>
                    <w:vAlign w:val="center"/>
                  </w:tcPr>
                  <w:sdt>
                    <w:sdtPr>
                      <w:rPr>
                        <w:rFonts w:hint="eastAsia"/>
                        <w:sz w:val="18"/>
                        <w:szCs w:val="18"/>
                      </w:rPr>
                      <w:tag w:val="_PLD_5bd68ed5796041328d1a003c1362ceaf"/>
                      <w:id w:val="1915825047"/>
                      <w:lock w:val="sdtLocked"/>
                    </w:sdtPr>
                    <w:sdtEndPr/>
                    <w:sdtContent>
                      <w:p w14:paraId="4C49C807" w14:textId="77777777" w:rsidR="007E7472" w:rsidRDefault="00EC1269">
                        <w:pPr>
                          <w:snapToGrid w:val="0"/>
                          <w:spacing w:line="240" w:lineRule="atLeast"/>
                          <w:jc w:val="center"/>
                          <w:rPr>
                            <w:sz w:val="18"/>
                            <w:szCs w:val="18"/>
                          </w:rPr>
                        </w:pPr>
                        <w:r>
                          <w:rPr>
                            <w:rFonts w:hint="eastAsia"/>
                            <w:sz w:val="18"/>
                            <w:szCs w:val="18"/>
                          </w:rPr>
                          <w:t>项目</w:t>
                        </w:r>
                      </w:p>
                    </w:sdtContent>
                  </w:sdt>
                </w:tc>
                <w:tc>
                  <w:tcPr>
                    <w:tcW w:w="4390" w:type="pct"/>
                    <w:gridSpan w:val="15"/>
                    <w:vAlign w:val="center"/>
                  </w:tcPr>
                  <w:p w14:paraId="458B834B" w14:textId="77777777" w:rsidR="007E7472" w:rsidRDefault="00C8327E">
                    <w:pPr>
                      <w:snapToGrid w:val="0"/>
                      <w:spacing w:line="240" w:lineRule="atLeast"/>
                      <w:ind w:rightChars="-759" w:right="-1594"/>
                      <w:jc w:val="center"/>
                    </w:pPr>
                    <w:sdt>
                      <w:sdtPr>
                        <w:tag w:val="_PLD_70c71cd0427542b1b96a0fa943173d3d"/>
                        <w:id w:val="-1747565892"/>
                        <w:lock w:val="sdtLocked"/>
                      </w:sdtPr>
                      <w:sdtEndPr/>
                      <w:sdtContent>
                        <w:r w:rsidR="00EC1269">
                          <w:rPr>
                            <w:rFonts w:hint="eastAsia"/>
                            <w:sz w:val="18"/>
                            <w:szCs w:val="18"/>
                          </w:rPr>
                          <w:t>2023年半年度</w:t>
                        </w:r>
                      </w:sdtContent>
                    </w:sdt>
                  </w:p>
                </w:tc>
              </w:tr>
              <w:tr w:rsidR="007E7472" w14:paraId="430E78F5" w14:textId="77777777">
                <w:trPr>
                  <w:cantSplit/>
                  <w:trHeight w:val="540"/>
                </w:trPr>
                <w:tc>
                  <w:tcPr>
                    <w:tcW w:w="610" w:type="pct"/>
                    <w:vMerge/>
                  </w:tcPr>
                  <w:p w14:paraId="5CEE7A00" w14:textId="77777777" w:rsidR="007E7472" w:rsidRDefault="00C8327E">
                    <w:pPr>
                      <w:snapToGrid w:val="0"/>
                      <w:spacing w:line="240" w:lineRule="atLeast"/>
                      <w:ind w:rightChars="-759" w:right="-1594"/>
                      <w:rPr>
                        <w:sz w:val="18"/>
                        <w:szCs w:val="18"/>
                      </w:rPr>
                    </w:pPr>
                  </w:p>
                </w:tc>
                <w:sdt>
                  <w:sdtPr>
                    <w:tag w:val="_PLD_e146ec74496c4c03a714dcef40faa972"/>
                    <w:id w:val="-2111877375"/>
                    <w:lock w:val="sdtLocked"/>
                  </w:sdtPr>
                  <w:sdtEndPr/>
                  <w:sdtContent>
                    <w:tc>
                      <w:tcPr>
                        <w:tcW w:w="3704" w:type="pct"/>
                        <w:gridSpan w:val="13"/>
                        <w:vAlign w:val="center"/>
                      </w:tcPr>
                      <w:p w14:paraId="43CB3581" w14:textId="77777777" w:rsidR="007E7472" w:rsidRDefault="00EC1269">
                        <w:pPr>
                          <w:jc w:val="center"/>
                        </w:pPr>
                        <w:r>
                          <w:rPr>
                            <w:sz w:val="18"/>
                            <w:szCs w:val="18"/>
                          </w:rPr>
                          <w:t>归属于母公司所有者权益</w:t>
                        </w:r>
                      </w:p>
                    </w:tc>
                  </w:sdtContent>
                </w:sdt>
                <w:sdt>
                  <w:sdtPr>
                    <w:tag w:val="_PLD_b1ca85c50c1341e59b4b412e92d87f2f"/>
                    <w:id w:val="868031368"/>
                    <w:lock w:val="sdtLocked"/>
                  </w:sdtPr>
                  <w:sdtEndPr/>
                  <w:sdtContent>
                    <w:tc>
                      <w:tcPr>
                        <w:tcW w:w="330" w:type="pct"/>
                        <w:vMerge w:val="restart"/>
                        <w:vAlign w:val="center"/>
                      </w:tcPr>
                      <w:p w14:paraId="65D07818" w14:textId="77777777" w:rsidR="007E7472" w:rsidRDefault="00EC1269">
                        <w:pPr>
                          <w:jc w:val="center"/>
                          <w:rPr>
                            <w:sz w:val="18"/>
                            <w:szCs w:val="18"/>
                          </w:rPr>
                        </w:pPr>
                        <w:r>
                          <w:rPr>
                            <w:sz w:val="18"/>
                            <w:szCs w:val="18"/>
                          </w:rPr>
                          <w:t>少数股东权益</w:t>
                        </w:r>
                      </w:p>
                    </w:tc>
                  </w:sdtContent>
                </w:sdt>
                <w:sdt>
                  <w:sdtPr>
                    <w:tag w:val="_PLD_0e252e0d00f04386b93d4e3064ba423d"/>
                    <w:id w:val="-2025845935"/>
                    <w:lock w:val="sdtLocked"/>
                  </w:sdtPr>
                  <w:sdtEndPr/>
                  <w:sdtContent>
                    <w:tc>
                      <w:tcPr>
                        <w:tcW w:w="356" w:type="pct"/>
                        <w:vMerge w:val="restart"/>
                        <w:vAlign w:val="center"/>
                      </w:tcPr>
                      <w:p w14:paraId="099C0F95" w14:textId="77777777" w:rsidR="007E7472" w:rsidRDefault="00EC1269">
                        <w:pPr>
                          <w:jc w:val="center"/>
                          <w:rPr>
                            <w:sz w:val="18"/>
                            <w:szCs w:val="18"/>
                          </w:rPr>
                        </w:pPr>
                        <w:r>
                          <w:rPr>
                            <w:sz w:val="18"/>
                            <w:szCs w:val="18"/>
                          </w:rPr>
                          <w:t>所有者权益合计</w:t>
                        </w:r>
                      </w:p>
                    </w:tc>
                  </w:sdtContent>
                </w:sdt>
              </w:tr>
              <w:tr w:rsidR="007E7472" w14:paraId="0879601F" w14:textId="77777777">
                <w:trPr>
                  <w:cantSplit/>
                  <w:trHeight w:val="352"/>
                </w:trPr>
                <w:tc>
                  <w:tcPr>
                    <w:tcW w:w="610" w:type="pct"/>
                    <w:vMerge/>
                  </w:tcPr>
                  <w:p w14:paraId="1D4320D4" w14:textId="77777777" w:rsidR="007E7472" w:rsidRDefault="00C8327E">
                    <w:pPr>
                      <w:snapToGrid w:val="0"/>
                      <w:spacing w:line="240" w:lineRule="atLeast"/>
                      <w:ind w:rightChars="-759" w:right="-1594"/>
                      <w:rPr>
                        <w:sz w:val="18"/>
                        <w:szCs w:val="18"/>
                      </w:rPr>
                    </w:pPr>
                  </w:p>
                </w:tc>
                <w:sdt>
                  <w:sdtPr>
                    <w:tag w:val="_PLD_1605afb5a60946a9ba86cca783d492d3"/>
                    <w:id w:val="2057973034"/>
                    <w:lock w:val="sdtLocked"/>
                  </w:sdtPr>
                  <w:sdtEndPr/>
                  <w:sdtContent>
                    <w:tc>
                      <w:tcPr>
                        <w:tcW w:w="305" w:type="pct"/>
                        <w:vMerge w:val="restart"/>
                        <w:vAlign w:val="center"/>
                      </w:tcPr>
                      <w:p w14:paraId="334F25FB" w14:textId="77777777" w:rsidR="007E7472" w:rsidRDefault="00EC1269">
                        <w:pPr>
                          <w:snapToGrid w:val="0"/>
                          <w:spacing w:line="240" w:lineRule="atLeast"/>
                          <w:jc w:val="center"/>
                          <w:rPr>
                            <w:sz w:val="18"/>
                            <w:szCs w:val="18"/>
                          </w:rPr>
                        </w:pPr>
                        <w:r>
                          <w:rPr>
                            <w:rFonts w:hint="eastAsia"/>
                            <w:sz w:val="18"/>
                            <w:szCs w:val="18"/>
                          </w:rPr>
                          <w:t>实收资本</w:t>
                        </w:r>
                        <w:r>
                          <w:rPr>
                            <w:sz w:val="18"/>
                            <w:szCs w:val="18"/>
                          </w:rPr>
                          <w:t>(或股本)</w:t>
                        </w:r>
                      </w:p>
                    </w:tc>
                  </w:sdtContent>
                </w:sdt>
                <w:sdt>
                  <w:sdtPr>
                    <w:tag w:val="_PLD_78f5e518a65d422c99d27d23e96afb9e"/>
                    <w:id w:val="-274792753"/>
                    <w:lock w:val="sdtLocked"/>
                  </w:sdtPr>
                  <w:sdtEndPr/>
                  <w:sdtContent>
                    <w:tc>
                      <w:tcPr>
                        <w:tcW w:w="669" w:type="pct"/>
                        <w:gridSpan w:val="3"/>
                        <w:vAlign w:val="center"/>
                      </w:tcPr>
                      <w:p w14:paraId="7E70D42A" w14:textId="77777777" w:rsidR="007E7472" w:rsidRDefault="00EC1269">
                        <w:pPr>
                          <w:snapToGrid w:val="0"/>
                          <w:spacing w:line="240" w:lineRule="atLeast"/>
                          <w:jc w:val="center"/>
                          <w:rPr>
                            <w:sz w:val="18"/>
                            <w:szCs w:val="18"/>
                          </w:rPr>
                        </w:pPr>
                        <w:r>
                          <w:rPr>
                            <w:rFonts w:hint="eastAsia"/>
                            <w:sz w:val="18"/>
                            <w:szCs w:val="18"/>
                          </w:rPr>
                          <w:t>其他权益工具</w:t>
                        </w:r>
                      </w:p>
                    </w:tc>
                  </w:sdtContent>
                </w:sdt>
                <w:sdt>
                  <w:sdtPr>
                    <w:tag w:val="_PLD_f67d05ac9f6f4daaafdf90084911dcee"/>
                    <w:id w:val="-1253112104"/>
                    <w:lock w:val="sdtLocked"/>
                  </w:sdtPr>
                  <w:sdtEndPr/>
                  <w:sdtContent>
                    <w:tc>
                      <w:tcPr>
                        <w:tcW w:w="358" w:type="pct"/>
                        <w:vMerge w:val="restart"/>
                        <w:vAlign w:val="center"/>
                      </w:tcPr>
                      <w:p w14:paraId="4988421F" w14:textId="77777777" w:rsidR="007E7472" w:rsidRDefault="00EC1269">
                        <w:pPr>
                          <w:snapToGrid w:val="0"/>
                          <w:spacing w:line="240" w:lineRule="atLeast"/>
                          <w:jc w:val="center"/>
                          <w:rPr>
                            <w:sz w:val="18"/>
                            <w:szCs w:val="18"/>
                          </w:rPr>
                        </w:pPr>
                        <w:r>
                          <w:rPr>
                            <w:rFonts w:hint="eastAsia"/>
                            <w:sz w:val="18"/>
                            <w:szCs w:val="18"/>
                          </w:rPr>
                          <w:t>资本公积</w:t>
                        </w:r>
                      </w:p>
                    </w:tc>
                  </w:sdtContent>
                </w:sdt>
                <w:sdt>
                  <w:sdtPr>
                    <w:tag w:val="_PLD_21df11f52b3443acacf7dd8421b5cc67"/>
                    <w:id w:val="-1389330612"/>
                    <w:lock w:val="sdtLocked"/>
                  </w:sdtPr>
                  <w:sdtEndPr/>
                  <w:sdtContent>
                    <w:tc>
                      <w:tcPr>
                        <w:tcW w:w="256" w:type="pct"/>
                        <w:vMerge w:val="restart"/>
                        <w:vAlign w:val="center"/>
                      </w:tcPr>
                      <w:p w14:paraId="0B5D8AA3" w14:textId="77777777" w:rsidR="007E7472" w:rsidRDefault="00EC1269">
                        <w:pPr>
                          <w:snapToGrid w:val="0"/>
                          <w:spacing w:line="240" w:lineRule="atLeast"/>
                          <w:jc w:val="center"/>
                          <w:rPr>
                            <w:sz w:val="18"/>
                            <w:szCs w:val="18"/>
                          </w:rPr>
                        </w:pPr>
                        <w:r>
                          <w:rPr>
                            <w:rFonts w:hint="eastAsia"/>
                            <w:sz w:val="18"/>
                            <w:szCs w:val="18"/>
                          </w:rPr>
                          <w:t>减：库存股</w:t>
                        </w:r>
                      </w:p>
                    </w:tc>
                  </w:sdtContent>
                </w:sdt>
                <w:sdt>
                  <w:sdtPr>
                    <w:tag w:val="_PLD_bdc12fd277ea4fbe9c90f9480d9ecddb"/>
                    <w:id w:val="-509914417"/>
                    <w:lock w:val="sdtLocked"/>
                  </w:sdtPr>
                  <w:sdtEndPr/>
                  <w:sdtContent>
                    <w:tc>
                      <w:tcPr>
                        <w:tcW w:w="356" w:type="pct"/>
                        <w:vMerge w:val="restart"/>
                        <w:vAlign w:val="center"/>
                      </w:tcPr>
                      <w:p w14:paraId="1E9C4DDB" w14:textId="77777777" w:rsidR="007E7472" w:rsidRDefault="00EC1269">
                        <w:pPr>
                          <w:snapToGrid w:val="0"/>
                          <w:spacing w:line="240" w:lineRule="atLeast"/>
                          <w:jc w:val="center"/>
                          <w:rPr>
                            <w:sz w:val="18"/>
                            <w:szCs w:val="18"/>
                          </w:rPr>
                        </w:pPr>
                        <w:r>
                          <w:rPr>
                            <w:rFonts w:hint="eastAsia"/>
                            <w:sz w:val="18"/>
                            <w:szCs w:val="18"/>
                          </w:rPr>
                          <w:t>其他综合收益</w:t>
                        </w:r>
                      </w:p>
                    </w:tc>
                  </w:sdtContent>
                </w:sdt>
                <w:sdt>
                  <w:sdtPr>
                    <w:tag w:val="_PLD_b4aa95f4be904a02958b77b5542bb78d"/>
                    <w:id w:val="743683839"/>
                    <w:lock w:val="sdtLocked"/>
                  </w:sdtPr>
                  <w:sdtEndPr/>
                  <w:sdtContent>
                    <w:tc>
                      <w:tcPr>
                        <w:tcW w:w="305" w:type="pct"/>
                        <w:vMerge w:val="restart"/>
                        <w:vAlign w:val="center"/>
                      </w:tcPr>
                      <w:p w14:paraId="6D639EB3" w14:textId="77777777" w:rsidR="007E7472" w:rsidRDefault="00EC1269">
                        <w:pPr>
                          <w:snapToGrid w:val="0"/>
                          <w:spacing w:line="240" w:lineRule="atLeast"/>
                          <w:jc w:val="center"/>
                          <w:rPr>
                            <w:sz w:val="18"/>
                            <w:szCs w:val="18"/>
                          </w:rPr>
                        </w:pPr>
                        <w:r>
                          <w:rPr>
                            <w:rFonts w:hint="eastAsia"/>
                            <w:sz w:val="18"/>
                            <w:szCs w:val="18"/>
                          </w:rPr>
                          <w:t>专项储备</w:t>
                        </w:r>
                      </w:p>
                    </w:tc>
                  </w:sdtContent>
                </w:sdt>
                <w:sdt>
                  <w:sdtPr>
                    <w:tag w:val="_PLD_1ee8f47ee38e4000af64e781a1a0e729"/>
                    <w:id w:val="-938205737"/>
                    <w:lock w:val="sdtLocked"/>
                  </w:sdtPr>
                  <w:sdtEndPr/>
                  <w:sdtContent>
                    <w:tc>
                      <w:tcPr>
                        <w:tcW w:w="255" w:type="pct"/>
                        <w:vMerge w:val="restart"/>
                        <w:vAlign w:val="center"/>
                      </w:tcPr>
                      <w:p w14:paraId="21CC388F" w14:textId="77777777" w:rsidR="007E7472" w:rsidRDefault="00EC1269">
                        <w:pPr>
                          <w:snapToGrid w:val="0"/>
                          <w:spacing w:line="240" w:lineRule="atLeast"/>
                          <w:jc w:val="center"/>
                          <w:rPr>
                            <w:sz w:val="18"/>
                            <w:szCs w:val="18"/>
                          </w:rPr>
                        </w:pPr>
                        <w:r>
                          <w:rPr>
                            <w:rFonts w:hint="eastAsia"/>
                            <w:sz w:val="18"/>
                            <w:szCs w:val="18"/>
                          </w:rPr>
                          <w:t>盈余公积</w:t>
                        </w:r>
                      </w:p>
                    </w:tc>
                  </w:sdtContent>
                </w:sdt>
                <w:sdt>
                  <w:sdtPr>
                    <w:tag w:val="_PLD_b09258af0aa4494b8e88e711ca2dd7b8"/>
                    <w:id w:val="187500435"/>
                    <w:lock w:val="sdtLocked"/>
                  </w:sdtPr>
                  <w:sdtEndPr/>
                  <w:sdtContent>
                    <w:tc>
                      <w:tcPr>
                        <w:tcW w:w="219" w:type="pct"/>
                        <w:vMerge w:val="restart"/>
                        <w:vAlign w:val="center"/>
                      </w:tcPr>
                      <w:p w14:paraId="32A27F6C" w14:textId="77777777" w:rsidR="007E7472" w:rsidRDefault="00EC1269">
                        <w:pPr>
                          <w:snapToGrid w:val="0"/>
                          <w:spacing w:line="240" w:lineRule="atLeast"/>
                          <w:jc w:val="center"/>
                          <w:rPr>
                            <w:sz w:val="18"/>
                            <w:szCs w:val="18"/>
                          </w:rPr>
                        </w:pPr>
                        <w:r>
                          <w:rPr>
                            <w:rFonts w:hint="eastAsia"/>
                            <w:sz w:val="18"/>
                            <w:szCs w:val="18"/>
                          </w:rPr>
                          <w:t>一般风险准备</w:t>
                        </w:r>
                      </w:p>
                    </w:tc>
                  </w:sdtContent>
                </w:sdt>
                <w:sdt>
                  <w:sdtPr>
                    <w:tag w:val="_PLD_f20054bead0a491aafe7bb5a5952f48f"/>
                    <w:id w:val="-910313560"/>
                    <w:lock w:val="sdtLocked"/>
                  </w:sdtPr>
                  <w:sdtEndPr/>
                  <w:sdtContent>
                    <w:tc>
                      <w:tcPr>
                        <w:tcW w:w="398" w:type="pct"/>
                        <w:vMerge w:val="restart"/>
                        <w:vAlign w:val="center"/>
                      </w:tcPr>
                      <w:p w14:paraId="1EFF11ED" w14:textId="77777777" w:rsidR="007E7472" w:rsidRDefault="00EC1269">
                        <w:pPr>
                          <w:snapToGrid w:val="0"/>
                          <w:spacing w:line="240" w:lineRule="atLeast"/>
                          <w:jc w:val="center"/>
                          <w:rPr>
                            <w:sz w:val="18"/>
                            <w:szCs w:val="18"/>
                          </w:rPr>
                        </w:pPr>
                        <w:r>
                          <w:rPr>
                            <w:rFonts w:hint="eastAsia"/>
                            <w:sz w:val="18"/>
                            <w:szCs w:val="18"/>
                          </w:rPr>
                          <w:t>未分配利润</w:t>
                        </w:r>
                      </w:p>
                    </w:tc>
                  </w:sdtContent>
                </w:sdt>
                <w:tc>
                  <w:tcPr>
                    <w:tcW w:w="205" w:type="pct"/>
                    <w:vMerge w:val="restart"/>
                    <w:vAlign w:val="center"/>
                  </w:tcPr>
                  <w:sdt>
                    <w:sdtPr>
                      <w:rPr>
                        <w:rFonts w:hint="eastAsia"/>
                        <w:sz w:val="18"/>
                        <w:szCs w:val="18"/>
                      </w:rPr>
                      <w:tag w:val="_PLD_ee763dfa69fd4fa3bec927cefa83eadc"/>
                      <w:id w:val="349757643"/>
                      <w:lock w:val="sdtLocked"/>
                    </w:sdtPr>
                    <w:sdtEndPr/>
                    <w:sdtContent>
                      <w:p w14:paraId="3A5F73B6" w14:textId="77777777" w:rsidR="007E7472" w:rsidRDefault="00EC1269">
                        <w:pPr>
                          <w:jc w:val="center"/>
                          <w:rPr>
                            <w:sz w:val="18"/>
                            <w:szCs w:val="18"/>
                          </w:rPr>
                        </w:pPr>
                        <w:r>
                          <w:rPr>
                            <w:rFonts w:hint="eastAsia"/>
                            <w:sz w:val="18"/>
                            <w:szCs w:val="18"/>
                          </w:rPr>
                          <w:t>其他</w:t>
                        </w:r>
                      </w:p>
                    </w:sdtContent>
                  </w:sdt>
                </w:tc>
                <w:tc>
                  <w:tcPr>
                    <w:tcW w:w="379" w:type="pct"/>
                    <w:vMerge w:val="restart"/>
                    <w:vAlign w:val="center"/>
                  </w:tcPr>
                  <w:sdt>
                    <w:sdtPr>
                      <w:rPr>
                        <w:rFonts w:hint="eastAsia"/>
                        <w:sz w:val="18"/>
                        <w:szCs w:val="18"/>
                      </w:rPr>
                      <w:tag w:val="_PLD_97c92cf2be1e4f36880a16a2c16704b4"/>
                      <w:id w:val="1038393135"/>
                      <w:lock w:val="sdtLocked"/>
                    </w:sdtPr>
                    <w:sdtEndPr/>
                    <w:sdtContent>
                      <w:p w14:paraId="7AE6D2F2" w14:textId="77777777" w:rsidR="007E7472" w:rsidRDefault="00EC1269">
                        <w:pPr>
                          <w:jc w:val="center"/>
                          <w:rPr>
                            <w:sz w:val="18"/>
                            <w:szCs w:val="18"/>
                          </w:rPr>
                        </w:pPr>
                        <w:r>
                          <w:rPr>
                            <w:rFonts w:hint="eastAsia"/>
                            <w:sz w:val="18"/>
                            <w:szCs w:val="18"/>
                          </w:rPr>
                          <w:t>小计</w:t>
                        </w:r>
                      </w:p>
                    </w:sdtContent>
                  </w:sdt>
                </w:tc>
                <w:tc>
                  <w:tcPr>
                    <w:tcW w:w="330" w:type="pct"/>
                    <w:vMerge/>
                  </w:tcPr>
                  <w:p w14:paraId="04379936" w14:textId="77777777" w:rsidR="007E7472" w:rsidRDefault="00C8327E">
                    <w:pPr>
                      <w:jc w:val="center"/>
                      <w:rPr>
                        <w:sz w:val="18"/>
                        <w:szCs w:val="18"/>
                      </w:rPr>
                    </w:pPr>
                  </w:p>
                </w:tc>
                <w:tc>
                  <w:tcPr>
                    <w:tcW w:w="356" w:type="pct"/>
                    <w:vMerge/>
                  </w:tcPr>
                  <w:p w14:paraId="63FD5381" w14:textId="77777777" w:rsidR="007E7472" w:rsidRDefault="00C8327E">
                    <w:pPr>
                      <w:jc w:val="center"/>
                      <w:rPr>
                        <w:sz w:val="18"/>
                        <w:szCs w:val="18"/>
                      </w:rPr>
                    </w:pPr>
                  </w:p>
                </w:tc>
              </w:tr>
              <w:tr w:rsidR="007E7472" w14:paraId="08FF6952" w14:textId="77777777">
                <w:trPr>
                  <w:cantSplit/>
                  <w:trHeight w:val="345"/>
                </w:trPr>
                <w:tc>
                  <w:tcPr>
                    <w:tcW w:w="610" w:type="pct"/>
                    <w:vMerge/>
                  </w:tcPr>
                  <w:p w14:paraId="33693A16" w14:textId="77777777" w:rsidR="007E7472" w:rsidRDefault="00C8327E">
                    <w:pPr>
                      <w:snapToGrid w:val="0"/>
                      <w:spacing w:line="240" w:lineRule="atLeast"/>
                      <w:ind w:rightChars="-759" w:right="-1594"/>
                      <w:rPr>
                        <w:sz w:val="18"/>
                        <w:szCs w:val="18"/>
                      </w:rPr>
                    </w:pPr>
                  </w:p>
                </w:tc>
                <w:tc>
                  <w:tcPr>
                    <w:tcW w:w="305" w:type="pct"/>
                    <w:vMerge/>
                  </w:tcPr>
                  <w:p w14:paraId="66E63A01" w14:textId="77777777" w:rsidR="007E7472" w:rsidRDefault="00C8327E">
                    <w:pPr>
                      <w:snapToGrid w:val="0"/>
                      <w:spacing w:line="240" w:lineRule="atLeast"/>
                      <w:jc w:val="center"/>
                      <w:rPr>
                        <w:sz w:val="18"/>
                        <w:szCs w:val="18"/>
                      </w:rPr>
                    </w:pPr>
                  </w:p>
                </w:tc>
                <w:sdt>
                  <w:sdtPr>
                    <w:tag w:val="_PLD_7b6493af25ff4e3986120f711cb3be4e"/>
                    <w:id w:val="1032844170"/>
                    <w:lock w:val="sdtLocked"/>
                  </w:sdtPr>
                  <w:sdtEndPr/>
                  <w:sdtContent>
                    <w:tc>
                      <w:tcPr>
                        <w:tcW w:w="192" w:type="pct"/>
                        <w:vAlign w:val="center"/>
                      </w:tcPr>
                      <w:p w14:paraId="294C144D" w14:textId="77777777" w:rsidR="007E7472" w:rsidRDefault="00EC1269">
                        <w:pPr>
                          <w:snapToGrid w:val="0"/>
                          <w:spacing w:line="240" w:lineRule="atLeast"/>
                          <w:jc w:val="center"/>
                          <w:rPr>
                            <w:sz w:val="18"/>
                            <w:szCs w:val="18"/>
                          </w:rPr>
                        </w:pPr>
                        <w:r>
                          <w:rPr>
                            <w:rFonts w:hint="eastAsia"/>
                            <w:sz w:val="18"/>
                            <w:szCs w:val="18"/>
                          </w:rPr>
                          <w:t>优先股</w:t>
                        </w:r>
                      </w:p>
                    </w:tc>
                  </w:sdtContent>
                </w:sdt>
                <w:sdt>
                  <w:sdtPr>
                    <w:tag w:val="_PLD_446c35c8857c4ad0bb648db82e104141"/>
                    <w:id w:val="1608852033"/>
                    <w:lock w:val="sdtLocked"/>
                  </w:sdtPr>
                  <w:sdtEndPr/>
                  <w:sdtContent>
                    <w:tc>
                      <w:tcPr>
                        <w:tcW w:w="330" w:type="pct"/>
                        <w:vAlign w:val="center"/>
                      </w:tcPr>
                      <w:p w14:paraId="66B3A2F0" w14:textId="77777777" w:rsidR="007E7472" w:rsidRDefault="00EC1269">
                        <w:pPr>
                          <w:snapToGrid w:val="0"/>
                          <w:spacing w:line="240" w:lineRule="atLeast"/>
                          <w:jc w:val="center"/>
                          <w:rPr>
                            <w:sz w:val="18"/>
                            <w:szCs w:val="18"/>
                          </w:rPr>
                        </w:pPr>
                        <w:r>
                          <w:rPr>
                            <w:rFonts w:hint="eastAsia"/>
                            <w:sz w:val="18"/>
                            <w:szCs w:val="18"/>
                          </w:rPr>
                          <w:t>永续债</w:t>
                        </w:r>
                      </w:p>
                    </w:tc>
                  </w:sdtContent>
                </w:sdt>
                <w:sdt>
                  <w:sdtPr>
                    <w:tag w:val="_PLD_e8048d05ab294ec8a2a849ca1f70a7c9"/>
                    <w:id w:val="1468624165"/>
                    <w:lock w:val="sdtLocked"/>
                  </w:sdtPr>
                  <w:sdtEndPr/>
                  <w:sdtContent>
                    <w:tc>
                      <w:tcPr>
                        <w:tcW w:w="147" w:type="pct"/>
                        <w:vAlign w:val="center"/>
                      </w:tcPr>
                      <w:p w14:paraId="147ED0A5" w14:textId="77777777" w:rsidR="007E7472" w:rsidRDefault="00EC1269">
                        <w:pPr>
                          <w:snapToGrid w:val="0"/>
                          <w:spacing w:line="240" w:lineRule="atLeast"/>
                          <w:jc w:val="center"/>
                          <w:rPr>
                            <w:sz w:val="18"/>
                            <w:szCs w:val="18"/>
                          </w:rPr>
                        </w:pPr>
                        <w:r>
                          <w:rPr>
                            <w:rFonts w:hint="eastAsia"/>
                            <w:sz w:val="18"/>
                            <w:szCs w:val="18"/>
                          </w:rPr>
                          <w:t>其他</w:t>
                        </w:r>
                      </w:p>
                    </w:tc>
                  </w:sdtContent>
                </w:sdt>
                <w:tc>
                  <w:tcPr>
                    <w:tcW w:w="358" w:type="pct"/>
                    <w:vMerge/>
                  </w:tcPr>
                  <w:p w14:paraId="6016FC4B" w14:textId="77777777" w:rsidR="007E7472" w:rsidRDefault="00C8327E">
                    <w:pPr>
                      <w:snapToGrid w:val="0"/>
                      <w:spacing w:line="240" w:lineRule="atLeast"/>
                      <w:jc w:val="center"/>
                      <w:rPr>
                        <w:sz w:val="18"/>
                        <w:szCs w:val="18"/>
                      </w:rPr>
                    </w:pPr>
                  </w:p>
                </w:tc>
                <w:tc>
                  <w:tcPr>
                    <w:tcW w:w="256" w:type="pct"/>
                    <w:vMerge/>
                  </w:tcPr>
                  <w:p w14:paraId="6CD9A57B" w14:textId="77777777" w:rsidR="007E7472" w:rsidRDefault="00C8327E">
                    <w:pPr>
                      <w:snapToGrid w:val="0"/>
                      <w:spacing w:line="240" w:lineRule="atLeast"/>
                      <w:jc w:val="center"/>
                      <w:rPr>
                        <w:sz w:val="18"/>
                        <w:szCs w:val="18"/>
                      </w:rPr>
                    </w:pPr>
                  </w:p>
                </w:tc>
                <w:tc>
                  <w:tcPr>
                    <w:tcW w:w="356" w:type="pct"/>
                    <w:vMerge/>
                  </w:tcPr>
                  <w:p w14:paraId="74AE5086" w14:textId="77777777" w:rsidR="007E7472" w:rsidRDefault="00C8327E">
                    <w:pPr>
                      <w:snapToGrid w:val="0"/>
                      <w:spacing w:line="240" w:lineRule="atLeast"/>
                      <w:jc w:val="center"/>
                      <w:rPr>
                        <w:sz w:val="18"/>
                        <w:szCs w:val="18"/>
                      </w:rPr>
                    </w:pPr>
                  </w:p>
                </w:tc>
                <w:tc>
                  <w:tcPr>
                    <w:tcW w:w="305" w:type="pct"/>
                    <w:vMerge/>
                  </w:tcPr>
                  <w:p w14:paraId="5E5413CC" w14:textId="77777777" w:rsidR="007E7472" w:rsidRDefault="00C8327E">
                    <w:pPr>
                      <w:snapToGrid w:val="0"/>
                      <w:spacing w:line="240" w:lineRule="atLeast"/>
                      <w:jc w:val="center"/>
                      <w:rPr>
                        <w:sz w:val="18"/>
                        <w:szCs w:val="18"/>
                      </w:rPr>
                    </w:pPr>
                  </w:p>
                </w:tc>
                <w:tc>
                  <w:tcPr>
                    <w:tcW w:w="255" w:type="pct"/>
                    <w:vMerge/>
                  </w:tcPr>
                  <w:p w14:paraId="5A886155" w14:textId="77777777" w:rsidR="007E7472" w:rsidRDefault="00C8327E">
                    <w:pPr>
                      <w:snapToGrid w:val="0"/>
                      <w:spacing w:line="240" w:lineRule="atLeast"/>
                      <w:jc w:val="center"/>
                      <w:rPr>
                        <w:sz w:val="18"/>
                        <w:szCs w:val="18"/>
                      </w:rPr>
                    </w:pPr>
                  </w:p>
                </w:tc>
                <w:tc>
                  <w:tcPr>
                    <w:tcW w:w="219" w:type="pct"/>
                    <w:vMerge/>
                  </w:tcPr>
                  <w:p w14:paraId="3D0AED1E" w14:textId="77777777" w:rsidR="007E7472" w:rsidRDefault="00C8327E">
                    <w:pPr>
                      <w:snapToGrid w:val="0"/>
                      <w:spacing w:line="240" w:lineRule="atLeast"/>
                      <w:jc w:val="center"/>
                      <w:rPr>
                        <w:sz w:val="18"/>
                        <w:szCs w:val="18"/>
                      </w:rPr>
                    </w:pPr>
                  </w:p>
                </w:tc>
                <w:tc>
                  <w:tcPr>
                    <w:tcW w:w="398" w:type="pct"/>
                    <w:vMerge/>
                  </w:tcPr>
                  <w:p w14:paraId="67377FAC" w14:textId="77777777" w:rsidR="007E7472" w:rsidRDefault="00C8327E">
                    <w:pPr>
                      <w:snapToGrid w:val="0"/>
                      <w:spacing w:line="240" w:lineRule="atLeast"/>
                      <w:jc w:val="center"/>
                      <w:rPr>
                        <w:sz w:val="18"/>
                        <w:szCs w:val="18"/>
                      </w:rPr>
                    </w:pPr>
                  </w:p>
                </w:tc>
                <w:tc>
                  <w:tcPr>
                    <w:tcW w:w="205" w:type="pct"/>
                    <w:vMerge/>
                  </w:tcPr>
                  <w:p w14:paraId="5729D947" w14:textId="77777777" w:rsidR="007E7472" w:rsidRDefault="00C8327E">
                    <w:pPr>
                      <w:jc w:val="center"/>
                      <w:rPr>
                        <w:sz w:val="18"/>
                        <w:szCs w:val="18"/>
                      </w:rPr>
                    </w:pPr>
                  </w:p>
                </w:tc>
                <w:tc>
                  <w:tcPr>
                    <w:tcW w:w="379" w:type="pct"/>
                    <w:vMerge/>
                  </w:tcPr>
                  <w:p w14:paraId="7B8152EE" w14:textId="77777777" w:rsidR="007E7472" w:rsidRDefault="00C8327E">
                    <w:pPr>
                      <w:jc w:val="center"/>
                      <w:rPr>
                        <w:sz w:val="18"/>
                        <w:szCs w:val="18"/>
                      </w:rPr>
                    </w:pPr>
                  </w:p>
                </w:tc>
                <w:tc>
                  <w:tcPr>
                    <w:tcW w:w="330" w:type="pct"/>
                    <w:vMerge/>
                  </w:tcPr>
                  <w:p w14:paraId="2B576202" w14:textId="77777777" w:rsidR="007E7472" w:rsidRDefault="00C8327E">
                    <w:pPr>
                      <w:jc w:val="center"/>
                      <w:rPr>
                        <w:sz w:val="18"/>
                        <w:szCs w:val="18"/>
                      </w:rPr>
                    </w:pPr>
                  </w:p>
                </w:tc>
                <w:tc>
                  <w:tcPr>
                    <w:tcW w:w="356" w:type="pct"/>
                    <w:vMerge/>
                    <w:tcBorders>
                      <w:bottom w:val="nil"/>
                    </w:tcBorders>
                  </w:tcPr>
                  <w:p w14:paraId="5257AFC8" w14:textId="77777777" w:rsidR="007E7472" w:rsidRDefault="00C8327E">
                    <w:pPr>
                      <w:jc w:val="center"/>
                      <w:rPr>
                        <w:sz w:val="18"/>
                        <w:szCs w:val="18"/>
                      </w:rPr>
                    </w:pPr>
                  </w:p>
                </w:tc>
              </w:tr>
              <w:tr w:rsidR="007E7472" w14:paraId="2FCA0069" w14:textId="77777777">
                <w:sdt>
                  <w:sdtPr>
                    <w:tag w:val="_PLD_1f22f69e67ea4292afb08dec65f863c7"/>
                    <w:id w:val="-1867667540"/>
                    <w:lock w:val="sdtLocked"/>
                  </w:sdtPr>
                  <w:sdtEndPr/>
                  <w:sdtContent>
                    <w:tc>
                      <w:tcPr>
                        <w:tcW w:w="610" w:type="pct"/>
                      </w:tcPr>
                      <w:p w14:paraId="49782436" w14:textId="77777777" w:rsidR="007E7472" w:rsidRDefault="00EC1269">
                        <w:pPr>
                          <w:rPr>
                            <w:sz w:val="18"/>
                            <w:szCs w:val="18"/>
                          </w:rPr>
                        </w:pPr>
                        <w:r>
                          <w:rPr>
                            <w:sz w:val="18"/>
                            <w:szCs w:val="18"/>
                          </w:rPr>
                          <w:t>一、上年</w:t>
                        </w:r>
                        <w:r>
                          <w:rPr>
                            <w:rFonts w:hint="eastAsia"/>
                            <w:sz w:val="18"/>
                            <w:szCs w:val="18"/>
                          </w:rPr>
                          <w:t>期</w:t>
                        </w:r>
                        <w:r>
                          <w:rPr>
                            <w:sz w:val="18"/>
                            <w:szCs w:val="18"/>
                          </w:rPr>
                          <w:t>末余额</w:t>
                        </w:r>
                      </w:p>
                    </w:tc>
                  </w:sdtContent>
                </w:sdt>
                <w:tc>
                  <w:tcPr>
                    <w:tcW w:w="305" w:type="pct"/>
                    <w:vAlign w:val="center"/>
                  </w:tcPr>
                  <w:p w14:paraId="21121904" w14:textId="77777777" w:rsidR="007E7472" w:rsidRDefault="00EC1269">
                    <w:pPr>
                      <w:jc w:val="right"/>
                      <w:rPr>
                        <w:spacing w:val="-20"/>
                        <w:sz w:val="18"/>
                        <w:szCs w:val="18"/>
                      </w:rPr>
                    </w:pPr>
                    <w:r>
                      <w:rPr>
                        <w:rFonts w:hint="eastAsia"/>
                        <w:spacing w:val="-20"/>
                        <w:sz w:val="18"/>
                        <w:szCs w:val="18"/>
                      </w:rPr>
                      <w:t>4,948,704</w:t>
                    </w:r>
                  </w:p>
                </w:tc>
                <w:tc>
                  <w:tcPr>
                    <w:tcW w:w="192" w:type="pct"/>
                    <w:vAlign w:val="center"/>
                  </w:tcPr>
                  <w:p w14:paraId="4E56696C" w14:textId="77777777" w:rsidR="007E7472" w:rsidRDefault="00C8327E">
                    <w:pPr>
                      <w:jc w:val="right"/>
                      <w:rPr>
                        <w:spacing w:val="-20"/>
                        <w:sz w:val="18"/>
                        <w:szCs w:val="18"/>
                      </w:rPr>
                    </w:pPr>
                  </w:p>
                </w:tc>
                <w:tc>
                  <w:tcPr>
                    <w:tcW w:w="330" w:type="pct"/>
                    <w:vAlign w:val="center"/>
                  </w:tcPr>
                  <w:p w14:paraId="64172C33" w14:textId="77777777" w:rsidR="007E7472" w:rsidRDefault="00EC1269">
                    <w:pPr>
                      <w:jc w:val="right"/>
                      <w:rPr>
                        <w:spacing w:val="-20"/>
                        <w:sz w:val="18"/>
                        <w:szCs w:val="18"/>
                      </w:rPr>
                    </w:pPr>
                    <w:r>
                      <w:rPr>
                        <w:rFonts w:hint="eastAsia"/>
                        <w:spacing w:val="-20"/>
                        <w:sz w:val="18"/>
                        <w:szCs w:val="18"/>
                      </w:rPr>
                      <w:t>13,248,614</w:t>
                    </w:r>
                  </w:p>
                </w:tc>
                <w:tc>
                  <w:tcPr>
                    <w:tcW w:w="147" w:type="pct"/>
                    <w:vAlign w:val="center"/>
                  </w:tcPr>
                  <w:p w14:paraId="680783CE" w14:textId="77777777" w:rsidR="007E7472" w:rsidRDefault="00C8327E">
                    <w:pPr>
                      <w:jc w:val="right"/>
                      <w:rPr>
                        <w:spacing w:val="-20"/>
                        <w:sz w:val="18"/>
                        <w:szCs w:val="18"/>
                      </w:rPr>
                    </w:pPr>
                  </w:p>
                </w:tc>
                <w:tc>
                  <w:tcPr>
                    <w:tcW w:w="358" w:type="pct"/>
                    <w:vAlign w:val="center"/>
                  </w:tcPr>
                  <w:p w14:paraId="03586987" w14:textId="77777777" w:rsidR="007E7472" w:rsidRDefault="00EC1269">
                    <w:pPr>
                      <w:jc w:val="right"/>
                      <w:rPr>
                        <w:spacing w:val="-20"/>
                        <w:sz w:val="18"/>
                        <w:szCs w:val="18"/>
                      </w:rPr>
                    </w:pPr>
                    <w:r>
                      <w:rPr>
                        <w:rFonts w:hint="eastAsia"/>
                        <w:spacing w:val="-20"/>
                        <w:sz w:val="18"/>
                        <w:szCs w:val="18"/>
                      </w:rPr>
                      <w:t>1,713,353</w:t>
                    </w:r>
                  </w:p>
                </w:tc>
                <w:tc>
                  <w:tcPr>
                    <w:tcW w:w="256" w:type="pct"/>
                    <w:vAlign w:val="center"/>
                  </w:tcPr>
                  <w:p w14:paraId="71D524E6" w14:textId="77777777" w:rsidR="007E7472" w:rsidRDefault="00EC1269">
                    <w:pPr>
                      <w:jc w:val="right"/>
                      <w:rPr>
                        <w:spacing w:val="-20"/>
                        <w:sz w:val="18"/>
                        <w:szCs w:val="18"/>
                      </w:rPr>
                    </w:pPr>
                    <w:r>
                      <w:rPr>
                        <w:rFonts w:hint="eastAsia"/>
                        <w:spacing w:val="-20"/>
                        <w:sz w:val="18"/>
                        <w:szCs w:val="18"/>
                      </w:rPr>
                      <w:t>723,593</w:t>
                    </w:r>
                  </w:p>
                </w:tc>
                <w:tc>
                  <w:tcPr>
                    <w:tcW w:w="356" w:type="pct"/>
                    <w:vAlign w:val="center"/>
                  </w:tcPr>
                  <w:p w14:paraId="18F588FD" w14:textId="77777777" w:rsidR="007E7472" w:rsidRDefault="00EC1269">
                    <w:pPr>
                      <w:jc w:val="right"/>
                      <w:rPr>
                        <w:spacing w:val="-20"/>
                        <w:sz w:val="18"/>
                        <w:szCs w:val="18"/>
                      </w:rPr>
                    </w:pPr>
                    <w:r>
                      <w:rPr>
                        <w:rFonts w:hint="eastAsia"/>
                        <w:spacing w:val="-20"/>
                        <w:sz w:val="18"/>
                        <w:szCs w:val="18"/>
                      </w:rPr>
                      <w:t>-7,151,945</w:t>
                    </w:r>
                  </w:p>
                </w:tc>
                <w:tc>
                  <w:tcPr>
                    <w:tcW w:w="305" w:type="pct"/>
                    <w:vAlign w:val="center"/>
                  </w:tcPr>
                  <w:p w14:paraId="1E950816" w14:textId="77777777" w:rsidR="007E7472" w:rsidRDefault="00EC1269">
                    <w:pPr>
                      <w:jc w:val="right"/>
                      <w:rPr>
                        <w:spacing w:val="-20"/>
                        <w:sz w:val="18"/>
                        <w:szCs w:val="18"/>
                      </w:rPr>
                    </w:pPr>
                    <w:r>
                      <w:rPr>
                        <w:rFonts w:hint="eastAsia"/>
                        <w:spacing w:val="-20"/>
                        <w:sz w:val="18"/>
                        <w:szCs w:val="18"/>
                      </w:rPr>
                      <w:t>4,522,237</w:t>
                    </w:r>
                  </w:p>
                </w:tc>
                <w:tc>
                  <w:tcPr>
                    <w:tcW w:w="255" w:type="pct"/>
                    <w:vAlign w:val="center"/>
                  </w:tcPr>
                  <w:p w14:paraId="5663F3FB" w14:textId="77777777" w:rsidR="007E7472" w:rsidRDefault="00EC1269">
                    <w:pPr>
                      <w:jc w:val="right"/>
                      <w:rPr>
                        <w:spacing w:val="-20"/>
                        <w:sz w:val="18"/>
                        <w:szCs w:val="18"/>
                      </w:rPr>
                    </w:pPr>
                    <w:r>
                      <w:rPr>
                        <w:rFonts w:hint="eastAsia"/>
                        <w:spacing w:val="-20"/>
                        <w:sz w:val="18"/>
                        <w:szCs w:val="18"/>
                      </w:rPr>
                      <w:t>912,700</w:t>
                    </w:r>
                  </w:p>
                </w:tc>
                <w:tc>
                  <w:tcPr>
                    <w:tcW w:w="219" w:type="pct"/>
                    <w:vAlign w:val="center"/>
                  </w:tcPr>
                  <w:p w14:paraId="5393C2AB" w14:textId="77777777" w:rsidR="007E7472" w:rsidRDefault="00C8327E">
                    <w:pPr>
                      <w:jc w:val="right"/>
                      <w:rPr>
                        <w:spacing w:val="-20"/>
                        <w:sz w:val="18"/>
                        <w:szCs w:val="18"/>
                      </w:rPr>
                    </w:pPr>
                  </w:p>
                </w:tc>
                <w:tc>
                  <w:tcPr>
                    <w:tcW w:w="398" w:type="pct"/>
                    <w:vAlign w:val="center"/>
                  </w:tcPr>
                  <w:p w14:paraId="669FF5D5" w14:textId="77777777" w:rsidR="007E7472" w:rsidRDefault="00EC1269">
                    <w:pPr>
                      <w:jc w:val="right"/>
                      <w:rPr>
                        <w:spacing w:val="-20"/>
                        <w:sz w:val="18"/>
                        <w:szCs w:val="18"/>
                      </w:rPr>
                    </w:pPr>
                    <w:r>
                      <w:rPr>
                        <w:rFonts w:hint="eastAsia"/>
                        <w:spacing w:val="-20"/>
                        <w:sz w:val="18"/>
                        <w:szCs w:val="18"/>
                      </w:rPr>
                      <w:t>77,265,236</w:t>
                    </w:r>
                  </w:p>
                </w:tc>
                <w:tc>
                  <w:tcPr>
                    <w:tcW w:w="205" w:type="pct"/>
                    <w:vAlign w:val="center"/>
                  </w:tcPr>
                  <w:p w14:paraId="21A6D2CF" w14:textId="77777777" w:rsidR="007E7472" w:rsidRDefault="00C8327E">
                    <w:pPr>
                      <w:jc w:val="right"/>
                      <w:rPr>
                        <w:spacing w:val="-20"/>
                        <w:sz w:val="18"/>
                        <w:szCs w:val="18"/>
                      </w:rPr>
                    </w:pPr>
                  </w:p>
                </w:tc>
                <w:tc>
                  <w:tcPr>
                    <w:tcW w:w="379" w:type="pct"/>
                    <w:vAlign w:val="center"/>
                  </w:tcPr>
                  <w:p w14:paraId="17F20E4B" w14:textId="77777777" w:rsidR="007E7472" w:rsidRDefault="00EC1269">
                    <w:pPr>
                      <w:jc w:val="right"/>
                      <w:rPr>
                        <w:spacing w:val="-20"/>
                        <w:sz w:val="18"/>
                        <w:szCs w:val="18"/>
                      </w:rPr>
                    </w:pPr>
                    <w:r>
                      <w:rPr>
                        <w:rFonts w:hint="eastAsia"/>
                        <w:spacing w:val="-20"/>
                        <w:sz w:val="18"/>
                        <w:szCs w:val="18"/>
                      </w:rPr>
                      <w:t>94,735,306</w:t>
                    </w:r>
                  </w:p>
                </w:tc>
                <w:tc>
                  <w:tcPr>
                    <w:tcW w:w="330" w:type="pct"/>
                    <w:vAlign w:val="center"/>
                  </w:tcPr>
                  <w:p w14:paraId="3C1B0479" w14:textId="77777777" w:rsidR="007E7472" w:rsidRDefault="00EC1269">
                    <w:pPr>
                      <w:jc w:val="right"/>
                      <w:rPr>
                        <w:spacing w:val="-20"/>
                        <w:sz w:val="18"/>
                        <w:szCs w:val="18"/>
                      </w:rPr>
                    </w:pPr>
                    <w:r>
                      <w:rPr>
                        <w:rFonts w:hint="eastAsia"/>
                        <w:spacing w:val="-20"/>
                        <w:sz w:val="18"/>
                        <w:szCs w:val="18"/>
                      </w:rPr>
                      <w:t>33,349,965</w:t>
                    </w:r>
                  </w:p>
                </w:tc>
                <w:tc>
                  <w:tcPr>
                    <w:tcW w:w="356" w:type="pct"/>
                    <w:vAlign w:val="center"/>
                  </w:tcPr>
                  <w:p w14:paraId="73877CC1" w14:textId="77777777" w:rsidR="007E7472" w:rsidRDefault="00EC1269">
                    <w:pPr>
                      <w:jc w:val="right"/>
                      <w:rPr>
                        <w:spacing w:val="-20"/>
                        <w:sz w:val="18"/>
                        <w:szCs w:val="18"/>
                      </w:rPr>
                    </w:pPr>
                    <w:r>
                      <w:rPr>
                        <w:rFonts w:hint="eastAsia"/>
                        <w:spacing w:val="-20"/>
                        <w:sz w:val="18"/>
                        <w:szCs w:val="18"/>
                      </w:rPr>
                      <w:t>128,085,271</w:t>
                    </w:r>
                  </w:p>
                </w:tc>
              </w:tr>
              <w:tr w:rsidR="007E7472" w14:paraId="37832136" w14:textId="77777777">
                <w:sdt>
                  <w:sdtPr>
                    <w:tag w:val="_PLD_8753148a28244d68bf92b2fbad32f9b8"/>
                    <w:id w:val="-993875748"/>
                    <w:lock w:val="sdtLocked"/>
                  </w:sdtPr>
                  <w:sdtEndPr/>
                  <w:sdtContent>
                    <w:tc>
                      <w:tcPr>
                        <w:tcW w:w="610" w:type="pct"/>
                      </w:tcPr>
                      <w:p w14:paraId="737E7F34" w14:textId="77777777" w:rsidR="007E7472" w:rsidRDefault="00EC1269">
                        <w:pPr>
                          <w:rPr>
                            <w:sz w:val="18"/>
                            <w:szCs w:val="18"/>
                          </w:rPr>
                        </w:pPr>
                        <w:r>
                          <w:rPr>
                            <w:rFonts w:hint="eastAsia"/>
                            <w:sz w:val="18"/>
                            <w:szCs w:val="18"/>
                          </w:rPr>
                          <w:t>加：</w:t>
                        </w:r>
                        <w:r>
                          <w:rPr>
                            <w:sz w:val="18"/>
                            <w:szCs w:val="18"/>
                          </w:rPr>
                          <w:t>会计政策变更</w:t>
                        </w:r>
                      </w:p>
                    </w:tc>
                  </w:sdtContent>
                </w:sdt>
                <w:tc>
                  <w:tcPr>
                    <w:tcW w:w="305" w:type="pct"/>
                  </w:tcPr>
                  <w:p w14:paraId="56E2DD88" w14:textId="77777777" w:rsidR="007E7472" w:rsidRDefault="00C8327E">
                    <w:pPr>
                      <w:jc w:val="right"/>
                      <w:rPr>
                        <w:spacing w:val="-20"/>
                        <w:sz w:val="18"/>
                        <w:szCs w:val="18"/>
                      </w:rPr>
                    </w:pPr>
                  </w:p>
                </w:tc>
                <w:tc>
                  <w:tcPr>
                    <w:tcW w:w="192" w:type="pct"/>
                  </w:tcPr>
                  <w:p w14:paraId="58599D1F" w14:textId="77777777" w:rsidR="007E7472" w:rsidRDefault="00C8327E">
                    <w:pPr>
                      <w:jc w:val="right"/>
                      <w:rPr>
                        <w:spacing w:val="-20"/>
                        <w:sz w:val="18"/>
                        <w:szCs w:val="18"/>
                      </w:rPr>
                    </w:pPr>
                  </w:p>
                </w:tc>
                <w:tc>
                  <w:tcPr>
                    <w:tcW w:w="330" w:type="pct"/>
                  </w:tcPr>
                  <w:p w14:paraId="00ED8BA0" w14:textId="77777777" w:rsidR="007E7472" w:rsidRDefault="00C8327E">
                    <w:pPr>
                      <w:jc w:val="right"/>
                      <w:rPr>
                        <w:spacing w:val="-20"/>
                        <w:sz w:val="18"/>
                        <w:szCs w:val="18"/>
                      </w:rPr>
                    </w:pPr>
                  </w:p>
                </w:tc>
                <w:tc>
                  <w:tcPr>
                    <w:tcW w:w="147" w:type="pct"/>
                  </w:tcPr>
                  <w:p w14:paraId="3412390A" w14:textId="77777777" w:rsidR="007E7472" w:rsidRDefault="00C8327E">
                    <w:pPr>
                      <w:jc w:val="right"/>
                      <w:rPr>
                        <w:spacing w:val="-20"/>
                        <w:sz w:val="18"/>
                        <w:szCs w:val="18"/>
                      </w:rPr>
                    </w:pPr>
                  </w:p>
                </w:tc>
                <w:tc>
                  <w:tcPr>
                    <w:tcW w:w="358" w:type="pct"/>
                  </w:tcPr>
                  <w:p w14:paraId="3A230C27" w14:textId="77777777" w:rsidR="007E7472" w:rsidRDefault="00C8327E">
                    <w:pPr>
                      <w:jc w:val="right"/>
                      <w:rPr>
                        <w:spacing w:val="-20"/>
                        <w:sz w:val="18"/>
                        <w:szCs w:val="18"/>
                      </w:rPr>
                    </w:pPr>
                  </w:p>
                </w:tc>
                <w:tc>
                  <w:tcPr>
                    <w:tcW w:w="256" w:type="pct"/>
                  </w:tcPr>
                  <w:p w14:paraId="6D95F923" w14:textId="77777777" w:rsidR="007E7472" w:rsidRDefault="00C8327E">
                    <w:pPr>
                      <w:jc w:val="right"/>
                      <w:rPr>
                        <w:spacing w:val="-20"/>
                        <w:sz w:val="18"/>
                        <w:szCs w:val="18"/>
                      </w:rPr>
                    </w:pPr>
                  </w:p>
                </w:tc>
                <w:tc>
                  <w:tcPr>
                    <w:tcW w:w="356" w:type="pct"/>
                  </w:tcPr>
                  <w:p w14:paraId="2D83A874" w14:textId="77777777" w:rsidR="007E7472" w:rsidRDefault="00C8327E">
                    <w:pPr>
                      <w:jc w:val="right"/>
                      <w:rPr>
                        <w:spacing w:val="-20"/>
                        <w:sz w:val="18"/>
                        <w:szCs w:val="18"/>
                      </w:rPr>
                    </w:pPr>
                  </w:p>
                </w:tc>
                <w:tc>
                  <w:tcPr>
                    <w:tcW w:w="305" w:type="pct"/>
                  </w:tcPr>
                  <w:p w14:paraId="2EE243FB" w14:textId="77777777" w:rsidR="007E7472" w:rsidRDefault="00C8327E">
                    <w:pPr>
                      <w:jc w:val="right"/>
                      <w:rPr>
                        <w:spacing w:val="-20"/>
                        <w:sz w:val="18"/>
                        <w:szCs w:val="18"/>
                      </w:rPr>
                    </w:pPr>
                  </w:p>
                </w:tc>
                <w:tc>
                  <w:tcPr>
                    <w:tcW w:w="255" w:type="pct"/>
                  </w:tcPr>
                  <w:p w14:paraId="3956C5DB" w14:textId="77777777" w:rsidR="007E7472" w:rsidRDefault="00C8327E">
                    <w:pPr>
                      <w:jc w:val="right"/>
                      <w:rPr>
                        <w:spacing w:val="-20"/>
                        <w:sz w:val="18"/>
                        <w:szCs w:val="18"/>
                      </w:rPr>
                    </w:pPr>
                  </w:p>
                </w:tc>
                <w:tc>
                  <w:tcPr>
                    <w:tcW w:w="219" w:type="pct"/>
                  </w:tcPr>
                  <w:p w14:paraId="50F13BF3" w14:textId="77777777" w:rsidR="007E7472" w:rsidRDefault="00C8327E">
                    <w:pPr>
                      <w:jc w:val="right"/>
                      <w:rPr>
                        <w:spacing w:val="-20"/>
                        <w:sz w:val="18"/>
                        <w:szCs w:val="18"/>
                      </w:rPr>
                    </w:pPr>
                  </w:p>
                </w:tc>
                <w:tc>
                  <w:tcPr>
                    <w:tcW w:w="398" w:type="pct"/>
                  </w:tcPr>
                  <w:p w14:paraId="5195A780" w14:textId="77777777" w:rsidR="007E7472" w:rsidRDefault="00C8327E">
                    <w:pPr>
                      <w:jc w:val="right"/>
                      <w:rPr>
                        <w:spacing w:val="-20"/>
                        <w:sz w:val="18"/>
                        <w:szCs w:val="18"/>
                      </w:rPr>
                    </w:pPr>
                  </w:p>
                </w:tc>
                <w:tc>
                  <w:tcPr>
                    <w:tcW w:w="205" w:type="pct"/>
                  </w:tcPr>
                  <w:p w14:paraId="7547CB9D" w14:textId="77777777" w:rsidR="007E7472" w:rsidRDefault="00C8327E">
                    <w:pPr>
                      <w:jc w:val="right"/>
                      <w:rPr>
                        <w:spacing w:val="-20"/>
                        <w:sz w:val="18"/>
                        <w:szCs w:val="18"/>
                      </w:rPr>
                    </w:pPr>
                  </w:p>
                </w:tc>
                <w:tc>
                  <w:tcPr>
                    <w:tcW w:w="379" w:type="pct"/>
                  </w:tcPr>
                  <w:p w14:paraId="5E5B3860" w14:textId="77777777" w:rsidR="007E7472" w:rsidRDefault="00C8327E">
                    <w:pPr>
                      <w:jc w:val="right"/>
                      <w:rPr>
                        <w:spacing w:val="-20"/>
                        <w:sz w:val="18"/>
                        <w:szCs w:val="18"/>
                      </w:rPr>
                    </w:pPr>
                  </w:p>
                </w:tc>
                <w:tc>
                  <w:tcPr>
                    <w:tcW w:w="330" w:type="pct"/>
                  </w:tcPr>
                  <w:p w14:paraId="6C8E9BE8" w14:textId="77777777" w:rsidR="007E7472" w:rsidRDefault="00C8327E">
                    <w:pPr>
                      <w:jc w:val="right"/>
                      <w:rPr>
                        <w:spacing w:val="-20"/>
                        <w:sz w:val="18"/>
                        <w:szCs w:val="18"/>
                      </w:rPr>
                    </w:pPr>
                  </w:p>
                </w:tc>
                <w:tc>
                  <w:tcPr>
                    <w:tcW w:w="356" w:type="pct"/>
                  </w:tcPr>
                  <w:p w14:paraId="35FFF5BD" w14:textId="77777777" w:rsidR="007E7472" w:rsidRDefault="00C8327E">
                    <w:pPr>
                      <w:jc w:val="right"/>
                      <w:rPr>
                        <w:spacing w:val="-20"/>
                        <w:sz w:val="18"/>
                        <w:szCs w:val="18"/>
                      </w:rPr>
                    </w:pPr>
                  </w:p>
                </w:tc>
              </w:tr>
              <w:tr w:rsidR="007E7472" w14:paraId="20FCE3C4" w14:textId="77777777">
                <w:sdt>
                  <w:sdtPr>
                    <w:tag w:val="_PLD_291ece6b974e4962be6cec3c398fd5be"/>
                    <w:id w:val="1389304400"/>
                    <w:lock w:val="sdtLocked"/>
                  </w:sdtPr>
                  <w:sdtEndPr/>
                  <w:sdtContent>
                    <w:tc>
                      <w:tcPr>
                        <w:tcW w:w="610" w:type="pct"/>
                      </w:tcPr>
                      <w:p w14:paraId="3C9DEE62" w14:textId="77777777" w:rsidR="007E7472" w:rsidRDefault="00EC1269">
                        <w:pPr>
                          <w:ind w:firstLineChars="200" w:firstLine="420"/>
                          <w:rPr>
                            <w:sz w:val="18"/>
                            <w:szCs w:val="18"/>
                          </w:rPr>
                        </w:pPr>
                        <w:r>
                          <w:rPr>
                            <w:sz w:val="18"/>
                            <w:szCs w:val="18"/>
                          </w:rPr>
                          <w:t>前期差错更正</w:t>
                        </w:r>
                      </w:p>
                    </w:tc>
                  </w:sdtContent>
                </w:sdt>
                <w:tc>
                  <w:tcPr>
                    <w:tcW w:w="305" w:type="pct"/>
                  </w:tcPr>
                  <w:p w14:paraId="11CEF04F" w14:textId="77777777" w:rsidR="007E7472" w:rsidRDefault="00C8327E">
                    <w:pPr>
                      <w:jc w:val="right"/>
                      <w:rPr>
                        <w:spacing w:val="-20"/>
                        <w:sz w:val="18"/>
                        <w:szCs w:val="18"/>
                      </w:rPr>
                    </w:pPr>
                  </w:p>
                </w:tc>
                <w:tc>
                  <w:tcPr>
                    <w:tcW w:w="192" w:type="pct"/>
                  </w:tcPr>
                  <w:p w14:paraId="4AE5BDD9" w14:textId="77777777" w:rsidR="007E7472" w:rsidRDefault="00C8327E">
                    <w:pPr>
                      <w:jc w:val="right"/>
                      <w:rPr>
                        <w:spacing w:val="-20"/>
                        <w:sz w:val="18"/>
                        <w:szCs w:val="18"/>
                      </w:rPr>
                    </w:pPr>
                  </w:p>
                </w:tc>
                <w:tc>
                  <w:tcPr>
                    <w:tcW w:w="330" w:type="pct"/>
                  </w:tcPr>
                  <w:p w14:paraId="6AB0FBAE" w14:textId="77777777" w:rsidR="007E7472" w:rsidRDefault="00C8327E">
                    <w:pPr>
                      <w:jc w:val="right"/>
                      <w:rPr>
                        <w:spacing w:val="-20"/>
                        <w:sz w:val="18"/>
                        <w:szCs w:val="18"/>
                      </w:rPr>
                    </w:pPr>
                  </w:p>
                </w:tc>
                <w:tc>
                  <w:tcPr>
                    <w:tcW w:w="147" w:type="pct"/>
                  </w:tcPr>
                  <w:p w14:paraId="22B437DA" w14:textId="77777777" w:rsidR="007E7472" w:rsidRDefault="00C8327E">
                    <w:pPr>
                      <w:jc w:val="right"/>
                      <w:rPr>
                        <w:spacing w:val="-20"/>
                        <w:sz w:val="18"/>
                        <w:szCs w:val="18"/>
                      </w:rPr>
                    </w:pPr>
                  </w:p>
                </w:tc>
                <w:tc>
                  <w:tcPr>
                    <w:tcW w:w="358" w:type="pct"/>
                  </w:tcPr>
                  <w:p w14:paraId="76CF6069" w14:textId="77777777" w:rsidR="007E7472" w:rsidRDefault="00C8327E">
                    <w:pPr>
                      <w:jc w:val="right"/>
                      <w:rPr>
                        <w:spacing w:val="-20"/>
                        <w:sz w:val="18"/>
                        <w:szCs w:val="18"/>
                      </w:rPr>
                    </w:pPr>
                  </w:p>
                </w:tc>
                <w:tc>
                  <w:tcPr>
                    <w:tcW w:w="256" w:type="pct"/>
                  </w:tcPr>
                  <w:p w14:paraId="0CB2A185" w14:textId="77777777" w:rsidR="007E7472" w:rsidRDefault="00C8327E">
                    <w:pPr>
                      <w:jc w:val="right"/>
                      <w:rPr>
                        <w:spacing w:val="-20"/>
                        <w:sz w:val="18"/>
                        <w:szCs w:val="18"/>
                      </w:rPr>
                    </w:pPr>
                  </w:p>
                </w:tc>
                <w:tc>
                  <w:tcPr>
                    <w:tcW w:w="356" w:type="pct"/>
                  </w:tcPr>
                  <w:p w14:paraId="3BEB2B15" w14:textId="77777777" w:rsidR="007E7472" w:rsidRDefault="00C8327E">
                    <w:pPr>
                      <w:jc w:val="right"/>
                      <w:rPr>
                        <w:spacing w:val="-20"/>
                        <w:sz w:val="18"/>
                        <w:szCs w:val="18"/>
                      </w:rPr>
                    </w:pPr>
                  </w:p>
                </w:tc>
                <w:tc>
                  <w:tcPr>
                    <w:tcW w:w="305" w:type="pct"/>
                  </w:tcPr>
                  <w:p w14:paraId="47E08E35" w14:textId="77777777" w:rsidR="007E7472" w:rsidRDefault="00C8327E">
                    <w:pPr>
                      <w:jc w:val="right"/>
                      <w:rPr>
                        <w:spacing w:val="-20"/>
                        <w:sz w:val="18"/>
                        <w:szCs w:val="18"/>
                      </w:rPr>
                    </w:pPr>
                  </w:p>
                </w:tc>
                <w:tc>
                  <w:tcPr>
                    <w:tcW w:w="255" w:type="pct"/>
                  </w:tcPr>
                  <w:p w14:paraId="0CBC6F55" w14:textId="77777777" w:rsidR="007E7472" w:rsidRDefault="00C8327E">
                    <w:pPr>
                      <w:jc w:val="right"/>
                      <w:rPr>
                        <w:spacing w:val="-20"/>
                        <w:sz w:val="18"/>
                        <w:szCs w:val="18"/>
                      </w:rPr>
                    </w:pPr>
                  </w:p>
                </w:tc>
                <w:tc>
                  <w:tcPr>
                    <w:tcW w:w="219" w:type="pct"/>
                  </w:tcPr>
                  <w:p w14:paraId="3407CED2" w14:textId="77777777" w:rsidR="007E7472" w:rsidRDefault="00C8327E">
                    <w:pPr>
                      <w:jc w:val="right"/>
                      <w:rPr>
                        <w:spacing w:val="-20"/>
                        <w:sz w:val="18"/>
                        <w:szCs w:val="18"/>
                      </w:rPr>
                    </w:pPr>
                  </w:p>
                </w:tc>
                <w:tc>
                  <w:tcPr>
                    <w:tcW w:w="398" w:type="pct"/>
                  </w:tcPr>
                  <w:p w14:paraId="2A9617F2" w14:textId="77777777" w:rsidR="007E7472" w:rsidRDefault="00C8327E">
                    <w:pPr>
                      <w:jc w:val="right"/>
                      <w:rPr>
                        <w:spacing w:val="-20"/>
                        <w:sz w:val="18"/>
                        <w:szCs w:val="18"/>
                      </w:rPr>
                    </w:pPr>
                  </w:p>
                </w:tc>
                <w:tc>
                  <w:tcPr>
                    <w:tcW w:w="205" w:type="pct"/>
                  </w:tcPr>
                  <w:p w14:paraId="5B216798" w14:textId="77777777" w:rsidR="007E7472" w:rsidRDefault="00C8327E">
                    <w:pPr>
                      <w:jc w:val="right"/>
                      <w:rPr>
                        <w:spacing w:val="-20"/>
                        <w:sz w:val="18"/>
                        <w:szCs w:val="18"/>
                      </w:rPr>
                    </w:pPr>
                  </w:p>
                </w:tc>
                <w:tc>
                  <w:tcPr>
                    <w:tcW w:w="379" w:type="pct"/>
                  </w:tcPr>
                  <w:p w14:paraId="2B901367" w14:textId="77777777" w:rsidR="007E7472" w:rsidRDefault="00C8327E">
                    <w:pPr>
                      <w:jc w:val="right"/>
                      <w:rPr>
                        <w:spacing w:val="-20"/>
                        <w:sz w:val="18"/>
                        <w:szCs w:val="18"/>
                      </w:rPr>
                    </w:pPr>
                  </w:p>
                </w:tc>
                <w:tc>
                  <w:tcPr>
                    <w:tcW w:w="330" w:type="pct"/>
                  </w:tcPr>
                  <w:p w14:paraId="51452072" w14:textId="77777777" w:rsidR="007E7472" w:rsidRDefault="00C8327E">
                    <w:pPr>
                      <w:jc w:val="right"/>
                      <w:rPr>
                        <w:spacing w:val="-20"/>
                        <w:sz w:val="18"/>
                        <w:szCs w:val="18"/>
                      </w:rPr>
                    </w:pPr>
                  </w:p>
                </w:tc>
                <w:tc>
                  <w:tcPr>
                    <w:tcW w:w="356" w:type="pct"/>
                  </w:tcPr>
                  <w:p w14:paraId="63FAA0EF" w14:textId="77777777" w:rsidR="007E7472" w:rsidRDefault="00C8327E">
                    <w:pPr>
                      <w:jc w:val="right"/>
                      <w:rPr>
                        <w:spacing w:val="-20"/>
                        <w:sz w:val="18"/>
                        <w:szCs w:val="18"/>
                      </w:rPr>
                    </w:pPr>
                  </w:p>
                </w:tc>
              </w:tr>
              <w:tr w:rsidR="007E7472" w14:paraId="606AA912" w14:textId="77777777">
                <w:sdt>
                  <w:sdtPr>
                    <w:tag w:val="_PLD_1a5424a99ed44019a3f8a704efe4903d"/>
                    <w:id w:val="-1414003019"/>
                    <w:lock w:val="sdtLocked"/>
                  </w:sdtPr>
                  <w:sdtEndPr/>
                  <w:sdtContent>
                    <w:tc>
                      <w:tcPr>
                        <w:tcW w:w="610" w:type="pct"/>
                      </w:tcPr>
                      <w:p w14:paraId="20BAA21C" w14:textId="77777777" w:rsidR="007E7472" w:rsidRDefault="00EC1269">
                        <w:pPr>
                          <w:ind w:firstLineChars="200" w:firstLine="420"/>
                          <w:rPr>
                            <w:sz w:val="18"/>
                            <w:szCs w:val="18"/>
                          </w:rPr>
                        </w:pPr>
                        <w:r>
                          <w:rPr>
                            <w:rFonts w:hint="eastAsia"/>
                            <w:sz w:val="18"/>
                            <w:szCs w:val="18"/>
                          </w:rPr>
                          <w:t>同一控制下企业合并</w:t>
                        </w:r>
                      </w:p>
                    </w:tc>
                  </w:sdtContent>
                </w:sdt>
                <w:tc>
                  <w:tcPr>
                    <w:tcW w:w="305" w:type="pct"/>
                  </w:tcPr>
                  <w:p w14:paraId="32E9BFB9" w14:textId="77777777" w:rsidR="007E7472" w:rsidRDefault="00C8327E">
                    <w:pPr>
                      <w:jc w:val="right"/>
                      <w:rPr>
                        <w:spacing w:val="-20"/>
                        <w:sz w:val="18"/>
                        <w:szCs w:val="18"/>
                      </w:rPr>
                    </w:pPr>
                  </w:p>
                </w:tc>
                <w:tc>
                  <w:tcPr>
                    <w:tcW w:w="192" w:type="pct"/>
                  </w:tcPr>
                  <w:p w14:paraId="4C6CF4D9" w14:textId="77777777" w:rsidR="007E7472" w:rsidRDefault="00C8327E">
                    <w:pPr>
                      <w:jc w:val="right"/>
                      <w:rPr>
                        <w:spacing w:val="-20"/>
                        <w:sz w:val="18"/>
                        <w:szCs w:val="18"/>
                      </w:rPr>
                    </w:pPr>
                  </w:p>
                </w:tc>
                <w:tc>
                  <w:tcPr>
                    <w:tcW w:w="330" w:type="pct"/>
                  </w:tcPr>
                  <w:p w14:paraId="0AF9FE1B" w14:textId="77777777" w:rsidR="007E7472" w:rsidRDefault="00C8327E">
                    <w:pPr>
                      <w:jc w:val="right"/>
                      <w:rPr>
                        <w:spacing w:val="-20"/>
                        <w:sz w:val="18"/>
                        <w:szCs w:val="18"/>
                      </w:rPr>
                    </w:pPr>
                  </w:p>
                </w:tc>
                <w:tc>
                  <w:tcPr>
                    <w:tcW w:w="147" w:type="pct"/>
                  </w:tcPr>
                  <w:p w14:paraId="3395FA0C" w14:textId="77777777" w:rsidR="007E7472" w:rsidRDefault="00C8327E">
                    <w:pPr>
                      <w:jc w:val="right"/>
                      <w:rPr>
                        <w:spacing w:val="-20"/>
                        <w:sz w:val="18"/>
                        <w:szCs w:val="18"/>
                      </w:rPr>
                    </w:pPr>
                  </w:p>
                </w:tc>
                <w:tc>
                  <w:tcPr>
                    <w:tcW w:w="358" w:type="pct"/>
                    <w:vAlign w:val="center"/>
                  </w:tcPr>
                  <w:p w14:paraId="1BA66698" w14:textId="77777777" w:rsidR="007E7472" w:rsidRDefault="00EC1269">
                    <w:pPr>
                      <w:jc w:val="right"/>
                      <w:rPr>
                        <w:spacing w:val="-20"/>
                        <w:sz w:val="18"/>
                        <w:szCs w:val="18"/>
                      </w:rPr>
                    </w:pPr>
                    <w:r>
                      <w:rPr>
                        <w:rFonts w:hint="eastAsia"/>
                        <w:spacing w:val="-20"/>
                        <w:sz w:val="18"/>
                        <w:szCs w:val="18"/>
                      </w:rPr>
                      <w:t>75,000</w:t>
                    </w:r>
                  </w:p>
                </w:tc>
                <w:tc>
                  <w:tcPr>
                    <w:tcW w:w="256" w:type="pct"/>
                    <w:vAlign w:val="center"/>
                  </w:tcPr>
                  <w:p w14:paraId="59BA8C97" w14:textId="77777777" w:rsidR="007E7472" w:rsidRDefault="00C8327E">
                    <w:pPr>
                      <w:jc w:val="right"/>
                      <w:rPr>
                        <w:spacing w:val="-20"/>
                        <w:sz w:val="18"/>
                        <w:szCs w:val="18"/>
                      </w:rPr>
                    </w:pPr>
                  </w:p>
                </w:tc>
                <w:tc>
                  <w:tcPr>
                    <w:tcW w:w="356" w:type="pct"/>
                    <w:vAlign w:val="center"/>
                  </w:tcPr>
                  <w:p w14:paraId="64B05F9C" w14:textId="77777777" w:rsidR="007E7472" w:rsidRDefault="00C8327E">
                    <w:pPr>
                      <w:jc w:val="right"/>
                      <w:rPr>
                        <w:spacing w:val="-20"/>
                        <w:sz w:val="18"/>
                        <w:szCs w:val="18"/>
                      </w:rPr>
                    </w:pPr>
                  </w:p>
                </w:tc>
                <w:tc>
                  <w:tcPr>
                    <w:tcW w:w="305" w:type="pct"/>
                    <w:vAlign w:val="center"/>
                  </w:tcPr>
                  <w:p w14:paraId="5D50CCF2" w14:textId="77777777" w:rsidR="007E7472" w:rsidRDefault="00C8327E">
                    <w:pPr>
                      <w:jc w:val="right"/>
                      <w:rPr>
                        <w:spacing w:val="-20"/>
                        <w:sz w:val="18"/>
                        <w:szCs w:val="18"/>
                      </w:rPr>
                    </w:pPr>
                  </w:p>
                </w:tc>
                <w:tc>
                  <w:tcPr>
                    <w:tcW w:w="255" w:type="pct"/>
                    <w:vAlign w:val="center"/>
                  </w:tcPr>
                  <w:p w14:paraId="7FD3419E" w14:textId="77777777" w:rsidR="007E7472" w:rsidRDefault="00C8327E">
                    <w:pPr>
                      <w:jc w:val="right"/>
                      <w:rPr>
                        <w:spacing w:val="-20"/>
                        <w:sz w:val="18"/>
                        <w:szCs w:val="18"/>
                      </w:rPr>
                    </w:pPr>
                  </w:p>
                </w:tc>
                <w:tc>
                  <w:tcPr>
                    <w:tcW w:w="219" w:type="pct"/>
                    <w:vAlign w:val="center"/>
                  </w:tcPr>
                  <w:p w14:paraId="66894534" w14:textId="77777777" w:rsidR="007E7472" w:rsidRDefault="00C8327E">
                    <w:pPr>
                      <w:jc w:val="right"/>
                      <w:rPr>
                        <w:spacing w:val="-20"/>
                        <w:sz w:val="18"/>
                        <w:szCs w:val="18"/>
                      </w:rPr>
                    </w:pPr>
                  </w:p>
                </w:tc>
                <w:tc>
                  <w:tcPr>
                    <w:tcW w:w="398" w:type="pct"/>
                    <w:vAlign w:val="center"/>
                  </w:tcPr>
                  <w:p w14:paraId="3B30D101" w14:textId="77777777" w:rsidR="007E7472" w:rsidRDefault="00EC1269">
                    <w:pPr>
                      <w:jc w:val="right"/>
                      <w:rPr>
                        <w:spacing w:val="-20"/>
                        <w:sz w:val="18"/>
                        <w:szCs w:val="18"/>
                      </w:rPr>
                    </w:pPr>
                    <w:r>
                      <w:rPr>
                        <w:rFonts w:hint="eastAsia"/>
                        <w:spacing w:val="-20"/>
                        <w:sz w:val="18"/>
                        <w:szCs w:val="18"/>
                      </w:rPr>
                      <w:t>-33,821</w:t>
                    </w:r>
                  </w:p>
                </w:tc>
                <w:tc>
                  <w:tcPr>
                    <w:tcW w:w="205" w:type="pct"/>
                    <w:vAlign w:val="center"/>
                  </w:tcPr>
                  <w:p w14:paraId="5ACEE988" w14:textId="77777777" w:rsidR="007E7472" w:rsidRDefault="00C8327E">
                    <w:pPr>
                      <w:jc w:val="right"/>
                      <w:rPr>
                        <w:spacing w:val="-20"/>
                        <w:sz w:val="18"/>
                        <w:szCs w:val="18"/>
                      </w:rPr>
                    </w:pPr>
                  </w:p>
                </w:tc>
                <w:tc>
                  <w:tcPr>
                    <w:tcW w:w="379" w:type="pct"/>
                    <w:vAlign w:val="center"/>
                  </w:tcPr>
                  <w:p w14:paraId="4EE1DBE6" w14:textId="77777777" w:rsidR="007E7472" w:rsidRDefault="00EC1269">
                    <w:pPr>
                      <w:jc w:val="right"/>
                      <w:rPr>
                        <w:spacing w:val="-20"/>
                        <w:sz w:val="18"/>
                        <w:szCs w:val="18"/>
                      </w:rPr>
                    </w:pPr>
                    <w:r>
                      <w:rPr>
                        <w:rFonts w:hint="eastAsia"/>
                        <w:spacing w:val="-20"/>
                        <w:sz w:val="18"/>
                        <w:szCs w:val="18"/>
                      </w:rPr>
                      <w:t>41,179</w:t>
                    </w:r>
                  </w:p>
                </w:tc>
                <w:tc>
                  <w:tcPr>
                    <w:tcW w:w="330" w:type="pct"/>
                    <w:vAlign w:val="center"/>
                  </w:tcPr>
                  <w:p w14:paraId="49BDEA0F" w14:textId="77777777" w:rsidR="007E7472" w:rsidRDefault="00EC1269">
                    <w:pPr>
                      <w:jc w:val="right"/>
                      <w:rPr>
                        <w:spacing w:val="-20"/>
                        <w:sz w:val="18"/>
                        <w:szCs w:val="18"/>
                      </w:rPr>
                    </w:pPr>
                    <w:r>
                      <w:rPr>
                        <w:rFonts w:hint="eastAsia"/>
                        <w:spacing w:val="-20"/>
                        <w:sz w:val="18"/>
                        <w:szCs w:val="18"/>
                      </w:rPr>
                      <w:t>13,726</w:t>
                    </w:r>
                  </w:p>
                </w:tc>
                <w:tc>
                  <w:tcPr>
                    <w:tcW w:w="356" w:type="pct"/>
                    <w:vAlign w:val="center"/>
                  </w:tcPr>
                  <w:p w14:paraId="15C923AF" w14:textId="77777777" w:rsidR="007E7472" w:rsidRDefault="00EC1269">
                    <w:pPr>
                      <w:jc w:val="right"/>
                      <w:rPr>
                        <w:spacing w:val="-20"/>
                        <w:sz w:val="18"/>
                        <w:szCs w:val="18"/>
                      </w:rPr>
                    </w:pPr>
                    <w:r>
                      <w:rPr>
                        <w:rFonts w:hint="eastAsia"/>
                        <w:spacing w:val="-20"/>
                        <w:sz w:val="18"/>
                        <w:szCs w:val="18"/>
                      </w:rPr>
                      <w:t>54,905</w:t>
                    </w:r>
                  </w:p>
                </w:tc>
              </w:tr>
              <w:tr w:rsidR="007E7472" w14:paraId="17479736" w14:textId="77777777">
                <w:sdt>
                  <w:sdtPr>
                    <w:tag w:val="_PLD_7953fd87201b462ab8c42a4716d6cb65"/>
                    <w:id w:val="-1521926578"/>
                    <w:lock w:val="sdtLocked"/>
                  </w:sdtPr>
                  <w:sdtEndPr/>
                  <w:sdtContent>
                    <w:tc>
                      <w:tcPr>
                        <w:tcW w:w="610" w:type="pct"/>
                      </w:tcPr>
                      <w:p w14:paraId="76E4EFBA" w14:textId="77777777" w:rsidR="007E7472" w:rsidRDefault="00EC1269">
                        <w:pPr>
                          <w:ind w:firstLineChars="200" w:firstLine="420"/>
                          <w:rPr>
                            <w:sz w:val="18"/>
                            <w:szCs w:val="18"/>
                          </w:rPr>
                        </w:pPr>
                        <w:r>
                          <w:rPr>
                            <w:rFonts w:hint="eastAsia"/>
                            <w:sz w:val="18"/>
                            <w:szCs w:val="18"/>
                          </w:rPr>
                          <w:t>其他</w:t>
                        </w:r>
                      </w:p>
                    </w:tc>
                  </w:sdtContent>
                </w:sdt>
                <w:tc>
                  <w:tcPr>
                    <w:tcW w:w="305" w:type="pct"/>
                  </w:tcPr>
                  <w:p w14:paraId="47CDAAC1" w14:textId="77777777" w:rsidR="007E7472" w:rsidRDefault="00C8327E">
                    <w:pPr>
                      <w:jc w:val="right"/>
                      <w:rPr>
                        <w:spacing w:val="-20"/>
                        <w:sz w:val="18"/>
                        <w:szCs w:val="18"/>
                      </w:rPr>
                    </w:pPr>
                  </w:p>
                </w:tc>
                <w:tc>
                  <w:tcPr>
                    <w:tcW w:w="192" w:type="pct"/>
                  </w:tcPr>
                  <w:p w14:paraId="381C9571" w14:textId="77777777" w:rsidR="007E7472" w:rsidRDefault="00C8327E">
                    <w:pPr>
                      <w:jc w:val="right"/>
                      <w:rPr>
                        <w:spacing w:val="-20"/>
                        <w:sz w:val="18"/>
                        <w:szCs w:val="18"/>
                      </w:rPr>
                    </w:pPr>
                  </w:p>
                </w:tc>
                <w:tc>
                  <w:tcPr>
                    <w:tcW w:w="330" w:type="pct"/>
                  </w:tcPr>
                  <w:p w14:paraId="3B9DD609" w14:textId="77777777" w:rsidR="007E7472" w:rsidRDefault="00C8327E">
                    <w:pPr>
                      <w:jc w:val="right"/>
                      <w:rPr>
                        <w:spacing w:val="-20"/>
                        <w:sz w:val="18"/>
                        <w:szCs w:val="18"/>
                      </w:rPr>
                    </w:pPr>
                  </w:p>
                </w:tc>
                <w:tc>
                  <w:tcPr>
                    <w:tcW w:w="147" w:type="pct"/>
                  </w:tcPr>
                  <w:p w14:paraId="3128E3C6" w14:textId="77777777" w:rsidR="007E7472" w:rsidRDefault="00C8327E">
                    <w:pPr>
                      <w:jc w:val="right"/>
                      <w:rPr>
                        <w:spacing w:val="-20"/>
                        <w:sz w:val="18"/>
                        <w:szCs w:val="18"/>
                      </w:rPr>
                    </w:pPr>
                  </w:p>
                </w:tc>
                <w:tc>
                  <w:tcPr>
                    <w:tcW w:w="358" w:type="pct"/>
                  </w:tcPr>
                  <w:p w14:paraId="08B6E7DE" w14:textId="77777777" w:rsidR="007E7472" w:rsidRDefault="00C8327E">
                    <w:pPr>
                      <w:jc w:val="right"/>
                      <w:rPr>
                        <w:spacing w:val="-20"/>
                        <w:sz w:val="18"/>
                        <w:szCs w:val="18"/>
                      </w:rPr>
                    </w:pPr>
                  </w:p>
                </w:tc>
                <w:tc>
                  <w:tcPr>
                    <w:tcW w:w="256" w:type="pct"/>
                  </w:tcPr>
                  <w:p w14:paraId="6BE9E751" w14:textId="77777777" w:rsidR="007E7472" w:rsidRDefault="00C8327E">
                    <w:pPr>
                      <w:jc w:val="right"/>
                      <w:rPr>
                        <w:spacing w:val="-20"/>
                        <w:sz w:val="18"/>
                        <w:szCs w:val="18"/>
                      </w:rPr>
                    </w:pPr>
                  </w:p>
                </w:tc>
                <w:tc>
                  <w:tcPr>
                    <w:tcW w:w="356" w:type="pct"/>
                  </w:tcPr>
                  <w:p w14:paraId="075C0D0F" w14:textId="77777777" w:rsidR="007E7472" w:rsidRDefault="00C8327E">
                    <w:pPr>
                      <w:jc w:val="right"/>
                      <w:rPr>
                        <w:spacing w:val="-20"/>
                        <w:sz w:val="18"/>
                        <w:szCs w:val="18"/>
                      </w:rPr>
                    </w:pPr>
                  </w:p>
                </w:tc>
                <w:tc>
                  <w:tcPr>
                    <w:tcW w:w="305" w:type="pct"/>
                  </w:tcPr>
                  <w:p w14:paraId="716DAB06" w14:textId="77777777" w:rsidR="007E7472" w:rsidRDefault="00C8327E">
                    <w:pPr>
                      <w:jc w:val="right"/>
                      <w:rPr>
                        <w:spacing w:val="-20"/>
                        <w:sz w:val="18"/>
                        <w:szCs w:val="18"/>
                      </w:rPr>
                    </w:pPr>
                  </w:p>
                </w:tc>
                <w:tc>
                  <w:tcPr>
                    <w:tcW w:w="255" w:type="pct"/>
                  </w:tcPr>
                  <w:p w14:paraId="1746F653" w14:textId="77777777" w:rsidR="007E7472" w:rsidRDefault="00C8327E">
                    <w:pPr>
                      <w:jc w:val="right"/>
                      <w:rPr>
                        <w:spacing w:val="-20"/>
                        <w:sz w:val="18"/>
                        <w:szCs w:val="18"/>
                      </w:rPr>
                    </w:pPr>
                  </w:p>
                </w:tc>
                <w:tc>
                  <w:tcPr>
                    <w:tcW w:w="219" w:type="pct"/>
                  </w:tcPr>
                  <w:p w14:paraId="18648C6C" w14:textId="77777777" w:rsidR="007E7472" w:rsidRDefault="00C8327E">
                    <w:pPr>
                      <w:jc w:val="right"/>
                      <w:rPr>
                        <w:spacing w:val="-20"/>
                        <w:sz w:val="18"/>
                        <w:szCs w:val="18"/>
                      </w:rPr>
                    </w:pPr>
                  </w:p>
                </w:tc>
                <w:tc>
                  <w:tcPr>
                    <w:tcW w:w="398" w:type="pct"/>
                  </w:tcPr>
                  <w:p w14:paraId="646BBC89" w14:textId="77777777" w:rsidR="007E7472" w:rsidRDefault="00C8327E">
                    <w:pPr>
                      <w:jc w:val="right"/>
                      <w:rPr>
                        <w:spacing w:val="-20"/>
                        <w:sz w:val="18"/>
                        <w:szCs w:val="18"/>
                      </w:rPr>
                    </w:pPr>
                  </w:p>
                </w:tc>
                <w:tc>
                  <w:tcPr>
                    <w:tcW w:w="205" w:type="pct"/>
                  </w:tcPr>
                  <w:p w14:paraId="142CC18B" w14:textId="77777777" w:rsidR="007E7472" w:rsidRDefault="00C8327E">
                    <w:pPr>
                      <w:jc w:val="right"/>
                      <w:rPr>
                        <w:spacing w:val="-20"/>
                        <w:sz w:val="18"/>
                        <w:szCs w:val="18"/>
                      </w:rPr>
                    </w:pPr>
                  </w:p>
                </w:tc>
                <w:tc>
                  <w:tcPr>
                    <w:tcW w:w="379" w:type="pct"/>
                  </w:tcPr>
                  <w:p w14:paraId="1409A8F2" w14:textId="77777777" w:rsidR="007E7472" w:rsidRDefault="00C8327E">
                    <w:pPr>
                      <w:jc w:val="right"/>
                      <w:rPr>
                        <w:spacing w:val="-20"/>
                        <w:sz w:val="18"/>
                        <w:szCs w:val="18"/>
                      </w:rPr>
                    </w:pPr>
                  </w:p>
                </w:tc>
                <w:tc>
                  <w:tcPr>
                    <w:tcW w:w="330" w:type="pct"/>
                  </w:tcPr>
                  <w:p w14:paraId="51A30F46" w14:textId="77777777" w:rsidR="007E7472" w:rsidRDefault="00C8327E">
                    <w:pPr>
                      <w:jc w:val="right"/>
                      <w:rPr>
                        <w:spacing w:val="-20"/>
                        <w:sz w:val="18"/>
                        <w:szCs w:val="18"/>
                      </w:rPr>
                    </w:pPr>
                  </w:p>
                </w:tc>
                <w:tc>
                  <w:tcPr>
                    <w:tcW w:w="356" w:type="pct"/>
                  </w:tcPr>
                  <w:p w14:paraId="778DD594" w14:textId="77777777" w:rsidR="007E7472" w:rsidRDefault="00C8327E">
                    <w:pPr>
                      <w:jc w:val="right"/>
                      <w:rPr>
                        <w:spacing w:val="-20"/>
                        <w:sz w:val="18"/>
                        <w:szCs w:val="18"/>
                      </w:rPr>
                    </w:pPr>
                  </w:p>
                </w:tc>
              </w:tr>
              <w:tr w:rsidR="007E7472" w14:paraId="405801C0" w14:textId="77777777">
                <w:sdt>
                  <w:sdtPr>
                    <w:tag w:val="_PLD_16d601e73dc14990b60ca53acf1371ba"/>
                    <w:id w:val="-1724439770"/>
                    <w:lock w:val="sdtLocked"/>
                  </w:sdtPr>
                  <w:sdtEndPr/>
                  <w:sdtContent>
                    <w:tc>
                      <w:tcPr>
                        <w:tcW w:w="610" w:type="pct"/>
                      </w:tcPr>
                      <w:p w14:paraId="3080C39E" w14:textId="77777777" w:rsidR="007E7472" w:rsidRDefault="00EC1269">
                        <w:pPr>
                          <w:rPr>
                            <w:sz w:val="18"/>
                            <w:szCs w:val="18"/>
                          </w:rPr>
                        </w:pPr>
                        <w:r>
                          <w:rPr>
                            <w:sz w:val="18"/>
                            <w:szCs w:val="18"/>
                          </w:rPr>
                          <w:t>二、本年</w:t>
                        </w:r>
                        <w:r>
                          <w:rPr>
                            <w:rFonts w:hint="eastAsia"/>
                            <w:sz w:val="18"/>
                            <w:szCs w:val="18"/>
                          </w:rPr>
                          <w:t>期</w:t>
                        </w:r>
                        <w:r>
                          <w:rPr>
                            <w:sz w:val="18"/>
                            <w:szCs w:val="18"/>
                          </w:rPr>
                          <w:t>初余额</w:t>
                        </w:r>
                      </w:p>
                    </w:tc>
                  </w:sdtContent>
                </w:sdt>
                <w:tc>
                  <w:tcPr>
                    <w:tcW w:w="305" w:type="pct"/>
                    <w:vAlign w:val="center"/>
                  </w:tcPr>
                  <w:p w14:paraId="56DD456F" w14:textId="77777777" w:rsidR="007E7472" w:rsidRDefault="00EC1269">
                    <w:pPr>
                      <w:jc w:val="right"/>
                      <w:rPr>
                        <w:spacing w:val="-20"/>
                        <w:sz w:val="18"/>
                        <w:szCs w:val="18"/>
                      </w:rPr>
                    </w:pPr>
                    <w:r>
                      <w:rPr>
                        <w:rFonts w:hint="eastAsia"/>
                        <w:spacing w:val="-20"/>
                        <w:sz w:val="18"/>
                        <w:szCs w:val="18"/>
                      </w:rPr>
                      <w:t>4,948,704</w:t>
                    </w:r>
                  </w:p>
                </w:tc>
                <w:tc>
                  <w:tcPr>
                    <w:tcW w:w="192" w:type="pct"/>
                  </w:tcPr>
                  <w:p w14:paraId="01BDA6A5" w14:textId="77777777" w:rsidR="007E7472" w:rsidRDefault="00C8327E">
                    <w:pPr>
                      <w:jc w:val="right"/>
                      <w:rPr>
                        <w:spacing w:val="-20"/>
                        <w:sz w:val="18"/>
                        <w:szCs w:val="18"/>
                      </w:rPr>
                    </w:pPr>
                  </w:p>
                </w:tc>
                <w:tc>
                  <w:tcPr>
                    <w:tcW w:w="330" w:type="pct"/>
                    <w:vAlign w:val="center"/>
                  </w:tcPr>
                  <w:p w14:paraId="63AEA9F5" w14:textId="77777777" w:rsidR="007E7472" w:rsidRDefault="00EC1269">
                    <w:pPr>
                      <w:jc w:val="right"/>
                      <w:rPr>
                        <w:spacing w:val="-20"/>
                        <w:sz w:val="18"/>
                        <w:szCs w:val="18"/>
                      </w:rPr>
                    </w:pPr>
                    <w:r>
                      <w:rPr>
                        <w:rFonts w:hint="eastAsia"/>
                        <w:spacing w:val="-20"/>
                        <w:sz w:val="18"/>
                        <w:szCs w:val="18"/>
                      </w:rPr>
                      <w:t>13,248,614</w:t>
                    </w:r>
                  </w:p>
                </w:tc>
                <w:tc>
                  <w:tcPr>
                    <w:tcW w:w="147" w:type="pct"/>
                  </w:tcPr>
                  <w:p w14:paraId="3EBB07AE" w14:textId="77777777" w:rsidR="007E7472" w:rsidRDefault="00C8327E">
                    <w:pPr>
                      <w:jc w:val="right"/>
                      <w:rPr>
                        <w:spacing w:val="-20"/>
                        <w:sz w:val="18"/>
                        <w:szCs w:val="18"/>
                      </w:rPr>
                    </w:pPr>
                  </w:p>
                </w:tc>
                <w:tc>
                  <w:tcPr>
                    <w:tcW w:w="358" w:type="pct"/>
                    <w:vAlign w:val="center"/>
                  </w:tcPr>
                  <w:p w14:paraId="2822695E" w14:textId="77777777" w:rsidR="007E7472" w:rsidRDefault="00EC1269">
                    <w:pPr>
                      <w:jc w:val="right"/>
                      <w:rPr>
                        <w:spacing w:val="-20"/>
                        <w:sz w:val="18"/>
                        <w:szCs w:val="18"/>
                      </w:rPr>
                    </w:pPr>
                    <w:r>
                      <w:rPr>
                        <w:rFonts w:hint="eastAsia"/>
                        <w:spacing w:val="-20"/>
                        <w:sz w:val="18"/>
                        <w:szCs w:val="18"/>
                      </w:rPr>
                      <w:t>1,788,353</w:t>
                    </w:r>
                  </w:p>
                </w:tc>
                <w:tc>
                  <w:tcPr>
                    <w:tcW w:w="256" w:type="pct"/>
                    <w:vAlign w:val="center"/>
                  </w:tcPr>
                  <w:p w14:paraId="4B30F5BE" w14:textId="77777777" w:rsidR="007E7472" w:rsidRDefault="00EC1269">
                    <w:pPr>
                      <w:jc w:val="right"/>
                      <w:rPr>
                        <w:spacing w:val="-20"/>
                        <w:sz w:val="18"/>
                        <w:szCs w:val="18"/>
                      </w:rPr>
                    </w:pPr>
                    <w:r>
                      <w:rPr>
                        <w:rFonts w:hint="eastAsia"/>
                        <w:spacing w:val="-20"/>
                        <w:sz w:val="18"/>
                        <w:szCs w:val="18"/>
                      </w:rPr>
                      <w:t>723,593</w:t>
                    </w:r>
                  </w:p>
                </w:tc>
                <w:tc>
                  <w:tcPr>
                    <w:tcW w:w="356" w:type="pct"/>
                    <w:vAlign w:val="center"/>
                  </w:tcPr>
                  <w:p w14:paraId="30505583" w14:textId="77777777" w:rsidR="007E7472" w:rsidRDefault="00EC1269">
                    <w:pPr>
                      <w:jc w:val="right"/>
                      <w:rPr>
                        <w:spacing w:val="-20"/>
                        <w:sz w:val="18"/>
                        <w:szCs w:val="18"/>
                      </w:rPr>
                    </w:pPr>
                    <w:r>
                      <w:rPr>
                        <w:rFonts w:hint="eastAsia"/>
                        <w:spacing w:val="-20"/>
                        <w:sz w:val="18"/>
                        <w:szCs w:val="18"/>
                      </w:rPr>
                      <w:t>-7,151,945</w:t>
                    </w:r>
                  </w:p>
                </w:tc>
                <w:tc>
                  <w:tcPr>
                    <w:tcW w:w="305" w:type="pct"/>
                    <w:vAlign w:val="center"/>
                  </w:tcPr>
                  <w:p w14:paraId="14ED541D" w14:textId="77777777" w:rsidR="007E7472" w:rsidRDefault="00EC1269">
                    <w:pPr>
                      <w:jc w:val="right"/>
                      <w:rPr>
                        <w:spacing w:val="-20"/>
                        <w:sz w:val="18"/>
                        <w:szCs w:val="18"/>
                      </w:rPr>
                    </w:pPr>
                    <w:r>
                      <w:rPr>
                        <w:rFonts w:hint="eastAsia"/>
                        <w:spacing w:val="-20"/>
                        <w:sz w:val="18"/>
                        <w:szCs w:val="18"/>
                      </w:rPr>
                      <w:t>4,522,237</w:t>
                    </w:r>
                  </w:p>
                </w:tc>
                <w:tc>
                  <w:tcPr>
                    <w:tcW w:w="255" w:type="pct"/>
                    <w:vAlign w:val="center"/>
                  </w:tcPr>
                  <w:p w14:paraId="6FC0A7FC" w14:textId="77777777" w:rsidR="007E7472" w:rsidRDefault="00EC1269">
                    <w:pPr>
                      <w:jc w:val="right"/>
                      <w:rPr>
                        <w:spacing w:val="-20"/>
                        <w:sz w:val="18"/>
                        <w:szCs w:val="18"/>
                      </w:rPr>
                    </w:pPr>
                    <w:r>
                      <w:rPr>
                        <w:rFonts w:hint="eastAsia"/>
                        <w:spacing w:val="-20"/>
                        <w:sz w:val="18"/>
                        <w:szCs w:val="18"/>
                      </w:rPr>
                      <w:t>912,700</w:t>
                    </w:r>
                  </w:p>
                </w:tc>
                <w:tc>
                  <w:tcPr>
                    <w:tcW w:w="219" w:type="pct"/>
                  </w:tcPr>
                  <w:p w14:paraId="4CF96B61" w14:textId="77777777" w:rsidR="007E7472" w:rsidRDefault="00C8327E">
                    <w:pPr>
                      <w:jc w:val="right"/>
                      <w:rPr>
                        <w:spacing w:val="-20"/>
                        <w:sz w:val="18"/>
                        <w:szCs w:val="18"/>
                      </w:rPr>
                    </w:pPr>
                  </w:p>
                </w:tc>
                <w:tc>
                  <w:tcPr>
                    <w:tcW w:w="398" w:type="pct"/>
                    <w:vAlign w:val="center"/>
                  </w:tcPr>
                  <w:p w14:paraId="17993365" w14:textId="77777777" w:rsidR="007E7472" w:rsidRDefault="00EC1269">
                    <w:pPr>
                      <w:jc w:val="right"/>
                      <w:rPr>
                        <w:spacing w:val="-20"/>
                        <w:sz w:val="18"/>
                        <w:szCs w:val="18"/>
                      </w:rPr>
                    </w:pPr>
                    <w:r>
                      <w:rPr>
                        <w:rFonts w:hint="eastAsia"/>
                        <w:spacing w:val="-20"/>
                        <w:sz w:val="18"/>
                        <w:szCs w:val="18"/>
                      </w:rPr>
                      <w:t>77,231,415</w:t>
                    </w:r>
                  </w:p>
                </w:tc>
                <w:tc>
                  <w:tcPr>
                    <w:tcW w:w="205" w:type="pct"/>
                  </w:tcPr>
                  <w:p w14:paraId="6B556448" w14:textId="77777777" w:rsidR="007E7472" w:rsidRDefault="00C8327E">
                    <w:pPr>
                      <w:jc w:val="right"/>
                      <w:rPr>
                        <w:spacing w:val="-20"/>
                        <w:sz w:val="18"/>
                        <w:szCs w:val="18"/>
                      </w:rPr>
                    </w:pPr>
                  </w:p>
                </w:tc>
                <w:tc>
                  <w:tcPr>
                    <w:tcW w:w="379" w:type="pct"/>
                    <w:vAlign w:val="center"/>
                  </w:tcPr>
                  <w:p w14:paraId="45F52002" w14:textId="77777777" w:rsidR="007E7472" w:rsidRDefault="00EC1269">
                    <w:pPr>
                      <w:jc w:val="right"/>
                      <w:rPr>
                        <w:spacing w:val="-20"/>
                        <w:sz w:val="18"/>
                        <w:szCs w:val="18"/>
                      </w:rPr>
                    </w:pPr>
                    <w:r>
                      <w:rPr>
                        <w:rFonts w:hint="eastAsia"/>
                        <w:spacing w:val="-20"/>
                        <w:sz w:val="18"/>
                        <w:szCs w:val="18"/>
                      </w:rPr>
                      <w:t>94,776,485</w:t>
                    </w:r>
                  </w:p>
                </w:tc>
                <w:tc>
                  <w:tcPr>
                    <w:tcW w:w="330" w:type="pct"/>
                    <w:vAlign w:val="center"/>
                  </w:tcPr>
                  <w:p w14:paraId="67D9BE52" w14:textId="77777777" w:rsidR="007E7472" w:rsidRDefault="00EC1269">
                    <w:pPr>
                      <w:jc w:val="right"/>
                      <w:rPr>
                        <w:spacing w:val="-20"/>
                        <w:sz w:val="18"/>
                        <w:szCs w:val="18"/>
                      </w:rPr>
                    </w:pPr>
                    <w:r>
                      <w:rPr>
                        <w:rFonts w:hint="eastAsia"/>
                        <w:spacing w:val="-20"/>
                        <w:sz w:val="18"/>
                        <w:szCs w:val="18"/>
                      </w:rPr>
                      <w:t>33,363,691</w:t>
                    </w:r>
                  </w:p>
                </w:tc>
                <w:tc>
                  <w:tcPr>
                    <w:tcW w:w="356" w:type="pct"/>
                    <w:vAlign w:val="center"/>
                  </w:tcPr>
                  <w:p w14:paraId="27674893" w14:textId="77777777" w:rsidR="007E7472" w:rsidRDefault="00EC1269">
                    <w:pPr>
                      <w:jc w:val="right"/>
                      <w:rPr>
                        <w:spacing w:val="-20"/>
                        <w:sz w:val="18"/>
                        <w:szCs w:val="18"/>
                      </w:rPr>
                    </w:pPr>
                    <w:r>
                      <w:rPr>
                        <w:rFonts w:hint="eastAsia"/>
                        <w:spacing w:val="-20"/>
                        <w:sz w:val="18"/>
                        <w:szCs w:val="18"/>
                      </w:rPr>
                      <w:t>128,140,176</w:t>
                    </w:r>
                  </w:p>
                </w:tc>
              </w:tr>
              <w:tr w:rsidR="007E7472" w14:paraId="4C1C8112" w14:textId="77777777">
                <w:sdt>
                  <w:sdtPr>
                    <w:tag w:val="_PLD_60156dcb8ac241a7929015e75c8eef16"/>
                    <w:id w:val="-1488241580"/>
                    <w:lock w:val="sdtLocked"/>
                  </w:sdtPr>
                  <w:sdtEndPr/>
                  <w:sdtContent>
                    <w:tc>
                      <w:tcPr>
                        <w:tcW w:w="610" w:type="pct"/>
                      </w:tcPr>
                      <w:p w14:paraId="0B47EE22" w14:textId="77777777" w:rsidR="007E7472" w:rsidRDefault="00EC1269">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305" w:type="pct"/>
                    <w:vAlign w:val="center"/>
                  </w:tcPr>
                  <w:p w14:paraId="6187377C" w14:textId="77777777" w:rsidR="007E7472" w:rsidRDefault="00EC1269">
                    <w:pPr>
                      <w:jc w:val="right"/>
                      <w:rPr>
                        <w:spacing w:val="-20"/>
                        <w:sz w:val="18"/>
                        <w:szCs w:val="18"/>
                      </w:rPr>
                    </w:pPr>
                    <w:r>
                      <w:rPr>
                        <w:rFonts w:hint="eastAsia"/>
                        <w:spacing w:val="-20"/>
                        <w:sz w:val="18"/>
                        <w:szCs w:val="18"/>
                      </w:rPr>
                      <w:t>12,657</w:t>
                    </w:r>
                  </w:p>
                </w:tc>
                <w:tc>
                  <w:tcPr>
                    <w:tcW w:w="192" w:type="pct"/>
                  </w:tcPr>
                  <w:p w14:paraId="1B688589" w14:textId="77777777" w:rsidR="007E7472" w:rsidRDefault="00C8327E">
                    <w:pPr>
                      <w:jc w:val="right"/>
                      <w:rPr>
                        <w:spacing w:val="-20"/>
                        <w:sz w:val="18"/>
                        <w:szCs w:val="18"/>
                      </w:rPr>
                    </w:pPr>
                  </w:p>
                </w:tc>
                <w:tc>
                  <w:tcPr>
                    <w:tcW w:w="330" w:type="pct"/>
                    <w:vAlign w:val="center"/>
                  </w:tcPr>
                  <w:p w14:paraId="13D7AB6B" w14:textId="77777777" w:rsidR="007E7472" w:rsidRDefault="00EC1269">
                    <w:pPr>
                      <w:jc w:val="right"/>
                      <w:rPr>
                        <w:spacing w:val="-20"/>
                        <w:sz w:val="18"/>
                        <w:szCs w:val="18"/>
                      </w:rPr>
                    </w:pPr>
                    <w:r>
                      <w:rPr>
                        <w:rFonts w:hint="eastAsia"/>
                        <w:spacing w:val="-20"/>
                        <w:sz w:val="18"/>
                        <w:szCs w:val="18"/>
                      </w:rPr>
                      <w:t>-1,869,425</w:t>
                    </w:r>
                  </w:p>
                </w:tc>
                <w:tc>
                  <w:tcPr>
                    <w:tcW w:w="147" w:type="pct"/>
                  </w:tcPr>
                  <w:p w14:paraId="53D7E8C2" w14:textId="77777777" w:rsidR="007E7472" w:rsidRDefault="00C8327E">
                    <w:pPr>
                      <w:jc w:val="right"/>
                      <w:rPr>
                        <w:spacing w:val="-20"/>
                        <w:sz w:val="18"/>
                        <w:szCs w:val="18"/>
                      </w:rPr>
                    </w:pPr>
                  </w:p>
                </w:tc>
                <w:tc>
                  <w:tcPr>
                    <w:tcW w:w="358" w:type="pct"/>
                    <w:vAlign w:val="center"/>
                  </w:tcPr>
                  <w:p w14:paraId="1D093FDB" w14:textId="77777777" w:rsidR="007E7472" w:rsidRDefault="00EC1269">
                    <w:pPr>
                      <w:jc w:val="right"/>
                      <w:rPr>
                        <w:spacing w:val="-20"/>
                        <w:sz w:val="18"/>
                        <w:szCs w:val="18"/>
                      </w:rPr>
                    </w:pPr>
                    <w:r>
                      <w:rPr>
                        <w:rFonts w:hint="eastAsia"/>
                        <w:spacing w:val="-20"/>
                        <w:sz w:val="18"/>
                        <w:szCs w:val="18"/>
                      </w:rPr>
                      <w:t>-6,763</w:t>
                    </w:r>
                  </w:p>
                </w:tc>
                <w:tc>
                  <w:tcPr>
                    <w:tcW w:w="256" w:type="pct"/>
                  </w:tcPr>
                  <w:p w14:paraId="06E3852F" w14:textId="77777777" w:rsidR="007E7472" w:rsidRDefault="00C8327E">
                    <w:pPr>
                      <w:jc w:val="right"/>
                      <w:rPr>
                        <w:spacing w:val="-20"/>
                        <w:sz w:val="18"/>
                        <w:szCs w:val="18"/>
                      </w:rPr>
                    </w:pPr>
                  </w:p>
                </w:tc>
                <w:tc>
                  <w:tcPr>
                    <w:tcW w:w="356" w:type="pct"/>
                    <w:vAlign w:val="center"/>
                  </w:tcPr>
                  <w:p w14:paraId="617920A2" w14:textId="77777777" w:rsidR="007E7472" w:rsidRDefault="00EC1269">
                    <w:pPr>
                      <w:jc w:val="right"/>
                      <w:rPr>
                        <w:spacing w:val="-20"/>
                        <w:sz w:val="18"/>
                        <w:szCs w:val="18"/>
                      </w:rPr>
                    </w:pPr>
                    <w:r>
                      <w:rPr>
                        <w:rFonts w:hint="eastAsia"/>
                        <w:spacing w:val="-20"/>
                        <w:sz w:val="18"/>
                        <w:szCs w:val="18"/>
                      </w:rPr>
                      <w:t>705,019</w:t>
                    </w:r>
                  </w:p>
                </w:tc>
                <w:tc>
                  <w:tcPr>
                    <w:tcW w:w="305" w:type="pct"/>
                    <w:vAlign w:val="center"/>
                  </w:tcPr>
                  <w:p w14:paraId="7EE5C868" w14:textId="77777777" w:rsidR="007E7472" w:rsidRDefault="00EC1269">
                    <w:pPr>
                      <w:jc w:val="right"/>
                      <w:rPr>
                        <w:spacing w:val="-20"/>
                        <w:sz w:val="18"/>
                        <w:szCs w:val="18"/>
                      </w:rPr>
                    </w:pPr>
                    <w:r>
                      <w:rPr>
                        <w:rFonts w:hint="eastAsia"/>
                        <w:spacing w:val="-20"/>
                        <w:sz w:val="18"/>
                        <w:szCs w:val="18"/>
                      </w:rPr>
                      <w:t>148,399</w:t>
                    </w:r>
                  </w:p>
                </w:tc>
                <w:tc>
                  <w:tcPr>
                    <w:tcW w:w="255" w:type="pct"/>
                  </w:tcPr>
                  <w:p w14:paraId="50462AA7" w14:textId="77777777" w:rsidR="007E7472" w:rsidRDefault="00C8327E">
                    <w:pPr>
                      <w:jc w:val="right"/>
                      <w:rPr>
                        <w:spacing w:val="-20"/>
                        <w:sz w:val="18"/>
                        <w:szCs w:val="18"/>
                      </w:rPr>
                    </w:pPr>
                  </w:p>
                </w:tc>
                <w:tc>
                  <w:tcPr>
                    <w:tcW w:w="219" w:type="pct"/>
                  </w:tcPr>
                  <w:p w14:paraId="2EDF1FA9" w14:textId="77777777" w:rsidR="007E7472" w:rsidRDefault="00C8327E">
                    <w:pPr>
                      <w:jc w:val="right"/>
                      <w:rPr>
                        <w:spacing w:val="-20"/>
                        <w:sz w:val="18"/>
                        <w:szCs w:val="18"/>
                      </w:rPr>
                    </w:pPr>
                  </w:p>
                </w:tc>
                <w:tc>
                  <w:tcPr>
                    <w:tcW w:w="398" w:type="pct"/>
                    <w:vAlign w:val="center"/>
                  </w:tcPr>
                  <w:p w14:paraId="40CE6BD0" w14:textId="77777777" w:rsidR="007E7472" w:rsidRDefault="00EC1269">
                    <w:pPr>
                      <w:jc w:val="right"/>
                      <w:rPr>
                        <w:spacing w:val="-20"/>
                        <w:sz w:val="18"/>
                        <w:szCs w:val="18"/>
                      </w:rPr>
                    </w:pPr>
                    <w:r>
                      <w:rPr>
                        <w:rFonts w:hint="eastAsia"/>
                        <w:spacing w:val="-20"/>
                        <w:sz w:val="18"/>
                        <w:szCs w:val="18"/>
                      </w:rPr>
                      <w:t>-10,954,651</w:t>
                    </w:r>
                  </w:p>
                </w:tc>
                <w:tc>
                  <w:tcPr>
                    <w:tcW w:w="205" w:type="pct"/>
                  </w:tcPr>
                  <w:p w14:paraId="4A0AE719" w14:textId="77777777" w:rsidR="007E7472" w:rsidRDefault="00C8327E">
                    <w:pPr>
                      <w:jc w:val="right"/>
                      <w:rPr>
                        <w:spacing w:val="-20"/>
                        <w:sz w:val="18"/>
                        <w:szCs w:val="18"/>
                      </w:rPr>
                    </w:pPr>
                  </w:p>
                </w:tc>
                <w:tc>
                  <w:tcPr>
                    <w:tcW w:w="379" w:type="pct"/>
                    <w:vAlign w:val="center"/>
                  </w:tcPr>
                  <w:p w14:paraId="1F509070" w14:textId="77777777" w:rsidR="007E7472" w:rsidRDefault="00EC1269">
                    <w:pPr>
                      <w:jc w:val="right"/>
                      <w:rPr>
                        <w:spacing w:val="-20"/>
                        <w:sz w:val="18"/>
                        <w:szCs w:val="18"/>
                      </w:rPr>
                    </w:pPr>
                    <w:r>
                      <w:rPr>
                        <w:rFonts w:hint="eastAsia"/>
                        <w:spacing w:val="-20"/>
                        <w:sz w:val="18"/>
                        <w:szCs w:val="18"/>
                      </w:rPr>
                      <w:t>-11,964,76</w:t>
                    </w:r>
                    <w:r>
                      <w:rPr>
                        <w:spacing w:val="-20"/>
                        <w:sz w:val="18"/>
                        <w:szCs w:val="18"/>
                      </w:rPr>
                      <w:t>4</w:t>
                    </w:r>
                  </w:p>
                </w:tc>
                <w:tc>
                  <w:tcPr>
                    <w:tcW w:w="330" w:type="pct"/>
                    <w:vAlign w:val="center"/>
                  </w:tcPr>
                  <w:p w14:paraId="70C1D0CE" w14:textId="77777777" w:rsidR="007E7472" w:rsidRDefault="00EC1269">
                    <w:pPr>
                      <w:jc w:val="right"/>
                      <w:rPr>
                        <w:spacing w:val="-20"/>
                        <w:sz w:val="18"/>
                        <w:szCs w:val="18"/>
                      </w:rPr>
                    </w:pPr>
                    <w:r>
                      <w:rPr>
                        <w:rFonts w:hint="eastAsia"/>
                        <w:spacing w:val="-20"/>
                        <w:sz w:val="18"/>
                        <w:szCs w:val="18"/>
                      </w:rPr>
                      <w:t>527,162</w:t>
                    </w:r>
                  </w:p>
                </w:tc>
                <w:tc>
                  <w:tcPr>
                    <w:tcW w:w="356" w:type="pct"/>
                    <w:vAlign w:val="center"/>
                  </w:tcPr>
                  <w:p w14:paraId="567470E9" w14:textId="77777777" w:rsidR="007E7472" w:rsidRDefault="00EC1269">
                    <w:pPr>
                      <w:jc w:val="right"/>
                      <w:rPr>
                        <w:spacing w:val="-20"/>
                        <w:sz w:val="18"/>
                        <w:szCs w:val="18"/>
                      </w:rPr>
                    </w:pPr>
                    <w:r>
                      <w:rPr>
                        <w:rFonts w:hint="eastAsia"/>
                        <w:spacing w:val="-20"/>
                        <w:sz w:val="18"/>
                        <w:szCs w:val="18"/>
                      </w:rPr>
                      <w:t>-11,437,602</w:t>
                    </w:r>
                  </w:p>
                </w:tc>
              </w:tr>
              <w:tr w:rsidR="007E7472" w14:paraId="6E6DA446" w14:textId="77777777">
                <w:sdt>
                  <w:sdtPr>
                    <w:tag w:val="_PLD_b05dacde51ff43abaf7ec73bf9668d99"/>
                    <w:id w:val="-1145732227"/>
                    <w:lock w:val="sdtLocked"/>
                  </w:sdtPr>
                  <w:sdtEndPr/>
                  <w:sdtContent>
                    <w:tc>
                      <w:tcPr>
                        <w:tcW w:w="610" w:type="pct"/>
                      </w:tcPr>
                      <w:p w14:paraId="7C9074FD" w14:textId="77777777" w:rsidR="007E7472" w:rsidRDefault="00EC1269">
                        <w:pPr>
                          <w:rPr>
                            <w:sz w:val="18"/>
                            <w:szCs w:val="18"/>
                          </w:rPr>
                        </w:pPr>
                        <w:r>
                          <w:rPr>
                            <w:rFonts w:hint="eastAsia"/>
                            <w:sz w:val="18"/>
                            <w:szCs w:val="18"/>
                          </w:rPr>
                          <w:t>（一）综合收益总额</w:t>
                        </w:r>
                      </w:p>
                    </w:tc>
                  </w:sdtContent>
                </w:sdt>
                <w:tc>
                  <w:tcPr>
                    <w:tcW w:w="305" w:type="pct"/>
                    <w:vAlign w:val="center"/>
                  </w:tcPr>
                  <w:p w14:paraId="4CE50BDD" w14:textId="77777777" w:rsidR="007E7472" w:rsidRDefault="00C8327E">
                    <w:pPr>
                      <w:jc w:val="right"/>
                      <w:rPr>
                        <w:spacing w:val="-20"/>
                        <w:sz w:val="18"/>
                        <w:szCs w:val="18"/>
                      </w:rPr>
                    </w:pPr>
                  </w:p>
                </w:tc>
                <w:tc>
                  <w:tcPr>
                    <w:tcW w:w="192" w:type="pct"/>
                    <w:vAlign w:val="center"/>
                  </w:tcPr>
                  <w:p w14:paraId="0A05042A" w14:textId="77777777" w:rsidR="007E7472" w:rsidRDefault="00C8327E">
                    <w:pPr>
                      <w:jc w:val="right"/>
                      <w:rPr>
                        <w:spacing w:val="-20"/>
                        <w:sz w:val="18"/>
                        <w:szCs w:val="18"/>
                      </w:rPr>
                    </w:pPr>
                  </w:p>
                </w:tc>
                <w:tc>
                  <w:tcPr>
                    <w:tcW w:w="330" w:type="pct"/>
                    <w:vAlign w:val="center"/>
                  </w:tcPr>
                  <w:p w14:paraId="7D7D81CA" w14:textId="77777777" w:rsidR="007E7472" w:rsidRDefault="00EC1269">
                    <w:pPr>
                      <w:jc w:val="right"/>
                      <w:rPr>
                        <w:spacing w:val="-20"/>
                        <w:sz w:val="18"/>
                        <w:szCs w:val="18"/>
                      </w:rPr>
                    </w:pPr>
                    <w:r>
                      <w:rPr>
                        <w:rFonts w:hint="eastAsia"/>
                        <w:spacing w:val="-20"/>
                        <w:sz w:val="18"/>
                        <w:szCs w:val="18"/>
                      </w:rPr>
                      <w:t>206,755</w:t>
                    </w:r>
                  </w:p>
                </w:tc>
                <w:tc>
                  <w:tcPr>
                    <w:tcW w:w="147" w:type="pct"/>
                    <w:vAlign w:val="center"/>
                  </w:tcPr>
                  <w:p w14:paraId="52E92DF9" w14:textId="77777777" w:rsidR="007E7472" w:rsidRDefault="00C8327E">
                    <w:pPr>
                      <w:jc w:val="right"/>
                      <w:rPr>
                        <w:spacing w:val="-20"/>
                        <w:sz w:val="18"/>
                        <w:szCs w:val="18"/>
                      </w:rPr>
                    </w:pPr>
                  </w:p>
                </w:tc>
                <w:tc>
                  <w:tcPr>
                    <w:tcW w:w="358" w:type="pct"/>
                    <w:vAlign w:val="center"/>
                  </w:tcPr>
                  <w:p w14:paraId="56959295" w14:textId="77777777" w:rsidR="007E7472" w:rsidRDefault="00C8327E">
                    <w:pPr>
                      <w:jc w:val="right"/>
                      <w:rPr>
                        <w:spacing w:val="-20"/>
                        <w:sz w:val="18"/>
                        <w:szCs w:val="18"/>
                      </w:rPr>
                    </w:pPr>
                  </w:p>
                </w:tc>
                <w:tc>
                  <w:tcPr>
                    <w:tcW w:w="256" w:type="pct"/>
                    <w:vAlign w:val="center"/>
                  </w:tcPr>
                  <w:p w14:paraId="432531E6" w14:textId="77777777" w:rsidR="007E7472" w:rsidRDefault="00C8327E">
                    <w:pPr>
                      <w:jc w:val="right"/>
                      <w:rPr>
                        <w:spacing w:val="-20"/>
                        <w:sz w:val="18"/>
                        <w:szCs w:val="18"/>
                      </w:rPr>
                    </w:pPr>
                  </w:p>
                </w:tc>
                <w:tc>
                  <w:tcPr>
                    <w:tcW w:w="356" w:type="pct"/>
                    <w:vAlign w:val="center"/>
                  </w:tcPr>
                  <w:p w14:paraId="04F8213F" w14:textId="77777777" w:rsidR="007E7472" w:rsidRDefault="00EC1269">
                    <w:pPr>
                      <w:jc w:val="right"/>
                      <w:rPr>
                        <w:spacing w:val="-20"/>
                        <w:sz w:val="18"/>
                        <w:szCs w:val="18"/>
                      </w:rPr>
                    </w:pPr>
                    <w:r>
                      <w:rPr>
                        <w:rFonts w:hint="eastAsia"/>
                        <w:spacing w:val="-20"/>
                        <w:sz w:val="18"/>
                        <w:szCs w:val="18"/>
                      </w:rPr>
                      <w:t>705,019</w:t>
                    </w:r>
                  </w:p>
                </w:tc>
                <w:tc>
                  <w:tcPr>
                    <w:tcW w:w="305" w:type="pct"/>
                    <w:vAlign w:val="center"/>
                  </w:tcPr>
                  <w:p w14:paraId="3E201573" w14:textId="77777777" w:rsidR="007E7472" w:rsidRDefault="00C8327E">
                    <w:pPr>
                      <w:jc w:val="right"/>
                      <w:rPr>
                        <w:spacing w:val="-20"/>
                        <w:sz w:val="18"/>
                        <w:szCs w:val="18"/>
                      </w:rPr>
                    </w:pPr>
                  </w:p>
                </w:tc>
                <w:tc>
                  <w:tcPr>
                    <w:tcW w:w="255" w:type="pct"/>
                    <w:vAlign w:val="center"/>
                  </w:tcPr>
                  <w:p w14:paraId="6FE3B304" w14:textId="77777777" w:rsidR="007E7472" w:rsidRDefault="00C8327E">
                    <w:pPr>
                      <w:jc w:val="right"/>
                      <w:rPr>
                        <w:spacing w:val="-20"/>
                        <w:sz w:val="18"/>
                        <w:szCs w:val="18"/>
                      </w:rPr>
                    </w:pPr>
                  </w:p>
                </w:tc>
                <w:tc>
                  <w:tcPr>
                    <w:tcW w:w="219" w:type="pct"/>
                    <w:vAlign w:val="center"/>
                  </w:tcPr>
                  <w:p w14:paraId="0D57A348" w14:textId="77777777" w:rsidR="007E7472" w:rsidRDefault="00C8327E">
                    <w:pPr>
                      <w:jc w:val="right"/>
                      <w:rPr>
                        <w:spacing w:val="-20"/>
                        <w:sz w:val="18"/>
                        <w:szCs w:val="18"/>
                      </w:rPr>
                    </w:pPr>
                  </w:p>
                </w:tc>
                <w:tc>
                  <w:tcPr>
                    <w:tcW w:w="398" w:type="pct"/>
                    <w:vAlign w:val="center"/>
                  </w:tcPr>
                  <w:p w14:paraId="761FBA53" w14:textId="77777777" w:rsidR="007E7472" w:rsidRDefault="00EC1269">
                    <w:pPr>
                      <w:jc w:val="right"/>
                      <w:rPr>
                        <w:spacing w:val="-20"/>
                        <w:sz w:val="18"/>
                        <w:szCs w:val="18"/>
                      </w:rPr>
                    </w:pPr>
                    <w:r>
                      <w:rPr>
                        <w:rFonts w:hint="eastAsia"/>
                        <w:spacing w:val="-20"/>
                        <w:sz w:val="18"/>
                        <w:szCs w:val="18"/>
                      </w:rPr>
                      <w:t>10,210,068</w:t>
                    </w:r>
                  </w:p>
                </w:tc>
                <w:tc>
                  <w:tcPr>
                    <w:tcW w:w="205" w:type="pct"/>
                    <w:vAlign w:val="center"/>
                  </w:tcPr>
                  <w:p w14:paraId="3A3BF2B2" w14:textId="77777777" w:rsidR="007E7472" w:rsidRDefault="00C8327E">
                    <w:pPr>
                      <w:jc w:val="right"/>
                      <w:rPr>
                        <w:spacing w:val="-20"/>
                        <w:sz w:val="18"/>
                        <w:szCs w:val="18"/>
                      </w:rPr>
                    </w:pPr>
                  </w:p>
                </w:tc>
                <w:tc>
                  <w:tcPr>
                    <w:tcW w:w="379" w:type="pct"/>
                    <w:vAlign w:val="center"/>
                  </w:tcPr>
                  <w:p w14:paraId="28DA69E9" w14:textId="77777777" w:rsidR="007E7472" w:rsidRDefault="00EC1269">
                    <w:pPr>
                      <w:jc w:val="right"/>
                      <w:rPr>
                        <w:spacing w:val="-20"/>
                        <w:sz w:val="18"/>
                        <w:szCs w:val="18"/>
                      </w:rPr>
                    </w:pPr>
                    <w:r>
                      <w:rPr>
                        <w:rFonts w:hint="eastAsia"/>
                        <w:spacing w:val="-20"/>
                        <w:sz w:val="18"/>
                        <w:szCs w:val="18"/>
                      </w:rPr>
                      <w:t>11,121,842</w:t>
                    </w:r>
                  </w:p>
                </w:tc>
                <w:tc>
                  <w:tcPr>
                    <w:tcW w:w="330" w:type="pct"/>
                    <w:vAlign w:val="center"/>
                  </w:tcPr>
                  <w:p w14:paraId="5E1DE1EA" w14:textId="77777777" w:rsidR="007E7472" w:rsidRDefault="00EC1269">
                    <w:pPr>
                      <w:jc w:val="right"/>
                      <w:rPr>
                        <w:spacing w:val="-20"/>
                        <w:sz w:val="18"/>
                        <w:szCs w:val="18"/>
                      </w:rPr>
                    </w:pPr>
                    <w:r>
                      <w:rPr>
                        <w:rFonts w:hint="eastAsia"/>
                        <w:spacing w:val="-20"/>
                        <w:sz w:val="18"/>
                        <w:szCs w:val="18"/>
                      </w:rPr>
                      <w:t>2,543,591</w:t>
                    </w:r>
                  </w:p>
                </w:tc>
                <w:tc>
                  <w:tcPr>
                    <w:tcW w:w="356" w:type="pct"/>
                    <w:vAlign w:val="center"/>
                  </w:tcPr>
                  <w:p w14:paraId="3B70B8C8" w14:textId="77777777" w:rsidR="007E7472" w:rsidRDefault="00EC1269">
                    <w:pPr>
                      <w:jc w:val="right"/>
                      <w:rPr>
                        <w:spacing w:val="-20"/>
                        <w:sz w:val="18"/>
                        <w:szCs w:val="18"/>
                      </w:rPr>
                    </w:pPr>
                    <w:r>
                      <w:rPr>
                        <w:rFonts w:hint="eastAsia"/>
                        <w:spacing w:val="-20"/>
                        <w:sz w:val="18"/>
                        <w:szCs w:val="18"/>
                      </w:rPr>
                      <w:t>13,665,433</w:t>
                    </w:r>
                  </w:p>
                </w:tc>
              </w:tr>
              <w:tr w:rsidR="007E7472" w14:paraId="5CEDB670" w14:textId="77777777">
                <w:sdt>
                  <w:sdtPr>
                    <w:tag w:val="_PLD_f17921fb207340239c73a056e615d773"/>
                    <w:id w:val="-1334216026"/>
                    <w:lock w:val="sdtLocked"/>
                  </w:sdtPr>
                  <w:sdtEndPr/>
                  <w:sdtContent>
                    <w:tc>
                      <w:tcPr>
                        <w:tcW w:w="610" w:type="pct"/>
                      </w:tcPr>
                      <w:p w14:paraId="7F44068A" w14:textId="77777777" w:rsidR="007E7472" w:rsidRDefault="00EC1269">
                        <w:pPr>
                          <w:rPr>
                            <w:sz w:val="18"/>
                            <w:szCs w:val="18"/>
                          </w:rPr>
                        </w:pPr>
                        <w:r>
                          <w:rPr>
                            <w:sz w:val="18"/>
                            <w:szCs w:val="18"/>
                          </w:rPr>
                          <w:t>（</w:t>
                        </w:r>
                        <w:r>
                          <w:rPr>
                            <w:rFonts w:hint="eastAsia"/>
                            <w:sz w:val="18"/>
                            <w:szCs w:val="18"/>
                          </w:rPr>
                          <w:t>二</w:t>
                        </w:r>
                        <w:r>
                          <w:rPr>
                            <w:sz w:val="18"/>
                            <w:szCs w:val="18"/>
                          </w:rPr>
                          <w:t>）所有者投入和减少资本</w:t>
                        </w:r>
                      </w:p>
                    </w:tc>
                  </w:sdtContent>
                </w:sdt>
                <w:tc>
                  <w:tcPr>
                    <w:tcW w:w="305" w:type="pct"/>
                    <w:vAlign w:val="center"/>
                  </w:tcPr>
                  <w:p w14:paraId="6FBBD8BC" w14:textId="77777777" w:rsidR="007E7472" w:rsidRDefault="00EC1269">
                    <w:pPr>
                      <w:jc w:val="right"/>
                      <w:rPr>
                        <w:spacing w:val="-20"/>
                        <w:sz w:val="18"/>
                        <w:szCs w:val="18"/>
                      </w:rPr>
                    </w:pPr>
                    <w:r>
                      <w:rPr>
                        <w:rFonts w:hint="eastAsia"/>
                        <w:spacing w:val="-20"/>
                        <w:sz w:val="18"/>
                        <w:szCs w:val="18"/>
                      </w:rPr>
                      <w:t>12,657</w:t>
                    </w:r>
                  </w:p>
                </w:tc>
                <w:tc>
                  <w:tcPr>
                    <w:tcW w:w="192" w:type="pct"/>
                  </w:tcPr>
                  <w:p w14:paraId="1476A733" w14:textId="77777777" w:rsidR="007E7472" w:rsidRDefault="00C8327E">
                    <w:pPr>
                      <w:jc w:val="right"/>
                      <w:rPr>
                        <w:spacing w:val="-20"/>
                        <w:sz w:val="18"/>
                        <w:szCs w:val="18"/>
                      </w:rPr>
                    </w:pPr>
                  </w:p>
                </w:tc>
                <w:tc>
                  <w:tcPr>
                    <w:tcW w:w="330" w:type="pct"/>
                    <w:vAlign w:val="center"/>
                  </w:tcPr>
                  <w:p w14:paraId="26F90F98" w14:textId="77777777" w:rsidR="007E7472" w:rsidRDefault="00EC1269">
                    <w:pPr>
                      <w:jc w:val="right"/>
                      <w:rPr>
                        <w:spacing w:val="-20"/>
                        <w:sz w:val="18"/>
                        <w:szCs w:val="18"/>
                      </w:rPr>
                    </w:pPr>
                    <w:r>
                      <w:rPr>
                        <w:rFonts w:hint="eastAsia"/>
                        <w:spacing w:val="-20"/>
                        <w:sz w:val="18"/>
                        <w:szCs w:val="18"/>
                      </w:rPr>
                      <w:t>-1,696,600</w:t>
                    </w:r>
                  </w:p>
                </w:tc>
                <w:tc>
                  <w:tcPr>
                    <w:tcW w:w="147" w:type="pct"/>
                  </w:tcPr>
                  <w:p w14:paraId="3BD7F94F" w14:textId="77777777" w:rsidR="007E7472" w:rsidRDefault="00C8327E">
                    <w:pPr>
                      <w:jc w:val="right"/>
                      <w:rPr>
                        <w:spacing w:val="-20"/>
                        <w:sz w:val="18"/>
                        <w:szCs w:val="18"/>
                      </w:rPr>
                    </w:pPr>
                  </w:p>
                </w:tc>
                <w:tc>
                  <w:tcPr>
                    <w:tcW w:w="358" w:type="pct"/>
                    <w:vAlign w:val="center"/>
                  </w:tcPr>
                  <w:p w14:paraId="6784234A" w14:textId="77777777" w:rsidR="007E7472" w:rsidRDefault="00EC1269">
                    <w:pPr>
                      <w:jc w:val="right"/>
                      <w:rPr>
                        <w:spacing w:val="-20"/>
                        <w:sz w:val="18"/>
                        <w:szCs w:val="18"/>
                      </w:rPr>
                    </w:pPr>
                    <w:r>
                      <w:rPr>
                        <w:rFonts w:hint="eastAsia"/>
                        <w:spacing w:val="-20"/>
                        <w:sz w:val="18"/>
                        <w:szCs w:val="18"/>
                      </w:rPr>
                      <w:t>-31,143</w:t>
                    </w:r>
                  </w:p>
                </w:tc>
                <w:tc>
                  <w:tcPr>
                    <w:tcW w:w="256" w:type="pct"/>
                  </w:tcPr>
                  <w:p w14:paraId="534AB4AF" w14:textId="77777777" w:rsidR="007E7472" w:rsidRDefault="00C8327E">
                    <w:pPr>
                      <w:jc w:val="right"/>
                      <w:rPr>
                        <w:spacing w:val="-20"/>
                        <w:sz w:val="18"/>
                        <w:szCs w:val="18"/>
                      </w:rPr>
                    </w:pPr>
                  </w:p>
                </w:tc>
                <w:tc>
                  <w:tcPr>
                    <w:tcW w:w="356" w:type="pct"/>
                  </w:tcPr>
                  <w:p w14:paraId="74027F81" w14:textId="77777777" w:rsidR="007E7472" w:rsidRDefault="00C8327E">
                    <w:pPr>
                      <w:jc w:val="right"/>
                      <w:rPr>
                        <w:spacing w:val="-20"/>
                        <w:sz w:val="18"/>
                        <w:szCs w:val="18"/>
                      </w:rPr>
                    </w:pPr>
                  </w:p>
                </w:tc>
                <w:tc>
                  <w:tcPr>
                    <w:tcW w:w="305" w:type="pct"/>
                  </w:tcPr>
                  <w:p w14:paraId="1EE26137" w14:textId="77777777" w:rsidR="007E7472" w:rsidRDefault="00C8327E">
                    <w:pPr>
                      <w:jc w:val="right"/>
                      <w:rPr>
                        <w:spacing w:val="-20"/>
                        <w:sz w:val="18"/>
                        <w:szCs w:val="18"/>
                      </w:rPr>
                    </w:pPr>
                  </w:p>
                </w:tc>
                <w:tc>
                  <w:tcPr>
                    <w:tcW w:w="255" w:type="pct"/>
                  </w:tcPr>
                  <w:p w14:paraId="6DB83D70" w14:textId="77777777" w:rsidR="007E7472" w:rsidRDefault="00C8327E">
                    <w:pPr>
                      <w:jc w:val="right"/>
                      <w:rPr>
                        <w:spacing w:val="-20"/>
                        <w:sz w:val="18"/>
                        <w:szCs w:val="18"/>
                      </w:rPr>
                    </w:pPr>
                  </w:p>
                </w:tc>
                <w:tc>
                  <w:tcPr>
                    <w:tcW w:w="219" w:type="pct"/>
                  </w:tcPr>
                  <w:p w14:paraId="5019F64F" w14:textId="77777777" w:rsidR="007E7472" w:rsidRDefault="00C8327E">
                    <w:pPr>
                      <w:jc w:val="right"/>
                      <w:rPr>
                        <w:spacing w:val="-20"/>
                        <w:sz w:val="18"/>
                        <w:szCs w:val="18"/>
                      </w:rPr>
                    </w:pPr>
                  </w:p>
                </w:tc>
                <w:tc>
                  <w:tcPr>
                    <w:tcW w:w="398" w:type="pct"/>
                  </w:tcPr>
                  <w:p w14:paraId="0F0B2206" w14:textId="77777777" w:rsidR="007E7472" w:rsidRDefault="00C8327E">
                    <w:pPr>
                      <w:jc w:val="right"/>
                      <w:rPr>
                        <w:spacing w:val="-20"/>
                        <w:sz w:val="18"/>
                        <w:szCs w:val="18"/>
                      </w:rPr>
                    </w:pPr>
                  </w:p>
                </w:tc>
                <w:tc>
                  <w:tcPr>
                    <w:tcW w:w="205" w:type="pct"/>
                  </w:tcPr>
                  <w:p w14:paraId="3924F42E" w14:textId="77777777" w:rsidR="007E7472" w:rsidRDefault="00C8327E">
                    <w:pPr>
                      <w:jc w:val="right"/>
                      <w:rPr>
                        <w:spacing w:val="-20"/>
                        <w:sz w:val="18"/>
                        <w:szCs w:val="18"/>
                      </w:rPr>
                    </w:pPr>
                  </w:p>
                </w:tc>
                <w:tc>
                  <w:tcPr>
                    <w:tcW w:w="379" w:type="pct"/>
                    <w:vAlign w:val="center"/>
                  </w:tcPr>
                  <w:p w14:paraId="59B864CC" w14:textId="77777777" w:rsidR="007E7472" w:rsidRDefault="00EC1269">
                    <w:pPr>
                      <w:jc w:val="right"/>
                      <w:rPr>
                        <w:spacing w:val="-20"/>
                        <w:sz w:val="18"/>
                        <w:szCs w:val="18"/>
                      </w:rPr>
                    </w:pPr>
                    <w:r>
                      <w:rPr>
                        <w:rFonts w:hint="eastAsia"/>
                        <w:spacing w:val="-20"/>
                        <w:sz w:val="18"/>
                        <w:szCs w:val="18"/>
                      </w:rPr>
                      <w:t>-1,715,08</w:t>
                    </w:r>
                    <w:r>
                      <w:rPr>
                        <w:spacing w:val="-20"/>
                        <w:sz w:val="18"/>
                        <w:szCs w:val="18"/>
                      </w:rPr>
                      <w:t>6</w:t>
                    </w:r>
                  </w:p>
                </w:tc>
                <w:tc>
                  <w:tcPr>
                    <w:tcW w:w="330" w:type="pct"/>
                    <w:vAlign w:val="center"/>
                  </w:tcPr>
                  <w:p w14:paraId="11FFC905" w14:textId="77777777" w:rsidR="007E7472" w:rsidRDefault="00EC1269">
                    <w:pPr>
                      <w:jc w:val="right"/>
                      <w:rPr>
                        <w:spacing w:val="-20"/>
                        <w:sz w:val="18"/>
                        <w:szCs w:val="18"/>
                      </w:rPr>
                    </w:pPr>
                    <w:r>
                      <w:rPr>
                        <w:rFonts w:hint="eastAsia"/>
                        <w:spacing w:val="-20"/>
                        <w:sz w:val="18"/>
                        <w:szCs w:val="18"/>
                      </w:rPr>
                      <w:t>304,669</w:t>
                    </w:r>
                  </w:p>
                </w:tc>
                <w:tc>
                  <w:tcPr>
                    <w:tcW w:w="356" w:type="pct"/>
                    <w:vAlign w:val="center"/>
                  </w:tcPr>
                  <w:p w14:paraId="1CCF6F4E" w14:textId="77777777" w:rsidR="007E7472" w:rsidRDefault="00EC1269">
                    <w:pPr>
                      <w:jc w:val="right"/>
                      <w:rPr>
                        <w:spacing w:val="-20"/>
                        <w:sz w:val="18"/>
                        <w:szCs w:val="18"/>
                      </w:rPr>
                    </w:pPr>
                    <w:r>
                      <w:rPr>
                        <w:rFonts w:hint="eastAsia"/>
                        <w:spacing w:val="-20"/>
                        <w:sz w:val="18"/>
                        <w:szCs w:val="18"/>
                      </w:rPr>
                      <w:t>-1,410,417</w:t>
                    </w:r>
                  </w:p>
                </w:tc>
              </w:tr>
              <w:tr w:rsidR="007E7472" w14:paraId="0E24CEE6" w14:textId="77777777">
                <w:sdt>
                  <w:sdtPr>
                    <w:tag w:val="_PLD_a4e5a1909d05445a88f8a664e237ae02"/>
                    <w:id w:val="-2049367940"/>
                    <w:lock w:val="sdtLocked"/>
                  </w:sdtPr>
                  <w:sdtEndPr/>
                  <w:sdtContent>
                    <w:tc>
                      <w:tcPr>
                        <w:tcW w:w="610" w:type="pct"/>
                      </w:tcPr>
                      <w:p w14:paraId="267CBBE2" w14:textId="77777777" w:rsidR="007E7472" w:rsidRDefault="00EC1269">
                        <w:pPr>
                          <w:rPr>
                            <w:sz w:val="18"/>
                            <w:szCs w:val="18"/>
                          </w:rPr>
                        </w:pPr>
                        <w:r>
                          <w:rPr>
                            <w:rFonts w:hint="eastAsia"/>
                            <w:sz w:val="18"/>
                            <w:szCs w:val="18"/>
                          </w:rPr>
                          <w:t>1．所有者投入的普通股</w:t>
                        </w:r>
                      </w:p>
                    </w:tc>
                  </w:sdtContent>
                </w:sdt>
                <w:tc>
                  <w:tcPr>
                    <w:tcW w:w="305" w:type="pct"/>
                    <w:vAlign w:val="center"/>
                  </w:tcPr>
                  <w:p w14:paraId="1A4094BC" w14:textId="77777777" w:rsidR="007E7472" w:rsidRDefault="00C8327E">
                    <w:pPr>
                      <w:jc w:val="right"/>
                      <w:rPr>
                        <w:spacing w:val="-20"/>
                        <w:sz w:val="18"/>
                        <w:szCs w:val="18"/>
                      </w:rPr>
                    </w:pPr>
                  </w:p>
                </w:tc>
                <w:tc>
                  <w:tcPr>
                    <w:tcW w:w="192" w:type="pct"/>
                    <w:vAlign w:val="center"/>
                  </w:tcPr>
                  <w:p w14:paraId="3A96BCA6" w14:textId="77777777" w:rsidR="007E7472" w:rsidRDefault="00C8327E">
                    <w:pPr>
                      <w:jc w:val="right"/>
                      <w:rPr>
                        <w:spacing w:val="-20"/>
                        <w:sz w:val="18"/>
                        <w:szCs w:val="18"/>
                      </w:rPr>
                    </w:pPr>
                  </w:p>
                </w:tc>
                <w:tc>
                  <w:tcPr>
                    <w:tcW w:w="330" w:type="pct"/>
                    <w:vAlign w:val="center"/>
                  </w:tcPr>
                  <w:p w14:paraId="43D009AA" w14:textId="77777777" w:rsidR="007E7472" w:rsidRDefault="00C8327E">
                    <w:pPr>
                      <w:jc w:val="right"/>
                      <w:rPr>
                        <w:spacing w:val="-20"/>
                        <w:sz w:val="18"/>
                        <w:szCs w:val="18"/>
                      </w:rPr>
                    </w:pPr>
                  </w:p>
                </w:tc>
                <w:tc>
                  <w:tcPr>
                    <w:tcW w:w="147" w:type="pct"/>
                    <w:vAlign w:val="center"/>
                  </w:tcPr>
                  <w:p w14:paraId="1F0FA50A" w14:textId="77777777" w:rsidR="007E7472" w:rsidRDefault="00C8327E">
                    <w:pPr>
                      <w:jc w:val="right"/>
                      <w:rPr>
                        <w:spacing w:val="-20"/>
                        <w:sz w:val="18"/>
                        <w:szCs w:val="18"/>
                      </w:rPr>
                    </w:pPr>
                  </w:p>
                </w:tc>
                <w:tc>
                  <w:tcPr>
                    <w:tcW w:w="358" w:type="pct"/>
                    <w:vAlign w:val="center"/>
                  </w:tcPr>
                  <w:p w14:paraId="363B21C9" w14:textId="77777777" w:rsidR="007E7472" w:rsidRDefault="00C8327E">
                    <w:pPr>
                      <w:jc w:val="right"/>
                      <w:rPr>
                        <w:spacing w:val="-20"/>
                        <w:sz w:val="18"/>
                        <w:szCs w:val="18"/>
                      </w:rPr>
                    </w:pPr>
                  </w:p>
                </w:tc>
                <w:tc>
                  <w:tcPr>
                    <w:tcW w:w="256" w:type="pct"/>
                    <w:vAlign w:val="center"/>
                  </w:tcPr>
                  <w:p w14:paraId="158BFBDB" w14:textId="77777777" w:rsidR="007E7472" w:rsidRDefault="00C8327E">
                    <w:pPr>
                      <w:jc w:val="right"/>
                      <w:rPr>
                        <w:spacing w:val="-20"/>
                        <w:sz w:val="18"/>
                        <w:szCs w:val="18"/>
                      </w:rPr>
                    </w:pPr>
                  </w:p>
                </w:tc>
                <w:tc>
                  <w:tcPr>
                    <w:tcW w:w="356" w:type="pct"/>
                    <w:vAlign w:val="center"/>
                  </w:tcPr>
                  <w:p w14:paraId="3649C040" w14:textId="77777777" w:rsidR="007E7472" w:rsidRDefault="00C8327E">
                    <w:pPr>
                      <w:jc w:val="right"/>
                      <w:rPr>
                        <w:spacing w:val="-20"/>
                        <w:sz w:val="18"/>
                        <w:szCs w:val="18"/>
                      </w:rPr>
                    </w:pPr>
                  </w:p>
                </w:tc>
                <w:tc>
                  <w:tcPr>
                    <w:tcW w:w="305" w:type="pct"/>
                    <w:vAlign w:val="center"/>
                  </w:tcPr>
                  <w:p w14:paraId="466119DC" w14:textId="77777777" w:rsidR="007E7472" w:rsidRDefault="00C8327E">
                    <w:pPr>
                      <w:jc w:val="right"/>
                      <w:rPr>
                        <w:spacing w:val="-20"/>
                        <w:sz w:val="18"/>
                        <w:szCs w:val="18"/>
                      </w:rPr>
                    </w:pPr>
                  </w:p>
                </w:tc>
                <w:tc>
                  <w:tcPr>
                    <w:tcW w:w="255" w:type="pct"/>
                    <w:vAlign w:val="center"/>
                  </w:tcPr>
                  <w:p w14:paraId="1629F91F" w14:textId="77777777" w:rsidR="007E7472" w:rsidRDefault="00C8327E">
                    <w:pPr>
                      <w:jc w:val="right"/>
                      <w:rPr>
                        <w:spacing w:val="-20"/>
                        <w:sz w:val="18"/>
                        <w:szCs w:val="18"/>
                      </w:rPr>
                    </w:pPr>
                  </w:p>
                </w:tc>
                <w:tc>
                  <w:tcPr>
                    <w:tcW w:w="219" w:type="pct"/>
                    <w:vAlign w:val="center"/>
                  </w:tcPr>
                  <w:p w14:paraId="6346D8D3" w14:textId="77777777" w:rsidR="007E7472" w:rsidRDefault="00C8327E">
                    <w:pPr>
                      <w:jc w:val="right"/>
                      <w:rPr>
                        <w:spacing w:val="-20"/>
                        <w:sz w:val="18"/>
                        <w:szCs w:val="18"/>
                      </w:rPr>
                    </w:pPr>
                  </w:p>
                </w:tc>
                <w:tc>
                  <w:tcPr>
                    <w:tcW w:w="398" w:type="pct"/>
                    <w:vAlign w:val="center"/>
                  </w:tcPr>
                  <w:p w14:paraId="2FF90A31" w14:textId="77777777" w:rsidR="007E7472" w:rsidRDefault="00C8327E">
                    <w:pPr>
                      <w:jc w:val="right"/>
                      <w:rPr>
                        <w:spacing w:val="-20"/>
                        <w:sz w:val="18"/>
                        <w:szCs w:val="18"/>
                      </w:rPr>
                    </w:pPr>
                  </w:p>
                </w:tc>
                <w:tc>
                  <w:tcPr>
                    <w:tcW w:w="205" w:type="pct"/>
                    <w:vAlign w:val="center"/>
                  </w:tcPr>
                  <w:p w14:paraId="0008D717" w14:textId="77777777" w:rsidR="007E7472" w:rsidRDefault="00C8327E">
                    <w:pPr>
                      <w:jc w:val="right"/>
                      <w:rPr>
                        <w:spacing w:val="-20"/>
                        <w:sz w:val="18"/>
                        <w:szCs w:val="18"/>
                      </w:rPr>
                    </w:pPr>
                  </w:p>
                </w:tc>
                <w:tc>
                  <w:tcPr>
                    <w:tcW w:w="379" w:type="pct"/>
                    <w:vAlign w:val="center"/>
                  </w:tcPr>
                  <w:p w14:paraId="6E30464C" w14:textId="77777777" w:rsidR="007E7472" w:rsidRDefault="00C8327E">
                    <w:pPr>
                      <w:jc w:val="right"/>
                      <w:rPr>
                        <w:spacing w:val="-20"/>
                        <w:sz w:val="18"/>
                        <w:szCs w:val="18"/>
                      </w:rPr>
                    </w:pPr>
                  </w:p>
                </w:tc>
                <w:tc>
                  <w:tcPr>
                    <w:tcW w:w="330" w:type="pct"/>
                    <w:vAlign w:val="center"/>
                  </w:tcPr>
                  <w:p w14:paraId="4D05D39C" w14:textId="77777777" w:rsidR="007E7472" w:rsidRDefault="00EC1269">
                    <w:pPr>
                      <w:jc w:val="right"/>
                      <w:rPr>
                        <w:spacing w:val="-20"/>
                        <w:sz w:val="18"/>
                        <w:szCs w:val="18"/>
                      </w:rPr>
                    </w:pPr>
                    <w:r>
                      <w:rPr>
                        <w:rFonts w:hint="eastAsia"/>
                        <w:spacing w:val="-20"/>
                        <w:sz w:val="18"/>
                        <w:szCs w:val="18"/>
                      </w:rPr>
                      <w:t>10,000</w:t>
                    </w:r>
                  </w:p>
                </w:tc>
                <w:tc>
                  <w:tcPr>
                    <w:tcW w:w="356" w:type="pct"/>
                    <w:vAlign w:val="center"/>
                  </w:tcPr>
                  <w:p w14:paraId="7393F4D7" w14:textId="77777777" w:rsidR="007E7472" w:rsidRDefault="00EC1269">
                    <w:pPr>
                      <w:jc w:val="right"/>
                      <w:rPr>
                        <w:spacing w:val="-20"/>
                        <w:sz w:val="18"/>
                        <w:szCs w:val="18"/>
                      </w:rPr>
                    </w:pPr>
                    <w:r>
                      <w:rPr>
                        <w:rFonts w:hint="eastAsia"/>
                        <w:spacing w:val="-20"/>
                        <w:sz w:val="18"/>
                        <w:szCs w:val="18"/>
                      </w:rPr>
                      <w:t>10,000</w:t>
                    </w:r>
                  </w:p>
                </w:tc>
              </w:tr>
              <w:tr w:rsidR="007E7472" w14:paraId="685B149B" w14:textId="77777777">
                <w:sdt>
                  <w:sdtPr>
                    <w:tag w:val="_PLD_00983bc5e4cc404f92b2fab2c532ec5f"/>
                    <w:id w:val="-2031100972"/>
                    <w:lock w:val="sdtLocked"/>
                  </w:sdtPr>
                  <w:sdtEndPr/>
                  <w:sdtContent>
                    <w:tc>
                      <w:tcPr>
                        <w:tcW w:w="610" w:type="pct"/>
                      </w:tcPr>
                      <w:p w14:paraId="35220B85" w14:textId="77777777" w:rsidR="007E7472" w:rsidRDefault="00EC1269">
                        <w:pPr>
                          <w:rPr>
                            <w:sz w:val="18"/>
                            <w:szCs w:val="18"/>
                          </w:rPr>
                        </w:pPr>
                        <w:r>
                          <w:rPr>
                            <w:rFonts w:hint="eastAsia"/>
                            <w:sz w:val="18"/>
                            <w:szCs w:val="18"/>
                          </w:rPr>
                          <w:t>2．其他权益工具持有者投入资本</w:t>
                        </w:r>
                      </w:p>
                    </w:tc>
                  </w:sdtContent>
                </w:sdt>
                <w:tc>
                  <w:tcPr>
                    <w:tcW w:w="305" w:type="pct"/>
                    <w:vAlign w:val="center"/>
                  </w:tcPr>
                  <w:p w14:paraId="7620CF78" w14:textId="77777777" w:rsidR="007E7472" w:rsidRDefault="00C8327E">
                    <w:pPr>
                      <w:jc w:val="right"/>
                      <w:rPr>
                        <w:spacing w:val="-20"/>
                        <w:sz w:val="18"/>
                        <w:szCs w:val="18"/>
                      </w:rPr>
                    </w:pPr>
                  </w:p>
                </w:tc>
                <w:tc>
                  <w:tcPr>
                    <w:tcW w:w="192" w:type="pct"/>
                    <w:vAlign w:val="center"/>
                  </w:tcPr>
                  <w:p w14:paraId="63C42CD9" w14:textId="77777777" w:rsidR="007E7472" w:rsidRDefault="00C8327E">
                    <w:pPr>
                      <w:jc w:val="right"/>
                      <w:rPr>
                        <w:spacing w:val="-20"/>
                        <w:sz w:val="18"/>
                        <w:szCs w:val="18"/>
                      </w:rPr>
                    </w:pPr>
                  </w:p>
                </w:tc>
                <w:tc>
                  <w:tcPr>
                    <w:tcW w:w="330" w:type="pct"/>
                    <w:vAlign w:val="center"/>
                  </w:tcPr>
                  <w:p w14:paraId="77F95D37" w14:textId="77777777" w:rsidR="007E7472" w:rsidRDefault="00EC1269">
                    <w:pPr>
                      <w:jc w:val="right"/>
                      <w:rPr>
                        <w:spacing w:val="-20"/>
                        <w:sz w:val="18"/>
                        <w:szCs w:val="18"/>
                      </w:rPr>
                    </w:pPr>
                    <w:r>
                      <w:rPr>
                        <w:rFonts w:hint="eastAsia"/>
                        <w:spacing w:val="-20"/>
                        <w:sz w:val="18"/>
                        <w:szCs w:val="18"/>
                      </w:rPr>
                      <w:t>-1,696,600</w:t>
                    </w:r>
                  </w:p>
                </w:tc>
                <w:tc>
                  <w:tcPr>
                    <w:tcW w:w="147" w:type="pct"/>
                    <w:vAlign w:val="center"/>
                  </w:tcPr>
                  <w:p w14:paraId="347A05C3" w14:textId="77777777" w:rsidR="007E7472" w:rsidRDefault="00C8327E">
                    <w:pPr>
                      <w:jc w:val="right"/>
                      <w:rPr>
                        <w:spacing w:val="-20"/>
                        <w:sz w:val="18"/>
                        <w:szCs w:val="18"/>
                      </w:rPr>
                    </w:pPr>
                  </w:p>
                </w:tc>
                <w:tc>
                  <w:tcPr>
                    <w:tcW w:w="358" w:type="pct"/>
                    <w:vAlign w:val="center"/>
                  </w:tcPr>
                  <w:p w14:paraId="483BCA34" w14:textId="77777777" w:rsidR="007E7472" w:rsidRDefault="00EC1269">
                    <w:pPr>
                      <w:jc w:val="right"/>
                      <w:rPr>
                        <w:spacing w:val="-20"/>
                        <w:sz w:val="18"/>
                        <w:szCs w:val="18"/>
                      </w:rPr>
                    </w:pPr>
                    <w:r>
                      <w:rPr>
                        <w:rFonts w:hint="eastAsia"/>
                        <w:spacing w:val="-20"/>
                        <w:sz w:val="18"/>
                        <w:szCs w:val="18"/>
                      </w:rPr>
                      <w:t>-3,400</w:t>
                    </w:r>
                  </w:p>
                </w:tc>
                <w:tc>
                  <w:tcPr>
                    <w:tcW w:w="256" w:type="pct"/>
                    <w:vAlign w:val="center"/>
                  </w:tcPr>
                  <w:p w14:paraId="38C907DB" w14:textId="77777777" w:rsidR="007E7472" w:rsidRDefault="00C8327E">
                    <w:pPr>
                      <w:jc w:val="right"/>
                      <w:rPr>
                        <w:spacing w:val="-20"/>
                        <w:sz w:val="18"/>
                        <w:szCs w:val="18"/>
                      </w:rPr>
                    </w:pPr>
                  </w:p>
                </w:tc>
                <w:tc>
                  <w:tcPr>
                    <w:tcW w:w="356" w:type="pct"/>
                    <w:vAlign w:val="center"/>
                  </w:tcPr>
                  <w:p w14:paraId="133F23AB" w14:textId="77777777" w:rsidR="007E7472" w:rsidRDefault="00C8327E">
                    <w:pPr>
                      <w:jc w:val="right"/>
                      <w:rPr>
                        <w:spacing w:val="-20"/>
                        <w:sz w:val="18"/>
                        <w:szCs w:val="18"/>
                      </w:rPr>
                    </w:pPr>
                  </w:p>
                </w:tc>
                <w:tc>
                  <w:tcPr>
                    <w:tcW w:w="305" w:type="pct"/>
                    <w:vAlign w:val="center"/>
                  </w:tcPr>
                  <w:p w14:paraId="7848190E" w14:textId="77777777" w:rsidR="007E7472" w:rsidRDefault="00C8327E">
                    <w:pPr>
                      <w:jc w:val="right"/>
                      <w:rPr>
                        <w:spacing w:val="-20"/>
                        <w:sz w:val="18"/>
                        <w:szCs w:val="18"/>
                      </w:rPr>
                    </w:pPr>
                  </w:p>
                </w:tc>
                <w:tc>
                  <w:tcPr>
                    <w:tcW w:w="255" w:type="pct"/>
                    <w:vAlign w:val="center"/>
                  </w:tcPr>
                  <w:p w14:paraId="00F6284C" w14:textId="77777777" w:rsidR="007E7472" w:rsidRDefault="00C8327E">
                    <w:pPr>
                      <w:jc w:val="right"/>
                      <w:rPr>
                        <w:spacing w:val="-20"/>
                        <w:sz w:val="18"/>
                        <w:szCs w:val="18"/>
                      </w:rPr>
                    </w:pPr>
                  </w:p>
                </w:tc>
                <w:tc>
                  <w:tcPr>
                    <w:tcW w:w="219" w:type="pct"/>
                    <w:vAlign w:val="center"/>
                  </w:tcPr>
                  <w:p w14:paraId="7E74A8F9" w14:textId="77777777" w:rsidR="007E7472" w:rsidRDefault="00C8327E">
                    <w:pPr>
                      <w:jc w:val="right"/>
                      <w:rPr>
                        <w:spacing w:val="-20"/>
                        <w:sz w:val="18"/>
                        <w:szCs w:val="18"/>
                      </w:rPr>
                    </w:pPr>
                  </w:p>
                </w:tc>
                <w:tc>
                  <w:tcPr>
                    <w:tcW w:w="398" w:type="pct"/>
                    <w:vAlign w:val="center"/>
                  </w:tcPr>
                  <w:p w14:paraId="5C834F98" w14:textId="77777777" w:rsidR="007E7472" w:rsidRDefault="00C8327E">
                    <w:pPr>
                      <w:jc w:val="right"/>
                      <w:rPr>
                        <w:spacing w:val="-20"/>
                        <w:sz w:val="18"/>
                        <w:szCs w:val="18"/>
                      </w:rPr>
                    </w:pPr>
                  </w:p>
                </w:tc>
                <w:tc>
                  <w:tcPr>
                    <w:tcW w:w="205" w:type="pct"/>
                    <w:vAlign w:val="center"/>
                  </w:tcPr>
                  <w:p w14:paraId="34915841" w14:textId="77777777" w:rsidR="007E7472" w:rsidRDefault="00C8327E">
                    <w:pPr>
                      <w:jc w:val="right"/>
                      <w:rPr>
                        <w:spacing w:val="-20"/>
                        <w:sz w:val="18"/>
                        <w:szCs w:val="18"/>
                      </w:rPr>
                    </w:pPr>
                  </w:p>
                </w:tc>
                <w:tc>
                  <w:tcPr>
                    <w:tcW w:w="379" w:type="pct"/>
                    <w:vAlign w:val="center"/>
                  </w:tcPr>
                  <w:p w14:paraId="46F38DE1" w14:textId="77777777" w:rsidR="007E7472" w:rsidRDefault="00EC1269">
                    <w:pPr>
                      <w:jc w:val="right"/>
                      <w:rPr>
                        <w:spacing w:val="-20"/>
                        <w:sz w:val="18"/>
                        <w:szCs w:val="18"/>
                      </w:rPr>
                    </w:pPr>
                    <w:r>
                      <w:rPr>
                        <w:rFonts w:hint="eastAsia"/>
                        <w:spacing w:val="-20"/>
                        <w:sz w:val="18"/>
                        <w:szCs w:val="18"/>
                      </w:rPr>
                      <w:t>-1,700,000</w:t>
                    </w:r>
                  </w:p>
                </w:tc>
                <w:tc>
                  <w:tcPr>
                    <w:tcW w:w="330" w:type="pct"/>
                    <w:vAlign w:val="center"/>
                  </w:tcPr>
                  <w:p w14:paraId="0896C988" w14:textId="77777777" w:rsidR="007E7472" w:rsidRDefault="00C8327E">
                    <w:pPr>
                      <w:jc w:val="right"/>
                      <w:rPr>
                        <w:spacing w:val="-20"/>
                        <w:sz w:val="18"/>
                        <w:szCs w:val="18"/>
                      </w:rPr>
                    </w:pPr>
                  </w:p>
                </w:tc>
                <w:tc>
                  <w:tcPr>
                    <w:tcW w:w="356" w:type="pct"/>
                    <w:vAlign w:val="center"/>
                  </w:tcPr>
                  <w:p w14:paraId="1BBE2340" w14:textId="77777777" w:rsidR="007E7472" w:rsidRDefault="00EC1269">
                    <w:pPr>
                      <w:jc w:val="right"/>
                      <w:rPr>
                        <w:spacing w:val="-20"/>
                        <w:sz w:val="18"/>
                        <w:szCs w:val="18"/>
                      </w:rPr>
                    </w:pPr>
                    <w:r>
                      <w:rPr>
                        <w:rFonts w:hint="eastAsia"/>
                        <w:spacing w:val="-20"/>
                        <w:sz w:val="18"/>
                        <w:szCs w:val="18"/>
                      </w:rPr>
                      <w:t>-1,700,000</w:t>
                    </w:r>
                  </w:p>
                </w:tc>
              </w:tr>
              <w:tr w:rsidR="007E7472" w14:paraId="72C0AE4D" w14:textId="77777777">
                <w:sdt>
                  <w:sdtPr>
                    <w:tag w:val="_PLD_b945685508384f75ad9507566dd406a5"/>
                    <w:id w:val="-1192145052"/>
                    <w:lock w:val="sdtLocked"/>
                  </w:sdtPr>
                  <w:sdtEndPr/>
                  <w:sdtContent>
                    <w:tc>
                      <w:tcPr>
                        <w:tcW w:w="610" w:type="pct"/>
                      </w:tcPr>
                      <w:p w14:paraId="09326DA8" w14:textId="77777777" w:rsidR="007E7472" w:rsidRDefault="00EC1269">
                        <w:pPr>
                          <w:rPr>
                            <w:sz w:val="18"/>
                            <w:szCs w:val="18"/>
                          </w:rPr>
                        </w:pPr>
                        <w:r>
                          <w:rPr>
                            <w:rFonts w:hint="eastAsia"/>
                            <w:sz w:val="18"/>
                            <w:szCs w:val="18"/>
                          </w:rPr>
                          <w:t>3</w:t>
                        </w:r>
                        <w:r>
                          <w:rPr>
                            <w:sz w:val="18"/>
                            <w:szCs w:val="18"/>
                          </w:rPr>
                          <w:t>．股份支付计入所有者权益的金额</w:t>
                        </w:r>
                      </w:p>
                    </w:tc>
                  </w:sdtContent>
                </w:sdt>
                <w:tc>
                  <w:tcPr>
                    <w:tcW w:w="305" w:type="pct"/>
                    <w:vAlign w:val="center"/>
                  </w:tcPr>
                  <w:p w14:paraId="6EA5765C" w14:textId="77777777" w:rsidR="007E7472" w:rsidRDefault="00EC1269">
                    <w:pPr>
                      <w:jc w:val="right"/>
                      <w:rPr>
                        <w:spacing w:val="-20"/>
                        <w:sz w:val="18"/>
                        <w:szCs w:val="18"/>
                      </w:rPr>
                    </w:pPr>
                    <w:r>
                      <w:rPr>
                        <w:rFonts w:hint="eastAsia"/>
                        <w:spacing w:val="-20"/>
                        <w:sz w:val="18"/>
                        <w:szCs w:val="18"/>
                      </w:rPr>
                      <w:t>12,657</w:t>
                    </w:r>
                  </w:p>
                </w:tc>
                <w:tc>
                  <w:tcPr>
                    <w:tcW w:w="192" w:type="pct"/>
                    <w:vAlign w:val="center"/>
                  </w:tcPr>
                  <w:p w14:paraId="5CBA8754" w14:textId="77777777" w:rsidR="007E7472" w:rsidRDefault="00C8327E">
                    <w:pPr>
                      <w:jc w:val="right"/>
                      <w:rPr>
                        <w:spacing w:val="-20"/>
                        <w:sz w:val="18"/>
                        <w:szCs w:val="18"/>
                      </w:rPr>
                    </w:pPr>
                  </w:p>
                </w:tc>
                <w:tc>
                  <w:tcPr>
                    <w:tcW w:w="330" w:type="pct"/>
                    <w:vAlign w:val="center"/>
                  </w:tcPr>
                  <w:p w14:paraId="7AE68E88" w14:textId="77777777" w:rsidR="007E7472" w:rsidRDefault="00C8327E">
                    <w:pPr>
                      <w:jc w:val="right"/>
                      <w:rPr>
                        <w:spacing w:val="-20"/>
                        <w:sz w:val="18"/>
                        <w:szCs w:val="18"/>
                      </w:rPr>
                    </w:pPr>
                  </w:p>
                </w:tc>
                <w:tc>
                  <w:tcPr>
                    <w:tcW w:w="147" w:type="pct"/>
                    <w:vAlign w:val="center"/>
                  </w:tcPr>
                  <w:p w14:paraId="79F7029F" w14:textId="77777777" w:rsidR="007E7472" w:rsidRDefault="00C8327E">
                    <w:pPr>
                      <w:jc w:val="right"/>
                      <w:rPr>
                        <w:spacing w:val="-20"/>
                        <w:sz w:val="18"/>
                        <w:szCs w:val="18"/>
                      </w:rPr>
                    </w:pPr>
                  </w:p>
                </w:tc>
                <w:tc>
                  <w:tcPr>
                    <w:tcW w:w="358" w:type="pct"/>
                    <w:vAlign w:val="center"/>
                  </w:tcPr>
                  <w:p w14:paraId="142C7A7C" w14:textId="77777777" w:rsidR="007E7472" w:rsidRDefault="00EC1269">
                    <w:pPr>
                      <w:jc w:val="right"/>
                      <w:rPr>
                        <w:spacing w:val="-20"/>
                        <w:sz w:val="18"/>
                        <w:szCs w:val="18"/>
                      </w:rPr>
                    </w:pPr>
                    <w:r>
                      <w:rPr>
                        <w:rFonts w:hint="eastAsia"/>
                        <w:spacing w:val="-20"/>
                        <w:sz w:val="18"/>
                        <w:szCs w:val="18"/>
                      </w:rPr>
                      <w:t>187,507</w:t>
                    </w:r>
                  </w:p>
                </w:tc>
                <w:tc>
                  <w:tcPr>
                    <w:tcW w:w="256" w:type="pct"/>
                    <w:vAlign w:val="center"/>
                  </w:tcPr>
                  <w:p w14:paraId="0963B01B" w14:textId="77777777" w:rsidR="007E7472" w:rsidRDefault="00C8327E">
                    <w:pPr>
                      <w:jc w:val="right"/>
                      <w:rPr>
                        <w:spacing w:val="-20"/>
                        <w:sz w:val="18"/>
                        <w:szCs w:val="18"/>
                      </w:rPr>
                    </w:pPr>
                  </w:p>
                </w:tc>
                <w:tc>
                  <w:tcPr>
                    <w:tcW w:w="356" w:type="pct"/>
                    <w:vAlign w:val="center"/>
                  </w:tcPr>
                  <w:p w14:paraId="5067B31B" w14:textId="77777777" w:rsidR="007E7472" w:rsidRDefault="00C8327E">
                    <w:pPr>
                      <w:jc w:val="right"/>
                      <w:rPr>
                        <w:spacing w:val="-20"/>
                        <w:sz w:val="18"/>
                        <w:szCs w:val="18"/>
                      </w:rPr>
                    </w:pPr>
                  </w:p>
                </w:tc>
                <w:tc>
                  <w:tcPr>
                    <w:tcW w:w="305" w:type="pct"/>
                    <w:vAlign w:val="center"/>
                  </w:tcPr>
                  <w:p w14:paraId="354EEE99" w14:textId="77777777" w:rsidR="007E7472" w:rsidRDefault="00C8327E">
                    <w:pPr>
                      <w:jc w:val="right"/>
                      <w:rPr>
                        <w:spacing w:val="-20"/>
                        <w:sz w:val="18"/>
                        <w:szCs w:val="18"/>
                      </w:rPr>
                    </w:pPr>
                  </w:p>
                </w:tc>
                <w:tc>
                  <w:tcPr>
                    <w:tcW w:w="255" w:type="pct"/>
                    <w:vAlign w:val="center"/>
                  </w:tcPr>
                  <w:p w14:paraId="30242A9E" w14:textId="77777777" w:rsidR="007E7472" w:rsidRDefault="00C8327E">
                    <w:pPr>
                      <w:jc w:val="right"/>
                      <w:rPr>
                        <w:spacing w:val="-20"/>
                        <w:sz w:val="18"/>
                        <w:szCs w:val="18"/>
                      </w:rPr>
                    </w:pPr>
                  </w:p>
                </w:tc>
                <w:tc>
                  <w:tcPr>
                    <w:tcW w:w="219" w:type="pct"/>
                    <w:vAlign w:val="center"/>
                  </w:tcPr>
                  <w:p w14:paraId="7683AA5D" w14:textId="77777777" w:rsidR="007E7472" w:rsidRDefault="00C8327E">
                    <w:pPr>
                      <w:jc w:val="right"/>
                      <w:rPr>
                        <w:spacing w:val="-20"/>
                        <w:sz w:val="18"/>
                        <w:szCs w:val="18"/>
                      </w:rPr>
                    </w:pPr>
                  </w:p>
                </w:tc>
                <w:tc>
                  <w:tcPr>
                    <w:tcW w:w="398" w:type="pct"/>
                    <w:vAlign w:val="center"/>
                  </w:tcPr>
                  <w:p w14:paraId="342BB01E" w14:textId="77777777" w:rsidR="007E7472" w:rsidRDefault="00C8327E">
                    <w:pPr>
                      <w:jc w:val="right"/>
                      <w:rPr>
                        <w:spacing w:val="-20"/>
                        <w:sz w:val="18"/>
                        <w:szCs w:val="18"/>
                      </w:rPr>
                    </w:pPr>
                  </w:p>
                </w:tc>
                <w:tc>
                  <w:tcPr>
                    <w:tcW w:w="205" w:type="pct"/>
                    <w:vAlign w:val="center"/>
                  </w:tcPr>
                  <w:p w14:paraId="0B102BF8" w14:textId="77777777" w:rsidR="007E7472" w:rsidRDefault="00C8327E">
                    <w:pPr>
                      <w:jc w:val="right"/>
                      <w:rPr>
                        <w:spacing w:val="-20"/>
                        <w:sz w:val="18"/>
                        <w:szCs w:val="18"/>
                      </w:rPr>
                    </w:pPr>
                  </w:p>
                </w:tc>
                <w:tc>
                  <w:tcPr>
                    <w:tcW w:w="379" w:type="pct"/>
                    <w:vAlign w:val="center"/>
                  </w:tcPr>
                  <w:p w14:paraId="06737DFF" w14:textId="77777777" w:rsidR="007E7472" w:rsidRDefault="00EC1269">
                    <w:pPr>
                      <w:jc w:val="right"/>
                      <w:rPr>
                        <w:spacing w:val="-20"/>
                        <w:sz w:val="18"/>
                        <w:szCs w:val="18"/>
                      </w:rPr>
                    </w:pPr>
                    <w:r>
                      <w:rPr>
                        <w:rFonts w:hint="eastAsia"/>
                        <w:spacing w:val="-20"/>
                        <w:sz w:val="18"/>
                        <w:szCs w:val="18"/>
                      </w:rPr>
                      <w:t>200,16</w:t>
                    </w:r>
                    <w:r>
                      <w:rPr>
                        <w:spacing w:val="-20"/>
                        <w:sz w:val="18"/>
                        <w:szCs w:val="18"/>
                      </w:rPr>
                      <w:t>4</w:t>
                    </w:r>
                  </w:p>
                </w:tc>
                <w:tc>
                  <w:tcPr>
                    <w:tcW w:w="330" w:type="pct"/>
                    <w:vAlign w:val="center"/>
                  </w:tcPr>
                  <w:p w14:paraId="17B55C42" w14:textId="77777777" w:rsidR="007E7472" w:rsidRDefault="00EC1269">
                    <w:pPr>
                      <w:jc w:val="right"/>
                      <w:rPr>
                        <w:spacing w:val="-20"/>
                        <w:sz w:val="18"/>
                        <w:szCs w:val="18"/>
                      </w:rPr>
                    </w:pPr>
                    <w:r>
                      <w:rPr>
                        <w:rFonts w:hint="eastAsia"/>
                        <w:spacing w:val="-20"/>
                        <w:sz w:val="18"/>
                        <w:szCs w:val="18"/>
                      </w:rPr>
                      <w:t>607</w:t>
                    </w:r>
                  </w:p>
                </w:tc>
                <w:tc>
                  <w:tcPr>
                    <w:tcW w:w="356" w:type="pct"/>
                    <w:vAlign w:val="center"/>
                  </w:tcPr>
                  <w:p w14:paraId="23A1016E" w14:textId="77777777" w:rsidR="007E7472" w:rsidRDefault="00EC1269">
                    <w:pPr>
                      <w:jc w:val="right"/>
                      <w:rPr>
                        <w:spacing w:val="-20"/>
                        <w:sz w:val="18"/>
                        <w:szCs w:val="18"/>
                      </w:rPr>
                    </w:pPr>
                    <w:r>
                      <w:rPr>
                        <w:rFonts w:hint="eastAsia"/>
                        <w:spacing w:val="-20"/>
                        <w:sz w:val="18"/>
                        <w:szCs w:val="18"/>
                      </w:rPr>
                      <w:t>200,771</w:t>
                    </w:r>
                  </w:p>
                </w:tc>
              </w:tr>
              <w:tr w:rsidR="007E7472" w14:paraId="5BD92A58" w14:textId="77777777">
                <w:sdt>
                  <w:sdtPr>
                    <w:tag w:val="_PLD_9750c8886d9e46828b4cf81bb68aea34"/>
                    <w:id w:val="-212117384"/>
                    <w:lock w:val="sdtLocked"/>
                  </w:sdtPr>
                  <w:sdtEndPr/>
                  <w:sdtContent>
                    <w:tc>
                      <w:tcPr>
                        <w:tcW w:w="610" w:type="pct"/>
                      </w:tcPr>
                      <w:p w14:paraId="64EBBBE7" w14:textId="77777777" w:rsidR="007E7472" w:rsidRDefault="00EC1269">
                        <w:pPr>
                          <w:rPr>
                            <w:sz w:val="18"/>
                            <w:szCs w:val="18"/>
                          </w:rPr>
                        </w:pPr>
                        <w:r>
                          <w:rPr>
                            <w:rFonts w:hint="eastAsia"/>
                            <w:sz w:val="18"/>
                            <w:szCs w:val="18"/>
                          </w:rPr>
                          <w:t>4.同一控制下企业合并</w:t>
                        </w:r>
                      </w:p>
                    </w:tc>
                  </w:sdtContent>
                </w:sdt>
                <w:sdt>
                  <w:sdtPr>
                    <w:alias w:val="4.同一控制下企业合并实收资本(或股本)"/>
                    <w:tag w:val="_GBC_a3a502347d1846d9b16d44d75f861f38"/>
                    <w:id w:val="1194427914"/>
                    <w:lock w:val="sdtLocked"/>
                  </w:sdtPr>
                  <w:sdtEndPr/>
                  <w:sdtContent>
                    <w:tc>
                      <w:tcPr>
                        <w:tcW w:w="305" w:type="pct"/>
                      </w:tcPr>
                      <w:p w14:paraId="4294778B" w14:textId="77777777" w:rsidR="007E7472" w:rsidRDefault="00C8327E">
                        <w:pPr>
                          <w:jc w:val="right"/>
                          <w:rPr>
                            <w:spacing w:val="-20"/>
                            <w:sz w:val="18"/>
                            <w:szCs w:val="18"/>
                          </w:rPr>
                        </w:pPr>
                      </w:p>
                    </w:tc>
                  </w:sdtContent>
                </w:sdt>
                <w:sdt>
                  <w:sdtPr>
                    <w:alias w:val="4.同一控制下企业合并优先股"/>
                    <w:tag w:val="_GBC_b76ee3cf59a948f582d657c37614e1bc"/>
                    <w:id w:val="2126570437"/>
                    <w:lock w:val="sdtLocked"/>
                  </w:sdtPr>
                  <w:sdtEndPr/>
                  <w:sdtContent>
                    <w:tc>
                      <w:tcPr>
                        <w:tcW w:w="192" w:type="pct"/>
                      </w:tcPr>
                      <w:p w14:paraId="54BAD52E" w14:textId="77777777" w:rsidR="007E7472" w:rsidRDefault="00C8327E">
                        <w:pPr>
                          <w:jc w:val="right"/>
                          <w:rPr>
                            <w:spacing w:val="-20"/>
                            <w:sz w:val="18"/>
                            <w:szCs w:val="18"/>
                          </w:rPr>
                        </w:pPr>
                      </w:p>
                    </w:tc>
                  </w:sdtContent>
                </w:sdt>
                <w:sdt>
                  <w:sdtPr>
                    <w:alias w:val="4.同一控制下企业合并永续债"/>
                    <w:tag w:val="_GBC_0441f2287ef148258f6120af115d25fa"/>
                    <w:id w:val="1954436763"/>
                    <w:lock w:val="sdtLocked"/>
                  </w:sdtPr>
                  <w:sdtEndPr/>
                  <w:sdtContent>
                    <w:tc>
                      <w:tcPr>
                        <w:tcW w:w="330" w:type="pct"/>
                      </w:tcPr>
                      <w:p w14:paraId="1E911CB4" w14:textId="77777777" w:rsidR="007E7472" w:rsidRDefault="00C8327E">
                        <w:pPr>
                          <w:jc w:val="right"/>
                          <w:rPr>
                            <w:spacing w:val="-20"/>
                            <w:sz w:val="18"/>
                            <w:szCs w:val="18"/>
                          </w:rPr>
                        </w:pPr>
                      </w:p>
                    </w:tc>
                  </w:sdtContent>
                </w:sdt>
                <w:sdt>
                  <w:sdtPr>
                    <w:alias w:val="4.同一控制下企业合并其他"/>
                    <w:tag w:val="_GBC_69aa9e2be1cc448db2489f93f61730c7"/>
                    <w:id w:val="-869136908"/>
                    <w:lock w:val="sdtLocked"/>
                  </w:sdtPr>
                  <w:sdtEndPr/>
                  <w:sdtContent>
                    <w:tc>
                      <w:tcPr>
                        <w:tcW w:w="147" w:type="pct"/>
                      </w:tcPr>
                      <w:p w14:paraId="4006FACF" w14:textId="77777777" w:rsidR="007E7472" w:rsidRDefault="00C8327E">
                        <w:pPr>
                          <w:jc w:val="right"/>
                          <w:rPr>
                            <w:spacing w:val="-20"/>
                            <w:sz w:val="18"/>
                            <w:szCs w:val="18"/>
                          </w:rPr>
                        </w:pPr>
                      </w:p>
                    </w:tc>
                  </w:sdtContent>
                </w:sdt>
                <w:sdt>
                  <w:sdtPr>
                    <w:rPr>
                      <w:spacing w:val="-20"/>
                      <w:sz w:val="18"/>
                      <w:szCs w:val="18"/>
                    </w:rPr>
                    <w:alias w:val="4.同一控制下企业合并资本公积"/>
                    <w:tag w:val="_GBC_0e4ff532bc3b4e69be152dfa31903f71"/>
                    <w:id w:val="-1204781000"/>
                    <w:lock w:val="sdtLocked"/>
                  </w:sdtPr>
                  <w:sdtEndPr/>
                  <w:sdtContent>
                    <w:tc>
                      <w:tcPr>
                        <w:tcW w:w="358" w:type="pct"/>
                      </w:tcPr>
                      <w:p w14:paraId="66D0B3BC" w14:textId="77777777" w:rsidR="007E7472" w:rsidRDefault="00EC1269">
                        <w:pPr>
                          <w:jc w:val="right"/>
                          <w:rPr>
                            <w:spacing w:val="-20"/>
                            <w:sz w:val="18"/>
                            <w:szCs w:val="18"/>
                          </w:rPr>
                        </w:pPr>
                        <w:r>
                          <w:rPr>
                            <w:spacing w:val="-20"/>
                            <w:sz w:val="18"/>
                            <w:szCs w:val="18"/>
                          </w:rPr>
                          <w:t>-215,250</w:t>
                        </w:r>
                      </w:p>
                    </w:tc>
                  </w:sdtContent>
                </w:sdt>
                <w:sdt>
                  <w:sdtPr>
                    <w:rPr>
                      <w:spacing w:val="-20"/>
                      <w:sz w:val="18"/>
                    </w:rPr>
                    <w:alias w:val="4.同一控制下企业合并减：库存股"/>
                    <w:tag w:val="_GBC_f0ebe2a76c88496184762d2626168368"/>
                    <w:id w:val="1375961491"/>
                    <w:lock w:val="sdtLocked"/>
                  </w:sdtPr>
                  <w:sdtEndPr/>
                  <w:sdtContent>
                    <w:tc>
                      <w:tcPr>
                        <w:tcW w:w="256" w:type="pct"/>
                      </w:tcPr>
                      <w:p w14:paraId="6F8C19A5" w14:textId="77777777" w:rsidR="007E7472" w:rsidRDefault="00C8327E">
                        <w:pPr>
                          <w:jc w:val="right"/>
                          <w:rPr>
                            <w:spacing w:val="-20"/>
                            <w:sz w:val="18"/>
                            <w:szCs w:val="18"/>
                          </w:rPr>
                        </w:pPr>
                      </w:p>
                    </w:tc>
                  </w:sdtContent>
                </w:sdt>
                <w:sdt>
                  <w:sdtPr>
                    <w:rPr>
                      <w:spacing w:val="-20"/>
                      <w:sz w:val="18"/>
                    </w:rPr>
                    <w:alias w:val="4.同一控制下企业合并其他综合收益"/>
                    <w:tag w:val="_GBC_f34197943b7546dd9b31790df735d852"/>
                    <w:id w:val="1278150748"/>
                    <w:lock w:val="sdtLocked"/>
                  </w:sdtPr>
                  <w:sdtEndPr/>
                  <w:sdtContent>
                    <w:tc>
                      <w:tcPr>
                        <w:tcW w:w="356" w:type="pct"/>
                      </w:tcPr>
                      <w:p w14:paraId="6CC0D3C9" w14:textId="77777777" w:rsidR="007E7472" w:rsidRDefault="00C8327E">
                        <w:pPr>
                          <w:jc w:val="right"/>
                          <w:rPr>
                            <w:spacing w:val="-20"/>
                            <w:sz w:val="18"/>
                            <w:szCs w:val="18"/>
                          </w:rPr>
                        </w:pPr>
                      </w:p>
                    </w:tc>
                  </w:sdtContent>
                </w:sdt>
                <w:sdt>
                  <w:sdtPr>
                    <w:rPr>
                      <w:spacing w:val="-20"/>
                      <w:sz w:val="18"/>
                    </w:rPr>
                    <w:alias w:val="4.同一控制下企业合并专项储备"/>
                    <w:tag w:val="_GBC_c0f483e4c3234cce952c6edd40faecd6"/>
                    <w:id w:val="-40988385"/>
                    <w:lock w:val="sdtLocked"/>
                  </w:sdtPr>
                  <w:sdtEndPr/>
                  <w:sdtContent>
                    <w:tc>
                      <w:tcPr>
                        <w:tcW w:w="305" w:type="pct"/>
                      </w:tcPr>
                      <w:p w14:paraId="3C89C82C" w14:textId="77777777" w:rsidR="007E7472" w:rsidRDefault="00C8327E">
                        <w:pPr>
                          <w:jc w:val="right"/>
                          <w:rPr>
                            <w:spacing w:val="-20"/>
                            <w:sz w:val="18"/>
                            <w:szCs w:val="18"/>
                          </w:rPr>
                        </w:pPr>
                      </w:p>
                    </w:tc>
                  </w:sdtContent>
                </w:sdt>
                <w:sdt>
                  <w:sdtPr>
                    <w:rPr>
                      <w:spacing w:val="-20"/>
                      <w:sz w:val="18"/>
                    </w:rPr>
                    <w:alias w:val="4.同一控制下企业合并盈余公积"/>
                    <w:tag w:val="_GBC_6d5c6153884f45e0986e4a10f1b80af8"/>
                    <w:id w:val="-1554767512"/>
                    <w:lock w:val="sdtLocked"/>
                  </w:sdtPr>
                  <w:sdtEndPr/>
                  <w:sdtContent>
                    <w:tc>
                      <w:tcPr>
                        <w:tcW w:w="255" w:type="pct"/>
                      </w:tcPr>
                      <w:p w14:paraId="0CD10718" w14:textId="77777777" w:rsidR="007E7472" w:rsidRDefault="00C8327E">
                        <w:pPr>
                          <w:jc w:val="right"/>
                          <w:rPr>
                            <w:spacing w:val="-20"/>
                            <w:sz w:val="18"/>
                            <w:szCs w:val="18"/>
                          </w:rPr>
                        </w:pPr>
                      </w:p>
                    </w:tc>
                  </w:sdtContent>
                </w:sdt>
                <w:sdt>
                  <w:sdtPr>
                    <w:rPr>
                      <w:spacing w:val="-20"/>
                      <w:sz w:val="18"/>
                    </w:rPr>
                    <w:alias w:val="4.同一控制下企业合并一般风险准备"/>
                    <w:tag w:val="_GBC_e574e6ca74cc47fb93e96434c5e690e6"/>
                    <w:id w:val="-706027599"/>
                    <w:lock w:val="sdtLocked"/>
                  </w:sdtPr>
                  <w:sdtEndPr/>
                  <w:sdtContent>
                    <w:tc>
                      <w:tcPr>
                        <w:tcW w:w="219" w:type="pct"/>
                      </w:tcPr>
                      <w:p w14:paraId="4A09E5A8" w14:textId="77777777" w:rsidR="007E7472" w:rsidRDefault="00C8327E">
                        <w:pPr>
                          <w:jc w:val="right"/>
                          <w:rPr>
                            <w:spacing w:val="-20"/>
                            <w:sz w:val="18"/>
                            <w:szCs w:val="18"/>
                          </w:rPr>
                        </w:pPr>
                      </w:p>
                    </w:tc>
                  </w:sdtContent>
                </w:sdt>
                <w:sdt>
                  <w:sdtPr>
                    <w:rPr>
                      <w:spacing w:val="-20"/>
                      <w:sz w:val="18"/>
                    </w:rPr>
                    <w:alias w:val="4.同一控制下企业合并未分配利润"/>
                    <w:tag w:val="_GBC_793a5ba48b1c4eadaf6f4e0e7c6774bb"/>
                    <w:id w:val="-244191973"/>
                    <w:lock w:val="sdtLocked"/>
                    <w:showingPlcHdr/>
                  </w:sdtPr>
                  <w:sdtEndPr/>
                  <w:sdtContent>
                    <w:tc>
                      <w:tcPr>
                        <w:tcW w:w="398" w:type="pct"/>
                      </w:tcPr>
                      <w:p w14:paraId="78BC31DF" w14:textId="77777777" w:rsidR="007E7472" w:rsidRDefault="00EC1269">
                        <w:pPr>
                          <w:jc w:val="right"/>
                          <w:rPr>
                            <w:spacing w:val="-20"/>
                            <w:sz w:val="18"/>
                            <w:szCs w:val="18"/>
                          </w:rPr>
                        </w:pPr>
                        <w:r>
                          <w:rPr>
                            <w:spacing w:val="-20"/>
                            <w:sz w:val="18"/>
                          </w:rPr>
                          <w:t xml:space="preserve">     </w:t>
                        </w:r>
                      </w:p>
                    </w:tc>
                  </w:sdtContent>
                </w:sdt>
                <w:sdt>
                  <w:sdtPr>
                    <w:rPr>
                      <w:spacing w:val="-20"/>
                      <w:sz w:val="18"/>
                    </w:rPr>
                    <w:alias w:val="4.同一控制下企业合并其他"/>
                    <w:tag w:val="_GBC_0538c39e043b4adc8d2d577efaafeef9"/>
                    <w:id w:val="-1756825213"/>
                    <w:lock w:val="sdtLocked"/>
                  </w:sdtPr>
                  <w:sdtEndPr/>
                  <w:sdtContent>
                    <w:tc>
                      <w:tcPr>
                        <w:tcW w:w="205" w:type="pct"/>
                      </w:tcPr>
                      <w:p w14:paraId="66D24207" w14:textId="77777777" w:rsidR="007E7472" w:rsidRDefault="00C8327E">
                        <w:pPr>
                          <w:jc w:val="right"/>
                          <w:rPr>
                            <w:spacing w:val="-20"/>
                            <w:sz w:val="18"/>
                            <w:szCs w:val="18"/>
                          </w:rPr>
                        </w:pPr>
                      </w:p>
                    </w:tc>
                  </w:sdtContent>
                </w:sdt>
                <w:sdt>
                  <w:sdtPr>
                    <w:rPr>
                      <w:spacing w:val="-20"/>
                      <w:sz w:val="18"/>
                    </w:rPr>
                    <w:alias w:val="4.同一控制下企业合并小计"/>
                    <w:tag w:val="_GBC_249234b2f6b6418abd36eaf75f6dc596"/>
                    <w:id w:val="-1973752706"/>
                    <w:lock w:val="sdtLocked"/>
                  </w:sdtPr>
                  <w:sdtEndPr/>
                  <w:sdtContent>
                    <w:tc>
                      <w:tcPr>
                        <w:tcW w:w="379" w:type="pct"/>
                      </w:tcPr>
                      <w:p w14:paraId="2B3BF6DD" w14:textId="77777777" w:rsidR="007E7472" w:rsidRDefault="00EC1269">
                        <w:pPr>
                          <w:jc w:val="right"/>
                          <w:rPr>
                            <w:spacing w:val="-20"/>
                            <w:sz w:val="18"/>
                            <w:szCs w:val="18"/>
                          </w:rPr>
                        </w:pPr>
                        <w:r>
                          <w:rPr>
                            <w:spacing w:val="-20"/>
                            <w:sz w:val="18"/>
                          </w:rPr>
                          <w:t>-215,250</w:t>
                        </w:r>
                      </w:p>
                    </w:tc>
                  </w:sdtContent>
                </w:sdt>
                <w:sdt>
                  <w:sdtPr>
                    <w:rPr>
                      <w:spacing w:val="-20"/>
                      <w:sz w:val="18"/>
                    </w:rPr>
                    <w:alias w:val="4.同一控制下企业合并少数股东权益"/>
                    <w:tag w:val="_GBC_847937a926e64d598cadf27db6b3b12a"/>
                    <w:id w:val="273138098"/>
                    <w:lock w:val="sdtLocked"/>
                  </w:sdtPr>
                  <w:sdtEndPr/>
                  <w:sdtContent>
                    <w:tc>
                      <w:tcPr>
                        <w:tcW w:w="330" w:type="pct"/>
                      </w:tcPr>
                      <w:p w14:paraId="367A3A7A" w14:textId="77777777" w:rsidR="007E7472" w:rsidRDefault="00EC1269">
                        <w:pPr>
                          <w:jc w:val="right"/>
                          <w:rPr>
                            <w:spacing w:val="-20"/>
                            <w:sz w:val="18"/>
                            <w:szCs w:val="18"/>
                          </w:rPr>
                        </w:pPr>
                        <w:r>
                          <w:rPr>
                            <w:spacing w:val="-20"/>
                            <w:sz w:val="18"/>
                          </w:rPr>
                          <w:t>215,250</w:t>
                        </w:r>
                      </w:p>
                    </w:tc>
                  </w:sdtContent>
                </w:sdt>
                <w:sdt>
                  <w:sdtPr>
                    <w:alias w:val="4.同一控制下企业合并所有者权益合计"/>
                    <w:tag w:val="_GBC_306a0d824918469d8e8b83ed55bc9a98"/>
                    <w:id w:val="858773605"/>
                    <w:lock w:val="sdtLocked"/>
                  </w:sdtPr>
                  <w:sdtEndPr/>
                  <w:sdtContent>
                    <w:tc>
                      <w:tcPr>
                        <w:tcW w:w="356" w:type="pct"/>
                      </w:tcPr>
                      <w:p w14:paraId="0A222B06" w14:textId="77777777" w:rsidR="007E7472" w:rsidRDefault="00C8327E">
                        <w:pPr>
                          <w:jc w:val="right"/>
                          <w:rPr>
                            <w:spacing w:val="-20"/>
                            <w:sz w:val="18"/>
                            <w:szCs w:val="18"/>
                          </w:rPr>
                        </w:pPr>
                      </w:p>
                    </w:tc>
                  </w:sdtContent>
                </w:sdt>
              </w:tr>
              <w:tr w:rsidR="007E7472" w14:paraId="0886FF1E" w14:textId="77777777">
                <w:sdt>
                  <w:sdtPr>
                    <w:tag w:val="_PLD_4a778ad537dc487babd5e36942433df7"/>
                    <w:id w:val="153806650"/>
                    <w:lock w:val="sdtLocked"/>
                  </w:sdtPr>
                  <w:sdtEndPr/>
                  <w:sdtContent>
                    <w:tc>
                      <w:tcPr>
                        <w:tcW w:w="610" w:type="pct"/>
                      </w:tcPr>
                      <w:p w14:paraId="353A4F68" w14:textId="77777777" w:rsidR="007E7472" w:rsidRDefault="00EC1269">
                        <w:pPr>
                          <w:rPr>
                            <w:sz w:val="18"/>
                            <w:szCs w:val="18"/>
                          </w:rPr>
                        </w:pPr>
                        <w:r>
                          <w:rPr>
                            <w:rFonts w:hint="eastAsia"/>
                            <w:sz w:val="18"/>
                            <w:szCs w:val="18"/>
                          </w:rPr>
                          <w:t>5.收购少数股东股权</w:t>
                        </w:r>
                      </w:p>
                    </w:tc>
                  </w:sdtContent>
                </w:sdt>
                <w:sdt>
                  <w:sdtPr>
                    <w:alias w:val="5.收购少数股东股权实收资本(或股本)"/>
                    <w:tag w:val="_GBC_a85bf94b16c645fcb6c4289db2a65345"/>
                    <w:id w:val="298502313"/>
                    <w:lock w:val="sdtLocked"/>
                  </w:sdtPr>
                  <w:sdtEndPr/>
                  <w:sdtContent>
                    <w:tc>
                      <w:tcPr>
                        <w:tcW w:w="305" w:type="pct"/>
                      </w:tcPr>
                      <w:p w14:paraId="19050FAB" w14:textId="77777777" w:rsidR="007E7472" w:rsidRDefault="00C8327E">
                        <w:pPr>
                          <w:jc w:val="right"/>
                          <w:rPr>
                            <w:spacing w:val="-20"/>
                            <w:sz w:val="18"/>
                            <w:szCs w:val="18"/>
                          </w:rPr>
                        </w:pPr>
                      </w:p>
                    </w:tc>
                  </w:sdtContent>
                </w:sdt>
                <w:sdt>
                  <w:sdtPr>
                    <w:alias w:val="5.收购少数股东股权优先股"/>
                    <w:tag w:val="_GBC_920485402a704fe5916fb6e9fab6a54f"/>
                    <w:id w:val="1776128753"/>
                    <w:lock w:val="sdtLocked"/>
                  </w:sdtPr>
                  <w:sdtEndPr/>
                  <w:sdtContent>
                    <w:tc>
                      <w:tcPr>
                        <w:tcW w:w="192" w:type="pct"/>
                      </w:tcPr>
                      <w:p w14:paraId="7236C026" w14:textId="77777777" w:rsidR="007E7472" w:rsidRDefault="00C8327E">
                        <w:pPr>
                          <w:jc w:val="right"/>
                          <w:rPr>
                            <w:spacing w:val="-20"/>
                            <w:sz w:val="18"/>
                            <w:szCs w:val="18"/>
                          </w:rPr>
                        </w:pPr>
                      </w:p>
                    </w:tc>
                  </w:sdtContent>
                </w:sdt>
                <w:sdt>
                  <w:sdtPr>
                    <w:alias w:val="5.收购少数股东股权永续债"/>
                    <w:tag w:val="_GBC_6f8710b1343f4a4baa15fa651303f688"/>
                    <w:id w:val="-1942756477"/>
                    <w:lock w:val="sdtLocked"/>
                  </w:sdtPr>
                  <w:sdtEndPr/>
                  <w:sdtContent>
                    <w:tc>
                      <w:tcPr>
                        <w:tcW w:w="330" w:type="pct"/>
                      </w:tcPr>
                      <w:p w14:paraId="39767860" w14:textId="77777777" w:rsidR="007E7472" w:rsidRDefault="00C8327E">
                        <w:pPr>
                          <w:jc w:val="right"/>
                          <w:rPr>
                            <w:spacing w:val="-20"/>
                            <w:sz w:val="18"/>
                            <w:szCs w:val="18"/>
                          </w:rPr>
                        </w:pPr>
                      </w:p>
                    </w:tc>
                  </w:sdtContent>
                </w:sdt>
                <w:sdt>
                  <w:sdtPr>
                    <w:alias w:val="5.收购少数股东股权其他"/>
                    <w:tag w:val="_GBC_964c3fff01954adebb44617afb07ff6f"/>
                    <w:id w:val="1961301885"/>
                    <w:lock w:val="sdtLocked"/>
                  </w:sdtPr>
                  <w:sdtEndPr/>
                  <w:sdtContent>
                    <w:tc>
                      <w:tcPr>
                        <w:tcW w:w="147" w:type="pct"/>
                      </w:tcPr>
                      <w:p w14:paraId="10F4DD69" w14:textId="77777777" w:rsidR="007E7472" w:rsidRDefault="00C8327E">
                        <w:pPr>
                          <w:jc w:val="right"/>
                          <w:rPr>
                            <w:spacing w:val="-20"/>
                            <w:sz w:val="18"/>
                            <w:szCs w:val="18"/>
                          </w:rPr>
                        </w:pPr>
                      </w:p>
                    </w:tc>
                  </w:sdtContent>
                </w:sdt>
                <w:sdt>
                  <w:sdtPr>
                    <w:alias w:val="5.收购少数股东股权资本公积"/>
                    <w:tag w:val="_GBC_4f7974d0b5ce4dce863ff7f14da1ef24"/>
                    <w:id w:val="1524905926"/>
                    <w:lock w:val="sdtLocked"/>
                  </w:sdtPr>
                  <w:sdtEndPr/>
                  <w:sdtContent>
                    <w:tc>
                      <w:tcPr>
                        <w:tcW w:w="358" w:type="pct"/>
                      </w:tcPr>
                      <w:p w14:paraId="1CDEB327" w14:textId="77777777" w:rsidR="007E7472" w:rsidRDefault="00C8327E">
                        <w:pPr>
                          <w:jc w:val="right"/>
                          <w:rPr>
                            <w:spacing w:val="-20"/>
                            <w:sz w:val="18"/>
                            <w:szCs w:val="18"/>
                          </w:rPr>
                        </w:pPr>
                      </w:p>
                    </w:tc>
                  </w:sdtContent>
                </w:sdt>
                <w:sdt>
                  <w:sdtPr>
                    <w:alias w:val="5.收购少数股东股权减：库存股"/>
                    <w:tag w:val="_GBC_9852ce09ebaf4e0c978935063034bb51"/>
                    <w:id w:val="-310407981"/>
                    <w:lock w:val="sdtLocked"/>
                  </w:sdtPr>
                  <w:sdtEndPr/>
                  <w:sdtContent>
                    <w:tc>
                      <w:tcPr>
                        <w:tcW w:w="256" w:type="pct"/>
                      </w:tcPr>
                      <w:p w14:paraId="268BA6E0" w14:textId="77777777" w:rsidR="007E7472" w:rsidRDefault="00C8327E">
                        <w:pPr>
                          <w:jc w:val="right"/>
                          <w:rPr>
                            <w:spacing w:val="-20"/>
                            <w:sz w:val="18"/>
                            <w:szCs w:val="18"/>
                          </w:rPr>
                        </w:pPr>
                      </w:p>
                    </w:tc>
                  </w:sdtContent>
                </w:sdt>
                <w:sdt>
                  <w:sdtPr>
                    <w:alias w:val="5.收购少数股东股权其他综合收益"/>
                    <w:tag w:val="_GBC_b690ace18b124414847138afa14d6417"/>
                    <w:id w:val="-367759684"/>
                    <w:lock w:val="sdtLocked"/>
                  </w:sdtPr>
                  <w:sdtEndPr/>
                  <w:sdtContent>
                    <w:tc>
                      <w:tcPr>
                        <w:tcW w:w="356" w:type="pct"/>
                      </w:tcPr>
                      <w:p w14:paraId="568DB2B2" w14:textId="77777777" w:rsidR="007E7472" w:rsidRDefault="00C8327E">
                        <w:pPr>
                          <w:jc w:val="right"/>
                          <w:rPr>
                            <w:spacing w:val="-20"/>
                            <w:sz w:val="18"/>
                            <w:szCs w:val="18"/>
                          </w:rPr>
                        </w:pPr>
                      </w:p>
                    </w:tc>
                  </w:sdtContent>
                </w:sdt>
                <w:sdt>
                  <w:sdtPr>
                    <w:alias w:val="5.收购少数股东股权专项储备"/>
                    <w:tag w:val="_GBC_d1fd703e81554c88a6fda330799f1a1d"/>
                    <w:id w:val="1967930871"/>
                    <w:lock w:val="sdtLocked"/>
                  </w:sdtPr>
                  <w:sdtEndPr/>
                  <w:sdtContent>
                    <w:tc>
                      <w:tcPr>
                        <w:tcW w:w="305" w:type="pct"/>
                      </w:tcPr>
                      <w:p w14:paraId="150D2FE8" w14:textId="77777777" w:rsidR="007E7472" w:rsidRDefault="00C8327E">
                        <w:pPr>
                          <w:jc w:val="right"/>
                          <w:rPr>
                            <w:spacing w:val="-20"/>
                            <w:sz w:val="18"/>
                            <w:szCs w:val="18"/>
                          </w:rPr>
                        </w:pPr>
                      </w:p>
                    </w:tc>
                  </w:sdtContent>
                </w:sdt>
                <w:sdt>
                  <w:sdtPr>
                    <w:alias w:val="5.收购少数股东股权盈余公积"/>
                    <w:tag w:val="_GBC_d4d5c304d5c1406a85f344a6951665c7"/>
                    <w:id w:val="2125498060"/>
                    <w:lock w:val="sdtLocked"/>
                  </w:sdtPr>
                  <w:sdtEndPr/>
                  <w:sdtContent>
                    <w:tc>
                      <w:tcPr>
                        <w:tcW w:w="255" w:type="pct"/>
                      </w:tcPr>
                      <w:p w14:paraId="35F39792" w14:textId="77777777" w:rsidR="007E7472" w:rsidRDefault="00C8327E">
                        <w:pPr>
                          <w:jc w:val="right"/>
                          <w:rPr>
                            <w:spacing w:val="-20"/>
                            <w:sz w:val="18"/>
                            <w:szCs w:val="18"/>
                          </w:rPr>
                        </w:pPr>
                      </w:p>
                    </w:tc>
                  </w:sdtContent>
                </w:sdt>
                <w:sdt>
                  <w:sdtPr>
                    <w:alias w:val="5.收购少数股东股权一般风险准备"/>
                    <w:tag w:val="_GBC_af231d231b704850a43777bad3dde31e"/>
                    <w:id w:val="-1842309419"/>
                    <w:lock w:val="sdtLocked"/>
                  </w:sdtPr>
                  <w:sdtEndPr/>
                  <w:sdtContent>
                    <w:tc>
                      <w:tcPr>
                        <w:tcW w:w="219" w:type="pct"/>
                      </w:tcPr>
                      <w:p w14:paraId="5D0A9008" w14:textId="77777777" w:rsidR="007E7472" w:rsidRDefault="00C8327E">
                        <w:pPr>
                          <w:jc w:val="right"/>
                          <w:rPr>
                            <w:spacing w:val="-20"/>
                            <w:sz w:val="18"/>
                            <w:szCs w:val="18"/>
                          </w:rPr>
                        </w:pPr>
                      </w:p>
                    </w:tc>
                  </w:sdtContent>
                </w:sdt>
                <w:sdt>
                  <w:sdtPr>
                    <w:alias w:val="5.收购少数股东股权未分配利润"/>
                    <w:tag w:val="_GBC_ea7ef2506a7048d98f85472599c0a2ec"/>
                    <w:id w:val="-995491921"/>
                    <w:lock w:val="sdtLocked"/>
                  </w:sdtPr>
                  <w:sdtEndPr/>
                  <w:sdtContent>
                    <w:tc>
                      <w:tcPr>
                        <w:tcW w:w="398" w:type="pct"/>
                      </w:tcPr>
                      <w:p w14:paraId="7944747F" w14:textId="77777777" w:rsidR="007E7472" w:rsidRDefault="00C8327E">
                        <w:pPr>
                          <w:jc w:val="right"/>
                          <w:rPr>
                            <w:spacing w:val="-20"/>
                            <w:sz w:val="18"/>
                            <w:szCs w:val="18"/>
                          </w:rPr>
                        </w:pPr>
                      </w:p>
                    </w:tc>
                  </w:sdtContent>
                </w:sdt>
                <w:sdt>
                  <w:sdtPr>
                    <w:alias w:val="5.收购少数股东股权其他"/>
                    <w:tag w:val="_GBC_ade73496fa2f47fd9d30f9dd91bc828f"/>
                    <w:id w:val="1423068823"/>
                    <w:lock w:val="sdtLocked"/>
                  </w:sdtPr>
                  <w:sdtEndPr/>
                  <w:sdtContent>
                    <w:tc>
                      <w:tcPr>
                        <w:tcW w:w="205" w:type="pct"/>
                      </w:tcPr>
                      <w:p w14:paraId="52361410" w14:textId="77777777" w:rsidR="007E7472" w:rsidRDefault="00C8327E">
                        <w:pPr>
                          <w:jc w:val="right"/>
                          <w:rPr>
                            <w:spacing w:val="-20"/>
                            <w:sz w:val="18"/>
                            <w:szCs w:val="18"/>
                          </w:rPr>
                        </w:pPr>
                      </w:p>
                    </w:tc>
                  </w:sdtContent>
                </w:sdt>
                <w:sdt>
                  <w:sdtPr>
                    <w:alias w:val="5.收购少数股东股权小计"/>
                    <w:tag w:val="_GBC_2a1ae35305ff4ab786c28ba6d01b3385"/>
                    <w:id w:val="1191118004"/>
                    <w:lock w:val="sdtLocked"/>
                  </w:sdtPr>
                  <w:sdtEndPr/>
                  <w:sdtContent>
                    <w:tc>
                      <w:tcPr>
                        <w:tcW w:w="379" w:type="pct"/>
                      </w:tcPr>
                      <w:p w14:paraId="7FAC8140" w14:textId="77777777" w:rsidR="007E7472" w:rsidRDefault="00C8327E">
                        <w:pPr>
                          <w:jc w:val="right"/>
                          <w:rPr>
                            <w:spacing w:val="-20"/>
                            <w:sz w:val="18"/>
                            <w:szCs w:val="18"/>
                          </w:rPr>
                        </w:pPr>
                      </w:p>
                    </w:tc>
                  </w:sdtContent>
                </w:sdt>
                <w:sdt>
                  <w:sdtPr>
                    <w:rPr>
                      <w:spacing w:val="-20"/>
                      <w:sz w:val="18"/>
                    </w:rPr>
                    <w:alias w:val="5.收购少数股东股权少数股东权益"/>
                    <w:tag w:val="_GBC_73516d18dffb49ab9d3f8f360cd73969"/>
                    <w:id w:val="-1485777135"/>
                    <w:lock w:val="sdtLocked"/>
                  </w:sdtPr>
                  <w:sdtEndPr/>
                  <w:sdtContent>
                    <w:tc>
                      <w:tcPr>
                        <w:tcW w:w="330" w:type="pct"/>
                      </w:tcPr>
                      <w:p w14:paraId="17E7737B" w14:textId="77777777" w:rsidR="007E7472" w:rsidRDefault="00EC1269">
                        <w:pPr>
                          <w:jc w:val="right"/>
                          <w:rPr>
                            <w:spacing w:val="-20"/>
                            <w:sz w:val="18"/>
                            <w:szCs w:val="18"/>
                          </w:rPr>
                        </w:pPr>
                        <w:r>
                          <w:rPr>
                            <w:spacing w:val="-20"/>
                            <w:sz w:val="18"/>
                          </w:rPr>
                          <w:t>78,197</w:t>
                        </w:r>
                      </w:p>
                    </w:tc>
                  </w:sdtContent>
                </w:sdt>
                <w:sdt>
                  <w:sdtPr>
                    <w:rPr>
                      <w:spacing w:val="-20"/>
                      <w:sz w:val="18"/>
                    </w:rPr>
                    <w:alias w:val="5.收购少数股东股权所有者权益合计"/>
                    <w:tag w:val="_GBC_ffa676b85792407faf045f852e1e014f"/>
                    <w:id w:val="500782765"/>
                    <w:lock w:val="sdtLocked"/>
                  </w:sdtPr>
                  <w:sdtEndPr/>
                  <w:sdtContent>
                    <w:tc>
                      <w:tcPr>
                        <w:tcW w:w="356" w:type="pct"/>
                      </w:tcPr>
                      <w:p w14:paraId="2545F9A5" w14:textId="77777777" w:rsidR="007E7472" w:rsidRDefault="00EC1269">
                        <w:pPr>
                          <w:jc w:val="right"/>
                          <w:rPr>
                            <w:spacing w:val="-20"/>
                            <w:sz w:val="18"/>
                            <w:szCs w:val="18"/>
                          </w:rPr>
                        </w:pPr>
                        <w:r>
                          <w:rPr>
                            <w:spacing w:val="-20"/>
                            <w:sz w:val="18"/>
                          </w:rPr>
                          <w:t>78,197</w:t>
                        </w:r>
                      </w:p>
                    </w:tc>
                  </w:sdtContent>
                </w:sdt>
              </w:tr>
              <w:tr w:rsidR="007E7472" w14:paraId="1529C7FF" w14:textId="77777777">
                <w:sdt>
                  <w:sdtPr>
                    <w:tag w:val="_PLD_10e99acbbe9041cbb3c9a4056343679d"/>
                    <w:id w:val="-1908756108"/>
                    <w:lock w:val="sdtLocked"/>
                  </w:sdtPr>
                  <w:sdtEndPr/>
                  <w:sdtContent>
                    <w:tc>
                      <w:tcPr>
                        <w:tcW w:w="610" w:type="pct"/>
                      </w:tcPr>
                      <w:p w14:paraId="3DF5E303" w14:textId="77777777" w:rsidR="007E7472" w:rsidRDefault="00EC1269">
                        <w:pPr>
                          <w:rPr>
                            <w:sz w:val="18"/>
                            <w:szCs w:val="18"/>
                          </w:rPr>
                        </w:pPr>
                        <w:r>
                          <w:rPr>
                            <w:rFonts w:hint="eastAsia"/>
                            <w:sz w:val="18"/>
                            <w:szCs w:val="18"/>
                          </w:rPr>
                          <w:t>6.未丧失控股权持股比例下降</w:t>
                        </w:r>
                      </w:p>
                    </w:tc>
                  </w:sdtContent>
                </w:sdt>
                <w:sdt>
                  <w:sdtPr>
                    <w:alias w:val="6.未丧失控股权持股比例下降实收资本(或股本)"/>
                    <w:tag w:val="_GBC_22648e601df745d288d6a56ae9b577b4"/>
                    <w:id w:val="588354817"/>
                    <w:lock w:val="sdtLocked"/>
                    <w:showingPlcHdr/>
                  </w:sdtPr>
                  <w:sdtEndPr/>
                  <w:sdtContent>
                    <w:tc>
                      <w:tcPr>
                        <w:tcW w:w="305" w:type="pct"/>
                      </w:tcPr>
                      <w:p w14:paraId="1D12BE03" w14:textId="77777777" w:rsidR="007E7472" w:rsidRDefault="00EC1269">
                        <w:pPr>
                          <w:jc w:val="right"/>
                          <w:rPr>
                            <w:spacing w:val="-20"/>
                            <w:sz w:val="18"/>
                            <w:szCs w:val="18"/>
                          </w:rPr>
                        </w:pPr>
                        <w:r>
                          <w:t xml:space="preserve">     </w:t>
                        </w:r>
                      </w:p>
                    </w:tc>
                  </w:sdtContent>
                </w:sdt>
                <w:sdt>
                  <w:sdtPr>
                    <w:alias w:val="6.未丧失控股权持股比例下降优先股"/>
                    <w:tag w:val="_GBC_ef3b6a1a8dfe42fb9dc5fd85d64e133f"/>
                    <w:id w:val="-1610580313"/>
                    <w:lock w:val="sdtLocked"/>
                  </w:sdtPr>
                  <w:sdtEndPr/>
                  <w:sdtContent>
                    <w:tc>
                      <w:tcPr>
                        <w:tcW w:w="192" w:type="pct"/>
                      </w:tcPr>
                      <w:p w14:paraId="73103D59" w14:textId="77777777" w:rsidR="007E7472" w:rsidRDefault="00C8327E">
                        <w:pPr>
                          <w:jc w:val="right"/>
                          <w:rPr>
                            <w:spacing w:val="-20"/>
                            <w:sz w:val="18"/>
                            <w:szCs w:val="18"/>
                          </w:rPr>
                        </w:pPr>
                      </w:p>
                    </w:tc>
                  </w:sdtContent>
                </w:sdt>
                <w:sdt>
                  <w:sdtPr>
                    <w:alias w:val="6.未丧失控股权持股比例下降永续债"/>
                    <w:tag w:val="_GBC_41108ea8fb534a02ab642ec0ae583128"/>
                    <w:id w:val="449823694"/>
                    <w:lock w:val="sdtLocked"/>
                  </w:sdtPr>
                  <w:sdtEndPr/>
                  <w:sdtContent>
                    <w:tc>
                      <w:tcPr>
                        <w:tcW w:w="330" w:type="pct"/>
                      </w:tcPr>
                      <w:p w14:paraId="510E6B61" w14:textId="77777777" w:rsidR="007E7472" w:rsidRDefault="00C8327E">
                        <w:pPr>
                          <w:jc w:val="right"/>
                          <w:rPr>
                            <w:spacing w:val="-20"/>
                            <w:sz w:val="18"/>
                            <w:szCs w:val="18"/>
                          </w:rPr>
                        </w:pPr>
                      </w:p>
                    </w:tc>
                  </w:sdtContent>
                </w:sdt>
                <w:sdt>
                  <w:sdtPr>
                    <w:alias w:val="6.未丧失控股权持股比例下降其他"/>
                    <w:tag w:val="_GBC_82a5b1e619754b8cbb3c3e31f1c32e7a"/>
                    <w:id w:val="749772697"/>
                    <w:lock w:val="sdtLocked"/>
                  </w:sdtPr>
                  <w:sdtEndPr/>
                  <w:sdtContent>
                    <w:tc>
                      <w:tcPr>
                        <w:tcW w:w="147" w:type="pct"/>
                      </w:tcPr>
                      <w:p w14:paraId="313A3F62" w14:textId="77777777" w:rsidR="007E7472" w:rsidRDefault="00C8327E">
                        <w:pPr>
                          <w:jc w:val="right"/>
                          <w:rPr>
                            <w:spacing w:val="-20"/>
                            <w:sz w:val="18"/>
                            <w:szCs w:val="18"/>
                          </w:rPr>
                        </w:pPr>
                      </w:p>
                    </w:tc>
                  </w:sdtContent>
                </w:sdt>
                <w:sdt>
                  <w:sdtPr>
                    <w:alias w:val="6.未丧失控股权持股比例下降资本公积"/>
                    <w:tag w:val="_GBC_c0b743c8a5234cc2993b460be177e4b8"/>
                    <w:id w:val="390920418"/>
                    <w:lock w:val="sdtLocked"/>
                  </w:sdtPr>
                  <w:sdtEndPr/>
                  <w:sdtContent>
                    <w:tc>
                      <w:tcPr>
                        <w:tcW w:w="358" w:type="pct"/>
                      </w:tcPr>
                      <w:p w14:paraId="229E4F98" w14:textId="77777777" w:rsidR="007E7472" w:rsidRDefault="00C8327E">
                        <w:pPr>
                          <w:jc w:val="right"/>
                          <w:rPr>
                            <w:spacing w:val="-20"/>
                            <w:sz w:val="18"/>
                            <w:szCs w:val="18"/>
                          </w:rPr>
                        </w:pPr>
                      </w:p>
                    </w:tc>
                  </w:sdtContent>
                </w:sdt>
                <w:sdt>
                  <w:sdtPr>
                    <w:alias w:val="6.未丧失控股权持股比例下降减：库存股"/>
                    <w:tag w:val="_GBC_8630785019f848f6814c6a507c31815c"/>
                    <w:id w:val="1562913315"/>
                    <w:lock w:val="sdtLocked"/>
                  </w:sdtPr>
                  <w:sdtEndPr/>
                  <w:sdtContent>
                    <w:tc>
                      <w:tcPr>
                        <w:tcW w:w="256" w:type="pct"/>
                      </w:tcPr>
                      <w:p w14:paraId="2E604E84" w14:textId="77777777" w:rsidR="007E7472" w:rsidRDefault="00C8327E">
                        <w:pPr>
                          <w:jc w:val="right"/>
                          <w:rPr>
                            <w:spacing w:val="-20"/>
                            <w:sz w:val="18"/>
                            <w:szCs w:val="18"/>
                          </w:rPr>
                        </w:pPr>
                      </w:p>
                    </w:tc>
                  </w:sdtContent>
                </w:sdt>
                <w:sdt>
                  <w:sdtPr>
                    <w:alias w:val="6.未丧失控股权持股比例下降其他综合收益"/>
                    <w:tag w:val="_GBC_7abd1743d7494b7092b4fde4aaa39a3d"/>
                    <w:id w:val="-712955754"/>
                    <w:lock w:val="sdtLocked"/>
                  </w:sdtPr>
                  <w:sdtEndPr/>
                  <w:sdtContent>
                    <w:tc>
                      <w:tcPr>
                        <w:tcW w:w="356" w:type="pct"/>
                      </w:tcPr>
                      <w:p w14:paraId="3FB0DEB1" w14:textId="77777777" w:rsidR="007E7472" w:rsidRDefault="00C8327E">
                        <w:pPr>
                          <w:jc w:val="right"/>
                          <w:rPr>
                            <w:spacing w:val="-20"/>
                            <w:sz w:val="18"/>
                            <w:szCs w:val="18"/>
                          </w:rPr>
                        </w:pPr>
                      </w:p>
                    </w:tc>
                  </w:sdtContent>
                </w:sdt>
                <w:sdt>
                  <w:sdtPr>
                    <w:alias w:val="6.未丧失控股权持股比例下降专项储备"/>
                    <w:tag w:val="_GBC_0107a91620b14a8eb4181a5c532486e8"/>
                    <w:id w:val="1161346095"/>
                    <w:lock w:val="sdtLocked"/>
                  </w:sdtPr>
                  <w:sdtEndPr/>
                  <w:sdtContent>
                    <w:tc>
                      <w:tcPr>
                        <w:tcW w:w="305" w:type="pct"/>
                      </w:tcPr>
                      <w:p w14:paraId="7F5C03BD" w14:textId="77777777" w:rsidR="007E7472" w:rsidRDefault="00C8327E">
                        <w:pPr>
                          <w:jc w:val="right"/>
                          <w:rPr>
                            <w:spacing w:val="-20"/>
                            <w:sz w:val="18"/>
                            <w:szCs w:val="18"/>
                          </w:rPr>
                        </w:pPr>
                      </w:p>
                    </w:tc>
                  </w:sdtContent>
                </w:sdt>
                <w:sdt>
                  <w:sdtPr>
                    <w:alias w:val="6.未丧失控股权持股比例下降盈余公积"/>
                    <w:tag w:val="_GBC_fd1587a1746c4f9a8de95f4e5aa63e2e"/>
                    <w:id w:val="-1407845380"/>
                    <w:lock w:val="sdtLocked"/>
                  </w:sdtPr>
                  <w:sdtEndPr/>
                  <w:sdtContent>
                    <w:tc>
                      <w:tcPr>
                        <w:tcW w:w="255" w:type="pct"/>
                      </w:tcPr>
                      <w:p w14:paraId="080868E4" w14:textId="77777777" w:rsidR="007E7472" w:rsidRDefault="00C8327E">
                        <w:pPr>
                          <w:jc w:val="right"/>
                          <w:rPr>
                            <w:spacing w:val="-20"/>
                            <w:sz w:val="18"/>
                            <w:szCs w:val="18"/>
                          </w:rPr>
                        </w:pPr>
                      </w:p>
                    </w:tc>
                  </w:sdtContent>
                </w:sdt>
                <w:sdt>
                  <w:sdtPr>
                    <w:alias w:val="6.未丧失控股权持股比例下降一般风险准备"/>
                    <w:tag w:val="_GBC_cf2da8ebf6ad4c44b3b7a568160834d3"/>
                    <w:id w:val="1820837977"/>
                    <w:lock w:val="sdtLocked"/>
                  </w:sdtPr>
                  <w:sdtEndPr/>
                  <w:sdtContent>
                    <w:tc>
                      <w:tcPr>
                        <w:tcW w:w="219" w:type="pct"/>
                      </w:tcPr>
                      <w:p w14:paraId="45ACB6CA" w14:textId="77777777" w:rsidR="007E7472" w:rsidRDefault="00C8327E">
                        <w:pPr>
                          <w:jc w:val="right"/>
                          <w:rPr>
                            <w:spacing w:val="-20"/>
                            <w:sz w:val="18"/>
                            <w:szCs w:val="18"/>
                          </w:rPr>
                        </w:pPr>
                      </w:p>
                    </w:tc>
                  </w:sdtContent>
                </w:sdt>
                <w:sdt>
                  <w:sdtPr>
                    <w:alias w:val="6.未丧失控股权持股比例下降未分配利润"/>
                    <w:tag w:val="_GBC_d30702f94b0c4ba4bd7168bd9ba099cb"/>
                    <w:id w:val="1607690422"/>
                    <w:lock w:val="sdtLocked"/>
                  </w:sdtPr>
                  <w:sdtEndPr/>
                  <w:sdtContent>
                    <w:tc>
                      <w:tcPr>
                        <w:tcW w:w="398" w:type="pct"/>
                      </w:tcPr>
                      <w:p w14:paraId="0DED338F" w14:textId="77777777" w:rsidR="007E7472" w:rsidRDefault="00C8327E">
                        <w:pPr>
                          <w:jc w:val="right"/>
                          <w:rPr>
                            <w:spacing w:val="-20"/>
                            <w:sz w:val="18"/>
                            <w:szCs w:val="18"/>
                          </w:rPr>
                        </w:pPr>
                      </w:p>
                    </w:tc>
                  </w:sdtContent>
                </w:sdt>
                <w:sdt>
                  <w:sdtPr>
                    <w:alias w:val="6.未丧失控股权持股比例下降其他"/>
                    <w:tag w:val="_GBC_c5e43fb0adc74fb5bf3d58d4e877cd96"/>
                    <w:id w:val="2017720475"/>
                    <w:lock w:val="sdtLocked"/>
                  </w:sdtPr>
                  <w:sdtEndPr/>
                  <w:sdtContent>
                    <w:tc>
                      <w:tcPr>
                        <w:tcW w:w="205" w:type="pct"/>
                      </w:tcPr>
                      <w:p w14:paraId="5FDFB60F" w14:textId="77777777" w:rsidR="007E7472" w:rsidRDefault="00C8327E">
                        <w:pPr>
                          <w:jc w:val="right"/>
                          <w:rPr>
                            <w:spacing w:val="-20"/>
                            <w:sz w:val="18"/>
                            <w:szCs w:val="18"/>
                          </w:rPr>
                        </w:pPr>
                      </w:p>
                    </w:tc>
                  </w:sdtContent>
                </w:sdt>
                <w:sdt>
                  <w:sdtPr>
                    <w:alias w:val="6.未丧失控股权持股比例下降小计"/>
                    <w:tag w:val="_GBC_f5384f9c47904ab396f5d0001a1601dc"/>
                    <w:id w:val="-1302997430"/>
                    <w:lock w:val="sdtLocked"/>
                  </w:sdtPr>
                  <w:sdtEndPr/>
                  <w:sdtContent>
                    <w:tc>
                      <w:tcPr>
                        <w:tcW w:w="379" w:type="pct"/>
                      </w:tcPr>
                      <w:p w14:paraId="245857BC" w14:textId="77777777" w:rsidR="007E7472" w:rsidRDefault="00C8327E">
                        <w:pPr>
                          <w:jc w:val="right"/>
                          <w:rPr>
                            <w:spacing w:val="-20"/>
                            <w:sz w:val="18"/>
                            <w:szCs w:val="18"/>
                          </w:rPr>
                        </w:pPr>
                      </w:p>
                    </w:tc>
                  </w:sdtContent>
                </w:sdt>
                <w:sdt>
                  <w:sdtPr>
                    <w:alias w:val="6.未丧失控股权持股比例下降少数股东权益"/>
                    <w:tag w:val="_GBC_dca23ab6ddb0413cb3d2811c1f746deb"/>
                    <w:id w:val="1160423096"/>
                    <w:lock w:val="sdtLocked"/>
                  </w:sdtPr>
                  <w:sdtEndPr/>
                  <w:sdtContent>
                    <w:tc>
                      <w:tcPr>
                        <w:tcW w:w="330" w:type="pct"/>
                      </w:tcPr>
                      <w:p w14:paraId="6C2A8B8E" w14:textId="77777777" w:rsidR="007E7472" w:rsidRDefault="00C8327E">
                        <w:pPr>
                          <w:jc w:val="right"/>
                          <w:rPr>
                            <w:spacing w:val="-20"/>
                            <w:sz w:val="18"/>
                            <w:szCs w:val="18"/>
                          </w:rPr>
                        </w:pPr>
                      </w:p>
                    </w:tc>
                  </w:sdtContent>
                </w:sdt>
                <w:sdt>
                  <w:sdtPr>
                    <w:alias w:val="6.未丧失控股权持股比例下降所有者权益合计"/>
                    <w:tag w:val="_GBC_d4e6a616baae4126ba46cc08e4eafbf7"/>
                    <w:id w:val="1406030580"/>
                    <w:lock w:val="sdtLocked"/>
                  </w:sdtPr>
                  <w:sdtEndPr/>
                  <w:sdtContent>
                    <w:tc>
                      <w:tcPr>
                        <w:tcW w:w="356" w:type="pct"/>
                      </w:tcPr>
                      <w:p w14:paraId="3738B2A2" w14:textId="77777777" w:rsidR="007E7472" w:rsidRDefault="00C8327E">
                        <w:pPr>
                          <w:jc w:val="right"/>
                          <w:rPr>
                            <w:spacing w:val="-20"/>
                            <w:sz w:val="18"/>
                            <w:szCs w:val="18"/>
                          </w:rPr>
                        </w:pPr>
                      </w:p>
                    </w:tc>
                  </w:sdtContent>
                </w:sdt>
              </w:tr>
              <w:tr w:rsidR="007E7472" w14:paraId="52278749" w14:textId="77777777">
                <w:sdt>
                  <w:sdtPr>
                    <w:tag w:val="_PLD_86538f5d06744ca9be65b0b439b17643"/>
                    <w:id w:val="-1587835804"/>
                    <w:lock w:val="sdtLocked"/>
                  </w:sdtPr>
                  <w:sdtEndPr/>
                  <w:sdtContent>
                    <w:tc>
                      <w:tcPr>
                        <w:tcW w:w="610" w:type="pct"/>
                      </w:tcPr>
                      <w:p w14:paraId="7EEA3EA0" w14:textId="77777777" w:rsidR="007E7472" w:rsidRDefault="00EC1269">
                        <w:pPr>
                          <w:rPr>
                            <w:sz w:val="18"/>
                            <w:szCs w:val="18"/>
                          </w:rPr>
                        </w:pPr>
                        <w:r>
                          <w:rPr>
                            <w:sz w:val="18"/>
                            <w:szCs w:val="18"/>
                          </w:rPr>
                          <w:t>7．其他</w:t>
                        </w:r>
                      </w:p>
                    </w:tc>
                  </w:sdtContent>
                </w:sdt>
                <w:tc>
                  <w:tcPr>
                    <w:tcW w:w="305" w:type="pct"/>
                  </w:tcPr>
                  <w:p w14:paraId="7B717AC8" w14:textId="77777777" w:rsidR="007E7472" w:rsidRDefault="00C8327E">
                    <w:pPr>
                      <w:jc w:val="right"/>
                      <w:rPr>
                        <w:spacing w:val="-20"/>
                        <w:sz w:val="18"/>
                        <w:szCs w:val="18"/>
                      </w:rPr>
                    </w:pPr>
                  </w:p>
                </w:tc>
                <w:tc>
                  <w:tcPr>
                    <w:tcW w:w="192" w:type="pct"/>
                  </w:tcPr>
                  <w:p w14:paraId="4B8031D5" w14:textId="77777777" w:rsidR="007E7472" w:rsidRDefault="00C8327E">
                    <w:pPr>
                      <w:jc w:val="right"/>
                      <w:rPr>
                        <w:spacing w:val="-20"/>
                        <w:sz w:val="18"/>
                        <w:szCs w:val="18"/>
                      </w:rPr>
                    </w:pPr>
                  </w:p>
                </w:tc>
                <w:tc>
                  <w:tcPr>
                    <w:tcW w:w="330" w:type="pct"/>
                  </w:tcPr>
                  <w:p w14:paraId="100496DE" w14:textId="77777777" w:rsidR="007E7472" w:rsidRDefault="00C8327E">
                    <w:pPr>
                      <w:jc w:val="right"/>
                      <w:rPr>
                        <w:spacing w:val="-20"/>
                        <w:sz w:val="18"/>
                        <w:szCs w:val="18"/>
                      </w:rPr>
                    </w:pPr>
                  </w:p>
                </w:tc>
                <w:tc>
                  <w:tcPr>
                    <w:tcW w:w="147" w:type="pct"/>
                  </w:tcPr>
                  <w:p w14:paraId="1B1C7800" w14:textId="77777777" w:rsidR="007E7472" w:rsidRDefault="00C8327E">
                    <w:pPr>
                      <w:jc w:val="right"/>
                      <w:rPr>
                        <w:spacing w:val="-20"/>
                        <w:sz w:val="18"/>
                        <w:szCs w:val="18"/>
                      </w:rPr>
                    </w:pPr>
                  </w:p>
                </w:tc>
                <w:tc>
                  <w:tcPr>
                    <w:tcW w:w="358" w:type="pct"/>
                  </w:tcPr>
                  <w:p w14:paraId="2E345811" w14:textId="77777777" w:rsidR="007E7472" w:rsidRDefault="00C8327E">
                    <w:pPr>
                      <w:jc w:val="right"/>
                      <w:rPr>
                        <w:spacing w:val="-20"/>
                        <w:sz w:val="18"/>
                        <w:szCs w:val="18"/>
                      </w:rPr>
                    </w:pPr>
                  </w:p>
                </w:tc>
                <w:tc>
                  <w:tcPr>
                    <w:tcW w:w="256" w:type="pct"/>
                  </w:tcPr>
                  <w:p w14:paraId="29234344" w14:textId="77777777" w:rsidR="007E7472" w:rsidRDefault="00C8327E">
                    <w:pPr>
                      <w:jc w:val="right"/>
                      <w:rPr>
                        <w:spacing w:val="-20"/>
                        <w:sz w:val="18"/>
                        <w:szCs w:val="18"/>
                      </w:rPr>
                    </w:pPr>
                  </w:p>
                </w:tc>
                <w:tc>
                  <w:tcPr>
                    <w:tcW w:w="356" w:type="pct"/>
                  </w:tcPr>
                  <w:p w14:paraId="48D85F4B" w14:textId="77777777" w:rsidR="007E7472" w:rsidRDefault="00C8327E">
                    <w:pPr>
                      <w:jc w:val="right"/>
                      <w:rPr>
                        <w:spacing w:val="-20"/>
                        <w:sz w:val="18"/>
                        <w:szCs w:val="18"/>
                      </w:rPr>
                    </w:pPr>
                  </w:p>
                </w:tc>
                <w:tc>
                  <w:tcPr>
                    <w:tcW w:w="305" w:type="pct"/>
                  </w:tcPr>
                  <w:p w14:paraId="2FCCA70D" w14:textId="77777777" w:rsidR="007E7472" w:rsidRDefault="00C8327E">
                    <w:pPr>
                      <w:jc w:val="right"/>
                      <w:rPr>
                        <w:spacing w:val="-20"/>
                        <w:sz w:val="18"/>
                        <w:szCs w:val="18"/>
                      </w:rPr>
                    </w:pPr>
                  </w:p>
                </w:tc>
                <w:tc>
                  <w:tcPr>
                    <w:tcW w:w="255" w:type="pct"/>
                  </w:tcPr>
                  <w:p w14:paraId="5931594A" w14:textId="77777777" w:rsidR="007E7472" w:rsidRDefault="00C8327E">
                    <w:pPr>
                      <w:jc w:val="right"/>
                      <w:rPr>
                        <w:spacing w:val="-20"/>
                        <w:sz w:val="18"/>
                        <w:szCs w:val="18"/>
                      </w:rPr>
                    </w:pPr>
                  </w:p>
                </w:tc>
                <w:tc>
                  <w:tcPr>
                    <w:tcW w:w="219" w:type="pct"/>
                  </w:tcPr>
                  <w:p w14:paraId="553B553B" w14:textId="77777777" w:rsidR="007E7472" w:rsidRDefault="00C8327E">
                    <w:pPr>
                      <w:jc w:val="right"/>
                      <w:rPr>
                        <w:spacing w:val="-20"/>
                        <w:sz w:val="18"/>
                        <w:szCs w:val="18"/>
                      </w:rPr>
                    </w:pPr>
                  </w:p>
                </w:tc>
                <w:tc>
                  <w:tcPr>
                    <w:tcW w:w="398" w:type="pct"/>
                  </w:tcPr>
                  <w:p w14:paraId="6041A11B" w14:textId="77777777" w:rsidR="007E7472" w:rsidRDefault="00C8327E">
                    <w:pPr>
                      <w:jc w:val="right"/>
                      <w:rPr>
                        <w:spacing w:val="-20"/>
                        <w:sz w:val="18"/>
                        <w:szCs w:val="18"/>
                      </w:rPr>
                    </w:pPr>
                  </w:p>
                </w:tc>
                <w:tc>
                  <w:tcPr>
                    <w:tcW w:w="205" w:type="pct"/>
                  </w:tcPr>
                  <w:p w14:paraId="50CE7F7F" w14:textId="77777777" w:rsidR="007E7472" w:rsidRDefault="00C8327E">
                    <w:pPr>
                      <w:jc w:val="right"/>
                      <w:rPr>
                        <w:spacing w:val="-20"/>
                        <w:sz w:val="18"/>
                        <w:szCs w:val="18"/>
                      </w:rPr>
                    </w:pPr>
                  </w:p>
                </w:tc>
                <w:tc>
                  <w:tcPr>
                    <w:tcW w:w="379" w:type="pct"/>
                  </w:tcPr>
                  <w:p w14:paraId="1CFDFA30" w14:textId="77777777" w:rsidR="007E7472" w:rsidRDefault="00C8327E">
                    <w:pPr>
                      <w:jc w:val="right"/>
                      <w:rPr>
                        <w:spacing w:val="-20"/>
                        <w:sz w:val="18"/>
                        <w:szCs w:val="18"/>
                      </w:rPr>
                    </w:pPr>
                  </w:p>
                </w:tc>
                <w:tc>
                  <w:tcPr>
                    <w:tcW w:w="330" w:type="pct"/>
                  </w:tcPr>
                  <w:p w14:paraId="5673CF1D" w14:textId="77777777" w:rsidR="007E7472" w:rsidRDefault="00EC1269">
                    <w:pPr>
                      <w:jc w:val="right"/>
                      <w:rPr>
                        <w:spacing w:val="-20"/>
                        <w:sz w:val="18"/>
                        <w:szCs w:val="18"/>
                      </w:rPr>
                    </w:pPr>
                    <w:r>
                      <w:rPr>
                        <w:rFonts w:hint="eastAsia"/>
                        <w:spacing w:val="-20"/>
                        <w:sz w:val="18"/>
                        <w:szCs w:val="18"/>
                      </w:rPr>
                      <w:t>615</w:t>
                    </w:r>
                  </w:p>
                </w:tc>
                <w:tc>
                  <w:tcPr>
                    <w:tcW w:w="356" w:type="pct"/>
                  </w:tcPr>
                  <w:p w14:paraId="33DD76E9" w14:textId="77777777" w:rsidR="007E7472" w:rsidRDefault="00EC1269">
                    <w:pPr>
                      <w:jc w:val="right"/>
                      <w:rPr>
                        <w:spacing w:val="-20"/>
                        <w:sz w:val="18"/>
                        <w:szCs w:val="18"/>
                      </w:rPr>
                    </w:pPr>
                    <w:r>
                      <w:rPr>
                        <w:rFonts w:hint="eastAsia"/>
                        <w:spacing w:val="-20"/>
                        <w:sz w:val="18"/>
                        <w:szCs w:val="18"/>
                      </w:rPr>
                      <w:t>615</w:t>
                    </w:r>
                  </w:p>
                </w:tc>
              </w:tr>
              <w:tr w:rsidR="007E7472" w14:paraId="18E24C41" w14:textId="77777777">
                <w:sdt>
                  <w:sdtPr>
                    <w:tag w:val="_PLD_8fb1d678e8ca4e3ba31e34bed05e6c58"/>
                    <w:id w:val="806977721"/>
                    <w:lock w:val="sdtLocked"/>
                  </w:sdtPr>
                  <w:sdtEndPr/>
                  <w:sdtContent>
                    <w:tc>
                      <w:tcPr>
                        <w:tcW w:w="610" w:type="pct"/>
                      </w:tcPr>
                      <w:p w14:paraId="517DCFAA" w14:textId="77777777" w:rsidR="007E7472" w:rsidRDefault="00EC1269">
                        <w:pPr>
                          <w:rPr>
                            <w:sz w:val="18"/>
                            <w:szCs w:val="18"/>
                          </w:rPr>
                        </w:pPr>
                        <w:r>
                          <w:rPr>
                            <w:sz w:val="18"/>
                            <w:szCs w:val="18"/>
                          </w:rPr>
                          <w:t>（</w:t>
                        </w:r>
                        <w:r>
                          <w:rPr>
                            <w:rFonts w:hint="eastAsia"/>
                            <w:sz w:val="18"/>
                            <w:szCs w:val="18"/>
                          </w:rPr>
                          <w:t>三</w:t>
                        </w:r>
                        <w:r>
                          <w:rPr>
                            <w:sz w:val="18"/>
                            <w:szCs w:val="18"/>
                          </w:rPr>
                          <w:t>）利润分配</w:t>
                        </w:r>
                      </w:p>
                    </w:tc>
                  </w:sdtContent>
                </w:sdt>
                <w:tc>
                  <w:tcPr>
                    <w:tcW w:w="305" w:type="pct"/>
                  </w:tcPr>
                  <w:p w14:paraId="629485EC" w14:textId="77777777" w:rsidR="007E7472" w:rsidRDefault="00C8327E">
                    <w:pPr>
                      <w:jc w:val="right"/>
                      <w:rPr>
                        <w:spacing w:val="-20"/>
                        <w:sz w:val="18"/>
                        <w:szCs w:val="18"/>
                      </w:rPr>
                    </w:pPr>
                  </w:p>
                </w:tc>
                <w:tc>
                  <w:tcPr>
                    <w:tcW w:w="192" w:type="pct"/>
                  </w:tcPr>
                  <w:p w14:paraId="76E28E6A" w14:textId="77777777" w:rsidR="007E7472" w:rsidRDefault="00C8327E">
                    <w:pPr>
                      <w:jc w:val="right"/>
                      <w:rPr>
                        <w:spacing w:val="-20"/>
                        <w:sz w:val="18"/>
                        <w:szCs w:val="18"/>
                      </w:rPr>
                    </w:pPr>
                  </w:p>
                </w:tc>
                <w:tc>
                  <w:tcPr>
                    <w:tcW w:w="330" w:type="pct"/>
                  </w:tcPr>
                  <w:p w14:paraId="6C7E76FC" w14:textId="77777777" w:rsidR="007E7472" w:rsidRDefault="00EC1269">
                    <w:pPr>
                      <w:jc w:val="right"/>
                      <w:rPr>
                        <w:spacing w:val="-20"/>
                        <w:sz w:val="18"/>
                        <w:szCs w:val="18"/>
                      </w:rPr>
                    </w:pPr>
                    <w:r>
                      <w:rPr>
                        <w:rFonts w:hint="eastAsia"/>
                        <w:spacing w:val="-20"/>
                        <w:sz w:val="18"/>
                        <w:szCs w:val="18"/>
                      </w:rPr>
                      <w:t>-379,580</w:t>
                    </w:r>
                  </w:p>
                </w:tc>
                <w:tc>
                  <w:tcPr>
                    <w:tcW w:w="147" w:type="pct"/>
                  </w:tcPr>
                  <w:p w14:paraId="4AA792C3" w14:textId="77777777" w:rsidR="007E7472" w:rsidRDefault="00C8327E">
                    <w:pPr>
                      <w:jc w:val="right"/>
                      <w:rPr>
                        <w:spacing w:val="-20"/>
                        <w:sz w:val="18"/>
                        <w:szCs w:val="18"/>
                      </w:rPr>
                    </w:pPr>
                  </w:p>
                </w:tc>
                <w:tc>
                  <w:tcPr>
                    <w:tcW w:w="358" w:type="pct"/>
                  </w:tcPr>
                  <w:p w14:paraId="19B62E5D" w14:textId="77777777" w:rsidR="007E7472" w:rsidRDefault="00C8327E">
                    <w:pPr>
                      <w:jc w:val="right"/>
                      <w:rPr>
                        <w:spacing w:val="-20"/>
                        <w:sz w:val="18"/>
                        <w:szCs w:val="18"/>
                      </w:rPr>
                    </w:pPr>
                  </w:p>
                </w:tc>
                <w:tc>
                  <w:tcPr>
                    <w:tcW w:w="256" w:type="pct"/>
                  </w:tcPr>
                  <w:p w14:paraId="7D1D725C" w14:textId="77777777" w:rsidR="007E7472" w:rsidRDefault="00C8327E">
                    <w:pPr>
                      <w:jc w:val="right"/>
                      <w:rPr>
                        <w:spacing w:val="-20"/>
                        <w:sz w:val="18"/>
                        <w:szCs w:val="18"/>
                      </w:rPr>
                    </w:pPr>
                  </w:p>
                </w:tc>
                <w:tc>
                  <w:tcPr>
                    <w:tcW w:w="356" w:type="pct"/>
                  </w:tcPr>
                  <w:p w14:paraId="6DB925AF" w14:textId="77777777" w:rsidR="007E7472" w:rsidRDefault="00C8327E">
                    <w:pPr>
                      <w:jc w:val="right"/>
                      <w:rPr>
                        <w:spacing w:val="-20"/>
                        <w:sz w:val="18"/>
                        <w:szCs w:val="18"/>
                      </w:rPr>
                    </w:pPr>
                  </w:p>
                </w:tc>
                <w:tc>
                  <w:tcPr>
                    <w:tcW w:w="305" w:type="pct"/>
                  </w:tcPr>
                  <w:p w14:paraId="72E7AAEC" w14:textId="77777777" w:rsidR="007E7472" w:rsidRDefault="00C8327E">
                    <w:pPr>
                      <w:jc w:val="right"/>
                      <w:rPr>
                        <w:spacing w:val="-20"/>
                        <w:sz w:val="18"/>
                        <w:szCs w:val="18"/>
                      </w:rPr>
                    </w:pPr>
                  </w:p>
                </w:tc>
                <w:tc>
                  <w:tcPr>
                    <w:tcW w:w="255" w:type="pct"/>
                  </w:tcPr>
                  <w:p w14:paraId="3C9525C8" w14:textId="77777777" w:rsidR="007E7472" w:rsidRDefault="00C8327E">
                    <w:pPr>
                      <w:jc w:val="right"/>
                      <w:rPr>
                        <w:spacing w:val="-20"/>
                        <w:sz w:val="18"/>
                        <w:szCs w:val="18"/>
                      </w:rPr>
                    </w:pPr>
                  </w:p>
                </w:tc>
                <w:tc>
                  <w:tcPr>
                    <w:tcW w:w="219" w:type="pct"/>
                  </w:tcPr>
                  <w:p w14:paraId="40D741D9" w14:textId="77777777" w:rsidR="007E7472" w:rsidRDefault="00C8327E">
                    <w:pPr>
                      <w:jc w:val="right"/>
                      <w:rPr>
                        <w:spacing w:val="-20"/>
                        <w:sz w:val="18"/>
                        <w:szCs w:val="18"/>
                      </w:rPr>
                    </w:pPr>
                  </w:p>
                </w:tc>
                <w:tc>
                  <w:tcPr>
                    <w:tcW w:w="398" w:type="pct"/>
                    <w:vAlign w:val="center"/>
                  </w:tcPr>
                  <w:p w14:paraId="1D05F3A8" w14:textId="77777777" w:rsidR="007E7472" w:rsidRDefault="00EC1269">
                    <w:pPr>
                      <w:jc w:val="right"/>
                      <w:rPr>
                        <w:spacing w:val="-20"/>
                        <w:sz w:val="18"/>
                        <w:szCs w:val="18"/>
                      </w:rPr>
                    </w:pPr>
                    <w:r>
                      <w:rPr>
                        <w:rFonts w:hint="eastAsia"/>
                        <w:spacing w:val="-20"/>
                        <w:sz w:val="18"/>
                        <w:szCs w:val="18"/>
                      </w:rPr>
                      <w:t>-21,164,719</w:t>
                    </w:r>
                  </w:p>
                </w:tc>
                <w:tc>
                  <w:tcPr>
                    <w:tcW w:w="205" w:type="pct"/>
                  </w:tcPr>
                  <w:p w14:paraId="086134FF" w14:textId="77777777" w:rsidR="007E7472" w:rsidRDefault="00C8327E">
                    <w:pPr>
                      <w:jc w:val="right"/>
                      <w:rPr>
                        <w:spacing w:val="-20"/>
                        <w:sz w:val="18"/>
                        <w:szCs w:val="18"/>
                      </w:rPr>
                    </w:pPr>
                  </w:p>
                </w:tc>
                <w:tc>
                  <w:tcPr>
                    <w:tcW w:w="379" w:type="pct"/>
                    <w:vAlign w:val="center"/>
                  </w:tcPr>
                  <w:p w14:paraId="143AE09F" w14:textId="77777777" w:rsidR="007E7472" w:rsidRDefault="00EC1269">
                    <w:pPr>
                      <w:jc w:val="right"/>
                      <w:rPr>
                        <w:spacing w:val="-20"/>
                        <w:sz w:val="18"/>
                        <w:szCs w:val="18"/>
                      </w:rPr>
                    </w:pPr>
                    <w:r>
                      <w:rPr>
                        <w:rFonts w:hint="eastAsia"/>
                        <w:spacing w:val="-20"/>
                        <w:sz w:val="18"/>
                        <w:szCs w:val="18"/>
                      </w:rPr>
                      <w:t>-21,544,299</w:t>
                    </w:r>
                  </w:p>
                </w:tc>
                <w:tc>
                  <w:tcPr>
                    <w:tcW w:w="330" w:type="pct"/>
                    <w:vAlign w:val="center"/>
                  </w:tcPr>
                  <w:p w14:paraId="31C80044" w14:textId="77777777" w:rsidR="007E7472" w:rsidRDefault="00EC1269">
                    <w:pPr>
                      <w:jc w:val="right"/>
                      <w:rPr>
                        <w:spacing w:val="-20"/>
                        <w:sz w:val="18"/>
                        <w:szCs w:val="18"/>
                      </w:rPr>
                    </w:pPr>
                    <w:r>
                      <w:rPr>
                        <w:rFonts w:hint="eastAsia"/>
                        <w:spacing w:val="-20"/>
                        <w:sz w:val="18"/>
                        <w:szCs w:val="18"/>
                      </w:rPr>
                      <w:t>-2,410,774</w:t>
                    </w:r>
                  </w:p>
                </w:tc>
                <w:tc>
                  <w:tcPr>
                    <w:tcW w:w="356" w:type="pct"/>
                    <w:vAlign w:val="center"/>
                  </w:tcPr>
                  <w:p w14:paraId="60BEF5A3" w14:textId="77777777" w:rsidR="007E7472" w:rsidRDefault="00EC1269">
                    <w:pPr>
                      <w:jc w:val="right"/>
                      <w:rPr>
                        <w:spacing w:val="-20"/>
                        <w:sz w:val="18"/>
                        <w:szCs w:val="18"/>
                      </w:rPr>
                    </w:pPr>
                    <w:r>
                      <w:rPr>
                        <w:rFonts w:hint="eastAsia"/>
                        <w:spacing w:val="-20"/>
                        <w:sz w:val="18"/>
                        <w:szCs w:val="18"/>
                      </w:rPr>
                      <w:t>-23,955,073</w:t>
                    </w:r>
                  </w:p>
                </w:tc>
              </w:tr>
              <w:tr w:rsidR="007E7472" w14:paraId="50053C6C" w14:textId="77777777">
                <w:sdt>
                  <w:sdtPr>
                    <w:tag w:val="_PLD_5badbc22860d48e29f8d8d9a4a633d8c"/>
                    <w:id w:val="-1859195989"/>
                    <w:lock w:val="sdtLocked"/>
                  </w:sdtPr>
                  <w:sdtEndPr/>
                  <w:sdtContent>
                    <w:tc>
                      <w:tcPr>
                        <w:tcW w:w="610" w:type="pct"/>
                      </w:tcPr>
                      <w:p w14:paraId="3C940B84" w14:textId="77777777" w:rsidR="007E7472" w:rsidRDefault="00EC1269">
                        <w:pPr>
                          <w:rPr>
                            <w:sz w:val="18"/>
                            <w:szCs w:val="18"/>
                          </w:rPr>
                        </w:pPr>
                        <w:r>
                          <w:rPr>
                            <w:sz w:val="18"/>
                            <w:szCs w:val="18"/>
                          </w:rPr>
                          <w:t>1．提取盈余公积</w:t>
                        </w:r>
                      </w:p>
                    </w:tc>
                  </w:sdtContent>
                </w:sdt>
                <w:tc>
                  <w:tcPr>
                    <w:tcW w:w="305" w:type="pct"/>
                    <w:vAlign w:val="center"/>
                  </w:tcPr>
                  <w:p w14:paraId="168A9FBF" w14:textId="77777777" w:rsidR="007E7472" w:rsidRDefault="00C8327E">
                    <w:pPr>
                      <w:jc w:val="right"/>
                      <w:rPr>
                        <w:spacing w:val="-20"/>
                        <w:sz w:val="18"/>
                        <w:szCs w:val="18"/>
                      </w:rPr>
                    </w:pPr>
                  </w:p>
                </w:tc>
                <w:tc>
                  <w:tcPr>
                    <w:tcW w:w="192" w:type="pct"/>
                    <w:vAlign w:val="center"/>
                  </w:tcPr>
                  <w:p w14:paraId="5F1F1F3A" w14:textId="77777777" w:rsidR="007E7472" w:rsidRDefault="00C8327E">
                    <w:pPr>
                      <w:jc w:val="right"/>
                      <w:rPr>
                        <w:spacing w:val="-20"/>
                        <w:sz w:val="18"/>
                        <w:szCs w:val="18"/>
                      </w:rPr>
                    </w:pPr>
                  </w:p>
                </w:tc>
                <w:tc>
                  <w:tcPr>
                    <w:tcW w:w="330" w:type="pct"/>
                    <w:vAlign w:val="center"/>
                  </w:tcPr>
                  <w:p w14:paraId="47FDE0CB" w14:textId="77777777" w:rsidR="007E7472" w:rsidRDefault="00C8327E">
                    <w:pPr>
                      <w:jc w:val="right"/>
                      <w:rPr>
                        <w:spacing w:val="-20"/>
                        <w:sz w:val="18"/>
                        <w:szCs w:val="18"/>
                      </w:rPr>
                    </w:pPr>
                  </w:p>
                </w:tc>
                <w:tc>
                  <w:tcPr>
                    <w:tcW w:w="147" w:type="pct"/>
                    <w:vAlign w:val="center"/>
                  </w:tcPr>
                  <w:p w14:paraId="71A594B9" w14:textId="77777777" w:rsidR="007E7472" w:rsidRDefault="00C8327E">
                    <w:pPr>
                      <w:jc w:val="right"/>
                      <w:rPr>
                        <w:spacing w:val="-20"/>
                        <w:sz w:val="18"/>
                        <w:szCs w:val="18"/>
                      </w:rPr>
                    </w:pPr>
                  </w:p>
                </w:tc>
                <w:tc>
                  <w:tcPr>
                    <w:tcW w:w="358" w:type="pct"/>
                    <w:vAlign w:val="center"/>
                  </w:tcPr>
                  <w:p w14:paraId="78477A42" w14:textId="77777777" w:rsidR="007E7472" w:rsidRDefault="00C8327E">
                    <w:pPr>
                      <w:jc w:val="right"/>
                      <w:rPr>
                        <w:spacing w:val="-20"/>
                        <w:sz w:val="18"/>
                        <w:szCs w:val="18"/>
                      </w:rPr>
                    </w:pPr>
                  </w:p>
                </w:tc>
                <w:tc>
                  <w:tcPr>
                    <w:tcW w:w="256" w:type="pct"/>
                    <w:vAlign w:val="center"/>
                  </w:tcPr>
                  <w:p w14:paraId="692A3C52" w14:textId="77777777" w:rsidR="007E7472" w:rsidRDefault="00C8327E">
                    <w:pPr>
                      <w:jc w:val="right"/>
                      <w:rPr>
                        <w:spacing w:val="-20"/>
                        <w:sz w:val="18"/>
                        <w:szCs w:val="18"/>
                      </w:rPr>
                    </w:pPr>
                  </w:p>
                </w:tc>
                <w:tc>
                  <w:tcPr>
                    <w:tcW w:w="356" w:type="pct"/>
                    <w:vAlign w:val="center"/>
                  </w:tcPr>
                  <w:p w14:paraId="145909DB" w14:textId="77777777" w:rsidR="007E7472" w:rsidRDefault="00C8327E">
                    <w:pPr>
                      <w:jc w:val="right"/>
                      <w:rPr>
                        <w:spacing w:val="-20"/>
                        <w:sz w:val="18"/>
                        <w:szCs w:val="18"/>
                      </w:rPr>
                    </w:pPr>
                  </w:p>
                </w:tc>
                <w:tc>
                  <w:tcPr>
                    <w:tcW w:w="305" w:type="pct"/>
                    <w:vAlign w:val="center"/>
                  </w:tcPr>
                  <w:p w14:paraId="36DBD7E6" w14:textId="77777777" w:rsidR="007E7472" w:rsidRDefault="00C8327E">
                    <w:pPr>
                      <w:jc w:val="right"/>
                      <w:rPr>
                        <w:spacing w:val="-20"/>
                        <w:sz w:val="18"/>
                        <w:szCs w:val="18"/>
                      </w:rPr>
                    </w:pPr>
                  </w:p>
                </w:tc>
                <w:tc>
                  <w:tcPr>
                    <w:tcW w:w="255" w:type="pct"/>
                    <w:vAlign w:val="center"/>
                  </w:tcPr>
                  <w:p w14:paraId="2AF65505" w14:textId="77777777" w:rsidR="007E7472" w:rsidRDefault="00C8327E">
                    <w:pPr>
                      <w:jc w:val="right"/>
                      <w:rPr>
                        <w:spacing w:val="-20"/>
                        <w:sz w:val="18"/>
                        <w:szCs w:val="18"/>
                      </w:rPr>
                    </w:pPr>
                  </w:p>
                </w:tc>
                <w:tc>
                  <w:tcPr>
                    <w:tcW w:w="219" w:type="pct"/>
                    <w:vAlign w:val="center"/>
                  </w:tcPr>
                  <w:p w14:paraId="472858B6" w14:textId="77777777" w:rsidR="007E7472" w:rsidRDefault="00C8327E">
                    <w:pPr>
                      <w:jc w:val="right"/>
                      <w:rPr>
                        <w:spacing w:val="-20"/>
                        <w:sz w:val="18"/>
                        <w:szCs w:val="18"/>
                      </w:rPr>
                    </w:pPr>
                  </w:p>
                </w:tc>
                <w:tc>
                  <w:tcPr>
                    <w:tcW w:w="398" w:type="pct"/>
                    <w:vAlign w:val="center"/>
                  </w:tcPr>
                  <w:p w14:paraId="71E02B49" w14:textId="77777777" w:rsidR="007E7472" w:rsidRDefault="00C8327E">
                    <w:pPr>
                      <w:jc w:val="right"/>
                      <w:rPr>
                        <w:spacing w:val="-20"/>
                        <w:sz w:val="18"/>
                        <w:szCs w:val="18"/>
                      </w:rPr>
                    </w:pPr>
                  </w:p>
                </w:tc>
                <w:tc>
                  <w:tcPr>
                    <w:tcW w:w="205" w:type="pct"/>
                    <w:vAlign w:val="center"/>
                  </w:tcPr>
                  <w:p w14:paraId="3FE9824F" w14:textId="77777777" w:rsidR="007E7472" w:rsidRDefault="00C8327E">
                    <w:pPr>
                      <w:jc w:val="right"/>
                      <w:rPr>
                        <w:spacing w:val="-20"/>
                        <w:sz w:val="18"/>
                        <w:szCs w:val="18"/>
                      </w:rPr>
                    </w:pPr>
                  </w:p>
                </w:tc>
                <w:tc>
                  <w:tcPr>
                    <w:tcW w:w="379" w:type="pct"/>
                    <w:vAlign w:val="center"/>
                  </w:tcPr>
                  <w:p w14:paraId="7C38F506" w14:textId="77777777" w:rsidR="007E7472" w:rsidRDefault="00C8327E">
                    <w:pPr>
                      <w:jc w:val="right"/>
                      <w:rPr>
                        <w:spacing w:val="-20"/>
                        <w:sz w:val="18"/>
                        <w:szCs w:val="18"/>
                      </w:rPr>
                    </w:pPr>
                  </w:p>
                </w:tc>
                <w:tc>
                  <w:tcPr>
                    <w:tcW w:w="330" w:type="pct"/>
                    <w:vAlign w:val="center"/>
                  </w:tcPr>
                  <w:p w14:paraId="301CEFB3" w14:textId="77777777" w:rsidR="007E7472" w:rsidRDefault="00C8327E">
                    <w:pPr>
                      <w:jc w:val="right"/>
                      <w:rPr>
                        <w:spacing w:val="-20"/>
                        <w:sz w:val="18"/>
                        <w:szCs w:val="18"/>
                      </w:rPr>
                    </w:pPr>
                  </w:p>
                </w:tc>
                <w:tc>
                  <w:tcPr>
                    <w:tcW w:w="356" w:type="pct"/>
                    <w:vAlign w:val="center"/>
                  </w:tcPr>
                  <w:p w14:paraId="61247E11" w14:textId="77777777" w:rsidR="007E7472" w:rsidRDefault="00C8327E">
                    <w:pPr>
                      <w:jc w:val="right"/>
                      <w:rPr>
                        <w:spacing w:val="-20"/>
                        <w:sz w:val="18"/>
                        <w:szCs w:val="18"/>
                      </w:rPr>
                    </w:pPr>
                  </w:p>
                </w:tc>
              </w:tr>
              <w:tr w:rsidR="007E7472" w14:paraId="16FB3B70" w14:textId="77777777">
                <w:sdt>
                  <w:sdtPr>
                    <w:tag w:val="_PLD_2c8b649d670044a9b5fda521dd40705d"/>
                    <w:id w:val="1701904917"/>
                    <w:lock w:val="sdtLocked"/>
                  </w:sdtPr>
                  <w:sdtEndPr/>
                  <w:sdtContent>
                    <w:tc>
                      <w:tcPr>
                        <w:tcW w:w="610" w:type="pct"/>
                      </w:tcPr>
                      <w:p w14:paraId="73EBEACD" w14:textId="77777777" w:rsidR="007E7472" w:rsidRDefault="00EC1269">
                        <w:pPr>
                          <w:rPr>
                            <w:sz w:val="18"/>
                            <w:szCs w:val="18"/>
                          </w:rPr>
                        </w:pPr>
                        <w:r>
                          <w:rPr>
                            <w:sz w:val="18"/>
                            <w:szCs w:val="18"/>
                          </w:rPr>
                          <w:t>2．提取一般风险准备</w:t>
                        </w:r>
                      </w:p>
                    </w:tc>
                  </w:sdtContent>
                </w:sdt>
                <w:tc>
                  <w:tcPr>
                    <w:tcW w:w="305" w:type="pct"/>
                    <w:vAlign w:val="center"/>
                  </w:tcPr>
                  <w:p w14:paraId="3C9BA612" w14:textId="77777777" w:rsidR="007E7472" w:rsidRDefault="00C8327E">
                    <w:pPr>
                      <w:jc w:val="right"/>
                      <w:rPr>
                        <w:spacing w:val="-20"/>
                        <w:sz w:val="18"/>
                        <w:szCs w:val="18"/>
                      </w:rPr>
                    </w:pPr>
                  </w:p>
                </w:tc>
                <w:tc>
                  <w:tcPr>
                    <w:tcW w:w="192" w:type="pct"/>
                    <w:vAlign w:val="center"/>
                  </w:tcPr>
                  <w:p w14:paraId="3A3ED416" w14:textId="77777777" w:rsidR="007E7472" w:rsidRDefault="00C8327E">
                    <w:pPr>
                      <w:jc w:val="right"/>
                      <w:rPr>
                        <w:spacing w:val="-20"/>
                        <w:sz w:val="18"/>
                        <w:szCs w:val="18"/>
                      </w:rPr>
                    </w:pPr>
                  </w:p>
                </w:tc>
                <w:tc>
                  <w:tcPr>
                    <w:tcW w:w="330" w:type="pct"/>
                    <w:vAlign w:val="center"/>
                  </w:tcPr>
                  <w:p w14:paraId="175B17C7" w14:textId="77777777" w:rsidR="007E7472" w:rsidRDefault="00C8327E">
                    <w:pPr>
                      <w:jc w:val="right"/>
                      <w:rPr>
                        <w:spacing w:val="-20"/>
                        <w:sz w:val="18"/>
                        <w:szCs w:val="18"/>
                      </w:rPr>
                    </w:pPr>
                  </w:p>
                </w:tc>
                <w:tc>
                  <w:tcPr>
                    <w:tcW w:w="147" w:type="pct"/>
                    <w:vAlign w:val="center"/>
                  </w:tcPr>
                  <w:p w14:paraId="1CABE139" w14:textId="77777777" w:rsidR="007E7472" w:rsidRDefault="00C8327E">
                    <w:pPr>
                      <w:jc w:val="right"/>
                      <w:rPr>
                        <w:spacing w:val="-20"/>
                        <w:sz w:val="18"/>
                        <w:szCs w:val="18"/>
                      </w:rPr>
                    </w:pPr>
                  </w:p>
                </w:tc>
                <w:tc>
                  <w:tcPr>
                    <w:tcW w:w="358" w:type="pct"/>
                    <w:vAlign w:val="center"/>
                  </w:tcPr>
                  <w:p w14:paraId="08EBF677" w14:textId="77777777" w:rsidR="007E7472" w:rsidRDefault="00C8327E">
                    <w:pPr>
                      <w:jc w:val="right"/>
                      <w:rPr>
                        <w:spacing w:val="-20"/>
                        <w:sz w:val="18"/>
                        <w:szCs w:val="18"/>
                      </w:rPr>
                    </w:pPr>
                  </w:p>
                </w:tc>
                <w:tc>
                  <w:tcPr>
                    <w:tcW w:w="256" w:type="pct"/>
                    <w:vAlign w:val="center"/>
                  </w:tcPr>
                  <w:p w14:paraId="5F5AF3E4" w14:textId="77777777" w:rsidR="007E7472" w:rsidRDefault="00C8327E">
                    <w:pPr>
                      <w:jc w:val="right"/>
                      <w:rPr>
                        <w:spacing w:val="-20"/>
                        <w:sz w:val="18"/>
                        <w:szCs w:val="18"/>
                      </w:rPr>
                    </w:pPr>
                  </w:p>
                </w:tc>
                <w:tc>
                  <w:tcPr>
                    <w:tcW w:w="356" w:type="pct"/>
                    <w:vAlign w:val="center"/>
                  </w:tcPr>
                  <w:p w14:paraId="3F4B68AA" w14:textId="77777777" w:rsidR="007E7472" w:rsidRDefault="00C8327E">
                    <w:pPr>
                      <w:jc w:val="right"/>
                      <w:rPr>
                        <w:spacing w:val="-20"/>
                        <w:sz w:val="18"/>
                        <w:szCs w:val="18"/>
                      </w:rPr>
                    </w:pPr>
                  </w:p>
                </w:tc>
                <w:tc>
                  <w:tcPr>
                    <w:tcW w:w="305" w:type="pct"/>
                    <w:vAlign w:val="center"/>
                  </w:tcPr>
                  <w:p w14:paraId="4AFB1EBE" w14:textId="77777777" w:rsidR="007E7472" w:rsidRDefault="00C8327E">
                    <w:pPr>
                      <w:jc w:val="right"/>
                      <w:rPr>
                        <w:spacing w:val="-20"/>
                        <w:sz w:val="18"/>
                        <w:szCs w:val="18"/>
                      </w:rPr>
                    </w:pPr>
                  </w:p>
                </w:tc>
                <w:tc>
                  <w:tcPr>
                    <w:tcW w:w="255" w:type="pct"/>
                    <w:vAlign w:val="center"/>
                  </w:tcPr>
                  <w:p w14:paraId="1ED748D3" w14:textId="77777777" w:rsidR="007E7472" w:rsidRDefault="00C8327E">
                    <w:pPr>
                      <w:jc w:val="right"/>
                      <w:rPr>
                        <w:spacing w:val="-20"/>
                        <w:sz w:val="18"/>
                        <w:szCs w:val="18"/>
                      </w:rPr>
                    </w:pPr>
                  </w:p>
                </w:tc>
                <w:tc>
                  <w:tcPr>
                    <w:tcW w:w="219" w:type="pct"/>
                    <w:vAlign w:val="center"/>
                  </w:tcPr>
                  <w:p w14:paraId="44118C69" w14:textId="77777777" w:rsidR="007E7472" w:rsidRDefault="00C8327E">
                    <w:pPr>
                      <w:jc w:val="right"/>
                      <w:rPr>
                        <w:spacing w:val="-20"/>
                        <w:sz w:val="18"/>
                        <w:szCs w:val="18"/>
                      </w:rPr>
                    </w:pPr>
                  </w:p>
                </w:tc>
                <w:tc>
                  <w:tcPr>
                    <w:tcW w:w="398" w:type="pct"/>
                    <w:vAlign w:val="center"/>
                  </w:tcPr>
                  <w:p w14:paraId="7044761A" w14:textId="77777777" w:rsidR="007E7472" w:rsidRDefault="00EC1269">
                    <w:pPr>
                      <w:jc w:val="right"/>
                      <w:rPr>
                        <w:spacing w:val="-20"/>
                        <w:sz w:val="18"/>
                        <w:szCs w:val="18"/>
                      </w:rPr>
                    </w:pPr>
                    <w:r>
                      <w:rPr>
                        <w:rFonts w:hint="eastAsia"/>
                        <w:spacing w:val="-20"/>
                        <w:sz w:val="18"/>
                        <w:szCs w:val="18"/>
                      </w:rPr>
                      <w:t>169,131</w:t>
                    </w:r>
                  </w:p>
                </w:tc>
                <w:tc>
                  <w:tcPr>
                    <w:tcW w:w="205" w:type="pct"/>
                    <w:vAlign w:val="center"/>
                  </w:tcPr>
                  <w:p w14:paraId="0D73BB1C" w14:textId="77777777" w:rsidR="007E7472" w:rsidRDefault="00C8327E">
                    <w:pPr>
                      <w:jc w:val="right"/>
                      <w:rPr>
                        <w:spacing w:val="-20"/>
                        <w:sz w:val="18"/>
                        <w:szCs w:val="18"/>
                      </w:rPr>
                    </w:pPr>
                  </w:p>
                </w:tc>
                <w:tc>
                  <w:tcPr>
                    <w:tcW w:w="379" w:type="pct"/>
                    <w:vAlign w:val="center"/>
                  </w:tcPr>
                  <w:p w14:paraId="2BDDD7CC" w14:textId="77777777" w:rsidR="007E7472" w:rsidRDefault="00EC1269">
                    <w:pPr>
                      <w:jc w:val="right"/>
                      <w:rPr>
                        <w:spacing w:val="-20"/>
                        <w:sz w:val="18"/>
                        <w:szCs w:val="18"/>
                      </w:rPr>
                    </w:pPr>
                    <w:r>
                      <w:rPr>
                        <w:rFonts w:hint="eastAsia"/>
                        <w:spacing w:val="-20"/>
                        <w:sz w:val="18"/>
                        <w:szCs w:val="18"/>
                      </w:rPr>
                      <w:t>169,131</w:t>
                    </w:r>
                  </w:p>
                </w:tc>
                <w:tc>
                  <w:tcPr>
                    <w:tcW w:w="330" w:type="pct"/>
                    <w:vAlign w:val="center"/>
                  </w:tcPr>
                  <w:p w14:paraId="78AC708B" w14:textId="77777777" w:rsidR="007E7472" w:rsidRDefault="00C8327E">
                    <w:pPr>
                      <w:jc w:val="right"/>
                      <w:rPr>
                        <w:spacing w:val="-20"/>
                        <w:sz w:val="18"/>
                        <w:szCs w:val="18"/>
                      </w:rPr>
                    </w:pPr>
                  </w:p>
                </w:tc>
                <w:tc>
                  <w:tcPr>
                    <w:tcW w:w="356" w:type="pct"/>
                    <w:vAlign w:val="center"/>
                  </w:tcPr>
                  <w:p w14:paraId="0A66709F" w14:textId="77777777" w:rsidR="007E7472" w:rsidRDefault="00EC1269">
                    <w:pPr>
                      <w:jc w:val="right"/>
                      <w:rPr>
                        <w:spacing w:val="-20"/>
                        <w:sz w:val="18"/>
                        <w:szCs w:val="18"/>
                      </w:rPr>
                    </w:pPr>
                    <w:r>
                      <w:rPr>
                        <w:rFonts w:hint="eastAsia"/>
                        <w:spacing w:val="-20"/>
                        <w:sz w:val="18"/>
                        <w:szCs w:val="18"/>
                      </w:rPr>
                      <w:t>169,131</w:t>
                    </w:r>
                  </w:p>
                </w:tc>
              </w:tr>
              <w:tr w:rsidR="007E7472" w14:paraId="368A4A67" w14:textId="77777777">
                <w:sdt>
                  <w:sdtPr>
                    <w:tag w:val="_PLD_254428ff3bee49c2acd11ef634901543"/>
                    <w:id w:val="888612982"/>
                    <w:lock w:val="sdtLocked"/>
                  </w:sdtPr>
                  <w:sdtEndPr/>
                  <w:sdtContent>
                    <w:tc>
                      <w:tcPr>
                        <w:tcW w:w="610" w:type="pct"/>
                      </w:tcPr>
                      <w:p w14:paraId="3F23E997" w14:textId="77777777" w:rsidR="007E7472" w:rsidRDefault="00EC1269">
                        <w:pPr>
                          <w:rPr>
                            <w:sz w:val="18"/>
                            <w:szCs w:val="18"/>
                          </w:rPr>
                        </w:pPr>
                        <w:r>
                          <w:rPr>
                            <w:sz w:val="18"/>
                            <w:szCs w:val="18"/>
                          </w:rPr>
                          <w:t>3．对所有者（或股东）的分配</w:t>
                        </w:r>
                      </w:p>
                    </w:tc>
                  </w:sdtContent>
                </w:sdt>
                <w:tc>
                  <w:tcPr>
                    <w:tcW w:w="305" w:type="pct"/>
                    <w:vAlign w:val="center"/>
                  </w:tcPr>
                  <w:p w14:paraId="5FC51EA5" w14:textId="77777777" w:rsidR="007E7472" w:rsidRDefault="00C8327E">
                    <w:pPr>
                      <w:jc w:val="right"/>
                      <w:rPr>
                        <w:spacing w:val="-20"/>
                        <w:sz w:val="18"/>
                        <w:szCs w:val="18"/>
                      </w:rPr>
                    </w:pPr>
                  </w:p>
                </w:tc>
                <w:tc>
                  <w:tcPr>
                    <w:tcW w:w="192" w:type="pct"/>
                    <w:vAlign w:val="center"/>
                  </w:tcPr>
                  <w:p w14:paraId="28358326" w14:textId="77777777" w:rsidR="007E7472" w:rsidRDefault="00C8327E">
                    <w:pPr>
                      <w:jc w:val="right"/>
                      <w:rPr>
                        <w:spacing w:val="-20"/>
                        <w:sz w:val="18"/>
                        <w:szCs w:val="18"/>
                      </w:rPr>
                    </w:pPr>
                  </w:p>
                </w:tc>
                <w:tc>
                  <w:tcPr>
                    <w:tcW w:w="330" w:type="pct"/>
                    <w:vAlign w:val="center"/>
                  </w:tcPr>
                  <w:p w14:paraId="27F50F2A" w14:textId="77777777" w:rsidR="007E7472" w:rsidRDefault="00C8327E">
                    <w:pPr>
                      <w:jc w:val="right"/>
                      <w:rPr>
                        <w:spacing w:val="-20"/>
                        <w:sz w:val="18"/>
                        <w:szCs w:val="18"/>
                      </w:rPr>
                    </w:pPr>
                  </w:p>
                </w:tc>
                <w:tc>
                  <w:tcPr>
                    <w:tcW w:w="147" w:type="pct"/>
                    <w:vAlign w:val="center"/>
                  </w:tcPr>
                  <w:p w14:paraId="7F53873C" w14:textId="77777777" w:rsidR="007E7472" w:rsidRDefault="00C8327E">
                    <w:pPr>
                      <w:jc w:val="right"/>
                      <w:rPr>
                        <w:spacing w:val="-20"/>
                        <w:sz w:val="18"/>
                        <w:szCs w:val="18"/>
                      </w:rPr>
                    </w:pPr>
                  </w:p>
                </w:tc>
                <w:tc>
                  <w:tcPr>
                    <w:tcW w:w="358" w:type="pct"/>
                    <w:vAlign w:val="center"/>
                  </w:tcPr>
                  <w:p w14:paraId="427805DA" w14:textId="77777777" w:rsidR="007E7472" w:rsidRDefault="00C8327E">
                    <w:pPr>
                      <w:jc w:val="right"/>
                      <w:rPr>
                        <w:spacing w:val="-20"/>
                        <w:sz w:val="18"/>
                        <w:szCs w:val="18"/>
                      </w:rPr>
                    </w:pPr>
                  </w:p>
                </w:tc>
                <w:tc>
                  <w:tcPr>
                    <w:tcW w:w="256" w:type="pct"/>
                    <w:vAlign w:val="center"/>
                  </w:tcPr>
                  <w:p w14:paraId="11855C2E" w14:textId="77777777" w:rsidR="007E7472" w:rsidRDefault="00C8327E">
                    <w:pPr>
                      <w:jc w:val="right"/>
                      <w:rPr>
                        <w:spacing w:val="-20"/>
                        <w:sz w:val="18"/>
                        <w:szCs w:val="18"/>
                      </w:rPr>
                    </w:pPr>
                  </w:p>
                </w:tc>
                <w:tc>
                  <w:tcPr>
                    <w:tcW w:w="356" w:type="pct"/>
                    <w:vAlign w:val="center"/>
                  </w:tcPr>
                  <w:p w14:paraId="442E1E56" w14:textId="77777777" w:rsidR="007E7472" w:rsidRDefault="00C8327E">
                    <w:pPr>
                      <w:jc w:val="right"/>
                      <w:rPr>
                        <w:spacing w:val="-20"/>
                        <w:sz w:val="18"/>
                        <w:szCs w:val="18"/>
                      </w:rPr>
                    </w:pPr>
                  </w:p>
                </w:tc>
                <w:tc>
                  <w:tcPr>
                    <w:tcW w:w="305" w:type="pct"/>
                    <w:vAlign w:val="center"/>
                  </w:tcPr>
                  <w:p w14:paraId="384EA9FA" w14:textId="77777777" w:rsidR="007E7472" w:rsidRDefault="00C8327E">
                    <w:pPr>
                      <w:jc w:val="right"/>
                      <w:rPr>
                        <w:spacing w:val="-20"/>
                        <w:sz w:val="18"/>
                        <w:szCs w:val="18"/>
                      </w:rPr>
                    </w:pPr>
                  </w:p>
                </w:tc>
                <w:tc>
                  <w:tcPr>
                    <w:tcW w:w="255" w:type="pct"/>
                    <w:vAlign w:val="center"/>
                  </w:tcPr>
                  <w:p w14:paraId="3CDBA267" w14:textId="77777777" w:rsidR="007E7472" w:rsidRDefault="00C8327E">
                    <w:pPr>
                      <w:jc w:val="right"/>
                      <w:rPr>
                        <w:spacing w:val="-20"/>
                        <w:sz w:val="18"/>
                        <w:szCs w:val="18"/>
                      </w:rPr>
                    </w:pPr>
                  </w:p>
                </w:tc>
                <w:tc>
                  <w:tcPr>
                    <w:tcW w:w="219" w:type="pct"/>
                    <w:vAlign w:val="center"/>
                  </w:tcPr>
                  <w:p w14:paraId="50F2274D" w14:textId="77777777" w:rsidR="007E7472" w:rsidRDefault="00C8327E">
                    <w:pPr>
                      <w:jc w:val="right"/>
                      <w:rPr>
                        <w:spacing w:val="-20"/>
                        <w:sz w:val="18"/>
                        <w:szCs w:val="18"/>
                      </w:rPr>
                    </w:pPr>
                  </w:p>
                </w:tc>
                <w:tc>
                  <w:tcPr>
                    <w:tcW w:w="398" w:type="pct"/>
                    <w:vAlign w:val="center"/>
                  </w:tcPr>
                  <w:p w14:paraId="74DAA5A9" w14:textId="77777777" w:rsidR="007E7472" w:rsidRDefault="00EC1269">
                    <w:pPr>
                      <w:jc w:val="right"/>
                      <w:rPr>
                        <w:spacing w:val="-20"/>
                        <w:sz w:val="18"/>
                        <w:szCs w:val="18"/>
                      </w:rPr>
                    </w:pPr>
                    <w:r>
                      <w:rPr>
                        <w:rFonts w:hint="eastAsia"/>
                        <w:spacing w:val="-20"/>
                        <w:sz w:val="18"/>
                        <w:szCs w:val="18"/>
                      </w:rPr>
                      <w:t>-21,333,850</w:t>
                    </w:r>
                  </w:p>
                </w:tc>
                <w:tc>
                  <w:tcPr>
                    <w:tcW w:w="205" w:type="pct"/>
                    <w:vAlign w:val="center"/>
                  </w:tcPr>
                  <w:p w14:paraId="03124BCB" w14:textId="77777777" w:rsidR="007E7472" w:rsidRDefault="00C8327E">
                    <w:pPr>
                      <w:jc w:val="right"/>
                      <w:rPr>
                        <w:spacing w:val="-20"/>
                        <w:sz w:val="18"/>
                        <w:szCs w:val="18"/>
                      </w:rPr>
                    </w:pPr>
                  </w:p>
                </w:tc>
                <w:tc>
                  <w:tcPr>
                    <w:tcW w:w="379" w:type="pct"/>
                    <w:vAlign w:val="center"/>
                  </w:tcPr>
                  <w:p w14:paraId="6FF266E9" w14:textId="77777777" w:rsidR="007E7472" w:rsidRDefault="00EC1269">
                    <w:pPr>
                      <w:jc w:val="right"/>
                      <w:rPr>
                        <w:spacing w:val="-20"/>
                        <w:sz w:val="18"/>
                        <w:szCs w:val="18"/>
                      </w:rPr>
                    </w:pPr>
                    <w:r>
                      <w:rPr>
                        <w:rFonts w:hint="eastAsia"/>
                        <w:spacing w:val="-20"/>
                        <w:sz w:val="18"/>
                        <w:szCs w:val="18"/>
                      </w:rPr>
                      <w:t>-21,333,850</w:t>
                    </w:r>
                  </w:p>
                </w:tc>
                <w:tc>
                  <w:tcPr>
                    <w:tcW w:w="330" w:type="pct"/>
                    <w:vAlign w:val="center"/>
                  </w:tcPr>
                  <w:p w14:paraId="4162F361" w14:textId="77777777" w:rsidR="007E7472" w:rsidRDefault="00EC1269">
                    <w:pPr>
                      <w:jc w:val="right"/>
                      <w:rPr>
                        <w:spacing w:val="-20"/>
                        <w:sz w:val="18"/>
                        <w:szCs w:val="18"/>
                      </w:rPr>
                    </w:pPr>
                    <w:r>
                      <w:rPr>
                        <w:rFonts w:hint="eastAsia"/>
                        <w:spacing w:val="-20"/>
                        <w:sz w:val="18"/>
                        <w:szCs w:val="18"/>
                      </w:rPr>
                      <w:t>-2,410,774</w:t>
                    </w:r>
                  </w:p>
                </w:tc>
                <w:tc>
                  <w:tcPr>
                    <w:tcW w:w="356" w:type="pct"/>
                    <w:vAlign w:val="center"/>
                  </w:tcPr>
                  <w:p w14:paraId="0C1FAF07" w14:textId="77777777" w:rsidR="007E7472" w:rsidRDefault="00EC1269">
                    <w:pPr>
                      <w:jc w:val="right"/>
                      <w:rPr>
                        <w:spacing w:val="-20"/>
                        <w:sz w:val="18"/>
                        <w:szCs w:val="18"/>
                      </w:rPr>
                    </w:pPr>
                    <w:r>
                      <w:rPr>
                        <w:rFonts w:hint="eastAsia"/>
                        <w:spacing w:val="-20"/>
                        <w:sz w:val="18"/>
                        <w:szCs w:val="18"/>
                      </w:rPr>
                      <w:t>-23,744,624</w:t>
                    </w:r>
                  </w:p>
                </w:tc>
              </w:tr>
              <w:tr w:rsidR="007E7472" w14:paraId="784FBE7E" w14:textId="77777777">
                <w:sdt>
                  <w:sdtPr>
                    <w:tag w:val="_PLD_1ff73d53a8ce4659b6ddc9a5e6025b10"/>
                    <w:id w:val="-1862506784"/>
                    <w:lock w:val="sdtLocked"/>
                  </w:sdtPr>
                  <w:sdtEndPr/>
                  <w:sdtContent>
                    <w:tc>
                      <w:tcPr>
                        <w:tcW w:w="610" w:type="pct"/>
                      </w:tcPr>
                      <w:p w14:paraId="7255275C" w14:textId="77777777" w:rsidR="007E7472" w:rsidRDefault="00EC1269">
                        <w:pPr>
                          <w:rPr>
                            <w:sz w:val="18"/>
                            <w:szCs w:val="18"/>
                          </w:rPr>
                        </w:pPr>
                        <w:r>
                          <w:rPr>
                            <w:sz w:val="18"/>
                            <w:szCs w:val="18"/>
                          </w:rPr>
                          <w:t>4.对其他权益工具持有者的分配</w:t>
                        </w:r>
                      </w:p>
                    </w:tc>
                  </w:sdtContent>
                </w:sdt>
                <w:sdt>
                  <w:sdtPr>
                    <w:alias w:val="4.对其他权益工具持有者的分配实收资本(或股本)"/>
                    <w:tag w:val="_GBC_86a901f087274590afb0ff369aef7d71"/>
                    <w:id w:val="-321580210"/>
                    <w:lock w:val="sdtLocked"/>
                  </w:sdtPr>
                  <w:sdtEndPr/>
                  <w:sdtContent>
                    <w:tc>
                      <w:tcPr>
                        <w:tcW w:w="305" w:type="pct"/>
                      </w:tcPr>
                      <w:p w14:paraId="47D3DB60" w14:textId="77777777" w:rsidR="007E7472" w:rsidRDefault="00C8327E">
                        <w:pPr>
                          <w:jc w:val="right"/>
                          <w:rPr>
                            <w:spacing w:val="-20"/>
                            <w:sz w:val="18"/>
                            <w:szCs w:val="18"/>
                          </w:rPr>
                        </w:pPr>
                      </w:p>
                    </w:tc>
                  </w:sdtContent>
                </w:sdt>
                <w:sdt>
                  <w:sdtPr>
                    <w:alias w:val="4.对其他权益工具持有者的分配优先股"/>
                    <w:tag w:val="_GBC_0077981e87df4331b441c57a75dbacbe"/>
                    <w:id w:val="-315415093"/>
                    <w:lock w:val="sdtLocked"/>
                  </w:sdtPr>
                  <w:sdtEndPr/>
                  <w:sdtContent>
                    <w:tc>
                      <w:tcPr>
                        <w:tcW w:w="192" w:type="pct"/>
                      </w:tcPr>
                      <w:p w14:paraId="2593BB88" w14:textId="77777777" w:rsidR="007E7472" w:rsidRDefault="00C8327E">
                        <w:pPr>
                          <w:jc w:val="right"/>
                          <w:rPr>
                            <w:spacing w:val="-20"/>
                            <w:sz w:val="18"/>
                            <w:szCs w:val="18"/>
                          </w:rPr>
                        </w:pPr>
                      </w:p>
                    </w:tc>
                  </w:sdtContent>
                </w:sdt>
                <w:sdt>
                  <w:sdtPr>
                    <w:alias w:val="4.对其他权益工具持有者的分配永续债"/>
                    <w:tag w:val="_GBC_4e4428ed2fd64b5cbe1262eb9a747d0a"/>
                    <w:id w:val="895942912"/>
                    <w:lock w:val="sdtLocked"/>
                  </w:sdtPr>
                  <w:sdtEndPr>
                    <w:rPr>
                      <w:spacing w:val="-20"/>
                      <w:sz w:val="18"/>
                    </w:rPr>
                  </w:sdtEndPr>
                  <w:sdtContent>
                    <w:tc>
                      <w:tcPr>
                        <w:tcW w:w="330" w:type="pct"/>
                        <w:vAlign w:val="center"/>
                      </w:tcPr>
                      <w:p w14:paraId="2F8E1917" w14:textId="77777777" w:rsidR="007E7472" w:rsidRDefault="00EC1269">
                        <w:pPr>
                          <w:jc w:val="right"/>
                          <w:rPr>
                            <w:spacing w:val="-20"/>
                            <w:sz w:val="18"/>
                            <w:szCs w:val="18"/>
                          </w:rPr>
                        </w:pPr>
                        <w:r>
                          <w:rPr>
                            <w:spacing w:val="-20"/>
                            <w:sz w:val="18"/>
                          </w:rPr>
                          <w:t>-379,580</w:t>
                        </w:r>
                      </w:p>
                    </w:tc>
                  </w:sdtContent>
                </w:sdt>
                <w:sdt>
                  <w:sdtPr>
                    <w:alias w:val="4.对其他权益工具持有者的分配其他"/>
                    <w:tag w:val="_GBC_02f8ae4232ac4ba6a00b2effb77d2682"/>
                    <w:id w:val="-1260900448"/>
                    <w:lock w:val="sdtLocked"/>
                  </w:sdtPr>
                  <w:sdtEndPr/>
                  <w:sdtContent>
                    <w:tc>
                      <w:tcPr>
                        <w:tcW w:w="147" w:type="pct"/>
                        <w:vAlign w:val="center"/>
                      </w:tcPr>
                      <w:p w14:paraId="7965422C" w14:textId="77777777" w:rsidR="007E7472" w:rsidRDefault="00C8327E">
                        <w:pPr>
                          <w:jc w:val="right"/>
                          <w:rPr>
                            <w:spacing w:val="-20"/>
                            <w:sz w:val="18"/>
                            <w:szCs w:val="18"/>
                          </w:rPr>
                        </w:pPr>
                      </w:p>
                    </w:tc>
                  </w:sdtContent>
                </w:sdt>
                <w:sdt>
                  <w:sdtPr>
                    <w:alias w:val="4.对其他权益工具持有者的分配资本公积"/>
                    <w:tag w:val="_GBC_d76862e789524bf0998a8c9bfe78537d"/>
                    <w:id w:val="1836567088"/>
                    <w:lock w:val="sdtLocked"/>
                  </w:sdtPr>
                  <w:sdtEndPr/>
                  <w:sdtContent>
                    <w:tc>
                      <w:tcPr>
                        <w:tcW w:w="358" w:type="pct"/>
                        <w:vAlign w:val="center"/>
                      </w:tcPr>
                      <w:p w14:paraId="3CA88261" w14:textId="77777777" w:rsidR="007E7472" w:rsidRDefault="00C8327E">
                        <w:pPr>
                          <w:jc w:val="right"/>
                          <w:rPr>
                            <w:spacing w:val="-20"/>
                            <w:sz w:val="18"/>
                            <w:szCs w:val="18"/>
                          </w:rPr>
                        </w:pPr>
                      </w:p>
                    </w:tc>
                  </w:sdtContent>
                </w:sdt>
                <w:sdt>
                  <w:sdtPr>
                    <w:alias w:val="4.对其他权益工具持有者的分配减：库存股"/>
                    <w:tag w:val="_GBC_ec3b1de98d5043f0a8b3ebb6fb53814b"/>
                    <w:id w:val="-215358349"/>
                    <w:lock w:val="sdtLocked"/>
                  </w:sdtPr>
                  <w:sdtEndPr/>
                  <w:sdtContent>
                    <w:tc>
                      <w:tcPr>
                        <w:tcW w:w="256" w:type="pct"/>
                        <w:vAlign w:val="center"/>
                      </w:tcPr>
                      <w:p w14:paraId="279E8866" w14:textId="77777777" w:rsidR="007E7472" w:rsidRDefault="00C8327E">
                        <w:pPr>
                          <w:jc w:val="right"/>
                          <w:rPr>
                            <w:spacing w:val="-20"/>
                            <w:sz w:val="18"/>
                            <w:szCs w:val="18"/>
                          </w:rPr>
                        </w:pPr>
                      </w:p>
                    </w:tc>
                  </w:sdtContent>
                </w:sdt>
                <w:sdt>
                  <w:sdtPr>
                    <w:alias w:val="4.对其他权益工具持有者的分配其他综合收益"/>
                    <w:tag w:val="_GBC_b5ee7f66cb5b456187b1235b212fcacd"/>
                    <w:id w:val="1819618997"/>
                    <w:lock w:val="sdtLocked"/>
                  </w:sdtPr>
                  <w:sdtEndPr/>
                  <w:sdtContent>
                    <w:tc>
                      <w:tcPr>
                        <w:tcW w:w="356" w:type="pct"/>
                        <w:vAlign w:val="center"/>
                      </w:tcPr>
                      <w:p w14:paraId="07E37DA3" w14:textId="77777777" w:rsidR="007E7472" w:rsidRDefault="00C8327E">
                        <w:pPr>
                          <w:jc w:val="right"/>
                          <w:rPr>
                            <w:spacing w:val="-20"/>
                            <w:sz w:val="18"/>
                            <w:szCs w:val="18"/>
                          </w:rPr>
                        </w:pPr>
                      </w:p>
                    </w:tc>
                  </w:sdtContent>
                </w:sdt>
                <w:sdt>
                  <w:sdtPr>
                    <w:alias w:val="4.对其他权益工具持有者的分配专项储备"/>
                    <w:tag w:val="_GBC_a745e159c41f496d85e2ec51e21e08d0"/>
                    <w:id w:val="490139257"/>
                    <w:lock w:val="sdtLocked"/>
                  </w:sdtPr>
                  <w:sdtEndPr/>
                  <w:sdtContent>
                    <w:tc>
                      <w:tcPr>
                        <w:tcW w:w="305" w:type="pct"/>
                        <w:vAlign w:val="center"/>
                      </w:tcPr>
                      <w:p w14:paraId="3D577BC1" w14:textId="77777777" w:rsidR="007E7472" w:rsidRDefault="00C8327E">
                        <w:pPr>
                          <w:jc w:val="right"/>
                          <w:rPr>
                            <w:spacing w:val="-20"/>
                            <w:sz w:val="18"/>
                            <w:szCs w:val="18"/>
                          </w:rPr>
                        </w:pPr>
                      </w:p>
                    </w:tc>
                  </w:sdtContent>
                </w:sdt>
                <w:sdt>
                  <w:sdtPr>
                    <w:alias w:val="4.对其他权益工具持有者的分配盈余公积"/>
                    <w:tag w:val="_GBC_a307c6fd115949c8ade76d9c6d527414"/>
                    <w:id w:val="5097286"/>
                    <w:lock w:val="sdtLocked"/>
                    <w:showingPlcHdr/>
                  </w:sdtPr>
                  <w:sdtEndPr/>
                  <w:sdtContent>
                    <w:tc>
                      <w:tcPr>
                        <w:tcW w:w="255" w:type="pct"/>
                        <w:vAlign w:val="center"/>
                      </w:tcPr>
                      <w:p w14:paraId="60337507" w14:textId="77777777" w:rsidR="007E7472" w:rsidRDefault="00EC1269">
                        <w:pPr>
                          <w:jc w:val="right"/>
                          <w:rPr>
                            <w:spacing w:val="-20"/>
                            <w:sz w:val="18"/>
                            <w:szCs w:val="18"/>
                          </w:rPr>
                        </w:pPr>
                        <w:r>
                          <w:t xml:space="preserve">     </w:t>
                        </w:r>
                      </w:p>
                    </w:tc>
                  </w:sdtContent>
                </w:sdt>
                <w:sdt>
                  <w:sdtPr>
                    <w:alias w:val="4.对其他权益工具持有者的分配一般风险准备"/>
                    <w:tag w:val="_GBC_1b9d52d1ecf24f1894cf43715b88475a"/>
                    <w:id w:val="877124739"/>
                    <w:lock w:val="sdtLocked"/>
                  </w:sdtPr>
                  <w:sdtEndPr/>
                  <w:sdtContent>
                    <w:tc>
                      <w:tcPr>
                        <w:tcW w:w="219" w:type="pct"/>
                        <w:vAlign w:val="center"/>
                      </w:tcPr>
                      <w:p w14:paraId="311D662F" w14:textId="77777777" w:rsidR="007E7472" w:rsidRDefault="00C8327E">
                        <w:pPr>
                          <w:jc w:val="right"/>
                          <w:rPr>
                            <w:spacing w:val="-20"/>
                            <w:sz w:val="18"/>
                            <w:szCs w:val="18"/>
                          </w:rPr>
                        </w:pPr>
                      </w:p>
                    </w:tc>
                  </w:sdtContent>
                </w:sdt>
                <w:sdt>
                  <w:sdtPr>
                    <w:alias w:val="4.对其他权益工具持有者的分配未分配利润"/>
                    <w:tag w:val="_GBC_4ca01d68dbca473085bd38b2426c4e0e"/>
                    <w:id w:val="-213128799"/>
                    <w:lock w:val="sdtLocked"/>
                    <w:showingPlcHdr/>
                  </w:sdtPr>
                  <w:sdtEndPr/>
                  <w:sdtContent>
                    <w:tc>
                      <w:tcPr>
                        <w:tcW w:w="398" w:type="pct"/>
                        <w:vAlign w:val="center"/>
                      </w:tcPr>
                      <w:p w14:paraId="4FE5EE58" w14:textId="77777777" w:rsidR="007E7472" w:rsidRDefault="00EC1269">
                        <w:pPr>
                          <w:jc w:val="right"/>
                          <w:rPr>
                            <w:spacing w:val="-20"/>
                            <w:sz w:val="18"/>
                            <w:szCs w:val="18"/>
                          </w:rPr>
                        </w:pPr>
                        <w:r>
                          <w:t xml:space="preserve">     </w:t>
                        </w:r>
                      </w:p>
                    </w:tc>
                  </w:sdtContent>
                </w:sdt>
                <w:sdt>
                  <w:sdtPr>
                    <w:alias w:val="4.对其他权益工具持有者的分配其他"/>
                    <w:tag w:val="_GBC_6ce093ff113647eb9dd2393f228b299f"/>
                    <w:id w:val="1129131078"/>
                    <w:lock w:val="sdtLocked"/>
                  </w:sdtPr>
                  <w:sdtEndPr/>
                  <w:sdtContent>
                    <w:tc>
                      <w:tcPr>
                        <w:tcW w:w="205" w:type="pct"/>
                        <w:vAlign w:val="center"/>
                      </w:tcPr>
                      <w:p w14:paraId="42F57492" w14:textId="77777777" w:rsidR="007E7472" w:rsidRDefault="00C8327E">
                        <w:pPr>
                          <w:jc w:val="right"/>
                          <w:rPr>
                            <w:spacing w:val="-20"/>
                            <w:sz w:val="18"/>
                            <w:szCs w:val="18"/>
                          </w:rPr>
                        </w:pPr>
                      </w:p>
                    </w:tc>
                  </w:sdtContent>
                </w:sdt>
                <w:sdt>
                  <w:sdtPr>
                    <w:alias w:val="4.对其他权益工具持有者的分配小计"/>
                    <w:tag w:val="_GBC_fb8b201832f249f085f2f12b04233fa0"/>
                    <w:id w:val="-1060162623"/>
                    <w:lock w:val="sdtLocked"/>
                  </w:sdtPr>
                  <w:sdtEndPr>
                    <w:rPr>
                      <w:sz w:val="18"/>
                      <w:szCs w:val="18"/>
                    </w:rPr>
                  </w:sdtEndPr>
                  <w:sdtContent>
                    <w:tc>
                      <w:tcPr>
                        <w:tcW w:w="379" w:type="pct"/>
                        <w:vAlign w:val="center"/>
                      </w:tcPr>
                      <w:p w14:paraId="5D85CD45" w14:textId="77777777" w:rsidR="007E7472" w:rsidRDefault="00EC1269">
                        <w:pPr>
                          <w:jc w:val="right"/>
                          <w:rPr>
                            <w:spacing w:val="-20"/>
                            <w:sz w:val="18"/>
                            <w:szCs w:val="18"/>
                          </w:rPr>
                        </w:pPr>
                        <w:r>
                          <w:rPr>
                            <w:spacing w:val="-20"/>
                            <w:sz w:val="18"/>
                            <w:szCs w:val="18"/>
                          </w:rPr>
                          <w:t>-379,580</w:t>
                        </w:r>
                      </w:p>
                    </w:tc>
                  </w:sdtContent>
                </w:sdt>
                <w:sdt>
                  <w:sdtPr>
                    <w:alias w:val="4.对其他权益工具持有者的分配少数股东权益"/>
                    <w:tag w:val="_GBC_c73d5f68003041b8b65fcc2785a0b14d"/>
                    <w:id w:val="-903524344"/>
                    <w:lock w:val="sdtLocked"/>
                  </w:sdtPr>
                  <w:sdtEndPr/>
                  <w:sdtContent>
                    <w:tc>
                      <w:tcPr>
                        <w:tcW w:w="330" w:type="pct"/>
                        <w:vAlign w:val="center"/>
                      </w:tcPr>
                      <w:p w14:paraId="7120ADCD" w14:textId="77777777" w:rsidR="007E7472" w:rsidRDefault="00C8327E">
                        <w:pPr>
                          <w:jc w:val="right"/>
                          <w:rPr>
                            <w:spacing w:val="-20"/>
                            <w:sz w:val="18"/>
                            <w:szCs w:val="18"/>
                          </w:rPr>
                        </w:pPr>
                      </w:p>
                    </w:tc>
                  </w:sdtContent>
                </w:sdt>
                <w:sdt>
                  <w:sdtPr>
                    <w:alias w:val="4.对其他权益工具持有者的分配所有者权益合计"/>
                    <w:tag w:val="_GBC_1c2f2b80fb1d4a76a77ea66c7ade1c92"/>
                    <w:id w:val="-1728364031"/>
                    <w:lock w:val="sdtLocked"/>
                  </w:sdtPr>
                  <w:sdtEndPr/>
                  <w:sdtContent>
                    <w:tc>
                      <w:tcPr>
                        <w:tcW w:w="356" w:type="pct"/>
                        <w:vAlign w:val="center"/>
                      </w:tcPr>
                      <w:p w14:paraId="0DB8743B" w14:textId="77777777" w:rsidR="007E7472" w:rsidRDefault="00EC1269">
                        <w:pPr>
                          <w:jc w:val="right"/>
                          <w:rPr>
                            <w:spacing w:val="-20"/>
                            <w:sz w:val="18"/>
                            <w:szCs w:val="18"/>
                          </w:rPr>
                        </w:pPr>
                        <w:r>
                          <w:rPr>
                            <w:spacing w:val="-20"/>
                            <w:sz w:val="18"/>
                          </w:rPr>
                          <w:t>-379,580</w:t>
                        </w:r>
                      </w:p>
                    </w:tc>
                  </w:sdtContent>
                </w:sdt>
              </w:tr>
              <w:tr w:rsidR="007E7472" w14:paraId="200F216B" w14:textId="77777777">
                <w:sdt>
                  <w:sdtPr>
                    <w:tag w:val="_PLD_b3d350728a6c49ccaa6dbb4adf16c691"/>
                    <w:id w:val="1928301535"/>
                    <w:lock w:val="sdtLocked"/>
                  </w:sdtPr>
                  <w:sdtEndPr/>
                  <w:sdtContent>
                    <w:tc>
                      <w:tcPr>
                        <w:tcW w:w="610" w:type="pct"/>
                      </w:tcPr>
                      <w:p w14:paraId="264BD76B" w14:textId="77777777" w:rsidR="007E7472" w:rsidRDefault="00EC1269">
                        <w:pPr>
                          <w:rPr>
                            <w:sz w:val="18"/>
                            <w:szCs w:val="18"/>
                          </w:rPr>
                        </w:pPr>
                        <w:r>
                          <w:rPr>
                            <w:sz w:val="18"/>
                            <w:szCs w:val="18"/>
                          </w:rPr>
                          <w:t>5．其他</w:t>
                        </w:r>
                      </w:p>
                    </w:tc>
                  </w:sdtContent>
                </w:sdt>
                <w:tc>
                  <w:tcPr>
                    <w:tcW w:w="305" w:type="pct"/>
                  </w:tcPr>
                  <w:p w14:paraId="4693F039" w14:textId="77777777" w:rsidR="007E7472" w:rsidRDefault="00C8327E">
                    <w:pPr>
                      <w:jc w:val="right"/>
                      <w:rPr>
                        <w:spacing w:val="-20"/>
                        <w:sz w:val="18"/>
                        <w:szCs w:val="18"/>
                      </w:rPr>
                    </w:pPr>
                  </w:p>
                </w:tc>
                <w:tc>
                  <w:tcPr>
                    <w:tcW w:w="192" w:type="pct"/>
                  </w:tcPr>
                  <w:p w14:paraId="34739812" w14:textId="77777777" w:rsidR="007E7472" w:rsidRDefault="00C8327E">
                    <w:pPr>
                      <w:jc w:val="right"/>
                      <w:rPr>
                        <w:spacing w:val="-20"/>
                        <w:sz w:val="18"/>
                        <w:szCs w:val="18"/>
                      </w:rPr>
                    </w:pPr>
                  </w:p>
                </w:tc>
                <w:tc>
                  <w:tcPr>
                    <w:tcW w:w="330" w:type="pct"/>
                  </w:tcPr>
                  <w:p w14:paraId="519DAA74" w14:textId="77777777" w:rsidR="007E7472" w:rsidRDefault="00C8327E">
                    <w:pPr>
                      <w:jc w:val="right"/>
                      <w:rPr>
                        <w:spacing w:val="-20"/>
                        <w:sz w:val="18"/>
                        <w:szCs w:val="18"/>
                      </w:rPr>
                    </w:pPr>
                  </w:p>
                </w:tc>
                <w:tc>
                  <w:tcPr>
                    <w:tcW w:w="147" w:type="pct"/>
                  </w:tcPr>
                  <w:p w14:paraId="28A0FBA9" w14:textId="77777777" w:rsidR="007E7472" w:rsidRDefault="00C8327E">
                    <w:pPr>
                      <w:jc w:val="right"/>
                      <w:rPr>
                        <w:spacing w:val="-20"/>
                        <w:sz w:val="18"/>
                        <w:szCs w:val="18"/>
                      </w:rPr>
                    </w:pPr>
                  </w:p>
                </w:tc>
                <w:tc>
                  <w:tcPr>
                    <w:tcW w:w="358" w:type="pct"/>
                  </w:tcPr>
                  <w:p w14:paraId="42E33BDD" w14:textId="77777777" w:rsidR="007E7472" w:rsidRDefault="00C8327E">
                    <w:pPr>
                      <w:jc w:val="right"/>
                      <w:rPr>
                        <w:spacing w:val="-20"/>
                        <w:sz w:val="18"/>
                        <w:szCs w:val="18"/>
                      </w:rPr>
                    </w:pPr>
                  </w:p>
                </w:tc>
                <w:tc>
                  <w:tcPr>
                    <w:tcW w:w="256" w:type="pct"/>
                  </w:tcPr>
                  <w:p w14:paraId="227C7357" w14:textId="77777777" w:rsidR="007E7472" w:rsidRDefault="00C8327E">
                    <w:pPr>
                      <w:jc w:val="right"/>
                      <w:rPr>
                        <w:spacing w:val="-20"/>
                        <w:sz w:val="18"/>
                        <w:szCs w:val="18"/>
                      </w:rPr>
                    </w:pPr>
                  </w:p>
                </w:tc>
                <w:tc>
                  <w:tcPr>
                    <w:tcW w:w="356" w:type="pct"/>
                  </w:tcPr>
                  <w:p w14:paraId="1B619338" w14:textId="77777777" w:rsidR="007E7472" w:rsidRDefault="00C8327E">
                    <w:pPr>
                      <w:jc w:val="right"/>
                      <w:rPr>
                        <w:spacing w:val="-20"/>
                        <w:sz w:val="18"/>
                        <w:szCs w:val="18"/>
                      </w:rPr>
                    </w:pPr>
                  </w:p>
                </w:tc>
                <w:tc>
                  <w:tcPr>
                    <w:tcW w:w="305" w:type="pct"/>
                  </w:tcPr>
                  <w:p w14:paraId="0959912E" w14:textId="77777777" w:rsidR="007E7472" w:rsidRDefault="00C8327E">
                    <w:pPr>
                      <w:jc w:val="right"/>
                      <w:rPr>
                        <w:spacing w:val="-20"/>
                        <w:sz w:val="18"/>
                        <w:szCs w:val="18"/>
                      </w:rPr>
                    </w:pPr>
                  </w:p>
                </w:tc>
                <w:tc>
                  <w:tcPr>
                    <w:tcW w:w="255" w:type="pct"/>
                  </w:tcPr>
                  <w:p w14:paraId="4C235047" w14:textId="77777777" w:rsidR="007E7472" w:rsidRDefault="00C8327E">
                    <w:pPr>
                      <w:jc w:val="right"/>
                      <w:rPr>
                        <w:spacing w:val="-20"/>
                        <w:sz w:val="18"/>
                        <w:szCs w:val="18"/>
                      </w:rPr>
                    </w:pPr>
                  </w:p>
                </w:tc>
                <w:tc>
                  <w:tcPr>
                    <w:tcW w:w="219" w:type="pct"/>
                  </w:tcPr>
                  <w:p w14:paraId="01CB80F9" w14:textId="77777777" w:rsidR="007E7472" w:rsidRDefault="00C8327E">
                    <w:pPr>
                      <w:jc w:val="right"/>
                      <w:rPr>
                        <w:spacing w:val="-20"/>
                        <w:sz w:val="18"/>
                        <w:szCs w:val="18"/>
                      </w:rPr>
                    </w:pPr>
                  </w:p>
                </w:tc>
                <w:tc>
                  <w:tcPr>
                    <w:tcW w:w="398" w:type="pct"/>
                  </w:tcPr>
                  <w:p w14:paraId="771F8760" w14:textId="77777777" w:rsidR="007E7472" w:rsidRDefault="00C8327E">
                    <w:pPr>
                      <w:jc w:val="right"/>
                      <w:rPr>
                        <w:spacing w:val="-20"/>
                        <w:sz w:val="18"/>
                        <w:szCs w:val="18"/>
                      </w:rPr>
                    </w:pPr>
                  </w:p>
                </w:tc>
                <w:tc>
                  <w:tcPr>
                    <w:tcW w:w="205" w:type="pct"/>
                  </w:tcPr>
                  <w:p w14:paraId="0F99738D" w14:textId="77777777" w:rsidR="007E7472" w:rsidRDefault="00C8327E">
                    <w:pPr>
                      <w:jc w:val="right"/>
                      <w:rPr>
                        <w:spacing w:val="-20"/>
                        <w:sz w:val="18"/>
                        <w:szCs w:val="18"/>
                      </w:rPr>
                    </w:pPr>
                  </w:p>
                </w:tc>
                <w:tc>
                  <w:tcPr>
                    <w:tcW w:w="379" w:type="pct"/>
                  </w:tcPr>
                  <w:p w14:paraId="0CF2B494" w14:textId="77777777" w:rsidR="007E7472" w:rsidRDefault="00C8327E">
                    <w:pPr>
                      <w:jc w:val="right"/>
                      <w:rPr>
                        <w:spacing w:val="-20"/>
                        <w:sz w:val="18"/>
                        <w:szCs w:val="18"/>
                      </w:rPr>
                    </w:pPr>
                  </w:p>
                </w:tc>
                <w:tc>
                  <w:tcPr>
                    <w:tcW w:w="330" w:type="pct"/>
                  </w:tcPr>
                  <w:p w14:paraId="560648C3" w14:textId="77777777" w:rsidR="007E7472" w:rsidRDefault="00C8327E">
                    <w:pPr>
                      <w:jc w:val="right"/>
                      <w:rPr>
                        <w:spacing w:val="-20"/>
                        <w:sz w:val="18"/>
                        <w:szCs w:val="18"/>
                      </w:rPr>
                    </w:pPr>
                  </w:p>
                </w:tc>
                <w:tc>
                  <w:tcPr>
                    <w:tcW w:w="356" w:type="pct"/>
                  </w:tcPr>
                  <w:p w14:paraId="4A22471E" w14:textId="77777777" w:rsidR="007E7472" w:rsidRDefault="00C8327E">
                    <w:pPr>
                      <w:jc w:val="right"/>
                      <w:rPr>
                        <w:spacing w:val="-20"/>
                        <w:sz w:val="18"/>
                        <w:szCs w:val="18"/>
                      </w:rPr>
                    </w:pPr>
                  </w:p>
                </w:tc>
              </w:tr>
              <w:tr w:rsidR="007E7472" w14:paraId="7AD05F93" w14:textId="77777777">
                <w:sdt>
                  <w:sdtPr>
                    <w:tag w:val="_PLD_03ab84b7536c4ddcaaad4c99a2dd5fd3"/>
                    <w:id w:val="995386690"/>
                    <w:lock w:val="sdtLocked"/>
                  </w:sdtPr>
                  <w:sdtEndPr/>
                  <w:sdtContent>
                    <w:tc>
                      <w:tcPr>
                        <w:tcW w:w="610" w:type="pct"/>
                      </w:tcPr>
                      <w:p w14:paraId="7F81BF56" w14:textId="77777777" w:rsidR="007E7472" w:rsidRDefault="00EC1269">
                        <w:pPr>
                          <w:rPr>
                            <w:sz w:val="18"/>
                            <w:szCs w:val="18"/>
                          </w:rPr>
                        </w:pPr>
                        <w:r>
                          <w:rPr>
                            <w:sz w:val="18"/>
                            <w:szCs w:val="18"/>
                          </w:rPr>
                          <w:t>（</w:t>
                        </w:r>
                        <w:r>
                          <w:rPr>
                            <w:rFonts w:hint="eastAsia"/>
                            <w:sz w:val="18"/>
                            <w:szCs w:val="18"/>
                          </w:rPr>
                          <w:t>四</w:t>
                        </w:r>
                        <w:r>
                          <w:rPr>
                            <w:sz w:val="18"/>
                            <w:szCs w:val="18"/>
                          </w:rPr>
                          <w:t>）所有者权益内部结转</w:t>
                        </w:r>
                      </w:p>
                    </w:tc>
                  </w:sdtContent>
                </w:sdt>
                <w:tc>
                  <w:tcPr>
                    <w:tcW w:w="305" w:type="pct"/>
                  </w:tcPr>
                  <w:p w14:paraId="2F9652A9" w14:textId="77777777" w:rsidR="007E7472" w:rsidRDefault="00C8327E">
                    <w:pPr>
                      <w:jc w:val="right"/>
                      <w:rPr>
                        <w:spacing w:val="-20"/>
                        <w:sz w:val="18"/>
                        <w:szCs w:val="18"/>
                      </w:rPr>
                    </w:pPr>
                  </w:p>
                </w:tc>
                <w:tc>
                  <w:tcPr>
                    <w:tcW w:w="192" w:type="pct"/>
                  </w:tcPr>
                  <w:p w14:paraId="34EDE028" w14:textId="77777777" w:rsidR="007E7472" w:rsidRDefault="00C8327E">
                    <w:pPr>
                      <w:jc w:val="right"/>
                      <w:rPr>
                        <w:spacing w:val="-20"/>
                        <w:sz w:val="18"/>
                        <w:szCs w:val="18"/>
                      </w:rPr>
                    </w:pPr>
                  </w:p>
                </w:tc>
                <w:tc>
                  <w:tcPr>
                    <w:tcW w:w="330" w:type="pct"/>
                  </w:tcPr>
                  <w:p w14:paraId="24BD324E" w14:textId="77777777" w:rsidR="007E7472" w:rsidRDefault="00C8327E">
                    <w:pPr>
                      <w:jc w:val="right"/>
                      <w:rPr>
                        <w:spacing w:val="-20"/>
                        <w:sz w:val="18"/>
                        <w:szCs w:val="18"/>
                      </w:rPr>
                    </w:pPr>
                  </w:p>
                </w:tc>
                <w:tc>
                  <w:tcPr>
                    <w:tcW w:w="147" w:type="pct"/>
                  </w:tcPr>
                  <w:p w14:paraId="093F90AA" w14:textId="77777777" w:rsidR="007E7472" w:rsidRDefault="00C8327E">
                    <w:pPr>
                      <w:jc w:val="right"/>
                      <w:rPr>
                        <w:spacing w:val="-20"/>
                        <w:sz w:val="18"/>
                        <w:szCs w:val="18"/>
                      </w:rPr>
                    </w:pPr>
                  </w:p>
                </w:tc>
                <w:tc>
                  <w:tcPr>
                    <w:tcW w:w="358" w:type="pct"/>
                  </w:tcPr>
                  <w:p w14:paraId="669D7151" w14:textId="77777777" w:rsidR="007E7472" w:rsidRDefault="00C8327E">
                    <w:pPr>
                      <w:jc w:val="right"/>
                      <w:rPr>
                        <w:spacing w:val="-20"/>
                        <w:sz w:val="18"/>
                        <w:szCs w:val="18"/>
                      </w:rPr>
                    </w:pPr>
                  </w:p>
                </w:tc>
                <w:tc>
                  <w:tcPr>
                    <w:tcW w:w="256" w:type="pct"/>
                  </w:tcPr>
                  <w:p w14:paraId="41112D08" w14:textId="77777777" w:rsidR="007E7472" w:rsidRDefault="00C8327E">
                    <w:pPr>
                      <w:jc w:val="right"/>
                      <w:rPr>
                        <w:spacing w:val="-20"/>
                        <w:sz w:val="18"/>
                        <w:szCs w:val="18"/>
                      </w:rPr>
                    </w:pPr>
                  </w:p>
                </w:tc>
                <w:tc>
                  <w:tcPr>
                    <w:tcW w:w="356" w:type="pct"/>
                  </w:tcPr>
                  <w:p w14:paraId="4AF9685E" w14:textId="77777777" w:rsidR="007E7472" w:rsidRDefault="00C8327E">
                    <w:pPr>
                      <w:jc w:val="right"/>
                      <w:rPr>
                        <w:spacing w:val="-20"/>
                        <w:sz w:val="18"/>
                        <w:szCs w:val="18"/>
                      </w:rPr>
                    </w:pPr>
                  </w:p>
                </w:tc>
                <w:tc>
                  <w:tcPr>
                    <w:tcW w:w="305" w:type="pct"/>
                  </w:tcPr>
                  <w:p w14:paraId="5D25BD88" w14:textId="77777777" w:rsidR="007E7472" w:rsidRDefault="00C8327E">
                    <w:pPr>
                      <w:jc w:val="right"/>
                      <w:rPr>
                        <w:spacing w:val="-20"/>
                        <w:sz w:val="18"/>
                        <w:szCs w:val="18"/>
                      </w:rPr>
                    </w:pPr>
                  </w:p>
                </w:tc>
                <w:tc>
                  <w:tcPr>
                    <w:tcW w:w="255" w:type="pct"/>
                  </w:tcPr>
                  <w:p w14:paraId="0BE4ED04" w14:textId="77777777" w:rsidR="007E7472" w:rsidRDefault="00C8327E">
                    <w:pPr>
                      <w:jc w:val="right"/>
                      <w:rPr>
                        <w:spacing w:val="-20"/>
                        <w:sz w:val="18"/>
                        <w:szCs w:val="18"/>
                      </w:rPr>
                    </w:pPr>
                  </w:p>
                </w:tc>
                <w:tc>
                  <w:tcPr>
                    <w:tcW w:w="219" w:type="pct"/>
                  </w:tcPr>
                  <w:p w14:paraId="6865676D" w14:textId="77777777" w:rsidR="007E7472" w:rsidRDefault="00C8327E">
                    <w:pPr>
                      <w:jc w:val="right"/>
                      <w:rPr>
                        <w:spacing w:val="-20"/>
                        <w:sz w:val="18"/>
                        <w:szCs w:val="18"/>
                      </w:rPr>
                    </w:pPr>
                  </w:p>
                </w:tc>
                <w:tc>
                  <w:tcPr>
                    <w:tcW w:w="398" w:type="pct"/>
                  </w:tcPr>
                  <w:p w14:paraId="153DAA8D" w14:textId="77777777" w:rsidR="007E7472" w:rsidRDefault="00C8327E">
                    <w:pPr>
                      <w:jc w:val="right"/>
                      <w:rPr>
                        <w:spacing w:val="-20"/>
                        <w:sz w:val="18"/>
                        <w:szCs w:val="18"/>
                      </w:rPr>
                    </w:pPr>
                  </w:p>
                </w:tc>
                <w:tc>
                  <w:tcPr>
                    <w:tcW w:w="205" w:type="pct"/>
                  </w:tcPr>
                  <w:p w14:paraId="79C4908D" w14:textId="77777777" w:rsidR="007E7472" w:rsidRDefault="00C8327E">
                    <w:pPr>
                      <w:jc w:val="right"/>
                      <w:rPr>
                        <w:spacing w:val="-20"/>
                        <w:sz w:val="18"/>
                        <w:szCs w:val="18"/>
                      </w:rPr>
                    </w:pPr>
                  </w:p>
                </w:tc>
                <w:tc>
                  <w:tcPr>
                    <w:tcW w:w="379" w:type="pct"/>
                  </w:tcPr>
                  <w:p w14:paraId="04EA6D4F" w14:textId="77777777" w:rsidR="007E7472" w:rsidRDefault="00C8327E">
                    <w:pPr>
                      <w:jc w:val="right"/>
                      <w:rPr>
                        <w:spacing w:val="-20"/>
                        <w:sz w:val="18"/>
                        <w:szCs w:val="18"/>
                      </w:rPr>
                    </w:pPr>
                  </w:p>
                </w:tc>
                <w:tc>
                  <w:tcPr>
                    <w:tcW w:w="330" w:type="pct"/>
                  </w:tcPr>
                  <w:p w14:paraId="30701B62" w14:textId="77777777" w:rsidR="007E7472" w:rsidRDefault="00C8327E">
                    <w:pPr>
                      <w:jc w:val="right"/>
                      <w:rPr>
                        <w:spacing w:val="-20"/>
                        <w:sz w:val="18"/>
                        <w:szCs w:val="18"/>
                      </w:rPr>
                    </w:pPr>
                  </w:p>
                </w:tc>
                <w:tc>
                  <w:tcPr>
                    <w:tcW w:w="356" w:type="pct"/>
                  </w:tcPr>
                  <w:p w14:paraId="57D75478" w14:textId="77777777" w:rsidR="007E7472" w:rsidRDefault="00C8327E">
                    <w:pPr>
                      <w:jc w:val="right"/>
                      <w:rPr>
                        <w:spacing w:val="-20"/>
                        <w:sz w:val="18"/>
                        <w:szCs w:val="18"/>
                      </w:rPr>
                    </w:pPr>
                  </w:p>
                </w:tc>
              </w:tr>
              <w:tr w:rsidR="007E7472" w14:paraId="6EF1C322" w14:textId="77777777">
                <w:sdt>
                  <w:sdtPr>
                    <w:tag w:val="_PLD_88233f88b9ea4ceb82a1cc6cd7a5030d"/>
                    <w:id w:val="-506363363"/>
                    <w:lock w:val="sdtLocked"/>
                  </w:sdtPr>
                  <w:sdtEndPr/>
                  <w:sdtContent>
                    <w:tc>
                      <w:tcPr>
                        <w:tcW w:w="610" w:type="pct"/>
                      </w:tcPr>
                      <w:p w14:paraId="26EF7E65" w14:textId="77777777" w:rsidR="007E7472" w:rsidRDefault="00EC1269">
                        <w:pPr>
                          <w:rPr>
                            <w:sz w:val="18"/>
                            <w:szCs w:val="18"/>
                          </w:rPr>
                        </w:pPr>
                        <w:r>
                          <w:rPr>
                            <w:sz w:val="18"/>
                            <w:szCs w:val="18"/>
                          </w:rPr>
                          <w:t>1．资本公积转增资本（或股本）</w:t>
                        </w:r>
                      </w:p>
                    </w:tc>
                  </w:sdtContent>
                </w:sdt>
                <w:tc>
                  <w:tcPr>
                    <w:tcW w:w="305" w:type="pct"/>
                  </w:tcPr>
                  <w:p w14:paraId="4CD0A30F" w14:textId="77777777" w:rsidR="007E7472" w:rsidRDefault="00C8327E">
                    <w:pPr>
                      <w:jc w:val="right"/>
                      <w:rPr>
                        <w:spacing w:val="-20"/>
                        <w:sz w:val="18"/>
                        <w:szCs w:val="18"/>
                      </w:rPr>
                    </w:pPr>
                  </w:p>
                </w:tc>
                <w:tc>
                  <w:tcPr>
                    <w:tcW w:w="192" w:type="pct"/>
                  </w:tcPr>
                  <w:p w14:paraId="7B0C6364" w14:textId="77777777" w:rsidR="007E7472" w:rsidRDefault="00C8327E">
                    <w:pPr>
                      <w:jc w:val="right"/>
                      <w:rPr>
                        <w:spacing w:val="-20"/>
                        <w:sz w:val="18"/>
                        <w:szCs w:val="18"/>
                      </w:rPr>
                    </w:pPr>
                  </w:p>
                </w:tc>
                <w:tc>
                  <w:tcPr>
                    <w:tcW w:w="330" w:type="pct"/>
                  </w:tcPr>
                  <w:p w14:paraId="254DF794" w14:textId="77777777" w:rsidR="007E7472" w:rsidRDefault="00C8327E">
                    <w:pPr>
                      <w:jc w:val="right"/>
                      <w:rPr>
                        <w:spacing w:val="-20"/>
                        <w:sz w:val="18"/>
                        <w:szCs w:val="18"/>
                      </w:rPr>
                    </w:pPr>
                  </w:p>
                </w:tc>
                <w:tc>
                  <w:tcPr>
                    <w:tcW w:w="147" w:type="pct"/>
                  </w:tcPr>
                  <w:p w14:paraId="3B1FB32C" w14:textId="77777777" w:rsidR="007E7472" w:rsidRDefault="00C8327E">
                    <w:pPr>
                      <w:jc w:val="right"/>
                      <w:rPr>
                        <w:spacing w:val="-20"/>
                        <w:sz w:val="18"/>
                        <w:szCs w:val="18"/>
                      </w:rPr>
                    </w:pPr>
                  </w:p>
                </w:tc>
                <w:tc>
                  <w:tcPr>
                    <w:tcW w:w="358" w:type="pct"/>
                  </w:tcPr>
                  <w:p w14:paraId="4A29609F" w14:textId="77777777" w:rsidR="007E7472" w:rsidRDefault="00C8327E">
                    <w:pPr>
                      <w:jc w:val="right"/>
                      <w:rPr>
                        <w:spacing w:val="-20"/>
                        <w:sz w:val="18"/>
                        <w:szCs w:val="18"/>
                      </w:rPr>
                    </w:pPr>
                  </w:p>
                </w:tc>
                <w:tc>
                  <w:tcPr>
                    <w:tcW w:w="256" w:type="pct"/>
                  </w:tcPr>
                  <w:p w14:paraId="306C9219" w14:textId="77777777" w:rsidR="007E7472" w:rsidRDefault="00C8327E">
                    <w:pPr>
                      <w:jc w:val="right"/>
                      <w:rPr>
                        <w:spacing w:val="-20"/>
                        <w:sz w:val="18"/>
                        <w:szCs w:val="18"/>
                      </w:rPr>
                    </w:pPr>
                  </w:p>
                </w:tc>
                <w:tc>
                  <w:tcPr>
                    <w:tcW w:w="356" w:type="pct"/>
                  </w:tcPr>
                  <w:p w14:paraId="502D96DB" w14:textId="77777777" w:rsidR="007E7472" w:rsidRDefault="00C8327E">
                    <w:pPr>
                      <w:jc w:val="right"/>
                      <w:rPr>
                        <w:spacing w:val="-20"/>
                        <w:sz w:val="18"/>
                        <w:szCs w:val="18"/>
                      </w:rPr>
                    </w:pPr>
                  </w:p>
                </w:tc>
                <w:tc>
                  <w:tcPr>
                    <w:tcW w:w="305" w:type="pct"/>
                  </w:tcPr>
                  <w:p w14:paraId="00013E3B" w14:textId="77777777" w:rsidR="007E7472" w:rsidRDefault="00C8327E">
                    <w:pPr>
                      <w:jc w:val="right"/>
                      <w:rPr>
                        <w:spacing w:val="-20"/>
                        <w:sz w:val="18"/>
                        <w:szCs w:val="18"/>
                      </w:rPr>
                    </w:pPr>
                  </w:p>
                </w:tc>
                <w:tc>
                  <w:tcPr>
                    <w:tcW w:w="255" w:type="pct"/>
                  </w:tcPr>
                  <w:p w14:paraId="4ABD1BC6" w14:textId="77777777" w:rsidR="007E7472" w:rsidRDefault="00C8327E">
                    <w:pPr>
                      <w:jc w:val="right"/>
                      <w:rPr>
                        <w:spacing w:val="-20"/>
                        <w:sz w:val="18"/>
                        <w:szCs w:val="18"/>
                      </w:rPr>
                    </w:pPr>
                  </w:p>
                </w:tc>
                <w:tc>
                  <w:tcPr>
                    <w:tcW w:w="219" w:type="pct"/>
                  </w:tcPr>
                  <w:p w14:paraId="53DF5991" w14:textId="77777777" w:rsidR="007E7472" w:rsidRDefault="00C8327E">
                    <w:pPr>
                      <w:jc w:val="right"/>
                      <w:rPr>
                        <w:spacing w:val="-20"/>
                        <w:sz w:val="18"/>
                        <w:szCs w:val="18"/>
                      </w:rPr>
                    </w:pPr>
                  </w:p>
                </w:tc>
                <w:tc>
                  <w:tcPr>
                    <w:tcW w:w="398" w:type="pct"/>
                  </w:tcPr>
                  <w:p w14:paraId="3A7BE0D3" w14:textId="77777777" w:rsidR="007E7472" w:rsidRDefault="00C8327E">
                    <w:pPr>
                      <w:jc w:val="right"/>
                      <w:rPr>
                        <w:spacing w:val="-20"/>
                        <w:sz w:val="18"/>
                        <w:szCs w:val="18"/>
                      </w:rPr>
                    </w:pPr>
                  </w:p>
                </w:tc>
                <w:tc>
                  <w:tcPr>
                    <w:tcW w:w="205" w:type="pct"/>
                  </w:tcPr>
                  <w:p w14:paraId="3D6CCDA1" w14:textId="77777777" w:rsidR="007E7472" w:rsidRDefault="00C8327E">
                    <w:pPr>
                      <w:jc w:val="right"/>
                      <w:rPr>
                        <w:spacing w:val="-20"/>
                        <w:sz w:val="18"/>
                        <w:szCs w:val="18"/>
                      </w:rPr>
                    </w:pPr>
                  </w:p>
                </w:tc>
                <w:tc>
                  <w:tcPr>
                    <w:tcW w:w="379" w:type="pct"/>
                  </w:tcPr>
                  <w:p w14:paraId="12195E33" w14:textId="77777777" w:rsidR="007E7472" w:rsidRDefault="00C8327E">
                    <w:pPr>
                      <w:jc w:val="right"/>
                      <w:rPr>
                        <w:spacing w:val="-20"/>
                        <w:sz w:val="18"/>
                        <w:szCs w:val="18"/>
                      </w:rPr>
                    </w:pPr>
                  </w:p>
                </w:tc>
                <w:tc>
                  <w:tcPr>
                    <w:tcW w:w="330" w:type="pct"/>
                  </w:tcPr>
                  <w:p w14:paraId="723F93A8" w14:textId="77777777" w:rsidR="007E7472" w:rsidRDefault="00C8327E">
                    <w:pPr>
                      <w:jc w:val="right"/>
                      <w:rPr>
                        <w:spacing w:val="-20"/>
                        <w:sz w:val="18"/>
                        <w:szCs w:val="18"/>
                      </w:rPr>
                    </w:pPr>
                  </w:p>
                </w:tc>
                <w:tc>
                  <w:tcPr>
                    <w:tcW w:w="356" w:type="pct"/>
                  </w:tcPr>
                  <w:p w14:paraId="0C1078AA" w14:textId="77777777" w:rsidR="007E7472" w:rsidRDefault="00C8327E">
                    <w:pPr>
                      <w:jc w:val="right"/>
                      <w:rPr>
                        <w:spacing w:val="-20"/>
                        <w:sz w:val="18"/>
                        <w:szCs w:val="18"/>
                      </w:rPr>
                    </w:pPr>
                  </w:p>
                </w:tc>
              </w:tr>
              <w:tr w:rsidR="007E7472" w14:paraId="4DB06764" w14:textId="77777777">
                <w:sdt>
                  <w:sdtPr>
                    <w:tag w:val="_PLD_4a9492c5a232434296cfdef5eeded778"/>
                    <w:id w:val="-150998507"/>
                    <w:lock w:val="sdtLocked"/>
                  </w:sdtPr>
                  <w:sdtEndPr/>
                  <w:sdtContent>
                    <w:tc>
                      <w:tcPr>
                        <w:tcW w:w="610" w:type="pct"/>
                      </w:tcPr>
                      <w:p w14:paraId="4BD7E417" w14:textId="77777777" w:rsidR="007E7472" w:rsidRDefault="00EC1269">
                        <w:pPr>
                          <w:rPr>
                            <w:sz w:val="18"/>
                            <w:szCs w:val="18"/>
                          </w:rPr>
                        </w:pPr>
                        <w:r>
                          <w:rPr>
                            <w:sz w:val="18"/>
                            <w:szCs w:val="18"/>
                          </w:rPr>
                          <w:t>2．盈余公积转增资本（或股本）</w:t>
                        </w:r>
                      </w:p>
                    </w:tc>
                  </w:sdtContent>
                </w:sdt>
                <w:tc>
                  <w:tcPr>
                    <w:tcW w:w="305" w:type="pct"/>
                  </w:tcPr>
                  <w:p w14:paraId="34562032" w14:textId="77777777" w:rsidR="007E7472" w:rsidRDefault="00C8327E">
                    <w:pPr>
                      <w:jc w:val="right"/>
                      <w:rPr>
                        <w:spacing w:val="-20"/>
                        <w:sz w:val="18"/>
                        <w:szCs w:val="18"/>
                      </w:rPr>
                    </w:pPr>
                  </w:p>
                </w:tc>
                <w:tc>
                  <w:tcPr>
                    <w:tcW w:w="192" w:type="pct"/>
                  </w:tcPr>
                  <w:p w14:paraId="671DEFD5" w14:textId="77777777" w:rsidR="007E7472" w:rsidRDefault="00C8327E">
                    <w:pPr>
                      <w:jc w:val="right"/>
                      <w:rPr>
                        <w:spacing w:val="-20"/>
                        <w:sz w:val="18"/>
                        <w:szCs w:val="18"/>
                      </w:rPr>
                    </w:pPr>
                  </w:p>
                </w:tc>
                <w:tc>
                  <w:tcPr>
                    <w:tcW w:w="330" w:type="pct"/>
                  </w:tcPr>
                  <w:p w14:paraId="0286BE23" w14:textId="77777777" w:rsidR="007E7472" w:rsidRDefault="00C8327E">
                    <w:pPr>
                      <w:jc w:val="right"/>
                      <w:rPr>
                        <w:spacing w:val="-20"/>
                        <w:sz w:val="18"/>
                        <w:szCs w:val="18"/>
                      </w:rPr>
                    </w:pPr>
                  </w:p>
                </w:tc>
                <w:tc>
                  <w:tcPr>
                    <w:tcW w:w="147" w:type="pct"/>
                  </w:tcPr>
                  <w:p w14:paraId="0638EC95" w14:textId="77777777" w:rsidR="007E7472" w:rsidRDefault="00C8327E">
                    <w:pPr>
                      <w:jc w:val="right"/>
                      <w:rPr>
                        <w:spacing w:val="-20"/>
                        <w:sz w:val="18"/>
                        <w:szCs w:val="18"/>
                      </w:rPr>
                    </w:pPr>
                  </w:p>
                </w:tc>
                <w:tc>
                  <w:tcPr>
                    <w:tcW w:w="358" w:type="pct"/>
                  </w:tcPr>
                  <w:p w14:paraId="50D8B585" w14:textId="77777777" w:rsidR="007E7472" w:rsidRDefault="00C8327E">
                    <w:pPr>
                      <w:jc w:val="right"/>
                      <w:rPr>
                        <w:spacing w:val="-20"/>
                        <w:sz w:val="18"/>
                        <w:szCs w:val="18"/>
                      </w:rPr>
                    </w:pPr>
                  </w:p>
                </w:tc>
                <w:tc>
                  <w:tcPr>
                    <w:tcW w:w="256" w:type="pct"/>
                  </w:tcPr>
                  <w:p w14:paraId="24B8924A" w14:textId="77777777" w:rsidR="007E7472" w:rsidRDefault="00C8327E">
                    <w:pPr>
                      <w:jc w:val="right"/>
                      <w:rPr>
                        <w:spacing w:val="-20"/>
                        <w:sz w:val="18"/>
                        <w:szCs w:val="18"/>
                      </w:rPr>
                    </w:pPr>
                  </w:p>
                </w:tc>
                <w:tc>
                  <w:tcPr>
                    <w:tcW w:w="356" w:type="pct"/>
                  </w:tcPr>
                  <w:p w14:paraId="57D0E96A" w14:textId="77777777" w:rsidR="007E7472" w:rsidRDefault="00C8327E">
                    <w:pPr>
                      <w:jc w:val="right"/>
                      <w:rPr>
                        <w:spacing w:val="-20"/>
                        <w:sz w:val="18"/>
                        <w:szCs w:val="18"/>
                      </w:rPr>
                    </w:pPr>
                  </w:p>
                </w:tc>
                <w:tc>
                  <w:tcPr>
                    <w:tcW w:w="305" w:type="pct"/>
                  </w:tcPr>
                  <w:p w14:paraId="04975AC2" w14:textId="77777777" w:rsidR="007E7472" w:rsidRDefault="00C8327E">
                    <w:pPr>
                      <w:jc w:val="right"/>
                      <w:rPr>
                        <w:spacing w:val="-20"/>
                        <w:sz w:val="18"/>
                        <w:szCs w:val="18"/>
                      </w:rPr>
                    </w:pPr>
                  </w:p>
                </w:tc>
                <w:tc>
                  <w:tcPr>
                    <w:tcW w:w="255" w:type="pct"/>
                  </w:tcPr>
                  <w:p w14:paraId="3D817063" w14:textId="77777777" w:rsidR="007E7472" w:rsidRDefault="00C8327E">
                    <w:pPr>
                      <w:jc w:val="right"/>
                      <w:rPr>
                        <w:spacing w:val="-20"/>
                        <w:sz w:val="18"/>
                        <w:szCs w:val="18"/>
                      </w:rPr>
                    </w:pPr>
                  </w:p>
                </w:tc>
                <w:tc>
                  <w:tcPr>
                    <w:tcW w:w="219" w:type="pct"/>
                  </w:tcPr>
                  <w:p w14:paraId="29C14A60" w14:textId="77777777" w:rsidR="007E7472" w:rsidRDefault="00C8327E">
                    <w:pPr>
                      <w:jc w:val="right"/>
                      <w:rPr>
                        <w:spacing w:val="-20"/>
                        <w:sz w:val="18"/>
                        <w:szCs w:val="18"/>
                      </w:rPr>
                    </w:pPr>
                  </w:p>
                </w:tc>
                <w:tc>
                  <w:tcPr>
                    <w:tcW w:w="398" w:type="pct"/>
                  </w:tcPr>
                  <w:p w14:paraId="774F187E" w14:textId="77777777" w:rsidR="007E7472" w:rsidRDefault="00C8327E">
                    <w:pPr>
                      <w:jc w:val="right"/>
                      <w:rPr>
                        <w:spacing w:val="-20"/>
                        <w:sz w:val="18"/>
                        <w:szCs w:val="18"/>
                      </w:rPr>
                    </w:pPr>
                  </w:p>
                </w:tc>
                <w:tc>
                  <w:tcPr>
                    <w:tcW w:w="205" w:type="pct"/>
                  </w:tcPr>
                  <w:p w14:paraId="306B8EE3" w14:textId="77777777" w:rsidR="007E7472" w:rsidRDefault="00C8327E">
                    <w:pPr>
                      <w:jc w:val="right"/>
                      <w:rPr>
                        <w:spacing w:val="-20"/>
                        <w:sz w:val="18"/>
                        <w:szCs w:val="18"/>
                      </w:rPr>
                    </w:pPr>
                  </w:p>
                </w:tc>
                <w:tc>
                  <w:tcPr>
                    <w:tcW w:w="379" w:type="pct"/>
                  </w:tcPr>
                  <w:p w14:paraId="295570B6" w14:textId="77777777" w:rsidR="007E7472" w:rsidRDefault="00C8327E">
                    <w:pPr>
                      <w:jc w:val="right"/>
                      <w:rPr>
                        <w:spacing w:val="-20"/>
                        <w:sz w:val="18"/>
                        <w:szCs w:val="18"/>
                      </w:rPr>
                    </w:pPr>
                  </w:p>
                </w:tc>
                <w:tc>
                  <w:tcPr>
                    <w:tcW w:w="330" w:type="pct"/>
                  </w:tcPr>
                  <w:p w14:paraId="4DD1AC37" w14:textId="77777777" w:rsidR="007E7472" w:rsidRDefault="00C8327E">
                    <w:pPr>
                      <w:jc w:val="right"/>
                      <w:rPr>
                        <w:spacing w:val="-20"/>
                        <w:sz w:val="18"/>
                        <w:szCs w:val="18"/>
                      </w:rPr>
                    </w:pPr>
                  </w:p>
                </w:tc>
                <w:tc>
                  <w:tcPr>
                    <w:tcW w:w="356" w:type="pct"/>
                  </w:tcPr>
                  <w:p w14:paraId="7FC8995C" w14:textId="77777777" w:rsidR="007E7472" w:rsidRDefault="00C8327E">
                    <w:pPr>
                      <w:jc w:val="right"/>
                      <w:rPr>
                        <w:spacing w:val="-20"/>
                        <w:sz w:val="18"/>
                        <w:szCs w:val="18"/>
                      </w:rPr>
                    </w:pPr>
                  </w:p>
                </w:tc>
              </w:tr>
              <w:tr w:rsidR="007E7472" w14:paraId="3257C040" w14:textId="77777777">
                <w:sdt>
                  <w:sdtPr>
                    <w:tag w:val="_PLD_25911664beff496799fc3193be7c3182"/>
                    <w:id w:val="2034296366"/>
                    <w:lock w:val="sdtLocked"/>
                  </w:sdtPr>
                  <w:sdtEndPr/>
                  <w:sdtContent>
                    <w:tc>
                      <w:tcPr>
                        <w:tcW w:w="610" w:type="pct"/>
                      </w:tcPr>
                      <w:p w14:paraId="037B42AB" w14:textId="77777777" w:rsidR="007E7472" w:rsidRDefault="00EC1269">
                        <w:pPr>
                          <w:rPr>
                            <w:sz w:val="18"/>
                            <w:szCs w:val="18"/>
                          </w:rPr>
                        </w:pPr>
                        <w:r>
                          <w:rPr>
                            <w:sz w:val="18"/>
                            <w:szCs w:val="18"/>
                          </w:rPr>
                          <w:t>3．盈余公积弥补亏损</w:t>
                        </w:r>
                      </w:p>
                    </w:tc>
                  </w:sdtContent>
                </w:sdt>
                <w:tc>
                  <w:tcPr>
                    <w:tcW w:w="305" w:type="pct"/>
                  </w:tcPr>
                  <w:p w14:paraId="2AB95DB5" w14:textId="77777777" w:rsidR="007E7472" w:rsidRDefault="00C8327E">
                    <w:pPr>
                      <w:jc w:val="right"/>
                      <w:rPr>
                        <w:spacing w:val="-20"/>
                        <w:sz w:val="18"/>
                        <w:szCs w:val="18"/>
                      </w:rPr>
                    </w:pPr>
                  </w:p>
                </w:tc>
                <w:tc>
                  <w:tcPr>
                    <w:tcW w:w="192" w:type="pct"/>
                  </w:tcPr>
                  <w:p w14:paraId="244CBC73" w14:textId="77777777" w:rsidR="007E7472" w:rsidRDefault="00C8327E">
                    <w:pPr>
                      <w:jc w:val="right"/>
                      <w:rPr>
                        <w:spacing w:val="-20"/>
                        <w:sz w:val="18"/>
                        <w:szCs w:val="18"/>
                      </w:rPr>
                    </w:pPr>
                  </w:p>
                </w:tc>
                <w:tc>
                  <w:tcPr>
                    <w:tcW w:w="330" w:type="pct"/>
                  </w:tcPr>
                  <w:p w14:paraId="2EE65D7F" w14:textId="77777777" w:rsidR="007E7472" w:rsidRDefault="00C8327E">
                    <w:pPr>
                      <w:jc w:val="right"/>
                      <w:rPr>
                        <w:spacing w:val="-20"/>
                        <w:sz w:val="18"/>
                        <w:szCs w:val="18"/>
                      </w:rPr>
                    </w:pPr>
                  </w:p>
                </w:tc>
                <w:tc>
                  <w:tcPr>
                    <w:tcW w:w="147" w:type="pct"/>
                  </w:tcPr>
                  <w:p w14:paraId="569DA32F" w14:textId="77777777" w:rsidR="007E7472" w:rsidRDefault="00C8327E">
                    <w:pPr>
                      <w:jc w:val="right"/>
                      <w:rPr>
                        <w:spacing w:val="-20"/>
                        <w:sz w:val="18"/>
                        <w:szCs w:val="18"/>
                      </w:rPr>
                    </w:pPr>
                  </w:p>
                </w:tc>
                <w:tc>
                  <w:tcPr>
                    <w:tcW w:w="358" w:type="pct"/>
                  </w:tcPr>
                  <w:p w14:paraId="788A17F0" w14:textId="77777777" w:rsidR="007E7472" w:rsidRDefault="00C8327E">
                    <w:pPr>
                      <w:jc w:val="right"/>
                      <w:rPr>
                        <w:spacing w:val="-20"/>
                        <w:sz w:val="18"/>
                        <w:szCs w:val="18"/>
                      </w:rPr>
                    </w:pPr>
                  </w:p>
                </w:tc>
                <w:tc>
                  <w:tcPr>
                    <w:tcW w:w="256" w:type="pct"/>
                  </w:tcPr>
                  <w:p w14:paraId="64C55888" w14:textId="77777777" w:rsidR="007E7472" w:rsidRDefault="00C8327E">
                    <w:pPr>
                      <w:jc w:val="right"/>
                      <w:rPr>
                        <w:spacing w:val="-20"/>
                        <w:sz w:val="18"/>
                        <w:szCs w:val="18"/>
                      </w:rPr>
                    </w:pPr>
                  </w:p>
                </w:tc>
                <w:tc>
                  <w:tcPr>
                    <w:tcW w:w="356" w:type="pct"/>
                  </w:tcPr>
                  <w:p w14:paraId="01E24D79" w14:textId="77777777" w:rsidR="007E7472" w:rsidRDefault="00C8327E">
                    <w:pPr>
                      <w:jc w:val="right"/>
                      <w:rPr>
                        <w:spacing w:val="-20"/>
                        <w:sz w:val="18"/>
                        <w:szCs w:val="18"/>
                      </w:rPr>
                    </w:pPr>
                  </w:p>
                </w:tc>
                <w:tc>
                  <w:tcPr>
                    <w:tcW w:w="305" w:type="pct"/>
                  </w:tcPr>
                  <w:p w14:paraId="61C2DC4B" w14:textId="77777777" w:rsidR="007E7472" w:rsidRDefault="00C8327E">
                    <w:pPr>
                      <w:jc w:val="right"/>
                      <w:rPr>
                        <w:spacing w:val="-20"/>
                        <w:sz w:val="18"/>
                        <w:szCs w:val="18"/>
                      </w:rPr>
                    </w:pPr>
                  </w:p>
                </w:tc>
                <w:tc>
                  <w:tcPr>
                    <w:tcW w:w="255" w:type="pct"/>
                  </w:tcPr>
                  <w:p w14:paraId="0B8A1214" w14:textId="77777777" w:rsidR="007E7472" w:rsidRDefault="00C8327E">
                    <w:pPr>
                      <w:jc w:val="right"/>
                      <w:rPr>
                        <w:spacing w:val="-20"/>
                        <w:sz w:val="18"/>
                        <w:szCs w:val="18"/>
                      </w:rPr>
                    </w:pPr>
                  </w:p>
                </w:tc>
                <w:tc>
                  <w:tcPr>
                    <w:tcW w:w="219" w:type="pct"/>
                  </w:tcPr>
                  <w:p w14:paraId="4AE431CD" w14:textId="77777777" w:rsidR="007E7472" w:rsidRDefault="00C8327E">
                    <w:pPr>
                      <w:jc w:val="right"/>
                      <w:rPr>
                        <w:spacing w:val="-20"/>
                        <w:sz w:val="18"/>
                        <w:szCs w:val="18"/>
                      </w:rPr>
                    </w:pPr>
                  </w:p>
                </w:tc>
                <w:tc>
                  <w:tcPr>
                    <w:tcW w:w="398" w:type="pct"/>
                  </w:tcPr>
                  <w:p w14:paraId="2F576994" w14:textId="77777777" w:rsidR="007E7472" w:rsidRDefault="00C8327E">
                    <w:pPr>
                      <w:jc w:val="right"/>
                      <w:rPr>
                        <w:spacing w:val="-20"/>
                        <w:sz w:val="18"/>
                        <w:szCs w:val="18"/>
                      </w:rPr>
                    </w:pPr>
                  </w:p>
                </w:tc>
                <w:tc>
                  <w:tcPr>
                    <w:tcW w:w="205" w:type="pct"/>
                  </w:tcPr>
                  <w:p w14:paraId="477A2004" w14:textId="77777777" w:rsidR="007E7472" w:rsidRDefault="00C8327E">
                    <w:pPr>
                      <w:jc w:val="right"/>
                      <w:rPr>
                        <w:spacing w:val="-20"/>
                        <w:sz w:val="18"/>
                        <w:szCs w:val="18"/>
                      </w:rPr>
                    </w:pPr>
                  </w:p>
                </w:tc>
                <w:tc>
                  <w:tcPr>
                    <w:tcW w:w="379" w:type="pct"/>
                  </w:tcPr>
                  <w:p w14:paraId="332B1DB5" w14:textId="77777777" w:rsidR="007E7472" w:rsidRDefault="00C8327E">
                    <w:pPr>
                      <w:jc w:val="right"/>
                      <w:rPr>
                        <w:spacing w:val="-20"/>
                        <w:sz w:val="18"/>
                        <w:szCs w:val="18"/>
                      </w:rPr>
                    </w:pPr>
                  </w:p>
                </w:tc>
                <w:tc>
                  <w:tcPr>
                    <w:tcW w:w="330" w:type="pct"/>
                  </w:tcPr>
                  <w:p w14:paraId="181F83F2" w14:textId="77777777" w:rsidR="007E7472" w:rsidRDefault="00C8327E">
                    <w:pPr>
                      <w:jc w:val="right"/>
                      <w:rPr>
                        <w:spacing w:val="-20"/>
                        <w:sz w:val="18"/>
                        <w:szCs w:val="18"/>
                      </w:rPr>
                    </w:pPr>
                  </w:p>
                </w:tc>
                <w:tc>
                  <w:tcPr>
                    <w:tcW w:w="356" w:type="pct"/>
                  </w:tcPr>
                  <w:p w14:paraId="0C159091" w14:textId="77777777" w:rsidR="007E7472" w:rsidRDefault="00C8327E">
                    <w:pPr>
                      <w:jc w:val="right"/>
                      <w:rPr>
                        <w:spacing w:val="-20"/>
                        <w:sz w:val="18"/>
                        <w:szCs w:val="18"/>
                      </w:rPr>
                    </w:pPr>
                  </w:p>
                </w:tc>
              </w:tr>
              <w:tr w:rsidR="007E7472" w14:paraId="400FC94C" w14:textId="77777777">
                <w:tc>
                  <w:tcPr>
                    <w:tcW w:w="610" w:type="pct"/>
                  </w:tcPr>
                  <w:sdt>
                    <w:sdtPr>
                      <w:rPr>
                        <w:sz w:val="18"/>
                        <w:szCs w:val="18"/>
                      </w:rPr>
                      <w:tag w:val="_PLD_c2918ada9b53437193e4f9cfffa064e3"/>
                      <w:id w:val="-521926452"/>
                      <w:lock w:val="sdtLocked"/>
                    </w:sdtPr>
                    <w:sdtEndPr/>
                    <w:sdtContent>
                      <w:p w14:paraId="6B772C37" w14:textId="77777777" w:rsidR="007E7472" w:rsidRDefault="00EC1269">
                        <w:r>
                          <w:rPr>
                            <w:sz w:val="18"/>
                            <w:szCs w:val="18"/>
                          </w:rPr>
                          <w:t>4．设定受益计划变动额结转留存收益</w:t>
                        </w:r>
                      </w:p>
                    </w:sdtContent>
                  </w:sdt>
                </w:tc>
                <w:tc>
                  <w:tcPr>
                    <w:tcW w:w="305" w:type="pct"/>
                  </w:tcPr>
                  <w:p w14:paraId="55E8396F" w14:textId="77777777" w:rsidR="007E7472" w:rsidRDefault="00C8327E">
                    <w:pPr>
                      <w:jc w:val="right"/>
                      <w:rPr>
                        <w:spacing w:val="-20"/>
                        <w:sz w:val="18"/>
                        <w:szCs w:val="18"/>
                      </w:rPr>
                    </w:pPr>
                  </w:p>
                </w:tc>
                <w:tc>
                  <w:tcPr>
                    <w:tcW w:w="192" w:type="pct"/>
                  </w:tcPr>
                  <w:p w14:paraId="48F0301D" w14:textId="77777777" w:rsidR="007E7472" w:rsidRDefault="00C8327E">
                    <w:pPr>
                      <w:jc w:val="right"/>
                      <w:rPr>
                        <w:spacing w:val="-20"/>
                        <w:sz w:val="18"/>
                        <w:szCs w:val="18"/>
                      </w:rPr>
                    </w:pPr>
                  </w:p>
                </w:tc>
                <w:tc>
                  <w:tcPr>
                    <w:tcW w:w="330" w:type="pct"/>
                  </w:tcPr>
                  <w:p w14:paraId="4172ABBE" w14:textId="77777777" w:rsidR="007E7472" w:rsidRDefault="00C8327E">
                    <w:pPr>
                      <w:jc w:val="right"/>
                      <w:rPr>
                        <w:spacing w:val="-20"/>
                        <w:sz w:val="18"/>
                        <w:szCs w:val="18"/>
                      </w:rPr>
                    </w:pPr>
                  </w:p>
                </w:tc>
                <w:tc>
                  <w:tcPr>
                    <w:tcW w:w="147" w:type="pct"/>
                  </w:tcPr>
                  <w:p w14:paraId="67335E61" w14:textId="77777777" w:rsidR="007E7472" w:rsidRDefault="00C8327E">
                    <w:pPr>
                      <w:jc w:val="right"/>
                      <w:rPr>
                        <w:spacing w:val="-20"/>
                        <w:sz w:val="18"/>
                        <w:szCs w:val="18"/>
                      </w:rPr>
                    </w:pPr>
                  </w:p>
                </w:tc>
                <w:tc>
                  <w:tcPr>
                    <w:tcW w:w="358" w:type="pct"/>
                  </w:tcPr>
                  <w:p w14:paraId="38B89E95" w14:textId="77777777" w:rsidR="007E7472" w:rsidRDefault="00C8327E">
                    <w:pPr>
                      <w:jc w:val="right"/>
                      <w:rPr>
                        <w:spacing w:val="-20"/>
                        <w:sz w:val="18"/>
                        <w:szCs w:val="18"/>
                      </w:rPr>
                    </w:pPr>
                  </w:p>
                </w:tc>
                <w:tc>
                  <w:tcPr>
                    <w:tcW w:w="256" w:type="pct"/>
                  </w:tcPr>
                  <w:p w14:paraId="1DA890D3" w14:textId="77777777" w:rsidR="007E7472" w:rsidRDefault="00C8327E">
                    <w:pPr>
                      <w:jc w:val="right"/>
                      <w:rPr>
                        <w:spacing w:val="-20"/>
                        <w:sz w:val="18"/>
                        <w:szCs w:val="18"/>
                      </w:rPr>
                    </w:pPr>
                  </w:p>
                </w:tc>
                <w:tc>
                  <w:tcPr>
                    <w:tcW w:w="356" w:type="pct"/>
                  </w:tcPr>
                  <w:p w14:paraId="66C8A832" w14:textId="77777777" w:rsidR="007E7472" w:rsidRDefault="00C8327E">
                    <w:pPr>
                      <w:jc w:val="right"/>
                      <w:rPr>
                        <w:spacing w:val="-20"/>
                        <w:sz w:val="18"/>
                        <w:szCs w:val="18"/>
                      </w:rPr>
                    </w:pPr>
                  </w:p>
                </w:tc>
                <w:tc>
                  <w:tcPr>
                    <w:tcW w:w="305" w:type="pct"/>
                  </w:tcPr>
                  <w:p w14:paraId="3AE9732F" w14:textId="77777777" w:rsidR="007E7472" w:rsidRDefault="00C8327E">
                    <w:pPr>
                      <w:jc w:val="right"/>
                      <w:rPr>
                        <w:spacing w:val="-20"/>
                        <w:sz w:val="18"/>
                        <w:szCs w:val="18"/>
                      </w:rPr>
                    </w:pPr>
                  </w:p>
                </w:tc>
                <w:tc>
                  <w:tcPr>
                    <w:tcW w:w="255" w:type="pct"/>
                  </w:tcPr>
                  <w:p w14:paraId="28F4B6EE" w14:textId="77777777" w:rsidR="007E7472" w:rsidRDefault="00C8327E">
                    <w:pPr>
                      <w:jc w:val="right"/>
                      <w:rPr>
                        <w:spacing w:val="-20"/>
                        <w:sz w:val="18"/>
                        <w:szCs w:val="18"/>
                      </w:rPr>
                    </w:pPr>
                  </w:p>
                </w:tc>
                <w:tc>
                  <w:tcPr>
                    <w:tcW w:w="219" w:type="pct"/>
                  </w:tcPr>
                  <w:p w14:paraId="4F1A8EAB" w14:textId="77777777" w:rsidR="007E7472" w:rsidRDefault="00C8327E">
                    <w:pPr>
                      <w:jc w:val="right"/>
                      <w:rPr>
                        <w:spacing w:val="-20"/>
                        <w:sz w:val="18"/>
                        <w:szCs w:val="18"/>
                      </w:rPr>
                    </w:pPr>
                  </w:p>
                </w:tc>
                <w:tc>
                  <w:tcPr>
                    <w:tcW w:w="398" w:type="pct"/>
                  </w:tcPr>
                  <w:p w14:paraId="48E01787" w14:textId="77777777" w:rsidR="007E7472" w:rsidRDefault="00C8327E">
                    <w:pPr>
                      <w:jc w:val="right"/>
                      <w:rPr>
                        <w:spacing w:val="-20"/>
                        <w:sz w:val="18"/>
                        <w:szCs w:val="18"/>
                      </w:rPr>
                    </w:pPr>
                  </w:p>
                </w:tc>
                <w:tc>
                  <w:tcPr>
                    <w:tcW w:w="205" w:type="pct"/>
                  </w:tcPr>
                  <w:p w14:paraId="57F374FA" w14:textId="77777777" w:rsidR="007E7472" w:rsidRDefault="00C8327E">
                    <w:pPr>
                      <w:jc w:val="right"/>
                      <w:rPr>
                        <w:spacing w:val="-20"/>
                        <w:sz w:val="18"/>
                        <w:szCs w:val="18"/>
                      </w:rPr>
                    </w:pPr>
                  </w:p>
                </w:tc>
                <w:tc>
                  <w:tcPr>
                    <w:tcW w:w="379" w:type="pct"/>
                  </w:tcPr>
                  <w:p w14:paraId="31DB79FB" w14:textId="77777777" w:rsidR="007E7472" w:rsidRDefault="00C8327E">
                    <w:pPr>
                      <w:jc w:val="right"/>
                      <w:rPr>
                        <w:spacing w:val="-20"/>
                        <w:sz w:val="18"/>
                        <w:szCs w:val="18"/>
                      </w:rPr>
                    </w:pPr>
                  </w:p>
                </w:tc>
                <w:tc>
                  <w:tcPr>
                    <w:tcW w:w="330" w:type="pct"/>
                  </w:tcPr>
                  <w:p w14:paraId="4BE35FE2" w14:textId="77777777" w:rsidR="007E7472" w:rsidRDefault="00C8327E">
                    <w:pPr>
                      <w:jc w:val="right"/>
                      <w:rPr>
                        <w:spacing w:val="-20"/>
                        <w:sz w:val="18"/>
                        <w:szCs w:val="18"/>
                      </w:rPr>
                    </w:pPr>
                  </w:p>
                </w:tc>
                <w:tc>
                  <w:tcPr>
                    <w:tcW w:w="356" w:type="pct"/>
                  </w:tcPr>
                  <w:p w14:paraId="6CE248CD" w14:textId="77777777" w:rsidR="007E7472" w:rsidRDefault="00C8327E">
                    <w:pPr>
                      <w:jc w:val="right"/>
                      <w:rPr>
                        <w:spacing w:val="-20"/>
                        <w:sz w:val="18"/>
                        <w:szCs w:val="18"/>
                      </w:rPr>
                    </w:pPr>
                  </w:p>
                </w:tc>
              </w:tr>
              <w:tr w:rsidR="007E7472" w14:paraId="00CAB204" w14:textId="77777777">
                <w:tc>
                  <w:tcPr>
                    <w:tcW w:w="610" w:type="pct"/>
                  </w:tcPr>
                  <w:sdt>
                    <w:sdtPr>
                      <w:rPr>
                        <w:sz w:val="18"/>
                        <w:szCs w:val="18"/>
                      </w:rPr>
                      <w:tag w:val="_PLD_ea153cdd99f74bf1b50bc1743d25f429"/>
                      <w:id w:val="-788586789"/>
                      <w:lock w:val="sdtLocked"/>
                    </w:sdtPr>
                    <w:sdtEndPr/>
                    <w:sdtContent>
                      <w:p w14:paraId="38AA46F2" w14:textId="77777777" w:rsidR="007E7472" w:rsidRDefault="00EC1269">
                        <w:pPr>
                          <w:rPr>
                            <w:sz w:val="18"/>
                            <w:szCs w:val="18"/>
                          </w:rPr>
                        </w:pPr>
                        <w:r>
                          <w:rPr>
                            <w:sz w:val="18"/>
                            <w:szCs w:val="18"/>
                          </w:rPr>
                          <w:t>5．其他综合收益结转留存收益</w:t>
                        </w:r>
                      </w:p>
                    </w:sdtContent>
                  </w:sdt>
                </w:tc>
                <w:tc>
                  <w:tcPr>
                    <w:tcW w:w="305" w:type="pct"/>
                  </w:tcPr>
                  <w:p w14:paraId="77707FB0" w14:textId="77777777" w:rsidR="007E7472" w:rsidRDefault="00C8327E">
                    <w:pPr>
                      <w:jc w:val="right"/>
                      <w:rPr>
                        <w:spacing w:val="-20"/>
                        <w:sz w:val="18"/>
                        <w:szCs w:val="18"/>
                      </w:rPr>
                    </w:pPr>
                  </w:p>
                </w:tc>
                <w:tc>
                  <w:tcPr>
                    <w:tcW w:w="192" w:type="pct"/>
                  </w:tcPr>
                  <w:p w14:paraId="31DF719C" w14:textId="77777777" w:rsidR="007E7472" w:rsidRDefault="00C8327E">
                    <w:pPr>
                      <w:jc w:val="right"/>
                      <w:rPr>
                        <w:spacing w:val="-20"/>
                        <w:sz w:val="18"/>
                        <w:szCs w:val="18"/>
                      </w:rPr>
                    </w:pPr>
                  </w:p>
                </w:tc>
                <w:tc>
                  <w:tcPr>
                    <w:tcW w:w="330" w:type="pct"/>
                  </w:tcPr>
                  <w:p w14:paraId="64162C16" w14:textId="77777777" w:rsidR="007E7472" w:rsidRDefault="00C8327E">
                    <w:pPr>
                      <w:jc w:val="right"/>
                      <w:rPr>
                        <w:spacing w:val="-20"/>
                        <w:sz w:val="18"/>
                        <w:szCs w:val="18"/>
                      </w:rPr>
                    </w:pPr>
                  </w:p>
                </w:tc>
                <w:tc>
                  <w:tcPr>
                    <w:tcW w:w="147" w:type="pct"/>
                  </w:tcPr>
                  <w:p w14:paraId="41A62D98" w14:textId="77777777" w:rsidR="007E7472" w:rsidRDefault="00C8327E">
                    <w:pPr>
                      <w:jc w:val="right"/>
                      <w:rPr>
                        <w:spacing w:val="-20"/>
                        <w:sz w:val="18"/>
                        <w:szCs w:val="18"/>
                      </w:rPr>
                    </w:pPr>
                  </w:p>
                </w:tc>
                <w:tc>
                  <w:tcPr>
                    <w:tcW w:w="358" w:type="pct"/>
                  </w:tcPr>
                  <w:p w14:paraId="1F3005C0" w14:textId="77777777" w:rsidR="007E7472" w:rsidRDefault="00C8327E">
                    <w:pPr>
                      <w:jc w:val="right"/>
                      <w:rPr>
                        <w:spacing w:val="-20"/>
                        <w:sz w:val="18"/>
                        <w:szCs w:val="18"/>
                      </w:rPr>
                    </w:pPr>
                  </w:p>
                </w:tc>
                <w:tc>
                  <w:tcPr>
                    <w:tcW w:w="256" w:type="pct"/>
                  </w:tcPr>
                  <w:p w14:paraId="10594EF3" w14:textId="77777777" w:rsidR="007E7472" w:rsidRDefault="00C8327E">
                    <w:pPr>
                      <w:jc w:val="right"/>
                      <w:rPr>
                        <w:spacing w:val="-20"/>
                        <w:sz w:val="18"/>
                        <w:szCs w:val="18"/>
                      </w:rPr>
                    </w:pPr>
                  </w:p>
                </w:tc>
                <w:tc>
                  <w:tcPr>
                    <w:tcW w:w="356" w:type="pct"/>
                  </w:tcPr>
                  <w:p w14:paraId="4D367C98" w14:textId="77777777" w:rsidR="007E7472" w:rsidRDefault="00C8327E">
                    <w:pPr>
                      <w:jc w:val="right"/>
                      <w:rPr>
                        <w:spacing w:val="-20"/>
                        <w:sz w:val="18"/>
                        <w:szCs w:val="18"/>
                      </w:rPr>
                    </w:pPr>
                  </w:p>
                </w:tc>
                <w:tc>
                  <w:tcPr>
                    <w:tcW w:w="305" w:type="pct"/>
                  </w:tcPr>
                  <w:p w14:paraId="3E56B586" w14:textId="77777777" w:rsidR="007E7472" w:rsidRDefault="00C8327E">
                    <w:pPr>
                      <w:jc w:val="right"/>
                      <w:rPr>
                        <w:spacing w:val="-20"/>
                        <w:sz w:val="18"/>
                        <w:szCs w:val="18"/>
                      </w:rPr>
                    </w:pPr>
                  </w:p>
                </w:tc>
                <w:tc>
                  <w:tcPr>
                    <w:tcW w:w="255" w:type="pct"/>
                  </w:tcPr>
                  <w:p w14:paraId="1F7EBB82" w14:textId="77777777" w:rsidR="007E7472" w:rsidRDefault="00C8327E">
                    <w:pPr>
                      <w:jc w:val="right"/>
                      <w:rPr>
                        <w:spacing w:val="-20"/>
                        <w:sz w:val="18"/>
                        <w:szCs w:val="18"/>
                      </w:rPr>
                    </w:pPr>
                  </w:p>
                </w:tc>
                <w:tc>
                  <w:tcPr>
                    <w:tcW w:w="219" w:type="pct"/>
                  </w:tcPr>
                  <w:p w14:paraId="5BEC3E4B" w14:textId="77777777" w:rsidR="007E7472" w:rsidRDefault="00C8327E">
                    <w:pPr>
                      <w:jc w:val="right"/>
                      <w:rPr>
                        <w:spacing w:val="-20"/>
                        <w:sz w:val="18"/>
                        <w:szCs w:val="18"/>
                      </w:rPr>
                    </w:pPr>
                  </w:p>
                </w:tc>
                <w:tc>
                  <w:tcPr>
                    <w:tcW w:w="398" w:type="pct"/>
                  </w:tcPr>
                  <w:p w14:paraId="111EBBCF" w14:textId="77777777" w:rsidR="007E7472" w:rsidRDefault="00C8327E">
                    <w:pPr>
                      <w:jc w:val="right"/>
                      <w:rPr>
                        <w:spacing w:val="-20"/>
                        <w:sz w:val="18"/>
                        <w:szCs w:val="18"/>
                      </w:rPr>
                    </w:pPr>
                  </w:p>
                </w:tc>
                <w:tc>
                  <w:tcPr>
                    <w:tcW w:w="205" w:type="pct"/>
                  </w:tcPr>
                  <w:p w14:paraId="6317B1A3" w14:textId="77777777" w:rsidR="007E7472" w:rsidRDefault="00C8327E">
                    <w:pPr>
                      <w:jc w:val="right"/>
                      <w:rPr>
                        <w:spacing w:val="-20"/>
                        <w:sz w:val="18"/>
                        <w:szCs w:val="18"/>
                      </w:rPr>
                    </w:pPr>
                  </w:p>
                </w:tc>
                <w:tc>
                  <w:tcPr>
                    <w:tcW w:w="379" w:type="pct"/>
                  </w:tcPr>
                  <w:p w14:paraId="1F06B852" w14:textId="77777777" w:rsidR="007E7472" w:rsidRDefault="00C8327E">
                    <w:pPr>
                      <w:jc w:val="right"/>
                      <w:rPr>
                        <w:spacing w:val="-20"/>
                        <w:sz w:val="18"/>
                        <w:szCs w:val="18"/>
                      </w:rPr>
                    </w:pPr>
                  </w:p>
                </w:tc>
                <w:tc>
                  <w:tcPr>
                    <w:tcW w:w="330" w:type="pct"/>
                  </w:tcPr>
                  <w:p w14:paraId="5FD9F02A" w14:textId="77777777" w:rsidR="007E7472" w:rsidRDefault="00C8327E">
                    <w:pPr>
                      <w:jc w:val="right"/>
                      <w:rPr>
                        <w:spacing w:val="-20"/>
                        <w:sz w:val="18"/>
                        <w:szCs w:val="18"/>
                      </w:rPr>
                    </w:pPr>
                  </w:p>
                </w:tc>
                <w:tc>
                  <w:tcPr>
                    <w:tcW w:w="356" w:type="pct"/>
                  </w:tcPr>
                  <w:p w14:paraId="46DF54F2" w14:textId="77777777" w:rsidR="007E7472" w:rsidRDefault="00C8327E">
                    <w:pPr>
                      <w:jc w:val="right"/>
                      <w:rPr>
                        <w:spacing w:val="-20"/>
                        <w:sz w:val="18"/>
                        <w:szCs w:val="18"/>
                      </w:rPr>
                    </w:pPr>
                  </w:p>
                </w:tc>
              </w:tr>
              <w:tr w:rsidR="007E7472" w14:paraId="4CF9A554" w14:textId="77777777">
                <w:tc>
                  <w:tcPr>
                    <w:tcW w:w="610" w:type="pct"/>
                  </w:tcPr>
                  <w:sdt>
                    <w:sdtPr>
                      <w:rPr>
                        <w:sz w:val="18"/>
                        <w:szCs w:val="18"/>
                      </w:rPr>
                      <w:tag w:val="_PLD_de42fced9d0547ecb946b8443ac4ea20"/>
                      <w:id w:val="-42592338"/>
                      <w:lock w:val="sdtLocked"/>
                    </w:sdtPr>
                    <w:sdtEndPr/>
                    <w:sdtContent>
                      <w:p w14:paraId="7B1BFEB8" w14:textId="77777777" w:rsidR="007E7472" w:rsidRDefault="00EC1269">
                        <w:r>
                          <w:rPr>
                            <w:sz w:val="18"/>
                            <w:szCs w:val="18"/>
                          </w:rPr>
                          <w:t>6．其他</w:t>
                        </w:r>
                      </w:p>
                    </w:sdtContent>
                  </w:sdt>
                </w:tc>
                <w:tc>
                  <w:tcPr>
                    <w:tcW w:w="305" w:type="pct"/>
                  </w:tcPr>
                  <w:p w14:paraId="7C07CCAE" w14:textId="77777777" w:rsidR="007E7472" w:rsidRDefault="00C8327E">
                    <w:pPr>
                      <w:jc w:val="right"/>
                      <w:rPr>
                        <w:spacing w:val="-20"/>
                        <w:sz w:val="18"/>
                        <w:szCs w:val="18"/>
                      </w:rPr>
                    </w:pPr>
                  </w:p>
                </w:tc>
                <w:tc>
                  <w:tcPr>
                    <w:tcW w:w="192" w:type="pct"/>
                  </w:tcPr>
                  <w:p w14:paraId="524433E8" w14:textId="77777777" w:rsidR="007E7472" w:rsidRDefault="00C8327E">
                    <w:pPr>
                      <w:jc w:val="right"/>
                      <w:rPr>
                        <w:spacing w:val="-20"/>
                        <w:sz w:val="18"/>
                        <w:szCs w:val="18"/>
                      </w:rPr>
                    </w:pPr>
                  </w:p>
                </w:tc>
                <w:tc>
                  <w:tcPr>
                    <w:tcW w:w="330" w:type="pct"/>
                  </w:tcPr>
                  <w:p w14:paraId="1D883F7F" w14:textId="77777777" w:rsidR="007E7472" w:rsidRDefault="00C8327E">
                    <w:pPr>
                      <w:jc w:val="right"/>
                      <w:rPr>
                        <w:spacing w:val="-20"/>
                        <w:sz w:val="18"/>
                        <w:szCs w:val="18"/>
                      </w:rPr>
                    </w:pPr>
                  </w:p>
                </w:tc>
                <w:tc>
                  <w:tcPr>
                    <w:tcW w:w="147" w:type="pct"/>
                  </w:tcPr>
                  <w:p w14:paraId="0EF8BA6A" w14:textId="77777777" w:rsidR="007E7472" w:rsidRDefault="00C8327E">
                    <w:pPr>
                      <w:jc w:val="right"/>
                      <w:rPr>
                        <w:spacing w:val="-20"/>
                        <w:sz w:val="18"/>
                        <w:szCs w:val="18"/>
                      </w:rPr>
                    </w:pPr>
                  </w:p>
                </w:tc>
                <w:tc>
                  <w:tcPr>
                    <w:tcW w:w="358" w:type="pct"/>
                  </w:tcPr>
                  <w:p w14:paraId="77142EB9" w14:textId="77777777" w:rsidR="007E7472" w:rsidRDefault="00C8327E">
                    <w:pPr>
                      <w:jc w:val="right"/>
                      <w:rPr>
                        <w:spacing w:val="-20"/>
                        <w:sz w:val="18"/>
                        <w:szCs w:val="18"/>
                      </w:rPr>
                    </w:pPr>
                  </w:p>
                </w:tc>
                <w:tc>
                  <w:tcPr>
                    <w:tcW w:w="256" w:type="pct"/>
                  </w:tcPr>
                  <w:p w14:paraId="5C517494" w14:textId="77777777" w:rsidR="007E7472" w:rsidRDefault="00C8327E">
                    <w:pPr>
                      <w:jc w:val="right"/>
                      <w:rPr>
                        <w:spacing w:val="-20"/>
                        <w:sz w:val="18"/>
                        <w:szCs w:val="18"/>
                      </w:rPr>
                    </w:pPr>
                  </w:p>
                </w:tc>
                <w:tc>
                  <w:tcPr>
                    <w:tcW w:w="356" w:type="pct"/>
                  </w:tcPr>
                  <w:p w14:paraId="3BF237E5" w14:textId="77777777" w:rsidR="007E7472" w:rsidRDefault="00C8327E">
                    <w:pPr>
                      <w:jc w:val="right"/>
                      <w:rPr>
                        <w:spacing w:val="-20"/>
                        <w:sz w:val="18"/>
                        <w:szCs w:val="18"/>
                      </w:rPr>
                    </w:pPr>
                  </w:p>
                </w:tc>
                <w:tc>
                  <w:tcPr>
                    <w:tcW w:w="305" w:type="pct"/>
                  </w:tcPr>
                  <w:p w14:paraId="565715C5" w14:textId="77777777" w:rsidR="007E7472" w:rsidRDefault="00C8327E">
                    <w:pPr>
                      <w:jc w:val="right"/>
                      <w:rPr>
                        <w:spacing w:val="-20"/>
                        <w:sz w:val="18"/>
                        <w:szCs w:val="18"/>
                      </w:rPr>
                    </w:pPr>
                  </w:p>
                </w:tc>
                <w:tc>
                  <w:tcPr>
                    <w:tcW w:w="255" w:type="pct"/>
                  </w:tcPr>
                  <w:p w14:paraId="65EB0EA4" w14:textId="77777777" w:rsidR="007E7472" w:rsidRDefault="00C8327E">
                    <w:pPr>
                      <w:jc w:val="right"/>
                      <w:rPr>
                        <w:spacing w:val="-20"/>
                        <w:sz w:val="18"/>
                        <w:szCs w:val="18"/>
                      </w:rPr>
                    </w:pPr>
                  </w:p>
                </w:tc>
                <w:tc>
                  <w:tcPr>
                    <w:tcW w:w="219" w:type="pct"/>
                  </w:tcPr>
                  <w:p w14:paraId="059D8EE3" w14:textId="77777777" w:rsidR="007E7472" w:rsidRDefault="00C8327E">
                    <w:pPr>
                      <w:jc w:val="right"/>
                      <w:rPr>
                        <w:spacing w:val="-20"/>
                        <w:sz w:val="18"/>
                        <w:szCs w:val="18"/>
                      </w:rPr>
                    </w:pPr>
                  </w:p>
                </w:tc>
                <w:tc>
                  <w:tcPr>
                    <w:tcW w:w="398" w:type="pct"/>
                  </w:tcPr>
                  <w:p w14:paraId="087F3DC3" w14:textId="77777777" w:rsidR="007E7472" w:rsidRDefault="00C8327E">
                    <w:pPr>
                      <w:jc w:val="right"/>
                      <w:rPr>
                        <w:spacing w:val="-20"/>
                        <w:sz w:val="18"/>
                        <w:szCs w:val="18"/>
                      </w:rPr>
                    </w:pPr>
                  </w:p>
                </w:tc>
                <w:tc>
                  <w:tcPr>
                    <w:tcW w:w="205" w:type="pct"/>
                  </w:tcPr>
                  <w:p w14:paraId="14710429" w14:textId="77777777" w:rsidR="007E7472" w:rsidRDefault="00C8327E">
                    <w:pPr>
                      <w:jc w:val="right"/>
                      <w:rPr>
                        <w:spacing w:val="-20"/>
                        <w:sz w:val="18"/>
                        <w:szCs w:val="18"/>
                      </w:rPr>
                    </w:pPr>
                  </w:p>
                </w:tc>
                <w:tc>
                  <w:tcPr>
                    <w:tcW w:w="379" w:type="pct"/>
                  </w:tcPr>
                  <w:p w14:paraId="4EB953B6" w14:textId="77777777" w:rsidR="007E7472" w:rsidRDefault="00C8327E">
                    <w:pPr>
                      <w:jc w:val="right"/>
                      <w:rPr>
                        <w:spacing w:val="-20"/>
                        <w:sz w:val="18"/>
                        <w:szCs w:val="18"/>
                      </w:rPr>
                    </w:pPr>
                  </w:p>
                </w:tc>
                <w:tc>
                  <w:tcPr>
                    <w:tcW w:w="330" w:type="pct"/>
                  </w:tcPr>
                  <w:p w14:paraId="36CD5D83" w14:textId="77777777" w:rsidR="007E7472" w:rsidRDefault="00C8327E">
                    <w:pPr>
                      <w:jc w:val="right"/>
                      <w:rPr>
                        <w:spacing w:val="-20"/>
                        <w:sz w:val="18"/>
                        <w:szCs w:val="18"/>
                      </w:rPr>
                    </w:pPr>
                  </w:p>
                </w:tc>
                <w:tc>
                  <w:tcPr>
                    <w:tcW w:w="356" w:type="pct"/>
                  </w:tcPr>
                  <w:p w14:paraId="7F892FBF" w14:textId="77777777" w:rsidR="007E7472" w:rsidRDefault="00C8327E">
                    <w:pPr>
                      <w:jc w:val="right"/>
                      <w:rPr>
                        <w:spacing w:val="-20"/>
                        <w:sz w:val="18"/>
                        <w:szCs w:val="18"/>
                      </w:rPr>
                    </w:pPr>
                  </w:p>
                </w:tc>
              </w:tr>
              <w:tr w:rsidR="007E7472" w14:paraId="46F224D8" w14:textId="77777777">
                <w:sdt>
                  <w:sdtPr>
                    <w:tag w:val="_PLD_14d25c6e75074c52a0f884581cc84dba"/>
                    <w:id w:val="1986277054"/>
                    <w:lock w:val="sdtLocked"/>
                  </w:sdtPr>
                  <w:sdtEndPr/>
                  <w:sdtContent>
                    <w:tc>
                      <w:tcPr>
                        <w:tcW w:w="610" w:type="pct"/>
                      </w:tcPr>
                      <w:p w14:paraId="20485392" w14:textId="77777777" w:rsidR="007E7472" w:rsidRDefault="00EC1269">
                        <w:pPr>
                          <w:rPr>
                            <w:sz w:val="18"/>
                            <w:szCs w:val="18"/>
                          </w:rPr>
                        </w:pPr>
                        <w:r>
                          <w:rPr>
                            <w:rFonts w:hint="eastAsia"/>
                            <w:sz w:val="18"/>
                            <w:szCs w:val="18"/>
                          </w:rPr>
                          <w:t>（五）专项储备</w:t>
                        </w:r>
                      </w:p>
                    </w:tc>
                  </w:sdtContent>
                </w:sdt>
                <w:tc>
                  <w:tcPr>
                    <w:tcW w:w="305" w:type="pct"/>
                  </w:tcPr>
                  <w:p w14:paraId="11BAC988" w14:textId="77777777" w:rsidR="007E7472" w:rsidRDefault="00C8327E">
                    <w:pPr>
                      <w:jc w:val="right"/>
                      <w:rPr>
                        <w:spacing w:val="-20"/>
                        <w:sz w:val="18"/>
                        <w:szCs w:val="18"/>
                      </w:rPr>
                    </w:pPr>
                  </w:p>
                </w:tc>
                <w:tc>
                  <w:tcPr>
                    <w:tcW w:w="192" w:type="pct"/>
                  </w:tcPr>
                  <w:p w14:paraId="45D21071" w14:textId="77777777" w:rsidR="007E7472" w:rsidRDefault="00C8327E">
                    <w:pPr>
                      <w:jc w:val="right"/>
                      <w:rPr>
                        <w:spacing w:val="-20"/>
                        <w:sz w:val="18"/>
                        <w:szCs w:val="18"/>
                      </w:rPr>
                    </w:pPr>
                  </w:p>
                </w:tc>
                <w:tc>
                  <w:tcPr>
                    <w:tcW w:w="330" w:type="pct"/>
                  </w:tcPr>
                  <w:p w14:paraId="26CD9512" w14:textId="77777777" w:rsidR="007E7472" w:rsidRDefault="00C8327E">
                    <w:pPr>
                      <w:jc w:val="right"/>
                      <w:rPr>
                        <w:spacing w:val="-20"/>
                        <w:sz w:val="18"/>
                        <w:szCs w:val="18"/>
                      </w:rPr>
                    </w:pPr>
                  </w:p>
                </w:tc>
                <w:tc>
                  <w:tcPr>
                    <w:tcW w:w="147" w:type="pct"/>
                  </w:tcPr>
                  <w:p w14:paraId="37DC9B19" w14:textId="77777777" w:rsidR="007E7472" w:rsidRDefault="00C8327E">
                    <w:pPr>
                      <w:jc w:val="right"/>
                      <w:rPr>
                        <w:spacing w:val="-20"/>
                        <w:sz w:val="18"/>
                        <w:szCs w:val="18"/>
                      </w:rPr>
                    </w:pPr>
                  </w:p>
                </w:tc>
                <w:tc>
                  <w:tcPr>
                    <w:tcW w:w="358" w:type="pct"/>
                  </w:tcPr>
                  <w:p w14:paraId="2536D378" w14:textId="77777777" w:rsidR="007E7472" w:rsidRDefault="00C8327E">
                    <w:pPr>
                      <w:jc w:val="right"/>
                      <w:rPr>
                        <w:spacing w:val="-20"/>
                        <w:sz w:val="18"/>
                        <w:szCs w:val="18"/>
                      </w:rPr>
                    </w:pPr>
                  </w:p>
                </w:tc>
                <w:tc>
                  <w:tcPr>
                    <w:tcW w:w="256" w:type="pct"/>
                  </w:tcPr>
                  <w:p w14:paraId="435B5DB6" w14:textId="77777777" w:rsidR="007E7472" w:rsidRDefault="00C8327E">
                    <w:pPr>
                      <w:jc w:val="right"/>
                      <w:rPr>
                        <w:spacing w:val="-20"/>
                        <w:sz w:val="18"/>
                        <w:szCs w:val="18"/>
                      </w:rPr>
                    </w:pPr>
                  </w:p>
                </w:tc>
                <w:tc>
                  <w:tcPr>
                    <w:tcW w:w="356" w:type="pct"/>
                  </w:tcPr>
                  <w:p w14:paraId="2326F506" w14:textId="77777777" w:rsidR="007E7472" w:rsidRDefault="00C8327E">
                    <w:pPr>
                      <w:jc w:val="right"/>
                      <w:rPr>
                        <w:spacing w:val="-20"/>
                        <w:sz w:val="18"/>
                        <w:szCs w:val="18"/>
                      </w:rPr>
                    </w:pPr>
                  </w:p>
                </w:tc>
                <w:tc>
                  <w:tcPr>
                    <w:tcW w:w="305" w:type="pct"/>
                  </w:tcPr>
                  <w:p w14:paraId="28929BDB" w14:textId="77777777" w:rsidR="007E7472" w:rsidRDefault="00EC1269">
                    <w:pPr>
                      <w:jc w:val="right"/>
                      <w:rPr>
                        <w:spacing w:val="-20"/>
                        <w:sz w:val="18"/>
                        <w:szCs w:val="18"/>
                      </w:rPr>
                    </w:pPr>
                    <w:r>
                      <w:rPr>
                        <w:rFonts w:hint="eastAsia"/>
                        <w:spacing w:val="-20"/>
                        <w:sz w:val="18"/>
                        <w:szCs w:val="18"/>
                      </w:rPr>
                      <w:t>148,399</w:t>
                    </w:r>
                  </w:p>
                </w:tc>
                <w:tc>
                  <w:tcPr>
                    <w:tcW w:w="255" w:type="pct"/>
                  </w:tcPr>
                  <w:p w14:paraId="1B71EEA3" w14:textId="77777777" w:rsidR="007E7472" w:rsidRDefault="00C8327E">
                    <w:pPr>
                      <w:jc w:val="right"/>
                      <w:rPr>
                        <w:spacing w:val="-20"/>
                        <w:sz w:val="18"/>
                        <w:szCs w:val="18"/>
                      </w:rPr>
                    </w:pPr>
                  </w:p>
                </w:tc>
                <w:tc>
                  <w:tcPr>
                    <w:tcW w:w="219" w:type="pct"/>
                  </w:tcPr>
                  <w:p w14:paraId="7CDCA107" w14:textId="77777777" w:rsidR="007E7472" w:rsidRDefault="00C8327E">
                    <w:pPr>
                      <w:jc w:val="right"/>
                      <w:rPr>
                        <w:spacing w:val="-20"/>
                        <w:sz w:val="18"/>
                        <w:szCs w:val="18"/>
                      </w:rPr>
                    </w:pPr>
                  </w:p>
                </w:tc>
                <w:tc>
                  <w:tcPr>
                    <w:tcW w:w="398" w:type="pct"/>
                  </w:tcPr>
                  <w:p w14:paraId="371A8420" w14:textId="77777777" w:rsidR="007E7472" w:rsidRDefault="00C8327E">
                    <w:pPr>
                      <w:jc w:val="right"/>
                      <w:rPr>
                        <w:spacing w:val="-20"/>
                        <w:sz w:val="18"/>
                        <w:szCs w:val="18"/>
                      </w:rPr>
                    </w:pPr>
                  </w:p>
                </w:tc>
                <w:tc>
                  <w:tcPr>
                    <w:tcW w:w="205" w:type="pct"/>
                  </w:tcPr>
                  <w:p w14:paraId="0F4B9FC3" w14:textId="77777777" w:rsidR="007E7472" w:rsidRDefault="00C8327E">
                    <w:pPr>
                      <w:jc w:val="right"/>
                      <w:rPr>
                        <w:spacing w:val="-20"/>
                        <w:sz w:val="18"/>
                        <w:szCs w:val="18"/>
                      </w:rPr>
                    </w:pPr>
                  </w:p>
                </w:tc>
                <w:tc>
                  <w:tcPr>
                    <w:tcW w:w="379" w:type="pct"/>
                  </w:tcPr>
                  <w:p w14:paraId="633CB10A" w14:textId="77777777" w:rsidR="007E7472" w:rsidRDefault="00EC1269">
                    <w:pPr>
                      <w:jc w:val="right"/>
                      <w:rPr>
                        <w:spacing w:val="-20"/>
                        <w:sz w:val="18"/>
                        <w:szCs w:val="18"/>
                      </w:rPr>
                    </w:pPr>
                    <w:r>
                      <w:rPr>
                        <w:rFonts w:hint="eastAsia"/>
                        <w:spacing w:val="-20"/>
                        <w:sz w:val="18"/>
                        <w:szCs w:val="18"/>
                      </w:rPr>
                      <w:t>148,399</w:t>
                    </w:r>
                  </w:p>
                </w:tc>
                <w:tc>
                  <w:tcPr>
                    <w:tcW w:w="330" w:type="pct"/>
                  </w:tcPr>
                  <w:p w14:paraId="2A60A520" w14:textId="77777777" w:rsidR="007E7472" w:rsidRDefault="00EC1269">
                    <w:pPr>
                      <w:jc w:val="right"/>
                      <w:rPr>
                        <w:spacing w:val="-20"/>
                        <w:sz w:val="18"/>
                        <w:szCs w:val="18"/>
                      </w:rPr>
                    </w:pPr>
                    <w:r>
                      <w:rPr>
                        <w:rFonts w:hint="eastAsia"/>
                        <w:spacing w:val="-20"/>
                        <w:sz w:val="18"/>
                        <w:szCs w:val="18"/>
                      </w:rPr>
                      <w:t>88,484</w:t>
                    </w:r>
                  </w:p>
                </w:tc>
                <w:tc>
                  <w:tcPr>
                    <w:tcW w:w="356" w:type="pct"/>
                  </w:tcPr>
                  <w:p w14:paraId="58AB83F5" w14:textId="77777777" w:rsidR="007E7472" w:rsidRDefault="00EC1269">
                    <w:pPr>
                      <w:jc w:val="right"/>
                      <w:rPr>
                        <w:spacing w:val="-20"/>
                        <w:sz w:val="18"/>
                        <w:szCs w:val="18"/>
                      </w:rPr>
                    </w:pPr>
                    <w:r>
                      <w:rPr>
                        <w:rFonts w:hint="eastAsia"/>
                        <w:spacing w:val="-20"/>
                        <w:sz w:val="18"/>
                        <w:szCs w:val="18"/>
                      </w:rPr>
                      <w:t>236,883</w:t>
                    </w:r>
                  </w:p>
                </w:tc>
              </w:tr>
              <w:tr w:rsidR="007E7472" w14:paraId="122E6720" w14:textId="77777777">
                <w:sdt>
                  <w:sdtPr>
                    <w:tag w:val="_PLD_672c666008dd4adfa2ab5933e9cd1671"/>
                    <w:id w:val="-1850787497"/>
                    <w:lock w:val="sdtLocked"/>
                  </w:sdtPr>
                  <w:sdtEndPr/>
                  <w:sdtContent>
                    <w:tc>
                      <w:tcPr>
                        <w:tcW w:w="610" w:type="pct"/>
                      </w:tcPr>
                      <w:p w14:paraId="527C6050" w14:textId="77777777" w:rsidR="007E7472" w:rsidRDefault="00EC1269">
                        <w:pPr>
                          <w:rPr>
                            <w:sz w:val="18"/>
                            <w:szCs w:val="18"/>
                          </w:rPr>
                        </w:pPr>
                        <w:r>
                          <w:rPr>
                            <w:rFonts w:hint="eastAsia"/>
                            <w:sz w:val="18"/>
                            <w:szCs w:val="18"/>
                          </w:rPr>
                          <w:t>1．本期提取</w:t>
                        </w:r>
                      </w:p>
                    </w:tc>
                  </w:sdtContent>
                </w:sdt>
                <w:tc>
                  <w:tcPr>
                    <w:tcW w:w="305" w:type="pct"/>
                  </w:tcPr>
                  <w:p w14:paraId="0887C1D8" w14:textId="77777777" w:rsidR="007E7472" w:rsidRDefault="00C8327E">
                    <w:pPr>
                      <w:jc w:val="right"/>
                      <w:rPr>
                        <w:spacing w:val="-20"/>
                        <w:sz w:val="18"/>
                        <w:szCs w:val="18"/>
                      </w:rPr>
                    </w:pPr>
                  </w:p>
                </w:tc>
                <w:tc>
                  <w:tcPr>
                    <w:tcW w:w="192" w:type="pct"/>
                  </w:tcPr>
                  <w:p w14:paraId="5B243AB5" w14:textId="77777777" w:rsidR="007E7472" w:rsidRDefault="00C8327E">
                    <w:pPr>
                      <w:jc w:val="right"/>
                      <w:rPr>
                        <w:spacing w:val="-20"/>
                        <w:sz w:val="18"/>
                        <w:szCs w:val="18"/>
                      </w:rPr>
                    </w:pPr>
                  </w:p>
                </w:tc>
                <w:tc>
                  <w:tcPr>
                    <w:tcW w:w="330" w:type="pct"/>
                  </w:tcPr>
                  <w:p w14:paraId="17ED1749" w14:textId="77777777" w:rsidR="007E7472" w:rsidRDefault="00C8327E">
                    <w:pPr>
                      <w:jc w:val="right"/>
                      <w:rPr>
                        <w:spacing w:val="-20"/>
                        <w:sz w:val="18"/>
                        <w:szCs w:val="18"/>
                      </w:rPr>
                    </w:pPr>
                  </w:p>
                </w:tc>
                <w:tc>
                  <w:tcPr>
                    <w:tcW w:w="147" w:type="pct"/>
                  </w:tcPr>
                  <w:p w14:paraId="7DA303B6" w14:textId="77777777" w:rsidR="007E7472" w:rsidRDefault="00C8327E">
                    <w:pPr>
                      <w:jc w:val="right"/>
                      <w:rPr>
                        <w:spacing w:val="-20"/>
                        <w:sz w:val="18"/>
                        <w:szCs w:val="18"/>
                      </w:rPr>
                    </w:pPr>
                  </w:p>
                </w:tc>
                <w:tc>
                  <w:tcPr>
                    <w:tcW w:w="358" w:type="pct"/>
                  </w:tcPr>
                  <w:p w14:paraId="71D26629" w14:textId="77777777" w:rsidR="007E7472" w:rsidRDefault="00C8327E">
                    <w:pPr>
                      <w:jc w:val="right"/>
                      <w:rPr>
                        <w:spacing w:val="-20"/>
                        <w:sz w:val="18"/>
                        <w:szCs w:val="18"/>
                      </w:rPr>
                    </w:pPr>
                  </w:p>
                </w:tc>
                <w:tc>
                  <w:tcPr>
                    <w:tcW w:w="256" w:type="pct"/>
                  </w:tcPr>
                  <w:p w14:paraId="2FA61547" w14:textId="77777777" w:rsidR="007E7472" w:rsidRDefault="00C8327E">
                    <w:pPr>
                      <w:jc w:val="right"/>
                      <w:rPr>
                        <w:spacing w:val="-20"/>
                        <w:sz w:val="18"/>
                        <w:szCs w:val="18"/>
                      </w:rPr>
                    </w:pPr>
                  </w:p>
                </w:tc>
                <w:tc>
                  <w:tcPr>
                    <w:tcW w:w="356" w:type="pct"/>
                  </w:tcPr>
                  <w:p w14:paraId="118B0B4E" w14:textId="77777777" w:rsidR="007E7472" w:rsidRDefault="00C8327E">
                    <w:pPr>
                      <w:jc w:val="right"/>
                      <w:rPr>
                        <w:spacing w:val="-20"/>
                        <w:sz w:val="18"/>
                        <w:szCs w:val="18"/>
                      </w:rPr>
                    </w:pPr>
                  </w:p>
                </w:tc>
                <w:tc>
                  <w:tcPr>
                    <w:tcW w:w="305" w:type="pct"/>
                  </w:tcPr>
                  <w:p w14:paraId="1E3D5FE4" w14:textId="77777777" w:rsidR="007E7472" w:rsidRDefault="00EC1269">
                    <w:pPr>
                      <w:jc w:val="right"/>
                      <w:rPr>
                        <w:spacing w:val="-20"/>
                        <w:sz w:val="18"/>
                        <w:szCs w:val="18"/>
                      </w:rPr>
                    </w:pPr>
                    <w:r>
                      <w:rPr>
                        <w:rFonts w:hint="eastAsia"/>
                        <w:spacing w:val="-20"/>
                        <w:sz w:val="18"/>
                        <w:szCs w:val="18"/>
                      </w:rPr>
                      <w:t>1,479,732</w:t>
                    </w:r>
                  </w:p>
                </w:tc>
                <w:tc>
                  <w:tcPr>
                    <w:tcW w:w="255" w:type="pct"/>
                  </w:tcPr>
                  <w:p w14:paraId="33947C47" w14:textId="77777777" w:rsidR="007E7472" w:rsidRDefault="00C8327E">
                    <w:pPr>
                      <w:jc w:val="right"/>
                      <w:rPr>
                        <w:spacing w:val="-20"/>
                        <w:sz w:val="18"/>
                        <w:szCs w:val="18"/>
                      </w:rPr>
                    </w:pPr>
                  </w:p>
                </w:tc>
                <w:tc>
                  <w:tcPr>
                    <w:tcW w:w="219" w:type="pct"/>
                  </w:tcPr>
                  <w:p w14:paraId="62709073" w14:textId="77777777" w:rsidR="007E7472" w:rsidRDefault="00C8327E">
                    <w:pPr>
                      <w:jc w:val="right"/>
                      <w:rPr>
                        <w:spacing w:val="-20"/>
                        <w:sz w:val="18"/>
                        <w:szCs w:val="18"/>
                      </w:rPr>
                    </w:pPr>
                  </w:p>
                </w:tc>
                <w:tc>
                  <w:tcPr>
                    <w:tcW w:w="398" w:type="pct"/>
                  </w:tcPr>
                  <w:p w14:paraId="136271C2" w14:textId="77777777" w:rsidR="007E7472" w:rsidRDefault="00C8327E">
                    <w:pPr>
                      <w:jc w:val="right"/>
                      <w:rPr>
                        <w:spacing w:val="-20"/>
                        <w:sz w:val="18"/>
                        <w:szCs w:val="18"/>
                      </w:rPr>
                    </w:pPr>
                  </w:p>
                </w:tc>
                <w:tc>
                  <w:tcPr>
                    <w:tcW w:w="205" w:type="pct"/>
                  </w:tcPr>
                  <w:p w14:paraId="42B2DB1F" w14:textId="77777777" w:rsidR="007E7472" w:rsidRDefault="00C8327E">
                    <w:pPr>
                      <w:jc w:val="right"/>
                      <w:rPr>
                        <w:spacing w:val="-20"/>
                        <w:sz w:val="18"/>
                        <w:szCs w:val="18"/>
                      </w:rPr>
                    </w:pPr>
                  </w:p>
                </w:tc>
                <w:tc>
                  <w:tcPr>
                    <w:tcW w:w="379" w:type="pct"/>
                    <w:vAlign w:val="center"/>
                  </w:tcPr>
                  <w:p w14:paraId="628CFE37" w14:textId="77777777" w:rsidR="007E7472" w:rsidRDefault="00EC1269">
                    <w:pPr>
                      <w:jc w:val="right"/>
                      <w:rPr>
                        <w:spacing w:val="-20"/>
                        <w:sz w:val="18"/>
                        <w:szCs w:val="18"/>
                      </w:rPr>
                    </w:pPr>
                    <w:r>
                      <w:rPr>
                        <w:spacing w:val="-20"/>
                        <w:sz w:val="18"/>
                      </w:rPr>
                      <w:t>1,479,732</w:t>
                    </w:r>
                  </w:p>
                </w:tc>
                <w:tc>
                  <w:tcPr>
                    <w:tcW w:w="330" w:type="pct"/>
                  </w:tcPr>
                  <w:p w14:paraId="56016889" w14:textId="77777777" w:rsidR="007E7472" w:rsidRDefault="00EC1269">
                    <w:pPr>
                      <w:jc w:val="right"/>
                      <w:rPr>
                        <w:spacing w:val="-20"/>
                        <w:sz w:val="18"/>
                        <w:szCs w:val="18"/>
                      </w:rPr>
                    </w:pPr>
                    <w:r>
                      <w:rPr>
                        <w:rFonts w:hint="eastAsia"/>
                        <w:spacing w:val="-20"/>
                        <w:sz w:val="18"/>
                        <w:szCs w:val="18"/>
                      </w:rPr>
                      <w:t>198,548</w:t>
                    </w:r>
                  </w:p>
                </w:tc>
                <w:tc>
                  <w:tcPr>
                    <w:tcW w:w="356" w:type="pct"/>
                  </w:tcPr>
                  <w:p w14:paraId="0F142078" w14:textId="77777777" w:rsidR="007E7472" w:rsidRDefault="00EC1269">
                    <w:pPr>
                      <w:jc w:val="right"/>
                      <w:rPr>
                        <w:spacing w:val="-20"/>
                        <w:sz w:val="18"/>
                        <w:szCs w:val="18"/>
                      </w:rPr>
                    </w:pPr>
                    <w:r>
                      <w:rPr>
                        <w:rFonts w:hint="eastAsia"/>
                        <w:spacing w:val="-20"/>
                        <w:sz w:val="18"/>
                        <w:szCs w:val="18"/>
                      </w:rPr>
                      <w:t>1,678,280</w:t>
                    </w:r>
                  </w:p>
                </w:tc>
              </w:tr>
              <w:tr w:rsidR="007E7472" w14:paraId="2D8D8AC1" w14:textId="77777777">
                <w:sdt>
                  <w:sdtPr>
                    <w:tag w:val="_PLD_810ec2533aac40f59079e8e8d20e52c3"/>
                    <w:id w:val="458924974"/>
                    <w:lock w:val="sdtLocked"/>
                  </w:sdtPr>
                  <w:sdtEndPr/>
                  <w:sdtContent>
                    <w:tc>
                      <w:tcPr>
                        <w:tcW w:w="610" w:type="pct"/>
                      </w:tcPr>
                      <w:p w14:paraId="1936EDB3" w14:textId="77777777" w:rsidR="007E7472" w:rsidRDefault="00EC1269">
                        <w:pPr>
                          <w:rPr>
                            <w:sz w:val="18"/>
                            <w:szCs w:val="18"/>
                          </w:rPr>
                        </w:pPr>
                        <w:r>
                          <w:rPr>
                            <w:rFonts w:hint="eastAsia"/>
                            <w:sz w:val="18"/>
                            <w:szCs w:val="18"/>
                          </w:rPr>
                          <w:t>2．本期使用</w:t>
                        </w:r>
                      </w:p>
                    </w:tc>
                  </w:sdtContent>
                </w:sdt>
                <w:tc>
                  <w:tcPr>
                    <w:tcW w:w="305" w:type="pct"/>
                  </w:tcPr>
                  <w:p w14:paraId="6B49B2E8" w14:textId="77777777" w:rsidR="007E7472" w:rsidRDefault="00C8327E">
                    <w:pPr>
                      <w:jc w:val="right"/>
                      <w:rPr>
                        <w:spacing w:val="-20"/>
                        <w:sz w:val="18"/>
                        <w:szCs w:val="18"/>
                      </w:rPr>
                    </w:pPr>
                  </w:p>
                </w:tc>
                <w:tc>
                  <w:tcPr>
                    <w:tcW w:w="192" w:type="pct"/>
                  </w:tcPr>
                  <w:p w14:paraId="0561680B" w14:textId="77777777" w:rsidR="007E7472" w:rsidRDefault="00C8327E">
                    <w:pPr>
                      <w:jc w:val="right"/>
                      <w:rPr>
                        <w:spacing w:val="-20"/>
                        <w:sz w:val="18"/>
                        <w:szCs w:val="18"/>
                      </w:rPr>
                    </w:pPr>
                  </w:p>
                </w:tc>
                <w:tc>
                  <w:tcPr>
                    <w:tcW w:w="330" w:type="pct"/>
                  </w:tcPr>
                  <w:p w14:paraId="04E127EB" w14:textId="77777777" w:rsidR="007E7472" w:rsidRDefault="00C8327E">
                    <w:pPr>
                      <w:jc w:val="right"/>
                      <w:rPr>
                        <w:spacing w:val="-20"/>
                        <w:sz w:val="18"/>
                        <w:szCs w:val="18"/>
                      </w:rPr>
                    </w:pPr>
                  </w:p>
                </w:tc>
                <w:tc>
                  <w:tcPr>
                    <w:tcW w:w="147" w:type="pct"/>
                  </w:tcPr>
                  <w:p w14:paraId="4CC52582" w14:textId="77777777" w:rsidR="007E7472" w:rsidRDefault="00C8327E">
                    <w:pPr>
                      <w:jc w:val="right"/>
                      <w:rPr>
                        <w:spacing w:val="-20"/>
                        <w:sz w:val="18"/>
                        <w:szCs w:val="18"/>
                      </w:rPr>
                    </w:pPr>
                  </w:p>
                </w:tc>
                <w:tc>
                  <w:tcPr>
                    <w:tcW w:w="358" w:type="pct"/>
                  </w:tcPr>
                  <w:p w14:paraId="423CBC7A" w14:textId="77777777" w:rsidR="007E7472" w:rsidRDefault="00C8327E">
                    <w:pPr>
                      <w:jc w:val="right"/>
                      <w:rPr>
                        <w:spacing w:val="-20"/>
                        <w:sz w:val="18"/>
                        <w:szCs w:val="18"/>
                      </w:rPr>
                    </w:pPr>
                  </w:p>
                </w:tc>
                <w:tc>
                  <w:tcPr>
                    <w:tcW w:w="256" w:type="pct"/>
                  </w:tcPr>
                  <w:p w14:paraId="2F175C67" w14:textId="77777777" w:rsidR="007E7472" w:rsidRDefault="00C8327E">
                    <w:pPr>
                      <w:jc w:val="right"/>
                      <w:rPr>
                        <w:spacing w:val="-20"/>
                        <w:sz w:val="18"/>
                        <w:szCs w:val="18"/>
                      </w:rPr>
                    </w:pPr>
                  </w:p>
                </w:tc>
                <w:tc>
                  <w:tcPr>
                    <w:tcW w:w="356" w:type="pct"/>
                  </w:tcPr>
                  <w:p w14:paraId="2E40AB38" w14:textId="77777777" w:rsidR="007E7472" w:rsidRDefault="00C8327E">
                    <w:pPr>
                      <w:jc w:val="right"/>
                      <w:rPr>
                        <w:spacing w:val="-20"/>
                        <w:sz w:val="18"/>
                        <w:szCs w:val="18"/>
                      </w:rPr>
                    </w:pPr>
                  </w:p>
                </w:tc>
                <w:tc>
                  <w:tcPr>
                    <w:tcW w:w="305" w:type="pct"/>
                  </w:tcPr>
                  <w:p w14:paraId="01F547FB" w14:textId="77777777" w:rsidR="007E7472" w:rsidRDefault="00EC1269">
                    <w:pPr>
                      <w:jc w:val="right"/>
                      <w:rPr>
                        <w:spacing w:val="-20"/>
                        <w:sz w:val="18"/>
                        <w:szCs w:val="18"/>
                      </w:rPr>
                    </w:pPr>
                    <w:r>
                      <w:rPr>
                        <w:rFonts w:hint="eastAsia"/>
                        <w:spacing w:val="-20"/>
                        <w:sz w:val="18"/>
                        <w:szCs w:val="18"/>
                      </w:rPr>
                      <w:t>1,331,333</w:t>
                    </w:r>
                  </w:p>
                </w:tc>
                <w:tc>
                  <w:tcPr>
                    <w:tcW w:w="255" w:type="pct"/>
                  </w:tcPr>
                  <w:p w14:paraId="39D72A59" w14:textId="77777777" w:rsidR="007E7472" w:rsidRDefault="00C8327E">
                    <w:pPr>
                      <w:jc w:val="right"/>
                      <w:rPr>
                        <w:spacing w:val="-20"/>
                        <w:sz w:val="18"/>
                        <w:szCs w:val="18"/>
                      </w:rPr>
                    </w:pPr>
                  </w:p>
                </w:tc>
                <w:tc>
                  <w:tcPr>
                    <w:tcW w:w="219" w:type="pct"/>
                  </w:tcPr>
                  <w:p w14:paraId="0E805AB9" w14:textId="77777777" w:rsidR="007E7472" w:rsidRDefault="00C8327E">
                    <w:pPr>
                      <w:jc w:val="right"/>
                      <w:rPr>
                        <w:spacing w:val="-20"/>
                        <w:sz w:val="18"/>
                        <w:szCs w:val="18"/>
                      </w:rPr>
                    </w:pPr>
                  </w:p>
                </w:tc>
                <w:tc>
                  <w:tcPr>
                    <w:tcW w:w="398" w:type="pct"/>
                  </w:tcPr>
                  <w:p w14:paraId="6D253323" w14:textId="77777777" w:rsidR="007E7472" w:rsidRDefault="00C8327E">
                    <w:pPr>
                      <w:jc w:val="right"/>
                      <w:rPr>
                        <w:spacing w:val="-20"/>
                        <w:sz w:val="18"/>
                        <w:szCs w:val="18"/>
                      </w:rPr>
                    </w:pPr>
                  </w:p>
                </w:tc>
                <w:tc>
                  <w:tcPr>
                    <w:tcW w:w="205" w:type="pct"/>
                  </w:tcPr>
                  <w:p w14:paraId="4727ADF1" w14:textId="77777777" w:rsidR="007E7472" w:rsidRDefault="00C8327E">
                    <w:pPr>
                      <w:jc w:val="right"/>
                      <w:rPr>
                        <w:spacing w:val="-20"/>
                        <w:sz w:val="18"/>
                        <w:szCs w:val="18"/>
                      </w:rPr>
                    </w:pPr>
                  </w:p>
                </w:tc>
                <w:tc>
                  <w:tcPr>
                    <w:tcW w:w="379" w:type="pct"/>
                    <w:vAlign w:val="center"/>
                  </w:tcPr>
                  <w:p w14:paraId="5848C380" w14:textId="77777777" w:rsidR="007E7472" w:rsidRDefault="00EC1269">
                    <w:pPr>
                      <w:jc w:val="right"/>
                      <w:rPr>
                        <w:spacing w:val="-20"/>
                        <w:sz w:val="18"/>
                        <w:szCs w:val="18"/>
                      </w:rPr>
                    </w:pPr>
                    <w:r>
                      <w:rPr>
                        <w:spacing w:val="-20"/>
                        <w:sz w:val="18"/>
                      </w:rPr>
                      <w:t>1,331,333</w:t>
                    </w:r>
                  </w:p>
                </w:tc>
                <w:tc>
                  <w:tcPr>
                    <w:tcW w:w="330" w:type="pct"/>
                  </w:tcPr>
                  <w:p w14:paraId="7A80F43E" w14:textId="77777777" w:rsidR="007E7472" w:rsidRDefault="00EC1269">
                    <w:pPr>
                      <w:jc w:val="right"/>
                      <w:rPr>
                        <w:spacing w:val="-20"/>
                        <w:sz w:val="18"/>
                        <w:szCs w:val="18"/>
                      </w:rPr>
                    </w:pPr>
                    <w:r>
                      <w:rPr>
                        <w:rFonts w:hint="eastAsia"/>
                        <w:spacing w:val="-20"/>
                        <w:sz w:val="18"/>
                        <w:szCs w:val="18"/>
                      </w:rPr>
                      <w:t>110,064</w:t>
                    </w:r>
                  </w:p>
                </w:tc>
                <w:tc>
                  <w:tcPr>
                    <w:tcW w:w="356" w:type="pct"/>
                  </w:tcPr>
                  <w:p w14:paraId="4026DA32" w14:textId="77777777" w:rsidR="007E7472" w:rsidRDefault="00EC1269">
                    <w:pPr>
                      <w:jc w:val="right"/>
                      <w:rPr>
                        <w:spacing w:val="-20"/>
                        <w:sz w:val="18"/>
                        <w:szCs w:val="18"/>
                      </w:rPr>
                    </w:pPr>
                    <w:r>
                      <w:rPr>
                        <w:rFonts w:hint="eastAsia"/>
                        <w:spacing w:val="-20"/>
                        <w:sz w:val="18"/>
                        <w:szCs w:val="18"/>
                      </w:rPr>
                      <w:t>1,441,397</w:t>
                    </w:r>
                  </w:p>
                </w:tc>
              </w:tr>
              <w:tr w:rsidR="007E7472" w14:paraId="7722EEA1" w14:textId="77777777">
                <w:sdt>
                  <w:sdtPr>
                    <w:tag w:val="_PLD_f4bc69f9c7d34151a4b7a0d89088f0ee"/>
                    <w:id w:val="-1222213959"/>
                    <w:lock w:val="sdtLocked"/>
                  </w:sdtPr>
                  <w:sdtEndPr/>
                  <w:sdtContent>
                    <w:tc>
                      <w:tcPr>
                        <w:tcW w:w="610" w:type="pct"/>
                      </w:tcPr>
                      <w:p w14:paraId="2A10D8BE" w14:textId="77777777" w:rsidR="007E7472" w:rsidRDefault="00EC1269">
                        <w:pPr>
                          <w:rPr>
                            <w:sz w:val="18"/>
                            <w:szCs w:val="18"/>
                          </w:rPr>
                        </w:pPr>
                        <w:r>
                          <w:rPr>
                            <w:rFonts w:hint="eastAsia"/>
                            <w:sz w:val="18"/>
                            <w:szCs w:val="18"/>
                          </w:rPr>
                          <w:t>（六）其他</w:t>
                        </w:r>
                      </w:p>
                    </w:tc>
                  </w:sdtContent>
                </w:sdt>
                <w:tc>
                  <w:tcPr>
                    <w:tcW w:w="305" w:type="pct"/>
                  </w:tcPr>
                  <w:p w14:paraId="6357C790" w14:textId="77777777" w:rsidR="007E7472" w:rsidRDefault="00C8327E">
                    <w:pPr>
                      <w:jc w:val="right"/>
                      <w:rPr>
                        <w:spacing w:val="-20"/>
                        <w:sz w:val="18"/>
                        <w:szCs w:val="18"/>
                      </w:rPr>
                    </w:pPr>
                  </w:p>
                </w:tc>
                <w:tc>
                  <w:tcPr>
                    <w:tcW w:w="192" w:type="pct"/>
                  </w:tcPr>
                  <w:p w14:paraId="398FD7A6" w14:textId="77777777" w:rsidR="007E7472" w:rsidRDefault="00C8327E">
                    <w:pPr>
                      <w:jc w:val="right"/>
                      <w:rPr>
                        <w:spacing w:val="-20"/>
                        <w:sz w:val="18"/>
                        <w:szCs w:val="18"/>
                      </w:rPr>
                    </w:pPr>
                  </w:p>
                </w:tc>
                <w:tc>
                  <w:tcPr>
                    <w:tcW w:w="330" w:type="pct"/>
                  </w:tcPr>
                  <w:p w14:paraId="5E50CA34" w14:textId="77777777" w:rsidR="007E7472" w:rsidRDefault="00C8327E">
                    <w:pPr>
                      <w:jc w:val="right"/>
                      <w:rPr>
                        <w:spacing w:val="-20"/>
                        <w:sz w:val="18"/>
                        <w:szCs w:val="18"/>
                      </w:rPr>
                    </w:pPr>
                  </w:p>
                </w:tc>
                <w:tc>
                  <w:tcPr>
                    <w:tcW w:w="147" w:type="pct"/>
                  </w:tcPr>
                  <w:p w14:paraId="5C6A10FE" w14:textId="77777777" w:rsidR="007E7472" w:rsidRDefault="00C8327E">
                    <w:pPr>
                      <w:jc w:val="right"/>
                      <w:rPr>
                        <w:spacing w:val="-20"/>
                        <w:sz w:val="18"/>
                        <w:szCs w:val="18"/>
                      </w:rPr>
                    </w:pPr>
                  </w:p>
                </w:tc>
                <w:tc>
                  <w:tcPr>
                    <w:tcW w:w="358" w:type="pct"/>
                  </w:tcPr>
                  <w:p w14:paraId="6C1AD3E3" w14:textId="77777777" w:rsidR="007E7472" w:rsidRDefault="00EC1269">
                    <w:pPr>
                      <w:jc w:val="right"/>
                      <w:rPr>
                        <w:spacing w:val="-20"/>
                        <w:sz w:val="18"/>
                        <w:szCs w:val="18"/>
                      </w:rPr>
                    </w:pPr>
                    <w:r>
                      <w:rPr>
                        <w:rFonts w:hint="eastAsia"/>
                        <w:spacing w:val="-20"/>
                        <w:sz w:val="18"/>
                        <w:szCs w:val="18"/>
                      </w:rPr>
                      <w:t>24,380</w:t>
                    </w:r>
                  </w:p>
                </w:tc>
                <w:tc>
                  <w:tcPr>
                    <w:tcW w:w="256" w:type="pct"/>
                  </w:tcPr>
                  <w:p w14:paraId="5C3F8FB8" w14:textId="77777777" w:rsidR="007E7472" w:rsidRDefault="00C8327E">
                    <w:pPr>
                      <w:jc w:val="right"/>
                      <w:rPr>
                        <w:spacing w:val="-20"/>
                        <w:sz w:val="18"/>
                        <w:szCs w:val="18"/>
                      </w:rPr>
                    </w:pPr>
                  </w:p>
                </w:tc>
                <w:tc>
                  <w:tcPr>
                    <w:tcW w:w="356" w:type="pct"/>
                  </w:tcPr>
                  <w:p w14:paraId="0D79612F" w14:textId="77777777" w:rsidR="007E7472" w:rsidRDefault="00C8327E">
                    <w:pPr>
                      <w:jc w:val="right"/>
                      <w:rPr>
                        <w:spacing w:val="-20"/>
                        <w:sz w:val="18"/>
                        <w:szCs w:val="18"/>
                      </w:rPr>
                    </w:pPr>
                  </w:p>
                </w:tc>
                <w:tc>
                  <w:tcPr>
                    <w:tcW w:w="305" w:type="pct"/>
                  </w:tcPr>
                  <w:p w14:paraId="04920BAA" w14:textId="77777777" w:rsidR="007E7472" w:rsidRDefault="00C8327E">
                    <w:pPr>
                      <w:jc w:val="right"/>
                      <w:rPr>
                        <w:spacing w:val="-20"/>
                        <w:sz w:val="18"/>
                        <w:szCs w:val="18"/>
                      </w:rPr>
                    </w:pPr>
                  </w:p>
                </w:tc>
                <w:tc>
                  <w:tcPr>
                    <w:tcW w:w="255" w:type="pct"/>
                  </w:tcPr>
                  <w:p w14:paraId="71D62616" w14:textId="77777777" w:rsidR="007E7472" w:rsidRDefault="00C8327E">
                    <w:pPr>
                      <w:jc w:val="right"/>
                      <w:rPr>
                        <w:spacing w:val="-20"/>
                        <w:sz w:val="18"/>
                        <w:szCs w:val="18"/>
                      </w:rPr>
                    </w:pPr>
                  </w:p>
                </w:tc>
                <w:tc>
                  <w:tcPr>
                    <w:tcW w:w="219" w:type="pct"/>
                  </w:tcPr>
                  <w:p w14:paraId="3F801613" w14:textId="77777777" w:rsidR="007E7472" w:rsidRDefault="00C8327E">
                    <w:pPr>
                      <w:jc w:val="right"/>
                      <w:rPr>
                        <w:spacing w:val="-20"/>
                        <w:sz w:val="18"/>
                        <w:szCs w:val="18"/>
                      </w:rPr>
                    </w:pPr>
                  </w:p>
                </w:tc>
                <w:tc>
                  <w:tcPr>
                    <w:tcW w:w="398" w:type="pct"/>
                  </w:tcPr>
                  <w:p w14:paraId="2FDBA8F3" w14:textId="77777777" w:rsidR="007E7472" w:rsidRDefault="00C8327E">
                    <w:pPr>
                      <w:jc w:val="right"/>
                      <w:rPr>
                        <w:spacing w:val="-20"/>
                        <w:sz w:val="18"/>
                        <w:szCs w:val="18"/>
                      </w:rPr>
                    </w:pPr>
                  </w:p>
                </w:tc>
                <w:tc>
                  <w:tcPr>
                    <w:tcW w:w="205" w:type="pct"/>
                  </w:tcPr>
                  <w:p w14:paraId="18ED4826" w14:textId="77777777" w:rsidR="007E7472" w:rsidRDefault="00C8327E">
                    <w:pPr>
                      <w:jc w:val="right"/>
                      <w:rPr>
                        <w:spacing w:val="-20"/>
                        <w:sz w:val="18"/>
                        <w:szCs w:val="18"/>
                      </w:rPr>
                    </w:pPr>
                  </w:p>
                </w:tc>
                <w:tc>
                  <w:tcPr>
                    <w:tcW w:w="379" w:type="pct"/>
                  </w:tcPr>
                  <w:p w14:paraId="61F5936C" w14:textId="77777777" w:rsidR="007E7472" w:rsidRDefault="00EC1269">
                    <w:pPr>
                      <w:jc w:val="right"/>
                      <w:rPr>
                        <w:spacing w:val="-20"/>
                        <w:sz w:val="18"/>
                        <w:szCs w:val="18"/>
                      </w:rPr>
                    </w:pPr>
                    <w:r>
                      <w:rPr>
                        <w:rFonts w:hint="eastAsia"/>
                        <w:spacing w:val="-20"/>
                        <w:sz w:val="18"/>
                        <w:szCs w:val="18"/>
                      </w:rPr>
                      <w:t>24,380</w:t>
                    </w:r>
                  </w:p>
                </w:tc>
                <w:tc>
                  <w:tcPr>
                    <w:tcW w:w="330" w:type="pct"/>
                  </w:tcPr>
                  <w:p w14:paraId="25258A3A" w14:textId="77777777" w:rsidR="007E7472" w:rsidRDefault="00EC1269">
                    <w:pPr>
                      <w:jc w:val="right"/>
                      <w:rPr>
                        <w:spacing w:val="-20"/>
                        <w:sz w:val="18"/>
                        <w:szCs w:val="18"/>
                      </w:rPr>
                    </w:pPr>
                    <w:r>
                      <w:rPr>
                        <w:rFonts w:hint="eastAsia"/>
                        <w:spacing w:val="-20"/>
                        <w:sz w:val="18"/>
                        <w:szCs w:val="18"/>
                      </w:rPr>
                      <w:t>1,192</w:t>
                    </w:r>
                  </w:p>
                </w:tc>
                <w:tc>
                  <w:tcPr>
                    <w:tcW w:w="356" w:type="pct"/>
                  </w:tcPr>
                  <w:p w14:paraId="2C348D71" w14:textId="77777777" w:rsidR="007E7472" w:rsidRDefault="00EC1269">
                    <w:pPr>
                      <w:jc w:val="right"/>
                      <w:rPr>
                        <w:spacing w:val="-20"/>
                        <w:sz w:val="18"/>
                        <w:szCs w:val="18"/>
                      </w:rPr>
                    </w:pPr>
                    <w:r>
                      <w:rPr>
                        <w:rFonts w:hint="eastAsia"/>
                        <w:spacing w:val="-20"/>
                        <w:sz w:val="18"/>
                        <w:szCs w:val="18"/>
                      </w:rPr>
                      <w:t>25,572</w:t>
                    </w:r>
                  </w:p>
                </w:tc>
              </w:tr>
              <w:tr w:rsidR="007E7472" w14:paraId="4531019B" w14:textId="77777777">
                <w:sdt>
                  <w:sdtPr>
                    <w:tag w:val="_PLD_033ca7ec3c1d4c1b905d0af57ca8a614"/>
                    <w:id w:val="-640500300"/>
                    <w:lock w:val="sdtLocked"/>
                  </w:sdtPr>
                  <w:sdtEndPr/>
                  <w:sdtContent>
                    <w:tc>
                      <w:tcPr>
                        <w:tcW w:w="610" w:type="pct"/>
                      </w:tcPr>
                      <w:p w14:paraId="12299ABD" w14:textId="77777777" w:rsidR="007E7472" w:rsidRDefault="00EC1269">
                        <w:pPr>
                          <w:rPr>
                            <w:sz w:val="18"/>
                            <w:szCs w:val="18"/>
                          </w:rPr>
                        </w:pPr>
                        <w:r>
                          <w:rPr>
                            <w:sz w:val="18"/>
                            <w:szCs w:val="18"/>
                          </w:rPr>
                          <w:t>四、本期期末余额</w:t>
                        </w:r>
                      </w:p>
                    </w:tc>
                  </w:sdtContent>
                </w:sdt>
                <w:tc>
                  <w:tcPr>
                    <w:tcW w:w="305" w:type="pct"/>
                    <w:vAlign w:val="center"/>
                  </w:tcPr>
                  <w:p w14:paraId="61220F10" w14:textId="77777777" w:rsidR="007E7472" w:rsidRDefault="00EC1269">
                    <w:pPr>
                      <w:jc w:val="right"/>
                      <w:rPr>
                        <w:spacing w:val="-20"/>
                        <w:sz w:val="18"/>
                        <w:szCs w:val="18"/>
                      </w:rPr>
                    </w:pPr>
                    <w:r>
                      <w:rPr>
                        <w:rFonts w:hint="eastAsia"/>
                        <w:spacing w:val="-20"/>
                        <w:sz w:val="18"/>
                        <w:szCs w:val="18"/>
                      </w:rPr>
                      <w:t>4,961,361</w:t>
                    </w:r>
                  </w:p>
                </w:tc>
                <w:tc>
                  <w:tcPr>
                    <w:tcW w:w="192" w:type="pct"/>
                  </w:tcPr>
                  <w:p w14:paraId="72A8C0CF" w14:textId="77777777" w:rsidR="007E7472" w:rsidRDefault="00C8327E">
                    <w:pPr>
                      <w:jc w:val="right"/>
                      <w:rPr>
                        <w:spacing w:val="-20"/>
                        <w:sz w:val="18"/>
                        <w:szCs w:val="18"/>
                      </w:rPr>
                    </w:pPr>
                  </w:p>
                </w:tc>
                <w:tc>
                  <w:tcPr>
                    <w:tcW w:w="330" w:type="pct"/>
                    <w:vAlign w:val="center"/>
                  </w:tcPr>
                  <w:p w14:paraId="4EF9C9E6" w14:textId="77777777" w:rsidR="007E7472" w:rsidRDefault="00EC1269">
                    <w:pPr>
                      <w:jc w:val="right"/>
                      <w:rPr>
                        <w:spacing w:val="-20"/>
                        <w:sz w:val="18"/>
                        <w:szCs w:val="18"/>
                      </w:rPr>
                    </w:pPr>
                    <w:r>
                      <w:rPr>
                        <w:rFonts w:hint="eastAsia"/>
                        <w:spacing w:val="-20"/>
                        <w:sz w:val="18"/>
                        <w:szCs w:val="18"/>
                      </w:rPr>
                      <w:t>11,37</w:t>
                    </w:r>
                    <w:r>
                      <w:rPr>
                        <w:spacing w:val="-20"/>
                        <w:sz w:val="18"/>
                        <w:szCs w:val="18"/>
                      </w:rPr>
                      <w:t>9</w:t>
                    </w:r>
                    <w:r>
                      <w:rPr>
                        <w:rFonts w:hint="eastAsia"/>
                        <w:spacing w:val="-20"/>
                        <w:sz w:val="18"/>
                        <w:szCs w:val="18"/>
                      </w:rPr>
                      <w:t>,</w:t>
                    </w:r>
                    <w:r>
                      <w:rPr>
                        <w:spacing w:val="-20"/>
                        <w:sz w:val="18"/>
                        <w:szCs w:val="18"/>
                      </w:rPr>
                      <w:t>1</w:t>
                    </w:r>
                    <w:r>
                      <w:rPr>
                        <w:rFonts w:hint="eastAsia"/>
                        <w:spacing w:val="-20"/>
                        <w:sz w:val="18"/>
                        <w:szCs w:val="18"/>
                      </w:rPr>
                      <w:t>89</w:t>
                    </w:r>
                  </w:p>
                </w:tc>
                <w:tc>
                  <w:tcPr>
                    <w:tcW w:w="147" w:type="pct"/>
                  </w:tcPr>
                  <w:p w14:paraId="5FC34A67" w14:textId="77777777" w:rsidR="007E7472" w:rsidRDefault="00C8327E">
                    <w:pPr>
                      <w:jc w:val="right"/>
                      <w:rPr>
                        <w:spacing w:val="-20"/>
                        <w:sz w:val="18"/>
                        <w:szCs w:val="18"/>
                      </w:rPr>
                    </w:pPr>
                  </w:p>
                </w:tc>
                <w:tc>
                  <w:tcPr>
                    <w:tcW w:w="358" w:type="pct"/>
                    <w:vAlign w:val="center"/>
                  </w:tcPr>
                  <w:p w14:paraId="620A470E" w14:textId="77777777" w:rsidR="007E7472" w:rsidRDefault="00EC1269">
                    <w:pPr>
                      <w:jc w:val="right"/>
                      <w:rPr>
                        <w:spacing w:val="-20"/>
                        <w:sz w:val="18"/>
                        <w:szCs w:val="18"/>
                      </w:rPr>
                    </w:pPr>
                    <w:r>
                      <w:rPr>
                        <w:rFonts w:hint="eastAsia"/>
                        <w:spacing w:val="-20"/>
                        <w:sz w:val="18"/>
                        <w:szCs w:val="18"/>
                      </w:rPr>
                      <w:t>1,781,590</w:t>
                    </w:r>
                  </w:p>
                </w:tc>
                <w:tc>
                  <w:tcPr>
                    <w:tcW w:w="256" w:type="pct"/>
                    <w:vAlign w:val="center"/>
                  </w:tcPr>
                  <w:p w14:paraId="3F54C4AB" w14:textId="77777777" w:rsidR="007E7472" w:rsidRDefault="00EC1269">
                    <w:pPr>
                      <w:jc w:val="right"/>
                      <w:rPr>
                        <w:spacing w:val="-20"/>
                        <w:sz w:val="18"/>
                        <w:szCs w:val="18"/>
                      </w:rPr>
                    </w:pPr>
                    <w:r>
                      <w:rPr>
                        <w:rFonts w:hint="eastAsia"/>
                        <w:spacing w:val="-20"/>
                        <w:sz w:val="18"/>
                        <w:szCs w:val="18"/>
                      </w:rPr>
                      <w:t>723,593</w:t>
                    </w:r>
                  </w:p>
                </w:tc>
                <w:tc>
                  <w:tcPr>
                    <w:tcW w:w="356" w:type="pct"/>
                    <w:vAlign w:val="center"/>
                  </w:tcPr>
                  <w:p w14:paraId="3209B322" w14:textId="77777777" w:rsidR="007E7472" w:rsidRDefault="00EC1269">
                    <w:pPr>
                      <w:jc w:val="right"/>
                      <w:rPr>
                        <w:spacing w:val="-20"/>
                        <w:sz w:val="18"/>
                        <w:szCs w:val="18"/>
                      </w:rPr>
                    </w:pPr>
                    <w:r>
                      <w:rPr>
                        <w:rFonts w:hint="eastAsia"/>
                        <w:spacing w:val="-20"/>
                        <w:sz w:val="18"/>
                        <w:szCs w:val="18"/>
                      </w:rPr>
                      <w:t>-6,446,926</w:t>
                    </w:r>
                  </w:p>
                </w:tc>
                <w:tc>
                  <w:tcPr>
                    <w:tcW w:w="305" w:type="pct"/>
                    <w:vAlign w:val="center"/>
                  </w:tcPr>
                  <w:p w14:paraId="3929DF1E" w14:textId="77777777" w:rsidR="007E7472" w:rsidRDefault="00EC1269">
                    <w:pPr>
                      <w:jc w:val="right"/>
                      <w:rPr>
                        <w:spacing w:val="-20"/>
                        <w:sz w:val="18"/>
                        <w:szCs w:val="18"/>
                      </w:rPr>
                    </w:pPr>
                    <w:r>
                      <w:rPr>
                        <w:rFonts w:hint="eastAsia"/>
                        <w:spacing w:val="-20"/>
                        <w:sz w:val="18"/>
                        <w:szCs w:val="18"/>
                      </w:rPr>
                      <w:t>4,670,636</w:t>
                    </w:r>
                  </w:p>
                </w:tc>
                <w:tc>
                  <w:tcPr>
                    <w:tcW w:w="255" w:type="pct"/>
                    <w:vAlign w:val="center"/>
                  </w:tcPr>
                  <w:p w14:paraId="16614B7B" w14:textId="77777777" w:rsidR="007E7472" w:rsidRDefault="00EC1269">
                    <w:pPr>
                      <w:jc w:val="right"/>
                      <w:rPr>
                        <w:spacing w:val="-20"/>
                        <w:sz w:val="18"/>
                        <w:szCs w:val="18"/>
                      </w:rPr>
                    </w:pPr>
                    <w:r>
                      <w:rPr>
                        <w:rFonts w:hint="eastAsia"/>
                        <w:spacing w:val="-20"/>
                        <w:sz w:val="18"/>
                        <w:szCs w:val="18"/>
                      </w:rPr>
                      <w:t>912,700</w:t>
                    </w:r>
                  </w:p>
                </w:tc>
                <w:tc>
                  <w:tcPr>
                    <w:tcW w:w="219" w:type="pct"/>
                  </w:tcPr>
                  <w:p w14:paraId="2D996F66" w14:textId="77777777" w:rsidR="007E7472" w:rsidRDefault="00C8327E">
                    <w:pPr>
                      <w:jc w:val="right"/>
                      <w:rPr>
                        <w:spacing w:val="-20"/>
                        <w:sz w:val="18"/>
                        <w:szCs w:val="18"/>
                      </w:rPr>
                    </w:pPr>
                  </w:p>
                </w:tc>
                <w:tc>
                  <w:tcPr>
                    <w:tcW w:w="398" w:type="pct"/>
                    <w:vAlign w:val="center"/>
                  </w:tcPr>
                  <w:p w14:paraId="72535AFE" w14:textId="77777777" w:rsidR="007E7472" w:rsidRDefault="00EC1269">
                    <w:pPr>
                      <w:jc w:val="right"/>
                      <w:rPr>
                        <w:spacing w:val="-20"/>
                        <w:sz w:val="18"/>
                        <w:szCs w:val="18"/>
                      </w:rPr>
                    </w:pPr>
                    <w:r>
                      <w:rPr>
                        <w:rFonts w:hint="eastAsia"/>
                        <w:spacing w:val="-20"/>
                        <w:sz w:val="18"/>
                        <w:szCs w:val="18"/>
                      </w:rPr>
                      <w:t>66,276,764</w:t>
                    </w:r>
                  </w:p>
                </w:tc>
                <w:tc>
                  <w:tcPr>
                    <w:tcW w:w="205" w:type="pct"/>
                  </w:tcPr>
                  <w:p w14:paraId="02D6B24C" w14:textId="77777777" w:rsidR="007E7472" w:rsidRDefault="00C8327E">
                    <w:pPr>
                      <w:jc w:val="right"/>
                      <w:rPr>
                        <w:spacing w:val="-20"/>
                        <w:sz w:val="18"/>
                        <w:szCs w:val="18"/>
                      </w:rPr>
                    </w:pPr>
                  </w:p>
                </w:tc>
                <w:tc>
                  <w:tcPr>
                    <w:tcW w:w="379" w:type="pct"/>
                    <w:vAlign w:val="center"/>
                  </w:tcPr>
                  <w:p w14:paraId="0182B001" w14:textId="77777777" w:rsidR="007E7472" w:rsidRDefault="00EC1269">
                    <w:pPr>
                      <w:jc w:val="right"/>
                      <w:rPr>
                        <w:spacing w:val="-20"/>
                        <w:sz w:val="18"/>
                        <w:szCs w:val="18"/>
                      </w:rPr>
                    </w:pPr>
                    <w:r>
                      <w:rPr>
                        <w:spacing w:val="-20"/>
                        <w:sz w:val="18"/>
                        <w:szCs w:val="18"/>
                      </w:rPr>
                      <w:t>82,811,721</w:t>
                    </w:r>
                  </w:p>
                </w:tc>
                <w:tc>
                  <w:tcPr>
                    <w:tcW w:w="330" w:type="pct"/>
                    <w:vAlign w:val="center"/>
                  </w:tcPr>
                  <w:p w14:paraId="0DA6D828" w14:textId="77777777" w:rsidR="007E7472" w:rsidRDefault="00EC1269">
                    <w:pPr>
                      <w:jc w:val="right"/>
                      <w:rPr>
                        <w:spacing w:val="-20"/>
                        <w:sz w:val="18"/>
                        <w:szCs w:val="18"/>
                      </w:rPr>
                    </w:pPr>
                    <w:r>
                      <w:rPr>
                        <w:rFonts w:hint="eastAsia"/>
                        <w:spacing w:val="-20"/>
                        <w:sz w:val="18"/>
                        <w:szCs w:val="18"/>
                      </w:rPr>
                      <w:t>33,890,853</w:t>
                    </w:r>
                  </w:p>
                </w:tc>
                <w:tc>
                  <w:tcPr>
                    <w:tcW w:w="356" w:type="pct"/>
                    <w:vAlign w:val="center"/>
                  </w:tcPr>
                  <w:p w14:paraId="54BF2D12" w14:textId="77777777" w:rsidR="007E7472" w:rsidRDefault="00EC1269">
                    <w:pPr>
                      <w:jc w:val="right"/>
                      <w:rPr>
                        <w:spacing w:val="-20"/>
                        <w:sz w:val="18"/>
                        <w:szCs w:val="18"/>
                      </w:rPr>
                    </w:pPr>
                    <w:r>
                      <w:rPr>
                        <w:rFonts w:hint="eastAsia"/>
                        <w:spacing w:val="-20"/>
                        <w:sz w:val="18"/>
                        <w:szCs w:val="18"/>
                      </w:rPr>
                      <w:t>116,702,574</w:t>
                    </w:r>
                  </w:p>
                </w:tc>
              </w:tr>
            </w:tbl>
            <w:p w14:paraId="04178336" w14:textId="77777777" w:rsidR="007E7472" w:rsidRDefault="00C8327E"/>
            <w:p w14:paraId="15115150" w14:textId="77777777" w:rsidR="007E7472" w:rsidRDefault="00C8327E">
              <w:pPr>
                <w:snapToGrid w:val="0"/>
                <w:spacing w:line="240" w:lineRule="atLeast"/>
                <w:ind w:rightChars="-759" w:right="-1594"/>
              </w:pPr>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1"/>
                <w:gridCol w:w="846"/>
                <w:gridCol w:w="637"/>
                <w:gridCol w:w="916"/>
                <w:gridCol w:w="643"/>
                <w:gridCol w:w="846"/>
                <w:gridCol w:w="706"/>
                <w:gridCol w:w="960"/>
                <w:gridCol w:w="846"/>
                <w:gridCol w:w="706"/>
                <w:gridCol w:w="547"/>
                <w:gridCol w:w="916"/>
                <w:gridCol w:w="755"/>
                <w:gridCol w:w="916"/>
                <w:gridCol w:w="916"/>
                <w:gridCol w:w="986"/>
              </w:tblGrid>
              <w:tr w:rsidR="007E7472" w14:paraId="6B28B8A6" w14:textId="77777777">
                <w:trPr>
                  <w:cantSplit/>
                </w:trPr>
                <w:tc>
                  <w:tcPr>
                    <w:tcW w:w="628" w:type="pct"/>
                    <w:vMerge w:val="restart"/>
                    <w:vAlign w:val="center"/>
                  </w:tcPr>
                  <w:sdt>
                    <w:sdtPr>
                      <w:rPr>
                        <w:rFonts w:hint="eastAsia"/>
                        <w:sz w:val="18"/>
                        <w:szCs w:val="18"/>
                      </w:rPr>
                      <w:tag w:val="_PLD_20eb9c9dd1e14fb0a0790f87b63a489d"/>
                      <w:id w:val="446592477"/>
                      <w:lock w:val="sdtLocked"/>
                    </w:sdtPr>
                    <w:sdtEndPr/>
                    <w:sdtContent>
                      <w:p w14:paraId="5469215C" w14:textId="77777777" w:rsidR="007E7472" w:rsidRDefault="00EC1269">
                        <w:pPr>
                          <w:snapToGrid w:val="0"/>
                          <w:spacing w:line="240" w:lineRule="atLeast"/>
                          <w:jc w:val="center"/>
                          <w:rPr>
                            <w:sz w:val="18"/>
                            <w:szCs w:val="18"/>
                          </w:rPr>
                        </w:pPr>
                        <w:r>
                          <w:rPr>
                            <w:rFonts w:hint="eastAsia"/>
                            <w:sz w:val="18"/>
                            <w:szCs w:val="18"/>
                          </w:rPr>
                          <w:t>项目</w:t>
                        </w:r>
                      </w:p>
                    </w:sdtContent>
                  </w:sdt>
                </w:tc>
                <w:tc>
                  <w:tcPr>
                    <w:tcW w:w="4372" w:type="pct"/>
                    <w:gridSpan w:val="15"/>
                  </w:tcPr>
                  <w:p w14:paraId="6031A235" w14:textId="77777777" w:rsidR="007E7472" w:rsidRDefault="00C8327E">
                    <w:pPr>
                      <w:snapToGrid w:val="0"/>
                      <w:spacing w:line="240" w:lineRule="atLeast"/>
                      <w:jc w:val="center"/>
                    </w:pPr>
                    <w:sdt>
                      <w:sdtPr>
                        <w:rPr>
                          <w:rFonts w:hint="eastAsia"/>
                        </w:rPr>
                        <w:tag w:val="_PLD_95c0e6e5f75a49daa1b601f67b7dd704"/>
                        <w:id w:val="6487911"/>
                        <w:lock w:val="sdtLocked"/>
                      </w:sdtPr>
                      <w:sdtEndPr/>
                      <w:sdtContent>
                        <w:r w:rsidR="00EC1269">
                          <w:rPr>
                            <w:rFonts w:hint="eastAsia"/>
                            <w:sz w:val="18"/>
                            <w:szCs w:val="18"/>
                          </w:rPr>
                          <w:t>2022年半年度</w:t>
                        </w:r>
                      </w:sdtContent>
                    </w:sdt>
                  </w:p>
                </w:tc>
              </w:tr>
              <w:tr w:rsidR="007E7472" w14:paraId="0D18F303" w14:textId="77777777">
                <w:trPr>
                  <w:cantSplit/>
                  <w:trHeight w:val="471"/>
                </w:trPr>
                <w:tc>
                  <w:tcPr>
                    <w:tcW w:w="628" w:type="pct"/>
                    <w:vMerge/>
                  </w:tcPr>
                  <w:p w14:paraId="144099A4" w14:textId="77777777" w:rsidR="007E7472" w:rsidRDefault="00C8327E">
                    <w:pPr>
                      <w:snapToGrid w:val="0"/>
                      <w:spacing w:line="240" w:lineRule="atLeast"/>
                      <w:ind w:rightChars="-759" w:right="-1594"/>
                      <w:rPr>
                        <w:sz w:val="18"/>
                        <w:szCs w:val="18"/>
                      </w:rPr>
                    </w:pPr>
                  </w:p>
                </w:tc>
                <w:sdt>
                  <w:sdtPr>
                    <w:tag w:val="_PLD_3c5d65171933469ea16eac46afc03a54"/>
                    <w:id w:val="-2087906162"/>
                    <w:lock w:val="sdtLocked"/>
                  </w:sdtPr>
                  <w:sdtEndPr/>
                  <w:sdtContent>
                    <w:tc>
                      <w:tcPr>
                        <w:tcW w:w="3686" w:type="pct"/>
                        <w:gridSpan w:val="13"/>
                        <w:vAlign w:val="center"/>
                      </w:tcPr>
                      <w:p w14:paraId="0D52DA42" w14:textId="77777777" w:rsidR="007E7472" w:rsidRDefault="00EC1269">
                        <w:pPr>
                          <w:jc w:val="center"/>
                        </w:pPr>
                        <w:r>
                          <w:rPr>
                            <w:sz w:val="18"/>
                            <w:szCs w:val="18"/>
                          </w:rPr>
                          <w:t>归属于母公司所有者权益</w:t>
                        </w:r>
                      </w:p>
                    </w:tc>
                  </w:sdtContent>
                </w:sdt>
                <w:sdt>
                  <w:sdtPr>
                    <w:tag w:val="_PLD_ba7b1c99b1634f48939c500d6c46ce09"/>
                    <w:id w:val="-802537057"/>
                    <w:lock w:val="sdtLocked"/>
                  </w:sdtPr>
                  <w:sdtEndPr/>
                  <w:sdtContent>
                    <w:tc>
                      <w:tcPr>
                        <w:tcW w:w="330" w:type="pct"/>
                        <w:vMerge w:val="restart"/>
                        <w:vAlign w:val="center"/>
                      </w:tcPr>
                      <w:p w14:paraId="3E8BD9DD" w14:textId="77777777" w:rsidR="007E7472" w:rsidRDefault="00EC1269">
                        <w:pPr>
                          <w:jc w:val="center"/>
                          <w:rPr>
                            <w:sz w:val="18"/>
                            <w:szCs w:val="18"/>
                          </w:rPr>
                        </w:pPr>
                        <w:r>
                          <w:rPr>
                            <w:sz w:val="18"/>
                            <w:szCs w:val="18"/>
                          </w:rPr>
                          <w:t>少数股东权益</w:t>
                        </w:r>
                      </w:p>
                    </w:tc>
                  </w:sdtContent>
                </w:sdt>
                <w:sdt>
                  <w:sdtPr>
                    <w:tag w:val="_PLD_fb367567c5f141a5863649df07435b71"/>
                    <w:id w:val="-1002732549"/>
                    <w:lock w:val="sdtLocked"/>
                  </w:sdtPr>
                  <w:sdtEndPr/>
                  <w:sdtContent>
                    <w:tc>
                      <w:tcPr>
                        <w:tcW w:w="356" w:type="pct"/>
                        <w:vMerge w:val="restart"/>
                        <w:vAlign w:val="center"/>
                      </w:tcPr>
                      <w:p w14:paraId="1631BC7E" w14:textId="77777777" w:rsidR="007E7472" w:rsidRDefault="00EC1269">
                        <w:pPr>
                          <w:jc w:val="center"/>
                          <w:rPr>
                            <w:sz w:val="18"/>
                            <w:szCs w:val="18"/>
                          </w:rPr>
                        </w:pPr>
                        <w:r>
                          <w:rPr>
                            <w:sz w:val="18"/>
                            <w:szCs w:val="18"/>
                          </w:rPr>
                          <w:t>所有者权益合计</w:t>
                        </w:r>
                      </w:p>
                    </w:tc>
                  </w:sdtContent>
                </w:sdt>
              </w:tr>
              <w:tr w:rsidR="007E7472" w14:paraId="00FC98D9" w14:textId="77777777">
                <w:trPr>
                  <w:cantSplit/>
                  <w:trHeight w:val="383"/>
                </w:trPr>
                <w:tc>
                  <w:tcPr>
                    <w:tcW w:w="628" w:type="pct"/>
                    <w:vMerge/>
                  </w:tcPr>
                  <w:p w14:paraId="112F6746" w14:textId="77777777" w:rsidR="007E7472" w:rsidRDefault="00C8327E">
                    <w:pPr>
                      <w:snapToGrid w:val="0"/>
                      <w:spacing w:line="240" w:lineRule="atLeast"/>
                      <w:ind w:rightChars="-759" w:right="-1594"/>
                      <w:rPr>
                        <w:sz w:val="18"/>
                        <w:szCs w:val="18"/>
                      </w:rPr>
                    </w:pPr>
                  </w:p>
                </w:tc>
                <w:sdt>
                  <w:sdtPr>
                    <w:tag w:val="_PLD_36b3a5c009c04b53b0bd25afc2596e7e"/>
                    <w:id w:val="-1898196132"/>
                    <w:lock w:val="sdtLocked"/>
                  </w:sdtPr>
                  <w:sdtEndPr/>
                  <w:sdtContent>
                    <w:tc>
                      <w:tcPr>
                        <w:tcW w:w="305" w:type="pct"/>
                        <w:vMerge w:val="restart"/>
                        <w:vAlign w:val="center"/>
                      </w:tcPr>
                      <w:p w14:paraId="6299B036" w14:textId="77777777" w:rsidR="007E7472" w:rsidRDefault="00EC1269">
                        <w:pPr>
                          <w:snapToGrid w:val="0"/>
                          <w:spacing w:line="240" w:lineRule="atLeast"/>
                          <w:jc w:val="center"/>
                          <w:rPr>
                            <w:sz w:val="18"/>
                            <w:szCs w:val="18"/>
                          </w:rPr>
                        </w:pPr>
                        <w:r>
                          <w:rPr>
                            <w:rFonts w:hint="eastAsia"/>
                            <w:sz w:val="18"/>
                            <w:szCs w:val="18"/>
                          </w:rPr>
                          <w:t>实收资本</w:t>
                        </w:r>
                        <w:r>
                          <w:rPr>
                            <w:sz w:val="18"/>
                            <w:szCs w:val="18"/>
                          </w:rPr>
                          <w:t>(或股本)</w:t>
                        </w:r>
                      </w:p>
                    </w:tc>
                  </w:sdtContent>
                </w:sdt>
                <w:sdt>
                  <w:sdtPr>
                    <w:tag w:val="_PLD_c0579a9940424a129a85d26955bb30bc"/>
                    <w:id w:val="-670022797"/>
                    <w:lock w:val="sdtLocked"/>
                  </w:sdtPr>
                  <w:sdtEndPr/>
                  <w:sdtContent>
                    <w:tc>
                      <w:tcPr>
                        <w:tcW w:w="806" w:type="pct"/>
                        <w:gridSpan w:val="3"/>
                        <w:vAlign w:val="center"/>
                      </w:tcPr>
                      <w:p w14:paraId="3D09E1E8" w14:textId="77777777" w:rsidR="007E7472" w:rsidRDefault="00EC1269">
                        <w:pPr>
                          <w:snapToGrid w:val="0"/>
                          <w:spacing w:line="240" w:lineRule="atLeast"/>
                          <w:jc w:val="center"/>
                          <w:rPr>
                            <w:sz w:val="18"/>
                            <w:szCs w:val="18"/>
                          </w:rPr>
                        </w:pPr>
                        <w:r>
                          <w:rPr>
                            <w:rFonts w:hint="eastAsia"/>
                            <w:sz w:val="18"/>
                            <w:szCs w:val="18"/>
                          </w:rPr>
                          <w:t>其他权益工具</w:t>
                        </w:r>
                      </w:p>
                    </w:tc>
                  </w:sdtContent>
                </w:sdt>
                <w:sdt>
                  <w:sdtPr>
                    <w:tag w:val="_PLD_f728bf12d1d64c4fa04dfc828a7a0411"/>
                    <w:id w:val="-432826023"/>
                    <w:lock w:val="sdtLocked"/>
                  </w:sdtPr>
                  <w:sdtEndPr/>
                  <w:sdtContent>
                    <w:tc>
                      <w:tcPr>
                        <w:tcW w:w="305" w:type="pct"/>
                        <w:vMerge w:val="restart"/>
                        <w:vAlign w:val="center"/>
                      </w:tcPr>
                      <w:p w14:paraId="3F2C5666" w14:textId="77777777" w:rsidR="007E7472" w:rsidRDefault="00EC1269">
                        <w:pPr>
                          <w:snapToGrid w:val="0"/>
                          <w:spacing w:line="240" w:lineRule="atLeast"/>
                          <w:jc w:val="center"/>
                          <w:rPr>
                            <w:sz w:val="18"/>
                            <w:szCs w:val="18"/>
                          </w:rPr>
                        </w:pPr>
                        <w:r>
                          <w:rPr>
                            <w:rFonts w:hint="eastAsia"/>
                            <w:sz w:val="18"/>
                            <w:szCs w:val="18"/>
                          </w:rPr>
                          <w:t>资本公积</w:t>
                        </w:r>
                      </w:p>
                    </w:tc>
                  </w:sdtContent>
                </w:sdt>
                <w:sdt>
                  <w:sdtPr>
                    <w:tag w:val="_PLD_8c191e0685ac4367b113504c484a11e9"/>
                    <w:id w:val="1019745033"/>
                    <w:lock w:val="sdtLocked"/>
                  </w:sdtPr>
                  <w:sdtEndPr/>
                  <w:sdtContent>
                    <w:tc>
                      <w:tcPr>
                        <w:tcW w:w="255" w:type="pct"/>
                        <w:vMerge w:val="restart"/>
                        <w:vAlign w:val="center"/>
                      </w:tcPr>
                      <w:p w14:paraId="22FB6E15" w14:textId="77777777" w:rsidR="007E7472" w:rsidRDefault="00EC1269">
                        <w:pPr>
                          <w:snapToGrid w:val="0"/>
                          <w:spacing w:line="240" w:lineRule="atLeast"/>
                          <w:jc w:val="center"/>
                          <w:rPr>
                            <w:sz w:val="18"/>
                            <w:szCs w:val="18"/>
                          </w:rPr>
                        </w:pPr>
                        <w:r>
                          <w:rPr>
                            <w:rFonts w:hint="eastAsia"/>
                            <w:sz w:val="18"/>
                            <w:szCs w:val="18"/>
                          </w:rPr>
                          <w:t>减：库存股</w:t>
                        </w:r>
                      </w:p>
                    </w:tc>
                  </w:sdtContent>
                </w:sdt>
                <w:sdt>
                  <w:sdtPr>
                    <w:tag w:val="_PLD_68ae3206209542ea8491f40d49bafeb7"/>
                    <w:id w:val="-2025701836"/>
                    <w:lock w:val="sdtLocked"/>
                  </w:sdtPr>
                  <w:sdtEndPr/>
                  <w:sdtContent>
                    <w:tc>
                      <w:tcPr>
                        <w:tcW w:w="359" w:type="pct"/>
                        <w:vMerge w:val="restart"/>
                        <w:vAlign w:val="center"/>
                      </w:tcPr>
                      <w:p w14:paraId="22BAEC1B" w14:textId="77777777" w:rsidR="007E7472" w:rsidRDefault="00EC1269">
                        <w:pPr>
                          <w:snapToGrid w:val="0"/>
                          <w:spacing w:line="240" w:lineRule="atLeast"/>
                          <w:jc w:val="center"/>
                          <w:rPr>
                            <w:sz w:val="18"/>
                            <w:szCs w:val="18"/>
                          </w:rPr>
                        </w:pPr>
                        <w:r>
                          <w:rPr>
                            <w:rFonts w:hint="eastAsia"/>
                            <w:sz w:val="18"/>
                            <w:szCs w:val="18"/>
                          </w:rPr>
                          <w:t>其他综合收益</w:t>
                        </w:r>
                      </w:p>
                    </w:tc>
                  </w:sdtContent>
                </w:sdt>
                <w:sdt>
                  <w:sdtPr>
                    <w:tag w:val="_PLD_6402f064d7a041d58973d8b8205096d0"/>
                    <w:id w:val="-1311011815"/>
                    <w:lock w:val="sdtLocked"/>
                  </w:sdtPr>
                  <w:sdtEndPr/>
                  <w:sdtContent>
                    <w:tc>
                      <w:tcPr>
                        <w:tcW w:w="252" w:type="pct"/>
                        <w:vMerge w:val="restart"/>
                        <w:vAlign w:val="center"/>
                      </w:tcPr>
                      <w:p w14:paraId="78007E6E" w14:textId="77777777" w:rsidR="007E7472" w:rsidRDefault="00EC1269">
                        <w:pPr>
                          <w:snapToGrid w:val="0"/>
                          <w:spacing w:line="240" w:lineRule="atLeast"/>
                          <w:jc w:val="center"/>
                          <w:rPr>
                            <w:sz w:val="18"/>
                            <w:szCs w:val="18"/>
                          </w:rPr>
                        </w:pPr>
                        <w:r>
                          <w:rPr>
                            <w:rFonts w:hint="eastAsia"/>
                            <w:sz w:val="18"/>
                            <w:szCs w:val="18"/>
                          </w:rPr>
                          <w:t>专项储备</w:t>
                        </w:r>
                      </w:p>
                    </w:tc>
                  </w:sdtContent>
                </w:sdt>
                <w:sdt>
                  <w:sdtPr>
                    <w:tag w:val="_PLD_b1d22d8686164205bfa14ef647cebfcd"/>
                    <w:id w:val="105787801"/>
                    <w:lock w:val="sdtLocked"/>
                  </w:sdtPr>
                  <w:sdtEndPr/>
                  <w:sdtContent>
                    <w:tc>
                      <w:tcPr>
                        <w:tcW w:w="255" w:type="pct"/>
                        <w:vMerge w:val="restart"/>
                        <w:vAlign w:val="center"/>
                      </w:tcPr>
                      <w:p w14:paraId="45FF2BC2" w14:textId="77777777" w:rsidR="007E7472" w:rsidRDefault="00EC1269">
                        <w:pPr>
                          <w:snapToGrid w:val="0"/>
                          <w:spacing w:line="240" w:lineRule="atLeast"/>
                          <w:jc w:val="center"/>
                          <w:rPr>
                            <w:sz w:val="18"/>
                            <w:szCs w:val="18"/>
                          </w:rPr>
                        </w:pPr>
                        <w:r>
                          <w:rPr>
                            <w:rFonts w:hint="eastAsia"/>
                            <w:sz w:val="18"/>
                            <w:szCs w:val="18"/>
                          </w:rPr>
                          <w:t>盈余公积</w:t>
                        </w:r>
                      </w:p>
                    </w:tc>
                  </w:sdtContent>
                </w:sdt>
                <w:sdt>
                  <w:sdtPr>
                    <w:tag w:val="_PLD_c5c57d0195b14864b413898a9c76e89d"/>
                    <w:id w:val="131447558"/>
                    <w:lock w:val="sdtLocked"/>
                  </w:sdtPr>
                  <w:sdtEndPr/>
                  <w:sdtContent>
                    <w:tc>
                      <w:tcPr>
                        <w:tcW w:w="210" w:type="pct"/>
                        <w:vMerge w:val="restart"/>
                        <w:vAlign w:val="center"/>
                      </w:tcPr>
                      <w:p w14:paraId="693E9D99" w14:textId="77777777" w:rsidR="007E7472" w:rsidRDefault="00EC1269">
                        <w:pPr>
                          <w:snapToGrid w:val="0"/>
                          <w:spacing w:line="240" w:lineRule="atLeast"/>
                          <w:jc w:val="center"/>
                          <w:rPr>
                            <w:sz w:val="18"/>
                            <w:szCs w:val="18"/>
                          </w:rPr>
                        </w:pPr>
                        <w:r>
                          <w:rPr>
                            <w:rFonts w:hint="eastAsia"/>
                            <w:sz w:val="18"/>
                            <w:szCs w:val="18"/>
                          </w:rPr>
                          <w:t>一般风险准备</w:t>
                        </w:r>
                      </w:p>
                    </w:tc>
                  </w:sdtContent>
                </w:sdt>
                <w:sdt>
                  <w:sdtPr>
                    <w:tag w:val="_PLD_c9bffd2027d24ca1955db036ad79f5ea"/>
                    <w:id w:val="1156423221"/>
                    <w:lock w:val="sdtLocked"/>
                  </w:sdtPr>
                  <w:sdtEndPr/>
                  <w:sdtContent>
                    <w:tc>
                      <w:tcPr>
                        <w:tcW w:w="330" w:type="pct"/>
                        <w:vMerge w:val="restart"/>
                        <w:vAlign w:val="center"/>
                      </w:tcPr>
                      <w:p w14:paraId="2230D48B" w14:textId="77777777" w:rsidR="007E7472" w:rsidRDefault="00EC1269">
                        <w:pPr>
                          <w:snapToGrid w:val="0"/>
                          <w:spacing w:line="240" w:lineRule="atLeast"/>
                          <w:jc w:val="center"/>
                          <w:rPr>
                            <w:sz w:val="18"/>
                            <w:szCs w:val="18"/>
                          </w:rPr>
                        </w:pPr>
                        <w:r>
                          <w:rPr>
                            <w:rFonts w:hint="eastAsia"/>
                            <w:sz w:val="18"/>
                            <w:szCs w:val="18"/>
                          </w:rPr>
                          <w:t>未分配利润</w:t>
                        </w:r>
                      </w:p>
                    </w:tc>
                  </w:sdtContent>
                </w:sdt>
                <w:tc>
                  <w:tcPr>
                    <w:tcW w:w="279" w:type="pct"/>
                    <w:vMerge w:val="restart"/>
                    <w:vAlign w:val="center"/>
                  </w:tcPr>
                  <w:sdt>
                    <w:sdtPr>
                      <w:rPr>
                        <w:rFonts w:hint="eastAsia"/>
                        <w:sz w:val="18"/>
                        <w:szCs w:val="18"/>
                      </w:rPr>
                      <w:tag w:val="_PLD_de6da1e2128f48e49564e44af75ff7ab"/>
                      <w:id w:val="-459956325"/>
                      <w:lock w:val="sdtLocked"/>
                    </w:sdtPr>
                    <w:sdtEndPr/>
                    <w:sdtContent>
                      <w:sdt>
                        <w:sdtPr>
                          <w:rPr>
                            <w:rFonts w:hint="eastAsia"/>
                            <w:sz w:val="18"/>
                            <w:szCs w:val="18"/>
                          </w:rPr>
                          <w:tag w:val="_PLD_ff5e808cf3794086a9aee4c489a9f6eb"/>
                          <w:id w:val="-1084987147"/>
                          <w:lock w:val="sdtLocked"/>
                        </w:sdtPr>
                        <w:sdtEndPr/>
                        <w:sdtContent>
                          <w:p w14:paraId="4656A9CB" w14:textId="77777777" w:rsidR="007E7472" w:rsidRDefault="00EC1269">
                            <w:pPr>
                              <w:jc w:val="center"/>
                              <w:rPr>
                                <w:sz w:val="18"/>
                                <w:szCs w:val="18"/>
                              </w:rPr>
                            </w:pPr>
                            <w:r>
                              <w:rPr>
                                <w:rFonts w:hint="eastAsia"/>
                                <w:sz w:val="18"/>
                                <w:szCs w:val="18"/>
                              </w:rPr>
                              <w:t>其他</w:t>
                            </w:r>
                          </w:p>
                        </w:sdtContent>
                      </w:sdt>
                    </w:sdtContent>
                  </w:sdt>
                </w:tc>
                <w:tc>
                  <w:tcPr>
                    <w:tcW w:w="331" w:type="pct"/>
                    <w:vMerge w:val="restart"/>
                    <w:vAlign w:val="center"/>
                  </w:tcPr>
                  <w:sdt>
                    <w:sdtPr>
                      <w:rPr>
                        <w:rFonts w:hint="eastAsia"/>
                        <w:sz w:val="18"/>
                        <w:szCs w:val="18"/>
                      </w:rPr>
                      <w:tag w:val="_PLD_e6df9793a438430a8df9730b2cdd8a99"/>
                      <w:id w:val="1691020323"/>
                      <w:lock w:val="sdtLocked"/>
                    </w:sdtPr>
                    <w:sdtEndPr/>
                    <w:sdtContent>
                      <w:p w14:paraId="05BCADA9" w14:textId="77777777" w:rsidR="007E7472" w:rsidRDefault="00EC1269">
                        <w:pPr>
                          <w:jc w:val="center"/>
                          <w:rPr>
                            <w:sz w:val="18"/>
                            <w:szCs w:val="18"/>
                          </w:rPr>
                        </w:pPr>
                        <w:r>
                          <w:rPr>
                            <w:rFonts w:hint="eastAsia"/>
                            <w:sz w:val="18"/>
                            <w:szCs w:val="18"/>
                          </w:rPr>
                          <w:t>小计</w:t>
                        </w:r>
                      </w:p>
                    </w:sdtContent>
                  </w:sdt>
                </w:tc>
                <w:tc>
                  <w:tcPr>
                    <w:tcW w:w="330" w:type="pct"/>
                    <w:vMerge/>
                  </w:tcPr>
                  <w:p w14:paraId="325EE8DD" w14:textId="77777777" w:rsidR="007E7472" w:rsidRDefault="00C8327E">
                    <w:pPr>
                      <w:jc w:val="center"/>
                      <w:rPr>
                        <w:sz w:val="18"/>
                        <w:szCs w:val="18"/>
                      </w:rPr>
                    </w:pPr>
                  </w:p>
                </w:tc>
                <w:tc>
                  <w:tcPr>
                    <w:tcW w:w="356" w:type="pct"/>
                    <w:vMerge/>
                  </w:tcPr>
                  <w:p w14:paraId="7E183029" w14:textId="77777777" w:rsidR="007E7472" w:rsidRDefault="00C8327E">
                    <w:pPr>
                      <w:jc w:val="center"/>
                      <w:rPr>
                        <w:sz w:val="18"/>
                        <w:szCs w:val="18"/>
                      </w:rPr>
                    </w:pPr>
                  </w:p>
                </w:tc>
              </w:tr>
              <w:tr w:rsidR="007E7472" w14:paraId="2170AA92" w14:textId="77777777">
                <w:trPr>
                  <w:cantSplit/>
                  <w:trHeight w:val="303"/>
                </w:trPr>
                <w:tc>
                  <w:tcPr>
                    <w:tcW w:w="628" w:type="pct"/>
                    <w:vMerge/>
                  </w:tcPr>
                  <w:p w14:paraId="75806B5C" w14:textId="77777777" w:rsidR="007E7472" w:rsidRDefault="00C8327E">
                    <w:pPr>
                      <w:snapToGrid w:val="0"/>
                      <w:spacing w:line="240" w:lineRule="atLeast"/>
                      <w:ind w:rightChars="-759" w:right="-1594"/>
                      <w:rPr>
                        <w:sz w:val="18"/>
                        <w:szCs w:val="18"/>
                      </w:rPr>
                    </w:pPr>
                  </w:p>
                </w:tc>
                <w:tc>
                  <w:tcPr>
                    <w:tcW w:w="305" w:type="pct"/>
                    <w:vMerge/>
                  </w:tcPr>
                  <w:p w14:paraId="5AA3A0E8" w14:textId="77777777" w:rsidR="007E7472" w:rsidRDefault="00C8327E">
                    <w:pPr>
                      <w:snapToGrid w:val="0"/>
                      <w:spacing w:line="240" w:lineRule="atLeast"/>
                      <w:jc w:val="center"/>
                      <w:rPr>
                        <w:sz w:val="18"/>
                        <w:szCs w:val="18"/>
                      </w:rPr>
                    </w:pPr>
                  </w:p>
                </w:tc>
                <w:sdt>
                  <w:sdtPr>
                    <w:tag w:val="_PLD_052ae87eff474159aaedec0c5ce4bb50"/>
                    <w:id w:val="1867864237"/>
                    <w:lock w:val="sdtLocked"/>
                  </w:sdtPr>
                  <w:sdtEndPr/>
                  <w:sdtContent>
                    <w:tc>
                      <w:tcPr>
                        <w:tcW w:w="237" w:type="pct"/>
                        <w:vAlign w:val="center"/>
                      </w:tcPr>
                      <w:p w14:paraId="5260CCA8" w14:textId="77777777" w:rsidR="007E7472" w:rsidRDefault="00EC1269">
                        <w:pPr>
                          <w:jc w:val="center"/>
                          <w:rPr>
                            <w:sz w:val="18"/>
                            <w:szCs w:val="18"/>
                          </w:rPr>
                        </w:pPr>
                        <w:r>
                          <w:rPr>
                            <w:rFonts w:hint="eastAsia"/>
                            <w:sz w:val="18"/>
                            <w:szCs w:val="18"/>
                          </w:rPr>
                          <w:t>优先股</w:t>
                        </w:r>
                      </w:p>
                    </w:tc>
                  </w:sdtContent>
                </w:sdt>
                <w:sdt>
                  <w:sdtPr>
                    <w:tag w:val="_PLD_f40d311f528a48d8a47457e11ad5ccd5"/>
                    <w:id w:val="1131824914"/>
                    <w:lock w:val="sdtLocked"/>
                  </w:sdtPr>
                  <w:sdtEndPr/>
                  <w:sdtContent>
                    <w:tc>
                      <w:tcPr>
                        <w:tcW w:w="330" w:type="pct"/>
                        <w:vAlign w:val="center"/>
                      </w:tcPr>
                      <w:p w14:paraId="669823D8" w14:textId="77777777" w:rsidR="007E7472" w:rsidRDefault="00EC1269">
                        <w:pPr>
                          <w:jc w:val="center"/>
                          <w:rPr>
                            <w:sz w:val="18"/>
                            <w:szCs w:val="18"/>
                          </w:rPr>
                        </w:pPr>
                        <w:r>
                          <w:rPr>
                            <w:rFonts w:hint="eastAsia"/>
                            <w:sz w:val="18"/>
                            <w:szCs w:val="18"/>
                          </w:rPr>
                          <w:t>永续债</w:t>
                        </w:r>
                      </w:p>
                    </w:tc>
                  </w:sdtContent>
                </w:sdt>
                <w:sdt>
                  <w:sdtPr>
                    <w:tag w:val="_PLD_90f98adf8eaf44078005d57f570c4291"/>
                    <w:id w:val="-522483029"/>
                    <w:lock w:val="sdtLocked"/>
                  </w:sdtPr>
                  <w:sdtEndPr/>
                  <w:sdtContent>
                    <w:tc>
                      <w:tcPr>
                        <w:tcW w:w="239" w:type="pct"/>
                        <w:vAlign w:val="center"/>
                      </w:tcPr>
                      <w:p w14:paraId="75A3F500" w14:textId="77777777" w:rsidR="007E7472" w:rsidRDefault="00EC1269">
                        <w:pPr>
                          <w:jc w:val="center"/>
                          <w:rPr>
                            <w:sz w:val="18"/>
                            <w:szCs w:val="18"/>
                          </w:rPr>
                        </w:pPr>
                        <w:r>
                          <w:rPr>
                            <w:rFonts w:hint="eastAsia"/>
                            <w:sz w:val="18"/>
                            <w:szCs w:val="18"/>
                          </w:rPr>
                          <w:t>其他</w:t>
                        </w:r>
                      </w:p>
                    </w:tc>
                  </w:sdtContent>
                </w:sdt>
                <w:tc>
                  <w:tcPr>
                    <w:tcW w:w="305" w:type="pct"/>
                    <w:vMerge/>
                  </w:tcPr>
                  <w:p w14:paraId="2DFAF18B" w14:textId="77777777" w:rsidR="007E7472" w:rsidRDefault="00C8327E">
                    <w:pPr>
                      <w:snapToGrid w:val="0"/>
                      <w:spacing w:line="240" w:lineRule="atLeast"/>
                      <w:jc w:val="center"/>
                      <w:rPr>
                        <w:sz w:val="18"/>
                        <w:szCs w:val="18"/>
                      </w:rPr>
                    </w:pPr>
                  </w:p>
                </w:tc>
                <w:tc>
                  <w:tcPr>
                    <w:tcW w:w="255" w:type="pct"/>
                    <w:vMerge/>
                  </w:tcPr>
                  <w:p w14:paraId="0F1134BF" w14:textId="77777777" w:rsidR="007E7472" w:rsidRDefault="00C8327E">
                    <w:pPr>
                      <w:snapToGrid w:val="0"/>
                      <w:spacing w:line="240" w:lineRule="atLeast"/>
                      <w:jc w:val="center"/>
                      <w:rPr>
                        <w:sz w:val="18"/>
                        <w:szCs w:val="18"/>
                      </w:rPr>
                    </w:pPr>
                  </w:p>
                </w:tc>
                <w:tc>
                  <w:tcPr>
                    <w:tcW w:w="359" w:type="pct"/>
                    <w:vMerge/>
                  </w:tcPr>
                  <w:p w14:paraId="22212F4C" w14:textId="77777777" w:rsidR="007E7472" w:rsidRDefault="00C8327E">
                    <w:pPr>
                      <w:snapToGrid w:val="0"/>
                      <w:spacing w:line="240" w:lineRule="atLeast"/>
                      <w:jc w:val="center"/>
                      <w:rPr>
                        <w:sz w:val="18"/>
                        <w:szCs w:val="18"/>
                      </w:rPr>
                    </w:pPr>
                  </w:p>
                </w:tc>
                <w:tc>
                  <w:tcPr>
                    <w:tcW w:w="252" w:type="pct"/>
                    <w:vMerge/>
                  </w:tcPr>
                  <w:p w14:paraId="6E203B04" w14:textId="77777777" w:rsidR="007E7472" w:rsidRDefault="00C8327E">
                    <w:pPr>
                      <w:snapToGrid w:val="0"/>
                      <w:spacing w:line="240" w:lineRule="atLeast"/>
                      <w:jc w:val="center"/>
                      <w:rPr>
                        <w:sz w:val="18"/>
                        <w:szCs w:val="18"/>
                      </w:rPr>
                    </w:pPr>
                  </w:p>
                </w:tc>
                <w:tc>
                  <w:tcPr>
                    <w:tcW w:w="255" w:type="pct"/>
                    <w:vMerge/>
                  </w:tcPr>
                  <w:p w14:paraId="6585026F" w14:textId="77777777" w:rsidR="007E7472" w:rsidRDefault="00C8327E">
                    <w:pPr>
                      <w:snapToGrid w:val="0"/>
                      <w:spacing w:line="240" w:lineRule="atLeast"/>
                      <w:jc w:val="center"/>
                      <w:rPr>
                        <w:sz w:val="18"/>
                        <w:szCs w:val="18"/>
                      </w:rPr>
                    </w:pPr>
                  </w:p>
                </w:tc>
                <w:tc>
                  <w:tcPr>
                    <w:tcW w:w="210" w:type="pct"/>
                    <w:vMerge/>
                  </w:tcPr>
                  <w:p w14:paraId="3ABB5170" w14:textId="77777777" w:rsidR="007E7472" w:rsidRDefault="00C8327E">
                    <w:pPr>
                      <w:snapToGrid w:val="0"/>
                      <w:spacing w:line="240" w:lineRule="atLeast"/>
                      <w:jc w:val="center"/>
                      <w:rPr>
                        <w:sz w:val="18"/>
                        <w:szCs w:val="18"/>
                      </w:rPr>
                    </w:pPr>
                  </w:p>
                </w:tc>
                <w:tc>
                  <w:tcPr>
                    <w:tcW w:w="330" w:type="pct"/>
                    <w:vMerge/>
                  </w:tcPr>
                  <w:p w14:paraId="3F300BDB" w14:textId="77777777" w:rsidR="007E7472" w:rsidRDefault="00C8327E">
                    <w:pPr>
                      <w:snapToGrid w:val="0"/>
                      <w:spacing w:line="240" w:lineRule="atLeast"/>
                      <w:jc w:val="center"/>
                      <w:rPr>
                        <w:sz w:val="18"/>
                        <w:szCs w:val="18"/>
                      </w:rPr>
                    </w:pPr>
                  </w:p>
                </w:tc>
                <w:tc>
                  <w:tcPr>
                    <w:tcW w:w="279" w:type="pct"/>
                    <w:vMerge/>
                  </w:tcPr>
                  <w:p w14:paraId="3143A60E" w14:textId="77777777" w:rsidR="007E7472" w:rsidRDefault="00C8327E">
                    <w:pPr>
                      <w:jc w:val="center"/>
                      <w:rPr>
                        <w:sz w:val="18"/>
                        <w:szCs w:val="18"/>
                      </w:rPr>
                    </w:pPr>
                  </w:p>
                </w:tc>
                <w:tc>
                  <w:tcPr>
                    <w:tcW w:w="331" w:type="pct"/>
                    <w:vMerge/>
                  </w:tcPr>
                  <w:p w14:paraId="0B46243B" w14:textId="77777777" w:rsidR="007E7472" w:rsidRDefault="00C8327E">
                    <w:pPr>
                      <w:jc w:val="center"/>
                      <w:rPr>
                        <w:sz w:val="18"/>
                        <w:szCs w:val="18"/>
                      </w:rPr>
                    </w:pPr>
                  </w:p>
                </w:tc>
                <w:tc>
                  <w:tcPr>
                    <w:tcW w:w="330" w:type="pct"/>
                    <w:vMerge/>
                  </w:tcPr>
                  <w:p w14:paraId="1CE8A74E" w14:textId="77777777" w:rsidR="007E7472" w:rsidRDefault="00C8327E">
                    <w:pPr>
                      <w:jc w:val="center"/>
                      <w:rPr>
                        <w:sz w:val="18"/>
                        <w:szCs w:val="18"/>
                      </w:rPr>
                    </w:pPr>
                  </w:p>
                </w:tc>
                <w:tc>
                  <w:tcPr>
                    <w:tcW w:w="356" w:type="pct"/>
                    <w:vMerge/>
                    <w:tcBorders>
                      <w:bottom w:val="nil"/>
                    </w:tcBorders>
                  </w:tcPr>
                  <w:p w14:paraId="246713D5" w14:textId="77777777" w:rsidR="007E7472" w:rsidRDefault="00C8327E">
                    <w:pPr>
                      <w:jc w:val="center"/>
                      <w:rPr>
                        <w:sz w:val="18"/>
                        <w:szCs w:val="18"/>
                      </w:rPr>
                    </w:pPr>
                  </w:p>
                </w:tc>
              </w:tr>
              <w:tr w:rsidR="007E7472" w14:paraId="461834D3" w14:textId="77777777">
                <w:sdt>
                  <w:sdtPr>
                    <w:tag w:val="_PLD_7e9607e7cfb34d74bf0fce08e0866d34"/>
                    <w:id w:val="837968931"/>
                    <w:lock w:val="sdtLocked"/>
                  </w:sdtPr>
                  <w:sdtEndPr/>
                  <w:sdtContent>
                    <w:tc>
                      <w:tcPr>
                        <w:tcW w:w="628" w:type="pct"/>
                      </w:tcPr>
                      <w:p w14:paraId="7A4C74DC" w14:textId="77777777" w:rsidR="007E7472" w:rsidRDefault="00EC1269">
                        <w:pPr>
                          <w:rPr>
                            <w:sz w:val="18"/>
                            <w:szCs w:val="18"/>
                          </w:rPr>
                        </w:pPr>
                        <w:r>
                          <w:rPr>
                            <w:sz w:val="18"/>
                            <w:szCs w:val="18"/>
                          </w:rPr>
                          <w:t>一、上年</w:t>
                        </w:r>
                        <w:r>
                          <w:rPr>
                            <w:rFonts w:hint="eastAsia"/>
                            <w:sz w:val="18"/>
                            <w:szCs w:val="18"/>
                          </w:rPr>
                          <w:t>期</w:t>
                        </w:r>
                        <w:r>
                          <w:rPr>
                            <w:sz w:val="18"/>
                            <w:szCs w:val="18"/>
                          </w:rPr>
                          <w:t>末余额</w:t>
                        </w:r>
                      </w:p>
                    </w:tc>
                  </w:sdtContent>
                </w:sdt>
                <w:tc>
                  <w:tcPr>
                    <w:tcW w:w="305" w:type="pct"/>
                    <w:vAlign w:val="center"/>
                  </w:tcPr>
                  <w:p w14:paraId="622C033F"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4,874,184</w:t>
                    </w:r>
                  </w:p>
                </w:tc>
                <w:tc>
                  <w:tcPr>
                    <w:tcW w:w="237" w:type="pct"/>
                    <w:vAlign w:val="center"/>
                  </w:tcPr>
                  <w:p w14:paraId="4D85744F"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13CBCE2C"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8,118,100</w:t>
                    </w:r>
                  </w:p>
                </w:tc>
                <w:tc>
                  <w:tcPr>
                    <w:tcW w:w="239" w:type="pct"/>
                    <w:vAlign w:val="center"/>
                  </w:tcPr>
                  <w:p w14:paraId="0CB12ECD" w14:textId="77777777" w:rsidR="007E7472" w:rsidRDefault="00C8327E">
                    <w:pPr>
                      <w:jc w:val="right"/>
                      <w:rPr>
                        <w:rFonts w:asciiTheme="minorEastAsia" w:eastAsiaTheme="minorEastAsia" w:hAnsiTheme="minorEastAsia"/>
                        <w:spacing w:val="-20"/>
                        <w:sz w:val="18"/>
                        <w:szCs w:val="18"/>
                      </w:rPr>
                    </w:pPr>
                  </w:p>
                </w:tc>
                <w:tc>
                  <w:tcPr>
                    <w:tcW w:w="305" w:type="pct"/>
                    <w:vAlign w:val="center"/>
                  </w:tcPr>
                  <w:p w14:paraId="045D2686"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813,712</w:t>
                    </w:r>
                  </w:p>
                </w:tc>
                <w:tc>
                  <w:tcPr>
                    <w:tcW w:w="255" w:type="pct"/>
                    <w:vAlign w:val="center"/>
                  </w:tcPr>
                  <w:p w14:paraId="049B9110" w14:textId="77777777" w:rsidR="007E7472" w:rsidRDefault="00C8327E">
                    <w:pPr>
                      <w:jc w:val="right"/>
                      <w:rPr>
                        <w:rFonts w:asciiTheme="minorEastAsia" w:eastAsiaTheme="minorEastAsia" w:hAnsiTheme="minorEastAsia"/>
                        <w:spacing w:val="-20"/>
                        <w:sz w:val="18"/>
                        <w:szCs w:val="18"/>
                      </w:rPr>
                    </w:pPr>
                  </w:p>
                </w:tc>
                <w:tc>
                  <w:tcPr>
                    <w:tcW w:w="359" w:type="pct"/>
                    <w:vAlign w:val="center"/>
                  </w:tcPr>
                  <w:p w14:paraId="5F18D6FF"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-7,553,774</w:t>
                    </w:r>
                  </w:p>
                </w:tc>
                <w:tc>
                  <w:tcPr>
                    <w:tcW w:w="252" w:type="pct"/>
                    <w:vAlign w:val="center"/>
                  </w:tcPr>
                  <w:p w14:paraId="56FCD9B7"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4,655,185</w:t>
                    </w:r>
                  </w:p>
                </w:tc>
                <w:tc>
                  <w:tcPr>
                    <w:tcW w:w="255" w:type="pct"/>
                    <w:vAlign w:val="center"/>
                  </w:tcPr>
                  <w:p w14:paraId="3D391C98"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912,700</w:t>
                    </w:r>
                  </w:p>
                </w:tc>
                <w:tc>
                  <w:tcPr>
                    <w:tcW w:w="210" w:type="pct"/>
                    <w:vAlign w:val="center"/>
                  </w:tcPr>
                  <w:p w14:paraId="530AC843"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5FB19265"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56,366,083</w:t>
                    </w:r>
                  </w:p>
                </w:tc>
                <w:tc>
                  <w:tcPr>
                    <w:tcW w:w="279" w:type="pct"/>
                    <w:vAlign w:val="center"/>
                  </w:tcPr>
                  <w:p w14:paraId="3A4A27A6" w14:textId="77777777" w:rsidR="007E7472" w:rsidRDefault="00C8327E">
                    <w:pPr>
                      <w:jc w:val="right"/>
                      <w:rPr>
                        <w:rFonts w:asciiTheme="minorEastAsia" w:eastAsiaTheme="minorEastAsia" w:hAnsiTheme="minorEastAsia"/>
                        <w:spacing w:val="-20"/>
                        <w:sz w:val="18"/>
                        <w:szCs w:val="18"/>
                      </w:rPr>
                    </w:pPr>
                  </w:p>
                </w:tc>
                <w:tc>
                  <w:tcPr>
                    <w:tcW w:w="331" w:type="pct"/>
                    <w:vAlign w:val="center"/>
                  </w:tcPr>
                  <w:p w14:paraId="49DFE7EA"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68,186,190</w:t>
                    </w:r>
                  </w:p>
                </w:tc>
                <w:tc>
                  <w:tcPr>
                    <w:tcW w:w="330" w:type="pct"/>
                    <w:vAlign w:val="center"/>
                  </w:tcPr>
                  <w:p w14:paraId="2DD0E954"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28,300,902</w:t>
                    </w:r>
                  </w:p>
                </w:tc>
                <w:tc>
                  <w:tcPr>
                    <w:tcW w:w="356" w:type="pct"/>
                    <w:vAlign w:val="center"/>
                  </w:tcPr>
                  <w:p w14:paraId="429415E1"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96,487,092</w:t>
                    </w:r>
                  </w:p>
                </w:tc>
              </w:tr>
              <w:tr w:rsidR="007E7472" w14:paraId="6D76481E" w14:textId="77777777">
                <w:sdt>
                  <w:sdtPr>
                    <w:tag w:val="_PLD_fd33bb0caf614a75b319dc40c7515dcc"/>
                    <w:id w:val="-35980301"/>
                    <w:lock w:val="sdtLocked"/>
                  </w:sdtPr>
                  <w:sdtEndPr/>
                  <w:sdtContent>
                    <w:tc>
                      <w:tcPr>
                        <w:tcW w:w="628" w:type="pct"/>
                      </w:tcPr>
                      <w:p w14:paraId="29AF658F" w14:textId="77777777" w:rsidR="007E7472" w:rsidRDefault="00EC1269">
                        <w:pPr>
                          <w:rPr>
                            <w:sz w:val="18"/>
                            <w:szCs w:val="18"/>
                          </w:rPr>
                        </w:pPr>
                        <w:r>
                          <w:rPr>
                            <w:rFonts w:hint="eastAsia"/>
                            <w:sz w:val="18"/>
                            <w:szCs w:val="18"/>
                          </w:rPr>
                          <w:t>加：</w:t>
                        </w:r>
                        <w:r>
                          <w:rPr>
                            <w:sz w:val="18"/>
                            <w:szCs w:val="18"/>
                          </w:rPr>
                          <w:t>会计政策变更</w:t>
                        </w:r>
                      </w:p>
                    </w:tc>
                  </w:sdtContent>
                </w:sdt>
                <w:tc>
                  <w:tcPr>
                    <w:tcW w:w="305" w:type="pct"/>
                    <w:vAlign w:val="center"/>
                  </w:tcPr>
                  <w:p w14:paraId="48D7EFCC" w14:textId="77777777" w:rsidR="007E7472" w:rsidRDefault="00C8327E">
                    <w:pPr>
                      <w:jc w:val="right"/>
                      <w:rPr>
                        <w:rFonts w:asciiTheme="minorEastAsia" w:eastAsiaTheme="minorEastAsia" w:hAnsiTheme="minorEastAsia"/>
                        <w:spacing w:val="-20"/>
                        <w:sz w:val="18"/>
                        <w:szCs w:val="18"/>
                      </w:rPr>
                    </w:pPr>
                  </w:p>
                </w:tc>
                <w:tc>
                  <w:tcPr>
                    <w:tcW w:w="237" w:type="pct"/>
                    <w:vAlign w:val="center"/>
                  </w:tcPr>
                  <w:p w14:paraId="1F173E93"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59C86298" w14:textId="77777777" w:rsidR="007E7472" w:rsidRDefault="00C8327E">
                    <w:pPr>
                      <w:jc w:val="right"/>
                      <w:rPr>
                        <w:rFonts w:asciiTheme="minorEastAsia" w:eastAsiaTheme="minorEastAsia" w:hAnsiTheme="minorEastAsia"/>
                        <w:spacing w:val="-20"/>
                        <w:sz w:val="18"/>
                        <w:szCs w:val="18"/>
                      </w:rPr>
                    </w:pPr>
                  </w:p>
                </w:tc>
                <w:tc>
                  <w:tcPr>
                    <w:tcW w:w="239" w:type="pct"/>
                    <w:vAlign w:val="center"/>
                  </w:tcPr>
                  <w:p w14:paraId="777B4F36" w14:textId="77777777" w:rsidR="007E7472" w:rsidRDefault="00C8327E">
                    <w:pPr>
                      <w:jc w:val="right"/>
                      <w:rPr>
                        <w:rFonts w:asciiTheme="minorEastAsia" w:eastAsiaTheme="minorEastAsia" w:hAnsiTheme="minorEastAsia"/>
                        <w:spacing w:val="-20"/>
                        <w:sz w:val="18"/>
                        <w:szCs w:val="18"/>
                      </w:rPr>
                    </w:pPr>
                  </w:p>
                </w:tc>
                <w:tc>
                  <w:tcPr>
                    <w:tcW w:w="305" w:type="pct"/>
                    <w:vAlign w:val="center"/>
                  </w:tcPr>
                  <w:p w14:paraId="509ABD55" w14:textId="77777777" w:rsidR="007E7472" w:rsidRDefault="00C8327E">
                    <w:pPr>
                      <w:jc w:val="right"/>
                      <w:rPr>
                        <w:rFonts w:asciiTheme="minorEastAsia" w:eastAsiaTheme="minorEastAsia" w:hAnsiTheme="minorEastAsia"/>
                        <w:spacing w:val="-20"/>
                        <w:sz w:val="18"/>
                        <w:szCs w:val="18"/>
                      </w:rPr>
                    </w:pPr>
                  </w:p>
                </w:tc>
                <w:tc>
                  <w:tcPr>
                    <w:tcW w:w="255" w:type="pct"/>
                    <w:vAlign w:val="center"/>
                  </w:tcPr>
                  <w:p w14:paraId="5B5E4350" w14:textId="77777777" w:rsidR="007E7472" w:rsidRDefault="00C8327E">
                    <w:pPr>
                      <w:jc w:val="right"/>
                      <w:rPr>
                        <w:rFonts w:asciiTheme="minorEastAsia" w:eastAsiaTheme="minorEastAsia" w:hAnsiTheme="minorEastAsia"/>
                        <w:spacing w:val="-20"/>
                        <w:sz w:val="18"/>
                        <w:szCs w:val="18"/>
                      </w:rPr>
                    </w:pPr>
                  </w:p>
                </w:tc>
                <w:tc>
                  <w:tcPr>
                    <w:tcW w:w="359" w:type="pct"/>
                    <w:vAlign w:val="center"/>
                  </w:tcPr>
                  <w:p w14:paraId="4A49414F" w14:textId="77777777" w:rsidR="007E7472" w:rsidRDefault="00C8327E">
                    <w:pPr>
                      <w:jc w:val="right"/>
                      <w:rPr>
                        <w:rFonts w:asciiTheme="minorEastAsia" w:eastAsiaTheme="minorEastAsia" w:hAnsiTheme="minorEastAsia"/>
                        <w:spacing w:val="-20"/>
                        <w:sz w:val="18"/>
                        <w:szCs w:val="18"/>
                      </w:rPr>
                    </w:pPr>
                  </w:p>
                </w:tc>
                <w:tc>
                  <w:tcPr>
                    <w:tcW w:w="252" w:type="pct"/>
                    <w:vAlign w:val="center"/>
                  </w:tcPr>
                  <w:p w14:paraId="775B4717" w14:textId="77777777" w:rsidR="007E7472" w:rsidRDefault="00C8327E">
                    <w:pPr>
                      <w:jc w:val="right"/>
                      <w:rPr>
                        <w:rFonts w:asciiTheme="minorEastAsia" w:eastAsiaTheme="minorEastAsia" w:hAnsiTheme="minorEastAsia"/>
                        <w:spacing w:val="-20"/>
                        <w:sz w:val="18"/>
                        <w:szCs w:val="18"/>
                      </w:rPr>
                    </w:pPr>
                  </w:p>
                </w:tc>
                <w:tc>
                  <w:tcPr>
                    <w:tcW w:w="255" w:type="pct"/>
                    <w:vAlign w:val="center"/>
                  </w:tcPr>
                  <w:p w14:paraId="03C343EE" w14:textId="77777777" w:rsidR="007E7472" w:rsidRDefault="00C8327E">
                    <w:pPr>
                      <w:jc w:val="right"/>
                      <w:rPr>
                        <w:rFonts w:asciiTheme="minorEastAsia" w:eastAsiaTheme="minorEastAsia" w:hAnsiTheme="minorEastAsia"/>
                        <w:spacing w:val="-20"/>
                        <w:sz w:val="18"/>
                        <w:szCs w:val="18"/>
                      </w:rPr>
                    </w:pPr>
                  </w:p>
                </w:tc>
                <w:tc>
                  <w:tcPr>
                    <w:tcW w:w="210" w:type="pct"/>
                    <w:vAlign w:val="center"/>
                  </w:tcPr>
                  <w:p w14:paraId="7511BDA0"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44A49DDC" w14:textId="77777777" w:rsidR="007E7472" w:rsidRDefault="00C8327E">
                    <w:pPr>
                      <w:jc w:val="right"/>
                      <w:rPr>
                        <w:rFonts w:asciiTheme="minorEastAsia" w:eastAsiaTheme="minorEastAsia" w:hAnsiTheme="minorEastAsia"/>
                        <w:spacing w:val="-20"/>
                        <w:sz w:val="18"/>
                        <w:szCs w:val="18"/>
                      </w:rPr>
                    </w:pPr>
                  </w:p>
                </w:tc>
                <w:tc>
                  <w:tcPr>
                    <w:tcW w:w="279" w:type="pct"/>
                    <w:vAlign w:val="center"/>
                  </w:tcPr>
                  <w:p w14:paraId="7A48C8C6" w14:textId="77777777" w:rsidR="007E7472" w:rsidRDefault="00C8327E">
                    <w:pPr>
                      <w:jc w:val="right"/>
                      <w:rPr>
                        <w:rFonts w:asciiTheme="minorEastAsia" w:eastAsiaTheme="minorEastAsia" w:hAnsiTheme="minorEastAsia"/>
                        <w:spacing w:val="-20"/>
                        <w:sz w:val="18"/>
                        <w:szCs w:val="18"/>
                      </w:rPr>
                    </w:pPr>
                  </w:p>
                </w:tc>
                <w:tc>
                  <w:tcPr>
                    <w:tcW w:w="331" w:type="pct"/>
                    <w:vAlign w:val="center"/>
                  </w:tcPr>
                  <w:p w14:paraId="554B5B8D"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4704015F" w14:textId="77777777" w:rsidR="007E7472" w:rsidRDefault="00C8327E">
                    <w:pPr>
                      <w:jc w:val="right"/>
                      <w:rPr>
                        <w:rFonts w:asciiTheme="minorEastAsia" w:eastAsiaTheme="minorEastAsia" w:hAnsiTheme="minorEastAsia"/>
                        <w:spacing w:val="-20"/>
                        <w:sz w:val="18"/>
                        <w:szCs w:val="18"/>
                      </w:rPr>
                    </w:pPr>
                  </w:p>
                </w:tc>
                <w:tc>
                  <w:tcPr>
                    <w:tcW w:w="356" w:type="pct"/>
                    <w:vAlign w:val="center"/>
                  </w:tcPr>
                  <w:p w14:paraId="7FB5687C" w14:textId="77777777" w:rsidR="007E7472" w:rsidRDefault="00C8327E">
                    <w:pPr>
                      <w:jc w:val="right"/>
                      <w:rPr>
                        <w:rFonts w:asciiTheme="minorEastAsia" w:eastAsiaTheme="minorEastAsia" w:hAnsiTheme="minorEastAsia"/>
                        <w:spacing w:val="-20"/>
                        <w:sz w:val="18"/>
                        <w:szCs w:val="18"/>
                      </w:rPr>
                    </w:pPr>
                  </w:p>
                </w:tc>
              </w:tr>
              <w:tr w:rsidR="007E7472" w14:paraId="6094A299" w14:textId="77777777">
                <w:sdt>
                  <w:sdtPr>
                    <w:tag w:val="_PLD_15b4364437fa4ad39040010f7c204056"/>
                    <w:id w:val="-73513301"/>
                    <w:lock w:val="sdtLocked"/>
                  </w:sdtPr>
                  <w:sdtEndPr/>
                  <w:sdtContent>
                    <w:tc>
                      <w:tcPr>
                        <w:tcW w:w="628" w:type="pct"/>
                      </w:tcPr>
                      <w:p w14:paraId="6DB99677" w14:textId="77777777" w:rsidR="007E7472" w:rsidRDefault="00EC1269">
                        <w:pPr>
                          <w:ind w:firstLineChars="200" w:firstLine="420"/>
                          <w:rPr>
                            <w:sz w:val="18"/>
                            <w:szCs w:val="18"/>
                          </w:rPr>
                        </w:pPr>
                        <w:r>
                          <w:rPr>
                            <w:sz w:val="18"/>
                            <w:szCs w:val="18"/>
                          </w:rPr>
                          <w:t>前期差错更正</w:t>
                        </w:r>
                      </w:p>
                    </w:tc>
                  </w:sdtContent>
                </w:sdt>
                <w:tc>
                  <w:tcPr>
                    <w:tcW w:w="305" w:type="pct"/>
                    <w:vAlign w:val="center"/>
                  </w:tcPr>
                  <w:p w14:paraId="03CE3EE8" w14:textId="77777777" w:rsidR="007E7472" w:rsidRDefault="00C8327E">
                    <w:pPr>
                      <w:jc w:val="right"/>
                      <w:rPr>
                        <w:rFonts w:asciiTheme="minorEastAsia" w:eastAsiaTheme="minorEastAsia" w:hAnsiTheme="minorEastAsia"/>
                        <w:spacing w:val="-20"/>
                        <w:sz w:val="18"/>
                        <w:szCs w:val="18"/>
                      </w:rPr>
                    </w:pPr>
                  </w:p>
                </w:tc>
                <w:tc>
                  <w:tcPr>
                    <w:tcW w:w="237" w:type="pct"/>
                    <w:vAlign w:val="center"/>
                  </w:tcPr>
                  <w:p w14:paraId="1A4FFE82"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09E38BDC" w14:textId="77777777" w:rsidR="007E7472" w:rsidRDefault="00C8327E">
                    <w:pPr>
                      <w:jc w:val="right"/>
                      <w:rPr>
                        <w:rFonts w:asciiTheme="minorEastAsia" w:eastAsiaTheme="minorEastAsia" w:hAnsiTheme="minorEastAsia"/>
                        <w:spacing w:val="-20"/>
                        <w:sz w:val="18"/>
                        <w:szCs w:val="18"/>
                      </w:rPr>
                    </w:pPr>
                  </w:p>
                </w:tc>
                <w:tc>
                  <w:tcPr>
                    <w:tcW w:w="239" w:type="pct"/>
                    <w:vAlign w:val="center"/>
                  </w:tcPr>
                  <w:p w14:paraId="79792719" w14:textId="77777777" w:rsidR="007E7472" w:rsidRDefault="00C8327E">
                    <w:pPr>
                      <w:jc w:val="right"/>
                      <w:rPr>
                        <w:rFonts w:asciiTheme="minorEastAsia" w:eastAsiaTheme="minorEastAsia" w:hAnsiTheme="minorEastAsia"/>
                        <w:spacing w:val="-20"/>
                        <w:sz w:val="18"/>
                        <w:szCs w:val="18"/>
                      </w:rPr>
                    </w:pPr>
                  </w:p>
                </w:tc>
                <w:tc>
                  <w:tcPr>
                    <w:tcW w:w="305" w:type="pct"/>
                    <w:vAlign w:val="center"/>
                  </w:tcPr>
                  <w:p w14:paraId="37DDE26B" w14:textId="77777777" w:rsidR="007E7472" w:rsidRDefault="00C8327E">
                    <w:pPr>
                      <w:jc w:val="right"/>
                      <w:rPr>
                        <w:rFonts w:asciiTheme="minorEastAsia" w:eastAsiaTheme="minorEastAsia" w:hAnsiTheme="minorEastAsia"/>
                        <w:spacing w:val="-20"/>
                        <w:sz w:val="18"/>
                        <w:szCs w:val="18"/>
                      </w:rPr>
                    </w:pPr>
                  </w:p>
                </w:tc>
                <w:tc>
                  <w:tcPr>
                    <w:tcW w:w="255" w:type="pct"/>
                    <w:vAlign w:val="center"/>
                  </w:tcPr>
                  <w:p w14:paraId="5643F1EB" w14:textId="77777777" w:rsidR="007E7472" w:rsidRDefault="00C8327E">
                    <w:pPr>
                      <w:jc w:val="right"/>
                      <w:rPr>
                        <w:rFonts w:asciiTheme="minorEastAsia" w:eastAsiaTheme="minorEastAsia" w:hAnsiTheme="minorEastAsia"/>
                        <w:spacing w:val="-20"/>
                        <w:sz w:val="18"/>
                        <w:szCs w:val="18"/>
                      </w:rPr>
                    </w:pPr>
                  </w:p>
                </w:tc>
                <w:tc>
                  <w:tcPr>
                    <w:tcW w:w="359" w:type="pct"/>
                    <w:vAlign w:val="center"/>
                  </w:tcPr>
                  <w:p w14:paraId="07A4B66A" w14:textId="77777777" w:rsidR="007E7472" w:rsidRDefault="00C8327E">
                    <w:pPr>
                      <w:jc w:val="right"/>
                      <w:rPr>
                        <w:rFonts w:asciiTheme="minorEastAsia" w:eastAsiaTheme="minorEastAsia" w:hAnsiTheme="minorEastAsia"/>
                        <w:spacing w:val="-20"/>
                        <w:sz w:val="18"/>
                        <w:szCs w:val="18"/>
                      </w:rPr>
                    </w:pPr>
                  </w:p>
                </w:tc>
                <w:tc>
                  <w:tcPr>
                    <w:tcW w:w="252" w:type="pct"/>
                    <w:vAlign w:val="center"/>
                  </w:tcPr>
                  <w:p w14:paraId="54F6C584" w14:textId="77777777" w:rsidR="007E7472" w:rsidRDefault="00C8327E">
                    <w:pPr>
                      <w:jc w:val="right"/>
                      <w:rPr>
                        <w:rFonts w:asciiTheme="minorEastAsia" w:eastAsiaTheme="minorEastAsia" w:hAnsiTheme="minorEastAsia"/>
                        <w:spacing w:val="-20"/>
                        <w:sz w:val="18"/>
                        <w:szCs w:val="18"/>
                      </w:rPr>
                    </w:pPr>
                  </w:p>
                </w:tc>
                <w:tc>
                  <w:tcPr>
                    <w:tcW w:w="255" w:type="pct"/>
                    <w:vAlign w:val="center"/>
                  </w:tcPr>
                  <w:p w14:paraId="1A043DF6" w14:textId="77777777" w:rsidR="007E7472" w:rsidRDefault="00C8327E">
                    <w:pPr>
                      <w:jc w:val="right"/>
                      <w:rPr>
                        <w:rFonts w:asciiTheme="minorEastAsia" w:eastAsiaTheme="minorEastAsia" w:hAnsiTheme="minorEastAsia"/>
                        <w:spacing w:val="-20"/>
                        <w:sz w:val="18"/>
                        <w:szCs w:val="18"/>
                      </w:rPr>
                    </w:pPr>
                  </w:p>
                </w:tc>
                <w:tc>
                  <w:tcPr>
                    <w:tcW w:w="210" w:type="pct"/>
                    <w:vAlign w:val="center"/>
                  </w:tcPr>
                  <w:p w14:paraId="2FC9B426"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6810EEF8" w14:textId="77777777" w:rsidR="007E7472" w:rsidRDefault="00C8327E">
                    <w:pPr>
                      <w:jc w:val="right"/>
                      <w:rPr>
                        <w:rFonts w:asciiTheme="minorEastAsia" w:eastAsiaTheme="minorEastAsia" w:hAnsiTheme="minorEastAsia"/>
                        <w:spacing w:val="-20"/>
                        <w:sz w:val="18"/>
                        <w:szCs w:val="18"/>
                      </w:rPr>
                    </w:pPr>
                  </w:p>
                </w:tc>
                <w:tc>
                  <w:tcPr>
                    <w:tcW w:w="279" w:type="pct"/>
                    <w:vAlign w:val="center"/>
                  </w:tcPr>
                  <w:p w14:paraId="6CAC7FC6" w14:textId="77777777" w:rsidR="007E7472" w:rsidRDefault="00C8327E">
                    <w:pPr>
                      <w:jc w:val="right"/>
                      <w:rPr>
                        <w:rFonts w:asciiTheme="minorEastAsia" w:eastAsiaTheme="minorEastAsia" w:hAnsiTheme="minorEastAsia"/>
                        <w:spacing w:val="-20"/>
                        <w:sz w:val="18"/>
                        <w:szCs w:val="18"/>
                      </w:rPr>
                    </w:pPr>
                  </w:p>
                </w:tc>
                <w:tc>
                  <w:tcPr>
                    <w:tcW w:w="331" w:type="pct"/>
                    <w:vAlign w:val="center"/>
                  </w:tcPr>
                  <w:p w14:paraId="30AECD69"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3D0B0000" w14:textId="77777777" w:rsidR="007E7472" w:rsidRDefault="00C8327E">
                    <w:pPr>
                      <w:jc w:val="right"/>
                      <w:rPr>
                        <w:rFonts w:asciiTheme="minorEastAsia" w:eastAsiaTheme="minorEastAsia" w:hAnsiTheme="minorEastAsia"/>
                        <w:spacing w:val="-20"/>
                        <w:sz w:val="18"/>
                        <w:szCs w:val="18"/>
                      </w:rPr>
                    </w:pPr>
                  </w:p>
                </w:tc>
                <w:tc>
                  <w:tcPr>
                    <w:tcW w:w="356" w:type="pct"/>
                    <w:vAlign w:val="center"/>
                  </w:tcPr>
                  <w:p w14:paraId="6A0BC515" w14:textId="77777777" w:rsidR="007E7472" w:rsidRDefault="00C8327E">
                    <w:pPr>
                      <w:jc w:val="right"/>
                      <w:rPr>
                        <w:rFonts w:asciiTheme="minorEastAsia" w:eastAsiaTheme="minorEastAsia" w:hAnsiTheme="minorEastAsia"/>
                        <w:spacing w:val="-20"/>
                        <w:sz w:val="18"/>
                        <w:szCs w:val="18"/>
                      </w:rPr>
                    </w:pPr>
                  </w:p>
                </w:tc>
              </w:tr>
              <w:tr w:rsidR="007E7472" w14:paraId="66A0CE13" w14:textId="77777777">
                <w:sdt>
                  <w:sdtPr>
                    <w:tag w:val="_PLD_800fb53c11a943e3b9b9bd49c8085679"/>
                    <w:id w:val="1776743369"/>
                    <w:lock w:val="sdtLocked"/>
                  </w:sdtPr>
                  <w:sdtEndPr/>
                  <w:sdtContent>
                    <w:tc>
                      <w:tcPr>
                        <w:tcW w:w="628" w:type="pct"/>
                      </w:tcPr>
                      <w:p w14:paraId="412EBDF8" w14:textId="77777777" w:rsidR="007E7472" w:rsidRDefault="00EC1269">
                        <w:pPr>
                          <w:ind w:firstLineChars="200" w:firstLine="420"/>
                          <w:rPr>
                            <w:sz w:val="18"/>
                            <w:szCs w:val="18"/>
                          </w:rPr>
                        </w:pPr>
                        <w:r>
                          <w:rPr>
                            <w:rFonts w:hint="eastAsia"/>
                            <w:sz w:val="18"/>
                            <w:szCs w:val="18"/>
                          </w:rPr>
                          <w:t>同一控制下企业合并</w:t>
                        </w:r>
                      </w:p>
                    </w:tc>
                  </w:sdtContent>
                </w:sdt>
                <w:tc>
                  <w:tcPr>
                    <w:tcW w:w="305" w:type="pct"/>
                    <w:vAlign w:val="center"/>
                  </w:tcPr>
                  <w:p w14:paraId="393AACA2" w14:textId="77777777" w:rsidR="007E7472" w:rsidRDefault="00C8327E">
                    <w:pPr>
                      <w:jc w:val="right"/>
                      <w:rPr>
                        <w:rFonts w:asciiTheme="minorEastAsia" w:eastAsiaTheme="minorEastAsia" w:hAnsiTheme="minorEastAsia"/>
                        <w:spacing w:val="-20"/>
                        <w:sz w:val="18"/>
                        <w:szCs w:val="18"/>
                      </w:rPr>
                    </w:pPr>
                  </w:p>
                </w:tc>
                <w:tc>
                  <w:tcPr>
                    <w:tcW w:w="237" w:type="pct"/>
                    <w:vAlign w:val="center"/>
                  </w:tcPr>
                  <w:p w14:paraId="1AFD9F04"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0ECA1FF8" w14:textId="77777777" w:rsidR="007E7472" w:rsidRDefault="00C8327E">
                    <w:pPr>
                      <w:jc w:val="right"/>
                      <w:rPr>
                        <w:rFonts w:asciiTheme="minorEastAsia" w:eastAsiaTheme="minorEastAsia" w:hAnsiTheme="minorEastAsia"/>
                        <w:spacing w:val="-20"/>
                        <w:sz w:val="18"/>
                        <w:szCs w:val="18"/>
                      </w:rPr>
                    </w:pPr>
                  </w:p>
                </w:tc>
                <w:tc>
                  <w:tcPr>
                    <w:tcW w:w="239" w:type="pct"/>
                    <w:vAlign w:val="center"/>
                  </w:tcPr>
                  <w:p w14:paraId="7B391374" w14:textId="77777777" w:rsidR="007E7472" w:rsidRDefault="00C8327E">
                    <w:pPr>
                      <w:jc w:val="right"/>
                      <w:rPr>
                        <w:rFonts w:asciiTheme="minorEastAsia" w:eastAsiaTheme="minorEastAsia" w:hAnsiTheme="minorEastAsia"/>
                        <w:spacing w:val="-20"/>
                        <w:sz w:val="18"/>
                        <w:szCs w:val="18"/>
                      </w:rPr>
                    </w:pPr>
                  </w:p>
                </w:tc>
                <w:tc>
                  <w:tcPr>
                    <w:tcW w:w="305" w:type="pct"/>
                    <w:vAlign w:val="center"/>
                  </w:tcPr>
                  <w:p w14:paraId="57AC4958"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75,000</w:t>
                    </w:r>
                  </w:p>
                </w:tc>
                <w:tc>
                  <w:tcPr>
                    <w:tcW w:w="255" w:type="pct"/>
                    <w:vAlign w:val="center"/>
                  </w:tcPr>
                  <w:p w14:paraId="078686B8" w14:textId="77777777" w:rsidR="007E7472" w:rsidRDefault="00C8327E">
                    <w:pPr>
                      <w:jc w:val="right"/>
                      <w:rPr>
                        <w:rFonts w:asciiTheme="minorEastAsia" w:eastAsiaTheme="minorEastAsia" w:hAnsiTheme="minorEastAsia"/>
                        <w:spacing w:val="-20"/>
                        <w:sz w:val="18"/>
                        <w:szCs w:val="18"/>
                      </w:rPr>
                    </w:pPr>
                  </w:p>
                </w:tc>
                <w:tc>
                  <w:tcPr>
                    <w:tcW w:w="359" w:type="pct"/>
                    <w:vAlign w:val="center"/>
                  </w:tcPr>
                  <w:p w14:paraId="4EEAFAD6" w14:textId="77777777" w:rsidR="007E7472" w:rsidRDefault="00C8327E">
                    <w:pPr>
                      <w:jc w:val="right"/>
                      <w:rPr>
                        <w:rFonts w:asciiTheme="minorEastAsia" w:eastAsiaTheme="minorEastAsia" w:hAnsiTheme="minorEastAsia"/>
                        <w:spacing w:val="-20"/>
                        <w:sz w:val="18"/>
                        <w:szCs w:val="18"/>
                      </w:rPr>
                    </w:pPr>
                  </w:p>
                </w:tc>
                <w:tc>
                  <w:tcPr>
                    <w:tcW w:w="252" w:type="pct"/>
                    <w:vAlign w:val="center"/>
                  </w:tcPr>
                  <w:p w14:paraId="27A5D436" w14:textId="77777777" w:rsidR="007E7472" w:rsidRDefault="00C8327E">
                    <w:pPr>
                      <w:jc w:val="right"/>
                      <w:rPr>
                        <w:rFonts w:asciiTheme="minorEastAsia" w:eastAsiaTheme="minorEastAsia" w:hAnsiTheme="minorEastAsia"/>
                        <w:spacing w:val="-20"/>
                        <w:sz w:val="18"/>
                        <w:szCs w:val="18"/>
                      </w:rPr>
                    </w:pPr>
                  </w:p>
                </w:tc>
                <w:tc>
                  <w:tcPr>
                    <w:tcW w:w="255" w:type="pct"/>
                    <w:vAlign w:val="center"/>
                  </w:tcPr>
                  <w:p w14:paraId="1FCAE7BF" w14:textId="77777777" w:rsidR="007E7472" w:rsidRDefault="00C8327E">
                    <w:pPr>
                      <w:jc w:val="right"/>
                      <w:rPr>
                        <w:rFonts w:asciiTheme="minorEastAsia" w:eastAsiaTheme="minorEastAsia" w:hAnsiTheme="minorEastAsia"/>
                        <w:spacing w:val="-20"/>
                        <w:sz w:val="18"/>
                        <w:szCs w:val="18"/>
                      </w:rPr>
                    </w:pPr>
                  </w:p>
                </w:tc>
                <w:tc>
                  <w:tcPr>
                    <w:tcW w:w="210" w:type="pct"/>
                    <w:vAlign w:val="center"/>
                  </w:tcPr>
                  <w:p w14:paraId="462952D8"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3A5BF4BF"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-33,821</w:t>
                    </w:r>
                  </w:p>
                </w:tc>
                <w:tc>
                  <w:tcPr>
                    <w:tcW w:w="279" w:type="pct"/>
                    <w:vAlign w:val="center"/>
                  </w:tcPr>
                  <w:p w14:paraId="74C919C7" w14:textId="77777777" w:rsidR="007E7472" w:rsidRDefault="00C8327E">
                    <w:pPr>
                      <w:jc w:val="right"/>
                      <w:rPr>
                        <w:rFonts w:asciiTheme="minorEastAsia" w:eastAsiaTheme="minorEastAsia" w:hAnsiTheme="minorEastAsia"/>
                        <w:spacing w:val="-20"/>
                        <w:sz w:val="18"/>
                        <w:szCs w:val="18"/>
                      </w:rPr>
                    </w:pPr>
                  </w:p>
                </w:tc>
                <w:tc>
                  <w:tcPr>
                    <w:tcW w:w="331" w:type="pct"/>
                    <w:vAlign w:val="center"/>
                  </w:tcPr>
                  <w:p w14:paraId="61EED1B0"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41,179</w:t>
                    </w:r>
                  </w:p>
                </w:tc>
                <w:tc>
                  <w:tcPr>
                    <w:tcW w:w="330" w:type="pct"/>
                    <w:vAlign w:val="center"/>
                  </w:tcPr>
                  <w:p w14:paraId="21EF4A72"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13,726</w:t>
                    </w:r>
                  </w:p>
                </w:tc>
                <w:tc>
                  <w:tcPr>
                    <w:tcW w:w="356" w:type="pct"/>
                    <w:vAlign w:val="center"/>
                  </w:tcPr>
                  <w:p w14:paraId="7407B467"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54,905</w:t>
                    </w:r>
                  </w:p>
                </w:tc>
              </w:tr>
              <w:tr w:rsidR="007E7472" w14:paraId="49424F79" w14:textId="77777777">
                <w:sdt>
                  <w:sdtPr>
                    <w:tag w:val="_PLD_87118e97730e486dbbcc5e072b67665f"/>
                    <w:id w:val="-703780825"/>
                    <w:lock w:val="sdtLocked"/>
                  </w:sdtPr>
                  <w:sdtEndPr/>
                  <w:sdtContent>
                    <w:tc>
                      <w:tcPr>
                        <w:tcW w:w="628" w:type="pct"/>
                      </w:tcPr>
                      <w:p w14:paraId="420E9614" w14:textId="77777777" w:rsidR="007E7472" w:rsidRDefault="00EC1269">
                        <w:pPr>
                          <w:ind w:firstLineChars="200" w:firstLine="420"/>
                          <w:rPr>
                            <w:sz w:val="18"/>
                            <w:szCs w:val="18"/>
                          </w:rPr>
                        </w:pPr>
                        <w:r>
                          <w:rPr>
                            <w:rFonts w:hint="eastAsia"/>
                            <w:sz w:val="18"/>
                            <w:szCs w:val="18"/>
                          </w:rPr>
                          <w:t>其他</w:t>
                        </w:r>
                      </w:p>
                    </w:tc>
                  </w:sdtContent>
                </w:sdt>
                <w:tc>
                  <w:tcPr>
                    <w:tcW w:w="305" w:type="pct"/>
                    <w:vAlign w:val="center"/>
                  </w:tcPr>
                  <w:p w14:paraId="44A05BAD" w14:textId="77777777" w:rsidR="007E7472" w:rsidRDefault="00C8327E">
                    <w:pPr>
                      <w:jc w:val="right"/>
                      <w:rPr>
                        <w:rFonts w:asciiTheme="minorEastAsia" w:eastAsiaTheme="minorEastAsia" w:hAnsiTheme="minorEastAsia"/>
                        <w:spacing w:val="-20"/>
                        <w:sz w:val="18"/>
                        <w:szCs w:val="18"/>
                      </w:rPr>
                    </w:pPr>
                  </w:p>
                </w:tc>
                <w:tc>
                  <w:tcPr>
                    <w:tcW w:w="237" w:type="pct"/>
                    <w:vAlign w:val="center"/>
                  </w:tcPr>
                  <w:p w14:paraId="56E9D097"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62F41B67" w14:textId="77777777" w:rsidR="007E7472" w:rsidRDefault="00C8327E">
                    <w:pPr>
                      <w:jc w:val="right"/>
                      <w:rPr>
                        <w:rFonts w:asciiTheme="minorEastAsia" w:eastAsiaTheme="minorEastAsia" w:hAnsiTheme="minorEastAsia"/>
                        <w:spacing w:val="-20"/>
                        <w:sz w:val="18"/>
                        <w:szCs w:val="18"/>
                      </w:rPr>
                    </w:pPr>
                  </w:p>
                </w:tc>
                <w:tc>
                  <w:tcPr>
                    <w:tcW w:w="239" w:type="pct"/>
                    <w:vAlign w:val="center"/>
                  </w:tcPr>
                  <w:p w14:paraId="49CC237F" w14:textId="77777777" w:rsidR="007E7472" w:rsidRDefault="00C8327E">
                    <w:pPr>
                      <w:jc w:val="right"/>
                      <w:rPr>
                        <w:rFonts w:asciiTheme="minorEastAsia" w:eastAsiaTheme="minorEastAsia" w:hAnsiTheme="minorEastAsia"/>
                        <w:spacing w:val="-20"/>
                        <w:sz w:val="18"/>
                        <w:szCs w:val="18"/>
                      </w:rPr>
                    </w:pPr>
                  </w:p>
                </w:tc>
                <w:tc>
                  <w:tcPr>
                    <w:tcW w:w="305" w:type="pct"/>
                    <w:vAlign w:val="center"/>
                  </w:tcPr>
                  <w:p w14:paraId="377A9A40" w14:textId="77777777" w:rsidR="007E7472" w:rsidRDefault="00C8327E">
                    <w:pPr>
                      <w:jc w:val="right"/>
                      <w:rPr>
                        <w:rFonts w:asciiTheme="minorEastAsia" w:eastAsiaTheme="minorEastAsia" w:hAnsiTheme="minorEastAsia"/>
                        <w:spacing w:val="-20"/>
                        <w:sz w:val="18"/>
                        <w:szCs w:val="18"/>
                      </w:rPr>
                    </w:pPr>
                  </w:p>
                </w:tc>
                <w:tc>
                  <w:tcPr>
                    <w:tcW w:w="255" w:type="pct"/>
                    <w:vAlign w:val="center"/>
                  </w:tcPr>
                  <w:p w14:paraId="757C5E4A" w14:textId="77777777" w:rsidR="007E7472" w:rsidRDefault="00C8327E">
                    <w:pPr>
                      <w:jc w:val="right"/>
                      <w:rPr>
                        <w:rFonts w:asciiTheme="minorEastAsia" w:eastAsiaTheme="minorEastAsia" w:hAnsiTheme="minorEastAsia"/>
                        <w:spacing w:val="-20"/>
                        <w:sz w:val="18"/>
                        <w:szCs w:val="18"/>
                      </w:rPr>
                    </w:pPr>
                  </w:p>
                </w:tc>
                <w:tc>
                  <w:tcPr>
                    <w:tcW w:w="359" w:type="pct"/>
                    <w:vAlign w:val="center"/>
                  </w:tcPr>
                  <w:p w14:paraId="3F3A434E" w14:textId="77777777" w:rsidR="007E7472" w:rsidRDefault="00C8327E">
                    <w:pPr>
                      <w:jc w:val="right"/>
                      <w:rPr>
                        <w:rFonts w:asciiTheme="minorEastAsia" w:eastAsiaTheme="minorEastAsia" w:hAnsiTheme="minorEastAsia"/>
                        <w:spacing w:val="-20"/>
                        <w:sz w:val="18"/>
                        <w:szCs w:val="18"/>
                      </w:rPr>
                    </w:pPr>
                  </w:p>
                </w:tc>
                <w:tc>
                  <w:tcPr>
                    <w:tcW w:w="252" w:type="pct"/>
                    <w:vAlign w:val="center"/>
                  </w:tcPr>
                  <w:p w14:paraId="3934DC15" w14:textId="77777777" w:rsidR="007E7472" w:rsidRDefault="00C8327E">
                    <w:pPr>
                      <w:jc w:val="right"/>
                      <w:rPr>
                        <w:rFonts w:asciiTheme="minorEastAsia" w:eastAsiaTheme="minorEastAsia" w:hAnsiTheme="minorEastAsia"/>
                        <w:spacing w:val="-20"/>
                        <w:sz w:val="18"/>
                        <w:szCs w:val="18"/>
                      </w:rPr>
                    </w:pPr>
                  </w:p>
                </w:tc>
                <w:tc>
                  <w:tcPr>
                    <w:tcW w:w="255" w:type="pct"/>
                    <w:vAlign w:val="center"/>
                  </w:tcPr>
                  <w:p w14:paraId="3BEBD5D0" w14:textId="77777777" w:rsidR="007E7472" w:rsidRDefault="00C8327E">
                    <w:pPr>
                      <w:jc w:val="right"/>
                      <w:rPr>
                        <w:rFonts w:asciiTheme="minorEastAsia" w:eastAsiaTheme="minorEastAsia" w:hAnsiTheme="minorEastAsia"/>
                        <w:spacing w:val="-20"/>
                        <w:sz w:val="18"/>
                        <w:szCs w:val="18"/>
                      </w:rPr>
                    </w:pPr>
                  </w:p>
                </w:tc>
                <w:tc>
                  <w:tcPr>
                    <w:tcW w:w="210" w:type="pct"/>
                    <w:vAlign w:val="center"/>
                  </w:tcPr>
                  <w:p w14:paraId="617671A4"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17F27BB2" w14:textId="77777777" w:rsidR="007E7472" w:rsidRDefault="00C8327E">
                    <w:pPr>
                      <w:jc w:val="right"/>
                      <w:rPr>
                        <w:rFonts w:asciiTheme="minorEastAsia" w:eastAsiaTheme="minorEastAsia" w:hAnsiTheme="minorEastAsia"/>
                        <w:spacing w:val="-20"/>
                        <w:sz w:val="18"/>
                        <w:szCs w:val="18"/>
                      </w:rPr>
                    </w:pPr>
                  </w:p>
                </w:tc>
                <w:tc>
                  <w:tcPr>
                    <w:tcW w:w="279" w:type="pct"/>
                    <w:vAlign w:val="center"/>
                  </w:tcPr>
                  <w:p w14:paraId="4C800A58" w14:textId="77777777" w:rsidR="007E7472" w:rsidRDefault="00C8327E">
                    <w:pPr>
                      <w:jc w:val="right"/>
                      <w:rPr>
                        <w:rFonts w:asciiTheme="minorEastAsia" w:eastAsiaTheme="minorEastAsia" w:hAnsiTheme="minorEastAsia"/>
                        <w:spacing w:val="-20"/>
                        <w:sz w:val="18"/>
                        <w:szCs w:val="18"/>
                      </w:rPr>
                    </w:pPr>
                  </w:p>
                </w:tc>
                <w:tc>
                  <w:tcPr>
                    <w:tcW w:w="331" w:type="pct"/>
                    <w:vAlign w:val="center"/>
                  </w:tcPr>
                  <w:p w14:paraId="6719B206"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5FCF8B23" w14:textId="77777777" w:rsidR="007E7472" w:rsidRDefault="00C8327E">
                    <w:pPr>
                      <w:jc w:val="right"/>
                      <w:rPr>
                        <w:rFonts w:asciiTheme="minorEastAsia" w:eastAsiaTheme="minorEastAsia" w:hAnsiTheme="minorEastAsia"/>
                        <w:spacing w:val="-20"/>
                        <w:sz w:val="18"/>
                        <w:szCs w:val="18"/>
                      </w:rPr>
                    </w:pPr>
                  </w:p>
                </w:tc>
                <w:tc>
                  <w:tcPr>
                    <w:tcW w:w="356" w:type="pct"/>
                    <w:vAlign w:val="center"/>
                  </w:tcPr>
                  <w:p w14:paraId="38199A54" w14:textId="77777777" w:rsidR="007E7472" w:rsidRDefault="00C8327E">
                    <w:pPr>
                      <w:jc w:val="right"/>
                      <w:rPr>
                        <w:rFonts w:asciiTheme="minorEastAsia" w:eastAsiaTheme="minorEastAsia" w:hAnsiTheme="minorEastAsia"/>
                        <w:spacing w:val="-20"/>
                        <w:sz w:val="18"/>
                        <w:szCs w:val="18"/>
                      </w:rPr>
                    </w:pPr>
                  </w:p>
                </w:tc>
              </w:tr>
              <w:tr w:rsidR="007E7472" w14:paraId="02F38CA2" w14:textId="77777777">
                <w:sdt>
                  <w:sdtPr>
                    <w:tag w:val="_PLD_b579c38070f04b86951daea3037af89c"/>
                    <w:id w:val="-1595856687"/>
                    <w:lock w:val="sdtLocked"/>
                  </w:sdtPr>
                  <w:sdtEndPr/>
                  <w:sdtContent>
                    <w:tc>
                      <w:tcPr>
                        <w:tcW w:w="628" w:type="pct"/>
                      </w:tcPr>
                      <w:p w14:paraId="0FEFAF53" w14:textId="77777777" w:rsidR="007E7472" w:rsidRDefault="00EC1269">
                        <w:pPr>
                          <w:rPr>
                            <w:sz w:val="18"/>
                            <w:szCs w:val="18"/>
                          </w:rPr>
                        </w:pPr>
                        <w:r>
                          <w:rPr>
                            <w:sz w:val="18"/>
                            <w:szCs w:val="18"/>
                          </w:rPr>
                          <w:t>二、本年</w:t>
                        </w:r>
                        <w:r>
                          <w:rPr>
                            <w:rFonts w:hint="eastAsia"/>
                            <w:sz w:val="18"/>
                            <w:szCs w:val="18"/>
                          </w:rPr>
                          <w:t>期</w:t>
                        </w:r>
                        <w:r>
                          <w:rPr>
                            <w:sz w:val="18"/>
                            <w:szCs w:val="18"/>
                          </w:rPr>
                          <w:t>初余额</w:t>
                        </w:r>
                      </w:p>
                    </w:tc>
                  </w:sdtContent>
                </w:sdt>
                <w:tc>
                  <w:tcPr>
                    <w:tcW w:w="305" w:type="pct"/>
                    <w:vAlign w:val="center"/>
                  </w:tcPr>
                  <w:p w14:paraId="7925B8DF"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4,874,184</w:t>
                    </w:r>
                  </w:p>
                </w:tc>
                <w:tc>
                  <w:tcPr>
                    <w:tcW w:w="237" w:type="pct"/>
                    <w:vAlign w:val="center"/>
                  </w:tcPr>
                  <w:p w14:paraId="37324C48"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1FA53702"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8,118,100</w:t>
                    </w:r>
                  </w:p>
                </w:tc>
                <w:tc>
                  <w:tcPr>
                    <w:tcW w:w="239" w:type="pct"/>
                    <w:vAlign w:val="center"/>
                  </w:tcPr>
                  <w:p w14:paraId="203BFAD4" w14:textId="77777777" w:rsidR="007E7472" w:rsidRDefault="00C8327E">
                    <w:pPr>
                      <w:jc w:val="right"/>
                      <w:rPr>
                        <w:rFonts w:asciiTheme="minorEastAsia" w:eastAsiaTheme="minorEastAsia" w:hAnsiTheme="minorEastAsia"/>
                        <w:spacing w:val="-20"/>
                        <w:sz w:val="18"/>
                        <w:szCs w:val="18"/>
                      </w:rPr>
                    </w:pPr>
                  </w:p>
                </w:tc>
                <w:tc>
                  <w:tcPr>
                    <w:tcW w:w="305" w:type="pct"/>
                    <w:vAlign w:val="center"/>
                  </w:tcPr>
                  <w:p w14:paraId="38126C36"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888,712</w:t>
                    </w:r>
                  </w:p>
                </w:tc>
                <w:tc>
                  <w:tcPr>
                    <w:tcW w:w="255" w:type="pct"/>
                    <w:vAlign w:val="center"/>
                  </w:tcPr>
                  <w:p w14:paraId="35CE1B40" w14:textId="77777777" w:rsidR="007E7472" w:rsidRDefault="00C8327E">
                    <w:pPr>
                      <w:jc w:val="right"/>
                      <w:rPr>
                        <w:rFonts w:asciiTheme="minorEastAsia" w:eastAsiaTheme="minorEastAsia" w:hAnsiTheme="minorEastAsia"/>
                        <w:spacing w:val="-20"/>
                        <w:sz w:val="18"/>
                        <w:szCs w:val="18"/>
                      </w:rPr>
                    </w:pPr>
                  </w:p>
                </w:tc>
                <w:tc>
                  <w:tcPr>
                    <w:tcW w:w="359" w:type="pct"/>
                    <w:vAlign w:val="center"/>
                  </w:tcPr>
                  <w:p w14:paraId="3EF8329A"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-7,553,774</w:t>
                    </w:r>
                  </w:p>
                </w:tc>
                <w:tc>
                  <w:tcPr>
                    <w:tcW w:w="252" w:type="pct"/>
                    <w:vAlign w:val="center"/>
                  </w:tcPr>
                  <w:p w14:paraId="52BA1B4E"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4,655,185</w:t>
                    </w:r>
                  </w:p>
                </w:tc>
                <w:tc>
                  <w:tcPr>
                    <w:tcW w:w="255" w:type="pct"/>
                    <w:vAlign w:val="center"/>
                  </w:tcPr>
                  <w:p w14:paraId="48B6659D"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912,700</w:t>
                    </w:r>
                  </w:p>
                </w:tc>
                <w:tc>
                  <w:tcPr>
                    <w:tcW w:w="210" w:type="pct"/>
                    <w:vAlign w:val="center"/>
                  </w:tcPr>
                  <w:p w14:paraId="18650F8E"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7812740E"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56,332,262</w:t>
                    </w:r>
                  </w:p>
                </w:tc>
                <w:tc>
                  <w:tcPr>
                    <w:tcW w:w="279" w:type="pct"/>
                    <w:vAlign w:val="center"/>
                  </w:tcPr>
                  <w:p w14:paraId="76FB2323" w14:textId="77777777" w:rsidR="007E7472" w:rsidRDefault="00C8327E">
                    <w:pPr>
                      <w:jc w:val="right"/>
                      <w:rPr>
                        <w:rFonts w:asciiTheme="minorEastAsia" w:eastAsiaTheme="minorEastAsia" w:hAnsiTheme="minorEastAsia"/>
                        <w:spacing w:val="-20"/>
                        <w:sz w:val="18"/>
                        <w:szCs w:val="18"/>
                      </w:rPr>
                    </w:pPr>
                  </w:p>
                </w:tc>
                <w:tc>
                  <w:tcPr>
                    <w:tcW w:w="331" w:type="pct"/>
                    <w:vAlign w:val="center"/>
                  </w:tcPr>
                  <w:p w14:paraId="1B7FDED8"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68,227,369</w:t>
                    </w:r>
                  </w:p>
                </w:tc>
                <w:tc>
                  <w:tcPr>
                    <w:tcW w:w="330" w:type="pct"/>
                    <w:vAlign w:val="center"/>
                  </w:tcPr>
                  <w:p w14:paraId="1394B1F4"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28,314,628</w:t>
                    </w:r>
                  </w:p>
                </w:tc>
                <w:tc>
                  <w:tcPr>
                    <w:tcW w:w="356" w:type="pct"/>
                    <w:vAlign w:val="center"/>
                  </w:tcPr>
                  <w:p w14:paraId="4A7B9AEF"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96,541,997</w:t>
                    </w:r>
                  </w:p>
                </w:tc>
              </w:tr>
              <w:tr w:rsidR="007E7472" w14:paraId="63BF439C" w14:textId="77777777">
                <w:sdt>
                  <w:sdtPr>
                    <w:tag w:val="_PLD_186aec2424a047ee9af21797aa0ee0d8"/>
                    <w:id w:val="724964401"/>
                    <w:lock w:val="sdtLocked"/>
                  </w:sdtPr>
                  <w:sdtEndPr/>
                  <w:sdtContent>
                    <w:tc>
                      <w:tcPr>
                        <w:tcW w:w="628" w:type="pct"/>
                      </w:tcPr>
                      <w:p w14:paraId="5466D31B" w14:textId="77777777" w:rsidR="007E7472" w:rsidRDefault="00EC1269">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305" w:type="pct"/>
                    <w:vAlign w:val="center"/>
                  </w:tcPr>
                  <w:p w14:paraId="07BD8BC1"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74,520</w:t>
                    </w:r>
                  </w:p>
                </w:tc>
                <w:tc>
                  <w:tcPr>
                    <w:tcW w:w="237" w:type="pct"/>
                    <w:vAlign w:val="center"/>
                  </w:tcPr>
                  <w:p w14:paraId="0DA72689"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607E0AD1"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4,954,29</w:t>
                    </w:r>
                    <w:r>
                      <w:rPr>
                        <w:rFonts w:asciiTheme="minorEastAsia" w:eastAsiaTheme="minorEastAsia" w:hAnsiTheme="minorEastAsia"/>
                        <w:spacing w:val="-20"/>
                        <w:sz w:val="18"/>
                        <w:szCs w:val="18"/>
                      </w:rPr>
                      <w:t>7</w:t>
                    </w:r>
                  </w:p>
                </w:tc>
                <w:tc>
                  <w:tcPr>
                    <w:tcW w:w="239" w:type="pct"/>
                    <w:vAlign w:val="center"/>
                  </w:tcPr>
                  <w:p w14:paraId="5E71E4D7" w14:textId="77777777" w:rsidR="007E7472" w:rsidRDefault="00C8327E">
                    <w:pPr>
                      <w:jc w:val="right"/>
                      <w:rPr>
                        <w:rFonts w:asciiTheme="minorEastAsia" w:eastAsiaTheme="minorEastAsia" w:hAnsiTheme="minorEastAsia"/>
                        <w:spacing w:val="-20"/>
                        <w:sz w:val="18"/>
                        <w:szCs w:val="18"/>
                      </w:rPr>
                    </w:pPr>
                  </w:p>
                </w:tc>
                <w:tc>
                  <w:tcPr>
                    <w:tcW w:w="305" w:type="pct"/>
                    <w:vAlign w:val="center"/>
                  </w:tcPr>
                  <w:p w14:paraId="5265020B"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867,464</w:t>
                    </w:r>
                  </w:p>
                </w:tc>
                <w:tc>
                  <w:tcPr>
                    <w:tcW w:w="255" w:type="pct"/>
                    <w:vAlign w:val="center"/>
                  </w:tcPr>
                  <w:p w14:paraId="080C3618"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723,593</w:t>
                    </w:r>
                  </w:p>
                </w:tc>
                <w:tc>
                  <w:tcPr>
                    <w:tcW w:w="359" w:type="pct"/>
                    <w:vAlign w:val="center"/>
                  </w:tcPr>
                  <w:p w14:paraId="5783DEE1"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33,32</w:t>
                    </w:r>
                    <w:r>
                      <w:rPr>
                        <w:rFonts w:asciiTheme="minorEastAsia" w:eastAsiaTheme="minorEastAsia" w:hAnsiTheme="minorEastAsia"/>
                        <w:spacing w:val="-20"/>
                        <w:sz w:val="18"/>
                        <w:szCs w:val="18"/>
                      </w:rPr>
                      <w:t>2</w:t>
                    </w:r>
                  </w:p>
                </w:tc>
                <w:tc>
                  <w:tcPr>
                    <w:tcW w:w="252" w:type="pct"/>
                    <w:vAlign w:val="center"/>
                  </w:tcPr>
                  <w:p w14:paraId="790A455C"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538,803</w:t>
                    </w:r>
                  </w:p>
                </w:tc>
                <w:tc>
                  <w:tcPr>
                    <w:tcW w:w="255" w:type="pct"/>
                    <w:vAlign w:val="center"/>
                  </w:tcPr>
                  <w:p w14:paraId="1A13E2A5" w14:textId="77777777" w:rsidR="007E7472" w:rsidRDefault="00C8327E">
                    <w:pPr>
                      <w:jc w:val="right"/>
                      <w:rPr>
                        <w:rFonts w:asciiTheme="minorEastAsia" w:eastAsiaTheme="minorEastAsia" w:hAnsiTheme="minorEastAsia"/>
                        <w:spacing w:val="-20"/>
                        <w:sz w:val="18"/>
                        <w:szCs w:val="18"/>
                      </w:rPr>
                    </w:pPr>
                  </w:p>
                </w:tc>
                <w:tc>
                  <w:tcPr>
                    <w:tcW w:w="210" w:type="pct"/>
                    <w:vAlign w:val="center"/>
                  </w:tcPr>
                  <w:p w14:paraId="07EA901D"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4CA7568A"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8,359,489</w:t>
                    </w:r>
                  </w:p>
                </w:tc>
                <w:tc>
                  <w:tcPr>
                    <w:tcW w:w="279" w:type="pct"/>
                    <w:vAlign w:val="center"/>
                  </w:tcPr>
                  <w:p w14:paraId="4AAFDA34" w14:textId="77777777" w:rsidR="007E7472" w:rsidRDefault="00C8327E">
                    <w:pPr>
                      <w:jc w:val="right"/>
                      <w:rPr>
                        <w:rFonts w:asciiTheme="minorEastAsia" w:eastAsiaTheme="minorEastAsia" w:hAnsiTheme="minorEastAsia"/>
                        <w:spacing w:val="-20"/>
                        <w:sz w:val="18"/>
                        <w:szCs w:val="18"/>
                      </w:rPr>
                    </w:pPr>
                  </w:p>
                </w:tc>
                <w:tc>
                  <w:tcPr>
                    <w:tcW w:w="331" w:type="pct"/>
                    <w:vAlign w:val="center"/>
                  </w:tcPr>
                  <w:p w14:paraId="5752D036"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spacing w:val="-20"/>
                        <w:sz w:val="18"/>
                        <w:szCs w:val="18"/>
                      </w:rPr>
                      <w:t>14,104,302</w:t>
                    </w:r>
                  </w:p>
                </w:tc>
                <w:tc>
                  <w:tcPr>
                    <w:tcW w:w="330" w:type="pct"/>
                    <w:vAlign w:val="center"/>
                  </w:tcPr>
                  <w:p w14:paraId="1F0A80DC"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1,561,25</w:t>
                    </w:r>
                    <w:r>
                      <w:rPr>
                        <w:rFonts w:asciiTheme="minorEastAsia" w:eastAsiaTheme="minorEastAsia" w:hAnsiTheme="minorEastAsia"/>
                        <w:spacing w:val="-20"/>
                        <w:sz w:val="18"/>
                        <w:szCs w:val="18"/>
                      </w:rPr>
                      <w:t>8</w:t>
                    </w:r>
                  </w:p>
                </w:tc>
                <w:tc>
                  <w:tcPr>
                    <w:tcW w:w="356" w:type="pct"/>
                    <w:vAlign w:val="center"/>
                  </w:tcPr>
                  <w:p w14:paraId="70FE3835"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15,665,56</w:t>
                    </w:r>
                    <w:r>
                      <w:rPr>
                        <w:rFonts w:asciiTheme="minorEastAsia" w:eastAsiaTheme="minorEastAsia" w:hAnsiTheme="minorEastAsia"/>
                        <w:spacing w:val="-20"/>
                        <w:sz w:val="18"/>
                        <w:szCs w:val="18"/>
                      </w:rPr>
                      <w:t>0</w:t>
                    </w:r>
                  </w:p>
                </w:tc>
              </w:tr>
              <w:tr w:rsidR="007E7472" w14:paraId="761589CB" w14:textId="77777777">
                <w:sdt>
                  <w:sdtPr>
                    <w:tag w:val="_PLD_17bf1a1d144b41e18dbd63758cccc7b5"/>
                    <w:id w:val="-613522888"/>
                    <w:lock w:val="sdtLocked"/>
                  </w:sdtPr>
                  <w:sdtEndPr/>
                  <w:sdtContent>
                    <w:tc>
                      <w:tcPr>
                        <w:tcW w:w="628" w:type="pct"/>
                      </w:tcPr>
                      <w:p w14:paraId="3B91A957" w14:textId="77777777" w:rsidR="007E7472" w:rsidRDefault="00EC1269">
                        <w:pPr>
                          <w:rPr>
                            <w:sz w:val="18"/>
                            <w:szCs w:val="18"/>
                          </w:rPr>
                        </w:pPr>
                        <w:r>
                          <w:rPr>
                            <w:rFonts w:hint="eastAsia"/>
                            <w:sz w:val="18"/>
                            <w:szCs w:val="18"/>
                          </w:rPr>
                          <w:t>（一）综合收益总额</w:t>
                        </w:r>
                      </w:p>
                    </w:tc>
                  </w:sdtContent>
                </w:sdt>
                <w:tc>
                  <w:tcPr>
                    <w:tcW w:w="305" w:type="pct"/>
                    <w:vAlign w:val="center"/>
                  </w:tcPr>
                  <w:p w14:paraId="5E1A3722" w14:textId="77777777" w:rsidR="007E7472" w:rsidRDefault="00C8327E">
                    <w:pPr>
                      <w:jc w:val="right"/>
                      <w:rPr>
                        <w:rFonts w:asciiTheme="minorEastAsia" w:eastAsiaTheme="minorEastAsia" w:hAnsiTheme="minorEastAsia"/>
                        <w:spacing w:val="-20"/>
                        <w:sz w:val="18"/>
                        <w:szCs w:val="18"/>
                      </w:rPr>
                    </w:pPr>
                  </w:p>
                </w:tc>
                <w:tc>
                  <w:tcPr>
                    <w:tcW w:w="237" w:type="pct"/>
                    <w:vAlign w:val="center"/>
                  </w:tcPr>
                  <w:p w14:paraId="2EC20CF6"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65780BA3"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176,92</w:t>
                    </w:r>
                    <w:r>
                      <w:rPr>
                        <w:rFonts w:asciiTheme="minorEastAsia" w:eastAsiaTheme="minorEastAsia" w:hAnsiTheme="minorEastAsia"/>
                        <w:spacing w:val="-20"/>
                        <w:sz w:val="18"/>
                        <w:szCs w:val="18"/>
                      </w:rPr>
                      <w:t>7</w:t>
                    </w:r>
                  </w:p>
                </w:tc>
                <w:tc>
                  <w:tcPr>
                    <w:tcW w:w="239" w:type="pct"/>
                    <w:vAlign w:val="center"/>
                  </w:tcPr>
                  <w:p w14:paraId="496356FD" w14:textId="77777777" w:rsidR="007E7472" w:rsidRDefault="00C8327E">
                    <w:pPr>
                      <w:jc w:val="right"/>
                      <w:rPr>
                        <w:rFonts w:asciiTheme="minorEastAsia" w:eastAsiaTheme="minorEastAsia" w:hAnsiTheme="minorEastAsia"/>
                        <w:spacing w:val="-20"/>
                        <w:sz w:val="18"/>
                        <w:szCs w:val="18"/>
                      </w:rPr>
                    </w:pPr>
                  </w:p>
                </w:tc>
                <w:tc>
                  <w:tcPr>
                    <w:tcW w:w="305" w:type="pct"/>
                    <w:vAlign w:val="center"/>
                  </w:tcPr>
                  <w:p w14:paraId="030CFB89" w14:textId="77777777" w:rsidR="007E7472" w:rsidRDefault="00C8327E">
                    <w:pPr>
                      <w:jc w:val="right"/>
                      <w:rPr>
                        <w:rFonts w:asciiTheme="minorEastAsia" w:eastAsiaTheme="minorEastAsia" w:hAnsiTheme="minorEastAsia"/>
                        <w:spacing w:val="-20"/>
                        <w:sz w:val="18"/>
                        <w:szCs w:val="18"/>
                      </w:rPr>
                    </w:pPr>
                  </w:p>
                </w:tc>
                <w:tc>
                  <w:tcPr>
                    <w:tcW w:w="255" w:type="pct"/>
                    <w:vAlign w:val="center"/>
                  </w:tcPr>
                  <w:p w14:paraId="241A5F28" w14:textId="77777777" w:rsidR="007E7472" w:rsidRDefault="00C8327E">
                    <w:pPr>
                      <w:jc w:val="right"/>
                      <w:rPr>
                        <w:rFonts w:asciiTheme="minorEastAsia" w:eastAsiaTheme="minorEastAsia" w:hAnsiTheme="minorEastAsia"/>
                        <w:spacing w:val="-20"/>
                        <w:sz w:val="18"/>
                        <w:szCs w:val="18"/>
                      </w:rPr>
                    </w:pPr>
                  </w:p>
                </w:tc>
                <w:tc>
                  <w:tcPr>
                    <w:tcW w:w="359" w:type="pct"/>
                    <w:vAlign w:val="center"/>
                  </w:tcPr>
                  <w:p w14:paraId="22C157B4"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33,32</w:t>
                    </w:r>
                    <w:r>
                      <w:rPr>
                        <w:rFonts w:asciiTheme="minorEastAsia" w:eastAsiaTheme="minorEastAsia" w:hAnsiTheme="minorEastAsia"/>
                        <w:spacing w:val="-20"/>
                        <w:sz w:val="18"/>
                        <w:szCs w:val="18"/>
                      </w:rPr>
                      <w:t>2</w:t>
                    </w:r>
                  </w:p>
                </w:tc>
                <w:tc>
                  <w:tcPr>
                    <w:tcW w:w="252" w:type="pct"/>
                    <w:vAlign w:val="center"/>
                  </w:tcPr>
                  <w:p w14:paraId="6E4E5A85" w14:textId="77777777" w:rsidR="007E7472" w:rsidRDefault="00C8327E">
                    <w:pPr>
                      <w:jc w:val="right"/>
                      <w:rPr>
                        <w:rFonts w:asciiTheme="minorEastAsia" w:eastAsiaTheme="minorEastAsia" w:hAnsiTheme="minorEastAsia"/>
                        <w:spacing w:val="-20"/>
                        <w:sz w:val="18"/>
                        <w:szCs w:val="18"/>
                      </w:rPr>
                    </w:pPr>
                  </w:p>
                </w:tc>
                <w:tc>
                  <w:tcPr>
                    <w:tcW w:w="255" w:type="pct"/>
                    <w:vAlign w:val="center"/>
                  </w:tcPr>
                  <w:p w14:paraId="4EF3A11E" w14:textId="77777777" w:rsidR="007E7472" w:rsidRDefault="00C8327E">
                    <w:pPr>
                      <w:jc w:val="right"/>
                      <w:rPr>
                        <w:rFonts w:asciiTheme="minorEastAsia" w:eastAsiaTheme="minorEastAsia" w:hAnsiTheme="minorEastAsia"/>
                        <w:spacing w:val="-20"/>
                        <w:sz w:val="18"/>
                        <w:szCs w:val="18"/>
                      </w:rPr>
                    </w:pPr>
                  </w:p>
                </w:tc>
                <w:tc>
                  <w:tcPr>
                    <w:tcW w:w="210" w:type="pct"/>
                    <w:vAlign w:val="center"/>
                  </w:tcPr>
                  <w:p w14:paraId="7378DF07"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7F10F54B"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18,037,071</w:t>
                    </w:r>
                  </w:p>
                </w:tc>
                <w:tc>
                  <w:tcPr>
                    <w:tcW w:w="279" w:type="pct"/>
                    <w:vAlign w:val="center"/>
                  </w:tcPr>
                  <w:p w14:paraId="489F31DC" w14:textId="77777777" w:rsidR="007E7472" w:rsidRDefault="00C8327E">
                    <w:pPr>
                      <w:jc w:val="right"/>
                      <w:rPr>
                        <w:rFonts w:asciiTheme="minorEastAsia" w:eastAsiaTheme="minorEastAsia" w:hAnsiTheme="minorEastAsia"/>
                        <w:spacing w:val="-20"/>
                        <w:sz w:val="18"/>
                        <w:szCs w:val="18"/>
                      </w:rPr>
                    </w:pPr>
                  </w:p>
                </w:tc>
                <w:tc>
                  <w:tcPr>
                    <w:tcW w:w="331" w:type="pct"/>
                    <w:vAlign w:val="center"/>
                  </w:tcPr>
                  <w:p w14:paraId="1E48A941"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spacing w:val="-20"/>
                        <w:sz w:val="18"/>
                        <w:szCs w:val="18"/>
                      </w:rPr>
                      <w:t>18,247,320</w:t>
                    </w:r>
                  </w:p>
                </w:tc>
                <w:tc>
                  <w:tcPr>
                    <w:tcW w:w="330" w:type="pct"/>
                    <w:vAlign w:val="center"/>
                  </w:tcPr>
                  <w:p w14:paraId="6491DE67"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spacing w:val="-20"/>
                        <w:sz w:val="18"/>
                        <w:szCs w:val="18"/>
                      </w:rPr>
                      <w:t>3,988,860</w:t>
                    </w:r>
                  </w:p>
                </w:tc>
                <w:tc>
                  <w:tcPr>
                    <w:tcW w:w="356" w:type="pct"/>
                    <w:vAlign w:val="center"/>
                  </w:tcPr>
                  <w:p w14:paraId="4B0E13AC"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spacing w:val="-20"/>
                        <w:sz w:val="18"/>
                        <w:szCs w:val="18"/>
                      </w:rPr>
                      <w:t>22,236,180</w:t>
                    </w:r>
                  </w:p>
                </w:tc>
              </w:tr>
              <w:tr w:rsidR="007E7472" w14:paraId="26402EAE" w14:textId="77777777">
                <w:sdt>
                  <w:sdtPr>
                    <w:tag w:val="_PLD_d55056423dbf4ac187d64bd43c03aca3"/>
                    <w:id w:val="1221870132"/>
                    <w:lock w:val="sdtLocked"/>
                  </w:sdtPr>
                  <w:sdtEndPr/>
                  <w:sdtContent>
                    <w:tc>
                      <w:tcPr>
                        <w:tcW w:w="628" w:type="pct"/>
                      </w:tcPr>
                      <w:p w14:paraId="3354288F" w14:textId="77777777" w:rsidR="007E7472" w:rsidRDefault="00EC1269">
                        <w:pPr>
                          <w:rPr>
                            <w:sz w:val="18"/>
                            <w:szCs w:val="18"/>
                          </w:rPr>
                        </w:pPr>
                        <w:r>
                          <w:rPr>
                            <w:sz w:val="18"/>
                            <w:szCs w:val="18"/>
                          </w:rPr>
                          <w:t>（</w:t>
                        </w:r>
                        <w:r>
                          <w:rPr>
                            <w:rFonts w:hint="eastAsia"/>
                            <w:sz w:val="18"/>
                            <w:szCs w:val="18"/>
                          </w:rPr>
                          <w:t>二</w:t>
                        </w:r>
                        <w:r>
                          <w:rPr>
                            <w:sz w:val="18"/>
                            <w:szCs w:val="18"/>
                          </w:rPr>
                          <w:t>）所有者投入和减少资本</w:t>
                        </w:r>
                      </w:p>
                    </w:tc>
                  </w:sdtContent>
                </w:sdt>
                <w:tc>
                  <w:tcPr>
                    <w:tcW w:w="305" w:type="pct"/>
                    <w:vAlign w:val="center"/>
                  </w:tcPr>
                  <w:p w14:paraId="3EA4BA82"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74,520</w:t>
                    </w:r>
                  </w:p>
                </w:tc>
                <w:tc>
                  <w:tcPr>
                    <w:tcW w:w="237" w:type="pct"/>
                    <w:vAlign w:val="center"/>
                  </w:tcPr>
                  <w:p w14:paraId="5093EEC8"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563C5B87"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4,990,400</w:t>
                    </w:r>
                  </w:p>
                </w:tc>
                <w:tc>
                  <w:tcPr>
                    <w:tcW w:w="239" w:type="pct"/>
                    <w:vAlign w:val="center"/>
                  </w:tcPr>
                  <w:p w14:paraId="649020F5" w14:textId="77777777" w:rsidR="007E7472" w:rsidRDefault="00C8327E">
                    <w:pPr>
                      <w:jc w:val="right"/>
                      <w:rPr>
                        <w:rFonts w:asciiTheme="minorEastAsia" w:eastAsiaTheme="minorEastAsia" w:hAnsiTheme="minorEastAsia"/>
                        <w:spacing w:val="-20"/>
                        <w:sz w:val="18"/>
                        <w:szCs w:val="18"/>
                      </w:rPr>
                    </w:pPr>
                  </w:p>
                </w:tc>
                <w:tc>
                  <w:tcPr>
                    <w:tcW w:w="305" w:type="pct"/>
                    <w:vAlign w:val="center"/>
                  </w:tcPr>
                  <w:p w14:paraId="084D4BD2"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867,464</w:t>
                    </w:r>
                  </w:p>
                </w:tc>
                <w:tc>
                  <w:tcPr>
                    <w:tcW w:w="255" w:type="pct"/>
                    <w:vAlign w:val="center"/>
                  </w:tcPr>
                  <w:p w14:paraId="18627196"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723,593</w:t>
                    </w:r>
                  </w:p>
                </w:tc>
                <w:tc>
                  <w:tcPr>
                    <w:tcW w:w="359" w:type="pct"/>
                    <w:vAlign w:val="center"/>
                  </w:tcPr>
                  <w:p w14:paraId="13AC471C" w14:textId="77777777" w:rsidR="007E7472" w:rsidRDefault="00C8327E">
                    <w:pPr>
                      <w:jc w:val="right"/>
                      <w:rPr>
                        <w:rFonts w:asciiTheme="minorEastAsia" w:eastAsiaTheme="minorEastAsia" w:hAnsiTheme="minorEastAsia"/>
                        <w:spacing w:val="-20"/>
                        <w:sz w:val="18"/>
                        <w:szCs w:val="18"/>
                      </w:rPr>
                    </w:pPr>
                  </w:p>
                </w:tc>
                <w:tc>
                  <w:tcPr>
                    <w:tcW w:w="252" w:type="pct"/>
                    <w:vAlign w:val="center"/>
                  </w:tcPr>
                  <w:p w14:paraId="5330B8D0" w14:textId="77777777" w:rsidR="007E7472" w:rsidRDefault="00C8327E">
                    <w:pPr>
                      <w:jc w:val="right"/>
                      <w:rPr>
                        <w:rFonts w:asciiTheme="minorEastAsia" w:eastAsiaTheme="minorEastAsia" w:hAnsiTheme="minorEastAsia"/>
                        <w:spacing w:val="-20"/>
                        <w:sz w:val="18"/>
                        <w:szCs w:val="18"/>
                      </w:rPr>
                    </w:pPr>
                  </w:p>
                </w:tc>
                <w:tc>
                  <w:tcPr>
                    <w:tcW w:w="255" w:type="pct"/>
                    <w:vAlign w:val="center"/>
                  </w:tcPr>
                  <w:p w14:paraId="0F2EF3E2" w14:textId="77777777" w:rsidR="007E7472" w:rsidRDefault="00C8327E">
                    <w:pPr>
                      <w:jc w:val="right"/>
                      <w:rPr>
                        <w:rFonts w:asciiTheme="minorEastAsia" w:eastAsiaTheme="minorEastAsia" w:hAnsiTheme="minorEastAsia"/>
                        <w:spacing w:val="-20"/>
                        <w:sz w:val="18"/>
                        <w:szCs w:val="18"/>
                      </w:rPr>
                    </w:pPr>
                  </w:p>
                </w:tc>
                <w:tc>
                  <w:tcPr>
                    <w:tcW w:w="210" w:type="pct"/>
                    <w:vAlign w:val="center"/>
                  </w:tcPr>
                  <w:p w14:paraId="174EE34B"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487284F2" w14:textId="77777777" w:rsidR="007E7472" w:rsidRDefault="00C8327E">
                    <w:pPr>
                      <w:jc w:val="right"/>
                      <w:rPr>
                        <w:rFonts w:asciiTheme="minorEastAsia" w:eastAsiaTheme="minorEastAsia" w:hAnsiTheme="minorEastAsia"/>
                        <w:spacing w:val="-20"/>
                        <w:sz w:val="18"/>
                        <w:szCs w:val="18"/>
                      </w:rPr>
                    </w:pPr>
                  </w:p>
                </w:tc>
                <w:tc>
                  <w:tcPr>
                    <w:tcW w:w="279" w:type="pct"/>
                    <w:vAlign w:val="center"/>
                  </w:tcPr>
                  <w:p w14:paraId="6C630370" w14:textId="77777777" w:rsidR="007E7472" w:rsidRDefault="00C8327E">
                    <w:pPr>
                      <w:jc w:val="right"/>
                      <w:rPr>
                        <w:rFonts w:asciiTheme="minorEastAsia" w:eastAsiaTheme="minorEastAsia" w:hAnsiTheme="minorEastAsia"/>
                        <w:spacing w:val="-20"/>
                        <w:sz w:val="18"/>
                        <w:szCs w:val="18"/>
                      </w:rPr>
                    </w:pPr>
                  </w:p>
                </w:tc>
                <w:tc>
                  <w:tcPr>
                    <w:tcW w:w="331" w:type="pct"/>
                    <w:vAlign w:val="center"/>
                  </w:tcPr>
                  <w:p w14:paraId="2D87E37D"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5,208,791</w:t>
                    </w:r>
                  </w:p>
                </w:tc>
                <w:tc>
                  <w:tcPr>
                    <w:tcW w:w="330" w:type="pct"/>
                    <w:vAlign w:val="center"/>
                  </w:tcPr>
                  <w:p w14:paraId="512EF95E"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6,65</w:t>
                    </w:r>
                    <w:r>
                      <w:rPr>
                        <w:rFonts w:asciiTheme="minorEastAsia" w:eastAsiaTheme="minorEastAsia" w:hAnsiTheme="minorEastAsia"/>
                        <w:spacing w:val="-20"/>
                        <w:sz w:val="18"/>
                        <w:szCs w:val="18"/>
                      </w:rPr>
                      <w:t>3</w:t>
                    </w:r>
                  </w:p>
                </w:tc>
                <w:tc>
                  <w:tcPr>
                    <w:tcW w:w="356" w:type="pct"/>
                    <w:vAlign w:val="center"/>
                  </w:tcPr>
                  <w:p w14:paraId="12216584"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5,215,44</w:t>
                    </w:r>
                    <w:r>
                      <w:rPr>
                        <w:rFonts w:asciiTheme="minorEastAsia" w:eastAsiaTheme="minorEastAsia" w:hAnsiTheme="minorEastAsia"/>
                        <w:spacing w:val="-20"/>
                        <w:sz w:val="18"/>
                        <w:szCs w:val="18"/>
                      </w:rPr>
                      <w:t>4</w:t>
                    </w:r>
                  </w:p>
                </w:tc>
              </w:tr>
              <w:tr w:rsidR="007E7472" w14:paraId="650E875D" w14:textId="77777777">
                <w:sdt>
                  <w:sdtPr>
                    <w:tag w:val="_PLD_284541025868477ca26973c13dd9ff9e"/>
                    <w:id w:val="291564609"/>
                    <w:lock w:val="sdtLocked"/>
                  </w:sdtPr>
                  <w:sdtEndPr/>
                  <w:sdtContent>
                    <w:tc>
                      <w:tcPr>
                        <w:tcW w:w="628" w:type="pct"/>
                      </w:tcPr>
                      <w:p w14:paraId="074B85C2" w14:textId="77777777" w:rsidR="007E7472" w:rsidRDefault="00EC1269">
                        <w:pPr>
                          <w:rPr>
                            <w:sz w:val="18"/>
                            <w:szCs w:val="18"/>
                          </w:rPr>
                        </w:pPr>
                        <w:r>
                          <w:rPr>
                            <w:rFonts w:hint="eastAsia"/>
                            <w:sz w:val="18"/>
                            <w:szCs w:val="18"/>
                          </w:rPr>
                          <w:t>1．所有者投入的普通股</w:t>
                        </w:r>
                      </w:p>
                    </w:tc>
                  </w:sdtContent>
                </w:sdt>
                <w:tc>
                  <w:tcPr>
                    <w:tcW w:w="305" w:type="pct"/>
                    <w:vAlign w:val="center"/>
                  </w:tcPr>
                  <w:p w14:paraId="77570DF5" w14:textId="77777777" w:rsidR="007E7472" w:rsidRDefault="00C8327E">
                    <w:pPr>
                      <w:jc w:val="right"/>
                      <w:rPr>
                        <w:rFonts w:asciiTheme="minorEastAsia" w:eastAsiaTheme="minorEastAsia" w:hAnsiTheme="minorEastAsia"/>
                        <w:spacing w:val="-20"/>
                        <w:sz w:val="18"/>
                        <w:szCs w:val="18"/>
                      </w:rPr>
                    </w:pPr>
                  </w:p>
                </w:tc>
                <w:tc>
                  <w:tcPr>
                    <w:tcW w:w="237" w:type="pct"/>
                    <w:vAlign w:val="center"/>
                  </w:tcPr>
                  <w:p w14:paraId="61BF6FD4"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083213BA" w14:textId="77777777" w:rsidR="007E7472" w:rsidRDefault="00C8327E">
                    <w:pPr>
                      <w:jc w:val="right"/>
                      <w:rPr>
                        <w:rFonts w:asciiTheme="minorEastAsia" w:eastAsiaTheme="minorEastAsia" w:hAnsiTheme="minorEastAsia"/>
                        <w:spacing w:val="-20"/>
                        <w:sz w:val="18"/>
                        <w:szCs w:val="18"/>
                      </w:rPr>
                    </w:pPr>
                  </w:p>
                </w:tc>
                <w:tc>
                  <w:tcPr>
                    <w:tcW w:w="239" w:type="pct"/>
                    <w:vAlign w:val="center"/>
                  </w:tcPr>
                  <w:p w14:paraId="042B75C7" w14:textId="77777777" w:rsidR="007E7472" w:rsidRDefault="00C8327E">
                    <w:pPr>
                      <w:jc w:val="right"/>
                      <w:rPr>
                        <w:rFonts w:asciiTheme="minorEastAsia" w:eastAsiaTheme="minorEastAsia" w:hAnsiTheme="minorEastAsia"/>
                        <w:spacing w:val="-20"/>
                        <w:sz w:val="18"/>
                        <w:szCs w:val="18"/>
                      </w:rPr>
                    </w:pPr>
                  </w:p>
                </w:tc>
                <w:tc>
                  <w:tcPr>
                    <w:tcW w:w="305" w:type="pct"/>
                    <w:vAlign w:val="center"/>
                  </w:tcPr>
                  <w:p w14:paraId="12521768" w14:textId="77777777" w:rsidR="007E7472" w:rsidRDefault="00C8327E">
                    <w:pPr>
                      <w:jc w:val="right"/>
                      <w:rPr>
                        <w:rFonts w:asciiTheme="minorEastAsia" w:eastAsiaTheme="minorEastAsia" w:hAnsiTheme="minorEastAsia"/>
                        <w:spacing w:val="-20"/>
                        <w:sz w:val="18"/>
                        <w:szCs w:val="18"/>
                      </w:rPr>
                    </w:pPr>
                  </w:p>
                </w:tc>
                <w:tc>
                  <w:tcPr>
                    <w:tcW w:w="255" w:type="pct"/>
                    <w:vAlign w:val="center"/>
                  </w:tcPr>
                  <w:p w14:paraId="7258A886" w14:textId="77777777" w:rsidR="007E7472" w:rsidRDefault="00C8327E">
                    <w:pPr>
                      <w:jc w:val="right"/>
                      <w:rPr>
                        <w:rFonts w:asciiTheme="minorEastAsia" w:eastAsiaTheme="minorEastAsia" w:hAnsiTheme="minorEastAsia"/>
                        <w:spacing w:val="-20"/>
                        <w:sz w:val="18"/>
                        <w:szCs w:val="18"/>
                      </w:rPr>
                    </w:pPr>
                  </w:p>
                </w:tc>
                <w:tc>
                  <w:tcPr>
                    <w:tcW w:w="359" w:type="pct"/>
                    <w:vAlign w:val="center"/>
                  </w:tcPr>
                  <w:p w14:paraId="4E462247" w14:textId="77777777" w:rsidR="007E7472" w:rsidRDefault="00C8327E">
                    <w:pPr>
                      <w:jc w:val="right"/>
                      <w:rPr>
                        <w:rFonts w:asciiTheme="minorEastAsia" w:eastAsiaTheme="minorEastAsia" w:hAnsiTheme="minorEastAsia"/>
                        <w:spacing w:val="-20"/>
                        <w:sz w:val="18"/>
                        <w:szCs w:val="18"/>
                      </w:rPr>
                    </w:pPr>
                  </w:p>
                </w:tc>
                <w:tc>
                  <w:tcPr>
                    <w:tcW w:w="252" w:type="pct"/>
                    <w:vAlign w:val="center"/>
                  </w:tcPr>
                  <w:p w14:paraId="739DD289" w14:textId="77777777" w:rsidR="007E7472" w:rsidRDefault="00C8327E">
                    <w:pPr>
                      <w:jc w:val="right"/>
                      <w:rPr>
                        <w:rFonts w:asciiTheme="minorEastAsia" w:eastAsiaTheme="minorEastAsia" w:hAnsiTheme="minorEastAsia"/>
                        <w:spacing w:val="-20"/>
                        <w:sz w:val="18"/>
                        <w:szCs w:val="18"/>
                      </w:rPr>
                    </w:pPr>
                  </w:p>
                </w:tc>
                <w:tc>
                  <w:tcPr>
                    <w:tcW w:w="255" w:type="pct"/>
                    <w:vAlign w:val="center"/>
                  </w:tcPr>
                  <w:p w14:paraId="08A2BC52" w14:textId="77777777" w:rsidR="007E7472" w:rsidRDefault="00C8327E">
                    <w:pPr>
                      <w:jc w:val="right"/>
                      <w:rPr>
                        <w:rFonts w:asciiTheme="minorEastAsia" w:eastAsiaTheme="minorEastAsia" w:hAnsiTheme="minorEastAsia"/>
                        <w:spacing w:val="-20"/>
                        <w:sz w:val="18"/>
                        <w:szCs w:val="18"/>
                      </w:rPr>
                    </w:pPr>
                  </w:p>
                </w:tc>
                <w:tc>
                  <w:tcPr>
                    <w:tcW w:w="210" w:type="pct"/>
                    <w:vAlign w:val="center"/>
                  </w:tcPr>
                  <w:p w14:paraId="661F54A7"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5AFF73B7" w14:textId="77777777" w:rsidR="007E7472" w:rsidRDefault="00C8327E">
                    <w:pPr>
                      <w:jc w:val="right"/>
                      <w:rPr>
                        <w:rFonts w:asciiTheme="minorEastAsia" w:eastAsiaTheme="minorEastAsia" w:hAnsiTheme="minorEastAsia"/>
                        <w:spacing w:val="-20"/>
                        <w:sz w:val="18"/>
                        <w:szCs w:val="18"/>
                      </w:rPr>
                    </w:pPr>
                  </w:p>
                </w:tc>
                <w:tc>
                  <w:tcPr>
                    <w:tcW w:w="279" w:type="pct"/>
                    <w:vAlign w:val="center"/>
                  </w:tcPr>
                  <w:p w14:paraId="150726A6" w14:textId="77777777" w:rsidR="007E7472" w:rsidRDefault="00C8327E">
                    <w:pPr>
                      <w:jc w:val="right"/>
                      <w:rPr>
                        <w:rFonts w:asciiTheme="minorEastAsia" w:eastAsiaTheme="minorEastAsia" w:hAnsiTheme="minorEastAsia"/>
                        <w:spacing w:val="-20"/>
                        <w:sz w:val="18"/>
                        <w:szCs w:val="18"/>
                      </w:rPr>
                    </w:pPr>
                  </w:p>
                </w:tc>
                <w:tc>
                  <w:tcPr>
                    <w:tcW w:w="331" w:type="pct"/>
                    <w:vAlign w:val="center"/>
                  </w:tcPr>
                  <w:p w14:paraId="4E6268C0"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30595B4D" w14:textId="77777777" w:rsidR="007E7472" w:rsidRDefault="00C8327E">
                    <w:pPr>
                      <w:jc w:val="right"/>
                      <w:rPr>
                        <w:rFonts w:asciiTheme="minorEastAsia" w:eastAsiaTheme="minorEastAsia" w:hAnsiTheme="minorEastAsia"/>
                        <w:spacing w:val="-20"/>
                        <w:sz w:val="18"/>
                        <w:szCs w:val="18"/>
                      </w:rPr>
                    </w:pPr>
                  </w:p>
                </w:tc>
                <w:tc>
                  <w:tcPr>
                    <w:tcW w:w="356" w:type="pct"/>
                    <w:vAlign w:val="center"/>
                  </w:tcPr>
                  <w:p w14:paraId="6F1072BC" w14:textId="77777777" w:rsidR="007E7472" w:rsidRDefault="00C8327E">
                    <w:pPr>
                      <w:jc w:val="right"/>
                      <w:rPr>
                        <w:rFonts w:asciiTheme="minorEastAsia" w:eastAsiaTheme="minorEastAsia" w:hAnsiTheme="minorEastAsia"/>
                        <w:spacing w:val="-20"/>
                        <w:sz w:val="18"/>
                        <w:szCs w:val="18"/>
                      </w:rPr>
                    </w:pPr>
                  </w:p>
                </w:tc>
              </w:tr>
              <w:tr w:rsidR="007E7472" w14:paraId="76ABFA9B" w14:textId="77777777">
                <w:sdt>
                  <w:sdtPr>
                    <w:tag w:val="_PLD_13b4ec8d0fe34f9797d68eab8f95768d"/>
                    <w:id w:val="-671023104"/>
                    <w:lock w:val="sdtLocked"/>
                  </w:sdtPr>
                  <w:sdtEndPr/>
                  <w:sdtContent>
                    <w:tc>
                      <w:tcPr>
                        <w:tcW w:w="628" w:type="pct"/>
                      </w:tcPr>
                      <w:p w14:paraId="796BD85E" w14:textId="77777777" w:rsidR="007E7472" w:rsidRDefault="00EC1269">
                        <w:pPr>
                          <w:rPr>
                            <w:sz w:val="18"/>
                            <w:szCs w:val="18"/>
                          </w:rPr>
                        </w:pPr>
                        <w:r>
                          <w:rPr>
                            <w:rFonts w:hint="eastAsia"/>
                            <w:sz w:val="18"/>
                            <w:szCs w:val="18"/>
                          </w:rPr>
                          <w:t>2．其他权益工具持有者投入资本</w:t>
                        </w:r>
                      </w:p>
                    </w:tc>
                  </w:sdtContent>
                </w:sdt>
                <w:tc>
                  <w:tcPr>
                    <w:tcW w:w="305" w:type="pct"/>
                    <w:vAlign w:val="center"/>
                  </w:tcPr>
                  <w:p w14:paraId="39588955" w14:textId="77777777" w:rsidR="007E7472" w:rsidRDefault="00C8327E">
                    <w:pPr>
                      <w:jc w:val="right"/>
                      <w:rPr>
                        <w:rFonts w:asciiTheme="minorEastAsia" w:eastAsiaTheme="minorEastAsia" w:hAnsiTheme="minorEastAsia"/>
                        <w:spacing w:val="-20"/>
                        <w:sz w:val="18"/>
                        <w:szCs w:val="18"/>
                      </w:rPr>
                    </w:pPr>
                  </w:p>
                </w:tc>
                <w:tc>
                  <w:tcPr>
                    <w:tcW w:w="237" w:type="pct"/>
                    <w:vAlign w:val="center"/>
                  </w:tcPr>
                  <w:p w14:paraId="14994D09"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582D0CDD"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4,990,400</w:t>
                    </w:r>
                  </w:p>
                </w:tc>
                <w:tc>
                  <w:tcPr>
                    <w:tcW w:w="239" w:type="pct"/>
                    <w:vAlign w:val="center"/>
                  </w:tcPr>
                  <w:p w14:paraId="535355C6" w14:textId="77777777" w:rsidR="007E7472" w:rsidRDefault="00C8327E">
                    <w:pPr>
                      <w:jc w:val="right"/>
                      <w:rPr>
                        <w:rFonts w:asciiTheme="minorEastAsia" w:eastAsiaTheme="minorEastAsia" w:hAnsiTheme="minorEastAsia"/>
                        <w:spacing w:val="-20"/>
                        <w:sz w:val="18"/>
                        <w:szCs w:val="18"/>
                      </w:rPr>
                    </w:pPr>
                  </w:p>
                </w:tc>
                <w:tc>
                  <w:tcPr>
                    <w:tcW w:w="305" w:type="pct"/>
                    <w:vAlign w:val="center"/>
                  </w:tcPr>
                  <w:p w14:paraId="3F0E5E74" w14:textId="77777777" w:rsidR="007E7472" w:rsidRDefault="00C8327E">
                    <w:pPr>
                      <w:jc w:val="right"/>
                      <w:rPr>
                        <w:rFonts w:asciiTheme="minorEastAsia" w:eastAsiaTheme="minorEastAsia" w:hAnsiTheme="minorEastAsia"/>
                        <w:spacing w:val="-20"/>
                        <w:sz w:val="18"/>
                        <w:szCs w:val="18"/>
                      </w:rPr>
                    </w:pPr>
                  </w:p>
                </w:tc>
                <w:tc>
                  <w:tcPr>
                    <w:tcW w:w="255" w:type="pct"/>
                    <w:vAlign w:val="center"/>
                  </w:tcPr>
                  <w:p w14:paraId="254A5398" w14:textId="77777777" w:rsidR="007E7472" w:rsidRDefault="00C8327E">
                    <w:pPr>
                      <w:jc w:val="right"/>
                      <w:rPr>
                        <w:rFonts w:asciiTheme="minorEastAsia" w:eastAsiaTheme="minorEastAsia" w:hAnsiTheme="minorEastAsia"/>
                        <w:spacing w:val="-20"/>
                        <w:sz w:val="18"/>
                        <w:szCs w:val="18"/>
                      </w:rPr>
                    </w:pPr>
                  </w:p>
                </w:tc>
                <w:tc>
                  <w:tcPr>
                    <w:tcW w:w="359" w:type="pct"/>
                    <w:vAlign w:val="center"/>
                  </w:tcPr>
                  <w:p w14:paraId="2F75C4B0" w14:textId="77777777" w:rsidR="007E7472" w:rsidRDefault="00C8327E">
                    <w:pPr>
                      <w:jc w:val="right"/>
                      <w:rPr>
                        <w:rFonts w:asciiTheme="minorEastAsia" w:eastAsiaTheme="minorEastAsia" w:hAnsiTheme="minorEastAsia"/>
                        <w:spacing w:val="-20"/>
                        <w:sz w:val="18"/>
                        <w:szCs w:val="18"/>
                      </w:rPr>
                    </w:pPr>
                  </w:p>
                </w:tc>
                <w:tc>
                  <w:tcPr>
                    <w:tcW w:w="252" w:type="pct"/>
                    <w:vAlign w:val="center"/>
                  </w:tcPr>
                  <w:p w14:paraId="54075EF1" w14:textId="77777777" w:rsidR="007E7472" w:rsidRDefault="00C8327E">
                    <w:pPr>
                      <w:jc w:val="right"/>
                      <w:rPr>
                        <w:rFonts w:asciiTheme="minorEastAsia" w:eastAsiaTheme="minorEastAsia" w:hAnsiTheme="minorEastAsia"/>
                        <w:spacing w:val="-20"/>
                        <w:sz w:val="18"/>
                        <w:szCs w:val="18"/>
                      </w:rPr>
                    </w:pPr>
                  </w:p>
                </w:tc>
                <w:tc>
                  <w:tcPr>
                    <w:tcW w:w="255" w:type="pct"/>
                    <w:vAlign w:val="center"/>
                  </w:tcPr>
                  <w:p w14:paraId="39D21692" w14:textId="77777777" w:rsidR="007E7472" w:rsidRDefault="00C8327E">
                    <w:pPr>
                      <w:jc w:val="right"/>
                      <w:rPr>
                        <w:rFonts w:asciiTheme="minorEastAsia" w:eastAsiaTheme="minorEastAsia" w:hAnsiTheme="minorEastAsia"/>
                        <w:spacing w:val="-20"/>
                        <w:sz w:val="18"/>
                        <w:szCs w:val="18"/>
                      </w:rPr>
                    </w:pPr>
                  </w:p>
                </w:tc>
                <w:tc>
                  <w:tcPr>
                    <w:tcW w:w="210" w:type="pct"/>
                    <w:vAlign w:val="center"/>
                  </w:tcPr>
                  <w:p w14:paraId="4BB8C2C5"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0A14D058" w14:textId="77777777" w:rsidR="007E7472" w:rsidRDefault="00C8327E">
                    <w:pPr>
                      <w:jc w:val="right"/>
                      <w:rPr>
                        <w:rFonts w:asciiTheme="minorEastAsia" w:eastAsiaTheme="minorEastAsia" w:hAnsiTheme="minorEastAsia"/>
                        <w:spacing w:val="-20"/>
                        <w:sz w:val="18"/>
                        <w:szCs w:val="18"/>
                      </w:rPr>
                    </w:pPr>
                  </w:p>
                </w:tc>
                <w:tc>
                  <w:tcPr>
                    <w:tcW w:w="279" w:type="pct"/>
                    <w:vAlign w:val="center"/>
                  </w:tcPr>
                  <w:p w14:paraId="5B896C1A" w14:textId="77777777" w:rsidR="007E7472" w:rsidRDefault="00C8327E">
                    <w:pPr>
                      <w:jc w:val="right"/>
                      <w:rPr>
                        <w:rFonts w:asciiTheme="minorEastAsia" w:eastAsiaTheme="minorEastAsia" w:hAnsiTheme="minorEastAsia"/>
                        <w:spacing w:val="-20"/>
                        <w:sz w:val="18"/>
                        <w:szCs w:val="18"/>
                      </w:rPr>
                    </w:pPr>
                  </w:p>
                </w:tc>
                <w:tc>
                  <w:tcPr>
                    <w:tcW w:w="331" w:type="pct"/>
                    <w:vAlign w:val="center"/>
                  </w:tcPr>
                  <w:p w14:paraId="4204FAC3"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4,990,400</w:t>
                    </w:r>
                  </w:p>
                </w:tc>
                <w:tc>
                  <w:tcPr>
                    <w:tcW w:w="330" w:type="pct"/>
                    <w:vAlign w:val="center"/>
                  </w:tcPr>
                  <w:p w14:paraId="5414D219" w14:textId="77777777" w:rsidR="007E7472" w:rsidRDefault="00C8327E">
                    <w:pPr>
                      <w:jc w:val="right"/>
                      <w:rPr>
                        <w:rFonts w:asciiTheme="minorEastAsia" w:eastAsiaTheme="minorEastAsia" w:hAnsiTheme="minorEastAsia"/>
                        <w:spacing w:val="-20"/>
                        <w:sz w:val="18"/>
                        <w:szCs w:val="18"/>
                      </w:rPr>
                    </w:pPr>
                  </w:p>
                </w:tc>
                <w:tc>
                  <w:tcPr>
                    <w:tcW w:w="356" w:type="pct"/>
                    <w:vAlign w:val="center"/>
                  </w:tcPr>
                  <w:p w14:paraId="3DCCD8F5"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4,990,400</w:t>
                    </w:r>
                  </w:p>
                </w:tc>
              </w:tr>
              <w:tr w:rsidR="007E7472" w14:paraId="25E9E0A3" w14:textId="77777777">
                <w:sdt>
                  <w:sdtPr>
                    <w:tag w:val="_PLD_f1f3be9263a748c28f276e78f447b133"/>
                    <w:id w:val="1134211182"/>
                    <w:lock w:val="sdtLocked"/>
                  </w:sdtPr>
                  <w:sdtEndPr/>
                  <w:sdtContent>
                    <w:tc>
                      <w:tcPr>
                        <w:tcW w:w="628" w:type="pct"/>
                      </w:tcPr>
                      <w:p w14:paraId="3EB9F0B7" w14:textId="77777777" w:rsidR="007E7472" w:rsidRDefault="00EC1269">
                        <w:pPr>
                          <w:rPr>
                            <w:sz w:val="18"/>
                            <w:szCs w:val="18"/>
                          </w:rPr>
                        </w:pPr>
                        <w:r>
                          <w:rPr>
                            <w:rFonts w:hint="eastAsia"/>
                            <w:sz w:val="18"/>
                            <w:szCs w:val="18"/>
                          </w:rPr>
                          <w:t>3</w:t>
                        </w:r>
                        <w:r>
                          <w:rPr>
                            <w:sz w:val="18"/>
                            <w:szCs w:val="18"/>
                          </w:rPr>
                          <w:t>．股份支付计入所有者权益的金额</w:t>
                        </w:r>
                      </w:p>
                    </w:tc>
                  </w:sdtContent>
                </w:sdt>
                <w:tc>
                  <w:tcPr>
                    <w:tcW w:w="305" w:type="pct"/>
                    <w:vAlign w:val="center"/>
                  </w:tcPr>
                  <w:p w14:paraId="7E545F3D"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74,520</w:t>
                    </w:r>
                  </w:p>
                </w:tc>
                <w:tc>
                  <w:tcPr>
                    <w:tcW w:w="237" w:type="pct"/>
                    <w:vAlign w:val="center"/>
                  </w:tcPr>
                  <w:p w14:paraId="05D6A14C"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15F69716" w14:textId="77777777" w:rsidR="007E7472" w:rsidRDefault="00C8327E">
                    <w:pPr>
                      <w:jc w:val="right"/>
                      <w:rPr>
                        <w:rFonts w:asciiTheme="minorEastAsia" w:eastAsiaTheme="minorEastAsia" w:hAnsiTheme="minorEastAsia"/>
                        <w:spacing w:val="-20"/>
                        <w:sz w:val="18"/>
                        <w:szCs w:val="18"/>
                      </w:rPr>
                    </w:pPr>
                  </w:p>
                </w:tc>
                <w:tc>
                  <w:tcPr>
                    <w:tcW w:w="239" w:type="pct"/>
                    <w:vAlign w:val="center"/>
                  </w:tcPr>
                  <w:p w14:paraId="300EDC7E" w14:textId="77777777" w:rsidR="007E7472" w:rsidRDefault="00C8327E">
                    <w:pPr>
                      <w:jc w:val="right"/>
                      <w:rPr>
                        <w:rFonts w:asciiTheme="minorEastAsia" w:eastAsiaTheme="minorEastAsia" w:hAnsiTheme="minorEastAsia"/>
                        <w:spacing w:val="-20"/>
                        <w:sz w:val="18"/>
                        <w:szCs w:val="18"/>
                      </w:rPr>
                    </w:pPr>
                  </w:p>
                </w:tc>
                <w:tc>
                  <w:tcPr>
                    <w:tcW w:w="305" w:type="pct"/>
                    <w:vAlign w:val="center"/>
                  </w:tcPr>
                  <w:p w14:paraId="452D9BC6"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867,464</w:t>
                    </w:r>
                  </w:p>
                </w:tc>
                <w:tc>
                  <w:tcPr>
                    <w:tcW w:w="255" w:type="pct"/>
                    <w:vAlign w:val="center"/>
                  </w:tcPr>
                  <w:p w14:paraId="01BDD825"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723,593</w:t>
                    </w:r>
                  </w:p>
                </w:tc>
                <w:tc>
                  <w:tcPr>
                    <w:tcW w:w="359" w:type="pct"/>
                    <w:vAlign w:val="center"/>
                  </w:tcPr>
                  <w:p w14:paraId="6B19B56B" w14:textId="77777777" w:rsidR="007E7472" w:rsidRDefault="00C8327E">
                    <w:pPr>
                      <w:jc w:val="right"/>
                      <w:rPr>
                        <w:rFonts w:asciiTheme="minorEastAsia" w:eastAsiaTheme="minorEastAsia" w:hAnsiTheme="minorEastAsia"/>
                        <w:spacing w:val="-20"/>
                        <w:sz w:val="18"/>
                        <w:szCs w:val="18"/>
                      </w:rPr>
                    </w:pPr>
                  </w:p>
                </w:tc>
                <w:tc>
                  <w:tcPr>
                    <w:tcW w:w="252" w:type="pct"/>
                    <w:vAlign w:val="center"/>
                  </w:tcPr>
                  <w:p w14:paraId="5451A9A2" w14:textId="77777777" w:rsidR="007E7472" w:rsidRDefault="00C8327E">
                    <w:pPr>
                      <w:jc w:val="right"/>
                      <w:rPr>
                        <w:rFonts w:asciiTheme="minorEastAsia" w:eastAsiaTheme="minorEastAsia" w:hAnsiTheme="minorEastAsia"/>
                        <w:spacing w:val="-20"/>
                        <w:sz w:val="18"/>
                        <w:szCs w:val="18"/>
                      </w:rPr>
                    </w:pPr>
                  </w:p>
                </w:tc>
                <w:tc>
                  <w:tcPr>
                    <w:tcW w:w="255" w:type="pct"/>
                    <w:vAlign w:val="center"/>
                  </w:tcPr>
                  <w:p w14:paraId="5BE57BA6" w14:textId="77777777" w:rsidR="007E7472" w:rsidRDefault="00C8327E">
                    <w:pPr>
                      <w:jc w:val="right"/>
                      <w:rPr>
                        <w:rFonts w:asciiTheme="minorEastAsia" w:eastAsiaTheme="minorEastAsia" w:hAnsiTheme="minorEastAsia"/>
                        <w:spacing w:val="-20"/>
                        <w:sz w:val="18"/>
                        <w:szCs w:val="18"/>
                      </w:rPr>
                    </w:pPr>
                  </w:p>
                </w:tc>
                <w:tc>
                  <w:tcPr>
                    <w:tcW w:w="210" w:type="pct"/>
                    <w:vAlign w:val="center"/>
                  </w:tcPr>
                  <w:p w14:paraId="0DC57A4E"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6BF1C47F" w14:textId="77777777" w:rsidR="007E7472" w:rsidRDefault="00C8327E">
                    <w:pPr>
                      <w:jc w:val="right"/>
                      <w:rPr>
                        <w:rFonts w:asciiTheme="minorEastAsia" w:eastAsiaTheme="minorEastAsia" w:hAnsiTheme="minorEastAsia"/>
                        <w:spacing w:val="-20"/>
                        <w:sz w:val="18"/>
                        <w:szCs w:val="18"/>
                      </w:rPr>
                    </w:pPr>
                  </w:p>
                </w:tc>
                <w:tc>
                  <w:tcPr>
                    <w:tcW w:w="279" w:type="pct"/>
                    <w:vAlign w:val="center"/>
                  </w:tcPr>
                  <w:p w14:paraId="350C24E3" w14:textId="77777777" w:rsidR="007E7472" w:rsidRDefault="00C8327E">
                    <w:pPr>
                      <w:jc w:val="right"/>
                      <w:rPr>
                        <w:rFonts w:asciiTheme="minorEastAsia" w:eastAsiaTheme="minorEastAsia" w:hAnsiTheme="minorEastAsia"/>
                        <w:spacing w:val="-20"/>
                        <w:sz w:val="18"/>
                        <w:szCs w:val="18"/>
                      </w:rPr>
                    </w:pPr>
                  </w:p>
                </w:tc>
                <w:tc>
                  <w:tcPr>
                    <w:tcW w:w="331" w:type="pct"/>
                    <w:vAlign w:val="center"/>
                  </w:tcPr>
                  <w:p w14:paraId="2DEFEFE8"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218,391</w:t>
                    </w:r>
                  </w:p>
                </w:tc>
                <w:tc>
                  <w:tcPr>
                    <w:tcW w:w="330" w:type="pct"/>
                    <w:vAlign w:val="center"/>
                  </w:tcPr>
                  <w:p w14:paraId="68D37025"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7,173</w:t>
                    </w:r>
                  </w:p>
                </w:tc>
                <w:tc>
                  <w:tcPr>
                    <w:tcW w:w="356" w:type="pct"/>
                    <w:vAlign w:val="center"/>
                  </w:tcPr>
                  <w:p w14:paraId="1282259E"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225,564</w:t>
                    </w:r>
                  </w:p>
                </w:tc>
              </w:tr>
              <w:tr w:rsidR="007E7472" w14:paraId="32300AFF" w14:textId="77777777">
                <w:sdt>
                  <w:sdtPr>
                    <w:tag w:val="_PLD_9836f3287cfe45e6ad0e85f83686ac73"/>
                    <w:id w:val="-614681021"/>
                    <w:lock w:val="sdtLocked"/>
                  </w:sdtPr>
                  <w:sdtEndPr/>
                  <w:sdtContent>
                    <w:tc>
                      <w:tcPr>
                        <w:tcW w:w="628" w:type="pct"/>
                      </w:tcPr>
                      <w:p w14:paraId="185B9693" w14:textId="77777777" w:rsidR="007E7472" w:rsidRDefault="00EC1269">
                        <w:pPr>
                          <w:rPr>
                            <w:sz w:val="18"/>
                            <w:szCs w:val="18"/>
                          </w:rPr>
                        </w:pPr>
                        <w:r>
                          <w:rPr>
                            <w:rFonts w:hint="eastAsia"/>
                            <w:sz w:val="18"/>
                            <w:szCs w:val="18"/>
                          </w:rPr>
                          <w:t>4.同一控制下企业合并</w:t>
                        </w:r>
                      </w:p>
                    </w:tc>
                  </w:sdtContent>
                </w:sdt>
                <w:sdt>
                  <w:sdtPr>
                    <w:alias w:val="4.同一控制下企业合并实收资本(或股本)"/>
                    <w:tag w:val="_GBC_2da7f1f7f08a430d8f69114595c3cc71"/>
                    <w:id w:val="-2042126291"/>
                    <w:lock w:val="sdtLocked"/>
                  </w:sdtPr>
                  <w:sdtEndPr/>
                  <w:sdtContent>
                    <w:tc>
                      <w:tcPr>
                        <w:tcW w:w="305" w:type="pct"/>
                        <w:vAlign w:val="center"/>
                      </w:tcPr>
                      <w:p w14:paraId="0CAC3237" w14:textId="77777777" w:rsidR="007E7472" w:rsidRDefault="00C8327E">
                        <w:pPr>
                          <w:jc w:val="right"/>
                          <w:rPr>
                            <w:rFonts w:asciiTheme="minorEastAsia" w:eastAsiaTheme="minorEastAsia" w:hAnsiTheme="minorEastAsia"/>
                            <w:spacing w:val="-20"/>
                            <w:sz w:val="18"/>
                            <w:szCs w:val="18"/>
                          </w:rPr>
                        </w:pPr>
                      </w:p>
                    </w:tc>
                  </w:sdtContent>
                </w:sdt>
                <w:sdt>
                  <w:sdtPr>
                    <w:alias w:val="4.同一控制下企业合并优先股"/>
                    <w:tag w:val="_GBC_6f485b95b3cf462292346d886a327dea"/>
                    <w:id w:val="1265272383"/>
                    <w:lock w:val="sdtLocked"/>
                  </w:sdtPr>
                  <w:sdtEndPr/>
                  <w:sdtContent>
                    <w:tc>
                      <w:tcPr>
                        <w:tcW w:w="237" w:type="pct"/>
                        <w:vAlign w:val="center"/>
                      </w:tcPr>
                      <w:p w14:paraId="450F0CEC" w14:textId="77777777" w:rsidR="007E7472" w:rsidRDefault="00C8327E">
                        <w:pPr>
                          <w:jc w:val="right"/>
                          <w:rPr>
                            <w:rFonts w:asciiTheme="minorEastAsia" w:eastAsiaTheme="minorEastAsia" w:hAnsiTheme="minorEastAsia"/>
                            <w:spacing w:val="-20"/>
                            <w:sz w:val="18"/>
                            <w:szCs w:val="18"/>
                          </w:rPr>
                        </w:pPr>
                      </w:p>
                    </w:tc>
                  </w:sdtContent>
                </w:sdt>
                <w:sdt>
                  <w:sdtPr>
                    <w:alias w:val="4.同一控制下企业合并永续债"/>
                    <w:tag w:val="_GBC_6808eadcc4fa485fa24bf1d5b756d4d0"/>
                    <w:id w:val="-2130763764"/>
                    <w:lock w:val="sdtLocked"/>
                  </w:sdtPr>
                  <w:sdtEndPr/>
                  <w:sdtContent>
                    <w:tc>
                      <w:tcPr>
                        <w:tcW w:w="330" w:type="pct"/>
                        <w:vAlign w:val="center"/>
                      </w:tcPr>
                      <w:p w14:paraId="6D6F8243" w14:textId="77777777" w:rsidR="007E7472" w:rsidRDefault="00C8327E">
                        <w:pPr>
                          <w:jc w:val="right"/>
                          <w:rPr>
                            <w:rFonts w:asciiTheme="minorEastAsia" w:eastAsiaTheme="minorEastAsia" w:hAnsiTheme="minorEastAsia"/>
                            <w:spacing w:val="-20"/>
                            <w:sz w:val="18"/>
                            <w:szCs w:val="18"/>
                          </w:rPr>
                        </w:pPr>
                      </w:p>
                    </w:tc>
                  </w:sdtContent>
                </w:sdt>
                <w:sdt>
                  <w:sdtPr>
                    <w:alias w:val="4.同一控制下企业合并其他"/>
                    <w:tag w:val="_GBC_25bd5c62ef36498a95f65dd9911a2a48"/>
                    <w:id w:val="-1019700774"/>
                    <w:lock w:val="sdtLocked"/>
                  </w:sdtPr>
                  <w:sdtEndPr/>
                  <w:sdtContent>
                    <w:tc>
                      <w:tcPr>
                        <w:tcW w:w="239" w:type="pct"/>
                        <w:vAlign w:val="center"/>
                      </w:tcPr>
                      <w:p w14:paraId="69E53DF2" w14:textId="77777777" w:rsidR="007E7472" w:rsidRDefault="00C8327E">
                        <w:pPr>
                          <w:jc w:val="right"/>
                          <w:rPr>
                            <w:rFonts w:asciiTheme="minorEastAsia" w:eastAsiaTheme="minorEastAsia" w:hAnsiTheme="minorEastAsia"/>
                            <w:spacing w:val="-20"/>
                            <w:sz w:val="18"/>
                            <w:szCs w:val="18"/>
                          </w:rPr>
                        </w:pPr>
                      </w:p>
                    </w:tc>
                  </w:sdtContent>
                </w:sdt>
                <w:sdt>
                  <w:sdtPr>
                    <w:alias w:val="4.同一控制下企业合并资本公积"/>
                    <w:tag w:val="_GBC_5839cd61278f4250bf8afee8e537295a"/>
                    <w:id w:val="-1852642168"/>
                    <w:lock w:val="sdtLocked"/>
                  </w:sdtPr>
                  <w:sdtEndPr/>
                  <w:sdtContent>
                    <w:tc>
                      <w:tcPr>
                        <w:tcW w:w="305" w:type="pct"/>
                        <w:vAlign w:val="center"/>
                      </w:tcPr>
                      <w:p w14:paraId="1A8665A0" w14:textId="77777777" w:rsidR="007E7472" w:rsidRDefault="00C8327E">
                        <w:pPr>
                          <w:jc w:val="right"/>
                          <w:rPr>
                            <w:rFonts w:asciiTheme="minorEastAsia" w:eastAsiaTheme="minorEastAsia" w:hAnsiTheme="minorEastAsia"/>
                            <w:spacing w:val="-20"/>
                            <w:sz w:val="18"/>
                            <w:szCs w:val="18"/>
                          </w:rPr>
                        </w:pPr>
                      </w:p>
                    </w:tc>
                  </w:sdtContent>
                </w:sdt>
                <w:sdt>
                  <w:sdtPr>
                    <w:alias w:val="4.同一控制下企业合并减：库存股"/>
                    <w:tag w:val="_GBC_ff858b067d404afd916bc4b3bb7f5f7f"/>
                    <w:id w:val="-1922712779"/>
                    <w:lock w:val="sdtLocked"/>
                  </w:sdtPr>
                  <w:sdtEndPr/>
                  <w:sdtContent>
                    <w:tc>
                      <w:tcPr>
                        <w:tcW w:w="255" w:type="pct"/>
                        <w:vAlign w:val="center"/>
                      </w:tcPr>
                      <w:p w14:paraId="30F57681" w14:textId="77777777" w:rsidR="007E7472" w:rsidRDefault="00C8327E">
                        <w:pPr>
                          <w:jc w:val="right"/>
                          <w:rPr>
                            <w:rFonts w:asciiTheme="minorEastAsia" w:eastAsiaTheme="minorEastAsia" w:hAnsiTheme="minorEastAsia"/>
                            <w:spacing w:val="-20"/>
                            <w:sz w:val="18"/>
                            <w:szCs w:val="18"/>
                          </w:rPr>
                        </w:pPr>
                      </w:p>
                    </w:tc>
                  </w:sdtContent>
                </w:sdt>
                <w:sdt>
                  <w:sdtPr>
                    <w:alias w:val="4.同一控制下企业合并其他综合收益"/>
                    <w:tag w:val="_GBC_e158402c95e04864b9a7cf53b377d6bf"/>
                    <w:id w:val="1236432801"/>
                    <w:lock w:val="sdtLocked"/>
                  </w:sdtPr>
                  <w:sdtEndPr/>
                  <w:sdtContent>
                    <w:tc>
                      <w:tcPr>
                        <w:tcW w:w="359" w:type="pct"/>
                        <w:vAlign w:val="center"/>
                      </w:tcPr>
                      <w:p w14:paraId="53D0025C" w14:textId="77777777" w:rsidR="007E7472" w:rsidRDefault="00C8327E">
                        <w:pPr>
                          <w:jc w:val="right"/>
                          <w:rPr>
                            <w:rFonts w:asciiTheme="minorEastAsia" w:eastAsiaTheme="minorEastAsia" w:hAnsiTheme="minorEastAsia"/>
                            <w:spacing w:val="-20"/>
                            <w:sz w:val="18"/>
                            <w:szCs w:val="18"/>
                          </w:rPr>
                        </w:pPr>
                      </w:p>
                    </w:tc>
                  </w:sdtContent>
                </w:sdt>
                <w:sdt>
                  <w:sdtPr>
                    <w:alias w:val="4.同一控制下企业合并专项储备"/>
                    <w:tag w:val="_GBC_3c6285a2579a42598406059bc5bb25ef"/>
                    <w:id w:val="-1527017228"/>
                    <w:lock w:val="sdtLocked"/>
                  </w:sdtPr>
                  <w:sdtEndPr/>
                  <w:sdtContent>
                    <w:tc>
                      <w:tcPr>
                        <w:tcW w:w="252" w:type="pct"/>
                        <w:vAlign w:val="center"/>
                      </w:tcPr>
                      <w:p w14:paraId="6DF778E8" w14:textId="77777777" w:rsidR="007E7472" w:rsidRDefault="00C8327E">
                        <w:pPr>
                          <w:jc w:val="right"/>
                          <w:rPr>
                            <w:rFonts w:asciiTheme="minorEastAsia" w:eastAsiaTheme="minorEastAsia" w:hAnsiTheme="minorEastAsia"/>
                            <w:spacing w:val="-20"/>
                            <w:sz w:val="18"/>
                            <w:szCs w:val="18"/>
                          </w:rPr>
                        </w:pPr>
                      </w:p>
                    </w:tc>
                  </w:sdtContent>
                </w:sdt>
                <w:sdt>
                  <w:sdtPr>
                    <w:alias w:val="4.同一控制下企业合并盈余公积"/>
                    <w:tag w:val="_GBC_a1cdf9d3bb834c878cadaa83e08b00ac"/>
                    <w:id w:val="870877665"/>
                    <w:lock w:val="sdtLocked"/>
                  </w:sdtPr>
                  <w:sdtEndPr/>
                  <w:sdtContent>
                    <w:tc>
                      <w:tcPr>
                        <w:tcW w:w="255" w:type="pct"/>
                        <w:vAlign w:val="center"/>
                      </w:tcPr>
                      <w:p w14:paraId="49E6554A" w14:textId="77777777" w:rsidR="007E7472" w:rsidRDefault="00C8327E">
                        <w:pPr>
                          <w:jc w:val="right"/>
                          <w:rPr>
                            <w:rFonts w:asciiTheme="minorEastAsia" w:eastAsiaTheme="minorEastAsia" w:hAnsiTheme="minorEastAsia"/>
                            <w:spacing w:val="-20"/>
                            <w:sz w:val="18"/>
                            <w:szCs w:val="18"/>
                          </w:rPr>
                        </w:pPr>
                      </w:p>
                    </w:tc>
                  </w:sdtContent>
                </w:sdt>
                <w:sdt>
                  <w:sdtPr>
                    <w:alias w:val="4.同一控制下企业合并一般风险准备"/>
                    <w:tag w:val="_GBC_1d83998f8afd4652940d1d17723ea51e"/>
                    <w:id w:val="-449941724"/>
                    <w:lock w:val="sdtLocked"/>
                  </w:sdtPr>
                  <w:sdtEndPr/>
                  <w:sdtContent>
                    <w:tc>
                      <w:tcPr>
                        <w:tcW w:w="210" w:type="pct"/>
                        <w:vAlign w:val="center"/>
                      </w:tcPr>
                      <w:p w14:paraId="2462DF36" w14:textId="77777777" w:rsidR="007E7472" w:rsidRDefault="00C8327E">
                        <w:pPr>
                          <w:jc w:val="right"/>
                          <w:rPr>
                            <w:rFonts w:asciiTheme="minorEastAsia" w:eastAsiaTheme="minorEastAsia" w:hAnsiTheme="minorEastAsia"/>
                            <w:spacing w:val="-20"/>
                            <w:sz w:val="18"/>
                            <w:szCs w:val="18"/>
                          </w:rPr>
                        </w:pPr>
                      </w:p>
                    </w:tc>
                  </w:sdtContent>
                </w:sdt>
                <w:sdt>
                  <w:sdtPr>
                    <w:alias w:val="4.同一控制下企业合并未分配利润"/>
                    <w:tag w:val="_GBC_67d68576a3874944a8483b13691f3d71"/>
                    <w:id w:val="334728240"/>
                    <w:lock w:val="sdtLocked"/>
                  </w:sdtPr>
                  <w:sdtEndPr/>
                  <w:sdtContent>
                    <w:tc>
                      <w:tcPr>
                        <w:tcW w:w="330" w:type="pct"/>
                        <w:vAlign w:val="center"/>
                      </w:tcPr>
                      <w:p w14:paraId="0019E09B" w14:textId="77777777" w:rsidR="007E7472" w:rsidRDefault="00C8327E">
                        <w:pPr>
                          <w:jc w:val="right"/>
                          <w:rPr>
                            <w:rFonts w:asciiTheme="minorEastAsia" w:eastAsiaTheme="minorEastAsia" w:hAnsiTheme="minorEastAsia"/>
                            <w:spacing w:val="-20"/>
                            <w:sz w:val="18"/>
                            <w:szCs w:val="18"/>
                          </w:rPr>
                        </w:pPr>
                      </w:p>
                    </w:tc>
                  </w:sdtContent>
                </w:sdt>
                <w:sdt>
                  <w:sdtPr>
                    <w:alias w:val="4.同一控制下企业合并其他"/>
                    <w:tag w:val="_GBC_eaf143bc741045189a7b191c7ade24cb"/>
                    <w:id w:val="1687013794"/>
                    <w:lock w:val="sdtLocked"/>
                  </w:sdtPr>
                  <w:sdtEndPr/>
                  <w:sdtContent>
                    <w:tc>
                      <w:tcPr>
                        <w:tcW w:w="279" w:type="pct"/>
                        <w:vAlign w:val="center"/>
                      </w:tcPr>
                      <w:p w14:paraId="7BCA4072" w14:textId="77777777" w:rsidR="007E7472" w:rsidRDefault="00C8327E">
                        <w:pPr>
                          <w:jc w:val="right"/>
                          <w:rPr>
                            <w:rFonts w:asciiTheme="minorEastAsia" w:eastAsiaTheme="minorEastAsia" w:hAnsiTheme="minorEastAsia"/>
                            <w:spacing w:val="-20"/>
                            <w:sz w:val="18"/>
                            <w:szCs w:val="18"/>
                          </w:rPr>
                        </w:pPr>
                      </w:p>
                    </w:tc>
                  </w:sdtContent>
                </w:sdt>
                <w:sdt>
                  <w:sdtPr>
                    <w:alias w:val="4.同一控制下企业合并小计"/>
                    <w:tag w:val="_GBC_927ec266ace04a8bb8feea61e33e5666"/>
                    <w:id w:val="-1165085845"/>
                    <w:lock w:val="sdtLocked"/>
                  </w:sdtPr>
                  <w:sdtEndPr/>
                  <w:sdtContent>
                    <w:tc>
                      <w:tcPr>
                        <w:tcW w:w="331" w:type="pct"/>
                        <w:vAlign w:val="center"/>
                      </w:tcPr>
                      <w:p w14:paraId="191740B7" w14:textId="77777777" w:rsidR="007E7472" w:rsidRDefault="00C8327E">
                        <w:pPr>
                          <w:jc w:val="right"/>
                          <w:rPr>
                            <w:rFonts w:asciiTheme="minorEastAsia" w:eastAsiaTheme="minorEastAsia" w:hAnsiTheme="minorEastAsia"/>
                            <w:spacing w:val="-20"/>
                            <w:sz w:val="18"/>
                            <w:szCs w:val="18"/>
                          </w:rPr>
                        </w:pPr>
                      </w:p>
                    </w:tc>
                  </w:sdtContent>
                </w:sdt>
                <w:sdt>
                  <w:sdtPr>
                    <w:alias w:val="4.同一控制下企业合并少数股东权益"/>
                    <w:tag w:val="_GBC_7331fc8aec2c470d9144f3dd93fd8f7c"/>
                    <w:id w:val="-686519569"/>
                    <w:lock w:val="sdtLocked"/>
                  </w:sdtPr>
                  <w:sdtEndPr/>
                  <w:sdtContent>
                    <w:tc>
                      <w:tcPr>
                        <w:tcW w:w="330" w:type="pct"/>
                        <w:vAlign w:val="center"/>
                      </w:tcPr>
                      <w:p w14:paraId="2C1A71F1" w14:textId="77777777" w:rsidR="007E7472" w:rsidRDefault="00C8327E">
                        <w:pPr>
                          <w:jc w:val="right"/>
                          <w:rPr>
                            <w:rFonts w:asciiTheme="minorEastAsia" w:eastAsiaTheme="minorEastAsia" w:hAnsiTheme="minorEastAsia"/>
                            <w:spacing w:val="-20"/>
                            <w:sz w:val="18"/>
                            <w:szCs w:val="18"/>
                          </w:rPr>
                        </w:pPr>
                      </w:p>
                    </w:tc>
                  </w:sdtContent>
                </w:sdt>
                <w:sdt>
                  <w:sdtPr>
                    <w:alias w:val="4.同一控制下企业合并所有者权益合计"/>
                    <w:tag w:val="_GBC_e0e8421e26414cd1b941b8f72b7a6482"/>
                    <w:id w:val="1624422690"/>
                    <w:lock w:val="sdtLocked"/>
                  </w:sdtPr>
                  <w:sdtEndPr/>
                  <w:sdtContent>
                    <w:tc>
                      <w:tcPr>
                        <w:tcW w:w="356" w:type="pct"/>
                        <w:vAlign w:val="center"/>
                      </w:tcPr>
                      <w:p w14:paraId="0D91ECA4" w14:textId="77777777" w:rsidR="007E7472" w:rsidRDefault="00C8327E">
                        <w:pPr>
                          <w:jc w:val="right"/>
                          <w:rPr>
                            <w:rFonts w:asciiTheme="minorEastAsia" w:eastAsiaTheme="minorEastAsia" w:hAnsiTheme="minorEastAsia"/>
                            <w:spacing w:val="-20"/>
                            <w:sz w:val="18"/>
                            <w:szCs w:val="18"/>
                          </w:rPr>
                        </w:pPr>
                      </w:p>
                    </w:tc>
                  </w:sdtContent>
                </w:sdt>
              </w:tr>
              <w:tr w:rsidR="007E7472" w14:paraId="5C609532" w14:textId="77777777">
                <w:sdt>
                  <w:sdtPr>
                    <w:tag w:val="_PLD_a86200a45cf043ac85a2bb2f3d10f123"/>
                    <w:id w:val="-1423025581"/>
                    <w:lock w:val="sdtLocked"/>
                  </w:sdtPr>
                  <w:sdtEndPr/>
                  <w:sdtContent>
                    <w:tc>
                      <w:tcPr>
                        <w:tcW w:w="628" w:type="pct"/>
                      </w:tcPr>
                      <w:p w14:paraId="7822B40C" w14:textId="77777777" w:rsidR="007E7472" w:rsidRDefault="00EC1269">
                        <w:pPr>
                          <w:rPr>
                            <w:sz w:val="18"/>
                            <w:szCs w:val="18"/>
                          </w:rPr>
                        </w:pPr>
                        <w:r>
                          <w:rPr>
                            <w:rFonts w:hint="eastAsia"/>
                            <w:sz w:val="18"/>
                            <w:szCs w:val="18"/>
                          </w:rPr>
                          <w:t>5.收购少数股东股权</w:t>
                        </w:r>
                      </w:p>
                    </w:tc>
                  </w:sdtContent>
                </w:sdt>
                <w:sdt>
                  <w:sdtPr>
                    <w:alias w:val="5.收购少数股东股权实收资本(或股本)"/>
                    <w:tag w:val="_GBC_b9fade9fa9cb4154abad2affa7c3e675"/>
                    <w:id w:val="2053804081"/>
                    <w:lock w:val="sdtLocked"/>
                  </w:sdtPr>
                  <w:sdtEndPr/>
                  <w:sdtContent>
                    <w:tc>
                      <w:tcPr>
                        <w:tcW w:w="305" w:type="pct"/>
                        <w:vAlign w:val="center"/>
                      </w:tcPr>
                      <w:p w14:paraId="66622146" w14:textId="77777777" w:rsidR="007E7472" w:rsidRDefault="00C8327E">
                        <w:pPr>
                          <w:jc w:val="right"/>
                          <w:rPr>
                            <w:rFonts w:asciiTheme="minorEastAsia" w:eastAsiaTheme="minorEastAsia" w:hAnsiTheme="minorEastAsia"/>
                            <w:spacing w:val="-20"/>
                            <w:sz w:val="18"/>
                            <w:szCs w:val="18"/>
                          </w:rPr>
                        </w:pPr>
                      </w:p>
                    </w:tc>
                  </w:sdtContent>
                </w:sdt>
                <w:sdt>
                  <w:sdtPr>
                    <w:alias w:val="5.收购少数股东股权优先股"/>
                    <w:tag w:val="_GBC_7c1eacc9c4854df8831a87a074e7eb55"/>
                    <w:id w:val="-117844368"/>
                    <w:lock w:val="sdtLocked"/>
                  </w:sdtPr>
                  <w:sdtEndPr/>
                  <w:sdtContent>
                    <w:tc>
                      <w:tcPr>
                        <w:tcW w:w="237" w:type="pct"/>
                        <w:vAlign w:val="center"/>
                      </w:tcPr>
                      <w:p w14:paraId="5DA37071" w14:textId="77777777" w:rsidR="007E7472" w:rsidRDefault="00C8327E">
                        <w:pPr>
                          <w:jc w:val="right"/>
                          <w:rPr>
                            <w:rFonts w:asciiTheme="minorEastAsia" w:eastAsiaTheme="minorEastAsia" w:hAnsiTheme="minorEastAsia"/>
                            <w:spacing w:val="-20"/>
                            <w:sz w:val="18"/>
                            <w:szCs w:val="18"/>
                          </w:rPr>
                        </w:pPr>
                      </w:p>
                    </w:tc>
                  </w:sdtContent>
                </w:sdt>
                <w:sdt>
                  <w:sdtPr>
                    <w:alias w:val="5.收购少数股东股权永续债"/>
                    <w:tag w:val="_GBC_21c4c57565d04508a045d95bee50eb99"/>
                    <w:id w:val="-442843344"/>
                    <w:lock w:val="sdtLocked"/>
                  </w:sdtPr>
                  <w:sdtEndPr/>
                  <w:sdtContent>
                    <w:tc>
                      <w:tcPr>
                        <w:tcW w:w="330" w:type="pct"/>
                        <w:vAlign w:val="center"/>
                      </w:tcPr>
                      <w:p w14:paraId="621D7C1C" w14:textId="77777777" w:rsidR="007E7472" w:rsidRDefault="00C8327E">
                        <w:pPr>
                          <w:jc w:val="right"/>
                          <w:rPr>
                            <w:rFonts w:asciiTheme="minorEastAsia" w:eastAsiaTheme="minorEastAsia" w:hAnsiTheme="minorEastAsia"/>
                            <w:spacing w:val="-20"/>
                            <w:sz w:val="18"/>
                            <w:szCs w:val="18"/>
                          </w:rPr>
                        </w:pPr>
                      </w:p>
                    </w:tc>
                  </w:sdtContent>
                </w:sdt>
                <w:sdt>
                  <w:sdtPr>
                    <w:alias w:val="5.收购少数股东股权其他"/>
                    <w:tag w:val="_GBC_aa8c325c17494348a0a44a4f7f489587"/>
                    <w:id w:val="-278182907"/>
                    <w:lock w:val="sdtLocked"/>
                  </w:sdtPr>
                  <w:sdtEndPr/>
                  <w:sdtContent>
                    <w:tc>
                      <w:tcPr>
                        <w:tcW w:w="239" w:type="pct"/>
                        <w:vAlign w:val="center"/>
                      </w:tcPr>
                      <w:p w14:paraId="202F2EF1" w14:textId="77777777" w:rsidR="007E7472" w:rsidRDefault="00C8327E">
                        <w:pPr>
                          <w:jc w:val="right"/>
                          <w:rPr>
                            <w:rFonts w:asciiTheme="minorEastAsia" w:eastAsiaTheme="minorEastAsia" w:hAnsiTheme="minorEastAsia"/>
                            <w:spacing w:val="-20"/>
                            <w:sz w:val="18"/>
                            <w:szCs w:val="18"/>
                          </w:rPr>
                        </w:pPr>
                      </w:p>
                    </w:tc>
                  </w:sdtContent>
                </w:sdt>
                <w:sdt>
                  <w:sdtPr>
                    <w:alias w:val="5.收购少数股东股权资本公积"/>
                    <w:tag w:val="_GBC_0687bc7c87d242b5872a3db02fcd21d0"/>
                    <w:id w:val="-895807993"/>
                    <w:lock w:val="sdtLocked"/>
                  </w:sdtPr>
                  <w:sdtEndPr/>
                  <w:sdtContent>
                    <w:tc>
                      <w:tcPr>
                        <w:tcW w:w="305" w:type="pct"/>
                        <w:vAlign w:val="center"/>
                      </w:tcPr>
                      <w:p w14:paraId="4D289530" w14:textId="77777777" w:rsidR="007E7472" w:rsidRDefault="00C8327E">
                        <w:pPr>
                          <w:jc w:val="right"/>
                          <w:rPr>
                            <w:rFonts w:asciiTheme="minorEastAsia" w:eastAsiaTheme="minorEastAsia" w:hAnsiTheme="minorEastAsia"/>
                            <w:spacing w:val="-20"/>
                            <w:sz w:val="18"/>
                            <w:szCs w:val="18"/>
                          </w:rPr>
                        </w:pPr>
                      </w:p>
                    </w:tc>
                  </w:sdtContent>
                </w:sdt>
                <w:sdt>
                  <w:sdtPr>
                    <w:alias w:val="5.收购少数股东股权减：库存股"/>
                    <w:tag w:val="_GBC_9981495eb14a4a91bfac3c118823ac75"/>
                    <w:id w:val="1754085143"/>
                    <w:lock w:val="sdtLocked"/>
                  </w:sdtPr>
                  <w:sdtEndPr/>
                  <w:sdtContent>
                    <w:tc>
                      <w:tcPr>
                        <w:tcW w:w="255" w:type="pct"/>
                        <w:vAlign w:val="center"/>
                      </w:tcPr>
                      <w:p w14:paraId="28F030C6" w14:textId="77777777" w:rsidR="007E7472" w:rsidRDefault="00C8327E">
                        <w:pPr>
                          <w:jc w:val="right"/>
                          <w:rPr>
                            <w:rFonts w:asciiTheme="minorEastAsia" w:eastAsiaTheme="minorEastAsia" w:hAnsiTheme="minorEastAsia"/>
                            <w:spacing w:val="-20"/>
                            <w:sz w:val="18"/>
                            <w:szCs w:val="18"/>
                          </w:rPr>
                        </w:pPr>
                      </w:p>
                    </w:tc>
                  </w:sdtContent>
                </w:sdt>
                <w:sdt>
                  <w:sdtPr>
                    <w:alias w:val="5.收购少数股东股权其他综合收益"/>
                    <w:tag w:val="_GBC_a948201218374beba8c85ee2d1621d43"/>
                    <w:id w:val="-1292901452"/>
                    <w:lock w:val="sdtLocked"/>
                  </w:sdtPr>
                  <w:sdtEndPr/>
                  <w:sdtContent>
                    <w:tc>
                      <w:tcPr>
                        <w:tcW w:w="359" w:type="pct"/>
                        <w:vAlign w:val="center"/>
                      </w:tcPr>
                      <w:p w14:paraId="218BE9B5" w14:textId="77777777" w:rsidR="007E7472" w:rsidRDefault="00C8327E">
                        <w:pPr>
                          <w:jc w:val="right"/>
                          <w:rPr>
                            <w:rFonts w:asciiTheme="minorEastAsia" w:eastAsiaTheme="minorEastAsia" w:hAnsiTheme="minorEastAsia"/>
                            <w:spacing w:val="-20"/>
                            <w:sz w:val="18"/>
                            <w:szCs w:val="18"/>
                          </w:rPr>
                        </w:pPr>
                      </w:p>
                    </w:tc>
                  </w:sdtContent>
                </w:sdt>
                <w:sdt>
                  <w:sdtPr>
                    <w:alias w:val="5.收购少数股东股权专项储备"/>
                    <w:tag w:val="_GBC_5212542bb7ef46aa9f1729e008f77525"/>
                    <w:id w:val="-505740872"/>
                    <w:lock w:val="sdtLocked"/>
                  </w:sdtPr>
                  <w:sdtEndPr/>
                  <w:sdtContent>
                    <w:tc>
                      <w:tcPr>
                        <w:tcW w:w="252" w:type="pct"/>
                        <w:vAlign w:val="center"/>
                      </w:tcPr>
                      <w:p w14:paraId="0F918D10" w14:textId="77777777" w:rsidR="007E7472" w:rsidRDefault="00C8327E">
                        <w:pPr>
                          <w:jc w:val="right"/>
                          <w:rPr>
                            <w:rFonts w:asciiTheme="minorEastAsia" w:eastAsiaTheme="minorEastAsia" w:hAnsiTheme="minorEastAsia"/>
                            <w:spacing w:val="-20"/>
                            <w:sz w:val="18"/>
                            <w:szCs w:val="18"/>
                          </w:rPr>
                        </w:pPr>
                      </w:p>
                    </w:tc>
                  </w:sdtContent>
                </w:sdt>
                <w:sdt>
                  <w:sdtPr>
                    <w:alias w:val="5.收购少数股东股权盈余公积"/>
                    <w:tag w:val="_GBC_71acb5f4a99b48e9b9bd94ce0cc69f64"/>
                    <w:id w:val="654955287"/>
                    <w:lock w:val="sdtLocked"/>
                  </w:sdtPr>
                  <w:sdtEndPr/>
                  <w:sdtContent>
                    <w:tc>
                      <w:tcPr>
                        <w:tcW w:w="255" w:type="pct"/>
                        <w:vAlign w:val="center"/>
                      </w:tcPr>
                      <w:p w14:paraId="5DDD5D27" w14:textId="77777777" w:rsidR="007E7472" w:rsidRDefault="00C8327E">
                        <w:pPr>
                          <w:jc w:val="right"/>
                          <w:rPr>
                            <w:rFonts w:asciiTheme="minorEastAsia" w:eastAsiaTheme="minorEastAsia" w:hAnsiTheme="minorEastAsia"/>
                            <w:spacing w:val="-20"/>
                            <w:sz w:val="18"/>
                            <w:szCs w:val="18"/>
                          </w:rPr>
                        </w:pPr>
                      </w:p>
                    </w:tc>
                  </w:sdtContent>
                </w:sdt>
                <w:sdt>
                  <w:sdtPr>
                    <w:alias w:val="5.收购少数股东股权一般风险准备"/>
                    <w:tag w:val="_GBC_5b67566725ad45a9b01cd66d6c4ea6fb"/>
                    <w:id w:val="2015800191"/>
                    <w:lock w:val="sdtLocked"/>
                  </w:sdtPr>
                  <w:sdtEndPr/>
                  <w:sdtContent>
                    <w:tc>
                      <w:tcPr>
                        <w:tcW w:w="210" w:type="pct"/>
                        <w:vAlign w:val="center"/>
                      </w:tcPr>
                      <w:p w14:paraId="104B7FCE" w14:textId="77777777" w:rsidR="007E7472" w:rsidRDefault="00C8327E">
                        <w:pPr>
                          <w:jc w:val="right"/>
                          <w:rPr>
                            <w:rFonts w:asciiTheme="minorEastAsia" w:eastAsiaTheme="minorEastAsia" w:hAnsiTheme="minorEastAsia"/>
                            <w:spacing w:val="-20"/>
                            <w:sz w:val="18"/>
                            <w:szCs w:val="18"/>
                          </w:rPr>
                        </w:pPr>
                      </w:p>
                    </w:tc>
                  </w:sdtContent>
                </w:sdt>
                <w:sdt>
                  <w:sdtPr>
                    <w:alias w:val="5.收购少数股东股权未分配利润"/>
                    <w:tag w:val="_GBC_c53c3eb790334dba8744a58f20d30829"/>
                    <w:id w:val="-1960633527"/>
                    <w:lock w:val="sdtLocked"/>
                  </w:sdtPr>
                  <w:sdtEndPr/>
                  <w:sdtContent>
                    <w:tc>
                      <w:tcPr>
                        <w:tcW w:w="330" w:type="pct"/>
                        <w:vAlign w:val="center"/>
                      </w:tcPr>
                      <w:p w14:paraId="3B72C51F" w14:textId="77777777" w:rsidR="007E7472" w:rsidRDefault="00C8327E">
                        <w:pPr>
                          <w:jc w:val="right"/>
                          <w:rPr>
                            <w:rFonts w:asciiTheme="minorEastAsia" w:eastAsiaTheme="minorEastAsia" w:hAnsiTheme="minorEastAsia"/>
                            <w:spacing w:val="-20"/>
                            <w:sz w:val="18"/>
                            <w:szCs w:val="18"/>
                          </w:rPr>
                        </w:pPr>
                      </w:p>
                    </w:tc>
                  </w:sdtContent>
                </w:sdt>
                <w:sdt>
                  <w:sdtPr>
                    <w:alias w:val="5.收购少数股东股权其他"/>
                    <w:tag w:val="_GBC_914e4067703648d5a312c68ef042eccb"/>
                    <w:id w:val="150882102"/>
                    <w:lock w:val="sdtLocked"/>
                  </w:sdtPr>
                  <w:sdtEndPr/>
                  <w:sdtContent>
                    <w:tc>
                      <w:tcPr>
                        <w:tcW w:w="279" w:type="pct"/>
                        <w:vAlign w:val="center"/>
                      </w:tcPr>
                      <w:p w14:paraId="3D011472" w14:textId="77777777" w:rsidR="007E7472" w:rsidRDefault="00C8327E">
                        <w:pPr>
                          <w:jc w:val="right"/>
                          <w:rPr>
                            <w:rFonts w:asciiTheme="minorEastAsia" w:eastAsiaTheme="minorEastAsia" w:hAnsiTheme="minorEastAsia"/>
                            <w:spacing w:val="-20"/>
                            <w:sz w:val="18"/>
                            <w:szCs w:val="18"/>
                          </w:rPr>
                        </w:pPr>
                      </w:p>
                    </w:tc>
                  </w:sdtContent>
                </w:sdt>
                <w:sdt>
                  <w:sdtPr>
                    <w:alias w:val="5.收购少数股东股权小计"/>
                    <w:tag w:val="_GBC_300b7a301aca4143aa16b0534a6531b4"/>
                    <w:id w:val="992303300"/>
                    <w:lock w:val="sdtLocked"/>
                  </w:sdtPr>
                  <w:sdtEndPr/>
                  <w:sdtContent>
                    <w:tc>
                      <w:tcPr>
                        <w:tcW w:w="331" w:type="pct"/>
                        <w:vAlign w:val="center"/>
                      </w:tcPr>
                      <w:p w14:paraId="6D7A3F9D" w14:textId="77777777" w:rsidR="007E7472" w:rsidRDefault="00C8327E">
                        <w:pPr>
                          <w:jc w:val="right"/>
                          <w:rPr>
                            <w:rFonts w:asciiTheme="minorEastAsia" w:eastAsiaTheme="minorEastAsia" w:hAnsiTheme="minorEastAsia"/>
                            <w:spacing w:val="-20"/>
                            <w:sz w:val="18"/>
                            <w:szCs w:val="18"/>
                          </w:rPr>
                        </w:pPr>
                      </w:p>
                    </w:tc>
                  </w:sdtContent>
                </w:sdt>
                <w:sdt>
                  <w:sdtPr>
                    <w:alias w:val="5.收购少数股东股权少数股东权益"/>
                    <w:tag w:val="_GBC_68da700249884edab5498507b536b41c"/>
                    <w:id w:val="-1461339185"/>
                    <w:lock w:val="sdtLocked"/>
                  </w:sdtPr>
                  <w:sdtEndPr/>
                  <w:sdtContent>
                    <w:tc>
                      <w:tcPr>
                        <w:tcW w:w="330" w:type="pct"/>
                        <w:vAlign w:val="center"/>
                      </w:tcPr>
                      <w:p w14:paraId="05E760F3" w14:textId="77777777" w:rsidR="007E7472" w:rsidRDefault="00C8327E">
                        <w:pPr>
                          <w:jc w:val="right"/>
                          <w:rPr>
                            <w:rFonts w:asciiTheme="minorEastAsia" w:eastAsiaTheme="minorEastAsia" w:hAnsiTheme="minorEastAsia"/>
                            <w:spacing w:val="-20"/>
                            <w:sz w:val="18"/>
                            <w:szCs w:val="18"/>
                          </w:rPr>
                        </w:pPr>
                      </w:p>
                    </w:tc>
                  </w:sdtContent>
                </w:sdt>
                <w:sdt>
                  <w:sdtPr>
                    <w:alias w:val="5.收购少数股东股权所有者权益合计"/>
                    <w:tag w:val="_GBC_d839e1764ab14eef854d144e3285b7cc"/>
                    <w:id w:val="1686623488"/>
                    <w:lock w:val="sdtLocked"/>
                  </w:sdtPr>
                  <w:sdtEndPr/>
                  <w:sdtContent>
                    <w:tc>
                      <w:tcPr>
                        <w:tcW w:w="356" w:type="pct"/>
                        <w:vAlign w:val="center"/>
                      </w:tcPr>
                      <w:p w14:paraId="187F07F2" w14:textId="77777777" w:rsidR="007E7472" w:rsidRDefault="00C8327E">
                        <w:pPr>
                          <w:jc w:val="right"/>
                          <w:rPr>
                            <w:rFonts w:asciiTheme="minorEastAsia" w:eastAsiaTheme="minorEastAsia" w:hAnsiTheme="minorEastAsia"/>
                            <w:spacing w:val="-20"/>
                            <w:sz w:val="18"/>
                            <w:szCs w:val="18"/>
                          </w:rPr>
                        </w:pPr>
                      </w:p>
                    </w:tc>
                  </w:sdtContent>
                </w:sdt>
              </w:tr>
              <w:tr w:rsidR="007E7472" w14:paraId="1E946BD3" w14:textId="77777777">
                <w:sdt>
                  <w:sdtPr>
                    <w:tag w:val="_PLD_b29a323e692a4ae8b1705bab91418f36"/>
                    <w:id w:val="-906459482"/>
                    <w:lock w:val="sdtLocked"/>
                  </w:sdtPr>
                  <w:sdtEndPr/>
                  <w:sdtContent>
                    <w:tc>
                      <w:tcPr>
                        <w:tcW w:w="628" w:type="pct"/>
                      </w:tcPr>
                      <w:p w14:paraId="0048878B" w14:textId="77777777" w:rsidR="007E7472" w:rsidRDefault="00EC1269">
                        <w:pPr>
                          <w:rPr>
                            <w:sz w:val="18"/>
                            <w:szCs w:val="18"/>
                          </w:rPr>
                        </w:pPr>
                        <w:r>
                          <w:rPr>
                            <w:rFonts w:hint="eastAsia"/>
                            <w:sz w:val="18"/>
                            <w:szCs w:val="18"/>
                          </w:rPr>
                          <w:t>6.未丧失控股权持股比例下降</w:t>
                        </w:r>
                      </w:p>
                    </w:tc>
                  </w:sdtContent>
                </w:sdt>
                <w:sdt>
                  <w:sdtPr>
                    <w:alias w:val="6.未丧失控股权持股比例下降实收资本(或股本)"/>
                    <w:tag w:val="_GBC_09aa9c7e61ee4d69a0b5442b67e329f8"/>
                    <w:id w:val="-478841580"/>
                    <w:lock w:val="sdtLocked"/>
                  </w:sdtPr>
                  <w:sdtEndPr/>
                  <w:sdtContent>
                    <w:tc>
                      <w:tcPr>
                        <w:tcW w:w="305" w:type="pct"/>
                        <w:vAlign w:val="center"/>
                      </w:tcPr>
                      <w:p w14:paraId="798493F1" w14:textId="77777777" w:rsidR="007E7472" w:rsidRDefault="00C8327E">
                        <w:pPr>
                          <w:jc w:val="right"/>
                          <w:rPr>
                            <w:rFonts w:asciiTheme="minorEastAsia" w:eastAsiaTheme="minorEastAsia" w:hAnsiTheme="minorEastAsia"/>
                            <w:spacing w:val="-20"/>
                            <w:sz w:val="18"/>
                            <w:szCs w:val="18"/>
                          </w:rPr>
                        </w:pPr>
                      </w:p>
                    </w:tc>
                  </w:sdtContent>
                </w:sdt>
                <w:sdt>
                  <w:sdtPr>
                    <w:alias w:val="6.未丧失控股权持股比例下降优先股"/>
                    <w:tag w:val="_GBC_9cd9b921468f4cc6b0f22c5e961c9b10"/>
                    <w:id w:val="-634794764"/>
                    <w:lock w:val="sdtLocked"/>
                  </w:sdtPr>
                  <w:sdtEndPr/>
                  <w:sdtContent>
                    <w:tc>
                      <w:tcPr>
                        <w:tcW w:w="237" w:type="pct"/>
                        <w:vAlign w:val="center"/>
                      </w:tcPr>
                      <w:p w14:paraId="6E2C8A72" w14:textId="77777777" w:rsidR="007E7472" w:rsidRDefault="00C8327E">
                        <w:pPr>
                          <w:jc w:val="right"/>
                          <w:rPr>
                            <w:rFonts w:asciiTheme="minorEastAsia" w:eastAsiaTheme="minorEastAsia" w:hAnsiTheme="minorEastAsia"/>
                            <w:spacing w:val="-20"/>
                            <w:sz w:val="18"/>
                            <w:szCs w:val="18"/>
                          </w:rPr>
                        </w:pPr>
                      </w:p>
                    </w:tc>
                  </w:sdtContent>
                </w:sdt>
                <w:sdt>
                  <w:sdtPr>
                    <w:alias w:val="6.未丧失控股权持股比例下降永续债"/>
                    <w:tag w:val="_GBC_e989acb6077a4348bcb762e1f13c6991"/>
                    <w:id w:val="186881997"/>
                    <w:lock w:val="sdtLocked"/>
                  </w:sdtPr>
                  <w:sdtEndPr/>
                  <w:sdtContent>
                    <w:tc>
                      <w:tcPr>
                        <w:tcW w:w="330" w:type="pct"/>
                        <w:vAlign w:val="center"/>
                      </w:tcPr>
                      <w:p w14:paraId="3DC8366B" w14:textId="77777777" w:rsidR="007E7472" w:rsidRDefault="00C8327E">
                        <w:pPr>
                          <w:jc w:val="right"/>
                          <w:rPr>
                            <w:rFonts w:asciiTheme="minorEastAsia" w:eastAsiaTheme="minorEastAsia" w:hAnsiTheme="minorEastAsia"/>
                            <w:spacing w:val="-20"/>
                            <w:sz w:val="18"/>
                            <w:szCs w:val="18"/>
                          </w:rPr>
                        </w:pPr>
                      </w:p>
                    </w:tc>
                  </w:sdtContent>
                </w:sdt>
                <w:sdt>
                  <w:sdtPr>
                    <w:alias w:val="6.未丧失控股权持股比例下降其他"/>
                    <w:tag w:val="_GBC_036629e47d3d496ea98a1ca9d86e1f78"/>
                    <w:id w:val="-212265551"/>
                    <w:lock w:val="sdtLocked"/>
                  </w:sdtPr>
                  <w:sdtEndPr/>
                  <w:sdtContent>
                    <w:tc>
                      <w:tcPr>
                        <w:tcW w:w="239" w:type="pct"/>
                        <w:vAlign w:val="center"/>
                      </w:tcPr>
                      <w:p w14:paraId="44DC7C37" w14:textId="77777777" w:rsidR="007E7472" w:rsidRDefault="00C8327E">
                        <w:pPr>
                          <w:jc w:val="right"/>
                          <w:rPr>
                            <w:rFonts w:asciiTheme="minorEastAsia" w:eastAsiaTheme="minorEastAsia" w:hAnsiTheme="minorEastAsia"/>
                            <w:spacing w:val="-20"/>
                            <w:sz w:val="18"/>
                            <w:szCs w:val="18"/>
                          </w:rPr>
                        </w:pPr>
                      </w:p>
                    </w:tc>
                  </w:sdtContent>
                </w:sdt>
                <w:sdt>
                  <w:sdtPr>
                    <w:alias w:val="6.未丧失控股权持股比例下降资本公积"/>
                    <w:tag w:val="_GBC_996b560b1c004c5a90e73822bcbcf805"/>
                    <w:id w:val="-2116049777"/>
                    <w:lock w:val="sdtLocked"/>
                  </w:sdtPr>
                  <w:sdtEndPr/>
                  <w:sdtContent>
                    <w:tc>
                      <w:tcPr>
                        <w:tcW w:w="305" w:type="pct"/>
                        <w:vAlign w:val="center"/>
                      </w:tcPr>
                      <w:p w14:paraId="59961F8C" w14:textId="77777777" w:rsidR="007E7472" w:rsidRDefault="00C8327E">
                        <w:pPr>
                          <w:jc w:val="right"/>
                          <w:rPr>
                            <w:rFonts w:asciiTheme="minorEastAsia" w:eastAsiaTheme="minorEastAsia" w:hAnsiTheme="minorEastAsia"/>
                            <w:spacing w:val="-20"/>
                            <w:sz w:val="18"/>
                            <w:szCs w:val="18"/>
                          </w:rPr>
                        </w:pPr>
                      </w:p>
                    </w:tc>
                  </w:sdtContent>
                </w:sdt>
                <w:sdt>
                  <w:sdtPr>
                    <w:alias w:val="6.未丧失控股权持股比例下降减：库存股"/>
                    <w:tag w:val="_GBC_6e1f7fef166b4ec1a944e68866cacaed"/>
                    <w:id w:val="1972470657"/>
                    <w:lock w:val="sdtLocked"/>
                  </w:sdtPr>
                  <w:sdtEndPr/>
                  <w:sdtContent>
                    <w:tc>
                      <w:tcPr>
                        <w:tcW w:w="255" w:type="pct"/>
                        <w:vAlign w:val="center"/>
                      </w:tcPr>
                      <w:p w14:paraId="6F452854" w14:textId="77777777" w:rsidR="007E7472" w:rsidRDefault="00C8327E">
                        <w:pPr>
                          <w:jc w:val="right"/>
                          <w:rPr>
                            <w:rFonts w:asciiTheme="minorEastAsia" w:eastAsiaTheme="minorEastAsia" w:hAnsiTheme="minorEastAsia"/>
                            <w:spacing w:val="-20"/>
                            <w:sz w:val="18"/>
                            <w:szCs w:val="18"/>
                          </w:rPr>
                        </w:pPr>
                      </w:p>
                    </w:tc>
                  </w:sdtContent>
                </w:sdt>
                <w:sdt>
                  <w:sdtPr>
                    <w:alias w:val="6.未丧失控股权持股比例下降其他综合收益"/>
                    <w:tag w:val="_GBC_6180d907c1e444c18347cfd23b011168"/>
                    <w:id w:val="1183713522"/>
                    <w:lock w:val="sdtLocked"/>
                  </w:sdtPr>
                  <w:sdtEndPr/>
                  <w:sdtContent>
                    <w:tc>
                      <w:tcPr>
                        <w:tcW w:w="359" w:type="pct"/>
                        <w:vAlign w:val="center"/>
                      </w:tcPr>
                      <w:p w14:paraId="4B2922FD" w14:textId="77777777" w:rsidR="007E7472" w:rsidRDefault="00C8327E">
                        <w:pPr>
                          <w:jc w:val="right"/>
                          <w:rPr>
                            <w:rFonts w:asciiTheme="minorEastAsia" w:eastAsiaTheme="minorEastAsia" w:hAnsiTheme="minorEastAsia"/>
                            <w:spacing w:val="-20"/>
                            <w:sz w:val="18"/>
                            <w:szCs w:val="18"/>
                          </w:rPr>
                        </w:pPr>
                      </w:p>
                    </w:tc>
                  </w:sdtContent>
                </w:sdt>
                <w:sdt>
                  <w:sdtPr>
                    <w:alias w:val="6.未丧失控股权持股比例下降专项储备"/>
                    <w:tag w:val="_GBC_fc54e4f8abd54373a5052a4755f5de0f"/>
                    <w:id w:val="1973474126"/>
                    <w:lock w:val="sdtLocked"/>
                  </w:sdtPr>
                  <w:sdtEndPr/>
                  <w:sdtContent>
                    <w:tc>
                      <w:tcPr>
                        <w:tcW w:w="252" w:type="pct"/>
                        <w:vAlign w:val="center"/>
                      </w:tcPr>
                      <w:p w14:paraId="04302326" w14:textId="77777777" w:rsidR="007E7472" w:rsidRDefault="00C8327E">
                        <w:pPr>
                          <w:jc w:val="right"/>
                          <w:rPr>
                            <w:rFonts w:asciiTheme="minorEastAsia" w:eastAsiaTheme="minorEastAsia" w:hAnsiTheme="minorEastAsia"/>
                            <w:spacing w:val="-20"/>
                            <w:sz w:val="18"/>
                            <w:szCs w:val="18"/>
                          </w:rPr>
                        </w:pPr>
                      </w:p>
                    </w:tc>
                  </w:sdtContent>
                </w:sdt>
                <w:sdt>
                  <w:sdtPr>
                    <w:alias w:val="6.未丧失控股权持股比例下降盈余公积"/>
                    <w:tag w:val="_GBC_b8f1747afadb42a8beb1cb83a0a629b6"/>
                    <w:id w:val="-830603332"/>
                    <w:lock w:val="sdtLocked"/>
                  </w:sdtPr>
                  <w:sdtEndPr/>
                  <w:sdtContent>
                    <w:tc>
                      <w:tcPr>
                        <w:tcW w:w="255" w:type="pct"/>
                        <w:vAlign w:val="center"/>
                      </w:tcPr>
                      <w:p w14:paraId="45C1171C" w14:textId="77777777" w:rsidR="007E7472" w:rsidRDefault="00C8327E">
                        <w:pPr>
                          <w:jc w:val="right"/>
                          <w:rPr>
                            <w:rFonts w:asciiTheme="minorEastAsia" w:eastAsiaTheme="minorEastAsia" w:hAnsiTheme="minorEastAsia"/>
                            <w:spacing w:val="-20"/>
                            <w:sz w:val="18"/>
                            <w:szCs w:val="18"/>
                          </w:rPr>
                        </w:pPr>
                      </w:p>
                    </w:tc>
                  </w:sdtContent>
                </w:sdt>
                <w:sdt>
                  <w:sdtPr>
                    <w:alias w:val="6.未丧失控股权持股比例下降一般风险准备"/>
                    <w:tag w:val="_GBC_830d7bb8683a4dfca1dff20b077ed076"/>
                    <w:id w:val="1182162533"/>
                    <w:lock w:val="sdtLocked"/>
                  </w:sdtPr>
                  <w:sdtEndPr/>
                  <w:sdtContent>
                    <w:tc>
                      <w:tcPr>
                        <w:tcW w:w="210" w:type="pct"/>
                        <w:vAlign w:val="center"/>
                      </w:tcPr>
                      <w:p w14:paraId="1BA070C1" w14:textId="77777777" w:rsidR="007E7472" w:rsidRDefault="00C8327E">
                        <w:pPr>
                          <w:jc w:val="right"/>
                          <w:rPr>
                            <w:rFonts w:asciiTheme="minorEastAsia" w:eastAsiaTheme="minorEastAsia" w:hAnsiTheme="minorEastAsia"/>
                            <w:spacing w:val="-20"/>
                            <w:sz w:val="18"/>
                            <w:szCs w:val="18"/>
                          </w:rPr>
                        </w:pPr>
                      </w:p>
                    </w:tc>
                  </w:sdtContent>
                </w:sdt>
                <w:sdt>
                  <w:sdtPr>
                    <w:alias w:val="6.未丧失控股权持股比例下降未分配利润"/>
                    <w:tag w:val="_GBC_8589af31631044cba3deec0c2e7b70e5"/>
                    <w:id w:val="-1502189351"/>
                    <w:lock w:val="sdtLocked"/>
                  </w:sdtPr>
                  <w:sdtEndPr/>
                  <w:sdtContent>
                    <w:tc>
                      <w:tcPr>
                        <w:tcW w:w="330" w:type="pct"/>
                        <w:vAlign w:val="center"/>
                      </w:tcPr>
                      <w:p w14:paraId="75125EF2" w14:textId="77777777" w:rsidR="007E7472" w:rsidRDefault="00C8327E">
                        <w:pPr>
                          <w:jc w:val="right"/>
                          <w:rPr>
                            <w:rFonts w:asciiTheme="minorEastAsia" w:eastAsiaTheme="minorEastAsia" w:hAnsiTheme="minorEastAsia"/>
                            <w:spacing w:val="-20"/>
                            <w:sz w:val="18"/>
                            <w:szCs w:val="18"/>
                          </w:rPr>
                        </w:pPr>
                      </w:p>
                    </w:tc>
                  </w:sdtContent>
                </w:sdt>
                <w:sdt>
                  <w:sdtPr>
                    <w:alias w:val="6.未丧失控股权持股比例下降其他"/>
                    <w:tag w:val="_GBC_48e5e71422f041acaca12fdfc9f8ed9b"/>
                    <w:id w:val="-1410157336"/>
                    <w:lock w:val="sdtLocked"/>
                  </w:sdtPr>
                  <w:sdtEndPr/>
                  <w:sdtContent>
                    <w:tc>
                      <w:tcPr>
                        <w:tcW w:w="279" w:type="pct"/>
                        <w:vAlign w:val="center"/>
                      </w:tcPr>
                      <w:p w14:paraId="5CD16B04" w14:textId="77777777" w:rsidR="007E7472" w:rsidRDefault="00C8327E">
                        <w:pPr>
                          <w:jc w:val="right"/>
                          <w:rPr>
                            <w:rFonts w:asciiTheme="minorEastAsia" w:eastAsiaTheme="minorEastAsia" w:hAnsiTheme="minorEastAsia"/>
                            <w:spacing w:val="-20"/>
                            <w:sz w:val="18"/>
                            <w:szCs w:val="18"/>
                          </w:rPr>
                        </w:pPr>
                      </w:p>
                    </w:tc>
                  </w:sdtContent>
                </w:sdt>
                <w:sdt>
                  <w:sdtPr>
                    <w:alias w:val="6.未丧失控股权持股比例下降小计"/>
                    <w:tag w:val="_GBC_bbed398eb505440e82078414b0c9070b"/>
                    <w:id w:val="-2070488498"/>
                    <w:lock w:val="sdtLocked"/>
                  </w:sdtPr>
                  <w:sdtEndPr/>
                  <w:sdtContent>
                    <w:tc>
                      <w:tcPr>
                        <w:tcW w:w="331" w:type="pct"/>
                        <w:vAlign w:val="center"/>
                      </w:tcPr>
                      <w:p w14:paraId="69035117" w14:textId="77777777" w:rsidR="007E7472" w:rsidRDefault="00C8327E">
                        <w:pPr>
                          <w:jc w:val="right"/>
                          <w:rPr>
                            <w:rFonts w:asciiTheme="minorEastAsia" w:eastAsiaTheme="minorEastAsia" w:hAnsiTheme="minorEastAsia"/>
                            <w:spacing w:val="-20"/>
                            <w:sz w:val="18"/>
                            <w:szCs w:val="18"/>
                          </w:rPr>
                        </w:pPr>
                      </w:p>
                    </w:tc>
                  </w:sdtContent>
                </w:sdt>
                <w:sdt>
                  <w:sdtPr>
                    <w:alias w:val="6.未丧失控股权持股比例下降少数股东权益"/>
                    <w:tag w:val="_GBC_81ff4ba8149545e7afd04be47156268e"/>
                    <w:id w:val="1262719681"/>
                    <w:lock w:val="sdtLocked"/>
                  </w:sdtPr>
                  <w:sdtEndPr/>
                  <w:sdtContent>
                    <w:tc>
                      <w:tcPr>
                        <w:tcW w:w="330" w:type="pct"/>
                        <w:vAlign w:val="center"/>
                      </w:tcPr>
                      <w:p w14:paraId="3F4ADAFD" w14:textId="77777777" w:rsidR="007E7472" w:rsidRDefault="00C8327E">
                        <w:pPr>
                          <w:jc w:val="right"/>
                          <w:rPr>
                            <w:rFonts w:asciiTheme="minorEastAsia" w:eastAsiaTheme="minorEastAsia" w:hAnsiTheme="minorEastAsia"/>
                            <w:spacing w:val="-20"/>
                            <w:sz w:val="18"/>
                            <w:szCs w:val="18"/>
                          </w:rPr>
                        </w:pPr>
                      </w:p>
                    </w:tc>
                  </w:sdtContent>
                </w:sdt>
                <w:sdt>
                  <w:sdtPr>
                    <w:alias w:val="6.未丧失控股权持股比例下降所有者权益合计"/>
                    <w:tag w:val="_GBC_2e470ac394224ef3998723332b6e012d"/>
                    <w:id w:val="1181318171"/>
                    <w:lock w:val="sdtLocked"/>
                  </w:sdtPr>
                  <w:sdtEndPr/>
                  <w:sdtContent>
                    <w:tc>
                      <w:tcPr>
                        <w:tcW w:w="356" w:type="pct"/>
                        <w:vAlign w:val="center"/>
                      </w:tcPr>
                      <w:p w14:paraId="35BFEA83" w14:textId="77777777" w:rsidR="007E7472" w:rsidRDefault="00C8327E">
                        <w:pPr>
                          <w:jc w:val="right"/>
                          <w:rPr>
                            <w:rFonts w:asciiTheme="minorEastAsia" w:eastAsiaTheme="minorEastAsia" w:hAnsiTheme="minorEastAsia"/>
                            <w:spacing w:val="-20"/>
                            <w:sz w:val="18"/>
                            <w:szCs w:val="18"/>
                          </w:rPr>
                        </w:pPr>
                      </w:p>
                    </w:tc>
                  </w:sdtContent>
                </w:sdt>
              </w:tr>
              <w:tr w:rsidR="007E7472" w14:paraId="3B555CDB" w14:textId="77777777">
                <w:sdt>
                  <w:sdtPr>
                    <w:tag w:val="_PLD_b361f3a237774bcd8ac416b2b21655eb"/>
                    <w:id w:val="1756160082"/>
                    <w:lock w:val="sdtLocked"/>
                  </w:sdtPr>
                  <w:sdtEndPr/>
                  <w:sdtContent>
                    <w:tc>
                      <w:tcPr>
                        <w:tcW w:w="628" w:type="pct"/>
                      </w:tcPr>
                      <w:p w14:paraId="3EF93506" w14:textId="77777777" w:rsidR="007E7472" w:rsidRDefault="00EC1269">
                        <w:pPr>
                          <w:rPr>
                            <w:sz w:val="18"/>
                            <w:szCs w:val="18"/>
                          </w:rPr>
                        </w:pPr>
                        <w:r>
                          <w:rPr>
                            <w:sz w:val="18"/>
                            <w:szCs w:val="18"/>
                          </w:rPr>
                          <w:t>7．其他</w:t>
                        </w:r>
                      </w:p>
                    </w:tc>
                  </w:sdtContent>
                </w:sdt>
                <w:tc>
                  <w:tcPr>
                    <w:tcW w:w="305" w:type="pct"/>
                    <w:vAlign w:val="center"/>
                  </w:tcPr>
                  <w:p w14:paraId="797409EF" w14:textId="77777777" w:rsidR="007E7472" w:rsidRDefault="00C8327E">
                    <w:pPr>
                      <w:jc w:val="right"/>
                      <w:rPr>
                        <w:rFonts w:asciiTheme="minorEastAsia" w:eastAsiaTheme="minorEastAsia" w:hAnsiTheme="minorEastAsia"/>
                        <w:spacing w:val="-20"/>
                        <w:sz w:val="18"/>
                        <w:szCs w:val="18"/>
                      </w:rPr>
                    </w:pPr>
                  </w:p>
                </w:tc>
                <w:tc>
                  <w:tcPr>
                    <w:tcW w:w="237" w:type="pct"/>
                    <w:vAlign w:val="center"/>
                  </w:tcPr>
                  <w:p w14:paraId="73ADFF18"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752043DC" w14:textId="77777777" w:rsidR="007E7472" w:rsidRDefault="00C8327E">
                    <w:pPr>
                      <w:jc w:val="right"/>
                      <w:rPr>
                        <w:rFonts w:asciiTheme="minorEastAsia" w:eastAsiaTheme="minorEastAsia" w:hAnsiTheme="minorEastAsia"/>
                        <w:spacing w:val="-20"/>
                        <w:sz w:val="18"/>
                        <w:szCs w:val="18"/>
                      </w:rPr>
                    </w:pPr>
                  </w:p>
                </w:tc>
                <w:tc>
                  <w:tcPr>
                    <w:tcW w:w="239" w:type="pct"/>
                    <w:vAlign w:val="center"/>
                  </w:tcPr>
                  <w:p w14:paraId="71D850C5" w14:textId="77777777" w:rsidR="007E7472" w:rsidRDefault="00C8327E">
                    <w:pPr>
                      <w:jc w:val="right"/>
                      <w:rPr>
                        <w:rFonts w:asciiTheme="minorEastAsia" w:eastAsiaTheme="minorEastAsia" w:hAnsiTheme="minorEastAsia"/>
                        <w:spacing w:val="-20"/>
                        <w:sz w:val="18"/>
                        <w:szCs w:val="18"/>
                      </w:rPr>
                    </w:pPr>
                  </w:p>
                </w:tc>
                <w:tc>
                  <w:tcPr>
                    <w:tcW w:w="305" w:type="pct"/>
                    <w:vAlign w:val="center"/>
                  </w:tcPr>
                  <w:p w14:paraId="129F8D88" w14:textId="77777777" w:rsidR="007E7472" w:rsidRDefault="00C8327E">
                    <w:pPr>
                      <w:jc w:val="right"/>
                      <w:rPr>
                        <w:rFonts w:asciiTheme="minorEastAsia" w:eastAsiaTheme="minorEastAsia" w:hAnsiTheme="minorEastAsia"/>
                        <w:spacing w:val="-20"/>
                        <w:sz w:val="18"/>
                        <w:szCs w:val="18"/>
                      </w:rPr>
                    </w:pPr>
                  </w:p>
                </w:tc>
                <w:tc>
                  <w:tcPr>
                    <w:tcW w:w="255" w:type="pct"/>
                    <w:vAlign w:val="center"/>
                  </w:tcPr>
                  <w:p w14:paraId="0E05468B" w14:textId="77777777" w:rsidR="007E7472" w:rsidRDefault="00C8327E">
                    <w:pPr>
                      <w:jc w:val="right"/>
                      <w:rPr>
                        <w:rFonts w:asciiTheme="minorEastAsia" w:eastAsiaTheme="minorEastAsia" w:hAnsiTheme="minorEastAsia"/>
                        <w:spacing w:val="-20"/>
                        <w:sz w:val="18"/>
                        <w:szCs w:val="18"/>
                      </w:rPr>
                    </w:pPr>
                  </w:p>
                </w:tc>
                <w:tc>
                  <w:tcPr>
                    <w:tcW w:w="359" w:type="pct"/>
                    <w:vAlign w:val="center"/>
                  </w:tcPr>
                  <w:p w14:paraId="7B6FF572" w14:textId="77777777" w:rsidR="007E7472" w:rsidRDefault="00C8327E">
                    <w:pPr>
                      <w:jc w:val="right"/>
                      <w:rPr>
                        <w:rFonts w:asciiTheme="minorEastAsia" w:eastAsiaTheme="minorEastAsia" w:hAnsiTheme="minorEastAsia"/>
                        <w:spacing w:val="-20"/>
                        <w:sz w:val="18"/>
                        <w:szCs w:val="18"/>
                      </w:rPr>
                    </w:pPr>
                  </w:p>
                </w:tc>
                <w:tc>
                  <w:tcPr>
                    <w:tcW w:w="252" w:type="pct"/>
                    <w:vAlign w:val="center"/>
                  </w:tcPr>
                  <w:p w14:paraId="1128040A" w14:textId="77777777" w:rsidR="007E7472" w:rsidRDefault="00C8327E">
                    <w:pPr>
                      <w:jc w:val="right"/>
                      <w:rPr>
                        <w:rFonts w:asciiTheme="minorEastAsia" w:eastAsiaTheme="minorEastAsia" w:hAnsiTheme="minorEastAsia"/>
                        <w:spacing w:val="-20"/>
                        <w:sz w:val="18"/>
                        <w:szCs w:val="18"/>
                      </w:rPr>
                    </w:pPr>
                  </w:p>
                </w:tc>
                <w:tc>
                  <w:tcPr>
                    <w:tcW w:w="255" w:type="pct"/>
                    <w:vAlign w:val="center"/>
                  </w:tcPr>
                  <w:p w14:paraId="472F9D38" w14:textId="77777777" w:rsidR="007E7472" w:rsidRDefault="00C8327E">
                    <w:pPr>
                      <w:jc w:val="right"/>
                      <w:rPr>
                        <w:rFonts w:asciiTheme="minorEastAsia" w:eastAsiaTheme="minorEastAsia" w:hAnsiTheme="minorEastAsia"/>
                        <w:spacing w:val="-20"/>
                        <w:sz w:val="18"/>
                        <w:szCs w:val="18"/>
                      </w:rPr>
                    </w:pPr>
                  </w:p>
                </w:tc>
                <w:tc>
                  <w:tcPr>
                    <w:tcW w:w="210" w:type="pct"/>
                    <w:vAlign w:val="center"/>
                  </w:tcPr>
                  <w:p w14:paraId="08AF3FEB"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4633D44A" w14:textId="77777777" w:rsidR="007E7472" w:rsidRDefault="00C8327E">
                    <w:pPr>
                      <w:jc w:val="right"/>
                      <w:rPr>
                        <w:rFonts w:asciiTheme="minorEastAsia" w:eastAsiaTheme="minorEastAsia" w:hAnsiTheme="minorEastAsia"/>
                        <w:spacing w:val="-20"/>
                        <w:sz w:val="18"/>
                        <w:szCs w:val="18"/>
                      </w:rPr>
                    </w:pPr>
                  </w:p>
                </w:tc>
                <w:tc>
                  <w:tcPr>
                    <w:tcW w:w="279" w:type="pct"/>
                    <w:vAlign w:val="center"/>
                  </w:tcPr>
                  <w:p w14:paraId="4D640462" w14:textId="77777777" w:rsidR="007E7472" w:rsidRDefault="00C8327E">
                    <w:pPr>
                      <w:jc w:val="right"/>
                      <w:rPr>
                        <w:rFonts w:asciiTheme="minorEastAsia" w:eastAsiaTheme="minorEastAsia" w:hAnsiTheme="minorEastAsia"/>
                        <w:spacing w:val="-20"/>
                        <w:sz w:val="18"/>
                        <w:szCs w:val="18"/>
                      </w:rPr>
                    </w:pPr>
                  </w:p>
                </w:tc>
                <w:tc>
                  <w:tcPr>
                    <w:tcW w:w="331" w:type="pct"/>
                    <w:vAlign w:val="center"/>
                  </w:tcPr>
                  <w:p w14:paraId="1108F3DA"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1F7FBA47" w14:textId="77777777" w:rsidR="007E7472" w:rsidRDefault="00EC1269">
                    <w:pPr>
                      <w:jc w:val="right"/>
                      <w:rPr>
                        <w:rFonts w:asciiTheme="minorEastAsia" w:eastAsiaTheme="minorEastAsia" w:hAnsiTheme="minorEastAsia"/>
                        <w:spacing w:val="-20"/>
                        <w:sz w:val="18"/>
                        <w:szCs w:val="18"/>
                      </w:rPr>
                    </w:pPr>
                    <w:r>
                      <w:rPr>
                        <w:spacing w:val="-20"/>
                        <w:sz w:val="18"/>
                        <w:szCs w:val="18"/>
                      </w:rPr>
                      <w:t>-520</w:t>
                    </w:r>
                  </w:p>
                </w:tc>
                <w:tc>
                  <w:tcPr>
                    <w:tcW w:w="356" w:type="pct"/>
                    <w:vAlign w:val="center"/>
                  </w:tcPr>
                  <w:p w14:paraId="021A0599" w14:textId="77777777" w:rsidR="007E7472" w:rsidRDefault="00EC1269">
                    <w:pPr>
                      <w:jc w:val="right"/>
                      <w:rPr>
                        <w:rFonts w:asciiTheme="minorEastAsia" w:eastAsiaTheme="minorEastAsia" w:hAnsiTheme="minorEastAsia"/>
                        <w:spacing w:val="-20"/>
                        <w:sz w:val="18"/>
                        <w:szCs w:val="18"/>
                      </w:rPr>
                    </w:pPr>
                    <w:r>
                      <w:rPr>
                        <w:spacing w:val="-20"/>
                        <w:sz w:val="18"/>
                        <w:szCs w:val="18"/>
                      </w:rPr>
                      <w:t>-520</w:t>
                    </w:r>
                  </w:p>
                </w:tc>
              </w:tr>
              <w:tr w:rsidR="007E7472" w14:paraId="135813D7" w14:textId="77777777">
                <w:sdt>
                  <w:sdtPr>
                    <w:tag w:val="_PLD_a7e75a2d1ed049d9bbdb0ef093ac9478"/>
                    <w:id w:val="62448063"/>
                    <w:lock w:val="sdtLocked"/>
                  </w:sdtPr>
                  <w:sdtEndPr/>
                  <w:sdtContent>
                    <w:tc>
                      <w:tcPr>
                        <w:tcW w:w="628" w:type="pct"/>
                      </w:tcPr>
                      <w:p w14:paraId="54D7FFB9" w14:textId="77777777" w:rsidR="007E7472" w:rsidRDefault="00EC1269">
                        <w:pPr>
                          <w:rPr>
                            <w:sz w:val="18"/>
                            <w:szCs w:val="18"/>
                          </w:rPr>
                        </w:pPr>
                        <w:r>
                          <w:rPr>
                            <w:sz w:val="18"/>
                            <w:szCs w:val="18"/>
                          </w:rPr>
                          <w:t>（</w:t>
                        </w:r>
                        <w:r>
                          <w:rPr>
                            <w:rFonts w:hint="eastAsia"/>
                            <w:sz w:val="18"/>
                            <w:szCs w:val="18"/>
                          </w:rPr>
                          <w:t>三</w:t>
                        </w:r>
                        <w:r>
                          <w:rPr>
                            <w:sz w:val="18"/>
                            <w:szCs w:val="18"/>
                          </w:rPr>
                          <w:t>）利润分配</w:t>
                        </w:r>
                      </w:p>
                    </w:tc>
                  </w:sdtContent>
                </w:sdt>
                <w:tc>
                  <w:tcPr>
                    <w:tcW w:w="305" w:type="pct"/>
                    <w:vAlign w:val="center"/>
                  </w:tcPr>
                  <w:p w14:paraId="7D7A3598" w14:textId="77777777" w:rsidR="007E7472" w:rsidRDefault="00C8327E">
                    <w:pPr>
                      <w:jc w:val="right"/>
                      <w:rPr>
                        <w:rFonts w:asciiTheme="minorEastAsia" w:eastAsiaTheme="minorEastAsia" w:hAnsiTheme="minorEastAsia"/>
                        <w:spacing w:val="-20"/>
                        <w:sz w:val="18"/>
                        <w:szCs w:val="18"/>
                      </w:rPr>
                    </w:pPr>
                  </w:p>
                </w:tc>
                <w:tc>
                  <w:tcPr>
                    <w:tcW w:w="237" w:type="pct"/>
                    <w:vAlign w:val="center"/>
                  </w:tcPr>
                  <w:p w14:paraId="5466FCCE"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0DFD5CF5"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spacing w:val="-20"/>
                        <w:sz w:val="18"/>
                        <w:szCs w:val="18"/>
                      </w:rPr>
                      <w:t>-</w:t>
                    </w:r>
                    <w:r>
                      <w:rPr>
                        <w:rFonts w:asciiTheme="minorEastAsia" w:eastAsiaTheme="minorEastAsia" w:hAnsiTheme="minorEastAsia" w:hint="eastAsia"/>
                        <w:spacing w:val="-20"/>
                        <w:sz w:val="18"/>
                        <w:szCs w:val="18"/>
                      </w:rPr>
                      <w:t>213,030</w:t>
                    </w:r>
                  </w:p>
                </w:tc>
                <w:tc>
                  <w:tcPr>
                    <w:tcW w:w="239" w:type="pct"/>
                    <w:vAlign w:val="center"/>
                  </w:tcPr>
                  <w:p w14:paraId="4BE3C89E" w14:textId="77777777" w:rsidR="007E7472" w:rsidRDefault="00C8327E">
                    <w:pPr>
                      <w:jc w:val="right"/>
                      <w:rPr>
                        <w:rFonts w:asciiTheme="minorEastAsia" w:eastAsiaTheme="minorEastAsia" w:hAnsiTheme="minorEastAsia"/>
                        <w:spacing w:val="-20"/>
                        <w:sz w:val="18"/>
                        <w:szCs w:val="18"/>
                      </w:rPr>
                    </w:pPr>
                  </w:p>
                </w:tc>
                <w:tc>
                  <w:tcPr>
                    <w:tcW w:w="305" w:type="pct"/>
                    <w:vAlign w:val="center"/>
                  </w:tcPr>
                  <w:p w14:paraId="7C943647" w14:textId="77777777" w:rsidR="007E7472" w:rsidRDefault="00C8327E">
                    <w:pPr>
                      <w:jc w:val="right"/>
                      <w:rPr>
                        <w:rFonts w:asciiTheme="minorEastAsia" w:eastAsiaTheme="minorEastAsia" w:hAnsiTheme="minorEastAsia"/>
                        <w:spacing w:val="-20"/>
                        <w:sz w:val="18"/>
                        <w:szCs w:val="18"/>
                      </w:rPr>
                    </w:pPr>
                  </w:p>
                </w:tc>
                <w:tc>
                  <w:tcPr>
                    <w:tcW w:w="255" w:type="pct"/>
                    <w:vAlign w:val="center"/>
                  </w:tcPr>
                  <w:p w14:paraId="5CF33CAD" w14:textId="77777777" w:rsidR="007E7472" w:rsidRDefault="00C8327E">
                    <w:pPr>
                      <w:jc w:val="right"/>
                      <w:rPr>
                        <w:rFonts w:asciiTheme="minorEastAsia" w:eastAsiaTheme="minorEastAsia" w:hAnsiTheme="minorEastAsia"/>
                        <w:spacing w:val="-20"/>
                        <w:sz w:val="18"/>
                        <w:szCs w:val="18"/>
                      </w:rPr>
                    </w:pPr>
                  </w:p>
                </w:tc>
                <w:tc>
                  <w:tcPr>
                    <w:tcW w:w="359" w:type="pct"/>
                    <w:vAlign w:val="center"/>
                  </w:tcPr>
                  <w:p w14:paraId="7A6B8E7D" w14:textId="77777777" w:rsidR="007E7472" w:rsidRDefault="00C8327E">
                    <w:pPr>
                      <w:jc w:val="right"/>
                      <w:rPr>
                        <w:rFonts w:asciiTheme="minorEastAsia" w:eastAsiaTheme="minorEastAsia" w:hAnsiTheme="minorEastAsia"/>
                        <w:spacing w:val="-20"/>
                        <w:sz w:val="18"/>
                        <w:szCs w:val="18"/>
                      </w:rPr>
                    </w:pPr>
                  </w:p>
                </w:tc>
                <w:tc>
                  <w:tcPr>
                    <w:tcW w:w="252" w:type="pct"/>
                    <w:vAlign w:val="center"/>
                  </w:tcPr>
                  <w:p w14:paraId="0B4642DB" w14:textId="77777777" w:rsidR="007E7472" w:rsidRDefault="00C8327E">
                    <w:pPr>
                      <w:jc w:val="right"/>
                      <w:rPr>
                        <w:rFonts w:asciiTheme="minorEastAsia" w:eastAsiaTheme="minorEastAsia" w:hAnsiTheme="minorEastAsia"/>
                        <w:spacing w:val="-20"/>
                        <w:sz w:val="18"/>
                        <w:szCs w:val="18"/>
                      </w:rPr>
                    </w:pPr>
                  </w:p>
                </w:tc>
                <w:tc>
                  <w:tcPr>
                    <w:tcW w:w="255" w:type="pct"/>
                    <w:vAlign w:val="center"/>
                  </w:tcPr>
                  <w:p w14:paraId="217F7F56" w14:textId="77777777" w:rsidR="007E7472" w:rsidRDefault="00C8327E">
                    <w:pPr>
                      <w:jc w:val="right"/>
                      <w:rPr>
                        <w:rFonts w:asciiTheme="minorEastAsia" w:eastAsiaTheme="minorEastAsia" w:hAnsiTheme="minorEastAsia"/>
                        <w:spacing w:val="-20"/>
                        <w:sz w:val="18"/>
                        <w:szCs w:val="18"/>
                      </w:rPr>
                    </w:pPr>
                  </w:p>
                </w:tc>
                <w:tc>
                  <w:tcPr>
                    <w:tcW w:w="210" w:type="pct"/>
                    <w:vAlign w:val="center"/>
                  </w:tcPr>
                  <w:p w14:paraId="3344CD6D"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71899780"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-9,700,532</w:t>
                    </w:r>
                  </w:p>
                </w:tc>
                <w:tc>
                  <w:tcPr>
                    <w:tcW w:w="279" w:type="pct"/>
                    <w:vAlign w:val="center"/>
                  </w:tcPr>
                  <w:p w14:paraId="4685FF96" w14:textId="77777777" w:rsidR="007E7472" w:rsidRDefault="00C8327E">
                    <w:pPr>
                      <w:jc w:val="right"/>
                      <w:rPr>
                        <w:rFonts w:asciiTheme="minorEastAsia" w:eastAsiaTheme="minorEastAsia" w:hAnsiTheme="minorEastAsia"/>
                        <w:spacing w:val="-20"/>
                        <w:sz w:val="18"/>
                        <w:szCs w:val="18"/>
                      </w:rPr>
                    </w:pPr>
                  </w:p>
                </w:tc>
                <w:tc>
                  <w:tcPr>
                    <w:tcW w:w="331" w:type="pct"/>
                    <w:vAlign w:val="center"/>
                  </w:tcPr>
                  <w:p w14:paraId="1DAB0186"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spacing w:val="-20"/>
                        <w:sz w:val="18"/>
                        <w:szCs w:val="18"/>
                      </w:rPr>
                      <w:t>-</w:t>
                    </w:r>
                    <w:r>
                      <w:rPr>
                        <w:rFonts w:asciiTheme="minorEastAsia" w:eastAsiaTheme="minorEastAsia" w:hAnsiTheme="minorEastAsia" w:hint="eastAsia"/>
                        <w:spacing w:val="-20"/>
                        <w:sz w:val="18"/>
                        <w:szCs w:val="18"/>
                      </w:rPr>
                      <w:t>9,913,562</w:t>
                    </w:r>
                  </w:p>
                </w:tc>
                <w:tc>
                  <w:tcPr>
                    <w:tcW w:w="330" w:type="pct"/>
                    <w:vAlign w:val="center"/>
                  </w:tcPr>
                  <w:p w14:paraId="446637F6"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-2,525,247</w:t>
                    </w:r>
                  </w:p>
                </w:tc>
                <w:tc>
                  <w:tcPr>
                    <w:tcW w:w="356" w:type="pct"/>
                    <w:vAlign w:val="center"/>
                  </w:tcPr>
                  <w:p w14:paraId="207DC0BF"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-12,438,809</w:t>
                    </w:r>
                  </w:p>
                </w:tc>
              </w:tr>
              <w:tr w:rsidR="007E7472" w14:paraId="5B1E3CB6" w14:textId="77777777">
                <w:sdt>
                  <w:sdtPr>
                    <w:tag w:val="_PLD_728c39864cdd4a7c93d6a2bae73ac47f"/>
                    <w:id w:val="-828987715"/>
                    <w:lock w:val="sdtLocked"/>
                  </w:sdtPr>
                  <w:sdtEndPr/>
                  <w:sdtContent>
                    <w:tc>
                      <w:tcPr>
                        <w:tcW w:w="628" w:type="pct"/>
                      </w:tcPr>
                      <w:p w14:paraId="34FDD847" w14:textId="77777777" w:rsidR="007E7472" w:rsidRDefault="00EC1269">
                        <w:pPr>
                          <w:rPr>
                            <w:sz w:val="18"/>
                            <w:szCs w:val="18"/>
                          </w:rPr>
                        </w:pPr>
                        <w:r>
                          <w:rPr>
                            <w:sz w:val="18"/>
                            <w:szCs w:val="18"/>
                          </w:rPr>
                          <w:t>1．提取盈余公积</w:t>
                        </w:r>
                      </w:p>
                    </w:tc>
                  </w:sdtContent>
                </w:sdt>
                <w:tc>
                  <w:tcPr>
                    <w:tcW w:w="305" w:type="pct"/>
                    <w:vAlign w:val="center"/>
                  </w:tcPr>
                  <w:p w14:paraId="095EE5FA" w14:textId="77777777" w:rsidR="007E7472" w:rsidRDefault="00C8327E">
                    <w:pPr>
                      <w:jc w:val="right"/>
                      <w:rPr>
                        <w:rFonts w:asciiTheme="minorEastAsia" w:eastAsiaTheme="minorEastAsia" w:hAnsiTheme="minorEastAsia"/>
                        <w:spacing w:val="-20"/>
                        <w:sz w:val="18"/>
                        <w:szCs w:val="18"/>
                      </w:rPr>
                    </w:pPr>
                  </w:p>
                </w:tc>
                <w:tc>
                  <w:tcPr>
                    <w:tcW w:w="237" w:type="pct"/>
                    <w:vAlign w:val="center"/>
                  </w:tcPr>
                  <w:p w14:paraId="18A9548E"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331D8FEC" w14:textId="77777777" w:rsidR="007E7472" w:rsidRDefault="00C8327E">
                    <w:pPr>
                      <w:jc w:val="right"/>
                      <w:rPr>
                        <w:rFonts w:asciiTheme="minorEastAsia" w:eastAsiaTheme="minorEastAsia" w:hAnsiTheme="minorEastAsia"/>
                        <w:spacing w:val="-20"/>
                        <w:sz w:val="18"/>
                        <w:szCs w:val="18"/>
                      </w:rPr>
                    </w:pPr>
                  </w:p>
                </w:tc>
                <w:tc>
                  <w:tcPr>
                    <w:tcW w:w="239" w:type="pct"/>
                    <w:vAlign w:val="center"/>
                  </w:tcPr>
                  <w:p w14:paraId="10271D64" w14:textId="77777777" w:rsidR="007E7472" w:rsidRDefault="00C8327E">
                    <w:pPr>
                      <w:jc w:val="right"/>
                      <w:rPr>
                        <w:rFonts w:asciiTheme="minorEastAsia" w:eastAsiaTheme="minorEastAsia" w:hAnsiTheme="minorEastAsia"/>
                        <w:spacing w:val="-20"/>
                        <w:sz w:val="18"/>
                        <w:szCs w:val="18"/>
                      </w:rPr>
                    </w:pPr>
                  </w:p>
                </w:tc>
                <w:tc>
                  <w:tcPr>
                    <w:tcW w:w="305" w:type="pct"/>
                    <w:vAlign w:val="center"/>
                  </w:tcPr>
                  <w:p w14:paraId="479F31D6" w14:textId="77777777" w:rsidR="007E7472" w:rsidRDefault="00C8327E">
                    <w:pPr>
                      <w:jc w:val="right"/>
                      <w:rPr>
                        <w:rFonts w:asciiTheme="minorEastAsia" w:eastAsiaTheme="minorEastAsia" w:hAnsiTheme="minorEastAsia"/>
                        <w:spacing w:val="-20"/>
                        <w:sz w:val="18"/>
                        <w:szCs w:val="18"/>
                      </w:rPr>
                    </w:pPr>
                  </w:p>
                </w:tc>
                <w:tc>
                  <w:tcPr>
                    <w:tcW w:w="255" w:type="pct"/>
                    <w:vAlign w:val="center"/>
                  </w:tcPr>
                  <w:p w14:paraId="4147B489" w14:textId="77777777" w:rsidR="007E7472" w:rsidRDefault="00C8327E">
                    <w:pPr>
                      <w:jc w:val="right"/>
                      <w:rPr>
                        <w:rFonts w:asciiTheme="minorEastAsia" w:eastAsiaTheme="minorEastAsia" w:hAnsiTheme="minorEastAsia"/>
                        <w:spacing w:val="-20"/>
                        <w:sz w:val="18"/>
                        <w:szCs w:val="18"/>
                      </w:rPr>
                    </w:pPr>
                  </w:p>
                </w:tc>
                <w:tc>
                  <w:tcPr>
                    <w:tcW w:w="359" w:type="pct"/>
                    <w:vAlign w:val="center"/>
                  </w:tcPr>
                  <w:p w14:paraId="76E5C4C8" w14:textId="77777777" w:rsidR="007E7472" w:rsidRDefault="00C8327E">
                    <w:pPr>
                      <w:jc w:val="right"/>
                      <w:rPr>
                        <w:rFonts w:asciiTheme="minorEastAsia" w:eastAsiaTheme="minorEastAsia" w:hAnsiTheme="minorEastAsia"/>
                        <w:spacing w:val="-20"/>
                        <w:sz w:val="18"/>
                        <w:szCs w:val="18"/>
                      </w:rPr>
                    </w:pPr>
                  </w:p>
                </w:tc>
                <w:tc>
                  <w:tcPr>
                    <w:tcW w:w="252" w:type="pct"/>
                    <w:vAlign w:val="center"/>
                  </w:tcPr>
                  <w:p w14:paraId="67BB24C4" w14:textId="77777777" w:rsidR="007E7472" w:rsidRDefault="00C8327E">
                    <w:pPr>
                      <w:jc w:val="right"/>
                      <w:rPr>
                        <w:rFonts w:asciiTheme="minorEastAsia" w:eastAsiaTheme="minorEastAsia" w:hAnsiTheme="minorEastAsia"/>
                        <w:spacing w:val="-20"/>
                        <w:sz w:val="18"/>
                        <w:szCs w:val="18"/>
                      </w:rPr>
                    </w:pPr>
                  </w:p>
                </w:tc>
                <w:tc>
                  <w:tcPr>
                    <w:tcW w:w="255" w:type="pct"/>
                    <w:vAlign w:val="center"/>
                  </w:tcPr>
                  <w:p w14:paraId="117E53A4" w14:textId="77777777" w:rsidR="007E7472" w:rsidRDefault="00C8327E">
                    <w:pPr>
                      <w:jc w:val="right"/>
                      <w:rPr>
                        <w:rFonts w:asciiTheme="minorEastAsia" w:eastAsiaTheme="minorEastAsia" w:hAnsiTheme="minorEastAsia"/>
                        <w:spacing w:val="-20"/>
                        <w:sz w:val="18"/>
                        <w:szCs w:val="18"/>
                      </w:rPr>
                    </w:pPr>
                  </w:p>
                </w:tc>
                <w:tc>
                  <w:tcPr>
                    <w:tcW w:w="210" w:type="pct"/>
                    <w:vAlign w:val="center"/>
                  </w:tcPr>
                  <w:p w14:paraId="365B654A"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6B498FE3" w14:textId="77777777" w:rsidR="007E7472" w:rsidRDefault="00C8327E">
                    <w:pPr>
                      <w:jc w:val="right"/>
                      <w:rPr>
                        <w:rFonts w:asciiTheme="minorEastAsia" w:eastAsiaTheme="minorEastAsia" w:hAnsiTheme="minorEastAsia"/>
                        <w:spacing w:val="-20"/>
                        <w:sz w:val="18"/>
                        <w:szCs w:val="18"/>
                      </w:rPr>
                    </w:pPr>
                  </w:p>
                </w:tc>
                <w:tc>
                  <w:tcPr>
                    <w:tcW w:w="279" w:type="pct"/>
                    <w:vAlign w:val="center"/>
                  </w:tcPr>
                  <w:p w14:paraId="0021E6AA" w14:textId="77777777" w:rsidR="007E7472" w:rsidRDefault="00C8327E">
                    <w:pPr>
                      <w:jc w:val="right"/>
                      <w:rPr>
                        <w:rFonts w:asciiTheme="minorEastAsia" w:eastAsiaTheme="minorEastAsia" w:hAnsiTheme="minorEastAsia"/>
                        <w:spacing w:val="-20"/>
                        <w:sz w:val="18"/>
                        <w:szCs w:val="18"/>
                      </w:rPr>
                    </w:pPr>
                  </w:p>
                </w:tc>
                <w:tc>
                  <w:tcPr>
                    <w:tcW w:w="331" w:type="pct"/>
                    <w:vAlign w:val="center"/>
                  </w:tcPr>
                  <w:p w14:paraId="2F9AAA27"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5B7E5BF5" w14:textId="77777777" w:rsidR="007E7472" w:rsidRDefault="00C8327E">
                    <w:pPr>
                      <w:jc w:val="right"/>
                      <w:rPr>
                        <w:rFonts w:asciiTheme="minorEastAsia" w:eastAsiaTheme="minorEastAsia" w:hAnsiTheme="minorEastAsia"/>
                        <w:spacing w:val="-20"/>
                        <w:sz w:val="18"/>
                        <w:szCs w:val="18"/>
                      </w:rPr>
                    </w:pPr>
                  </w:p>
                </w:tc>
                <w:tc>
                  <w:tcPr>
                    <w:tcW w:w="356" w:type="pct"/>
                    <w:vAlign w:val="center"/>
                  </w:tcPr>
                  <w:p w14:paraId="199A9A4D" w14:textId="77777777" w:rsidR="007E7472" w:rsidRDefault="00C8327E">
                    <w:pPr>
                      <w:jc w:val="right"/>
                      <w:rPr>
                        <w:rFonts w:asciiTheme="minorEastAsia" w:eastAsiaTheme="minorEastAsia" w:hAnsiTheme="minorEastAsia"/>
                        <w:spacing w:val="-20"/>
                        <w:sz w:val="18"/>
                        <w:szCs w:val="18"/>
                      </w:rPr>
                    </w:pPr>
                  </w:p>
                </w:tc>
              </w:tr>
              <w:tr w:rsidR="007E7472" w14:paraId="0CF30C84" w14:textId="77777777">
                <w:sdt>
                  <w:sdtPr>
                    <w:tag w:val="_PLD_6d8c8a0de80b4f6a97fdb16b82b3a6ac"/>
                    <w:id w:val="-195158670"/>
                    <w:lock w:val="sdtLocked"/>
                  </w:sdtPr>
                  <w:sdtEndPr/>
                  <w:sdtContent>
                    <w:tc>
                      <w:tcPr>
                        <w:tcW w:w="628" w:type="pct"/>
                      </w:tcPr>
                      <w:p w14:paraId="320BE98F" w14:textId="77777777" w:rsidR="007E7472" w:rsidRDefault="00EC1269">
                        <w:pPr>
                          <w:rPr>
                            <w:sz w:val="18"/>
                            <w:szCs w:val="18"/>
                          </w:rPr>
                        </w:pPr>
                        <w:r>
                          <w:rPr>
                            <w:sz w:val="18"/>
                            <w:szCs w:val="18"/>
                          </w:rPr>
                          <w:t>2．提取一般风险准备</w:t>
                        </w:r>
                      </w:p>
                    </w:tc>
                  </w:sdtContent>
                </w:sdt>
                <w:tc>
                  <w:tcPr>
                    <w:tcW w:w="305" w:type="pct"/>
                    <w:vAlign w:val="center"/>
                  </w:tcPr>
                  <w:p w14:paraId="0E0BEBD1" w14:textId="77777777" w:rsidR="007E7472" w:rsidRDefault="00C8327E">
                    <w:pPr>
                      <w:jc w:val="right"/>
                      <w:rPr>
                        <w:rFonts w:asciiTheme="minorEastAsia" w:eastAsiaTheme="minorEastAsia" w:hAnsiTheme="minorEastAsia"/>
                        <w:spacing w:val="-20"/>
                        <w:sz w:val="18"/>
                        <w:szCs w:val="18"/>
                      </w:rPr>
                    </w:pPr>
                  </w:p>
                </w:tc>
                <w:tc>
                  <w:tcPr>
                    <w:tcW w:w="237" w:type="pct"/>
                    <w:vAlign w:val="center"/>
                  </w:tcPr>
                  <w:p w14:paraId="7A6274BC"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2E2538E6" w14:textId="77777777" w:rsidR="007E7472" w:rsidRDefault="00C8327E">
                    <w:pPr>
                      <w:jc w:val="right"/>
                      <w:rPr>
                        <w:rFonts w:asciiTheme="minorEastAsia" w:eastAsiaTheme="minorEastAsia" w:hAnsiTheme="minorEastAsia"/>
                        <w:spacing w:val="-20"/>
                        <w:sz w:val="18"/>
                        <w:szCs w:val="18"/>
                      </w:rPr>
                    </w:pPr>
                  </w:p>
                </w:tc>
                <w:tc>
                  <w:tcPr>
                    <w:tcW w:w="239" w:type="pct"/>
                    <w:vAlign w:val="center"/>
                  </w:tcPr>
                  <w:p w14:paraId="650498E8" w14:textId="77777777" w:rsidR="007E7472" w:rsidRDefault="00C8327E">
                    <w:pPr>
                      <w:jc w:val="right"/>
                      <w:rPr>
                        <w:rFonts w:asciiTheme="minorEastAsia" w:eastAsiaTheme="minorEastAsia" w:hAnsiTheme="minorEastAsia"/>
                        <w:spacing w:val="-20"/>
                        <w:sz w:val="18"/>
                        <w:szCs w:val="18"/>
                      </w:rPr>
                    </w:pPr>
                  </w:p>
                </w:tc>
                <w:tc>
                  <w:tcPr>
                    <w:tcW w:w="305" w:type="pct"/>
                    <w:vAlign w:val="center"/>
                  </w:tcPr>
                  <w:p w14:paraId="7C6AF5D0" w14:textId="77777777" w:rsidR="007E7472" w:rsidRDefault="00C8327E">
                    <w:pPr>
                      <w:jc w:val="right"/>
                      <w:rPr>
                        <w:rFonts w:asciiTheme="minorEastAsia" w:eastAsiaTheme="minorEastAsia" w:hAnsiTheme="minorEastAsia"/>
                        <w:spacing w:val="-20"/>
                        <w:sz w:val="18"/>
                        <w:szCs w:val="18"/>
                      </w:rPr>
                    </w:pPr>
                  </w:p>
                </w:tc>
                <w:tc>
                  <w:tcPr>
                    <w:tcW w:w="255" w:type="pct"/>
                    <w:vAlign w:val="center"/>
                  </w:tcPr>
                  <w:p w14:paraId="2E651E3B" w14:textId="77777777" w:rsidR="007E7472" w:rsidRDefault="00C8327E">
                    <w:pPr>
                      <w:jc w:val="right"/>
                      <w:rPr>
                        <w:rFonts w:asciiTheme="minorEastAsia" w:eastAsiaTheme="minorEastAsia" w:hAnsiTheme="minorEastAsia"/>
                        <w:spacing w:val="-20"/>
                        <w:sz w:val="18"/>
                        <w:szCs w:val="18"/>
                      </w:rPr>
                    </w:pPr>
                  </w:p>
                </w:tc>
                <w:tc>
                  <w:tcPr>
                    <w:tcW w:w="359" w:type="pct"/>
                    <w:vAlign w:val="center"/>
                  </w:tcPr>
                  <w:p w14:paraId="78458609" w14:textId="77777777" w:rsidR="007E7472" w:rsidRDefault="00C8327E">
                    <w:pPr>
                      <w:jc w:val="right"/>
                      <w:rPr>
                        <w:rFonts w:asciiTheme="minorEastAsia" w:eastAsiaTheme="minorEastAsia" w:hAnsiTheme="minorEastAsia"/>
                        <w:spacing w:val="-20"/>
                        <w:sz w:val="18"/>
                        <w:szCs w:val="18"/>
                      </w:rPr>
                    </w:pPr>
                  </w:p>
                </w:tc>
                <w:tc>
                  <w:tcPr>
                    <w:tcW w:w="252" w:type="pct"/>
                    <w:vAlign w:val="center"/>
                  </w:tcPr>
                  <w:p w14:paraId="1E3407D9" w14:textId="77777777" w:rsidR="007E7472" w:rsidRDefault="00C8327E">
                    <w:pPr>
                      <w:jc w:val="right"/>
                      <w:rPr>
                        <w:rFonts w:asciiTheme="minorEastAsia" w:eastAsiaTheme="minorEastAsia" w:hAnsiTheme="minorEastAsia"/>
                        <w:spacing w:val="-20"/>
                        <w:sz w:val="18"/>
                        <w:szCs w:val="18"/>
                      </w:rPr>
                    </w:pPr>
                  </w:p>
                </w:tc>
                <w:tc>
                  <w:tcPr>
                    <w:tcW w:w="255" w:type="pct"/>
                    <w:vAlign w:val="center"/>
                  </w:tcPr>
                  <w:p w14:paraId="4D1DDDFB" w14:textId="77777777" w:rsidR="007E7472" w:rsidRDefault="00C8327E">
                    <w:pPr>
                      <w:jc w:val="right"/>
                      <w:rPr>
                        <w:rFonts w:asciiTheme="minorEastAsia" w:eastAsiaTheme="minorEastAsia" w:hAnsiTheme="minorEastAsia"/>
                        <w:spacing w:val="-20"/>
                        <w:sz w:val="18"/>
                        <w:szCs w:val="18"/>
                      </w:rPr>
                    </w:pPr>
                  </w:p>
                </w:tc>
                <w:tc>
                  <w:tcPr>
                    <w:tcW w:w="210" w:type="pct"/>
                    <w:vAlign w:val="center"/>
                  </w:tcPr>
                  <w:p w14:paraId="0DD9D156"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784079F9"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196,875</w:t>
                    </w:r>
                  </w:p>
                </w:tc>
                <w:tc>
                  <w:tcPr>
                    <w:tcW w:w="279" w:type="pct"/>
                    <w:vAlign w:val="center"/>
                  </w:tcPr>
                  <w:p w14:paraId="5C944C54" w14:textId="77777777" w:rsidR="007E7472" w:rsidRDefault="00C8327E">
                    <w:pPr>
                      <w:jc w:val="right"/>
                      <w:rPr>
                        <w:rFonts w:asciiTheme="minorEastAsia" w:eastAsiaTheme="minorEastAsia" w:hAnsiTheme="minorEastAsia"/>
                        <w:spacing w:val="-20"/>
                        <w:sz w:val="18"/>
                        <w:szCs w:val="18"/>
                      </w:rPr>
                    </w:pPr>
                  </w:p>
                </w:tc>
                <w:tc>
                  <w:tcPr>
                    <w:tcW w:w="331" w:type="pct"/>
                    <w:vAlign w:val="center"/>
                  </w:tcPr>
                  <w:p w14:paraId="40410A8F"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196,875</w:t>
                    </w:r>
                  </w:p>
                </w:tc>
                <w:tc>
                  <w:tcPr>
                    <w:tcW w:w="330" w:type="pct"/>
                    <w:vAlign w:val="center"/>
                  </w:tcPr>
                  <w:p w14:paraId="1A3ED3D6" w14:textId="77777777" w:rsidR="007E7472" w:rsidRDefault="00C8327E">
                    <w:pPr>
                      <w:jc w:val="right"/>
                      <w:rPr>
                        <w:rFonts w:asciiTheme="minorEastAsia" w:eastAsiaTheme="minorEastAsia" w:hAnsiTheme="minorEastAsia"/>
                        <w:spacing w:val="-20"/>
                        <w:sz w:val="18"/>
                        <w:szCs w:val="18"/>
                      </w:rPr>
                    </w:pPr>
                  </w:p>
                </w:tc>
                <w:tc>
                  <w:tcPr>
                    <w:tcW w:w="356" w:type="pct"/>
                    <w:vAlign w:val="center"/>
                  </w:tcPr>
                  <w:p w14:paraId="775181F2"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196,875</w:t>
                    </w:r>
                  </w:p>
                </w:tc>
              </w:tr>
              <w:tr w:rsidR="007E7472" w14:paraId="056FF482" w14:textId="77777777">
                <w:sdt>
                  <w:sdtPr>
                    <w:tag w:val="_PLD_a5531db3e1d84f3897cb962fdc73ab3d"/>
                    <w:id w:val="-328133058"/>
                    <w:lock w:val="sdtLocked"/>
                  </w:sdtPr>
                  <w:sdtEndPr/>
                  <w:sdtContent>
                    <w:tc>
                      <w:tcPr>
                        <w:tcW w:w="628" w:type="pct"/>
                      </w:tcPr>
                      <w:p w14:paraId="6333D122" w14:textId="77777777" w:rsidR="007E7472" w:rsidRDefault="00EC1269">
                        <w:pPr>
                          <w:rPr>
                            <w:sz w:val="18"/>
                            <w:szCs w:val="18"/>
                          </w:rPr>
                        </w:pPr>
                        <w:r>
                          <w:rPr>
                            <w:sz w:val="18"/>
                            <w:szCs w:val="18"/>
                          </w:rPr>
                          <w:t>3．对所有者（或股东）的分配</w:t>
                        </w:r>
                      </w:p>
                    </w:tc>
                  </w:sdtContent>
                </w:sdt>
                <w:tc>
                  <w:tcPr>
                    <w:tcW w:w="305" w:type="pct"/>
                    <w:vAlign w:val="center"/>
                  </w:tcPr>
                  <w:p w14:paraId="55EAF37F" w14:textId="77777777" w:rsidR="007E7472" w:rsidRDefault="00C8327E">
                    <w:pPr>
                      <w:jc w:val="right"/>
                      <w:rPr>
                        <w:rFonts w:asciiTheme="minorEastAsia" w:eastAsiaTheme="minorEastAsia" w:hAnsiTheme="minorEastAsia"/>
                        <w:spacing w:val="-20"/>
                        <w:sz w:val="18"/>
                        <w:szCs w:val="18"/>
                      </w:rPr>
                    </w:pPr>
                  </w:p>
                </w:tc>
                <w:tc>
                  <w:tcPr>
                    <w:tcW w:w="237" w:type="pct"/>
                    <w:vAlign w:val="center"/>
                  </w:tcPr>
                  <w:p w14:paraId="318C296D"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691E0FB7" w14:textId="77777777" w:rsidR="007E7472" w:rsidRDefault="00C8327E">
                    <w:pPr>
                      <w:jc w:val="right"/>
                      <w:rPr>
                        <w:rFonts w:asciiTheme="minorEastAsia" w:eastAsiaTheme="minorEastAsia" w:hAnsiTheme="minorEastAsia"/>
                        <w:spacing w:val="-20"/>
                        <w:sz w:val="18"/>
                        <w:szCs w:val="18"/>
                      </w:rPr>
                    </w:pPr>
                  </w:p>
                </w:tc>
                <w:tc>
                  <w:tcPr>
                    <w:tcW w:w="239" w:type="pct"/>
                    <w:vAlign w:val="center"/>
                  </w:tcPr>
                  <w:p w14:paraId="414DC682" w14:textId="77777777" w:rsidR="007E7472" w:rsidRDefault="00C8327E">
                    <w:pPr>
                      <w:jc w:val="right"/>
                      <w:rPr>
                        <w:rFonts w:asciiTheme="minorEastAsia" w:eastAsiaTheme="minorEastAsia" w:hAnsiTheme="minorEastAsia"/>
                        <w:spacing w:val="-20"/>
                        <w:sz w:val="18"/>
                        <w:szCs w:val="18"/>
                      </w:rPr>
                    </w:pPr>
                  </w:p>
                </w:tc>
                <w:tc>
                  <w:tcPr>
                    <w:tcW w:w="305" w:type="pct"/>
                    <w:vAlign w:val="center"/>
                  </w:tcPr>
                  <w:p w14:paraId="5FC539B3" w14:textId="77777777" w:rsidR="007E7472" w:rsidRDefault="00C8327E">
                    <w:pPr>
                      <w:jc w:val="right"/>
                      <w:rPr>
                        <w:rFonts w:asciiTheme="minorEastAsia" w:eastAsiaTheme="minorEastAsia" w:hAnsiTheme="minorEastAsia"/>
                        <w:spacing w:val="-20"/>
                        <w:sz w:val="18"/>
                        <w:szCs w:val="18"/>
                      </w:rPr>
                    </w:pPr>
                  </w:p>
                </w:tc>
                <w:tc>
                  <w:tcPr>
                    <w:tcW w:w="255" w:type="pct"/>
                    <w:vAlign w:val="center"/>
                  </w:tcPr>
                  <w:p w14:paraId="2C436504" w14:textId="77777777" w:rsidR="007E7472" w:rsidRDefault="00C8327E">
                    <w:pPr>
                      <w:jc w:val="right"/>
                      <w:rPr>
                        <w:rFonts w:asciiTheme="minorEastAsia" w:eastAsiaTheme="minorEastAsia" w:hAnsiTheme="minorEastAsia"/>
                        <w:spacing w:val="-20"/>
                        <w:sz w:val="18"/>
                        <w:szCs w:val="18"/>
                      </w:rPr>
                    </w:pPr>
                  </w:p>
                </w:tc>
                <w:tc>
                  <w:tcPr>
                    <w:tcW w:w="359" w:type="pct"/>
                    <w:vAlign w:val="center"/>
                  </w:tcPr>
                  <w:p w14:paraId="30870DE4" w14:textId="77777777" w:rsidR="007E7472" w:rsidRDefault="00C8327E">
                    <w:pPr>
                      <w:jc w:val="right"/>
                      <w:rPr>
                        <w:rFonts w:asciiTheme="minorEastAsia" w:eastAsiaTheme="minorEastAsia" w:hAnsiTheme="minorEastAsia"/>
                        <w:spacing w:val="-20"/>
                        <w:sz w:val="18"/>
                        <w:szCs w:val="18"/>
                      </w:rPr>
                    </w:pPr>
                  </w:p>
                </w:tc>
                <w:tc>
                  <w:tcPr>
                    <w:tcW w:w="252" w:type="pct"/>
                    <w:vAlign w:val="center"/>
                  </w:tcPr>
                  <w:p w14:paraId="482CA996" w14:textId="77777777" w:rsidR="007E7472" w:rsidRDefault="00C8327E">
                    <w:pPr>
                      <w:jc w:val="right"/>
                      <w:rPr>
                        <w:rFonts w:asciiTheme="minorEastAsia" w:eastAsiaTheme="minorEastAsia" w:hAnsiTheme="minorEastAsia"/>
                        <w:spacing w:val="-20"/>
                        <w:sz w:val="18"/>
                        <w:szCs w:val="18"/>
                      </w:rPr>
                    </w:pPr>
                  </w:p>
                </w:tc>
                <w:tc>
                  <w:tcPr>
                    <w:tcW w:w="255" w:type="pct"/>
                    <w:vAlign w:val="center"/>
                  </w:tcPr>
                  <w:p w14:paraId="7472BD73" w14:textId="77777777" w:rsidR="007E7472" w:rsidRDefault="00C8327E">
                    <w:pPr>
                      <w:jc w:val="right"/>
                      <w:rPr>
                        <w:rFonts w:asciiTheme="minorEastAsia" w:eastAsiaTheme="minorEastAsia" w:hAnsiTheme="minorEastAsia"/>
                        <w:spacing w:val="-20"/>
                        <w:sz w:val="18"/>
                        <w:szCs w:val="18"/>
                      </w:rPr>
                    </w:pPr>
                  </w:p>
                </w:tc>
                <w:tc>
                  <w:tcPr>
                    <w:tcW w:w="210" w:type="pct"/>
                    <w:vAlign w:val="center"/>
                  </w:tcPr>
                  <w:p w14:paraId="70DADC6F"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174791AD"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-9,897,407</w:t>
                    </w:r>
                  </w:p>
                </w:tc>
                <w:tc>
                  <w:tcPr>
                    <w:tcW w:w="279" w:type="pct"/>
                    <w:vAlign w:val="center"/>
                  </w:tcPr>
                  <w:p w14:paraId="2FAC5D5C" w14:textId="77777777" w:rsidR="007E7472" w:rsidRDefault="00C8327E">
                    <w:pPr>
                      <w:jc w:val="right"/>
                      <w:rPr>
                        <w:rFonts w:asciiTheme="minorEastAsia" w:eastAsiaTheme="minorEastAsia" w:hAnsiTheme="minorEastAsia"/>
                        <w:spacing w:val="-20"/>
                        <w:sz w:val="18"/>
                        <w:szCs w:val="18"/>
                      </w:rPr>
                    </w:pPr>
                  </w:p>
                </w:tc>
                <w:tc>
                  <w:tcPr>
                    <w:tcW w:w="331" w:type="pct"/>
                    <w:vAlign w:val="center"/>
                  </w:tcPr>
                  <w:p w14:paraId="02865F27"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spacing w:val="-20"/>
                        <w:sz w:val="18"/>
                        <w:szCs w:val="18"/>
                      </w:rPr>
                      <w:t>-</w:t>
                    </w:r>
                    <w:r>
                      <w:rPr>
                        <w:rFonts w:asciiTheme="minorEastAsia" w:eastAsiaTheme="minorEastAsia" w:hAnsiTheme="minorEastAsia" w:hint="eastAsia"/>
                        <w:spacing w:val="-20"/>
                        <w:sz w:val="18"/>
                        <w:szCs w:val="18"/>
                      </w:rPr>
                      <w:t>9,897,407</w:t>
                    </w:r>
                  </w:p>
                </w:tc>
                <w:tc>
                  <w:tcPr>
                    <w:tcW w:w="330" w:type="pct"/>
                    <w:vAlign w:val="center"/>
                  </w:tcPr>
                  <w:p w14:paraId="77FD0EA4"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-2,525,247</w:t>
                    </w:r>
                  </w:p>
                </w:tc>
                <w:tc>
                  <w:tcPr>
                    <w:tcW w:w="356" w:type="pct"/>
                    <w:vAlign w:val="center"/>
                  </w:tcPr>
                  <w:p w14:paraId="4227A19E"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-12,422,654</w:t>
                    </w:r>
                  </w:p>
                </w:tc>
              </w:tr>
              <w:tr w:rsidR="007E7472" w14:paraId="21AC4E21" w14:textId="77777777">
                <w:sdt>
                  <w:sdtPr>
                    <w:tag w:val="_PLD_b260d198eaa0404ca122e416f4407ed3"/>
                    <w:id w:val="-2096002516"/>
                    <w:lock w:val="sdtLocked"/>
                  </w:sdtPr>
                  <w:sdtEndPr/>
                  <w:sdtContent>
                    <w:tc>
                      <w:tcPr>
                        <w:tcW w:w="628" w:type="pct"/>
                      </w:tcPr>
                      <w:p w14:paraId="3303C4FE" w14:textId="77777777" w:rsidR="007E7472" w:rsidRDefault="00EC1269">
                        <w:pPr>
                          <w:rPr>
                            <w:sz w:val="18"/>
                            <w:szCs w:val="18"/>
                          </w:rPr>
                        </w:pPr>
                        <w:r>
                          <w:rPr>
                            <w:sz w:val="18"/>
                            <w:szCs w:val="18"/>
                          </w:rPr>
                          <w:t>4.对其他权益工具持有者的分配</w:t>
                        </w:r>
                      </w:p>
                    </w:tc>
                  </w:sdtContent>
                </w:sdt>
                <w:sdt>
                  <w:sdtPr>
                    <w:alias w:val="4.对其他权益工具持有者的分配实收资本(或股本)"/>
                    <w:tag w:val="_GBC_6ce751259052459e84466b25a06ca872"/>
                    <w:id w:val="99380451"/>
                    <w:lock w:val="sdtLocked"/>
                  </w:sdtPr>
                  <w:sdtEndPr/>
                  <w:sdtContent>
                    <w:tc>
                      <w:tcPr>
                        <w:tcW w:w="305" w:type="pct"/>
                        <w:vAlign w:val="center"/>
                      </w:tcPr>
                      <w:p w14:paraId="32A90CBB" w14:textId="77777777" w:rsidR="007E7472" w:rsidRDefault="00C8327E">
                        <w:pPr>
                          <w:jc w:val="right"/>
                          <w:rPr>
                            <w:rFonts w:asciiTheme="minorEastAsia" w:eastAsiaTheme="minorEastAsia" w:hAnsiTheme="minorEastAsia"/>
                            <w:spacing w:val="-20"/>
                            <w:sz w:val="18"/>
                            <w:szCs w:val="18"/>
                          </w:rPr>
                        </w:pPr>
                      </w:p>
                    </w:tc>
                  </w:sdtContent>
                </w:sdt>
                <w:sdt>
                  <w:sdtPr>
                    <w:alias w:val="4.对其他权益工具持有者的分配优先股"/>
                    <w:tag w:val="_GBC_398d2d5fcce843228d7d2944045e3f42"/>
                    <w:id w:val="-1630239955"/>
                    <w:lock w:val="sdtLocked"/>
                  </w:sdtPr>
                  <w:sdtEndPr/>
                  <w:sdtContent>
                    <w:tc>
                      <w:tcPr>
                        <w:tcW w:w="237" w:type="pct"/>
                        <w:vAlign w:val="center"/>
                      </w:tcPr>
                      <w:p w14:paraId="1A5A2E37" w14:textId="77777777" w:rsidR="007E7472" w:rsidRDefault="00C8327E">
                        <w:pPr>
                          <w:jc w:val="right"/>
                          <w:rPr>
                            <w:rFonts w:asciiTheme="minorEastAsia" w:eastAsiaTheme="minorEastAsia" w:hAnsiTheme="minorEastAsia"/>
                            <w:spacing w:val="-20"/>
                            <w:sz w:val="18"/>
                            <w:szCs w:val="18"/>
                          </w:rPr>
                        </w:pPr>
                      </w:p>
                    </w:tc>
                  </w:sdtContent>
                </w:sdt>
                <w:sdt>
                  <w:sdtPr>
                    <w:rPr>
                      <w:spacing w:val="-20"/>
                      <w:sz w:val="18"/>
                    </w:rPr>
                    <w:alias w:val="4.对其他权益工具持有者的分配永续债"/>
                    <w:tag w:val="_GBC_56c36966d7234a148fef86ae8b1282ca"/>
                    <w:id w:val="-1286502893"/>
                    <w:lock w:val="sdtLocked"/>
                  </w:sdtPr>
                  <w:sdtEndPr/>
                  <w:sdtContent>
                    <w:tc>
                      <w:tcPr>
                        <w:tcW w:w="330" w:type="pct"/>
                        <w:vAlign w:val="center"/>
                      </w:tcPr>
                      <w:p w14:paraId="10ABA403" w14:textId="77777777" w:rsidR="007E7472" w:rsidRDefault="00EC1269">
                        <w:pPr>
                          <w:jc w:val="right"/>
                          <w:rPr>
                            <w:rFonts w:asciiTheme="minorEastAsia" w:eastAsiaTheme="minorEastAsia" w:hAnsiTheme="minorEastAsia"/>
                            <w:spacing w:val="-20"/>
                            <w:sz w:val="18"/>
                            <w:szCs w:val="18"/>
                          </w:rPr>
                        </w:pPr>
                        <w:r>
                          <w:rPr>
                            <w:spacing w:val="-20"/>
                            <w:sz w:val="18"/>
                          </w:rPr>
                          <w:t>-213,030</w:t>
                        </w:r>
                      </w:p>
                    </w:tc>
                  </w:sdtContent>
                </w:sdt>
                <w:sdt>
                  <w:sdtPr>
                    <w:rPr>
                      <w:spacing w:val="-20"/>
                      <w:sz w:val="18"/>
                    </w:rPr>
                    <w:alias w:val="4.对其他权益工具持有者的分配其他"/>
                    <w:tag w:val="_GBC_b1a3109364114fad9a3ff69d4124dfa9"/>
                    <w:id w:val="-623226553"/>
                    <w:lock w:val="sdtLocked"/>
                  </w:sdtPr>
                  <w:sdtEndPr/>
                  <w:sdtContent>
                    <w:tc>
                      <w:tcPr>
                        <w:tcW w:w="239" w:type="pct"/>
                        <w:vAlign w:val="center"/>
                      </w:tcPr>
                      <w:p w14:paraId="23BFCB20" w14:textId="77777777" w:rsidR="007E7472" w:rsidRDefault="00C8327E">
                        <w:pPr>
                          <w:jc w:val="right"/>
                          <w:rPr>
                            <w:rFonts w:asciiTheme="minorEastAsia" w:eastAsiaTheme="minorEastAsia" w:hAnsiTheme="minorEastAsia"/>
                            <w:spacing w:val="-20"/>
                            <w:sz w:val="18"/>
                            <w:szCs w:val="18"/>
                          </w:rPr>
                        </w:pPr>
                      </w:p>
                    </w:tc>
                  </w:sdtContent>
                </w:sdt>
                <w:sdt>
                  <w:sdtPr>
                    <w:rPr>
                      <w:spacing w:val="-20"/>
                      <w:sz w:val="18"/>
                    </w:rPr>
                    <w:alias w:val="4.对其他权益工具持有者的分配资本公积"/>
                    <w:tag w:val="_GBC_f56cbb84475640f9897d0110abb76a6e"/>
                    <w:id w:val="1419137300"/>
                    <w:lock w:val="sdtLocked"/>
                  </w:sdtPr>
                  <w:sdtEndPr/>
                  <w:sdtContent>
                    <w:tc>
                      <w:tcPr>
                        <w:tcW w:w="305" w:type="pct"/>
                        <w:vAlign w:val="center"/>
                      </w:tcPr>
                      <w:p w14:paraId="0FE061C5" w14:textId="77777777" w:rsidR="007E7472" w:rsidRDefault="00C8327E">
                        <w:pPr>
                          <w:jc w:val="right"/>
                          <w:rPr>
                            <w:rFonts w:asciiTheme="minorEastAsia" w:eastAsiaTheme="minorEastAsia" w:hAnsiTheme="minorEastAsia"/>
                            <w:spacing w:val="-20"/>
                            <w:sz w:val="18"/>
                            <w:szCs w:val="18"/>
                          </w:rPr>
                        </w:pPr>
                      </w:p>
                    </w:tc>
                  </w:sdtContent>
                </w:sdt>
                <w:sdt>
                  <w:sdtPr>
                    <w:rPr>
                      <w:spacing w:val="-20"/>
                      <w:sz w:val="18"/>
                    </w:rPr>
                    <w:alias w:val="4.对其他权益工具持有者的分配减：库存股"/>
                    <w:tag w:val="_GBC_7ee4ddf493c54dca87832a189d8f3d87"/>
                    <w:id w:val="-1036421225"/>
                    <w:lock w:val="sdtLocked"/>
                  </w:sdtPr>
                  <w:sdtEndPr/>
                  <w:sdtContent>
                    <w:tc>
                      <w:tcPr>
                        <w:tcW w:w="255" w:type="pct"/>
                        <w:vAlign w:val="center"/>
                      </w:tcPr>
                      <w:p w14:paraId="2E137F8F" w14:textId="77777777" w:rsidR="007E7472" w:rsidRDefault="00C8327E">
                        <w:pPr>
                          <w:jc w:val="right"/>
                          <w:rPr>
                            <w:rFonts w:asciiTheme="minorEastAsia" w:eastAsiaTheme="minorEastAsia" w:hAnsiTheme="minorEastAsia"/>
                            <w:spacing w:val="-20"/>
                            <w:sz w:val="18"/>
                            <w:szCs w:val="18"/>
                          </w:rPr>
                        </w:pPr>
                      </w:p>
                    </w:tc>
                  </w:sdtContent>
                </w:sdt>
                <w:sdt>
                  <w:sdtPr>
                    <w:rPr>
                      <w:spacing w:val="-20"/>
                      <w:sz w:val="18"/>
                    </w:rPr>
                    <w:alias w:val="4.对其他权益工具持有者的分配其他综合收益"/>
                    <w:tag w:val="_GBC_2d410d0a1da24c948bdcf84c9df9efd6"/>
                    <w:id w:val="944418588"/>
                    <w:lock w:val="sdtLocked"/>
                  </w:sdtPr>
                  <w:sdtEndPr/>
                  <w:sdtContent>
                    <w:tc>
                      <w:tcPr>
                        <w:tcW w:w="359" w:type="pct"/>
                        <w:vAlign w:val="center"/>
                      </w:tcPr>
                      <w:p w14:paraId="3D11653E" w14:textId="77777777" w:rsidR="007E7472" w:rsidRDefault="00C8327E">
                        <w:pPr>
                          <w:jc w:val="right"/>
                          <w:rPr>
                            <w:rFonts w:asciiTheme="minorEastAsia" w:eastAsiaTheme="minorEastAsia" w:hAnsiTheme="minorEastAsia"/>
                            <w:spacing w:val="-20"/>
                            <w:sz w:val="18"/>
                            <w:szCs w:val="18"/>
                          </w:rPr>
                        </w:pPr>
                      </w:p>
                    </w:tc>
                  </w:sdtContent>
                </w:sdt>
                <w:sdt>
                  <w:sdtPr>
                    <w:rPr>
                      <w:spacing w:val="-20"/>
                      <w:sz w:val="18"/>
                    </w:rPr>
                    <w:alias w:val="4.对其他权益工具持有者的分配专项储备"/>
                    <w:tag w:val="_GBC_8d0c05d745cf428d9b774d6bd6b87abd"/>
                    <w:id w:val="614561651"/>
                    <w:lock w:val="sdtLocked"/>
                  </w:sdtPr>
                  <w:sdtEndPr/>
                  <w:sdtContent>
                    <w:tc>
                      <w:tcPr>
                        <w:tcW w:w="252" w:type="pct"/>
                        <w:vAlign w:val="center"/>
                      </w:tcPr>
                      <w:p w14:paraId="5F65E2A0" w14:textId="77777777" w:rsidR="007E7472" w:rsidRDefault="00C8327E">
                        <w:pPr>
                          <w:jc w:val="right"/>
                          <w:rPr>
                            <w:rFonts w:asciiTheme="minorEastAsia" w:eastAsiaTheme="minorEastAsia" w:hAnsiTheme="minorEastAsia"/>
                            <w:spacing w:val="-20"/>
                            <w:sz w:val="18"/>
                            <w:szCs w:val="18"/>
                          </w:rPr>
                        </w:pPr>
                      </w:p>
                    </w:tc>
                  </w:sdtContent>
                </w:sdt>
                <w:sdt>
                  <w:sdtPr>
                    <w:rPr>
                      <w:spacing w:val="-20"/>
                      <w:sz w:val="18"/>
                    </w:rPr>
                    <w:alias w:val="4.对其他权益工具持有者的分配盈余公积"/>
                    <w:tag w:val="_GBC_63325c1280284abfab5bfbfe30e4d04d"/>
                    <w:id w:val="-1050450551"/>
                    <w:lock w:val="sdtLocked"/>
                  </w:sdtPr>
                  <w:sdtEndPr/>
                  <w:sdtContent>
                    <w:tc>
                      <w:tcPr>
                        <w:tcW w:w="255" w:type="pct"/>
                        <w:vAlign w:val="center"/>
                      </w:tcPr>
                      <w:p w14:paraId="62B3EB91" w14:textId="77777777" w:rsidR="007E7472" w:rsidRDefault="00C8327E">
                        <w:pPr>
                          <w:jc w:val="right"/>
                          <w:rPr>
                            <w:rFonts w:asciiTheme="minorEastAsia" w:eastAsiaTheme="minorEastAsia" w:hAnsiTheme="minorEastAsia"/>
                            <w:spacing w:val="-20"/>
                            <w:sz w:val="18"/>
                            <w:szCs w:val="18"/>
                          </w:rPr>
                        </w:pPr>
                      </w:p>
                    </w:tc>
                  </w:sdtContent>
                </w:sdt>
                <w:sdt>
                  <w:sdtPr>
                    <w:rPr>
                      <w:spacing w:val="-20"/>
                      <w:sz w:val="18"/>
                    </w:rPr>
                    <w:alias w:val="4.对其他权益工具持有者的分配一般风险准备"/>
                    <w:tag w:val="_GBC_0b59135e13154927b2cca55817e8747d"/>
                    <w:id w:val="-1056084755"/>
                    <w:lock w:val="sdtLocked"/>
                  </w:sdtPr>
                  <w:sdtEndPr/>
                  <w:sdtContent>
                    <w:tc>
                      <w:tcPr>
                        <w:tcW w:w="210" w:type="pct"/>
                        <w:vAlign w:val="center"/>
                      </w:tcPr>
                      <w:p w14:paraId="2B60F28B" w14:textId="77777777" w:rsidR="007E7472" w:rsidRDefault="00C8327E">
                        <w:pPr>
                          <w:jc w:val="right"/>
                          <w:rPr>
                            <w:rFonts w:asciiTheme="minorEastAsia" w:eastAsiaTheme="minorEastAsia" w:hAnsiTheme="minorEastAsia"/>
                            <w:spacing w:val="-20"/>
                            <w:sz w:val="18"/>
                            <w:szCs w:val="18"/>
                          </w:rPr>
                        </w:pPr>
                      </w:p>
                    </w:tc>
                  </w:sdtContent>
                </w:sdt>
                <w:sdt>
                  <w:sdtPr>
                    <w:rPr>
                      <w:spacing w:val="-20"/>
                      <w:sz w:val="18"/>
                    </w:rPr>
                    <w:alias w:val="4.对其他权益工具持有者的分配未分配利润"/>
                    <w:tag w:val="_GBC_74b26e32629b49dc851c276e95582d8a"/>
                    <w:id w:val="741612785"/>
                    <w:lock w:val="sdtLocked"/>
                  </w:sdtPr>
                  <w:sdtEndPr/>
                  <w:sdtContent>
                    <w:tc>
                      <w:tcPr>
                        <w:tcW w:w="330" w:type="pct"/>
                        <w:vAlign w:val="center"/>
                      </w:tcPr>
                      <w:p w14:paraId="4145824E" w14:textId="77777777" w:rsidR="007E7472" w:rsidRDefault="00C8327E">
                        <w:pPr>
                          <w:jc w:val="right"/>
                          <w:rPr>
                            <w:rFonts w:asciiTheme="minorEastAsia" w:eastAsiaTheme="minorEastAsia" w:hAnsiTheme="minorEastAsia"/>
                            <w:spacing w:val="-20"/>
                            <w:sz w:val="18"/>
                            <w:szCs w:val="18"/>
                          </w:rPr>
                        </w:pPr>
                      </w:p>
                    </w:tc>
                  </w:sdtContent>
                </w:sdt>
                <w:sdt>
                  <w:sdtPr>
                    <w:rPr>
                      <w:spacing w:val="-20"/>
                      <w:sz w:val="18"/>
                    </w:rPr>
                    <w:alias w:val="4.对其他权益工具持有者的分配其他"/>
                    <w:tag w:val="_GBC_9429bcb3f25e4a5781155df154853661"/>
                    <w:id w:val="-1893953635"/>
                    <w:lock w:val="sdtLocked"/>
                  </w:sdtPr>
                  <w:sdtEndPr/>
                  <w:sdtContent>
                    <w:tc>
                      <w:tcPr>
                        <w:tcW w:w="279" w:type="pct"/>
                        <w:vAlign w:val="center"/>
                      </w:tcPr>
                      <w:p w14:paraId="22A4D2F0" w14:textId="77777777" w:rsidR="007E7472" w:rsidRDefault="00C8327E">
                        <w:pPr>
                          <w:jc w:val="right"/>
                          <w:rPr>
                            <w:rFonts w:asciiTheme="minorEastAsia" w:eastAsiaTheme="minorEastAsia" w:hAnsiTheme="minorEastAsia"/>
                            <w:spacing w:val="-20"/>
                            <w:sz w:val="18"/>
                            <w:szCs w:val="18"/>
                          </w:rPr>
                        </w:pPr>
                      </w:p>
                    </w:tc>
                  </w:sdtContent>
                </w:sdt>
                <w:sdt>
                  <w:sdtPr>
                    <w:rPr>
                      <w:spacing w:val="-20"/>
                      <w:sz w:val="18"/>
                    </w:rPr>
                    <w:alias w:val="4.对其他权益工具持有者的分配小计"/>
                    <w:tag w:val="_GBC_685c3461593248f7ac1a8d8e57ca719e"/>
                    <w:id w:val="-627240011"/>
                    <w:lock w:val="sdtLocked"/>
                  </w:sdtPr>
                  <w:sdtEndPr/>
                  <w:sdtContent>
                    <w:tc>
                      <w:tcPr>
                        <w:tcW w:w="331" w:type="pct"/>
                        <w:vAlign w:val="center"/>
                      </w:tcPr>
                      <w:p w14:paraId="283D0A8B" w14:textId="77777777" w:rsidR="007E7472" w:rsidRDefault="00EC1269">
                        <w:pPr>
                          <w:jc w:val="right"/>
                          <w:rPr>
                            <w:rFonts w:asciiTheme="minorEastAsia" w:eastAsiaTheme="minorEastAsia" w:hAnsiTheme="minorEastAsia"/>
                            <w:spacing w:val="-20"/>
                            <w:sz w:val="18"/>
                            <w:szCs w:val="18"/>
                          </w:rPr>
                        </w:pPr>
                        <w:r>
                          <w:rPr>
                            <w:spacing w:val="-20"/>
                            <w:sz w:val="18"/>
                          </w:rPr>
                          <w:t>-213,030</w:t>
                        </w:r>
                      </w:p>
                    </w:tc>
                  </w:sdtContent>
                </w:sdt>
                <w:sdt>
                  <w:sdtPr>
                    <w:rPr>
                      <w:spacing w:val="-20"/>
                      <w:sz w:val="18"/>
                    </w:rPr>
                    <w:alias w:val="4.对其他权益工具持有者的分配少数股东权益"/>
                    <w:tag w:val="_GBC_db6fbd8713404203b5771aa0ebe93f1b"/>
                    <w:id w:val="1411815522"/>
                    <w:lock w:val="sdtLocked"/>
                  </w:sdtPr>
                  <w:sdtEndPr/>
                  <w:sdtContent>
                    <w:tc>
                      <w:tcPr>
                        <w:tcW w:w="330" w:type="pct"/>
                        <w:vAlign w:val="center"/>
                      </w:tcPr>
                      <w:p w14:paraId="48CA49AB" w14:textId="77777777" w:rsidR="007E7472" w:rsidRDefault="00C8327E">
                        <w:pPr>
                          <w:jc w:val="right"/>
                          <w:rPr>
                            <w:rFonts w:asciiTheme="minorEastAsia" w:eastAsiaTheme="minorEastAsia" w:hAnsiTheme="minorEastAsia"/>
                            <w:spacing w:val="-20"/>
                            <w:sz w:val="18"/>
                            <w:szCs w:val="18"/>
                          </w:rPr>
                        </w:pPr>
                      </w:p>
                    </w:tc>
                  </w:sdtContent>
                </w:sdt>
                <w:sdt>
                  <w:sdtPr>
                    <w:rPr>
                      <w:spacing w:val="-20"/>
                      <w:sz w:val="18"/>
                    </w:rPr>
                    <w:alias w:val="4.对其他权益工具持有者的分配所有者权益合计"/>
                    <w:tag w:val="_GBC_e3f524c43eee42788d679db383a211a0"/>
                    <w:id w:val="1215689927"/>
                    <w:lock w:val="sdtLocked"/>
                  </w:sdtPr>
                  <w:sdtEndPr/>
                  <w:sdtContent>
                    <w:tc>
                      <w:tcPr>
                        <w:tcW w:w="356" w:type="pct"/>
                        <w:vAlign w:val="center"/>
                      </w:tcPr>
                      <w:p w14:paraId="1378F06D" w14:textId="77777777" w:rsidR="007E7472" w:rsidRDefault="00EC1269">
                        <w:pPr>
                          <w:jc w:val="right"/>
                          <w:rPr>
                            <w:rFonts w:asciiTheme="minorEastAsia" w:eastAsiaTheme="minorEastAsia" w:hAnsiTheme="minorEastAsia"/>
                            <w:spacing w:val="-20"/>
                            <w:sz w:val="18"/>
                            <w:szCs w:val="18"/>
                          </w:rPr>
                        </w:pPr>
                        <w:r>
                          <w:rPr>
                            <w:spacing w:val="-20"/>
                            <w:sz w:val="18"/>
                          </w:rPr>
                          <w:t>-213,030</w:t>
                        </w:r>
                      </w:p>
                    </w:tc>
                  </w:sdtContent>
                </w:sdt>
              </w:tr>
              <w:tr w:rsidR="007E7472" w14:paraId="6B71A591" w14:textId="77777777">
                <w:sdt>
                  <w:sdtPr>
                    <w:tag w:val="_PLD_f3206f8cddd54371b8a1b220dc836af8"/>
                    <w:id w:val="-714505724"/>
                    <w:lock w:val="sdtLocked"/>
                  </w:sdtPr>
                  <w:sdtEndPr/>
                  <w:sdtContent>
                    <w:tc>
                      <w:tcPr>
                        <w:tcW w:w="628" w:type="pct"/>
                      </w:tcPr>
                      <w:p w14:paraId="6A3E1B3B" w14:textId="77777777" w:rsidR="007E7472" w:rsidRDefault="00EC1269">
                        <w:pPr>
                          <w:rPr>
                            <w:sz w:val="18"/>
                            <w:szCs w:val="18"/>
                          </w:rPr>
                        </w:pPr>
                        <w:r>
                          <w:rPr>
                            <w:sz w:val="18"/>
                            <w:szCs w:val="18"/>
                          </w:rPr>
                          <w:t>5．其他</w:t>
                        </w:r>
                      </w:p>
                    </w:tc>
                  </w:sdtContent>
                </w:sdt>
                <w:tc>
                  <w:tcPr>
                    <w:tcW w:w="305" w:type="pct"/>
                    <w:vAlign w:val="center"/>
                  </w:tcPr>
                  <w:p w14:paraId="6BA79F11" w14:textId="77777777" w:rsidR="007E7472" w:rsidRDefault="00C8327E">
                    <w:pPr>
                      <w:jc w:val="right"/>
                      <w:rPr>
                        <w:rFonts w:asciiTheme="minorEastAsia" w:eastAsiaTheme="minorEastAsia" w:hAnsiTheme="minorEastAsia"/>
                        <w:spacing w:val="-20"/>
                        <w:sz w:val="18"/>
                        <w:szCs w:val="18"/>
                      </w:rPr>
                    </w:pPr>
                  </w:p>
                </w:tc>
                <w:tc>
                  <w:tcPr>
                    <w:tcW w:w="237" w:type="pct"/>
                    <w:vAlign w:val="center"/>
                  </w:tcPr>
                  <w:p w14:paraId="188E39F4"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2351F2F9" w14:textId="77777777" w:rsidR="007E7472" w:rsidRDefault="00C8327E">
                    <w:pPr>
                      <w:jc w:val="right"/>
                      <w:rPr>
                        <w:rFonts w:asciiTheme="minorEastAsia" w:eastAsiaTheme="minorEastAsia" w:hAnsiTheme="minorEastAsia"/>
                        <w:spacing w:val="-20"/>
                        <w:sz w:val="18"/>
                        <w:szCs w:val="18"/>
                      </w:rPr>
                    </w:pPr>
                  </w:p>
                </w:tc>
                <w:tc>
                  <w:tcPr>
                    <w:tcW w:w="239" w:type="pct"/>
                    <w:vAlign w:val="center"/>
                  </w:tcPr>
                  <w:p w14:paraId="19E3102D" w14:textId="77777777" w:rsidR="007E7472" w:rsidRDefault="00C8327E">
                    <w:pPr>
                      <w:jc w:val="right"/>
                      <w:rPr>
                        <w:rFonts w:asciiTheme="minorEastAsia" w:eastAsiaTheme="minorEastAsia" w:hAnsiTheme="minorEastAsia"/>
                        <w:spacing w:val="-20"/>
                        <w:sz w:val="18"/>
                        <w:szCs w:val="18"/>
                      </w:rPr>
                    </w:pPr>
                  </w:p>
                </w:tc>
                <w:tc>
                  <w:tcPr>
                    <w:tcW w:w="305" w:type="pct"/>
                    <w:vAlign w:val="center"/>
                  </w:tcPr>
                  <w:p w14:paraId="36F06065" w14:textId="77777777" w:rsidR="007E7472" w:rsidRDefault="00C8327E">
                    <w:pPr>
                      <w:jc w:val="right"/>
                      <w:rPr>
                        <w:rFonts w:asciiTheme="minorEastAsia" w:eastAsiaTheme="minorEastAsia" w:hAnsiTheme="minorEastAsia"/>
                        <w:spacing w:val="-20"/>
                        <w:sz w:val="18"/>
                        <w:szCs w:val="18"/>
                      </w:rPr>
                    </w:pPr>
                  </w:p>
                </w:tc>
                <w:tc>
                  <w:tcPr>
                    <w:tcW w:w="255" w:type="pct"/>
                    <w:vAlign w:val="center"/>
                  </w:tcPr>
                  <w:p w14:paraId="3EAED88F" w14:textId="77777777" w:rsidR="007E7472" w:rsidRDefault="00C8327E">
                    <w:pPr>
                      <w:jc w:val="right"/>
                      <w:rPr>
                        <w:rFonts w:asciiTheme="minorEastAsia" w:eastAsiaTheme="minorEastAsia" w:hAnsiTheme="minorEastAsia"/>
                        <w:spacing w:val="-20"/>
                        <w:sz w:val="18"/>
                        <w:szCs w:val="18"/>
                      </w:rPr>
                    </w:pPr>
                  </w:p>
                </w:tc>
                <w:tc>
                  <w:tcPr>
                    <w:tcW w:w="359" w:type="pct"/>
                    <w:vAlign w:val="center"/>
                  </w:tcPr>
                  <w:p w14:paraId="54B6C5EE" w14:textId="77777777" w:rsidR="007E7472" w:rsidRDefault="00C8327E">
                    <w:pPr>
                      <w:jc w:val="right"/>
                      <w:rPr>
                        <w:rFonts w:asciiTheme="minorEastAsia" w:eastAsiaTheme="minorEastAsia" w:hAnsiTheme="minorEastAsia"/>
                        <w:spacing w:val="-20"/>
                        <w:sz w:val="18"/>
                        <w:szCs w:val="18"/>
                      </w:rPr>
                    </w:pPr>
                  </w:p>
                </w:tc>
                <w:tc>
                  <w:tcPr>
                    <w:tcW w:w="252" w:type="pct"/>
                    <w:vAlign w:val="center"/>
                  </w:tcPr>
                  <w:p w14:paraId="02D42F74" w14:textId="77777777" w:rsidR="007E7472" w:rsidRDefault="00C8327E">
                    <w:pPr>
                      <w:jc w:val="right"/>
                      <w:rPr>
                        <w:rFonts w:asciiTheme="minorEastAsia" w:eastAsiaTheme="minorEastAsia" w:hAnsiTheme="minorEastAsia"/>
                        <w:spacing w:val="-20"/>
                        <w:sz w:val="18"/>
                        <w:szCs w:val="18"/>
                      </w:rPr>
                    </w:pPr>
                  </w:p>
                </w:tc>
                <w:tc>
                  <w:tcPr>
                    <w:tcW w:w="255" w:type="pct"/>
                    <w:vAlign w:val="center"/>
                  </w:tcPr>
                  <w:p w14:paraId="212D2F83" w14:textId="77777777" w:rsidR="007E7472" w:rsidRDefault="00C8327E">
                    <w:pPr>
                      <w:jc w:val="right"/>
                      <w:rPr>
                        <w:rFonts w:asciiTheme="minorEastAsia" w:eastAsiaTheme="minorEastAsia" w:hAnsiTheme="minorEastAsia"/>
                        <w:spacing w:val="-20"/>
                        <w:sz w:val="18"/>
                        <w:szCs w:val="18"/>
                      </w:rPr>
                    </w:pPr>
                  </w:p>
                </w:tc>
                <w:tc>
                  <w:tcPr>
                    <w:tcW w:w="210" w:type="pct"/>
                    <w:vAlign w:val="center"/>
                  </w:tcPr>
                  <w:p w14:paraId="5D847B2C"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3E763BDF" w14:textId="77777777" w:rsidR="007E7472" w:rsidRDefault="00C8327E">
                    <w:pPr>
                      <w:jc w:val="right"/>
                      <w:rPr>
                        <w:rFonts w:asciiTheme="minorEastAsia" w:eastAsiaTheme="minorEastAsia" w:hAnsiTheme="minorEastAsia"/>
                        <w:spacing w:val="-20"/>
                        <w:sz w:val="18"/>
                        <w:szCs w:val="18"/>
                      </w:rPr>
                    </w:pPr>
                  </w:p>
                </w:tc>
                <w:tc>
                  <w:tcPr>
                    <w:tcW w:w="279" w:type="pct"/>
                    <w:vAlign w:val="center"/>
                  </w:tcPr>
                  <w:p w14:paraId="58E3C1A3" w14:textId="77777777" w:rsidR="007E7472" w:rsidRDefault="00C8327E">
                    <w:pPr>
                      <w:jc w:val="right"/>
                      <w:rPr>
                        <w:rFonts w:asciiTheme="minorEastAsia" w:eastAsiaTheme="minorEastAsia" w:hAnsiTheme="minorEastAsia"/>
                        <w:spacing w:val="-20"/>
                        <w:sz w:val="18"/>
                        <w:szCs w:val="18"/>
                      </w:rPr>
                    </w:pPr>
                  </w:p>
                </w:tc>
                <w:tc>
                  <w:tcPr>
                    <w:tcW w:w="331" w:type="pct"/>
                    <w:vAlign w:val="center"/>
                  </w:tcPr>
                  <w:p w14:paraId="34886C12"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70A6D0EB" w14:textId="77777777" w:rsidR="007E7472" w:rsidRDefault="00C8327E">
                    <w:pPr>
                      <w:jc w:val="right"/>
                      <w:rPr>
                        <w:rFonts w:asciiTheme="minorEastAsia" w:eastAsiaTheme="minorEastAsia" w:hAnsiTheme="minorEastAsia"/>
                        <w:spacing w:val="-20"/>
                        <w:sz w:val="18"/>
                        <w:szCs w:val="18"/>
                      </w:rPr>
                    </w:pPr>
                  </w:p>
                </w:tc>
                <w:tc>
                  <w:tcPr>
                    <w:tcW w:w="356" w:type="pct"/>
                    <w:vAlign w:val="center"/>
                  </w:tcPr>
                  <w:p w14:paraId="4AA9B42B" w14:textId="77777777" w:rsidR="007E7472" w:rsidRDefault="00C8327E">
                    <w:pPr>
                      <w:jc w:val="right"/>
                      <w:rPr>
                        <w:rFonts w:asciiTheme="minorEastAsia" w:eastAsiaTheme="minorEastAsia" w:hAnsiTheme="minorEastAsia"/>
                        <w:spacing w:val="-20"/>
                        <w:sz w:val="18"/>
                        <w:szCs w:val="18"/>
                      </w:rPr>
                    </w:pPr>
                  </w:p>
                </w:tc>
              </w:tr>
              <w:tr w:rsidR="007E7472" w14:paraId="7057187F" w14:textId="77777777">
                <w:sdt>
                  <w:sdtPr>
                    <w:tag w:val="_PLD_c0c9652bd3724ad8b729d3650a0840d4"/>
                    <w:id w:val="914056158"/>
                    <w:lock w:val="sdtLocked"/>
                  </w:sdtPr>
                  <w:sdtEndPr/>
                  <w:sdtContent>
                    <w:tc>
                      <w:tcPr>
                        <w:tcW w:w="628" w:type="pct"/>
                      </w:tcPr>
                      <w:p w14:paraId="01E9A49D" w14:textId="77777777" w:rsidR="007E7472" w:rsidRDefault="00EC1269">
                        <w:pPr>
                          <w:rPr>
                            <w:sz w:val="18"/>
                            <w:szCs w:val="18"/>
                          </w:rPr>
                        </w:pPr>
                        <w:r>
                          <w:rPr>
                            <w:sz w:val="18"/>
                            <w:szCs w:val="18"/>
                          </w:rPr>
                          <w:t>（</w:t>
                        </w:r>
                        <w:r>
                          <w:rPr>
                            <w:rFonts w:hint="eastAsia"/>
                            <w:sz w:val="18"/>
                            <w:szCs w:val="18"/>
                          </w:rPr>
                          <w:t>四</w:t>
                        </w:r>
                        <w:r>
                          <w:rPr>
                            <w:sz w:val="18"/>
                            <w:szCs w:val="18"/>
                          </w:rPr>
                          <w:t>）所有者权益内部结转</w:t>
                        </w:r>
                      </w:p>
                    </w:tc>
                  </w:sdtContent>
                </w:sdt>
                <w:tc>
                  <w:tcPr>
                    <w:tcW w:w="305" w:type="pct"/>
                    <w:vAlign w:val="center"/>
                  </w:tcPr>
                  <w:p w14:paraId="7B5CD51A" w14:textId="77777777" w:rsidR="007E7472" w:rsidRDefault="00C8327E">
                    <w:pPr>
                      <w:jc w:val="right"/>
                      <w:rPr>
                        <w:rFonts w:asciiTheme="minorEastAsia" w:eastAsiaTheme="minorEastAsia" w:hAnsiTheme="minorEastAsia"/>
                        <w:spacing w:val="-20"/>
                        <w:sz w:val="18"/>
                        <w:szCs w:val="18"/>
                      </w:rPr>
                    </w:pPr>
                  </w:p>
                </w:tc>
                <w:tc>
                  <w:tcPr>
                    <w:tcW w:w="237" w:type="pct"/>
                    <w:vAlign w:val="center"/>
                  </w:tcPr>
                  <w:p w14:paraId="33683DE2"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411AE630" w14:textId="77777777" w:rsidR="007E7472" w:rsidRDefault="00C8327E">
                    <w:pPr>
                      <w:jc w:val="right"/>
                      <w:rPr>
                        <w:rFonts w:asciiTheme="minorEastAsia" w:eastAsiaTheme="minorEastAsia" w:hAnsiTheme="minorEastAsia"/>
                        <w:spacing w:val="-20"/>
                        <w:sz w:val="18"/>
                        <w:szCs w:val="18"/>
                      </w:rPr>
                    </w:pPr>
                  </w:p>
                </w:tc>
                <w:tc>
                  <w:tcPr>
                    <w:tcW w:w="239" w:type="pct"/>
                    <w:vAlign w:val="center"/>
                  </w:tcPr>
                  <w:p w14:paraId="3FFD862C" w14:textId="77777777" w:rsidR="007E7472" w:rsidRDefault="00C8327E">
                    <w:pPr>
                      <w:jc w:val="right"/>
                      <w:rPr>
                        <w:rFonts w:asciiTheme="minorEastAsia" w:eastAsiaTheme="minorEastAsia" w:hAnsiTheme="minorEastAsia"/>
                        <w:spacing w:val="-20"/>
                        <w:sz w:val="18"/>
                        <w:szCs w:val="18"/>
                      </w:rPr>
                    </w:pPr>
                  </w:p>
                </w:tc>
                <w:tc>
                  <w:tcPr>
                    <w:tcW w:w="305" w:type="pct"/>
                    <w:vAlign w:val="center"/>
                  </w:tcPr>
                  <w:p w14:paraId="7C110B71" w14:textId="77777777" w:rsidR="007E7472" w:rsidRDefault="00C8327E">
                    <w:pPr>
                      <w:jc w:val="right"/>
                      <w:rPr>
                        <w:rFonts w:asciiTheme="minorEastAsia" w:eastAsiaTheme="minorEastAsia" w:hAnsiTheme="minorEastAsia"/>
                        <w:spacing w:val="-20"/>
                        <w:sz w:val="18"/>
                        <w:szCs w:val="18"/>
                      </w:rPr>
                    </w:pPr>
                  </w:p>
                </w:tc>
                <w:tc>
                  <w:tcPr>
                    <w:tcW w:w="255" w:type="pct"/>
                    <w:vAlign w:val="center"/>
                  </w:tcPr>
                  <w:p w14:paraId="34F0D680" w14:textId="77777777" w:rsidR="007E7472" w:rsidRDefault="00C8327E">
                    <w:pPr>
                      <w:jc w:val="right"/>
                      <w:rPr>
                        <w:rFonts w:asciiTheme="minorEastAsia" w:eastAsiaTheme="minorEastAsia" w:hAnsiTheme="minorEastAsia"/>
                        <w:spacing w:val="-20"/>
                        <w:sz w:val="18"/>
                        <w:szCs w:val="18"/>
                      </w:rPr>
                    </w:pPr>
                  </w:p>
                </w:tc>
                <w:tc>
                  <w:tcPr>
                    <w:tcW w:w="359" w:type="pct"/>
                    <w:vAlign w:val="center"/>
                  </w:tcPr>
                  <w:p w14:paraId="1661CE6F" w14:textId="77777777" w:rsidR="007E7472" w:rsidRDefault="00C8327E">
                    <w:pPr>
                      <w:jc w:val="right"/>
                      <w:rPr>
                        <w:rFonts w:asciiTheme="minorEastAsia" w:eastAsiaTheme="minorEastAsia" w:hAnsiTheme="minorEastAsia"/>
                        <w:spacing w:val="-20"/>
                        <w:sz w:val="18"/>
                        <w:szCs w:val="18"/>
                      </w:rPr>
                    </w:pPr>
                  </w:p>
                </w:tc>
                <w:tc>
                  <w:tcPr>
                    <w:tcW w:w="252" w:type="pct"/>
                    <w:vAlign w:val="center"/>
                  </w:tcPr>
                  <w:p w14:paraId="41393B4F" w14:textId="77777777" w:rsidR="007E7472" w:rsidRDefault="00C8327E">
                    <w:pPr>
                      <w:jc w:val="right"/>
                      <w:rPr>
                        <w:rFonts w:asciiTheme="minorEastAsia" w:eastAsiaTheme="minorEastAsia" w:hAnsiTheme="minorEastAsia"/>
                        <w:spacing w:val="-20"/>
                        <w:sz w:val="18"/>
                        <w:szCs w:val="18"/>
                      </w:rPr>
                    </w:pPr>
                  </w:p>
                </w:tc>
                <w:tc>
                  <w:tcPr>
                    <w:tcW w:w="255" w:type="pct"/>
                    <w:vAlign w:val="center"/>
                  </w:tcPr>
                  <w:p w14:paraId="4BA52E60" w14:textId="77777777" w:rsidR="007E7472" w:rsidRDefault="00C8327E">
                    <w:pPr>
                      <w:jc w:val="right"/>
                      <w:rPr>
                        <w:rFonts w:asciiTheme="minorEastAsia" w:eastAsiaTheme="minorEastAsia" w:hAnsiTheme="minorEastAsia"/>
                        <w:spacing w:val="-20"/>
                        <w:sz w:val="18"/>
                        <w:szCs w:val="18"/>
                      </w:rPr>
                    </w:pPr>
                  </w:p>
                </w:tc>
                <w:tc>
                  <w:tcPr>
                    <w:tcW w:w="210" w:type="pct"/>
                    <w:vAlign w:val="center"/>
                  </w:tcPr>
                  <w:p w14:paraId="1AF0E933"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272F1894" w14:textId="77777777" w:rsidR="007E7472" w:rsidRDefault="00C8327E">
                    <w:pPr>
                      <w:jc w:val="right"/>
                      <w:rPr>
                        <w:rFonts w:asciiTheme="minorEastAsia" w:eastAsiaTheme="minorEastAsia" w:hAnsiTheme="minorEastAsia"/>
                        <w:spacing w:val="-20"/>
                        <w:sz w:val="18"/>
                        <w:szCs w:val="18"/>
                      </w:rPr>
                    </w:pPr>
                  </w:p>
                </w:tc>
                <w:tc>
                  <w:tcPr>
                    <w:tcW w:w="279" w:type="pct"/>
                    <w:vAlign w:val="center"/>
                  </w:tcPr>
                  <w:p w14:paraId="54CEB171" w14:textId="77777777" w:rsidR="007E7472" w:rsidRDefault="00C8327E">
                    <w:pPr>
                      <w:jc w:val="right"/>
                      <w:rPr>
                        <w:rFonts w:asciiTheme="minorEastAsia" w:eastAsiaTheme="minorEastAsia" w:hAnsiTheme="minorEastAsia"/>
                        <w:spacing w:val="-20"/>
                        <w:sz w:val="18"/>
                        <w:szCs w:val="18"/>
                      </w:rPr>
                    </w:pPr>
                  </w:p>
                </w:tc>
                <w:tc>
                  <w:tcPr>
                    <w:tcW w:w="331" w:type="pct"/>
                    <w:vAlign w:val="center"/>
                  </w:tcPr>
                  <w:p w14:paraId="187A276D"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21473F3D" w14:textId="77777777" w:rsidR="007E7472" w:rsidRDefault="00C8327E">
                    <w:pPr>
                      <w:jc w:val="right"/>
                      <w:rPr>
                        <w:rFonts w:asciiTheme="minorEastAsia" w:eastAsiaTheme="minorEastAsia" w:hAnsiTheme="minorEastAsia"/>
                        <w:spacing w:val="-20"/>
                        <w:sz w:val="18"/>
                        <w:szCs w:val="18"/>
                      </w:rPr>
                    </w:pPr>
                  </w:p>
                </w:tc>
                <w:tc>
                  <w:tcPr>
                    <w:tcW w:w="356" w:type="pct"/>
                    <w:vAlign w:val="center"/>
                  </w:tcPr>
                  <w:p w14:paraId="4551DB4E" w14:textId="77777777" w:rsidR="007E7472" w:rsidRDefault="00C8327E">
                    <w:pPr>
                      <w:jc w:val="right"/>
                      <w:rPr>
                        <w:rFonts w:asciiTheme="minorEastAsia" w:eastAsiaTheme="minorEastAsia" w:hAnsiTheme="minorEastAsia"/>
                        <w:spacing w:val="-20"/>
                        <w:sz w:val="18"/>
                        <w:szCs w:val="18"/>
                      </w:rPr>
                    </w:pPr>
                  </w:p>
                </w:tc>
              </w:tr>
              <w:tr w:rsidR="007E7472" w14:paraId="04AFBB4B" w14:textId="77777777">
                <w:sdt>
                  <w:sdtPr>
                    <w:tag w:val="_PLD_469a000ac571436189f1cb682bbe4ce7"/>
                    <w:id w:val="-1540198735"/>
                    <w:lock w:val="sdtLocked"/>
                  </w:sdtPr>
                  <w:sdtEndPr/>
                  <w:sdtContent>
                    <w:tc>
                      <w:tcPr>
                        <w:tcW w:w="628" w:type="pct"/>
                      </w:tcPr>
                      <w:p w14:paraId="5853C62F" w14:textId="77777777" w:rsidR="007E7472" w:rsidRDefault="00EC1269">
                        <w:pPr>
                          <w:rPr>
                            <w:sz w:val="18"/>
                            <w:szCs w:val="18"/>
                          </w:rPr>
                        </w:pPr>
                        <w:r>
                          <w:rPr>
                            <w:sz w:val="18"/>
                            <w:szCs w:val="18"/>
                          </w:rPr>
                          <w:t>1．资本公积转增资本（或股本）</w:t>
                        </w:r>
                      </w:p>
                    </w:tc>
                  </w:sdtContent>
                </w:sdt>
                <w:tc>
                  <w:tcPr>
                    <w:tcW w:w="305" w:type="pct"/>
                    <w:vAlign w:val="center"/>
                  </w:tcPr>
                  <w:p w14:paraId="20E6D144" w14:textId="77777777" w:rsidR="007E7472" w:rsidRDefault="00C8327E">
                    <w:pPr>
                      <w:jc w:val="right"/>
                      <w:rPr>
                        <w:rFonts w:asciiTheme="minorEastAsia" w:eastAsiaTheme="minorEastAsia" w:hAnsiTheme="minorEastAsia"/>
                        <w:spacing w:val="-20"/>
                        <w:sz w:val="18"/>
                        <w:szCs w:val="18"/>
                      </w:rPr>
                    </w:pPr>
                  </w:p>
                </w:tc>
                <w:tc>
                  <w:tcPr>
                    <w:tcW w:w="237" w:type="pct"/>
                    <w:vAlign w:val="center"/>
                  </w:tcPr>
                  <w:p w14:paraId="51F6EF86"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094FCF02" w14:textId="77777777" w:rsidR="007E7472" w:rsidRDefault="00C8327E">
                    <w:pPr>
                      <w:jc w:val="right"/>
                      <w:rPr>
                        <w:rFonts w:asciiTheme="minorEastAsia" w:eastAsiaTheme="minorEastAsia" w:hAnsiTheme="minorEastAsia"/>
                        <w:spacing w:val="-20"/>
                        <w:sz w:val="18"/>
                        <w:szCs w:val="18"/>
                      </w:rPr>
                    </w:pPr>
                  </w:p>
                </w:tc>
                <w:tc>
                  <w:tcPr>
                    <w:tcW w:w="239" w:type="pct"/>
                    <w:vAlign w:val="center"/>
                  </w:tcPr>
                  <w:p w14:paraId="55C545B5" w14:textId="77777777" w:rsidR="007E7472" w:rsidRDefault="00C8327E">
                    <w:pPr>
                      <w:jc w:val="right"/>
                      <w:rPr>
                        <w:rFonts w:asciiTheme="minorEastAsia" w:eastAsiaTheme="minorEastAsia" w:hAnsiTheme="minorEastAsia"/>
                        <w:spacing w:val="-20"/>
                        <w:sz w:val="18"/>
                        <w:szCs w:val="18"/>
                      </w:rPr>
                    </w:pPr>
                  </w:p>
                </w:tc>
                <w:tc>
                  <w:tcPr>
                    <w:tcW w:w="305" w:type="pct"/>
                    <w:vAlign w:val="center"/>
                  </w:tcPr>
                  <w:p w14:paraId="0C10239F" w14:textId="77777777" w:rsidR="007E7472" w:rsidRDefault="00C8327E">
                    <w:pPr>
                      <w:jc w:val="right"/>
                      <w:rPr>
                        <w:rFonts w:asciiTheme="minorEastAsia" w:eastAsiaTheme="minorEastAsia" w:hAnsiTheme="minorEastAsia"/>
                        <w:spacing w:val="-20"/>
                        <w:sz w:val="18"/>
                        <w:szCs w:val="18"/>
                      </w:rPr>
                    </w:pPr>
                  </w:p>
                </w:tc>
                <w:tc>
                  <w:tcPr>
                    <w:tcW w:w="255" w:type="pct"/>
                    <w:vAlign w:val="center"/>
                  </w:tcPr>
                  <w:p w14:paraId="62334FB2" w14:textId="77777777" w:rsidR="007E7472" w:rsidRDefault="00C8327E">
                    <w:pPr>
                      <w:jc w:val="right"/>
                      <w:rPr>
                        <w:rFonts w:asciiTheme="minorEastAsia" w:eastAsiaTheme="minorEastAsia" w:hAnsiTheme="minorEastAsia"/>
                        <w:spacing w:val="-20"/>
                        <w:sz w:val="18"/>
                        <w:szCs w:val="18"/>
                      </w:rPr>
                    </w:pPr>
                  </w:p>
                </w:tc>
                <w:tc>
                  <w:tcPr>
                    <w:tcW w:w="359" w:type="pct"/>
                    <w:vAlign w:val="center"/>
                  </w:tcPr>
                  <w:p w14:paraId="65853DB2" w14:textId="77777777" w:rsidR="007E7472" w:rsidRDefault="00C8327E">
                    <w:pPr>
                      <w:jc w:val="right"/>
                      <w:rPr>
                        <w:rFonts w:asciiTheme="minorEastAsia" w:eastAsiaTheme="minorEastAsia" w:hAnsiTheme="minorEastAsia"/>
                        <w:spacing w:val="-20"/>
                        <w:sz w:val="18"/>
                        <w:szCs w:val="18"/>
                      </w:rPr>
                    </w:pPr>
                  </w:p>
                </w:tc>
                <w:tc>
                  <w:tcPr>
                    <w:tcW w:w="252" w:type="pct"/>
                    <w:vAlign w:val="center"/>
                  </w:tcPr>
                  <w:p w14:paraId="439CD44B" w14:textId="77777777" w:rsidR="007E7472" w:rsidRDefault="00C8327E">
                    <w:pPr>
                      <w:jc w:val="right"/>
                      <w:rPr>
                        <w:rFonts w:asciiTheme="minorEastAsia" w:eastAsiaTheme="minorEastAsia" w:hAnsiTheme="minorEastAsia"/>
                        <w:spacing w:val="-20"/>
                        <w:sz w:val="18"/>
                        <w:szCs w:val="18"/>
                      </w:rPr>
                    </w:pPr>
                  </w:p>
                </w:tc>
                <w:tc>
                  <w:tcPr>
                    <w:tcW w:w="255" w:type="pct"/>
                    <w:vAlign w:val="center"/>
                  </w:tcPr>
                  <w:p w14:paraId="72891A09" w14:textId="77777777" w:rsidR="007E7472" w:rsidRDefault="00C8327E">
                    <w:pPr>
                      <w:jc w:val="right"/>
                      <w:rPr>
                        <w:rFonts w:asciiTheme="minorEastAsia" w:eastAsiaTheme="minorEastAsia" w:hAnsiTheme="minorEastAsia"/>
                        <w:spacing w:val="-20"/>
                        <w:sz w:val="18"/>
                        <w:szCs w:val="18"/>
                      </w:rPr>
                    </w:pPr>
                  </w:p>
                </w:tc>
                <w:tc>
                  <w:tcPr>
                    <w:tcW w:w="210" w:type="pct"/>
                    <w:vAlign w:val="center"/>
                  </w:tcPr>
                  <w:p w14:paraId="10B8AE7A"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180A44AE" w14:textId="77777777" w:rsidR="007E7472" w:rsidRDefault="00C8327E">
                    <w:pPr>
                      <w:jc w:val="right"/>
                      <w:rPr>
                        <w:rFonts w:asciiTheme="minorEastAsia" w:eastAsiaTheme="minorEastAsia" w:hAnsiTheme="minorEastAsia"/>
                        <w:spacing w:val="-20"/>
                        <w:sz w:val="18"/>
                        <w:szCs w:val="18"/>
                      </w:rPr>
                    </w:pPr>
                  </w:p>
                </w:tc>
                <w:tc>
                  <w:tcPr>
                    <w:tcW w:w="279" w:type="pct"/>
                    <w:vAlign w:val="center"/>
                  </w:tcPr>
                  <w:p w14:paraId="5CF99031" w14:textId="77777777" w:rsidR="007E7472" w:rsidRDefault="00C8327E">
                    <w:pPr>
                      <w:jc w:val="right"/>
                      <w:rPr>
                        <w:rFonts w:asciiTheme="minorEastAsia" w:eastAsiaTheme="minorEastAsia" w:hAnsiTheme="minorEastAsia"/>
                        <w:spacing w:val="-20"/>
                        <w:sz w:val="18"/>
                        <w:szCs w:val="18"/>
                      </w:rPr>
                    </w:pPr>
                  </w:p>
                </w:tc>
                <w:tc>
                  <w:tcPr>
                    <w:tcW w:w="331" w:type="pct"/>
                    <w:vAlign w:val="center"/>
                  </w:tcPr>
                  <w:p w14:paraId="6D1D7E7E"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1F8A87AF" w14:textId="77777777" w:rsidR="007E7472" w:rsidRDefault="00C8327E">
                    <w:pPr>
                      <w:jc w:val="right"/>
                      <w:rPr>
                        <w:rFonts w:asciiTheme="minorEastAsia" w:eastAsiaTheme="minorEastAsia" w:hAnsiTheme="minorEastAsia"/>
                        <w:spacing w:val="-20"/>
                        <w:sz w:val="18"/>
                        <w:szCs w:val="18"/>
                      </w:rPr>
                    </w:pPr>
                  </w:p>
                </w:tc>
                <w:tc>
                  <w:tcPr>
                    <w:tcW w:w="356" w:type="pct"/>
                    <w:vAlign w:val="center"/>
                  </w:tcPr>
                  <w:p w14:paraId="20840B3C" w14:textId="77777777" w:rsidR="007E7472" w:rsidRDefault="00C8327E">
                    <w:pPr>
                      <w:jc w:val="right"/>
                      <w:rPr>
                        <w:rFonts w:asciiTheme="minorEastAsia" w:eastAsiaTheme="minorEastAsia" w:hAnsiTheme="minorEastAsia"/>
                        <w:spacing w:val="-20"/>
                        <w:sz w:val="18"/>
                        <w:szCs w:val="18"/>
                      </w:rPr>
                    </w:pPr>
                  </w:p>
                </w:tc>
              </w:tr>
              <w:tr w:rsidR="007E7472" w14:paraId="0721FAB2" w14:textId="77777777">
                <w:sdt>
                  <w:sdtPr>
                    <w:tag w:val="_PLD_8874e17dc09c419baab53299f7967f44"/>
                    <w:id w:val="-823504894"/>
                    <w:lock w:val="sdtLocked"/>
                  </w:sdtPr>
                  <w:sdtEndPr/>
                  <w:sdtContent>
                    <w:tc>
                      <w:tcPr>
                        <w:tcW w:w="628" w:type="pct"/>
                      </w:tcPr>
                      <w:p w14:paraId="64B0CC17" w14:textId="77777777" w:rsidR="007E7472" w:rsidRDefault="00EC1269">
                        <w:pPr>
                          <w:rPr>
                            <w:sz w:val="18"/>
                            <w:szCs w:val="18"/>
                          </w:rPr>
                        </w:pPr>
                        <w:r>
                          <w:rPr>
                            <w:sz w:val="18"/>
                            <w:szCs w:val="18"/>
                          </w:rPr>
                          <w:t>2．盈余公积转增资本（或股本）</w:t>
                        </w:r>
                      </w:p>
                    </w:tc>
                  </w:sdtContent>
                </w:sdt>
                <w:tc>
                  <w:tcPr>
                    <w:tcW w:w="305" w:type="pct"/>
                    <w:vAlign w:val="center"/>
                  </w:tcPr>
                  <w:p w14:paraId="6D926FC3" w14:textId="77777777" w:rsidR="007E7472" w:rsidRDefault="00C8327E">
                    <w:pPr>
                      <w:jc w:val="right"/>
                      <w:rPr>
                        <w:rFonts w:asciiTheme="minorEastAsia" w:eastAsiaTheme="minorEastAsia" w:hAnsiTheme="minorEastAsia"/>
                        <w:spacing w:val="-20"/>
                        <w:sz w:val="18"/>
                        <w:szCs w:val="18"/>
                      </w:rPr>
                    </w:pPr>
                  </w:p>
                </w:tc>
                <w:tc>
                  <w:tcPr>
                    <w:tcW w:w="237" w:type="pct"/>
                    <w:vAlign w:val="center"/>
                  </w:tcPr>
                  <w:p w14:paraId="25D66AC7"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2DCB0D2A" w14:textId="77777777" w:rsidR="007E7472" w:rsidRDefault="00C8327E">
                    <w:pPr>
                      <w:jc w:val="right"/>
                      <w:rPr>
                        <w:rFonts w:asciiTheme="minorEastAsia" w:eastAsiaTheme="minorEastAsia" w:hAnsiTheme="minorEastAsia"/>
                        <w:spacing w:val="-20"/>
                        <w:sz w:val="18"/>
                        <w:szCs w:val="18"/>
                      </w:rPr>
                    </w:pPr>
                  </w:p>
                </w:tc>
                <w:tc>
                  <w:tcPr>
                    <w:tcW w:w="239" w:type="pct"/>
                    <w:vAlign w:val="center"/>
                  </w:tcPr>
                  <w:p w14:paraId="61C4D8ED" w14:textId="77777777" w:rsidR="007E7472" w:rsidRDefault="00C8327E">
                    <w:pPr>
                      <w:jc w:val="right"/>
                      <w:rPr>
                        <w:rFonts w:asciiTheme="minorEastAsia" w:eastAsiaTheme="minorEastAsia" w:hAnsiTheme="minorEastAsia"/>
                        <w:spacing w:val="-20"/>
                        <w:sz w:val="18"/>
                        <w:szCs w:val="18"/>
                      </w:rPr>
                    </w:pPr>
                  </w:p>
                </w:tc>
                <w:tc>
                  <w:tcPr>
                    <w:tcW w:w="305" w:type="pct"/>
                    <w:vAlign w:val="center"/>
                  </w:tcPr>
                  <w:p w14:paraId="57C2DFAD" w14:textId="77777777" w:rsidR="007E7472" w:rsidRDefault="00C8327E">
                    <w:pPr>
                      <w:jc w:val="right"/>
                      <w:rPr>
                        <w:rFonts w:asciiTheme="minorEastAsia" w:eastAsiaTheme="minorEastAsia" w:hAnsiTheme="minorEastAsia"/>
                        <w:spacing w:val="-20"/>
                        <w:sz w:val="18"/>
                        <w:szCs w:val="18"/>
                      </w:rPr>
                    </w:pPr>
                  </w:p>
                </w:tc>
                <w:tc>
                  <w:tcPr>
                    <w:tcW w:w="255" w:type="pct"/>
                    <w:vAlign w:val="center"/>
                  </w:tcPr>
                  <w:p w14:paraId="6A0BD90B" w14:textId="77777777" w:rsidR="007E7472" w:rsidRDefault="00C8327E">
                    <w:pPr>
                      <w:jc w:val="right"/>
                      <w:rPr>
                        <w:rFonts w:asciiTheme="minorEastAsia" w:eastAsiaTheme="minorEastAsia" w:hAnsiTheme="minorEastAsia"/>
                        <w:spacing w:val="-20"/>
                        <w:sz w:val="18"/>
                        <w:szCs w:val="18"/>
                      </w:rPr>
                    </w:pPr>
                  </w:p>
                </w:tc>
                <w:tc>
                  <w:tcPr>
                    <w:tcW w:w="359" w:type="pct"/>
                    <w:vAlign w:val="center"/>
                  </w:tcPr>
                  <w:p w14:paraId="63927C18" w14:textId="77777777" w:rsidR="007E7472" w:rsidRDefault="00C8327E">
                    <w:pPr>
                      <w:jc w:val="right"/>
                      <w:rPr>
                        <w:rFonts w:asciiTheme="minorEastAsia" w:eastAsiaTheme="minorEastAsia" w:hAnsiTheme="minorEastAsia"/>
                        <w:spacing w:val="-20"/>
                        <w:sz w:val="18"/>
                        <w:szCs w:val="18"/>
                      </w:rPr>
                    </w:pPr>
                  </w:p>
                </w:tc>
                <w:tc>
                  <w:tcPr>
                    <w:tcW w:w="252" w:type="pct"/>
                    <w:vAlign w:val="center"/>
                  </w:tcPr>
                  <w:p w14:paraId="05AFA3A7" w14:textId="77777777" w:rsidR="007E7472" w:rsidRDefault="00C8327E">
                    <w:pPr>
                      <w:jc w:val="right"/>
                      <w:rPr>
                        <w:rFonts w:asciiTheme="minorEastAsia" w:eastAsiaTheme="minorEastAsia" w:hAnsiTheme="minorEastAsia"/>
                        <w:spacing w:val="-20"/>
                        <w:sz w:val="18"/>
                        <w:szCs w:val="18"/>
                      </w:rPr>
                    </w:pPr>
                  </w:p>
                </w:tc>
                <w:tc>
                  <w:tcPr>
                    <w:tcW w:w="255" w:type="pct"/>
                    <w:vAlign w:val="center"/>
                  </w:tcPr>
                  <w:p w14:paraId="3E25E59B" w14:textId="77777777" w:rsidR="007E7472" w:rsidRDefault="00C8327E">
                    <w:pPr>
                      <w:jc w:val="right"/>
                      <w:rPr>
                        <w:rFonts w:asciiTheme="minorEastAsia" w:eastAsiaTheme="minorEastAsia" w:hAnsiTheme="minorEastAsia"/>
                        <w:spacing w:val="-20"/>
                        <w:sz w:val="18"/>
                        <w:szCs w:val="18"/>
                      </w:rPr>
                    </w:pPr>
                  </w:p>
                </w:tc>
                <w:tc>
                  <w:tcPr>
                    <w:tcW w:w="210" w:type="pct"/>
                    <w:vAlign w:val="center"/>
                  </w:tcPr>
                  <w:p w14:paraId="4EE63E07"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71E680C2" w14:textId="77777777" w:rsidR="007E7472" w:rsidRDefault="00C8327E">
                    <w:pPr>
                      <w:jc w:val="right"/>
                      <w:rPr>
                        <w:rFonts w:asciiTheme="minorEastAsia" w:eastAsiaTheme="minorEastAsia" w:hAnsiTheme="minorEastAsia"/>
                        <w:spacing w:val="-20"/>
                        <w:sz w:val="18"/>
                        <w:szCs w:val="18"/>
                      </w:rPr>
                    </w:pPr>
                  </w:p>
                </w:tc>
                <w:tc>
                  <w:tcPr>
                    <w:tcW w:w="279" w:type="pct"/>
                    <w:vAlign w:val="center"/>
                  </w:tcPr>
                  <w:p w14:paraId="32E69A19" w14:textId="77777777" w:rsidR="007E7472" w:rsidRDefault="00C8327E">
                    <w:pPr>
                      <w:jc w:val="right"/>
                      <w:rPr>
                        <w:rFonts w:asciiTheme="minorEastAsia" w:eastAsiaTheme="minorEastAsia" w:hAnsiTheme="minorEastAsia"/>
                        <w:spacing w:val="-20"/>
                        <w:sz w:val="18"/>
                        <w:szCs w:val="18"/>
                      </w:rPr>
                    </w:pPr>
                  </w:p>
                </w:tc>
                <w:tc>
                  <w:tcPr>
                    <w:tcW w:w="331" w:type="pct"/>
                    <w:vAlign w:val="center"/>
                  </w:tcPr>
                  <w:p w14:paraId="53B2823A"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023AE06A" w14:textId="77777777" w:rsidR="007E7472" w:rsidRDefault="00C8327E">
                    <w:pPr>
                      <w:jc w:val="right"/>
                      <w:rPr>
                        <w:rFonts w:asciiTheme="minorEastAsia" w:eastAsiaTheme="minorEastAsia" w:hAnsiTheme="minorEastAsia"/>
                        <w:spacing w:val="-20"/>
                        <w:sz w:val="18"/>
                        <w:szCs w:val="18"/>
                      </w:rPr>
                    </w:pPr>
                  </w:p>
                </w:tc>
                <w:tc>
                  <w:tcPr>
                    <w:tcW w:w="356" w:type="pct"/>
                    <w:vAlign w:val="center"/>
                  </w:tcPr>
                  <w:p w14:paraId="27BFE0DB" w14:textId="77777777" w:rsidR="007E7472" w:rsidRDefault="00C8327E">
                    <w:pPr>
                      <w:jc w:val="right"/>
                      <w:rPr>
                        <w:rFonts w:asciiTheme="minorEastAsia" w:eastAsiaTheme="minorEastAsia" w:hAnsiTheme="minorEastAsia"/>
                        <w:spacing w:val="-20"/>
                        <w:sz w:val="18"/>
                        <w:szCs w:val="18"/>
                      </w:rPr>
                    </w:pPr>
                  </w:p>
                </w:tc>
              </w:tr>
              <w:tr w:rsidR="007E7472" w14:paraId="6FB4EE1D" w14:textId="77777777">
                <w:sdt>
                  <w:sdtPr>
                    <w:tag w:val="_PLD_e3c6e2e078f649258bfa4dadb9266249"/>
                    <w:id w:val="-1094165444"/>
                    <w:lock w:val="sdtLocked"/>
                  </w:sdtPr>
                  <w:sdtEndPr/>
                  <w:sdtContent>
                    <w:tc>
                      <w:tcPr>
                        <w:tcW w:w="628" w:type="pct"/>
                      </w:tcPr>
                      <w:p w14:paraId="3D9B2D92" w14:textId="77777777" w:rsidR="007E7472" w:rsidRDefault="00EC1269">
                        <w:pPr>
                          <w:rPr>
                            <w:sz w:val="18"/>
                            <w:szCs w:val="18"/>
                          </w:rPr>
                        </w:pPr>
                        <w:r>
                          <w:rPr>
                            <w:sz w:val="18"/>
                            <w:szCs w:val="18"/>
                          </w:rPr>
                          <w:t>3．盈余公积弥补亏损</w:t>
                        </w:r>
                      </w:p>
                    </w:tc>
                  </w:sdtContent>
                </w:sdt>
                <w:tc>
                  <w:tcPr>
                    <w:tcW w:w="305" w:type="pct"/>
                    <w:vAlign w:val="center"/>
                  </w:tcPr>
                  <w:p w14:paraId="053008A5" w14:textId="77777777" w:rsidR="007E7472" w:rsidRDefault="00C8327E">
                    <w:pPr>
                      <w:jc w:val="right"/>
                      <w:rPr>
                        <w:rFonts w:asciiTheme="minorEastAsia" w:eastAsiaTheme="minorEastAsia" w:hAnsiTheme="minorEastAsia"/>
                        <w:spacing w:val="-20"/>
                        <w:sz w:val="18"/>
                        <w:szCs w:val="18"/>
                      </w:rPr>
                    </w:pPr>
                  </w:p>
                </w:tc>
                <w:tc>
                  <w:tcPr>
                    <w:tcW w:w="237" w:type="pct"/>
                    <w:vAlign w:val="center"/>
                  </w:tcPr>
                  <w:p w14:paraId="1EC843D0"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03DE39F0" w14:textId="77777777" w:rsidR="007E7472" w:rsidRDefault="00C8327E">
                    <w:pPr>
                      <w:jc w:val="right"/>
                      <w:rPr>
                        <w:rFonts w:asciiTheme="minorEastAsia" w:eastAsiaTheme="minorEastAsia" w:hAnsiTheme="minorEastAsia"/>
                        <w:spacing w:val="-20"/>
                        <w:sz w:val="18"/>
                        <w:szCs w:val="18"/>
                      </w:rPr>
                    </w:pPr>
                  </w:p>
                </w:tc>
                <w:tc>
                  <w:tcPr>
                    <w:tcW w:w="239" w:type="pct"/>
                    <w:vAlign w:val="center"/>
                  </w:tcPr>
                  <w:p w14:paraId="7F616893" w14:textId="77777777" w:rsidR="007E7472" w:rsidRDefault="00C8327E">
                    <w:pPr>
                      <w:jc w:val="right"/>
                      <w:rPr>
                        <w:rFonts w:asciiTheme="minorEastAsia" w:eastAsiaTheme="minorEastAsia" w:hAnsiTheme="minorEastAsia"/>
                        <w:spacing w:val="-20"/>
                        <w:sz w:val="18"/>
                        <w:szCs w:val="18"/>
                      </w:rPr>
                    </w:pPr>
                  </w:p>
                </w:tc>
                <w:tc>
                  <w:tcPr>
                    <w:tcW w:w="305" w:type="pct"/>
                    <w:vAlign w:val="center"/>
                  </w:tcPr>
                  <w:p w14:paraId="56F5DF0A" w14:textId="77777777" w:rsidR="007E7472" w:rsidRDefault="00C8327E">
                    <w:pPr>
                      <w:jc w:val="right"/>
                      <w:rPr>
                        <w:rFonts w:asciiTheme="minorEastAsia" w:eastAsiaTheme="minorEastAsia" w:hAnsiTheme="minorEastAsia"/>
                        <w:spacing w:val="-20"/>
                        <w:sz w:val="18"/>
                        <w:szCs w:val="18"/>
                      </w:rPr>
                    </w:pPr>
                  </w:p>
                </w:tc>
                <w:tc>
                  <w:tcPr>
                    <w:tcW w:w="255" w:type="pct"/>
                    <w:vAlign w:val="center"/>
                  </w:tcPr>
                  <w:p w14:paraId="317A646A" w14:textId="77777777" w:rsidR="007E7472" w:rsidRDefault="00C8327E">
                    <w:pPr>
                      <w:jc w:val="right"/>
                      <w:rPr>
                        <w:rFonts w:asciiTheme="minorEastAsia" w:eastAsiaTheme="minorEastAsia" w:hAnsiTheme="minorEastAsia"/>
                        <w:spacing w:val="-20"/>
                        <w:sz w:val="18"/>
                        <w:szCs w:val="18"/>
                      </w:rPr>
                    </w:pPr>
                  </w:p>
                </w:tc>
                <w:tc>
                  <w:tcPr>
                    <w:tcW w:w="359" w:type="pct"/>
                    <w:vAlign w:val="center"/>
                  </w:tcPr>
                  <w:p w14:paraId="3F6B11EC" w14:textId="77777777" w:rsidR="007E7472" w:rsidRDefault="00C8327E">
                    <w:pPr>
                      <w:jc w:val="right"/>
                      <w:rPr>
                        <w:rFonts w:asciiTheme="minorEastAsia" w:eastAsiaTheme="minorEastAsia" w:hAnsiTheme="minorEastAsia"/>
                        <w:spacing w:val="-20"/>
                        <w:sz w:val="18"/>
                        <w:szCs w:val="18"/>
                      </w:rPr>
                    </w:pPr>
                  </w:p>
                </w:tc>
                <w:tc>
                  <w:tcPr>
                    <w:tcW w:w="252" w:type="pct"/>
                    <w:vAlign w:val="center"/>
                  </w:tcPr>
                  <w:p w14:paraId="099B554B" w14:textId="77777777" w:rsidR="007E7472" w:rsidRDefault="00C8327E">
                    <w:pPr>
                      <w:jc w:val="right"/>
                      <w:rPr>
                        <w:rFonts w:asciiTheme="minorEastAsia" w:eastAsiaTheme="minorEastAsia" w:hAnsiTheme="minorEastAsia"/>
                        <w:spacing w:val="-20"/>
                        <w:sz w:val="18"/>
                        <w:szCs w:val="18"/>
                      </w:rPr>
                    </w:pPr>
                  </w:p>
                </w:tc>
                <w:tc>
                  <w:tcPr>
                    <w:tcW w:w="255" w:type="pct"/>
                    <w:vAlign w:val="center"/>
                  </w:tcPr>
                  <w:p w14:paraId="2723C775" w14:textId="77777777" w:rsidR="007E7472" w:rsidRDefault="00C8327E">
                    <w:pPr>
                      <w:jc w:val="right"/>
                      <w:rPr>
                        <w:rFonts w:asciiTheme="minorEastAsia" w:eastAsiaTheme="minorEastAsia" w:hAnsiTheme="minorEastAsia"/>
                        <w:spacing w:val="-20"/>
                        <w:sz w:val="18"/>
                        <w:szCs w:val="18"/>
                      </w:rPr>
                    </w:pPr>
                  </w:p>
                </w:tc>
                <w:tc>
                  <w:tcPr>
                    <w:tcW w:w="210" w:type="pct"/>
                    <w:vAlign w:val="center"/>
                  </w:tcPr>
                  <w:p w14:paraId="22A7A999"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1522211C" w14:textId="77777777" w:rsidR="007E7472" w:rsidRDefault="00C8327E">
                    <w:pPr>
                      <w:jc w:val="right"/>
                      <w:rPr>
                        <w:rFonts w:asciiTheme="minorEastAsia" w:eastAsiaTheme="minorEastAsia" w:hAnsiTheme="minorEastAsia"/>
                        <w:spacing w:val="-20"/>
                        <w:sz w:val="18"/>
                        <w:szCs w:val="18"/>
                      </w:rPr>
                    </w:pPr>
                  </w:p>
                </w:tc>
                <w:tc>
                  <w:tcPr>
                    <w:tcW w:w="279" w:type="pct"/>
                    <w:vAlign w:val="center"/>
                  </w:tcPr>
                  <w:p w14:paraId="595CF06F" w14:textId="77777777" w:rsidR="007E7472" w:rsidRDefault="00C8327E">
                    <w:pPr>
                      <w:jc w:val="right"/>
                      <w:rPr>
                        <w:rFonts w:asciiTheme="minorEastAsia" w:eastAsiaTheme="minorEastAsia" w:hAnsiTheme="minorEastAsia"/>
                        <w:spacing w:val="-20"/>
                        <w:sz w:val="18"/>
                        <w:szCs w:val="18"/>
                      </w:rPr>
                    </w:pPr>
                  </w:p>
                </w:tc>
                <w:tc>
                  <w:tcPr>
                    <w:tcW w:w="331" w:type="pct"/>
                    <w:vAlign w:val="center"/>
                  </w:tcPr>
                  <w:p w14:paraId="5D80B42E"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2D8D2B18" w14:textId="77777777" w:rsidR="007E7472" w:rsidRDefault="00C8327E">
                    <w:pPr>
                      <w:jc w:val="right"/>
                      <w:rPr>
                        <w:rFonts w:asciiTheme="minorEastAsia" w:eastAsiaTheme="minorEastAsia" w:hAnsiTheme="minorEastAsia"/>
                        <w:spacing w:val="-20"/>
                        <w:sz w:val="18"/>
                        <w:szCs w:val="18"/>
                      </w:rPr>
                    </w:pPr>
                  </w:p>
                </w:tc>
                <w:tc>
                  <w:tcPr>
                    <w:tcW w:w="356" w:type="pct"/>
                    <w:vAlign w:val="center"/>
                  </w:tcPr>
                  <w:p w14:paraId="1BBAFE27" w14:textId="77777777" w:rsidR="007E7472" w:rsidRDefault="00C8327E">
                    <w:pPr>
                      <w:jc w:val="right"/>
                      <w:rPr>
                        <w:rFonts w:asciiTheme="minorEastAsia" w:eastAsiaTheme="minorEastAsia" w:hAnsiTheme="minorEastAsia"/>
                        <w:spacing w:val="-20"/>
                        <w:sz w:val="18"/>
                        <w:szCs w:val="18"/>
                      </w:rPr>
                    </w:pPr>
                  </w:p>
                </w:tc>
              </w:tr>
              <w:tr w:rsidR="007E7472" w14:paraId="3F815614" w14:textId="77777777">
                <w:tc>
                  <w:tcPr>
                    <w:tcW w:w="628" w:type="pct"/>
                  </w:tcPr>
                  <w:sdt>
                    <w:sdtPr>
                      <w:rPr>
                        <w:sz w:val="18"/>
                        <w:szCs w:val="18"/>
                      </w:rPr>
                      <w:tag w:val="_PLD_7a03b853b8c74c2fb2e89f59e327b578"/>
                      <w:id w:val="-775489487"/>
                      <w:lock w:val="sdtLocked"/>
                    </w:sdtPr>
                    <w:sdtEndPr/>
                    <w:sdtContent>
                      <w:p w14:paraId="0B1FC779" w14:textId="77777777" w:rsidR="007E7472" w:rsidRDefault="00EC1269">
                        <w:r>
                          <w:rPr>
                            <w:sz w:val="18"/>
                            <w:szCs w:val="18"/>
                          </w:rPr>
                          <w:t>4．设定受益计划变动额结转留存收益</w:t>
                        </w:r>
                      </w:p>
                    </w:sdtContent>
                  </w:sdt>
                </w:tc>
                <w:tc>
                  <w:tcPr>
                    <w:tcW w:w="305" w:type="pct"/>
                    <w:vAlign w:val="center"/>
                  </w:tcPr>
                  <w:p w14:paraId="5D342706" w14:textId="77777777" w:rsidR="007E7472" w:rsidRDefault="00C8327E">
                    <w:pPr>
                      <w:jc w:val="right"/>
                      <w:rPr>
                        <w:rFonts w:asciiTheme="minorEastAsia" w:eastAsiaTheme="minorEastAsia" w:hAnsiTheme="minorEastAsia"/>
                        <w:spacing w:val="-20"/>
                        <w:sz w:val="18"/>
                        <w:szCs w:val="18"/>
                      </w:rPr>
                    </w:pPr>
                  </w:p>
                </w:tc>
                <w:tc>
                  <w:tcPr>
                    <w:tcW w:w="237" w:type="pct"/>
                    <w:vAlign w:val="center"/>
                  </w:tcPr>
                  <w:p w14:paraId="34CA089E"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45B95D68" w14:textId="77777777" w:rsidR="007E7472" w:rsidRDefault="00C8327E">
                    <w:pPr>
                      <w:jc w:val="right"/>
                      <w:rPr>
                        <w:rFonts w:asciiTheme="minorEastAsia" w:eastAsiaTheme="minorEastAsia" w:hAnsiTheme="minorEastAsia"/>
                        <w:spacing w:val="-20"/>
                        <w:sz w:val="18"/>
                        <w:szCs w:val="18"/>
                      </w:rPr>
                    </w:pPr>
                  </w:p>
                </w:tc>
                <w:tc>
                  <w:tcPr>
                    <w:tcW w:w="239" w:type="pct"/>
                    <w:vAlign w:val="center"/>
                  </w:tcPr>
                  <w:p w14:paraId="7341279C" w14:textId="77777777" w:rsidR="007E7472" w:rsidRDefault="00C8327E">
                    <w:pPr>
                      <w:jc w:val="right"/>
                      <w:rPr>
                        <w:rFonts w:asciiTheme="minorEastAsia" w:eastAsiaTheme="minorEastAsia" w:hAnsiTheme="minorEastAsia"/>
                        <w:spacing w:val="-20"/>
                        <w:sz w:val="18"/>
                        <w:szCs w:val="18"/>
                      </w:rPr>
                    </w:pPr>
                  </w:p>
                </w:tc>
                <w:tc>
                  <w:tcPr>
                    <w:tcW w:w="305" w:type="pct"/>
                    <w:vAlign w:val="center"/>
                  </w:tcPr>
                  <w:p w14:paraId="25997ACB" w14:textId="77777777" w:rsidR="007E7472" w:rsidRDefault="00C8327E">
                    <w:pPr>
                      <w:jc w:val="right"/>
                      <w:rPr>
                        <w:rFonts w:asciiTheme="minorEastAsia" w:eastAsiaTheme="minorEastAsia" w:hAnsiTheme="minorEastAsia"/>
                        <w:spacing w:val="-20"/>
                        <w:sz w:val="18"/>
                        <w:szCs w:val="18"/>
                      </w:rPr>
                    </w:pPr>
                  </w:p>
                </w:tc>
                <w:tc>
                  <w:tcPr>
                    <w:tcW w:w="255" w:type="pct"/>
                    <w:vAlign w:val="center"/>
                  </w:tcPr>
                  <w:p w14:paraId="0C087F9D" w14:textId="77777777" w:rsidR="007E7472" w:rsidRDefault="00C8327E">
                    <w:pPr>
                      <w:jc w:val="right"/>
                      <w:rPr>
                        <w:rFonts w:asciiTheme="minorEastAsia" w:eastAsiaTheme="minorEastAsia" w:hAnsiTheme="minorEastAsia"/>
                        <w:spacing w:val="-20"/>
                        <w:sz w:val="18"/>
                        <w:szCs w:val="18"/>
                      </w:rPr>
                    </w:pPr>
                  </w:p>
                </w:tc>
                <w:tc>
                  <w:tcPr>
                    <w:tcW w:w="359" w:type="pct"/>
                    <w:vAlign w:val="center"/>
                  </w:tcPr>
                  <w:p w14:paraId="3D14508C" w14:textId="77777777" w:rsidR="007E7472" w:rsidRDefault="00C8327E">
                    <w:pPr>
                      <w:jc w:val="right"/>
                      <w:rPr>
                        <w:rFonts w:asciiTheme="minorEastAsia" w:eastAsiaTheme="minorEastAsia" w:hAnsiTheme="minorEastAsia"/>
                        <w:spacing w:val="-20"/>
                        <w:sz w:val="18"/>
                        <w:szCs w:val="18"/>
                      </w:rPr>
                    </w:pPr>
                  </w:p>
                </w:tc>
                <w:tc>
                  <w:tcPr>
                    <w:tcW w:w="252" w:type="pct"/>
                    <w:vAlign w:val="center"/>
                  </w:tcPr>
                  <w:p w14:paraId="4F62F2A2" w14:textId="77777777" w:rsidR="007E7472" w:rsidRDefault="00C8327E">
                    <w:pPr>
                      <w:jc w:val="right"/>
                      <w:rPr>
                        <w:rFonts w:asciiTheme="minorEastAsia" w:eastAsiaTheme="minorEastAsia" w:hAnsiTheme="minorEastAsia"/>
                        <w:spacing w:val="-20"/>
                        <w:sz w:val="18"/>
                        <w:szCs w:val="18"/>
                      </w:rPr>
                    </w:pPr>
                  </w:p>
                </w:tc>
                <w:tc>
                  <w:tcPr>
                    <w:tcW w:w="255" w:type="pct"/>
                    <w:vAlign w:val="center"/>
                  </w:tcPr>
                  <w:p w14:paraId="220320A6" w14:textId="77777777" w:rsidR="007E7472" w:rsidRDefault="00C8327E">
                    <w:pPr>
                      <w:jc w:val="right"/>
                      <w:rPr>
                        <w:rFonts w:asciiTheme="minorEastAsia" w:eastAsiaTheme="minorEastAsia" w:hAnsiTheme="minorEastAsia"/>
                        <w:spacing w:val="-20"/>
                        <w:sz w:val="18"/>
                        <w:szCs w:val="18"/>
                      </w:rPr>
                    </w:pPr>
                  </w:p>
                </w:tc>
                <w:tc>
                  <w:tcPr>
                    <w:tcW w:w="210" w:type="pct"/>
                    <w:vAlign w:val="center"/>
                  </w:tcPr>
                  <w:p w14:paraId="6D083414"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6EC2D0CF" w14:textId="77777777" w:rsidR="007E7472" w:rsidRDefault="00C8327E">
                    <w:pPr>
                      <w:jc w:val="right"/>
                      <w:rPr>
                        <w:rFonts w:asciiTheme="minorEastAsia" w:eastAsiaTheme="minorEastAsia" w:hAnsiTheme="minorEastAsia"/>
                        <w:spacing w:val="-20"/>
                        <w:sz w:val="18"/>
                        <w:szCs w:val="18"/>
                      </w:rPr>
                    </w:pPr>
                  </w:p>
                </w:tc>
                <w:tc>
                  <w:tcPr>
                    <w:tcW w:w="279" w:type="pct"/>
                    <w:vAlign w:val="center"/>
                  </w:tcPr>
                  <w:p w14:paraId="42D1849E" w14:textId="77777777" w:rsidR="007E7472" w:rsidRDefault="00C8327E">
                    <w:pPr>
                      <w:jc w:val="right"/>
                      <w:rPr>
                        <w:rFonts w:asciiTheme="minorEastAsia" w:eastAsiaTheme="minorEastAsia" w:hAnsiTheme="minorEastAsia"/>
                        <w:spacing w:val="-20"/>
                        <w:sz w:val="18"/>
                        <w:szCs w:val="18"/>
                      </w:rPr>
                    </w:pPr>
                  </w:p>
                </w:tc>
                <w:tc>
                  <w:tcPr>
                    <w:tcW w:w="331" w:type="pct"/>
                    <w:vAlign w:val="center"/>
                  </w:tcPr>
                  <w:p w14:paraId="7AD97F21"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04EF1E1C" w14:textId="77777777" w:rsidR="007E7472" w:rsidRDefault="00C8327E">
                    <w:pPr>
                      <w:jc w:val="right"/>
                      <w:rPr>
                        <w:rFonts w:asciiTheme="minorEastAsia" w:eastAsiaTheme="minorEastAsia" w:hAnsiTheme="minorEastAsia"/>
                        <w:spacing w:val="-20"/>
                        <w:sz w:val="18"/>
                        <w:szCs w:val="18"/>
                      </w:rPr>
                    </w:pPr>
                  </w:p>
                </w:tc>
                <w:tc>
                  <w:tcPr>
                    <w:tcW w:w="356" w:type="pct"/>
                    <w:vAlign w:val="center"/>
                  </w:tcPr>
                  <w:p w14:paraId="6462DB3B" w14:textId="77777777" w:rsidR="007E7472" w:rsidRDefault="00C8327E">
                    <w:pPr>
                      <w:jc w:val="right"/>
                      <w:rPr>
                        <w:rFonts w:asciiTheme="minorEastAsia" w:eastAsiaTheme="minorEastAsia" w:hAnsiTheme="minorEastAsia"/>
                        <w:spacing w:val="-20"/>
                        <w:sz w:val="18"/>
                        <w:szCs w:val="18"/>
                      </w:rPr>
                    </w:pPr>
                  </w:p>
                </w:tc>
              </w:tr>
              <w:tr w:rsidR="007E7472" w14:paraId="33D9C42E" w14:textId="77777777">
                <w:tc>
                  <w:tcPr>
                    <w:tcW w:w="628" w:type="pct"/>
                  </w:tcPr>
                  <w:sdt>
                    <w:sdtPr>
                      <w:rPr>
                        <w:sz w:val="18"/>
                        <w:szCs w:val="18"/>
                      </w:rPr>
                      <w:tag w:val="_PLD_1db95d2c039e4fb6b41eae5a5c0aeb0a"/>
                      <w:id w:val="-793601881"/>
                      <w:lock w:val="sdtLocked"/>
                    </w:sdtPr>
                    <w:sdtEndPr/>
                    <w:sdtContent>
                      <w:p w14:paraId="5FD00977" w14:textId="77777777" w:rsidR="007E7472" w:rsidRDefault="00EC1269">
                        <w:pPr>
                          <w:rPr>
                            <w:sz w:val="18"/>
                            <w:szCs w:val="18"/>
                          </w:rPr>
                        </w:pPr>
                        <w:r>
                          <w:rPr>
                            <w:sz w:val="18"/>
                            <w:szCs w:val="18"/>
                          </w:rPr>
                          <w:t>5．其他综合收益结转留存收益</w:t>
                        </w:r>
                      </w:p>
                    </w:sdtContent>
                  </w:sdt>
                </w:tc>
                <w:tc>
                  <w:tcPr>
                    <w:tcW w:w="305" w:type="pct"/>
                    <w:vAlign w:val="center"/>
                  </w:tcPr>
                  <w:p w14:paraId="4B081004" w14:textId="77777777" w:rsidR="007E7472" w:rsidRDefault="00C8327E">
                    <w:pPr>
                      <w:jc w:val="right"/>
                      <w:rPr>
                        <w:rFonts w:asciiTheme="minorEastAsia" w:eastAsiaTheme="minorEastAsia" w:hAnsiTheme="minorEastAsia"/>
                        <w:spacing w:val="-20"/>
                        <w:sz w:val="18"/>
                        <w:szCs w:val="18"/>
                      </w:rPr>
                    </w:pPr>
                  </w:p>
                </w:tc>
                <w:tc>
                  <w:tcPr>
                    <w:tcW w:w="237" w:type="pct"/>
                    <w:vAlign w:val="center"/>
                  </w:tcPr>
                  <w:p w14:paraId="0F5B57FA"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3E4AC239" w14:textId="77777777" w:rsidR="007E7472" w:rsidRDefault="00C8327E">
                    <w:pPr>
                      <w:jc w:val="right"/>
                      <w:rPr>
                        <w:rFonts w:asciiTheme="minorEastAsia" w:eastAsiaTheme="minorEastAsia" w:hAnsiTheme="minorEastAsia"/>
                        <w:spacing w:val="-20"/>
                        <w:sz w:val="18"/>
                        <w:szCs w:val="18"/>
                      </w:rPr>
                    </w:pPr>
                  </w:p>
                </w:tc>
                <w:tc>
                  <w:tcPr>
                    <w:tcW w:w="239" w:type="pct"/>
                    <w:vAlign w:val="center"/>
                  </w:tcPr>
                  <w:p w14:paraId="5509EB95" w14:textId="77777777" w:rsidR="007E7472" w:rsidRDefault="00C8327E">
                    <w:pPr>
                      <w:jc w:val="right"/>
                      <w:rPr>
                        <w:rFonts w:asciiTheme="minorEastAsia" w:eastAsiaTheme="minorEastAsia" w:hAnsiTheme="minorEastAsia"/>
                        <w:spacing w:val="-20"/>
                        <w:sz w:val="18"/>
                        <w:szCs w:val="18"/>
                      </w:rPr>
                    </w:pPr>
                  </w:p>
                </w:tc>
                <w:tc>
                  <w:tcPr>
                    <w:tcW w:w="305" w:type="pct"/>
                    <w:vAlign w:val="center"/>
                  </w:tcPr>
                  <w:p w14:paraId="789F9C06" w14:textId="77777777" w:rsidR="007E7472" w:rsidRDefault="00C8327E">
                    <w:pPr>
                      <w:jc w:val="right"/>
                      <w:rPr>
                        <w:rFonts w:asciiTheme="minorEastAsia" w:eastAsiaTheme="minorEastAsia" w:hAnsiTheme="minorEastAsia"/>
                        <w:spacing w:val="-20"/>
                        <w:sz w:val="18"/>
                        <w:szCs w:val="18"/>
                      </w:rPr>
                    </w:pPr>
                  </w:p>
                </w:tc>
                <w:tc>
                  <w:tcPr>
                    <w:tcW w:w="255" w:type="pct"/>
                    <w:vAlign w:val="center"/>
                  </w:tcPr>
                  <w:p w14:paraId="1E319DC6" w14:textId="77777777" w:rsidR="007E7472" w:rsidRDefault="00C8327E">
                    <w:pPr>
                      <w:jc w:val="right"/>
                      <w:rPr>
                        <w:rFonts w:asciiTheme="minorEastAsia" w:eastAsiaTheme="minorEastAsia" w:hAnsiTheme="minorEastAsia"/>
                        <w:spacing w:val="-20"/>
                        <w:sz w:val="18"/>
                        <w:szCs w:val="18"/>
                      </w:rPr>
                    </w:pPr>
                  </w:p>
                </w:tc>
                <w:tc>
                  <w:tcPr>
                    <w:tcW w:w="359" w:type="pct"/>
                    <w:vAlign w:val="center"/>
                  </w:tcPr>
                  <w:p w14:paraId="707E77B0" w14:textId="77777777" w:rsidR="007E7472" w:rsidRDefault="00C8327E">
                    <w:pPr>
                      <w:jc w:val="right"/>
                      <w:rPr>
                        <w:rFonts w:asciiTheme="minorEastAsia" w:eastAsiaTheme="minorEastAsia" w:hAnsiTheme="minorEastAsia"/>
                        <w:spacing w:val="-20"/>
                        <w:sz w:val="18"/>
                        <w:szCs w:val="18"/>
                      </w:rPr>
                    </w:pPr>
                  </w:p>
                </w:tc>
                <w:tc>
                  <w:tcPr>
                    <w:tcW w:w="252" w:type="pct"/>
                    <w:vAlign w:val="center"/>
                  </w:tcPr>
                  <w:p w14:paraId="3EC29512" w14:textId="77777777" w:rsidR="007E7472" w:rsidRDefault="00C8327E">
                    <w:pPr>
                      <w:jc w:val="right"/>
                      <w:rPr>
                        <w:rFonts w:asciiTheme="minorEastAsia" w:eastAsiaTheme="minorEastAsia" w:hAnsiTheme="minorEastAsia"/>
                        <w:spacing w:val="-20"/>
                        <w:sz w:val="18"/>
                        <w:szCs w:val="18"/>
                      </w:rPr>
                    </w:pPr>
                  </w:p>
                </w:tc>
                <w:tc>
                  <w:tcPr>
                    <w:tcW w:w="255" w:type="pct"/>
                    <w:vAlign w:val="center"/>
                  </w:tcPr>
                  <w:p w14:paraId="49DDB060" w14:textId="77777777" w:rsidR="007E7472" w:rsidRDefault="00C8327E">
                    <w:pPr>
                      <w:jc w:val="right"/>
                      <w:rPr>
                        <w:rFonts w:asciiTheme="minorEastAsia" w:eastAsiaTheme="minorEastAsia" w:hAnsiTheme="minorEastAsia"/>
                        <w:spacing w:val="-20"/>
                        <w:sz w:val="18"/>
                        <w:szCs w:val="18"/>
                      </w:rPr>
                    </w:pPr>
                  </w:p>
                </w:tc>
                <w:tc>
                  <w:tcPr>
                    <w:tcW w:w="210" w:type="pct"/>
                    <w:vAlign w:val="center"/>
                  </w:tcPr>
                  <w:p w14:paraId="58C42EBC"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7941D6A8" w14:textId="77777777" w:rsidR="007E7472" w:rsidRDefault="00C8327E">
                    <w:pPr>
                      <w:jc w:val="right"/>
                      <w:rPr>
                        <w:rFonts w:asciiTheme="minorEastAsia" w:eastAsiaTheme="minorEastAsia" w:hAnsiTheme="minorEastAsia"/>
                        <w:spacing w:val="-20"/>
                        <w:sz w:val="18"/>
                        <w:szCs w:val="18"/>
                      </w:rPr>
                    </w:pPr>
                  </w:p>
                </w:tc>
                <w:tc>
                  <w:tcPr>
                    <w:tcW w:w="279" w:type="pct"/>
                    <w:vAlign w:val="center"/>
                  </w:tcPr>
                  <w:p w14:paraId="6DD4EE9A" w14:textId="77777777" w:rsidR="007E7472" w:rsidRDefault="00C8327E">
                    <w:pPr>
                      <w:jc w:val="right"/>
                      <w:rPr>
                        <w:rFonts w:asciiTheme="minorEastAsia" w:eastAsiaTheme="minorEastAsia" w:hAnsiTheme="minorEastAsia"/>
                        <w:spacing w:val="-20"/>
                        <w:sz w:val="18"/>
                        <w:szCs w:val="18"/>
                      </w:rPr>
                    </w:pPr>
                  </w:p>
                </w:tc>
                <w:tc>
                  <w:tcPr>
                    <w:tcW w:w="331" w:type="pct"/>
                    <w:vAlign w:val="center"/>
                  </w:tcPr>
                  <w:p w14:paraId="1CD288A7"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53D12823" w14:textId="77777777" w:rsidR="007E7472" w:rsidRDefault="00C8327E">
                    <w:pPr>
                      <w:jc w:val="right"/>
                      <w:rPr>
                        <w:rFonts w:asciiTheme="minorEastAsia" w:eastAsiaTheme="minorEastAsia" w:hAnsiTheme="minorEastAsia"/>
                        <w:spacing w:val="-20"/>
                        <w:sz w:val="18"/>
                        <w:szCs w:val="18"/>
                      </w:rPr>
                    </w:pPr>
                  </w:p>
                </w:tc>
                <w:tc>
                  <w:tcPr>
                    <w:tcW w:w="356" w:type="pct"/>
                    <w:vAlign w:val="center"/>
                  </w:tcPr>
                  <w:p w14:paraId="19FDACC5" w14:textId="77777777" w:rsidR="007E7472" w:rsidRDefault="00C8327E">
                    <w:pPr>
                      <w:jc w:val="right"/>
                      <w:rPr>
                        <w:rFonts w:asciiTheme="minorEastAsia" w:eastAsiaTheme="minorEastAsia" w:hAnsiTheme="minorEastAsia"/>
                        <w:spacing w:val="-20"/>
                        <w:sz w:val="18"/>
                        <w:szCs w:val="18"/>
                      </w:rPr>
                    </w:pPr>
                  </w:p>
                </w:tc>
              </w:tr>
              <w:tr w:rsidR="007E7472" w14:paraId="2AB067B5" w14:textId="77777777">
                <w:tc>
                  <w:tcPr>
                    <w:tcW w:w="628" w:type="pct"/>
                  </w:tcPr>
                  <w:sdt>
                    <w:sdtPr>
                      <w:rPr>
                        <w:sz w:val="18"/>
                        <w:szCs w:val="18"/>
                      </w:rPr>
                      <w:tag w:val="_PLD_44b366cf670e4514b5f91bc8cef97e27"/>
                      <w:id w:val="-1697225871"/>
                      <w:lock w:val="sdtLocked"/>
                    </w:sdtPr>
                    <w:sdtEndPr/>
                    <w:sdtContent>
                      <w:p w14:paraId="4447DE8B" w14:textId="77777777" w:rsidR="007E7472" w:rsidRDefault="00EC1269">
                        <w:r>
                          <w:rPr>
                            <w:sz w:val="18"/>
                            <w:szCs w:val="18"/>
                          </w:rPr>
                          <w:t>6．其他</w:t>
                        </w:r>
                      </w:p>
                    </w:sdtContent>
                  </w:sdt>
                </w:tc>
                <w:tc>
                  <w:tcPr>
                    <w:tcW w:w="305" w:type="pct"/>
                    <w:vAlign w:val="center"/>
                  </w:tcPr>
                  <w:p w14:paraId="14315F6D" w14:textId="77777777" w:rsidR="007E7472" w:rsidRDefault="00C8327E">
                    <w:pPr>
                      <w:jc w:val="right"/>
                      <w:rPr>
                        <w:rFonts w:asciiTheme="minorEastAsia" w:eastAsiaTheme="minorEastAsia" w:hAnsiTheme="minorEastAsia"/>
                        <w:spacing w:val="-20"/>
                        <w:sz w:val="18"/>
                        <w:szCs w:val="18"/>
                      </w:rPr>
                    </w:pPr>
                  </w:p>
                </w:tc>
                <w:tc>
                  <w:tcPr>
                    <w:tcW w:w="237" w:type="pct"/>
                    <w:vAlign w:val="center"/>
                  </w:tcPr>
                  <w:p w14:paraId="4526A5C6"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76B27A36" w14:textId="77777777" w:rsidR="007E7472" w:rsidRDefault="00C8327E">
                    <w:pPr>
                      <w:jc w:val="right"/>
                      <w:rPr>
                        <w:rFonts w:asciiTheme="minorEastAsia" w:eastAsiaTheme="minorEastAsia" w:hAnsiTheme="minorEastAsia"/>
                        <w:spacing w:val="-20"/>
                        <w:sz w:val="18"/>
                        <w:szCs w:val="18"/>
                      </w:rPr>
                    </w:pPr>
                  </w:p>
                </w:tc>
                <w:tc>
                  <w:tcPr>
                    <w:tcW w:w="239" w:type="pct"/>
                    <w:vAlign w:val="center"/>
                  </w:tcPr>
                  <w:p w14:paraId="38076F4A" w14:textId="77777777" w:rsidR="007E7472" w:rsidRDefault="00C8327E">
                    <w:pPr>
                      <w:jc w:val="right"/>
                      <w:rPr>
                        <w:rFonts w:asciiTheme="minorEastAsia" w:eastAsiaTheme="minorEastAsia" w:hAnsiTheme="minorEastAsia"/>
                        <w:spacing w:val="-20"/>
                        <w:sz w:val="18"/>
                        <w:szCs w:val="18"/>
                      </w:rPr>
                    </w:pPr>
                  </w:p>
                </w:tc>
                <w:tc>
                  <w:tcPr>
                    <w:tcW w:w="305" w:type="pct"/>
                    <w:vAlign w:val="center"/>
                  </w:tcPr>
                  <w:p w14:paraId="10454586" w14:textId="77777777" w:rsidR="007E7472" w:rsidRDefault="00C8327E">
                    <w:pPr>
                      <w:jc w:val="right"/>
                      <w:rPr>
                        <w:rFonts w:asciiTheme="minorEastAsia" w:eastAsiaTheme="minorEastAsia" w:hAnsiTheme="minorEastAsia"/>
                        <w:spacing w:val="-20"/>
                        <w:sz w:val="18"/>
                        <w:szCs w:val="18"/>
                      </w:rPr>
                    </w:pPr>
                  </w:p>
                </w:tc>
                <w:tc>
                  <w:tcPr>
                    <w:tcW w:w="255" w:type="pct"/>
                    <w:vAlign w:val="center"/>
                  </w:tcPr>
                  <w:p w14:paraId="4C88DEC6" w14:textId="77777777" w:rsidR="007E7472" w:rsidRDefault="00C8327E">
                    <w:pPr>
                      <w:jc w:val="right"/>
                      <w:rPr>
                        <w:rFonts w:asciiTheme="minorEastAsia" w:eastAsiaTheme="minorEastAsia" w:hAnsiTheme="minorEastAsia"/>
                        <w:spacing w:val="-20"/>
                        <w:sz w:val="18"/>
                        <w:szCs w:val="18"/>
                      </w:rPr>
                    </w:pPr>
                  </w:p>
                </w:tc>
                <w:tc>
                  <w:tcPr>
                    <w:tcW w:w="359" w:type="pct"/>
                    <w:vAlign w:val="center"/>
                  </w:tcPr>
                  <w:p w14:paraId="39D73B81" w14:textId="77777777" w:rsidR="007E7472" w:rsidRDefault="00C8327E">
                    <w:pPr>
                      <w:jc w:val="right"/>
                      <w:rPr>
                        <w:rFonts w:asciiTheme="minorEastAsia" w:eastAsiaTheme="minorEastAsia" w:hAnsiTheme="minorEastAsia"/>
                        <w:spacing w:val="-20"/>
                        <w:sz w:val="18"/>
                        <w:szCs w:val="18"/>
                      </w:rPr>
                    </w:pPr>
                  </w:p>
                </w:tc>
                <w:tc>
                  <w:tcPr>
                    <w:tcW w:w="252" w:type="pct"/>
                    <w:vAlign w:val="center"/>
                  </w:tcPr>
                  <w:p w14:paraId="11129B15" w14:textId="77777777" w:rsidR="007E7472" w:rsidRDefault="00C8327E">
                    <w:pPr>
                      <w:jc w:val="right"/>
                      <w:rPr>
                        <w:rFonts w:asciiTheme="minorEastAsia" w:eastAsiaTheme="minorEastAsia" w:hAnsiTheme="minorEastAsia"/>
                        <w:spacing w:val="-20"/>
                        <w:sz w:val="18"/>
                        <w:szCs w:val="18"/>
                      </w:rPr>
                    </w:pPr>
                  </w:p>
                </w:tc>
                <w:tc>
                  <w:tcPr>
                    <w:tcW w:w="255" w:type="pct"/>
                    <w:vAlign w:val="center"/>
                  </w:tcPr>
                  <w:p w14:paraId="11D43898" w14:textId="77777777" w:rsidR="007E7472" w:rsidRDefault="00C8327E">
                    <w:pPr>
                      <w:jc w:val="right"/>
                      <w:rPr>
                        <w:rFonts w:asciiTheme="minorEastAsia" w:eastAsiaTheme="minorEastAsia" w:hAnsiTheme="minorEastAsia"/>
                        <w:spacing w:val="-20"/>
                        <w:sz w:val="18"/>
                        <w:szCs w:val="18"/>
                      </w:rPr>
                    </w:pPr>
                  </w:p>
                </w:tc>
                <w:tc>
                  <w:tcPr>
                    <w:tcW w:w="210" w:type="pct"/>
                    <w:vAlign w:val="center"/>
                  </w:tcPr>
                  <w:p w14:paraId="158BC908"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2EABF905" w14:textId="77777777" w:rsidR="007E7472" w:rsidRDefault="00C8327E">
                    <w:pPr>
                      <w:jc w:val="right"/>
                      <w:rPr>
                        <w:rFonts w:asciiTheme="minorEastAsia" w:eastAsiaTheme="minorEastAsia" w:hAnsiTheme="minorEastAsia"/>
                        <w:spacing w:val="-20"/>
                        <w:sz w:val="18"/>
                        <w:szCs w:val="18"/>
                      </w:rPr>
                    </w:pPr>
                  </w:p>
                </w:tc>
                <w:tc>
                  <w:tcPr>
                    <w:tcW w:w="279" w:type="pct"/>
                    <w:vAlign w:val="center"/>
                  </w:tcPr>
                  <w:p w14:paraId="167D08BD" w14:textId="77777777" w:rsidR="007E7472" w:rsidRDefault="00C8327E">
                    <w:pPr>
                      <w:jc w:val="right"/>
                      <w:rPr>
                        <w:rFonts w:asciiTheme="minorEastAsia" w:eastAsiaTheme="minorEastAsia" w:hAnsiTheme="minorEastAsia"/>
                        <w:spacing w:val="-20"/>
                        <w:sz w:val="18"/>
                        <w:szCs w:val="18"/>
                      </w:rPr>
                    </w:pPr>
                  </w:p>
                </w:tc>
                <w:tc>
                  <w:tcPr>
                    <w:tcW w:w="331" w:type="pct"/>
                    <w:vAlign w:val="center"/>
                  </w:tcPr>
                  <w:p w14:paraId="55C4FEEB"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0174696C" w14:textId="77777777" w:rsidR="007E7472" w:rsidRDefault="00C8327E">
                    <w:pPr>
                      <w:jc w:val="right"/>
                      <w:rPr>
                        <w:rFonts w:asciiTheme="minorEastAsia" w:eastAsiaTheme="minorEastAsia" w:hAnsiTheme="minorEastAsia"/>
                        <w:spacing w:val="-20"/>
                        <w:sz w:val="18"/>
                        <w:szCs w:val="18"/>
                      </w:rPr>
                    </w:pPr>
                  </w:p>
                </w:tc>
                <w:tc>
                  <w:tcPr>
                    <w:tcW w:w="356" w:type="pct"/>
                    <w:vAlign w:val="center"/>
                  </w:tcPr>
                  <w:p w14:paraId="69FD04DC" w14:textId="77777777" w:rsidR="007E7472" w:rsidRDefault="00C8327E">
                    <w:pPr>
                      <w:jc w:val="right"/>
                      <w:rPr>
                        <w:rFonts w:asciiTheme="minorEastAsia" w:eastAsiaTheme="minorEastAsia" w:hAnsiTheme="minorEastAsia"/>
                        <w:spacing w:val="-20"/>
                        <w:sz w:val="18"/>
                        <w:szCs w:val="18"/>
                      </w:rPr>
                    </w:pPr>
                  </w:p>
                </w:tc>
              </w:tr>
              <w:tr w:rsidR="007E7472" w14:paraId="1CBB4DC1" w14:textId="77777777">
                <w:sdt>
                  <w:sdtPr>
                    <w:tag w:val="_PLD_4c2ffccd1b8247f8b48874b508665dc1"/>
                    <w:id w:val="974249493"/>
                    <w:lock w:val="sdtLocked"/>
                  </w:sdtPr>
                  <w:sdtEndPr/>
                  <w:sdtContent>
                    <w:tc>
                      <w:tcPr>
                        <w:tcW w:w="628" w:type="pct"/>
                      </w:tcPr>
                      <w:p w14:paraId="4C874C64" w14:textId="77777777" w:rsidR="007E7472" w:rsidRDefault="00EC1269">
                        <w:pPr>
                          <w:rPr>
                            <w:sz w:val="18"/>
                            <w:szCs w:val="18"/>
                          </w:rPr>
                        </w:pPr>
                        <w:r>
                          <w:rPr>
                            <w:rFonts w:hint="eastAsia"/>
                            <w:sz w:val="18"/>
                            <w:szCs w:val="18"/>
                          </w:rPr>
                          <w:t>（五）专项储备</w:t>
                        </w:r>
                      </w:p>
                    </w:tc>
                  </w:sdtContent>
                </w:sdt>
                <w:tc>
                  <w:tcPr>
                    <w:tcW w:w="305" w:type="pct"/>
                    <w:vAlign w:val="center"/>
                  </w:tcPr>
                  <w:p w14:paraId="7D8A76A9" w14:textId="77777777" w:rsidR="007E7472" w:rsidRDefault="00C8327E">
                    <w:pPr>
                      <w:jc w:val="right"/>
                      <w:rPr>
                        <w:rFonts w:asciiTheme="minorEastAsia" w:eastAsiaTheme="minorEastAsia" w:hAnsiTheme="minorEastAsia"/>
                        <w:spacing w:val="-20"/>
                        <w:sz w:val="18"/>
                        <w:szCs w:val="18"/>
                      </w:rPr>
                    </w:pPr>
                  </w:p>
                </w:tc>
                <w:tc>
                  <w:tcPr>
                    <w:tcW w:w="237" w:type="pct"/>
                    <w:vAlign w:val="center"/>
                  </w:tcPr>
                  <w:p w14:paraId="43F72589"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7B67C139" w14:textId="77777777" w:rsidR="007E7472" w:rsidRDefault="00C8327E">
                    <w:pPr>
                      <w:jc w:val="right"/>
                      <w:rPr>
                        <w:rFonts w:asciiTheme="minorEastAsia" w:eastAsiaTheme="minorEastAsia" w:hAnsiTheme="minorEastAsia"/>
                        <w:spacing w:val="-20"/>
                        <w:sz w:val="18"/>
                        <w:szCs w:val="18"/>
                      </w:rPr>
                    </w:pPr>
                  </w:p>
                </w:tc>
                <w:tc>
                  <w:tcPr>
                    <w:tcW w:w="239" w:type="pct"/>
                    <w:vAlign w:val="center"/>
                  </w:tcPr>
                  <w:p w14:paraId="566C9A59" w14:textId="77777777" w:rsidR="007E7472" w:rsidRDefault="00C8327E">
                    <w:pPr>
                      <w:jc w:val="right"/>
                      <w:rPr>
                        <w:rFonts w:asciiTheme="minorEastAsia" w:eastAsiaTheme="minorEastAsia" w:hAnsiTheme="minorEastAsia"/>
                        <w:spacing w:val="-20"/>
                        <w:sz w:val="18"/>
                        <w:szCs w:val="18"/>
                      </w:rPr>
                    </w:pPr>
                  </w:p>
                </w:tc>
                <w:tc>
                  <w:tcPr>
                    <w:tcW w:w="305" w:type="pct"/>
                    <w:vAlign w:val="center"/>
                  </w:tcPr>
                  <w:p w14:paraId="1F6A1EE0" w14:textId="77777777" w:rsidR="007E7472" w:rsidRDefault="00C8327E">
                    <w:pPr>
                      <w:jc w:val="right"/>
                      <w:rPr>
                        <w:rFonts w:asciiTheme="minorEastAsia" w:eastAsiaTheme="minorEastAsia" w:hAnsiTheme="minorEastAsia"/>
                        <w:spacing w:val="-20"/>
                        <w:sz w:val="18"/>
                        <w:szCs w:val="18"/>
                      </w:rPr>
                    </w:pPr>
                  </w:p>
                </w:tc>
                <w:tc>
                  <w:tcPr>
                    <w:tcW w:w="255" w:type="pct"/>
                    <w:vAlign w:val="center"/>
                  </w:tcPr>
                  <w:p w14:paraId="452F4959" w14:textId="77777777" w:rsidR="007E7472" w:rsidRDefault="00C8327E">
                    <w:pPr>
                      <w:jc w:val="right"/>
                      <w:rPr>
                        <w:rFonts w:asciiTheme="minorEastAsia" w:eastAsiaTheme="minorEastAsia" w:hAnsiTheme="minorEastAsia"/>
                        <w:spacing w:val="-20"/>
                        <w:sz w:val="18"/>
                        <w:szCs w:val="18"/>
                      </w:rPr>
                    </w:pPr>
                  </w:p>
                </w:tc>
                <w:tc>
                  <w:tcPr>
                    <w:tcW w:w="359" w:type="pct"/>
                    <w:vAlign w:val="center"/>
                  </w:tcPr>
                  <w:p w14:paraId="421DAA3B" w14:textId="77777777" w:rsidR="007E7472" w:rsidRDefault="00C8327E">
                    <w:pPr>
                      <w:jc w:val="right"/>
                      <w:rPr>
                        <w:rFonts w:asciiTheme="minorEastAsia" w:eastAsiaTheme="minorEastAsia" w:hAnsiTheme="minorEastAsia"/>
                        <w:spacing w:val="-20"/>
                        <w:sz w:val="18"/>
                        <w:szCs w:val="18"/>
                      </w:rPr>
                    </w:pPr>
                  </w:p>
                </w:tc>
                <w:tc>
                  <w:tcPr>
                    <w:tcW w:w="252" w:type="pct"/>
                    <w:vAlign w:val="center"/>
                  </w:tcPr>
                  <w:p w14:paraId="07187D8B"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561,753</w:t>
                    </w:r>
                  </w:p>
                </w:tc>
                <w:tc>
                  <w:tcPr>
                    <w:tcW w:w="255" w:type="pct"/>
                    <w:vAlign w:val="center"/>
                  </w:tcPr>
                  <w:p w14:paraId="5194E462" w14:textId="77777777" w:rsidR="007E7472" w:rsidRDefault="00C8327E">
                    <w:pPr>
                      <w:jc w:val="right"/>
                      <w:rPr>
                        <w:rFonts w:asciiTheme="minorEastAsia" w:eastAsiaTheme="minorEastAsia" w:hAnsiTheme="minorEastAsia"/>
                        <w:spacing w:val="-20"/>
                        <w:sz w:val="18"/>
                        <w:szCs w:val="18"/>
                      </w:rPr>
                    </w:pPr>
                  </w:p>
                </w:tc>
                <w:tc>
                  <w:tcPr>
                    <w:tcW w:w="210" w:type="pct"/>
                    <w:vAlign w:val="center"/>
                  </w:tcPr>
                  <w:p w14:paraId="580A67DB"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223F17C0" w14:textId="77777777" w:rsidR="007E7472" w:rsidRDefault="00C8327E">
                    <w:pPr>
                      <w:jc w:val="right"/>
                      <w:rPr>
                        <w:rFonts w:asciiTheme="minorEastAsia" w:eastAsiaTheme="minorEastAsia" w:hAnsiTheme="minorEastAsia"/>
                        <w:spacing w:val="-20"/>
                        <w:sz w:val="18"/>
                        <w:szCs w:val="18"/>
                      </w:rPr>
                    </w:pPr>
                  </w:p>
                </w:tc>
                <w:tc>
                  <w:tcPr>
                    <w:tcW w:w="279" w:type="pct"/>
                    <w:vAlign w:val="center"/>
                  </w:tcPr>
                  <w:p w14:paraId="697ED665" w14:textId="77777777" w:rsidR="007E7472" w:rsidRDefault="00C8327E">
                    <w:pPr>
                      <w:jc w:val="right"/>
                      <w:rPr>
                        <w:rFonts w:asciiTheme="minorEastAsia" w:eastAsiaTheme="minorEastAsia" w:hAnsiTheme="minorEastAsia"/>
                        <w:spacing w:val="-20"/>
                        <w:sz w:val="18"/>
                        <w:szCs w:val="18"/>
                      </w:rPr>
                    </w:pPr>
                  </w:p>
                </w:tc>
                <w:tc>
                  <w:tcPr>
                    <w:tcW w:w="331" w:type="pct"/>
                    <w:vAlign w:val="center"/>
                  </w:tcPr>
                  <w:p w14:paraId="41F3E2FE"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561,753</w:t>
                    </w:r>
                  </w:p>
                </w:tc>
                <w:tc>
                  <w:tcPr>
                    <w:tcW w:w="330" w:type="pct"/>
                    <w:vAlign w:val="center"/>
                  </w:tcPr>
                  <w:p w14:paraId="4457FF3E"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90,992</w:t>
                    </w:r>
                  </w:p>
                </w:tc>
                <w:tc>
                  <w:tcPr>
                    <w:tcW w:w="356" w:type="pct"/>
                    <w:vAlign w:val="center"/>
                  </w:tcPr>
                  <w:p w14:paraId="7EE7C69C"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652,745</w:t>
                    </w:r>
                  </w:p>
                </w:tc>
              </w:tr>
              <w:tr w:rsidR="007E7472" w14:paraId="2E9F07A6" w14:textId="77777777">
                <w:sdt>
                  <w:sdtPr>
                    <w:tag w:val="_PLD_d7da1c1428f3471c9d74c89a582725d7"/>
                    <w:id w:val="1227573761"/>
                    <w:lock w:val="sdtLocked"/>
                  </w:sdtPr>
                  <w:sdtEndPr/>
                  <w:sdtContent>
                    <w:tc>
                      <w:tcPr>
                        <w:tcW w:w="628" w:type="pct"/>
                      </w:tcPr>
                      <w:p w14:paraId="58A29AFC" w14:textId="77777777" w:rsidR="007E7472" w:rsidRDefault="00EC1269">
                        <w:pPr>
                          <w:rPr>
                            <w:sz w:val="18"/>
                            <w:szCs w:val="18"/>
                          </w:rPr>
                        </w:pPr>
                        <w:r>
                          <w:rPr>
                            <w:rFonts w:hint="eastAsia"/>
                            <w:sz w:val="18"/>
                            <w:szCs w:val="18"/>
                          </w:rPr>
                          <w:t>1．本期提取</w:t>
                        </w:r>
                      </w:p>
                    </w:tc>
                  </w:sdtContent>
                </w:sdt>
                <w:tc>
                  <w:tcPr>
                    <w:tcW w:w="305" w:type="pct"/>
                    <w:vAlign w:val="center"/>
                  </w:tcPr>
                  <w:p w14:paraId="7120A663" w14:textId="77777777" w:rsidR="007E7472" w:rsidRDefault="00C8327E">
                    <w:pPr>
                      <w:jc w:val="right"/>
                      <w:rPr>
                        <w:rFonts w:asciiTheme="minorEastAsia" w:eastAsiaTheme="minorEastAsia" w:hAnsiTheme="minorEastAsia"/>
                        <w:spacing w:val="-20"/>
                        <w:sz w:val="18"/>
                        <w:szCs w:val="18"/>
                      </w:rPr>
                    </w:pPr>
                  </w:p>
                </w:tc>
                <w:tc>
                  <w:tcPr>
                    <w:tcW w:w="237" w:type="pct"/>
                    <w:vAlign w:val="center"/>
                  </w:tcPr>
                  <w:p w14:paraId="0C9C12F0"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5A8F351D" w14:textId="77777777" w:rsidR="007E7472" w:rsidRDefault="00C8327E">
                    <w:pPr>
                      <w:jc w:val="right"/>
                      <w:rPr>
                        <w:rFonts w:asciiTheme="minorEastAsia" w:eastAsiaTheme="minorEastAsia" w:hAnsiTheme="minorEastAsia"/>
                        <w:spacing w:val="-20"/>
                        <w:sz w:val="18"/>
                        <w:szCs w:val="18"/>
                      </w:rPr>
                    </w:pPr>
                  </w:p>
                </w:tc>
                <w:tc>
                  <w:tcPr>
                    <w:tcW w:w="239" w:type="pct"/>
                    <w:vAlign w:val="center"/>
                  </w:tcPr>
                  <w:p w14:paraId="42F56EA7" w14:textId="77777777" w:rsidR="007E7472" w:rsidRDefault="00C8327E">
                    <w:pPr>
                      <w:jc w:val="right"/>
                      <w:rPr>
                        <w:rFonts w:asciiTheme="minorEastAsia" w:eastAsiaTheme="minorEastAsia" w:hAnsiTheme="minorEastAsia"/>
                        <w:spacing w:val="-20"/>
                        <w:sz w:val="18"/>
                        <w:szCs w:val="18"/>
                      </w:rPr>
                    </w:pPr>
                  </w:p>
                </w:tc>
                <w:tc>
                  <w:tcPr>
                    <w:tcW w:w="305" w:type="pct"/>
                    <w:vAlign w:val="center"/>
                  </w:tcPr>
                  <w:p w14:paraId="5CA2E3B1" w14:textId="77777777" w:rsidR="007E7472" w:rsidRDefault="00C8327E">
                    <w:pPr>
                      <w:jc w:val="right"/>
                      <w:rPr>
                        <w:rFonts w:asciiTheme="minorEastAsia" w:eastAsiaTheme="minorEastAsia" w:hAnsiTheme="minorEastAsia"/>
                        <w:spacing w:val="-20"/>
                        <w:sz w:val="18"/>
                        <w:szCs w:val="18"/>
                      </w:rPr>
                    </w:pPr>
                  </w:p>
                </w:tc>
                <w:tc>
                  <w:tcPr>
                    <w:tcW w:w="255" w:type="pct"/>
                    <w:vAlign w:val="center"/>
                  </w:tcPr>
                  <w:p w14:paraId="7005F422" w14:textId="77777777" w:rsidR="007E7472" w:rsidRDefault="00C8327E">
                    <w:pPr>
                      <w:jc w:val="right"/>
                      <w:rPr>
                        <w:rFonts w:asciiTheme="minorEastAsia" w:eastAsiaTheme="minorEastAsia" w:hAnsiTheme="minorEastAsia"/>
                        <w:spacing w:val="-20"/>
                        <w:sz w:val="18"/>
                        <w:szCs w:val="18"/>
                      </w:rPr>
                    </w:pPr>
                  </w:p>
                </w:tc>
                <w:tc>
                  <w:tcPr>
                    <w:tcW w:w="359" w:type="pct"/>
                    <w:vAlign w:val="center"/>
                  </w:tcPr>
                  <w:p w14:paraId="2F73BFB4" w14:textId="77777777" w:rsidR="007E7472" w:rsidRDefault="00C8327E">
                    <w:pPr>
                      <w:jc w:val="right"/>
                      <w:rPr>
                        <w:rFonts w:asciiTheme="minorEastAsia" w:eastAsiaTheme="minorEastAsia" w:hAnsiTheme="minorEastAsia"/>
                        <w:spacing w:val="-20"/>
                        <w:sz w:val="18"/>
                        <w:szCs w:val="18"/>
                      </w:rPr>
                    </w:pPr>
                  </w:p>
                </w:tc>
                <w:tc>
                  <w:tcPr>
                    <w:tcW w:w="252" w:type="pct"/>
                    <w:vAlign w:val="center"/>
                  </w:tcPr>
                  <w:p w14:paraId="068E1FE8"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933,371</w:t>
                    </w:r>
                  </w:p>
                </w:tc>
                <w:tc>
                  <w:tcPr>
                    <w:tcW w:w="255" w:type="pct"/>
                    <w:vAlign w:val="center"/>
                  </w:tcPr>
                  <w:p w14:paraId="156AADA6" w14:textId="77777777" w:rsidR="007E7472" w:rsidRDefault="00C8327E">
                    <w:pPr>
                      <w:jc w:val="right"/>
                      <w:rPr>
                        <w:rFonts w:asciiTheme="minorEastAsia" w:eastAsiaTheme="minorEastAsia" w:hAnsiTheme="minorEastAsia"/>
                        <w:spacing w:val="-20"/>
                        <w:sz w:val="18"/>
                        <w:szCs w:val="18"/>
                      </w:rPr>
                    </w:pPr>
                  </w:p>
                </w:tc>
                <w:tc>
                  <w:tcPr>
                    <w:tcW w:w="210" w:type="pct"/>
                    <w:vAlign w:val="center"/>
                  </w:tcPr>
                  <w:p w14:paraId="38946CC8"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311E0654" w14:textId="77777777" w:rsidR="007E7472" w:rsidRDefault="00C8327E">
                    <w:pPr>
                      <w:jc w:val="right"/>
                      <w:rPr>
                        <w:rFonts w:asciiTheme="minorEastAsia" w:eastAsiaTheme="minorEastAsia" w:hAnsiTheme="minorEastAsia"/>
                        <w:spacing w:val="-20"/>
                        <w:sz w:val="18"/>
                        <w:szCs w:val="18"/>
                      </w:rPr>
                    </w:pPr>
                  </w:p>
                </w:tc>
                <w:tc>
                  <w:tcPr>
                    <w:tcW w:w="279" w:type="pct"/>
                    <w:vAlign w:val="center"/>
                  </w:tcPr>
                  <w:p w14:paraId="67E59DE7" w14:textId="77777777" w:rsidR="007E7472" w:rsidRDefault="00C8327E">
                    <w:pPr>
                      <w:jc w:val="right"/>
                      <w:rPr>
                        <w:rFonts w:asciiTheme="minorEastAsia" w:eastAsiaTheme="minorEastAsia" w:hAnsiTheme="minorEastAsia"/>
                        <w:spacing w:val="-20"/>
                        <w:sz w:val="18"/>
                        <w:szCs w:val="18"/>
                      </w:rPr>
                    </w:pPr>
                  </w:p>
                </w:tc>
                <w:tc>
                  <w:tcPr>
                    <w:tcW w:w="331" w:type="pct"/>
                    <w:vAlign w:val="center"/>
                  </w:tcPr>
                  <w:p w14:paraId="6EE79B81"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933,371</w:t>
                    </w:r>
                  </w:p>
                </w:tc>
                <w:tc>
                  <w:tcPr>
                    <w:tcW w:w="330" w:type="pct"/>
                    <w:vAlign w:val="center"/>
                  </w:tcPr>
                  <w:p w14:paraId="464595FB"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91,645</w:t>
                    </w:r>
                  </w:p>
                </w:tc>
                <w:tc>
                  <w:tcPr>
                    <w:tcW w:w="356" w:type="pct"/>
                    <w:vAlign w:val="center"/>
                  </w:tcPr>
                  <w:p w14:paraId="76978A3C"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1,025,016</w:t>
                    </w:r>
                  </w:p>
                </w:tc>
              </w:tr>
              <w:tr w:rsidR="007E7472" w14:paraId="24AF5B67" w14:textId="77777777">
                <w:sdt>
                  <w:sdtPr>
                    <w:tag w:val="_PLD_f11a5c1cf32e432cb3dba158baca32fc"/>
                    <w:id w:val="1792633276"/>
                    <w:lock w:val="sdtLocked"/>
                  </w:sdtPr>
                  <w:sdtEndPr/>
                  <w:sdtContent>
                    <w:tc>
                      <w:tcPr>
                        <w:tcW w:w="628" w:type="pct"/>
                      </w:tcPr>
                      <w:p w14:paraId="25F53BDB" w14:textId="77777777" w:rsidR="007E7472" w:rsidRDefault="00EC1269">
                        <w:pPr>
                          <w:rPr>
                            <w:sz w:val="18"/>
                            <w:szCs w:val="18"/>
                          </w:rPr>
                        </w:pPr>
                        <w:r>
                          <w:rPr>
                            <w:rFonts w:hint="eastAsia"/>
                            <w:sz w:val="18"/>
                            <w:szCs w:val="18"/>
                          </w:rPr>
                          <w:t>2．本期使用</w:t>
                        </w:r>
                      </w:p>
                    </w:tc>
                  </w:sdtContent>
                </w:sdt>
                <w:tc>
                  <w:tcPr>
                    <w:tcW w:w="305" w:type="pct"/>
                    <w:vAlign w:val="center"/>
                  </w:tcPr>
                  <w:p w14:paraId="4C05FE26" w14:textId="77777777" w:rsidR="007E7472" w:rsidRDefault="00C8327E">
                    <w:pPr>
                      <w:jc w:val="right"/>
                      <w:rPr>
                        <w:rFonts w:asciiTheme="minorEastAsia" w:eastAsiaTheme="minorEastAsia" w:hAnsiTheme="minorEastAsia"/>
                        <w:spacing w:val="-20"/>
                        <w:sz w:val="18"/>
                        <w:szCs w:val="18"/>
                      </w:rPr>
                    </w:pPr>
                  </w:p>
                </w:tc>
                <w:tc>
                  <w:tcPr>
                    <w:tcW w:w="237" w:type="pct"/>
                    <w:vAlign w:val="center"/>
                  </w:tcPr>
                  <w:p w14:paraId="1CF3DD7C"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5284A42E" w14:textId="77777777" w:rsidR="007E7472" w:rsidRDefault="00C8327E">
                    <w:pPr>
                      <w:jc w:val="right"/>
                      <w:rPr>
                        <w:rFonts w:asciiTheme="minorEastAsia" w:eastAsiaTheme="minorEastAsia" w:hAnsiTheme="minorEastAsia"/>
                        <w:spacing w:val="-20"/>
                        <w:sz w:val="18"/>
                        <w:szCs w:val="18"/>
                      </w:rPr>
                    </w:pPr>
                  </w:p>
                </w:tc>
                <w:tc>
                  <w:tcPr>
                    <w:tcW w:w="239" w:type="pct"/>
                    <w:vAlign w:val="center"/>
                  </w:tcPr>
                  <w:p w14:paraId="459B5326" w14:textId="77777777" w:rsidR="007E7472" w:rsidRDefault="00C8327E">
                    <w:pPr>
                      <w:jc w:val="right"/>
                      <w:rPr>
                        <w:rFonts w:asciiTheme="minorEastAsia" w:eastAsiaTheme="minorEastAsia" w:hAnsiTheme="minorEastAsia"/>
                        <w:spacing w:val="-20"/>
                        <w:sz w:val="18"/>
                        <w:szCs w:val="18"/>
                      </w:rPr>
                    </w:pPr>
                  </w:p>
                </w:tc>
                <w:tc>
                  <w:tcPr>
                    <w:tcW w:w="305" w:type="pct"/>
                    <w:vAlign w:val="center"/>
                  </w:tcPr>
                  <w:p w14:paraId="72D1BBDB" w14:textId="77777777" w:rsidR="007E7472" w:rsidRDefault="00C8327E">
                    <w:pPr>
                      <w:jc w:val="right"/>
                      <w:rPr>
                        <w:rFonts w:asciiTheme="minorEastAsia" w:eastAsiaTheme="minorEastAsia" w:hAnsiTheme="minorEastAsia"/>
                        <w:spacing w:val="-20"/>
                        <w:sz w:val="18"/>
                        <w:szCs w:val="18"/>
                      </w:rPr>
                    </w:pPr>
                  </w:p>
                </w:tc>
                <w:tc>
                  <w:tcPr>
                    <w:tcW w:w="255" w:type="pct"/>
                    <w:vAlign w:val="center"/>
                  </w:tcPr>
                  <w:p w14:paraId="7320C5B4" w14:textId="77777777" w:rsidR="007E7472" w:rsidRDefault="00C8327E">
                    <w:pPr>
                      <w:jc w:val="right"/>
                      <w:rPr>
                        <w:rFonts w:asciiTheme="minorEastAsia" w:eastAsiaTheme="minorEastAsia" w:hAnsiTheme="minorEastAsia"/>
                        <w:spacing w:val="-20"/>
                        <w:sz w:val="18"/>
                        <w:szCs w:val="18"/>
                      </w:rPr>
                    </w:pPr>
                  </w:p>
                </w:tc>
                <w:tc>
                  <w:tcPr>
                    <w:tcW w:w="359" w:type="pct"/>
                    <w:vAlign w:val="center"/>
                  </w:tcPr>
                  <w:p w14:paraId="4B4D820D" w14:textId="77777777" w:rsidR="007E7472" w:rsidRDefault="00C8327E">
                    <w:pPr>
                      <w:jc w:val="right"/>
                      <w:rPr>
                        <w:rFonts w:asciiTheme="minorEastAsia" w:eastAsiaTheme="minorEastAsia" w:hAnsiTheme="minorEastAsia"/>
                        <w:spacing w:val="-20"/>
                        <w:sz w:val="18"/>
                        <w:szCs w:val="18"/>
                      </w:rPr>
                    </w:pPr>
                  </w:p>
                </w:tc>
                <w:tc>
                  <w:tcPr>
                    <w:tcW w:w="252" w:type="pct"/>
                    <w:vAlign w:val="center"/>
                  </w:tcPr>
                  <w:p w14:paraId="778309B5"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371,618</w:t>
                    </w:r>
                  </w:p>
                </w:tc>
                <w:tc>
                  <w:tcPr>
                    <w:tcW w:w="255" w:type="pct"/>
                    <w:vAlign w:val="center"/>
                  </w:tcPr>
                  <w:p w14:paraId="79184E8D" w14:textId="77777777" w:rsidR="007E7472" w:rsidRDefault="00C8327E">
                    <w:pPr>
                      <w:jc w:val="right"/>
                      <w:rPr>
                        <w:rFonts w:asciiTheme="minorEastAsia" w:eastAsiaTheme="minorEastAsia" w:hAnsiTheme="minorEastAsia"/>
                        <w:spacing w:val="-20"/>
                        <w:sz w:val="18"/>
                        <w:szCs w:val="18"/>
                      </w:rPr>
                    </w:pPr>
                  </w:p>
                </w:tc>
                <w:tc>
                  <w:tcPr>
                    <w:tcW w:w="210" w:type="pct"/>
                    <w:vAlign w:val="center"/>
                  </w:tcPr>
                  <w:p w14:paraId="348A6358"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3C120501" w14:textId="77777777" w:rsidR="007E7472" w:rsidRDefault="00C8327E">
                    <w:pPr>
                      <w:jc w:val="right"/>
                      <w:rPr>
                        <w:rFonts w:asciiTheme="minorEastAsia" w:eastAsiaTheme="minorEastAsia" w:hAnsiTheme="minorEastAsia"/>
                        <w:spacing w:val="-20"/>
                        <w:sz w:val="18"/>
                        <w:szCs w:val="18"/>
                      </w:rPr>
                    </w:pPr>
                  </w:p>
                </w:tc>
                <w:tc>
                  <w:tcPr>
                    <w:tcW w:w="279" w:type="pct"/>
                    <w:vAlign w:val="center"/>
                  </w:tcPr>
                  <w:p w14:paraId="1A56CFA2" w14:textId="77777777" w:rsidR="007E7472" w:rsidRDefault="00C8327E">
                    <w:pPr>
                      <w:jc w:val="right"/>
                      <w:rPr>
                        <w:rFonts w:asciiTheme="minorEastAsia" w:eastAsiaTheme="minorEastAsia" w:hAnsiTheme="minorEastAsia"/>
                        <w:spacing w:val="-20"/>
                        <w:sz w:val="18"/>
                        <w:szCs w:val="18"/>
                      </w:rPr>
                    </w:pPr>
                  </w:p>
                </w:tc>
                <w:tc>
                  <w:tcPr>
                    <w:tcW w:w="331" w:type="pct"/>
                    <w:vAlign w:val="center"/>
                  </w:tcPr>
                  <w:p w14:paraId="0F682C48"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371,618</w:t>
                    </w:r>
                  </w:p>
                </w:tc>
                <w:tc>
                  <w:tcPr>
                    <w:tcW w:w="330" w:type="pct"/>
                    <w:vAlign w:val="center"/>
                  </w:tcPr>
                  <w:p w14:paraId="2A778300"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653</w:t>
                    </w:r>
                  </w:p>
                </w:tc>
                <w:tc>
                  <w:tcPr>
                    <w:tcW w:w="356" w:type="pct"/>
                    <w:vAlign w:val="center"/>
                  </w:tcPr>
                  <w:p w14:paraId="45E95D5C"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372,271</w:t>
                    </w:r>
                  </w:p>
                </w:tc>
              </w:tr>
              <w:tr w:rsidR="007E7472" w14:paraId="1298A8CE" w14:textId="77777777">
                <w:sdt>
                  <w:sdtPr>
                    <w:tag w:val="_PLD_749e92980f334c9cae023bb1dba136fc"/>
                    <w:id w:val="-1572037388"/>
                    <w:lock w:val="sdtLocked"/>
                  </w:sdtPr>
                  <w:sdtEndPr/>
                  <w:sdtContent>
                    <w:tc>
                      <w:tcPr>
                        <w:tcW w:w="628" w:type="pct"/>
                      </w:tcPr>
                      <w:p w14:paraId="7652551B" w14:textId="77777777" w:rsidR="007E7472" w:rsidRDefault="00EC1269">
                        <w:pPr>
                          <w:rPr>
                            <w:sz w:val="18"/>
                            <w:szCs w:val="18"/>
                          </w:rPr>
                        </w:pPr>
                        <w:r>
                          <w:rPr>
                            <w:rFonts w:hint="eastAsia"/>
                            <w:sz w:val="18"/>
                            <w:szCs w:val="18"/>
                          </w:rPr>
                          <w:t>（六）其他</w:t>
                        </w:r>
                      </w:p>
                    </w:tc>
                  </w:sdtContent>
                </w:sdt>
                <w:tc>
                  <w:tcPr>
                    <w:tcW w:w="305" w:type="pct"/>
                    <w:vAlign w:val="center"/>
                  </w:tcPr>
                  <w:p w14:paraId="4F97F314" w14:textId="77777777" w:rsidR="007E7472" w:rsidRDefault="00C8327E">
                    <w:pPr>
                      <w:jc w:val="right"/>
                      <w:rPr>
                        <w:rFonts w:asciiTheme="minorEastAsia" w:eastAsiaTheme="minorEastAsia" w:hAnsiTheme="minorEastAsia"/>
                        <w:spacing w:val="-20"/>
                        <w:sz w:val="18"/>
                        <w:szCs w:val="18"/>
                      </w:rPr>
                    </w:pPr>
                  </w:p>
                </w:tc>
                <w:tc>
                  <w:tcPr>
                    <w:tcW w:w="237" w:type="pct"/>
                    <w:vAlign w:val="center"/>
                  </w:tcPr>
                  <w:p w14:paraId="1355334A"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469D5C5F" w14:textId="77777777" w:rsidR="007E7472" w:rsidRDefault="00C8327E">
                    <w:pPr>
                      <w:jc w:val="right"/>
                      <w:rPr>
                        <w:rFonts w:asciiTheme="minorEastAsia" w:eastAsiaTheme="minorEastAsia" w:hAnsiTheme="minorEastAsia"/>
                        <w:spacing w:val="-20"/>
                        <w:sz w:val="18"/>
                        <w:szCs w:val="18"/>
                      </w:rPr>
                    </w:pPr>
                  </w:p>
                </w:tc>
                <w:tc>
                  <w:tcPr>
                    <w:tcW w:w="239" w:type="pct"/>
                    <w:vAlign w:val="center"/>
                  </w:tcPr>
                  <w:p w14:paraId="1DED9516" w14:textId="77777777" w:rsidR="007E7472" w:rsidRDefault="00C8327E">
                    <w:pPr>
                      <w:jc w:val="right"/>
                      <w:rPr>
                        <w:rFonts w:asciiTheme="minorEastAsia" w:eastAsiaTheme="minorEastAsia" w:hAnsiTheme="minorEastAsia"/>
                        <w:spacing w:val="-20"/>
                        <w:sz w:val="18"/>
                        <w:szCs w:val="18"/>
                      </w:rPr>
                    </w:pPr>
                  </w:p>
                </w:tc>
                <w:tc>
                  <w:tcPr>
                    <w:tcW w:w="305" w:type="pct"/>
                    <w:vAlign w:val="center"/>
                  </w:tcPr>
                  <w:p w14:paraId="3E7D2809" w14:textId="77777777" w:rsidR="007E7472" w:rsidRDefault="00C8327E">
                    <w:pPr>
                      <w:jc w:val="right"/>
                      <w:rPr>
                        <w:rFonts w:asciiTheme="minorEastAsia" w:eastAsiaTheme="minorEastAsia" w:hAnsiTheme="minorEastAsia"/>
                        <w:spacing w:val="-20"/>
                        <w:sz w:val="18"/>
                        <w:szCs w:val="18"/>
                      </w:rPr>
                    </w:pPr>
                  </w:p>
                </w:tc>
                <w:tc>
                  <w:tcPr>
                    <w:tcW w:w="255" w:type="pct"/>
                    <w:vAlign w:val="center"/>
                  </w:tcPr>
                  <w:p w14:paraId="6275C034" w14:textId="77777777" w:rsidR="007E7472" w:rsidRDefault="00C8327E">
                    <w:pPr>
                      <w:jc w:val="right"/>
                      <w:rPr>
                        <w:rFonts w:asciiTheme="minorEastAsia" w:eastAsiaTheme="minorEastAsia" w:hAnsiTheme="minorEastAsia"/>
                        <w:spacing w:val="-20"/>
                        <w:sz w:val="18"/>
                        <w:szCs w:val="18"/>
                      </w:rPr>
                    </w:pPr>
                  </w:p>
                </w:tc>
                <w:tc>
                  <w:tcPr>
                    <w:tcW w:w="359" w:type="pct"/>
                    <w:vAlign w:val="center"/>
                  </w:tcPr>
                  <w:p w14:paraId="5A5B6A0C" w14:textId="77777777" w:rsidR="007E7472" w:rsidRDefault="00C8327E">
                    <w:pPr>
                      <w:jc w:val="right"/>
                      <w:rPr>
                        <w:rFonts w:asciiTheme="minorEastAsia" w:eastAsiaTheme="minorEastAsia" w:hAnsiTheme="minorEastAsia"/>
                        <w:spacing w:val="-20"/>
                        <w:sz w:val="18"/>
                        <w:szCs w:val="18"/>
                      </w:rPr>
                    </w:pPr>
                  </w:p>
                </w:tc>
                <w:tc>
                  <w:tcPr>
                    <w:tcW w:w="252" w:type="pct"/>
                    <w:vAlign w:val="center"/>
                  </w:tcPr>
                  <w:p w14:paraId="0000426D"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-22,950</w:t>
                    </w:r>
                  </w:p>
                </w:tc>
                <w:tc>
                  <w:tcPr>
                    <w:tcW w:w="255" w:type="pct"/>
                    <w:vAlign w:val="center"/>
                  </w:tcPr>
                  <w:p w14:paraId="250110F0" w14:textId="77777777" w:rsidR="007E7472" w:rsidRDefault="00C8327E">
                    <w:pPr>
                      <w:jc w:val="right"/>
                      <w:rPr>
                        <w:rFonts w:asciiTheme="minorEastAsia" w:eastAsiaTheme="minorEastAsia" w:hAnsiTheme="minorEastAsia"/>
                        <w:spacing w:val="-20"/>
                        <w:sz w:val="18"/>
                        <w:szCs w:val="18"/>
                      </w:rPr>
                    </w:pPr>
                  </w:p>
                </w:tc>
                <w:tc>
                  <w:tcPr>
                    <w:tcW w:w="210" w:type="pct"/>
                    <w:vAlign w:val="center"/>
                  </w:tcPr>
                  <w:p w14:paraId="34F389A7"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7DF49159"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22,950</w:t>
                    </w:r>
                  </w:p>
                </w:tc>
                <w:tc>
                  <w:tcPr>
                    <w:tcW w:w="279" w:type="pct"/>
                    <w:vAlign w:val="center"/>
                  </w:tcPr>
                  <w:p w14:paraId="2A7900B0" w14:textId="77777777" w:rsidR="007E7472" w:rsidRDefault="00C8327E">
                    <w:pPr>
                      <w:jc w:val="right"/>
                      <w:rPr>
                        <w:rFonts w:asciiTheme="minorEastAsia" w:eastAsiaTheme="minorEastAsia" w:hAnsiTheme="minorEastAsia"/>
                        <w:spacing w:val="-20"/>
                        <w:sz w:val="18"/>
                        <w:szCs w:val="18"/>
                      </w:rPr>
                    </w:pPr>
                  </w:p>
                </w:tc>
                <w:tc>
                  <w:tcPr>
                    <w:tcW w:w="331" w:type="pct"/>
                    <w:vAlign w:val="center"/>
                  </w:tcPr>
                  <w:p w14:paraId="7F1C356D"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783AA076" w14:textId="77777777" w:rsidR="007E7472" w:rsidRDefault="00C8327E">
                    <w:pPr>
                      <w:jc w:val="right"/>
                      <w:rPr>
                        <w:rFonts w:asciiTheme="minorEastAsia" w:eastAsiaTheme="minorEastAsia" w:hAnsiTheme="minorEastAsia"/>
                        <w:spacing w:val="-20"/>
                        <w:sz w:val="18"/>
                        <w:szCs w:val="18"/>
                      </w:rPr>
                    </w:pPr>
                  </w:p>
                </w:tc>
                <w:tc>
                  <w:tcPr>
                    <w:tcW w:w="356" w:type="pct"/>
                    <w:vAlign w:val="center"/>
                  </w:tcPr>
                  <w:p w14:paraId="7C2AD775" w14:textId="77777777" w:rsidR="007E7472" w:rsidRDefault="00C8327E">
                    <w:pPr>
                      <w:jc w:val="right"/>
                      <w:rPr>
                        <w:rFonts w:asciiTheme="minorEastAsia" w:eastAsiaTheme="minorEastAsia" w:hAnsiTheme="minorEastAsia"/>
                        <w:spacing w:val="-20"/>
                        <w:sz w:val="18"/>
                        <w:szCs w:val="18"/>
                      </w:rPr>
                    </w:pPr>
                  </w:p>
                </w:tc>
              </w:tr>
              <w:tr w:rsidR="007E7472" w14:paraId="7115D2C6" w14:textId="77777777">
                <w:sdt>
                  <w:sdtPr>
                    <w:tag w:val="_PLD_e9c8435b637745858c6ad855ad7bbea0"/>
                    <w:id w:val="-1780105535"/>
                    <w:lock w:val="sdtLocked"/>
                  </w:sdtPr>
                  <w:sdtEndPr/>
                  <w:sdtContent>
                    <w:tc>
                      <w:tcPr>
                        <w:tcW w:w="628" w:type="pct"/>
                      </w:tcPr>
                      <w:p w14:paraId="05909FB6" w14:textId="77777777" w:rsidR="007E7472" w:rsidRDefault="00EC1269">
                        <w:pPr>
                          <w:rPr>
                            <w:sz w:val="18"/>
                            <w:szCs w:val="18"/>
                          </w:rPr>
                        </w:pPr>
                        <w:r>
                          <w:rPr>
                            <w:sz w:val="18"/>
                            <w:szCs w:val="18"/>
                          </w:rPr>
                          <w:t>四、本期期末余额</w:t>
                        </w:r>
                      </w:p>
                    </w:tc>
                  </w:sdtContent>
                </w:sdt>
                <w:tc>
                  <w:tcPr>
                    <w:tcW w:w="305" w:type="pct"/>
                    <w:vAlign w:val="center"/>
                  </w:tcPr>
                  <w:p w14:paraId="184BB76D"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4,948,704</w:t>
                    </w:r>
                  </w:p>
                </w:tc>
                <w:tc>
                  <w:tcPr>
                    <w:tcW w:w="237" w:type="pct"/>
                    <w:vAlign w:val="center"/>
                  </w:tcPr>
                  <w:p w14:paraId="2BC88DD1"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47F54DC3"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13,072,39</w:t>
                    </w:r>
                    <w:r>
                      <w:rPr>
                        <w:rFonts w:asciiTheme="minorEastAsia" w:eastAsiaTheme="minorEastAsia" w:hAnsiTheme="minorEastAsia"/>
                        <w:spacing w:val="-20"/>
                        <w:sz w:val="18"/>
                        <w:szCs w:val="18"/>
                      </w:rPr>
                      <w:t>7</w:t>
                    </w:r>
                  </w:p>
                </w:tc>
                <w:tc>
                  <w:tcPr>
                    <w:tcW w:w="239" w:type="pct"/>
                    <w:vAlign w:val="center"/>
                  </w:tcPr>
                  <w:p w14:paraId="28B50C94" w14:textId="77777777" w:rsidR="007E7472" w:rsidRDefault="00C8327E">
                    <w:pPr>
                      <w:jc w:val="right"/>
                      <w:rPr>
                        <w:rFonts w:asciiTheme="minorEastAsia" w:eastAsiaTheme="minorEastAsia" w:hAnsiTheme="minorEastAsia"/>
                        <w:spacing w:val="-20"/>
                        <w:sz w:val="18"/>
                        <w:szCs w:val="18"/>
                      </w:rPr>
                    </w:pPr>
                  </w:p>
                </w:tc>
                <w:tc>
                  <w:tcPr>
                    <w:tcW w:w="305" w:type="pct"/>
                    <w:vAlign w:val="center"/>
                  </w:tcPr>
                  <w:p w14:paraId="44B06255"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1,756,176</w:t>
                    </w:r>
                  </w:p>
                </w:tc>
                <w:tc>
                  <w:tcPr>
                    <w:tcW w:w="255" w:type="pct"/>
                    <w:vAlign w:val="center"/>
                  </w:tcPr>
                  <w:p w14:paraId="3DB9252E"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723,593</w:t>
                    </w:r>
                  </w:p>
                </w:tc>
                <w:tc>
                  <w:tcPr>
                    <w:tcW w:w="359" w:type="pct"/>
                    <w:vAlign w:val="center"/>
                  </w:tcPr>
                  <w:p w14:paraId="02D42870"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spacing w:val="-20"/>
                        <w:sz w:val="18"/>
                        <w:szCs w:val="18"/>
                      </w:rPr>
                      <w:t>-</w:t>
                    </w:r>
                    <w:r>
                      <w:rPr>
                        <w:rFonts w:asciiTheme="minorEastAsia" w:eastAsiaTheme="minorEastAsia" w:hAnsiTheme="minorEastAsia" w:hint="eastAsia"/>
                        <w:spacing w:val="-20"/>
                        <w:sz w:val="18"/>
                        <w:szCs w:val="18"/>
                      </w:rPr>
                      <w:t>7,520,45</w:t>
                    </w:r>
                    <w:r>
                      <w:rPr>
                        <w:rFonts w:asciiTheme="minorEastAsia" w:eastAsiaTheme="minorEastAsia" w:hAnsiTheme="minorEastAsia"/>
                        <w:spacing w:val="-20"/>
                        <w:sz w:val="18"/>
                        <w:szCs w:val="18"/>
                      </w:rPr>
                      <w:t>2</w:t>
                    </w:r>
                  </w:p>
                </w:tc>
                <w:tc>
                  <w:tcPr>
                    <w:tcW w:w="252" w:type="pct"/>
                    <w:vAlign w:val="center"/>
                  </w:tcPr>
                  <w:p w14:paraId="201FF22F"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5,193,988</w:t>
                    </w:r>
                  </w:p>
                </w:tc>
                <w:tc>
                  <w:tcPr>
                    <w:tcW w:w="255" w:type="pct"/>
                    <w:vAlign w:val="center"/>
                  </w:tcPr>
                  <w:p w14:paraId="049AAFF9"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912,700</w:t>
                    </w:r>
                  </w:p>
                </w:tc>
                <w:tc>
                  <w:tcPr>
                    <w:tcW w:w="210" w:type="pct"/>
                    <w:vAlign w:val="center"/>
                  </w:tcPr>
                  <w:p w14:paraId="3D5DA518" w14:textId="77777777" w:rsidR="007E7472" w:rsidRDefault="00C8327E">
                    <w:pPr>
                      <w:jc w:val="right"/>
                      <w:rPr>
                        <w:rFonts w:asciiTheme="minorEastAsia" w:eastAsiaTheme="minorEastAsia" w:hAnsiTheme="minorEastAsia"/>
                        <w:spacing w:val="-20"/>
                        <w:sz w:val="18"/>
                        <w:szCs w:val="18"/>
                      </w:rPr>
                    </w:pPr>
                  </w:p>
                </w:tc>
                <w:tc>
                  <w:tcPr>
                    <w:tcW w:w="330" w:type="pct"/>
                    <w:vAlign w:val="center"/>
                  </w:tcPr>
                  <w:p w14:paraId="4C93680E"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64,691,751</w:t>
                    </w:r>
                  </w:p>
                </w:tc>
                <w:tc>
                  <w:tcPr>
                    <w:tcW w:w="279" w:type="pct"/>
                    <w:vAlign w:val="center"/>
                  </w:tcPr>
                  <w:p w14:paraId="4E0BAEDC" w14:textId="77777777" w:rsidR="007E7472" w:rsidRDefault="00C8327E">
                    <w:pPr>
                      <w:jc w:val="right"/>
                      <w:rPr>
                        <w:rFonts w:asciiTheme="minorEastAsia" w:eastAsiaTheme="minorEastAsia" w:hAnsiTheme="minorEastAsia"/>
                        <w:spacing w:val="-20"/>
                        <w:sz w:val="18"/>
                        <w:szCs w:val="18"/>
                      </w:rPr>
                    </w:pPr>
                  </w:p>
                </w:tc>
                <w:tc>
                  <w:tcPr>
                    <w:tcW w:w="331" w:type="pct"/>
                    <w:vAlign w:val="center"/>
                  </w:tcPr>
                  <w:p w14:paraId="31401C98"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spacing w:val="-20"/>
                        <w:sz w:val="18"/>
                        <w:szCs w:val="18"/>
                      </w:rPr>
                      <w:t>82,331,671</w:t>
                    </w:r>
                  </w:p>
                </w:tc>
                <w:tc>
                  <w:tcPr>
                    <w:tcW w:w="330" w:type="pct"/>
                    <w:vAlign w:val="center"/>
                  </w:tcPr>
                  <w:p w14:paraId="0395B190"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29,875,88</w:t>
                    </w:r>
                    <w:r>
                      <w:rPr>
                        <w:rFonts w:asciiTheme="minorEastAsia" w:eastAsiaTheme="minorEastAsia" w:hAnsiTheme="minorEastAsia"/>
                        <w:spacing w:val="-20"/>
                        <w:sz w:val="18"/>
                        <w:szCs w:val="18"/>
                      </w:rPr>
                      <w:t>6</w:t>
                    </w:r>
                  </w:p>
                </w:tc>
                <w:tc>
                  <w:tcPr>
                    <w:tcW w:w="356" w:type="pct"/>
                    <w:vAlign w:val="center"/>
                  </w:tcPr>
                  <w:p w14:paraId="20C99996" w14:textId="77777777" w:rsidR="007E7472" w:rsidRDefault="00EC1269">
                    <w:pPr>
                      <w:jc w:val="right"/>
                      <w:rPr>
                        <w:rFonts w:asciiTheme="minorEastAsia" w:eastAsiaTheme="minorEastAsia" w:hAnsiTheme="minorEastAsia"/>
                        <w:spacing w:val="-20"/>
                        <w:sz w:val="18"/>
                        <w:szCs w:val="18"/>
                      </w:rPr>
                    </w:pPr>
                    <w:r>
                      <w:rPr>
                        <w:rFonts w:asciiTheme="minorEastAsia" w:eastAsiaTheme="minorEastAsia" w:hAnsiTheme="minorEastAsia" w:hint="eastAsia"/>
                        <w:spacing w:val="-20"/>
                        <w:sz w:val="18"/>
                        <w:szCs w:val="18"/>
                      </w:rPr>
                      <w:t>112,207,55</w:t>
                    </w:r>
                    <w:r>
                      <w:rPr>
                        <w:rFonts w:asciiTheme="minorEastAsia" w:eastAsiaTheme="minorEastAsia" w:hAnsiTheme="minorEastAsia"/>
                        <w:spacing w:val="-20"/>
                        <w:sz w:val="18"/>
                        <w:szCs w:val="18"/>
                      </w:rPr>
                      <w:t>7</w:t>
                    </w:r>
                  </w:p>
                </w:tc>
              </w:tr>
            </w:tbl>
            <w:p w14:paraId="6D43FA7A" w14:textId="77777777" w:rsidR="007E7472" w:rsidRDefault="00C8327E"/>
            <w:p w14:paraId="63ED0098" w14:textId="493F46D6" w:rsidR="007E7472" w:rsidRDefault="00EC1269">
              <w:pPr>
                <w:snapToGrid w:val="0"/>
                <w:spacing w:line="240" w:lineRule="atLeast"/>
                <w:rPr>
                  <w:b/>
                  <w:bCs/>
                  <w:color w:val="FF0000"/>
                </w:rPr>
              </w:pPr>
              <w:r>
                <w:t>公司负责人</w:t>
              </w:r>
              <w:r>
                <w:rPr>
                  <w:rFonts w:hint="eastAsia"/>
                </w:rPr>
                <w:t>：</w:t>
              </w:r>
              <w:sdt>
                <w:sdtPr>
                  <w:rPr>
                    <w:rFonts w:hint="eastAsia"/>
                  </w:rPr>
                  <w:alias w:val="公司负责人"/>
                  <w:tag w:val="_GBC_076a4a0998a840bab20f0ed83e5bab3d"/>
                  <w:id w:val="1468394123"/>
                  <w:lock w:val="sdtLocked"/>
                  <w:dataBinding w:prefixMappings="xmlns:clcid-mr='clcid-mr'" w:xpath="/*/clcid-mr:GongSiFuZeRenXingMing[not(@periodRef)]" w:storeItemID="{89EBAB94-44A0-46A2-B712-30D997D04A6D}"/>
                  <w:text/>
                </w:sdtPr>
                <w:sdtEndPr/>
                <w:sdtContent>
                  <w:r w:rsidR="00B47FFE">
                    <w:rPr>
                      <w:rFonts w:hint="eastAsia"/>
                    </w:rPr>
                    <w:t>李伟</w:t>
                  </w:r>
                </w:sdtContent>
              </w:sdt>
              <w:r>
                <w:t>主管会计工作负责人</w:t>
              </w:r>
              <w:r>
                <w:rPr>
                  <w:rFonts w:hint="eastAsia"/>
                </w:rPr>
                <w:t>：</w:t>
              </w:r>
              <w:sdt>
                <w:sdtPr>
                  <w:rPr>
                    <w:rFonts w:hint="eastAsia"/>
                  </w:rPr>
                  <w:alias w:val="主管会计工作负责人姓名"/>
                  <w:tag w:val="_GBC_5b21002df9e248fa81a6770579ce76cd"/>
                  <w:id w:val="1004324771"/>
                  <w:lock w:val="sdtLocked"/>
                  <w:dataBinding w:prefixMappings="xmlns:clcid-mr='clcid-mr'" w:xpath="/*/clcid-mr:ZhuGuanKuaiJiGongZuoFuZeRenXingMing[not(@periodRef)]" w:storeItemID="{89EBAB94-44A0-46A2-B712-30D997D04A6D}"/>
                  <w:text/>
                </w:sdtPr>
                <w:sdtEndPr/>
                <w:sdtContent>
                  <w:r w:rsidR="00B47FFE">
                    <w:rPr>
                      <w:rFonts w:hint="eastAsia"/>
                    </w:rPr>
                    <w:t>赵青春</w:t>
                  </w:r>
                </w:sdtContent>
              </w:sdt>
              <w:r>
                <w:t>会计机构负责人</w:t>
              </w:r>
              <w:r>
                <w:rPr>
                  <w:rFonts w:hint="eastAsia"/>
                </w:rPr>
                <w:t>：</w:t>
              </w:r>
              <w:sdt>
                <w:sdtPr>
                  <w:rPr>
                    <w:rFonts w:hint="eastAsia"/>
                  </w:rPr>
                  <w:alias w:val="会计机构负责人姓名"/>
                  <w:tag w:val="_GBC_6a446d6543174dc48c72d440eefb0b71"/>
                  <w:id w:val="824623563"/>
                  <w:lock w:val="sdtLocked"/>
                  <w:dataBinding w:prefixMappings="xmlns:clcid-mr='clcid-mr'" w:xpath="/*/clcid-mr:KuaiJiJiGouFuZeRenXingMing[not(@periodRef)]" w:storeItemID="{89EBAB94-44A0-46A2-B712-30D997D04A6D}"/>
                  <w:text/>
                </w:sdtPr>
                <w:sdtEndPr/>
                <w:sdtContent>
                  <w:r w:rsidR="006F3F93">
                    <w:rPr>
                      <w:rFonts w:hint="eastAsia"/>
                    </w:rPr>
                    <w:t>赵治国</w:t>
                  </w:r>
                </w:sdtContent>
              </w:sdt>
            </w:p>
          </w:sdtContent>
        </w:sdt>
        <w:p w14:paraId="163CC52D" w14:textId="77777777" w:rsidR="007E7472" w:rsidRDefault="00C8327E"/>
        <w:p w14:paraId="34650FC9" w14:textId="77777777" w:rsidR="007E7472" w:rsidRDefault="00C8327E"/>
        <w:p w14:paraId="241B73F4" w14:textId="77777777" w:rsidR="007E7472" w:rsidRDefault="00C8327E"/>
        <w:p w14:paraId="4C3C1AA0" w14:textId="77777777" w:rsidR="007E7472" w:rsidRDefault="00C8327E"/>
        <w:sdt>
          <w:sdtPr>
            <w:rPr>
              <w:rFonts w:ascii="宋体" w:hAnsi="宋体" w:cs="宋体"/>
              <w:b w:val="0"/>
              <w:bCs w:val="0"/>
              <w:kern w:val="0"/>
              <w:szCs w:val="24"/>
            </w:rPr>
            <w:tag w:val="_GBC_24560eea01804b8b9d3678736eb60ca8"/>
            <w:id w:val="-97804065"/>
            <w:lock w:val="sdtLocked"/>
          </w:sdtPr>
          <w:sdtEndPr>
            <w:rPr>
              <w:rFonts w:hint="eastAsia"/>
              <w:szCs w:val="21"/>
            </w:rPr>
          </w:sdtEndPr>
          <w:sdtContent>
            <w:p w14:paraId="38D654CD" w14:textId="77777777" w:rsidR="007E7472" w:rsidRDefault="00EC1269" w:rsidP="007E7472">
              <w:pPr>
                <w:pStyle w:val="3"/>
                <w:jc w:val="center"/>
              </w:pPr>
              <w:r>
                <w:t>母公司</w:t>
              </w:r>
              <w:r>
                <w:rPr>
                  <w:rFonts w:hint="eastAsia"/>
                </w:rPr>
                <w:t>所有者权益变动表</w:t>
              </w:r>
            </w:p>
            <w:p w14:paraId="11800CCD" w14:textId="77777777" w:rsidR="007E7472" w:rsidRDefault="00EC1269">
              <w:pPr>
                <w:tabs>
                  <w:tab w:val="left" w:pos="10080"/>
                </w:tabs>
                <w:snapToGrid w:val="0"/>
                <w:spacing w:line="240" w:lineRule="atLeast"/>
                <w:ind w:rightChars="12" w:right="25"/>
                <w:jc w:val="center"/>
                <w:rPr>
                  <w:b/>
                  <w:bCs/>
                </w:rPr>
              </w:pPr>
              <w:r>
                <w:t>2023年</w:t>
              </w:r>
              <w:r>
                <w:rPr>
                  <w:rFonts w:hint="eastAsia"/>
                </w:rPr>
                <w:t>1—6</w:t>
              </w:r>
              <w:r>
                <w:t>月</w:t>
              </w:r>
            </w:p>
            <w:p w14:paraId="7877BD28" w14:textId="23B1F018" w:rsidR="007E7472" w:rsidRDefault="00EC1269">
              <w:pPr>
                <w:snapToGrid w:val="0"/>
                <w:spacing w:line="240" w:lineRule="atLeast"/>
                <w:jc w:val="right"/>
              </w:pPr>
              <w:r>
                <w:t>单位：</w:t>
              </w:r>
              <w:sdt>
                <w:sdtPr>
                  <w:alias w:val="单位：母公司股东权益调节表"/>
                  <w:tag w:val="_GBC_048773409e614c6bb753000b028316a5"/>
                  <w:id w:val="-484709650"/>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6F3F93">
                    <w:t>千元</w:t>
                  </w:r>
                </w:sdtContent>
              </w:sdt>
              <w:r>
                <w:t>币种：</w:t>
              </w:r>
              <w:sdt>
                <w:sdtPr>
                  <w:alias w:val="币种：母公司股东权益调节表"/>
                  <w:tag w:val="_GBC_5214b7a188334da286fc3038d017d072"/>
                  <w:id w:val="62844520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t>人民币</w:t>
                  </w:r>
                </w:sdtContent>
              </w:sdt>
            </w:p>
            <w:tbl>
              <w:tblPr>
                <w:tblStyle w:val="g4"/>
                <w:tblW w:w="13960" w:type="dxa"/>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50"/>
                <w:gridCol w:w="1078"/>
                <w:gridCol w:w="810"/>
                <w:gridCol w:w="1134"/>
                <w:gridCol w:w="1134"/>
                <w:gridCol w:w="992"/>
                <w:gridCol w:w="1134"/>
                <w:gridCol w:w="992"/>
                <w:gridCol w:w="1181"/>
                <w:gridCol w:w="945"/>
                <w:gridCol w:w="993"/>
                <w:gridCol w:w="1117"/>
              </w:tblGrid>
              <w:tr w:rsidR="007E7472" w14:paraId="1B1B9DE4" w14:textId="77777777">
                <w:trPr>
                  <w:trHeight w:val="20"/>
                </w:trPr>
                <w:sdt>
                  <w:sdtPr>
                    <w:tag w:val="_PLD_e16babcb874e4410be91226aac3d24db"/>
                    <w:id w:val="1868794533"/>
                    <w:lock w:val="sdtLocked"/>
                  </w:sdtPr>
                  <w:sdtEndPr/>
                  <w:sdtContent>
                    <w:tc>
                      <w:tcPr>
                        <w:tcW w:w="2450" w:type="dxa"/>
                        <w:vMerge w:val="restart"/>
                        <w:vAlign w:val="center"/>
                      </w:tcPr>
                      <w:p w14:paraId="24A09993" w14:textId="77777777" w:rsidR="007E7472" w:rsidRDefault="00EC1269">
                        <w:pPr>
                          <w:adjustRightInd w:val="0"/>
                          <w:snapToGrid w:val="0"/>
                          <w:jc w:val="center"/>
                          <w:rPr>
                            <w:sz w:val="18"/>
                            <w:szCs w:val="18"/>
                          </w:rPr>
                        </w:pPr>
                        <w:r>
                          <w:rPr>
                            <w:rFonts w:hint="eastAsia"/>
                            <w:sz w:val="18"/>
                            <w:szCs w:val="18"/>
                          </w:rPr>
                          <w:t>项目</w:t>
                        </w:r>
                      </w:p>
                    </w:tc>
                  </w:sdtContent>
                </w:sdt>
                <w:tc>
                  <w:tcPr>
                    <w:tcW w:w="11510" w:type="dxa"/>
                    <w:gridSpan w:val="11"/>
                    <w:vAlign w:val="center"/>
                  </w:tcPr>
                  <w:p w14:paraId="40306190" w14:textId="77777777" w:rsidR="007E7472" w:rsidRDefault="00C8327E">
                    <w:pPr>
                      <w:adjustRightInd w:val="0"/>
                      <w:snapToGrid w:val="0"/>
                      <w:jc w:val="center"/>
                    </w:pPr>
                    <w:sdt>
                      <w:sdtPr>
                        <w:rPr>
                          <w:rFonts w:hint="eastAsia"/>
                        </w:rPr>
                        <w:tag w:val="_PLD_f6e21c3ce66d4e148eea3bf743a653b8"/>
                        <w:id w:val="935636976"/>
                        <w:lock w:val="sdtLocked"/>
                      </w:sdtPr>
                      <w:sdtEndPr/>
                      <w:sdtContent>
                        <w:r w:rsidR="00EC1269">
                          <w:rPr>
                            <w:rFonts w:hint="eastAsia"/>
                            <w:sz w:val="18"/>
                          </w:rPr>
                          <w:t>2023年半年度</w:t>
                        </w:r>
                      </w:sdtContent>
                    </w:sdt>
                  </w:p>
                </w:tc>
              </w:tr>
              <w:tr w:rsidR="007E7472" w14:paraId="626FA61B" w14:textId="77777777">
                <w:trPr>
                  <w:trHeight w:val="315"/>
                </w:trPr>
                <w:tc>
                  <w:tcPr>
                    <w:tcW w:w="2450" w:type="dxa"/>
                    <w:vMerge/>
                  </w:tcPr>
                  <w:p w14:paraId="0D84FFBC" w14:textId="77777777" w:rsidR="007E7472" w:rsidRDefault="00C8327E">
                    <w:pPr>
                      <w:adjustRightInd w:val="0"/>
                      <w:snapToGrid w:val="0"/>
                      <w:rPr>
                        <w:sz w:val="18"/>
                        <w:szCs w:val="18"/>
                      </w:rPr>
                    </w:pPr>
                  </w:p>
                </w:tc>
                <w:sdt>
                  <w:sdtPr>
                    <w:tag w:val="_PLD_0b6e9703ed65458cb162afd47e6cc9f5"/>
                    <w:id w:val="-29116069"/>
                    <w:lock w:val="sdtLocked"/>
                  </w:sdtPr>
                  <w:sdtEndPr/>
                  <w:sdtContent>
                    <w:tc>
                      <w:tcPr>
                        <w:tcW w:w="1078" w:type="dxa"/>
                        <w:vMerge w:val="restart"/>
                        <w:tcBorders>
                          <w:right w:val="single" w:sz="4" w:space="0" w:color="auto"/>
                        </w:tcBorders>
                        <w:vAlign w:val="center"/>
                      </w:tcPr>
                      <w:p w14:paraId="425382D9" w14:textId="77777777" w:rsidR="007E7472" w:rsidRDefault="00EC1269">
                        <w:pPr>
                          <w:adjustRightInd w:val="0"/>
                          <w:snapToGrid w:val="0"/>
                          <w:jc w:val="center"/>
                          <w:rPr>
                            <w:sz w:val="18"/>
                            <w:szCs w:val="18"/>
                          </w:rPr>
                        </w:pPr>
                        <w:r>
                          <w:rPr>
                            <w:rFonts w:hint="eastAsia"/>
                            <w:sz w:val="18"/>
                            <w:szCs w:val="18"/>
                          </w:rPr>
                          <w:t>实收资本</w:t>
                        </w:r>
                        <w:r>
                          <w:rPr>
                            <w:sz w:val="18"/>
                            <w:szCs w:val="18"/>
                          </w:rPr>
                          <w:t>(或股本)</w:t>
                        </w:r>
                      </w:p>
                    </w:tc>
                  </w:sdtContent>
                </w:sdt>
                <w:sdt>
                  <w:sdtPr>
                    <w:tag w:val="_PLD_385a3413585444238bb59d181b958311"/>
                    <w:id w:val="1054434290"/>
                    <w:lock w:val="sdtLocked"/>
                  </w:sdtPr>
                  <w:sdtEndPr/>
                  <w:sdtContent>
                    <w:tc>
                      <w:tcPr>
                        <w:tcW w:w="3078" w:type="dxa"/>
                        <w:gridSpan w:val="3"/>
                        <w:tcBorders>
                          <w:left w:val="single" w:sz="4" w:space="0" w:color="auto"/>
                          <w:bottom w:val="single" w:sz="4" w:space="0" w:color="auto"/>
                        </w:tcBorders>
                        <w:vAlign w:val="center"/>
                      </w:tcPr>
                      <w:p w14:paraId="18CF977A" w14:textId="77777777" w:rsidR="007E7472" w:rsidRDefault="00EC1269">
                        <w:pPr>
                          <w:adjustRightInd w:val="0"/>
                          <w:snapToGrid w:val="0"/>
                          <w:jc w:val="center"/>
                          <w:rPr>
                            <w:sz w:val="18"/>
                            <w:szCs w:val="18"/>
                          </w:rPr>
                        </w:pPr>
                        <w:r>
                          <w:rPr>
                            <w:rFonts w:hint="eastAsia"/>
                            <w:sz w:val="18"/>
                            <w:szCs w:val="18"/>
                          </w:rPr>
                          <w:t>其他权益工具</w:t>
                        </w:r>
                      </w:p>
                    </w:tc>
                  </w:sdtContent>
                </w:sdt>
                <w:sdt>
                  <w:sdtPr>
                    <w:tag w:val="_PLD_670488de432c4150880353e82f6ebb21"/>
                    <w:id w:val="-1533414534"/>
                    <w:lock w:val="sdtLocked"/>
                  </w:sdtPr>
                  <w:sdtEndPr/>
                  <w:sdtContent>
                    <w:tc>
                      <w:tcPr>
                        <w:tcW w:w="992" w:type="dxa"/>
                        <w:vMerge w:val="restart"/>
                        <w:vAlign w:val="center"/>
                      </w:tcPr>
                      <w:p w14:paraId="6EF2D239" w14:textId="77777777" w:rsidR="007E7472" w:rsidRDefault="00EC1269">
                        <w:pPr>
                          <w:adjustRightInd w:val="0"/>
                          <w:snapToGrid w:val="0"/>
                          <w:jc w:val="center"/>
                          <w:rPr>
                            <w:sz w:val="18"/>
                            <w:szCs w:val="18"/>
                          </w:rPr>
                        </w:pPr>
                        <w:r>
                          <w:rPr>
                            <w:sz w:val="18"/>
                            <w:szCs w:val="18"/>
                          </w:rPr>
                          <w:t>资本公积</w:t>
                        </w:r>
                      </w:p>
                    </w:tc>
                  </w:sdtContent>
                </w:sdt>
                <w:sdt>
                  <w:sdtPr>
                    <w:tag w:val="_PLD_c1c25c4e521b4e8aba5ccfef16a558c5"/>
                    <w:id w:val="154652847"/>
                    <w:lock w:val="sdtLocked"/>
                  </w:sdtPr>
                  <w:sdtEndPr/>
                  <w:sdtContent>
                    <w:tc>
                      <w:tcPr>
                        <w:tcW w:w="1134" w:type="dxa"/>
                        <w:vMerge w:val="restart"/>
                        <w:vAlign w:val="center"/>
                      </w:tcPr>
                      <w:p w14:paraId="7477C9AB" w14:textId="77777777" w:rsidR="007E7472" w:rsidRDefault="00EC1269">
                        <w:pPr>
                          <w:adjustRightInd w:val="0"/>
                          <w:snapToGrid w:val="0"/>
                          <w:jc w:val="center"/>
                          <w:rPr>
                            <w:sz w:val="18"/>
                            <w:szCs w:val="18"/>
                          </w:rPr>
                        </w:pPr>
                        <w:r>
                          <w:rPr>
                            <w:sz w:val="18"/>
                            <w:szCs w:val="18"/>
                          </w:rPr>
                          <w:t>减：库存股</w:t>
                        </w:r>
                      </w:p>
                    </w:tc>
                  </w:sdtContent>
                </w:sdt>
                <w:sdt>
                  <w:sdtPr>
                    <w:tag w:val="_PLD_4ef83c170ca54a08ac6fcebc6a487dcd"/>
                    <w:id w:val="648250584"/>
                    <w:lock w:val="sdtLocked"/>
                  </w:sdtPr>
                  <w:sdtEndPr/>
                  <w:sdtContent>
                    <w:tc>
                      <w:tcPr>
                        <w:tcW w:w="992" w:type="dxa"/>
                        <w:vMerge w:val="restart"/>
                        <w:vAlign w:val="center"/>
                      </w:tcPr>
                      <w:p w14:paraId="328093CB" w14:textId="77777777" w:rsidR="007E7472" w:rsidRDefault="00EC1269">
                        <w:pPr>
                          <w:jc w:val="center"/>
                          <w:rPr>
                            <w:sz w:val="18"/>
                            <w:szCs w:val="18"/>
                          </w:rPr>
                        </w:pPr>
                        <w:r>
                          <w:rPr>
                            <w:rFonts w:hint="eastAsia"/>
                            <w:sz w:val="18"/>
                            <w:szCs w:val="18"/>
                          </w:rPr>
                          <w:t>其他综合收益</w:t>
                        </w:r>
                      </w:p>
                    </w:tc>
                  </w:sdtContent>
                </w:sdt>
                <w:sdt>
                  <w:sdtPr>
                    <w:tag w:val="_PLD_5a42f2a835d44138928915520fc5e902"/>
                    <w:id w:val="-1347397722"/>
                    <w:lock w:val="sdtLocked"/>
                  </w:sdtPr>
                  <w:sdtEndPr/>
                  <w:sdtContent>
                    <w:tc>
                      <w:tcPr>
                        <w:tcW w:w="1181" w:type="dxa"/>
                        <w:vMerge w:val="restart"/>
                        <w:vAlign w:val="center"/>
                      </w:tcPr>
                      <w:p w14:paraId="09B2912A" w14:textId="77777777" w:rsidR="007E7472" w:rsidRDefault="00EC1269">
                        <w:pPr>
                          <w:adjustRightInd w:val="0"/>
                          <w:snapToGrid w:val="0"/>
                          <w:jc w:val="center"/>
                          <w:rPr>
                            <w:sz w:val="18"/>
                            <w:szCs w:val="18"/>
                          </w:rPr>
                        </w:pPr>
                        <w:r>
                          <w:rPr>
                            <w:rFonts w:hint="eastAsia"/>
                            <w:sz w:val="18"/>
                            <w:szCs w:val="18"/>
                          </w:rPr>
                          <w:t>专项储备</w:t>
                        </w:r>
                      </w:p>
                    </w:tc>
                  </w:sdtContent>
                </w:sdt>
                <w:sdt>
                  <w:sdtPr>
                    <w:tag w:val="_PLD_dbef0e1514f54b8ab8b43e975d3451b6"/>
                    <w:id w:val="-506680701"/>
                    <w:lock w:val="sdtLocked"/>
                  </w:sdtPr>
                  <w:sdtEndPr/>
                  <w:sdtContent>
                    <w:tc>
                      <w:tcPr>
                        <w:tcW w:w="945" w:type="dxa"/>
                        <w:vMerge w:val="restart"/>
                        <w:vAlign w:val="center"/>
                      </w:tcPr>
                      <w:p w14:paraId="2277B780" w14:textId="77777777" w:rsidR="007E7472" w:rsidRDefault="00EC1269">
                        <w:pPr>
                          <w:adjustRightInd w:val="0"/>
                          <w:snapToGrid w:val="0"/>
                          <w:jc w:val="center"/>
                          <w:rPr>
                            <w:sz w:val="18"/>
                            <w:szCs w:val="18"/>
                          </w:rPr>
                        </w:pPr>
                        <w:r>
                          <w:rPr>
                            <w:sz w:val="18"/>
                            <w:szCs w:val="18"/>
                          </w:rPr>
                          <w:t>盈余公积</w:t>
                        </w:r>
                      </w:p>
                    </w:tc>
                  </w:sdtContent>
                </w:sdt>
                <w:sdt>
                  <w:sdtPr>
                    <w:tag w:val="_PLD_63b6c2969ec64e7abb1802f027c1069a"/>
                    <w:id w:val="-1286883939"/>
                    <w:lock w:val="sdtLocked"/>
                  </w:sdtPr>
                  <w:sdtEndPr/>
                  <w:sdtContent>
                    <w:tc>
                      <w:tcPr>
                        <w:tcW w:w="993" w:type="dxa"/>
                        <w:vMerge w:val="restart"/>
                        <w:vAlign w:val="center"/>
                      </w:tcPr>
                      <w:p w14:paraId="65C768AA" w14:textId="77777777" w:rsidR="007E7472" w:rsidRDefault="00EC1269">
                        <w:pPr>
                          <w:adjustRightInd w:val="0"/>
                          <w:snapToGrid w:val="0"/>
                          <w:jc w:val="center"/>
                          <w:rPr>
                            <w:sz w:val="18"/>
                            <w:szCs w:val="18"/>
                          </w:rPr>
                        </w:pPr>
                        <w:r>
                          <w:rPr>
                            <w:sz w:val="18"/>
                            <w:szCs w:val="18"/>
                          </w:rPr>
                          <w:t>未分配利润</w:t>
                        </w:r>
                      </w:p>
                    </w:tc>
                  </w:sdtContent>
                </w:sdt>
                <w:sdt>
                  <w:sdtPr>
                    <w:tag w:val="_PLD_cdd38492b3a84e28b52c6700432babfd"/>
                    <w:id w:val="-1286811156"/>
                    <w:lock w:val="sdtLocked"/>
                  </w:sdtPr>
                  <w:sdtEndPr/>
                  <w:sdtContent>
                    <w:tc>
                      <w:tcPr>
                        <w:tcW w:w="1117" w:type="dxa"/>
                        <w:vMerge w:val="restart"/>
                        <w:vAlign w:val="center"/>
                      </w:tcPr>
                      <w:p w14:paraId="2E072052" w14:textId="77777777" w:rsidR="007E7472" w:rsidRDefault="00EC1269">
                        <w:pPr>
                          <w:adjustRightInd w:val="0"/>
                          <w:snapToGrid w:val="0"/>
                          <w:jc w:val="center"/>
                          <w:rPr>
                            <w:sz w:val="18"/>
                            <w:szCs w:val="18"/>
                          </w:rPr>
                        </w:pPr>
                        <w:r>
                          <w:rPr>
                            <w:sz w:val="18"/>
                            <w:szCs w:val="18"/>
                          </w:rPr>
                          <w:t>所有者权益合计</w:t>
                        </w:r>
                      </w:p>
                    </w:tc>
                  </w:sdtContent>
                </w:sdt>
              </w:tr>
              <w:tr w:rsidR="007E7472" w14:paraId="4C5F3332" w14:textId="77777777">
                <w:trPr>
                  <w:trHeight w:val="294"/>
                </w:trPr>
                <w:tc>
                  <w:tcPr>
                    <w:tcW w:w="2450" w:type="dxa"/>
                    <w:vMerge/>
                  </w:tcPr>
                  <w:p w14:paraId="70443C1D" w14:textId="77777777" w:rsidR="007E7472" w:rsidRDefault="00C8327E">
                    <w:pPr>
                      <w:adjustRightInd w:val="0"/>
                      <w:snapToGrid w:val="0"/>
                      <w:rPr>
                        <w:sz w:val="18"/>
                        <w:szCs w:val="18"/>
                      </w:rPr>
                    </w:pPr>
                  </w:p>
                </w:tc>
                <w:tc>
                  <w:tcPr>
                    <w:tcW w:w="1078" w:type="dxa"/>
                    <w:vMerge/>
                    <w:tcBorders>
                      <w:right w:val="single" w:sz="4" w:space="0" w:color="auto"/>
                    </w:tcBorders>
                    <w:vAlign w:val="center"/>
                  </w:tcPr>
                  <w:p w14:paraId="04C30A5E" w14:textId="77777777" w:rsidR="007E7472" w:rsidRDefault="00C8327E">
                    <w:pPr>
                      <w:adjustRightInd w:val="0"/>
                      <w:snapToGrid w:val="0"/>
                      <w:jc w:val="center"/>
                      <w:rPr>
                        <w:sz w:val="18"/>
                        <w:szCs w:val="18"/>
                      </w:rPr>
                    </w:pPr>
                  </w:p>
                </w:tc>
                <w:sdt>
                  <w:sdtPr>
                    <w:tag w:val="_PLD_90c1cf3c29414463ba491093caed23a7"/>
                    <w:id w:val="-1205868279"/>
                    <w:lock w:val="sdtLocked"/>
                  </w:sdtPr>
                  <w:sdtEndPr/>
                  <w:sdtContent>
                    <w:tc>
                      <w:tcPr>
                        <w:tcW w:w="810" w:type="dxa"/>
                        <w:tcBorders>
                          <w:top w:val="single" w:sz="4" w:space="0" w:color="auto"/>
                          <w:left w:val="single" w:sz="4" w:space="0" w:color="auto"/>
                          <w:right w:val="single" w:sz="4" w:space="0" w:color="auto"/>
                        </w:tcBorders>
                        <w:vAlign w:val="center"/>
                      </w:tcPr>
                      <w:p w14:paraId="497165EE" w14:textId="77777777" w:rsidR="007E7472" w:rsidRDefault="00EC1269">
                        <w:pPr>
                          <w:adjustRightInd w:val="0"/>
                          <w:snapToGrid w:val="0"/>
                          <w:jc w:val="center"/>
                          <w:rPr>
                            <w:sz w:val="18"/>
                            <w:szCs w:val="18"/>
                          </w:rPr>
                        </w:pPr>
                        <w:r>
                          <w:rPr>
                            <w:rFonts w:hint="eastAsia"/>
                            <w:sz w:val="18"/>
                            <w:szCs w:val="18"/>
                          </w:rPr>
                          <w:t>优先股</w:t>
                        </w:r>
                      </w:p>
                    </w:tc>
                  </w:sdtContent>
                </w:sdt>
                <w:sdt>
                  <w:sdtPr>
                    <w:tag w:val="_PLD_7dac20c025664b94b7a2176be4c24d00"/>
                    <w:id w:val="2036467852"/>
                    <w:lock w:val="sdtLocked"/>
                  </w:sdtPr>
                  <w:sdtEndPr/>
                  <w:sdtContent>
                    <w:tc>
                      <w:tcPr>
                        <w:tcW w:w="1134" w:type="dxa"/>
                        <w:tcBorders>
                          <w:top w:val="single" w:sz="4" w:space="0" w:color="auto"/>
                          <w:left w:val="single" w:sz="4" w:space="0" w:color="auto"/>
                          <w:right w:val="single" w:sz="4" w:space="0" w:color="auto"/>
                        </w:tcBorders>
                        <w:vAlign w:val="center"/>
                      </w:tcPr>
                      <w:p w14:paraId="1E6034A1" w14:textId="77777777" w:rsidR="007E7472" w:rsidRDefault="00EC1269">
                        <w:pPr>
                          <w:adjustRightInd w:val="0"/>
                          <w:snapToGrid w:val="0"/>
                          <w:jc w:val="center"/>
                          <w:rPr>
                            <w:sz w:val="18"/>
                            <w:szCs w:val="18"/>
                          </w:rPr>
                        </w:pPr>
                        <w:r>
                          <w:rPr>
                            <w:rFonts w:hint="eastAsia"/>
                            <w:sz w:val="18"/>
                            <w:szCs w:val="18"/>
                          </w:rPr>
                          <w:t>永续债</w:t>
                        </w:r>
                      </w:p>
                    </w:tc>
                  </w:sdtContent>
                </w:sdt>
                <w:sdt>
                  <w:sdtPr>
                    <w:tag w:val="_PLD_23829f284d5149ee92e64b94083b1ade"/>
                    <w:id w:val="743458095"/>
                    <w:lock w:val="sdtLocked"/>
                  </w:sdtPr>
                  <w:sdtEndPr/>
                  <w:sdtContent>
                    <w:tc>
                      <w:tcPr>
                        <w:tcW w:w="1134" w:type="dxa"/>
                        <w:tcBorders>
                          <w:top w:val="single" w:sz="4" w:space="0" w:color="auto"/>
                          <w:left w:val="single" w:sz="4" w:space="0" w:color="auto"/>
                        </w:tcBorders>
                        <w:vAlign w:val="center"/>
                      </w:tcPr>
                      <w:p w14:paraId="6BCFBDCE" w14:textId="77777777" w:rsidR="007E7472" w:rsidRDefault="00EC1269">
                        <w:pPr>
                          <w:adjustRightInd w:val="0"/>
                          <w:snapToGrid w:val="0"/>
                          <w:jc w:val="center"/>
                          <w:rPr>
                            <w:sz w:val="18"/>
                            <w:szCs w:val="18"/>
                          </w:rPr>
                        </w:pPr>
                        <w:r>
                          <w:rPr>
                            <w:rFonts w:hint="eastAsia"/>
                            <w:sz w:val="18"/>
                            <w:szCs w:val="18"/>
                          </w:rPr>
                          <w:t>其他</w:t>
                        </w:r>
                      </w:p>
                    </w:tc>
                  </w:sdtContent>
                </w:sdt>
                <w:tc>
                  <w:tcPr>
                    <w:tcW w:w="992" w:type="dxa"/>
                    <w:vMerge/>
                  </w:tcPr>
                  <w:p w14:paraId="1BB18651" w14:textId="77777777" w:rsidR="007E7472" w:rsidRDefault="00C8327E">
                    <w:pPr>
                      <w:adjustRightInd w:val="0"/>
                      <w:snapToGrid w:val="0"/>
                      <w:jc w:val="center"/>
                      <w:rPr>
                        <w:sz w:val="18"/>
                        <w:szCs w:val="18"/>
                      </w:rPr>
                    </w:pPr>
                  </w:p>
                </w:tc>
                <w:tc>
                  <w:tcPr>
                    <w:tcW w:w="1134" w:type="dxa"/>
                    <w:vMerge/>
                  </w:tcPr>
                  <w:p w14:paraId="047A9C48" w14:textId="77777777" w:rsidR="007E7472" w:rsidRDefault="00C8327E">
                    <w:pPr>
                      <w:adjustRightInd w:val="0"/>
                      <w:snapToGrid w:val="0"/>
                      <w:jc w:val="center"/>
                      <w:rPr>
                        <w:sz w:val="18"/>
                        <w:szCs w:val="18"/>
                      </w:rPr>
                    </w:pPr>
                  </w:p>
                </w:tc>
                <w:tc>
                  <w:tcPr>
                    <w:tcW w:w="992" w:type="dxa"/>
                    <w:vMerge/>
                  </w:tcPr>
                  <w:p w14:paraId="6ECA3B3D" w14:textId="77777777" w:rsidR="007E7472" w:rsidRDefault="00C8327E">
                    <w:pPr>
                      <w:jc w:val="center"/>
                      <w:rPr>
                        <w:sz w:val="18"/>
                        <w:szCs w:val="18"/>
                      </w:rPr>
                    </w:pPr>
                  </w:p>
                </w:tc>
                <w:tc>
                  <w:tcPr>
                    <w:tcW w:w="1181" w:type="dxa"/>
                    <w:vMerge/>
                  </w:tcPr>
                  <w:p w14:paraId="5F4F7F21" w14:textId="77777777" w:rsidR="007E7472" w:rsidRDefault="00C8327E">
                    <w:pPr>
                      <w:adjustRightInd w:val="0"/>
                      <w:snapToGrid w:val="0"/>
                      <w:jc w:val="center"/>
                      <w:rPr>
                        <w:sz w:val="18"/>
                        <w:szCs w:val="18"/>
                      </w:rPr>
                    </w:pPr>
                  </w:p>
                </w:tc>
                <w:tc>
                  <w:tcPr>
                    <w:tcW w:w="945" w:type="dxa"/>
                    <w:vMerge/>
                  </w:tcPr>
                  <w:p w14:paraId="07CD0B74" w14:textId="77777777" w:rsidR="007E7472" w:rsidRDefault="00C8327E">
                    <w:pPr>
                      <w:adjustRightInd w:val="0"/>
                      <w:snapToGrid w:val="0"/>
                      <w:jc w:val="center"/>
                      <w:rPr>
                        <w:sz w:val="18"/>
                        <w:szCs w:val="18"/>
                      </w:rPr>
                    </w:pPr>
                  </w:p>
                </w:tc>
                <w:tc>
                  <w:tcPr>
                    <w:tcW w:w="993" w:type="dxa"/>
                    <w:vMerge/>
                  </w:tcPr>
                  <w:p w14:paraId="603D1B49" w14:textId="77777777" w:rsidR="007E7472" w:rsidRDefault="00C8327E">
                    <w:pPr>
                      <w:adjustRightInd w:val="0"/>
                      <w:snapToGrid w:val="0"/>
                      <w:jc w:val="center"/>
                      <w:rPr>
                        <w:sz w:val="18"/>
                        <w:szCs w:val="18"/>
                      </w:rPr>
                    </w:pPr>
                  </w:p>
                </w:tc>
                <w:tc>
                  <w:tcPr>
                    <w:tcW w:w="1117" w:type="dxa"/>
                    <w:vMerge/>
                  </w:tcPr>
                  <w:p w14:paraId="234C9790" w14:textId="77777777" w:rsidR="007E7472" w:rsidRDefault="00C8327E">
                    <w:pPr>
                      <w:adjustRightInd w:val="0"/>
                      <w:snapToGrid w:val="0"/>
                      <w:jc w:val="center"/>
                      <w:rPr>
                        <w:sz w:val="18"/>
                        <w:szCs w:val="18"/>
                      </w:rPr>
                    </w:pPr>
                  </w:p>
                </w:tc>
              </w:tr>
              <w:tr w:rsidR="007E7472" w14:paraId="26EE67E6" w14:textId="77777777">
                <w:trPr>
                  <w:trHeight w:val="20"/>
                </w:trPr>
                <w:sdt>
                  <w:sdtPr>
                    <w:tag w:val="_PLD_b5131b53bda244fcbd76916797d6b666"/>
                    <w:id w:val="1638838328"/>
                    <w:lock w:val="sdtLocked"/>
                  </w:sdtPr>
                  <w:sdtEndPr/>
                  <w:sdtContent>
                    <w:tc>
                      <w:tcPr>
                        <w:tcW w:w="2450" w:type="dxa"/>
                      </w:tcPr>
                      <w:p w14:paraId="7B3BF4BB" w14:textId="77777777" w:rsidR="007E7472" w:rsidRDefault="00EC1269">
                        <w:pPr>
                          <w:rPr>
                            <w:sz w:val="18"/>
                            <w:szCs w:val="18"/>
                          </w:rPr>
                        </w:pPr>
                        <w:r>
                          <w:rPr>
                            <w:sz w:val="18"/>
                            <w:szCs w:val="18"/>
                          </w:rPr>
                          <w:t>一、上年</w:t>
                        </w:r>
                        <w:r>
                          <w:rPr>
                            <w:rFonts w:hint="eastAsia"/>
                            <w:sz w:val="18"/>
                            <w:szCs w:val="18"/>
                          </w:rPr>
                          <w:t>期</w:t>
                        </w:r>
                        <w:r>
                          <w:rPr>
                            <w:sz w:val="18"/>
                            <w:szCs w:val="18"/>
                          </w:rPr>
                          <w:t>末余额</w:t>
                        </w:r>
                      </w:p>
                    </w:tc>
                  </w:sdtContent>
                </w:sdt>
                <w:tc>
                  <w:tcPr>
                    <w:tcW w:w="1078" w:type="dxa"/>
                    <w:tcBorders>
                      <w:right w:val="single" w:sz="4" w:space="0" w:color="auto"/>
                    </w:tcBorders>
                    <w:vAlign w:val="center"/>
                  </w:tcPr>
                  <w:p w14:paraId="46289588" w14:textId="77777777" w:rsidR="007E7472" w:rsidRDefault="00EC1269">
                    <w:pPr>
                      <w:jc w:val="right"/>
                      <w:rPr>
                        <w:spacing w:val="-20"/>
                        <w:sz w:val="18"/>
                        <w:szCs w:val="18"/>
                      </w:rPr>
                    </w:pPr>
                    <w:r>
                      <w:rPr>
                        <w:rFonts w:hint="eastAsia"/>
                        <w:spacing w:val="-20"/>
                        <w:sz w:val="18"/>
                        <w:szCs w:val="18"/>
                      </w:rPr>
                      <w:t>4,948,704</w:t>
                    </w:r>
                  </w:p>
                </w:tc>
                <w:tc>
                  <w:tcPr>
                    <w:tcW w:w="810" w:type="dxa"/>
                    <w:tcBorders>
                      <w:left w:val="single" w:sz="4" w:space="0" w:color="auto"/>
                      <w:right w:val="single" w:sz="4" w:space="0" w:color="auto"/>
                    </w:tcBorders>
                    <w:vAlign w:val="center"/>
                  </w:tcPr>
                  <w:p w14:paraId="1DFD55F4" w14:textId="77777777" w:rsidR="007E7472" w:rsidRDefault="00C8327E">
                    <w:pPr>
                      <w:jc w:val="right"/>
                      <w:rPr>
                        <w:spacing w:val="-20"/>
                        <w:sz w:val="18"/>
                        <w:szCs w:val="18"/>
                      </w:rPr>
                    </w:pPr>
                  </w:p>
                </w:tc>
                <w:tc>
                  <w:tcPr>
                    <w:tcW w:w="1134" w:type="dxa"/>
                    <w:tcBorders>
                      <w:left w:val="single" w:sz="4" w:space="0" w:color="auto"/>
                      <w:right w:val="single" w:sz="4" w:space="0" w:color="auto"/>
                    </w:tcBorders>
                    <w:vAlign w:val="center"/>
                  </w:tcPr>
                  <w:p w14:paraId="1AD7396D" w14:textId="77777777" w:rsidR="007E7472" w:rsidRDefault="00EC1269">
                    <w:pPr>
                      <w:jc w:val="right"/>
                      <w:rPr>
                        <w:spacing w:val="-20"/>
                        <w:sz w:val="18"/>
                        <w:szCs w:val="18"/>
                      </w:rPr>
                    </w:pPr>
                    <w:r>
                      <w:rPr>
                        <w:rFonts w:hint="eastAsia"/>
                        <w:spacing w:val="-20"/>
                        <w:sz w:val="18"/>
                        <w:szCs w:val="18"/>
                      </w:rPr>
                      <w:t>13,248,614</w:t>
                    </w:r>
                  </w:p>
                </w:tc>
                <w:tc>
                  <w:tcPr>
                    <w:tcW w:w="1134" w:type="dxa"/>
                    <w:tcBorders>
                      <w:left w:val="single" w:sz="4" w:space="0" w:color="auto"/>
                      <w:right w:val="single" w:sz="4" w:space="0" w:color="auto"/>
                    </w:tcBorders>
                    <w:vAlign w:val="center"/>
                  </w:tcPr>
                  <w:p w14:paraId="4DC2BE86" w14:textId="77777777" w:rsidR="007E7472" w:rsidRDefault="00C8327E">
                    <w:pPr>
                      <w:jc w:val="right"/>
                      <w:rPr>
                        <w:spacing w:val="-20"/>
                        <w:sz w:val="18"/>
                        <w:szCs w:val="18"/>
                      </w:rPr>
                    </w:pPr>
                  </w:p>
                </w:tc>
                <w:tc>
                  <w:tcPr>
                    <w:tcW w:w="992" w:type="dxa"/>
                    <w:tcBorders>
                      <w:left w:val="single" w:sz="4" w:space="0" w:color="auto"/>
                    </w:tcBorders>
                    <w:vAlign w:val="center"/>
                  </w:tcPr>
                  <w:p w14:paraId="4313EFCC" w14:textId="77777777" w:rsidR="007E7472" w:rsidRDefault="00EC1269">
                    <w:pPr>
                      <w:jc w:val="right"/>
                      <w:rPr>
                        <w:spacing w:val="-20"/>
                        <w:sz w:val="18"/>
                        <w:szCs w:val="18"/>
                      </w:rPr>
                    </w:pPr>
                    <w:r>
                      <w:rPr>
                        <w:rFonts w:hint="eastAsia"/>
                        <w:spacing w:val="-20"/>
                        <w:sz w:val="18"/>
                        <w:szCs w:val="18"/>
                      </w:rPr>
                      <w:t>741,560</w:t>
                    </w:r>
                  </w:p>
                </w:tc>
                <w:tc>
                  <w:tcPr>
                    <w:tcW w:w="1134" w:type="dxa"/>
                    <w:vAlign w:val="center"/>
                  </w:tcPr>
                  <w:p w14:paraId="6EE34C22" w14:textId="77777777" w:rsidR="007E7472" w:rsidRDefault="00EC1269">
                    <w:pPr>
                      <w:jc w:val="right"/>
                      <w:rPr>
                        <w:spacing w:val="-20"/>
                        <w:sz w:val="18"/>
                        <w:szCs w:val="18"/>
                      </w:rPr>
                    </w:pPr>
                    <w:r>
                      <w:rPr>
                        <w:rFonts w:hint="eastAsia"/>
                        <w:spacing w:val="-20"/>
                        <w:sz w:val="18"/>
                        <w:szCs w:val="18"/>
                      </w:rPr>
                      <w:t>723,593</w:t>
                    </w:r>
                  </w:p>
                </w:tc>
                <w:tc>
                  <w:tcPr>
                    <w:tcW w:w="992" w:type="dxa"/>
                    <w:vAlign w:val="center"/>
                  </w:tcPr>
                  <w:p w14:paraId="20ECAB31" w14:textId="77777777" w:rsidR="007E7472" w:rsidRDefault="00EC1269">
                    <w:pPr>
                      <w:jc w:val="right"/>
                      <w:rPr>
                        <w:spacing w:val="-20"/>
                        <w:sz w:val="18"/>
                        <w:szCs w:val="18"/>
                      </w:rPr>
                    </w:pPr>
                    <w:r>
                      <w:rPr>
                        <w:rFonts w:hint="eastAsia"/>
                        <w:spacing w:val="-20"/>
                        <w:sz w:val="18"/>
                        <w:szCs w:val="18"/>
                      </w:rPr>
                      <w:t>187,468</w:t>
                    </w:r>
                  </w:p>
                </w:tc>
                <w:tc>
                  <w:tcPr>
                    <w:tcW w:w="1181" w:type="dxa"/>
                    <w:vAlign w:val="center"/>
                  </w:tcPr>
                  <w:p w14:paraId="32702D93" w14:textId="77777777" w:rsidR="007E7472" w:rsidRDefault="00EC1269">
                    <w:pPr>
                      <w:jc w:val="right"/>
                      <w:rPr>
                        <w:spacing w:val="-20"/>
                        <w:sz w:val="18"/>
                        <w:szCs w:val="18"/>
                      </w:rPr>
                    </w:pPr>
                    <w:r>
                      <w:rPr>
                        <w:rFonts w:hint="eastAsia"/>
                        <w:spacing w:val="-20"/>
                        <w:sz w:val="18"/>
                        <w:szCs w:val="18"/>
                      </w:rPr>
                      <w:t>2,229,349</w:t>
                    </w:r>
                  </w:p>
                </w:tc>
                <w:tc>
                  <w:tcPr>
                    <w:tcW w:w="945" w:type="dxa"/>
                    <w:vAlign w:val="center"/>
                  </w:tcPr>
                  <w:p w14:paraId="149131C7" w14:textId="77777777" w:rsidR="007E7472" w:rsidRDefault="00EC1269">
                    <w:pPr>
                      <w:jc w:val="right"/>
                      <w:rPr>
                        <w:spacing w:val="-20"/>
                        <w:sz w:val="18"/>
                        <w:szCs w:val="18"/>
                      </w:rPr>
                    </w:pPr>
                    <w:r>
                      <w:rPr>
                        <w:rFonts w:hint="eastAsia"/>
                        <w:spacing w:val="-20"/>
                        <w:sz w:val="18"/>
                        <w:szCs w:val="18"/>
                      </w:rPr>
                      <w:t>2,703,146</w:t>
                    </w:r>
                  </w:p>
                </w:tc>
                <w:tc>
                  <w:tcPr>
                    <w:tcW w:w="993" w:type="dxa"/>
                    <w:vAlign w:val="center"/>
                  </w:tcPr>
                  <w:p w14:paraId="212F5CD0" w14:textId="77777777" w:rsidR="007E7472" w:rsidRDefault="00EC1269">
                    <w:pPr>
                      <w:jc w:val="right"/>
                      <w:rPr>
                        <w:spacing w:val="-20"/>
                        <w:sz w:val="18"/>
                        <w:szCs w:val="18"/>
                      </w:rPr>
                    </w:pPr>
                    <w:r>
                      <w:rPr>
                        <w:rFonts w:hint="eastAsia"/>
                        <w:spacing w:val="-20"/>
                        <w:sz w:val="18"/>
                        <w:szCs w:val="18"/>
                      </w:rPr>
                      <w:t>41,793,364</w:t>
                    </w:r>
                  </w:p>
                </w:tc>
                <w:tc>
                  <w:tcPr>
                    <w:tcW w:w="1117" w:type="dxa"/>
                    <w:vAlign w:val="center"/>
                  </w:tcPr>
                  <w:p w14:paraId="31084FE9" w14:textId="77777777" w:rsidR="007E7472" w:rsidRDefault="00EC1269">
                    <w:pPr>
                      <w:jc w:val="right"/>
                      <w:rPr>
                        <w:spacing w:val="-20"/>
                        <w:sz w:val="18"/>
                        <w:szCs w:val="18"/>
                      </w:rPr>
                    </w:pPr>
                    <w:r>
                      <w:rPr>
                        <w:rFonts w:hint="eastAsia"/>
                        <w:spacing w:val="-20"/>
                        <w:sz w:val="18"/>
                        <w:szCs w:val="18"/>
                      </w:rPr>
                      <w:t>65,128,612</w:t>
                    </w:r>
                  </w:p>
                </w:tc>
              </w:tr>
              <w:tr w:rsidR="007E7472" w14:paraId="702B7958" w14:textId="77777777">
                <w:trPr>
                  <w:trHeight w:val="20"/>
                </w:trPr>
                <w:sdt>
                  <w:sdtPr>
                    <w:tag w:val="_PLD_66de901175bd4e50a35a24f0fca7513d"/>
                    <w:id w:val="-1254810843"/>
                    <w:lock w:val="sdtLocked"/>
                  </w:sdtPr>
                  <w:sdtEndPr/>
                  <w:sdtContent>
                    <w:tc>
                      <w:tcPr>
                        <w:tcW w:w="2450" w:type="dxa"/>
                      </w:tcPr>
                      <w:p w14:paraId="2314BC9F" w14:textId="77777777" w:rsidR="007E7472" w:rsidRDefault="00EC1269">
                        <w:pPr>
                          <w:rPr>
                            <w:sz w:val="18"/>
                            <w:szCs w:val="18"/>
                          </w:rPr>
                        </w:pPr>
                        <w:r>
                          <w:rPr>
                            <w:sz w:val="18"/>
                            <w:szCs w:val="18"/>
                          </w:rPr>
                          <w:t>加：会计政策变更</w:t>
                        </w:r>
                      </w:p>
                    </w:tc>
                  </w:sdtContent>
                </w:sdt>
                <w:tc>
                  <w:tcPr>
                    <w:tcW w:w="1078" w:type="dxa"/>
                    <w:tcBorders>
                      <w:right w:val="single" w:sz="4" w:space="0" w:color="auto"/>
                    </w:tcBorders>
                    <w:vAlign w:val="center"/>
                  </w:tcPr>
                  <w:p w14:paraId="6D94DFF9" w14:textId="77777777" w:rsidR="007E7472" w:rsidRDefault="00C8327E">
                    <w:pPr>
                      <w:jc w:val="right"/>
                      <w:rPr>
                        <w:spacing w:val="-20"/>
                        <w:sz w:val="18"/>
                        <w:szCs w:val="18"/>
                      </w:rPr>
                    </w:pPr>
                  </w:p>
                </w:tc>
                <w:tc>
                  <w:tcPr>
                    <w:tcW w:w="810" w:type="dxa"/>
                    <w:tcBorders>
                      <w:left w:val="single" w:sz="4" w:space="0" w:color="auto"/>
                      <w:right w:val="single" w:sz="4" w:space="0" w:color="auto"/>
                    </w:tcBorders>
                    <w:vAlign w:val="center"/>
                  </w:tcPr>
                  <w:p w14:paraId="036146DA" w14:textId="77777777" w:rsidR="007E7472" w:rsidRDefault="00C8327E">
                    <w:pPr>
                      <w:jc w:val="right"/>
                      <w:rPr>
                        <w:spacing w:val="-20"/>
                        <w:sz w:val="18"/>
                        <w:szCs w:val="18"/>
                      </w:rPr>
                    </w:pPr>
                  </w:p>
                </w:tc>
                <w:tc>
                  <w:tcPr>
                    <w:tcW w:w="1134" w:type="dxa"/>
                    <w:tcBorders>
                      <w:left w:val="single" w:sz="4" w:space="0" w:color="auto"/>
                      <w:right w:val="single" w:sz="4" w:space="0" w:color="auto"/>
                    </w:tcBorders>
                    <w:vAlign w:val="center"/>
                  </w:tcPr>
                  <w:p w14:paraId="45E7C22E" w14:textId="77777777" w:rsidR="007E7472" w:rsidRDefault="00C8327E">
                    <w:pPr>
                      <w:jc w:val="right"/>
                      <w:rPr>
                        <w:spacing w:val="-20"/>
                        <w:sz w:val="18"/>
                        <w:szCs w:val="18"/>
                      </w:rPr>
                    </w:pPr>
                  </w:p>
                </w:tc>
                <w:tc>
                  <w:tcPr>
                    <w:tcW w:w="1134" w:type="dxa"/>
                    <w:tcBorders>
                      <w:left w:val="single" w:sz="4" w:space="0" w:color="auto"/>
                      <w:right w:val="single" w:sz="4" w:space="0" w:color="auto"/>
                    </w:tcBorders>
                    <w:vAlign w:val="center"/>
                  </w:tcPr>
                  <w:p w14:paraId="67114643" w14:textId="77777777" w:rsidR="007E7472" w:rsidRDefault="00C8327E">
                    <w:pPr>
                      <w:jc w:val="right"/>
                      <w:rPr>
                        <w:spacing w:val="-20"/>
                        <w:sz w:val="18"/>
                        <w:szCs w:val="18"/>
                      </w:rPr>
                    </w:pPr>
                  </w:p>
                </w:tc>
                <w:tc>
                  <w:tcPr>
                    <w:tcW w:w="992" w:type="dxa"/>
                    <w:tcBorders>
                      <w:left w:val="single" w:sz="4" w:space="0" w:color="auto"/>
                    </w:tcBorders>
                    <w:vAlign w:val="center"/>
                  </w:tcPr>
                  <w:p w14:paraId="1CC1533B" w14:textId="77777777" w:rsidR="007E7472" w:rsidRDefault="00C8327E">
                    <w:pPr>
                      <w:jc w:val="right"/>
                      <w:rPr>
                        <w:spacing w:val="-20"/>
                        <w:sz w:val="18"/>
                        <w:szCs w:val="18"/>
                      </w:rPr>
                    </w:pPr>
                  </w:p>
                </w:tc>
                <w:tc>
                  <w:tcPr>
                    <w:tcW w:w="1134" w:type="dxa"/>
                    <w:vAlign w:val="center"/>
                  </w:tcPr>
                  <w:p w14:paraId="3FA2BE93" w14:textId="77777777" w:rsidR="007E7472" w:rsidRDefault="00C8327E">
                    <w:pPr>
                      <w:jc w:val="right"/>
                      <w:rPr>
                        <w:spacing w:val="-20"/>
                        <w:sz w:val="18"/>
                        <w:szCs w:val="18"/>
                      </w:rPr>
                    </w:pPr>
                  </w:p>
                </w:tc>
                <w:tc>
                  <w:tcPr>
                    <w:tcW w:w="992" w:type="dxa"/>
                    <w:vAlign w:val="center"/>
                  </w:tcPr>
                  <w:p w14:paraId="6175D375" w14:textId="77777777" w:rsidR="007E7472" w:rsidRDefault="00C8327E">
                    <w:pPr>
                      <w:jc w:val="right"/>
                      <w:rPr>
                        <w:spacing w:val="-20"/>
                        <w:sz w:val="18"/>
                        <w:szCs w:val="18"/>
                      </w:rPr>
                    </w:pPr>
                  </w:p>
                </w:tc>
                <w:tc>
                  <w:tcPr>
                    <w:tcW w:w="1181" w:type="dxa"/>
                    <w:vAlign w:val="center"/>
                  </w:tcPr>
                  <w:p w14:paraId="003E2957" w14:textId="77777777" w:rsidR="007E7472" w:rsidRDefault="00C8327E">
                    <w:pPr>
                      <w:jc w:val="right"/>
                      <w:rPr>
                        <w:spacing w:val="-20"/>
                        <w:sz w:val="18"/>
                        <w:szCs w:val="18"/>
                      </w:rPr>
                    </w:pPr>
                  </w:p>
                </w:tc>
                <w:tc>
                  <w:tcPr>
                    <w:tcW w:w="945" w:type="dxa"/>
                    <w:vAlign w:val="center"/>
                  </w:tcPr>
                  <w:p w14:paraId="6BC4AF6B" w14:textId="77777777" w:rsidR="007E7472" w:rsidRDefault="00C8327E">
                    <w:pPr>
                      <w:jc w:val="right"/>
                      <w:rPr>
                        <w:spacing w:val="-20"/>
                        <w:sz w:val="18"/>
                        <w:szCs w:val="18"/>
                      </w:rPr>
                    </w:pPr>
                  </w:p>
                </w:tc>
                <w:tc>
                  <w:tcPr>
                    <w:tcW w:w="993" w:type="dxa"/>
                    <w:vAlign w:val="center"/>
                  </w:tcPr>
                  <w:p w14:paraId="738A7A48" w14:textId="77777777" w:rsidR="007E7472" w:rsidRDefault="00C8327E">
                    <w:pPr>
                      <w:jc w:val="right"/>
                      <w:rPr>
                        <w:spacing w:val="-20"/>
                        <w:sz w:val="18"/>
                        <w:szCs w:val="18"/>
                      </w:rPr>
                    </w:pPr>
                  </w:p>
                </w:tc>
                <w:tc>
                  <w:tcPr>
                    <w:tcW w:w="1117" w:type="dxa"/>
                    <w:vAlign w:val="center"/>
                  </w:tcPr>
                  <w:p w14:paraId="2281FF4A" w14:textId="77777777" w:rsidR="007E7472" w:rsidRDefault="00C8327E">
                    <w:pPr>
                      <w:jc w:val="right"/>
                      <w:rPr>
                        <w:spacing w:val="-20"/>
                        <w:sz w:val="18"/>
                        <w:szCs w:val="18"/>
                      </w:rPr>
                    </w:pPr>
                  </w:p>
                </w:tc>
              </w:tr>
              <w:tr w:rsidR="007E7472" w14:paraId="550ABB0E" w14:textId="77777777">
                <w:trPr>
                  <w:trHeight w:val="20"/>
                </w:trPr>
                <w:sdt>
                  <w:sdtPr>
                    <w:tag w:val="_PLD_3bfc3b7951f4488f95a7180f02c989cf"/>
                    <w:id w:val="-1728439107"/>
                    <w:lock w:val="sdtLocked"/>
                  </w:sdtPr>
                  <w:sdtEndPr/>
                  <w:sdtContent>
                    <w:tc>
                      <w:tcPr>
                        <w:tcW w:w="2450" w:type="dxa"/>
                      </w:tcPr>
                      <w:p w14:paraId="4EDB1F67" w14:textId="77777777" w:rsidR="007E7472" w:rsidRDefault="00EC1269">
                        <w:pPr>
                          <w:ind w:firstLineChars="200" w:firstLine="420"/>
                          <w:rPr>
                            <w:sz w:val="18"/>
                            <w:szCs w:val="18"/>
                          </w:rPr>
                        </w:pPr>
                        <w:r>
                          <w:rPr>
                            <w:sz w:val="18"/>
                            <w:szCs w:val="18"/>
                          </w:rPr>
                          <w:t>前期差错更正</w:t>
                        </w:r>
                      </w:p>
                    </w:tc>
                  </w:sdtContent>
                </w:sdt>
                <w:tc>
                  <w:tcPr>
                    <w:tcW w:w="1078" w:type="dxa"/>
                    <w:tcBorders>
                      <w:right w:val="single" w:sz="4" w:space="0" w:color="auto"/>
                    </w:tcBorders>
                    <w:vAlign w:val="center"/>
                  </w:tcPr>
                  <w:p w14:paraId="475084C4" w14:textId="77777777" w:rsidR="007E7472" w:rsidRDefault="00C8327E">
                    <w:pPr>
                      <w:jc w:val="right"/>
                      <w:rPr>
                        <w:spacing w:val="-20"/>
                        <w:sz w:val="18"/>
                        <w:szCs w:val="18"/>
                      </w:rPr>
                    </w:pPr>
                  </w:p>
                </w:tc>
                <w:tc>
                  <w:tcPr>
                    <w:tcW w:w="810" w:type="dxa"/>
                    <w:tcBorders>
                      <w:left w:val="single" w:sz="4" w:space="0" w:color="auto"/>
                      <w:right w:val="single" w:sz="4" w:space="0" w:color="auto"/>
                    </w:tcBorders>
                    <w:vAlign w:val="center"/>
                  </w:tcPr>
                  <w:p w14:paraId="77021E94" w14:textId="77777777" w:rsidR="007E7472" w:rsidRDefault="00C8327E">
                    <w:pPr>
                      <w:jc w:val="right"/>
                      <w:rPr>
                        <w:spacing w:val="-20"/>
                        <w:sz w:val="18"/>
                        <w:szCs w:val="18"/>
                      </w:rPr>
                    </w:pPr>
                  </w:p>
                </w:tc>
                <w:tc>
                  <w:tcPr>
                    <w:tcW w:w="1134" w:type="dxa"/>
                    <w:tcBorders>
                      <w:left w:val="single" w:sz="4" w:space="0" w:color="auto"/>
                      <w:right w:val="single" w:sz="4" w:space="0" w:color="auto"/>
                    </w:tcBorders>
                    <w:vAlign w:val="center"/>
                  </w:tcPr>
                  <w:p w14:paraId="275C09A1" w14:textId="77777777" w:rsidR="007E7472" w:rsidRDefault="00C8327E">
                    <w:pPr>
                      <w:jc w:val="right"/>
                      <w:rPr>
                        <w:spacing w:val="-20"/>
                        <w:sz w:val="18"/>
                        <w:szCs w:val="18"/>
                      </w:rPr>
                    </w:pPr>
                  </w:p>
                </w:tc>
                <w:tc>
                  <w:tcPr>
                    <w:tcW w:w="1134" w:type="dxa"/>
                    <w:tcBorders>
                      <w:left w:val="single" w:sz="4" w:space="0" w:color="auto"/>
                      <w:right w:val="single" w:sz="4" w:space="0" w:color="auto"/>
                    </w:tcBorders>
                    <w:vAlign w:val="center"/>
                  </w:tcPr>
                  <w:p w14:paraId="10EA34B1" w14:textId="77777777" w:rsidR="007E7472" w:rsidRDefault="00C8327E">
                    <w:pPr>
                      <w:jc w:val="right"/>
                      <w:rPr>
                        <w:spacing w:val="-20"/>
                        <w:sz w:val="18"/>
                        <w:szCs w:val="18"/>
                      </w:rPr>
                    </w:pPr>
                  </w:p>
                </w:tc>
                <w:tc>
                  <w:tcPr>
                    <w:tcW w:w="992" w:type="dxa"/>
                    <w:tcBorders>
                      <w:left w:val="single" w:sz="4" w:space="0" w:color="auto"/>
                    </w:tcBorders>
                    <w:vAlign w:val="center"/>
                  </w:tcPr>
                  <w:p w14:paraId="03F41D8E" w14:textId="77777777" w:rsidR="007E7472" w:rsidRDefault="00C8327E">
                    <w:pPr>
                      <w:jc w:val="right"/>
                      <w:rPr>
                        <w:spacing w:val="-20"/>
                        <w:sz w:val="18"/>
                        <w:szCs w:val="18"/>
                      </w:rPr>
                    </w:pPr>
                  </w:p>
                </w:tc>
                <w:tc>
                  <w:tcPr>
                    <w:tcW w:w="1134" w:type="dxa"/>
                    <w:vAlign w:val="center"/>
                  </w:tcPr>
                  <w:p w14:paraId="471E8D5A" w14:textId="77777777" w:rsidR="007E7472" w:rsidRDefault="00C8327E">
                    <w:pPr>
                      <w:jc w:val="right"/>
                      <w:rPr>
                        <w:spacing w:val="-20"/>
                        <w:sz w:val="18"/>
                        <w:szCs w:val="18"/>
                      </w:rPr>
                    </w:pPr>
                  </w:p>
                </w:tc>
                <w:tc>
                  <w:tcPr>
                    <w:tcW w:w="992" w:type="dxa"/>
                    <w:vAlign w:val="center"/>
                  </w:tcPr>
                  <w:p w14:paraId="7A219B72" w14:textId="77777777" w:rsidR="007E7472" w:rsidRDefault="00C8327E">
                    <w:pPr>
                      <w:jc w:val="right"/>
                      <w:rPr>
                        <w:spacing w:val="-20"/>
                        <w:sz w:val="18"/>
                        <w:szCs w:val="18"/>
                      </w:rPr>
                    </w:pPr>
                  </w:p>
                </w:tc>
                <w:tc>
                  <w:tcPr>
                    <w:tcW w:w="1181" w:type="dxa"/>
                    <w:vAlign w:val="center"/>
                  </w:tcPr>
                  <w:p w14:paraId="765557E0" w14:textId="77777777" w:rsidR="007E7472" w:rsidRDefault="00C8327E">
                    <w:pPr>
                      <w:jc w:val="right"/>
                      <w:rPr>
                        <w:spacing w:val="-20"/>
                        <w:sz w:val="18"/>
                        <w:szCs w:val="18"/>
                      </w:rPr>
                    </w:pPr>
                  </w:p>
                </w:tc>
                <w:tc>
                  <w:tcPr>
                    <w:tcW w:w="945" w:type="dxa"/>
                    <w:vAlign w:val="center"/>
                  </w:tcPr>
                  <w:p w14:paraId="43192921" w14:textId="77777777" w:rsidR="007E7472" w:rsidRDefault="00C8327E">
                    <w:pPr>
                      <w:jc w:val="right"/>
                      <w:rPr>
                        <w:spacing w:val="-20"/>
                        <w:sz w:val="18"/>
                        <w:szCs w:val="18"/>
                      </w:rPr>
                    </w:pPr>
                  </w:p>
                </w:tc>
                <w:tc>
                  <w:tcPr>
                    <w:tcW w:w="993" w:type="dxa"/>
                    <w:vAlign w:val="center"/>
                  </w:tcPr>
                  <w:p w14:paraId="374BC176" w14:textId="77777777" w:rsidR="007E7472" w:rsidRDefault="00C8327E">
                    <w:pPr>
                      <w:jc w:val="right"/>
                      <w:rPr>
                        <w:spacing w:val="-20"/>
                        <w:sz w:val="18"/>
                        <w:szCs w:val="18"/>
                      </w:rPr>
                    </w:pPr>
                  </w:p>
                </w:tc>
                <w:tc>
                  <w:tcPr>
                    <w:tcW w:w="1117" w:type="dxa"/>
                    <w:vAlign w:val="center"/>
                  </w:tcPr>
                  <w:p w14:paraId="7049A9F9" w14:textId="77777777" w:rsidR="007E7472" w:rsidRDefault="00C8327E">
                    <w:pPr>
                      <w:jc w:val="right"/>
                      <w:rPr>
                        <w:spacing w:val="-20"/>
                        <w:sz w:val="18"/>
                        <w:szCs w:val="18"/>
                      </w:rPr>
                    </w:pPr>
                  </w:p>
                </w:tc>
              </w:tr>
              <w:tr w:rsidR="007E7472" w14:paraId="518DDF89" w14:textId="77777777">
                <w:trPr>
                  <w:trHeight w:val="20"/>
                </w:trPr>
                <w:sdt>
                  <w:sdtPr>
                    <w:tag w:val="_PLD_dc9b9aaf7e384b1eae7dcabb517c2b1e"/>
                    <w:id w:val="-914396326"/>
                    <w:lock w:val="sdtLocked"/>
                  </w:sdtPr>
                  <w:sdtEndPr/>
                  <w:sdtContent>
                    <w:tc>
                      <w:tcPr>
                        <w:tcW w:w="2450" w:type="dxa"/>
                      </w:tcPr>
                      <w:p w14:paraId="17B6DCD5" w14:textId="77777777" w:rsidR="007E7472" w:rsidRDefault="00EC1269">
                        <w:pPr>
                          <w:ind w:firstLineChars="200" w:firstLine="420"/>
                          <w:rPr>
                            <w:sz w:val="18"/>
                            <w:szCs w:val="18"/>
                          </w:rPr>
                        </w:pPr>
                        <w:r>
                          <w:rPr>
                            <w:rFonts w:hint="eastAsia"/>
                            <w:sz w:val="18"/>
                            <w:szCs w:val="18"/>
                          </w:rPr>
                          <w:t>其他</w:t>
                        </w:r>
                      </w:p>
                    </w:tc>
                  </w:sdtContent>
                </w:sdt>
                <w:tc>
                  <w:tcPr>
                    <w:tcW w:w="1078" w:type="dxa"/>
                    <w:tcBorders>
                      <w:right w:val="single" w:sz="4" w:space="0" w:color="auto"/>
                    </w:tcBorders>
                    <w:vAlign w:val="center"/>
                  </w:tcPr>
                  <w:p w14:paraId="5D429B90" w14:textId="77777777" w:rsidR="007E7472" w:rsidRDefault="00C8327E">
                    <w:pPr>
                      <w:jc w:val="right"/>
                      <w:rPr>
                        <w:spacing w:val="-20"/>
                        <w:sz w:val="18"/>
                        <w:szCs w:val="18"/>
                      </w:rPr>
                    </w:pPr>
                  </w:p>
                </w:tc>
                <w:tc>
                  <w:tcPr>
                    <w:tcW w:w="810" w:type="dxa"/>
                    <w:tcBorders>
                      <w:left w:val="single" w:sz="4" w:space="0" w:color="auto"/>
                      <w:right w:val="single" w:sz="4" w:space="0" w:color="auto"/>
                    </w:tcBorders>
                    <w:vAlign w:val="center"/>
                  </w:tcPr>
                  <w:p w14:paraId="5F56C864" w14:textId="77777777" w:rsidR="007E7472" w:rsidRDefault="00C8327E">
                    <w:pPr>
                      <w:jc w:val="right"/>
                      <w:rPr>
                        <w:spacing w:val="-20"/>
                        <w:sz w:val="18"/>
                        <w:szCs w:val="18"/>
                      </w:rPr>
                    </w:pPr>
                  </w:p>
                </w:tc>
                <w:tc>
                  <w:tcPr>
                    <w:tcW w:w="1134" w:type="dxa"/>
                    <w:tcBorders>
                      <w:left w:val="single" w:sz="4" w:space="0" w:color="auto"/>
                      <w:right w:val="single" w:sz="4" w:space="0" w:color="auto"/>
                    </w:tcBorders>
                    <w:vAlign w:val="center"/>
                  </w:tcPr>
                  <w:p w14:paraId="1F527F71" w14:textId="77777777" w:rsidR="007E7472" w:rsidRDefault="00C8327E">
                    <w:pPr>
                      <w:jc w:val="right"/>
                      <w:rPr>
                        <w:spacing w:val="-20"/>
                        <w:sz w:val="18"/>
                        <w:szCs w:val="18"/>
                      </w:rPr>
                    </w:pPr>
                  </w:p>
                </w:tc>
                <w:tc>
                  <w:tcPr>
                    <w:tcW w:w="1134" w:type="dxa"/>
                    <w:tcBorders>
                      <w:left w:val="single" w:sz="4" w:space="0" w:color="auto"/>
                      <w:right w:val="single" w:sz="4" w:space="0" w:color="auto"/>
                    </w:tcBorders>
                    <w:vAlign w:val="center"/>
                  </w:tcPr>
                  <w:p w14:paraId="3AEFE718" w14:textId="77777777" w:rsidR="007E7472" w:rsidRDefault="00C8327E">
                    <w:pPr>
                      <w:jc w:val="right"/>
                      <w:rPr>
                        <w:spacing w:val="-20"/>
                        <w:sz w:val="18"/>
                        <w:szCs w:val="18"/>
                      </w:rPr>
                    </w:pPr>
                  </w:p>
                </w:tc>
                <w:tc>
                  <w:tcPr>
                    <w:tcW w:w="992" w:type="dxa"/>
                    <w:tcBorders>
                      <w:left w:val="single" w:sz="4" w:space="0" w:color="auto"/>
                    </w:tcBorders>
                    <w:vAlign w:val="center"/>
                  </w:tcPr>
                  <w:p w14:paraId="208163C7" w14:textId="77777777" w:rsidR="007E7472" w:rsidRDefault="00C8327E">
                    <w:pPr>
                      <w:jc w:val="right"/>
                      <w:rPr>
                        <w:spacing w:val="-20"/>
                        <w:sz w:val="18"/>
                        <w:szCs w:val="18"/>
                      </w:rPr>
                    </w:pPr>
                  </w:p>
                </w:tc>
                <w:tc>
                  <w:tcPr>
                    <w:tcW w:w="1134" w:type="dxa"/>
                    <w:vAlign w:val="center"/>
                  </w:tcPr>
                  <w:p w14:paraId="1EDD9DE4" w14:textId="77777777" w:rsidR="007E7472" w:rsidRDefault="00C8327E">
                    <w:pPr>
                      <w:jc w:val="right"/>
                      <w:rPr>
                        <w:spacing w:val="-20"/>
                        <w:sz w:val="18"/>
                        <w:szCs w:val="18"/>
                      </w:rPr>
                    </w:pPr>
                  </w:p>
                </w:tc>
                <w:tc>
                  <w:tcPr>
                    <w:tcW w:w="992" w:type="dxa"/>
                    <w:vAlign w:val="center"/>
                  </w:tcPr>
                  <w:p w14:paraId="36FEEA14" w14:textId="77777777" w:rsidR="007E7472" w:rsidRDefault="00C8327E">
                    <w:pPr>
                      <w:jc w:val="right"/>
                      <w:rPr>
                        <w:spacing w:val="-20"/>
                        <w:sz w:val="18"/>
                        <w:szCs w:val="18"/>
                      </w:rPr>
                    </w:pPr>
                  </w:p>
                </w:tc>
                <w:tc>
                  <w:tcPr>
                    <w:tcW w:w="1181" w:type="dxa"/>
                    <w:vAlign w:val="center"/>
                  </w:tcPr>
                  <w:p w14:paraId="6C66C838" w14:textId="77777777" w:rsidR="007E7472" w:rsidRDefault="00C8327E">
                    <w:pPr>
                      <w:jc w:val="right"/>
                      <w:rPr>
                        <w:spacing w:val="-20"/>
                        <w:sz w:val="18"/>
                        <w:szCs w:val="18"/>
                      </w:rPr>
                    </w:pPr>
                  </w:p>
                </w:tc>
                <w:tc>
                  <w:tcPr>
                    <w:tcW w:w="945" w:type="dxa"/>
                    <w:vAlign w:val="center"/>
                  </w:tcPr>
                  <w:p w14:paraId="3E1C0D12" w14:textId="77777777" w:rsidR="007E7472" w:rsidRDefault="00C8327E">
                    <w:pPr>
                      <w:jc w:val="right"/>
                      <w:rPr>
                        <w:spacing w:val="-20"/>
                        <w:sz w:val="18"/>
                        <w:szCs w:val="18"/>
                      </w:rPr>
                    </w:pPr>
                  </w:p>
                </w:tc>
                <w:tc>
                  <w:tcPr>
                    <w:tcW w:w="993" w:type="dxa"/>
                    <w:vAlign w:val="center"/>
                  </w:tcPr>
                  <w:p w14:paraId="552E47C6" w14:textId="77777777" w:rsidR="007E7472" w:rsidRDefault="00C8327E">
                    <w:pPr>
                      <w:jc w:val="right"/>
                      <w:rPr>
                        <w:spacing w:val="-20"/>
                        <w:sz w:val="18"/>
                        <w:szCs w:val="18"/>
                      </w:rPr>
                    </w:pPr>
                  </w:p>
                </w:tc>
                <w:tc>
                  <w:tcPr>
                    <w:tcW w:w="1117" w:type="dxa"/>
                    <w:vAlign w:val="center"/>
                  </w:tcPr>
                  <w:p w14:paraId="6B8467C5" w14:textId="77777777" w:rsidR="007E7472" w:rsidRDefault="00C8327E">
                    <w:pPr>
                      <w:jc w:val="right"/>
                      <w:rPr>
                        <w:spacing w:val="-20"/>
                        <w:sz w:val="18"/>
                        <w:szCs w:val="18"/>
                      </w:rPr>
                    </w:pPr>
                  </w:p>
                </w:tc>
              </w:tr>
              <w:tr w:rsidR="007E7472" w14:paraId="443AB0BF" w14:textId="77777777">
                <w:trPr>
                  <w:trHeight w:val="20"/>
                </w:trPr>
                <w:sdt>
                  <w:sdtPr>
                    <w:tag w:val="_PLD_345919472b384d0eb13471ef5f2f5e92"/>
                    <w:id w:val="-1470590183"/>
                    <w:lock w:val="sdtLocked"/>
                  </w:sdtPr>
                  <w:sdtEndPr/>
                  <w:sdtContent>
                    <w:tc>
                      <w:tcPr>
                        <w:tcW w:w="2450" w:type="dxa"/>
                      </w:tcPr>
                      <w:p w14:paraId="4AC5650F" w14:textId="77777777" w:rsidR="007E7472" w:rsidRDefault="00EC1269">
                        <w:pPr>
                          <w:rPr>
                            <w:sz w:val="18"/>
                            <w:szCs w:val="18"/>
                          </w:rPr>
                        </w:pPr>
                        <w:r>
                          <w:rPr>
                            <w:sz w:val="18"/>
                            <w:szCs w:val="18"/>
                          </w:rPr>
                          <w:t>二、本年</w:t>
                        </w:r>
                        <w:r>
                          <w:rPr>
                            <w:rFonts w:hint="eastAsia"/>
                            <w:sz w:val="18"/>
                            <w:szCs w:val="18"/>
                          </w:rPr>
                          <w:t>期</w:t>
                        </w:r>
                        <w:r>
                          <w:rPr>
                            <w:sz w:val="18"/>
                            <w:szCs w:val="18"/>
                          </w:rPr>
                          <w:t>初余额</w:t>
                        </w:r>
                      </w:p>
                    </w:tc>
                  </w:sdtContent>
                </w:sdt>
                <w:tc>
                  <w:tcPr>
                    <w:tcW w:w="1078" w:type="dxa"/>
                    <w:tcBorders>
                      <w:right w:val="single" w:sz="4" w:space="0" w:color="auto"/>
                    </w:tcBorders>
                    <w:vAlign w:val="center"/>
                  </w:tcPr>
                  <w:p w14:paraId="11C2C592" w14:textId="77777777" w:rsidR="007E7472" w:rsidRDefault="00EC1269">
                    <w:pPr>
                      <w:jc w:val="right"/>
                      <w:rPr>
                        <w:spacing w:val="-20"/>
                        <w:sz w:val="18"/>
                        <w:szCs w:val="18"/>
                      </w:rPr>
                    </w:pPr>
                    <w:r>
                      <w:rPr>
                        <w:rFonts w:hint="eastAsia"/>
                        <w:spacing w:val="-20"/>
                        <w:sz w:val="18"/>
                        <w:szCs w:val="18"/>
                      </w:rPr>
                      <w:t>4,948,704</w:t>
                    </w:r>
                  </w:p>
                </w:tc>
                <w:tc>
                  <w:tcPr>
                    <w:tcW w:w="810" w:type="dxa"/>
                    <w:tcBorders>
                      <w:left w:val="single" w:sz="4" w:space="0" w:color="auto"/>
                      <w:right w:val="single" w:sz="4" w:space="0" w:color="auto"/>
                    </w:tcBorders>
                    <w:vAlign w:val="center"/>
                  </w:tcPr>
                  <w:p w14:paraId="782232B3" w14:textId="77777777" w:rsidR="007E7472" w:rsidRDefault="00C8327E">
                    <w:pPr>
                      <w:jc w:val="right"/>
                      <w:rPr>
                        <w:spacing w:val="-20"/>
                        <w:sz w:val="18"/>
                        <w:szCs w:val="18"/>
                      </w:rPr>
                    </w:pPr>
                  </w:p>
                </w:tc>
                <w:tc>
                  <w:tcPr>
                    <w:tcW w:w="1134" w:type="dxa"/>
                    <w:tcBorders>
                      <w:left w:val="single" w:sz="4" w:space="0" w:color="auto"/>
                      <w:right w:val="single" w:sz="4" w:space="0" w:color="auto"/>
                    </w:tcBorders>
                    <w:vAlign w:val="center"/>
                  </w:tcPr>
                  <w:p w14:paraId="52FFF3DD" w14:textId="77777777" w:rsidR="007E7472" w:rsidRDefault="00EC1269">
                    <w:pPr>
                      <w:jc w:val="right"/>
                      <w:rPr>
                        <w:spacing w:val="-20"/>
                        <w:sz w:val="18"/>
                        <w:szCs w:val="18"/>
                      </w:rPr>
                    </w:pPr>
                    <w:r>
                      <w:rPr>
                        <w:rFonts w:hint="eastAsia"/>
                        <w:spacing w:val="-20"/>
                        <w:sz w:val="18"/>
                        <w:szCs w:val="18"/>
                      </w:rPr>
                      <w:t>13,248,614</w:t>
                    </w:r>
                  </w:p>
                </w:tc>
                <w:tc>
                  <w:tcPr>
                    <w:tcW w:w="1134" w:type="dxa"/>
                    <w:tcBorders>
                      <w:left w:val="single" w:sz="4" w:space="0" w:color="auto"/>
                      <w:right w:val="single" w:sz="4" w:space="0" w:color="auto"/>
                    </w:tcBorders>
                    <w:vAlign w:val="center"/>
                  </w:tcPr>
                  <w:p w14:paraId="403B426C" w14:textId="77777777" w:rsidR="007E7472" w:rsidRDefault="00C8327E">
                    <w:pPr>
                      <w:jc w:val="right"/>
                      <w:rPr>
                        <w:spacing w:val="-20"/>
                        <w:sz w:val="18"/>
                        <w:szCs w:val="18"/>
                      </w:rPr>
                    </w:pPr>
                  </w:p>
                </w:tc>
                <w:tc>
                  <w:tcPr>
                    <w:tcW w:w="992" w:type="dxa"/>
                    <w:tcBorders>
                      <w:left w:val="single" w:sz="4" w:space="0" w:color="auto"/>
                    </w:tcBorders>
                    <w:vAlign w:val="center"/>
                  </w:tcPr>
                  <w:p w14:paraId="3C6FFA9B" w14:textId="77777777" w:rsidR="007E7472" w:rsidRDefault="00EC1269">
                    <w:pPr>
                      <w:jc w:val="right"/>
                      <w:rPr>
                        <w:spacing w:val="-20"/>
                        <w:sz w:val="18"/>
                        <w:szCs w:val="18"/>
                      </w:rPr>
                    </w:pPr>
                    <w:r>
                      <w:rPr>
                        <w:rFonts w:hint="eastAsia"/>
                        <w:spacing w:val="-20"/>
                        <w:sz w:val="18"/>
                        <w:szCs w:val="18"/>
                      </w:rPr>
                      <w:t>741,560</w:t>
                    </w:r>
                  </w:p>
                </w:tc>
                <w:tc>
                  <w:tcPr>
                    <w:tcW w:w="1134" w:type="dxa"/>
                    <w:vAlign w:val="center"/>
                  </w:tcPr>
                  <w:p w14:paraId="2EEDF030" w14:textId="77777777" w:rsidR="007E7472" w:rsidRDefault="00EC1269">
                    <w:pPr>
                      <w:jc w:val="right"/>
                      <w:rPr>
                        <w:spacing w:val="-20"/>
                        <w:sz w:val="18"/>
                        <w:szCs w:val="18"/>
                      </w:rPr>
                    </w:pPr>
                    <w:r>
                      <w:rPr>
                        <w:rFonts w:hint="eastAsia"/>
                        <w:spacing w:val="-20"/>
                        <w:sz w:val="18"/>
                        <w:szCs w:val="18"/>
                      </w:rPr>
                      <w:t>723,593</w:t>
                    </w:r>
                  </w:p>
                </w:tc>
                <w:tc>
                  <w:tcPr>
                    <w:tcW w:w="992" w:type="dxa"/>
                    <w:vAlign w:val="center"/>
                  </w:tcPr>
                  <w:p w14:paraId="79244025" w14:textId="77777777" w:rsidR="007E7472" w:rsidRDefault="00EC1269">
                    <w:pPr>
                      <w:jc w:val="right"/>
                      <w:rPr>
                        <w:spacing w:val="-20"/>
                        <w:sz w:val="18"/>
                        <w:szCs w:val="18"/>
                      </w:rPr>
                    </w:pPr>
                    <w:r>
                      <w:rPr>
                        <w:rFonts w:hint="eastAsia"/>
                        <w:spacing w:val="-20"/>
                        <w:sz w:val="18"/>
                        <w:szCs w:val="18"/>
                      </w:rPr>
                      <w:t>187,468</w:t>
                    </w:r>
                  </w:p>
                </w:tc>
                <w:tc>
                  <w:tcPr>
                    <w:tcW w:w="1181" w:type="dxa"/>
                    <w:vAlign w:val="center"/>
                  </w:tcPr>
                  <w:p w14:paraId="7EBDBC0E" w14:textId="77777777" w:rsidR="007E7472" w:rsidRDefault="00EC1269">
                    <w:pPr>
                      <w:jc w:val="right"/>
                      <w:rPr>
                        <w:spacing w:val="-20"/>
                        <w:sz w:val="18"/>
                        <w:szCs w:val="18"/>
                      </w:rPr>
                    </w:pPr>
                    <w:r>
                      <w:rPr>
                        <w:rFonts w:hint="eastAsia"/>
                        <w:spacing w:val="-20"/>
                        <w:sz w:val="18"/>
                        <w:szCs w:val="18"/>
                      </w:rPr>
                      <w:t>2,229,349</w:t>
                    </w:r>
                  </w:p>
                </w:tc>
                <w:tc>
                  <w:tcPr>
                    <w:tcW w:w="945" w:type="dxa"/>
                    <w:vAlign w:val="center"/>
                  </w:tcPr>
                  <w:p w14:paraId="4FE46596" w14:textId="77777777" w:rsidR="007E7472" w:rsidRDefault="00EC1269">
                    <w:pPr>
                      <w:jc w:val="right"/>
                      <w:rPr>
                        <w:spacing w:val="-20"/>
                        <w:sz w:val="18"/>
                        <w:szCs w:val="18"/>
                      </w:rPr>
                    </w:pPr>
                    <w:r>
                      <w:rPr>
                        <w:rFonts w:hint="eastAsia"/>
                        <w:spacing w:val="-20"/>
                        <w:sz w:val="18"/>
                        <w:szCs w:val="18"/>
                      </w:rPr>
                      <w:t>2,703,146</w:t>
                    </w:r>
                  </w:p>
                </w:tc>
                <w:tc>
                  <w:tcPr>
                    <w:tcW w:w="993" w:type="dxa"/>
                    <w:vAlign w:val="center"/>
                  </w:tcPr>
                  <w:p w14:paraId="081A191E" w14:textId="77777777" w:rsidR="007E7472" w:rsidRDefault="00EC1269">
                    <w:pPr>
                      <w:jc w:val="right"/>
                      <w:rPr>
                        <w:spacing w:val="-20"/>
                        <w:sz w:val="18"/>
                        <w:szCs w:val="18"/>
                      </w:rPr>
                    </w:pPr>
                    <w:r>
                      <w:rPr>
                        <w:rFonts w:hint="eastAsia"/>
                        <w:spacing w:val="-20"/>
                        <w:sz w:val="18"/>
                        <w:szCs w:val="18"/>
                      </w:rPr>
                      <w:t>41,793,364</w:t>
                    </w:r>
                  </w:p>
                </w:tc>
                <w:tc>
                  <w:tcPr>
                    <w:tcW w:w="1117" w:type="dxa"/>
                    <w:vAlign w:val="center"/>
                  </w:tcPr>
                  <w:p w14:paraId="6C423D68" w14:textId="77777777" w:rsidR="007E7472" w:rsidRDefault="00EC1269">
                    <w:pPr>
                      <w:jc w:val="right"/>
                      <w:rPr>
                        <w:spacing w:val="-20"/>
                        <w:sz w:val="18"/>
                        <w:szCs w:val="18"/>
                      </w:rPr>
                    </w:pPr>
                    <w:r>
                      <w:rPr>
                        <w:rFonts w:hint="eastAsia"/>
                        <w:spacing w:val="-20"/>
                        <w:sz w:val="18"/>
                        <w:szCs w:val="18"/>
                      </w:rPr>
                      <w:t>65,128,612</w:t>
                    </w:r>
                  </w:p>
                </w:tc>
              </w:tr>
              <w:tr w:rsidR="007E7472" w14:paraId="5DB96A5A" w14:textId="77777777">
                <w:trPr>
                  <w:trHeight w:val="20"/>
                </w:trPr>
                <w:sdt>
                  <w:sdtPr>
                    <w:tag w:val="_PLD_4eea4cc259884a6ab5f2fe018aec3d4e"/>
                    <w:id w:val="-1870059721"/>
                    <w:lock w:val="sdtLocked"/>
                  </w:sdtPr>
                  <w:sdtEndPr/>
                  <w:sdtContent>
                    <w:tc>
                      <w:tcPr>
                        <w:tcW w:w="2450" w:type="dxa"/>
                      </w:tcPr>
                      <w:p w14:paraId="1A9B73DE" w14:textId="77777777" w:rsidR="007E7472" w:rsidRDefault="00EC1269">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1078" w:type="dxa"/>
                    <w:tcBorders>
                      <w:right w:val="single" w:sz="4" w:space="0" w:color="auto"/>
                    </w:tcBorders>
                    <w:vAlign w:val="center"/>
                  </w:tcPr>
                  <w:p w14:paraId="58B8D560" w14:textId="77777777" w:rsidR="007E7472" w:rsidRDefault="00EC1269">
                    <w:pPr>
                      <w:jc w:val="right"/>
                      <w:rPr>
                        <w:spacing w:val="-20"/>
                        <w:sz w:val="18"/>
                        <w:szCs w:val="18"/>
                      </w:rPr>
                    </w:pPr>
                    <w:r>
                      <w:rPr>
                        <w:rFonts w:hint="eastAsia"/>
                        <w:spacing w:val="-20"/>
                        <w:sz w:val="18"/>
                        <w:szCs w:val="18"/>
                      </w:rPr>
                      <w:t>12,657</w:t>
                    </w:r>
                  </w:p>
                </w:tc>
                <w:tc>
                  <w:tcPr>
                    <w:tcW w:w="810" w:type="dxa"/>
                    <w:tcBorders>
                      <w:left w:val="single" w:sz="4" w:space="0" w:color="auto"/>
                      <w:right w:val="single" w:sz="4" w:space="0" w:color="auto"/>
                    </w:tcBorders>
                    <w:vAlign w:val="center"/>
                  </w:tcPr>
                  <w:p w14:paraId="45DEB9E3" w14:textId="77777777" w:rsidR="007E7472" w:rsidRDefault="00C8327E">
                    <w:pPr>
                      <w:jc w:val="right"/>
                      <w:rPr>
                        <w:spacing w:val="-20"/>
                        <w:sz w:val="18"/>
                        <w:szCs w:val="18"/>
                      </w:rPr>
                    </w:pPr>
                  </w:p>
                </w:tc>
                <w:tc>
                  <w:tcPr>
                    <w:tcW w:w="1134" w:type="dxa"/>
                    <w:tcBorders>
                      <w:left w:val="single" w:sz="4" w:space="0" w:color="auto"/>
                      <w:right w:val="single" w:sz="4" w:space="0" w:color="auto"/>
                    </w:tcBorders>
                    <w:vAlign w:val="center"/>
                  </w:tcPr>
                  <w:p w14:paraId="0C8E1687" w14:textId="77777777" w:rsidR="007E7472" w:rsidRDefault="00EC1269">
                    <w:pPr>
                      <w:jc w:val="right"/>
                      <w:rPr>
                        <w:spacing w:val="-20"/>
                        <w:sz w:val="18"/>
                        <w:szCs w:val="18"/>
                      </w:rPr>
                    </w:pPr>
                    <w:r>
                      <w:rPr>
                        <w:rFonts w:hint="eastAsia"/>
                        <w:spacing w:val="-20"/>
                        <w:sz w:val="18"/>
                        <w:szCs w:val="18"/>
                      </w:rPr>
                      <w:t>-1,869,425</w:t>
                    </w:r>
                  </w:p>
                </w:tc>
                <w:tc>
                  <w:tcPr>
                    <w:tcW w:w="1134" w:type="dxa"/>
                    <w:tcBorders>
                      <w:left w:val="single" w:sz="4" w:space="0" w:color="auto"/>
                    </w:tcBorders>
                    <w:vAlign w:val="center"/>
                  </w:tcPr>
                  <w:p w14:paraId="42030372" w14:textId="77777777" w:rsidR="007E7472" w:rsidRDefault="00C8327E">
                    <w:pPr>
                      <w:jc w:val="right"/>
                      <w:rPr>
                        <w:spacing w:val="-20"/>
                        <w:sz w:val="18"/>
                        <w:szCs w:val="18"/>
                      </w:rPr>
                    </w:pPr>
                  </w:p>
                </w:tc>
                <w:tc>
                  <w:tcPr>
                    <w:tcW w:w="992" w:type="dxa"/>
                    <w:vAlign w:val="center"/>
                  </w:tcPr>
                  <w:p w14:paraId="08A8146B" w14:textId="77777777" w:rsidR="007E7472" w:rsidRDefault="00EC1269">
                    <w:pPr>
                      <w:jc w:val="right"/>
                      <w:rPr>
                        <w:spacing w:val="-20"/>
                        <w:sz w:val="18"/>
                        <w:szCs w:val="18"/>
                      </w:rPr>
                    </w:pPr>
                    <w:r>
                      <w:rPr>
                        <w:rFonts w:hint="eastAsia"/>
                        <w:spacing w:val="-20"/>
                        <w:sz w:val="18"/>
                        <w:szCs w:val="18"/>
                      </w:rPr>
                      <w:t>26,324</w:t>
                    </w:r>
                  </w:p>
                </w:tc>
                <w:tc>
                  <w:tcPr>
                    <w:tcW w:w="1134" w:type="dxa"/>
                    <w:vAlign w:val="center"/>
                  </w:tcPr>
                  <w:p w14:paraId="332404D8" w14:textId="77777777" w:rsidR="007E7472" w:rsidRDefault="00C8327E">
                    <w:pPr>
                      <w:jc w:val="right"/>
                      <w:rPr>
                        <w:spacing w:val="-20"/>
                        <w:sz w:val="18"/>
                        <w:szCs w:val="18"/>
                      </w:rPr>
                    </w:pPr>
                  </w:p>
                </w:tc>
                <w:tc>
                  <w:tcPr>
                    <w:tcW w:w="992" w:type="dxa"/>
                    <w:vAlign w:val="center"/>
                  </w:tcPr>
                  <w:p w14:paraId="07DAA040" w14:textId="77777777" w:rsidR="007E7472" w:rsidRDefault="00EC1269">
                    <w:pPr>
                      <w:jc w:val="right"/>
                      <w:rPr>
                        <w:spacing w:val="-20"/>
                        <w:sz w:val="18"/>
                        <w:szCs w:val="18"/>
                      </w:rPr>
                    </w:pPr>
                    <w:r>
                      <w:rPr>
                        <w:rFonts w:hint="eastAsia"/>
                        <w:spacing w:val="-20"/>
                        <w:sz w:val="18"/>
                        <w:szCs w:val="18"/>
                      </w:rPr>
                      <w:t>56,998</w:t>
                    </w:r>
                  </w:p>
                </w:tc>
                <w:tc>
                  <w:tcPr>
                    <w:tcW w:w="1181" w:type="dxa"/>
                    <w:vAlign w:val="center"/>
                  </w:tcPr>
                  <w:p w14:paraId="69425931" w14:textId="77777777" w:rsidR="007E7472" w:rsidRDefault="00EC1269">
                    <w:pPr>
                      <w:jc w:val="right"/>
                      <w:rPr>
                        <w:spacing w:val="-20"/>
                        <w:sz w:val="18"/>
                        <w:szCs w:val="18"/>
                      </w:rPr>
                    </w:pPr>
                    <w:r>
                      <w:rPr>
                        <w:rFonts w:hint="eastAsia"/>
                        <w:spacing w:val="-20"/>
                        <w:sz w:val="18"/>
                        <w:szCs w:val="18"/>
                      </w:rPr>
                      <w:t>69,813</w:t>
                    </w:r>
                  </w:p>
                </w:tc>
                <w:tc>
                  <w:tcPr>
                    <w:tcW w:w="945" w:type="dxa"/>
                    <w:vAlign w:val="center"/>
                  </w:tcPr>
                  <w:p w14:paraId="31649181" w14:textId="77777777" w:rsidR="007E7472" w:rsidRDefault="00C8327E">
                    <w:pPr>
                      <w:jc w:val="right"/>
                      <w:rPr>
                        <w:spacing w:val="-20"/>
                        <w:sz w:val="18"/>
                        <w:szCs w:val="18"/>
                      </w:rPr>
                    </w:pPr>
                  </w:p>
                </w:tc>
                <w:tc>
                  <w:tcPr>
                    <w:tcW w:w="993" w:type="dxa"/>
                    <w:vAlign w:val="center"/>
                  </w:tcPr>
                  <w:p w14:paraId="7A2EE07F" w14:textId="77777777" w:rsidR="007E7472" w:rsidRDefault="00EC1269">
                    <w:pPr>
                      <w:jc w:val="right"/>
                      <w:rPr>
                        <w:spacing w:val="-20"/>
                        <w:sz w:val="18"/>
                        <w:szCs w:val="18"/>
                      </w:rPr>
                    </w:pPr>
                    <w:r>
                      <w:rPr>
                        <w:rFonts w:hint="eastAsia"/>
                        <w:spacing w:val="-20"/>
                        <w:sz w:val="18"/>
                        <w:szCs w:val="18"/>
                      </w:rPr>
                      <w:t>-13,430,71</w:t>
                    </w:r>
                    <w:r>
                      <w:rPr>
                        <w:spacing w:val="-20"/>
                        <w:sz w:val="18"/>
                        <w:szCs w:val="18"/>
                      </w:rPr>
                      <w:t>8</w:t>
                    </w:r>
                  </w:p>
                </w:tc>
                <w:tc>
                  <w:tcPr>
                    <w:tcW w:w="1117" w:type="dxa"/>
                    <w:vAlign w:val="center"/>
                  </w:tcPr>
                  <w:p w14:paraId="736751C8" w14:textId="77777777" w:rsidR="007E7472" w:rsidRDefault="00EC1269">
                    <w:pPr>
                      <w:jc w:val="right"/>
                      <w:rPr>
                        <w:spacing w:val="-20"/>
                        <w:sz w:val="18"/>
                        <w:szCs w:val="18"/>
                      </w:rPr>
                    </w:pPr>
                    <w:r>
                      <w:rPr>
                        <w:rFonts w:hint="eastAsia"/>
                        <w:spacing w:val="-20"/>
                        <w:sz w:val="18"/>
                        <w:szCs w:val="18"/>
                      </w:rPr>
                      <w:t>-15,134,3</w:t>
                    </w:r>
                    <w:r>
                      <w:rPr>
                        <w:spacing w:val="-20"/>
                        <w:sz w:val="18"/>
                        <w:szCs w:val="18"/>
                      </w:rPr>
                      <w:t>51</w:t>
                    </w:r>
                  </w:p>
                </w:tc>
              </w:tr>
              <w:tr w:rsidR="007E7472" w14:paraId="5888D68C" w14:textId="77777777">
                <w:trPr>
                  <w:trHeight w:val="20"/>
                </w:trPr>
                <w:sdt>
                  <w:sdtPr>
                    <w:tag w:val="_PLD_c2eb317db9474ea9b9513a40ba81d9f7"/>
                    <w:id w:val="-952711856"/>
                    <w:lock w:val="sdtLocked"/>
                  </w:sdtPr>
                  <w:sdtEndPr/>
                  <w:sdtContent>
                    <w:tc>
                      <w:tcPr>
                        <w:tcW w:w="2450" w:type="dxa"/>
                      </w:tcPr>
                      <w:p w14:paraId="2D31F2E9" w14:textId="77777777" w:rsidR="007E7472" w:rsidRDefault="00EC1269">
                        <w:pPr>
                          <w:rPr>
                            <w:sz w:val="18"/>
                            <w:szCs w:val="18"/>
                          </w:rPr>
                        </w:pPr>
                        <w:r>
                          <w:rPr>
                            <w:rFonts w:hint="eastAsia"/>
                            <w:sz w:val="18"/>
                            <w:szCs w:val="18"/>
                          </w:rPr>
                          <w:t>（一）综合收益总额</w:t>
                        </w:r>
                      </w:p>
                    </w:tc>
                  </w:sdtContent>
                </w:sdt>
                <w:tc>
                  <w:tcPr>
                    <w:tcW w:w="1078" w:type="dxa"/>
                    <w:tcBorders>
                      <w:right w:val="single" w:sz="4" w:space="0" w:color="auto"/>
                    </w:tcBorders>
                    <w:vAlign w:val="center"/>
                  </w:tcPr>
                  <w:p w14:paraId="7040A3EB" w14:textId="77777777" w:rsidR="007E7472" w:rsidRDefault="00C8327E">
                    <w:pPr>
                      <w:jc w:val="right"/>
                      <w:rPr>
                        <w:spacing w:val="-20"/>
                        <w:sz w:val="18"/>
                        <w:szCs w:val="18"/>
                      </w:rPr>
                    </w:pPr>
                  </w:p>
                </w:tc>
                <w:tc>
                  <w:tcPr>
                    <w:tcW w:w="810" w:type="dxa"/>
                    <w:tcBorders>
                      <w:left w:val="single" w:sz="4" w:space="0" w:color="auto"/>
                      <w:right w:val="single" w:sz="4" w:space="0" w:color="auto"/>
                    </w:tcBorders>
                    <w:vAlign w:val="center"/>
                  </w:tcPr>
                  <w:p w14:paraId="7ADD4EF3" w14:textId="77777777" w:rsidR="007E7472" w:rsidRDefault="00C8327E">
                    <w:pPr>
                      <w:jc w:val="right"/>
                      <w:rPr>
                        <w:spacing w:val="-20"/>
                        <w:sz w:val="18"/>
                        <w:szCs w:val="18"/>
                      </w:rPr>
                    </w:pPr>
                  </w:p>
                </w:tc>
                <w:tc>
                  <w:tcPr>
                    <w:tcW w:w="1134" w:type="dxa"/>
                    <w:tcBorders>
                      <w:left w:val="single" w:sz="4" w:space="0" w:color="auto"/>
                      <w:right w:val="single" w:sz="4" w:space="0" w:color="auto"/>
                    </w:tcBorders>
                    <w:vAlign w:val="center"/>
                  </w:tcPr>
                  <w:p w14:paraId="172AC5BA" w14:textId="77777777" w:rsidR="007E7472" w:rsidRDefault="00EC1269">
                    <w:pPr>
                      <w:jc w:val="right"/>
                      <w:rPr>
                        <w:spacing w:val="-20"/>
                        <w:sz w:val="18"/>
                        <w:szCs w:val="18"/>
                      </w:rPr>
                    </w:pPr>
                    <w:r>
                      <w:rPr>
                        <w:rFonts w:hint="eastAsia"/>
                        <w:spacing w:val="-20"/>
                        <w:sz w:val="18"/>
                        <w:szCs w:val="18"/>
                      </w:rPr>
                      <w:t>206,755</w:t>
                    </w:r>
                  </w:p>
                </w:tc>
                <w:tc>
                  <w:tcPr>
                    <w:tcW w:w="1134" w:type="dxa"/>
                    <w:tcBorders>
                      <w:left w:val="single" w:sz="4" w:space="0" w:color="auto"/>
                    </w:tcBorders>
                    <w:vAlign w:val="center"/>
                  </w:tcPr>
                  <w:p w14:paraId="5EF03760" w14:textId="77777777" w:rsidR="007E7472" w:rsidRDefault="00C8327E">
                    <w:pPr>
                      <w:jc w:val="right"/>
                      <w:rPr>
                        <w:spacing w:val="-20"/>
                        <w:sz w:val="18"/>
                        <w:szCs w:val="18"/>
                      </w:rPr>
                    </w:pPr>
                  </w:p>
                </w:tc>
                <w:tc>
                  <w:tcPr>
                    <w:tcW w:w="992" w:type="dxa"/>
                    <w:vAlign w:val="center"/>
                  </w:tcPr>
                  <w:p w14:paraId="408950AA" w14:textId="77777777" w:rsidR="007E7472" w:rsidRDefault="00C8327E">
                    <w:pPr>
                      <w:jc w:val="right"/>
                      <w:rPr>
                        <w:spacing w:val="-20"/>
                        <w:sz w:val="18"/>
                        <w:szCs w:val="18"/>
                      </w:rPr>
                    </w:pPr>
                  </w:p>
                </w:tc>
                <w:tc>
                  <w:tcPr>
                    <w:tcW w:w="1134" w:type="dxa"/>
                    <w:vAlign w:val="center"/>
                  </w:tcPr>
                  <w:p w14:paraId="6EE86E16" w14:textId="77777777" w:rsidR="007E7472" w:rsidRDefault="00C8327E">
                    <w:pPr>
                      <w:jc w:val="right"/>
                      <w:rPr>
                        <w:spacing w:val="-20"/>
                        <w:sz w:val="18"/>
                        <w:szCs w:val="18"/>
                      </w:rPr>
                    </w:pPr>
                  </w:p>
                </w:tc>
                <w:tc>
                  <w:tcPr>
                    <w:tcW w:w="992" w:type="dxa"/>
                    <w:vAlign w:val="center"/>
                  </w:tcPr>
                  <w:p w14:paraId="65D42425" w14:textId="77777777" w:rsidR="007E7472" w:rsidRDefault="00EC1269">
                    <w:pPr>
                      <w:jc w:val="right"/>
                      <w:rPr>
                        <w:spacing w:val="-20"/>
                        <w:sz w:val="18"/>
                        <w:szCs w:val="18"/>
                      </w:rPr>
                    </w:pPr>
                    <w:r>
                      <w:rPr>
                        <w:rFonts w:hint="eastAsia"/>
                        <w:spacing w:val="-20"/>
                        <w:sz w:val="18"/>
                        <w:szCs w:val="18"/>
                      </w:rPr>
                      <w:t>56,998</w:t>
                    </w:r>
                  </w:p>
                </w:tc>
                <w:tc>
                  <w:tcPr>
                    <w:tcW w:w="1181" w:type="dxa"/>
                    <w:vAlign w:val="center"/>
                  </w:tcPr>
                  <w:p w14:paraId="167B9DD9" w14:textId="77777777" w:rsidR="007E7472" w:rsidRDefault="00C8327E">
                    <w:pPr>
                      <w:jc w:val="right"/>
                      <w:rPr>
                        <w:spacing w:val="-20"/>
                        <w:sz w:val="18"/>
                        <w:szCs w:val="18"/>
                      </w:rPr>
                    </w:pPr>
                  </w:p>
                </w:tc>
                <w:tc>
                  <w:tcPr>
                    <w:tcW w:w="945" w:type="dxa"/>
                    <w:vAlign w:val="center"/>
                  </w:tcPr>
                  <w:p w14:paraId="1F6351B8" w14:textId="77777777" w:rsidR="007E7472" w:rsidRDefault="00C8327E">
                    <w:pPr>
                      <w:jc w:val="right"/>
                      <w:rPr>
                        <w:spacing w:val="-20"/>
                        <w:sz w:val="18"/>
                        <w:szCs w:val="18"/>
                      </w:rPr>
                    </w:pPr>
                  </w:p>
                </w:tc>
                <w:tc>
                  <w:tcPr>
                    <w:tcW w:w="993" w:type="dxa"/>
                    <w:vAlign w:val="center"/>
                  </w:tcPr>
                  <w:p w14:paraId="4042C90D" w14:textId="77777777" w:rsidR="007E7472" w:rsidRDefault="00EC1269">
                    <w:pPr>
                      <w:jc w:val="right"/>
                      <w:rPr>
                        <w:spacing w:val="-20"/>
                        <w:sz w:val="18"/>
                        <w:szCs w:val="18"/>
                      </w:rPr>
                    </w:pPr>
                    <w:r>
                      <w:rPr>
                        <w:rFonts w:hint="eastAsia"/>
                        <w:spacing w:val="-20"/>
                        <w:sz w:val="18"/>
                        <w:szCs w:val="18"/>
                      </w:rPr>
                      <w:t>7,903,13</w:t>
                    </w:r>
                    <w:r>
                      <w:rPr>
                        <w:spacing w:val="-20"/>
                        <w:sz w:val="18"/>
                        <w:szCs w:val="18"/>
                      </w:rPr>
                      <w:t>1</w:t>
                    </w:r>
                  </w:p>
                </w:tc>
                <w:tc>
                  <w:tcPr>
                    <w:tcW w:w="1117" w:type="dxa"/>
                    <w:vAlign w:val="center"/>
                  </w:tcPr>
                  <w:p w14:paraId="5D27BCF4" w14:textId="77777777" w:rsidR="007E7472" w:rsidRDefault="00EC1269">
                    <w:pPr>
                      <w:jc w:val="right"/>
                      <w:rPr>
                        <w:spacing w:val="-20"/>
                        <w:sz w:val="18"/>
                        <w:szCs w:val="18"/>
                      </w:rPr>
                    </w:pPr>
                    <w:r>
                      <w:rPr>
                        <w:rFonts w:hint="eastAsia"/>
                        <w:spacing w:val="-20"/>
                        <w:sz w:val="18"/>
                        <w:szCs w:val="18"/>
                      </w:rPr>
                      <w:t>8,166,88</w:t>
                    </w:r>
                    <w:r>
                      <w:rPr>
                        <w:spacing w:val="-20"/>
                        <w:sz w:val="18"/>
                        <w:szCs w:val="18"/>
                      </w:rPr>
                      <w:t>4</w:t>
                    </w:r>
                  </w:p>
                </w:tc>
              </w:tr>
              <w:tr w:rsidR="007E7472" w14:paraId="5F1895C5" w14:textId="77777777">
                <w:trPr>
                  <w:trHeight w:val="20"/>
                </w:trPr>
                <w:sdt>
                  <w:sdtPr>
                    <w:tag w:val="_PLD_2c2c42255e12419d81111ac5d28c5859"/>
                    <w:id w:val="-154765047"/>
                    <w:lock w:val="sdtLocked"/>
                  </w:sdtPr>
                  <w:sdtEndPr/>
                  <w:sdtContent>
                    <w:tc>
                      <w:tcPr>
                        <w:tcW w:w="2450" w:type="dxa"/>
                      </w:tcPr>
                      <w:p w14:paraId="149BA702" w14:textId="77777777" w:rsidR="007E7472" w:rsidRDefault="00EC1269">
                        <w:pPr>
                          <w:rPr>
                            <w:sz w:val="18"/>
                            <w:szCs w:val="18"/>
                          </w:rPr>
                        </w:pPr>
                        <w:r>
                          <w:rPr>
                            <w:sz w:val="18"/>
                            <w:szCs w:val="18"/>
                          </w:rPr>
                          <w:t>（</w:t>
                        </w:r>
                        <w:r>
                          <w:rPr>
                            <w:rFonts w:hint="eastAsia"/>
                            <w:sz w:val="18"/>
                            <w:szCs w:val="18"/>
                          </w:rPr>
                          <w:t>二</w:t>
                        </w:r>
                        <w:r>
                          <w:rPr>
                            <w:sz w:val="18"/>
                            <w:szCs w:val="18"/>
                          </w:rPr>
                          <w:t>）所有者投入和减少资本</w:t>
                        </w:r>
                      </w:p>
                    </w:tc>
                  </w:sdtContent>
                </w:sdt>
                <w:tc>
                  <w:tcPr>
                    <w:tcW w:w="1078" w:type="dxa"/>
                    <w:tcBorders>
                      <w:right w:val="single" w:sz="4" w:space="0" w:color="auto"/>
                    </w:tcBorders>
                    <w:vAlign w:val="center"/>
                  </w:tcPr>
                  <w:p w14:paraId="3262ABA7" w14:textId="77777777" w:rsidR="007E7472" w:rsidRDefault="00EC1269">
                    <w:pPr>
                      <w:jc w:val="right"/>
                      <w:rPr>
                        <w:spacing w:val="-20"/>
                        <w:sz w:val="18"/>
                        <w:szCs w:val="18"/>
                      </w:rPr>
                    </w:pPr>
                    <w:r>
                      <w:rPr>
                        <w:rFonts w:hint="eastAsia"/>
                        <w:spacing w:val="-20"/>
                        <w:sz w:val="18"/>
                        <w:szCs w:val="18"/>
                      </w:rPr>
                      <w:t>12,657</w:t>
                    </w:r>
                  </w:p>
                </w:tc>
                <w:tc>
                  <w:tcPr>
                    <w:tcW w:w="810" w:type="dxa"/>
                    <w:tcBorders>
                      <w:left w:val="single" w:sz="4" w:space="0" w:color="auto"/>
                      <w:right w:val="single" w:sz="4" w:space="0" w:color="auto"/>
                    </w:tcBorders>
                    <w:vAlign w:val="center"/>
                  </w:tcPr>
                  <w:p w14:paraId="0E5FFACA" w14:textId="77777777" w:rsidR="007E7472" w:rsidRDefault="00C8327E">
                    <w:pPr>
                      <w:jc w:val="right"/>
                      <w:rPr>
                        <w:spacing w:val="-20"/>
                        <w:sz w:val="18"/>
                        <w:szCs w:val="18"/>
                      </w:rPr>
                    </w:pPr>
                  </w:p>
                </w:tc>
                <w:tc>
                  <w:tcPr>
                    <w:tcW w:w="1134" w:type="dxa"/>
                    <w:tcBorders>
                      <w:left w:val="single" w:sz="4" w:space="0" w:color="auto"/>
                      <w:right w:val="single" w:sz="4" w:space="0" w:color="auto"/>
                    </w:tcBorders>
                    <w:vAlign w:val="center"/>
                  </w:tcPr>
                  <w:p w14:paraId="1324D80D" w14:textId="77777777" w:rsidR="007E7472" w:rsidRDefault="00EC1269">
                    <w:pPr>
                      <w:jc w:val="right"/>
                      <w:rPr>
                        <w:spacing w:val="-20"/>
                        <w:sz w:val="18"/>
                        <w:szCs w:val="18"/>
                      </w:rPr>
                    </w:pPr>
                    <w:r>
                      <w:rPr>
                        <w:rFonts w:hint="eastAsia"/>
                        <w:spacing w:val="-20"/>
                        <w:sz w:val="18"/>
                        <w:szCs w:val="18"/>
                      </w:rPr>
                      <w:t>-1,696,600</w:t>
                    </w:r>
                  </w:p>
                </w:tc>
                <w:tc>
                  <w:tcPr>
                    <w:tcW w:w="1134" w:type="dxa"/>
                    <w:tcBorders>
                      <w:left w:val="single" w:sz="4" w:space="0" w:color="auto"/>
                    </w:tcBorders>
                    <w:vAlign w:val="center"/>
                  </w:tcPr>
                  <w:p w14:paraId="078114D6" w14:textId="77777777" w:rsidR="007E7472" w:rsidRDefault="00C8327E">
                    <w:pPr>
                      <w:jc w:val="right"/>
                      <w:rPr>
                        <w:spacing w:val="-20"/>
                        <w:sz w:val="18"/>
                        <w:szCs w:val="18"/>
                      </w:rPr>
                    </w:pPr>
                  </w:p>
                </w:tc>
                <w:tc>
                  <w:tcPr>
                    <w:tcW w:w="992" w:type="dxa"/>
                    <w:vAlign w:val="center"/>
                  </w:tcPr>
                  <w:p w14:paraId="7E090C5D" w14:textId="77777777" w:rsidR="007E7472" w:rsidRDefault="00EC1269">
                    <w:pPr>
                      <w:jc w:val="right"/>
                      <w:rPr>
                        <w:spacing w:val="-20"/>
                        <w:sz w:val="18"/>
                        <w:szCs w:val="18"/>
                      </w:rPr>
                    </w:pPr>
                    <w:r>
                      <w:rPr>
                        <w:rFonts w:hint="eastAsia"/>
                        <w:spacing w:val="-20"/>
                        <w:sz w:val="18"/>
                        <w:szCs w:val="18"/>
                      </w:rPr>
                      <w:t>9,034</w:t>
                    </w:r>
                  </w:p>
                </w:tc>
                <w:tc>
                  <w:tcPr>
                    <w:tcW w:w="1134" w:type="dxa"/>
                    <w:vAlign w:val="center"/>
                  </w:tcPr>
                  <w:p w14:paraId="3C2C3596" w14:textId="77777777" w:rsidR="007E7472" w:rsidRDefault="00C8327E">
                    <w:pPr>
                      <w:jc w:val="right"/>
                      <w:rPr>
                        <w:spacing w:val="-20"/>
                        <w:sz w:val="18"/>
                        <w:szCs w:val="18"/>
                      </w:rPr>
                    </w:pPr>
                  </w:p>
                </w:tc>
                <w:tc>
                  <w:tcPr>
                    <w:tcW w:w="992" w:type="dxa"/>
                    <w:vAlign w:val="center"/>
                  </w:tcPr>
                  <w:p w14:paraId="07108141" w14:textId="77777777" w:rsidR="007E7472" w:rsidRDefault="00C8327E">
                    <w:pPr>
                      <w:jc w:val="right"/>
                      <w:rPr>
                        <w:spacing w:val="-20"/>
                        <w:sz w:val="18"/>
                        <w:szCs w:val="18"/>
                      </w:rPr>
                    </w:pPr>
                  </w:p>
                </w:tc>
                <w:tc>
                  <w:tcPr>
                    <w:tcW w:w="1181" w:type="dxa"/>
                    <w:vAlign w:val="center"/>
                  </w:tcPr>
                  <w:p w14:paraId="1F3B5236" w14:textId="77777777" w:rsidR="007E7472" w:rsidRDefault="00C8327E">
                    <w:pPr>
                      <w:jc w:val="right"/>
                      <w:rPr>
                        <w:spacing w:val="-20"/>
                        <w:sz w:val="18"/>
                        <w:szCs w:val="18"/>
                      </w:rPr>
                    </w:pPr>
                  </w:p>
                </w:tc>
                <w:tc>
                  <w:tcPr>
                    <w:tcW w:w="945" w:type="dxa"/>
                    <w:vAlign w:val="center"/>
                  </w:tcPr>
                  <w:p w14:paraId="41CDB2EA" w14:textId="77777777" w:rsidR="007E7472" w:rsidRDefault="00C8327E">
                    <w:pPr>
                      <w:jc w:val="right"/>
                      <w:rPr>
                        <w:spacing w:val="-20"/>
                        <w:sz w:val="18"/>
                        <w:szCs w:val="18"/>
                      </w:rPr>
                    </w:pPr>
                  </w:p>
                </w:tc>
                <w:tc>
                  <w:tcPr>
                    <w:tcW w:w="993" w:type="dxa"/>
                    <w:vAlign w:val="center"/>
                  </w:tcPr>
                  <w:p w14:paraId="0B5597EC" w14:textId="77777777" w:rsidR="007E7472" w:rsidRDefault="00C8327E">
                    <w:pPr>
                      <w:jc w:val="right"/>
                      <w:rPr>
                        <w:spacing w:val="-20"/>
                        <w:sz w:val="18"/>
                        <w:szCs w:val="18"/>
                      </w:rPr>
                    </w:pPr>
                  </w:p>
                </w:tc>
                <w:tc>
                  <w:tcPr>
                    <w:tcW w:w="1117" w:type="dxa"/>
                    <w:vAlign w:val="center"/>
                  </w:tcPr>
                  <w:p w14:paraId="6DB1F533" w14:textId="77777777" w:rsidR="007E7472" w:rsidRDefault="00EC1269">
                    <w:pPr>
                      <w:jc w:val="right"/>
                      <w:rPr>
                        <w:spacing w:val="-20"/>
                        <w:sz w:val="18"/>
                        <w:szCs w:val="18"/>
                      </w:rPr>
                    </w:pPr>
                    <w:r>
                      <w:rPr>
                        <w:rFonts w:hint="eastAsia"/>
                        <w:spacing w:val="-20"/>
                        <w:sz w:val="18"/>
                        <w:szCs w:val="18"/>
                      </w:rPr>
                      <w:t>-1,674,909</w:t>
                    </w:r>
                  </w:p>
                </w:tc>
              </w:tr>
              <w:tr w:rsidR="007E7472" w14:paraId="378D017A" w14:textId="77777777">
                <w:trPr>
                  <w:trHeight w:val="20"/>
                </w:trPr>
                <w:sdt>
                  <w:sdtPr>
                    <w:tag w:val="_PLD_ced9c335ab0c4ec8b683bd42730e309b"/>
                    <w:id w:val="-1163083331"/>
                    <w:lock w:val="sdtLocked"/>
                  </w:sdtPr>
                  <w:sdtEndPr/>
                  <w:sdtContent>
                    <w:tc>
                      <w:tcPr>
                        <w:tcW w:w="2450" w:type="dxa"/>
                      </w:tcPr>
                      <w:p w14:paraId="4D36844D" w14:textId="77777777" w:rsidR="007E7472" w:rsidRDefault="00EC1269">
                        <w:pPr>
                          <w:rPr>
                            <w:sz w:val="18"/>
                            <w:szCs w:val="18"/>
                          </w:rPr>
                        </w:pPr>
                        <w:r>
                          <w:rPr>
                            <w:rFonts w:hint="eastAsia"/>
                            <w:sz w:val="18"/>
                            <w:szCs w:val="18"/>
                          </w:rPr>
                          <w:t>1．所有者投入的普通股</w:t>
                        </w:r>
                      </w:p>
                    </w:tc>
                  </w:sdtContent>
                </w:sdt>
                <w:tc>
                  <w:tcPr>
                    <w:tcW w:w="1078" w:type="dxa"/>
                    <w:tcBorders>
                      <w:right w:val="single" w:sz="4" w:space="0" w:color="auto"/>
                    </w:tcBorders>
                    <w:vAlign w:val="center"/>
                  </w:tcPr>
                  <w:p w14:paraId="3F7E60BA" w14:textId="77777777" w:rsidR="007E7472" w:rsidRDefault="00C8327E">
                    <w:pPr>
                      <w:jc w:val="right"/>
                      <w:rPr>
                        <w:spacing w:val="-20"/>
                        <w:sz w:val="18"/>
                        <w:szCs w:val="18"/>
                      </w:rPr>
                    </w:pPr>
                  </w:p>
                </w:tc>
                <w:tc>
                  <w:tcPr>
                    <w:tcW w:w="810" w:type="dxa"/>
                    <w:tcBorders>
                      <w:left w:val="single" w:sz="4" w:space="0" w:color="auto"/>
                      <w:right w:val="single" w:sz="4" w:space="0" w:color="auto"/>
                    </w:tcBorders>
                    <w:vAlign w:val="center"/>
                  </w:tcPr>
                  <w:p w14:paraId="6E51A8D8" w14:textId="77777777" w:rsidR="007E7472" w:rsidRDefault="00C8327E">
                    <w:pPr>
                      <w:jc w:val="right"/>
                      <w:rPr>
                        <w:spacing w:val="-20"/>
                        <w:sz w:val="18"/>
                        <w:szCs w:val="18"/>
                      </w:rPr>
                    </w:pPr>
                  </w:p>
                </w:tc>
                <w:tc>
                  <w:tcPr>
                    <w:tcW w:w="1134" w:type="dxa"/>
                    <w:tcBorders>
                      <w:left w:val="single" w:sz="4" w:space="0" w:color="auto"/>
                      <w:right w:val="single" w:sz="4" w:space="0" w:color="auto"/>
                    </w:tcBorders>
                    <w:vAlign w:val="center"/>
                  </w:tcPr>
                  <w:p w14:paraId="4DC7482D" w14:textId="77777777" w:rsidR="007E7472" w:rsidRDefault="00C8327E">
                    <w:pPr>
                      <w:jc w:val="right"/>
                      <w:rPr>
                        <w:spacing w:val="-20"/>
                        <w:sz w:val="18"/>
                        <w:szCs w:val="18"/>
                      </w:rPr>
                    </w:pPr>
                  </w:p>
                </w:tc>
                <w:tc>
                  <w:tcPr>
                    <w:tcW w:w="1134" w:type="dxa"/>
                    <w:tcBorders>
                      <w:left w:val="single" w:sz="4" w:space="0" w:color="auto"/>
                    </w:tcBorders>
                    <w:vAlign w:val="center"/>
                  </w:tcPr>
                  <w:p w14:paraId="7128BACA" w14:textId="77777777" w:rsidR="007E7472" w:rsidRDefault="00C8327E">
                    <w:pPr>
                      <w:jc w:val="right"/>
                      <w:rPr>
                        <w:spacing w:val="-20"/>
                        <w:sz w:val="18"/>
                        <w:szCs w:val="18"/>
                      </w:rPr>
                    </w:pPr>
                  </w:p>
                </w:tc>
                <w:tc>
                  <w:tcPr>
                    <w:tcW w:w="992" w:type="dxa"/>
                    <w:vAlign w:val="center"/>
                  </w:tcPr>
                  <w:p w14:paraId="4292CC6C" w14:textId="77777777" w:rsidR="007E7472" w:rsidRDefault="00C8327E">
                    <w:pPr>
                      <w:jc w:val="right"/>
                      <w:rPr>
                        <w:spacing w:val="-20"/>
                        <w:sz w:val="18"/>
                        <w:szCs w:val="18"/>
                      </w:rPr>
                    </w:pPr>
                  </w:p>
                </w:tc>
                <w:tc>
                  <w:tcPr>
                    <w:tcW w:w="1134" w:type="dxa"/>
                    <w:vAlign w:val="center"/>
                  </w:tcPr>
                  <w:p w14:paraId="14B91A96" w14:textId="77777777" w:rsidR="007E7472" w:rsidRDefault="00C8327E">
                    <w:pPr>
                      <w:jc w:val="right"/>
                      <w:rPr>
                        <w:spacing w:val="-20"/>
                        <w:sz w:val="18"/>
                        <w:szCs w:val="18"/>
                      </w:rPr>
                    </w:pPr>
                  </w:p>
                </w:tc>
                <w:tc>
                  <w:tcPr>
                    <w:tcW w:w="992" w:type="dxa"/>
                    <w:vAlign w:val="center"/>
                  </w:tcPr>
                  <w:p w14:paraId="1C3DADAF" w14:textId="77777777" w:rsidR="007E7472" w:rsidRDefault="00C8327E">
                    <w:pPr>
                      <w:jc w:val="right"/>
                      <w:rPr>
                        <w:spacing w:val="-20"/>
                        <w:sz w:val="18"/>
                        <w:szCs w:val="18"/>
                      </w:rPr>
                    </w:pPr>
                  </w:p>
                </w:tc>
                <w:tc>
                  <w:tcPr>
                    <w:tcW w:w="1181" w:type="dxa"/>
                    <w:vAlign w:val="center"/>
                  </w:tcPr>
                  <w:p w14:paraId="053CC71A" w14:textId="77777777" w:rsidR="007E7472" w:rsidRDefault="00C8327E">
                    <w:pPr>
                      <w:jc w:val="right"/>
                      <w:rPr>
                        <w:spacing w:val="-20"/>
                        <w:sz w:val="18"/>
                        <w:szCs w:val="18"/>
                      </w:rPr>
                    </w:pPr>
                  </w:p>
                </w:tc>
                <w:tc>
                  <w:tcPr>
                    <w:tcW w:w="945" w:type="dxa"/>
                    <w:vAlign w:val="center"/>
                  </w:tcPr>
                  <w:p w14:paraId="07AEF096" w14:textId="77777777" w:rsidR="007E7472" w:rsidRDefault="00C8327E">
                    <w:pPr>
                      <w:jc w:val="right"/>
                      <w:rPr>
                        <w:spacing w:val="-20"/>
                        <w:sz w:val="18"/>
                        <w:szCs w:val="18"/>
                      </w:rPr>
                    </w:pPr>
                  </w:p>
                </w:tc>
                <w:tc>
                  <w:tcPr>
                    <w:tcW w:w="993" w:type="dxa"/>
                    <w:vAlign w:val="center"/>
                  </w:tcPr>
                  <w:p w14:paraId="5D50708C" w14:textId="77777777" w:rsidR="007E7472" w:rsidRDefault="00C8327E">
                    <w:pPr>
                      <w:jc w:val="right"/>
                      <w:rPr>
                        <w:spacing w:val="-20"/>
                        <w:sz w:val="18"/>
                        <w:szCs w:val="18"/>
                      </w:rPr>
                    </w:pPr>
                  </w:p>
                </w:tc>
                <w:tc>
                  <w:tcPr>
                    <w:tcW w:w="1117" w:type="dxa"/>
                    <w:vAlign w:val="center"/>
                  </w:tcPr>
                  <w:p w14:paraId="71FAA4B1" w14:textId="77777777" w:rsidR="007E7472" w:rsidRDefault="00C8327E">
                    <w:pPr>
                      <w:jc w:val="right"/>
                      <w:rPr>
                        <w:spacing w:val="-20"/>
                        <w:sz w:val="18"/>
                        <w:szCs w:val="18"/>
                      </w:rPr>
                    </w:pPr>
                  </w:p>
                </w:tc>
              </w:tr>
              <w:tr w:rsidR="007E7472" w14:paraId="3E83D592" w14:textId="77777777">
                <w:trPr>
                  <w:trHeight w:val="20"/>
                </w:trPr>
                <w:sdt>
                  <w:sdtPr>
                    <w:tag w:val="_PLD_5db7714c048b45cb8fc2f783898126a2"/>
                    <w:id w:val="-958331609"/>
                    <w:lock w:val="sdtLocked"/>
                  </w:sdtPr>
                  <w:sdtEndPr/>
                  <w:sdtContent>
                    <w:tc>
                      <w:tcPr>
                        <w:tcW w:w="2450" w:type="dxa"/>
                      </w:tcPr>
                      <w:p w14:paraId="377E83CE" w14:textId="77777777" w:rsidR="007E7472" w:rsidRDefault="00EC1269">
                        <w:pPr>
                          <w:rPr>
                            <w:sz w:val="18"/>
                            <w:szCs w:val="18"/>
                          </w:rPr>
                        </w:pPr>
                        <w:r>
                          <w:rPr>
                            <w:rFonts w:hint="eastAsia"/>
                            <w:sz w:val="18"/>
                            <w:szCs w:val="18"/>
                          </w:rPr>
                          <w:t>2．其他权益工具持有者投入资本</w:t>
                        </w:r>
                      </w:p>
                    </w:tc>
                  </w:sdtContent>
                </w:sdt>
                <w:tc>
                  <w:tcPr>
                    <w:tcW w:w="1078" w:type="dxa"/>
                    <w:tcBorders>
                      <w:right w:val="single" w:sz="4" w:space="0" w:color="auto"/>
                    </w:tcBorders>
                    <w:vAlign w:val="center"/>
                  </w:tcPr>
                  <w:p w14:paraId="0B93518D" w14:textId="77777777" w:rsidR="007E7472" w:rsidRDefault="00C8327E">
                    <w:pPr>
                      <w:jc w:val="right"/>
                      <w:rPr>
                        <w:spacing w:val="-20"/>
                        <w:sz w:val="18"/>
                        <w:szCs w:val="18"/>
                      </w:rPr>
                    </w:pPr>
                  </w:p>
                </w:tc>
                <w:tc>
                  <w:tcPr>
                    <w:tcW w:w="810" w:type="dxa"/>
                    <w:tcBorders>
                      <w:left w:val="single" w:sz="4" w:space="0" w:color="auto"/>
                      <w:right w:val="single" w:sz="4" w:space="0" w:color="auto"/>
                    </w:tcBorders>
                    <w:vAlign w:val="center"/>
                  </w:tcPr>
                  <w:p w14:paraId="2DAC4E4A" w14:textId="77777777" w:rsidR="007E7472" w:rsidRDefault="00C8327E">
                    <w:pPr>
                      <w:jc w:val="right"/>
                      <w:rPr>
                        <w:spacing w:val="-20"/>
                        <w:sz w:val="18"/>
                        <w:szCs w:val="18"/>
                      </w:rPr>
                    </w:pPr>
                  </w:p>
                </w:tc>
                <w:tc>
                  <w:tcPr>
                    <w:tcW w:w="1134" w:type="dxa"/>
                    <w:tcBorders>
                      <w:left w:val="single" w:sz="4" w:space="0" w:color="auto"/>
                      <w:right w:val="single" w:sz="4" w:space="0" w:color="auto"/>
                    </w:tcBorders>
                    <w:vAlign w:val="center"/>
                  </w:tcPr>
                  <w:p w14:paraId="46442BF9" w14:textId="77777777" w:rsidR="007E7472" w:rsidRDefault="00EC1269">
                    <w:pPr>
                      <w:jc w:val="right"/>
                      <w:rPr>
                        <w:spacing w:val="-20"/>
                        <w:sz w:val="18"/>
                        <w:szCs w:val="18"/>
                      </w:rPr>
                    </w:pPr>
                    <w:r>
                      <w:rPr>
                        <w:rFonts w:hint="eastAsia"/>
                        <w:spacing w:val="-20"/>
                        <w:sz w:val="18"/>
                        <w:szCs w:val="18"/>
                      </w:rPr>
                      <w:t>-1,696,600</w:t>
                    </w:r>
                  </w:p>
                </w:tc>
                <w:tc>
                  <w:tcPr>
                    <w:tcW w:w="1134" w:type="dxa"/>
                    <w:tcBorders>
                      <w:left w:val="single" w:sz="4" w:space="0" w:color="auto"/>
                    </w:tcBorders>
                    <w:vAlign w:val="center"/>
                  </w:tcPr>
                  <w:p w14:paraId="4057C70C" w14:textId="77777777" w:rsidR="007E7472" w:rsidRDefault="00C8327E">
                    <w:pPr>
                      <w:jc w:val="right"/>
                      <w:rPr>
                        <w:spacing w:val="-20"/>
                        <w:sz w:val="18"/>
                        <w:szCs w:val="18"/>
                      </w:rPr>
                    </w:pPr>
                  </w:p>
                </w:tc>
                <w:tc>
                  <w:tcPr>
                    <w:tcW w:w="992" w:type="dxa"/>
                    <w:vAlign w:val="center"/>
                  </w:tcPr>
                  <w:p w14:paraId="027BFE2A" w14:textId="77777777" w:rsidR="007E7472" w:rsidRDefault="00EC1269">
                    <w:pPr>
                      <w:jc w:val="right"/>
                      <w:rPr>
                        <w:spacing w:val="-20"/>
                        <w:sz w:val="18"/>
                        <w:szCs w:val="18"/>
                      </w:rPr>
                    </w:pPr>
                    <w:r>
                      <w:rPr>
                        <w:rFonts w:hint="eastAsia"/>
                        <w:spacing w:val="-20"/>
                        <w:sz w:val="18"/>
                        <w:szCs w:val="18"/>
                      </w:rPr>
                      <w:t>-3,400</w:t>
                    </w:r>
                  </w:p>
                </w:tc>
                <w:tc>
                  <w:tcPr>
                    <w:tcW w:w="1134" w:type="dxa"/>
                    <w:vAlign w:val="center"/>
                  </w:tcPr>
                  <w:p w14:paraId="69D24CD3" w14:textId="77777777" w:rsidR="007E7472" w:rsidRDefault="00C8327E">
                    <w:pPr>
                      <w:jc w:val="right"/>
                      <w:rPr>
                        <w:spacing w:val="-20"/>
                        <w:sz w:val="18"/>
                        <w:szCs w:val="18"/>
                      </w:rPr>
                    </w:pPr>
                  </w:p>
                </w:tc>
                <w:tc>
                  <w:tcPr>
                    <w:tcW w:w="992" w:type="dxa"/>
                    <w:vAlign w:val="center"/>
                  </w:tcPr>
                  <w:p w14:paraId="43DA2401" w14:textId="77777777" w:rsidR="007E7472" w:rsidRDefault="00C8327E">
                    <w:pPr>
                      <w:jc w:val="right"/>
                      <w:rPr>
                        <w:spacing w:val="-20"/>
                        <w:sz w:val="18"/>
                        <w:szCs w:val="18"/>
                      </w:rPr>
                    </w:pPr>
                  </w:p>
                </w:tc>
                <w:tc>
                  <w:tcPr>
                    <w:tcW w:w="1181" w:type="dxa"/>
                    <w:vAlign w:val="center"/>
                  </w:tcPr>
                  <w:p w14:paraId="22A413AE" w14:textId="77777777" w:rsidR="007E7472" w:rsidRDefault="00C8327E">
                    <w:pPr>
                      <w:jc w:val="right"/>
                      <w:rPr>
                        <w:spacing w:val="-20"/>
                        <w:sz w:val="18"/>
                        <w:szCs w:val="18"/>
                      </w:rPr>
                    </w:pPr>
                  </w:p>
                </w:tc>
                <w:tc>
                  <w:tcPr>
                    <w:tcW w:w="945" w:type="dxa"/>
                    <w:vAlign w:val="center"/>
                  </w:tcPr>
                  <w:p w14:paraId="0B93C179" w14:textId="77777777" w:rsidR="007E7472" w:rsidRDefault="00C8327E">
                    <w:pPr>
                      <w:jc w:val="right"/>
                      <w:rPr>
                        <w:spacing w:val="-20"/>
                        <w:sz w:val="18"/>
                        <w:szCs w:val="18"/>
                      </w:rPr>
                    </w:pPr>
                  </w:p>
                </w:tc>
                <w:tc>
                  <w:tcPr>
                    <w:tcW w:w="993" w:type="dxa"/>
                    <w:vAlign w:val="center"/>
                  </w:tcPr>
                  <w:p w14:paraId="3E71E878" w14:textId="77777777" w:rsidR="007E7472" w:rsidRDefault="00C8327E">
                    <w:pPr>
                      <w:jc w:val="right"/>
                      <w:rPr>
                        <w:spacing w:val="-20"/>
                        <w:sz w:val="18"/>
                        <w:szCs w:val="18"/>
                      </w:rPr>
                    </w:pPr>
                  </w:p>
                </w:tc>
                <w:tc>
                  <w:tcPr>
                    <w:tcW w:w="1117" w:type="dxa"/>
                    <w:vAlign w:val="center"/>
                  </w:tcPr>
                  <w:p w14:paraId="32F00F33" w14:textId="77777777" w:rsidR="007E7472" w:rsidRDefault="00EC1269">
                    <w:pPr>
                      <w:jc w:val="right"/>
                      <w:rPr>
                        <w:spacing w:val="-20"/>
                        <w:sz w:val="18"/>
                        <w:szCs w:val="18"/>
                      </w:rPr>
                    </w:pPr>
                    <w:r>
                      <w:rPr>
                        <w:rFonts w:hint="eastAsia"/>
                        <w:spacing w:val="-20"/>
                        <w:sz w:val="18"/>
                        <w:szCs w:val="18"/>
                      </w:rPr>
                      <w:t>-1,700,000</w:t>
                    </w:r>
                  </w:p>
                </w:tc>
              </w:tr>
              <w:tr w:rsidR="007E7472" w14:paraId="4C433E6E" w14:textId="77777777">
                <w:trPr>
                  <w:trHeight w:val="20"/>
                </w:trPr>
                <w:sdt>
                  <w:sdtPr>
                    <w:tag w:val="_PLD_0c8627dcaed14beabce3c3a65384cf01"/>
                    <w:id w:val="16431535"/>
                    <w:lock w:val="sdtLocked"/>
                  </w:sdtPr>
                  <w:sdtEndPr/>
                  <w:sdtContent>
                    <w:tc>
                      <w:tcPr>
                        <w:tcW w:w="2450" w:type="dxa"/>
                      </w:tcPr>
                      <w:p w14:paraId="62A504CC" w14:textId="77777777" w:rsidR="007E7472" w:rsidRDefault="00EC1269">
                        <w:pPr>
                          <w:rPr>
                            <w:sz w:val="18"/>
                            <w:szCs w:val="18"/>
                          </w:rPr>
                        </w:pPr>
                        <w:r>
                          <w:rPr>
                            <w:rFonts w:hint="eastAsia"/>
                            <w:sz w:val="18"/>
                            <w:szCs w:val="18"/>
                          </w:rPr>
                          <w:t>3</w:t>
                        </w:r>
                        <w:r>
                          <w:rPr>
                            <w:sz w:val="18"/>
                            <w:szCs w:val="18"/>
                          </w:rPr>
                          <w:t>．股份支付计入所有者权益的金额</w:t>
                        </w:r>
                      </w:p>
                    </w:tc>
                  </w:sdtContent>
                </w:sdt>
                <w:tc>
                  <w:tcPr>
                    <w:tcW w:w="1078" w:type="dxa"/>
                    <w:tcBorders>
                      <w:right w:val="single" w:sz="4" w:space="0" w:color="auto"/>
                    </w:tcBorders>
                    <w:vAlign w:val="center"/>
                  </w:tcPr>
                  <w:p w14:paraId="6FB6003D" w14:textId="77777777" w:rsidR="007E7472" w:rsidRDefault="00EC1269">
                    <w:pPr>
                      <w:jc w:val="right"/>
                      <w:rPr>
                        <w:spacing w:val="-20"/>
                        <w:sz w:val="18"/>
                        <w:szCs w:val="18"/>
                      </w:rPr>
                    </w:pPr>
                    <w:r>
                      <w:rPr>
                        <w:rFonts w:hint="eastAsia"/>
                        <w:spacing w:val="-20"/>
                        <w:sz w:val="18"/>
                        <w:szCs w:val="18"/>
                      </w:rPr>
                      <w:t>12,657</w:t>
                    </w:r>
                  </w:p>
                </w:tc>
                <w:tc>
                  <w:tcPr>
                    <w:tcW w:w="810" w:type="dxa"/>
                    <w:tcBorders>
                      <w:left w:val="single" w:sz="4" w:space="0" w:color="auto"/>
                      <w:right w:val="single" w:sz="4" w:space="0" w:color="auto"/>
                    </w:tcBorders>
                    <w:vAlign w:val="center"/>
                  </w:tcPr>
                  <w:p w14:paraId="34342736" w14:textId="77777777" w:rsidR="007E7472" w:rsidRDefault="00C8327E">
                    <w:pPr>
                      <w:jc w:val="right"/>
                      <w:rPr>
                        <w:spacing w:val="-20"/>
                        <w:sz w:val="18"/>
                        <w:szCs w:val="18"/>
                      </w:rPr>
                    </w:pPr>
                  </w:p>
                </w:tc>
                <w:tc>
                  <w:tcPr>
                    <w:tcW w:w="1134" w:type="dxa"/>
                    <w:tcBorders>
                      <w:left w:val="single" w:sz="4" w:space="0" w:color="auto"/>
                      <w:right w:val="single" w:sz="4" w:space="0" w:color="auto"/>
                    </w:tcBorders>
                    <w:vAlign w:val="center"/>
                  </w:tcPr>
                  <w:p w14:paraId="4FD1109E" w14:textId="77777777" w:rsidR="007E7472" w:rsidRDefault="00C8327E">
                    <w:pPr>
                      <w:jc w:val="right"/>
                      <w:rPr>
                        <w:spacing w:val="-20"/>
                        <w:sz w:val="18"/>
                        <w:szCs w:val="18"/>
                      </w:rPr>
                    </w:pPr>
                  </w:p>
                </w:tc>
                <w:tc>
                  <w:tcPr>
                    <w:tcW w:w="1134" w:type="dxa"/>
                    <w:tcBorders>
                      <w:left w:val="single" w:sz="4" w:space="0" w:color="auto"/>
                    </w:tcBorders>
                    <w:vAlign w:val="center"/>
                  </w:tcPr>
                  <w:p w14:paraId="22775A9D" w14:textId="77777777" w:rsidR="007E7472" w:rsidRDefault="00C8327E">
                    <w:pPr>
                      <w:jc w:val="right"/>
                      <w:rPr>
                        <w:spacing w:val="-20"/>
                        <w:sz w:val="18"/>
                        <w:szCs w:val="18"/>
                      </w:rPr>
                    </w:pPr>
                  </w:p>
                </w:tc>
                <w:tc>
                  <w:tcPr>
                    <w:tcW w:w="992" w:type="dxa"/>
                    <w:vAlign w:val="center"/>
                  </w:tcPr>
                  <w:p w14:paraId="57DBEB03" w14:textId="77777777" w:rsidR="007E7472" w:rsidRDefault="00EC1269">
                    <w:pPr>
                      <w:jc w:val="right"/>
                      <w:rPr>
                        <w:spacing w:val="-20"/>
                        <w:sz w:val="18"/>
                        <w:szCs w:val="18"/>
                      </w:rPr>
                    </w:pPr>
                    <w:r>
                      <w:rPr>
                        <w:rFonts w:hint="eastAsia"/>
                        <w:spacing w:val="-20"/>
                        <w:sz w:val="18"/>
                        <w:szCs w:val="18"/>
                      </w:rPr>
                      <w:t>186,504</w:t>
                    </w:r>
                  </w:p>
                </w:tc>
                <w:tc>
                  <w:tcPr>
                    <w:tcW w:w="1134" w:type="dxa"/>
                    <w:vAlign w:val="center"/>
                  </w:tcPr>
                  <w:p w14:paraId="2AD3B1DA" w14:textId="77777777" w:rsidR="007E7472" w:rsidRDefault="00C8327E">
                    <w:pPr>
                      <w:jc w:val="right"/>
                      <w:rPr>
                        <w:spacing w:val="-20"/>
                        <w:sz w:val="18"/>
                        <w:szCs w:val="18"/>
                      </w:rPr>
                    </w:pPr>
                  </w:p>
                </w:tc>
                <w:tc>
                  <w:tcPr>
                    <w:tcW w:w="992" w:type="dxa"/>
                    <w:vAlign w:val="center"/>
                  </w:tcPr>
                  <w:p w14:paraId="165AB0EB" w14:textId="77777777" w:rsidR="007E7472" w:rsidRDefault="00C8327E">
                    <w:pPr>
                      <w:jc w:val="right"/>
                      <w:rPr>
                        <w:spacing w:val="-20"/>
                        <w:sz w:val="18"/>
                        <w:szCs w:val="18"/>
                      </w:rPr>
                    </w:pPr>
                  </w:p>
                </w:tc>
                <w:tc>
                  <w:tcPr>
                    <w:tcW w:w="1181" w:type="dxa"/>
                    <w:vAlign w:val="center"/>
                  </w:tcPr>
                  <w:p w14:paraId="3041EE1B" w14:textId="77777777" w:rsidR="007E7472" w:rsidRDefault="00C8327E">
                    <w:pPr>
                      <w:jc w:val="right"/>
                      <w:rPr>
                        <w:spacing w:val="-20"/>
                        <w:sz w:val="18"/>
                        <w:szCs w:val="18"/>
                      </w:rPr>
                    </w:pPr>
                  </w:p>
                </w:tc>
                <w:tc>
                  <w:tcPr>
                    <w:tcW w:w="945" w:type="dxa"/>
                    <w:vAlign w:val="center"/>
                  </w:tcPr>
                  <w:p w14:paraId="6C584744" w14:textId="77777777" w:rsidR="007E7472" w:rsidRDefault="00C8327E">
                    <w:pPr>
                      <w:jc w:val="right"/>
                      <w:rPr>
                        <w:spacing w:val="-20"/>
                        <w:sz w:val="18"/>
                        <w:szCs w:val="18"/>
                      </w:rPr>
                    </w:pPr>
                  </w:p>
                </w:tc>
                <w:tc>
                  <w:tcPr>
                    <w:tcW w:w="993" w:type="dxa"/>
                    <w:vAlign w:val="center"/>
                  </w:tcPr>
                  <w:p w14:paraId="11B2E428" w14:textId="77777777" w:rsidR="007E7472" w:rsidRDefault="00C8327E">
                    <w:pPr>
                      <w:jc w:val="right"/>
                      <w:rPr>
                        <w:spacing w:val="-20"/>
                        <w:sz w:val="18"/>
                        <w:szCs w:val="18"/>
                      </w:rPr>
                    </w:pPr>
                  </w:p>
                </w:tc>
                <w:tc>
                  <w:tcPr>
                    <w:tcW w:w="1117" w:type="dxa"/>
                    <w:vAlign w:val="center"/>
                  </w:tcPr>
                  <w:p w14:paraId="16E78E1A" w14:textId="77777777" w:rsidR="007E7472" w:rsidRDefault="00EC1269">
                    <w:pPr>
                      <w:jc w:val="right"/>
                      <w:rPr>
                        <w:spacing w:val="-20"/>
                        <w:sz w:val="18"/>
                        <w:szCs w:val="18"/>
                      </w:rPr>
                    </w:pPr>
                    <w:r>
                      <w:rPr>
                        <w:rFonts w:hint="eastAsia"/>
                        <w:spacing w:val="-20"/>
                        <w:sz w:val="18"/>
                        <w:szCs w:val="18"/>
                      </w:rPr>
                      <w:t>199,161</w:t>
                    </w:r>
                  </w:p>
                </w:tc>
              </w:tr>
              <w:tr w:rsidR="007E7472" w14:paraId="27DD7515" w14:textId="77777777">
                <w:trPr>
                  <w:trHeight w:val="20"/>
                </w:trPr>
                <w:sdt>
                  <w:sdtPr>
                    <w:tag w:val="_PLD_480cb9b44059419c9f160bf2699b9e6d"/>
                    <w:id w:val="-864209585"/>
                    <w:lock w:val="sdtLocked"/>
                  </w:sdtPr>
                  <w:sdtEndPr/>
                  <w:sdtContent>
                    <w:tc>
                      <w:tcPr>
                        <w:tcW w:w="2450" w:type="dxa"/>
                      </w:tcPr>
                      <w:p w14:paraId="4ABEEAA3" w14:textId="77777777" w:rsidR="007E7472" w:rsidRDefault="00EC1269">
                        <w:pPr>
                          <w:rPr>
                            <w:sz w:val="18"/>
                            <w:szCs w:val="18"/>
                          </w:rPr>
                        </w:pPr>
                        <w:r>
                          <w:rPr>
                            <w:rFonts w:hint="eastAsia"/>
                            <w:sz w:val="18"/>
                            <w:szCs w:val="18"/>
                          </w:rPr>
                          <w:t>4.同一控制下企业合并</w:t>
                        </w:r>
                      </w:p>
                    </w:tc>
                  </w:sdtContent>
                </w:sdt>
                <w:sdt>
                  <w:sdtPr>
                    <w:alias w:val="4.同一控制下企业合并实收资本(或股本)"/>
                    <w:tag w:val="_GBC_e38d19d81d5a4320903e701d0e35877a"/>
                    <w:id w:val="1557507695"/>
                    <w:lock w:val="sdtLocked"/>
                  </w:sdtPr>
                  <w:sdtEndPr/>
                  <w:sdtContent>
                    <w:tc>
                      <w:tcPr>
                        <w:tcW w:w="1078" w:type="dxa"/>
                        <w:tcBorders>
                          <w:right w:val="single" w:sz="4" w:space="0" w:color="auto"/>
                        </w:tcBorders>
                        <w:vAlign w:val="center"/>
                      </w:tcPr>
                      <w:p w14:paraId="193C3F8A" w14:textId="77777777" w:rsidR="007E7472" w:rsidRDefault="00C8327E">
                        <w:pPr>
                          <w:jc w:val="right"/>
                          <w:rPr>
                            <w:spacing w:val="-20"/>
                            <w:sz w:val="18"/>
                            <w:szCs w:val="18"/>
                          </w:rPr>
                        </w:pPr>
                      </w:p>
                    </w:tc>
                  </w:sdtContent>
                </w:sdt>
                <w:sdt>
                  <w:sdtPr>
                    <w:alias w:val="4.同一控制下企业合并优先股"/>
                    <w:tag w:val="_GBC_4415a053852342019eade836edc80b2b"/>
                    <w:id w:val="958380277"/>
                    <w:lock w:val="sdtLocked"/>
                  </w:sdtPr>
                  <w:sdtEndPr/>
                  <w:sdtContent>
                    <w:tc>
                      <w:tcPr>
                        <w:tcW w:w="810" w:type="dxa"/>
                        <w:tcBorders>
                          <w:left w:val="single" w:sz="4" w:space="0" w:color="auto"/>
                          <w:right w:val="single" w:sz="4" w:space="0" w:color="auto"/>
                        </w:tcBorders>
                        <w:vAlign w:val="center"/>
                      </w:tcPr>
                      <w:p w14:paraId="375E602F" w14:textId="77777777" w:rsidR="007E7472" w:rsidRDefault="00C8327E">
                        <w:pPr>
                          <w:jc w:val="right"/>
                          <w:rPr>
                            <w:spacing w:val="-20"/>
                            <w:sz w:val="18"/>
                            <w:szCs w:val="18"/>
                          </w:rPr>
                        </w:pPr>
                      </w:p>
                    </w:tc>
                  </w:sdtContent>
                </w:sdt>
                <w:sdt>
                  <w:sdtPr>
                    <w:alias w:val="4.同一控制下企业合并永续债"/>
                    <w:tag w:val="_GBC_2ad95421b3894cef96b555ef6d46a7b1"/>
                    <w:id w:val="-492188214"/>
                    <w:lock w:val="sdtLocked"/>
                  </w:sdtPr>
                  <w:sdtEndPr/>
                  <w:sdtContent>
                    <w:tc>
                      <w:tcPr>
                        <w:tcW w:w="1134" w:type="dxa"/>
                        <w:tcBorders>
                          <w:left w:val="single" w:sz="4" w:space="0" w:color="auto"/>
                          <w:right w:val="single" w:sz="4" w:space="0" w:color="auto"/>
                        </w:tcBorders>
                        <w:vAlign w:val="center"/>
                      </w:tcPr>
                      <w:p w14:paraId="3A9CB6C1" w14:textId="77777777" w:rsidR="007E7472" w:rsidRDefault="00C8327E">
                        <w:pPr>
                          <w:jc w:val="right"/>
                          <w:rPr>
                            <w:spacing w:val="-20"/>
                            <w:sz w:val="18"/>
                            <w:szCs w:val="18"/>
                          </w:rPr>
                        </w:pPr>
                      </w:p>
                    </w:tc>
                  </w:sdtContent>
                </w:sdt>
                <w:sdt>
                  <w:sdtPr>
                    <w:alias w:val="4.同一控制下企业合并其他"/>
                    <w:tag w:val="_GBC_233c820aa03d4e6e857b58de694d7f68"/>
                    <w:id w:val="735048374"/>
                    <w:lock w:val="sdtLocked"/>
                  </w:sdtPr>
                  <w:sdtEndPr/>
                  <w:sdtContent>
                    <w:tc>
                      <w:tcPr>
                        <w:tcW w:w="1134" w:type="dxa"/>
                        <w:tcBorders>
                          <w:left w:val="single" w:sz="4" w:space="0" w:color="auto"/>
                        </w:tcBorders>
                        <w:vAlign w:val="center"/>
                      </w:tcPr>
                      <w:p w14:paraId="291BCF20" w14:textId="77777777" w:rsidR="007E7472" w:rsidRDefault="00C8327E">
                        <w:pPr>
                          <w:jc w:val="right"/>
                          <w:rPr>
                            <w:spacing w:val="-20"/>
                            <w:sz w:val="18"/>
                            <w:szCs w:val="18"/>
                          </w:rPr>
                        </w:pPr>
                      </w:p>
                    </w:tc>
                  </w:sdtContent>
                </w:sdt>
                <w:sdt>
                  <w:sdtPr>
                    <w:rPr>
                      <w:spacing w:val="-20"/>
                      <w:sz w:val="18"/>
                      <w:szCs w:val="18"/>
                    </w:rPr>
                    <w:alias w:val="4.同一控制下企业合并资本公积"/>
                    <w:tag w:val="_GBC_1ae26195e0954284938e4b3ad293943f"/>
                    <w:id w:val="-1385786679"/>
                    <w:lock w:val="sdtLocked"/>
                  </w:sdtPr>
                  <w:sdtEndPr/>
                  <w:sdtContent>
                    <w:tc>
                      <w:tcPr>
                        <w:tcW w:w="992" w:type="dxa"/>
                        <w:vAlign w:val="center"/>
                      </w:tcPr>
                      <w:p w14:paraId="2AE5BD44" w14:textId="77777777" w:rsidR="007E7472" w:rsidRDefault="00EC1269">
                        <w:pPr>
                          <w:jc w:val="right"/>
                          <w:rPr>
                            <w:spacing w:val="-20"/>
                            <w:sz w:val="18"/>
                            <w:szCs w:val="18"/>
                          </w:rPr>
                        </w:pPr>
                        <w:r>
                          <w:rPr>
                            <w:spacing w:val="-20"/>
                            <w:sz w:val="18"/>
                            <w:szCs w:val="18"/>
                          </w:rPr>
                          <w:t>-174,070</w:t>
                        </w:r>
                      </w:p>
                    </w:tc>
                  </w:sdtContent>
                </w:sdt>
                <w:sdt>
                  <w:sdtPr>
                    <w:rPr>
                      <w:spacing w:val="-20"/>
                      <w:sz w:val="18"/>
                      <w:szCs w:val="18"/>
                    </w:rPr>
                    <w:alias w:val="4.同一控制下企业合并减：库存股"/>
                    <w:tag w:val="_GBC_21da6ef853ae4502bffbc748aba659f2"/>
                    <w:id w:val="-2054308668"/>
                    <w:lock w:val="sdtLocked"/>
                  </w:sdtPr>
                  <w:sdtEndPr/>
                  <w:sdtContent>
                    <w:tc>
                      <w:tcPr>
                        <w:tcW w:w="1134" w:type="dxa"/>
                        <w:vAlign w:val="center"/>
                      </w:tcPr>
                      <w:p w14:paraId="4A9AADD9" w14:textId="77777777" w:rsidR="007E7472" w:rsidRDefault="00C8327E">
                        <w:pPr>
                          <w:jc w:val="right"/>
                          <w:rPr>
                            <w:spacing w:val="-20"/>
                            <w:sz w:val="18"/>
                            <w:szCs w:val="18"/>
                          </w:rPr>
                        </w:pPr>
                      </w:p>
                    </w:tc>
                  </w:sdtContent>
                </w:sdt>
                <w:sdt>
                  <w:sdtPr>
                    <w:rPr>
                      <w:spacing w:val="-20"/>
                      <w:sz w:val="18"/>
                      <w:szCs w:val="18"/>
                    </w:rPr>
                    <w:alias w:val="4.同一控制下企业合并其他综合收益"/>
                    <w:tag w:val="_GBC_e2dccfa71fc549ea8bc36b6c934b4f3c"/>
                    <w:id w:val="588057429"/>
                    <w:lock w:val="sdtLocked"/>
                  </w:sdtPr>
                  <w:sdtEndPr/>
                  <w:sdtContent>
                    <w:tc>
                      <w:tcPr>
                        <w:tcW w:w="992" w:type="dxa"/>
                        <w:vAlign w:val="center"/>
                      </w:tcPr>
                      <w:p w14:paraId="2B0C3700" w14:textId="77777777" w:rsidR="007E7472" w:rsidRDefault="00C8327E">
                        <w:pPr>
                          <w:jc w:val="right"/>
                          <w:rPr>
                            <w:spacing w:val="-20"/>
                            <w:sz w:val="18"/>
                            <w:szCs w:val="18"/>
                          </w:rPr>
                        </w:pPr>
                      </w:p>
                    </w:tc>
                  </w:sdtContent>
                </w:sdt>
                <w:sdt>
                  <w:sdtPr>
                    <w:rPr>
                      <w:spacing w:val="-20"/>
                      <w:sz w:val="18"/>
                      <w:szCs w:val="18"/>
                    </w:rPr>
                    <w:alias w:val="4.同一控制下企业合并专项储备"/>
                    <w:tag w:val="_GBC_2c8cdb6a7969429e8342b3602fd5ddab"/>
                    <w:id w:val="-47852478"/>
                    <w:lock w:val="sdtLocked"/>
                  </w:sdtPr>
                  <w:sdtEndPr/>
                  <w:sdtContent>
                    <w:tc>
                      <w:tcPr>
                        <w:tcW w:w="1181" w:type="dxa"/>
                        <w:vAlign w:val="center"/>
                      </w:tcPr>
                      <w:p w14:paraId="0EA6B453" w14:textId="77777777" w:rsidR="007E7472" w:rsidRDefault="00C8327E">
                        <w:pPr>
                          <w:jc w:val="right"/>
                          <w:rPr>
                            <w:spacing w:val="-20"/>
                            <w:sz w:val="18"/>
                            <w:szCs w:val="18"/>
                          </w:rPr>
                        </w:pPr>
                      </w:p>
                    </w:tc>
                  </w:sdtContent>
                </w:sdt>
                <w:sdt>
                  <w:sdtPr>
                    <w:rPr>
                      <w:spacing w:val="-20"/>
                      <w:sz w:val="18"/>
                      <w:szCs w:val="18"/>
                    </w:rPr>
                    <w:alias w:val="4.同一控制下企业合并盈余公积"/>
                    <w:tag w:val="_GBC_d53ec02479604929a2b8fc00084471cf"/>
                    <w:id w:val="1279613155"/>
                    <w:lock w:val="sdtLocked"/>
                  </w:sdtPr>
                  <w:sdtEndPr/>
                  <w:sdtContent>
                    <w:tc>
                      <w:tcPr>
                        <w:tcW w:w="945" w:type="dxa"/>
                        <w:vAlign w:val="center"/>
                      </w:tcPr>
                      <w:p w14:paraId="2C6085E8" w14:textId="77777777" w:rsidR="007E7472" w:rsidRDefault="00C8327E">
                        <w:pPr>
                          <w:jc w:val="right"/>
                          <w:rPr>
                            <w:spacing w:val="-20"/>
                            <w:sz w:val="18"/>
                            <w:szCs w:val="18"/>
                          </w:rPr>
                        </w:pPr>
                      </w:p>
                    </w:tc>
                  </w:sdtContent>
                </w:sdt>
                <w:sdt>
                  <w:sdtPr>
                    <w:rPr>
                      <w:spacing w:val="-20"/>
                      <w:sz w:val="18"/>
                      <w:szCs w:val="18"/>
                    </w:rPr>
                    <w:alias w:val="4.同一控制下企业合并未分配利润"/>
                    <w:tag w:val="_GBC_048268b5f0fa454ea5010a7edc7d8ea7"/>
                    <w:id w:val="1610464470"/>
                    <w:lock w:val="sdtLocked"/>
                  </w:sdtPr>
                  <w:sdtEndPr/>
                  <w:sdtContent>
                    <w:tc>
                      <w:tcPr>
                        <w:tcW w:w="993" w:type="dxa"/>
                        <w:vAlign w:val="center"/>
                      </w:tcPr>
                      <w:p w14:paraId="0DFDE023" w14:textId="77777777" w:rsidR="007E7472" w:rsidRDefault="00C8327E">
                        <w:pPr>
                          <w:jc w:val="right"/>
                          <w:rPr>
                            <w:spacing w:val="-20"/>
                            <w:sz w:val="18"/>
                            <w:szCs w:val="18"/>
                          </w:rPr>
                        </w:pPr>
                      </w:p>
                    </w:tc>
                  </w:sdtContent>
                </w:sdt>
                <w:sdt>
                  <w:sdtPr>
                    <w:rPr>
                      <w:spacing w:val="-20"/>
                      <w:sz w:val="18"/>
                      <w:szCs w:val="18"/>
                    </w:rPr>
                    <w:alias w:val="4.同一控制下企业合并所有者权益合计"/>
                    <w:tag w:val="_GBC_b793be85065244649a1dcc4a0b639875"/>
                    <w:id w:val="-726835039"/>
                    <w:lock w:val="sdtLocked"/>
                  </w:sdtPr>
                  <w:sdtEndPr/>
                  <w:sdtContent>
                    <w:tc>
                      <w:tcPr>
                        <w:tcW w:w="1117" w:type="dxa"/>
                        <w:vAlign w:val="center"/>
                      </w:tcPr>
                      <w:p w14:paraId="5F8C63CC" w14:textId="77777777" w:rsidR="007E7472" w:rsidRDefault="00EC1269">
                        <w:pPr>
                          <w:jc w:val="right"/>
                          <w:rPr>
                            <w:spacing w:val="-20"/>
                            <w:sz w:val="18"/>
                            <w:szCs w:val="18"/>
                          </w:rPr>
                        </w:pPr>
                        <w:r>
                          <w:rPr>
                            <w:spacing w:val="-20"/>
                            <w:sz w:val="18"/>
                            <w:szCs w:val="18"/>
                          </w:rPr>
                          <w:t>-174,070</w:t>
                        </w:r>
                      </w:p>
                    </w:tc>
                  </w:sdtContent>
                </w:sdt>
              </w:tr>
              <w:tr w:rsidR="007E7472" w14:paraId="5C344614" w14:textId="77777777">
                <w:trPr>
                  <w:trHeight w:val="20"/>
                </w:trPr>
                <w:sdt>
                  <w:sdtPr>
                    <w:tag w:val="_PLD_4815225e85794febad32622528b72229"/>
                    <w:id w:val="1743682032"/>
                    <w:lock w:val="sdtLocked"/>
                  </w:sdtPr>
                  <w:sdtEndPr/>
                  <w:sdtContent>
                    <w:tc>
                      <w:tcPr>
                        <w:tcW w:w="2450" w:type="dxa"/>
                      </w:tcPr>
                      <w:p w14:paraId="75E176A6" w14:textId="77777777" w:rsidR="007E7472" w:rsidRDefault="00EC1269">
                        <w:pPr>
                          <w:rPr>
                            <w:sz w:val="18"/>
                            <w:szCs w:val="18"/>
                          </w:rPr>
                        </w:pPr>
                        <w:r>
                          <w:rPr>
                            <w:sz w:val="18"/>
                            <w:szCs w:val="18"/>
                          </w:rPr>
                          <w:t>5．其他</w:t>
                        </w:r>
                      </w:p>
                    </w:tc>
                  </w:sdtContent>
                </w:sdt>
                <w:tc>
                  <w:tcPr>
                    <w:tcW w:w="1078" w:type="dxa"/>
                    <w:tcBorders>
                      <w:right w:val="single" w:sz="4" w:space="0" w:color="auto"/>
                    </w:tcBorders>
                    <w:vAlign w:val="center"/>
                  </w:tcPr>
                  <w:p w14:paraId="6591BE35" w14:textId="77777777" w:rsidR="007E7472" w:rsidRDefault="00C8327E">
                    <w:pPr>
                      <w:jc w:val="right"/>
                      <w:rPr>
                        <w:spacing w:val="-20"/>
                        <w:sz w:val="18"/>
                        <w:szCs w:val="18"/>
                      </w:rPr>
                    </w:pPr>
                  </w:p>
                </w:tc>
                <w:tc>
                  <w:tcPr>
                    <w:tcW w:w="810" w:type="dxa"/>
                    <w:tcBorders>
                      <w:left w:val="single" w:sz="4" w:space="0" w:color="auto"/>
                      <w:right w:val="single" w:sz="4" w:space="0" w:color="auto"/>
                    </w:tcBorders>
                    <w:vAlign w:val="center"/>
                  </w:tcPr>
                  <w:p w14:paraId="233AD37E" w14:textId="77777777" w:rsidR="007E7472" w:rsidRDefault="00C8327E">
                    <w:pPr>
                      <w:jc w:val="right"/>
                      <w:rPr>
                        <w:spacing w:val="-20"/>
                        <w:sz w:val="18"/>
                        <w:szCs w:val="18"/>
                      </w:rPr>
                    </w:pPr>
                  </w:p>
                </w:tc>
                <w:tc>
                  <w:tcPr>
                    <w:tcW w:w="1134" w:type="dxa"/>
                    <w:tcBorders>
                      <w:left w:val="single" w:sz="4" w:space="0" w:color="auto"/>
                      <w:right w:val="single" w:sz="4" w:space="0" w:color="auto"/>
                    </w:tcBorders>
                    <w:vAlign w:val="center"/>
                  </w:tcPr>
                  <w:p w14:paraId="22D05341" w14:textId="77777777" w:rsidR="007E7472" w:rsidRDefault="00C8327E">
                    <w:pPr>
                      <w:jc w:val="right"/>
                      <w:rPr>
                        <w:spacing w:val="-20"/>
                        <w:sz w:val="18"/>
                        <w:szCs w:val="18"/>
                      </w:rPr>
                    </w:pPr>
                  </w:p>
                </w:tc>
                <w:tc>
                  <w:tcPr>
                    <w:tcW w:w="1134" w:type="dxa"/>
                    <w:tcBorders>
                      <w:left w:val="single" w:sz="4" w:space="0" w:color="auto"/>
                    </w:tcBorders>
                    <w:vAlign w:val="center"/>
                  </w:tcPr>
                  <w:p w14:paraId="2D16AD38" w14:textId="77777777" w:rsidR="007E7472" w:rsidRDefault="00C8327E">
                    <w:pPr>
                      <w:jc w:val="right"/>
                      <w:rPr>
                        <w:spacing w:val="-20"/>
                        <w:sz w:val="18"/>
                        <w:szCs w:val="18"/>
                      </w:rPr>
                    </w:pPr>
                  </w:p>
                </w:tc>
                <w:tc>
                  <w:tcPr>
                    <w:tcW w:w="992" w:type="dxa"/>
                    <w:vAlign w:val="center"/>
                  </w:tcPr>
                  <w:p w14:paraId="5A00178E" w14:textId="77777777" w:rsidR="007E7472" w:rsidRDefault="00C8327E">
                    <w:pPr>
                      <w:jc w:val="right"/>
                      <w:rPr>
                        <w:spacing w:val="-20"/>
                        <w:sz w:val="18"/>
                        <w:szCs w:val="18"/>
                      </w:rPr>
                    </w:pPr>
                  </w:p>
                </w:tc>
                <w:tc>
                  <w:tcPr>
                    <w:tcW w:w="1134" w:type="dxa"/>
                    <w:vAlign w:val="center"/>
                  </w:tcPr>
                  <w:p w14:paraId="50949719" w14:textId="77777777" w:rsidR="007E7472" w:rsidRDefault="00C8327E">
                    <w:pPr>
                      <w:jc w:val="right"/>
                      <w:rPr>
                        <w:spacing w:val="-20"/>
                        <w:sz w:val="18"/>
                        <w:szCs w:val="18"/>
                      </w:rPr>
                    </w:pPr>
                  </w:p>
                </w:tc>
                <w:tc>
                  <w:tcPr>
                    <w:tcW w:w="992" w:type="dxa"/>
                    <w:vAlign w:val="center"/>
                  </w:tcPr>
                  <w:p w14:paraId="6F75853A" w14:textId="77777777" w:rsidR="007E7472" w:rsidRDefault="00C8327E">
                    <w:pPr>
                      <w:jc w:val="right"/>
                      <w:rPr>
                        <w:spacing w:val="-20"/>
                        <w:sz w:val="18"/>
                        <w:szCs w:val="18"/>
                      </w:rPr>
                    </w:pPr>
                  </w:p>
                </w:tc>
                <w:tc>
                  <w:tcPr>
                    <w:tcW w:w="1181" w:type="dxa"/>
                    <w:vAlign w:val="center"/>
                  </w:tcPr>
                  <w:p w14:paraId="0A84F889" w14:textId="77777777" w:rsidR="007E7472" w:rsidRDefault="00C8327E">
                    <w:pPr>
                      <w:jc w:val="right"/>
                      <w:rPr>
                        <w:spacing w:val="-20"/>
                        <w:sz w:val="18"/>
                        <w:szCs w:val="18"/>
                      </w:rPr>
                    </w:pPr>
                  </w:p>
                </w:tc>
                <w:tc>
                  <w:tcPr>
                    <w:tcW w:w="945" w:type="dxa"/>
                    <w:vAlign w:val="center"/>
                  </w:tcPr>
                  <w:p w14:paraId="2A3F59FE" w14:textId="77777777" w:rsidR="007E7472" w:rsidRDefault="00C8327E">
                    <w:pPr>
                      <w:jc w:val="right"/>
                      <w:rPr>
                        <w:spacing w:val="-20"/>
                        <w:sz w:val="18"/>
                        <w:szCs w:val="18"/>
                      </w:rPr>
                    </w:pPr>
                  </w:p>
                </w:tc>
                <w:tc>
                  <w:tcPr>
                    <w:tcW w:w="993" w:type="dxa"/>
                    <w:vAlign w:val="center"/>
                  </w:tcPr>
                  <w:p w14:paraId="5B6C1DEB" w14:textId="77777777" w:rsidR="007E7472" w:rsidRDefault="00C8327E">
                    <w:pPr>
                      <w:jc w:val="right"/>
                      <w:rPr>
                        <w:spacing w:val="-20"/>
                        <w:sz w:val="18"/>
                        <w:szCs w:val="18"/>
                      </w:rPr>
                    </w:pPr>
                  </w:p>
                </w:tc>
                <w:tc>
                  <w:tcPr>
                    <w:tcW w:w="1117" w:type="dxa"/>
                    <w:vAlign w:val="center"/>
                  </w:tcPr>
                  <w:p w14:paraId="5DC4A67F" w14:textId="77777777" w:rsidR="007E7472" w:rsidRDefault="00C8327E">
                    <w:pPr>
                      <w:jc w:val="right"/>
                      <w:rPr>
                        <w:spacing w:val="-20"/>
                        <w:sz w:val="18"/>
                        <w:szCs w:val="18"/>
                      </w:rPr>
                    </w:pPr>
                  </w:p>
                </w:tc>
              </w:tr>
              <w:tr w:rsidR="007E7472" w14:paraId="34378E06" w14:textId="77777777">
                <w:trPr>
                  <w:trHeight w:val="20"/>
                </w:trPr>
                <w:sdt>
                  <w:sdtPr>
                    <w:tag w:val="_PLD_1277678c10f343d5a55853e3552c21df"/>
                    <w:id w:val="956531233"/>
                    <w:lock w:val="sdtLocked"/>
                  </w:sdtPr>
                  <w:sdtEndPr/>
                  <w:sdtContent>
                    <w:tc>
                      <w:tcPr>
                        <w:tcW w:w="2450" w:type="dxa"/>
                      </w:tcPr>
                      <w:p w14:paraId="5C715557" w14:textId="77777777" w:rsidR="007E7472" w:rsidRDefault="00EC1269">
                        <w:pPr>
                          <w:rPr>
                            <w:sz w:val="18"/>
                            <w:szCs w:val="18"/>
                          </w:rPr>
                        </w:pPr>
                        <w:r>
                          <w:rPr>
                            <w:sz w:val="18"/>
                            <w:szCs w:val="18"/>
                          </w:rPr>
                          <w:t>（</w:t>
                        </w:r>
                        <w:r>
                          <w:rPr>
                            <w:rFonts w:hint="eastAsia"/>
                            <w:sz w:val="18"/>
                            <w:szCs w:val="18"/>
                          </w:rPr>
                          <w:t>三</w:t>
                        </w:r>
                        <w:r>
                          <w:rPr>
                            <w:sz w:val="18"/>
                            <w:szCs w:val="18"/>
                          </w:rPr>
                          <w:t>）利润分配</w:t>
                        </w:r>
                      </w:p>
                    </w:tc>
                  </w:sdtContent>
                </w:sdt>
                <w:tc>
                  <w:tcPr>
                    <w:tcW w:w="1078" w:type="dxa"/>
                    <w:tcBorders>
                      <w:right w:val="single" w:sz="4" w:space="0" w:color="auto"/>
                    </w:tcBorders>
                  </w:tcPr>
                  <w:p w14:paraId="02E3CFEA" w14:textId="77777777" w:rsidR="007E7472" w:rsidRDefault="00C8327E">
                    <w:pPr>
                      <w:jc w:val="right"/>
                      <w:rPr>
                        <w:spacing w:val="-20"/>
                        <w:sz w:val="18"/>
                        <w:szCs w:val="18"/>
                      </w:rPr>
                    </w:pPr>
                  </w:p>
                </w:tc>
                <w:tc>
                  <w:tcPr>
                    <w:tcW w:w="810" w:type="dxa"/>
                    <w:tcBorders>
                      <w:left w:val="single" w:sz="4" w:space="0" w:color="auto"/>
                      <w:right w:val="single" w:sz="4" w:space="0" w:color="auto"/>
                    </w:tcBorders>
                  </w:tcPr>
                  <w:p w14:paraId="78ABE74C" w14:textId="77777777" w:rsidR="007E7472" w:rsidRDefault="00C8327E">
                    <w:pPr>
                      <w:jc w:val="right"/>
                      <w:rPr>
                        <w:spacing w:val="-20"/>
                        <w:sz w:val="18"/>
                        <w:szCs w:val="18"/>
                      </w:rPr>
                    </w:pPr>
                  </w:p>
                </w:tc>
                <w:tc>
                  <w:tcPr>
                    <w:tcW w:w="1134" w:type="dxa"/>
                    <w:tcBorders>
                      <w:left w:val="single" w:sz="4" w:space="0" w:color="auto"/>
                      <w:right w:val="single" w:sz="4" w:space="0" w:color="auto"/>
                    </w:tcBorders>
                    <w:vAlign w:val="center"/>
                  </w:tcPr>
                  <w:p w14:paraId="75D53DA7" w14:textId="77777777" w:rsidR="007E7472" w:rsidRDefault="00EC1269">
                    <w:pPr>
                      <w:jc w:val="right"/>
                      <w:rPr>
                        <w:spacing w:val="-20"/>
                        <w:sz w:val="18"/>
                        <w:szCs w:val="18"/>
                      </w:rPr>
                    </w:pPr>
                    <w:r>
                      <w:rPr>
                        <w:rFonts w:hint="eastAsia"/>
                        <w:spacing w:val="-20"/>
                        <w:sz w:val="18"/>
                        <w:szCs w:val="18"/>
                      </w:rPr>
                      <w:t>-379,580</w:t>
                    </w:r>
                  </w:p>
                </w:tc>
                <w:tc>
                  <w:tcPr>
                    <w:tcW w:w="1134" w:type="dxa"/>
                    <w:tcBorders>
                      <w:left w:val="single" w:sz="4" w:space="0" w:color="auto"/>
                    </w:tcBorders>
                  </w:tcPr>
                  <w:p w14:paraId="10AB27EE" w14:textId="77777777" w:rsidR="007E7472" w:rsidRDefault="00C8327E">
                    <w:pPr>
                      <w:jc w:val="right"/>
                      <w:rPr>
                        <w:spacing w:val="-20"/>
                        <w:sz w:val="18"/>
                        <w:szCs w:val="18"/>
                      </w:rPr>
                    </w:pPr>
                  </w:p>
                </w:tc>
                <w:tc>
                  <w:tcPr>
                    <w:tcW w:w="992" w:type="dxa"/>
                  </w:tcPr>
                  <w:p w14:paraId="11279D78" w14:textId="77777777" w:rsidR="007E7472" w:rsidRDefault="00C8327E">
                    <w:pPr>
                      <w:jc w:val="right"/>
                      <w:rPr>
                        <w:spacing w:val="-20"/>
                        <w:sz w:val="18"/>
                        <w:szCs w:val="18"/>
                      </w:rPr>
                    </w:pPr>
                  </w:p>
                </w:tc>
                <w:tc>
                  <w:tcPr>
                    <w:tcW w:w="1134" w:type="dxa"/>
                  </w:tcPr>
                  <w:p w14:paraId="37D0CD6D" w14:textId="77777777" w:rsidR="007E7472" w:rsidRDefault="00C8327E">
                    <w:pPr>
                      <w:jc w:val="right"/>
                      <w:rPr>
                        <w:spacing w:val="-20"/>
                        <w:sz w:val="18"/>
                        <w:szCs w:val="18"/>
                      </w:rPr>
                    </w:pPr>
                  </w:p>
                </w:tc>
                <w:tc>
                  <w:tcPr>
                    <w:tcW w:w="992" w:type="dxa"/>
                  </w:tcPr>
                  <w:p w14:paraId="6065975A" w14:textId="77777777" w:rsidR="007E7472" w:rsidRDefault="00C8327E">
                    <w:pPr>
                      <w:jc w:val="right"/>
                      <w:rPr>
                        <w:spacing w:val="-20"/>
                        <w:sz w:val="18"/>
                        <w:szCs w:val="18"/>
                      </w:rPr>
                    </w:pPr>
                  </w:p>
                </w:tc>
                <w:tc>
                  <w:tcPr>
                    <w:tcW w:w="1181" w:type="dxa"/>
                  </w:tcPr>
                  <w:p w14:paraId="346C3FD9" w14:textId="77777777" w:rsidR="007E7472" w:rsidRDefault="00C8327E">
                    <w:pPr>
                      <w:jc w:val="right"/>
                      <w:rPr>
                        <w:spacing w:val="-20"/>
                        <w:sz w:val="18"/>
                        <w:szCs w:val="18"/>
                      </w:rPr>
                    </w:pPr>
                  </w:p>
                </w:tc>
                <w:tc>
                  <w:tcPr>
                    <w:tcW w:w="945" w:type="dxa"/>
                  </w:tcPr>
                  <w:p w14:paraId="37DA2DBE" w14:textId="77777777" w:rsidR="007E7472" w:rsidRDefault="00C8327E">
                    <w:pPr>
                      <w:jc w:val="right"/>
                      <w:rPr>
                        <w:spacing w:val="-20"/>
                        <w:sz w:val="18"/>
                        <w:szCs w:val="18"/>
                      </w:rPr>
                    </w:pPr>
                  </w:p>
                </w:tc>
                <w:tc>
                  <w:tcPr>
                    <w:tcW w:w="993" w:type="dxa"/>
                    <w:vAlign w:val="center"/>
                  </w:tcPr>
                  <w:p w14:paraId="4819978F" w14:textId="77777777" w:rsidR="007E7472" w:rsidRDefault="00EC1269">
                    <w:pPr>
                      <w:jc w:val="right"/>
                      <w:rPr>
                        <w:spacing w:val="-20"/>
                        <w:sz w:val="18"/>
                        <w:szCs w:val="18"/>
                      </w:rPr>
                    </w:pPr>
                    <w:r>
                      <w:rPr>
                        <w:rFonts w:hint="eastAsia"/>
                        <w:spacing w:val="-20"/>
                        <w:sz w:val="18"/>
                        <w:szCs w:val="18"/>
                      </w:rPr>
                      <w:t>-21,333,849</w:t>
                    </w:r>
                  </w:p>
                </w:tc>
                <w:tc>
                  <w:tcPr>
                    <w:tcW w:w="1117" w:type="dxa"/>
                    <w:vAlign w:val="center"/>
                  </w:tcPr>
                  <w:p w14:paraId="18D81202" w14:textId="77777777" w:rsidR="007E7472" w:rsidRDefault="00EC1269">
                    <w:pPr>
                      <w:jc w:val="right"/>
                      <w:rPr>
                        <w:spacing w:val="-20"/>
                        <w:sz w:val="18"/>
                        <w:szCs w:val="18"/>
                      </w:rPr>
                    </w:pPr>
                    <w:r>
                      <w:rPr>
                        <w:rFonts w:hint="eastAsia"/>
                        <w:spacing w:val="-20"/>
                        <w:sz w:val="18"/>
                        <w:szCs w:val="18"/>
                      </w:rPr>
                      <w:t>-21,713,429</w:t>
                    </w:r>
                  </w:p>
                </w:tc>
              </w:tr>
              <w:tr w:rsidR="007E7472" w14:paraId="4B11EABC" w14:textId="77777777">
                <w:trPr>
                  <w:trHeight w:val="20"/>
                </w:trPr>
                <w:sdt>
                  <w:sdtPr>
                    <w:tag w:val="_PLD_6be0f6b7609247d98f239c435a57bdf2"/>
                    <w:id w:val="-1687754098"/>
                    <w:lock w:val="sdtLocked"/>
                  </w:sdtPr>
                  <w:sdtEndPr/>
                  <w:sdtContent>
                    <w:tc>
                      <w:tcPr>
                        <w:tcW w:w="2450" w:type="dxa"/>
                      </w:tcPr>
                      <w:p w14:paraId="525057F7" w14:textId="77777777" w:rsidR="007E7472" w:rsidRDefault="00EC1269">
                        <w:pPr>
                          <w:rPr>
                            <w:sz w:val="18"/>
                            <w:szCs w:val="18"/>
                          </w:rPr>
                        </w:pPr>
                        <w:r>
                          <w:rPr>
                            <w:sz w:val="18"/>
                            <w:szCs w:val="18"/>
                          </w:rPr>
                          <w:t>1．提取盈余公积</w:t>
                        </w:r>
                      </w:p>
                    </w:tc>
                  </w:sdtContent>
                </w:sdt>
                <w:tc>
                  <w:tcPr>
                    <w:tcW w:w="1078" w:type="dxa"/>
                    <w:tcBorders>
                      <w:right w:val="single" w:sz="4" w:space="0" w:color="auto"/>
                    </w:tcBorders>
                    <w:vAlign w:val="center"/>
                  </w:tcPr>
                  <w:p w14:paraId="6F4B8C20" w14:textId="77777777" w:rsidR="007E7472" w:rsidRDefault="00C8327E">
                    <w:pPr>
                      <w:jc w:val="right"/>
                      <w:rPr>
                        <w:spacing w:val="-20"/>
                        <w:sz w:val="18"/>
                        <w:szCs w:val="18"/>
                      </w:rPr>
                    </w:pPr>
                  </w:p>
                </w:tc>
                <w:tc>
                  <w:tcPr>
                    <w:tcW w:w="810" w:type="dxa"/>
                    <w:tcBorders>
                      <w:left w:val="single" w:sz="4" w:space="0" w:color="auto"/>
                      <w:right w:val="single" w:sz="4" w:space="0" w:color="auto"/>
                    </w:tcBorders>
                    <w:vAlign w:val="center"/>
                  </w:tcPr>
                  <w:p w14:paraId="404B88F5" w14:textId="77777777" w:rsidR="007E7472" w:rsidRDefault="00C8327E">
                    <w:pPr>
                      <w:jc w:val="right"/>
                      <w:rPr>
                        <w:spacing w:val="-20"/>
                        <w:sz w:val="18"/>
                        <w:szCs w:val="18"/>
                      </w:rPr>
                    </w:pPr>
                  </w:p>
                </w:tc>
                <w:tc>
                  <w:tcPr>
                    <w:tcW w:w="1134" w:type="dxa"/>
                    <w:tcBorders>
                      <w:left w:val="single" w:sz="4" w:space="0" w:color="auto"/>
                      <w:right w:val="single" w:sz="4" w:space="0" w:color="auto"/>
                    </w:tcBorders>
                    <w:vAlign w:val="center"/>
                  </w:tcPr>
                  <w:p w14:paraId="2CD1F70C" w14:textId="77777777" w:rsidR="007E7472" w:rsidRDefault="00C8327E">
                    <w:pPr>
                      <w:jc w:val="right"/>
                      <w:rPr>
                        <w:spacing w:val="-20"/>
                        <w:sz w:val="18"/>
                        <w:szCs w:val="18"/>
                      </w:rPr>
                    </w:pPr>
                  </w:p>
                </w:tc>
                <w:tc>
                  <w:tcPr>
                    <w:tcW w:w="1134" w:type="dxa"/>
                    <w:tcBorders>
                      <w:left w:val="single" w:sz="4" w:space="0" w:color="auto"/>
                    </w:tcBorders>
                    <w:vAlign w:val="center"/>
                  </w:tcPr>
                  <w:p w14:paraId="0DFF4B3F" w14:textId="77777777" w:rsidR="007E7472" w:rsidRDefault="00C8327E">
                    <w:pPr>
                      <w:jc w:val="right"/>
                      <w:rPr>
                        <w:spacing w:val="-20"/>
                        <w:sz w:val="18"/>
                        <w:szCs w:val="18"/>
                      </w:rPr>
                    </w:pPr>
                  </w:p>
                </w:tc>
                <w:tc>
                  <w:tcPr>
                    <w:tcW w:w="992" w:type="dxa"/>
                    <w:vAlign w:val="center"/>
                  </w:tcPr>
                  <w:p w14:paraId="15F67918" w14:textId="77777777" w:rsidR="007E7472" w:rsidRDefault="00C8327E">
                    <w:pPr>
                      <w:jc w:val="right"/>
                      <w:rPr>
                        <w:spacing w:val="-20"/>
                        <w:sz w:val="18"/>
                        <w:szCs w:val="18"/>
                      </w:rPr>
                    </w:pPr>
                  </w:p>
                </w:tc>
                <w:tc>
                  <w:tcPr>
                    <w:tcW w:w="1134" w:type="dxa"/>
                    <w:vAlign w:val="center"/>
                  </w:tcPr>
                  <w:p w14:paraId="2B9052F4" w14:textId="77777777" w:rsidR="007E7472" w:rsidRDefault="00C8327E">
                    <w:pPr>
                      <w:jc w:val="right"/>
                      <w:rPr>
                        <w:spacing w:val="-20"/>
                        <w:sz w:val="18"/>
                        <w:szCs w:val="18"/>
                      </w:rPr>
                    </w:pPr>
                  </w:p>
                </w:tc>
                <w:tc>
                  <w:tcPr>
                    <w:tcW w:w="992" w:type="dxa"/>
                    <w:vAlign w:val="center"/>
                  </w:tcPr>
                  <w:p w14:paraId="5ACB2E2F" w14:textId="77777777" w:rsidR="007E7472" w:rsidRDefault="00C8327E">
                    <w:pPr>
                      <w:jc w:val="right"/>
                      <w:rPr>
                        <w:spacing w:val="-20"/>
                        <w:sz w:val="18"/>
                        <w:szCs w:val="18"/>
                      </w:rPr>
                    </w:pPr>
                  </w:p>
                </w:tc>
                <w:tc>
                  <w:tcPr>
                    <w:tcW w:w="1181" w:type="dxa"/>
                    <w:vAlign w:val="center"/>
                  </w:tcPr>
                  <w:p w14:paraId="3FB7AF38" w14:textId="77777777" w:rsidR="007E7472" w:rsidRDefault="00C8327E">
                    <w:pPr>
                      <w:jc w:val="right"/>
                      <w:rPr>
                        <w:spacing w:val="-20"/>
                        <w:sz w:val="18"/>
                        <w:szCs w:val="18"/>
                      </w:rPr>
                    </w:pPr>
                  </w:p>
                </w:tc>
                <w:tc>
                  <w:tcPr>
                    <w:tcW w:w="945" w:type="dxa"/>
                    <w:vAlign w:val="center"/>
                  </w:tcPr>
                  <w:p w14:paraId="04C9D1A3" w14:textId="77777777" w:rsidR="007E7472" w:rsidRDefault="00C8327E">
                    <w:pPr>
                      <w:jc w:val="right"/>
                      <w:rPr>
                        <w:spacing w:val="-20"/>
                        <w:sz w:val="18"/>
                        <w:szCs w:val="18"/>
                      </w:rPr>
                    </w:pPr>
                  </w:p>
                </w:tc>
                <w:tc>
                  <w:tcPr>
                    <w:tcW w:w="993" w:type="dxa"/>
                    <w:vAlign w:val="center"/>
                  </w:tcPr>
                  <w:p w14:paraId="4D7C08F8" w14:textId="77777777" w:rsidR="007E7472" w:rsidRDefault="00C8327E">
                    <w:pPr>
                      <w:jc w:val="right"/>
                      <w:rPr>
                        <w:spacing w:val="-20"/>
                        <w:sz w:val="18"/>
                        <w:szCs w:val="18"/>
                      </w:rPr>
                    </w:pPr>
                  </w:p>
                </w:tc>
                <w:tc>
                  <w:tcPr>
                    <w:tcW w:w="1117" w:type="dxa"/>
                    <w:vAlign w:val="center"/>
                  </w:tcPr>
                  <w:p w14:paraId="2A70F91F" w14:textId="77777777" w:rsidR="007E7472" w:rsidRDefault="00C8327E">
                    <w:pPr>
                      <w:jc w:val="right"/>
                      <w:rPr>
                        <w:spacing w:val="-20"/>
                        <w:sz w:val="18"/>
                        <w:szCs w:val="18"/>
                      </w:rPr>
                    </w:pPr>
                  </w:p>
                </w:tc>
              </w:tr>
              <w:tr w:rsidR="007E7472" w14:paraId="67EB47C8" w14:textId="77777777">
                <w:trPr>
                  <w:trHeight w:val="20"/>
                </w:trPr>
                <w:sdt>
                  <w:sdtPr>
                    <w:tag w:val="_PLD_b4a66855afc2407cbaf93baeafe0ad7f"/>
                    <w:id w:val="-1270619457"/>
                    <w:lock w:val="sdtLocked"/>
                  </w:sdtPr>
                  <w:sdtEndPr/>
                  <w:sdtContent>
                    <w:tc>
                      <w:tcPr>
                        <w:tcW w:w="2450" w:type="dxa"/>
                      </w:tcPr>
                      <w:p w14:paraId="09670B49" w14:textId="77777777" w:rsidR="007E7472" w:rsidRDefault="00EC1269">
                        <w:pPr>
                          <w:rPr>
                            <w:sz w:val="18"/>
                            <w:szCs w:val="18"/>
                          </w:rPr>
                        </w:pPr>
                        <w:r>
                          <w:rPr>
                            <w:rFonts w:hint="eastAsia"/>
                            <w:sz w:val="18"/>
                            <w:szCs w:val="18"/>
                          </w:rPr>
                          <w:t>2</w:t>
                        </w:r>
                        <w:r>
                          <w:rPr>
                            <w:sz w:val="18"/>
                            <w:szCs w:val="18"/>
                          </w:rPr>
                          <w:t>．对所有者（或股东）的分配</w:t>
                        </w:r>
                      </w:p>
                    </w:tc>
                  </w:sdtContent>
                </w:sdt>
                <w:tc>
                  <w:tcPr>
                    <w:tcW w:w="1078" w:type="dxa"/>
                    <w:tcBorders>
                      <w:right w:val="single" w:sz="4" w:space="0" w:color="auto"/>
                    </w:tcBorders>
                    <w:vAlign w:val="center"/>
                  </w:tcPr>
                  <w:p w14:paraId="5128B2F4" w14:textId="77777777" w:rsidR="007E7472" w:rsidRDefault="00C8327E">
                    <w:pPr>
                      <w:jc w:val="right"/>
                      <w:rPr>
                        <w:spacing w:val="-20"/>
                        <w:sz w:val="18"/>
                        <w:szCs w:val="18"/>
                      </w:rPr>
                    </w:pPr>
                  </w:p>
                </w:tc>
                <w:tc>
                  <w:tcPr>
                    <w:tcW w:w="810" w:type="dxa"/>
                    <w:tcBorders>
                      <w:left w:val="single" w:sz="4" w:space="0" w:color="auto"/>
                      <w:right w:val="single" w:sz="4" w:space="0" w:color="auto"/>
                    </w:tcBorders>
                    <w:vAlign w:val="center"/>
                  </w:tcPr>
                  <w:p w14:paraId="216626C4" w14:textId="77777777" w:rsidR="007E7472" w:rsidRDefault="00C8327E">
                    <w:pPr>
                      <w:jc w:val="right"/>
                      <w:rPr>
                        <w:spacing w:val="-20"/>
                        <w:sz w:val="18"/>
                        <w:szCs w:val="18"/>
                      </w:rPr>
                    </w:pPr>
                  </w:p>
                </w:tc>
                <w:tc>
                  <w:tcPr>
                    <w:tcW w:w="1134" w:type="dxa"/>
                    <w:tcBorders>
                      <w:left w:val="single" w:sz="4" w:space="0" w:color="auto"/>
                      <w:right w:val="single" w:sz="4" w:space="0" w:color="auto"/>
                    </w:tcBorders>
                    <w:vAlign w:val="center"/>
                  </w:tcPr>
                  <w:p w14:paraId="66E9E4CC" w14:textId="77777777" w:rsidR="007E7472" w:rsidRDefault="00C8327E">
                    <w:pPr>
                      <w:jc w:val="right"/>
                      <w:rPr>
                        <w:spacing w:val="-20"/>
                        <w:sz w:val="18"/>
                        <w:szCs w:val="18"/>
                      </w:rPr>
                    </w:pPr>
                  </w:p>
                </w:tc>
                <w:tc>
                  <w:tcPr>
                    <w:tcW w:w="1134" w:type="dxa"/>
                    <w:tcBorders>
                      <w:left w:val="single" w:sz="4" w:space="0" w:color="auto"/>
                    </w:tcBorders>
                    <w:vAlign w:val="center"/>
                  </w:tcPr>
                  <w:p w14:paraId="35FB5DC5" w14:textId="77777777" w:rsidR="007E7472" w:rsidRDefault="00C8327E">
                    <w:pPr>
                      <w:jc w:val="right"/>
                      <w:rPr>
                        <w:spacing w:val="-20"/>
                        <w:sz w:val="18"/>
                        <w:szCs w:val="18"/>
                      </w:rPr>
                    </w:pPr>
                  </w:p>
                </w:tc>
                <w:tc>
                  <w:tcPr>
                    <w:tcW w:w="992" w:type="dxa"/>
                    <w:vAlign w:val="center"/>
                  </w:tcPr>
                  <w:p w14:paraId="07492B7B" w14:textId="77777777" w:rsidR="007E7472" w:rsidRDefault="00C8327E">
                    <w:pPr>
                      <w:jc w:val="right"/>
                      <w:rPr>
                        <w:spacing w:val="-20"/>
                        <w:sz w:val="18"/>
                        <w:szCs w:val="18"/>
                      </w:rPr>
                    </w:pPr>
                  </w:p>
                </w:tc>
                <w:tc>
                  <w:tcPr>
                    <w:tcW w:w="1134" w:type="dxa"/>
                    <w:vAlign w:val="center"/>
                  </w:tcPr>
                  <w:p w14:paraId="1D15CA27" w14:textId="77777777" w:rsidR="007E7472" w:rsidRDefault="00C8327E">
                    <w:pPr>
                      <w:jc w:val="right"/>
                      <w:rPr>
                        <w:spacing w:val="-20"/>
                        <w:sz w:val="18"/>
                        <w:szCs w:val="18"/>
                      </w:rPr>
                    </w:pPr>
                  </w:p>
                </w:tc>
                <w:tc>
                  <w:tcPr>
                    <w:tcW w:w="992" w:type="dxa"/>
                    <w:vAlign w:val="center"/>
                  </w:tcPr>
                  <w:p w14:paraId="67F9040C" w14:textId="77777777" w:rsidR="007E7472" w:rsidRDefault="00C8327E">
                    <w:pPr>
                      <w:jc w:val="right"/>
                      <w:rPr>
                        <w:spacing w:val="-20"/>
                        <w:sz w:val="18"/>
                        <w:szCs w:val="18"/>
                      </w:rPr>
                    </w:pPr>
                  </w:p>
                </w:tc>
                <w:tc>
                  <w:tcPr>
                    <w:tcW w:w="1181" w:type="dxa"/>
                    <w:vAlign w:val="center"/>
                  </w:tcPr>
                  <w:p w14:paraId="571D1DF2" w14:textId="77777777" w:rsidR="007E7472" w:rsidRDefault="00C8327E">
                    <w:pPr>
                      <w:jc w:val="right"/>
                      <w:rPr>
                        <w:spacing w:val="-20"/>
                        <w:sz w:val="18"/>
                        <w:szCs w:val="18"/>
                      </w:rPr>
                    </w:pPr>
                  </w:p>
                </w:tc>
                <w:tc>
                  <w:tcPr>
                    <w:tcW w:w="945" w:type="dxa"/>
                    <w:vAlign w:val="center"/>
                  </w:tcPr>
                  <w:p w14:paraId="1312A1BC" w14:textId="77777777" w:rsidR="007E7472" w:rsidRDefault="00C8327E">
                    <w:pPr>
                      <w:jc w:val="right"/>
                      <w:rPr>
                        <w:spacing w:val="-20"/>
                        <w:sz w:val="18"/>
                        <w:szCs w:val="18"/>
                      </w:rPr>
                    </w:pPr>
                  </w:p>
                </w:tc>
                <w:tc>
                  <w:tcPr>
                    <w:tcW w:w="993" w:type="dxa"/>
                    <w:vAlign w:val="center"/>
                  </w:tcPr>
                  <w:p w14:paraId="4CD37473" w14:textId="77777777" w:rsidR="007E7472" w:rsidRDefault="00EC1269">
                    <w:pPr>
                      <w:jc w:val="right"/>
                      <w:rPr>
                        <w:spacing w:val="-20"/>
                        <w:sz w:val="18"/>
                        <w:szCs w:val="18"/>
                      </w:rPr>
                    </w:pPr>
                    <w:r>
                      <w:rPr>
                        <w:rFonts w:hint="eastAsia"/>
                        <w:spacing w:val="-20"/>
                        <w:sz w:val="18"/>
                        <w:szCs w:val="18"/>
                      </w:rPr>
                      <w:t>-21,333,849</w:t>
                    </w:r>
                  </w:p>
                </w:tc>
                <w:tc>
                  <w:tcPr>
                    <w:tcW w:w="1117" w:type="dxa"/>
                    <w:vAlign w:val="center"/>
                  </w:tcPr>
                  <w:p w14:paraId="672740BC" w14:textId="77777777" w:rsidR="007E7472" w:rsidRDefault="00EC1269">
                    <w:pPr>
                      <w:jc w:val="right"/>
                      <w:rPr>
                        <w:spacing w:val="-20"/>
                        <w:sz w:val="18"/>
                        <w:szCs w:val="18"/>
                      </w:rPr>
                    </w:pPr>
                    <w:r>
                      <w:rPr>
                        <w:rFonts w:hint="eastAsia"/>
                        <w:spacing w:val="-20"/>
                        <w:sz w:val="18"/>
                        <w:szCs w:val="18"/>
                      </w:rPr>
                      <w:t>-21,333,849</w:t>
                    </w:r>
                  </w:p>
                </w:tc>
              </w:tr>
              <w:tr w:rsidR="007E7472" w14:paraId="488895F1" w14:textId="77777777">
                <w:trPr>
                  <w:trHeight w:val="20"/>
                </w:trPr>
                <w:sdt>
                  <w:sdtPr>
                    <w:tag w:val="_PLD_f35184bd1aa14b32a781b0ed9b526ffe"/>
                    <w:id w:val="528840774"/>
                    <w:lock w:val="sdtLocked"/>
                  </w:sdtPr>
                  <w:sdtEndPr/>
                  <w:sdtContent>
                    <w:tc>
                      <w:tcPr>
                        <w:tcW w:w="2450" w:type="dxa"/>
                      </w:tcPr>
                      <w:p w14:paraId="482DBB8B" w14:textId="77777777" w:rsidR="007E7472" w:rsidRDefault="00EC1269">
                        <w:pPr>
                          <w:rPr>
                            <w:sz w:val="18"/>
                            <w:szCs w:val="18"/>
                          </w:rPr>
                        </w:pPr>
                        <w:r>
                          <w:rPr>
                            <w:rFonts w:hint="eastAsia"/>
                            <w:sz w:val="18"/>
                            <w:szCs w:val="18"/>
                          </w:rPr>
                          <w:t>3</w:t>
                        </w:r>
                        <w:r>
                          <w:rPr>
                            <w:sz w:val="18"/>
                            <w:szCs w:val="18"/>
                          </w:rPr>
                          <w:t>．其他</w:t>
                        </w:r>
                      </w:p>
                    </w:tc>
                  </w:sdtContent>
                </w:sdt>
                <w:tc>
                  <w:tcPr>
                    <w:tcW w:w="1078" w:type="dxa"/>
                    <w:tcBorders>
                      <w:right w:val="single" w:sz="4" w:space="0" w:color="auto"/>
                    </w:tcBorders>
                    <w:vAlign w:val="center"/>
                  </w:tcPr>
                  <w:p w14:paraId="1D808EF4" w14:textId="77777777" w:rsidR="007E7472" w:rsidRDefault="00C8327E">
                    <w:pPr>
                      <w:jc w:val="right"/>
                      <w:rPr>
                        <w:spacing w:val="-20"/>
                        <w:sz w:val="18"/>
                        <w:szCs w:val="18"/>
                      </w:rPr>
                    </w:pPr>
                  </w:p>
                </w:tc>
                <w:tc>
                  <w:tcPr>
                    <w:tcW w:w="810" w:type="dxa"/>
                    <w:tcBorders>
                      <w:left w:val="single" w:sz="4" w:space="0" w:color="auto"/>
                      <w:right w:val="single" w:sz="4" w:space="0" w:color="auto"/>
                    </w:tcBorders>
                    <w:vAlign w:val="center"/>
                  </w:tcPr>
                  <w:p w14:paraId="67F8D6BE" w14:textId="77777777" w:rsidR="007E7472" w:rsidRDefault="00C8327E">
                    <w:pPr>
                      <w:jc w:val="right"/>
                      <w:rPr>
                        <w:spacing w:val="-20"/>
                        <w:sz w:val="18"/>
                        <w:szCs w:val="18"/>
                      </w:rPr>
                    </w:pPr>
                  </w:p>
                </w:tc>
                <w:tc>
                  <w:tcPr>
                    <w:tcW w:w="1134" w:type="dxa"/>
                    <w:tcBorders>
                      <w:left w:val="single" w:sz="4" w:space="0" w:color="auto"/>
                      <w:right w:val="single" w:sz="4" w:space="0" w:color="auto"/>
                    </w:tcBorders>
                    <w:vAlign w:val="center"/>
                  </w:tcPr>
                  <w:p w14:paraId="50532864" w14:textId="77777777" w:rsidR="007E7472" w:rsidRDefault="00EC1269">
                    <w:pPr>
                      <w:jc w:val="right"/>
                      <w:rPr>
                        <w:spacing w:val="-20"/>
                        <w:sz w:val="18"/>
                        <w:szCs w:val="18"/>
                      </w:rPr>
                    </w:pPr>
                    <w:r>
                      <w:rPr>
                        <w:rFonts w:hint="eastAsia"/>
                        <w:spacing w:val="-20"/>
                        <w:sz w:val="18"/>
                        <w:szCs w:val="18"/>
                      </w:rPr>
                      <w:t>-379,580</w:t>
                    </w:r>
                  </w:p>
                </w:tc>
                <w:tc>
                  <w:tcPr>
                    <w:tcW w:w="1134" w:type="dxa"/>
                    <w:tcBorders>
                      <w:left w:val="single" w:sz="4" w:space="0" w:color="auto"/>
                    </w:tcBorders>
                    <w:vAlign w:val="center"/>
                  </w:tcPr>
                  <w:p w14:paraId="2141575A" w14:textId="77777777" w:rsidR="007E7472" w:rsidRDefault="00C8327E">
                    <w:pPr>
                      <w:jc w:val="right"/>
                      <w:rPr>
                        <w:spacing w:val="-20"/>
                        <w:sz w:val="18"/>
                        <w:szCs w:val="18"/>
                      </w:rPr>
                    </w:pPr>
                  </w:p>
                </w:tc>
                <w:tc>
                  <w:tcPr>
                    <w:tcW w:w="992" w:type="dxa"/>
                    <w:vAlign w:val="center"/>
                  </w:tcPr>
                  <w:p w14:paraId="62C0D50F" w14:textId="77777777" w:rsidR="007E7472" w:rsidRDefault="00C8327E">
                    <w:pPr>
                      <w:jc w:val="right"/>
                      <w:rPr>
                        <w:spacing w:val="-20"/>
                        <w:sz w:val="18"/>
                        <w:szCs w:val="18"/>
                      </w:rPr>
                    </w:pPr>
                  </w:p>
                </w:tc>
                <w:tc>
                  <w:tcPr>
                    <w:tcW w:w="1134" w:type="dxa"/>
                    <w:vAlign w:val="center"/>
                  </w:tcPr>
                  <w:p w14:paraId="1ABA9796" w14:textId="77777777" w:rsidR="007E7472" w:rsidRDefault="00C8327E">
                    <w:pPr>
                      <w:jc w:val="right"/>
                      <w:rPr>
                        <w:spacing w:val="-20"/>
                        <w:sz w:val="18"/>
                        <w:szCs w:val="18"/>
                      </w:rPr>
                    </w:pPr>
                  </w:p>
                </w:tc>
                <w:tc>
                  <w:tcPr>
                    <w:tcW w:w="992" w:type="dxa"/>
                    <w:vAlign w:val="center"/>
                  </w:tcPr>
                  <w:p w14:paraId="035627FE" w14:textId="77777777" w:rsidR="007E7472" w:rsidRDefault="00C8327E">
                    <w:pPr>
                      <w:jc w:val="right"/>
                      <w:rPr>
                        <w:spacing w:val="-20"/>
                        <w:sz w:val="18"/>
                        <w:szCs w:val="18"/>
                      </w:rPr>
                    </w:pPr>
                  </w:p>
                </w:tc>
                <w:tc>
                  <w:tcPr>
                    <w:tcW w:w="1181" w:type="dxa"/>
                    <w:vAlign w:val="center"/>
                  </w:tcPr>
                  <w:p w14:paraId="1B48EE3A" w14:textId="77777777" w:rsidR="007E7472" w:rsidRDefault="00C8327E">
                    <w:pPr>
                      <w:jc w:val="right"/>
                      <w:rPr>
                        <w:spacing w:val="-20"/>
                        <w:sz w:val="18"/>
                        <w:szCs w:val="18"/>
                      </w:rPr>
                    </w:pPr>
                  </w:p>
                </w:tc>
                <w:tc>
                  <w:tcPr>
                    <w:tcW w:w="945" w:type="dxa"/>
                    <w:vAlign w:val="center"/>
                  </w:tcPr>
                  <w:p w14:paraId="57E7EE53" w14:textId="77777777" w:rsidR="007E7472" w:rsidRDefault="00C8327E">
                    <w:pPr>
                      <w:jc w:val="right"/>
                      <w:rPr>
                        <w:spacing w:val="-20"/>
                        <w:sz w:val="18"/>
                        <w:szCs w:val="18"/>
                      </w:rPr>
                    </w:pPr>
                  </w:p>
                </w:tc>
                <w:tc>
                  <w:tcPr>
                    <w:tcW w:w="993" w:type="dxa"/>
                    <w:vAlign w:val="center"/>
                  </w:tcPr>
                  <w:p w14:paraId="77AEDC63" w14:textId="77777777" w:rsidR="007E7472" w:rsidRDefault="00C8327E">
                    <w:pPr>
                      <w:jc w:val="right"/>
                      <w:rPr>
                        <w:spacing w:val="-20"/>
                        <w:sz w:val="18"/>
                        <w:szCs w:val="18"/>
                      </w:rPr>
                    </w:pPr>
                  </w:p>
                </w:tc>
                <w:tc>
                  <w:tcPr>
                    <w:tcW w:w="1117" w:type="dxa"/>
                    <w:vAlign w:val="center"/>
                  </w:tcPr>
                  <w:p w14:paraId="0A49B3EF" w14:textId="77777777" w:rsidR="007E7472" w:rsidRDefault="00EC1269">
                    <w:pPr>
                      <w:jc w:val="right"/>
                      <w:rPr>
                        <w:spacing w:val="-20"/>
                        <w:sz w:val="18"/>
                        <w:szCs w:val="18"/>
                      </w:rPr>
                    </w:pPr>
                    <w:r>
                      <w:rPr>
                        <w:rFonts w:hint="eastAsia"/>
                        <w:spacing w:val="-20"/>
                        <w:sz w:val="18"/>
                        <w:szCs w:val="18"/>
                      </w:rPr>
                      <w:t>-379,580</w:t>
                    </w:r>
                  </w:p>
                </w:tc>
              </w:tr>
              <w:tr w:rsidR="007E7472" w14:paraId="0E1AD910" w14:textId="77777777">
                <w:trPr>
                  <w:trHeight w:val="20"/>
                </w:trPr>
                <w:sdt>
                  <w:sdtPr>
                    <w:tag w:val="_PLD_377c539e51b74e8689b49d91a30d6a9f"/>
                    <w:id w:val="1833569732"/>
                    <w:lock w:val="sdtLocked"/>
                  </w:sdtPr>
                  <w:sdtEndPr/>
                  <w:sdtContent>
                    <w:tc>
                      <w:tcPr>
                        <w:tcW w:w="2450" w:type="dxa"/>
                      </w:tcPr>
                      <w:p w14:paraId="3AED0848" w14:textId="77777777" w:rsidR="007E7472" w:rsidRDefault="00EC1269">
                        <w:pPr>
                          <w:rPr>
                            <w:sz w:val="18"/>
                            <w:szCs w:val="18"/>
                          </w:rPr>
                        </w:pPr>
                        <w:r>
                          <w:rPr>
                            <w:sz w:val="18"/>
                            <w:szCs w:val="18"/>
                          </w:rPr>
                          <w:t>（</w:t>
                        </w:r>
                        <w:r>
                          <w:rPr>
                            <w:rFonts w:hint="eastAsia"/>
                            <w:sz w:val="18"/>
                            <w:szCs w:val="18"/>
                          </w:rPr>
                          <w:t>四</w:t>
                        </w:r>
                        <w:r>
                          <w:rPr>
                            <w:sz w:val="18"/>
                            <w:szCs w:val="18"/>
                          </w:rPr>
                          <w:t>）所有者权益内部结转</w:t>
                        </w:r>
                      </w:p>
                    </w:tc>
                  </w:sdtContent>
                </w:sdt>
                <w:tc>
                  <w:tcPr>
                    <w:tcW w:w="1078" w:type="dxa"/>
                    <w:tcBorders>
                      <w:right w:val="single" w:sz="4" w:space="0" w:color="auto"/>
                    </w:tcBorders>
                  </w:tcPr>
                  <w:p w14:paraId="326381CE" w14:textId="77777777" w:rsidR="007E7472" w:rsidRDefault="00C8327E">
                    <w:pPr>
                      <w:jc w:val="right"/>
                      <w:rPr>
                        <w:spacing w:val="-20"/>
                        <w:sz w:val="18"/>
                        <w:szCs w:val="18"/>
                      </w:rPr>
                    </w:pPr>
                  </w:p>
                </w:tc>
                <w:tc>
                  <w:tcPr>
                    <w:tcW w:w="810" w:type="dxa"/>
                    <w:tcBorders>
                      <w:left w:val="single" w:sz="4" w:space="0" w:color="auto"/>
                      <w:right w:val="single" w:sz="4" w:space="0" w:color="auto"/>
                    </w:tcBorders>
                  </w:tcPr>
                  <w:p w14:paraId="2E7798E6" w14:textId="77777777" w:rsidR="007E7472" w:rsidRDefault="00C8327E">
                    <w:pPr>
                      <w:jc w:val="right"/>
                      <w:rPr>
                        <w:spacing w:val="-20"/>
                        <w:sz w:val="18"/>
                        <w:szCs w:val="18"/>
                      </w:rPr>
                    </w:pPr>
                  </w:p>
                </w:tc>
                <w:tc>
                  <w:tcPr>
                    <w:tcW w:w="1134" w:type="dxa"/>
                    <w:tcBorders>
                      <w:left w:val="single" w:sz="4" w:space="0" w:color="auto"/>
                      <w:right w:val="single" w:sz="4" w:space="0" w:color="auto"/>
                    </w:tcBorders>
                  </w:tcPr>
                  <w:p w14:paraId="3D3179F5" w14:textId="77777777" w:rsidR="007E7472" w:rsidRDefault="00C8327E">
                    <w:pPr>
                      <w:jc w:val="right"/>
                      <w:rPr>
                        <w:spacing w:val="-20"/>
                        <w:sz w:val="18"/>
                        <w:szCs w:val="18"/>
                      </w:rPr>
                    </w:pPr>
                  </w:p>
                </w:tc>
                <w:tc>
                  <w:tcPr>
                    <w:tcW w:w="1134" w:type="dxa"/>
                    <w:tcBorders>
                      <w:left w:val="single" w:sz="4" w:space="0" w:color="auto"/>
                    </w:tcBorders>
                  </w:tcPr>
                  <w:p w14:paraId="2E209401" w14:textId="77777777" w:rsidR="007E7472" w:rsidRDefault="00C8327E">
                    <w:pPr>
                      <w:jc w:val="right"/>
                      <w:rPr>
                        <w:spacing w:val="-20"/>
                        <w:sz w:val="18"/>
                        <w:szCs w:val="18"/>
                      </w:rPr>
                    </w:pPr>
                  </w:p>
                </w:tc>
                <w:tc>
                  <w:tcPr>
                    <w:tcW w:w="992" w:type="dxa"/>
                  </w:tcPr>
                  <w:p w14:paraId="32DAC8B3" w14:textId="77777777" w:rsidR="007E7472" w:rsidRDefault="00C8327E">
                    <w:pPr>
                      <w:jc w:val="right"/>
                      <w:rPr>
                        <w:spacing w:val="-20"/>
                        <w:sz w:val="18"/>
                        <w:szCs w:val="18"/>
                      </w:rPr>
                    </w:pPr>
                  </w:p>
                </w:tc>
                <w:tc>
                  <w:tcPr>
                    <w:tcW w:w="1134" w:type="dxa"/>
                  </w:tcPr>
                  <w:p w14:paraId="0E5248CE" w14:textId="77777777" w:rsidR="007E7472" w:rsidRDefault="00C8327E">
                    <w:pPr>
                      <w:jc w:val="right"/>
                      <w:rPr>
                        <w:spacing w:val="-20"/>
                        <w:sz w:val="18"/>
                        <w:szCs w:val="18"/>
                      </w:rPr>
                    </w:pPr>
                  </w:p>
                </w:tc>
                <w:tc>
                  <w:tcPr>
                    <w:tcW w:w="992" w:type="dxa"/>
                  </w:tcPr>
                  <w:p w14:paraId="05BFCF25" w14:textId="77777777" w:rsidR="007E7472" w:rsidRDefault="00C8327E">
                    <w:pPr>
                      <w:jc w:val="right"/>
                      <w:rPr>
                        <w:spacing w:val="-20"/>
                        <w:sz w:val="18"/>
                        <w:szCs w:val="18"/>
                      </w:rPr>
                    </w:pPr>
                  </w:p>
                </w:tc>
                <w:tc>
                  <w:tcPr>
                    <w:tcW w:w="1181" w:type="dxa"/>
                  </w:tcPr>
                  <w:p w14:paraId="2A7A7CC9" w14:textId="77777777" w:rsidR="007E7472" w:rsidRDefault="00C8327E">
                    <w:pPr>
                      <w:jc w:val="right"/>
                      <w:rPr>
                        <w:spacing w:val="-20"/>
                        <w:sz w:val="18"/>
                        <w:szCs w:val="18"/>
                      </w:rPr>
                    </w:pPr>
                  </w:p>
                </w:tc>
                <w:tc>
                  <w:tcPr>
                    <w:tcW w:w="945" w:type="dxa"/>
                  </w:tcPr>
                  <w:p w14:paraId="3811E34B" w14:textId="77777777" w:rsidR="007E7472" w:rsidRDefault="00C8327E">
                    <w:pPr>
                      <w:jc w:val="right"/>
                      <w:rPr>
                        <w:spacing w:val="-20"/>
                        <w:sz w:val="18"/>
                        <w:szCs w:val="18"/>
                      </w:rPr>
                    </w:pPr>
                  </w:p>
                </w:tc>
                <w:tc>
                  <w:tcPr>
                    <w:tcW w:w="993" w:type="dxa"/>
                  </w:tcPr>
                  <w:p w14:paraId="21497789" w14:textId="77777777" w:rsidR="007E7472" w:rsidRDefault="00C8327E">
                    <w:pPr>
                      <w:jc w:val="right"/>
                      <w:rPr>
                        <w:spacing w:val="-20"/>
                        <w:sz w:val="18"/>
                        <w:szCs w:val="18"/>
                      </w:rPr>
                    </w:pPr>
                  </w:p>
                </w:tc>
                <w:tc>
                  <w:tcPr>
                    <w:tcW w:w="1117" w:type="dxa"/>
                  </w:tcPr>
                  <w:p w14:paraId="1A7B7A98" w14:textId="77777777" w:rsidR="007E7472" w:rsidRDefault="00C8327E">
                    <w:pPr>
                      <w:jc w:val="right"/>
                      <w:rPr>
                        <w:spacing w:val="-20"/>
                        <w:sz w:val="18"/>
                        <w:szCs w:val="18"/>
                      </w:rPr>
                    </w:pPr>
                  </w:p>
                </w:tc>
              </w:tr>
              <w:tr w:rsidR="007E7472" w14:paraId="0076B54B" w14:textId="77777777">
                <w:trPr>
                  <w:trHeight w:val="20"/>
                </w:trPr>
                <w:sdt>
                  <w:sdtPr>
                    <w:tag w:val="_PLD_9d82304ad85542d89ad56bdebdedd7c5"/>
                    <w:id w:val="1722014542"/>
                    <w:lock w:val="sdtLocked"/>
                  </w:sdtPr>
                  <w:sdtEndPr/>
                  <w:sdtContent>
                    <w:tc>
                      <w:tcPr>
                        <w:tcW w:w="2450" w:type="dxa"/>
                      </w:tcPr>
                      <w:p w14:paraId="3705E4FF" w14:textId="77777777" w:rsidR="007E7472" w:rsidRDefault="00EC1269">
                        <w:pPr>
                          <w:rPr>
                            <w:sz w:val="18"/>
                            <w:szCs w:val="18"/>
                          </w:rPr>
                        </w:pPr>
                        <w:r>
                          <w:rPr>
                            <w:sz w:val="18"/>
                            <w:szCs w:val="18"/>
                          </w:rPr>
                          <w:t>1．资本公积转增资本（或股本）</w:t>
                        </w:r>
                      </w:p>
                    </w:tc>
                  </w:sdtContent>
                </w:sdt>
                <w:tc>
                  <w:tcPr>
                    <w:tcW w:w="1078" w:type="dxa"/>
                    <w:tcBorders>
                      <w:right w:val="single" w:sz="4" w:space="0" w:color="auto"/>
                    </w:tcBorders>
                    <w:vAlign w:val="center"/>
                  </w:tcPr>
                  <w:p w14:paraId="782EEE97" w14:textId="77777777" w:rsidR="007E7472" w:rsidRDefault="00C8327E">
                    <w:pPr>
                      <w:jc w:val="right"/>
                      <w:rPr>
                        <w:spacing w:val="-20"/>
                        <w:sz w:val="18"/>
                        <w:szCs w:val="18"/>
                      </w:rPr>
                    </w:pPr>
                  </w:p>
                </w:tc>
                <w:tc>
                  <w:tcPr>
                    <w:tcW w:w="810" w:type="dxa"/>
                    <w:tcBorders>
                      <w:left w:val="single" w:sz="4" w:space="0" w:color="auto"/>
                      <w:right w:val="single" w:sz="4" w:space="0" w:color="auto"/>
                    </w:tcBorders>
                    <w:vAlign w:val="center"/>
                  </w:tcPr>
                  <w:p w14:paraId="3B83FC89" w14:textId="77777777" w:rsidR="007E7472" w:rsidRDefault="00C8327E">
                    <w:pPr>
                      <w:jc w:val="right"/>
                      <w:rPr>
                        <w:spacing w:val="-20"/>
                        <w:sz w:val="18"/>
                        <w:szCs w:val="18"/>
                      </w:rPr>
                    </w:pPr>
                  </w:p>
                </w:tc>
                <w:tc>
                  <w:tcPr>
                    <w:tcW w:w="1134" w:type="dxa"/>
                    <w:tcBorders>
                      <w:left w:val="single" w:sz="4" w:space="0" w:color="auto"/>
                      <w:right w:val="single" w:sz="4" w:space="0" w:color="auto"/>
                    </w:tcBorders>
                    <w:vAlign w:val="center"/>
                  </w:tcPr>
                  <w:p w14:paraId="517BD9FA" w14:textId="77777777" w:rsidR="007E7472" w:rsidRDefault="00C8327E">
                    <w:pPr>
                      <w:jc w:val="right"/>
                      <w:rPr>
                        <w:spacing w:val="-20"/>
                        <w:sz w:val="18"/>
                        <w:szCs w:val="18"/>
                      </w:rPr>
                    </w:pPr>
                  </w:p>
                </w:tc>
                <w:tc>
                  <w:tcPr>
                    <w:tcW w:w="1134" w:type="dxa"/>
                    <w:tcBorders>
                      <w:left w:val="single" w:sz="4" w:space="0" w:color="auto"/>
                    </w:tcBorders>
                    <w:vAlign w:val="center"/>
                  </w:tcPr>
                  <w:p w14:paraId="17662D3B" w14:textId="77777777" w:rsidR="007E7472" w:rsidRDefault="00C8327E">
                    <w:pPr>
                      <w:jc w:val="right"/>
                      <w:rPr>
                        <w:spacing w:val="-20"/>
                        <w:sz w:val="18"/>
                        <w:szCs w:val="18"/>
                      </w:rPr>
                    </w:pPr>
                  </w:p>
                </w:tc>
                <w:tc>
                  <w:tcPr>
                    <w:tcW w:w="992" w:type="dxa"/>
                    <w:vAlign w:val="center"/>
                  </w:tcPr>
                  <w:p w14:paraId="45E1E901" w14:textId="77777777" w:rsidR="007E7472" w:rsidRDefault="00C8327E">
                    <w:pPr>
                      <w:jc w:val="right"/>
                      <w:rPr>
                        <w:spacing w:val="-20"/>
                        <w:sz w:val="18"/>
                        <w:szCs w:val="18"/>
                      </w:rPr>
                    </w:pPr>
                  </w:p>
                </w:tc>
                <w:tc>
                  <w:tcPr>
                    <w:tcW w:w="1134" w:type="dxa"/>
                    <w:vAlign w:val="center"/>
                  </w:tcPr>
                  <w:p w14:paraId="06B4AA87" w14:textId="77777777" w:rsidR="007E7472" w:rsidRDefault="00C8327E">
                    <w:pPr>
                      <w:jc w:val="right"/>
                      <w:rPr>
                        <w:spacing w:val="-20"/>
                        <w:sz w:val="18"/>
                        <w:szCs w:val="18"/>
                      </w:rPr>
                    </w:pPr>
                  </w:p>
                </w:tc>
                <w:tc>
                  <w:tcPr>
                    <w:tcW w:w="992" w:type="dxa"/>
                    <w:vAlign w:val="center"/>
                  </w:tcPr>
                  <w:p w14:paraId="5BFEA461" w14:textId="77777777" w:rsidR="007E7472" w:rsidRDefault="00C8327E">
                    <w:pPr>
                      <w:jc w:val="right"/>
                      <w:rPr>
                        <w:spacing w:val="-20"/>
                        <w:sz w:val="18"/>
                        <w:szCs w:val="18"/>
                      </w:rPr>
                    </w:pPr>
                  </w:p>
                </w:tc>
                <w:tc>
                  <w:tcPr>
                    <w:tcW w:w="1181" w:type="dxa"/>
                    <w:vAlign w:val="center"/>
                  </w:tcPr>
                  <w:p w14:paraId="52F504F0" w14:textId="77777777" w:rsidR="007E7472" w:rsidRDefault="00C8327E">
                    <w:pPr>
                      <w:jc w:val="right"/>
                      <w:rPr>
                        <w:spacing w:val="-20"/>
                        <w:sz w:val="18"/>
                        <w:szCs w:val="18"/>
                      </w:rPr>
                    </w:pPr>
                  </w:p>
                </w:tc>
                <w:tc>
                  <w:tcPr>
                    <w:tcW w:w="945" w:type="dxa"/>
                    <w:vAlign w:val="center"/>
                  </w:tcPr>
                  <w:p w14:paraId="1CCB5404" w14:textId="77777777" w:rsidR="007E7472" w:rsidRDefault="00C8327E">
                    <w:pPr>
                      <w:jc w:val="right"/>
                      <w:rPr>
                        <w:spacing w:val="-20"/>
                        <w:sz w:val="18"/>
                        <w:szCs w:val="18"/>
                      </w:rPr>
                    </w:pPr>
                  </w:p>
                </w:tc>
                <w:tc>
                  <w:tcPr>
                    <w:tcW w:w="993" w:type="dxa"/>
                    <w:vAlign w:val="center"/>
                  </w:tcPr>
                  <w:p w14:paraId="3F62D55A" w14:textId="77777777" w:rsidR="007E7472" w:rsidRDefault="00C8327E">
                    <w:pPr>
                      <w:jc w:val="right"/>
                      <w:rPr>
                        <w:spacing w:val="-20"/>
                        <w:sz w:val="18"/>
                        <w:szCs w:val="18"/>
                      </w:rPr>
                    </w:pPr>
                  </w:p>
                </w:tc>
                <w:tc>
                  <w:tcPr>
                    <w:tcW w:w="1117" w:type="dxa"/>
                    <w:vAlign w:val="center"/>
                  </w:tcPr>
                  <w:p w14:paraId="4D9FA481" w14:textId="77777777" w:rsidR="007E7472" w:rsidRDefault="00C8327E">
                    <w:pPr>
                      <w:jc w:val="right"/>
                      <w:rPr>
                        <w:spacing w:val="-20"/>
                        <w:sz w:val="18"/>
                        <w:szCs w:val="18"/>
                      </w:rPr>
                    </w:pPr>
                  </w:p>
                </w:tc>
              </w:tr>
              <w:tr w:rsidR="007E7472" w14:paraId="33025F6C" w14:textId="77777777">
                <w:trPr>
                  <w:trHeight w:val="20"/>
                </w:trPr>
                <w:sdt>
                  <w:sdtPr>
                    <w:tag w:val="_PLD_ba5c81951f1c4ff0a188b55532ed96a5"/>
                    <w:id w:val="-1770079027"/>
                    <w:lock w:val="sdtLocked"/>
                  </w:sdtPr>
                  <w:sdtEndPr/>
                  <w:sdtContent>
                    <w:tc>
                      <w:tcPr>
                        <w:tcW w:w="2450" w:type="dxa"/>
                      </w:tcPr>
                      <w:p w14:paraId="6515BC36" w14:textId="77777777" w:rsidR="007E7472" w:rsidRDefault="00EC1269">
                        <w:pPr>
                          <w:rPr>
                            <w:sz w:val="18"/>
                            <w:szCs w:val="18"/>
                          </w:rPr>
                        </w:pPr>
                        <w:r>
                          <w:rPr>
                            <w:sz w:val="18"/>
                            <w:szCs w:val="18"/>
                          </w:rPr>
                          <w:t>2．盈余公积转增资本（或股本）</w:t>
                        </w:r>
                      </w:p>
                    </w:tc>
                  </w:sdtContent>
                </w:sdt>
                <w:tc>
                  <w:tcPr>
                    <w:tcW w:w="1078" w:type="dxa"/>
                    <w:tcBorders>
                      <w:right w:val="single" w:sz="4" w:space="0" w:color="auto"/>
                    </w:tcBorders>
                    <w:vAlign w:val="center"/>
                  </w:tcPr>
                  <w:p w14:paraId="0DE245C7" w14:textId="77777777" w:rsidR="007E7472" w:rsidRDefault="00C8327E">
                    <w:pPr>
                      <w:jc w:val="right"/>
                      <w:rPr>
                        <w:spacing w:val="-20"/>
                        <w:sz w:val="18"/>
                        <w:szCs w:val="18"/>
                      </w:rPr>
                    </w:pPr>
                  </w:p>
                </w:tc>
                <w:tc>
                  <w:tcPr>
                    <w:tcW w:w="810" w:type="dxa"/>
                    <w:tcBorders>
                      <w:left w:val="single" w:sz="4" w:space="0" w:color="auto"/>
                      <w:right w:val="single" w:sz="4" w:space="0" w:color="auto"/>
                    </w:tcBorders>
                    <w:vAlign w:val="center"/>
                  </w:tcPr>
                  <w:p w14:paraId="3C9BA049" w14:textId="77777777" w:rsidR="007E7472" w:rsidRDefault="00C8327E">
                    <w:pPr>
                      <w:jc w:val="right"/>
                      <w:rPr>
                        <w:spacing w:val="-20"/>
                        <w:sz w:val="18"/>
                        <w:szCs w:val="18"/>
                      </w:rPr>
                    </w:pPr>
                  </w:p>
                </w:tc>
                <w:tc>
                  <w:tcPr>
                    <w:tcW w:w="1134" w:type="dxa"/>
                    <w:tcBorders>
                      <w:left w:val="single" w:sz="4" w:space="0" w:color="auto"/>
                      <w:right w:val="single" w:sz="4" w:space="0" w:color="auto"/>
                    </w:tcBorders>
                    <w:vAlign w:val="center"/>
                  </w:tcPr>
                  <w:p w14:paraId="3960E4D1" w14:textId="77777777" w:rsidR="007E7472" w:rsidRDefault="00C8327E">
                    <w:pPr>
                      <w:jc w:val="right"/>
                      <w:rPr>
                        <w:spacing w:val="-20"/>
                        <w:sz w:val="18"/>
                        <w:szCs w:val="18"/>
                      </w:rPr>
                    </w:pPr>
                  </w:p>
                </w:tc>
                <w:tc>
                  <w:tcPr>
                    <w:tcW w:w="1134" w:type="dxa"/>
                    <w:tcBorders>
                      <w:left w:val="single" w:sz="4" w:space="0" w:color="auto"/>
                    </w:tcBorders>
                    <w:vAlign w:val="center"/>
                  </w:tcPr>
                  <w:p w14:paraId="5536E6AA" w14:textId="77777777" w:rsidR="007E7472" w:rsidRDefault="00C8327E">
                    <w:pPr>
                      <w:jc w:val="right"/>
                      <w:rPr>
                        <w:spacing w:val="-20"/>
                        <w:sz w:val="18"/>
                        <w:szCs w:val="18"/>
                      </w:rPr>
                    </w:pPr>
                  </w:p>
                </w:tc>
                <w:tc>
                  <w:tcPr>
                    <w:tcW w:w="992" w:type="dxa"/>
                    <w:vAlign w:val="center"/>
                  </w:tcPr>
                  <w:p w14:paraId="363BDF33" w14:textId="77777777" w:rsidR="007E7472" w:rsidRDefault="00C8327E">
                    <w:pPr>
                      <w:jc w:val="right"/>
                      <w:rPr>
                        <w:spacing w:val="-20"/>
                        <w:sz w:val="18"/>
                        <w:szCs w:val="18"/>
                      </w:rPr>
                    </w:pPr>
                  </w:p>
                </w:tc>
                <w:tc>
                  <w:tcPr>
                    <w:tcW w:w="1134" w:type="dxa"/>
                    <w:vAlign w:val="center"/>
                  </w:tcPr>
                  <w:p w14:paraId="31EE8065" w14:textId="77777777" w:rsidR="007E7472" w:rsidRDefault="00C8327E">
                    <w:pPr>
                      <w:jc w:val="right"/>
                      <w:rPr>
                        <w:spacing w:val="-20"/>
                        <w:sz w:val="18"/>
                        <w:szCs w:val="18"/>
                      </w:rPr>
                    </w:pPr>
                  </w:p>
                </w:tc>
                <w:tc>
                  <w:tcPr>
                    <w:tcW w:w="992" w:type="dxa"/>
                    <w:vAlign w:val="center"/>
                  </w:tcPr>
                  <w:p w14:paraId="25C06681" w14:textId="77777777" w:rsidR="007E7472" w:rsidRDefault="00C8327E">
                    <w:pPr>
                      <w:jc w:val="right"/>
                      <w:rPr>
                        <w:spacing w:val="-20"/>
                        <w:sz w:val="18"/>
                        <w:szCs w:val="18"/>
                      </w:rPr>
                    </w:pPr>
                  </w:p>
                </w:tc>
                <w:tc>
                  <w:tcPr>
                    <w:tcW w:w="1181" w:type="dxa"/>
                    <w:vAlign w:val="center"/>
                  </w:tcPr>
                  <w:p w14:paraId="61292519" w14:textId="77777777" w:rsidR="007E7472" w:rsidRDefault="00C8327E">
                    <w:pPr>
                      <w:jc w:val="right"/>
                      <w:rPr>
                        <w:spacing w:val="-20"/>
                        <w:sz w:val="18"/>
                        <w:szCs w:val="18"/>
                      </w:rPr>
                    </w:pPr>
                  </w:p>
                </w:tc>
                <w:tc>
                  <w:tcPr>
                    <w:tcW w:w="945" w:type="dxa"/>
                    <w:vAlign w:val="center"/>
                  </w:tcPr>
                  <w:p w14:paraId="02811FCE" w14:textId="77777777" w:rsidR="007E7472" w:rsidRDefault="00C8327E">
                    <w:pPr>
                      <w:jc w:val="right"/>
                      <w:rPr>
                        <w:spacing w:val="-20"/>
                        <w:sz w:val="18"/>
                        <w:szCs w:val="18"/>
                      </w:rPr>
                    </w:pPr>
                  </w:p>
                </w:tc>
                <w:tc>
                  <w:tcPr>
                    <w:tcW w:w="993" w:type="dxa"/>
                    <w:vAlign w:val="center"/>
                  </w:tcPr>
                  <w:p w14:paraId="2EADCEA5" w14:textId="77777777" w:rsidR="007E7472" w:rsidRDefault="00C8327E">
                    <w:pPr>
                      <w:jc w:val="right"/>
                      <w:rPr>
                        <w:spacing w:val="-20"/>
                        <w:sz w:val="18"/>
                        <w:szCs w:val="18"/>
                      </w:rPr>
                    </w:pPr>
                  </w:p>
                </w:tc>
                <w:tc>
                  <w:tcPr>
                    <w:tcW w:w="1117" w:type="dxa"/>
                    <w:vAlign w:val="center"/>
                  </w:tcPr>
                  <w:p w14:paraId="5CDD5B3F" w14:textId="77777777" w:rsidR="007E7472" w:rsidRDefault="00C8327E">
                    <w:pPr>
                      <w:jc w:val="right"/>
                      <w:rPr>
                        <w:spacing w:val="-20"/>
                        <w:sz w:val="18"/>
                        <w:szCs w:val="18"/>
                      </w:rPr>
                    </w:pPr>
                  </w:p>
                </w:tc>
              </w:tr>
              <w:tr w:rsidR="007E7472" w14:paraId="4F09A24C" w14:textId="77777777">
                <w:trPr>
                  <w:trHeight w:val="20"/>
                </w:trPr>
                <w:sdt>
                  <w:sdtPr>
                    <w:tag w:val="_PLD_81b068c4cdf2482a9438450e52e9b3b4"/>
                    <w:id w:val="1853532185"/>
                    <w:lock w:val="sdtLocked"/>
                  </w:sdtPr>
                  <w:sdtEndPr/>
                  <w:sdtContent>
                    <w:tc>
                      <w:tcPr>
                        <w:tcW w:w="2450" w:type="dxa"/>
                      </w:tcPr>
                      <w:p w14:paraId="7D137C69" w14:textId="77777777" w:rsidR="007E7472" w:rsidRDefault="00EC1269">
                        <w:pPr>
                          <w:rPr>
                            <w:sz w:val="18"/>
                            <w:szCs w:val="18"/>
                          </w:rPr>
                        </w:pPr>
                        <w:r>
                          <w:rPr>
                            <w:sz w:val="18"/>
                            <w:szCs w:val="18"/>
                          </w:rPr>
                          <w:t>3．盈余公积弥补亏损</w:t>
                        </w:r>
                      </w:p>
                    </w:tc>
                  </w:sdtContent>
                </w:sdt>
                <w:tc>
                  <w:tcPr>
                    <w:tcW w:w="1078" w:type="dxa"/>
                    <w:tcBorders>
                      <w:right w:val="single" w:sz="4" w:space="0" w:color="auto"/>
                    </w:tcBorders>
                    <w:vAlign w:val="center"/>
                  </w:tcPr>
                  <w:p w14:paraId="6F98C19A" w14:textId="77777777" w:rsidR="007E7472" w:rsidRDefault="00C8327E">
                    <w:pPr>
                      <w:jc w:val="right"/>
                      <w:rPr>
                        <w:spacing w:val="-20"/>
                        <w:sz w:val="18"/>
                        <w:szCs w:val="18"/>
                      </w:rPr>
                    </w:pPr>
                  </w:p>
                </w:tc>
                <w:tc>
                  <w:tcPr>
                    <w:tcW w:w="810" w:type="dxa"/>
                    <w:tcBorders>
                      <w:left w:val="single" w:sz="4" w:space="0" w:color="auto"/>
                      <w:right w:val="single" w:sz="4" w:space="0" w:color="auto"/>
                    </w:tcBorders>
                    <w:vAlign w:val="center"/>
                  </w:tcPr>
                  <w:p w14:paraId="52481BB8" w14:textId="77777777" w:rsidR="007E7472" w:rsidRDefault="00C8327E">
                    <w:pPr>
                      <w:jc w:val="right"/>
                      <w:rPr>
                        <w:spacing w:val="-20"/>
                        <w:sz w:val="18"/>
                        <w:szCs w:val="18"/>
                      </w:rPr>
                    </w:pPr>
                  </w:p>
                </w:tc>
                <w:tc>
                  <w:tcPr>
                    <w:tcW w:w="1134" w:type="dxa"/>
                    <w:tcBorders>
                      <w:left w:val="single" w:sz="4" w:space="0" w:color="auto"/>
                      <w:right w:val="single" w:sz="4" w:space="0" w:color="auto"/>
                    </w:tcBorders>
                    <w:vAlign w:val="center"/>
                  </w:tcPr>
                  <w:p w14:paraId="335C358A" w14:textId="77777777" w:rsidR="007E7472" w:rsidRDefault="00C8327E">
                    <w:pPr>
                      <w:jc w:val="right"/>
                      <w:rPr>
                        <w:spacing w:val="-20"/>
                        <w:sz w:val="18"/>
                        <w:szCs w:val="18"/>
                      </w:rPr>
                    </w:pPr>
                  </w:p>
                </w:tc>
                <w:tc>
                  <w:tcPr>
                    <w:tcW w:w="1134" w:type="dxa"/>
                    <w:tcBorders>
                      <w:left w:val="single" w:sz="4" w:space="0" w:color="auto"/>
                    </w:tcBorders>
                    <w:vAlign w:val="center"/>
                  </w:tcPr>
                  <w:p w14:paraId="737EC4D9" w14:textId="77777777" w:rsidR="007E7472" w:rsidRDefault="00C8327E">
                    <w:pPr>
                      <w:jc w:val="right"/>
                      <w:rPr>
                        <w:spacing w:val="-20"/>
                        <w:sz w:val="18"/>
                        <w:szCs w:val="18"/>
                      </w:rPr>
                    </w:pPr>
                  </w:p>
                </w:tc>
                <w:tc>
                  <w:tcPr>
                    <w:tcW w:w="992" w:type="dxa"/>
                    <w:vAlign w:val="center"/>
                  </w:tcPr>
                  <w:p w14:paraId="6152B13D" w14:textId="77777777" w:rsidR="007E7472" w:rsidRDefault="00C8327E">
                    <w:pPr>
                      <w:jc w:val="right"/>
                      <w:rPr>
                        <w:spacing w:val="-20"/>
                        <w:sz w:val="18"/>
                        <w:szCs w:val="18"/>
                      </w:rPr>
                    </w:pPr>
                  </w:p>
                </w:tc>
                <w:tc>
                  <w:tcPr>
                    <w:tcW w:w="1134" w:type="dxa"/>
                    <w:vAlign w:val="center"/>
                  </w:tcPr>
                  <w:p w14:paraId="3C666D77" w14:textId="77777777" w:rsidR="007E7472" w:rsidRDefault="00C8327E">
                    <w:pPr>
                      <w:jc w:val="right"/>
                      <w:rPr>
                        <w:spacing w:val="-20"/>
                        <w:sz w:val="18"/>
                        <w:szCs w:val="18"/>
                      </w:rPr>
                    </w:pPr>
                  </w:p>
                </w:tc>
                <w:tc>
                  <w:tcPr>
                    <w:tcW w:w="992" w:type="dxa"/>
                    <w:vAlign w:val="center"/>
                  </w:tcPr>
                  <w:p w14:paraId="4082552F" w14:textId="77777777" w:rsidR="007E7472" w:rsidRDefault="00C8327E">
                    <w:pPr>
                      <w:jc w:val="right"/>
                      <w:rPr>
                        <w:spacing w:val="-20"/>
                        <w:sz w:val="18"/>
                        <w:szCs w:val="18"/>
                      </w:rPr>
                    </w:pPr>
                  </w:p>
                </w:tc>
                <w:tc>
                  <w:tcPr>
                    <w:tcW w:w="1181" w:type="dxa"/>
                    <w:vAlign w:val="center"/>
                  </w:tcPr>
                  <w:p w14:paraId="630AB594" w14:textId="77777777" w:rsidR="007E7472" w:rsidRDefault="00C8327E">
                    <w:pPr>
                      <w:jc w:val="right"/>
                      <w:rPr>
                        <w:spacing w:val="-20"/>
                        <w:sz w:val="18"/>
                        <w:szCs w:val="18"/>
                      </w:rPr>
                    </w:pPr>
                  </w:p>
                </w:tc>
                <w:tc>
                  <w:tcPr>
                    <w:tcW w:w="945" w:type="dxa"/>
                    <w:vAlign w:val="center"/>
                  </w:tcPr>
                  <w:p w14:paraId="2CE4CFE0" w14:textId="77777777" w:rsidR="007E7472" w:rsidRDefault="00C8327E">
                    <w:pPr>
                      <w:jc w:val="right"/>
                      <w:rPr>
                        <w:spacing w:val="-20"/>
                        <w:sz w:val="18"/>
                        <w:szCs w:val="18"/>
                      </w:rPr>
                    </w:pPr>
                  </w:p>
                </w:tc>
                <w:tc>
                  <w:tcPr>
                    <w:tcW w:w="993" w:type="dxa"/>
                    <w:vAlign w:val="center"/>
                  </w:tcPr>
                  <w:p w14:paraId="6107876F" w14:textId="77777777" w:rsidR="007E7472" w:rsidRDefault="00C8327E">
                    <w:pPr>
                      <w:jc w:val="right"/>
                      <w:rPr>
                        <w:spacing w:val="-20"/>
                        <w:sz w:val="18"/>
                        <w:szCs w:val="18"/>
                      </w:rPr>
                    </w:pPr>
                  </w:p>
                </w:tc>
                <w:tc>
                  <w:tcPr>
                    <w:tcW w:w="1117" w:type="dxa"/>
                    <w:vAlign w:val="center"/>
                  </w:tcPr>
                  <w:p w14:paraId="78E39CF7" w14:textId="77777777" w:rsidR="007E7472" w:rsidRDefault="00C8327E">
                    <w:pPr>
                      <w:jc w:val="right"/>
                      <w:rPr>
                        <w:spacing w:val="-20"/>
                        <w:sz w:val="18"/>
                        <w:szCs w:val="18"/>
                      </w:rPr>
                    </w:pPr>
                  </w:p>
                </w:tc>
              </w:tr>
              <w:tr w:rsidR="007E7472" w14:paraId="6A0B296A" w14:textId="77777777">
                <w:trPr>
                  <w:trHeight w:val="20"/>
                </w:trPr>
                <w:tc>
                  <w:tcPr>
                    <w:tcW w:w="2450" w:type="dxa"/>
                  </w:tcPr>
                  <w:sdt>
                    <w:sdtPr>
                      <w:rPr>
                        <w:sz w:val="18"/>
                        <w:szCs w:val="18"/>
                      </w:rPr>
                      <w:tag w:val="_PLD_0e7647effaeb42219d706b118465bdec"/>
                      <w:id w:val="500401820"/>
                      <w:lock w:val="sdtLocked"/>
                    </w:sdtPr>
                    <w:sdtEndPr/>
                    <w:sdtContent>
                      <w:p w14:paraId="3FA40D1C" w14:textId="77777777" w:rsidR="007E7472" w:rsidRDefault="00EC1269">
                        <w:r>
                          <w:rPr>
                            <w:sz w:val="18"/>
                            <w:szCs w:val="18"/>
                          </w:rPr>
                          <w:t>4．设定受益计划变动额结转留存收益</w:t>
                        </w:r>
                      </w:p>
                    </w:sdtContent>
                  </w:sdt>
                </w:tc>
                <w:tc>
                  <w:tcPr>
                    <w:tcW w:w="1078" w:type="dxa"/>
                    <w:tcBorders>
                      <w:right w:val="single" w:sz="4" w:space="0" w:color="auto"/>
                    </w:tcBorders>
                    <w:vAlign w:val="center"/>
                  </w:tcPr>
                  <w:p w14:paraId="1397BA4D" w14:textId="77777777" w:rsidR="007E7472" w:rsidRDefault="00C8327E">
                    <w:pPr>
                      <w:jc w:val="right"/>
                      <w:rPr>
                        <w:spacing w:val="-20"/>
                        <w:sz w:val="18"/>
                        <w:szCs w:val="18"/>
                      </w:rPr>
                    </w:pPr>
                  </w:p>
                </w:tc>
                <w:tc>
                  <w:tcPr>
                    <w:tcW w:w="810" w:type="dxa"/>
                    <w:tcBorders>
                      <w:left w:val="single" w:sz="4" w:space="0" w:color="auto"/>
                      <w:right w:val="single" w:sz="4" w:space="0" w:color="auto"/>
                    </w:tcBorders>
                    <w:vAlign w:val="center"/>
                  </w:tcPr>
                  <w:p w14:paraId="3ED2C841" w14:textId="77777777" w:rsidR="007E7472" w:rsidRDefault="00C8327E">
                    <w:pPr>
                      <w:jc w:val="right"/>
                      <w:rPr>
                        <w:spacing w:val="-20"/>
                        <w:sz w:val="18"/>
                        <w:szCs w:val="18"/>
                      </w:rPr>
                    </w:pPr>
                  </w:p>
                </w:tc>
                <w:tc>
                  <w:tcPr>
                    <w:tcW w:w="1134" w:type="dxa"/>
                    <w:tcBorders>
                      <w:left w:val="single" w:sz="4" w:space="0" w:color="auto"/>
                      <w:right w:val="single" w:sz="4" w:space="0" w:color="auto"/>
                    </w:tcBorders>
                    <w:vAlign w:val="center"/>
                  </w:tcPr>
                  <w:p w14:paraId="37594CDE" w14:textId="77777777" w:rsidR="007E7472" w:rsidRDefault="00C8327E">
                    <w:pPr>
                      <w:jc w:val="right"/>
                      <w:rPr>
                        <w:spacing w:val="-20"/>
                        <w:sz w:val="18"/>
                        <w:szCs w:val="18"/>
                      </w:rPr>
                    </w:pPr>
                  </w:p>
                </w:tc>
                <w:tc>
                  <w:tcPr>
                    <w:tcW w:w="1134" w:type="dxa"/>
                    <w:tcBorders>
                      <w:left w:val="single" w:sz="4" w:space="0" w:color="auto"/>
                    </w:tcBorders>
                    <w:vAlign w:val="center"/>
                  </w:tcPr>
                  <w:p w14:paraId="77E69FA9" w14:textId="77777777" w:rsidR="007E7472" w:rsidRDefault="00C8327E">
                    <w:pPr>
                      <w:jc w:val="right"/>
                      <w:rPr>
                        <w:spacing w:val="-20"/>
                        <w:sz w:val="18"/>
                        <w:szCs w:val="18"/>
                      </w:rPr>
                    </w:pPr>
                  </w:p>
                </w:tc>
                <w:tc>
                  <w:tcPr>
                    <w:tcW w:w="992" w:type="dxa"/>
                    <w:vAlign w:val="center"/>
                  </w:tcPr>
                  <w:p w14:paraId="65880D61" w14:textId="77777777" w:rsidR="007E7472" w:rsidRDefault="00C8327E">
                    <w:pPr>
                      <w:jc w:val="right"/>
                      <w:rPr>
                        <w:spacing w:val="-20"/>
                        <w:sz w:val="18"/>
                        <w:szCs w:val="18"/>
                      </w:rPr>
                    </w:pPr>
                  </w:p>
                </w:tc>
                <w:tc>
                  <w:tcPr>
                    <w:tcW w:w="1134" w:type="dxa"/>
                    <w:vAlign w:val="center"/>
                  </w:tcPr>
                  <w:p w14:paraId="2F762D2A" w14:textId="77777777" w:rsidR="007E7472" w:rsidRDefault="00C8327E">
                    <w:pPr>
                      <w:jc w:val="right"/>
                      <w:rPr>
                        <w:spacing w:val="-20"/>
                        <w:sz w:val="18"/>
                        <w:szCs w:val="18"/>
                      </w:rPr>
                    </w:pPr>
                  </w:p>
                </w:tc>
                <w:tc>
                  <w:tcPr>
                    <w:tcW w:w="992" w:type="dxa"/>
                    <w:vAlign w:val="center"/>
                  </w:tcPr>
                  <w:p w14:paraId="63AF5F73" w14:textId="77777777" w:rsidR="007E7472" w:rsidRDefault="00C8327E">
                    <w:pPr>
                      <w:jc w:val="right"/>
                      <w:rPr>
                        <w:spacing w:val="-20"/>
                        <w:sz w:val="18"/>
                        <w:szCs w:val="18"/>
                      </w:rPr>
                    </w:pPr>
                  </w:p>
                </w:tc>
                <w:tc>
                  <w:tcPr>
                    <w:tcW w:w="1181" w:type="dxa"/>
                    <w:vAlign w:val="center"/>
                  </w:tcPr>
                  <w:p w14:paraId="59EDABA6" w14:textId="77777777" w:rsidR="007E7472" w:rsidRDefault="00C8327E">
                    <w:pPr>
                      <w:jc w:val="right"/>
                      <w:rPr>
                        <w:spacing w:val="-20"/>
                        <w:sz w:val="18"/>
                        <w:szCs w:val="18"/>
                      </w:rPr>
                    </w:pPr>
                  </w:p>
                </w:tc>
                <w:tc>
                  <w:tcPr>
                    <w:tcW w:w="945" w:type="dxa"/>
                    <w:vAlign w:val="center"/>
                  </w:tcPr>
                  <w:p w14:paraId="0DDED63A" w14:textId="77777777" w:rsidR="007E7472" w:rsidRDefault="00C8327E">
                    <w:pPr>
                      <w:jc w:val="right"/>
                      <w:rPr>
                        <w:spacing w:val="-20"/>
                        <w:sz w:val="18"/>
                        <w:szCs w:val="18"/>
                      </w:rPr>
                    </w:pPr>
                  </w:p>
                </w:tc>
                <w:tc>
                  <w:tcPr>
                    <w:tcW w:w="993" w:type="dxa"/>
                    <w:vAlign w:val="center"/>
                  </w:tcPr>
                  <w:p w14:paraId="38CD1728" w14:textId="77777777" w:rsidR="007E7472" w:rsidRDefault="00C8327E">
                    <w:pPr>
                      <w:jc w:val="right"/>
                      <w:rPr>
                        <w:spacing w:val="-20"/>
                        <w:sz w:val="18"/>
                        <w:szCs w:val="18"/>
                      </w:rPr>
                    </w:pPr>
                  </w:p>
                </w:tc>
                <w:tc>
                  <w:tcPr>
                    <w:tcW w:w="1117" w:type="dxa"/>
                    <w:vAlign w:val="center"/>
                  </w:tcPr>
                  <w:p w14:paraId="2EFE3A31" w14:textId="77777777" w:rsidR="007E7472" w:rsidRDefault="00C8327E">
                    <w:pPr>
                      <w:jc w:val="right"/>
                      <w:rPr>
                        <w:spacing w:val="-20"/>
                        <w:sz w:val="18"/>
                        <w:szCs w:val="18"/>
                      </w:rPr>
                    </w:pPr>
                  </w:p>
                </w:tc>
              </w:tr>
              <w:tr w:rsidR="007E7472" w14:paraId="01944754" w14:textId="77777777">
                <w:trPr>
                  <w:trHeight w:val="20"/>
                </w:trPr>
                <w:tc>
                  <w:tcPr>
                    <w:tcW w:w="2450" w:type="dxa"/>
                  </w:tcPr>
                  <w:sdt>
                    <w:sdtPr>
                      <w:rPr>
                        <w:sz w:val="18"/>
                        <w:szCs w:val="18"/>
                      </w:rPr>
                      <w:tag w:val="_PLD_1c8ba4a0bb224c1d891e628390545199"/>
                      <w:id w:val="1617640842"/>
                      <w:lock w:val="sdtLocked"/>
                    </w:sdtPr>
                    <w:sdtEndPr/>
                    <w:sdtContent>
                      <w:p w14:paraId="4940A984" w14:textId="77777777" w:rsidR="007E7472" w:rsidRDefault="00EC1269">
                        <w:pPr>
                          <w:rPr>
                            <w:sz w:val="18"/>
                            <w:szCs w:val="18"/>
                          </w:rPr>
                        </w:pPr>
                        <w:r>
                          <w:rPr>
                            <w:sz w:val="18"/>
                            <w:szCs w:val="18"/>
                          </w:rPr>
                          <w:t>5．其他综合收益结转留存收益</w:t>
                        </w:r>
                      </w:p>
                    </w:sdtContent>
                  </w:sdt>
                </w:tc>
                <w:tc>
                  <w:tcPr>
                    <w:tcW w:w="1078" w:type="dxa"/>
                    <w:tcBorders>
                      <w:right w:val="single" w:sz="4" w:space="0" w:color="auto"/>
                    </w:tcBorders>
                    <w:vAlign w:val="center"/>
                  </w:tcPr>
                  <w:p w14:paraId="50B3F6E8" w14:textId="77777777" w:rsidR="007E7472" w:rsidRDefault="00C8327E">
                    <w:pPr>
                      <w:jc w:val="right"/>
                      <w:rPr>
                        <w:spacing w:val="-20"/>
                        <w:sz w:val="18"/>
                        <w:szCs w:val="18"/>
                      </w:rPr>
                    </w:pPr>
                  </w:p>
                </w:tc>
                <w:tc>
                  <w:tcPr>
                    <w:tcW w:w="810" w:type="dxa"/>
                    <w:tcBorders>
                      <w:left w:val="single" w:sz="4" w:space="0" w:color="auto"/>
                      <w:right w:val="single" w:sz="4" w:space="0" w:color="auto"/>
                    </w:tcBorders>
                    <w:vAlign w:val="center"/>
                  </w:tcPr>
                  <w:p w14:paraId="231406D6" w14:textId="77777777" w:rsidR="007E7472" w:rsidRDefault="00C8327E">
                    <w:pPr>
                      <w:jc w:val="right"/>
                      <w:rPr>
                        <w:spacing w:val="-20"/>
                        <w:sz w:val="18"/>
                        <w:szCs w:val="18"/>
                      </w:rPr>
                    </w:pPr>
                  </w:p>
                </w:tc>
                <w:tc>
                  <w:tcPr>
                    <w:tcW w:w="1134" w:type="dxa"/>
                    <w:tcBorders>
                      <w:left w:val="single" w:sz="4" w:space="0" w:color="auto"/>
                      <w:right w:val="single" w:sz="4" w:space="0" w:color="auto"/>
                    </w:tcBorders>
                    <w:vAlign w:val="center"/>
                  </w:tcPr>
                  <w:p w14:paraId="52571070" w14:textId="77777777" w:rsidR="007E7472" w:rsidRDefault="00C8327E">
                    <w:pPr>
                      <w:jc w:val="right"/>
                      <w:rPr>
                        <w:spacing w:val="-20"/>
                        <w:sz w:val="18"/>
                        <w:szCs w:val="18"/>
                      </w:rPr>
                    </w:pPr>
                  </w:p>
                </w:tc>
                <w:tc>
                  <w:tcPr>
                    <w:tcW w:w="1134" w:type="dxa"/>
                    <w:tcBorders>
                      <w:left w:val="single" w:sz="4" w:space="0" w:color="auto"/>
                    </w:tcBorders>
                    <w:vAlign w:val="center"/>
                  </w:tcPr>
                  <w:p w14:paraId="711E8A93" w14:textId="77777777" w:rsidR="007E7472" w:rsidRDefault="00C8327E">
                    <w:pPr>
                      <w:jc w:val="right"/>
                      <w:rPr>
                        <w:spacing w:val="-20"/>
                        <w:sz w:val="18"/>
                        <w:szCs w:val="18"/>
                      </w:rPr>
                    </w:pPr>
                  </w:p>
                </w:tc>
                <w:tc>
                  <w:tcPr>
                    <w:tcW w:w="992" w:type="dxa"/>
                    <w:vAlign w:val="center"/>
                  </w:tcPr>
                  <w:p w14:paraId="3BB72D34" w14:textId="77777777" w:rsidR="007E7472" w:rsidRDefault="00C8327E">
                    <w:pPr>
                      <w:jc w:val="right"/>
                      <w:rPr>
                        <w:spacing w:val="-20"/>
                        <w:sz w:val="18"/>
                        <w:szCs w:val="18"/>
                      </w:rPr>
                    </w:pPr>
                  </w:p>
                </w:tc>
                <w:tc>
                  <w:tcPr>
                    <w:tcW w:w="1134" w:type="dxa"/>
                    <w:vAlign w:val="center"/>
                  </w:tcPr>
                  <w:p w14:paraId="7D4DEAD8" w14:textId="77777777" w:rsidR="007E7472" w:rsidRDefault="00C8327E">
                    <w:pPr>
                      <w:jc w:val="right"/>
                      <w:rPr>
                        <w:spacing w:val="-20"/>
                        <w:sz w:val="18"/>
                        <w:szCs w:val="18"/>
                      </w:rPr>
                    </w:pPr>
                  </w:p>
                </w:tc>
                <w:tc>
                  <w:tcPr>
                    <w:tcW w:w="992" w:type="dxa"/>
                    <w:vAlign w:val="center"/>
                  </w:tcPr>
                  <w:p w14:paraId="31376132" w14:textId="77777777" w:rsidR="007E7472" w:rsidRDefault="00C8327E">
                    <w:pPr>
                      <w:jc w:val="right"/>
                      <w:rPr>
                        <w:spacing w:val="-20"/>
                        <w:sz w:val="18"/>
                        <w:szCs w:val="18"/>
                      </w:rPr>
                    </w:pPr>
                  </w:p>
                </w:tc>
                <w:tc>
                  <w:tcPr>
                    <w:tcW w:w="1181" w:type="dxa"/>
                    <w:vAlign w:val="center"/>
                  </w:tcPr>
                  <w:p w14:paraId="34989767" w14:textId="77777777" w:rsidR="007E7472" w:rsidRDefault="00C8327E">
                    <w:pPr>
                      <w:jc w:val="right"/>
                      <w:rPr>
                        <w:spacing w:val="-20"/>
                        <w:sz w:val="18"/>
                        <w:szCs w:val="18"/>
                      </w:rPr>
                    </w:pPr>
                  </w:p>
                </w:tc>
                <w:tc>
                  <w:tcPr>
                    <w:tcW w:w="945" w:type="dxa"/>
                    <w:vAlign w:val="center"/>
                  </w:tcPr>
                  <w:p w14:paraId="5CF514E5" w14:textId="77777777" w:rsidR="007E7472" w:rsidRDefault="00C8327E">
                    <w:pPr>
                      <w:jc w:val="right"/>
                      <w:rPr>
                        <w:spacing w:val="-20"/>
                        <w:sz w:val="18"/>
                        <w:szCs w:val="18"/>
                      </w:rPr>
                    </w:pPr>
                  </w:p>
                </w:tc>
                <w:tc>
                  <w:tcPr>
                    <w:tcW w:w="993" w:type="dxa"/>
                    <w:vAlign w:val="center"/>
                  </w:tcPr>
                  <w:p w14:paraId="412F8429" w14:textId="77777777" w:rsidR="007E7472" w:rsidRDefault="00C8327E">
                    <w:pPr>
                      <w:jc w:val="right"/>
                      <w:rPr>
                        <w:spacing w:val="-20"/>
                        <w:sz w:val="18"/>
                        <w:szCs w:val="18"/>
                      </w:rPr>
                    </w:pPr>
                  </w:p>
                </w:tc>
                <w:tc>
                  <w:tcPr>
                    <w:tcW w:w="1117" w:type="dxa"/>
                    <w:vAlign w:val="center"/>
                  </w:tcPr>
                  <w:p w14:paraId="56EDF31B" w14:textId="77777777" w:rsidR="007E7472" w:rsidRDefault="00C8327E">
                    <w:pPr>
                      <w:jc w:val="right"/>
                      <w:rPr>
                        <w:spacing w:val="-20"/>
                        <w:sz w:val="18"/>
                        <w:szCs w:val="18"/>
                      </w:rPr>
                    </w:pPr>
                  </w:p>
                </w:tc>
              </w:tr>
              <w:tr w:rsidR="007E7472" w14:paraId="1000DA54" w14:textId="77777777">
                <w:trPr>
                  <w:trHeight w:val="20"/>
                </w:trPr>
                <w:tc>
                  <w:tcPr>
                    <w:tcW w:w="2450" w:type="dxa"/>
                  </w:tcPr>
                  <w:sdt>
                    <w:sdtPr>
                      <w:rPr>
                        <w:sz w:val="18"/>
                        <w:szCs w:val="18"/>
                      </w:rPr>
                      <w:tag w:val="_PLD_69d4adb536bf498a8a9d97dda9d31e75"/>
                      <w:id w:val="1014654149"/>
                      <w:lock w:val="sdtLocked"/>
                    </w:sdtPr>
                    <w:sdtEndPr/>
                    <w:sdtContent>
                      <w:p w14:paraId="3080FFF0" w14:textId="77777777" w:rsidR="007E7472" w:rsidRDefault="00EC1269">
                        <w:r>
                          <w:rPr>
                            <w:sz w:val="18"/>
                            <w:szCs w:val="18"/>
                          </w:rPr>
                          <w:t>6．其他</w:t>
                        </w:r>
                      </w:p>
                    </w:sdtContent>
                  </w:sdt>
                </w:tc>
                <w:tc>
                  <w:tcPr>
                    <w:tcW w:w="1078" w:type="dxa"/>
                    <w:tcBorders>
                      <w:right w:val="single" w:sz="4" w:space="0" w:color="auto"/>
                    </w:tcBorders>
                    <w:vAlign w:val="center"/>
                  </w:tcPr>
                  <w:p w14:paraId="5FE76A49" w14:textId="77777777" w:rsidR="007E7472" w:rsidRDefault="00C8327E">
                    <w:pPr>
                      <w:jc w:val="right"/>
                      <w:rPr>
                        <w:spacing w:val="-20"/>
                        <w:sz w:val="18"/>
                        <w:szCs w:val="18"/>
                      </w:rPr>
                    </w:pPr>
                  </w:p>
                </w:tc>
                <w:tc>
                  <w:tcPr>
                    <w:tcW w:w="810" w:type="dxa"/>
                    <w:tcBorders>
                      <w:left w:val="single" w:sz="4" w:space="0" w:color="auto"/>
                      <w:right w:val="single" w:sz="4" w:space="0" w:color="auto"/>
                    </w:tcBorders>
                    <w:vAlign w:val="center"/>
                  </w:tcPr>
                  <w:p w14:paraId="4BE55E87" w14:textId="77777777" w:rsidR="007E7472" w:rsidRDefault="00C8327E">
                    <w:pPr>
                      <w:jc w:val="right"/>
                      <w:rPr>
                        <w:spacing w:val="-20"/>
                        <w:sz w:val="18"/>
                        <w:szCs w:val="18"/>
                      </w:rPr>
                    </w:pPr>
                  </w:p>
                </w:tc>
                <w:tc>
                  <w:tcPr>
                    <w:tcW w:w="1134" w:type="dxa"/>
                    <w:tcBorders>
                      <w:left w:val="single" w:sz="4" w:space="0" w:color="auto"/>
                      <w:right w:val="single" w:sz="4" w:space="0" w:color="auto"/>
                    </w:tcBorders>
                    <w:vAlign w:val="center"/>
                  </w:tcPr>
                  <w:p w14:paraId="396847B2" w14:textId="77777777" w:rsidR="007E7472" w:rsidRDefault="00C8327E">
                    <w:pPr>
                      <w:jc w:val="right"/>
                      <w:rPr>
                        <w:spacing w:val="-20"/>
                        <w:sz w:val="18"/>
                        <w:szCs w:val="18"/>
                      </w:rPr>
                    </w:pPr>
                  </w:p>
                </w:tc>
                <w:tc>
                  <w:tcPr>
                    <w:tcW w:w="1134" w:type="dxa"/>
                    <w:tcBorders>
                      <w:left w:val="single" w:sz="4" w:space="0" w:color="auto"/>
                    </w:tcBorders>
                    <w:vAlign w:val="center"/>
                  </w:tcPr>
                  <w:p w14:paraId="70934BA8" w14:textId="77777777" w:rsidR="007E7472" w:rsidRDefault="00C8327E">
                    <w:pPr>
                      <w:jc w:val="right"/>
                      <w:rPr>
                        <w:spacing w:val="-20"/>
                        <w:sz w:val="18"/>
                        <w:szCs w:val="18"/>
                      </w:rPr>
                    </w:pPr>
                  </w:p>
                </w:tc>
                <w:tc>
                  <w:tcPr>
                    <w:tcW w:w="992" w:type="dxa"/>
                    <w:vAlign w:val="center"/>
                  </w:tcPr>
                  <w:p w14:paraId="5DCA5D9F" w14:textId="77777777" w:rsidR="007E7472" w:rsidRDefault="00C8327E">
                    <w:pPr>
                      <w:jc w:val="right"/>
                      <w:rPr>
                        <w:spacing w:val="-20"/>
                        <w:sz w:val="18"/>
                        <w:szCs w:val="18"/>
                      </w:rPr>
                    </w:pPr>
                  </w:p>
                </w:tc>
                <w:tc>
                  <w:tcPr>
                    <w:tcW w:w="1134" w:type="dxa"/>
                    <w:vAlign w:val="center"/>
                  </w:tcPr>
                  <w:p w14:paraId="377684B0" w14:textId="77777777" w:rsidR="007E7472" w:rsidRDefault="00C8327E">
                    <w:pPr>
                      <w:jc w:val="right"/>
                      <w:rPr>
                        <w:spacing w:val="-20"/>
                        <w:sz w:val="18"/>
                        <w:szCs w:val="18"/>
                      </w:rPr>
                    </w:pPr>
                  </w:p>
                </w:tc>
                <w:tc>
                  <w:tcPr>
                    <w:tcW w:w="992" w:type="dxa"/>
                    <w:vAlign w:val="center"/>
                  </w:tcPr>
                  <w:p w14:paraId="58CD2B4D" w14:textId="77777777" w:rsidR="007E7472" w:rsidRDefault="00C8327E">
                    <w:pPr>
                      <w:jc w:val="right"/>
                      <w:rPr>
                        <w:spacing w:val="-20"/>
                        <w:sz w:val="18"/>
                        <w:szCs w:val="18"/>
                      </w:rPr>
                    </w:pPr>
                  </w:p>
                </w:tc>
                <w:tc>
                  <w:tcPr>
                    <w:tcW w:w="1181" w:type="dxa"/>
                    <w:vAlign w:val="center"/>
                  </w:tcPr>
                  <w:p w14:paraId="5203213B" w14:textId="77777777" w:rsidR="007E7472" w:rsidRDefault="00C8327E">
                    <w:pPr>
                      <w:jc w:val="right"/>
                      <w:rPr>
                        <w:spacing w:val="-20"/>
                        <w:sz w:val="18"/>
                        <w:szCs w:val="18"/>
                      </w:rPr>
                    </w:pPr>
                  </w:p>
                </w:tc>
                <w:tc>
                  <w:tcPr>
                    <w:tcW w:w="945" w:type="dxa"/>
                    <w:vAlign w:val="center"/>
                  </w:tcPr>
                  <w:p w14:paraId="5D1EC2BA" w14:textId="77777777" w:rsidR="007E7472" w:rsidRDefault="00C8327E">
                    <w:pPr>
                      <w:jc w:val="right"/>
                      <w:rPr>
                        <w:spacing w:val="-20"/>
                        <w:sz w:val="18"/>
                        <w:szCs w:val="18"/>
                      </w:rPr>
                    </w:pPr>
                  </w:p>
                </w:tc>
                <w:tc>
                  <w:tcPr>
                    <w:tcW w:w="993" w:type="dxa"/>
                    <w:vAlign w:val="center"/>
                  </w:tcPr>
                  <w:p w14:paraId="002141CD" w14:textId="77777777" w:rsidR="007E7472" w:rsidRDefault="00C8327E">
                    <w:pPr>
                      <w:jc w:val="right"/>
                      <w:rPr>
                        <w:spacing w:val="-20"/>
                        <w:sz w:val="18"/>
                        <w:szCs w:val="18"/>
                      </w:rPr>
                    </w:pPr>
                  </w:p>
                </w:tc>
                <w:tc>
                  <w:tcPr>
                    <w:tcW w:w="1117" w:type="dxa"/>
                    <w:vAlign w:val="center"/>
                  </w:tcPr>
                  <w:p w14:paraId="16E5FBFD" w14:textId="77777777" w:rsidR="007E7472" w:rsidRDefault="00C8327E">
                    <w:pPr>
                      <w:jc w:val="right"/>
                      <w:rPr>
                        <w:spacing w:val="-20"/>
                        <w:sz w:val="18"/>
                        <w:szCs w:val="18"/>
                      </w:rPr>
                    </w:pPr>
                  </w:p>
                </w:tc>
              </w:tr>
              <w:tr w:rsidR="007E7472" w14:paraId="4C5FCF15" w14:textId="77777777">
                <w:trPr>
                  <w:trHeight w:val="20"/>
                </w:trPr>
                <w:sdt>
                  <w:sdtPr>
                    <w:tag w:val="_PLD_2ae06251c01740e284196240776af550"/>
                    <w:id w:val="650945410"/>
                    <w:lock w:val="sdtLocked"/>
                  </w:sdtPr>
                  <w:sdtEndPr/>
                  <w:sdtContent>
                    <w:tc>
                      <w:tcPr>
                        <w:tcW w:w="2450" w:type="dxa"/>
                        <w:vAlign w:val="center"/>
                      </w:tcPr>
                      <w:p w14:paraId="0BC479F4" w14:textId="77777777" w:rsidR="007E7472" w:rsidRDefault="00EC1269">
                        <w:pPr>
                          <w:rPr>
                            <w:sz w:val="18"/>
                            <w:szCs w:val="18"/>
                          </w:rPr>
                        </w:pPr>
                        <w:r>
                          <w:rPr>
                            <w:rFonts w:hint="eastAsia"/>
                            <w:sz w:val="18"/>
                            <w:szCs w:val="18"/>
                          </w:rPr>
                          <w:t>（五）专项储备</w:t>
                        </w:r>
                      </w:p>
                    </w:tc>
                  </w:sdtContent>
                </w:sdt>
                <w:tc>
                  <w:tcPr>
                    <w:tcW w:w="1078" w:type="dxa"/>
                    <w:tcBorders>
                      <w:right w:val="single" w:sz="4" w:space="0" w:color="auto"/>
                    </w:tcBorders>
                  </w:tcPr>
                  <w:p w14:paraId="0B873C79" w14:textId="77777777" w:rsidR="007E7472" w:rsidRDefault="00C8327E">
                    <w:pPr>
                      <w:jc w:val="right"/>
                      <w:rPr>
                        <w:spacing w:val="-20"/>
                        <w:sz w:val="18"/>
                        <w:szCs w:val="18"/>
                      </w:rPr>
                    </w:pPr>
                  </w:p>
                </w:tc>
                <w:tc>
                  <w:tcPr>
                    <w:tcW w:w="810" w:type="dxa"/>
                    <w:tcBorders>
                      <w:left w:val="single" w:sz="4" w:space="0" w:color="auto"/>
                      <w:right w:val="single" w:sz="4" w:space="0" w:color="auto"/>
                    </w:tcBorders>
                  </w:tcPr>
                  <w:p w14:paraId="5E27A7C8" w14:textId="77777777" w:rsidR="007E7472" w:rsidRDefault="00C8327E">
                    <w:pPr>
                      <w:jc w:val="right"/>
                      <w:rPr>
                        <w:spacing w:val="-20"/>
                        <w:sz w:val="18"/>
                        <w:szCs w:val="18"/>
                      </w:rPr>
                    </w:pPr>
                  </w:p>
                </w:tc>
                <w:tc>
                  <w:tcPr>
                    <w:tcW w:w="1134" w:type="dxa"/>
                    <w:tcBorders>
                      <w:left w:val="single" w:sz="4" w:space="0" w:color="auto"/>
                      <w:right w:val="single" w:sz="4" w:space="0" w:color="auto"/>
                    </w:tcBorders>
                  </w:tcPr>
                  <w:p w14:paraId="325C8E09" w14:textId="77777777" w:rsidR="007E7472" w:rsidRDefault="00C8327E">
                    <w:pPr>
                      <w:jc w:val="right"/>
                      <w:rPr>
                        <w:spacing w:val="-20"/>
                        <w:sz w:val="18"/>
                        <w:szCs w:val="18"/>
                      </w:rPr>
                    </w:pPr>
                  </w:p>
                </w:tc>
                <w:tc>
                  <w:tcPr>
                    <w:tcW w:w="1134" w:type="dxa"/>
                    <w:tcBorders>
                      <w:left w:val="single" w:sz="4" w:space="0" w:color="auto"/>
                    </w:tcBorders>
                  </w:tcPr>
                  <w:p w14:paraId="23C1CE48" w14:textId="77777777" w:rsidR="007E7472" w:rsidRDefault="00C8327E">
                    <w:pPr>
                      <w:jc w:val="right"/>
                      <w:rPr>
                        <w:spacing w:val="-20"/>
                        <w:sz w:val="18"/>
                        <w:szCs w:val="18"/>
                      </w:rPr>
                    </w:pPr>
                  </w:p>
                </w:tc>
                <w:tc>
                  <w:tcPr>
                    <w:tcW w:w="992" w:type="dxa"/>
                  </w:tcPr>
                  <w:p w14:paraId="5D135FEB" w14:textId="77777777" w:rsidR="007E7472" w:rsidRDefault="00C8327E">
                    <w:pPr>
                      <w:jc w:val="right"/>
                      <w:rPr>
                        <w:spacing w:val="-20"/>
                        <w:sz w:val="18"/>
                        <w:szCs w:val="18"/>
                      </w:rPr>
                    </w:pPr>
                  </w:p>
                </w:tc>
                <w:tc>
                  <w:tcPr>
                    <w:tcW w:w="1134" w:type="dxa"/>
                  </w:tcPr>
                  <w:p w14:paraId="4B53AA50" w14:textId="77777777" w:rsidR="007E7472" w:rsidRDefault="00C8327E">
                    <w:pPr>
                      <w:jc w:val="right"/>
                      <w:rPr>
                        <w:spacing w:val="-20"/>
                        <w:sz w:val="18"/>
                        <w:szCs w:val="18"/>
                      </w:rPr>
                    </w:pPr>
                  </w:p>
                </w:tc>
                <w:tc>
                  <w:tcPr>
                    <w:tcW w:w="992" w:type="dxa"/>
                  </w:tcPr>
                  <w:p w14:paraId="63B9A723" w14:textId="77777777" w:rsidR="007E7472" w:rsidRDefault="00C8327E">
                    <w:pPr>
                      <w:jc w:val="right"/>
                      <w:rPr>
                        <w:spacing w:val="-20"/>
                        <w:sz w:val="18"/>
                        <w:szCs w:val="18"/>
                      </w:rPr>
                    </w:pPr>
                  </w:p>
                </w:tc>
                <w:tc>
                  <w:tcPr>
                    <w:tcW w:w="1181" w:type="dxa"/>
                    <w:vAlign w:val="center"/>
                  </w:tcPr>
                  <w:p w14:paraId="644DCF04" w14:textId="77777777" w:rsidR="007E7472" w:rsidRDefault="00EC1269">
                    <w:pPr>
                      <w:jc w:val="right"/>
                      <w:rPr>
                        <w:spacing w:val="-20"/>
                        <w:sz w:val="18"/>
                        <w:szCs w:val="18"/>
                      </w:rPr>
                    </w:pPr>
                    <w:r>
                      <w:rPr>
                        <w:rFonts w:hint="eastAsia"/>
                        <w:spacing w:val="-20"/>
                        <w:sz w:val="18"/>
                        <w:szCs w:val="18"/>
                      </w:rPr>
                      <w:t>69,813</w:t>
                    </w:r>
                  </w:p>
                </w:tc>
                <w:tc>
                  <w:tcPr>
                    <w:tcW w:w="945" w:type="dxa"/>
                  </w:tcPr>
                  <w:p w14:paraId="180BBC79" w14:textId="77777777" w:rsidR="007E7472" w:rsidRDefault="00C8327E">
                    <w:pPr>
                      <w:jc w:val="right"/>
                      <w:rPr>
                        <w:spacing w:val="-20"/>
                        <w:sz w:val="18"/>
                        <w:szCs w:val="18"/>
                      </w:rPr>
                    </w:pPr>
                  </w:p>
                </w:tc>
                <w:tc>
                  <w:tcPr>
                    <w:tcW w:w="993" w:type="dxa"/>
                  </w:tcPr>
                  <w:p w14:paraId="154A36A4" w14:textId="77777777" w:rsidR="007E7472" w:rsidRDefault="00C8327E">
                    <w:pPr>
                      <w:jc w:val="right"/>
                      <w:rPr>
                        <w:spacing w:val="-20"/>
                        <w:sz w:val="18"/>
                        <w:szCs w:val="18"/>
                      </w:rPr>
                    </w:pPr>
                  </w:p>
                </w:tc>
                <w:tc>
                  <w:tcPr>
                    <w:tcW w:w="1117" w:type="dxa"/>
                    <w:vAlign w:val="center"/>
                  </w:tcPr>
                  <w:p w14:paraId="5B1EEC65" w14:textId="77777777" w:rsidR="007E7472" w:rsidRDefault="00EC1269">
                    <w:pPr>
                      <w:jc w:val="right"/>
                      <w:rPr>
                        <w:spacing w:val="-20"/>
                        <w:sz w:val="18"/>
                        <w:szCs w:val="18"/>
                      </w:rPr>
                    </w:pPr>
                    <w:r>
                      <w:rPr>
                        <w:rFonts w:hint="eastAsia"/>
                        <w:spacing w:val="-20"/>
                        <w:sz w:val="18"/>
                        <w:szCs w:val="18"/>
                      </w:rPr>
                      <w:t>69,813</w:t>
                    </w:r>
                  </w:p>
                </w:tc>
              </w:tr>
              <w:tr w:rsidR="007E7472" w14:paraId="51EDD0C1" w14:textId="77777777">
                <w:trPr>
                  <w:trHeight w:val="20"/>
                </w:trPr>
                <w:sdt>
                  <w:sdtPr>
                    <w:tag w:val="_PLD_6c9c274129814a4ea45296335d45791b"/>
                    <w:id w:val="413210813"/>
                    <w:lock w:val="sdtLocked"/>
                  </w:sdtPr>
                  <w:sdtEndPr/>
                  <w:sdtContent>
                    <w:tc>
                      <w:tcPr>
                        <w:tcW w:w="2450" w:type="dxa"/>
                        <w:vAlign w:val="center"/>
                      </w:tcPr>
                      <w:p w14:paraId="12984427" w14:textId="77777777" w:rsidR="007E7472" w:rsidRDefault="00EC1269">
                        <w:pPr>
                          <w:rPr>
                            <w:sz w:val="18"/>
                            <w:szCs w:val="18"/>
                          </w:rPr>
                        </w:pPr>
                        <w:r>
                          <w:rPr>
                            <w:rFonts w:hint="eastAsia"/>
                            <w:sz w:val="18"/>
                            <w:szCs w:val="18"/>
                          </w:rPr>
                          <w:t>1．本期提取</w:t>
                        </w:r>
                      </w:p>
                    </w:tc>
                  </w:sdtContent>
                </w:sdt>
                <w:tc>
                  <w:tcPr>
                    <w:tcW w:w="1078" w:type="dxa"/>
                    <w:tcBorders>
                      <w:right w:val="single" w:sz="4" w:space="0" w:color="auto"/>
                    </w:tcBorders>
                    <w:vAlign w:val="center"/>
                  </w:tcPr>
                  <w:p w14:paraId="767B58BE" w14:textId="77777777" w:rsidR="007E7472" w:rsidRDefault="00C8327E">
                    <w:pPr>
                      <w:jc w:val="right"/>
                      <w:rPr>
                        <w:spacing w:val="-20"/>
                        <w:sz w:val="18"/>
                        <w:szCs w:val="18"/>
                      </w:rPr>
                    </w:pPr>
                  </w:p>
                </w:tc>
                <w:tc>
                  <w:tcPr>
                    <w:tcW w:w="810" w:type="dxa"/>
                    <w:tcBorders>
                      <w:left w:val="single" w:sz="4" w:space="0" w:color="auto"/>
                      <w:right w:val="single" w:sz="4" w:space="0" w:color="auto"/>
                    </w:tcBorders>
                    <w:vAlign w:val="center"/>
                  </w:tcPr>
                  <w:p w14:paraId="75086349" w14:textId="77777777" w:rsidR="007E7472" w:rsidRDefault="00C8327E">
                    <w:pPr>
                      <w:jc w:val="right"/>
                      <w:rPr>
                        <w:spacing w:val="-20"/>
                        <w:sz w:val="18"/>
                        <w:szCs w:val="18"/>
                      </w:rPr>
                    </w:pPr>
                  </w:p>
                </w:tc>
                <w:tc>
                  <w:tcPr>
                    <w:tcW w:w="1134" w:type="dxa"/>
                    <w:tcBorders>
                      <w:left w:val="single" w:sz="4" w:space="0" w:color="auto"/>
                      <w:right w:val="single" w:sz="4" w:space="0" w:color="auto"/>
                    </w:tcBorders>
                    <w:vAlign w:val="center"/>
                  </w:tcPr>
                  <w:p w14:paraId="5DD5E7DF" w14:textId="77777777" w:rsidR="007E7472" w:rsidRDefault="00C8327E">
                    <w:pPr>
                      <w:jc w:val="right"/>
                      <w:rPr>
                        <w:spacing w:val="-20"/>
                        <w:sz w:val="18"/>
                        <w:szCs w:val="18"/>
                      </w:rPr>
                    </w:pPr>
                  </w:p>
                </w:tc>
                <w:tc>
                  <w:tcPr>
                    <w:tcW w:w="1134" w:type="dxa"/>
                    <w:tcBorders>
                      <w:left w:val="single" w:sz="4" w:space="0" w:color="auto"/>
                    </w:tcBorders>
                    <w:vAlign w:val="center"/>
                  </w:tcPr>
                  <w:p w14:paraId="722D35B1" w14:textId="77777777" w:rsidR="007E7472" w:rsidRDefault="00C8327E">
                    <w:pPr>
                      <w:jc w:val="right"/>
                      <w:rPr>
                        <w:spacing w:val="-20"/>
                        <w:sz w:val="18"/>
                        <w:szCs w:val="18"/>
                      </w:rPr>
                    </w:pPr>
                  </w:p>
                </w:tc>
                <w:tc>
                  <w:tcPr>
                    <w:tcW w:w="992" w:type="dxa"/>
                    <w:vAlign w:val="center"/>
                  </w:tcPr>
                  <w:p w14:paraId="4B71C5C8" w14:textId="77777777" w:rsidR="007E7472" w:rsidRDefault="00C8327E">
                    <w:pPr>
                      <w:jc w:val="right"/>
                      <w:rPr>
                        <w:spacing w:val="-20"/>
                        <w:sz w:val="18"/>
                        <w:szCs w:val="18"/>
                      </w:rPr>
                    </w:pPr>
                  </w:p>
                </w:tc>
                <w:tc>
                  <w:tcPr>
                    <w:tcW w:w="1134" w:type="dxa"/>
                    <w:vAlign w:val="center"/>
                  </w:tcPr>
                  <w:p w14:paraId="66BD5482" w14:textId="77777777" w:rsidR="007E7472" w:rsidRDefault="00C8327E">
                    <w:pPr>
                      <w:jc w:val="right"/>
                      <w:rPr>
                        <w:spacing w:val="-20"/>
                        <w:sz w:val="18"/>
                        <w:szCs w:val="18"/>
                      </w:rPr>
                    </w:pPr>
                  </w:p>
                </w:tc>
                <w:tc>
                  <w:tcPr>
                    <w:tcW w:w="992" w:type="dxa"/>
                    <w:vAlign w:val="center"/>
                  </w:tcPr>
                  <w:p w14:paraId="085FEAAD" w14:textId="77777777" w:rsidR="007E7472" w:rsidRDefault="00C8327E">
                    <w:pPr>
                      <w:jc w:val="right"/>
                      <w:rPr>
                        <w:spacing w:val="-20"/>
                        <w:sz w:val="18"/>
                        <w:szCs w:val="18"/>
                      </w:rPr>
                    </w:pPr>
                  </w:p>
                </w:tc>
                <w:tc>
                  <w:tcPr>
                    <w:tcW w:w="1181" w:type="dxa"/>
                    <w:vAlign w:val="center"/>
                  </w:tcPr>
                  <w:p w14:paraId="62BAB474" w14:textId="77777777" w:rsidR="007E7472" w:rsidRDefault="00EC1269">
                    <w:pPr>
                      <w:jc w:val="right"/>
                      <w:rPr>
                        <w:spacing w:val="-20"/>
                        <w:sz w:val="18"/>
                        <w:szCs w:val="18"/>
                      </w:rPr>
                    </w:pPr>
                    <w:r>
                      <w:rPr>
                        <w:rFonts w:hint="eastAsia"/>
                        <w:spacing w:val="-20"/>
                        <w:sz w:val="18"/>
                        <w:szCs w:val="18"/>
                      </w:rPr>
                      <w:t>706,248</w:t>
                    </w:r>
                  </w:p>
                </w:tc>
                <w:tc>
                  <w:tcPr>
                    <w:tcW w:w="945" w:type="dxa"/>
                    <w:vAlign w:val="center"/>
                  </w:tcPr>
                  <w:p w14:paraId="2FA9BC87" w14:textId="77777777" w:rsidR="007E7472" w:rsidRDefault="00C8327E">
                    <w:pPr>
                      <w:jc w:val="right"/>
                      <w:rPr>
                        <w:spacing w:val="-20"/>
                        <w:sz w:val="18"/>
                        <w:szCs w:val="18"/>
                      </w:rPr>
                    </w:pPr>
                  </w:p>
                </w:tc>
                <w:tc>
                  <w:tcPr>
                    <w:tcW w:w="993" w:type="dxa"/>
                    <w:vAlign w:val="center"/>
                  </w:tcPr>
                  <w:p w14:paraId="1DB26096" w14:textId="77777777" w:rsidR="007E7472" w:rsidRDefault="00C8327E">
                    <w:pPr>
                      <w:jc w:val="right"/>
                      <w:rPr>
                        <w:spacing w:val="-20"/>
                        <w:sz w:val="18"/>
                        <w:szCs w:val="18"/>
                      </w:rPr>
                    </w:pPr>
                  </w:p>
                </w:tc>
                <w:tc>
                  <w:tcPr>
                    <w:tcW w:w="1117" w:type="dxa"/>
                    <w:vAlign w:val="center"/>
                  </w:tcPr>
                  <w:p w14:paraId="5F30104A" w14:textId="77777777" w:rsidR="007E7472" w:rsidRDefault="00EC1269">
                    <w:pPr>
                      <w:jc w:val="right"/>
                      <w:rPr>
                        <w:spacing w:val="-20"/>
                        <w:sz w:val="18"/>
                        <w:szCs w:val="18"/>
                      </w:rPr>
                    </w:pPr>
                    <w:r>
                      <w:rPr>
                        <w:rFonts w:hint="eastAsia"/>
                        <w:spacing w:val="-20"/>
                        <w:sz w:val="18"/>
                        <w:szCs w:val="18"/>
                      </w:rPr>
                      <w:t>706,248</w:t>
                    </w:r>
                  </w:p>
                </w:tc>
              </w:tr>
              <w:tr w:rsidR="007E7472" w14:paraId="31A72798" w14:textId="77777777">
                <w:trPr>
                  <w:trHeight w:val="20"/>
                </w:trPr>
                <w:sdt>
                  <w:sdtPr>
                    <w:tag w:val="_PLD_14398e4dd6ed4c74869a974323e2137e"/>
                    <w:id w:val="1464311347"/>
                    <w:lock w:val="sdtLocked"/>
                  </w:sdtPr>
                  <w:sdtEndPr/>
                  <w:sdtContent>
                    <w:tc>
                      <w:tcPr>
                        <w:tcW w:w="2450" w:type="dxa"/>
                        <w:vAlign w:val="center"/>
                      </w:tcPr>
                      <w:p w14:paraId="2B6E6F34" w14:textId="77777777" w:rsidR="007E7472" w:rsidRDefault="00EC1269">
                        <w:pPr>
                          <w:rPr>
                            <w:sz w:val="18"/>
                            <w:szCs w:val="18"/>
                          </w:rPr>
                        </w:pPr>
                        <w:r>
                          <w:rPr>
                            <w:rFonts w:hint="eastAsia"/>
                            <w:sz w:val="18"/>
                            <w:szCs w:val="18"/>
                          </w:rPr>
                          <w:t>2．本期使用</w:t>
                        </w:r>
                      </w:p>
                    </w:tc>
                  </w:sdtContent>
                </w:sdt>
                <w:tc>
                  <w:tcPr>
                    <w:tcW w:w="1078" w:type="dxa"/>
                    <w:tcBorders>
                      <w:right w:val="single" w:sz="4" w:space="0" w:color="auto"/>
                    </w:tcBorders>
                    <w:vAlign w:val="center"/>
                  </w:tcPr>
                  <w:p w14:paraId="46ACF7BB" w14:textId="77777777" w:rsidR="007E7472" w:rsidRDefault="00C8327E">
                    <w:pPr>
                      <w:jc w:val="right"/>
                      <w:rPr>
                        <w:spacing w:val="-20"/>
                        <w:sz w:val="18"/>
                        <w:szCs w:val="18"/>
                      </w:rPr>
                    </w:pPr>
                  </w:p>
                </w:tc>
                <w:tc>
                  <w:tcPr>
                    <w:tcW w:w="810" w:type="dxa"/>
                    <w:tcBorders>
                      <w:left w:val="single" w:sz="4" w:space="0" w:color="auto"/>
                      <w:right w:val="single" w:sz="4" w:space="0" w:color="auto"/>
                    </w:tcBorders>
                    <w:vAlign w:val="center"/>
                  </w:tcPr>
                  <w:p w14:paraId="74A8929A" w14:textId="77777777" w:rsidR="007E7472" w:rsidRDefault="00C8327E">
                    <w:pPr>
                      <w:jc w:val="right"/>
                      <w:rPr>
                        <w:spacing w:val="-20"/>
                        <w:sz w:val="18"/>
                        <w:szCs w:val="18"/>
                      </w:rPr>
                    </w:pPr>
                  </w:p>
                </w:tc>
                <w:tc>
                  <w:tcPr>
                    <w:tcW w:w="1134" w:type="dxa"/>
                    <w:tcBorders>
                      <w:left w:val="single" w:sz="4" w:space="0" w:color="auto"/>
                      <w:right w:val="single" w:sz="4" w:space="0" w:color="auto"/>
                    </w:tcBorders>
                    <w:vAlign w:val="center"/>
                  </w:tcPr>
                  <w:p w14:paraId="020D1DB4" w14:textId="77777777" w:rsidR="007E7472" w:rsidRDefault="00C8327E">
                    <w:pPr>
                      <w:jc w:val="right"/>
                      <w:rPr>
                        <w:spacing w:val="-20"/>
                        <w:sz w:val="18"/>
                        <w:szCs w:val="18"/>
                      </w:rPr>
                    </w:pPr>
                  </w:p>
                </w:tc>
                <w:tc>
                  <w:tcPr>
                    <w:tcW w:w="1134" w:type="dxa"/>
                    <w:tcBorders>
                      <w:left w:val="single" w:sz="4" w:space="0" w:color="auto"/>
                    </w:tcBorders>
                    <w:vAlign w:val="center"/>
                  </w:tcPr>
                  <w:p w14:paraId="4C392A54" w14:textId="77777777" w:rsidR="007E7472" w:rsidRDefault="00C8327E">
                    <w:pPr>
                      <w:jc w:val="right"/>
                      <w:rPr>
                        <w:spacing w:val="-20"/>
                        <w:sz w:val="18"/>
                        <w:szCs w:val="18"/>
                      </w:rPr>
                    </w:pPr>
                  </w:p>
                </w:tc>
                <w:tc>
                  <w:tcPr>
                    <w:tcW w:w="992" w:type="dxa"/>
                    <w:vAlign w:val="center"/>
                  </w:tcPr>
                  <w:p w14:paraId="4819AB3D" w14:textId="77777777" w:rsidR="007E7472" w:rsidRDefault="00C8327E">
                    <w:pPr>
                      <w:jc w:val="right"/>
                      <w:rPr>
                        <w:spacing w:val="-20"/>
                        <w:sz w:val="18"/>
                        <w:szCs w:val="18"/>
                      </w:rPr>
                    </w:pPr>
                  </w:p>
                </w:tc>
                <w:tc>
                  <w:tcPr>
                    <w:tcW w:w="1134" w:type="dxa"/>
                    <w:vAlign w:val="center"/>
                  </w:tcPr>
                  <w:p w14:paraId="1BCB2206" w14:textId="77777777" w:rsidR="007E7472" w:rsidRDefault="00C8327E">
                    <w:pPr>
                      <w:jc w:val="right"/>
                      <w:rPr>
                        <w:spacing w:val="-20"/>
                        <w:sz w:val="18"/>
                        <w:szCs w:val="18"/>
                      </w:rPr>
                    </w:pPr>
                  </w:p>
                </w:tc>
                <w:tc>
                  <w:tcPr>
                    <w:tcW w:w="992" w:type="dxa"/>
                    <w:vAlign w:val="center"/>
                  </w:tcPr>
                  <w:p w14:paraId="5AE4F201" w14:textId="77777777" w:rsidR="007E7472" w:rsidRDefault="00C8327E">
                    <w:pPr>
                      <w:jc w:val="right"/>
                      <w:rPr>
                        <w:spacing w:val="-20"/>
                        <w:sz w:val="18"/>
                        <w:szCs w:val="18"/>
                      </w:rPr>
                    </w:pPr>
                  </w:p>
                </w:tc>
                <w:tc>
                  <w:tcPr>
                    <w:tcW w:w="1181" w:type="dxa"/>
                    <w:vAlign w:val="center"/>
                  </w:tcPr>
                  <w:p w14:paraId="1C25088D" w14:textId="77777777" w:rsidR="007E7472" w:rsidRDefault="00EC1269">
                    <w:pPr>
                      <w:jc w:val="right"/>
                      <w:rPr>
                        <w:spacing w:val="-20"/>
                        <w:sz w:val="18"/>
                        <w:szCs w:val="18"/>
                      </w:rPr>
                    </w:pPr>
                    <w:r>
                      <w:rPr>
                        <w:rFonts w:hint="eastAsia"/>
                        <w:spacing w:val="-20"/>
                        <w:sz w:val="18"/>
                        <w:szCs w:val="18"/>
                      </w:rPr>
                      <w:t>636,435</w:t>
                    </w:r>
                  </w:p>
                </w:tc>
                <w:tc>
                  <w:tcPr>
                    <w:tcW w:w="945" w:type="dxa"/>
                    <w:vAlign w:val="center"/>
                  </w:tcPr>
                  <w:p w14:paraId="53C5CA2F" w14:textId="77777777" w:rsidR="007E7472" w:rsidRDefault="00C8327E">
                    <w:pPr>
                      <w:jc w:val="right"/>
                      <w:rPr>
                        <w:spacing w:val="-20"/>
                        <w:sz w:val="18"/>
                        <w:szCs w:val="18"/>
                      </w:rPr>
                    </w:pPr>
                  </w:p>
                </w:tc>
                <w:tc>
                  <w:tcPr>
                    <w:tcW w:w="993" w:type="dxa"/>
                    <w:vAlign w:val="center"/>
                  </w:tcPr>
                  <w:p w14:paraId="65EA596B" w14:textId="77777777" w:rsidR="007E7472" w:rsidRDefault="00C8327E">
                    <w:pPr>
                      <w:jc w:val="right"/>
                      <w:rPr>
                        <w:spacing w:val="-20"/>
                        <w:sz w:val="18"/>
                        <w:szCs w:val="18"/>
                      </w:rPr>
                    </w:pPr>
                  </w:p>
                </w:tc>
                <w:tc>
                  <w:tcPr>
                    <w:tcW w:w="1117" w:type="dxa"/>
                    <w:vAlign w:val="center"/>
                  </w:tcPr>
                  <w:p w14:paraId="6A7550BC" w14:textId="77777777" w:rsidR="007E7472" w:rsidRDefault="00EC1269">
                    <w:pPr>
                      <w:jc w:val="right"/>
                      <w:rPr>
                        <w:spacing w:val="-20"/>
                        <w:sz w:val="18"/>
                        <w:szCs w:val="18"/>
                      </w:rPr>
                    </w:pPr>
                    <w:r>
                      <w:rPr>
                        <w:rFonts w:hint="eastAsia"/>
                        <w:spacing w:val="-20"/>
                        <w:sz w:val="18"/>
                        <w:szCs w:val="18"/>
                      </w:rPr>
                      <w:t>636,435</w:t>
                    </w:r>
                  </w:p>
                </w:tc>
              </w:tr>
              <w:tr w:rsidR="007E7472" w14:paraId="11A8A978" w14:textId="77777777">
                <w:trPr>
                  <w:trHeight w:val="20"/>
                </w:trPr>
                <w:sdt>
                  <w:sdtPr>
                    <w:tag w:val="_PLD_224fa1ebe84a4d40b88b89a97997e311"/>
                    <w:id w:val="1715163054"/>
                    <w:lock w:val="sdtLocked"/>
                  </w:sdtPr>
                  <w:sdtEndPr/>
                  <w:sdtContent>
                    <w:tc>
                      <w:tcPr>
                        <w:tcW w:w="2450" w:type="dxa"/>
                      </w:tcPr>
                      <w:p w14:paraId="74A6D040" w14:textId="77777777" w:rsidR="007E7472" w:rsidRDefault="00EC1269">
                        <w:pPr>
                          <w:rPr>
                            <w:sz w:val="18"/>
                            <w:szCs w:val="18"/>
                          </w:rPr>
                        </w:pPr>
                        <w:r>
                          <w:rPr>
                            <w:rFonts w:hint="eastAsia"/>
                            <w:sz w:val="18"/>
                            <w:szCs w:val="18"/>
                          </w:rPr>
                          <w:t>（六）其他</w:t>
                        </w:r>
                      </w:p>
                    </w:tc>
                  </w:sdtContent>
                </w:sdt>
                <w:tc>
                  <w:tcPr>
                    <w:tcW w:w="1078" w:type="dxa"/>
                    <w:tcBorders>
                      <w:right w:val="single" w:sz="4" w:space="0" w:color="auto"/>
                    </w:tcBorders>
                    <w:vAlign w:val="center"/>
                  </w:tcPr>
                  <w:p w14:paraId="3E9025E1" w14:textId="77777777" w:rsidR="007E7472" w:rsidRDefault="00C8327E">
                    <w:pPr>
                      <w:jc w:val="right"/>
                      <w:rPr>
                        <w:spacing w:val="-20"/>
                        <w:sz w:val="18"/>
                        <w:szCs w:val="18"/>
                      </w:rPr>
                    </w:pPr>
                  </w:p>
                </w:tc>
                <w:tc>
                  <w:tcPr>
                    <w:tcW w:w="810" w:type="dxa"/>
                    <w:tcBorders>
                      <w:left w:val="single" w:sz="4" w:space="0" w:color="auto"/>
                      <w:right w:val="single" w:sz="4" w:space="0" w:color="auto"/>
                    </w:tcBorders>
                    <w:vAlign w:val="center"/>
                  </w:tcPr>
                  <w:p w14:paraId="3B0A01AE" w14:textId="77777777" w:rsidR="007E7472" w:rsidRDefault="00C8327E">
                    <w:pPr>
                      <w:jc w:val="right"/>
                      <w:rPr>
                        <w:spacing w:val="-20"/>
                        <w:sz w:val="18"/>
                        <w:szCs w:val="18"/>
                      </w:rPr>
                    </w:pPr>
                  </w:p>
                </w:tc>
                <w:tc>
                  <w:tcPr>
                    <w:tcW w:w="1134" w:type="dxa"/>
                    <w:tcBorders>
                      <w:left w:val="single" w:sz="4" w:space="0" w:color="auto"/>
                      <w:right w:val="single" w:sz="4" w:space="0" w:color="auto"/>
                    </w:tcBorders>
                    <w:vAlign w:val="center"/>
                  </w:tcPr>
                  <w:p w14:paraId="09EF3AFE" w14:textId="77777777" w:rsidR="007E7472" w:rsidRDefault="00C8327E">
                    <w:pPr>
                      <w:jc w:val="right"/>
                      <w:rPr>
                        <w:spacing w:val="-20"/>
                        <w:sz w:val="18"/>
                        <w:szCs w:val="18"/>
                      </w:rPr>
                    </w:pPr>
                  </w:p>
                </w:tc>
                <w:tc>
                  <w:tcPr>
                    <w:tcW w:w="1134" w:type="dxa"/>
                    <w:tcBorders>
                      <w:left w:val="single" w:sz="4" w:space="0" w:color="auto"/>
                    </w:tcBorders>
                    <w:vAlign w:val="center"/>
                  </w:tcPr>
                  <w:p w14:paraId="39B6E064" w14:textId="77777777" w:rsidR="007E7472" w:rsidRDefault="00C8327E">
                    <w:pPr>
                      <w:jc w:val="right"/>
                      <w:rPr>
                        <w:spacing w:val="-20"/>
                        <w:sz w:val="18"/>
                        <w:szCs w:val="18"/>
                      </w:rPr>
                    </w:pPr>
                  </w:p>
                </w:tc>
                <w:tc>
                  <w:tcPr>
                    <w:tcW w:w="992" w:type="dxa"/>
                    <w:vAlign w:val="center"/>
                  </w:tcPr>
                  <w:p w14:paraId="37CB260F" w14:textId="77777777" w:rsidR="007E7472" w:rsidRDefault="00EC1269">
                    <w:pPr>
                      <w:jc w:val="right"/>
                      <w:rPr>
                        <w:spacing w:val="-20"/>
                        <w:sz w:val="18"/>
                        <w:szCs w:val="18"/>
                      </w:rPr>
                    </w:pPr>
                    <w:r>
                      <w:rPr>
                        <w:rFonts w:hint="eastAsia"/>
                        <w:spacing w:val="-20"/>
                        <w:sz w:val="18"/>
                        <w:szCs w:val="18"/>
                      </w:rPr>
                      <w:t>17,290</w:t>
                    </w:r>
                  </w:p>
                </w:tc>
                <w:tc>
                  <w:tcPr>
                    <w:tcW w:w="1134" w:type="dxa"/>
                    <w:vAlign w:val="center"/>
                  </w:tcPr>
                  <w:p w14:paraId="077FDD1A" w14:textId="77777777" w:rsidR="007E7472" w:rsidRDefault="00C8327E">
                    <w:pPr>
                      <w:jc w:val="right"/>
                      <w:rPr>
                        <w:spacing w:val="-20"/>
                        <w:sz w:val="18"/>
                        <w:szCs w:val="18"/>
                      </w:rPr>
                    </w:pPr>
                  </w:p>
                </w:tc>
                <w:tc>
                  <w:tcPr>
                    <w:tcW w:w="992" w:type="dxa"/>
                    <w:vAlign w:val="center"/>
                  </w:tcPr>
                  <w:p w14:paraId="4F51E524" w14:textId="77777777" w:rsidR="007E7472" w:rsidRDefault="00C8327E">
                    <w:pPr>
                      <w:jc w:val="right"/>
                      <w:rPr>
                        <w:spacing w:val="-20"/>
                        <w:sz w:val="18"/>
                        <w:szCs w:val="18"/>
                      </w:rPr>
                    </w:pPr>
                  </w:p>
                </w:tc>
                <w:tc>
                  <w:tcPr>
                    <w:tcW w:w="1181" w:type="dxa"/>
                    <w:vAlign w:val="center"/>
                  </w:tcPr>
                  <w:p w14:paraId="13D086D9" w14:textId="77777777" w:rsidR="007E7472" w:rsidRDefault="00C8327E">
                    <w:pPr>
                      <w:jc w:val="right"/>
                      <w:rPr>
                        <w:spacing w:val="-20"/>
                        <w:sz w:val="18"/>
                        <w:szCs w:val="18"/>
                      </w:rPr>
                    </w:pPr>
                  </w:p>
                </w:tc>
                <w:tc>
                  <w:tcPr>
                    <w:tcW w:w="945" w:type="dxa"/>
                    <w:vAlign w:val="center"/>
                  </w:tcPr>
                  <w:p w14:paraId="41D1F478" w14:textId="77777777" w:rsidR="007E7472" w:rsidRDefault="00C8327E">
                    <w:pPr>
                      <w:jc w:val="right"/>
                      <w:rPr>
                        <w:spacing w:val="-20"/>
                        <w:sz w:val="18"/>
                        <w:szCs w:val="18"/>
                      </w:rPr>
                    </w:pPr>
                  </w:p>
                </w:tc>
                <w:tc>
                  <w:tcPr>
                    <w:tcW w:w="993" w:type="dxa"/>
                    <w:vAlign w:val="center"/>
                  </w:tcPr>
                  <w:p w14:paraId="2E9C7DEE" w14:textId="77777777" w:rsidR="007E7472" w:rsidRDefault="00C8327E">
                    <w:pPr>
                      <w:jc w:val="right"/>
                      <w:rPr>
                        <w:spacing w:val="-20"/>
                        <w:sz w:val="18"/>
                        <w:szCs w:val="18"/>
                      </w:rPr>
                    </w:pPr>
                  </w:p>
                </w:tc>
                <w:tc>
                  <w:tcPr>
                    <w:tcW w:w="1117" w:type="dxa"/>
                    <w:vAlign w:val="center"/>
                  </w:tcPr>
                  <w:p w14:paraId="4497E13D" w14:textId="77777777" w:rsidR="007E7472" w:rsidRDefault="00EC1269">
                    <w:pPr>
                      <w:jc w:val="right"/>
                      <w:rPr>
                        <w:spacing w:val="-20"/>
                        <w:sz w:val="18"/>
                        <w:szCs w:val="18"/>
                      </w:rPr>
                    </w:pPr>
                    <w:r>
                      <w:rPr>
                        <w:rFonts w:hint="eastAsia"/>
                        <w:spacing w:val="-20"/>
                        <w:sz w:val="18"/>
                        <w:szCs w:val="18"/>
                      </w:rPr>
                      <w:t>17,290</w:t>
                    </w:r>
                  </w:p>
                </w:tc>
              </w:tr>
              <w:tr w:rsidR="007E7472" w14:paraId="0BB6A72E" w14:textId="77777777">
                <w:trPr>
                  <w:trHeight w:val="20"/>
                </w:trPr>
                <w:sdt>
                  <w:sdtPr>
                    <w:tag w:val="_PLD_fe962ef732004aec94edafee7e0bef94"/>
                    <w:id w:val="709612999"/>
                    <w:lock w:val="sdtLocked"/>
                  </w:sdtPr>
                  <w:sdtEndPr/>
                  <w:sdtContent>
                    <w:tc>
                      <w:tcPr>
                        <w:tcW w:w="2450" w:type="dxa"/>
                      </w:tcPr>
                      <w:p w14:paraId="0E7A1EF0" w14:textId="77777777" w:rsidR="007E7472" w:rsidRDefault="00EC1269">
                        <w:pPr>
                          <w:rPr>
                            <w:sz w:val="18"/>
                            <w:szCs w:val="18"/>
                          </w:rPr>
                        </w:pPr>
                        <w:r>
                          <w:rPr>
                            <w:sz w:val="18"/>
                            <w:szCs w:val="18"/>
                          </w:rPr>
                          <w:t>四、本期期末余额</w:t>
                        </w:r>
                      </w:p>
                    </w:tc>
                  </w:sdtContent>
                </w:sdt>
                <w:tc>
                  <w:tcPr>
                    <w:tcW w:w="1078" w:type="dxa"/>
                    <w:tcBorders>
                      <w:right w:val="single" w:sz="4" w:space="0" w:color="auto"/>
                    </w:tcBorders>
                    <w:vAlign w:val="center"/>
                  </w:tcPr>
                  <w:p w14:paraId="7E019575" w14:textId="77777777" w:rsidR="007E7472" w:rsidRDefault="00EC1269">
                    <w:pPr>
                      <w:jc w:val="right"/>
                      <w:rPr>
                        <w:spacing w:val="-20"/>
                        <w:sz w:val="18"/>
                        <w:szCs w:val="18"/>
                      </w:rPr>
                    </w:pPr>
                    <w:r>
                      <w:rPr>
                        <w:rFonts w:hint="eastAsia"/>
                        <w:spacing w:val="-20"/>
                        <w:sz w:val="18"/>
                        <w:szCs w:val="18"/>
                      </w:rPr>
                      <w:t>4,961,361</w:t>
                    </w:r>
                  </w:p>
                </w:tc>
                <w:tc>
                  <w:tcPr>
                    <w:tcW w:w="810" w:type="dxa"/>
                    <w:tcBorders>
                      <w:left w:val="single" w:sz="4" w:space="0" w:color="auto"/>
                      <w:right w:val="single" w:sz="4" w:space="0" w:color="auto"/>
                    </w:tcBorders>
                  </w:tcPr>
                  <w:p w14:paraId="1DCF9328" w14:textId="77777777" w:rsidR="007E7472" w:rsidRDefault="00C8327E">
                    <w:pPr>
                      <w:jc w:val="right"/>
                      <w:rPr>
                        <w:spacing w:val="-20"/>
                        <w:sz w:val="18"/>
                        <w:szCs w:val="18"/>
                      </w:rPr>
                    </w:pPr>
                  </w:p>
                </w:tc>
                <w:tc>
                  <w:tcPr>
                    <w:tcW w:w="1134" w:type="dxa"/>
                    <w:tcBorders>
                      <w:left w:val="single" w:sz="4" w:space="0" w:color="auto"/>
                      <w:right w:val="single" w:sz="4" w:space="0" w:color="auto"/>
                    </w:tcBorders>
                    <w:vAlign w:val="center"/>
                  </w:tcPr>
                  <w:p w14:paraId="3F4D1D81" w14:textId="77777777" w:rsidR="007E7472" w:rsidRDefault="00EC1269">
                    <w:pPr>
                      <w:jc w:val="right"/>
                      <w:rPr>
                        <w:spacing w:val="-20"/>
                        <w:sz w:val="18"/>
                        <w:szCs w:val="18"/>
                      </w:rPr>
                    </w:pPr>
                    <w:r>
                      <w:rPr>
                        <w:rFonts w:hint="eastAsia"/>
                        <w:spacing w:val="-20"/>
                        <w:sz w:val="18"/>
                        <w:szCs w:val="18"/>
                      </w:rPr>
                      <w:t>11,379,189</w:t>
                    </w:r>
                  </w:p>
                </w:tc>
                <w:tc>
                  <w:tcPr>
                    <w:tcW w:w="1134" w:type="dxa"/>
                    <w:tcBorders>
                      <w:left w:val="single" w:sz="4" w:space="0" w:color="auto"/>
                    </w:tcBorders>
                  </w:tcPr>
                  <w:p w14:paraId="0C71ABA4" w14:textId="77777777" w:rsidR="007E7472" w:rsidRDefault="00C8327E">
                    <w:pPr>
                      <w:jc w:val="right"/>
                      <w:rPr>
                        <w:spacing w:val="-20"/>
                        <w:sz w:val="18"/>
                        <w:szCs w:val="18"/>
                      </w:rPr>
                    </w:pPr>
                  </w:p>
                </w:tc>
                <w:tc>
                  <w:tcPr>
                    <w:tcW w:w="992" w:type="dxa"/>
                    <w:vAlign w:val="center"/>
                  </w:tcPr>
                  <w:p w14:paraId="7FD27AE1" w14:textId="77777777" w:rsidR="007E7472" w:rsidRDefault="00EC1269">
                    <w:pPr>
                      <w:jc w:val="right"/>
                      <w:rPr>
                        <w:spacing w:val="-20"/>
                        <w:sz w:val="18"/>
                        <w:szCs w:val="18"/>
                      </w:rPr>
                    </w:pPr>
                    <w:r>
                      <w:rPr>
                        <w:rFonts w:hint="eastAsia"/>
                        <w:spacing w:val="-20"/>
                        <w:sz w:val="18"/>
                        <w:szCs w:val="18"/>
                      </w:rPr>
                      <w:t>767,884</w:t>
                    </w:r>
                  </w:p>
                </w:tc>
                <w:tc>
                  <w:tcPr>
                    <w:tcW w:w="1134" w:type="dxa"/>
                    <w:vAlign w:val="center"/>
                  </w:tcPr>
                  <w:p w14:paraId="48C114CE" w14:textId="77777777" w:rsidR="007E7472" w:rsidRDefault="00EC1269">
                    <w:pPr>
                      <w:jc w:val="right"/>
                      <w:rPr>
                        <w:spacing w:val="-20"/>
                        <w:sz w:val="18"/>
                        <w:szCs w:val="18"/>
                      </w:rPr>
                    </w:pPr>
                    <w:r>
                      <w:rPr>
                        <w:rFonts w:hint="eastAsia"/>
                        <w:spacing w:val="-20"/>
                        <w:sz w:val="18"/>
                        <w:szCs w:val="18"/>
                      </w:rPr>
                      <w:t>723,593</w:t>
                    </w:r>
                  </w:p>
                </w:tc>
                <w:tc>
                  <w:tcPr>
                    <w:tcW w:w="992" w:type="dxa"/>
                    <w:vAlign w:val="center"/>
                  </w:tcPr>
                  <w:p w14:paraId="32480179" w14:textId="77777777" w:rsidR="007E7472" w:rsidRDefault="00EC1269">
                    <w:pPr>
                      <w:jc w:val="right"/>
                      <w:rPr>
                        <w:spacing w:val="-20"/>
                        <w:sz w:val="18"/>
                        <w:szCs w:val="18"/>
                      </w:rPr>
                    </w:pPr>
                    <w:r>
                      <w:rPr>
                        <w:rFonts w:hint="eastAsia"/>
                        <w:spacing w:val="-20"/>
                        <w:sz w:val="18"/>
                        <w:szCs w:val="18"/>
                      </w:rPr>
                      <w:t>244,466</w:t>
                    </w:r>
                  </w:p>
                </w:tc>
                <w:tc>
                  <w:tcPr>
                    <w:tcW w:w="1181" w:type="dxa"/>
                    <w:vAlign w:val="center"/>
                  </w:tcPr>
                  <w:p w14:paraId="0F6D423F" w14:textId="77777777" w:rsidR="007E7472" w:rsidRDefault="00EC1269">
                    <w:pPr>
                      <w:jc w:val="right"/>
                      <w:rPr>
                        <w:spacing w:val="-20"/>
                        <w:sz w:val="18"/>
                        <w:szCs w:val="18"/>
                      </w:rPr>
                    </w:pPr>
                    <w:r>
                      <w:rPr>
                        <w:rFonts w:hint="eastAsia"/>
                        <w:spacing w:val="-20"/>
                        <w:sz w:val="18"/>
                        <w:szCs w:val="18"/>
                      </w:rPr>
                      <w:t>2,299,162</w:t>
                    </w:r>
                  </w:p>
                </w:tc>
                <w:tc>
                  <w:tcPr>
                    <w:tcW w:w="945" w:type="dxa"/>
                    <w:vAlign w:val="center"/>
                  </w:tcPr>
                  <w:p w14:paraId="6D9322B5" w14:textId="77777777" w:rsidR="007E7472" w:rsidRDefault="00EC1269">
                    <w:pPr>
                      <w:jc w:val="right"/>
                      <w:rPr>
                        <w:spacing w:val="-20"/>
                        <w:sz w:val="18"/>
                        <w:szCs w:val="18"/>
                      </w:rPr>
                    </w:pPr>
                    <w:r>
                      <w:rPr>
                        <w:rFonts w:hint="eastAsia"/>
                        <w:spacing w:val="-20"/>
                        <w:sz w:val="18"/>
                        <w:szCs w:val="18"/>
                      </w:rPr>
                      <w:t>2,703,146</w:t>
                    </w:r>
                  </w:p>
                </w:tc>
                <w:tc>
                  <w:tcPr>
                    <w:tcW w:w="993" w:type="dxa"/>
                    <w:vAlign w:val="center"/>
                  </w:tcPr>
                  <w:p w14:paraId="40A75FF5" w14:textId="77777777" w:rsidR="007E7472" w:rsidRDefault="00EC1269">
                    <w:pPr>
                      <w:jc w:val="right"/>
                      <w:rPr>
                        <w:spacing w:val="-20"/>
                        <w:sz w:val="18"/>
                        <w:szCs w:val="18"/>
                      </w:rPr>
                    </w:pPr>
                    <w:r>
                      <w:rPr>
                        <w:rFonts w:hint="eastAsia"/>
                        <w:spacing w:val="-20"/>
                        <w:sz w:val="18"/>
                        <w:szCs w:val="18"/>
                      </w:rPr>
                      <w:t>28,362,64</w:t>
                    </w:r>
                    <w:r>
                      <w:rPr>
                        <w:spacing w:val="-20"/>
                        <w:sz w:val="18"/>
                        <w:szCs w:val="18"/>
                      </w:rPr>
                      <w:t>6</w:t>
                    </w:r>
                  </w:p>
                </w:tc>
                <w:tc>
                  <w:tcPr>
                    <w:tcW w:w="1117" w:type="dxa"/>
                    <w:vAlign w:val="center"/>
                  </w:tcPr>
                  <w:p w14:paraId="70190A8D" w14:textId="77777777" w:rsidR="007E7472" w:rsidRDefault="00EC1269">
                    <w:pPr>
                      <w:jc w:val="right"/>
                      <w:rPr>
                        <w:spacing w:val="-20"/>
                        <w:sz w:val="18"/>
                        <w:szCs w:val="18"/>
                      </w:rPr>
                    </w:pPr>
                    <w:r>
                      <w:rPr>
                        <w:rFonts w:hint="eastAsia"/>
                        <w:spacing w:val="-20"/>
                        <w:sz w:val="18"/>
                        <w:szCs w:val="18"/>
                      </w:rPr>
                      <w:t>49,994,26</w:t>
                    </w:r>
                    <w:r>
                      <w:rPr>
                        <w:spacing w:val="-20"/>
                        <w:sz w:val="18"/>
                        <w:szCs w:val="18"/>
                      </w:rPr>
                      <w:t>1</w:t>
                    </w:r>
                  </w:p>
                </w:tc>
              </w:tr>
            </w:tbl>
            <w:p w14:paraId="79384F2C" w14:textId="77777777" w:rsidR="007E7472" w:rsidRDefault="00C8327E"/>
            <w:p w14:paraId="0042456C" w14:textId="77777777" w:rsidR="007E7472" w:rsidRDefault="00C8327E"/>
            <w:tbl>
              <w:tblPr>
                <w:tblStyle w:val="g4"/>
                <w:tblW w:w="13904"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394"/>
                <w:gridCol w:w="1078"/>
                <w:gridCol w:w="807"/>
                <w:gridCol w:w="1134"/>
                <w:gridCol w:w="1278"/>
                <w:gridCol w:w="1036"/>
                <w:gridCol w:w="1064"/>
                <w:gridCol w:w="1022"/>
                <w:gridCol w:w="1036"/>
                <w:gridCol w:w="942"/>
                <w:gridCol w:w="993"/>
                <w:gridCol w:w="1120"/>
              </w:tblGrid>
              <w:tr w:rsidR="007E7472" w14:paraId="395EF615" w14:textId="77777777">
                <w:trPr>
                  <w:trHeight w:val="20"/>
                </w:trPr>
                <w:tc>
                  <w:tcPr>
                    <w:tcW w:w="2394" w:type="dxa"/>
                    <w:vMerge w:val="restart"/>
                    <w:vAlign w:val="center"/>
                  </w:tcPr>
                  <w:sdt>
                    <w:sdtPr>
                      <w:rPr>
                        <w:rFonts w:hint="eastAsia"/>
                        <w:sz w:val="18"/>
                        <w:szCs w:val="18"/>
                      </w:rPr>
                      <w:tag w:val="_PLD_312727f4b56147c2b646c0fb68a4b58b"/>
                      <w:id w:val="-1673559561"/>
                      <w:lock w:val="sdtLocked"/>
                    </w:sdtPr>
                    <w:sdtEndPr/>
                    <w:sdtContent>
                      <w:p w14:paraId="096DEC39" w14:textId="77777777" w:rsidR="007E7472" w:rsidRDefault="00EC1269">
                        <w:pPr>
                          <w:adjustRightInd w:val="0"/>
                          <w:snapToGrid w:val="0"/>
                          <w:jc w:val="center"/>
                          <w:rPr>
                            <w:sz w:val="18"/>
                            <w:szCs w:val="18"/>
                          </w:rPr>
                        </w:pPr>
                        <w:r>
                          <w:rPr>
                            <w:rFonts w:hint="eastAsia"/>
                            <w:sz w:val="18"/>
                            <w:szCs w:val="18"/>
                          </w:rPr>
                          <w:t>项目</w:t>
                        </w:r>
                      </w:p>
                    </w:sdtContent>
                  </w:sdt>
                </w:tc>
                <w:tc>
                  <w:tcPr>
                    <w:tcW w:w="11510" w:type="dxa"/>
                    <w:gridSpan w:val="11"/>
                  </w:tcPr>
                  <w:p w14:paraId="590BEBB9" w14:textId="77777777" w:rsidR="007E7472" w:rsidRDefault="00C8327E">
                    <w:pPr>
                      <w:adjustRightInd w:val="0"/>
                      <w:snapToGrid w:val="0"/>
                      <w:jc w:val="center"/>
                      <w:rPr>
                        <w:sz w:val="18"/>
                      </w:rPr>
                    </w:pPr>
                    <w:sdt>
                      <w:sdtPr>
                        <w:rPr>
                          <w:rFonts w:hint="eastAsia"/>
                          <w:sz w:val="18"/>
                        </w:rPr>
                        <w:tag w:val="_PLD_35246b22171846ac8ef46c5dfa1d1663"/>
                        <w:id w:val="933403555"/>
                        <w:lock w:val="sdtLocked"/>
                      </w:sdtPr>
                      <w:sdtEndPr/>
                      <w:sdtContent>
                        <w:r w:rsidR="00EC1269">
                          <w:rPr>
                            <w:rFonts w:hint="eastAsia"/>
                            <w:sz w:val="18"/>
                          </w:rPr>
                          <w:t>2022年半年度</w:t>
                        </w:r>
                      </w:sdtContent>
                    </w:sdt>
                  </w:p>
                </w:tc>
              </w:tr>
              <w:tr w:rsidR="007E7472" w14:paraId="21B21619" w14:textId="77777777">
                <w:trPr>
                  <w:trHeight w:val="315"/>
                </w:trPr>
                <w:tc>
                  <w:tcPr>
                    <w:tcW w:w="2394" w:type="dxa"/>
                    <w:vMerge/>
                  </w:tcPr>
                  <w:p w14:paraId="0B13650A" w14:textId="77777777" w:rsidR="007E7472" w:rsidRDefault="00C8327E">
                    <w:pPr>
                      <w:adjustRightInd w:val="0"/>
                      <w:snapToGrid w:val="0"/>
                      <w:rPr>
                        <w:sz w:val="18"/>
                        <w:szCs w:val="18"/>
                      </w:rPr>
                    </w:pPr>
                  </w:p>
                </w:tc>
                <w:sdt>
                  <w:sdtPr>
                    <w:tag w:val="_PLD_5da9900c5a9e46a085487ea972f44796"/>
                    <w:id w:val="212938326"/>
                    <w:lock w:val="sdtLocked"/>
                  </w:sdtPr>
                  <w:sdtEndPr/>
                  <w:sdtContent>
                    <w:tc>
                      <w:tcPr>
                        <w:tcW w:w="1078" w:type="dxa"/>
                        <w:vMerge w:val="restart"/>
                        <w:tcBorders>
                          <w:right w:val="single" w:sz="4" w:space="0" w:color="auto"/>
                        </w:tcBorders>
                        <w:vAlign w:val="center"/>
                      </w:tcPr>
                      <w:p w14:paraId="0217E935" w14:textId="77777777" w:rsidR="007E7472" w:rsidRDefault="00EC1269">
                        <w:pPr>
                          <w:adjustRightInd w:val="0"/>
                          <w:snapToGrid w:val="0"/>
                          <w:jc w:val="center"/>
                          <w:rPr>
                            <w:sz w:val="18"/>
                            <w:szCs w:val="18"/>
                          </w:rPr>
                        </w:pPr>
                        <w:r>
                          <w:rPr>
                            <w:rFonts w:hint="eastAsia"/>
                            <w:sz w:val="18"/>
                            <w:szCs w:val="18"/>
                          </w:rPr>
                          <w:t>实收资本</w:t>
                        </w:r>
                        <w:r>
                          <w:rPr>
                            <w:sz w:val="18"/>
                            <w:szCs w:val="18"/>
                          </w:rPr>
                          <w:t>(或股本)</w:t>
                        </w:r>
                      </w:p>
                    </w:tc>
                  </w:sdtContent>
                </w:sdt>
                <w:sdt>
                  <w:sdtPr>
                    <w:tag w:val="_PLD_fc0bce3be00144ff950606755a048a76"/>
                    <w:id w:val="-128776235"/>
                    <w:lock w:val="sdtLocked"/>
                  </w:sdtPr>
                  <w:sdtEndPr/>
                  <w:sdtContent>
                    <w:tc>
                      <w:tcPr>
                        <w:tcW w:w="3219" w:type="dxa"/>
                        <w:gridSpan w:val="3"/>
                        <w:tcBorders>
                          <w:left w:val="single" w:sz="4" w:space="0" w:color="auto"/>
                          <w:bottom w:val="single" w:sz="4" w:space="0" w:color="auto"/>
                        </w:tcBorders>
                        <w:vAlign w:val="center"/>
                      </w:tcPr>
                      <w:p w14:paraId="6A5A4F0C" w14:textId="77777777" w:rsidR="007E7472" w:rsidRDefault="00EC1269">
                        <w:pPr>
                          <w:adjustRightInd w:val="0"/>
                          <w:snapToGrid w:val="0"/>
                          <w:jc w:val="center"/>
                          <w:rPr>
                            <w:sz w:val="18"/>
                            <w:szCs w:val="18"/>
                          </w:rPr>
                        </w:pPr>
                        <w:r>
                          <w:rPr>
                            <w:rFonts w:hint="eastAsia"/>
                            <w:sz w:val="18"/>
                            <w:szCs w:val="18"/>
                          </w:rPr>
                          <w:t>其他权益工具</w:t>
                        </w:r>
                      </w:p>
                    </w:tc>
                  </w:sdtContent>
                </w:sdt>
                <w:sdt>
                  <w:sdtPr>
                    <w:tag w:val="_PLD_b31d07f97db344b1b180738b22a76467"/>
                    <w:id w:val="-919557784"/>
                    <w:lock w:val="sdtLocked"/>
                  </w:sdtPr>
                  <w:sdtEndPr/>
                  <w:sdtContent>
                    <w:tc>
                      <w:tcPr>
                        <w:tcW w:w="1036" w:type="dxa"/>
                        <w:vMerge w:val="restart"/>
                        <w:vAlign w:val="center"/>
                      </w:tcPr>
                      <w:p w14:paraId="2597736D" w14:textId="77777777" w:rsidR="007E7472" w:rsidRDefault="00EC1269">
                        <w:pPr>
                          <w:adjustRightInd w:val="0"/>
                          <w:snapToGrid w:val="0"/>
                          <w:jc w:val="center"/>
                          <w:rPr>
                            <w:sz w:val="18"/>
                            <w:szCs w:val="18"/>
                          </w:rPr>
                        </w:pPr>
                        <w:r>
                          <w:rPr>
                            <w:sz w:val="18"/>
                            <w:szCs w:val="18"/>
                          </w:rPr>
                          <w:t>资本公积</w:t>
                        </w:r>
                      </w:p>
                    </w:tc>
                  </w:sdtContent>
                </w:sdt>
                <w:sdt>
                  <w:sdtPr>
                    <w:tag w:val="_PLD_244676dcaf4245bd9119f474a4e885f9"/>
                    <w:id w:val="1880434063"/>
                    <w:lock w:val="sdtLocked"/>
                  </w:sdtPr>
                  <w:sdtEndPr/>
                  <w:sdtContent>
                    <w:tc>
                      <w:tcPr>
                        <w:tcW w:w="1064" w:type="dxa"/>
                        <w:vMerge w:val="restart"/>
                        <w:vAlign w:val="center"/>
                      </w:tcPr>
                      <w:p w14:paraId="3E33F4F0" w14:textId="77777777" w:rsidR="007E7472" w:rsidRDefault="00EC1269">
                        <w:pPr>
                          <w:adjustRightInd w:val="0"/>
                          <w:snapToGrid w:val="0"/>
                          <w:jc w:val="center"/>
                          <w:rPr>
                            <w:sz w:val="18"/>
                            <w:szCs w:val="18"/>
                          </w:rPr>
                        </w:pPr>
                        <w:r>
                          <w:rPr>
                            <w:sz w:val="18"/>
                            <w:szCs w:val="18"/>
                          </w:rPr>
                          <w:t>减：库存股</w:t>
                        </w:r>
                      </w:p>
                    </w:tc>
                  </w:sdtContent>
                </w:sdt>
                <w:sdt>
                  <w:sdtPr>
                    <w:tag w:val="_PLD_01eab1b775574165b2820a19e72d2ad0"/>
                    <w:id w:val="472567528"/>
                    <w:lock w:val="sdtLocked"/>
                  </w:sdtPr>
                  <w:sdtEndPr/>
                  <w:sdtContent>
                    <w:tc>
                      <w:tcPr>
                        <w:tcW w:w="1022" w:type="dxa"/>
                        <w:vMerge w:val="restart"/>
                        <w:vAlign w:val="center"/>
                      </w:tcPr>
                      <w:p w14:paraId="6A487AF2" w14:textId="77777777" w:rsidR="007E7472" w:rsidRDefault="00EC1269">
                        <w:pPr>
                          <w:jc w:val="center"/>
                          <w:rPr>
                            <w:sz w:val="18"/>
                            <w:szCs w:val="18"/>
                          </w:rPr>
                        </w:pPr>
                        <w:r>
                          <w:rPr>
                            <w:rFonts w:hint="eastAsia"/>
                            <w:sz w:val="18"/>
                            <w:szCs w:val="18"/>
                          </w:rPr>
                          <w:t>其他综合收益</w:t>
                        </w:r>
                      </w:p>
                    </w:tc>
                  </w:sdtContent>
                </w:sdt>
                <w:sdt>
                  <w:sdtPr>
                    <w:tag w:val="_PLD_13f17e2c8a7a404da876af1bac2ae6d1"/>
                    <w:id w:val="-40215299"/>
                    <w:lock w:val="sdtLocked"/>
                  </w:sdtPr>
                  <w:sdtEndPr/>
                  <w:sdtContent>
                    <w:tc>
                      <w:tcPr>
                        <w:tcW w:w="1036" w:type="dxa"/>
                        <w:vMerge w:val="restart"/>
                        <w:vAlign w:val="center"/>
                      </w:tcPr>
                      <w:p w14:paraId="79A174FF" w14:textId="77777777" w:rsidR="007E7472" w:rsidRDefault="00EC1269">
                        <w:pPr>
                          <w:adjustRightInd w:val="0"/>
                          <w:snapToGrid w:val="0"/>
                          <w:jc w:val="center"/>
                          <w:rPr>
                            <w:sz w:val="18"/>
                            <w:szCs w:val="18"/>
                          </w:rPr>
                        </w:pPr>
                        <w:r>
                          <w:rPr>
                            <w:rFonts w:hint="eastAsia"/>
                            <w:sz w:val="18"/>
                            <w:szCs w:val="18"/>
                          </w:rPr>
                          <w:t>专项储备</w:t>
                        </w:r>
                      </w:p>
                    </w:tc>
                  </w:sdtContent>
                </w:sdt>
                <w:sdt>
                  <w:sdtPr>
                    <w:tag w:val="_PLD_9578f3812cf04a34965a5bdc9ee82115"/>
                    <w:id w:val="-1162847129"/>
                    <w:lock w:val="sdtLocked"/>
                  </w:sdtPr>
                  <w:sdtEndPr/>
                  <w:sdtContent>
                    <w:tc>
                      <w:tcPr>
                        <w:tcW w:w="942" w:type="dxa"/>
                        <w:vMerge w:val="restart"/>
                        <w:vAlign w:val="center"/>
                      </w:tcPr>
                      <w:p w14:paraId="421247BC" w14:textId="77777777" w:rsidR="007E7472" w:rsidRDefault="00EC1269">
                        <w:pPr>
                          <w:adjustRightInd w:val="0"/>
                          <w:snapToGrid w:val="0"/>
                          <w:jc w:val="center"/>
                          <w:rPr>
                            <w:sz w:val="18"/>
                            <w:szCs w:val="18"/>
                          </w:rPr>
                        </w:pPr>
                        <w:r>
                          <w:rPr>
                            <w:sz w:val="18"/>
                            <w:szCs w:val="18"/>
                          </w:rPr>
                          <w:t>盈余公积</w:t>
                        </w:r>
                      </w:p>
                    </w:tc>
                  </w:sdtContent>
                </w:sdt>
                <w:sdt>
                  <w:sdtPr>
                    <w:tag w:val="_PLD_5d835cd98ccc4304aec553a0b6a56628"/>
                    <w:id w:val="906428893"/>
                    <w:lock w:val="sdtLocked"/>
                  </w:sdtPr>
                  <w:sdtEndPr/>
                  <w:sdtContent>
                    <w:tc>
                      <w:tcPr>
                        <w:tcW w:w="993" w:type="dxa"/>
                        <w:vMerge w:val="restart"/>
                        <w:vAlign w:val="center"/>
                      </w:tcPr>
                      <w:p w14:paraId="5256BCC1" w14:textId="77777777" w:rsidR="007E7472" w:rsidRDefault="00EC1269">
                        <w:pPr>
                          <w:adjustRightInd w:val="0"/>
                          <w:snapToGrid w:val="0"/>
                          <w:jc w:val="center"/>
                          <w:rPr>
                            <w:sz w:val="18"/>
                            <w:szCs w:val="18"/>
                          </w:rPr>
                        </w:pPr>
                        <w:r>
                          <w:rPr>
                            <w:sz w:val="18"/>
                            <w:szCs w:val="18"/>
                          </w:rPr>
                          <w:t>未分配利润</w:t>
                        </w:r>
                      </w:p>
                    </w:tc>
                  </w:sdtContent>
                </w:sdt>
                <w:sdt>
                  <w:sdtPr>
                    <w:tag w:val="_PLD_1cbb8af374a54430ad1f29ed83c69cd0"/>
                    <w:id w:val="-1268080123"/>
                    <w:lock w:val="sdtLocked"/>
                  </w:sdtPr>
                  <w:sdtEndPr/>
                  <w:sdtContent>
                    <w:tc>
                      <w:tcPr>
                        <w:tcW w:w="1120" w:type="dxa"/>
                        <w:vMerge w:val="restart"/>
                        <w:vAlign w:val="center"/>
                      </w:tcPr>
                      <w:p w14:paraId="64942090" w14:textId="77777777" w:rsidR="007E7472" w:rsidRDefault="00EC1269">
                        <w:pPr>
                          <w:adjustRightInd w:val="0"/>
                          <w:snapToGrid w:val="0"/>
                          <w:jc w:val="center"/>
                          <w:rPr>
                            <w:sz w:val="18"/>
                            <w:szCs w:val="18"/>
                          </w:rPr>
                        </w:pPr>
                        <w:r>
                          <w:rPr>
                            <w:sz w:val="18"/>
                            <w:szCs w:val="18"/>
                          </w:rPr>
                          <w:t>所有者权益合计</w:t>
                        </w:r>
                      </w:p>
                    </w:tc>
                  </w:sdtContent>
                </w:sdt>
              </w:tr>
              <w:tr w:rsidR="007E7472" w14:paraId="25C7B261" w14:textId="77777777">
                <w:trPr>
                  <w:trHeight w:val="294"/>
                </w:trPr>
                <w:tc>
                  <w:tcPr>
                    <w:tcW w:w="2394" w:type="dxa"/>
                    <w:vMerge/>
                  </w:tcPr>
                  <w:p w14:paraId="48067222" w14:textId="77777777" w:rsidR="007E7472" w:rsidRDefault="00C8327E">
                    <w:pPr>
                      <w:adjustRightInd w:val="0"/>
                      <w:snapToGrid w:val="0"/>
                      <w:rPr>
                        <w:sz w:val="18"/>
                        <w:szCs w:val="18"/>
                      </w:rPr>
                    </w:pPr>
                  </w:p>
                </w:tc>
                <w:tc>
                  <w:tcPr>
                    <w:tcW w:w="1078" w:type="dxa"/>
                    <w:vMerge/>
                    <w:tcBorders>
                      <w:right w:val="single" w:sz="4" w:space="0" w:color="auto"/>
                    </w:tcBorders>
                  </w:tcPr>
                  <w:p w14:paraId="3A554CE8" w14:textId="77777777" w:rsidR="007E7472" w:rsidRDefault="00C8327E">
                    <w:pPr>
                      <w:adjustRightInd w:val="0"/>
                      <w:snapToGrid w:val="0"/>
                      <w:jc w:val="center"/>
                      <w:rPr>
                        <w:sz w:val="18"/>
                        <w:szCs w:val="18"/>
                      </w:rPr>
                    </w:pPr>
                  </w:p>
                </w:tc>
                <w:sdt>
                  <w:sdtPr>
                    <w:tag w:val="_PLD_dcc9ba0f815c4a99a7c4c9fe219d232e"/>
                    <w:id w:val="-229930521"/>
                    <w:lock w:val="sdtLocked"/>
                  </w:sdtPr>
                  <w:sdtEndPr/>
                  <w:sdtContent>
                    <w:tc>
                      <w:tcPr>
                        <w:tcW w:w="807" w:type="dxa"/>
                        <w:tcBorders>
                          <w:top w:val="single" w:sz="4" w:space="0" w:color="auto"/>
                          <w:left w:val="single" w:sz="4" w:space="0" w:color="auto"/>
                          <w:right w:val="single" w:sz="4" w:space="0" w:color="auto"/>
                        </w:tcBorders>
                        <w:vAlign w:val="center"/>
                      </w:tcPr>
                      <w:p w14:paraId="75742FDA" w14:textId="77777777" w:rsidR="007E7472" w:rsidRDefault="00EC1269">
                        <w:pPr>
                          <w:adjustRightInd w:val="0"/>
                          <w:snapToGrid w:val="0"/>
                          <w:jc w:val="center"/>
                          <w:rPr>
                            <w:sz w:val="18"/>
                            <w:szCs w:val="18"/>
                          </w:rPr>
                        </w:pPr>
                        <w:r>
                          <w:rPr>
                            <w:rFonts w:hint="eastAsia"/>
                            <w:sz w:val="18"/>
                            <w:szCs w:val="18"/>
                          </w:rPr>
                          <w:t>优先股</w:t>
                        </w:r>
                      </w:p>
                    </w:tc>
                  </w:sdtContent>
                </w:sdt>
                <w:sdt>
                  <w:sdtPr>
                    <w:tag w:val="_PLD_42f56a6e995041a8b03e0979c7b2350c"/>
                    <w:id w:val="-1269241718"/>
                    <w:lock w:val="sdtLocked"/>
                  </w:sdtPr>
                  <w:sdtEndPr/>
                  <w:sdtContent>
                    <w:tc>
                      <w:tcPr>
                        <w:tcW w:w="1134" w:type="dxa"/>
                        <w:tcBorders>
                          <w:top w:val="single" w:sz="4" w:space="0" w:color="auto"/>
                          <w:left w:val="single" w:sz="4" w:space="0" w:color="auto"/>
                          <w:right w:val="single" w:sz="4" w:space="0" w:color="auto"/>
                        </w:tcBorders>
                        <w:vAlign w:val="center"/>
                      </w:tcPr>
                      <w:p w14:paraId="055CBAA8" w14:textId="77777777" w:rsidR="007E7472" w:rsidRDefault="00EC1269">
                        <w:pPr>
                          <w:adjustRightInd w:val="0"/>
                          <w:snapToGrid w:val="0"/>
                          <w:jc w:val="center"/>
                          <w:rPr>
                            <w:sz w:val="18"/>
                            <w:szCs w:val="18"/>
                          </w:rPr>
                        </w:pPr>
                        <w:r>
                          <w:rPr>
                            <w:rFonts w:hint="eastAsia"/>
                            <w:sz w:val="18"/>
                            <w:szCs w:val="18"/>
                          </w:rPr>
                          <w:t>永续债</w:t>
                        </w:r>
                      </w:p>
                    </w:tc>
                  </w:sdtContent>
                </w:sdt>
                <w:sdt>
                  <w:sdtPr>
                    <w:tag w:val="_PLD_30aa853463c54004a69a2235554ee8fd"/>
                    <w:id w:val="1397081512"/>
                    <w:lock w:val="sdtLocked"/>
                  </w:sdtPr>
                  <w:sdtEndPr/>
                  <w:sdtContent>
                    <w:tc>
                      <w:tcPr>
                        <w:tcW w:w="1278" w:type="dxa"/>
                        <w:tcBorders>
                          <w:top w:val="single" w:sz="4" w:space="0" w:color="auto"/>
                          <w:left w:val="single" w:sz="4" w:space="0" w:color="auto"/>
                        </w:tcBorders>
                        <w:vAlign w:val="center"/>
                      </w:tcPr>
                      <w:p w14:paraId="51716744" w14:textId="77777777" w:rsidR="007E7472" w:rsidRDefault="00EC1269">
                        <w:pPr>
                          <w:adjustRightInd w:val="0"/>
                          <w:snapToGrid w:val="0"/>
                          <w:jc w:val="center"/>
                          <w:rPr>
                            <w:sz w:val="18"/>
                            <w:szCs w:val="18"/>
                          </w:rPr>
                        </w:pPr>
                        <w:r>
                          <w:rPr>
                            <w:rFonts w:hint="eastAsia"/>
                            <w:sz w:val="18"/>
                            <w:szCs w:val="18"/>
                          </w:rPr>
                          <w:t>其他</w:t>
                        </w:r>
                      </w:p>
                    </w:tc>
                  </w:sdtContent>
                </w:sdt>
                <w:tc>
                  <w:tcPr>
                    <w:tcW w:w="1036" w:type="dxa"/>
                    <w:vMerge/>
                  </w:tcPr>
                  <w:p w14:paraId="06938A4D" w14:textId="77777777" w:rsidR="007E7472" w:rsidRDefault="00C8327E">
                    <w:pPr>
                      <w:adjustRightInd w:val="0"/>
                      <w:snapToGrid w:val="0"/>
                      <w:jc w:val="center"/>
                      <w:rPr>
                        <w:sz w:val="18"/>
                        <w:szCs w:val="18"/>
                      </w:rPr>
                    </w:pPr>
                  </w:p>
                </w:tc>
                <w:tc>
                  <w:tcPr>
                    <w:tcW w:w="1064" w:type="dxa"/>
                    <w:vMerge/>
                  </w:tcPr>
                  <w:p w14:paraId="652D6358" w14:textId="77777777" w:rsidR="007E7472" w:rsidRDefault="00C8327E">
                    <w:pPr>
                      <w:adjustRightInd w:val="0"/>
                      <w:snapToGrid w:val="0"/>
                      <w:jc w:val="center"/>
                      <w:rPr>
                        <w:sz w:val="18"/>
                        <w:szCs w:val="18"/>
                      </w:rPr>
                    </w:pPr>
                  </w:p>
                </w:tc>
                <w:tc>
                  <w:tcPr>
                    <w:tcW w:w="1022" w:type="dxa"/>
                    <w:vMerge/>
                  </w:tcPr>
                  <w:p w14:paraId="194909BA" w14:textId="77777777" w:rsidR="007E7472" w:rsidRDefault="00C8327E">
                    <w:pPr>
                      <w:jc w:val="center"/>
                      <w:rPr>
                        <w:sz w:val="18"/>
                        <w:szCs w:val="18"/>
                      </w:rPr>
                    </w:pPr>
                  </w:p>
                </w:tc>
                <w:tc>
                  <w:tcPr>
                    <w:tcW w:w="1036" w:type="dxa"/>
                    <w:vMerge/>
                  </w:tcPr>
                  <w:p w14:paraId="2206E77C" w14:textId="77777777" w:rsidR="007E7472" w:rsidRDefault="00C8327E">
                    <w:pPr>
                      <w:adjustRightInd w:val="0"/>
                      <w:snapToGrid w:val="0"/>
                      <w:jc w:val="center"/>
                      <w:rPr>
                        <w:sz w:val="18"/>
                        <w:szCs w:val="18"/>
                      </w:rPr>
                    </w:pPr>
                  </w:p>
                </w:tc>
                <w:tc>
                  <w:tcPr>
                    <w:tcW w:w="942" w:type="dxa"/>
                    <w:vMerge/>
                  </w:tcPr>
                  <w:p w14:paraId="7DEB3B63" w14:textId="77777777" w:rsidR="007E7472" w:rsidRDefault="00C8327E">
                    <w:pPr>
                      <w:adjustRightInd w:val="0"/>
                      <w:snapToGrid w:val="0"/>
                      <w:jc w:val="center"/>
                      <w:rPr>
                        <w:sz w:val="18"/>
                        <w:szCs w:val="18"/>
                      </w:rPr>
                    </w:pPr>
                  </w:p>
                </w:tc>
                <w:tc>
                  <w:tcPr>
                    <w:tcW w:w="993" w:type="dxa"/>
                    <w:vMerge/>
                  </w:tcPr>
                  <w:p w14:paraId="44523FC6" w14:textId="77777777" w:rsidR="007E7472" w:rsidRDefault="00C8327E">
                    <w:pPr>
                      <w:adjustRightInd w:val="0"/>
                      <w:snapToGrid w:val="0"/>
                      <w:jc w:val="center"/>
                      <w:rPr>
                        <w:sz w:val="18"/>
                        <w:szCs w:val="18"/>
                      </w:rPr>
                    </w:pPr>
                  </w:p>
                </w:tc>
                <w:tc>
                  <w:tcPr>
                    <w:tcW w:w="1120" w:type="dxa"/>
                    <w:vMerge/>
                  </w:tcPr>
                  <w:p w14:paraId="22655DAE" w14:textId="77777777" w:rsidR="007E7472" w:rsidRDefault="00C8327E">
                    <w:pPr>
                      <w:adjustRightInd w:val="0"/>
                      <w:snapToGrid w:val="0"/>
                      <w:jc w:val="center"/>
                      <w:rPr>
                        <w:sz w:val="18"/>
                        <w:szCs w:val="18"/>
                      </w:rPr>
                    </w:pPr>
                  </w:p>
                </w:tc>
              </w:tr>
              <w:tr w:rsidR="007E7472" w14:paraId="2DAD852E" w14:textId="77777777">
                <w:trPr>
                  <w:trHeight w:val="20"/>
                </w:trPr>
                <w:sdt>
                  <w:sdtPr>
                    <w:tag w:val="_PLD_b00b327c7ecc4ad1bfafd8f9c1a6ce86"/>
                    <w:id w:val="810206750"/>
                    <w:lock w:val="sdtLocked"/>
                  </w:sdtPr>
                  <w:sdtEndPr/>
                  <w:sdtContent>
                    <w:tc>
                      <w:tcPr>
                        <w:tcW w:w="2394" w:type="dxa"/>
                      </w:tcPr>
                      <w:p w14:paraId="791308BA" w14:textId="77777777" w:rsidR="007E7472" w:rsidRDefault="00EC1269">
                        <w:pPr>
                          <w:rPr>
                            <w:sz w:val="18"/>
                            <w:szCs w:val="18"/>
                          </w:rPr>
                        </w:pPr>
                        <w:r>
                          <w:rPr>
                            <w:sz w:val="18"/>
                            <w:szCs w:val="18"/>
                          </w:rPr>
                          <w:t>一、上年</w:t>
                        </w:r>
                        <w:r>
                          <w:rPr>
                            <w:rFonts w:hint="eastAsia"/>
                            <w:sz w:val="18"/>
                            <w:szCs w:val="18"/>
                          </w:rPr>
                          <w:t>期</w:t>
                        </w:r>
                        <w:r>
                          <w:rPr>
                            <w:sz w:val="18"/>
                            <w:szCs w:val="18"/>
                          </w:rPr>
                          <w:t>末余额</w:t>
                        </w:r>
                      </w:p>
                    </w:tc>
                  </w:sdtContent>
                </w:sdt>
                <w:tc>
                  <w:tcPr>
                    <w:tcW w:w="1078" w:type="dxa"/>
                    <w:tcBorders>
                      <w:right w:val="single" w:sz="4" w:space="0" w:color="auto"/>
                    </w:tcBorders>
                    <w:vAlign w:val="center"/>
                  </w:tcPr>
                  <w:p w14:paraId="6A42D170" w14:textId="77777777" w:rsidR="007E7472" w:rsidRDefault="00EC1269">
                    <w:pPr>
                      <w:jc w:val="right"/>
                      <w:rPr>
                        <w:spacing w:val="-20"/>
                        <w:sz w:val="18"/>
                        <w:szCs w:val="18"/>
                      </w:rPr>
                    </w:pPr>
                    <w:r>
                      <w:rPr>
                        <w:rFonts w:hint="eastAsia"/>
                        <w:spacing w:val="-20"/>
                        <w:sz w:val="18"/>
                        <w:szCs w:val="18"/>
                      </w:rPr>
                      <w:t>4,874,184</w:t>
                    </w:r>
                  </w:p>
                </w:tc>
                <w:tc>
                  <w:tcPr>
                    <w:tcW w:w="807" w:type="dxa"/>
                    <w:tcBorders>
                      <w:left w:val="single" w:sz="4" w:space="0" w:color="auto"/>
                      <w:right w:val="single" w:sz="4" w:space="0" w:color="auto"/>
                    </w:tcBorders>
                    <w:vAlign w:val="center"/>
                  </w:tcPr>
                  <w:p w14:paraId="206997EC" w14:textId="77777777" w:rsidR="007E7472" w:rsidRDefault="00C8327E">
                    <w:pPr>
                      <w:jc w:val="right"/>
                      <w:rPr>
                        <w:spacing w:val="-20"/>
                        <w:sz w:val="18"/>
                        <w:szCs w:val="18"/>
                      </w:rPr>
                    </w:pPr>
                  </w:p>
                </w:tc>
                <w:tc>
                  <w:tcPr>
                    <w:tcW w:w="1134" w:type="dxa"/>
                    <w:tcBorders>
                      <w:left w:val="single" w:sz="4" w:space="0" w:color="auto"/>
                      <w:right w:val="single" w:sz="4" w:space="0" w:color="auto"/>
                    </w:tcBorders>
                    <w:vAlign w:val="center"/>
                  </w:tcPr>
                  <w:p w14:paraId="0DF5F13C" w14:textId="77777777" w:rsidR="007E7472" w:rsidRDefault="00EC1269">
                    <w:pPr>
                      <w:jc w:val="right"/>
                      <w:rPr>
                        <w:spacing w:val="-20"/>
                        <w:sz w:val="18"/>
                        <w:szCs w:val="18"/>
                      </w:rPr>
                    </w:pPr>
                    <w:r>
                      <w:rPr>
                        <w:rFonts w:hint="eastAsia"/>
                        <w:spacing w:val="-20"/>
                        <w:sz w:val="18"/>
                        <w:szCs w:val="18"/>
                      </w:rPr>
                      <w:t>8,118,100</w:t>
                    </w:r>
                  </w:p>
                </w:tc>
                <w:tc>
                  <w:tcPr>
                    <w:tcW w:w="1278" w:type="dxa"/>
                    <w:tcBorders>
                      <w:left w:val="single" w:sz="4" w:space="0" w:color="auto"/>
                      <w:right w:val="single" w:sz="4" w:space="0" w:color="auto"/>
                    </w:tcBorders>
                    <w:vAlign w:val="center"/>
                  </w:tcPr>
                  <w:p w14:paraId="2F343CA0" w14:textId="77777777" w:rsidR="007E7472" w:rsidRDefault="00C8327E">
                    <w:pPr>
                      <w:jc w:val="right"/>
                      <w:rPr>
                        <w:spacing w:val="-20"/>
                        <w:sz w:val="18"/>
                        <w:szCs w:val="18"/>
                      </w:rPr>
                    </w:pPr>
                  </w:p>
                </w:tc>
                <w:tc>
                  <w:tcPr>
                    <w:tcW w:w="1036" w:type="dxa"/>
                    <w:tcBorders>
                      <w:left w:val="single" w:sz="4" w:space="0" w:color="auto"/>
                    </w:tcBorders>
                    <w:vAlign w:val="center"/>
                  </w:tcPr>
                  <w:p w14:paraId="020697F3" w14:textId="77777777" w:rsidR="007E7472" w:rsidRDefault="00EC1269">
                    <w:pPr>
                      <w:jc w:val="right"/>
                      <w:rPr>
                        <w:spacing w:val="-20"/>
                        <w:sz w:val="18"/>
                        <w:szCs w:val="18"/>
                      </w:rPr>
                    </w:pPr>
                    <w:r>
                      <w:rPr>
                        <w:rFonts w:hint="eastAsia"/>
                        <w:spacing w:val="-20"/>
                        <w:sz w:val="18"/>
                        <w:szCs w:val="18"/>
                      </w:rPr>
                      <w:t>31,720</w:t>
                    </w:r>
                  </w:p>
                </w:tc>
                <w:tc>
                  <w:tcPr>
                    <w:tcW w:w="1064" w:type="dxa"/>
                    <w:vAlign w:val="center"/>
                  </w:tcPr>
                  <w:p w14:paraId="5200063D" w14:textId="77777777" w:rsidR="007E7472" w:rsidRDefault="00C8327E">
                    <w:pPr>
                      <w:jc w:val="right"/>
                      <w:rPr>
                        <w:spacing w:val="-20"/>
                        <w:sz w:val="18"/>
                        <w:szCs w:val="18"/>
                      </w:rPr>
                    </w:pPr>
                  </w:p>
                </w:tc>
                <w:tc>
                  <w:tcPr>
                    <w:tcW w:w="1022" w:type="dxa"/>
                    <w:vAlign w:val="center"/>
                  </w:tcPr>
                  <w:p w14:paraId="65FC3E82" w14:textId="77777777" w:rsidR="007E7472" w:rsidRDefault="00EC1269">
                    <w:pPr>
                      <w:jc w:val="right"/>
                      <w:rPr>
                        <w:spacing w:val="-20"/>
                        <w:sz w:val="18"/>
                        <w:szCs w:val="18"/>
                      </w:rPr>
                    </w:pPr>
                    <w:r>
                      <w:rPr>
                        <w:rFonts w:hint="eastAsia"/>
                        <w:spacing w:val="-20"/>
                        <w:sz w:val="18"/>
                        <w:szCs w:val="18"/>
                      </w:rPr>
                      <w:t>151,802</w:t>
                    </w:r>
                  </w:p>
                </w:tc>
                <w:tc>
                  <w:tcPr>
                    <w:tcW w:w="1036" w:type="dxa"/>
                    <w:vAlign w:val="center"/>
                  </w:tcPr>
                  <w:p w14:paraId="18F6E4BC" w14:textId="77777777" w:rsidR="007E7472" w:rsidRDefault="00EC1269">
                    <w:pPr>
                      <w:jc w:val="right"/>
                      <w:rPr>
                        <w:spacing w:val="-20"/>
                        <w:sz w:val="18"/>
                        <w:szCs w:val="18"/>
                      </w:rPr>
                    </w:pPr>
                    <w:r>
                      <w:rPr>
                        <w:rFonts w:hint="eastAsia"/>
                        <w:spacing w:val="-20"/>
                        <w:sz w:val="18"/>
                        <w:szCs w:val="18"/>
                      </w:rPr>
                      <w:t>2,846,444</w:t>
                    </w:r>
                  </w:p>
                </w:tc>
                <w:tc>
                  <w:tcPr>
                    <w:tcW w:w="942" w:type="dxa"/>
                    <w:vAlign w:val="center"/>
                  </w:tcPr>
                  <w:p w14:paraId="52B1BC2A" w14:textId="77777777" w:rsidR="007E7472" w:rsidRDefault="00EC1269">
                    <w:pPr>
                      <w:jc w:val="right"/>
                      <w:rPr>
                        <w:spacing w:val="-20"/>
                        <w:sz w:val="18"/>
                        <w:szCs w:val="18"/>
                      </w:rPr>
                    </w:pPr>
                    <w:r>
                      <w:rPr>
                        <w:rFonts w:hint="eastAsia"/>
                        <w:spacing w:val="-20"/>
                        <w:sz w:val="18"/>
                        <w:szCs w:val="18"/>
                      </w:rPr>
                      <w:t>2,703,146</w:t>
                    </w:r>
                  </w:p>
                </w:tc>
                <w:tc>
                  <w:tcPr>
                    <w:tcW w:w="993" w:type="dxa"/>
                    <w:vAlign w:val="center"/>
                  </w:tcPr>
                  <w:p w14:paraId="078C761F" w14:textId="77777777" w:rsidR="007E7472" w:rsidRDefault="00EC1269">
                    <w:pPr>
                      <w:jc w:val="right"/>
                      <w:rPr>
                        <w:spacing w:val="-20"/>
                        <w:sz w:val="18"/>
                        <w:szCs w:val="18"/>
                      </w:rPr>
                    </w:pPr>
                    <w:r>
                      <w:rPr>
                        <w:rFonts w:hint="eastAsia"/>
                        <w:spacing w:val="-20"/>
                        <w:sz w:val="18"/>
                        <w:szCs w:val="18"/>
                      </w:rPr>
                      <w:t>37,388,825</w:t>
                    </w:r>
                  </w:p>
                </w:tc>
                <w:tc>
                  <w:tcPr>
                    <w:tcW w:w="1120" w:type="dxa"/>
                    <w:vAlign w:val="center"/>
                  </w:tcPr>
                  <w:p w14:paraId="329C3517" w14:textId="77777777" w:rsidR="007E7472" w:rsidRDefault="00EC1269">
                    <w:pPr>
                      <w:jc w:val="right"/>
                      <w:rPr>
                        <w:spacing w:val="-20"/>
                        <w:sz w:val="18"/>
                        <w:szCs w:val="18"/>
                      </w:rPr>
                    </w:pPr>
                    <w:r>
                      <w:rPr>
                        <w:spacing w:val="-20"/>
                        <w:sz w:val="18"/>
                        <w:szCs w:val="18"/>
                      </w:rPr>
                      <w:t>56,114,221</w:t>
                    </w:r>
                  </w:p>
                </w:tc>
              </w:tr>
              <w:tr w:rsidR="007E7472" w14:paraId="732E8FFF" w14:textId="77777777">
                <w:trPr>
                  <w:trHeight w:val="20"/>
                </w:trPr>
                <w:sdt>
                  <w:sdtPr>
                    <w:tag w:val="_PLD_87ad1d45ba9b40488fdf5165b8168def"/>
                    <w:id w:val="-442536270"/>
                    <w:lock w:val="sdtLocked"/>
                  </w:sdtPr>
                  <w:sdtEndPr/>
                  <w:sdtContent>
                    <w:tc>
                      <w:tcPr>
                        <w:tcW w:w="2394" w:type="dxa"/>
                      </w:tcPr>
                      <w:p w14:paraId="74DAF6AC" w14:textId="77777777" w:rsidR="007E7472" w:rsidRDefault="00EC1269">
                        <w:pPr>
                          <w:rPr>
                            <w:sz w:val="18"/>
                            <w:szCs w:val="18"/>
                          </w:rPr>
                        </w:pPr>
                        <w:r>
                          <w:rPr>
                            <w:sz w:val="18"/>
                            <w:szCs w:val="18"/>
                          </w:rPr>
                          <w:t>加：会计政策变更</w:t>
                        </w:r>
                      </w:p>
                    </w:tc>
                  </w:sdtContent>
                </w:sdt>
                <w:tc>
                  <w:tcPr>
                    <w:tcW w:w="1078" w:type="dxa"/>
                    <w:tcBorders>
                      <w:right w:val="single" w:sz="4" w:space="0" w:color="auto"/>
                    </w:tcBorders>
                    <w:vAlign w:val="center"/>
                  </w:tcPr>
                  <w:p w14:paraId="0F3610D6" w14:textId="77777777" w:rsidR="007E7472" w:rsidRDefault="00C8327E">
                    <w:pPr>
                      <w:jc w:val="right"/>
                      <w:rPr>
                        <w:spacing w:val="-20"/>
                        <w:sz w:val="18"/>
                        <w:szCs w:val="18"/>
                      </w:rPr>
                    </w:pPr>
                  </w:p>
                </w:tc>
                <w:tc>
                  <w:tcPr>
                    <w:tcW w:w="807" w:type="dxa"/>
                    <w:tcBorders>
                      <w:left w:val="single" w:sz="4" w:space="0" w:color="auto"/>
                      <w:right w:val="single" w:sz="4" w:space="0" w:color="auto"/>
                    </w:tcBorders>
                    <w:vAlign w:val="center"/>
                  </w:tcPr>
                  <w:p w14:paraId="28308808" w14:textId="77777777" w:rsidR="007E7472" w:rsidRDefault="00C8327E">
                    <w:pPr>
                      <w:jc w:val="right"/>
                      <w:rPr>
                        <w:spacing w:val="-20"/>
                        <w:sz w:val="18"/>
                        <w:szCs w:val="18"/>
                      </w:rPr>
                    </w:pPr>
                  </w:p>
                </w:tc>
                <w:tc>
                  <w:tcPr>
                    <w:tcW w:w="1134" w:type="dxa"/>
                    <w:tcBorders>
                      <w:left w:val="single" w:sz="4" w:space="0" w:color="auto"/>
                      <w:right w:val="single" w:sz="4" w:space="0" w:color="auto"/>
                    </w:tcBorders>
                    <w:vAlign w:val="center"/>
                  </w:tcPr>
                  <w:p w14:paraId="68DF6DC6" w14:textId="77777777" w:rsidR="007E7472" w:rsidRDefault="00C8327E">
                    <w:pPr>
                      <w:jc w:val="right"/>
                      <w:rPr>
                        <w:spacing w:val="-20"/>
                        <w:sz w:val="18"/>
                        <w:szCs w:val="18"/>
                      </w:rPr>
                    </w:pPr>
                  </w:p>
                </w:tc>
                <w:tc>
                  <w:tcPr>
                    <w:tcW w:w="1278" w:type="dxa"/>
                    <w:tcBorders>
                      <w:left w:val="single" w:sz="4" w:space="0" w:color="auto"/>
                      <w:right w:val="single" w:sz="4" w:space="0" w:color="auto"/>
                    </w:tcBorders>
                    <w:vAlign w:val="center"/>
                  </w:tcPr>
                  <w:p w14:paraId="5E834116" w14:textId="77777777" w:rsidR="007E7472" w:rsidRDefault="00C8327E">
                    <w:pPr>
                      <w:jc w:val="right"/>
                      <w:rPr>
                        <w:spacing w:val="-20"/>
                        <w:sz w:val="18"/>
                        <w:szCs w:val="18"/>
                      </w:rPr>
                    </w:pPr>
                  </w:p>
                </w:tc>
                <w:tc>
                  <w:tcPr>
                    <w:tcW w:w="1036" w:type="dxa"/>
                    <w:tcBorders>
                      <w:left w:val="single" w:sz="4" w:space="0" w:color="auto"/>
                    </w:tcBorders>
                    <w:vAlign w:val="center"/>
                  </w:tcPr>
                  <w:p w14:paraId="6C64C201" w14:textId="77777777" w:rsidR="007E7472" w:rsidRDefault="00C8327E">
                    <w:pPr>
                      <w:jc w:val="right"/>
                      <w:rPr>
                        <w:spacing w:val="-20"/>
                        <w:sz w:val="18"/>
                        <w:szCs w:val="18"/>
                      </w:rPr>
                    </w:pPr>
                  </w:p>
                </w:tc>
                <w:tc>
                  <w:tcPr>
                    <w:tcW w:w="1064" w:type="dxa"/>
                    <w:vAlign w:val="center"/>
                  </w:tcPr>
                  <w:p w14:paraId="70739879" w14:textId="77777777" w:rsidR="007E7472" w:rsidRDefault="00C8327E">
                    <w:pPr>
                      <w:jc w:val="right"/>
                      <w:rPr>
                        <w:spacing w:val="-20"/>
                        <w:sz w:val="18"/>
                        <w:szCs w:val="18"/>
                      </w:rPr>
                    </w:pPr>
                  </w:p>
                </w:tc>
                <w:tc>
                  <w:tcPr>
                    <w:tcW w:w="1022" w:type="dxa"/>
                    <w:vAlign w:val="center"/>
                  </w:tcPr>
                  <w:p w14:paraId="1DAD3A64" w14:textId="77777777" w:rsidR="007E7472" w:rsidRDefault="00C8327E">
                    <w:pPr>
                      <w:jc w:val="right"/>
                      <w:rPr>
                        <w:spacing w:val="-20"/>
                        <w:sz w:val="18"/>
                        <w:szCs w:val="18"/>
                      </w:rPr>
                    </w:pPr>
                  </w:p>
                </w:tc>
                <w:tc>
                  <w:tcPr>
                    <w:tcW w:w="1036" w:type="dxa"/>
                    <w:vAlign w:val="center"/>
                  </w:tcPr>
                  <w:p w14:paraId="19A5DF7A" w14:textId="77777777" w:rsidR="007E7472" w:rsidRDefault="00C8327E">
                    <w:pPr>
                      <w:jc w:val="right"/>
                      <w:rPr>
                        <w:spacing w:val="-20"/>
                        <w:sz w:val="18"/>
                        <w:szCs w:val="18"/>
                      </w:rPr>
                    </w:pPr>
                  </w:p>
                </w:tc>
                <w:tc>
                  <w:tcPr>
                    <w:tcW w:w="942" w:type="dxa"/>
                    <w:vAlign w:val="center"/>
                  </w:tcPr>
                  <w:p w14:paraId="0B7B1A4C" w14:textId="77777777" w:rsidR="007E7472" w:rsidRDefault="00C8327E">
                    <w:pPr>
                      <w:jc w:val="right"/>
                      <w:rPr>
                        <w:spacing w:val="-20"/>
                        <w:sz w:val="18"/>
                        <w:szCs w:val="18"/>
                      </w:rPr>
                    </w:pPr>
                  </w:p>
                </w:tc>
                <w:tc>
                  <w:tcPr>
                    <w:tcW w:w="993" w:type="dxa"/>
                    <w:vAlign w:val="center"/>
                  </w:tcPr>
                  <w:p w14:paraId="0CAC9A52" w14:textId="77777777" w:rsidR="007E7472" w:rsidRDefault="00C8327E">
                    <w:pPr>
                      <w:jc w:val="right"/>
                      <w:rPr>
                        <w:spacing w:val="-20"/>
                        <w:sz w:val="18"/>
                        <w:szCs w:val="18"/>
                      </w:rPr>
                    </w:pPr>
                  </w:p>
                </w:tc>
                <w:tc>
                  <w:tcPr>
                    <w:tcW w:w="1120" w:type="dxa"/>
                    <w:vAlign w:val="center"/>
                  </w:tcPr>
                  <w:p w14:paraId="54A904EB" w14:textId="77777777" w:rsidR="007E7472" w:rsidRDefault="00C8327E">
                    <w:pPr>
                      <w:jc w:val="right"/>
                      <w:rPr>
                        <w:spacing w:val="-20"/>
                        <w:sz w:val="18"/>
                        <w:szCs w:val="18"/>
                      </w:rPr>
                    </w:pPr>
                  </w:p>
                </w:tc>
              </w:tr>
              <w:tr w:rsidR="007E7472" w14:paraId="32C27562" w14:textId="77777777">
                <w:trPr>
                  <w:trHeight w:val="20"/>
                </w:trPr>
                <w:sdt>
                  <w:sdtPr>
                    <w:tag w:val="_PLD_494f8b7216f946d9a09f6954da6ee226"/>
                    <w:id w:val="-147522990"/>
                    <w:lock w:val="sdtLocked"/>
                  </w:sdtPr>
                  <w:sdtEndPr/>
                  <w:sdtContent>
                    <w:tc>
                      <w:tcPr>
                        <w:tcW w:w="2394" w:type="dxa"/>
                      </w:tcPr>
                      <w:p w14:paraId="5C5727AA" w14:textId="77777777" w:rsidR="007E7472" w:rsidRDefault="00EC1269">
                        <w:pPr>
                          <w:ind w:firstLineChars="200" w:firstLine="420"/>
                          <w:rPr>
                            <w:sz w:val="18"/>
                            <w:szCs w:val="18"/>
                          </w:rPr>
                        </w:pPr>
                        <w:r>
                          <w:rPr>
                            <w:sz w:val="18"/>
                            <w:szCs w:val="18"/>
                          </w:rPr>
                          <w:t>前期差错更正</w:t>
                        </w:r>
                      </w:p>
                    </w:tc>
                  </w:sdtContent>
                </w:sdt>
                <w:tc>
                  <w:tcPr>
                    <w:tcW w:w="1078" w:type="dxa"/>
                    <w:tcBorders>
                      <w:right w:val="single" w:sz="4" w:space="0" w:color="auto"/>
                    </w:tcBorders>
                    <w:vAlign w:val="center"/>
                  </w:tcPr>
                  <w:p w14:paraId="169992AE" w14:textId="77777777" w:rsidR="007E7472" w:rsidRDefault="00C8327E">
                    <w:pPr>
                      <w:jc w:val="right"/>
                      <w:rPr>
                        <w:spacing w:val="-20"/>
                        <w:sz w:val="18"/>
                        <w:szCs w:val="18"/>
                      </w:rPr>
                    </w:pPr>
                  </w:p>
                </w:tc>
                <w:tc>
                  <w:tcPr>
                    <w:tcW w:w="807" w:type="dxa"/>
                    <w:tcBorders>
                      <w:left w:val="single" w:sz="4" w:space="0" w:color="auto"/>
                      <w:right w:val="single" w:sz="4" w:space="0" w:color="auto"/>
                    </w:tcBorders>
                    <w:vAlign w:val="center"/>
                  </w:tcPr>
                  <w:p w14:paraId="1C9CE299" w14:textId="77777777" w:rsidR="007E7472" w:rsidRDefault="00C8327E">
                    <w:pPr>
                      <w:jc w:val="right"/>
                      <w:rPr>
                        <w:spacing w:val="-20"/>
                        <w:sz w:val="18"/>
                        <w:szCs w:val="18"/>
                      </w:rPr>
                    </w:pPr>
                  </w:p>
                </w:tc>
                <w:tc>
                  <w:tcPr>
                    <w:tcW w:w="1134" w:type="dxa"/>
                    <w:tcBorders>
                      <w:left w:val="single" w:sz="4" w:space="0" w:color="auto"/>
                      <w:right w:val="single" w:sz="4" w:space="0" w:color="auto"/>
                    </w:tcBorders>
                    <w:vAlign w:val="center"/>
                  </w:tcPr>
                  <w:p w14:paraId="49ADC2B3" w14:textId="77777777" w:rsidR="007E7472" w:rsidRDefault="00C8327E">
                    <w:pPr>
                      <w:jc w:val="right"/>
                      <w:rPr>
                        <w:spacing w:val="-20"/>
                        <w:sz w:val="18"/>
                        <w:szCs w:val="18"/>
                      </w:rPr>
                    </w:pPr>
                  </w:p>
                </w:tc>
                <w:tc>
                  <w:tcPr>
                    <w:tcW w:w="1278" w:type="dxa"/>
                    <w:tcBorders>
                      <w:left w:val="single" w:sz="4" w:space="0" w:color="auto"/>
                      <w:right w:val="single" w:sz="4" w:space="0" w:color="auto"/>
                    </w:tcBorders>
                    <w:vAlign w:val="center"/>
                  </w:tcPr>
                  <w:p w14:paraId="2A1332EE" w14:textId="77777777" w:rsidR="007E7472" w:rsidRDefault="00C8327E">
                    <w:pPr>
                      <w:jc w:val="right"/>
                      <w:rPr>
                        <w:spacing w:val="-20"/>
                        <w:sz w:val="18"/>
                        <w:szCs w:val="18"/>
                      </w:rPr>
                    </w:pPr>
                  </w:p>
                </w:tc>
                <w:tc>
                  <w:tcPr>
                    <w:tcW w:w="1036" w:type="dxa"/>
                    <w:tcBorders>
                      <w:left w:val="single" w:sz="4" w:space="0" w:color="auto"/>
                    </w:tcBorders>
                    <w:vAlign w:val="center"/>
                  </w:tcPr>
                  <w:p w14:paraId="3D95AF80" w14:textId="77777777" w:rsidR="007E7472" w:rsidRDefault="00C8327E">
                    <w:pPr>
                      <w:jc w:val="right"/>
                      <w:rPr>
                        <w:spacing w:val="-20"/>
                        <w:sz w:val="18"/>
                        <w:szCs w:val="18"/>
                      </w:rPr>
                    </w:pPr>
                  </w:p>
                </w:tc>
                <w:tc>
                  <w:tcPr>
                    <w:tcW w:w="1064" w:type="dxa"/>
                    <w:vAlign w:val="center"/>
                  </w:tcPr>
                  <w:p w14:paraId="327A8F94" w14:textId="77777777" w:rsidR="007E7472" w:rsidRDefault="00C8327E">
                    <w:pPr>
                      <w:jc w:val="right"/>
                      <w:rPr>
                        <w:spacing w:val="-20"/>
                        <w:sz w:val="18"/>
                        <w:szCs w:val="18"/>
                      </w:rPr>
                    </w:pPr>
                  </w:p>
                </w:tc>
                <w:tc>
                  <w:tcPr>
                    <w:tcW w:w="1022" w:type="dxa"/>
                    <w:vAlign w:val="center"/>
                  </w:tcPr>
                  <w:p w14:paraId="22E2DE95" w14:textId="77777777" w:rsidR="007E7472" w:rsidRDefault="00C8327E">
                    <w:pPr>
                      <w:jc w:val="right"/>
                      <w:rPr>
                        <w:spacing w:val="-20"/>
                        <w:sz w:val="18"/>
                        <w:szCs w:val="18"/>
                      </w:rPr>
                    </w:pPr>
                  </w:p>
                </w:tc>
                <w:tc>
                  <w:tcPr>
                    <w:tcW w:w="1036" w:type="dxa"/>
                    <w:vAlign w:val="center"/>
                  </w:tcPr>
                  <w:p w14:paraId="7481CE58" w14:textId="77777777" w:rsidR="007E7472" w:rsidRDefault="00C8327E">
                    <w:pPr>
                      <w:jc w:val="right"/>
                      <w:rPr>
                        <w:spacing w:val="-20"/>
                        <w:sz w:val="18"/>
                        <w:szCs w:val="18"/>
                      </w:rPr>
                    </w:pPr>
                  </w:p>
                </w:tc>
                <w:tc>
                  <w:tcPr>
                    <w:tcW w:w="942" w:type="dxa"/>
                    <w:vAlign w:val="center"/>
                  </w:tcPr>
                  <w:p w14:paraId="32D60C77" w14:textId="77777777" w:rsidR="007E7472" w:rsidRDefault="00C8327E">
                    <w:pPr>
                      <w:jc w:val="right"/>
                      <w:rPr>
                        <w:spacing w:val="-20"/>
                        <w:sz w:val="18"/>
                        <w:szCs w:val="18"/>
                      </w:rPr>
                    </w:pPr>
                  </w:p>
                </w:tc>
                <w:tc>
                  <w:tcPr>
                    <w:tcW w:w="993" w:type="dxa"/>
                    <w:vAlign w:val="center"/>
                  </w:tcPr>
                  <w:p w14:paraId="58A90CDE" w14:textId="77777777" w:rsidR="007E7472" w:rsidRDefault="00C8327E">
                    <w:pPr>
                      <w:jc w:val="right"/>
                      <w:rPr>
                        <w:spacing w:val="-20"/>
                        <w:sz w:val="18"/>
                        <w:szCs w:val="18"/>
                      </w:rPr>
                    </w:pPr>
                  </w:p>
                </w:tc>
                <w:tc>
                  <w:tcPr>
                    <w:tcW w:w="1120" w:type="dxa"/>
                    <w:vAlign w:val="center"/>
                  </w:tcPr>
                  <w:p w14:paraId="685F801B" w14:textId="77777777" w:rsidR="007E7472" w:rsidRDefault="00C8327E">
                    <w:pPr>
                      <w:jc w:val="right"/>
                      <w:rPr>
                        <w:spacing w:val="-20"/>
                        <w:sz w:val="18"/>
                        <w:szCs w:val="18"/>
                      </w:rPr>
                    </w:pPr>
                  </w:p>
                </w:tc>
              </w:tr>
              <w:tr w:rsidR="007E7472" w14:paraId="405F0004" w14:textId="77777777">
                <w:trPr>
                  <w:trHeight w:val="20"/>
                </w:trPr>
                <w:sdt>
                  <w:sdtPr>
                    <w:tag w:val="_PLD_cdd9f72b38894c3eb70b005a61432c29"/>
                    <w:id w:val="-1977671064"/>
                    <w:lock w:val="sdtLocked"/>
                  </w:sdtPr>
                  <w:sdtEndPr/>
                  <w:sdtContent>
                    <w:tc>
                      <w:tcPr>
                        <w:tcW w:w="2394" w:type="dxa"/>
                      </w:tcPr>
                      <w:p w14:paraId="691E07D1" w14:textId="77777777" w:rsidR="007E7472" w:rsidRDefault="00EC1269">
                        <w:pPr>
                          <w:ind w:firstLineChars="200" w:firstLine="420"/>
                          <w:rPr>
                            <w:sz w:val="18"/>
                            <w:szCs w:val="18"/>
                          </w:rPr>
                        </w:pPr>
                        <w:r>
                          <w:rPr>
                            <w:rFonts w:hint="eastAsia"/>
                            <w:sz w:val="18"/>
                            <w:szCs w:val="18"/>
                          </w:rPr>
                          <w:t>其他</w:t>
                        </w:r>
                      </w:p>
                    </w:tc>
                  </w:sdtContent>
                </w:sdt>
                <w:tc>
                  <w:tcPr>
                    <w:tcW w:w="1078" w:type="dxa"/>
                    <w:tcBorders>
                      <w:right w:val="single" w:sz="4" w:space="0" w:color="auto"/>
                    </w:tcBorders>
                    <w:vAlign w:val="center"/>
                  </w:tcPr>
                  <w:p w14:paraId="401EC740" w14:textId="77777777" w:rsidR="007E7472" w:rsidRDefault="00C8327E">
                    <w:pPr>
                      <w:jc w:val="right"/>
                      <w:rPr>
                        <w:spacing w:val="-20"/>
                        <w:sz w:val="18"/>
                        <w:szCs w:val="18"/>
                      </w:rPr>
                    </w:pPr>
                  </w:p>
                </w:tc>
                <w:tc>
                  <w:tcPr>
                    <w:tcW w:w="807" w:type="dxa"/>
                    <w:tcBorders>
                      <w:left w:val="single" w:sz="4" w:space="0" w:color="auto"/>
                      <w:right w:val="single" w:sz="4" w:space="0" w:color="auto"/>
                    </w:tcBorders>
                    <w:vAlign w:val="center"/>
                  </w:tcPr>
                  <w:p w14:paraId="77CEB26C" w14:textId="77777777" w:rsidR="007E7472" w:rsidRDefault="00C8327E">
                    <w:pPr>
                      <w:jc w:val="right"/>
                      <w:rPr>
                        <w:spacing w:val="-20"/>
                        <w:sz w:val="18"/>
                        <w:szCs w:val="18"/>
                      </w:rPr>
                    </w:pPr>
                  </w:p>
                </w:tc>
                <w:tc>
                  <w:tcPr>
                    <w:tcW w:w="1134" w:type="dxa"/>
                    <w:tcBorders>
                      <w:left w:val="single" w:sz="4" w:space="0" w:color="auto"/>
                      <w:right w:val="single" w:sz="4" w:space="0" w:color="auto"/>
                    </w:tcBorders>
                    <w:vAlign w:val="center"/>
                  </w:tcPr>
                  <w:p w14:paraId="4F9FC0B6" w14:textId="77777777" w:rsidR="007E7472" w:rsidRDefault="00C8327E">
                    <w:pPr>
                      <w:jc w:val="right"/>
                      <w:rPr>
                        <w:spacing w:val="-20"/>
                        <w:sz w:val="18"/>
                        <w:szCs w:val="18"/>
                      </w:rPr>
                    </w:pPr>
                  </w:p>
                </w:tc>
                <w:tc>
                  <w:tcPr>
                    <w:tcW w:w="1278" w:type="dxa"/>
                    <w:tcBorders>
                      <w:left w:val="single" w:sz="4" w:space="0" w:color="auto"/>
                      <w:right w:val="single" w:sz="4" w:space="0" w:color="auto"/>
                    </w:tcBorders>
                    <w:vAlign w:val="center"/>
                  </w:tcPr>
                  <w:p w14:paraId="3EB0DA1D" w14:textId="77777777" w:rsidR="007E7472" w:rsidRDefault="00C8327E">
                    <w:pPr>
                      <w:jc w:val="right"/>
                      <w:rPr>
                        <w:spacing w:val="-20"/>
                        <w:sz w:val="18"/>
                        <w:szCs w:val="18"/>
                      </w:rPr>
                    </w:pPr>
                  </w:p>
                </w:tc>
                <w:tc>
                  <w:tcPr>
                    <w:tcW w:w="1036" w:type="dxa"/>
                    <w:tcBorders>
                      <w:left w:val="single" w:sz="4" w:space="0" w:color="auto"/>
                    </w:tcBorders>
                    <w:vAlign w:val="center"/>
                  </w:tcPr>
                  <w:p w14:paraId="21AC55C4" w14:textId="77777777" w:rsidR="007E7472" w:rsidRDefault="00C8327E">
                    <w:pPr>
                      <w:jc w:val="right"/>
                      <w:rPr>
                        <w:spacing w:val="-20"/>
                        <w:sz w:val="18"/>
                        <w:szCs w:val="18"/>
                      </w:rPr>
                    </w:pPr>
                  </w:p>
                </w:tc>
                <w:tc>
                  <w:tcPr>
                    <w:tcW w:w="1064" w:type="dxa"/>
                    <w:vAlign w:val="center"/>
                  </w:tcPr>
                  <w:p w14:paraId="6B6301C3" w14:textId="77777777" w:rsidR="007E7472" w:rsidRDefault="00C8327E">
                    <w:pPr>
                      <w:jc w:val="right"/>
                      <w:rPr>
                        <w:spacing w:val="-20"/>
                        <w:sz w:val="18"/>
                        <w:szCs w:val="18"/>
                      </w:rPr>
                    </w:pPr>
                  </w:p>
                </w:tc>
                <w:tc>
                  <w:tcPr>
                    <w:tcW w:w="1022" w:type="dxa"/>
                    <w:vAlign w:val="center"/>
                  </w:tcPr>
                  <w:p w14:paraId="50479392" w14:textId="77777777" w:rsidR="007E7472" w:rsidRDefault="00C8327E">
                    <w:pPr>
                      <w:jc w:val="right"/>
                      <w:rPr>
                        <w:spacing w:val="-20"/>
                        <w:sz w:val="18"/>
                        <w:szCs w:val="18"/>
                      </w:rPr>
                    </w:pPr>
                  </w:p>
                </w:tc>
                <w:tc>
                  <w:tcPr>
                    <w:tcW w:w="1036" w:type="dxa"/>
                    <w:vAlign w:val="center"/>
                  </w:tcPr>
                  <w:p w14:paraId="64F51A15" w14:textId="77777777" w:rsidR="007E7472" w:rsidRDefault="00C8327E">
                    <w:pPr>
                      <w:jc w:val="right"/>
                      <w:rPr>
                        <w:spacing w:val="-20"/>
                        <w:sz w:val="18"/>
                        <w:szCs w:val="18"/>
                      </w:rPr>
                    </w:pPr>
                  </w:p>
                </w:tc>
                <w:tc>
                  <w:tcPr>
                    <w:tcW w:w="942" w:type="dxa"/>
                    <w:vAlign w:val="center"/>
                  </w:tcPr>
                  <w:p w14:paraId="29F693DD" w14:textId="77777777" w:rsidR="007E7472" w:rsidRDefault="00C8327E">
                    <w:pPr>
                      <w:jc w:val="right"/>
                      <w:rPr>
                        <w:spacing w:val="-20"/>
                        <w:sz w:val="18"/>
                        <w:szCs w:val="18"/>
                      </w:rPr>
                    </w:pPr>
                  </w:p>
                </w:tc>
                <w:tc>
                  <w:tcPr>
                    <w:tcW w:w="993" w:type="dxa"/>
                    <w:vAlign w:val="center"/>
                  </w:tcPr>
                  <w:p w14:paraId="73933EE7" w14:textId="77777777" w:rsidR="007E7472" w:rsidRDefault="00C8327E">
                    <w:pPr>
                      <w:jc w:val="right"/>
                      <w:rPr>
                        <w:spacing w:val="-20"/>
                        <w:sz w:val="18"/>
                        <w:szCs w:val="18"/>
                      </w:rPr>
                    </w:pPr>
                  </w:p>
                </w:tc>
                <w:tc>
                  <w:tcPr>
                    <w:tcW w:w="1120" w:type="dxa"/>
                    <w:vAlign w:val="center"/>
                  </w:tcPr>
                  <w:p w14:paraId="72E117E7" w14:textId="77777777" w:rsidR="007E7472" w:rsidRDefault="00C8327E">
                    <w:pPr>
                      <w:jc w:val="right"/>
                      <w:rPr>
                        <w:spacing w:val="-20"/>
                        <w:sz w:val="18"/>
                        <w:szCs w:val="18"/>
                      </w:rPr>
                    </w:pPr>
                  </w:p>
                </w:tc>
              </w:tr>
              <w:tr w:rsidR="007E7472" w14:paraId="0597E9C0" w14:textId="77777777">
                <w:trPr>
                  <w:trHeight w:val="20"/>
                </w:trPr>
                <w:sdt>
                  <w:sdtPr>
                    <w:tag w:val="_PLD_8593e1735c664981bacefcb1a0cab245"/>
                    <w:id w:val="1187176969"/>
                    <w:lock w:val="sdtLocked"/>
                  </w:sdtPr>
                  <w:sdtEndPr/>
                  <w:sdtContent>
                    <w:tc>
                      <w:tcPr>
                        <w:tcW w:w="2394" w:type="dxa"/>
                      </w:tcPr>
                      <w:p w14:paraId="1790601D" w14:textId="77777777" w:rsidR="007E7472" w:rsidRDefault="00EC1269">
                        <w:pPr>
                          <w:rPr>
                            <w:sz w:val="18"/>
                            <w:szCs w:val="18"/>
                          </w:rPr>
                        </w:pPr>
                        <w:r>
                          <w:rPr>
                            <w:sz w:val="18"/>
                            <w:szCs w:val="18"/>
                          </w:rPr>
                          <w:t>二、本年</w:t>
                        </w:r>
                        <w:r>
                          <w:rPr>
                            <w:rFonts w:hint="eastAsia"/>
                            <w:sz w:val="18"/>
                            <w:szCs w:val="18"/>
                          </w:rPr>
                          <w:t>期</w:t>
                        </w:r>
                        <w:r>
                          <w:rPr>
                            <w:sz w:val="18"/>
                            <w:szCs w:val="18"/>
                          </w:rPr>
                          <w:t>初余额</w:t>
                        </w:r>
                      </w:p>
                    </w:tc>
                  </w:sdtContent>
                </w:sdt>
                <w:tc>
                  <w:tcPr>
                    <w:tcW w:w="1078" w:type="dxa"/>
                    <w:tcBorders>
                      <w:right w:val="single" w:sz="4" w:space="0" w:color="auto"/>
                    </w:tcBorders>
                    <w:vAlign w:val="center"/>
                  </w:tcPr>
                  <w:p w14:paraId="18C3F707" w14:textId="77777777" w:rsidR="007E7472" w:rsidRDefault="00EC1269">
                    <w:pPr>
                      <w:jc w:val="right"/>
                      <w:rPr>
                        <w:spacing w:val="-20"/>
                        <w:sz w:val="18"/>
                        <w:szCs w:val="18"/>
                      </w:rPr>
                    </w:pPr>
                    <w:r>
                      <w:rPr>
                        <w:rFonts w:hint="eastAsia"/>
                        <w:spacing w:val="-20"/>
                        <w:sz w:val="18"/>
                        <w:szCs w:val="18"/>
                      </w:rPr>
                      <w:t>4,874,184</w:t>
                    </w:r>
                  </w:p>
                </w:tc>
                <w:tc>
                  <w:tcPr>
                    <w:tcW w:w="807" w:type="dxa"/>
                    <w:tcBorders>
                      <w:left w:val="single" w:sz="4" w:space="0" w:color="auto"/>
                      <w:right w:val="single" w:sz="4" w:space="0" w:color="auto"/>
                    </w:tcBorders>
                  </w:tcPr>
                  <w:p w14:paraId="30E88DC1" w14:textId="77777777" w:rsidR="007E7472" w:rsidRDefault="00C8327E">
                    <w:pPr>
                      <w:jc w:val="right"/>
                      <w:rPr>
                        <w:spacing w:val="-20"/>
                        <w:sz w:val="18"/>
                        <w:szCs w:val="18"/>
                      </w:rPr>
                    </w:pPr>
                  </w:p>
                </w:tc>
                <w:tc>
                  <w:tcPr>
                    <w:tcW w:w="1134" w:type="dxa"/>
                    <w:tcBorders>
                      <w:left w:val="single" w:sz="4" w:space="0" w:color="auto"/>
                      <w:right w:val="single" w:sz="4" w:space="0" w:color="auto"/>
                    </w:tcBorders>
                    <w:vAlign w:val="center"/>
                  </w:tcPr>
                  <w:p w14:paraId="6492E028" w14:textId="77777777" w:rsidR="007E7472" w:rsidRDefault="00EC1269">
                    <w:pPr>
                      <w:jc w:val="right"/>
                      <w:rPr>
                        <w:spacing w:val="-20"/>
                        <w:sz w:val="18"/>
                        <w:szCs w:val="18"/>
                      </w:rPr>
                    </w:pPr>
                    <w:r>
                      <w:rPr>
                        <w:rFonts w:hint="eastAsia"/>
                        <w:spacing w:val="-20"/>
                        <w:sz w:val="18"/>
                        <w:szCs w:val="18"/>
                      </w:rPr>
                      <w:t>8,118,100</w:t>
                    </w:r>
                  </w:p>
                </w:tc>
                <w:tc>
                  <w:tcPr>
                    <w:tcW w:w="1278" w:type="dxa"/>
                    <w:tcBorders>
                      <w:left w:val="single" w:sz="4" w:space="0" w:color="auto"/>
                      <w:right w:val="single" w:sz="4" w:space="0" w:color="auto"/>
                    </w:tcBorders>
                  </w:tcPr>
                  <w:p w14:paraId="71AE3D76" w14:textId="77777777" w:rsidR="007E7472" w:rsidRDefault="00C8327E">
                    <w:pPr>
                      <w:jc w:val="right"/>
                      <w:rPr>
                        <w:spacing w:val="-20"/>
                        <w:sz w:val="18"/>
                        <w:szCs w:val="18"/>
                      </w:rPr>
                    </w:pPr>
                  </w:p>
                </w:tc>
                <w:tc>
                  <w:tcPr>
                    <w:tcW w:w="1036" w:type="dxa"/>
                    <w:tcBorders>
                      <w:left w:val="single" w:sz="4" w:space="0" w:color="auto"/>
                    </w:tcBorders>
                    <w:vAlign w:val="center"/>
                  </w:tcPr>
                  <w:p w14:paraId="4478DD64" w14:textId="77777777" w:rsidR="007E7472" w:rsidRDefault="00EC1269">
                    <w:pPr>
                      <w:jc w:val="right"/>
                      <w:rPr>
                        <w:spacing w:val="-20"/>
                        <w:sz w:val="18"/>
                        <w:szCs w:val="18"/>
                      </w:rPr>
                    </w:pPr>
                    <w:r>
                      <w:rPr>
                        <w:rFonts w:hint="eastAsia"/>
                        <w:spacing w:val="-20"/>
                        <w:sz w:val="18"/>
                        <w:szCs w:val="18"/>
                      </w:rPr>
                      <w:t>31,720</w:t>
                    </w:r>
                  </w:p>
                </w:tc>
                <w:tc>
                  <w:tcPr>
                    <w:tcW w:w="1064" w:type="dxa"/>
                  </w:tcPr>
                  <w:p w14:paraId="6BD2132D" w14:textId="77777777" w:rsidR="007E7472" w:rsidRDefault="00C8327E">
                    <w:pPr>
                      <w:jc w:val="right"/>
                      <w:rPr>
                        <w:spacing w:val="-20"/>
                        <w:sz w:val="18"/>
                        <w:szCs w:val="18"/>
                      </w:rPr>
                    </w:pPr>
                  </w:p>
                </w:tc>
                <w:tc>
                  <w:tcPr>
                    <w:tcW w:w="1022" w:type="dxa"/>
                    <w:vAlign w:val="center"/>
                  </w:tcPr>
                  <w:p w14:paraId="75369AFB" w14:textId="77777777" w:rsidR="007E7472" w:rsidRDefault="00EC1269">
                    <w:pPr>
                      <w:jc w:val="right"/>
                      <w:rPr>
                        <w:spacing w:val="-20"/>
                        <w:sz w:val="18"/>
                        <w:szCs w:val="18"/>
                      </w:rPr>
                    </w:pPr>
                    <w:r>
                      <w:rPr>
                        <w:rFonts w:hint="eastAsia"/>
                        <w:spacing w:val="-20"/>
                        <w:sz w:val="18"/>
                        <w:szCs w:val="18"/>
                      </w:rPr>
                      <w:t>151,802</w:t>
                    </w:r>
                  </w:p>
                </w:tc>
                <w:tc>
                  <w:tcPr>
                    <w:tcW w:w="1036" w:type="dxa"/>
                    <w:vAlign w:val="center"/>
                  </w:tcPr>
                  <w:p w14:paraId="4AE49647" w14:textId="77777777" w:rsidR="007E7472" w:rsidRDefault="00EC1269">
                    <w:pPr>
                      <w:jc w:val="right"/>
                      <w:rPr>
                        <w:spacing w:val="-20"/>
                        <w:sz w:val="18"/>
                        <w:szCs w:val="18"/>
                      </w:rPr>
                    </w:pPr>
                    <w:r>
                      <w:rPr>
                        <w:rFonts w:hint="eastAsia"/>
                        <w:spacing w:val="-20"/>
                        <w:sz w:val="18"/>
                        <w:szCs w:val="18"/>
                      </w:rPr>
                      <w:t>2,846,444</w:t>
                    </w:r>
                  </w:p>
                </w:tc>
                <w:tc>
                  <w:tcPr>
                    <w:tcW w:w="942" w:type="dxa"/>
                    <w:vAlign w:val="center"/>
                  </w:tcPr>
                  <w:p w14:paraId="3E660ED0" w14:textId="77777777" w:rsidR="007E7472" w:rsidRDefault="00EC1269">
                    <w:pPr>
                      <w:jc w:val="right"/>
                      <w:rPr>
                        <w:spacing w:val="-20"/>
                        <w:sz w:val="18"/>
                        <w:szCs w:val="18"/>
                      </w:rPr>
                    </w:pPr>
                    <w:r>
                      <w:rPr>
                        <w:rFonts w:hint="eastAsia"/>
                        <w:spacing w:val="-20"/>
                        <w:sz w:val="18"/>
                        <w:szCs w:val="18"/>
                      </w:rPr>
                      <w:t>2,703,146</w:t>
                    </w:r>
                  </w:p>
                </w:tc>
                <w:tc>
                  <w:tcPr>
                    <w:tcW w:w="993" w:type="dxa"/>
                    <w:vAlign w:val="center"/>
                  </w:tcPr>
                  <w:p w14:paraId="6C53266A" w14:textId="77777777" w:rsidR="007E7472" w:rsidRDefault="00EC1269">
                    <w:pPr>
                      <w:jc w:val="right"/>
                      <w:rPr>
                        <w:spacing w:val="-20"/>
                        <w:sz w:val="18"/>
                        <w:szCs w:val="18"/>
                      </w:rPr>
                    </w:pPr>
                    <w:r>
                      <w:rPr>
                        <w:rFonts w:hint="eastAsia"/>
                        <w:spacing w:val="-20"/>
                        <w:sz w:val="18"/>
                        <w:szCs w:val="18"/>
                      </w:rPr>
                      <w:t>37,388,825</w:t>
                    </w:r>
                  </w:p>
                </w:tc>
                <w:tc>
                  <w:tcPr>
                    <w:tcW w:w="1120" w:type="dxa"/>
                    <w:vAlign w:val="center"/>
                  </w:tcPr>
                  <w:p w14:paraId="4CF59D14" w14:textId="77777777" w:rsidR="007E7472" w:rsidRDefault="00EC1269">
                    <w:pPr>
                      <w:jc w:val="right"/>
                      <w:rPr>
                        <w:spacing w:val="-20"/>
                        <w:sz w:val="18"/>
                        <w:szCs w:val="18"/>
                      </w:rPr>
                    </w:pPr>
                    <w:r>
                      <w:rPr>
                        <w:spacing w:val="-20"/>
                        <w:sz w:val="18"/>
                        <w:szCs w:val="18"/>
                      </w:rPr>
                      <w:t>56,114,221</w:t>
                    </w:r>
                  </w:p>
                </w:tc>
              </w:tr>
              <w:tr w:rsidR="007E7472" w14:paraId="33B9EE23" w14:textId="77777777">
                <w:trPr>
                  <w:trHeight w:val="20"/>
                </w:trPr>
                <w:sdt>
                  <w:sdtPr>
                    <w:tag w:val="_PLD_9ce2d31f4fd34371930cec7fd79a4318"/>
                    <w:id w:val="-459808959"/>
                    <w:lock w:val="sdtLocked"/>
                  </w:sdtPr>
                  <w:sdtEndPr/>
                  <w:sdtContent>
                    <w:tc>
                      <w:tcPr>
                        <w:tcW w:w="2394" w:type="dxa"/>
                      </w:tcPr>
                      <w:p w14:paraId="2FEF2A4A" w14:textId="77777777" w:rsidR="007E7472" w:rsidRDefault="00EC1269">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1078" w:type="dxa"/>
                    <w:tcBorders>
                      <w:right w:val="single" w:sz="4" w:space="0" w:color="auto"/>
                    </w:tcBorders>
                    <w:vAlign w:val="center"/>
                  </w:tcPr>
                  <w:p w14:paraId="053633ED" w14:textId="77777777" w:rsidR="007E7472" w:rsidRDefault="00EC1269">
                    <w:pPr>
                      <w:jc w:val="right"/>
                      <w:rPr>
                        <w:spacing w:val="-20"/>
                        <w:sz w:val="18"/>
                        <w:szCs w:val="18"/>
                      </w:rPr>
                    </w:pPr>
                    <w:r>
                      <w:rPr>
                        <w:rFonts w:hint="eastAsia"/>
                        <w:spacing w:val="-20"/>
                        <w:sz w:val="18"/>
                        <w:szCs w:val="18"/>
                      </w:rPr>
                      <w:t>74,520</w:t>
                    </w:r>
                  </w:p>
                </w:tc>
                <w:tc>
                  <w:tcPr>
                    <w:tcW w:w="807" w:type="dxa"/>
                    <w:tcBorders>
                      <w:left w:val="single" w:sz="4" w:space="0" w:color="auto"/>
                      <w:right w:val="single" w:sz="4" w:space="0" w:color="auto"/>
                    </w:tcBorders>
                  </w:tcPr>
                  <w:p w14:paraId="0B72B2D0" w14:textId="77777777" w:rsidR="007E7472" w:rsidRDefault="00C8327E">
                    <w:pPr>
                      <w:jc w:val="right"/>
                      <w:rPr>
                        <w:spacing w:val="-20"/>
                        <w:sz w:val="18"/>
                        <w:szCs w:val="18"/>
                      </w:rPr>
                    </w:pPr>
                  </w:p>
                </w:tc>
                <w:tc>
                  <w:tcPr>
                    <w:tcW w:w="1134" w:type="dxa"/>
                    <w:tcBorders>
                      <w:left w:val="single" w:sz="4" w:space="0" w:color="auto"/>
                      <w:right w:val="single" w:sz="4" w:space="0" w:color="auto"/>
                    </w:tcBorders>
                    <w:vAlign w:val="center"/>
                  </w:tcPr>
                  <w:p w14:paraId="4A429361" w14:textId="77777777" w:rsidR="007E7472" w:rsidRDefault="00EC1269">
                    <w:pPr>
                      <w:jc w:val="right"/>
                      <w:rPr>
                        <w:spacing w:val="-20"/>
                        <w:sz w:val="18"/>
                        <w:szCs w:val="18"/>
                      </w:rPr>
                    </w:pPr>
                    <w:r>
                      <w:rPr>
                        <w:rFonts w:hint="eastAsia"/>
                        <w:spacing w:val="-20"/>
                        <w:sz w:val="18"/>
                        <w:szCs w:val="18"/>
                      </w:rPr>
                      <w:t>4,954,29</w:t>
                    </w:r>
                    <w:r>
                      <w:rPr>
                        <w:spacing w:val="-20"/>
                        <w:sz w:val="18"/>
                        <w:szCs w:val="18"/>
                      </w:rPr>
                      <w:t>7</w:t>
                    </w:r>
                  </w:p>
                </w:tc>
                <w:tc>
                  <w:tcPr>
                    <w:tcW w:w="1278" w:type="dxa"/>
                    <w:tcBorders>
                      <w:left w:val="single" w:sz="4" w:space="0" w:color="auto"/>
                    </w:tcBorders>
                  </w:tcPr>
                  <w:p w14:paraId="771CC474" w14:textId="77777777" w:rsidR="007E7472" w:rsidRDefault="00C8327E">
                    <w:pPr>
                      <w:jc w:val="right"/>
                      <w:rPr>
                        <w:spacing w:val="-20"/>
                        <w:sz w:val="18"/>
                        <w:szCs w:val="18"/>
                      </w:rPr>
                    </w:pPr>
                  </w:p>
                </w:tc>
                <w:tc>
                  <w:tcPr>
                    <w:tcW w:w="1036" w:type="dxa"/>
                    <w:vAlign w:val="center"/>
                  </w:tcPr>
                  <w:p w14:paraId="25A99CA4" w14:textId="77777777" w:rsidR="007E7472" w:rsidRDefault="00EC1269">
                    <w:pPr>
                      <w:jc w:val="right"/>
                      <w:rPr>
                        <w:spacing w:val="-20"/>
                        <w:sz w:val="18"/>
                        <w:szCs w:val="18"/>
                      </w:rPr>
                    </w:pPr>
                    <w:r>
                      <w:rPr>
                        <w:rFonts w:hint="eastAsia"/>
                        <w:spacing w:val="-20"/>
                        <w:sz w:val="18"/>
                        <w:szCs w:val="18"/>
                      </w:rPr>
                      <w:t>855,631</w:t>
                    </w:r>
                  </w:p>
                </w:tc>
                <w:tc>
                  <w:tcPr>
                    <w:tcW w:w="1064" w:type="dxa"/>
                    <w:vAlign w:val="center"/>
                  </w:tcPr>
                  <w:p w14:paraId="76EAF4D9" w14:textId="77777777" w:rsidR="007E7472" w:rsidRDefault="00EC1269">
                    <w:pPr>
                      <w:jc w:val="right"/>
                      <w:rPr>
                        <w:spacing w:val="-20"/>
                        <w:sz w:val="18"/>
                        <w:szCs w:val="18"/>
                      </w:rPr>
                    </w:pPr>
                    <w:r>
                      <w:rPr>
                        <w:rFonts w:hint="eastAsia"/>
                        <w:spacing w:val="-20"/>
                        <w:sz w:val="18"/>
                        <w:szCs w:val="18"/>
                      </w:rPr>
                      <w:t>723,593</w:t>
                    </w:r>
                  </w:p>
                </w:tc>
                <w:tc>
                  <w:tcPr>
                    <w:tcW w:w="1022" w:type="dxa"/>
                    <w:vAlign w:val="center"/>
                  </w:tcPr>
                  <w:p w14:paraId="2EC02EA8" w14:textId="77777777" w:rsidR="007E7472" w:rsidRDefault="00EC1269">
                    <w:pPr>
                      <w:jc w:val="right"/>
                      <w:rPr>
                        <w:spacing w:val="-20"/>
                        <w:sz w:val="18"/>
                        <w:szCs w:val="18"/>
                      </w:rPr>
                    </w:pPr>
                    <w:r>
                      <w:rPr>
                        <w:rFonts w:hint="eastAsia"/>
                        <w:spacing w:val="-20"/>
                        <w:sz w:val="18"/>
                        <w:szCs w:val="18"/>
                      </w:rPr>
                      <w:t>-12,675</w:t>
                    </w:r>
                  </w:p>
                </w:tc>
                <w:tc>
                  <w:tcPr>
                    <w:tcW w:w="1036" w:type="dxa"/>
                    <w:vAlign w:val="center"/>
                  </w:tcPr>
                  <w:p w14:paraId="1DCAA665" w14:textId="77777777" w:rsidR="007E7472" w:rsidRDefault="00EC1269">
                    <w:pPr>
                      <w:jc w:val="right"/>
                      <w:rPr>
                        <w:spacing w:val="-20"/>
                        <w:sz w:val="18"/>
                        <w:szCs w:val="18"/>
                      </w:rPr>
                    </w:pPr>
                    <w:r>
                      <w:rPr>
                        <w:rFonts w:hint="eastAsia"/>
                        <w:spacing w:val="-20"/>
                        <w:sz w:val="18"/>
                        <w:szCs w:val="18"/>
                      </w:rPr>
                      <w:t>303,94</w:t>
                    </w:r>
                    <w:r>
                      <w:rPr>
                        <w:spacing w:val="-20"/>
                        <w:sz w:val="18"/>
                        <w:szCs w:val="18"/>
                      </w:rPr>
                      <w:t>6</w:t>
                    </w:r>
                  </w:p>
                </w:tc>
                <w:tc>
                  <w:tcPr>
                    <w:tcW w:w="942" w:type="dxa"/>
                  </w:tcPr>
                  <w:p w14:paraId="025E2F7C" w14:textId="77777777" w:rsidR="007E7472" w:rsidRDefault="00C8327E">
                    <w:pPr>
                      <w:jc w:val="right"/>
                      <w:rPr>
                        <w:spacing w:val="-20"/>
                        <w:sz w:val="18"/>
                        <w:szCs w:val="18"/>
                      </w:rPr>
                    </w:pPr>
                  </w:p>
                </w:tc>
                <w:tc>
                  <w:tcPr>
                    <w:tcW w:w="993" w:type="dxa"/>
                    <w:vAlign w:val="center"/>
                  </w:tcPr>
                  <w:p w14:paraId="725063C3" w14:textId="77777777" w:rsidR="007E7472" w:rsidRDefault="00EC1269">
                    <w:pPr>
                      <w:jc w:val="right"/>
                      <w:rPr>
                        <w:spacing w:val="-20"/>
                        <w:sz w:val="18"/>
                        <w:szCs w:val="18"/>
                      </w:rPr>
                    </w:pPr>
                    <w:r>
                      <w:rPr>
                        <w:rFonts w:hint="eastAsia"/>
                        <w:spacing w:val="-20"/>
                        <w:sz w:val="18"/>
                        <w:szCs w:val="18"/>
                      </w:rPr>
                      <w:t>-673,25</w:t>
                    </w:r>
                    <w:r>
                      <w:rPr>
                        <w:spacing w:val="-20"/>
                        <w:sz w:val="18"/>
                        <w:szCs w:val="18"/>
                      </w:rPr>
                      <w:t>5</w:t>
                    </w:r>
                  </w:p>
                </w:tc>
                <w:tc>
                  <w:tcPr>
                    <w:tcW w:w="1120" w:type="dxa"/>
                    <w:vAlign w:val="center"/>
                  </w:tcPr>
                  <w:p w14:paraId="11102722" w14:textId="77777777" w:rsidR="007E7472" w:rsidRDefault="00EC1269">
                    <w:pPr>
                      <w:jc w:val="right"/>
                      <w:rPr>
                        <w:spacing w:val="-20"/>
                        <w:sz w:val="18"/>
                        <w:szCs w:val="18"/>
                      </w:rPr>
                    </w:pPr>
                    <w:r>
                      <w:rPr>
                        <w:rFonts w:hint="eastAsia"/>
                        <w:spacing w:val="-20"/>
                        <w:sz w:val="18"/>
                        <w:szCs w:val="18"/>
                      </w:rPr>
                      <w:t>4,778,87</w:t>
                    </w:r>
                    <w:r>
                      <w:rPr>
                        <w:spacing w:val="-20"/>
                        <w:sz w:val="18"/>
                        <w:szCs w:val="18"/>
                      </w:rPr>
                      <w:t>1</w:t>
                    </w:r>
                  </w:p>
                </w:tc>
              </w:tr>
              <w:tr w:rsidR="007E7472" w14:paraId="31F63D17" w14:textId="77777777">
                <w:trPr>
                  <w:trHeight w:val="20"/>
                </w:trPr>
                <w:sdt>
                  <w:sdtPr>
                    <w:tag w:val="_PLD_8e61c9577cd8495fb0815773685b00bb"/>
                    <w:id w:val="831267471"/>
                    <w:lock w:val="sdtLocked"/>
                  </w:sdtPr>
                  <w:sdtEndPr/>
                  <w:sdtContent>
                    <w:tc>
                      <w:tcPr>
                        <w:tcW w:w="2394" w:type="dxa"/>
                      </w:tcPr>
                      <w:p w14:paraId="7EF183B0" w14:textId="77777777" w:rsidR="007E7472" w:rsidRDefault="00EC1269">
                        <w:pPr>
                          <w:rPr>
                            <w:sz w:val="18"/>
                            <w:szCs w:val="18"/>
                          </w:rPr>
                        </w:pPr>
                        <w:r>
                          <w:rPr>
                            <w:rFonts w:hint="eastAsia"/>
                            <w:sz w:val="18"/>
                            <w:szCs w:val="18"/>
                          </w:rPr>
                          <w:t>（一）综合收益总额</w:t>
                        </w:r>
                      </w:p>
                    </w:tc>
                  </w:sdtContent>
                </w:sdt>
                <w:tc>
                  <w:tcPr>
                    <w:tcW w:w="1078" w:type="dxa"/>
                    <w:tcBorders>
                      <w:right w:val="single" w:sz="4" w:space="0" w:color="auto"/>
                    </w:tcBorders>
                    <w:vAlign w:val="center"/>
                  </w:tcPr>
                  <w:p w14:paraId="1255E203" w14:textId="77777777" w:rsidR="007E7472" w:rsidRDefault="00C8327E">
                    <w:pPr>
                      <w:jc w:val="right"/>
                      <w:rPr>
                        <w:spacing w:val="-20"/>
                        <w:sz w:val="18"/>
                        <w:szCs w:val="18"/>
                      </w:rPr>
                    </w:pPr>
                  </w:p>
                </w:tc>
                <w:tc>
                  <w:tcPr>
                    <w:tcW w:w="807" w:type="dxa"/>
                    <w:tcBorders>
                      <w:left w:val="single" w:sz="4" w:space="0" w:color="auto"/>
                      <w:right w:val="single" w:sz="4" w:space="0" w:color="auto"/>
                    </w:tcBorders>
                    <w:vAlign w:val="center"/>
                  </w:tcPr>
                  <w:p w14:paraId="03CC564C" w14:textId="77777777" w:rsidR="007E7472" w:rsidRDefault="00C8327E">
                    <w:pPr>
                      <w:jc w:val="right"/>
                      <w:rPr>
                        <w:spacing w:val="-20"/>
                        <w:sz w:val="18"/>
                        <w:szCs w:val="18"/>
                      </w:rPr>
                    </w:pPr>
                  </w:p>
                </w:tc>
                <w:tc>
                  <w:tcPr>
                    <w:tcW w:w="1134" w:type="dxa"/>
                    <w:tcBorders>
                      <w:left w:val="single" w:sz="4" w:space="0" w:color="auto"/>
                      <w:right w:val="single" w:sz="4" w:space="0" w:color="auto"/>
                    </w:tcBorders>
                    <w:vAlign w:val="center"/>
                  </w:tcPr>
                  <w:p w14:paraId="511766D8" w14:textId="77777777" w:rsidR="007E7472" w:rsidRDefault="00EC1269">
                    <w:pPr>
                      <w:jc w:val="right"/>
                      <w:rPr>
                        <w:spacing w:val="-20"/>
                        <w:sz w:val="18"/>
                        <w:szCs w:val="18"/>
                      </w:rPr>
                    </w:pPr>
                    <w:r>
                      <w:rPr>
                        <w:rFonts w:hint="eastAsia"/>
                        <w:spacing w:val="-20"/>
                        <w:sz w:val="18"/>
                        <w:szCs w:val="18"/>
                      </w:rPr>
                      <w:t>176,92</w:t>
                    </w:r>
                    <w:r>
                      <w:rPr>
                        <w:spacing w:val="-20"/>
                        <w:sz w:val="18"/>
                        <w:szCs w:val="18"/>
                      </w:rPr>
                      <w:t>7</w:t>
                    </w:r>
                  </w:p>
                </w:tc>
                <w:tc>
                  <w:tcPr>
                    <w:tcW w:w="1278" w:type="dxa"/>
                    <w:tcBorders>
                      <w:left w:val="single" w:sz="4" w:space="0" w:color="auto"/>
                    </w:tcBorders>
                    <w:vAlign w:val="center"/>
                  </w:tcPr>
                  <w:p w14:paraId="09D14004" w14:textId="77777777" w:rsidR="007E7472" w:rsidRDefault="00C8327E">
                    <w:pPr>
                      <w:jc w:val="right"/>
                      <w:rPr>
                        <w:spacing w:val="-20"/>
                        <w:sz w:val="18"/>
                        <w:szCs w:val="18"/>
                      </w:rPr>
                    </w:pPr>
                  </w:p>
                </w:tc>
                <w:tc>
                  <w:tcPr>
                    <w:tcW w:w="1036" w:type="dxa"/>
                    <w:vAlign w:val="center"/>
                  </w:tcPr>
                  <w:p w14:paraId="3B91A13C" w14:textId="77777777" w:rsidR="007E7472" w:rsidRDefault="00C8327E">
                    <w:pPr>
                      <w:jc w:val="right"/>
                      <w:rPr>
                        <w:spacing w:val="-20"/>
                        <w:sz w:val="18"/>
                        <w:szCs w:val="18"/>
                      </w:rPr>
                    </w:pPr>
                  </w:p>
                </w:tc>
                <w:tc>
                  <w:tcPr>
                    <w:tcW w:w="1064" w:type="dxa"/>
                    <w:vAlign w:val="center"/>
                  </w:tcPr>
                  <w:p w14:paraId="5CE35516" w14:textId="77777777" w:rsidR="007E7472" w:rsidRDefault="00C8327E">
                    <w:pPr>
                      <w:jc w:val="right"/>
                      <w:rPr>
                        <w:spacing w:val="-20"/>
                        <w:sz w:val="18"/>
                        <w:szCs w:val="18"/>
                      </w:rPr>
                    </w:pPr>
                  </w:p>
                </w:tc>
                <w:tc>
                  <w:tcPr>
                    <w:tcW w:w="1022" w:type="dxa"/>
                    <w:vAlign w:val="center"/>
                  </w:tcPr>
                  <w:p w14:paraId="1844021D" w14:textId="77777777" w:rsidR="007E7472" w:rsidRDefault="00EC1269">
                    <w:pPr>
                      <w:jc w:val="right"/>
                      <w:rPr>
                        <w:spacing w:val="-20"/>
                        <w:sz w:val="18"/>
                        <w:szCs w:val="18"/>
                      </w:rPr>
                    </w:pPr>
                    <w:r>
                      <w:rPr>
                        <w:rFonts w:hint="eastAsia"/>
                        <w:spacing w:val="-20"/>
                        <w:sz w:val="18"/>
                        <w:szCs w:val="18"/>
                      </w:rPr>
                      <w:t>-12,675</w:t>
                    </w:r>
                  </w:p>
                </w:tc>
                <w:tc>
                  <w:tcPr>
                    <w:tcW w:w="1036" w:type="dxa"/>
                    <w:vAlign w:val="center"/>
                  </w:tcPr>
                  <w:p w14:paraId="0411D334" w14:textId="77777777" w:rsidR="007E7472" w:rsidRDefault="00C8327E">
                    <w:pPr>
                      <w:jc w:val="right"/>
                      <w:rPr>
                        <w:spacing w:val="-20"/>
                        <w:sz w:val="18"/>
                        <w:szCs w:val="18"/>
                      </w:rPr>
                    </w:pPr>
                  </w:p>
                </w:tc>
                <w:tc>
                  <w:tcPr>
                    <w:tcW w:w="942" w:type="dxa"/>
                    <w:vAlign w:val="center"/>
                  </w:tcPr>
                  <w:p w14:paraId="3AE01C00" w14:textId="77777777" w:rsidR="007E7472" w:rsidRDefault="00C8327E">
                    <w:pPr>
                      <w:jc w:val="right"/>
                      <w:rPr>
                        <w:spacing w:val="-20"/>
                        <w:sz w:val="18"/>
                        <w:szCs w:val="18"/>
                      </w:rPr>
                    </w:pPr>
                  </w:p>
                </w:tc>
                <w:tc>
                  <w:tcPr>
                    <w:tcW w:w="993" w:type="dxa"/>
                    <w:vAlign w:val="center"/>
                  </w:tcPr>
                  <w:p w14:paraId="429F08FC" w14:textId="77777777" w:rsidR="007E7472" w:rsidRDefault="00EC1269">
                    <w:pPr>
                      <w:jc w:val="right"/>
                      <w:rPr>
                        <w:spacing w:val="-20"/>
                        <w:sz w:val="18"/>
                        <w:szCs w:val="18"/>
                      </w:rPr>
                    </w:pPr>
                    <w:r>
                      <w:rPr>
                        <w:rFonts w:hint="eastAsia"/>
                        <w:spacing w:val="-20"/>
                        <w:sz w:val="18"/>
                        <w:szCs w:val="18"/>
                      </w:rPr>
                      <w:t>9,201,20</w:t>
                    </w:r>
                    <w:r>
                      <w:rPr>
                        <w:spacing w:val="-20"/>
                        <w:sz w:val="18"/>
                        <w:szCs w:val="18"/>
                      </w:rPr>
                      <w:t>2</w:t>
                    </w:r>
                  </w:p>
                </w:tc>
                <w:tc>
                  <w:tcPr>
                    <w:tcW w:w="1120" w:type="dxa"/>
                    <w:vAlign w:val="center"/>
                  </w:tcPr>
                  <w:p w14:paraId="6A289558" w14:textId="77777777" w:rsidR="007E7472" w:rsidRDefault="00EC1269">
                    <w:pPr>
                      <w:jc w:val="right"/>
                      <w:rPr>
                        <w:spacing w:val="-20"/>
                        <w:sz w:val="18"/>
                        <w:szCs w:val="18"/>
                      </w:rPr>
                    </w:pPr>
                    <w:r>
                      <w:rPr>
                        <w:rFonts w:hint="eastAsia"/>
                        <w:spacing w:val="-20"/>
                        <w:sz w:val="18"/>
                        <w:szCs w:val="18"/>
                      </w:rPr>
                      <w:t>9,365,454</w:t>
                    </w:r>
                  </w:p>
                </w:tc>
              </w:tr>
              <w:tr w:rsidR="007E7472" w14:paraId="014BB0E7" w14:textId="77777777">
                <w:trPr>
                  <w:trHeight w:val="20"/>
                </w:trPr>
                <w:sdt>
                  <w:sdtPr>
                    <w:tag w:val="_PLD_e11fbdac72bf4f84a5635701204e5724"/>
                    <w:id w:val="1108466086"/>
                    <w:lock w:val="sdtLocked"/>
                  </w:sdtPr>
                  <w:sdtEndPr/>
                  <w:sdtContent>
                    <w:tc>
                      <w:tcPr>
                        <w:tcW w:w="2394" w:type="dxa"/>
                      </w:tcPr>
                      <w:p w14:paraId="4E927951" w14:textId="77777777" w:rsidR="007E7472" w:rsidRDefault="00EC1269">
                        <w:pPr>
                          <w:rPr>
                            <w:sz w:val="18"/>
                            <w:szCs w:val="18"/>
                          </w:rPr>
                        </w:pPr>
                        <w:r>
                          <w:rPr>
                            <w:sz w:val="18"/>
                            <w:szCs w:val="18"/>
                          </w:rPr>
                          <w:t>（</w:t>
                        </w:r>
                        <w:r>
                          <w:rPr>
                            <w:rFonts w:hint="eastAsia"/>
                            <w:sz w:val="18"/>
                            <w:szCs w:val="18"/>
                          </w:rPr>
                          <w:t>二</w:t>
                        </w:r>
                        <w:r>
                          <w:rPr>
                            <w:sz w:val="18"/>
                            <w:szCs w:val="18"/>
                          </w:rPr>
                          <w:t>）所有者投入和减少资本</w:t>
                        </w:r>
                      </w:p>
                    </w:tc>
                  </w:sdtContent>
                </w:sdt>
                <w:tc>
                  <w:tcPr>
                    <w:tcW w:w="1078" w:type="dxa"/>
                    <w:tcBorders>
                      <w:right w:val="single" w:sz="4" w:space="0" w:color="auto"/>
                    </w:tcBorders>
                    <w:vAlign w:val="center"/>
                  </w:tcPr>
                  <w:p w14:paraId="6444E9B9" w14:textId="77777777" w:rsidR="007E7472" w:rsidRDefault="00EC1269">
                    <w:pPr>
                      <w:jc w:val="right"/>
                      <w:rPr>
                        <w:spacing w:val="-20"/>
                        <w:sz w:val="18"/>
                        <w:szCs w:val="18"/>
                      </w:rPr>
                    </w:pPr>
                    <w:r>
                      <w:rPr>
                        <w:rFonts w:hint="eastAsia"/>
                        <w:spacing w:val="-20"/>
                        <w:sz w:val="18"/>
                        <w:szCs w:val="18"/>
                      </w:rPr>
                      <w:t>74,520</w:t>
                    </w:r>
                  </w:p>
                </w:tc>
                <w:tc>
                  <w:tcPr>
                    <w:tcW w:w="807" w:type="dxa"/>
                    <w:tcBorders>
                      <w:left w:val="single" w:sz="4" w:space="0" w:color="auto"/>
                      <w:right w:val="single" w:sz="4" w:space="0" w:color="auto"/>
                    </w:tcBorders>
                  </w:tcPr>
                  <w:p w14:paraId="42C73B1E" w14:textId="77777777" w:rsidR="007E7472" w:rsidRDefault="00C8327E">
                    <w:pPr>
                      <w:jc w:val="right"/>
                      <w:rPr>
                        <w:spacing w:val="-20"/>
                        <w:sz w:val="18"/>
                        <w:szCs w:val="18"/>
                      </w:rPr>
                    </w:pPr>
                  </w:p>
                </w:tc>
                <w:tc>
                  <w:tcPr>
                    <w:tcW w:w="1134" w:type="dxa"/>
                    <w:tcBorders>
                      <w:left w:val="single" w:sz="4" w:space="0" w:color="auto"/>
                      <w:right w:val="single" w:sz="4" w:space="0" w:color="auto"/>
                    </w:tcBorders>
                    <w:vAlign w:val="center"/>
                  </w:tcPr>
                  <w:p w14:paraId="7033D0BA" w14:textId="77777777" w:rsidR="007E7472" w:rsidRDefault="00EC1269">
                    <w:pPr>
                      <w:jc w:val="right"/>
                      <w:rPr>
                        <w:spacing w:val="-20"/>
                        <w:sz w:val="18"/>
                        <w:szCs w:val="18"/>
                      </w:rPr>
                    </w:pPr>
                    <w:r>
                      <w:rPr>
                        <w:rFonts w:hint="eastAsia"/>
                        <w:spacing w:val="-20"/>
                        <w:sz w:val="18"/>
                        <w:szCs w:val="18"/>
                      </w:rPr>
                      <w:t>4,990,400</w:t>
                    </w:r>
                  </w:p>
                </w:tc>
                <w:tc>
                  <w:tcPr>
                    <w:tcW w:w="1278" w:type="dxa"/>
                    <w:tcBorders>
                      <w:left w:val="single" w:sz="4" w:space="0" w:color="auto"/>
                    </w:tcBorders>
                  </w:tcPr>
                  <w:p w14:paraId="0EDB5FD1" w14:textId="77777777" w:rsidR="007E7472" w:rsidRDefault="00C8327E">
                    <w:pPr>
                      <w:jc w:val="right"/>
                      <w:rPr>
                        <w:spacing w:val="-20"/>
                        <w:sz w:val="18"/>
                        <w:szCs w:val="18"/>
                      </w:rPr>
                    </w:pPr>
                  </w:p>
                </w:tc>
                <w:tc>
                  <w:tcPr>
                    <w:tcW w:w="1036" w:type="dxa"/>
                    <w:vAlign w:val="center"/>
                  </w:tcPr>
                  <w:p w14:paraId="10F78C4D" w14:textId="77777777" w:rsidR="007E7472" w:rsidRDefault="00EC1269">
                    <w:pPr>
                      <w:jc w:val="right"/>
                      <w:rPr>
                        <w:spacing w:val="-20"/>
                        <w:sz w:val="18"/>
                        <w:szCs w:val="18"/>
                      </w:rPr>
                    </w:pPr>
                    <w:r>
                      <w:rPr>
                        <w:rFonts w:hint="eastAsia"/>
                        <w:spacing w:val="-20"/>
                        <w:sz w:val="18"/>
                        <w:szCs w:val="18"/>
                      </w:rPr>
                      <w:t>855,631</w:t>
                    </w:r>
                  </w:p>
                </w:tc>
                <w:tc>
                  <w:tcPr>
                    <w:tcW w:w="1064" w:type="dxa"/>
                    <w:vAlign w:val="center"/>
                  </w:tcPr>
                  <w:p w14:paraId="03CE225E" w14:textId="77777777" w:rsidR="007E7472" w:rsidRDefault="00EC1269">
                    <w:pPr>
                      <w:jc w:val="right"/>
                      <w:rPr>
                        <w:spacing w:val="-20"/>
                        <w:sz w:val="18"/>
                        <w:szCs w:val="18"/>
                      </w:rPr>
                    </w:pPr>
                    <w:r>
                      <w:rPr>
                        <w:rFonts w:hint="eastAsia"/>
                        <w:spacing w:val="-20"/>
                        <w:sz w:val="18"/>
                        <w:szCs w:val="18"/>
                      </w:rPr>
                      <w:t>723,593</w:t>
                    </w:r>
                  </w:p>
                </w:tc>
                <w:tc>
                  <w:tcPr>
                    <w:tcW w:w="1022" w:type="dxa"/>
                  </w:tcPr>
                  <w:p w14:paraId="16093310" w14:textId="77777777" w:rsidR="007E7472" w:rsidRDefault="00C8327E">
                    <w:pPr>
                      <w:jc w:val="right"/>
                      <w:rPr>
                        <w:spacing w:val="-20"/>
                        <w:sz w:val="18"/>
                        <w:szCs w:val="18"/>
                      </w:rPr>
                    </w:pPr>
                  </w:p>
                </w:tc>
                <w:tc>
                  <w:tcPr>
                    <w:tcW w:w="1036" w:type="dxa"/>
                  </w:tcPr>
                  <w:p w14:paraId="79F8A827" w14:textId="77777777" w:rsidR="007E7472" w:rsidRDefault="00C8327E">
                    <w:pPr>
                      <w:jc w:val="right"/>
                      <w:rPr>
                        <w:spacing w:val="-20"/>
                        <w:sz w:val="18"/>
                        <w:szCs w:val="18"/>
                      </w:rPr>
                    </w:pPr>
                  </w:p>
                </w:tc>
                <w:tc>
                  <w:tcPr>
                    <w:tcW w:w="942" w:type="dxa"/>
                  </w:tcPr>
                  <w:p w14:paraId="5357DAF9" w14:textId="77777777" w:rsidR="007E7472" w:rsidRDefault="00C8327E">
                    <w:pPr>
                      <w:jc w:val="right"/>
                      <w:rPr>
                        <w:spacing w:val="-20"/>
                        <w:sz w:val="18"/>
                        <w:szCs w:val="18"/>
                      </w:rPr>
                    </w:pPr>
                  </w:p>
                </w:tc>
                <w:tc>
                  <w:tcPr>
                    <w:tcW w:w="993" w:type="dxa"/>
                  </w:tcPr>
                  <w:p w14:paraId="6C787791" w14:textId="77777777" w:rsidR="007E7472" w:rsidRDefault="00C8327E">
                    <w:pPr>
                      <w:jc w:val="right"/>
                      <w:rPr>
                        <w:spacing w:val="-20"/>
                        <w:sz w:val="18"/>
                        <w:szCs w:val="18"/>
                      </w:rPr>
                    </w:pPr>
                  </w:p>
                </w:tc>
                <w:tc>
                  <w:tcPr>
                    <w:tcW w:w="1120" w:type="dxa"/>
                    <w:vAlign w:val="center"/>
                  </w:tcPr>
                  <w:p w14:paraId="648FF234" w14:textId="77777777" w:rsidR="007E7472" w:rsidRDefault="00EC1269">
                    <w:pPr>
                      <w:jc w:val="right"/>
                      <w:rPr>
                        <w:spacing w:val="-20"/>
                        <w:sz w:val="18"/>
                        <w:szCs w:val="18"/>
                      </w:rPr>
                    </w:pPr>
                    <w:r>
                      <w:rPr>
                        <w:rFonts w:hint="eastAsia"/>
                        <w:spacing w:val="-20"/>
                        <w:sz w:val="18"/>
                        <w:szCs w:val="18"/>
                      </w:rPr>
                      <w:t>5,196,958</w:t>
                    </w:r>
                  </w:p>
                </w:tc>
              </w:tr>
              <w:tr w:rsidR="007E7472" w14:paraId="0EF2C09B" w14:textId="77777777">
                <w:trPr>
                  <w:trHeight w:val="20"/>
                </w:trPr>
                <w:sdt>
                  <w:sdtPr>
                    <w:tag w:val="_PLD_7b195f652f0542a9b8fb6e62990feb42"/>
                    <w:id w:val="229280861"/>
                    <w:lock w:val="sdtLocked"/>
                  </w:sdtPr>
                  <w:sdtEndPr/>
                  <w:sdtContent>
                    <w:tc>
                      <w:tcPr>
                        <w:tcW w:w="2394" w:type="dxa"/>
                      </w:tcPr>
                      <w:p w14:paraId="4FCE32A2" w14:textId="77777777" w:rsidR="007E7472" w:rsidRDefault="00EC1269">
                        <w:pPr>
                          <w:rPr>
                            <w:sz w:val="18"/>
                            <w:szCs w:val="18"/>
                          </w:rPr>
                        </w:pPr>
                        <w:r>
                          <w:rPr>
                            <w:rFonts w:hint="eastAsia"/>
                            <w:sz w:val="18"/>
                            <w:szCs w:val="18"/>
                          </w:rPr>
                          <w:t>1．所有者投入的普通股</w:t>
                        </w:r>
                      </w:p>
                    </w:tc>
                  </w:sdtContent>
                </w:sdt>
                <w:tc>
                  <w:tcPr>
                    <w:tcW w:w="1078" w:type="dxa"/>
                    <w:tcBorders>
                      <w:right w:val="single" w:sz="4" w:space="0" w:color="auto"/>
                    </w:tcBorders>
                    <w:vAlign w:val="center"/>
                  </w:tcPr>
                  <w:p w14:paraId="34794AD8" w14:textId="77777777" w:rsidR="007E7472" w:rsidRDefault="00C8327E">
                    <w:pPr>
                      <w:jc w:val="right"/>
                      <w:rPr>
                        <w:spacing w:val="-20"/>
                        <w:sz w:val="18"/>
                        <w:szCs w:val="18"/>
                      </w:rPr>
                    </w:pPr>
                  </w:p>
                </w:tc>
                <w:tc>
                  <w:tcPr>
                    <w:tcW w:w="807" w:type="dxa"/>
                    <w:tcBorders>
                      <w:left w:val="single" w:sz="4" w:space="0" w:color="auto"/>
                      <w:right w:val="single" w:sz="4" w:space="0" w:color="auto"/>
                    </w:tcBorders>
                    <w:vAlign w:val="center"/>
                  </w:tcPr>
                  <w:p w14:paraId="2C39052E" w14:textId="77777777" w:rsidR="007E7472" w:rsidRDefault="00C8327E">
                    <w:pPr>
                      <w:jc w:val="right"/>
                      <w:rPr>
                        <w:spacing w:val="-20"/>
                        <w:sz w:val="18"/>
                        <w:szCs w:val="18"/>
                      </w:rPr>
                    </w:pPr>
                  </w:p>
                </w:tc>
                <w:tc>
                  <w:tcPr>
                    <w:tcW w:w="1134" w:type="dxa"/>
                    <w:tcBorders>
                      <w:left w:val="single" w:sz="4" w:space="0" w:color="auto"/>
                      <w:right w:val="single" w:sz="4" w:space="0" w:color="auto"/>
                    </w:tcBorders>
                    <w:vAlign w:val="center"/>
                  </w:tcPr>
                  <w:p w14:paraId="22887ED8" w14:textId="77777777" w:rsidR="007E7472" w:rsidRDefault="00C8327E">
                    <w:pPr>
                      <w:jc w:val="right"/>
                      <w:rPr>
                        <w:spacing w:val="-20"/>
                        <w:sz w:val="18"/>
                        <w:szCs w:val="18"/>
                      </w:rPr>
                    </w:pPr>
                  </w:p>
                </w:tc>
                <w:tc>
                  <w:tcPr>
                    <w:tcW w:w="1278" w:type="dxa"/>
                    <w:tcBorders>
                      <w:left w:val="single" w:sz="4" w:space="0" w:color="auto"/>
                    </w:tcBorders>
                    <w:vAlign w:val="center"/>
                  </w:tcPr>
                  <w:p w14:paraId="6976E2BB" w14:textId="77777777" w:rsidR="007E7472" w:rsidRDefault="00C8327E">
                    <w:pPr>
                      <w:jc w:val="right"/>
                      <w:rPr>
                        <w:spacing w:val="-20"/>
                        <w:sz w:val="18"/>
                        <w:szCs w:val="18"/>
                      </w:rPr>
                    </w:pPr>
                  </w:p>
                </w:tc>
                <w:tc>
                  <w:tcPr>
                    <w:tcW w:w="1036" w:type="dxa"/>
                    <w:vAlign w:val="center"/>
                  </w:tcPr>
                  <w:p w14:paraId="10E51DF7" w14:textId="77777777" w:rsidR="007E7472" w:rsidRDefault="00C8327E">
                    <w:pPr>
                      <w:jc w:val="right"/>
                      <w:rPr>
                        <w:spacing w:val="-20"/>
                        <w:sz w:val="18"/>
                        <w:szCs w:val="18"/>
                      </w:rPr>
                    </w:pPr>
                  </w:p>
                </w:tc>
                <w:tc>
                  <w:tcPr>
                    <w:tcW w:w="1064" w:type="dxa"/>
                    <w:vAlign w:val="center"/>
                  </w:tcPr>
                  <w:p w14:paraId="40BB5423" w14:textId="77777777" w:rsidR="007E7472" w:rsidRDefault="00C8327E">
                    <w:pPr>
                      <w:jc w:val="right"/>
                      <w:rPr>
                        <w:spacing w:val="-20"/>
                        <w:sz w:val="18"/>
                        <w:szCs w:val="18"/>
                      </w:rPr>
                    </w:pPr>
                  </w:p>
                </w:tc>
                <w:tc>
                  <w:tcPr>
                    <w:tcW w:w="1022" w:type="dxa"/>
                    <w:vAlign w:val="center"/>
                  </w:tcPr>
                  <w:p w14:paraId="6D97A086" w14:textId="77777777" w:rsidR="007E7472" w:rsidRDefault="00C8327E">
                    <w:pPr>
                      <w:jc w:val="right"/>
                      <w:rPr>
                        <w:spacing w:val="-20"/>
                        <w:sz w:val="18"/>
                        <w:szCs w:val="18"/>
                      </w:rPr>
                    </w:pPr>
                  </w:p>
                </w:tc>
                <w:tc>
                  <w:tcPr>
                    <w:tcW w:w="1036" w:type="dxa"/>
                    <w:vAlign w:val="center"/>
                  </w:tcPr>
                  <w:p w14:paraId="6CF61E67" w14:textId="77777777" w:rsidR="007E7472" w:rsidRDefault="00C8327E">
                    <w:pPr>
                      <w:jc w:val="right"/>
                      <w:rPr>
                        <w:spacing w:val="-20"/>
                        <w:sz w:val="18"/>
                        <w:szCs w:val="18"/>
                      </w:rPr>
                    </w:pPr>
                  </w:p>
                </w:tc>
                <w:tc>
                  <w:tcPr>
                    <w:tcW w:w="942" w:type="dxa"/>
                    <w:vAlign w:val="center"/>
                  </w:tcPr>
                  <w:p w14:paraId="38F93AA6" w14:textId="77777777" w:rsidR="007E7472" w:rsidRDefault="00C8327E">
                    <w:pPr>
                      <w:jc w:val="right"/>
                      <w:rPr>
                        <w:spacing w:val="-20"/>
                        <w:sz w:val="18"/>
                        <w:szCs w:val="18"/>
                      </w:rPr>
                    </w:pPr>
                  </w:p>
                </w:tc>
                <w:tc>
                  <w:tcPr>
                    <w:tcW w:w="993" w:type="dxa"/>
                    <w:vAlign w:val="center"/>
                  </w:tcPr>
                  <w:p w14:paraId="4C4BB511" w14:textId="77777777" w:rsidR="007E7472" w:rsidRDefault="00C8327E">
                    <w:pPr>
                      <w:jc w:val="right"/>
                      <w:rPr>
                        <w:spacing w:val="-20"/>
                        <w:sz w:val="18"/>
                        <w:szCs w:val="18"/>
                      </w:rPr>
                    </w:pPr>
                  </w:p>
                </w:tc>
                <w:tc>
                  <w:tcPr>
                    <w:tcW w:w="1120" w:type="dxa"/>
                    <w:vAlign w:val="center"/>
                  </w:tcPr>
                  <w:p w14:paraId="0F6E20F3" w14:textId="77777777" w:rsidR="007E7472" w:rsidRDefault="00C8327E">
                    <w:pPr>
                      <w:jc w:val="right"/>
                      <w:rPr>
                        <w:spacing w:val="-20"/>
                        <w:sz w:val="18"/>
                        <w:szCs w:val="18"/>
                      </w:rPr>
                    </w:pPr>
                  </w:p>
                </w:tc>
              </w:tr>
              <w:tr w:rsidR="007E7472" w14:paraId="21336ABC" w14:textId="77777777">
                <w:trPr>
                  <w:trHeight w:val="20"/>
                </w:trPr>
                <w:sdt>
                  <w:sdtPr>
                    <w:tag w:val="_PLD_4873337789fc42b5ae8485de96f3dad3"/>
                    <w:id w:val="611250242"/>
                    <w:lock w:val="sdtLocked"/>
                  </w:sdtPr>
                  <w:sdtEndPr/>
                  <w:sdtContent>
                    <w:tc>
                      <w:tcPr>
                        <w:tcW w:w="2394" w:type="dxa"/>
                      </w:tcPr>
                      <w:p w14:paraId="11D3A1E0" w14:textId="77777777" w:rsidR="007E7472" w:rsidRDefault="00EC1269">
                        <w:pPr>
                          <w:rPr>
                            <w:sz w:val="18"/>
                            <w:szCs w:val="18"/>
                          </w:rPr>
                        </w:pPr>
                        <w:r>
                          <w:rPr>
                            <w:rFonts w:hint="eastAsia"/>
                            <w:sz w:val="18"/>
                            <w:szCs w:val="18"/>
                          </w:rPr>
                          <w:t>2．其他权益工具持有者投入资本</w:t>
                        </w:r>
                      </w:p>
                    </w:tc>
                  </w:sdtContent>
                </w:sdt>
                <w:tc>
                  <w:tcPr>
                    <w:tcW w:w="1078" w:type="dxa"/>
                    <w:tcBorders>
                      <w:right w:val="single" w:sz="4" w:space="0" w:color="auto"/>
                    </w:tcBorders>
                    <w:vAlign w:val="center"/>
                  </w:tcPr>
                  <w:p w14:paraId="7EF5BE40" w14:textId="77777777" w:rsidR="007E7472" w:rsidRDefault="00C8327E">
                    <w:pPr>
                      <w:jc w:val="right"/>
                      <w:rPr>
                        <w:spacing w:val="-20"/>
                        <w:sz w:val="18"/>
                        <w:szCs w:val="18"/>
                      </w:rPr>
                    </w:pPr>
                  </w:p>
                </w:tc>
                <w:tc>
                  <w:tcPr>
                    <w:tcW w:w="807" w:type="dxa"/>
                    <w:tcBorders>
                      <w:left w:val="single" w:sz="4" w:space="0" w:color="auto"/>
                      <w:right w:val="single" w:sz="4" w:space="0" w:color="auto"/>
                    </w:tcBorders>
                    <w:vAlign w:val="center"/>
                  </w:tcPr>
                  <w:p w14:paraId="3490A013" w14:textId="77777777" w:rsidR="007E7472" w:rsidRDefault="00C8327E">
                    <w:pPr>
                      <w:jc w:val="right"/>
                      <w:rPr>
                        <w:spacing w:val="-20"/>
                        <w:sz w:val="18"/>
                        <w:szCs w:val="18"/>
                      </w:rPr>
                    </w:pPr>
                  </w:p>
                </w:tc>
                <w:tc>
                  <w:tcPr>
                    <w:tcW w:w="1134" w:type="dxa"/>
                    <w:tcBorders>
                      <w:left w:val="single" w:sz="4" w:space="0" w:color="auto"/>
                      <w:right w:val="single" w:sz="4" w:space="0" w:color="auto"/>
                    </w:tcBorders>
                    <w:vAlign w:val="center"/>
                  </w:tcPr>
                  <w:p w14:paraId="2B59D870" w14:textId="77777777" w:rsidR="007E7472" w:rsidRDefault="00EC1269">
                    <w:pPr>
                      <w:jc w:val="right"/>
                      <w:rPr>
                        <w:spacing w:val="-20"/>
                        <w:sz w:val="18"/>
                        <w:szCs w:val="18"/>
                      </w:rPr>
                    </w:pPr>
                    <w:r>
                      <w:rPr>
                        <w:rFonts w:hint="eastAsia"/>
                        <w:spacing w:val="-20"/>
                        <w:sz w:val="18"/>
                        <w:szCs w:val="18"/>
                      </w:rPr>
                      <w:t>4,990,400</w:t>
                    </w:r>
                  </w:p>
                </w:tc>
                <w:tc>
                  <w:tcPr>
                    <w:tcW w:w="1278" w:type="dxa"/>
                    <w:tcBorders>
                      <w:left w:val="single" w:sz="4" w:space="0" w:color="auto"/>
                    </w:tcBorders>
                    <w:vAlign w:val="center"/>
                  </w:tcPr>
                  <w:p w14:paraId="30D10ADE" w14:textId="77777777" w:rsidR="007E7472" w:rsidRDefault="00C8327E">
                    <w:pPr>
                      <w:jc w:val="right"/>
                      <w:rPr>
                        <w:spacing w:val="-20"/>
                        <w:sz w:val="18"/>
                        <w:szCs w:val="18"/>
                      </w:rPr>
                    </w:pPr>
                  </w:p>
                </w:tc>
                <w:tc>
                  <w:tcPr>
                    <w:tcW w:w="1036" w:type="dxa"/>
                    <w:vAlign w:val="center"/>
                  </w:tcPr>
                  <w:p w14:paraId="5E9AB9BE" w14:textId="77777777" w:rsidR="007E7472" w:rsidRDefault="00C8327E">
                    <w:pPr>
                      <w:jc w:val="right"/>
                      <w:rPr>
                        <w:spacing w:val="-20"/>
                        <w:sz w:val="18"/>
                        <w:szCs w:val="18"/>
                      </w:rPr>
                    </w:pPr>
                  </w:p>
                </w:tc>
                <w:tc>
                  <w:tcPr>
                    <w:tcW w:w="1064" w:type="dxa"/>
                    <w:vAlign w:val="center"/>
                  </w:tcPr>
                  <w:p w14:paraId="70D498B8" w14:textId="77777777" w:rsidR="007E7472" w:rsidRDefault="00C8327E">
                    <w:pPr>
                      <w:jc w:val="right"/>
                      <w:rPr>
                        <w:spacing w:val="-20"/>
                        <w:sz w:val="18"/>
                        <w:szCs w:val="18"/>
                      </w:rPr>
                    </w:pPr>
                  </w:p>
                </w:tc>
                <w:tc>
                  <w:tcPr>
                    <w:tcW w:w="1022" w:type="dxa"/>
                    <w:vAlign w:val="center"/>
                  </w:tcPr>
                  <w:p w14:paraId="26F3BDDC" w14:textId="77777777" w:rsidR="007E7472" w:rsidRDefault="00C8327E">
                    <w:pPr>
                      <w:jc w:val="right"/>
                      <w:rPr>
                        <w:spacing w:val="-20"/>
                        <w:sz w:val="18"/>
                        <w:szCs w:val="18"/>
                      </w:rPr>
                    </w:pPr>
                  </w:p>
                </w:tc>
                <w:tc>
                  <w:tcPr>
                    <w:tcW w:w="1036" w:type="dxa"/>
                    <w:vAlign w:val="center"/>
                  </w:tcPr>
                  <w:p w14:paraId="6FC773DD" w14:textId="77777777" w:rsidR="007E7472" w:rsidRDefault="00C8327E">
                    <w:pPr>
                      <w:jc w:val="right"/>
                      <w:rPr>
                        <w:spacing w:val="-20"/>
                        <w:sz w:val="18"/>
                        <w:szCs w:val="18"/>
                      </w:rPr>
                    </w:pPr>
                  </w:p>
                </w:tc>
                <w:tc>
                  <w:tcPr>
                    <w:tcW w:w="942" w:type="dxa"/>
                    <w:vAlign w:val="center"/>
                  </w:tcPr>
                  <w:p w14:paraId="51B4E869" w14:textId="77777777" w:rsidR="007E7472" w:rsidRDefault="00C8327E">
                    <w:pPr>
                      <w:jc w:val="right"/>
                      <w:rPr>
                        <w:spacing w:val="-20"/>
                        <w:sz w:val="18"/>
                        <w:szCs w:val="18"/>
                      </w:rPr>
                    </w:pPr>
                  </w:p>
                </w:tc>
                <w:tc>
                  <w:tcPr>
                    <w:tcW w:w="993" w:type="dxa"/>
                    <w:vAlign w:val="center"/>
                  </w:tcPr>
                  <w:p w14:paraId="2444D931" w14:textId="77777777" w:rsidR="007E7472" w:rsidRDefault="00C8327E">
                    <w:pPr>
                      <w:jc w:val="right"/>
                      <w:rPr>
                        <w:spacing w:val="-20"/>
                        <w:sz w:val="18"/>
                        <w:szCs w:val="18"/>
                      </w:rPr>
                    </w:pPr>
                  </w:p>
                </w:tc>
                <w:tc>
                  <w:tcPr>
                    <w:tcW w:w="1120" w:type="dxa"/>
                    <w:vAlign w:val="center"/>
                  </w:tcPr>
                  <w:p w14:paraId="004CE680" w14:textId="77777777" w:rsidR="007E7472" w:rsidRDefault="00EC1269">
                    <w:pPr>
                      <w:jc w:val="right"/>
                      <w:rPr>
                        <w:spacing w:val="-20"/>
                        <w:sz w:val="18"/>
                        <w:szCs w:val="18"/>
                      </w:rPr>
                    </w:pPr>
                    <w:r>
                      <w:rPr>
                        <w:rFonts w:hint="eastAsia"/>
                        <w:spacing w:val="-20"/>
                        <w:sz w:val="18"/>
                        <w:szCs w:val="18"/>
                      </w:rPr>
                      <w:t>4,990,400</w:t>
                    </w:r>
                  </w:p>
                </w:tc>
              </w:tr>
              <w:tr w:rsidR="007E7472" w14:paraId="7B4ABF2F" w14:textId="77777777">
                <w:trPr>
                  <w:trHeight w:val="20"/>
                </w:trPr>
                <w:sdt>
                  <w:sdtPr>
                    <w:tag w:val="_PLD_83c73c5580c0412189f697f05780f9af"/>
                    <w:id w:val="-2022005083"/>
                    <w:lock w:val="sdtLocked"/>
                  </w:sdtPr>
                  <w:sdtEndPr/>
                  <w:sdtContent>
                    <w:tc>
                      <w:tcPr>
                        <w:tcW w:w="2394" w:type="dxa"/>
                      </w:tcPr>
                      <w:p w14:paraId="4C92648C" w14:textId="77777777" w:rsidR="007E7472" w:rsidRDefault="00EC1269">
                        <w:pPr>
                          <w:rPr>
                            <w:sz w:val="18"/>
                            <w:szCs w:val="18"/>
                          </w:rPr>
                        </w:pPr>
                        <w:r>
                          <w:rPr>
                            <w:rFonts w:hint="eastAsia"/>
                            <w:sz w:val="18"/>
                            <w:szCs w:val="18"/>
                          </w:rPr>
                          <w:t>3</w:t>
                        </w:r>
                        <w:r>
                          <w:rPr>
                            <w:sz w:val="18"/>
                            <w:szCs w:val="18"/>
                          </w:rPr>
                          <w:t>．股份支付计入所有者权益的金额</w:t>
                        </w:r>
                      </w:p>
                    </w:tc>
                  </w:sdtContent>
                </w:sdt>
                <w:tc>
                  <w:tcPr>
                    <w:tcW w:w="1078" w:type="dxa"/>
                    <w:tcBorders>
                      <w:right w:val="single" w:sz="4" w:space="0" w:color="auto"/>
                    </w:tcBorders>
                    <w:vAlign w:val="center"/>
                  </w:tcPr>
                  <w:p w14:paraId="27282434" w14:textId="77777777" w:rsidR="007E7472" w:rsidRDefault="00EC1269">
                    <w:pPr>
                      <w:jc w:val="right"/>
                      <w:rPr>
                        <w:spacing w:val="-20"/>
                        <w:sz w:val="18"/>
                        <w:szCs w:val="18"/>
                      </w:rPr>
                    </w:pPr>
                    <w:r>
                      <w:rPr>
                        <w:rFonts w:hint="eastAsia"/>
                        <w:spacing w:val="-20"/>
                        <w:sz w:val="18"/>
                        <w:szCs w:val="18"/>
                      </w:rPr>
                      <w:t>74,520</w:t>
                    </w:r>
                  </w:p>
                </w:tc>
                <w:tc>
                  <w:tcPr>
                    <w:tcW w:w="807" w:type="dxa"/>
                    <w:tcBorders>
                      <w:left w:val="single" w:sz="4" w:space="0" w:color="auto"/>
                      <w:right w:val="single" w:sz="4" w:space="0" w:color="auto"/>
                    </w:tcBorders>
                    <w:vAlign w:val="center"/>
                  </w:tcPr>
                  <w:p w14:paraId="4A01B475" w14:textId="77777777" w:rsidR="007E7472" w:rsidRDefault="00C8327E">
                    <w:pPr>
                      <w:jc w:val="right"/>
                      <w:rPr>
                        <w:spacing w:val="-20"/>
                        <w:sz w:val="18"/>
                        <w:szCs w:val="18"/>
                      </w:rPr>
                    </w:pPr>
                  </w:p>
                </w:tc>
                <w:tc>
                  <w:tcPr>
                    <w:tcW w:w="1134" w:type="dxa"/>
                    <w:tcBorders>
                      <w:left w:val="single" w:sz="4" w:space="0" w:color="auto"/>
                      <w:right w:val="single" w:sz="4" w:space="0" w:color="auto"/>
                    </w:tcBorders>
                    <w:vAlign w:val="center"/>
                  </w:tcPr>
                  <w:p w14:paraId="3E74D6FA" w14:textId="77777777" w:rsidR="007E7472" w:rsidRDefault="00C8327E">
                    <w:pPr>
                      <w:jc w:val="right"/>
                      <w:rPr>
                        <w:spacing w:val="-20"/>
                        <w:sz w:val="18"/>
                        <w:szCs w:val="18"/>
                      </w:rPr>
                    </w:pPr>
                  </w:p>
                </w:tc>
                <w:tc>
                  <w:tcPr>
                    <w:tcW w:w="1278" w:type="dxa"/>
                    <w:tcBorders>
                      <w:left w:val="single" w:sz="4" w:space="0" w:color="auto"/>
                    </w:tcBorders>
                    <w:vAlign w:val="center"/>
                  </w:tcPr>
                  <w:p w14:paraId="236812EF" w14:textId="77777777" w:rsidR="007E7472" w:rsidRDefault="00C8327E">
                    <w:pPr>
                      <w:jc w:val="right"/>
                      <w:rPr>
                        <w:spacing w:val="-20"/>
                        <w:sz w:val="18"/>
                        <w:szCs w:val="18"/>
                      </w:rPr>
                    </w:pPr>
                  </w:p>
                </w:tc>
                <w:tc>
                  <w:tcPr>
                    <w:tcW w:w="1036" w:type="dxa"/>
                    <w:vAlign w:val="center"/>
                  </w:tcPr>
                  <w:p w14:paraId="6AAB13B1" w14:textId="77777777" w:rsidR="007E7472" w:rsidRDefault="00EC1269">
                    <w:pPr>
                      <w:jc w:val="right"/>
                      <w:rPr>
                        <w:spacing w:val="-20"/>
                        <w:sz w:val="18"/>
                        <w:szCs w:val="18"/>
                      </w:rPr>
                    </w:pPr>
                    <w:r>
                      <w:rPr>
                        <w:rFonts w:hint="eastAsia"/>
                        <w:spacing w:val="-20"/>
                        <w:sz w:val="18"/>
                        <w:szCs w:val="18"/>
                      </w:rPr>
                      <w:t>855,631</w:t>
                    </w:r>
                  </w:p>
                </w:tc>
                <w:tc>
                  <w:tcPr>
                    <w:tcW w:w="1064" w:type="dxa"/>
                    <w:vAlign w:val="center"/>
                  </w:tcPr>
                  <w:p w14:paraId="401F6855" w14:textId="77777777" w:rsidR="007E7472" w:rsidRDefault="00EC1269">
                    <w:pPr>
                      <w:jc w:val="right"/>
                      <w:rPr>
                        <w:spacing w:val="-20"/>
                        <w:sz w:val="18"/>
                        <w:szCs w:val="18"/>
                      </w:rPr>
                    </w:pPr>
                    <w:r>
                      <w:rPr>
                        <w:rFonts w:hint="eastAsia"/>
                        <w:spacing w:val="-20"/>
                        <w:sz w:val="18"/>
                        <w:szCs w:val="18"/>
                      </w:rPr>
                      <w:t>723,593</w:t>
                    </w:r>
                  </w:p>
                </w:tc>
                <w:tc>
                  <w:tcPr>
                    <w:tcW w:w="1022" w:type="dxa"/>
                    <w:vAlign w:val="center"/>
                  </w:tcPr>
                  <w:p w14:paraId="0FF26876" w14:textId="77777777" w:rsidR="007E7472" w:rsidRDefault="00C8327E">
                    <w:pPr>
                      <w:jc w:val="right"/>
                      <w:rPr>
                        <w:spacing w:val="-20"/>
                        <w:sz w:val="18"/>
                        <w:szCs w:val="18"/>
                      </w:rPr>
                    </w:pPr>
                  </w:p>
                </w:tc>
                <w:tc>
                  <w:tcPr>
                    <w:tcW w:w="1036" w:type="dxa"/>
                    <w:vAlign w:val="center"/>
                  </w:tcPr>
                  <w:p w14:paraId="619E39B4" w14:textId="77777777" w:rsidR="007E7472" w:rsidRDefault="00C8327E">
                    <w:pPr>
                      <w:jc w:val="right"/>
                      <w:rPr>
                        <w:spacing w:val="-20"/>
                        <w:sz w:val="18"/>
                        <w:szCs w:val="18"/>
                      </w:rPr>
                    </w:pPr>
                  </w:p>
                </w:tc>
                <w:tc>
                  <w:tcPr>
                    <w:tcW w:w="942" w:type="dxa"/>
                    <w:vAlign w:val="center"/>
                  </w:tcPr>
                  <w:p w14:paraId="0E188922" w14:textId="77777777" w:rsidR="007E7472" w:rsidRDefault="00C8327E">
                    <w:pPr>
                      <w:jc w:val="right"/>
                      <w:rPr>
                        <w:spacing w:val="-20"/>
                        <w:sz w:val="18"/>
                        <w:szCs w:val="18"/>
                      </w:rPr>
                    </w:pPr>
                  </w:p>
                </w:tc>
                <w:tc>
                  <w:tcPr>
                    <w:tcW w:w="993" w:type="dxa"/>
                    <w:vAlign w:val="center"/>
                  </w:tcPr>
                  <w:p w14:paraId="5E518F8D" w14:textId="77777777" w:rsidR="007E7472" w:rsidRDefault="00C8327E">
                    <w:pPr>
                      <w:jc w:val="right"/>
                      <w:rPr>
                        <w:spacing w:val="-20"/>
                        <w:sz w:val="18"/>
                        <w:szCs w:val="18"/>
                      </w:rPr>
                    </w:pPr>
                  </w:p>
                </w:tc>
                <w:tc>
                  <w:tcPr>
                    <w:tcW w:w="1120" w:type="dxa"/>
                    <w:vAlign w:val="center"/>
                  </w:tcPr>
                  <w:p w14:paraId="79FD08E2" w14:textId="77777777" w:rsidR="007E7472" w:rsidRDefault="00EC1269">
                    <w:pPr>
                      <w:jc w:val="right"/>
                      <w:rPr>
                        <w:spacing w:val="-20"/>
                        <w:sz w:val="18"/>
                        <w:szCs w:val="18"/>
                      </w:rPr>
                    </w:pPr>
                    <w:r>
                      <w:rPr>
                        <w:rFonts w:hint="eastAsia"/>
                        <w:spacing w:val="-20"/>
                        <w:sz w:val="18"/>
                        <w:szCs w:val="18"/>
                      </w:rPr>
                      <w:t>206,558</w:t>
                    </w:r>
                  </w:p>
                </w:tc>
              </w:tr>
              <w:tr w:rsidR="007E7472" w14:paraId="0F4F6A8C" w14:textId="77777777">
                <w:trPr>
                  <w:trHeight w:val="20"/>
                </w:trPr>
                <w:sdt>
                  <w:sdtPr>
                    <w:tag w:val="_PLD_27a0ecc29a1548efabfc46efae76dd85"/>
                    <w:id w:val="1984728013"/>
                    <w:lock w:val="sdtLocked"/>
                  </w:sdtPr>
                  <w:sdtEndPr/>
                  <w:sdtContent>
                    <w:tc>
                      <w:tcPr>
                        <w:tcW w:w="2394" w:type="dxa"/>
                      </w:tcPr>
                      <w:p w14:paraId="7D955C4A" w14:textId="77777777" w:rsidR="007E7472" w:rsidRDefault="00EC1269">
                        <w:pPr>
                          <w:rPr>
                            <w:sz w:val="18"/>
                            <w:szCs w:val="18"/>
                          </w:rPr>
                        </w:pPr>
                        <w:r>
                          <w:rPr>
                            <w:rFonts w:hint="eastAsia"/>
                            <w:sz w:val="18"/>
                            <w:szCs w:val="18"/>
                          </w:rPr>
                          <w:t>4.同一控制下企业合并</w:t>
                        </w:r>
                      </w:p>
                    </w:tc>
                  </w:sdtContent>
                </w:sdt>
                <w:sdt>
                  <w:sdtPr>
                    <w:alias w:val="4.同一控制下企业合并实收资本(或股本)"/>
                    <w:tag w:val="_GBC_f3efcb2e0d484ce482d5de643cd893a8"/>
                    <w:id w:val="-1482768091"/>
                    <w:lock w:val="sdtLocked"/>
                  </w:sdtPr>
                  <w:sdtEndPr/>
                  <w:sdtContent>
                    <w:tc>
                      <w:tcPr>
                        <w:tcW w:w="1078" w:type="dxa"/>
                        <w:tcBorders>
                          <w:right w:val="single" w:sz="4" w:space="0" w:color="auto"/>
                        </w:tcBorders>
                        <w:vAlign w:val="center"/>
                      </w:tcPr>
                      <w:p w14:paraId="66028A93" w14:textId="77777777" w:rsidR="007E7472" w:rsidRDefault="00C8327E">
                        <w:pPr>
                          <w:jc w:val="right"/>
                          <w:rPr>
                            <w:spacing w:val="-20"/>
                            <w:sz w:val="18"/>
                            <w:szCs w:val="18"/>
                          </w:rPr>
                        </w:pPr>
                      </w:p>
                    </w:tc>
                  </w:sdtContent>
                </w:sdt>
                <w:sdt>
                  <w:sdtPr>
                    <w:alias w:val="4.同一控制下企业合并优先股"/>
                    <w:tag w:val="_GBC_25bd80dea531420da913cd4146b8c645"/>
                    <w:id w:val="167684050"/>
                    <w:lock w:val="sdtLocked"/>
                  </w:sdtPr>
                  <w:sdtEndPr/>
                  <w:sdtContent>
                    <w:tc>
                      <w:tcPr>
                        <w:tcW w:w="807" w:type="dxa"/>
                        <w:tcBorders>
                          <w:left w:val="single" w:sz="4" w:space="0" w:color="auto"/>
                          <w:right w:val="single" w:sz="4" w:space="0" w:color="auto"/>
                        </w:tcBorders>
                        <w:vAlign w:val="center"/>
                      </w:tcPr>
                      <w:p w14:paraId="0A8B27CF" w14:textId="77777777" w:rsidR="007E7472" w:rsidRDefault="00C8327E">
                        <w:pPr>
                          <w:jc w:val="right"/>
                          <w:rPr>
                            <w:spacing w:val="-20"/>
                            <w:sz w:val="18"/>
                            <w:szCs w:val="18"/>
                          </w:rPr>
                        </w:pPr>
                      </w:p>
                    </w:tc>
                  </w:sdtContent>
                </w:sdt>
                <w:sdt>
                  <w:sdtPr>
                    <w:alias w:val="4.同一控制下企业合并永续债"/>
                    <w:tag w:val="_GBC_b336b4e1d6bd41fa966bdfe4654f212f"/>
                    <w:id w:val="2111084895"/>
                    <w:lock w:val="sdtLocked"/>
                  </w:sdtPr>
                  <w:sdtEndPr/>
                  <w:sdtContent>
                    <w:tc>
                      <w:tcPr>
                        <w:tcW w:w="1134" w:type="dxa"/>
                        <w:tcBorders>
                          <w:left w:val="single" w:sz="4" w:space="0" w:color="auto"/>
                          <w:right w:val="single" w:sz="4" w:space="0" w:color="auto"/>
                        </w:tcBorders>
                        <w:vAlign w:val="center"/>
                      </w:tcPr>
                      <w:p w14:paraId="1782F416" w14:textId="77777777" w:rsidR="007E7472" w:rsidRDefault="00C8327E">
                        <w:pPr>
                          <w:jc w:val="right"/>
                          <w:rPr>
                            <w:spacing w:val="-20"/>
                            <w:sz w:val="18"/>
                            <w:szCs w:val="18"/>
                          </w:rPr>
                        </w:pPr>
                      </w:p>
                    </w:tc>
                  </w:sdtContent>
                </w:sdt>
                <w:sdt>
                  <w:sdtPr>
                    <w:alias w:val="4.同一控制下企业合并其他"/>
                    <w:tag w:val="_GBC_40bf5d171ebb4550b213dbb3be3e219f"/>
                    <w:id w:val="1090122420"/>
                    <w:lock w:val="sdtLocked"/>
                  </w:sdtPr>
                  <w:sdtEndPr/>
                  <w:sdtContent>
                    <w:tc>
                      <w:tcPr>
                        <w:tcW w:w="1278" w:type="dxa"/>
                        <w:tcBorders>
                          <w:left w:val="single" w:sz="4" w:space="0" w:color="auto"/>
                        </w:tcBorders>
                        <w:vAlign w:val="center"/>
                      </w:tcPr>
                      <w:p w14:paraId="15DAB933" w14:textId="77777777" w:rsidR="007E7472" w:rsidRDefault="00C8327E">
                        <w:pPr>
                          <w:jc w:val="right"/>
                          <w:rPr>
                            <w:spacing w:val="-20"/>
                            <w:sz w:val="18"/>
                            <w:szCs w:val="18"/>
                          </w:rPr>
                        </w:pPr>
                      </w:p>
                    </w:tc>
                  </w:sdtContent>
                </w:sdt>
                <w:sdt>
                  <w:sdtPr>
                    <w:alias w:val="4.同一控制下企业合并资本公积"/>
                    <w:tag w:val="_GBC_1774e231caed4f0db61fe0027ffc333f"/>
                    <w:id w:val="1054742184"/>
                    <w:lock w:val="sdtLocked"/>
                  </w:sdtPr>
                  <w:sdtEndPr/>
                  <w:sdtContent>
                    <w:tc>
                      <w:tcPr>
                        <w:tcW w:w="1036" w:type="dxa"/>
                        <w:vAlign w:val="center"/>
                      </w:tcPr>
                      <w:p w14:paraId="02FF9EC4" w14:textId="77777777" w:rsidR="007E7472" w:rsidRDefault="00C8327E">
                        <w:pPr>
                          <w:jc w:val="right"/>
                          <w:rPr>
                            <w:spacing w:val="-20"/>
                            <w:sz w:val="18"/>
                            <w:szCs w:val="18"/>
                          </w:rPr>
                        </w:pPr>
                      </w:p>
                    </w:tc>
                  </w:sdtContent>
                </w:sdt>
                <w:sdt>
                  <w:sdtPr>
                    <w:alias w:val="4.同一控制下企业合并减：库存股"/>
                    <w:tag w:val="_GBC_07a483d9e8ea4fcba2b3ba0761a6c774"/>
                    <w:id w:val="2058817322"/>
                    <w:lock w:val="sdtLocked"/>
                  </w:sdtPr>
                  <w:sdtEndPr/>
                  <w:sdtContent>
                    <w:tc>
                      <w:tcPr>
                        <w:tcW w:w="1064" w:type="dxa"/>
                        <w:vAlign w:val="center"/>
                      </w:tcPr>
                      <w:p w14:paraId="237A7263" w14:textId="77777777" w:rsidR="007E7472" w:rsidRDefault="00C8327E">
                        <w:pPr>
                          <w:jc w:val="right"/>
                          <w:rPr>
                            <w:spacing w:val="-20"/>
                            <w:sz w:val="18"/>
                            <w:szCs w:val="18"/>
                          </w:rPr>
                        </w:pPr>
                      </w:p>
                    </w:tc>
                  </w:sdtContent>
                </w:sdt>
                <w:sdt>
                  <w:sdtPr>
                    <w:alias w:val="4.同一控制下企业合并其他综合收益"/>
                    <w:tag w:val="_GBC_987f093e16c541579fe27eee6f6c09df"/>
                    <w:id w:val="278620402"/>
                    <w:lock w:val="sdtLocked"/>
                  </w:sdtPr>
                  <w:sdtEndPr/>
                  <w:sdtContent>
                    <w:tc>
                      <w:tcPr>
                        <w:tcW w:w="1022" w:type="dxa"/>
                        <w:vAlign w:val="center"/>
                      </w:tcPr>
                      <w:p w14:paraId="2B8307C0" w14:textId="77777777" w:rsidR="007E7472" w:rsidRDefault="00C8327E">
                        <w:pPr>
                          <w:jc w:val="right"/>
                          <w:rPr>
                            <w:spacing w:val="-20"/>
                            <w:sz w:val="18"/>
                            <w:szCs w:val="18"/>
                          </w:rPr>
                        </w:pPr>
                      </w:p>
                    </w:tc>
                  </w:sdtContent>
                </w:sdt>
                <w:sdt>
                  <w:sdtPr>
                    <w:alias w:val="4.同一控制下企业合并专项储备"/>
                    <w:tag w:val="_GBC_1293d9dd16654ace9b8d4d727ec08452"/>
                    <w:id w:val="1416365538"/>
                    <w:lock w:val="sdtLocked"/>
                  </w:sdtPr>
                  <w:sdtEndPr/>
                  <w:sdtContent>
                    <w:tc>
                      <w:tcPr>
                        <w:tcW w:w="1036" w:type="dxa"/>
                        <w:vAlign w:val="center"/>
                      </w:tcPr>
                      <w:p w14:paraId="5CCD1BAD" w14:textId="77777777" w:rsidR="007E7472" w:rsidRDefault="00C8327E">
                        <w:pPr>
                          <w:jc w:val="right"/>
                          <w:rPr>
                            <w:spacing w:val="-20"/>
                            <w:sz w:val="18"/>
                            <w:szCs w:val="18"/>
                          </w:rPr>
                        </w:pPr>
                      </w:p>
                    </w:tc>
                  </w:sdtContent>
                </w:sdt>
                <w:sdt>
                  <w:sdtPr>
                    <w:alias w:val="4.同一控制下企业合并盈余公积"/>
                    <w:tag w:val="_GBC_99248b7df4f0474db5a4acab3acc79e1"/>
                    <w:id w:val="-255599223"/>
                    <w:lock w:val="sdtLocked"/>
                  </w:sdtPr>
                  <w:sdtEndPr/>
                  <w:sdtContent>
                    <w:tc>
                      <w:tcPr>
                        <w:tcW w:w="942" w:type="dxa"/>
                        <w:vAlign w:val="center"/>
                      </w:tcPr>
                      <w:p w14:paraId="43ABAE43" w14:textId="77777777" w:rsidR="007E7472" w:rsidRDefault="00C8327E">
                        <w:pPr>
                          <w:jc w:val="right"/>
                          <w:rPr>
                            <w:spacing w:val="-20"/>
                            <w:sz w:val="18"/>
                            <w:szCs w:val="18"/>
                          </w:rPr>
                        </w:pPr>
                      </w:p>
                    </w:tc>
                  </w:sdtContent>
                </w:sdt>
                <w:sdt>
                  <w:sdtPr>
                    <w:alias w:val="4.同一控制下企业合并未分配利润"/>
                    <w:tag w:val="_GBC_cbcd8015253344b7ac7957167de55e8e"/>
                    <w:id w:val="719867156"/>
                    <w:lock w:val="sdtLocked"/>
                  </w:sdtPr>
                  <w:sdtEndPr/>
                  <w:sdtContent>
                    <w:tc>
                      <w:tcPr>
                        <w:tcW w:w="993" w:type="dxa"/>
                        <w:vAlign w:val="center"/>
                      </w:tcPr>
                      <w:p w14:paraId="2C492831" w14:textId="77777777" w:rsidR="007E7472" w:rsidRDefault="00C8327E">
                        <w:pPr>
                          <w:jc w:val="right"/>
                          <w:rPr>
                            <w:spacing w:val="-20"/>
                            <w:sz w:val="18"/>
                            <w:szCs w:val="18"/>
                          </w:rPr>
                        </w:pPr>
                      </w:p>
                    </w:tc>
                  </w:sdtContent>
                </w:sdt>
                <w:sdt>
                  <w:sdtPr>
                    <w:alias w:val="4.同一控制下企业合并所有者权益合计"/>
                    <w:tag w:val="_GBC_6dbdcb33ec744a778053f7b93ce346a8"/>
                    <w:id w:val="1208065561"/>
                    <w:lock w:val="sdtLocked"/>
                  </w:sdtPr>
                  <w:sdtEndPr/>
                  <w:sdtContent>
                    <w:tc>
                      <w:tcPr>
                        <w:tcW w:w="1120" w:type="dxa"/>
                        <w:vAlign w:val="center"/>
                      </w:tcPr>
                      <w:p w14:paraId="0D97B034" w14:textId="77777777" w:rsidR="007E7472" w:rsidRDefault="00C8327E">
                        <w:pPr>
                          <w:jc w:val="right"/>
                          <w:rPr>
                            <w:spacing w:val="-20"/>
                            <w:sz w:val="18"/>
                            <w:szCs w:val="18"/>
                          </w:rPr>
                        </w:pPr>
                      </w:p>
                    </w:tc>
                  </w:sdtContent>
                </w:sdt>
              </w:tr>
              <w:tr w:rsidR="007E7472" w14:paraId="02F17247" w14:textId="77777777">
                <w:trPr>
                  <w:trHeight w:val="20"/>
                </w:trPr>
                <w:sdt>
                  <w:sdtPr>
                    <w:tag w:val="_PLD_b328cbc349734354ae3aacf675414174"/>
                    <w:id w:val="-2047512387"/>
                    <w:lock w:val="sdtLocked"/>
                  </w:sdtPr>
                  <w:sdtEndPr/>
                  <w:sdtContent>
                    <w:tc>
                      <w:tcPr>
                        <w:tcW w:w="2394" w:type="dxa"/>
                      </w:tcPr>
                      <w:p w14:paraId="74B7446A" w14:textId="77777777" w:rsidR="007E7472" w:rsidRDefault="00EC1269">
                        <w:pPr>
                          <w:rPr>
                            <w:sz w:val="18"/>
                            <w:szCs w:val="18"/>
                          </w:rPr>
                        </w:pPr>
                        <w:r>
                          <w:rPr>
                            <w:sz w:val="18"/>
                            <w:szCs w:val="18"/>
                          </w:rPr>
                          <w:t>5．其他</w:t>
                        </w:r>
                      </w:p>
                    </w:tc>
                  </w:sdtContent>
                </w:sdt>
                <w:tc>
                  <w:tcPr>
                    <w:tcW w:w="1078" w:type="dxa"/>
                    <w:tcBorders>
                      <w:right w:val="single" w:sz="4" w:space="0" w:color="auto"/>
                    </w:tcBorders>
                    <w:vAlign w:val="center"/>
                  </w:tcPr>
                  <w:p w14:paraId="35C88241" w14:textId="77777777" w:rsidR="007E7472" w:rsidRDefault="00C8327E">
                    <w:pPr>
                      <w:jc w:val="right"/>
                      <w:rPr>
                        <w:spacing w:val="-20"/>
                        <w:sz w:val="18"/>
                        <w:szCs w:val="18"/>
                      </w:rPr>
                    </w:pPr>
                  </w:p>
                </w:tc>
                <w:tc>
                  <w:tcPr>
                    <w:tcW w:w="807" w:type="dxa"/>
                    <w:tcBorders>
                      <w:left w:val="single" w:sz="4" w:space="0" w:color="auto"/>
                      <w:right w:val="single" w:sz="4" w:space="0" w:color="auto"/>
                    </w:tcBorders>
                    <w:vAlign w:val="center"/>
                  </w:tcPr>
                  <w:p w14:paraId="6839D93E" w14:textId="77777777" w:rsidR="007E7472" w:rsidRDefault="00C8327E">
                    <w:pPr>
                      <w:jc w:val="right"/>
                      <w:rPr>
                        <w:spacing w:val="-20"/>
                        <w:sz w:val="18"/>
                        <w:szCs w:val="18"/>
                      </w:rPr>
                    </w:pPr>
                  </w:p>
                </w:tc>
                <w:tc>
                  <w:tcPr>
                    <w:tcW w:w="1134" w:type="dxa"/>
                    <w:tcBorders>
                      <w:left w:val="single" w:sz="4" w:space="0" w:color="auto"/>
                      <w:right w:val="single" w:sz="4" w:space="0" w:color="auto"/>
                    </w:tcBorders>
                    <w:vAlign w:val="center"/>
                  </w:tcPr>
                  <w:p w14:paraId="0E50135E" w14:textId="77777777" w:rsidR="007E7472" w:rsidRDefault="00C8327E">
                    <w:pPr>
                      <w:jc w:val="right"/>
                      <w:rPr>
                        <w:spacing w:val="-20"/>
                        <w:sz w:val="18"/>
                        <w:szCs w:val="18"/>
                      </w:rPr>
                    </w:pPr>
                  </w:p>
                </w:tc>
                <w:tc>
                  <w:tcPr>
                    <w:tcW w:w="1278" w:type="dxa"/>
                    <w:tcBorders>
                      <w:left w:val="single" w:sz="4" w:space="0" w:color="auto"/>
                    </w:tcBorders>
                    <w:vAlign w:val="center"/>
                  </w:tcPr>
                  <w:p w14:paraId="3103A995" w14:textId="77777777" w:rsidR="007E7472" w:rsidRDefault="00C8327E">
                    <w:pPr>
                      <w:jc w:val="right"/>
                      <w:rPr>
                        <w:spacing w:val="-20"/>
                        <w:sz w:val="18"/>
                        <w:szCs w:val="18"/>
                      </w:rPr>
                    </w:pPr>
                  </w:p>
                </w:tc>
                <w:tc>
                  <w:tcPr>
                    <w:tcW w:w="1036" w:type="dxa"/>
                    <w:vAlign w:val="center"/>
                  </w:tcPr>
                  <w:p w14:paraId="748D87F3" w14:textId="77777777" w:rsidR="007E7472" w:rsidRDefault="00C8327E">
                    <w:pPr>
                      <w:jc w:val="right"/>
                      <w:rPr>
                        <w:spacing w:val="-20"/>
                        <w:sz w:val="18"/>
                        <w:szCs w:val="18"/>
                      </w:rPr>
                    </w:pPr>
                  </w:p>
                </w:tc>
                <w:tc>
                  <w:tcPr>
                    <w:tcW w:w="1064" w:type="dxa"/>
                    <w:vAlign w:val="center"/>
                  </w:tcPr>
                  <w:p w14:paraId="74A578C6" w14:textId="77777777" w:rsidR="007E7472" w:rsidRDefault="00C8327E">
                    <w:pPr>
                      <w:jc w:val="right"/>
                      <w:rPr>
                        <w:spacing w:val="-20"/>
                        <w:sz w:val="18"/>
                        <w:szCs w:val="18"/>
                      </w:rPr>
                    </w:pPr>
                  </w:p>
                </w:tc>
                <w:tc>
                  <w:tcPr>
                    <w:tcW w:w="1022" w:type="dxa"/>
                    <w:vAlign w:val="center"/>
                  </w:tcPr>
                  <w:p w14:paraId="0B173BBE" w14:textId="77777777" w:rsidR="007E7472" w:rsidRDefault="00C8327E">
                    <w:pPr>
                      <w:jc w:val="right"/>
                      <w:rPr>
                        <w:spacing w:val="-20"/>
                        <w:sz w:val="18"/>
                        <w:szCs w:val="18"/>
                      </w:rPr>
                    </w:pPr>
                  </w:p>
                </w:tc>
                <w:tc>
                  <w:tcPr>
                    <w:tcW w:w="1036" w:type="dxa"/>
                    <w:vAlign w:val="center"/>
                  </w:tcPr>
                  <w:p w14:paraId="155BAC96" w14:textId="77777777" w:rsidR="007E7472" w:rsidRDefault="00C8327E">
                    <w:pPr>
                      <w:jc w:val="right"/>
                      <w:rPr>
                        <w:spacing w:val="-20"/>
                        <w:sz w:val="18"/>
                        <w:szCs w:val="18"/>
                      </w:rPr>
                    </w:pPr>
                  </w:p>
                </w:tc>
                <w:tc>
                  <w:tcPr>
                    <w:tcW w:w="942" w:type="dxa"/>
                    <w:vAlign w:val="center"/>
                  </w:tcPr>
                  <w:p w14:paraId="78F8B1AF" w14:textId="77777777" w:rsidR="007E7472" w:rsidRDefault="00C8327E">
                    <w:pPr>
                      <w:jc w:val="right"/>
                      <w:rPr>
                        <w:spacing w:val="-20"/>
                        <w:sz w:val="18"/>
                        <w:szCs w:val="18"/>
                      </w:rPr>
                    </w:pPr>
                  </w:p>
                </w:tc>
                <w:tc>
                  <w:tcPr>
                    <w:tcW w:w="993" w:type="dxa"/>
                    <w:vAlign w:val="center"/>
                  </w:tcPr>
                  <w:p w14:paraId="77C57371" w14:textId="77777777" w:rsidR="007E7472" w:rsidRDefault="00C8327E">
                    <w:pPr>
                      <w:jc w:val="right"/>
                      <w:rPr>
                        <w:spacing w:val="-20"/>
                        <w:sz w:val="18"/>
                        <w:szCs w:val="18"/>
                      </w:rPr>
                    </w:pPr>
                  </w:p>
                </w:tc>
                <w:tc>
                  <w:tcPr>
                    <w:tcW w:w="1120" w:type="dxa"/>
                    <w:vAlign w:val="center"/>
                  </w:tcPr>
                  <w:p w14:paraId="6CEAB367" w14:textId="77777777" w:rsidR="007E7472" w:rsidRDefault="00C8327E">
                    <w:pPr>
                      <w:jc w:val="right"/>
                      <w:rPr>
                        <w:spacing w:val="-20"/>
                        <w:sz w:val="18"/>
                        <w:szCs w:val="18"/>
                      </w:rPr>
                    </w:pPr>
                  </w:p>
                </w:tc>
              </w:tr>
              <w:tr w:rsidR="007E7472" w14:paraId="324600D5" w14:textId="77777777">
                <w:trPr>
                  <w:trHeight w:val="20"/>
                </w:trPr>
                <w:sdt>
                  <w:sdtPr>
                    <w:tag w:val="_PLD_9773183e97be44a1a360188937e7fe10"/>
                    <w:id w:val="1305655236"/>
                    <w:lock w:val="sdtLocked"/>
                  </w:sdtPr>
                  <w:sdtEndPr/>
                  <w:sdtContent>
                    <w:tc>
                      <w:tcPr>
                        <w:tcW w:w="2394" w:type="dxa"/>
                      </w:tcPr>
                      <w:p w14:paraId="03B9CB03" w14:textId="77777777" w:rsidR="007E7472" w:rsidRDefault="00EC1269">
                        <w:pPr>
                          <w:rPr>
                            <w:sz w:val="18"/>
                            <w:szCs w:val="18"/>
                          </w:rPr>
                        </w:pPr>
                        <w:r>
                          <w:rPr>
                            <w:sz w:val="18"/>
                            <w:szCs w:val="18"/>
                          </w:rPr>
                          <w:t>（</w:t>
                        </w:r>
                        <w:r>
                          <w:rPr>
                            <w:rFonts w:hint="eastAsia"/>
                            <w:sz w:val="18"/>
                            <w:szCs w:val="18"/>
                          </w:rPr>
                          <w:t>三</w:t>
                        </w:r>
                        <w:r>
                          <w:rPr>
                            <w:sz w:val="18"/>
                            <w:szCs w:val="18"/>
                          </w:rPr>
                          <w:t>）利润分配</w:t>
                        </w:r>
                      </w:p>
                    </w:tc>
                  </w:sdtContent>
                </w:sdt>
                <w:tc>
                  <w:tcPr>
                    <w:tcW w:w="1078" w:type="dxa"/>
                    <w:tcBorders>
                      <w:right w:val="single" w:sz="4" w:space="0" w:color="auto"/>
                    </w:tcBorders>
                  </w:tcPr>
                  <w:p w14:paraId="09ADF4EF" w14:textId="77777777" w:rsidR="007E7472" w:rsidRDefault="00C8327E">
                    <w:pPr>
                      <w:jc w:val="right"/>
                      <w:rPr>
                        <w:spacing w:val="-20"/>
                        <w:sz w:val="18"/>
                        <w:szCs w:val="18"/>
                      </w:rPr>
                    </w:pPr>
                  </w:p>
                </w:tc>
                <w:tc>
                  <w:tcPr>
                    <w:tcW w:w="807" w:type="dxa"/>
                    <w:tcBorders>
                      <w:left w:val="single" w:sz="4" w:space="0" w:color="auto"/>
                      <w:right w:val="single" w:sz="4" w:space="0" w:color="auto"/>
                    </w:tcBorders>
                  </w:tcPr>
                  <w:p w14:paraId="719A19D4" w14:textId="77777777" w:rsidR="007E7472" w:rsidRDefault="00C8327E">
                    <w:pPr>
                      <w:jc w:val="right"/>
                      <w:rPr>
                        <w:spacing w:val="-20"/>
                        <w:sz w:val="18"/>
                        <w:szCs w:val="18"/>
                      </w:rPr>
                    </w:pPr>
                  </w:p>
                </w:tc>
                <w:tc>
                  <w:tcPr>
                    <w:tcW w:w="1134" w:type="dxa"/>
                    <w:tcBorders>
                      <w:left w:val="single" w:sz="4" w:space="0" w:color="auto"/>
                      <w:right w:val="single" w:sz="4" w:space="0" w:color="auto"/>
                    </w:tcBorders>
                    <w:vAlign w:val="center"/>
                  </w:tcPr>
                  <w:p w14:paraId="3FDDC09F" w14:textId="77777777" w:rsidR="007E7472" w:rsidRDefault="00EC1269">
                    <w:pPr>
                      <w:jc w:val="right"/>
                      <w:rPr>
                        <w:spacing w:val="-20"/>
                        <w:sz w:val="18"/>
                        <w:szCs w:val="18"/>
                      </w:rPr>
                    </w:pPr>
                    <w:r>
                      <w:rPr>
                        <w:rFonts w:hint="eastAsia"/>
                        <w:spacing w:val="-20"/>
                        <w:sz w:val="18"/>
                        <w:szCs w:val="18"/>
                      </w:rPr>
                      <w:t>-213,030</w:t>
                    </w:r>
                  </w:p>
                </w:tc>
                <w:tc>
                  <w:tcPr>
                    <w:tcW w:w="1278" w:type="dxa"/>
                    <w:tcBorders>
                      <w:left w:val="single" w:sz="4" w:space="0" w:color="auto"/>
                    </w:tcBorders>
                  </w:tcPr>
                  <w:p w14:paraId="39336835" w14:textId="77777777" w:rsidR="007E7472" w:rsidRDefault="00C8327E">
                    <w:pPr>
                      <w:jc w:val="right"/>
                      <w:rPr>
                        <w:spacing w:val="-20"/>
                        <w:sz w:val="18"/>
                        <w:szCs w:val="18"/>
                      </w:rPr>
                    </w:pPr>
                  </w:p>
                </w:tc>
                <w:tc>
                  <w:tcPr>
                    <w:tcW w:w="1036" w:type="dxa"/>
                  </w:tcPr>
                  <w:p w14:paraId="043187EF" w14:textId="77777777" w:rsidR="007E7472" w:rsidRDefault="00C8327E">
                    <w:pPr>
                      <w:jc w:val="right"/>
                      <w:rPr>
                        <w:spacing w:val="-20"/>
                        <w:sz w:val="18"/>
                        <w:szCs w:val="18"/>
                      </w:rPr>
                    </w:pPr>
                  </w:p>
                </w:tc>
                <w:tc>
                  <w:tcPr>
                    <w:tcW w:w="1064" w:type="dxa"/>
                  </w:tcPr>
                  <w:p w14:paraId="7B3884A8" w14:textId="77777777" w:rsidR="007E7472" w:rsidRDefault="00C8327E">
                    <w:pPr>
                      <w:jc w:val="right"/>
                      <w:rPr>
                        <w:spacing w:val="-20"/>
                        <w:sz w:val="18"/>
                        <w:szCs w:val="18"/>
                      </w:rPr>
                    </w:pPr>
                  </w:p>
                </w:tc>
                <w:tc>
                  <w:tcPr>
                    <w:tcW w:w="1022" w:type="dxa"/>
                  </w:tcPr>
                  <w:p w14:paraId="42462102" w14:textId="77777777" w:rsidR="007E7472" w:rsidRDefault="00C8327E">
                    <w:pPr>
                      <w:jc w:val="right"/>
                      <w:rPr>
                        <w:spacing w:val="-20"/>
                        <w:sz w:val="18"/>
                        <w:szCs w:val="18"/>
                      </w:rPr>
                    </w:pPr>
                  </w:p>
                </w:tc>
                <w:tc>
                  <w:tcPr>
                    <w:tcW w:w="1036" w:type="dxa"/>
                  </w:tcPr>
                  <w:p w14:paraId="176D2CDC" w14:textId="77777777" w:rsidR="007E7472" w:rsidRDefault="00C8327E">
                    <w:pPr>
                      <w:jc w:val="right"/>
                      <w:rPr>
                        <w:spacing w:val="-20"/>
                        <w:sz w:val="18"/>
                        <w:szCs w:val="18"/>
                      </w:rPr>
                    </w:pPr>
                  </w:p>
                </w:tc>
                <w:tc>
                  <w:tcPr>
                    <w:tcW w:w="942" w:type="dxa"/>
                  </w:tcPr>
                  <w:p w14:paraId="525EB34F" w14:textId="77777777" w:rsidR="007E7472" w:rsidRDefault="00C8327E">
                    <w:pPr>
                      <w:jc w:val="right"/>
                      <w:rPr>
                        <w:spacing w:val="-20"/>
                        <w:sz w:val="18"/>
                        <w:szCs w:val="18"/>
                      </w:rPr>
                    </w:pPr>
                  </w:p>
                </w:tc>
                <w:tc>
                  <w:tcPr>
                    <w:tcW w:w="993" w:type="dxa"/>
                    <w:vAlign w:val="center"/>
                  </w:tcPr>
                  <w:p w14:paraId="1611D12B" w14:textId="77777777" w:rsidR="007E7472" w:rsidRDefault="00EC1269">
                    <w:pPr>
                      <w:jc w:val="right"/>
                      <w:rPr>
                        <w:spacing w:val="-20"/>
                        <w:sz w:val="18"/>
                        <w:szCs w:val="18"/>
                      </w:rPr>
                    </w:pPr>
                    <w:r>
                      <w:rPr>
                        <w:rFonts w:hint="eastAsia"/>
                        <w:spacing w:val="-20"/>
                        <w:sz w:val="18"/>
                        <w:szCs w:val="18"/>
                      </w:rPr>
                      <w:t>-9,897,407</w:t>
                    </w:r>
                  </w:p>
                </w:tc>
                <w:tc>
                  <w:tcPr>
                    <w:tcW w:w="1120" w:type="dxa"/>
                    <w:vAlign w:val="center"/>
                  </w:tcPr>
                  <w:p w14:paraId="44920E93" w14:textId="77777777" w:rsidR="007E7472" w:rsidRDefault="00EC1269">
                    <w:pPr>
                      <w:jc w:val="right"/>
                      <w:rPr>
                        <w:spacing w:val="-20"/>
                        <w:sz w:val="18"/>
                        <w:szCs w:val="18"/>
                      </w:rPr>
                    </w:pPr>
                    <w:r>
                      <w:rPr>
                        <w:rFonts w:hint="eastAsia"/>
                        <w:spacing w:val="-20"/>
                        <w:sz w:val="18"/>
                        <w:szCs w:val="18"/>
                      </w:rPr>
                      <w:t>-10,110,437</w:t>
                    </w:r>
                  </w:p>
                </w:tc>
              </w:tr>
              <w:tr w:rsidR="007E7472" w14:paraId="0DE5E55F" w14:textId="77777777">
                <w:trPr>
                  <w:trHeight w:val="20"/>
                </w:trPr>
                <w:sdt>
                  <w:sdtPr>
                    <w:tag w:val="_PLD_49d633deae854098a44173514bb3a7b3"/>
                    <w:id w:val="1173376814"/>
                    <w:lock w:val="sdtLocked"/>
                  </w:sdtPr>
                  <w:sdtEndPr/>
                  <w:sdtContent>
                    <w:tc>
                      <w:tcPr>
                        <w:tcW w:w="2394" w:type="dxa"/>
                      </w:tcPr>
                      <w:p w14:paraId="429AC6A4" w14:textId="77777777" w:rsidR="007E7472" w:rsidRDefault="00EC1269">
                        <w:pPr>
                          <w:rPr>
                            <w:sz w:val="18"/>
                            <w:szCs w:val="18"/>
                          </w:rPr>
                        </w:pPr>
                        <w:r>
                          <w:rPr>
                            <w:sz w:val="18"/>
                            <w:szCs w:val="18"/>
                          </w:rPr>
                          <w:t>1．提取盈余公积</w:t>
                        </w:r>
                      </w:p>
                    </w:tc>
                  </w:sdtContent>
                </w:sdt>
                <w:tc>
                  <w:tcPr>
                    <w:tcW w:w="1078" w:type="dxa"/>
                    <w:tcBorders>
                      <w:right w:val="single" w:sz="4" w:space="0" w:color="auto"/>
                    </w:tcBorders>
                    <w:vAlign w:val="center"/>
                  </w:tcPr>
                  <w:p w14:paraId="46C3648F" w14:textId="77777777" w:rsidR="007E7472" w:rsidRDefault="00C8327E">
                    <w:pPr>
                      <w:jc w:val="right"/>
                      <w:rPr>
                        <w:spacing w:val="-20"/>
                        <w:sz w:val="18"/>
                        <w:szCs w:val="18"/>
                      </w:rPr>
                    </w:pPr>
                  </w:p>
                </w:tc>
                <w:tc>
                  <w:tcPr>
                    <w:tcW w:w="807" w:type="dxa"/>
                    <w:tcBorders>
                      <w:left w:val="single" w:sz="4" w:space="0" w:color="auto"/>
                      <w:right w:val="single" w:sz="4" w:space="0" w:color="auto"/>
                    </w:tcBorders>
                    <w:vAlign w:val="center"/>
                  </w:tcPr>
                  <w:p w14:paraId="50F599C4" w14:textId="77777777" w:rsidR="007E7472" w:rsidRDefault="00C8327E">
                    <w:pPr>
                      <w:jc w:val="right"/>
                      <w:rPr>
                        <w:spacing w:val="-20"/>
                        <w:sz w:val="18"/>
                        <w:szCs w:val="18"/>
                      </w:rPr>
                    </w:pPr>
                  </w:p>
                </w:tc>
                <w:tc>
                  <w:tcPr>
                    <w:tcW w:w="1134" w:type="dxa"/>
                    <w:tcBorders>
                      <w:left w:val="single" w:sz="4" w:space="0" w:color="auto"/>
                      <w:right w:val="single" w:sz="4" w:space="0" w:color="auto"/>
                    </w:tcBorders>
                    <w:vAlign w:val="center"/>
                  </w:tcPr>
                  <w:p w14:paraId="7918C98B" w14:textId="77777777" w:rsidR="007E7472" w:rsidRDefault="00C8327E">
                    <w:pPr>
                      <w:jc w:val="right"/>
                      <w:rPr>
                        <w:spacing w:val="-20"/>
                        <w:sz w:val="18"/>
                        <w:szCs w:val="18"/>
                      </w:rPr>
                    </w:pPr>
                  </w:p>
                </w:tc>
                <w:tc>
                  <w:tcPr>
                    <w:tcW w:w="1278" w:type="dxa"/>
                    <w:tcBorders>
                      <w:left w:val="single" w:sz="4" w:space="0" w:color="auto"/>
                    </w:tcBorders>
                    <w:vAlign w:val="center"/>
                  </w:tcPr>
                  <w:p w14:paraId="46F8D56D" w14:textId="77777777" w:rsidR="007E7472" w:rsidRDefault="00C8327E">
                    <w:pPr>
                      <w:jc w:val="right"/>
                      <w:rPr>
                        <w:spacing w:val="-20"/>
                        <w:sz w:val="18"/>
                        <w:szCs w:val="18"/>
                      </w:rPr>
                    </w:pPr>
                  </w:p>
                </w:tc>
                <w:tc>
                  <w:tcPr>
                    <w:tcW w:w="1036" w:type="dxa"/>
                    <w:vAlign w:val="center"/>
                  </w:tcPr>
                  <w:p w14:paraId="5320A138" w14:textId="77777777" w:rsidR="007E7472" w:rsidRDefault="00C8327E">
                    <w:pPr>
                      <w:jc w:val="right"/>
                      <w:rPr>
                        <w:spacing w:val="-20"/>
                        <w:sz w:val="18"/>
                        <w:szCs w:val="18"/>
                      </w:rPr>
                    </w:pPr>
                  </w:p>
                </w:tc>
                <w:tc>
                  <w:tcPr>
                    <w:tcW w:w="1064" w:type="dxa"/>
                    <w:vAlign w:val="center"/>
                  </w:tcPr>
                  <w:p w14:paraId="25D5CD64" w14:textId="77777777" w:rsidR="007E7472" w:rsidRDefault="00C8327E">
                    <w:pPr>
                      <w:jc w:val="right"/>
                      <w:rPr>
                        <w:spacing w:val="-20"/>
                        <w:sz w:val="18"/>
                        <w:szCs w:val="18"/>
                      </w:rPr>
                    </w:pPr>
                  </w:p>
                </w:tc>
                <w:tc>
                  <w:tcPr>
                    <w:tcW w:w="1022" w:type="dxa"/>
                    <w:vAlign w:val="center"/>
                  </w:tcPr>
                  <w:p w14:paraId="16354C53" w14:textId="77777777" w:rsidR="007E7472" w:rsidRDefault="00C8327E">
                    <w:pPr>
                      <w:jc w:val="right"/>
                      <w:rPr>
                        <w:spacing w:val="-20"/>
                        <w:sz w:val="18"/>
                        <w:szCs w:val="18"/>
                      </w:rPr>
                    </w:pPr>
                  </w:p>
                </w:tc>
                <w:tc>
                  <w:tcPr>
                    <w:tcW w:w="1036" w:type="dxa"/>
                    <w:vAlign w:val="center"/>
                  </w:tcPr>
                  <w:p w14:paraId="15BDBB36" w14:textId="77777777" w:rsidR="007E7472" w:rsidRDefault="00C8327E">
                    <w:pPr>
                      <w:jc w:val="right"/>
                      <w:rPr>
                        <w:spacing w:val="-20"/>
                        <w:sz w:val="18"/>
                        <w:szCs w:val="18"/>
                      </w:rPr>
                    </w:pPr>
                  </w:p>
                </w:tc>
                <w:tc>
                  <w:tcPr>
                    <w:tcW w:w="942" w:type="dxa"/>
                    <w:vAlign w:val="center"/>
                  </w:tcPr>
                  <w:p w14:paraId="2AC3BCCB" w14:textId="77777777" w:rsidR="007E7472" w:rsidRDefault="00C8327E">
                    <w:pPr>
                      <w:jc w:val="right"/>
                      <w:rPr>
                        <w:spacing w:val="-20"/>
                        <w:sz w:val="18"/>
                        <w:szCs w:val="18"/>
                      </w:rPr>
                    </w:pPr>
                  </w:p>
                </w:tc>
                <w:tc>
                  <w:tcPr>
                    <w:tcW w:w="993" w:type="dxa"/>
                    <w:vAlign w:val="center"/>
                  </w:tcPr>
                  <w:p w14:paraId="322E77BC" w14:textId="77777777" w:rsidR="007E7472" w:rsidRDefault="00C8327E">
                    <w:pPr>
                      <w:jc w:val="right"/>
                      <w:rPr>
                        <w:spacing w:val="-20"/>
                        <w:sz w:val="18"/>
                        <w:szCs w:val="18"/>
                      </w:rPr>
                    </w:pPr>
                  </w:p>
                </w:tc>
                <w:tc>
                  <w:tcPr>
                    <w:tcW w:w="1120" w:type="dxa"/>
                    <w:vAlign w:val="center"/>
                  </w:tcPr>
                  <w:p w14:paraId="3BB445C8" w14:textId="77777777" w:rsidR="007E7472" w:rsidRDefault="00C8327E">
                    <w:pPr>
                      <w:jc w:val="right"/>
                      <w:rPr>
                        <w:spacing w:val="-20"/>
                        <w:sz w:val="18"/>
                        <w:szCs w:val="18"/>
                      </w:rPr>
                    </w:pPr>
                  </w:p>
                </w:tc>
              </w:tr>
              <w:tr w:rsidR="007E7472" w14:paraId="287FA6C3" w14:textId="77777777">
                <w:trPr>
                  <w:trHeight w:val="20"/>
                </w:trPr>
                <w:sdt>
                  <w:sdtPr>
                    <w:tag w:val="_PLD_97bd41fffab4497fb1be0b345aef17bd"/>
                    <w:id w:val="-327136159"/>
                    <w:lock w:val="sdtLocked"/>
                  </w:sdtPr>
                  <w:sdtEndPr/>
                  <w:sdtContent>
                    <w:tc>
                      <w:tcPr>
                        <w:tcW w:w="2394" w:type="dxa"/>
                      </w:tcPr>
                      <w:p w14:paraId="479D2D93" w14:textId="77777777" w:rsidR="007E7472" w:rsidRDefault="00EC1269">
                        <w:pPr>
                          <w:rPr>
                            <w:sz w:val="18"/>
                            <w:szCs w:val="18"/>
                          </w:rPr>
                        </w:pPr>
                        <w:r>
                          <w:rPr>
                            <w:rFonts w:hint="eastAsia"/>
                            <w:sz w:val="18"/>
                            <w:szCs w:val="18"/>
                          </w:rPr>
                          <w:t>2</w:t>
                        </w:r>
                        <w:r>
                          <w:rPr>
                            <w:sz w:val="18"/>
                            <w:szCs w:val="18"/>
                          </w:rPr>
                          <w:t>．对所有者（或股东）的分配</w:t>
                        </w:r>
                      </w:p>
                    </w:tc>
                  </w:sdtContent>
                </w:sdt>
                <w:tc>
                  <w:tcPr>
                    <w:tcW w:w="1078" w:type="dxa"/>
                    <w:tcBorders>
                      <w:right w:val="single" w:sz="4" w:space="0" w:color="auto"/>
                    </w:tcBorders>
                    <w:vAlign w:val="center"/>
                  </w:tcPr>
                  <w:p w14:paraId="73EA45DA" w14:textId="77777777" w:rsidR="007E7472" w:rsidRDefault="00C8327E">
                    <w:pPr>
                      <w:jc w:val="right"/>
                      <w:rPr>
                        <w:spacing w:val="-20"/>
                        <w:sz w:val="18"/>
                        <w:szCs w:val="18"/>
                      </w:rPr>
                    </w:pPr>
                  </w:p>
                </w:tc>
                <w:tc>
                  <w:tcPr>
                    <w:tcW w:w="807" w:type="dxa"/>
                    <w:tcBorders>
                      <w:left w:val="single" w:sz="4" w:space="0" w:color="auto"/>
                      <w:right w:val="single" w:sz="4" w:space="0" w:color="auto"/>
                    </w:tcBorders>
                    <w:vAlign w:val="center"/>
                  </w:tcPr>
                  <w:p w14:paraId="7D86BA25" w14:textId="77777777" w:rsidR="007E7472" w:rsidRDefault="00C8327E">
                    <w:pPr>
                      <w:jc w:val="right"/>
                      <w:rPr>
                        <w:spacing w:val="-20"/>
                        <w:sz w:val="18"/>
                        <w:szCs w:val="18"/>
                      </w:rPr>
                    </w:pPr>
                  </w:p>
                </w:tc>
                <w:tc>
                  <w:tcPr>
                    <w:tcW w:w="1134" w:type="dxa"/>
                    <w:tcBorders>
                      <w:left w:val="single" w:sz="4" w:space="0" w:color="auto"/>
                      <w:right w:val="single" w:sz="4" w:space="0" w:color="auto"/>
                    </w:tcBorders>
                    <w:vAlign w:val="center"/>
                  </w:tcPr>
                  <w:p w14:paraId="34A02AAF" w14:textId="77777777" w:rsidR="007E7472" w:rsidRDefault="00C8327E">
                    <w:pPr>
                      <w:jc w:val="right"/>
                      <w:rPr>
                        <w:spacing w:val="-20"/>
                        <w:sz w:val="18"/>
                        <w:szCs w:val="18"/>
                      </w:rPr>
                    </w:pPr>
                  </w:p>
                </w:tc>
                <w:tc>
                  <w:tcPr>
                    <w:tcW w:w="1278" w:type="dxa"/>
                    <w:tcBorders>
                      <w:left w:val="single" w:sz="4" w:space="0" w:color="auto"/>
                    </w:tcBorders>
                    <w:vAlign w:val="center"/>
                  </w:tcPr>
                  <w:p w14:paraId="7F923E2F" w14:textId="77777777" w:rsidR="007E7472" w:rsidRDefault="00C8327E">
                    <w:pPr>
                      <w:jc w:val="right"/>
                      <w:rPr>
                        <w:spacing w:val="-20"/>
                        <w:sz w:val="18"/>
                        <w:szCs w:val="18"/>
                      </w:rPr>
                    </w:pPr>
                  </w:p>
                </w:tc>
                <w:tc>
                  <w:tcPr>
                    <w:tcW w:w="1036" w:type="dxa"/>
                    <w:vAlign w:val="center"/>
                  </w:tcPr>
                  <w:p w14:paraId="28687D46" w14:textId="77777777" w:rsidR="007E7472" w:rsidRDefault="00C8327E">
                    <w:pPr>
                      <w:jc w:val="right"/>
                      <w:rPr>
                        <w:spacing w:val="-20"/>
                        <w:sz w:val="18"/>
                        <w:szCs w:val="18"/>
                      </w:rPr>
                    </w:pPr>
                  </w:p>
                </w:tc>
                <w:tc>
                  <w:tcPr>
                    <w:tcW w:w="1064" w:type="dxa"/>
                    <w:vAlign w:val="center"/>
                  </w:tcPr>
                  <w:p w14:paraId="4B9AA4FF" w14:textId="77777777" w:rsidR="007E7472" w:rsidRDefault="00C8327E">
                    <w:pPr>
                      <w:jc w:val="right"/>
                      <w:rPr>
                        <w:spacing w:val="-20"/>
                        <w:sz w:val="18"/>
                        <w:szCs w:val="18"/>
                      </w:rPr>
                    </w:pPr>
                  </w:p>
                </w:tc>
                <w:tc>
                  <w:tcPr>
                    <w:tcW w:w="1022" w:type="dxa"/>
                    <w:vAlign w:val="center"/>
                  </w:tcPr>
                  <w:p w14:paraId="06B897D1" w14:textId="77777777" w:rsidR="007E7472" w:rsidRDefault="00C8327E">
                    <w:pPr>
                      <w:jc w:val="right"/>
                      <w:rPr>
                        <w:spacing w:val="-20"/>
                        <w:sz w:val="18"/>
                        <w:szCs w:val="18"/>
                      </w:rPr>
                    </w:pPr>
                  </w:p>
                </w:tc>
                <w:tc>
                  <w:tcPr>
                    <w:tcW w:w="1036" w:type="dxa"/>
                    <w:vAlign w:val="center"/>
                  </w:tcPr>
                  <w:p w14:paraId="72A4E3D8" w14:textId="77777777" w:rsidR="007E7472" w:rsidRDefault="00C8327E">
                    <w:pPr>
                      <w:jc w:val="right"/>
                      <w:rPr>
                        <w:spacing w:val="-20"/>
                        <w:sz w:val="18"/>
                        <w:szCs w:val="18"/>
                      </w:rPr>
                    </w:pPr>
                  </w:p>
                </w:tc>
                <w:tc>
                  <w:tcPr>
                    <w:tcW w:w="942" w:type="dxa"/>
                    <w:vAlign w:val="center"/>
                  </w:tcPr>
                  <w:p w14:paraId="3AC5DB24" w14:textId="77777777" w:rsidR="007E7472" w:rsidRDefault="00C8327E">
                    <w:pPr>
                      <w:jc w:val="right"/>
                      <w:rPr>
                        <w:spacing w:val="-20"/>
                        <w:sz w:val="18"/>
                        <w:szCs w:val="18"/>
                      </w:rPr>
                    </w:pPr>
                  </w:p>
                </w:tc>
                <w:tc>
                  <w:tcPr>
                    <w:tcW w:w="993" w:type="dxa"/>
                    <w:vAlign w:val="center"/>
                  </w:tcPr>
                  <w:p w14:paraId="5374CFB7" w14:textId="77777777" w:rsidR="007E7472" w:rsidRDefault="00EC1269">
                    <w:pPr>
                      <w:jc w:val="right"/>
                      <w:rPr>
                        <w:spacing w:val="-20"/>
                        <w:sz w:val="18"/>
                        <w:szCs w:val="18"/>
                      </w:rPr>
                    </w:pPr>
                    <w:r>
                      <w:rPr>
                        <w:rFonts w:hint="eastAsia"/>
                        <w:spacing w:val="-20"/>
                        <w:sz w:val="18"/>
                        <w:szCs w:val="18"/>
                      </w:rPr>
                      <w:t>-9,897,407</w:t>
                    </w:r>
                  </w:p>
                </w:tc>
                <w:tc>
                  <w:tcPr>
                    <w:tcW w:w="1120" w:type="dxa"/>
                    <w:vAlign w:val="center"/>
                  </w:tcPr>
                  <w:p w14:paraId="43517EF0" w14:textId="77777777" w:rsidR="007E7472" w:rsidRDefault="00EC1269">
                    <w:pPr>
                      <w:jc w:val="right"/>
                      <w:rPr>
                        <w:spacing w:val="-20"/>
                        <w:sz w:val="18"/>
                        <w:szCs w:val="18"/>
                      </w:rPr>
                    </w:pPr>
                    <w:r>
                      <w:rPr>
                        <w:rFonts w:hint="eastAsia"/>
                        <w:spacing w:val="-20"/>
                        <w:sz w:val="18"/>
                        <w:szCs w:val="18"/>
                      </w:rPr>
                      <w:t>-9,897,407</w:t>
                    </w:r>
                  </w:p>
                </w:tc>
              </w:tr>
              <w:tr w:rsidR="007E7472" w14:paraId="1E1485D3" w14:textId="77777777">
                <w:trPr>
                  <w:trHeight w:val="20"/>
                </w:trPr>
                <w:sdt>
                  <w:sdtPr>
                    <w:tag w:val="_PLD_a5c6789730e84b389ee95f39091419a8"/>
                    <w:id w:val="1910117386"/>
                    <w:lock w:val="sdtLocked"/>
                  </w:sdtPr>
                  <w:sdtEndPr/>
                  <w:sdtContent>
                    <w:tc>
                      <w:tcPr>
                        <w:tcW w:w="2394" w:type="dxa"/>
                      </w:tcPr>
                      <w:p w14:paraId="442D5E0E" w14:textId="77777777" w:rsidR="007E7472" w:rsidRDefault="00EC1269">
                        <w:pPr>
                          <w:rPr>
                            <w:sz w:val="18"/>
                            <w:szCs w:val="18"/>
                          </w:rPr>
                        </w:pPr>
                        <w:r>
                          <w:rPr>
                            <w:rFonts w:hint="eastAsia"/>
                            <w:sz w:val="18"/>
                            <w:szCs w:val="18"/>
                          </w:rPr>
                          <w:t>3</w:t>
                        </w:r>
                        <w:r>
                          <w:rPr>
                            <w:sz w:val="18"/>
                            <w:szCs w:val="18"/>
                          </w:rPr>
                          <w:t>．其他</w:t>
                        </w:r>
                      </w:p>
                    </w:tc>
                  </w:sdtContent>
                </w:sdt>
                <w:tc>
                  <w:tcPr>
                    <w:tcW w:w="1078" w:type="dxa"/>
                    <w:tcBorders>
                      <w:right w:val="single" w:sz="4" w:space="0" w:color="auto"/>
                    </w:tcBorders>
                    <w:vAlign w:val="center"/>
                  </w:tcPr>
                  <w:p w14:paraId="1B7E2969" w14:textId="77777777" w:rsidR="007E7472" w:rsidRDefault="00C8327E">
                    <w:pPr>
                      <w:jc w:val="right"/>
                      <w:rPr>
                        <w:spacing w:val="-20"/>
                        <w:sz w:val="18"/>
                        <w:szCs w:val="18"/>
                      </w:rPr>
                    </w:pPr>
                  </w:p>
                </w:tc>
                <w:tc>
                  <w:tcPr>
                    <w:tcW w:w="807" w:type="dxa"/>
                    <w:tcBorders>
                      <w:left w:val="single" w:sz="4" w:space="0" w:color="auto"/>
                      <w:right w:val="single" w:sz="4" w:space="0" w:color="auto"/>
                    </w:tcBorders>
                    <w:vAlign w:val="center"/>
                  </w:tcPr>
                  <w:p w14:paraId="52077151" w14:textId="77777777" w:rsidR="007E7472" w:rsidRDefault="00C8327E">
                    <w:pPr>
                      <w:jc w:val="right"/>
                      <w:rPr>
                        <w:spacing w:val="-20"/>
                        <w:sz w:val="18"/>
                        <w:szCs w:val="18"/>
                      </w:rPr>
                    </w:pPr>
                  </w:p>
                </w:tc>
                <w:tc>
                  <w:tcPr>
                    <w:tcW w:w="1134" w:type="dxa"/>
                    <w:tcBorders>
                      <w:left w:val="single" w:sz="4" w:space="0" w:color="auto"/>
                      <w:right w:val="single" w:sz="4" w:space="0" w:color="auto"/>
                    </w:tcBorders>
                    <w:vAlign w:val="center"/>
                  </w:tcPr>
                  <w:p w14:paraId="029317E8" w14:textId="77777777" w:rsidR="007E7472" w:rsidRDefault="00EC1269">
                    <w:pPr>
                      <w:jc w:val="right"/>
                      <w:rPr>
                        <w:spacing w:val="-20"/>
                        <w:sz w:val="18"/>
                        <w:szCs w:val="18"/>
                      </w:rPr>
                    </w:pPr>
                    <w:r>
                      <w:rPr>
                        <w:rFonts w:hint="eastAsia"/>
                        <w:spacing w:val="-20"/>
                        <w:sz w:val="18"/>
                        <w:szCs w:val="18"/>
                      </w:rPr>
                      <w:t>-213,030</w:t>
                    </w:r>
                  </w:p>
                </w:tc>
                <w:tc>
                  <w:tcPr>
                    <w:tcW w:w="1278" w:type="dxa"/>
                    <w:tcBorders>
                      <w:left w:val="single" w:sz="4" w:space="0" w:color="auto"/>
                    </w:tcBorders>
                    <w:vAlign w:val="center"/>
                  </w:tcPr>
                  <w:p w14:paraId="6008CCD6" w14:textId="77777777" w:rsidR="007E7472" w:rsidRDefault="00C8327E">
                    <w:pPr>
                      <w:jc w:val="right"/>
                      <w:rPr>
                        <w:spacing w:val="-20"/>
                        <w:sz w:val="18"/>
                        <w:szCs w:val="18"/>
                      </w:rPr>
                    </w:pPr>
                  </w:p>
                </w:tc>
                <w:tc>
                  <w:tcPr>
                    <w:tcW w:w="1036" w:type="dxa"/>
                    <w:vAlign w:val="center"/>
                  </w:tcPr>
                  <w:p w14:paraId="4CA7185E" w14:textId="77777777" w:rsidR="007E7472" w:rsidRDefault="00C8327E">
                    <w:pPr>
                      <w:jc w:val="right"/>
                      <w:rPr>
                        <w:spacing w:val="-20"/>
                        <w:sz w:val="18"/>
                        <w:szCs w:val="18"/>
                      </w:rPr>
                    </w:pPr>
                  </w:p>
                </w:tc>
                <w:tc>
                  <w:tcPr>
                    <w:tcW w:w="1064" w:type="dxa"/>
                    <w:vAlign w:val="center"/>
                  </w:tcPr>
                  <w:p w14:paraId="415EAAD6" w14:textId="77777777" w:rsidR="007E7472" w:rsidRDefault="00C8327E">
                    <w:pPr>
                      <w:jc w:val="right"/>
                      <w:rPr>
                        <w:spacing w:val="-20"/>
                        <w:sz w:val="18"/>
                        <w:szCs w:val="18"/>
                      </w:rPr>
                    </w:pPr>
                  </w:p>
                </w:tc>
                <w:tc>
                  <w:tcPr>
                    <w:tcW w:w="1022" w:type="dxa"/>
                    <w:vAlign w:val="center"/>
                  </w:tcPr>
                  <w:p w14:paraId="67CCA1AA" w14:textId="77777777" w:rsidR="007E7472" w:rsidRDefault="00C8327E">
                    <w:pPr>
                      <w:jc w:val="right"/>
                      <w:rPr>
                        <w:spacing w:val="-20"/>
                        <w:sz w:val="18"/>
                        <w:szCs w:val="18"/>
                      </w:rPr>
                    </w:pPr>
                  </w:p>
                </w:tc>
                <w:tc>
                  <w:tcPr>
                    <w:tcW w:w="1036" w:type="dxa"/>
                    <w:vAlign w:val="center"/>
                  </w:tcPr>
                  <w:p w14:paraId="3062F35D" w14:textId="77777777" w:rsidR="007E7472" w:rsidRDefault="00C8327E">
                    <w:pPr>
                      <w:jc w:val="right"/>
                      <w:rPr>
                        <w:spacing w:val="-20"/>
                        <w:sz w:val="18"/>
                        <w:szCs w:val="18"/>
                      </w:rPr>
                    </w:pPr>
                  </w:p>
                </w:tc>
                <w:tc>
                  <w:tcPr>
                    <w:tcW w:w="942" w:type="dxa"/>
                    <w:vAlign w:val="center"/>
                  </w:tcPr>
                  <w:p w14:paraId="5F1F133F" w14:textId="77777777" w:rsidR="007E7472" w:rsidRDefault="00C8327E">
                    <w:pPr>
                      <w:jc w:val="right"/>
                      <w:rPr>
                        <w:spacing w:val="-20"/>
                        <w:sz w:val="18"/>
                        <w:szCs w:val="18"/>
                      </w:rPr>
                    </w:pPr>
                  </w:p>
                </w:tc>
                <w:tc>
                  <w:tcPr>
                    <w:tcW w:w="993" w:type="dxa"/>
                    <w:vAlign w:val="center"/>
                  </w:tcPr>
                  <w:p w14:paraId="46323745" w14:textId="77777777" w:rsidR="007E7472" w:rsidRDefault="00C8327E">
                    <w:pPr>
                      <w:jc w:val="right"/>
                      <w:rPr>
                        <w:spacing w:val="-20"/>
                        <w:sz w:val="18"/>
                        <w:szCs w:val="18"/>
                      </w:rPr>
                    </w:pPr>
                  </w:p>
                </w:tc>
                <w:tc>
                  <w:tcPr>
                    <w:tcW w:w="1120" w:type="dxa"/>
                    <w:vAlign w:val="center"/>
                  </w:tcPr>
                  <w:p w14:paraId="0F7F34AD" w14:textId="77777777" w:rsidR="007E7472" w:rsidRDefault="00EC1269">
                    <w:pPr>
                      <w:jc w:val="right"/>
                      <w:rPr>
                        <w:spacing w:val="-20"/>
                        <w:sz w:val="18"/>
                        <w:szCs w:val="18"/>
                      </w:rPr>
                    </w:pPr>
                    <w:r>
                      <w:rPr>
                        <w:rFonts w:hint="eastAsia"/>
                        <w:spacing w:val="-20"/>
                        <w:sz w:val="18"/>
                        <w:szCs w:val="18"/>
                      </w:rPr>
                      <w:t>-213,030</w:t>
                    </w:r>
                  </w:p>
                </w:tc>
              </w:tr>
              <w:tr w:rsidR="007E7472" w14:paraId="5B7F1946" w14:textId="77777777">
                <w:trPr>
                  <w:trHeight w:val="20"/>
                </w:trPr>
                <w:sdt>
                  <w:sdtPr>
                    <w:tag w:val="_PLD_9c529a92f12642ed93c3ac5d7c5ef52b"/>
                    <w:id w:val="291723641"/>
                    <w:lock w:val="sdtLocked"/>
                  </w:sdtPr>
                  <w:sdtEndPr/>
                  <w:sdtContent>
                    <w:tc>
                      <w:tcPr>
                        <w:tcW w:w="2394" w:type="dxa"/>
                      </w:tcPr>
                      <w:p w14:paraId="145EB33E" w14:textId="77777777" w:rsidR="007E7472" w:rsidRDefault="00EC1269">
                        <w:pPr>
                          <w:rPr>
                            <w:sz w:val="18"/>
                            <w:szCs w:val="18"/>
                          </w:rPr>
                        </w:pPr>
                        <w:r>
                          <w:rPr>
                            <w:sz w:val="18"/>
                            <w:szCs w:val="18"/>
                          </w:rPr>
                          <w:t>（</w:t>
                        </w:r>
                        <w:r>
                          <w:rPr>
                            <w:rFonts w:hint="eastAsia"/>
                            <w:sz w:val="18"/>
                            <w:szCs w:val="18"/>
                          </w:rPr>
                          <w:t>四</w:t>
                        </w:r>
                        <w:r>
                          <w:rPr>
                            <w:sz w:val="18"/>
                            <w:szCs w:val="18"/>
                          </w:rPr>
                          <w:t>）所有者权益内部结转</w:t>
                        </w:r>
                      </w:p>
                    </w:tc>
                  </w:sdtContent>
                </w:sdt>
                <w:tc>
                  <w:tcPr>
                    <w:tcW w:w="1078" w:type="dxa"/>
                    <w:tcBorders>
                      <w:right w:val="single" w:sz="4" w:space="0" w:color="auto"/>
                    </w:tcBorders>
                  </w:tcPr>
                  <w:p w14:paraId="100EFEDC" w14:textId="77777777" w:rsidR="007E7472" w:rsidRDefault="00C8327E">
                    <w:pPr>
                      <w:jc w:val="right"/>
                      <w:rPr>
                        <w:spacing w:val="-20"/>
                        <w:sz w:val="18"/>
                        <w:szCs w:val="18"/>
                      </w:rPr>
                    </w:pPr>
                  </w:p>
                </w:tc>
                <w:tc>
                  <w:tcPr>
                    <w:tcW w:w="807" w:type="dxa"/>
                    <w:tcBorders>
                      <w:left w:val="single" w:sz="4" w:space="0" w:color="auto"/>
                      <w:right w:val="single" w:sz="4" w:space="0" w:color="auto"/>
                    </w:tcBorders>
                  </w:tcPr>
                  <w:p w14:paraId="2A53ED47" w14:textId="77777777" w:rsidR="007E7472" w:rsidRDefault="00C8327E">
                    <w:pPr>
                      <w:jc w:val="right"/>
                      <w:rPr>
                        <w:spacing w:val="-20"/>
                        <w:sz w:val="18"/>
                        <w:szCs w:val="18"/>
                      </w:rPr>
                    </w:pPr>
                  </w:p>
                </w:tc>
                <w:tc>
                  <w:tcPr>
                    <w:tcW w:w="1134" w:type="dxa"/>
                    <w:tcBorders>
                      <w:left w:val="single" w:sz="4" w:space="0" w:color="auto"/>
                      <w:right w:val="single" w:sz="4" w:space="0" w:color="auto"/>
                    </w:tcBorders>
                  </w:tcPr>
                  <w:p w14:paraId="70C28ED6" w14:textId="77777777" w:rsidR="007E7472" w:rsidRDefault="00C8327E">
                    <w:pPr>
                      <w:jc w:val="right"/>
                      <w:rPr>
                        <w:spacing w:val="-20"/>
                        <w:sz w:val="18"/>
                        <w:szCs w:val="18"/>
                      </w:rPr>
                    </w:pPr>
                  </w:p>
                </w:tc>
                <w:tc>
                  <w:tcPr>
                    <w:tcW w:w="1278" w:type="dxa"/>
                    <w:tcBorders>
                      <w:left w:val="single" w:sz="4" w:space="0" w:color="auto"/>
                    </w:tcBorders>
                  </w:tcPr>
                  <w:p w14:paraId="72EEA3F8" w14:textId="77777777" w:rsidR="007E7472" w:rsidRDefault="00C8327E">
                    <w:pPr>
                      <w:jc w:val="right"/>
                      <w:rPr>
                        <w:spacing w:val="-20"/>
                        <w:sz w:val="18"/>
                        <w:szCs w:val="18"/>
                      </w:rPr>
                    </w:pPr>
                  </w:p>
                </w:tc>
                <w:tc>
                  <w:tcPr>
                    <w:tcW w:w="1036" w:type="dxa"/>
                  </w:tcPr>
                  <w:p w14:paraId="48156797" w14:textId="77777777" w:rsidR="007E7472" w:rsidRDefault="00C8327E">
                    <w:pPr>
                      <w:jc w:val="right"/>
                      <w:rPr>
                        <w:spacing w:val="-20"/>
                        <w:sz w:val="18"/>
                        <w:szCs w:val="18"/>
                      </w:rPr>
                    </w:pPr>
                  </w:p>
                </w:tc>
                <w:tc>
                  <w:tcPr>
                    <w:tcW w:w="1064" w:type="dxa"/>
                  </w:tcPr>
                  <w:p w14:paraId="7833E77D" w14:textId="77777777" w:rsidR="007E7472" w:rsidRDefault="00C8327E">
                    <w:pPr>
                      <w:jc w:val="right"/>
                      <w:rPr>
                        <w:spacing w:val="-20"/>
                        <w:sz w:val="18"/>
                        <w:szCs w:val="18"/>
                      </w:rPr>
                    </w:pPr>
                  </w:p>
                </w:tc>
                <w:tc>
                  <w:tcPr>
                    <w:tcW w:w="1022" w:type="dxa"/>
                  </w:tcPr>
                  <w:p w14:paraId="7A44AC3B" w14:textId="77777777" w:rsidR="007E7472" w:rsidRDefault="00C8327E">
                    <w:pPr>
                      <w:jc w:val="right"/>
                      <w:rPr>
                        <w:spacing w:val="-20"/>
                        <w:sz w:val="18"/>
                        <w:szCs w:val="18"/>
                      </w:rPr>
                    </w:pPr>
                  </w:p>
                </w:tc>
                <w:tc>
                  <w:tcPr>
                    <w:tcW w:w="1036" w:type="dxa"/>
                  </w:tcPr>
                  <w:p w14:paraId="37903D29" w14:textId="77777777" w:rsidR="007E7472" w:rsidRDefault="00C8327E">
                    <w:pPr>
                      <w:jc w:val="right"/>
                      <w:rPr>
                        <w:spacing w:val="-20"/>
                        <w:sz w:val="18"/>
                        <w:szCs w:val="18"/>
                      </w:rPr>
                    </w:pPr>
                  </w:p>
                </w:tc>
                <w:tc>
                  <w:tcPr>
                    <w:tcW w:w="942" w:type="dxa"/>
                  </w:tcPr>
                  <w:p w14:paraId="33870CC3" w14:textId="77777777" w:rsidR="007E7472" w:rsidRDefault="00C8327E">
                    <w:pPr>
                      <w:jc w:val="right"/>
                      <w:rPr>
                        <w:spacing w:val="-20"/>
                        <w:sz w:val="18"/>
                        <w:szCs w:val="18"/>
                      </w:rPr>
                    </w:pPr>
                  </w:p>
                </w:tc>
                <w:tc>
                  <w:tcPr>
                    <w:tcW w:w="993" w:type="dxa"/>
                  </w:tcPr>
                  <w:p w14:paraId="5F015786" w14:textId="77777777" w:rsidR="007E7472" w:rsidRDefault="00C8327E">
                    <w:pPr>
                      <w:jc w:val="right"/>
                      <w:rPr>
                        <w:spacing w:val="-20"/>
                        <w:sz w:val="18"/>
                        <w:szCs w:val="18"/>
                      </w:rPr>
                    </w:pPr>
                  </w:p>
                </w:tc>
                <w:tc>
                  <w:tcPr>
                    <w:tcW w:w="1120" w:type="dxa"/>
                  </w:tcPr>
                  <w:p w14:paraId="5187A2D8" w14:textId="77777777" w:rsidR="007E7472" w:rsidRDefault="00C8327E">
                    <w:pPr>
                      <w:jc w:val="right"/>
                      <w:rPr>
                        <w:spacing w:val="-20"/>
                        <w:sz w:val="18"/>
                        <w:szCs w:val="18"/>
                      </w:rPr>
                    </w:pPr>
                  </w:p>
                </w:tc>
              </w:tr>
              <w:tr w:rsidR="007E7472" w14:paraId="1EEEFA0C" w14:textId="77777777">
                <w:trPr>
                  <w:trHeight w:val="20"/>
                </w:trPr>
                <w:sdt>
                  <w:sdtPr>
                    <w:tag w:val="_PLD_084a56709ef243f89e8f0aead886c10d"/>
                    <w:id w:val="-1155982024"/>
                    <w:lock w:val="sdtLocked"/>
                  </w:sdtPr>
                  <w:sdtEndPr/>
                  <w:sdtContent>
                    <w:tc>
                      <w:tcPr>
                        <w:tcW w:w="2394" w:type="dxa"/>
                      </w:tcPr>
                      <w:p w14:paraId="35F98658" w14:textId="77777777" w:rsidR="007E7472" w:rsidRDefault="00EC1269">
                        <w:pPr>
                          <w:rPr>
                            <w:sz w:val="18"/>
                            <w:szCs w:val="18"/>
                          </w:rPr>
                        </w:pPr>
                        <w:r>
                          <w:rPr>
                            <w:sz w:val="18"/>
                            <w:szCs w:val="18"/>
                          </w:rPr>
                          <w:t>1．资本公积转增资本（或股本）</w:t>
                        </w:r>
                      </w:p>
                    </w:tc>
                  </w:sdtContent>
                </w:sdt>
                <w:tc>
                  <w:tcPr>
                    <w:tcW w:w="1078" w:type="dxa"/>
                    <w:tcBorders>
                      <w:right w:val="single" w:sz="4" w:space="0" w:color="auto"/>
                    </w:tcBorders>
                    <w:vAlign w:val="center"/>
                  </w:tcPr>
                  <w:p w14:paraId="40A3B7BC" w14:textId="77777777" w:rsidR="007E7472" w:rsidRDefault="00C8327E">
                    <w:pPr>
                      <w:jc w:val="right"/>
                      <w:rPr>
                        <w:spacing w:val="-20"/>
                        <w:sz w:val="18"/>
                        <w:szCs w:val="18"/>
                      </w:rPr>
                    </w:pPr>
                  </w:p>
                </w:tc>
                <w:tc>
                  <w:tcPr>
                    <w:tcW w:w="807" w:type="dxa"/>
                    <w:tcBorders>
                      <w:left w:val="single" w:sz="4" w:space="0" w:color="auto"/>
                      <w:right w:val="single" w:sz="4" w:space="0" w:color="auto"/>
                    </w:tcBorders>
                    <w:vAlign w:val="center"/>
                  </w:tcPr>
                  <w:p w14:paraId="63CC7200" w14:textId="77777777" w:rsidR="007E7472" w:rsidRDefault="00C8327E">
                    <w:pPr>
                      <w:jc w:val="right"/>
                      <w:rPr>
                        <w:spacing w:val="-20"/>
                        <w:sz w:val="18"/>
                        <w:szCs w:val="18"/>
                      </w:rPr>
                    </w:pPr>
                  </w:p>
                </w:tc>
                <w:tc>
                  <w:tcPr>
                    <w:tcW w:w="1134" w:type="dxa"/>
                    <w:tcBorders>
                      <w:left w:val="single" w:sz="4" w:space="0" w:color="auto"/>
                      <w:right w:val="single" w:sz="4" w:space="0" w:color="auto"/>
                    </w:tcBorders>
                    <w:vAlign w:val="center"/>
                  </w:tcPr>
                  <w:p w14:paraId="353E4783" w14:textId="77777777" w:rsidR="007E7472" w:rsidRDefault="00C8327E">
                    <w:pPr>
                      <w:jc w:val="right"/>
                      <w:rPr>
                        <w:spacing w:val="-20"/>
                        <w:sz w:val="18"/>
                        <w:szCs w:val="18"/>
                      </w:rPr>
                    </w:pPr>
                  </w:p>
                </w:tc>
                <w:tc>
                  <w:tcPr>
                    <w:tcW w:w="1278" w:type="dxa"/>
                    <w:tcBorders>
                      <w:left w:val="single" w:sz="4" w:space="0" w:color="auto"/>
                    </w:tcBorders>
                    <w:vAlign w:val="center"/>
                  </w:tcPr>
                  <w:p w14:paraId="314A3A71" w14:textId="77777777" w:rsidR="007E7472" w:rsidRDefault="00C8327E">
                    <w:pPr>
                      <w:jc w:val="right"/>
                      <w:rPr>
                        <w:spacing w:val="-20"/>
                        <w:sz w:val="18"/>
                        <w:szCs w:val="18"/>
                      </w:rPr>
                    </w:pPr>
                  </w:p>
                </w:tc>
                <w:tc>
                  <w:tcPr>
                    <w:tcW w:w="1036" w:type="dxa"/>
                    <w:vAlign w:val="center"/>
                  </w:tcPr>
                  <w:p w14:paraId="07B0D054" w14:textId="77777777" w:rsidR="007E7472" w:rsidRDefault="00C8327E">
                    <w:pPr>
                      <w:jc w:val="right"/>
                      <w:rPr>
                        <w:spacing w:val="-20"/>
                        <w:sz w:val="18"/>
                        <w:szCs w:val="18"/>
                      </w:rPr>
                    </w:pPr>
                  </w:p>
                </w:tc>
                <w:tc>
                  <w:tcPr>
                    <w:tcW w:w="1064" w:type="dxa"/>
                    <w:vAlign w:val="center"/>
                  </w:tcPr>
                  <w:p w14:paraId="2534E0BD" w14:textId="77777777" w:rsidR="007E7472" w:rsidRDefault="00C8327E">
                    <w:pPr>
                      <w:jc w:val="right"/>
                      <w:rPr>
                        <w:spacing w:val="-20"/>
                        <w:sz w:val="18"/>
                        <w:szCs w:val="18"/>
                      </w:rPr>
                    </w:pPr>
                  </w:p>
                </w:tc>
                <w:tc>
                  <w:tcPr>
                    <w:tcW w:w="1022" w:type="dxa"/>
                    <w:vAlign w:val="center"/>
                  </w:tcPr>
                  <w:p w14:paraId="789E6B4E" w14:textId="77777777" w:rsidR="007E7472" w:rsidRDefault="00C8327E">
                    <w:pPr>
                      <w:jc w:val="right"/>
                      <w:rPr>
                        <w:spacing w:val="-20"/>
                        <w:sz w:val="18"/>
                        <w:szCs w:val="18"/>
                      </w:rPr>
                    </w:pPr>
                  </w:p>
                </w:tc>
                <w:tc>
                  <w:tcPr>
                    <w:tcW w:w="1036" w:type="dxa"/>
                    <w:vAlign w:val="center"/>
                  </w:tcPr>
                  <w:p w14:paraId="70877576" w14:textId="77777777" w:rsidR="007E7472" w:rsidRDefault="00C8327E">
                    <w:pPr>
                      <w:jc w:val="right"/>
                      <w:rPr>
                        <w:spacing w:val="-20"/>
                        <w:sz w:val="18"/>
                        <w:szCs w:val="18"/>
                      </w:rPr>
                    </w:pPr>
                  </w:p>
                </w:tc>
                <w:tc>
                  <w:tcPr>
                    <w:tcW w:w="942" w:type="dxa"/>
                    <w:vAlign w:val="center"/>
                  </w:tcPr>
                  <w:p w14:paraId="17B21FE3" w14:textId="77777777" w:rsidR="007E7472" w:rsidRDefault="00C8327E">
                    <w:pPr>
                      <w:jc w:val="right"/>
                      <w:rPr>
                        <w:spacing w:val="-20"/>
                        <w:sz w:val="18"/>
                        <w:szCs w:val="18"/>
                      </w:rPr>
                    </w:pPr>
                  </w:p>
                </w:tc>
                <w:tc>
                  <w:tcPr>
                    <w:tcW w:w="993" w:type="dxa"/>
                    <w:vAlign w:val="center"/>
                  </w:tcPr>
                  <w:p w14:paraId="277E1039" w14:textId="77777777" w:rsidR="007E7472" w:rsidRDefault="00C8327E">
                    <w:pPr>
                      <w:jc w:val="right"/>
                      <w:rPr>
                        <w:spacing w:val="-20"/>
                        <w:sz w:val="18"/>
                        <w:szCs w:val="18"/>
                      </w:rPr>
                    </w:pPr>
                  </w:p>
                </w:tc>
                <w:tc>
                  <w:tcPr>
                    <w:tcW w:w="1120" w:type="dxa"/>
                    <w:vAlign w:val="center"/>
                  </w:tcPr>
                  <w:p w14:paraId="2A411C7F" w14:textId="77777777" w:rsidR="007E7472" w:rsidRDefault="00C8327E">
                    <w:pPr>
                      <w:jc w:val="right"/>
                      <w:rPr>
                        <w:spacing w:val="-20"/>
                        <w:sz w:val="18"/>
                        <w:szCs w:val="18"/>
                      </w:rPr>
                    </w:pPr>
                  </w:p>
                </w:tc>
              </w:tr>
              <w:tr w:rsidR="007E7472" w14:paraId="4E1AAF70" w14:textId="77777777">
                <w:trPr>
                  <w:trHeight w:val="20"/>
                </w:trPr>
                <w:sdt>
                  <w:sdtPr>
                    <w:tag w:val="_PLD_22df50d156334ad9a740cc6d62e17f0b"/>
                    <w:id w:val="873039223"/>
                    <w:lock w:val="sdtLocked"/>
                  </w:sdtPr>
                  <w:sdtEndPr/>
                  <w:sdtContent>
                    <w:tc>
                      <w:tcPr>
                        <w:tcW w:w="2394" w:type="dxa"/>
                      </w:tcPr>
                      <w:p w14:paraId="50FB63E4" w14:textId="77777777" w:rsidR="007E7472" w:rsidRDefault="00EC1269">
                        <w:pPr>
                          <w:rPr>
                            <w:sz w:val="18"/>
                            <w:szCs w:val="18"/>
                          </w:rPr>
                        </w:pPr>
                        <w:r>
                          <w:rPr>
                            <w:sz w:val="18"/>
                            <w:szCs w:val="18"/>
                          </w:rPr>
                          <w:t>2．盈余公积转增资本（或股本）</w:t>
                        </w:r>
                      </w:p>
                    </w:tc>
                  </w:sdtContent>
                </w:sdt>
                <w:tc>
                  <w:tcPr>
                    <w:tcW w:w="1078" w:type="dxa"/>
                    <w:tcBorders>
                      <w:right w:val="single" w:sz="4" w:space="0" w:color="auto"/>
                    </w:tcBorders>
                    <w:vAlign w:val="center"/>
                  </w:tcPr>
                  <w:p w14:paraId="5734113F" w14:textId="77777777" w:rsidR="007E7472" w:rsidRDefault="00C8327E">
                    <w:pPr>
                      <w:jc w:val="right"/>
                      <w:rPr>
                        <w:spacing w:val="-20"/>
                        <w:sz w:val="18"/>
                        <w:szCs w:val="18"/>
                      </w:rPr>
                    </w:pPr>
                  </w:p>
                </w:tc>
                <w:tc>
                  <w:tcPr>
                    <w:tcW w:w="807" w:type="dxa"/>
                    <w:tcBorders>
                      <w:left w:val="single" w:sz="4" w:space="0" w:color="auto"/>
                      <w:right w:val="single" w:sz="4" w:space="0" w:color="auto"/>
                    </w:tcBorders>
                    <w:vAlign w:val="center"/>
                  </w:tcPr>
                  <w:p w14:paraId="03867B8D" w14:textId="77777777" w:rsidR="007E7472" w:rsidRDefault="00C8327E">
                    <w:pPr>
                      <w:jc w:val="right"/>
                      <w:rPr>
                        <w:spacing w:val="-20"/>
                        <w:sz w:val="18"/>
                        <w:szCs w:val="18"/>
                      </w:rPr>
                    </w:pPr>
                  </w:p>
                </w:tc>
                <w:tc>
                  <w:tcPr>
                    <w:tcW w:w="1134" w:type="dxa"/>
                    <w:tcBorders>
                      <w:left w:val="single" w:sz="4" w:space="0" w:color="auto"/>
                      <w:right w:val="single" w:sz="4" w:space="0" w:color="auto"/>
                    </w:tcBorders>
                    <w:vAlign w:val="center"/>
                  </w:tcPr>
                  <w:p w14:paraId="593E85A5" w14:textId="77777777" w:rsidR="007E7472" w:rsidRDefault="00C8327E">
                    <w:pPr>
                      <w:jc w:val="right"/>
                      <w:rPr>
                        <w:spacing w:val="-20"/>
                        <w:sz w:val="18"/>
                        <w:szCs w:val="18"/>
                      </w:rPr>
                    </w:pPr>
                  </w:p>
                </w:tc>
                <w:tc>
                  <w:tcPr>
                    <w:tcW w:w="1278" w:type="dxa"/>
                    <w:tcBorders>
                      <w:left w:val="single" w:sz="4" w:space="0" w:color="auto"/>
                    </w:tcBorders>
                    <w:vAlign w:val="center"/>
                  </w:tcPr>
                  <w:p w14:paraId="4E99F856" w14:textId="77777777" w:rsidR="007E7472" w:rsidRDefault="00C8327E">
                    <w:pPr>
                      <w:jc w:val="right"/>
                      <w:rPr>
                        <w:spacing w:val="-20"/>
                        <w:sz w:val="18"/>
                        <w:szCs w:val="18"/>
                      </w:rPr>
                    </w:pPr>
                  </w:p>
                </w:tc>
                <w:tc>
                  <w:tcPr>
                    <w:tcW w:w="1036" w:type="dxa"/>
                    <w:vAlign w:val="center"/>
                  </w:tcPr>
                  <w:p w14:paraId="03D8DC94" w14:textId="77777777" w:rsidR="007E7472" w:rsidRDefault="00C8327E">
                    <w:pPr>
                      <w:jc w:val="right"/>
                      <w:rPr>
                        <w:spacing w:val="-20"/>
                        <w:sz w:val="18"/>
                        <w:szCs w:val="18"/>
                      </w:rPr>
                    </w:pPr>
                  </w:p>
                </w:tc>
                <w:tc>
                  <w:tcPr>
                    <w:tcW w:w="1064" w:type="dxa"/>
                    <w:vAlign w:val="center"/>
                  </w:tcPr>
                  <w:p w14:paraId="3192CB5F" w14:textId="77777777" w:rsidR="007E7472" w:rsidRDefault="00C8327E">
                    <w:pPr>
                      <w:jc w:val="right"/>
                      <w:rPr>
                        <w:spacing w:val="-20"/>
                        <w:sz w:val="18"/>
                        <w:szCs w:val="18"/>
                      </w:rPr>
                    </w:pPr>
                  </w:p>
                </w:tc>
                <w:tc>
                  <w:tcPr>
                    <w:tcW w:w="1022" w:type="dxa"/>
                    <w:vAlign w:val="center"/>
                  </w:tcPr>
                  <w:p w14:paraId="6790B86D" w14:textId="77777777" w:rsidR="007E7472" w:rsidRDefault="00C8327E">
                    <w:pPr>
                      <w:jc w:val="right"/>
                      <w:rPr>
                        <w:spacing w:val="-20"/>
                        <w:sz w:val="18"/>
                        <w:szCs w:val="18"/>
                      </w:rPr>
                    </w:pPr>
                  </w:p>
                </w:tc>
                <w:tc>
                  <w:tcPr>
                    <w:tcW w:w="1036" w:type="dxa"/>
                    <w:vAlign w:val="center"/>
                  </w:tcPr>
                  <w:p w14:paraId="3600214A" w14:textId="77777777" w:rsidR="007E7472" w:rsidRDefault="00C8327E">
                    <w:pPr>
                      <w:jc w:val="right"/>
                      <w:rPr>
                        <w:spacing w:val="-20"/>
                        <w:sz w:val="18"/>
                        <w:szCs w:val="18"/>
                      </w:rPr>
                    </w:pPr>
                  </w:p>
                </w:tc>
                <w:tc>
                  <w:tcPr>
                    <w:tcW w:w="942" w:type="dxa"/>
                    <w:vAlign w:val="center"/>
                  </w:tcPr>
                  <w:p w14:paraId="3E09D8BE" w14:textId="77777777" w:rsidR="007E7472" w:rsidRDefault="00C8327E">
                    <w:pPr>
                      <w:jc w:val="right"/>
                      <w:rPr>
                        <w:spacing w:val="-20"/>
                        <w:sz w:val="18"/>
                        <w:szCs w:val="18"/>
                      </w:rPr>
                    </w:pPr>
                  </w:p>
                </w:tc>
                <w:tc>
                  <w:tcPr>
                    <w:tcW w:w="993" w:type="dxa"/>
                    <w:vAlign w:val="center"/>
                  </w:tcPr>
                  <w:p w14:paraId="1ACCC818" w14:textId="77777777" w:rsidR="007E7472" w:rsidRDefault="00C8327E">
                    <w:pPr>
                      <w:jc w:val="right"/>
                      <w:rPr>
                        <w:spacing w:val="-20"/>
                        <w:sz w:val="18"/>
                        <w:szCs w:val="18"/>
                      </w:rPr>
                    </w:pPr>
                  </w:p>
                </w:tc>
                <w:tc>
                  <w:tcPr>
                    <w:tcW w:w="1120" w:type="dxa"/>
                    <w:vAlign w:val="center"/>
                  </w:tcPr>
                  <w:p w14:paraId="3D24F6BE" w14:textId="77777777" w:rsidR="007E7472" w:rsidRDefault="00C8327E">
                    <w:pPr>
                      <w:jc w:val="right"/>
                      <w:rPr>
                        <w:spacing w:val="-20"/>
                        <w:sz w:val="18"/>
                        <w:szCs w:val="18"/>
                      </w:rPr>
                    </w:pPr>
                  </w:p>
                </w:tc>
              </w:tr>
              <w:tr w:rsidR="007E7472" w14:paraId="78913B75" w14:textId="77777777">
                <w:trPr>
                  <w:trHeight w:val="20"/>
                </w:trPr>
                <w:sdt>
                  <w:sdtPr>
                    <w:tag w:val="_PLD_4846580862224d1a9e17a9af1fe14d07"/>
                    <w:id w:val="1941335534"/>
                    <w:lock w:val="sdtLocked"/>
                  </w:sdtPr>
                  <w:sdtEndPr/>
                  <w:sdtContent>
                    <w:tc>
                      <w:tcPr>
                        <w:tcW w:w="2394" w:type="dxa"/>
                      </w:tcPr>
                      <w:p w14:paraId="70C94269" w14:textId="77777777" w:rsidR="007E7472" w:rsidRDefault="00EC1269">
                        <w:pPr>
                          <w:rPr>
                            <w:sz w:val="18"/>
                            <w:szCs w:val="18"/>
                          </w:rPr>
                        </w:pPr>
                        <w:r>
                          <w:rPr>
                            <w:sz w:val="18"/>
                            <w:szCs w:val="18"/>
                          </w:rPr>
                          <w:t>3．盈余公积弥补亏损</w:t>
                        </w:r>
                      </w:p>
                    </w:tc>
                  </w:sdtContent>
                </w:sdt>
                <w:tc>
                  <w:tcPr>
                    <w:tcW w:w="1078" w:type="dxa"/>
                    <w:tcBorders>
                      <w:right w:val="single" w:sz="4" w:space="0" w:color="auto"/>
                    </w:tcBorders>
                    <w:vAlign w:val="center"/>
                  </w:tcPr>
                  <w:p w14:paraId="7405B778" w14:textId="77777777" w:rsidR="007E7472" w:rsidRDefault="00C8327E">
                    <w:pPr>
                      <w:jc w:val="right"/>
                      <w:rPr>
                        <w:spacing w:val="-20"/>
                        <w:sz w:val="18"/>
                        <w:szCs w:val="18"/>
                      </w:rPr>
                    </w:pPr>
                  </w:p>
                </w:tc>
                <w:tc>
                  <w:tcPr>
                    <w:tcW w:w="807" w:type="dxa"/>
                    <w:tcBorders>
                      <w:left w:val="single" w:sz="4" w:space="0" w:color="auto"/>
                      <w:right w:val="single" w:sz="4" w:space="0" w:color="auto"/>
                    </w:tcBorders>
                    <w:vAlign w:val="center"/>
                  </w:tcPr>
                  <w:p w14:paraId="1A5C6437" w14:textId="77777777" w:rsidR="007E7472" w:rsidRDefault="00C8327E">
                    <w:pPr>
                      <w:jc w:val="right"/>
                      <w:rPr>
                        <w:spacing w:val="-20"/>
                        <w:sz w:val="18"/>
                        <w:szCs w:val="18"/>
                      </w:rPr>
                    </w:pPr>
                  </w:p>
                </w:tc>
                <w:tc>
                  <w:tcPr>
                    <w:tcW w:w="1134" w:type="dxa"/>
                    <w:tcBorders>
                      <w:left w:val="single" w:sz="4" w:space="0" w:color="auto"/>
                      <w:right w:val="single" w:sz="4" w:space="0" w:color="auto"/>
                    </w:tcBorders>
                    <w:vAlign w:val="center"/>
                  </w:tcPr>
                  <w:p w14:paraId="657D61ED" w14:textId="77777777" w:rsidR="007E7472" w:rsidRDefault="00C8327E">
                    <w:pPr>
                      <w:jc w:val="right"/>
                      <w:rPr>
                        <w:spacing w:val="-20"/>
                        <w:sz w:val="18"/>
                        <w:szCs w:val="18"/>
                      </w:rPr>
                    </w:pPr>
                  </w:p>
                </w:tc>
                <w:tc>
                  <w:tcPr>
                    <w:tcW w:w="1278" w:type="dxa"/>
                    <w:tcBorders>
                      <w:left w:val="single" w:sz="4" w:space="0" w:color="auto"/>
                    </w:tcBorders>
                    <w:vAlign w:val="center"/>
                  </w:tcPr>
                  <w:p w14:paraId="1622BA09" w14:textId="77777777" w:rsidR="007E7472" w:rsidRDefault="00C8327E">
                    <w:pPr>
                      <w:jc w:val="right"/>
                      <w:rPr>
                        <w:spacing w:val="-20"/>
                        <w:sz w:val="18"/>
                        <w:szCs w:val="18"/>
                      </w:rPr>
                    </w:pPr>
                  </w:p>
                </w:tc>
                <w:tc>
                  <w:tcPr>
                    <w:tcW w:w="1036" w:type="dxa"/>
                    <w:vAlign w:val="center"/>
                  </w:tcPr>
                  <w:p w14:paraId="4D47A530" w14:textId="77777777" w:rsidR="007E7472" w:rsidRDefault="00C8327E">
                    <w:pPr>
                      <w:jc w:val="right"/>
                      <w:rPr>
                        <w:spacing w:val="-20"/>
                        <w:sz w:val="18"/>
                        <w:szCs w:val="18"/>
                      </w:rPr>
                    </w:pPr>
                  </w:p>
                </w:tc>
                <w:tc>
                  <w:tcPr>
                    <w:tcW w:w="1064" w:type="dxa"/>
                    <w:vAlign w:val="center"/>
                  </w:tcPr>
                  <w:p w14:paraId="50990BF0" w14:textId="77777777" w:rsidR="007E7472" w:rsidRDefault="00C8327E">
                    <w:pPr>
                      <w:jc w:val="right"/>
                      <w:rPr>
                        <w:spacing w:val="-20"/>
                        <w:sz w:val="18"/>
                        <w:szCs w:val="18"/>
                      </w:rPr>
                    </w:pPr>
                  </w:p>
                </w:tc>
                <w:tc>
                  <w:tcPr>
                    <w:tcW w:w="1022" w:type="dxa"/>
                    <w:vAlign w:val="center"/>
                  </w:tcPr>
                  <w:p w14:paraId="1A6BC670" w14:textId="77777777" w:rsidR="007E7472" w:rsidRDefault="00C8327E">
                    <w:pPr>
                      <w:jc w:val="right"/>
                      <w:rPr>
                        <w:spacing w:val="-20"/>
                        <w:sz w:val="18"/>
                        <w:szCs w:val="18"/>
                      </w:rPr>
                    </w:pPr>
                  </w:p>
                </w:tc>
                <w:tc>
                  <w:tcPr>
                    <w:tcW w:w="1036" w:type="dxa"/>
                    <w:vAlign w:val="center"/>
                  </w:tcPr>
                  <w:p w14:paraId="33A87EC5" w14:textId="77777777" w:rsidR="007E7472" w:rsidRDefault="00C8327E">
                    <w:pPr>
                      <w:jc w:val="right"/>
                      <w:rPr>
                        <w:spacing w:val="-20"/>
                        <w:sz w:val="18"/>
                        <w:szCs w:val="18"/>
                      </w:rPr>
                    </w:pPr>
                  </w:p>
                </w:tc>
                <w:tc>
                  <w:tcPr>
                    <w:tcW w:w="942" w:type="dxa"/>
                    <w:vAlign w:val="center"/>
                  </w:tcPr>
                  <w:p w14:paraId="62141B5D" w14:textId="77777777" w:rsidR="007E7472" w:rsidRDefault="00C8327E">
                    <w:pPr>
                      <w:jc w:val="right"/>
                      <w:rPr>
                        <w:spacing w:val="-20"/>
                        <w:sz w:val="18"/>
                        <w:szCs w:val="18"/>
                      </w:rPr>
                    </w:pPr>
                  </w:p>
                </w:tc>
                <w:tc>
                  <w:tcPr>
                    <w:tcW w:w="993" w:type="dxa"/>
                    <w:vAlign w:val="center"/>
                  </w:tcPr>
                  <w:p w14:paraId="386AA9C9" w14:textId="77777777" w:rsidR="007E7472" w:rsidRDefault="00C8327E">
                    <w:pPr>
                      <w:jc w:val="right"/>
                      <w:rPr>
                        <w:spacing w:val="-20"/>
                        <w:sz w:val="18"/>
                        <w:szCs w:val="18"/>
                      </w:rPr>
                    </w:pPr>
                  </w:p>
                </w:tc>
                <w:tc>
                  <w:tcPr>
                    <w:tcW w:w="1120" w:type="dxa"/>
                    <w:vAlign w:val="center"/>
                  </w:tcPr>
                  <w:p w14:paraId="6F00462E" w14:textId="77777777" w:rsidR="007E7472" w:rsidRDefault="00C8327E">
                    <w:pPr>
                      <w:jc w:val="right"/>
                      <w:rPr>
                        <w:spacing w:val="-20"/>
                        <w:sz w:val="18"/>
                        <w:szCs w:val="18"/>
                      </w:rPr>
                    </w:pPr>
                  </w:p>
                </w:tc>
              </w:tr>
              <w:tr w:rsidR="007E7472" w14:paraId="43DAB1DF" w14:textId="77777777">
                <w:trPr>
                  <w:trHeight w:val="20"/>
                </w:trPr>
                <w:tc>
                  <w:tcPr>
                    <w:tcW w:w="2394" w:type="dxa"/>
                  </w:tcPr>
                  <w:sdt>
                    <w:sdtPr>
                      <w:rPr>
                        <w:sz w:val="18"/>
                        <w:szCs w:val="18"/>
                      </w:rPr>
                      <w:tag w:val="_PLD_a2566358e2dc4d0b9e534ee13a2b1a26"/>
                      <w:id w:val="-1469040139"/>
                      <w:lock w:val="sdtLocked"/>
                    </w:sdtPr>
                    <w:sdtEndPr/>
                    <w:sdtContent>
                      <w:p w14:paraId="76A2F54E" w14:textId="77777777" w:rsidR="007E7472" w:rsidRDefault="00EC1269">
                        <w:r>
                          <w:rPr>
                            <w:sz w:val="18"/>
                            <w:szCs w:val="18"/>
                          </w:rPr>
                          <w:t>4．设定受益计划变动额结转留存收益</w:t>
                        </w:r>
                      </w:p>
                    </w:sdtContent>
                  </w:sdt>
                </w:tc>
                <w:tc>
                  <w:tcPr>
                    <w:tcW w:w="1078" w:type="dxa"/>
                    <w:tcBorders>
                      <w:right w:val="single" w:sz="4" w:space="0" w:color="auto"/>
                    </w:tcBorders>
                    <w:vAlign w:val="center"/>
                  </w:tcPr>
                  <w:p w14:paraId="64A9B0A3" w14:textId="77777777" w:rsidR="007E7472" w:rsidRDefault="00C8327E">
                    <w:pPr>
                      <w:jc w:val="right"/>
                      <w:rPr>
                        <w:spacing w:val="-20"/>
                        <w:sz w:val="18"/>
                        <w:szCs w:val="18"/>
                      </w:rPr>
                    </w:pPr>
                  </w:p>
                </w:tc>
                <w:tc>
                  <w:tcPr>
                    <w:tcW w:w="807" w:type="dxa"/>
                    <w:tcBorders>
                      <w:left w:val="single" w:sz="4" w:space="0" w:color="auto"/>
                      <w:right w:val="single" w:sz="4" w:space="0" w:color="auto"/>
                    </w:tcBorders>
                    <w:vAlign w:val="center"/>
                  </w:tcPr>
                  <w:p w14:paraId="5CEA4E6E" w14:textId="77777777" w:rsidR="007E7472" w:rsidRDefault="00C8327E">
                    <w:pPr>
                      <w:jc w:val="right"/>
                      <w:rPr>
                        <w:spacing w:val="-20"/>
                        <w:sz w:val="18"/>
                        <w:szCs w:val="18"/>
                      </w:rPr>
                    </w:pPr>
                  </w:p>
                </w:tc>
                <w:tc>
                  <w:tcPr>
                    <w:tcW w:w="1134" w:type="dxa"/>
                    <w:tcBorders>
                      <w:left w:val="single" w:sz="4" w:space="0" w:color="auto"/>
                      <w:right w:val="single" w:sz="4" w:space="0" w:color="auto"/>
                    </w:tcBorders>
                    <w:vAlign w:val="center"/>
                  </w:tcPr>
                  <w:p w14:paraId="23CFBD69" w14:textId="77777777" w:rsidR="007E7472" w:rsidRDefault="00C8327E">
                    <w:pPr>
                      <w:jc w:val="right"/>
                      <w:rPr>
                        <w:spacing w:val="-20"/>
                        <w:sz w:val="18"/>
                        <w:szCs w:val="18"/>
                      </w:rPr>
                    </w:pPr>
                  </w:p>
                </w:tc>
                <w:tc>
                  <w:tcPr>
                    <w:tcW w:w="1278" w:type="dxa"/>
                    <w:tcBorders>
                      <w:left w:val="single" w:sz="4" w:space="0" w:color="auto"/>
                    </w:tcBorders>
                    <w:vAlign w:val="center"/>
                  </w:tcPr>
                  <w:p w14:paraId="73A22AC0" w14:textId="77777777" w:rsidR="007E7472" w:rsidRDefault="00C8327E">
                    <w:pPr>
                      <w:jc w:val="right"/>
                      <w:rPr>
                        <w:spacing w:val="-20"/>
                        <w:sz w:val="18"/>
                        <w:szCs w:val="18"/>
                      </w:rPr>
                    </w:pPr>
                  </w:p>
                </w:tc>
                <w:tc>
                  <w:tcPr>
                    <w:tcW w:w="1036" w:type="dxa"/>
                    <w:vAlign w:val="center"/>
                  </w:tcPr>
                  <w:p w14:paraId="2F4EFE23" w14:textId="77777777" w:rsidR="007E7472" w:rsidRDefault="00C8327E">
                    <w:pPr>
                      <w:jc w:val="right"/>
                      <w:rPr>
                        <w:spacing w:val="-20"/>
                        <w:sz w:val="18"/>
                        <w:szCs w:val="18"/>
                      </w:rPr>
                    </w:pPr>
                  </w:p>
                </w:tc>
                <w:tc>
                  <w:tcPr>
                    <w:tcW w:w="1064" w:type="dxa"/>
                    <w:vAlign w:val="center"/>
                  </w:tcPr>
                  <w:p w14:paraId="04785E42" w14:textId="77777777" w:rsidR="007E7472" w:rsidRDefault="00C8327E">
                    <w:pPr>
                      <w:jc w:val="right"/>
                      <w:rPr>
                        <w:spacing w:val="-20"/>
                        <w:sz w:val="18"/>
                        <w:szCs w:val="18"/>
                      </w:rPr>
                    </w:pPr>
                  </w:p>
                </w:tc>
                <w:tc>
                  <w:tcPr>
                    <w:tcW w:w="1022" w:type="dxa"/>
                    <w:vAlign w:val="center"/>
                  </w:tcPr>
                  <w:p w14:paraId="18C4BFC7" w14:textId="77777777" w:rsidR="007E7472" w:rsidRDefault="00C8327E">
                    <w:pPr>
                      <w:jc w:val="right"/>
                      <w:rPr>
                        <w:spacing w:val="-20"/>
                        <w:sz w:val="18"/>
                        <w:szCs w:val="18"/>
                      </w:rPr>
                    </w:pPr>
                  </w:p>
                </w:tc>
                <w:tc>
                  <w:tcPr>
                    <w:tcW w:w="1036" w:type="dxa"/>
                    <w:vAlign w:val="center"/>
                  </w:tcPr>
                  <w:p w14:paraId="4EFDF8CE" w14:textId="77777777" w:rsidR="007E7472" w:rsidRDefault="00C8327E">
                    <w:pPr>
                      <w:jc w:val="right"/>
                      <w:rPr>
                        <w:spacing w:val="-20"/>
                        <w:sz w:val="18"/>
                        <w:szCs w:val="18"/>
                      </w:rPr>
                    </w:pPr>
                  </w:p>
                </w:tc>
                <w:tc>
                  <w:tcPr>
                    <w:tcW w:w="942" w:type="dxa"/>
                    <w:vAlign w:val="center"/>
                  </w:tcPr>
                  <w:p w14:paraId="003EC391" w14:textId="77777777" w:rsidR="007E7472" w:rsidRDefault="00C8327E">
                    <w:pPr>
                      <w:jc w:val="right"/>
                      <w:rPr>
                        <w:spacing w:val="-20"/>
                        <w:sz w:val="18"/>
                        <w:szCs w:val="18"/>
                      </w:rPr>
                    </w:pPr>
                  </w:p>
                </w:tc>
                <w:tc>
                  <w:tcPr>
                    <w:tcW w:w="993" w:type="dxa"/>
                    <w:vAlign w:val="center"/>
                  </w:tcPr>
                  <w:p w14:paraId="02E14528" w14:textId="77777777" w:rsidR="007E7472" w:rsidRDefault="00C8327E">
                    <w:pPr>
                      <w:jc w:val="right"/>
                      <w:rPr>
                        <w:spacing w:val="-20"/>
                        <w:sz w:val="18"/>
                        <w:szCs w:val="18"/>
                      </w:rPr>
                    </w:pPr>
                  </w:p>
                </w:tc>
                <w:tc>
                  <w:tcPr>
                    <w:tcW w:w="1120" w:type="dxa"/>
                    <w:vAlign w:val="center"/>
                  </w:tcPr>
                  <w:p w14:paraId="1726BAD8" w14:textId="77777777" w:rsidR="007E7472" w:rsidRDefault="00C8327E">
                    <w:pPr>
                      <w:jc w:val="right"/>
                      <w:rPr>
                        <w:spacing w:val="-20"/>
                        <w:sz w:val="18"/>
                        <w:szCs w:val="18"/>
                      </w:rPr>
                    </w:pPr>
                  </w:p>
                </w:tc>
              </w:tr>
              <w:tr w:rsidR="007E7472" w14:paraId="2C2BBB41" w14:textId="77777777">
                <w:trPr>
                  <w:trHeight w:val="20"/>
                </w:trPr>
                <w:tc>
                  <w:tcPr>
                    <w:tcW w:w="2394" w:type="dxa"/>
                  </w:tcPr>
                  <w:sdt>
                    <w:sdtPr>
                      <w:rPr>
                        <w:sz w:val="18"/>
                        <w:szCs w:val="18"/>
                      </w:rPr>
                      <w:tag w:val="_PLD_659907ea90ce4ac18323403c6e02efd1"/>
                      <w:id w:val="-1266530166"/>
                      <w:lock w:val="sdtLocked"/>
                    </w:sdtPr>
                    <w:sdtEndPr/>
                    <w:sdtContent>
                      <w:p w14:paraId="37E6818E" w14:textId="77777777" w:rsidR="007E7472" w:rsidRDefault="00EC1269">
                        <w:pPr>
                          <w:rPr>
                            <w:sz w:val="18"/>
                            <w:szCs w:val="18"/>
                          </w:rPr>
                        </w:pPr>
                        <w:r>
                          <w:rPr>
                            <w:sz w:val="18"/>
                            <w:szCs w:val="18"/>
                          </w:rPr>
                          <w:t>5．其他综合收益结转留存收益</w:t>
                        </w:r>
                      </w:p>
                    </w:sdtContent>
                  </w:sdt>
                </w:tc>
                <w:tc>
                  <w:tcPr>
                    <w:tcW w:w="1078" w:type="dxa"/>
                    <w:tcBorders>
                      <w:right w:val="single" w:sz="4" w:space="0" w:color="auto"/>
                    </w:tcBorders>
                    <w:vAlign w:val="center"/>
                  </w:tcPr>
                  <w:p w14:paraId="2104F5F6" w14:textId="77777777" w:rsidR="007E7472" w:rsidRDefault="00C8327E">
                    <w:pPr>
                      <w:jc w:val="right"/>
                      <w:rPr>
                        <w:spacing w:val="-20"/>
                        <w:sz w:val="18"/>
                        <w:szCs w:val="18"/>
                      </w:rPr>
                    </w:pPr>
                  </w:p>
                </w:tc>
                <w:tc>
                  <w:tcPr>
                    <w:tcW w:w="807" w:type="dxa"/>
                    <w:tcBorders>
                      <w:left w:val="single" w:sz="4" w:space="0" w:color="auto"/>
                      <w:right w:val="single" w:sz="4" w:space="0" w:color="auto"/>
                    </w:tcBorders>
                    <w:vAlign w:val="center"/>
                  </w:tcPr>
                  <w:p w14:paraId="565C9BE2" w14:textId="77777777" w:rsidR="007E7472" w:rsidRDefault="00C8327E">
                    <w:pPr>
                      <w:jc w:val="right"/>
                      <w:rPr>
                        <w:spacing w:val="-20"/>
                        <w:sz w:val="18"/>
                        <w:szCs w:val="18"/>
                      </w:rPr>
                    </w:pPr>
                  </w:p>
                </w:tc>
                <w:tc>
                  <w:tcPr>
                    <w:tcW w:w="1134" w:type="dxa"/>
                    <w:tcBorders>
                      <w:left w:val="single" w:sz="4" w:space="0" w:color="auto"/>
                      <w:right w:val="single" w:sz="4" w:space="0" w:color="auto"/>
                    </w:tcBorders>
                    <w:vAlign w:val="center"/>
                  </w:tcPr>
                  <w:p w14:paraId="39D50BD0" w14:textId="77777777" w:rsidR="007E7472" w:rsidRDefault="00C8327E">
                    <w:pPr>
                      <w:jc w:val="right"/>
                      <w:rPr>
                        <w:spacing w:val="-20"/>
                        <w:sz w:val="18"/>
                        <w:szCs w:val="18"/>
                      </w:rPr>
                    </w:pPr>
                  </w:p>
                </w:tc>
                <w:tc>
                  <w:tcPr>
                    <w:tcW w:w="1278" w:type="dxa"/>
                    <w:tcBorders>
                      <w:left w:val="single" w:sz="4" w:space="0" w:color="auto"/>
                    </w:tcBorders>
                    <w:vAlign w:val="center"/>
                  </w:tcPr>
                  <w:p w14:paraId="3D32F4D1" w14:textId="77777777" w:rsidR="007E7472" w:rsidRDefault="00C8327E">
                    <w:pPr>
                      <w:jc w:val="right"/>
                      <w:rPr>
                        <w:spacing w:val="-20"/>
                        <w:sz w:val="18"/>
                        <w:szCs w:val="18"/>
                      </w:rPr>
                    </w:pPr>
                  </w:p>
                </w:tc>
                <w:tc>
                  <w:tcPr>
                    <w:tcW w:w="1036" w:type="dxa"/>
                    <w:vAlign w:val="center"/>
                  </w:tcPr>
                  <w:p w14:paraId="66E6CFFD" w14:textId="77777777" w:rsidR="007E7472" w:rsidRDefault="00C8327E">
                    <w:pPr>
                      <w:jc w:val="right"/>
                      <w:rPr>
                        <w:spacing w:val="-20"/>
                        <w:sz w:val="18"/>
                        <w:szCs w:val="18"/>
                      </w:rPr>
                    </w:pPr>
                  </w:p>
                </w:tc>
                <w:tc>
                  <w:tcPr>
                    <w:tcW w:w="1064" w:type="dxa"/>
                    <w:vAlign w:val="center"/>
                  </w:tcPr>
                  <w:p w14:paraId="3FC6037D" w14:textId="77777777" w:rsidR="007E7472" w:rsidRDefault="00C8327E">
                    <w:pPr>
                      <w:jc w:val="right"/>
                      <w:rPr>
                        <w:spacing w:val="-20"/>
                        <w:sz w:val="18"/>
                        <w:szCs w:val="18"/>
                      </w:rPr>
                    </w:pPr>
                  </w:p>
                </w:tc>
                <w:tc>
                  <w:tcPr>
                    <w:tcW w:w="1022" w:type="dxa"/>
                    <w:vAlign w:val="center"/>
                  </w:tcPr>
                  <w:p w14:paraId="2A809F70" w14:textId="77777777" w:rsidR="007E7472" w:rsidRDefault="00C8327E">
                    <w:pPr>
                      <w:jc w:val="right"/>
                      <w:rPr>
                        <w:spacing w:val="-20"/>
                        <w:sz w:val="18"/>
                        <w:szCs w:val="18"/>
                      </w:rPr>
                    </w:pPr>
                  </w:p>
                </w:tc>
                <w:tc>
                  <w:tcPr>
                    <w:tcW w:w="1036" w:type="dxa"/>
                    <w:vAlign w:val="center"/>
                  </w:tcPr>
                  <w:p w14:paraId="23715B0A" w14:textId="77777777" w:rsidR="007E7472" w:rsidRDefault="00C8327E">
                    <w:pPr>
                      <w:jc w:val="right"/>
                      <w:rPr>
                        <w:spacing w:val="-20"/>
                        <w:sz w:val="18"/>
                        <w:szCs w:val="18"/>
                      </w:rPr>
                    </w:pPr>
                  </w:p>
                </w:tc>
                <w:tc>
                  <w:tcPr>
                    <w:tcW w:w="942" w:type="dxa"/>
                    <w:vAlign w:val="center"/>
                  </w:tcPr>
                  <w:p w14:paraId="4EBE4FD2" w14:textId="77777777" w:rsidR="007E7472" w:rsidRDefault="00C8327E">
                    <w:pPr>
                      <w:jc w:val="right"/>
                      <w:rPr>
                        <w:spacing w:val="-20"/>
                        <w:sz w:val="18"/>
                        <w:szCs w:val="18"/>
                      </w:rPr>
                    </w:pPr>
                  </w:p>
                </w:tc>
                <w:tc>
                  <w:tcPr>
                    <w:tcW w:w="993" w:type="dxa"/>
                    <w:vAlign w:val="center"/>
                  </w:tcPr>
                  <w:p w14:paraId="7609062D" w14:textId="77777777" w:rsidR="007E7472" w:rsidRDefault="00C8327E">
                    <w:pPr>
                      <w:jc w:val="right"/>
                      <w:rPr>
                        <w:spacing w:val="-20"/>
                        <w:sz w:val="18"/>
                        <w:szCs w:val="18"/>
                      </w:rPr>
                    </w:pPr>
                  </w:p>
                </w:tc>
                <w:tc>
                  <w:tcPr>
                    <w:tcW w:w="1120" w:type="dxa"/>
                    <w:vAlign w:val="center"/>
                  </w:tcPr>
                  <w:p w14:paraId="533ED2D9" w14:textId="77777777" w:rsidR="007E7472" w:rsidRDefault="00C8327E">
                    <w:pPr>
                      <w:jc w:val="right"/>
                      <w:rPr>
                        <w:spacing w:val="-20"/>
                        <w:sz w:val="18"/>
                        <w:szCs w:val="18"/>
                      </w:rPr>
                    </w:pPr>
                  </w:p>
                </w:tc>
              </w:tr>
              <w:tr w:rsidR="007E7472" w14:paraId="6854FBED" w14:textId="77777777">
                <w:trPr>
                  <w:trHeight w:val="20"/>
                </w:trPr>
                <w:tc>
                  <w:tcPr>
                    <w:tcW w:w="2394" w:type="dxa"/>
                  </w:tcPr>
                  <w:sdt>
                    <w:sdtPr>
                      <w:rPr>
                        <w:sz w:val="18"/>
                        <w:szCs w:val="18"/>
                      </w:rPr>
                      <w:tag w:val="_PLD_811577c623d04471a27af10d35119258"/>
                      <w:id w:val="692958014"/>
                      <w:lock w:val="sdtLocked"/>
                    </w:sdtPr>
                    <w:sdtEndPr/>
                    <w:sdtContent>
                      <w:p w14:paraId="24BB8016" w14:textId="77777777" w:rsidR="007E7472" w:rsidRDefault="00EC1269">
                        <w:r>
                          <w:rPr>
                            <w:sz w:val="18"/>
                            <w:szCs w:val="18"/>
                          </w:rPr>
                          <w:t>6．其他</w:t>
                        </w:r>
                      </w:p>
                    </w:sdtContent>
                  </w:sdt>
                </w:tc>
                <w:tc>
                  <w:tcPr>
                    <w:tcW w:w="1078" w:type="dxa"/>
                    <w:tcBorders>
                      <w:right w:val="single" w:sz="4" w:space="0" w:color="auto"/>
                    </w:tcBorders>
                    <w:vAlign w:val="center"/>
                  </w:tcPr>
                  <w:p w14:paraId="482D8CCE" w14:textId="77777777" w:rsidR="007E7472" w:rsidRDefault="00C8327E">
                    <w:pPr>
                      <w:jc w:val="right"/>
                      <w:rPr>
                        <w:spacing w:val="-20"/>
                        <w:sz w:val="18"/>
                        <w:szCs w:val="18"/>
                      </w:rPr>
                    </w:pPr>
                  </w:p>
                </w:tc>
                <w:tc>
                  <w:tcPr>
                    <w:tcW w:w="807" w:type="dxa"/>
                    <w:tcBorders>
                      <w:left w:val="single" w:sz="4" w:space="0" w:color="auto"/>
                      <w:right w:val="single" w:sz="4" w:space="0" w:color="auto"/>
                    </w:tcBorders>
                    <w:vAlign w:val="center"/>
                  </w:tcPr>
                  <w:p w14:paraId="167F9940" w14:textId="77777777" w:rsidR="007E7472" w:rsidRDefault="00C8327E">
                    <w:pPr>
                      <w:jc w:val="right"/>
                      <w:rPr>
                        <w:spacing w:val="-20"/>
                        <w:sz w:val="18"/>
                        <w:szCs w:val="18"/>
                      </w:rPr>
                    </w:pPr>
                  </w:p>
                </w:tc>
                <w:tc>
                  <w:tcPr>
                    <w:tcW w:w="1134" w:type="dxa"/>
                    <w:tcBorders>
                      <w:left w:val="single" w:sz="4" w:space="0" w:color="auto"/>
                      <w:right w:val="single" w:sz="4" w:space="0" w:color="auto"/>
                    </w:tcBorders>
                    <w:vAlign w:val="center"/>
                  </w:tcPr>
                  <w:p w14:paraId="3826DAA2" w14:textId="77777777" w:rsidR="007E7472" w:rsidRDefault="00C8327E">
                    <w:pPr>
                      <w:jc w:val="right"/>
                      <w:rPr>
                        <w:spacing w:val="-20"/>
                        <w:sz w:val="18"/>
                        <w:szCs w:val="18"/>
                      </w:rPr>
                    </w:pPr>
                  </w:p>
                </w:tc>
                <w:tc>
                  <w:tcPr>
                    <w:tcW w:w="1278" w:type="dxa"/>
                    <w:tcBorders>
                      <w:left w:val="single" w:sz="4" w:space="0" w:color="auto"/>
                    </w:tcBorders>
                    <w:vAlign w:val="center"/>
                  </w:tcPr>
                  <w:p w14:paraId="459E3D09" w14:textId="77777777" w:rsidR="007E7472" w:rsidRDefault="00C8327E">
                    <w:pPr>
                      <w:jc w:val="right"/>
                      <w:rPr>
                        <w:spacing w:val="-20"/>
                        <w:sz w:val="18"/>
                        <w:szCs w:val="18"/>
                      </w:rPr>
                    </w:pPr>
                  </w:p>
                </w:tc>
                <w:tc>
                  <w:tcPr>
                    <w:tcW w:w="1036" w:type="dxa"/>
                    <w:vAlign w:val="center"/>
                  </w:tcPr>
                  <w:p w14:paraId="62986759" w14:textId="77777777" w:rsidR="007E7472" w:rsidRDefault="00C8327E">
                    <w:pPr>
                      <w:jc w:val="right"/>
                      <w:rPr>
                        <w:spacing w:val="-20"/>
                        <w:sz w:val="18"/>
                        <w:szCs w:val="18"/>
                      </w:rPr>
                    </w:pPr>
                  </w:p>
                </w:tc>
                <w:tc>
                  <w:tcPr>
                    <w:tcW w:w="1064" w:type="dxa"/>
                    <w:vAlign w:val="center"/>
                  </w:tcPr>
                  <w:p w14:paraId="0BC19C73" w14:textId="77777777" w:rsidR="007E7472" w:rsidRDefault="00C8327E">
                    <w:pPr>
                      <w:jc w:val="right"/>
                      <w:rPr>
                        <w:spacing w:val="-20"/>
                        <w:sz w:val="18"/>
                        <w:szCs w:val="18"/>
                      </w:rPr>
                    </w:pPr>
                  </w:p>
                </w:tc>
                <w:tc>
                  <w:tcPr>
                    <w:tcW w:w="1022" w:type="dxa"/>
                    <w:vAlign w:val="center"/>
                  </w:tcPr>
                  <w:p w14:paraId="1D9B9676" w14:textId="77777777" w:rsidR="007E7472" w:rsidRDefault="00C8327E">
                    <w:pPr>
                      <w:jc w:val="right"/>
                      <w:rPr>
                        <w:spacing w:val="-20"/>
                        <w:sz w:val="18"/>
                        <w:szCs w:val="18"/>
                      </w:rPr>
                    </w:pPr>
                  </w:p>
                </w:tc>
                <w:tc>
                  <w:tcPr>
                    <w:tcW w:w="1036" w:type="dxa"/>
                    <w:vAlign w:val="center"/>
                  </w:tcPr>
                  <w:p w14:paraId="74E7E68F" w14:textId="77777777" w:rsidR="007E7472" w:rsidRDefault="00C8327E">
                    <w:pPr>
                      <w:jc w:val="right"/>
                      <w:rPr>
                        <w:spacing w:val="-20"/>
                        <w:sz w:val="18"/>
                        <w:szCs w:val="18"/>
                      </w:rPr>
                    </w:pPr>
                  </w:p>
                </w:tc>
                <w:tc>
                  <w:tcPr>
                    <w:tcW w:w="942" w:type="dxa"/>
                    <w:vAlign w:val="center"/>
                  </w:tcPr>
                  <w:p w14:paraId="7F84F6E7" w14:textId="77777777" w:rsidR="007E7472" w:rsidRDefault="00C8327E">
                    <w:pPr>
                      <w:jc w:val="right"/>
                      <w:rPr>
                        <w:spacing w:val="-20"/>
                        <w:sz w:val="18"/>
                        <w:szCs w:val="18"/>
                      </w:rPr>
                    </w:pPr>
                  </w:p>
                </w:tc>
                <w:tc>
                  <w:tcPr>
                    <w:tcW w:w="993" w:type="dxa"/>
                    <w:vAlign w:val="center"/>
                  </w:tcPr>
                  <w:p w14:paraId="2B00FEF8" w14:textId="77777777" w:rsidR="007E7472" w:rsidRDefault="00C8327E">
                    <w:pPr>
                      <w:jc w:val="right"/>
                      <w:rPr>
                        <w:spacing w:val="-20"/>
                        <w:sz w:val="18"/>
                        <w:szCs w:val="18"/>
                      </w:rPr>
                    </w:pPr>
                  </w:p>
                </w:tc>
                <w:tc>
                  <w:tcPr>
                    <w:tcW w:w="1120" w:type="dxa"/>
                    <w:vAlign w:val="center"/>
                  </w:tcPr>
                  <w:p w14:paraId="60423E18" w14:textId="77777777" w:rsidR="007E7472" w:rsidRDefault="00C8327E">
                    <w:pPr>
                      <w:jc w:val="right"/>
                      <w:rPr>
                        <w:spacing w:val="-20"/>
                        <w:sz w:val="18"/>
                        <w:szCs w:val="18"/>
                      </w:rPr>
                    </w:pPr>
                  </w:p>
                </w:tc>
              </w:tr>
              <w:tr w:rsidR="007E7472" w14:paraId="2F131BB1" w14:textId="77777777">
                <w:trPr>
                  <w:trHeight w:val="20"/>
                </w:trPr>
                <w:sdt>
                  <w:sdtPr>
                    <w:tag w:val="_PLD_2a0b15de13474fe285b68b48e29b688f"/>
                    <w:id w:val="-1403600632"/>
                    <w:lock w:val="sdtLocked"/>
                  </w:sdtPr>
                  <w:sdtEndPr/>
                  <w:sdtContent>
                    <w:tc>
                      <w:tcPr>
                        <w:tcW w:w="2394" w:type="dxa"/>
                        <w:vAlign w:val="center"/>
                      </w:tcPr>
                      <w:p w14:paraId="1F51B1CE" w14:textId="77777777" w:rsidR="007E7472" w:rsidRDefault="00EC1269">
                        <w:pPr>
                          <w:rPr>
                            <w:sz w:val="18"/>
                            <w:szCs w:val="18"/>
                          </w:rPr>
                        </w:pPr>
                        <w:r>
                          <w:rPr>
                            <w:rFonts w:hint="eastAsia"/>
                            <w:sz w:val="18"/>
                            <w:szCs w:val="18"/>
                          </w:rPr>
                          <w:t>（五）专项储备</w:t>
                        </w:r>
                      </w:p>
                    </w:tc>
                  </w:sdtContent>
                </w:sdt>
                <w:tc>
                  <w:tcPr>
                    <w:tcW w:w="1078" w:type="dxa"/>
                    <w:tcBorders>
                      <w:right w:val="single" w:sz="4" w:space="0" w:color="auto"/>
                    </w:tcBorders>
                  </w:tcPr>
                  <w:p w14:paraId="1C1EE53C" w14:textId="77777777" w:rsidR="007E7472" w:rsidRDefault="00C8327E">
                    <w:pPr>
                      <w:jc w:val="right"/>
                      <w:rPr>
                        <w:spacing w:val="-20"/>
                        <w:sz w:val="18"/>
                        <w:szCs w:val="18"/>
                      </w:rPr>
                    </w:pPr>
                  </w:p>
                </w:tc>
                <w:tc>
                  <w:tcPr>
                    <w:tcW w:w="807" w:type="dxa"/>
                    <w:tcBorders>
                      <w:left w:val="single" w:sz="4" w:space="0" w:color="auto"/>
                      <w:right w:val="single" w:sz="4" w:space="0" w:color="auto"/>
                    </w:tcBorders>
                  </w:tcPr>
                  <w:p w14:paraId="684CE784" w14:textId="77777777" w:rsidR="007E7472" w:rsidRDefault="00C8327E">
                    <w:pPr>
                      <w:jc w:val="right"/>
                      <w:rPr>
                        <w:spacing w:val="-20"/>
                        <w:sz w:val="18"/>
                        <w:szCs w:val="18"/>
                      </w:rPr>
                    </w:pPr>
                  </w:p>
                </w:tc>
                <w:tc>
                  <w:tcPr>
                    <w:tcW w:w="1134" w:type="dxa"/>
                    <w:tcBorders>
                      <w:left w:val="single" w:sz="4" w:space="0" w:color="auto"/>
                      <w:right w:val="single" w:sz="4" w:space="0" w:color="auto"/>
                    </w:tcBorders>
                  </w:tcPr>
                  <w:p w14:paraId="695AA00C" w14:textId="77777777" w:rsidR="007E7472" w:rsidRDefault="00C8327E">
                    <w:pPr>
                      <w:jc w:val="right"/>
                      <w:rPr>
                        <w:spacing w:val="-20"/>
                        <w:sz w:val="18"/>
                        <w:szCs w:val="18"/>
                      </w:rPr>
                    </w:pPr>
                  </w:p>
                </w:tc>
                <w:tc>
                  <w:tcPr>
                    <w:tcW w:w="1278" w:type="dxa"/>
                    <w:tcBorders>
                      <w:left w:val="single" w:sz="4" w:space="0" w:color="auto"/>
                    </w:tcBorders>
                  </w:tcPr>
                  <w:p w14:paraId="54BAD82E" w14:textId="77777777" w:rsidR="007E7472" w:rsidRDefault="00C8327E">
                    <w:pPr>
                      <w:jc w:val="right"/>
                      <w:rPr>
                        <w:spacing w:val="-20"/>
                        <w:sz w:val="18"/>
                        <w:szCs w:val="18"/>
                      </w:rPr>
                    </w:pPr>
                  </w:p>
                </w:tc>
                <w:tc>
                  <w:tcPr>
                    <w:tcW w:w="1036" w:type="dxa"/>
                  </w:tcPr>
                  <w:p w14:paraId="1F04452A" w14:textId="77777777" w:rsidR="007E7472" w:rsidRDefault="00C8327E">
                    <w:pPr>
                      <w:jc w:val="right"/>
                      <w:rPr>
                        <w:spacing w:val="-20"/>
                        <w:sz w:val="18"/>
                        <w:szCs w:val="18"/>
                      </w:rPr>
                    </w:pPr>
                  </w:p>
                </w:tc>
                <w:tc>
                  <w:tcPr>
                    <w:tcW w:w="1064" w:type="dxa"/>
                  </w:tcPr>
                  <w:p w14:paraId="01DE17AE" w14:textId="77777777" w:rsidR="007E7472" w:rsidRDefault="00C8327E">
                    <w:pPr>
                      <w:jc w:val="right"/>
                      <w:rPr>
                        <w:spacing w:val="-20"/>
                        <w:sz w:val="18"/>
                        <w:szCs w:val="18"/>
                      </w:rPr>
                    </w:pPr>
                  </w:p>
                </w:tc>
                <w:tc>
                  <w:tcPr>
                    <w:tcW w:w="1022" w:type="dxa"/>
                  </w:tcPr>
                  <w:p w14:paraId="403F2343" w14:textId="77777777" w:rsidR="007E7472" w:rsidRDefault="00C8327E">
                    <w:pPr>
                      <w:jc w:val="right"/>
                      <w:rPr>
                        <w:spacing w:val="-20"/>
                        <w:sz w:val="18"/>
                        <w:szCs w:val="18"/>
                      </w:rPr>
                    </w:pPr>
                  </w:p>
                </w:tc>
                <w:tc>
                  <w:tcPr>
                    <w:tcW w:w="1036" w:type="dxa"/>
                    <w:vAlign w:val="center"/>
                  </w:tcPr>
                  <w:p w14:paraId="51388BE5" w14:textId="77777777" w:rsidR="007E7472" w:rsidRDefault="00EC1269">
                    <w:pPr>
                      <w:jc w:val="right"/>
                      <w:rPr>
                        <w:spacing w:val="-20"/>
                        <w:sz w:val="18"/>
                        <w:szCs w:val="18"/>
                      </w:rPr>
                    </w:pPr>
                    <w:r>
                      <w:rPr>
                        <w:rFonts w:hint="eastAsia"/>
                        <w:spacing w:val="-20"/>
                        <w:sz w:val="18"/>
                        <w:szCs w:val="18"/>
                      </w:rPr>
                      <w:t>326,89</w:t>
                    </w:r>
                    <w:r>
                      <w:rPr>
                        <w:spacing w:val="-20"/>
                        <w:sz w:val="18"/>
                        <w:szCs w:val="18"/>
                      </w:rPr>
                      <w:t>6</w:t>
                    </w:r>
                  </w:p>
                </w:tc>
                <w:tc>
                  <w:tcPr>
                    <w:tcW w:w="942" w:type="dxa"/>
                  </w:tcPr>
                  <w:p w14:paraId="015BB6C6" w14:textId="77777777" w:rsidR="007E7472" w:rsidRDefault="00C8327E">
                    <w:pPr>
                      <w:jc w:val="right"/>
                      <w:rPr>
                        <w:spacing w:val="-20"/>
                        <w:sz w:val="18"/>
                        <w:szCs w:val="18"/>
                      </w:rPr>
                    </w:pPr>
                  </w:p>
                </w:tc>
                <w:tc>
                  <w:tcPr>
                    <w:tcW w:w="993" w:type="dxa"/>
                  </w:tcPr>
                  <w:p w14:paraId="367F7098" w14:textId="77777777" w:rsidR="007E7472" w:rsidRDefault="00C8327E">
                    <w:pPr>
                      <w:jc w:val="right"/>
                      <w:rPr>
                        <w:spacing w:val="-20"/>
                        <w:sz w:val="18"/>
                        <w:szCs w:val="18"/>
                      </w:rPr>
                    </w:pPr>
                  </w:p>
                </w:tc>
                <w:tc>
                  <w:tcPr>
                    <w:tcW w:w="1120" w:type="dxa"/>
                    <w:vAlign w:val="center"/>
                  </w:tcPr>
                  <w:p w14:paraId="520F4691" w14:textId="77777777" w:rsidR="007E7472" w:rsidRDefault="00EC1269">
                    <w:pPr>
                      <w:jc w:val="right"/>
                      <w:rPr>
                        <w:spacing w:val="-20"/>
                        <w:sz w:val="18"/>
                        <w:szCs w:val="18"/>
                      </w:rPr>
                    </w:pPr>
                    <w:r>
                      <w:rPr>
                        <w:rFonts w:hint="eastAsia"/>
                        <w:spacing w:val="-20"/>
                        <w:sz w:val="18"/>
                        <w:szCs w:val="18"/>
                      </w:rPr>
                      <w:t>326,89</w:t>
                    </w:r>
                    <w:r>
                      <w:rPr>
                        <w:spacing w:val="-20"/>
                        <w:sz w:val="18"/>
                        <w:szCs w:val="18"/>
                      </w:rPr>
                      <w:t>6</w:t>
                    </w:r>
                  </w:p>
                </w:tc>
              </w:tr>
              <w:tr w:rsidR="007E7472" w14:paraId="0E159816" w14:textId="77777777">
                <w:trPr>
                  <w:trHeight w:val="20"/>
                </w:trPr>
                <w:sdt>
                  <w:sdtPr>
                    <w:tag w:val="_PLD_8be2fdb078fc42cdaebf61e81ed6d67b"/>
                    <w:id w:val="-1173951540"/>
                    <w:lock w:val="sdtLocked"/>
                  </w:sdtPr>
                  <w:sdtEndPr/>
                  <w:sdtContent>
                    <w:tc>
                      <w:tcPr>
                        <w:tcW w:w="2394" w:type="dxa"/>
                        <w:vAlign w:val="center"/>
                      </w:tcPr>
                      <w:p w14:paraId="0B1A282D" w14:textId="77777777" w:rsidR="007E7472" w:rsidRDefault="00EC1269">
                        <w:pPr>
                          <w:rPr>
                            <w:sz w:val="18"/>
                            <w:szCs w:val="18"/>
                          </w:rPr>
                        </w:pPr>
                        <w:r>
                          <w:rPr>
                            <w:rFonts w:hint="eastAsia"/>
                            <w:sz w:val="18"/>
                            <w:szCs w:val="18"/>
                          </w:rPr>
                          <w:t>1．本期提取</w:t>
                        </w:r>
                      </w:p>
                    </w:tc>
                  </w:sdtContent>
                </w:sdt>
                <w:tc>
                  <w:tcPr>
                    <w:tcW w:w="1078" w:type="dxa"/>
                    <w:tcBorders>
                      <w:right w:val="single" w:sz="4" w:space="0" w:color="auto"/>
                    </w:tcBorders>
                    <w:vAlign w:val="center"/>
                  </w:tcPr>
                  <w:p w14:paraId="0583F5C8" w14:textId="77777777" w:rsidR="007E7472" w:rsidRDefault="00C8327E">
                    <w:pPr>
                      <w:jc w:val="right"/>
                      <w:rPr>
                        <w:spacing w:val="-20"/>
                        <w:sz w:val="18"/>
                        <w:szCs w:val="18"/>
                      </w:rPr>
                    </w:pPr>
                  </w:p>
                </w:tc>
                <w:tc>
                  <w:tcPr>
                    <w:tcW w:w="807" w:type="dxa"/>
                    <w:tcBorders>
                      <w:left w:val="single" w:sz="4" w:space="0" w:color="auto"/>
                      <w:right w:val="single" w:sz="4" w:space="0" w:color="auto"/>
                    </w:tcBorders>
                    <w:vAlign w:val="center"/>
                  </w:tcPr>
                  <w:p w14:paraId="3278AC4F" w14:textId="77777777" w:rsidR="007E7472" w:rsidRDefault="00C8327E">
                    <w:pPr>
                      <w:jc w:val="right"/>
                      <w:rPr>
                        <w:spacing w:val="-20"/>
                        <w:sz w:val="18"/>
                        <w:szCs w:val="18"/>
                      </w:rPr>
                    </w:pPr>
                  </w:p>
                </w:tc>
                <w:tc>
                  <w:tcPr>
                    <w:tcW w:w="1134" w:type="dxa"/>
                    <w:tcBorders>
                      <w:left w:val="single" w:sz="4" w:space="0" w:color="auto"/>
                      <w:right w:val="single" w:sz="4" w:space="0" w:color="auto"/>
                    </w:tcBorders>
                    <w:vAlign w:val="center"/>
                  </w:tcPr>
                  <w:p w14:paraId="5A772472" w14:textId="77777777" w:rsidR="007E7472" w:rsidRDefault="00C8327E">
                    <w:pPr>
                      <w:jc w:val="right"/>
                      <w:rPr>
                        <w:spacing w:val="-20"/>
                        <w:sz w:val="18"/>
                        <w:szCs w:val="18"/>
                      </w:rPr>
                    </w:pPr>
                  </w:p>
                </w:tc>
                <w:tc>
                  <w:tcPr>
                    <w:tcW w:w="1278" w:type="dxa"/>
                    <w:tcBorders>
                      <w:left w:val="single" w:sz="4" w:space="0" w:color="auto"/>
                    </w:tcBorders>
                    <w:vAlign w:val="center"/>
                  </w:tcPr>
                  <w:p w14:paraId="27BE09C6" w14:textId="77777777" w:rsidR="007E7472" w:rsidRDefault="00C8327E">
                    <w:pPr>
                      <w:jc w:val="right"/>
                      <w:rPr>
                        <w:spacing w:val="-20"/>
                        <w:sz w:val="18"/>
                        <w:szCs w:val="18"/>
                      </w:rPr>
                    </w:pPr>
                  </w:p>
                </w:tc>
                <w:tc>
                  <w:tcPr>
                    <w:tcW w:w="1036" w:type="dxa"/>
                    <w:vAlign w:val="center"/>
                  </w:tcPr>
                  <w:p w14:paraId="4089BB09" w14:textId="77777777" w:rsidR="007E7472" w:rsidRDefault="00C8327E">
                    <w:pPr>
                      <w:jc w:val="right"/>
                      <w:rPr>
                        <w:spacing w:val="-20"/>
                        <w:sz w:val="18"/>
                        <w:szCs w:val="18"/>
                      </w:rPr>
                    </w:pPr>
                  </w:p>
                </w:tc>
                <w:tc>
                  <w:tcPr>
                    <w:tcW w:w="1064" w:type="dxa"/>
                    <w:vAlign w:val="center"/>
                  </w:tcPr>
                  <w:p w14:paraId="7ED91465" w14:textId="77777777" w:rsidR="007E7472" w:rsidRDefault="00C8327E">
                    <w:pPr>
                      <w:jc w:val="right"/>
                      <w:rPr>
                        <w:spacing w:val="-20"/>
                        <w:sz w:val="18"/>
                        <w:szCs w:val="18"/>
                      </w:rPr>
                    </w:pPr>
                  </w:p>
                </w:tc>
                <w:tc>
                  <w:tcPr>
                    <w:tcW w:w="1022" w:type="dxa"/>
                    <w:vAlign w:val="center"/>
                  </w:tcPr>
                  <w:p w14:paraId="68F05582" w14:textId="77777777" w:rsidR="007E7472" w:rsidRDefault="00C8327E">
                    <w:pPr>
                      <w:jc w:val="right"/>
                      <w:rPr>
                        <w:spacing w:val="-20"/>
                        <w:sz w:val="18"/>
                        <w:szCs w:val="18"/>
                      </w:rPr>
                    </w:pPr>
                  </w:p>
                </w:tc>
                <w:tc>
                  <w:tcPr>
                    <w:tcW w:w="1036" w:type="dxa"/>
                    <w:vAlign w:val="center"/>
                  </w:tcPr>
                  <w:p w14:paraId="670D4EF1" w14:textId="77777777" w:rsidR="007E7472" w:rsidRDefault="00EC1269">
                    <w:pPr>
                      <w:jc w:val="right"/>
                      <w:rPr>
                        <w:spacing w:val="-20"/>
                        <w:sz w:val="18"/>
                        <w:szCs w:val="18"/>
                      </w:rPr>
                    </w:pPr>
                    <w:r>
                      <w:rPr>
                        <w:rFonts w:hint="eastAsia"/>
                        <w:spacing w:val="-20"/>
                        <w:sz w:val="18"/>
                        <w:szCs w:val="18"/>
                      </w:rPr>
                      <w:t>470,66</w:t>
                    </w:r>
                    <w:r>
                      <w:rPr>
                        <w:spacing w:val="-20"/>
                        <w:sz w:val="18"/>
                        <w:szCs w:val="18"/>
                      </w:rPr>
                      <w:t>9</w:t>
                    </w:r>
                  </w:p>
                </w:tc>
                <w:tc>
                  <w:tcPr>
                    <w:tcW w:w="942" w:type="dxa"/>
                    <w:vAlign w:val="center"/>
                  </w:tcPr>
                  <w:p w14:paraId="049A50EA" w14:textId="77777777" w:rsidR="007E7472" w:rsidRDefault="00C8327E">
                    <w:pPr>
                      <w:jc w:val="right"/>
                      <w:rPr>
                        <w:spacing w:val="-20"/>
                        <w:sz w:val="18"/>
                        <w:szCs w:val="18"/>
                      </w:rPr>
                    </w:pPr>
                  </w:p>
                </w:tc>
                <w:tc>
                  <w:tcPr>
                    <w:tcW w:w="993" w:type="dxa"/>
                    <w:vAlign w:val="center"/>
                  </w:tcPr>
                  <w:p w14:paraId="2F1EE0EC" w14:textId="77777777" w:rsidR="007E7472" w:rsidRDefault="00C8327E">
                    <w:pPr>
                      <w:jc w:val="right"/>
                      <w:rPr>
                        <w:spacing w:val="-20"/>
                        <w:sz w:val="18"/>
                        <w:szCs w:val="18"/>
                      </w:rPr>
                    </w:pPr>
                  </w:p>
                </w:tc>
                <w:tc>
                  <w:tcPr>
                    <w:tcW w:w="1120" w:type="dxa"/>
                    <w:vAlign w:val="center"/>
                  </w:tcPr>
                  <w:p w14:paraId="4EA79540" w14:textId="77777777" w:rsidR="007E7472" w:rsidRDefault="00EC1269">
                    <w:pPr>
                      <w:jc w:val="right"/>
                      <w:rPr>
                        <w:spacing w:val="-20"/>
                        <w:sz w:val="18"/>
                        <w:szCs w:val="18"/>
                      </w:rPr>
                    </w:pPr>
                    <w:r>
                      <w:rPr>
                        <w:rFonts w:hint="eastAsia"/>
                        <w:spacing w:val="-20"/>
                        <w:sz w:val="18"/>
                        <w:szCs w:val="18"/>
                      </w:rPr>
                      <w:t>470,66</w:t>
                    </w:r>
                    <w:r>
                      <w:rPr>
                        <w:spacing w:val="-20"/>
                        <w:sz w:val="18"/>
                        <w:szCs w:val="18"/>
                      </w:rPr>
                      <w:t>9</w:t>
                    </w:r>
                  </w:p>
                </w:tc>
              </w:tr>
              <w:tr w:rsidR="007E7472" w14:paraId="1BE5A3D7" w14:textId="77777777">
                <w:trPr>
                  <w:trHeight w:val="20"/>
                </w:trPr>
                <w:sdt>
                  <w:sdtPr>
                    <w:tag w:val="_PLD_12344832238e442d9f64388fa2af60f1"/>
                    <w:id w:val="1690337059"/>
                    <w:lock w:val="sdtLocked"/>
                  </w:sdtPr>
                  <w:sdtEndPr/>
                  <w:sdtContent>
                    <w:tc>
                      <w:tcPr>
                        <w:tcW w:w="2394" w:type="dxa"/>
                        <w:vAlign w:val="center"/>
                      </w:tcPr>
                      <w:p w14:paraId="6D7843AE" w14:textId="77777777" w:rsidR="007E7472" w:rsidRDefault="00EC1269">
                        <w:pPr>
                          <w:rPr>
                            <w:sz w:val="18"/>
                            <w:szCs w:val="18"/>
                          </w:rPr>
                        </w:pPr>
                        <w:r>
                          <w:rPr>
                            <w:rFonts w:hint="eastAsia"/>
                            <w:sz w:val="18"/>
                            <w:szCs w:val="18"/>
                          </w:rPr>
                          <w:t>2．本期使用</w:t>
                        </w:r>
                      </w:p>
                    </w:tc>
                  </w:sdtContent>
                </w:sdt>
                <w:tc>
                  <w:tcPr>
                    <w:tcW w:w="1078" w:type="dxa"/>
                    <w:tcBorders>
                      <w:right w:val="single" w:sz="4" w:space="0" w:color="auto"/>
                    </w:tcBorders>
                    <w:vAlign w:val="center"/>
                  </w:tcPr>
                  <w:p w14:paraId="39C95330" w14:textId="77777777" w:rsidR="007E7472" w:rsidRDefault="00C8327E">
                    <w:pPr>
                      <w:jc w:val="right"/>
                      <w:rPr>
                        <w:spacing w:val="-20"/>
                        <w:sz w:val="18"/>
                        <w:szCs w:val="18"/>
                      </w:rPr>
                    </w:pPr>
                  </w:p>
                </w:tc>
                <w:tc>
                  <w:tcPr>
                    <w:tcW w:w="807" w:type="dxa"/>
                    <w:tcBorders>
                      <w:left w:val="single" w:sz="4" w:space="0" w:color="auto"/>
                      <w:right w:val="single" w:sz="4" w:space="0" w:color="auto"/>
                    </w:tcBorders>
                    <w:vAlign w:val="center"/>
                  </w:tcPr>
                  <w:p w14:paraId="7B891E58" w14:textId="77777777" w:rsidR="007E7472" w:rsidRDefault="00C8327E">
                    <w:pPr>
                      <w:jc w:val="right"/>
                      <w:rPr>
                        <w:spacing w:val="-20"/>
                        <w:sz w:val="18"/>
                        <w:szCs w:val="18"/>
                      </w:rPr>
                    </w:pPr>
                  </w:p>
                </w:tc>
                <w:tc>
                  <w:tcPr>
                    <w:tcW w:w="1134" w:type="dxa"/>
                    <w:tcBorders>
                      <w:left w:val="single" w:sz="4" w:space="0" w:color="auto"/>
                      <w:right w:val="single" w:sz="4" w:space="0" w:color="auto"/>
                    </w:tcBorders>
                    <w:vAlign w:val="center"/>
                  </w:tcPr>
                  <w:p w14:paraId="565E01DD" w14:textId="77777777" w:rsidR="007E7472" w:rsidRDefault="00C8327E">
                    <w:pPr>
                      <w:jc w:val="right"/>
                      <w:rPr>
                        <w:spacing w:val="-20"/>
                        <w:sz w:val="18"/>
                        <w:szCs w:val="18"/>
                      </w:rPr>
                    </w:pPr>
                  </w:p>
                </w:tc>
                <w:tc>
                  <w:tcPr>
                    <w:tcW w:w="1278" w:type="dxa"/>
                    <w:tcBorders>
                      <w:left w:val="single" w:sz="4" w:space="0" w:color="auto"/>
                    </w:tcBorders>
                    <w:vAlign w:val="center"/>
                  </w:tcPr>
                  <w:p w14:paraId="6F7A6AB3" w14:textId="77777777" w:rsidR="007E7472" w:rsidRDefault="00C8327E">
                    <w:pPr>
                      <w:jc w:val="right"/>
                      <w:rPr>
                        <w:spacing w:val="-20"/>
                        <w:sz w:val="18"/>
                        <w:szCs w:val="18"/>
                      </w:rPr>
                    </w:pPr>
                  </w:p>
                </w:tc>
                <w:tc>
                  <w:tcPr>
                    <w:tcW w:w="1036" w:type="dxa"/>
                    <w:vAlign w:val="center"/>
                  </w:tcPr>
                  <w:p w14:paraId="465C590D" w14:textId="77777777" w:rsidR="007E7472" w:rsidRDefault="00C8327E">
                    <w:pPr>
                      <w:jc w:val="right"/>
                      <w:rPr>
                        <w:spacing w:val="-20"/>
                        <w:sz w:val="18"/>
                        <w:szCs w:val="18"/>
                      </w:rPr>
                    </w:pPr>
                  </w:p>
                </w:tc>
                <w:tc>
                  <w:tcPr>
                    <w:tcW w:w="1064" w:type="dxa"/>
                    <w:vAlign w:val="center"/>
                  </w:tcPr>
                  <w:p w14:paraId="5FD123A8" w14:textId="77777777" w:rsidR="007E7472" w:rsidRDefault="00C8327E">
                    <w:pPr>
                      <w:jc w:val="right"/>
                      <w:rPr>
                        <w:spacing w:val="-20"/>
                        <w:sz w:val="18"/>
                        <w:szCs w:val="18"/>
                      </w:rPr>
                    </w:pPr>
                  </w:p>
                </w:tc>
                <w:tc>
                  <w:tcPr>
                    <w:tcW w:w="1022" w:type="dxa"/>
                    <w:vAlign w:val="center"/>
                  </w:tcPr>
                  <w:p w14:paraId="7551DF5C" w14:textId="77777777" w:rsidR="007E7472" w:rsidRDefault="00C8327E">
                    <w:pPr>
                      <w:jc w:val="right"/>
                      <w:rPr>
                        <w:spacing w:val="-20"/>
                        <w:sz w:val="18"/>
                        <w:szCs w:val="18"/>
                      </w:rPr>
                    </w:pPr>
                  </w:p>
                </w:tc>
                <w:tc>
                  <w:tcPr>
                    <w:tcW w:w="1036" w:type="dxa"/>
                    <w:vAlign w:val="center"/>
                  </w:tcPr>
                  <w:p w14:paraId="60F2CBE0" w14:textId="77777777" w:rsidR="007E7472" w:rsidRDefault="00EC1269">
                    <w:pPr>
                      <w:jc w:val="right"/>
                      <w:rPr>
                        <w:spacing w:val="-20"/>
                        <w:sz w:val="18"/>
                        <w:szCs w:val="18"/>
                      </w:rPr>
                    </w:pPr>
                    <w:r>
                      <w:rPr>
                        <w:rFonts w:hint="eastAsia"/>
                        <w:spacing w:val="-20"/>
                        <w:sz w:val="18"/>
                        <w:szCs w:val="18"/>
                      </w:rPr>
                      <w:t>143,773</w:t>
                    </w:r>
                  </w:p>
                </w:tc>
                <w:tc>
                  <w:tcPr>
                    <w:tcW w:w="942" w:type="dxa"/>
                    <w:vAlign w:val="center"/>
                  </w:tcPr>
                  <w:p w14:paraId="5D84292A" w14:textId="77777777" w:rsidR="007E7472" w:rsidRDefault="00C8327E">
                    <w:pPr>
                      <w:jc w:val="right"/>
                      <w:rPr>
                        <w:spacing w:val="-20"/>
                        <w:sz w:val="18"/>
                        <w:szCs w:val="18"/>
                      </w:rPr>
                    </w:pPr>
                  </w:p>
                </w:tc>
                <w:tc>
                  <w:tcPr>
                    <w:tcW w:w="993" w:type="dxa"/>
                    <w:vAlign w:val="center"/>
                  </w:tcPr>
                  <w:p w14:paraId="322C1377" w14:textId="77777777" w:rsidR="007E7472" w:rsidRDefault="00C8327E">
                    <w:pPr>
                      <w:jc w:val="right"/>
                      <w:rPr>
                        <w:spacing w:val="-20"/>
                        <w:sz w:val="18"/>
                        <w:szCs w:val="18"/>
                      </w:rPr>
                    </w:pPr>
                  </w:p>
                </w:tc>
                <w:tc>
                  <w:tcPr>
                    <w:tcW w:w="1120" w:type="dxa"/>
                    <w:vAlign w:val="center"/>
                  </w:tcPr>
                  <w:p w14:paraId="5FF38296" w14:textId="77777777" w:rsidR="007E7472" w:rsidRDefault="00EC1269">
                    <w:pPr>
                      <w:jc w:val="right"/>
                      <w:rPr>
                        <w:spacing w:val="-20"/>
                        <w:sz w:val="18"/>
                        <w:szCs w:val="18"/>
                      </w:rPr>
                    </w:pPr>
                    <w:r>
                      <w:rPr>
                        <w:rFonts w:hint="eastAsia"/>
                        <w:spacing w:val="-20"/>
                        <w:sz w:val="18"/>
                        <w:szCs w:val="18"/>
                      </w:rPr>
                      <w:t>143,773</w:t>
                    </w:r>
                  </w:p>
                </w:tc>
              </w:tr>
              <w:tr w:rsidR="007E7472" w14:paraId="5ACACCFD" w14:textId="77777777">
                <w:trPr>
                  <w:trHeight w:val="20"/>
                </w:trPr>
                <w:sdt>
                  <w:sdtPr>
                    <w:tag w:val="_PLD_adc6cb0ad3a14129b7edac5f396c8fd5"/>
                    <w:id w:val="-1253204758"/>
                    <w:lock w:val="sdtLocked"/>
                  </w:sdtPr>
                  <w:sdtEndPr/>
                  <w:sdtContent>
                    <w:tc>
                      <w:tcPr>
                        <w:tcW w:w="2394" w:type="dxa"/>
                      </w:tcPr>
                      <w:p w14:paraId="53CB1F6F" w14:textId="77777777" w:rsidR="007E7472" w:rsidRDefault="00EC1269">
                        <w:pPr>
                          <w:rPr>
                            <w:sz w:val="18"/>
                            <w:szCs w:val="18"/>
                          </w:rPr>
                        </w:pPr>
                        <w:r>
                          <w:rPr>
                            <w:rFonts w:hint="eastAsia"/>
                            <w:sz w:val="18"/>
                            <w:szCs w:val="18"/>
                          </w:rPr>
                          <w:t>（六）其他</w:t>
                        </w:r>
                      </w:p>
                    </w:tc>
                  </w:sdtContent>
                </w:sdt>
                <w:tc>
                  <w:tcPr>
                    <w:tcW w:w="1078" w:type="dxa"/>
                    <w:tcBorders>
                      <w:right w:val="single" w:sz="4" w:space="0" w:color="auto"/>
                    </w:tcBorders>
                    <w:vAlign w:val="center"/>
                  </w:tcPr>
                  <w:p w14:paraId="3281C53C" w14:textId="77777777" w:rsidR="007E7472" w:rsidRDefault="00C8327E">
                    <w:pPr>
                      <w:jc w:val="right"/>
                      <w:rPr>
                        <w:spacing w:val="-20"/>
                        <w:sz w:val="18"/>
                        <w:szCs w:val="18"/>
                      </w:rPr>
                    </w:pPr>
                  </w:p>
                </w:tc>
                <w:tc>
                  <w:tcPr>
                    <w:tcW w:w="807" w:type="dxa"/>
                    <w:tcBorders>
                      <w:left w:val="single" w:sz="4" w:space="0" w:color="auto"/>
                      <w:right w:val="single" w:sz="4" w:space="0" w:color="auto"/>
                    </w:tcBorders>
                    <w:vAlign w:val="center"/>
                  </w:tcPr>
                  <w:p w14:paraId="37785575" w14:textId="77777777" w:rsidR="007E7472" w:rsidRDefault="00C8327E">
                    <w:pPr>
                      <w:jc w:val="right"/>
                      <w:rPr>
                        <w:spacing w:val="-20"/>
                        <w:sz w:val="18"/>
                        <w:szCs w:val="18"/>
                      </w:rPr>
                    </w:pPr>
                  </w:p>
                </w:tc>
                <w:tc>
                  <w:tcPr>
                    <w:tcW w:w="1134" w:type="dxa"/>
                    <w:tcBorders>
                      <w:left w:val="single" w:sz="4" w:space="0" w:color="auto"/>
                      <w:right w:val="single" w:sz="4" w:space="0" w:color="auto"/>
                    </w:tcBorders>
                    <w:vAlign w:val="center"/>
                  </w:tcPr>
                  <w:p w14:paraId="1E7327FF" w14:textId="77777777" w:rsidR="007E7472" w:rsidRDefault="00C8327E">
                    <w:pPr>
                      <w:jc w:val="right"/>
                      <w:rPr>
                        <w:spacing w:val="-20"/>
                        <w:sz w:val="18"/>
                        <w:szCs w:val="18"/>
                      </w:rPr>
                    </w:pPr>
                  </w:p>
                </w:tc>
                <w:tc>
                  <w:tcPr>
                    <w:tcW w:w="1278" w:type="dxa"/>
                    <w:tcBorders>
                      <w:left w:val="single" w:sz="4" w:space="0" w:color="auto"/>
                    </w:tcBorders>
                    <w:vAlign w:val="center"/>
                  </w:tcPr>
                  <w:p w14:paraId="42D227D8" w14:textId="77777777" w:rsidR="007E7472" w:rsidRDefault="00C8327E">
                    <w:pPr>
                      <w:jc w:val="right"/>
                      <w:rPr>
                        <w:spacing w:val="-20"/>
                        <w:sz w:val="18"/>
                        <w:szCs w:val="18"/>
                      </w:rPr>
                    </w:pPr>
                  </w:p>
                </w:tc>
                <w:tc>
                  <w:tcPr>
                    <w:tcW w:w="1036" w:type="dxa"/>
                    <w:vAlign w:val="center"/>
                  </w:tcPr>
                  <w:p w14:paraId="134F6AE1" w14:textId="77777777" w:rsidR="007E7472" w:rsidRDefault="00C8327E">
                    <w:pPr>
                      <w:jc w:val="right"/>
                      <w:rPr>
                        <w:spacing w:val="-20"/>
                        <w:sz w:val="18"/>
                        <w:szCs w:val="18"/>
                      </w:rPr>
                    </w:pPr>
                  </w:p>
                </w:tc>
                <w:tc>
                  <w:tcPr>
                    <w:tcW w:w="1064" w:type="dxa"/>
                    <w:vAlign w:val="center"/>
                  </w:tcPr>
                  <w:p w14:paraId="68C3F24F" w14:textId="77777777" w:rsidR="007E7472" w:rsidRDefault="00C8327E">
                    <w:pPr>
                      <w:jc w:val="right"/>
                      <w:rPr>
                        <w:spacing w:val="-20"/>
                        <w:sz w:val="18"/>
                        <w:szCs w:val="18"/>
                      </w:rPr>
                    </w:pPr>
                  </w:p>
                </w:tc>
                <w:tc>
                  <w:tcPr>
                    <w:tcW w:w="1022" w:type="dxa"/>
                    <w:vAlign w:val="center"/>
                  </w:tcPr>
                  <w:p w14:paraId="40339FDC" w14:textId="77777777" w:rsidR="007E7472" w:rsidRDefault="00C8327E">
                    <w:pPr>
                      <w:jc w:val="right"/>
                      <w:rPr>
                        <w:spacing w:val="-20"/>
                        <w:sz w:val="18"/>
                        <w:szCs w:val="18"/>
                      </w:rPr>
                    </w:pPr>
                  </w:p>
                </w:tc>
                <w:tc>
                  <w:tcPr>
                    <w:tcW w:w="1036" w:type="dxa"/>
                    <w:vAlign w:val="center"/>
                  </w:tcPr>
                  <w:p w14:paraId="178888A0" w14:textId="77777777" w:rsidR="007E7472" w:rsidRDefault="00EC1269">
                    <w:pPr>
                      <w:jc w:val="right"/>
                      <w:rPr>
                        <w:spacing w:val="-20"/>
                        <w:sz w:val="18"/>
                        <w:szCs w:val="18"/>
                      </w:rPr>
                    </w:pPr>
                    <w:r>
                      <w:rPr>
                        <w:rFonts w:hint="eastAsia"/>
                        <w:spacing w:val="-20"/>
                        <w:sz w:val="18"/>
                        <w:szCs w:val="18"/>
                      </w:rPr>
                      <w:t>-22,950</w:t>
                    </w:r>
                  </w:p>
                </w:tc>
                <w:tc>
                  <w:tcPr>
                    <w:tcW w:w="942" w:type="dxa"/>
                    <w:vAlign w:val="center"/>
                  </w:tcPr>
                  <w:p w14:paraId="6BEE2376" w14:textId="77777777" w:rsidR="007E7472" w:rsidRDefault="00C8327E">
                    <w:pPr>
                      <w:jc w:val="right"/>
                      <w:rPr>
                        <w:spacing w:val="-20"/>
                        <w:sz w:val="18"/>
                        <w:szCs w:val="18"/>
                      </w:rPr>
                    </w:pPr>
                  </w:p>
                </w:tc>
                <w:tc>
                  <w:tcPr>
                    <w:tcW w:w="993" w:type="dxa"/>
                    <w:vAlign w:val="center"/>
                  </w:tcPr>
                  <w:p w14:paraId="29D34EB2" w14:textId="77777777" w:rsidR="007E7472" w:rsidRDefault="00EC1269">
                    <w:pPr>
                      <w:jc w:val="right"/>
                      <w:rPr>
                        <w:spacing w:val="-20"/>
                        <w:sz w:val="18"/>
                        <w:szCs w:val="18"/>
                      </w:rPr>
                    </w:pPr>
                    <w:r>
                      <w:rPr>
                        <w:rFonts w:hint="eastAsia"/>
                        <w:spacing w:val="-20"/>
                        <w:sz w:val="18"/>
                        <w:szCs w:val="18"/>
                      </w:rPr>
                      <w:t>22,950</w:t>
                    </w:r>
                  </w:p>
                </w:tc>
                <w:tc>
                  <w:tcPr>
                    <w:tcW w:w="1120" w:type="dxa"/>
                    <w:vAlign w:val="center"/>
                  </w:tcPr>
                  <w:p w14:paraId="2A7EBAA3" w14:textId="77777777" w:rsidR="007E7472" w:rsidRDefault="00C8327E">
                    <w:pPr>
                      <w:jc w:val="right"/>
                      <w:rPr>
                        <w:spacing w:val="-20"/>
                        <w:sz w:val="18"/>
                        <w:szCs w:val="18"/>
                      </w:rPr>
                    </w:pPr>
                  </w:p>
                </w:tc>
              </w:tr>
              <w:tr w:rsidR="007E7472" w14:paraId="47C26F7F" w14:textId="77777777">
                <w:trPr>
                  <w:trHeight w:val="20"/>
                </w:trPr>
                <w:sdt>
                  <w:sdtPr>
                    <w:tag w:val="_PLD_0009c8b4e5ca4d7083f8b2619f6a4584"/>
                    <w:id w:val="691428811"/>
                    <w:lock w:val="sdtLocked"/>
                  </w:sdtPr>
                  <w:sdtEndPr/>
                  <w:sdtContent>
                    <w:tc>
                      <w:tcPr>
                        <w:tcW w:w="2394" w:type="dxa"/>
                      </w:tcPr>
                      <w:p w14:paraId="3126F495" w14:textId="77777777" w:rsidR="007E7472" w:rsidRDefault="00EC1269">
                        <w:pPr>
                          <w:rPr>
                            <w:sz w:val="18"/>
                            <w:szCs w:val="18"/>
                          </w:rPr>
                        </w:pPr>
                        <w:r>
                          <w:rPr>
                            <w:sz w:val="18"/>
                            <w:szCs w:val="18"/>
                          </w:rPr>
                          <w:t>四、本期期末余额</w:t>
                        </w:r>
                      </w:p>
                    </w:tc>
                  </w:sdtContent>
                </w:sdt>
                <w:tc>
                  <w:tcPr>
                    <w:tcW w:w="1078" w:type="dxa"/>
                    <w:tcBorders>
                      <w:right w:val="single" w:sz="4" w:space="0" w:color="auto"/>
                    </w:tcBorders>
                    <w:vAlign w:val="center"/>
                  </w:tcPr>
                  <w:p w14:paraId="3E81B678" w14:textId="77777777" w:rsidR="007E7472" w:rsidRDefault="00EC1269">
                    <w:pPr>
                      <w:jc w:val="right"/>
                      <w:rPr>
                        <w:spacing w:val="-20"/>
                        <w:sz w:val="18"/>
                        <w:szCs w:val="18"/>
                      </w:rPr>
                    </w:pPr>
                    <w:r>
                      <w:rPr>
                        <w:rFonts w:hint="eastAsia"/>
                        <w:spacing w:val="-20"/>
                        <w:sz w:val="18"/>
                        <w:szCs w:val="18"/>
                      </w:rPr>
                      <w:t>4,948,704</w:t>
                    </w:r>
                  </w:p>
                </w:tc>
                <w:tc>
                  <w:tcPr>
                    <w:tcW w:w="807" w:type="dxa"/>
                    <w:tcBorders>
                      <w:left w:val="single" w:sz="4" w:space="0" w:color="auto"/>
                      <w:right w:val="single" w:sz="4" w:space="0" w:color="auto"/>
                    </w:tcBorders>
                  </w:tcPr>
                  <w:p w14:paraId="1141F83B" w14:textId="77777777" w:rsidR="007E7472" w:rsidRDefault="00C8327E">
                    <w:pPr>
                      <w:jc w:val="right"/>
                      <w:rPr>
                        <w:spacing w:val="-20"/>
                        <w:sz w:val="18"/>
                        <w:szCs w:val="18"/>
                      </w:rPr>
                    </w:pPr>
                  </w:p>
                </w:tc>
                <w:tc>
                  <w:tcPr>
                    <w:tcW w:w="1134" w:type="dxa"/>
                    <w:tcBorders>
                      <w:left w:val="single" w:sz="4" w:space="0" w:color="auto"/>
                      <w:right w:val="single" w:sz="4" w:space="0" w:color="auto"/>
                    </w:tcBorders>
                    <w:vAlign w:val="center"/>
                  </w:tcPr>
                  <w:p w14:paraId="2ADCB2B9" w14:textId="77777777" w:rsidR="007E7472" w:rsidRDefault="00EC1269">
                    <w:pPr>
                      <w:jc w:val="right"/>
                      <w:rPr>
                        <w:spacing w:val="-20"/>
                        <w:sz w:val="18"/>
                        <w:szCs w:val="18"/>
                      </w:rPr>
                    </w:pPr>
                    <w:r>
                      <w:rPr>
                        <w:rFonts w:hint="eastAsia"/>
                        <w:spacing w:val="-20"/>
                        <w:sz w:val="18"/>
                        <w:szCs w:val="18"/>
                      </w:rPr>
                      <w:t>13,072,39</w:t>
                    </w:r>
                    <w:r>
                      <w:rPr>
                        <w:spacing w:val="-20"/>
                        <w:sz w:val="18"/>
                        <w:szCs w:val="18"/>
                      </w:rPr>
                      <w:t>7</w:t>
                    </w:r>
                  </w:p>
                </w:tc>
                <w:tc>
                  <w:tcPr>
                    <w:tcW w:w="1278" w:type="dxa"/>
                    <w:tcBorders>
                      <w:left w:val="single" w:sz="4" w:space="0" w:color="auto"/>
                    </w:tcBorders>
                  </w:tcPr>
                  <w:p w14:paraId="6FC11B07" w14:textId="77777777" w:rsidR="007E7472" w:rsidRDefault="00C8327E">
                    <w:pPr>
                      <w:jc w:val="right"/>
                      <w:rPr>
                        <w:spacing w:val="-20"/>
                        <w:sz w:val="18"/>
                        <w:szCs w:val="18"/>
                      </w:rPr>
                    </w:pPr>
                  </w:p>
                </w:tc>
                <w:tc>
                  <w:tcPr>
                    <w:tcW w:w="1036" w:type="dxa"/>
                    <w:vAlign w:val="center"/>
                  </w:tcPr>
                  <w:p w14:paraId="5E36C1BE" w14:textId="77777777" w:rsidR="007E7472" w:rsidRDefault="00EC1269">
                    <w:pPr>
                      <w:jc w:val="right"/>
                      <w:rPr>
                        <w:spacing w:val="-20"/>
                        <w:sz w:val="18"/>
                        <w:szCs w:val="18"/>
                      </w:rPr>
                    </w:pPr>
                    <w:r>
                      <w:rPr>
                        <w:rFonts w:hint="eastAsia"/>
                        <w:spacing w:val="-20"/>
                        <w:sz w:val="18"/>
                        <w:szCs w:val="18"/>
                      </w:rPr>
                      <w:t>887,351</w:t>
                    </w:r>
                  </w:p>
                </w:tc>
                <w:tc>
                  <w:tcPr>
                    <w:tcW w:w="1064" w:type="dxa"/>
                    <w:vAlign w:val="center"/>
                  </w:tcPr>
                  <w:p w14:paraId="75B38CEF" w14:textId="77777777" w:rsidR="007E7472" w:rsidRDefault="00EC1269">
                    <w:pPr>
                      <w:jc w:val="right"/>
                      <w:rPr>
                        <w:spacing w:val="-20"/>
                        <w:sz w:val="18"/>
                        <w:szCs w:val="18"/>
                      </w:rPr>
                    </w:pPr>
                    <w:r>
                      <w:rPr>
                        <w:rFonts w:hint="eastAsia"/>
                        <w:spacing w:val="-20"/>
                        <w:sz w:val="18"/>
                        <w:szCs w:val="18"/>
                      </w:rPr>
                      <w:t>723,593</w:t>
                    </w:r>
                  </w:p>
                </w:tc>
                <w:tc>
                  <w:tcPr>
                    <w:tcW w:w="1022" w:type="dxa"/>
                    <w:vAlign w:val="center"/>
                  </w:tcPr>
                  <w:p w14:paraId="043290C8" w14:textId="77777777" w:rsidR="007E7472" w:rsidRDefault="00EC1269">
                    <w:pPr>
                      <w:jc w:val="right"/>
                      <w:rPr>
                        <w:spacing w:val="-20"/>
                        <w:sz w:val="18"/>
                        <w:szCs w:val="18"/>
                      </w:rPr>
                    </w:pPr>
                    <w:r>
                      <w:rPr>
                        <w:rFonts w:hint="eastAsia"/>
                        <w:spacing w:val="-20"/>
                        <w:sz w:val="18"/>
                        <w:szCs w:val="18"/>
                      </w:rPr>
                      <w:t>139,127</w:t>
                    </w:r>
                  </w:p>
                </w:tc>
                <w:tc>
                  <w:tcPr>
                    <w:tcW w:w="1036" w:type="dxa"/>
                    <w:vAlign w:val="center"/>
                  </w:tcPr>
                  <w:p w14:paraId="22E9081F" w14:textId="77777777" w:rsidR="007E7472" w:rsidRDefault="00EC1269">
                    <w:pPr>
                      <w:jc w:val="right"/>
                      <w:rPr>
                        <w:spacing w:val="-20"/>
                        <w:sz w:val="18"/>
                        <w:szCs w:val="18"/>
                      </w:rPr>
                    </w:pPr>
                    <w:r>
                      <w:rPr>
                        <w:rFonts w:hint="eastAsia"/>
                        <w:spacing w:val="-20"/>
                        <w:sz w:val="18"/>
                        <w:szCs w:val="18"/>
                      </w:rPr>
                      <w:t>3,150,3</w:t>
                    </w:r>
                    <w:r>
                      <w:rPr>
                        <w:spacing w:val="-20"/>
                        <w:sz w:val="18"/>
                        <w:szCs w:val="18"/>
                      </w:rPr>
                      <w:t>90</w:t>
                    </w:r>
                  </w:p>
                </w:tc>
                <w:tc>
                  <w:tcPr>
                    <w:tcW w:w="942" w:type="dxa"/>
                    <w:vAlign w:val="center"/>
                  </w:tcPr>
                  <w:p w14:paraId="60E96154" w14:textId="77777777" w:rsidR="007E7472" w:rsidRDefault="00EC1269">
                    <w:pPr>
                      <w:jc w:val="right"/>
                      <w:rPr>
                        <w:spacing w:val="-20"/>
                        <w:sz w:val="18"/>
                        <w:szCs w:val="18"/>
                      </w:rPr>
                    </w:pPr>
                    <w:r>
                      <w:rPr>
                        <w:rFonts w:hint="eastAsia"/>
                        <w:spacing w:val="-20"/>
                        <w:sz w:val="18"/>
                        <w:szCs w:val="18"/>
                      </w:rPr>
                      <w:t>2,703,146</w:t>
                    </w:r>
                  </w:p>
                </w:tc>
                <w:tc>
                  <w:tcPr>
                    <w:tcW w:w="993" w:type="dxa"/>
                    <w:vAlign w:val="center"/>
                  </w:tcPr>
                  <w:p w14:paraId="7447CC13" w14:textId="77777777" w:rsidR="007E7472" w:rsidRDefault="00EC1269">
                    <w:pPr>
                      <w:jc w:val="right"/>
                      <w:rPr>
                        <w:spacing w:val="-20"/>
                        <w:sz w:val="18"/>
                        <w:szCs w:val="18"/>
                      </w:rPr>
                    </w:pPr>
                    <w:r>
                      <w:rPr>
                        <w:rFonts w:hint="eastAsia"/>
                        <w:spacing w:val="-20"/>
                        <w:sz w:val="18"/>
                        <w:szCs w:val="18"/>
                      </w:rPr>
                      <w:t>36,715,57</w:t>
                    </w:r>
                    <w:r>
                      <w:rPr>
                        <w:spacing w:val="-20"/>
                        <w:sz w:val="18"/>
                        <w:szCs w:val="18"/>
                      </w:rPr>
                      <w:t>0</w:t>
                    </w:r>
                  </w:p>
                </w:tc>
                <w:tc>
                  <w:tcPr>
                    <w:tcW w:w="1120" w:type="dxa"/>
                    <w:vAlign w:val="center"/>
                  </w:tcPr>
                  <w:p w14:paraId="016CD8B6" w14:textId="77777777" w:rsidR="007E7472" w:rsidRDefault="00EC1269">
                    <w:pPr>
                      <w:jc w:val="right"/>
                      <w:rPr>
                        <w:spacing w:val="-20"/>
                        <w:sz w:val="18"/>
                        <w:szCs w:val="18"/>
                      </w:rPr>
                    </w:pPr>
                    <w:r>
                      <w:rPr>
                        <w:rFonts w:hint="eastAsia"/>
                        <w:spacing w:val="-20"/>
                        <w:sz w:val="18"/>
                        <w:szCs w:val="18"/>
                      </w:rPr>
                      <w:t>60,893,09</w:t>
                    </w:r>
                    <w:r>
                      <w:rPr>
                        <w:spacing w:val="-20"/>
                        <w:sz w:val="18"/>
                        <w:szCs w:val="18"/>
                      </w:rPr>
                      <w:t>2</w:t>
                    </w:r>
                  </w:p>
                </w:tc>
              </w:tr>
            </w:tbl>
            <w:p w14:paraId="64116BBE" w14:textId="77777777" w:rsidR="007E7472" w:rsidRDefault="00C8327E"/>
            <w:p w14:paraId="0B5F3A1C" w14:textId="64A33F54" w:rsidR="007E7472" w:rsidRDefault="00EC1269">
              <w:pPr>
                <w:snapToGrid w:val="0"/>
                <w:spacing w:line="240" w:lineRule="atLeast"/>
                <w:rPr>
                  <w:b/>
                  <w:bCs/>
                  <w:color w:val="FF0000"/>
                </w:rPr>
              </w:pPr>
              <w:r>
                <w:t>公司负责人</w:t>
              </w:r>
              <w:r>
                <w:rPr>
                  <w:rFonts w:hint="eastAsia"/>
                </w:rPr>
                <w:t>：</w:t>
              </w:r>
              <w:sdt>
                <w:sdtPr>
                  <w:rPr>
                    <w:rFonts w:hint="eastAsia"/>
                  </w:rPr>
                  <w:alias w:val="公司负责人"/>
                  <w:tag w:val="_GBC_6042a2c12168484781348969a4da3e4c"/>
                  <w:id w:val="-1857112144"/>
                  <w:lock w:val="sdtLocked"/>
                  <w:dataBinding w:prefixMappings="xmlns:clcid-mr='clcid-mr'" w:xpath="/*/clcid-mr:GongSiFuZeRenXingMing[not(@periodRef)]" w:storeItemID="{89EBAB94-44A0-46A2-B712-30D997D04A6D}"/>
                  <w:text/>
                </w:sdtPr>
                <w:sdtEndPr/>
                <w:sdtContent>
                  <w:r w:rsidR="00B47FFE">
                    <w:rPr>
                      <w:rFonts w:hint="eastAsia"/>
                    </w:rPr>
                    <w:t>李伟</w:t>
                  </w:r>
                </w:sdtContent>
              </w:sdt>
              <w:r>
                <w:t>主管会计工作负责人</w:t>
              </w:r>
              <w:r>
                <w:rPr>
                  <w:rFonts w:hint="eastAsia"/>
                </w:rPr>
                <w:t>：</w:t>
              </w:r>
              <w:sdt>
                <w:sdtPr>
                  <w:rPr>
                    <w:rFonts w:hint="eastAsia"/>
                  </w:rPr>
                  <w:alias w:val="主管会计工作负责人姓名"/>
                  <w:tag w:val="_GBC_3008dab61aca43f0a6d82ef192943e79"/>
                  <w:id w:val="1200281348"/>
                  <w:lock w:val="sdtLocked"/>
                  <w:dataBinding w:prefixMappings="xmlns:clcid-mr='clcid-mr'" w:xpath="/*/clcid-mr:ZhuGuanKuaiJiGongZuoFuZeRenXingMing[not(@periodRef)]" w:storeItemID="{89EBAB94-44A0-46A2-B712-30D997D04A6D}"/>
                  <w:text/>
                </w:sdtPr>
                <w:sdtEndPr/>
                <w:sdtContent>
                  <w:r w:rsidR="00B47FFE">
                    <w:rPr>
                      <w:rFonts w:hint="eastAsia"/>
                    </w:rPr>
                    <w:t>赵青春</w:t>
                  </w:r>
                </w:sdtContent>
              </w:sdt>
              <w:r>
                <w:t>会计机构负责人</w:t>
              </w:r>
              <w:r>
                <w:rPr>
                  <w:rFonts w:hint="eastAsia"/>
                </w:rPr>
                <w:t>：</w:t>
              </w:r>
              <w:sdt>
                <w:sdtPr>
                  <w:rPr>
                    <w:rFonts w:hint="eastAsia"/>
                  </w:rPr>
                  <w:alias w:val="会计机构负责人姓名"/>
                  <w:tag w:val="_GBC_e6c21b270080402ca8dbdc0cab514bde"/>
                  <w:id w:val="347614039"/>
                  <w:lock w:val="sdtLocked"/>
                  <w:dataBinding w:prefixMappings="xmlns:clcid-mr='clcid-mr'" w:xpath="/*/clcid-mr:KuaiJiJiGouFuZeRenXingMing[not(@periodRef)]" w:storeItemID="{89EBAB94-44A0-46A2-B712-30D997D04A6D}"/>
                  <w:text/>
                </w:sdtPr>
                <w:sdtEndPr/>
                <w:sdtContent>
                  <w:r w:rsidR="006F3F93">
                    <w:rPr>
                      <w:rFonts w:hint="eastAsia"/>
                    </w:rPr>
                    <w:t>赵治国</w:t>
                  </w:r>
                </w:sdtContent>
              </w:sdt>
            </w:p>
          </w:sdtContent>
        </w:sdt>
        <w:p w14:paraId="72875C5D" w14:textId="77777777" w:rsidR="007E7472" w:rsidRDefault="00C8327E">
          <w:pPr>
            <w:rPr>
              <w:color w:val="FF0000"/>
            </w:rPr>
          </w:pPr>
        </w:p>
      </w:sdtContent>
    </w:sdt>
    <w:bookmarkEnd w:id="138"/>
    <w:p w14:paraId="4DEF5338" w14:textId="77777777" w:rsidR="007E7472" w:rsidRDefault="00C8327E">
      <w:pPr>
        <w:snapToGrid w:val="0"/>
        <w:spacing w:line="240" w:lineRule="atLeast"/>
        <w:sectPr w:rsidR="007E7472">
          <w:pgSz w:w="16838" w:h="11906" w:orient="landscape"/>
          <w:pgMar w:top="1797" w:right="1525" w:bottom="1276" w:left="1440" w:header="851" w:footer="992" w:gutter="0"/>
          <w:cols w:space="425"/>
          <w:docGrid w:linePitch="312"/>
        </w:sectPr>
      </w:pPr>
    </w:p>
    <w:sdt>
      <w:sdtPr>
        <w:rPr>
          <w:rFonts w:ascii="宋体" w:hAnsi="宋体" w:cs="宋体"/>
          <w:b w:val="0"/>
          <w:bCs w:val="0"/>
          <w:kern w:val="0"/>
          <w:szCs w:val="24"/>
        </w:rPr>
        <w:alias w:val="模块:公司基本情况"/>
        <w:tag w:val="_GBC_c49d72d4b04e4ead97addb731e9b6458"/>
        <w:id w:val="-1452393662"/>
        <w:lock w:val="sdtLocked"/>
        <w:placeholder>
          <w:docPart w:val="GBC22222222222222222222222222222"/>
        </w:placeholder>
      </w:sdtPr>
      <w:sdtEndPr>
        <w:rPr>
          <w:rFonts w:hint="eastAsia"/>
          <w:szCs w:val="21"/>
        </w:rPr>
      </w:sdtEndPr>
      <w:sdtContent>
        <w:p w14:paraId="715879DC" w14:textId="5B155603" w:rsidR="007E7472" w:rsidRPr="00A23CC7" w:rsidRDefault="00EC1269" w:rsidP="00162493">
          <w:pPr>
            <w:pStyle w:val="2"/>
            <w:numPr>
              <w:ilvl w:val="0"/>
              <w:numId w:val="43"/>
            </w:numPr>
            <w:ind w:firstLineChars="0"/>
          </w:pPr>
          <w:r w:rsidRPr="00A23CC7">
            <w:rPr>
              <w:bCs w:val="0"/>
            </w:rPr>
            <w:t>公司基本情况</w:t>
          </w:r>
        </w:p>
        <w:p w14:paraId="6A47EA0D" w14:textId="77777777" w:rsidR="007E7472" w:rsidRDefault="00EC1269" w:rsidP="00162493">
          <w:pPr>
            <w:pStyle w:val="3"/>
            <w:numPr>
              <w:ilvl w:val="0"/>
              <w:numId w:val="44"/>
            </w:numPr>
            <w:ind w:left="420"/>
          </w:pPr>
          <w:r>
            <w:rPr>
              <w:rFonts w:hint="eastAsia"/>
            </w:rPr>
            <w:t>公司概况</w:t>
          </w:r>
        </w:p>
        <w:sdt>
          <w:sdtPr>
            <w:alias w:val="是否适用：公司概况[双击切换]"/>
            <w:tag w:val="_GBC_2e5fe5b3ed964f468989da49e4242039"/>
            <w:id w:val="-297529210"/>
            <w:lock w:val="sdtLocked"/>
            <w:placeholder>
              <w:docPart w:val="GBC22222222222222222222222222222"/>
            </w:placeholder>
          </w:sdtPr>
          <w:sdtEndPr/>
          <w:sdtContent>
            <w:p w14:paraId="63EADBBF" w14:textId="77777777" w:rsidR="007E7472" w:rsidRDefault="00EC1269">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rPr>
              <w:rFonts w:ascii="Times New Roman" w:hAnsi="Times New Roman" w:cs="Times New Roman"/>
              <w:sz w:val="20"/>
              <w:szCs w:val="20"/>
            </w:rPr>
            <w:alias w:val="公司概况"/>
            <w:tag w:val="_GBC_dfec127af3a7441dade8cb0f67119e66"/>
            <w:id w:val="738441543"/>
            <w:lock w:val="sdtLocked"/>
            <w:placeholder>
              <w:docPart w:val="GBC22222222222222222222222222222"/>
            </w:placeholder>
          </w:sdtPr>
          <w:sdtEndPr/>
          <w:sdtContent>
            <w:p w14:paraId="43FD2539" w14:textId="77777777" w:rsidR="007E7472" w:rsidRDefault="00EC1269">
              <w:pPr>
                <w:spacing w:beforeLines="50" w:before="156" w:afterLines="50" w:after="156" w:line="360" w:lineRule="exact"/>
                <w:ind w:firstLineChars="200" w:firstLine="400"/>
                <w:jc w:val="both"/>
              </w:pPr>
              <w:r>
                <w:rPr>
                  <w:rFonts w:hint="eastAsia"/>
                </w:rPr>
                <w:t>兖</w:t>
              </w:r>
              <w:r>
                <w:t>矿能源集团股份有限公司（</w:t>
              </w:r>
              <w:r>
                <w:rPr>
                  <w:rFonts w:hint="eastAsia"/>
                </w:rPr>
                <w:t>以下简称“本公司”，在包含子公司时统称本集团</w:t>
              </w:r>
              <w:r>
                <w:t>）是经中华人民共和国国家经济体制改革委员会体改生〔1997〕154号文件批准，由</w:t>
              </w:r>
              <w:r>
                <w:rPr>
                  <w:rFonts w:hint="eastAsia"/>
                </w:rPr>
                <w:t>山东能源</w:t>
              </w:r>
              <w:r>
                <w:t>集团有限公司（</w:t>
              </w:r>
              <w:r>
                <w:rPr>
                  <w:rFonts w:hint="eastAsia"/>
                </w:rPr>
                <w:t>原名</w:t>
              </w:r>
              <w:r>
                <w:t>兖矿集团有限公司</w:t>
              </w:r>
              <w:r>
                <w:rPr>
                  <w:rFonts w:hint="eastAsia"/>
                </w:rPr>
                <w:t>，以下简称“山东能源”</w:t>
              </w:r>
              <w:r>
                <w:t>）作为主发起人成立之股份有限公司。本公司</w:t>
              </w:r>
              <w:r>
                <w:rPr>
                  <w:rFonts w:hint="eastAsia"/>
                </w:rPr>
                <w:t>成立于1997年9月，</w:t>
              </w:r>
              <w:r>
                <w:t>注册地</w:t>
              </w:r>
              <w:r>
                <w:rPr>
                  <w:rFonts w:hint="eastAsia"/>
                </w:rPr>
                <w:t>为</w:t>
              </w:r>
              <w:r>
                <w:t>山东省邹城市，</w:t>
              </w:r>
              <w:r>
                <w:rPr>
                  <w:rFonts w:hint="eastAsia"/>
                </w:rPr>
                <w:t>总部办公地址为山东省邹城市凫山南路949号。</w:t>
              </w:r>
            </w:p>
            <w:p w14:paraId="6189D8B1" w14:textId="77777777" w:rsidR="007E7472" w:rsidRDefault="00EC1269">
              <w:pPr>
                <w:spacing w:beforeLines="50" w:before="156" w:afterLines="50" w:after="156" w:line="360" w:lineRule="exact"/>
                <w:ind w:firstLineChars="200" w:firstLine="420"/>
                <w:jc w:val="both"/>
              </w:pPr>
              <w:r>
                <w:rPr>
                  <w:rFonts w:hint="eastAsia"/>
                </w:rPr>
                <w:t>本公司</w:t>
              </w:r>
              <w:r>
                <w:t>设立时总股本为167,000万元，每股面值</w:t>
              </w:r>
              <w:r>
                <w:rPr>
                  <w:rFonts w:hint="eastAsia"/>
                </w:rPr>
                <w:t>为</w:t>
              </w:r>
              <w:r>
                <w:t>1元。</w:t>
              </w:r>
              <w:r>
                <w:rPr>
                  <w:rFonts w:hint="eastAsia"/>
                </w:rPr>
                <w:t>于</w:t>
              </w:r>
              <w:r>
                <w:t>1998年3月，经国务院证券委证委发〔1997〕12号文件批准，本公司向香港及国际投资者发行面值82,000万元之H股，美国承销商行使超额配售权，本公司追加发行3,000万元H股，上述股份于1998年4月1日在香港联交所上市交易，公司的美国存托股份于1998年3月31日在纽约证券交易所上市交易。此次募集资金后，总股本变更为252,000万元。</w:t>
              </w:r>
              <w:r>
                <w:rPr>
                  <w:rFonts w:hint="eastAsia"/>
                </w:rPr>
                <w:t>于</w:t>
              </w:r>
              <w:r>
                <w:t>1998年6月，本公司发行8,000万股A股，并于1998年7月1日起在上海证券交易所上市交易。</w:t>
              </w:r>
              <w:r>
                <w:rPr>
                  <w:rFonts w:hint="eastAsia"/>
                </w:rPr>
                <w:t>于2017年2月16日，本公司美国存托股份从纽约证券交易所退市并取消注册。</w:t>
              </w:r>
              <w:r>
                <w:t>经多次增发、送股，</w:t>
              </w:r>
              <w:r>
                <w:rPr>
                  <w:rFonts w:hint="eastAsia"/>
                </w:rPr>
                <w:t>截至20</w:t>
              </w:r>
              <w:r>
                <w:t>2</w:t>
              </w:r>
              <w:r>
                <w:rPr>
                  <w:rFonts w:hint="eastAsia"/>
                </w:rPr>
                <w:t>3年06月30日，</w:t>
              </w:r>
              <w:r>
                <w:t>本公司股本总额为</w:t>
              </w:r>
              <w:r>
                <w:rPr>
                  <w:rFonts w:hint="eastAsia"/>
                </w:rPr>
                <w:t>4</w:t>
              </w:r>
              <w:r>
                <w:t>,9</w:t>
              </w:r>
              <w:r>
                <w:rPr>
                  <w:rFonts w:hint="eastAsia"/>
                </w:rPr>
                <w:t>61</w:t>
              </w:r>
              <w:r>
                <w:t>,</w:t>
              </w:r>
              <w:r>
                <w:rPr>
                  <w:rFonts w:hint="eastAsia"/>
                </w:rPr>
                <w:t>361千</w:t>
              </w:r>
              <w:r>
                <w:t>元。</w:t>
              </w:r>
            </w:p>
            <w:p w14:paraId="004AE81B" w14:textId="77777777" w:rsidR="007E7472" w:rsidRDefault="00EC1269">
              <w:pPr>
                <w:spacing w:beforeLines="50" w:before="156" w:afterLines="50" w:after="156" w:line="360" w:lineRule="exact"/>
                <w:ind w:firstLineChars="200" w:firstLine="420"/>
                <w:jc w:val="both"/>
              </w:pPr>
              <w:r>
                <w:rPr>
                  <w:rFonts w:hint="eastAsia"/>
                </w:rPr>
                <w:t>本公司经营范围：许可项目：煤炭开采；公共铁路运输；道路货物运输（不含危险货物）；港口经营；特种设备安装改造修理；房地产开发经营；餐饮服务；住宿服务；污水处理及其再生利用；热力生产和供应；检验检测服务；安全生产检验检测；建设工程施工；第一类增值电信业务；第二类增值电信业务。（依法须经批准的项目，经相关部门批准后方可开展经营活动，具体经营项目以相关部门批准文件或许可证件为准）一般项目：货物进出口；工程造价咨询业务；以自有资金从事投资活动；企业管理；社会经济咨询服务；市场调查（不含涉外调查）；矿山机械制造；矿山机械销售；机械设备租赁；通用设备修理；普通机械设备安装服务；金属材料销售；机械电气设备销售；建筑材料销售；木材销售；专用化学产品制造（不含危险化学品）；专用化学产品销售（不含危险化学品）；日用化学产品制造；煤炭及制品销售；涂料制造（不含危险化学品）；涂料销售（不含危险化学品）；润滑油销售；石油制品销售（不含危险化学品）；化工产品销售（不含许可类化工产品）；技术服务、技术开发、技术咨询、技术交流、技术转让、技术推广；非居住房地产租赁；金属矿石销售；普通货物仓储服务（不含危险化学品等需许可审批的项目）；园林绿化工程施工；游览景区管理；特种作业人员安全技术培训；计量技术服务；企业形象策划；针纺织品销售；塑料制品销售；仪器仪表销售；水泥制品销售；耐火材料生产；耐火材料销售；劳动保护用品销售；办公用品销售；文具用品零售；铁路运输辅助活动；防火封堵材料生产；防火封堵材料销售；电子专用设备制造；电子专用设备销售；软件开发；网络技术服务；网络设备销售；互联网数据服务；广播电视传输设备销售；通讯设备销售；机动车修理和维护；物业管理；人力资源服务（不含职业中介活动、劳务派遣服务）；信息系统集成服务；信息系统运行服务；工业自动控制系统装置销售；数字视频监控系统销售；互联网设备销售。（除依法须经批准的项目外，凭营业执照依法自主开展经营活动）</w:t>
              </w:r>
            </w:p>
            <w:p w14:paraId="54B6F334" w14:textId="77777777" w:rsidR="007E7472" w:rsidRDefault="00C8327E"/>
          </w:sdtContent>
        </w:sdt>
        <w:p w14:paraId="099CEFDB" w14:textId="77777777" w:rsidR="007E7472" w:rsidRDefault="00EC1269" w:rsidP="00162493">
          <w:pPr>
            <w:pStyle w:val="3"/>
            <w:numPr>
              <w:ilvl w:val="0"/>
              <w:numId w:val="44"/>
            </w:numPr>
            <w:ind w:left="420"/>
          </w:pPr>
          <w:r>
            <w:rPr>
              <w:rFonts w:hint="eastAsia"/>
            </w:rPr>
            <w:lastRenderedPageBreak/>
            <w:t>合并财务报表范围</w:t>
          </w:r>
        </w:p>
        <w:sdt>
          <w:sdtPr>
            <w:alias w:val="是否适用：合并财务报表范围[双击切换]"/>
            <w:tag w:val="_GBC_ea2f3ec3b347465c8c563d4599124150"/>
            <w:id w:val="865565436"/>
            <w:lock w:val="sdtLocked"/>
            <w:placeholder>
              <w:docPart w:val="GBC22222222222222222222222222222"/>
            </w:placeholder>
          </w:sdtPr>
          <w:sdtEndPr/>
          <w:sdtContent>
            <w:p w14:paraId="64AA5DE0" w14:textId="77777777" w:rsidR="007E7472" w:rsidRDefault="00EC1269">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alias w:val="本年度合并财务报表范围"/>
            <w:tag w:val="_GBC_696c121eead146fba6371fa5b371b2fc"/>
            <w:id w:val="-262067885"/>
            <w:lock w:val="sdtLocked"/>
            <w:placeholder>
              <w:docPart w:val="GBC22222222222222222222222222222"/>
            </w:placeholder>
          </w:sdtPr>
          <w:sdtEndPr/>
          <w:sdtContent>
            <w:sdt>
              <w:sdtPr>
                <w:alias w:val="本年度合并财务报表范围"/>
                <w:tag w:val="_GBC_696c121eead146fba6371fa5b371b2fc"/>
                <w:id w:val="-2112121597"/>
                <w:lock w:val="sdtLocked"/>
              </w:sdtPr>
              <w:sdtEndPr>
                <w:rPr>
                  <w:bCs/>
                </w:rPr>
              </w:sdtEndPr>
              <w:sdtContent>
                <w:p w14:paraId="76E058DA" w14:textId="77777777" w:rsidR="007E7472" w:rsidRDefault="00EC1269">
                  <w:pPr>
                    <w:tabs>
                      <w:tab w:val="left" w:pos="2000"/>
                    </w:tabs>
                    <w:spacing w:beforeLines="50" w:before="156" w:afterLines="50" w:after="156" w:line="360" w:lineRule="exact"/>
                    <w:ind w:firstLineChars="200" w:firstLine="420"/>
                    <w:jc w:val="both"/>
                    <w:rPr>
                      <w:bCs/>
                      <w:szCs w:val="24"/>
                    </w:rPr>
                  </w:pPr>
                  <w:r>
                    <w:rPr>
                      <w:rFonts w:hint="eastAsia"/>
                      <w:bCs/>
                      <w:szCs w:val="24"/>
                    </w:rPr>
                    <w:t>本集团合并财务报表范围包括兖煤澳大利亚有限公司、兖矿能源（鄂尔多斯）有限公司和兖煤菏泽能化有限公司等3</w:t>
                  </w:r>
                  <w:r>
                    <w:rPr>
                      <w:bCs/>
                      <w:szCs w:val="24"/>
                    </w:rPr>
                    <w:t>6</w:t>
                  </w:r>
                  <w:r>
                    <w:rPr>
                      <w:rFonts w:hint="eastAsia"/>
                      <w:bCs/>
                      <w:szCs w:val="24"/>
                    </w:rPr>
                    <w:t>家二级子公司，格罗斯特煤炭有限公司等</w:t>
                  </w:r>
                  <w:r>
                    <w:rPr>
                      <w:bCs/>
                      <w:szCs w:val="24"/>
                    </w:rPr>
                    <w:t>61</w:t>
                  </w:r>
                  <w:r>
                    <w:rPr>
                      <w:rFonts w:hint="eastAsia"/>
                      <w:bCs/>
                      <w:szCs w:val="24"/>
                    </w:rPr>
                    <w:t>家三级子公司及其控制的子公司。</w:t>
                  </w:r>
                </w:p>
                <w:p w14:paraId="17BD946A" w14:textId="77777777" w:rsidR="007E7472" w:rsidRDefault="00EC1269">
                  <w:pPr>
                    <w:tabs>
                      <w:tab w:val="left" w:pos="2000"/>
                    </w:tabs>
                    <w:spacing w:beforeLines="50" w:before="156" w:afterLines="50" w:after="156" w:line="360" w:lineRule="exact"/>
                    <w:ind w:firstLineChars="200" w:firstLine="420"/>
                    <w:jc w:val="both"/>
                    <w:rPr>
                      <w:bCs/>
                      <w:szCs w:val="24"/>
                    </w:rPr>
                  </w:pPr>
                  <w:r>
                    <w:rPr>
                      <w:rFonts w:hint="eastAsia"/>
                      <w:bCs/>
                      <w:szCs w:val="24"/>
                    </w:rPr>
                    <w:t>与上年相比，本年合并财务报表范围因同一控制下企业合并增加1家二级子公司，因新设增加1家三级公司。</w:t>
                  </w:r>
                </w:p>
                <w:p w14:paraId="5EF36BAA" w14:textId="77777777" w:rsidR="007E7472" w:rsidRDefault="00EC1269">
                  <w:pPr>
                    <w:tabs>
                      <w:tab w:val="left" w:pos="2000"/>
                    </w:tabs>
                    <w:spacing w:beforeLines="50" w:before="156" w:afterLines="50" w:after="156" w:line="360" w:lineRule="exact"/>
                    <w:ind w:firstLineChars="200" w:firstLine="420"/>
                    <w:jc w:val="both"/>
                  </w:pPr>
                  <w:r>
                    <w:rPr>
                      <w:rFonts w:hint="eastAsia"/>
                      <w:bCs/>
                      <w:szCs w:val="24"/>
                    </w:rPr>
                    <w:t>详见本附注“八、合并范围的变更”及本附注“九、在其他主体中的权益”相关内容。</w:t>
                  </w:r>
                </w:p>
              </w:sdtContent>
            </w:sdt>
          </w:sdtContent>
        </w:sdt>
      </w:sdtContent>
    </w:sdt>
    <w:p w14:paraId="3B764BB3" w14:textId="77777777" w:rsidR="007E7472" w:rsidRDefault="00C8327E"/>
    <w:p w14:paraId="4442DDEE" w14:textId="77777777" w:rsidR="007E7472" w:rsidRPr="009D036F" w:rsidRDefault="00EC1269" w:rsidP="00162493">
      <w:pPr>
        <w:pStyle w:val="2"/>
        <w:numPr>
          <w:ilvl w:val="0"/>
          <w:numId w:val="43"/>
        </w:numPr>
        <w:ind w:firstLineChars="0"/>
        <w:rPr>
          <w:szCs w:val="24"/>
        </w:rPr>
      </w:pPr>
      <w:r w:rsidRPr="009D036F">
        <w:rPr>
          <w:rFonts w:hint="eastAsia"/>
          <w:szCs w:val="24"/>
        </w:rPr>
        <w:t>财务报表的编制基础</w:t>
      </w:r>
    </w:p>
    <w:sdt>
      <w:sdtPr>
        <w:rPr>
          <w:szCs w:val="22"/>
        </w:rPr>
        <w:alias w:val="模块:财务报表的编制基础"/>
        <w:tag w:val="_GBC_6d12949d3695402592266a78137dcfb5"/>
        <w:id w:val="-1812780432"/>
        <w:placeholder>
          <w:docPart w:val="GBC22222222222222222222222222222"/>
        </w:placeholder>
      </w:sdtPr>
      <w:sdtEndPr>
        <w:rPr>
          <w:rFonts w:hint="eastAsia"/>
          <w:bCs w:val="0"/>
          <w:szCs w:val="32"/>
        </w:rPr>
      </w:sdtEndPr>
      <w:sdtContent>
        <w:p w14:paraId="5448CD60" w14:textId="77777777" w:rsidR="007E7472" w:rsidRDefault="00EC1269" w:rsidP="00162493">
          <w:pPr>
            <w:pStyle w:val="3"/>
            <w:numPr>
              <w:ilvl w:val="0"/>
              <w:numId w:val="45"/>
            </w:numPr>
          </w:pPr>
          <w:r>
            <w:t>编制基础</w:t>
          </w:r>
        </w:p>
      </w:sdtContent>
    </w:sdt>
    <w:sdt>
      <w:sdtPr>
        <w:rPr>
          <w:rFonts w:hint="eastAsia"/>
        </w:rPr>
        <w:alias w:val="财务报表的编制基础"/>
        <w:tag w:val="_GBC_1dc2375ed7ab49628f5badf2d5006405"/>
        <w:id w:val="1539698497"/>
        <w:lock w:val="sdtLocked"/>
      </w:sdtPr>
      <w:sdtEndPr/>
      <w:sdtContent>
        <w:p w14:paraId="07FBB485" w14:textId="77777777" w:rsidR="007E7472" w:rsidRDefault="00EC1269">
          <w:pPr>
            <w:spacing w:beforeLines="50" w:before="156" w:afterLines="50" w:after="156" w:line="360" w:lineRule="exact"/>
            <w:ind w:firstLineChars="200" w:firstLine="420"/>
            <w:jc w:val="both"/>
          </w:pPr>
          <w:r>
            <w:rPr>
              <w:rFonts w:hint="eastAsia"/>
            </w:rPr>
            <w:t>本集团财务报表以持续经营为基础，根据实际发生的交易和事项，按照财政部颁布的《企业会计准则》及相关规定，并基于本附注“五、重要会计政策及会计估计”所述会计政策和会计估计编制。</w:t>
          </w:r>
        </w:p>
      </w:sdtContent>
    </w:sdt>
    <w:p w14:paraId="5E490138" w14:textId="77777777" w:rsidR="007E7472" w:rsidRDefault="00C8327E"/>
    <w:sdt>
      <w:sdtPr>
        <w:rPr>
          <w:rFonts w:ascii="宋体" w:hAnsi="宋体" w:cs="宋体" w:hint="eastAsia"/>
          <w:b w:val="0"/>
          <w:bCs w:val="0"/>
          <w:kern w:val="0"/>
          <w:szCs w:val="22"/>
        </w:rPr>
        <w:alias w:val="模块:持续经营"/>
        <w:tag w:val="_GBC_69ae6baeacb44e8fa17b0b984abbf6ab"/>
        <w:id w:val="-773480795"/>
        <w:lock w:val="sdtLocked"/>
        <w:placeholder>
          <w:docPart w:val="GBC22222222222222222222222222222"/>
        </w:placeholder>
      </w:sdtPr>
      <w:sdtEndPr>
        <w:rPr>
          <w:szCs w:val="21"/>
        </w:rPr>
      </w:sdtEndPr>
      <w:sdtContent>
        <w:p w14:paraId="31C0B64F" w14:textId="77777777" w:rsidR="007E7472" w:rsidRDefault="00EC1269" w:rsidP="00162493">
          <w:pPr>
            <w:pStyle w:val="3"/>
            <w:numPr>
              <w:ilvl w:val="0"/>
              <w:numId w:val="45"/>
            </w:numPr>
          </w:pPr>
          <w:r>
            <w:rPr>
              <w:rFonts w:hint="eastAsia"/>
            </w:rPr>
            <w:t>持续经营</w:t>
          </w:r>
        </w:p>
        <w:sdt>
          <w:sdtPr>
            <w:alias w:val="是否适用：持续经营[双击切换]"/>
            <w:tag w:val="_GBC_7a7bd82392314f508ef1adfe80947192"/>
            <w:id w:val="-233930678"/>
            <w:lock w:val="sdtLocked"/>
            <w:placeholder>
              <w:docPart w:val="GBC22222222222222222222222222222"/>
            </w:placeholder>
          </w:sdtPr>
          <w:sdtEndPr/>
          <w:sdtContent>
            <w:p w14:paraId="491EBCEE" w14:textId="77777777" w:rsidR="007E7472" w:rsidRDefault="00EC1269">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alias w:val="持续经营"/>
            <w:tag w:val="_GBC_dc876c24006b428987a041949eb554f3"/>
            <w:id w:val="-463743063"/>
            <w:lock w:val="sdtLocked"/>
            <w:placeholder>
              <w:docPart w:val="GBC22222222222222222222222222222"/>
            </w:placeholder>
          </w:sdtPr>
          <w:sdtEndPr/>
          <w:sdtContent>
            <w:p w14:paraId="3B42D432" w14:textId="77777777" w:rsidR="007E7472" w:rsidRDefault="00EC1269">
              <w:pPr>
                <w:spacing w:beforeLines="50" w:before="156" w:afterLines="50" w:after="156" w:line="360" w:lineRule="exact"/>
                <w:ind w:firstLineChars="200" w:firstLine="420"/>
                <w:jc w:val="both"/>
              </w:pPr>
              <w:r>
                <w:rPr>
                  <w:rFonts w:hint="eastAsia"/>
                </w:rPr>
                <w:t>本集团有近期获利经营的历史且有财务资源支持，自报告期末起12个月具备持续经营能力，无影响持续经营能力的重大事项。因此，本财务报表以持续经营假设为基础编制是合理的。</w:t>
              </w:r>
            </w:p>
          </w:sdtContent>
        </w:sdt>
      </w:sdtContent>
    </w:sdt>
    <w:p w14:paraId="0DD364EC" w14:textId="77777777" w:rsidR="007E7472" w:rsidRDefault="00C8327E"/>
    <w:p w14:paraId="01D374A6" w14:textId="77777777" w:rsidR="007E7472" w:rsidRPr="009D036F" w:rsidRDefault="00EC1269" w:rsidP="00162493">
      <w:pPr>
        <w:pStyle w:val="2"/>
        <w:numPr>
          <w:ilvl w:val="0"/>
          <w:numId w:val="43"/>
        </w:numPr>
        <w:ind w:firstLineChars="0"/>
        <w:rPr>
          <w:szCs w:val="24"/>
        </w:rPr>
      </w:pPr>
      <w:r w:rsidRPr="009D036F">
        <w:rPr>
          <w:rFonts w:hint="eastAsia"/>
          <w:szCs w:val="24"/>
        </w:rPr>
        <w:t>重</w:t>
      </w:r>
      <w:r w:rsidRPr="009D036F">
        <w:rPr>
          <w:szCs w:val="24"/>
        </w:rPr>
        <w:t>要会计政策</w:t>
      </w:r>
      <w:r w:rsidRPr="009D036F">
        <w:rPr>
          <w:rFonts w:hint="eastAsia"/>
          <w:szCs w:val="24"/>
        </w:rPr>
        <w:t>及</w:t>
      </w:r>
      <w:r w:rsidRPr="009D036F">
        <w:rPr>
          <w:szCs w:val="24"/>
        </w:rPr>
        <w:t>会计估计</w:t>
      </w:r>
    </w:p>
    <w:sdt>
      <w:sdtPr>
        <w:alias w:val="模块:具体会计政策和会计估计提示"/>
        <w:tag w:val="_GBC_03d97fea34d045cb980749ccc6860a5a"/>
        <w:id w:val="-407692880"/>
        <w:lock w:val="sdtLocked"/>
        <w:placeholder>
          <w:docPart w:val="GBC22222222222222222222222222222"/>
        </w:placeholder>
      </w:sdtPr>
      <w:sdtEndPr/>
      <w:sdtContent>
        <w:p w14:paraId="282EBFA6" w14:textId="77777777" w:rsidR="007E7472" w:rsidRDefault="00EC1269" w:rsidP="007E7472">
          <w:r>
            <w:rPr>
              <w:rFonts w:hint="eastAsia"/>
            </w:rPr>
            <w:t>具体会计政策和会计估计提示：</w:t>
          </w:r>
        </w:p>
        <w:sdt>
          <w:sdtPr>
            <w:alias w:val="是否适用：具体会计政策和会计估计提示[双击切换]"/>
            <w:tag w:val="_GBC_77c62823e3884e1fbfb236cea1f9f425"/>
            <w:id w:val="1960526491"/>
            <w:lock w:val="sdtLocked"/>
            <w:placeholder>
              <w:docPart w:val="GBC22222222222222222222222222222"/>
            </w:placeholder>
          </w:sdtPr>
          <w:sdtEndPr/>
          <w:sdtContent>
            <w:p w14:paraId="247B17C1" w14:textId="77777777" w:rsidR="007E7472" w:rsidRDefault="00EC1269">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alias w:val="具体会计政策和会计估计提示"/>
            <w:tag w:val="_GBC_caddaeaf0d1a454ab0bede37f0db7782"/>
            <w:id w:val="-1999800414"/>
            <w:lock w:val="sdtLocked"/>
            <w:placeholder>
              <w:docPart w:val="GBC22222222222222222222222222222"/>
            </w:placeholder>
          </w:sdtPr>
          <w:sdtEndPr/>
          <w:sdtContent>
            <w:p w14:paraId="214B066E" w14:textId="77777777" w:rsidR="007E7472" w:rsidRDefault="00EC1269">
              <w:pPr>
                <w:spacing w:beforeLines="50" w:before="156" w:afterLines="50" w:after="156" w:line="360" w:lineRule="exact"/>
                <w:ind w:firstLineChars="200" w:firstLine="420"/>
                <w:jc w:val="both"/>
              </w:pPr>
              <w:r>
                <w:rPr>
                  <w:rFonts w:hint="eastAsia"/>
                </w:rPr>
                <w:t>本集团编制的财务报表符合企业会计准则的要求，真实、完整地反映了本集团的财务状况、经营成果和现金流量等有关信息。</w:t>
              </w:r>
            </w:p>
          </w:sdtContent>
        </w:sdt>
      </w:sdtContent>
    </w:sdt>
    <w:p w14:paraId="56427018" w14:textId="77777777" w:rsidR="007E7472" w:rsidRDefault="00C8327E"/>
    <w:sdt>
      <w:sdtPr>
        <w:rPr>
          <w:rFonts w:ascii="宋体" w:hAnsi="宋体" w:cs="宋体"/>
          <w:b w:val="0"/>
          <w:bCs w:val="0"/>
          <w:kern w:val="0"/>
          <w:szCs w:val="21"/>
        </w:rPr>
        <w:alias w:val="模块:遵循企业会计准则的声明"/>
        <w:tag w:val="_GBC_a0afbb5b3a444bce84ee78a2a282cb28"/>
        <w:id w:val="-929893265"/>
        <w:placeholder>
          <w:docPart w:val="GBC22222222222222222222222222222"/>
        </w:placeholder>
      </w:sdtPr>
      <w:sdtEndPr>
        <w:rPr>
          <w:rFonts w:hint="eastAsia"/>
        </w:rPr>
      </w:sdtEndPr>
      <w:sdtContent>
        <w:p w14:paraId="4DD32328" w14:textId="77777777" w:rsidR="007E7472" w:rsidRDefault="00EC1269" w:rsidP="00162493">
          <w:pPr>
            <w:pStyle w:val="3"/>
            <w:numPr>
              <w:ilvl w:val="0"/>
              <w:numId w:val="46"/>
            </w:numPr>
          </w:pPr>
          <w:r>
            <w:t>遵循企业会计准则的声明</w:t>
          </w:r>
        </w:p>
        <w:sdt>
          <w:sdtPr>
            <w:rPr>
              <w:rFonts w:hint="eastAsia"/>
            </w:rPr>
            <w:alias w:val="会计准则和会计制度"/>
            <w:tag w:val="_GBC_a350b889163a4ef3bb500c021e6a6b47"/>
            <w:id w:val="-817184951"/>
            <w:placeholder>
              <w:docPart w:val="GBC22222222222222222222222222222"/>
            </w:placeholder>
          </w:sdtPr>
          <w:sdtEndPr/>
          <w:sdtContent>
            <w:p w14:paraId="37F89896" w14:textId="77777777" w:rsidR="007E7472" w:rsidRDefault="00EC1269">
              <w:pPr>
                <w:spacing w:beforeLines="50" w:before="156" w:afterLines="50" w:after="156" w:line="360" w:lineRule="exact"/>
                <w:ind w:firstLineChars="200" w:firstLine="420"/>
                <w:jc w:val="both"/>
              </w:pPr>
              <w:r>
                <w:t>本公司所编制的财务报表符合企业会计准则的要求，真实、完整地反映了公司的财务状况、经营成果、股东权益变动和现金流量等有关信息。</w:t>
              </w:r>
            </w:p>
          </w:sdtContent>
        </w:sdt>
      </w:sdtContent>
    </w:sdt>
    <w:p w14:paraId="57029147" w14:textId="77777777" w:rsidR="007E7472" w:rsidRDefault="00C8327E"/>
    <w:sdt>
      <w:sdtPr>
        <w:rPr>
          <w:rFonts w:ascii="宋体" w:hAnsi="宋体" w:cs="宋体"/>
          <w:b w:val="0"/>
          <w:bCs w:val="0"/>
          <w:kern w:val="0"/>
          <w:szCs w:val="21"/>
        </w:rPr>
        <w:alias w:val="模块:会计期间"/>
        <w:tag w:val="_GBC_2d7f332501c8461ea731797db5588ee5"/>
        <w:id w:val="1164053303"/>
        <w:placeholder>
          <w:docPart w:val="GBC22222222222222222222222222222"/>
        </w:placeholder>
      </w:sdtPr>
      <w:sdtEndPr>
        <w:rPr>
          <w:rFonts w:hint="eastAsia"/>
        </w:rPr>
      </w:sdtEndPr>
      <w:sdtContent>
        <w:p w14:paraId="188C2205" w14:textId="77777777" w:rsidR="007E7472" w:rsidRDefault="00EC1269" w:rsidP="00162493">
          <w:pPr>
            <w:pStyle w:val="3"/>
            <w:numPr>
              <w:ilvl w:val="0"/>
              <w:numId w:val="46"/>
            </w:numPr>
          </w:pPr>
          <w:r>
            <w:t>会计期间</w:t>
          </w:r>
        </w:p>
        <w:sdt>
          <w:sdtPr>
            <w:rPr>
              <w:rFonts w:hint="eastAsia"/>
            </w:rPr>
            <w:alias w:val="会计年度"/>
            <w:tag w:val="_GBC_fc896fba50b143f8a06984831f5d5600"/>
            <w:id w:val="-1297832738"/>
            <w:placeholder>
              <w:docPart w:val="GBC22222222222222222222222222222"/>
            </w:placeholder>
          </w:sdtPr>
          <w:sdtEndPr/>
          <w:sdtContent>
            <w:p w14:paraId="5301C965" w14:textId="77777777" w:rsidR="007E7472" w:rsidRDefault="00EC1269">
              <w:pPr>
                <w:spacing w:beforeLines="50" w:before="156" w:afterLines="50" w:after="156" w:line="360" w:lineRule="exact"/>
                <w:ind w:firstLineChars="200" w:firstLine="420"/>
                <w:jc w:val="both"/>
              </w:pPr>
              <w:r>
                <w:t>本公司会计年度自公历1月1日起至</w:t>
              </w:r>
              <w:r>
                <w:rPr>
                  <w:rFonts w:hint="eastAsia"/>
                </w:rPr>
                <w:t>12</w:t>
              </w:r>
              <w:r>
                <w:t>月3</w:t>
              </w:r>
              <w:r>
                <w:rPr>
                  <w:rFonts w:hint="eastAsia"/>
                </w:rPr>
                <w:t>1</w:t>
              </w:r>
              <w:r>
                <w:t>日止。</w:t>
              </w:r>
            </w:p>
          </w:sdtContent>
        </w:sdt>
      </w:sdtContent>
    </w:sdt>
    <w:p w14:paraId="06980EA6" w14:textId="77777777" w:rsidR="007E7472" w:rsidRDefault="00C8327E"/>
    <w:sdt>
      <w:sdtPr>
        <w:rPr>
          <w:rFonts w:ascii="宋体" w:hAnsi="宋体" w:cs="宋体" w:hint="eastAsia"/>
          <w:b w:val="0"/>
          <w:bCs w:val="0"/>
          <w:kern w:val="0"/>
          <w:sz w:val="20"/>
          <w:szCs w:val="22"/>
        </w:rPr>
        <w:alias w:val="模块:营业周期"/>
        <w:tag w:val="_GBC_b045784ca7904d52a060134ffec0d88c"/>
        <w:id w:val="-1747876229"/>
        <w:lock w:val="sdtLocked"/>
        <w:placeholder>
          <w:docPart w:val="GBC22222222222222222222222222222"/>
        </w:placeholder>
      </w:sdtPr>
      <w:sdtEndPr>
        <w:rPr>
          <w:szCs w:val="21"/>
        </w:rPr>
      </w:sdtEndPr>
      <w:sdtContent>
        <w:p w14:paraId="12769973" w14:textId="77777777" w:rsidR="007E7472" w:rsidRDefault="00EC1269" w:rsidP="00162493">
          <w:pPr>
            <w:pStyle w:val="3"/>
            <w:numPr>
              <w:ilvl w:val="0"/>
              <w:numId w:val="46"/>
            </w:numPr>
          </w:pPr>
          <w:r>
            <w:rPr>
              <w:rFonts w:hint="eastAsia"/>
            </w:rPr>
            <w:t>营业周期</w:t>
          </w:r>
        </w:p>
        <w:sdt>
          <w:sdtPr>
            <w:alias w:val="是否适用：营业周期[双击切换]"/>
            <w:tag w:val="_GBC_1668f7f497234cf886206b57711c4c87"/>
            <w:id w:val="2112537780"/>
            <w:lock w:val="sdtLocked"/>
            <w:placeholder>
              <w:docPart w:val="GBC22222222222222222222222222222"/>
            </w:placeholder>
          </w:sdtPr>
          <w:sdtEndPr/>
          <w:sdtContent>
            <w:p w14:paraId="6AE98B85" w14:textId="77777777" w:rsidR="007E7472" w:rsidRDefault="00EC1269">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Content>
    </w:sdt>
    <w:p w14:paraId="1C9A56BE" w14:textId="77777777" w:rsidR="007E7472" w:rsidRDefault="00C8327E"/>
    <w:sdt>
      <w:sdtPr>
        <w:rPr>
          <w:rFonts w:ascii="宋体" w:hAnsi="宋体" w:cs="宋体"/>
          <w:b w:val="0"/>
          <w:bCs w:val="0"/>
          <w:kern w:val="0"/>
          <w:szCs w:val="21"/>
        </w:rPr>
        <w:alias w:val="模块:记账本位币"/>
        <w:tag w:val="_GBC_13b1061968754e20bebf2099281ed54f"/>
        <w:id w:val="-895346882"/>
        <w:placeholder>
          <w:docPart w:val="GBC22222222222222222222222222222"/>
        </w:placeholder>
      </w:sdtPr>
      <w:sdtEndPr>
        <w:rPr>
          <w:rFonts w:hint="eastAsia"/>
          <w:sz w:val="20"/>
        </w:rPr>
      </w:sdtEndPr>
      <w:sdtContent>
        <w:p w14:paraId="67FE8060" w14:textId="77777777" w:rsidR="007E7472" w:rsidRDefault="00EC1269" w:rsidP="00162493">
          <w:pPr>
            <w:pStyle w:val="3"/>
            <w:numPr>
              <w:ilvl w:val="0"/>
              <w:numId w:val="46"/>
            </w:numPr>
          </w:pPr>
          <w:r>
            <w:t>记账本位币</w:t>
          </w:r>
        </w:p>
        <w:sdt>
          <w:sdtPr>
            <w:rPr>
              <w:rFonts w:hint="eastAsia"/>
            </w:rPr>
            <w:alias w:val="记账本位币"/>
            <w:tag w:val="_GBC_3749a2357eba44e8b968cb41cda75ff1"/>
            <w:id w:val="1822235857"/>
            <w:placeholder>
              <w:docPart w:val="GBC22222222222222222222222222222"/>
            </w:placeholder>
          </w:sdtPr>
          <w:sdtEndPr/>
          <w:sdtContent>
            <w:p w14:paraId="298FDC69" w14:textId="77777777" w:rsidR="007E7472" w:rsidRDefault="00EC1269">
              <w:pPr>
                <w:spacing w:beforeLines="50" w:before="156" w:afterLines="50" w:after="156" w:line="360" w:lineRule="exact"/>
                <w:ind w:firstLineChars="200" w:firstLine="420"/>
                <w:jc w:val="both"/>
              </w:pPr>
              <w:r>
                <w:rPr>
                  <w:rFonts w:hint="eastAsia"/>
                </w:rPr>
                <w:t>本公司及境内子公司的记账本位币为人民币。本公司境外子公司采用人民币以外的货币作为记账本位币，本公司在编制财务报表时对这些子公司的外币财务报表进行了折算（参见本附注“五、9外币业务和外币财务报表折算”）。</w:t>
              </w:r>
            </w:p>
          </w:sdtContent>
        </w:sdt>
        <w:p w14:paraId="0F077373" w14:textId="77777777" w:rsidR="007E7472" w:rsidRDefault="00C8327E"/>
      </w:sdtContent>
    </w:sdt>
    <w:sdt>
      <w:sdtPr>
        <w:rPr>
          <w:rFonts w:ascii="宋体" w:hAnsi="宋体" w:cs="宋体"/>
          <w:b w:val="0"/>
          <w:bCs w:val="0"/>
          <w:kern w:val="0"/>
          <w:szCs w:val="22"/>
        </w:rPr>
        <w:alias w:val="模块:同一控制下和非同一控制下企业合并的会计处理方法"/>
        <w:tag w:val="_GBC_f44e1e76b2a3457ea36bc088adcbb4c3"/>
        <w:id w:val="1815214741"/>
        <w:lock w:val="sdtLocked"/>
        <w:placeholder>
          <w:docPart w:val="GBC22222222222222222222222222222"/>
        </w:placeholder>
      </w:sdtPr>
      <w:sdtEndPr>
        <w:rPr>
          <w:rFonts w:hint="eastAsia"/>
          <w:szCs w:val="21"/>
        </w:rPr>
      </w:sdtEndPr>
      <w:sdtContent>
        <w:p w14:paraId="2BE4CB4F" w14:textId="77777777" w:rsidR="007E7472" w:rsidRDefault="00EC1269" w:rsidP="00162493">
          <w:pPr>
            <w:pStyle w:val="3"/>
            <w:numPr>
              <w:ilvl w:val="0"/>
              <w:numId w:val="46"/>
            </w:numPr>
          </w:pPr>
          <w:r>
            <w:t>同一控制下和非同一控制下企业合并的会计处理方法</w:t>
          </w:r>
        </w:p>
        <w:sdt>
          <w:sdtPr>
            <w:rPr>
              <w:rFonts w:hint="eastAsia"/>
            </w:rPr>
            <w:alias w:val="是否适用：同一控制下和非同一控制下企业合并的会计处理方法[双击切换]"/>
            <w:tag w:val="_GBC_15953b39483a4ce1a5c96869e4a0ae9c"/>
            <w:id w:val="-540589345"/>
            <w:lock w:val="sdtLocked"/>
            <w:placeholder>
              <w:docPart w:val="GBC22222222222222222222222222222"/>
            </w:placeholder>
          </w:sdtPr>
          <w:sdtEndPr/>
          <w:sdtContent>
            <w:p w14:paraId="035868F3" w14:textId="77777777" w:rsidR="007E7472" w:rsidRDefault="00EC1269">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rPr>
              <w:rFonts w:hint="eastAsia"/>
            </w:rPr>
            <w:alias w:val="同一控制下和非同一控制下企业合并的会计处理方法"/>
            <w:tag w:val="_GBC_ef4b9a8d4ac34f45a0f61a23267bcbb8"/>
            <w:id w:val="-890269985"/>
            <w:lock w:val="sdtLocked"/>
            <w:placeholder>
              <w:docPart w:val="GBC22222222222222222222222222222"/>
            </w:placeholder>
          </w:sdtPr>
          <w:sdtEndPr/>
          <w:sdtContent>
            <w:p w14:paraId="71BEDE2F" w14:textId="77777777" w:rsidR="007E7472" w:rsidRDefault="00EC1269">
              <w:pPr>
                <w:spacing w:beforeLines="50" w:before="156" w:afterLines="50" w:after="156" w:line="360" w:lineRule="exact"/>
                <w:ind w:firstLineChars="200" w:firstLine="420"/>
                <w:jc w:val="both"/>
              </w:pPr>
              <w:r>
                <w:rPr>
                  <w:rFonts w:hint="eastAsia"/>
                </w:rPr>
                <w:t>本集团作为合并方，在同一控制下企业合并中取得的资产和负债，在合并日按被合并方在最终控制方合并报表中的账面价值计量。取得的净资产账面价值与支付的合并对价账面价值的差额，调整资本公积；资本公积不足冲减的，调整留存收益。</w:t>
              </w:r>
            </w:p>
            <w:p w14:paraId="425E9BD9" w14:textId="77777777" w:rsidR="007E7472" w:rsidRDefault="00EC1269">
              <w:pPr>
                <w:spacing w:beforeLines="50" w:before="156" w:afterLines="50" w:after="156" w:line="360" w:lineRule="exact"/>
                <w:ind w:firstLineChars="200" w:firstLine="420"/>
                <w:jc w:val="both"/>
              </w:pPr>
              <w:r>
                <w:rPr>
                  <w:rFonts w:hint="eastAsia"/>
                </w:rPr>
                <w:t>在非同一控制下企业合并中取得的被购买方可辨认资产、负债及或有负债在收购日以公允价值计量。合并成本为本集团在购买日为取得对被购买方的控制权而支付的现金或非现金资产、发行或承担的负债、发行的权益性证券等的公允价值以及在企业合并中发生的各项直接相关费用之和（通过多次交易分步实现的企业合并，其合并成本为每一单项交易的成本之和）。合并成本大于合并中取得的被购买方可辨认净资产公允价值份额的差额，确认为商誉；合并成本小于合并中取得的被购买方可辨认净资产公允价值份额的，首先对合并中取得的各项可辨认资产、负债及或有负债的公允价值、以及合并对价的非现金资产或发行的权益性证券等的公允价值进行复核，经复核后，合并成本仍小于合并中取得的被购买方可辨认净资产公允价值份额的，将其差额计入合并当期营业外收入。</w:t>
              </w:r>
            </w:p>
          </w:sdtContent>
        </w:sdt>
      </w:sdtContent>
    </w:sdt>
    <w:p w14:paraId="428DA787" w14:textId="77777777" w:rsidR="007E7472" w:rsidRDefault="00C8327E"/>
    <w:sdt>
      <w:sdtPr>
        <w:rPr>
          <w:rFonts w:ascii="宋体" w:hAnsi="宋体" w:cs="宋体"/>
          <w:b w:val="0"/>
          <w:bCs w:val="0"/>
          <w:kern w:val="0"/>
          <w:szCs w:val="24"/>
        </w:rPr>
        <w:alias w:val="模块:合并财务报表的编制方法"/>
        <w:tag w:val="_GBC_c23be25e527044f689b710dabd312b04"/>
        <w:id w:val="-340090840"/>
        <w:lock w:val="sdtLocked"/>
        <w:placeholder>
          <w:docPart w:val="GBC22222222222222222222222222222"/>
        </w:placeholder>
      </w:sdtPr>
      <w:sdtEndPr>
        <w:rPr>
          <w:rFonts w:asciiTheme="minorEastAsia" w:eastAsiaTheme="minorEastAsia" w:hAnsiTheme="minorEastAsia" w:hint="eastAsia"/>
          <w:szCs w:val="21"/>
        </w:rPr>
      </w:sdtEndPr>
      <w:sdtContent>
        <w:p w14:paraId="4F60BBC3" w14:textId="77777777" w:rsidR="007E7472" w:rsidRDefault="00EC1269" w:rsidP="00162493">
          <w:pPr>
            <w:pStyle w:val="3"/>
            <w:numPr>
              <w:ilvl w:val="0"/>
              <w:numId w:val="46"/>
            </w:numPr>
          </w:pPr>
          <w:r>
            <w:t>合并财务报表的编制方法</w:t>
          </w:r>
        </w:p>
        <w:sdt>
          <w:sdtPr>
            <w:rPr>
              <w:rFonts w:hint="eastAsia"/>
            </w:rPr>
            <w:alias w:val="是否适用：合并财务报表的编制方法[双击切换]"/>
            <w:tag w:val="_GBC_dad2e053cc8c4461a681b3e4926c48a6"/>
            <w:id w:val="-1968119906"/>
            <w:lock w:val="sdtLocked"/>
            <w:placeholder>
              <w:docPart w:val="GBC22222222222222222222222222222"/>
            </w:placeholder>
          </w:sdtPr>
          <w:sdtEndPr/>
          <w:sdtContent>
            <w:p w14:paraId="4D0FF9E3" w14:textId="77777777" w:rsidR="007E7472" w:rsidRDefault="00EC1269">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rPr>
              <w:rFonts w:hint="eastAsia"/>
            </w:rPr>
            <w:alias w:val="企业合并及合并财务报表的说明"/>
            <w:tag w:val="_GBC_5201beca0c0944939b4a0d8d100d6fcf"/>
            <w:id w:val="655430919"/>
            <w:lock w:val="sdtLocked"/>
            <w:placeholder>
              <w:docPart w:val="GBC22222222222222222222222222222"/>
            </w:placeholder>
          </w:sdtPr>
          <w:sdtEndPr>
            <w:rPr>
              <w:rFonts w:asciiTheme="minorEastAsia" w:eastAsiaTheme="minorEastAsia" w:hAnsiTheme="minorEastAsia"/>
            </w:rPr>
          </w:sdtEndPr>
          <w:sdtContent>
            <w:p w14:paraId="78F24F54" w14:textId="77777777" w:rsidR="007E7472" w:rsidRDefault="00EC1269">
              <w:pPr>
                <w:spacing w:beforeLines="50" w:before="156" w:afterLines="50" w:after="156" w:line="360" w:lineRule="exact"/>
                <w:ind w:firstLineChars="200" w:firstLine="420"/>
                <w:jc w:val="both"/>
              </w:pPr>
              <w:r>
                <w:rPr>
                  <w:rFonts w:hint="eastAsia"/>
                </w:rPr>
                <w:t>本集团将所有控制的子公司纳入合并财务报表范围。</w:t>
              </w:r>
            </w:p>
            <w:p w14:paraId="02DA4FDE" w14:textId="77777777" w:rsidR="007E7472" w:rsidRDefault="00EC1269">
              <w:pPr>
                <w:spacing w:beforeLines="50" w:before="156" w:afterLines="50" w:after="156" w:line="360" w:lineRule="exact"/>
                <w:ind w:firstLineChars="200" w:firstLine="420"/>
                <w:jc w:val="both"/>
              </w:pPr>
              <w:r>
                <w:rPr>
                  <w:rFonts w:hint="eastAsia"/>
                </w:rPr>
                <w:t>在编制合并财务报表时，子公司与本公司采用的会计政策或会计期间不一致的，按照本公司的会计政策或会计期间对子公司财务报表进行必要的调整。</w:t>
              </w:r>
            </w:p>
            <w:p w14:paraId="0C369EFD" w14:textId="77777777" w:rsidR="007E7472" w:rsidRDefault="00EC1269">
              <w:pPr>
                <w:spacing w:beforeLines="50" w:before="156" w:afterLines="50" w:after="156" w:line="360" w:lineRule="exact"/>
                <w:ind w:firstLineChars="200" w:firstLine="420"/>
                <w:jc w:val="both"/>
              </w:pPr>
              <w:r>
                <w:rPr>
                  <w:rFonts w:hint="eastAsia"/>
                </w:rPr>
                <w:t>合并范围内的所有重大内部交易、往来余额及未实现利润在合并报表编制时予以抵销。子公司的所有者权益中不属于母公司的份额以及当期净损益、其他综合收益及综合收益总额中属于少数股东权益的份额，分别在合并财务报表“少数股东权益、少数股东损益、归属于少数股东的其他综合收益及归属于少数股东的综合收益总额”项目列示。</w:t>
              </w:r>
            </w:p>
            <w:p w14:paraId="267E1140" w14:textId="77777777" w:rsidR="007E7472" w:rsidRDefault="00EC1269">
              <w:pPr>
                <w:spacing w:beforeLines="50" w:before="156" w:afterLines="50" w:after="156" w:line="360" w:lineRule="exact"/>
                <w:ind w:firstLineChars="200" w:firstLine="420"/>
                <w:jc w:val="both"/>
              </w:pPr>
              <w:r>
                <w:rPr>
                  <w:rFonts w:hint="eastAsia"/>
                </w:rPr>
                <w:lastRenderedPageBreak/>
                <w:t>对于同一控制下企业合并取得的子公司，其经营成果和现金流量自合并当期期初纳入合并财务报表。编制比较合并财务报表时，对上年财务报表的相关项目进行调整，视同合并后形成的报告主体自最终控制方开始控制时点起一直存在。</w:t>
              </w:r>
            </w:p>
            <w:p w14:paraId="4D689DB4" w14:textId="77777777" w:rsidR="007E7472" w:rsidRPr="000B3769" w:rsidRDefault="00EC1269">
              <w:pPr>
                <w:spacing w:beforeLines="50" w:before="156" w:afterLines="50" w:after="156" w:line="360" w:lineRule="exact"/>
                <w:ind w:firstLineChars="200" w:firstLine="420"/>
                <w:jc w:val="both"/>
                <w:rPr>
                  <w:rFonts w:asciiTheme="minorEastAsia" w:eastAsiaTheme="minorEastAsia" w:hAnsiTheme="minorEastAsia"/>
                </w:rPr>
              </w:pPr>
              <w:r>
                <w:rPr>
                  <w:rFonts w:hint="eastAsia"/>
                </w:rPr>
                <w:t>通过多次交易分步取得同一控制下被投资单位的股权，最终形成企业合并，编制合并报表时，视同在最终控制方开始控制时即以目前的状态存在进行调整，在编制比较报表时，以不早于本集团和被合并方同处于最终控制方的控制之下的时点为限，将被合并方的有关资产、负债并入本集团合并财务报表的比较报表中，并将合并而增加的净资产在比较报表中调整所有者权益项下的相关项目。为避免对被合并方净</w:t>
              </w:r>
              <w:r w:rsidRPr="000B3769">
                <w:rPr>
                  <w:rFonts w:asciiTheme="minorEastAsia" w:eastAsiaTheme="minorEastAsia" w:hAnsiTheme="minorEastAsia" w:hint="eastAsia"/>
                </w:rPr>
                <w:t>资产的价值进行重复计算，本集团在达到合并之前持有的长期股权投资，在取得原股权之日与本集团和被合并方处于同一方最终控制之日孰晚日起至合并日之间已确认有关损益、其他综合收益和其他净资产变动，应分别冲减比较报表期间的期初留存收益和当期损益。</w:t>
              </w:r>
            </w:p>
            <w:p w14:paraId="4176EEB3" w14:textId="77777777" w:rsidR="007E7472" w:rsidRPr="000B3769" w:rsidRDefault="00EC1269">
              <w:pPr>
                <w:spacing w:beforeLines="50" w:before="156" w:afterLines="50" w:after="156" w:line="360" w:lineRule="exact"/>
                <w:ind w:firstLineChars="200" w:firstLine="420"/>
                <w:jc w:val="both"/>
                <w:rPr>
                  <w:rFonts w:asciiTheme="minorEastAsia" w:eastAsiaTheme="minorEastAsia" w:hAnsiTheme="minorEastAsia"/>
                </w:rPr>
              </w:pPr>
              <w:r w:rsidRPr="000B3769">
                <w:rPr>
                  <w:rFonts w:asciiTheme="minorEastAsia" w:eastAsiaTheme="minorEastAsia" w:hAnsiTheme="minorEastAsia" w:hint="eastAsia"/>
                </w:rPr>
                <w:t>对于非同一控制下企业合并取得子公司，经营成果和现金流量自本集团取得控制权之日起纳入合并财务报表。在编制合并财务报表时，以购买日确定的各项可辨认资产、负债及或有负债的公允价值为基础对子公司的财务报表进行调整。</w:t>
              </w:r>
            </w:p>
            <w:p w14:paraId="0AB02531" w14:textId="77777777" w:rsidR="007E7472" w:rsidRPr="000B3769" w:rsidRDefault="00EC1269">
              <w:pPr>
                <w:spacing w:beforeLines="50" w:before="156" w:afterLines="50" w:after="156" w:line="360" w:lineRule="exact"/>
                <w:ind w:firstLineChars="200" w:firstLine="420"/>
                <w:jc w:val="both"/>
                <w:rPr>
                  <w:rFonts w:asciiTheme="minorEastAsia" w:eastAsiaTheme="minorEastAsia" w:hAnsiTheme="minorEastAsia"/>
                </w:rPr>
              </w:pPr>
              <w:r w:rsidRPr="000B3769">
                <w:rPr>
                  <w:rFonts w:asciiTheme="minorEastAsia" w:eastAsiaTheme="minorEastAsia" w:hAnsiTheme="minorEastAsia" w:hint="eastAsia"/>
                </w:rPr>
                <w:t>通过多次交易分步取得非同一控制下被投资单位的股权，最终形成企业合并，编制合并报表时，对于购买日之前持有的被购买方的股权，按照该股权在购买日的公允价值进行重新计量，公允价值与其账面价值的差额计入当期投资收益；与其相关的购买日之前持有的被购买方的股权涉及权益法核算下的其他综合收益以及除净损益、其他综合收益和利润分配外的其他所有者权益变动，在购买日所属当期转为投资损益，由于被投资方重新计量设定受益计划净负债或净资产变动而产生的其他综合收益除外。</w:t>
              </w:r>
            </w:p>
            <w:p w14:paraId="228F8C50" w14:textId="77777777" w:rsidR="007E7472" w:rsidRPr="000B3769" w:rsidRDefault="00EC1269">
              <w:pPr>
                <w:spacing w:beforeLines="50" w:before="156" w:afterLines="50" w:after="156" w:line="360" w:lineRule="exact"/>
                <w:ind w:firstLineChars="200" w:firstLine="420"/>
                <w:jc w:val="both"/>
                <w:rPr>
                  <w:rFonts w:asciiTheme="minorEastAsia" w:eastAsiaTheme="minorEastAsia" w:hAnsiTheme="minorEastAsia"/>
                </w:rPr>
              </w:pPr>
              <w:r w:rsidRPr="000B3769">
                <w:rPr>
                  <w:rFonts w:asciiTheme="minorEastAsia" w:eastAsiaTheme="minorEastAsia" w:hAnsiTheme="minorEastAsia" w:hint="eastAsia"/>
                </w:rPr>
                <w:t>本集团在不丧失控制权的情况下部分处置对子公司的长期股权投资，在合并财务报表中，处置价款与处置长期股权投资相对应享有子公司自购买日或合并日开始持续计算的净资产份额之间的差额，调整资本溢价或股本溢价，资本公积不足冲减的，调整留存收益。</w:t>
              </w:r>
            </w:p>
            <w:p w14:paraId="7806A5C9" w14:textId="77777777" w:rsidR="007E7472" w:rsidRPr="000B3769" w:rsidRDefault="00EC1269">
              <w:pPr>
                <w:spacing w:beforeLines="50" w:before="156" w:afterLines="50" w:after="156" w:line="360" w:lineRule="exact"/>
                <w:ind w:firstLineChars="200" w:firstLine="420"/>
                <w:jc w:val="both"/>
                <w:rPr>
                  <w:rFonts w:asciiTheme="minorEastAsia" w:eastAsiaTheme="minorEastAsia" w:hAnsiTheme="minorEastAsia"/>
                </w:rPr>
              </w:pPr>
              <w:r w:rsidRPr="000B3769">
                <w:rPr>
                  <w:rFonts w:asciiTheme="minorEastAsia" w:eastAsiaTheme="minorEastAsia" w:hAnsiTheme="minorEastAsia" w:hint="eastAsia"/>
                </w:rPr>
                <w:t>本集团因处置部分股权投资等原因丧失了对被投资方的控制权的，在编制合并财务报表时，对于剩余股权，按照其在丧失控制权日的公允价值进行重新计量。处置股权取得的对价与剩余股权公允价值之和，减去按原持股比例计算应享有原有子公司自购买日或合并日开始持续计算的净资产的份额之间的差额，计入丧失控制权当期的投资损益，同时冲减商誉。与原有子公司股权投资相关的其他综合收益等，在丧失控制权时转为当期投资损益。</w:t>
              </w:r>
            </w:p>
            <w:p w14:paraId="32131039" w14:textId="77777777" w:rsidR="007E7472" w:rsidRPr="000B3769" w:rsidRDefault="00EC1269">
              <w:pPr>
                <w:spacing w:beforeLines="50" w:before="156" w:afterLines="50" w:after="156" w:line="360" w:lineRule="exact"/>
                <w:ind w:firstLineChars="200" w:firstLine="420"/>
                <w:jc w:val="both"/>
                <w:rPr>
                  <w:rFonts w:asciiTheme="minorEastAsia" w:eastAsiaTheme="minorEastAsia" w:hAnsiTheme="minorEastAsia"/>
                </w:rPr>
              </w:pPr>
              <w:r w:rsidRPr="000B3769">
                <w:rPr>
                  <w:rFonts w:asciiTheme="minorEastAsia" w:eastAsiaTheme="minorEastAsia" w:hAnsiTheme="minorEastAsia" w:hint="eastAsia"/>
                </w:rPr>
                <w:t>本集团通过多次交易分步处置对子公司股权投资直至丧失控制权的，如果处置对子公司股权投资直至丧失控制权的各项交易属于一揽子交易的，应当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投资损益。</w:t>
              </w:r>
            </w:p>
          </w:sdtContent>
        </w:sdt>
      </w:sdtContent>
    </w:sdt>
    <w:p w14:paraId="20622C75" w14:textId="77777777" w:rsidR="007E7472" w:rsidRPr="000B3769" w:rsidRDefault="00C8327E">
      <w:pPr>
        <w:rPr>
          <w:rFonts w:asciiTheme="minorEastAsia" w:eastAsiaTheme="minorEastAsia" w:hAnsiTheme="minorEastAsia"/>
        </w:rPr>
      </w:pPr>
    </w:p>
    <w:sdt>
      <w:sdtPr>
        <w:rPr>
          <w:rFonts w:asciiTheme="minorEastAsia" w:eastAsiaTheme="minorEastAsia" w:hAnsiTheme="minorEastAsia" w:cs="宋体" w:hint="eastAsia"/>
          <w:b w:val="0"/>
          <w:bCs w:val="0"/>
          <w:kern w:val="0"/>
          <w:szCs w:val="21"/>
        </w:rPr>
        <w:alias w:val="模块:合营安排分类及共同经营会计处理方法"/>
        <w:tag w:val="_GBC_a6643877dd0341e39dee12c064dc6fdc"/>
        <w:id w:val="1439100769"/>
        <w:lock w:val="sdtLocked"/>
        <w:placeholder>
          <w:docPart w:val="GBC22222222222222222222222222222"/>
        </w:placeholder>
      </w:sdtPr>
      <w:sdtEndPr/>
      <w:sdtContent>
        <w:p w14:paraId="71503E7F" w14:textId="77777777" w:rsidR="007E7472" w:rsidRPr="000B3769" w:rsidRDefault="00EC1269" w:rsidP="00162493">
          <w:pPr>
            <w:pStyle w:val="3"/>
            <w:numPr>
              <w:ilvl w:val="0"/>
              <w:numId w:val="46"/>
            </w:numPr>
            <w:rPr>
              <w:rFonts w:asciiTheme="minorEastAsia" w:eastAsiaTheme="minorEastAsia" w:hAnsiTheme="minorEastAsia"/>
              <w:szCs w:val="21"/>
            </w:rPr>
          </w:pPr>
          <w:r w:rsidRPr="000B3769">
            <w:rPr>
              <w:rFonts w:asciiTheme="minorEastAsia" w:eastAsiaTheme="minorEastAsia" w:hAnsiTheme="minorEastAsia" w:hint="eastAsia"/>
              <w:szCs w:val="21"/>
            </w:rPr>
            <w:t>合营安排分类及共同经营会计处理方法</w:t>
          </w:r>
        </w:p>
        <w:sdt>
          <w:sdtPr>
            <w:rPr>
              <w:rFonts w:asciiTheme="minorEastAsia" w:eastAsiaTheme="minorEastAsia" w:hAnsiTheme="minorEastAsia" w:hint="eastAsia"/>
            </w:rPr>
            <w:alias w:val="是否适用：合营安排分类及共同经营会计处理方法[双击切换]"/>
            <w:tag w:val="_GBC_f94c8519453541fe9de852d3064d61d5"/>
            <w:id w:val="-1951616006"/>
            <w:lock w:val="sdtLocked"/>
            <w:placeholder>
              <w:docPart w:val="GBC22222222222222222222222222222"/>
            </w:placeholder>
          </w:sdtPr>
          <w:sdtEndPr/>
          <w:sdtContent>
            <w:p w14:paraId="2E7A7E9B" w14:textId="77777777" w:rsidR="007E7472" w:rsidRPr="000B3769" w:rsidRDefault="00EC1269">
              <w:pPr>
                <w:rPr>
                  <w:rFonts w:asciiTheme="minorEastAsia" w:eastAsiaTheme="minorEastAsia" w:hAnsiTheme="minorEastAsia"/>
                </w:rPr>
              </w:pPr>
              <w:r w:rsidRPr="000B3769">
                <w:rPr>
                  <w:rFonts w:asciiTheme="minorEastAsia" w:eastAsiaTheme="minorEastAsia" w:hAnsiTheme="minorEastAsia"/>
                </w:rPr>
                <w:fldChar w:fldCharType="begin"/>
              </w:r>
              <w:r w:rsidRPr="000B3769">
                <w:rPr>
                  <w:rFonts w:asciiTheme="minorEastAsia" w:eastAsiaTheme="minorEastAsia" w:hAnsiTheme="minorEastAsia" w:hint="eastAsia"/>
                </w:rPr>
                <w:instrText xml:space="preserve"> MACROBUTTON  SnrToggleCheckbox √适用 </w:instrText>
              </w:r>
              <w:r w:rsidRPr="000B3769">
                <w:rPr>
                  <w:rFonts w:asciiTheme="minorEastAsia" w:eastAsiaTheme="minorEastAsia" w:hAnsiTheme="minorEastAsia"/>
                </w:rPr>
                <w:fldChar w:fldCharType="end"/>
              </w:r>
              <w:r w:rsidRPr="000B3769">
                <w:rPr>
                  <w:rFonts w:asciiTheme="minorEastAsia" w:eastAsiaTheme="minorEastAsia" w:hAnsiTheme="minorEastAsia"/>
                </w:rPr>
                <w:fldChar w:fldCharType="begin"/>
              </w:r>
              <w:r w:rsidRPr="000B3769">
                <w:rPr>
                  <w:rFonts w:asciiTheme="minorEastAsia" w:eastAsiaTheme="minorEastAsia" w:hAnsiTheme="minorEastAsia" w:hint="eastAsia"/>
                </w:rPr>
                <w:instrText xml:space="preserve"> MACROBUTTON  SnrToggleCheckbox □不适用 </w:instrText>
              </w:r>
              <w:r w:rsidRPr="000B3769">
                <w:rPr>
                  <w:rFonts w:asciiTheme="minorEastAsia" w:eastAsiaTheme="minorEastAsia" w:hAnsiTheme="minorEastAsia"/>
                </w:rPr>
                <w:fldChar w:fldCharType="end"/>
              </w:r>
            </w:p>
          </w:sdtContent>
        </w:sdt>
        <w:sdt>
          <w:sdtPr>
            <w:rPr>
              <w:rFonts w:asciiTheme="minorEastAsia" w:eastAsiaTheme="minorEastAsia" w:hAnsiTheme="minorEastAsia"/>
            </w:rPr>
            <w:alias w:val="合营安排分类及共同经营会计处理方法"/>
            <w:tag w:val="_GBC_cf67ede4230c4056b34792c6a0db55e2"/>
            <w:id w:val="-687760616"/>
            <w:lock w:val="sdtLocked"/>
            <w:placeholder>
              <w:docPart w:val="GBC22222222222222222222222222222"/>
            </w:placeholder>
          </w:sdtPr>
          <w:sdtEndPr/>
          <w:sdtContent>
            <w:p w14:paraId="2C57CC83" w14:textId="77777777" w:rsidR="007E7472" w:rsidRPr="000B3769" w:rsidRDefault="00EC1269">
              <w:pPr>
                <w:spacing w:beforeLines="50" w:before="156" w:afterLines="50" w:after="156" w:line="360" w:lineRule="exact"/>
                <w:ind w:firstLineChars="200" w:firstLine="420"/>
                <w:jc w:val="both"/>
                <w:rPr>
                  <w:rFonts w:asciiTheme="minorEastAsia" w:eastAsiaTheme="minorEastAsia" w:hAnsiTheme="minorEastAsia"/>
                  <w:b/>
                  <w:bCs/>
                </w:rPr>
              </w:pPr>
              <w:r w:rsidRPr="000B3769">
                <w:rPr>
                  <w:rFonts w:asciiTheme="minorEastAsia" w:eastAsiaTheme="minorEastAsia" w:hAnsiTheme="minorEastAsia" w:hint="eastAsia"/>
                </w:rPr>
                <w:t>本集团的合营安排包括共同经营和合营企业。对于共同经营项目,本集团作为共同经营中的合营方确认单独持有的资产和承担的负债，以及按份额确认持有的资产和承担的负债，根据相关约定单独或按份额确认相关的收入和费用。与共同经营发生购买、销售不构成业务的资产交易的，仅确认因该交易产生的损益中归属于共同经营其他参与方的部分。</w:t>
              </w:r>
            </w:p>
          </w:sdtContent>
        </w:sdt>
      </w:sdtContent>
    </w:sdt>
    <w:p w14:paraId="3F4D8D04" w14:textId="77777777" w:rsidR="007E7472" w:rsidRPr="000B3769" w:rsidRDefault="00C8327E">
      <w:pPr>
        <w:rPr>
          <w:rFonts w:asciiTheme="minorEastAsia" w:eastAsiaTheme="minorEastAsia" w:hAnsiTheme="minorEastAsia"/>
        </w:rPr>
      </w:pPr>
    </w:p>
    <w:sdt>
      <w:sdtPr>
        <w:rPr>
          <w:rFonts w:asciiTheme="minorEastAsia" w:eastAsiaTheme="minorEastAsia" w:hAnsiTheme="minorEastAsia" w:cs="宋体"/>
          <w:b w:val="0"/>
          <w:bCs w:val="0"/>
          <w:kern w:val="0"/>
          <w:szCs w:val="21"/>
        </w:rPr>
        <w:alias w:val="模块:现金及现金等价物的确定标准"/>
        <w:tag w:val="_GBC_9f2dfe6521c4434b9ad3e7bb1a8a52b7"/>
        <w:id w:val="759726518"/>
        <w:placeholder>
          <w:docPart w:val="GBC22222222222222222222222222222"/>
        </w:placeholder>
      </w:sdtPr>
      <w:sdtEndPr>
        <w:rPr>
          <w:rFonts w:hint="eastAsia"/>
        </w:rPr>
      </w:sdtEndPr>
      <w:sdtContent>
        <w:p w14:paraId="1D279A9D" w14:textId="77777777" w:rsidR="007E7472" w:rsidRPr="000B3769" w:rsidRDefault="00EC1269" w:rsidP="00162493">
          <w:pPr>
            <w:pStyle w:val="3"/>
            <w:numPr>
              <w:ilvl w:val="0"/>
              <w:numId w:val="46"/>
            </w:numPr>
            <w:rPr>
              <w:rFonts w:asciiTheme="minorEastAsia" w:eastAsiaTheme="minorEastAsia" w:hAnsiTheme="minorEastAsia"/>
              <w:szCs w:val="21"/>
            </w:rPr>
          </w:pPr>
          <w:r w:rsidRPr="000B3769">
            <w:rPr>
              <w:rFonts w:asciiTheme="minorEastAsia" w:eastAsiaTheme="minorEastAsia" w:hAnsiTheme="minorEastAsia"/>
              <w:szCs w:val="21"/>
            </w:rPr>
            <w:t>现金及现金等价物的确定标准</w:t>
          </w:r>
        </w:p>
        <w:sdt>
          <w:sdtPr>
            <w:rPr>
              <w:rFonts w:asciiTheme="minorEastAsia" w:eastAsiaTheme="minorEastAsia" w:hAnsiTheme="minorEastAsia" w:hint="eastAsia"/>
            </w:rPr>
            <w:alias w:val="现金及现金等价物的确定标准"/>
            <w:tag w:val="_GBC_54f6bc3e44e840bc85cb3872600823b5"/>
            <w:id w:val="-1148968271"/>
            <w:placeholder>
              <w:docPart w:val="GBC22222222222222222222222222222"/>
            </w:placeholder>
          </w:sdtPr>
          <w:sdtEndPr/>
          <w:sdtContent>
            <w:p w14:paraId="13632971" w14:textId="77777777" w:rsidR="007E7472" w:rsidRPr="000B3769" w:rsidRDefault="00EC1269">
              <w:pPr>
                <w:spacing w:beforeLines="50" w:before="156" w:afterLines="50" w:after="156" w:line="360" w:lineRule="exact"/>
                <w:ind w:firstLineChars="200" w:firstLine="420"/>
                <w:jc w:val="both"/>
                <w:rPr>
                  <w:rFonts w:asciiTheme="minorEastAsia" w:eastAsiaTheme="minorEastAsia" w:hAnsiTheme="minorEastAsia"/>
                </w:rPr>
              </w:pPr>
              <w:r w:rsidRPr="000B3769">
                <w:rPr>
                  <w:rFonts w:asciiTheme="minorEastAsia" w:eastAsiaTheme="minorEastAsia" w:hAnsiTheme="minorEastAsia" w:hint="eastAsia"/>
                </w:rPr>
                <w:t>本集团现金流量表之现金指库存现金以及可以随时用于支付的存款。现金流量表之现金等价物指持有期限不超过3个月、流动性强、易于转换为已知金额现金且价值变动风险很小的投资。</w:t>
              </w:r>
            </w:p>
          </w:sdtContent>
        </w:sdt>
      </w:sdtContent>
    </w:sdt>
    <w:p w14:paraId="5E399490" w14:textId="77777777" w:rsidR="007E7472" w:rsidRPr="000B3769" w:rsidRDefault="00C8327E">
      <w:pPr>
        <w:rPr>
          <w:rFonts w:asciiTheme="minorEastAsia" w:eastAsiaTheme="minorEastAsia" w:hAnsiTheme="minorEastAsia"/>
        </w:rPr>
      </w:pPr>
    </w:p>
    <w:sdt>
      <w:sdtPr>
        <w:rPr>
          <w:rFonts w:asciiTheme="minorEastAsia" w:eastAsiaTheme="minorEastAsia" w:hAnsiTheme="minorEastAsia" w:cs="宋体"/>
          <w:b w:val="0"/>
          <w:bCs w:val="0"/>
          <w:kern w:val="0"/>
          <w:szCs w:val="21"/>
        </w:rPr>
        <w:alias w:val="模块:外币业务和外币报表折算"/>
        <w:tag w:val="_GBC_cff1e1487c3242a8a1be0ce9c2b7a554"/>
        <w:id w:val="-629249030"/>
        <w:lock w:val="sdtLocked"/>
        <w:placeholder>
          <w:docPart w:val="GBC22222222222222222222222222222"/>
        </w:placeholder>
      </w:sdtPr>
      <w:sdtEndPr>
        <w:rPr>
          <w:rFonts w:hint="eastAsia"/>
        </w:rPr>
      </w:sdtEndPr>
      <w:sdtContent>
        <w:p w14:paraId="62054136" w14:textId="77777777" w:rsidR="007E7472" w:rsidRPr="000B3769" w:rsidRDefault="00EC1269" w:rsidP="00162493">
          <w:pPr>
            <w:pStyle w:val="3"/>
            <w:numPr>
              <w:ilvl w:val="0"/>
              <w:numId w:val="46"/>
            </w:numPr>
            <w:rPr>
              <w:rFonts w:asciiTheme="minorEastAsia" w:eastAsiaTheme="minorEastAsia" w:hAnsiTheme="minorEastAsia"/>
              <w:szCs w:val="21"/>
            </w:rPr>
          </w:pPr>
          <w:r w:rsidRPr="000B3769">
            <w:rPr>
              <w:rFonts w:asciiTheme="minorEastAsia" w:eastAsiaTheme="minorEastAsia" w:hAnsiTheme="minorEastAsia"/>
              <w:szCs w:val="21"/>
            </w:rPr>
            <w:t>外币业务和外币报表折算</w:t>
          </w:r>
        </w:p>
        <w:sdt>
          <w:sdtPr>
            <w:rPr>
              <w:rFonts w:asciiTheme="minorEastAsia" w:eastAsiaTheme="minorEastAsia" w:hAnsiTheme="minorEastAsia" w:hint="eastAsia"/>
            </w:rPr>
            <w:alias w:val="是否适用：外币业务和外币报表折算[双击切换]"/>
            <w:tag w:val="_GBC_cd1fc5c05f5e49ed9ea2fffe41d0d113"/>
            <w:id w:val="2141073493"/>
            <w:lock w:val="sdtLocked"/>
            <w:placeholder>
              <w:docPart w:val="GBC22222222222222222222222222222"/>
            </w:placeholder>
          </w:sdtPr>
          <w:sdtEndPr/>
          <w:sdtContent>
            <w:p w14:paraId="7EA399D8" w14:textId="77777777" w:rsidR="007E7472" w:rsidRPr="000B3769" w:rsidRDefault="00EC1269">
              <w:pPr>
                <w:rPr>
                  <w:rFonts w:asciiTheme="minorEastAsia" w:eastAsiaTheme="minorEastAsia" w:hAnsiTheme="minorEastAsia"/>
                </w:rPr>
              </w:pPr>
              <w:r w:rsidRPr="000B3769">
                <w:rPr>
                  <w:rFonts w:asciiTheme="minorEastAsia" w:eastAsiaTheme="minorEastAsia" w:hAnsiTheme="minorEastAsia"/>
                </w:rPr>
                <w:fldChar w:fldCharType="begin"/>
              </w:r>
              <w:r w:rsidRPr="000B3769">
                <w:rPr>
                  <w:rFonts w:asciiTheme="minorEastAsia" w:eastAsiaTheme="minorEastAsia" w:hAnsiTheme="minorEastAsia" w:hint="eastAsia"/>
                </w:rPr>
                <w:instrText xml:space="preserve"> MACROBUTTON  SnrToggleCheckbox √适用 </w:instrText>
              </w:r>
              <w:r w:rsidRPr="000B3769">
                <w:rPr>
                  <w:rFonts w:asciiTheme="minorEastAsia" w:eastAsiaTheme="minorEastAsia" w:hAnsiTheme="minorEastAsia"/>
                </w:rPr>
                <w:fldChar w:fldCharType="end"/>
              </w:r>
              <w:r w:rsidRPr="000B3769">
                <w:rPr>
                  <w:rFonts w:asciiTheme="minorEastAsia" w:eastAsiaTheme="minorEastAsia" w:hAnsiTheme="minorEastAsia"/>
                </w:rPr>
                <w:fldChar w:fldCharType="begin"/>
              </w:r>
              <w:r w:rsidRPr="000B3769">
                <w:rPr>
                  <w:rFonts w:asciiTheme="minorEastAsia" w:eastAsiaTheme="minorEastAsia" w:hAnsiTheme="minorEastAsia" w:hint="eastAsia"/>
                </w:rPr>
                <w:instrText xml:space="preserve"> MACROBUTTON  SnrToggleCheckbox □不适用 </w:instrText>
              </w:r>
              <w:r w:rsidRPr="000B3769">
                <w:rPr>
                  <w:rFonts w:asciiTheme="minorEastAsia" w:eastAsiaTheme="minorEastAsia" w:hAnsiTheme="minorEastAsia"/>
                </w:rPr>
                <w:fldChar w:fldCharType="end"/>
              </w:r>
            </w:p>
          </w:sdtContent>
        </w:sdt>
        <w:sdt>
          <w:sdtPr>
            <w:rPr>
              <w:rFonts w:asciiTheme="minorEastAsia" w:eastAsiaTheme="minorEastAsia" w:hAnsiTheme="minorEastAsia" w:hint="eastAsia"/>
            </w:rPr>
            <w:alias w:val="外币业务核算方法"/>
            <w:tag w:val="_GBC_1703fe5fc56b42a8972c0906a4ac6d6b"/>
            <w:id w:val="-1952391741"/>
            <w:lock w:val="sdtLocked"/>
            <w:placeholder>
              <w:docPart w:val="GBC22222222222222222222222222222"/>
            </w:placeholder>
          </w:sdtPr>
          <w:sdtEndPr/>
          <w:sdtContent>
            <w:p w14:paraId="6551DC84" w14:textId="77777777" w:rsidR="007E7472" w:rsidRPr="000B3769" w:rsidRDefault="00EC1269">
              <w:pPr>
                <w:spacing w:beforeLines="50" w:before="156" w:afterLines="50" w:after="156" w:line="360" w:lineRule="exact"/>
                <w:ind w:firstLineChars="200" w:firstLine="420"/>
                <w:jc w:val="both"/>
                <w:rPr>
                  <w:rFonts w:asciiTheme="minorEastAsia" w:eastAsiaTheme="minorEastAsia" w:hAnsiTheme="minorEastAsia"/>
                </w:rPr>
              </w:pPr>
              <w:r w:rsidRPr="000B3769">
                <w:rPr>
                  <w:rFonts w:asciiTheme="minorEastAsia" w:eastAsiaTheme="minorEastAsia" w:hAnsiTheme="minorEastAsia" w:hint="eastAsia"/>
                </w:rPr>
                <w:t>（1）外币交易</w:t>
              </w:r>
            </w:p>
            <w:p w14:paraId="1085A745" w14:textId="77777777" w:rsidR="007E7472" w:rsidRPr="000B3769" w:rsidRDefault="00EC1269">
              <w:pPr>
                <w:spacing w:beforeLines="50" w:before="156" w:afterLines="50" w:after="156" w:line="360" w:lineRule="exact"/>
                <w:ind w:firstLineChars="200" w:firstLine="420"/>
                <w:jc w:val="both"/>
                <w:rPr>
                  <w:rFonts w:asciiTheme="minorEastAsia" w:eastAsiaTheme="minorEastAsia" w:hAnsiTheme="minorEastAsia"/>
                </w:rPr>
              </w:pPr>
              <w:r w:rsidRPr="000B3769">
                <w:rPr>
                  <w:rFonts w:asciiTheme="minorEastAsia" w:eastAsiaTheme="minorEastAsia" w:hAnsiTheme="minorEastAsia" w:hint="eastAsia"/>
                </w:rPr>
                <w:t>本集团外币交易按交易发生日的即期汇率将外币金额折算为人民币金额。于资产负债表日，外币货币性项目采用资产负债表日的即期汇率折算为人民币，所产生的折算差额除了为购建或生产符合资本化条件的资产而借入的外币专门借款产生的汇兑差额按资本化的原则处理外，直接计入当期损益。</w:t>
              </w:r>
            </w:p>
            <w:p w14:paraId="726ECA72" w14:textId="77777777" w:rsidR="007E7472" w:rsidRPr="000B3769" w:rsidRDefault="00EC1269">
              <w:pPr>
                <w:spacing w:beforeLines="50" w:before="156" w:afterLines="50" w:after="156" w:line="360" w:lineRule="exact"/>
                <w:ind w:firstLineChars="200" w:firstLine="420"/>
                <w:jc w:val="both"/>
                <w:rPr>
                  <w:rFonts w:asciiTheme="minorEastAsia" w:eastAsiaTheme="minorEastAsia" w:hAnsiTheme="minorEastAsia"/>
                </w:rPr>
              </w:pPr>
              <w:r w:rsidRPr="000B3769">
                <w:rPr>
                  <w:rFonts w:asciiTheme="minorEastAsia" w:eastAsiaTheme="minorEastAsia" w:hAnsiTheme="minorEastAsia" w:hint="eastAsia"/>
                </w:rPr>
                <w:t>（2）外币财务报表的折算</w:t>
              </w:r>
            </w:p>
            <w:p w14:paraId="1F596317" w14:textId="77777777" w:rsidR="007E7472" w:rsidRPr="000B3769" w:rsidRDefault="00EC1269">
              <w:pPr>
                <w:spacing w:beforeLines="50" w:before="156" w:afterLines="50" w:after="156" w:line="360" w:lineRule="exact"/>
                <w:ind w:firstLineChars="200" w:firstLine="420"/>
                <w:jc w:val="both"/>
                <w:rPr>
                  <w:rFonts w:asciiTheme="minorEastAsia" w:eastAsiaTheme="minorEastAsia" w:hAnsiTheme="minorEastAsia"/>
                </w:rPr>
              </w:pPr>
              <w:r w:rsidRPr="000B3769">
                <w:rPr>
                  <w:rFonts w:asciiTheme="minorEastAsia" w:eastAsiaTheme="minorEastAsia" w:hAnsiTheme="minorEastAsia" w:hint="eastAsia"/>
                </w:rPr>
                <w:t>外币资产负债表中资产、负债类项目采用资产负债表日的即期汇率折算；所有者权益类项目除“未分配利润”外，均按业务发生时的即期汇率折算；利润表中的收入与费用项目，采用平均汇率折算。上述折算产生的外币报表折算差额，在其他综合收益项目中列示。外币现金流量采用现金流量发生日的即期汇率折算。汇率变动对现金的影响额，在现金流量表中单独列示。</w:t>
              </w:r>
            </w:p>
            <w:p w14:paraId="433B1D95" w14:textId="77777777" w:rsidR="007E7472" w:rsidRPr="000B3769" w:rsidRDefault="00EC1269">
              <w:pPr>
                <w:spacing w:beforeLines="50" w:before="156" w:afterLines="50" w:after="156" w:line="360" w:lineRule="exact"/>
                <w:ind w:firstLineChars="200" w:firstLine="420"/>
                <w:jc w:val="both"/>
                <w:rPr>
                  <w:rFonts w:asciiTheme="minorEastAsia" w:eastAsiaTheme="minorEastAsia" w:hAnsiTheme="minorEastAsia"/>
                </w:rPr>
              </w:pPr>
              <w:r w:rsidRPr="000B3769">
                <w:rPr>
                  <w:rFonts w:asciiTheme="minorEastAsia" w:eastAsiaTheme="minorEastAsia" w:hAnsiTheme="minorEastAsia" w:hint="eastAsia"/>
                </w:rPr>
                <w:t>母公司对子公司（境外经营）净投资的外币货币性项目，以母公司或子公司的记账本位币反映的，该外币货币性项目产生的汇兑差额应转入其他综合收益；以母、子公司的记账本位币以外的货币反映的，应将母、子公司此项外币货币性项目产生的汇兑差额相互抵消，差额计入其他综合收益。</w:t>
              </w:r>
            </w:p>
          </w:sdtContent>
        </w:sdt>
      </w:sdtContent>
    </w:sdt>
    <w:sdt>
      <w:sdtPr>
        <w:rPr>
          <w:rFonts w:asciiTheme="minorEastAsia" w:eastAsiaTheme="minorEastAsia" w:hAnsiTheme="minorEastAsia" w:cs="宋体"/>
          <w:b w:val="0"/>
          <w:bCs w:val="0"/>
          <w:kern w:val="0"/>
          <w:szCs w:val="21"/>
        </w:rPr>
        <w:alias w:val="模块:金融工具"/>
        <w:tag w:val="_GBC_4b3a058b038b41689d379e6a2726a904"/>
        <w:id w:val="-1924950613"/>
        <w:lock w:val="sdtLocked"/>
        <w:placeholder>
          <w:docPart w:val="GBC22222222222222222222222222222"/>
        </w:placeholder>
      </w:sdtPr>
      <w:sdtEndPr>
        <w:rPr>
          <w:rFonts w:ascii="宋体" w:eastAsia="宋体" w:hAnsi="宋体" w:hint="eastAsia"/>
        </w:rPr>
      </w:sdtEndPr>
      <w:sdtContent>
        <w:p w14:paraId="4DEAA7C2" w14:textId="77777777" w:rsidR="007E7472" w:rsidRPr="000B3769" w:rsidRDefault="00EC1269" w:rsidP="00162493">
          <w:pPr>
            <w:pStyle w:val="3"/>
            <w:numPr>
              <w:ilvl w:val="0"/>
              <w:numId w:val="46"/>
            </w:numPr>
            <w:rPr>
              <w:rFonts w:asciiTheme="minorEastAsia" w:eastAsiaTheme="minorEastAsia" w:hAnsiTheme="minorEastAsia"/>
              <w:szCs w:val="21"/>
            </w:rPr>
          </w:pPr>
          <w:r w:rsidRPr="000B3769">
            <w:rPr>
              <w:rFonts w:asciiTheme="minorEastAsia" w:eastAsiaTheme="minorEastAsia" w:hAnsiTheme="minorEastAsia"/>
              <w:szCs w:val="21"/>
            </w:rPr>
            <w:t>金融工具</w:t>
          </w:r>
        </w:p>
        <w:sdt>
          <w:sdtPr>
            <w:rPr>
              <w:rFonts w:asciiTheme="minorEastAsia" w:eastAsiaTheme="minorEastAsia" w:hAnsiTheme="minorEastAsia" w:hint="eastAsia"/>
            </w:rPr>
            <w:alias w:val="是否适用：金融工具_重要会计政策和估计[双击切换]"/>
            <w:tag w:val="_GBC_285bdf73a629411f9c5d05731712b876"/>
            <w:id w:val="-1616667642"/>
            <w:lock w:val="sdtLocked"/>
            <w:placeholder>
              <w:docPart w:val="GBC22222222222222222222222222222"/>
            </w:placeholder>
          </w:sdtPr>
          <w:sdtEndPr/>
          <w:sdtContent>
            <w:p w14:paraId="3E329405" w14:textId="77777777" w:rsidR="007E7472" w:rsidRPr="000B3769" w:rsidRDefault="00EC1269">
              <w:pPr>
                <w:rPr>
                  <w:rFonts w:asciiTheme="minorEastAsia" w:eastAsiaTheme="minorEastAsia" w:hAnsiTheme="minorEastAsia"/>
                </w:rPr>
              </w:pPr>
              <w:r w:rsidRPr="000B3769">
                <w:rPr>
                  <w:rFonts w:asciiTheme="minorEastAsia" w:eastAsiaTheme="minorEastAsia" w:hAnsiTheme="minorEastAsia"/>
                </w:rPr>
                <w:fldChar w:fldCharType="begin"/>
              </w:r>
              <w:r w:rsidRPr="000B3769">
                <w:rPr>
                  <w:rFonts w:asciiTheme="minorEastAsia" w:eastAsiaTheme="minorEastAsia" w:hAnsiTheme="minorEastAsia" w:hint="eastAsia"/>
                </w:rPr>
                <w:instrText xml:space="preserve"> MACROBUTTON  SnrToggleCheckbox √适用 </w:instrText>
              </w:r>
              <w:r w:rsidRPr="000B3769">
                <w:rPr>
                  <w:rFonts w:asciiTheme="minorEastAsia" w:eastAsiaTheme="minorEastAsia" w:hAnsiTheme="minorEastAsia"/>
                </w:rPr>
                <w:fldChar w:fldCharType="end"/>
              </w:r>
              <w:r w:rsidRPr="000B3769">
                <w:rPr>
                  <w:rFonts w:asciiTheme="minorEastAsia" w:eastAsiaTheme="minorEastAsia" w:hAnsiTheme="minorEastAsia"/>
                </w:rPr>
                <w:fldChar w:fldCharType="begin"/>
              </w:r>
              <w:r w:rsidRPr="000B3769">
                <w:rPr>
                  <w:rFonts w:asciiTheme="minorEastAsia" w:eastAsiaTheme="minorEastAsia" w:hAnsiTheme="minorEastAsia" w:hint="eastAsia"/>
                </w:rPr>
                <w:instrText xml:space="preserve"> MACROBUTTON  SnrToggleCheckbox □不适用 </w:instrText>
              </w:r>
              <w:r w:rsidRPr="000B3769">
                <w:rPr>
                  <w:rFonts w:asciiTheme="minorEastAsia" w:eastAsiaTheme="minorEastAsia" w:hAnsiTheme="minorEastAsia"/>
                </w:rPr>
                <w:fldChar w:fldCharType="end"/>
              </w:r>
            </w:p>
          </w:sdtContent>
        </w:sdt>
        <w:sdt>
          <w:sdtPr>
            <w:rPr>
              <w:rFonts w:asciiTheme="minorEastAsia" w:eastAsiaTheme="minorEastAsia" w:hAnsiTheme="minorEastAsia" w:hint="eastAsia"/>
            </w:rPr>
            <w:alias w:val="金融资产和金融负债的核算方法"/>
            <w:tag w:val="_GBC_b358067bbe2a49bf880c383a5db50d8a"/>
            <w:id w:val="-477296291"/>
            <w:lock w:val="sdtLocked"/>
            <w:placeholder>
              <w:docPart w:val="GBC22222222222222222222222222222"/>
            </w:placeholder>
          </w:sdtPr>
          <w:sdtEndPr>
            <w:rPr>
              <w:rFonts w:ascii="宋体" w:eastAsia="宋体" w:hAnsi="宋体"/>
            </w:rPr>
          </w:sdtEndPr>
          <w:sdtContent>
            <w:p w14:paraId="356555CA" w14:textId="77777777" w:rsidR="007E7472" w:rsidRPr="000B3769" w:rsidRDefault="00EC1269">
              <w:pPr>
                <w:spacing w:beforeLines="50" w:before="156" w:afterLines="50" w:after="156" w:line="360" w:lineRule="exact"/>
                <w:ind w:firstLineChars="200" w:firstLine="420"/>
                <w:rPr>
                  <w:rFonts w:asciiTheme="minorEastAsia" w:eastAsiaTheme="minorEastAsia" w:hAnsiTheme="minorEastAsia"/>
                </w:rPr>
              </w:pPr>
              <w:r w:rsidRPr="000B3769">
                <w:rPr>
                  <w:rFonts w:asciiTheme="minorEastAsia" w:eastAsiaTheme="minorEastAsia" w:hAnsiTheme="minorEastAsia" w:hint="eastAsia"/>
                </w:rPr>
                <w:t>本集团成为金融工具合同的一方时，确认一项金融资产或金融负债。</w:t>
              </w:r>
            </w:p>
            <w:p w14:paraId="0B98F549" w14:textId="77777777" w:rsidR="007E7472" w:rsidRPr="000B3769" w:rsidRDefault="00EC1269">
              <w:pPr>
                <w:spacing w:beforeLines="50" w:before="156" w:afterLines="50" w:after="156" w:line="360" w:lineRule="exact"/>
                <w:ind w:firstLineChars="200" w:firstLine="420"/>
                <w:jc w:val="both"/>
                <w:rPr>
                  <w:rFonts w:asciiTheme="minorEastAsia" w:eastAsiaTheme="minorEastAsia" w:hAnsiTheme="minorEastAsia"/>
                </w:rPr>
              </w:pPr>
              <w:r w:rsidRPr="000B3769">
                <w:rPr>
                  <w:rFonts w:asciiTheme="minorEastAsia" w:eastAsiaTheme="minorEastAsia" w:hAnsiTheme="minorEastAsia" w:hint="eastAsia"/>
                </w:rPr>
                <w:t>（1）金融资产</w:t>
              </w:r>
            </w:p>
            <w:p w14:paraId="0606AF44" w14:textId="77777777" w:rsidR="007E7472" w:rsidRPr="000B3769" w:rsidRDefault="00EC1269">
              <w:pPr>
                <w:spacing w:beforeLines="50" w:before="156" w:afterLines="50" w:after="156" w:line="360" w:lineRule="exact"/>
                <w:ind w:firstLineChars="200" w:firstLine="420"/>
                <w:jc w:val="both"/>
                <w:rPr>
                  <w:rFonts w:asciiTheme="minorEastAsia" w:eastAsiaTheme="minorEastAsia" w:hAnsiTheme="minorEastAsia"/>
                </w:rPr>
              </w:pPr>
              <w:r w:rsidRPr="000B3769">
                <w:rPr>
                  <w:rFonts w:asciiTheme="minorEastAsia" w:eastAsiaTheme="minorEastAsia" w:hAnsiTheme="minorEastAsia" w:hint="eastAsia"/>
                </w:rPr>
                <w:t>1）金融资产分类、确认依据和计量方法</w:t>
              </w:r>
            </w:p>
            <w:p w14:paraId="497E6A97" w14:textId="77777777" w:rsidR="007E7472" w:rsidRPr="000B3769" w:rsidRDefault="00EC1269">
              <w:pPr>
                <w:spacing w:beforeLines="50" w:before="156" w:afterLines="50" w:after="156" w:line="360" w:lineRule="exact"/>
                <w:ind w:firstLineChars="200" w:firstLine="420"/>
                <w:jc w:val="both"/>
                <w:rPr>
                  <w:rFonts w:asciiTheme="minorEastAsia" w:eastAsiaTheme="minorEastAsia" w:hAnsiTheme="minorEastAsia"/>
                </w:rPr>
              </w:pPr>
              <w:r w:rsidRPr="000B3769">
                <w:rPr>
                  <w:rFonts w:asciiTheme="minorEastAsia" w:eastAsiaTheme="minorEastAsia" w:hAnsiTheme="minorEastAsia" w:hint="eastAsia"/>
                </w:rPr>
                <w:lastRenderedPageBreak/>
                <w:t>本集团根据管理金融资产的业务模式和金融资产的合同现金流特征，将金融资产分类为以摊余成本计量的金融资产、以公允价值计量且其变动计入其他综合收益的金融资产、以公允价值计量且其变动计入当期损益的金融资产。</w:t>
              </w:r>
            </w:p>
            <w:p w14:paraId="11CC071D" w14:textId="77777777" w:rsidR="007E7472" w:rsidRPr="000B3769" w:rsidRDefault="00EC1269">
              <w:pPr>
                <w:spacing w:beforeLines="50" w:before="156" w:afterLines="50" w:after="156" w:line="360" w:lineRule="exact"/>
                <w:ind w:firstLineChars="200" w:firstLine="420"/>
                <w:jc w:val="both"/>
                <w:rPr>
                  <w:rFonts w:asciiTheme="minorEastAsia" w:eastAsiaTheme="minorEastAsia" w:hAnsiTheme="minorEastAsia"/>
                </w:rPr>
              </w:pPr>
              <w:r w:rsidRPr="000B3769">
                <w:rPr>
                  <w:rFonts w:asciiTheme="minorEastAsia" w:eastAsiaTheme="minorEastAsia" w:hAnsiTheme="minorEastAsia" w:hint="eastAsia"/>
                </w:rPr>
                <w:t>本集团将同时符合下列条件的金融资产分类为以摊余成本计量的金融资产：①管理该金融资产的业务模式是持有以收取合同现金流量为目标。②该金融资产的合同条款规定，在特定日期产生的现金流量，仅为对本金和以未偿付本金金额为基础的利息的支付。此类金融资产按照公允价值进行初始计量，相关交易费用计入初始确认金额；以摊余成本进行后续计量。不属于任何套期关系的一部分的该类金融资产，按照实际利率法摊销、减值、汇兑损益以及终止确认时产生的利得或损失，计入当期损益。本集团划分为以摊余成本计量的金融资产包括货币资金、应收票据、应收账款、其他应收款、长期应收款、债权投资、发放贷款及垫款、应收企业借款、应收保理款。</w:t>
              </w:r>
            </w:p>
            <w:p w14:paraId="5B39985C" w14:textId="77777777" w:rsidR="007E7472" w:rsidRPr="000B3769" w:rsidRDefault="00EC1269">
              <w:pPr>
                <w:spacing w:beforeLines="50" w:before="156" w:afterLines="50" w:after="156" w:line="360" w:lineRule="exact"/>
                <w:ind w:firstLineChars="200" w:firstLine="420"/>
                <w:jc w:val="both"/>
                <w:rPr>
                  <w:rFonts w:asciiTheme="minorEastAsia" w:eastAsiaTheme="minorEastAsia" w:hAnsiTheme="minorEastAsia"/>
                </w:rPr>
              </w:pPr>
              <w:r w:rsidRPr="000B3769">
                <w:rPr>
                  <w:rFonts w:asciiTheme="minorEastAsia" w:eastAsiaTheme="minorEastAsia" w:hAnsiTheme="minorEastAsia" w:hint="eastAsia"/>
                </w:rPr>
                <w:t>本集团将同时符合下列条件的金融资产分类为以公允价值计量且其变动计入其他综合收益的金融资产：①管理该金融资产的业务模式既以收取合同现金流量为目标又以出售该金融资产为目标。②该金融资产的合同条款规定，在特定日期产生的现金流量，仅为对本金和以未偿付本金金额为基础的利息的支付。此类金融资产按照公允价值进行初始计量，相关交易费用计入初始确认金额。不属于任何套期关系的一部分的该类金融资产所产生的所有利得或损失，除信用减值损失或利得、汇兑损益和按照实际利率法计算的该金融资产利息之外，所产生的其他利得或损失，均计入其他综合收益；金融资产终止确认时，之前计入其他综合收益的累计利得或损失应当从其他综合收益中转出，计入当期损益。本集团将此类金融资产列报于应收款项融资和其他权益工具投资。</w:t>
              </w:r>
            </w:p>
            <w:p w14:paraId="4B96DD6F" w14:textId="77777777" w:rsidR="007E7472" w:rsidRPr="000B3769" w:rsidRDefault="00EC1269">
              <w:pPr>
                <w:spacing w:beforeLines="50" w:before="156" w:afterLines="50" w:after="156" w:line="360" w:lineRule="exact"/>
                <w:ind w:firstLineChars="200" w:firstLine="420"/>
                <w:jc w:val="both"/>
                <w:rPr>
                  <w:rFonts w:asciiTheme="minorEastAsia" w:eastAsiaTheme="minorEastAsia" w:hAnsiTheme="minorEastAsia"/>
                </w:rPr>
              </w:pPr>
              <w:r w:rsidRPr="000B3769">
                <w:rPr>
                  <w:rFonts w:asciiTheme="minorEastAsia" w:eastAsiaTheme="minorEastAsia" w:hAnsiTheme="minorEastAsia" w:hint="eastAsia"/>
                </w:rPr>
                <w:t>本集团按照实际利率法确认利息收入。利息收入根据金融资产账面余额乘以实际利率计算确定，但下列情况除外：①对于购入或源生的已发生信用减值的金融资产，自初始确认起，按照该金融资产的摊余成本和经信用调整的实际利率计算确定其利息收入。②对于购入或源生的未发生信用减值、但在后续期间成为已发生信用减值的金融资产，在后续期间，按照该金融资产的摊余成本和实际利率计算确定其利息收入。</w:t>
              </w:r>
            </w:p>
            <w:p w14:paraId="75B9C742" w14:textId="77777777" w:rsidR="007E7472" w:rsidRPr="000B3769" w:rsidRDefault="00EC1269">
              <w:pPr>
                <w:spacing w:beforeLines="50" w:before="156" w:afterLines="50" w:after="156" w:line="360" w:lineRule="exact"/>
                <w:ind w:firstLineChars="200" w:firstLine="420"/>
                <w:jc w:val="both"/>
                <w:rPr>
                  <w:rFonts w:asciiTheme="minorEastAsia" w:eastAsiaTheme="minorEastAsia" w:hAnsiTheme="minorEastAsia"/>
                </w:rPr>
              </w:pPr>
              <w:r w:rsidRPr="000B3769">
                <w:rPr>
                  <w:rFonts w:asciiTheme="minorEastAsia" w:eastAsiaTheme="minorEastAsia" w:hAnsiTheme="minorEastAsia" w:hint="eastAsia"/>
                </w:rPr>
                <w:t>本集团将非交易性权益工具投资指定为以公允价值计量且其变动计入其他综合收益的金融资产。该指定一经作出，不得撤销。本集团指定的以公允价值计量且其变动计入其他综合收益的非交易性权益工具投资，按照公允价值进行初始计量，相关交易费用计入初始确认金额；除了获得股利（属于投资成本收回部分的除外）计入当期损益外，其他相关的利得和损失（包括汇兑损益）均计入其他综合收益，且后续不得转入当期损益。当其终止确认时，之前计入其他综合收益的累计利得或损失从其他综合收益中转出，计入留存收益。本集团将此类权益工具投资列报于其他权益工具投资。</w:t>
              </w:r>
            </w:p>
            <w:p w14:paraId="731E2A4E" w14:textId="77777777" w:rsidR="007E7472" w:rsidRPr="000B3769" w:rsidRDefault="00EC1269">
              <w:pPr>
                <w:spacing w:beforeLines="50" w:before="156" w:afterLines="50" w:after="156" w:line="360" w:lineRule="exact"/>
                <w:ind w:firstLineChars="200" w:firstLine="420"/>
                <w:jc w:val="both"/>
                <w:rPr>
                  <w:rFonts w:asciiTheme="minorEastAsia" w:eastAsiaTheme="minorEastAsia" w:hAnsiTheme="minorEastAsia"/>
                </w:rPr>
              </w:pPr>
              <w:r w:rsidRPr="000B3769">
                <w:rPr>
                  <w:rFonts w:asciiTheme="minorEastAsia" w:eastAsiaTheme="minorEastAsia" w:hAnsiTheme="minorEastAsia" w:hint="eastAsia"/>
                </w:rPr>
                <w:t>除上述分类为以摊余成本计量的金融资产和分类为以公允价值计量且其变动计入其他综合收益的金融资产之外的金融资产，本集团将其分类为以公允价值计量且其变动计入当期损益的金融资产。此类金融资产按照公允价值进行初始计量，相关交易费用直接计入当期损益。此类金融资产的利得或损失，包括终止确认时产生的利得或损失，计入当期损益。本集团分类为以公允价值计量且其变动计入当期损益的金融资产包括交易性金融资产和其他非流动金融资产。</w:t>
              </w:r>
            </w:p>
            <w:p w14:paraId="6749F1F0" w14:textId="77777777" w:rsidR="007E7472" w:rsidRPr="000B3769" w:rsidRDefault="00EC1269">
              <w:pPr>
                <w:spacing w:beforeLines="50" w:before="156" w:afterLines="50" w:after="156" w:line="360" w:lineRule="exact"/>
                <w:ind w:firstLineChars="200" w:firstLine="420"/>
                <w:jc w:val="both"/>
                <w:rPr>
                  <w:rFonts w:asciiTheme="minorEastAsia" w:eastAsiaTheme="minorEastAsia" w:hAnsiTheme="minorEastAsia"/>
                </w:rPr>
              </w:pPr>
              <w:r w:rsidRPr="000B3769">
                <w:rPr>
                  <w:rFonts w:asciiTheme="minorEastAsia" w:eastAsiaTheme="minorEastAsia" w:hAnsiTheme="minorEastAsia" w:hint="eastAsia"/>
                </w:rPr>
                <w:lastRenderedPageBreak/>
                <w:t>本集团在非同一控制下的企业合并中确认的或有对价构成金融资产的，该金融资产分类为以公允价值计量且其变动计入当期损益的金融资产。</w:t>
              </w:r>
            </w:p>
            <w:p w14:paraId="1AD36AEB" w14:textId="77777777" w:rsidR="007E7472" w:rsidRPr="000B3769" w:rsidRDefault="00EC1269">
              <w:pPr>
                <w:spacing w:beforeLines="50" w:before="156" w:afterLines="50" w:after="156" w:line="360" w:lineRule="exact"/>
                <w:ind w:firstLineChars="200" w:firstLine="420"/>
                <w:jc w:val="both"/>
                <w:rPr>
                  <w:rFonts w:asciiTheme="minorEastAsia" w:eastAsiaTheme="minorEastAsia" w:hAnsiTheme="minorEastAsia"/>
                </w:rPr>
              </w:pPr>
              <w:r w:rsidRPr="000B3769">
                <w:rPr>
                  <w:rFonts w:asciiTheme="minorEastAsia" w:eastAsiaTheme="minorEastAsia" w:hAnsiTheme="minorEastAsia" w:hint="eastAsia"/>
                </w:rPr>
                <w:t>本集团在改变管理金融资产的业务模式时，对所有受影响的相关金融资产进行重分类。</w:t>
              </w:r>
            </w:p>
            <w:p w14:paraId="3BB96DF9" w14:textId="77777777" w:rsidR="007E7472" w:rsidRPr="000B3769" w:rsidRDefault="00EC1269">
              <w:pPr>
                <w:spacing w:beforeLines="50" w:before="156" w:afterLines="50" w:after="156" w:line="360" w:lineRule="exact"/>
                <w:ind w:firstLineChars="200" w:firstLine="420"/>
                <w:jc w:val="both"/>
                <w:rPr>
                  <w:rFonts w:asciiTheme="minorEastAsia" w:eastAsiaTheme="minorEastAsia" w:hAnsiTheme="minorEastAsia"/>
                </w:rPr>
              </w:pPr>
              <w:r w:rsidRPr="000B3769">
                <w:rPr>
                  <w:rFonts w:asciiTheme="minorEastAsia" w:eastAsiaTheme="minorEastAsia" w:hAnsiTheme="minorEastAsia" w:hint="eastAsia"/>
                </w:rPr>
                <w:t>2）金融资产转移的确认依据和计量方法</w:t>
              </w:r>
            </w:p>
            <w:p w14:paraId="53BCB090" w14:textId="77777777" w:rsidR="007E7472" w:rsidRPr="000B3769" w:rsidRDefault="00EC1269">
              <w:pPr>
                <w:spacing w:beforeLines="50" w:before="156" w:afterLines="50" w:after="156" w:line="360" w:lineRule="exact"/>
                <w:ind w:firstLineChars="200" w:firstLine="420"/>
                <w:jc w:val="both"/>
                <w:rPr>
                  <w:rFonts w:asciiTheme="minorEastAsia" w:eastAsiaTheme="minorEastAsia" w:hAnsiTheme="minorEastAsia"/>
                </w:rPr>
              </w:pPr>
              <w:r w:rsidRPr="000B3769">
                <w:rPr>
                  <w:rFonts w:asciiTheme="minorEastAsia" w:eastAsiaTheme="minorEastAsia" w:hAnsiTheme="minorEastAsia" w:hint="eastAsia"/>
                </w:rPr>
                <w:t>本集团将满足下列条件之一的金融资产予以终止确认：①收取该金融资产现金流量的合同权利终止；②金融资产发生转移，本集团转移了金融资产所有权上几乎所有风险和报酬；③金融资产发生转移，本集团既没有转移也没有保留金融资产所有权上几乎所有风险和报酬，且未保留对该金融资产控制的。</w:t>
              </w:r>
            </w:p>
            <w:p w14:paraId="08CE6C9E" w14:textId="77777777" w:rsidR="007E7472" w:rsidRPr="000B3769" w:rsidRDefault="00EC1269">
              <w:pPr>
                <w:spacing w:beforeLines="50" w:before="156" w:afterLines="50" w:after="156" w:line="360" w:lineRule="exact"/>
                <w:ind w:firstLineChars="200" w:firstLine="420"/>
                <w:jc w:val="both"/>
                <w:rPr>
                  <w:rFonts w:asciiTheme="minorEastAsia" w:eastAsiaTheme="minorEastAsia" w:hAnsiTheme="minorEastAsia"/>
                </w:rPr>
              </w:pPr>
              <w:r w:rsidRPr="000B3769">
                <w:rPr>
                  <w:rFonts w:asciiTheme="minorEastAsia" w:eastAsiaTheme="minorEastAsia" w:hAnsiTheme="minorEastAsia" w:hint="eastAsia"/>
                </w:rPr>
                <w:t>金融资产整体转移满足终止确认条件的，将所转移金融资产在终止确认日的账面价值，与因转移而收到的对价及原直接计入其他综合收益的公允价值变动累计额中对应终止确认部分的金额（涉及转移的金融资产同时符合下列条件：①集团管理该金融资产的业务模式既以收取合同现金流量为目标又以出售该金融资产为目标；②该金融资产的合同条款规定，在特定日期产生的现金流量，仅为对本金和以未偿付本金金额为基础的利息的支付。）之和的差额计入当期损益。</w:t>
              </w:r>
            </w:p>
            <w:p w14:paraId="722996E1" w14:textId="77777777" w:rsidR="007E7472" w:rsidRPr="000B3769" w:rsidRDefault="00EC1269">
              <w:pPr>
                <w:spacing w:beforeLines="50" w:before="156" w:afterLines="50" w:after="156" w:line="360" w:lineRule="exact"/>
                <w:ind w:firstLineChars="200" w:firstLine="420"/>
                <w:jc w:val="both"/>
                <w:rPr>
                  <w:rFonts w:asciiTheme="minorEastAsia" w:eastAsiaTheme="minorEastAsia" w:hAnsiTheme="minorEastAsia"/>
                </w:rPr>
              </w:pPr>
              <w:r w:rsidRPr="000B3769">
                <w:rPr>
                  <w:rFonts w:asciiTheme="minorEastAsia" w:eastAsiaTheme="minorEastAsia" w:hAnsiTheme="minorEastAsia" w:hint="eastAsia"/>
                </w:rPr>
                <w:t>金融资产部分转移满足终止确认条件的，将所转移金融资产整体的账面价值，在终止确认部分和未终止确认部分之间，按照各自的相对公允价值进行分摊，并将因转移而收到的对价及应分摊至终止确认部分的原计入其他综合收益的公允价值变动累计额中对应终止确认部分的金额（涉及转移的金融资产同时符合下列条件：①集团管理该金融资产的业务模式既以收取合同现金流量为目标又以出售该金融资产为目标；②该金融资产的合同条款规定，在特定日期产生的现金流量，仅为对本金和以未偿付本金金额为基础的利息的支付。）之和，与分摊的前述金融资产整体账面价值的差额计入当期损益。</w:t>
              </w:r>
            </w:p>
            <w:p w14:paraId="408E1965" w14:textId="77777777" w:rsidR="007E7472" w:rsidRPr="000B3769" w:rsidRDefault="00EC1269">
              <w:pPr>
                <w:spacing w:beforeLines="50" w:before="156" w:afterLines="50" w:after="156" w:line="360" w:lineRule="exact"/>
                <w:ind w:firstLineChars="200" w:firstLine="420"/>
                <w:jc w:val="both"/>
                <w:rPr>
                  <w:rFonts w:asciiTheme="minorEastAsia" w:eastAsiaTheme="minorEastAsia" w:hAnsiTheme="minorEastAsia"/>
                </w:rPr>
              </w:pPr>
              <w:r w:rsidRPr="000B3769">
                <w:rPr>
                  <w:rFonts w:asciiTheme="minorEastAsia" w:eastAsiaTheme="minorEastAsia" w:hAnsiTheme="minorEastAsia" w:hint="eastAsia"/>
                </w:rPr>
                <w:t>（2）金融负债</w:t>
              </w:r>
            </w:p>
            <w:p w14:paraId="267101A6" w14:textId="77777777" w:rsidR="007E7472" w:rsidRPr="000B3769" w:rsidRDefault="00EC1269">
              <w:pPr>
                <w:spacing w:beforeLines="50" w:before="156" w:afterLines="50" w:after="156" w:line="360" w:lineRule="exact"/>
                <w:ind w:firstLineChars="200" w:firstLine="420"/>
                <w:jc w:val="both"/>
                <w:rPr>
                  <w:rFonts w:asciiTheme="minorEastAsia" w:eastAsiaTheme="minorEastAsia" w:hAnsiTheme="minorEastAsia"/>
                </w:rPr>
              </w:pPr>
              <w:r w:rsidRPr="000B3769">
                <w:rPr>
                  <w:rFonts w:asciiTheme="minorEastAsia" w:eastAsiaTheme="minorEastAsia" w:hAnsiTheme="minorEastAsia" w:hint="eastAsia"/>
                </w:rPr>
                <w:t>1）金融负债分类、确认依据和计量方法</w:t>
              </w:r>
            </w:p>
            <w:p w14:paraId="5858FB7E" w14:textId="77777777" w:rsidR="007E7472" w:rsidRPr="000B3769" w:rsidRDefault="00EC1269">
              <w:pPr>
                <w:spacing w:beforeLines="50" w:before="156" w:afterLines="50" w:after="156" w:line="360" w:lineRule="exact"/>
                <w:ind w:firstLineChars="200" w:firstLine="420"/>
                <w:jc w:val="both"/>
                <w:rPr>
                  <w:rFonts w:asciiTheme="minorEastAsia" w:eastAsiaTheme="minorEastAsia" w:hAnsiTheme="minorEastAsia"/>
                </w:rPr>
              </w:pPr>
              <w:r w:rsidRPr="000B3769">
                <w:rPr>
                  <w:rFonts w:asciiTheme="minorEastAsia" w:eastAsiaTheme="minorEastAsia" w:hAnsiTheme="minorEastAsia" w:hint="eastAsia"/>
                </w:rPr>
                <w:t>除下列各项外，本集团将金融负债分类为以摊余成本计量的金融负债，采用实际利率法，按照摊余成本进行后续计量：</w:t>
              </w:r>
            </w:p>
            <w:p w14:paraId="68B507D5" w14:textId="77777777" w:rsidR="007E7472" w:rsidRPr="000B3769" w:rsidRDefault="00EC1269">
              <w:pPr>
                <w:spacing w:beforeLines="50" w:before="156" w:afterLines="50" w:after="156" w:line="360" w:lineRule="exact"/>
                <w:ind w:firstLineChars="200" w:firstLine="420"/>
                <w:jc w:val="both"/>
                <w:rPr>
                  <w:rFonts w:asciiTheme="minorEastAsia" w:eastAsiaTheme="minorEastAsia" w:hAnsiTheme="minorEastAsia"/>
                </w:rPr>
              </w:pPr>
              <w:r w:rsidRPr="000B3769">
                <w:rPr>
                  <w:rFonts w:asciiTheme="minorEastAsia" w:eastAsiaTheme="minorEastAsia" w:hAnsiTheme="minorEastAsia" w:hint="eastAsia"/>
                </w:rPr>
                <w:t>①以公允价值计量且其变动计入当期损益的金融负债（含属于金融负债的衍生工具），包括交易性金融负债和初始确认时指定为以公允价值计量且其变动计入当期损益的金融负债，此类金融负债按照公允价值进行后续计量，公允价值变动形成的利得或损失以及与该金融负债相关的股利和利息支出计入当期损益。</w:t>
              </w:r>
            </w:p>
            <w:p w14:paraId="03FA6846" w14:textId="77777777" w:rsidR="007E7472" w:rsidRPr="000B3769" w:rsidRDefault="00EC1269">
              <w:pPr>
                <w:spacing w:beforeLines="50" w:before="156" w:afterLines="50" w:after="156" w:line="360" w:lineRule="exact"/>
                <w:ind w:firstLineChars="200" w:firstLine="420"/>
                <w:jc w:val="both"/>
                <w:rPr>
                  <w:rFonts w:asciiTheme="minorEastAsia" w:eastAsiaTheme="minorEastAsia" w:hAnsiTheme="minorEastAsia"/>
                </w:rPr>
              </w:pPr>
              <w:r w:rsidRPr="000B3769">
                <w:rPr>
                  <w:rFonts w:asciiTheme="minorEastAsia" w:eastAsiaTheme="minorEastAsia" w:hAnsiTheme="minorEastAsia" w:hint="eastAsia"/>
                </w:rPr>
                <w:t>②不符合终止确认条件的金融资产转移或继续涉入被转移金融资产所形成的金融负债。此类金融负债，本集团按照金融资产转移相关准则规定进行计量。</w:t>
              </w:r>
            </w:p>
            <w:p w14:paraId="387EFC81" w14:textId="77777777" w:rsidR="007E7472" w:rsidRPr="000B3769" w:rsidRDefault="00EC1269">
              <w:pPr>
                <w:spacing w:beforeLines="50" w:before="156" w:afterLines="50" w:after="156" w:line="360" w:lineRule="exact"/>
                <w:ind w:firstLineChars="200" w:firstLine="420"/>
                <w:jc w:val="both"/>
                <w:rPr>
                  <w:rFonts w:asciiTheme="minorEastAsia" w:eastAsiaTheme="minorEastAsia" w:hAnsiTheme="minorEastAsia"/>
                </w:rPr>
              </w:pPr>
              <w:r w:rsidRPr="000B3769">
                <w:rPr>
                  <w:rFonts w:asciiTheme="minorEastAsia" w:eastAsiaTheme="minorEastAsia" w:hAnsiTheme="minorEastAsia" w:hint="eastAsia"/>
                </w:rPr>
                <w:t>③不属于以上①或②情形的财务担保合同，以及不属于以上①情形的以低于市场利率贷款的贷款承诺。本集团作为此类金融负债的发行方的，在初始确认后按照依据金融工具减值相关准则</w:t>
              </w:r>
              <w:r w:rsidRPr="000B3769">
                <w:rPr>
                  <w:rFonts w:asciiTheme="minorEastAsia" w:eastAsiaTheme="minorEastAsia" w:hAnsiTheme="minorEastAsia" w:hint="eastAsia"/>
                </w:rPr>
                <w:lastRenderedPageBreak/>
                <w:t>规定确定的损失准备金额以及初始确认金额扣除依据收入准则相关规定所确定的累计摊销后的余额孰高进行计量。</w:t>
              </w:r>
            </w:p>
            <w:p w14:paraId="7AA9A7BE" w14:textId="77777777" w:rsidR="007E7472" w:rsidRPr="000B3769" w:rsidRDefault="00EC1269">
              <w:pPr>
                <w:spacing w:beforeLines="50" w:before="156" w:afterLines="50" w:after="156" w:line="360" w:lineRule="exact"/>
                <w:ind w:firstLineChars="200" w:firstLine="420"/>
                <w:jc w:val="both"/>
                <w:rPr>
                  <w:rFonts w:asciiTheme="minorEastAsia" w:eastAsiaTheme="minorEastAsia" w:hAnsiTheme="minorEastAsia"/>
                </w:rPr>
              </w:pPr>
              <w:r w:rsidRPr="000B3769">
                <w:rPr>
                  <w:rFonts w:asciiTheme="minorEastAsia" w:eastAsiaTheme="minorEastAsia" w:hAnsiTheme="minorEastAsia" w:hint="eastAsia"/>
                </w:rPr>
                <w:t>本集团将在非同一控制下的企业合并中作为购买方确认的或有对价形成的金融负债，按照以公允价值计量且其变动计入当期损益进行会计处理。</w:t>
              </w:r>
            </w:p>
            <w:p w14:paraId="59951DC8" w14:textId="77777777" w:rsidR="007E7472" w:rsidRPr="000B3769" w:rsidRDefault="00EC1269">
              <w:pPr>
                <w:spacing w:beforeLines="50" w:before="156" w:afterLines="50" w:after="156" w:line="360" w:lineRule="exact"/>
                <w:ind w:firstLineChars="200" w:firstLine="420"/>
                <w:jc w:val="both"/>
                <w:rPr>
                  <w:rFonts w:asciiTheme="minorEastAsia" w:eastAsiaTheme="minorEastAsia" w:hAnsiTheme="minorEastAsia"/>
                </w:rPr>
              </w:pPr>
              <w:r w:rsidRPr="000B3769">
                <w:rPr>
                  <w:rFonts w:asciiTheme="minorEastAsia" w:eastAsiaTheme="minorEastAsia" w:hAnsiTheme="minorEastAsia" w:hint="eastAsia"/>
                </w:rPr>
                <w:t>2）金融负债终止确认条件</w:t>
              </w:r>
            </w:p>
            <w:p w14:paraId="48A461F0" w14:textId="77777777" w:rsidR="007E7472" w:rsidRPr="000B3769" w:rsidRDefault="00EC1269">
              <w:pPr>
                <w:spacing w:beforeLines="50" w:before="156" w:afterLines="50" w:after="156" w:line="360" w:lineRule="exact"/>
                <w:ind w:firstLineChars="200" w:firstLine="420"/>
                <w:jc w:val="both"/>
                <w:rPr>
                  <w:rFonts w:asciiTheme="minorEastAsia" w:eastAsiaTheme="minorEastAsia" w:hAnsiTheme="minorEastAsia"/>
                </w:rPr>
              </w:pPr>
              <w:r w:rsidRPr="000B3769">
                <w:rPr>
                  <w:rFonts w:asciiTheme="minorEastAsia" w:eastAsiaTheme="minorEastAsia" w:hAnsiTheme="minorEastAsia" w:hint="eastAsia"/>
                </w:rPr>
                <w:t>当金融负债的现时义务全部或部分已经解除时，终止确认该金融负债或义务已解除的全部或其一部分。本集团与债权人之间签订协议，以承担新金融负债方式替换现存金融负债，且新金融负债与现存金融负债的合同条款实质上不同的，终止确认现存金融负债，并同时确认新金融负债。本集团对现存金融负债全部或部分的合同条款作出实质性修改的，终止确认现存金融负债或其一部分，同时将修改条款后的金融负债确认为一项新金融负债。终止确认部分的账面价值与支付的对价之间的差额，计入当期损益。</w:t>
              </w:r>
            </w:p>
            <w:p w14:paraId="654E1DAF" w14:textId="77777777" w:rsidR="007E7472" w:rsidRPr="000B3769" w:rsidRDefault="00EC1269">
              <w:pPr>
                <w:spacing w:beforeLines="50" w:before="156" w:afterLines="50" w:after="156" w:line="360" w:lineRule="exact"/>
                <w:ind w:firstLineChars="200" w:firstLine="420"/>
                <w:jc w:val="both"/>
                <w:rPr>
                  <w:rFonts w:asciiTheme="minorEastAsia" w:eastAsiaTheme="minorEastAsia" w:hAnsiTheme="minorEastAsia"/>
                </w:rPr>
              </w:pPr>
              <w:r w:rsidRPr="000B3769">
                <w:rPr>
                  <w:rFonts w:asciiTheme="minorEastAsia" w:eastAsiaTheme="minorEastAsia" w:hAnsiTheme="minorEastAsia" w:hint="eastAsia"/>
                </w:rPr>
                <w:t>（3）金融资产和金融负债的公允价值确定方法</w:t>
              </w:r>
            </w:p>
            <w:p w14:paraId="00D5B931" w14:textId="77777777" w:rsidR="007E7472" w:rsidRPr="000B3769" w:rsidRDefault="00EC1269">
              <w:pPr>
                <w:spacing w:beforeLines="50" w:before="156" w:afterLines="50" w:after="156" w:line="360" w:lineRule="exact"/>
                <w:ind w:firstLineChars="200" w:firstLine="420"/>
                <w:jc w:val="both"/>
                <w:rPr>
                  <w:rFonts w:asciiTheme="minorEastAsia" w:eastAsiaTheme="minorEastAsia" w:hAnsiTheme="minorEastAsia"/>
                </w:rPr>
              </w:pPr>
              <w:r w:rsidRPr="000B3769">
                <w:rPr>
                  <w:rFonts w:asciiTheme="minorEastAsia" w:eastAsiaTheme="minorEastAsia" w:hAnsiTheme="minorEastAsia" w:hint="eastAsia"/>
                </w:rPr>
                <w:t>本集团以主要市场的价格计量金融资产和金融负债的公允价值，不存在主要市场的，以最有利市场的价格计量金融资产和金融负债的公允价值，并且采用当时适用并且有足够可利用数据和其他信息支持的估值技术。公允价值计量所使用的输入值分为三个层次，即第一层次输入值是计量日能够取得的相同资产或负债在活跃市场上未经调整的报价；第二层次输入值是除第一层次输入值外相关资产或负债直接或间接可观察的输入值；第三层次输入值是相关资产或负债的不可观察输入值。本集团优先使用第一层次输入值，最后再使用第三层次输入值。公允价值计量结果所属的层次，由对公允价值计量整体而言具有重大意义的输入值所属的最低层次决定。</w:t>
              </w:r>
            </w:p>
            <w:p w14:paraId="222E2E85" w14:textId="77777777" w:rsidR="007E7472" w:rsidRPr="000B3769" w:rsidRDefault="00EC1269">
              <w:pPr>
                <w:spacing w:beforeLines="50" w:before="156" w:afterLines="50" w:after="156" w:line="360" w:lineRule="exact"/>
                <w:ind w:firstLineChars="200" w:firstLine="420"/>
                <w:jc w:val="both"/>
                <w:rPr>
                  <w:rFonts w:asciiTheme="minorEastAsia" w:eastAsiaTheme="minorEastAsia" w:hAnsiTheme="minorEastAsia"/>
                </w:rPr>
              </w:pPr>
              <w:r w:rsidRPr="000B3769">
                <w:rPr>
                  <w:rFonts w:asciiTheme="minorEastAsia" w:eastAsiaTheme="minorEastAsia" w:hAnsiTheme="minorEastAsia" w:hint="eastAsia"/>
                </w:rPr>
                <w:t>本集团对权益工具的投资以公允价值计量。但在有限情况下，如果用以确定公允价值的近期信息不足，或者公允价值的可能估计金额分布范围很广，而成本代表了该范围内对公允价值的最佳估计的，该成本可代表其在该分布范围内对公允价值的恰当估计。</w:t>
              </w:r>
            </w:p>
            <w:p w14:paraId="60BB741D" w14:textId="77777777" w:rsidR="007E7472" w:rsidRPr="000B3769" w:rsidRDefault="00EC1269">
              <w:pPr>
                <w:spacing w:beforeLines="50" w:before="156" w:afterLines="50" w:after="156" w:line="360" w:lineRule="exact"/>
                <w:ind w:firstLineChars="200" w:firstLine="420"/>
                <w:jc w:val="both"/>
                <w:rPr>
                  <w:rFonts w:asciiTheme="minorEastAsia" w:eastAsiaTheme="minorEastAsia" w:hAnsiTheme="minorEastAsia"/>
                </w:rPr>
              </w:pPr>
              <w:r w:rsidRPr="000B3769">
                <w:rPr>
                  <w:rFonts w:asciiTheme="minorEastAsia" w:eastAsiaTheme="minorEastAsia" w:hAnsiTheme="minorEastAsia" w:hint="eastAsia"/>
                </w:rPr>
                <w:t>（4）金融资产和金融负债的抵销</w:t>
              </w:r>
            </w:p>
            <w:p w14:paraId="1262730A" w14:textId="77777777" w:rsidR="007E7472" w:rsidRPr="000B3769" w:rsidRDefault="00EC1269">
              <w:pPr>
                <w:spacing w:beforeLines="50" w:before="156" w:afterLines="50" w:after="156" w:line="360" w:lineRule="exact"/>
                <w:ind w:firstLineChars="200" w:firstLine="420"/>
                <w:jc w:val="both"/>
                <w:rPr>
                  <w:rFonts w:asciiTheme="minorEastAsia" w:eastAsiaTheme="minorEastAsia" w:hAnsiTheme="minorEastAsia"/>
                </w:rPr>
              </w:pPr>
              <w:r w:rsidRPr="000B3769">
                <w:rPr>
                  <w:rFonts w:asciiTheme="minorEastAsia" w:eastAsiaTheme="minorEastAsia" w:hAnsiTheme="minorEastAsia" w:hint="eastAsia"/>
                </w:rPr>
                <w:t>本集团的金融资产和金融负债在资产负债表内分别列示，不相互抵销。但同时满足下列条件时，以相互抵销后的净额在资产负债表内列示：（1）本集团具有抵销已确认金额的法定权利，且该种法定权利是当前可执行的；（2）本集团计划以净额结算，或同时变现该金融资产和清偿该金融负债。</w:t>
              </w:r>
            </w:p>
            <w:p w14:paraId="65E3F10A" w14:textId="77777777" w:rsidR="007E7472" w:rsidRPr="000B3769" w:rsidRDefault="00EC1269">
              <w:pPr>
                <w:spacing w:beforeLines="50" w:before="156" w:afterLines="50" w:after="156" w:line="360" w:lineRule="exact"/>
                <w:ind w:firstLineChars="200" w:firstLine="420"/>
                <w:jc w:val="both"/>
                <w:rPr>
                  <w:rFonts w:asciiTheme="minorEastAsia" w:eastAsiaTheme="minorEastAsia" w:hAnsiTheme="minorEastAsia"/>
                </w:rPr>
              </w:pPr>
              <w:r w:rsidRPr="000B3769">
                <w:rPr>
                  <w:rFonts w:asciiTheme="minorEastAsia" w:eastAsiaTheme="minorEastAsia" w:hAnsiTheme="minorEastAsia" w:hint="eastAsia"/>
                </w:rPr>
                <w:t>（5）金融负债与权益工具的区分及相关处理方法</w:t>
              </w:r>
            </w:p>
            <w:p w14:paraId="74A3057D" w14:textId="77777777" w:rsidR="007E7472" w:rsidRPr="000B3769" w:rsidRDefault="00EC1269">
              <w:pPr>
                <w:spacing w:beforeLines="50" w:before="156" w:afterLines="50" w:after="156" w:line="360" w:lineRule="exact"/>
                <w:ind w:firstLineChars="200" w:firstLine="420"/>
                <w:jc w:val="both"/>
                <w:rPr>
                  <w:rFonts w:asciiTheme="minorEastAsia" w:eastAsiaTheme="minorEastAsia" w:hAnsiTheme="minorEastAsia"/>
                </w:rPr>
              </w:pPr>
              <w:r w:rsidRPr="000B3769">
                <w:rPr>
                  <w:rFonts w:asciiTheme="minorEastAsia" w:eastAsiaTheme="minorEastAsia" w:hAnsiTheme="minorEastAsia" w:hint="eastAsia"/>
                </w:rPr>
                <w:t>本集团按照以下原则区分金融负债与权益工具：（1）如果本集团不能无条件地避免以交付现金或其他金融资产来履行一项合同义务，则该合同义务符合金融负债的定义。有些金融工具虽然没有明确地包含交付现金或其他金融资产义务的条款和条件，但有可能通过其他条款和条件间接地形成合同义务。（2）如果一项金融工具须用或可用本集团自身权益工具进行结算，需要考虑用于结算该工具的本集团自身权益工具，是作为现金或其他金融资产的替代品，还是为了使该工具持有方享有在发行方扣除所有负债后的资产中的剩余权益。如果是前者，该工具是发行方的</w:t>
              </w:r>
              <w:r w:rsidRPr="000B3769">
                <w:rPr>
                  <w:rFonts w:asciiTheme="minorEastAsia" w:eastAsiaTheme="minorEastAsia" w:hAnsiTheme="minorEastAsia" w:hint="eastAsia"/>
                </w:rPr>
                <w:lastRenderedPageBreak/>
                <w:t>金融负债；如果是后者，该工具是发行方的权益工具。在某些情况下，一项金融工具合同规定本集团须用或可用自身权益工具结算该金融工具，其中合同权利或合同义务的金额等于可获取或需交付的自身权益工具的数量乘以其结算时的公允价值，则无论该合同权利或义务的金额是固定的，还是完全或部分地基于除本集团自身权益工具的市场价格以外的变量（例如利率、某种商品的价格或某项金融工具的价格）的变动而变动，该合同分类为金融负债。</w:t>
              </w:r>
            </w:p>
            <w:p w14:paraId="2D168C17" w14:textId="77777777" w:rsidR="007E7472" w:rsidRPr="000B3769" w:rsidRDefault="00EC1269">
              <w:pPr>
                <w:spacing w:beforeLines="50" w:before="156" w:afterLines="50" w:after="156" w:line="360" w:lineRule="exact"/>
                <w:ind w:firstLineChars="200" w:firstLine="420"/>
                <w:jc w:val="both"/>
                <w:rPr>
                  <w:rFonts w:asciiTheme="minorEastAsia" w:eastAsiaTheme="minorEastAsia" w:hAnsiTheme="minorEastAsia"/>
                </w:rPr>
              </w:pPr>
              <w:r w:rsidRPr="000B3769">
                <w:rPr>
                  <w:rFonts w:asciiTheme="minorEastAsia" w:eastAsiaTheme="minorEastAsia" w:hAnsiTheme="minorEastAsia" w:hint="eastAsia"/>
                </w:rPr>
                <w:t>本集团在合并报表中对金融工具（或其组成部分）进行分类时，考虑了集团成员和金融工具持有方之间达成的所有条款和条件。如果集团作为一个整体由于该工具而承担了交付现金、其他金融资产或者以其他导致该工具成为金融负债的方式进行结算的义务，则该工具应当分类为金融负债。</w:t>
              </w:r>
            </w:p>
            <w:p w14:paraId="5509159C" w14:textId="77777777" w:rsidR="007E7472" w:rsidRDefault="00EC1269">
              <w:pPr>
                <w:spacing w:beforeLines="50" w:before="156" w:afterLines="50" w:after="156" w:line="360" w:lineRule="exact"/>
                <w:ind w:firstLineChars="200" w:firstLine="420"/>
                <w:jc w:val="both"/>
              </w:pPr>
              <w:r w:rsidRPr="000B3769">
                <w:rPr>
                  <w:rFonts w:asciiTheme="minorEastAsia" w:eastAsiaTheme="minorEastAsia" w:hAnsiTheme="minorEastAsia" w:hint="eastAsia"/>
                </w:rPr>
                <w:t>金融工具或其组成部分属于金融负债的，相关利息、股利（或股息）、利得或损失，以及赎回或再融资产生的利得或损失等，本集</w:t>
              </w:r>
              <w:r>
                <w:rPr>
                  <w:rFonts w:hint="eastAsia"/>
                </w:rPr>
                <w:t>团计入当期损益。</w:t>
              </w:r>
            </w:p>
            <w:p w14:paraId="588EF7E8" w14:textId="77777777" w:rsidR="007E7472" w:rsidRDefault="00EC1269">
              <w:pPr>
                <w:spacing w:beforeLines="50" w:before="156" w:afterLines="50" w:after="156" w:line="360" w:lineRule="exact"/>
                <w:ind w:firstLineChars="200" w:firstLine="420"/>
                <w:jc w:val="both"/>
              </w:pPr>
              <w:r>
                <w:rPr>
                  <w:rFonts w:hint="eastAsia"/>
                </w:rPr>
                <w:t>金融工具或其组成部分属于权益工具的，其发行（含再融资）、回购、出售或注销时，本集团作为权益的变动处理。本集团不确认权益工具的公允价值变动，与权益性交易相关的交易费用从权益中扣减。本集团对权益工具持有方的分配作为利润分配处理，发放的股票股利不影响股东权益总额。</w:t>
              </w:r>
            </w:p>
            <w:p w14:paraId="7FC9713E" w14:textId="77777777" w:rsidR="007E7472" w:rsidRDefault="00EC1269">
              <w:pPr>
                <w:spacing w:beforeLines="50" w:before="156" w:afterLines="50" w:after="156" w:line="360" w:lineRule="exact"/>
                <w:ind w:firstLineChars="200" w:firstLine="420"/>
                <w:jc w:val="both"/>
              </w:pPr>
              <w:r>
                <w:rPr>
                  <w:rFonts w:hint="eastAsia"/>
                </w:rPr>
                <w:t>本集团分类为权益工具的为其他权益工具中的永续债。</w:t>
              </w:r>
            </w:p>
            <w:p w14:paraId="6E0A624A" w14:textId="77777777" w:rsidR="007E7472" w:rsidRDefault="00EC1269">
              <w:pPr>
                <w:spacing w:beforeLines="50" w:before="156" w:afterLines="50" w:after="156" w:line="360" w:lineRule="exact"/>
                <w:ind w:firstLineChars="200" w:firstLine="420"/>
                <w:jc w:val="both"/>
              </w:pPr>
              <w:r>
                <w:rPr>
                  <w:rFonts w:hint="eastAsia"/>
                </w:rPr>
                <w:t>（6）金融工具的减值</w:t>
              </w:r>
            </w:p>
            <w:p w14:paraId="1F699A02" w14:textId="77777777" w:rsidR="007E7472" w:rsidRDefault="00EC1269">
              <w:pPr>
                <w:spacing w:beforeLines="50" w:before="156" w:afterLines="50" w:after="156" w:line="360" w:lineRule="exact"/>
                <w:ind w:firstLineChars="200" w:firstLine="420"/>
                <w:jc w:val="both"/>
              </w:pPr>
              <w:r>
                <w:rPr>
                  <w:rFonts w:hint="eastAsia"/>
                </w:rPr>
                <w:t>本集团以预期信用损失为基础，对下列项目进行减值会计处理并确认损失准备：①以摊余成本计量的金融资产；②以公允价值计量且其变动计入其他综合收益的金融资产（涉及的金融资产同时符合下列条件：集团管理该金融资产的业务模式是以收取合同现金流量为目标；该金融资产的合同条款规定，在特定日期产生的现金流，仅为对本金金额为基础的利息的支付。）；③租赁应收款；④合同资产。</w:t>
              </w:r>
            </w:p>
            <w:p w14:paraId="31461293" w14:textId="77777777" w:rsidR="007E7472" w:rsidRDefault="00EC1269">
              <w:pPr>
                <w:spacing w:beforeLines="50" w:before="156" w:afterLines="50" w:after="156" w:line="360" w:lineRule="exact"/>
                <w:ind w:firstLineChars="200" w:firstLine="420"/>
                <w:jc w:val="both"/>
              </w:pPr>
              <w:r>
                <w:rPr>
                  <w:rFonts w:hint="eastAsia"/>
                </w:rPr>
                <w:t>预期信用损失，是指以发生违约的风险为权重的金融工具信用损失的加权平均值。信用损失，是指本集团按照原实际利率折现的、根据合同应收的所有合同现金流量与预期收取的所有现金流量之间的差额，即全部现金短缺的现值。</w:t>
              </w:r>
            </w:p>
            <w:p w14:paraId="68434EB1" w14:textId="77777777" w:rsidR="007E7472" w:rsidRDefault="00EC1269">
              <w:pPr>
                <w:spacing w:beforeLines="50" w:before="156" w:afterLines="50" w:after="156" w:line="360" w:lineRule="exact"/>
                <w:ind w:firstLineChars="200" w:firstLine="420"/>
                <w:jc w:val="both"/>
              </w:pPr>
              <w:r>
                <w:rPr>
                  <w:rFonts w:hint="eastAsia"/>
                </w:rPr>
                <w:t>本集团对于下列各项目，始终按照相当于整个存续期内预期信用损失的金额计量其损失准备：①《企业会计准则第14号-收入准则》规范的交易形成应收款项或合同资产损失准备，无论该项目是否包含重大融资成分。②应收融资租赁款。</w:t>
              </w:r>
            </w:p>
            <w:p w14:paraId="792ECC77" w14:textId="77777777" w:rsidR="007E7472" w:rsidRDefault="00EC1269">
              <w:pPr>
                <w:spacing w:beforeLines="50" w:before="156" w:afterLines="50" w:after="156" w:line="360" w:lineRule="exact"/>
                <w:ind w:firstLineChars="200" w:firstLine="420"/>
                <w:jc w:val="both"/>
              </w:pPr>
              <w:r>
                <w:rPr>
                  <w:rFonts w:hint="eastAsia"/>
                </w:rPr>
                <w:t>除上述项目外，对其他项目，本集团按照下列情形计量损失准备：①信用风险自初始确认后未显著增加的金融工具，本集团按照未来12个月的预期信用损失的金额计量损失准备；②信用风险自初始确认后已显著增加的金融工具，本集团按照相当于该金融工具整个存续期内预期信用损失的金额计量损失准备；③购买或源生已发生信用减值的金融工具，本集团按照相当于整个存续期内预期信用损失的金额计量损失准备。</w:t>
              </w:r>
            </w:p>
            <w:p w14:paraId="1366EE37" w14:textId="77777777" w:rsidR="007E7472" w:rsidRDefault="00EC1269">
              <w:pPr>
                <w:spacing w:beforeLines="50" w:before="156" w:afterLines="50" w:after="156" w:line="360" w:lineRule="exact"/>
                <w:ind w:firstLineChars="200" w:firstLine="420"/>
                <w:jc w:val="both"/>
              </w:pPr>
              <w:r>
                <w:rPr>
                  <w:rFonts w:hint="eastAsia"/>
                </w:rPr>
                <w:lastRenderedPageBreak/>
                <w:t>以公允价值计量且其变动计入其他综合收益的金融资产（涉及的金融资产同时符合下列条件：集团管理该金融资产的业务模式是以收取合同现金流量为目标；该金融资产的合同条款规定，在特定日期产生的现金流，仅为对本金金额为基础的利息的支付。），本集团在其他综合收益中确认其信用损失准备，并将减值损失或利得计入当期损益，不减少该金融资产在资产负债表中列示的账面价值。除此之外的金融工具的信用损失准备的增加或转回金额，作为减值损失或利得计入当期损益。</w:t>
              </w:r>
            </w:p>
            <w:p w14:paraId="6ECD668E" w14:textId="77777777" w:rsidR="007E7472" w:rsidRDefault="00EC1269">
              <w:pPr>
                <w:spacing w:beforeLines="50" w:before="156" w:afterLines="50" w:after="156" w:line="360" w:lineRule="exact"/>
                <w:ind w:firstLineChars="200" w:firstLine="420"/>
                <w:jc w:val="both"/>
              </w:pPr>
              <w:r>
                <w:rPr>
                  <w:rFonts w:hint="eastAsia"/>
                </w:rPr>
                <w:t>1）对信用风险显著增加的评估</w:t>
              </w:r>
            </w:p>
            <w:p w14:paraId="58E446BA" w14:textId="77777777" w:rsidR="007E7472" w:rsidRDefault="00EC1269">
              <w:pPr>
                <w:spacing w:beforeLines="50" w:before="156" w:afterLines="50" w:after="156" w:line="360" w:lineRule="exact"/>
                <w:ind w:firstLineChars="200" w:firstLine="420"/>
                <w:jc w:val="both"/>
              </w:pPr>
              <w:r>
                <w:rPr>
                  <w:rFonts w:hint="eastAsia"/>
                </w:rPr>
                <w:t>本集团通过比较金融工具在初始确认时所确定的预计存续期内的违约概率和该工具在资产负债表日所确定的预计存续期内的违约概率，来判定金融工具信用风险是否显著增加。但是，如果本集团确定金融工具在资产负债表日只具有较低的信用风险的，可以假设该金融工具的信用风险自初始确认后并未显著增加。通常情况下，如果逾期超过30日，则表明金融工具的信用风险已经显著增加。除非本集团在无须付出不必要的额外成本或努力的情况下即可获得合理且有依据的信息，证明即使逾期超过30日，信用风险自初始确认后仍未显著增加。在确定信用风险自初始确认后是否显著增加时，本集团考虑无须付出不必要的额外成本或努力即可获得的合理且有依据的信息，包括前瞻性信息。</w:t>
              </w:r>
            </w:p>
            <w:p w14:paraId="487A3233" w14:textId="77777777" w:rsidR="007E7472" w:rsidRDefault="00EC1269">
              <w:pPr>
                <w:spacing w:beforeLines="50" w:before="156" w:afterLines="50" w:after="156" w:line="360" w:lineRule="exact"/>
                <w:ind w:firstLineChars="200" w:firstLine="420"/>
                <w:jc w:val="both"/>
              </w:pPr>
              <w:r>
                <w:rPr>
                  <w:rFonts w:hint="eastAsia"/>
                </w:rPr>
                <w:t>以组合为基础的评估。如果本集团在单项工具层面无法以合理成本获得关于信用风险显著增加的充分证据，而在组合的基础上评估信用风险是否显著增加是可行的，本集团将按照金融工具共同信用风险特征，对其进行分组并以组合为基础考虑评估信用风险是否显著增加。</w:t>
              </w:r>
            </w:p>
            <w:p w14:paraId="12E4A632" w14:textId="77777777" w:rsidR="007E7472" w:rsidRDefault="00EC1269">
              <w:pPr>
                <w:spacing w:beforeLines="50" w:before="156" w:afterLines="50" w:after="156" w:line="360" w:lineRule="exact"/>
                <w:ind w:firstLineChars="200" w:firstLine="420"/>
                <w:jc w:val="both"/>
              </w:pPr>
              <w:r>
                <w:rPr>
                  <w:rFonts w:hint="eastAsia"/>
                </w:rPr>
                <w:t>2）预期信用损失的计量</w:t>
              </w:r>
            </w:p>
            <w:p w14:paraId="68C89392" w14:textId="77777777" w:rsidR="007E7472" w:rsidRDefault="00EC1269">
              <w:pPr>
                <w:spacing w:beforeLines="50" w:before="156" w:afterLines="50" w:after="156" w:line="360" w:lineRule="exact"/>
                <w:ind w:firstLineChars="200" w:firstLine="420"/>
                <w:jc w:val="both"/>
              </w:pPr>
              <w:r>
                <w:rPr>
                  <w:rFonts w:hint="eastAsia"/>
                </w:rPr>
                <w:t>考虑预期信用损失计量方法应反映的要素：①通过评价一系列可能的结果而确定的无偏概率加权平均金额；②货币时间价值；③在资产负债表日无须付出不必要的额外成本或即可获得的有关过去事项、当前状况以及未来经济状况预测的合理且有依据的信息。</w:t>
              </w:r>
            </w:p>
            <w:p w14:paraId="71D225D9" w14:textId="77777777" w:rsidR="007E7472" w:rsidRDefault="00EC1269">
              <w:pPr>
                <w:spacing w:beforeLines="50" w:before="156" w:afterLines="50" w:after="156" w:line="360" w:lineRule="exact"/>
                <w:ind w:firstLineChars="200" w:firstLine="420"/>
                <w:jc w:val="both"/>
              </w:pPr>
              <w:r>
                <w:rPr>
                  <w:rFonts w:hint="eastAsia"/>
                </w:rPr>
                <w:t>本集团对租赁应收款及财务担保合同在单项资产或合同的基础上确定其信用损失。</w:t>
              </w:r>
            </w:p>
            <w:p w14:paraId="2602DF8F" w14:textId="77777777" w:rsidR="007E7472" w:rsidRDefault="00EC1269">
              <w:pPr>
                <w:spacing w:beforeLines="50" w:before="156" w:afterLines="50" w:after="156" w:line="360" w:lineRule="exact"/>
                <w:ind w:firstLineChars="200" w:firstLine="420"/>
                <w:jc w:val="both"/>
              </w:pPr>
              <w:r>
                <w:rPr>
                  <w:rFonts w:hint="eastAsia"/>
                </w:rPr>
                <w:t>对应收账款与合同资产，本集团除对单项金额重大且已发生信用减值的款项单独确定其信用损失外，其余在组合的基础上，考虑预期信用损失计量方法应反映的要素，参考历史信用损失经验，编制应收账款逾期天数/应收账款账龄与违约损失率对照表，以此为基础计算预期信用损失。</w:t>
              </w:r>
            </w:p>
            <w:p w14:paraId="57472FD0" w14:textId="77777777" w:rsidR="007E7472" w:rsidRDefault="00EC1269">
              <w:pPr>
                <w:spacing w:beforeLines="50" w:before="156" w:afterLines="50" w:after="156" w:line="360" w:lineRule="exact"/>
                <w:ind w:firstLineChars="200" w:firstLine="420"/>
                <w:jc w:val="both"/>
              </w:pPr>
              <w:r>
                <w:rPr>
                  <w:rFonts w:hint="eastAsia"/>
                </w:rPr>
                <w:t>对于其他以摊余成本计量的金融资产及分类为以公允价值计量且其变动计入其他综合收益的金融资产（涉及的金融资产同时符合下列条件：集团管理该金融资产的业务模式是以收取合同现金流量为目标；该金融资产的合同条款规定，在特定日期产生的现金流，仅为对本金金额为基础的利息的支付。），除对单项金额重大的款项单独确定其信用损失外，本集团在组合基础上确定其信用损失。</w:t>
              </w:r>
            </w:p>
            <w:p w14:paraId="6102279C" w14:textId="77777777" w:rsidR="007E7472" w:rsidRDefault="00EC1269">
              <w:pPr>
                <w:spacing w:beforeLines="50" w:before="156" w:afterLines="50" w:after="156" w:line="360" w:lineRule="exact"/>
                <w:ind w:firstLineChars="200" w:firstLine="420"/>
                <w:jc w:val="both"/>
              </w:pPr>
              <w:r>
                <w:rPr>
                  <w:rFonts w:hint="eastAsia"/>
                </w:rPr>
                <w:t>本集团以共同信用风险特征为依据，将金融工具分为不同组别。本集团采用的共同信用风险特征包括：账龄、信用风险评级、款项性质、与本集团关联关系等。</w:t>
              </w:r>
            </w:p>
            <w:p w14:paraId="2AB67ED7" w14:textId="77777777" w:rsidR="007E7472" w:rsidRDefault="00EC1269">
              <w:pPr>
                <w:spacing w:beforeLines="50" w:before="156" w:afterLines="50" w:after="156" w:line="360" w:lineRule="exact"/>
                <w:ind w:firstLineChars="200" w:firstLine="420"/>
                <w:jc w:val="both"/>
              </w:pPr>
              <w:r>
                <w:rPr>
                  <w:rFonts w:hint="eastAsia"/>
                </w:rPr>
                <w:lastRenderedPageBreak/>
                <w:t>本集团按照下列方法确定相关金融工具的预期信用损失：信用损失为本集团应收取的合同现金流量与预期收取的现金流量之间差额的现值。</w:t>
              </w:r>
            </w:p>
          </w:sdtContent>
        </w:sdt>
      </w:sdtContent>
    </w:sdt>
    <w:p w14:paraId="362CB88D" w14:textId="77777777" w:rsidR="007E7472" w:rsidRDefault="00C8327E"/>
    <w:sdt>
      <w:sdtPr>
        <w:rPr>
          <w:rFonts w:ascii="宋体" w:hAnsi="宋体" w:cs="宋体" w:hint="eastAsia"/>
          <w:b w:val="0"/>
          <w:bCs w:val="0"/>
          <w:kern w:val="0"/>
          <w:sz w:val="20"/>
          <w:szCs w:val="21"/>
        </w:rPr>
        <w:alias w:val="模块:应收票据应收票据的预期信用损失的确定方法及会计处理方法"/>
        <w:tag w:val="_SEC_fe6dfe1a730f4d3183b25ca057cb8f6a"/>
        <w:id w:val="497623512"/>
        <w:lock w:val="sdtLocked"/>
        <w:placeholder>
          <w:docPart w:val="GBC22222222222222222222222222222"/>
        </w:placeholder>
      </w:sdtPr>
      <w:sdtEndPr>
        <w:rPr>
          <w:rFonts w:hint="default"/>
        </w:rPr>
      </w:sdtEndPr>
      <w:sdtContent>
        <w:p w14:paraId="6CB0C6C5" w14:textId="77777777" w:rsidR="007E7472" w:rsidRDefault="00EC1269" w:rsidP="00162493">
          <w:pPr>
            <w:pStyle w:val="3"/>
            <w:numPr>
              <w:ilvl w:val="0"/>
              <w:numId w:val="46"/>
            </w:numPr>
          </w:pPr>
          <w:r>
            <w:rPr>
              <w:rFonts w:hint="eastAsia"/>
            </w:rPr>
            <w:t>应收票据</w:t>
          </w:r>
        </w:p>
        <w:p w14:paraId="54C673B1" w14:textId="77777777" w:rsidR="007E7472" w:rsidRPr="000B3769" w:rsidRDefault="00EC1269" w:rsidP="007E7472">
          <w:pPr>
            <w:rPr>
              <w:b/>
            </w:rPr>
          </w:pPr>
          <w:r w:rsidRPr="000B3769">
            <w:rPr>
              <w:rFonts w:hint="eastAsia"/>
              <w:b/>
            </w:rPr>
            <w:t>应收票据的预期信用损失的确定方法及会计处理方法</w:t>
          </w:r>
        </w:p>
        <w:sdt>
          <w:sdtPr>
            <w:alias w:val="是否适用：应收票据的预期信用损失的确定方法及会计处理方法[双击切换]"/>
            <w:tag w:val="_GBC_ba8bc88e72f44e2da5528a3b21ae6dd5"/>
            <w:id w:val="623113196"/>
            <w:lock w:val="sdtLocked"/>
            <w:placeholder>
              <w:docPart w:val="GBC22222222222222222222222222222"/>
            </w:placeholder>
          </w:sdtPr>
          <w:sdtEndPr/>
          <w:sdtContent>
            <w:p w14:paraId="5C513E84" w14:textId="77777777" w:rsidR="007E7472" w:rsidRDefault="00EC1269">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Content>
    </w:sdt>
    <w:p w14:paraId="33D83967" w14:textId="77777777" w:rsidR="007E7472" w:rsidRDefault="00C8327E"/>
    <w:sdt>
      <w:sdtPr>
        <w:rPr>
          <w:rFonts w:ascii="宋体" w:hAnsi="宋体" w:cs="宋体" w:hint="eastAsia"/>
          <w:b w:val="0"/>
          <w:bCs w:val="0"/>
          <w:kern w:val="0"/>
          <w:sz w:val="20"/>
          <w:szCs w:val="21"/>
        </w:rPr>
        <w:alias w:val="模块:应收账款应收账款的预期信用损失的确定方法及会计处理方法"/>
        <w:tag w:val="_SEC_6a9a70c8b5914d5d85ea9b8f86eb6ec8"/>
        <w:id w:val="1171069255"/>
        <w:lock w:val="sdtLocked"/>
        <w:placeholder>
          <w:docPart w:val="GBC22222222222222222222222222222"/>
        </w:placeholder>
      </w:sdtPr>
      <w:sdtEndPr>
        <w:rPr>
          <w:rFonts w:hint="default"/>
        </w:rPr>
      </w:sdtEndPr>
      <w:sdtContent>
        <w:p w14:paraId="091EEA08" w14:textId="77777777" w:rsidR="007E7472" w:rsidRDefault="00EC1269" w:rsidP="00162493">
          <w:pPr>
            <w:pStyle w:val="3"/>
            <w:numPr>
              <w:ilvl w:val="0"/>
              <w:numId w:val="46"/>
            </w:numPr>
          </w:pPr>
          <w:r>
            <w:rPr>
              <w:rFonts w:hint="eastAsia"/>
            </w:rPr>
            <w:t>应收账款</w:t>
          </w:r>
        </w:p>
        <w:p w14:paraId="0204DE92" w14:textId="77777777" w:rsidR="007E7472" w:rsidRPr="000B3769" w:rsidRDefault="00EC1269">
          <w:pPr>
            <w:rPr>
              <w:b/>
            </w:rPr>
          </w:pPr>
          <w:r w:rsidRPr="000B3769">
            <w:rPr>
              <w:rFonts w:hint="eastAsia"/>
              <w:b/>
            </w:rPr>
            <w:t>应收账款的预期信用损失的确定方法及会计处理方法</w:t>
          </w:r>
        </w:p>
        <w:sdt>
          <w:sdtPr>
            <w:alias w:val="是否适用：应收账款的预期信用损失的确定方法及会计处理方法[双击切换]"/>
            <w:tag w:val="_GBC_85321f727b7446de9dc351948c740baa"/>
            <w:id w:val="-1251729246"/>
            <w:lock w:val="sdtLocked"/>
            <w:placeholder>
              <w:docPart w:val="GBC22222222222222222222222222222"/>
            </w:placeholder>
          </w:sdtPr>
          <w:sdtEndPr/>
          <w:sdtContent>
            <w:p w14:paraId="0FDB3A38" w14:textId="77777777" w:rsidR="007E7472" w:rsidRDefault="00EC1269">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Content>
    </w:sdt>
    <w:p w14:paraId="68552C24" w14:textId="77777777" w:rsidR="007E7472" w:rsidRDefault="00C8327E"/>
    <w:sdt>
      <w:sdtPr>
        <w:rPr>
          <w:rFonts w:ascii="宋体" w:hAnsi="宋体" w:cs="宋体" w:hint="eastAsia"/>
          <w:b w:val="0"/>
          <w:bCs w:val="0"/>
          <w:kern w:val="0"/>
          <w:szCs w:val="24"/>
        </w:rPr>
        <w:alias w:val="模块:应收款项融资"/>
        <w:tag w:val="_SEC_6779da9334294ce2a6d1ffc1b4a6e588"/>
        <w:id w:val="-1585995288"/>
        <w:lock w:val="sdtLocked"/>
        <w:placeholder>
          <w:docPart w:val="GBC22222222222222222222222222222"/>
        </w:placeholder>
      </w:sdtPr>
      <w:sdtEndPr>
        <w:rPr>
          <w:rFonts w:hint="default"/>
          <w:szCs w:val="21"/>
        </w:rPr>
      </w:sdtEndPr>
      <w:sdtContent>
        <w:p w14:paraId="268B61F5" w14:textId="77777777" w:rsidR="007E7472" w:rsidRDefault="00EC1269" w:rsidP="00162493">
          <w:pPr>
            <w:pStyle w:val="3"/>
            <w:numPr>
              <w:ilvl w:val="0"/>
              <w:numId w:val="46"/>
            </w:numPr>
          </w:pPr>
          <w:r>
            <w:rPr>
              <w:rFonts w:hint="eastAsia"/>
            </w:rPr>
            <w:t>应收款项融资</w:t>
          </w:r>
        </w:p>
        <w:bookmarkStart w:id="139" w:name="_Hlk11675626" w:displacedByCustomXml="next"/>
        <w:sdt>
          <w:sdtPr>
            <w:alias w:val="是否适用：应收款项融资_重要会计政策和估计[双击切换]"/>
            <w:tag w:val="_GBC_02210df6587d4e47b6149386c3665a46"/>
            <w:id w:val="412126718"/>
            <w:lock w:val="sdtLocked"/>
            <w:placeholder>
              <w:docPart w:val="GBC22222222222222222222222222222"/>
            </w:placeholder>
          </w:sdtPr>
          <w:sdtEndPr/>
          <w:sdtContent>
            <w:p w14:paraId="4C39B7AA" w14:textId="77777777" w:rsidR="007E7472" w:rsidRDefault="00EC1269">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alias w:val="应收款项融资的核算方法"/>
            <w:tag w:val="_GBC_3d9742ff6b694e4d9e006762ef5f07f0"/>
            <w:id w:val="1570459089"/>
            <w:lock w:val="sdtLocked"/>
            <w:placeholder>
              <w:docPart w:val="GBC22222222222222222222222222222"/>
            </w:placeholder>
          </w:sdtPr>
          <w:sdtEndPr/>
          <w:sdtContent>
            <w:sdt>
              <w:sdtPr>
                <w:alias w:val="应收款项融资的核算方法"/>
                <w:tag w:val="_GBC_27b64041746346078945e1a510603b07"/>
                <w:id w:val="-1667154328"/>
                <w:lock w:val="sdtLocked"/>
              </w:sdtPr>
              <w:sdtEndPr/>
              <w:sdtContent>
                <w:p w14:paraId="5D47CF6B" w14:textId="77777777" w:rsidR="007E7472" w:rsidRDefault="00EC1269">
                  <w:pPr>
                    <w:spacing w:beforeLines="50" w:before="156" w:afterLines="50" w:after="156" w:line="360" w:lineRule="exact"/>
                    <w:ind w:firstLineChars="200" w:firstLine="420"/>
                    <w:jc w:val="both"/>
                  </w:pPr>
                  <w:r>
                    <w:rPr>
                      <w:rFonts w:hint="eastAsia"/>
                    </w:rPr>
                    <w:t>应收款项融资反映资产负债表日以公允价值计量且其变动计入其他综合收益的应收票据和应收账款等。本集团将既以收取合同现金流量为目的又以出售为目的，信用级别较高银行承兑的银行承兑汇票分类为应收款项融资。</w:t>
                  </w:r>
                </w:p>
                <w:p w14:paraId="26ED33D5" w14:textId="77777777" w:rsidR="007E7472" w:rsidRDefault="00EC1269">
                  <w:pPr>
                    <w:spacing w:beforeLines="50" w:before="156" w:afterLines="50" w:after="156" w:line="360" w:lineRule="exact"/>
                    <w:ind w:firstLineChars="200" w:firstLine="420"/>
                    <w:jc w:val="both"/>
                  </w:pPr>
                  <w:r>
                    <w:rPr>
                      <w:rFonts w:hint="eastAsia"/>
                    </w:rPr>
                    <w:t>会计处理方法详见本附注“五、</w:t>
                  </w:r>
                  <w:r>
                    <w:t>10金融工具</w:t>
                  </w:r>
                  <w:r>
                    <w:rPr>
                      <w:rFonts w:hint="eastAsia"/>
                    </w:rPr>
                    <w:t>”中划分为以公允价值计量且其变动计入其他综合收益的金融资产相关内容。</w:t>
                  </w:r>
                </w:p>
              </w:sdtContent>
            </w:sdt>
          </w:sdtContent>
        </w:sdt>
      </w:sdtContent>
    </w:sdt>
    <w:bookmarkEnd w:id="139"/>
    <w:p w14:paraId="74EA44CC" w14:textId="77777777" w:rsidR="007E7472" w:rsidRDefault="00C8327E"/>
    <w:bookmarkStart w:id="140" w:name="_Hlk10465124" w:displacedByCustomXml="next"/>
    <w:sdt>
      <w:sdtPr>
        <w:rPr>
          <w:rFonts w:ascii="宋体" w:hAnsi="宋体" w:cs="宋体" w:hint="eastAsia"/>
          <w:b w:val="0"/>
          <w:bCs w:val="0"/>
          <w:kern w:val="0"/>
          <w:sz w:val="20"/>
          <w:szCs w:val="24"/>
        </w:rPr>
        <w:alias w:val="模块:其他应收款"/>
        <w:tag w:val="_SEC_225822c587b74cc6b807038a0533c4e3"/>
        <w:id w:val="-1988150504"/>
        <w:lock w:val="sdtLocked"/>
        <w:placeholder>
          <w:docPart w:val="GBC22222222222222222222222222222"/>
        </w:placeholder>
      </w:sdtPr>
      <w:sdtEndPr>
        <w:rPr>
          <w:szCs w:val="21"/>
        </w:rPr>
      </w:sdtEndPr>
      <w:sdtContent>
        <w:p w14:paraId="5A5E3ED1" w14:textId="77777777" w:rsidR="007E7472" w:rsidRDefault="00EC1269" w:rsidP="00162493">
          <w:pPr>
            <w:pStyle w:val="3"/>
            <w:numPr>
              <w:ilvl w:val="0"/>
              <w:numId w:val="46"/>
            </w:numPr>
          </w:pPr>
          <w:r>
            <w:rPr>
              <w:rFonts w:hint="eastAsia"/>
            </w:rPr>
            <w:t>其他应收款</w:t>
          </w:r>
        </w:p>
        <w:p w14:paraId="6C9CC9BD" w14:textId="77777777" w:rsidR="007E7472" w:rsidRPr="000B3769" w:rsidRDefault="00EC1269">
          <w:pPr>
            <w:rPr>
              <w:b/>
            </w:rPr>
          </w:pPr>
          <w:r w:rsidRPr="000B3769">
            <w:rPr>
              <w:rFonts w:hint="eastAsia"/>
              <w:b/>
            </w:rPr>
            <w:t>其他应收款</w:t>
          </w:r>
          <w:r w:rsidRPr="000B3769">
            <w:rPr>
              <w:b/>
            </w:rPr>
            <w:t>预期信用损失的确定方法</w:t>
          </w:r>
          <w:r w:rsidRPr="000B3769">
            <w:rPr>
              <w:rFonts w:cs="Calibri"/>
              <w:b/>
            </w:rPr>
            <w:t>及会计处理方法</w:t>
          </w:r>
        </w:p>
        <w:sdt>
          <w:sdtPr>
            <w:alias w:val="是否适用：其他应收款预期信用损失的确定方法及会计处理方法[双击切换]"/>
            <w:tag w:val="_GBC_1ba082baa43e450992b52fcf687a8134"/>
            <w:id w:val="-1545590292"/>
            <w:lock w:val="sdtLocked"/>
            <w:placeholder>
              <w:docPart w:val="GBC22222222222222222222222222222"/>
            </w:placeholder>
          </w:sdtPr>
          <w:sdtEndPr/>
          <w:sdtContent>
            <w:p w14:paraId="55F4547D" w14:textId="77777777" w:rsidR="007E7472" w:rsidRDefault="00EC1269">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195A30EE" w14:textId="77777777" w:rsidR="007E7472" w:rsidRDefault="00C8327E"/>
      </w:sdtContent>
    </w:sdt>
    <w:bookmarkEnd w:id="140" w:displacedByCustomXml="next"/>
    <w:sdt>
      <w:sdtPr>
        <w:rPr>
          <w:rFonts w:ascii="宋体" w:hAnsi="宋体" w:cstheme="minorBidi"/>
          <w:b w:val="0"/>
          <w:bCs w:val="0"/>
          <w:kern w:val="0"/>
          <w:szCs w:val="22"/>
        </w:rPr>
        <w:alias w:val="模块:存货"/>
        <w:tag w:val="_GBC_b0f90fdf6c7749dbb9bd3cde55d5c0c3"/>
        <w:id w:val="-20237461"/>
        <w:lock w:val="sdtLocked"/>
        <w:placeholder>
          <w:docPart w:val="GBC22222222222222222222222222222"/>
        </w:placeholder>
      </w:sdtPr>
      <w:sdtEndPr>
        <w:rPr>
          <w:rFonts w:cs="Times New Roman"/>
          <w:szCs w:val="21"/>
        </w:rPr>
      </w:sdtEndPr>
      <w:sdtContent>
        <w:p w14:paraId="3413D50E" w14:textId="77777777" w:rsidR="007E7472" w:rsidRDefault="00EC1269" w:rsidP="00162493">
          <w:pPr>
            <w:pStyle w:val="3"/>
            <w:numPr>
              <w:ilvl w:val="0"/>
              <w:numId w:val="46"/>
            </w:numPr>
          </w:pPr>
          <w:r>
            <w:t>存货</w:t>
          </w:r>
        </w:p>
        <w:sdt>
          <w:sdtPr>
            <w:alias w:val="是否适用：存货_重要会计政策和估计[双击切换]"/>
            <w:tag w:val="_GBC_5c493df9664440ecbc3f3fa5d917221a"/>
            <w:id w:val="1740364331"/>
            <w:lock w:val="sdtLocked"/>
            <w:placeholder>
              <w:docPart w:val="GBC22222222222222222222222222222"/>
            </w:placeholder>
          </w:sdtPr>
          <w:sdtEndPr/>
          <w:sdtContent>
            <w:p w14:paraId="77E15592" w14:textId="77777777" w:rsidR="007E7472" w:rsidRDefault="00EC1269">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alias w:val="存货的核算方法"/>
            <w:tag w:val="_GBC_553fb8cba06d4979b05ae3dabe788fa6"/>
            <w:id w:val="-17081035"/>
            <w:lock w:val="sdtLocked"/>
            <w:placeholder>
              <w:docPart w:val="GBC22222222222222222222222222222"/>
            </w:placeholder>
          </w:sdtPr>
          <w:sdtEndPr/>
          <w:sdtContent>
            <w:p w14:paraId="1A9CB9ED" w14:textId="77777777" w:rsidR="007E7472" w:rsidRDefault="00EC1269">
              <w:pPr>
                <w:spacing w:beforeLines="50" w:before="156" w:afterLines="50" w:after="156" w:line="360" w:lineRule="exact"/>
                <w:ind w:firstLineChars="200" w:firstLine="420"/>
                <w:jc w:val="both"/>
              </w:pPr>
              <w:r>
                <w:rPr>
                  <w:rFonts w:hint="eastAsia"/>
                </w:rPr>
                <w:t>本集团存货主要包括原材料、煤炭存货、甲醇存货、铁矿石存货、房地产开发成本、矿用设备、机电设备、橡胶制品以及低值易耗品等。</w:t>
              </w:r>
            </w:p>
            <w:p w14:paraId="0995848E" w14:textId="77777777" w:rsidR="007E7472" w:rsidRDefault="00EC1269">
              <w:pPr>
                <w:spacing w:beforeLines="50" w:before="156" w:afterLines="50" w:after="156" w:line="360" w:lineRule="exact"/>
                <w:ind w:firstLineChars="200" w:firstLine="420"/>
                <w:jc w:val="both"/>
              </w:pPr>
              <w:r>
                <w:rPr>
                  <w:rFonts w:hint="eastAsia"/>
                </w:rPr>
                <w:t>存货实行永续盘存制，一般存货在取得时按实际成本计价，领用或发出存货采用加权平均法确定其实际成本；房地产开发成本是以土地、房屋、配套设施、代建工程和公用配套设施费用的实际成本入账，开发项目竣工验收时，按实际成本转入房地产存货。</w:t>
              </w:r>
            </w:p>
            <w:p w14:paraId="480AEBB1" w14:textId="77777777" w:rsidR="007E7472" w:rsidRDefault="00EC1269">
              <w:pPr>
                <w:spacing w:beforeLines="50" w:before="156" w:afterLines="50" w:after="156" w:line="360" w:lineRule="exact"/>
                <w:ind w:firstLineChars="200" w:firstLine="420"/>
                <w:jc w:val="both"/>
              </w:pPr>
              <w:r>
                <w:rPr>
                  <w:rFonts w:hint="eastAsia"/>
                </w:rPr>
                <w:t>年末存货按成本与可变现净值孰低原则计价。对于存货因遭受毁损、全部或部分陈旧过时或销售价格低于成本等原因，预计其成本不可收回的部分，提取存货跌价准备。存货跌价准备按单个存货项目的成本高于其可变现净值的差额提取。</w:t>
              </w:r>
            </w:p>
            <w:p w14:paraId="6600B04D" w14:textId="77777777" w:rsidR="007E7472" w:rsidRDefault="00EC1269">
              <w:pPr>
                <w:spacing w:beforeLines="50" w:before="156" w:afterLines="50" w:after="156" w:line="360" w:lineRule="exact"/>
                <w:ind w:firstLineChars="200" w:firstLine="420"/>
                <w:jc w:val="both"/>
                <w:rPr>
                  <w:rFonts w:cs="Times New Roman"/>
                </w:rPr>
              </w:pPr>
              <w:r>
                <w:rPr>
                  <w:rFonts w:hint="eastAsia"/>
                </w:rPr>
                <w:t>用于销售的煤炭、甲醇、房地产、矿用设备、机电设备、橡胶制品等存货及用于出售的材料，其可变现净值按该存货的估计售价减去估计的销售费用和相关税费后的金额确定；用于生产而持</w:t>
              </w:r>
              <w:r>
                <w:rPr>
                  <w:rFonts w:hint="eastAsia"/>
                </w:rPr>
                <w:lastRenderedPageBreak/>
                <w:t>有的材料存货、房地产开发成本，其可变现净值按所生产的产成品的估计售价减去至完工时估计将要发生的成本、估计的销售费用和相关税费后的金额确定。</w:t>
              </w:r>
            </w:p>
          </w:sdtContent>
        </w:sdt>
      </w:sdtContent>
    </w:sdt>
    <w:p w14:paraId="4378735B" w14:textId="77777777" w:rsidR="007E7472" w:rsidRDefault="00C8327E">
      <w:pPr>
        <w:rPr>
          <w:rFonts w:cs="Times New Roman"/>
        </w:rPr>
      </w:pPr>
    </w:p>
    <w:bookmarkStart w:id="141" w:name="_Hlk10465202" w:displacedByCustomXml="next"/>
    <w:sdt>
      <w:sdtPr>
        <w:rPr>
          <w:rFonts w:ascii="宋体" w:hAnsi="宋体" w:cs="宋体" w:hint="eastAsia"/>
          <w:b w:val="0"/>
          <w:bCs w:val="0"/>
          <w:kern w:val="0"/>
          <w:szCs w:val="21"/>
        </w:rPr>
        <w:alias w:val="模块:合同资产"/>
        <w:tag w:val="_SEC_c8278ca8e95a4a1fb97258ed9c2842ff"/>
        <w:id w:val="-2098461496"/>
        <w:lock w:val="sdtLocked"/>
        <w:placeholder>
          <w:docPart w:val="GBC22222222222222222222222222222"/>
        </w:placeholder>
      </w:sdtPr>
      <w:sdtEndPr>
        <w:rPr>
          <w:rFonts w:hint="default"/>
        </w:rPr>
      </w:sdtEndPr>
      <w:sdtContent>
        <w:p w14:paraId="7EEE4DC9" w14:textId="77777777" w:rsidR="007E7472" w:rsidRDefault="00EC1269" w:rsidP="00162493">
          <w:pPr>
            <w:pStyle w:val="3"/>
            <w:numPr>
              <w:ilvl w:val="0"/>
              <w:numId w:val="46"/>
            </w:numPr>
          </w:pPr>
          <w:r>
            <w:rPr>
              <w:rFonts w:hint="eastAsia"/>
            </w:rPr>
            <w:t>合同资产</w:t>
          </w:r>
        </w:p>
        <w:p w14:paraId="172B0F29" w14:textId="247C99BB" w:rsidR="007E7472" w:rsidRDefault="00EC1269" w:rsidP="00162493">
          <w:pPr>
            <w:pStyle w:val="4"/>
            <w:numPr>
              <w:ilvl w:val="0"/>
              <w:numId w:val="47"/>
            </w:numPr>
          </w:pPr>
          <w:r>
            <w:rPr>
              <w:rFonts w:hint="eastAsia"/>
            </w:rPr>
            <w:t>合同资产的确认方法及标准</w:t>
          </w:r>
        </w:p>
        <w:sdt>
          <w:sdtPr>
            <w:alias w:val="是否适用：合同资产的确定方法、摊销方法和减值测试方法[双击切换]"/>
            <w:tag w:val="_GBC_9daae386f9a94543beb70aace93dc36d"/>
            <w:id w:val="-621531264"/>
            <w:lock w:val="sdtLocked"/>
            <w:placeholder>
              <w:docPart w:val="GBC22222222222222222222222222222"/>
            </w:placeholder>
          </w:sdtPr>
          <w:sdtEndPr/>
          <w:sdtContent>
            <w:p w14:paraId="69F1442D" w14:textId="77777777" w:rsidR="007E7472" w:rsidRDefault="00EC1269">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67D15999" w14:textId="77777777" w:rsidR="007E7472" w:rsidRDefault="00C8327E">
          <w:pPr>
            <w:spacing w:beforeLines="50" w:before="156" w:afterLines="50" w:after="156" w:line="360" w:lineRule="exact"/>
            <w:ind w:firstLineChars="200" w:firstLine="420"/>
            <w:jc w:val="both"/>
            <w:rPr>
              <w:rFonts w:cs="Times New Roman"/>
            </w:rPr>
          </w:pPr>
          <w:sdt>
            <w:sdtPr>
              <w:alias w:val="合同资产的确定方法、摊销方法和减值测试方法"/>
              <w:tag w:val="_GBC_509139300ad14da0961ff5023dc7e8f7"/>
              <w:id w:val="-333684194"/>
              <w:lock w:val="sdtLocked"/>
              <w:placeholder>
                <w:docPart w:val="GBC22222222222222222222222222222"/>
              </w:placeholder>
            </w:sdtPr>
            <w:sdtEndPr/>
            <w:sdtContent>
              <w:sdt>
                <w:sdtPr>
                  <w:alias w:val="合同资产的确定方法、摊销方法和减值测试方法"/>
                  <w:tag w:val="_GBC_82d4491d0bbc4d81ab154bd0c0c35176"/>
                  <w:id w:val="-2004355970"/>
                  <w:lock w:val="sdtLocked"/>
                </w:sdtPr>
                <w:sdtEndPr/>
                <w:sdtContent>
                  <w:r w:rsidR="00EC1269">
                    <w:rPr>
                      <w:rFonts w:hint="eastAsia"/>
                    </w:rPr>
                    <w:t>合同资产，是指本集团已向客户转让商品而有权收取对价的权利，且该权利取决于时间流逝之外的其他因素。如本集团向客户销售两项可明确区分的商品，因已交付其中一项商品而有权收取款项，但收取该款项还取决于交付另一项商品的，本集团将该收款权利作为合同资产。</w:t>
                  </w:r>
                </w:sdtContent>
              </w:sdt>
            </w:sdtContent>
          </w:sdt>
        </w:p>
      </w:sdtContent>
    </w:sdt>
    <w:bookmarkEnd w:id="141" w:displacedByCustomXml="next"/>
    <w:bookmarkStart w:id="142" w:name="_Hlk10465245" w:displacedByCustomXml="next"/>
    <w:bookmarkStart w:id="143" w:name="_Hlk10465255" w:displacedByCustomXml="next"/>
    <w:sdt>
      <w:sdtPr>
        <w:rPr>
          <w:rFonts w:ascii="宋体" w:hAnsi="宋体" w:cs="宋体" w:hint="eastAsia"/>
          <w:b w:val="0"/>
          <w:bCs w:val="0"/>
          <w:kern w:val="0"/>
          <w:szCs w:val="21"/>
        </w:rPr>
        <w:alias w:val="模块:合同资产预期信用损失的确定方法及会计处理方法"/>
        <w:tag w:val="_SEC_c2bb2c97fdb4423db069686155694c4c"/>
        <w:id w:val="-1069496951"/>
        <w:lock w:val="sdtLocked"/>
        <w:placeholder>
          <w:docPart w:val="GBC22222222222222222222222222222"/>
        </w:placeholder>
      </w:sdtPr>
      <w:sdtEndPr>
        <w:rPr>
          <w:rFonts w:hint="default"/>
        </w:rPr>
      </w:sdtEndPr>
      <w:sdtContent>
        <w:p w14:paraId="656727F5" w14:textId="77777777" w:rsidR="007E7472" w:rsidRDefault="00EC1269" w:rsidP="00162493">
          <w:pPr>
            <w:pStyle w:val="4"/>
            <w:numPr>
              <w:ilvl w:val="0"/>
              <w:numId w:val="47"/>
            </w:numPr>
          </w:pPr>
          <w:r>
            <w:rPr>
              <w:rFonts w:hint="eastAsia"/>
            </w:rPr>
            <w:t>合同资产预期信用损失的确定方法及会计处理方法</w:t>
          </w:r>
          <w:bookmarkEnd w:id="142"/>
        </w:p>
        <w:sdt>
          <w:sdtPr>
            <w:alias w:val="是否适用：合同资产预期信用损失的确定方法及会计处理方法[双击切换]"/>
            <w:tag w:val="_GBC_c1227cf6e2f0432a85c32b611a40fa7f"/>
            <w:id w:val="-1355879961"/>
            <w:lock w:val="sdtLocked"/>
            <w:placeholder>
              <w:docPart w:val="GBC22222222222222222222222222222"/>
            </w:placeholder>
          </w:sdtPr>
          <w:sdtEndPr/>
          <w:sdtContent>
            <w:p w14:paraId="4174D8FE" w14:textId="77777777" w:rsidR="007E7472" w:rsidRDefault="00EC1269">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3AB54CD5" w14:textId="77777777" w:rsidR="007E7472" w:rsidRDefault="00C8327E"/>
        <w:p w14:paraId="585168EF" w14:textId="77777777" w:rsidR="007E7472" w:rsidRDefault="00EC1269" w:rsidP="00162493">
          <w:pPr>
            <w:pStyle w:val="3"/>
            <w:numPr>
              <w:ilvl w:val="0"/>
              <w:numId w:val="46"/>
            </w:numPr>
          </w:pPr>
          <w:r>
            <w:t>合同成本</w:t>
          </w:r>
        </w:p>
        <w:p w14:paraId="463385B2" w14:textId="77777777" w:rsidR="007E7472" w:rsidRPr="00992F71" w:rsidRDefault="00EC1269" w:rsidP="00162493">
          <w:pPr>
            <w:pStyle w:val="4"/>
            <w:numPr>
              <w:ilvl w:val="0"/>
              <w:numId w:val="48"/>
            </w:numPr>
            <w:rPr>
              <w:bCs w:val="0"/>
            </w:rPr>
          </w:pPr>
          <w:r w:rsidRPr="00992F71">
            <w:rPr>
              <w:rFonts w:hint="eastAsia"/>
              <w:bCs w:val="0"/>
            </w:rPr>
            <w:t>与合同成本有关的资产金额的确定方法</w:t>
          </w:r>
        </w:p>
        <w:p w14:paraId="419CD495" w14:textId="77777777" w:rsidR="007E7472" w:rsidRDefault="00EC1269">
          <w:pPr>
            <w:tabs>
              <w:tab w:val="left" w:pos="0"/>
              <w:tab w:val="left" w:pos="960"/>
            </w:tabs>
            <w:spacing w:beforeLines="50" w:before="156" w:afterLines="50" w:after="156" w:line="360" w:lineRule="exact"/>
            <w:ind w:firstLineChars="200" w:firstLine="420"/>
            <w:jc w:val="both"/>
          </w:pPr>
          <w:r>
            <w:rPr>
              <w:rFonts w:hint="eastAsia"/>
            </w:rPr>
            <w:t>本集团与合同成本有关的资产包括合同履约成本和合同取得成本。</w:t>
          </w:r>
        </w:p>
        <w:p w14:paraId="38942694" w14:textId="77777777" w:rsidR="007E7472" w:rsidRDefault="00EC1269">
          <w:pPr>
            <w:tabs>
              <w:tab w:val="left" w:pos="0"/>
              <w:tab w:val="left" w:pos="960"/>
            </w:tabs>
            <w:spacing w:beforeLines="50" w:before="156" w:afterLines="50" w:after="156" w:line="360" w:lineRule="exact"/>
            <w:ind w:firstLineChars="200" w:firstLine="420"/>
            <w:jc w:val="both"/>
          </w:pPr>
          <w:r>
            <w:rPr>
              <w:rFonts w:hint="eastAsia"/>
            </w:rPr>
            <w:t>合同履约成本，即本集团为履行合同发生的成本，不属于其他企业会计准则规范范围且同时满足下列条件的，作为合同履约成本确认为一项资产：该成本与一份当前或预期取得的合同直接相关，包括直接人工、直接材料、制造费用（或类似费用）、明确由客户承担的成本以及仅因该合同而发生的其他成本；该成本增加了本集团未来用于履行履约义务的资源；该成本预期能够收回。</w:t>
          </w:r>
        </w:p>
        <w:p w14:paraId="2698DC6D" w14:textId="77777777" w:rsidR="007E7472" w:rsidRDefault="00EC1269">
          <w:pPr>
            <w:tabs>
              <w:tab w:val="left" w:pos="0"/>
              <w:tab w:val="left" w:pos="960"/>
            </w:tabs>
            <w:spacing w:beforeLines="50" w:before="156" w:afterLines="50" w:after="156" w:line="360" w:lineRule="exact"/>
            <w:ind w:firstLineChars="200" w:firstLine="420"/>
            <w:jc w:val="both"/>
          </w:pPr>
          <w:r>
            <w:rPr>
              <w:rFonts w:hint="eastAsia"/>
            </w:rPr>
            <w:t>合同取得成本，即本集团为取得合同发生的增量成本预期能够收回的，作为合同取得成本确认为一项资产；该资产摊销期限不超过一年的，在发生时计入当期损益。增量成本，是指本集团不取得合同就不会发生的成本（如销售佣金等）。本集团为取得合同发生的、除预期能够收回的增量成本之外的其他支出（如无论是否取得合同均会发生的差旅费等），在发生时计入当期损益，但是，明确由客户承担的除外。</w:t>
          </w:r>
        </w:p>
        <w:p w14:paraId="514D0136" w14:textId="77777777" w:rsidR="007E7472" w:rsidRDefault="00EC1269" w:rsidP="00162493">
          <w:pPr>
            <w:pStyle w:val="4"/>
            <w:numPr>
              <w:ilvl w:val="0"/>
              <w:numId w:val="48"/>
            </w:numPr>
          </w:pPr>
          <w:r>
            <w:rPr>
              <w:rFonts w:hint="eastAsia"/>
            </w:rPr>
            <w:t>与合同成本有关的资产的摊销</w:t>
          </w:r>
        </w:p>
        <w:p w14:paraId="123456A0" w14:textId="77777777" w:rsidR="007E7472" w:rsidRDefault="00EC1269">
          <w:pPr>
            <w:tabs>
              <w:tab w:val="left" w:pos="0"/>
              <w:tab w:val="left" w:pos="960"/>
            </w:tabs>
            <w:spacing w:beforeLines="50" w:before="156" w:afterLines="50" w:after="156" w:line="360" w:lineRule="exact"/>
            <w:ind w:firstLineChars="200" w:firstLine="420"/>
            <w:jc w:val="both"/>
          </w:pPr>
          <w:r>
            <w:rPr>
              <w:rFonts w:hint="eastAsia"/>
            </w:rPr>
            <w:t>本集团与合同成本有关的资产采用与该资产相关的商品收入确认相同的基础进行摊销，计入当期损益。</w:t>
          </w:r>
        </w:p>
        <w:p w14:paraId="7CEC0213" w14:textId="77777777" w:rsidR="007E7472" w:rsidRDefault="00EC1269" w:rsidP="00162493">
          <w:pPr>
            <w:pStyle w:val="4"/>
            <w:numPr>
              <w:ilvl w:val="0"/>
              <w:numId w:val="48"/>
            </w:numPr>
          </w:pPr>
          <w:r>
            <w:rPr>
              <w:rFonts w:hint="eastAsia"/>
            </w:rPr>
            <w:t>与合同成本有关的资产的减值</w:t>
          </w:r>
        </w:p>
        <w:p w14:paraId="05189DD3" w14:textId="77777777" w:rsidR="007E7472" w:rsidRDefault="00EC1269">
          <w:pPr>
            <w:tabs>
              <w:tab w:val="left" w:pos="0"/>
              <w:tab w:val="left" w:pos="960"/>
            </w:tabs>
            <w:spacing w:beforeLines="50" w:before="156" w:afterLines="50" w:after="156" w:line="360" w:lineRule="exact"/>
            <w:ind w:firstLineChars="200" w:firstLine="420"/>
            <w:jc w:val="both"/>
          </w:pPr>
          <w:r>
            <w:rPr>
              <w:rFonts w:hint="eastAsia"/>
            </w:rPr>
            <w:t>本集团在确定与合同成本有关的资产的减值损失时，首先对按照其他相关企业会计准则确认的、与合同有关的其他资产确定减值损失；然后根据其账面价值高于本集团因转让与该资产相关的商品预期能够取得的剩余对价以及为转让该相关商品估计将要发生的成本这两项差额的，超出部分应当计提减值准备，并确认为资产减值损失。</w:t>
          </w:r>
        </w:p>
        <w:p w14:paraId="1C6B5224" w14:textId="77777777" w:rsidR="007E7472" w:rsidRDefault="00EC1269">
          <w:pPr>
            <w:spacing w:before="10" w:after="10" w:line="360" w:lineRule="exact"/>
            <w:ind w:firstLineChars="200" w:firstLine="420"/>
            <w:jc w:val="both"/>
          </w:pPr>
          <w:r>
            <w:rPr>
              <w:rFonts w:hint="eastAsia"/>
            </w:rPr>
            <w:lastRenderedPageBreak/>
            <w:t>以前期间减值的因素之后发生变化，使得前述差额高于该资产账面价值的，转回原已计提的资产减值准备，并计入当期损益，但转回后的资产账面价值不应超过假定不计提减值准备情况下该资产在转回日的账面价值。</w:t>
          </w:r>
        </w:p>
        <w:p w14:paraId="5C3AE22E" w14:textId="77777777" w:rsidR="007E7472" w:rsidRDefault="00C8327E">
          <w:pPr>
            <w:rPr>
              <w:rFonts w:cs="Times New Roman"/>
            </w:rPr>
          </w:pPr>
        </w:p>
      </w:sdtContent>
    </w:sdt>
    <w:bookmarkEnd w:id="143" w:displacedByCustomXml="next"/>
    <w:bookmarkStart w:id="144" w:name="_Hlk10465310" w:displacedByCustomXml="next"/>
    <w:sdt>
      <w:sdtPr>
        <w:rPr>
          <w:rFonts w:ascii="宋体" w:hAnsi="宋体" w:cs="宋体" w:hint="eastAsia"/>
          <w:b w:val="0"/>
          <w:bCs w:val="0"/>
          <w:kern w:val="0"/>
          <w:sz w:val="20"/>
          <w:szCs w:val="21"/>
        </w:rPr>
        <w:alias w:val="模块:划分为持有待售资产"/>
        <w:tag w:val="_GBC_a1a86a762feb43c3bed478ce8a19ae7c"/>
        <w:id w:val="1305581855"/>
        <w:lock w:val="sdtLocked"/>
        <w:placeholder>
          <w:docPart w:val="GBC22222222222222222222222222222"/>
        </w:placeholder>
      </w:sdtPr>
      <w:sdtEndPr/>
      <w:sdtContent>
        <w:p w14:paraId="5A03D3E7" w14:textId="77777777" w:rsidR="007E7472" w:rsidRDefault="00EC1269" w:rsidP="00162493">
          <w:pPr>
            <w:pStyle w:val="3"/>
            <w:numPr>
              <w:ilvl w:val="0"/>
              <w:numId w:val="46"/>
            </w:numPr>
          </w:pPr>
          <w:r>
            <w:rPr>
              <w:rFonts w:hint="eastAsia"/>
            </w:rPr>
            <w:t>持有待售资产</w:t>
          </w:r>
        </w:p>
        <w:sdt>
          <w:sdtPr>
            <w:rPr>
              <w:rFonts w:hint="eastAsia"/>
            </w:rPr>
            <w:alias w:val="是否适用：划分为持有待售资产_重要会计政策和估计[双击切换]"/>
            <w:tag w:val="_GBC_7d21fae1fb15414bac10a5567ebb7aca"/>
            <w:id w:val="1917505431"/>
            <w:lock w:val="sdtLocked"/>
            <w:placeholder>
              <w:docPart w:val="GBC22222222222222222222222222222"/>
            </w:placeholder>
          </w:sdtPr>
          <w:sdtEndPr/>
          <w:sdtContent>
            <w:p w14:paraId="5FE532E9" w14:textId="77777777" w:rsidR="007E7472" w:rsidRDefault="00EC1269">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Content>
    </w:sdt>
    <w:p w14:paraId="76DF075B" w14:textId="77777777" w:rsidR="007E7472" w:rsidRDefault="00C8327E"/>
    <w:sdt>
      <w:sdtPr>
        <w:rPr>
          <w:rFonts w:ascii="宋体" w:hAnsi="宋体" w:cs="宋体" w:hint="eastAsia"/>
          <w:b w:val="0"/>
          <w:bCs w:val="0"/>
          <w:kern w:val="0"/>
          <w:szCs w:val="21"/>
        </w:rPr>
        <w:alias w:val="模块:债权投资"/>
        <w:tag w:val="_SEC_64972cc74e5349aa855fec98c6609582"/>
        <w:id w:val="-1212810203"/>
        <w:lock w:val="sdtLocked"/>
        <w:placeholder>
          <w:docPart w:val="GBC22222222222222222222222222222"/>
        </w:placeholder>
      </w:sdtPr>
      <w:sdtEndPr>
        <w:rPr>
          <w:rFonts w:hint="default"/>
        </w:rPr>
      </w:sdtEndPr>
      <w:sdtContent>
        <w:p w14:paraId="652A31C8" w14:textId="77777777" w:rsidR="007E7472" w:rsidRDefault="00EC1269" w:rsidP="00162493">
          <w:pPr>
            <w:pStyle w:val="3"/>
            <w:numPr>
              <w:ilvl w:val="0"/>
              <w:numId w:val="46"/>
            </w:numPr>
          </w:pPr>
          <w:r>
            <w:rPr>
              <w:rFonts w:hint="eastAsia"/>
            </w:rPr>
            <w:t>债权投资</w:t>
          </w:r>
        </w:p>
        <w:p w14:paraId="1EC4AC16" w14:textId="77777777" w:rsidR="007E7472" w:rsidRPr="000B3769" w:rsidRDefault="00EC1269" w:rsidP="00162493">
          <w:pPr>
            <w:pStyle w:val="aff2"/>
            <w:numPr>
              <w:ilvl w:val="0"/>
              <w:numId w:val="49"/>
            </w:numPr>
            <w:ind w:firstLineChars="0"/>
            <w:outlineLvl w:val="3"/>
            <w:rPr>
              <w:b/>
            </w:rPr>
          </w:pPr>
          <w:r w:rsidRPr="000B3769">
            <w:rPr>
              <w:rFonts w:hint="eastAsia"/>
              <w:b/>
            </w:rPr>
            <w:t>债权投资预期信用损失的确定方法及会计处理方法</w:t>
          </w:r>
        </w:p>
        <w:sdt>
          <w:sdtPr>
            <w:alias w:val="是否适用：债权投资预期信用损失的确定方法及会计处理方法[双击切换]"/>
            <w:tag w:val="_GBC_acf0a46e8a8248e9a7f548194ba5ca2d"/>
            <w:id w:val="-1829904318"/>
            <w:lock w:val="sdtLocked"/>
            <w:placeholder>
              <w:docPart w:val="GBC22222222222222222222222222222"/>
            </w:placeholder>
          </w:sdtPr>
          <w:sdtEndPr/>
          <w:sdtContent>
            <w:p w14:paraId="7A0A8714" w14:textId="77777777" w:rsidR="007E7472" w:rsidRDefault="00EC1269">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00ED0839" w14:textId="77777777" w:rsidR="007E7472" w:rsidRDefault="00C8327E">
          <w:pPr>
            <w:rPr>
              <w:rFonts w:cs="Times New Roman"/>
            </w:rPr>
          </w:pPr>
        </w:p>
      </w:sdtContent>
    </w:sdt>
    <w:bookmarkEnd w:id="144" w:displacedByCustomXml="next"/>
    <w:bookmarkStart w:id="145" w:name="_Hlk10465347" w:displacedByCustomXml="next"/>
    <w:sdt>
      <w:sdtPr>
        <w:rPr>
          <w:rFonts w:ascii="宋体" w:hAnsi="宋体" w:cs="宋体" w:hint="eastAsia"/>
          <w:b w:val="0"/>
          <w:bCs w:val="0"/>
          <w:kern w:val="0"/>
          <w:szCs w:val="21"/>
        </w:rPr>
        <w:alias w:val="模块:其他债权投资"/>
        <w:tag w:val="_SEC_41586dd479b54f07aeed675230b384c8"/>
        <w:id w:val="-611985781"/>
        <w:lock w:val="sdtLocked"/>
        <w:placeholder>
          <w:docPart w:val="GBC22222222222222222222222222222"/>
        </w:placeholder>
      </w:sdtPr>
      <w:sdtEndPr>
        <w:rPr>
          <w:rFonts w:hint="default"/>
        </w:rPr>
      </w:sdtEndPr>
      <w:sdtContent>
        <w:p w14:paraId="20613339" w14:textId="77777777" w:rsidR="007E7472" w:rsidRDefault="00EC1269" w:rsidP="00162493">
          <w:pPr>
            <w:pStyle w:val="3"/>
            <w:numPr>
              <w:ilvl w:val="0"/>
              <w:numId w:val="46"/>
            </w:numPr>
          </w:pPr>
          <w:r>
            <w:rPr>
              <w:rFonts w:hint="eastAsia"/>
            </w:rPr>
            <w:t>其他债权投资</w:t>
          </w:r>
        </w:p>
        <w:p w14:paraId="4BF6D43E" w14:textId="77777777" w:rsidR="007E7472" w:rsidRPr="000B3769" w:rsidRDefault="00EC1269" w:rsidP="00162493">
          <w:pPr>
            <w:pStyle w:val="aff2"/>
            <w:numPr>
              <w:ilvl w:val="0"/>
              <w:numId w:val="50"/>
            </w:numPr>
            <w:ind w:firstLineChars="0"/>
            <w:outlineLvl w:val="3"/>
            <w:rPr>
              <w:b/>
            </w:rPr>
          </w:pPr>
          <w:r w:rsidRPr="000B3769">
            <w:rPr>
              <w:rFonts w:hint="eastAsia"/>
              <w:b/>
            </w:rPr>
            <w:t>其他债权投资</w:t>
          </w:r>
          <w:r w:rsidRPr="000B3769">
            <w:rPr>
              <w:b/>
            </w:rPr>
            <w:t>预期信用损失的确定方法</w:t>
          </w:r>
          <w:r w:rsidRPr="000B3769">
            <w:rPr>
              <w:rFonts w:cs="Calibri"/>
              <w:b/>
            </w:rPr>
            <w:t>及会计处理方法</w:t>
          </w:r>
        </w:p>
        <w:sdt>
          <w:sdtPr>
            <w:alias w:val="是否适用：其他债权投资预期信用损失的确定方法及会计处理方法[双击切换]"/>
            <w:tag w:val="_GBC_c8b7f631f3734e4e873d374c0e3e2936"/>
            <w:id w:val="-241099773"/>
            <w:lock w:val="sdtLocked"/>
            <w:placeholder>
              <w:docPart w:val="GBC22222222222222222222222222222"/>
            </w:placeholder>
          </w:sdtPr>
          <w:sdtEndPr/>
          <w:sdtContent>
            <w:p w14:paraId="57393F41" w14:textId="77777777" w:rsidR="007E7472" w:rsidRDefault="00EC1269">
              <w:pPr>
                <w:rPr>
                  <w:rFonts w:cs="Times New Roman"/>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4A3C71FC" w14:textId="77777777" w:rsidR="007E7472" w:rsidRDefault="00C8327E">
          <w:pPr>
            <w:rPr>
              <w:rFonts w:cs="Times New Roman"/>
            </w:rPr>
          </w:pPr>
        </w:p>
      </w:sdtContent>
    </w:sdt>
    <w:bookmarkEnd w:id="145" w:displacedByCustomXml="next"/>
    <w:bookmarkStart w:id="146" w:name="_Hlk10465393" w:displacedByCustomXml="next"/>
    <w:sdt>
      <w:sdtPr>
        <w:rPr>
          <w:rFonts w:ascii="宋体" w:hAnsi="宋体" w:cs="宋体" w:hint="eastAsia"/>
          <w:b w:val="0"/>
          <w:bCs w:val="0"/>
          <w:kern w:val="0"/>
          <w:szCs w:val="21"/>
        </w:rPr>
        <w:alias w:val="模块:长期应收款"/>
        <w:tag w:val="_SEC_ef0b5e87e2254c638e2a6672bcd1eac8"/>
        <w:id w:val="-1570956062"/>
        <w:lock w:val="sdtLocked"/>
        <w:placeholder>
          <w:docPart w:val="GBC22222222222222222222222222222"/>
        </w:placeholder>
      </w:sdtPr>
      <w:sdtEndPr/>
      <w:sdtContent>
        <w:p w14:paraId="0BEDB46E" w14:textId="77777777" w:rsidR="007E7472" w:rsidRDefault="00EC1269" w:rsidP="00162493">
          <w:pPr>
            <w:pStyle w:val="3"/>
            <w:numPr>
              <w:ilvl w:val="0"/>
              <w:numId w:val="46"/>
            </w:numPr>
          </w:pPr>
          <w:r>
            <w:rPr>
              <w:rFonts w:hint="eastAsia"/>
            </w:rPr>
            <w:t>长期应收款</w:t>
          </w:r>
        </w:p>
        <w:p w14:paraId="392F984F" w14:textId="77777777" w:rsidR="007E7472" w:rsidRPr="000B3769" w:rsidRDefault="00EC1269" w:rsidP="00162493">
          <w:pPr>
            <w:pStyle w:val="aff2"/>
            <w:numPr>
              <w:ilvl w:val="0"/>
              <w:numId w:val="51"/>
            </w:numPr>
            <w:ind w:firstLineChars="0"/>
            <w:outlineLvl w:val="3"/>
            <w:rPr>
              <w:b/>
            </w:rPr>
          </w:pPr>
          <w:r w:rsidRPr="000B3769">
            <w:rPr>
              <w:rFonts w:hint="eastAsia"/>
              <w:b/>
            </w:rPr>
            <w:t>长期应收款</w:t>
          </w:r>
          <w:r w:rsidRPr="000B3769">
            <w:rPr>
              <w:b/>
            </w:rPr>
            <w:t>预期信用损失的确定方法</w:t>
          </w:r>
          <w:r w:rsidRPr="000B3769">
            <w:rPr>
              <w:rFonts w:cs="Calibri"/>
              <w:b/>
            </w:rPr>
            <w:t>及会计处理方法</w:t>
          </w:r>
        </w:p>
        <w:sdt>
          <w:sdtPr>
            <w:alias w:val="是否适用：长期应收款预期信用损失的确定方法及会计处理方法[双击切换]"/>
            <w:tag w:val="_GBC_9cf76ec2aae6484cbb983cf468a375bc"/>
            <w:id w:val="57061451"/>
            <w:lock w:val="sdtLocked"/>
            <w:placeholder>
              <w:docPart w:val="GBC22222222222222222222222222222"/>
            </w:placeholder>
          </w:sdtPr>
          <w:sdtEndPr/>
          <w:sdtContent>
            <w:p w14:paraId="71F2D8F3" w14:textId="77777777" w:rsidR="007E7472" w:rsidRDefault="00EC1269">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0C79E2B5" w14:textId="77777777" w:rsidR="007E7472" w:rsidRDefault="00C8327E">
          <w:pPr>
            <w:rPr>
              <w:rFonts w:cs="Times New Roman"/>
            </w:rPr>
          </w:pPr>
        </w:p>
      </w:sdtContent>
    </w:sdt>
    <w:bookmarkEnd w:id="146" w:displacedByCustomXml="next"/>
    <w:sdt>
      <w:sdtPr>
        <w:rPr>
          <w:rFonts w:ascii="宋体" w:hAnsi="宋体" w:cstheme="minorBidi"/>
          <w:b w:val="0"/>
          <w:bCs w:val="0"/>
          <w:kern w:val="0"/>
          <w:szCs w:val="22"/>
        </w:rPr>
        <w:alias w:val="模块:长期股权投资"/>
        <w:tag w:val="_GBC_d82c12cf13554acd90dfb7880244798c"/>
        <w:id w:val="239912823"/>
        <w:lock w:val="sdtLocked"/>
        <w:placeholder>
          <w:docPart w:val="GBC22222222222222222222222222222"/>
        </w:placeholder>
      </w:sdtPr>
      <w:sdtEndPr>
        <w:rPr>
          <w:rFonts w:cs="Times New Roman"/>
          <w:szCs w:val="21"/>
        </w:rPr>
      </w:sdtEndPr>
      <w:sdtContent>
        <w:p w14:paraId="3AFAFA1E" w14:textId="77777777" w:rsidR="007E7472" w:rsidRDefault="00EC1269" w:rsidP="00162493">
          <w:pPr>
            <w:pStyle w:val="3"/>
            <w:numPr>
              <w:ilvl w:val="0"/>
              <w:numId w:val="46"/>
            </w:numPr>
          </w:pPr>
          <w:r>
            <w:t>长期股权投资</w:t>
          </w:r>
        </w:p>
        <w:sdt>
          <w:sdtPr>
            <w:alias w:val="是否适用：长期股权投资_重要会计政策和估计[双击切换]"/>
            <w:tag w:val="_GBC_a2b657853ac547afaaad118dec96d0e1"/>
            <w:id w:val="1459689849"/>
            <w:lock w:val="sdtLocked"/>
            <w:placeholder>
              <w:docPart w:val="GBC22222222222222222222222222222"/>
            </w:placeholder>
          </w:sdtPr>
          <w:sdtEndPr/>
          <w:sdtContent>
            <w:p w14:paraId="495A2BDC" w14:textId="77777777" w:rsidR="007E7472" w:rsidRDefault="00EC1269">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alias w:val="长期股权投资的核算方法"/>
            <w:tag w:val="_GBC_3e77074cd50946b1bccdff9bc1c9556f"/>
            <w:id w:val="-1782485366"/>
            <w:lock w:val="sdtLocked"/>
            <w:placeholder>
              <w:docPart w:val="GBC22222222222222222222222222222"/>
            </w:placeholder>
          </w:sdtPr>
          <w:sdtEndPr/>
          <w:sdtContent>
            <w:p w14:paraId="23518465" w14:textId="77777777" w:rsidR="007E7472" w:rsidRDefault="00EC1269">
              <w:pPr>
                <w:spacing w:beforeLines="50" w:before="156" w:afterLines="50" w:after="156" w:line="360" w:lineRule="exact"/>
                <w:ind w:firstLineChars="200" w:firstLine="420"/>
                <w:jc w:val="both"/>
              </w:pPr>
              <w:r>
                <w:rPr>
                  <w:rFonts w:hint="eastAsia"/>
                </w:rPr>
                <w:t>本集团长期股权投资主要是对子公司的投资、对联营企业的投资和对合营企业的投资。</w:t>
              </w:r>
            </w:p>
            <w:p w14:paraId="0950D8A2" w14:textId="77777777" w:rsidR="007E7472" w:rsidRDefault="00EC1269">
              <w:pPr>
                <w:spacing w:beforeLines="50" w:before="156" w:afterLines="50" w:after="156" w:line="360" w:lineRule="exact"/>
                <w:ind w:firstLineChars="200" w:firstLine="420"/>
                <w:jc w:val="both"/>
              </w:pPr>
              <w:r>
                <w:rPr>
                  <w:rFonts w:hint="eastAsia"/>
                </w:rPr>
                <w:t>本集团对共同控制的判断依据是所有参与方或参与方组合集体控制该安排，并且该安排相关活动的政策必须经过这些集体控制该安排的参与方一致同意。</w:t>
              </w:r>
            </w:p>
            <w:p w14:paraId="7D936C54" w14:textId="77777777" w:rsidR="007E7472" w:rsidRDefault="00EC1269">
              <w:pPr>
                <w:spacing w:beforeLines="50" w:before="156" w:afterLines="50" w:after="156" w:line="360" w:lineRule="exact"/>
                <w:ind w:firstLineChars="200" w:firstLine="420"/>
                <w:jc w:val="both"/>
              </w:pPr>
              <w:r>
                <w:rPr>
                  <w:rFonts w:hint="eastAsia"/>
                </w:rPr>
                <w:t>本集团直接或通过子公司间接拥有被投资单位20%（含）以上但低于50%的表决权时，通常认为对被投资单位具有重大影响。持有被投资单位20%以下表决权的，还需要综合考虑在被投资单位的董事会或类似权力机构中派有代表、或参与被投资单位财务和经营政策制定过程、或与被投资单位之间发生重要交易、或向被投资单位派出管理人员、或向被投资单位提供关键技术资料等事实和情况判断对被投资单位具有重大影响。</w:t>
              </w:r>
            </w:p>
            <w:p w14:paraId="1BAFDC89" w14:textId="77777777" w:rsidR="007E7472" w:rsidRDefault="00EC1269">
              <w:pPr>
                <w:spacing w:beforeLines="50" w:before="156" w:afterLines="50" w:after="156" w:line="360" w:lineRule="exact"/>
                <w:ind w:firstLineChars="200" w:firstLine="420"/>
                <w:jc w:val="both"/>
              </w:pPr>
              <w:r>
                <w:rPr>
                  <w:rFonts w:hint="eastAsia"/>
                </w:rPr>
                <w:t>对被投资单位形成控制的，为本集团的子公司。通过同一控制下的企业合并取得的长期股权投资，在合并日按照取得被合并方在最终控制方合并报表中净资产的账面价值的份额作为长期股权投资的初始投资成本。被合并方在合并日的净资产账面价值为负数的，长期股权投资成本按零确定。</w:t>
              </w:r>
            </w:p>
            <w:p w14:paraId="44AC3DB9" w14:textId="77777777" w:rsidR="007E7472" w:rsidRDefault="00EC1269">
              <w:pPr>
                <w:spacing w:beforeLines="50" w:before="156" w:afterLines="50" w:after="156" w:line="360" w:lineRule="exact"/>
                <w:ind w:firstLineChars="200" w:firstLine="420"/>
                <w:jc w:val="both"/>
              </w:pPr>
              <w:r>
                <w:rPr>
                  <w:rFonts w:hint="eastAsia"/>
                </w:rPr>
                <w:t>通过多次交易分步取得同一控制下被投资单位的股权，最终形成企业合并，属于一揽子交易的，本集团将各项交易作为一项取得控制权的交易进行会计处理。不属于一揽子交易的，在合并日，根据合并后享有被合并方净资产在最终控制方合并财务报表中的账面价值的份额作为长期股权投资的的初始投资成本。初始投资成本与达到合并前的长期股权投资账面价值加上合并日进一</w:t>
              </w:r>
              <w:r>
                <w:rPr>
                  <w:rFonts w:hint="eastAsia"/>
                </w:rPr>
                <w:lastRenderedPageBreak/>
                <w:t>步取得股份新支付对价的账面价值之和的差额，调整资本公积，资本公积不足冲减的，冲减留存收益。</w:t>
              </w:r>
            </w:p>
            <w:p w14:paraId="1EC8C6C3" w14:textId="77777777" w:rsidR="007E7472" w:rsidRDefault="00EC1269">
              <w:pPr>
                <w:spacing w:beforeLines="50" w:before="156" w:afterLines="50" w:after="156" w:line="360" w:lineRule="exact"/>
                <w:ind w:firstLineChars="200" w:firstLine="420"/>
                <w:jc w:val="both"/>
              </w:pPr>
              <w:r>
                <w:rPr>
                  <w:rFonts w:hint="eastAsia"/>
                </w:rPr>
                <w:t>通过非同一控制下的企业合并取得的长期股权投资，以合并成本作为初始投资成本。</w:t>
              </w:r>
            </w:p>
            <w:p w14:paraId="177DF78A" w14:textId="77777777" w:rsidR="007E7472" w:rsidRDefault="00EC1269">
              <w:pPr>
                <w:spacing w:beforeLines="50" w:before="156" w:afterLines="50" w:after="156" w:line="360" w:lineRule="exact"/>
                <w:ind w:firstLineChars="200" w:firstLine="420"/>
                <w:jc w:val="both"/>
              </w:pPr>
              <w:r>
                <w:rPr>
                  <w:rFonts w:hint="eastAsia"/>
                </w:rPr>
                <w:t>通过多次交易分步取得非同一控制下被投资单位的股权，最终形成企业合并，属于一揽子交易的，本集团将各项交易作为一项取得控制权的交易进行会计处理。不属于一揽子交易的，按照原持有的股权投资账面价值加上新增投资成本之和，作为改按成本法核算的初始投资成本。购买日之前持有的股权采用权益法核算的，原权益法核算的相关其他综合收益暂不做调整，在处置该项投资时采用与被投资单位直接处置相关资产或负债相同的基础进行会计处理。购买日之前持有的股权为指定以公允价值计量且其变动计入其他综合收益的非交易性权益工具，原计入其他综合收益的累计公允价值变动不得转入当期损益。</w:t>
              </w:r>
            </w:p>
            <w:p w14:paraId="568E34A9" w14:textId="77777777" w:rsidR="007E7472" w:rsidRDefault="00EC1269">
              <w:pPr>
                <w:spacing w:beforeLines="50" w:before="156" w:afterLines="50" w:after="156" w:line="360" w:lineRule="exact"/>
                <w:ind w:firstLineChars="200" w:firstLine="420"/>
                <w:jc w:val="both"/>
              </w:pPr>
              <w:r>
                <w:rPr>
                  <w:rFonts w:hint="eastAsia"/>
                </w:rPr>
                <w:t>除上述通过企业合并取得的长期股权投资外，以支付现金取得的长期股权投资，按照实际支付的购买价款作为投资成本；以发行权益性证券取得的长期股权投资，按照发行权益性证券的公允价值作为投资成本；投资者投入的长期股权投资，按照投资合同或协议约定的价值作为投资成本；以债务重组、非货币性资产交换等方式取得的长期股权投资，按相关会计准则的规定确定初始投资成本。</w:t>
              </w:r>
            </w:p>
            <w:p w14:paraId="288714D5" w14:textId="77777777" w:rsidR="007E7472" w:rsidRDefault="00EC1269">
              <w:pPr>
                <w:spacing w:beforeLines="50" w:before="156" w:afterLines="50" w:after="156" w:line="360" w:lineRule="exact"/>
                <w:ind w:firstLineChars="200" w:firstLine="420"/>
                <w:jc w:val="both"/>
              </w:pPr>
              <w:r>
                <w:rPr>
                  <w:rFonts w:hint="eastAsia"/>
                </w:rPr>
                <w:t>本集团对子公司投资采用成本法核算，对合营企业及联营企业投资采用权益法核算。</w:t>
              </w:r>
            </w:p>
            <w:p w14:paraId="6136F642" w14:textId="77777777" w:rsidR="007E7472" w:rsidRDefault="00EC1269">
              <w:pPr>
                <w:spacing w:beforeLines="50" w:before="156" w:afterLines="50" w:after="156" w:line="360" w:lineRule="exact"/>
                <w:ind w:firstLineChars="200" w:firstLine="420"/>
                <w:jc w:val="both"/>
              </w:pPr>
              <w:r>
                <w:rPr>
                  <w:rFonts w:hint="eastAsia"/>
                </w:rPr>
                <w:t>后续计量采用成本法核算的长期股权投资，在追加投资时，按照追加投资支付的成本额公允价值及发生的相关交易费用增加长期股权投资成本的账面价值。被投资单位宣告分派的现金股利或利润，按照应享有的金额确认为当期投资收益。</w:t>
              </w:r>
            </w:p>
            <w:p w14:paraId="14923BBD" w14:textId="77777777" w:rsidR="007E7472" w:rsidRDefault="00EC1269">
              <w:pPr>
                <w:spacing w:beforeLines="50" w:before="156" w:afterLines="50" w:after="156" w:line="360" w:lineRule="exact"/>
                <w:ind w:firstLineChars="200" w:firstLine="420"/>
                <w:jc w:val="both"/>
              </w:pPr>
              <w:r>
                <w:rPr>
                  <w:rFonts w:hint="eastAsia"/>
                </w:rPr>
                <w:t>后续计量采用权益法核算的长期股权投资，随着其他投资单位所有者权益的变动相应调整增加或减少长期股权投资的账面价值。其中在确认应享有被投资单位净损益的份额时，以取得投资时被投资单位各项可辨认资产等的公允价值为基础，按照本集团的会计政策及会计期间，并抵销与联营企业及合营企业之间发生的内部交易损益按照持股比例计算归属于投资企业的部分，对被投资单位的净利润进行调整后确认。</w:t>
              </w:r>
            </w:p>
            <w:p w14:paraId="490A7B81" w14:textId="77777777" w:rsidR="007E7472" w:rsidRDefault="00EC1269">
              <w:pPr>
                <w:spacing w:beforeLines="50" w:before="156" w:afterLines="50" w:after="156" w:line="360" w:lineRule="exact"/>
                <w:ind w:firstLineChars="200" w:firstLine="420"/>
                <w:jc w:val="both"/>
              </w:pPr>
              <w:r>
                <w:rPr>
                  <w:rFonts w:hint="eastAsia"/>
                </w:rPr>
                <w:t>处置长期股权投资，其账面价值与实际取得价款的差额，计入当期投资收益。采用权益法核算的长期股权投资，原权益法核算的相关其他综合收益应当在终止采用权益法核算时采用与被投资单位直接处置相关资产或负债相同的基础进行会计处理，因被投资方除净损益、其他综合收益和利润分配以外的其他所有者权益变动而确认的所有者权益，应当在终止采用权益法核算时全部转入当期投资收益。</w:t>
              </w:r>
            </w:p>
            <w:p w14:paraId="3230E665" w14:textId="77777777" w:rsidR="007E7472" w:rsidRDefault="00EC1269">
              <w:pPr>
                <w:spacing w:beforeLines="50" w:before="156" w:afterLines="50" w:after="156" w:line="360" w:lineRule="exact"/>
                <w:ind w:firstLineChars="200" w:firstLine="420"/>
                <w:jc w:val="both"/>
              </w:pPr>
              <w:r>
                <w:rPr>
                  <w:rFonts w:hint="eastAsia"/>
                </w:rPr>
                <w:t>因处置部分长期股权投资等原因丧失了对被投资单位的共同控制或重大影响的，处置后的剩余股权适用《企业会计准则第22号——金融工具确认和计量（财会[2017]7号）》核算的，剩余股权在丧失共同控制或重大影响之日的公允价值与账面价值之间的差额计入当期损益。原股权投资因采用权益法核算而确认的其他综合收益，在终止采用权益法核算时采用与被投资单位直接处置相关资产或负债相同的基础处理并按比例结转，因被投资方除净损益、其他综合收益和利润分配以外的其他所有者权益变动而确认的所有者权益，应当按比例转入当期投资收益。</w:t>
              </w:r>
            </w:p>
            <w:p w14:paraId="19038510" w14:textId="77777777" w:rsidR="007E7472" w:rsidRDefault="00EC1269">
              <w:pPr>
                <w:spacing w:beforeLines="50" w:before="156" w:afterLines="50" w:after="156" w:line="360" w:lineRule="exact"/>
                <w:ind w:firstLineChars="200" w:firstLine="420"/>
                <w:jc w:val="both"/>
              </w:pPr>
              <w:r>
                <w:rPr>
                  <w:rFonts w:hint="eastAsia"/>
                </w:rPr>
                <w:lastRenderedPageBreak/>
                <w:t>因处置部分长期股权投资丧失了对被投资单位控制的，处置后的剩余股权能够对被投资单位实施共同控制或施加重大影响的，改按权益法核算，处置股权账面价值和处置对价的差额计入投资收益，并对该剩余股权视同自取得时即采用权益法核算进行调整；处置后的剩余股权不能对被投资单位实施共同控制或施加重大影响的，适用《企业会计准则第22号——金融工具确认和计量（财会[2017]7号）》进行会计处理，处置股权账面价值和处置对价的差额计入投资收益，剩余股权在丧失控制之日的公允价值与账面价值间的差额计入当期损益。</w:t>
              </w:r>
            </w:p>
            <w:p w14:paraId="37147E85" w14:textId="77777777" w:rsidR="007E7472" w:rsidRDefault="00EC1269">
              <w:pPr>
                <w:spacing w:beforeLines="50" w:before="156" w:afterLines="50" w:after="156" w:line="360" w:lineRule="exact"/>
                <w:ind w:firstLineChars="200" w:firstLine="420"/>
                <w:jc w:val="both"/>
              </w:pPr>
              <w:r>
                <w:rPr>
                  <w:rFonts w:hint="eastAsia"/>
                </w:rPr>
                <w:t>本集团对于分步处置股权至丧失控股权的各项交易不属于一揽子交易的，对每一项交易分别进行会计处理。属于“一揽子交易”的，将各项交易作为一项处置子公司并丧失控制权的交易进行会计处理，但是，在丧失控制权之前每一次交易处置价款与所处置的股权对应的长期股权投资账面价值之间的差额，确认为其他综合收益，到丧失控制权时再一并转入丧失控制权的当期损益。</w:t>
              </w:r>
            </w:p>
          </w:sdtContent>
        </w:sdt>
      </w:sdtContent>
    </w:sdt>
    <w:p w14:paraId="284687A3" w14:textId="77777777" w:rsidR="007E7472" w:rsidRDefault="00C8327E"/>
    <w:p w14:paraId="34CE5175" w14:textId="77777777" w:rsidR="007E7472" w:rsidRDefault="00EC1269" w:rsidP="00162493">
      <w:pPr>
        <w:pStyle w:val="3"/>
        <w:numPr>
          <w:ilvl w:val="0"/>
          <w:numId w:val="46"/>
        </w:numPr>
      </w:pPr>
      <w:r>
        <w:t>投资性房地产</w:t>
      </w:r>
    </w:p>
    <w:sdt>
      <w:sdtPr>
        <w:rPr>
          <w:rFonts w:ascii="宋体" w:hAnsi="宋体" w:cs="宋体" w:hint="eastAsia"/>
          <w:b w:val="0"/>
          <w:bCs w:val="0"/>
          <w:kern w:val="0"/>
          <w:szCs w:val="24"/>
        </w:rPr>
        <w:tag w:val="_GBC_2b2036270bc84711804cd256998442a6"/>
        <w:id w:val="1154493460"/>
        <w:placeholder>
          <w:docPart w:val="GBC22222222222222222222222222222"/>
        </w:placeholder>
      </w:sdtPr>
      <w:sdtEndPr>
        <w:rPr>
          <w:szCs w:val="21"/>
        </w:rPr>
      </w:sdtEndPr>
      <w:sdtContent>
        <w:p w14:paraId="6A17B5CA" w14:textId="77777777" w:rsidR="007E7472" w:rsidRDefault="00EC1269" w:rsidP="00162493">
          <w:pPr>
            <w:pStyle w:val="4"/>
            <w:numPr>
              <w:ilvl w:val="0"/>
              <w:numId w:val="52"/>
            </w:numPr>
          </w:pPr>
          <w:r>
            <w:rPr>
              <w:rFonts w:hint="eastAsia"/>
              <w:szCs w:val="24"/>
            </w:rPr>
            <w:t>如果</w:t>
          </w:r>
          <w:r>
            <w:rPr>
              <w:rFonts w:hint="eastAsia"/>
            </w:rPr>
            <w:t>采用公允价值计量模式的</w:t>
          </w:r>
        </w:p>
        <w:p w14:paraId="2AA600BE" w14:textId="77777777" w:rsidR="007E7472" w:rsidRDefault="00EC1269">
          <w:r>
            <w:rPr>
              <w:rFonts w:hint="eastAsia"/>
            </w:rPr>
            <w:t>选择公允价值计量的依据</w:t>
          </w:r>
        </w:p>
        <w:sdt>
          <w:sdtPr>
            <w:alias w:val="采用公允价值计量模式的选择依据"/>
            <w:tag w:val="_GBC_3923e55fa36348df898ac65ec0c9f5a3"/>
            <w:id w:val="-2144185468"/>
            <w:placeholder>
              <w:docPart w:val="GBC22222222222222222222222222222"/>
            </w:placeholder>
          </w:sdtPr>
          <w:sdtEndPr/>
          <w:sdtContent>
            <w:p w14:paraId="3D774440" w14:textId="77777777" w:rsidR="007E7472" w:rsidRDefault="00EC1269">
              <w:pPr>
                <w:spacing w:beforeLines="50" w:before="156" w:afterLines="50" w:after="156" w:line="360" w:lineRule="exact"/>
                <w:ind w:firstLineChars="200" w:firstLine="420"/>
                <w:jc w:val="both"/>
              </w:pPr>
              <w:r>
                <w:rPr>
                  <w:rFonts w:hint="eastAsia"/>
                </w:rPr>
                <w:t>投资性房地产是指为赚取租金或资本增值，或两者兼有而持有的房地产，包括已出租的土地使用权、持有并准备增值后转让的土地使用权、已出租的建筑物。</w:t>
              </w:r>
            </w:p>
            <w:p w14:paraId="2382332D" w14:textId="77777777" w:rsidR="007E7472" w:rsidRDefault="00EC1269">
              <w:pPr>
                <w:spacing w:beforeLines="50" w:before="156" w:afterLines="50" w:after="156" w:line="360" w:lineRule="exact"/>
                <w:ind w:firstLineChars="200" w:firstLine="420"/>
                <w:jc w:val="both"/>
              </w:pPr>
              <w:r>
                <w:rPr>
                  <w:rFonts w:hint="eastAsia"/>
                </w:rPr>
                <w:t>本公司的投资性房地产按其成本作为入账价值，外购投资性房地产的成本包括购买价款、相关税费和可直接归属于该资产的其他支出；自行建造投资性房地产的成本，由建造该项资产达到预定可使用状态前所发生的必要支出构成。</w:t>
              </w:r>
            </w:p>
            <w:p w14:paraId="54F21CB7" w14:textId="77777777" w:rsidR="007E7472" w:rsidRDefault="00EC1269">
              <w:pPr>
                <w:spacing w:beforeLines="50" w:before="156" w:afterLines="50" w:after="156" w:line="360" w:lineRule="exact"/>
                <w:ind w:firstLineChars="200" w:firstLine="420"/>
                <w:jc w:val="both"/>
              </w:pPr>
              <w:r>
                <w:rPr>
                  <w:rFonts w:hint="eastAsia"/>
                </w:rPr>
                <w:t>本公司采用公允价值模式对投资性房地产进行后续计量，不对投资性房地产计提折旧或进行摊销，在资产负债表日以投资性房地产的公允价值为基础调整其账面价值，公允价值与原账面价值之间的差额计入当期损益。</w:t>
              </w:r>
            </w:p>
            <w:p w14:paraId="67446A60" w14:textId="77777777" w:rsidR="007E7472" w:rsidRDefault="00EC1269">
              <w:pPr>
                <w:spacing w:beforeLines="50" w:before="156" w:afterLines="50" w:after="156" w:line="360" w:lineRule="exact"/>
                <w:ind w:firstLineChars="200" w:firstLine="420"/>
                <w:jc w:val="both"/>
              </w:pPr>
              <w:r>
                <w:rPr>
                  <w:rFonts w:hint="eastAsia"/>
                </w:rPr>
                <w:t>投资性房地产采用公允价值模式进行后续计量的的依据为：</w:t>
              </w:r>
            </w:p>
            <w:p w14:paraId="46B1D32B" w14:textId="77777777" w:rsidR="007E7472" w:rsidRDefault="00EC1269">
              <w:pPr>
                <w:spacing w:beforeLines="50" w:before="156" w:afterLines="50" w:after="156" w:line="360" w:lineRule="exact"/>
                <w:ind w:firstLineChars="200" w:firstLine="420"/>
                <w:jc w:val="both"/>
              </w:pPr>
              <w:r>
                <w:rPr>
                  <w:rFonts w:hint="eastAsia"/>
                </w:rPr>
                <w:t>（1）投资性房地产所在地有活跃的房地产交易市场；</w:t>
              </w:r>
            </w:p>
            <w:p w14:paraId="2EFF00D9" w14:textId="77777777" w:rsidR="007E7472" w:rsidRDefault="00EC1269">
              <w:pPr>
                <w:spacing w:beforeLines="50" w:before="156" w:afterLines="50" w:after="156" w:line="360" w:lineRule="exact"/>
                <w:ind w:firstLineChars="200" w:firstLine="420"/>
                <w:jc w:val="both"/>
              </w:pPr>
              <w:r>
                <w:rPr>
                  <w:rFonts w:hint="eastAsia"/>
                </w:rPr>
                <w:t>（2）本公司能够从房地产交易市场上取得同类或类似房地产的市场价格及其他相关信息，从而对投资性房地产的公允价值作出合理的估计。</w:t>
              </w:r>
            </w:p>
            <w:p w14:paraId="07D051B6" w14:textId="77777777" w:rsidR="007E7472" w:rsidRDefault="00EC1269">
              <w:pPr>
                <w:spacing w:beforeLines="50" w:before="156" w:afterLines="50" w:after="156" w:line="360" w:lineRule="exact"/>
                <w:ind w:firstLineChars="200" w:firstLine="420"/>
                <w:jc w:val="both"/>
              </w:pPr>
              <w:r>
                <w:rPr>
                  <w:rFonts w:hint="eastAsia"/>
                </w:rPr>
                <w:t>本公司确定投资性房地产的公允价值时，参照活跃市场上同类或类似房地产的现行市场价格；无法取得同类或类似房地产的现行市场价格的，参照活跃市场上同类或类房地产的最近交易价格，并考虑资产状况、所在位置、交易情况、交易日期等因素，从而对投资性房地产的公允价值作出合理的估计；或基于预计未来获得的租金收益和有关现金流量的现值确定其公允价值。本公司有确凿证据表明房地产用途发生改变，将投资性房地产转换为自用房地产时，以其转换当日的公允价值作为自用房地产的账面价值，公允价值与原账面价值的差额计入当期损益。自用房地产或存货转换为采用公允价值模式计量的投资性房地产时，投资性房地产按照转换当日的公允价值计价，</w:t>
              </w:r>
              <w:r>
                <w:rPr>
                  <w:rFonts w:hint="eastAsia"/>
                </w:rPr>
                <w:lastRenderedPageBreak/>
                <w:t>转换当日的公允价值小于原账面价值的，其差额计入当期损益；转换当日的公允价值大于原账面价值的，其差额计入其他综合收益。</w:t>
              </w:r>
            </w:p>
            <w:p w14:paraId="5DDB7487" w14:textId="77777777" w:rsidR="007E7472" w:rsidRDefault="00EC1269">
              <w:pPr>
                <w:spacing w:beforeLines="50" w:before="156" w:afterLines="50" w:after="156" w:line="360" w:lineRule="exact"/>
                <w:ind w:firstLineChars="200" w:firstLine="420"/>
                <w:jc w:val="both"/>
              </w:pPr>
              <w:r>
                <w:rPr>
                  <w:rFonts w:hint="eastAsia"/>
                </w:rPr>
                <w:t>当投资性房地产被处置，或者永久退出使用且预计不能从其处置中取得经济利益时，终止确认该项投资性房地产。投资性房地产出售、转让、报废或毁损的处置收入扣除其账面价值和相关税费后的金额计入当期损益。</w:t>
              </w:r>
            </w:p>
          </w:sdtContent>
        </w:sdt>
      </w:sdtContent>
    </w:sdt>
    <w:p w14:paraId="47124ED6" w14:textId="77777777" w:rsidR="007E7472" w:rsidRDefault="00C8327E"/>
    <w:p w14:paraId="246741E2" w14:textId="77777777" w:rsidR="007E7472" w:rsidRDefault="00C8327E"/>
    <w:p w14:paraId="28574249" w14:textId="77777777" w:rsidR="007E7472" w:rsidRDefault="00EC1269" w:rsidP="00162493">
      <w:pPr>
        <w:pStyle w:val="3"/>
        <w:numPr>
          <w:ilvl w:val="0"/>
          <w:numId w:val="46"/>
        </w:numPr>
      </w:pPr>
      <w:r>
        <w:t>固定资产</w:t>
      </w:r>
    </w:p>
    <w:sdt>
      <w:sdtPr>
        <w:rPr>
          <w:rFonts w:ascii="宋体" w:hAnsi="宋体" w:cs="宋体"/>
          <w:b w:val="0"/>
          <w:bCs w:val="0"/>
          <w:kern w:val="0"/>
          <w:szCs w:val="24"/>
        </w:rPr>
        <w:alias w:val="模块:固定资产确认条件"/>
        <w:tag w:val="_GBC_662771796da549e1b2a02fb7d497f077"/>
        <w:id w:val="1679699605"/>
        <w:lock w:val="sdtLocked"/>
        <w:placeholder>
          <w:docPart w:val="GBC22222222222222222222222222222"/>
        </w:placeholder>
      </w:sdtPr>
      <w:sdtEndPr>
        <w:rPr>
          <w:szCs w:val="21"/>
        </w:rPr>
      </w:sdtEndPr>
      <w:sdtContent>
        <w:p w14:paraId="3696B36D" w14:textId="77777777" w:rsidR="007E7472" w:rsidRDefault="00EC1269" w:rsidP="00162493">
          <w:pPr>
            <w:pStyle w:val="4"/>
            <w:numPr>
              <w:ilvl w:val="0"/>
              <w:numId w:val="53"/>
            </w:numPr>
          </w:pPr>
          <w:r>
            <w:rPr>
              <w:rFonts w:hint="eastAsia"/>
            </w:rPr>
            <w:t>确认条件</w:t>
          </w:r>
        </w:p>
        <w:sdt>
          <w:sdtPr>
            <w:alias w:val="是否适用：固定资产确认条件[双击切换]"/>
            <w:tag w:val="_GBC_45cce032cd1f43bfad18a80dd94e9cc4"/>
            <w:id w:val="1391545302"/>
            <w:lock w:val="sdtLocked"/>
            <w:placeholder>
              <w:docPart w:val="GBC22222222222222222222222222222"/>
            </w:placeholder>
          </w:sdtPr>
          <w:sdtEndPr/>
          <w:sdtContent>
            <w:p w14:paraId="4E6E2C52" w14:textId="77777777" w:rsidR="007E7472" w:rsidRDefault="00EC1269">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rPr>
              <w:bCs/>
            </w:rPr>
            <w:alias w:val="固定资产确认条件"/>
            <w:tag w:val="_GBC_3044d53470b143fa9477fa34b85d4ec5"/>
            <w:id w:val="-1570564174"/>
            <w:lock w:val="sdtLocked"/>
            <w:placeholder>
              <w:docPart w:val="GBC22222222222222222222222222222"/>
            </w:placeholder>
          </w:sdtPr>
          <w:sdtEndPr>
            <w:rPr>
              <w:b/>
            </w:rPr>
          </w:sdtEndPr>
          <w:sdtContent>
            <w:p w14:paraId="73A729D1" w14:textId="77777777" w:rsidR="007E7472" w:rsidRDefault="00EC1269">
              <w:pPr>
                <w:spacing w:beforeLines="50" w:before="156" w:afterLines="50" w:after="156" w:line="360" w:lineRule="exact"/>
                <w:ind w:firstLineChars="200" w:firstLine="420"/>
                <w:jc w:val="both"/>
                <w:rPr>
                  <w:bCs/>
                </w:rPr>
              </w:pPr>
              <w:r>
                <w:rPr>
                  <w:rFonts w:hint="eastAsia"/>
                  <w:bCs/>
                </w:rPr>
                <w:t>本集团固定资产是指同时具有以下特征，即为生产商品、提供劳务、经营管理而持有的，使用年限超过一年的有形资产。</w:t>
              </w:r>
            </w:p>
            <w:p w14:paraId="6EFC2392" w14:textId="77777777" w:rsidR="007E7472" w:rsidRDefault="00EC1269">
              <w:pPr>
                <w:spacing w:beforeLines="50" w:before="156" w:afterLines="50" w:after="156" w:line="360" w:lineRule="exact"/>
                <w:ind w:firstLineChars="200" w:firstLine="420"/>
                <w:jc w:val="both"/>
                <w:rPr>
                  <w:bCs/>
                </w:rPr>
              </w:pPr>
              <w:r>
                <w:rPr>
                  <w:rFonts w:hint="eastAsia"/>
                  <w:bCs/>
                </w:rPr>
                <w:t>固定资产在与其有关的经济利益很可能流入本集团、且其成本能够可靠计量时予以确认。本集团固定资产包括房屋建筑物、机器设备、运输设备、电子设备和其他。确定固定资产成本时，考虑预计弃置费用因素。</w:t>
              </w:r>
            </w:p>
            <w:p w14:paraId="59ED8090" w14:textId="77777777" w:rsidR="007E7472" w:rsidRDefault="00EC1269">
              <w:pPr>
                <w:spacing w:beforeLines="50" w:before="156" w:afterLines="50" w:after="156" w:line="360" w:lineRule="exact"/>
                <w:ind w:firstLineChars="200" w:firstLine="420"/>
                <w:jc w:val="both"/>
                <w:rPr>
                  <w:b/>
                  <w:bCs/>
                </w:rPr>
              </w:pPr>
              <w:r>
                <w:rPr>
                  <w:rFonts w:hint="eastAsia"/>
                  <w:bCs/>
                </w:rPr>
                <w:t>除已提足折旧仍继续使用的固定资产和单独计价入账的土地外，本集团对所有固定资产计提折旧，其中矿井建筑物采用产量法计提折旧，其他固定资产采用平均年限法计提折旧。本集团固定资产的分类折旧年限、预计净残值率、折旧率如下：</w:t>
              </w:r>
            </w:p>
          </w:sdtContent>
        </w:sdt>
      </w:sdtContent>
    </w:sdt>
    <w:p w14:paraId="0769FD24" w14:textId="77777777" w:rsidR="007E7472" w:rsidRDefault="00C8327E"/>
    <w:sdt>
      <w:sdtPr>
        <w:rPr>
          <w:rFonts w:ascii="宋体" w:hAnsi="宋体" w:cstheme="minorBidi"/>
          <w:b w:val="0"/>
          <w:bCs w:val="0"/>
          <w:kern w:val="0"/>
          <w:szCs w:val="22"/>
        </w:rPr>
        <w:alias w:val="模块:固定资产折旧方法"/>
        <w:tag w:val="_GBC_7c749a57d4094b3386978c34c3487e2a"/>
        <w:id w:val="-327759182"/>
        <w:lock w:val="sdtLocked"/>
        <w:placeholder>
          <w:docPart w:val="GBC22222222222222222222222222222"/>
        </w:placeholder>
      </w:sdtPr>
      <w:sdtEndPr>
        <w:rPr>
          <w:rFonts w:cs="宋体"/>
          <w:szCs w:val="21"/>
        </w:rPr>
      </w:sdtEndPr>
      <w:sdtContent>
        <w:p w14:paraId="082105FA" w14:textId="77777777" w:rsidR="007E7472" w:rsidRDefault="00EC1269" w:rsidP="00162493">
          <w:pPr>
            <w:pStyle w:val="4"/>
            <w:numPr>
              <w:ilvl w:val="0"/>
              <w:numId w:val="53"/>
            </w:numPr>
          </w:pPr>
          <w:r>
            <w:t>折旧方法</w:t>
          </w:r>
        </w:p>
        <w:sdt>
          <w:sdtPr>
            <w:alias w:val="是否适用：固定资产折旧方法[双击切换]"/>
            <w:tag w:val="_GBC_c221ef38ff6a4242aab725946697311c"/>
            <w:id w:val="1214619587"/>
            <w:lock w:val="sdtLocked"/>
            <w:placeholder>
              <w:docPart w:val="GBC22222222222222222222222222222"/>
            </w:placeholder>
          </w:sdtPr>
          <w:sdtEndPr/>
          <w:sdtContent>
            <w:p w14:paraId="75EF0EA0" w14:textId="77777777" w:rsidR="007E7472" w:rsidRDefault="00EC1269">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785"/>
            <w:gridCol w:w="1788"/>
            <w:gridCol w:w="1788"/>
            <w:gridCol w:w="1788"/>
          </w:tblGrid>
          <w:tr w:rsidR="007E7472" w14:paraId="774FB4C2" w14:textId="77777777">
            <w:sdt>
              <w:sdtPr>
                <w:tag w:val="_PLD_d39db65ac15c4d7583d7fe75cb893517"/>
                <w:id w:val="1804579019"/>
                <w:lock w:val="sdtLocked"/>
              </w:sdtPr>
              <w:sdtEndPr/>
              <w:sdtContent>
                <w:tc>
                  <w:tcPr>
                    <w:tcW w:w="949" w:type="pct"/>
                    <w:vAlign w:val="center"/>
                  </w:tcPr>
                  <w:p w14:paraId="6F1102EA" w14:textId="77777777" w:rsidR="007E7472" w:rsidRDefault="00EC1269">
                    <w:pPr>
                      <w:jc w:val="center"/>
                    </w:pPr>
                    <w:r>
                      <w:t>类别</w:t>
                    </w:r>
                  </w:p>
                </w:tc>
              </w:sdtContent>
            </w:sdt>
            <w:sdt>
              <w:sdtPr>
                <w:tag w:val="_PLD_1b5147121b9948e5a115c7a4d6c95995"/>
                <w:id w:val="-1052149066"/>
                <w:lock w:val="sdtLocked"/>
              </w:sdtPr>
              <w:sdtEndPr/>
              <w:sdtContent>
                <w:tc>
                  <w:tcPr>
                    <w:tcW w:w="1012" w:type="pct"/>
                    <w:vAlign w:val="center"/>
                  </w:tcPr>
                  <w:p w14:paraId="7AA9AF55" w14:textId="77777777" w:rsidR="007E7472" w:rsidRDefault="00EC1269">
                    <w:pPr>
                      <w:jc w:val="center"/>
                    </w:pPr>
                    <w:r>
                      <w:rPr>
                        <w:rFonts w:hint="eastAsia"/>
                      </w:rPr>
                      <w:t>折旧方法</w:t>
                    </w:r>
                  </w:p>
                </w:tc>
              </w:sdtContent>
            </w:sdt>
            <w:sdt>
              <w:sdtPr>
                <w:tag w:val="_PLD_65441224aa3f4fd3be4ca0650b16b1aa"/>
                <w:id w:val="-24333331"/>
                <w:lock w:val="sdtLocked"/>
              </w:sdtPr>
              <w:sdtEndPr/>
              <w:sdtContent>
                <w:tc>
                  <w:tcPr>
                    <w:tcW w:w="1013" w:type="pct"/>
                    <w:vAlign w:val="center"/>
                  </w:tcPr>
                  <w:p w14:paraId="5AB85879" w14:textId="77777777" w:rsidR="007E7472" w:rsidRDefault="00EC1269">
                    <w:pPr>
                      <w:jc w:val="center"/>
                    </w:pPr>
                    <w:r>
                      <w:t>折旧年限（年）</w:t>
                    </w:r>
                  </w:p>
                </w:tc>
              </w:sdtContent>
            </w:sdt>
            <w:sdt>
              <w:sdtPr>
                <w:tag w:val="_PLD_1c82a37539a842289bf80f2937f33bee"/>
                <w:id w:val="-430200787"/>
                <w:lock w:val="sdtLocked"/>
              </w:sdtPr>
              <w:sdtEndPr/>
              <w:sdtContent>
                <w:tc>
                  <w:tcPr>
                    <w:tcW w:w="1013" w:type="pct"/>
                    <w:vAlign w:val="center"/>
                  </w:tcPr>
                  <w:p w14:paraId="6D26F8E4" w14:textId="77777777" w:rsidR="007E7472" w:rsidRDefault="00EC1269">
                    <w:pPr>
                      <w:jc w:val="center"/>
                    </w:pPr>
                    <w:r>
                      <w:t>残值率</w:t>
                    </w:r>
                  </w:p>
                </w:tc>
              </w:sdtContent>
            </w:sdt>
            <w:sdt>
              <w:sdtPr>
                <w:tag w:val="_PLD_a67e8338c181496fa22b9944b63ec82c"/>
                <w:id w:val="991380787"/>
                <w:lock w:val="sdtLocked"/>
              </w:sdtPr>
              <w:sdtEndPr/>
              <w:sdtContent>
                <w:tc>
                  <w:tcPr>
                    <w:tcW w:w="1013" w:type="pct"/>
                    <w:vAlign w:val="center"/>
                  </w:tcPr>
                  <w:p w14:paraId="0B2721FE" w14:textId="77777777" w:rsidR="007E7472" w:rsidRDefault="00EC1269">
                    <w:pPr>
                      <w:jc w:val="center"/>
                    </w:pPr>
                    <w:r>
                      <w:t>年折旧率</w:t>
                    </w:r>
                  </w:p>
                </w:tc>
              </w:sdtContent>
            </w:sdt>
          </w:tr>
          <w:sdt>
            <w:sdtPr>
              <w:rPr>
                <w:rFonts w:cstheme="minorBidi"/>
                <w:kern w:val="2"/>
              </w:rPr>
              <w:alias w:val="其他固定资产计价、折旧、减值方法"/>
              <w:tag w:val="_GBC_f1ad6125c5d74d2a98f593d2ba574474"/>
              <w:id w:val="370574911"/>
              <w:lock w:val="sdtLocked"/>
            </w:sdtPr>
            <w:sdtEndPr/>
            <w:sdtContent>
              <w:tr w:rsidR="007E7472" w14:paraId="63427105" w14:textId="77777777">
                <w:tc>
                  <w:tcPr>
                    <w:tcW w:w="949" w:type="pct"/>
                  </w:tcPr>
                  <w:p w14:paraId="47D66C1D" w14:textId="77777777" w:rsidR="007E7472" w:rsidRDefault="00EC1269">
                    <w:pPr>
                      <w:jc w:val="center"/>
                    </w:pPr>
                    <w:r>
                      <w:t>房屋建筑物</w:t>
                    </w:r>
                  </w:p>
                </w:tc>
                <w:tc>
                  <w:tcPr>
                    <w:tcW w:w="1012" w:type="pct"/>
                  </w:tcPr>
                  <w:p w14:paraId="07FE7545" w14:textId="77777777" w:rsidR="007E7472" w:rsidRDefault="00EC1269">
                    <w:pPr>
                      <w:jc w:val="center"/>
                    </w:pPr>
                    <w:r>
                      <w:t>平均年限法</w:t>
                    </w:r>
                  </w:p>
                </w:tc>
                <w:tc>
                  <w:tcPr>
                    <w:tcW w:w="1013" w:type="pct"/>
                  </w:tcPr>
                  <w:p w14:paraId="47E59EA6" w14:textId="77777777" w:rsidR="007E7472" w:rsidRDefault="00EC1269">
                    <w:pPr>
                      <w:jc w:val="center"/>
                    </w:pPr>
                    <w:r>
                      <w:t>10-30</w:t>
                    </w:r>
                  </w:p>
                </w:tc>
                <w:tc>
                  <w:tcPr>
                    <w:tcW w:w="1013" w:type="pct"/>
                  </w:tcPr>
                  <w:p w14:paraId="4F042430" w14:textId="77777777" w:rsidR="007E7472" w:rsidRDefault="00EC1269">
                    <w:pPr>
                      <w:jc w:val="center"/>
                    </w:pPr>
                    <w:r>
                      <w:t>0</w:t>
                    </w:r>
                  </w:p>
                </w:tc>
                <w:tc>
                  <w:tcPr>
                    <w:tcW w:w="1013" w:type="pct"/>
                  </w:tcPr>
                  <w:p w14:paraId="6CED3621" w14:textId="77777777" w:rsidR="007E7472" w:rsidRDefault="00EC1269">
                    <w:pPr>
                      <w:jc w:val="center"/>
                    </w:pPr>
                    <w:r>
                      <w:t>3.33-10.00</w:t>
                    </w:r>
                  </w:p>
                </w:tc>
              </w:tr>
            </w:sdtContent>
          </w:sdt>
          <w:sdt>
            <w:sdtPr>
              <w:rPr>
                <w:rFonts w:cstheme="minorBidi"/>
                <w:kern w:val="2"/>
              </w:rPr>
              <w:alias w:val="其他固定资产计价、折旧、减值方法"/>
              <w:tag w:val="_GBC_f1ad6125c5d74d2a98f593d2ba574474"/>
              <w:id w:val="1815754208"/>
              <w:lock w:val="sdtLocked"/>
            </w:sdtPr>
            <w:sdtEndPr/>
            <w:sdtContent>
              <w:tr w:rsidR="007E7472" w14:paraId="2E9DEFAF" w14:textId="77777777">
                <w:tc>
                  <w:tcPr>
                    <w:tcW w:w="949" w:type="pct"/>
                  </w:tcPr>
                  <w:p w14:paraId="06F6AF5A" w14:textId="77777777" w:rsidR="007E7472" w:rsidRDefault="00EC1269">
                    <w:pPr>
                      <w:jc w:val="center"/>
                    </w:pPr>
                    <w:r>
                      <w:t>地面建筑物</w:t>
                    </w:r>
                  </w:p>
                </w:tc>
                <w:tc>
                  <w:tcPr>
                    <w:tcW w:w="1012" w:type="pct"/>
                  </w:tcPr>
                  <w:p w14:paraId="40B1BDB4" w14:textId="77777777" w:rsidR="007E7472" w:rsidRDefault="00EC1269">
                    <w:pPr>
                      <w:jc w:val="center"/>
                    </w:pPr>
                    <w:r>
                      <w:t>平均年限法</w:t>
                    </w:r>
                  </w:p>
                </w:tc>
                <w:tc>
                  <w:tcPr>
                    <w:tcW w:w="1013" w:type="pct"/>
                  </w:tcPr>
                  <w:p w14:paraId="7DC76A18" w14:textId="77777777" w:rsidR="007E7472" w:rsidRDefault="00EC1269">
                    <w:pPr>
                      <w:jc w:val="center"/>
                    </w:pPr>
                    <w:r>
                      <w:t>10-25</w:t>
                    </w:r>
                  </w:p>
                </w:tc>
                <w:tc>
                  <w:tcPr>
                    <w:tcW w:w="1013" w:type="pct"/>
                  </w:tcPr>
                  <w:p w14:paraId="663E1466" w14:textId="77777777" w:rsidR="007E7472" w:rsidRDefault="00EC1269">
                    <w:pPr>
                      <w:jc w:val="center"/>
                    </w:pPr>
                    <w:r>
                      <w:t>0</w:t>
                    </w:r>
                  </w:p>
                </w:tc>
                <w:tc>
                  <w:tcPr>
                    <w:tcW w:w="1013" w:type="pct"/>
                  </w:tcPr>
                  <w:p w14:paraId="76A18CA8" w14:textId="77777777" w:rsidR="007E7472" w:rsidRDefault="00EC1269">
                    <w:pPr>
                      <w:jc w:val="center"/>
                    </w:pPr>
                    <w:r>
                      <w:t>4.00-10.00</w:t>
                    </w:r>
                  </w:p>
                </w:tc>
              </w:tr>
            </w:sdtContent>
          </w:sdt>
          <w:sdt>
            <w:sdtPr>
              <w:rPr>
                <w:rFonts w:cstheme="minorBidi"/>
                <w:kern w:val="2"/>
              </w:rPr>
              <w:alias w:val="其他固定资产计价、折旧、减值方法"/>
              <w:tag w:val="_GBC_f1ad6125c5d74d2a98f593d2ba574474"/>
              <w:id w:val="424160857"/>
              <w:lock w:val="sdtLocked"/>
            </w:sdtPr>
            <w:sdtEndPr/>
            <w:sdtContent>
              <w:tr w:rsidR="007E7472" w14:paraId="61AFE0A7" w14:textId="77777777">
                <w:tc>
                  <w:tcPr>
                    <w:tcW w:w="949" w:type="pct"/>
                  </w:tcPr>
                  <w:p w14:paraId="7C00E0B7" w14:textId="77777777" w:rsidR="007E7472" w:rsidRDefault="00EC1269">
                    <w:pPr>
                      <w:jc w:val="center"/>
                    </w:pPr>
                    <w:r>
                      <w:t>码头建筑物</w:t>
                    </w:r>
                  </w:p>
                </w:tc>
                <w:tc>
                  <w:tcPr>
                    <w:tcW w:w="1012" w:type="pct"/>
                  </w:tcPr>
                  <w:p w14:paraId="48B9CC02" w14:textId="77777777" w:rsidR="007E7472" w:rsidRDefault="00EC1269">
                    <w:pPr>
                      <w:jc w:val="center"/>
                    </w:pPr>
                    <w:r>
                      <w:t>平均年限法</w:t>
                    </w:r>
                  </w:p>
                </w:tc>
                <w:tc>
                  <w:tcPr>
                    <w:tcW w:w="1013" w:type="pct"/>
                  </w:tcPr>
                  <w:p w14:paraId="1AD44890" w14:textId="77777777" w:rsidR="007E7472" w:rsidRDefault="00EC1269">
                    <w:pPr>
                      <w:jc w:val="center"/>
                    </w:pPr>
                    <w:r>
                      <w:t>40</w:t>
                    </w:r>
                  </w:p>
                </w:tc>
                <w:tc>
                  <w:tcPr>
                    <w:tcW w:w="1013" w:type="pct"/>
                  </w:tcPr>
                  <w:p w14:paraId="5CF07C00" w14:textId="77777777" w:rsidR="007E7472" w:rsidRDefault="00EC1269">
                    <w:pPr>
                      <w:jc w:val="center"/>
                    </w:pPr>
                    <w:r>
                      <w:t>0</w:t>
                    </w:r>
                  </w:p>
                </w:tc>
                <w:tc>
                  <w:tcPr>
                    <w:tcW w:w="1013" w:type="pct"/>
                  </w:tcPr>
                  <w:p w14:paraId="10D1F4FA" w14:textId="77777777" w:rsidR="007E7472" w:rsidRDefault="00EC1269">
                    <w:pPr>
                      <w:jc w:val="center"/>
                    </w:pPr>
                    <w:r>
                      <w:t>2.50</w:t>
                    </w:r>
                  </w:p>
                </w:tc>
              </w:tr>
            </w:sdtContent>
          </w:sdt>
          <w:sdt>
            <w:sdtPr>
              <w:rPr>
                <w:rFonts w:cstheme="minorBidi"/>
                <w:kern w:val="2"/>
              </w:rPr>
              <w:alias w:val="其他固定资产计价、折旧、减值方法"/>
              <w:tag w:val="_GBC_f1ad6125c5d74d2a98f593d2ba574474"/>
              <w:id w:val="1349458289"/>
              <w:lock w:val="sdtLocked"/>
            </w:sdtPr>
            <w:sdtEndPr/>
            <w:sdtContent>
              <w:tr w:rsidR="007E7472" w14:paraId="15F3D383" w14:textId="77777777">
                <w:tc>
                  <w:tcPr>
                    <w:tcW w:w="949" w:type="pct"/>
                  </w:tcPr>
                  <w:p w14:paraId="334A4B99" w14:textId="77777777" w:rsidR="007E7472" w:rsidRDefault="00EC1269">
                    <w:pPr>
                      <w:jc w:val="center"/>
                    </w:pPr>
                    <w:r>
                      <w:t>机器设备</w:t>
                    </w:r>
                  </w:p>
                </w:tc>
                <w:tc>
                  <w:tcPr>
                    <w:tcW w:w="1012" w:type="pct"/>
                  </w:tcPr>
                  <w:p w14:paraId="4442F9C2" w14:textId="77777777" w:rsidR="007E7472" w:rsidRDefault="00EC1269">
                    <w:pPr>
                      <w:jc w:val="center"/>
                    </w:pPr>
                    <w:r>
                      <w:t>平均年限法</w:t>
                    </w:r>
                  </w:p>
                </w:tc>
                <w:tc>
                  <w:tcPr>
                    <w:tcW w:w="1013" w:type="pct"/>
                  </w:tcPr>
                  <w:p w14:paraId="587464C3" w14:textId="77777777" w:rsidR="007E7472" w:rsidRDefault="00EC1269">
                    <w:pPr>
                      <w:jc w:val="center"/>
                    </w:pPr>
                    <w:r>
                      <w:t>2.5-25</w:t>
                    </w:r>
                  </w:p>
                </w:tc>
                <w:tc>
                  <w:tcPr>
                    <w:tcW w:w="1013" w:type="pct"/>
                  </w:tcPr>
                  <w:p w14:paraId="044A6C27" w14:textId="77777777" w:rsidR="007E7472" w:rsidRDefault="00EC1269">
                    <w:pPr>
                      <w:jc w:val="center"/>
                    </w:pPr>
                    <w:r>
                      <w:t>0</w:t>
                    </w:r>
                  </w:p>
                </w:tc>
                <w:tc>
                  <w:tcPr>
                    <w:tcW w:w="1013" w:type="pct"/>
                  </w:tcPr>
                  <w:p w14:paraId="3623C971" w14:textId="77777777" w:rsidR="007E7472" w:rsidRDefault="00EC1269">
                    <w:pPr>
                      <w:jc w:val="center"/>
                    </w:pPr>
                    <w:r>
                      <w:t>4.00-40.00</w:t>
                    </w:r>
                  </w:p>
                </w:tc>
              </w:tr>
            </w:sdtContent>
          </w:sdt>
          <w:sdt>
            <w:sdtPr>
              <w:rPr>
                <w:rFonts w:cstheme="minorBidi"/>
                <w:kern w:val="2"/>
              </w:rPr>
              <w:alias w:val="其他固定资产计价、折旧、减值方法"/>
              <w:tag w:val="_GBC_f1ad6125c5d74d2a98f593d2ba574474"/>
              <w:id w:val="1653412519"/>
              <w:lock w:val="sdtLocked"/>
            </w:sdtPr>
            <w:sdtEndPr/>
            <w:sdtContent>
              <w:tr w:rsidR="007E7472" w14:paraId="0CBA18FD" w14:textId="77777777">
                <w:tc>
                  <w:tcPr>
                    <w:tcW w:w="949" w:type="pct"/>
                  </w:tcPr>
                  <w:p w14:paraId="46060BCD" w14:textId="77777777" w:rsidR="007E7472" w:rsidRDefault="00EC1269">
                    <w:pPr>
                      <w:jc w:val="center"/>
                    </w:pPr>
                    <w:r>
                      <w:t>运输设备</w:t>
                    </w:r>
                  </w:p>
                </w:tc>
                <w:tc>
                  <w:tcPr>
                    <w:tcW w:w="1012" w:type="pct"/>
                  </w:tcPr>
                  <w:p w14:paraId="70FF8EB0" w14:textId="77777777" w:rsidR="007E7472" w:rsidRDefault="00EC1269">
                    <w:pPr>
                      <w:jc w:val="center"/>
                    </w:pPr>
                    <w:r>
                      <w:t>平均年限法</w:t>
                    </w:r>
                  </w:p>
                </w:tc>
                <w:tc>
                  <w:tcPr>
                    <w:tcW w:w="1013" w:type="pct"/>
                  </w:tcPr>
                  <w:p w14:paraId="1711E043" w14:textId="77777777" w:rsidR="007E7472" w:rsidRDefault="00EC1269">
                    <w:pPr>
                      <w:jc w:val="center"/>
                    </w:pPr>
                    <w:r>
                      <w:t>6-18</w:t>
                    </w:r>
                  </w:p>
                </w:tc>
                <w:tc>
                  <w:tcPr>
                    <w:tcW w:w="1013" w:type="pct"/>
                  </w:tcPr>
                  <w:p w14:paraId="23D53A97" w14:textId="77777777" w:rsidR="007E7472" w:rsidRDefault="00EC1269">
                    <w:pPr>
                      <w:jc w:val="center"/>
                    </w:pPr>
                    <w:r>
                      <w:t>0</w:t>
                    </w:r>
                  </w:p>
                </w:tc>
                <w:tc>
                  <w:tcPr>
                    <w:tcW w:w="1013" w:type="pct"/>
                  </w:tcPr>
                  <w:p w14:paraId="46357AF0" w14:textId="77777777" w:rsidR="007E7472" w:rsidRDefault="00EC1269">
                    <w:pPr>
                      <w:jc w:val="center"/>
                    </w:pPr>
                    <w:r>
                      <w:t>5.56-16.67</w:t>
                    </w:r>
                  </w:p>
                </w:tc>
              </w:tr>
            </w:sdtContent>
          </w:sdt>
        </w:tbl>
        <w:p w14:paraId="5A5D668B" w14:textId="77777777" w:rsidR="007E7472" w:rsidRDefault="00EC1269">
          <w:pPr>
            <w:tabs>
              <w:tab w:val="left" w:pos="960"/>
            </w:tabs>
            <w:spacing w:beforeLines="50" w:before="156" w:afterLines="50" w:after="156" w:line="360" w:lineRule="exact"/>
            <w:ind w:firstLineChars="200" w:firstLine="420"/>
            <w:jc w:val="both"/>
          </w:pPr>
          <w:r>
            <w:t>除</w:t>
          </w:r>
          <w:r>
            <w:rPr>
              <w:rFonts w:hint="eastAsia"/>
            </w:rPr>
            <w:t>本公司之</w:t>
          </w:r>
          <w:r>
            <w:t>子公司山东兖煤航运有限公司船舶的折旧年限为18年外，其余运输设备的折旧年限均为6至9年。</w:t>
          </w:r>
        </w:p>
        <w:p w14:paraId="4C33CB05" w14:textId="77777777" w:rsidR="007E7472" w:rsidRDefault="00EC1269">
          <w:pPr>
            <w:tabs>
              <w:tab w:val="left" w:pos="960"/>
            </w:tabs>
            <w:spacing w:beforeLines="50" w:before="156" w:afterLines="50" w:after="156" w:line="360" w:lineRule="exact"/>
            <w:ind w:firstLineChars="200" w:firstLine="420"/>
            <w:jc w:val="both"/>
          </w:pPr>
          <w:r>
            <w:t>土地类固定资产指本</w:t>
          </w:r>
          <w:r>
            <w:rPr>
              <w:rFonts w:hint="eastAsia"/>
            </w:rPr>
            <w:t>公司</w:t>
          </w:r>
          <w:r>
            <w:t>之澳大利亚子公司拥有的土地，由于拥有永久所有权，所以不计提折旧。</w:t>
          </w:r>
        </w:p>
        <w:p w14:paraId="7A006790" w14:textId="77777777" w:rsidR="007E7472" w:rsidRDefault="00EC1269">
          <w:pPr>
            <w:tabs>
              <w:tab w:val="left" w:pos="960"/>
            </w:tabs>
            <w:spacing w:beforeLines="50" w:before="156" w:afterLines="50" w:after="156" w:line="360" w:lineRule="exact"/>
            <w:ind w:firstLineChars="200" w:firstLine="420"/>
            <w:jc w:val="both"/>
          </w:pPr>
          <w:r>
            <w:rPr>
              <w:rFonts w:hint="eastAsia"/>
            </w:rPr>
            <w:t>本集团于每年年度终了，对固定资产的预计使用寿命、预计净残值和折旧方法</w:t>
          </w:r>
          <w:r>
            <w:rPr>
              <w:rFonts w:cs="Arial" w:hint="eastAsia"/>
            </w:rPr>
            <w:t>进行复核，如发生改变，则作为会计估计变更处理。</w:t>
          </w:r>
        </w:p>
      </w:sdtContent>
    </w:sdt>
    <w:sdt>
      <w:sdtPr>
        <w:rPr>
          <w:rFonts w:ascii="宋体" w:hAnsi="宋体" w:cs="宋体"/>
          <w:b w:val="0"/>
          <w:bCs w:val="0"/>
          <w:kern w:val="0"/>
          <w:sz w:val="20"/>
          <w:szCs w:val="22"/>
        </w:rPr>
        <w:alias w:val="模块:固定资产计价和折旧方法及减值准备的计提方法"/>
        <w:tag w:val="_GBC_a1560089c32f441f92e145c3cdc25289"/>
        <w:id w:val="-307328505"/>
        <w:lock w:val="sdtLocked"/>
        <w:placeholder>
          <w:docPart w:val="GBC22222222222222222222222222222"/>
        </w:placeholder>
      </w:sdtPr>
      <w:sdtEndPr>
        <w:rPr>
          <w:rFonts w:hint="eastAsia"/>
          <w:szCs w:val="21"/>
        </w:rPr>
      </w:sdtEndPr>
      <w:sdtContent>
        <w:p w14:paraId="7C91FCF7" w14:textId="77777777" w:rsidR="007E7472" w:rsidRDefault="00EC1269" w:rsidP="00162493">
          <w:pPr>
            <w:pStyle w:val="4"/>
            <w:numPr>
              <w:ilvl w:val="0"/>
              <w:numId w:val="53"/>
            </w:numPr>
          </w:pPr>
          <w:r>
            <w:rPr>
              <w:rFonts w:hint="eastAsia"/>
            </w:rPr>
            <w:t>融资租入固定资产的认定依据、计价和折旧方法</w:t>
          </w:r>
        </w:p>
        <w:sdt>
          <w:sdtPr>
            <w:alias w:val="是否适用：融资租入固定资产的认定依据、计价和折旧方法[双击切换]"/>
            <w:tag w:val="_GBC_16fcfe6546324a2bb6bf5a46c9363b25"/>
            <w:id w:val="1938490136"/>
            <w:lock w:val="sdtLocked"/>
            <w:placeholder>
              <w:docPart w:val="GBC22222222222222222222222222222"/>
            </w:placeholder>
          </w:sdtPr>
          <w:sdtEndPr/>
          <w:sdtContent>
            <w:p w14:paraId="07A2811A" w14:textId="77777777" w:rsidR="007E7472" w:rsidRDefault="00EC1269">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Content>
    </w:sdt>
    <w:p w14:paraId="003F6F2F" w14:textId="77777777" w:rsidR="007E7472" w:rsidRDefault="00C8327E"/>
    <w:sdt>
      <w:sdtPr>
        <w:rPr>
          <w:rFonts w:ascii="宋体" w:hAnsi="宋体" w:cs="宋体"/>
          <w:b w:val="0"/>
          <w:bCs w:val="0"/>
          <w:kern w:val="0"/>
          <w:sz w:val="20"/>
          <w:szCs w:val="24"/>
        </w:rPr>
        <w:alias w:val="模块:在建工程会计处理方法"/>
        <w:tag w:val="_GBC_3eb5f960df3e47f0a4bf3af0bc67ca96"/>
        <w:id w:val="1973940974"/>
        <w:lock w:val="sdtLocked"/>
        <w:placeholder>
          <w:docPart w:val="GBC22222222222222222222222222222"/>
        </w:placeholder>
      </w:sdtPr>
      <w:sdtEndPr>
        <w:rPr>
          <w:rFonts w:hint="eastAsia"/>
          <w:szCs w:val="21"/>
        </w:rPr>
      </w:sdtEndPr>
      <w:sdtContent>
        <w:p w14:paraId="1C98FC0C" w14:textId="77777777" w:rsidR="007E7472" w:rsidRDefault="00EC1269" w:rsidP="00162493">
          <w:pPr>
            <w:pStyle w:val="3"/>
            <w:numPr>
              <w:ilvl w:val="0"/>
              <w:numId w:val="46"/>
            </w:numPr>
          </w:pPr>
          <w:r>
            <w:t>在建工程</w:t>
          </w:r>
        </w:p>
        <w:p w14:paraId="340A2503" w14:textId="77777777" w:rsidR="007E7472" w:rsidRDefault="00C8327E">
          <w:sdt>
            <w:sdtPr>
              <w:rPr>
                <w:rFonts w:hint="eastAsia"/>
              </w:rPr>
              <w:alias w:val="是否适用：在建工程_重要会计政策和估计[双击切换]"/>
              <w:tag w:val="_GBC_d9803b41f65e4a7fbebb412a259d9bf9"/>
              <w:id w:val="-1810783595"/>
              <w:lock w:val="sdtLocked"/>
              <w:placeholder>
                <w:docPart w:val="GBC22222222222222222222222222222"/>
              </w:placeholder>
            </w:sdtPr>
            <w:sdtEndPr/>
            <w:sdtContent>
              <w:r w:rsidR="00EC1269">
                <w:fldChar w:fldCharType="begin"/>
              </w:r>
              <w:r w:rsidR="00EC1269">
                <w:rPr>
                  <w:rFonts w:hint="eastAsia"/>
                </w:rPr>
                <w:instrText xml:space="preserve"> MACROBUTTON  SnrToggleCheckbox √适用 </w:instrText>
              </w:r>
              <w:r w:rsidR="00EC1269">
                <w:fldChar w:fldCharType="end"/>
              </w:r>
              <w:r w:rsidR="00EC1269">
                <w:fldChar w:fldCharType="begin"/>
              </w:r>
              <w:r w:rsidR="00EC1269">
                <w:rPr>
                  <w:rFonts w:hint="eastAsia"/>
                </w:rPr>
                <w:instrText xml:space="preserve"> MACROBUTTON  SnrToggleCheckbox □不适用 </w:instrText>
              </w:r>
              <w:r w:rsidR="00EC1269">
                <w:fldChar w:fldCharType="end"/>
              </w:r>
            </w:sdtContent>
          </w:sdt>
        </w:p>
        <w:sdt>
          <w:sdtPr>
            <w:rPr>
              <w:rFonts w:hint="eastAsia"/>
            </w:rPr>
            <w:alias w:val="在建工程核算方法"/>
            <w:tag w:val="_GBC_ed79f983df814c58add61776fe84c76e"/>
            <w:id w:val="-2054069036"/>
            <w:lock w:val="sdtLocked"/>
            <w:placeholder>
              <w:docPart w:val="GBC22222222222222222222222222222"/>
            </w:placeholder>
          </w:sdtPr>
          <w:sdtEndPr/>
          <w:sdtContent>
            <w:p w14:paraId="2BC52340" w14:textId="77777777" w:rsidR="007E7472" w:rsidRDefault="00EC1269">
              <w:pPr>
                <w:spacing w:beforeLines="50" w:before="156" w:afterLines="50" w:after="156" w:line="360" w:lineRule="exact"/>
                <w:ind w:firstLineChars="200" w:firstLine="420"/>
                <w:jc w:val="both"/>
              </w:pPr>
              <w:r>
                <w:rPr>
                  <w:rFonts w:hint="eastAsia"/>
                </w:rPr>
                <w:t>在建工程在达到预定可使用状态之日起，根据工程预算、造价或工程实际成本等，按估计的价值结转固定资产，次月起开始计提折旧，待办理了竣工决算手续后再对固定资产原值差异进行调整。</w:t>
              </w:r>
            </w:p>
            <w:p w14:paraId="043AC55A" w14:textId="443B2347" w:rsidR="007E7472" w:rsidRDefault="00EC1269">
              <w:pPr>
                <w:spacing w:beforeLines="50" w:before="156" w:afterLines="50" w:after="156" w:line="360" w:lineRule="exact"/>
                <w:ind w:firstLineChars="200" w:firstLine="420"/>
                <w:jc w:val="both"/>
              </w:pPr>
              <w:r>
                <w:rPr>
                  <w:rFonts w:hint="eastAsia"/>
                </w:rPr>
                <w:t>达到预定可使用状态前产出的产品或副产品对外销售的，按照《企业会计准则第14号——收入》、《企业会计准则第1号——存货》等规定，对试运行销售相关的收入和成本分别进行会计处理，计入当期损益。</w:t>
              </w:r>
            </w:p>
          </w:sdtContent>
        </w:sdt>
        <w:p w14:paraId="5DB1B854" w14:textId="77777777" w:rsidR="007E7472" w:rsidRDefault="00C8327E"/>
      </w:sdtContent>
    </w:sdt>
    <w:sdt>
      <w:sdtPr>
        <w:rPr>
          <w:rFonts w:ascii="宋体" w:hAnsi="宋体" w:cs="宋体"/>
          <w:b w:val="0"/>
          <w:bCs w:val="0"/>
          <w:kern w:val="0"/>
          <w:sz w:val="20"/>
          <w:szCs w:val="22"/>
        </w:rPr>
        <w:alias w:val="模块:借款费用会计处理方法"/>
        <w:tag w:val="_GBC_e3e4d07ea08d4589a9293563ea655b42"/>
        <w:id w:val="1323690797"/>
        <w:lock w:val="sdtLocked"/>
        <w:placeholder>
          <w:docPart w:val="GBC22222222222222222222222222222"/>
        </w:placeholder>
      </w:sdtPr>
      <w:sdtEndPr>
        <w:rPr>
          <w:rFonts w:hint="eastAsia"/>
          <w:szCs w:val="21"/>
        </w:rPr>
      </w:sdtEndPr>
      <w:sdtContent>
        <w:p w14:paraId="05F955EC" w14:textId="77777777" w:rsidR="007E7472" w:rsidRDefault="00EC1269" w:rsidP="00162493">
          <w:pPr>
            <w:pStyle w:val="3"/>
            <w:numPr>
              <w:ilvl w:val="0"/>
              <w:numId w:val="46"/>
            </w:numPr>
          </w:pPr>
          <w:r>
            <w:t>借款费用</w:t>
          </w:r>
        </w:p>
        <w:sdt>
          <w:sdtPr>
            <w:rPr>
              <w:rFonts w:hint="eastAsia"/>
            </w:rPr>
            <w:alias w:val="是否适用：借款费用_重要会计政策和估计[双击切换]"/>
            <w:tag w:val="_GBC_3f3db73e5cb247009b3840143b5e6627"/>
            <w:id w:val="-1904388"/>
            <w:lock w:val="sdtLocked"/>
            <w:placeholder>
              <w:docPart w:val="GBC22222222222222222222222222222"/>
            </w:placeholder>
          </w:sdtPr>
          <w:sdtEndPr/>
          <w:sdtContent>
            <w:p w14:paraId="4961E552" w14:textId="77777777" w:rsidR="007E7472" w:rsidRDefault="00EC1269">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rPr>
              <w:rFonts w:hint="eastAsia"/>
            </w:rPr>
            <w:alias w:val="借款费用的会计处理方法"/>
            <w:tag w:val="_GBC_2101c32d32c64f39a8b8fcd2b72dbb0a"/>
            <w:id w:val="1851060522"/>
            <w:lock w:val="sdtLocked"/>
            <w:placeholder>
              <w:docPart w:val="GBC22222222222222222222222222222"/>
            </w:placeholder>
          </w:sdtPr>
          <w:sdtEndPr/>
          <w:sdtContent>
            <w:p w14:paraId="4BA76988" w14:textId="77777777" w:rsidR="007E7472" w:rsidRDefault="00EC1269">
              <w:pPr>
                <w:spacing w:beforeLines="50" w:before="156" w:afterLines="50" w:after="156" w:line="360" w:lineRule="exact"/>
                <w:ind w:firstLineChars="200" w:firstLine="420"/>
                <w:jc w:val="both"/>
              </w:pPr>
              <w:r>
                <w:rPr>
                  <w:rFonts w:hint="eastAsia"/>
                </w:rPr>
                <w:t>发生的可直接归属于需要经过1年以上的购建或者生产活动才能达到预定可使用或者可销售状态的固定资产和存货等的借款费用，在资产支出已经发生、借款费用已经发生、为使资产达到预定可使用或可销售状态所必要的购建或生产活动已经开始时，开始资本化；当购建或生产符合资本化条件的资产达到预定可使用或可销售状态时，停止资本化，其后发生的借款费用计入当期损益。如果符合资本化条件的资产在购建或者生产过程中发生非正常中断、且中断时间连续超过3个月，暂停借款费用的资本化，直至资产的购建或生产活动重新开始。</w:t>
              </w:r>
            </w:p>
            <w:p w14:paraId="70887213" w14:textId="77777777" w:rsidR="007E7472" w:rsidRDefault="00EC1269">
              <w:pPr>
                <w:spacing w:beforeLines="50" w:before="156" w:afterLines="50" w:after="156" w:line="360" w:lineRule="exact"/>
                <w:ind w:firstLineChars="200" w:firstLine="420"/>
                <w:jc w:val="both"/>
              </w:pPr>
              <w:r>
                <w:rPr>
                  <w:rFonts w:hint="eastAsia"/>
                </w:rPr>
                <w:t>专门借款当期实际发生的利息费用，扣除尚未动用的借款资金存入银行取得的利息收入或进行暂时性投资取得的投资收益后的金额予以资本化；一般借款根据累计资产支出超过专门借款部分的资产支出加权平均数乘以所占用一般借款的资本化率，确定资本化金额。资本化率根据一般借款加权平均利率计算确定。</w:t>
              </w:r>
            </w:p>
          </w:sdtContent>
        </w:sdt>
        <w:p w14:paraId="3D8D43C8" w14:textId="77777777" w:rsidR="007E7472" w:rsidRDefault="00C8327E"/>
      </w:sdtContent>
    </w:sdt>
    <w:sdt>
      <w:sdtPr>
        <w:rPr>
          <w:rFonts w:ascii="宋体" w:hAnsi="宋体" w:cs="宋体"/>
          <w:b w:val="0"/>
          <w:bCs w:val="0"/>
          <w:kern w:val="0"/>
          <w:sz w:val="20"/>
          <w:szCs w:val="22"/>
        </w:rPr>
        <w:alias w:val="模块:生物资产会计处理方法"/>
        <w:tag w:val="_GBC_0b83f813710f436286429917c8c39567"/>
        <w:id w:val="1403101156"/>
        <w:lock w:val="sdtLocked"/>
        <w:placeholder>
          <w:docPart w:val="GBC22222222222222222222222222222"/>
        </w:placeholder>
      </w:sdtPr>
      <w:sdtEndPr>
        <w:rPr>
          <w:rFonts w:hint="eastAsia"/>
          <w:szCs w:val="21"/>
        </w:rPr>
      </w:sdtEndPr>
      <w:sdtContent>
        <w:p w14:paraId="6F6E1350" w14:textId="77777777" w:rsidR="007E7472" w:rsidRDefault="00EC1269" w:rsidP="00162493">
          <w:pPr>
            <w:pStyle w:val="3"/>
            <w:numPr>
              <w:ilvl w:val="0"/>
              <w:numId w:val="46"/>
            </w:numPr>
          </w:pPr>
          <w:r>
            <w:t>生物资产</w:t>
          </w:r>
        </w:p>
        <w:sdt>
          <w:sdtPr>
            <w:rPr>
              <w:rFonts w:hint="eastAsia"/>
            </w:rPr>
            <w:alias w:val="是否适用：生物资产_重要会计政策和估计[双击切换]"/>
            <w:tag w:val="_GBC_3c525bb9dd0340978b83e74317a40315"/>
            <w:id w:val="-1811467750"/>
            <w:lock w:val="sdtLocked"/>
            <w:placeholder>
              <w:docPart w:val="GBC22222222222222222222222222222"/>
            </w:placeholder>
          </w:sdtPr>
          <w:sdtEndPr/>
          <w:sdtContent>
            <w:p w14:paraId="6CE7E516" w14:textId="77777777" w:rsidR="007E7472" w:rsidRDefault="00EC1269">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174C751B" w14:textId="77777777" w:rsidR="007E7472" w:rsidRDefault="00C8327E"/>
      </w:sdtContent>
    </w:sdt>
    <w:sdt>
      <w:sdtPr>
        <w:rPr>
          <w:rFonts w:ascii="宋体" w:hAnsi="宋体" w:cs="宋体"/>
          <w:b w:val="0"/>
          <w:bCs w:val="0"/>
          <w:kern w:val="0"/>
          <w:szCs w:val="22"/>
        </w:rPr>
        <w:alias w:val="模块:油气资产会计处理方法"/>
        <w:tag w:val="_GBC_ed738d1d51d04aad8efd3fb3e88bf021"/>
        <w:id w:val="-446852712"/>
        <w:lock w:val="sdtLocked"/>
        <w:placeholder>
          <w:docPart w:val="GBC22222222222222222222222222222"/>
        </w:placeholder>
      </w:sdtPr>
      <w:sdtEndPr>
        <w:rPr>
          <w:rFonts w:hint="eastAsia"/>
          <w:szCs w:val="21"/>
        </w:rPr>
      </w:sdtEndPr>
      <w:sdtContent>
        <w:p w14:paraId="6B3546E0" w14:textId="77777777" w:rsidR="007E7472" w:rsidRDefault="00EC1269" w:rsidP="00162493">
          <w:pPr>
            <w:pStyle w:val="3"/>
            <w:numPr>
              <w:ilvl w:val="0"/>
              <w:numId w:val="46"/>
            </w:numPr>
          </w:pPr>
          <w:r>
            <w:t>油气资产</w:t>
          </w:r>
        </w:p>
        <w:sdt>
          <w:sdtPr>
            <w:rPr>
              <w:rFonts w:hint="eastAsia"/>
            </w:rPr>
            <w:alias w:val="是否适用：油气资产_重要会计政策和估计[双击切换]"/>
            <w:tag w:val="_GBC_60d99a70431c4b868b6e953077cbfe88"/>
            <w:id w:val="1065763252"/>
            <w:lock w:val="sdtLocked"/>
            <w:placeholder>
              <w:docPart w:val="GBC22222222222222222222222222222"/>
            </w:placeholder>
          </w:sdtPr>
          <w:sdtEndPr/>
          <w:sdtContent>
            <w:p w14:paraId="75ECF6CF" w14:textId="77777777" w:rsidR="007E7472" w:rsidRDefault="00EC1269">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1EC551B9" w14:textId="77777777" w:rsidR="007E7472" w:rsidRDefault="00C8327E">
          <w:pPr>
            <w:rPr>
              <w:rFonts w:cs="Times New Roman"/>
              <w:kern w:val="2"/>
            </w:rPr>
          </w:pPr>
        </w:p>
      </w:sdtContent>
    </w:sdt>
    <w:sdt>
      <w:sdtPr>
        <w:rPr>
          <w:rFonts w:ascii="宋体" w:hAnsi="宋体" w:cs="宋体" w:hint="eastAsia"/>
          <w:b w:val="0"/>
          <w:bCs w:val="0"/>
          <w:kern w:val="0"/>
          <w:sz w:val="20"/>
          <w:szCs w:val="21"/>
        </w:rPr>
        <w:alias w:val="模块:使用权资产"/>
        <w:tag w:val="_SEC_90a021f24056469493c41c33bb5760c5"/>
        <w:id w:val="502242636"/>
        <w:lock w:val="sdtLocked"/>
        <w:placeholder>
          <w:docPart w:val="GBC22222222222222222222222222222"/>
        </w:placeholder>
      </w:sdtPr>
      <w:sdtEndPr>
        <w:rPr>
          <w:rFonts w:hint="default"/>
        </w:rPr>
      </w:sdtEndPr>
      <w:sdtContent>
        <w:p w14:paraId="12DCD6B0" w14:textId="77777777" w:rsidR="007E7472" w:rsidRDefault="00EC1269" w:rsidP="00162493">
          <w:pPr>
            <w:pStyle w:val="3"/>
            <w:numPr>
              <w:ilvl w:val="0"/>
              <w:numId w:val="46"/>
            </w:numPr>
          </w:pPr>
          <w:r>
            <w:rPr>
              <w:rFonts w:hint="eastAsia"/>
            </w:rPr>
            <w:t>使用权资产</w:t>
          </w:r>
        </w:p>
        <w:bookmarkStart w:id="147" w:name="_Hlk11675892" w:displacedByCustomXml="next"/>
        <w:sdt>
          <w:sdtPr>
            <w:alias w:val="是否适用：使用权资产_重要会计政策和估计[双击切换]"/>
            <w:tag w:val="_GBC_bbd2545b6bca43cea34e43a28caeae1a"/>
            <w:id w:val="-522243448"/>
            <w:lock w:val="sdtLocked"/>
            <w:placeholder>
              <w:docPart w:val="GBC22222222222222222222222222222"/>
            </w:placeholder>
          </w:sdtPr>
          <w:sdtEndPr/>
          <w:sdtContent>
            <w:p w14:paraId="3D24E56B" w14:textId="77777777" w:rsidR="007E7472" w:rsidRDefault="00EC1269">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rPr>
              <w:rFonts w:ascii="Times New Roman" w:hAnsi="Times New Roman" w:cs="Times New Roman"/>
              <w:sz w:val="20"/>
              <w:szCs w:val="20"/>
            </w:rPr>
            <w:alias w:val="使用权资产的核算方法"/>
            <w:tag w:val="_GBC_3bb46fd024784bf2b06e4f7d7b903751"/>
            <w:id w:val="1324393613"/>
            <w:lock w:val="sdtLocked"/>
            <w:placeholder>
              <w:docPart w:val="GBC22222222222222222222222222222"/>
            </w:placeholder>
          </w:sdtPr>
          <w:sdtEndPr/>
          <w:sdtContent>
            <w:sdt>
              <w:sdtPr>
                <w:alias w:val="使用权资产的核算方法"/>
                <w:tag w:val="_GBC_b0f7701b37f24dbe8f59289a41676ba7"/>
                <w:id w:val="-419254305"/>
                <w:lock w:val="sdtLocked"/>
              </w:sdtPr>
              <w:sdtEndPr/>
              <w:sdtContent>
                <w:p w14:paraId="4B821EA6" w14:textId="77777777" w:rsidR="007E7472" w:rsidRDefault="00EC1269">
                  <w:pPr>
                    <w:spacing w:beforeLines="50" w:before="156" w:afterLines="50" w:after="156" w:line="360" w:lineRule="exact"/>
                    <w:ind w:firstLineChars="200" w:firstLine="400"/>
                    <w:jc w:val="both"/>
                  </w:pPr>
                  <w:r>
                    <w:rPr>
                      <w:rFonts w:hint="eastAsia"/>
                    </w:rPr>
                    <w:t>使用权资产，是指本集团作为承租人可在租赁期内使用租赁资产的权利。本集团的使用权资产包括租入的房屋及建筑物、机器设备等。</w:t>
                  </w:r>
                </w:p>
                <w:p w14:paraId="59DEABE8" w14:textId="77777777" w:rsidR="007E7472" w:rsidRPr="00A1280D" w:rsidRDefault="00EC1269" w:rsidP="007E7472">
                  <w:pPr>
                    <w:spacing w:beforeLines="50" w:before="156" w:afterLines="50" w:after="156" w:line="360" w:lineRule="exact"/>
                    <w:ind w:firstLineChars="200" w:firstLine="420"/>
                    <w:jc w:val="both"/>
                    <w:outlineLvl w:val="2"/>
                    <w:rPr>
                      <w:szCs w:val="24"/>
                    </w:rPr>
                  </w:pPr>
                  <w:r w:rsidRPr="00A1280D">
                    <w:rPr>
                      <w:rFonts w:hint="eastAsia"/>
                      <w:szCs w:val="24"/>
                    </w:rPr>
                    <w:t>（1）初始计量</w:t>
                  </w:r>
                </w:p>
                <w:p w14:paraId="4E75C8CF" w14:textId="77777777" w:rsidR="007E7472" w:rsidRDefault="00EC1269">
                  <w:pPr>
                    <w:spacing w:beforeLines="50" w:before="156" w:afterLines="50" w:after="156" w:line="360" w:lineRule="exact"/>
                    <w:ind w:firstLineChars="200" w:firstLine="420"/>
                    <w:jc w:val="both"/>
                  </w:pPr>
                  <w:r>
                    <w:rPr>
                      <w:rFonts w:hint="eastAsia"/>
                    </w:rPr>
                    <w:lastRenderedPageBreak/>
                    <w:t>除短期租赁和低价值资产租赁外，本集团在租赁期开始日按照成本对使用权资产进行初始计量。该成本包括下列四项：①租赁负债的初始计量金额；②在租赁期开始日或之前支付的租赁付款额，存在租赁激励的，扣除已享受的租赁激励相关金额；③发生的初始直接费用，即为达成租赁所发生的增量成本；④为拆卸及移除租赁资产、复原租赁资产所在场地或将租赁资产恢复至租赁条款约定状态预计将发生的成本，属于为生产存货而发生的除外。</w:t>
                  </w:r>
                </w:p>
                <w:p w14:paraId="17A58BC3" w14:textId="77777777" w:rsidR="007E7472" w:rsidRPr="00A1280D" w:rsidRDefault="00EC1269" w:rsidP="007E7472">
                  <w:pPr>
                    <w:spacing w:beforeLines="50" w:before="156" w:afterLines="50" w:after="156" w:line="360" w:lineRule="exact"/>
                    <w:ind w:firstLineChars="200" w:firstLine="420"/>
                    <w:jc w:val="both"/>
                    <w:outlineLvl w:val="2"/>
                    <w:rPr>
                      <w:szCs w:val="24"/>
                    </w:rPr>
                  </w:pPr>
                  <w:r w:rsidRPr="00A1280D">
                    <w:rPr>
                      <w:rFonts w:hint="eastAsia"/>
                      <w:szCs w:val="24"/>
                    </w:rPr>
                    <w:t>（2）后续计量</w:t>
                  </w:r>
                </w:p>
                <w:p w14:paraId="09280B6A" w14:textId="77777777" w:rsidR="007E7472" w:rsidRDefault="00EC1269" w:rsidP="007E7472">
                  <w:pPr>
                    <w:spacing w:beforeLines="50" w:before="156" w:afterLines="50" w:after="156" w:line="360" w:lineRule="exact"/>
                    <w:ind w:firstLineChars="200" w:firstLine="420"/>
                    <w:jc w:val="both"/>
                  </w:pPr>
                  <w:r>
                    <w:rPr>
                      <w:rFonts w:hint="eastAsia"/>
                    </w:rPr>
                    <w:t>在租赁期开始日后，本集团采用成本模式对使用权资产进行后续计量，即以成本减累计折旧</w:t>
                  </w:r>
                  <w:r w:rsidR="00913748">
                    <w:rPr>
                      <w:rFonts w:hint="eastAsia"/>
                    </w:rPr>
                    <w:t>及累计减值损失计量使用权资产。</w:t>
                  </w:r>
                </w:p>
                <w:p w14:paraId="604A9415" w14:textId="77777777" w:rsidR="007E7472" w:rsidRDefault="00913748" w:rsidP="007E7472">
                  <w:pPr>
                    <w:spacing w:beforeLines="50" w:before="156" w:afterLines="50" w:after="156" w:line="360" w:lineRule="exact"/>
                    <w:ind w:firstLineChars="200" w:firstLine="420"/>
                    <w:jc w:val="both"/>
                  </w:pPr>
                  <w:r>
                    <w:rPr>
                      <w:rFonts w:hint="eastAsia"/>
                    </w:rPr>
                    <w:t>本集团按照租赁准则有关规定重新计量租赁负债的，相应调整使用权资产的账面价值。</w:t>
                  </w:r>
                </w:p>
                <w:p w14:paraId="281FDAC6" w14:textId="77777777" w:rsidR="007E7472" w:rsidRPr="00A1280D" w:rsidRDefault="00913748" w:rsidP="007E7472">
                  <w:pPr>
                    <w:spacing w:beforeLines="50" w:before="156" w:afterLines="50" w:after="156" w:line="360" w:lineRule="exact"/>
                    <w:ind w:firstLineChars="200" w:firstLine="420"/>
                    <w:jc w:val="both"/>
                    <w:outlineLvl w:val="2"/>
                    <w:rPr>
                      <w:szCs w:val="24"/>
                    </w:rPr>
                  </w:pPr>
                  <w:r w:rsidRPr="00A1280D">
                    <w:rPr>
                      <w:rFonts w:hint="eastAsia"/>
                      <w:szCs w:val="24"/>
                    </w:rPr>
                    <w:t>（3）使用权资产的折旧</w:t>
                  </w:r>
                </w:p>
                <w:p w14:paraId="7FA1941B" w14:textId="70274216" w:rsidR="007E7472" w:rsidRDefault="00913748" w:rsidP="007E7472">
                  <w:pPr>
                    <w:spacing w:beforeLines="50" w:before="156" w:afterLines="50" w:after="156" w:line="360" w:lineRule="exact"/>
                    <w:ind w:firstLineChars="200" w:firstLine="420"/>
                    <w:jc w:val="both"/>
                  </w:pPr>
                  <w:r>
                    <w:rPr>
                      <w:rFonts w:hint="eastAsia"/>
                    </w:rPr>
                    <w:t>自租赁期开始日起，本集团对使用权资产计提折旧。使用权资产通常自租赁期开始的当月计</w:t>
                  </w:r>
                  <w:r w:rsidR="00EC1269">
                    <w:rPr>
                      <w:rFonts w:hint="eastAsia"/>
                    </w:rPr>
                    <w:t>提折旧。计提的折旧金额根据使用权资产的用途，计入相关资产的成本或者当期损益。</w:t>
                  </w:r>
                </w:p>
                <w:p w14:paraId="74BBC85E" w14:textId="77777777" w:rsidR="007E7472" w:rsidRDefault="00EC1269">
                  <w:pPr>
                    <w:spacing w:beforeLines="50" w:before="156" w:afterLines="50" w:after="156" w:line="360" w:lineRule="exact"/>
                    <w:ind w:firstLineChars="200" w:firstLine="420"/>
                    <w:jc w:val="both"/>
                  </w:pPr>
                  <w:r>
                    <w:rPr>
                      <w:rFonts w:hint="eastAsia"/>
                    </w:rPr>
                    <w:t>本集团在确定使用权资产的折旧方法时，根据与使用权资产有关的经济利益的预期消耗方式做出决定，以直线法对使用权资产计提折旧。</w:t>
                  </w:r>
                </w:p>
                <w:p w14:paraId="6302A207" w14:textId="77777777" w:rsidR="007E7472" w:rsidRDefault="00EC1269">
                  <w:pPr>
                    <w:spacing w:beforeLines="50" w:before="156" w:afterLines="50" w:after="156" w:line="360" w:lineRule="exact"/>
                    <w:ind w:firstLineChars="200" w:firstLine="420"/>
                    <w:jc w:val="both"/>
                  </w:pPr>
                  <w:r>
                    <w:rPr>
                      <w:rFonts w:hint="eastAsia"/>
                    </w:rPr>
                    <w:t>本集团在确定使用权资产的折旧年限时，遵循以下原则：能够合理确定租赁期届满时取得租赁资产所有权的，在租赁资产剩余使用寿命内计提折旧；无法合理确定租赁期届满时能够取得租赁资产所有权的，在租赁期与租赁资产剩余使用寿命两者孰短的期间内计提折旧。</w:t>
                  </w:r>
                </w:p>
                <w:p w14:paraId="770EC553" w14:textId="77777777" w:rsidR="007E7472" w:rsidRDefault="00EC1269">
                  <w:pPr>
                    <w:spacing w:beforeLines="50" w:before="156" w:afterLines="50" w:after="156" w:line="360" w:lineRule="exact"/>
                    <w:ind w:firstLineChars="200" w:firstLine="420"/>
                    <w:jc w:val="both"/>
                  </w:pPr>
                  <w:r>
                    <w:rPr>
                      <w:rFonts w:hint="eastAsia"/>
                    </w:rPr>
                    <w:t>本集团按照本附注“五、</w:t>
                  </w:r>
                  <w:r>
                    <w:t>33长期资产减值</w:t>
                  </w:r>
                  <w:r>
                    <w:rPr>
                      <w:rFonts w:hint="eastAsia"/>
                    </w:rPr>
                    <w:t>”确定使用权资产是否发生减值，如果使用权资产发生减值，本集团按照扣除减值损失之后的使用权资产的账面价值，进行后续折旧。</w:t>
                  </w:r>
                </w:p>
              </w:sdtContent>
            </w:sdt>
            <w:p w14:paraId="0CB4F8BE" w14:textId="77777777" w:rsidR="007E7472" w:rsidRDefault="00C8327E"/>
          </w:sdtContent>
        </w:sdt>
      </w:sdtContent>
    </w:sdt>
    <w:bookmarkEnd w:id="147"/>
    <w:p w14:paraId="15B7409B" w14:textId="77777777" w:rsidR="007E7472" w:rsidRDefault="00C8327E"/>
    <w:sdt>
      <w:sdtPr>
        <w:rPr>
          <w:rFonts w:ascii="宋体" w:hAnsi="宋体" w:cs="宋体"/>
          <w:b w:val="0"/>
          <w:bCs w:val="0"/>
          <w:kern w:val="0"/>
          <w:szCs w:val="22"/>
        </w:rPr>
        <w:alias w:val="模块:无形资产会计处理方法"/>
        <w:tag w:val="_GBC_0a8b293ff9e94173b2e385f4ef2a8c89"/>
        <w:id w:val="-1378697161"/>
        <w:lock w:val="sdtLocked"/>
        <w:placeholder>
          <w:docPart w:val="GBC22222222222222222222222222222"/>
        </w:placeholder>
      </w:sdtPr>
      <w:sdtEndPr>
        <w:rPr>
          <w:rFonts w:hint="eastAsia"/>
          <w:szCs w:val="21"/>
        </w:rPr>
      </w:sdtEndPr>
      <w:sdtContent>
        <w:p w14:paraId="32363AE6" w14:textId="77777777" w:rsidR="007E7472" w:rsidRDefault="00EC1269" w:rsidP="00162493">
          <w:pPr>
            <w:pStyle w:val="3"/>
            <w:numPr>
              <w:ilvl w:val="0"/>
              <w:numId w:val="46"/>
            </w:numPr>
          </w:pPr>
          <w:r>
            <w:t>无形资产</w:t>
          </w:r>
        </w:p>
        <w:p w14:paraId="657E530F" w14:textId="77777777" w:rsidR="007E7472" w:rsidRDefault="00EC1269" w:rsidP="00162493">
          <w:pPr>
            <w:pStyle w:val="4"/>
            <w:numPr>
              <w:ilvl w:val="0"/>
              <w:numId w:val="54"/>
            </w:numPr>
          </w:pPr>
          <w:r>
            <w:rPr>
              <w:rFonts w:hint="eastAsia"/>
            </w:rPr>
            <w:t>计价方法、使用寿命、减值测试</w:t>
          </w:r>
        </w:p>
        <w:sdt>
          <w:sdtPr>
            <w:rPr>
              <w:rFonts w:hint="eastAsia"/>
            </w:rPr>
            <w:alias w:val="是否适用：无形资产计价方法、使用寿命、减值测试[双击切换]"/>
            <w:tag w:val="_GBC_a82698fb1ffd4e75b46a9c35938b4cf4"/>
            <w:id w:val="-838697701"/>
            <w:lock w:val="sdtLocked"/>
            <w:placeholder>
              <w:docPart w:val="GBC22222222222222222222222222222"/>
            </w:placeholder>
          </w:sdtPr>
          <w:sdtEndPr/>
          <w:sdtContent>
            <w:p w14:paraId="3A45478F" w14:textId="77777777" w:rsidR="007E7472" w:rsidRDefault="00EC1269">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alias w:val="无形资产计价方法、使用寿命、减值测试"/>
            <w:tag w:val="_GBC_a9e64b18f452482eb6674ec605618dcc"/>
            <w:id w:val="-1001891016"/>
            <w:lock w:val="sdtLocked"/>
            <w:placeholder>
              <w:docPart w:val="GBC22222222222222222222222222222"/>
            </w:placeholder>
          </w:sdtPr>
          <w:sdtEndPr/>
          <w:sdtContent>
            <w:p w14:paraId="0ED6FC03" w14:textId="77777777" w:rsidR="007E7472" w:rsidRDefault="00EC1269">
              <w:pPr>
                <w:spacing w:beforeLines="50" w:before="156" w:afterLines="50" w:after="156" w:line="360" w:lineRule="exact"/>
                <w:ind w:firstLineChars="200" w:firstLine="420"/>
                <w:jc w:val="both"/>
              </w:pPr>
              <w:r>
                <w:rPr>
                  <w:rFonts w:hint="eastAsia"/>
                </w:rPr>
                <w:t>本集团无形资产包括采矿权、未探明矿区权益、土地使用权、水资源使用权、专利和专有技术、计算机软件和产能置换支出等，按取得时的实际成本计量。其中，购入的无形资产，按实际支付的价款和相关的其他支出作为实际成本；投资者投入的无形资产，按投资合同或协议约定的价值确定实际成本，但合同或协议约定价值不公允的，按公允价值确定实际成本；对非同一控制下合并中取得被购买方拥有的但在其财务报表中未确认的无形资产，在对被购买方资产进行初始确认时，按公允价值确认为无形资产。</w:t>
              </w:r>
            </w:p>
            <w:p w14:paraId="688EC85E" w14:textId="77777777" w:rsidR="007E7472" w:rsidRDefault="00EC1269">
              <w:pPr>
                <w:spacing w:beforeLines="50" w:before="156" w:afterLines="50" w:after="156" w:line="360" w:lineRule="exact"/>
                <w:ind w:firstLineChars="200" w:firstLine="420"/>
                <w:jc w:val="both"/>
              </w:pPr>
              <w:r>
                <w:rPr>
                  <w:rFonts w:hint="eastAsia"/>
                </w:rPr>
                <w:t>采矿权成本根据已探明及推定煤炭储量以采矿权在矿山服务年限内已探明及推定煤炭总储量为基础采用产量法进行摊销。若为本集团之澳大利亚子公司，则以澳大利亚联合矿石储备委员会（「JORC」）煤炭储量为基础采用产量法进行摊销。</w:t>
              </w:r>
            </w:p>
            <w:p w14:paraId="48A9B0B7" w14:textId="77777777" w:rsidR="007E7472" w:rsidRDefault="00EC1269">
              <w:pPr>
                <w:spacing w:beforeLines="50" w:before="156" w:afterLines="50" w:after="156" w:line="360" w:lineRule="exact"/>
                <w:ind w:firstLineChars="200" w:firstLine="420"/>
                <w:jc w:val="both"/>
              </w:pPr>
              <w:r>
                <w:rPr>
                  <w:rFonts w:hint="eastAsia"/>
                </w:rPr>
                <w:lastRenderedPageBreak/>
                <w:t>未探明矿区权益是矿区经勘探评价活动后估计其潜在经济可采储量（不包括采矿权中已探明及推定煤矿总储量的部分，即不包括上述的煤炭储量）的价值（参见本附注“五、31勘探及评价支出”）。</w:t>
              </w:r>
            </w:p>
            <w:p w14:paraId="30ED2BE8" w14:textId="77777777" w:rsidR="007E7472" w:rsidRDefault="00EC1269">
              <w:pPr>
                <w:spacing w:beforeLines="50" w:before="156" w:afterLines="50" w:after="156" w:line="360" w:lineRule="exact"/>
                <w:ind w:firstLineChars="200" w:firstLine="420"/>
                <w:jc w:val="both"/>
              </w:pPr>
              <w:r>
                <w:rPr>
                  <w:rFonts w:hint="eastAsia"/>
                </w:rPr>
                <w:t>土地使用权从出让起始日起，按其出让年限平均摊销。</w:t>
              </w:r>
            </w:p>
            <w:p w14:paraId="15BA2B71" w14:textId="77777777" w:rsidR="007E7472" w:rsidRDefault="00EC1269">
              <w:pPr>
                <w:spacing w:beforeLines="50" w:before="156" w:afterLines="50" w:after="156" w:line="360" w:lineRule="exact"/>
                <w:ind w:firstLineChars="200" w:firstLine="420"/>
                <w:jc w:val="both"/>
              </w:pPr>
              <w:r>
                <w:rPr>
                  <w:rFonts w:hint="eastAsia"/>
                </w:rPr>
                <w:t>使用寿命有限的专利技术、非专利技术和其他无形资产按预计使用年限、合同规定的受益年限和法律规定的有效年限三者中最短者分期平均摊销。摊销金额按其受益对象计入相关资产成本和当期损益。使用寿命不确定的专利技术、非专利技术和其他无形资产不摊销，于每期末进行减值测试。</w:t>
              </w:r>
            </w:p>
            <w:p w14:paraId="22213E75" w14:textId="77777777" w:rsidR="007E7472" w:rsidRDefault="00EC1269">
              <w:pPr>
                <w:spacing w:beforeLines="50" w:before="156" w:afterLines="50" w:after="156" w:line="360" w:lineRule="exact"/>
                <w:ind w:firstLineChars="200" w:firstLine="420"/>
                <w:jc w:val="both"/>
              </w:pPr>
              <w:r>
                <w:rPr>
                  <w:rFonts w:hint="eastAsia"/>
                </w:rPr>
                <w:t>根据国家发改委《关于实施减量置换严控煤炭新增产能有关事项的通知》（发改能源〔2016〕1602号）、《关于做好建设煤矿产能减量置换有关工作的补充通知》（发改能源〔2016〕1897号）和《关于进一步加快建设产能置换工作的通知》（发改能源〔2017〕609号）文件的规定，本集团新建煤矿、核增产能等均进行产能置换指标交易，产能置换支出按照采矿权证剩余年限平均摊销。</w:t>
              </w:r>
            </w:p>
            <w:p w14:paraId="7065CF04" w14:textId="77777777" w:rsidR="007E7472" w:rsidRDefault="00EC1269">
              <w:pPr>
                <w:spacing w:beforeLines="50" w:before="156" w:afterLines="50" w:after="156" w:line="360" w:lineRule="exact"/>
                <w:ind w:firstLineChars="200" w:firstLine="420"/>
                <w:jc w:val="both"/>
              </w:pPr>
              <w:r>
                <w:rPr>
                  <w:rFonts w:hint="eastAsia"/>
                </w:rPr>
                <w:t>对使用寿命有限的无形资产的预计使用寿命及摊销方法于每年年度终了进行复核，如发生改变，则作为会计估计变更处理。于每个会计期间，对使用寿命不确定的无形资产的预计使用寿命进行复核，如有证据表明无形资产的使用寿命是有限的，则估计其使用寿命并在预计使用寿命内摊销。</w:t>
              </w:r>
            </w:p>
          </w:sdtContent>
        </w:sdt>
        <w:p w14:paraId="0CC3B55B" w14:textId="77777777" w:rsidR="007E7472" w:rsidRDefault="00C8327E"/>
        <w:p w14:paraId="4B1122EC" w14:textId="77777777" w:rsidR="007E7472" w:rsidRDefault="00EC1269" w:rsidP="00162493">
          <w:pPr>
            <w:pStyle w:val="4"/>
            <w:numPr>
              <w:ilvl w:val="0"/>
              <w:numId w:val="54"/>
            </w:numPr>
          </w:pPr>
          <w:r>
            <w:rPr>
              <w:rFonts w:hint="eastAsia"/>
            </w:rPr>
            <w:t>内部研究开发支出会计政策</w:t>
          </w:r>
        </w:p>
        <w:sdt>
          <w:sdtPr>
            <w:rPr>
              <w:rFonts w:hint="eastAsia"/>
            </w:rPr>
            <w:alias w:val="是否适用：无形资产内部研究开发支出会计政策[双击切换]"/>
            <w:tag w:val="_GBC_c3cef4c9f19749b8a53b7f49d3b7bac3"/>
            <w:id w:val="-1044603316"/>
            <w:lock w:val="sdtLocked"/>
            <w:placeholder>
              <w:docPart w:val="GBC22222222222222222222222222222"/>
            </w:placeholder>
          </w:sdtPr>
          <w:sdtEndPr/>
          <w:sdtContent>
            <w:p w14:paraId="6B75A0C8" w14:textId="77777777" w:rsidR="007E7472" w:rsidRDefault="00EC1269">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alias w:val="无形资产内部研究、开发支出会计政策"/>
            <w:tag w:val="_GBC_af7b1338d88344dfb8cd34ed66bfe672"/>
            <w:id w:val="1022672085"/>
            <w:lock w:val="sdtLocked"/>
            <w:placeholder>
              <w:docPart w:val="GBC22222222222222222222222222222"/>
            </w:placeholder>
          </w:sdtPr>
          <w:sdtEndPr/>
          <w:sdtContent>
            <w:p w14:paraId="1AA60BD3" w14:textId="77777777" w:rsidR="007E7472" w:rsidRDefault="00EC1269">
              <w:pPr>
                <w:spacing w:beforeLines="50" w:before="156" w:afterLines="50" w:after="156" w:line="360" w:lineRule="exact"/>
                <w:ind w:firstLineChars="200" w:firstLine="420"/>
                <w:jc w:val="both"/>
              </w:pPr>
              <w:r>
                <w:rPr>
                  <w:rFonts w:hint="eastAsia"/>
                </w:rPr>
                <w:t>本集团内部研究开发项目的支出分为研究阶段支出与开发阶段支出。研究阶段的支出，于发生时计入当期损益。开发阶段的支出同时满足下列条件的，确认为无形资产，不能满足下述条件的开发阶段的支出计入当期损益：</w:t>
              </w:r>
            </w:p>
            <w:p w14:paraId="6F20582B" w14:textId="77777777" w:rsidR="007E7472" w:rsidRDefault="00EC1269">
              <w:pPr>
                <w:spacing w:beforeLines="50" w:before="156" w:afterLines="50" w:after="156" w:line="360" w:lineRule="exact"/>
                <w:ind w:firstLineChars="200" w:firstLine="420"/>
                <w:jc w:val="both"/>
              </w:pPr>
              <w:r>
                <w:t>1)完成该无形资产以使其能够使用或出售在技术上具有可行性；</w:t>
              </w:r>
            </w:p>
            <w:p w14:paraId="46E36481" w14:textId="77777777" w:rsidR="007E7472" w:rsidRDefault="00EC1269">
              <w:pPr>
                <w:spacing w:beforeLines="50" w:before="156" w:afterLines="50" w:after="156" w:line="360" w:lineRule="exact"/>
                <w:ind w:firstLineChars="200" w:firstLine="420"/>
                <w:jc w:val="both"/>
              </w:pPr>
              <w:r>
                <w:t>2)具有完成该无形资产并使用或出售的意图；</w:t>
              </w:r>
            </w:p>
            <w:p w14:paraId="1C937E82" w14:textId="77777777" w:rsidR="007E7472" w:rsidRDefault="00EC1269">
              <w:pPr>
                <w:spacing w:beforeLines="50" w:before="156" w:afterLines="50" w:after="156" w:line="360" w:lineRule="exact"/>
                <w:ind w:firstLineChars="200" w:firstLine="420"/>
                <w:jc w:val="both"/>
              </w:pPr>
              <w:r>
                <w:t>3)无形资产产生经济利益的方式，包括能够证明运用该无形资产生产的产品存在市场或无形资产自身存在市场，无形资产将在内部使用的，能够证明其有用性；</w:t>
              </w:r>
            </w:p>
            <w:p w14:paraId="61690C4E" w14:textId="77777777" w:rsidR="007E7472" w:rsidRDefault="00EC1269">
              <w:pPr>
                <w:spacing w:beforeLines="50" w:before="156" w:afterLines="50" w:after="156" w:line="360" w:lineRule="exact"/>
                <w:ind w:firstLineChars="200" w:firstLine="420"/>
                <w:jc w:val="both"/>
              </w:pPr>
              <w:r>
                <w:t>4)有足够的技术、财务资源和其他资源支持，以完成该无形资产的开发，并</w:t>
              </w:r>
              <w:r>
                <w:rPr>
                  <w:rFonts w:hint="eastAsia"/>
                </w:rPr>
                <w:t>有能力使用或出售该无形资产；</w:t>
              </w:r>
            </w:p>
            <w:p w14:paraId="1609E654" w14:textId="77777777" w:rsidR="007E7472" w:rsidRDefault="00EC1269">
              <w:pPr>
                <w:spacing w:beforeLines="50" w:before="156" w:afterLines="50" w:after="156" w:line="360" w:lineRule="exact"/>
                <w:ind w:firstLineChars="200" w:firstLine="420"/>
                <w:jc w:val="both"/>
              </w:pPr>
              <w:r>
                <w:t>5)归属于该无形资产开发阶段的支出能够可靠地计量。无法区分研究阶段支出和开发阶段支出的，将发生的研发支出全部计入当期损益。</w:t>
              </w:r>
            </w:p>
            <w:p w14:paraId="14D5DDC4" w14:textId="77777777" w:rsidR="007E7472" w:rsidRDefault="00EC1269">
              <w:pPr>
                <w:spacing w:beforeLines="50" w:before="156" w:afterLines="50" w:after="156" w:line="360" w:lineRule="exact"/>
                <w:ind w:firstLineChars="200" w:firstLine="420"/>
                <w:jc w:val="both"/>
              </w:pPr>
              <w:r>
                <w:rPr>
                  <w:rFonts w:hint="eastAsia"/>
                </w:rPr>
                <w:lastRenderedPageBreak/>
                <w:t>研发过程中产出的产品或副产品对外销售的，按照《企业会计准则第</w:t>
              </w:r>
              <w:r>
                <w:t>14号——收入》、《企业会计准则第1号——存货》等规定，对试运行销售相关的收入和成本分别进行会计处理，计入当期损益。</w:t>
              </w:r>
            </w:p>
            <w:p w14:paraId="6BA952FC" w14:textId="77777777" w:rsidR="007E7472" w:rsidRDefault="00C8327E">
              <w:pPr>
                <w:spacing w:beforeLines="50" w:before="156" w:afterLines="50" w:after="156" w:line="360" w:lineRule="exact"/>
                <w:ind w:firstLineChars="200" w:firstLine="420"/>
                <w:jc w:val="both"/>
              </w:pPr>
            </w:p>
            <w:p w14:paraId="59E182E2" w14:textId="77777777" w:rsidR="007E7472" w:rsidRDefault="00EC1269" w:rsidP="00162493">
              <w:pPr>
                <w:pStyle w:val="3"/>
                <w:numPr>
                  <w:ilvl w:val="0"/>
                  <w:numId w:val="46"/>
                </w:numPr>
              </w:pPr>
              <w:r>
                <w:rPr>
                  <w:rFonts w:hint="eastAsia"/>
                </w:rPr>
                <w:t>勘探及评价支出</w:t>
              </w:r>
            </w:p>
            <w:p w14:paraId="3B670353" w14:textId="77777777" w:rsidR="007E7472" w:rsidRDefault="00EC1269">
              <w:pPr>
                <w:tabs>
                  <w:tab w:val="left" w:pos="960"/>
                </w:tabs>
                <w:spacing w:beforeLines="50" w:before="156" w:afterLines="50" w:after="156" w:line="360" w:lineRule="exact"/>
                <w:ind w:firstLineChars="200" w:firstLine="420"/>
                <w:jc w:val="both"/>
              </w:pPr>
              <w:r>
                <w:t>发生的勘探和评价支出按单一矿区可独立辨认的收益区域归集。只有当满足以下条件时，勘探和评价支出才会资本化或暂时资本化：受益区域的开采权是现时的并且可以通过成功开发和商业利用或出售该受益区域收回成本；或受益区域的开发尚未达到可判断是否存在可开采储量且与开采相关的重要工作尚在进行中。</w:t>
              </w:r>
            </w:p>
            <w:p w14:paraId="79F75E37" w14:textId="77777777" w:rsidR="007E7472" w:rsidRDefault="00EC1269">
              <w:pPr>
                <w:tabs>
                  <w:tab w:val="left" w:pos="960"/>
                </w:tabs>
                <w:spacing w:beforeLines="50" w:before="156" w:afterLines="50" w:after="156" w:line="360" w:lineRule="exact"/>
                <w:ind w:firstLineChars="200" w:firstLine="420"/>
                <w:jc w:val="both"/>
              </w:pPr>
              <w:r>
                <w:t>对各受益区域的支出进行定期审核以确定继续资本化该等支出的恰当性。废弃区域的累计支出在决定废弃的期间予以全部冲销。当有证据或者环境显示该项资产的账面价值可能超过可收回金额，需要评价勘探和评价支出的账面金额是否存在减值。</w:t>
              </w:r>
            </w:p>
            <w:p w14:paraId="21E666BC" w14:textId="77777777" w:rsidR="007E7472" w:rsidRDefault="00EC1269">
              <w:pPr>
                <w:tabs>
                  <w:tab w:val="left" w:pos="960"/>
                </w:tabs>
                <w:spacing w:beforeLines="50" w:before="156" w:afterLines="50" w:after="156" w:line="360" w:lineRule="exact"/>
                <w:ind w:firstLineChars="200" w:firstLine="420"/>
                <w:jc w:val="both"/>
              </w:pPr>
              <w:r>
                <w:t>当生产开始时，相关区域的累计支出按照经济可开采储量的耗用率在该区域的服务年限内摊销。</w:t>
              </w:r>
            </w:p>
            <w:p w14:paraId="1EFFEC6D" w14:textId="77777777" w:rsidR="007E7472" w:rsidRDefault="00EC1269">
              <w:pPr>
                <w:tabs>
                  <w:tab w:val="left" w:pos="960"/>
                </w:tabs>
                <w:spacing w:beforeLines="50" w:before="156" w:afterLines="50" w:after="156" w:line="360" w:lineRule="exact"/>
                <w:ind w:firstLineChars="200" w:firstLine="420"/>
                <w:jc w:val="both"/>
              </w:pPr>
              <w:r>
                <w:t>于企业合并中取得的勘探和评价资产，以其于收购日的公允价值确认，即于收购日其潜在经济可采储量的公允价值，以未探明矿区权益列示。</w:t>
              </w:r>
            </w:p>
            <w:p w14:paraId="5B1DD8EE" w14:textId="77777777" w:rsidR="007E7472" w:rsidRDefault="00EC1269">
              <w:pPr>
                <w:tabs>
                  <w:tab w:val="left" w:pos="960"/>
                </w:tabs>
                <w:spacing w:beforeLines="50" w:before="156" w:afterLines="50" w:after="156" w:line="360" w:lineRule="exact"/>
                <w:ind w:firstLineChars="200" w:firstLine="420"/>
                <w:jc w:val="both"/>
              </w:pPr>
              <w:r>
                <w:t>勘探及评价资产根据资产性质被列为固定资产（参见本附注“</w:t>
              </w:r>
              <w:r>
                <w:rPr>
                  <w:rFonts w:hint="eastAsia"/>
                </w:rPr>
                <w:t>五、</w:t>
              </w:r>
              <w:r>
                <w:t>24固定资产”）、在建工程（参见本附注“</w:t>
              </w:r>
              <w:r>
                <w:rPr>
                  <w:rFonts w:hint="eastAsia"/>
                </w:rPr>
                <w:t>五、</w:t>
              </w:r>
              <w:r>
                <w:t>25在建工程”）或无形资产（参见本附注“</w:t>
              </w:r>
              <w:r>
                <w:rPr>
                  <w:rFonts w:hint="eastAsia"/>
                </w:rPr>
                <w:t>五、</w:t>
              </w:r>
              <w:r>
                <w:t>30无形资产”）。</w:t>
              </w:r>
            </w:p>
            <w:p w14:paraId="2317F94E" w14:textId="77777777" w:rsidR="007E7472" w:rsidRDefault="00EC1269" w:rsidP="00162493">
              <w:pPr>
                <w:pStyle w:val="3"/>
                <w:numPr>
                  <w:ilvl w:val="0"/>
                  <w:numId w:val="46"/>
                </w:numPr>
              </w:pPr>
              <w:r>
                <w:t>商誉</w:t>
              </w:r>
            </w:p>
            <w:p w14:paraId="69C3ECD1" w14:textId="77777777" w:rsidR="007E7472" w:rsidRDefault="00EC1269">
              <w:pPr>
                <w:spacing w:beforeLines="50" w:before="156" w:afterLines="50" w:after="156" w:line="360" w:lineRule="exact"/>
                <w:ind w:firstLineChars="200" w:firstLine="420"/>
                <w:jc w:val="both"/>
              </w:pPr>
              <w:r>
                <w:t>商誉为股权投资成本或非同一控制下企业合并成本超过应享有的或企业合并中取得的被投资单位或被购买方可辨认净资产于取得日或购买日的公允价值份额的差额。</w:t>
              </w:r>
            </w:p>
            <w:p w14:paraId="1C60F2B5" w14:textId="77777777" w:rsidR="007E7472" w:rsidRDefault="00EC1269">
              <w:pPr>
                <w:spacing w:beforeLines="50" w:before="156" w:afterLines="50" w:after="156" w:line="360" w:lineRule="exact"/>
                <w:ind w:firstLineChars="200" w:firstLine="420"/>
                <w:jc w:val="both"/>
              </w:pPr>
              <w:r>
                <w:t>与子公司有关的商誉在合并财务报表上单独列示，与联营企业和合营企业有关的商誉，包含在长期股权投资的账面价值中。</w:t>
              </w:r>
            </w:p>
          </w:sdtContent>
        </w:sdt>
      </w:sdtContent>
    </w:sdt>
    <w:p w14:paraId="4E4BC8FE" w14:textId="77777777" w:rsidR="007E7472" w:rsidRDefault="00C8327E"/>
    <w:bookmarkStart w:id="148" w:name="_Hlk44405424" w:displacedByCustomXml="next"/>
    <w:sdt>
      <w:sdtPr>
        <w:rPr>
          <w:rFonts w:ascii="宋体" w:hAnsi="宋体" w:cs="宋体" w:hint="eastAsia"/>
          <w:b w:val="0"/>
          <w:bCs w:val="0"/>
          <w:color w:val="000000"/>
          <w:spacing w:val="-10"/>
          <w:kern w:val="0"/>
          <w:szCs w:val="21"/>
        </w:rPr>
        <w:alias w:val="模块:长期资产减值"/>
        <w:tag w:val="_SEC_c11b0580b6b040ca9dbb882b383dfc03"/>
        <w:id w:val="222114748"/>
        <w:lock w:val="sdtLocked"/>
        <w:placeholder>
          <w:docPart w:val="GBC22222222222222222222222222222"/>
        </w:placeholder>
      </w:sdtPr>
      <w:sdtEndPr/>
      <w:sdtContent>
        <w:p w14:paraId="4C6A9DCD" w14:textId="77777777" w:rsidR="007E7472" w:rsidRPr="00A1280D" w:rsidRDefault="00EC1269" w:rsidP="00162493">
          <w:pPr>
            <w:pStyle w:val="3"/>
            <w:numPr>
              <w:ilvl w:val="0"/>
              <w:numId w:val="46"/>
            </w:numPr>
            <w:rPr>
              <w:szCs w:val="21"/>
            </w:rPr>
          </w:pPr>
          <w:r w:rsidRPr="00A1280D">
            <w:rPr>
              <w:rFonts w:hint="eastAsia"/>
              <w:szCs w:val="21"/>
            </w:rPr>
            <w:t>长期资产减值</w:t>
          </w:r>
        </w:p>
        <w:sdt>
          <w:sdtPr>
            <w:rPr>
              <w:rFonts w:hint="eastAsia"/>
            </w:rPr>
            <w:alias w:val="是否适用：长期资产减值_重要会计政策和估计[双击切换]"/>
            <w:tag w:val="_GBC_d0feb744f96144ffa5335cd194c6cdf9"/>
            <w:id w:val="1388837457"/>
            <w:lock w:val="sdtLocked"/>
            <w:placeholder>
              <w:docPart w:val="GBC22222222222222222222222222222"/>
            </w:placeholder>
          </w:sdtPr>
          <w:sdtEndPr/>
          <w:sdtContent>
            <w:p w14:paraId="3134A009" w14:textId="77777777" w:rsidR="007E7472" w:rsidRPr="00A1280D" w:rsidRDefault="00EC1269">
              <w:r w:rsidRPr="00A1280D">
                <w:fldChar w:fldCharType="begin"/>
              </w:r>
              <w:r w:rsidRPr="00A1280D">
                <w:rPr>
                  <w:rFonts w:hint="eastAsia"/>
                </w:rPr>
                <w:instrText xml:space="preserve"> MACROBUTTON  SnrToggleCheckbox √适用 </w:instrText>
              </w:r>
              <w:r w:rsidRPr="00A1280D">
                <w:fldChar w:fldCharType="end"/>
              </w:r>
              <w:r w:rsidRPr="00A1280D">
                <w:fldChar w:fldCharType="begin"/>
              </w:r>
              <w:r w:rsidRPr="00A1280D">
                <w:rPr>
                  <w:rFonts w:hint="eastAsia"/>
                </w:rPr>
                <w:instrText xml:space="preserve"> MACROBUTTON  SnrToggleCheckbox □不适用 </w:instrText>
              </w:r>
              <w:r w:rsidRPr="00A1280D">
                <w:fldChar w:fldCharType="end"/>
              </w:r>
            </w:p>
          </w:sdtContent>
        </w:sdt>
        <w:sdt>
          <w:sdtPr>
            <w:rPr>
              <w:rFonts w:ascii="Times New Roman" w:hAnsi="Times New Roman" w:cs="Times New Roman" w:hint="eastAsia"/>
              <w:color w:val="000000"/>
              <w:spacing w:val="-10"/>
            </w:rPr>
            <w:alias w:val="非金融长期资产减值测试方法及会计处理方法"/>
            <w:tag w:val="_GBC_e8cb396d7101453b9e9cd1bc11b8633e"/>
            <w:id w:val="2143680969"/>
            <w:lock w:val="sdtLocked"/>
            <w:placeholder>
              <w:docPart w:val="GBC22222222222222222222222222222"/>
            </w:placeholder>
          </w:sdtPr>
          <w:sdtEndPr>
            <w:rPr>
              <w:szCs w:val="22"/>
            </w:rPr>
          </w:sdtEndPr>
          <w:sdtContent>
            <w:sdt>
              <w:sdtPr>
                <w:rPr>
                  <w:rFonts w:ascii="Times New Roman" w:hAnsi="Times New Roman" w:cs="Times New Roman" w:hint="eastAsia"/>
                  <w:color w:val="000000"/>
                  <w:spacing w:val="-10"/>
                </w:rPr>
                <w:alias w:val="非金融长期资产减值测试方法及会计处理方法"/>
                <w:tag w:val="_GBC_0a065c1269a846f6923598a2c1fc4269"/>
                <w:id w:val="1411422214"/>
                <w:lock w:val="sdtLocked"/>
              </w:sdtPr>
              <w:sdtEndPr>
                <w:rPr>
                  <w:szCs w:val="22"/>
                </w:rPr>
              </w:sdtEndPr>
              <w:sdtContent>
                <w:p w14:paraId="4AEC3596" w14:textId="77777777" w:rsidR="007E7472" w:rsidRPr="00A1280D" w:rsidRDefault="00EC1269">
                  <w:pPr>
                    <w:spacing w:beforeLines="50" w:before="156" w:afterLines="50" w:after="156" w:line="360" w:lineRule="exact"/>
                    <w:ind w:firstLineChars="200" w:firstLine="420"/>
                    <w:jc w:val="both"/>
                  </w:pPr>
                  <w:r w:rsidRPr="00A1280D">
                    <w:rPr>
                      <w:rFonts w:hint="eastAsia"/>
                    </w:rPr>
                    <w:t>本集团于每一资产负债表日对长期股权投资、固定资产、在建工程、使用权资产、使用寿命有限的无形资产等项目进行检查，当存在减值迹象时，本集团进行减值测试。对商誉和使用寿命不确定的无形资产，无论是否存在减值迹象，每年末均进行减值测试。</w:t>
                  </w:r>
                  <w:r w:rsidRPr="00A1280D">
                    <w:t>难以对单项资产的可收回金额进行测试的，以该资产所属的资产组或资产组组合为基础测试。</w:t>
                  </w:r>
                </w:p>
                <w:p w14:paraId="62D09DCC" w14:textId="77777777" w:rsidR="007E7472" w:rsidRPr="00A1280D" w:rsidRDefault="00EC1269">
                  <w:pPr>
                    <w:spacing w:beforeLines="50" w:before="156" w:afterLines="50" w:after="156" w:line="360" w:lineRule="exact"/>
                    <w:ind w:firstLineChars="200" w:firstLine="420"/>
                  </w:pPr>
                  <w:r w:rsidRPr="00A1280D">
                    <w:rPr>
                      <w:rFonts w:hint="eastAsia"/>
                    </w:rPr>
                    <w:t>减值测试后，若该资产的账面价值超过其可收回金额，其差额确认为减值损失，上述资产的减值损失一经确认，在以后会计期间不予转回。</w:t>
                  </w:r>
                </w:p>
                <w:p w14:paraId="784280EF" w14:textId="77777777" w:rsidR="007E7472" w:rsidRDefault="00EC1269">
                  <w:pPr>
                    <w:spacing w:beforeLines="50" w:before="156" w:afterLines="50" w:after="156" w:line="360" w:lineRule="exact"/>
                    <w:ind w:firstLineChars="200" w:firstLine="440"/>
                    <w:rPr>
                      <w:rFonts w:cs="Arial"/>
                      <w:sz w:val="22"/>
                    </w:rPr>
                  </w:pPr>
                  <w:r>
                    <w:rPr>
                      <w:rFonts w:cs="Arial"/>
                      <w:sz w:val="22"/>
                    </w:rPr>
                    <w:lastRenderedPageBreak/>
                    <w:t>出现减值的迹象如下：</w:t>
                  </w:r>
                </w:p>
                <w:p w14:paraId="2A594B42" w14:textId="77777777" w:rsidR="007E7472" w:rsidRDefault="00EC1269">
                  <w:pPr>
                    <w:spacing w:beforeLines="50" w:before="156" w:afterLines="50" w:after="156" w:line="360" w:lineRule="exact"/>
                    <w:ind w:firstLineChars="200" w:firstLine="440"/>
                    <w:rPr>
                      <w:rFonts w:cs="Arial"/>
                      <w:sz w:val="22"/>
                    </w:rPr>
                  </w:pPr>
                  <w:r>
                    <w:rPr>
                      <w:rFonts w:cs="Arial"/>
                      <w:sz w:val="22"/>
                    </w:rPr>
                    <w:t>（1）资产的市价当期大幅度下跌，其跌幅明显高于因时间的推移或者正常使用而预计的下跌；</w:t>
                  </w:r>
                </w:p>
                <w:p w14:paraId="3EA8F553" w14:textId="77777777" w:rsidR="007E7472" w:rsidRDefault="00EC1269">
                  <w:pPr>
                    <w:spacing w:beforeLines="50" w:before="156" w:afterLines="50" w:after="156" w:line="360" w:lineRule="exact"/>
                    <w:ind w:firstLineChars="200" w:firstLine="440"/>
                    <w:rPr>
                      <w:rFonts w:cs="Arial"/>
                      <w:sz w:val="22"/>
                    </w:rPr>
                  </w:pPr>
                  <w:r>
                    <w:rPr>
                      <w:rFonts w:cs="Arial"/>
                      <w:sz w:val="22"/>
                    </w:rPr>
                    <w:t>（2）公司经营所处的经济、技术或者法律等环境以及资产所处的市场在当期或者将在近期发生重大变化，从而对公司产生不利影响；</w:t>
                  </w:r>
                </w:p>
                <w:p w14:paraId="72D83C87" w14:textId="77777777" w:rsidR="007E7472" w:rsidRDefault="00EC1269">
                  <w:pPr>
                    <w:spacing w:beforeLines="50" w:before="156" w:afterLines="50" w:after="156" w:line="360" w:lineRule="exact"/>
                    <w:ind w:firstLineChars="200" w:firstLine="440"/>
                    <w:rPr>
                      <w:rFonts w:cs="Arial"/>
                      <w:sz w:val="22"/>
                    </w:rPr>
                  </w:pPr>
                  <w:r>
                    <w:rPr>
                      <w:rFonts w:cs="Arial"/>
                      <w:sz w:val="22"/>
                    </w:rPr>
                    <w:t>（3）市场利率或者其他市场投资报酬率在当期已经提高，从而影响公司计算资产预计未来现金流量现值的折现率，导致资产可收回金额大幅度降低；</w:t>
                  </w:r>
                </w:p>
                <w:p w14:paraId="6C96FCE7" w14:textId="77777777" w:rsidR="007E7472" w:rsidRDefault="00EC1269">
                  <w:pPr>
                    <w:spacing w:beforeLines="50" w:before="156" w:afterLines="50" w:after="156" w:line="360" w:lineRule="exact"/>
                    <w:ind w:firstLineChars="200" w:firstLine="440"/>
                    <w:rPr>
                      <w:rFonts w:cs="Arial"/>
                      <w:sz w:val="22"/>
                    </w:rPr>
                  </w:pPr>
                  <w:r>
                    <w:rPr>
                      <w:rFonts w:cs="Arial"/>
                      <w:sz w:val="22"/>
                    </w:rPr>
                    <w:t>（4）有证据表明资产已经陈旧过时或者其实体已经损坏；</w:t>
                  </w:r>
                </w:p>
                <w:p w14:paraId="77711F7A" w14:textId="77777777" w:rsidR="007E7472" w:rsidRDefault="00EC1269">
                  <w:pPr>
                    <w:spacing w:beforeLines="50" w:before="156" w:afterLines="50" w:after="156" w:line="360" w:lineRule="exact"/>
                    <w:ind w:firstLineChars="200" w:firstLine="440"/>
                    <w:rPr>
                      <w:rFonts w:cs="Arial"/>
                      <w:sz w:val="22"/>
                    </w:rPr>
                  </w:pPr>
                  <w:r>
                    <w:rPr>
                      <w:rFonts w:cs="Arial"/>
                      <w:sz w:val="22"/>
                    </w:rPr>
                    <w:t>（5）资产已经或者将被闲置、终止使用或者计划提前处置；</w:t>
                  </w:r>
                </w:p>
                <w:p w14:paraId="49D18B5F" w14:textId="77777777" w:rsidR="007E7472" w:rsidRDefault="00EC1269">
                  <w:pPr>
                    <w:spacing w:beforeLines="50" w:before="156" w:afterLines="50" w:after="156" w:line="360" w:lineRule="exact"/>
                    <w:ind w:firstLineChars="200" w:firstLine="440"/>
                    <w:rPr>
                      <w:rFonts w:cs="Arial"/>
                      <w:sz w:val="22"/>
                    </w:rPr>
                  </w:pPr>
                  <w:r>
                    <w:rPr>
                      <w:rFonts w:cs="Arial"/>
                      <w:sz w:val="22"/>
                    </w:rPr>
                    <w:t>（6）公司内部报告的证据表明资产的经济绩效已经低于或者将低于预期，如资产所创造的净现金流量或者实现的营业利润（或者亏损）远远低于（或者高于）预计金额等；</w:t>
                  </w:r>
                </w:p>
                <w:p w14:paraId="06DCA5B0" w14:textId="77777777" w:rsidR="007E7472" w:rsidRDefault="00EC1269">
                  <w:pPr>
                    <w:spacing w:beforeLines="50" w:before="156" w:afterLines="50" w:after="156" w:line="360" w:lineRule="exact"/>
                    <w:ind w:firstLineChars="200" w:firstLine="440"/>
                  </w:pPr>
                  <w:r>
                    <w:rPr>
                      <w:rFonts w:cs="Arial"/>
                      <w:sz w:val="22"/>
                    </w:rPr>
                    <w:t>（7）其他表明资产可能已经发生减值的迹象。</w:t>
                  </w:r>
                </w:p>
              </w:sdtContent>
            </w:sdt>
          </w:sdtContent>
        </w:sdt>
      </w:sdtContent>
    </w:sdt>
    <w:bookmarkEnd w:id="148"/>
    <w:p w14:paraId="59CD132C" w14:textId="77777777" w:rsidR="007E7472" w:rsidRDefault="00C8327E"/>
    <w:bookmarkStart w:id="149" w:name="_Hlk44405475" w:displacedByCustomXml="next"/>
    <w:sdt>
      <w:sdtPr>
        <w:rPr>
          <w:rFonts w:ascii="宋体" w:hAnsi="宋体" w:cs="宋体" w:hint="eastAsia"/>
          <w:b w:val="0"/>
          <w:bCs w:val="0"/>
          <w:kern w:val="0"/>
          <w:sz w:val="20"/>
          <w:szCs w:val="21"/>
        </w:rPr>
        <w:alias w:val="模块:长期待摊费用"/>
        <w:tag w:val="_SEC_716e5dd4aef549d9b8815a4e1474e63d"/>
        <w:id w:val="-2093457712"/>
        <w:lock w:val="sdtLocked"/>
        <w:placeholder>
          <w:docPart w:val="GBC22222222222222222222222222222"/>
        </w:placeholder>
      </w:sdtPr>
      <w:sdtEndPr/>
      <w:sdtContent>
        <w:p w14:paraId="2B656EB4" w14:textId="77777777" w:rsidR="007E7472" w:rsidRDefault="00EC1269" w:rsidP="00162493">
          <w:pPr>
            <w:pStyle w:val="3"/>
            <w:numPr>
              <w:ilvl w:val="0"/>
              <w:numId w:val="46"/>
            </w:numPr>
          </w:pPr>
          <w:r>
            <w:t>长期待摊费用</w:t>
          </w:r>
        </w:p>
        <w:sdt>
          <w:sdtPr>
            <w:rPr>
              <w:rFonts w:hint="eastAsia"/>
            </w:rPr>
            <w:alias w:val="是否适用：长期待摊费用_重要会计政策和估计[双击切换]"/>
            <w:tag w:val="_GBC_75739ccc62204f0490525060b33e330f"/>
            <w:id w:val="-81076369"/>
            <w:lock w:val="sdtLocked"/>
            <w:placeholder>
              <w:docPart w:val="GBC22222222222222222222222222222"/>
            </w:placeholder>
          </w:sdtPr>
          <w:sdtEndPr/>
          <w:sdtContent>
            <w:p w14:paraId="6D54C28F" w14:textId="77777777" w:rsidR="007E7472" w:rsidRDefault="00EC1269">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rPr>
              <w:rFonts w:ascii="Times New Roman" w:hAnsi="Times New Roman" w:cs="Times New Roman" w:hint="eastAsia"/>
              <w:sz w:val="20"/>
              <w:szCs w:val="20"/>
            </w:rPr>
            <w:alias w:val="开办费、长期待摊费用摊销方法"/>
            <w:tag w:val="_GBC_e4e695ce4aea4c878acb6f8ad7190139"/>
            <w:id w:val="512415955"/>
            <w:lock w:val="sdtLocked"/>
            <w:placeholder>
              <w:docPart w:val="GBC22222222222222222222222222222"/>
            </w:placeholder>
          </w:sdtPr>
          <w:sdtEndPr/>
          <w:sdtContent>
            <w:sdt>
              <w:sdtPr>
                <w:rPr>
                  <w:rFonts w:hint="eastAsia"/>
                </w:rPr>
                <w:alias w:val="开办费、长期待摊费用摊销方法"/>
                <w:tag w:val="_GBC_a0e2b7a5a9454eaea97ca201421d7dde"/>
                <w:id w:val="371734277"/>
                <w:lock w:val="sdtLocked"/>
              </w:sdtPr>
              <w:sdtEndPr/>
              <w:sdtContent>
                <w:p w14:paraId="67B8D99D" w14:textId="77777777" w:rsidR="007E7472" w:rsidRDefault="00EC1269">
                  <w:pPr>
                    <w:spacing w:beforeLines="50" w:before="156" w:afterLines="50" w:after="156" w:line="360" w:lineRule="exact"/>
                    <w:ind w:firstLineChars="200" w:firstLine="400"/>
                    <w:jc w:val="both"/>
                  </w:pPr>
                  <w:r>
                    <w:t>本集团的长期待摊费用是指已经支出，但应由当期及以后各期承担的摊销期限在1年以上(不含1年)的采矿权补偿费和工程运行维护费以及其他受益期限在1年以上的支出，该等费用在受益期内平均摊销。如果长期待摊费用项目不能使以后会计期间受益，则将尚未摊销的该项目的摊余价值全部转入当期损益。</w:t>
                  </w:r>
                </w:p>
              </w:sdtContent>
            </w:sdt>
            <w:p w14:paraId="39814B01" w14:textId="77777777" w:rsidR="007E7472" w:rsidRDefault="00C8327E"/>
          </w:sdtContent>
        </w:sdt>
      </w:sdtContent>
    </w:sdt>
    <w:bookmarkEnd w:id="149" w:displacedByCustomXml="next"/>
    <w:bookmarkStart w:id="150" w:name="_Hlk10465482" w:displacedByCustomXml="next"/>
    <w:sdt>
      <w:sdtPr>
        <w:rPr>
          <w:rFonts w:ascii="宋体" w:hAnsi="宋体" w:cs="宋体" w:hint="eastAsia"/>
          <w:b w:val="0"/>
          <w:bCs w:val="0"/>
          <w:kern w:val="0"/>
          <w:szCs w:val="21"/>
        </w:rPr>
        <w:alias w:val="模块:合同负债"/>
        <w:tag w:val="_SEC_2988762bdf3a48178e0180a615cb7705"/>
        <w:id w:val="277992801"/>
        <w:lock w:val="sdtLocked"/>
        <w:placeholder>
          <w:docPart w:val="GBC22222222222222222222222222222"/>
        </w:placeholder>
      </w:sdtPr>
      <w:sdtEndPr/>
      <w:sdtContent>
        <w:p w14:paraId="30273F94" w14:textId="77777777" w:rsidR="007E7472" w:rsidRDefault="00EC1269" w:rsidP="00162493">
          <w:pPr>
            <w:pStyle w:val="3"/>
            <w:numPr>
              <w:ilvl w:val="0"/>
              <w:numId w:val="46"/>
            </w:numPr>
          </w:pPr>
          <w:r>
            <w:rPr>
              <w:rFonts w:hint="eastAsia"/>
            </w:rPr>
            <w:t>合同负债</w:t>
          </w:r>
        </w:p>
        <w:p w14:paraId="6CBEDEEA" w14:textId="77777777" w:rsidR="007E7472" w:rsidRDefault="00EC1269">
          <w:r>
            <w:rPr>
              <w:rFonts w:hint="eastAsia"/>
            </w:rPr>
            <w:t>合同负债的确认方法</w:t>
          </w:r>
        </w:p>
        <w:sdt>
          <w:sdtPr>
            <w:alias w:val="是否适用：合同负债的确定方法、摊销方法和减值测试方法[双击切换]"/>
            <w:tag w:val="_GBC_f210968f2ea04a338a3253827b172c25"/>
            <w:id w:val="-1450620690"/>
            <w:lock w:val="sdtLocked"/>
            <w:placeholder>
              <w:docPart w:val="GBC22222222222222222222222222222"/>
            </w:placeholder>
          </w:sdtPr>
          <w:sdtEndPr/>
          <w:sdtContent>
            <w:p w14:paraId="717AA227" w14:textId="77777777" w:rsidR="007E7472" w:rsidRDefault="00EC1269">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08ABA8C8" w14:textId="77777777" w:rsidR="007E7472" w:rsidRDefault="00C8327E">
          <w:pPr>
            <w:spacing w:beforeLines="50" w:before="156" w:afterLines="50" w:after="156" w:line="360" w:lineRule="exact"/>
            <w:ind w:firstLineChars="200" w:firstLine="420"/>
            <w:jc w:val="both"/>
          </w:pPr>
          <w:sdt>
            <w:sdtPr>
              <w:alias w:val="合同负债的确定方法、摊销方法和减值测试方法"/>
              <w:tag w:val="_GBC_adbfb902bae348178906cb42c1932267"/>
              <w:id w:val="-950387225"/>
              <w:lock w:val="sdtLocked"/>
              <w:placeholder>
                <w:docPart w:val="GBC22222222222222222222222222222"/>
              </w:placeholder>
            </w:sdtPr>
            <w:sdtEndPr/>
            <w:sdtContent>
              <w:sdt>
                <w:sdtPr>
                  <w:alias w:val="合同负债的确定方法、摊销方法和减值测试方法"/>
                  <w:tag w:val="_GBC_0555b9144f6c494282d03f175d2fa19d"/>
                  <w:id w:val="567155274"/>
                  <w:lock w:val="sdtLocked"/>
                </w:sdtPr>
                <w:sdtEndPr/>
                <w:sdtContent>
                  <w:r w:rsidR="00EC1269">
                    <w:rPr>
                      <w:rFonts w:hint="eastAsia"/>
                    </w:rPr>
                    <w:t>合同负债反映本集团已收或应收客户对价而应向客户转让商品的义务。本集团在向客户转让商品之前，客户已经支付了合同对价或本集团已经取得了无条件收取合同对价权利的，在客户实际支付款项与到期应支付款项孰早时点，按照已收或应收的金额确认合同负债。</w:t>
                  </w:r>
                </w:sdtContent>
              </w:sdt>
            </w:sdtContent>
          </w:sdt>
        </w:p>
      </w:sdtContent>
    </w:sdt>
    <w:bookmarkEnd w:id="150" w:displacedByCustomXml="next"/>
    <w:sdt>
      <w:sdtPr>
        <w:rPr>
          <w:rFonts w:ascii="宋体" w:hAnsi="宋体" w:cstheme="minorBidi" w:hint="eastAsia"/>
          <w:b w:val="0"/>
          <w:bCs w:val="0"/>
          <w:kern w:val="0"/>
          <w:szCs w:val="22"/>
        </w:rPr>
        <w:alias w:val="模块:职工薪酬"/>
        <w:tag w:val="_GBC_8ec8855eb4d5447ab785e4bd4b0b73aa"/>
        <w:id w:val="-1017689398"/>
        <w:lock w:val="sdtLocked"/>
        <w:placeholder>
          <w:docPart w:val="GBC22222222222222222222222222222"/>
        </w:placeholder>
      </w:sdtPr>
      <w:sdtEndPr>
        <w:rPr>
          <w:rFonts w:cs="Times New Roman"/>
          <w:szCs w:val="21"/>
        </w:rPr>
      </w:sdtEndPr>
      <w:sdtContent>
        <w:p w14:paraId="3C76C8D0" w14:textId="77777777" w:rsidR="007E7472" w:rsidRDefault="00EC1269" w:rsidP="00162493">
          <w:pPr>
            <w:pStyle w:val="3"/>
            <w:numPr>
              <w:ilvl w:val="0"/>
              <w:numId w:val="46"/>
            </w:numPr>
          </w:pPr>
          <w:r>
            <w:rPr>
              <w:rFonts w:hint="eastAsia"/>
            </w:rPr>
            <w:t>职工薪酬</w:t>
          </w:r>
        </w:p>
        <w:p w14:paraId="3402AA55" w14:textId="77777777" w:rsidR="007E7472" w:rsidRDefault="00EC1269" w:rsidP="00162493">
          <w:pPr>
            <w:pStyle w:val="4"/>
            <w:numPr>
              <w:ilvl w:val="0"/>
              <w:numId w:val="55"/>
            </w:numPr>
          </w:pPr>
          <w:r>
            <w:rPr>
              <w:rFonts w:hint="eastAsia"/>
            </w:rPr>
            <w:t>短期薪酬的会计处理方法</w:t>
          </w:r>
        </w:p>
        <w:sdt>
          <w:sdtPr>
            <w:alias w:val="是否适用：短期薪酬的会计处理方法[双击切换]"/>
            <w:tag w:val="_GBC_eefed2a465e349b6a35598930bd9541d"/>
            <w:id w:val="1294406444"/>
            <w:lock w:val="sdtLocked"/>
            <w:placeholder>
              <w:docPart w:val="GBC22222222222222222222222222222"/>
            </w:placeholder>
          </w:sdtPr>
          <w:sdtEndPr/>
          <w:sdtContent>
            <w:p w14:paraId="654D3F64" w14:textId="77777777" w:rsidR="007E7472" w:rsidRDefault="00EC1269">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alias w:val="短期薪酬的会计处理方法"/>
            <w:tag w:val="_GBC_8fdf44b194ac45fb945d36b9896df796"/>
            <w:id w:val="-1049682386"/>
            <w:lock w:val="sdtLocked"/>
            <w:placeholder>
              <w:docPart w:val="GBC22222222222222222222222222222"/>
            </w:placeholder>
          </w:sdtPr>
          <w:sdtEndPr/>
          <w:sdtContent>
            <w:p w14:paraId="5F85C83A" w14:textId="77777777" w:rsidR="007E7472" w:rsidRDefault="00EC1269">
              <w:pPr>
                <w:spacing w:beforeLines="50" w:before="156" w:afterLines="50" w:after="156" w:line="360" w:lineRule="exact"/>
                <w:ind w:firstLineChars="200" w:firstLine="420"/>
                <w:jc w:val="both"/>
              </w:pPr>
              <w:r>
                <w:rPr>
                  <w:rFonts w:hint="eastAsia"/>
                </w:rPr>
                <w:t>本集团职工薪酬包括短期薪酬、离职后福利、辞退福利和其他长期福利。</w:t>
              </w:r>
            </w:p>
            <w:p w14:paraId="2A5F3E4D" w14:textId="77777777" w:rsidR="007E7472" w:rsidRDefault="00EC1269">
              <w:pPr>
                <w:spacing w:beforeLines="50" w:before="156" w:afterLines="50" w:after="156" w:line="360" w:lineRule="exact"/>
                <w:ind w:firstLineChars="200" w:firstLine="420"/>
                <w:jc w:val="both"/>
              </w:pPr>
              <w:r>
                <w:rPr>
                  <w:rFonts w:hint="eastAsia"/>
                </w:rPr>
                <w:t>短期薪酬主要包括职工工资、奖金、津贴和补贴，职工福利费，医疗保险费、工伤保险费和生育保险费等社会保险费，住房公积金，工会经费和职工教育经费，短期带薪缺勤等，在职工提</w:t>
              </w:r>
              <w:r>
                <w:rPr>
                  <w:rFonts w:hint="eastAsia"/>
                </w:rPr>
                <w:lastRenderedPageBreak/>
                <w:t>供服务的会计期间，将实际发生的短期薪酬确认为负债，并按照受益对象计入当期损益或相关资产成本。</w:t>
              </w:r>
            </w:p>
          </w:sdtContent>
        </w:sdt>
        <w:p w14:paraId="22E5D2A9" w14:textId="77777777" w:rsidR="007E7472" w:rsidRDefault="00C8327E"/>
        <w:p w14:paraId="65CF6A32" w14:textId="77777777" w:rsidR="007E7472" w:rsidRDefault="00EC1269" w:rsidP="00162493">
          <w:pPr>
            <w:pStyle w:val="4"/>
            <w:numPr>
              <w:ilvl w:val="0"/>
              <w:numId w:val="55"/>
            </w:numPr>
          </w:pPr>
          <w:r>
            <w:rPr>
              <w:rFonts w:hint="eastAsia"/>
            </w:rPr>
            <w:t>离职后福利的会计处理方法</w:t>
          </w:r>
        </w:p>
        <w:sdt>
          <w:sdtPr>
            <w:rPr>
              <w:rFonts w:hint="eastAsia"/>
            </w:rPr>
            <w:alias w:val="是否适用：离职后福利的会计处理方法[双击切换]"/>
            <w:tag w:val="_GBC_35bbae299fda438d9e595058bbecbcdc"/>
            <w:id w:val="188037011"/>
            <w:lock w:val="sdtLocked"/>
            <w:placeholder>
              <w:docPart w:val="GBC22222222222222222222222222222"/>
            </w:placeholder>
          </w:sdtPr>
          <w:sdtEndPr/>
          <w:sdtContent>
            <w:p w14:paraId="6129E0F8" w14:textId="77777777" w:rsidR="007E7472" w:rsidRDefault="00EC1269">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alias w:val="离职后福利的会计处理方法"/>
            <w:tag w:val="_GBC_3b0bafa6ef784ba99c829e2f60cf828e"/>
            <w:id w:val="1480500023"/>
            <w:lock w:val="sdtLocked"/>
            <w:placeholder>
              <w:docPart w:val="GBC22222222222222222222222222222"/>
            </w:placeholder>
          </w:sdtPr>
          <w:sdtEndPr/>
          <w:sdtContent>
            <w:p w14:paraId="1EA87E03" w14:textId="77777777" w:rsidR="007E7472" w:rsidRDefault="00EC1269">
              <w:pPr>
                <w:spacing w:beforeLines="50" w:before="156" w:afterLines="50" w:after="156" w:line="360" w:lineRule="exact"/>
                <w:ind w:firstLineChars="200" w:firstLine="420"/>
                <w:jc w:val="both"/>
              </w:pPr>
              <w:r>
                <w:rPr>
                  <w:rFonts w:hint="eastAsia"/>
                </w:rPr>
                <w:t>离职后福利主要包括基本养老保险费、企业年金缴费等，按照公司承担的风险和义务，分类为设定提存计划、设定受益计划。对于设定提存计划在根据在资产负债表日为换取职工在会计期间提供的服务而向单独主体缴存的提存金确认为负债，并按照受益对象计入当期损益或相关资产成本。</w:t>
              </w:r>
            </w:p>
          </w:sdtContent>
        </w:sdt>
        <w:p w14:paraId="40F6EC7E" w14:textId="77777777" w:rsidR="007E7472" w:rsidRDefault="00C8327E"/>
        <w:p w14:paraId="5BDB687A" w14:textId="77777777" w:rsidR="007E7472" w:rsidRDefault="00EC1269" w:rsidP="00162493">
          <w:pPr>
            <w:pStyle w:val="4"/>
            <w:numPr>
              <w:ilvl w:val="0"/>
              <w:numId w:val="55"/>
            </w:numPr>
          </w:pPr>
          <w:r>
            <w:rPr>
              <w:rFonts w:hint="eastAsia"/>
            </w:rPr>
            <w:t>辞退福利的会计处理方法</w:t>
          </w:r>
        </w:p>
        <w:sdt>
          <w:sdtPr>
            <w:rPr>
              <w:rFonts w:hint="eastAsia"/>
            </w:rPr>
            <w:alias w:val="是否适用：辞退福利的会计处理方法[双击切换]"/>
            <w:tag w:val="_GBC_b6be1c30b6144d54b0e20b3cb9d3a691"/>
            <w:id w:val="-557476264"/>
            <w:lock w:val="sdtLocked"/>
            <w:placeholder>
              <w:docPart w:val="GBC22222222222222222222222222222"/>
            </w:placeholder>
          </w:sdtPr>
          <w:sdtEndPr/>
          <w:sdtContent>
            <w:p w14:paraId="0B43EDD6" w14:textId="77777777" w:rsidR="007E7472" w:rsidRDefault="00EC1269">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alias w:val="辞退福利的会计处理方法"/>
            <w:tag w:val="_GBC_a93705fb60b24bceb25c88a68ed87432"/>
            <w:id w:val="4948752"/>
            <w:lock w:val="sdtLocked"/>
            <w:placeholder>
              <w:docPart w:val="GBC22222222222222222222222222222"/>
            </w:placeholder>
          </w:sdtPr>
          <w:sdtEndPr/>
          <w:sdtContent>
            <w:p w14:paraId="4807D23B" w14:textId="77777777" w:rsidR="007E7472" w:rsidRDefault="00EC1269">
              <w:pPr>
                <w:spacing w:beforeLines="50" w:before="156" w:afterLines="50" w:after="156" w:line="360" w:lineRule="exact"/>
                <w:ind w:firstLineChars="200" w:firstLine="420"/>
                <w:jc w:val="both"/>
              </w:pPr>
              <w:r>
                <w:rPr>
                  <w:rFonts w:hint="eastAsia"/>
                </w:rPr>
                <w:t>辞退福利是指在职工劳动合同到期之前决定解除与职工的劳动关系，或为鼓励职工自愿接受裁减而提出给予补偿的建议，如果本集团已经制定正式的解除劳动关系计划或提出自愿裁减建议，并即将实施，同时本集团不能单方面撤回解除劳动关系计划或裁减建议的，确认因解除与职工劳动关系给予补偿产生的预计负债，计入当期损益。</w:t>
              </w:r>
            </w:p>
          </w:sdtContent>
        </w:sdt>
        <w:p w14:paraId="6F18F0B5" w14:textId="77777777" w:rsidR="007E7472" w:rsidRDefault="00C8327E"/>
        <w:p w14:paraId="2AD73057" w14:textId="77777777" w:rsidR="007E7472" w:rsidRDefault="00EC1269" w:rsidP="00162493">
          <w:pPr>
            <w:pStyle w:val="4"/>
            <w:numPr>
              <w:ilvl w:val="0"/>
              <w:numId w:val="55"/>
            </w:numPr>
          </w:pPr>
          <w:r>
            <w:rPr>
              <w:rFonts w:hint="eastAsia"/>
            </w:rPr>
            <w:t>其他长期职工福利的会计处理方法</w:t>
          </w:r>
        </w:p>
        <w:sdt>
          <w:sdtPr>
            <w:rPr>
              <w:rFonts w:hint="eastAsia"/>
            </w:rPr>
            <w:alias w:val="是否适用：其他长期职工福利的会计处理方法[双击切换]"/>
            <w:tag w:val="_GBC_6650f3bc6a474b318e05b9d60314cb7f"/>
            <w:id w:val="1306284189"/>
            <w:lock w:val="sdtLocked"/>
            <w:placeholder>
              <w:docPart w:val="GBC22222222222222222222222222222"/>
            </w:placeholder>
          </w:sdtPr>
          <w:sdtEndPr/>
          <w:sdtContent>
            <w:p w14:paraId="1C663254" w14:textId="77777777" w:rsidR="007E7472" w:rsidRDefault="00EC1269">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alias w:val="其他长期职工福利的会计处理方法"/>
            <w:tag w:val="_GBC_0e549e9400284de7b64ddf6ecc255dea"/>
            <w:id w:val="-498648333"/>
            <w:lock w:val="sdtLocked"/>
            <w:placeholder>
              <w:docPart w:val="GBC22222222222222222222222222222"/>
            </w:placeholder>
          </w:sdtPr>
          <w:sdtEndPr/>
          <w:sdtContent>
            <w:p w14:paraId="17A58740" w14:textId="77777777" w:rsidR="007E7472" w:rsidRDefault="00EC1269">
              <w:pPr>
                <w:spacing w:beforeLines="50" w:before="156" w:afterLines="50" w:after="156" w:line="360" w:lineRule="exact"/>
                <w:ind w:firstLineChars="200" w:firstLine="420"/>
                <w:jc w:val="both"/>
                <w:rPr>
                  <w:rFonts w:cs="Times New Roman"/>
                </w:rPr>
              </w:pPr>
              <w:r>
                <w:rPr>
                  <w:rFonts w:hint="eastAsia"/>
                </w:rPr>
                <w:t>其他长期福利，是指除短期薪酬、离职后福利、辞退福利之外所有的职工薪酬。</w:t>
              </w:r>
            </w:p>
          </w:sdtContent>
        </w:sdt>
      </w:sdtContent>
    </w:sdt>
    <w:p w14:paraId="444267B5" w14:textId="77777777" w:rsidR="007E7472" w:rsidRDefault="00C8327E"/>
    <w:sdt>
      <w:sdtPr>
        <w:rPr>
          <w:rFonts w:ascii="宋体" w:hAnsi="宋体" w:cs="宋体" w:hint="eastAsia"/>
          <w:b w:val="0"/>
          <w:bCs w:val="0"/>
          <w:kern w:val="0"/>
          <w:sz w:val="20"/>
          <w:szCs w:val="21"/>
        </w:rPr>
        <w:alias w:val="模块:租赁负债"/>
        <w:tag w:val="_SEC_d8e7208bcd04489eb6a8b588ac7c08d7"/>
        <w:id w:val="-150299747"/>
        <w:lock w:val="sdtLocked"/>
        <w:placeholder>
          <w:docPart w:val="GBC22222222222222222222222222222"/>
        </w:placeholder>
      </w:sdtPr>
      <w:sdtEndPr/>
      <w:sdtContent>
        <w:p w14:paraId="42917334" w14:textId="77777777" w:rsidR="007E7472" w:rsidRDefault="00EC1269" w:rsidP="00162493">
          <w:pPr>
            <w:pStyle w:val="3"/>
            <w:numPr>
              <w:ilvl w:val="0"/>
              <w:numId w:val="46"/>
            </w:numPr>
          </w:pPr>
          <w:r>
            <w:rPr>
              <w:rFonts w:hint="eastAsia"/>
            </w:rPr>
            <w:t>租赁负债</w:t>
          </w:r>
        </w:p>
        <w:sdt>
          <w:sdtPr>
            <w:alias w:val="是否适用：租赁负债_重要会计政策和估计[双击切换]"/>
            <w:tag w:val="_GBC_34c8994db6c04aa0821b8100fc152679"/>
            <w:id w:val="1961527029"/>
            <w:lock w:val="sdtLocked"/>
            <w:placeholder>
              <w:docPart w:val="GBC22222222222222222222222222222"/>
            </w:placeholder>
          </w:sdtPr>
          <w:sdtEndPr/>
          <w:sdtContent>
            <w:p w14:paraId="60FD73AC" w14:textId="77777777" w:rsidR="007E7472" w:rsidRDefault="00EC1269">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rPr>
              <w:rFonts w:ascii="Times New Roman" w:hAnsi="Times New Roman" w:cs="宋体" w:hint="eastAsia"/>
              <w:b w:val="0"/>
              <w:bCs w:val="0"/>
              <w:kern w:val="0"/>
              <w:sz w:val="20"/>
              <w:szCs w:val="20"/>
            </w:rPr>
            <w:alias w:val="租赁负债的核算方法"/>
            <w:tag w:val="_GBC_f93840fd38604e669d3682eeebba46a7"/>
            <w:id w:val="276224795"/>
            <w:lock w:val="sdtLocked"/>
            <w:placeholder>
              <w:docPart w:val="GBC22222222222222222222222222222"/>
            </w:placeholder>
          </w:sdtPr>
          <w:sdtEndPr/>
          <w:sdtContent>
            <w:sdt>
              <w:sdtPr>
                <w:rPr>
                  <w:rFonts w:ascii="宋体" w:hAnsi="宋体" w:cs="宋体" w:hint="eastAsia"/>
                  <w:b w:val="0"/>
                  <w:bCs w:val="0"/>
                  <w:kern w:val="0"/>
                  <w:szCs w:val="21"/>
                </w:rPr>
                <w:alias w:val="租赁负债的核算方法"/>
                <w:tag w:val="_GBC_0926be58d3434b5cbc922e1cb39d077e"/>
                <w:id w:val="-1079516829"/>
                <w:lock w:val="sdtLocked"/>
              </w:sdtPr>
              <w:sdtEndPr/>
              <w:sdtContent>
                <w:p w14:paraId="764B68E5" w14:textId="77777777" w:rsidR="007E7472" w:rsidRPr="00E77029" w:rsidRDefault="00EC1269" w:rsidP="007E7472">
                  <w:pPr>
                    <w:pStyle w:val="3"/>
                    <w:spacing w:beforeLines="10" w:before="31" w:afterLines="10" w:after="31" w:line="360" w:lineRule="exact"/>
                    <w:ind w:firstLineChars="200" w:firstLine="400"/>
                    <w:rPr>
                      <w:rFonts w:ascii="宋体" w:hAnsi="宋体" w:cs="宋体"/>
                      <w:b w:val="0"/>
                      <w:bCs w:val="0"/>
                      <w:kern w:val="0"/>
                      <w:szCs w:val="24"/>
                    </w:rPr>
                  </w:pPr>
                  <w:r w:rsidRPr="00E77029">
                    <w:rPr>
                      <w:rFonts w:ascii="宋体" w:hAnsi="宋体" w:cs="宋体" w:hint="eastAsia"/>
                      <w:b w:val="0"/>
                      <w:bCs w:val="0"/>
                      <w:kern w:val="0"/>
                      <w:szCs w:val="24"/>
                    </w:rPr>
                    <w:t>（1）初始计量</w:t>
                  </w:r>
                </w:p>
                <w:p w14:paraId="46040A1C" w14:textId="77777777" w:rsidR="007E7472" w:rsidRDefault="00EC1269">
                  <w:pPr>
                    <w:spacing w:beforeLines="50" w:before="156" w:afterLines="50" w:after="156" w:line="360" w:lineRule="exact"/>
                    <w:ind w:firstLineChars="200" w:firstLine="420"/>
                    <w:jc w:val="both"/>
                    <w:rPr>
                      <w:rFonts w:cs="Arial"/>
                    </w:rPr>
                  </w:pPr>
                  <w:r>
                    <w:rPr>
                      <w:rFonts w:cs="Arial" w:hint="eastAsia"/>
                    </w:rPr>
                    <w:t>除短期租赁和低价值资产租赁外，本集团在租赁期开始日按照该日尚未支付的租赁付款额的现值对租赁负债进行初始计量。</w:t>
                  </w:r>
                </w:p>
                <w:p w14:paraId="2404A3D3" w14:textId="77777777" w:rsidR="007E7472" w:rsidRDefault="00EC1269">
                  <w:pPr>
                    <w:spacing w:beforeLines="50" w:before="156" w:afterLines="50" w:after="156" w:line="360" w:lineRule="exact"/>
                    <w:ind w:firstLineChars="200" w:firstLine="420"/>
                    <w:jc w:val="both"/>
                    <w:rPr>
                      <w:rFonts w:cs="Arial"/>
                    </w:rPr>
                  </w:pPr>
                  <w:r>
                    <w:rPr>
                      <w:rFonts w:cs="Arial" w:hint="eastAsia"/>
                    </w:rPr>
                    <w:t>1）租赁付款额</w:t>
                  </w:r>
                </w:p>
                <w:p w14:paraId="610D8C59" w14:textId="77777777" w:rsidR="007E7472" w:rsidRDefault="00EC1269">
                  <w:pPr>
                    <w:spacing w:beforeLines="50" w:before="156" w:afterLines="50" w:after="156" w:line="360" w:lineRule="exact"/>
                    <w:ind w:firstLineChars="200" w:firstLine="420"/>
                    <w:jc w:val="both"/>
                    <w:rPr>
                      <w:rFonts w:cs="Arial"/>
                    </w:rPr>
                  </w:pPr>
                  <w:r>
                    <w:rPr>
                      <w:rFonts w:cs="Arial" w:hint="eastAsia"/>
                    </w:rPr>
                    <w:t>租赁付款额，是指本集团向出租人支付的与在租赁期内使用租赁资产的权利相关的款项，包括：①固定付款额及实质固定付款额，存在租赁激励的，扣除租赁激励相关金额；②取决于指数或比率的可变租赁付款额，该款项在初始计量时根据租赁期开始日的指数或比率确定；③本集团合理确定将行使购买选择权时，购买选择权的行权价格；④租赁期反映出本集团将行使终止租赁选择权时，行使终止租赁选择权需支付的款项；⑤根据本集团提供的担保余值预计应支付的款项。</w:t>
                  </w:r>
                </w:p>
                <w:p w14:paraId="5FCE2319" w14:textId="77777777" w:rsidR="007E7472" w:rsidRDefault="00EC1269">
                  <w:pPr>
                    <w:spacing w:beforeLines="50" w:before="156" w:afterLines="50" w:after="156" w:line="360" w:lineRule="exact"/>
                    <w:ind w:firstLineChars="200" w:firstLine="420"/>
                    <w:jc w:val="both"/>
                    <w:rPr>
                      <w:rFonts w:cs="Arial"/>
                    </w:rPr>
                  </w:pPr>
                  <w:r>
                    <w:rPr>
                      <w:rFonts w:cs="Arial" w:hint="eastAsia"/>
                    </w:rPr>
                    <w:t>2）折现率</w:t>
                  </w:r>
                </w:p>
                <w:p w14:paraId="02255E16" w14:textId="77777777" w:rsidR="007E7472" w:rsidRDefault="00EC1269">
                  <w:pPr>
                    <w:spacing w:beforeLines="50" w:before="156" w:afterLines="50" w:after="156" w:line="360" w:lineRule="exact"/>
                    <w:ind w:firstLineChars="200" w:firstLine="420"/>
                    <w:jc w:val="both"/>
                    <w:rPr>
                      <w:rFonts w:cs="Arial"/>
                    </w:rPr>
                  </w:pPr>
                  <w:r>
                    <w:rPr>
                      <w:rFonts w:cs="Arial" w:hint="eastAsia"/>
                    </w:rPr>
                    <w:lastRenderedPageBreak/>
                    <w:t>在计算租赁付款额的现值时，本集团因无法确定租赁内含利率的，采用增量借款利率作为折现率。该增量借款利率，是指本集团在类似经济环境下为获得与使用权资产价值接近的资产，在类似期间以类似抵押条件借入资金须支付的利率。</w:t>
                  </w:r>
                </w:p>
                <w:p w14:paraId="6E9729F6" w14:textId="77777777" w:rsidR="007E7472" w:rsidRPr="00E77029" w:rsidRDefault="00EC1269">
                  <w:pPr>
                    <w:spacing w:beforeLines="50" w:before="156" w:afterLines="50" w:after="156" w:line="360" w:lineRule="exact"/>
                    <w:ind w:firstLineChars="200" w:firstLine="420"/>
                    <w:jc w:val="both"/>
                    <w:rPr>
                      <w:szCs w:val="24"/>
                    </w:rPr>
                  </w:pPr>
                  <w:r w:rsidRPr="00E77029">
                    <w:rPr>
                      <w:rFonts w:hint="eastAsia"/>
                      <w:szCs w:val="24"/>
                    </w:rPr>
                    <w:t>（</w:t>
                  </w:r>
                  <w:r w:rsidRPr="00E77029">
                    <w:rPr>
                      <w:szCs w:val="24"/>
                    </w:rPr>
                    <w:t>2</w:t>
                  </w:r>
                  <w:r w:rsidRPr="00E77029">
                    <w:rPr>
                      <w:rFonts w:hint="eastAsia"/>
                      <w:szCs w:val="24"/>
                    </w:rPr>
                    <w:t>）后续计量</w:t>
                  </w:r>
                </w:p>
                <w:p w14:paraId="3831B682" w14:textId="77777777" w:rsidR="007E7472" w:rsidRDefault="00EC1269">
                  <w:pPr>
                    <w:spacing w:beforeLines="50" w:before="156" w:afterLines="50" w:after="156" w:line="360" w:lineRule="exact"/>
                    <w:ind w:firstLineChars="200" w:firstLine="420"/>
                    <w:jc w:val="both"/>
                    <w:rPr>
                      <w:rFonts w:cs="Arial"/>
                    </w:rPr>
                  </w:pPr>
                  <w:r>
                    <w:rPr>
                      <w:rFonts w:cs="Arial" w:hint="eastAsia"/>
                    </w:rPr>
                    <w:t>在租赁期开始日后，本集团按以下原则对租赁负债进行后续计量：①确认租赁负债的利息时，增加租赁负债的账面金额；②支付租赁付款额时，减少租赁负债的账面金额；③因重估或租赁变更等原因导致租赁付款额发生变动时，重新计量租赁负债的账面价值。</w:t>
                  </w:r>
                </w:p>
                <w:p w14:paraId="6633789C" w14:textId="77777777" w:rsidR="007E7472" w:rsidRDefault="00EC1269">
                  <w:pPr>
                    <w:spacing w:beforeLines="50" w:before="156" w:afterLines="50" w:after="156" w:line="360" w:lineRule="exact"/>
                    <w:ind w:firstLineChars="200" w:firstLine="420"/>
                    <w:jc w:val="both"/>
                    <w:rPr>
                      <w:rFonts w:cs="Arial"/>
                    </w:rPr>
                  </w:pPr>
                  <w:r>
                    <w:rPr>
                      <w:rFonts w:cs="Arial" w:hint="eastAsia"/>
                    </w:rPr>
                    <w:t>按照固定的周期性利率计算租赁负债在租赁期内各期间的利息费用，计入当期损益，但应当资本化的除外。周期性利率是指本集团对租赁负债进行初始计量时所采用的折现率，或者因租赁付款额发生变动或因租赁变更而需按照修订后的折现率对租赁负债进行重新计量时，本集团所采用的修订后的折现率。</w:t>
                  </w:r>
                </w:p>
                <w:p w14:paraId="5FA6DB47" w14:textId="77777777" w:rsidR="007E7472" w:rsidRDefault="00EC1269">
                  <w:pPr>
                    <w:spacing w:beforeLines="50" w:before="156" w:afterLines="50" w:after="156" w:line="360" w:lineRule="exact"/>
                    <w:ind w:firstLineChars="200" w:firstLine="420"/>
                    <w:jc w:val="both"/>
                    <w:rPr>
                      <w:rFonts w:cs="Arial"/>
                    </w:rPr>
                  </w:pPr>
                  <w:r>
                    <w:rPr>
                      <w:rFonts w:cs="Arial" w:hint="eastAsia"/>
                    </w:rPr>
                    <w:t>未纳入租赁负债计量的可变租赁付款额应当在实际发生时计入当期损益或相关资产成本。</w:t>
                  </w:r>
                </w:p>
                <w:p w14:paraId="1F370E22" w14:textId="77777777" w:rsidR="007E7472" w:rsidRPr="00A1280D" w:rsidRDefault="00EC1269">
                  <w:pPr>
                    <w:spacing w:beforeLines="50" w:before="156" w:afterLines="50" w:after="156" w:line="360" w:lineRule="exact"/>
                    <w:ind w:firstLineChars="200" w:firstLine="420"/>
                    <w:jc w:val="both"/>
                    <w:rPr>
                      <w:rFonts w:asciiTheme="minorEastAsia" w:eastAsiaTheme="minorEastAsia" w:hAnsiTheme="minorEastAsia" w:cs="Times New Roman"/>
                      <w:bCs/>
                      <w:kern w:val="2"/>
                      <w:szCs w:val="24"/>
                    </w:rPr>
                  </w:pPr>
                  <w:r w:rsidRPr="00E77029">
                    <w:rPr>
                      <w:rFonts w:hint="eastAsia"/>
                      <w:szCs w:val="24"/>
                    </w:rPr>
                    <w:t>（</w:t>
                  </w:r>
                  <w:r w:rsidRPr="00E77029">
                    <w:rPr>
                      <w:szCs w:val="24"/>
                    </w:rPr>
                    <w:t>3</w:t>
                  </w:r>
                  <w:r w:rsidRPr="00E77029">
                    <w:rPr>
                      <w:rFonts w:hint="eastAsia"/>
                      <w:szCs w:val="24"/>
                    </w:rPr>
                    <w:t>）重新计量</w:t>
                  </w:r>
                </w:p>
                <w:p w14:paraId="1E25F1F0" w14:textId="77777777" w:rsidR="007E7472" w:rsidRDefault="00EC1269">
                  <w:pPr>
                    <w:spacing w:beforeLines="50" w:before="156" w:afterLines="50" w:after="156" w:line="360" w:lineRule="exact"/>
                    <w:ind w:firstLineChars="200" w:firstLine="420"/>
                    <w:jc w:val="both"/>
                  </w:pPr>
                  <w:r>
                    <w:rPr>
                      <w:rFonts w:cs="Arial" w:hint="eastAsia"/>
                    </w:rPr>
                    <w:t>在租赁期开始日后，发生下列情形时，本集团按照变动后租赁付款额和修订后的折现率计算的现值重新计量租赁负债，并相应调整使用权资产的账面价值。使用权资产的账面价值已调减至零，但租赁负债仍需进一步调减的，本集团将剩余金额计入当期损益。①实质固定付款额发生变动；②担保余值预计的应付金额发生变动；③用于确定租赁付款额的指数或比率发生变动；④购买选择权的评估结果发生变化；⑤续租选择权或终止租赁选择权的评估结果或实际行使情况发生变化。</w:t>
                  </w:r>
                </w:p>
              </w:sdtContent>
            </w:sdt>
            <w:p w14:paraId="30BF57E2" w14:textId="77777777" w:rsidR="007E7472" w:rsidRDefault="00C8327E"/>
          </w:sdtContent>
        </w:sdt>
      </w:sdtContent>
    </w:sdt>
    <w:p w14:paraId="379B4ED2" w14:textId="77777777" w:rsidR="007E7472" w:rsidRDefault="00C8327E"/>
    <w:sdt>
      <w:sdtPr>
        <w:rPr>
          <w:rFonts w:ascii="宋体" w:hAnsi="宋体" w:cs="宋体"/>
          <w:b w:val="0"/>
          <w:bCs w:val="0"/>
          <w:kern w:val="0"/>
          <w:szCs w:val="24"/>
        </w:rPr>
        <w:alias w:val="模块:预计负债会计处理方法"/>
        <w:tag w:val="_GBC_b5b71a4d3cc1425c80f55e751e7e18c2"/>
        <w:id w:val="602069681"/>
        <w:lock w:val="sdtLocked"/>
        <w:placeholder>
          <w:docPart w:val="GBC22222222222222222222222222222"/>
        </w:placeholder>
      </w:sdtPr>
      <w:sdtEndPr>
        <w:rPr>
          <w:rFonts w:hint="eastAsia"/>
          <w:szCs w:val="21"/>
        </w:rPr>
      </w:sdtEndPr>
      <w:sdtContent>
        <w:p w14:paraId="5C2BA056" w14:textId="77777777" w:rsidR="007E7472" w:rsidRDefault="00EC1269" w:rsidP="00162493">
          <w:pPr>
            <w:pStyle w:val="3"/>
            <w:numPr>
              <w:ilvl w:val="0"/>
              <w:numId w:val="46"/>
            </w:numPr>
          </w:pPr>
          <w:r>
            <w:t>预计负债</w:t>
          </w:r>
        </w:p>
        <w:sdt>
          <w:sdtPr>
            <w:rPr>
              <w:rFonts w:hint="eastAsia"/>
            </w:rPr>
            <w:alias w:val="是否适用：预计负债_重要会计政策和估计[双击切换]"/>
            <w:tag w:val="_GBC_60f7f598e5d5458986c0f06775dc38fd"/>
            <w:id w:val="1237289130"/>
            <w:lock w:val="sdtLocked"/>
            <w:placeholder>
              <w:docPart w:val="GBC22222222222222222222222222222"/>
            </w:placeholder>
          </w:sdtPr>
          <w:sdtEndPr/>
          <w:sdtContent>
            <w:p w14:paraId="10B2D91D" w14:textId="77777777" w:rsidR="007E7472" w:rsidRDefault="00EC1269">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rPr>
              <w:rFonts w:hint="eastAsia"/>
            </w:rPr>
            <w:alias w:val="预计负债的核算方法"/>
            <w:tag w:val="_GBC_d6934772e41e485d9e00e349486f9d7e"/>
            <w:id w:val="882993219"/>
            <w:lock w:val="sdtLocked"/>
            <w:placeholder>
              <w:docPart w:val="GBC22222222222222222222222222222"/>
            </w:placeholder>
          </w:sdtPr>
          <w:sdtEndPr/>
          <w:sdtContent>
            <w:p w14:paraId="383FE728" w14:textId="77777777" w:rsidR="007E7472" w:rsidRDefault="00EC1269">
              <w:pPr>
                <w:spacing w:beforeLines="50" w:before="156" w:afterLines="50" w:after="156" w:line="360" w:lineRule="exact"/>
                <w:ind w:firstLineChars="200" w:firstLine="420"/>
                <w:jc w:val="both"/>
              </w:pPr>
              <w:r>
                <w:rPr>
                  <w:rFonts w:hint="eastAsia"/>
                </w:rPr>
                <w:t>当与因开采煤矿而形成的复垦、弃置及环境清理事项，以及对外担保、未决诉讼或仲裁、产品质量保证、裁员计划、亏损合同、重组义务等或有事项相关的业务同时符合以下条件时，本集团将其确认为负债：该义务是本集团承担的现时义务；该义务的履行很可能导致经济利益流出企业；该义务的金额能够可靠地计量。</w:t>
              </w:r>
            </w:p>
            <w:p w14:paraId="0693B729" w14:textId="77777777" w:rsidR="007E7472" w:rsidRDefault="00EC1269">
              <w:pPr>
                <w:spacing w:beforeLines="50" w:before="156" w:afterLines="50" w:after="156" w:line="360" w:lineRule="exact"/>
                <w:ind w:firstLineChars="200" w:firstLine="420"/>
                <w:jc w:val="both"/>
              </w:pPr>
              <w:r>
                <w:rPr>
                  <w:rFonts w:hint="eastAsia"/>
                </w:rPr>
                <w:t>预计负债按照履行相关现时义务所需支出的最佳估计数进行初始计量，并综合考虑与或有事项有关的风险、不确定性和货币时间价值等因素。货币时间价值影响重大的，通过对相关未来现金流出进行折现后确定最佳估计数。于资产负债表日对预计负债的账面价值进行复核，如有改变则对账面价值进行调整以反映当前最佳估计数。</w:t>
              </w:r>
            </w:p>
          </w:sdtContent>
        </w:sdt>
      </w:sdtContent>
    </w:sdt>
    <w:p w14:paraId="6BE65A43" w14:textId="77777777" w:rsidR="007E7472" w:rsidRDefault="00C8327E"/>
    <w:sdt>
      <w:sdtPr>
        <w:rPr>
          <w:rFonts w:ascii="宋体" w:hAnsi="宋体" w:cstheme="minorBidi" w:hint="eastAsia"/>
          <w:b w:val="0"/>
          <w:bCs w:val="0"/>
          <w:color w:val="000000"/>
          <w:spacing w:val="-10"/>
          <w:kern w:val="0"/>
          <w:sz w:val="20"/>
          <w:szCs w:val="22"/>
        </w:rPr>
        <w:alias w:val="模块:股份支付"/>
        <w:tag w:val="_GBC_5300d3ce4b5f4c1690fe13bde0a610e3"/>
        <w:id w:val="-1288045291"/>
        <w:lock w:val="sdtLocked"/>
        <w:placeholder>
          <w:docPart w:val="GBC22222222222222222222222222222"/>
        </w:placeholder>
      </w:sdtPr>
      <w:sdtEndPr>
        <w:rPr>
          <w:rFonts w:cs="Times New Roman"/>
          <w:sz w:val="21"/>
          <w:szCs w:val="21"/>
        </w:rPr>
      </w:sdtEndPr>
      <w:sdtContent>
        <w:p w14:paraId="7F21A948" w14:textId="77777777" w:rsidR="007E7472" w:rsidRDefault="00EC1269" w:rsidP="00162493">
          <w:pPr>
            <w:pStyle w:val="3"/>
            <w:numPr>
              <w:ilvl w:val="0"/>
              <w:numId w:val="46"/>
            </w:numPr>
          </w:pPr>
          <w:r>
            <w:rPr>
              <w:rFonts w:hint="eastAsia"/>
            </w:rPr>
            <w:t>股份支付</w:t>
          </w:r>
        </w:p>
        <w:sdt>
          <w:sdtPr>
            <w:rPr>
              <w:rFonts w:hint="eastAsia"/>
            </w:rPr>
            <w:alias w:val="是否适用：股份支付_重要会计政策和估计[双击切换]"/>
            <w:tag w:val="_GBC_cfe00a6b35f24950855f2412f34bcf7a"/>
            <w:id w:val="613327778"/>
            <w:lock w:val="sdtLocked"/>
            <w:placeholder>
              <w:docPart w:val="GBC22222222222222222222222222222"/>
            </w:placeholder>
          </w:sdtPr>
          <w:sdtEndPr/>
          <w:sdtContent>
            <w:p w14:paraId="4968338E" w14:textId="77777777" w:rsidR="007E7472" w:rsidRDefault="00EC1269">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rPr>
              <w:rFonts w:ascii="Times New Roman" w:hAnsi="Times New Roman" w:cs="Times New Roman"/>
              <w:color w:val="000000"/>
              <w:spacing w:val="-10"/>
              <w:sz w:val="20"/>
              <w:szCs w:val="20"/>
            </w:rPr>
            <w:alias w:val="股份支付的核算方法"/>
            <w:tag w:val="_GBC_99e197c555ed4cf8aa00bbd5da2fe98b"/>
            <w:id w:val="-345409558"/>
            <w:lock w:val="sdtLocked"/>
            <w:placeholder>
              <w:docPart w:val="GBC22222222222222222222222222222"/>
            </w:placeholder>
          </w:sdtPr>
          <w:sdtEndPr>
            <w:rPr>
              <w:sz w:val="21"/>
              <w:szCs w:val="21"/>
            </w:rPr>
          </w:sdtEndPr>
          <w:sdtContent>
            <w:p w14:paraId="3D8EA6ED" w14:textId="77777777" w:rsidR="007E7472" w:rsidRDefault="00EC1269">
              <w:pPr>
                <w:spacing w:beforeLines="50" w:before="156" w:afterLines="50" w:after="156" w:line="360" w:lineRule="exact"/>
                <w:ind w:firstLineChars="200" w:firstLine="400"/>
                <w:jc w:val="both"/>
                <w:rPr>
                  <w:rFonts w:cs="Arial"/>
                </w:rPr>
              </w:pPr>
              <w:r>
                <w:rPr>
                  <w:rFonts w:cs="Arial" w:hint="eastAsia"/>
                </w:rPr>
                <w:t>用以换取职工提供服务的以权益结算的股份支付，以授予职工权益工具在授予日的公允价值计量。该公允价值的金额在完成等待期内的服务或达到规定业绩条件才可行权的情况下，在等待期内以对可行权权益工具数量的最佳估计为基础，按直线法计算计入相关成本或费用，相应增加资本公积。</w:t>
              </w:r>
            </w:p>
            <w:p w14:paraId="24A6B1DC" w14:textId="77777777" w:rsidR="007E7472" w:rsidRDefault="00EC1269">
              <w:pPr>
                <w:spacing w:beforeLines="50" w:before="156" w:afterLines="50" w:after="156" w:line="360" w:lineRule="exact"/>
                <w:ind w:firstLineChars="200" w:firstLine="420"/>
                <w:jc w:val="both"/>
                <w:rPr>
                  <w:rFonts w:cs="Arial"/>
                </w:rPr>
              </w:pPr>
              <w:r>
                <w:rPr>
                  <w:rFonts w:cs="Arial" w:hint="eastAsia"/>
                </w:rPr>
                <w:t>以现金结算的股份支付，按照本集团承担的以股份或其他权益工具为基础确定的负债的公允价值计量。如授予后立即可行权，在授予日以承担负债的公允价值计入相关成本或费用，相应增加负债；如需完成等待期内的服务或达到规定业绩条件以后才可行权，在等待期的每个资产负债表日，以对可行权情况的最佳估计为基础，按照本集团承担负债的公允价值金额，将当期取得的服务计入成本或费用，相应调整负债。</w:t>
              </w:r>
            </w:p>
            <w:p w14:paraId="2A01FDA5" w14:textId="77777777" w:rsidR="007E7472" w:rsidRDefault="00EC1269">
              <w:pPr>
                <w:spacing w:beforeLines="50" w:before="156" w:afterLines="50" w:after="156" w:line="360" w:lineRule="exact"/>
                <w:ind w:firstLineChars="200" w:firstLine="420"/>
                <w:jc w:val="both"/>
                <w:rPr>
                  <w:rFonts w:cs="Arial"/>
                </w:rPr>
              </w:pPr>
              <w:r>
                <w:rPr>
                  <w:rFonts w:cs="Arial" w:hint="eastAsia"/>
                </w:rPr>
                <w:t>在相关负债结算前的每个资产负债表日以及结算日，对负债的公允价值重新计量，其变动计入当期损益。</w:t>
              </w:r>
            </w:p>
            <w:p w14:paraId="296C69AD" w14:textId="77777777" w:rsidR="007E7472" w:rsidRDefault="00EC1269">
              <w:pPr>
                <w:spacing w:beforeLines="50" w:before="156" w:afterLines="50" w:after="156" w:line="360" w:lineRule="exact"/>
                <w:ind w:firstLineChars="200" w:firstLine="420"/>
                <w:jc w:val="both"/>
                <w:rPr>
                  <w:rFonts w:cs="Arial"/>
                </w:rPr>
              </w:pPr>
              <w:r>
                <w:rPr>
                  <w:rFonts w:cs="Arial" w:hint="eastAsia"/>
                </w:rPr>
                <w:t>本集团在等待期内取消所授予权益工具的（因未满足可行权条件而被取消的除外），作为加速行权处理，即视同剩余等待期内的股权支付计划已经全部满足可行权条件，在取消所授予权益工具的当期确认剩余等待期内的所有费用。</w:t>
              </w:r>
            </w:p>
            <w:p w14:paraId="3F1ED74E" w14:textId="77777777" w:rsidR="007E7472" w:rsidRDefault="00EC1269">
              <w:pPr>
                <w:spacing w:beforeLines="50" w:before="156" w:afterLines="50" w:after="156" w:line="360" w:lineRule="exact"/>
                <w:ind w:firstLineChars="200" w:firstLine="420"/>
                <w:jc w:val="both"/>
                <w:rPr>
                  <w:rFonts w:cs="Arial"/>
                </w:rPr>
              </w:pPr>
              <w:r>
                <w:rPr>
                  <w:rFonts w:cs="Arial" w:hint="eastAsia"/>
                </w:rPr>
                <w:t>本集团修改以现金结算的股份支付协议中的条款和条件使其成为以权益结算的股份支付的，在修改日，本集团按照所授予权益工具当日的公允价值计量以权益结算的股份支付，将已取得的服务计入资本公积，同时终止确认以现金结算的股份支付在修改日已确认的负债，两者之间的差额计入当期损益。上述规定同样适用于修改发生在等待期结束后的情形。如果由于修改延长或缩短了等待期，本集团按照修改后的等待期进行上述会计处理</w:t>
              </w:r>
              <w:r>
                <w:rPr>
                  <w:rFonts w:cs="Arial"/>
                </w:rPr>
                <w:t>(无需考虑不利修改的有关会计处理规定)。如果本集团取消一项以现金结算的股份支付，授予一项以权益结算的股份支付，并在授予权益工具日</w:t>
              </w:r>
              <w:r>
                <w:rPr>
                  <w:rFonts w:cs="Arial" w:hint="eastAsia"/>
                </w:rPr>
                <w:t>认定其是用来替代已取消的以现金结算的股份支付</w:t>
              </w:r>
              <w:r>
                <w:rPr>
                  <w:rFonts w:cs="Arial"/>
                </w:rPr>
                <w:t>(因未满足可行权条件而被取消的除外)的，比照上述情形进行会计处理。</w:t>
              </w:r>
            </w:p>
            <w:p w14:paraId="1D36B3CA" w14:textId="77777777" w:rsidR="007E7472" w:rsidRDefault="00EC1269" w:rsidP="00162493">
              <w:pPr>
                <w:pStyle w:val="3"/>
                <w:numPr>
                  <w:ilvl w:val="0"/>
                  <w:numId w:val="46"/>
                </w:numPr>
              </w:pPr>
              <w:r>
                <w:t>露天矿表层土剥采成本</w:t>
              </w:r>
            </w:p>
            <w:p w14:paraId="569C07CD" w14:textId="77777777" w:rsidR="007E7472" w:rsidRDefault="00EC1269">
              <w:pPr>
                <w:spacing w:beforeLines="50" w:before="156" w:afterLines="50" w:after="156" w:line="360" w:lineRule="exact"/>
                <w:ind w:firstLineChars="200" w:firstLine="420"/>
                <w:jc w:val="both"/>
                <w:rPr>
                  <w:rFonts w:cs="Arial"/>
                </w:rPr>
              </w:pPr>
              <w:r>
                <w:rPr>
                  <w:rFonts w:cs="Arial"/>
                </w:rPr>
                <w:t>露天矿表层土剥采成本指为达至煤层而发生的累计支出，包括直接剥离成本及机器设备的运行成本。</w:t>
              </w:r>
              <w:r>
                <w:rPr>
                  <w:rFonts w:cs="Arial" w:hint="eastAsia"/>
                </w:rPr>
                <w:t>对能提升矿石的未来开采能力的此类剥采成本在满足特定标准时确认为非流动资产（剥采资产），其余剥采成本在发生当期计入生产成本，结转至存货。</w:t>
              </w:r>
            </w:p>
            <w:p w14:paraId="3AE41EE3" w14:textId="77777777" w:rsidR="007E7472" w:rsidRDefault="00EC1269">
              <w:pPr>
                <w:spacing w:beforeLines="50" w:before="156" w:afterLines="50" w:after="156" w:line="360" w:lineRule="exact"/>
                <w:ind w:firstLineChars="200" w:firstLine="420"/>
                <w:jc w:val="both"/>
                <w:rPr>
                  <w:rFonts w:cs="Arial"/>
                </w:rPr>
              </w:pPr>
              <w:r>
                <w:rPr>
                  <w:rFonts w:cs="Arial" w:hint="eastAsia"/>
                </w:rPr>
                <w:t>对能提升矿石的未来开采能力的生产剥采成本，仅在满足以下全部条件时，被确认为一项非流动资产：未来的经济利益很有可能流入企业；企业可以识别出被改进了开采能力的矿体组成部分；该组成部分相关剥采活动的成本能够可靠计量</w:t>
              </w:r>
              <w:r>
                <w:rPr>
                  <w:rFonts w:cs="Arial"/>
                </w:rPr>
                <w:t>。</w:t>
              </w:r>
            </w:p>
            <w:p w14:paraId="5C81B504" w14:textId="77777777" w:rsidR="007E7472" w:rsidRDefault="00EC1269">
              <w:pPr>
                <w:spacing w:beforeLines="50" w:before="156" w:afterLines="50" w:after="156" w:line="360" w:lineRule="exact"/>
                <w:ind w:firstLineChars="200" w:firstLine="420"/>
                <w:jc w:val="both"/>
                <w:rPr>
                  <w:rFonts w:cs="Arial"/>
                </w:rPr>
              </w:pPr>
              <w:r>
                <w:rPr>
                  <w:rFonts w:cs="Arial" w:hint="eastAsia"/>
                </w:rPr>
                <w:t>剥采活动资产应作为与其相关的矿业资产的一部分予以确认。</w:t>
              </w:r>
            </w:p>
            <w:p w14:paraId="770A5063" w14:textId="77777777" w:rsidR="007E7472" w:rsidRDefault="00EC1269">
              <w:pPr>
                <w:spacing w:beforeLines="50" w:before="156" w:afterLines="50" w:after="156" w:line="360" w:lineRule="exact"/>
                <w:ind w:firstLineChars="200" w:firstLine="420"/>
                <w:jc w:val="both"/>
                <w:rPr>
                  <w:rFonts w:cs="Arial"/>
                </w:rPr>
              </w:pPr>
              <w:r>
                <w:rPr>
                  <w:rFonts w:cs="Arial" w:hint="eastAsia"/>
                </w:rPr>
                <w:t>剥采资产入账根据其所构成的现有资产的性质分类为有形资产和无形资产。当剥采资产与存货不能独立识别时，剥采成本会根据相应之生产标准分配至剥采资产及存货中。</w:t>
              </w:r>
            </w:p>
            <w:p w14:paraId="61BAE26B" w14:textId="77777777" w:rsidR="007E7472" w:rsidRDefault="00EC1269">
              <w:pPr>
                <w:spacing w:beforeLines="50" w:before="156" w:afterLines="50" w:after="156" w:line="360" w:lineRule="exact"/>
                <w:ind w:firstLineChars="200" w:firstLine="420"/>
                <w:jc w:val="both"/>
                <w:rPr>
                  <w:rFonts w:cs="Arial"/>
                </w:rPr>
              </w:pPr>
              <w:r>
                <w:rPr>
                  <w:rFonts w:cs="Arial" w:hint="eastAsia"/>
                </w:rPr>
                <w:t>剥采资产将会在与其相关的已识别矿体组成部分的预期剩余使用寿命内计提折旧。</w:t>
              </w:r>
            </w:p>
            <w:p w14:paraId="598D17D5" w14:textId="77777777" w:rsidR="007E7472" w:rsidRPr="00E77029" w:rsidRDefault="00EC1269" w:rsidP="00162493">
              <w:pPr>
                <w:pStyle w:val="3"/>
                <w:numPr>
                  <w:ilvl w:val="0"/>
                  <w:numId w:val="46"/>
                </w:numPr>
                <w:rPr>
                  <w:szCs w:val="21"/>
                </w:rPr>
              </w:pPr>
              <w:r w:rsidRPr="00E77029">
                <w:rPr>
                  <w:szCs w:val="21"/>
                </w:rPr>
                <w:lastRenderedPageBreak/>
                <w:t>土地塌陷、复原、重整及环保费</w:t>
              </w:r>
            </w:p>
            <w:p w14:paraId="14D834FA" w14:textId="77777777" w:rsidR="007E7472" w:rsidRPr="00E77029" w:rsidRDefault="00EC1269">
              <w:pPr>
                <w:spacing w:beforeLines="50" w:before="156" w:afterLines="50" w:after="156" w:line="360" w:lineRule="exact"/>
                <w:ind w:firstLineChars="200" w:firstLine="420"/>
                <w:jc w:val="both"/>
                <w:rPr>
                  <w:rFonts w:cs="Arial"/>
                </w:rPr>
              </w:pPr>
              <w:r w:rsidRPr="00E77029">
                <w:rPr>
                  <w:rFonts w:cs="Arial"/>
                </w:rPr>
                <w:t>本</w:t>
              </w:r>
              <w:r w:rsidRPr="00E77029">
                <w:rPr>
                  <w:rFonts w:cs="Arial" w:hint="eastAsia"/>
                </w:rPr>
                <w:t>集团</w:t>
              </w:r>
              <w:r w:rsidRPr="00E77029">
                <w:rPr>
                  <w:rFonts w:cs="Arial"/>
                </w:rPr>
                <w:t>开采矿产会引起地下矿场土地塌陷。通常情况，公司可于开采地下矿场前将居住于矿上土地的居民迁离该处，并就土地塌陷造成的损失向居民进行赔偿。管理层按历史经验对当期已开采未来可能产生的土地塌陷、复原、重整及环保费费用等作出估计并预计。</w:t>
              </w:r>
            </w:p>
            <w:p w14:paraId="45751231" w14:textId="77777777" w:rsidR="007E7472" w:rsidRPr="00E77029" w:rsidRDefault="00EC1269" w:rsidP="007E7472">
              <w:pPr>
                <w:spacing w:beforeLines="50" w:before="156" w:afterLines="50" w:after="156" w:line="360" w:lineRule="exact"/>
                <w:ind w:firstLineChars="200" w:firstLine="420"/>
                <w:jc w:val="both"/>
                <w:rPr>
                  <w:rFonts w:cs="Arial"/>
                </w:rPr>
              </w:pPr>
              <w:r w:rsidRPr="00E77029">
                <w:rPr>
                  <w:rFonts w:cs="Arial"/>
                </w:rPr>
                <w:t>鉴于</w:t>
              </w:r>
              <w:r w:rsidRPr="00E77029">
                <w:rPr>
                  <w:rFonts w:cs="Arial" w:hint="eastAsia"/>
                </w:rPr>
                <w:t>本集团</w:t>
              </w:r>
              <w:r w:rsidRPr="00E77029">
                <w:rPr>
                  <w:rFonts w:cs="Arial"/>
                </w:rPr>
                <w:t>支付搬迁费用及各项土地塌陷、复原、重整及环保费的时间与相应土地之下矿场的开采时间存在差异，故将由于预付与未来开采有关的土地征地搬迁费用等</w:t>
              </w:r>
              <w:r w:rsidRPr="00E77029">
                <w:rPr>
                  <w:rFonts w:cs="Arial" w:hint="eastAsia"/>
                </w:rPr>
                <w:t>与</w:t>
              </w:r>
              <w:r w:rsidRPr="00E77029">
                <w:rPr>
                  <w:rFonts w:cs="Arial"/>
                </w:rPr>
                <w:t>支付数小于预提数而形成的与未来支付有关的预提土地塌陷征地、补偿、复原、环保等的差额作为一项流动资产或一项流动负债列报。</w:t>
              </w:r>
            </w:p>
            <w:p w14:paraId="3747C48F" w14:textId="77777777" w:rsidR="007E7472" w:rsidRPr="00E77029" w:rsidRDefault="00EC1269" w:rsidP="00162493">
              <w:pPr>
                <w:pStyle w:val="3"/>
                <w:numPr>
                  <w:ilvl w:val="0"/>
                  <w:numId w:val="46"/>
                </w:numPr>
                <w:rPr>
                  <w:szCs w:val="21"/>
                </w:rPr>
              </w:pPr>
              <w:r w:rsidRPr="00E77029">
                <w:rPr>
                  <w:szCs w:val="21"/>
                </w:rPr>
                <w:t>各专项储备</w:t>
              </w:r>
            </w:p>
            <w:p w14:paraId="574C64DC" w14:textId="77777777" w:rsidR="007E7472" w:rsidRPr="00E77029" w:rsidRDefault="00EC1269" w:rsidP="00162493">
              <w:pPr>
                <w:pStyle w:val="4"/>
                <w:numPr>
                  <w:ilvl w:val="0"/>
                  <w:numId w:val="56"/>
                </w:numPr>
                <w:spacing w:beforeLines="10" w:before="31" w:afterLines="10" w:after="31" w:line="360" w:lineRule="exact"/>
                <w:ind w:left="0" w:firstLineChars="200" w:firstLine="420"/>
                <w:rPr>
                  <w:rFonts w:ascii="宋体" w:hAnsi="宋体" w:cs="Arial"/>
                  <w:b w:val="0"/>
                  <w:bCs w:val="0"/>
                  <w:kern w:val="0"/>
                  <w:szCs w:val="21"/>
                </w:rPr>
              </w:pPr>
              <w:r w:rsidRPr="00E77029">
                <w:rPr>
                  <w:rFonts w:ascii="宋体" w:hAnsi="宋体" w:cs="Arial"/>
                  <w:b w:val="0"/>
                  <w:bCs w:val="0"/>
                  <w:kern w:val="0"/>
                  <w:szCs w:val="21"/>
                </w:rPr>
                <w:t>维持简单再生产费用</w:t>
              </w:r>
            </w:p>
            <w:p w14:paraId="28C62DA1" w14:textId="77777777" w:rsidR="007E7472" w:rsidRDefault="00EC1269">
              <w:pPr>
                <w:spacing w:beforeLines="50" w:before="156" w:afterLines="50" w:after="156" w:line="360" w:lineRule="exact"/>
                <w:ind w:firstLineChars="200" w:firstLine="420"/>
                <w:rPr>
                  <w:bCs/>
                </w:rPr>
              </w:pPr>
              <w:r w:rsidRPr="00E77029">
                <w:rPr>
                  <w:bCs/>
                </w:rPr>
                <w:t>根据财政部、国家煤矿安全生产监察局及有关政府部门的规定，本公司及中国境内涉及煤炭业务的子公司根据原煤产量计提维持简单再生产费用(以下简称“维简费”)，用于维持矿区生产以及设备改造等相关支出，各公司计提标准如下：</w:t>
              </w:r>
            </w:p>
            <w:tbl>
              <w:tblPr>
                <w:tblStyle w:val="g4"/>
                <w:tblW w:w="8772" w:type="dxa"/>
                <w:tblInd w:w="108" w:type="dxa"/>
                <w:tblBorders>
                  <w:top w:val="double" w:sz="4" w:space="0" w:color="auto"/>
                  <w:bottom w:val="double" w:sz="4" w:space="0" w:color="auto"/>
                  <w:insideH w:val="single" w:sz="4" w:space="0" w:color="auto"/>
                  <w:insideV w:val="single" w:sz="4" w:space="0" w:color="auto"/>
                </w:tblBorders>
                <w:tblLayout w:type="fixed"/>
                <w:tblLook w:val="04A0" w:firstRow="1" w:lastRow="0" w:firstColumn="1" w:lastColumn="0" w:noHBand="0" w:noVBand="1"/>
              </w:tblPr>
              <w:tblGrid>
                <w:gridCol w:w="5053"/>
                <w:gridCol w:w="3719"/>
              </w:tblGrid>
              <w:tr w:rsidR="007E7472" w14:paraId="0D9235B4" w14:textId="77777777">
                <w:trPr>
                  <w:trHeight w:val="397"/>
                </w:trPr>
                <w:tc>
                  <w:tcPr>
                    <w:tcW w:w="5053" w:type="dxa"/>
                    <w:vAlign w:val="center"/>
                  </w:tcPr>
                  <w:p w14:paraId="55D14DEE" w14:textId="77777777" w:rsidR="007E7472" w:rsidRDefault="00EC1269">
                    <w:pPr>
                      <w:rPr>
                        <w:b/>
                      </w:rPr>
                    </w:pPr>
                    <w:r>
                      <w:rPr>
                        <w:b/>
                      </w:rPr>
                      <w:t>公司名称</w:t>
                    </w:r>
                  </w:p>
                </w:tc>
                <w:tc>
                  <w:tcPr>
                    <w:tcW w:w="3719" w:type="dxa"/>
                    <w:vAlign w:val="center"/>
                  </w:tcPr>
                  <w:p w14:paraId="59A7987F" w14:textId="77777777" w:rsidR="007E7472" w:rsidRDefault="00EC1269">
                    <w:pPr>
                      <w:pageBreakBefore/>
                      <w:jc w:val="center"/>
                      <w:rPr>
                        <w:b/>
                      </w:rPr>
                    </w:pPr>
                    <w:r>
                      <w:rPr>
                        <w:b/>
                      </w:rPr>
                      <w:t>计提标准</w:t>
                    </w:r>
                  </w:p>
                </w:tc>
              </w:tr>
              <w:tr w:rsidR="007E7472" w14:paraId="23ACF882" w14:textId="77777777">
                <w:trPr>
                  <w:trHeight w:val="397"/>
                </w:trPr>
                <w:tc>
                  <w:tcPr>
                    <w:tcW w:w="5053" w:type="dxa"/>
                    <w:vAlign w:val="center"/>
                  </w:tcPr>
                  <w:p w14:paraId="3D22EDA4" w14:textId="77777777" w:rsidR="007E7472" w:rsidRDefault="00EC1269">
                    <w:r>
                      <w:t>本公司及中国境内山东、山西之子公司</w:t>
                    </w:r>
                  </w:p>
                </w:tc>
                <w:tc>
                  <w:tcPr>
                    <w:tcW w:w="3719" w:type="dxa"/>
                    <w:vAlign w:val="center"/>
                  </w:tcPr>
                  <w:p w14:paraId="00038FB6" w14:textId="77777777" w:rsidR="007E7472" w:rsidRDefault="00EC1269">
                    <w:pPr>
                      <w:jc w:val="center"/>
                    </w:pPr>
                    <w:r>
                      <w:t>6元/吨</w:t>
                    </w:r>
                  </w:p>
                </w:tc>
              </w:tr>
              <w:tr w:rsidR="007E7472" w14:paraId="5124C2FC" w14:textId="77777777">
                <w:trPr>
                  <w:trHeight w:val="397"/>
                </w:trPr>
                <w:tc>
                  <w:tcPr>
                    <w:tcW w:w="5053" w:type="dxa"/>
                    <w:vAlign w:val="center"/>
                  </w:tcPr>
                  <w:p w14:paraId="3DC66054" w14:textId="77777777" w:rsidR="007E7472" w:rsidRDefault="00EC1269">
                    <w:r>
                      <w:t>本公司所属</w:t>
                    </w:r>
                    <w:r>
                      <w:rPr>
                        <w:rFonts w:hint="eastAsia"/>
                      </w:rPr>
                      <w:t>中国境内</w:t>
                    </w:r>
                    <w:r>
                      <w:t>内蒙古</w:t>
                    </w:r>
                    <w:r>
                      <w:rPr>
                        <w:rFonts w:hint="eastAsia"/>
                      </w:rPr>
                      <w:t>、陕西</w:t>
                    </w:r>
                    <w:r>
                      <w:t>之子公司</w:t>
                    </w:r>
                  </w:p>
                </w:tc>
                <w:tc>
                  <w:tcPr>
                    <w:tcW w:w="3719" w:type="dxa"/>
                    <w:vAlign w:val="center"/>
                  </w:tcPr>
                  <w:p w14:paraId="7E6A5AA7" w14:textId="77777777" w:rsidR="007E7472" w:rsidRDefault="00EC1269">
                    <w:pPr>
                      <w:jc w:val="center"/>
                    </w:pPr>
                    <w:r>
                      <w:rPr>
                        <w:rFonts w:hint="eastAsia"/>
                      </w:rPr>
                      <w:t>10</w:t>
                    </w:r>
                    <w:r>
                      <w:t>.5元/吨</w:t>
                    </w:r>
                  </w:p>
                </w:tc>
              </w:tr>
            </w:tbl>
            <w:p w14:paraId="0A592361" w14:textId="77777777" w:rsidR="007E7472" w:rsidRPr="00E77029" w:rsidRDefault="00EC1269" w:rsidP="00162493">
              <w:pPr>
                <w:pStyle w:val="4"/>
                <w:numPr>
                  <w:ilvl w:val="0"/>
                  <w:numId w:val="56"/>
                </w:numPr>
                <w:spacing w:beforeLines="10" w:before="31" w:afterLines="10" w:after="31" w:line="360" w:lineRule="exact"/>
                <w:ind w:left="0" w:firstLineChars="200" w:firstLine="420"/>
                <w:rPr>
                  <w:rFonts w:ascii="宋体" w:hAnsi="宋体" w:cs="Arial"/>
                  <w:b w:val="0"/>
                  <w:bCs w:val="0"/>
                  <w:kern w:val="0"/>
                  <w:szCs w:val="21"/>
                </w:rPr>
              </w:pPr>
              <w:r w:rsidRPr="00E77029">
                <w:rPr>
                  <w:rFonts w:ascii="宋体" w:hAnsi="宋体" w:cs="Arial"/>
                  <w:b w:val="0"/>
                  <w:bCs w:val="0"/>
                  <w:kern w:val="0"/>
                  <w:szCs w:val="21"/>
                </w:rPr>
                <w:t>安全生产费用</w:t>
              </w:r>
            </w:p>
            <w:p w14:paraId="18AEEDF3" w14:textId="77777777" w:rsidR="007E7472" w:rsidRDefault="00EC1269">
              <w:pPr>
                <w:spacing w:beforeLines="50" w:before="156" w:afterLines="50" w:after="156" w:line="360" w:lineRule="exact"/>
                <w:ind w:firstLineChars="200" w:firstLine="420"/>
                <w:rPr>
                  <w:bCs/>
                </w:rPr>
              </w:pPr>
              <w:r>
                <w:rPr>
                  <w:rFonts w:hint="eastAsia"/>
                  <w:bCs/>
                </w:rPr>
                <w:t>根据财政部、国家安全生产监督管理总局、国家煤炭安全监察局及有关地方政府部门的规定，本公司及中国境内涉及煤炭业务的子公司根据原煤产量计提安全生产费用，用于煤炭生产设备和煤炭井巷建筑设施安全支出，各公司计提标准如下：</w:t>
              </w:r>
            </w:p>
            <w:tbl>
              <w:tblPr>
                <w:tblStyle w:val="g4"/>
                <w:tblW w:w="8789" w:type="dxa"/>
                <w:tblInd w:w="108" w:type="dxa"/>
                <w:tblBorders>
                  <w:top w:val="double" w:sz="4" w:space="0" w:color="auto"/>
                  <w:bottom w:val="double" w:sz="4" w:space="0" w:color="auto"/>
                  <w:insideH w:val="single" w:sz="4" w:space="0" w:color="auto"/>
                  <w:insideV w:val="single" w:sz="4" w:space="0" w:color="auto"/>
                </w:tblBorders>
                <w:tblLayout w:type="fixed"/>
                <w:tblLook w:val="04A0" w:firstRow="1" w:lastRow="0" w:firstColumn="1" w:lastColumn="0" w:noHBand="0" w:noVBand="1"/>
              </w:tblPr>
              <w:tblGrid>
                <w:gridCol w:w="4962"/>
                <w:gridCol w:w="3827"/>
              </w:tblGrid>
              <w:tr w:rsidR="007E7472" w14:paraId="75DFD68F" w14:textId="77777777">
                <w:trPr>
                  <w:trHeight w:val="397"/>
                </w:trPr>
                <w:tc>
                  <w:tcPr>
                    <w:tcW w:w="4962" w:type="dxa"/>
                    <w:vAlign w:val="center"/>
                  </w:tcPr>
                  <w:p w14:paraId="09EB2F1D" w14:textId="77777777" w:rsidR="007E7472" w:rsidRDefault="00EC1269">
                    <w:pPr>
                      <w:rPr>
                        <w:b/>
                      </w:rPr>
                    </w:pPr>
                    <w:r>
                      <w:rPr>
                        <w:b/>
                      </w:rPr>
                      <w:t>公司名称</w:t>
                    </w:r>
                  </w:p>
                </w:tc>
                <w:tc>
                  <w:tcPr>
                    <w:tcW w:w="3827" w:type="dxa"/>
                    <w:vAlign w:val="center"/>
                  </w:tcPr>
                  <w:p w14:paraId="1E7B28FB" w14:textId="77777777" w:rsidR="007E7472" w:rsidRDefault="00EC1269">
                    <w:pPr>
                      <w:jc w:val="center"/>
                      <w:rPr>
                        <w:b/>
                      </w:rPr>
                    </w:pPr>
                    <w:r>
                      <w:rPr>
                        <w:b/>
                      </w:rPr>
                      <w:t>计提标准</w:t>
                    </w:r>
                  </w:p>
                </w:tc>
              </w:tr>
              <w:tr w:rsidR="007E7472" w14:paraId="27C878F7" w14:textId="77777777">
                <w:trPr>
                  <w:trHeight w:val="397"/>
                </w:trPr>
                <w:tc>
                  <w:tcPr>
                    <w:tcW w:w="4962" w:type="dxa"/>
                    <w:vAlign w:val="center"/>
                  </w:tcPr>
                  <w:p w14:paraId="273720B0" w14:textId="77777777" w:rsidR="007E7472" w:rsidRDefault="00EC1269">
                    <w:r>
                      <w:t>本公司及山东境内子公司</w:t>
                    </w:r>
                  </w:p>
                </w:tc>
                <w:tc>
                  <w:tcPr>
                    <w:tcW w:w="3827" w:type="dxa"/>
                    <w:vAlign w:val="center"/>
                  </w:tcPr>
                  <w:p w14:paraId="08EDD9C8" w14:textId="77777777" w:rsidR="007E7472" w:rsidRDefault="00EC1269">
                    <w:pPr>
                      <w:jc w:val="center"/>
                    </w:pPr>
                    <w:r>
                      <w:rPr>
                        <w:rFonts w:hint="eastAsia"/>
                      </w:rPr>
                      <w:t>15元/吨、</w:t>
                    </w:r>
                    <w:r>
                      <w:t>50元/吨</w:t>
                    </w:r>
                  </w:p>
                </w:tc>
              </w:tr>
              <w:tr w:rsidR="007E7472" w14:paraId="61822B29" w14:textId="77777777">
                <w:trPr>
                  <w:trHeight w:val="397"/>
                </w:trPr>
                <w:tc>
                  <w:tcPr>
                    <w:tcW w:w="4962" w:type="dxa"/>
                    <w:vAlign w:val="center"/>
                  </w:tcPr>
                  <w:p w14:paraId="50D5751F" w14:textId="77777777" w:rsidR="007E7472" w:rsidRDefault="00EC1269">
                    <w:r>
                      <w:t>本公司之内蒙古</w:t>
                    </w:r>
                    <w:r>
                      <w:rPr>
                        <w:rFonts w:hint="eastAsia"/>
                      </w:rPr>
                      <w:t>、陕西</w:t>
                    </w:r>
                    <w:r>
                      <w:t>境内子公司</w:t>
                    </w:r>
                  </w:p>
                </w:tc>
                <w:tc>
                  <w:tcPr>
                    <w:tcW w:w="3827" w:type="dxa"/>
                    <w:vAlign w:val="center"/>
                  </w:tcPr>
                  <w:p w14:paraId="27FAF47D" w14:textId="77777777" w:rsidR="007E7472" w:rsidRDefault="00EC1269">
                    <w:pPr>
                      <w:jc w:val="center"/>
                    </w:pPr>
                    <w:r>
                      <w:t>30</w:t>
                    </w:r>
                    <w:r>
                      <w:rPr>
                        <w:rFonts w:hint="eastAsia"/>
                      </w:rPr>
                      <w:t>元/吨、</w:t>
                    </w:r>
                    <w:r>
                      <w:t>50元/吨</w:t>
                    </w:r>
                  </w:p>
                </w:tc>
              </w:tr>
              <w:tr w:rsidR="007E7472" w14:paraId="3E2773BB" w14:textId="77777777">
                <w:trPr>
                  <w:trHeight w:val="397"/>
                </w:trPr>
                <w:tc>
                  <w:tcPr>
                    <w:tcW w:w="4962" w:type="dxa"/>
                    <w:vAlign w:val="center"/>
                  </w:tcPr>
                  <w:p w14:paraId="59BEB63C" w14:textId="77777777" w:rsidR="007E7472" w:rsidRDefault="00EC1269">
                    <w:r>
                      <w:t>本公司之山西境内子公司</w:t>
                    </w:r>
                  </w:p>
                </w:tc>
                <w:tc>
                  <w:tcPr>
                    <w:tcW w:w="3827" w:type="dxa"/>
                    <w:vAlign w:val="center"/>
                  </w:tcPr>
                  <w:p w14:paraId="0461FCAF" w14:textId="77777777" w:rsidR="007E7472" w:rsidRDefault="00EC1269">
                    <w:pPr>
                      <w:jc w:val="center"/>
                    </w:pPr>
                    <w:r>
                      <w:t>50元/吨</w:t>
                    </w:r>
                  </w:p>
                </w:tc>
              </w:tr>
            </w:tbl>
            <w:p w14:paraId="0A8FA295" w14:textId="77777777" w:rsidR="007E7472" w:rsidRPr="00E77029" w:rsidRDefault="00EC1269">
              <w:pPr>
                <w:spacing w:beforeLines="50" w:before="156" w:afterLines="50" w:after="156" w:line="360" w:lineRule="exact"/>
                <w:ind w:firstLineChars="200" w:firstLine="420"/>
                <w:rPr>
                  <w:bCs/>
                </w:rPr>
              </w:pPr>
              <w:r w:rsidRPr="00E77029">
                <w:rPr>
                  <w:rFonts w:hint="eastAsia"/>
                  <w:bCs/>
                </w:rPr>
                <w:t>根据财政部、国家安全生产监督管理总局、国家煤炭安全监察局及有关地方政府部门的规定，自2019年9月1日起，冲击地压煤矿应当在国家规定的安全费用提取标准的基础上，按照每吨煤不少于15元加提安全费用。本公司及山东境内子公司所属冲击地压煤矿自2019年9月1日起，在国家规定的安全费用提取标准的基础上，按照每吨煤15元加提安全费用。</w:t>
              </w:r>
            </w:p>
            <w:p w14:paraId="435CD2D8" w14:textId="77777777" w:rsidR="007E7472" w:rsidRPr="00E77029" w:rsidRDefault="00EC1269">
              <w:pPr>
                <w:spacing w:beforeLines="50" w:before="156" w:afterLines="50" w:after="156" w:line="360" w:lineRule="exact"/>
                <w:ind w:firstLineChars="200" w:firstLine="420"/>
                <w:rPr>
                  <w:bCs/>
                </w:rPr>
              </w:pPr>
              <w:r w:rsidRPr="00E77029">
                <w:rPr>
                  <w:rFonts w:hint="eastAsia"/>
                  <w:bCs/>
                </w:rPr>
                <w:t>2</w:t>
              </w:r>
              <w:r w:rsidRPr="00E77029">
                <w:rPr>
                  <w:bCs/>
                </w:rPr>
                <w:t>022</w:t>
              </w:r>
              <w:r w:rsidRPr="00E77029">
                <w:rPr>
                  <w:rFonts w:hint="eastAsia"/>
                  <w:bCs/>
                </w:rPr>
                <w:t>年1</w:t>
              </w:r>
              <w:r w:rsidRPr="00E77029">
                <w:rPr>
                  <w:bCs/>
                </w:rPr>
                <w:t>1</w:t>
              </w:r>
              <w:r w:rsidRPr="00E77029">
                <w:rPr>
                  <w:rFonts w:hint="eastAsia"/>
                  <w:bCs/>
                </w:rPr>
                <w:t>月2</w:t>
              </w:r>
              <w:r w:rsidRPr="00E77029">
                <w:rPr>
                  <w:bCs/>
                </w:rPr>
                <w:t>1</w:t>
              </w:r>
              <w:r w:rsidRPr="00E77029">
                <w:rPr>
                  <w:rFonts w:hint="eastAsia"/>
                  <w:bCs/>
                </w:rPr>
                <w:t>日财政部发布《财政部安全生产费管理办法-财资（2</w:t>
              </w:r>
              <w:r w:rsidRPr="00E77029">
                <w:rPr>
                  <w:bCs/>
                </w:rPr>
                <w:t>022</w:t>
              </w:r>
              <w:r w:rsidRPr="00E77029">
                <w:rPr>
                  <w:rFonts w:hint="eastAsia"/>
                  <w:bCs/>
                </w:rPr>
                <w:t>）1</w:t>
              </w:r>
              <w:r w:rsidRPr="00E77029">
                <w:rPr>
                  <w:bCs/>
                </w:rPr>
                <w:t>36</w:t>
              </w:r>
              <w:r w:rsidRPr="00E77029">
                <w:rPr>
                  <w:rFonts w:hint="eastAsia"/>
                  <w:bCs/>
                </w:rPr>
                <w:t>号》，规定自管理办法颁布之日起，冲击地压煤矿按照每吨煤5</w:t>
              </w:r>
              <w:r w:rsidRPr="00E77029">
                <w:rPr>
                  <w:bCs/>
                </w:rPr>
                <w:t>0</w:t>
              </w:r>
              <w:r w:rsidRPr="00E77029">
                <w:rPr>
                  <w:rFonts w:hint="eastAsia"/>
                  <w:bCs/>
                </w:rPr>
                <w:t>元计提安全生产费。</w:t>
              </w:r>
            </w:p>
            <w:p w14:paraId="5B118275" w14:textId="77777777" w:rsidR="007E7472" w:rsidRPr="00E77029" w:rsidRDefault="00EC1269">
              <w:pPr>
                <w:spacing w:beforeLines="50" w:before="156" w:afterLines="50" w:after="156" w:line="360" w:lineRule="exact"/>
                <w:ind w:firstLineChars="200" w:firstLine="420"/>
                <w:rPr>
                  <w:bCs/>
                </w:rPr>
              </w:pPr>
              <w:r w:rsidRPr="00E77029">
                <w:rPr>
                  <w:bCs/>
                </w:rPr>
                <w:t>上述计提额在成本费用中列支、已计提未使用金额在所有者权益的“专项储备”项目单独反映。使用安全生产费时，属于费用性支出的，直接冲减专项储备。企业使用提取的安全生产费形成固定资产的，通过“在建工程”科目归集所发生的支出，待安全项目完工达到预定可使用状态</w:t>
              </w:r>
              <w:r w:rsidRPr="00E77029">
                <w:rPr>
                  <w:bCs/>
                </w:rPr>
                <w:lastRenderedPageBreak/>
                <w:t>时确认为固定资产；同时，按照形成固定资产的成本冲减专项储备，并确认相同金额的累计折旧。该固定资产在以后期间不再计提折旧。</w:t>
              </w:r>
            </w:p>
            <w:p w14:paraId="49C6A21D" w14:textId="77777777" w:rsidR="007E7472" w:rsidRPr="00E77029" w:rsidRDefault="00EC1269" w:rsidP="00162493">
              <w:pPr>
                <w:pStyle w:val="4"/>
                <w:numPr>
                  <w:ilvl w:val="0"/>
                  <w:numId w:val="56"/>
                </w:numPr>
                <w:spacing w:beforeLines="10" w:before="31" w:afterLines="10" w:after="31" w:line="360" w:lineRule="exact"/>
                <w:ind w:left="0" w:firstLineChars="200" w:firstLine="420"/>
                <w:rPr>
                  <w:b w:val="0"/>
                  <w:szCs w:val="21"/>
                </w:rPr>
              </w:pPr>
              <w:r w:rsidRPr="00E77029">
                <w:rPr>
                  <w:b w:val="0"/>
                  <w:szCs w:val="21"/>
                </w:rPr>
                <w:t>改革专项发展基金</w:t>
              </w:r>
            </w:p>
            <w:p w14:paraId="644603AE" w14:textId="77777777" w:rsidR="007E7472" w:rsidRPr="00E77029" w:rsidRDefault="00EC1269">
              <w:pPr>
                <w:spacing w:beforeLines="50" w:before="156" w:afterLines="50" w:after="156" w:line="360" w:lineRule="exact"/>
                <w:ind w:firstLineChars="200" w:firstLine="420"/>
                <w:rPr>
                  <w:bCs/>
                </w:rPr>
              </w:pPr>
              <w:r w:rsidRPr="00E77029">
                <w:rPr>
                  <w:rFonts w:hint="eastAsia"/>
                  <w:bCs/>
                </w:rPr>
                <w:t>根据山东省财政厅、山东省人民政府国有资产监督管理委员会和山东省煤炭工业局《关于省属重点煤炭企业建立改革发展专项资金的通知》（鲁财企</w:t>
              </w:r>
              <w:r w:rsidRPr="00E77029">
                <w:rPr>
                  <w:bCs/>
                </w:rPr>
                <w:t>〔2004〕28</w:t>
              </w:r>
              <w:r w:rsidRPr="00E77029">
                <w:rPr>
                  <w:rFonts w:hint="eastAsia"/>
                  <w:bCs/>
                </w:rPr>
                <w:t>号）规定，本公司从</w:t>
              </w:r>
              <w:r w:rsidRPr="00E77029">
                <w:rPr>
                  <w:bCs/>
                </w:rPr>
                <w:t>2004</w:t>
              </w:r>
              <w:r w:rsidRPr="00E77029">
                <w:rPr>
                  <w:rFonts w:hint="eastAsia"/>
                  <w:bCs/>
                </w:rPr>
                <w:t>年</w:t>
              </w:r>
              <w:r w:rsidRPr="00E77029">
                <w:rPr>
                  <w:bCs/>
                </w:rPr>
                <w:t>7</w:t>
              </w:r>
              <w:r w:rsidRPr="00E77029">
                <w:rPr>
                  <w:rFonts w:hint="eastAsia"/>
                  <w:bCs/>
                </w:rPr>
                <w:t>月</w:t>
              </w:r>
              <w:r w:rsidRPr="00E77029">
                <w:rPr>
                  <w:bCs/>
                </w:rPr>
                <w:t>1</w:t>
              </w:r>
              <w:r w:rsidRPr="00E77029">
                <w:rPr>
                  <w:rFonts w:hint="eastAsia"/>
                  <w:bCs/>
                </w:rPr>
                <w:t>日起按开采原煤量每吨</w:t>
              </w:r>
              <w:r w:rsidRPr="00E77029">
                <w:rPr>
                  <w:bCs/>
                </w:rPr>
                <w:t>5</w:t>
              </w:r>
              <w:r w:rsidRPr="00E77029">
                <w:rPr>
                  <w:rFonts w:hint="eastAsia"/>
                  <w:bCs/>
                </w:rPr>
                <w:t>元计提改革专项发展基金，以用于新矿井建设等相关支出。</w:t>
              </w:r>
            </w:p>
            <w:p w14:paraId="6D081F8C" w14:textId="77777777" w:rsidR="007E7472" w:rsidRPr="00E77029" w:rsidRDefault="00EC1269">
              <w:pPr>
                <w:spacing w:beforeLines="50" w:before="156" w:afterLines="50" w:after="156" w:line="360" w:lineRule="exact"/>
                <w:ind w:firstLineChars="200" w:firstLine="420"/>
                <w:rPr>
                  <w:bCs/>
                </w:rPr>
              </w:pPr>
              <w:r w:rsidRPr="00E77029">
                <w:rPr>
                  <w:rFonts w:hint="eastAsia"/>
                  <w:bCs/>
                </w:rPr>
                <w:t>根据山东省财政厅、山东省人民政府国有资产监督管理委员会和山东省煤炭工业局《关于停止执行省属重点煤炭企业提取改革发展专项资金政策的通知》（鲁财企〔</w:t>
              </w:r>
              <w:r w:rsidRPr="00E77029">
                <w:rPr>
                  <w:bCs/>
                </w:rPr>
                <w:t>2008〕44号），自2008年1月1日起，本公司停止计提改革专项发展基金。</w:t>
              </w:r>
            </w:p>
            <w:p w14:paraId="6BAF28EE" w14:textId="77777777" w:rsidR="007E7472" w:rsidRPr="00E77029" w:rsidRDefault="00EC1269" w:rsidP="00162493">
              <w:pPr>
                <w:pStyle w:val="4"/>
                <w:numPr>
                  <w:ilvl w:val="0"/>
                  <w:numId w:val="56"/>
                </w:numPr>
                <w:spacing w:beforeLines="10" w:before="31" w:afterLines="10" w:after="31" w:line="360" w:lineRule="exact"/>
                <w:ind w:left="0" w:firstLineChars="200" w:firstLine="420"/>
                <w:rPr>
                  <w:b w:val="0"/>
                  <w:szCs w:val="21"/>
                </w:rPr>
              </w:pPr>
              <w:r w:rsidRPr="00E77029">
                <w:rPr>
                  <w:b w:val="0"/>
                  <w:szCs w:val="21"/>
                </w:rPr>
                <w:t>山西省矿山环境恢复治理保证金</w:t>
              </w:r>
            </w:p>
            <w:p w14:paraId="39C22208" w14:textId="77777777" w:rsidR="007E7472" w:rsidRPr="00E77029" w:rsidRDefault="00EC1269">
              <w:pPr>
                <w:spacing w:beforeLines="50" w:before="156" w:afterLines="50" w:after="156" w:line="360" w:lineRule="exact"/>
                <w:ind w:firstLineChars="200" w:firstLine="420"/>
                <w:rPr>
                  <w:bCs/>
                </w:rPr>
              </w:pPr>
              <w:r w:rsidRPr="00E77029">
                <w:rPr>
                  <w:bCs/>
                </w:rPr>
                <w:t>根据《山西省人民政府关于印发山西省矿山环境恢复治理保证金提取使用管理办法(试行)的通知》（晋政发</w:t>
              </w:r>
              <w:r w:rsidRPr="00E77029">
                <w:rPr>
                  <w:rFonts w:hint="eastAsia"/>
                  <w:bCs/>
                </w:rPr>
                <w:t>〔</w:t>
              </w:r>
              <w:r w:rsidRPr="00E77029">
                <w:rPr>
                  <w:bCs/>
                </w:rPr>
                <w:t>2007</w:t>
              </w:r>
              <w:r w:rsidRPr="00E77029">
                <w:rPr>
                  <w:rFonts w:hint="eastAsia"/>
                  <w:bCs/>
                </w:rPr>
                <w:t>〕</w:t>
              </w:r>
              <w:r w:rsidRPr="00E77029">
                <w:rPr>
                  <w:bCs/>
                </w:rPr>
                <w:t>41号）的规定，自2008年5月1日起，本公司之子公司山西和顺天池能源有限责任公司按开采原煤量每吨10元计提</w:t>
              </w:r>
              <w:r w:rsidRPr="00E77029">
                <w:rPr>
                  <w:rFonts w:hint="eastAsia"/>
                  <w:bCs/>
                </w:rPr>
                <w:t>矿山环境恢复治理保证金</w:t>
              </w:r>
              <w:r w:rsidRPr="00E77029">
                <w:rPr>
                  <w:bCs/>
                </w:rPr>
                <w:t>。</w:t>
              </w:r>
              <w:r w:rsidRPr="00E77029">
                <w:rPr>
                  <w:rFonts w:hint="eastAsia"/>
                  <w:bCs/>
                </w:rPr>
                <w:t>矿山环境恢复治理保证金</w:t>
              </w:r>
              <w:r w:rsidRPr="00E77029">
                <w:rPr>
                  <w:bCs/>
                </w:rPr>
                <w:t>提取和使用管理遵循“企业所有、专款专用、专户储存、政府监管”的原则。</w:t>
              </w:r>
            </w:p>
            <w:p w14:paraId="67A05236" w14:textId="77777777" w:rsidR="007E7472" w:rsidRPr="00E77029" w:rsidRDefault="00EC1269">
              <w:pPr>
                <w:spacing w:beforeLines="50" w:before="156" w:afterLines="50" w:after="156" w:line="360" w:lineRule="exact"/>
                <w:ind w:firstLineChars="200" w:firstLine="420"/>
                <w:rPr>
                  <w:bCs/>
                </w:rPr>
              </w:pPr>
              <w:r w:rsidRPr="00E77029">
                <w:rPr>
                  <w:rFonts w:hint="eastAsia"/>
                  <w:bCs/>
                </w:rPr>
                <w:t>根据《关于印发进一步促进全省煤炭经济转变发展方式实现可持续增长措施的通知》（晋政发〔2013〕26号），暂停提取矿山环境恢复治理保证金。</w:t>
              </w:r>
            </w:p>
            <w:p w14:paraId="0C7EE27F" w14:textId="77777777" w:rsidR="007E7472" w:rsidRPr="00E77029" w:rsidRDefault="00EC1269" w:rsidP="00162493">
              <w:pPr>
                <w:pStyle w:val="4"/>
                <w:numPr>
                  <w:ilvl w:val="0"/>
                  <w:numId w:val="56"/>
                </w:numPr>
                <w:spacing w:beforeLines="10" w:before="31" w:afterLines="10" w:after="31" w:line="360" w:lineRule="exact"/>
                <w:ind w:left="0" w:firstLineChars="200" w:firstLine="420"/>
                <w:rPr>
                  <w:b w:val="0"/>
                  <w:szCs w:val="21"/>
                </w:rPr>
              </w:pPr>
              <w:r w:rsidRPr="00E77029">
                <w:rPr>
                  <w:b w:val="0"/>
                  <w:szCs w:val="21"/>
                </w:rPr>
                <w:t>山西省煤矿转产发展资金</w:t>
              </w:r>
            </w:p>
            <w:p w14:paraId="7AC3E5CB" w14:textId="77777777" w:rsidR="007E7472" w:rsidRPr="00E77029" w:rsidRDefault="00EC1269">
              <w:pPr>
                <w:spacing w:beforeLines="50" w:before="156" w:afterLines="50" w:after="156" w:line="360" w:lineRule="exact"/>
                <w:ind w:firstLineChars="200" w:firstLine="420"/>
                <w:rPr>
                  <w:bCs/>
                </w:rPr>
              </w:pPr>
              <w:r w:rsidRPr="00E77029">
                <w:rPr>
                  <w:bCs/>
                </w:rPr>
                <w:t>根据《山西省煤矿转产发展资金提取使用管理办法(试行)》（晋政发</w:t>
              </w:r>
              <w:r w:rsidRPr="00E77029">
                <w:rPr>
                  <w:rFonts w:hint="eastAsia"/>
                  <w:bCs/>
                </w:rPr>
                <w:t>〔</w:t>
              </w:r>
              <w:r w:rsidRPr="00E77029">
                <w:rPr>
                  <w:bCs/>
                </w:rPr>
                <w:t>2007</w:t>
              </w:r>
              <w:r w:rsidRPr="00E77029">
                <w:rPr>
                  <w:rFonts w:hint="eastAsia"/>
                  <w:bCs/>
                </w:rPr>
                <w:t>〕</w:t>
              </w:r>
              <w:r w:rsidRPr="00E77029">
                <w:rPr>
                  <w:bCs/>
                </w:rPr>
                <w:t>40号）规定，自2008年5月1日起，本公司之子公司山西和顺天池能源有限责任公司按开采原煤量每吨5元计提煤矿转产发展资金。</w:t>
              </w:r>
            </w:p>
            <w:p w14:paraId="48539DC6" w14:textId="77777777" w:rsidR="007E7472" w:rsidRPr="00E77029" w:rsidRDefault="00EC1269">
              <w:pPr>
                <w:spacing w:beforeLines="50" w:before="156" w:afterLines="50" w:after="156" w:line="360" w:lineRule="exact"/>
                <w:ind w:firstLineChars="200" w:firstLine="420"/>
                <w:rPr>
                  <w:bCs/>
                </w:rPr>
              </w:pPr>
              <w:r w:rsidRPr="00E77029">
                <w:rPr>
                  <w:rFonts w:hint="eastAsia"/>
                  <w:bCs/>
                </w:rPr>
                <w:t>根据《关于印发进一步促进全省煤炭经济转变发展方式实现可持续增长措施的通知》（晋政发〔2013〕26号），暂停提取</w:t>
              </w:r>
              <w:r w:rsidRPr="00E77029">
                <w:rPr>
                  <w:bCs/>
                </w:rPr>
                <w:t>煤矿转产发展资金</w:t>
              </w:r>
              <w:r w:rsidRPr="00E77029">
                <w:rPr>
                  <w:rFonts w:hint="eastAsia"/>
                  <w:bCs/>
                </w:rPr>
                <w:t>。</w:t>
              </w:r>
            </w:p>
            <w:p w14:paraId="4AD886AD" w14:textId="77777777" w:rsidR="007E7472" w:rsidRPr="00E77029" w:rsidRDefault="00EC1269" w:rsidP="00162493">
              <w:pPr>
                <w:pStyle w:val="4"/>
                <w:numPr>
                  <w:ilvl w:val="0"/>
                  <w:numId w:val="56"/>
                </w:numPr>
                <w:spacing w:beforeLines="10" w:before="31" w:afterLines="10" w:after="31" w:line="360" w:lineRule="exact"/>
                <w:ind w:left="0" w:firstLineChars="200" w:firstLine="420"/>
                <w:rPr>
                  <w:b w:val="0"/>
                  <w:bCs w:val="0"/>
                  <w:szCs w:val="21"/>
                </w:rPr>
              </w:pPr>
              <w:r w:rsidRPr="00E77029">
                <w:rPr>
                  <w:rFonts w:hint="eastAsia"/>
                  <w:b w:val="0"/>
                  <w:bCs w:val="0"/>
                  <w:szCs w:val="21"/>
                </w:rPr>
                <w:t>一般风险准备金</w:t>
              </w:r>
            </w:p>
            <w:p w14:paraId="6FB37B34" w14:textId="77777777" w:rsidR="007E7472" w:rsidRPr="00E77029" w:rsidRDefault="00EC1269">
              <w:pPr>
                <w:spacing w:beforeLines="50" w:before="156" w:afterLines="50" w:after="156" w:line="360" w:lineRule="exact"/>
                <w:ind w:firstLineChars="200" w:firstLine="420"/>
                <w:rPr>
                  <w:bCs/>
                </w:rPr>
              </w:pPr>
              <w:r w:rsidRPr="00E77029">
                <w:rPr>
                  <w:rFonts w:hint="eastAsia"/>
                  <w:bCs/>
                </w:rPr>
                <w:t>根据财政部《金融企业准备金计提管理办法》（财金〔2012〕20号）规定，</w:t>
              </w:r>
              <w:r w:rsidRPr="00E77029">
                <w:rPr>
                  <w:bCs/>
                </w:rPr>
                <w:t>本公司之子公司</w:t>
              </w:r>
              <w:r w:rsidRPr="00E77029">
                <w:rPr>
                  <w:rFonts w:hint="eastAsia"/>
                  <w:bCs/>
                </w:rPr>
                <w:t>兖矿集团财务有限公司按照不低于风险资产资产负债表日余额的1.5%计提一般风险准备金。</w:t>
              </w:r>
            </w:p>
          </w:sdtContent>
        </w:sdt>
      </w:sdtContent>
    </w:sdt>
    <w:p w14:paraId="538A6A5B" w14:textId="77777777" w:rsidR="007E7472" w:rsidRDefault="00C8327E"/>
    <w:sdt>
      <w:sdtPr>
        <w:rPr>
          <w:rFonts w:ascii="宋体" w:hAnsi="宋体" w:cstheme="minorBidi" w:hint="eastAsia"/>
          <w:b w:val="0"/>
          <w:bCs w:val="0"/>
          <w:kern w:val="0"/>
          <w:sz w:val="20"/>
          <w:szCs w:val="22"/>
        </w:rPr>
        <w:alias w:val="模块:优先股、永续债"/>
        <w:tag w:val="_GBC_d3c9524999e647d78f354bb216cfb1aa"/>
        <w:id w:val="-380715770"/>
        <w:lock w:val="sdtLocked"/>
        <w:placeholder>
          <w:docPart w:val="GBC22222222222222222222222222222"/>
        </w:placeholder>
      </w:sdtPr>
      <w:sdtEndPr>
        <w:rPr>
          <w:rFonts w:cs="Times New Roman"/>
          <w:szCs w:val="21"/>
        </w:rPr>
      </w:sdtEndPr>
      <w:sdtContent>
        <w:p w14:paraId="001F17A1" w14:textId="77777777" w:rsidR="007E7472" w:rsidRDefault="00EC1269" w:rsidP="00162493">
          <w:pPr>
            <w:pStyle w:val="3"/>
            <w:numPr>
              <w:ilvl w:val="0"/>
              <w:numId w:val="46"/>
            </w:numPr>
          </w:pPr>
          <w:r>
            <w:rPr>
              <w:rFonts w:hint="eastAsia"/>
            </w:rPr>
            <w:t>优先股、永续债等其他金融工具</w:t>
          </w:r>
        </w:p>
        <w:sdt>
          <w:sdtPr>
            <w:rPr>
              <w:rFonts w:hint="eastAsia"/>
            </w:rPr>
            <w:alias w:val="是否适用：优先股、永续债等其他金融工具[双击切换]"/>
            <w:tag w:val="_GBC_34eb80e2168144958293aa1351780303"/>
            <w:id w:val="-1925720344"/>
            <w:lock w:val="sdtLocked"/>
            <w:placeholder>
              <w:docPart w:val="GBC22222222222222222222222222222"/>
            </w:placeholder>
          </w:sdtPr>
          <w:sdtEndPr/>
          <w:sdtContent>
            <w:p w14:paraId="43DA248D" w14:textId="77777777" w:rsidR="007E7472" w:rsidRDefault="00EC1269">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Content>
    </w:sdt>
    <w:p w14:paraId="22B8FD62" w14:textId="77777777" w:rsidR="007E7472" w:rsidRDefault="00C8327E"/>
    <w:bookmarkStart w:id="151" w:name="_Hlk10465559" w:displacedByCustomXml="next"/>
    <w:sdt>
      <w:sdtPr>
        <w:rPr>
          <w:rFonts w:ascii="宋体" w:hAnsi="宋体" w:cs="宋体"/>
          <w:b w:val="0"/>
          <w:bCs w:val="0"/>
          <w:kern w:val="0"/>
          <w:sz w:val="20"/>
          <w:szCs w:val="22"/>
        </w:rPr>
        <w:alias w:val="模块:收入会计处理方法"/>
        <w:tag w:val="_GBC_19704df9fd714cad895419bf4903f70e"/>
        <w:id w:val="2088403"/>
        <w:lock w:val="sdtLocked"/>
        <w:placeholder>
          <w:docPart w:val="GBC22222222222222222222222222222"/>
        </w:placeholder>
      </w:sdtPr>
      <w:sdtEndPr>
        <w:rPr>
          <w:szCs w:val="21"/>
        </w:rPr>
      </w:sdtEndPr>
      <w:sdtContent>
        <w:p w14:paraId="2DDD5765" w14:textId="77777777" w:rsidR="007E7472" w:rsidRDefault="00EC1269" w:rsidP="00162493">
          <w:pPr>
            <w:pStyle w:val="3"/>
            <w:numPr>
              <w:ilvl w:val="0"/>
              <w:numId w:val="46"/>
            </w:numPr>
          </w:pPr>
          <w:r>
            <w:t>收入</w:t>
          </w:r>
        </w:p>
        <w:p w14:paraId="1F6E7969" w14:textId="77777777" w:rsidR="007E7472" w:rsidRDefault="00EC1269" w:rsidP="00162493">
          <w:pPr>
            <w:pStyle w:val="4"/>
            <w:numPr>
              <w:ilvl w:val="0"/>
              <w:numId w:val="57"/>
            </w:numPr>
          </w:pPr>
          <w:r>
            <w:rPr>
              <w:rFonts w:hint="eastAsia"/>
            </w:rPr>
            <w:t>收入确认和计量所采用的会计政策</w:t>
          </w:r>
        </w:p>
        <w:sdt>
          <w:sdtPr>
            <w:alias w:val="是否适用：收入确认和计量所采用的会计政策[双击切换]"/>
            <w:tag w:val="_GBC_b6eb71cc057645f3b05fb68d8273c681"/>
            <w:id w:val="-97417060"/>
            <w:lock w:val="sdtLocked"/>
            <w:placeholder>
              <w:docPart w:val="GBC22222222222222222222222222222"/>
            </w:placeholder>
          </w:sdtPr>
          <w:sdtEndPr/>
          <w:sdtContent>
            <w:p w14:paraId="6C348211" w14:textId="77777777" w:rsidR="007E7472" w:rsidRDefault="00EC1269">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alias w:val="收入确认和计量所采用的会计政策"/>
            <w:tag w:val="_GBC_c9c2b3029c08405387c460d2d7eacc7d"/>
            <w:id w:val="486367224"/>
            <w:lock w:val="sdtLocked"/>
            <w:placeholder>
              <w:docPart w:val="GBC22222222222222222222222222222"/>
            </w:placeholder>
          </w:sdtPr>
          <w:sdtEndPr/>
          <w:sdtContent>
            <w:p w14:paraId="356EA69C" w14:textId="77777777" w:rsidR="007E7472" w:rsidRDefault="00EC1269">
              <w:pPr>
                <w:spacing w:beforeLines="50" w:before="156" w:afterLines="50" w:after="156" w:line="360" w:lineRule="exact"/>
                <w:ind w:firstLineChars="200" w:firstLine="420"/>
                <w:jc w:val="both"/>
              </w:pPr>
              <w:r>
                <w:rPr>
                  <w:rFonts w:hint="eastAsia"/>
                </w:rPr>
                <w:t>本集团的营业收入包括销售煤炭、销售甲醇等煤制化工产品、销售电力及热力、销售矿用设备、机电设备、橡胶制品、辅助材料、大宗物资、贷款和租赁等业务收入。</w:t>
              </w:r>
            </w:p>
            <w:p w14:paraId="70FA7FD1" w14:textId="77777777" w:rsidR="007E7472" w:rsidRDefault="00EC1269">
              <w:pPr>
                <w:spacing w:beforeLines="50" w:before="156" w:afterLines="50" w:after="156" w:line="360" w:lineRule="exact"/>
                <w:ind w:firstLineChars="200" w:firstLine="420"/>
                <w:jc w:val="both"/>
              </w:pPr>
              <w:r>
                <w:rPr>
                  <w:rFonts w:hint="eastAsia"/>
                </w:rPr>
                <w:t>本集团在履行了合同中的履约义务，即在客户取得相关商品或服务的控制权时，确认收入。</w:t>
              </w:r>
            </w:p>
            <w:p w14:paraId="55066A43" w14:textId="77777777" w:rsidR="007E7472" w:rsidRDefault="00EC1269">
              <w:pPr>
                <w:spacing w:beforeLines="50" w:before="156" w:afterLines="50" w:after="156" w:line="360" w:lineRule="exact"/>
                <w:ind w:firstLineChars="200" w:firstLine="420"/>
                <w:jc w:val="both"/>
              </w:pPr>
              <w:r>
                <w:rPr>
                  <w:rFonts w:hint="eastAsia"/>
                </w:rPr>
                <w:t>合同中包含两项或多项履约义务的，本集团在合同开始日，按照各单项履约义务所承诺商品或服务的单独售价的相对比例，将交易价格分摊至各单项履约义务，按照分摊至各单项履约义务的交易价格计量收入。</w:t>
              </w:r>
            </w:p>
            <w:p w14:paraId="7227778F" w14:textId="77777777" w:rsidR="007E7472" w:rsidRDefault="00EC1269">
              <w:pPr>
                <w:spacing w:beforeLines="50" w:before="156" w:afterLines="50" w:after="156" w:line="360" w:lineRule="exact"/>
                <w:ind w:firstLineChars="200" w:firstLine="420"/>
                <w:jc w:val="both"/>
              </w:pPr>
              <w:r>
                <w:rPr>
                  <w:rFonts w:hint="eastAsia"/>
                </w:rPr>
                <w:t>交易价格是本集团因向客户转让商品或服务而预期有权收取的对价金额，不包括代第三方收取的款项。本集团确认的交易价格不超过在相关不确定性消除时累计已确认收入极可能不会发生重大转回的金额。预期将退还给客户的款项作为退货负债，不计入交易价格。合同中存在重大融资成分的，本集团按照假定客户在取得商品或服务控制权时即以现金支付的应付金额确定交易价格。该交易价格与合同对价之间的差额，在合同期间内采用实际利率法摊销。合同开始日，本集团预计客户取得商品或服务控制权与客户支付价款间隔不超过一年的，不考虑合同中存在的重大融资成分。</w:t>
              </w:r>
            </w:p>
            <w:p w14:paraId="6F22A660" w14:textId="77777777" w:rsidR="007E7472" w:rsidRDefault="00EC1269">
              <w:pPr>
                <w:spacing w:beforeLines="50" w:before="156" w:afterLines="50" w:after="156" w:line="360" w:lineRule="exact"/>
                <w:ind w:firstLineChars="200" w:firstLine="420"/>
                <w:jc w:val="both"/>
              </w:pPr>
              <w:r>
                <w:rPr>
                  <w:rFonts w:hint="eastAsia"/>
                </w:rPr>
                <w:t>满足下列条件之一时，本集团属于在某一段时间内履行履约义务，否则，属于在某一时点履行履约义务：</w:t>
              </w:r>
            </w:p>
            <w:p w14:paraId="1F55B3C7" w14:textId="77777777" w:rsidR="007E7472" w:rsidRDefault="00EC1269">
              <w:pPr>
                <w:spacing w:beforeLines="50" w:before="156" w:afterLines="50" w:after="156" w:line="360" w:lineRule="exact"/>
                <w:ind w:firstLineChars="200" w:firstLine="420"/>
                <w:jc w:val="both"/>
              </w:pPr>
              <w:r>
                <w:rPr>
                  <w:rFonts w:hint="eastAsia"/>
                </w:rPr>
                <w:t>（1）客户在本集团履约的同时即取得并消耗本集团履约所带来的经济利益；</w:t>
              </w:r>
            </w:p>
            <w:p w14:paraId="35DE995C" w14:textId="77777777" w:rsidR="007E7472" w:rsidRDefault="00EC1269">
              <w:pPr>
                <w:spacing w:beforeLines="50" w:before="156" w:afterLines="50" w:after="156" w:line="360" w:lineRule="exact"/>
                <w:ind w:firstLineChars="200" w:firstLine="420"/>
                <w:jc w:val="both"/>
              </w:pPr>
              <w:r>
                <w:rPr>
                  <w:rFonts w:hint="eastAsia"/>
                </w:rPr>
                <w:t>（2）客户能够控制本集团履约过程中在建的商品；</w:t>
              </w:r>
            </w:p>
            <w:p w14:paraId="37AE1D83" w14:textId="77777777" w:rsidR="007E7472" w:rsidRDefault="00EC1269">
              <w:pPr>
                <w:spacing w:beforeLines="50" w:before="156" w:afterLines="50" w:after="156" w:line="360" w:lineRule="exact"/>
                <w:ind w:firstLineChars="200" w:firstLine="420"/>
                <w:jc w:val="both"/>
              </w:pPr>
              <w:r>
                <w:rPr>
                  <w:rFonts w:hint="eastAsia"/>
                </w:rPr>
                <w:t>（3）本集团履约过程中所产出的商品具有不可替代用途，且本集团在整个合同期间内有权就累计至今已完成的履约部分收取款项。</w:t>
              </w:r>
            </w:p>
            <w:p w14:paraId="2DAF022F" w14:textId="77777777" w:rsidR="007E7472" w:rsidRDefault="00EC1269">
              <w:pPr>
                <w:spacing w:beforeLines="50" w:before="156" w:afterLines="50" w:after="156" w:line="360" w:lineRule="exact"/>
                <w:ind w:firstLineChars="200" w:firstLine="420"/>
                <w:jc w:val="both"/>
              </w:pPr>
              <w:r>
                <w:rPr>
                  <w:rFonts w:hint="eastAsia"/>
                </w:rPr>
                <w:t>对于在某一时段内履行的履约义务，本集团在该段时间内按照履约进度确认收入。履约进度不能合理确定时，本集团已经发生的成本预计能够得到补偿的，按照已经发生的成本金额确认收入，直到履约进度能够合理确定为止。</w:t>
              </w:r>
            </w:p>
            <w:p w14:paraId="2DF38584" w14:textId="77777777" w:rsidR="007E7472" w:rsidRDefault="00EC1269">
              <w:pPr>
                <w:spacing w:beforeLines="50" w:before="156" w:afterLines="50" w:after="156" w:line="360" w:lineRule="exact"/>
                <w:ind w:firstLineChars="200" w:firstLine="420"/>
                <w:jc w:val="both"/>
              </w:pPr>
              <w:r>
                <w:rPr>
                  <w:rFonts w:hint="eastAsia"/>
                </w:rPr>
                <w:t>对于在某一时点履行的履约义务，本集团在客户取得相关商品或服务控制权时点确认收入。在判断客户是否已取得商品或服务控制权时，本集团会考虑下列迹象：</w:t>
              </w:r>
            </w:p>
            <w:p w14:paraId="7255D485" w14:textId="77777777" w:rsidR="007E7472" w:rsidRDefault="00EC1269">
              <w:pPr>
                <w:spacing w:beforeLines="50" w:before="156" w:afterLines="50" w:after="156" w:line="360" w:lineRule="exact"/>
                <w:ind w:firstLineChars="200" w:firstLine="420"/>
                <w:jc w:val="both"/>
              </w:pPr>
              <w:r>
                <w:rPr>
                  <w:rFonts w:hint="eastAsia"/>
                </w:rPr>
                <w:t>（1）本集团就该商品或服务享有现时收款权利；</w:t>
              </w:r>
            </w:p>
            <w:p w14:paraId="61C6DBAA" w14:textId="77777777" w:rsidR="007E7472" w:rsidRDefault="00EC1269">
              <w:pPr>
                <w:spacing w:beforeLines="50" w:before="156" w:afterLines="50" w:after="156" w:line="360" w:lineRule="exact"/>
                <w:ind w:firstLineChars="200" w:firstLine="420"/>
                <w:jc w:val="both"/>
              </w:pPr>
              <w:r>
                <w:rPr>
                  <w:rFonts w:hint="eastAsia"/>
                </w:rPr>
                <w:t>（2）本集团已将该商品的法定所有权转移给客户；</w:t>
              </w:r>
            </w:p>
            <w:p w14:paraId="24E5F196" w14:textId="77777777" w:rsidR="007E7472" w:rsidRDefault="00EC1269">
              <w:pPr>
                <w:spacing w:beforeLines="50" w:before="156" w:afterLines="50" w:after="156" w:line="360" w:lineRule="exact"/>
                <w:ind w:firstLineChars="200" w:firstLine="420"/>
                <w:jc w:val="both"/>
              </w:pPr>
              <w:r>
                <w:rPr>
                  <w:rFonts w:hint="eastAsia"/>
                </w:rPr>
                <w:t>（3）本集团已将该商品的实物转移给客户；</w:t>
              </w:r>
            </w:p>
            <w:p w14:paraId="2471BF64" w14:textId="77777777" w:rsidR="007E7472" w:rsidRDefault="00EC1269">
              <w:pPr>
                <w:spacing w:beforeLines="50" w:before="156" w:afterLines="50" w:after="156" w:line="360" w:lineRule="exact"/>
                <w:ind w:firstLineChars="200" w:firstLine="420"/>
                <w:jc w:val="both"/>
              </w:pPr>
              <w:r>
                <w:rPr>
                  <w:rFonts w:hint="eastAsia"/>
                </w:rPr>
                <w:t>（4）本集团已将该商品所有权上的主要风险和报酬转移给客户；</w:t>
              </w:r>
            </w:p>
            <w:p w14:paraId="3AC82623" w14:textId="77777777" w:rsidR="007E7472" w:rsidRDefault="00EC1269">
              <w:pPr>
                <w:spacing w:beforeLines="50" w:before="156" w:afterLines="50" w:after="156" w:line="360" w:lineRule="exact"/>
                <w:ind w:firstLineChars="200" w:firstLine="420"/>
                <w:jc w:val="both"/>
              </w:pPr>
              <w:r>
                <w:rPr>
                  <w:rFonts w:hint="eastAsia"/>
                </w:rPr>
                <w:t>（5）客户已接受该商品或服务等。</w:t>
              </w:r>
            </w:p>
            <w:p w14:paraId="2B6BD925" w14:textId="77777777" w:rsidR="007E7472" w:rsidRDefault="00EC1269">
              <w:pPr>
                <w:spacing w:beforeLines="50" w:before="156" w:afterLines="50" w:after="156" w:line="360" w:lineRule="exact"/>
                <w:ind w:firstLineChars="200" w:firstLine="420"/>
                <w:jc w:val="both"/>
              </w:pPr>
              <w:r>
                <w:rPr>
                  <w:rFonts w:hint="eastAsia"/>
                </w:rPr>
                <w:t>本集团根据其在向客户转让商品前是否拥有对该商品的控制权，来判断其从事交易时的身份是主要责任人还是代理人。在向客户转让商品前能够控制该商品的，本集团为主要责任人，按照已收或应收对价总额确认收入；否则为代理人，按照预期有权收取的佣金或手续费的金额确认收</w:t>
              </w:r>
              <w:r>
                <w:rPr>
                  <w:rFonts w:hint="eastAsia"/>
                </w:rPr>
                <w:lastRenderedPageBreak/>
                <w:t>入，该金额按照已收或应收对价总额扣除支付给其他相关方的价款后净额，或者按照既定的佣金额比例确定。本集团判断在向客户转让商品前能够控制该商品的情形包括：</w:t>
              </w:r>
            </w:p>
            <w:p w14:paraId="63761E68" w14:textId="77777777" w:rsidR="007E7472" w:rsidRDefault="00EC1269">
              <w:pPr>
                <w:spacing w:beforeLines="50" w:before="156" w:afterLines="50" w:after="156" w:line="360" w:lineRule="exact"/>
                <w:ind w:firstLineChars="200" w:firstLine="420"/>
                <w:jc w:val="both"/>
              </w:pPr>
              <w:r>
                <w:rPr>
                  <w:rFonts w:hint="eastAsia"/>
                </w:rPr>
                <w:t>（1）本集团自第三方取得商品或其他资产控制权后，再转让给客户；</w:t>
              </w:r>
            </w:p>
            <w:p w14:paraId="45795DF0" w14:textId="77777777" w:rsidR="007E7472" w:rsidRDefault="00EC1269">
              <w:pPr>
                <w:spacing w:beforeLines="50" w:before="156" w:afterLines="50" w:after="156" w:line="360" w:lineRule="exact"/>
                <w:ind w:firstLineChars="200" w:firstLine="420"/>
                <w:jc w:val="both"/>
              </w:pPr>
              <w:r>
                <w:rPr>
                  <w:rFonts w:hint="eastAsia"/>
                </w:rPr>
                <w:t>（2）本集团能够主导第三方代表本集团向客户提供服务；</w:t>
              </w:r>
            </w:p>
            <w:p w14:paraId="5C159814" w14:textId="77777777" w:rsidR="007E7472" w:rsidRDefault="00EC1269">
              <w:pPr>
                <w:spacing w:beforeLines="50" w:before="156" w:afterLines="50" w:after="156" w:line="360" w:lineRule="exact"/>
                <w:ind w:firstLineChars="200" w:firstLine="420"/>
                <w:jc w:val="both"/>
              </w:pPr>
              <w:r>
                <w:rPr>
                  <w:rFonts w:hint="eastAsia"/>
                </w:rPr>
                <w:t>（3）本集团自第三方取得商品控制权后，通过提供重大的服务将该商品与其他整合成某组产出转让给客户。</w:t>
              </w:r>
            </w:p>
            <w:p w14:paraId="43781394" w14:textId="77777777" w:rsidR="007E7472" w:rsidRDefault="00EC1269">
              <w:pPr>
                <w:spacing w:beforeLines="50" w:before="156" w:afterLines="50" w:after="156" w:line="360" w:lineRule="exact"/>
                <w:ind w:firstLineChars="200" w:firstLine="420"/>
                <w:jc w:val="both"/>
              </w:pPr>
              <w:r>
                <w:rPr>
                  <w:rFonts w:hint="eastAsia"/>
                </w:rPr>
                <w:t>在具体判断向客户转让商品前是否拥有对该商品的控制权时，不仅局限于合同的法律形式，并综合考虑所有相关事实和情况，这些事实和情况包括：</w:t>
              </w:r>
            </w:p>
            <w:p w14:paraId="7093E636" w14:textId="77777777" w:rsidR="007E7472" w:rsidRDefault="00EC1269">
              <w:pPr>
                <w:spacing w:beforeLines="50" w:before="156" w:afterLines="50" w:after="156" w:line="360" w:lineRule="exact"/>
                <w:ind w:firstLineChars="200" w:firstLine="420"/>
                <w:jc w:val="both"/>
              </w:pPr>
              <w:r>
                <w:rPr>
                  <w:rFonts w:hint="eastAsia"/>
                </w:rPr>
                <w:t>（1）本集团承担向客户转让商品的主要责任；</w:t>
              </w:r>
            </w:p>
            <w:p w14:paraId="74F39076" w14:textId="77777777" w:rsidR="007E7472" w:rsidRDefault="00EC1269">
              <w:pPr>
                <w:spacing w:beforeLines="50" w:before="156" w:afterLines="50" w:after="156" w:line="360" w:lineRule="exact"/>
                <w:ind w:firstLineChars="200" w:firstLine="420"/>
                <w:jc w:val="both"/>
              </w:pPr>
              <w:r>
                <w:rPr>
                  <w:rFonts w:hint="eastAsia"/>
                </w:rPr>
                <w:t>（2）本集团在转让商品之前或之后承担了该商品的存货风险；</w:t>
              </w:r>
            </w:p>
            <w:p w14:paraId="3EF9FFF8" w14:textId="77777777" w:rsidR="007E7472" w:rsidRDefault="00EC1269">
              <w:pPr>
                <w:spacing w:beforeLines="50" w:before="156" w:afterLines="50" w:after="156" w:line="360" w:lineRule="exact"/>
                <w:ind w:firstLineChars="200" w:firstLine="420"/>
                <w:jc w:val="both"/>
              </w:pPr>
              <w:r>
                <w:rPr>
                  <w:rFonts w:hint="eastAsia"/>
                </w:rPr>
                <w:t>（3）本集团有权自主决定所交易商品的价格；</w:t>
              </w:r>
            </w:p>
            <w:p w14:paraId="17DDA5BD" w14:textId="77777777" w:rsidR="007E7472" w:rsidRDefault="00EC1269">
              <w:pPr>
                <w:spacing w:beforeLines="50" w:before="156" w:afterLines="50" w:after="156" w:line="360" w:lineRule="exact"/>
                <w:ind w:firstLineChars="200" w:firstLine="420"/>
                <w:jc w:val="both"/>
              </w:pPr>
              <w:r>
                <w:rPr>
                  <w:rFonts w:hint="eastAsia"/>
                </w:rPr>
                <w:t>（4）其他相关事实和情况。</w:t>
              </w:r>
            </w:p>
            <w:p w14:paraId="2D2BF291" w14:textId="77777777" w:rsidR="007E7472" w:rsidRDefault="00EC1269">
              <w:pPr>
                <w:spacing w:beforeLines="50" w:before="156" w:afterLines="50" w:after="156" w:line="360" w:lineRule="exact"/>
                <w:ind w:firstLineChars="200" w:firstLine="420"/>
                <w:jc w:val="both"/>
              </w:pPr>
              <w:r>
                <w:rPr>
                  <w:rFonts w:hint="eastAsia"/>
                </w:rPr>
                <w:t>本集团已向客户转让商品或服务而有权收取对价的权利(且该权利取决于时间流逝之外的其他因素)作为合同资产列示，合同资产以预期信用损失为基础计提减值（参见本附注“五、</w:t>
              </w:r>
              <w:r>
                <w:t>10（6）金融工具的减值</w:t>
              </w:r>
              <w:r>
                <w:rPr>
                  <w:rFonts w:hint="eastAsia"/>
                </w:rPr>
                <w:t>”）。本集团拥有的、无条件（仅取决于时间流逝）向客户收取对价的权利作为应收款项列示。本集团已收或应收客户对价而应向客户转让商品或服务的义务作为合同负债列示。</w:t>
              </w:r>
            </w:p>
            <w:p w14:paraId="0A057347" w14:textId="77777777" w:rsidR="007E7472" w:rsidRDefault="00EC1269">
              <w:pPr>
                <w:spacing w:beforeLines="50" w:before="156" w:afterLines="50" w:after="156" w:line="360" w:lineRule="exact"/>
                <w:ind w:firstLineChars="200" w:firstLine="420"/>
                <w:jc w:val="both"/>
              </w:pPr>
              <w:r>
                <w:rPr>
                  <w:rFonts w:hint="eastAsia"/>
                </w:rPr>
                <w:t>与本集团取得收入的主要活动相关的具体会计政策描述如下：</w:t>
              </w:r>
            </w:p>
            <w:p w14:paraId="0E243307" w14:textId="77777777" w:rsidR="007E7472" w:rsidRDefault="00EC1269">
              <w:pPr>
                <w:spacing w:beforeLines="50" w:before="156" w:afterLines="50" w:after="156" w:line="360" w:lineRule="exact"/>
                <w:ind w:firstLineChars="200" w:firstLine="420"/>
                <w:jc w:val="both"/>
              </w:pPr>
              <w:r>
                <w:rPr>
                  <w:rFonts w:hint="eastAsia"/>
                </w:rPr>
                <w:t>（1）本集团煤炭、甲醇等化工产品、热力、矿用设备、机电设备、橡胶制品、辅助材料、大宗物资及其他商品在控制权转移给购货方时予以确认；</w:t>
              </w:r>
            </w:p>
            <w:p w14:paraId="1DC64AEB" w14:textId="77777777" w:rsidR="007E7472" w:rsidRDefault="00EC1269">
              <w:pPr>
                <w:spacing w:beforeLines="50" w:before="156" w:afterLines="50" w:after="156" w:line="360" w:lineRule="exact"/>
                <w:ind w:firstLineChars="200" w:firstLine="420"/>
                <w:jc w:val="both"/>
              </w:pPr>
              <w:r>
                <w:rPr>
                  <w:rFonts w:hint="eastAsia"/>
                </w:rPr>
                <w:t>（2）本集团电力销售收入在电力供应至各电厂所在地的电网公司，电网公司取得电力的控制权时确认收入，并根据供电量及每年与有关各电力公司确定的适用电价计算；</w:t>
              </w:r>
            </w:p>
            <w:p w14:paraId="5B34D5C3" w14:textId="77777777" w:rsidR="007E7472" w:rsidRDefault="00EC1269">
              <w:pPr>
                <w:spacing w:beforeLines="50" w:before="156" w:afterLines="50" w:after="156" w:line="360" w:lineRule="exact"/>
                <w:ind w:firstLineChars="200" w:firstLine="420"/>
                <w:jc w:val="both"/>
              </w:pPr>
              <w:r>
                <w:rPr>
                  <w:rFonts w:hint="eastAsia"/>
                </w:rPr>
                <w:t>（3）本集团出售房产开发产品的收入在房产开发产品完工并验收合格，签订具有法律约束力的销售合同，将房产开发产品的控制权转移给购买方时予以确认；</w:t>
              </w:r>
            </w:p>
            <w:p w14:paraId="14F9831E" w14:textId="77777777" w:rsidR="007E7472" w:rsidRDefault="00EC1269">
              <w:pPr>
                <w:spacing w:beforeLines="50" w:before="156" w:afterLines="50" w:after="156" w:line="360" w:lineRule="exact"/>
                <w:ind w:firstLineChars="200" w:firstLine="420"/>
                <w:jc w:val="both"/>
              </w:pPr>
              <w:r>
                <w:rPr>
                  <w:rFonts w:hint="eastAsia"/>
                </w:rPr>
                <w:t>（4）本集团铁路、航运以及其他服务收入在劳务完成时确认；</w:t>
              </w:r>
            </w:p>
            <w:p w14:paraId="4327D13E" w14:textId="77777777" w:rsidR="007E7472" w:rsidRDefault="00EC1269">
              <w:pPr>
                <w:spacing w:beforeLines="50" w:before="156" w:afterLines="50" w:after="156" w:line="360" w:lineRule="exact"/>
                <w:ind w:firstLineChars="200" w:firstLine="420"/>
                <w:jc w:val="both"/>
              </w:pPr>
              <w:r>
                <w:rPr>
                  <w:rFonts w:hint="eastAsia"/>
                </w:rPr>
                <w:t>（5）本集团利息收入按借出货币资金的时间和实际利率计算确定。</w:t>
              </w:r>
            </w:p>
          </w:sdtContent>
        </w:sdt>
        <w:p w14:paraId="69930BF7" w14:textId="77777777" w:rsidR="007E7472" w:rsidRDefault="00C8327E"/>
      </w:sdtContent>
    </w:sdt>
    <w:bookmarkEnd w:id="151" w:displacedByCustomXml="next"/>
    <w:bookmarkStart w:id="152" w:name="_Hlk10465594" w:displacedByCustomXml="next"/>
    <w:sdt>
      <w:sdtPr>
        <w:rPr>
          <w:rFonts w:ascii="宋体" w:hAnsi="宋体" w:cs="宋体" w:hint="eastAsia"/>
          <w:b w:val="0"/>
          <w:bCs w:val="0"/>
          <w:kern w:val="0"/>
          <w:sz w:val="20"/>
          <w:szCs w:val="21"/>
        </w:rPr>
        <w:alias w:val="模块:同类业务采用不同经营模式导致收入确认会计政策存在差异的情况"/>
        <w:tag w:val="_SEC_d90e7184f27046ff9caab68c045539c7"/>
        <w:id w:val="-1705479836"/>
        <w:lock w:val="sdtLocked"/>
        <w:placeholder>
          <w:docPart w:val="GBC22222222222222222222222222222"/>
        </w:placeholder>
      </w:sdtPr>
      <w:sdtEndPr>
        <w:rPr>
          <w:rFonts w:hint="default"/>
        </w:rPr>
      </w:sdtEndPr>
      <w:sdtContent>
        <w:p w14:paraId="493EF7C5" w14:textId="77777777" w:rsidR="007E7472" w:rsidRDefault="00EC1269" w:rsidP="00162493">
          <w:pPr>
            <w:pStyle w:val="4"/>
            <w:numPr>
              <w:ilvl w:val="0"/>
              <w:numId w:val="57"/>
            </w:numPr>
          </w:pPr>
          <w:r>
            <w:rPr>
              <w:rFonts w:hint="eastAsia"/>
            </w:rPr>
            <w:t>同类业务采用不同经营模式导致收入确认会计政策存在差异的情况</w:t>
          </w:r>
        </w:p>
        <w:sdt>
          <w:sdtPr>
            <w:alias w:val="是否适用：同类业务采用不同经营模式导致收入确认会计政策存在差异的情况[双击切换]"/>
            <w:tag w:val="_GBC_f4f4337356c44180a833322bec4248a8"/>
            <w:id w:val="1541479338"/>
            <w:lock w:val="sdtLocked"/>
            <w:placeholder>
              <w:docPart w:val="GBC22222222222222222222222222222"/>
            </w:placeholder>
          </w:sdtPr>
          <w:sdtEndPr/>
          <w:sdtContent>
            <w:p w14:paraId="0FB40FC5" w14:textId="77777777" w:rsidR="007E7472" w:rsidRDefault="00EC1269">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09CDABD2" w14:textId="77777777" w:rsidR="007E7472" w:rsidRDefault="00C8327E"/>
      </w:sdtContent>
    </w:sdt>
    <w:bookmarkEnd w:id="152" w:displacedByCustomXml="next"/>
    <w:bookmarkStart w:id="153" w:name="_Hlk10465679" w:displacedByCustomXml="next"/>
    <w:sdt>
      <w:sdtPr>
        <w:rPr>
          <w:rFonts w:ascii="宋体" w:hAnsi="宋体" w:cs="宋体" w:hint="eastAsia"/>
          <w:b w:val="0"/>
          <w:bCs w:val="0"/>
          <w:kern w:val="0"/>
          <w:sz w:val="20"/>
          <w:szCs w:val="21"/>
        </w:rPr>
        <w:alias w:val="模块:合同成本"/>
        <w:tag w:val="_SEC_1a8f2a657b9d471d80373f3b25cb1dfe"/>
        <w:id w:val="1684087500"/>
        <w:lock w:val="sdtLocked"/>
        <w:placeholder>
          <w:docPart w:val="GBC22222222222222222222222222222"/>
        </w:placeholder>
      </w:sdtPr>
      <w:sdtEndPr>
        <w:rPr>
          <w:rFonts w:hint="default"/>
        </w:rPr>
      </w:sdtEndPr>
      <w:sdtContent>
        <w:p w14:paraId="3245540F" w14:textId="77777777" w:rsidR="007E7472" w:rsidRDefault="00EC1269" w:rsidP="00162493">
          <w:pPr>
            <w:pStyle w:val="3"/>
            <w:numPr>
              <w:ilvl w:val="0"/>
              <w:numId w:val="46"/>
            </w:numPr>
          </w:pPr>
          <w:r>
            <w:rPr>
              <w:rFonts w:hint="eastAsia"/>
            </w:rPr>
            <w:t>合同成本</w:t>
          </w:r>
        </w:p>
        <w:sdt>
          <w:sdtPr>
            <w:alias w:val="是否适用：合同成本_重要会计政策和估计[双击切换]"/>
            <w:tag w:val="_GBC_d7752b20e4914f04bf87bad019929fe8"/>
            <w:id w:val="1536164355"/>
            <w:lock w:val="sdtLocked"/>
            <w:placeholder>
              <w:docPart w:val="GBC22222222222222222222222222222"/>
            </w:placeholder>
          </w:sdtPr>
          <w:sdtEndPr/>
          <w:sdtContent>
            <w:p w14:paraId="28B682D7" w14:textId="77777777" w:rsidR="007E7472" w:rsidRDefault="00EC1269">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7CC63F34" w14:textId="77777777" w:rsidR="007E7472" w:rsidRDefault="00C8327E"/>
      </w:sdtContent>
    </w:sdt>
    <w:bookmarkEnd w:id="153" w:displacedByCustomXml="next"/>
    <w:bookmarkStart w:id="154" w:name="_Hlk10465775" w:displacedByCustomXml="next"/>
    <w:sdt>
      <w:sdtPr>
        <w:rPr>
          <w:rFonts w:ascii="宋体" w:hAnsi="宋体" w:cs="宋体"/>
          <w:b w:val="0"/>
          <w:bCs w:val="0"/>
          <w:kern w:val="0"/>
          <w:sz w:val="20"/>
          <w:szCs w:val="24"/>
        </w:rPr>
        <w:alias w:val="模块:政府补助会计处理方法"/>
        <w:tag w:val="_GBC_b03bd816e50b42ae97b660897ca33234"/>
        <w:id w:val="1523511833"/>
        <w:lock w:val="sdtLocked"/>
        <w:placeholder>
          <w:docPart w:val="GBC22222222222222222222222222222"/>
        </w:placeholder>
      </w:sdtPr>
      <w:sdtEndPr>
        <w:rPr>
          <w:szCs w:val="21"/>
        </w:rPr>
      </w:sdtEndPr>
      <w:sdtContent>
        <w:p w14:paraId="5C73AA92" w14:textId="77777777" w:rsidR="007E7472" w:rsidRPr="00E77029" w:rsidRDefault="00EC1269" w:rsidP="00162493">
          <w:pPr>
            <w:pStyle w:val="3"/>
            <w:numPr>
              <w:ilvl w:val="0"/>
              <w:numId w:val="46"/>
            </w:numPr>
            <w:rPr>
              <w:szCs w:val="21"/>
            </w:rPr>
          </w:pPr>
          <w:r w:rsidRPr="00E77029">
            <w:rPr>
              <w:szCs w:val="21"/>
            </w:rPr>
            <w:t>政府补助</w:t>
          </w:r>
        </w:p>
        <w:sdt>
          <w:sdtPr>
            <w:alias w:val="是否适用：政府补助_重要会计政策和估计[双击切换]"/>
            <w:tag w:val="_GBC_09d5ec3540ea4d9a8e10c93326c490a0"/>
            <w:id w:val="945807335"/>
            <w:lock w:val="sdtLocked"/>
            <w:placeholder>
              <w:docPart w:val="GBC22222222222222222222222222222"/>
            </w:placeholder>
          </w:sdtPr>
          <w:sdtEndPr/>
          <w:sdtContent>
            <w:p w14:paraId="5C638678" w14:textId="77777777" w:rsidR="007E7472" w:rsidRPr="00E77029" w:rsidRDefault="00EC1269">
              <w:r w:rsidRPr="00E77029">
                <w:fldChar w:fldCharType="begin"/>
              </w:r>
              <w:r w:rsidRPr="00E77029">
                <w:rPr>
                  <w:rFonts w:hint="eastAsia"/>
                </w:rPr>
                <w:instrText xml:space="preserve"> MACROBUTTON  SnrToggleCheckbox √适用 </w:instrText>
              </w:r>
              <w:r w:rsidRPr="00E77029">
                <w:fldChar w:fldCharType="end"/>
              </w:r>
              <w:r w:rsidRPr="00E77029">
                <w:fldChar w:fldCharType="begin"/>
              </w:r>
              <w:r w:rsidRPr="00E77029">
                <w:rPr>
                  <w:rFonts w:hint="eastAsia"/>
                </w:rPr>
                <w:instrText xml:space="preserve"> MACROBUTTON  SnrToggleCheckbox □不适用 </w:instrText>
              </w:r>
              <w:r w:rsidRPr="00E77029">
                <w:fldChar w:fldCharType="end"/>
              </w:r>
            </w:p>
          </w:sdtContent>
        </w:sdt>
        <w:sdt>
          <w:sdtPr>
            <w:rPr>
              <w:rFonts w:ascii="Times New Roman" w:hAnsi="Times New Roman" w:cs="Times New Roman"/>
            </w:rPr>
            <w:alias w:val="政府补助_重要会计政策和估计"/>
            <w:tag w:val="_GBC_f313a7b8b81b4ed0845a3af1ac57e5e8"/>
            <w:id w:val="1400478635"/>
            <w:lock w:val="sdtLocked"/>
            <w:placeholder>
              <w:docPart w:val="GBC22222222222222222222222222222"/>
            </w:placeholder>
          </w:sdtPr>
          <w:sdtEndPr>
            <w:rPr>
              <w:sz w:val="20"/>
              <w:szCs w:val="20"/>
            </w:rPr>
          </w:sdtEndPr>
          <w:sdtContent>
            <w:sdt>
              <w:sdtPr>
                <w:alias w:val="政府补助_重要会计政策和估计"/>
                <w:tag w:val="_GBC_cbcbe4da2edd4cf1b6108f1c89e035f7"/>
                <w:id w:val="323785349"/>
                <w:lock w:val="sdtLocked"/>
              </w:sdtPr>
              <w:sdtEndPr/>
              <w:sdtContent>
                <w:p w14:paraId="712A84DB" w14:textId="77777777" w:rsidR="007E7472" w:rsidRPr="00E77029" w:rsidRDefault="00EC1269">
                  <w:pPr>
                    <w:spacing w:beforeLines="50" w:before="156" w:afterLines="50" w:after="156" w:line="360" w:lineRule="exact"/>
                    <w:ind w:firstLineChars="200" w:firstLine="420"/>
                    <w:jc w:val="both"/>
                  </w:pPr>
                  <w:r w:rsidRPr="00E77029">
                    <w:rPr>
                      <w:rFonts w:hint="eastAsia"/>
                    </w:rPr>
                    <w:t>本集团的政府补助包括</w:t>
                  </w:r>
                  <w:r w:rsidRPr="00E77029">
                    <w:t>从政府无偿取得的货币性资产</w:t>
                  </w:r>
                  <w:r w:rsidRPr="00E77029">
                    <w:rPr>
                      <w:rFonts w:hint="eastAsia"/>
                    </w:rPr>
                    <w:t>。其中，与资产相关的政府补助，是指本集团取得的、用于购建或以其他方式形成长期资产的政府补助；与收益相关的政府补助，是指除与资产相关的政府补助之外的政府补助。如果政府文件中未明确规定补助对象，本集团按照上述区分原则进行判断，难以区分的，整体归类为与收益相关的政府补助。</w:t>
                  </w:r>
                </w:p>
                <w:p w14:paraId="0737A88B" w14:textId="77777777" w:rsidR="007E7472" w:rsidRPr="00E77029" w:rsidRDefault="00EC1269">
                  <w:pPr>
                    <w:spacing w:beforeLines="50" w:before="156" w:afterLines="50" w:after="156" w:line="360" w:lineRule="exact"/>
                    <w:ind w:firstLineChars="200" w:firstLine="420"/>
                    <w:jc w:val="both"/>
                  </w:pPr>
                  <w:r w:rsidRPr="00E77029">
                    <w:rPr>
                      <w:rFonts w:hint="eastAsia"/>
                    </w:rPr>
                    <w:t>政府补助为货币性资产的，按照实际收到的金额计量，对于按照固定的定额标准拨付的补助，或对年末有确凿证据表明能够符合财政扶持政策规定的相关条件且预计能够收到财政扶持资金时，按照应收的金额计量；政府补助为非货币性资产的，按照公允价值计量，公允价值不能可靠取得的，按照名义金额（1元）计量。</w:t>
                  </w:r>
                </w:p>
                <w:p w14:paraId="7D498E05" w14:textId="77777777" w:rsidR="007E7472" w:rsidRPr="00E77029" w:rsidRDefault="00EC1269">
                  <w:pPr>
                    <w:spacing w:beforeLines="50" w:before="156" w:afterLines="50" w:after="156" w:line="360" w:lineRule="exact"/>
                    <w:ind w:firstLineChars="200" w:firstLine="420"/>
                    <w:jc w:val="both"/>
                  </w:pPr>
                  <w:r w:rsidRPr="00E77029">
                    <w:rPr>
                      <w:rFonts w:hint="eastAsia"/>
                    </w:rPr>
                    <w:t>与资产相关的政府补助确认为递延收益，在相关资产使用寿命内平均分配计入当期损益。相关资产在使用寿命结束前被出售、转让、报废或发生毁损的，将尚未分配的相关递延收益余额转入资产处置当期的损益。</w:t>
                  </w:r>
                </w:p>
                <w:p w14:paraId="09DA587F" w14:textId="77777777" w:rsidR="007E7472" w:rsidRPr="00E77029" w:rsidRDefault="00EC1269">
                  <w:pPr>
                    <w:spacing w:beforeLines="50" w:before="156" w:afterLines="50" w:after="156" w:line="360" w:lineRule="exact"/>
                    <w:ind w:firstLineChars="200" w:firstLine="420"/>
                    <w:jc w:val="both"/>
                  </w:pPr>
                  <w:r w:rsidRPr="00E77029">
                    <w:rPr>
                      <w:rFonts w:hint="eastAsia"/>
                    </w:rPr>
                    <w:t>与收益相关的政府补助，用于补偿以后期间的相关费用或损失的，确认为递延收益，并在确认相关费用的期间计入当期损益；用于补偿已发生的相关费用或损失的，直接计入当期损益。与日常活动相关的政府补助，按照经济业务实质，计入其他收益。与日常活动无关的政府补助，计入营业外收入。</w:t>
                  </w:r>
                </w:p>
                <w:p w14:paraId="1881AB39" w14:textId="77777777" w:rsidR="007E7472" w:rsidRPr="00E77029" w:rsidRDefault="00EC1269">
                  <w:pPr>
                    <w:spacing w:beforeLines="50" w:before="156" w:afterLines="50" w:after="156" w:line="360" w:lineRule="exact"/>
                    <w:ind w:firstLineChars="200" w:firstLine="420"/>
                    <w:jc w:val="both"/>
                  </w:pPr>
                  <w:r w:rsidRPr="00E77029">
                    <w:rPr>
                      <w:rFonts w:hint="eastAsia"/>
                    </w:rPr>
                    <w:t>本集团已确认的政府补助需要退回的，在需要退回的当期分情况按照以下规定进行会计处理：</w:t>
                  </w:r>
                </w:p>
                <w:p w14:paraId="41926E31" w14:textId="77777777" w:rsidR="007E7472" w:rsidRPr="00E77029" w:rsidRDefault="00EC1269">
                  <w:pPr>
                    <w:spacing w:beforeLines="50" w:before="156" w:afterLines="50" w:after="156" w:line="360" w:lineRule="exact"/>
                    <w:ind w:firstLineChars="200" w:firstLine="420"/>
                    <w:jc w:val="both"/>
                  </w:pPr>
                  <w:r w:rsidRPr="00E77029">
                    <w:rPr>
                      <w:rFonts w:hint="eastAsia"/>
                    </w:rPr>
                    <w:t>（1）初始确认时冲减相关资产账面价值的，调整资产账面价值。</w:t>
                  </w:r>
                </w:p>
                <w:p w14:paraId="299A2864" w14:textId="77777777" w:rsidR="007E7472" w:rsidRPr="00E77029" w:rsidRDefault="00EC1269">
                  <w:pPr>
                    <w:spacing w:beforeLines="50" w:before="156" w:afterLines="50" w:after="156" w:line="360" w:lineRule="exact"/>
                    <w:ind w:firstLineChars="200" w:firstLine="420"/>
                    <w:jc w:val="both"/>
                  </w:pPr>
                  <w:r w:rsidRPr="00E77029">
                    <w:rPr>
                      <w:rFonts w:hint="eastAsia"/>
                    </w:rPr>
                    <w:t>（2）存在相关递延收益的，冲减相关递延收益账面余额，超出部分计入当期损益。</w:t>
                  </w:r>
                </w:p>
                <w:p w14:paraId="1A0C4EF6" w14:textId="77777777" w:rsidR="007E7472" w:rsidRPr="00E77029" w:rsidRDefault="00EC1269">
                  <w:pPr>
                    <w:spacing w:beforeLines="50" w:before="156" w:afterLines="50" w:after="156" w:line="360" w:lineRule="exact"/>
                    <w:ind w:firstLineChars="200" w:firstLine="420"/>
                    <w:jc w:val="both"/>
                  </w:pPr>
                  <w:r w:rsidRPr="00E77029">
                    <w:rPr>
                      <w:rFonts w:hint="eastAsia"/>
                    </w:rPr>
                    <w:t>（3）属于其他情况的，直接计入当期损益。</w:t>
                  </w:r>
                </w:p>
              </w:sdtContent>
            </w:sdt>
            <w:p w14:paraId="653DE38B" w14:textId="77777777" w:rsidR="007E7472" w:rsidRDefault="00C8327E"/>
          </w:sdtContent>
        </w:sdt>
      </w:sdtContent>
    </w:sdt>
    <w:bookmarkEnd w:id="154"/>
    <w:p w14:paraId="124F43D6" w14:textId="77777777" w:rsidR="007E7472" w:rsidRDefault="00C8327E"/>
    <w:sdt>
      <w:sdtPr>
        <w:rPr>
          <w:rFonts w:ascii="宋体" w:hAnsi="宋体" w:cs="宋体"/>
          <w:b w:val="0"/>
          <w:bCs w:val="0"/>
          <w:kern w:val="0"/>
          <w:szCs w:val="22"/>
        </w:rPr>
        <w:alias w:val="模块:递延所得税资产/递延所得税负债会计处理方法"/>
        <w:tag w:val="_GBC_01f1973e44f24cd99b90200f8205be13"/>
        <w:id w:val="-1234393792"/>
        <w:lock w:val="sdtLocked"/>
        <w:placeholder>
          <w:docPart w:val="GBC22222222222222222222222222222"/>
        </w:placeholder>
      </w:sdtPr>
      <w:sdtEndPr>
        <w:rPr>
          <w:rFonts w:asciiTheme="minorEastAsia" w:eastAsiaTheme="minorEastAsia" w:hAnsiTheme="minorEastAsia" w:hint="eastAsia"/>
          <w:szCs w:val="21"/>
        </w:rPr>
      </w:sdtEndPr>
      <w:sdtContent>
        <w:p w14:paraId="05EA1148" w14:textId="77777777" w:rsidR="007E7472" w:rsidRPr="00E77029" w:rsidRDefault="00EC1269" w:rsidP="00162493">
          <w:pPr>
            <w:pStyle w:val="3"/>
            <w:numPr>
              <w:ilvl w:val="0"/>
              <w:numId w:val="46"/>
            </w:numPr>
            <w:rPr>
              <w:rFonts w:asciiTheme="minorEastAsia" w:eastAsiaTheme="minorEastAsia" w:hAnsiTheme="minorEastAsia"/>
            </w:rPr>
          </w:pPr>
          <w:r w:rsidRPr="00E77029">
            <w:rPr>
              <w:rFonts w:asciiTheme="minorEastAsia" w:eastAsiaTheme="minorEastAsia" w:hAnsiTheme="minorEastAsia"/>
            </w:rPr>
            <w:t>递延所得税资产/递延所得税负债</w:t>
          </w:r>
        </w:p>
        <w:sdt>
          <w:sdtPr>
            <w:rPr>
              <w:rFonts w:asciiTheme="minorEastAsia" w:eastAsiaTheme="minorEastAsia" w:hAnsiTheme="minorEastAsia" w:hint="eastAsia"/>
            </w:rPr>
            <w:alias w:val="是否适用：所得税的会计处理方法[双击切换]"/>
            <w:tag w:val="_GBC_3e4bb828d17944599248216201e65683"/>
            <w:id w:val="450837034"/>
            <w:lock w:val="sdtLocked"/>
            <w:placeholder>
              <w:docPart w:val="GBC22222222222222222222222222222"/>
            </w:placeholder>
          </w:sdtPr>
          <w:sdtEndPr/>
          <w:sdtContent>
            <w:p w14:paraId="7FA5B4E5" w14:textId="77777777" w:rsidR="007E7472" w:rsidRPr="00E77029" w:rsidRDefault="00EC1269">
              <w:pPr>
                <w:rPr>
                  <w:rFonts w:asciiTheme="minorEastAsia" w:eastAsiaTheme="minorEastAsia" w:hAnsiTheme="minorEastAsia"/>
                </w:rPr>
              </w:pPr>
              <w:r w:rsidRPr="00E77029">
                <w:rPr>
                  <w:rFonts w:asciiTheme="minorEastAsia" w:eastAsiaTheme="minorEastAsia" w:hAnsiTheme="minorEastAsia"/>
                </w:rPr>
                <w:fldChar w:fldCharType="begin"/>
              </w:r>
              <w:r w:rsidRPr="00E77029">
                <w:rPr>
                  <w:rFonts w:asciiTheme="minorEastAsia" w:eastAsiaTheme="minorEastAsia" w:hAnsiTheme="minorEastAsia" w:hint="eastAsia"/>
                </w:rPr>
                <w:instrText xml:space="preserve"> MACROBUTTON  SnrToggleCheckbox √适用 </w:instrText>
              </w:r>
              <w:r w:rsidRPr="00E77029">
                <w:rPr>
                  <w:rFonts w:asciiTheme="minorEastAsia" w:eastAsiaTheme="minorEastAsia" w:hAnsiTheme="minorEastAsia"/>
                </w:rPr>
                <w:fldChar w:fldCharType="end"/>
              </w:r>
              <w:r w:rsidRPr="00E77029">
                <w:rPr>
                  <w:rFonts w:asciiTheme="minorEastAsia" w:eastAsiaTheme="minorEastAsia" w:hAnsiTheme="minorEastAsia"/>
                </w:rPr>
                <w:fldChar w:fldCharType="begin"/>
              </w:r>
              <w:r w:rsidRPr="00E77029">
                <w:rPr>
                  <w:rFonts w:asciiTheme="minorEastAsia" w:eastAsiaTheme="minorEastAsia" w:hAnsiTheme="minorEastAsia" w:hint="eastAsia"/>
                </w:rPr>
                <w:instrText xml:space="preserve"> MACROBUTTON  SnrToggleCheckbox □不适用 </w:instrText>
              </w:r>
              <w:r w:rsidRPr="00E77029">
                <w:rPr>
                  <w:rFonts w:asciiTheme="minorEastAsia" w:eastAsiaTheme="minorEastAsia" w:hAnsiTheme="minorEastAsia"/>
                </w:rPr>
                <w:fldChar w:fldCharType="end"/>
              </w:r>
            </w:p>
          </w:sdtContent>
        </w:sdt>
        <w:sdt>
          <w:sdtPr>
            <w:rPr>
              <w:rFonts w:asciiTheme="minorEastAsia" w:eastAsiaTheme="minorEastAsia" w:hAnsiTheme="minorEastAsia" w:hint="eastAsia"/>
            </w:rPr>
            <w:alias w:val="所得税的会计处理方法"/>
            <w:tag w:val="_GBC_545dd84ed2b9458fa5e2b87aa1e1cc1c"/>
            <w:id w:val="-1493551344"/>
            <w:lock w:val="sdtLocked"/>
            <w:placeholder>
              <w:docPart w:val="GBC22222222222222222222222222222"/>
            </w:placeholder>
          </w:sdtPr>
          <w:sdtEndPr/>
          <w:sdtContent>
            <w:p w14:paraId="1319A8CF" w14:textId="77777777" w:rsidR="007E7472" w:rsidRPr="00E77029" w:rsidRDefault="00EC1269">
              <w:pPr>
                <w:spacing w:beforeLines="50" w:before="156" w:afterLines="50" w:after="156" w:line="360" w:lineRule="exact"/>
                <w:ind w:firstLineChars="200" w:firstLine="420"/>
                <w:jc w:val="both"/>
                <w:rPr>
                  <w:rFonts w:asciiTheme="minorEastAsia" w:eastAsiaTheme="minorEastAsia" w:hAnsiTheme="minorEastAsia"/>
                </w:rPr>
              </w:pPr>
              <w:r w:rsidRPr="00E77029">
                <w:rPr>
                  <w:rFonts w:asciiTheme="minorEastAsia" w:eastAsiaTheme="minorEastAsia" w:hAnsiTheme="minorEastAsia" w:hint="eastAsia"/>
                </w:rPr>
                <w:t>本集团递延所得税资产和递延所得税负债根据资产和负债的计税基础与其账面价值的差额(暂时性差异)计算确认。对于按照税法规定能够于以后年度抵减应纳税所得额的可抵扣亏损，确认相应的递延所得税资产。对于商誉的初始确认产生的暂时性差异，不确认相应的递延所得税负债。对于既不影响会计利润也不影响应纳税所得额(或可抵扣亏损)的非企业合并的交易中产生的资产或负债的初始确认形成的暂时性差异，不确认相应的递延所得税资产和递延所得税负债。于资产负债表日，递延所得税资产和递延所得税负债，按照预期收回该资产或清偿该负债期间的适用税率计量。</w:t>
              </w:r>
            </w:p>
            <w:p w14:paraId="5A6DCB2A" w14:textId="77777777" w:rsidR="007E7472" w:rsidRPr="00E77029" w:rsidRDefault="00EC1269">
              <w:pPr>
                <w:spacing w:beforeLines="50" w:before="156" w:afterLines="50" w:after="156" w:line="360" w:lineRule="exact"/>
                <w:ind w:firstLineChars="200" w:firstLine="420"/>
                <w:jc w:val="both"/>
                <w:rPr>
                  <w:rFonts w:asciiTheme="minorEastAsia" w:eastAsiaTheme="minorEastAsia" w:hAnsiTheme="minorEastAsia"/>
                </w:rPr>
              </w:pPr>
              <w:r w:rsidRPr="00E77029">
                <w:rPr>
                  <w:rFonts w:asciiTheme="minorEastAsia" w:eastAsiaTheme="minorEastAsia" w:hAnsiTheme="minorEastAsia" w:hint="eastAsia"/>
                </w:rPr>
                <w:lastRenderedPageBreak/>
                <w:t>本集团以很可能取得用来抵扣可抵扣暂时性差异、可抵扣亏损和税款抵减的未来应纳税所得额为限，确认递延所得税资产。</w:t>
              </w:r>
            </w:p>
          </w:sdtContent>
        </w:sdt>
      </w:sdtContent>
    </w:sdt>
    <w:p w14:paraId="4117EC6A" w14:textId="77777777" w:rsidR="007E7472" w:rsidRDefault="00C8327E"/>
    <w:sdt>
      <w:sdtPr>
        <w:rPr>
          <w:rFonts w:ascii="宋体" w:hAnsi="宋体" w:cs="宋体"/>
          <w:b w:val="0"/>
          <w:bCs w:val="0"/>
          <w:kern w:val="0"/>
          <w:sz w:val="20"/>
          <w:szCs w:val="24"/>
        </w:rPr>
        <w:alias w:val="模块:经营租赁、融资租赁会计处理方法"/>
        <w:tag w:val="_GBC_f9ff4c1b9d1748b8854889b1fd9b076c"/>
        <w:id w:val="-200327235"/>
        <w:lock w:val="sdtLocked"/>
        <w:placeholder>
          <w:docPart w:val="GBC22222222222222222222222222222"/>
        </w:placeholder>
      </w:sdtPr>
      <w:sdtEndPr>
        <w:rPr>
          <w:rFonts w:hint="eastAsia"/>
          <w:szCs w:val="21"/>
        </w:rPr>
      </w:sdtEndPr>
      <w:sdtContent>
        <w:p w14:paraId="4DD57666" w14:textId="77777777" w:rsidR="007E7472" w:rsidRDefault="00EC1269" w:rsidP="00162493">
          <w:pPr>
            <w:pStyle w:val="3"/>
            <w:numPr>
              <w:ilvl w:val="0"/>
              <w:numId w:val="46"/>
            </w:numPr>
          </w:pPr>
          <w:r>
            <w:t>租赁</w:t>
          </w:r>
        </w:p>
        <w:p w14:paraId="112C035F" w14:textId="77777777" w:rsidR="007E7472" w:rsidRDefault="00EC1269" w:rsidP="00162493">
          <w:pPr>
            <w:pStyle w:val="4"/>
            <w:numPr>
              <w:ilvl w:val="0"/>
              <w:numId w:val="58"/>
            </w:numPr>
          </w:pPr>
          <w:r>
            <w:rPr>
              <w:rFonts w:hint="eastAsia"/>
            </w:rPr>
            <w:t>经营租赁的会计处理方法</w:t>
          </w:r>
        </w:p>
        <w:sdt>
          <w:sdtPr>
            <w:alias w:val="是否适用：经营租赁的会计处理方法[双击切换]"/>
            <w:tag w:val="_GBC_e2074b0f384d4bba80c32083627e5bdd"/>
            <w:id w:val="-90012287"/>
            <w:lock w:val="sdtLocked"/>
            <w:placeholder>
              <w:docPart w:val="GBC22222222222222222222222222222"/>
            </w:placeholder>
          </w:sdtPr>
          <w:sdtEndPr/>
          <w:sdtContent>
            <w:p w14:paraId="6089FE98" w14:textId="77777777" w:rsidR="007E7472" w:rsidRDefault="00EC1269">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28F8F811" w14:textId="77777777" w:rsidR="007E7472" w:rsidRDefault="00C8327E"/>
        <w:p w14:paraId="72517EC3" w14:textId="77777777" w:rsidR="007E7472" w:rsidRDefault="00EC1269" w:rsidP="00162493">
          <w:pPr>
            <w:pStyle w:val="4"/>
            <w:numPr>
              <w:ilvl w:val="0"/>
              <w:numId w:val="58"/>
            </w:numPr>
          </w:pPr>
          <w:r>
            <w:rPr>
              <w:rFonts w:hint="eastAsia"/>
            </w:rPr>
            <w:t>融资租赁的会计处理方法</w:t>
          </w:r>
        </w:p>
        <w:sdt>
          <w:sdtPr>
            <w:rPr>
              <w:rFonts w:hint="eastAsia"/>
            </w:rPr>
            <w:alias w:val="是否适用：融资租赁的会计处理方法[双击切换]"/>
            <w:tag w:val="_GBC_e6743f781bfc4763acf7f9821c740304"/>
            <w:id w:val="336119567"/>
            <w:lock w:val="sdtLocked"/>
            <w:placeholder>
              <w:docPart w:val="GBC22222222222222222222222222222"/>
            </w:placeholder>
          </w:sdtPr>
          <w:sdtEndPr/>
          <w:sdtContent>
            <w:p w14:paraId="3B78EFD5" w14:textId="77777777" w:rsidR="007E7472" w:rsidRDefault="00EC1269">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Content>
    </w:sdt>
    <w:p w14:paraId="299594EC" w14:textId="77777777" w:rsidR="007E7472" w:rsidRDefault="00C8327E"/>
    <w:bookmarkStart w:id="155" w:name="_Hlk23952334" w:displacedByCustomXml="next"/>
    <w:bookmarkEnd w:id="155" w:displacedByCustomXml="next"/>
    <w:bookmarkStart w:id="156" w:name="_Hlk41484250" w:displacedByCustomXml="next"/>
    <w:sdt>
      <w:sdtPr>
        <w:rPr>
          <w:rFonts w:ascii="宋体" w:hAnsi="宋体" w:cs="宋体" w:hint="eastAsia"/>
          <w:b w:val="0"/>
          <w:bCs w:val="0"/>
          <w:kern w:val="0"/>
          <w:sz w:val="20"/>
          <w:szCs w:val="24"/>
        </w:rPr>
        <w:alias w:val="模块:新租赁准则下租赁的确定方法及会计处理方法"/>
        <w:tag w:val="_SEC_8bc58354e42542c7bbad4c16498c3080"/>
        <w:id w:val="639775862"/>
        <w:lock w:val="sdtLocked"/>
        <w:placeholder>
          <w:docPart w:val="GBC22222222222222222222222222222"/>
        </w:placeholder>
      </w:sdtPr>
      <w:sdtEndPr>
        <w:rPr>
          <w:sz w:val="21"/>
          <w:szCs w:val="21"/>
        </w:rPr>
      </w:sdtEndPr>
      <w:sdtContent>
        <w:p w14:paraId="6A7EF3B4" w14:textId="77777777" w:rsidR="007E7472" w:rsidRDefault="00EC1269" w:rsidP="00162493">
          <w:pPr>
            <w:pStyle w:val="4"/>
            <w:numPr>
              <w:ilvl w:val="0"/>
              <w:numId w:val="58"/>
            </w:numPr>
          </w:pPr>
          <w:r>
            <w:rPr>
              <w:rFonts w:hint="eastAsia"/>
            </w:rPr>
            <w:t>新租赁准则下租赁的确定方法及会计处理方法</w:t>
          </w:r>
        </w:p>
        <w:sdt>
          <w:sdtPr>
            <w:alias w:val="是否适用：新租赁准则下租赁的确定方法及会计处理方法[双击切换]"/>
            <w:tag w:val="_GBC_9214d33ec34c41b68ccb23415b029371"/>
            <w:id w:val="-2143794821"/>
            <w:lock w:val="sdtLocked"/>
            <w:placeholder>
              <w:docPart w:val="GBC22222222222222222222222222222"/>
            </w:placeholder>
          </w:sdtPr>
          <w:sdtEndPr/>
          <w:sdtContent>
            <w:p w14:paraId="235835A8" w14:textId="77777777" w:rsidR="007E7472" w:rsidRDefault="00EC1269">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alias w:val="新租赁准则下租赁的确定方法及会计处理方法的说明 "/>
            <w:tag w:val="_GBC_ccaa4235b3124a2f9a3b351187d42720"/>
            <w:id w:val="1390995332"/>
            <w:lock w:val="sdtLocked"/>
            <w:placeholder>
              <w:docPart w:val="GBC22222222222222222222222222222"/>
            </w:placeholder>
          </w:sdtPr>
          <w:sdtEndPr/>
          <w:sdtContent>
            <w:p w14:paraId="0A0F2BC7" w14:textId="77777777" w:rsidR="007E7472" w:rsidRDefault="00EC1269">
              <w:pPr>
                <w:spacing w:beforeLines="50" w:before="156" w:afterLines="50" w:after="156" w:line="360" w:lineRule="exact"/>
                <w:ind w:firstLineChars="200" w:firstLine="420"/>
                <w:jc w:val="both"/>
              </w:pPr>
              <w:r>
                <w:rPr>
                  <w:rFonts w:hint="eastAsia"/>
                </w:rPr>
                <w:t>租赁，是指在一定期间内，出租人将资产的使用权让与承租人以获取对价的合同。在合同开始日，本集团评估合同是否为租赁或者包含租赁。如果合同一方让渡了在一定期间内控制一项或多项已识别资产使用的权利以换取对价，则该合同为租赁或者包含租赁。为确定合同是否让渡了在一定期间内控制已识别资产使用的权利，本集团评估合同中的客户是否有权获得在使用期间内因使用已识别资产所产生的几乎全部经济利益，并有权在该使用期间主导已识别资产的使用。</w:t>
              </w:r>
            </w:p>
            <w:p w14:paraId="030F182F" w14:textId="77777777" w:rsidR="007E7472" w:rsidRDefault="00EC1269">
              <w:pPr>
                <w:spacing w:beforeLines="50" w:before="156" w:afterLines="50" w:after="156" w:line="360" w:lineRule="exact"/>
                <w:ind w:firstLineChars="200" w:firstLine="420"/>
                <w:jc w:val="both"/>
              </w:pPr>
              <w:r>
                <w:rPr>
                  <w:rFonts w:hint="eastAsia"/>
                </w:rPr>
                <w:t>合同中同时包含多项单独租赁的，本集团将合同予以分拆，并分别各项单独租赁进行会计处理。合同中同时包含租赁和非租赁部分的，本集团将租赁和非租赁部分分拆后进行会计处理。</w:t>
              </w:r>
            </w:p>
            <w:p w14:paraId="751F80F6" w14:textId="77777777" w:rsidR="007E7472" w:rsidRDefault="00EC1269">
              <w:pPr>
                <w:spacing w:beforeLines="50" w:before="156" w:afterLines="50" w:after="156" w:line="360" w:lineRule="exact"/>
                <w:ind w:firstLineChars="200" w:firstLine="420"/>
                <w:jc w:val="both"/>
              </w:pPr>
              <w:r>
                <w:rPr>
                  <w:rFonts w:hint="eastAsia"/>
                </w:rPr>
                <w:t>（</w:t>
              </w:r>
              <w:r>
                <w:t>1）本集团作为承租人</w:t>
              </w:r>
            </w:p>
            <w:p w14:paraId="54A35EEB" w14:textId="77777777" w:rsidR="007E7472" w:rsidRDefault="00EC1269">
              <w:pPr>
                <w:spacing w:beforeLines="50" w:before="156" w:afterLines="50" w:after="156" w:line="360" w:lineRule="exact"/>
                <w:ind w:firstLineChars="200" w:firstLine="420"/>
                <w:jc w:val="both"/>
              </w:pPr>
              <w:r>
                <w:rPr>
                  <w:rFonts w:hint="eastAsia"/>
                </w:rPr>
                <w:t>本集团于租赁期开始日确认使用权资产，并按尚未支付的租赁付款额的现值确认租赁负债。使用权资产和租赁负债的确认的计量参见本附注“五、2</w:t>
              </w:r>
              <w:r>
                <w:t>9使用权资产”和“</w:t>
              </w:r>
              <w:r>
                <w:rPr>
                  <w:rFonts w:hint="eastAsia"/>
                </w:rPr>
                <w:t>五</w:t>
              </w:r>
              <w:r>
                <w:t>、</w:t>
              </w:r>
              <w:r>
                <w:rPr>
                  <w:rFonts w:hint="eastAsia"/>
                </w:rPr>
                <w:t>37</w:t>
              </w:r>
              <w:r>
                <w:t>租赁负债”</w:t>
              </w:r>
              <w:r>
                <w:rPr>
                  <w:rFonts w:hint="eastAsia"/>
                </w:rPr>
                <w:t>。</w:t>
              </w:r>
            </w:p>
            <w:p w14:paraId="1A7D5063" w14:textId="77777777" w:rsidR="007E7472" w:rsidRDefault="00EC1269">
              <w:pPr>
                <w:spacing w:beforeLines="50" w:before="156" w:afterLines="50" w:after="156" w:line="360" w:lineRule="exact"/>
                <w:ind w:firstLineChars="200" w:firstLine="420"/>
                <w:jc w:val="both"/>
              </w:pPr>
              <w:r>
                <w:rPr>
                  <w:rFonts w:hint="eastAsia"/>
                </w:rPr>
                <w:t>对于租赁期不超过</w:t>
              </w:r>
              <w:r>
                <w:t>12个月的短期租赁和单项资产全新时价值较低的低价值资产租赁，本集团选择不确认使用权资产和租赁负债，将相关租金支出在租赁期内各个期间按照直线法计入当期损益或相关资产成本。</w:t>
              </w:r>
            </w:p>
            <w:p w14:paraId="5481B8D6" w14:textId="77777777" w:rsidR="007E7472" w:rsidRDefault="00EC1269">
              <w:pPr>
                <w:spacing w:beforeLines="50" w:before="156" w:afterLines="50" w:after="156" w:line="360" w:lineRule="exact"/>
                <w:ind w:firstLineChars="200" w:firstLine="420"/>
                <w:jc w:val="both"/>
              </w:pPr>
              <w:r>
                <w:rPr>
                  <w:rFonts w:hint="eastAsia"/>
                </w:rPr>
                <w:t>（</w:t>
              </w:r>
              <w:r>
                <w:t>2）本集团作为出租人</w:t>
              </w:r>
            </w:p>
            <w:p w14:paraId="0F9CBF8A" w14:textId="77777777" w:rsidR="007E7472" w:rsidRDefault="00EC1269">
              <w:pPr>
                <w:spacing w:beforeLines="50" w:before="156" w:afterLines="50" w:after="156" w:line="360" w:lineRule="exact"/>
                <w:ind w:firstLineChars="200" w:firstLine="420"/>
                <w:jc w:val="both"/>
              </w:pPr>
              <w:r>
                <w:rPr>
                  <w:rFonts w:hint="eastAsia"/>
                </w:rPr>
                <w:t>一项租赁存在下列一种或多种情形的，本集团通常将其分类为融资租赁：①在租赁期届满时，租赁资产的所有权转移给承租人；②承租人有购买租赁资产的选择权，所订立的购买价款与预计行使选择权时租赁资产的公允价值相比足够低，因而在租赁开始日就可以合理确定承租人将行使该选择权；③资产的所有权虽然不转移，但租赁期占租赁资产使用寿命的大部分；④在租赁开始日，租赁收款额的现值几乎相当于租赁资产的公允价值；⑤租赁资产性质特殊，如果不作较大改造，只有承租人才能使用。一项租赁存在下列一项或多项迹象的，本集团也可能将其分类为融资租赁：①若承租人撤销租赁，撤销租赁对出租人造成的损失由承租人承担；②资产余值的公允价值波动所产生的利得或损失归属于承租人；③承租人有能力以远低于市场水平的租金继续租赁至下一期间。</w:t>
              </w:r>
            </w:p>
            <w:p w14:paraId="0B6CC3CA" w14:textId="77777777" w:rsidR="007E7472" w:rsidRDefault="00EC1269">
              <w:pPr>
                <w:spacing w:beforeLines="50" w:before="156" w:afterLines="50" w:after="156" w:line="360" w:lineRule="exact"/>
                <w:ind w:firstLineChars="200" w:firstLine="420"/>
                <w:jc w:val="both"/>
              </w:pPr>
              <w:r>
                <w:lastRenderedPageBreak/>
                <w:t>1）</w:t>
              </w:r>
              <w:r>
                <w:tab/>
              </w:r>
              <w:r>
                <w:rPr>
                  <w:rFonts w:hint="eastAsia"/>
                </w:rPr>
                <w:t>融资租赁会计处理</w:t>
              </w:r>
            </w:p>
            <w:p w14:paraId="669FC7C4" w14:textId="77777777" w:rsidR="007E7472" w:rsidRDefault="00EC1269">
              <w:pPr>
                <w:spacing w:beforeLines="50" w:before="156" w:afterLines="50" w:after="156" w:line="360" w:lineRule="exact"/>
                <w:ind w:firstLineChars="200" w:firstLine="420"/>
                <w:jc w:val="both"/>
              </w:pPr>
              <w:r>
                <w:t>a)</w:t>
              </w:r>
              <w:r>
                <w:rPr>
                  <w:rFonts w:hint="eastAsia"/>
                </w:rPr>
                <w:t>初始计量</w:t>
              </w:r>
            </w:p>
            <w:p w14:paraId="1ABF8A90" w14:textId="77777777" w:rsidR="007E7472" w:rsidRDefault="00EC1269">
              <w:pPr>
                <w:spacing w:beforeLines="50" w:before="156" w:afterLines="50" w:after="156" w:line="360" w:lineRule="exact"/>
                <w:ind w:firstLineChars="200" w:firstLine="420"/>
                <w:jc w:val="both"/>
              </w:pPr>
              <w:r>
                <w:rPr>
                  <w:rFonts w:hint="eastAsia"/>
                </w:rPr>
                <w:t>在租赁期开始日，本集团对融资租赁确认应收融资租赁款，并终止确认融资租赁资产。本集团对应收融资租赁款进行初始计量时，以租赁投资净额作为应收融资租赁款的入账价值。</w:t>
              </w:r>
            </w:p>
            <w:p w14:paraId="4133806B" w14:textId="77777777" w:rsidR="007E7472" w:rsidRDefault="00EC1269">
              <w:pPr>
                <w:spacing w:beforeLines="50" w:before="156" w:afterLines="50" w:after="156" w:line="360" w:lineRule="exact"/>
                <w:ind w:firstLineChars="200" w:firstLine="420"/>
                <w:jc w:val="both"/>
              </w:pPr>
              <w:r>
                <w:rPr>
                  <w:rFonts w:hint="eastAsia"/>
                </w:rPr>
                <w:t>租赁投资净额为未担保余值和租赁期开始日尚未收到的租赁收款额按照租赁内含利率折现的现值之和。租赁收款额，是指出租人因让渡在租赁期内使用租赁资产的权利而应向承租人收取的款项，包括：①承租人需支付的固定付款额及实质固定付款额；存在租赁激励的，扣除租赁激励相关金额；②取决于指数或比率的可变租赁付款额，该款项在初始计量时根据租赁期开始日的指数或比率确定；③购买选择权的行权价格，前提是合理确定承租人将行使该选择权；④承租人行使终止租赁选择权需支付的款项，前提是租赁期反映出承租人将行使终止租赁选择权；⑤由承租人、与承租人有关的一方以及有经济能力履行担保义务的独立第三方向出租人提供的担保余值</w:t>
              </w:r>
              <w:r>
                <w:t>。</w:t>
              </w:r>
            </w:p>
            <w:p w14:paraId="6FD254FF" w14:textId="77777777" w:rsidR="007E7472" w:rsidRDefault="00EC1269">
              <w:pPr>
                <w:spacing w:beforeLines="50" w:before="156" w:afterLines="50" w:after="156" w:line="360" w:lineRule="exact"/>
                <w:ind w:firstLineChars="200" w:firstLine="420"/>
                <w:jc w:val="both"/>
              </w:pPr>
              <w:r>
                <w:rPr>
                  <w:rFonts w:hint="eastAsia"/>
                </w:rPr>
                <w:t>b</w:t>
              </w:r>
              <w:r>
                <w:t>)</w:t>
              </w:r>
              <w:r>
                <w:rPr>
                  <w:rFonts w:hint="eastAsia"/>
                </w:rPr>
                <w:t>后续计量</w:t>
              </w:r>
            </w:p>
            <w:p w14:paraId="7313A974" w14:textId="77777777" w:rsidR="007E7472" w:rsidRDefault="00EC1269">
              <w:pPr>
                <w:spacing w:beforeLines="50" w:before="156" w:afterLines="50" w:after="156" w:line="360" w:lineRule="exact"/>
                <w:ind w:firstLineChars="200" w:firstLine="420"/>
                <w:jc w:val="both"/>
              </w:pPr>
              <w:r>
                <w:rPr>
                  <w:rFonts w:hint="eastAsia"/>
                </w:rPr>
                <w:t>本集团按照固定的周期性利率计算并确认租赁期内各个期间的利息收入。该周期性利率，是指确定租赁投资净额采用内含折现率（转租情况下，若转租的租赁内含利率无法确定，采用原租赁的折现率（根据与转租有关的初始直接费用进行调整）），或者融资租赁的变更未作为一项单独租赁进行会计处理，且满足假如变更在租赁开始日生效，该租赁会被分类为融资租赁条件时按相关规定确定的修订后的折现率。</w:t>
              </w:r>
            </w:p>
            <w:p w14:paraId="5458B9DB" w14:textId="77777777" w:rsidR="007E7472" w:rsidRDefault="00EC1269">
              <w:pPr>
                <w:spacing w:beforeLines="50" w:before="156" w:afterLines="50" w:after="156" w:line="360" w:lineRule="exact"/>
                <w:ind w:firstLineChars="200" w:firstLine="420"/>
                <w:jc w:val="both"/>
              </w:pPr>
              <w:r>
                <w:t>2）</w:t>
              </w:r>
              <w:r>
                <w:tab/>
              </w:r>
              <w:r>
                <w:rPr>
                  <w:rFonts w:hint="eastAsia"/>
                </w:rPr>
                <w:t>经营租赁的会计处理</w:t>
              </w:r>
            </w:p>
            <w:p w14:paraId="6ADEE3FE" w14:textId="77777777" w:rsidR="007E7472" w:rsidRDefault="00EC1269">
              <w:pPr>
                <w:spacing w:beforeLines="50" w:before="156" w:afterLines="50" w:after="156" w:line="360" w:lineRule="exact"/>
                <w:ind w:firstLineChars="200" w:firstLine="420"/>
                <w:jc w:val="both"/>
              </w:pPr>
              <w:r>
                <w:t>a)</w:t>
              </w:r>
              <w:r>
                <w:rPr>
                  <w:rFonts w:hint="eastAsia"/>
                </w:rPr>
                <w:t>租金的处理</w:t>
              </w:r>
            </w:p>
            <w:p w14:paraId="03DD7486" w14:textId="77777777" w:rsidR="007E7472" w:rsidRDefault="00EC1269">
              <w:pPr>
                <w:spacing w:beforeLines="50" w:before="156" w:afterLines="50" w:after="156" w:line="360" w:lineRule="exact"/>
                <w:ind w:firstLineChars="200" w:firstLine="420"/>
                <w:jc w:val="both"/>
              </w:pPr>
              <w:r>
                <w:rPr>
                  <w:rFonts w:hint="eastAsia"/>
                </w:rPr>
                <w:t>在租赁期内各个期间，本集团采用直线法将经营租赁的租赁收款额确认为租金收入。</w:t>
              </w:r>
            </w:p>
            <w:p w14:paraId="61CBE5DC" w14:textId="77777777" w:rsidR="007E7472" w:rsidRDefault="00EC1269">
              <w:pPr>
                <w:spacing w:beforeLines="50" w:before="156" w:afterLines="50" w:after="156" w:line="360" w:lineRule="exact"/>
                <w:ind w:firstLineChars="200" w:firstLine="420"/>
                <w:jc w:val="both"/>
              </w:pPr>
              <w:r>
                <w:rPr>
                  <w:rFonts w:hint="eastAsia"/>
                </w:rPr>
                <w:t>b</w:t>
              </w:r>
              <w:r>
                <w:t>)</w:t>
              </w:r>
              <w:r>
                <w:rPr>
                  <w:rFonts w:hint="eastAsia"/>
                </w:rPr>
                <w:t>提供的激励措施</w:t>
              </w:r>
            </w:p>
            <w:p w14:paraId="663E1711" w14:textId="77777777" w:rsidR="007E7472" w:rsidRDefault="00EC1269">
              <w:pPr>
                <w:spacing w:beforeLines="50" w:before="156" w:afterLines="50" w:after="156" w:line="360" w:lineRule="exact"/>
                <w:ind w:firstLineChars="200" w:firstLine="420"/>
                <w:jc w:val="both"/>
              </w:pPr>
              <w:r>
                <w:rPr>
                  <w:rFonts w:hint="eastAsia"/>
                </w:rPr>
                <w:t>提供免租期的，本集团将租金总额在不扣除免租期的整个租赁期内，按直线法进行分配，免租期内应当确认租金收入。本集团承担了承租人某些费用的，将该费用自租金收入总额中扣除，按扣除后的租金收入余额在租赁期内进行分配。</w:t>
              </w:r>
            </w:p>
            <w:p w14:paraId="7707C176" w14:textId="77777777" w:rsidR="007E7472" w:rsidRDefault="00EC1269">
              <w:pPr>
                <w:spacing w:beforeLines="50" w:before="156" w:afterLines="50" w:after="156" w:line="360" w:lineRule="exact"/>
                <w:ind w:firstLineChars="200" w:firstLine="420"/>
                <w:jc w:val="both"/>
              </w:pPr>
              <w:r>
                <w:rPr>
                  <w:rFonts w:hint="eastAsia"/>
                </w:rPr>
                <w:t>c</w:t>
              </w:r>
              <w:r>
                <w:t>)</w:t>
              </w:r>
              <w:r>
                <w:rPr>
                  <w:rFonts w:hint="eastAsia"/>
                </w:rPr>
                <w:t>初始直接费用</w:t>
              </w:r>
            </w:p>
            <w:p w14:paraId="7F95C758" w14:textId="77777777" w:rsidR="007E7472" w:rsidRDefault="00EC1269">
              <w:pPr>
                <w:spacing w:beforeLines="50" w:before="156" w:afterLines="50" w:after="156" w:line="360" w:lineRule="exact"/>
                <w:ind w:firstLineChars="200" w:firstLine="420"/>
                <w:jc w:val="both"/>
              </w:pPr>
              <w:r>
                <w:rPr>
                  <w:rFonts w:hint="eastAsia"/>
                </w:rPr>
                <w:t>本集团发生的与经营租赁有关的初始直接费用应当资本化至租赁标的资产的成本，在租赁期内按照与租金收入相同的确认基础分期计入当期损益。</w:t>
              </w:r>
            </w:p>
            <w:p w14:paraId="300D885C" w14:textId="77777777" w:rsidR="007E7472" w:rsidRDefault="00EC1269">
              <w:pPr>
                <w:spacing w:beforeLines="50" w:before="156" w:afterLines="50" w:after="156" w:line="360" w:lineRule="exact"/>
                <w:ind w:firstLineChars="200" w:firstLine="420"/>
                <w:jc w:val="both"/>
              </w:pPr>
              <w:r>
                <w:rPr>
                  <w:rFonts w:hint="eastAsia"/>
                </w:rPr>
                <w:t>d</w:t>
              </w:r>
              <w:r>
                <w:t>)</w:t>
              </w:r>
              <w:r>
                <w:rPr>
                  <w:rFonts w:hint="eastAsia"/>
                </w:rPr>
                <w:t>折旧</w:t>
              </w:r>
            </w:p>
            <w:p w14:paraId="123501F9" w14:textId="77777777" w:rsidR="007E7472" w:rsidRDefault="00EC1269">
              <w:pPr>
                <w:spacing w:beforeLines="50" w:before="156" w:afterLines="50" w:after="156" w:line="360" w:lineRule="exact"/>
                <w:ind w:firstLineChars="200" w:firstLine="420"/>
                <w:jc w:val="both"/>
              </w:pPr>
              <w:r>
                <w:rPr>
                  <w:rFonts w:hint="eastAsia"/>
                </w:rPr>
                <w:t>对于经营租赁资产中的固定资产，本集团采用类似资产的折旧政策计提折旧；对于其他经营租赁资产，采用系统合理的方法进行摊销。</w:t>
              </w:r>
            </w:p>
            <w:p w14:paraId="16996B0D" w14:textId="77777777" w:rsidR="007E7472" w:rsidRDefault="00EC1269">
              <w:pPr>
                <w:spacing w:beforeLines="50" w:before="156" w:afterLines="50" w:after="156" w:line="360" w:lineRule="exact"/>
                <w:ind w:firstLineChars="200" w:firstLine="420"/>
                <w:jc w:val="both"/>
              </w:pPr>
              <w:r>
                <w:rPr>
                  <w:rFonts w:hint="eastAsia"/>
                </w:rPr>
                <w:t>e</w:t>
              </w:r>
              <w:r>
                <w:t>)</w:t>
              </w:r>
              <w:r>
                <w:rPr>
                  <w:rFonts w:hint="eastAsia"/>
                </w:rPr>
                <w:t>可变租赁付款额</w:t>
              </w:r>
            </w:p>
            <w:p w14:paraId="16AC910A" w14:textId="77777777" w:rsidR="007E7472" w:rsidRDefault="00EC1269">
              <w:pPr>
                <w:spacing w:beforeLines="50" w:before="156" w:afterLines="50" w:after="156" w:line="360" w:lineRule="exact"/>
                <w:ind w:firstLineChars="200" w:firstLine="420"/>
                <w:jc w:val="both"/>
              </w:pPr>
              <w:r>
                <w:rPr>
                  <w:rFonts w:hint="eastAsia"/>
                </w:rPr>
                <w:lastRenderedPageBreak/>
                <w:t>本集团取得的与经营租赁有关的未计入租赁收款额的可变租赁付款额</w:t>
              </w:r>
              <w:r>
                <w:t>,在实际发生时计入当期损益。</w:t>
              </w:r>
            </w:p>
            <w:p w14:paraId="7544F2C3" w14:textId="77777777" w:rsidR="007E7472" w:rsidRPr="00E77029" w:rsidRDefault="00EC1269" w:rsidP="00162493">
              <w:pPr>
                <w:pStyle w:val="3"/>
                <w:numPr>
                  <w:ilvl w:val="0"/>
                  <w:numId w:val="46"/>
                </w:numPr>
                <w:rPr>
                  <w:szCs w:val="21"/>
                </w:rPr>
              </w:pPr>
              <w:r w:rsidRPr="00E77029">
                <w:rPr>
                  <w:szCs w:val="21"/>
                </w:rPr>
                <w:t>持有待售</w:t>
              </w:r>
            </w:p>
            <w:p w14:paraId="712223A4" w14:textId="77777777" w:rsidR="007E7472" w:rsidRPr="00E77029" w:rsidRDefault="00EC1269">
              <w:pPr>
                <w:spacing w:beforeLines="50" w:before="156" w:afterLines="50" w:after="156" w:line="360" w:lineRule="exact"/>
                <w:ind w:firstLineChars="200" w:firstLine="420"/>
                <w:jc w:val="both"/>
              </w:pPr>
              <w:r w:rsidRPr="00E77029">
                <w:rPr>
                  <w:rFonts w:hint="eastAsia"/>
                </w:rPr>
                <w:t>本集团将同时符合下列条件的非流动资产或处置组划分为持有待售：（1）根据类似交易中出售此类资产或处置组的惯例，在当前状况下即可立即出售；（2）出售极可能发生，即已经就一项出售计划作出决议且获得确定的购买承诺，预计出售将在一年内完成。有关规定要求相关权力机构或者监管部门批准后方可出售的需要获得相关批准。本集团将非流动资产或处置组首次划分为持有待售类别前，按照相关会计准则规定计量非流动资产或处置组中各项资产和负债的账面价值。初始计量或在资产负债表日重新计量持有待售的非流动资产或处置组时，其账面价值高于公允价值减去出售费用后的净额的，将账面价值减记至公允价值减去出售费用后的净额，减记的金额确认为资产减值损失，计入当期损益，同时计提持有待售资产减值准备。</w:t>
              </w:r>
            </w:p>
            <w:p w14:paraId="45BE2DB5" w14:textId="77777777" w:rsidR="007E7472" w:rsidRPr="00E77029" w:rsidRDefault="00EC1269">
              <w:pPr>
                <w:spacing w:beforeLines="50" w:before="156" w:afterLines="50" w:after="156" w:line="360" w:lineRule="exact"/>
                <w:ind w:firstLineChars="200" w:firstLine="420"/>
                <w:jc w:val="both"/>
              </w:pPr>
              <w:r w:rsidRPr="00E77029">
                <w:rPr>
                  <w:rFonts w:hint="eastAsia"/>
                </w:rPr>
                <w:t>本集团专为转售而取得的非流动资产或处置组，在取得日满足“预计出售将在一年内完成”的规定条件，且短期（通常为3个月）内很可能满足持有待售类别的其他划分条件的，在取得日将其划分为持有待售类别。在初始计量时，比较假定其不划分为持有待售类别情况下的初始计量金额和公允价值减去出售费用后的净额，以两者孰低计量。除企业合并中取得的非流动资产或处置组外，由非流动资产或处置组以公允价值减去出售费用后的净额作为初始计量金额而产生的差额，计入当期损益。</w:t>
              </w:r>
            </w:p>
            <w:p w14:paraId="2BEC5E95" w14:textId="77777777" w:rsidR="007E7472" w:rsidRPr="00E77029" w:rsidRDefault="00EC1269">
              <w:pPr>
                <w:spacing w:beforeLines="50" w:before="156" w:afterLines="50" w:after="156" w:line="360" w:lineRule="exact"/>
                <w:ind w:firstLineChars="200" w:firstLine="420"/>
                <w:jc w:val="both"/>
              </w:pPr>
              <w:r w:rsidRPr="00E77029">
                <w:rPr>
                  <w:rFonts w:hint="eastAsia"/>
                </w:rPr>
                <w:t>本集团因出售对子公司的投资等原因导致丧失对子公司控制权的，无论出售后本集团是否保留部分权益性投资，在拟出售的对子公司投资满足持有待售类别划分条件时，在母公司个别财务报表中将对子公司投资整体划分为持有待售类别，在合并财务报表中将子公司所有资产和负债划分为持有待售类别。</w:t>
              </w:r>
            </w:p>
            <w:p w14:paraId="25F54E33" w14:textId="77777777" w:rsidR="007E7472" w:rsidRPr="00E77029" w:rsidRDefault="00EC1269">
              <w:pPr>
                <w:spacing w:beforeLines="50" w:before="156" w:afterLines="50" w:after="156" w:line="360" w:lineRule="exact"/>
                <w:ind w:firstLineChars="200" w:firstLine="420"/>
                <w:jc w:val="both"/>
              </w:pPr>
              <w:r w:rsidRPr="00E77029">
                <w:rPr>
                  <w:rFonts w:hint="eastAsia"/>
                </w:rPr>
                <w:t>后续资产负债表日持有待售的非流动资产公允价值减去出售费用后的净额增加的，以前减记的金额应当予以恢复，并在划分为持有待售类别后确认的资产减值损失金额内转回，转回金额计入当期损益。划分为持有待售类别前确认的资产减值损失不得转回。</w:t>
              </w:r>
            </w:p>
            <w:p w14:paraId="4EC5CCB9" w14:textId="77777777" w:rsidR="007E7472" w:rsidRPr="00E77029" w:rsidRDefault="00EC1269">
              <w:pPr>
                <w:spacing w:beforeLines="50" w:before="156" w:afterLines="50" w:after="156" w:line="360" w:lineRule="exact"/>
                <w:ind w:firstLineChars="200" w:firstLine="420"/>
                <w:jc w:val="both"/>
              </w:pPr>
              <w:r w:rsidRPr="00E77029">
                <w:rPr>
                  <w:rFonts w:hint="eastAsia"/>
                </w:rPr>
                <w:t>对于持有待售的处置组确认的资产减值损失金额，先抵减处置组中商誉的账面价值，再根据各项非流动资产账面价值所占比重，按比例抵减其账面价值。</w:t>
              </w:r>
            </w:p>
            <w:p w14:paraId="154BB904" w14:textId="77777777" w:rsidR="007E7472" w:rsidRPr="00E77029" w:rsidRDefault="00EC1269">
              <w:pPr>
                <w:spacing w:beforeLines="50" w:before="156" w:afterLines="50" w:after="156" w:line="360" w:lineRule="exact"/>
                <w:ind w:firstLineChars="200" w:firstLine="420"/>
                <w:jc w:val="both"/>
              </w:pPr>
              <w:r w:rsidRPr="00E77029">
                <w:rPr>
                  <w:rFonts w:hint="eastAsia"/>
                </w:rPr>
                <w:t>后续资产负债表日持有待售的处置组公允价值减去出售费用后的净额增加的，以前减记的金额应当予以恢复，并在划分为持有待售类别后适用相关计量规定的非流动资产确认的资产减值损失金额内转回，转回金额计入当期损益。已抵减的商誉账面价值，以及非流动资产在划分为持有待售类别前确认的资产减值损失不得转回。</w:t>
              </w:r>
            </w:p>
            <w:p w14:paraId="15057FD5" w14:textId="77777777" w:rsidR="007E7472" w:rsidRPr="00E77029" w:rsidRDefault="00EC1269">
              <w:pPr>
                <w:spacing w:beforeLines="50" w:before="156" w:afterLines="50" w:after="156" w:line="360" w:lineRule="exact"/>
                <w:ind w:firstLineChars="200" w:firstLine="420"/>
                <w:jc w:val="both"/>
              </w:pPr>
              <w:r w:rsidRPr="00E77029">
                <w:rPr>
                  <w:rFonts w:hint="eastAsia"/>
                </w:rPr>
                <w:t>持有待售的处置组确认的资产减值损失后续转回金额，根据处置组中除商誉外，各项非流动资产账面价值所占比重，按比例增加其账面价值。</w:t>
              </w:r>
            </w:p>
            <w:p w14:paraId="0F05DCC2" w14:textId="77777777" w:rsidR="007E7472" w:rsidRPr="00E77029" w:rsidRDefault="00EC1269">
              <w:pPr>
                <w:spacing w:beforeLines="50" w:before="156" w:afterLines="50" w:after="156" w:line="360" w:lineRule="exact"/>
                <w:ind w:firstLineChars="200" w:firstLine="420"/>
                <w:jc w:val="both"/>
              </w:pPr>
              <w:r w:rsidRPr="00E77029">
                <w:rPr>
                  <w:rFonts w:hint="eastAsia"/>
                </w:rPr>
                <w:t>持有待售的非流动资产或处置组中的非流动资产不计提折旧或摊销，持有待售的处置组中负债的利息和其他费用继续予以确认。</w:t>
              </w:r>
            </w:p>
            <w:p w14:paraId="6EF2B1CD" w14:textId="77777777" w:rsidR="007E7472" w:rsidRPr="00E77029" w:rsidRDefault="00EC1269">
              <w:pPr>
                <w:spacing w:beforeLines="50" w:before="156" w:afterLines="50" w:after="156" w:line="360" w:lineRule="exact"/>
                <w:ind w:firstLineChars="200" w:firstLine="420"/>
                <w:jc w:val="both"/>
              </w:pPr>
              <w:r w:rsidRPr="00E77029">
                <w:rPr>
                  <w:rFonts w:hint="eastAsia"/>
                </w:rPr>
                <w:lastRenderedPageBreak/>
                <w:t>持有待售的非流动资产或处置组因不再满足持有待售类别的划分条件，而不再继续划分为持有待售类别或非流动资产从持有待售的处置组中移除时，按照以下两者孰低计量：（1）划分为持有待售类别前的账面价值，按照假定不划分为持有待售类别情况下本应确认的折旧、摊销或减值等进行调整后的金额；（2）可收回金额。</w:t>
              </w:r>
            </w:p>
            <w:p w14:paraId="6F9BEF92" w14:textId="77777777" w:rsidR="007E7472" w:rsidRPr="00E77029" w:rsidRDefault="00EC1269">
              <w:pPr>
                <w:spacing w:beforeLines="50" w:before="156" w:afterLines="50" w:after="156" w:line="360" w:lineRule="exact"/>
                <w:ind w:firstLineChars="200" w:firstLine="420"/>
                <w:jc w:val="both"/>
              </w:pPr>
              <w:r w:rsidRPr="00E77029">
                <w:rPr>
                  <w:rFonts w:hint="eastAsia"/>
                </w:rPr>
                <w:t>终止确认持有待售的非流动资产或处置组时，将尚未确认的利得或损失计入当期损益。</w:t>
              </w:r>
            </w:p>
            <w:p w14:paraId="4C4295AC" w14:textId="77777777" w:rsidR="007E7472" w:rsidRPr="00E77029" w:rsidRDefault="00EC1269" w:rsidP="00162493">
              <w:pPr>
                <w:pStyle w:val="3"/>
                <w:numPr>
                  <w:ilvl w:val="0"/>
                  <w:numId w:val="46"/>
                </w:numPr>
                <w:rPr>
                  <w:szCs w:val="21"/>
                </w:rPr>
              </w:pPr>
              <w:r w:rsidRPr="00E77029">
                <w:rPr>
                  <w:szCs w:val="21"/>
                </w:rPr>
                <w:t>终止经营</w:t>
              </w:r>
            </w:p>
            <w:p w14:paraId="3174B509" w14:textId="77777777" w:rsidR="007E7472" w:rsidRPr="00E77029" w:rsidRDefault="00EC1269">
              <w:pPr>
                <w:spacing w:beforeLines="50" w:before="156" w:afterLines="50" w:after="156" w:line="360" w:lineRule="exact"/>
                <w:ind w:firstLineChars="200" w:firstLine="420"/>
                <w:jc w:val="both"/>
              </w:pPr>
              <w:r w:rsidRPr="00E77029">
                <w:rPr>
                  <w:rFonts w:hint="eastAsia"/>
                </w:rPr>
                <w:t>终止经营，是指本集团满足下列条件之一的、能够单独区分的组成部分，且该组成部分已经处置或划分为持有待售类别：（1）该组成部分代表一项独立的主要业务或一个单独的主要经营地区；（2）该组成部分是拟对一项独立的主要业务或一个单独的主要经营地区进行处置的一项相关联计划的一部分；（3）该组成部分是专为转售而取得的子公司。</w:t>
              </w:r>
            </w:p>
            <w:p w14:paraId="6551F408" w14:textId="77777777" w:rsidR="007E7472" w:rsidRPr="00E77029" w:rsidRDefault="00EC1269" w:rsidP="00162493">
              <w:pPr>
                <w:pStyle w:val="3"/>
                <w:numPr>
                  <w:ilvl w:val="0"/>
                  <w:numId w:val="46"/>
                </w:numPr>
                <w:rPr>
                  <w:szCs w:val="21"/>
                </w:rPr>
              </w:pPr>
              <w:r w:rsidRPr="00E77029">
                <w:rPr>
                  <w:szCs w:val="21"/>
                </w:rPr>
                <w:t>所得税的会计核算</w:t>
              </w:r>
            </w:p>
            <w:p w14:paraId="140BC7FA" w14:textId="77777777" w:rsidR="007E7472" w:rsidRPr="00E77029" w:rsidRDefault="00EC1269">
              <w:pPr>
                <w:spacing w:beforeLines="50" w:before="156" w:afterLines="50" w:after="156" w:line="360" w:lineRule="exact"/>
                <w:ind w:firstLineChars="200" w:firstLine="420"/>
                <w:jc w:val="both"/>
              </w:pPr>
              <w:r w:rsidRPr="00E77029">
                <w:t>所得税的会计核算采用资产负债表债务法。所得税费用包括当期所得税和递延所得税。将与直接计入股东权益的交易和事项相关的当期所得税和递延所得税计入股东权益，以及企业合并产生的递延所得税调整商誉的账面价值外，其余的当期所得税和递延所得税费用或收益计入当期损益。</w:t>
              </w:r>
            </w:p>
            <w:p w14:paraId="230378F8" w14:textId="77777777" w:rsidR="007E7472" w:rsidRPr="00E77029" w:rsidRDefault="00EC1269">
              <w:pPr>
                <w:spacing w:beforeLines="50" w:before="156" w:afterLines="50" w:after="156" w:line="360" w:lineRule="exact"/>
                <w:ind w:firstLineChars="200" w:firstLine="420"/>
                <w:jc w:val="both"/>
              </w:pPr>
              <w:r w:rsidRPr="00E77029">
                <w:t>当期所得税费用是指企业按照税务规定计算确定的针对当期发生的交易和事项，应纳给税务部门的金额，即应交所得税；递延所得税是指按照资产负债表债务法应予确认的递延所得税资产和递延所得税负债在期末应有的金额相对于原已确认金额之间的差额。</w:t>
              </w:r>
            </w:p>
            <w:p w14:paraId="57448FF1" w14:textId="77777777" w:rsidR="007E7472" w:rsidRPr="00E77029" w:rsidRDefault="00EC1269" w:rsidP="00162493">
              <w:pPr>
                <w:pStyle w:val="3"/>
                <w:numPr>
                  <w:ilvl w:val="0"/>
                  <w:numId w:val="46"/>
                </w:numPr>
                <w:rPr>
                  <w:szCs w:val="21"/>
                </w:rPr>
              </w:pPr>
              <w:r w:rsidRPr="00E77029">
                <w:rPr>
                  <w:szCs w:val="21"/>
                </w:rPr>
                <w:t>分部信息</w:t>
              </w:r>
            </w:p>
            <w:p w14:paraId="7C53062F" w14:textId="77777777" w:rsidR="007E7472" w:rsidRPr="00E77029" w:rsidRDefault="00EC1269">
              <w:pPr>
                <w:spacing w:beforeLines="50" w:before="156" w:afterLines="50" w:after="156" w:line="360" w:lineRule="exact"/>
                <w:ind w:firstLineChars="200" w:firstLine="420"/>
                <w:jc w:val="both"/>
              </w:pPr>
              <w:r w:rsidRPr="00E77029">
                <w:t>本集团以内部组织结构、管理要求、内部报告制度为依据确定经营分部，以经营分部为基础确定报告分部。经营分部，是指企业内同时满足下列条件的组成部分：</w:t>
              </w:r>
            </w:p>
            <w:p w14:paraId="18214006" w14:textId="77777777" w:rsidR="007E7472" w:rsidRPr="00E77029" w:rsidRDefault="00EC1269" w:rsidP="00162493">
              <w:pPr>
                <w:numPr>
                  <w:ilvl w:val="0"/>
                  <w:numId w:val="59"/>
                </w:numPr>
                <w:tabs>
                  <w:tab w:val="left" w:pos="993"/>
                </w:tabs>
                <w:spacing w:beforeLines="50" w:before="156" w:afterLines="50" w:after="156" w:line="360" w:lineRule="exact"/>
                <w:ind w:left="0" w:firstLineChars="200" w:firstLine="420"/>
                <w:rPr>
                  <w:bCs/>
                </w:rPr>
              </w:pPr>
              <w:r w:rsidRPr="00E77029">
                <w:rPr>
                  <w:bCs/>
                </w:rPr>
                <w:t>该组成部分能够在日常活动中产生收入、发生费用；</w:t>
              </w:r>
            </w:p>
            <w:p w14:paraId="4EA1DEE6" w14:textId="77777777" w:rsidR="007E7472" w:rsidRPr="00E77029" w:rsidRDefault="00EC1269" w:rsidP="00162493">
              <w:pPr>
                <w:numPr>
                  <w:ilvl w:val="0"/>
                  <w:numId w:val="59"/>
                </w:numPr>
                <w:tabs>
                  <w:tab w:val="left" w:pos="993"/>
                </w:tabs>
                <w:spacing w:beforeLines="50" w:before="156" w:afterLines="50" w:after="156" w:line="360" w:lineRule="exact"/>
                <w:ind w:left="0" w:firstLineChars="200" w:firstLine="420"/>
                <w:rPr>
                  <w:bCs/>
                </w:rPr>
              </w:pPr>
              <w:r w:rsidRPr="00E77029">
                <w:rPr>
                  <w:bCs/>
                </w:rPr>
                <w:t>本集团管理层能够定期评价该组成部分的经营成果，以决定向其配置资源、评价其业绩；</w:t>
              </w:r>
            </w:p>
            <w:p w14:paraId="32F10AA7" w14:textId="77777777" w:rsidR="007E7472" w:rsidRPr="00E77029" w:rsidRDefault="00EC1269" w:rsidP="00162493">
              <w:pPr>
                <w:numPr>
                  <w:ilvl w:val="0"/>
                  <w:numId w:val="59"/>
                </w:numPr>
                <w:tabs>
                  <w:tab w:val="left" w:pos="993"/>
                </w:tabs>
                <w:spacing w:beforeLines="50" w:before="156" w:afterLines="50" w:after="156" w:line="360" w:lineRule="exact"/>
                <w:ind w:left="0" w:firstLineChars="200" w:firstLine="420"/>
                <w:rPr>
                  <w:bCs/>
                </w:rPr>
              </w:pPr>
              <w:r w:rsidRPr="00E77029">
                <w:rPr>
                  <w:bCs/>
                </w:rPr>
                <w:t>本集团能够取得该组成部分的财务状况、经营成果和现金流量等有关会计信息。</w:t>
              </w:r>
            </w:p>
            <w:p w14:paraId="64326E20" w14:textId="77777777" w:rsidR="007E7472" w:rsidRPr="00E77029" w:rsidRDefault="00EC1269" w:rsidP="00162493">
              <w:pPr>
                <w:pStyle w:val="3"/>
                <w:numPr>
                  <w:ilvl w:val="0"/>
                  <w:numId w:val="46"/>
                </w:numPr>
                <w:rPr>
                  <w:szCs w:val="21"/>
                </w:rPr>
              </w:pPr>
              <w:r w:rsidRPr="00E77029">
                <w:rPr>
                  <w:szCs w:val="21"/>
                </w:rPr>
                <w:t>套期业务的处理方法</w:t>
              </w:r>
            </w:p>
            <w:p w14:paraId="7DB7AA12" w14:textId="77777777" w:rsidR="007E7472" w:rsidRPr="00E77029" w:rsidRDefault="00EC1269">
              <w:pPr>
                <w:spacing w:beforeLines="50" w:before="156" w:afterLines="50" w:after="156" w:line="360" w:lineRule="exact"/>
                <w:ind w:firstLineChars="200" w:firstLine="420"/>
                <w:jc w:val="both"/>
              </w:pPr>
              <w:r w:rsidRPr="00E77029">
                <w:t>本集团使用衍生金融工具如远期外汇合约、利率掉期合约等对与外汇相关的风险及利率波动风险进行现金流量套期。</w:t>
              </w:r>
            </w:p>
            <w:p w14:paraId="0A047CB0" w14:textId="77777777" w:rsidR="007E7472" w:rsidRPr="00E77029" w:rsidRDefault="00EC1269">
              <w:pPr>
                <w:spacing w:beforeLines="50" w:before="156" w:afterLines="50" w:after="156" w:line="360" w:lineRule="exact"/>
                <w:ind w:firstLineChars="200" w:firstLine="420"/>
                <w:jc w:val="both"/>
              </w:pPr>
              <w:r w:rsidRPr="00E77029">
                <w:t>本集团在套期交易开始时记录套期工具和被套保项目之间的套期关系，包括风险管理目标及各种套期交易策略。本集团在套期开始日及后续期间内会定期地评估套期交易中的衍生工具是否持续有效对冲被套期项目的现金流量。本集团以合同主要条款比较法作套期有效性预期性评价。</w:t>
              </w:r>
            </w:p>
            <w:p w14:paraId="6930210F" w14:textId="77777777" w:rsidR="007E7472" w:rsidRPr="00E77029" w:rsidRDefault="00EC1269">
              <w:pPr>
                <w:spacing w:beforeLines="50" w:before="156" w:afterLines="50" w:after="156" w:line="360" w:lineRule="exact"/>
                <w:ind w:firstLineChars="200" w:firstLine="420"/>
                <w:jc w:val="both"/>
              </w:pPr>
              <w:r w:rsidRPr="00E77029">
                <w:lastRenderedPageBreak/>
                <w:t>套期交易的应收应付净额自套期开始时起作为资产或负债列入资产负债表中。相应的未实现利得和损失计入权益中的套期储备。远期外汇合约和利率掉期合约公允价值的变化通过套期储备予以确认直至预期交易发生。一旦预期交易发生，累计在权益中的余额将计入到利润表中或被确认为与其相关的资产成本的一部分。</w:t>
              </w:r>
            </w:p>
            <w:p w14:paraId="76713455" w14:textId="77777777" w:rsidR="007E7472" w:rsidRPr="00E77029" w:rsidRDefault="00EC1269">
              <w:pPr>
                <w:spacing w:beforeLines="50" w:before="156" w:afterLines="50" w:after="156" w:line="360" w:lineRule="exact"/>
                <w:ind w:firstLineChars="200" w:firstLine="420"/>
                <w:jc w:val="both"/>
                <w:rPr>
                  <w:color w:val="333399"/>
                </w:rPr>
              </w:pPr>
              <w:r w:rsidRPr="00E77029">
                <w:t>当套期工具到期或被出售、终止或行使，或不再符合套期会计的条件，套期会计不再适用。在股东权益中确认的套期工具的累计利得或损失仍被计入权益中，并在交易最终发生时予以确认。如果套期交易预期不再发生，则在股东权益中记录的累计利得和损失就被转到当期损益。</w:t>
              </w:r>
            </w:p>
          </w:sdtContent>
        </w:sdt>
        <w:p w14:paraId="6FF192B1" w14:textId="77777777" w:rsidR="007E7472" w:rsidRPr="00E77029" w:rsidRDefault="00C8327E"/>
      </w:sdtContent>
    </w:sdt>
    <w:bookmarkEnd w:id="156" w:displacedByCustomXml="next"/>
    <w:sdt>
      <w:sdtPr>
        <w:rPr>
          <w:rFonts w:ascii="宋体" w:hAnsi="宋体" w:cstheme="minorBidi" w:hint="eastAsia"/>
          <w:b w:val="0"/>
          <w:bCs w:val="0"/>
          <w:kern w:val="0"/>
          <w:szCs w:val="21"/>
        </w:rPr>
        <w:alias w:val="模块:其他重要的会计政策和会计估计"/>
        <w:tag w:val="_GBC_208440ea3a0f4676970b3672c3cdf96f"/>
        <w:id w:val="702291436"/>
        <w:lock w:val="sdtLocked"/>
        <w:placeholder>
          <w:docPart w:val="GBC22222222222222222222222222222"/>
        </w:placeholder>
      </w:sdtPr>
      <w:sdtEndPr>
        <w:rPr>
          <w:rFonts w:cs="Times New Roman"/>
        </w:rPr>
      </w:sdtEndPr>
      <w:sdtContent>
        <w:p w14:paraId="21958D35" w14:textId="77777777" w:rsidR="007E7472" w:rsidRPr="00E77029" w:rsidRDefault="00EC1269" w:rsidP="00162493">
          <w:pPr>
            <w:pStyle w:val="3"/>
            <w:numPr>
              <w:ilvl w:val="0"/>
              <w:numId w:val="46"/>
            </w:numPr>
            <w:rPr>
              <w:szCs w:val="21"/>
            </w:rPr>
          </w:pPr>
          <w:r w:rsidRPr="00E77029">
            <w:rPr>
              <w:rFonts w:hint="eastAsia"/>
              <w:szCs w:val="21"/>
            </w:rPr>
            <w:t>其他重要的会计政策和会计估计</w:t>
          </w:r>
        </w:p>
        <w:sdt>
          <w:sdtPr>
            <w:alias w:val="是否适用：其他重要的会计政策和会计估计[双击切换]"/>
            <w:tag w:val="_GBC_b4281f4538de4623a036697d3903e1f8"/>
            <w:id w:val="-612206858"/>
            <w:lock w:val="sdtLocked"/>
            <w:placeholder>
              <w:docPart w:val="GBC22222222222222222222222222222"/>
            </w:placeholder>
          </w:sdtPr>
          <w:sdtEndPr/>
          <w:sdtContent>
            <w:p w14:paraId="0156FC4E" w14:textId="77777777" w:rsidR="007E7472" w:rsidRPr="00E77029" w:rsidRDefault="00EC1269">
              <w:r w:rsidRPr="00E77029">
                <w:fldChar w:fldCharType="begin"/>
              </w:r>
              <w:r w:rsidRPr="00E77029">
                <w:rPr>
                  <w:rFonts w:hint="eastAsia"/>
                </w:rPr>
                <w:instrText xml:space="preserve"> MACROBUTTON  SnrToggleCheckbox √适用 </w:instrText>
              </w:r>
              <w:r w:rsidRPr="00E77029">
                <w:fldChar w:fldCharType="end"/>
              </w:r>
              <w:r w:rsidRPr="00E77029">
                <w:fldChar w:fldCharType="begin"/>
              </w:r>
              <w:r w:rsidRPr="00E77029">
                <w:rPr>
                  <w:rFonts w:hint="eastAsia"/>
                </w:rPr>
                <w:instrText xml:space="preserve"> MACROBUTTON  SnrToggleCheckbox □不适用 </w:instrText>
              </w:r>
              <w:r w:rsidRPr="00E77029">
                <w:fldChar w:fldCharType="end"/>
              </w:r>
            </w:p>
          </w:sdtContent>
        </w:sdt>
        <w:sdt>
          <w:sdtPr>
            <w:rPr>
              <w:rFonts w:hint="eastAsia"/>
            </w:rPr>
            <w:alias w:val="其他主要会计政策会计估计和会计报表的编制方法"/>
            <w:tag w:val="_GBC_5cf318d9d3d148c4af010cce77bc955d"/>
            <w:id w:val="685482356"/>
            <w:lock w:val="sdtLocked"/>
            <w:placeholder>
              <w:docPart w:val="GBC22222222222222222222222222222"/>
            </w:placeholder>
          </w:sdtPr>
          <w:sdtEndPr/>
          <w:sdtContent>
            <w:p w14:paraId="0119EBD8" w14:textId="77777777" w:rsidR="007E7472" w:rsidRPr="00E77029" w:rsidRDefault="00EC1269">
              <w:pPr>
                <w:spacing w:beforeLines="50" w:before="156" w:afterLines="50" w:after="156" w:line="360" w:lineRule="exact"/>
                <w:ind w:firstLineChars="200" w:firstLine="420"/>
                <w:jc w:val="both"/>
              </w:pPr>
              <w:r w:rsidRPr="00E77029">
                <w:rPr>
                  <w:rFonts w:hint="eastAsia"/>
                </w:rPr>
                <w:t>本集团在运用上述的会计政策过程中，由于经营活动内在的不确定性，本集团需要对无法准确计量的报表项目的账面价值进行判断、估计和假设。这些判断、估计和假设是基于本公司管理层过去的历史经验，并在考虑其他相关因素的基础上作出的。实际的结果可能与本公司的估计存在差异。</w:t>
              </w:r>
            </w:p>
            <w:p w14:paraId="5A797717" w14:textId="77777777" w:rsidR="007E7472" w:rsidRPr="00E77029" w:rsidRDefault="00EC1269">
              <w:pPr>
                <w:spacing w:beforeLines="50" w:before="156" w:afterLines="50" w:after="156" w:line="360" w:lineRule="exact"/>
                <w:ind w:firstLineChars="200" w:firstLine="420"/>
                <w:jc w:val="both"/>
              </w:pPr>
              <w:r w:rsidRPr="00E77029">
                <w:rPr>
                  <w:rFonts w:hint="eastAsia"/>
                </w:rPr>
                <w:t>本集团对前述判断、估计和假设在持续经营的基础上进行定期复核，会计估计的变更仅影响变更当期的，其影响数在变更当期予以确认；既影响变更当期又影响未来期间的，其影响数在变更当期和未来期间予以确认。</w:t>
              </w:r>
            </w:p>
            <w:p w14:paraId="00DA867C" w14:textId="77777777" w:rsidR="007E7472" w:rsidRPr="00E77029" w:rsidRDefault="00EC1269">
              <w:pPr>
                <w:spacing w:beforeLines="50" w:before="156" w:afterLines="50" w:after="156" w:line="360" w:lineRule="exact"/>
                <w:ind w:firstLineChars="200" w:firstLine="420"/>
                <w:jc w:val="both"/>
              </w:pPr>
              <w:r w:rsidRPr="00E77029">
                <w:rPr>
                  <w:rFonts w:hint="eastAsia"/>
                </w:rPr>
                <w:t>资产负债表日，会计估计中很可能导致未来期间资产、负债账面价值作出重大调整的关键假设和不确定性主要有：</w:t>
              </w:r>
            </w:p>
            <w:p w14:paraId="5A65F519" w14:textId="77777777" w:rsidR="007E7472" w:rsidRPr="00E77029" w:rsidRDefault="00EC1269">
              <w:pPr>
                <w:spacing w:beforeLines="50" w:before="156" w:afterLines="50" w:after="156" w:line="360" w:lineRule="exact"/>
                <w:ind w:firstLineChars="200" w:firstLine="420"/>
                <w:jc w:val="both"/>
              </w:pPr>
              <w:r w:rsidRPr="00E77029">
                <w:rPr>
                  <w:rFonts w:hint="eastAsia"/>
                </w:rPr>
                <w:t>（1）折旧和摊销</w:t>
              </w:r>
            </w:p>
            <w:p w14:paraId="1478A6D0" w14:textId="77777777" w:rsidR="007E7472" w:rsidRDefault="00EC1269">
              <w:pPr>
                <w:spacing w:beforeLines="50" w:before="156" w:afterLines="50" w:after="156" w:line="360" w:lineRule="exact"/>
                <w:ind w:firstLineChars="200" w:firstLine="420"/>
                <w:jc w:val="both"/>
              </w:pPr>
              <w:r>
                <w:rPr>
                  <w:rFonts w:hint="eastAsia"/>
                </w:rPr>
                <w:t>本集团对固定资产和无形资产在使用寿命内按直线法或产量法计提折旧和摊销。本集团定期审阅使用寿命和经济可开采煤炭储量，以决定将计入每个报告期的折旧和摊销费用数额。使用寿命是本集团根据对同类资产的以往经验并结合预期的技术改变而确定。经济可开采的煤炭储量是指本集团根据实测具有开采经济价值的煤炭资源而确定，如果以前的估计发生重大变化，则会在未来期间对折旧和摊销费用进行调整。</w:t>
              </w:r>
            </w:p>
            <w:p w14:paraId="73A439A0" w14:textId="77777777" w:rsidR="007E7472" w:rsidRDefault="00EC1269">
              <w:pPr>
                <w:spacing w:beforeLines="50" w:before="156" w:afterLines="50" w:after="156" w:line="360" w:lineRule="exact"/>
                <w:ind w:firstLineChars="200" w:firstLine="420"/>
                <w:jc w:val="both"/>
              </w:pPr>
              <w:r>
                <w:rPr>
                  <w:rFonts w:hint="eastAsia"/>
                </w:rPr>
                <w:t>煤炭储量的估计涉及主观判断，因为煤炭储量的技术估计往往并不精确，仅为近似储量。经济可开采煤炭储量的估计会考虑各个煤矿最近的生产和技术资料，定期更新。此外，由于价格及成本水平逐年变更，经济可开采煤炭储量的估计也会出现变动，存在技术估计固有的不精确性。</w:t>
              </w:r>
            </w:p>
            <w:p w14:paraId="7E439493" w14:textId="77777777" w:rsidR="007E7472" w:rsidRDefault="00EC1269">
              <w:pPr>
                <w:spacing w:beforeLines="50" w:before="156" w:afterLines="50" w:after="156" w:line="360" w:lineRule="exact"/>
                <w:ind w:firstLineChars="200" w:firstLine="420"/>
                <w:jc w:val="both"/>
              </w:pPr>
              <w:r>
                <w:rPr>
                  <w:rFonts w:hint="eastAsia"/>
                </w:rPr>
                <w:t>（2）土地塌陷、复垦、重整及环保义务</w:t>
              </w:r>
            </w:p>
            <w:p w14:paraId="01A7C983" w14:textId="77777777" w:rsidR="007E7472" w:rsidRDefault="00EC1269">
              <w:pPr>
                <w:spacing w:beforeLines="50" w:before="156" w:afterLines="50" w:after="156" w:line="360" w:lineRule="exact"/>
                <w:ind w:firstLineChars="200" w:firstLine="420"/>
                <w:jc w:val="both"/>
              </w:pPr>
              <w:r>
                <w:rPr>
                  <w:rFonts w:hint="eastAsia"/>
                </w:rPr>
                <w:t>公司因开采地下煤矿需要搬迁地面的村庄，以及因开采煤矿可能导致土地塌陷或影响环境，而应承担村庄搬迁费用、地面农作物（或附着物）赔偿、土地复原、重整及环境治理等各项义务。其履行很可能导致资源流出，在该义务的金额能够可靠计量时，确认为一项复垦环保义务。取决于其与未来生产活动的相关和估计确定的可靠程度，针对流动与非流动复垦准备相应确认当期损益或计入相关资产。</w:t>
              </w:r>
            </w:p>
            <w:p w14:paraId="1CEA4EAE" w14:textId="77777777" w:rsidR="007E7472" w:rsidRDefault="00EC1269">
              <w:pPr>
                <w:spacing w:beforeLines="50" w:before="156" w:afterLines="50" w:after="156" w:line="360" w:lineRule="exact"/>
                <w:ind w:firstLineChars="200" w:firstLine="420"/>
                <w:jc w:val="both"/>
              </w:pPr>
              <w:r>
                <w:rPr>
                  <w:rFonts w:hint="eastAsia"/>
                </w:rPr>
                <w:lastRenderedPageBreak/>
                <w:t>土地塌陷、复垦、重整及环保义务由管理层考虑现有的相关法规后根据其以往经验及对未来支出的最佳估计而确定，如货币时间价值的影响重大，将对预期未来现金流出折现至其净现值。随着目前的煤炭开采活动的进行，对未来土地及环境的影响变得明显的情况下，有关土地塌陷、复垦、重整及环保费成本的估计可能须不时修订。</w:t>
              </w:r>
            </w:p>
            <w:p w14:paraId="63D92381" w14:textId="77777777" w:rsidR="007E7472" w:rsidRDefault="00EC1269">
              <w:pPr>
                <w:spacing w:beforeLines="50" w:before="156" w:afterLines="50" w:after="156" w:line="360" w:lineRule="exact"/>
                <w:ind w:firstLineChars="200" w:firstLine="420"/>
                <w:jc w:val="both"/>
              </w:pPr>
              <w:r>
                <w:rPr>
                  <w:rFonts w:hint="eastAsia"/>
                </w:rPr>
                <w:t>（3）非金融长期资产减值</w:t>
              </w:r>
            </w:p>
            <w:p w14:paraId="1C33FD58" w14:textId="77777777" w:rsidR="007E7472" w:rsidRDefault="00EC1269">
              <w:pPr>
                <w:spacing w:beforeLines="50" w:before="156" w:afterLines="50" w:after="156" w:line="360" w:lineRule="exact"/>
                <w:ind w:firstLineChars="200" w:firstLine="420"/>
                <w:jc w:val="both"/>
              </w:pPr>
              <w:r>
                <w:rPr>
                  <w:rFonts w:hint="eastAsia"/>
                </w:rPr>
                <w:t>如本附注“五、33长期资产减值”所述，本集团在资产负债表日对非金融资产进行减值评估，以确定资产可收回金额是否下跌至低于其账面价值。如果情况显示该资产的账面价值超过其可收回金额，其差额确认为减值损失。</w:t>
              </w:r>
            </w:p>
            <w:p w14:paraId="118AE34D" w14:textId="77777777" w:rsidR="007E7472" w:rsidRDefault="00EC1269">
              <w:pPr>
                <w:spacing w:beforeLines="50" w:before="156" w:afterLines="50" w:after="156" w:line="360" w:lineRule="exact"/>
                <w:ind w:firstLineChars="200" w:firstLine="420"/>
                <w:jc w:val="both"/>
              </w:pPr>
              <w:r>
                <w:rPr>
                  <w:rFonts w:hint="eastAsia"/>
                </w:rPr>
                <w:t>可收回金额是资产（或资产组）的公允价值减去处置费用后的净额与资产（或资产组）预计未来现金流量的现值两者之间的较高者。在预计未来现金流量现值时，需要对该资产（或资产组）未来可使用寿命、生产产品的产量、售价、经营成本、资本性支出以及计算现值时使用的折现率等做出重大判断。本集团在估计可收回金额时会采用所有能够获得的相关资料，根据过往经验及对市场发展之预测来估计，可能与之后期间实际结果不同。</w:t>
              </w:r>
            </w:p>
            <w:p w14:paraId="183EBBA5" w14:textId="77777777" w:rsidR="007E7472" w:rsidRDefault="00EC1269">
              <w:pPr>
                <w:spacing w:beforeLines="50" w:before="156" w:afterLines="50" w:after="156" w:line="360" w:lineRule="exact"/>
                <w:ind w:firstLineChars="200" w:firstLine="420"/>
                <w:jc w:val="both"/>
              </w:pPr>
              <w:r>
                <w:rPr>
                  <w:rFonts w:hint="eastAsia"/>
                </w:rPr>
                <w:t>（4）金融资产的分类</w:t>
              </w:r>
            </w:p>
            <w:p w14:paraId="39B16509" w14:textId="77777777" w:rsidR="007E7472" w:rsidRDefault="00EC1269">
              <w:pPr>
                <w:spacing w:beforeLines="50" w:before="156" w:afterLines="50" w:after="156" w:line="360" w:lineRule="exact"/>
                <w:ind w:firstLineChars="200" w:firstLine="420"/>
                <w:jc w:val="both"/>
              </w:pPr>
              <w:r>
                <w:rPr>
                  <w:rFonts w:hint="eastAsia"/>
                </w:rPr>
                <w:t>本集团在确定金融资产的分类时涉及的重大判断包括业务模式及合同现金流量特征的分析等。</w:t>
              </w:r>
            </w:p>
            <w:p w14:paraId="657DD7AB" w14:textId="77777777" w:rsidR="007E7472" w:rsidRDefault="00EC1269">
              <w:pPr>
                <w:spacing w:beforeLines="50" w:before="156" w:afterLines="50" w:after="156" w:line="360" w:lineRule="exact"/>
                <w:ind w:firstLineChars="200" w:firstLine="420"/>
                <w:jc w:val="both"/>
              </w:pPr>
              <w:r>
                <w:rPr>
                  <w:rFonts w:hint="eastAsia"/>
                </w:rPr>
                <w:t>本集团在金融资产组合的层次上确定管理金融资产的业务模式，考虑的因素包括评价和向关键管理人员报告金融资产业绩的方式、影响金融资产业绩的风险及其管理方式、以及相关业务管理人员获得报酬的方式等。</w:t>
              </w:r>
            </w:p>
            <w:p w14:paraId="27C7AD50" w14:textId="77777777" w:rsidR="007E7472" w:rsidRDefault="00EC1269">
              <w:pPr>
                <w:spacing w:beforeLines="50" w:before="156" w:afterLines="50" w:after="156" w:line="360" w:lineRule="exact"/>
                <w:ind w:firstLineChars="200" w:firstLine="420"/>
                <w:jc w:val="both"/>
              </w:pPr>
              <w:r>
                <w:rPr>
                  <w:rFonts w:hint="eastAsia"/>
                </w:rPr>
                <w:t>本集团在评估金融资产的合同现金流量是否与基本借贷安排相一致时，存在以下主要判断：本金是否可能因提前还款等原因导致在存续期内的时间分布或者金额发生变动；利息是否仅包括货币时间价值、信用风险、其他基本借贷风险以及与成本和利润的对价。例如，提前偿付的金额是否仅反映了尚未支付的本金及以未偿付本金为基础的利息，以及因提前终止合同而支付的合理补偿。</w:t>
              </w:r>
            </w:p>
            <w:p w14:paraId="3250A902" w14:textId="77777777" w:rsidR="007E7472" w:rsidRDefault="00EC1269">
              <w:pPr>
                <w:spacing w:beforeLines="50" w:before="156" w:afterLines="50" w:after="156" w:line="360" w:lineRule="exact"/>
                <w:ind w:firstLineChars="200" w:firstLine="420"/>
                <w:jc w:val="both"/>
              </w:pPr>
              <w:r>
                <w:rPr>
                  <w:rFonts w:hint="eastAsia"/>
                </w:rPr>
                <w:t>（5）预期信用损失的计量</w:t>
              </w:r>
            </w:p>
            <w:p w14:paraId="5B708E7D" w14:textId="77777777" w:rsidR="007E7472" w:rsidRDefault="00EC1269">
              <w:pPr>
                <w:spacing w:beforeLines="50" w:before="156" w:afterLines="50" w:after="156" w:line="360" w:lineRule="exact"/>
                <w:ind w:firstLineChars="200" w:firstLine="420"/>
                <w:jc w:val="both"/>
              </w:pPr>
              <w:r>
                <w:rPr>
                  <w:rFonts w:hint="eastAsia"/>
                </w:rPr>
                <w:t>本集团对以摊余成本计量的金融资产、以公允价值计量且其变动计入其他综合收益的债务工具投资、应收融资租赁款、应收账款、合同资产以及信用承诺，使用预期信用损失模型计量其减值准备；其中涉及关键定义、参数和假设的建立和定期复核，例如对未来的宏观经济情况和债务人的信用行为的估计(例如，客户违约的可能性及相应损失)。对预期信用损失的计量存在许多重大判断，例如：将具有类似信用风险特征的业务划入同一个组合，选择恰当的计量模型，并确定计量相关的关键参数；信用风险显著增加、违约和已发生信用减值的判断标准；用于前瞻性计量的经济指标、经济情景及其权重的采用。</w:t>
              </w:r>
            </w:p>
            <w:p w14:paraId="0817264F" w14:textId="77777777" w:rsidR="007E7472" w:rsidRDefault="00EC1269">
              <w:pPr>
                <w:spacing w:beforeLines="50" w:before="156" w:afterLines="50" w:after="156" w:line="360" w:lineRule="exact"/>
                <w:ind w:firstLineChars="200" w:firstLine="420"/>
                <w:jc w:val="both"/>
              </w:pPr>
              <w:r>
                <w:rPr>
                  <w:rFonts w:hint="eastAsia"/>
                </w:rPr>
                <w:t>（6）金融工具的公允价值</w:t>
              </w:r>
            </w:p>
            <w:p w14:paraId="7B255074" w14:textId="77777777" w:rsidR="007E7472" w:rsidRDefault="00EC1269">
              <w:pPr>
                <w:spacing w:beforeLines="50" w:before="156" w:afterLines="50" w:after="156" w:line="360" w:lineRule="exact"/>
                <w:ind w:firstLineChars="200" w:firstLine="420"/>
                <w:jc w:val="both"/>
              </w:pPr>
              <w:r>
                <w:rPr>
                  <w:rFonts w:hint="eastAsia"/>
                </w:rPr>
                <w:lastRenderedPageBreak/>
                <w:t>对于不存在活跃市场的金融工具，本公司采用估值技术确定其公允价值。估值技术包括：使用熟悉情况的交易各方自愿进行的近期公平市场交易(若可获得)，参照本质相同的其他金融工具的现行公允价值，折现现金流量分析和期权定价模型。在可行的情况下，估值技术尽可能使用市场参数。然而，当缺乏市场参数时，管理层需就自身和交易对手的信用风险、市场波动率、相关性等方面作出估计。这些相关假设的变化会对金融工具的公允价值产生影响。</w:t>
              </w:r>
            </w:p>
            <w:p w14:paraId="618C7557" w14:textId="77777777" w:rsidR="007E7472" w:rsidRDefault="00EC1269">
              <w:pPr>
                <w:spacing w:beforeLines="50" w:before="156" w:afterLines="50" w:after="156" w:line="360" w:lineRule="exact"/>
                <w:ind w:firstLineChars="200" w:firstLine="420"/>
                <w:jc w:val="both"/>
              </w:pPr>
              <w:r>
                <w:rPr>
                  <w:rFonts w:hint="eastAsia"/>
                </w:rPr>
                <w:t>（7）企业合并中采用的公允价值</w:t>
              </w:r>
            </w:p>
            <w:p w14:paraId="647E668A" w14:textId="77777777" w:rsidR="007E7472" w:rsidRDefault="00EC1269">
              <w:pPr>
                <w:spacing w:beforeLines="50" w:before="156" w:afterLines="50" w:after="156" w:line="360" w:lineRule="exact"/>
                <w:ind w:firstLineChars="200" w:firstLine="420"/>
                <w:jc w:val="both"/>
              </w:pPr>
              <w:r>
                <w:rPr>
                  <w:rFonts w:hint="eastAsia"/>
                </w:rPr>
                <w:t>非同一控制下企业合并中所取得的被购买方的可辨认资产、负债在收购日的公允价值计量，本集团采用了估值模型，包括使用收益现值法评估探矿权资产、使用重置成本法评估房屋建筑物和设备、使用市场法评估土地等。未来现金流量预测中涉及关键假设及参数，包括投产日期的假设、矿权资产剩余可使用年限的估计、矿产售价的估计、折现率的估计等。</w:t>
              </w:r>
            </w:p>
            <w:p w14:paraId="6030B777" w14:textId="77777777" w:rsidR="007E7472" w:rsidRDefault="00EC1269">
              <w:pPr>
                <w:spacing w:beforeLines="50" w:before="156" w:afterLines="50" w:after="156" w:line="360" w:lineRule="exact"/>
                <w:ind w:firstLineChars="200" w:firstLine="420"/>
                <w:jc w:val="both"/>
              </w:pPr>
              <w:r>
                <w:rPr>
                  <w:rFonts w:hint="eastAsia"/>
                </w:rPr>
                <w:t>同一控制下企业合并或有对价的公允价值初始计量，本公司采用了估算模型，包括影响业绩因素的假设、业绩对赌期间实现利润的金额和概率估计，以及折现率的估计。</w:t>
              </w:r>
            </w:p>
            <w:p w14:paraId="47FB2952" w14:textId="77777777" w:rsidR="007E7472" w:rsidRDefault="00EC1269">
              <w:pPr>
                <w:spacing w:beforeLines="50" w:before="156" w:afterLines="50" w:after="156" w:line="360" w:lineRule="exact"/>
                <w:ind w:firstLineChars="200" w:firstLine="420"/>
                <w:jc w:val="both"/>
              </w:pPr>
              <w:r>
                <w:rPr>
                  <w:rFonts w:hint="eastAsia"/>
                </w:rPr>
                <w:t>（8）税项</w:t>
              </w:r>
            </w:p>
            <w:p w14:paraId="096D0782" w14:textId="77777777" w:rsidR="007E7472" w:rsidRDefault="00EC1269">
              <w:pPr>
                <w:spacing w:beforeLines="50" w:before="156" w:afterLines="50" w:after="156" w:line="360" w:lineRule="exact"/>
                <w:ind w:firstLineChars="200" w:firstLine="420"/>
                <w:jc w:val="both"/>
              </w:pPr>
              <w:r>
                <w:rPr>
                  <w:rFonts w:hint="eastAsia"/>
                </w:rPr>
                <w:t>本公司在多个国家和地区缴纳多种税金，在正常经营活动中，很多交易和事项最终税务处理都存在不确定性。如果这些税务事项的最终认定结果与最初入账的金额存在差异，该差异将对作出上述最终认定期间的税金和金额产生影响。</w:t>
              </w:r>
            </w:p>
            <w:p w14:paraId="36C5BC1A" w14:textId="77777777" w:rsidR="007E7472" w:rsidRDefault="00EC1269">
              <w:pPr>
                <w:spacing w:beforeLines="50" w:before="156" w:afterLines="50" w:after="156" w:line="360" w:lineRule="exact"/>
                <w:ind w:firstLineChars="200" w:firstLine="420"/>
                <w:jc w:val="both"/>
              </w:pPr>
              <w:r>
                <w:rPr>
                  <w:rFonts w:hint="eastAsia"/>
                </w:rPr>
                <w:t>若管理层预计未来很有可能出现应纳税盈利，并可用作可抵销暂时性差异或税项亏损，则确认与该暂时性差异及税项亏损有关的递延所得税资产。当预计的金额与原先估计有差异，则该差异将会影响与估计改变的期间内递延所得税资产及税项的确认。若管理层预计未来无法抵消应纳税所得额，则对暂时性差异及税项亏损不确认相关的递延所得税资产。</w:t>
              </w:r>
            </w:p>
          </w:sdtContent>
        </w:sdt>
      </w:sdtContent>
    </w:sdt>
    <w:p w14:paraId="5ACDFBEC" w14:textId="77777777" w:rsidR="007E7472" w:rsidRDefault="00C8327E"/>
    <w:p w14:paraId="2B467BB4" w14:textId="77777777" w:rsidR="007E7472" w:rsidRDefault="00EC1269" w:rsidP="00162493">
      <w:pPr>
        <w:pStyle w:val="3"/>
        <w:numPr>
          <w:ilvl w:val="0"/>
          <w:numId w:val="46"/>
        </w:numPr>
      </w:pPr>
      <w:r>
        <w:rPr>
          <w:rFonts w:hint="eastAsia"/>
        </w:rPr>
        <w:t>重要</w:t>
      </w:r>
      <w:r>
        <w:t>会计政策</w:t>
      </w:r>
      <w:r>
        <w:rPr>
          <w:rFonts w:hint="eastAsia"/>
        </w:rPr>
        <w:t>和</w:t>
      </w:r>
      <w:r>
        <w:t>会计估计的变更</w:t>
      </w:r>
    </w:p>
    <w:p w14:paraId="4A04829B" w14:textId="77777777" w:rsidR="007E7472" w:rsidRDefault="00EC1269" w:rsidP="00162493">
      <w:pPr>
        <w:pStyle w:val="4"/>
        <w:numPr>
          <w:ilvl w:val="0"/>
          <w:numId w:val="60"/>
        </w:numPr>
      </w:pPr>
      <w:r>
        <w:rPr>
          <w:rFonts w:hint="eastAsia"/>
        </w:rPr>
        <w:t>重要</w:t>
      </w:r>
      <w:r>
        <w:t>会计政策变更</w:t>
      </w:r>
    </w:p>
    <w:sdt>
      <w:sdtPr>
        <w:alias w:val="是否适用：重要会计政策变更[双击切换]"/>
        <w:tag w:val="_GBC_f1ebc580f60c4d30a80747190ffbec4f"/>
        <w:id w:val="657188168"/>
        <w:lock w:val="sdtLocked"/>
        <w:placeholder>
          <w:docPart w:val="GBC22222222222222222222222222222"/>
        </w:placeholder>
      </w:sdtPr>
      <w:sdtEndPr/>
      <w:sdtContent>
        <w:p w14:paraId="2A134276" w14:textId="77777777" w:rsidR="007E7472" w:rsidRDefault="00EC1269">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3FE96DA7" w14:textId="77777777" w:rsidR="007E7472" w:rsidRDefault="00C8327E"/>
    <w:p w14:paraId="79206FC3" w14:textId="77777777" w:rsidR="007E7472" w:rsidRDefault="00EC1269" w:rsidP="00162493">
      <w:pPr>
        <w:pStyle w:val="4"/>
        <w:numPr>
          <w:ilvl w:val="0"/>
          <w:numId w:val="60"/>
        </w:numPr>
      </w:pPr>
      <w:r>
        <w:rPr>
          <w:rFonts w:hint="eastAsia"/>
        </w:rPr>
        <w:t>重要</w:t>
      </w:r>
      <w:r>
        <w:t>会计估计变更</w:t>
      </w:r>
    </w:p>
    <w:sdt>
      <w:sdtPr>
        <w:alias w:val="是否适用：重要会计估计变更[双击切换]"/>
        <w:tag w:val="_GBC_902f08bd36774074945386d2d1f9b67d"/>
        <w:id w:val="1877353789"/>
        <w:lock w:val="sdtLocked"/>
        <w:placeholder>
          <w:docPart w:val="GBC22222222222222222222222222222"/>
        </w:placeholder>
      </w:sdtPr>
      <w:sdtEndPr/>
      <w:sdtContent>
        <w:p w14:paraId="6C6C92B5" w14:textId="77777777" w:rsidR="007E7472" w:rsidRDefault="00EC1269">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1C452829" w14:textId="77777777" w:rsidR="007E7472" w:rsidRDefault="00C8327E"/>
    <w:bookmarkStart w:id="157" w:name="_Hlk10465969" w:displacedByCustomXml="next"/>
    <w:bookmarkEnd w:id="157" w:displacedByCustomXml="next"/>
    <w:bookmarkStart w:id="158" w:name="_Hlk24100246" w:displacedByCustomXml="next"/>
    <w:bookmarkStart w:id="159" w:name="_Hlk137050657" w:displacedByCustomXml="next"/>
    <w:sdt>
      <w:sdtPr>
        <w:rPr>
          <w:rFonts w:ascii="宋体" w:hAnsi="宋体" w:cs="宋体"/>
          <w:b w:val="0"/>
          <w:bCs w:val="0"/>
          <w:kern w:val="0"/>
          <w:sz w:val="20"/>
          <w:szCs w:val="21"/>
        </w:rPr>
        <w:alias w:val="选项模块:首次执行新金融工具准则、新收入准则、新租赁准则调整首次执行当年年初财务报表相关项目情况"/>
        <w:tag w:val="_SEC_a9815fd707d7490aa4f57a92594115cf"/>
        <w:id w:val="-1205705515"/>
        <w:lock w:val="sdtLocked"/>
        <w:placeholder>
          <w:docPart w:val="GBC22222222222222222222222222222"/>
        </w:placeholder>
      </w:sdtPr>
      <w:sdtEndPr>
        <w:rPr>
          <w:rFonts w:asciiTheme="minorEastAsia" w:eastAsiaTheme="minorEastAsia" w:hAnsiTheme="minorEastAsia"/>
        </w:rPr>
      </w:sdtEndPr>
      <w:sdtContent>
        <w:p w14:paraId="242270DB" w14:textId="77777777" w:rsidR="007E7472" w:rsidRPr="00E77029" w:rsidRDefault="00EC1269" w:rsidP="00162493">
          <w:pPr>
            <w:pStyle w:val="4"/>
            <w:numPr>
              <w:ilvl w:val="0"/>
              <w:numId w:val="60"/>
            </w:numPr>
            <w:rPr>
              <w:rFonts w:asciiTheme="minorEastAsia" w:eastAsiaTheme="minorEastAsia" w:hAnsiTheme="minorEastAsia"/>
            </w:rPr>
          </w:pPr>
          <w:r w:rsidRPr="00E77029">
            <w:rPr>
              <w:rFonts w:asciiTheme="minorEastAsia" w:eastAsiaTheme="minorEastAsia" w:hAnsiTheme="minorEastAsia"/>
            </w:rPr>
            <w:t>2023年</w:t>
          </w:r>
          <w:r w:rsidRPr="00E77029">
            <w:rPr>
              <w:rFonts w:asciiTheme="minorEastAsia" w:eastAsiaTheme="minorEastAsia" w:hAnsiTheme="minorEastAsia" w:hint="eastAsia"/>
            </w:rPr>
            <w:t>起首次执行新会计准则或准则解释等涉及调整首次执行当年年初的财务报表</w:t>
          </w:r>
        </w:p>
        <w:sdt>
          <w:sdtPr>
            <w:rPr>
              <w:rFonts w:asciiTheme="minorEastAsia" w:eastAsiaTheme="minorEastAsia" w:hAnsiTheme="minorEastAsia" w:hint="eastAsia"/>
            </w:rPr>
            <w:alias w:val="是否适用：首次执行新金融工具准则或新收入准则调整首次执行当年年初财务报表相关项目情况[双击切换]"/>
            <w:tag w:val="_GBC_8608c1ec447d48978e05546e78cb2ffc"/>
            <w:id w:val="-550461545"/>
            <w:lock w:val="sdtLocked"/>
            <w:placeholder>
              <w:docPart w:val="GBC22222222222222222222222222222"/>
            </w:placeholder>
          </w:sdtPr>
          <w:sdtEndPr>
            <w:rPr>
              <w:sz w:val="20"/>
              <w:szCs w:val="20"/>
            </w:rPr>
          </w:sdtEndPr>
          <w:sdtContent>
            <w:p w14:paraId="585051BB" w14:textId="77777777" w:rsidR="007E7472" w:rsidRPr="00E77029" w:rsidRDefault="00EC1269">
              <w:pPr>
                <w:rPr>
                  <w:rFonts w:asciiTheme="minorEastAsia" w:eastAsiaTheme="minorEastAsia" w:hAnsiTheme="minorEastAsia"/>
                </w:rPr>
              </w:pPr>
              <w:r w:rsidRPr="00E77029">
                <w:rPr>
                  <w:rFonts w:asciiTheme="minorEastAsia" w:eastAsiaTheme="minorEastAsia" w:hAnsiTheme="minorEastAsia"/>
                </w:rPr>
                <w:fldChar w:fldCharType="begin"/>
              </w:r>
              <w:r w:rsidRPr="00E77029">
                <w:rPr>
                  <w:rFonts w:asciiTheme="minorEastAsia" w:eastAsiaTheme="minorEastAsia" w:hAnsiTheme="minorEastAsia" w:hint="eastAsia"/>
                </w:rPr>
                <w:instrText xml:space="preserve"> MACROBUTTON  SnrToggleCheckbox □适用 </w:instrText>
              </w:r>
              <w:r w:rsidRPr="00E77029">
                <w:rPr>
                  <w:rFonts w:asciiTheme="minorEastAsia" w:eastAsiaTheme="minorEastAsia" w:hAnsiTheme="minorEastAsia"/>
                </w:rPr>
                <w:fldChar w:fldCharType="end"/>
              </w:r>
              <w:r w:rsidRPr="00E77029">
                <w:rPr>
                  <w:rFonts w:asciiTheme="minorEastAsia" w:eastAsiaTheme="minorEastAsia" w:hAnsiTheme="minorEastAsia"/>
                </w:rPr>
                <w:fldChar w:fldCharType="begin"/>
              </w:r>
              <w:r w:rsidRPr="00E77029">
                <w:rPr>
                  <w:rFonts w:asciiTheme="minorEastAsia" w:eastAsiaTheme="minorEastAsia" w:hAnsiTheme="minorEastAsia" w:hint="eastAsia"/>
                </w:rPr>
                <w:instrText xml:space="preserve"> MACROBUTTON  SnrToggleCheckbox √不适用 </w:instrText>
              </w:r>
              <w:r w:rsidRPr="00E77029">
                <w:rPr>
                  <w:rFonts w:asciiTheme="minorEastAsia" w:eastAsiaTheme="minorEastAsia" w:hAnsiTheme="minorEastAsia"/>
                </w:rPr>
                <w:fldChar w:fldCharType="end"/>
              </w:r>
            </w:p>
          </w:sdtContent>
        </w:sdt>
      </w:sdtContent>
    </w:sdt>
    <w:bookmarkEnd w:id="158"/>
    <w:p w14:paraId="1C5C5A69" w14:textId="77777777" w:rsidR="007E7472" w:rsidRDefault="00C8327E"/>
    <w:bookmarkEnd w:id="159" w:displacedByCustomXml="next"/>
    <w:sdt>
      <w:sdtPr>
        <w:rPr>
          <w:rFonts w:ascii="宋体" w:hAnsi="宋体" w:cstheme="minorBidi" w:hint="eastAsia"/>
          <w:b w:val="0"/>
          <w:bCs w:val="0"/>
          <w:kern w:val="0"/>
          <w:sz w:val="20"/>
          <w:szCs w:val="22"/>
        </w:rPr>
        <w:alias w:val="模块:其他"/>
        <w:tag w:val="_GBC_f9189f2c315949f484bded540173f7a8"/>
        <w:id w:val="702758767"/>
        <w:lock w:val="sdtLocked"/>
        <w:placeholder>
          <w:docPart w:val="GBC22222222222222222222222222222"/>
        </w:placeholder>
      </w:sdtPr>
      <w:sdtEndPr>
        <w:rPr>
          <w:rFonts w:cs="Times New Roman"/>
          <w:szCs w:val="21"/>
        </w:rPr>
      </w:sdtEndPr>
      <w:sdtContent>
        <w:p w14:paraId="1E054211" w14:textId="77777777" w:rsidR="007E7472" w:rsidRDefault="00EC1269" w:rsidP="00162493">
          <w:pPr>
            <w:pStyle w:val="3"/>
            <w:numPr>
              <w:ilvl w:val="0"/>
              <w:numId w:val="46"/>
            </w:numPr>
          </w:pPr>
          <w:r>
            <w:rPr>
              <w:rFonts w:hint="eastAsia"/>
            </w:rPr>
            <w:t>其他</w:t>
          </w:r>
        </w:p>
        <w:sdt>
          <w:sdtPr>
            <w:rPr>
              <w:rFonts w:hint="eastAsia"/>
            </w:rPr>
            <w:alias w:val="是否适用：公司主要会计政策、会计估计和前期差错的其他说明[双击切换]"/>
            <w:tag w:val="_GBC_6deb29735f384e0d9a2b017d4265a493"/>
            <w:id w:val="-1934418145"/>
            <w:lock w:val="sdtLocked"/>
            <w:placeholder>
              <w:docPart w:val="GBC22222222222222222222222222222"/>
            </w:placeholder>
          </w:sdtPr>
          <w:sdtEndPr/>
          <w:sdtContent>
            <w:p w14:paraId="4AC44A6F" w14:textId="77777777" w:rsidR="007E7472" w:rsidRDefault="00EC1269">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6768705E" w14:textId="77777777" w:rsidR="007E7472" w:rsidRDefault="00C8327E"/>
      </w:sdtContent>
    </w:sdt>
    <w:p w14:paraId="2CABC381" w14:textId="77777777" w:rsidR="007E7472" w:rsidRPr="00293E15" w:rsidRDefault="00EC1269" w:rsidP="00162493">
      <w:pPr>
        <w:pStyle w:val="2"/>
        <w:numPr>
          <w:ilvl w:val="0"/>
          <w:numId w:val="43"/>
        </w:numPr>
        <w:ind w:firstLineChars="0"/>
        <w:rPr>
          <w:szCs w:val="24"/>
        </w:rPr>
      </w:pPr>
      <w:r w:rsidRPr="00293E15">
        <w:rPr>
          <w:rFonts w:hint="eastAsia"/>
          <w:szCs w:val="24"/>
        </w:rPr>
        <w:lastRenderedPageBreak/>
        <w:t>税项</w:t>
      </w:r>
    </w:p>
    <w:sdt>
      <w:sdtPr>
        <w:rPr>
          <w:rFonts w:ascii="宋体" w:hAnsi="宋体" w:cs="宋体"/>
          <w:b w:val="0"/>
          <w:bCs w:val="0"/>
          <w:kern w:val="0"/>
          <w:sz w:val="20"/>
          <w:szCs w:val="22"/>
        </w:rPr>
        <w:alias w:val="模块:主要税种及税率"/>
        <w:tag w:val="_GBC_21c965fa52af49a9865023fb4e05671a"/>
        <w:id w:val="-1478748301"/>
        <w:lock w:val="sdtLocked"/>
        <w:placeholder>
          <w:docPart w:val="GBC22222222222222222222222222222"/>
        </w:placeholder>
      </w:sdtPr>
      <w:sdtEndPr>
        <w:rPr>
          <w:rFonts w:asciiTheme="minorEastAsia" w:eastAsiaTheme="minorEastAsia" w:hAnsiTheme="minorEastAsia"/>
          <w:sz w:val="21"/>
          <w:szCs w:val="21"/>
        </w:rPr>
      </w:sdtEndPr>
      <w:sdtContent>
        <w:p w14:paraId="54780148" w14:textId="77777777" w:rsidR="007E7472" w:rsidRPr="00E77029" w:rsidRDefault="00EC1269" w:rsidP="00162493">
          <w:pPr>
            <w:pStyle w:val="3"/>
            <w:numPr>
              <w:ilvl w:val="0"/>
              <w:numId w:val="61"/>
            </w:numPr>
            <w:rPr>
              <w:rFonts w:asciiTheme="minorEastAsia" w:eastAsiaTheme="minorEastAsia" w:hAnsiTheme="minorEastAsia"/>
              <w:szCs w:val="21"/>
            </w:rPr>
          </w:pPr>
          <w:r w:rsidRPr="00E77029">
            <w:rPr>
              <w:rFonts w:asciiTheme="minorEastAsia" w:eastAsiaTheme="minorEastAsia" w:hAnsiTheme="minorEastAsia"/>
              <w:szCs w:val="21"/>
            </w:rPr>
            <w:t>主要税种及税率</w:t>
          </w:r>
        </w:p>
        <w:p w14:paraId="1AD603B2" w14:textId="77777777" w:rsidR="007E7472" w:rsidRPr="00E77029" w:rsidRDefault="00EC1269">
          <w:pPr>
            <w:ind w:left="425"/>
            <w:outlineLvl w:val="2"/>
            <w:rPr>
              <w:rFonts w:asciiTheme="minorEastAsia" w:eastAsiaTheme="minorEastAsia" w:hAnsiTheme="minorEastAsia"/>
            </w:rPr>
          </w:pPr>
          <w:r w:rsidRPr="00E77029">
            <w:rPr>
              <w:rFonts w:asciiTheme="minorEastAsia" w:eastAsiaTheme="minorEastAsia" w:hAnsiTheme="minorEastAsia" w:hint="eastAsia"/>
            </w:rPr>
            <w:t>（1）本公司及中国境内子公司税率如下</w:t>
          </w:r>
        </w:p>
        <w:sdt>
          <w:sdtPr>
            <w:rPr>
              <w:rFonts w:asciiTheme="minorEastAsia" w:eastAsiaTheme="minorEastAsia" w:hAnsiTheme="minorEastAsia"/>
            </w:rPr>
            <w:alias w:val="是否适用：主要税种及税率情况 [双击切换]"/>
            <w:tag w:val="_GBC_fd47fa4fd9aa499c8903795268a25582"/>
            <w:id w:val="-760675367"/>
            <w:lock w:val="sdtLocked"/>
            <w:placeholder>
              <w:docPart w:val="GBC22222222222222222222222222222"/>
            </w:placeholder>
          </w:sdtPr>
          <w:sdtEndPr/>
          <w:sdtContent>
            <w:p w14:paraId="1F5883A8" w14:textId="77777777" w:rsidR="007E7472" w:rsidRPr="00E77029" w:rsidRDefault="00EC1269">
              <w:pPr>
                <w:rPr>
                  <w:rFonts w:asciiTheme="minorEastAsia" w:eastAsiaTheme="minorEastAsia" w:hAnsiTheme="minorEastAsia"/>
                </w:rPr>
              </w:pPr>
              <w:r w:rsidRPr="00E77029">
                <w:rPr>
                  <w:rFonts w:asciiTheme="minorEastAsia" w:eastAsiaTheme="minorEastAsia" w:hAnsiTheme="minorEastAsia" w:hint="eastAsia"/>
                </w:rPr>
                <w:fldChar w:fldCharType="begin"/>
              </w:r>
              <w:r w:rsidRPr="00E77029">
                <w:rPr>
                  <w:rFonts w:asciiTheme="minorEastAsia" w:eastAsiaTheme="minorEastAsia" w:hAnsiTheme="minorEastAsia" w:hint="eastAsia"/>
                </w:rPr>
                <w:instrText xml:space="preserve"> MACROBUTTON  SnrToggleCheckbox √适用 </w:instrText>
              </w:r>
              <w:r w:rsidRPr="00E77029">
                <w:rPr>
                  <w:rFonts w:asciiTheme="minorEastAsia" w:eastAsiaTheme="minorEastAsia" w:hAnsiTheme="minorEastAsia" w:hint="eastAsia"/>
                </w:rPr>
                <w:fldChar w:fldCharType="end"/>
              </w:r>
              <w:r w:rsidRPr="00E77029">
                <w:rPr>
                  <w:rFonts w:asciiTheme="minorEastAsia" w:eastAsiaTheme="minorEastAsia" w:hAnsiTheme="minorEastAsia" w:hint="eastAsia"/>
                </w:rPr>
                <w:fldChar w:fldCharType="begin"/>
              </w:r>
              <w:r w:rsidRPr="00E77029">
                <w:rPr>
                  <w:rFonts w:asciiTheme="minorEastAsia" w:eastAsiaTheme="minorEastAsia" w:hAnsiTheme="minorEastAsia" w:hint="eastAsia"/>
                </w:rPr>
                <w:instrText xml:space="preserve"> MACROBUTTON  SnrToggleCheckbox □不适用 </w:instrText>
              </w:r>
              <w:r w:rsidRPr="00E77029">
                <w:rPr>
                  <w:rFonts w:asciiTheme="minorEastAsia" w:eastAsiaTheme="minorEastAsia" w:hAnsiTheme="minorEastAsia" w:hint="eastAsia"/>
                </w:rPr>
                <w:fldChar w:fldCharType="end"/>
              </w:r>
            </w:p>
          </w:sdtContent>
        </w:sdt>
        <w:sdt>
          <w:sdtPr>
            <w:rPr>
              <w:rFonts w:asciiTheme="minorEastAsia" w:eastAsiaTheme="minorEastAsia" w:hAnsiTheme="minorEastAsia" w:cs="Times New Roman"/>
            </w:rPr>
            <w:tag w:val="_GBC_cd48dbef8f724802baa896e009e06b0d"/>
            <w:id w:val="-1418862496"/>
            <w:lock w:val="sdtLocked"/>
            <w:placeholder>
              <w:docPart w:val="GBC22222222222222222222222222222"/>
            </w:placeholder>
          </w:sdtPr>
          <w:sdtEndPr/>
          <w:sdtContent>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3067"/>
                <w:gridCol w:w="3044"/>
              </w:tblGrid>
              <w:tr w:rsidR="007E7472" w:rsidRPr="00E77029" w14:paraId="78E98DB5" w14:textId="77777777">
                <w:tc>
                  <w:tcPr>
                    <w:tcW w:w="1537" w:type="pct"/>
                    <w:vAlign w:val="center"/>
                  </w:tcPr>
                  <w:p w14:paraId="21BF7C28" w14:textId="77777777" w:rsidR="007E7472" w:rsidRPr="00E77029" w:rsidRDefault="00C8327E">
                    <w:pPr>
                      <w:jc w:val="center"/>
                      <w:rPr>
                        <w:rFonts w:asciiTheme="minorEastAsia" w:eastAsiaTheme="minorEastAsia" w:hAnsiTheme="minorEastAsia"/>
                      </w:rPr>
                    </w:pPr>
                    <w:sdt>
                      <w:sdtPr>
                        <w:rPr>
                          <w:rFonts w:asciiTheme="minorEastAsia" w:eastAsiaTheme="minorEastAsia" w:hAnsiTheme="minorEastAsia"/>
                        </w:rPr>
                        <w:tag w:val="_PLD_e7d49d0412b143bf84fec865b918065a"/>
                        <w:id w:val="-238637259"/>
                        <w:lock w:val="sdtLocked"/>
                      </w:sdtPr>
                      <w:sdtEndPr>
                        <w:rPr>
                          <w:rFonts w:cs="Times New Roman"/>
                        </w:rPr>
                      </w:sdtEndPr>
                      <w:sdtContent>
                        <w:r w:rsidR="00EC1269" w:rsidRPr="00E77029">
                          <w:rPr>
                            <w:rFonts w:asciiTheme="minorEastAsia" w:eastAsiaTheme="minorEastAsia" w:hAnsiTheme="minorEastAsia"/>
                          </w:rPr>
                          <w:t>税种</w:t>
                        </w:r>
                      </w:sdtContent>
                    </w:sdt>
                  </w:p>
                </w:tc>
                <w:sdt>
                  <w:sdtPr>
                    <w:rPr>
                      <w:rFonts w:asciiTheme="minorEastAsia" w:eastAsiaTheme="minorEastAsia" w:hAnsiTheme="minorEastAsia"/>
                    </w:rPr>
                    <w:tag w:val="_PLD_e42202809983483baa812ed26e1b27a2"/>
                    <w:id w:val="-363675631"/>
                    <w:lock w:val="sdtLocked"/>
                  </w:sdtPr>
                  <w:sdtEndPr/>
                  <w:sdtContent>
                    <w:tc>
                      <w:tcPr>
                        <w:tcW w:w="1738" w:type="pct"/>
                        <w:vAlign w:val="center"/>
                      </w:tcPr>
                      <w:p w14:paraId="4A0ABFE1" w14:textId="77777777" w:rsidR="007E7472" w:rsidRPr="00E77029" w:rsidRDefault="00EC1269">
                        <w:pPr>
                          <w:jc w:val="center"/>
                          <w:rPr>
                            <w:rFonts w:asciiTheme="minorEastAsia" w:eastAsiaTheme="minorEastAsia" w:hAnsiTheme="minorEastAsia"/>
                          </w:rPr>
                        </w:pPr>
                        <w:r w:rsidRPr="00E77029">
                          <w:rPr>
                            <w:rFonts w:asciiTheme="minorEastAsia" w:eastAsiaTheme="minorEastAsia" w:hAnsiTheme="minorEastAsia"/>
                          </w:rPr>
                          <w:t>计税依据</w:t>
                        </w:r>
                      </w:p>
                    </w:tc>
                  </w:sdtContent>
                </w:sdt>
                <w:sdt>
                  <w:sdtPr>
                    <w:rPr>
                      <w:rFonts w:asciiTheme="minorEastAsia" w:eastAsiaTheme="minorEastAsia" w:hAnsiTheme="minorEastAsia"/>
                    </w:rPr>
                    <w:tag w:val="_PLD_0cebc7a4c62844c6b35146cd64cd4277"/>
                    <w:id w:val="-1509592577"/>
                    <w:lock w:val="sdtLocked"/>
                  </w:sdtPr>
                  <w:sdtEndPr/>
                  <w:sdtContent>
                    <w:tc>
                      <w:tcPr>
                        <w:tcW w:w="1725" w:type="pct"/>
                        <w:vAlign w:val="center"/>
                      </w:tcPr>
                      <w:p w14:paraId="1970012B" w14:textId="77777777" w:rsidR="007E7472" w:rsidRPr="00E77029" w:rsidRDefault="00EC1269">
                        <w:pPr>
                          <w:jc w:val="center"/>
                          <w:rPr>
                            <w:rFonts w:asciiTheme="minorEastAsia" w:eastAsiaTheme="minorEastAsia" w:hAnsiTheme="minorEastAsia"/>
                          </w:rPr>
                        </w:pPr>
                        <w:r w:rsidRPr="00E77029">
                          <w:rPr>
                            <w:rFonts w:asciiTheme="minorEastAsia" w:eastAsiaTheme="minorEastAsia" w:hAnsiTheme="minorEastAsia"/>
                          </w:rPr>
                          <w:t>税率</w:t>
                        </w:r>
                      </w:p>
                    </w:tc>
                  </w:sdtContent>
                </w:sdt>
              </w:tr>
              <w:tr w:rsidR="007E7472" w:rsidRPr="00E77029" w14:paraId="63986431" w14:textId="77777777">
                <w:tc>
                  <w:tcPr>
                    <w:tcW w:w="1537" w:type="pct"/>
                    <w:vAlign w:val="center"/>
                  </w:tcPr>
                  <w:p w14:paraId="32EE56B6" w14:textId="77777777" w:rsidR="007E7472" w:rsidRPr="00E77029" w:rsidRDefault="00EC1269">
                    <w:pPr>
                      <w:rPr>
                        <w:rFonts w:asciiTheme="minorEastAsia" w:eastAsiaTheme="minorEastAsia" w:hAnsiTheme="minorEastAsia"/>
                      </w:rPr>
                    </w:pPr>
                    <w:r w:rsidRPr="00E77029">
                      <w:rPr>
                        <w:rFonts w:asciiTheme="minorEastAsia" w:eastAsiaTheme="minorEastAsia" w:hAnsiTheme="minorEastAsia"/>
                      </w:rPr>
                      <w:t>增值税</w:t>
                    </w:r>
                  </w:p>
                </w:tc>
                <w:tc>
                  <w:tcPr>
                    <w:tcW w:w="1738" w:type="pct"/>
                    <w:vAlign w:val="center"/>
                  </w:tcPr>
                  <w:p w14:paraId="7C8144A1" w14:textId="77777777" w:rsidR="007E7472" w:rsidRPr="00E77029" w:rsidRDefault="00EC1269">
                    <w:pPr>
                      <w:rPr>
                        <w:rFonts w:asciiTheme="minorEastAsia" w:eastAsiaTheme="minorEastAsia" w:hAnsiTheme="minorEastAsia"/>
                        <w:bCs/>
                      </w:rPr>
                    </w:pPr>
                    <w:r w:rsidRPr="00E77029">
                      <w:rPr>
                        <w:rFonts w:asciiTheme="minorEastAsia" w:eastAsiaTheme="minorEastAsia" w:hAnsiTheme="minorEastAsia"/>
                      </w:rPr>
                      <w:t>按税法规定计算的销售货物和应税劳务收入为基础计算销项税额，在扣除当期允许抵扣的进项税额后，差额部分为应缴增值税</w:t>
                    </w:r>
                  </w:p>
                </w:tc>
                <w:tc>
                  <w:tcPr>
                    <w:tcW w:w="1725" w:type="pct"/>
                    <w:vAlign w:val="center"/>
                  </w:tcPr>
                  <w:p w14:paraId="0632BD64" w14:textId="77777777" w:rsidR="007E7472" w:rsidRPr="00E77029" w:rsidRDefault="00EC1269">
                    <w:pPr>
                      <w:jc w:val="center"/>
                      <w:rPr>
                        <w:rFonts w:asciiTheme="minorEastAsia" w:eastAsiaTheme="minorEastAsia" w:hAnsiTheme="minorEastAsia"/>
                      </w:rPr>
                    </w:pPr>
                    <w:r w:rsidRPr="00E77029">
                      <w:rPr>
                        <w:rFonts w:asciiTheme="minorEastAsia" w:eastAsiaTheme="minorEastAsia" w:hAnsiTheme="minorEastAsia"/>
                      </w:rPr>
                      <w:t>3%、5%、6%、9%、13%</w:t>
                    </w:r>
                  </w:p>
                </w:tc>
              </w:tr>
              <w:tr w:rsidR="007E7472" w:rsidRPr="00E77029" w14:paraId="7BAF90F6" w14:textId="77777777">
                <w:tc>
                  <w:tcPr>
                    <w:tcW w:w="1537" w:type="pct"/>
                    <w:vAlign w:val="center"/>
                  </w:tcPr>
                  <w:p w14:paraId="684894D9" w14:textId="77777777" w:rsidR="007E7472" w:rsidRPr="00E77029" w:rsidRDefault="00EC1269">
                    <w:pPr>
                      <w:rPr>
                        <w:rFonts w:asciiTheme="minorEastAsia" w:eastAsiaTheme="minorEastAsia" w:hAnsiTheme="minorEastAsia"/>
                      </w:rPr>
                    </w:pPr>
                    <w:r w:rsidRPr="00E77029">
                      <w:rPr>
                        <w:rFonts w:asciiTheme="minorEastAsia" w:eastAsiaTheme="minorEastAsia" w:hAnsiTheme="minorEastAsia"/>
                      </w:rPr>
                      <w:t>城市维护建设税</w:t>
                    </w:r>
                  </w:p>
                </w:tc>
                <w:tc>
                  <w:tcPr>
                    <w:tcW w:w="1738" w:type="pct"/>
                    <w:vAlign w:val="center"/>
                  </w:tcPr>
                  <w:p w14:paraId="43833BFF" w14:textId="77777777" w:rsidR="007E7472" w:rsidRPr="00E77029" w:rsidRDefault="00EC1269">
                    <w:pPr>
                      <w:rPr>
                        <w:rFonts w:asciiTheme="minorEastAsia" w:eastAsiaTheme="minorEastAsia" w:hAnsiTheme="minorEastAsia"/>
                      </w:rPr>
                    </w:pPr>
                    <w:r w:rsidRPr="00E77029">
                      <w:rPr>
                        <w:rFonts w:asciiTheme="minorEastAsia" w:eastAsiaTheme="minorEastAsia" w:hAnsiTheme="minorEastAsia"/>
                      </w:rPr>
                      <w:t>按实际缴纳增值税计征</w:t>
                    </w:r>
                  </w:p>
                </w:tc>
                <w:tc>
                  <w:tcPr>
                    <w:tcW w:w="1725" w:type="pct"/>
                    <w:vAlign w:val="center"/>
                  </w:tcPr>
                  <w:p w14:paraId="1CA18672" w14:textId="77777777" w:rsidR="007E7472" w:rsidRPr="00E77029" w:rsidRDefault="00EC1269">
                    <w:pPr>
                      <w:jc w:val="center"/>
                      <w:rPr>
                        <w:rFonts w:asciiTheme="minorEastAsia" w:eastAsiaTheme="minorEastAsia" w:hAnsiTheme="minorEastAsia"/>
                      </w:rPr>
                    </w:pPr>
                    <w:r w:rsidRPr="00E77029">
                      <w:rPr>
                        <w:rFonts w:asciiTheme="minorEastAsia" w:eastAsiaTheme="minorEastAsia" w:hAnsiTheme="minorEastAsia"/>
                      </w:rPr>
                      <w:t>1%、5%、7%</w:t>
                    </w:r>
                  </w:p>
                </w:tc>
              </w:tr>
              <w:tr w:rsidR="007E7472" w:rsidRPr="00E77029" w14:paraId="411BB308" w14:textId="77777777">
                <w:tc>
                  <w:tcPr>
                    <w:tcW w:w="1537" w:type="pct"/>
                    <w:vAlign w:val="center"/>
                  </w:tcPr>
                  <w:p w14:paraId="19592D7F" w14:textId="77777777" w:rsidR="007E7472" w:rsidRPr="00E77029" w:rsidRDefault="00EC1269">
                    <w:pPr>
                      <w:rPr>
                        <w:rFonts w:asciiTheme="minorEastAsia" w:eastAsiaTheme="minorEastAsia" w:hAnsiTheme="minorEastAsia"/>
                      </w:rPr>
                    </w:pPr>
                    <w:r w:rsidRPr="00E77029">
                      <w:rPr>
                        <w:rFonts w:asciiTheme="minorEastAsia" w:eastAsiaTheme="minorEastAsia" w:hAnsiTheme="minorEastAsia"/>
                      </w:rPr>
                      <w:t>教育费附加</w:t>
                    </w:r>
                  </w:p>
                </w:tc>
                <w:tc>
                  <w:tcPr>
                    <w:tcW w:w="1738" w:type="pct"/>
                    <w:vAlign w:val="center"/>
                  </w:tcPr>
                  <w:p w14:paraId="0D332BFE" w14:textId="77777777" w:rsidR="007E7472" w:rsidRPr="00E77029" w:rsidRDefault="00EC1269">
                    <w:pPr>
                      <w:rPr>
                        <w:rFonts w:asciiTheme="minorEastAsia" w:eastAsiaTheme="minorEastAsia" w:hAnsiTheme="minorEastAsia"/>
                      </w:rPr>
                    </w:pPr>
                    <w:r w:rsidRPr="00E77029">
                      <w:rPr>
                        <w:rFonts w:asciiTheme="minorEastAsia" w:eastAsiaTheme="minorEastAsia" w:hAnsiTheme="minorEastAsia"/>
                      </w:rPr>
                      <w:t>按实际缴纳增值税计征</w:t>
                    </w:r>
                  </w:p>
                </w:tc>
                <w:tc>
                  <w:tcPr>
                    <w:tcW w:w="1725" w:type="pct"/>
                    <w:vAlign w:val="center"/>
                  </w:tcPr>
                  <w:p w14:paraId="7F2B745B" w14:textId="77777777" w:rsidR="007E7472" w:rsidRPr="00E77029" w:rsidRDefault="00EC1269">
                    <w:pPr>
                      <w:jc w:val="center"/>
                      <w:rPr>
                        <w:rFonts w:asciiTheme="minorEastAsia" w:eastAsiaTheme="minorEastAsia" w:hAnsiTheme="minorEastAsia"/>
                      </w:rPr>
                    </w:pPr>
                    <w:r w:rsidRPr="00E77029">
                      <w:rPr>
                        <w:rFonts w:asciiTheme="minorEastAsia" w:eastAsiaTheme="minorEastAsia" w:hAnsiTheme="minorEastAsia"/>
                      </w:rPr>
                      <w:t>3%</w:t>
                    </w:r>
                  </w:p>
                </w:tc>
              </w:tr>
              <w:tr w:rsidR="007E7472" w:rsidRPr="00E77029" w14:paraId="4CB71BF8" w14:textId="77777777">
                <w:tc>
                  <w:tcPr>
                    <w:tcW w:w="1537" w:type="pct"/>
                    <w:vAlign w:val="center"/>
                  </w:tcPr>
                  <w:p w14:paraId="5EB00A01" w14:textId="77777777" w:rsidR="007E7472" w:rsidRPr="00E77029" w:rsidRDefault="00EC1269">
                    <w:pPr>
                      <w:rPr>
                        <w:rFonts w:asciiTheme="minorEastAsia" w:eastAsiaTheme="minorEastAsia" w:hAnsiTheme="minorEastAsia"/>
                      </w:rPr>
                    </w:pPr>
                    <w:r w:rsidRPr="00E77029">
                      <w:rPr>
                        <w:rFonts w:asciiTheme="minorEastAsia" w:eastAsiaTheme="minorEastAsia" w:hAnsiTheme="minorEastAsia"/>
                      </w:rPr>
                      <w:t>资源税</w:t>
                    </w:r>
                  </w:p>
                </w:tc>
                <w:tc>
                  <w:tcPr>
                    <w:tcW w:w="1738" w:type="pct"/>
                    <w:vAlign w:val="center"/>
                  </w:tcPr>
                  <w:p w14:paraId="227CA8E0" w14:textId="77777777" w:rsidR="007E7472" w:rsidRPr="00E77029" w:rsidRDefault="00EC1269">
                    <w:pPr>
                      <w:rPr>
                        <w:rFonts w:asciiTheme="minorEastAsia" w:eastAsiaTheme="minorEastAsia" w:hAnsiTheme="minorEastAsia"/>
                      </w:rPr>
                    </w:pPr>
                    <w:r w:rsidRPr="00E77029">
                      <w:rPr>
                        <w:rFonts w:asciiTheme="minorEastAsia" w:eastAsiaTheme="minorEastAsia" w:hAnsiTheme="minorEastAsia"/>
                      </w:rPr>
                      <w:t>按煤炭销售金额计征</w:t>
                    </w:r>
                  </w:p>
                </w:tc>
                <w:tc>
                  <w:tcPr>
                    <w:tcW w:w="1725" w:type="pct"/>
                    <w:vAlign w:val="center"/>
                  </w:tcPr>
                  <w:p w14:paraId="23674B0E" w14:textId="77777777" w:rsidR="007E7472" w:rsidRPr="00E77029" w:rsidRDefault="00EC1269">
                    <w:pPr>
                      <w:jc w:val="center"/>
                      <w:rPr>
                        <w:rFonts w:asciiTheme="minorEastAsia" w:eastAsiaTheme="minorEastAsia" w:hAnsiTheme="minorEastAsia"/>
                      </w:rPr>
                    </w:pPr>
                    <w:r w:rsidRPr="00E77029">
                      <w:rPr>
                        <w:rFonts w:asciiTheme="minorEastAsia" w:eastAsiaTheme="minorEastAsia" w:hAnsiTheme="minorEastAsia"/>
                      </w:rPr>
                      <w:t>3.5%、4%、8%、9%、9.5%、10%</w:t>
                    </w:r>
                  </w:p>
                </w:tc>
              </w:tr>
              <w:tr w:rsidR="007E7472" w:rsidRPr="00E77029" w14:paraId="4D03ED25" w14:textId="77777777">
                <w:tc>
                  <w:tcPr>
                    <w:tcW w:w="1537" w:type="pct"/>
                    <w:vAlign w:val="center"/>
                  </w:tcPr>
                  <w:p w14:paraId="27B8E8AA" w14:textId="77777777" w:rsidR="007E7472" w:rsidRPr="00E77029" w:rsidRDefault="00EC1269">
                    <w:pPr>
                      <w:rPr>
                        <w:rFonts w:asciiTheme="minorEastAsia" w:eastAsiaTheme="minorEastAsia" w:hAnsiTheme="minorEastAsia"/>
                      </w:rPr>
                    </w:pPr>
                    <w:r w:rsidRPr="00E77029">
                      <w:rPr>
                        <w:rFonts w:asciiTheme="minorEastAsia" w:eastAsiaTheme="minorEastAsia" w:hAnsiTheme="minorEastAsia"/>
                      </w:rPr>
                      <w:t>企业所得税</w:t>
                    </w:r>
                  </w:p>
                </w:tc>
                <w:tc>
                  <w:tcPr>
                    <w:tcW w:w="1738" w:type="pct"/>
                    <w:vAlign w:val="center"/>
                  </w:tcPr>
                  <w:p w14:paraId="7BC286FD" w14:textId="77777777" w:rsidR="007E7472" w:rsidRPr="00E77029" w:rsidRDefault="00EC1269">
                    <w:pPr>
                      <w:rPr>
                        <w:rFonts w:asciiTheme="minorEastAsia" w:eastAsiaTheme="minorEastAsia" w:hAnsiTheme="minorEastAsia"/>
                      </w:rPr>
                    </w:pPr>
                    <w:r w:rsidRPr="00E77029">
                      <w:rPr>
                        <w:rFonts w:asciiTheme="minorEastAsia" w:eastAsiaTheme="minorEastAsia" w:hAnsiTheme="minorEastAsia"/>
                      </w:rPr>
                      <w:t>按应纳税所得额计征</w:t>
                    </w:r>
                  </w:p>
                </w:tc>
                <w:tc>
                  <w:tcPr>
                    <w:tcW w:w="1725" w:type="pct"/>
                    <w:vAlign w:val="center"/>
                  </w:tcPr>
                  <w:p w14:paraId="70C191D1" w14:textId="77777777" w:rsidR="007E7472" w:rsidRPr="00E77029" w:rsidRDefault="00EC1269">
                    <w:pPr>
                      <w:jc w:val="center"/>
                      <w:rPr>
                        <w:rFonts w:asciiTheme="minorEastAsia" w:eastAsiaTheme="minorEastAsia" w:hAnsiTheme="minorEastAsia"/>
                      </w:rPr>
                    </w:pPr>
                    <w:r w:rsidRPr="00E77029">
                      <w:rPr>
                        <w:rFonts w:asciiTheme="minorEastAsia" w:eastAsiaTheme="minorEastAsia" w:hAnsiTheme="minorEastAsia"/>
                      </w:rPr>
                      <w:t>25%</w:t>
                    </w:r>
                  </w:p>
                </w:tc>
              </w:tr>
              <w:tr w:rsidR="007E7472" w:rsidRPr="00E77029" w14:paraId="75604748" w14:textId="77777777">
                <w:tc>
                  <w:tcPr>
                    <w:tcW w:w="1537" w:type="pct"/>
                    <w:vAlign w:val="center"/>
                  </w:tcPr>
                  <w:p w14:paraId="2AAD85C6" w14:textId="77777777" w:rsidR="007E7472" w:rsidRPr="00E77029" w:rsidRDefault="00EC1269">
                    <w:pPr>
                      <w:rPr>
                        <w:rFonts w:asciiTheme="minorEastAsia" w:eastAsiaTheme="minorEastAsia" w:hAnsiTheme="minorEastAsia"/>
                      </w:rPr>
                    </w:pPr>
                    <w:r w:rsidRPr="00E77029">
                      <w:rPr>
                        <w:rFonts w:asciiTheme="minorEastAsia" w:eastAsiaTheme="minorEastAsia" w:hAnsiTheme="minorEastAsia"/>
                      </w:rPr>
                      <w:t>环保税</w:t>
                    </w:r>
                  </w:p>
                </w:tc>
                <w:tc>
                  <w:tcPr>
                    <w:tcW w:w="1738" w:type="pct"/>
                    <w:vAlign w:val="center"/>
                  </w:tcPr>
                  <w:p w14:paraId="5DF1D4E5" w14:textId="77777777" w:rsidR="007E7472" w:rsidRPr="00E77029" w:rsidRDefault="00EC1269">
                    <w:pPr>
                      <w:rPr>
                        <w:rFonts w:asciiTheme="minorEastAsia" w:eastAsiaTheme="minorEastAsia" w:hAnsiTheme="minorEastAsia"/>
                      </w:rPr>
                    </w:pPr>
                    <w:r w:rsidRPr="00E77029">
                      <w:rPr>
                        <w:rFonts w:asciiTheme="minorEastAsia" w:eastAsiaTheme="minorEastAsia" w:hAnsiTheme="minorEastAsia"/>
                      </w:rPr>
                      <w:t>按实际排污量</w:t>
                    </w:r>
                  </w:p>
                </w:tc>
                <w:tc>
                  <w:tcPr>
                    <w:tcW w:w="1725" w:type="pct"/>
                    <w:vAlign w:val="center"/>
                  </w:tcPr>
                  <w:p w14:paraId="21813879" w14:textId="77777777" w:rsidR="007E7472" w:rsidRPr="00E77029" w:rsidRDefault="00EC1269">
                    <w:pPr>
                      <w:jc w:val="center"/>
                      <w:rPr>
                        <w:rFonts w:asciiTheme="minorEastAsia" w:eastAsiaTheme="minorEastAsia" w:hAnsiTheme="minorEastAsia"/>
                      </w:rPr>
                    </w:pPr>
                    <w:r w:rsidRPr="00E77029">
                      <w:rPr>
                        <w:rFonts w:asciiTheme="minorEastAsia" w:eastAsiaTheme="minorEastAsia" w:hAnsiTheme="minorEastAsia"/>
                      </w:rPr>
                      <w:t>1.2至6元/污染当量</w:t>
                    </w:r>
                  </w:p>
                </w:tc>
              </w:tr>
              <w:tr w:rsidR="007E7472" w:rsidRPr="00E77029" w14:paraId="5089B783" w14:textId="77777777">
                <w:tc>
                  <w:tcPr>
                    <w:tcW w:w="1537" w:type="pct"/>
                    <w:vAlign w:val="center"/>
                  </w:tcPr>
                  <w:p w14:paraId="099B8062" w14:textId="77777777" w:rsidR="007E7472" w:rsidRPr="00E77029" w:rsidRDefault="00EC1269">
                    <w:pPr>
                      <w:rPr>
                        <w:rFonts w:asciiTheme="minorEastAsia" w:eastAsiaTheme="minorEastAsia" w:hAnsiTheme="minorEastAsia"/>
                      </w:rPr>
                    </w:pPr>
                    <w:r w:rsidRPr="00E77029">
                      <w:rPr>
                        <w:rFonts w:asciiTheme="minorEastAsia" w:eastAsiaTheme="minorEastAsia" w:hAnsiTheme="minorEastAsia"/>
                      </w:rPr>
                      <w:t>水资源税</w:t>
                    </w:r>
                  </w:p>
                </w:tc>
                <w:tc>
                  <w:tcPr>
                    <w:tcW w:w="1738" w:type="pct"/>
                    <w:vAlign w:val="center"/>
                  </w:tcPr>
                  <w:p w14:paraId="2D98E062" w14:textId="77777777" w:rsidR="007E7472" w:rsidRPr="00E77029" w:rsidRDefault="00EC1269">
                    <w:pPr>
                      <w:rPr>
                        <w:rFonts w:asciiTheme="minorEastAsia" w:eastAsiaTheme="minorEastAsia" w:hAnsiTheme="minorEastAsia"/>
                      </w:rPr>
                    </w:pPr>
                    <w:r w:rsidRPr="00E77029">
                      <w:rPr>
                        <w:rFonts w:asciiTheme="minorEastAsia" w:eastAsiaTheme="minorEastAsia" w:hAnsiTheme="minorEastAsia"/>
                      </w:rPr>
                      <w:t>按实际取水量或排水量</w:t>
                    </w:r>
                  </w:p>
                </w:tc>
                <w:tc>
                  <w:tcPr>
                    <w:tcW w:w="1725" w:type="pct"/>
                    <w:vAlign w:val="center"/>
                  </w:tcPr>
                  <w:p w14:paraId="5CE4CC97" w14:textId="77777777" w:rsidR="007E7472" w:rsidRPr="00E77029" w:rsidRDefault="00EC1269">
                    <w:pPr>
                      <w:jc w:val="center"/>
                      <w:rPr>
                        <w:rFonts w:asciiTheme="minorEastAsia" w:eastAsiaTheme="minorEastAsia" w:hAnsiTheme="minorEastAsia"/>
                      </w:rPr>
                    </w:pPr>
                    <w:r w:rsidRPr="00E77029">
                      <w:rPr>
                        <w:rFonts w:asciiTheme="minorEastAsia" w:eastAsiaTheme="minorEastAsia" w:hAnsiTheme="minorEastAsia"/>
                      </w:rPr>
                      <w:t>0.4至5元/立方米</w:t>
                    </w:r>
                  </w:p>
                </w:tc>
              </w:tr>
              <w:tr w:rsidR="007E7472" w:rsidRPr="00E77029" w14:paraId="72BA6FA3" w14:textId="77777777">
                <w:tc>
                  <w:tcPr>
                    <w:tcW w:w="1537" w:type="pct"/>
                    <w:vAlign w:val="center"/>
                  </w:tcPr>
                  <w:p w14:paraId="4E5203B1" w14:textId="77777777" w:rsidR="007E7472" w:rsidRPr="00E77029" w:rsidRDefault="00EC1269">
                    <w:pPr>
                      <w:rPr>
                        <w:rFonts w:asciiTheme="minorEastAsia" w:eastAsiaTheme="minorEastAsia" w:hAnsiTheme="minorEastAsia"/>
                      </w:rPr>
                    </w:pPr>
                    <w:r w:rsidRPr="00E77029">
                      <w:rPr>
                        <w:rFonts w:asciiTheme="minorEastAsia" w:eastAsiaTheme="minorEastAsia" w:hAnsiTheme="minorEastAsia"/>
                      </w:rPr>
                      <w:t>消费税</w:t>
                    </w:r>
                  </w:p>
                </w:tc>
                <w:tc>
                  <w:tcPr>
                    <w:tcW w:w="1738" w:type="pct"/>
                    <w:vAlign w:val="center"/>
                  </w:tcPr>
                  <w:p w14:paraId="3B6474BE" w14:textId="77777777" w:rsidR="007E7472" w:rsidRPr="00E77029" w:rsidRDefault="00EC1269">
                    <w:pPr>
                      <w:rPr>
                        <w:rFonts w:asciiTheme="minorEastAsia" w:eastAsiaTheme="minorEastAsia" w:hAnsiTheme="minorEastAsia"/>
                      </w:rPr>
                    </w:pPr>
                    <w:r w:rsidRPr="00E77029">
                      <w:rPr>
                        <w:rFonts w:asciiTheme="minorEastAsia" w:eastAsiaTheme="minorEastAsia" w:hAnsiTheme="minorEastAsia"/>
                      </w:rPr>
                      <w:t>按实际销量</w:t>
                    </w:r>
                  </w:p>
                </w:tc>
                <w:tc>
                  <w:tcPr>
                    <w:tcW w:w="1725" w:type="pct"/>
                    <w:vAlign w:val="center"/>
                  </w:tcPr>
                  <w:p w14:paraId="17DF75E4" w14:textId="77777777" w:rsidR="007E7472" w:rsidRPr="00E77029" w:rsidRDefault="00EC1269">
                    <w:pPr>
                      <w:jc w:val="center"/>
                      <w:rPr>
                        <w:rFonts w:asciiTheme="minorEastAsia" w:eastAsiaTheme="minorEastAsia" w:hAnsiTheme="minorEastAsia"/>
                      </w:rPr>
                    </w:pPr>
                    <w:r w:rsidRPr="00E77029">
                      <w:rPr>
                        <w:rFonts w:asciiTheme="minorEastAsia" w:eastAsiaTheme="minorEastAsia" w:hAnsiTheme="minorEastAsia"/>
                      </w:rPr>
                      <w:t>1.2至1.52元/升</w:t>
                    </w:r>
                  </w:p>
                </w:tc>
              </w:tr>
            </w:tbl>
            <w:p w14:paraId="7559A8D0" w14:textId="77777777" w:rsidR="007E7472" w:rsidRPr="00E77029" w:rsidRDefault="00EC1269" w:rsidP="007E7472">
              <w:pPr>
                <w:ind w:left="425"/>
                <w:outlineLvl w:val="2"/>
                <w:rPr>
                  <w:rFonts w:asciiTheme="minorEastAsia" w:eastAsiaTheme="minorEastAsia" w:hAnsiTheme="minorEastAsia"/>
                </w:rPr>
              </w:pPr>
              <w:r w:rsidRPr="00E77029">
                <w:rPr>
                  <w:rFonts w:asciiTheme="minorEastAsia" w:eastAsiaTheme="minorEastAsia" w:hAnsiTheme="minorEastAsia" w:hint="eastAsia"/>
                </w:rPr>
                <w:t>（</w:t>
              </w:r>
              <w:r w:rsidRPr="00E77029">
                <w:rPr>
                  <w:rFonts w:asciiTheme="minorEastAsia" w:eastAsiaTheme="minorEastAsia" w:hAnsiTheme="minorEastAsia"/>
                </w:rPr>
                <w:t>2</w:t>
              </w:r>
              <w:r w:rsidRPr="00E77029">
                <w:rPr>
                  <w:rFonts w:asciiTheme="minorEastAsia" w:eastAsiaTheme="minorEastAsia" w:hAnsiTheme="minorEastAsia" w:hint="eastAsia"/>
                </w:rPr>
                <w:t>）本公司之澳大利亚子公司适用的主要税种及其税率列示如下：</w:t>
              </w:r>
            </w:p>
            <w:tbl>
              <w:tblPr>
                <w:tblStyle w:val="g4"/>
                <w:tblW w:w="0" w:type="auto"/>
                <w:tblInd w:w="108" w:type="dxa"/>
                <w:tblLook w:val="04A0" w:firstRow="1" w:lastRow="0" w:firstColumn="1" w:lastColumn="0" w:noHBand="0" w:noVBand="1"/>
              </w:tblPr>
              <w:tblGrid>
                <w:gridCol w:w="2816"/>
                <w:gridCol w:w="2913"/>
                <w:gridCol w:w="2986"/>
              </w:tblGrid>
              <w:tr w:rsidR="007E7472" w:rsidRPr="00E77029" w14:paraId="1C42DBB6" w14:textId="77777777">
                <w:tc>
                  <w:tcPr>
                    <w:tcW w:w="2816" w:type="dxa"/>
                    <w:tcBorders>
                      <w:top w:val="single" w:sz="4" w:space="0" w:color="auto"/>
                      <w:left w:val="single" w:sz="4" w:space="0" w:color="auto"/>
                      <w:bottom w:val="single" w:sz="4" w:space="0" w:color="auto"/>
                      <w:right w:val="single" w:sz="4" w:space="0" w:color="auto"/>
                    </w:tcBorders>
                  </w:tcPr>
                  <w:p w14:paraId="0BAE2349" w14:textId="77777777" w:rsidR="007E7472" w:rsidRPr="00E77029" w:rsidRDefault="00EC1269">
                    <w:pPr>
                      <w:jc w:val="center"/>
                      <w:rPr>
                        <w:rFonts w:asciiTheme="minorEastAsia" w:eastAsiaTheme="minorEastAsia" w:hAnsiTheme="minorEastAsia" w:cs="Times New Roman"/>
                      </w:rPr>
                    </w:pPr>
                    <w:r w:rsidRPr="00E77029">
                      <w:rPr>
                        <w:rFonts w:asciiTheme="minorEastAsia" w:eastAsiaTheme="minorEastAsia" w:hAnsiTheme="minorEastAsia" w:cs="Times New Roman" w:hint="eastAsia"/>
                      </w:rPr>
                      <w:t>税种</w:t>
                    </w:r>
                  </w:p>
                </w:tc>
                <w:tc>
                  <w:tcPr>
                    <w:tcW w:w="2913" w:type="dxa"/>
                    <w:tcBorders>
                      <w:top w:val="single" w:sz="4" w:space="0" w:color="auto"/>
                      <w:left w:val="single" w:sz="4" w:space="0" w:color="auto"/>
                      <w:bottom w:val="single" w:sz="4" w:space="0" w:color="auto"/>
                      <w:right w:val="single" w:sz="4" w:space="0" w:color="auto"/>
                    </w:tcBorders>
                  </w:tcPr>
                  <w:p w14:paraId="328C5467" w14:textId="77777777" w:rsidR="007E7472" w:rsidRPr="00E77029" w:rsidRDefault="00EC1269">
                    <w:pPr>
                      <w:jc w:val="center"/>
                      <w:rPr>
                        <w:rFonts w:asciiTheme="minorEastAsia" w:eastAsiaTheme="minorEastAsia" w:hAnsiTheme="minorEastAsia" w:cs="Times New Roman"/>
                      </w:rPr>
                    </w:pPr>
                    <w:r w:rsidRPr="00E77029">
                      <w:rPr>
                        <w:rFonts w:asciiTheme="minorEastAsia" w:eastAsiaTheme="minorEastAsia" w:hAnsiTheme="minorEastAsia" w:cs="Times New Roman" w:hint="eastAsia"/>
                      </w:rPr>
                      <w:t>计税依据</w:t>
                    </w:r>
                  </w:p>
                </w:tc>
                <w:tc>
                  <w:tcPr>
                    <w:tcW w:w="2986" w:type="dxa"/>
                    <w:tcBorders>
                      <w:top w:val="single" w:sz="4" w:space="0" w:color="auto"/>
                      <w:left w:val="single" w:sz="4" w:space="0" w:color="auto"/>
                      <w:bottom w:val="single" w:sz="4" w:space="0" w:color="auto"/>
                      <w:right w:val="single" w:sz="4" w:space="0" w:color="auto"/>
                    </w:tcBorders>
                  </w:tcPr>
                  <w:p w14:paraId="4C8EC5B0" w14:textId="77777777" w:rsidR="007E7472" w:rsidRPr="00E77029" w:rsidRDefault="00EC1269">
                    <w:pPr>
                      <w:jc w:val="center"/>
                      <w:rPr>
                        <w:rFonts w:asciiTheme="minorEastAsia" w:eastAsiaTheme="minorEastAsia" w:hAnsiTheme="minorEastAsia" w:cs="Times New Roman"/>
                      </w:rPr>
                    </w:pPr>
                    <w:r w:rsidRPr="00E77029">
                      <w:rPr>
                        <w:rFonts w:asciiTheme="minorEastAsia" w:eastAsiaTheme="minorEastAsia" w:hAnsiTheme="minorEastAsia" w:cs="Times New Roman" w:hint="eastAsia"/>
                      </w:rPr>
                      <w:t>税率</w:t>
                    </w:r>
                  </w:p>
                </w:tc>
              </w:tr>
              <w:tr w:rsidR="007E7472" w:rsidRPr="00E77029" w14:paraId="50D00D8E" w14:textId="77777777">
                <w:tc>
                  <w:tcPr>
                    <w:tcW w:w="2816" w:type="dxa"/>
                    <w:tcBorders>
                      <w:top w:val="single" w:sz="4" w:space="0" w:color="auto"/>
                      <w:left w:val="single" w:sz="4" w:space="0" w:color="auto"/>
                      <w:bottom w:val="single" w:sz="4" w:space="0" w:color="auto"/>
                      <w:right w:val="single" w:sz="4" w:space="0" w:color="auto"/>
                    </w:tcBorders>
                  </w:tcPr>
                  <w:p w14:paraId="4BF3A8BD" w14:textId="77777777" w:rsidR="007E7472" w:rsidRPr="00E77029" w:rsidRDefault="00EC1269">
                    <w:pPr>
                      <w:rPr>
                        <w:rFonts w:asciiTheme="minorEastAsia" w:eastAsiaTheme="minorEastAsia" w:hAnsiTheme="minorEastAsia" w:cs="Times New Roman"/>
                      </w:rPr>
                    </w:pPr>
                    <w:r w:rsidRPr="00E77029">
                      <w:rPr>
                        <w:rFonts w:asciiTheme="minorEastAsia" w:eastAsiaTheme="minorEastAsia" w:hAnsiTheme="minorEastAsia" w:cs="Times New Roman" w:hint="eastAsia"/>
                      </w:rPr>
                      <w:t>企业所得税（注）</w:t>
                    </w:r>
                  </w:p>
                </w:tc>
                <w:tc>
                  <w:tcPr>
                    <w:tcW w:w="2913" w:type="dxa"/>
                    <w:tcBorders>
                      <w:top w:val="single" w:sz="4" w:space="0" w:color="auto"/>
                      <w:left w:val="single" w:sz="4" w:space="0" w:color="auto"/>
                      <w:bottom w:val="single" w:sz="4" w:space="0" w:color="auto"/>
                      <w:right w:val="single" w:sz="4" w:space="0" w:color="auto"/>
                    </w:tcBorders>
                  </w:tcPr>
                  <w:p w14:paraId="5D9D2969" w14:textId="77777777" w:rsidR="007E7472" w:rsidRPr="00E77029" w:rsidRDefault="00EC1269">
                    <w:pPr>
                      <w:rPr>
                        <w:rFonts w:asciiTheme="minorEastAsia" w:eastAsiaTheme="minorEastAsia" w:hAnsiTheme="minorEastAsia" w:cs="Times New Roman"/>
                      </w:rPr>
                    </w:pPr>
                    <w:r w:rsidRPr="00E77029">
                      <w:rPr>
                        <w:rFonts w:asciiTheme="minorEastAsia" w:eastAsiaTheme="minorEastAsia" w:hAnsiTheme="minorEastAsia" w:cs="Times New Roman" w:hint="eastAsia"/>
                      </w:rPr>
                      <w:t>应纳税所得额</w:t>
                    </w:r>
                  </w:p>
                </w:tc>
                <w:tc>
                  <w:tcPr>
                    <w:tcW w:w="2986" w:type="dxa"/>
                    <w:tcBorders>
                      <w:top w:val="single" w:sz="4" w:space="0" w:color="auto"/>
                      <w:left w:val="single" w:sz="4" w:space="0" w:color="auto"/>
                      <w:bottom w:val="single" w:sz="4" w:space="0" w:color="auto"/>
                      <w:right w:val="single" w:sz="4" w:space="0" w:color="auto"/>
                    </w:tcBorders>
                  </w:tcPr>
                  <w:p w14:paraId="714A774F" w14:textId="77777777" w:rsidR="007E7472" w:rsidRPr="00E77029" w:rsidRDefault="00EC1269">
                    <w:pPr>
                      <w:jc w:val="center"/>
                      <w:rPr>
                        <w:rFonts w:asciiTheme="minorEastAsia" w:eastAsiaTheme="minorEastAsia" w:hAnsiTheme="minorEastAsia" w:cs="Times New Roman"/>
                      </w:rPr>
                    </w:pPr>
                    <w:r w:rsidRPr="00E77029">
                      <w:rPr>
                        <w:rFonts w:asciiTheme="minorEastAsia" w:eastAsiaTheme="minorEastAsia" w:hAnsiTheme="minorEastAsia" w:cs="Times New Roman" w:hint="eastAsia"/>
                      </w:rPr>
                      <w:t>30%</w:t>
                    </w:r>
                  </w:p>
                </w:tc>
              </w:tr>
              <w:tr w:rsidR="007E7472" w:rsidRPr="00E77029" w14:paraId="2CA26217" w14:textId="77777777">
                <w:tc>
                  <w:tcPr>
                    <w:tcW w:w="2816" w:type="dxa"/>
                    <w:tcBorders>
                      <w:top w:val="single" w:sz="4" w:space="0" w:color="auto"/>
                      <w:left w:val="single" w:sz="4" w:space="0" w:color="auto"/>
                      <w:bottom w:val="single" w:sz="4" w:space="0" w:color="auto"/>
                      <w:right w:val="single" w:sz="4" w:space="0" w:color="auto"/>
                    </w:tcBorders>
                  </w:tcPr>
                  <w:p w14:paraId="58A4E42A" w14:textId="77777777" w:rsidR="007E7472" w:rsidRPr="00E77029" w:rsidRDefault="00EC1269">
                    <w:pPr>
                      <w:rPr>
                        <w:rFonts w:asciiTheme="minorEastAsia" w:eastAsiaTheme="minorEastAsia" w:hAnsiTheme="minorEastAsia" w:cs="Times New Roman"/>
                      </w:rPr>
                    </w:pPr>
                    <w:r w:rsidRPr="00E77029">
                      <w:rPr>
                        <w:rFonts w:asciiTheme="minorEastAsia" w:eastAsiaTheme="minorEastAsia" w:hAnsiTheme="minorEastAsia" w:cs="Times New Roman" w:hint="eastAsia"/>
                      </w:rPr>
                      <w:t>商品及服务税</w:t>
                    </w:r>
                  </w:p>
                </w:tc>
                <w:tc>
                  <w:tcPr>
                    <w:tcW w:w="2913" w:type="dxa"/>
                    <w:tcBorders>
                      <w:top w:val="single" w:sz="4" w:space="0" w:color="auto"/>
                      <w:left w:val="single" w:sz="4" w:space="0" w:color="auto"/>
                      <w:bottom w:val="single" w:sz="4" w:space="0" w:color="auto"/>
                      <w:right w:val="single" w:sz="4" w:space="0" w:color="auto"/>
                    </w:tcBorders>
                  </w:tcPr>
                  <w:p w14:paraId="48D20875" w14:textId="77777777" w:rsidR="007E7472" w:rsidRPr="00E77029" w:rsidRDefault="00EC1269">
                    <w:pPr>
                      <w:rPr>
                        <w:rFonts w:asciiTheme="minorEastAsia" w:eastAsiaTheme="minorEastAsia" w:hAnsiTheme="minorEastAsia" w:cs="Times New Roman"/>
                      </w:rPr>
                    </w:pPr>
                    <w:r w:rsidRPr="00E77029">
                      <w:rPr>
                        <w:rFonts w:asciiTheme="minorEastAsia" w:eastAsiaTheme="minorEastAsia" w:hAnsiTheme="minorEastAsia" w:cs="Times New Roman" w:hint="eastAsia"/>
                      </w:rPr>
                      <w:t>应纳税增值额</w:t>
                    </w:r>
                  </w:p>
                </w:tc>
                <w:tc>
                  <w:tcPr>
                    <w:tcW w:w="2986" w:type="dxa"/>
                    <w:tcBorders>
                      <w:top w:val="single" w:sz="4" w:space="0" w:color="auto"/>
                      <w:left w:val="single" w:sz="4" w:space="0" w:color="auto"/>
                      <w:bottom w:val="single" w:sz="4" w:space="0" w:color="auto"/>
                      <w:right w:val="single" w:sz="4" w:space="0" w:color="auto"/>
                    </w:tcBorders>
                  </w:tcPr>
                  <w:p w14:paraId="3C9B4B3E" w14:textId="77777777" w:rsidR="007E7472" w:rsidRPr="00E77029" w:rsidRDefault="00EC1269">
                    <w:pPr>
                      <w:jc w:val="center"/>
                      <w:rPr>
                        <w:rFonts w:asciiTheme="minorEastAsia" w:eastAsiaTheme="minorEastAsia" w:hAnsiTheme="minorEastAsia" w:cs="Times New Roman"/>
                      </w:rPr>
                    </w:pPr>
                    <w:r w:rsidRPr="00E77029">
                      <w:rPr>
                        <w:rFonts w:asciiTheme="minorEastAsia" w:eastAsiaTheme="minorEastAsia" w:hAnsiTheme="minorEastAsia" w:cs="Times New Roman" w:hint="eastAsia"/>
                      </w:rPr>
                      <w:t>10%</w:t>
                    </w:r>
                  </w:p>
                </w:tc>
              </w:tr>
              <w:tr w:rsidR="007E7472" w:rsidRPr="00E77029" w14:paraId="48538B5A" w14:textId="77777777">
                <w:tc>
                  <w:tcPr>
                    <w:tcW w:w="2816" w:type="dxa"/>
                    <w:tcBorders>
                      <w:top w:val="single" w:sz="4" w:space="0" w:color="auto"/>
                      <w:left w:val="single" w:sz="4" w:space="0" w:color="auto"/>
                      <w:bottom w:val="single" w:sz="4" w:space="0" w:color="auto"/>
                      <w:right w:val="single" w:sz="4" w:space="0" w:color="auto"/>
                    </w:tcBorders>
                  </w:tcPr>
                  <w:p w14:paraId="6C99DAA7" w14:textId="77777777" w:rsidR="007E7472" w:rsidRPr="00E77029" w:rsidRDefault="00EC1269">
                    <w:pPr>
                      <w:rPr>
                        <w:rFonts w:asciiTheme="minorEastAsia" w:eastAsiaTheme="minorEastAsia" w:hAnsiTheme="minorEastAsia" w:cs="Times New Roman"/>
                      </w:rPr>
                    </w:pPr>
                    <w:r w:rsidRPr="00E77029">
                      <w:rPr>
                        <w:rFonts w:asciiTheme="minorEastAsia" w:eastAsiaTheme="minorEastAsia" w:hAnsiTheme="minorEastAsia" w:cs="Times New Roman" w:hint="eastAsia"/>
                      </w:rPr>
                      <w:t>资源税</w:t>
                    </w:r>
                  </w:p>
                </w:tc>
                <w:tc>
                  <w:tcPr>
                    <w:tcW w:w="2913" w:type="dxa"/>
                    <w:tcBorders>
                      <w:top w:val="single" w:sz="4" w:space="0" w:color="auto"/>
                      <w:left w:val="single" w:sz="4" w:space="0" w:color="auto"/>
                      <w:bottom w:val="single" w:sz="4" w:space="0" w:color="auto"/>
                      <w:right w:val="single" w:sz="4" w:space="0" w:color="auto"/>
                    </w:tcBorders>
                  </w:tcPr>
                  <w:p w14:paraId="656631C0" w14:textId="77777777" w:rsidR="007E7472" w:rsidRPr="00E77029" w:rsidRDefault="00EC1269">
                    <w:pPr>
                      <w:rPr>
                        <w:rFonts w:asciiTheme="minorEastAsia" w:eastAsiaTheme="minorEastAsia" w:hAnsiTheme="minorEastAsia" w:cs="Times New Roman"/>
                      </w:rPr>
                    </w:pPr>
                    <w:r w:rsidRPr="00E77029">
                      <w:rPr>
                        <w:rFonts w:asciiTheme="minorEastAsia" w:eastAsiaTheme="minorEastAsia" w:hAnsiTheme="minorEastAsia" w:cs="Times New Roman" w:hint="eastAsia"/>
                      </w:rPr>
                      <w:t>煤炭销售收入</w:t>
                    </w:r>
                  </w:p>
                </w:tc>
                <w:tc>
                  <w:tcPr>
                    <w:tcW w:w="2986" w:type="dxa"/>
                    <w:tcBorders>
                      <w:top w:val="single" w:sz="4" w:space="0" w:color="auto"/>
                      <w:left w:val="single" w:sz="4" w:space="0" w:color="auto"/>
                      <w:bottom w:val="single" w:sz="4" w:space="0" w:color="auto"/>
                      <w:right w:val="single" w:sz="4" w:space="0" w:color="auto"/>
                    </w:tcBorders>
                  </w:tcPr>
                  <w:p w14:paraId="1C8F80F9" w14:textId="77777777" w:rsidR="007E7472" w:rsidRPr="00E77029" w:rsidRDefault="00EC1269">
                    <w:pPr>
                      <w:jc w:val="center"/>
                      <w:rPr>
                        <w:rFonts w:asciiTheme="minorEastAsia" w:eastAsiaTheme="minorEastAsia" w:hAnsiTheme="minorEastAsia" w:cs="Times New Roman"/>
                      </w:rPr>
                    </w:pPr>
                    <w:r w:rsidRPr="00E77029">
                      <w:rPr>
                        <w:rFonts w:asciiTheme="minorEastAsia" w:eastAsiaTheme="minorEastAsia" w:hAnsiTheme="minorEastAsia" w:cs="Times New Roman" w:hint="eastAsia"/>
                      </w:rPr>
                      <w:t>7%-40%</w:t>
                    </w:r>
                  </w:p>
                </w:tc>
              </w:tr>
              <w:tr w:rsidR="007E7472" w:rsidRPr="00E77029" w14:paraId="342B775A" w14:textId="77777777">
                <w:tc>
                  <w:tcPr>
                    <w:tcW w:w="2816" w:type="dxa"/>
                    <w:tcBorders>
                      <w:top w:val="single" w:sz="4" w:space="0" w:color="auto"/>
                      <w:left w:val="single" w:sz="4" w:space="0" w:color="auto"/>
                      <w:bottom w:val="single" w:sz="4" w:space="0" w:color="auto"/>
                      <w:right w:val="single" w:sz="4" w:space="0" w:color="auto"/>
                    </w:tcBorders>
                  </w:tcPr>
                  <w:p w14:paraId="4815CCB1" w14:textId="77777777" w:rsidR="007E7472" w:rsidRPr="00E77029" w:rsidRDefault="00EC1269">
                    <w:pPr>
                      <w:rPr>
                        <w:rFonts w:asciiTheme="minorEastAsia" w:eastAsiaTheme="minorEastAsia" w:hAnsiTheme="minorEastAsia" w:cs="Times New Roman"/>
                      </w:rPr>
                    </w:pPr>
                    <w:r w:rsidRPr="00E77029">
                      <w:rPr>
                        <w:rFonts w:asciiTheme="minorEastAsia" w:eastAsiaTheme="minorEastAsia" w:hAnsiTheme="minorEastAsia" w:cs="Times New Roman" w:hint="eastAsia"/>
                      </w:rPr>
                      <w:t>职工薪酬税-昆士兰州</w:t>
                    </w:r>
                  </w:p>
                </w:tc>
                <w:tc>
                  <w:tcPr>
                    <w:tcW w:w="2913" w:type="dxa"/>
                    <w:tcBorders>
                      <w:top w:val="single" w:sz="4" w:space="0" w:color="auto"/>
                      <w:left w:val="single" w:sz="4" w:space="0" w:color="auto"/>
                      <w:bottom w:val="single" w:sz="4" w:space="0" w:color="auto"/>
                      <w:right w:val="single" w:sz="4" w:space="0" w:color="auto"/>
                    </w:tcBorders>
                  </w:tcPr>
                  <w:p w14:paraId="075A89B5" w14:textId="77777777" w:rsidR="007E7472" w:rsidRPr="00E77029" w:rsidRDefault="00EC1269">
                    <w:pPr>
                      <w:rPr>
                        <w:rFonts w:asciiTheme="minorEastAsia" w:eastAsiaTheme="minorEastAsia" w:hAnsiTheme="minorEastAsia" w:cs="Times New Roman"/>
                      </w:rPr>
                    </w:pPr>
                    <w:r w:rsidRPr="00E77029">
                      <w:rPr>
                        <w:rFonts w:asciiTheme="minorEastAsia" w:eastAsiaTheme="minorEastAsia" w:hAnsiTheme="minorEastAsia" w:cs="Times New Roman" w:hint="eastAsia"/>
                      </w:rPr>
                      <w:t>职工工资总额</w:t>
                    </w:r>
                  </w:p>
                </w:tc>
                <w:tc>
                  <w:tcPr>
                    <w:tcW w:w="2986" w:type="dxa"/>
                    <w:tcBorders>
                      <w:top w:val="single" w:sz="4" w:space="0" w:color="auto"/>
                      <w:left w:val="single" w:sz="4" w:space="0" w:color="auto"/>
                      <w:bottom w:val="single" w:sz="4" w:space="0" w:color="auto"/>
                      <w:right w:val="single" w:sz="4" w:space="0" w:color="auto"/>
                    </w:tcBorders>
                  </w:tcPr>
                  <w:p w14:paraId="37618B58" w14:textId="77777777" w:rsidR="007E7472" w:rsidRPr="00E77029" w:rsidRDefault="00EC1269">
                    <w:pPr>
                      <w:jc w:val="center"/>
                      <w:rPr>
                        <w:rFonts w:asciiTheme="minorEastAsia" w:eastAsiaTheme="minorEastAsia" w:hAnsiTheme="minorEastAsia" w:cs="Times New Roman"/>
                      </w:rPr>
                    </w:pPr>
                    <w:r w:rsidRPr="00E77029">
                      <w:rPr>
                        <w:rFonts w:asciiTheme="minorEastAsia" w:eastAsiaTheme="minorEastAsia" w:hAnsiTheme="minorEastAsia" w:cs="Times New Roman" w:hint="eastAsia"/>
                      </w:rPr>
                      <w:t>4.75%、4.95%</w:t>
                    </w:r>
                  </w:p>
                </w:tc>
              </w:tr>
              <w:tr w:rsidR="007E7472" w:rsidRPr="00E77029" w14:paraId="1CE65AB9" w14:textId="77777777">
                <w:tc>
                  <w:tcPr>
                    <w:tcW w:w="2816" w:type="dxa"/>
                    <w:tcBorders>
                      <w:top w:val="single" w:sz="4" w:space="0" w:color="auto"/>
                      <w:left w:val="single" w:sz="4" w:space="0" w:color="auto"/>
                      <w:bottom w:val="single" w:sz="4" w:space="0" w:color="auto"/>
                      <w:right w:val="single" w:sz="4" w:space="0" w:color="auto"/>
                    </w:tcBorders>
                  </w:tcPr>
                  <w:p w14:paraId="028E7D02" w14:textId="77777777" w:rsidR="007E7472" w:rsidRPr="00E77029" w:rsidRDefault="00EC1269">
                    <w:pPr>
                      <w:rPr>
                        <w:rFonts w:asciiTheme="minorEastAsia" w:eastAsiaTheme="minorEastAsia" w:hAnsiTheme="minorEastAsia" w:cs="Times New Roman"/>
                      </w:rPr>
                    </w:pPr>
                    <w:r w:rsidRPr="00E77029">
                      <w:rPr>
                        <w:rFonts w:asciiTheme="minorEastAsia" w:eastAsiaTheme="minorEastAsia" w:hAnsiTheme="minorEastAsia" w:cs="Times New Roman" w:hint="eastAsia"/>
                      </w:rPr>
                      <w:t>职工薪酬税-新南威尔士州</w:t>
                    </w:r>
                  </w:p>
                </w:tc>
                <w:tc>
                  <w:tcPr>
                    <w:tcW w:w="2913" w:type="dxa"/>
                    <w:tcBorders>
                      <w:top w:val="single" w:sz="4" w:space="0" w:color="auto"/>
                      <w:left w:val="single" w:sz="4" w:space="0" w:color="auto"/>
                      <w:bottom w:val="single" w:sz="4" w:space="0" w:color="auto"/>
                      <w:right w:val="single" w:sz="4" w:space="0" w:color="auto"/>
                    </w:tcBorders>
                  </w:tcPr>
                  <w:p w14:paraId="2F5E69E1" w14:textId="77777777" w:rsidR="007E7472" w:rsidRPr="00E77029" w:rsidRDefault="00EC1269">
                    <w:pPr>
                      <w:rPr>
                        <w:rFonts w:asciiTheme="minorEastAsia" w:eastAsiaTheme="minorEastAsia" w:hAnsiTheme="minorEastAsia" w:cs="Times New Roman"/>
                      </w:rPr>
                    </w:pPr>
                    <w:r w:rsidRPr="00E77029">
                      <w:rPr>
                        <w:rFonts w:asciiTheme="minorEastAsia" w:eastAsiaTheme="minorEastAsia" w:hAnsiTheme="minorEastAsia" w:cs="Times New Roman" w:hint="eastAsia"/>
                      </w:rPr>
                      <w:t>职工工资总额</w:t>
                    </w:r>
                  </w:p>
                </w:tc>
                <w:tc>
                  <w:tcPr>
                    <w:tcW w:w="2986" w:type="dxa"/>
                    <w:tcBorders>
                      <w:top w:val="single" w:sz="4" w:space="0" w:color="auto"/>
                      <w:left w:val="single" w:sz="4" w:space="0" w:color="auto"/>
                      <w:bottom w:val="single" w:sz="4" w:space="0" w:color="auto"/>
                      <w:right w:val="single" w:sz="4" w:space="0" w:color="auto"/>
                    </w:tcBorders>
                  </w:tcPr>
                  <w:p w14:paraId="5410A066" w14:textId="77777777" w:rsidR="007E7472" w:rsidRPr="00E77029" w:rsidRDefault="00EC1269">
                    <w:pPr>
                      <w:jc w:val="center"/>
                      <w:rPr>
                        <w:rFonts w:asciiTheme="minorEastAsia" w:eastAsiaTheme="minorEastAsia" w:hAnsiTheme="minorEastAsia" w:cs="Times New Roman"/>
                      </w:rPr>
                    </w:pPr>
                    <w:r w:rsidRPr="00E77029">
                      <w:rPr>
                        <w:rFonts w:asciiTheme="minorEastAsia" w:eastAsiaTheme="minorEastAsia" w:hAnsiTheme="minorEastAsia" w:cs="Times New Roman" w:hint="eastAsia"/>
                      </w:rPr>
                      <w:t>5.45%</w:t>
                    </w:r>
                  </w:p>
                </w:tc>
              </w:tr>
            </w:tbl>
            <w:p w14:paraId="4C3333BD" w14:textId="77777777" w:rsidR="007E7472" w:rsidRPr="00E77029" w:rsidRDefault="00EC1269">
              <w:pPr>
                <w:spacing w:beforeLines="50" w:before="156" w:afterLines="50" w:after="156" w:line="360" w:lineRule="exact"/>
                <w:ind w:firstLineChars="200" w:firstLine="420"/>
                <w:jc w:val="both"/>
                <w:rPr>
                  <w:rFonts w:asciiTheme="minorEastAsia" w:eastAsiaTheme="minorEastAsia" w:hAnsiTheme="minorEastAsia"/>
                </w:rPr>
              </w:pPr>
              <w:r w:rsidRPr="00E77029">
                <w:rPr>
                  <w:rFonts w:asciiTheme="minorEastAsia" w:eastAsiaTheme="minorEastAsia" w:hAnsiTheme="minorEastAsia" w:hint="eastAsia"/>
                </w:rPr>
                <w:t>注：本公司之子公司兖煤澳大利亚有限公司所得税适用税率为30%。兖煤澳大利亚有限公司及其全资拥有的子公司根据澳大利亚合并纳税的规定构成一家所得税合并纳税集团；兖煤澳大利亚有限公司负责确认合并纳税集团的当期所得税资产和负债（包括合并纳税集团内各子公司的可抵扣损失及税款抵减产生的递延所得税资产）。合并纳税集团中的每一家实体确认各自的递延所得税资产和负债，但不包括可抵扣的损失及税款抵减产生的递延所得税资产。在这种情况下，仅由兖煤澳大利亚有限公司确认相应的递延所得税资产。该集团签订了一个共享税务协议，即集团中每个实体根据他们的税前利润占整个集团的比例来分配各自应缴纳的税金。合并纳税集团也签订一个纳税资金协议即每个实体通过集团内部往来科目确认各自的当期所得税资产和负债。</w:t>
              </w:r>
            </w:p>
            <w:p w14:paraId="6354ACE7" w14:textId="77777777" w:rsidR="007E7472" w:rsidRPr="00E77029" w:rsidRDefault="00EC1269">
              <w:pPr>
                <w:ind w:left="113"/>
                <w:outlineLvl w:val="2"/>
                <w:rPr>
                  <w:rFonts w:asciiTheme="minorEastAsia" w:eastAsiaTheme="minorEastAsia" w:hAnsiTheme="minorEastAsia"/>
                </w:rPr>
              </w:pPr>
              <w:r w:rsidRPr="00E77029">
                <w:rPr>
                  <w:rFonts w:asciiTheme="minorEastAsia" w:eastAsiaTheme="minorEastAsia" w:hAnsiTheme="minorEastAsia" w:hint="eastAsia"/>
                </w:rPr>
                <w:t>（3）本公司其他境外子公司适用的主要税种及其税率列示如下：</w:t>
              </w:r>
            </w:p>
            <w:tbl>
              <w:tblPr>
                <w:tblStyle w:val="g4"/>
                <w:tblW w:w="0" w:type="auto"/>
                <w:tblInd w:w="108" w:type="dxa"/>
                <w:tblLook w:val="04A0" w:firstRow="1" w:lastRow="0" w:firstColumn="1" w:lastColumn="0" w:noHBand="0" w:noVBand="1"/>
              </w:tblPr>
              <w:tblGrid>
                <w:gridCol w:w="2081"/>
                <w:gridCol w:w="2191"/>
                <w:gridCol w:w="2191"/>
                <w:gridCol w:w="2252"/>
              </w:tblGrid>
              <w:tr w:rsidR="007E7472" w:rsidRPr="00E77029" w14:paraId="247122BD" w14:textId="77777777">
                <w:tc>
                  <w:tcPr>
                    <w:tcW w:w="2081" w:type="dxa"/>
                    <w:tcBorders>
                      <w:top w:val="single" w:sz="4" w:space="0" w:color="auto"/>
                      <w:left w:val="single" w:sz="4" w:space="0" w:color="auto"/>
                      <w:bottom w:val="single" w:sz="4" w:space="0" w:color="auto"/>
                      <w:right w:val="single" w:sz="4" w:space="0" w:color="auto"/>
                    </w:tcBorders>
                  </w:tcPr>
                  <w:p w14:paraId="427A128D" w14:textId="77777777" w:rsidR="007E7472" w:rsidRPr="00E77029" w:rsidRDefault="00EC1269">
                    <w:pPr>
                      <w:jc w:val="center"/>
                      <w:rPr>
                        <w:rFonts w:asciiTheme="minorEastAsia" w:eastAsiaTheme="minorEastAsia" w:hAnsiTheme="minorEastAsia" w:cs="Times New Roman"/>
                      </w:rPr>
                    </w:pPr>
                    <w:r w:rsidRPr="00E77029">
                      <w:rPr>
                        <w:rFonts w:asciiTheme="minorEastAsia" w:eastAsiaTheme="minorEastAsia" w:hAnsiTheme="minorEastAsia" w:cs="Times New Roman" w:hint="eastAsia"/>
                      </w:rPr>
                      <w:t>地区或国家</w:t>
                    </w:r>
                  </w:p>
                </w:tc>
                <w:tc>
                  <w:tcPr>
                    <w:tcW w:w="2191" w:type="dxa"/>
                    <w:tcBorders>
                      <w:top w:val="single" w:sz="4" w:space="0" w:color="auto"/>
                      <w:left w:val="single" w:sz="4" w:space="0" w:color="auto"/>
                      <w:bottom w:val="single" w:sz="4" w:space="0" w:color="auto"/>
                      <w:right w:val="single" w:sz="4" w:space="0" w:color="auto"/>
                    </w:tcBorders>
                  </w:tcPr>
                  <w:p w14:paraId="602695FE" w14:textId="77777777" w:rsidR="007E7472" w:rsidRPr="00E77029" w:rsidRDefault="00EC1269">
                    <w:pPr>
                      <w:jc w:val="center"/>
                      <w:rPr>
                        <w:rFonts w:asciiTheme="minorEastAsia" w:eastAsiaTheme="minorEastAsia" w:hAnsiTheme="minorEastAsia" w:cs="Times New Roman"/>
                      </w:rPr>
                    </w:pPr>
                    <w:r w:rsidRPr="00E77029">
                      <w:rPr>
                        <w:rFonts w:asciiTheme="minorEastAsia" w:eastAsiaTheme="minorEastAsia" w:hAnsiTheme="minorEastAsia" w:cs="Times New Roman" w:hint="eastAsia"/>
                      </w:rPr>
                      <w:t>税种</w:t>
                    </w:r>
                  </w:p>
                </w:tc>
                <w:tc>
                  <w:tcPr>
                    <w:tcW w:w="2191" w:type="dxa"/>
                    <w:tcBorders>
                      <w:top w:val="single" w:sz="4" w:space="0" w:color="auto"/>
                      <w:left w:val="single" w:sz="4" w:space="0" w:color="auto"/>
                      <w:bottom w:val="single" w:sz="4" w:space="0" w:color="auto"/>
                      <w:right w:val="single" w:sz="4" w:space="0" w:color="auto"/>
                    </w:tcBorders>
                  </w:tcPr>
                  <w:p w14:paraId="43552B42" w14:textId="77777777" w:rsidR="007E7472" w:rsidRPr="00E77029" w:rsidRDefault="00EC1269">
                    <w:pPr>
                      <w:jc w:val="center"/>
                      <w:rPr>
                        <w:rFonts w:asciiTheme="minorEastAsia" w:eastAsiaTheme="minorEastAsia" w:hAnsiTheme="minorEastAsia" w:cs="Times New Roman"/>
                      </w:rPr>
                    </w:pPr>
                    <w:r w:rsidRPr="00E77029">
                      <w:rPr>
                        <w:rFonts w:asciiTheme="minorEastAsia" w:eastAsiaTheme="minorEastAsia" w:hAnsiTheme="minorEastAsia" w:cs="Times New Roman" w:hint="eastAsia"/>
                      </w:rPr>
                      <w:t>计税依据</w:t>
                    </w:r>
                  </w:p>
                </w:tc>
                <w:tc>
                  <w:tcPr>
                    <w:tcW w:w="2252" w:type="dxa"/>
                    <w:tcBorders>
                      <w:top w:val="single" w:sz="4" w:space="0" w:color="auto"/>
                      <w:left w:val="single" w:sz="4" w:space="0" w:color="auto"/>
                      <w:bottom w:val="single" w:sz="4" w:space="0" w:color="auto"/>
                      <w:right w:val="single" w:sz="4" w:space="0" w:color="auto"/>
                    </w:tcBorders>
                  </w:tcPr>
                  <w:p w14:paraId="356951BA" w14:textId="77777777" w:rsidR="007E7472" w:rsidRPr="00E77029" w:rsidRDefault="00EC1269">
                    <w:pPr>
                      <w:jc w:val="center"/>
                      <w:rPr>
                        <w:rFonts w:asciiTheme="minorEastAsia" w:eastAsiaTheme="minorEastAsia" w:hAnsiTheme="minorEastAsia" w:cs="Times New Roman"/>
                      </w:rPr>
                    </w:pPr>
                    <w:r w:rsidRPr="00E77029">
                      <w:rPr>
                        <w:rFonts w:asciiTheme="minorEastAsia" w:eastAsiaTheme="minorEastAsia" w:hAnsiTheme="minorEastAsia" w:cs="Times New Roman" w:hint="eastAsia"/>
                      </w:rPr>
                      <w:t>税率</w:t>
                    </w:r>
                  </w:p>
                </w:tc>
              </w:tr>
              <w:tr w:rsidR="007E7472" w:rsidRPr="00E77029" w14:paraId="1B1CD1CC" w14:textId="77777777">
                <w:tc>
                  <w:tcPr>
                    <w:tcW w:w="2081" w:type="dxa"/>
                    <w:tcBorders>
                      <w:top w:val="single" w:sz="4" w:space="0" w:color="auto"/>
                      <w:left w:val="single" w:sz="4" w:space="0" w:color="auto"/>
                      <w:bottom w:val="single" w:sz="4" w:space="0" w:color="auto"/>
                      <w:right w:val="single" w:sz="4" w:space="0" w:color="auto"/>
                    </w:tcBorders>
                  </w:tcPr>
                  <w:p w14:paraId="234E8228" w14:textId="77777777" w:rsidR="007E7472" w:rsidRPr="00E77029" w:rsidRDefault="00EC1269">
                    <w:pPr>
                      <w:rPr>
                        <w:rFonts w:asciiTheme="minorEastAsia" w:eastAsiaTheme="minorEastAsia" w:hAnsiTheme="minorEastAsia" w:cs="Times New Roman"/>
                      </w:rPr>
                    </w:pPr>
                    <w:r w:rsidRPr="00E77029">
                      <w:rPr>
                        <w:rFonts w:asciiTheme="minorEastAsia" w:eastAsiaTheme="minorEastAsia" w:hAnsiTheme="minorEastAsia" w:cs="Times New Roman" w:hint="eastAsia"/>
                      </w:rPr>
                      <w:t>香港</w:t>
                    </w:r>
                  </w:p>
                </w:tc>
                <w:tc>
                  <w:tcPr>
                    <w:tcW w:w="2191" w:type="dxa"/>
                    <w:tcBorders>
                      <w:top w:val="single" w:sz="4" w:space="0" w:color="auto"/>
                      <w:left w:val="single" w:sz="4" w:space="0" w:color="auto"/>
                      <w:bottom w:val="single" w:sz="4" w:space="0" w:color="auto"/>
                      <w:right w:val="single" w:sz="4" w:space="0" w:color="auto"/>
                    </w:tcBorders>
                  </w:tcPr>
                  <w:p w14:paraId="15E3F5AD" w14:textId="77777777" w:rsidR="007E7472" w:rsidRPr="00E77029" w:rsidRDefault="00EC1269">
                    <w:pPr>
                      <w:rPr>
                        <w:rFonts w:asciiTheme="minorEastAsia" w:eastAsiaTheme="minorEastAsia" w:hAnsiTheme="minorEastAsia" w:cs="Times New Roman"/>
                      </w:rPr>
                    </w:pPr>
                    <w:r w:rsidRPr="00E77029">
                      <w:rPr>
                        <w:rFonts w:asciiTheme="minorEastAsia" w:eastAsiaTheme="minorEastAsia" w:hAnsiTheme="minorEastAsia" w:cs="Times New Roman" w:hint="eastAsia"/>
                      </w:rPr>
                      <w:t>企业所得税</w:t>
                    </w:r>
                  </w:p>
                </w:tc>
                <w:tc>
                  <w:tcPr>
                    <w:tcW w:w="2191" w:type="dxa"/>
                    <w:tcBorders>
                      <w:top w:val="single" w:sz="4" w:space="0" w:color="auto"/>
                      <w:left w:val="single" w:sz="4" w:space="0" w:color="auto"/>
                      <w:bottom w:val="single" w:sz="4" w:space="0" w:color="auto"/>
                      <w:right w:val="single" w:sz="4" w:space="0" w:color="auto"/>
                    </w:tcBorders>
                  </w:tcPr>
                  <w:p w14:paraId="6554A9B7" w14:textId="77777777" w:rsidR="007E7472" w:rsidRPr="00E77029" w:rsidRDefault="00EC1269">
                    <w:pPr>
                      <w:rPr>
                        <w:rFonts w:asciiTheme="minorEastAsia" w:eastAsiaTheme="minorEastAsia" w:hAnsiTheme="minorEastAsia" w:cs="Times New Roman"/>
                      </w:rPr>
                    </w:pPr>
                    <w:r w:rsidRPr="00E77029">
                      <w:rPr>
                        <w:rFonts w:asciiTheme="minorEastAsia" w:eastAsiaTheme="minorEastAsia" w:hAnsiTheme="minorEastAsia" w:cs="Times New Roman" w:hint="eastAsia"/>
                      </w:rPr>
                      <w:t>应纳税所得额</w:t>
                    </w:r>
                  </w:p>
                </w:tc>
                <w:tc>
                  <w:tcPr>
                    <w:tcW w:w="2252" w:type="dxa"/>
                    <w:tcBorders>
                      <w:top w:val="single" w:sz="4" w:space="0" w:color="auto"/>
                      <w:left w:val="single" w:sz="4" w:space="0" w:color="auto"/>
                      <w:bottom w:val="single" w:sz="4" w:space="0" w:color="auto"/>
                      <w:right w:val="single" w:sz="4" w:space="0" w:color="auto"/>
                    </w:tcBorders>
                  </w:tcPr>
                  <w:p w14:paraId="7BFFB056" w14:textId="77777777" w:rsidR="007E7472" w:rsidRPr="00E77029" w:rsidRDefault="00EC1269">
                    <w:pPr>
                      <w:jc w:val="center"/>
                      <w:rPr>
                        <w:rFonts w:asciiTheme="minorEastAsia" w:eastAsiaTheme="minorEastAsia" w:hAnsiTheme="minorEastAsia" w:cs="Times New Roman"/>
                      </w:rPr>
                    </w:pPr>
                    <w:r w:rsidRPr="00E77029">
                      <w:rPr>
                        <w:rFonts w:asciiTheme="minorEastAsia" w:eastAsiaTheme="minorEastAsia" w:hAnsiTheme="minorEastAsia" w:cs="Times New Roman" w:hint="eastAsia"/>
                      </w:rPr>
                      <w:t>16.5%</w:t>
                    </w:r>
                  </w:p>
                </w:tc>
              </w:tr>
              <w:tr w:rsidR="007E7472" w:rsidRPr="00E77029" w14:paraId="19A684F9" w14:textId="77777777">
                <w:tc>
                  <w:tcPr>
                    <w:tcW w:w="2081" w:type="dxa"/>
                    <w:tcBorders>
                      <w:top w:val="single" w:sz="4" w:space="0" w:color="auto"/>
                      <w:left w:val="single" w:sz="4" w:space="0" w:color="auto"/>
                      <w:bottom w:val="single" w:sz="4" w:space="0" w:color="auto"/>
                      <w:right w:val="single" w:sz="4" w:space="0" w:color="auto"/>
                    </w:tcBorders>
                  </w:tcPr>
                  <w:p w14:paraId="3BA95102" w14:textId="77777777" w:rsidR="007E7472" w:rsidRPr="00E77029" w:rsidRDefault="00EC1269">
                    <w:pPr>
                      <w:rPr>
                        <w:rFonts w:asciiTheme="minorEastAsia" w:eastAsiaTheme="minorEastAsia" w:hAnsiTheme="minorEastAsia" w:cs="Times New Roman"/>
                      </w:rPr>
                    </w:pPr>
                    <w:r w:rsidRPr="00E77029">
                      <w:rPr>
                        <w:rFonts w:asciiTheme="minorEastAsia" w:eastAsiaTheme="minorEastAsia" w:hAnsiTheme="minorEastAsia" w:cs="Times New Roman" w:hint="eastAsia"/>
                      </w:rPr>
                      <w:t>卢森堡</w:t>
                    </w:r>
                  </w:p>
                </w:tc>
                <w:tc>
                  <w:tcPr>
                    <w:tcW w:w="2191" w:type="dxa"/>
                    <w:tcBorders>
                      <w:top w:val="single" w:sz="4" w:space="0" w:color="auto"/>
                      <w:left w:val="single" w:sz="4" w:space="0" w:color="auto"/>
                      <w:bottom w:val="single" w:sz="4" w:space="0" w:color="auto"/>
                      <w:right w:val="single" w:sz="4" w:space="0" w:color="auto"/>
                    </w:tcBorders>
                  </w:tcPr>
                  <w:p w14:paraId="699581A8" w14:textId="77777777" w:rsidR="007E7472" w:rsidRPr="00E77029" w:rsidRDefault="00EC1269">
                    <w:pPr>
                      <w:rPr>
                        <w:rFonts w:asciiTheme="minorEastAsia" w:eastAsiaTheme="minorEastAsia" w:hAnsiTheme="minorEastAsia" w:cs="Times New Roman"/>
                      </w:rPr>
                    </w:pPr>
                    <w:r w:rsidRPr="00E77029">
                      <w:rPr>
                        <w:rFonts w:asciiTheme="minorEastAsia" w:eastAsiaTheme="minorEastAsia" w:hAnsiTheme="minorEastAsia" w:cs="Times New Roman" w:hint="eastAsia"/>
                      </w:rPr>
                      <w:t>企业所得税</w:t>
                    </w:r>
                  </w:p>
                </w:tc>
                <w:tc>
                  <w:tcPr>
                    <w:tcW w:w="2191" w:type="dxa"/>
                    <w:tcBorders>
                      <w:top w:val="single" w:sz="4" w:space="0" w:color="auto"/>
                      <w:left w:val="single" w:sz="4" w:space="0" w:color="auto"/>
                      <w:bottom w:val="single" w:sz="4" w:space="0" w:color="auto"/>
                      <w:right w:val="single" w:sz="4" w:space="0" w:color="auto"/>
                    </w:tcBorders>
                  </w:tcPr>
                  <w:p w14:paraId="279BF242" w14:textId="77777777" w:rsidR="007E7472" w:rsidRPr="00E77029" w:rsidRDefault="00EC1269">
                    <w:pPr>
                      <w:rPr>
                        <w:rFonts w:asciiTheme="minorEastAsia" w:eastAsiaTheme="minorEastAsia" w:hAnsiTheme="minorEastAsia" w:cs="Times New Roman"/>
                      </w:rPr>
                    </w:pPr>
                    <w:r w:rsidRPr="00E77029">
                      <w:rPr>
                        <w:rFonts w:asciiTheme="minorEastAsia" w:eastAsiaTheme="minorEastAsia" w:hAnsiTheme="minorEastAsia" w:cs="Times New Roman" w:hint="eastAsia"/>
                      </w:rPr>
                      <w:t>应纳税所得额</w:t>
                    </w:r>
                  </w:p>
                </w:tc>
                <w:tc>
                  <w:tcPr>
                    <w:tcW w:w="2252" w:type="dxa"/>
                    <w:tcBorders>
                      <w:top w:val="single" w:sz="4" w:space="0" w:color="auto"/>
                      <w:left w:val="single" w:sz="4" w:space="0" w:color="auto"/>
                      <w:bottom w:val="single" w:sz="4" w:space="0" w:color="auto"/>
                      <w:right w:val="single" w:sz="4" w:space="0" w:color="auto"/>
                    </w:tcBorders>
                  </w:tcPr>
                  <w:p w14:paraId="24A99ADB" w14:textId="77777777" w:rsidR="007E7472" w:rsidRPr="00E77029" w:rsidRDefault="00EC1269">
                    <w:pPr>
                      <w:jc w:val="center"/>
                      <w:rPr>
                        <w:rFonts w:asciiTheme="minorEastAsia" w:eastAsiaTheme="minorEastAsia" w:hAnsiTheme="minorEastAsia" w:cs="Times New Roman"/>
                      </w:rPr>
                    </w:pPr>
                    <w:r w:rsidRPr="00E77029">
                      <w:rPr>
                        <w:rFonts w:asciiTheme="minorEastAsia" w:eastAsiaTheme="minorEastAsia" w:hAnsiTheme="minorEastAsia" w:cs="Times New Roman" w:hint="eastAsia"/>
                      </w:rPr>
                      <w:t>24.94%</w:t>
                    </w:r>
                  </w:p>
                </w:tc>
              </w:tr>
              <w:tr w:rsidR="007E7472" w:rsidRPr="00E77029" w14:paraId="275320AE" w14:textId="77777777">
                <w:tc>
                  <w:tcPr>
                    <w:tcW w:w="2081" w:type="dxa"/>
                    <w:tcBorders>
                      <w:top w:val="single" w:sz="4" w:space="0" w:color="auto"/>
                      <w:left w:val="single" w:sz="4" w:space="0" w:color="auto"/>
                      <w:bottom w:val="single" w:sz="4" w:space="0" w:color="auto"/>
                      <w:right w:val="single" w:sz="4" w:space="0" w:color="auto"/>
                    </w:tcBorders>
                  </w:tcPr>
                  <w:p w14:paraId="24480DE4" w14:textId="77777777" w:rsidR="007E7472" w:rsidRPr="00E77029" w:rsidRDefault="00EC1269">
                    <w:pPr>
                      <w:rPr>
                        <w:rFonts w:asciiTheme="minorEastAsia" w:eastAsiaTheme="minorEastAsia" w:hAnsiTheme="minorEastAsia" w:cs="Times New Roman"/>
                      </w:rPr>
                    </w:pPr>
                    <w:r w:rsidRPr="00E77029">
                      <w:rPr>
                        <w:rFonts w:asciiTheme="minorEastAsia" w:eastAsiaTheme="minorEastAsia" w:hAnsiTheme="minorEastAsia" w:cs="Times New Roman" w:hint="eastAsia"/>
                      </w:rPr>
                      <w:t>加拿大</w:t>
                    </w:r>
                  </w:p>
                </w:tc>
                <w:tc>
                  <w:tcPr>
                    <w:tcW w:w="2191" w:type="dxa"/>
                    <w:tcBorders>
                      <w:top w:val="single" w:sz="4" w:space="0" w:color="auto"/>
                      <w:left w:val="single" w:sz="4" w:space="0" w:color="auto"/>
                      <w:bottom w:val="single" w:sz="4" w:space="0" w:color="auto"/>
                      <w:right w:val="single" w:sz="4" w:space="0" w:color="auto"/>
                    </w:tcBorders>
                  </w:tcPr>
                  <w:p w14:paraId="7B49979A" w14:textId="77777777" w:rsidR="007E7472" w:rsidRPr="00E77029" w:rsidRDefault="00EC1269">
                    <w:pPr>
                      <w:rPr>
                        <w:rFonts w:asciiTheme="minorEastAsia" w:eastAsiaTheme="minorEastAsia" w:hAnsiTheme="minorEastAsia" w:cs="Times New Roman"/>
                      </w:rPr>
                    </w:pPr>
                    <w:r w:rsidRPr="00E77029">
                      <w:rPr>
                        <w:rFonts w:asciiTheme="minorEastAsia" w:eastAsiaTheme="minorEastAsia" w:hAnsiTheme="minorEastAsia" w:cs="Times New Roman" w:hint="eastAsia"/>
                      </w:rPr>
                      <w:t>货物及服务税</w:t>
                    </w:r>
                  </w:p>
                </w:tc>
                <w:tc>
                  <w:tcPr>
                    <w:tcW w:w="2191" w:type="dxa"/>
                    <w:tcBorders>
                      <w:top w:val="single" w:sz="4" w:space="0" w:color="auto"/>
                      <w:left w:val="single" w:sz="4" w:space="0" w:color="auto"/>
                      <w:bottom w:val="single" w:sz="4" w:space="0" w:color="auto"/>
                      <w:right w:val="single" w:sz="4" w:space="0" w:color="auto"/>
                    </w:tcBorders>
                  </w:tcPr>
                  <w:p w14:paraId="5149DC7D" w14:textId="77777777" w:rsidR="007E7472" w:rsidRPr="00E77029" w:rsidRDefault="00EC1269">
                    <w:pPr>
                      <w:rPr>
                        <w:rFonts w:asciiTheme="minorEastAsia" w:eastAsiaTheme="minorEastAsia" w:hAnsiTheme="minorEastAsia" w:cs="Times New Roman"/>
                      </w:rPr>
                    </w:pPr>
                    <w:r w:rsidRPr="00E77029">
                      <w:rPr>
                        <w:rFonts w:asciiTheme="minorEastAsia" w:eastAsiaTheme="minorEastAsia" w:hAnsiTheme="minorEastAsia" w:cs="Times New Roman" w:hint="eastAsia"/>
                      </w:rPr>
                      <w:t>商品计税价格</w:t>
                    </w:r>
                  </w:p>
                </w:tc>
                <w:tc>
                  <w:tcPr>
                    <w:tcW w:w="2252" w:type="dxa"/>
                    <w:tcBorders>
                      <w:top w:val="single" w:sz="4" w:space="0" w:color="auto"/>
                      <w:left w:val="single" w:sz="4" w:space="0" w:color="auto"/>
                      <w:bottom w:val="single" w:sz="4" w:space="0" w:color="auto"/>
                      <w:right w:val="single" w:sz="4" w:space="0" w:color="auto"/>
                    </w:tcBorders>
                  </w:tcPr>
                  <w:p w14:paraId="199C96D5" w14:textId="77777777" w:rsidR="007E7472" w:rsidRPr="00E77029" w:rsidRDefault="00EC1269">
                    <w:pPr>
                      <w:jc w:val="center"/>
                      <w:rPr>
                        <w:rFonts w:asciiTheme="minorEastAsia" w:eastAsiaTheme="minorEastAsia" w:hAnsiTheme="minorEastAsia" w:cs="Times New Roman"/>
                      </w:rPr>
                    </w:pPr>
                    <w:r w:rsidRPr="00E77029">
                      <w:rPr>
                        <w:rFonts w:asciiTheme="minorEastAsia" w:eastAsiaTheme="minorEastAsia" w:hAnsiTheme="minorEastAsia" w:cs="Times New Roman" w:hint="eastAsia"/>
                      </w:rPr>
                      <w:t>5%</w:t>
                    </w:r>
                  </w:p>
                </w:tc>
              </w:tr>
              <w:tr w:rsidR="007E7472" w:rsidRPr="00E77029" w14:paraId="72B7D3FA" w14:textId="77777777">
                <w:tc>
                  <w:tcPr>
                    <w:tcW w:w="2081" w:type="dxa"/>
                    <w:tcBorders>
                      <w:top w:val="single" w:sz="4" w:space="0" w:color="auto"/>
                      <w:left w:val="single" w:sz="4" w:space="0" w:color="auto"/>
                      <w:bottom w:val="single" w:sz="4" w:space="0" w:color="auto"/>
                      <w:right w:val="single" w:sz="4" w:space="0" w:color="auto"/>
                    </w:tcBorders>
                  </w:tcPr>
                  <w:p w14:paraId="3B1968A3" w14:textId="77777777" w:rsidR="007E7472" w:rsidRPr="00E77029" w:rsidRDefault="00EC1269">
                    <w:pPr>
                      <w:rPr>
                        <w:rFonts w:asciiTheme="minorEastAsia" w:eastAsiaTheme="minorEastAsia" w:hAnsiTheme="minorEastAsia" w:cs="Times New Roman"/>
                      </w:rPr>
                    </w:pPr>
                    <w:r w:rsidRPr="00E77029">
                      <w:rPr>
                        <w:rFonts w:asciiTheme="minorEastAsia" w:eastAsiaTheme="minorEastAsia" w:hAnsiTheme="minorEastAsia" w:cs="Times New Roman" w:hint="eastAsia"/>
                      </w:rPr>
                      <w:t>加拿大</w:t>
                    </w:r>
                  </w:p>
                </w:tc>
                <w:tc>
                  <w:tcPr>
                    <w:tcW w:w="2191" w:type="dxa"/>
                    <w:tcBorders>
                      <w:top w:val="single" w:sz="4" w:space="0" w:color="auto"/>
                      <w:left w:val="single" w:sz="4" w:space="0" w:color="auto"/>
                      <w:bottom w:val="single" w:sz="4" w:space="0" w:color="auto"/>
                      <w:right w:val="single" w:sz="4" w:space="0" w:color="auto"/>
                    </w:tcBorders>
                  </w:tcPr>
                  <w:p w14:paraId="58CFFC3F" w14:textId="77777777" w:rsidR="007E7472" w:rsidRPr="00E77029" w:rsidRDefault="00EC1269">
                    <w:pPr>
                      <w:rPr>
                        <w:rFonts w:asciiTheme="minorEastAsia" w:eastAsiaTheme="minorEastAsia" w:hAnsiTheme="minorEastAsia" w:cs="Times New Roman"/>
                      </w:rPr>
                    </w:pPr>
                    <w:r w:rsidRPr="00E77029">
                      <w:rPr>
                        <w:rFonts w:asciiTheme="minorEastAsia" w:eastAsiaTheme="minorEastAsia" w:hAnsiTheme="minorEastAsia" w:cs="Times New Roman" w:hint="eastAsia"/>
                      </w:rPr>
                      <w:t>企业所得税</w:t>
                    </w:r>
                  </w:p>
                </w:tc>
                <w:tc>
                  <w:tcPr>
                    <w:tcW w:w="2191" w:type="dxa"/>
                    <w:tcBorders>
                      <w:top w:val="single" w:sz="4" w:space="0" w:color="auto"/>
                      <w:left w:val="single" w:sz="4" w:space="0" w:color="auto"/>
                      <w:bottom w:val="single" w:sz="4" w:space="0" w:color="auto"/>
                      <w:right w:val="single" w:sz="4" w:space="0" w:color="auto"/>
                    </w:tcBorders>
                  </w:tcPr>
                  <w:p w14:paraId="3E0CDE38" w14:textId="77777777" w:rsidR="007E7472" w:rsidRPr="00E77029" w:rsidRDefault="00EC1269">
                    <w:pPr>
                      <w:rPr>
                        <w:rFonts w:asciiTheme="minorEastAsia" w:eastAsiaTheme="minorEastAsia" w:hAnsiTheme="minorEastAsia" w:cs="Times New Roman"/>
                      </w:rPr>
                    </w:pPr>
                    <w:r w:rsidRPr="00E77029">
                      <w:rPr>
                        <w:rFonts w:asciiTheme="minorEastAsia" w:eastAsiaTheme="minorEastAsia" w:hAnsiTheme="minorEastAsia" w:cs="Times New Roman" w:hint="eastAsia"/>
                      </w:rPr>
                      <w:t>应纳税所得额</w:t>
                    </w:r>
                  </w:p>
                </w:tc>
                <w:tc>
                  <w:tcPr>
                    <w:tcW w:w="2252" w:type="dxa"/>
                    <w:tcBorders>
                      <w:top w:val="single" w:sz="4" w:space="0" w:color="auto"/>
                      <w:left w:val="single" w:sz="4" w:space="0" w:color="auto"/>
                      <w:bottom w:val="single" w:sz="4" w:space="0" w:color="auto"/>
                      <w:right w:val="single" w:sz="4" w:space="0" w:color="auto"/>
                    </w:tcBorders>
                  </w:tcPr>
                  <w:p w14:paraId="0EB5E250" w14:textId="77777777" w:rsidR="007E7472" w:rsidRPr="00E77029" w:rsidRDefault="00EC1269">
                    <w:pPr>
                      <w:jc w:val="center"/>
                      <w:rPr>
                        <w:rFonts w:asciiTheme="minorEastAsia" w:eastAsiaTheme="minorEastAsia" w:hAnsiTheme="minorEastAsia" w:cs="Times New Roman"/>
                      </w:rPr>
                    </w:pPr>
                    <w:r w:rsidRPr="00E77029">
                      <w:rPr>
                        <w:rFonts w:asciiTheme="minorEastAsia" w:eastAsiaTheme="minorEastAsia" w:hAnsiTheme="minorEastAsia" w:cs="Times New Roman" w:hint="eastAsia"/>
                      </w:rPr>
                      <w:t>26.5%</w:t>
                    </w:r>
                  </w:p>
                </w:tc>
              </w:tr>
            </w:tbl>
            <w:p w14:paraId="114C1183" w14:textId="77777777" w:rsidR="007E7472" w:rsidRPr="00E77029" w:rsidRDefault="00C8327E">
              <w:pPr>
                <w:rPr>
                  <w:rFonts w:asciiTheme="minorEastAsia" w:eastAsiaTheme="minorEastAsia" w:hAnsiTheme="minorEastAsia"/>
                </w:rPr>
              </w:pPr>
            </w:p>
          </w:sdtContent>
        </w:sdt>
        <w:p w14:paraId="2E489373" w14:textId="77777777" w:rsidR="007E7472" w:rsidRPr="00E77029" w:rsidRDefault="00EC1269">
          <w:pPr>
            <w:rPr>
              <w:rFonts w:asciiTheme="minorEastAsia" w:eastAsiaTheme="minorEastAsia" w:hAnsiTheme="minorEastAsia"/>
            </w:rPr>
          </w:pPr>
          <w:r w:rsidRPr="00E77029">
            <w:rPr>
              <w:rFonts w:asciiTheme="minorEastAsia" w:eastAsiaTheme="minorEastAsia" w:hAnsiTheme="minorEastAsia" w:hint="eastAsia"/>
            </w:rPr>
            <w:t>（</w:t>
          </w:r>
          <w:r w:rsidRPr="00E77029">
            <w:rPr>
              <w:rFonts w:asciiTheme="minorEastAsia" w:eastAsiaTheme="minorEastAsia" w:hAnsiTheme="minorEastAsia"/>
            </w:rPr>
            <w:t>4</w:t>
          </w:r>
          <w:r w:rsidRPr="00E77029">
            <w:rPr>
              <w:rFonts w:asciiTheme="minorEastAsia" w:eastAsiaTheme="minorEastAsia" w:hAnsiTheme="minorEastAsia" w:hint="eastAsia"/>
            </w:rPr>
            <w:t>）存在不同企业所得税税率纳税主体的，披露情况说明</w:t>
          </w:r>
        </w:p>
        <w:sdt>
          <w:sdtPr>
            <w:rPr>
              <w:rFonts w:asciiTheme="minorEastAsia" w:eastAsiaTheme="minorEastAsia" w:hAnsiTheme="minorEastAsia"/>
            </w:rPr>
            <w:alias w:val="是否适用：存在不同企业所得税税率纳税主体的，披露情况说明[双击切换]"/>
            <w:tag w:val="_GBC_848dc0d1182048ccb5485f3b0d7d1d70"/>
            <w:id w:val="944267500"/>
            <w:lock w:val="sdtLocked"/>
            <w:placeholder>
              <w:docPart w:val="GBC22222222222222222222222222222"/>
            </w:placeholder>
          </w:sdtPr>
          <w:sdtEndPr/>
          <w:sdtContent>
            <w:p w14:paraId="314D79D8" w14:textId="77777777" w:rsidR="007E7472" w:rsidRPr="00E77029" w:rsidRDefault="00EC1269">
              <w:pPr>
                <w:rPr>
                  <w:rFonts w:asciiTheme="minorEastAsia" w:eastAsiaTheme="minorEastAsia" w:hAnsiTheme="minorEastAsia"/>
                </w:rPr>
              </w:pPr>
              <w:r w:rsidRPr="00E77029">
                <w:rPr>
                  <w:rFonts w:asciiTheme="minorEastAsia" w:eastAsiaTheme="minorEastAsia" w:hAnsiTheme="minorEastAsia"/>
                </w:rPr>
                <w:fldChar w:fldCharType="begin"/>
              </w:r>
              <w:r w:rsidRPr="00E77029">
                <w:rPr>
                  <w:rFonts w:asciiTheme="minorEastAsia" w:eastAsiaTheme="minorEastAsia" w:hAnsiTheme="minorEastAsia"/>
                </w:rPr>
                <w:instrText xml:space="preserve"> MACROBUTTON  SnrToggleCheckbox □适用 </w:instrText>
              </w:r>
              <w:r w:rsidRPr="00E77029">
                <w:rPr>
                  <w:rFonts w:asciiTheme="minorEastAsia" w:eastAsiaTheme="minorEastAsia" w:hAnsiTheme="minorEastAsia"/>
                </w:rPr>
                <w:fldChar w:fldCharType="end"/>
              </w:r>
              <w:r w:rsidRPr="00E77029">
                <w:rPr>
                  <w:rFonts w:asciiTheme="minorEastAsia" w:eastAsiaTheme="minorEastAsia" w:hAnsiTheme="minorEastAsia"/>
                </w:rPr>
                <w:fldChar w:fldCharType="begin"/>
              </w:r>
              <w:r w:rsidRPr="00E77029">
                <w:rPr>
                  <w:rFonts w:asciiTheme="minorEastAsia" w:eastAsiaTheme="minorEastAsia" w:hAnsiTheme="minorEastAsia"/>
                </w:rPr>
                <w:instrText xml:space="preserve"> MACROBUTTON  SnrToggleCheckbox √不适用 </w:instrText>
              </w:r>
              <w:r w:rsidRPr="00E77029">
                <w:rPr>
                  <w:rFonts w:asciiTheme="minorEastAsia" w:eastAsiaTheme="minorEastAsia" w:hAnsiTheme="minorEastAsia"/>
                </w:rPr>
                <w:fldChar w:fldCharType="end"/>
              </w:r>
            </w:p>
          </w:sdtContent>
        </w:sdt>
      </w:sdtContent>
    </w:sdt>
    <w:sdt>
      <w:sdtPr>
        <w:rPr>
          <w:rFonts w:ascii="宋体" w:hAnsi="宋体" w:cs="宋体"/>
          <w:b w:val="0"/>
          <w:bCs w:val="0"/>
          <w:kern w:val="0"/>
          <w:sz w:val="24"/>
          <w:szCs w:val="22"/>
        </w:rPr>
        <w:alias w:val="模块:税收优惠及批文"/>
        <w:tag w:val="_GBC_8efa381cc976417f9135f0c744d05452"/>
        <w:id w:val="-1621991569"/>
        <w:lock w:val="sdtLocked"/>
        <w:placeholder>
          <w:docPart w:val="GBC22222222222222222222222222222"/>
        </w:placeholder>
      </w:sdtPr>
      <w:sdtEndPr>
        <w:rPr>
          <w:rFonts w:asciiTheme="minorEastAsia" w:eastAsiaTheme="minorEastAsia" w:hAnsiTheme="minorEastAsia" w:hint="eastAsia"/>
          <w:sz w:val="21"/>
          <w:szCs w:val="21"/>
        </w:rPr>
      </w:sdtEndPr>
      <w:sdtContent>
        <w:p w14:paraId="04482FDC" w14:textId="77777777" w:rsidR="007E7472" w:rsidRDefault="00EC1269" w:rsidP="00162493">
          <w:pPr>
            <w:pStyle w:val="3"/>
            <w:numPr>
              <w:ilvl w:val="0"/>
              <w:numId w:val="61"/>
            </w:numPr>
          </w:pPr>
          <w:r>
            <w:t>税收优惠</w:t>
          </w:r>
        </w:p>
        <w:sdt>
          <w:sdtPr>
            <w:rPr>
              <w:rFonts w:hint="eastAsia"/>
            </w:rPr>
            <w:alias w:val="是否适用：税收优惠[双击切换]"/>
            <w:tag w:val="_GBC_f8eb23e7a2e74e448e4eb46519d87bd6"/>
            <w:id w:val="-303245483"/>
            <w:lock w:val="sdtLocked"/>
            <w:placeholder>
              <w:docPart w:val="GBC22222222222222222222222222222"/>
            </w:placeholder>
          </w:sdtPr>
          <w:sdtEndPr/>
          <w:sdtContent>
            <w:p w14:paraId="6060BCF9" w14:textId="77777777" w:rsidR="007E7472" w:rsidRDefault="00EC1269">
              <w:r>
                <w:rPr>
                  <w:rFonts w:hint="eastAsia"/>
                </w:rPr>
                <w:fldChar w:fldCharType="begin"/>
              </w:r>
              <w:r>
                <w:rPr>
                  <w:rFonts w:hint="eastAsia"/>
                </w:rPr>
                <w:instrText xml:space="preserve"> MACROBUTTON  SnrToggleCheckbox √适用 </w:instrText>
              </w:r>
              <w:r>
                <w:rPr>
                  <w:rFonts w:hint="eastAsia"/>
                </w:rPr>
                <w:fldChar w:fldCharType="end"/>
              </w:r>
              <w:r>
                <w:rPr>
                  <w:rFonts w:hint="eastAsia"/>
                </w:rPr>
                <w:fldChar w:fldCharType="begin"/>
              </w:r>
              <w:r>
                <w:rPr>
                  <w:rFonts w:hint="eastAsia"/>
                </w:rPr>
                <w:instrText xml:space="preserve"> MACROBUTTON  SnrToggleCheckbox □不适用 </w:instrText>
              </w:r>
              <w:r>
                <w:rPr>
                  <w:rFonts w:hint="eastAsia"/>
                </w:rPr>
                <w:fldChar w:fldCharType="end"/>
              </w:r>
            </w:p>
          </w:sdtContent>
        </w:sdt>
        <w:sdt>
          <w:sdtPr>
            <w:rPr>
              <w:rFonts w:ascii="宋体" w:hAnsi="宋体" w:cs="宋体" w:hint="eastAsia"/>
              <w:b w:val="0"/>
              <w:bCs w:val="0"/>
              <w:kern w:val="0"/>
              <w:szCs w:val="21"/>
            </w:rPr>
            <w:alias w:val="优惠税赋及批文"/>
            <w:tag w:val="_GBC_3bbdacdaa3ba421fb8a81b9bda047bb4"/>
            <w:id w:val="794097538"/>
            <w:lock w:val="sdtLocked"/>
            <w:placeholder>
              <w:docPart w:val="GBC22222222222222222222222222222"/>
            </w:placeholder>
          </w:sdtPr>
          <w:sdtEndPr>
            <w:rPr>
              <w:rFonts w:asciiTheme="minorEastAsia" w:eastAsiaTheme="minorEastAsia" w:hAnsiTheme="minorEastAsia"/>
            </w:rPr>
          </w:sdtEndPr>
          <w:sdtContent>
            <w:p w14:paraId="7A3E832E" w14:textId="77777777" w:rsidR="007E7472" w:rsidRPr="006E4C6F" w:rsidRDefault="00EC1269" w:rsidP="007E7472">
              <w:pPr>
                <w:pStyle w:val="3"/>
                <w:widowControl/>
                <w:tabs>
                  <w:tab w:val="left" w:pos="602"/>
                  <w:tab w:val="left" w:pos="993"/>
                  <w:tab w:val="left" w:pos="1092"/>
                </w:tabs>
                <w:spacing w:beforeLines="50" w:before="156" w:afterLines="50" w:after="156" w:line="360" w:lineRule="exact"/>
                <w:ind w:leftChars="200" w:left="420"/>
                <w:rPr>
                  <w:rFonts w:asciiTheme="minorEastAsia" w:eastAsiaTheme="minorEastAsia" w:hAnsiTheme="minorEastAsia"/>
                  <w:b w:val="0"/>
                </w:rPr>
              </w:pPr>
              <w:r w:rsidRPr="006E4C6F">
                <w:rPr>
                  <w:rFonts w:asciiTheme="minorEastAsia" w:eastAsiaTheme="minorEastAsia" w:hAnsiTheme="minorEastAsia" w:hint="eastAsia"/>
                  <w:b w:val="0"/>
                </w:rPr>
                <w:t>（1）</w:t>
              </w:r>
              <w:r w:rsidRPr="006E4C6F">
                <w:rPr>
                  <w:rFonts w:asciiTheme="minorEastAsia" w:eastAsiaTheme="minorEastAsia" w:hAnsiTheme="minorEastAsia"/>
                  <w:b w:val="0"/>
                </w:rPr>
                <w:t>增值税税收优惠</w:t>
              </w:r>
            </w:p>
            <w:p w14:paraId="4B3B7D09" w14:textId="77777777" w:rsidR="007E7472" w:rsidRDefault="00EC1269">
              <w:pPr>
                <w:spacing w:beforeLines="50" w:before="156" w:afterLines="50" w:after="156" w:line="360" w:lineRule="exact"/>
                <w:ind w:firstLineChars="200" w:firstLine="420"/>
                <w:jc w:val="both"/>
              </w:pPr>
              <w:r>
                <w:rPr>
                  <w:rFonts w:hint="eastAsia"/>
                </w:rPr>
                <w:t>根据财政部、税务总局《关于明确增值税小规模纳税人减免增值税等政策的公告》</w:t>
              </w:r>
              <w:r>
                <w:t>2023年第1号，自2023年1月1日至2023年12月31日，允许生产性服务业纳税人按照当期可抵扣进项税额加计5%抵减应纳税额，允许生活性服务业纳税人按照当期可抵扣进项税额加计10%抵减应纳税额。纳税人适用加计抵减政策的其他有关事项，按照《财政部税务总局海关总署关于深化增值税改革有关政策的公告》（财政部税务总局海关总署公告2019年第39号）、《财政部税务总局关于明确生活性服务业增值税加计抵减政策的公告》（财政部</w:t>
              </w:r>
              <w:r>
                <w:t> </w:t>
              </w:r>
              <w:r>
                <w:t>税务总局公</w:t>
              </w:r>
              <w:r>
                <w:rPr>
                  <w:rFonts w:hint="eastAsia"/>
                </w:rPr>
                <w:t>告</w:t>
              </w:r>
              <w:r>
                <w:t>2019年第87号）等有关规定执行。</w:t>
              </w:r>
            </w:p>
            <w:p w14:paraId="4438AFE4" w14:textId="77777777" w:rsidR="007E7472" w:rsidRPr="006E4C6F" w:rsidRDefault="00EC1269" w:rsidP="007E7472">
              <w:pPr>
                <w:ind w:left="425"/>
                <w:outlineLvl w:val="2"/>
                <w:rPr>
                  <w:rFonts w:asciiTheme="minorEastAsia" w:eastAsiaTheme="minorEastAsia" w:hAnsiTheme="minorEastAsia" w:cs="Times New Roman"/>
                  <w:bCs/>
                  <w:kern w:val="2"/>
                  <w:szCs w:val="32"/>
                </w:rPr>
              </w:pPr>
              <w:r w:rsidRPr="006E4C6F">
                <w:rPr>
                  <w:rFonts w:asciiTheme="minorEastAsia" w:eastAsiaTheme="minorEastAsia" w:hAnsiTheme="minorEastAsia" w:cs="Times New Roman" w:hint="eastAsia"/>
                  <w:bCs/>
                  <w:kern w:val="2"/>
                  <w:szCs w:val="32"/>
                </w:rPr>
                <w:t>（2）资源税税收优惠</w:t>
              </w:r>
            </w:p>
            <w:p w14:paraId="4DC08DB3" w14:textId="77777777" w:rsidR="007E7472" w:rsidRDefault="00EC1269">
              <w:pPr>
                <w:tabs>
                  <w:tab w:val="left" w:pos="800"/>
                  <w:tab w:val="left" w:pos="900"/>
                </w:tabs>
                <w:spacing w:beforeLines="50" w:before="156" w:afterLines="50" w:after="156" w:line="360" w:lineRule="exact"/>
                <w:ind w:firstLineChars="200" w:firstLine="420"/>
                <w:jc w:val="both"/>
              </w:pPr>
              <w:r>
                <w:t>根据《财政部、国家税务总局关于实施煤炭资源税改革的通知》（财税〔2014〕72号）对衰竭期煤矿开采的煤炭，资源税减征30%。衰竭期煤矿，是指剩余可采储量下降到原设计可采储量的20%（含）以下，或者剩余服务年限不超过5年的煤矿。本公司南屯煤矿、鲍店煤矿、兴隆庄煤矿、济</w:t>
              </w:r>
              <w:r>
                <w:rPr>
                  <w:rFonts w:hint="eastAsia"/>
                </w:rPr>
                <w:t>宁</w:t>
              </w:r>
              <w:r>
                <w:t>二号煤矿自2015年起享受此优惠。</w:t>
              </w:r>
              <w:r>
                <w:rPr>
                  <w:rFonts w:hint="eastAsia"/>
                </w:rPr>
                <w:t>杨村煤矿自2017年起享受此优惠。</w:t>
              </w:r>
            </w:p>
            <w:p w14:paraId="6F08FDFE" w14:textId="77777777" w:rsidR="007E7472" w:rsidRPr="006E4C6F" w:rsidRDefault="00EC1269" w:rsidP="007E7472">
              <w:pPr>
                <w:ind w:left="425"/>
                <w:outlineLvl w:val="2"/>
                <w:rPr>
                  <w:rFonts w:asciiTheme="minorEastAsia" w:eastAsiaTheme="minorEastAsia" w:hAnsiTheme="minorEastAsia" w:cs="Times New Roman"/>
                  <w:bCs/>
                  <w:kern w:val="2"/>
                </w:rPr>
              </w:pPr>
              <w:r w:rsidRPr="006E4C6F">
                <w:rPr>
                  <w:rFonts w:asciiTheme="minorEastAsia" w:eastAsiaTheme="minorEastAsia" w:hAnsiTheme="minorEastAsia" w:cs="Times New Roman" w:hint="eastAsia"/>
                  <w:bCs/>
                  <w:kern w:val="2"/>
                  <w:szCs w:val="32"/>
                </w:rPr>
                <w:t>（</w:t>
              </w:r>
              <w:r w:rsidRPr="006E4C6F">
                <w:rPr>
                  <w:rFonts w:asciiTheme="minorEastAsia" w:eastAsiaTheme="minorEastAsia" w:hAnsiTheme="minorEastAsia" w:cs="Times New Roman"/>
                  <w:bCs/>
                  <w:kern w:val="2"/>
                </w:rPr>
                <w:t>3</w:t>
              </w:r>
              <w:r w:rsidRPr="006E4C6F">
                <w:rPr>
                  <w:rFonts w:asciiTheme="minorEastAsia" w:eastAsiaTheme="minorEastAsia" w:hAnsiTheme="minorEastAsia" w:cs="Times New Roman" w:hint="eastAsia"/>
                  <w:bCs/>
                  <w:kern w:val="2"/>
                </w:rPr>
                <w:t>）企业所得税税收优惠</w:t>
              </w:r>
            </w:p>
            <w:tbl>
              <w:tblPr>
                <w:tblStyle w:val="g4"/>
                <w:tblW w:w="0" w:type="auto"/>
                <w:tblInd w:w="108" w:type="dxa"/>
                <w:tblLook w:val="04A0" w:firstRow="1" w:lastRow="0" w:firstColumn="1" w:lastColumn="0" w:noHBand="0" w:noVBand="1"/>
              </w:tblPr>
              <w:tblGrid>
                <w:gridCol w:w="3656"/>
                <w:gridCol w:w="2220"/>
                <w:gridCol w:w="2839"/>
              </w:tblGrid>
              <w:tr w:rsidR="007E7472" w:rsidRPr="006E4C6F" w14:paraId="2C232FC2" w14:textId="77777777">
                <w:tc>
                  <w:tcPr>
                    <w:tcW w:w="3656" w:type="dxa"/>
                    <w:tcBorders>
                      <w:top w:val="single" w:sz="4" w:space="0" w:color="auto"/>
                      <w:left w:val="single" w:sz="4" w:space="0" w:color="auto"/>
                      <w:bottom w:val="single" w:sz="4" w:space="0" w:color="auto"/>
                      <w:right w:val="single" w:sz="4" w:space="0" w:color="auto"/>
                    </w:tcBorders>
                    <w:vAlign w:val="center"/>
                  </w:tcPr>
                  <w:p w14:paraId="4704DDAD" w14:textId="77777777" w:rsidR="007E7472" w:rsidRPr="006E4C6F" w:rsidRDefault="00EC1269">
                    <w:pPr>
                      <w:jc w:val="center"/>
                      <w:rPr>
                        <w:rFonts w:asciiTheme="minorEastAsia" w:eastAsiaTheme="minorEastAsia" w:hAnsiTheme="minorEastAsia"/>
                        <w:b/>
                      </w:rPr>
                    </w:pPr>
                    <w:r w:rsidRPr="006E4C6F">
                      <w:rPr>
                        <w:rFonts w:asciiTheme="minorEastAsia" w:eastAsiaTheme="minorEastAsia" w:hAnsiTheme="minorEastAsia" w:hint="eastAsia"/>
                        <w:b/>
                      </w:rPr>
                      <w:t>子公司</w:t>
                    </w:r>
                  </w:p>
                </w:tc>
                <w:tc>
                  <w:tcPr>
                    <w:tcW w:w="2220" w:type="dxa"/>
                    <w:tcBorders>
                      <w:top w:val="single" w:sz="4" w:space="0" w:color="auto"/>
                      <w:left w:val="single" w:sz="4" w:space="0" w:color="auto"/>
                      <w:bottom w:val="single" w:sz="4" w:space="0" w:color="auto"/>
                      <w:right w:val="single" w:sz="4" w:space="0" w:color="auto"/>
                    </w:tcBorders>
                    <w:vAlign w:val="center"/>
                  </w:tcPr>
                  <w:p w14:paraId="20B91EF9" w14:textId="77777777" w:rsidR="007E7472" w:rsidRPr="006E4C6F" w:rsidRDefault="00EC1269">
                    <w:pPr>
                      <w:jc w:val="center"/>
                      <w:rPr>
                        <w:rFonts w:asciiTheme="minorEastAsia" w:eastAsiaTheme="minorEastAsia" w:hAnsiTheme="minorEastAsia"/>
                        <w:b/>
                      </w:rPr>
                    </w:pPr>
                    <w:r w:rsidRPr="006E4C6F">
                      <w:rPr>
                        <w:rFonts w:asciiTheme="minorEastAsia" w:eastAsiaTheme="minorEastAsia" w:hAnsiTheme="minorEastAsia" w:hint="eastAsia"/>
                        <w:b/>
                      </w:rPr>
                      <w:t>税率</w:t>
                    </w:r>
                  </w:p>
                </w:tc>
                <w:tc>
                  <w:tcPr>
                    <w:tcW w:w="2839" w:type="dxa"/>
                    <w:tcBorders>
                      <w:top w:val="single" w:sz="4" w:space="0" w:color="auto"/>
                      <w:left w:val="single" w:sz="4" w:space="0" w:color="auto"/>
                      <w:bottom w:val="single" w:sz="4" w:space="0" w:color="auto"/>
                      <w:right w:val="single" w:sz="4" w:space="0" w:color="auto"/>
                    </w:tcBorders>
                  </w:tcPr>
                  <w:p w14:paraId="78E60A39" w14:textId="77777777" w:rsidR="007E7472" w:rsidRPr="006E4C6F" w:rsidRDefault="00EC1269">
                    <w:pPr>
                      <w:jc w:val="center"/>
                      <w:rPr>
                        <w:rFonts w:asciiTheme="minorEastAsia" w:eastAsiaTheme="minorEastAsia" w:hAnsiTheme="minorEastAsia"/>
                        <w:b/>
                      </w:rPr>
                    </w:pPr>
                    <w:r w:rsidRPr="006E4C6F">
                      <w:rPr>
                        <w:rFonts w:asciiTheme="minorEastAsia" w:eastAsiaTheme="minorEastAsia" w:hAnsiTheme="minorEastAsia" w:hint="eastAsia"/>
                        <w:b/>
                      </w:rPr>
                      <w:t>注释</w:t>
                    </w:r>
                  </w:p>
                </w:tc>
              </w:tr>
              <w:tr w:rsidR="007E7472" w:rsidRPr="006E4C6F" w14:paraId="38EA0025" w14:textId="77777777">
                <w:tc>
                  <w:tcPr>
                    <w:tcW w:w="3656" w:type="dxa"/>
                    <w:tcBorders>
                      <w:top w:val="single" w:sz="4" w:space="0" w:color="auto"/>
                      <w:left w:val="single" w:sz="4" w:space="0" w:color="auto"/>
                      <w:bottom w:val="single" w:sz="4" w:space="0" w:color="auto"/>
                      <w:right w:val="single" w:sz="4" w:space="0" w:color="auto"/>
                    </w:tcBorders>
                    <w:vAlign w:val="center"/>
                  </w:tcPr>
                  <w:p w14:paraId="5CEBF37A" w14:textId="77777777" w:rsidR="007E7472" w:rsidRPr="006E4C6F" w:rsidRDefault="00EC1269">
                    <w:pPr>
                      <w:rPr>
                        <w:rFonts w:asciiTheme="minorEastAsia" w:eastAsiaTheme="minorEastAsia" w:hAnsiTheme="minorEastAsia"/>
                      </w:rPr>
                    </w:pPr>
                    <w:r w:rsidRPr="006E4C6F">
                      <w:rPr>
                        <w:rFonts w:asciiTheme="minorEastAsia" w:eastAsiaTheme="minorEastAsia" w:hAnsiTheme="minorEastAsia" w:hint="eastAsia"/>
                      </w:rPr>
                      <w:t>鄂尔多斯市转龙湾煤炭有限公司</w:t>
                    </w:r>
                  </w:p>
                </w:tc>
                <w:tc>
                  <w:tcPr>
                    <w:tcW w:w="2220" w:type="dxa"/>
                    <w:tcBorders>
                      <w:top w:val="single" w:sz="4" w:space="0" w:color="auto"/>
                      <w:left w:val="single" w:sz="4" w:space="0" w:color="auto"/>
                      <w:bottom w:val="single" w:sz="4" w:space="0" w:color="auto"/>
                      <w:right w:val="single" w:sz="4" w:space="0" w:color="auto"/>
                    </w:tcBorders>
                    <w:vAlign w:val="center"/>
                  </w:tcPr>
                  <w:p w14:paraId="62E86C88" w14:textId="77777777" w:rsidR="007E7472" w:rsidRPr="006E4C6F" w:rsidRDefault="00EC1269">
                    <w:pPr>
                      <w:jc w:val="center"/>
                      <w:rPr>
                        <w:rFonts w:asciiTheme="minorEastAsia" w:eastAsiaTheme="minorEastAsia" w:hAnsiTheme="minorEastAsia"/>
                      </w:rPr>
                    </w:pPr>
                    <w:r w:rsidRPr="006E4C6F">
                      <w:rPr>
                        <w:rFonts w:asciiTheme="minorEastAsia" w:eastAsiaTheme="minorEastAsia" w:hAnsiTheme="minorEastAsia" w:hint="eastAsia"/>
                      </w:rPr>
                      <w:t>15%</w:t>
                    </w:r>
                  </w:p>
                </w:tc>
                <w:tc>
                  <w:tcPr>
                    <w:tcW w:w="2839" w:type="dxa"/>
                    <w:tcBorders>
                      <w:top w:val="single" w:sz="4" w:space="0" w:color="auto"/>
                      <w:left w:val="single" w:sz="4" w:space="0" w:color="auto"/>
                      <w:bottom w:val="single" w:sz="4" w:space="0" w:color="auto"/>
                      <w:right w:val="single" w:sz="4" w:space="0" w:color="auto"/>
                    </w:tcBorders>
                    <w:vAlign w:val="center"/>
                  </w:tcPr>
                  <w:p w14:paraId="099875C0" w14:textId="77777777" w:rsidR="007E7472" w:rsidRPr="006E4C6F" w:rsidRDefault="00EC1269">
                    <w:pPr>
                      <w:jc w:val="center"/>
                      <w:rPr>
                        <w:rFonts w:asciiTheme="minorEastAsia" w:eastAsiaTheme="minorEastAsia" w:hAnsiTheme="minorEastAsia"/>
                      </w:rPr>
                    </w:pPr>
                    <w:r w:rsidRPr="006E4C6F">
                      <w:rPr>
                        <w:rFonts w:asciiTheme="minorEastAsia" w:eastAsiaTheme="minorEastAsia" w:hAnsiTheme="minorEastAsia" w:hint="eastAsia"/>
                      </w:rPr>
                      <w:t>注1</w:t>
                    </w:r>
                  </w:p>
                </w:tc>
              </w:tr>
              <w:tr w:rsidR="007E7472" w:rsidRPr="006E4C6F" w14:paraId="1AE96434" w14:textId="77777777">
                <w:tc>
                  <w:tcPr>
                    <w:tcW w:w="3656" w:type="dxa"/>
                    <w:tcBorders>
                      <w:top w:val="single" w:sz="4" w:space="0" w:color="auto"/>
                      <w:left w:val="single" w:sz="4" w:space="0" w:color="auto"/>
                      <w:bottom w:val="single" w:sz="4" w:space="0" w:color="auto"/>
                      <w:right w:val="single" w:sz="4" w:space="0" w:color="auto"/>
                    </w:tcBorders>
                    <w:vAlign w:val="center"/>
                  </w:tcPr>
                  <w:p w14:paraId="04146A88" w14:textId="77777777" w:rsidR="007E7472" w:rsidRPr="006E4C6F" w:rsidRDefault="00EC1269">
                    <w:pPr>
                      <w:rPr>
                        <w:rFonts w:asciiTheme="minorEastAsia" w:eastAsiaTheme="minorEastAsia" w:hAnsiTheme="minorEastAsia"/>
                      </w:rPr>
                    </w:pPr>
                    <w:r w:rsidRPr="006E4C6F">
                      <w:rPr>
                        <w:rFonts w:asciiTheme="minorEastAsia" w:eastAsiaTheme="minorEastAsia" w:hAnsiTheme="minorEastAsia" w:hint="eastAsia"/>
                      </w:rPr>
                      <w:t>内蒙古荣信化工有限公司</w:t>
                    </w:r>
                  </w:p>
                </w:tc>
                <w:tc>
                  <w:tcPr>
                    <w:tcW w:w="2220" w:type="dxa"/>
                    <w:tcBorders>
                      <w:top w:val="single" w:sz="4" w:space="0" w:color="auto"/>
                      <w:left w:val="single" w:sz="4" w:space="0" w:color="auto"/>
                      <w:bottom w:val="single" w:sz="4" w:space="0" w:color="auto"/>
                      <w:right w:val="single" w:sz="4" w:space="0" w:color="auto"/>
                    </w:tcBorders>
                    <w:vAlign w:val="center"/>
                  </w:tcPr>
                  <w:p w14:paraId="1E4783C7" w14:textId="77777777" w:rsidR="007E7472" w:rsidRPr="006E4C6F" w:rsidRDefault="00EC1269">
                    <w:pPr>
                      <w:jc w:val="center"/>
                      <w:rPr>
                        <w:rFonts w:asciiTheme="minorEastAsia" w:eastAsiaTheme="minorEastAsia" w:hAnsiTheme="minorEastAsia"/>
                      </w:rPr>
                    </w:pPr>
                    <w:r w:rsidRPr="006E4C6F">
                      <w:rPr>
                        <w:rFonts w:asciiTheme="minorEastAsia" w:eastAsiaTheme="minorEastAsia" w:hAnsiTheme="minorEastAsia" w:hint="eastAsia"/>
                      </w:rPr>
                      <w:t>15%</w:t>
                    </w:r>
                  </w:p>
                </w:tc>
                <w:tc>
                  <w:tcPr>
                    <w:tcW w:w="2839" w:type="dxa"/>
                    <w:tcBorders>
                      <w:top w:val="single" w:sz="4" w:space="0" w:color="auto"/>
                      <w:left w:val="single" w:sz="4" w:space="0" w:color="auto"/>
                      <w:bottom w:val="single" w:sz="4" w:space="0" w:color="auto"/>
                      <w:right w:val="single" w:sz="4" w:space="0" w:color="auto"/>
                    </w:tcBorders>
                    <w:vAlign w:val="center"/>
                  </w:tcPr>
                  <w:p w14:paraId="38972EC1" w14:textId="77777777" w:rsidR="007E7472" w:rsidRPr="006E4C6F" w:rsidRDefault="00EC1269">
                    <w:pPr>
                      <w:jc w:val="center"/>
                      <w:rPr>
                        <w:rFonts w:asciiTheme="minorEastAsia" w:eastAsiaTheme="minorEastAsia" w:hAnsiTheme="minorEastAsia"/>
                      </w:rPr>
                    </w:pPr>
                    <w:r w:rsidRPr="006E4C6F">
                      <w:rPr>
                        <w:rFonts w:asciiTheme="minorEastAsia" w:eastAsiaTheme="minorEastAsia" w:hAnsiTheme="minorEastAsia" w:hint="eastAsia"/>
                      </w:rPr>
                      <w:t>注1</w:t>
                    </w:r>
                  </w:p>
                </w:tc>
              </w:tr>
              <w:tr w:rsidR="007E7472" w:rsidRPr="006E4C6F" w14:paraId="2D26FCEE" w14:textId="77777777">
                <w:tc>
                  <w:tcPr>
                    <w:tcW w:w="3656" w:type="dxa"/>
                    <w:tcBorders>
                      <w:top w:val="single" w:sz="4" w:space="0" w:color="auto"/>
                      <w:left w:val="single" w:sz="4" w:space="0" w:color="auto"/>
                      <w:bottom w:val="single" w:sz="4" w:space="0" w:color="auto"/>
                      <w:right w:val="single" w:sz="4" w:space="0" w:color="auto"/>
                    </w:tcBorders>
                    <w:vAlign w:val="center"/>
                  </w:tcPr>
                  <w:p w14:paraId="06B5DA50" w14:textId="77777777" w:rsidR="007E7472" w:rsidRPr="006E4C6F" w:rsidRDefault="00EC1269">
                    <w:pPr>
                      <w:rPr>
                        <w:rFonts w:asciiTheme="minorEastAsia" w:eastAsiaTheme="minorEastAsia" w:hAnsiTheme="minorEastAsia"/>
                      </w:rPr>
                    </w:pPr>
                    <w:r w:rsidRPr="006E4C6F">
                      <w:rPr>
                        <w:rFonts w:asciiTheme="minorEastAsia" w:eastAsiaTheme="minorEastAsia" w:hAnsiTheme="minorEastAsia" w:hint="eastAsia"/>
                      </w:rPr>
                      <w:t>兖州煤业榆林能化有限公司</w:t>
                    </w:r>
                  </w:p>
                </w:tc>
                <w:tc>
                  <w:tcPr>
                    <w:tcW w:w="2220" w:type="dxa"/>
                    <w:tcBorders>
                      <w:top w:val="single" w:sz="4" w:space="0" w:color="auto"/>
                      <w:left w:val="single" w:sz="4" w:space="0" w:color="auto"/>
                      <w:bottom w:val="single" w:sz="4" w:space="0" w:color="auto"/>
                      <w:right w:val="single" w:sz="4" w:space="0" w:color="auto"/>
                    </w:tcBorders>
                    <w:vAlign w:val="center"/>
                  </w:tcPr>
                  <w:p w14:paraId="0984E41E" w14:textId="77777777" w:rsidR="007E7472" w:rsidRPr="006E4C6F" w:rsidRDefault="00EC1269">
                    <w:pPr>
                      <w:jc w:val="center"/>
                      <w:rPr>
                        <w:rFonts w:asciiTheme="minorEastAsia" w:eastAsiaTheme="minorEastAsia" w:hAnsiTheme="minorEastAsia"/>
                      </w:rPr>
                    </w:pPr>
                    <w:r w:rsidRPr="006E4C6F">
                      <w:rPr>
                        <w:rFonts w:asciiTheme="minorEastAsia" w:eastAsiaTheme="minorEastAsia" w:hAnsiTheme="minorEastAsia" w:hint="eastAsia"/>
                      </w:rPr>
                      <w:t>15%</w:t>
                    </w:r>
                  </w:p>
                </w:tc>
                <w:tc>
                  <w:tcPr>
                    <w:tcW w:w="2839" w:type="dxa"/>
                    <w:tcBorders>
                      <w:top w:val="single" w:sz="4" w:space="0" w:color="auto"/>
                      <w:left w:val="single" w:sz="4" w:space="0" w:color="auto"/>
                      <w:bottom w:val="single" w:sz="4" w:space="0" w:color="auto"/>
                      <w:right w:val="single" w:sz="4" w:space="0" w:color="auto"/>
                    </w:tcBorders>
                    <w:vAlign w:val="center"/>
                  </w:tcPr>
                  <w:p w14:paraId="4A2FF717" w14:textId="77777777" w:rsidR="007E7472" w:rsidRPr="006E4C6F" w:rsidRDefault="00EC1269">
                    <w:pPr>
                      <w:jc w:val="center"/>
                      <w:rPr>
                        <w:rFonts w:asciiTheme="minorEastAsia" w:eastAsiaTheme="minorEastAsia" w:hAnsiTheme="minorEastAsia"/>
                      </w:rPr>
                    </w:pPr>
                    <w:r w:rsidRPr="006E4C6F">
                      <w:rPr>
                        <w:rFonts w:asciiTheme="minorEastAsia" w:eastAsiaTheme="minorEastAsia" w:hAnsiTheme="minorEastAsia" w:hint="eastAsia"/>
                      </w:rPr>
                      <w:t>注1</w:t>
                    </w:r>
                  </w:p>
                </w:tc>
              </w:tr>
              <w:tr w:rsidR="007E7472" w:rsidRPr="006E4C6F" w14:paraId="54430B0A" w14:textId="77777777">
                <w:tc>
                  <w:tcPr>
                    <w:tcW w:w="3656" w:type="dxa"/>
                    <w:tcBorders>
                      <w:top w:val="single" w:sz="4" w:space="0" w:color="auto"/>
                      <w:left w:val="single" w:sz="4" w:space="0" w:color="auto"/>
                      <w:bottom w:val="single" w:sz="4" w:space="0" w:color="auto"/>
                      <w:right w:val="single" w:sz="4" w:space="0" w:color="auto"/>
                    </w:tcBorders>
                    <w:vAlign w:val="center"/>
                  </w:tcPr>
                  <w:p w14:paraId="4BC20C8E" w14:textId="77777777" w:rsidR="007E7472" w:rsidRPr="006E4C6F" w:rsidRDefault="00EC1269">
                    <w:pPr>
                      <w:rPr>
                        <w:rFonts w:asciiTheme="minorEastAsia" w:eastAsiaTheme="minorEastAsia" w:hAnsiTheme="minorEastAsia"/>
                      </w:rPr>
                    </w:pPr>
                    <w:r w:rsidRPr="006E4C6F">
                      <w:rPr>
                        <w:rFonts w:asciiTheme="minorEastAsia" w:eastAsiaTheme="minorEastAsia" w:hAnsiTheme="minorEastAsia" w:hint="eastAsia"/>
                      </w:rPr>
                      <w:t>陕西未来能源化工有限公司</w:t>
                    </w:r>
                  </w:p>
                </w:tc>
                <w:tc>
                  <w:tcPr>
                    <w:tcW w:w="2220" w:type="dxa"/>
                    <w:tcBorders>
                      <w:top w:val="single" w:sz="4" w:space="0" w:color="auto"/>
                      <w:left w:val="single" w:sz="4" w:space="0" w:color="auto"/>
                      <w:bottom w:val="single" w:sz="4" w:space="0" w:color="auto"/>
                      <w:right w:val="single" w:sz="4" w:space="0" w:color="auto"/>
                    </w:tcBorders>
                    <w:vAlign w:val="center"/>
                  </w:tcPr>
                  <w:p w14:paraId="6E68721C" w14:textId="77777777" w:rsidR="007E7472" w:rsidRPr="006E4C6F" w:rsidRDefault="00EC1269">
                    <w:pPr>
                      <w:jc w:val="center"/>
                      <w:rPr>
                        <w:rFonts w:asciiTheme="minorEastAsia" w:eastAsiaTheme="minorEastAsia" w:hAnsiTheme="minorEastAsia"/>
                      </w:rPr>
                    </w:pPr>
                    <w:r w:rsidRPr="006E4C6F">
                      <w:rPr>
                        <w:rFonts w:asciiTheme="minorEastAsia" w:eastAsiaTheme="minorEastAsia" w:hAnsiTheme="minorEastAsia" w:hint="eastAsia"/>
                      </w:rPr>
                      <w:t>15%</w:t>
                    </w:r>
                  </w:p>
                </w:tc>
                <w:tc>
                  <w:tcPr>
                    <w:tcW w:w="2839" w:type="dxa"/>
                    <w:tcBorders>
                      <w:top w:val="single" w:sz="4" w:space="0" w:color="auto"/>
                      <w:left w:val="single" w:sz="4" w:space="0" w:color="auto"/>
                      <w:bottom w:val="single" w:sz="4" w:space="0" w:color="auto"/>
                      <w:right w:val="single" w:sz="4" w:space="0" w:color="auto"/>
                    </w:tcBorders>
                    <w:vAlign w:val="center"/>
                  </w:tcPr>
                  <w:p w14:paraId="37EE83CC" w14:textId="77777777" w:rsidR="007E7472" w:rsidRPr="006E4C6F" w:rsidRDefault="00EC1269">
                    <w:pPr>
                      <w:jc w:val="center"/>
                      <w:rPr>
                        <w:rFonts w:asciiTheme="minorEastAsia" w:eastAsiaTheme="minorEastAsia" w:hAnsiTheme="minorEastAsia"/>
                      </w:rPr>
                    </w:pPr>
                    <w:r w:rsidRPr="006E4C6F">
                      <w:rPr>
                        <w:rFonts w:asciiTheme="minorEastAsia" w:eastAsiaTheme="minorEastAsia" w:hAnsiTheme="minorEastAsia" w:hint="eastAsia"/>
                      </w:rPr>
                      <w:t>注1</w:t>
                    </w:r>
                  </w:p>
                </w:tc>
              </w:tr>
              <w:tr w:rsidR="007E7472" w:rsidRPr="006E4C6F" w14:paraId="4CF457F0" w14:textId="77777777">
                <w:tc>
                  <w:tcPr>
                    <w:tcW w:w="3656" w:type="dxa"/>
                    <w:tcBorders>
                      <w:top w:val="single" w:sz="4" w:space="0" w:color="auto"/>
                      <w:left w:val="single" w:sz="4" w:space="0" w:color="auto"/>
                      <w:bottom w:val="single" w:sz="4" w:space="0" w:color="auto"/>
                      <w:right w:val="single" w:sz="4" w:space="0" w:color="auto"/>
                    </w:tcBorders>
                    <w:vAlign w:val="center"/>
                  </w:tcPr>
                  <w:p w14:paraId="2B0B67FC" w14:textId="77777777" w:rsidR="007E7472" w:rsidRPr="006E4C6F" w:rsidRDefault="00EC1269">
                    <w:pPr>
                      <w:rPr>
                        <w:rFonts w:asciiTheme="minorEastAsia" w:eastAsiaTheme="minorEastAsia" w:hAnsiTheme="minorEastAsia"/>
                      </w:rPr>
                    </w:pPr>
                    <w:r w:rsidRPr="006E4C6F">
                      <w:rPr>
                        <w:rFonts w:asciiTheme="minorEastAsia" w:eastAsiaTheme="minorEastAsia" w:hAnsiTheme="minorEastAsia" w:hint="eastAsia"/>
                      </w:rPr>
                      <w:t>鄂尔多斯市锋威光电有限公司</w:t>
                    </w:r>
                  </w:p>
                </w:tc>
                <w:tc>
                  <w:tcPr>
                    <w:tcW w:w="2220" w:type="dxa"/>
                    <w:tcBorders>
                      <w:top w:val="single" w:sz="4" w:space="0" w:color="auto"/>
                      <w:left w:val="single" w:sz="4" w:space="0" w:color="auto"/>
                      <w:bottom w:val="single" w:sz="4" w:space="0" w:color="auto"/>
                      <w:right w:val="single" w:sz="4" w:space="0" w:color="auto"/>
                    </w:tcBorders>
                    <w:vAlign w:val="center"/>
                  </w:tcPr>
                  <w:p w14:paraId="6FA0F0DB" w14:textId="77777777" w:rsidR="007E7472" w:rsidRPr="006E4C6F" w:rsidRDefault="00EC1269">
                    <w:pPr>
                      <w:jc w:val="center"/>
                      <w:rPr>
                        <w:rFonts w:asciiTheme="minorEastAsia" w:eastAsiaTheme="minorEastAsia" w:hAnsiTheme="minorEastAsia"/>
                      </w:rPr>
                    </w:pPr>
                    <w:r w:rsidRPr="006E4C6F">
                      <w:rPr>
                        <w:rFonts w:asciiTheme="minorEastAsia" w:eastAsiaTheme="minorEastAsia" w:hAnsiTheme="minorEastAsia" w:hint="eastAsia"/>
                      </w:rPr>
                      <w:t>15%</w:t>
                    </w:r>
                  </w:p>
                </w:tc>
                <w:tc>
                  <w:tcPr>
                    <w:tcW w:w="2839" w:type="dxa"/>
                    <w:tcBorders>
                      <w:top w:val="single" w:sz="4" w:space="0" w:color="auto"/>
                      <w:left w:val="single" w:sz="4" w:space="0" w:color="auto"/>
                      <w:bottom w:val="single" w:sz="4" w:space="0" w:color="auto"/>
                      <w:right w:val="single" w:sz="4" w:space="0" w:color="auto"/>
                    </w:tcBorders>
                    <w:vAlign w:val="center"/>
                  </w:tcPr>
                  <w:p w14:paraId="0C44F840" w14:textId="77777777" w:rsidR="007E7472" w:rsidRPr="006E4C6F" w:rsidRDefault="00EC1269">
                    <w:pPr>
                      <w:jc w:val="center"/>
                      <w:rPr>
                        <w:rFonts w:asciiTheme="minorEastAsia" w:eastAsiaTheme="minorEastAsia" w:hAnsiTheme="minorEastAsia"/>
                      </w:rPr>
                    </w:pPr>
                    <w:r w:rsidRPr="006E4C6F">
                      <w:rPr>
                        <w:rFonts w:asciiTheme="minorEastAsia" w:eastAsiaTheme="minorEastAsia" w:hAnsiTheme="minorEastAsia" w:hint="eastAsia"/>
                      </w:rPr>
                      <w:t>注1</w:t>
                    </w:r>
                  </w:p>
                </w:tc>
              </w:tr>
              <w:tr w:rsidR="007E7472" w:rsidRPr="006E4C6F" w14:paraId="3158996A" w14:textId="77777777">
                <w:tc>
                  <w:tcPr>
                    <w:tcW w:w="3656" w:type="dxa"/>
                    <w:tcBorders>
                      <w:top w:val="single" w:sz="4" w:space="0" w:color="auto"/>
                      <w:left w:val="single" w:sz="4" w:space="0" w:color="auto"/>
                      <w:bottom w:val="single" w:sz="4" w:space="0" w:color="auto"/>
                      <w:right w:val="single" w:sz="4" w:space="0" w:color="auto"/>
                    </w:tcBorders>
                    <w:vAlign w:val="center"/>
                  </w:tcPr>
                  <w:p w14:paraId="54DE5DDD" w14:textId="77777777" w:rsidR="007E7472" w:rsidRPr="006E4C6F" w:rsidRDefault="00EC1269">
                    <w:pPr>
                      <w:rPr>
                        <w:rFonts w:asciiTheme="minorEastAsia" w:eastAsiaTheme="minorEastAsia" w:hAnsiTheme="minorEastAsia"/>
                      </w:rPr>
                    </w:pPr>
                    <w:r w:rsidRPr="006E4C6F">
                      <w:rPr>
                        <w:rFonts w:asciiTheme="minorEastAsia" w:eastAsiaTheme="minorEastAsia" w:hAnsiTheme="minorEastAsia" w:hint="eastAsia"/>
                      </w:rPr>
                      <w:t>内蒙古昊盛煤业有限公司</w:t>
                    </w:r>
                  </w:p>
                </w:tc>
                <w:tc>
                  <w:tcPr>
                    <w:tcW w:w="2220" w:type="dxa"/>
                    <w:tcBorders>
                      <w:top w:val="single" w:sz="4" w:space="0" w:color="auto"/>
                      <w:left w:val="single" w:sz="4" w:space="0" w:color="auto"/>
                      <w:bottom w:val="single" w:sz="4" w:space="0" w:color="auto"/>
                      <w:right w:val="single" w:sz="4" w:space="0" w:color="auto"/>
                    </w:tcBorders>
                    <w:vAlign w:val="center"/>
                  </w:tcPr>
                  <w:p w14:paraId="71C3D2A8" w14:textId="77777777" w:rsidR="007E7472" w:rsidRPr="006E4C6F" w:rsidRDefault="00EC1269">
                    <w:pPr>
                      <w:jc w:val="center"/>
                      <w:rPr>
                        <w:rFonts w:asciiTheme="minorEastAsia" w:eastAsiaTheme="minorEastAsia" w:hAnsiTheme="minorEastAsia"/>
                      </w:rPr>
                    </w:pPr>
                    <w:r w:rsidRPr="006E4C6F">
                      <w:rPr>
                        <w:rFonts w:asciiTheme="minorEastAsia" w:eastAsiaTheme="minorEastAsia" w:hAnsiTheme="minorEastAsia" w:hint="eastAsia"/>
                      </w:rPr>
                      <w:t>15%</w:t>
                    </w:r>
                  </w:p>
                </w:tc>
                <w:tc>
                  <w:tcPr>
                    <w:tcW w:w="2839" w:type="dxa"/>
                    <w:tcBorders>
                      <w:top w:val="single" w:sz="4" w:space="0" w:color="auto"/>
                      <w:left w:val="single" w:sz="4" w:space="0" w:color="auto"/>
                      <w:bottom w:val="single" w:sz="4" w:space="0" w:color="auto"/>
                      <w:right w:val="single" w:sz="4" w:space="0" w:color="auto"/>
                    </w:tcBorders>
                    <w:vAlign w:val="center"/>
                  </w:tcPr>
                  <w:p w14:paraId="00755C0A" w14:textId="77777777" w:rsidR="007E7472" w:rsidRPr="006E4C6F" w:rsidRDefault="00EC1269">
                    <w:pPr>
                      <w:jc w:val="center"/>
                      <w:rPr>
                        <w:rFonts w:asciiTheme="minorEastAsia" w:eastAsiaTheme="minorEastAsia" w:hAnsiTheme="minorEastAsia"/>
                      </w:rPr>
                    </w:pPr>
                    <w:r w:rsidRPr="006E4C6F">
                      <w:rPr>
                        <w:rFonts w:asciiTheme="minorEastAsia" w:eastAsiaTheme="minorEastAsia" w:hAnsiTheme="minorEastAsia" w:hint="eastAsia"/>
                      </w:rPr>
                      <w:t>注1</w:t>
                    </w:r>
                  </w:p>
                </w:tc>
              </w:tr>
              <w:tr w:rsidR="007E7472" w:rsidRPr="006E4C6F" w14:paraId="4AAB06BB" w14:textId="77777777">
                <w:tc>
                  <w:tcPr>
                    <w:tcW w:w="3656" w:type="dxa"/>
                    <w:tcBorders>
                      <w:top w:val="single" w:sz="4" w:space="0" w:color="auto"/>
                      <w:left w:val="single" w:sz="4" w:space="0" w:color="auto"/>
                      <w:bottom w:val="single" w:sz="4" w:space="0" w:color="auto"/>
                      <w:right w:val="single" w:sz="4" w:space="0" w:color="auto"/>
                    </w:tcBorders>
                    <w:vAlign w:val="center"/>
                  </w:tcPr>
                  <w:p w14:paraId="2F0250AD" w14:textId="77777777" w:rsidR="007E7472" w:rsidRPr="006E4C6F" w:rsidRDefault="00EC1269">
                    <w:pPr>
                      <w:rPr>
                        <w:rFonts w:asciiTheme="minorEastAsia" w:eastAsiaTheme="minorEastAsia" w:hAnsiTheme="minorEastAsia"/>
                      </w:rPr>
                    </w:pPr>
                    <w:r w:rsidRPr="006E4C6F">
                      <w:rPr>
                        <w:rFonts w:asciiTheme="minorEastAsia" w:eastAsiaTheme="minorEastAsia" w:hAnsiTheme="minorEastAsia" w:hint="eastAsia"/>
                      </w:rPr>
                      <w:t>兖矿东华重工有限公司</w:t>
                    </w:r>
                  </w:p>
                </w:tc>
                <w:tc>
                  <w:tcPr>
                    <w:tcW w:w="2220" w:type="dxa"/>
                    <w:tcBorders>
                      <w:top w:val="single" w:sz="4" w:space="0" w:color="auto"/>
                      <w:left w:val="single" w:sz="4" w:space="0" w:color="auto"/>
                      <w:bottom w:val="single" w:sz="4" w:space="0" w:color="auto"/>
                      <w:right w:val="single" w:sz="4" w:space="0" w:color="auto"/>
                    </w:tcBorders>
                    <w:vAlign w:val="center"/>
                  </w:tcPr>
                  <w:p w14:paraId="06DDC1AC" w14:textId="77777777" w:rsidR="007E7472" w:rsidRPr="006E4C6F" w:rsidRDefault="00EC1269">
                    <w:pPr>
                      <w:jc w:val="center"/>
                      <w:rPr>
                        <w:rFonts w:asciiTheme="minorEastAsia" w:eastAsiaTheme="minorEastAsia" w:hAnsiTheme="minorEastAsia"/>
                      </w:rPr>
                    </w:pPr>
                    <w:r w:rsidRPr="006E4C6F">
                      <w:rPr>
                        <w:rFonts w:asciiTheme="minorEastAsia" w:eastAsiaTheme="minorEastAsia" w:hAnsiTheme="minorEastAsia" w:hint="eastAsia"/>
                      </w:rPr>
                      <w:t>15%</w:t>
                    </w:r>
                  </w:p>
                </w:tc>
                <w:tc>
                  <w:tcPr>
                    <w:tcW w:w="2839" w:type="dxa"/>
                    <w:tcBorders>
                      <w:top w:val="single" w:sz="4" w:space="0" w:color="auto"/>
                      <w:left w:val="single" w:sz="4" w:space="0" w:color="auto"/>
                      <w:bottom w:val="single" w:sz="4" w:space="0" w:color="auto"/>
                      <w:right w:val="single" w:sz="4" w:space="0" w:color="auto"/>
                    </w:tcBorders>
                    <w:vAlign w:val="center"/>
                  </w:tcPr>
                  <w:p w14:paraId="045BA3E4" w14:textId="77777777" w:rsidR="007E7472" w:rsidRPr="006E4C6F" w:rsidRDefault="00EC1269">
                    <w:pPr>
                      <w:jc w:val="center"/>
                      <w:rPr>
                        <w:rFonts w:asciiTheme="minorEastAsia" w:eastAsiaTheme="minorEastAsia" w:hAnsiTheme="minorEastAsia"/>
                      </w:rPr>
                    </w:pPr>
                    <w:r w:rsidRPr="006E4C6F">
                      <w:rPr>
                        <w:rFonts w:asciiTheme="minorEastAsia" w:eastAsiaTheme="minorEastAsia" w:hAnsiTheme="minorEastAsia" w:hint="eastAsia"/>
                      </w:rPr>
                      <w:t>注2</w:t>
                    </w:r>
                  </w:p>
                </w:tc>
              </w:tr>
              <w:tr w:rsidR="007E7472" w:rsidRPr="006E4C6F" w14:paraId="4BFC3F2A" w14:textId="77777777">
                <w:tc>
                  <w:tcPr>
                    <w:tcW w:w="3656" w:type="dxa"/>
                    <w:tcBorders>
                      <w:top w:val="single" w:sz="4" w:space="0" w:color="auto"/>
                      <w:left w:val="single" w:sz="4" w:space="0" w:color="auto"/>
                      <w:bottom w:val="single" w:sz="4" w:space="0" w:color="auto"/>
                      <w:right w:val="single" w:sz="4" w:space="0" w:color="auto"/>
                    </w:tcBorders>
                    <w:vAlign w:val="center"/>
                  </w:tcPr>
                  <w:p w14:paraId="1E2E0C2A" w14:textId="77777777" w:rsidR="007E7472" w:rsidRPr="006E4C6F" w:rsidRDefault="00EC1269">
                    <w:pPr>
                      <w:rPr>
                        <w:rFonts w:asciiTheme="minorEastAsia" w:eastAsiaTheme="minorEastAsia" w:hAnsiTheme="minorEastAsia"/>
                      </w:rPr>
                    </w:pPr>
                    <w:r w:rsidRPr="006E4C6F">
                      <w:rPr>
                        <w:rFonts w:asciiTheme="minorEastAsia" w:eastAsiaTheme="minorEastAsia" w:hAnsiTheme="minorEastAsia" w:hint="eastAsia"/>
                      </w:rPr>
                      <w:t>兖矿集团邹城金通橡胶有限公司</w:t>
                    </w:r>
                  </w:p>
                </w:tc>
                <w:tc>
                  <w:tcPr>
                    <w:tcW w:w="2220" w:type="dxa"/>
                    <w:tcBorders>
                      <w:top w:val="single" w:sz="4" w:space="0" w:color="auto"/>
                      <w:left w:val="single" w:sz="4" w:space="0" w:color="auto"/>
                      <w:bottom w:val="single" w:sz="4" w:space="0" w:color="auto"/>
                      <w:right w:val="single" w:sz="4" w:space="0" w:color="auto"/>
                    </w:tcBorders>
                    <w:vAlign w:val="center"/>
                  </w:tcPr>
                  <w:p w14:paraId="67956958" w14:textId="77777777" w:rsidR="007E7472" w:rsidRPr="006E4C6F" w:rsidRDefault="00EC1269">
                    <w:pPr>
                      <w:jc w:val="center"/>
                      <w:rPr>
                        <w:rFonts w:asciiTheme="minorEastAsia" w:eastAsiaTheme="minorEastAsia" w:hAnsiTheme="minorEastAsia"/>
                      </w:rPr>
                    </w:pPr>
                    <w:r w:rsidRPr="006E4C6F">
                      <w:rPr>
                        <w:rFonts w:asciiTheme="minorEastAsia" w:eastAsiaTheme="minorEastAsia" w:hAnsiTheme="minorEastAsia" w:hint="eastAsia"/>
                      </w:rPr>
                      <w:t>15%</w:t>
                    </w:r>
                  </w:p>
                </w:tc>
                <w:tc>
                  <w:tcPr>
                    <w:tcW w:w="2839" w:type="dxa"/>
                    <w:tcBorders>
                      <w:top w:val="single" w:sz="4" w:space="0" w:color="auto"/>
                      <w:left w:val="single" w:sz="4" w:space="0" w:color="auto"/>
                      <w:bottom w:val="single" w:sz="4" w:space="0" w:color="auto"/>
                      <w:right w:val="single" w:sz="4" w:space="0" w:color="auto"/>
                    </w:tcBorders>
                    <w:vAlign w:val="center"/>
                  </w:tcPr>
                  <w:p w14:paraId="69F736BF" w14:textId="77777777" w:rsidR="007E7472" w:rsidRPr="006E4C6F" w:rsidRDefault="00EC1269">
                    <w:pPr>
                      <w:jc w:val="center"/>
                      <w:rPr>
                        <w:rFonts w:asciiTheme="minorEastAsia" w:eastAsiaTheme="minorEastAsia" w:hAnsiTheme="minorEastAsia"/>
                      </w:rPr>
                    </w:pPr>
                    <w:r w:rsidRPr="006E4C6F">
                      <w:rPr>
                        <w:rFonts w:asciiTheme="minorEastAsia" w:eastAsiaTheme="minorEastAsia" w:hAnsiTheme="minorEastAsia" w:hint="eastAsia"/>
                      </w:rPr>
                      <w:t>注2</w:t>
                    </w:r>
                  </w:p>
                </w:tc>
              </w:tr>
              <w:tr w:rsidR="007E7472" w:rsidRPr="006E4C6F" w14:paraId="579C02B9" w14:textId="77777777">
                <w:tc>
                  <w:tcPr>
                    <w:tcW w:w="3656" w:type="dxa"/>
                    <w:tcBorders>
                      <w:top w:val="single" w:sz="4" w:space="0" w:color="auto"/>
                      <w:left w:val="single" w:sz="4" w:space="0" w:color="auto"/>
                      <w:bottom w:val="single" w:sz="4" w:space="0" w:color="auto"/>
                      <w:right w:val="single" w:sz="4" w:space="0" w:color="auto"/>
                    </w:tcBorders>
                    <w:vAlign w:val="center"/>
                  </w:tcPr>
                  <w:p w14:paraId="270FF8D0" w14:textId="77777777" w:rsidR="007E7472" w:rsidRPr="006E4C6F" w:rsidRDefault="00EC1269">
                    <w:pPr>
                      <w:rPr>
                        <w:rFonts w:asciiTheme="minorEastAsia" w:eastAsiaTheme="minorEastAsia" w:hAnsiTheme="minorEastAsia"/>
                      </w:rPr>
                    </w:pPr>
                    <w:r w:rsidRPr="006E4C6F">
                      <w:rPr>
                        <w:rFonts w:asciiTheme="minorEastAsia" w:eastAsiaTheme="minorEastAsia" w:hAnsiTheme="minorEastAsia" w:hint="eastAsia"/>
                      </w:rPr>
                      <w:t>兖州东方机电有限公司</w:t>
                    </w:r>
                  </w:p>
                </w:tc>
                <w:tc>
                  <w:tcPr>
                    <w:tcW w:w="2220" w:type="dxa"/>
                    <w:tcBorders>
                      <w:top w:val="single" w:sz="4" w:space="0" w:color="auto"/>
                      <w:left w:val="single" w:sz="4" w:space="0" w:color="auto"/>
                      <w:bottom w:val="single" w:sz="4" w:space="0" w:color="auto"/>
                      <w:right w:val="single" w:sz="4" w:space="0" w:color="auto"/>
                    </w:tcBorders>
                    <w:vAlign w:val="center"/>
                  </w:tcPr>
                  <w:p w14:paraId="2AC91323" w14:textId="77777777" w:rsidR="007E7472" w:rsidRPr="006E4C6F" w:rsidRDefault="00EC1269">
                    <w:pPr>
                      <w:jc w:val="center"/>
                      <w:rPr>
                        <w:rFonts w:asciiTheme="minorEastAsia" w:eastAsiaTheme="minorEastAsia" w:hAnsiTheme="minorEastAsia"/>
                      </w:rPr>
                    </w:pPr>
                    <w:r w:rsidRPr="006E4C6F">
                      <w:rPr>
                        <w:rFonts w:asciiTheme="minorEastAsia" w:eastAsiaTheme="minorEastAsia" w:hAnsiTheme="minorEastAsia" w:hint="eastAsia"/>
                      </w:rPr>
                      <w:t>15%</w:t>
                    </w:r>
                  </w:p>
                </w:tc>
                <w:tc>
                  <w:tcPr>
                    <w:tcW w:w="2839" w:type="dxa"/>
                    <w:tcBorders>
                      <w:top w:val="single" w:sz="4" w:space="0" w:color="auto"/>
                      <w:left w:val="single" w:sz="4" w:space="0" w:color="auto"/>
                      <w:bottom w:val="single" w:sz="4" w:space="0" w:color="auto"/>
                      <w:right w:val="single" w:sz="4" w:space="0" w:color="auto"/>
                    </w:tcBorders>
                    <w:vAlign w:val="center"/>
                  </w:tcPr>
                  <w:p w14:paraId="7EEFFBCE" w14:textId="77777777" w:rsidR="007E7472" w:rsidRPr="006E4C6F" w:rsidRDefault="00EC1269">
                    <w:pPr>
                      <w:jc w:val="center"/>
                      <w:rPr>
                        <w:rFonts w:asciiTheme="minorEastAsia" w:eastAsiaTheme="minorEastAsia" w:hAnsiTheme="minorEastAsia"/>
                      </w:rPr>
                    </w:pPr>
                    <w:r w:rsidRPr="006E4C6F">
                      <w:rPr>
                        <w:rFonts w:asciiTheme="minorEastAsia" w:eastAsiaTheme="minorEastAsia" w:hAnsiTheme="minorEastAsia" w:hint="eastAsia"/>
                      </w:rPr>
                      <w:t>注2</w:t>
                    </w:r>
                  </w:p>
                </w:tc>
              </w:tr>
              <w:tr w:rsidR="007E7472" w:rsidRPr="006E4C6F" w14:paraId="3DC2C238" w14:textId="77777777">
                <w:tc>
                  <w:tcPr>
                    <w:tcW w:w="3656" w:type="dxa"/>
                    <w:tcBorders>
                      <w:top w:val="single" w:sz="4" w:space="0" w:color="auto"/>
                      <w:left w:val="single" w:sz="4" w:space="0" w:color="auto"/>
                      <w:bottom w:val="single" w:sz="4" w:space="0" w:color="auto"/>
                      <w:right w:val="single" w:sz="4" w:space="0" w:color="auto"/>
                    </w:tcBorders>
                    <w:vAlign w:val="center"/>
                  </w:tcPr>
                  <w:p w14:paraId="17215AD6" w14:textId="77777777" w:rsidR="007E7472" w:rsidRPr="006E4C6F" w:rsidRDefault="00EC1269">
                    <w:pPr>
                      <w:rPr>
                        <w:rFonts w:asciiTheme="minorEastAsia" w:eastAsiaTheme="minorEastAsia" w:hAnsiTheme="minorEastAsia"/>
                      </w:rPr>
                    </w:pPr>
                    <w:r w:rsidRPr="006E4C6F">
                      <w:rPr>
                        <w:rFonts w:asciiTheme="minorEastAsia" w:eastAsiaTheme="minorEastAsia" w:hAnsiTheme="minorEastAsia" w:hint="eastAsia"/>
                      </w:rPr>
                      <w:t>山东兖矿集团长龙电缆制造有限公司</w:t>
                    </w:r>
                  </w:p>
                </w:tc>
                <w:tc>
                  <w:tcPr>
                    <w:tcW w:w="2220" w:type="dxa"/>
                    <w:tcBorders>
                      <w:top w:val="single" w:sz="4" w:space="0" w:color="auto"/>
                      <w:left w:val="single" w:sz="4" w:space="0" w:color="auto"/>
                      <w:bottom w:val="single" w:sz="4" w:space="0" w:color="auto"/>
                      <w:right w:val="single" w:sz="4" w:space="0" w:color="auto"/>
                    </w:tcBorders>
                    <w:vAlign w:val="center"/>
                  </w:tcPr>
                  <w:p w14:paraId="75A67F3B" w14:textId="77777777" w:rsidR="007E7472" w:rsidRPr="006E4C6F" w:rsidRDefault="00EC1269">
                    <w:pPr>
                      <w:jc w:val="center"/>
                      <w:rPr>
                        <w:rFonts w:asciiTheme="minorEastAsia" w:eastAsiaTheme="minorEastAsia" w:hAnsiTheme="minorEastAsia"/>
                      </w:rPr>
                    </w:pPr>
                    <w:r w:rsidRPr="006E4C6F">
                      <w:rPr>
                        <w:rFonts w:asciiTheme="minorEastAsia" w:eastAsiaTheme="minorEastAsia" w:hAnsiTheme="minorEastAsia" w:hint="eastAsia"/>
                      </w:rPr>
                      <w:t>15%</w:t>
                    </w:r>
                  </w:p>
                </w:tc>
                <w:tc>
                  <w:tcPr>
                    <w:tcW w:w="2839" w:type="dxa"/>
                    <w:tcBorders>
                      <w:top w:val="single" w:sz="4" w:space="0" w:color="auto"/>
                      <w:left w:val="single" w:sz="4" w:space="0" w:color="auto"/>
                      <w:bottom w:val="single" w:sz="4" w:space="0" w:color="auto"/>
                      <w:right w:val="single" w:sz="4" w:space="0" w:color="auto"/>
                    </w:tcBorders>
                    <w:vAlign w:val="center"/>
                  </w:tcPr>
                  <w:p w14:paraId="0F6C032E" w14:textId="77777777" w:rsidR="007E7472" w:rsidRPr="006E4C6F" w:rsidRDefault="00EC1269">
                    <w:pPr>
                      <w:jc w:val="center"/>
                      <w:rPr>
                        <w:rFonts w:asciiTheme="minorEastAsia" w:eastAsiaTheme="minorEastAsia" w:hAnsiTheme="minorEastAsia"/>
                      </w:rPr>
                    </w:pPr>
                    <w:r w:rsidRPr="006E4C6F">
                      <w:rPr>
                        <w:rFonts w:asciiTheme="minorEastAsia" w:eastAsiaTheme="minorEastAsia" w:hAnsiTheme="minorEastAsia" w:hint="eastAsia"/>
                      </w:rPr>
                      <w:t>注2</w:t>
                    </w:r>
                  </w:p>
                </w:tc>
              </w:tr>
              <w:tr w:rsidR="007E7472" w:rsidRPr="006E4C6F" w14:paraId="725A347A" w14:textId="77777777">
                <w:tc>
                  <w:tcPr>
                    <w:tcW w:w="3656" w:type="dxa"/>
                    <w:tcBorders>
                      <w:top w:val="single" w:sz="4" w:space="0" w:color="auto"/>
                      <w:left w:val="single" w:sz="4" w:space="0" w:color="auto"/>
                      <w:bottom w:val="single" w:sz="4" w:space="0" w:color="auto"/>
                      <w:right w:val="single" w:sz="4" w:space="0" w:color="auto"/>
                    </w:tcBorders>
                    <w:vAlign w:val="center"/>
                  </w:tcPr>
                  <w:p w14:paraId="73A1B542" w14:textId="77777777" w:rsidR="007E7472" w:rsidRPr="006E4C6F" w:rsidRDefault="00EC1269">
                    <w:pPr>
                      <w:rPr>
                        <w:rFonts w:asciiTheme="minorEastAsia" w:eastAsiaTheme="minorEastAsia" w:hAnsiTheme="minorEastAsia"/>
                      </w:rPr>
                    </w:pPr>
                    <w:r w:rsidRPr="006E4C6F">
                      <w:rPr>
                        <w:rFonts w:asciiTheme="minorEastAsia" w:eastAsiaTheme="minorEastAsia" w:hAnsiTheme="minorEastAsia" w:hint="eastAsia"/>
                      </w:rPr>
                      <w:t>兖矿集团唐村实业有限公司</w:t>
                    </w:r>
                  </w:p>
                </w:tc>
                <w:tc>
                  <w:tcPr>
                    <w:tcW w:w="2220" w:type="dxa"/>
                    <w:tcBorders>
                      <w:top w:val="single" w:sz="4" w:space="0" w:color="auto"/>
                      <w:left w:val="single" w:sz="4" w:space="0" w:color="auto"/>
                      <w:bottom w:val="single" w:sz="4" w:space="0" w:color="auto"/>
                      <w:right w:val="single" w:sz="4" w:space="0" w:color="auto"/>
                    </w:tcBorders>
                    <w:vAlign w:val="center"/>
                  </w:tcPr>
                  <w:p w14:paraId="1DB399CB" w14:textId="77777777" w:rsidR="007E7472" w:rsidRPr="006E4C6F" w:rsidRDefault="00EC1269">
                    <w:pPr>
                      <w:jc w:val="center"/>
                      <w:rPr>
                        <w:rFonts w:asciiTheme="minorEastAsia" w:eastAsiaTheme="minorEastAsia" w:hAnsiTheme="minorEastAsia"/>
                      </w:rPr>
                    </w:pPr>
                    <w:r w:rsidRPr="006E4C6F">
                      <w:rPr>
                        <w:rFonts w:asciiTheme="minorEastAsia" w:eastAsiaTheme="minorEastAsia" w:hAnsiTheme="minorEastAsia" w:hint="eastAsia"/>
                      </w:rPr>
                      <w:t>15%</w:t>
                    </w:r>
                  </w:p>
                </w:tc>
                <w:tc>
                  <w:tcPr>
                    <w:tcW w:w="2839" w:type="dxa"/>
                    <w:tcBorders>
                      <w:top w:val="single" w:sz="4" w:space="0" w:color="auto"/>
                      <w:left w:val="single" w:sz="4" w:space="0" w:color="auto"/>
                      <w:bottom w:val="single" w:sz="4" w:space="0" w:color="auto"/>
                      <w:right w:val="single" w:sz="4" w:space="0" w:color="auto"/>
                    </w:tcBorders>
                    <w:vAlign w:val="center"/>
                  </w:tcPr>
                  <w:p w14:paraId="0E1FBB1E" w14:textId="77777777" w:rsidR="007E7472" w:rsidRPr="006E4C6F" w:rsidRDefault="00EC1269">
                    <w:pPr>
                      <w:jc w:val="center"/>
                      <w:rPr>
                        <w:rFonts w:asciiTheme="minorEastAsia" w:eastAsiaTheme="minorEastAsia" w:hAnsiTheme="minorEastAsia"/>
                      </w:rPr>
                    </w:pPr>
                    <w:r w:rsidRPr="006E4C6F">
                      <w:rPr>
                        <w:rFonts w:asciiTheme="minorEastAsia" w:eastAsiaTheme="minorEastAsia" w:hAnsiTheme="minorEastAsia" w:hint="eastAsia"/>
                      </w:rPr>
                      <w:t>注2</w:t>
                    </w:r>
                  </w:p>
                </w:tc>
              </w:tr>
              <w:tr w:rsidR="007E7472" w:rsidRPr="006E4C6F" w14:paraId="23D41F0F" w14:textId="77777777">
                <w:tc>
                  <w:tcPr>
                    <w:tcW w:w="3656" w:type="dxa"/>
                    <w:tcBorders>
                      <w:top w:val="single" w:sz="4" w:space="0" w:color="auto"/>
                      <w:left w:val="single" w:sz="4" w:space="0" w:color="auto"/>
                      <w:bottom w:val="single" w:sz="4" w:space="0" w:color="auto"/>
                      <w:right w:val="single" w:sz="4" w:space="0" w:color="auto"/>
                    </w:tcBorders>
                    <w:vAlign w:val="center"/>
                  </w:tcPr>
                  <w:p w14:paraId="099C3093" w14:textId="77777777" w:rsidR="007E7472" w:rsidRPr="006E4C6F" w:rsidRDefault="00EC1269">
                    <w:pPr>
                      <w:rPr>
                        <w:rFonts w:asciiTheme="minorEastAsia" w:eastAsiaTheme="minorEastAsia" w:hAnsiTheme="minorEastAsia"/>
                      </w:rPr>
                    </w:pPr>
                    <w:r w:rsidRPr="006E4C6F">
                      <w:rPr>
                        <w:rFonts w:asciiTheme="minorEastAsia" w:eastAsiaTheme="minorEastAsia" w:hAnsiTheme="minorEastAsia" w:hint="eastAsia"/>
                      </w:rPr>
                      <w:t>兖矿榆林精细化工有限公司</w:t>
                    </w:r>
                  </w:p>
                </w:tc>
                <w:tc>
                  <w:tcPr>
                    <w:tcW w:w="2220" w:type="dxa"/>
                    <w:tcBorders>
                      <w:top w:val="single" w:sz="4" w:space="0" w:color="auto"/>
                      <w:left w:val="single" w:sz="4" w:space="0" w:color="auto"/>
                      <w:bottom w:val="single" w:sz="4" w:space="0" w:color="auto"/>
                      <w:right w:val="single" w:sz="4" w:space="0" w:color="auto"/>
                    </w:tcBorders>
                    <w:vAlign w:val="center"/>
                  </w:tcPr>
                  <w:p w14:paraId="48001B71" w14:textId="77777777" w:rsidR="007E7472" w:rsidRPr="006E4C6F" w:rsidRDefault="00EC1269">
                    <w:pPr>
                      <w:jc w:val="center"/>
                      <w:rPr>
                        <w:rFonts w:asciiTheme="minorEastAsia" w:eastAsiaTheme="minorEastAsia" w:hAnsiTheme="minorEastAsia"/>
                      </w:rPr>
                    </w:pPr>
                    <w:r w:rsidRPr="006E4C6F">
                      <w:rPr>
                        <w:rFonts w:asciiTheme="minorEastAsia" w:eastAsiaTheme="minorEastAsia" w:hAnsiTheme="minorEastAsia" w:hint="eastAsia"/>
                      </w:rPr>
                      <w:t>15%</w:t>
                    </w:r>
                  </w:p>
                </w:tc>
                <w:tc>
                  <w:tcPr>
                    <w:tcW w:w="2839" w:type="dxa"/>
                    <w:tcBorders>
                      <w:top w:val="single" w:sz="4" w:space="0" w:color="auto"/>
                      <w:left w:val="single" w:sz="4" w:space="0" w:color="auto"/>
                      <w:bottom w:val="single" w:sz="4" w:space="0" w:color="auto"/>
                      <w:right w:val="single" w:sz="4" w:space="0" w:color="auto"/>
                    </w:tcBorders>
                    <w:vAlign w:val="center"/>
                  </w:tcPr>
                  <w:p w14:paraId="4729A60D" w14:textId="77777777" w:rsidR="007E7472" w:rsidRPr="006E4C6F" w:rsidRDefault="00EC1269">
                    <w:pPr>
                      <w:jc w:val="center"/>
                      <w:rPr>
                        <w:rFonts w:asciiTheme="minorEastAsia" w:eastAsiaTheme="minorEastAsia" w:hAnsiTheme="minorEastAsia"/>
                      </w:rPr>
                    </w:pPr>
                    <w:r w:rsidRPr="006E4C6F">
                      <w:rPr>
                        <w:rFonts w:asciiTheme="minorEastAsia" w:eastAsiaTheme="minorEastAsia" w:hAnsiTheme="minorEastAsia" w:hint="eastAsia"/>
                      </w:rPr>
                      <w:t>注2</w:t>
                    </w:r>
                  </w:p>
                </w:tc>
              </w:tr>
              <w:tr w:rsidR="007E7472" w:rsidRPr="006E4C6F" w14:paraId="5EE06866" w14:textId="77777777">
                <w:tc>
                  <w:tcPr>
                    <w:tcW w:w="3656" w:type="dxa"/>
                    <w:tcBorders>
                      <w:top w:val="single" w:sz="4" w:space="0" w:color="auto"/>
                      <w:left w:val="single" w:sz="4" w:space="0" w:color="auto"/>
                      <w:bottom w:val="single" w:sz="4" w:space="0" w:color="auto"/>
                      <w:right w:val="single" w:sz="4" w:space="0" w:color="auto"/>
                    </w:tcBorders>
                    <w:vAlign w:val="center"/>
                  </w:tcPr>
                  <w:p w14:paraId="1BB8503A" w14:textId="77777777" w:rsidR="007E7472" w:rsidRPr="006E4C6F" w:rsidRDefault="00EC1269">
                    <w:pPr>
                      <w:rPr>
                        <w:rFonts w:asciiTheme="minorEastAsia" w:eastAsiaTheme="minorEastAsia" w:hAnsiTheme="minorEastAsia"/>
                      </w:rPr>
                    </w:pPr>
                    <w:r w:rsidRPr="006E4C6F">
                      <w:rPr>
                        <w:rFonts w:asciiTheme="minorEastAsia" w:eastAsiaTheme="minorEastAsia" w:hAnsiTheme="minorEastAsia" w:hint="eastAsia"/>
                      </w:rPr>
                      <w:t>兖矿鲁南化工有限公司</w:t>
                    </w:r>
                  </w:p>
                </w:tc>
                <w:tc>
                  <w:tcPr>
                    <w:tcW w:w="2220" w:type="dxa"/>
                    <w:tcBorders>
                      <w:top w:val="single" w:sz="4" w:space="0" w:color="auto"/>
                      <w:left w:val="single" w:sz="4" w:space="0" w:color="auto"/>
                      <w:bottom w:val="single" w:sz="4" w:space="0" w:color="auto"/>
                      <w:right w:val="single" w:sz="4" w:space="0" w:color="auto"/>
                    </w:tcBorders>
                    <w:vAlign w:val="center"/>
                  </w:tcPr>
                  <w:p w14:paraId="08EA8961" w14:textId="77777777" w:rsidR="007E7472" w:rsidRPr="006E4C6F" w:rsidRDefault="00EC1269">
                    <w:pPr>
                      <w:jc w:val="center"/>
                      <w:rPr>
                        <w:rFonts w:asciiTheme="minorEastAsia" w:eastAsiaTheme="minorEastAsia" w:hAnsiTheme="minorEastAsia"/>
                      </w:rPr>
                    </w:pPr>
                    <w:r w:rsidRPr="006E4C6F">
                      <w:rPr>
                        <w:rFonts w:asciiTheme="minorEastAsia" w:eastAsiaTheme="minorEastAsia" w:hAnsiTheme="minorEastAsia" w:hint="eastAsia"/>
                      </w:rPr>
                      <w:t>15%</w:t>
                    </w:r>
                  </w:p>
                </w:tc>
                <w:tc>
                  <w:tcPr>
                    <w:tcW w:w="2839" w:type="dxa"/>
                    <w:tcBorders>
                      <w:top w:val="single" w:sz="4" w:space="0" w:color="auto"/>
                      <w:left w:val="single" w:sz="4" w:space="0" w:color="auto"/>
                      <w:bottom w:val="single" w:sz="4" w:space="0" w:color="auto"/>
                      <w:right w:val="single" w:sz="4" w:space="0" w:color="auto"/>
                    </w:tcBorders>
                    <w:vAlign w:val="center"/>
                  </w:tcPr>
                  <w:p w14:paraId="28A50C95" w14:textId="77777777" w:rsidR="007E7472" w:rsidRPr="006E4C6F" w:rsidRDefault="00EC1269">
                    <w:pPr>
                      <w:jc w:val="center"/>
                      <w:rPr>
                        <w:rFonts w:asciiTheme="minorEastAsia" w:eastAsiaTheme="minorEastAsia" w:hAnsiTheme="minorEastAsia"/>
                      </w:rPr>
                    </w:pPr>
                    <w:r w:rsidRPr="006E4C6F">
                      <w:rPr>
                        <w:rFonts w:asciiTheme="minorEastAsia" w:eastAsiaTheme="minorEastAsia" w:hAnsiTheme="minorEastAsia" w:hint="eastAsia"/>
                      </w:rPr>
                      <w:t>注2</w:t>
                    </w:r>
                  </w:p>
                </w:tc>
              </w:tr>
              <w:tr w:rsidR="007E7472" w:rsidRPr="006E4C6F" w14:paraId="4EAED4DB" w14:textId="77777777">
                <w:tc>
                  <w:tcPr>
                    <w:tcW w:w="3656" w:type="dxa"/>
                    <w:tcBorders>
                      <w:top w:val="single" w:sz="4" w:space="0" w:color="auto"/>
                      <w:left w:val="single" w:sz="4" w:space="0" w:color="auto"/>
                      <w:bottom w:val="single" w:sz="4" w:space="0" w:color="auto"/>
                      <w:right w:val="single" w:sz="4" w:space="0" w:color="auto"/>
                    </w:tcBorders>
                    <w:vAlign w:val="center"/>
                  </w:tcPr>
                  <w:p w14:paraId="6211FAB4" w14:textId="77777777" w:rsidR="007E7472" w:rsidRPr="006E4C6F" w:rsidRDefault="00EC1269">
                    <w:pPr>
                      <w:rPr>
                        <w:rFonts w:asciiTheme="minorEastAsia" w:eastAsiaTheme="minorEastAsia" w:hAnsiTheme="minorEastAsia"/>
                      </w:rPr>
                    </w:pPr>
                    <w:r w:rsidRPr="006E4C6F">
                      <w:rPr>
                        <w:rFonts w:asciiTheme="minorEastAsia" w:eastAsiaTheme="minorEastAsia" w:hAnsiTheme="minorEastAsia" w:hint="eastAsia"/>
                      </w:rPr>
                      <w:t>兖矿济宁化工装备有限公司</w:t>
                    </w:r>
                  </w:p>
                </w:tc>
                <w:tc>
                  <w:tcPr>
                    <w:tcW w:w="2220" w:type="dxa"/>
                    <w:tcBorders>
                      <w:top w:val="single" w:sz="4" w:space="0" w:color="auto"/>
                      <w:left w:val="single" w:sz="4" w:space="0" w:color="auto"/>
                      <w:bottom w:val="single" w:sz="4" w:space="0" w:color="auto"/>
                      <w:right w:val="single" w:sz="4" w:space="0" w:color="auto"/>
                    </w:tcBorders>
                    <w:vAlign w:val="center"/>
                  </w:tcPr>
                  <w:p w14:paraId="66CBA993" w14:textId="77777777" w:rsidR="007E7472" w:rsidRPr="006E4C6F" w:rsidRDefault="00EC1269">
                    <w:pPr>
                      <w:jc w:val="center"/>
                      <w:rPr>
                        <w:rFonts w:asciiTheme="minorEastAsia" w:eastAsiaTheme="minorEastAsia" w:hAnsiTheme="minorEastAsia"/>
                      </w:rPr>
                    </w:pPr>
                    <w:r w:rsidRPr="006E4C6F">
                      <w:rPr>
                        <w:rFonts w:asciiTheme="minorEastAsia" w:eastAsiaTheme="minorEastAsia" w:hAnsiTheme="minorEastAsia" w:hint="eastAsia"/>
                      </w:rPr>
                      <w:t>15%</w:t>
                    </w:r>
                  </w:p>
                </w:tc>
                <w:tc>
                  <w:tcPr>
                    <w:tcW w:w="2839" w:type="dxa"/>
                    <w:tcBorders>
                      <w:top w:val="single" w:sz="4" w:space="0" w:color="auto"/>
                      <w:left w:val="single" w:sz="4" w:space="0" w:color="auto"/>
                      <w:bottom w:val="single" w:sz="4" w:space="0" w:color="auto"/>
                      <w:right w:val="single" w:sz="4" w:space="0" w:color="auto"/>
                    </w:tcBorders>
                    <w:vAlign w:val="center"/>
                  </w:tcPr>
                  <w:p w14:paraId="2E35529B" w14:textId="77777777" w:rsidR="007E7472" w:rsidRPr="006E4C6F" w:rsidRDefault="00EC1269">
                    <w:pPr>
                      <w:jc w:val="center"/>
                      <w:rPr>
                        <w:rFonts w:asciiTheme="minorEastAsia" w:eastAsiaTheme="minorEastAsia" w:hAnsiTheme="minorEastAsia"/>
                      </w:rPr>
                    </w:pPr>
                    <w:r w:rsidRPr="006E4C6F">
                      <w:rPr>
                        <w:rFonts w:asciiTheme="minorEastAsia" w:eastAsiaTheme="minorEastAsia" w:hAnsiTheme="minorEastAsia" w:hint="eastAsia"/>
                      </w:rPr>
                      <w:t>注2</w:t>
                    </w:r>
                  </w:p>
                </w:tc>
              </w:tr>
              <w:tr w:rsidR="007E7472" w:rsidRPr="006E4C6F" w14:paraId="6A50A3F7" w14:textId="77777777">
                <w:tc>
                  <w:tcPr>
                    <w:tcW w:w="3656" w:type="dxa"/>
                    <w:tcBorders>
                      <w:top w:val="single" w:sz="4" w:space="0" w:color="auto"/>
                      <w:left w:val="single" w:sz="4" w:space="0" w:color="auto"/>
                      <w:bottom w:val="single" w:sz="4" w:space="0" w:color="auto"/>
                      <w:right w:val="single" w:sz="4" w:space="0" w:color="auto"/>
                    </w:tcBorders>
                    <w:vAlign w:val="center"/>
                  </w:tcPr>
                  <w:p w14:paraId="2428B984" w14:textId="77777777" w:rsidR="007E7472" w:rsidRPr="006E4C6F" w:rsidRDefault="00EC1269">
                    <w:pPr>
                      <w:rPr>
                        <w:rFonts w:asciiTheme="minorEastAsia" w:eastAsiaTheme="minorEastAsia" w:hAnsiTheme="minorEastAsia"/>
                      </w:rPr>
                    </w:pPr>
                    <w:r w:rsidRPr="006E4C6F">
                      <w:rPr>
                        <w:rFonts w:asciiTheme="minorEastAsia" w:eastAsiaTheme="minorEastAsia" w:hAnsiTheme="minorEastAsia" w:hint="eastAsia"/>
                      </w:rPr>
                      <w:t>兖煤蓝天清洁能源有限公司</w:t>
                    </w:r>
                  </w:p>
                </w:tc>
                <w:tc>
                  <w:tcPr>
                    <w:tcW w:w="2220" w:type="dxa"/>
                    <w:tcBorders>
                      <w:top w:val="single" w:sz="4" w:space="0" w:color="auto"/>
                      <w:left w:val="single" w:sz="4" w:space="0" w:color="auto"/>
                      <w:bottom w:val="single" w:sz="4" w:space="0" w:color="auto"/>
                      <w:right w:val="single" w:sz="4" w:space="0" w:color="auto"/>
                    </w:tcBorders>
                    <w:vAlign w:val="center"/>
                  </w:tcPr>
                  <w:p w14:paraId="4961BC44" w14:textId="77777777" w:rsidR="007E7472" w:rsidRPr="006E4C6F" w:rsidRDefault="00EC1269">
                    <w:pPr>
                      <w:jc w:val="center"/>
                      <w:rPr>
                        <w:rFonts w:asciiTheme="minorEastAsia" w:eastAsiaTheme="minorEastAsia" w:hAnsiTheme="minorEastAsia"/>
                      </w:rPr>
                    </w:pPr>
                    <w:r w:rsidRPr="006E4C6F">
                      <w:rPr>
                        <w:rFonts w:asciiTheme="minorEastAsia" w:eastAsiaTheme="minorEastAsia" w:hAnsiTheme="minorEastAsia" w:hint="eastAsia"/>
                      </w:rPr>
                      <w:t>15%</w:t>
                    </w:r>
                  </w:p>
                </w:tc>
                <w:tc>
                  <w:tcPr>
                    <w:tcW w:w="2839" w:type="dxa"/>
                    <w:tcBorders>
                      <w:top w:val="single" w:sz="4" w:space="0" w:color="auto"/>
                      <w:left w:val="single" w:sz="4" w:space="0" w:color="auto"/>
                      <w:bottom w:val="single" w:sz="4" w:space="0" w:color="auto"/>
                      <w:right w:val="single" w:sz="4" w:space="0" w:color="auto"/>
                    </w:tcBorders>
                    <w:vAlign w:val="center"/>
                  </w:tcPr>
                  <w:p w14:paraId="45806933" w14:textId="77777777" w:rsidR="007E7472" w:rsidRPr="006E4C6F" w:rsidRDefault="00EC1269">
                    <w:pPr>
                      <w:jc w:val="center"/>
                      <w:rPr>
                        <w:rFonts w:asciiTheme="minorEastAsia" w:eastAsiaTheme="minorEastAsia" w:hAnsiTheme="minorEastAsia"/>
                      </w:rPr>
                    </w:pPr>
                    <w:r w:rsidRPr="006E4C6F">
                      <w:rPr>
                        <w:rFonts w:asciiTheme="minorEastAsia" w:eastAsiaTheme="minorEastAsia" w:hAnsiTheme="minorEastAsia" w:hint="eastAsia"/>
                      </w:rPr>
                      <w:t>注2</w:t>
                    </w:r>
                  </w:p>
                </w:tc>
              </w:tr>
              <w:tr w:rsidR="007E7472" w:rsidRPr="006E4C6F" w14:paraId="7DAB3B64" w14:textId="77777777">
                <w:tc>
                  <w:tcPr>
                    <w:tcW w:w="3656" w:type="dxa"/>
                    <w:tcBorders>
                      <w:top w:val="single" w:sz="4" w:space="0" w:color="auto"/>
                      <w:left w:val="single" w:sz="4" w:space="0" w:color="auto"/>
                      <w:bottom w:val="single" w:sz="4" w:space="0" w:color="auto"/>
                      <w:right w:val="single" w:sz="4" w:space="0" w:color="auto"/>
                    </w:tcBorders>
                    <w:vAlign w:val="center"/>
                  </w:tcPr>
                  <w:p w14:paraId="32AF1DC9" w14:textId="77777777" w:rsidR="007E7472" w:rsidRPr="006E4C6F" w:rsidRDefault="00EC1269">
                    <w:pPr>
                      <w:rPr>
                        <w:rFonts w:asciiTheme="minorEastAsia" w:eastAsiaTheme="minorEastAsia" w:hAnsiTheme="minorEastAsia"/>
                      </w:rPr>
                    </w:pPr>
                    <w:r w:rsidRPr="006E4C6F">
                      <w:rPr>
                        <w:rFonts w:asciiTheme="minorEastAsia" w:eastAsiaTheme="minorEastAsia" w:hAnsiTheme="minorEastAsia" w:hint="eastAsia"/>
                      </w:rPr>
                      <w:t>端信供应链（深圳）有限公司</w:t>
                    </w:r>
                  </w:p>
                </w:tc>
                <w:tc>
                  <w:tcPr>
                    <w:tcW w:w="2220" w:type="dxa"/>
                    <w:tcBorders>
                      <w:top w:val="single" w:sz="4" w:space="0" w:color="auto"/>
                      <w:left w:val="single" w:sz="4" w:space="0" w:color="auto"/>
                      <w:bottom w:val="single" w:sz="4" w:space="0" w:color="auto"/>
                      <w:right w:val="single" w:sz="4" w:space="0" w:color="auto"/>
                    </w:tcBorders>
                    <w:vAlign w:val="center"/>
                  </w:tcPr>
                  <w:p w14:paraId="031686CF" w14:textId="77777777" w:rsidR="007E7472" w:rsidRPr="006E4C6F" w:rsidRDefault="00EC1269">
                    <w:pPr>
                      <w:jc w:val="center"/>
                      <w:rPr>
                        <w:rFonts w:asciiTheme="minorEastAsia" w:eastAsiaTheme="minorEastAsia" w:hAnsiTheme="minorEastAsia"/>
                      </w:rPr>
                    </w:pPr>
                    <w:r w:rsidRPr="006E4C6F">
                      <w:rPr>
                        <w:rFonts w:asciiTheme="minorEastAsia" w:eastAsiaTheme="minorEastAsia" w:hAnsiTheme="minorEastAsia" w:hint="eastAsia"/>
                      </w:rPr>
                      <w:t>15%</w:t>
                    </w:r>
                  </w:p>
                </w:tc>
                <w:tc>
                  <w:tcPr>
                    <w:tcW w:w="2839" w:type="dxa"/>
                    <w:tcBorders>
                      <w:top w:val="single" w:sz="4" w:space="0" w:color="auto"/>
                      <w:left w:val="single" w:sz="4" w:space="0" w:color="auto"/>
                      <w:bottom w:val="single" w:sz="4" w:space="0" w:color="auto"/>
                      <w:right w:val="single" w:sz="4" w:space="0" w:color="auto"/>
                    </w:tcBorders>
                    <w:vAlign w:val="center"/>
                  </w:tcPr>
                  <w:p w14:paraId="123E5E10" w14:textId="77777777" w:rsidR="007E7472" w:rsidRPr="006E4C6F" w:rsidRDefault="00EC1269">
                    <w:pPr>
                      <w:jc w:val="center"/>
                      <w:rPr>
                        <w:rFonts w:asciiTheme="minorEastAsia" w:eastAsiaTheme="minorEastAsia" w:hAnsiTheme="minorEastAsia"/>
                      </w:rPr>
                    </w:pPr>
                    <w:r w:rsidRPr="006E4C6F">
                      <w:rPr>
                        <w:rFonts w:asciiTheme="minorEastAsia" w:eastAsiaTheme="minorEastAsia" w:hAnsiTheme="minorEastAsia" w:hint="eastAsia"/>
                      </w:rPr>
                      <w:t>注3</w:t>
                    </w:r>
                  </w:p>
                </w:tc>
              </w:tr>
            </w:tbl>
            <w:p w14:paraId="2D126949" w14:textId="77777777" w:rsidR="007E7472" w:rsidRPr="006E4C6F" w:rsidRDefault="00EC1269">
              <w:pPr>
                <w:spacing w:beforeLines="50" w:before="156" w:afterLines="50" w:after="156" w:line="360" w:lineRule="exact"/>
                <w:ind w:firstLineChars="200" w:firstLine="420"/>
                <w:jc w:val="both"/>
                <w:rPr>
                  <w:rFonts w:asciiTheme="minorEastAsia" w:eastAsiaTheme="minorEastAsia" w:hAnsiTheme="minorEastAsia"/>
                </w:rPr>
              </w:pPr>
              <w:r w:rsidRPr="006E4C6F">
                <w:rPr>
                  <w:rFonts w:asciiTheme="minorEastAsia" w:eastAsiaTheme="minorEastAsia" w:hAnsiTheme="minorEastAsia" w:hint="eastAsia"/>
                </w:rPr>
                <w:t>注</w:t>
              </w:r>
              <w:r w:rsidRPr="006E4C6F">
                <w:rPr>
                  <w:rFonts w:asciiTheme="minorEastAsia" w:eastAsiaTheme="minorEastAsia" w:hAnsiTheme="minorEastAsia"/>
                </w:rPr>
                <w:t>1：鄂尔多斯市转龙湾煤炭有限公司、内蒙古荣信化工有限公司（同时也是高新技术企业，企业所得税申报时选择使用西部大开发优惠政策）、兖州煤业榆林能化有限公司、陕西未来能源化工有限公司、鄂尔多斯市锋威光电有限公司和内蒙古昊盛煤业有限公司根据《中共中央国务院关于深入实施西部大开发战略的若干意见》(中发〔2010〕11号)、《关于深入实施西部大开发战略有关税收政策问题的通知》（财税（2011）58号）、《关于深入实施西部大开发战略有关</w:t>
              </w:r>
              <w:r w:rsidRPr="006E4C6F">
                <w:rPr>
                  <w:rFonts w:asciiTheme="minorEastAsia" w:eastAsiaTheme="minorEastAsia" w:hAnsiTheme="minorEastAsia"/>
                </w:rPr>
                <w:lastRenderedPageBreak/>
                <w:t>企业所得税问题的公告》(国家税务总局公告2012年第12号)及其他相关文件，符合西部</w:t>
              </w:r>
              <w:r w:rsidRPr="006E4C6F">
                <w:rPr>
                  <w:rFonts w:asciiTheme="minorEastAsia" w:eastAsiaTheme="minorEastAsia" w:hAnsiTheme="minorEastAsia" w:hint="eastAsia"/>
                </w:rPr>
                <w:t>大开发鼓励类产业优惠政策条件，适用的企业所得税税率为</w:t>
              </w:r>
              <w:r w:rsidRPr="006E4C6F">
                <w:rPr>
                  <w:rFonts w:asciiTheme="minorEastAsia" w:eastAsiaTheme="minorEastAsia" w:hAnsiTheme="minorEastAsia"/>
                </w:rPr>
                <w:t>15%。</w:t>
              </w:r>
            </w:p>
            <w:p w14:paraId="365DD609" w14:textId="77777777" w:rsidR="007E7472" w:rsidRPr="006E4C6F" w:rsidRDefault="00EC1269">
              <w:pPr>
                <w:spacing w:beforeLines="50" w:before="156" w:afterLines="50" w:after="156" w:line="360" w:lineRule="exact"/>
                <w:ind w:firstLineChars="200" w:firstLine="420"/>
                <w:jc w:val="both"/>
                <w:rPr>
                  <w:rFonts w:asciiTheme="minorEastAsia" w:eastAsiaTheme="minorEastAsia" w:hAnsiTheme="minorEastAsia"/>
                </w:rPr>
              </w:pPr>
              <w:r w:rsidRPr="006E4C6F">
                <w:rPr>
                  <w:rFonts w:asciiTheme="minorEastAsia" w:eastAsiaTheme="minorEastAsia" w:hAnsiTheme="minorEastAsia" w:hint="eastAsia"/>
                </w:rPr>
                <w:t>注</w:t>
              </w:r>
              <w:r w:rsidRPr="006E4C6F">
                <w:rPr>
                  <w:rFonts w:asciiTheme="minorEastAsia" w:eastAsiaTheme="minorEastAsia" w:hAnsiTheme="minorEastAsia"/>
                </w:rPr>
                <w:t>2：兖矿东华重工有限公司、兖矿集团邹城金通橡胶有限公司、兖州东方机电有限公司、山东兖矿集团长龙电缆制造有限公司、兖矿集团唐村实业有限公司、兖矿榆林精细化工有限公司、兖矿鲁南化工有限公司、兖矿济宁化工装备有限公司、兖煤蓝天清洁能源有限公司获得高新技术企业认定，符合国家税务总局《关于实施高新技术企业所得税优惠有关问题的通知》(国税函〔2009〕203号)的相关规定，适用的企业所得税税率为15%。</w:t>
              </w:r>
            </w:p>
            <w:p w14:paraId="48E8D9CE" w14:textId="77777777" w:rsidR="007E7472" w:rsidRPr="006E4C6F" w:rsidRDefault="00EC1269">
              <w:pPr>
                <w:spacing w:beforeLines="50" w:before="156" w:afterLines="50" w:after="156" w:line="360" w:lineRule="exact"/>
                <w:ind w:firstLineChars="200" w:firstLine="420"/>
                <w:jc w:val="both"/>
                <w:rPr>
                  <w:rFonts w:asciiTheme="minorEastAsia" w:eastAsiaTheme="minorEastAsia" w:hAnsiTheme="minorEastAsia"/>
                </w:rPr>
              </w:pPr>
              <w:r w:rsidRPr="006E4C6F">
                <w:rPr>
                  <w:rFonts w:asciiTheme="minorEastAsia" w:eastAsiaTheme="minorEastAsia" w:hAnsiTheme="minorEastAsia" w:hint="eastAsia"/>
                </w:rPr>
                <w:t>注</w:t>
              </w:r>
              <w:r w:rsidRPr="006E4C6F">
                <w:rPr>
                  <w:rFonts w:asciiTheme="minorEastAsia" w:eastAsiaTheme="minorEastAsia" w:hAnsiTheme="minorEastAsia"/>
                </w:rPr>
                <w:t>3：端信供应链（深圳）有限公司根据财政部、国家税务总局《关于广东横琴新区福建平潭综合实验区深圳前海深港现代服务业合作区企业所得税优惠政策及优惠目录的通知》（财税〔2014〕26号）的规定，对设在横琴新区、平潭综合实验区和前海深港现代服务业合作区的鼓励类产业企业减按15%的税率征收企业所得税。</w:t>
              </w:r>
            </w:p>
          </w:sdtContent>
        </w:sdt>
      </w:sdtContent>
    </w:sdt>
    <w:sdt>
      <w:sdtPr>
        <w:rPr>
          <w:rFonts w:ascii="宋体" w:hAnsi="宋体" w:cs="宋体"/>
          <w:b w:val="0"/>
          <w:bCs w:val="0"/>
          <w:kern w:val="0"/>
          <w:sz w:val="24"/>
          <w:szCs w:val="22"/>
        </w:rPr>
        <w:alias w:val="模块:其他说明"/>
        <w:tag w:val="_GBC_9fdef48633e142f68e18dc5da08c2deb"/>
        <w:id w:val="-967819063"/>
        <w:lock w:val="sdtLocked"/>
        <w:placeholder>
          <w:docPart w:val="GBC22222222222222222222222222222"/>
        </w:placeholder>
      </w:sdtPr>
      <w:sdtEndPr>
        <w:rPr>
          <w:rFonts w:hint="eastAsia"/>
          <w:sz w:val="21"/>
          <w:szCs w:val="21"/>
        </w:rPr>
      </w:sdtEndPr>
      <w:sdtContent>
        <w:p w14:paraId="27F89911" w14:textId="77777777" w:rsidR="007E7472" w:rsidRDefault="00EC1269" w:rsidP="00162493">
          <w:pPr>
            <w:pStyle w:val="3"/>
            <w:numPr>
              <w:ilvl w:val="0"/>
              <w:numId w:val="61"/>
            </w:numPr>
          </w:pPr>
          <w:r>
            <w:t>其他</w:t>
          </w:r>
        </w:p>
        <w:sdt>
          <w:sdtPr>
            <w:rPr>
              <w:rFonts w:hint="eastAsia"/>
            </w:rPr>
            <w:alias w:val="是否适用：税项说明[双击切换]"/>
            <w:tag w:val="_GBC_566ef0a7141a4b2ca002ad8d0663c462"/>
            <w:id w:val="-2085449861"/>
            <w:lock w:val="sdtLocked"/>
            <w:placeholder>
              <w:docPart w:val="GBC22222222222222222222222222222"/>
            </w:placeholder>
          </w:sdtPr>
          <w:sdtEndPr/>
          <w:sdtContent>
            <w:p w14:paraId="0714E3DE" w14:textId="77777777" w:rsidR="007E7472" w:rsidRDefault="00EC1269">
              <w:r>
                <w:rPr>
                  <w:rFonts w:hint="eastAsia"/>
                </w:rPr>
                <w:fldChar w:fldCharType="begin"/>
              </w:r>
              <w:r>
                <w:rPr>
                  <w:rFonts w:hint="eastAsia"/>
                </w:rPr>
                <w:instrText xml:space="preserve"> MACROBUTTON  SnrToggleCheckbox □适用 </w:instrText>
              </w:r>
              <w:r>
                <w:rPr>
                  <w:rFonts w:hint="eastAsia"/>
                </w:rPr>
                <w:fldChar w:fldCharType="end"/>
              </w:r>
              <w:r>
                <w:rPr>
                  <w:rFonts w:hint="eastAsia"/>
                </w:rPr>
                <w:fldChar w:fldCharType="begin"/>
              </w:r>
              <w:r>
                <w:rPr>
                  <w:rFonts w:hint="eastAsia"/>
                </w:rPr>
                <w:instrText xml:space="preserve"> MACROBUTTON  SnrToggleCheckbox √不适用 </w:instrText>
              </w:r>
              <w:r>
                <w:rPr>
                  <w:rFonts w:hint="eastAsia"/>
                </w:rPr>
                <w:fldChar w:fldCharType="end"/>
              </w:r>
            </w:p>
          </w:sdtContent>
        </w:sdt>
      </w:sdtContent>
    </w:sdt>
    <w:p w14:paraId="47766216" w14:textId="77777777" w:rsidR="007E7472" w:rsidRDefault="00C8327E"/>
    <w:p w14:paraId="239DC6CD" w14:textId="77777777" w:rsidR="007E7472" w:rsidRPr="00293E15" w:rsidRDefault="00EC1269" w:rsidP="00162493">
      <w:pPr>
        <w:pStyle w:val="2"/>
        <w:numPr>
          <w:ilvl w:val="0"/>
          <w:numId w:val="43"/>
        </w:numPr>
        <w:ind w:firstLineChars="0"/>
        <w:rPr>
          <w:szCs w:val="24"/>
        </w:rPr>
      </w:pPr>
      <w:r w:rsidRPr="00293E15">
        <w:rPr>
          <w:rFonts w:hint="eastAsia"/>
          <w:szCs w:val="24"/>
        </w:rPr>
        <w:t>合并财务报表项目注释</w:t>
      </w:r>
    </w:p>
    <w:sdt>
      <w:sdtPr>
        <w:rPr>
          <w:rFonts w:ascii="宋体" w:hAnsi="宋体" w:cs="宋体" w:hint="eastAsia"/>
          <w:b w:val="0"/>
          <w:bCs w:val="0"/>
          <w:kern w:val="0"/>
          <w:sz w:val="20"/>
          <w:szCs w:val="21"/>
        </w:rPr>
        <w:alias w:val="模块:货币资金"/>
        <w:tag w:val="_GBC_e001074b3db146e59ba240ad8dd14b68"/>
        <w:id w:val="449451226"/>
        <w:lock w:val="sdtLocked"/>
        <w:placeholder>
          <w:docPart w:val="GBC22222222222222222222222222222"/>
        </w:placeholder>
      </w:sdtPr>
      <w:sdtEndPr/>
      <w:sdtContent>
        <w:p w14:paraId="76E07405" w14:textId="77777777" w:rsidR="007E7472" w:rsidRDefault="00EC1269" w:rsidP="00162493">
          <w:pPr>
            <w:pStyle w:val="3"/>
            <w:numPr>
              <w:ilvl w:val="0"/>
              <w:numId w:val="62"/>
            </w:numPr>
          </w:pPr>
          <w:r>
            <w:rPr>
              <w:rFonts w:hint="eastAsia"/>
            </w:rPr>
            <w:t>货币资金</w:t>
          </w:r>
        </w:p>
        <w:sdt>
          <w:sdtPr>
            <w:rPr>
              <w:rFonts w:hint="eastAsia"/>
            </w:rPr>
            <w:alias w:val="是否适用：货币资金[双击切换]"/>
            <w:tag w:val="_GBC_919482f2d209490ca80fb081aed88b28"/>
            <w:id w:val="-1006207572"/>
            <w:lock w:val="sdtLocked"/>
            <w:placeholder>
              <w:docPart w:val="GBC22222222222222222222222222222"/>
            </w:placeholder>
          </w:sdtPr>
          <w:sdtEndPr/>
          <w:sdtContent>
            <w:p w14:paraId="1BCFE3F2" w14:textId="77777777" w:rsidR="007E7472" w:rsidRDefault="00EC1269">
              <w:pPr>
                <w:snapToGrid w:val="0"/>
                <w:spacing w:line="240" w:lineRule="atLeast"/>
              </w:pPr>
              <w:r>
                <w:rPr>
                  <w:rFonts w:asciiTheme="minorEastAsia" w:eastAsiaTheme="minorEastAsia" w:hAnsiTheme="minorEastAsia" w:cs="Times New Roman" w:hint="eastAsia"/>
                </w:rPr>
                <w:fldChar w:fldCharType="begin"/>
              </w:r>
              <w:r>
                <w:rPr>
                  <w:rFonts w:asciiTheme="minorEastAsia" w:eastAsiaTheme="minorEastAsia" w:hAnsiTheme="minorEastAsia" w:cs="Times New Roman" w:hint="eastAsia"/>
                </w:rPr>
                <w:instrText xml:space="preserve"> MACROBUTTON  SnrToggleCheckbox √适用 </w:instrText>
              </w:r>
              <w:r>
                <w:rPr>
                  <w:rFonts w:asciiTheme="minorEastAsia" w:eastAsiaTheme="minorEastAsia" w:hAnsiTheme="minorEastAsia" w:cs="Times New Roman" w:hint="eastAsia"/>
                </w:rPr>
                <w:fldChar w:fldCharType="end"/>
              </w:r>
              <w:r>
                <w:rPr>
                  <w:rFonts w:asciiTheme="minorEastAsia" w:eastAsiaTheme="minorEastAsia" w:hAnsiTheme="minorEastAsia" w:cs="Times New Roman" w:hint="eastAsia"/>
                </w:rPr>
                <w:fldChar w:fldCharType="begin"/>
              </w:r>
              <w:r>
                <w:rPr>
                  <w:rFonts w:asciiTheme="minorEastAsia" w:eastAsiaTheme="minorEastAsia" w:hAnsiTheme="minorEastAsia" w:cs="Times New Roman" w:hint="eastAsia"/>
                </w:rPr>
                <w:instrText xml:space="preserve"> MACROBUTTON  SnrToggleCheckbox □不适用 </w:instrText>
              </w:r>
              <w:r>
                <w:rPr>
                  <w:rFonts w:asciiTheme="minorEastAsia" w:eastAsiaTheme="minorEastAsia" w:hAnsiTheme="minorEastAsia" w:cs="Times New Roman" w:hint="eastAsia"/>
                </w:rPr>
                <w:fldChar w:fldCharType="end"/>
              </w:r>
            </w:p>
          </w:sdtContent>
        </w:sdt>
        <w:p w14:paraId="116885C5" w14:textId="7CEBD3C9" w:rsidR="007E7472" w:rsidRDefault="00EC1269">
          <w:pPr>
            <w:snapToGrid w:val="0"/>
            <w:spacing w:line="240" w:lineRule="atLeast"/>
            <w:jc w:val="right"/>
          </w:pPr>
          <w:r>
            <w:rPr>
              <w:rFonts w:hint="eastAsia"/>
            </w:rPr>
            <w:t>单位：</w:t>
          </w:r>
          <w:sdt>
            <w:sdtPr>
              <w:rPr>
                <w:rFonts w:hint="eastAsia"/>
              </w:rPr>
              <w:alias w:val="单位：财务附注：货币资金"/>
              <w:tag w:val="_GBC_837f4fb04cac4b8aa6bed7dc457a1486"/>
              <w:id w:val="-16847317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货币资金"/>
              <w:tag w:val="_GBC_6a1d907ad1af44b1a90a92ac03d51b34"/>
              <w:id w:val="4899836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1"/>
            <w:gridCol w:w="2836"/>
            <w:gridCol w:w="3016"/>
          </w:tblGrid>
          <w:tr w:rsidR="007E7472" w14:paraId="4D8A0556" w14:textId="77777777">
            <w:trPr>
              <w:cantSplit/>
              <w:trHeight w:val="340"/>
            </w:trPr>
            <w:sdt>
              <w:sdtPr>
                <w:tag w:val="_PLD_970744f8614f4547819947c8fa3cacc3"/>
                <w:id w:val="-466433095"/>
                <w:lock w:val="sdtLocked"/>
              </w:sdtPr>
              <w:sdtEndPr/>
              <w:sdtContent>
                <w:tc>
                  <w:tcPr>
                    <w:tcW w:w="1684" w:type="pct"/>
                    <w:shd w:val="clear" w:color="auto" w:fill="auto"/>
                    <w:vAlign w:val="center"/>
                  </w:tcPr>
                  <w:p w14:paraId="71E09BA6" w14:textId="77777777" w:rsidR="007E7472" w:rsidRDefault="00EC1269">
                    <w:pPr>
                      <w:autoSpaceDE w:val="0"/>
                      <w:autoSpaceDN w:val="0"/>
                      <w:adjustRightInd w:val="0"/>
                      <w:snapToGrid w:val="0"/>
                      <w:spacing w:line="240" w:lineRule="atLeast"/>
                      <w:jc w:val="center"/>
                    </w:pPr>
                    <w:r>
                      <w:rPr>
                        <w:rFonts w:hint="eastAsia"/>
                      </w:rPr>
                      <w:t>项目</w:t>
                    </w:r>
                  </w:p>
                </w:tc>
              </w:sdtContent>
            </w:sdt>
            <w:sdt>
              <w:sdtPr>
                <w:tag w:val="_PLD_e10eddc0fb0b4cf087ec6eb5089b437a"/>
                <w:id w:val="-753122472"/>
                <w:lock w:val="sdtLocked"/>
              </w:sdtPr>
              <w:sdtEndPr/>
              <w:sdtContent>
                <w:tc>
                  <w:tcPr>
                    <w:tcW w:w="1607" w:type="pct"/>
                    <w:shd w:val="clear" w:color="auto" w:fill="auto"/>
                    <w:vAlign w:val="center"/>
                  </w:tcPr>
                  <w:p w14:paraId="50C01B47" w14:textId="77777777" w:rsidR="007E7472" w:rsidRDefault="00EC1269">
                    <w:pPr>
                      <w:autoSpaceDE w:val="0"/>
                      <w:autoSpaceDN w:val="0"/>
                      <w:adjustRightInd w:val="0"/>
                      <w:snapToGrid w:val="0"/>
                      <w:spacing w:line="240" w:lineRule="atLeast"/>
                      <w:jc w:val="center"/>
                    </w:pPr>
                    <w:r>
                      <w:rPr>
                        <w:rFonts w:hint="eastAsia"/>
                      </w:rPr>
                      <w:t>期末余额</w:t>
                    </w:r>
                  </w:p>
                </w:tc>
              </w:sdtContent>
            </w:sdt>
            <w:sdt>
              <w:sdtPr>
                <w:tag w:val="_PLD_0e23cd11eeb14296ba53098fcca37e68"/>
                <w:id w:val="-941988659"/>
                <w:lock w:val="sdtLocked"/>
              </w:sdtPr>
              <w:sdtEndPr/>
              <w:sdtContent>
                <w:tc>
                  <w:tcPr>
                    <w:tcW w:w="1709" w:type="pct"/>
                    <w:shd w:val="clear" w:color="auto" w:fill="auto"/>
                    <w:vAlign w:val="center"/>
                  </w:tcPr>
                  <w:p w14:paraId="74E342E3" w14:textId="77777777" w:rsidR="007E7472" w:rsidRDefault="00EC1269">
                    <w:pPr>
                      <w:autoSpaceDE w:val="0"/>
                      <w:autoSpaceDN w:val="0"/>
                      <w:adjustRightInd w:val="0"/>
                      <w:snapToGrid w:val="0"/>
                      <w:spacing w:line="240" w:lineRule="atLeast"/>
                      <w:jc w:val="center"/>
                    </w:pPr>
                    <w:r>
                      <w:rPr>
                        <w:rFonts w:hint="eastAsia"/>
                      </w:rPr>
                      <w:t>期初余额</w:t>
                    </w:r>
                  </w:p>
                </w:tc>
              </w:sdtContent>
            </w:sdt>
          </w:tr>
          <w:tr w:rsidR="007E7472" w14:paraId="743EE524" w14:textId="77777777">
            <w:trPr>
              <w:cantSplit/>
              <w:trHeight w:val="340"/>
            </w:trPr>
            <w:sdt>
              <w:sdtPr>
                <w:tag w:val="_PLD_e371e767a9e24245856168b9f4428678"/>
                <w:id w:val="1397857122"/>
                <w:lock w:val="sdtLocked"/>
              </w:sdtPr>
              <w:sdtEndPr/>
              <w:sdtContent>
                <w:tc>
                  <w:tcPr>
                    <w:tcW w:w="1684" w:type="pct"/>
                    <w:shd w:val="clear" w:color="auto" w:fill="auto"/>
                    <w:vAlign w:val="center"/>
                  </w:tcPr>
                  <w:p w14:paraId="42FB8C48" w14:textId="77777777" w:rsidR="007E7472" w:rsidRDefault="00EC1269">
                    <w:pPr>
                      <w:autoSpaceDE w:val="0"/>
                      <w:autoSpaceDN w:val="0"/>
                      <w:adjustRightInd w:val="0"/>
                      <w:snapToGrid w:val="0"/>
                      <w:spacing w:line="240" w:lineRule="atLeast"/>
                    </w:pPr>
                    <w:r>
                      <w:rPr>
                        <w:rFonts w:hint="eastAsia"/>
                      </w:rPr>
                      <w:t>库存现金</w:t>
                    </w:r>
                  </w:p>
                </w:tc>
              </w:sdtContent>
            </w:sdt>
            <w:tc>
              <w:tcPr>
                <w:tcW w:w="1607" w:type="pct"/>
                <w:shd w:val="clear" w:color="auto" w:fill="auto"/>
                <w:vAlign w:val="center"/>
              </w:tcPr>
              <w:p w14:paraId="47419068" w14:textId="77777777" w:rsidR="007E7472" w:rsidRDefault="00EC1269">
                <w:pPr>
                  <w:autoSpaceDE w:val="0"/>
                  <w:autoSpaceDN w:val="0"/>
                  <w:adjustRightInd w:val="0"/>
                  <w:snapToGrid w:val="0"/>
                  <w:spacing w:line="240" w:lineRule="atLeast"/>
                  <w:ind w:right="210"/>
                  <w:jc w:val="right"/>
                </w:pPr>
                <w:r>
                  <w:t>149</w:t>
                </w:r>
              </w:p>
            </w:tc>
            <w:tc>
              <w:tcPr>
                <w:tcW w:w="1709" w:type="pct"/>
                <w:shd w:val="clear" w:color="auto" w:fill="auto"/>
                <w:vAlign w:val="center"/>
              </w:tcPr>
              <w:p w14:paraId="394DAEFD" w14:textId="77777777" w:rsidR="007E7472" w:rsidRDefault="00EC1269">
                <w:pPr>
                  <w:autoSpaceDE w:val="0"/>
                  <w:autoSpaceDN w:val="0"/>
                  <w:adjustRightInd w:val="0"/>
                  <w:snapToGrid w:val="0"/>
                  <w:spacing w:line="240" w:lineRule="atLeast"/>
                  <w:ind w:right="210"/>
                  <w:jc w:val="right"/>
                </w:pPr>
                <w:r>
                  <w:t>149</w:t>
                </w:r>
              </w:p>
            </w:tc>
          </w:tr>
          <w:tr w:rsidR="007E7472" w14:paraId="45B983DD" w14:textId="77777777">
            <w:trPr>
              <w:cantSplit/>
              <w:trHeight w:val="340"/>
            </w:trPr>
            <w:sdt>
              <w:sdtPr>
                <w:tag w:val="_PLD_96be3b99d11b4eb5ac959cf1c015f1ae"/>
                <w:id w:val="1786152745"/>
                <w:lock w:val="sdtLocked"/>
              </w:sdtPr>
              <w:sdtEndPr/>
              <w:sdtContent>
                <w:tc>
                  <w:tcPr>
                    <w:tcW w:w="1684" w:type="pct"/>
                    <w:shd w:val="clear" w:color="auto" w:fill="auto"/>
                    <w:vAlign w:val="center"/>
                  </w:tcPr>
                  <w:p w14:paraId="2BE98FFD" w14:textId="77777777" w:rsidR="007E7472" w:rsidRDefault="00EC1269">
                    <w:pPr>
                      <w:autoSpaceDE w:val="0"/>
                      <w:autoSpaceDN w:val="0"/>
                      <w:adjustRightInd w:val="0"/>
                      <w:snapToGrid w:val="0"/>
                      <w:spacing w:line="240" w:lineRule="atLeast"/>
                    </w:pPr>
                    <w:r>
                      <w:rPr>
                        <w:rFonts w:hint="eastAsia"/>
                      </w:rPr>
                      <w:t>银行存款</w:t>
                    </w:r>
                  </w:p>
                </w:tc>
              </w:sdtContent>
            </w:sdt>
            <w:tc>
              <w:tcPr>
                <w:tcW w:w="1607" w:type="pct"/>
                <w:shd w:val="clear" w:color="auto" w:fill="auto"/>
                <w:vAlign w:val="center"/>
              </w:tcPr>
              <w:p w14:paraId="3A45A4C4" w14:textId="77777777" w:rsidR="007E7472" w:rsidRDefault="00EC1269">
                <w:pPr>
                  <w:autoSpaceDE w:val="0"/>
                  <w:autoSpaceDN w:val="0"/>
                  <w:adjustRightInd w:val="0"/>
                  <w:snapToGrid w:val="0"/>
                  <w:spacing w:line="240" w:lineRule="atLeast"/>
                  <w:ind w:right="210"/>
                  <w:jc w:val="right"/>
                  <w:rPr>
                    <w:bCs/>
                    <w:sz w:val="24"/>
                    <w:szCs w:val="24"/>
                  </w:rPr>
                </w:pPr>
                <w:r>
                  <w:t>47,073,262</w:t>
                </w:r>
              </w:p>
            </w:tc>
            <w:tc>
              <w:tcPr>
                <w:tcW w:w="1709" w:type="pct"/>
                <w:shd w:val="clear" w:color="auto" w:fill="auto"/>
                <w:vAlign w:val="center"/>
              </w:tcPr>
              <w:p w14:paraId="1CCED476" w14:textId="77777777" w:rsidR="007E7472" w:rsidRDefault="00EC1269">
                <w:pPr>
                  <w:autoSpaceDE w:val="0"/>
                  <w:autoSpaceDN w:val="0"/>
                  <w:adjustRightInd w:val="0"/>
                  <w:snapToGrid w:val="0"/>
                  <w:spacing w:line="240" w:lineRule="atLeast"/>
                  <w:ind w:right="210"/>
                  <w:jc w:val="right"/>
                </w:pPr>
                <w:r>
                  <w:t>38,626,503</w:t>
                </w:r>
              </w:p>
            </w:tc>
          </w:tr>
          <w:tr w:rsidR="007E7472" w14:paraId="0F6C9BCD" w14:textId="77777777">
            <w:trPr>
              <w:cantSplit/>
              <w:trHeight w:val="340"/>
            </w:trPr>
            <w:sdt>
              <w:sdtPr>
                <w:tag w:val="_PLD_58c172627e3243edb66fdbc1799a2f1e"/>
                <w:id w:val="-1856648674"/>
                <w:lock w:val="sdtLocked"/>
              </w:sdtPr>
              <w:sdtEndPr/>
              <w:sdtContent>
                <w:tc>
                  <w:tcPr>
                    <w:tcW w:w="1684" w:type="pct"/>
                    <w:shd w:val="clear" w:color="auto" w:fill="auto"/>
                    <w:vAlign w:val="center"/>
                  </w:tcPr>
                  <w:p w14:paraId="79049CAF" w14:textId="77777777" w:rsidR="007E7472" w:rsidRDefault="00EC1269">
                    <w:pPr>
                      <w:autoSpaceDE w:val="0"/>
                      <w:autoSpaceDN w:val="0"/>
                      <w:adjustRightInd w:val="0"/>
                      <w:snapToGrid w:val="0"/>
                      <w:spacing w:line="240" w:lineRule="atLeast"/>
                    </w:pPr>
                    <w:r>
                      <w:rPr>
                        <w:rFonts w:hint="eastAsia"/>
                      </w:rPr>
                      <w:t>其他货币资金</w:t>
                    </w:r>
                  </w:p>
                </w:tc>
              </w:sdtContent>
            </w:sdt>
            <w:tc>
              <w:tcPr>
                <w:tcW w:w="1607" w:type="pct"/>
                <w:shd w:val="clear" w:color="auto" w:fill="auto"/>
                <w:vAlign w:val="center"/>
              </w:tcPr>
              <w:p w14:paraId="40FBD8E4" w14:textId="77777777" w:rsidR="007E7472" w:rsidRDefault="00EC1269">
                <w:pPr>
                  <w:autoSpaceDE w:val="0"/>
                  <w:autoSpaceDN w:val="0"/>
                  <w:adjustRightInd w:val="0"/>
                  <w:snapToGrid w:val="0"/>
                  <w:spacing w:line="240" w:lineRule="atLeast"/>
                  <w:ind w:right="210"/>
                  <w:jc w:val="right"/>
                  <w:rPr>
                    <w:bCs/>
                    <w:sz w:val="24"/>
                    <w:szCs w:val="24"/>
                  </w:rPr>
                </w:pPr>
                <w:r>
                  <w:t>6,450,676</w:t>
                </w:r>
              </w:p>
            </w:tc>
            <w:tc>
              <w:tcPr>
                <w:tcW w:w="1709" w:type="pct"/>
                <w:shd w:val="clear" w:color="auto" w:fill="auto"/>
                <w:vAlign w:val="center"/>
              </w:tcPr>
              <w:p w14:paraId="18BC6B49" w14:textId="77777777" w:rsidR="007E7472" w:rsidRDefault="00EC1269">
                <w:pPr>
                  <w:autoSpaceDE w:val="0"/>
                  <w:autoSpaceDN w:val="0"/>
                  <w:adjustRightInd w:val="0"/>
                  <w:snapToGrid w:val="0"/>
                  <w:spacing w:line="240" w:lineRule="atLeast"/>
                  <w:ind w:right="210"/>
                  <w:jc w:val="right"/>
                </w:pPr>
                <w:r>
                  <w:t>6,553,674</w:t>
                </w:r>
              </w:p>
            </w:tc>
          </w:tr>
          <w:tr w:rsidR="007E7472" w14:paraId="39F65105" w14:textId="77777777">
            <w:trPr>
              <w:cantSplit/>
              <w:trHeight w:val="340"/>
            </w:trPr>
            <w:sdt>
              <w:sdtPr>
                <w:tag w:val="_PLD_bfbd7d5ef1f8459e96b267d6ca7d50e2"/>
                <w:id w:val="1118115865"/>
                <w:lock w:val="sdtLocked"/>
              </w:sdtPr>
              <w:sdtEndPr/>
              <w:sdtContent>
                <w:tc>
                  <w:tcPr>
                    <w:tcW w:w="1684" w:type="pct"/>
                    <w:shd w:val="clear" w:color="auto" w:fill="auto"/>
                    <w:vAlign w:val="center"/>
                  </w:tcPr>
                  <w:p w14:paraId="54A1B780" w14:textId="77777777" w:rsidR="007E7472" w:rsidRDefault="00EC1269">
                    <w:pPr>
                      <w:autoSpaceDE w:val="0"/>
                      <w:autoSpaceDN w:val="0"/>
                      <w:adjustRightInd w:val="0"/>
                      <w:snapToGrid w:val="0"/>
                      <w:spacing w:line="240" w:lineRule="atLeast"/>
                    </w:pPr>
                    <w:r>
                      <w:rPr>
                        <w:rFonts w:hint="eastAsia"/>
                      </w:rPr>
                      <w:t>合计</w:t>
                    </w:r>
                  </w:p>
                </w:tc>
              </w:sdtContent>
            </w:sdt>
            <w:tc>
              <w:tcPr>
                <w:tcW w:w="1607" w:type="pct"/>
                <w:shd w:val="clear" w:color="auto" w:fill="auto"/>
                <w:vAlign w:val="center"/>
              </w:tcPr>
              <w:p w14:paraId="5B0993E6" w14:textId="77777777" w:rsidR="007E7472" w:rsidRDefault="00EC1269">
                <w:pPr>
                  <w:autoSpaceDE w:val="0"/>
                  <w:autoSpaceDN w:val="0"/>
                  <w:adjustRightInd w:val="0"/>
                  <w:snapToGrid w:val="0"/>
                  <w:spacing w:line="240" w:lineRule="atLeast"/>
                  <w:ind w:right="210"/>
                  <w:jc w:val="right"/>
                </w:pPr>
                <w:r>
                  <w:t>53,524,087</w:t>
                </w:r>
              </w:p>
            </w:tc>
            <w:tc>
              <w:tcPr>
                <w:tcW w:w="1709" w:type="pct"/>
                <w:shd w:val="clear" w:color="auto" w:fill="auto"/>
                <w:vAlign w:val="center"/>
              </w:tcPr>
              <w:p w14:paraId="197BB5B3" w14:textId="77777777" w:rsidR="007E7472" w:rsidRDefault="00EC1269">
                <w:pPr>
                  <w:autoSpaceDE w:val="0"/>
                  <w:autoSpaceDN w:val="0"/>
                  <w:adjustRightInd w:val="0"/>
                  <w:snapToGrid w:val="0"/>
                  <w:spacing w:line="240" w:lineRule="atLeast"/>
                  <w:ind w:right="210"/>
                  <w:jc w:val="right"/>
                </w:pPr>
                <w:r>
                  <w:t>45,180,326</w:t>
                </w:r>
              </w:p>
            </w:tc>
          </w:tr>
          <w:tr w:rsidR="007E7472" w14:paraId="1B946DE1" w14:textId="77777777">
            <w:trPr>
              <w:cantSplit/>
              <w:trHeight w:val="340"/>
            </w:trPr>
            <w:sdt>
              <w:sdtPr>
                <w:tag w:val="_PLD_87df45e9697a4beb97831117be4c567a"/>
                <w:id w:val="-1319951028"/>
                <w:lock w:val="sdtLocked"/>
              </w:sdtPr>
              <w:sdtEndPr/>
              <w:sdtContent>
                <w:tc>
                  <w:tcPr>
                    <w:tcW w:w="1684" w:type="pct"/>
                    <w:shd w:val="clear" w:color="auto" w:fill="auto"/>
                    <w:vAlign w:val="center"/>
                  </w:tcPr>
                  <w:p w14:paraId="398F011D" w14:textId="77777777" w:rsidR="007E7472" w:rsidRDefault="00EC1269">
                    <w:pPr>
                      <w:autoSpaceDE w:val="0"/>
                      <w:autoSpaceDN w:val="0"/>
                      <w:adjustRightInd w:val="0"/>
                      <w:snapToGrid w:val="0"/>
                      <w:spacing w:line="240" w:lineRule="atLeast"/>
                      <w:ind w:firstLineChars="100" w:firstLine="210"/>
                      <w:jc w:val="center"/>
                    </w:pPr>
                    <w:r>
                      <w:rPr>
                        <w:rFonts w:hint="eastAsia"/>
                      </w:rPr>
                      <w:t>其中：存放在境外的款项总额</w:t>
                    </w:r>
                  </w:p>
                </w:tc>
              </w:sdtContent>
            </w:sdt>
            <w:tc>
              <w:tcPr>
                <w:tcW w:w="1607" w:type="pct"/>
                <w:shd w:val="clear" w:color="auto" w:fill="auto"/>
                <w:vAlign w:val="center"/>
              </w:tcPr>
              <w:p w14:paraId="3E2A7646" w14:textId="77777777" w:rsidR="007E7472" w:rsidRDefault="00EC1269">
                <w:pPr>
                  <w:autoSpaceDE w:val="0"/>
                  <w:autoSpaceDN w:val="0"/>
                  <w:adjustRightInd w:val="0"/>
                  <w:snapToGrid w:val="0"/>
                  <w:spacing w:line="240" w:lineRule="atLeast"/>
                  <w:ind w:right="210"/>
                  <w:jc w:val="right"/>
                </w:pPr>
                <w:r>
                  <w:t>10,003,139</w:t>
                </w:r>
              </w:p>
            </w:tc>
            <w:tc>
              <w:tcPr>
                <w:tcW w:w="1709" w:type="pct"/>
                <w:shd w:val="clear" w:color="auto" w:fill="auto"/>
                <w:vAlign w:val="center"/>
              </w:tcPr>
              <w:p w14:paraId="7E0832DE" w14:textId="77777777" w:rsidR="007E7472" w:rsidRDefault="00EC1269">
                <w:pPr>
                  <w:autoSpaceDE w:val="0"/>
                  <w:autoSpaceDN w:val="0"/>
                  <w:adjustRightInd w:val="0"/>
                  <w:snapToGrid w:val="0"/>
                  <w:spacing w:line="240" w:lineRule="atLeast"/>
                  <w:ind w:right="210"/>
                  <w:jc w:val="right"/>
                </w:pPr>
                <w:r>
                  <w:t>16,791,486</w:t>
                </w:r>
              </w:p>
            </w:tc>
          </w:tr>
        </w:tbl>
        <w:p w14:paraId="284814B3" w14:textId="77777777" w:rsidR="007E7472" w:rsidRDefault="00EC1269">
          <w:pPr>
            <w:spacing w:beforeLines="50" w:before="156" w:afterLines="50" w:after="156" w:line="360" w:lineRule="exact"/>
          </w:pPr>
          <w:r>
            <w:rPr>
              <w:rFonts w:hint="eastAsia"/>
            </w:rPr>
            <w:t>其他说明：</w:t>
          </w:r>
        </w:p>
        <w:tbl>
          <w:tblPr>
            <w:tblStyle w:val="g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6"/>
            <w:gridCol w:w="2953"/>
            <w:gridCol w:w="2954"/>
          </w:tblGrid>
          <w:tr w:rsidR="007E7472" w14:paraId="796DD5A6" w14:textId="77777777" w:rsidTr="007E7472">
            <w:trPr>
              <w:trHeight w:val="340"/>
            </w:trPr>
            <w:tc>
              <w:tcPr>
                <w:tcW w:w="3016" w:type="dxa"/>
                <w:vAlign w:val="center"/>
              </w:tcPr>
              <w:p w14:paraId="704EE733" w14:textId="77777777" w:rsidR="007E7472" w:rsidRDefault="00EC1269">
                <w:pPr>
                  <w:jc w:val="center"/>
                </w:pPr>
                <w:r>
                  <w:t>项目</w:t>
                </w:r>
              </w:p>
            </w:tc>
            <w:tc>
              <w:tcPr>
                <w:tcW w:w="3016" w:type="dxa"/>
                <w:vAlign w:val="center"/>
              </w:tcPr>
              <w:p w14:paraId="1E087701" w14:textId="77777777" w:rsidR="007E7472" w:rsidRDefault="00EC1269">
                <w:pPr>
                  <w:jc w:val="center"/>
                </w:pPr>
                <w:r>
                  <w:t>期末余额</w:t>
                </w:r>
              </w:p>
            </w:tc>
            <w:tc>
              <w:tcPr>
                <w:tcW w:w="3017" w:type="dxa"/>
                <w:vAlign w:val="center"/>
              </w:tcPr>
              <w:p w14:paraId="45CA355C" w14:textId="77777777" w:rsidR="007E7472" w:rsidRDefault="00EC1269">
                <w:pPr>
                  <w:jc w:val="center"/>
                </w:pPr>
                <w:r>
                  <w:t>期初余额</w:t>
                </w:r>
              </w:p>
            </w:tc>
          </w:tr>
          <w:tr w:rsidR="007E7472" w14:paraId="4D84FB7C" w14:textId="77777777" w:rsidTr="007E7472">
            <w:trPr>
              <w:trHeight w:val="340"/>
            </w:trPr>
            <w:tc>
              <w:tcPr>
                <w:tcW w:w="3016" w:type="dxa"/>
                <w:vAlign w:val="center"/>
              </w:tcPr>
              <w:p w14:paraId="05AA293C" w14:textId="77777777" w:rsidR="007E7472" w:rsidRDefault="00EC1269">
                <w:r>
                  <w:rPr>
                    <w:rFonts w:hint="eastAsia"/>
                  </w:rPr>
                  <w:t>环境恢复治理基金</w:t>
                </w:r>
              </w:p>
            </w:tc>
            <w:tc>
              <w:tcPr>
                <w:tcW w:w="3016" w:type="dxa"/>
                <w:vAlign w:val="center"/>
              </w:tcPr>
              <w:p w14:paraId="6BFC93DF" w14:textId="77777777" w:rsidR="007E7472" w:rsidRDefault="00EC1269">
                <w:pPr>
                  <w:autoSpaceDE w:val="0"/>
                  <w:autoSpaceDN w:val="0"/>
                  <w:adjustRightInd w:val="0"/>
                  <w:snapToGrid w:val="0"/>
                  <w:spacing w:line="240" w:lineRule="atLeast"/>
                  <w:ind w:right="210"/>
                  <w:jc w:val="right"/>
                </w:pPr>
                <w:r>
                  <w:t>2,225,231</w:t>
                </w:r>
              </w:p>
            </w:tc>
            <w:tc>
              <w:tcPr>
                <w:tcW w:w="3017" w:type="dxa"/>
                <w:vAlign w:val="center"/>
              </w:tcPr>
              <w:p w14:paraId="53C1D13D" w14:textId="77777777" w:rsidR="007E7472" w:rsidRDefault="00EC1269">
                <w:pPr>
                  <w:autoSpaceDE w:val="0"/>
                  <w:autoSpaceDN w:val="0"/>
                  <w:adjustRightInd w:val="0"/>
                  <w:snapToGrid w:val="0"/>
                  <w:spacing w:line="240" w:lineRule="atLeast"/>
                  <w:ind w:right="210"/>
                  <w:jc w:val="right"/>
                </w:pPr>
                <w:r>
                  <w:t>1,982,000</w:t>
                </w:r>
              </w:p>
            </w:tc>
          </w:tr>
          <w:tr w:rsidR="007E7472" w14:paraId="769E55F4" w14:textId="77777777" w:rsidTr="007E7472">
            <w:trPr>
              <w:trHeight w:val="340"/>
            </w:trPr>
            <w:tc>
              <w:tcPr>
                <w:tcW w:w="3016" w:type="dxa"/>
                <w:vAlign w:val="center"/>
              </w:tcPr>
              <w:p w14:paraId="01B09439" w14:textId="77777777" w:rsidR="007E7472" w:rsidRDefault="00EC1269">
                <w:r>
                  <w:rPr>
                    <w:rFonts w:hint="eastAsia"/>
                  </w:rPr>
                  <w:t>票据及信用证保证金</w:t>
                </w:r>
              </w:p>
            </w:tc>
            <w:tc>
              <w:tcPr>
                <w:tcW w:w="3016" w:type="dxa"/>
                <w:vAlign w:val="center"/>
              </w:tcPr>
              <w:p w14:paraId="6E330FD1" w14:textId="77777777" w:rsidR="007E7472" w:rsidRDefault="00EC1269">
                <w:pPr>
                  <w:autoSpaceDE w:val="0"/>
                  <w:autoSpaceDN w:val="0"/>
                  <w:adjustRightInd w:val="0"/>
                  <w:snapToGrid w:val="0"/>
                  <w:spacing w:line="240" w:lineRule="atLeast"/>
                  <w:ind w:right="210"/>
                  <w:jc w:val="right"/>
                </w:pPr>
                <w:r>
                  <w:t>1,784,689</w:t>
                </w:r>
              </w:p>
            </w:tc>
            <w:tc>
              <w:tcPr>
                <w:tcW w:w="3017" w:type="dxa"/>
                <w:vAlign w:val="center"/>
              </w:tcPr>
              <w:p w14:paraId="37F2BF36" w14:textId="77777777" w:rsidR="007E7472" w:rsidRDefault="00EC1269">
                <w:pPr>
                  <w:autoSpaceDE w:val="0"/>
                  <w:autoSpaceDN w:val="0"/>
                  <w:adjustRightInd w:val="0"/>
                  <w:snapToGrid w:val="0"/>
                  <w:spacing w:line="240" w:lineRule="atLeast"/>
                  <w:ind w:right="210"/>
                  <w:jc w:val="right"/>
                </w:pPr>
                <w:r>
                  <w:t>2,379,380</w:t>
                </w:r>
              </w:p>
            </w:tc>
          </w:tr>
          <w:tr w:rsidR="007E7472" w14:paraId="4DCFFC61" w14:textId="77777777" w:rsidTr="007E7472">
            <w:trPr>
              <w:trHeight w:val="340"/>
            </w:trPr>
            <w:tc>
              <w:tcPr>
                <w:tcW w:w="3016" w:type="dxa"/>
                <w:vAlign w:val="center"/>
              </w:tcPr>
              <w:p w14:paraId="33545B97" w14:textId="77777777" w:rsidR="007E7472" w:rsidRDefault="00EC1269">
                <w:r>
                  <w:rPr>
                    <w:rFonts w:hint="eastAsia"/>
                  </w:rPr>
                  <w:t>法定存款保证金</w:t>
                </w:r>
              </w:p>
            </w:tc>
            <w:tc>
              <w:tcPr>
                <w:tcW w:w="3016" w:type="dxa"/>
                <w:vAlign w:val="center"/>
              </w:tcPr>
              <w:p w14:paraId="464A83B3" w14:textId="77777777" w:rsidR="007E7472" w:rsidRDefault="00EC1269">
                <w:pPr>
                  <w:autoSpaceDE w:val="0"/>
                  <w:autoSpaceDN w:val="0"/>
                  <w:adjustRightInd w:val="0"/>
                  <w:snapToGrid w:val="0"/>
                  <w:spacing w:line="240" w:lineRule="atLeast"/>
                  <w:ind w:right="210"/>
                  <w:jc w:val="right"/>
                </w:pPr>
                <w:r>
                  <w:t>1,677,902</w:t>
                </w:r>
              </w:p>
            </w:tc>
            <w:tc>
              <w:tcPr>
                <w:tcW w:w="3017" w:type="dxa"/>
                <w:vAlign w:val="center"/>
              </w:tcPr>
              <w:p w14:paraId="33AB4DAF" w14:textId="77777777" w:rsidR="007E7472" w:rsidRDefault="00EC1269">
                <w:pPr>
                  <w:autoSpaceDE w:val="0"/>
                  <w:autoSpaceDN w:val="0"/>
                  <w:adjustRightInd w:val="0"/>
                  <w:snapToGrid w:val="0"/>
                  <w:spacing w:line="240" w:lineRule="atLeast"/>
                  <w:ind w:right="210"/>
                  <w:jc w:val="right"/>
                </w:pPr>
                <w:r>
                  <w:t>1,470,750</w:t>
                </w:r>
              </w:p>
            </w:tc>
          </w:tr>
          <w:tr w:rsidR="007E7472" w14:paraId="03F90E47" w14:textId="77777777" w:rsidTr="007E7472">
            <w:trPr>
              <w:trHeight w:val="340"/>
            </w:trPr>
            <w:tc>
              <w:tcPr>
                <w:tcW w:w="3016" w:type="dxa"/>
                <w:vAlign w:val="center"/>
              </w:tcPr>
              <w:p w14:paraId="3F11EBDB" w14:textId="77777777" w:rsidR="007E7472" w:rsidRDefault="00EC1269">
                <w:r>
                  <w:rPr>
                    <w:rFonts w:hint="eastAsia"/>
                  </w:rPr>
                  <w:t>质押的定期存款</w:t>
                </w:r>
              </w:p>
            </w:tc>
            <w:tc>
              <w:tcPr>
                <w:tcW w:w="3016" w:type="dxa"/>
                <w:vAlign w:val="center"/>
              </w:tcPr>
              <w:p w14:paraId="2D920980" w14:textId="77777777" w:rsidR="007E7472" w:rsidRDefault="00EC1269">
                <w:pPr>
                  <w:autoSpaceDE w:val="0"/>
                  <w:autoSpaceDN w:val="0"/>
                  <w:adjustRightInd w:val="0"/>
                  <w:snapToGrid w:val="0"/>
                  <w:spacing w:line="240" w:lineRule="atLeast"/>
                  <w:ind w:right="210"/>
                  <w:jc w:val="right"/>
                </w:pPr>
                <w:r>
                  <w:t>523,949</w:t>
                </w:r>
              </w:p>
            </w:tc>
            <w:tc>
              <w:tcPr>
                <w:tcW w:w="3017" w:type="dxa"/>
                <w:vAlign w:val="center"/>
              </w:tcPr>
              <w:p w14:paraId="56833E47" w14:textId="77777777" w:rsidR="007E7472" w:rsidRDefault="00EC1269">
                <w:pPr>
                  <w:autoSpaceDE w:val="0"/>
                  <w:autoSpaceDN w:val="0"/>
                  <w:adjustRightInd w:val="0"/>
                  <w:snapToGrid w:val="0"/>
                  <w:spacing w:line="240" w:lineRule="atLeast"/>
                  <w:ind w:right="210"/>
                  <w:jc w:val="right"/>
                </w:pPr>
                <w:r>
                  <w:t>472,134</w:t>
                </w:r>
              </w:p>
            </w:tc>
          </w:tr>
          <w:tr w:rsidR="007E7472" w14:paraId="318DEA5B" w14:textId="77777777" w:rsidTr="007E7472">
            <w:trPr>
              <w:trHeight w:val="340"/>
            </w:trPr>
            <w:tc>
              <w:tcPr>
                <w:tcW w:w="3016" w:type="dxa"/>
                <w:vAlign w:val="center"/>
              </w:tcPr>
              <w:p w14:paraId="04A55D2A" w14:textId="77777777" w:rsidR="007E7472" w:rsidRDefault="00EC1269">
                <w:r>
                  <w:rPr>
                    <w:rFonts w:hint="eastAsia"/>
                  </w:rPr>
                  <w:t>冻结资金</w:t>
                </w:r>
              </w:p>
            </w:tc>
            <w:tc>
              <w:tcPr>
                <w:tcW w:w="3016" w:type="dxa"/>
                <w:vAlign w:val="center"/>
              </w:tcPr>
              <w:p w14:paraId="56F3BD8B" w14:textId="77777777" w:rsidR="007E7472" w:rsidRDefault="00EC1269">
                <w:pPr>
                  <w:autoSpaceDE w:val="0"/>
                  <w:autoSpaceDN w:val="0"/>
                  <w:adjustRightInd w:val="0"/>
                  <w:snapToGrid w:val="0"/>
                  <w:spacing w:line="240" w:lineRule="atLeast"/>
                  <w:ind w:right="210"/>
                  <w:jc w:val="right"/>
                </w:pPr>
                <w:r>
                  <w:t>233,136</w:t>
                </w:r>
              </w:p>
            </w:tc>
            <w:tc>
              <w:tcPr>
                <w:tcW w:w="3017" w:type="dxa"/>
                <w:vAlign w:val="center"/>
              </w:tcPr>
              <w:p w14:paraId="5FBB5A8E" w14:textId="77777777" w:rsidR="007E7472" w:rsidRDefault="00EC1269">
                <w:pPr>
                  <w:autoSpaceDE w:val="0"/>
                  <w:autoSpaceDN w:val="0"/>
                  <w:adjustRightInd w:val="0"/>
                  <w:snapToGrid w:val="0"/>
                  <w:spacing w:line="240" w:lineRule="atLeast"/>
                  <w:ind w:right="210"/>
                  <w:jc w:val="right"/>
                </w:pPr>
                <w:r>
                  <w:t>243,679</w:t>
                </w:r>
              </w:p>
            </w:tc>
          </w:tr>
          <w:tr w:rsidR="007E7472" w14:paraId="6D903499" w14:textId="77777777" w:rsidTr="007E7472">
            <w:trPr>
              <w:trHeight w:val="340"/>
            </w:trPr>
            <w:tc>
              <w:tcPr>
                <w:tcW w:w="3016" w:type="dxa"/>
                <w:vAlign w:val="center"/>
              </w:tcPr>
              <w:p w14:paraId="2C6466B3" w14:textId="77777777" w:rsidR="007E7472" w:rsidRDefault="00EC1269">
                <w:r>
                  <w:t>其他保证金</w:t>
                </w:r>
              </w:p>
            </w:tc>
            <w:tc>
              <w:tcPr>
                <w:tcW w:w="3016" w:type="dxa"/>
                <w:vAlign w:val="center"/>
              </w:tcPr>
              <w:p w14:paraId="22C49900" w14:textId="77777777" w:rsidR="007E7472" w:rsidRDefault="00EC1269">
                <w:pPr>
                  <w:autoSpaceDE w:val="0"/>
                  <w:autoSpaceDN w:val="0"/>
                  <w:adjustRightInd w:val="0"/>
                  <w:snapToGrid w:val="0"/>
                  <w:spacing w:line="240" w:lineRule="atLeast"/>
                  <w:ind w:right="210"/>
                  <w:jc w:val="right"/>
                </w:pPr>
                <w:r>
                  <w:t>5,643</w:t>
                </w:r>
              </w:p>
            </w:tc>
            <w:tc>
              <w:tcPr>
                <w:tcW w:w="3017" w:type="dxa"/>
                <w:vAlign w:val="center"/>
              </w:tcPr>
              <w:p w14:paraId="6B2E62C6" w14:textId="77777777" w:rsidR="007E7472" w:rsidRDefault="00EC1269">
                <w:pPr>
                  <w:autoSpaceDE w:val="0"/>
                  <w:autoSpaceDN w:val="0"/>
                  <w:adjustRightInd w:val="0"/>
                  <w:snapToGrid w:val="0"/>
                  <w:spacing w:line="240" w:lineRule="atLeast"/>
                  <w:ind w:right="210"/>
                  <w:jc w:val="right"/>
                </w:pPr>
                <w:r>
                  <w:t>5,591</w:t>
                </w:r>
              </w:p>
            </w:tc>
          </w:tr>
          <w:tr w:rsidR="007E7472" w14:paraId="07231C35" w14:textId="77777777" w:rsidTr="007E7472">
            <w:trPr>
              <w:trHeight w:val="340"/>
            </w:trPr>
            <w:tc>
              <w:tcPr>
                <w:tcW w:w="3016" w:type="dxa"/>
                <w:vAlign w:val="center"/>
              </w:tcPr>
              <w:p w14:paraId="503EB65C" w14:textId="77777777" w:rsidR="007E7472" w:rsidRDefault="00EC1269">
                <w:r>
                  <w:t>合计</w:t>
                </w:r>
              </w:p>
            </w:tc>
            <w:tc>
              <w:tcPr>
                <w:tcW w:w="3016" w:type="dxa"/>
                <w:vAlign w:val="center"/>
              </w:tcPr>
              <w:p w14:paraId="10E6CD1A" w14:textId="77777777" w:rsidR="007E7472" w:rsidRDefault="00EC1269">
                <w:pPr>
                  <w:autoSpaceDE w:val="0"/>
                  <w:autoSpaceDN w:val="0"/>
                  <w:adjustRightInd w:val="0"/>
                  <w:snapToGrid w:val="0"/>
                  <w:spacing w:line="240" w:lineRule="atLeast"/>
                  <w:ind w:right="210"/>
                  <w:jc w:val="right"/>
                </w:pPr>
                <w:r>
                  <w:t>6,450,550</w:t>
                </w:r>
              </w:p>
            </w:tc>
            <w:tc>
              <w:tcPr>
                <w:tcW w:w="3017" w:type="dxa"/>
                <w:vAlign w:val="center"/>
              </w:tcPr>
              <w:p w14:paraId="01572495" w14:textId="77777777" w:rsidR="007E7472" w:rsidRDefault="00EC1269">
                <w:pPr>
                  <w:autoSpaceDE w:val="0"/>
                  <w:autoSpaceDN w:val="0"/>
                  <w:adjustRightInd w:val="0"/>
                  <w:snapToGrid w:val="0"/>
                  <w:spacing w:line="240" w:lineRule="atLeast"/>
                  <w:ind w:right="210"/>
                  <w:jc w:val="right"/>
                </w:pPr>
                <w:r>
                  <w:t>6,553,534</w:t>
                </w:r>
              </w:p>
            </w:tc>
          </w:tr>
        </w:tbl>
        <w:p w14:paraId="68FDD9F2" w14:textId="77777777" w:rsidR="007E7472" w:rsidRDefault="00C8327E"/>
      </w:sdtContent>
    </w:sdt>
    <w:bookmarkStart w:id="160" w:name="_Hlk10466498" w:displacedByCustomXml="next"/>
    <w:sdt>
      <w:sdtPr>
        <w:rPr>
          <w:rFonts w:ascii="宋体" w:hAnsi="宋体" w:cs="宋体" w:hint="eastAsia"/>
          <w:b w:val="0"/>
          <w:bCs w:val="0"/>
          <w:kern w:val="0"/>
          <w:szCs w:val="21"/>
        </w:rPr>
        <w:alias w:val="模块:交易性金融资产"/>
        <w:tag w:val="_SEC_01904024df9944b092034293cedff1b0"/>
        <w:id w:val="2071919146"/>
        <w:lock w:val="sdtLocked"/>
        <w:placeholder>
          <w:docPart w:val="GBC22222222222222222222222222222"/>
        </w:placeholder>
      </w:sdtPr>
      <w:sdtEndPr/>
      <w:sdtContent>
        <w:p w14:paraId="6D9F0333" w14:textId="77777777" w:rsidR="007E7472" w:rsidRDefault="00EC1269" w:rsidP="00162493">
          <w:pPr>
            <w:pStyle w:val="3"/>
            <w:numPr>
              <w:ilvl w:val="0"/>
              <w:numId w:val="62"/>
            </w:numPr>
          </w:pPr>
          <w:r>
            <w:rPr>
              <w:rFonts w:hint="eastAsia"/>
            </w:rPr>
            <w:t>交易性金融资产</w:t>
          </w:r>
        </w:p>
        <w:sdt>
          <w:sdtPr>
            <w:alias w:val="是否适用：交易性金融资产[双击切换]"/>
            <w:tag w:val="_GBC_11d582474c724741b6bb067e7b29fffd"/>
            <w:id w:val="1113409942"/>
            <w:lock w:val="sdtLocked"/>
            <w:placeholder>
              <w:docPart w:val="GBC22222222222222222222222222222"/>
            </w:placeholder>
          </w:sdtPr>
          <w:sdtEndPr/>
          <w:sdtContent>
            <w:p w14:paraId="084A9B70"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3139DE59" w14:textId="1D438082" w:rsidR="007E7472" w:rsidRDefault="00EC1269">
          <w:pPr>
            <w:ind w:left="420" w:right="44"/>
            <w:jc w:val="right"/>
          </w:pPr>
          <w:r>
            <w:rPr>
              <w:rFonts w:hint="eastAsia"/>
            </w:rPr>
            <w:t>单位：</w:t>
          </w:r>
          <w:sdt>
            <w:sdtPr>
              <w:rPr>
                <w:rFonts w:hint="eastAsia"/>
              </w:rPr>
              <w:alias w:val="单位：财务附注：交易性金融资产"/>
              <w:tag w:val="_GBC_b2d7dc3f69444771a448a311594f8279"/>
              <w:id w:val="16832484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交易性金融资产"/>
              <w:tag w:val="_GBC_88b9006e3e174b8c8076810e5fb1dcc8"/>
              <w:id w:val="4806622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0"/>
            <w:gridCol w:w="2620"/>
            <w:gridCol w:w="2643"/>
          </w:tblGrid>
          <w:tr w:rsidR="007E7472" w14:paraId="1C587074" w14:textId="77777777" w:rsidTr="007E7472">
            <w:trPr>
              <w:trHeight w:val="416"/>
            </w:trPr>
            <w:sdt>
              <w:sdtPr>
                <w:tag w:val="_PLD_180b3e7393aa4b579f23eb84c4a7f3d2"/>
                <w:id w:val="-1173327977"/>
                <w:lock w:val="sdtLocked"/>
              </w:sdtPr>
              <w:sdtEndPr/>
              <w:sdtContent>
                <w:tc>
                  <w:tcPr>
                    <w:tcW w:w="2017" w:type="pct"/>
                    <w:shd w:val="clear" w:color="auto" w:fill="auto"/>
                    <w:vAlign w:val="center"/>
                  </w:tcPr>
                  <w:p w14:paraId="1413BAD3" w14:textId="77777777" w:rsidR="007E7472" w:rsidRDefault="00EC1269">
                    <w:pPr>
                      <w:jc w:val="center"/>
                    </w:pPr>
                    <w:r>
                      <w:rPr>
                        <w:rFonts w:hint="eastAsia"/>
                      </w:rPr>
                      <w:t>项目</w:t>
                    </w:r>
                  </w:p>
                </w:tc>
              </w:sdtContent>
            </w:sdt>
            <w:sdt>
              <w:sdtPr>
                <w:tag w:val="_PLD_3c39d37503a349249c106423bdc13d7f"/>
                <w:id w:val="1377890928"/>
                <w:lock w:val="sdtLocked"/>
              </w:sdtPr>
              <w:sdtEndPr/>
              <w:sdtContent>
                <w:tc>
                  <w:tcPr>
                    <w:tcW w:w="1485" w:type="pct"/>
                    <w:shd w:val="clear" w:color="auto" w:fill="auto"/>
                    <w:vAlign w:val="center"/>
                  </w:tcPr>
                  <w:p w14:paraId="53F2F6DC" w14:textId="77777777" w:rsidR="007E7472" w:rsidRDefault="00EC1269">
                    <w:pPr>
                      <w:autoSpaceDE w:val="0"/>
                      <w:autoSpaceDN w:val="0"/>
                      <w:adjustRightInd w:val="0"/>
                      <w:snapToGrid w:val="0"/>
                      <w:spacing w:line="240" w:lineRule="atLeast"/>
                      <w:jc w:val="center"/>
                    </w:pPr>
                    <w:r>
                      <w:rPr>
                        <w:rFonts w:hint="eastAsia"/>
                      </w:rPr>
                      <w:t>期末余额</w:t>
                    </w:r>
                  </w:p>
                </w:tc>
              </w:sdtContent>
            </w:sdt>
            <w:sdt>
              <w:sdtPr>
                <w:tag w:val="_PLD_d428152cd6a04122a794515fe299ca7f"/>
                <w:id w:val="301898253"/>
                <w:lock w:val="sdtLocked"/>
              </w:sdtPr>
              <w:sdtEndPr/>
              <w:sdtContent>
                <w:tc>
                  <w:tcPr>
                    <w:tcW w:w="1498" w:type="pct"/>
                    <w:shd w:val="clear" w:color="auto" w:fill="auto"/>
                    <w:vAlign w:val="center"/>
                  </w:tcPr>
                  <w:p w14:paraId="2AF53755" w14:textId="77777777" w:rsidR="007E7472" w:rsidRDefault="00EC1269">
                    <w:pPr>
                      <w:autoSpaceDE w:val="0"/>
                      <w:autoSpaceDN w:val="0"/>
                      <w:adjustRightInd w:val="0"/>
                      <w:snapToGrid w:val="0"/>
                      <w:spacing w:line="240" w:lineRule="atLeast"/>
                      <w:jc w:val="center"/>
                    </w:pPr>
                    <w:r>
                      <w:rPr>
                        <w:rFonts w:hint="eastAsia"/>
                      </w:rPr>
                      <w:t>期初余额</w:t>
                    </w:r>
                  </w:p>
                </w:tc>
              </w:sdtContent>
            </w:sdt>
          </w:tr>
          <w:tr w:rsidR="007E7472" w14:paraId="3B4EC615" w14:textId="77777777">
            <w:tc>
              <w:tcPr>
                <w:tcW w:w="2017" w:type="pct"/>
                <w:shd w:val="clear" w:color="auto" w:fill="auto"/>
              </w:tcPr>
              <w:p w14:paraId="07DECAF1" w14:textId="77777777" w:rsidR="007E7472" w:rsidRDefault="00EC1269">
                <w:pPr>
                  <w:autoSpaceDE w:val="0"/>
                  <w:autoSpaceDN w:val="0"/>
                  <w:adjustRightInd w:val="0"/>
                </w:pPr>
                <w:r>
                  <w:rPr>
                    <w:rFonts w:hint="eastAsia"/>
                  </w:rPr>
                  <w:t>以公允价值计量且其变动计入当期损益的金融资产</w:t>
                </w:r>
              </w:p>
            </w:tc>
            <w:tc>
              <w:tcPr>
                <w:tcW w:w="1485" w:type="pct"/>
                <w:tcBorders>
                  <w:top w:val="single" w:sz="4" w:space="0" w:color="auto"/>
                  <w:left w:val="single" w:sz="4" w:space="0" w:color="auto"/>
                  <w:bottom w:val="single" w:sz="4" w:space="0" w:color="auto"/>
                  <w:right w:val="single" w:sz="4" w:space="0" w:color="auto"/>
                </w:tcBorders>
                <w:shd w:val="clear" w:color="auto" w:fill="auto"/>
                <w:vAlign w:val="center"/>
              </w:tcPr>
              <w:p w14:paraId="091C26E4" w14:textId="77777777" w:rsidR="007E7472" w:rsidRDefault="00C8327E">
                <w:pPr>
                  <w:jc w:val="right"/>
                  <w:rPr>
                    <w:rFonts w:ascii="Times New Roman" w:hAnsi="Times New Roman" w:cs="Times New Roman"/>
                    <w:bCs/>
                    <w:color w:val="000000"/>
                  </w:rPr>
                </w:pPr>
              </w:p>
            </w:tc>
            <w:tc>
              <w:tcPr>
                <w:tcW w:w="1498" w:type="pct"/>
                <w:tcBorders>
                  <w:top w:val="single" w:sz="4" w:space="0" w:color="auto"/>
                  <w:left w:val="nil"/>
                  <w:bottom w:val="single" w:sz="4" w:space="0" w:color="auto"/>
                  <w:right w:val="single" w:sz="4" w:space="0" w:color="auto"/>
                </w:tcBorders>
                <w:shd w:val="clear" w:color="auto" w:fill="auto"/>
                <w:vAlign w:val="center"/>
              </w:tcPr>
              <w:p w14:paraId="180CBA2B" w14:textId="77777777" w:rsidR="007E7472" w:rsidRDefault="00C8327E">
                <w:pPr>
                  <w:jc w:val="right"/>
                  <w:rPr>
                    <w:rFonts w:ascii="Times New Roman" w:hAnsi="Times New Roman" w:cs="Times New Roman"/>
                    <w:color w:val="000000"/>
                  </w:rPr>
                </w:pPr>
              </w:p>
            </w:tc>
          </w:tr>
          <w:tr w:rsidR="007E7472" w14:paraId="43797EA3" w14:textId="77777777">
            <w:trPr>
              <w:trHeight w:val="340"/>
            </w:trPr>
            <w:tc>
              <w:tcPr>
                <w:tcW w:w="5000" w:type="pct"/>
                <w:gridSpan w:val="3"/>
                <w:shd w:val="clear" w:color="auto" w:fill="auto"/>
                <w:vAlign w:val="center"/>
              </w:tcPr>
              <w:p w14:paraId="5811F1E3" w14:textId="77777777" w:rsidR="007E7472" w:rsidRDefault="00EC1269">
                <w:r>
                  <w:rPr>
                    <w:rFonts w:hint="eastAsia"/>
                  </w:rPr>
                  <w:t>其中：</w:t>
                </w:r>
              </w:p>
            </w:tc>
          </w:tr>
          <w:tr w:rsidR="007E7472" w14:paraId="1F7A5895" w14:textId="77777777">
            <w:trPr>
              <w:trHeight w:val="340"/>
            </w:trPr>
            <w:tc>
              <w:tcPr>
                <w:tcW w:w="2017" w:type="pct"/>
                <w:shd w:val="clear" w:color="auto" w:fill="auto"/>
                <w:vAlign w:val="center"/>
              </w:tcPr>
              <w:p w14:paraId="26FBFFA5" w14:textId="77777777" w:rsidR="007E7472" w:rsidRDefault="00EC1269">
                <w:pPr>
                  <w:rPr>
                    <w:bCs/>
                    <w:color w:val="000000"/>
                  </w:rPr>
                </w:pPr>
                <w:r>
                  <w:rPr>
                    <w:rFonts w:hint="eastAsia"/>
                    <w:color w:val="000000"/>
                  </w:rPr>
                  <w:t>特别收益权（注1）</w:t>
                </w:r>
              </w:p>
            </w:tc>
            <w:tc>
              <w:tcPr>
                <w:tcW w:w="1485" w:type="pct"/>
                <w:shd w:val="clear" w:color="auto" w:fill="auto"/>
                <w:vAlign w:val="center"/>
              </w:tcPr>
              <w:p w14:paraId="2C8B1AE9" w14:textId="77777777" w:rsidR="007E7472" w:rsidRDefault="00EC1269">
                <w:pPr>
                  <w:jc w:val="right"/>
                </w:pPr>
                <w:r>
                  <w:t>111,485</w:t>
                </w:r>
              </w:p>
            </w:tc>
            <w:tc>
              <w:tcPr>
                <w:tcW w:w="1498" w:type="pct"/>
                <w:shd w:val="clear" w:color="auto" w:fill="auto"/>
                <w:vAlign w:val="center"/>
              </w:tcPr>
              <w:p w14:paraId="6F94186F" w14:textId="77777777" w:rsidR="007E7472" w:rsidRDefault="00EC1269">
                <w:pPr>
                  <w:jc w:val="right"/>
                </w:pPr>
                <w:r>
                  <w:t>94,276</w:t>
                </w:r>
              </w:p>
            </w:tc>
          </w:tr>
          <w:tr w:rsidR="007E7472" w14:paraId="20FAF886" w14:textId="77777777">
            <w:trPr>
              <w:trHeight w:val="340"/>
            </w:trPr>
            <w:tc>
              <w:tcPr>
                <w:tcW w:w="2017" w:type="pct"/>
                <w:shd w:val="clear" w:color="auto" w:fill="auto"/>
                <w:vAlign w:val="center"/>
              </w:tcPr>
              <w:p w14:paraId="33A50227" w14:textId="77777777" w:rsidR="007E7472" w:rsidRDefault="00EC1269">
                <w:pPr>
                  <w:rPr>
                    <w:bCs/>
                    <w:color w:val="000000"/>
                  </w:rPr>
                </w:pPr>
                <w:r>
                  <w:rPr>
                    <w:rFonts w:hint="eastAsia"/>
                    <w:color w:val="000000"/>
                  </w:rPr>
                  <w:t>货币基金</w:t>
                </w:r>
              </w:p>
            </w:tc>
            <w:tc>
              <w:tcPr>
                <w:tcW w:w="1485" w:type="pct"/>
                <w:shd w:val="clear" w:color="auto" w:fill="auto"/>
                <w:vAlign w:val="center"/>
              </w:tcPr>
              <w:p w14:paraId="5C506A95" w14:textId="77777777" w:rsidR="007E7472" w:rsidRDefault="00EC1269">
                <w:pPr>
                  <w:jc w:val="right"/>
                </w:pPr>
                <w:r>
                  <w:t>1,021</w:t>
                </w:r>
              </w:p>
            </w:tc>
            <w:tc>
              <w:tcPr>
                <w:tcW w:w="1498" w:type="pct"/>
                <w:shd w:val="clear" w:color="auto" w:fill="auto"/>
                <w:vAlign w:val="center"/>
              </w:tcPr>
              <w:p w14:paraId="1415BCDC" w14:textId="77777777" w:rsidR="007E7472" w:rsidRDefault="00EC1269">
                <w:pPr>
                  <w:jc w:val="right"/>
                </w:pPr>
                <w:r>
                  <w:t>1,012</w:t>
                </w:r>
              </w:p>
            </w:tc>
          </w:tr>
          <w:tr w:rsidR="007E7472" w14:paraId="19EEF182" w14:textId="77777777">
            <w:trPr>
              <w:trHeight w:val="340"/>
            </w:trPr>
            <w:tc>
              <w:tcPr>
                <w:tcW w:w="2017" w:type="pct"/>
                <w:shd w:val="clear" w:color="auto" w:fill="auto"/>
                <w:vAlign w:val="center"/>
              </w:tcPr>
              <w:p w14:paraId="571CF3C9" w14:textId="1A82EA5E" w:rsidR="007E7472" w:rsidRDefault="00EC1269">
                <w:pPr>
                  <w:rPr>
                    <w:bCs/>
                    <w:color w:val="000000"/>
                  </w:rPr>
                </w:pPr>
                <w:bookmarkStart w:id="161" w:name="_Hlk533595247"/>
                <w:r>
                  <w:rPr>
                    <w:rFonts w:hint="eastAsia"/>
                    <w:color w:val="000000"/>
                  </w:rPr>
                  <w:t>权益工具投资</w:t>
                </w:r>
              </w:p>
            </w:tc>
            <w:tc>
              <w:tcPr>
                <w:tcW w:w="1485" w:type="pct"/>
                <w:shd w:val="clear" w:color="auto" w:fill="auto"/>
                <w:vAlign w:val="center"/>
              </w:tcPr>
              <w:p w14:paraId="0CC14E53" w14:textId="77777777" w:rsidR="007E7472" w:rsidRDefault="00EC1269">
                <w:pPr>
                  <w:jc w:val="right"/>
                </w:pPr>
                <w:r>
                  <w:t>225</w:t>
                </w:r>
              </w:p>
            </w:tc>
            <w:tc>
              <w:tcPr>
                <w:tcW w:w="1498" w:type="pct"/>
                <w:shd w:val="clear" w:color="auto" w:fill="auto"/>
                <w:vAlign w:val="center"/>
              </w:tcPr>
              <w:p w14:paraId="6EE673A2" w14:textId="77777777" w:rsidR="007E7472" w:rsidRDefault="00EC1269">
                <w:pPr>
                  <w:jc w:val="right"/>
                </w:pPr>
                <w:r>
                  <w:t>425</w:t>
                </w:r>
              </w:p>
            </w:tc>
          </w:tr>
          <w:bookmarkEnd w:id="161"/>
          <w:tr w:rsidR="007E7472" w14:paraId="3D2442B0" w14:textId="77777777">
            <w:trPr>
              <w:trHeight w:val="340"/>
            </w:trPr>
            <w:tc>
              <w:tcPr>
                <w:tcW w:w="2017" w:type="pct"/>
                <w:shd w:val="clear" w:color="auto" w:fill="auto"/>
                <w:vAlign w:val="center"/>
              </w:tcPr>
              <w:p w14:paraId="7EB3D22D" w14:textId="77777777" w:rsidR="007E7472" w:rsidRDefault="00EC1269" w:rsidP="007E7472">
                <w:r>
                  <w:rPr>
                    <w:rFonts w:hint="eastAsia"/>
                  </w:rPr>
                  <w:t>合计</w:t>
                </w:r>
              </w:p>
            </w:tc>
            <w:tc>
              <w:tcPr>
                <w:tcW w:w="1485" w:type="pct"/>
                <w:shd w:val="clear" w:color="auto" w:fill="auto"/>
                <w:vAlign w:val="center"/>
              </w:tcPr>
              <w:p w14:paraId="53931344" w14:textId="77777777" w:rsidR="007E7472" w:rsidRDefault="00EC1269">
                <w:pPr>
                  <w:jc w:val="right"/>
                </w:pPr>
                <w:r>
                  <w:t>112,731</w:t>
                </w:r>
              </w:p>
            </w:tc>
            <w:tc>
              <w:tcPr>
                <w:tcW w:w="1498" w:type="pct"/>
                <w:shd w:val="clear" w:color="auto" w:fill="auto"/>
                <w:vAlign w:val="center"/>
              </w:tcPr>
              <w:p w14:paraId="4C56E88D" w14:textId="77777777" w:rsidR="007E7472" w:rsidRDefault="00EC1269">
                <w:pPr>
                  <w:jc w:val="right"/>
                </w:pPr>
                <w:r>
                  <w:t>95,713</w:t>
                </w:r>
              </w:p>
            </w:tc>
          </w:tr>
        </w:tbl>
        <w:p w14:paraId="331F2F22" w14:textId="77777777" w:rsidR="007E7472" w:rsidRDefault="00EC1269">
          <w:r>
            <w:rPr>
              <w:rFonts w:hint="eastAsia"/>
            </w:rPr>
            <w:t>其他</w:t>
          </w:r>
          <w:r>
            <w:t>说明</w:t>
          </w:r>
          <w:r>
            <w:rPr>
              <w:rFonts w:hint="eastAsia"/>
            </w:rPr>
            <w:t>：</w:t>
          </w:r>
        </w:p>
        <w:sdt>
          <w:sdtPr>
            <w:alias w:val="是否适用：交易性金融资产的说明[双击切换]"/>
            <w:tag w:val="_GBC_b60651a640d94b5c8581bfe4f49d2891"/>
            <w:id w:val="1214381624"/>
            <w:lock w:val="sdtLocked"/>
            <w:placeholder>
              <w:docPart w:val="GBC22222222222222222222222222222"/>
            </w:placeholder>
          </w:sdtPr>
          <w:sdtEndPr/>
          <w:sdtContent>
            <w:p w14:paraId="4E5FF2FC"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
          <w:sdtPr>
            <w:alias w:val="交易性金融资产的说明"/>
            <w:tag w:val="_GBC_7716d50aa4ca46fe928f4f87114b2be1"/>
            <w:id w:val="364489258"/>
            <w:lock w:val="sdtLocked"/>
            <w:placeholder>
              <w:docPart w:val="GBC22222222222222222222222222222"/>
            </w:placeholder>
          </w:sdtPr>
          <w:sdtEndPr/>
          <w:sdtContent>
            <w:p w14:paraId="6AC649EA" w14:textId="7BBD253C" w:rsidR="007E7472" w:rsidRDefault="00EC1269" w:rsidP="007E7472">
              <w:pPr>
                <w:spacing w:beforeLines="50" w:before="156" w:afterLines="50" w:after="156" w:line="360" w:lineRule="exact"/>
                <w:ind w:firstLineChars="200" w:firstLine="420"/>
                <w:jc w:val="both"/>
              </w:pPr>
              <w:r>
                <w:rPr>
                  <w:rFonts w:hint="eastAsia"/>
                </w:rPr>
                <w:t>注1：交易性金融资产之特别收益权系本公司之子公司格罗斯特煤炭有限公司拥有的在中山矿项目中取得其按离港煤炭销售价</w:t>
              </w:r>
              <w:r>
                <w:t>4%计算的特别收益之权利。兖煤澳大利亚有限公司（以下简称澳洲公司）管理层于每报告日，对此项权利依据未来现金流量折现后的现值进行计量，变动损益计入当期损益。截至2023年6月30日，将未来一年内将取得的收益111,485千元作为交易性金融资产，超过一年将取得的收益957,104千元作为其他非流动金融资产。</w:t>
              </w:r>
            </w:p>
          </w:sdtContent>
        </w:sdt>
      </w:sdtContent>
    </w:sdt>
    <w:bookmarkEnd w:id="160"/>
    <w:p w14:paraId="540E7C49" w14:textId="77777777" w:rsidR="007E7472" w:rsidRDefault="00C8327E">
      <w:pPr>
        <w:snapToGrid w:val="0"/>
        <w:spacing w:line="240" w:lineRule="atLeast"/>
        <w:ind w:rightChars="12" w:right="25"/>
      </w:pPr>
    </w:p>
    <w:sdt>
      <w:sdtPr>
        <w:rPr>
          <w:rFonts w:ascii="宋体" w:hAnsi="宋体" w:cs="宋体" w:hint="eastAsia"/>
          <w:b w:val="0"/>
          <w:bCs w:val="0"/>
          <w:kern w:val="0"/>
          <w:sz w:val="20"/>
          <w:szCs w:val="21"/>
        </w:rPr>
        <w:alias w:val="模块:衍生金融资产"/>
        <w:tag w:val="_GBC_bc314407a9a14c2f8b2b5368638e0a51"/>
        <w:id w:val="-1724899004"/>
        <w:lock w:val="sdtLocked"/>
        <w:placeholder>
          <w:docPart w:val="GBC22222222222222222222222222222"/>
        </w:placeholder>
      </w:sdtPr>
      <w:sdtEndPr>
        <w:rPr>
          <w:rFonts w:ascii="Times New Roman" w:hAnsi="Times New Roman"/>
          <w:szCs w:val="20"/>
        </w:rPr>
      </w:sdtEndPr>
      <w:sdtContent>
        <w:p w14:paraId="4AC2D41C" w14:textId="77777777" w:rsidR="007E7472" w:rsidRDefault="00EC1269" w:rsidP="00162493">
          <w:pPr>
            <w:pStyle w:val="3"/>
            <w:numPr>
              <w:ilvl w:val="0"/>
              <w:numId w:val="62"/>
            </w:numPr>
          </w:pPr>
          <w:r>
            <w:rPr>
              <w:rFonts w:hint="eastAsia"/>
            </w:rPr>
            <w:t>衍生金融资产</w:t>
          </w:r>
        </w:p>
        <w:sdt>
          <w:sdtPr>
            <w:alias w:val="是否适用：衍生金融资产[双击切换]"/>
            <w:tag w:val="_GBC_7f1559f8ac9a442b81c5479563d9e8bb"/>
            <w:id w:val="-1856804093"/>
            <w:lock w:val="sdtLocked"/>
            <w:placeholder>
              <w:docPart w:val="GBC22222222222222222222222222222"/>
            </w:placeholder>
          </w:sdtPr>
          <w:sdtEndPr/>
          <w:sdtContent>
            <w:p w14:paraId="2F501CFA"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p w14:paraId="2F745E64" w14:textId="77777777" w:rsidR="007E7472" w:rsidRDefault="00EC1269" w:rsidP="00162493">
      <w:pPr>
        <w:pStyle w:val="3"/>
        <w:numPr>
          <w:ilvl w:val="0"/>
          <w:numId w:val="62"/>
        </w:numPr>
      </w:pPr>
      <w:r>
        <w:rPr>
          <w:rFonts w:hint="eastAsia"/>
        </w:rPr>
        <w:t>应收票据</w:t>
      </w:r>
    </w:p>
    <w:sdt>
      <w:sdtPr>
        <w:rPr>
          <w:rFonts w:ascii="宋体" w:hAnsi="宋体" w:cs="宋体" w:hint="eastAsia"/>
          <w:b w:val="0"/>
          <w:bCs w:val="0"/>
          <w:kern w:val="0"/>
          <w:sz w:val="20"/>
          <w:szCs w:val="22"/>
        </w:rPr>
        <w:alias w:val="模块:应收票据分类"/>
        <w:tag w:val="_GBC_c1ce1fc5bd0f42bca82cd02f3a6b623f"/>
        <w:id w:val="-1094313001"/>
        <w:lock w:val="sdtLocked"/>
        <w:placeholder>
          <w:docPart w:val="GBC22222222222222222222222222222"/>
        </w:placeholder>
      </w:sdtPr>
      <w:sdtEndPr>
        <w:rPr>
          <w:rFonts w:hint="default"/>
          <w:szCs w:val="21"/>
        </w:rPr>
      </w:sdtEndPr>
      <w:sdtContent>
        <w:p w14:paraId="1E55E551" w14:textId="77777777" w:rsidR="007E7472" w:rsidRPr="00410BAF" w:rsidRDefault="00EC1269" w:rsidP="00162493">
          <w:pPr>
            <w:pStyle w:val="4"/>
            <w:numPr>
              <w:ilvl w:val="0"/>
              <w:numId w:val="63"/>
            </w:numPr>
          </w:pPr>
          <w:r w:rsidRPr="00410BAF">
            <w:rPr>
              <w:rFonts w:hint="eastAsia"/>
            </w:rPr>
            <w:t>应收票据分类列示</w:t>
          </w:r>
        </w:p>
        <w:sdt>
          <w:sdtPr>
            <w:alias w:val="是否适用：应收票据分类列示[双击切换]"/>
            <w:tag w:val="_GBC_3c32a2809ab3476a93b88a8155fb0be8"/>
            <w:id w:val="-1965572926"/>
            <w:lock w:val="sdtLocked"/>
            <w:placeholder>
              <w:docPart w:val="GBC22222222222222222222222222222"/>
            </w:placeholder>
          </w:sdtPr>
          <w:sdtEndPr/>
          <w:sdtContent>
            <w:p w14:paraId="604B16BC"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sdt>
      <w:sdtPr>
        <w:rPr>
          <w:rFonts w:ascii="宋体" w:hAnsi="宋体" w:cs="宋体" w:hint="eastAsia"/>
          <w:b w:val="0"/>
          <w:bCs w:val="0"/>
          <w:kern w:val="0"/>
          <w:sz w:val="20"/>
          <w:szCs w:val="22"/>
        </w:rPr>
        <w:alias w:val="模块:期末公司已质押的应收票据情况"/>
        <w:tag w:val="_GBC_8fdb3f7098324d0d8b9f6e395abf9009"/>
        <w:id w:val="620970671"/>
        <w:lock w:val="sdtLocked"/>
        <w:placeholder>
          <w:docPart w:val="GBC22222222222222222222222222222"/>
        </w:placeholder>
      </w:sdtPr>
      <w:sdtEndPr>
        <w:rPr>
          <w:szCs w:val="21"/>
        </w:rPr>
      </w:sdtEndPr>
      <w:sdtContent>
        <w:p w14:paraId="3BB420FC" w14:textId="77777777" w:rsidR="007E7472" w:rsidRDefault="00EC1269" w:rsidP="00162493">
          <w:pPr>
            <w:pStyle w:val="4"/>
            <w:numPr>
              <w:ilvl w:val="0"/>
              <w:numId w:val="63"/>
            </w:numPr>
          </w:pPr>
          <w:r>
            <w:t>期末公司已</w:t>
          </w:r>
          <w:r>
            <w:rPr>
              <w:rFonts w:hint="eastAsia"/>
            </w:rPr>
            <w:t>质押</w:t>
          </w:r>
          <w:r>
            <w:t>的应收票据</w:t>
          </w:r>
        </w:p>
        <w:sdt>
          <w:sdtPr>
            <w:alias w:val="是否适用：期末公司已质押的应收票据[双击切换]"/>
            <w:tag w:val="_GBC_3440ef2908e64e51a440106bfa389257"/>
            <w:id w:val="1633984076"/>
            <w:lock w:val="sdtLocked"/>
            <w:placeholder>
              <w:docPart w:val="GBC22222222222222222222222222222"/>
            </w:placeholder>
          </w:sdtPr>
          <w:sdtEndPr/>
          <w:sdtContent>
            <w:p w14:paraId="0862329A"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sdt>
      <w:sdtPr>
        <w:rPr>
          <w:rFonts w:ascii="宋体" w:hAnsi="宋体" w:cs="宋体" w:hint="eastAsia"/>
          <w:b w:val="0"/>
          <w:bCs w:val="0"/>
          <w:kern w:val="0"/>
          <w:szCs w:val="22"/>
        </w:rPr>
        <w:alias w:val="模块:因出票人无力履约而将票据转为应收账款的票据，以及期末已背书未到期票据"/>
        <w:tag w:val="_GBC_d0a9833415574c7baa9ef176fea05ecf"/>
        <w:id w:val="-1561389811"/>
        <w:lock w:val="sdtLocked"/>
        <w:placeholder>
          <w:docPart w:val="GBC22222222222222222222222222222"/>
        </w:placeholder>
      </w:sdtPr>
      <w:sdtEndPr>
        <w:rPr>
          <w:szCs w:val="21"/>
        </w:rPr>
      </w:sdtEndPr>
      <w:sdtContent>
        <w:p w14:paraId="3A3BE343" w14:textId="77777777" w:rsidR="007E7472" w:rsidRDefault="00EC1269" w:rsidP="00162493">
          <w:pPr>
            <w:pStyle w:val="4"/>
            <w:numPr>
              <w:ilvl w:val="0"/>
              <w:numId w:val="63"/>
            </w:numPr>
          </w:pPr>
          <w:r>
            <w:rPr>
              <w:rFonts w:hint="eastAsia"/>
            </w:rPr>
            <w:t>期末公司已背书或贴现且在资产负债表日尚未到期的应收票据</w:t>
          </w:r>
        </w:p>
        <w:sdt>
          <w:sdtPr>
            <w:alias w:val="是否适用：期末公司已背书或贴现且在资产负债表日尚未到期的应收票据[双击切换]"/>
            <w:tag w:val="_GBC_d04f4c30d18f498d986ce6c934ec761c"/>
            <w:id w:val="-1798287225"/>
            <w:lock w:val="sdtLocked"/>
            <w:placeholder>
              <w:docPart w:val="GBC22222222222222222222222222222"/>
            </w:placeholder>
          </w:sdtPr>
          <w:sdtEndPr/>
          <w:sdtContent>
            <w:p w14:paraId="268A465A" w14:textId="77777777" w:rsidR="007E7472" w:rsidRDefault="00EC1269">
              <w:pPr>
                <w:rPr>
                  <w:rFonts w:cs="Times New Roman"/>
                  <w:kern w:val="2"/>
                </w:rPr>
              </w:pPr>
              <w:r>
                <w:rPr>
                  <w:rFonts w:asciiTheme="minorEastAsia" w:eastAsiaTheme="minorEastAsia" w:hAnsiTheme="minorEastAsia" w:cs="Times New Roman"/>
                </w:rPr>
                <w:fldChar w:fldCharType="begin"/>
              </w:r>
              <w:r>
                <w:rPr>
                  <w:rFonts w:asciiTheme="minorEastAsia" w:eastAsiaTheme="minorEastAsia" w:hAnsiTheme="minorEastAsia" w:cs="Times New Roman"/>
                </w:rPr>
                <w:instrText xml:space="preserve"> MACROBUTTON  SnrToggleCheckbox □适用 </w:instrText>
              </w:r>
              <w:r>
                <w:rPr>
                  <w:rFonts w:asciiTheme="minorEastAsia" w:eastAsiaTheme="minorEastAsia" w:hAnsiTheme="minorEastAsia" w:cs="Times New Roman"/>
                </w:rPr>
                <w:fldChar w:fldCharType="end"/>
              </w:r>
              <w:r>
                <w:rPr>
                  <w:rFonts w:asciiTheme="minorEastAsia" w:eastAsiaTheme="minorEastAsia" w:hAnsiTheme="minorEastAsia" w:cs="Times New Roman"/>
                </w:rPr>
                <w:fldChar w:fldCharType="begin"/>
              </w:r>
              <w:r>
                <w:rPr>
                  <w:rFonts w:asciiTheme="minorEastAsia" w:eastAsiaTheme="minorEastAsia" w:hAnsiTheme="minorEastAsia" w:cs="Times New Roman"/>
                </w:rPr>
                <w:instrText xml:space="preserve"> MACROBUTTON  SnrToggleCheckbox √不适用 </w:instrText>
              </w:r>
              <w:r>
                <w:rPr>
                  <w:rFonts w:asciiTheme="minorEastAsia" w:eastAsiaTheme="minorEastAsia" w:hAnsiTheme="minorEastAsia" w:cs="Times New Roman"/>
                </w:rPr>
                <w:fldChar w:fldCharType="end"/>
              </w:r>
            </w:p>
          </w:sdtContent>
        </w:sdt>
      </w:sdtContent>
    </w:sdt>
    <w:sdt>
      <w:sdtPr>
        <w:rPr>
          <w:rFonts w:ascii="宋体" w:hAnsi="宋体" w:cs="宋体" w:hint="eastAsia"/>
          <w:b w:val="0"/>
          <w:bCs w:val="0"/>
          <w:kern w:val="0"/>
          <w:sz w:val="20"/>
          <w:szCs w:val="24"/>
        </w:rPr>
        <w:alias w:val="模块:期末公司因出票人无力履约而将其转为应收账款的票据"/>
        <w:tag w:val="_GBC_83d7650885dc43898bcaaa7b53608492"/>
        <w:id w:val="-1373992819"/>
        <w:lock w:val="sdtLocked"/>
        <w:placeholder>
          <w:docPart w:val="GBC22222222222222222222222222222"/>
        </w:placeholder>
      </w:sdtPr>
      <w:sdtEndPr>
        <w:rPr>
          <w:szCs w:val="21"/>
        </w:rPr>
      </w:sdtEndPr>
      <w:sdtContent>
        <w:p w14:paraId="21B9A956" w14:textId="77777777" w:rsidR="007E7472" w:rsidRDefault="00EC1269" w:rsidP="00162493">
          <w:pPr>
            <w:pStyle w:val="4"/>
            <w:numPr>
              <w:ilvl w:val="0"/>
              <w:numId w:val="63"/>
            </w:numPr>
          </w:pPr>
          <w:r>
            <w:rPr>
              <w:rFonts w:hint="eastAsia"/>
            </w:rPr>
            <w:t>期末公司因出票人未履约而将其转应收账款的票据</w:t>
          </w:r>
        </w:p>
        <w:sdt>
          <w:sdtPr>
            <w:alias w:val="是否适用：期末公司因出票人未履约而将其转应收账款的票据[双击切换]"/>
            <w:tag w:val="_GBC_11366a7f124045f8a578f129009f9b83"/>
            <w:id w:val="-734471446"/>
            <w:lock w:val="sdtLocked"/>
            <w:placeholder>
              <w:docPart w:val="GBC22222222222222222222222222222"/>
            </w:placeholder>
          </w:sdtPr>
          <w:sdtEndPr/>
          <w:sdtContent>
            <w:p w14:paraId="6AA21C62"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p w14:paraId="6827DB21" w14:textId="77777777" w:rsidR="007E7472" w:rsidRDefault="00EC1269" w:rsidP="00162493">
      <w:pPr>
        <w:pStyle w:val="4"/>
        <w:numPr>
          <w:ilvl w:val="0"/>
          <w:numId w:val="63"/>
        </w:numPr>
      </w:pPr>
      <w:bookmarkStart w:id="162" w:name="_Hlk10466572"/>
      <w:r>
        <w:rPr>
          <w:rFonts w:hint="eastAsia"/>
        </w:rPr>
        <w:t>按坏账计提方法分类披露</w:t>
      </w:r>
    </w:p>
    <w:sdt>
      <w:sdtPr>
        <w:alias w:val="是否适用：应收票据按坏账计提方法分类披露[双击切换]"/>
        <w:tag w:val="_GBC_064ae6cf552d47d6abf4ad2b5c55d254"/>
        <w:id w:val="-345178641"/>
        <w:lock w:val="sdtLocked"/>
        <w:placeholder>
          <w:docPart w:val="GBC22222222222222222222222222222"/>
        </w:placeholder>
      </w:sdtPr>
      <w:sdtEndPr/>
      <w:sdtContent>
        <w:p w14:paraId="5C0E60AC"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bookmarkEnd w:id="162" w:displacedByCustomXml="next"/>
    <w:bookmarkStart w:id="163" w:name="_Hlk10466593" w:displacedByCustomXml="next"/>
    <w:sdt>
      <w:sdtPr>
        <w:rPr>
          <w:rFonts w:ascii="宋体" w:hAnsi="宋体" w:cs="宋体" w:hint="eastAsia"/>
          <w:b w:val="0"/>
          <w:bCs w:val="0"/>
          <w:kern w:val="0"/>
          <w:szCs w:val="24"/>
        </w:rPr>
        <w:alias w:val="模块:坏账准备的情况"/>
        <w:tag w:val="_SEC_2937dc20348046e2a68416bd27ff1b82"/>
        <w:id w:val="-131098820"/>
        <w:lock w:val="sdtLocked"/>
        <w:placeholder>
          <w:docPart w:val="GBC22222222222222222222222222222"/>
        </w:placeholder>
      </w:sdtPr>
      <w:sdtEndPr>
        <w:rPr>
          <w:rFonts w:hint="default"/>
          <w:szCs w:val="21"/>
        </w:rPr>
      </w:sdtEndPr>
      <w:sdtContent>
        <w:p w14:paraId="2E9F7E9A" w14:textId="77777777" w:rsidR="007E7472" w:rsidRDefault="00EC1269" w:rsidP="00162493">
          <w:pPr>
            <w:pStyle w:val="4"/>
            <w:numPr>
              <w:ilvl w:val="0"/>
              <w:numId w:val="63"/>
            </w:numPr>
          </w:pPr>
          <w:r>
            <w:rPr>
              <w:rFonts w:hint="eastAsia"/>
            </w:rPr>
            <w:t>坏账准备的情况</w:t>
          </w:r>
        </w:p>
        <w:sdt>
          <w:sdtPr>
            <w:alias w:val="是否适用：应收票据坏账准备情况[双击切换]"/>
            <w:tag w:val="_GBC_065ad100e7534037877c628171a7ddc1"/>
            <w:id w:val="453146544"/>
            <w:lock w:val="sdtLocked"/>
            <w:placeholder>
              <w:docPart w:val="GBC22222222222222222222222222222"/>
            </w:placeholder>
          </w:sdtPr>
          <w:sdtEndPr/>
          <w:sdtContent>
            <w:p w14:paraId="37C8A4CD" w14:textId="77777777" w:rsidR="007E7472" w:rsidRDefault="00EC1269">
              <w:pPr>
                <w:rPr>
                  <w:rFonts w:cstheme="minorBidi"/>
                  <w:b/>
                  <w:bCs/>
                  <w:szCs w:val="22"/>
                </w:rPr>
              </w:pPr>
              <w:r>
                <w:fldChar w:fldCharType="begin"/>
              </w:r>
              <w:r>
                <w:instrText xml:space="preserve"> MACROBUTTON  SnrToggleCheckbox □适用 </w:instrText>
              </w:r>
              <w:r>
                <w:fldChar w:fldCharType="end"/>
              </w:r>
              <w:r>
                <w:rPr>
                  <w:rFonts w:asciiTheme="minorEastAsia" w:eastAsiaTheme="minorEastAsia" w:hAnsiTheme="minorEastAsia" w:cs="Times New Roman"/>
                </w:rPr>
                <w:fldChar w:fldCharType="begin"/>
              </w:r>
              <w:r>
                <w:rPr>
                  <w:rFonts w:asciiTheme="minorEastAsia" w:eastAsiaTheme="minorEastAsia" w:hAnsiTheme="minorEastAsia" w:cs="Times New Roman"/>
                </w:rPr>
                <w:instrText xml:space="preserve"> MACROBUTTON  SnrToggleCheckbox √不适用 </w:instrText>
              </w:r>
              <w:r>
                <w:rPr>
                  <w:rFonts w:asciiTheme="minorEastAsia" w:eastAsiaTheme="minorEastAsia" w:hAnsiTheme="minorEastAsia" w:cs="Times New Roman"/>
                </w:rPr>
                <w:fldChar w:fldCharType="end"/>
              </w:r>
            </w:p>
          </w:sdtContent>
        </w:sdt>
      </w:sdtContent>
    </w:sdt>
    <w:bookmarkEnd w:id="163" w:displacedByCustomXml="next"/>
    <w:bookmarkStart w:id="164" w:name="_Hlk10466841" w:displacedByCustomXml="next"/>
    <w:bookmarkStart w:id="165" w:name="_Hlk10466853" w:displacedByCustomXml="next"/>
    <w:sdt>
      <w:sdtPr>
        <w:rPr>
          <w:rFonts w:ascii="宋体" w:hAnsi="宋体" w:cs="宋体" w:hint="eastAsia"/>
          <w:b w:val="0"/>
          <w:bCs w:val="0"/>
          <w:kern w:val="0"/>
          <w:szCs w:val="24"/>
        </w:rPr>
        <w:alias w:val="模块:本期实际核销的应收票据情况"/>
        <w:tag w:val="_SEC_d1d07f77bea54442a58602a5a3e94f42"/>
        <w:id w:val="-596719006"/>
        <w:lock w:val="sdtLocked"/>
        <w:placeholder>
          <w:docPart w:val="GBC22222222222222222222222222222"/>
        </w:placeholder>
      </w:sdtPr>
      <w:sdtEndPr>
        <w:rPr>
          <w:rFonts w:hint="default"/>
          <w:szCs w:val="21"/>
        </w:rPr>
      </w:sdtEndPr>
      <w:sdtContent>
        <w:p w14:paraId="2767118F" w14:textId="77777777" w:rsidR="007E7472" w:rsidRDefault="00EC1269" w:rsidP="00162493">
          <w:pPr>
            <w:pStyle w:val="4"/>
            <w:numPr>
              <w:ilvl w:val="0"/>
              <w:numId w:val="63"/>
            </w:numPr>
          </w:pPr>
          <w:r>
            <w:rPr>
              <w:rFonts w:hint="eastAsia"/>
            </w:rPr>
            <w:t>本期实际核销的应收票据情况</w:t>
          </w:r>
          <w:bookmarkEnd w:id="164"/>
        </w:p>
        <w:sdt>
          <w:sdtPr>
            <w:alias w:val="是否适用：实际核销的应收票据[双击切换]"/>
            <w:tag w:val="_GBC_d0dcbb36ec68469bb29eac25b4a7af19"/>
            <w:id w:val="883600484"/>
            <w:lock w:val="sdtLocked"/>
            <w:placeholder>
              <w:docPart w:val="GBC22222222222222222222222222222"/>
            </w:placeholder>
          </w:sdtPr>
          <w:sdtEndPr/>
          <w:sdtContent>
            <w:p w14:paraId="3819608F" w14:textId="77777777" w:rsidR="007E7472" w:rsidRDefault="00EC1269">
              <w:pPr>
                <w:rPr>
                  <w:rFonts w:cstheme="minorBidi"/>
                  <w:bCs/>
                  <w:szCs w:val="22"/>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65" w:displacedByCustomXml="next"/>
    <w:sdt>
      <w:sdtPr>
        <w:rPr>
          <w:rFonts w:cstheme="minorBidi" w:hint="eastAsia"/>
          <w:b/>
          <w:bCs/>
          <w:szCs w:val="22"/>
        </w:rPr>
        <w:alias w:val="模块:应收票据其他说明"/>
        <w:tag w:val="_GBC_c7095bafbab543a9bb9dcc587154df29"/>
        <w:id w:val="1853835362"/>
        <w:lock w:val="sdtLocked"/>
        <w:placeholder>
          <w:docPart w:val="GBC22222222222222222222222222222"/>
        </w:placeholder>
      </w:sdtPr>
      <w:sdtEndPr>
        <w:rPr>
          <w:rFonts w:cs="Times New Roman" w:hint="default"/>
          <w:b w:val="0"/>
          <w:bCs w:val="0"/>
          <w:szCs w:val="21"/>
        </w:rPr>
      </w:sdtEndPr>
      <w:sdtContent>
        <w:p w14:paraId="409A1DF9" w14:textId="77777777" w:rsidR="007E7472" w:rsidRDefault="00EC1269">
          <w:r>
            <w:rPr>
              <w:rFonts w:hint="eastAsia"/>
            </w:rPr>
            <w:t>其他说明：</w:t>
          </w:r>
        </w:p>
        <w:sdt>
          <w:sdtPr>
            <w:alias w:val="是否适用：应收票据的说明[双击切换]"/>
            <w:tag w:val="_GBC_704e24e70b65463883e10335ce93a1ac"/>
            <w:id w:val="2110858921"/>
            <w:lock w:val="sdtLocked"/>
            <w:placeholder>
              <w:docPart w:val="GBC22222222222222222222222222222"/>
            </w:placeholder>
          </w:sdtPr>
          <w:sdtEndPr/>
          <w:sdtContent>
            <w:p w14:paraId="737CB2FE"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p w14:paraId="11EBBCCD" w14:textId="77777777" w:rsidR="007E7472" w:rsidRDefault="00C8327E"/>
    <w:p w14:paraId="1BB6C823" w14:textId="77777777" w:rsidR="007E7472" w:rsidRDefault="00EC1269" w:rsidP="00162493">
      <w:pPr>
        <w:pStyle w:val="3"/>
        <w:numPr>
          <w:ilvl w:val="0"/>
          <w:numId w:val="62"/>
        </w:numPr>
      </w:pPr>
      <w:r>
        <w:rPr>
          <w:rFonts w:hint="eastAsia"/>
        </w:rPr>
        <w:lastRenderedPageBreak/>
        <w:t>应收账款</w:t>
      </w:r>
    </w:p>
    <w:bookmarkStart w:id="166" w:name="_Hlk10467031" w:displacedByCustomXml="next"/>
    <w:sdt>
      <w:sdtPr>
        <w:rPr>
          <w:rFonts w:ascii="宋体" w:hAnsi="宋体" w:cs="宋体" w:hint="eastAsia"/>
          <w:b w:val="0"/>
          <w:bCs w:val="0"/>
          <w:kern w:val="0"/>
          <w:sz w:val="20"/>
          <w:szCs w:val="24"/>
        </w:rPr>
        <w:alias w:val="模块:按账龄披露"/>
        <w:tag w:val="_SEC_18739d0c0efc4fe7a575a32263e5b38b"/>
        <w:id w:val="897716915"/>
        <w:lock w:val="sdtLocked"/>
        <w:placeholder>
          <w:docPart w:val="GBC22222222222222222222222222222"/>
        </w:placeholder>
      </w:sdtPr>
      <w:sdtEndPr>
        <w:rPr>
          <w:rFonts w:hint="default"/>
          <w:szCs w:val="21"/>
        </w:rPr>
      </w:sdtEndPr>
      <w:sdtContent>
        <w:p w14:paraId="4E289B04" w14:textId="77777777" w:rsidR="007E7472" w:rsidRDefault="00EC1269" w:rsidP="00162493">
          <w:pPr>
            <w:pStyle w:val="4"/>
            <w:numPr>
              <w:ilvl w:val="0"/>
              <w:numId w:val="64"/>
            </w:numPr>
          </w:pPr>
          <w:r>
            <w:rPr>
              <w:rFonts w:hint="eastAsia"/>
            </w:rPr>
            <w:t>按账龄披露</w:t>
          </w:r>
        </w:p>
        <w:sdt>
          <w:sdtPr>
            <w:rPr>
              <w:rFonts w:hint="eastAsia"/>
            </w:rPr>
            <w:alias w:val="是否适用：组合中，按账龄分析法计提坏账准备的应收账款[双击切换]"/>
            <w:tag w:val="_GBC_adacd9d7302a46dbb6fb745ac9a87bfe"/>
            <w:id w:val="975728045"/>
            <w:lock w:val="sdtLocked"/>
            <w:placeholder>
              <w:docPart w:val="GBC22222222222222222222222222222"/>
            </w:placeholder>
          </w:sdtPr>
          <w:sdtEndPr/>
          <w:sdtContent>
            <w:p w14:paraId="06CFBA0E"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6A215724" w14:textId="5796ECCB" w:rsidR="007E7472" w:rsidRDefault="00EC1269">
          <w:pPr>
            <w:jc w:val="right"/>
          </w:pPr>
          <w:r>
            <w:rPr>
              <w:rFonts w:hint="eastAsia"/>
            </w:rPr>
            <w:t>单位：</w:t>
          </w:r>
          <w:sdt>
            <w:sdtPr>
              <w:rPr>
                <w:rFonts w:hint="eastAsia"/>
              </w:rPr>
              <w:alias w:val="单位：财务附注：单项金额不重大但按信用风险特征组合后该组合的风险较大的应收账款"/>
              <w:tag w:val="_GBC_a1aaa8cef4304dbdb3226b0c37d7eaa2"/>
              <w:id w:val="-7283008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单项金额不重大但按信用风险特征组合后该组合的风险较大的应收账款"/>
              <w:tag w:val="_GBC_23501c118c5d42ce875910cc5f1c5fe3"/>
              <w:id w:val="15160359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4295"/>
            <w:gridCol w:w="4528"/>
          </w:tblGrid>
          <w:tr w:rsidR="007E7472" w14:paraId="64E19056" w14:textId="77777777" w:rsidTr="007E7472">
            <w:trPr>
              <w:cantSplit/>
              <w:trHeight w:val="340"/>
            </w:trPr>
            <w:sdt>
              <w:sdtPr>
                <w:rPr>
                  <w:rFonts w:asciiTheme="minorEastAsia" w:eastAsiaTheme="minorEastAsia" w:hAnsiTheme="minorEastAsia"/>
                </w:rPr>
                <w:tag w:val="_PLD_cc8a2439cf1a40049647e9f82183f02a"/>
                <w:id w:val="1372804432"/>
                <w:lock w:val="sdtLocked"/>
              </w:sdtPr>
              <w:sdtEndPr/>
              <w:sdtContent>
                <w:tc>
                  <w:tcPr>
                    <w:tcW w:w="2434" w:type="pct"/>
                    <w:tcBorders>
                      <w:top w:val="single" w:sz="4" w:space="0" w:color="auto"/>
                      <w:left w:val="single" w:sz="4" w:space="0" w:color="auto"/>
                      <w:bottom w:val="single" w:sz="4" w:space="0" w:color="auto"/>
                      <w:right w:val="single" w:sz="4" w:space="0" w:color="auto"/>
                    </w:tcBorders>
                    <w:vAlign w:val="center"/>
                  </w:tcPr>
                  <w:p w14:paraId="1C18F8CA" w14:textId="77777777" w:rsidR="007E7472" w:rsidRDefault="00EC1269">
                    <w:pPr>
                      <w:jc w:val="center"/>
                      <w:rPr>
                        <w:rFonts w:asciiTheme="minorEastAsia" w:eastAsiaTheme="minorEastAsia" w:hAnsiTheme="minorEastAsia"/>
                      </w:rPr>
                    </w:pPr>
                    <w:r>
                      <w:rPr>
                        <w:rFonts w:asciiTheme="minorEastAsia" w:eastAsiaTheme="minorEastAsia" w:hAnsiTheme="minorEastAsia" w:hint="eastAsia"/>
                      </w:rPr>
                      <w:t>账龄</w:t>
                    </w:r>
                  </w:p>
                </w:tc>
              </w:sdtContent>
            </w:sdt>
            <w:sdt>
              <w:sdtPr>
                <w:rPr>
                  <w:rFonts w:asciiTheme="minorEastAsia" w:eastAsiaTheme="minorEastAsia" w:hAnsiTheme="minorEastAsia"/>
                </w:rPr>
                <w:tag w:val="_PLD_39df8c40c3b34bb795f3dd83e556c1cb"/>
                <w:id w:val="711157674"/>
                <w:lock w:val="sdtLocked"/>
              </w:sdtPr>
              <w:sdtEndPr/>
              <w:sdtContent>
                <w:tc>
                  <w:tcPr>
                    <w:tcW w:w="2566" w:type="pct"/>
                    <w:tcBorders>
                      <w:top w:val="single" w:sz="4" w:space="0" w:color="auto"/>
                      <w:left w:val="single" w:sz="4" w:space="0" w:color="auto"/>
                      <w:bottom w:val="single" w:sz="4" w:space="0" w:color="auto"/>
                      <w:right w:val="single" w:sz="4" w:space="0" w:color="auto"/>
                    </w:tcBorders>
                    <w:vAlign w:val="center"/>
                  </w:tcPr>
                  <w:p w14:paraId="050D28C4" w14:textId="77777777" w:rsidR="007E7472" w:rsidRDefault="00EC1269">
                    <w:pPr>
                      <w:jc w:val="center"/>
                      <w:rPr>
                        <w:rFonts w:asciiTheme="minorEastAsia" w:eastAsiaTheme="minorEastAsia" w:hAnsiTheme="minorEastAsia"/>
                      </w:rPr>
                    </w:pPr>
                    <w:r>
                      <w:rPr>
                        <w:rFonts w:asciiTheme="minorEastAsia" w:eastAsiaTheme="minorEastAsia" w:hAnsiTheme="minorEastAsia" w:hint="eastAsia"/>
                      </w:rPr>
                      <w:t>期末账面余额</w:t>
                    </w:r>
                  </w:p>
                </w:tc>
              </w:sdtContent>
            </w:sdt>
          </w:tr>
          <w:tr w:rsidR="007E7472" w14:paraId="6DB3F504" w14:textId="77777777" w:rsidTr="007E7472">
            <w:trPr>
              <w:cantSplit/>
              <w:trHeight w:val="340"/>
            </w:trPr>
            <w:tc>
              <w:tcPr>
                <w:tcW w:w="2434" w:type="pct"/>
                <w:tcBorders>
                  <w:top w:val="single" w:sz="4" w:space="0" w:color="auto"/>
                  <w:left w:val="single" w:sz="4" w:space="0" w:color="auto"/>
                  <w:bottom w:val="single" w:sz="4" w:space="0" w:color="auto"/>
                  <w:right w:val="single" w:sz="4" w:space="0" w:color="auto"/>
                </w:tcBorders>
                <w:vAlign w:val="center"/>
              </w:tcPr>
              <w:p w14:paraId="3C6B28BB" w14:textId="77777777" w:rsidR="007E7472" w:rsidRDefault="00EC1269">
                <w:pPr>
                  <w:rPr>
                    <w:rFonts w:asciiTheme="minorEastAsia" w:eastAsiaTheme="minorEastAsia" w:hAnsiTheme="minorEastAsia"/>
                  </w:rPr>
                </w:pPr>
                <w:r>
                  <w:rPr>
                    <w:rFonts w:asciiTheme="minorEastAsia" w:eastAsiaTheme="minorEastAsia" w:hAnsiTheme="minorEastAsia" w:hint="eastAsia"/>
                  </w:rPr>
                  <w:t>1年以内</w:t>
                </w:r>
              </w:p>
            </w:tc>
            <w:tc>
              <w:tcPr>
                <w:tcW w:w="2566" w:type="pct"/>
                <w:tcBorders>
                  <w:top w:val="single" w:sz="4" w:space="0" w:color="auto"/>
                  <w:left w:val="single" w:sz="4" w:space="0" w:color="auto"/>
                  <w:bottom w:val="single" w:sz="4" w:space="0" w:color="auto"/>
                  <w:right w:val="single" w:sz="4" w:space="0" w:color="auto"/>
                </w:tcBorders>
                <w:vAlign w:val="center"/>
              </w:tcPr>
              <w:p w14:paraId="76066094" w14:textId="77777777" w:rsidR="007E7472" w:rsidRDefault="00EC1269">
                <w:pPr>
                  <w:jc w:val="right"/>
                  <w:rPr>
                    <w:rFonts w:asciiTheme="minorEastAsia" w:eastAsiaTheme="minorEastAsia" w:hAnsiTheme="minorEastAsia"/>
                  </w:rPr>
                </w:pPr>
                <w:r>
                  <w:rPr>
                    <w:rFonts w:asciiTheme="minorEastAsia" w:eastAsiaTheme="minorEastAsia" w:hAnsiTheme="minorEastAsia"/>
                  </w:rPr>
                  <w:t>5,911,474</w:t>
                </w:r>
              </w:p>
            </w:tc>
          </w:tr>
          <w:tr w:rsidR="007E7472" w14:paraId="5B4EA193" w14:textId="77777777" w:rsidTr="007E7472">
            <w:trPr>
              <w:cantSplit/>
              <w:trHeight w:val="340"/>
            </w:trPr>
            <w:sdt>
              <w:sdtPr>
                <w:rPr>
                  <w:rFonts w:asciiTheme="minorEastAsia" w:eastAsiaTheme="minorEastAsia" w:hAnsiTheme="minorEastAsia"/>
                </w:rPr>
                <w:tag w:val="_PLD_ddd035f081424c508ec3702ea96caece"/>
                <w:id w:val="860397907"/>
                <w:lock w:val="sdtLocked"/>
              </w:sdtPr>
              <w:sdtEndPr/>
              <w:sdtContent>
                <w:tc>
                  <w:tcPr>
                    <w:tcW w:w="2434" w:type="pct"/>
                    <w:tcBorders>
                      <w:top w:val="single" w:sz="4" w:space="0" w:color="auto"/>
                      <w:left w:val="single" w:sz="4" w:space="0" w:color="auto"/>
                      <w:bottom w:val="single" w:sz="4" w:space="0" w:color="auto"/>
                      <w:right w:val="single" w:sz="4" w:space="0" w:color="auto"/>
                    </w:tcBorders>
                    <w:vAlign w:val="center"/>
                  </w:tcPr>
                  <w:p w14:paraId="2BCB7FFC" w14:textId="77777777" w:rsidR="007E7472" w:rsidRDefault="00EC1269">
                    <w:pPr>
                      <w:rPr>
                        <w:rFonts w:asciiTheme="minorEastAsia" w:eastAsiaTheme="minorEastAsia" w:hAnsiTheme="minorEastAsia"/>
                      </w:rPr>
                    </w:pPr>
                    <w:r>
                      <w:rPr>
                        <w:rFonts w:asciiTheme="minorEastAsia" w:eastAsiaTheme="minorEastAsia" w:hAnsiTheme="minorEastAsia" w:hint="eastAsia"/>
                      </w:rPr>
                      <w:t>1至2年</w:t>
                    </w:r>
                  </w:p>
                </w:tc>
              </w:sdtContent>
            </w:sdt>
            <w:tc>
              <w:tcPr>
                <w:tcW w:w="2566" w:type="pct"/>
                <w:tcBorders>
                  <w:top w:val="single" w:sz="4" w:space="0" w:color="auto"/>
                  <w:left w:val="single" w:sz="4" w:space="0" w:color="auto"/>
                  <w:bottom w:val="single" w:sz="4" w:space="0" w:color="auto"/>
                  <w:right w:val="single" w:sz="4" w:space="0" w:color="auto"/>
                </w:tcBorders>
                <w:vAlign w:val="center"/>
              </w:tcPr>
              <w:p w14:paraId="38F99ED2" w14:textId="77777777" w:rsidR="007E7472" w:rsidRDefault="00EC1269">
                <w:pPr>
                  <w:jc w:val="right"/>
                  <w:rPr>
                    <w:rFonts w:asciiTheme="minorEastAsia" w:eastAsiaTheme="minorEastAsia" w:hAnsiTheme="minorEastAsia"/>
                  </w:rPr>
                </w:pPr>
                <w:r>
                  <w:rPr>
                    <w:rFonts w:asciiTheme="minorEastAsia" w:eastAsiaTheme="minorEastAsia" w:hAnsiTheme="minorEastAsia"/>
                  </w:rPr>
                  <w:t>483,452</w:t>
                </w:r>
              </w:p>
            </w:tc>
          </w:tr>
          <w:tr w:rsidR="007E7472" w14:paraId="0D094F37" w14:textId="77777777" w:rsidTr="007E7472">
            <w:trPr>
              <w:cantSplit/>
              <w:trHeight w:val="340"/>
            </w:trPr>
            <w:sdt>
              <w:sdtPr>
                <w:rPr>
                  <w:rFonts w:asciiTheme="minorEastAsia" w:eastAsiaTheme="minorEastAsia" w:hAnsiTheme="minorEastAsia"/>
                </w:rPr>
                <w:tag w:val="_PLD_173769cdf4af409b9ed3b84a39f352b3"/>
                <w:id w:val="1479723538"/>
                <w:lock w:val="sdtLocked"/>
              </w:sdtPr>
              <w:sdtEndPr/>
              <w:sdtContent>
                <w:tc>
                  <w:tcPr>
                    <w:tcW w:w="2434" w:type="pct"/>
                    <w:tcBorders>
                      <w:top w:val="single" w:sz="4" w:space="0" w:color="auto"/>
                      <w:left w:val="single" w:sz="4" w:space="0" w:color="auto"/>
                      <w:bottom w:val="single" w:sz="4" w:space="0" w:color="auto"/>
                      <w:right w:val="single" w:sz="4" w:space="0" w:color="auto"/>
                    </w:tcBorders>
                    <w:vAlign w:val="center"/>
                  </w:tcPr>
                  <w:p w14:paraId="72996296" w14:textId="77777777" w:rsidR="007E7472" w:rsidRDefault="00EC1269">
                    <w:pPr>
                      <w:rPr>
                        <w:rFonts w:asciiTheme="minorEastAsia" w:eastAsiaTheme="minorEastAsia" w:hAnsiTheme="minorEastAsia"/>
                      </w:rPr>
                    </w:pPr>
                    <w:r>
                      <w:rPr>
                        <w:rFonts w:asciiTheme="minorEastAsia" w:eastAsiaTheme="minorEastAsia" w:hAnsiTheme="minorEastAsia" w:hint="eastAsia"/>
                      </w:rPr>
                      <w:t>2至3年</w:t>
                    </w:r>
                  </w:p>
                </w:tc>
              </w:sdtContent>
            </w:sdt>
            <w:tc>
              <w:tcPr>
                <w:tcW w:w="2566" w:type="pct"/>
                <w:tcBorders>
                  <w:top w:val="single" w:sz="4" w:space="0" w:color="auto"/>
                  <w:left w:val="single" w:sz="4" w:space="0" w:color="auto"/>
                  <w:bottom w:val="single" w:sz="4" w:space="0" w:color="auto"/>
                  <w:right w:val="single" w:sz="4" w:space="0" w:color="auto"/>
                </w:tcBorders>
                <w:vAlign w:val="center"/>
              </w:tcPr>
              <w:p w14:paraId="0167FAB3" w14:textId="77777777" w:rsidR="007E7472" w:rsidRDefault="00EC1269">
                <w:pPr>
                  <w:jc w:val="right"/>
                  <w:rPr>
                    <w:rFonts w:asciiTheme="minorEastAsia" w:eastAsiaTheme="minorEastAsia" w:hAnsiTheme="minorEastAsia"/>
                  </w:rPr>
                </w:pPr>
                <w:r>
                  <w:rPr>
                    <w:rFonts w:asciiTheme="minorEastAsia" w:eastAsiaTheme="minorEastAsia" w:hAnsiTheme="minorEastAsia"/>
                  </w:rPr>
                  <w:t>340,296</w:t>
                </w:r>
              </w:p>
            </w:tc>
          </w:tr>
          <w:tr w:rsidR="007E7472" w14:paraId="4B96212A" w14:textId="77777777" w:rsidTr="007E7472">
            <w:trPr>
              <w:cantSplit/>
              <w:trHeight w:val="340"/>
            </w:trPr>
            <w:sdt>
              <w:sdtPr>
                <w:rPr>
                  <w:rFonts w:asciiTheme="minorEastAsia" w:eastAsiaTheme="minorEastAsia" w:hAnsiTheme="minorEastAsia"/>
                </w:rPr>
                <w:tag w:val="_PLD_7ddcfca835a84663bade28a69e162ec0"/>
                <w:id w:val="2037538372"/>
                <w:lock w:val="sdtLocked"/>
              </w:sdtPr>
              <w:sdtEndPr/>
              <w:sdtContent>
                <w:tc>
                  <w:tcPr>
                    <w:tcW w:w="2434" w:type="pct"/>
                    <w:tcBorders>
                      <w:top w:val="single" w:sz="4" w:space="0" w:color="auto"/>
                      <w:left w:val="single" w:sz="4" w:space="0" w:color="auto"/>
                      <w:bottom w:val="single" w:sz="4" w:space="0" w:color="auto"/>
                      <w:right w:val="single" w:sz="4" w:space="0" w:color="auto"/>
                    </w:tcBorders>
                    <w:vAlign w:val="center"/>
                  </w:tcPr>
                  <w:p w14:paraId="3930AE93" w14:textId="77777777" w:rsidR="007E7472" w:rsidRDefault="00EC1269">
                    <w:pPr>
                      <w:rPr>
                        <w:rFonts w:asciiTheme="minorEastAsia" w:eastAsiaTheme="minorEastAsia" w:hAnsiTheme="minorEastAsia"/>
                      </w:rPr>
                    </w:pPr>
                    <w:r>
                      <w:rPr>
                        <w:rFonts w:asciiTheme="minorEastAsia" w:eastAsiaTheme="minorEastAsia" w:hAnsiTheme="minorEastAsia" w:hint="eastAsia"/>
                      </w:rPr>
                      <w:t>3年以上</w:t>
                    </w:r>
                  </w:p>
                </w:tc>
              </w:sdtContent>
            </w:sdt>
            <w:tc>
              <w:tcPr>
                <w:tcW w:w="2566" w:type="pct"/>
                <w:tcBorders>
                  <w:top w:val="single" w:sz="4" w:space="0" w:color="auto"/>
                  <w:left w:val="single" w:sz="4" w:space="0" w:color="auto"/>
                  <w:bottom w:val="single" w:sz="4" w:space="0" w:color="auto"/>
                  <w:right w:val="single" w:sz="4" w:space="0" w:color="auto"/>
                </w:tcBorders>
                <w:vAlign w:val="center"/>
              </w:tcPr>
              <w:p w14:paraId="1BA60839" w14:textId="77777777" w:rsidR="007E7472" w:rsidRDefault="00EC1269">
                <w:pPr>
                  <w:jc w:val="right"/>
                  <w:rPr>
                    <w:rFonts w:asciiTheme="minorEastAsia" w:eastAsiaTheme="minorEastAsia" w:hAnsiTheme="minorEastAsia"/>
                  </w:rPr>
                </w:pPr>
                <w:r>
                  <w:rPr>
                    <w:rFonts w:asciiTheme="minorEastAsia" w:eastAsiaTheme="minorEastAsia" w:hAnsiTheme="minorEastAsia"/>
                  </w:rPr>
                  <w:t>538,854</w:t>
                </w:r>
              </w:p>
            </w:tc>
          </w:tr>
          <w:tr w:rsidR="007E7472" w14:paraId="6DB4B4EE" w14:textId="77777777" w:rsidTr="007E7472">
            <w:trPr>
              <w:cantSplit/>
              <w:trHeight w:val="340"/>
            </w:trPr>
            <w:sdt>
              <w:sdtPr>
                <w:rPr>
                  <w:rFonts w:asciiTheme="minorEastAsia" w:eastAsiaTheme="minorEastAsia" w:hAnsiTheme="minorEastAsia"/>
                </w:rPr>
                <w:tag w:val="_PLD_a92bd573499a45f88eb09857cbe19e80"/>
                <w:id w:val="-1120985426"/>
                <w:lock w:val="sdtLocked"/>
              </w:sdtPr>
              <w:sdtEndPr/>
              <w:sdtContent>
                <w:tc>
                  <w:tcPr>
                    <w:tcW w:w="2434" w:type="pct"/>
                    <w:tcBorders>
                      <w:top w:val="single" w:sz="4" w:space="0" w:color="auto"/>
                      <w:left w:val="single" w:sz="4" w:space="0" w:color="auto"/>
                      <w:bottom w:val="single" w:sz="4" w:space="0" w:color="auto"/>
                      <w:right w:val="single" w:sz="4" w:space="0" w:color="auto"/>
                    </w:tcBorders>
                    <w:vAlign w:val="center"/>
                  </w:tcPr>
                  <w:p w14:paraId="59831369" w14:textId="77777777" w:rsidR="007E7472" w:rsidRDefault="00EC1269">
                    <w:pPr>
                      <w:jc w:val="center"/>
                      <w:rPr>
                        <w:rFonts w:asciiTheme="minorEastAsia" w:eastAsiaTheme="minorEastAsia" w:hAnsiTheme="minorEastAsia"/>
                      </w:rPr>
                    </w:pPr>
                    <w:r>
                      <w:rPr>
                        <w:rFonts w:asciiTheme="minorEastAsia" w:eastAsiaTheme="minorEastAsia" w:hAnsiTheme="minorEastAsia" w:hint="eastAsia"/>
                      </w:rPr>
                      <w:t>合计</w:t>
                    </w:r>
                  </w:p>
                </w:tc>
              </w:sdtContent>
            </w:sdt>
            <w:tc>
              <w:tcPr>
                <w:tcW w:w="2566" w:type="pct"/>
                <w:tcBorders>
                  <w:top w:val="single" w:sz="4" w:space="0" w:color="auto"/>
                  <w:left w:val="single" w:sz="4" w:space="0" w:color="auto"/>
                  <w:bottom w:val="single" w:sz="4" w:space="0" w:color="auto"/>
                  <w:right w:val="single" w:sz="4" w:space="0" w:color="auto"/>
                </w:tcBorders>
                <w:vAlign w:val="center"/>
              </w:tcPr>
              <w:p w14:paraId="148C841B" w14:textId="77777777" w:rsidR="007E7472" w:rsidRDefault="00EC1269">
                <w:pPr>
                  <w:jc w:val="right"/>
                  <w:rPr>
                    <w:rFonts w:asciiTheme="minorEastAsia" w:eastAsiaTheme="minorEastAsia" w:hAnsiTheme="minorEastAsia"/>
                  </w:rPr>
                </w:pPr>
                <w:r>
                  <w:rPr>
                    <w:rFonts w:asciiTheme="minorEastAsia" w:eastAsiaTheme="minorEastAsia" w:hAnsiTheme="minorEastAsia"/>
                  </w:rPr>
                  <w:t>7,274,076</w:t>
                </w:r>
              </w:p>
            </w:tc>
          </w:tr>
        </w:tbl>
        <w:p w14:paraId="488E0659" w14:textId="77777777" w:rsidR="007E7472" w:rsidRDefault="00C8327E"/>
      </w:sdtContent>
    </w:sdt>
    <w:p w14:paraId="0B964FCA" w14:textId="77777777" w:rsidR="007E7472" w:rsidRDefault="00EC1269" w:rsidP="00162493">
      <w:pPr>
        <w:pStyle w:val="4"/>
        <w:numPr>
          <w:ilvl w:val="0"/>
          <w:numId w:val="64"/>
        </w:numPr>
      </w:pPr>
      <w:bookmarkStart w:id="167" w:name="_Hlk10467162"/>
      <w:bookmarkEnd w:id="166"/>
      <w:r>
        <w:rPr>
          <w:rFonts w:cstheme="minorBidi" w:hint="eastAsia"/>
          <w:szCs w:val="22"/>
        </w:rPr>
        <w:t>按坏账计提方法分类披露</w:t>
      </w:r>
    </w:p>
    <w:sdt>
      <w:sdtPr>
        <w:alias w:val="是否适用：应收账款分类披露[双击切换]"/>
        <w:tag w:val="_GBC_fc55e6778e08412caa3e7b9e7a1a0f85"/>
        <w:id w:val="-1446383828"/>
        <w:lock w:val="sdtContentLocked"/>
        <w:placeholder>
          <w:docPart w:val="GBC22222222222222222222222222222"/>
        </w:placeholder>
      </w:sdtPr>
      <w:sdtEndPr/>
      <w:sdtContent>
        <w:p w14:paraId="207FA87D"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 w:val="20"/>
        </w:rPr>
        <w:alias w:val="模块:(2). 按坏账计提方法分类披露"/>
        <w:tag w:val="_SEC_0398db7d3d0941d99bcd41800ef0e448"/>
        <w:id w:val="1511642244"/>
        <w:lock w:val="sdtLocked"/>
        <w:placeholder>
          <w:docPart w:val="GBC22222222222222222222222222222"/>
        </w:placeholder>
      </w:sdtPr>
      <w:sdtEndPr>
        <w:rPr>
          <w:rFonts w:hint="default"/>
        </w:rPr>
      </w:sdtEndPr>
      <w:sdtContent>
        <w:p w14:paraId="5C6F8E69" w14:textId="0AA86A1F" w:rsidR="007E7472" w:rsidRDefault="00EC1269">
          <w:pPr>
            <w:autoSpaceDE w:val="0"/>
            <w:autoSpaceDN w:val="0"/>
            <w:adjustRightInd w:val="0"/>
            <w:ind w:left="425" w:right="105"/>
            <w:jc w:val="right"/>
          </w:pPr>
          <w:r>
            <w:rPr>
              <w:rFonts w:hint="eastAsia"/>
            </w:rPr>
            <w:t>单位：</w:t>
          </w:r>
          <w:sdt>
            <w:sdtPr>
              <w:rPr>
                <w:rFonts w:hint="eastAsia"/>
              </w:rPr>
              <w:alias w:val="单位：财务附注：应收账款按种类披露"/>
              <w:tag w:val="_GBC_13874a7a2d5642bc9d06df2e53ad133f"/>
              <w:id w:val="-42372687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应收账款按种类披露"/>
              <w:tag w:val="_GBC_a7c9ba83409d4f5ebb3a7b0903842485"/>
              <w:id w:val="-23116023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1" w:type="dxa"/>
              <w:right w:w="31" w:type="dxa"/>
            </w:tblCellMar>
            <w:tblLook w:val="04A0" w:firstRow="1" w:lastRow="0" w:firstColumn="1" w:lastColumn="0" w:noHBand="0" w:noVBand="1"/>
          </w:tblPr>
          <w:tblGrid>
            <w:gridCol w:w="823"/>
            <w:gridCol w:w="1016"/>
            <w:gridCol w:w="424"/>
            <w:gridCol w:w="995"/>
            <w:gridCol w:w="566"/>
            <w:gridCol w:w="1133"/>
            <w:gridCol w:w="1136"/>
            <w:gridCol w:w="424"/>
            <w:gridCol w:w="709"/>
            <w:gridCol w:w="566"/>
            <w:gridCol w:w="1031"/>
          </w:tblGrid>
          <w:tr w:rsidR="007E7472" w14:paraId="2751DCE3" w14:textId="77777777" w:rsidTr="00E260EB">
            <w:trPr>
              <w:cantSplit/>
              <w:trHeight w:val="259"/>
            </w:trPr>
            <w:sdt>
              <w:sdtPr>
                <w:rPr>
                  <w:rFonts w:asciiTheme="minorEastAsia" w:eastAsiaTheme="minorEastAsia" w:hAnsiTheme="minorEastAsia"/>
                </w:rPr>
                <w:tag w:val="_PLD_a2143754c0e847e9a8bbb40d4548066c"/>
                <w:id w:val="2077169238"/>
              </w:sdtPr>
              <w:sdtEndPr/>
              <w:sdtContent>
                <w:tc>
                  <w:tcPr>
                    <w:tcW w:w="466" w:type="pct"/>
                    <w:vMerge w:val="restart"/>
                    <w:tcBorders>
                      <w:top w:val="single" w:sz="4" w:space="0" w:color="auto"/>
                      <w:left w:val="single" w:sz="4" w:space="0" w:color="auto"/>
                      <w:right w:val="single" w:sz="4" w:space="0" w:color="auto"/>
                    </w:tcBorders>
                    <w:vAlign w:val="center"/>
                  </w:tcPr>
                  <w:p w14:paraId="3EB74B87" w14:textId="77777777" w:rsidR="007E7472" w:rsidRDefault="00EC1269">
                    <w:pPr>
                      <w:jc w:val="center"/>
                      <w:rPr>
                        <w:rFonts w:asciiTheme="minorEastAsia" w:eastAsiaTheme="minorEastAsia" w:hAnsiTheme="minorEastAsia"/>
                      </w:rPr>
                    </w:pPr>
                    <w:r>
                      <w:rPr>
                        <w:rFonts w:asciiTheme="minorEastAsia" w:eastAsiaTheme="minorEastAsia" w:hAnsiTheme="minorEastAsia" w:hint="eastAsia"/>
                      </w:rPr>
                      <w:t>类别</w:t>
                    </w:r>
                  </w:p>
                </w:tc>
              </w:sdtContent>
            </w:sdt>
            <w:sdt>
              <w:sdtPr>
                <w:rPr>
                  <w:rFonts w:asciiTheme="minorEastAsia" w:eastAsiaTheme="minorEastAsia" w:hAnsiTheme="minorEastAsia"/>
                </w:rPr>
                <w:tag w:val="_PLD_25d42b68a0be4b6c9079bb6f0b9688f1"/>
                <w:id w:val="838359204"/>
              </w:sdtPr>
              <w:sdtEndPr/>
              <w:sdtContent>
                <w:tc>
                  <w:tcPr>
                    <w:tcW w:w="2343" w:type="pct"/>
                    <w:gridSpan w:val="5"/>
                    <w:tcBorders>
                      <w:top w:val="single" w:sz="4" w:space="0" w:color="auto"/>
                      <w:left w:val="single" w:sz="4" w:space="0" w:color="auto"/>
                      <w:right w:val="single" w:sz="4" w:space="0" w:color="auto"/>
                    </w:tcBorders>
                    <w:vAlign w:val="center"/>
                  </w:tcPr>
                  <w:p w14:paraId="18D95DC6" w14:textId="77777777" w:rsidR="007E7472" w:rsidRDefault="00EC1269">
                    <w:pPr>
                      <w:autoSpaceDE w:val="0"/>
                      <w:autoSpaceDN w:val="0"/>
                      <w:adjustRightInd w:val="0"/>
                      <w:snapToGrid w:val="0"/>
                      <w:spacing w:line="240" w:lineRule="atLeast"/>
                      <w:jc w:val="center"/>
                      <w:rPr>
                        <w:rFonts w:asciiTheme="minorEastAsia" w:eastAsiaTheme="minorEastAsia" w:hAnsiTheme="minorEastAsia"/>
                      </w:rPr>
                    </w:pPr>
                    <w:r>
                      <w:rPr>
                        <w:rFonts w:asciiTheme="minorEastAsia" w:eastAsiaTheme="minorEastAsia" w:hAnsiTheme="minorEastAsia" w:hint="eastAsia"/>
                      </w:rPr>
                      <w:t>期末余额</w:t>
                    </w:r>
                  </w:p>
                </w:tc>
              </w:sdtContent>
            </w:sdt>
            <w:sdt>
              <w:sdtPr>
                <w:rPr>
                  <w:rFonts w:asciiTheme="minorEastAsia" w:eastAsiaTheme="minorEastAsia" w:hAnsiTheme="minorEastAsia"/>
                </w:rPr>
                <w:tag w:val="_PLD_7ebf4817a5864c42bb0897c8ddd0cd9c"/>
                <w:id w:val="-796526335"/>
              </w:sdtPr>
              <w:sdtEndPr/>
              <w:sdtContent>
                <w:tc>
                  <w:tcPr>
                    <w:tcW w:w="2191" w:type="pct"/>
                    <w:gridSpan w:val="5"/>
                    <w:tcBorders>
                      <w:top w:val="single" w:sz="4" w:space="0" w:color="auto"/>
                      <w:left w:val="single" w:sz="4" w:space="0" w:color="auto"/>
                      <w:right w:val="single" w:sz="4" w:space="0" w:color="auto"/>
                    </w:tcBorders>
                    <w:vAlign w:val="center"/>
                  </w:tcPr>
                  <w:p w14:paraId="65EF45B3" w14:textId="77777777" w:rsidR="007E7472" w:rsidRDefault="00EC1269">
                    <w:pPr>
                      <w:autoSpaceDE w:val="0"/>
                      <w:autoSpaceDN w:val="0"/>
                      <w:adjustRightInd w:val="0"/>
                      <w:snapToGrid w:val="0"/>
                      <w:spacing w:line="240" w:lineRule="atLeast"/>
                      <w:jc w:val="center"/>
                      <w:rPr>
                        <w:rFonts w:asciiTheme="minorEastAsia" w:eastAsiaTheme="minorEastAsia" w:hAnsiTheme="minorEastAsia"/>
                      </w:rPr>
                    </w:pPr>
                    <w:r>
                      <w:rPr>
                        <w:rFonts w:asciiTheme="minorEastAsia" w:eastAsiaTheme="minorEastAsia" w:hAnsiTheme="minorEastAsia" w:hint="eastAsia"/>
                      </w:rPr>
                      <w:t>期初余额</w:t>
                    </w:r>
                  </w:p>
                </w:tc>
              </w:sdtContent>
            </w:sdt>
          </w:tr>
          <w:tr w:rsidR="007E7472" w14:paraId="673DD56F" w14:textId="77777777" w:rsidTr="00E260EB">
            <w:trPr>
              <w:cantSplit/>
              <w:trHeight w:val="227"/>
            </w:trPr>
            <w:tc>
              <w:tcPr>
                <w:tcW w:w="466" w:type="pct"/>
                <w:vMerge/>
                <w:tcBorders>
                  <w:left w:val="single" w:sz="4" w:space="0" w:color="auto"/>
                  <w:right w:val="single" w:sz="4" w:space="0" w:color="auto"/>
                </w:tcBorders>
                <w:vAlign w:val="center"/>
              </w:tcPr>
              <w:p w14:paraId="0A93C9C8" w14:textId="77777777" w:rsidR="007E7472" w:rsidRDefault="00C8327E">
                <w:pPr>
                  <w:rPr>
                    <w:rFonts w:asciiTheme="minorEastAsia" w:eastAsiaTheme="minorEastAsia" w:hAnsiTheme="minorEastAsia"/>
                  </w:rPr>
                </w:pPr>
              </w:p>
            </w:tc>
            <w:sdt>
              <w:sdtPr>
                <w:rPr>
                  <w:rFonts w:asciiTheme="minorEastAsia" w:eastAsiaTheme="minorEastAsia" w:hAnsiTheme="minorEastAsia"/>
                </w:rPr>
                <w:tag w:val="_PLD_fd64cffe158d4ef48a5ff569de778464"/>
                <w:id w:val="-83307366"/>
              </w:sdtPr>
              <w:sdtEndPr/>
              <w:sdtContent>
                <w:tc>
                  <w:tcPr>
                    <w:tcW w:w="816" w:type="pct"/>
                    <w:gridSpan w:val="2"/>
                    <w:tcBorders>
                      <w:top w:val="single" w:sz="4" w:space="0" w:color="auto"/>
                      <w:left w:val="single" w:sz="4" w:space="0" w:color="auto"/>
                      <w:bottom w:val="single" w:sz="4" w:space="0" w:color="auto"/>
                      <w:right w:val="single" w:sz="4" w:space="0" w:color="auto"/>
                    </w:tcBorders>
                    <w:vAlign w:val="center"/>
                  </w:tcPr>
                  <w:p w14:paraId="62B0C4E9" w14:textId="77777777" w:rsidR="007E7472" w:rsidRDefault="00EC1269">
                    <w:pPr>
                      <w:jc w:val="center"/>
                      <w:rPr>
                        <w:rFonts w:asciiTheme="minorEastAsia" w:eastAsiaTheme="minorEastAsia" w:hAnsiTheme="minorEastAsia"/>
                      </w:rPr>
                    </w:pPr>
                    <w:r>
                      <w:rPr>
                        <w:rFonts w:asciiTheme="minorEastAsia" w:eastAsiaTheme="minorEastAsia" w:hAnsiTheme="minorEastAsia" w:hint="eastAsia"/>
                      </w:rPr>
                      <w:t>账面余额</w:t>
                    </w:r>
                  </w:p>
                </w:tc>
              </w:sdtContent>
            </w:sdt>
            <w:sdt>
              <w:sdtPr>
                <w:rPr>
                  <w:rFonts w:asciiTheme="minorEastAsia" w:eastAsiaTheme="minorEastAsia" w:hAnsiTheme="minorEastAsia"/>
                </w:rPr>
                <w:tag w:val="_PLD_f0f4adcb95c44cfa884ef7d853d6b134"/>
                <w:id w:val="-1901893987"/>
              </w:sdtPr>
              <w:sdtEndPr/>
              <w:sdtContent>
                <w:tc>
                  <w:tcPr>
                    <w:tcW w:w="885" w:type="pct"/>
                    <w:gridSpan w:val="2"/>
                    <w:tcBorders>
                      <w:top w:val="single" w:sz="4" w:space="0" w:color="auto"/>
                      <w:left w:val="single" w:sz="4" w:space="0" w:color="auto"/>
                      <w:bottom w:val="single" w:sz="4" w:space="0" w:color="auto"/>
                      <w:right w:val="single" w:sz="4" w:space="0" w:color="auto"/>
                    </w:tcBorders>
                    <w:vAlign w:val="center"/>
                  </w:tcPr>
                  <w:p w14:paraId="327F14E2" w14:textId="77777777" w:rsidR="007E7472" w:rsidRDefault="00EC1269">
                    <w:pPr>
                      <w:jc w:val="center"/>
                      <w:rPr>
                        <w:rFonts w:asciiTheme="minorEastAsia" w:eastAsiaTheme="minorEastAsia" w:hAnsiTheme="minorEastAsia"/>
                      </w:rPr>
                    </w:pPr>
                    <w:r>
                      <w:rPr>
                        <w:rFonts w:asciiTheme="minorEastAsia" w:eastAsiaTheme="minorEastAsia" w:hAnsiTheme="minorEastAsia" w:hint="eastAsia"/>
                      </w:rPr>
                      <w:t>坏账准备</w:t>
                    </w:r>
                  </w:p>
                </w:tc>
              </w:sdtContent>
            </w:sdt>
            <w:sdt>
              <w:sdtPr>
                <w:rPr>
                  <w:rFonts w:asciiTheme="minorEastAsia" w:eastAsiaTheme="minorEastAsia" w:hAnsiTheme="minorEastAsia"/>
                </w:rPr>
                <w:tag w:val="_PLD_4c122527ed0743b8905d9f19514f4328"/>
                <w:id w:val="-14844370"/>
              </w:sdtPr>
              <w:sdtEndPr/>
              <w:sdtContent>
                <w:tc>
                  <w:tcPr>
                    <w:tcW w:w="642" w:type="pct"/>
                    <w:vMerge w:val="restart"/>
                    <w:tcBorders>
                      <w:top w:val="single" w:sz="4" w:space="0" w:color="auto"/>
                      <w:left w:val="single" w:sz="4" w:space="0" w:color="auto"/>
                      <w:right w:val="single" w:sz="4" w:space="0" w:color="auto"/>
                    </w:tcBorders>
                    <w:vAlign w:val="center"/>
                  </w:tcPr>
                  <w:p w14:paraId="5050EDB4" w14:textId="77777777" w:rsidR="007E7472" w:rsidRDefault="00EC1269">
                    <w:pPr>
                      <w:jc w:val="center"/>
                      <w:rPr>
                        <w:rFonts w:asciiTheme="minorEastAsia" w:eastAsiaTheme="minorEastAsia" w:hAnsiTheme="minorEastAsia"/>
                      </w:rPr>
                    </w:pPr>
                    <w:r>
                      <w:rPr>
                        <w:rFonts w:asciiTheme="minorEastAsia" w:eastAsiaTheme="minorEastAsia" w:hAnsiTheme="minorEastAsia" w:hint="eastAsia"/>
                      </w:rPr>
                      <w:t>账面</w:t>
                    </w:r>
                  </w:p>
                  <w:p w14:paraId="4BBBF6CB" w14:textId="77777777" w:rsidR="007E7472" w:rsidRDefault="00EC1269">
                    <w:pPr>
                      <w:jc w:val="center"/>
                      <w:rPr>
                        <w:rFonts w:asciiTheme="minorEastAsia" w:eastAsiaTheme="minorEastAsia" w:hAnsiTheme="minorEastAsia"/>
                      </w:rPr>
                    </w:pPr>
                    <w:r>
                      <w:rPr>
                        <w:rFonts w:asciiTheme="minorEastAsia" w:eastAsiaTheme="minorEastAsia" w:hAnsiTheme="minorEastAsia" w:hint="eastAsia"/>
                      </w:rPr>
                      <w:t>价值</w:t>
                    </w:r>
                  </w:p>
                </w:tc>
              </w:sdtContent>
            </w:sdt>
            <w:sdt>
              <w:sdtPr>
                <w:rPr>
                  <w:rFonts w:asciiTheme="minorEastAsia" w:eastAsiaTheme="minorEastAsia" w:hAnsiTheme="minorEastAsia"/>
                </w:rPr>
                <w:tag w:val="_PLD_fa758d9eb4ae426faef8e328262241b4"/>
                <w:id w:val="-80301354"/>
              </w:sdtPr>
              <w:sdtEndPr/>
              <w:sdtContent>
                <w:tc>
                  <w:tcPr>
                    <w:tcW w:w="884" w:type="pct"/>
                    <w:gridSpan w:val="2"/>
                    <w:tcBorders>
                      <w:top w:val="single" w:sz="4" w:space="0" w:color="auto"/>
                      <w:left w:val="single" w:sz="4" w:space="0" w:color="auto"/>
                      <w:right w:val="single" w:sz="4" w:space="0" w:color="auto"/>
                    </w:tcBorders>
                    <w:vAlign w:val="center"/>
                  </w:tcPr>
                  <w:p w14:paraId="04F7B2E0" w14:textId="77777777" w:rsidR="007E7472" w:rsidRDefault="00EC1269">
                    <w:pPr>
                      <w:jc w:val="center"/>
                      <w:rPr>
                        <w:rFonts w:asciiTheme="minorEastAsia" w:eastAsiaTheme="minorEastAsia" w:hAnsiTheme="minorEastAsia"/>
                      </w:rPr>
                    </w:pPr>
                    <w:r>
                      <w:rPr>
                        <w:rFonts w:asciiTheme="minorEastAsia" w:eastAsiaTheme="minorEastAsia" w:hAnsiTheme="minorEastAsia" w:hint="eastAsia"/>
                      </w:rPr>
                      <w:t>账面余额</w:t>
                    </w:r>
                  </w:p>
                </w:tc>
              </w:sdtContent>
            </w:sdt>
            <w:sdt>
              <w:sdtPr>
                <w:rPr>
                  <w:rFonts w:asciiTheme="minorEastAsia" w:eastAsiaTheme="minorEastAsia" w:hAnsiTheme="minorEastAsia"/>
                </w:rPr>
                <w:tag w:val="_PLD_58080bac137d4831ab65bc2f8ca82429"/>
                <w:id w:val="737210299"/>
              </w:sdtPr>
              <w:sdtEndPr/>
              <w:sdtContent>
                <w:tc>
                  <w:tcPr>
                    <w:tcW w:w="723" w:type="pct"/>
                    <w:gridSpan w:val="2"/>
                    <w:tcBorders>
                      <w:top w:val="single" w:sz="4" w:space="0" w:color="auto"/>
                      <w:left w:val="single" w:sz="4" w:space="0" w:color="auto"/>
                      <w:right w:val="single" w:sz="4" w:space="0" w:color="auto"/>
                    </w:tcBorders>
                    <w:vAlign w:val="center"/>
                  </w:tcPr>
                  <w:p w14:paraId="2D95E8C8" w14:textId="77777777" w:rsidR="007E7472" w:rsidRDefault="00EC1269">
                    <w:pPr>
                      <w:jc w:val="center"/>
                      <w:rPr>
                        <w:rFonts w:asciiTheme="minorEastAsia" w:eastAsiaTheme="minorEastAsia" w:hAnsiTheme="minorEastAsia"/>
                      </w:rPr>
                    </w:pPr>
                    <w:r>
                      <w:rPr>
                        <w:rFonts w:asciiTheme="minorEastAsia" w:eastAsiaTheme="minorEastAsia" w:hAnsiTheme="minorEastAsia" w:hint="eastAsia"/>
                      </w:rPr>
                      <w:t>坏账准备</w:t>
                    </w:r>
                  </w:p>
                </w:tc>
              </w:sdtContent>
            </w:sdt>
            <w:sdt>
              <w:sdtPr>
                <w:rPr>
                  <w:rFonts w:asciiTheme="minorEastAsia" w:eastAsiaTheme="minorEastAsia" w:hAnsiTheme="minorEastAsia"/>
                </w:rPr>
                <w:tag w:val="_PLD_c015e43e7b384b6ab9bf259155579fa4"/>
                <w:id w:val="1300491238"/>
              </w:sdtPr>
              <w:sdtEndPr/>
              <w:sdtContent>
                <w:tc>
                  <w:tcPr>
                    <w:tcW w:w="585" w:type="pct"/>
                    <w:vMerge w:val="restart"/>
                    <w:tcBorders>
                      <w:top w:val="single" w:sz="4" w:space="0" w:color="auto"/>
                      <w:left w:val="single" w:sz="4" w:space="0" w:color="auto"/>
                      <w:right w:val="single" w:sz="4" w:space="0" w:color="auto"/>
                    </w:tcBorders>
                    <w:vAlign w:val="center"/>
                  </w:tcPr>
                  <w:p w14:paraId="6B101D57" w14:textId="77777777" w:rsidR="007E7472" w:rsidRDefault="00EC1269">
                    <w:pPr>
                      <w:jc w:val="center"/>
                      <w:rPr>
                        <w:rFonts w:asciiTheme="minorEastAsia" w:eastAsiaTheme="minorEastAsia" w:hAnsiTheme="minorEastAsia"/>
                      </w:rPr>
                    </w:pPr>
                    <w:r>
                      <w:rPr>
                        <w:rFonts w:asciiTheme="minorEastAsia" w:eastAsiaTheme="minorEastAsia" w:hAnsiTheme="minorEastAsia" w:hint="eastAsia"/>
                      </w:rPr>
                      <w:t>账面</w:t>
                    </w:r>
                  </w:p>
                  <w:p w14:paraId="644286E4" w14:textId="77777777" w:rsidR="007E7472" w:rsidRDefault="00EC1269">
                    <w:pPr>
                      <w:jc w:val="center"/>
                      <w:rPr>
                        <w:rFonts w:asciiTheme="minorEastAsia" w:eastAsiaTheme="minorEastAsia" w:hAnsiTheme="minorEastAsia"/>
                      </w:rPr>
                    </w:pPr>
                    <w:r>
                      <w:rPr>
                        <w:rFonts w:asciiTheme="minorEastAsia" w:eastAsiaTheme="minorEastAsia" w:hAnsiTheme="minorEastAsia" w:hint="eastAsia"/>
                      </w:rPr>
                      <w:t>价值</w:t>
                    </w:r>
                  </w:p>
                </w:tc>
              </w:sdtContent>
            </w:sdt>
          </w:tr>
          <w:tr w:rsidR="007E7472" w14:paraId="79F286B4" w14:textId="77777777" w:rsidTr="00E260EB">
            <w:trPr>
              <w:cantSplit/>
              <w:trHeight w:val="375"/>
            </w:trPr>
            <w:tc>
              <w:tcPr>
                <w:tcW w:w="466" w:type="pct"/>
                <w:vMerge/>
                <w:tcBorders>
                  <w:left w:val="single" w:sz="4" w:space="0" w:color="auto"/>
                  <w:bottom w:val="single" w:sz="4" w:space="0" w:color="auto"/>
                  <w:right w:val="single" w:sz="4" w:space="0" w:color="auto"/>
                </w:tcBorders>
                <w:vAlign w:val="center"/>
              </w:tcPr>
              <w:p w14:paraId="4A31DFC9" w14:textId="77777777" w:rsidR="007E7472" w:rsidRDefault="00C8327E">
                <w:pPr>
                  <w:rPr>
                    <w:rFonts w:asciiTheme="minorEastAsia" w:eastAsiaTheme="minorEastAsia" w:hAnsiTheme="minorEastAsia"/>
                  </w:rPr>
                </w:pPr>
              </w:p>
            </w:tc>
            <w:sdt>
              <w:sdtPr>
                <w:rPr>
                  <w:rFonts w:asciiTheme="minorEastAsia" w:eastAsiaTheme="minorEastAsia" w:hAnsiTheme="minorEastAsia"/>
                </w:rPr>
                <w:tag w:val="_PLD_2a622138bde346ccae812608989b472d"/>
                <w:id w:val="812906311"/>
              </w:sdtPr>
              <w:sdtEndPr/>
              <w:sdtContent>
                <w:tc>
                  <w:tcPr>
                    <w:tcW w:w="576" w:type="pct"/>
                    <w:tcBorders>
                      <w:left w:val="single" w:sz="4" w:space="0" w:color="auto"/>
                      <w:bottom w:val="single" w:sz="4" w:space="0" w:color="auto"/>
                      <w:right w:val="single" w:sz="4" w:space="0" w:color="auto"/>
                    </w:tcBorders>
                    <w:vAlign w:val="center"/>
                  </w:tcPr>
                  <w:p w14:paraId="76630166" w14:textId="77777777" w:rsidR="007E7472" w:rsidRDefault="00EC1269">
                    <w:pPr>
                      <w:jc w:val="center"/>
                      <w:rPr>
                        <w:rFonts w:asciiTheme="minorEastAsia" w:eastAsiaTheme="minorEastAsia" w:hAnsiTheme="minorEastAsia"/>
                      </w:rPr>
                    </w:pPr>
                    <w:r>
                      <w:rPr>
                        <w:rFonts w:asciiTheme="minorEastAsia" w:eastAsiaTheme="minorEastAsia" w:hAnsiTheme="minorEastAsia" w:hint="eastAsia"/>
                      </w:rPr>
                      <w:t>金额</w:t>
                    </w:r>
                  </w:p>
                </w:tc>
              </w:sdtContent>
            </w:sdt>
            <w:sdt>
              <w:sdtPr>
                <w:rPr>
                  <w:rFonts w:asciiTheme="minorEastAsia" w:eastAsiaTheme="minorEastAsia" w:hAnsiTheme="minorEastAsia"/>
                </w:rPr>
                <w:tag w:val="_PLD_abd0e3a320c240aeb85b1414af26aa00"/>
                <w:id w:val="-691453080"/>
              </w:sdtPr>
              <w:sdtEndPr/>
              <w:sdtContent>
                <w:tc>
                  <w:tcPr>
                    <w:tcW w:w="240" w:type="pct"/>
                    <w:tcBorders>
                      <w:left w:val="single" w:sz="4" w:space="0" w:color="auto"/>
                      <w:bottom w:val="single" w:sz="4" w:space="0" w:color="auto"/>
                      <w:right w:val="single" w:sz="4" w:space="0" w:color="auto"/>
                    </w:tcBorders>
                    <w:vAlign w:val="center"/>
                  </w:tcPr>
                  <w:p w14:paraId="4F39AF06" w14:textId="77777777" w:rsidR="007E7472" w:rsidRDefault="00EC1269">
                    <w:pPr>
                      <w:jc w:val="center"/>
                      <w:rPr>
                        <w:rFonts w:asciiTheme="minorEastAsia" w:eastAsiaTheme="minorEastAsia" w:hAnsiTheme="minorEastAsia"/>
                      </w:rPr>
                    </w:pPr>
                    <w:r>
                      <w:rPr>
                        <w:rFonts w:asciiTheme="minorEastAsia" w:eastAsiaTheme="minorEastAsia" w:hAnsiTheme="minorEastAsia" w:hint="eastAsia"/>
                      </w:rPr>
                      <w:t>比例</w:t>
                    </w:r>
                    <w:r>
                      <w:rPr>
                        <w:rFonts w:asciiTheme="minorEastAsia" w:eastAsiaTheme="minorEastAsia" w:hAnsiTheme="minorEastAsia"/>
                      </w:rPr>
                      <w:t>(%)</w:t>
                    </w:r>
                  </w:p>
                </w:tc>
              </w:sdtContent>
            </w:sdt>
            <w:sdt>
              <w:sdtPr>
                <w:rPr>
                  <w:rFonts w:asciiTheme="minorEastAsia" w:eastAsiaTheme="minorEastAsia" w:hAnsiTheme="minorEastAsia"/>
                </w:rPr>
                <w:tag w:val="_PLD_d60468b4e5934fb9af3ebf3b3ca06a6b"/>
                <w:id w:val="1367417391"/>
              </w:sdtPr>
              <w:sdtEndPr/>
              <w:sdtContent>
                <w:tc>
                  <w:tcPr>
                    <w:tcW w:w="564" w:type="pct"/>
                    <w:tcBorders>
                      <w:left w:val="single" w:sz="4" w:space="0" w:color="auto"/>
                      <w:bottom w:val="single" w:sz="4" w:space="0" w:color="auto"/>
                      <w:right w:val="single" w:sz="4" w:space="0" w:color="auto"/>
                    </w:tcBorders>
                    <w:vAlign w:val="center"/>
                  </w:tcPr>
                  <w:p w14:paraId="72FC5484" w14:textId="77777777" w:rsidR="007E7472" w:rsidRDefault="00EC1269">
                    <w:pPr>
                      <w:jc w:val="center"/>
                      <w:rPr>
                        <w:rFonts w:asciiTheme="minorEastAsia" w:eastAsiaTheme="minorEastAsia" w:hAnsiTheme="minorEastAsia"/>
                      </w:rPr>
                    </w:pPr>
                    <w:r>
                      <w:rPr>
                        <w:rFonts w:asciiTheme="minorEastAsia" w:eastAsiaTheme="minorEastAsia" w:hAnsiTheme="minorEastAsia" w:hint="eastAsia"/>
                      </w:rPr>
                      <w:t>金额</w:t>
                    </w:r>
                  </w:p>
                </w:tc>
              </w:sdtContent>
            </w:sdt>
            <w:sdt>
              <w:sdtPr>
                <w:rPr>
                  <w:rFonts w:asciiTheme="minorEastAsia" w:eastAsiaTheme="minorEastAsia" w:hAnsiTheme="minorEastAsia"/>
                </w:rPr>
                <w:tag w:val="_PLD_743ca215156149608b4d9149bc142cc3"/>
                <w:id w:val="-1323348973"/>
              </w:sdtPr>
              <w:sdtEndPr/>
              <w:sdtContent>
                <w:tc>
                  <w:tcPr>
                    <w:tcW w:w="321" w:type="pct"/>
                    <w:tcBorders>
                      <w:left w:val="single" w:sz="4" w:space="0" w:color="auto"/>
                      <w:bottom w:val="single" w:sz="4" w:space="0" w:color="auto"/>
                      <w:right w:val="single" w:sz="4" w:space="0" w:color="auto"/>
                    </w:tcBorders>
                    <w:vAlign w:val="center"/>
                  </w:tcPr>
                  <w:p w14:paraId="554335E7" w14:textId="77777777" w:rsidR="007E7472" w:rsidRDefault="00EC1269">
                    <w:pPr>
                      <w:jc w:val="center"/>
                      <w:rPr>
                        <w:rFonts w:asciiTheme="minorEastAsia" w:eastAsiaTheme="minorEastAsia" w:hAnsiTheme="minorEastAsia"/>
                      </w:rPr>
                    </w:pPr>
                    <w:r>
                      <w:rPr>
                        <w:rFonts w:asciiTheme="minorEastAsia" w:eastAsiaTheme="minorEastAsia" w:hAnsiTheme="minorEastAsia" w:hint="eastAsia"/>
                      </w:rPr>
                      <w:t>计提比例</w:t>
                    </w:r>
                    <w:r>
                      <w:rPr>
                        <w:rFonts w:asciiTheme="minorEastAsia" w:eastAsiaTheme="minorEastAsia" w:hAnsiTheme="minorEastAsia"/>
                      </w:rPr>
                      <w:t>(%)</w:t>
                    </w:r>
                  </w:p>
                </w:tc>
              </w:sdtContent>
            </w:sdt>
            <w:tc>
              <w:tcPr>
                <w:tcW w:w="642" w:type="pct"/>
                <w:vMerge/>
                <w:tcBorders>
                  <w:left w:val="single" w:sz="4" w:space="0" w:color="auto"/>
                  <w:bottom w:val="single" w:sz="4" w:space="0" w:color="auto"/>
                  <w:right w:val="single" w:sz="4" w:space="0" w:color="auto"/>
                </w:tcBorders>
                <w:vAlign w:val="center"/>
              </w:tcPr>
              <w:p w14:paraId="0E77B2C4" w14:textId="77777777" w:rsidR="007E7472" w:rsidRDefault="00C8327E">
                <w:pPr>
                  <w:jc w:val="center"/>
                  <w:rPr>
                    <w:rFonts w:asciiTheme="minorEastAsia" w:eastAsiaTheme="minorEastAsia" w:hAnsiTheme="minorEastAsia"/>
                  </w:rPr>
                </w:pPr>
              </w:p>
            </w:tc>
            <w:sdt>
              <w:sdtPr>
                <w:rPr>
                  <w:rFonts w:asciiTheme="minorEastAsia" w:eastAsiaTheme="minorEastAsia" w:hAnsiTheme="minorEastAsia"/>
                </w:rPr>
                <w:tag w:val="_PLD_88061469e7574f3d93ff9dc8f7c03e2d"/>
                <w:id w:val="-1118828937"/>
              </w:sdtPr>
              <w:sdtEndPr/>
              <w:sdtContent>
                <w:tc>
                  <w:tcPr>
                    <w:tcW w:w="644" w:type="pct"/>
                    <w:tcBorders>
                      <w:left w:val="single" w:sz="4" w:space="0" w:color="auto"/>
                      <w:bottom w:val="single" w:sz="4" w:space="0" w:color="auto"/>
                      <w:right w:val="single" w:sz="4" w:space="0" w:color="auto"/>
                    </w:tcBorders>
                    <w:vAlign w:val="center"/>
                  </w:tcPr>
                  <w:p w14:paraId="2111C67F" w14:textId="77777777" w:rsidR="007E7472" w:rsidRDefault="00EC1269">
                    <w:pPr>
                      <w:jc w:val="center"/>
                      <w:rPr>
                        <w:rFonts w:asciiTheme="minorEastAsia" w:eastAsiaTheme="minorEastAsia" w:hAnsiTheme="minorEastAsia"/>
                      </w:rPr>
                    </w:pPr>
                    <w:r>
                      <w:rPr>
                        <w:rFonts w:asciiTheme="minorEastAsia" w:eastAsiaTheme="minorEastAsia" w:hAnsiTheme="minorEastAsia" w:hint="eastAsia"/>
                      </w:rPr>
                      <w:t>金额</w:t>
                    </w:r>
                  </w:p>
                </w:tc>
              </w:sdtContent>
            </w:sdt>
            <w:sdt>
              <w:sdtPr>
                <w:rPr>
                  <w:rFonts w:asciiTheme="minorEastAsia" w:eastAsiaTheme="minorEastAsia" w:hAnsiTheme="minorEastAsia"/>
                </w:rPr>
                <w:tag w:val="_PLD_c2b4bd19b5284f3481bdd6a3becafce0"/>
                <w:id w:val="1336799113"/>
              </w:sdtPr>
              <w:sdtEndPr/>
              <w:sdtContent>
                <w:tc>
                  <w:tcPr>
                    <w:tcW w:w="240" w:type="pct"/>
                    <w:tcBorders>
                      <w:left w:val="single" w:sz="4" w:space="0" w:color="auto"/>
                      <w:bottom w:val="single" w:sz="4" w:space="0" w:color="auto"/>
                      <w:right w:val="single" w:sz="4" w:space="0" w:color="auto"/>
                    </w:tcBorders>
                    <w:vAlign w:val="center"/>
                  </w:tcPr>
                  <w:p w14:paraId="41F8BFF1" w14:textId="77777777" w:rsidR="007E7472" w:rsidRDefault="00EC1269">
                    <w:pPr>
                      <w:jc w:val="center"/>
                      <w:rPr>
                        <w:rFonts w:asciiTheme="minorEastAsia" w:eastAsiaTheme="minorEastAsia" w:hAnsiTheme="minorEastAsia"/>
                      </w:rPr>
                    </w:pPr>
                    <w:r>
                      <w:rPr>
                        <w:rFonts w:asciiTheme="minorEastAsia" w:eastAsiaTheme="minorEastAsia" w:hAnsiTheme="minorEastAsia" w:hint="eastAsia"/>
                      </w:rPr>
                      <w:t>比例</w:t>
                    </w:r>
                    <w:r>
                      <w:rPr>
                        <w:rFonts w:asciiTheme="minorEastAsia" w:eastAsiaTheme="minorEastAsia" w:hAnsiTheme="minorEastAsia"/>
                      </w:rPr>
                      <w:t>(%)</w:t>
                    </w:r>
                  </w:p>
                </w:tc>
              </w:sdtContent>
            </w:sdt>
            <w:sdt>
              <w:sdtPr>
                <w:rPr>
                  <w:rFonts w:asciiTheme="minorEastAsia" w:eastAsiaTheme="minorEastAsia" w:hAnsiTheme="minorEastAsia"/>
                </w:rPr>
                <w:tag w:val="_PLD_c6874c65e4ac43019002d5903e4b46d6"/>
                <w:id w:val="-653755163"/>
              </w:sdtPr>
              <w:sdtEndPr/>
              <w:sdtContent>
                <w:tc>
                  <w:tcPr>
                    <w:tcW w:w="402" w:type="pct"/>
                    <w:tcBorders>
                      <w:left w:val="single" w:sz="4" w:space="0" w:color="auto"/>
                      <w:bottom w:val="single" w:sz="4" w:space="0" w:color="auto"/>
                      <w:right w:val="single" w:sz="4" w:space="0" w:color="auto"/>
                    </w:tcBorders>
                    <w:vAlign w:val="center"/>
                  </w:tcPr>
                  <w:p w14:paraId="7EE8572A" w14:textId="77777777" w:rsidR="007E7472" w:rsidRDefault="00EC1269">
                    <w:pPr>
                      <w:jc w:val="center"/>
                      <w:rPr>
                        <w:rFonts w:asciiTheme="minorEastAsia" w:eastAsiaTheme="minorEastAsia" w:hAnsiTheme="minorEastAsia"/>
                      </w:rPr>
                    </w:pPr>
                    <w:r>
                      <w:rPr>
                        <w:rFonts w:asciiTheme="minorEastAsia" w:eastAsiaTheme="minorEastAsia" w:hAnsiTheme="minorEastAsia" w:hint="eastAsia"/>
                      </w:rPr>
                      <w:t>金额</w:t>
                    </w:r>
                  </w:p>
                </w:tc>
              </w:sdtContent>
            </w:sdt>
            <w:sdt>
              <w:sdtPr>
                <w:rPr>
                  <w:rFonts w:asciiTheme="minorEastAsia" w:eastAsiaTheme="minorEastAsia" w:hAnsiTheme="minorEastAsia"/>
                </w:rPr>
                <w:tag w:val="_PLD_0596fb5f4bb147b48d9ab2f32535e71f"/>
                <w:id w:val="-963969723"/>
              </w:sdtPr>
              <w:sdtEndPr/>
              <w:sdtContent>
                <w:tc>
                  <w:tcPr>
                    <w:tcW w:w="321" w:type="pct"/>
                    <w:tcBorders>
                      <w:left w:val="single" w:sz="4" w:space="0" w:color="auto"/>
                      <w:bottom w:val="single" w:sz="4" w:space="0" w:color="auto"/>
                      <w:right w:val="single" w:sz="4" w:space="0" w:color="auto"/>
                    </w:tcBorders>
                    <w:vAlign w:val="center"/>
                  </w:tcPr>
                  <w:p w14:paraId="3264E590" w14:textId="77777777" w:rsidR="007E7472" w:rsidRDefault="00EC1269">
                    <w:pPr>
                      <w:jc w:val="center"/>
                      <w:rPr>
                        <w:rFonts w:asciiTheme="minorEastAsia" w:eastAsiaTheme="minorEastAsia" w:hAnsiTheme="minorEastAsia"/>
                      </w:rPr>
                    </w:pPr>
                    <w:r>
                      <w:rPr>
                        <w:rFonts w:asciiTheme="minorEastAsia" w:eastAsiaTheme="minorEastAsia" w:hAnsiTheme="minorEastAsia" w:hint="eastAsia"/>
                      </w:rPr>
                      <w:t>计提比例</w:t>
                    </w:r>
                    <w:r>
                      <w:rPr>
                        <w:rFonts w:asciiTheme="minorEastAsia" w:eastAsiaTheme="minorEastAsia" w:hAnsiTheme="minorEastAsia"/>
                      </w:rPr>
                      <w:t>(%)</w:t>
                    </w:r>
                  </w:p>
                </w:tc>
              </w:sdtContent>
            </w:sdt>
            <w:tc>
              <w:tcPr>
                <w:tcW w:w="585" w:type="pct"/>
                <w:vMerge/>
                <w:tcBorders>
                  <w:left w:val="single" w:sz="4" w:space="0" w:color="auto"/>
                  <w:bottom w:val="single" w:sz="4" w:space="0" w:color="auto"/>
                  <w:right w:val="single" w:sz="4" w:space="0" w:color="auto"/>
                </w:tcBorders>
              </w:tcPr>
              <w:p w14:paraId="63C7902A" w14:textId="77777777" w:rsidR="007E7472" w:rsidRDefault="00C8327E">
                <w:pPr>
                  <w:jc w:val="center"/>
                  <w:rPr>
                    <w:rFonts w:asciiTheme="minorEastAsia" w:eastAsiaTheme="minorEastAsia" w:hAnsiTheme="minorEastAsia"/>
                  </w:rPr>
                </w:pPr>
              </w:p>
            </w:tc>
          </w:tr>
          <w:tr w:rsidR="007E7472" w14:paraId="4E3BE9AA" w14:textId="77777777" w:rsidTr="00E260EB">
            <w:trPr>
              <w:cantSplit/>
            </w:trPr>
            <w:sdt>
              <w:sdtPr>
                <w:rPr>
                  <w:rFonts w:asciiTheme="minorEastAsia" w:eastAsiaTheme="minorEastAsia" w:hAnsiTheme="minorEastAsia"/>
                </w:rPr>
                <w:tag w:val="_PLD_6413454a316c4103ae8bebbae0f082c2"/>
                <w:id w:val="-1053079159"/>
              </w:sdtPr>
              <w:sdtEndPr/>
              <w:sdtContent>
                <w:tc>
                  <w:tcPr>
                    <w:tcW w:w="466" w:type="pct"/>
                    <w:tcBorders>
                      <w:top w:val="single" w:sz="4" w:space="0" w:color="auto"/>
                      <w:left w:val="single" w:sz="4" w:space="0" w:color="auto"/>
                      <w:bottom w:val="single" w:sz="4" w:space="0" w:color="auto"/>
                      <w:right w:val="single" w:sz="4" w:space="0" w:color="auto"/>
                    </w:tcBorders>
                    <w:vAlign w:val="center"/>
                  </w:tcPr>
                  <w:p w14:paraId="6826935C" w14:textId="77777777" w:rsidR="007E7472" w:rsidRPr="00E72422" w:rsidRDefault="00EC1269">
                    <w:pPr>
                      <w:jc w:val="both"/>
                      <w:rPr>
                        <w:rFonts w:asciiTheme="minorEastAsia" w:eastAsiaTheme="minorEastAsia" w:hAnsiTheme="minorEastAsia"/>
                      </w:rPr>
                    </w:pPr>
                    <w:r w:rsidRPr="00E72422">
                      <w:rPr>
                        <w:rFonts w:asciiTheme="minorEastAsia" w:eastAsiaTheme="minorEastAsia" w:hAnsiTheme="minorEastAsia" w:hint="eastAsia"/>
                      </w:rPr>
                      <w:t>按单项计提坏账准备</w:t>
                    </w:r>
                  </w:p>
                </w:tc>
              </w:sdtContent>
            </w:sdt>
            <w:tc>
              <w:tcPr>
                <w:tcW w:w="576" w:type="pct"/>
                <w:tcBorders>
                  <w:top w:val="single" w:sz="4" w:space="0" w:color="auto"/>
                  <w:left w:val="single" w:sz="4" w:space="0" w:color="auto"/>
                  <w:bottom w:val="single" w:sz="4" w:space="0" w:color="auto"/>
                  <w:right w:val="single" w:sz="4" w:space="0" w:color="auto"/>
                </w:tcBorders>
                <w:vAlign w:val="center"/>
              </w:tcPr>
              <w:p w14:paraId="2AF026E3" w14:textId="77777777" w:rsidR="007E7472" w:rsidRPr="00E72422" w:rsidRDefault="00EC1269">
                <w:pPr>
                  <w:jc w:val="right"/>
                  <w:rPr>
                    <w:rFonts w:asciiTheme="minorEastAsia" w:eastAsiaTheme="minorEastAsia" w:hAnsiTheme="minorEastAsia"/>
                  </w:rPr>
                </w:pPr>
                <w:r w:rsidRPr="00E72422">
                  <w:rPr>
                    <w:rFonts w:asciiTheme="minorEastAsia" w:eastAsiaTheme="minorEastAsia" w:hAnsiTheme="minorEastAsia"/>
                  </w:rPr>
                  <w:t>332,015</w:t>
                </w:r>
              </w:p>
            </w:tc>
            <w:tc>
              <w:tcPr>
                <w:tcW w:w="240" w:type="pct"/>
                <w:tcBorders>
                  <w:top w:val="single" w:sz="4" w:space="0" w:color="auto"/>
                  <w:left w:val="single" w:sz="4" w:space="0" w:color="auto"/>
                  <w:bottom w:val="single" w:sz="4" w:space="0" w:color="auto"/>
                  <w:right w:val="single" w:sz="4" w:space="0" w:color="auto"/>
                </w:tcBorders>
                <w:vAlign w:val="center"/>
              </w:tcPr>
              <w:p w14:paraId="5A108C9C" w14:textId="77777777" w:rsidR="007E7472" w:rsidRPr="00E72422" w:rsidRDefault="00EC1269">
                <w:pPr>
                  <w:jc w:val="right"/>
                  <w:rPr>
                    <w:rFonts w:asciiTheme="minorEastAsia" w:eastAsiaTheme="minorEastAsia" w:hAnsiTheme="minorEastAsia"/>
                  </w:rPr>
                </w:pPr>
                <w:r w:rsidRPr="00E72422">
                  <w:rPr>
                    <w:rFonts w:asciiTheme="minorEastAsia" w:eastAsiaTheme="minorEastAsia" w:hAnsiTheme="minorEastAsia"/>
                  </w:rPr>
                  <w:t>5</w:t>
                </w:r>
              </w:p>
            </w:tc>
            <w:tc>
              <w:tcPr>
                <w:tcW w:w="564" w:type="pct"/>
                <w:tcBorders>
                  <w:top w:val="single" w:sz="4" w:space="0" w:color="auto"/>
                  <w:left w:val="single" w:sz="4" w:space="0" w:color="auto"/>
                  <w:bottom w:val="single" w:sz="4" w:space="0" w:color="auto"/>
                  <w:right w:val="single" w:sz="4" w:space="0" w:color="auto"/>
                </w:tcBorders>
                <w:vAlign w:val="center"/>
              </w:tcPr>
              <w:p w14:paraId="47EF14B6" w14:textId="77777777" w:rsidR="007E7472" w:rsidRPr="00E72422" w:rsidRDefault="00EC1269">
                <w:pPr>
                  <w:jc w:val="right"/>
                  <w:rPr>
                    <w:rFonts w:asciiTheme="minorEastAsia" w:eastAsiaTheme="minorEastAsia" w:hAnsiTheme="minorEastAsia"/>
                  </w:rPr>
                </w:pPr>
                <w:r w:rsidRPr="00E72422">
                  <w:rPr>
                    <w:rFonts w:asciiTheme="minorEastAsia" w:eastAsiaTheme="minorEastAsia" w:hAnsiTheme="minorEastAsia"/>
                  </w:rPr>
                  <w:t>253,332</w:t>
                </w:r>
              </w:p>
            </w:tc>
            <w:tc>
              <w:tcPr>
                <w:tcW w:w="321" w:type="pct"/>
                <w:tcBorders>
                  <w:top w:val="single" w:sz="4" w:space="0" w:color="auto"/>
                  <w:left w:val="single" w:sz="4" w:space="0" w:color="auto"/>
                  <w:bottom w:val="single" w:sz="4" w:space="0" w:color="auto"/>
                  <w:right w:val="single" w:sz="4" w:space="0" w:color="auto"/>
                </w:tcBorders>
                <w:vAlign w:val="center"/>
              </w:tcPr>
              <w:p w14:paraId="39FA745E" w14:textId="77777777" w:rsidR="007E7472" w:rsidRPr="00E72422" w:rsidRDefault="00EC1269">
                <w:pPr>
                  <w:jc w:val="right"/>
                  <w:rPr>
                    <w:rFonts w:asciiTheme="minorEastAsia" w:eastAsiaTheme="minorEastAsia" w:hAnsiTheme="minorEastAsia"/>
                  </w:rPr>
                </w:pPr>
                <w:r w:rsidRPr="00E72422">
                  <w:rPr>
                    <w:rFonts w:asciiTheme="minorEastAsia" w:eastAsiaTheme="minorEastAsia" w:hAnsiTheme="minorEastAsia"/>
                  </w:rPr>
                  <w:t>76</w:t>
                </w:r>
              </w:p>
            </w:tc>
            <w:tc>
              <w:tcPr>
                <w:tcW w:w="642" w:type="pct"/>
                <w:tcBorders>
                  <w:top w:val="single" w:sz="4" w:space="0" w:color="auto"/>
                  <w:left w:val="single" w:sz="4" w:space="0" w:color="auto"/>
                  <w:bottom w:val="single" w:sz="4" w:space="0" w:color="auto"/>
                  <w:right w:val="single" w:sz="4" w:space="0" w:color="auto"/>
                </w:tcBorders>
                <w:vAlign w:val="center"/>
              </w:tcPr>
              <w:p w14:paraId="584F035A" w14:textId="77777777" w:rsidR="007E7472" w:rsidRPr="00E72422" w:rsidRDefault="00EC1269">
                <w:pPr>
                  <w:jc w:val="right"/>
                  <w:rPr>
                    <w:rFonts w:asciiTheme="minorEastAsia" w:eastAsiaTheme="minorEastAsia" w:hAnsiTheme="minorEastAsia"/>
                  </w:rPr>
                </w:pPr>
                <w:r w:rsidRPr="00E72422">
                  <w:rPr>
                    <w:rFonts w:asciiTheme="minorEastAsia" w:eastAsiaTheme="minorEastAsia" w:hAnsiTheme="minorEastAsia"/>
                  </w:rPr>
                  <w:t>78,683</w:t>
                </w:r>
              </w:p>
            </w:tc>
            <w:tc>
              <w:tcPr>
                <w:tcW w:w="644" w:type="pct"/>
                <w:tcBorders>
                  <w:top w:val="single" w:sz="4" w:space="0" w:color="auto"/>
                  <w:left w:val="single" w:sz="4" w:space="0" w:color="auto"/>
                  <w:bottom w:val="single" w:sz="4" w:space="0" w:color="auto"/>
                  <w:right w:val="single" w:sz="4" w:space="0" w:color="auto"/>
                </w:tcBorders>
                <w:vAlign w:val="center"/>
              </w:tcPr>
              <w:p w14:paraId="6A407F4A" w14:textId="77777777" w:rsidR="007E7472" w:rsidRPr="00E72422" w:rsidRDefault="00EC1269">
                <w:pPr>
                  <w:jc w:val="right"/>
                  <w:rPr>
                    <w:rFonts w:asciiTheme="minorEastAsia" w:eastAsiaTheme="minorEastAsia" w:hAnsiTheme="minorEastAsia"/>
                  </w:rPr>
                </w:pPr>
                <w:r w:rsidRPr="00E72422">
                  <w:rPr>
                    <w:rFonts w:asciiTheme="minorEastAsia" w:eastAsiaTheme="minorEastAsia" w:hAnsiTheme="minorEastAsia"/>
                  </w:rPr>
                  <w:t>352,853</w:t>
                </w:r>
              </w:p>
            </w:tc>
            <w:tc>
              <w:tcPr>
                <w:tcW w:w="240" w:type="pct"/>
                <w:tcBorders>
                  <w:top w:val="single" w:sz="4" w:space="0" w:color="auto"/>
                  <w:left w:val="single" w:sz="4" w:space="0" w:color="auto"/>
                  <w:bottom w:val="single" w:sz="4" w:space="0" w:color="auto"/>
                  <w:right w:val="single" w:sz="4" w:space="0" w:color="auto"/>
                </w:tcBorders>
                <w:vAlign w:val="center"/>
              </w:tcPr>
              <w:p w14:paraId="476033CA" w14:textId="77777777" w:rsidR="007E7472" w:rsidRPr="00E72422" w:rsidRDefault="00EC1269">
                <w:pPr>
                  <w:jc w:val="right"/>
                  <w:rPr>
                    <w:rFonts w:asciiTheme="minorEastAsia" w:eastAsiaTheme="minorEastAsia" w:hAnsiTheme="minorEastAsia"/>
                  </w:rPr>
                </w:pPr>
                <w:r w:rsidRPr="00E72422">
                  <w:rPr>
                    <w:rFonts w:asciiTheme="minorEastAsia" w:eastAsiaTheme="minorEastAsia" w:hAnsiTheme="minorEastAsia"/>
                  </w:rPr>
                  <w:t>5</w:t>
                </w:r>
              </w:p>
            </w:tc>
            <w:tc>
              <w:tcPr>
                <w:tcW w:w="402" w:type="pct"/>
                <w:tcBorders>
                  <w:top w:val="single" w:sz="4" w:space="0" w:color="auto"/>
                  <w:left w:val="single" w:sz="4" w:space="0" w:color="auto"/>
                  <w:bottom w:val="single" w:sz="4" w:space="0" w:color="auto"/>
                  <w:right w:val="single" w:sz="4" w:space="0" w:color="auto"/>
                </w:tcBorders>
                <w:vAlign w:val="center"/>
              </w:tcPr>
              <w:p w14:paraId="50AFBA87" w14:textId="77777777" w:rsidR="007E7472" w:rsidRPr="00E72422" w:rsidRDefault="00EC1269">
                <w:pPr>
                  <w:jc w:val="right"/>
                  <w:rPr>
                    <w:rFonts w:asciiTheme="minorEastAsia" w:eastAsiaTheme="minorEastAsia" w:hAnsiTheme="minorEastAsia"/>
                  </w:rPr>
                </w:pPr>
                <w:r w:rsidRPr="00E72422">
                  <w:rPr>
                    <w:rFonts w:asciiTheme="minorEastAsia" w:eastAsiaTheme="minorEastAsia" w:hAnsiTheme="minorEastAsia"/>
                  </w:rPr>
                  <w:t>273,266</w:t>
                </w:r>
              </w:p>
            </w:tc>
            <w:tc>
              <w:tcPr>
                <w:tcW w:w="321" w:type="pct"/>
                <w:tcBorders>
                  <w:top w:val="single" w:sz="4" w:space="0" w:color="auto"/>
                  <w:left w:val="single" w:sz="4" w:space="0" w:color="auto"/>
                  <w:bottom w:val="single" w:sz="4" w:space="0" w:color="auto"/>
                  <w:right w:val="single" w:sz="4" w:space="0" w:color="auto"/>
                </w:tcBorders>
                <w:vAlign w:val="center"/>
              </w:tcPr>
              <w:p w14:paraId="0093A756" w14:textId="77777777" w:rsidR="007E7472" w:rsidRPr="00E72422" w:rsidRDefault="00EC1269">
                <w:pPr>
                  <w:jc w:val="right"/>
                  <w:rPr>
                    <w:rFonts w:asciiTheme="minorEastAsia" w:eastAsiaTheme="minorEastAsia" w:hAnsiTheme="minorEastAsia"/>
                  </w:rPr>
                </w:pPr>
                <w:r w:rsidRPr="00E72422">
                  <w:rPr>
                    <w:rFonts w:asciiTheme="minorEastAsia" w:eastAsiaTheme="minorEastAsia" w:hAnsiTheme="minorEastAsia" w:hint="eastAsia"/>
                  </w:rPr>
                  <w:t>7</w:t>
                </w:r>
                <w:r w:rsidRPr="00E72422">
                  <w:rPr>
                    <w:rFonts w:asciiTheme="minorEastAsia" w:eastAsiaTheme="minorEastAsia" w:hAnsiTheme="minorEastAsia"/>
                  </w:rPr>
                  <w:t>7</w:t>
                </w:r>
              </w:p>
            </w:tc>
            <w:tc>
              <w:tcPr>
                <w:tcW w:w="585" w:type="pct"/>
                <w:tcBorders>
                  <w:top w:val="single" w:sz="4" w:space="0" w:color="auto"/>
                  <w:left w:val="single" w:sz="4" w:space="0" w:color="auto"/>
                  <w:bottom w:val="single" w:sz="4" w:space="0" w:color="auto"/>
                  <w:right w:val="single" w:sz="4" w:space="0" w:color="auto"/>
                </w:tcBorders>
                <w:vAlign w:val="center"/>
              </w:tcPr>
              <w:p w14:paraId="3B873CFF" w14:textId="77777777" w:rsidR="007E7472" w:rsidRPr="00E72422" w:rsidRDefault="00EC1269">
                <w:pPr>
                  <w:jc w:val="right"/>
                  <w:rPr>
                    <w:rFonts w:asciiTheme="minorEastAsia" w:eastAsiaTheme="minorEastAsia" w:hAnsiTheme="minorEastAsia"/>
                  </w:rPr>
                </w:pPr>
                <w:r w:rsidRPr="00E72422">
                  <w:rPr>
                    <w:rFonts w:asciiTheme="minorEastAsia" w:eastAsiaTheme="minorEastAsia" w:hAnsiTheme="minorEastAsia"/>
                  </w:rPr>
                  <w:t>79,587</w:t>
                </w:r>
              </w:p>
            </w:tc>
          </w:tr>
          <w:tr w:rsidR="007E7472" w14:paraId="49390A4C" w14:textId="77777777" w:rsidTr="00E260EB">
            <w:trPr>
              <w:cantSplit/>
            </w:trPr>
            <w:tc>
              <w:tcPr>
                <w:tcW w:w="466" w:type="pct"/>
                <w:tcBorders>
                  <w:top w:val="single" w:sz="4" w:space="0" w:color="auto"/>
                  <w:left w:val="single" w:sz="4" w:space="0" w:color="auto"/>
                  <w:bottom w:val="single" w:sz="4" w:space="0" w:color="auto"/>
                  <w:right w:val="single" w:sz="4" w:space="0" w:color="auto"/>
                </w:tcBorders>
                <w:vAlign w:val="center"/>
              </w:tcPr>
              <w:p w14:paraId="6B7FFAB1" w14:textId="77777777" w:rsidR="007E7472" w:rsidRPr="00E72422" w:rsidRDefault="00EC1269">
                <w:pPr>
                  <w:jc w:val="both"/>
                  <w:rPr>
                    <w:rFonts w:asciiTheme="minorEastAsia" w:eastAsiaTheme="minorEastAsia" w:hAnsiTheme="minorEastAsia"/>
                  </w:rPr>
                </w:pPr>
                <w:r w:rsidRPr="00E72422">
                  <w:rPr>
                    <w:rFonts w:asciiTheme="minorEastAsia" w:eastAsiaTheme="minorEastAsia" w:hAnsiTheme="minorEastAsia" w:hint="eastAsia"/>
                  </w:rPr>
                  <w:t>按组合计提坏账准备</w:t>
                </w:r>
              </w:p>
            </w:tc>
            <w:tc>
              <w:tcPr>
                <w:tcW w:w="576" w:type="pct"/>
                <w:tcBorders>
                  <w:top w:val="single" w:sz="4" w:space="0" w:color="auto"/>
                  <w:left w:val="nil"/>
                  <w:bottom w:val="single" w:sz="4" w:space="0" w:color="auto"/>
                  <w:right w:val="single" w:sz="4" w:space="0" w:color="auto"/>
                </w:tcBorders>
                <w:shd w:val="clear" w:color="auto" w:fill="auto"/>
                <w:vAlign w:val="center"/>
              </w:tcPr>
              <w:p w14:paraId="27C153A2" w14:textId="77777777" w:rsidR="007E7472" w:rsidRPr="00E72422" w:rsidRDefault="00EC1269">
                <w:pPr>
                  <w:jc w:val="right"/>
                  <w:rPr>
                    <w:rFonts w:asciiTheme="minorEastAsia" w:eastAsiaTheme="minorEastAsia" w:hAnsiTheme="minorEastAsia"/>
                  </w:rPr>
                </w:pPr>
                <w:r w:rsidRPr="00E72422">
                  <w:rPr>
                    <w:rFonts w:asciiTheme="minorEastAsia" w:eastAsiaTheme="minorEastAsia" w:hAnsiTheme="minorEastAsia" w:hint="eastAsia"/>
                  </w:rPr>
                  <w:t>6,942,06</w:t>
                </w:r>
                <w:r w:rsidRPr="00E72422">
                  <w:rPr>
                    <w:rFonts w:asciiTheme="minorEastAsia" w:eastAsiaTheme="minorEastAsia" w:hAnsiTheme="minorEastAsia"/>
                  </w:rPr>
                  <w:t>1</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3EB24717" w14:textId="77777777" w:rsidR="007E7472" w:rsidRPr="00E72422" w:rsidRDefault="00EC1269">
                <w:pPr>
                  <w:jc w:val="right"/>
                  <w:rPr>
                    <w:rFonts w:asciiTheme="minorEastAsia" w:eastAsiaTheme="minorEastAsia" w:hAnsiTheme="minorEastAsia"/>
                  </w:rPr>
                </w:pPr>
                <w:r w:rsidRPr="00E72422">
                  <w:rPr>
                    <w:rFonts w:asciiTheme="minorEastAsia" w:eastAsiaTheme="minorEastAsia" w:hAnsiTheme="minorEastAsia" w:hint="eastAsia"/>
                  </w:rPr>
                  <w:t>95</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14:paraId="585E2402" w14:textId="77777777" w:rsidR="007E7472" w:rsidRPr="00E72422" w:rsidRDefault="00EC1269">
                <w:pPr>
                  <w:jc w:val="right"/>
                  <w:rPr>
                    <w:rFonts w:asciiTheme="minorEastAsia" w:eastAsiaTheme="minorEastAsia" w:hAnsiTheme="minorEastAsia"/>
                  </w:rPr>
                </w:pPr>
                <w:r w:rsidRPr="00E72422">
                  <w:rPr>
                    <w:rFonts w:asciiTheme="minorEastAsia" w:eastAsiaTheme="minorEastAsia" w:hAnsiTheme="minorEastAsia" w:hint="eastAsia"/>
                  </w:rPr>
                  <w:t>96,199</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2E9834B9" w14:textId="77777777" w:rsidR="007E7472" w:rsidRPr="00E72422" w:rsidRDefault="00EC1269">
                <w:pPr>
                  <w:jc w:val="right"/>
                  <w:rPr>
                    <w:rFonts w:asciiTheme="minorEastAsia" w:eastAsiaTheme="minorEastAsia" w:hAnsiTheme="minorEastAsia"/>
                  </w:rPr>
                </w:pPr>
                <w:r w:rsidRPr="00E72422">
                  <w:rPr>
                    <w:rFonts w:asciiTheme="minorEastAsia" w:eastAsiaTheme="minorEastAsia" w:hAnsiTheme="minorEastAsia" w:hint="eastAsia"/>
                  </w:rPr>
                  <w:t>1</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14:paraId="202B6870" w14:textId="77777777" w:rsidR="007E7472" w:rsidRPr="00E72422" w:rsidRDefault="00EC1269">
                <w:pPr>
                  <w:jc w:val="right"/>
                  <w:rPr>
                    <w:rFonts w:asciiTheme="minorEastAsia" w:eastAsiaTheme="minorEastAsia" w:hAnsiTheme="minorEastAsia"/>
                  </w:rPr>
                </w:pPr>
                <w:r w:rsidRPr="00E72422">
                  <w:rPr>
                    <w:rFonts w:asciiTheme="minorEastAsia" w:eastAsiaTheme="minorEastAsia" w:hAnsiTheme="minorEastAsia" w:hint="eastAsia"/>
                  </w:rPr>
                  <w:t>6,845,86</w:t>
                </w:r>
                <w:r w:rsidRPr="00E72422">
                  <w:rPr>
                    <w:rFonts w:asciiTheme="minorEastAsia" w:eastAsiaTheme="minorEastAsia" w:hAnsiTheme="minorEastAsia"/>
                  </w:rPr>
                  <w:t>2</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3C525240" w14:textId="77777777" w:rsidR="007E7472" w:rsidRPr="00E72422" w:rsidRDefault="00EC1269">
                <w:pPr>
                  <w:jc w:val="right"/>
                  <w:rPr>
                    <w:rFonts w:asciiTheme="minorEastAsia" w:eastAsiaTheme="minorEastAsia" w:hAnsiTheme="minorEastAsia"/>
                  </w:rPr>
                </w:pPr>
                <w:r w:rsidRPr="00E72422">
                  <w:rPr>
                    <w:rFonts w:asciiTheme="minorEastAsia" w:eastAsiaTheme="minorEastAsia" w:hAnsiTheme="minorEastAsia" w:hint="eastAsia"/>
                  </w:rPr>
                  <w:t>6,544,60</w:t>
                </w:r>
                <w:r w:rsidRPr="00E72422">
                  <w:rPr>
                    <w:rFonts w:asciiTheme="minorEastAsia" w:eastAsiaTheme="minorEastAsia" w:hAnsiTheme="minorEastAsia"/>
                  </w:rPr>
                  <w:t>0</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3D2A389E" w14:textId="77777777" w:rsidR="007E7472" w:rsidRPr="00E72422" w:rsidRDefault="00EC1269">
                <w:pPr>
                  <w:jc w:val="right"/>
                  <w:rPr>
                    <w:rFonts w:asciiTheme="minorEastAsia" w:eastAsiaTheme="minorEastAsia" w:hAnsiTheme="minorEastAsia"/>
                  </w:rPr>
                </w:pPr>
                <w:r w:rsidRPr="00E72422">
                  <w:rPr>
                    <w:rFonts w:asciiTheme="minorEastAsia" w:eastAsiaTheme="minorEastAsia" w:hAnsiTheme="minorEastAsia" w:hint="eastAsia"/>
                  </w:rPr>
                  <w:t>95</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17CAD74C" w14:textId="77777777" w:rsidR="007E7472" w:rsidRPr="00E72422" w:rsidRDefault="00EC1269">
                <w:pPr>
                  <w:jc w:val="right"/>
                  <w:rPr>
                    <w:rFonts w:asciiTheme="minorEastAsia" w:eastAsiaTheme="minorEastAsia" w:hAnsiTheme="minorEastAsia"/>
                  </w:rPr>
                </w:pPr>
                <w:r w:rsidRPr="00E72422">
                  <w:rPr>
                    <w:rFonts w:asciiTheme="minorEastAsia" w:eastAsiaTheme="minorEastAsia" w:hAnsiTheme="minorEastAsia" w:hint="eastAsia"/>
                  </w:rPr>
                  <w:t>65,9</w:t>
                </w:r>
                <w:r w:rsidRPr="00E72422">
                  <w:rPr>
                    <w:rFonts w:asciiTheme="minorEastAsia" w:eastAsiaTheme="minorEastAsia" w:hAnsiTheme="minorEastAsia"/>
                  </w:rPr>
                  <w:t>21</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5BB2468A" w14:textId="77777777" w:rsidR="007E7472" w:rsidRPr="00E72422" w:rsidRDefault="00EC1269">
                <w:pPr>
                  <w:jc w:val="right"/>
                  <w:rPr>
                    <w:rFonts w:asciiTheme="minorEastAsia" w:eastAsiaTheme="minorEastAsia" w:hAnsiTheme="minorEastAsia"/>
                  </w:rPr>
                </w:pPr>
                <w:r w:rsidRPr="00E72422">
                  <w:rPr>
                    <w:rFonts w:asciiTheme="minorEastAsia" w:eastAsiaTheme="minorEastAsia" w:hAnsiTheme="minorEastAsia" w:hint="eastAsia"/>
                  </w:rPr>
                  <w:t>1</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6149045B" w14:textId="77777777" w:rsidR="007E7472" w:rsidRPr="00E72422" w:rsidRDefault="00EC1269">
                <w:pPr>
                  <w:jc w:val="right"/>
                  <w:rPr>
                    <w:rFonts w:asciiTheme="minorEastAsia" w:eastAsiaTheme="minorEastAsia" w:hAnsiTheme="minorEastAsia"/>
                  </w:rPr>
                </w:pPr>
                <w:r w:rsidRPr="00E72422">
                  <w:rPr>
                    <w:rFonts w:asciiTheme="minorEastAsia" w:eastAsiaTheme="minorEastAsia" w:hAnsiTheme="minorEastAsia" w:hint="eastAsia"/>
                  </w:rPr>
                  <w:t>6,478,6</w:t>
                </w:r>
                <w:r w:rsidRPr="00E72422">
                  <w:rPr>
                    <w:rFonts w:asciiTheme="minorEastAsia" w:eastAsiaTheme="minorEastAsia" w:hAnsiTheme="minorEastAsia"/>
                  </w:rPr>
                  <w:t>79</w:t>
                </w:r>
              </w:p>
            </w:tc>
          </w:tr>
          <w:tr w:rsidR="007E7472" w14:paraId="1E3BB866" w14:textId="77777777" w:rsidTr="007E7472">
            <w:trPr>
              <w:cantSplit/>
              <w:trHeight w:val="361"/>
            </w:trPr>
            <w:tc>
              <w:tcPr>
                <w:tcW w:w="5000" w:type="pct"/>
                <w:gridSpan w:val="11"/>
                <w:tcBorders>
                  <w:top w:val="single" w:sz="4" w:space="0" w:color="auto"/>
                  <w:left w:val="single" w:sz="4" w:space="0" w:color="auto"/>
                  <w:bottom w:val="single" w:sz="4" w:space="0" w:color="auto"/>
                  <w:right w:val="single" w:sz="4" w:space="0" w:color="auto"/>
                </w:tcBorders>
                <w:vAlign w:val="center"/>
              </w:tcPr>
              <w:p w14:paraId="2C4CED63" w14:textId="77777777" w:rsidR="007E7472" w:rsidRPr="00E72422" w:rsidRDefault="00EC1269">
                <w:pPr>
                  <w:jc w:val="both"/>
                  <w:rPr>
                    <w:rFonts w:asciiTheme="minorEastAsia" w:eastAsiaTheme="minorEastAsia" w:hAnsiTheme="minorEastAsia"/>
                  </w:rPr>
                </w:pPr>
                <w:r w:rsidRPr="00E72422">
                  <w:rPr>
                    <w:rFonts w:asciiTheme="minorEastAsia" w:eastAsiaTheme="minorEastAsia" w:hAnsiTheme="minorEastAsia" w:hint="eastAsia"/>
                  </w:rPr>
                  <w:t>其中：</w:t>
                </w:r>
              </w:p>
            </w:tc>
          </w:tr>
          <w:tr w:rsidR="007E7472" w14:paraId="042DDA43" w14:textId="77777777" w:rsidTr="00E260EB">
            <w:trPr>
              <w:cantSplit/>
            </w:trPr>
            <w:tc>
              <w:tcPr>
                <w:tcW w:w="466" w:type="pct"/>
                <w:tcBorders>
                  <w:top w:val="single" w:sz="4" w:space="0" w:color="auto"/>
                  <w:left w:val="single" w:sz="4" w:space="0" w:color="auto"/>
                  <w:bottom w:val="single" w:sz="4" w:space="0" w:color="auto"/>
                  <w:right w:val="single" w:sz="4" w:space="0" w:color="auto"/>
                </w:tcBorders>
                <w:vAlign w:val="center"/>
              </w:tcPr>
              <w:p w14:paraId="741DD4D4" w14:textId="77777777" w:rsidR="007E7472" w:rsidRPr="00E72422" w:rsidRDefault="00EC1269">
                <w:pPr>
                  <w:jc w:val="both"/>
                  <w:rPr>
                    <w:rFonts w:asciiTheme="minorEastAsia" w:eastAsiaTheme="minorEastAsia" w:hAnsiTheme="minorEastAsia"/>
                  </w:rPr>
                </w:pPr>
                <w:r w:rsidRPr="00E72422">
                  <w:rPr>
                    <w:rFonts w:asciiTheme="minorEastAsia" w:eastAsiaTheme="minorEastAsia" w:hAnsiTheme="minorEastAsia" w:hint="eastAsia"/>
                  </w:rPr>
                  <w:t>账龄组合</w:t>
                </w:r>
              </w:p>
            </w:tc>
            <w:tc>
              <w:tcPr>
                <w:tcW w:w="576" w:type="pct"/>
                <w:tcBorders>
                  <w:top w:val="single" w:sz="4" w:space="0" w:color="auto"/>
                  <w:left w:val="nil"/>
                  <w:bottom w:val="single" w:sz="4" w:space="0" w:color="auto"/>
                  <w:right w:val="single" w:sz="4" w:space="0" w:color="auto"/>
                </w:tcBorders>
                <w:shd w:val="clear" w:color="auto" w:fill="auto"/>
                <w:vAlign w:val="center"/>
              </w:tcPr>
              <w:p w14:paraId="377AB690" w14:textId="77777777" w:rsidR="007E7472" w:rsidRPr="00E72422" w:rsidRDefault="00EC1269">
                <w:pPr>
                  <w:jc w:val="right"/>
                  <w:rPr>
                    <w:rFonts w:asciiTheme="minorEastAsia" w:eastAsiaTheme="minorEastAsia" w:hAnsiTheme="minorEastAsia"/>
                  </w:rPr>
                </w:pPr>
                <w:r w:rsidRPr="00E72422">
                  <w:rPr>
                    <w:rFonts w:asciiTheme="minorEastAsia" w:eastAsiaTheme="minorEastAsia" w:hAnsiTheme="minorEastAsia" w:hint="eastAsia"/>
                  </w:rPr>
                  <w:t>5,248,45</w:t>
                </w:r>
                <w:r w:rsidRPr="00E72422">
                  <w:rPr>
                    <w:rFonts w:asciiTheme="minorEastAsia" w:eastAsiaTheme="minorEastAsia" w:hAnsiTheme="minorEastAsia"/>
                  </w:rPr>
                  <w:t>5</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79BA7B5D" w14:textId="77777777" w:rsidR="007E7472" w:rsidRPr="00E72422" w:rsidRDefault="00EC1269">
                <w:pPr>
                  <w:jc w:val="right"/>
                  <w:rPr>
                    <w:rFonts w:asciiTheme="minorEastAsia" w:eastAsiaTheme="minorEastAsia" w:hAnsiTheme="minorEastAsia"/>
                  </w:rPr>
                </w:pPr>
                <w:r w:rsidRPr="00E72422">
                  <w:rPr>
                    <w:rFonts w:asciiTheme="minorEastAsia" w:eastAsiaTheme="minorEastAsia" w:hAnsiTheme="minorEastAsia" w:hint="eastAsia"/>
                  </w:rPr>
                  <w:t>72</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14:paraId="021BA2D0" w14:textId="77777777" w:rsidR="007E7472" w:rsidRPr="00E72422" w:rsidRDefault="00EC1269">
                <w:pPr>
                  <w:jc w:val="right"/>
                  <w:rPr>
                    <w:rFonts w:asciiTheme="minorEastAsia" w:eastAsiaTheme="minorEastAsia" w:hAnsiTheme="minorEastAsia"/>
                  </w:rPr>
                </w:pPr>
                <w:r w:rsidRPr="00E72422">
                  <w:rPr>
                    <w:rFonts w:asciiTheme="minorEastAsia" w:eastAsiaTheme="minorEastAsia" w:hAnsiTheme="minorEastAsia" w:hint="eastAsia"/>
                  </w:rPr>
                  <w:t>96,199</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7941BB22" w14:textId="77777777" w:rsidR="007E7472" w:rsidRPr="00E72422" w:rsidRDefault="00EC1269">
                <w:pPr>
                  <w:jc w:val="right"/>
                  <w:rPr>
                    <w:rFonts w:asciiTheme="minorEastAsia" w:eastAsiaTheme="minorEastAsia" w:hAnsiTheme="minorEastAsia"/>
                  </w:rPr>
                </w:pPr>
                <w:r w:rsidRPr="00E72422">
                  <w:rPr>
                    <w:rFonts w:asciiTheme="minorEastAsia" w:eastAsiaTheme="minorEastAsia" w:hAnsiTheme="minorEastAsia" w:hint="eastAsia"/>
                  </w:rPr>
                  <w:t>2</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14:paraId="69B502AF" w14:textId="77777777" w:rsidR="007E7472" w:rsidRPr="00E72422" w:rsidRDefault="00EC1269">
                <w:pPr>
                  <w:jc w:val="right"/>
                  <w:rPr>
                    <w:rFonts w:asciiTheme="minorEastAsia" w:eastAsiaTheme="minorEastAsia" w:hAnsiTheme="minorEastAsia"/>
                  </w:rPr>
                </w:pPr>
                <w:r w:rsidRPr="00E72422">
                  <w:rPr>
                    <w:rFonts w:asciiTheme="minorEastAsia" w:eastAsiaTheme="minorEastAsia" w:hAnsiTheme="minorEastAsia" w:hint="eastAsia"/>
                  </w:rPr>
                  <w:t>5,152,25</w:t>
                </w:r>
                <w:r w:rsidRPr="00E72422">
                  <w:rPr>
                    <w:rFonts w:asciiTheme="minorEastAsia" w:eastAsiaTheme="minorEastAsia" w:hAnsiTheme="minorEastAsia"/>
                  </w:rPr>
                  <w:t>6</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6034E3BD" w14:textId="77777777" w:rsidR="007E7472" w:rsidRPr="00E72422" w:rsidRDefault="00EC1269">
                <w:pPr>
                  <w:jc w:val="right"/>
                  <w:rPr>
                    <w:rFonts w:asciiTheme="minorEastAsia" w:eastAsiaTheme="minorEastAsia" w:hAnsiTheme="minorEastAsia"/>
                  </w:rPr>
                </w:pPr>
                <w:r w:rsidRPr="00E72422">
                  <w:rPr>
                    <w:rFonts w:asciiTheme="minorEastAsia" w:eastAsiaTheme="minorEastAsia" w:hAnsiTheme="minorEastAsia" w:hint="eastAsia"/>
                  </w:rPr>
                  <w:t>5,592,17</w:t>
                </w:r>
                <w:r w:rsidRPr="00E72422">
                  <w:rPr>
                    <w:rFonts w:asciiTheme="minorEastAsia" w:eastAsiaTheme="minorEastAsia" w:hAnsiTheme="minorEastAsia"/>
                  </w:rPr>
                  <w:t>4</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6811C6A3" w14:textId="77777777" w:rsidR="007E7472" w:rsidRPr="00E72422" w:rsidRDefault="00EC1269">
                <w:pPr>
                  <w:jc w:val="right"/>
                  <w:rPr>
                    <w:rFonts w:asciiTheme="minorEastAsia" w:eastAsiaTheme="minorEastAsia" w:hAnsiTheme="minorEastAsia"/>
                  </w:rPr>
                </w:pPr>
                <w:r w:rsidRPr="00E72422">
                  <w:rPr>
                    <w:rFonts w:asciiTheme="minorEastAsia" w:eastAsiaTheme="minorEastAsia" w:hAnsiTheme="minorEastAsia" w:hint="eastAsia"/>
                  </w:rPr>
                  <w:t>81</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0CFE5A85" w14:textId="77777777" w:rsidR="007E7472" w:rsidRPr="00E72422" w:rsidRDefault="00EC1269">
                <w:pPr>
                  <w:jc w:val="right"/>
                  <w:rPr>
                    <w:rFonts w:asciiTheme="minorEastAsia" w:eastAsiaTheme="minorEastAsia" w:hAnsiTheme="minorEastAsia"/>
                  </w:rPr>
                </w:pPr>
                <w:r w:rsidRPr="00E72422">
                  <w:rPr>
                    <w:rFonts w:asciiTheme="minorEastAsia" w:eastAsiaTheme="minorEastAsia" w:hAnsiTheme="minorEastAsia" w:hint="eastAsia"/>
                  </w:rPr>
                  <w:t>65,9</w:t>
                </w:r>
                <w:r w:rsidRPr="00E72422">
                  <w:rPr>
                    <w:rFonts w:asciiTheme="minorEastAsia" w:eastAsiaTheme="minorEastAsia" w:hAnsiTheme="minorEastAsia"/>
                  </w:rPr>
                  <w:t>21</w:t>
                </w: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14E36B19" w14:textId="77777777" w:rsidR="007E7472" w:rsidRPr="00E72422" w:rsidRDefault="00EC1269">
                <w:pPr>
                  <w:jc w:val="right"/>
                  <w:rPr>
                    <w:rFonts w:asciiTheme="minorEastAsia" w:eastAsiaTheme="minorEastAsia" w:hAnsiTheme="minorEastAsia"/>
                  </w:rPr>
                </w:pPr>
                <w:r w:rsidRPr="00E72422">
                  <w:rPr>
                    <w:rFonts w:asciiTheme="minorEastAsia" w:eastAsiaTheme="minorEastAsia" w:hAnsiTheme="minorEastAsia" w:hint="eastAsia"/>
                  </w:rPr>
                  <w:t>1</w:t>
                </w: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73905C32" w14:textId="77777777" w:rsidR="007E7472" w:rsidRPr="00E72422" w:rsidRDefault="00EC1269">
                <w:pPr>
                  <w:jc w:val="right"/>
                  <w:rPr>
                    <w:rFonts w:asciiTheme="minorEastAsia" w:eastAsiaTheme="minorEastAsia" w:hAnsiTheme="minorEastAsia"/>
                  </w:rPr>
                </w:pPr>
                <w:r w:rsidRPr="00E72422">
                  <w:rPr>
                    <w:rFonts w:asciiTheme="minorEastAsia" w:eastAsiaTheme="minorEastAsia" w:hAnsiTheme="minorEastAsia" w:hint="eastAsia"/>
                  </w:rPr>
                  <w:t>5,526,25</w:t>
                </w:r>
                <w:r w:rsidRPr="00E72422">
                  <w:rPr>
                    <w:rFonts w:asciiTheme="minorEastAsia" w:eastAsiaTheme="minorEastAsia" w:hAnsiTheme="minorEastAsia"/>
                  </w:rPr>
                  <w:t>3</w:t>
                </w:r>
              </w:p>
            </w:tc>
          </w:tr>
          <w:tr w:rsidR="007E7472" w14:paraId="3183555C" w14:textId="77777777" w:rsidTr="00E260EB">
            <w:trPr>
              <w:cantSplit/>
            </w:trPr>
            <w:tc>
              <w:tcPr>
                <w:tcW w:w="466" w:type="pct"/>
                <w:tcBorders>
                  <w:top w:val="single" w:sz="4" w:space="0" w:color="auto"/>
                  <w:left w:val="single" w:sz="4" w:space="0" w:color="auto"/>
                  <w:bottom w:val="single" w:sz="4" w:space="0" w:color="auto"/>
                  <w:right w:val="single" w:sz="4" w:space="0" w:color="auto"/>
                </w:tcBorders>
                <w:vAlign w:val="center"/>
              </w:tcPr>
              <w:p w14:paraId="6E1AE59F" w14:textId="77777777" w:rsidR="007E7472" w:rsidRPr="00E72422" w:rsidRDefault="00EC1269">
                <w:pPr>
                  <w:jc w:val="both"/>
                  <w:rPr>
                    <w:rFonts w:asciiTheme="minorEastAsia" w:eastAsiaTheme="minorEastAsia" w:hAnsiTheme="minorEastAsia"/>
                  </w:rPr>
                </w:pPr>
                <w:r w:rsidRPr="00E72422">
                  <w:rPr>
                    <w:rFonts w:asciiTheme="minorEastAsia" w:eastAsiaTheme="minorEastAsia" w:hAnsiTheme="minorEastAsia" w:hint="eastAsia"/>
                  </w:rPr>
                  <w:t>关联方组合</w:t>
                </w:r>
              </w:p>
            </w:tc>
            <w:tc>
              <w:tcPr>
                <w:tcW w:w="576" w:type="pct"/>
                <w:tcBorders>
                  <w:top w:val="single" w:sz="4" w:space="0" w:color="auto"/>
                  <w:left w:val="nil"/>
                  <w:bottom w:val="single" w:sz="4" w:space="0" w:color="auto"/>
                  <w:right w:val="single" w:sz="4" w:space="0" w:color="auto"/>
                </w:tcBorders>
                <w:shd w:val="clear" w:color="auto" w:fill="auto"/>
                <w:vAlign w:val="center"/>
              </w:tcPr>
              <w:p w14:paraId="18E80830" w14:textId="77777777" w:rsidR="007E7472" w:rsidRPr="00E72422" w:rsidRDefault="00EC1269">
                <w:pPr>
                  <w:jc w:val="right"/>
                  <w:rPr>
                    <w:rFonts w:asciiTheme="minorEastAsia" w:eastAsiaTheme="minorEastAsia" w:hAnsiTheme="minorEastAsia"/>
                  </w:rPr>
                </w:pPr>
                <w:r w:rsidRPr="00E72422">
                  <w:rPr>
                    <w:rFonts w:asciiTheme="minorEastAsia" w:eastAsiaTheme="minorEastAsia" w:hAnsiTheme="minorEastAsia" w:hint="eastAsia"/>
                  </w:rPr>
                  <w:t>1,693,606</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188EE3FE" w14:textId="77777777" w:rsidR="007E7472" w:rsidRPr="00E72422" w:rsidRDefault="00EC1269">
                <w:pPr>
                  <w:jc w:val="right"/>
                  <w:rPr>
                    <w:rFonts w:asciiTheme="minorEastAsia" w:eastAsiaTheme="minorEastAsia" w:hAnsiTheme="minorEastAsia"/>
                  </w:rPr>
                </w:pPr>
                <w:r w:rsidRPr="00E72422">
                  <w:rPr>
                    <w:rFonts w:asciiTheme="minorEastAsia" w:eastAsiaTheme="minorEastAsia" w:hAnsiTheme="minorEastAsia" w:hint="eastAsia"/>
                  </w:rPr>
                  <w:t>23</w:t>
                </w:r>
              </w:p>
            </w:tc>
            <w:tc>
              <w:tcPr>
                <w:tcW w:w="564" w:type="pct"/>
                <w:tcBorders>
                  <w:top w:val="single" w:sz="4" w:space="0" w:color="auto"/>
                  <w:left w:val="single" w:sz="4" w:space="0" w:color="auto"/>
                  <w:bottom w:val="single" w:sz="4" w:space="0" w:color="auto"/>
                  <w:right w:val="single" w:sz="4" w:space="0" w:color="auto"/>
                </w:tcBorders>
                <w:shd w:val="clear" w:color="auto" w:fill="auto"/>
                <w:vAlign w:val="center"/>
              </w:tcPr>
              <w:p w14:paraId="3CCD56D9" w14:textId="77777777" w:rsidR="007E7472" w:rsidRPr="00E72422" w:rsidRDefault="00C8327E">
                <w:pPr>
                  <w:jc w:val="right"/>
                  <w:rPr>
                    <w:rFonts w:asciiTheme="minorEastAsia" w:eastAsiaTheme="minorEastAsia" w:hAnsiTheme="minorEastAsia"/>
                  </w:rPr>
                </w:pP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2C8998ED" w14:textId="77777777" w:rsidR="007E7472" w:rsidRPr="00E72422" w:rsidRDefault="00C8327E">
                <w:pPr>
                  <w:jc w:val="right"/>
                  <w:rPr>
                    <w:rFonts w:asciiTheme="minorEastAsia" w:eastAsiaTheme="minorEastAsia" w:hAnsiTheme="minorEastAsia"/>
                  </w:rPr>
                </w:pP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14:paraId="35BC8AA0" w14:textId="77777777" w:rsidR="007E7472" w:rsidRPr="00E72422" w:rsidRDefault="00EC1269">
                <w:pPr>
                  <w:jc w:val="right"/>
                  <w:rPr>
                    <w:rFonts w:asciiTheme="minorEastAsia" w:eastAsiaTheme="minorEastAsia" w:hAnsiTheme="minorEastAsia"/>
                  </w:rPr>
                </w:pPr>
                <w:r w:rsidRPr="00E72422">
                  <w:rPr>
                    <w:rFonts w:asciiTheme="minorEastAsia" w:eastAsiaTheme="minorEastAsia" w:hAnsiTheme="minorEastAsia" w:hint="eastAsia"/>
                  </w:rPr>
                  <w:t>1,693,606</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14:paraId="1D1EDD64" w14:textId="77777777" w:rsidR="007E7472" w:rsidRPr="00E72422" w:rsidRDefault="00EC1269">
                <w:pPr>
                  <w:jc w:val="right"/>
                  <w:rPr>
                    <w:rFonts w:asciiTheme="minorEastAsia" w:eastAsiaTheme="minorEastAsia" w:hAnsiTheme="minorEastAsia"/>
                  </w:rPr>
                </w:pPr>
                <w:r w:rsidRPr="00E72422">
                  <w:rPr>
                    <w:rFonts w:asciiTheme="minorEastAsia" w:eastAsiaTheme="minorEastAsia" w:hAnsiTheme="minorEastAsia" w:hint="eastAsia"/>
                  </w:rPr>
                  <w:t>952,426</w:t>
                </w: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442000D2" w14:textId="77777777" w:rsidR="007E7472" w:rsidRPr="00E72422" w:rsidRDefault="00EC1269">
                <w:pPr>
                  <w:jc w:val="right"/>
                  <w:rPr>
                    <w:rFonts w:asciiTheme="minorEastAsia" w:eastAsiaTheme="minorEastAsia" w:hAnsiTheme="minorEastAsia"/>
                  </w:rPr>
                </w:pPr>
                <w:r w:rsidRPr="00E72422">
                  <w:rPr>
                    <w:rFonts w:asciiTheme="minorEastAsia" w:eastAsiaTheme="minorEastAsia" w:hAnsiTheme="minorEastAsia" w:hint="eastAsia"/>
                  </w:rPr>
                  <w:t>14</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1ACC5AAC" w14:textId="77777777" w:rsidR="007E7472" w:rsidRPr="00E72422" w:rsidRDefault="00C8327E">
                <w:pPr>
                  <w:jc w:val="right"/>
                  <w:rPr>
                    <w:rFonts w:asciiTheme="minorEastAsia" w:eastAsiaTheme="minorEastAsia" w:hAnsiTheme="minorEastAsia"/>
                  </w:rPr>
                </w:pPr>
              </w:p>
            </w:tc>
            <w:tc>
              <w:tcPr>
                <w:tcW w:w="321" w:type="pct"/>
                <w:tcBorders>
                  <w:top w:val="single" w:sz="4" w:space="0" w:color="auto"/>
                  <w:left w:val="single" w:sz="4" w:space="0" w:color="auto"/>
                  <w:bottom w:val="single" w:sz="4" w:space="0" w:color="auto"/>
                  <w:right w:val="single" w:sz="4" w:space="0" w:color="auto"/>
                </w:tcBorders>
                <w:shd w:val="clear" w:color="auto" w:fill="auto"/>
                <w:vAlign w:val="center"/>
              </w:tcPr>
              <w:p w14:paraId="2CBF3EEB" w14:textId="77777777" w:rsidR="007E7472" w:rsidRPr="00E72422" w:rsidRDefault="00C8327E">
                <w:pPr>
                  <w:jc w:val="right"/>
                  <w:rPr>
                    <w:rFonts w:asciiTheme="minorEastAsia" w:eastAsiaTheme="minorEastAsia" w:hAnsiTheme="minorEastAsia"/>
                  </w:rPr>
                </w:pP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3FDD8D52" w14:textId="77777777" w:rsidR="007E7472" w:rsidRPr="00E72422" w:rsidRDefault="00EC1269">
                <w:pPr>
                  <w:jc w:val="right"/>
                  <w:rPr>
                    <w:rFonts w:asciiTheme="minorEastAsia" w:eastAsiaTheme="minorEastAsia" w:hAnsiTheme="minorEastAsia"/>
                  </w:rPr>
                </w:pPr>
                <w:r w:rsidRPr="00E72422">
                  <w:rPr>
                    <w:rFonts w:asciiTheme="minorEastAsia" w:eastAsiaTheme="minorEastAsia" w:hAnsiTheme="minorEastAsia" w:hint="eastAsia"/>
                  </w:rPr>
                  <w:t>952,426</w:t>
                </w:r>
              </w:p>
            </w:tc>
          </w:tr>
          <w:tr w:rsidR="007E7472" w14:paraId="64058B51" w14:textId="77777777" w:rsidTr="00E260EB">
            <w:trPr>
              <w:cantSplit/>
            </w:trPr>
            <w:tc>
              <w:tcPr>
                <w:tcW w:w="466" w:type="pct"/>
                <w:tcBorders>
                  <w:top w:val="single" w:sz="4" w:space="0" w:color="auto"/>
                  <w:left w:val="single" w:sz="4" w:space="0" w:color="auto"/>
                  <w:bottom w:val="single" w:sz="4" w:space="0" w:color="auto"/>
                  <w:right w:val="single" w:sz="4" w:space="0" w:color="auto"/>
                </w:tcBorders>
                <w:vAlign w:val="center"/>
              </w:tcPr>
              <w:p w14:paraId="166E8AB5" w14:textId="77777777" w:rsidR="007E7472" w:rsidRPr="00E72422" w:rsidRDefault="00EC1269">
                <w:pPr>
                  <w:autoSpaceDE w:val="0"/>
                  <w:autoSpaceDN w:val="0"/>
                  <w:adjustRightInd w:val="0"/>
                  <w:jc w:val="center"/>
                  <w:rPr>
                    <w:rFonts w:asciiTheme="minorEastAsia" w:eastAsiaTheme="minorEastAsia" w:hAnsiTheme="minorEastAsia"/>
                  </w:rPr>
                </w:pPr>
                <w:r w:rsidRPr="00E72422">
                  <w:rPr>
                    <w:rFonts w:asciiTheme="minorEastAsia" w:eastAsiaTheme="minorEastAsia" w:hAnsiTheme="minorEastAsia" w:hint="eastAsia"/>
                  </w:rPr>
                  <w:t>合计</w:t>
                </w:r>
              </w:p>
            </w:tc>
            <w:tc>
              <w:tcPr>
                <w:tcW w:w="576" w:type="pct"/>
                <w:tcBorders>
                  <w:top w:val="single" w:sz="4" w:space="0" w:color="auto"/>
                  <w:left w:val="single" w:sz="4" w:space="0" w:color="auto"/>
                  <w:bottom w:val="single" w:sz="4" w:space="0" w:color="auto"/>
                  <w:right w:val="single" w:sz="4" w:space="0" w:color="auto"/>
                </w:tcBorders>
                <w:vAlign w:val="center"/>
              </w:tcPr>
              <w:p w14:paraId="29CC04E4" w14:textId="77777777" w:rsidR="007E7472" w:rsidRPr="00E72422" w:rsidRDefault="00EC1269">
                <w:pPr>
                  <w:jc w:val="right"/>
                  <w:rPr>
                    <w:rFonts w:asciiTheme="minorEastAsia" w:eastAsiaTheme="minorEastAsia" w:hAnsiTheme="minorEastAsia"/>
                  </w:rPr>
                </w:pPr>
                <w:r w:rsidRPr="00E72422">
                  <w:rPr>
                    <w:rFonts w:asciiTheme="minorEastAsia" w:eastAsiaTheme="minorEastAsia" w:hAnsiTheme="minorEastAsia"/>
                  </w:rPr>
                  <w:t>7,274,076</w:t>
                </w:r>
              </w:p>
            </w:tc>
            <w:tc>
              <w:tcPr>
                <w:tcW w:w="240" w:type="pct"/>
                <w:tcBorders>
                  <w:top w:val="single" w:sz="4" w:space="0" w:color="auto"/>
                  <w:left w:val="single" w:sz="4" w:space="0" w:color="auto"/>
                  <w:bottom w:val="single" w:sz="4" w:space="0" w:color="auto"/>
                  <w:right w:val="single" w:sz="4" w:space="0" w:color="auto"/>
                </w:tcBorders>
                <w:vAlign w:val="center"/>
              </w:tcPr>
              <w:p w14:paraId="12E46F14" w14:textId="77777777" w:rsidR="007E7472" w:rsidRPr="00E72422" w:rsidRDefault="00EC1269">
                <w:pPr>
                  <w:jc w:val="center"/>
                  <w:rPr>
                    <w:rFonts w:asciiTheme="minorEastAsia" w:eastAsiaTheme="minorEastAsia" w:hAnsiTheme="minorEastAsia"/>
                  </w:rPr>
                </w:pPr>
                <w:r w:rsidRPr="00E72422">
                  <w:rPr>
                    <w:rFonts w:asciiTheme="minorEastAsia" w:eastAsiaTheme="minorEastAsia" w:hAnsiTheme="minorEastAsia" w:hint="eastAsia"/>
                  </w:rPr>
                  <w:t>/</w:t>
                </w:r>
              </w:p>
            </w:tc>
            <w:tc>
              <w:tcPr>
                <w:tcW w:w="564" w:type="pct"/>
                <w:tcBorders>
                  <w:top w:val="single" w:sz="4" w:space="0" w:color="auto"/>
                  <w:left w:val="single" w:sz="4" w:space="0" w:color="auto"/>
                  <w:bottom w:val="single" w:sz="4" w:space="0" w:color="auto"/>
                  <w:right w:val="single" w:sz="4" w:space="0" w:color="auto"/>
                </w:tcBorders>
                <w:vAlign w:val="center"/>
              </w:tcPr>
              <w:p w14:paraId="60861A58" w14:textId="77777777" w:rsidR="007E7472" w:rsidRPr="00E72422" w:rsidRDefault="00EC1269">
                <w:pPr>
                  <w:jc w:val="right"/>
                  <w:rPr>
                    <w:rFonts w:asciiTheme="minorEastAsia" w:eastAsiaTheme="minorEastAsia" w:hAnsiTheme="minorEastAsia"/>
                  </w:rPr>
                </w:pPr>
                <w:r w:rsidRPr="00E72422">
                  <w:rPr>
                    <w:rFonts w:asciiTheme="minorEastAsia" w:eastAsiaTheme="minorEastAsia" w:hAnsiTheme="minorEastAsia"/>
                  </w:rPr>
                  <w:t>349,531</w:t>
                </w:r>
              </w:p>
            </w:tc>
            <w:tc>
              <w:tcPr>
                <w:tcW w:w="321" w:type="pct"/>
                <w:tcBorders>
                  <w:top w:val="single" w:sz="4" w:space="0" w:color="auto"/>
                  <w:left w:val="single" w:sz="4" w:space="0" w:color="auto"/>
                  <w:bottom w:val="single" w:sz="4" w:space="0" w:color="auto"/>
                  <w:right w:val="single" w:sz="4" w:space="0" w:color="auto"/>
                </w:tcBorders>
                <w:vAlign w:val="center"/>
              </w:tcPr>
              <w:p w14:paraId="13AD9822" w14:textId="77777777" w:rsidR="007E7472" w:rsidRPr="00E72422" w:rsidRDefault="00EC1269">
                <w:pPr>
                  <w:jc w:val="center"/>
                  <w:rPr>
                    <w:rFonts w:asciiTheme="minorEastAsia" w:eastAsiaTheme="minorEastAsia" w:hAnsiTheme="minorEastAsia"/>
                  </w:rPr>
                </w:pPr>
                <w:r w:rsidRPr="00E72422">
                  <w:rPr>
                    <w:rFonts w:asciiTheme="minorEastAsia" w:eastAsiaTheme="minorEastAsia" w:hAnsiTheme="minorEastAsia" w:hint="eastAsia"/>
                  </w:rPr>
                  <w:t>/</w:t>
                </w:r>
              </w:p>
            </w:tc>
            <w:tc>
              <w:tcPr>
                <w:tcW w:w="642" w:type="pct"/>
                <w:tcBorders>
                  <w:top w:val="single" w:sz="4" w:space="0" w:color="auto"/>
                  <w:left w:val="single" w:sz="4" w:space="0" w:color="auto"/>
                  <w:bottom w:val="single" w:sz="4" w:space="0" w:color="auto"/>
                  <w:right w:val="single" w:sz="4" w:space="0" w:color="auto"/>
                </w:tcBorders>
                <w:vAlign w:val="center"/>
              </w:tcPr>
              <w:p w14:paraId="05B214FD" w14:textId="77777777" w:rsidR="007E7472" w:rsidRPr="00E72422" w:rsidRDefault="00EC1269">
                <w:pPr>
                  <w:jc w:val="right"/>
                  <w:rPr>
                    <w:rFonts w:asciiTheme="minorEastAsia" w:eastAsiaTheme="minorEastAsia" w:hAnsiTheme="minorEastAsia"/>
                  </w:rPr>
                </w:pPr>
                <w:r w:rsidRPr="00E72422">
                  <w:rPr>
                    <w:rFonts w:asciiTheme="minorEastAsia" w:eastAsiaTheme="minorEastAsia" w:hAnsiTheme="minorEastAsia"/>
                  </w:rPr>
                  <w:t>6,924,545</w:t>
                </w:r>
              </w:p>
            </w:tc>
            <w:tc>
              <w:tcPr>
                <w:tcW w:w="644" w:type="pct"/>
                <w:tcBorders>
                  <w:top w:val="single" w:sz="4" w:space="0" w:color="auto"/>
                  <w:left w:val="single" w:sz="4" w:space="0" w:color="auto"/>
                  <w:bottom w:val="single" w:sz="4" w:space="0" w:color="auto"/>
                  <w:right w:val="single" w:sz="4" w:space="0" w:color="auto"/>
                </w:tcBorders>
                <w:vAlign w:val="center"/>
              </w:tcPr>
              <w:p w14:paraId="1BDBF013" w14:textId="77777777" w:rsidR="007E7472" w:rsidRPr="00E72422" w:rsidRDefault="00EC1269">
                <w:pPr>
                  <w:jc w:val="right"/>
                  <w:rPr>
                    <w:rFonts w:asciiTheme="minorEastAsia" w:eastAsiaTheme="minorEastAsia" w:hAnsiTheme="minorEastAsia"/>
                  </w:rPr>
                </w:pPr>
                <w:r w:rsidRPr="00E72422">
                  <w:rPr>
                    <w:rFonts w:asciiTheme="minorEastAsia" w:eastAsiaTheme="minorEastAsia" w:hAnsiTheme="minorEastAsia"/>
                  </w:rPr>
                  <w:t>6,897,453</w:t>
                </w:r>
              </w:p>
            </w:tc>
            <w:tc>
              <w:tcPr>
                <w:tcW w:w="240" w:type="pct"/>
                <w:tcBorders>
                  <w:top w:val="single" w:sz="4" w:space="0" w:color="auto"/>
                  <w:left w:val="single" w:sz="4" w:space="0" w:color="auto"/>
                  <w:bottom w:val="single" w:sz="4" w:space="0" w:color="auto"/>
                  <w:right w:val="single" w:sz="4" w:space="0" w:color="auto"/>
                </w:tcBorders>
                <w:vAlign w:val="center"/>
              </w:tcPr>
              <w:p w14:paraId="5F95CB4A" w14:textId="77777777" w:rsidR="007E7472" w:rsidRPr="00E72422" w:rsidRDefault="00EC1269">
                <w:pPr>
                  <w:jc w:val="center"/>
                  <w:rPr>
                    <w:rFonts w:asciiTheme="minorEastAsia" w:eastAsiaTheme="minorEastAsia" w:hAnsiTheme="minorEastAsia"/>
                  </w:rPr>
                </w:pPr>
                <w:r w:rsidRPr="00E72422">
                  <w:rPr>
                    <w:rFonts w:asciiTheme="minorEastAsia" w:eastAsiaTheme="minorEastAsia" w:hAnsiTheme="minorEastAsia" w:hint="eastAsia"/>
                  </w:rPr>
                  <w:t>/</w:t>
                </w:r>
              </w:p>
            </w:tc>
            <w:tc>
              <w:tcPr>
                <w:tcW w:w="402" w:type="pct"/>
                <w:tcBorders>
                  <w:top w:val="single" w:sz="4" w:space="0" w:color="auto"/>
                  <w:left w:val="single" w:sz="4" w:space="0" w:color="auto"/>
                  <w:bottom w:val="single" w:sz="4" w:space="0" w:color="auto"/>
                  <w:right w:val="single" w:sz="4" w:space="0" w:color="auto"/>
                </w:tcBorders>
                <w:vAlign w:val="center"/>
              </w:tcPr>
              <w:p w14:paraId="10A4AD2D" w14:textId="77777777" w:rsidR="007E7472" w:rsidRPr="00E72422" w:rsidRDefault="00EC1269">
                <w:pPr>
                  <w:jc w:val="right"/>
                  <w:rPr>
                    <w:rFonts w:asciiTheme="minorEastAsia" w:eastAsiaTheme="minorEastAsia" w:hAnsiTheme="minorEastAsia"/>
                  </w:rPr>
                </w:pPr>
                <w:r w:rsidRPr="00E72422">
                  <w:rPr>
                    <w:rFonts w:asciiTheme="minorEastAsia" w:eastAsiaTheme="minorEastAsia" w:hAnsiTheme="minorEastAsia"/>
                  </w:rPr>
                  <w:t>339,187</w:t>
                </w:r>
              </w:p>
            </w:tc>
            <w:tc>
              <w:tcPr>
                <w:tcW w:w="321" w:type="pct"/>
                <w:tcBorders>
                  <w:top w:val="single" w:sz="4" w:space="0" w:color="auto"/>
                  <w:left w:val="single" w:sz="4" w:space="0" w:color="auto"/>
                  <w:bottom w:val="single" w:sz="4" w:space="0" w:color="auto"/>
                  <w:right w:val="single" w:sz="4" w:space="0" w:color="auto"/>
                </w:tcBorders>
                <w:vAlign w:val="center"/>
              </w:tcPr>
              <w:p w14:paraId="18946247" w14:textId="77777777" w:rsidR="007E7472" w:rsidRPr="00E72422" w:rsidRDefault="00EC1269">
                <w:pPr>
                  <w:jc w:val="center"/>
                  <w:rPr>
                    <w:rFonts w:asciiTheme="minorEastAsia" w:eastAsiaTheme="minorEastAsia" w:hAnsiTheme="minorEastAsia"/>
                  </w:rPr>
                </w:pPr>
                <w:r w:rsidRPr="00E72422">
                  <w:rPr>
                    <w:rFonts w:asciiTheme="minorEastAsia" w:eastAsiaTheme="minorEastAsia" w:hAnsiTheme="minorEastAsia" w:hint="eastAsia"/>
                  </w:rPr>
                  <w:t>/</w:t>
                </w:r>
              </w:p>
            </w:tc>
            <w:tc>
              <w:tcPr>
                <w:tcW w:w="585" w:type="pct"/>
                <w:tcBorders>
                  <w:top w:val="single" w:sz="4" w:space="0" w:color="auto"/>
                  <w:left w:val="single" w:sz="4" w:space="0" w:color="auto"/>
                  <w:bottom w:val="single" w:sz="4" w:space="0" w:color="auto"/>
                  <w:right w:val="single" w:sz="4" w:space="0" w:color="auto"/>
                </w:tcBorders>
                <w:vAlign w:val="center"/>
              </w:tcPr>
              <w:p w14:paraId="0F8B09D9" w14:textId="77777777" w:rsidR="007E7472" w:rsidRPr="00E72422" w:rsidRDefault="00EC1269">
                <w:pPr>
                  <w:jc w:val="right"/>
                  <w:rPr>
                    <w:rFonts w:asciiTheme="minorEastAsia" w:eastAsiaTheme="minorEastAsia" w:hAnsiTheme="minorEastAsia"/>
                  </w:rPr>
                </w:pPr>
                <w:r w:rsidRPr="00E72422">
                  <w:rPr>
                    <w:rFonts w:asciiTheme="minorEastAsia" w:eastAsiaTheme="minorEastAsia" w:hAnsiTheme="minorEastAsia"/>
                  </w:rPr>
                  <w:t>6,558,266</w:t>
                </w:r>
              </w:p>
            </w:tc>
          </w:tr>
        </w:tbl>
        <w:p w14:paraId="43BE9930" w14:textId="77777777" w:rsidR="007E7472" w:rsidRDefault="00C8327E">
          <w:pPr>
            <w:rPr>
              <w:rFonts w:asciiTheme="minorEastAsia" w:eastAsiaTheme="minorEastAsia" w:hAnsiTheme="minorEastAsia"/>
            </w:rPr>
          </w:pPr>
        </w:p>
      </w:sdtContent>
    </w:sdt>
    <w:bookmarkEnd w:id="167" w:displacedByCustomXml="next"/>
    <w:bookmarkStart w:id="168" w:name="_Hlk10467187" w:displacedByCustomXml="next"/>
    <w:bookmarkStart w:id="169" w:name="_Hlk10467200" w:displacedByCustomXml="next"/>
    <w:sdt>
      <w:sdtPr>
        <w:rPr>
          <w:rFonts w:asciiTheme="minorEastAsia" w:eastAsiaTheme="minorEastAsia" w:hAnsiTheme="minorEastAsia" w:hint="eastAsia"/>
        </w:rPr>
        <w:alias w:val="模块:按单项计提坏账准备："/>
        <w:tag w:val="_SEC_498beef22f03474fa398c526ee8a934d"/>
        <w:id w:val="1465617305"/>
        <w:lock w:val="sdtLocked"/>
        <w:placeholder>
          <w:docPart w:val="GBC22222222222222222222222222222"/>
        </w:placeholder>
      </w:sdtPr>
      <w:sdtEndPr>
        <w:rPr>
          <w:rFonts w:ascii="Times New Roman" w:eastAsia="宋体" w:hAnsi="Times New Roman" w:hint="default"/>
          <w:sz w:val="20"/>
          <w:szCs w:val="20"/>
        </w:rPr>
      </w:sdtEndPr>
      <w:sdtContent>
        <w:p w14:paraId="02079C76" w14:textId="77777777" w:rsidR="007E7472" w:rsidRDefault="00EC1269">
          <w:pPr>
            <w:rPr>
              <w:rFonts w:asciiTheme="minorEastAsia" w:eastAsiaTheme="minorEastAsia" w:hAnsiTheme="minorEastAsia"/>
            </w:rPr>
          </w:pPr>
          <w:r>
            <w:rPr>
              <w:rFonts w:asciiTheme="minorEastAsia" w:eastAsiaTheme="minorEastAsia" w:hAnsiTheme="minorEastAsia" w:hint="eastAsia"/>
            </w:rPr>
            <w:t>按单项计提坏账准备：</w:t>
          </w:r>
          <w:bookmarkEnd w:id="168"/>
        </w:p>
        <w:sdt>
          <w:sdtPr>
            <w:rPr>
              <w:rFonts w:asciiTheme="minorEastAsia" w:eastAsiaTheme="minorEastAsia" w:hAnsiTheme="minorEastAsia" w:hint="eastAsia"/>
            </w:rPr>
            <w:alias w:val="是否适用：按单项计提坏账准备的应收账款详细情况[双击切换]"/>
            <w:tag w:val="_GBC_e07c01cfb2fe4b05a2bb603b7f914946"/>
            <w:id w:val="786163030"/>
            <w:lock w:val="sdtLocked"/>
            <w:placeholder>
              <w:docPart w:val="GBC22222222222222222222222222222"/>
            </w:placeholder>
          </w:sdtPr>
          <w:sdtEndPr/>
          <w:sdtContent>
            <w:p w14:paraId="7909FC0F" w14:textId="77777777" w:rsidR="007E7472" w:rsidRDefault="00EC1269">
              <w:pPr>
                <w:rPr>
                  <w:rFonts w:asciiTheme="minorEastAsia" w:eastAsiaTheme="minorEastAsia" w:hAnsiTheme="minorEastAsia"/>
                </w:rPr>
              </w:pP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0F17B734" w14:textId="4245E825" w:rsidR="007E7472" w:rsidRDefault="00EC1269">
          <w:pPr>
            <w:autoSpaceDE w:val="0"/>
            <w:autoSpaceDN w:val="0"/>
            <w:adjustRightInd w:val="0"/>
            <w:ind w:left="5880" w:right="105"/>
            <w:jc w:val="right"/>
          </w:pPr>
          <w:r>
            <w:rPr>
              <w:rFonts w:hint="eastAsia"/>
            </w:rPr>
            <w:t>单位：</w:t>
          </w:r>
          <w:sdt>
            <w:sdtPr>
              <w:rPr>
                <w:rFonts w:hint="eastAsia"/>
              </w:rPr>
              <w:alias w:val="单位：按单项计提坏账准备的应收账款详细情况"/>
              <w:tag w:val="_GBC_5737c621553040588c35a299b21bda52"/>
              <w:id w:val="20519528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按单项计提坏账准备的应收账款详细情况"/>
              <w:tag w:val="_GBC_b6cb9fb35a4a4033912355f7cb997afb"/>
              <w:id w:val="-16599982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1657"/>
            <w:gridCol w:w="1659"/>
            <w:gridCol w:w="1657"/>
            <w:gridCol w:w="1803"/>
          </w:tblGrid>
          <w:tr w:rsidR="007E7472" w14:paraId="0FB98CD6" w14:textId="77777777">
            <w:sdt>
              <w:sdtPr>
                <w:tag w:val="_PLD_886503527dee421ca2c31b493a41ab31"/>
                <w:id w:val="2094048278"/>
                <w:lock w:val="sdtLocked"/>
              </w:sdtPr>
              <w:sdtEndPr/>
              <w:sdtContent>
                <w:tc>
                  <w:tcPr>
                    <w:tcW w:w="1160" w:type="pct"/>
                    <w:vMerge w:val="restart"/>
                    <w:vAlign w:val="center"/>
                  </w:tcPr>
                  <w:p w14:paraId="1BDBF1BA" w14:textId="77777777" w:rsidR="007E7472" w:rsidRDefault="00EC1269">
                    <w:pPr>
                      <w:jc w:val="center"/>
                    </w:pPr>
                    <w:r>
                      <w:rPr>
                        <w:rFonts w:hint="eastAsia"/>
                      </w:rPr>
                      <w:t>名称</w:t>
                    </w:r>
                  </w:p>
                </w:tc>
              </w:sdtContent>
            </w:sdt>
            <w:sdt>
              <w:sdtPr>
                <w:tag w:val="_PLD_e08f6e696f224538a07af6226cb97b93"/>
                <w:id w:val="890847312"/>
                <w:lock w:val="sdtLocked"/>
              </w:sdtPr>
              <w:sdtEndPr/>
              <w:sdtContent>
                <w:tc>
                  <w:tcPr>
                    <w:tcW w:w="3840" w:type="pct"/>
                    <w:gridSpan w:val="4"/>
                    <w:vAlign w:val="center"/>
                  </w:tcPr>
                  <w:p w14:paraId="5FD52A03" w14:textId="77777777" w:rsidR="007E7472" w:rsidRDefault="00EC1269">
                    <w:pPr>
                      <w:jc w:val="center"/>
                    </w:pPr>
                    <w:r>
                      <w:rPr>
                        <w:rFonts w:hint="eastAsia"/>
                      </w:rPr>
                      <w:t>期末余额</w:t>
                    </w:r>
                  </w:p>
                </w:tc>
              </w:sdtContent>
            </w:sdt>
          </w:tr>
          <w:tr w:rsidR="007E7472" w14:paraId="6C745929" w14:textId="77777777">
            <w:tc>
              <w:tcPr>
                <w:tcW w:w="1160" w:type="pct"/>
                <w:vMerge/>
              </w:tcPr>
              <w:p w14:paraId="5C5C95C1" w14:textId="77777777" w:rsidR="007E7472" w:rsidRDefault="00C8327E">
                <w:pPr>
                  <w:jc w:val="center"/>
                </w:pPr>
              </w:p>
            </w:tc>
            <w:sdt>
              <w:sdtPr>
                <w:tag w:val="_PLD_464a1be46d05424da4883a8442e8eecd"/>
                <w:id w:val="-1851097761"/>
                <w:lock w:val="sdtLocked"/>
              </w:sdtPr>
              <w:sdtEndPr/>
              <w:sdtContent>
                <w:tc>
                  <w:tcPr>
                    <w:tcW w:w="939" w:type="pct"/>
                    <w:vAlign w:val="center"/>
                  </w:tcPr>
                  <w:p w14:paraId="66E9E6CD" w14:textId="77777777" w:rsidR="007E7472" w:rsidRDefault="00EC1269">
                    <w:pPr>
                      <w:jc w:val="center"/>
                    </w:pPr>
                    <w:r>
                      <w:rPr>
                        <w:rFonts w:hint="eastAsia"/>
                      </w:rPr>
                      <w:t>账面余额</w:t>
                    </w:r>
                  </w:p>
                </w:tc>
              </w:sdtContent>
            </w:sdt>
            <w:sdt>
              <w:sdtPr>
                <w:tag w:val="_PLD_3d0d70541d9a48beb1c29f819592f107"/>
                <w:id w:val="-4529032"/>
                <w:lock w:val="sdtLocked"/>
              </w:sdtPr>
              <w:sdtEndPr/>
              <w:sdtContent>
                <w:tc>
                  <w:tcPr>
                    <w:tcW w:w="940" w:type="pct"/>
                    <w:vAlign w:val="center"/>
                  </w:tcPr>
                  <w:p w14:paraId="36483092" w14:textId="77777777" w:rsidR="007E7472" w:rsidRDefault="00EC1269">
                    <w:pPr>
                      <w:jc w:val="center"/>
                    </w:pPr>
                    <w:r>
                      <w:rPr>
                        <w:rFonts w:hint="eastAsia"/>
                      </w:rPr>
                      <w:t>坏账准备</w:t>
                    </w:r>
                  </w:p>
                </w:tc>
              </w:sdtContent>
            </w:sdt>
            <w:sdt>
              <w:sdtPr>
                <w:tag w:val="_PLD_76393245336e41aa891aec8c50271105"/>
                <w:id w:val="1175767188"/>
                <w:lock w:val="sdtLocked"/>
              </w:sdtPr>
              <w:sdtEndPr/>
              <w:sdtContent>
                <w:tc>
                  <w:tcPr>
                    <w:tcW w:w="939" w:type="pct"/>
                    <w:vAlign w:val="center"/>
                  </w:tcPr>
                  <w:p w14:paraId="0A7C32AD" w14:textId="77777777" w:rsidR="007E7472" w:rsidRDefault="00EC1269">
                    <w:pPr>
                      <w:jc w:val="center"/>
                    </w:pPr>
                    <w:r>
                      <w:t>计提比例</w:t>
                    </w:r>
                    <w:r>
                      <w:rPr>
                        <w:rFonts w:hint="eastAsia"/>
                      </w:rPr>
                      <w:t>（%）</w:t>
                    </w:r>
                  </w:p>
                </w:tc>
              </w:sdtContent>
            </w:sdt>
            <w:sdt>
              <w:sdtPr>
                <w:tag w:val="_PLD_950e8014be3245d1a45783884c32208d"/>
                <w:id w:val="969635484"/>
                <w:lock w:val="sdtLocked"/>
              </w:sdtPr>
              <w:sdtEndPr/>
              <w:sdtContent>
                <w:tc>
                  <w:tcPr>
                    <w:tcW w:w="1022" w:type="pct"/>
                    <w:vAlign w:val="center"/>
                  </w:tcPr>
                  <w:p w14:paraId="59B0BDF6" w14:textId="77777777" w:rsidR="007E7472" w:rsidRDefault="00EC1269">
                    <w:pPr>
                      <w:jc w:val="center"/>
                    </w:pPr>
                    <w:r>
                      <w:rPr>
                        <w:rFonts w:hint="eastAsia"/>
                      </w:rPr>
                      <w:t>计提理由</w:t>
                    </w:r>
                  </w:p>
                </w:tc>
              </w:sdtContent>
            </w:sdt>
          </w:tr>
          <w:sdt>
            <w:sdtPr>
              <w:alias w:val="按单项计提坏账准备的应收账款详细名称明细"/>
              <w:tag w:val="_TUP_669c106056fb4de3b5f357a932630dad"/>
              <w:id w:val="-1679573200"/>
              <w:lock w:val="sdtLocked"/>
            </w:sdtPr>
            <w:sdtEndPr/>
            <w:sdtContent>
              <w:tr w:rsidR="007E7472" w14:paraId="5748CEC6" w14:textId="77777777">
                <w:tc>
                  <w:tcPr>
                    <w:tcW w:w="1160" w:type="pct"/>
                  </w:tcPr>
                  <w:p w14:paraId="468D6F15" w14:textId="2DDA9CAF" w:rsidR="007E7472" w:rsidRDefault="00162493">
                    <w:r>
                      <w:rPr>
                        <w:rFonts w:hint="eastAsia"/>
                      </w:rPr>
                      <w:t>公司1</w:t>
                    </w:r>
                  </w:p>
                </w:tc>
                <w:tc>
                  <w:tcPr>
                    <w:tcW w:w="939" w:type="pct"/>
                    <w:vAlign w:val="center"/>
                  </w:tcPr>
                  <w:p w14:paraId="3AEB55C4" w14:textId="77777777" w:rsidR="007E7472" w:rsidRDefault="00EC1269">
                    <w:pPr>
                      <w:jc w:val="right"/>
                    </w:pPr>
                    <w:r>
                      <w:t>262,282</w:t>
                    </w:r>
                  </w:p>
                </w:tc>
                <w:tc>
                  <w:tcPr>
                    <w:tcW w:w="940" w:type="pct"/>
                    <w:vAlign w:val="center"/>
                  </w:tcPr>
                  <w:p w14:paraId="71461193" w14:textId="77777777" w:rsidR="007E7472" w:rsidRDefault="00EC1269">
                    <w:pPr>
                      <w:jc w:val="right"/>
                    </w:pPr>
                    <w:r>
                      <w:t>183,599</w:t>
                    </w:r>
                  </w:p>
                </w:tc>
                <w:tc>
                  <w:tcPr>
                    <w:tcW w:w="939" w:type="pct"/>
                    <w:vAlign w:val="center"/>
                  </w:tcPr>
                  <w:p w14:paraId="281D1849" w14:textId="77777777" w:rsidR="007E7472" w:rsidRDefault="00EC1269">
                    <w:pPr>
                      <w:jc w:val="right"/>
                    </w:pPr>
                    <w:r>
                      <w:t>70</w:t>
                    </w:r>
                  </w:p>
                </w:tc>
                <w:tc>
                  <w:tcPr>
                    <w:tcW w:w="1022" w:type="pct"/>
                    <w:vAlign w:val="center"/>
                  </w:tcPr>
                  <w:p w14:paraId="7F3960F0" w14:textId="77777777" w:rsidR="007E7472" w:rsidRDefault="00EC1269">
                    <w:pPr>
                      <w:jc w:val="center"/>
                    </w:pPr>
                    <w:r>
                      <w:t>预期不能收回</w:t>
                    </w:r>
                  </w:p>
                </w:tc>
              </w:tr>
            </w:sdtContent>
          </w:sdt>
          <w:sdt>
            <w:sdtPr>
              <w:alias w:val="按单项计提坏账准备的应收账款详细名称明细"/>
              <w:tag w:val="_TUP_669c106056fb4de3b5f357a932630dad"/>
              <w:id w:val="179236668"/>
              <w:lock w:val="sdtLocked"/>
            </w:sdtPr>
            <w:sdtEndPr/>
            <w:sdtContent>
              <w:tr w:rsidR="007E7472" w14:paraId="2D92FF40" w14:textId="77777777">
                <w:tc>
                  <w:tcPr>
                    <w:tcW w:w="1160" w:type="pct"/>
                  </w:tcPr>
                  <w:p w14:paraId="1F3157E0" w14:textId="08351E8A" w:rsidR="007E7472" w:rsidRDefault="00162493">
                    <w:r>
                      <w:rPr>
                        <w:rFonts w:hint="eastAsia"/>
                      </w:rPr>
                      <w:t>公司2</w:t>
                    </w:r>
                  </w:p>
                </w:tc>
                <w:tc>
                  <w:tcPr>
                    <w:tcW w:w="939" w:type="pct"/>
                    <w:vAlign w:val="center"/>
                  </w:tcPr>
                  <w:p w14:paraId="4304ECF7" w14:textId="77777777" w:rsidR="007E7472" w:rsidRDefault="00EC1269">
                    <w:pPr>
                      <w:jc w:val="right"/>
                    </w:pPr>
                    <w:r>
                      <w:t>40,975</w:t>
                    </w:r>
                  </w:p>
                </w:tc>
                <w:tc>
                  <w:tcPr>
                    <w:tcW w:w="940" w:type="pct"/>
                    <w:vAlign w:val="center"/>
                  </w:tcPr>
                  <w:p w14:paraId="2F03893D" w14:textId="77777777" w:rsidR="007E7472" w:rsidRDefault="00EC1269">
                    <w:pPr>
                      <w:jc w:val="right"/>
                    </w:pPr>
                    <w:r>
                      <w:t>40,975</w:t>
                    </w:r>
                  </w:p>
                </w:tc>
                <w:tc>
                  <w:tcPr>
                    <w:tcW w:w="939" w:type="pct"/>
                    <w:vAlign w:val="center"/>
                  </w:tcPr>
                  <w:p w14:paraId="35B4A3E8" w14:textId="77777777" w:rsidR="007E7472" w:rsidRDefault="00EC1269">
                    <w:pPr>
                      <w:jc w:val="right"/>
                    </w:pPr>
                    <w:r>
                      <w:t>100</w:t>
                    </w:r>
                  </w:p>
                </w:tc>
                <w:tc>
                  <w:tcPr>
                    <w:tcW w:w="1022" w:type="pct"/>
                    <w:vAlign w:val="center"/>
                  </w:tcPr>
                  <w:p w14:paraId="6E00BE57" w14:textId="77777777" w:rsidR="007E7472" w:rsidRDefault="00EC1269">
                    <w:pPr>
                      <w:jc w:val="center"/>
                    </w:pPr>
                    <w:r>
                      <w:t>预期不能收回</w:t>
                    </w:r>
                  </w:p>
                </w:tc>
              </w:tr>
            </w:sdtContent>
          </w:sdt>
          <w:sdt>
            <w:sdtPr>
              <w:rPr>
                <w:rFonts w:ascii="Times New Roman" w:hAnsi="Times New Roman" w:cs="Times New Roman"/>
                <w:sz w:val="20"/>
                <w:szCs w:val="20"/>
              </w:rPr>
              <w:alias w:val="按单项计提坏账准备的应收账款详细名称明细"/>
              <w:tag w:val="_TUP_669c106056fb4de3b5f357a932630dad"/>
              <w:id w:val="-1255126543"/>
              <w:lock w:val="sdtLocked"/>
            </w:sdtPr>
            <w:sdtEndPr/>
            <w:sdtContent>
              <w:tr w:rsidR="007E7472" w14:paraId="1D0E078C" w14:textId="77777777">
                <w:tc>
                  <w:tcPr>
                    <w:tcW w:w="1160" w:type="pct"/>
                  </w:tcPr>
                  <w:p w14:paraId="7B570699" w14:textId="13377579" w:rsidR="007E7472" w:rsidRDefault="00162493">
                    <w:pPr>
                      <w:rPr>
                        <w:bCs/>
                      </w:rPr>
                    </w:pPr>
                    <w:r w:rsidRPr="005B7D41">
                      <w:rPr>
                        <w:rFonts w:hint="eastAsia"/>
                      </w:rPr>
                      <w:t>公司</w:t>
                    </w:r>
                    <w:r>
                      <w:rPr>
                        <w:rFonts w:hint="eastAsia"/>
                      </w:rPr>
                      <w:t>3</w:t>
                    </w:r>
                  </w:p>
                </w:tc>
                <w:tc>
                  <w:tcPr>
                    <w:tcW w:w="939" w:type="pct"/>
                    <w:vAlign w:val="center"/>
                  </w:tcPr>
                  <w:p w14:paraId="54A51F4E" w14:textId="77777777" w:rsidR="007E7472" w:rsidRDefault="00EC1269">
                    <w:pPr>
                      <w:jc w:val="right"/>
                    </w:pPr>
                    <w:r>
                      <w:t>19,531</w:t>
                    </w:r>
                  </w:p>
                </w:tc>
                <w:tc>
                  <w:tcPr>
                    <w:tcW w:w="940" w:type="pct"/>
                    <w:vAlign w:val="center"/>
                  </w:tcPr>
                  <w:p w14:paraId="5DAED9C3" w14:textId="77777777" w:rsidR="007E7472" w:rsidRDefault="00EC1269">
                    <w:pPr>
                      <w:jc w:val="right"/>
                    </w:pPr>
                    <w:r>
                      <w:t>19,531</w:t>
                    </w:r>
                  </w:p>
                </w:tc>
                <w:tc>
                  <w:tcPr>
                    <w:tcW w:w="939" w:type="pct"/>
                    <w:vAlign w:val="center"/>
                  </w:tcPr>
                  <w:p w14:paraId="17E4F34C" w14:textId="77777777" w:rsidR="007E7472" w:rsidRDefault="00EC1269">
                    <w:pPr>
                      <w:jc w:val="right"/>
                    </w:pPr>
                    <w:r>
                      <w:t>100</w:t>
                    </w:r>
                  </w:p>
                </w:tc>
                <w:tc>
                  <w:tcPr>
                    <w:tcW w:w="1022" w:type="pct"/>
                    <w:vAlign w:val="center"/>
                  </w:tcPr>
                  <w:p w14:paraId="45565BD6" w14:textId="77777777" w:rsidR="007E7472" w:rsidRDefault="00EC1269">
                    <w:pPr>
                      <w:jc w:val="center"/>
                    </w:pPr>
                    <w:r>
                      <w:t>预期不能收回</w:t>
                    </w:r>
                  </w:p>
                </w:tc>
              </w:tr>
            </w:sdtContent>
          </w:sdt>
          <w:sdt>
            <w:sdtPr>
              <w:alias w:val="按单项计提坏账准备的应收账款详细名称明细"/>
              <w:tag w:val="_TUP_669c106056fb4de3b5f357a932630dad"/>
              <w:id w:val="50743721"/>
              <w:lock w:val="sdtLocked"/>
            </w:sdtPr>
            <w:sdtEndPr/>
            <w:sdtContent>
              <w:tr w:rsidR="007E7472" w14:paraId="76386B84" w14:textId="77777777">
                <w:tc>
                  <w:tcPr>
                    <w:tcW w:w="1160" w:type="pct"/>
                  </w:tcPr>
                  <w:p w14:paraId="3E44416E" w14:textId="5BA21EEC" w:rsidR="007E7472" w:rsidRDefault="00162493">
                    <w:r w:rsidRPr="005B7D41">
                      <w:rPr>
                        <w:rFonts w:hint="eastAsia"/>
                      </w:rPr>
                      <w:t>公司</w:t>
                    </w:r>
                    <w:r>
                      <w:rPr>
                        <w:rFonts w:hint="eastAsia"/>
                      </w:rPr>
                      <w:t>4</w:t>
                    </w:r>
                  </w:p>
                </w:tc>
                <w:tc>
                  <w:tcPr>
                    <w:tcW w:w="939" w:type="pct"/>
                    <w:vAlign w:val="center"/>
                  </w:tcPr>
                  <w:p w14:paraId="5B8EDBF2" w14:textId="77777777" w:rsidR="007E7472" w:rsidRDefault="00EC1269">
                    <w:pPr>
                      <w:jc w:val="right"/>
                    </w:pPr>
                    <w:r>
                      <w:t>5,631</w:t>
                    </w:r>
                  </w:p>
                </w:tc>
                <w:tc>
                  <w:tcPr>
                    <w:tcW w:w="940" w:type="pct"/>
                    <w:vAlign w:val="center"/>
                  </w:tcPr>
                  <w:p w14:paraId="1298BB98" w14:textId="77777777" w:rsidR="007E7472" w:rsidRDefault="00EC1269">
                    <w:pPr>
                      <w:jc w:val="right"/>
                    </w:pPr>
                    <w:r>
                      <w:t>5,631</w:t>
                    </w:r>
                  </w:p>
                </w:tc>
                <w:tc>
                  <w:tcPr>
                    <w:tcW w:w="939" w:type="pct"/>
                    <w:vAlign w:val="center"/>
                  </w:tcPr>
                  <w:p w14:paraId="0861602F" w14:textId="77777777" w:rsidR="007E7472" w:rsidRDefault="00EC1269">
                    <w:pPr>
                      <w:jc w:val="right"/>
                    </w:pPr>
                    <w:r>
                      <w:t>100</w:t>
                    </w:r>
                  </w:p>
                </w:tc>
                <w:tc>
                  <w:tcPr>
                    <w:tcW w:w="1022" w:type="pct"/>
                    <w:vAlign w:val="center"/>
                  </w:tcPr>
                  <w:p w14:paraId="1AB393C3" w14:textId="77777777" w:rsidR="007E7472" w:rsidRDefault="00EC1269">
                    <w:pPr>
                      <w:jc w:val="center"/>
                    </w:pPr>
                    <w:r>
                      <w:t>预期不能收回</w:t>
                    </w:r>
                  </w:p>
                </w:tc>
              </w:tr>
            </w:sdtContent>
          </w:sdt>
          <w:sdt>
            <w:sdtPr>
              <w:rPr>
                <w:rFonts w:ascii="Times New Roman" w:hAnsi="Times New Roman" w:cs="Times New Roman"/>
                <w:sz w:val="20"/>
                <w:szCs w:val="20"/>
              </w:rPr>
              <w:alias w:val="按单项计提坏账准备的应收账款详细名称明细"/>
              <w:tag w:val="_TUP_669c106056fb4de3b5f357a932630dad"/>
              <w:id w:val="788776741"/>
              <w:lock w:val="sdtLocked"/>
            </w:sdtPr>
            <w:sdtEndPr/>
            <w:sdtContent>
              <w:tr w:rsidR="007E7472" w14:paraId="2535949E" w14:textId="77777777">
                <w:tc>
                  <w:tcPr>
                    <w:tcW w:w="1160" w:type="pct"/>
                  </w:tcPr>
                  <w:p w14:paraId="6D819253" w14:textId="16853262" w:rsidR="007E7472" w:rsidRDefault="00162493">
                    <w:pPr>
                      <w:rPr>
                        <w:bCs/>
                      </w:rPr>
                    </w:pPr>
                    <w:r w:rsidRPr="005B7D41">
                      <w:rPr>
                        <w:rFonts w:hint="eastAsia"/>
                      </w:rPr>
                      <w:t>公司</w:t>
                    </w:r>
                    <w:r w:rsidRPr="005B7D41">
                      <w:t>5</w:t>
                    </w:r>
                  </w:p>
                </w:tc>
                <w:tc>
                  <w:tcPr>
                    <w:tcW w:w="939" w:type="pct"/>
                    <w:vAlign w:val="center"/>
                  </w:tcPr>
                  <w:p w14:paraId="1ED75F3C" w14:textId="77777777" w:rsidR="007E7472" w:rsidRDefault="00EC1269">
                    <w:pPr>
                      <w:jc w:val="right"/>
                    </w:pPr>
                    <w:r>
                      <w:t>2,502</w:t>
                    </w:r>
                  </w:p>
                </w:tc>
                <w:tc>
                  <w:tcPr>
                    <w:tcW w:w="940" w:type="pct"/>
                    <w:vAlign w:val="center"/>
                  </w:tcPr>
                  <w:p w14:paraId="476D359F" w14:textId="77777777" w:rsidR="007E7472" w:rsidRDefault="00EC1269">
                    <w:pPr>
                      <w:jc w:val="right"/>
                    </w:pPr>
                    <w:r>
                      <w:t>2,502</w:t>
                    </w:r>
                  </w:p>
                </w:tc>
                <w:tc>
                  <w:tcPr>
                    <w:tcW w:w="939" w:type="pct"/>
                    <w:vAlign w:val="center"/>
                  </w:tcPr>
                  <w:p w14:paraId="43AEF0C6" w14:textId="77777777" w:rsidR="007E7472" w:rsidRDefault="00EC1269">
                    <w:pPr>
                      <w:jc w:val="right"/>
                    </w:pPr>
                    <w:r>
                      <w:t>100</w:t>
                    </w:r>
                  </w:p>
                </w:tc>
                <w:tc>
                  <w:tcPr>
                    <w:tcW w:w="1022" w:type="pct"/>
                    <w:vAlign w:val="center"/>
                  </w:tcPr>
                  <w:p w14:paraId="2957B7DE" w14:textId="77777777" w:rsidR="007E7472" w:rsidRDefault="00EC1269">
                    <w:pPr>
                      <w:jc w:val="center"/>
                    </w:pPr>
                    <w:r>
                      <w:t>预期不能收回</w:t>
                    </w:r>
                  </w:p>
                </w:tc>
              </w:tr>
            </w:sdtContent>
          </w:sdt>
          <w:sdt>
            <w:sdtPr>
              <w:alias w:val="按单项计提坏账准备的应收账款详细名称明细"/>
              <w:tag w:val="_TUP_669c106056fb4de3b5f357a932630dad"/>
              <w:id w:val="1264417604"/>
              <w:lock w:val="sdtLocked"/>
            </w:sdtPr>
            <w:sdtEndPr/>
            <w:sdtContent>
              <w:tr w:rsidR="007E7472" w14:paraId="74768B27" w14:textId="77777777">
                <w:tc>
                  <w:tcPr>
                    <w:tcW w:w="1160" w:type="pct"/>
                  </w:tcPr>
                  <w:p w14:paraId="13934A7E" w14:textId="51200C1C" w:rsidR="007E7472" w:rsidRDefault="00162493">
                    <w:r w:rsidRPr="005B7D41">
                      <w:rPr>
                        <w:rFonts w:hint="eastAsia"/>
                      </w:rPr>
                      <w:t>公司</w:t>
                    </w:r>
                    <w:r>
                      <w:rPr>
                        <w:rFonts w:hint="eastAsia"/>
                      </w:rPr>
                      <w:t>6</w:t>
                    </w:r>
                  </w:p>
                </w:tc>
                <w:tc>
                  <w:tcPr>
                    <w:tcW w:w="939" w:type="pct"/>
                    <w:vAlign w:val="center"/>
                  </w:tcPr>
                  <w:p w14:paraId="149D7621" w14:textId="77777777" w:rsidR="007E7472" w:rsidRDefault="00EC1269">
                    <w:pPr>
                      <w:jc w:val="right"/>
                    </w:pPr>
                    <w:r>
                      <w:t>1,008</w:t>
                    </w:r>
                  </w:p>
                </w:tc>
                <w:tc>
                  <w:tcPr>
                    <w:tcW w:w="940" w:type="pct"/>
                    <w:vAlign w:val="center"/>
                  </w:tcPr>
                  <w:p w14:paraId="77C985DC" w14:textId="77777777" w:rsidR="007E7472" w:rsidRDefault="00EC1269">
                    <w:pPr>
                      <w:jc w:val="right"/>
                    </w:pPr>
                    <w:r>
                      <w:t>1,008</w:t>
                    </w:r>
                  </w:p>
                </w:tc>
                <w:tc>
                  <w:tcPr>
                    <w:tcW w:w="939" w:type="pct"/>
                    <w:vAlign w:val="center"/>
                  </w:tcPr>
                  <w:p w14:paraId="092139C4" w14:textId="77777777" w:rsidR="007E7472" w:rsidRDefault="00EC1269">
                    <w:pPr>
                      <w:jc w:val="right"/>
                    </w:pPr>
                    <w:r>
                      <w:t>100</w:t>
                    </w:r>
                  </w:p>
                </w:tc>
                <w:tc>
                  <w:tcPr>
                    <w:tcW w:w="1022" w:type="pct"/>
                    <w:vAlign w:val="center"/>
                  </w:tcPr>
                  <w:p w14:paraId="5AB1DCF5" w14:textId="77777777" w:rsidR="007E7472" w:rsidRDefault="00EC1269">
                    <w:pPr>
                      <w:jc w:val="center"/>
                    </w:pPr>
                    <w:r>
                      <w:t>预期不能收回</w:t>
                    </w:r>
                  </w:p>
                </w:tc>
              </w:tr>
            </w:sdtContent>
          </w:sdt>
          <w:sdt>
            <w:sdtPr>
              <w:alias w:val="按单项计提坏账准备的应收账款详细名称明细"/>
              <w:tag w:val="_TUP_669c106056fb4de3b5f357a932630dad"/>
              <w:id w:val="1258716171"/>
              <w:lock w:val="sdtLocked"/>
            </w:sdtPr>
            <w:sdtEndPr/>
            <w:sdtContent>
              <w:tr w:rsidR="007E7472" w14:paraId="6699EAA4" w14:textId="77777777">
                <w:tc>
                  <w:tcPr>
                    <w:tcW w:w="1160" w:type="pct"/>
                  </w:tcPr>
                  <w:p w14:paraId="02C54372" w14:textId="07559E88" w:rsidR="007E7472" w:rsidRDefault="00162493">
                    <w:r w:rsidRPr="005B7D41">
                      <w:rPr>
                        <w:rFonts w:hint="eastAsia"/>
                      </w:rPr>
                      <w:t>公司</w:t>
                    </w:r>
                    <w:r>
                      <w:rPr>
                        <w:rFonts w:hint="eastAsia"/>
                      </w:rPr>
                      <w:t>7</w:t>
                    </w:r>
                  </w:p>
                </w:tc>
                <w:tc>
                  <w:tcPr>
                    <w:tcW w:w="939" w:type="pct"/>
                    <w:vAlign w:val="center"/>
                  </w:tcPr>
                  <w:p w14:paraId="64B90BA8" w14:textId="77777777" w:rsidR="007E7472" w:rsidRDefault="00EC1269">
                    <w:pPr>
                      <w:jc w:val="right"/>
                    </w:pPr>
                    <w:r>
                      <w:t>86</w:t>
                    </w:r>
                  </w:p>
                </w:tc>
                <w:tc>
                  <w:tcPr>
                    <w:tcW w:w="940" w:type="pct"/>
                    <w:vAlign w:val="center"/>
                  </w:tcPr>
                  <w:p w14:paraId="2A01226C" w14:textId="77777777" w:rsidR="007E7472" w:rsidRDefault="00EC1269">
                    <w:pPr>
                      <w:jc w:val="right"/>
                    </w:pPr>
                    <w:r>
                      <w:t>86</w:t>
                    </w:r>
                  </w:p>
                </w:tc>
                <w:tc>
                  <w:tcPr>
                    <w:tcW w:w="939" w:type="pct"/>
                    <w:vAlign w:val="center"/>
                  </w:tcPr>
                  <w:p w14:paraId="0892536B" w14:textId="77777777" w:rsidR="007E7472" w:rsidRDefault="00EC1269">
                    <w:pPr>
                      <w:jc w:val="right"/>
                    </w:pPr>
                    <w:r>
                      <w:t>100</w:t>
                    </w:r>
                  </w:p>
                </w:tc>
                <w:tc>
                  <w:tcPr>
                    <w:tcW w:w="1022" w:type="pct"/>
                    <w:vAlign w:val="center"/>
                  </w:tcPr>
                  <w:p w14:paraId="7096DC9A" w14:textId="77777777" w:rsidR="007E7472" w:rsidRDefault="00EC1269">
                    <w:pPr>
                      <w:jc w:val="center"/>
                    </w:pPr>
                    <w:r>
                      <w:t>预期不能收回</w:t>
                    </w:r>
                  </w:p>
                </w:tc>
              </w:tr>
            </w:sdtContent>
          </w:sdt>
          <w:tr w:rsidR="007E7472" w14:paraId="30767FA1" w14:textId="77777777">
            <w:sdt>
              <w:sdtPr>
                <w:tag w:val="_PLD_9ee856e0edf24e449ccd22d8f0f07348"/>
                <w:id w:val="430168045"/>
                <w:lock w:val="sdtLocked"/>
              </w:sdtPr>
              <w:sdtEndPr/>
              <w:sdtContent>
                <w:tc>
                  <w:tcPr>
                    <w:tcW w:w="1160" w:type="pct"/>
                    <w:vAlign w:val="center"/>
                  </w:tcPr>
                  <w:p w14:paraId="39CB8898" w14:textId="77777777" w:rsidR="007E7472" w:rsidRDefault="00EC1269">
                    <w:pPr>
                      <w:jc w:val="center"/>
                    </w:pPr>
                    <w:r>
                      <w:rPr>
                        <w:rFonts w:hint="eastAsia"/>
                      </w:rPr>
                      <w:t>合计</w:t>
                    </w:r>
                  </w:p>
                </w:tc>
              </w:sdtContent>
            </w:sdt>
            <w:tc>
              <w:tcPr>
                <w:tcW w:w="939" w:type="pct"/>
                <w:vAlign w:val="center"/>
              </w:tcPr>
              <w:p w14:paraId="50440217" w14:textId="77777777" w:rsidR="007E7472" w:rsidRDefault="00EC1269">
                <w:pPr>
                  <w:jc w:val="right"/>
                  <w:rPr>
                    <w:bCs/>
                  </w:rPr>
                </w:pPr>
                <w:r>
                  <w:t>332,015</w:t>
                </w:r>
              </w:p>
            </w:tc>
            <w:tc>
              <w:tcPr>
                <w:tcW w:w="940" w:type="pct"/>
                <w:vAlign w:val="center"/>
              </w:tcPr>
              <w:p w14:paraId="5C110226" w14:textId="77777777" w:rsidR="007E7472" w:rsidRDefault="00EC1269">
                <w:pPr>
                  <w:jc w:val="right"/>
                </w:pPr>
                <w:r>
                  <w:t>253,332</w:t>
                </w:r>
              </w:p>
            </w:tc>
            <w:tc>
              <w:tcPr>
                <w:tcW w:w="939" w:type="pct"/>
                <w:vAlign w:val="center"/>
              </w:tcPr>
              <w:p w14:paraId="138C44D3" w14:textId="77777777" w:rsidR="007E7472" w:rsidRDefault="00EC1269">
                <w:pPr>
                  <w:jc w:val="right"/>
                </w:pPr>
                <w:r>
                  <w:t>76</w:t>
                </w:r>
              </w:p>
            </w:tc>
            <w:tc>
              <w:tcPr>
                <w:tcW w:w="1022" w:type="pct"/>
                <w:vAlign w:val="center"/>
              </w:tcPr>
              <w:p w14:paraId="0738FE0A" w14:textId="77777777" w:rsidR="007E7472" w:rsidRDefault="00EC1269">
                <w:pPr>
                  <w:jc w:val="center"/>
                </w:pPr>
                <w:r>
                  <w:rPr>
                    <w:rFonts w:hint="eastAsia"/>
                  </w:rPr>
                  <w:t>/</w:t>
                </w:r>
              </w:p>
            </w:tc>
          </w:tr>
        </w:tbl>
        <w:p w14:paraId="4D0B0D98" w14:textId="77777777" w:rsidR="007E7472" w:rsidRDefault="00EC1269">
          <w:r>
            <w:rPr>
              <w:rFonts w:hint="eastAsia"/>
            </w:rPr>
            <w:t>按单项计提坏账准备的说明：</w:t>
          </w:r>
        </w:p>
        <w:sdt>
          <w:sdtPr>
            <w:alias w:val="是否适用：按单项计提坏账准备的应收账款说明[双击切换]"/>
            <w:tag w:val="_GBC_5058bdcf98524a1ba98e4618d094237d"/>
            <w:id w:val="395867262"/>
            <w:lock w:val="sdtLocked"/>
            <w:placeholder>
              <w:docPart w:val="GBC22222222222222222222222222222"/>
            </w:placeholder>
          </w:sdtPr>
          <w:sdtEndPr/>
          <w:sdtContent>
            <w:p w14:paraId="3C154C59"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181EBACA" w14:textId="77777777" w:rsidR="007E7472" w:rsidRDefault="00C8327E"/>
      </w:sdtContent>
    </w:sdt>
    <w:p w14:paraId="6DF0A3A8" w14:textId="77777777" w:rsidR="007E7472" w:rsidRDefault="00EC1269">
      <w:bookmarkStart w:id="170" w:name="_Hlk10467225"/>
      <w:bookmarkEnd w:id="169"/>
      <w:r>
        <w:rPr>
          <w:rFonts w:hint="eastAsia"/>
        </w:rPr>
        <w:t>按组合计提坏账准备：</w:t>
      </w:r>
    </w:p>
    <w:sdt>
      <w:sdtPr>
        <w:rPr>
          <w:rFonts w:hint="eastAsia"/>
        </w:rPr>
        <w:alias w:val="是否适用：按组合计提坏账准备的应收账款详细情况[双击切换]"/>
        <w:tag w:val="_GBC_47a07baa9a4f4c5ea6de193ae7b87e74"/>
        <w:id w:val="-571889997"/>
        <w:lock w:val="sdtContentLocked"/>
        <w:placeholder>
          <w:docPart w:val="GBC22222222222222222222222222222"/>
        </w:placeholder>
      </w:sdtPr>
      <w:sdtEndPr/>
      <w:sdtContent>
        <w:p w14:paraId="43C360C9"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Times New Roman" w:hAnsi="Times New Roman" w:cs="Times New Roman" w:hint="eastAsia"/>
          <w:sz w:val="20"/>
          <w:szCs w:val="20"/>
        </w:rPr>
        <w:alias w:val="模块:组合计提项目"/>
        <w:tag w:val="_SEC_f085826b570e4937b558307522853cff"/>
        <w:id w:val="-778647710"/>
        <w:lock w:val="sdtLocked"/>
        <w:placeholder>
          <w:docPart w:val="GBC22222222222222222222222222222"/>
        </w:placeholder>
      </w:sdtPr>
      <w:sdtEndPr>
        <w:rPr>
          <w:rFonts w:hint="default"/>
        </w:rPr>
      </w:sdtEndPr>
      <w:sdtContent>
        <w:p w14:paraId="3964E97E" w14:textId="6FFB8D27" w:rsidR="007E7472" w:rsidRDefault="00EC1269">
          <w:pPr>
            <w:autoSpaceDE w:val="0"/>
            <w:autoSpaceDN w:val="0"/>
            <w:adjustRightInd w:val="0"/>
            <w:ind w:left="5880" w:right="105"/>
            <w:jc w:val="right"/>
          </w:pPr>
          <w:r>
            <w:rPr>
              <w:rFonts w:hint="eastAsia"/>
            </w:rPr>
            <w:t>单位：</w:t>
          </w:r>
          <w:sdt>
            <w:sdtPr>
              <w:rPr>
                <w:rFonts w:hint="eastAsia"/>
              </w:rPr>
              <w:alias w:val="单位：按组合计提坏账准备的应收账款详细情况"/>
              <w:tag w:val="_GBC_ccac8c131a6748e699800a5f25e5efcf"/>
              <w:id w:val="-20658606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按组合计提坏账准备的应收账款详细情况"/>
              <w:tag w:val="_GBC_f0296899749441bf8c33f5882df60a71"/>
              <w:id w:val="-14796869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2252"/>
            <w:gridCol w:w="2292"/>
            <w:gridCol w:w="2236"/>
          </w:tblGrid>
          <w:tr w:rsidR="007E7472" w14:paraId="2812E4FD" w14:textId="77777777">
            <w:sdt>
              <w:sdtPr>
                <w:tag w:val="_PLD_331ca2a43a5247699c45fd6309aee7fd"/>
                <w:id w:val="219108499"/>
                <w:lock w:val="sdtLocked"/>
              </w:sdtPr>
              <w:sdtEndPr/>
              <w:sdtContent>
                <w:tc>
                  <w:tcPr>
                    <w:tcW w:w="1158" w:type="pct"/>
                    <w:vMerge w:val="restart"/>
                    <w:vAlign w:val="center"/>
                  </w:tcPr>
                  <w:p w14:paraId="6F5E64E1" w14:textId="77777777" w:rsidR="007E7472" w:rsidRDefault="00EC1269">
                    <w:pPr>
                      <w:jc w:val="center"/>
                    </w:pPr>
                    <w:r>
                      <w:rPr>
                        <w:rFonts w:hint="eastAsia"/>
                      </w:rPr>
                      <w:t>名称</w:t>
                    </w:r>
                  </w:p>
                </w:tc>
              </w:sdtContent>
            </w:sdt>
            <w:sdt>
              <w:sdtPr>
                <w:tag w:val="_PLD_271f4f470bff48e385b1a5d9080fde35"/>
                <w:id w:val="-628936572"/>
                <w:lock w:val="sdtLocked"/>
              </w:sdtPr>
              <w:sdtEndPr/>
              <w:sdtContent>
                <w:tc>
                  <w:tcPr>
                    <w:tcW w:w="3842" w:type="pct"/>
                    <w:gridSpan w:val="3"/>
                    <w:vAlign w:val="center"/>
                  </w:tcPr>
                  <w:p w14:paraId="13511157" w14:textId="77777777" w:rsidR="007E7472" w:rsidRDefault="00EC1269">
                    <w:pPr>
                      <w:jc w:val="center"/>
                    </w:pPr>
                    <w:r>
                      <w:rPr>
                        <w:rFonts w:hint="eastAsia"/>
                      </w:rPr>
                      <w:t>期末余额</w:t>
                    </w:r>
                  </w:p>
                </w:tc>
              </w:sdtContent>
            </w:sdt>
          </w:tr>
          <w:tr w:rsidR="007E7472" w14:paraId="7D28BAB2" w14:textId="77777777">
            <w:tc>
              <w:tcPr>
                <w:tcW w:w="1158" w:type="pct"/>
                <w:vMerge/>
              </w:tcPr>
              <w:p w14:paraId="77E78218" w14:textId="77777777" w:rsidR="007E7472" w:rsidRDefault="00C8327E">
                <w:pPr>
                  <w:jc w:val="center"/>
                </w:pPr>
              </w:p>
            </w:tc>
            <w:sdt>
              <w:sdtPr>
                <w:tag w:val="_PLD_e1c956de9b3b4544a5d0584eaaf6aea2"/>
                <w:id w:val="-2025776990"/>
                <w:lock w:val="sdtLocked"/>
              </w:sdtPr>
              <w:sdtEndPr/>
              <w:sdtContent>
                <w:tc>
                  <w:tcPr>
                    <w:tcW w:w="1276" w:type="pct"/>
                    <w:vAlign w:val="center"/>
                  </w:tcPr>
                  <w:p w14:paraId="0776B7CD" w14:textId="77777777" w:rsidR="007E7472" w:rsidRDefault="00EC1269">
                    <w:pPr>
                      <w:jc w:val="center"/>
                    </w:pPr>
                    <w:r>
                      <w:rPr>
                        <w:rFonts w:hint="eastAsia"/>
                      </w:rPr>
                      <w:t>应收账款</w:t>
                    </w:r>
                  </w:p>
                </w:tc>
              </w:sdtContent>
            </w:sdt>
            <w:sdt>
              <w:sdtPr>
                <w:tag w:val="_PLD_0098acb8b7f640f29f65a14017e23f02"/>
                <w:id w:val="1315676784"/>
                <w:lock w:val="sdtLocked"/>
              </w:sdtPr>
              <w:sdtEndPr/>
              <w:sdtContent>
                <w:tc>
                  <w:tcPr>
                    <w:tcW w:w="1299" w:type="pct"/>
                    <w:vAlign w:val="center"/>
                  </w:tcPr>
                  <w:p w14:paraId="7075E84B" w14:textId="77777777" w:rsidR="007E7472" w:rsidRDefault="00EC1269">
                    <w:pPr>
                      <w:jc w:val="center"/>
                    </w:pPr>
                    <w:r>
                      <w:rPr>
                        <w:rFonts w:hint="eastAsia"/>
                      </w:rPr>
                      <w:t>坏账准备</w:t>
                    </w:r>
                  </w:p>
                </w:tc>
              </w:sdtContent>
            </w:sdt>
            <w:sdt>
              <w:sdtPr>
                <w:tag w:val="_PLD_290bbc3bde3c43c487996752ceb95160"/>
                <w:id w:val="215093078"/>
                <w:lock w:val="sdtLocked"/>
              </w:sdtPr>
              <w:sdtEndPr/>
              <w:sdtContent>
                <w:tc>
                  <w:tcPr>
                    <w:tcW w:w="1267" w:type="pct"/>
                    <w:vAlign w:val="center"/>
                  </w:tcPr>
                  <w:p w14:paraId="765D879E" w14:textId="77777777" w:rsidR="007E7472" w:rsidRDefault="00EC1269">
                    <w:pPr>
                      <w:jc w:val="center"/>
                    </w:pPr>
                    <w:r>
                      <w:t>计提比例</w:t>
                    </w:r>
                    <w:r>
                      <w:rPr>
                        <w:rFonts w:hint="eastAsia"/>
                      </w:rPr>
                      <w:t>（%）</w:t>
                    </w:r>
                  </w:p>
                </w:tc>
              </w:sdtContent>
            </w:sdt>
          </w:tr>
          <w:sdt>
            <w:sdtPr>
              <w:alias w:val="按组合计提坏账准备的应收账款详细名称明细"/>
              <w:tag w:val="_TUP_787dccbb6b7545edb25916e256cf8697"/>
              <w:id w:val="-1460566774"/>
              <w:lock w:val="sdtLocked"/>
            </w:sdtPr>
            <w:sdtEndPr/>
            <w:sdtContent>
              <w:tr w:rsidR="007E7472" w14:paraId="2B6E2C45" w14:textId="77777777" w:rsidTr="007E7472">
                <w:trPr>
                  <w:trHeight w:val="340"/>
                </w:trPr>
                <w:tc>
                  <w:tcPr>
                    <w:tcW w:w="1158" w:type="pct"/>
                    <w:vAlign w:val="center"/>
                  </w:tcPr>
                  <w:p w14:paraId="1E8F3A13" w14:textId="77777777" w:rsidR="007E7472" w:rsidRDefault="00EC1269">
                    <w:r>
                      <w:t>1年以内</w:t>
                    </w:r>
                  </w:p>
                </w:tc>
                <w:tc>
                  <w:tcPr>
                    <w:tcW w:w="1276" w:type="pct"/>
                    <w:vAlign w:val="center"/>
                  </w:tcPr>
                  <w:p w14:paraId="77B3A4AB" w14:textId="77777777" w:rsidR="007E7472" w:rsidRDefault="00EC1269">
                    <w:pPr>
                      <w:jc w:val="right"/>
                    </w:pPr>
                    <w:r>
                      <w:t>4,645,039</w:t>
                    </w:r>
                  </w:p>
                </w:tc>
                <w:tc>
                  <w:tcPr>
                    <w:tcW w:w="1299" w:type="pct"/>
                    <w:vAlign w:val="center"/>
                  </w:tcPr>
                  <w:p w14:paraId="41C1360C" w14:textId="77777777" w:rsidR="007E7472" w:rsidRDefault="00EC1269">
                    <w:pPr>
                      <w:jc w:val="right"/>
                    </w:pPr>
                    <w:r>
                      <w:t>10,503</w:t>
                    </w:r>
                  </w:p>
                </w:tc>
                <w:tc>
                  <w:tcPr>
                    <w:tcW w:w="1267" w:type="pct"/>
                    <w:vAlign w:val="center"/>
                  </w:tcPr>
                  <w:p w14:paraId="2C434300" w14:textId="74C15557" w:rsidR="007E7472" w:rsidRDefault="00EC1269">
                    <w:pPr>
                      <w:jc w:val="right"/>
                    </w:pPr>
                    <w:r>
                      <w:t>0.2</w:t>
                    </w:r>
                  </w:p>
                </w:tc>
              </w:tr>
            </w:sdtContent>
          </w:sdt>
          <w:sdt>
            <w:sdtPr>
              <w:alias w:val="按组合计提坏账准备的应收账款详细名称明细"/>
              <w:tag w:val="_TUP_787dccbb6b7545edb25916e256cf8697"/>
              <w:id w:val="661281293"/>
              <w:lock w:val="sdtLocked"/>
            </w:sdtPr>
            <w:sdtEndPr/>
            <w:sdtContent>
              <w:tr w:rsidR="007E7472" w14:paraId="07011EC2" w14:textId="77777777" w:rsidTr="007E7472">
                <w:trPr>
                  <w:trHeight w:val="340"/>
                </w:trPr>
                <w:tc>
                  <w:tcPr>
                    <w:tcW w:w="1158" w:type="pct"/>
                    <w:vAlign w:val="center"/>
                  </w:tcPr>
                  <w:p w14:paraId="3CA521AB" w14:textId="77777777" w:rsidR="007E7472" w:rsidRDefault="00EC1269">
                    <w:r>
                      <w:t>1-2年</w:t>
                    </w:r>
                  </w:p>
                </w:tc>
                <w:tc>
                  <w:tcPr>
                    <w:tcW w:w="1276" w:type="pct"/>
                    <w:vAlign w:val="center"/>
                  </w:tcPr>
                  <w:p w14:paraId="2609655B" w14:textId="77777777" w:rsidR="007E7472" w:rsidRDefault="00EC1269">
                    <w:pPr>
                      <w:jc w:val="right"/>
                    </w:pPr>
                    <w:r>
                      <w:t>196,991</w:t>
                    </w:r>
                  </w:p>
                </w:tc>
                <w:tc>
                  <w:tcPr>
                    <w:tcW w:w="1299" w:type="pct"/>
                    <w:vAlign w:val="center"/>
                  </w:tcPr>
                  <w:p w14:paraId="51820B6E" w14:textId="77777777" w:rsidR="007E7472" w:rsidRDefault="00EC1269">
                    <w:pPr>
                      <w:jc w:val="right"/>
                    </w:pPr>
                    <w:r>
                      <w:t>14,135</w:t>
                    </w:r>
                  </w:p>
                </w:tc>
                <w:tc>
                  <w:tcPr>
                    <w:tcW w:w="1267" w:type="pct"/>
                    <w:vAlign w:val="center"/>
                  </w:tcPr>
                  <w:p w14:paraId="04FD5DB8" w14:textId="77777777" w:rsidR="007E7472" w:rsidRDefault="00EC1269">
                    <w:pPr>
                      <w:jc w:val="right"/>
                    </w:pPr>
                    <w:r>
                      <w:t>7</w:t>
                    </w:r>
                  </w:p>
                </w:tc>
              </w:tr>
            </w:sdtContent>
          </w:sdt>
          <w:sdt>
            <w:sdtPr>
              <w:alias w:val="按组合计提坏账准备的应收账款详细名称明细"/>
              <w:tag w:val="_TUP_787dccbb6b7545edb25916e256cf8697"/>
              <w:id w:val="-276717759"/>
              <w:lock w:val="sdtLocked"/>
            </w:sdtPr>
            <w:sdtEndPr/>
            <w:sdtContent>
              <w:tr w:rsidR="007E7472" w14:paraId="1E9D32B9" w14:textId="77777777" w:rsidTr="007E7472">
                <w:trPr>
                  <w:trHeight w:val="340"/>
                </w:trPr>
                <w:tc>
                  <w:tcPr>
                    <w:tcW w:w="1158" w:type="pct"/>
                    <w:vAlign w:val="center"/>
                  </w:tcPr>
                  <w:p w14:paraId="5105B3D2" w14:textId="77777777" w:rsidR="007E7472" w:rsidRDefault="00EC1269">
                    <w:r>
                      <w:t>2-3年</w:t>
                    </w:r>
                  </w:p>
                </w:tc>
                <w:tc>
                  <w:tcPr>
                    <w:tcW w:w="1276" w:type="pct"/>
                    <w:vAlign w:val="center"/>
                  </w:tcPr>
                  <w:p w14:paraId="62D053BB" w14:textId="77777777" w:rsidR="007E7472" w:rsidRDefault="00EC1269">
                    <w:pPr>
                      <w:jc w:val="right"/>
                    </w:pPr>
                    <w:r>
                      <w:t>181,537</w:t>
                    </w:r>
                  </w:p>
                </w:tc>
                <w:tc>
                  <w:tcPr>
                    <w:tcW w:w="1299" w:type="pct"/>
                    <w:vAlign w:val="center"/>
                  </w:tcPr>
                  <w:p w14:paraId="6D2921F8" w14:textId="77777777" w:rsidR="007E7472" w:rsidRDefault="00EC1269">
                    <w:pPr>
                      <w:jc w:val="right"/>
                    </w:pPr>
                    <w:r>
                      <w:t>18,527</w:t>
                    </w:r>
                  </w:p>
                </w:tc>
                <w:tc>
                  <w:tcPr>
                    <w:tcW w:w="1267" w:type="pct"/>
                    <w:vAlign w:val="center"/>
                  </w:tcPr>
                  <w:p w14:paraId="5E091CA8" w14:textId="77777777" w:rsidR="007E7472" w:rsidRDefault="00EC1269">
                    <w:pPr>
                      <w:jc w:val="right"/>
                    </w:pPr>
                    <w:r>
                      <w:t>10</w:t>
                    </w:r>
                  </w:p>
                </w:tc>
              </w:tr>
            </w:sdtContent>
          </w:sdt>
          <w:sdt>
            <w:sdtPr>
              <w:alias w:val="按组合计提坏账准备的应收账款详细名称明细"/>
              <w:tag w:val="_TUP_787dccbb6b7545edb25916e256cf8697"/>
              <w:id w:val="-348489450"/>
              <w:lock w:val="sdtLocked"/>
            </w:sdtPr>
            <w:sdtEndPr/>
            <w:sdtContent>
              <w:tr w:rsidR="007E7472" w14:paraId="48054BA4" w14:textId="77777777" w:rsidTr="007E7472">
                <w:trPr>
                  <w:trHeight w:val="340"/>
                </w:trPr>
                <w:tc>
                  <w:tcPr>
                    <w:tcW w:w="1158" w:type="pct"/>
                    <w:vAlign w:val="center"/>
                  </w:tcPr>
                  <w:p w14:paraId="0FAFA6F2" w14:textId="77777777" w:rsidR="007E7472" w:rsidRDefault="00EC1269">
                    <w:r>
                      <w:t>3年以上</w:t>
                    </w:r>
                  </w:p>
                </w:tc>
                <w:tc>
                  <w:tcPr>
                    <w:tcW w:w="1276" w:type="pct"/>
                    <w:vAlign w:val="center"/>
                  </w:tcPr>
                  <w:p w14:paraId="60A44D2E" w14:textId="77777777" w:rsidR="007E7472" w:rsidRDefault="00EC1269">
                    <w:pPr>
                      <w:jc w:val="right"/>
                    </w:pPr>
                    <w:r>
                      <w:t>224,888</w:t>
                    </w:r>
                  </w:p>
                </w:tc>
                <w:tc>
                  <w:tcPr>
                    <w:tcW w:w="1299" w:type="pct"/>
                    <w:vAlign w:val="center"/>
                  </w:tcPr>
                  <w:p w14:paraId="1A31D18D" w14:textId="77777777" w:rsidR="007E7472" w:rsidRDefault="00EC1269">
                    <w:pPr>
                      <w:jc w:val="right"/>
                    </w:pPr>
                    <w:r>
                      <w:t>53,034</w:t>
                    </w:r>
                  </w:p>
                </w:tc>
                <w:tc>
                  <w:tcPr>
                    <w:tcW w:w="1267" w:type="pct"/>
                    <w:vAlign w:val="center"/>
                  </w:tcPr>
                  <w:p w14:paraId="0440E106" w14:textId="77777777" w:rsidR="007E7472" w:rsidRDefault="00EC1269">
                    <w:pPr>
                      <w:jc w:val="right"/>
                    </w:pPr>
                    <w:r>
                      <w:t>24</w:t>
                    </w:r>
                  </w:p>
                </w:tc>
              </w:tr>
            </w:sdtContent>
          </w:sdt>
          <w:tr w:rsidR="007E7472" w14:paraId="716B0328" w14:textId="77777777" w:rsidTr="007E7472">
            <w:trPr>
              <w:trHeight w:val="340"/>
            </w:trPr>
            <w:sdt>
              <w:sdtPr>
                <w:tag w:val="_PLD_9a3bf225ae544565ad2cb49381fcaca1"/>
                <w:id w:val="-1408839485"/>
                <w:lock w:val="sdtLocked"/>
              </w:sdtPr>
              <w:sdtEndPr/>
              <w:sdtContent>
                <w:tc>
                  <w:tcPr>
                    <w:tcW w:w="1158" w:type="pct"/>
                    <w:vAlign w:val="center"/>
                  </w:tcPr>
                  <w:p w14:paraId="0E33AFB8" w14:textId="77777777" w:rsidR="007E7472" w:rsidRDefault="00EC1269">
                    <w:pPr>
                      <w:jc w:val="center"/>
                    </w:pPr>
                    <w:r>
                      <w:rPr>
                        <w:rFonts w:hint="eastAsia"/>
                      </w:rPr>
                      <w:t>合计</w:t>
                    </w:r>
                  </w:p>
                </w:tc>
              </w:sdtContent>
            </w:sdt>
            <w:tc>
              <w:tcPr>
                <w:tcW w:w="1276" w:type="pct"/>
                <w:vAlign w:val="center"/>
              </w:tcPr>
              <w:p w14:paraId="6FE8D0DA" w14:textId="77777777" w:rsidR="007E7472" w:rsidRDefault="00EC1269">
                <w:pPr>
                  <w:jc w:val="right"/>
                </w:pPr>
                <w:r>
                  <w:t>5,248,455</w:t>
                </w:r>
              </w:p>
            </w:tc>
            <w:tc>
              <w:tcPr>
                <w:tcW w:w="1299" w:type="pct"/>
                <w:vAlign w:val="center"/>
              </w:tcPr>
              <w:p w14:paraId="51A11F13" w14:textId="77777777" w:rsidR="007E7472" w:rsidRDefault="00EC1269">
                <w:pPr>
                  <w:jc w:val="right"/>
                </w:pPr>
                <w:r>
                  <w:t>96,199</w:t>
                </w:r>
              </w:p>
            </w:tc>
            <w:tc>
              <w:tcPr>
                <w:tcW w:w="1267" w:type="pct"/>
                <w:vAlign w:val="center"/>
              </w:tcPr>
              <w:p w14:paraId="2D31FAB0" w14:textId="77777777" w:rsidR="007E7472" w:rsidRDefault="00EC1269">
                <w:pPr>
                  <w:jc w:val="right"/>
                </w:pPr>
                <w:r>
                  <w:t>2</w:t>
                </w:r>
              </w:p>
            </w:tc>
          </w:tr>
        </w:tbl>
        <w:p w14:paraId="316511D7" w14:textId="77777777" w:rsidR="007E7472" w:rsidRDefault="00EC1269">
          <w:r>
            <w:rPr>
              <w:rFonts w:hint="eastAsia"/>
            </w:rPr>
            <w:t>按组合计提坏账的确认标准及说明：</w:t>
          </w:r>
        </w:p>
        <w:sdt>
          <w:sdtPr>
            <w:alias w:val="是否适用：按组合计提坏账准备的应收账款确认标准[双击切换]"/>
            <w:tag w:val="_GBC_8361cfeb973b4073b7fdbd49a393b38c"/>
            <w:id w:val="914131004"/>
            <w:lock w:val="sdtLocked"/>
            <w:placeholder>
              <w:docPart w:val="GBC22222222222222222222222222222"/>
            </w:placeholder>
          </w:sdtPr>
          <w:sdtEndPr/>
          <w:sdtContent>
            <w:p w14:paraId="0D6A25C6"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bookmarkEnd w:id="170"/>
    <w:p w14:paraId="3C37C70A" w14:textId="77777777" w:rsidR="007E7472" w:rsidRDefault="00C8327E"/>
    <w:bookmarkStart w:id="171" w:name="_Hlk10467269" w:displacedByCustomXml="next"/>
    <w:bookmarkStart w:id="172" w:name="_Hlk10467279" w:displacedByCustomXml="next"/>
    <w:sdt>
      <w:sdtPr>
        <w:rPr>
          <w:rFonts w:hint="eastAsia"/>
        </w:rPr>
        <w:alias w:val="模块:如按预期信用损失一般模型计提坏账准备，请参照其他应收款披露："/>
        <w:tag w:val="_SEC_a585c426a16c4a73a2145ded2280b59a"/>
        <w:id w:val="1923913889"/>
        <w:lock w:val="sdtLocked"/>
        <w:placeholder>
          <w:docPart w:val="GBC22222222222222222222222222222"/>
        </w:placeholder>
      </w:sdtPr>
      <w:sdtEndPr>
        <w:rPr>
          <w:rFonts w:hint="default"/>
          <w:sz w:val="20"/>
          <w:szCs w:val="20"/>
        </w:rPr>
      </w:sdtEndPr>
      <w:sdtContent>
        <w:p w14:paraId="42DBA79E" w14:textId="77777777" w:rsidR="007E7472" w:rsidRDefault="00EC1269">
          <w:r>
            <w:rPr>
              <w:rFonts w:hint="eastAsia"/>
            </w:rPr>
            <w:t>如按预期信用损失一般模型计提坏账准备，请参照其他应收款披露：</w:t>
          </w:r>
          <w:bookmarkEnd w:id="171"/>
        </w:p>
        <w:sdt>
          <w:sdtPr>
            <w:alias w:val="是否适用：应收账款按一般预计信用损失模型计提坏账[双击切换]"/>
            <w:tag w:val="_GBC_dbecd76100814214abd6f7c10d1dd2fa"/>
            <w:id w:val="1631818801"/>
            <w:lock w:val="sdtLocked"/>
            <w:placeholder>
              <w:docPart w:val="GBC22222222222222222222222222222"/>
            </w:placeholder>
          </w:sdtPr>
          <w:sdtEndPr/>
          <w:sdtContent>
            <w:p w14:paraId="7FBA4232"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278A644A" w14:textId="77777777" w:rsidR="007E7472" w:rsidRDefault="00C8327E"/>
      </w:sdtContent>
    </w:sdt>
    <w:bookmarkEnd w:id="172" w:displacedByCustomXml="next"/>
    <w:bookmarkStart w:id="173" w:name="_Hlk10467433" w:displacedByCustomXml="next"/>
    <w:sdt>
      <w:sdtPr>
        <w:rPr>
          <w:rFonts w:ascii="宋体" w:hAnsi="宋体" w:cs="宋体" w:hint="eastAsia"/>
          <w:b w:val="0"/>
          <w:bCs w:val="0"/>
          <w:kern w:val="0"/>
          <w:szCs w:val="21"/>
        </w:rPr>
        <w:alias w:val="模块:坏账准备的情况"/>
        <w:tag w:val="_SEC_585de72ff9a04d78b96f9dd88a2090f9"/>
        <w:id w:val="1483431900"/>
        <w:lock w:val="sdtLocked"/>
        <w:placeholder>
          <w:docPart w:val="GBC22222222222222222222222222222"/>
        </w:placeholder>
      </w:sdtPr>
      <w:sdtEndPr>
        <w:rPr>
          <w:rFonts w:hint="default"/>
        </w:rPr>
      </w:sdtEndPr>
      <w:sdtContent>
        <w:p w14:paraId="0336228F" w14:textId="77777777" w:rsidR="007E7472" w:rsidRDefault="00EC1269" w:rsidP="00162493">
          <w:pPr>
            <w:pStyle w:val="4"/>
            <w:numPr>
              <w:ilvl w:val="0"/>
              <w:numId w:val="64"/>
            </w:numPr>
          </w:pPr>
          <w:r>
            <w:rPr>
              <w:rFonts w:hint="eastAsia"/>
            </w:rPr>
            <w:t>坏账准备的情况</w:t>
          </w:r>
        </w:p>
        <w:sdt>
          <w:sdtPr>
            <w:alias w:val="是否适用：应收账款坏账准备[双击切换]"/>
            <w:tag w:val="_GBC_fb482eb90dbc45c4a6420c45e8a46012"/>
            <w:id w:val="-1516847867"/>
            <w:lock w:val="sdtLocked"/>
            <w:placeholder>
              <w:docPart w:val="GBC22222222222222222222222222222"/>
            </w:placeholder>
          </w:sdtPr>
          <w:sdtEndPr/>
          <w:sdtContent>
            <w:p w14:paraId="4ED879DA"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61C778FC" w14:textId="4530B533" w:rsidR="007E7472" w:rsidRDefault="00EC1269">
          <w:pPr>
            <w:snapToGrid w:val="0"/>
            <w:spacing w:line="240" w:lineRule="atLeast"/>
            <w:ind w:left="425"/>
            <w:jc w:val="right"/>
          </w:pPr>
          <w:r>
            <w:rPr>
              <w:rFonts w:hint="eastAsia"/>
            </w:rPr>
            <w:t>单位：</w:t>
          </w:r>
          <w:sdt>
            <w:sdtPr>
              <w:rPr>
                <w:rFonts w:hint="eastAsia"/>
              </w:rPr>
              <w:alias w:val="单位：应收账款坏账准备"/>
              <w:tag w:val="_GBC_f681542ff42f497c9ed44328f301413f"/>
              <w:id w:val="-6265507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应收账款坏账准备"/>
              <w:tag w:val="_GBC_79f82daaad1749fbb117cea0941b8667"/>
              <w:id w:val="-87091953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444"/>
            <w:gridCol w:w="1213"/>
            <w:gridCol w:w="1317"/>
            <w:gridCol w:w="1212"/>
            <w:gridCol w:w="1216"/>
            <w:gridCol w:w="1212"/>
            <w:gridCol w:w="1209"/>
          </w:tblGrid>
          <w:tr w:rsidR="007E7472" w14:paraId="190F28EE" w14:textId="77777777">
            <w:sdt>
              <w:sdtPr>
                <w:tag w:val="_PLD_82b0419f5c784cbe8b363ff715cfd4eb"/>
                <w:id w:val="611401797"/>
                <w:lock w:val="sdtLocked"/>
              </w:sdtPr>
              <w:sdtEndPr/>
              <w:sdtContent>
                <w:tc>
                  <w:tcPr>
                    <w:tcW w:w="818" w:type="pct"/>
                    <w:vMerge w:val="restart"/>
                    <w:shd w:val="clear" w:color="auto" w:fill="FFFFFF"/>
                    <w:vAlign w:val="center"/>
                  </w:tcPr>
                  <w:p w14:paraId="3C7955C1" w14:textId="77777777" w:rsidR="007E7472" w:rsidRDefault="00EC1269">
                    <w:pPr>
                      <w:jc w:val="center"/>
                    </w:pPr>
                    <w:r>
                      <w:t>类别</w:t>
                    </w:r>
                  </w:p>
                </w:tc>
              </w:sdtContent>
            </w:sdt>
            <w:sdt>
              <w:sdtPr>
                <w:tag w:val="_PLD_6cba2c33cb334541980e3e13a6ee357d"/>
                <w:id w:val="-436608613"/>
                <w:lock w:val="sdtLocked"/>
              </w:sdtPr>
              <w:sdtEndPr/>
              <w:sdtContent>
                <w:tc>
                  <w:tcPr>
                    <w:tcW w:w="687" w:type="pct"/>
                    <w:vMerge w:val="restart"/>
                    <w:shd w:val="clear" w:color="auto" w:fill="FFFFFF"/>
                    <w:vAlign w:val="center"/>
                  </w:tcPr>
                  <w:p w14:paraId="15DBB0C5" w14:textId="77777777" w:rsidR="007E7472" w:rsidRDefault="00EC1269">
                    <w:pPr>
                      <w:jc w:val="center"/>
                    </w:pPr>
                    <w:r>
                      <w:t>期初余额</w:t>
                    </w:r>
                  </w:p>
                </w:tc>
              </w:sdtContent>
            </w:sdt>
            <w:sdt>
              <w:sdtPr>
                <w:tag w:val="_PLD_ec3d2e2cde2a4ba29c966861f9ca39c7"/>
                <w:id w:val="1575155553"/>
                <w:lock w:val="sdtLocked"/>
              </w:sdtPr>
              <w:sdtEndPr/>
              <w:sdtContent>
                <w:tc>
                  <w:tcPr>
                    <w:tcW w:w="2809" w:type="pct"/>
                    <w:gridSpan w:val="4"/>
                    <w:shd w:val="clear" w:color="auto" w:fill="FFFFFF"/>
                    <w:vAlign w:val="center"/>
                  </w:tcPr>
                  <w:p w14:paraId="28193F5F" w14:textId="77777777" w:rsidR="007E7472" w:rsidRDefault="00EC1269">
                    <w:pPr>
                      <w:jc w:val="center"/>
                    </w:pPr>
                    <w:r>
                      <w:rPr>
                        <w:rFonts w:hint="eastAsia"/>
                      </w:rPr>
                      <w:t>本期变动</w:t>
                    </w:r>
                    <w:r>
                      <w:t>金额</w:t>
                    </w:r>
                  </w:p>
                </w:tc>
              </w:sdtContent>
            </w:sdt>
            <w:sdt>
              <w:sdtPr>
                <w:tag w:val="_PLD_9c167d6d72f94e22aecc39ba0e735a78"/>
                <w:id w:val="-1487774454"/>
                <w:lock w:val="sdtLocked"/>
              </w:sdtPr>
              <w:sdtEndPr/>
              <w:sdtContent>
                <w:tc>
                  <w:tcPr>
                    <w:tcW w:w="685" w:type="pct"/>
                    <w:vMerge w:val="restart"/>
                    <w:shd w:val="clear" w:color="auto" w:fill="FFFFFF"/>
                    <w:vAlign w:val="center"/>
                  </w:tcPr>
                  <w:p w14:paraId="6BA0F620" w14:textId="77777777" w:rsidR="007E7472" w:rsidRDefault="00EC1269">
                    <w:pPr>
                      <w:jc w:val="center"/>
                    </w:pPr>
                    <w:r>
                      <w:t>期末余额</w:t>
                    </w:r>
                  </w:p>
                </w:tc>
              </w:sdtContent>
            </w:sdt>
          </w:tr>
          <w:tr w:rsidR="007E7472" w14:paraId="6A145FEA" w14:textId="77777777">
            <w:tc>
              <w:tcPr>
                <w:tcW w:w="818" w:type="pct"/>
                <w:vMerge/>
                <w:shd w:val="clear" w:color="auto" w:fill="FFFFFF"/>
              </w:tcPr>
              <w:p w14:paraId="75A1FD50" w14:textId="77777777" w:rsidR="007E7472" w:rsidRDefault="00C8327E">
                <w:pPr>
                  <w:jc w:val="center"/>
                </w:pPr>
              </w:p>
            </w:tc>
            <w:tc>
              <w:tcPr>
                <w:tcW w:w="687" w:type="pct"/>
                <w:vMerge/>
                <w:shd w:val="clear" w:color="auto" w:fill="FFFFFF"/>
              </w:tcPr>
              <w:p w14:paraId="627FD182" w14:textId="77777777" w:rsidR="007E7472" w:rsidRDefault="00C8327E">
                <w:pPr>
                  <w:jc w:val="center"/>
                </w:pPr>
              </w:p>
            </w:tc>
            <w:sdt>
              <w:sdtPr>
                <w:tag w:val="_PLD_6cba23a5661e46c88bed469159b39a72"/>
                <w:id w:val="-1921240195"/>
                <w:lock w:val="sdtLocked"/>
              </w:sdtPr>
              <w:sdtEndPr/>
              <w:sdtContent>
                <w:tc>
                  <w:tcPr>
                    <w:tcW w:w="746" w:type="pct"/>
                    <w:shd w:val="clear" w:color="auto" w:fill="FFFFFF"/>
                    <w:vAlign w:val="center"/>
                  </w:tcPr>
                  <w:p w14:paraId="5C955459" w14:textId="77777777" w:rsidR="007E7472" w:rsidRDefault="00EC1269">
                    <w:pPr>
                      <w:jc w:val="center"/>
                    </w:pPr>
                    <w:r>
                      <w:t>计提</w:t>
                    </w:r>
                  </w:p>
                </w:tc>
              </w:sdtContent>
            </w:sdt>
            <w:sdt>
              <w:sdtPr>
                <w:tag w:val="_PLD_eaa82901608843c6947a0e537e8e0700"/>
                <w:id w:val="-1637567827"/>
                <w:lock w:val="sdtLocked"/>
              </w:sdtPr>
              <w:sdtEndPr/>
              <w:sdtContent>
                <w:tc>
                  <w:tcPr>
                    <w:tcW w:w="687" w:type="pct"/>
                    <w:shd w:val="clear" w:color="auto" w:fill="FFFFFF"/>
                    <w:vAlign w:val="center"/>
                  </w:tcPr>
                  <w:p w14:paraId="67D1B84A" w14:textId="77777777" w:rsidR="007E7472" w:rsidRDefault="00EC1269">
                    <w:pPr>
                      <w:jc w:val="center"/>
                    </w:pPr>
                    <w:r>
                      <w:rPr>
                        <w:rFonts w:hint="eastAsia"/>
                      </w:rPr>
                      <w:t>收回或转回</w:t>
                    </w:r>
                  </w:p>
                </w:tc>
              </w:sdtContent>
            </w:sdt>
            <w:tc>
              <w:tcPr>
                <w:tcW w:w="689" w:type="pct"/>
                <w:shd w:val="clear" w:color="auto" w:fill="FFFFFF"/>
                <w:vAlign w:val="center"/>
              </w:tcPr>
              <w:sdt>
                <w:sdtPr>
                  <w:rPr>
                    <w:rFonts w:hint="eastAsia"/>
                  </w:rPr>
                  <w:tag w:val="_PLD_4232da6e7f4d498bb5fd03aa253dd7d4"/>
                  <w:id w:val="-329910788"/>
                  <w:lock w:val="sdtLocked"/>
                </w:sdtPr>
                <w:sdtEndPr/>
                <w:sdtContent>
                  <w:p w14:paraId="7397E68A" w14:textId="77777777" w:rsidR="007E7472" w:rsidRDefault="00EC1269">
                    <w:pPr>
                      <w:jc w:val="center"/>
                    </w:pPr>
                    <w:r>
                      <w:rPr>
                        <w:rFonts w:hint="eastAsia"/>
                      </w:rPr>
                      <w:t>转销或核销</w:t>
                    </w:r>
                  </w:p>
                </w:sdtContent>
              </w:sdt>
            </w:tc>
            <w:tc>
              <w:tcPr>
                <w:tcW w:w="687" w:type="pct"/>
                <w:shd w:val="clear" w:color="auto" w:fill="FFFFFF"/>
                <w:vAlign w:val="center"/>
              </w:tcPr>
              <w:sdt>
                <w:sdtPr>
                  <w:rPr>
                    <w:rFonts w:hint="eastAsia"/>
                  </w:rPr>
                  <w:tag w:val="_PLD_6a40df7ca60f4ded8af3453519948166"/>
                  <w:id w:val="962306274"/>
                  <w:lock w:val="sdtLocked"/>
                </w:sdtPr>
                <w:sdtEndPr/>
                <w:sdtContent>
                  <w:p w14:paraId="25743F69" w14:textId="77777777" w:rsidR="007E7472" w:rsidRDefault="00EC1269">
                    <w:pPr>
                      <w:jc w:val="center"/>
                    </w:pPr>
                    <w:r>
                      <w:rPr>
                        <w:rFonts w:hint="eastAsia"/>
                      </w:rPr>
                      <w:t>其他变动</w:t>
                    </w:r>
                  </w:p>
                </w:sdtContent>
              </w:sdt>
            </w:tc>
            <w:tc>
              <w:tcPr>
                <w:tcW w:w="685" w:type="pct"/>
                <w:vMerge/>
                <w:shd w:val="clear" w:color="auto" w:fill="FFFFFF"/>
              </w:tcPr>
              <w:p w14:paraId="77B15B9C" w14:textId="77777777" w:rsidR="007E7472" w:rsidRDefault="00C8327E">
                <w:pPr>
                  <w:jc w:val="right"/>
                </w:pPr>
              </w:p>
            </w:tc>
          </w:tr>
          <w:sdt>
            <w:sdtPr>
              <w:alias w:val="应收账款坏账准备明细"/>
              <w:tag w:val="_TUP_04277916d7e64096951ac7654a59b39a"/>
              <w:id w:val="1829010109"/>
              <w:lock w:val="sdtLocked"/>
            </w:sdtPr>
            <w:sdtEndPr/>
            <w:sdtContent>
              <w:tr w:rsidR="007E7472" w14:paraId="38FE4735" w14:textId="77777777" w:rsidTr="007E7472">
                <w:trPr>
                  <w:trHeight w:val="340"/>
                </w:trPr>
                <w:tc>
                  <w:tcPr>
                    <w:tcW w:w="818" w:type="pct"/>
                    <w:shd w:val="clear" w:color="auto" w:fill="auto"/>
                    <w:vAlign w:val="center"/>
                  </w:tcPr>
                  <w:p w14:paraId="2AB071BF" w14:textId="77777777" w:rsidR="007E7472" w:rsidRDefault="00EC1269">
                    <w:r>
                      <w:rPr>
                        <w:rFonts w:hint="eastAsia"/>
                      </w:rPr>
                      <w:t>坏账准备</w:t>
                    </w:r>
                  </w:p>
                </w:tc>
                <w:tc>
                  <w:tcPr>
                    <w:tcW w:w="687" w:type="pct"/>
                    <w:shd w:val="clear" w:color="auto" w:fill="auto"/>
                    <w:vAlign w:val="center"/>
                  </w:tcPr>
                  <w:p w14:paraId="4E0868C7" w14:textId="77777777" w:rsidR="007E7472" w:rsidRDefault="00EC1269">
                    <w:pPr>
                      <w:jc w:val="right"/>
                    </w:pPr>
                    <w:r>
                      <w:t>339,187</w:t>
                    </w:r>
                  </w:p>
                </w:tc>
                <w:tc>
                  <w:tcPr>
                    <w:tcW w:w="746" w:type="pct"/>
                    <w:shd w:val="clear" w:color="auto" w:fill="auto"/>
                    <w:vAlign w:val="center"/>
                  </w:tcPr>
                  <w:p w14:paraId="33A88391" w14:textId="77777777" w:rsidR="007E7472" w:rsidRDefault="00EC1269">
                    <w:pPr>
                      <w:jc w:val="right"/>
                    </w:pPr>
                    <w:r>
                      <w:t>31,460</w:t>
                    </w:r>
                  </w:p>
                </w:tc>
                <w:tc>
                  <w:tcPr>
                    <w:tcW w:w="687" w:type="pct"/>
                    <w:shd w:val="clear" w:color="auto" w:fill="auto"/>
                    <w:vAlign w:val="center"/>
                  </w:tcPr>
                  <w:p w14:paraId="62CC3361" w14:textId="77777777" w:rsidR="007E7472" w:rsidRDefault="00EC1269">
                    <w:pPr>
                      <w:jc w:val="right"/>
                    </w:pPr>
                    <w:r>
                      <w:t>-21,116</w:t>
                    </w:r>
                  </w:p>
                </w:tc>
                <w:tc>
                  <w:tcPr>
                    <w:tcW w:w="689" w:type="pct"/>
                    <w:vAlign w:val="center"/>
                  </w:tcPr>
                  <w:p w14:paraId="4EDC0B0C" w14:textId="77777777" w:rsidR="007E7472" w:rsidRDefault="00C8327E">
                    <w:pPr>
                      <w:jc w:val="right"/>
                    </w:pPr>
                  </w:p>
                </w:tc>
                <w:tc>
                  <w:tcPr>
                    <w:tcW w:w="687" w:type="pct"/>
                    <w:vAlign w:val="center"/>
                  </w:tcPr>
                  <w:p w14:paraId="6AA09A08" w14:textId="77777777" w:rsidR="007E7472" w:rsidRDefault="00C8327E">
                    <w:pPr>
                      <w:jc w:val="right"/>
                    </w:pPr>
                  </w:p>
                </w:tc>
                <w:tc>
                  <w:tcPr>
                    <w:tcW w:w="685" w:type="pct"/>
                    <w:shd w:val="clear" w:color="auto" w:fill="auto"/>
                    <w:vAlign w:val="center"/>
                  </w:tcPr>
                  <w:p w14:paraId="2E421A78" w14:textId="77777777" w:rsidR="007E7472" w:rsidRDefault="00EC1269">
                    <w:pPr>
                      <w:jc w:val="right"/>
                    </w:pPr>
                    <w:r>
                      <w:t>349,531</w:t>
                    </w:r>
                  </w:p>
                </w:tc>
              </w:tr>
            </w:sdtContent>
          </w:sdt>
          <w:tr w:rsidR="007E7472" w14:paraId="565C7F35" w14:textId="77777777" w:rsidTr="007E7472">
            <w:trPr>
              <w:trHeight w:val="340"/>
            </w:trPr>
            <w:sdt>
              <w:sdtPr>
                <w:tag w:val="_PLD_8c958a5c94c1486e8139bef49c636c6d"/>
                <w:id w:val="200133783"/>
                <w:lock w:val="sdtLocked"/>
              </w:sdtPr>
              <w:sdtEndPr/>
              <w:sdtContent>
                <w:tc>
                  <w:tcPr>
                    <w:tcW w:w="818" w:type="pct"/>
                    <w:shd w:val="clear" w:color="auto" w:fill="auto"/>
                    <w:vAlign w:val="center"/>
                  </w:tcPr>
                  <w:p w14:paraId="0DFE9F63" w14:textId="77777777" w:rsidR="007E7472" w:rsidRDefault="00EC1269">
                    <w:pPr>
                      <w:jc w:val="center"/>
                    </w:pPr>
                    <w:r>
                      <w:rPr>
                        <w:rFonts w:hint="eastAsia"/>
                      </w:rPr>
                      <w:t>合计</w:t>
                    </w:r>
                  </w:p>
                </w:tc>
              </w:sdtContent>
            </w:sdt>
            <w:tc>
              <w:tcPr>
                <w:tcW w:w="687" w:type="pct"/>
                <w:shd w:val="clear" w:color="auto" w:fill="auto"/>
                <w:vAlign w:val="center"/>
              </w:tcPr>
              <w:p w14:paraId="7C35585A" w14:textId="77777777" w:rsidR="007E7472" w:rsidRDefault="00EC1269">
                <w:pPr>
                  <w:jc w:val="right"/>
                  <w:rPr>
                    <w:bCs/>
                  </w:rPr>
                </w:pPr>
                <w:r>
                  <w:t>339,187</w:t>
                </w:r>
              </w:p>
            </w:tc>
            <w:tc>
              <w:tcPr>
                <w:tcW w:w="746" w:type="pct"/>
                <w:shd w:val="clear" w:color="auto" w:fill="auto"/>
                <w:vAlign w:val="center"/>
              </w:tcPr>
              <w:p w14:paraId="258B6829" w14:textId="77777777" w:rsidR="007E7472" w:rsidRDefault="00EC1269">
                <w:pPr>
                  <w:jc w:val="right"/>
                </w:pPr>
                <w:r>
                  <w:t>31,460</w:t>
                </w:r>
              </w:p>
            </w:tc>
            <w:tc>
              <w:tcPr>
                <w:tcW w:w="687" w:type="pct"/>
                <w:shd w:val="clear" w:color="auto" w:fill="auto"/>
                <w:vAlign w:val="center"/>
              </w:tcPr>
              <w:p w14:paraId="7027C349" w14:textId="77777777" w:rsidR="007E7472" w:rsidRDefault="00EC1269">
                <w:pPr>
                  <w:jc w:val="right"/>
                </w:pPr>
                <w:r>
                  <w:t>-21,116</w:t>
                </w:r>
              </w:p>
            </w:tc>
            <w:tc>
              <w:tcPr>
                <w:tcW w:w="689" w:type="pct"/>
                <w:vAlign w:val="center"/>
              </w:tcPr>
              <w:p w14:paraId="407BB1EB" w14:textId="77777777" w:rsidR="007E7472" w:rsidRDefault="00C8327E">
                <w:pPr>
                  <w:jc w:val="right"/>
                </w:pPr>
              </w:p>
            </w:tc>
            <w:tc>
              <w:tcPr>
                <w:tcW w:w="687" w:type="pct"/>
                <w:vAlign w:val="center"/>
              </w:tcPr>
              <w:p w14:paraId="64655B83" w14:textId="77777777" w:rsidR="007E7472" w:rsidRDefault="00C8327E">
                <w:pPr>
                  <w:jc w:val="right"/>
                </w:pPr>
              </w:p>
            </w:tc>
            <w:tc>
              <w:tcPr>
                <w:tcW w:w="685" w:type="pct"/>
                <w:shd w:val="clear" w:color="auto" w:fill="auto"/>
                <w:vAlign w:val="center"/>
              </w:tcPr>
              <w:p w14:paraId="1F7493F2" w14:textId="77777777" w:rsidR="007E7472" w:rsidRDefault="00EC1269">
                <w:pPr>
                  <w:jc w:val="right"/>
                </w:pPr>
                <w:r>
                  <w:t>349,531</w:t>
                </w:r>
              </w:p>
            </w:tc>
          </w:tr>
        </w:tbl>
        <w:p w14:paraId="3588FB5B" w14:textId="77777777" w:rsidR="007E7472" w:rsidRDefault="00C8327E"/>
        <w:p w14:paraId="631FA980" w14:textId="77777777" w:rsidR="007E7472" w:rsidRDefault="00EC1269">
          <w:r>
            <w:rPr>
              <w:rFonts w:hint="eastAsia"/>
            </w:rPr>
            <w:t>其中本期坏账准备收回或转回金额重要的：</w:t>
          </w:r>
        </w:p>
        <w:sdt>
          <w:sdtPr>
            <w:alias w:val="是否适用：其中本期坏账准备收回或转回金额重要的[双击切换]"/>
            <w:tag w:val="_GBC_362288b01950422da8198293b517eeb5"/>
            <w:id w:val="570319069"/>
            <w:lock w:val="sdtLocked"/>
            <w:placeholder>
              <w:docPart w:val="GBC22222222222222222222222222222"/>
            </w:placeholder>
          </w:sdtPr>
          <w:sdtEndPr/>
          <w:sdtContent>
            <w:p w14:paraId="50B66C5D"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fldChar w:fldCharType="begin"/>
              </w:r>
              <w:r>
                <w:instrText xml:space="preserve"> MACROBUTTON  SnrToggleCheckbox √不适用 </w:instrText>
              </w:r>
              <w:r>
                <w:fldChar w:fldCharType="end"/>
              </w:r>
            </w:p>
          </w:sdtContent>
        </w:sdt>
        <w:p w14:paraId="016815F6" w14:textId="77777777" w:rsidR="007E7472" w:rsidRDefault="00C8327E">
          <w:pPr>
            <w:ind w:rightChars="-759" w:right="-1594"/>
          </w:pPr>
        </w:p>
      </w:sdtContent>
    </w:sdt>
    <w:bookmarkEnd w:id="173"/>
    <w:p w14:paraId="111F409B" w14:textId="77777777" w:rsidR="007E7472" w:rsidRDefault="00C8327E"/>
    <w:sdt>
      <w:sdtPr>
        <w:rPr>
          <w:rFonts w:ascii="宋体" w:hAnsi="宋体" w:cs="宋体" w:hint="eastAsia"/>
          <w:b w:val="0"/>
          <w:bCs w:val="0"/>
          <w:kern w:val="0"/>
          <w:sz w:val="20"/>
          <w:szCs w:val="21"/>
        </w:rPr>
        <w:alias w:val="模块:本报告期实际核销的应收账款情况"/>
        <w:tag w:val="_GBC_af8ceb97930d4d7391d4823a068c824b"/>
        <w:id w:val="389779095"/>
        <w:lock w:val="sdtLocked"/>
        <w:placeholder>
          <w:docPart w:val="GBC22222222222222222222222222222"/>
        </w:placeholder>
      </w:sdtPr>
      <w:sdtEndPr>
        <w:rPr>
          <w:rFonts w:hint="default"/>
        </w:rPr>
      </w:sdtEndPr>
      <w:sdtContent>
        <w:p w14:paraId="76FE43A9" w14:textId="77777777" w:rsidR="007E7472" w:rsidRDefault="00EC1269" w:rsidP="00162493">
          <w:pPr>
            <w:pStyle w:val="4"/>
            <w:numPr>
              <w:ilvl w:val="0"/>
              <w:numId w:val="64"/>
            </w:numPr>
          </w:pPr>
          <w:r>
            <w:t>本期实际核销的应收</w:t>
          </w:r>
          <w:r>
            <w:rPr>
              <w:rFonts w:hint="eastAsia"/>
            </w:rPr>
            <w:t>账款</w:t>
          </w:r>
          <w:r>
            <w:t>情况</w:t>
          </w:r>
        </w:p>
        <w:sdt>
          <w:sdtPr>
            <w:alias w:val="是否适用：本期实际核销的应收账款情况[双击切换]"/>
            <w:tag w:val="_GBC_240341a3455747bb87ecabf420d94ec5"/>
            <w:id w:val="-645823763"/>
            <w:lock w:val="sdtLocked"/>
            <w:placeholder>
              <w:docPart w:val="GBC22222222222222222222222222222"/>
            </w:placeholder>
          </w:sdtPr>
          <w:sdtEndPr/>
          <w:sdtContent>
            <w:p w14:paraId="1376AF6F"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47D991E3" w14:textId="1FCFC9CB" w:rsidR="007E7472" w:rsidRDefault="00C8327E"/>
      </w:sdtContent>
    </w:sdt>
    <w:sdt>
      <w:sdtPr>
        <w:rPr>
          <w:rFonts w:ascii="宋体" w:hAnsi="宋体" w:cs="宋体" w:hint="eastAsia"/>
          <w:b w:val="0"/>
          <w:bCs w:val="0"/>
          <w:kern w:val="0"/>
          <w:szCs w:val="21"/>
        </w:rPr>
        <w:alias w:val="模块:按欠款方归集的期末余额前五名的应收账款情况："/>
        <w:tag w:val="_GBC_e8adf46f2d204834ad681ac980eff4f7"/>
        <w:id w:val="1391847402"/>
        <w:lock w:val="sdtLocked"/>
        <w:placeholder>
          <w:docPart w:val="GBC22222222222222222222222222222"/>
        </w:placeholder>
      </w:sdtPr>
      <w:sdtEndPr/>
      <w:sdtContent>
        <w:p w14:paraId="00BE829E" w14:textId="77777777" w:rsidR="007E7472" w:rsidRDefault="00EC1269" w:rsidP="00162493">
          <w:pPr>
            <w:pStyle w:val="4"/>
            <w:numPr>
              <w:ilvl w:val="0"/>
              <w:numId w:val="64"/>
            </w:numPr>
          </w:pPr>
          <w:r>
            <w:rPr>
              <w:rFonts w:hint="eastAsia"/>
            </w:rPr>
            <w:t>按欠款方归集的期末余额前五名的应收账款情况</w:t>
          </w:r>
        </w:p>
        <w:sdt>
          <w:sdtPr>
            <w:rPr>
              <w:rFonts w:hint="eastAsia"/>
            </w:rPr>
            <w:alias w:val="是否适用：按欠款方归集的期末余额前五名的应收账款情况[双击切换]"/>
            <w:tag w:val="_GBC_26f285dee1444697be56ea61bc5c0578"/>
            <w:id w:val="-1960167231"/>
            <w:lock w:val="sdtLocked"/>
            <w:placeholder>
              <w:docPart w:val="GBC22222222222222222222222222222"/>
            </w:placeholder>
          </w:sdtPr>
          <w:sdtEndPr/>
          <w:sdtContent>
            <w:p w14:paraId="27A59003" w14:textId="77777777" w:rsidR="007E7472" w:rsidRDefault="00EC1269">
              <w:pPr>
                <w:snapToGrid w:val="0"/>
                <w:spacing w:line="240" w:lineRule="atLeast"/>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Times New Roman" w:hAnsi="Times New Roman" w:cs="Times New Roman"/>
            </w:rPr>
            <w:alias w:val="按欠款方归集的期末余额前五名的应收账款情况的说明"/>
            <w:tag w:val="_GBC_064b41eb9e58440dace7a84b96b840f2"/>
            <w:id w:val="-1558084821"/>
            <w:lock w:val="sdtLocked"/>
            <w:placeholder>
              <w:docPart w:val="GBC22222222222222222222222222222"/>
            </w:placeholder>
          </w:sdtPr>
          <w:sdtEndPr/>
          <w:sdtContent>
            <w:p w14:paraId="159287CE" w14:textId="77777777" w:rsidR="007E7472" w:rsidRDefault="00C8327E">
              <w:pPr>
                <w:snapToGrid w:val="0"/>
                <w:spacing w:line="240" w:lineRule="atLeast"/>
              </w:pPr>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2268"/>
                <w:gridCol w:w="2126"/>
                <w:gridCol w:w="1173"/>
              </w:tblGrid>
              <w:tr w:rsidR="007E7472" w14:paraId="51E404EE" w14:textId="77777777" w:rsidTr="007E7472">
                <w:tc>
                  <w:tcPr>
                    <w:tcW w:w="1845" w:type="pct"/>
                    <w:vAlign w:val="center"/>
                  </w:tcPr>
                  <w:p w14:paraId="3170981B" w14:textId="77777777" w:rsidR="007E7472" w:rsidRDefault="00EC1269">
                    <w:pPr>
                      <w:snapToGrid w:val="0"/>
                      <w:spacing w:line="240" w:lineRule="atLeast"/>
                      <w:jc w:val="center"/>
                    </w:pPr>
                    <w:r>
                      <w:rPr>
                        <w:rFonts w:hint="eastAsia"/>
                      </w:rPr>
                      <w:t>单位名称</w:t>
                    </w:r>
                  </w:p>
                </w:tc>
                <w:tc>
                  <w:tcPr>
                    <w:tcW w:w="1285" w:type="pct"/>
                    <w:vAlign w:val="center"/>
                  </w:tcPr>
                  <w:p w14:paraId="478810B9" w14:textId="77777777" w:rsidR="007E7472" w:rsidRDefault="00EC1269">
                    <w:pPr>
                      <w:snapToGrid w:val="0"/>
                      <w:spacing w:line="240" w:lineRule="atLeast"/>
                      <w:jc w:val="center"/>
                    </w:pPr>
                    <w:r>
                      <w:rPr>
                        <w:rFonts w:hint="eastAsia"/>
                      </w:rPr>
                      <w:t>年末余额</w:t>
                    </w:r>
                  </w:p>
                </w:tc>
                <w:tc>
                  <w:tcPr>
                    <w:tcW w:w="1205" w:type="pct"/>
                    <w:vAlign w:val="center"/>
                  </w:tcPr>
                  <w:p w14:paraId="49F66149" w14:textId="77777777" w:rsidR="007E7472" w:rsidRDefault="00EC1269">
                    <w:pPr>
                      <w:snapToGrid w:val="0"/>
                      <w:spacing w:line="240" w:lineRule="atLeast"/>
                      <w:jc w:val="center"/>
                    </w:pPr>
                    <w:r>
                      <w:rPr>
                        <w:rFonts w:hint="eastAsia"/>
                      </w:rPr>
                      <w:t>占应收账款年末余额合计数的比例</w:t>
                    </w:r>
                    <w:r>
                      <w:t>(%)</w:t>
                    </w:r>
                  </w:p>
                </w:tc>
                <w:tc>
                  <w:tcPr>
                    <w:tcW w:w="665" w:type="pct"/>
                    <w:vAlign w:val="center"/>
                  </w:tcPr>
                  <w:p w14:paraId="0BFF0809" w14:textId="77777777" w:rsidR="007E7472" w:rsidRDefault="00EC1269">
                    <w:pPr>
                      <w:snapToGrid w:val="0"/>
                      <w:spacing w:line="240" w:lineRule="atLeast"/>
                      <w:jc w:val="center"/>
                    </w:pPr>
                    <w:r>
                      <w:rPr>
                        <w:rFonts w:hint="eastAsia"/>
                      </w:rPr>
                      <w:t>坏账准备期末余额</w:t>
                    </w:r>
                  </w:p>
                </w:tc>
              </w:tr>
              <w:tr w:rsidR="007E7472" w14:paraId="043C41B3" w14:textId="77777777" w:rsidTr="007E7472">
                <w:tc>
                  <w:tcPr>
                    <w:tcW w:w="1845" w:type="pct"/>
                    <w:vAlign w:val="center"/>
                  </w:tcPr>
                  <w:p w14:paraId="339DF920" w14:textId="0D4ECE29" w:rsidR="007E7472" w:rsidRDefault="00162493">
                    <w:pPr>
                      <w:snapToGrid w:val="0"/>
                      <w:spacing w:line="240" w:lineRule="atLeast"/>
                    </w:pPr>
                    <w:r>
                      <w:rPr>
                        <w:rFonts w:hint="eastAsia"/>
                      </w:rPr>
                      <w:t>公司1</w:t>
                    </w:r>
                  </w:p>
                </w:tc>
                <w:tc>
                  <w:tcPr>
                    <w:tcW w:w="1285" w:type="pct"/>
                    <w:shd w:val="clear" w:color="auto" w:fill="auto"/>
                    <w:vAlign w:val="center"/>
                  </w:tcPr>
                  <w:p w14:paraId="4E6B1239" w14:textId="77777777" w:rsidR="007E7472" w:rsidRDefault="00EC1269">
                    <w:pPr>
                      <w:jc w:val="right"/>
                    </w:pPr>
                    <w:r>
                      <w:rPr>
                        <w:rFonts w:hint="eastAsia"/>
                      </w:rPr>
                      <w:t>528,450</w:t>
                    </w:r>
                  </w:p>
                </w:tc>
                <w:tc>
                  <w:tcPr>
                    <w:tcW w:w="1205" w:type="pct"/>
                    <w:shd w:val="clear" w:color="auto" w:fill="auto"/>
                    <w:vAlign w:val="center"/>
                  </w:tcPr>
                  <w:p w14:paraId="7CA6E720" w14:textId="77777777" w:rsidR="007E7472" w:rsidRDefault="00EC1269">
                    <w:pPr>
                      <w:jc w:val="right"/>
                    </w:pPr>
                    <w:r>
                      <w:rPr>
                        <w:rFonts w:hint="eastAsia"/>
                      </w:rPr>
                      <w:t>7</w:t>
                    </w:r>
                  </w:p>
                </w:tc>
                <w:tc>
                  <w:tcPr>
                    <w:tcW w:w="665" w:type="pct"/>
                    <w:vAlign w:val="center"/>
                  </w:tcPr>
                  <w:p w14:paraId="29FDAF56" w14:textId="77777777" w:rsidR="007E7472" w:rsidRDefault="00EC1269">
                    <w:pPr>
                      <w:jc w:val="right"/>
                    </w:pPr>
                    <w:r>
                      <w:rPr>
                        <w:rFonts w:hint="eastAsia"/>
                      </w:rPr>
                      <w:t>1</w:t>
                    </w:r>
                    <w:r>
                      <w:t>80</w:t>
                    </w:r>
                  </w:p>
                </w:tc>
              </w:tr>
              <w:tr w:rsidR="007E7472" w14:paraId="0A95566A" w14:textId="77777777" w:rsidTr="007E7472">
                <w:tc>
                  <w:tcPr>
                    <w:tcW w:w="1845" w:type="pct"/>
                    <w:vAlign w:val="center"/>
                  </w:tcPr>
                  <w:p w14:paraId="16B12022" w14:textId="41282533" w:rsidR="007E7472" w:rsidRDefault="00162493">
                    <w:pPr>
                      <w:snapToGrid w:val="0"/>
                      <w:spacing w:line="240" w:lineRule="atLeast"/>
                    </w:pPr>
                    <w:r w:rsidRPr="005B7D41">
                      <w:rPr>
                        <w:rFonts w:hint="eastAsia"/>
                      </w:rPr>
                      <w:t>公司</w:t>
                    </w:r>
                    <w:r>
                      <w:rPr>
                        <w:rFonts w:hint="eastAsia"/>
                      </w:rPr>
                      <w:t>2</w:t>
                    </w:r>
                  </w:p>
                </w:tc>
                <w:tc>
                  <w:tcPr>
                    <w:tcW w:w="1285" w:type="pct"/>
                    <w:shd w:val="clear" w:color="auto" w:fill="auto"/>
                    <w:vAlign w:val="center"/>
                  </w:tcPr>
                  <w:p w14:paraId="242A835B" w14:textId="77777777" w:rsidR="007E7472" w:rsidRDefault="00EC1269">
                    <w:pPr>
                      <w:jc w:val="right"/>
                    </w:pPr>
                    <w:r>
                      <w:rPr>
                        <w:rFonts w:hint="eastAsia"/>
                      </w:rPr>
                      <w:t>262,282</w:t>
                    </w:r>
                  </w:p>
                </w:tc>
                <w:tc>
                  <w:tcPr>
                    <w:tcW w:w="1205" w:type="pct"/>
                    <w:shd w:val="clear" w:color="auto" w:fill="auto"/>
                    <w:vAlign w:val="center"/>
                  </w:tcPr>
                  <w:p w14:paraId="0DFE0D15" w14:textId="77777777" w:rsidR="007E7472" w:rsidRDefault="00EC1269">
                    <w:pPr>
                      <w:jc w:val="right"/>
                    </w:pPr>
                    <w:r>
                      <w:rPr>
                        <w:rFonts w:hint="eastAsia"/>
                      </w:rPr>
                      <w:t>4</w:t>
                    </w:r>
                  </w:p>
                </w:tc>
                <w:tc>
                  <w:tcPr>
                    <w:tcW w:w="665" w:type="pct"/>
                    <w:vAlign w:val="center"/>
                  </w:tcPr>
                  <w:p w14:paraId="66489BFE" w14:textId="77777777" w:rsidR="007E7472" w:rsidRDefault="00EC1269">
                    <w:pPr>
                      <w:jc w:val="right"/>
                    </w:pPr>
                    <w:r>
                      <w:rPr>
                        <w:rFonts w:hint="eastAsia"/>
                      </w:rPr>
                      <w:t>1</w:t>
                    </w:r>
                    <w:r>
                      <w:t>83,599</w:t>
                    </w:r>
                  </w:p>
                </w:tc>
              </w:tr>
              <w:tr w:rsidR="007E7472" w14:paraId="025C3125" w14:textId="77777777" w:rsidTr="007E7472">
                <w:tc>
                  <w:tcPr>
                    <w:tcW w:w="1845" w:type="pct"/>
                    <w:vAlign w:val="center"/>
                  </w:tcPr>
                  <w:p w14:paraId="1E20CCA5" w14:textId="1E0F0821" w:rsidR="007E7472" w:rsidRDefault="00162493">
                    <w:pPr>
                      <w:snapToGrid w:val="0"/>
                      <w:spacing w:line="240" w:lineRule="atLeast"/>
                    </w:pPr>
                    <w:r w:rsidRPr="005B7D41">
                      <w:rPr>
                        <w:rFonts w:hint="eastAsia"/>
                      </w:rPr>
                      <w:lastRenderedPageBreak/>
                      <w:t>公司</w:t>
                    </w:r>
                    <w:r>
                      <w:rPr>
                        <w:rFonts w:hint="eastAsia"/>
                      </w:rPr>
                      <w:t>3</w:t>
                    </w:r>
                  </w:p>
                </w:tc>
                <w:tc>
                  <w:tcPr>
                    <w:tcW w:w="1285" w:type="pct"/>
                    <w:shd w:val="clear" w:color="auto" w:fill="auto"/>
                    <w:vAlign w:val="center"/>
                  </w:tcPr>
                  <w:p w14:paraId="6B5788E4" w14:textId="77777777" w:rsidR="007E7472" w:rsidRDefault="00EC1269">
                    <w:pPr>
                      <w:jc w:val="right"/>
                    </w:pPr>
                    <w:r>
                      <w:rPr>
                        <w:rFonts w:hint="eastAsia"/>
                      </w:rPr>
                      <w:t>257,096</w:t>
                    </w:r>
                  </w:p>
                </w:tc>
                <w:tc>
                  <w:tcPr>
                    <w:tcW w:w="1205" w:type="pct"/>
                    <w:shd w:val="clear" w:color="auto" w:fill="auto"/>
                    <w:vAlign w:val="center"/>
                  </w:tcPr>
                  <w:p w14:paraId="182B8073" w14:textId="77777777" w:rsidR="007E7472" w:rsidRDefault="00EC1269">
                    <w:pPr>
                      <w:jc w:val="right"/>
                    </w:pPr>
                    <w:r>
                      <w:rPr>
                        <w:rFonts w:hint="eastAsia"/>
                      </w:rPr>
                      <w:t>4</w:t>
                    </w:r>
                  </w:p>
                </w:tc>
                <w:tc>
                  <w:tcPr>
                    <w:tcW w:w="665" w:type="pct"/>
                    <w:vAlign w:val="center"/>
                  </w:tcPr>
                  <w:p w14:paraId="57EB8BBA" w14:textId="77777777" w:rsidR="007E7472" w:rsidRDefault="00C8327E">
                    <w:pPr>
                      <w:jc w:val="right"/>
                    </w:pPr>
                  </w:p>
                </w:tc>
              </w:tr>
              <w:tr w:rsidR="007E7472" w14:paraId="1638ECB9" w14:textId="77777777" w:rsidTr="007E7472">
                <w:tc>
                  <w:tcPr>
                    <w:tcW w:w="1845" w:type="pct"/>
                    <w:vAlign w:val="center"/>
                  </w:tcPr>
                  <w:p w14:paraId="25D6125D" w14:textId="264A7459" w:rsidR="007E7472" w:rsidRDefault="00162493">
                    <w:pPr>
                      <w:snapToGrid w:val="0"/>
                      <w:spacing w:line="240" w:lineRule="atLeast"/>
                    </w:pPr>
                    <w:r w:rsidRPr="005B7D41">
                      <w:rPr>
                        <w:rFonts w:hint="eastAsia"/>
                      </w:rPr>
                      <w:t>公司</w:t>
                    </w:r>
                    <w:r>
                      <w:rPr>
                        <w:rFonts w:hint="eastAsia"/>
                      </w:rPr>
                      <w:t>4</w:t>
                    </w:r>
                  </w:p>
                </w:tc>
                <w:tc>
                  <w:tcPr>
                    <w:tcW w:w="1285" w:type="pct"/>
                    <w:shd w:val="clear" w:color="auto" w:fill="auto"/>
                    <w:vAlign w:val="center"/>
                  </w:tcPr>
                  <w:p w14:paraId="208B3CED" w14:textId="77777777" w:rsidR="007E7472" w:rsidRDefault="00EC1269">
                    <w:pPr>
                      <w:jc w:val="right"/>
                    </w:pPr>
                    <w:r>
                      <w:rPr>
                        <w:rFonts w:hint="eastAsia"/>
                      </w:rPr>
                      <w:t>234,742</w:t>
                    </w:r>
                  </w:p>
                </w:tc>
                <w:tc>
                  <w:tcPr>
                    <w:tcW w:w="1205" w:type="pct"/>
                    <w:shd w:val="clear" w:color="auto" w:fill="auto"/>
                    <w:vAlign w:val="center"/>
                  </w:tcPr>
                  <w:p w14:paraId="18AD10FD" w14:textId="77777777" w:rsidR="007E7472" w:rsidRDefault="00EC1269">
                    <w:pPr>
                      <w:jc w:val="right"/>
                    </w:pPr>
                    <w:r>
                      <w:rPr>
                        <w:rFonts w:hint="eastAsia"/>
                      </w:rPr>
                      <w:t>3</w:t>
                    </w:r>
                  </w:p>
                </w:tc>
                <w:tc>
                  <w:tcPr>
                    <w:tcW w:w="665" w:type="pct"/>
                    <w:vAlign w:val="center"/>
                  </w:tcPr>
                  <w:p w14:paraId="427178ED" w14:textId="77777777" w:rsidR="007E7472" w:rsidRDefault="00C8327E">
                    <w:pPr>
                      <w:jc w:val="right"/>
                    </w:pPr>
                  </w:p>
                </w:tc>
              </w:tr>
              <w:tr w:rsidR="007E7472" w14:paraId="14B1BEB4" w14:textId="77777777" w:rsidTr="007E7472">
                <w:tc>
                  <w:tcPr>
                    <w:tcW w:w="1845" w:type="pct"/>
                    <w:vAlign w:val="center"/>
                  </w:tcPr>
                  <w:p w14:paraId="20DE39C5" w14:textId="779EF6DD" w:rsidR="007E7472" w:rsidRDefault="00162493">
                    <w:pPr>
                      <w:snapToGrid w:val="0"/>
                      <w:spacing w:line="240" w:lineRule="atLeast"/>
                    </w:pPr>
                    <w:r w:rsidRPr="005B7D41">
                      <w:rPr>
                        <w:rFonts w:hint="eastAsia"/>
                      </w:rPr>
                      <w:t>公司</w:t>
                    </w:r>
                    <w:r>
                      <w:rPr>
                        <w:rFonts w:hint="eastAsia"/>
                      </w:rPr>
                      <w:t>5</w:t>
                    </w:r>
                  </w:p>
                </w:tc>
                <w:tc>
                  <w:tcPr>
                    <w:tcW w:w="1285" w:type="pct"/>
                    <w:shd w:val="clear" w:color="auto" w:fill="auto"/>
                    <w:vAlign w:val="center"/>
                  </w:tcPr>
                  <w:p w14:paraId="085AF5C3" w14:textId="77777777" w:rsidR="007E7472" w:rsidRDefault="00EC1269">
                    <w:pPr>
                      <w:jc w:val="right"/>
                    </w:pPr>
                    <w:r>
                      <w:rPr>
                        <w:rFonts w:hint="eastAsia"/>
                      </w:rPr>
                      <w:t>223,730</w:t>
                    </w:r>
                  </w:p>
                </w:tc>
                <w:tc>
                  <w:tcPr>
                    <w:tcW w:w="1205" w:type="pct"/>
                    <w:shd w:val="clear" w:color="auto" w:fill="auto"/>
                    <w:vAlign w:val="center"/>
                  </w:tcPr>
                  <w:p w14:paraId="24930059" w14:textId="77777777" w:rsidR="007E7472" w:rsidRDefault="00EC1269">
                    <w:pPr>
                      <w:jc w:val="right"/>
                    </w:pPr>
                    <w:r>
                      <w:rPr>
                        <w:rFonts w:hint="eastAsia"/>
                      </w:rPr>
                      <w:t>3</w:t>
                    </w:r>
                  </w:p>
                </w:tc>
                <w:tc>
                  <w:tcPr>
                    <w:tcW w:w="665" w:type="pct"/>
                    <w:vAlign w:val="center"/>
                  </w:tcPr>
                  <w:p w14:paraId="36812D40" w14:textId="77777777" w:rsidR="007E7472" w:rsidRDefault="00C8327E">
                    <w:pPr>
                      <w:jc w:val="right"/>
                    </w:pPr>
                  </w:p>
                </w:tc>
              </w:tr>
              <w:tr w:rsidR="007E7472" w14:paraId="4FB9AED1" w14:textId="77777777" w:rsidTr="007E7472">
                <w:tc>
                  <w:tcPr>
                    <w:tcW w:w="1845" w:type="pct"/>
                    <w:vAlign w:val="center"/>
                  </w:tcPr>
                  <w:p w14:paraId="01EDB9B0" w14:textId="77777777" w:rsidR="007E7472" w:rsidRDefault="00EC1269">
                    <w:pPr>
                      <w:snapToGrid w:val="0"/>
                      <w:spacing w:line="240" w:lineRule="atLeast"/>
                    </w:pPr>
                    <w:r>
                      <w:rPr>
                        <w:rFonts w:hint="eastAsia"/>
                      </w:rPr>
                      <w:t>合计</w:t>
                    </w:r>
                  </w:p>
                </w:tc>
                <w:tc>
                  <w:tcPr>
                    <w:tcW w:w="1285" w:type="pct"/>
                    <w:shd w:val="clear" w:color="auto" w:fill="auto"/>
                    <w:vAlign w:val="center"/>
                  </w:tcPr>
                  <w:p w14:paraId="17F9548E" w14:textId="77777777" w:rsidR="007E7472" w:rsidRDefault="00EC1269">
                    <w:pPr>
                      <w:jc w:val="right"/>
                    </w:pPr>
                    <w:r>
                      <w:rPr>
                        <w:rFonts w:hint="eastAsia"/>
                      </w:rPr>
                      <w:t>1,506,300</w:t>
                    </w:r>
                  </w:p>
                </w:tc>
                <w:tc>
                  <w:tcPr>
                    <w:tcW w:w="1205" w:type="pct"/>
                    <w:shd w:val="clear" w:color="auto" w:fill="auto"/>
                    <w:vAlign w:val="center"/>
                  </w:tcPr>
                  <w:p w14:paraId="532D873B" w14:textId="77777777" w:rsidR="007E7472" w:rsidRDefault="00EC1269">
                    <w:pPr>
                      <w:jc w:val="right"/>
                    </w:pPr>
                    <w:r>
                      <w:rPr>
                        <w:rFonts w:hint="eastAsia"/>
                      </w:rPr>
                      <w:t>21</w:t>
                    </w:r>
                  </w:p>
                </w:tc>
                <w:tc>
                  <w:tcPr>
                    <w:tcW w:w="665" w:type="pct"/>
                    <w:vAlign w:val="center"/>
                  </w:tcPr>
                  <w:p w14:paraId="14A9C365" w14:textId="77777777" w:rsidR="007E7472" w:rsidRDefault="00EC1269">
                    <w:pPr>
                      <w:jc w:val="right"/>
                    </w:pPr>
                    <w:r>
                      <w:t>183,779</w:t>
                    </w:r>
                  </w:p>
                </w:tc>
              </w:tr>
            </w:tbl>
            <w:p w14:paraId="21745973" w14:textId="77777777" w:rsidR="007E7472" w:rsidRDefault="00C8327E"/>
          </w:sdtContent>
        </w:sdt>
      </w:sdtContent>
    </w:sdt>
    <w:p w14:paraId="07985C3C" w14:textId="77777777" w:rsidR="007E7472" w:rsidRDefault="00C8327E">
      <w:pPr>
        <w:snapToGrid w:val="0"/>
        <w:spacing w:line="240" w:lineRule="atLeast"/>
        <w:ind w:leftChars="-50" w:left="-105"/>
      </w:pPr>
    </w:p>
    <w:sdt>
      <w:sdtPr>
        <w:rPr>
          <w:rFonts w:ascii="宋体" w:hAnsi="宋体" w:cs="宋体" w:hint="eastAsia"/>
          <w:b w:val="0"/>
          <w:bCs w:val="0"/>
          <w:kern w:val="0"/>
          <w:szCs w:val="24"/>
        </w:rPr>
        <w:alias w:val="模块:因金融资产转移而终止确认的应收账款"/>
        <w:tag w:val="_GBC_79d1ccfd87f84b4ab10a992730026aa0"/>
        <w:id w:val="570852592"/>
        <w:lock w:val="sdtLocked"/>
        <w:placeholder>
          <w:docPart w:val="GBC22222222222222222222222222222"/>
        </w:placeholder>
      </w:sdtPr>
      <w:sdtEndPr>
        <w:rPr>
          <w:szCs w:val="21"/>
        </w:rPr>
      </w:sdtEndPr>
      <w:sdtContent>
        <w:p w14:paraId="7B1719E6" w14:textId="77777777" w:rsidR="007E7472" w:rsidRDefault="00EC1269" w:rsidP="00162493">
          <w:pPr>
            <w:pStyle w:val="4"/>
            <w:numPr>
              <w:ilvl w:val="0"/>
              <w:numId w:val="64"/>
            </w:numPr>
          </w:pPr>
          <w:r>
            <w:rPr>
              <w:rFonts w:hint="eastAsia"/>
            </w:rPr>
            <w:t>因金融资产转移而终止确认的应收账款</w:t>
          </w:r>
        </w:p>
        <w:sdt>
          <w:sdtPr>
            <w:rPr>
              <w:rFonts w:hint="eastAsia"/>
            </w:rPr>
            <w:alias w:val="是否适用：因金融资产转移而终止确认的应收账款[双击切换]"/>
            <w:tag w:val="_GBC_49c226ad97e8410fb7b074c9336b510a"/>
            <w:id w:val="2046643168"/>
            <w:lock w:val="sdtLocked"/>
            <w:placeholder>
              <w:docPart w:val="GBC22222222222222222222222222222"/>
            </w:placeholder>
          </w:sdtPr>
          <w:sdtEndPr/>
          <w:sdtContent>
            <w:p w14:paraId="40497DEC" w14:textId="77777777" w:rsidR="007E7472" w:rsidRDefault="00EC1269">
              <w:pPr>
                <w:snapToGrid w:val="0"/>
                <w:spacing w:line="240" w:lineRule="atLeast"/>
              </w:pPr>
              <w:r>
                <w:rPr>
                  <w:rFonts w:asciiTheme="minorEastAsia" w:eastAsiaTheme="minorEastAsia" w:hAnsiTheme="minorEastAsia" w:cs="Times New Roman"/>
                </w:rPr>
                <w:fldChar w:fldCharType="begin"/>
              </w:r>
              <w:r>
                <w:rPr>
                  <w:rFonts w:asciiTheme="minorEastAsia" w:eastAsiaTheme="minorEastAsia" w:hAnsiTheme="minorEastAsia" w:cs="Times New Roman"/>
                </w:rPr>
                <w:instrText xml:space="preserve"> MACROBUTTON  SnrToggleCheckbox □适用 </w:instrText>
              </w:r>
              <w:r>
                <w:rPr>
                  <w:rFonts w:asciiTheme="minorEastAsia" w:eastAsiaTheme="minorEastAsia" w:hAnsiTheme="minorEastAsia" w:cs="Times New Roman"/>
                </w:rPr>
                <w:fldChar w:fldCharType="end"/>
              </w:r>
              <w:r>
                <w:rPr>
                  <w:rFonts w:asciiTheme="minorEastAsia" w:eastAsiaTheme="minorEastAsia" w:hAnsiTheme="minorEastAsia" w:cs="Times New Roman"/>
                </w:rPr>
                <w:fldChar w:fldCharType="begin"/>
              </w:r>
              <w:r>
                <w:rPr>
                  <w:rFonts w:asciiTheme="minorEastAsia" w:eastAsiaTheme="minorEastAsia" w:hAnsiTheme="minorEastAsia" w:cs="Times New Roman"/>
                </w:rPr>
                <w:instrText xml:space="preserve"> MACROBUTTON  SnrToggleCheckbox √不适用 </w:instrText>
              </w:r>
              <w:r>
                <w:rPr>
                  <w:rFonts w:asciiTheme="minorEastAsia" w:eastAsiaTheme="minorEastAsia" w:hAnsiTheme="minorEastAsia" w:cs="Times New Roman"/>
                </w:rPr>
                <w:fldChar w:fldCharType="end"/>
              </w:r>
            </w:p>
          </w:sdtContent>
        </w:sdt>
        <w:p w14:paraId="5E7099D4" w14:textId="77777777" w:rsidR="007E7472" w:rsidRDefault="00C8327E">
          <w:pPr>
            <w:snapToGrid w:val="0"/>
            <w:spacing w:line="240" w:lineRule="atLeast"/>
          </w:pPr>
        </w:p>
      </w:sdtContent>
    </w:sdt>
    <w:sdt>
      <w:sdtPr>
        <w:rPr>
          <w:rFonts w:ascii="宋体" w:hAnsi="宋体" w:cs="宋体" w:hint="eastAsia"/>
          <w:b w:val="0"/>
          <w:bCs w:val="0"/>
          <w:kern w:val="0"/>
          <w:szCs w:val="24"/>
        </w:rPr>
        <w:alias w:val="模块:转移应收账款且继续涉入的，分项列示继续涉入形成的资产、负债的金额"/>
        <w:tag w:val="_GBC_d3d5d3b413a24c269f804c6a3e3f1c06"/>
        <w:id w:val="2070227297"/>
        <w:lock w:val="sdtLocked"/>
        <w:placeholder>
          <w:docPart w:val="GBC22222222222222222222222222222"/>
        </w:placeholder>
      </w:sdtPr>
      <w:sdtEndPr>
        <w:rPr>
          <w:szCs w:val="21"/>
        </w:rPr>
      </w:sdtEndPr>
      <w:sdtContent>
        <w:p w14:paraId="20CA44B7" w14:textId="77777777" w:rsidR="007E7472" w:rsidRDefault="00EC1269" w:rsidP="00162493">
          <w:pPr>
            <w:pStyle w:val="4"/>
            <w:numPr>
              <w:ilvl w:val="0"/>
              <w:numId w:val="64"/>
            </w:numPr>
          </w:pPr>
          <w:r>
            <w:rPr>
              <w:rFonts w:hint="eastAsia"/>
            </w:rPr>
            <w:t>转移应收账款且继续涉入形成的资产、负债金额</w:t>
          </w:r>
        </w:p>
        <w:sdt>
          <w:sdtPr>
            <w:rPr>
              <w:rFonts w:hint="eastAsia"/>
            </w:rPr>
            <w:alias w:val="是否适用：转移应收账款且继续涉入形成的资产、负债金额[双击切换]"/>
            <w:tag w:val="_GBC_8916c4a80e024e80ab488fe678c14970"/>
            <w:id w:val="1264656581"/>
            <w:lock w:val="sdtLocked"/>
            <w:placeholder>
              <w:docPart w:val="GBC22222222222222222222222222222"/>
            </w:placeholder>
          </w:sdtPr>
          <w:sdtEndPr/>
          <w:sdtContent>
            <w:p w14:paraId="0ABAED23" w14:textId="77777777" w:rsidR="007E7472" w:rsidRDefault="00EC1269">
              <w:pPr>
                <w:snapToGrid w:val="0"/>
                <w:spacing w:line="240" w:lineRule="atLeast"/>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40280439" w14:textId="77777777" w:rsidR="007E7472" w:rsidRDefault="00C8327E">
      <w:pPr>
        <w:snapToGrid w:val="0"/>
        <w:spacing w:line="240" w:lineRule="atLeast"/>
        <w:ind w:leftChars="-50" w:left="-105"/>
      </w:pPr>
    </w:p>
    <w:sdt>
      <w:sdtPr>
        <w:rPr>
          <w:rFonts w:hint="eastAsia"/>
          <w:b/>
          <w:bCs/>
        </w:rPr>
        <w:alias w:val="模块:应收账款其他说明"/>
        <w:tag w:val="_GBC_2f38c172c62a46cfa73776efdf952fad"/>
        <w:id w:val="1942178332"/>
        <w:lock w:val="sdtLocked"/>
        <w:placeholder>
          <w:docPart w:val="GBC22222222222222222222222222222"/>
        </w:placeholder>
      </w:sdtPr>
      <w:sdtEndPr>
        <w:rPr>
          <w:rFonts w:hint="default"/>
          <w:b w:val="0"/>
          <w:bCs w:val="0"/>
        </w:rPr>
      </w:sdtEndPr>
      <w:sdtContent>
        <w:p w14:paraId="5A36D480" w14:textId="77777777" w:rsidR="007E7472" w:rsidRDefault="00EC1269">
          <w:pPr>
            <w:snapToGrid w:val="0"/>
            <w:spacing w:line="240" w:lineRule="atLeast"/>
          </w:pPr>
          <w:r>
            <w:rPr>
              <w:rFonts w:hint="eastAsia"/>
            </w:rPr>
            <w:t>其他</w:t>
          </w:r>
          <w:r>
            <w:t>说明：</w:t>
          </w:r>
        </w:p>
        <w:sdt>
          <w:sdtPr>
            <w:rPr>
              <w:rFonts w:hint="eastAsia"/>
            </w:rPr>
            <w:alias w:val="是否适用：应收账款其他说明[双击切换]"/>
            <w:tag w:val="_GBC_c06434ba43c5400a80d620a65b730fd9"/>
            <w:id w:val="-1260604525"/>
            <w:lock w:val="sdtLocked"/>
            <w:placeholder>
              <w:docPart w:val="GBC22222222222222222222222222222"/>
            </w:placeholder>
          </w:sdtPr>
          <w:sdtEndPr/>
          <w:sdtContent>
            <w:p w14:paraId="04830B85" w14:textId="77777777" w:rsidR="007E7472" w:rsidRDefault="00EC1269">
              <w:pPr>
                <w:snapToGrid w:val="0"/>
                <w:spacing w:line="240" w:lineRule="atLeast"/>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325D98B3" w14:textId="77777777" w:rsidR="007E7472" w:rsidRDefault="00C8327E"/>
    <w:sdt>
      <w:sdtPr>
        <w:rPr>
          <w:rFonts w:ascii="宋体" w:hAnsi="宋体" w:cs="宋体" w:hint="eastAsia"/>
          <w:b w:val="0"/>
          <w:bCs w:val="0"/>
          <w:kern w:val="0"/>
          <w:sz w:val="20"/>
          <w:szCs w:val="21"/>
        </w:rPr>
        <w:alias w:val="模块:应收款项融资"/>
        <w:tag w:val="_SEC_99a20d0771254b5596c992bd0fe179a3"/>
        <w:id w:val="-1354264434"/>
        <w:lock w:val="sdtLocked"/>
        <w:placeholder>
          <w:docPart w:val="GBC22222222222222222222222222222"/>
        </w:placeholder>
      </w:sdtPr>
      <w:sdtEndPr>
        <w:rPr>
          <w:sz w:val="21"/>
        </w:rPr>
      </w:sdtEndPr>
      <w:sdtContent>
        <w:p w14:paraId="4BB7EB62" w14:textId="77777777" w:rsidR="007E7472" w:rsidRDefault="00EC1269" w:rsidP="00162493">
          <w:pPr>
            <w:pStyle w:val="3"/>
            <w:numPr>
              <w:ilvl w:val="0"/>
              <w:numId w:val="62"/>
            </w:numPr>
          </w:pPr>
          <w:r>
            <w:rPr>
              <w:rFonts w:hint="eastAsia"/>
            </w:rPr>
            <w:t>应收款项融资</w:t>
          </w:r>
        </w:p>
        <w:sdt>
          <w:sdtPr>
            <w:alias w:val="是否适用：应收款项融资[双击切换]"/>
            <w:tag w:val="_GBC_b66c8e5d6d6f4ccf9bd0ebfd1f5495e4"/>
            <w:id w:val="1553111480"/>
            <w:lock w:val="sdtLocked"/>
            <w:placeholder>
              <w:docPart w:val="GBC22222222222222222222222222222"/>
            </w:placeholder>
          </w:sdtPr>
          <w:sdtEndPr/>
          <w:sdtContent>
            <w:p w14:paraId="69CDFF11"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1EBF21AB" w14:textId="175FF61E" w:rsidR="007E7472" w:rsidRDefault="00EC1269">
          <w:pPr>
            <w:ind w:left="420" w:right="-98"/>
            <w:jc w:val="right"/>
          </w:pPr>
          <w:r>
            <w:rPr>
              <w:rFonts w:hint="eastAsia"/>
            </w:rPr>
            <w:t>单位：</w:t>
          </w:r>
          <w:sdt>
            <w:sdtPr>
              <w:rPr>
                <w:rFonts w:hint="eastAsia"/>
              </w:rPr>
              <w:alias w:val="单位：应收款项融资"/>
              <w:tag w:val="_GBC_5bc18c9963914ad7b56c2f244f484146"/>
              <w:id w:val="-181932674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6F3F93">
                <w:rPr>
                  <w:rFonts w:hint="eastAsia"/>
                </w:rPr>
                <w:t>千元</w:t>
              </w:r>
            </w:sdtContent>
          </w:sdt>
          <w:r>
            <w:rPr>
              <w:rFonts w:hint="eastAsia"/>
            </w:rPr>
            <w:t>币种：</w:t>
          </w:r>
          <w:sdt>
            <w:sdtPr>
              <w:rPr>
                <w:rFonts w:hint="eastAsia"/>
              </w:rPr>
              <w:alias w:val="币种：应收款项融资"/>
              <w:tag w:val="_GBC_c66a156107084de19a91dcaaa76213c1"/>
              <w:id w:val="-9368266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3402"/>
            <w:gridCol w:w="3158"/>
          </w:tblGrid>
          <w:tr w:rsidR="007E7472" w14:paraId="1E200F5E" w14:textId="77777777" w:rsidTr="007E7472">
            <w:trPr>
              <w:trHeight w:val="340"/>
            </w:trPr>
            <w:bookmarkStart w:id="174" w:name="_Hlk13057555" w:displacedByCustomXml="next"/>
            <w:bookmarkStart w:id="175" w:name="_Hlk12969247" w:displacedByCustomXml="next"/>
            <w:sdt>
              <w:sdtPr>
                <w:tag w:val="_PLD_82a62891b4b649e48fb460890f28ac36"/>
                <w:id w:val="-1741785697"/>
                <w:lock w:val="sdtLocked"/>
              </w:sdtPr>
              <w:sdtEndPr/>
              <w:sdtContent>
                <w:tc>
                  <w:tcPr>
                    <w:tcW w:w="2263" w:type="dxa"/>
                    <w:shd w:val="clear" w:color="auto" w:fill="auto"/>
                    <w:vAlign w:val="center"/>
                  </w:tcPr>
                  <w:p w14:paraId="257B6594" w14:textId="77777777" w:rsidR="007E7472" w:rsidRDefault="00EC1269">
                    <w:pPr>
                      <w:jc w:val="center"/>
                    </w:pPr>
                    <w:r>
                      <w:rPr>
                        <w:rFonts w:hint="eastAsia"/>
                      </w:rPr>
                      <w:t>项目</w:t>
                    </w:r>
                  </w:p>
                </w:tc>
              </w:sdtContent>
            </w:sdt>
            <w:sdt>
              <w:sdtPr>
                <w:tag w:val="_PLD_0b8617b6950f47bfae07e4496fdde27e"/>
                <w:id w:val="-1084454494"/>
                <w:lock w:val="sdtLocked"/>
              </w:sdtPr>
              <w:sdtEndPr/>
              <w:sdtContent>
                <w:tc>
                  <w:tcPr>
                    <w:tcW w:w="3402" w:type="dxa"/>
                    <w:shd w:val="clear" w:color="auto" w:fill="auto"/>
                    <w:vAlign w:val="center"/>
                  </w:tcPr>
                  <w:p w14:paraId="09F4AB0C" w14:textId="77777777" w:rsidR="007E7472" w:rsidRDefault="00EC1269">
                    <w:pPr>
                      <w:autoSpaceDE w:val="0"/>
                      <w:autoSpaceDN w:val="0"/>
                      <w:adjustRightInd w:val="0"/>
                      <w:snapToGrid w:val="0"/>
                      <w:spacing w:line="240" w:lineRule="atLeast"/>
                      <w:jc w:val="center"/>
                    </w:pPr>
                    <w:r>
                      <w:rPr>
                        <w:rFonts w:hint="eastAsia"/>
                      </w:rPr>
                      <w:t>期末余额</w:t>
                    </w:r>
                  </w:p>
                </w:tc>
              </w:sdtContent>
            </w:sdt>
            <w:sdt>
              <w:sdtPr>
                <w:tag w:val="_PLD_8c85f1c835d84ebaa8ca21e687181951"/>
                <w:id w:val="1470171147"/>
                <w:lock w:val="sdtLocked"/>
              </w:sdtPr>
              <w:sdtEndPr/>
              <w:sdtContent>
                <w:tc>
                  <w:tcPr>
                    <w:tcW w:w="3158" w:type="dxa"/>
                    <w:shd w:val="clear" w:color="auto" w:fill="auto"/>
                    <w:vAlign w:val="center"/>
                  </w:tcPr>
                  <w:p w14:paraId="0A529B64" w14:textId="77777777" w:rsidR="007E7472" w:rsidRDefault="00EC1269">
                    <w:pPr>
                      <w:autoSpaceDE w:val="0"/>
                      <w:autoSpaceDN w:val="0"/>
                      <w:adjustRightInd w:val="0"/>
                      <w:snapToGrid w:val="0"/>
                      <w:spacing w:line="240" w:lineRule="atLeast"/>
                      <w:jc w:val="center"/>
                    </w:pPr>
                    <w:r>
                      <w:rPr>
                        <w:rFonts w:hint="eastAsia"/>
                      </w:rPr>
                      <w:t>期初余额</w:t>
                    </w:r>
                  </w:p>
                </w:tc>
              </w:sdtContent>
            </w:sdt>
          </w:tr>
          <w:sdt>
            <w:sdtPr>
              <w:alias w:val="应收款项融资明细"/>
              <w:tag w:val="_TUP_a9787d82372c4ec599a760ae032aaf1f"/>
              <w:id w:val="-414555393"/>
              <w:lock w:val="sdtLocked"/>
            </w:sdtPr>
            <w:sdtEndPr/>
            <w:sdtContent>
              <w:tr w:rsidR="007E7472" w14:paraId="61922380" w14:textId="77777777" w:rsidTr="007E7472">
                <w:trPr>
                  <w:trHeight w:val="340"/>
                </w:trPr>
                <w:tc>
                  <w:tcPr>
                    <w:tcW w:w="2263" w:type="dxa"/>
                    <w:shd w:val="clear" w:color="auto" w:fill="auto"/>
                    <w:vAlign w:val="center"/>
                  </w:tcPr>
                  <w:p w14:paraId="4EFA39ED" w14:textId="77777777" w:rsidR="007E7472" w:rsidRDefault="00EC1269">
                    <w:pPr>
                      <w:autoSpaceDE w:val="0"/>
                      <w:autoSpaceDN w:val="0"/>
                      <w:adjustRightInd w:val="0"/>
                    </w:pPr>
                    <w:r>
                      <w:t>银行承兑汇票</w:t>
                    </w:r>
                  </w:p>
                </w:tc>
                <w:tc>
                  <w:tcPr>
                    <w:tcW w:w="3402" w:type="dxa"/>
                    <w:shd w:val="clear" w:color="auto" w:fill="auto"/>
                    <w:vAlign w:val="center"/>
                  </w:tcPr>
                  <w:p w14:paraId="708D1C73" w14:textId="77777777" w:rsidR="007E7472" w:rsidRDefault="00EC1269">
                    <w:pPr>
                      <w:jc w:val="right"/>
                    </w:pPr>
                    <w:r>
                      <w:t>5,289,588</w:t>
                    </w:r>
                  </w:p>
                </w:tc>
                <w:tc>
                  <w:tcPr>
                    <w:tcW w:w="3158" w:type="dxa"/>
                    <w:shd w:val="clear" w:color="auto" w:fill="auto"/>
                    <w:vAlign w:val="center"/>
                  </w:tcPr>
                  <w:p w14:paraId="7089626F" w14:textId="77777777" w:rsidR="007E7472" w:rsidRDefault="00EC1269">
                    <w:pPr>
                      <w:jc w:val="right"/>
                    </w:pPr>
                    <w:r>
                      <w:t>4,369,745</w:t>
                    </w:r>
                  </w:p>
                </w:tc>
              </w:tr>
            </w:sdtContent>
          </w:sdt>
          <w:tr w:rsidR="007E7472" w14:paraId="78E55CDE" w14:textId="77777777" w:rsidTr="007E7472">
            <w:trPr>
              <w:trHeight w:val="340"/>
            </w:trPr>
            <w:sdt>
              <w:sdtPr>
                <w:tag w:val="_PLD_5299295b2978439ba42b441350bea704"/>
                <w:id w:val="466245557"/>
                <w:lock w:val="sdtLocked"/>
              </w:sdtPr>
              <w:sdtEndPr/>
              <w:sdtContent>
                <w:tc>
                  <w:tcPr>
                    <w:tcW w:w="2263" w:type="dxa"/>
                    <w:shd w:val="clear" w:color="auto" w:fill="auto"/>
                    <w:vAlign w:val="center"/>
                  </w:tcPr>
                  <w:p w14:paraId="3E68C3FC" w14:textId="77777777" w:rsidR="007E7472" w:rsidRDefault="00EC1269">
                    <w:pPr>
                      <w:jc w:val="center"/>
                    </w:pPr>
                    <w:r>
                      <w:rPr>
                        <w:rFonts w:hint="eastAsia"/>
                      </w:rPr>
                      <w:t>合计</w:t>
                    </w:r>
                  </w:p>
                </w:tc>
              </w:sdtContent>
            </w:sdt>
            <w:tc>
              <w:tcPr>
                <w:tcW w:w="3402" w:type="dxa"/>
                <w:shd w:val="clear" w:color="auto" w:fill="auto"/>
                <w:vAlign w:val="center"/>
              </w:tcPr>
              <w:p w14:paraId="54337642" w14:textId="77777777" w:rsidR="007E7472" w:rsidRDefault="00EC1269">
                <w:pPr>
                  <w:jc w:val="right"/>
                  <w:rPr>
                    <w:bCs/>
                    <w:sz w:val="24"/>
                    <w:szCs w:val="24"/>
                  </w:rPr>
                </w:pPr>
                <w:r>
                  <w:t>5,289,588</w:t>
                </w:r>
              </w:p>
            </w:tc>
            <w:tc>
              <w:tcPr>
                <w:tcW w:w="3158" w:type="dxa"/>
                <w:shd w:val="clear" w:color="auto" w:fill="auto"/>
                <w:vAlign w:val="center"/>
              </w:tcPr>
              <w:p w14:paraId="554CA867" w14:textId="77777777" w:rsidR="007E7472" w:rsidRDefault="00EC1269">
                <w:pPr>
                  <w:jc w:val="right"/>
                </w:pPr>
                <w:r>
                  <w:t>4,369,745</w:t>
                </w:r>
              </w:p>
            </w:tc>
          </w:tr>
        </w:tbl>
        <w:p w14:paraId="1228AE9B" w14:textId="77777777" w:rsidR="007E7472" w:rsidRDefault="00C8327E"/>
        <w:p w14:paraId="3DBF30D3" w14:textId="77777777" w:rsidR="007E7472" w:rsidRDefault="00EC1269">
          <w:r>
            <w:rPr>
              <w:rFonts w:hint="eastAsia"/>
            </w:rPr>
            <w:t>应收款项融资本期增减变动及公允价值变动情况</w:t>
          </w:r>
          <w:r>
            <w:t>：</w:t>
          </w:r>
        </w:p>
        <w:sdt>
          <w:sdtPr>
            <w:rPr>
              <w:rFonts w:hint="eastAsia"/>
            </w:rPr>
            <w:alias w:val="是否适用：应收款项融资本期增减变动及公允价值变动情况[双击切换]"/>
            <w:tag w:val="_GBC_33fc9f304d4f4155ac67028bc1814e26"/>
            <w:id w:val="545259107"/>
            <w:lock w:val="sdtLocked"/>
            <w:placeholder>
              <w:docPart w:val="GBC22222222222222222222222222222"/>
            </w:placeholder>
          </w:sdtPr>
          <w:sdtEndPr/>
          <w:sdtContent>
            <w:p w14:paraId="6AC0D130"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bookmarkEnd w:id="174"/>
        <w:p w14:paraId="022603AB" w14:textId="77777777" w:rsidR="007E7472" w:rsidRDefault="00C8327E"/>
        <w:p w14:paraId="076779D0" w14:textId="77777777" w:rsidR="007E7472" w:rsidRDefault="00EC1269">
          <w:r>
            <w:rPr>
              <w:rFonts w:hint="eastAsia"/>
            </w:rPr>
            <w:t>如按预期信用损失一般模型计提坏账准备，请参照其他应收款披露</w:t>
          </w:r>
          <w:r>
            <w:t>：</w:t>
          </w:r>
        </w:p>
        <w:sdt>
          <w:sdtPr>
            <w:alias w:val="是否适用：应收款项融资预期信用损失的确定方法及会计处理方法[双击切换]"/>
            <w:tag w:val="_GBC_5a80268d2f0f436786b31f6c461deb07"/>
            <w:id w:val="2046405395"/>
            <w:lock w:val="sdtLocked"/>
            <w:placeholder>
              <w:docPart w:val="GBC22222222222222222222222222222"/>
            </w:placeholder>
          </w:sdtPr>
          <w:sdtEndPr/>
          <w:sdtContent>
            <w:p w14:paraId="27B8C701"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bookmarkEnd w:id="175"/>
        <w:p w14:paraId="76B742CC" w14:textId="77777777" w:rsidR="007E7472" w:rsidRDefault="00C8327E"/>
        <w:p w14:paraId="6F8A8E12" w14:textId="77777777" w:rsidR="007E7472" w:rsidRDefault="00EC1269">
          <w:r>
            <w:rPr>
              <w:rFonts w:hint="eastAsia"/>
            </w:rPr>
            <w:t>其他</w:t>
          </w:r>
          <w:r>
            <w:t>说明</w:t>
          </w:r>
          <w:r>
            <w:rPr>
              <w:rFonts w:hint="eastAsia"/>
            </w:rPr>
            <w:t>：</w:t>
          </w:r>
        </w:p>
        <w:bookmarkStart w:id="176" w:name="_Hlk13057390" w:displacedByCustomXml="next"/>
        <w:sdt>
          <w:sdtPr>
            <w:rPr>
              <w:rFonts w:hint="eastAsia"/>
            </w:rPr>
            <w:alias w:val="是否适用：应收款项融资其他说明[双击切换]"/>
            <w:tag w:val="_GBC_79059c75c4ff4f698741d135a33f5c70"/>
            <w:id w:val="1621498488"/>
            <w:lock w:val="sdtLocked"/>
            <w:placeholder>
              <w:docPart w:val="GBC22222222222222222222222222222"/>
            </w:placeholder>
          </w:sdtPr>
          <w:sdtEndPr/>
          <w:sdtContent>
            <w:p w14:paraId="317937CF"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bookmarkEnd w:id="176" w:displacedByCustomXml="next"/>
        <w:sdt>
          <w:sdtPr>
            <w:rPr>
              <w:rFonts w:hint="eastAsia"/>
            </w:rPr>
            <w:alias w:val="应收款项融资其他说明"/>
            <w:tag w:val="_GBC_5b7567beb0034de1826f334d9dcf5531"/>
            <w:id w:val="-1340085965"/>
            <w:lock w:val="sdtLocked"/>
            <w:placeholder>
              <w:docPart w:val="GBC22222222222222222222222222222"/>
            </w:placeholder>
          </w:sdtPr>
          <w:sdtEndPr/>
          <w:sdtContent>
            <w:p w14:paraId="125ED000" w14:textId="77777777" w:rsidR="007E7472" w:rsidRDefault="00EC1269">
              <w:pPr>
                <w:spacing w:beforeLines="50" w:before="156" w:afterLines="50" w:after="156" w:line="360" w:lineRule="exact"/>
                <w:ind w:firstLineChars="200" w:firstLine="420"/>
                <w:jc w:val="both"/>
              </w:pPr>
              <w:r>
                <w:rPr>
                  <w:rFonts w:hint="eastAsia"/>
                </w:rPr>
                <w:t>注：</w:t>
              </w:r>
              <w:r>
                <w:t>2023年6月30日，本公司将银行承兑汇票1,805,959千元质押给银行用于开具应付承兑汇票及保函。</w:t>
              </w:r>
            </w:p>
          </w:sdtContent>
        </w:sdt>
      </w:sdtContent>
    </w:sdt>
    <w:p w14:paraId="5A5E54A2" w14:textId="77777777" w:rsidR="007E7472" w:rsidRDefault="00C8327E"/>
    <w:p w14:paraId="6FE1B360" w14:textId="77777777" w:rsidR="007E7472" w:rsidRDefault="00EC1269" w:rsidP="00162493">
      <w:pPr>
        <w:pStyle w:val="3"/>
        <w:numPr>
          <w:ilvl w:val="0"/>
          <w:numId w:val="62"/>
        </w:numPr>
      </w:pPr>
      <w:r>
        <w:rPr>
          <w:rFonts w:hint="eastAsia"/>
        </w:rPr>
        <w:t>预付款项</w:t>
      </w:r>
    </w:p>
    <w:sdt>
      <w:sdtPr>
        <w:rPr>
          <w:rFonts w:ascii="宋体" w:hAnsi="宋体" w:cs="宋体" w:hint="eastAsia"/>
          <w:b w:val="0"/>
          <w:bCs w:val="0"/>
          <w:kern w:val="0"/>
          <w:sz w:val="20"/>
          <w:szCs w:val="22"/>
        </w:rPr>
        <w:alias w:val="模块:预付款项按账龄列示"/>
        <w:tag w:val="_GBC_4c02994d3bd04bacba6592630552e576"/>
        <w:id w:val="2023361585"/>
        <w:lock w:val="sdtLocked"/>
        <w:placeholder>
          <w:docPart w:val="GBC22222222222222222222222222222"/>
        </w:placeholder>
      </w:sdtPr>
      <w:sdtEndPr>
        <w:rPr>
          <w:rFonts w:hint="default"/>
          <w:sz w:val="21"/>
          <w:szCs w:val="21"/>
        </w:rPr>
      </w:sdtEndPr>
      <w:sdtContent>
        <w:p w14:paraId="40AB52A0" w14:textId="77777777" w:rsidR="007E7472" w:rsidRDefault="00EC1269" w:rsidP="00162493">
          <w:pPr>
            <w:pStyle w:val="4"/>
            <w:numPr>
              <w:ilvl w:val="0"/>
              <w:numId w:val="65"/>
            </w:numPr>
          </w:pPr>
          <w:r>
            <w:rPr>
              <w:rFonts w:hint="eastAsia"/>
            </w:rPr>
            <w:t>预付款项按账龄列示</w:t>
          </w:r>
        </w:p>
        <w:sdt>
          <w:sdtPr>
            <w:alias w:val="是否适用：预付款项按账龄列示[双击切换]"/>
            <w:tag w:val="_GBC_af3b3e24767e48f7a70a5cfa609407a2"/>
            <w:id w:val="-83694015"/>
            <w:lock w:val="sdtLocked"/>
            <w:placeholder>
              <w:docPart w:val="GBC22222222222222222222222222222"/>
            </w:placeholder>
          </w:sdtPr>
          <w:sdtEndPr/>
          <w:sdtContent>
            <w:p w14:paraId="078D9B92"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5E95E28A" w14:textId="590A8A2D" w:rsidR="007E7472" w:rsidRDefault="00EC1269">
          <w:pPr>
            <w:jc w:val="right"/>
            <w:rPr>
              <w:b/>
            </w:rPr>
          </w:pPr>
          <w:r>
            <w:rPr>
              <w:rFonts w:hint="eastAsia"/>
            </w:rPr>
            <w:t>单位：</w:t>
          </w:r>
          <w:sdt>
            <w:sdtPr>
              <w:rPr>
                <w:rFonts w:hint="eastAsia"/>
              </w:rPr>
              <w:alias w:val="单位：财务附注：预付账款账龄"/>
              <w:tag w:val="_GBC_9eb28bbf7d374cdf965c7e133b610fb3"/>
              <w:id w:val="-13891081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预付账款账龄"/>
              <w:tag w:val="_GBC_d491347f74764df5af3312ad7a0a92e5"/>
              <w:id w:val="7091484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1349"/>
            <w:gridCol w:w="1876"/>
            <w:gridCol w:w="1862"/>
            <w:gridCol w:w="1860"/>
            <w:gridCol w:w="1876"/>
          </w:tblGrid>
          <w:tr w:rsidR="007E7472" w14:paraId="639239BD" w14:textId="77777777" w:rsidTr="007E7472">
            <w:trPr>
              <w:cantSplit/>
              <w:trHeight w:val="340"/>
            </w:trPr>
            <w:sdt>
              <w:sdtPr>
                <w:rPr>
                  <w:rFonts w:asciiTheme="minorEastAsia" w:eastAsiaTheme="minorEastAsia" w:hAnsiTheme="minorEastAsia"/>
                </w:rPr>
                <w:tag w:val="_PLD_159a64f22a4a4b1ab31846b4d6034c4c"/>
                <w:id w:val="1245763086"/>
                <w:lock w:val="sdtLocked"/>
              </w:sdtPr>
              <w:sdtEndPr/>
              <w:sdtContent>
                <w:tc>
                  <w:tcPr>
                    <w:tcW w:w="764" w:type="pct"/>
                    <w:vMerge w:val="restart"/>
                    <w:vAlign w:val="center"/>
                  </w:tcPr>
                  <w:p w14:paraId="3720B24F" w14:textId="77777777" w:rsidR="007E7472" w:rsidRDefault="00EC1269">
                    <w:pPr>
                      <w:jc w:val="center"/>
                      <w:rPr>
                        <w:rFonts w:asciiTheme="minorEastAsia" w:eastAsiaTheme="minorEastAsia" w:hAnsiTheme="minorEastAsia"/>
                      </w:rPr>
                    </w:pPr>
                    <w:r>
                      <w:rPr>
                        <w:rFonts w:asciiTheme="minorEastAsia" w:eastAsiaTheme="minorEastAsia" w:hAnsiTheme="minorEastAsia" w:hint="eastAsia"/>
                      </w:rPr>
                      <w:t>账龄</w:t>
                    </w:r>
                  </w:p>
                </w:tc>
              </w:sdtContent>
            </w:sdt>
            <w:sdt>
              <w:sdtPr>
                <w:tag w:val="_PLD_6ca82cba92a649d08c6ceb86dd951ef3"/>
                <w:id w:val="1002857213"/>
                <w:lock w:val="sdtLocked"/>
              </w:sdtPr>
              <w:sdtEndPr/>
              <w:sdtContent>
                <w:tc>
                  <w:tcPr>
                    <w:tcW w:w="2118" w:type="pct"/>
                    <w:gridSpan w:val="2"/>
                    <w:vAlign w:val="center"/>
                  </w:tcPr>
                  <w:p w14:paraId="7C6542EF" w14:textId="77777777" w:rsidR="007E7472" w:rsidRDefault="00EC1269">
                    <w:pPr>
                      <w:jc w:val="center"/>
                    </w:pPr>
                    <w:r>
                      <w:rPr>
                        <w:rFonts w:hint="eastAsia"/>
                      </w:rPr>
                      <w:t>期末余额</w:t>
                    </w:r>
                  </w:p>
                </w:tc>
              </w:sdtContent>
            </w:sdt>
            <w:sdt>
              <w:sdtPr>
                <w:tag w:val="_PLD_365dab2f8fd246d79543ed0d2e6dcab7"/>
                <w:id w:val="-564341974"/>
                <w:lock w:val="sdtLocked"/>
              </w:sdtPr>
              <w:sdtEndPr/>
              <w:sdtContent>
                <w:tc>
                  <w:tcPr>
                    <w:tcW w:w="2117" w:type="pct"/>
                    <w:gridSpan w:val="2"/>
                    <w:vAlign w:val="center"/>
                  </w:tcPr>
                  <w:p w14:paraId="53C5BA8B" w14:textId="77777777" w:rsidR="007E7472" w:rsidRDefault="00EC1269">
                    <w:pPr>
                      <w:jc w:val="center"/>
                    </w:pPr>
                    <w:r>
                      <w:rPr>
                        <w:rFonts w:hint="eastAsia"/>
                      </w:rPr>
                      <w:t>期初余额</w:t>
                    </w:r>
                  </w:p>
                </w:tc>
              </w:sdtContent>
            </w:sdt>
          </w:tr>
          <w:tr w:rsidR="007E7472" w14:paraId="62397341" w14:textId="77777777" w:rsidTr="007E7472">
            <w:trPr>
              <w:cantSplit/>
              <w:trHeight w:val="340"/>
            </w:trPr>
            <w:tc>
              <w:tcPr>
                <w:tcW w:w="764" w:type="pct"/>
                <w:vMerge/>
              </w:tcPr>
              <w:p w14:paraId="7BBE004B" w14:textId="77777777" w:rsidR="007E7472" w:rsidRDefault="00C8327E">
                <w:pPr>
                  <w:rPr>
                    <w:rFonts w:asciiTheme="minorEastAsia" w:eastAsiaTheme="minorEastAsia" w:hAnsiTheme="minorEastAsia"/>
                  </w:rPr>
                </w:pPr>
              </w:p>
            </w:tc>
            <w:sdt>
              <w:sdtPr>
                <w:tag w:val="_PLD_a9d7b721cfa446e9ae31149380da5970"/>
                <w:id w:val="1343811205"/>
                <w:lock w:val="sdtLocked"/>
              </w:sdtPr>
              <w:sdtEndPr/>
              <w:sdtContent>
                <w:tc>
                  <w:tcPr>
                    <w:tcW w:w="1063" w:type="pct"/>
                    <w:vAlign w:val="center"/>
                  </w:tcPr>
                  <w:p w14:paraId="431E2805" w14:textId="77777777" w:rsidR="007E7472" w:rsidRDefault="00EC1269">
                    <w:pPr>
                      <w:jc w:val="center"/>
                    </w:pPr>
                    <w:r>
                      <w:rPr>
                        <w:rFonts w:hint="eastAsia"/>
                      </w:rPr>
                      <w:t>金额</w:t>
                    </w:r>
                  </w:p>
                </w:tc>
              </w:sdtContent>
            </w:sdt>
            <w:sdt>
              <w:sdtPr>
                <w:tag w:val="_PLD_2d8b8f523dcd4c95815b7c8fd528129d"/>
                <w:id w:val="-935213216"/>
                <w:lock w:val="sdtLocked"/>
              </w:sdtPr>
              <w:sdtEndPr/>
              <w:sdtContent>
                <w:tc>
                  <w:tcPr>
                    <w:tcW w:w="1055" w:type="pct"/>
                    <w:vAlign w:val="center"/>
                  </w:tcPr>
                  <w:p w14:paraId="76F21B82" w14:textId="77777777" w:rsidR="007E7472" w:rsidRDefault="00EC1269">
                    <w:pPr>
                      <w:jc w:val="center"/>
                    </w:pPr>
                    <w:r>
                      <w:rPr>
                        <w:rFonts w:hint="eastAsia"/>
                      </w:rPr>
                      <w:t>比例</w:t>
                    </w:r>
                    <w:r>
                      <w:t>(%)</w:t>
                    </w:r>
                  </w:p>
                </w:tc>
              </w:sdtContent>
            </w:sdt>
            <w:sdt>
              <w:sdtPr>
                <w:tag w:val="_PLD_f01816a56b3f4ec1a7d603d3ac318eb1"/>
                <w:id w:val="452055367"/>
                <w:lock w:val="sdtLocked"/>
              </w:sdtPr>
              <w:sdtEndPr/>
              <w:sdtContent>
                <w:tc>
                  <w:tcPr>
                    <w:tcW w:w="1054" w:type="pct"/>
                    <w:vAlign w:val="center"/>
                  </w:tcPr>
                  <w:p w14:paraId="4116464F" w14:textId="77777777" w:rsidR="007E7472" w:rsidRDefault="00EC1269">
                    <w:pPr>
                      <w:jc w:val="center"/>
                    </w:pPr>
                    <w:r>
                      <w:rPr>
                        <w:rFonts w:hint="eastAsia"/>
                      </w:rPr>
                      <w:t>金额</w:t>
                    </w:r>
                  </w:p>
                </w:tc>
              </w:sdtContent>
            </w:sdt>
            <w:sdt>
              <w:sdtPr>
                <w:tag w:val="_PLD_55adcab5f9be4d24b3d0faaf5403e89a"/>
                <w:id w:val="-10454474"/>
                <w:lock w:val="sdtLocked"/>
              </w:sdtPr>
              <w:sdtEndPr/>
              <w:sdtContent>
                <w:tc>
                  <w:tcPr>
                    <w:tcW w:w="1063" w:type="pct"/>
                    <w:vAlign w:val="center"/>
                  </w:tcPr>
                  <w:p w14:paraId="0E9416C0" w14:textId="77777777" w:rsidR="007E7472" w:rsidRDefault="00EC1269">
                    <w:pPr>
                      <w:jc w:val="center"/>
                    </w:pPr>
                    <w:r>
                      <w:rPr>
                        <w:rFonts w:hint="eastAsia"/>
                      </w:rPr>
                      <w:t>比例</w:t>
                    </w:r>
                    <w:r>
                      <w:t>(%)</w:t>
                    </w:r>
                  </w:p>
                </w:tc>
              </w:sdtContent>
            </w:sdt>
          </w:tr>
          <w:tr w:rsidR="007E7472" w14:paraId="222AC478" w14:textId="77777777" w:rsidTr="007E7472">
            <w:trPr>
              <w:cantSplit/>
              <w:trHeight w:val="340"/>
            </w:trPr>
            <w:sdt>
              <w:sdtPr>
                <w:rPr>
                  <w:rFonts w:asciiTheme="minorEastAsia" w:eastAsiaTheme="minorEastAsia" w:hAnsiTheme="minorEastAsia"/>
                </w:rPr>
                <w:tag w:val="_PLD_26543d5743964e32ae30d0d46bd6131c"/>
                <w:id w:val="-965734312"/>
                <w:lock w:val="sdtLocked"/>
              </w:sdtPr>
              <w:sdtEndPr/>
              <w:sdtContent>
                <w:tc>
                  <w:tcPr>
                    <w:tcW w:w="764" w:type="pct"/>
                    <w:vAlign w:val="center"/>
                  </w:tcPr>
                  <w:p w14:paraId="51076499" w14:textId="77777777" w:rsidR="007E7472" w:rsidRDefault="00EC1269">
                    <w:pPr>
                      <w:rPr>
                        <w:rFonts w:asciiTheme="minorEastAsia" w:eastAsiaTheme="minorEastAsia" w:hAnsiTheme="minorEastAsia"/>
                      </w:rPr>
                    </w:pPr>
                    <w:r>
                      <w:rPr>
                        <w:rFonts w:asciiTheme="minorEastAsia" w:eastAsiaTheme="minorEastAsia" w:hAnsiTheme="minorEastAsia" w:hint="eastAsia"/>
                      </w:rPr>
                      <w:t>1年以内</w:t>
                    </w:r>
                  </w:p>
                </w:tc>
              </w:sdtContent>
            </w:sdt>
            <w:tc>
              <w:tcPr>
                <w:tcW w:w="1063" w:type="pct"/>
                <w:vAlign w:val="center"/>
              </w:tcPr>
              <w:p w14:paraId="23AB0F36" w14:textId="77777777" w:rsidR="007E7472" w:rsidRDefault="00EC1269">
                <w:pPr>
                  <w:jc w:val="right"/>
                  <w:rPr>
                    <w:bCs/>
                  </w:rPr>
                </w:pPr>
                <w:r>
                  <w:t>4,416,837</w:t>
                </w:r>
              </w:p>
            </w:tc>
            <w:tc>
              <w:tcPr>
                <w:tcW w:w="1055" w:type="pct"/>
                <w:vAlign w:val="center"/>
              </w:tcPr>
              <w:p w14:paraId="747344FC" w14:textId="77777777" w:rsidR="007E7472" w:rsidRDefault="00EC1269">
                <w:pPr>
                  <w:jc w:val="right"/>
                </w:pPr>
                <w:r>
                  <w:t>95</w:t>
                </w:r>
              </w:p>
            </w:tc>
            <w:tc>
              <w:tcPr>
                <w:tcW w:w="1054" w:type="pct"/>
                <w:vAlign w:val="center"/>
              </w:tcPr>
              <w:p w14:paraId="052A647F" w14:textId="77777777" w:rsidR="007E7472" w:rsidRDefault="00EC1269">
                <w:pPr>
                  <w:jc w:val="right"/>
                </w:pPr>
                <w:r>
                  <w:t>3,905,984</w:t>
                </w:r>
              </w:p>
            </w:tc>
            <w:tc>
              <w:tcPr>
                <w:tcW w:w="1063" w:type="pct"/>
                <w:vAlign w:val="center"/>
              </w:tcPr>
              <w:p w14:paraId="465E13CF" w14:textId="77777777" w:rsidR="007E7472" w:rsidRDefault="00EC1269">
                <w:pPr>
                  <w:jc w:val="right"/>
                </w:pPr>
                <w:r>
                  <w:t>95</w:t>
                </w:r>
              </w:p>
            </w:tc>
          </w:tr>
          <w:tr w:rsidR="007E7472" w14:paraId="0566BBFC" w14:textId="77777777" w:rsidTr="007E7472">
            <w:trPr>
              <w:cantSplit/>
              <w:trHeight w:val="340"/>
            </w:trPr>
            <w:sdt>
              <w:sdtPr>
                <w:rPr>
                  <w:rFonts w:asciiTheme="minorEastAsia" w:eastAsiaTheme="minorEastAsia" w:hAnsiTheme="minorEastAsia"/>
                </w:rPr>
                <w:tag w:val="_PLD_fa162d7579db4acd997484df51e51de6"/>
                <w:id w:val="1267886408"/>
                <w:lock w:val="sdtLocked"/>
              </w:sdtPr>
              <w:sdtEndPr/>
              <w:sdtContent>
                <w:tc>
                  <w:tcPr>
                    <w:tcW w:w="764" w:type="pct"/>
                    <w:vAlign w:val="center"/>
                  </w:tcPr>
                  <w:p w14:paraId="5DBFE205" w14:textId="77777777" w:rsidR="007E7472" w:rsidRDefault="00EC1269">
                    <w:pPr>
                      <w:rPr>
                        <w:rFonts w:asciiTheme="minorEastAsia" w:eastAsiaTheme="minorEastAsia" w:hAnsiTheme="minorEastAsia"/>
                      </w:rPr>
                    </w:pPr>
                    <w:r>
                      <w:rPr>
                        <w:rFonts w:asciiTheme="minorEastAsia" w:eastAsiaTheme="minorEastAsia" w:hAnsiTheme="minorEastAsia" w:hint="eastAsia"/>
                      </w:rPr>
                      <w:t>1至2年</w:t>
                    </w:r>
                  </w:p>
                </w:tc>
              </w:sdtContent>
            </w:sdt>
            <w:tc>
              <w:tcPr>
                <w:tcW w:w="1063" w:type="pct"/>
                <w:vAlign w:val="center"/>
              </w:tcPr>
              <w:p w14:paraId="254EBD06" w14:textId="77777777" w:rsidR="007E7472" w:rsidRDefault="00EC1269">
                <w:pPr>
                  <w:jc w:val="right"/>
                </w:pPr>
                <w:r>
                  <w:t>39,233</w:t>
                </w:r>
              </w:p>
            </w:tc>
            <w:tc>
              <w:tcPr>
                <w:tcW w:w="1055" w:type="pct"/>
                <w:vAlign w:val="center"/>
              </w:tcPr>
              <w:p w14:paraId="58B65589" w14:textId="77777777" w:rsidR="007E7472" w:rsidRDefault="00EC1269">
                <w:pPr>
                  <w:jc w:val="right"/>
                </w:pPr>
                <w:r>
                  <w:t>1</w:t>
                </w:r>
              </w:p>
            </w:tc>
            <w:tc>
              <w:tcPr>
                <w:tcW w:w="1054" w:type="pct"/>
                <w:vAlign w:val="center"/>
              </w:tcPr>
              <w:p w14:paraId="65FC581C" w14:textId="77777777" w:rsidR="007E7472" w:rsidRDefault="00EC1269">
                <w:pPr>
                  <w:jc w:val="right"/>
                </w:pPr>
                <w:r>
                  <w:t>55,986</w:t>
                </w:r>
              </w:p>
            </w:tc>
            <w:tc>
              <w:tcPr>
                <w:tcW w:w="1063" w:type="pct"/>
                <w:vAlign w:val="center"/>
              </w:tcPr>
              <w:p w14:paraId="1CCD273B" w14:textId="77777777" w:rsidR="007E7472" w:rsidRDefault="00EC1269">
                <w:pPr>
                  <w:jc w:val="right"/>
                </w:pPr>
                <w:r>
                  <w:t>1</w:t>
                </w:r>
              </w:p>
            </w:tc>
          </w:tr>
          <w:tr w:rsidR="007E7472" w14:paraId="4645E896" w14:textId="77777777" w:rsidTr="007E7472">
            <w:trPr>
              <w:cantSplit/>
              <w:trHeight w:val="340"/>
            </w:trPr>
            <w:sdt>
              <w:sdtPr>
                <w:rPr>
                  <w:rFonts w:asciiTheme="minorEastAsia" w:eastAsiaTheme="minorEastAsia" w:hAnsiTheme="minorEastAsia"/>
                </w:rPr>
                <w:tag w:val="_PLD_43897a3965694d6691fcba6be58bfd88"/>
                <w:id w:val="1259801049"/>
                <w:lock w:val="sdtLocked"/>
              </w:sdtPr>
              <w:sdtEndPr/>
              <w:sdtContent>
                <w:tc>
                  <w:tcPr>
                    <w:tcW w:w="764" w:type="pct"/>
                    <w:vAlign w:val="center"/>
                  </w:tcPr>
                  <w:p w14:paraId="514652D7" w14:textId="77777777" w:rsidR="007E7472" w:rsidRDefault="00EC1269">
                    <w:pPr>
                      <w:rPr>
                        <w:rFonts w:asciiTheme="minorEastAsia" w:eastAsiaTheme="minorEastAsia" w:hAnsiTheme="minorEastAsia"/>
                      </w:rPr>
                    </w:pPr>
                    <w:r>
                      <w:rPr>
                        <w:rFonts w:asciiTheme="minorEastAsia" w:eastAsiaTheme="minorEastAsia" w:hAnsiTheme="minorEastAsia" w:hint="eastAsia"/>
                      </w:rPr>
                      <w:t>2至3年</w:t>
                    </w:r>
                  </w:p>
                </w:tc>
              </w:sdtContent>
            </w:sdt>
            <w:tc>
              <w:tcPr>
                <w:tcW w:w="1063" w:type="pct"/>
                <w:vAlign w:val="center"/>
              </w:tcPr>
              <w:p w14:paraId="11E4E6F6" w14:textId="77777777" w:rsidR="007E7472" w:rsidRDefault="00EC1269">
                <w:pPr>
                  <w:jc w:val="right"/>
                </w:pPr>
                <w:r>
                  <w:t>47,963</w:t>
                </w:r>
              </w:p>
            </w:tc>
            <w:tc>
              <w:tcPr>
                <w:tcW w:w="1055" w:type="pct"/>
                <w:vAlign w:val="center"/>
              </w:tcPr>
              <w:p w14:paraId="157D3194" w14:textId="77777777" w:rsidR="007E7472" w:rsidRDefault="00EC1269">
                <w:pPr>
                  <w:jc w:val="right"/>
                </w:pPr>
                <w:r>
                  <w:t>1</w:t>
                </w:r>
              </w:p>
            </w:tc>
            <w:tc>
              <w:tcPr>
                <w:tcW w:w="1054" w:type="pct"/>
                <w:vAlign w:val="center"/>
              </w:tcPr>
              <w:p w14:paraId="7EE3B5CE" w14:textId="77777777" w:rsidR="007E7472" w:rsidRDefault="00EC1269">
                <w:pPr>
                  <w:jc w:val="right"/>
                </w:pPr>
                <w:r>
                  <w:t>165,731</w:t>
                </w:r>
              </w:p>
            </w:tc>
            <w:tc>
              <w:tcPr>
                <w:tcW w:w="1063" w:type="pct"/>
                <w:vAlign w:val="center"/>
              </w:tcPr>
              <w:p w14:paraId="00C2A523" w14:textId="77777777" w:rsidR="007E7472" w:rsidRDefault="00EC1269">
                <w:pPr>
                  <w:jc w:val="right"/>
                </w:pPr>
                <w:r>
                  <w:t>4</w:t>
                </w:r>
              </w:p>
            </w:tc>
          </w:tr>
          <w:tr w:rsidR="007E7472" w14:paraId="381AC731" w14:textId="77777777" w:rsidTr="007E7472">
            <w:trPr>
              <w:cantSplit/>
              <w:trHeight w:val="340"/>
            </w:trPr>
            <w:sdt>
              <w:sdtPr>
                <w:rPr>
                  <w:rFonts w:asciiTheme="minorEastAsia" w:eastAsiaTheme="minorEastAsia" w:hAnsiTheme="minorEastAsia"/>
                </w:rPr>
                <w:tag w:val="_PLD_bb596048f7e846139c705c6214cec5e4"/>
                <w:id w:val="265269782"/>
                <w:lock w:val="sdtLocked"/>
              </w:sdtPr>
              <w:sdtEndPr/>
              <w:sdtContent>
                <w:tc>
                  <w:tcPr>
                    <w:tcW w:w="764" w:type="pct"/>
                    <w:vAlign w:val="center"/>
                  </w:tcPr>
                  <w:p w14:paraId="02F8972B" w14:textId="77777777" w:rsidR="007E7472" w:rsidRDefault="00EC1269">
                    <w:pPr>
                      <w:rPr>
                        <w:rFonts w:asciiTheme="minorEastAsia" w:eastAsiaTheme="minorEastAsia" w:hAnsiTheme="minorEastAsia"/>
                      </w:rPr>
                    </w:pPr>
                    <w:r>
                      <w:rPr>
                        <w:rFonts w:asciiTheme="minorEastAsia" w:eastAsiaTheme="minorEastAsia" w:hAnsiTheme="minorEastAsia" w:hint="eastAsia"/>
                      </w:rPr>
                      <w:t>3年以上</w:t>
                    </w:r>
                  </w:p>
                </w:tc>
              </w:sdtContent>
            </w:sdt>
            <w:tc>
              <w:tcPr>
                <w:tcW w:w="1063" w:type="pct"/>
                <w:vAlign w:val="center"/>
              </w:tcPr>
              <w:p w14:paraId="15CBEEF1" w14:textId="77777777" w:rsidR="007E7472" w:rsidRDefault="00EC1269">
                <w:pPr>
                  <w:jc w:val="right"/>
                </w:pPr>
                <w:r>
                  <w:t>129,508</w:t>
                </w:r>
              </w:p>
            </w:tc>
            <w:tc>
              <w:tcPr>
                <w:tcW w:w="1055" w:type="pct"/>
                <w:vAlign w:val="center"/>
              </w:tcPr>
              <w:p w14:paraId="4B9A4E5F" w14:textId="77777777" w:rsidR="007E7472" w:rsidRDefault="00EC1269">
                <w:pPr>
                  <w:jc w:val="right"/>
                </w:pPr>
                <w:r>
                  <w:t>3</w:t>
                </w:r>
              </w:p>
            </w:tc>
            <w:tc>
              <w:tcPr>
                <w:tcW w:w="1054" w:type="pct"/>
                <w:vAlign w:val="center"/>
              </w:tcPr>
              <w:p w14:paraId="79BD738A" w14:textId="77777777" w:rsidR="007E7472" w:rsidRDefault="00EC1269">
                <w:pPr>
                  <w:jc w:val="right"/>
                </w:pPr>
                <w:r>
                  <w:t>839</w:t>
                </w:r>
              </w:p>
            </w:tc>
            <w:tc>
              <w:tcPr>
                <w:tcW w:w="1063" w:type="pct"/>
                <w:vAlign w:val="center"/>
              </w:tcPr>
              <w:p w14:paraId="74067DF3" w14:textId="77777777" w:rsidR="007E7472" w:rsidRDefault="00C8327E">
                <w:pPr>
                  <w:jc w:val="right"/>
                </w:pPr>
              </w:p>
            </w:tc>
          </w:tr>
          <w:tr w:rsidR="007E7472" w14:paraId="4AE0693D" w14:textId="77777777" w:rsidTr="007E7472">
            <w:trPr>
              <w:cantSplit/>
              <w:trHeight w:val="340"/>
            </w:trPr>
            <w:sdt>
              <w:sdtPr>
                <w:tag w:val="_PLD_773a38e1adc44faa97354ca876a6da1b"/>
                <w:id w:val="1454434790"/>
                <w:lock w:val="sdtLocked"/>
              </w:sdtPr>
              <w:sdtEndPr/>
              <w:sdtContent>
                <w:tc>
                  <w:tcPr>
                    <w:tcW w:w="764" w:type="pct"/>
                    <w:vAlign w:val="center"/>
                  </w:tcPr>
                  <w:p w14:paraId="76587CA3" w14:textId="77777777" w:rsidR="007E7472" w:rsidRDefault="00EC1269">
                    <w:pPr>
                      <w:jc w:val="center"/>
                    </w:pPr>
                    <w:r>
                      <w:rPr>
                        <w:rFonts w:hint="eastAsia"/>
                      </w:rPr>
                      <w:t>合计</w:t>
                    </w:r>
                  </w:p>
                </w:tc>
              </w:sdtContent>
            </w:sdt>
            <w:tc>
              <w:tcPr>
                <w:tcW w:w="1063" w:type="pct"/>
                <w:vAlign w:val="center"/>
              </w:tcPr>
              <w:p w14:paraId="3BB27140" w14:textId="77777777" w:rsidR="007E7472" w:rsidRDefault="00EC1269">
                <w:pPr>
                  <w:jc w:val="right"/>
                </w:pPr>
                <w:r>
                  <w:t>4,633,541</w:t>
                </w:r>
              </w:p>
            </w:tc>
            <w:tc>
              <w:tcPr>
                <w:tcW w:w="1055" w:type="pct"/>
                <w:vAlign w:val="center"/>
              </w:tcPr>
              <w:p w14:paraId="47AF7DCA" w14:textId="77777777" w:rsidR="007E7472" w:rsidRDefault="00EC1269">
                <w:pPr>
                  <w:jc w:val="right"/>
                </w:pPr>
                <w:r>
                  <w:t>100</w:t>
                </w:r>
              </w:p>
            </w:tc>
            <w:tc>
              <w:tcPr>
                <w:tcW w:w="1054" w:type="pct"/>
                <w:vAlign w:val="center"/>
              </w:tcPr>
              <w:p w14:paraId="32798A8C" w14:textId="77777777" w:rsidR="007E7472" w:rsidRDefault="00EC1269">
                <w:pPr>
                  <w:jc w:val="right"/>
                </w:pPr>
                <w:r>
                  <w:t>4,128,540</w:t>
                </w:r>
              </w:p>
            </w:tc>
            <w:tc>
              <w:tcPr>
                <w:tcW w:w="1063" w:type="pct"/>
                <w:vAlign w:val="center"/>
              </w:tcPr>
              <w:p w14:paraId="7BC4E05E" w14:textId="77777777" w:rsidR="007E7472" w:rsidRDefault="00EC1269">
                <w:pPr>
                  <w:jc w:val="right"/>
                </w:pPr>
                <w:r>
                  <w:t>100</w:t>
                </w:r>
              </w:p>
            </w:tc>
          </w:tr>
        </w:tbl>
        <w:p w14:paraId="1E322300" w14:textId="77777777" w:rsidR="007E7472" w:rsidRDefault="00C8327E"/>
      </w:sdtContent>
    </w:sdt>
    <w:sdt>
      <w:sdtPr>
        <w:rPr>
          <w:rFonts w:ascii="宋体" w:hAnsi="宋体" w:cs="宋体" w:hint="eastAsia"/>
          <w:b w:val="0"/>
          <w:bCs w:val="0"/>
          <w:kern w:val="0"/>
          <w:szCs w:val="24"/>
        </w:rPr>
        <w:alias w:val="模块:预付款项金额前五名单位情况"/>
        <w:tag w:val="_GBC_2c5fba8651a04a6d88c0c9fc33310c57"/>
        <w:id w:val="539176343"/>
        <w:lock w:val="sdtLocked"/>
        <w:placeholder>
          <w:docPart w:val="GBC22222222222222222222222222222"/>
        </w:placeholder>
      </w:sdtPr>
      <w:sdtEndPr>
        <w:rPr>
          <w:rFonts w:ascii="Times New Roman" w:hAnsi="Times New Roman"/>
          <w:szCs w:val="21"/>
        </w:rPr>
      </w:sdtEndPr>
      <w:sdtContent>
        <w:p w14:paraId="047588AD" w14:textId="77777777" w:rsidR="007E7472" w:rsidRDefault="00EC1269" w:rsidP="00162493">
          <w:pPr>
            <w:pStyle w:val="4"/>
            <w:numPr>
              <w:ilvl w:val="0"/>
              <w:numId w:val="65"/>
            </w:numPr>
          </w:pPr>
          <w:r>
            <w:rPr>
              <w:rFonts w:hint="eastAsia"/>
            </w:rPr>
            <w:t>按预付对象归集的期末余额前五名的预付款情况</w:t>
          </w:r>
        </w:p>
        <w:sdt>
          <w:sdtPr>
            <w:rPr>
              <w:rFonts w:hint="eastAsia"/>
            </w:rPr>
            <w:alias w:val="是否适用：按预付对象归集的期末余额前五名的预付款情况[双击切换]"/>
            <w:tag w:val="_GBC_a1864f04af6d49bdb434d74a7f29f8c3"/>
            <w:id w:val="-41450613"/>
            <w:lock w:val="sdtLocked"/>
            <w:placeholder>
              <w:docPart w:val="GBC22222222222222222222222222222"/>
            </w:placeholder>
          </w:sdtPr>
          <w:sdtEndPr/>
          <w:sdtContent>
            <w:p w14:paraId="2C0907E0" w14:textId="77777777" w:rsidR="007E7472" w:rsidRDefault="00EC1269">
              <w:pPr>
                <w:snapToGrid w:val="0"/>
                <w:spacing w:line="240" w:lineRule="atLeast"/>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Times New Roman" w:hAnsi="Times New Roman" w:cs="Times New Roman"/>
            </w:rPr>
            <w:alias w:val="按预付对象归集的期末余额前五名的预付款情况的说明"/>
            <w:tag w:val="_GBC_e2f1aa285f174786838e4fcd54656fec"/>
            <w:id w:val="-1125157537"/>
            <w:lock w:val="sdtLocked"/>
            <w:placeholder>
              <w:docPart w:val="GBC22222222222222222222222222222"/>
            </w:placeholder>
          </w:sdtPr>
          <w:sdtEndPr/>
          <w:sdtContent>
            <w:p w14:paraId="717FEA99" w14:textId="77777777" w:rsidR="007E7472" w:rsidRDefault="00C8327E">
              <w:pPr>
                <w:snapToGrid w:val="0"/>
                <w:spacing w:line="240" w:lineRule="atLeast"/>
              </w:pPr>
            </w:p>
            <w:tbl>
              <w:tblPr>
                <w:tblStyle w:val="g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417"/>
                <w:gridCol w:w="2086"/>
                <w:gridCol w:w="2206"/>
              </w:tblGrid>
              <w:tr w:rsidR="007E7472" w14:paraId="676CD75E" w14:textId="77777777" w:rsidTr="007E7472">
                <w:tc>
                  <w:tcPr>
                    <w:tcW w:w="3114" w:type="dxa"/>
                    <w:vAlign w:val="center"/>
                  </w:tcPr>
                  <w:p w14:paraId="5357E1B2" w14:textId="77777777" w:rsidR="007E7472" w:rsidRDefault="00EC1269">
                    <w:pPr>
                      <w:snapToGrid w:val="0"/>
                      <w:spacing w:line="240" w:lineRule="atLeast"/>
                      <w:jc w:val="center"/>
                    </w:pPr>
                    <w:r>
                      <w:rPr>
                        <w:rFonts w:hint="eastAsia"/>
                      </w:rPr>
                      <w:t>单位名称</w:t>
                    </w:r>
                  </w:p>
                </w:tc>
                <w:tc>
                  <w:tcPr>
                    <w:tcW w:w="1417" w:type="dxa"/>
                    <w:vAlign w:val="center"/>
                  </w:tcPr>
                  <w:p w14:paraId="6D7A5C14" w14:textId="77777777" w:rsidR="007E7472" w:rsidRDefault="00EC1269">
                    <w:pPr>
                      <w:snapToGrid w:val="0"/>
                      <w:spacing w:line="240" w:lineRule="atLeast"/>
                      <w:jc w:val="center"/>
                    </w:pPr>
                    <w:r>
                      <w:rPr>
                        <w:rFonts w:hint="eastAsia"/>
                      </w:rPr>
                      <w:t>金额</w:t>
                    </w:r>
                  </w:p>
                </w:tc>
                <w:tc>
                  <w:tcPr>
                    <w:tcW w:w="2086" w:type="dxa"/>
                    <w:vAlign w:val="center"/>
                  </w:tcPr>
                  <w:p w14:paraId="0A2B531F" w14:textId="77777777" w:rsidR="007E7472" w:rsidRDefault="00EC1269">
                    <w:pPr>
                      <w:snapToGrid w:val="0"/>
                      <w:spacing w:line="240" w:lineRule="atLeast"/>
                      <w:jc w:val="center"/>
                    </w:pPr>
                    <w:r>
                      <w:rPr>
                        <w:rFonts w:hint="eastAsia"/>
                      </w:rPr>
                      <w:t>账龄</w:t>
                    </w:r>
                  </w:p>
                </w:tc>
                <w:tc>
                  <w:tcPr>
                    <w:tcW w:w="2206" w:type="dxa"/>
                    <w:vAlign w:val="center"/>
                  </w:tcPr>
                  <w:p w14:paraId="3B207672" w14:textId="77777777" w:rsidR="007E7472" w:rsidRDefault="00EC1269">
                    <w:pPr>
                      <w:snapToGrid w:val="0"/>
                      <w:spacing w:line="240" w:lineRule="atLeast"/>
                      <w:jc w:val="center"/>
                    </w:pPr>
                    <w:r>
                      <w:rPr>
                        <w:rFonts w:hint="eastAsia"/>
                      </w:rPr>
                      <w:t>占预付款项年末余额合计数的比例</w:t>
                    </w:r>
                    <w:r>
                      <w:t>(%)</w:t>
                    </w:r>
                  </w:p>
                </w:tc>
              </w:tr>
              <w:tr w:rsidR="007E7472" w14:paraId="34EFDE6C" w14:textId="77777777" w:rsidTr="007E7472">
                <w:tc>
                  <w:tcPr>
                    <w:tcW w:w="3114" w:type="dxa"/>
                    <w:vAlign w:val="center"/>
                  </w:tcPr>
                  <w:p w14:paraId="558F16D3" w14:textId="7674784C" w:rsidR="007E7472" w:rsidRDefault="00162493">
                    <w:pPr>
                      <w:snapToGrid w:val="0"/>
                      <w:spacing w:line="240" w:lineRule="atLeast"/>
                    </w:pPr>
                    <w:r>
                      <w:rPr>
                        <w:rFonts w:hint="eastAsia"/>
                      </w:rPr>
                      <w:t>公司1</w:t>
                    </w:r>
                  </w:p>
                </w:tc>
                <w:tc>
                  <w:tcPr>
                    <w:tcW w:w="1417" w:type="dxa"/>
                    <w:shd w:val="clear" w:color="auto" w:fill="auto"/>
                    <w:vAlign w:val="center"/>
                  </w:tcPr>
                  <w:p w14:paraId="6D6B8925" w14:textId="77777777" w:rsidR="007E7472" w:rsidRDefault="00EC1269">
                    <w:pPr>
                      <w:jc w:val="right"/>
                    </w:pPr>
                    <w:r>
                      <w:t>512,229</w:t>
                    </w:r>
                  </w:p>
                </w:tc>
                <w:tc>
                  <w:tcPr>
                    <w:tcW w:w="2086" w:type="dxa"/>
                    <w:shd w:val="clear" w:color="auto" w:fill="auto"/>
                    <w:vAlign w:val="center"/>
                  </w:tcPr>
                  <w:p w14:paraId="5179513E" w14:textId="77777777" w:rsidR="007E7472" w:rsidRDefault="00EC1269">
                    <w:pPr>
                      <w:jc w:val="center"/>
                    </w:pPr>
                    <w:r>
                      <w:t>1年以内</w:t>
                    </w:r>
                  </w:p>
                </w:tc>
                <w:tc>
                  <w:tcPr>
                    <w:tcW w:w="2206" w:type="dxa"/>
                    <w:shd w:val="clear" w:color="auto" w:fill="auto"/>
                    <w:vAlign w:val="center"/>
                  </w:tcPr>
                  <w:p w14:paraId="362E9AA8" w14:textId="77777777" w:rsidR="007E7472" w:rsidRDefault="00EC1269">
                    <w:pPr>
                      <w:jc w:val="right"/>
                    </w:pPr>
                    <w:r>
                      <w:t>11</w:t>
                    </w:r>
                  </w:p>
                </w:tc>
              </w:tr>
              <w:tr w:rsidR="007E7472" w14:paraId="0BD8DD7C" w14:textId="77777777" w:rsidTr="007E7472">
                <w:tc>
                  <w:tcPr>
                    <w:tcW w:w="3114" w:type="dxa"/>
                    <w:vAlign w:val="center"/>
                  </w:tcPr>
                  <w:p w14:paraId="7134A255" w14:textId="5D1605F5" w:rsidR="007E7472" w:rsidRDefault="00162493">
                    <w:pPr>
                      <w:snapToGrid w:val="0"/>
                      <w:spacing w:line="240" w:lineRule="atLeast"/>
                    </w:pPr>
                    <w:r>
                      <w:rPr>
                        <w:rFonts w:hint="eastAsia"/>
                      </w:rPr>
                      <w:t>公司2</w:t>
                    </w:r>
                  </w:p>
                </w:tc>
                <w:tc>
                  <w:tcPr>
                    <w:tcW w:w="1417" w:type="dxa"/>
                    <w:shd w:val="clear" w:color="auto" w:fill="auto"/>
                    <w:vAlign w:val="center"/>
                  </w:tcPr>
                  <w:p w14:paraId="0B449390" w14:textId="77777777" w:rsidR="007E7472" w:rsidRDefault="00EC1269">
                    <w:pPr>
                      <w:jc w:val="right"/>
                    </w:pPr>
                    <w:r>
                      <w:t>454,562</w:t>
                    </w:r>
                  </w:p>
                </w:tc>
                <w:tc>
                  <w:tcPr>
                    <w:tcW w:w="2086" w:type="dxa"/>
                    <w:shd w:val="clear" w:color="auto" w:fill="auto"/>
                    <w:vAlign w:val="center"/>
                  </w:tcPr>
                  <w:p w14:paraId="60DDB861" w14:textId="77777777" w:rsidR="007E7472" w:rsidRDefault="00EC1269">
                    <w:pPr>
                      <w:jc w:val="center"/>
                    </w:pPr>
                    <w:r>
                      <w:t>1年以内</w:t>
                    </w:r>
                  </w:p>
                </w:tc>
                <w:tc>
                  <w:tcPr>
                    <w:tcW w:w="2206" w:type="dxa"/>
                    <w:shd w:val="clear" w:color="auto" w:fill="auto"/>
                    <w:vAlign w:val="center"/>
                  </w:tcPr>
                  <w:p w14:paraId="34F73C80" w14:textId="77777777" w:rsidR="007E7472" w:rsidRDefault="00EC1269">
                    <w:pPr>
                      <w:jc w:val="right"/>
                    </w:pPr>
                    <w:r>
                      <w:t>10</w:t>
                    </w:r>
                  </w:p>
                </w:tc>
              </w:tr>
              <w:tr w:rsidR="007E7472" w14:paraId="7BE65021" w14:textId="77777777" w:rsidTr="007E7472">
                <w:tc>
                  <w:tcPr>
                    <w:tcW w:w="3114" w:type="dxa"/>
                    <w:vAlign w:val="center"/>
                  </w:tcPr>
                  <w:p w14:paraId="19B58F81" w14:textId="7C658C2D" w:rsidR="007E7472" w:rsidRDefault="00162493">
                    <w:pPr>
                      <w:snapToGrid w:val="0"/>
                      <w:spacing w:line="240" w:lineRule="atLeast"/>
                    </w:pPr>
                    <w:r>
                      <w:rPr>
                        <w:rFonts w:hint="eastAsia"/>
                      </w:rPr>
                      <w:t>公司3</w:t>
                    </w:r>
                  </w:p>
                </w:tc>
                <w:tc>
                  <w:tcPr>
                    <w:tcW w:w="1417" w:type="dxa"/>
                    <w:shd w:val="clear" w:color="auto" w:fill="auto"/>
                    <w:vAlign w:val="center"/>
                  </w:tcPr>
                  <w:p w14:paraId="654EF6D7" w14:textId="77777777" w:rsidR="007E7472" w:rsidRDefault="00EC1269">
                    <w:pPr>
                      <w:jc w:val="right"/>
                    </w:pPr>
                    <w:r>
                      <w:t>233,863</w:t>
                    </w:r>
                  </w:p>
                </w:tc>
                <w:tc>
                  <w:tcPr>
                    <w:tcW w:w="2086" w:type="dxa"/>
                    <w:shd w:val="clear" w:color="auto" w:fill="auto"/>
                    <w:vAlign w:val="center"/>
                  </w:tcPr>
                  <w:p w14:paraId="2160920A" w14:textId="77777777" w:rsidR="007E7472" w:rsidRDefault="00EC1269">
                    <w:pPr>
                      <w:jc w:val="center"/>
                    </w:pPr>
                    <w:r>
                      <w:t>1年以内</w:t>
                    </w:r>
                  </w:p>
                </w:tc>
                <w:tc>
                  <w:tcPr>
                    <w:tcW w:w="2206" w:type="dxa"/>
                    <w:shd w:val="clear" w:color="auto" w:fill="auto"/>
                    <w:vAlign w:val="center"/>
                  </w:tcPr>
                  <w:p w14:paraId="10CF4DBF" w14:textId="77777777" w:rsidR="007E7472" w:rsidRDefault="00EC1269">
                    <w:pPr>
                      <w:jc w:val="right"/>
                    </w:pPr>
                    <w:r>
                      <w:t>5</w:t>
                    </w:r>
                  </w:p>
                </w:tc>
              </w:tr>
              <w:tr w:rsidR="007E7472" w14:paraId="008DB27A" w14:textId="77777777" w:rsidTr="007E7472">
                <w:tc>
                  <w:tcPr>
                    <w:tcW w:w="3114" w:type="dxa"/>
                    <w:vAlign w:val="center"/>
                  </w:tcPr>
                  <w:p w14:paraId="4D9D0796" w14:textId="568C0E76" w:rsidR="007E7472" w:rsidRDefault="00162493">
                    <w:pPr>
                      <w:snapToGrid w:val="0"/>
                      <w:spacing w:line="240" w:lineRule="atLeast"/>
                    </w:pPr>
                    <w:r>
                      <w:rPr>
                        <w:rFonts w:hint="eastAsia"/>
                      </w:rPr>
                      <w:t>公司4</w:t>
                    </w:r>
                  </w:p>
                </w:tc>
                <w:tc>
                  <w:tcPr>
                    <w:tcW w:w="1417" w:type="dxa"/>
                    <w:shd w:val="clear" w:color="auto" w:fill="auto"/>
                    <w:vAlign w:val="center"/>
                  </w:tcPr>
                  <w:p w14:paraId="1C38DA3D" w14:textId="77777777" w:rsidR="007E7472" w:rsidRDefault="00EC1269">
                    <w:pPr>
                      <w:jc w:val="right"/>
                    </w:pPr>
                    <w:r>
                      <w:t>169,730</w:t>
                    </w:r>
                  </w:p>
                </w:tc>
                <w:tc>
                  <w:tcPr>
                    <w:tcW w:w="2086" w:type="dxa"/>
                    <w:shd w:val="clear" w:color="auto" w:fill="auto"/>
                    <w:vAlign w:val="center"/>
                  </w:tcPr>
                  <w:p w14:paraId="4C191A58" w14:textId="77777777" w:rsidR="007E7472" w:rsidRDefault="00EC1269">
                    <w:pPr>
                      <w:jc w:val="center"/>
                    </w:pPr>
                    <w:r>
                      <w:t>1年以内</w:t>
                    </w:r>
                  </w:p>
                </w:tc>
                <w:tc>
                  <w:tcPr>
                    <w:tcW w:w="2206" w:type="dxa"/>
                    <w:shd w:val="clear" w:color="auto" w:fill="auto"/>
                    <w:vAlign w:val="center"/>
                  </w:tcPr>
                  <w:p w14:paraId="7A14870B" w14:textId="77777777" w:rsidR="007E7472" w:rsidRDefault="00EC1269">
                    <w:pPr>
                      <w:jc w:val="right"/>
                    </w:pPr>
                    <w:r>
                      <w:t>4</w:t>
                    </w:r>
                  </w:p>
                </w:tc>
              </w:tr>
              <w:tr w:rsidR="007E7472" w14:paraId="09342FE7" w14:textId="77777777" w:rsidTr="007E7472">
                <w:tc>
                  <w:tcPr>
                    <w:tcW w:w="3114" w:type="dxa"/>
                    <w:vAlign w:val="center"/>
                  </w:tcPr>
                  <w:p w14:paraId="5704A100" w14:textId="68C40B67" w:rsidR="007E7472" w:rsidRDefault="00162493">
                    <w:pPr>
                      <w:snapToGrid w:val="0"/>
                      <w:spacing w:line="240" w:lineRule="atLeast"/>
                    </w:pPr>
                    <w:r>
                      <w:rPr>
                        <w:rFonts w:hint="eastAsia"/>
                      </w:rPr>
                      <w:t>公司5</w:t>
                    </w:r>
                  </w:p>
                </w:tc>
                <w:tc>
                  <w:tcPr>
                    <w:tcW w:w="1417" w:type="dxa"/>
                    <w:shd w:val="clear" w:color="auto" w:fill="auto"/>
                    <w:vAlign w:val="center"/>
                  </w:tcPr>
                  <w:p w14:paraId="67A15D0F" w14:textId="77777777" w:rsidR="007E7472" w:rsidRDefault="00EC1269">
                    <w:pPr>
                      <w:jc w:val="right"/>
                    </w:pPr>
                    <w:r>
                      <w:t>138,860</w:t>
                    </w:r>
                  </w:p>
                </w:tc>
                <w:tc>
                  <w:tcPr>
                    <w:tcW w:w="2086" w:type="dxa"/>
                    <w:shd w:val="clear" w:color="auto" w:fill="auto"/>
                    <w:vAlign w:val="center"/>
                  </w:tcPr>
                  <w:p w14:paraId="347BE882" w14:textId="77777777" w:rsidR="007E7472" w:rsidRDefault="00EC1269">
                    <w:pPr>
                      <w:jc w:val="center"/>
                    </w:pPr>
                    <w:r>
                      <w:t>1年以内</w:t>
                    </w:r>
                  </w:p>
                </w:tc>
                <w:tc>
                  <w:tcPr>
                    <w:tcW w:w="2206" w:type="dxa"/>
                    <w:shd w:val="clear" w:color="auto" w:fill="auto"/>
                    <w:vAlign w:val="center"/>
                  </w:tcPr>
                  <w:p w14:paraId="109397D3" w14:textId="77777777" w:rsidR="007E7472" w:rsidRDefault="00EC1269">
                    <w:pPr>
                      <w:jc w:val="right"/>
                    </w:pPr>
                    <w:r>
                      <w:t>3</w:t>
                    </w:r>
                  </w:p>
                </w:tc>
              </w:tr>
              <w:tr w:rsidR="007E7472" w14:paraId="3803A418" w14:textId="77777777" w:rsidTr="007E7472">
                <w:tc>
                  <w:tcPr>
                    <w:tcW w:w="3114" w:type="dxa"/>
                    <w:vAlign w:val="center"/>
                  </w:tcPr>
                  <w:p w14:paraId="321E77E0" w14:textId="77777777" w:rsidR="007E7472" w:rsidRDefault="00EC1269">
                    <w:pPr>
                      <w:snapToGrid w:val="0"/>
                      <w:spacing w:line="240" w:lineRule="atLeast"/>
                    </w:pPr>
                    <w:r>
                      <w:rPr>
                        <w:rFonts w:hint="eastAsia"/>
                      </w:rPr>
                      <w:t>合计</w:t>
                    </w:r>
                  </w:p>
                </w:tc>
                <w:tc>
                  <w:tcPr>
                    <w:tcW w:w="1417" w:type="dxa"/>
                    <w:shd w:val="clear" w:color="auto" w:fill="auto"/>
                    <w:vAlign w:val="center"/>
                  </w:tcPr>
                  <w:p w14:paraId="55E9A6BD" w14:textId="77777777" w:rsidR="007E7472" w:rsidRDefault="00EC1269">
                    <w:pPr>
                      <w:jc w:val="right"/>
                    </w:pPr>
                    <w:r>
                      <w:t>1,509,244</w:t>
                    </w:r>
                  </w:p>
                </w:tc>
                <w:tc>
                  <w:tcPr>
                    <w:tcW w:w="2086" w:type="dxa"/>
                    <w:shd w:val="clear" w:color="auto" w:fill="auto"/>
                    <w:vAlign w:val="center"/>
                  </w:tcPr>
                  <w:p w14:paraId="7FAE7CBE" w14:textId="77777777" w:rsidR="007E7472" w:rsidRDefault="00C8327E">
                    <w:pPr>
                      <w:jc w:val="center"/>
                    </w:pPr>
                  </w:p>
                </w:tc>
                <w:tc>
                  <w:tcPr>
                    <w:tcW w:w="2206" w:type="dxa"/>
                    <w:shd w:val="clear" w:color="auto" w:fill="auto"/>
                    <w:vAlign w:val="center"/>
                  </w:tcPr>
                  <w:p w14:paraId="63F48E4A" w14:textId="77777777" w:rsidR="007E7472" w:rsidRDefault="00EC1269">
                    <w:pPr>
                      <w:jc w:val="right"/>
                    </w:pPr>
                    <w:r>
                      <w:t>33</w:t>
                    </w:r>
                  </w:p>
                </w:tc>
              </w:tr>
            </w:tbl>
            <w:p w14:paraId="7EBB062E" w14:textId="77777777" w:rsidR="007E7472" w:rsidRDefault="00C8327E"/>
          </w:sdtContent>
        </w:sdt>
      </w:sdtContent>
    </w:sdt>
    <w:sdt>
      <w:sdtPr>
        <w:rPr>
          <w:rFonts w:hint="eastAsia"/>
          <w:b/>
          <w:bCs/>
        </w:rPr>
        <w:alias w:val="模块:预付款项的说明"/>
        <w:tag w:val="_GBC_ee9bedfa5e5340c9b02fb474f1a1fc26"/>
        <w:id w:val="889384674"/>
        <w:lock w:val="sdtLocked"/>
        <w:placeholder>
          <w:docPart w:val="GBC22222222222222222222222222222"/>
        </w:placeholder>
      </w:sdtPr>
      <w:sdtEndPr>
        <w:rPr>
          <w:rFonts w:hint="default"/>
          <w:b w:val="0"/>
          <w:bCs w:val="0"/>
        </w:rPr>
      </w:sdtEndPr>
      <w:sdtContent>
        <w:p w14:paraId="67E90E44" w14:textId="77777777" w:rsidR="007E7472" w:rsidRDefault="00EC1269">
          <w:r>
            <w:rPr>
              <w:rFonts w:hint="eastAsia"/>
            </w:rPr>
            <w:t>其他说明</w:t>
          </w:r>
        </w:p>
        <w:sdt>
          <w:sdtPr>
            <w:alias w:val="是否适用：预付帐款的说明[双击切换]"/>
            <w:tag w:val="_GBC_c712ee6483d44c77b1f563e552689c6d"/>
            <w:id w:val="1265727089"/>
            <w:lock w:val="sdtLocked"/>
            <w:placeholder>
              <w:docPart w:val="GBC22222222222222222222222222222"/>
            </w:placeholder>
          </w:sdtPr>
          <w:sdtEndPr>
            <w:rPr>
              <w:sz w:val="20"/>
              <w:szCs w:val="20"/>
            </w:rPr>
          </w:sdtEndPr>
          <w:sdtContent>
            <w:p w14:paraId="72D534C5"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p w14:paraId="7856633F" w14:textId="77777777" w:rsidR="007E7472" w:rsidRDefault="00C8327E"/>
    <w:p w14:paraId="252A677E" w14:textId="77777777" w:rsidR="007E7472" w:rsidRDefault="00EC1269" w:rsidP="00162493">
      <w:pPr>
        <w:pStyle w:val="3"/>
        <w:numPr>
          <w:ilvl w:val="0"/>
          <w:numId w:val="62"/>
        </w:numPr>
      </w:pPr>
      <w:r>
        <w:rPr>
          <w:rFonts w:hint="eastAsia"/>
        </w:rPr>
        <w:t>其他应收款</w:t>
      </w:r>
    </w:p>
    <w:bookmarkStart w:id="177" w:name="_Hlk10467611" w:displacedByCustomXml="next"/>
    <w:sdt>
      <w:sdtPr>
        <w:rPr>
          <w:rFonts w:ascii="宋体" w:hAnsi="宋体" w:cs="宋体" w:hint="eastAsia"/>
          <w:b w:val="0"/>
          <w:bCs w:val="0"/>
          <w:kern w:val="0"/>
          <w:sz w:val="20"/>
          <w:szCs w:val="24"/>
        </w:rPr>
        <w:alias w:val="模块:分类列示"/>
        <w:tag w:val="_SEC_440b8bdb86984dd89d750fdd7845fe71"/>
        <w:id w:val="-734385019"/>
        <w:lock w:val="sdtLocked"/>
        <w:placeholder>
          <w:docPart w:val="GBC22222222222222222222222222222"/>
        </w:placeholder>
      </w:sdtPr>
      <w:sdtEndPr>
        <w:rPr>
          <w:rFonts w:hint="default"/>
          <w:sz w:val="21"/>
          <w:szCs w:val="21"/>
        </w:rPr>
      </w:sdtEndPr>
      <w:sdtContent>
        <w:p w14:paraId="66D10D23" w14:textId="77777777" w:rsidR="007E7472" w:rsidRDefault="00EC1269" w:rsidP="007E7472">
          <w:pPr>
            <w:pStyle w:val="4"/>
          </w:pPr>
          <w:r>
            <w:rPr>
              <w:rFonts w:hint="eastAsia"/>
            </w:rPr>
            <w:t>项目列示</w:t>
          </w:r>
        </w:p>
        <w:sdt>
          <w:sdtPr>
            <w:alias w:val="是否适用：其他应收款分类列示[双击切换]"/>
            <w:tag w:val="_GBC_23e3e9ad53624abaaa00fc7f7c24842a"/>
            <w:id w:val="-746952479"/>
            <w:lock w:val="sdtLocked"/>
            <w:placeholder>
              <w:docPart w:val="GBC22222222222222222222222222222"/>
            </w:placeholder>
          </w:sdtPr>
          <w:sdtEndPr/>
          <w:sdtContent>
            <w:p w14:paraId="7CF1D2AD"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642C2451" w14:textId="6FDD96CC" w:rsidR="007E7472" w:rsidRDefault="00EC1269">
          <w:pPr>
            <w:jc w:val="right"/>
          </w:pPr>
          <w:r>
            <w:rPr>
              <w:rFonts w:hint="eastAsia"/>
            </w:rPr>
            <w:t>单位：</w:t>
          </w:r>
          <w:sdt>
            <w:sdtPr>
              <w:rPr>
                <w:rFonts w:hint="eastAsia"/>
              </w:rPr>
              <w:alias w:val="单位：其他应收款分类列示"/>
              <w:tag w:val="_GBC_b73f89c776a341249ed520fe726b4db9"/>
              <w:id w:val="-6192223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其他应收款分类列示"/>
              <w:tag w:val="_GBC_a23554f2403346ea97b8fb1ef551ebe4"/>
              <w:id w:val="-10567810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115"/>
            <w:gridCol w:w="2862"/>
            <w:gridCol w:w="2846"/>
          </w:tblGrid>
          <w:tr w:rsidR="007E7472" w14:paraId="5CED7943" w14:textId="77777777" w:rsidTr="007E7472">
            <w:trPr>
              <w:cantSplit/>
              <w:trHeight w:val="340"/>
            </w:trPr>
            <w:sdt>
              <w:sdtPr>
                <w:tag w:val="_PLD_3b049b9a7f344665a70a23c402afbda5"/>
                <w:id w:val="1352541525"/>
                <w:lock w:val="sdtLocked"/>
              </w:sdtPr>
              <w:sdtEndPr/>
              <w:sdtContent>
                <w:tc>
                  <w:tcPr>
                    <w:tcW w:w="1765" w:type="pct"/>
                    <w:vAlign w:val="center"/>
                  </w:tcPr>
                  <w:p w14:paraId="0C7A1FCE" w14:textId="77777777" w:rsidR="007E7472" w:rsidRDefault="00EC1269">
                    <w:pPr>
                      <w:jc w:val="center"/>
                    </w:pPr>
                    <w:r>
                      <w:rPr>
                        <w:rFonts w:hint="eastAsia"/>
                      </w:rPr>
                      <w:t>项目</w:t>
                    </w:r>
                  </w:p>
                </w:tc>
              </w:sdtContent>
            </w:sdt>
            <w:sdt>
              <w:sdtPr>
                <w:tag w:val="_PLD_550a4ba0fb444ea69297bd36780a7618"/>
                <w:id w:val="2018109058"/>
                <w:lock w:val="sdtLocked"/>
              </w:sdtPr>
              <w:sdtEndPr/>
              <w:sdtContent>
                <w:tc>
                  <w:tcPr>
                    <w:tcW w:w="1622" w:type="pct"/>
                    <w:vAlign w:val="center"/>
                  </w:tcPr>
                  <w:p w14:paraId="4422D649" w14:textId="77777777" w:rsidR="007E7472" w:rsidRDefault="00EC1269">
                    <w:pPr>
                      <w:jc w:val="center"/>
                    </w:pPr>
                    <w:r>
                      <w:rPr>
                        <w:rFonts w:hint="eastAsia"/>
                      </w:rPr>
                      <w:t>期末余额</w:t>
                    </w:r>
                  </w:p>
                </w:tc>
              </w:sdtContent>
            </w:sdt>
            <w:sdt>
              <w:sdtPr>
                <w:tag w:val="_PLD_d58c3f70487c440b99a9f440a2d57d1e"/>
                <w:id w:val="1839572468"/>
                <w:lock w:val="sdtLocked"/>
              </w:sdtPr>
              <w:sdtEndPr/>
              <w:sdtContent>
                <w:tc>
                  <w:tcPr>
                    <w:tcW w:w="1613" w:type="pct"/>
                    <w:vAlign w:val="center"/>
                  </w:tcPr>
                  <w:p w14:paraId="07838E0F" w14:textId="77777777" w:rsidR="007E7472" w:rsidRDefault="00EC1269">
                    <w:pPr>
                      <w:jc w:val="center"/>
                    </w:pPr>
                    <w:r>
                      <w:rPr>
                        <w:rFonts w:hint="eastAsia"/>
                      </w:rPr>
                      <w:t>期初余额</w:t>
                    </w:r>
                  </w:p>
                </w:tc>
              </w:sdtContent>
            </w:sdt>
          </w:tr>
          <w:tr w:rsidR="007E7472" w14:paraId="73289F23" w14:textId="77777777" w:rsidTr="007E7472">
            <w:trPr>
              <w:cantSplit/>
              <w:trHeight w:val="340"/>
            </w:trPr>
            <w:sdt>
              <w:sdtPr>
                <w:tag w:val="_PLD_6a77c21d56bf4de7bfea2b3078ae9e86"/>
                <w:id w:val="-698076220"/>
                <w:lock w:val="sdtLocked"/>
              </w:sdtPr>
              <w:sdtEndPr/>
              <w:sdtContent>
                <w:tc>
                  <w:tcPr>
                    <w:tcW w:w="1765" w:type="pct"/>
                    <w:vAlign w:val="center"/>
                  </w:tcPr>
                  <w:p w14:paraId="1D51F8CD" w14:textId="77777777" w:rsidR="007E7472" w:rsidRDefault="00EC1269">
                    <w:pPr>
                      <w:ind w:right="5"/>
                    </w:pPr>
                    <w:r>
                      <w:rPr>
                        <w:rFonts w:hint="eastAsia"/>
                      </w:rPr>
                      <w:t>应收利息</w:t>
                    </w:r>
                  </w:p>
                </w:tc>
              </w:sdtContent>
            </w:sdt>
            <w:tc>
              <w:tcPr>
                <w:tcW w:w="1622" w:type="pct"/>
                <w:vAlign w:val="center"/>
              </w:tcPr>
              <w:p w14:paraId="6CC294CE" w14:textId="77777777" w:rsidR="007E7472" w:rsidRDefault="00EC1269">
                <w:pPr>
                  <w:jc w:val="right"/>
                  <w:rPr>
                    <w:bCs/>
                  </w:rPr>
                </w:pPr>
                <w:r>
                  <w:t>46,677</w:t>
                </w:r>
              </w:p>
            </w:tc>
            <w:tc>
              <w:tcPr>
                <w:tcW w:w="1613" w:type="pct"/>
                <w:vAlign w:val="center"/>
              </w:tcPr>
              <w:p w14:paraId="7FD395D9" w14:textId="77777777" w:rsidR="007E7472" w:rsidRDefault="00EC1269">
                <w:pPr>
                  <w:jc w:val="right"/>
                </w:pPr>
                <w:r>
                  <w:t>36,063</w:t>
                </w:r>
              </w:p>
            </w:tc>
          </w:tr>
          <w:tr w:rsidR="007E7472" w14:paraId="2CB9AF10" w14:textId="77777777" w:rsidTr="007E7472">
            <w:trPr>
              <w:cantSplit/>
              <w:trHeight w:val="340"/>
            </w:trPr>
            <w:sdt>
              <w:sdtPr>
                <w:tag w:val="_PLD_d5542663fde44485b06eb5b2144b7f62"/>
                <w:id w:val="659583553"/>
                <w:lock w:val="sdtLocked"/>
              </w:sdtPr>
              <w:sdtEndPr/>
              <w:sdtContent>
                <w:tc>
                  <w:tcPr>
                    <w:tcW w:w="1765" w:type="pct"/>
                    <w:vAlign w:val="center"/>
                  </w:tcPr>
                  <w:p w14:paraId="786E04E9" w14:textId="77777777" w:rsidR="007E7472" w:rsidRDefault="00EC1269">
                    <w:pPr>
                      <w:ind w:right="5"/>
                    </w:pPr>
                    <w:r>
                      <w:rPr>
                        <w:rFonts w:hint="eastAsia"/>
                      </w:rPr>
                      <w:t>应收股利</w:t>
                    </w:r>
                  </w:p>
                </w:tc>
              </w:sdtContent>
            </w:sdt>
            <w:tc>
              <w:tcPr>
                <w:tcW w:w="1622" w:type="pct"/>
                <w:vAlign w:val="center"/>
              </w:tcPr>
              <w:p w14:paraId="2FBF60F2" w14:textId="77777777" w:rsidR="007E7472" w:rsidRDefault="00EC1269">
                <w:pPr>
                  <w:jc w:val="right"/>
                </w:pPr>
                <w:r>
                  <w:t>210,312</w:t>
                </w:r>
              </w:p>
            </w:tc>
            <w:tc>
              <w:tcPr>
                <w:tcW w:w="1613" w:type="pct"/>
                <w:vAlign w:val="center"/>
              </w:tcPr>
              <w:p w14:paraId="5BF6F8F5" w14:textId="77777777" w:rsidR="007E7472" w:rsidRDefault="00EC1269">
                <w:pPr>
                  <w:jc w:val="right"/>
                </w:pPr>
                <w:r>
                  <w:t>220,311</w:t>
                </w:r>
              </w:p>
            </w:tc>
          </w:tr>
          <w:tr w:rsidR="007E7472" w14:paraId="43FBE2BE" w14:textId="77777777" w:rsidTr="007E7472">
            <w:trPr>
              <w:cantSplit/>
              <w:trHeight w:val="340"/>
            </w:trPr>
            <w:sdt>
              <w:sdtPr>
                <w:tag w:val="_PLD_fadacacf8b7d4e10a081b5eae54fea6b"/>
                <w:id w:val="-2100328199"/>
                <w:lock w:val="sdtLocked"/>
              </w:sdtPr>
              <w:sdtEndPr/>
              <w:sdtContent>
                <w:tc>
                  <w:tcPr>
                    <w:tcW w:w="1765" w:type="pct"/>
                    <w:vAlign w:val="center"/>
                  </w:tcPr>
                  <w:p w14:paraId="6A7DCD67" w14:textId="77777777" w:rsidR="007E7472" w:rsidRDefault="00EC1269">
                    <w:pPr>
                      <w:ind w:right="5"/>
                    </w:pPr>
                    <w:r>
                      <w:rPr>
                        <w:rFonts w:hint="eastAsia"/>
                      </w:rPr>
                      <w:t>其他应收款</w:t>
                    </w:r>
                  </w:p>
                </w:tc>
              </w:sdtContent>
            </w:sdt>
            <w:tc>
              <w:tcPr>
                <w:tcW w:w="1622" w:type="pct"/>
                <w:vAlign w:val="center"/>
              </w:tcPr>
              <w:p w14:paraId="773DEB64" w14:textId="77777777" w:rsidR="007E7472" w:rsidRDefault="00EC1269">
                <w:pPr>
                  <w:jc w:val="right"/>
                </w:pPr>
                <w:r>
                  <w:t>2,883,843</w:t>
                </w:r>
              </w:p>
            </w:tc>
            <w:tc>
              <w:tcPr>
                <w:tcW w:w="1613" w:type="pct"/>
                <w:vAlign w:val="center"/>
              </w:tcPr>
              <w:p w14:paraId="1D7C48A7" w14:textId="77777777" w:rsidR="007E7472" w:rsidRDefault="00EC1269">
                <w:pPr>
                  <w:jc w:val="right"/>
                </w:pPr>
                <w:r>
                  <w:t>2,741,407</w:t>
                </w:r>
              </w:p>
            </w:tc>
          </w:tr>
          <w:tr w:rsidR="007E7472" w14:paraId="7D1B8CDA" w14:textId="77777777" w:rsidTr="007E7472">
            <w:trPr>
              <w:cantSplit/>
              <w:trHeight w:val="340"/>
            </w:trPr>
            <w:sdt>
              <w:sdtPr>
                <w:tag w:val="_PLD_7fcd8f78599a4d76a92c6bed7b01aa27"/>
                <w:id w:val="537012260"/>
                <w:lock w:val="sdtLocked"/>
              </w:sdtPr>
              <w:sdtEndPr/>
              <w:sdtContent>
                <w:tc>
                  <w:tcPr>
                    <w:tcW w:w="1765" w:type="pct"/>
                    <w:vAlign w:val="center"/>
                  </w:tcPr>
                  <w:p w14:paraId="31367614" w14:textId="77777777" w:rsidR="007E7472" w:rsidRDefault="00EC1269">
                    <w:pPr>
                      <w:autoSpaceDE w:val="0"/>
                      <w:autoSpaceDN w:val="0"/>
                      <w:adjustRightInd w:val="0"/>
                      <w:jc w:val="center"/>
                    </w:pPr>
                    <w:r>
                      <w:rPr>
                        <w:rFonts w:hint="eastAsia"/>
                      </w:rPr>
                      <w:t>合计</w:t>
                    </w:r>
                  </w:p>
                </w:tc>
              </w:sdtContent>
            </w:sdt>
            <w:tc>
              <w:tcPr>
                <w:tcW w:w="1622" w:type="pct"/>
                <w:vAlign w:val="center"/>
              </w:tcPr>
              <w:p w14:paraId="115CBC0E" w14:textId="77777777" w:rsidR="007E7472" w:rsidRDefault="00EC1269">
                <w:pPr>
                  <w:jc w:val="right"/>
                </w:pPr>
                <w:r>
                  <w:t>3,140,832</w:t>
                </w:r>
              </w:p>
            </w:tc>
            <w:tc>
              <w:tcPr>
                <w:tcW w:w="1613" w:type="pct"/>
                <w:vAlign w:val="center"/>
              </w:tcPr>
              <w:p w14:paraId="2DA70FF2" w14:textId="77777777" w:rsidR="007E7472" w:rsidRDefault="00EC1269">
                <w:pPr>
                  <w:jc w:val="right"/>
                </w:pPr>
                <w:r>
                  <w:t>2,997,781</w:t>
                </w:r>
              </w:p>
            </w:tc>
          </w:tr>
        </w:tbl>
        <w:p w14:paraId="24F79483" w14:textId="77777777" w:rsidR="007E7472" w:rsidRDefault="00EC1269">
          <w:bookmarkStart w:id="178" w:name="_Hlk532906097"/>
          <w:r>
            <w:rPr>
              <w:rFonts w:hint="eastAsia"/>
            </w:rPr>
            <w:t>其他说明：</w:t>
          </w:r>
          <w:bookmarkEnd w:id="178"/>
        </w:p>
        <w:sdt>
          <w:sdtPr>
            <w:alias w:val="是否适用：其他应收款分类列示其他说明[双击切换]"/>
            <w:tag w:val="_GBC_73a4089b33094d13b0ea7c9bf8cfb58f"/>
            <w:id w:val="1305818483"/>
            <w:lock w:val="sdtLocked"/>
            <w:placeholder>
              <w:docPart w:val="GBC22222222222222222222222222222"/>
            </w:placeholder>
          </w:sdtPr>
          <w:sdtEndPr/>
          <w:sdtContent>
            <w:p w14:paraId="49092F3E"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fldChar w:fldCharType="begin"/>
              </w:r>
              <w:r>
                <w:instrText xml:space="preserve"> MACROBUTTON  SnrToggleCheckbox √不适用 </w:instrText>
              </w:r>
              <w:r>
                <w:fldChar w:fldCharType="end"/>
              </w:r>
            </w:p>
          </w:sdtContent>
        </w:sdt>
      </w:sdtContent>
    </w:sdt>
    <w:bookmarkEnd w:id="177" w:displacedByCustomXml="next"/>
    <w:sdt>
      <w:sdtPr>
        <w:rPr>
          <w:rFonts w:ascii="宋体" w:hAnsi="宋体" w:cs="宋体" w:hint="eastAsia"/>
          <w:b w:val="0"/>
          <w:bCs w:val="0"/>
          <w:kern w:val="0"/>
          <w:sz w:val="20"/>
          <w:szCs w:val="21"/>
        </w:rPr>
        <w:alias w:val="模块:应收利息"/>
        <w:tag w:val="_GBC_6620e2366b444b3fb9e784e1bb6a87fd"/>
        <w:id w:val="1047952603"/>
        <w:lock w:val="sdtLocked"/>
        <w:placeholder>
          <w:docPart w:val="GBC22222222222222222222222222222"/>
        </w:placeholder>
      </w:sdtPr>
      <w:sdtEndPr/>
      <w:sdtContent>
        <w:p w14:paraId="00664C92" w14:textId="77777777" w:rsidR="007E7472" w:rsidRPr="00E260EB" w:rsidRDefault="00EC1269" w:rsidP="007E7472">
          <w:pPr>
            <w:pStyle w:val="4"/>
            <w:rPr>
              <w:bCs w:val="0"/>
            </w:rPr>
          </w:pPr>
          <w:r w:rsidRPr="00E260EB">
            <w:rPr>
              <w:rFonts w:hint="eastAsia"/>
              <w:bCs w:val="0"/>
            </w:rPr>
            <w:t>应收利息</w:t>
          </w:r>
        </w:p>
        <w:p w14:paraId="6F9437DB" w14:textId="77777777" w:rsidR="007E7472" w:rsidRDefault="00EC1269" w:rsidP="00162493">
          <w:pPr>
            <w:pStyle w:val="4"/>
            <w:numPr>
              <w:ilvl w:val="0"/>
              <w:numId w:val="66"/>
            </w:numPr>
          </w:pPr>
          <w:r>
            <w:rPr>
              <w:rFonts w:hint="eastAsia"/>
            </w:rPr>
            <w:t>应收利息分类</w:t>
          </w:r>
        </w:p>
        <w:sdt>
          <w:sdtPr>
            <w:alias w:val="是否适用：应收利息分类[双击切换]"/>
            <w:tag w:val="_GBC_86f9e9a81d7d4e07ae6873a88ddf6cc7"/>
            <w:id w:val="1164049396"/>
            <w:lock w:val="sdtLocked"/>
            <w:placeholder>
              <w:docPart w:val="GBC22222222222222222222222222222"/>
            </w:placeholder>
          </w:sdtPr>
          <w:sdtEndPr/>
          <w:sdtContent>
            <w:p w14:paraId="242FBCF4"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sdt>
      <w:sdtPr>
        <w:rPr>
          <w:rFonts w:ascii="宋体" w:hAnsi="宋体" w:cs="宋体" w:hint="eastAsia"/>
          <w:b w:val="0"/>
          <w:bCs w:val="0"/>
          <w:kern w:val="0"/>
          <w:sz w:val="20"/>
          <w:szCs w:val="21"/>
        </w:rPr>
        <w:alias w:val="模块:逾期利息"/>
        <w:tag w:val="_GBC_bcfcff19f55a43f988e9223dca0728dc"/>
        <w:id w:val="-496504199"/>
        <w:lock w:val="sdtLocked"/>
        <w:placeholder>
          <w:docPart w:val="GBC22222222222222222222222222222"/>
        </w:placeholder>
      </w:sdtPr>
      <w:sdtEndPr/>
      <w:sdtContent>
        <w:p w14:paraId="5670B02F" w14:textId="77777777" w:rsidR="007E7472" w:rsidRDefault="00EC1269" w:rsidP="00162493">
          <w:pPr>
            <w:pStyle w:val="4"/>
            <w:numPr>
              <w:ilvl w:val="0"/>
              <w:numId w:val="66"/>
            </w:numPr>
          </w:pPr>
          <w:r>
            <w:rPr>
              <w:rFonts w:hint="eastAsia"/>
            </w:rPr>
            <w:t>重要逾期利息</w:t>
          </w:r>
        </w:p>
        <w:sdt>
          <w:sdtPr>
            <w:alias w:val="是否适用：重要逾期利息[双击切换]"/>
            <w:tag w:val="_GBC_4554f307ef2241a583829b74df8ef0c3"/>
            <w:id w:val="839979929"/>
            <w:lock w:val="sdtLocked"/>
            <w:placeholder>
              <w:docPart w:val="GBC22222222222222222222222222222"/>
            </w:placeholder>
          </w:sdtPr>
          <w:sdtEndPr/>
          <w:sdtContent>
            <w:p w14:paraId="3C23E938"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bookmarkStart w:id="179" w:name="_Hlk10468247" w:displacedByCustomXml="next"/>
    <w:sdt>
      <w:sdtPr>
        <w:rPr>
          <w:rFonts w:ascii="宋体" w:hAnsi="宋体" w:cs="宋体" w:hint="eastAsia"/>
          <w:b w:val="0"/>
          <w:bCs w:val="0"/>
          <w:kern w:val="0"/>
          <w:sz w:val="20"/>
          <w:szCs w:val="21"/>
        </w:rPr>
        <w:alias w:val="模块:坏账准备计提情况"/>
        <w:tag w:val="_SEC_61c56552057346dd98026d659f25d3ef"/>
        <w:id w:val="1451754239"/>
        <w:lock w:val="sdtLocked"/>
        <w:placeholder>
          <w:docPart w:val="GBC22222222222222222222222222222"/>
        </w:placeholder>
      </w:sdtPr>
      <w:sdtEndPr/>
      <w:sdtContent>
        <w:p w14:paraId="48B6E3A2" w14:textId="77777777" w:rsidR="007E7472" w:rsidRDefault="00EC1269" w:rsidP="00162493">
          <w:pPr>
            <w:pStyle w:val="4"/>
            <w:numPr>
              <w:ilvl w:val="0"/>
              <w:numId w:val="66"/>
            </w:numPr>
          </w:pPr>
          <w:r>
            <w:rPr>
              <w:rFonts w:hint="eastAsia"/>
            </w:rPr>
            <w:t>坏账准备计提情况</w:t>
          </w:r>
        </w:p>
        <w:sdt>
          <w:sdtPr>
            <w:alias w:val="是否适用：应收利息坏账准备调节表[双击切换]"/>
            <w:tag w:val="_GBC_2081adab30854417bcfae25caae8c9f9"/>
            <w:id w:val="2011793579"/>
            <w:lock w:val="sdtLocked"/>
            <w:placeholder>
              <w:docPart w:val="GBC22222222222222222222222222222"/>
            </w:placeholder>
          </w:sdtPr>
          <w:sdtEndPr/>
          <w:sdtContent>
            <w:p w14:paraId="2B4792F9"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bookmarkEnd w:id="179" w:displacedByCustomXml="next"/>
    <w:sdt>
      <w:sdtPr>
        <w:rPr>
          <w:rFonts w:hint="eastAsia"/>
          <w:b/>
          <w:bCs/>
        </w:rPr>
        <w:alias w:val="模块:应收利息的说明"/>
        <w:tag w:val="_GBC_0dc3bcd06a754f79952657ba82acdc9f"/>
        <w:id w:val="645022397"/>
        <w:lock w:val="sdtLocked"/>
        <w:placeholder>
          <w:docPart w:val="GBC22222222222222222222222222222"/>
        </w:placeholder>
      </w:sdtPr>
      <w:sdtEndPr>
        <w:rPr>
          <w:rFonts w:hint="default"/>
          <w:b w:val="0"/>
          <w:bCs w:val="0"/>
        </w:rPr>
      </w:sdtEndPr>
      <w:sdtContent>
        <w:p w14:paraId="73DE1B1E" w14:textId="77777777" w:rsidR="007E7472" w:rsidRDefault="00EC1269">
          <w:r>
            <w:rPr>
              <w:rFonts w:hint="eastAsia"/>
            </w:rPr>
            <w:t>其他说明：</w:t>
          </w:r>
        </w:p>
        <w:sdt>
          <w:sdtPr>
            <w:alias w:val="是否适用：应收利息的说明[双击切换]"/>
            <w:tag w:val="_GBC_9fcbab94f58048baace4761ca17ae925"/>
            <w:id w:val="1010560607"/>
            <w:lock w:val="sdtLocked"/>
            <w:placeholder>
              <w:docPart w:val="GBC22222222222222222222222222222"/>
            </w:placeholder>
          </w:sdtPr>
          <w:sdtEndPr/>
          <w:sdtContent>
            <w:p w14:paraId="2030BD6F" w14:textId="5F541DF6"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sdt>
      <w:sdtPr>
        <w:rPr>
          <w:rFonts w:ascii="宋体" w:hAnsi="宋体" w:cstheme="minorBidi" w:hint="eastAsia"/>
          <w:b w:val="0"/>
          <w:bCs w:val="0"/>
          <w:kern w:val="0"/>
          <w:sz w:val="20"/>
          <w:szCs w:val="21"/>
        </w:rPr>
        <w:alias w:val="模块:应收股利"/>
        <w:tag w:val="_GBC_94a22362634d47499fd45a0a5577c49b"/>
        <w:id w:val="-1578037495"/>
        <w:lock w:val="sdtLocked"/>
        <w:placeholder>
          <w:docPart w:val="GBC22222222222222222222222222222"/>
        </w:placeholder>
      </w:sdtPr>
      <w:sdtEndPr>
        <w:rPr>
          <w:rFonts w:cs="Times New Roman"/>
        </w:rPr>
      </w:sdtEndPr>
      <w:sdtContent>
        <w:p w14:paraId="08E01CB3" w14:textId="77777777" w:rsidR="007E7472" w:rsidRDefault="00EC1269" w:rsidP="00162493">
          <w:pPr>
            <w:pStyle w:val="4"/>
            <w:numPr>
              <w:ilvl w:val="0"/>
              <w:numId w:val="66"/>
            </w:numPr>
          </w:pPr>
          <w:r>
            <w:rPr>
              <w:rFonts w:hint="eastAsia"/>
            </w:rPr>
            <w:t>应收股利</w:t>
          </w:r>
        </w:p>
        <w:sdt>
          <w:sdtPr>
            <w:alias w:val="是否适用：应收股利[双击切换]"/>
            <w:tag w:val="_GBC_002b8ba295db406eb34a179aa27a4801"/>
            <w:id w:val="-1800979966"/>
            <w:lock w:val="sdtLocked"/>
            <w:placeholder>
              <w:docPart w:val="GBC22222222222222222222222222222"/>
            </w:placeholder>
          </w:sdtPr>
          <w:sdtEndPr/>
          <w:sdtContent>
            <w:p w14:paraId="18B9BC8C"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sdt>
      <w:sdtPr>
        <w:rPr>
          <w:rFonts w:ascii="宋体" w:hAnsi="宋体" w:cstheme="minorBidi" w:hint="eastAsia"/>
          <w:b w:val="0"/>
          <w:bCs w:val="0"/>
          <w:kern w:val="0"/>
          <w:szCs w:val="21"/>
        </w:rPr>
        <w:alias w:val="模块:应收股利"/>
        <w:tag w:val="_GBC_aafe0f2583ac4a35a029d834ee52b5de"/>
        <w:id w:val="-723903899"/>
        <w:lock w:val="sdtLocked"/>
        <w:placeholder>
          <w:docPart w:val="GBC22222222222222222222222222222"/>
        </w:placeholder>
      </w:sdtPr>
      <w:sdtEndPr>
        <w:rPr>
          <w:rFonts w:cs="Times New Roman"/>
        </w:rPr>
      </w:sdtEndPr>
      <w:sdtContent>
        <w:p w14:paraId="2882FF35" w14:textId="77777777" w:rsidR="007E7472" w:rsidRDefault="00EC1269" w:rsidP="00162493">
          <w:pPr>
            <w:pStyle w:val="4"/>
            <w:numPr>
              <w:ilvl w:val="0"/>
              <w:numId w:val="66"/>
            </w:numPr>
          </w:pPr>
          <w:r>
            <w:rPr>
              <w:rFonts w:hint="eastAsia"/>
            </w:rPr>
            <w:t>重要的账龄超过</w:t>
          </w:r>
          <w:r>
            <w:rPr>
              <w:rFonts w:hint="eastAsia"/>
            </w:rPr>
            <w:t>1</w:t>
          </w:r>
          <w:r>
            <w:rPr>
              <w:rFonts w:hint="eastAsia"/>
            </w:rPr>
            <w:t>年的应收股利</w:t>
          </w:r>
        </w:p>
        <w:p w14:paraId="44855E82" w14:textId="77777777" w:rsidR="007E7472" w:rsidRDefault="00C8327E">
          <w:pPr>
            <w:rPr>
              <w:rFonts w:cs="Times New Roman"/>
            </w:rPr>
          </w:pPr>
          <w:sdt>
            <w:sdtPr>
              <w:rPr>
                <w:rFonts w:hint="eastAsia"/>
              </w:rPr>
              <w:alias w:val="是否适用：重要的账龄超过1年的应收股利[双击切换]"/>
              <w:tag w:val="_GBC_9aa7ef4a3c0c40638901a5b7f6224231"/>
              <w:id w:val="363339642"/>
              <w:lock w:val="sdtLocked"/>
              <w:placeholder>
                <w:docPart w:val="GBC22222222222222222222222222222"/>
              </w:placeholder>
            </w:sdtPr>
            <w:sdtEndPr/>
            <w:sdtContent>
              <w:r w:rsidR="00EC1269">
                <w:fldChar w:fldCharType="begin"/>
              </w:r>
              <w:r w:rsidR="00EC1269">
                <w:instrText xml:space="preserve"> MACROBUTTON  SnrToggleCheckbox □适用 </w:instrText>
              </w:r>
              <w:r w:rsidR="00EC1269">
                <w:fldChar w:fldCharType="end"/>
              </w:r>
              <w:r w:rsidR="00EC1269">
                <w:fldChar w:fldCharType="begin"/>
              </w:r>
              <w:r w:rsidR="00EC1269">
                <w:instrText xml:space="preserve"> MACROBUTTON  SnrToggleCheckbox √不适用 </w:instrText>
              </w:r>
              <w:r w:rsidR="00EC1269">
                <w:fldChar w:fldCharType="end"/>
              </w:r>
            </w:sdtContent>
          </w:sdt>
        </w:p>
      </w:sdtContent>
    </w:sdt>
    <w:bookmarkStart w:id="180" w:name="_Hlk10468610" w:displacedByCustomXml="next"/>
    <w:sdt>
      <w:sdtPr>
        <w:rPr>
          <w:rFonts w:ascii="宋体" w:hAnsi="宋体" w:cs="宋体" w:hint="eastAsia"/>
          <w:b w:val="0"/>
          <w:bCs w:val="0"/>
          <w:kern w:val="0"/>
          <w:sz w:val="20"/>
          <w:szCs w:val="21"/>
        </w:rPr>
        <w:alias w:val="模块:坏账准备计提情况"/>
        <w:tag w:val="_SEC_cce3905839dc4d6ea19cf81ee0af7e4b"/>
        <w:id w:val="-1632400922"/>
        <w:lock w:val="sdtLocked"/>
        <w:placeholder>
          <w:docPart w:val="GBC22222222222222222222222222222"/>
        </w:placeholder>
      </w:sdtPr>
      <w:sdtEndPr>
        <w:rPr>
          <w:rFonts w:ascii="Times New Roman" w:hAnsi="Times New Roman" w:hint="default"/>
        </w:rPr>
      </w:sdtEndPr>
      <w:sdtContent>
        <w:p w14:paraId="4B877B4A" w14:textId="77777777" w:rsidR="007E7472" w:rsidRDefault="00EC1269" w:rsidP="00162493">
          <w:pPr>
            <w:pStyle w:val="4"/>
            <w:numPr>
              <w:ilvl w:val="0"/>
              <w:numId w:val="66"/>
            </w:numPr>
          </w:pPr>
          <w:r>
            <w:rPr>
              <w:rFonts w:hint="eastAsia"/>
            </w:rPr>
            <w:t>坏账准备计提情况</w:t>
          </w:r>
        </w:p>
        <w:sdt>
          <w:sdtPr>
            <w:alias w:val="是否适用：应收股利坏账准备调节表[双击切换]"/>
            <w:tag w:val="_GBC_5a51eb2bfb0643eb8b9c73cdd0dbec60"/>
            <w:id w:val="-258135718"/>
            <w:lock w:val="sdtLocked"/>
            <w:placeholder>
              <w:docPart w:val="GBC22222222222222222222222222222"/>
            </w:placeholder>
          </w:sdtPr>
          <w:sdtEndPr/>
          <w:sdtContent>
            <w:p w14:paraId="2791AC76"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bookmarkEnd w:id="180" w:displacedByCustomXml="next"/>
    <w:sdt>
      <w:sdtPr>
        <w:rPr>
          <w:rFonts w:hint="eastAsia"/>
        </w:rPr>
        <w:alias w:val="模块:应收股利的说明"/>
        <w:tag w:val="_GBC_3543035ac1594f0aaa966ebb907a6f0d"/>
        <w:id w:val="-1042974866"/>
        <w:lock w:val="sdtLocked"/>
        <w:placeholder>
          <w:docPart w:val="GBC22222222222222222222222222222"/>
        </w:placeholder>
      </w:sdtPr>
      <w:sdtEndPr>
        <w:rPr>
          <w:rFonts w:hint="default"/>
          <w:sz w:val="20"/>
          <w:szCs w:val="20"/>
        </w:rPr>
      </w:sdtEndPr>
      <w:sdtContent>
        <w:p w14:paraId="1A91F7E5" w14:textId="77777777" w:rsidR="007E7472" w:rsidRDefault="00EC1269">
          <w:r>
            <w:rPr>
              <w:rFonts w:hint="eastAsia"/>
            </w:rPr>
            <w:t>其他说明：</w:t>
          </w:r>
        </w:p>
        <w:sdt>
          <w:sdtPr>
            <w:alias w:val="是否适用：应收股利的说明[双击切换]"/>
            <w:tag w:val="_GBC_108dd924d7ca4fa78961046db5cd354e"/>
            <w:id w:val="-1607109470"/>
            <w:lock w:val="sdtLocked"/>
            <w:placeholder>
              <w:docPart w:val="GBC22222222222222222222222222222"/>
            </w:placeholder>
          </w:sdtPr>
          <w:sdtEndPr>
            <w:rPr>
              <w:sz w:val="20"/>
              <w:szCs w:val="20"/>
            </w:rPr>
          </w:sdtEndPr>
          <w:sdtContent>
            <w:p w14:paraId="62F624AF" w14:textId="390E5F87" w:rsidR="007E7472" w:rsidRPr="0058319D" w:rsidRDefault="00EC1269" w:rsidP="007E7472">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p w14:paraId="17EA289D" w14:textId="77777777" w:rsidR="007E7472" w:rsidRDefault="00EC1269" w:rsidP="007E7472">
      <w:pPr>
        <w:pStyle w:val="4"/>
      </w:pPr>
      <w:r>
        <w:rPr>
          <w:rFonts w:hint="eastAsia"/>
        </w:rPr>
        <w:t>其他应收款</w:t>
      </w:r>
    </w:p>
    <w:bookmarkStart w:id="181" w:name="_Hlk10469252" w:displacedByCustomXml="next"/>
    <w:sdt>
      <w:sdtPr>
        <w:rPr>
          <w:rFonts w:ascii="宋体" w:hAnsi="宋体" w:cs="宋体" w:hint="eastAsia"/>
          <w:b w:val="0"/>
          <w:bCs w:val="0"/>
          <w:kern w:val="0"/>
          <w:sz w:val="20"/>
          <w:szCs w:val="21"/>
        </w:rPr>
        <w:alias w:val="模块:组合中，按账龄分析法计提坏账准备的其他应收账款："/>
        <w:tag w:val="_GBC_84907f0c47bb4c62b91a81382adfc126"/>
        <w:id w:val="1113795329"/>
        <w:lock w:val="sdtLocked"/>
        <w:placeholder>
          <w:docPart w:val="GBC22222222222222222222222222222"/>
        </w:placeholder>
      </w:sdtPr>
      <w:sdtEndPr>
        <w:rPr>
          <w:rFonts w:hint="default"/>
          <w:sz w:val="21"/>
        </w:rPr>
      </w:sdtEndPr>
      <w:sdtContent>
        <w:p w14:paraId="0D24DD1D" w14:textId="77777777" w:rsidR="007E7472" w:rsidRDefault="00EC1269" w:rsidP="00162493">
          <w:pPr>
            <w:pStyle w:val="4"/>
            <w:numPr>
              <w:ilvl w:val="0"/>
              <w:numId w:val="66"/>
            </w:numPr>
          </w:pPr>
          <w:r>
            <w:rPr>
              <w:rFonts w:hint="eastAsia"/>
            </w:rPr>
            <w:t>按账龄披露</w:t>
          </w:r>
        </w:p>
        <w:sdt>
          <w:sdtPr>
            <w:rPr>
              <w:rFonts w:hint="eastAsia"/>
            </w:rPr>
            <w:alias w:val="是否适用：组合中，按账龄分析法计提坏账准备的其他应收账款[双击切换]"/>
            <w:tag w:val="_GBC_14503383cb9a4c528e4dc8ae4e2b1c29"/>
            <w:id w:val="300733754"/>
            <w:lock w:val="sdtLocked"/>
            <w:placeholder>
              <w:docPart w:val="GBC22222222222222222222222222222"/>
            </w:placeholder>
          </w:sdtPr>
          <w:sdtEndPr/>
          <w:sdtContent>
            <w:p w14:paraId="5A435F5A"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MACROBUTTON  SnrToggleCheckbox √适用</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65ADD3EA" w14:textId="4D09800C" w:rsidR="007E7472" w:rsidRDefault="00EC1269">
          <w:pPr>
            <w:jc w:val="right"/>
          </w:pPr>
          <w:r>
            <w:rPr>
              <w:rFonts w:hint="eastAsia"/>
            </w:rPr>
            <w:t>单位：</w:t>
          </w:r>
          <w:sdt>
            <w:sdtPr>
              <w:rPr>
                <w:rFonts w:hint="eastAsia"/>
              </w:rPr>
              <w:alias w:val="单位：财务附注：单项金额不重大但按信用风险特征组合后该组合的风险较大的其他应收账款"/>
              <w:tag w:val="_GBC_6764c0879eca4748ae4bb8a2ce276e17"/>
              <w:id w:val="20580472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单项金额不重大但按信用风险特征组合后该组合的风险较大的其他应收账款"/>
              <w:tag w:val="_GBC_58c31c61f2a5441db0ca086544f32ce2"/>
              <w:id w:val="4115909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4496"/>
            <w:gridCol w:w="4327"/>
          </w:tblGrid>
          <w:tr w:rsidR="007E7472" w14:paraId="65150411" w14:textId="77777777" w:rsidTr="007E7472">
            <w:trPr>
              <w:cantSplit/>
              <w:trHeight w:val="340"/>
            </w:trPr>
            <w:sdt>
              <w:sdtPr>
                <w:tag w:val="_PLD_6b0994a4e2bf4d64b8bfa8195d1acb6c"/>
                <w:id w:val="-725764774"/>
                <w:lock w:val="sdtLocked"/>
              </w:sdtPr>
              <w:sdtEndPr/>
              <w:sdtContent>
                <w:tc>
                  <w:tcPr>
                    <w:tcW w:w="2548" w:type="pct"/>
                    <w:tcBorders>
                      <w:top w:val="single" w:sz="4" w:space="0" w:color="auto"/>
                      <w:left w:val="single" w:sz="4" w:space="0" w:color="auto"/>
                      <w:bottom w:val="single" w:sz="4" w:space="0" w:color="auto"/>
                      <w:right w:val="single" w:sz="4" w:space="0" w:color="auto"/>
                    </w:tcBorders>
                    <w:vAlign w:val="center"/>
                  </w:tcPr>
                  <w:p w14:paraId="58A79824" w14:textId="77777777" w:rsidR="007E7472" w:rsidRDefault="00EC1269">
                    <w:pPr>
                      <w:jc w:val="center"/>
                    </w:pPr>
                    <w:r>
                      <w:rPr>
                        <w:rFonts w:hint="eastAsia"/>
                      </w:rPr>
                      <w:t>账龄</w:t>
                    </w:r>
                  </w:p>
                </w:tc>
              </w:sdtContent>
            </w:sdt>
            <w:sdt>
              <w:sdtPr>
                <w:tag w:val="_PLD_432b76b66b924b46b150a8c34f250ad2"/>
                <w:id w:val="-1504348648"/>
                <w:lock w:val="sdtLocked"/>
              </w:sdtPr>
              <w:sdtEndPr/>
              <w:sdtContent>
                <w:tc>
                  <w:tcPr>
                    <w:tcW w:w="2452" w:type="pct"/>
                    <w:tcBorders>
                      <w:top w:val="single" w:sz="4" w:space="0" w:color="auto"/>
                      <w:left w:val="single" w:sz="4" w:space="0" w:color="auto"/>
                      <w:bottom w:val="single" w:sz="4" w:space="0" w:color="auto"/>
                      <w:right w:val="single" w:sz="4" w:space="0" w:color="auto"/>
                    </w:tcBorders>
                    <w:vAlign w:val="center"/>
                  </w:tcPr>
                  <w:p w14:paraId="308478A4" w14:textId="77777777" w:rsidR="007E7472" w:rsidRDefault="00EC1269">
                    <w:pPr>
                      <w:jc w:val="center"/>
                    </w:pPr>
                    <w:r>
                      <w:rPr>
                        <w:rFonts w:hint="eastAsia"/>
                      </w:rPr>
                      <w:t>期末账面余额</w:t>
                    </w:r>
                  </w:p>
                </w:tc>
              </w:sdtContent>
            </w:sdt>
          </w:tr>
          <w:tr w:rsidR="007E7472" w14:paraId="7BA54B1D" w14:textId="77777777" w:rsidTr="007E7472">
            <w:trPr>
              <w:cantSplit/>
              <w:trHeight w:val="340"/>
            </w:trPr>
            <w:sdt>
              <w:sdtPr>
                <w:tag w:val="_PLD_117c27ae49f24df483b32b6cd9c22857"/>
                <w:id w:val="-665323685"/>
                <w:lock w:val="sdtLocked"/>
              </w:sdtPr>
              <w:sdtEndPr/>
              <w:sdtContent>
                <w:tc>
                  <w:tcPr>
                    <w:tcW w:w="2548" w:type="pct"/>
                    <w:tcBorders>
                      <w:top w:val="single" w:sz="4" w:space="0" w:color="auto"/>
                      <w:left w:val="single" w:sz="4" w:space="0" w:color="auto"/>
                      <w:bottom w:val="single" w:sz="4" w:space="0" w:color="auto"/>
                      <w:right w:val="single" w:sz="4" w:space="0" w:color="auto"/>
                    </w:tcBorders>
                    <w:vAlign w:val="center"/>
                  </w:tcPr>
                  <w:p w14:paraId="7249EDDE" w14:textId="77777777" w:rsidR="007E7472" w:rsidRDefault="00EC1269">
                    <w:r w:rsidRPr="000851D5">
                      <w:rPr>
                        <w:rFonts w:hint="eastAsia"/>
                      </w:rPr>
                      <w:t>1年以内</w:t>
                    </w:r>
                  </w:p>
                </w:tc>
              </w:sdtContent>
            </w:sdt>
            <w:tc>
              <w:tcPr>
                <w:tcW w:w="2452" w:type="pct"/>
                <w:tcBorders>
                  <w:top w:val="single" w:sz="4" w:space="0" w:color="auto"/>
                  <w:left w:val="single" w:sz="4" w:space="0" w:color="auto"/>
                  <w:bottom w:val="single" w:sz="4" w:space="0" w:color="auto"/>
                  <w:right w:val="single" w:sz="4" w:space="0" w:color="auto"/>
                </w:tcBorders>
                <w:vAlign w:val="center"/>
              </w:tcPr>
              <w:p w14:paraId="19375ADB" w14:textId="77777777" w:rsidR="007E7472" w:rsidRDefault="00EC1269">
                <w:pPr>
                  <w:jc w:val="right"/>
                </w:pPr>
                <w:r>
                  <w:t>1,590,075</w:t>
                </w:r>
              </w:p>
            </w:tc>
          </w:tr>
          <w:tr w:rsidR="007E7472" w14:paraId="0FBB0CDD" w14:textId="77777777" w:rsidTr="007E7472">
            <w:trPr>
              <w:cantSplit/>
              <w:trHeight w:val="340"/>
            </w:trPr>
            <w:sdt>
              <w:sdtPr>
                <w:tag w:val="_PLD_eec5fc3899b34bb8ac2c023bb178201d"/>
                <w:id w:val="-1134638561"/>
                <w:lock w:val="sdtLocked"/>
              </w:sdtPr>
              <w:sdtEndPr/>
              <w:sdtContent>
                <w:tc>
                  <w:tcPr>
                    <w:tcW w:w="2548" w:type="pct"/>
                    <w:tcBorders>
                      <w:top w:val="single" w:sz="4" w:space="0" w:color="auto"/>
                      <w:left w:val="single" w:sz="4" w:space="0" w:color="auto"/>
                      <w:bottom w:val="single" w:sz="4" w:space="0" w:color="auto"/>
                      <w:right w:val="single" w:sz="4" w:space="0" w:color="auto"/>
                    </w:tcBorders>
                    <w:vAlign w:val="center"/>
                  </w:tcPr>
                  <w:p w14:paraId="0F3F8349" w14:textId="77777777" w:rsidR="007E7472" w:rsidRDefault="00EC1269">
                    <w:r>
                      <w:rPr>
                        <w:rFonts w:hint="eastAsia"/>
                      </w:rPr>
                      <w:t>1至2年</w:t>
                    </w:r>
                  </w:p>
                </w:tc>
              </w:sdtContent>
            </w:sdt>
            <w:tc>
              <w:tcPr>
                <w:tcW w:w="2452" w:type="pct"/>
                <w:tcBorders>
                  <w:top w:val="single" w:sz="4" w:space="0" w:color="auto"/>
                  <w:left w:val="single" w:sz="4" w:space="0" w:color="auto"/>
                  <w:bottom w:val="single" w:sz="4" w:space="0" w:color="auto"/>
                  <w:right w:val="single" w:sz="4" w:space="0" w:color="auto"/>
                </w:tcBorders>
                <w:vAlign w:val="center"/>
              </w:tcPr>
              <w:p w14:paraId="129C42CA" w14:textId="77777777" w:rsidR="007E7472" w:rsidRDefault="00EC1269">
                <w:pPr>
                  <w:jc w:val="right"/>
                </w:pPr>
                <w:r>
                  <w:t>696,838</w:t>
                </w:r>
              </w:p>
            </w:tc>
          </w:tr>
          <w:tr w:rsidR="007E7472" w14:paraId="26549042" w14:textId="77777777" w:rsidTr="007E7472">
            <w:trPr>
              <w:cantSplit/>
              <w:trHeight w:val="340"/>
            </w:trPr>
            <w:sdt>
              <w:sdtPr>
                <w:tag w:val="_PLD_4147aa219b3044cb87cadcbf20a7f278"/>
                <w:id w:val="1874272966"/>
                <w:lock w:val="sdtLocked"/>
              </w:sdtPr>
              <w:sdtEndPr/>
              <w:sdtContent>
                <w:tc>
                  <w:tcPr>
                    <w:tcW w:w="2548" w:type="pct"/>
                    <w:tcBorders>
                      <w:top w:val="single" w:sz="4" w:space="0" w:color="auto"/>
                      <w:left w:val="single" w:sz="4" w:space="0" w:color="auto"/>
                      <w:bottom w:val="single" w:sz="4" w:space="0" w:color="auto"/>
                      <w:right w:val="single" w:sz="4" w:space="0" w:color="auto"/>
                    </w:tcBorders>
                    <w:vAlign w:val="center"/>
                  </w:tcPr>
                  <w:p w14:paraId="15E926B8" w14:textId="77777777" w:rsidR="007E7472" w:rsidRDefault="00EC1269">
                    <w:r>
                      <w:rPr>
                        <w:rFonts w:hint="eastAsia"/>
                      </w:rPr>
                      <w:t>2至3年</w:t>
                    </w:r>
                  </w:p>
                </w:tc>
              </w:sdtContent>
            </w:sdt>
            <w:tc>
              <w:tcPr>
                <w:tcW w:w="2452" w:type="pct"/>
                <w:tcBorders>
                  <w:top w:val="single" w:sz="4" w:space="0" w:color="auto"/>
                  <w:left w:val="single" w:sz="4" w:space="0" w:color="auto"/>
                  <w:bottom w:val="single" w:sz="4" w:space="0" w:color="auto"/>
                  <w:right w:val="single" w:sz="4" w:space="0" w:color="auto"/>
                </w:tcBorders>
                <w:vAlign w:val="center"/>
              </w:tcPr>
              <w:p w14:paraId="2C7F2FAB" w14:textId="77777777" w:rsidR="007E7472" w:rsidRDefault="00EC1269">
                <w:pPr>
                  <w:jc w:val="right"/>
                </w:pPr>
                <w:r>
                  <w:t>413,320</w:t>
                </w:r>
              </w:p>
            </w:tc>
          </w:tr>
          <w:tr w:rsidR="007E7472" w14:paraId="6BD3F553" w14:textId="77777777" w:rsidTr="007E7472">
            <w:trPr>
              <w:cantSplit/>
              <w:trHeight w:val="340"/>
            </w:trPr>
            <w:sdt>
              <w:sdtPr>
                <w:tag w:val="_PLD_fb935d76867c48c7bf55f3d52575dd91"/>
                <w:id w:val="1240681991"/>
                <w:lock w:val="sdtLocked"/>
              </w:sdtPr>
              <w:sdtEndPr/>
              <w:sdtContent>
                <w:tc>
                  <w:tcPr>
                    <w:tcW w:w="2548" w:type="pct"/>
                    <w:tcBorders>
                      <w:top w:val="single" w:sz="4" w:space="0" w:color="auto"/>
                      <w:left w:val="single" w:sz="4" w:space="0" w:color="auto"/>
                      <w:bottom w:val="single" w:sz="4" w:space="0" w:color="auto"/>
                      <w:right w:val="single" w:sz="4" w:space="0" w:color="auto"/>
                    </w:tcBorders>
                    <w:vAlign w:val="center"/>
                  </w:tcPr>
                  <w:p w14:paraId="152F055A" w14:textId="77777777" w:rsidR="007E7472" w:rsidRDefault="00EC1269">
                    <w:r>
                      <w:rPr>
                        <w:rFonts w:hint="eastAsia"/>
                      </w:rPr>
                      <w:t>3年以上</w:t>
                    </w:r>
                  </w:p>
                </w:tc>
              </w:sdtContent>
            </w:sdt>
            <w:tc>
              <w:tcPr>
                <w:tcW w:w="2452" w:type="pct"/>
                <w:tcBorders>
                  <w:top w:val="single" w:sz="4" w:space="0" w:color="auto"/>
                  <w:left w:val="single" w:sz="4" w:space="0" w:color="auto"/>
                  <w:bottom w:val="single" w:sz="4" w:space="0" w:color="auto"/>
                  <w:right w:val="single" w:sz="4" w:space="0" w:color="auto"/>
                </w:tcBorders>
                <w:vAlign w:val="center"/>
              </w:tcPr>
              <w:p w14:paraId="47ED0B36" w14:textId="77777777" w:rsidR="007E7472" w:rsidRDefault="00EC1269">
                <w:pPr>
                  <w:jc w:val="right"/>
                </w:pPr>
                <w:r>
                  <w:t>2,810,683</w:t>
                </w:r>
              </w:p>
            </w:tc>
          </w:tr>
          <w:tr w:rsidR="007E7472" w14:paraId="07FE92F1" w14:textId="77777777" w:rsidTr="007E7472">
            <w:trPr>
              <w:cantSplit/>
              <w:trHeight w:val="340"/>
            </w:trPr>
            <w:sdt>
              <w:sdtPr>
                <w:tag w:val="_PLD_f4ca1e5588694bda99031e0a5f40083e"/>
                <w:id w:val="-1460107708"/>
                <w:lock w:val="sdtLocked"/>
              </w:sdtPr>
              <w:sdtEndPr/>
              <w:sdtContent>
                <w:tc>
                  <w:tcPr>
                    <w:tcW w:w="2548" w:type="pct"/>
                    <w:tcBorders>
                      <w:top w:val="single" w:sz="4" w:space="0" w:color="auto"/>
                      <w:left w:val="single" w:sz="4" w:space="0" w:color="auto"/>
                      <w:bottom w:val="single" w:sz="4" w:space="0" w:color="auto"/>
                      <w:right w:val="single" w:sz="4" w:space="0" w:color="auto"/>
                    </w:tcBorders>
                    <w:vAlign w:val="center"/>
                  </w:tcPr>
                  <w:p w14:paraId="3D7761C5" w14:textId="77777777" w:rsidR="007E7472" w:rsidRDefault="00EC1269">
                    <w:pPr>
                      <w:jc w:val="center"/>
                    </w:pPr>
                    <w:r>
                      <w:rPr>
                        <w:rFonts w:hint="eastAsia"/>
                      </w:rPr>
                      <w:t>合计</w:t>
                    </w:r>
                  </w:p>
                </w:tc>
              </w:sdtContent>
            </w:sdt>
            <w:tc>
              <w:tcPr>
                <w:tcW w:w="2452" w:type="pct"/>
                <w:tcBorders>
                  <w:top w:val="single" w:sz="4" w:space="0" w:color="auto"/>
                  <w:left w:val="single" w:sz="4" w:space="0" w:color="auto"/>
                  <w:bottom w:val="single" w:sz="4" w:space="0" w:color="auto"/>
                  <w:right w:val="single" w:sz="4" w:space="0" w:color="auto"/>
                </w:tcBorders>
                <w:vAlign w:val="center"/>
              </w:tcPr>
              <w:p w14:paraId="27EE9CB5" w14:textId="77777777" w:rsidR="007E7472" w:rsidRDefault="00EC1269">
                <w:pPr>
                  <w:jc w:val="right"/>
                </w:pPr>
                <w:r>
                  <w:t>5,510,916</w:t>
                </w:r>
              </w:p>
            </w:tc>
          </w:tr>
        </w:tbl>
        <w:p w14:paraId="4C57CA18" w14:textId="77777777" w:rsidR="007E7472" w:rsidRDefault="00C8327E"/>
      </w:sdtContent>
    </w:sdt>
    <w:bookmarkEnd w:id="181" w:displacedByCustomXml="next"/>
    <w:sdt>
      <w:sdtPr>
        <w:rPr>
          <w:rFonts w:ascii="宋体" w:hAnsi="宋体" w:cs="宋体" w:hint="eastAsia"/>
          <w:b w:val="0"/>
          <w:bCs w:val="0"/>
          <w:kern w:val="0"/>
          <w:sz w:val="20"/>
          <w:szCs w:val="24"/>
        </w:rPr>
        <w:alias w:val="模块:其他应收款按款项性质分类情况"/>
        <w:tag w:val="_GBC_84d520d656b8446b87c909f5ff2b545d"/>
        <w:id w:val="-864682666"/>
        <w:lock w:val="sdtLocked"/>
        <w:placeholder>
          <w:docPart w:val="GBC22222222222222222222222222222"/>
        </w:placeholder>
      </w:sdtPr>
      <w:sdtEndPr>
        <w:rPr>
          <w:rFonts w:hint="default"/>
          <w:szCs w:val="21"/>
        </w:rPr>
      </w:sdtEndPr>
      <w:sdtContent>
        <w:p w14:paraId="5EF0CA71" w14:textId="77777777" w:rsidR="007E7472" w:rsidRDefault="00EC1269" w:rsidP="00162493">
          <w:pPr>
            <w:pStyle w:val="4"/>
            <w:numPr>
              <w:ilvl w:val="0"/>
              <w:numId w:val="66"/>
            </w:numPr>
          </w:pPr>
          <w:r>
            <w:rPr>
              <w:rFonts w:hint="eastAsia"/>
            </w:rPr>
            <w:t>按款项性质分类情况</w:t>
          </w:r>
        </w:p>
        <w:sdt>
          <w:sdtPr>
            <w:alias w:val="是否适用：其他应收款按款项性质分类情况[双击切换]"/>
            <w:tag w:val="_GBC_43f55a27297f4f93b1b4f668134ac6be"/>
            <w:id w:val="358015646"/>
            <w:lock w:val="sdtLocked"/>
            <w:placeholder>
              <w:docPart w:val="GBC22222222222222222222222222222"/>
            </w:placeholder>
          </w:sdtPr>
          <w:sdtEndPr/>
          <w:sdtContent>
            <w:p w14:paraId="56933514"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68682CE9" w14:textId="1E210ED9" w:rsidR="007E7472" w:rsidRDefault="00EC1269">
          <w:pPr>
            <w:jc w:val="right"/>
          </w:pPr>
          <w:r>
            <w:rPr>
              <w:rFonts w:hint="eastAsia"/>
            </w:rPr>
            <w:t>单位：</w:t>
          </w:r>
          <w:sdt>
            <w:sdtPr>
              <w:rPr>
                <w:rFonts w:hint="eastAsia"/>
              </w:rPr>
              <w:alias w:val="单位：财务附注：其他应收款按款项性质分类情况"/>
              <w:tag w:val="_GBC_9a3af1171f5640cd83ea2c41e0145167"/>
              <w:id w:val="8569999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其他应收款按款项性质分类情况"/>
              <w:tag w:val="_GBC_0d096e7260294092a6e9a8405d01bc70"/>
              <w:id w:val="11692104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0"/>
            <w:gridCol w:w="2906"/>
            <w:gridCol w:w="2917"/>
          </w:tblGrid>
          <w:tr w:rsidR="007E7472" w14:paraId="1865A55D" w14:textId="77777777" w:rsidTr="007E7472">
            <w:trPr>
              <w:trHeight w:val="340"/>
            </w:trPr>
            <w:sdt>
              <w:sdtPr>
                <w:tag w:val="_PLD_1e66a0098cd34ad6a335156852121360"/>
                <w:id w:val="-1552767626"/>
                <w:lock w:val="sdtLocked"/>
              </w:sdtPr>
              <w:sdtEndPr/>
              <w:sdtContent>
                <w:tc>
                  <w:tcPr>
                    <w:tcW w:w="1700" w:type="pct"/>
                    <w:shd w:val="clear" w:color="auto" w:fill="auto"/>
                    <w:vAlign w:val="center"/>
                  </w:tcPr>
                  <w:p w14:paraId="7F8FCF04" w14:textId="77777777" w:rsidR="007E7472" w:rsidRDefault="00EC1269">
                    <w:pPr>
                      <w:jc w:val="center"/>
                    </w:pPr>
                    <w:r>
                      <w:rPr>
                        <w:rFonts w:hint="eastAsia"/>
                      </w:rPr>
                      <w:t>款项性质</w:t>
                    </w:r>
                  </w:p>
                </w:tc>
              </w:sdtContent>
            </w:sdt>
            <w:sdt>
              <w:sdtPr>
                <w:tag w:val="_PLD_51fee06f6d3944a9bbc7bac249ed63b6"/>
                <w:id w:val="262816884"/>
                <w:lock w:val="sdtLocked"/>
              </w:sdtPr>
              <w:sdtEndPr/>
              <w:sdtContent>
                <w:tc>
                  <w:tcPr>
                    <w:tcW w:w="1647" w:type="pct"/>
                    <w:shd w:val="clear" w:color="auto" w:fill="auto"/>
                    <w:vAlign w:val="center"/>
                  </w:tcPr>
                  <w:p w14:paraId="4B05CDA1" w14:textId="77777777" w:rsidR="007E7472" w:rsidRDefault="00EC1269">
                    <w:pPr>
                      <w:jc w:val="center"/>
                    </w:pPr>
                    <w:r>
                      <w:rPr>
                        <w:rFonts w:hint="eastAsia"/>
                      </w:rPr>
                      <w:t>期末账面余额</w:t>
                    </w:r>
                  </w:p>
                </w:tc>
              </w:sdtContent>
            </w:sdt>
            <w:sdt>
              <w:sdtPr>
                <w:tag w:val="_PLD_0297dadecff24ff8926a98d0267a917b"/>
                <w:id w:val="1931316222"/>
                <w:lock w:val="sdtLocked"/>
              </w:sdtPr>
              <w:sdtEndPr/>
              <w:sdtContent>
                <w:tc>
                  <w:tcPr>
                    <w:tcW w:w="1653" w:type="pct"/>
                    <w:shd w:val="clear" w:color="auto" w:fill="auto"/>
                    <w:vAlign w:val="center"/>
                  </w:tcPr>
                  <w:p w14:paraId="38AE7906" w14:textId="77777777" w:rsidR="007E7472" w:rsidRDefault="00EC1269">
                    <w:pPr>
                      <w:jc w:val="center"/>
                    </w:pPr>
                    <w:r>
                      <w:rPr>
                        <w:rFonts w:hint="eastAsia"/>
                      </w:rPr>
                      <w:t>期初账面余额</w:t>
                    </w:r>
                  </w:p>
                </w:tc>
              </w:sdtContent>
            </w:sdt>
          </w:tr>
          <w:sdt>
            <w:sdtPr>
              <w:rPr>
                <w:rFonts w:hint="eastAsia"/>
              </w:rPr>
              <w:alias w:val="其他应收款按款项性质分类情况明细"/>
              <w:tag w:val="_GBC_936b797bf5094f7da8db3da3acd1de8c"/>
              <w:id w:val="-242961924"/>
              <w:lock w:val="sdtLocked"/>
            </w:sdtPr>
            <w:sdtEndPr/>
            <w:sdtContent>
              <w:tr w:rsidR="007E7472" w14:paraId="290246A9" w14:textId="77777777" w:rsidTr="007E7472">
                <w:trPr>
                  <w:trHeight w:val="340"/>
                </w:trPr>
                <w:tc>
                  <w:tcPr>
                    <w:tcW w:w="1700" w:type="pct"/>
                    <w:shd w:val="clear" w:color="auto" w:fill="auto"/>
                    <w:vAlign w:val="center"/>
                  </w:tcPr>
                  <w:p w14:paraId="0E858D85" w14:textId="77777777" w:rsidR="007E7472" w:rsidRDefault="00EC1269">
                    <w:r>
                      <w:rPr>
                        <w:rFonts w:hint="eastAsia"/>
                      </w:rPr>
                      <w:t>往来款</w:t>
                    </w:r>
                  </w:p>
                </w:tc>
                <w:tc>
                  <w:tcPr>
                    <w:tcW w:w="1647" w:type="pct"/>
                    <w:shd w:val="clear" w:color="auto" w:fill="auto"/>
                    <w:vAlign w:val="center"/>
                  </w:tcPr>
                  <w:p w14:paraId="3492EBA7" w14:textId="77777777" w:rsidR="007E7472" w:rsidRDefault="00EC1269">
                    <w:pPr>
                      <w:jc w:val="right"/>
                    </w:pPr>
                    <w:r>
                      <w:t>3,833,935</w:t>
                    </w:r>
                  </w:p>
                </w:tc>
                <w:tc>
                  <w:tcPr>
                    <w:tcW w:w="1653" w:type="pct"/>
                    <w:shd w:val="clear" w:color="auto" w:fill="auto"/>
                    <w:vAlign w:val="center"/>
                  </w:tcPr>
                  <w:p w14:paraId="03673253" w14:textId="77777777" w:rsidR="007E7472" w:rsidRDefault="00EC1269">
                    <w:pPr>
                      <w:jc w:val="right"/>
                    </w:pPr>
                    <w:r>
                      <w:t>3,774,615</w:t>
                    </w:r>
                  </w:p>
                </w:tc>
              </w:tr>
            </w:sdtContent>
          </w:sdt>
          <w:sdt>
            <w:sdtPr>
              <w:rPr>
                <w:rFonts w:hint="eastAsia"/>
              </w:rPr>
              <w:alias w:val="其他应收款按款项性质分类情况明细"/>
              <w:tag w:val="_GBC_936b797bf5094f7da8db3da3acd1de8c"/>
              <w:id w:val="1814135206"/>
              <w:lock w:val="sdtLocked"/>
            </w:sdtPr>
            <w:sdtEndPr/>
            <w:sdtContent>
              <w:tr w:rsidR="007E7472" w14:paraId="3CA338D3" w14:textId="77777777" w:rsidTr="007E7472">
                <w:trPr>
                  <w:trHeight w:val="340"/>
                </w:trPr>
                <w:tc>
                  <w:tcPr>
                    <w:tcW w:w="1700" w:type="pct"/>
                    <w:shd w:val="clear" w:color="auto" w:fill="auto"/>
                    <w:vAlign w:val="center"/>
                  </w:tcPr>
                  <w:p w14:paraId="575D9730" w14:textId="77777777" w:rsidR="007E7472" w:rsidRDefault="00EC1269">
                    <w:r>
                      <w:rPr>
                        <w:rFonts w:hint="eastAsia"/>
                      </w:rPr>
                      <w:t>预计无法收回的款项</w:t>
                    </w:r>
                  </w:p>
                </w:tc>
                <w:tc>
                  <w:tcPr>
                    <w:tcW w:w="1647" w:type="pct"/>
                    <w:shd w:val="clear" w:color="auto" w:fill="auto"/>
                    <w:vAlign w:val="center"/>
                  </w:tcPr>
                  <w:p w14:paraId="3C7DE574" w14:textId="77777777" w:rsidR="007E7472" w:rsidRDefault="00EC1269">
                    <w:pPr>
                      <w:jc w:val="right"/>
                    </w:pPr>
                    <w:r>
                      <w:t>1,151,699</w:t>
                    </w:r>
                  </w:p>
                </w:tc>
                <w:tc>
                  <w:tcPr>
                    <w:tcW w:w="1653" w:type="pct"/>
                    <w:shd w:val="clear" w:color="auto" w:fill="auto"/>
                    <w:vAlign w:val="center"/>
                  </w:tcPr>
                  <w:p w14:paraId="44D864E3" w14:textId="77777777" w:rsidR="007E7472" w:rsidRDefault="00EC1269">
                    <w:pPr>
                      <w:jc w:val="right"/>
                    </w:pPr>
                    <w:r>
                      <w:t>1,192,681</w:t>
                    </w:r>
                  </w:p>
                </w:tc>
              </w:tr>
            </w:sdtContent>
          </w:sdt>
          <w:sdt>
            <w:sdtPr>
              <w:rPr>
                <w:rFonts w:hint="eastAsia"/>
              </w:rPr>
              <w:alias w:val="其他应收款按款项性质分类情况明细"/>
              <w:tag w:val="_GBC_936b797bf5094f7da8db3da3acd1de8c"/>
              <w:id w:val="735210820"/>
              <w:lock w:val="sdtLocked"/>
            </w:sdtPr>
            <w:sdtEndPr/>
            <w:sdtContent>
              <w:tr w:rsidR="007E7472" w14:paraId="4C36F38E" w14:textId="77777777" w:rsidTr="007E7472">
                <w:trPr>
                  <w:trHeight w:val="340"/>
                </w:trPr>
                <w:tc>
                  <w:tcPr>
                    <w:tcW w:w="1700" w:type="pct"/>
                    <w:shd w:val="clear" w:color="auto" w:fill="auto"/>
                    <w:vAlign w:val="center"/>
                  </w:tcPr>
                  <w:p w14:paraId="5CC7C0C1" w14:textId="77777777" w:rsidR="007E7472" w:rsidRDefault="00EC1269">
                    <w:r>
                      <w:rPr>
                        <w:rFonts w:hint="eastAsia"/>
                      </w:rPr>
                      <w:t>应收代垫款</w:t>
                    </w:r>
                  </w:p>
                </w:tc>
                <w:tc>
                  <w:tcPr>
                    <w:tcW w:w="1647" w:type="pct"/>
                    <w:shd w:val="clear" w:color="auto" w:fill="auto"/>
                    <w:vAlign w:val="center"/>
                  </w:tcPr>
                  <w:p w14:paraId="763A9E9A" w14:textId="77777777" w:rsidR="007E7472" w:rsidRDefault="00EC1269">
                    <w:pPr>
                      <w:jc w:val="right"/>
                    </w:pPr>
                    <w:r>
                      <w:t>348,742</w:t>
                    </w:r>
                  </w:p>
                </w:tc>
                <w:tc>
                  <w:tcPr>
                    <w:tcW w:w="1653" w:type="pct"/>
                    <w:shd w:val="clear" w:color="auto" w:fill="auto"/>
                    <w:vAlign w:val="center"/>
                  </w:tcPr>
                  <w:p w14:paraId="41E368C4" w14:textId="77777777" w:rsidR="007E7472" w:rsidRDefault="00EC1269">
                    <w:pPr>
                      <w:jc w:val="right"/>
                    </w:pPr>
                    <w:r>
                      <w:t>362,051</w:t>
                    </w:r>
                  </w:p>
                </w:tc>
              </w:tr>
            </w:sdtContent>
          </w:sdt>
          <w:sdt>
            <w:sdtPr>
              <w:rPr>
                <w:rFonts w:hint="eastAsia"/>
              </w:rPr>
              <w:alias w:val="其他应收款按款项性质分类情况明细"/>
              <w:tag w:val="_GBC_936b797bf5094f7da8db3da3acd1de8c"/>
              <w:id w:val="619194533"/>
              <w:lock w:val="sdtLocked"/>
            </w:sdtPr>
            <w:sdtEndPr/>
            <w:sdtContent>
              <w:tr w:rsidR="007E7472" w14:paraId="00730722" w14:textId="77777777" w:rsidTr="007E7472">
                <w:trPr>
                  <w:trHeight w:val="340"/>
                </w:trPr>
                <w:tc>
                  <w:tcPr>
                    <w:tcW w:w="1700" w:type="pct"/>
                    <w:shd w:val="clear" w:color="auto" w:fill="auto"/>
                    <w:vAlign w:val="center"/>
                  </w:tcPr>
                  <w:p w14:paraId="732A6BF2" w14:textId="77777777" w:rsidR="007E7472" w:rsidRDefault="00EC1269">
                    <w:r>
                      <w:rPr>
                        <w:rFonts w:hint="eastAsia"/>
                      </w:rPr>
                      <w:t>押金保证金</w:t>
                    </w:r>
                  </w:p>
                </w:tc>
                <w:tc>
                  <w:tcPr>
                    <w:tcW w:w="1647" w:type="pct"/>
                    <w:shd w:val="clear" w:color="auto" w:fill="auto"/>
                    <w:vAlign w:val="center"/>
                  </w:tcPr>
                  <w:p w14:paraId="3D7C0931" w14:textId="77777777" w:rsidR="007E7472" w:rsidRDefault="00EC1269">
                    <w:pPr>
                      <w:jc w:val="right"/>
                    </w:pPr>
                    <w:r>
                      <w:t>141,009</w:t>
                    </w:r>
                  </w:p>
                </w:tc>
                <w:tc>
                  <w:tcPr>
                    <w:tcW w:w="1653" w:type="pct"/>
                    <w:shd w:val="clear" w:color="auto" w:fill="auto"/>
                    <w:vAlign w:val="center"/>
                  </w:tcPr>
                  <w:p w14:paraId="5A797464" w14:textId="77777777" w:rsidR="007E7472" w:rsidRDefault="00EC1269">
                    <w:pPr>
                      <w:jc w:val="right"/>
                    </w:pPr>
                    <w:r>
                      <w:t>81,548</w:t>
                    </w:r>
                  </w:p>
                </w:tc>
              </w:tr>
            </w:sdtContent>
          </w:sdt>
          <w:sdt>
            <w:sdtPr>
              <w:rPr>
                <w:rFonts w:hint="eastAsia"/>
              </w:rPr>
              <w:alias w:val="其他应收款按款项性质分类情况明细"/>
              <w:tag w:val="_GBC_936b797bf5094f7da8db3da3acd1de8c"/>
              <w:id w:val="-1611275653"/>
              <w:lock w:val="sdtLocked"/>
            </w:sdtPr>
            <w:sdtEndPr/>
            <w:sdtContent>
              <w:tr w:rsidR="007E7472" w14:paraId="20232FDB" w14:textId="77777777" w:rsidTr="007E7472">
                <w:trPr>
                  <w:trHeight w:val="340"/>
                </w:trPr>
                <w:tc>
                  <w:tcPr>
                    <w:tcW w:w="1700" w:type="pct"/>
                    <w:shd w:val="clear" w:color="auto" w:fill="auto"/>
                    <w:vAlign w:val="center"/>
                  </w:tcPr>
                  <w:p w14:paraId="57E55EEB" w14:textId="77777777" w:rsidR="007E7472" w:rsidRDefault="00EC1269">
                    <w:r>
                      <w:rPr>
                        <w:rFonts w:hint="eastAsia"/>
                      </w:rPr>
                      <w:t>备用金</w:t>
                    </w:r>
                  </w:p>
                </w:tc>
                <w:tc>
                  <w:tcPr>
                    <w:tcW w:w="1647" w:type="pct"/>
                    <w:shd w:val="clear" w:color="auto" w:fill="auto"/>
                    <w:vAlign w:val="center"/>
                  </w:tcPr>
                  <w:p w14:paraId="157746B9" w14:textId="77777777" w:rsidR="007E7472" w:rsidRDefault="00EC1269">
                    <w:pPr>
                      <w:jc w:val="right"/>
                    </w:pPr>
                    <w:r>
                      <w:t>24,406</w:t>
                    </w:r>
                  </w:p>
                </w:tc>
                <w:tc>
                  <w:tcPr>
                    <w:tcW w:w="1653" w:type="pct"/>
                    <w:shd w:val="clear" w:color="auto" w:fill="auto"/>
                    <w:vAlign w:val="center"/>
                  </w:tcPr>
                  <w:p w14:paraId="1BE0F4FC" w14:textId="77777777" w:rsidR="007E7472" w:rsidRDefault="00EC1269">
                    <w:pPr>
                      <w:jc w:val="right"/>
                    </w:pPr>
                    <w:r>
                      <w:t>19,882</w:t>
                    </w:r>
                  </w:p>
                </w:tc>
              </w:tr>
            </w:sdtContent>
          </w:sdt>
          <w:sdt>
            <w:sdtPr>
              <w:rPr>
                <w:rFonts w:hint="eastAsia"/>
              </w:rPr>
              <w:alias w:val="其他应收款按款项性质分类情况明细"/>
              <w:tag w:val="_GBC_936b797bf5094f7da8db3da3acd1de8c"/>
              <w:id w:val="25140409"/>
              <w:lock w:val="sdtLocked"/>
            </w:sdtPr>
            <w:sdtEndPr/>
            <w:sdtContent>
              <w:tr w:rsidR="007E7472" w14:paraId="2346B4AD" w14:textId="77777777" w:rsidTr="007E7472">
                <w:trPr>
                  <w:trHeight w:val="340"/>
                </w:trPr>
                <w:tc>
                  <w:tcPr>
                    <w:tcW w:w="1700" w:type="pct"/>
                    <w:shd w:val="clear" w:color="auto" w:fill="auto"/>
                    <w:vAlign w:val="center"/>
                  </w:tcPr>
                  <w:p w14:paraId="00EFA2E7" w14:textId="77777777" w:rsidR="007E7472" w:rsidRDefault="00EC1269">
                    <w:r>
                      <w:rPr>
                        <w:rFonts w:hint="eastAsia"/>
                      </w:rPr>
                      <w:t>其他</w:t>
                    </w:r>
                  </w:p>
                </w:tc>
                <w:tc>
                  <w:tcPr>
                    <w:tcW w:w="1647" w:type="pct"/>
                    <w:shd w:val="clear" w:color="auto" w:fill="auto"/>
                    <w:vAlign w:val="center"/>
                  </w:tcPr>
                  <w:p w14:paraId="04493031" w14:textId="77777777" w:rsidR="007E7472" w:rsidRDefault="00EC1269">
                    <w:pPr>
                      <w:jc w:val="right"/>
                    </w:pPr>
                    <w:r>
                      <w:t>11,125</w:t>
                    </w:r>
                  </w:p>
                </w:tc>
                <w:tc>
                  <w:tcPr>
                    <w:tcW w:w="1653" w:type="pct"/>
                    <w:shd w:val="clear" w:color="auto" w:fill="auto"/>
                    <w:vAlign w:val="center"/>
                  </w:tcPr>
                  <w:p w14:paraId="06CA8B17" w14:textId="77777777" w:rsidR="007E7472" w:rsidRDefault="00EC1269">
                    <w:pPr>
                      <w:jc w:val="right"/>
                    </w:pPr>
                    <w:r>
                      <w:t>9,744</w:t>
                    </w:r>
                  </w:p>
                </w:tc>
              </w:tr>
            </w:sdtContent>
          </w:sdt>
          <w:tr w:rsidR="007E7472" w14:paraId="23B0D429" w14:textId="77777777" w:rsidTr="007E7472">
            <w:trPr>
              <w:trHeight w:val="340"/>
            </w:trPr>
            <w:sdt>
              <w:sdtPr>
                <w:tag w:val="_PLD_99d40156f33b4b6398b236a0f6461a23"/>
                <w:id w:val="-974059443"/>
                <w:lock w:val="sdtLocked"/>
              </w:sdtPr>
              <w:sdtEndPr/>
              <w:sdtContent>
                <w:tc>
                  <w:tcPr>
                    <w:tcW w:w="1700" w:type="pct"/>
                    <w:shd w:val="clear" w:color="auto" w:fill="auto"/>
                    <w:vAlign w:val="center"/>
                  </w:tcPr>
                  <w:p w14:paraId="6A8E17B5" w14:textId="77777777" w:rsidR="007E7472" w:rsidRDefault="00EC1269">
                    <w:pPr>
                      <w:jc w:val="center"/>
                    </w:pPr>
                    <w:r>
                      <w:t>合计</w:t>
                    </w:r>
                  </w:p>
                </w:tc>
              </w:sdtContent>
            </w:sdt>
            <w:tc>
              <w:tcPr>
                <w:tcW w:w="1647" w:type="pct"/>
                <w:shd w:val="clear" w:color="auto" w:fill="auto"/>
                <w:vAlign w:val="center"/>
              </w:tcPr>
              <w:p w14:paraId="68307C61" w14:textId="77777777" w:rsidR="007E7472" w:rsidRDefault="00EC1269">
                <w:pPr>
                  <w:jc w:val="right"/>
                </w:pPr>
                <w:r>
                  <w:t>5,510,916</w:t>
                </w:r>
              </w:p>
            </w:tc>
            <w:tc>
              <w:tcPr>
                <w:tcW w:w="1653" w:type="pct"/>
                <w:shd w:val="clear" w:color="auto" w:fill="auto"/>
                <w:vAlign w:val="center"/>
              </w:tcPr>
              <w:p w14:paraId="27207838" w14:textId="77777777" w:rsidR="007E7472" w:rsidRDefault="00EC1269">
                <w:pPr>
                  <w:jc w:val="right"/>
                </w:pPr>
                <w:r>
                  <w:t>5,440,521</w:t>
                </w:r>
              </w:p>
            </w:tc>
          </w:tr>
        </w:tbl>
        <w:p w14:paraId="51C7FE3D" w14:textId="77777777" w:rsidR="007E7472" w:rsidRDefault="00C8327E"/>
      </w:sdtContent>
    </w:sdt>
    <w:bookmarkStart w:id="182" w:name="_Hlk10469799" w:displacedByCustomXml="next"/>
    <w:sdt>
      <w:sdtPr>
        <w:rPr>
          <w:rFonts w:ascii="宋体" w:hAnsi="宋体" w:cs="宋体" w:hint="eastAsia"/>
          <w:b w:val="0"/>
          <w:bCs w:val="0"/>
          <w:kern w:val="0"/>
          <w:sz w:val="20"/>
          <w:szCs w:val="24"/>
        </w:rPr>
        <w:alias w:val="模块:坏账准备计提情况"/>
        <w:tag w:val="_SEC_5ff83398df8949c88f89340b5b0e52f6"/>
        <w:id w:val="1887529372"/>
        <w:lock w:val="sdtLocked"/>
        <w:placeholder>
          <w:docPart w:val="GBC22222222222222222222222222222"/>
        </w:placeholder>
      </w:sdtPr>
      <w:sdtEndPr>
        <w:rPr>
          <w:rFonts w:hint="default"/>
          <w:sz w:val="21"/>
          <w:szCs w:val="21"/>
        </w:rPr>
      </w:sdtEndPr>
      <w:sdtContent>
        <w:p w14:paraId="00713FBC" w14:textId="77777777" w:rsidR="007E7472" w:rsidRDefault="00EC1269" w:rsidP="00162493">
          <w:pPr>
            <w:pStyle w:val="4"/>
            <w:numPr>
              <w:ilvl w:val="0"/>
              <w:numId w:val="66"/>
            </w:numPr>
          </w:pPr>
          <w:r>
            <w:rPr>
              <w:rFonts w:hint="eastAsia"/>
            </w:rPr>
            <w:t>坏账准备计提情况</w:t>
          </w:r>
        </w:p>
        <w:sdt>
          <w:sdtPr>
            <w:alias w:val="是否适用：其他应收款坏账准备调节表[双击切换]"/>
            <w:tag w:val="_GBC_29d0c5a1588a4f6589b1f8148c9ef180"/>
            <w:id w:val="1160886168"/>
            <w:lock w:val="sdtLocked"/>
            <w:placeholder>
              <w:docPart w:val="GBC22222222222222222222222222222"/>
            </w:placeholder>
          </w:sdtPr>
          <w:sdtEndPr/>
          <w:sdtContent>
            <w:p w14:paraId="13A6AD0C"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7C495D1B" w14:textId="4EA55CC7" w:rsidR="007E7472" w:rsidRDefault="00EC1269">
          <w:pPr>
            <w:autoSpaceDE w:val="0"/>
            <w:autoSpaceDN w:val="0"/>
            <w:adjustRightInd w:val="0"/>
            <w:ind w:rightChars="50" w:right="105"/>
            <w:jc w:val="right"/>
          </w:pPr>
          <w:r>
            <w:rPr>
              <w:rFonts w:hint="eastAsia"/>
            </w:rPr>
            <w:t>单位：</w:t>
          </w:r>
          <w:sdt>
            <w:sdtPr>
              <w:rPr>
                <w:rFonts w:hint="eastAsia"/>
              </w:rPr>
              <w:alias w:val="单位：其他应收款坏账准备调节表"/>
              <w:tag w:val="_GBC_c65b82e3cfaf4fde8d75eac8c9a6e9f9"/>
              <w:id w:val="-12096447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其他应收款坏账准备调节表"/>
              <w:tag w:val="_GBC_08cd78a434cc441cbfff10030c5a8719"/>
              <w:id w:val="66329340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6"/>
            <w:gridCol w:w="1521"/>
            <w:gridCol w:w="1936"/>
            <w:gridCol w:w="1936"/>
            <w:gridCol w:w="1664"/>
          </w:tblGrid>
          <w:tr w:rsidR="007E7472" w14:paraId="7139BF23" w14:textId="77777777">
            <w:sdt>
              <w:sdtPr>
                <w:rPr>
                  <w:rFonts w:ascii="宋体" w:eastAsia="宋体" w:hAnsi="宋体"/>
                </w:rPr>
                <w:tag w:val="_PLD_0df16deeb9614db49d9aa88a31229d9a"/>
                <w:id w:val="-1319264291"/>
                <w:lock w:val="sdtLocked"/>
              </w:sdtPr>
              <w:sdtEndPr/>
              <w:sdtContent>
                <w:tc>
                  <w:tcPr>
                    <w:tcW w:w="1001" w:type="pct"/>
                    <w:vMerge w:val="restart"/>
                    <w:vAlign w:val="center"/>
                  </w:tcPr>
                  <w:p w14:paraId="2585BF8C" w14:textId="77777777" w:rsidR="007E7472" w:rsidRDefault="00EC1269">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rPr>
                  <w:rFonts w:ascii="宋体" w:eastAsia="宋体" w:hAnsi="宋体"/>
                </w:rPr>
                <w:tag w:val="_PLD_f47baed0f5d14c0486b4530b2aa1cb4c"/>
                <w:id w:val="1113636940"/>
                <w:lock w:val="sdtLocked"/>
              </w:sdtPr>
              <w:sdtEndPr/>
              <w:sdtContent>
                <w:tc>
                  <w:tcPr>
                    <w:tcW w:w="862" w:type="pct"/>
                    <w:vAlign w:val="center"/>
                  </w:tcPr>
                  <w:p w14:paraId="17121AEE" w14:textId="77777777" w:rsidR="007E7472" w:rsidRDefault="00EC1269">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rPr>
                  <w:rFonts w:ascii="宋体" w:eastAsia="宋体" w:hAnsi="宋体"/>
                </w:rPr>
                <w:tag w:val="_PLD_a29dd4725bec4eb78b246b92252a24df"/>
                <w:id w:val="2057427052"/>
                <w:lock w:val="sdtLocked"/>
              </w:sdtPr>
              <w:sdtEndPr/>
              <w:sdtContent>
                <w:tc>
                  <w:tcPr>
                    <w:tcW w:w="1097" w:type="pct"/>
                    <w:vAlign w:val="center"/>
                  </w:tcPr>
                  <w:p w14:paraId="2C9FD15D" w14:textId="77777777" w:rsidR="007E7472" w:rsidRDefault="00EC1269">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rPr>
                  <w:rFonts w:ascii="宋体" w:eastAsia="宋体" w:hAnsi="宋体"/>
                </w:rPr>
                <w:tag w:val="_PLD_c495a5d3c56f4cb9a0bd5cc9cc9b5410"/>
                <w:id w:val="-27413042"/>
                <w:lock w:val="sdtLocked"/>
              </w:sdtPr>
              <w:sdtEndPr/>
              <w:sdtContent>
                <w:tc>
                  <w:tcPr>
                    <w:tcW w:w="1097" w:type="pct"/>
                    <w:vAlign w:val="center"/>
                  </w:tcPr>
                  <w:p w14:paraId="0A2F9968" w14:textId="77777777" w:rsidR="007E7472" w:rsidRDefault="00EC1269">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rPr>
                  <w:rFonts w:ascii="宋体" w:eastAsia="宋体" w:hAnsi="宋体"/>
                </w:rPr>
                <w:tag w:val="_PLD_0dc8bab0b7424c1295b83fcc97ca7554"/>
                <w:id w:val="-151754968"/>
                <w:lock w:val="sdtLocked"/>
              </w:sdtPr>
              <w:sdtEndPr/>
              <w:sdtContent>
                <w:tc>
                  <w:tcPr>
                    <w:tcW w:w="943" w:type="pct"/>
                    <w:vMerge w:val="restart"/>
                    <w:vAlign w:val="center"/>
                  </w:tcPr>
                  <w:p w14:paraId="5F1CDC3B" w14:textId="77777777" w:rsidR="007E7472" w:rsidRDefault="00EC1269">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rsidR="007E7472" w14:paraId="657F38A2" w14:textId="77777777">
            <w:tc>
              <w:tcPr>
                <w:tcW w:w="1001" w:type="pct"/>
                <w:vMerge/>
                <w:vAlign w:val="center"/>
              </w:tcPr>
              <w:p w14:paraId="4F669DA5" w14:textId="77777777" w:rsidR="007E7472" w:rsidRDefault="00C8327E">
                <w:pPr>
                  <w:jc w:val="center"/>
                  <w:rPr>
                    <w:color w:val="008000"/>
                  </w:rPr>
                </w:pPr>
              </w:p>
            </w:tc>
            <w:sdt>
              <w:sdtPr>
                <w:rPr>
                  <w:rFonts w:ascii="宋体" w:eastAsia="宋体" w:hAnsi="宋体"/>
                </w:rPr>
                <w:tag w:val="_PLD_08f8b6a1fd974f0d8ae0c04f27849740"/>
                <w:id w:val="-892653454"/>
                <w:lock w:val="sdtLocked"/>
              </w:sdtPr>
              <w:sdtEndPr/>
              <w:sdtContent>
                <w:tc>
                  <w:tcPr>
                    <w:tcW w:w="862" w:type="pct"/>
                    <w:vAlign w:val="center"/>
                  </w:tcPr>
                  <w:p w14:paraId="2EBAAD91" w14:textId="77777777" w:rsidR="007E7472" w:rsidRDefault="00EC1269">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未来12个月预期信用损失</w:t>
                    </w:r>
                  </w:p>
                </w:tc>
              </w:sdtContent>
            </w:sdt>
            <w:sdt>
              <w:sdtPr>
                <w:rPr>
                  <w:rFonts w:ascii="宋体" w:eastAsia="宋体" w:hAnsi="宋体"/>
                </w:rPr>
                <w:tag w:val="_PLD_c85cfe8f6d6a4ab0af13d30e76cd7800"/>
                <w:id w:val="-700472892"/>
                <w:lock w:val="sdtLocked"/>
              </w:sdtPr>
              <w:sdtEndPr/>
              <w:sdtContent>
                <w:tc>
                  <w:tcPr>
                    <w:tcW w:w="1097" w:type="pct"/>
                    <w:vAlign w:val="center"/>
                  </w:tcPr>
                  <w:p w14:paraId="4AA1595C" w14:textId="77777777" w:rsidR="007E7472" w:rsidRDefault="00EC1269">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rPr>
                  <w:rFonts w:ascii="宋体" w:eastAsia="宋体" w:hAnsi="宋体"/>
                </w:rPr>
                <w:tag w:val="_PLD_2df6c7466f224906aa04a411975e6f79"/>
                <w:id w:val="954131749"/>
                <w:lock w:val="sdtLocked"/>
              </w:sdtPr>
              <w:sdtEndPr/>
              <w:sdtContent>
                <w:tc>
                  <w:tcPr>
                    <w:tcW w:w="1097" w:type="pct"/>
                    <w:vAlign w:val="center"/>
                  </w:tcPr>
                  <w:p w14:paraId="2AEDF56A" w14:textId="77777777" w:rsidR="007E7472" w:rsidRDefault="00EC1269">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943" w:type="pct"/>
                <w:vMerge/>
              </w:tcPr>
              <w:p w14:paraId="05ECB8EE" w14:textId="77777777" w:rsidR="007E7472" w:rsidRDefault="00C8327E">
                <w:pPr>
                  <w:jc w:val="center"/>
                  <w:rPr>
                    <w:color w:val="008000"/>
                  </w:rPr>
                </w:pPr>
              </w:p>
            </w:tc>
          </w:tr>
          <w:tr w:rsidR="007E7472" w14:paraId="05AD523F" w14:textId="77777777">
            <w:sdt>
              <w:sdtPr>
                <w:rPr>
                  <w:rFonts w:ascii="宋体" w:eastAsia="宋体" w:hAnsi="宋体"/>
                </w:rPr>
                <w:tag w:val="_PLD_2d320061b2c04b43aa4ffcb4160cc3e9"/>
                <w:id w:val="657423192"/>
                <w:lock w:val="sdtLocked"/>
              </w:sdtPr>
              <w:sdtEndPr/>
              <w:sdtContent>
                <w:tc>
                  <w:tcPr>
                    <w:tcW w:w="1001" w:type="pct"/>
                    <w:vAlign w:val="center"/>
                  </w:tcPr>
                  <w:p w14:paraId="5CAC8534" w14:textId="77777777" w:rsidR="007E7472" w:rsidRDefault="00EC1269">
                    <w:pPr>
                      <w:pStyle w:val="TableParagraph"/>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2023年</w:t>
                    </w:r>
                    <w:r>
                      <w:rPr>
                        <w:rFonts w:ascii="宋体" w:eastAsia="宋体" w:hAnsi="宋体" w:cs="宋体" w:hint="eastAsia"/>
                        <w:sz w:val="21"/>
                        <w:szCs w:val="21"/>
                        <w:lang w:eastAsia="zh-CN"/>
                      </w:rPr>
                      <w:t>1月1日余额</w:t>
                    </w:r>
                  </w:p>
                </w:tc>
              </w:sdtContent>
            </w:sdt>
            <w:tc>
              <w:tcPr>
                <w:tcW w:w="862" w:type="pct"/>
              </w:tcPr>
              <w:p w14:paraId="617EFA60" w14:textId="77777777" w:rsidR="007E7472" w:rsidRDefault="00C8327E">
                <w:pPr>
                  <w:jc w:val="right"/>
                </w:pPr>
              </w:p>
            </w:tc>
            <w:tc>
              <w:tcPr>
                <w:tcW w:w="1097" w:type="pct"/>
                <w:vAlign w:val="center"/>
              </w:tcPr>
              <w:p w14:paraId="5F581096" w14:textId="77777777" w:rsidR="007E7472" w:rsidRDefault="00EC1269">
                <w:pPr>
                  <w:jc w:val="right"/>
                  <w:rPr>
                    <w:bCs/>
                    <w:sz w:val="24"/>
                    <w:szCs w:val="24"/>
                  </w:rPr>
                </w:pPr>
                <w:r>
                  <w:t>780,667</w:t>
                </w:r>
              </w:p>
            </w:tc>
            <w:tc>
              <w:tcPr>
                <w:tcW w:w="1097" w:type="pct"/>
                <w:vAlign w:val="center"/>
              </w:tcPr>
              <w:p w14:paraId="508130EB" w14:textId="77777777" w:rsidR="007E7472" w:rsidRDefault="00EC1269">
                <w:pPr>
                  <w:jc w:val="right"/>
                </w:pPr>
                <w:r>
                  <w:t>1,918,447</w:t>
                </w:r>
              </w:p>
            </w:tc>
            <w:tc>
              <w:tcPr>
                <w:tcW w:w="943" w:type="pct"/>
                <w:vAlign w:val="center"/>
              </w:tcPr>
              <w:p w14:paraId="073E8CD4" w14:textId="77777777" w:rsidR="007E7472" w:rsidRDefault="00EC1269">
                <w:pPr>
                  <w:jc w:val="right"/>
                </w:pPr>
                <w:r>
                  <w:t>2,699,114</w:t>
                </w:r>
              </w:p>
            </w:tc>
          </w:tr>
          <w:tr w:rsidR="007E7472" w14:paraId="6F6E23EA" w14:textId="77777777" w:rsidTr="007E7472">
            <w:trPr>
              <w:trHeight w:val="284"/>
            </w:trPr>
            <w:sdt>
              <w:sdtPr>
                <w:rPr>
                  <w:rFonts w:ascii="宋体" w:eastAsia="宋体" w:hAnsi="宋体"/>
                </w:rPr>
                <w:tag w:val="_PLD_539b03f459c4452c8b986b7b696cbc3f"/>
                <w:id w:val="695206223"/>
                <w:lock w:val="sdtLocked"/>
              </w:sdtPr>
              <w:sdtEndPr/>
              <w:sdtContent>
                <w:tc>
                  <w:tcPr>
                    <w:tcW w:w="1001" w:type="pct"/>
                    <w:vAlign w:val="center"/>
                  </w:tcPr>
                  <w:p w14:paraId="6538FB53" w14:textId="77777777" w:rsidR="007E7472" w:rsidRDefault="00EC1269">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sdtContent>
            </w:sdt>
            <w:tc>
              <w:tcPr>
                <w:tcW w:w="862" w:type="pct"/>
                <w:vAlign w:val="center"/>
              </w:tcPr>
              <w:p w14:paraId="560E8115" w14:textId="77777777" w:rsidR="007E7472" w:rsidRDefault="00C8327E">
                <w:pPr>
                  <w:jc w:val="right"/>
                </w:pPr>
              </w:p>
            </w:tc>
            <w:tc>
              <w:tcPr>
                <w:tcW w:w="1097" w:type="pct"/>
                <w:vAlign w:val="center"/>
              </w:tcPr>
              <w:p w14:paraId="057AEBFB" w14:textId="77777777" w:rsidR="007E7472" w:rsidRDefault="00EC1269">
                <w:pPr>
                  <w:jc w:val="right"/>
                  <w:rPr>
                    <w:bCs/>
                    <w:sz w:val="24"/>
                    <w:szCs w:val="24"/>
                  </w:rPr>
                </w:pPr>
                <w:r>
                  <w:t>2,727</w:t>
                </w:r>
              </w:p>
            </w:tc>
            <w:tc>
              <w:tcPr>
                <w:tcW w:w="1097" w:type="pct"/>
                <w:vAlign w:val="center"/>
              </w:tcPr>
              <w:p w14:paraId="57BBBE7E" w14:textId="77777777" w:rsidR="007E7472" w:rsidRDefault="00EC1269">
                <w:pPr>
                  <w:jc w:val="right"/>
                </w:pPr>
                <w:r>
                  <w:t>6,881</w:t>
                </w:r>
              </w:p>
            </w:tc>
            <w:tc>
              <w:tcPr>
                <w:tcW w:w="943" w:type="pct"/>
                <w:vAlign w:val="center"/>
              </w:tcPr>
              <w:p w14:paraId="5887DE75" w14:textId="77777777" w:rsidR="007E7472" w:rsidRDefault="00EC1269">
                <w:pPr>
                  <w:jc w:val="right"/>
                </w:pPr>
                <w:r>
                  <w:t>9,608</w:t>
                </w:r>
              </w:p>
            </w:tc>
          </w:tr>
          <w:tr w:rsidR="007E7472" w14:paraId="6873909E" w14:textId="77777777" w:rsidTr="007E7472">
            <w:trPr>
              <w:trHeight w:val="284"/>
            </w:trPr>
            <w:tc>
              <w:tcPr>
                <w:tcW w:w="1001" w:type="pct"/>
                <w:vAlign w:val="center"/>
              </w:tcPr>
              <w:sdt>
                <w:sdtPr>
                  <w:rPr>
                    <w:rFonts w:ascii="宋体" w:eastAsia="宋体" w:hAnsi="宋体" w:hint="eastAsia"/>
                    <w:sz w:val="21"/>
                    <w:szCs w:val="21"/>
                    <w:lang w:eastAsia="zh-CN"/>
                  </w:rPr>
                  <w:tag w:val="_PLD_ddcd4306bc5c4cc89da3fd6a733c0801"/>
                  <w:id w:val="1973252564"/>
                  <w:lock w:val="sdtLocked"/>
                </w:sdtPr>
                <w:sdtEndPr/>
                <w:sdtContent>
                  <w:p w14:paraId="6F64BA0C" w14:textId="77777777" w:rsidR="007E7472" w:rsidRDefault="00EC1269">
                    <w:pPr>
                      <w:pStyle w:val="TableParagraph"/>
                      <w:spacing w:after="0" w:line="240" w:lineRule="auto"/>
                      <w:jc w:val="both"/>
                      <w:rPr>
                        <w:rFonts w:ascii="宋体" w:eastAsia="宋体" w:hAnsi="宋体"/>
                        <w:sz w:val="21"/>
                        <w:szCs w:val="21"/>
                      </w:rPr>
                    </w:pPr>
                    <w:r>
                      <w:rPr>
                        <w:rFonts w:ascii="宋体" w:eastAsia="宋体" w:hAnsi="宋体" w:hint="eastAsia"/>
                        <w:sz w:val="21"/>
                        <w:szCs w:val="21"/>
                        <w:lang w:eastAsia="zh-CN"/>
                      </w:rPr>
                      <w:t>本期转回</w:t>
                    </w:r>
                  </w:p>
                </w:sdtContent>
              </w:sdt>
            </w:tc>
            <w:tc>
              <w:tcPr>
                <w:tcW w:w="862" w:type="pct"/>
                <w:vAlign w:val="center"/>
              </w:tcPr>
              <w:p w14:paraId="064249E3" w14:textId="77777777" w:rsidR="007E7472" w:rsidRDefault="00C8327E">
                <w:pPr>
                  <w:jc w:val="right"/>
                </w:pPr>
              </w:p>
            </w:tc>
            <w:tc>
              <w:tcPr>
                <w:tcW w:w="1097" w:type="pct"/>
                <w:vAlign w:val="center"/>
              </w:tcPr>
              <w:p w14:paraId="38192FC1" w14:textId="77777777" w:rsidR="007E7472" w:rsidRDefault="00EC1269">
                <w:pPr>
                  <w:jc w:val="right"/>
                  <w:rPr>
                    <w:bCs/>
                    <w:sz w:val="24"/>
                    <w:szCs w:val="24"/>
                  </w:rPr>
                </w:pPr>
                <w:r>
                  <w:t>-64,678</w:t>
                </w:r>
              </w:p>
            </w:tc>
            <w:tc>
              <w:tcPr>
                <w:tcW w:w="1097" w:type="pct"/>
                <w:vAlign w:val="center"/>
              </w:tcPr>
              <w:p w14:paraId="3949D1FC" w14:textId="77777777" w:rsidR="007E7472" w:rsidRDefault="00EC1269">
                <w:pPr>
                  <w:jc w:val="right"/>
                </w:pPr>
                <w:r>
                  <w:t>-16,971</w:t>
                </w:r>
              </w:p>
            </w:tc>
            <w:tc>
              <w:tcPr>
                <w:tcW w:w="943" w:type="pct"/>
                <w:vAlign w:val="center"/>
              </w:tcPr>
              <w:p w14:paraId="60098657" w14:textId="77777777" w:rsidR="007E7472" w:rsidRDefault="00EC1269">
                <w:pPr>
                  <w:jc w:val="right"/>
                </w:pPr>
                <w:r>
                  <w:t>-81,649</w:t>
                </w:r>
              </w:p>
            </w:tc>
          </w:tr>
          <w:tr w:rsidR="007E7472" w14:paraId="639E9AAD" w14:textId="77777777" w:rsidTr="007E7472">
            <w:trPr>
              <w:trHeight w:val="284"/>
            </w:trPr>
            <w:sdt>
              <w:sdtPr>
                <w:rPr>
                  <w:rFonts w:ascii="宋体" w:eastAsia="宋体" w:hAnsi="宋体"/>
                </w:rPr>
                <w:tag w:val="_PLD_1c4657ced479496a86e3dc375f285889"/>
                <w:id w:val="612629666"/>
                <w:lock w:val="sdtLocked"/>
              </w:sdtPr>
              <w:sdtEndPr/>
              <w:sdtContent>
                <w:tc>
                  <w:tcPr>
                    <w:tcW w:w="1001" w:type="pct"/>
                    <w:vAlign w:val="center"/>
                  </w:tcPr>
                  <w:p w14:paraId="347FF582" w14:textId="77777777" w:rsidR="007E7472" w:rsidRDefault="00EC1269">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sdtContent>
            </w:sdt>
            <w:tc>
              <w:tcPr>
                <w:tcW w:w="862" w:type="pct"/>
                <w:vAlign w:val="center"/>
              </w:tcPr>
              <w:p w14:paraId="2BFA5C96" w14:textId="77777777" w:rsidR="007E7472" w:rsidRDefault="00C8327E">
                <w:pPr>
                  <w:jc w:val="right"/>
                </w:pPr>
              </w:p>
            </w:tc>
            <w:tc>
              <w:tcPr>
                <w:tcW w:w="1097" w:type="pct"/>
                <w:vAlign w:val="center"/>
              </w:tcPr>
              <w:p w14:paraId="3EBEB099" w14:textId="77777777" w:rsidR="007E7472" w:rsidRDefault="00C8327E">
                <w:pPr>
                  <w:jc w:val="right"/>
                </w:pPr>
              </w:p>
            </w:tc>
            <w:tc>
              <w:tcPr>
                <w:tcW w:w="1097" w:type="pct"/>
                <w:vAlign w:val="center"/>
              </w:tcPr>
              <w:p w14:paraId="3489A9B6" w14:textId="77777777" w:rsidR="007E7472" w:rsidRDefault="00C8327E">
                <w:pPr>
                  <w:jc w:val="right"/>
                </w:pPr>
              </w:p>
            </w:tc>
            <w:tc>
              <w:tcPr>
                <w:tcW w:w="943" w:type="pct"/>
                <w:vAlign w:val="center"/>
              </w:tcPr>
              <w:p w14:paraId="20407393" w14:textId="77777777" w:rsidR="007E7472" w:rsidRDefault="00C8327E">
                <w:pPr>
                  <w:jc w:val="right"/>
                </w:pPr>
              </w:p>
            </w:tc>
          </w:tr>
          <w:tr w:rsidR="007E7472" w14:paraId="07D7441C" w14:textId="77777777" w:rsidTr="007E7472">
            <w:trPr>
              <w:trHeight w:val="284"/>
            </w:trPr>
            <w:tc>
              <w:tcPr>
                <w:tcW w:w="1001" w:type="pct"/>
                <w:vAlign w:val="center"/>
              </w:tcPr>
              <w:sdt>
                <w:sdtPr>
                  <w:rPr>
                    <w:rFonts w:ascii="宋体" w:eastAsia="宋体" w:hAnsi="宋体" w:hint="eastAsia"/>
                    <w:sz w:val="21"/>
                    <w:szCs w:val="21"/>
                    <w:lang w:eastAsia="zh-CN"/>
                  </w:rPr>
                  <w:tag w:val="_PLD_8a1f66e013df42ccbcaccfe3645b25ea"/>
                  <w:id w:val="1246530260"/>
                  <w:lock w:val="sdtLocked"/>
                </w:sdtPr>
                <w:sdtEndPr/>
                <w:sdtContent>
                  <w:p w14:paraId="56A0DB9A" w14:textId="77777777" w:rsidR="007E7472" w:rsidRDefault="00EC1269">
                    <w:pPr>
                      <w:pStyle w:val="TableParagraph"/>
                      <w:spacing w:after="0" w:line="240" w:lineRule="auto"/>
                      <w:jc w:val="both"/>
                      <w:rPr>
                        <w:rFonts w:ascii="宋体" w:eastAsia="宋体" w:hAnsi="宋体"/>
                        <w:sz w:val="21"/>
                        <w:szCs w:val="21"/>
                      </w:rPr>
                    </w:pPr>
                    <w:r>
                      <w:rPr>
                        <w:rFonts w:ascii="宋体" w:eastAsia="宋体" w:hAnsi="宋体" w:hint="eastAsia"/>
                        <w:sz w:val="21"/>
                        <w:szCs w:val="21"/>
                        <w:lang w:eastAsia="zh-CN"/>
                      </w:rPr>
                      <w:t>本期核销</w:t>
                    </w:r>
                  </w:p>
                </w:sdtContent>
              </w:sdt>
            </w:tc>
            <w:tc>
              <w:tcPr>
                <w:tcW w:w="862" w:type="pct"/>
                <w:vAlign w:val="center"/>
              </w:tcPr>
              <w:p w14:paraId="74158D57" w14:textId="77777777" w:rsidR="007E7472" w:rsidRDefault="00C8327E">
                <w:pPr>
                  <w:jc w:val="right"/>
                </w:pPr>
              </w:p>
            </w:tc>
            <w:tc>
              <w:tcPr>
                <w:tcW w:w="1097" w:type="pct"/>
                <w:vAlign w:val="center"/>
              </w:tcPr>
              <w:p w14:paraId="79DC401B" w14:textId="77777777" w:rsidR="007E7472" w:rsidRDefault="00C8327E">
                <w:pPr>
                  <w:jc w:val="right"/>
                </w:pPr>
              </w:p>
            </w:tc>
            <w:tc>
              <w:tcPr>
                <w:tcW w:w="1097" w:type="pct"/>
                <w:vAlign w:val="center"/>
              </w:tcPr>
              <w:p w14:paraId="1194559B" w14:textId="77777777" w:rsidR="007E7472" w:rsidRDefault="00C8327E">
                <w:pPr>
                  <w:jc w:val="right"/>
                </w:pPr>
              </w:p>
            </w:tc>
            <w:tc>
              <w:tcPr>
                <w:tcW w:w="943" w:type="pct"/>
                <w:vAlign w:val="center"/>
              </w:tcPr>
              <w:p w14:paraId="02A4D049" w14:textId="77777777" w:rsidR="007E7472" w:rsidRDefault="00C8327E">
                <w:pPr>
                  <w:jc w:val="right"/>
                </w:pPr>
              </w:p>
            </w:tc>
          </w:tr>
          <w:tr w:rsidR="007E7472" w14:paraId="00D03AA5" w14:textId="77777777" w:rsidTr="007E7472">
            <w:trPr>
              <w:trHeight w:val="284"/>
            </w:trPr>
            <w:sdt>
              <w:sdtPr>
                <w:rPr>
                  <w:rFonts w:ascii="宋体" w:eastAsia="宋体" w:hAnsi="宋体"/>
                </w:rPr>
                <w:tag w:val="_PLD_80203c10cb0c468dbd7a48669ddd0f63"/>
                <w:id w:val="1194187650"/>
                <w:lock w:val="sdtLocked"/>
              </w:sdtPr>
              <w:sdtEndPr/>
              <w:sdtContent>
                <w:tc>
                  <w:tcPr>
                    <w:tcW w:w="1001" w:type="pct"/>
                    <w:vAlign w:val="center"/>
                  </w:tcPr>
                  <w:p w14:paraId="685C9381" w14:textId="77777777" w:rsidR="007E7472" w:rsidRDefault="00EC1269">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w:t>
                    </w:r>
                  </w:p>
                </w:tc>
              </w:sdtContent>
            </w:sdt>
            <w:tc>
              <w:tcPr>
                <w:tcW w:w="862" w:type="pct"/>
                <w:vAlign w:val="center"/>
              </w:tcPr>
              <w:p w14:paraId="4293A893" w14:textId="77777777" w:rsidR="007E7472" w:rsidRDefault="00C8327E">
                <w:pPr>
                  <w:jc w:val="right"/>
                </w:pPr>
              </w:p>
            </w:tc>
            <w:tc>
              <w:tcPr>
                <w:tcW w:w="1097" w:type="pct"/>
                <w:vAlign w:val="center"/>
              </w:tcPr>
              <w:p w14:paraId="35B6EF76" w14:textId="77777777" w:rsidR="007E7472" w:rsidRDefault="00C8327E">
                <w:pPr>
                  <w:jc w:val="right"/>
                </w:pPr>
              </w:p>
            </w:tc>
            <w:tc>
              <w:tcPr>
                <w:tcW w:w="1097" w:type="pct"/>
                <w:vAlign w:val="center"/>
              </w:tcPr>
              <w:p w14:paraId="460D5676" w14:textId="77777777" w:rsidR="007E7472" w:rsidRDefault="00C8327E">
                <w:pPr>
                  <w:jc w:val="right"/>
                </w:pPr>
              </w:p>
            </w:tc>
            <w:tc>
              <w:tcPr>
                <w:tcW w:w="943" w:type="pct"/>
                <w:vAlign w:val="center"/>
              </w:tcPr>
              <w:p w14:paraId="08BAC97B" w14:textId="77777777" w:rsidR="007E7472" w:rsidRDefault="00C8327E">
                <w:pPr>
                  <w:jc w:val="right"/>
                </w:pPr>
              </w:p>
            </w:tc>
          </w:tr>
          <w:tr w:rsidR="007E7472" w14:paraId="5DF4426E" w14:textId="77777777">
            <w:sdt>
              <w:sdtPr>
                <w:rPr>
                  <w:rFonts w:ascii="宋体" w:eastAsia="宋体" w:hAnsi="宋体"/>
                </w:rPr>
                <w:tag w:val="_PLD_bb669c94f1734a70be90735195c143c3"/>
                <w:id w:val="1994146704"/>
                <w:lock w:val="sdtLocked"/>
              </w:sdtPr>
              <w:sdtEndPr/>
              <w:sdtContent>
                <w:tc>
                  <w:tcPr>
                    <w:tcW w:w="1001" w:type="pct"/>
                    <w:vAlign w:val="center"/>
                  </w:tcPr>
                  <w:p w14:paraId="4F667FF1" w14:textId="77777777" w:rsidR="007E7472" w:rsidRDefault="00EC1269">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2023年6月30日</w:t>
                    </w:r>
                    <w:r>
                      <w:rPr>
                        <w:rFonts w:ascii="宋体" w:eastAsia="宋体" w:hAnsi="宋体" w:cs="宋体" w:hint="eastAsia"/>
                        <w:sz w:val="21"/>
                        <w:szCs w:val="21"/>
                        <w:lang w:eastAsia="zh-CN"/>
                      </w:rPr>
                      <w:t>余额</w:t>
                    </w:r>
                  </w:p>
                </w:tc>
              </w:sdtContent>
            </w:sdt>
            <w:tc>
              <w:tcPr>
                <w:tcW w:w="862" w:type="pct"/>
              </w:tcPr>
              <w:p w14:paraId="2A471CA4" w14:textId="77777777" w:rsidR="007E7472" w:rsidRDefault="00C8327E">
                <w:pPr>
                  <w:jc w:val="right"/>
                </w:pPr>
              </w:p>
            </w:tc>
            <w:tc>
              <w:tcPr>
                <w:tcW w:w="1097" w:type="pct"/>
                <w:vAlign w:val="center"/>
              </w:tcPr>
              <w:p w14:paraId="05228797" w14:textId="77777777" w:rsidR="007E7472" w:rsidRDefault="00EC1269">
                <w:pPr>
                  <w:jc w:val="right"/>
                  <w:rPr>
                    <w:bCs/>
                    <w:sz w:val="24"/>
                    <w:szCs w:val="24"/>
                  </w:rPr>
                </w:pPr>
                <w:r>
                  <w:t>718,716</w:t>
                </w:r>
              </w:p>
            </w:tc>
            <w:tc>
              <w:tcPr>
                <w:tcW w:w="1097" w:type="pct"/>
                <w:vAlign w:val="center"/>
              </w:tcPr>
              <w:p w14:paraId="18B84E53" w14:textId="77777777" w:rsidR="007E7472" w:rsidRDefault="00EC1269">
                <w:pPr>
                  <w:jc w:val="right"/>
                </w:pPr>
                <w:r>
                  <w:t>1,908,357</w:t>
                </w:r>
              </w:p>
            </w:tc>
            <w:tc>
              <w:tcPr>
                <w:tcW w:w="943" w:type="pct"/>
                <w:vAlign w:val="center"/>
              </w:tcPr>
              <w:p w14:paraId="71A18EE8" w14:textId="77777777" w:rsidR="007E7472" w:rsidRDefault="00EC1269">
                <w:pPr>
                  <w:jc w:val="right"/>
                </w:pPr>
                <w:r>
                  <w:t>2,627,073</w:t>
                </w:r>
              </w:p>
            </w:tc>
          </w:tr>
        </w:tbl>
        <w:p w14:paraId="7EA56261" w14:textId="77777777" w:rsidR="007E7472" w:rsidRDefault="00C8327E"/>
        <w:p w14:paraId="29BC1D13" w14:textId="77777777" w:rsidR="007E7472" w:rsidRDefault="00EC1269">
          <w:r>
            <w:rPr>
              <w:rFonts w:hint="eastAsia"/>
            </w:rPr>
            <w:t>对本期发生损失准备变动的其他应收款账面余额显著变动的情况说明：</w:t>
          </w:r>
        </w:p>
        <w:sdt>
          <w:sdtPr>
            <w:alias w:val="是否适用：其他应收款本期发生损失准备变动且账面余额显著变动的情况说明[双击切换]"/>
            <w:tag w:val="_GBC_32e9d68fc5194869baa30fe15720ff13"/>
            <w:id w:val="935337460"/>
            <w:lock w:val="sdtLocked"/>
            <w:placeholder>
              <w:docPart w:val="GBC22222222222222222222222222222"/>
            </w:placeholder>
          </w:sdtPr>
          <w:sdtEndPr/>
          <w:sdtContent>
            <w:p w14:paraId="09AA64A3" w14:textId="26111A8C"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68E3675A" w14:textId="77777777" w:rsidR="007E7472" w:rsidRDefault="00EC1269">
          <w:r>
            <w:rPr>
              <w:rFonts w:hint="eastAsia"/>
            </w:rPr>
            <w:t>本期坏账准备计提金额以及评估金融工具的信用风险是否显著增加的采用依据：</w:t>
          </w:r>
        </w:p>
        <w:sdt>
          <w:sdtPr>
            <w:alias w:val="是否适用：其他应收款本期坏账准备计提金额以及评估金融工具的信用风险显著增加的采用依据[双击切换]"/>
            <w:tag w:val="_GBC_dde26fcf385445edb7b0e96dab2a2b3e"/>
            <w:id w:val="1643765277"/>
            <w:lock w:val="sdtLocked"/>
            <w:placeholder>
              <w:docPart w:val="GBC22222222222222222222222222222"/>
            </w:placeholder>
          </w:sdtPr>
          <w:sdtEndPr/>
          <w:sdtContent>
            <w:p w14:paraId="75AB384E" w14:textId="4936596C"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bookmarkEnd w:id="182" w:displacedByCustomXml="next"/>
    <w:bookmarkStart w:id="183" w:name="_Hlk10469877" w:displacedByCustomXml="next"/>
    <w:sdt>
      <w:sdtPr>
        <w:rPr>
          <w:rFonts w:ascii="宋体" w:hAnsi="宋体" w:cs="宋体" w:hint="eastAsia"/>
          <w:b w:val="0"/>
          <w:bCs w:val="0"/>
          <w:kern w:val="0"/>
          <w:sz w:val="20"/>
          <w:szCs w:val="21"/>
        </w:rPr>
        <w:alias w:val="模块:坏账准备的情况"/>
        <w:tag w:val="_SEC_93dacca8700c43aaba11477ef4689aa6"/>
        <w:id w:val="1388759545"/>
        <w:lock w:val="sdtLocked"/>
        <w:placeholder>
          <w:docPart w:val="GBC22222222222222222222222222222"/>
        </w:placeholder>
      </w:sdtPr>
      <w:sdtEndPr/>
      <w:sdtContent>
        <w:p w14:paraId="449C070A" w14:textId="77777777" w:rsidR="007E7472" w:rsidRDefault="00EC1269" w:rsidP="00162493">
          <w:pPr>
            <w:pStyle w:val="4"/>
            <w:numPr>
              <w:ilvl w:val="0"/>
              <w:numId w:val="66"/>
            </w:numPr>
          </w:pPr>
          <w:r>
            <w:rPr>
              <w:rFonts w:hint="eastAsia"/>
            </w:rPr>
            <w:t>坏账准备的情况</w:t>
          </w:r>
        </w:p>
        <w:sdt>
          <w:sdtPr>
            <w:alias w:val="是否适用：其他应收款坏账准备[双击切换]"/>
            <w:tag w:val="_GBC_b3f4f88802a54b1da539ba2563000c5c"/>
            <w:id w:val="-646513091"/>
            <w:lock w:val="sdtLocked"/>
            <w:placeholder>
              <w:docPart w:val="GBC22222222222222222222222222222"/>
            </w:placeholder>
          </w:sdtPr>
          <w:sdtEndPr/>
          <w:sdtContent>
            <w:p w14:paraId="30C6EA78"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5A1DBD48" w14:textId="2B7C14F7" w:rsidR="007E7472" w:rsidRDefault="00EC1269">
          <w:pPr>
            <w:snapToGrid w:val="0"/>
            <w:spacing w:line="240" w:lineRule="atLeast"/>
            <w:ind w:left="425"/>
            <w:jc w:val="right"/>
          </w:pPr>
          <w:r>
            <w:rPr>
              <w:rFonts w:hint="eastAsia"/>
            </w:rPr>
            <w:t>单位：</w:t>
          </w:r>
          <w:sdt>
            <w:sdtPr>
              <w:rPr>
                <w:rFonts w:hint="eastAsia"/>
              </w:rPr>
              <w:alias w:val="单位：其他应收款坏账准备"/>
              <w:tag w:val="_GBC_1cb0ccc9627340bb9775e68ec1d11af7"/>
              <w:id w:val="-4222658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其他应收款坏账准备"/>
              <w:tag w:val="_GBC_14d59c8ccaef434da24604201125f1f0"/>
              <w:id w:val="-17183436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505"/>
            <w:gridCol w:w="1205"/>
            <w:gridCol w:w="1304"/>
            <w:gridCol w:w="1202"/>
            <w:gridCol w:w="1205"/>
            <w:gridCol w:w="1202"/>
            <w:gridCol w:w="1200"/>
          </w:tblGrid>
          <w:tr w:rsidR="007E7472" w14:paraId="1E3AB46C" w14:textId="77777777" w:rsidTr="007E7472">
            <w:trPr>
              <w:trHeight w:val="387"/>
            </w:trPr>
            <w:sdt>
              <w:sdtPr>
                <w:tag w:val="_PLD_31bfbbc8809c484e8788c004875b73f7"/>
                <w:id w:val="-543746819"/>
                <w:lock w:val="sdtLocked"/>
              </w:sdtPr>
              <w:sdtEndPr/>
              <w:sdtContent>
                <w:tc>
                  <w:tcPr>
                    <w:tcW w:w="853" w:type="pct"/>
                    <w:vMerge w:val="restart"/>
                    <w:shd w:val="clear" w:color="auto" w:fill="FFFFFF"/>
                    <w:vAlign w:val="center"/>
                  </w:tcPr>
                  <w:p w14:paraId="41F35C22" w14:textId="77777777" w:rsidR="007E7472" w:rsidRDefault="00EC1269">
                    <w:pPr>
                      <w:widowControl w:val="0"/>
                      <w:jc w:val="center"/>
                    </w:pPr>
                    <w:r>
                      <w:t>类别</w:t>
                    </w:r>
                  </w:p>
                </w:tc>
              </w:sdtContent>
            </w:sdt>
            <w:sdt>
              <w:sdtPr>
                <w:tag w:val="_PLD_8a84de1ffd5c434f9fdf644972838511"/>
                <w:id w:val="1868328534"/>
                <w:lock w:val="sdtLocked"/>
              </w:sdtPr>
              <w:sdtEndPr/>
              <w:sdtContent>
                <w:tc>
                  <w:tcPr>
                    <w:tcW w:w="683" w:type="pct"/>
                    <w:vMerge w:val="restart"/>
                    <w:shd w:val="clear" w:color="auto" w:fill="FFFFFF"/>
                    <w:vAlign w:val="center"/>
                  </w:tcPr>
                  <w:p w14:paraId="30224A30" w14:textId="77777777" w:rsidR="007E7472" w:rsidRDefault="00EC1269">
                    <w:pPr>
                      <w:widowControl w:val="0"/>
                      <w:jc w:val="center"/>
                    </w:pPr>
                    <w:r>
                      <w:t>期初余额</w:t>
                    </w:r>
                  </w:p>
                </w:tc>
              </w:sdtContent>
            </w:sdt>
            <w:sdt>
              <w:sdtPr>
                <w:tag w:val="_PLD_98e8a6b913f14f6ca45be028ca7fe9b3"/>
                <w:id w:val="873965742"/>
                <w:lock w:val="sdtLocked"/>
              </w:sdtPr>
              <w:sdtEndPr/>
              <w:sdtContent>
                <w:tc>
                  <w:tcPr>
                    <w:tcW w:w="2784" w:type="pct"/>
                    <w:gridSpan w:val="4"/>
                    <w:shd w:val="clear" w:color="auto" w:fill="FFFFFF"/>
                    <w:vAlign w:val="center"/>
                  </w:tcPr>
                  <w:p w14:paraId="2E84D201" w14:textId="77777777" w:rsidR="007E7472" w:rsidRDefault="00EC1269">
                    <w:pPr>
                      <w:widowControl w:val="0"/>
                      <w:jc w:val="center"/>
                    </w:pPr>
                    <w:r>
                      <w:rPr>
                        <w:rFonts w:hint="eastAsia"/>
                      </w:rPr>
                      <w:t>本期变动</w:t>
                    </w:r>
                    <w:r>
                      <w:t>金额</w:t>
                    </w:r>
                  </w:p>
                </w:tc>
              </w:sdtContent>
            </w:sdt>
            <w:sdt>
              <w:sdtPr>
                <w:tag w:val="_PLD_79cbcdb53d6946aa8890a6614ae8fa7c"/>
                <w:id w:val="2019342886"/>
                <w:lock w:val="sdtLocked"/>
              </w:sdtPr>
              <w:sdtEndPr/>
              <w:sdtContent>
                <w:tc>
                  <w:tcPr>
                    <w:tcW w:w="680" w:type="pct"/>
                    <w:vMerge w:val="restart"/>
                    <w:shd w:val="clear" w:color="auto" w:fill="FFFFFF"/>
                    <w:vAlign w:val="center"/>
                  </w:tcPr>
                  <w:p w14:paraId="38793D8A" w14:textId="77777777" w:rsidR="007E7472" w:rsidRDefault="00EC1269">
                    <w:pPr>
                      <w:widowControl w:val="0"/>
                      <w:jc w:val="center"/>
                    </w:pPr>
                    <w:r>
                      <w:t>期末余额</w:t>
                    </w:r>
                  </w:p>
                </w:tc>
              </w:sdtContent>
            </w:sdt>
          </w:tr>
          <w:tr w:rsidR="007E7472" w14:paraId="048B5399" w14:textId="77777777">
            <w:tc>
              <w:tcPr>
                <w:tcW w:w="853" w:type="pct"/>
                <w:vMerge/>
                <w:shd w:val="clear" w:color="auto" w:fill="FFFFFF"/>
              </w:tcPr>
              <w:p w14:paraId="4D284C2E" w14:textId="77777777" w:rsidR="007E7472" w:rsidRDefault="00C8327E">
                <w:pPr>
                  <w:widowControl w:val="0"/>
                  <w:jc w:val="center"/>
                </w:pPr>
              </w:p>
            </w:tc>
            <w:tc>
              <w:tcPr>
                <w:tcW w:w="683" w:type="pct"/>
                <w:vMerge/>
                <w:shd w:val="clear" w:color="auto" w:fill="FFFFFF"/>
              </w:tcPr>
              <w:p w14:paraId="1DFF5C5A" w14:textId="77777777" w:rsidR="007E7472" w:rsidRDefault="00C8327E">
                <w:pPr>
                  <w:widowControl w:val="0"/>
                  <w:jc w:val="center"/>
                </w:pPr>
              </w:p>
            </w:tc>
            <w:sdt>
              <w:sdtPr>
                <w:tag w:val="_PLD_e690235010e24ffc8796adbde1bb559c"/>
                <w:id w:val="-1208026785"/>
                <w:lock w:val="sdtLocked"/>
              </w:sdtPr>
              <w:sdtEndPr/>
              <w:sdtContent>
                <w:tc>
                  <w:tcPr>
                    <w:tcW w:w="739" w:type="pct"/>
                    <w:shd w:val="clear" w:color="auto" w:fill="FFFFFF"/>
                    <w:vAlign w:val="center"/>
                  </w:tcPr>
                  <w:p w14:paraId="6886A1CA" w14:textId="77777777" w:rsidR="007E7472" w:rsidRDefault="00EC1269">
                    <w:pPr>
                      <w:widowControl w:val="0"/>
                      <w:jc w:val="center"/>
                    </w:pPr>
                    <w:r>
                      <w:t>计提</w:t>
                    </w:r>
                  </w:p>
                </w:tc>
              </w:sdtContent>
            </w:sdt>
            <w:sdt>
              <w:sdtPr>
                <w:tag w:val="_PLD_d059ae406aed4a3a8f46c2d712ef508e"/>
                <w:id w:val="386843898"/>
                <w:lock w:val="sdtLocked"/>
              </w:sdtPr>
              <w:sdtEndPr/>
              <w:sdtContent>
                <w:tc>
                  <w:tcPr>
                    <w:tcW w:w="681" w:type="pct"/>
                    <w:shd w:val="clear" w:color="auto" w:fill="FFFFFF"/>
                    <w:vAlign w:val="center"/>
                  </w:tcPr>
                  <w:p w14:paraId="0FF9ABF6" w14:textId="77777777" w:rsidR="007E7472" w:rsidRDefault="00EC1269">
                    <w:pPr>
                      <w:widowControl w:val="0"/>
                      <w:jc w:val="center"/>
                    </w:pPr>
                    <w:r>
                      <w:rPr>
                        <w:rFonts w:hint="eastAsia"/>
                      </w:rPr>
                      <w:t>收回或转回</w:t>
                    </w:r>
                  </w:p>
                </w:tc>
              </w:sdtContent>
            </w:sdt>
            <w:sdt>
              <w:sdtPr>
                <w:tag w:val="_PLD_da780fd6da3646febcd85bf9dbd8b64e"/>
                <w:id w:val="-1513370"/>
                <w:lock w:val="sdtLocked"/>
              </w:sdtPr>
              <w:sdtEndPr/>
              <w:sdtContent>
                <w:tc>
                  <w:tcPr>
                    <w:tcW w:w="683" w:type="pct"/>
                    <w:shd w:val="clear" w:color="auto" w:fill="FFFFFF"/>
                    <w:vAlign w:val="center"/>
                  </w:tcPr>
                  <w:p w14:paraId="7846AD38" w14:textId="77777777" w:rsidR="007E7472" w:rsidRDefault="00EC1269">
                    <w:pPr>
                      <w:widowControl w:val="0"/>
                      <w:jc w:val="center"/>
                    </w:pPr>
                    <w:r>
                      <w:rPr>
                        <w:rFonts w:hint="eastAsia"/>
                      </w:rPr>
                      <w:t>转销或核销</w:t>
                    </w:r>
                  </w:p>
                </w:tc>
              </w:sdtContent>
            </w:sdt>
            <w:tc>
              <w:tcPr>
                <w:tcW w:w="681" w:type="pct"/>
                <w:shd w:val="clear" w:color="auto" w:fill="FFFFFF"/>
                <w:vAlign w:val="center"/>
              </w:tcPr>
              <w:sdt>
                <w:sdtPr>
                  <w:rPr>
                    <w:rFonts w:hint="eastAsia"/>
                  </w:rPr>
                  <w:tag w:val="_PLD_d6a9b9888c1a49429189a2a72159c309"/>
                  <w:id w:val="15430099"/>
                  <w:lock w:val="sdtLocked"/>
                </w:sdtPr>
                <w:sdtEndPr/>
                <w:sdtContent>
                  <w:p w14:paraId="4A7027AB" w14:textId="77777777" w:rsidR="007E7472" w:rsidRDefault="00EC1269">
                    <w:pPr>
                      <w:widowControl w:val="0"/>
                      <w:jc w:val="right"/>
                    </w:pPr>
                    <w:r>
                      <w:rPr>
                        <w:rFonts w:hint="eastAsia"/>
                      </w:rPr>
                      <w:t>其他变动</w:t>
                    </w:r>
                  </w:p>
                </w:sdtContent>
              </w:sdt>
            </w:tc>
            <w:tc>
              <w:tcPr>
                <w:tcW w:w="680" w:type="pct"/>
                <w:vMerge/>
                <w:shd w:val="clear" w:color="auto" w:fill="FFFFFF"/>
              </w:tcPr>
              <w:p w14:paraId="4BAE9B5E" w14:textId="77777777" w:rsidR="007E7472" w:rsidRDefault="00C8327E">
                <w:pPr>
                  <w:widowControl w:val="0"/>
                  <w:jc w:val="right"/>
                </w:pPr>
              </w:p>
            </w:tc>
          </w:tr>
          <w:sdt>
            <w:sdtPr>
              <w:alias w:val="其他应收款坏账准备明细"/>
              <w:tag w:val="_TUP_7a0cb2b2adeb4af281afaba9c5959134"/>
              <w:id w:val="289102440"/>
              <w:lock w:val="sdtLocked"/>
              <w:placeholder>
                <w:docPart w:val="GBC11111111111111111111111111111"/>
              </w:placeholder>
            </w:sdtPr>
            <w:sdtEndPr/>
            <w:sdtContent>
              <w:tr w:rsidR="007E7472" w14:paraId="7B82B3F0" w14:textId="77777777" w:rsidTr="007E7472">
                <w:trPr>
                  <w:trHeight w:val="284"/>
                </w:trPr>
                <w:tc>
                  <w:tcPr>
                    <w:tcW w:w="853" w:type="pct"/>
                    <w:shd w:val="clear" w:color="auto" w:fill="auto"/>
                  </w:tcPr>
                  <w:p w14:paraId="7012BE04" w14:textId="77777777" w:rsidR="007E7472" w:rsidRDefault="00EC1269">
                    <w:pPr>
                      <w:widowControl w:val="0"/>
                    </w:pPr>
                    <w:r>
                      <w:rPr>
                        <w:rFonts w:hint="eastAsia"/>
                      </w:rPr>
                      <w:t>坏账准备</w:t>
                    </w:r>
                  </w:p>
                </w:tc>
                <w:tc>
                  <w:tcPr>
                    <w:tcW w:w="683" w:type="pct"/>
                    <w:shd w:val="clear" w:color="auto" w:fill="auto"/>
                  </w:tcPr>
                  <w:p w14:paraId="1A108A74" w14:textId="77777777" w:rsidR="007E7472" w:rsidRDefault="00EC1269">
                    <w:pPr>
                      <w:widowControl w:val="0"/>
                      <w:jc w:val="right"/>
                    </w:pPr>
                    <w:r>
                      <w:t>2,699,114</w:t>
                    </w:r>
                  </w:p>
                </w:tc>
                <w:tc>
                  <w:tcPr>
                    <w:tcW w:w="739" w:type="pct"/>
                    <w:shd w:val="clear" w:color="auto" w:fill="auto"/>
                  </w:tcPr>
                  <w:p w14:paraId="079C464E" w14:textId="77777777" w:rsidR="007E7472" w:rsidRDefault="00EC1269">
                    <w:pPr>
                      <w:widowControl w:val="0"/>
                      <w:jc w:val="right"/>
                    </w:pPr>
                    <w:r>
                      <w:t>9,608</w:t>
                    </w:r>
                  </w:p>
                </w:tc>
                <w:tc>
                  <w:tcPr>
                    <w:tcW w:w="681" w:type="pct"/>
                    <w:shd w:val="clear" w:color="auto" w:fill="auto"/>
                  </w:tcPr>
                  <w:p w14:paraId="1141E0BA" w14:textId="77777777" w:rsidR="007E7472" w:rsidRDefault="00EC1269">
                    <w:pPr>
                      <w:widowControl w:val="0"/>
                      <w:jc w:val="right"/>
                    </w:pPr>
                    <w:r>
                      <w:t>-81,649</w:t>
                    </w:r>
                  </w:p>
                </w:tc>
                <w:tc>
                  <w:tcPr>
                    <w:tcW w:w="683" w:type="pct"/>
                  </w:tcPr>
                  <w:p w14:paraId="2756F080" w14:textId="77777777" w:rsidR="007E7472" w:rsidRDefault="00C8327E">
                    <w:pPr>
                      <w:widowControl w:val="0"/>
                      <w:jc w:val="right"/>
                    </w:pPr>
                  </w:p>
                </w:tc>
                <w:tc>
                  <w:tcPr>
                    <w:tcW w:w="681" w:type="pct"/>
                  </w:tcPr>
                  <w:p w14:paraId="4D55296E" w14:textId="77777777" w:rsidR="007E7472" w:rsidRDefault="00C8327E">
                    <w:pPr>
                      <w:widowControl w:val="0"/>
                      <w:jc w:val="right"/>
                    </w:pPr>
                  </w:p>
                </w:tc>
                <w:tc>
                  <w:tcPr>
                    <w:tcW w:w="680" w:type="pct"/>
                    <w:shd w:val="clear" w:color="auto" w:fill="auto"/>
                  </w:tcPr>
                  <w:p w14:paraId="57232D03" w14:textId="77777777" w:rsidR="007E7472" w:rsidRDefault="00EC1269">
                    <w:pPr>
                      <w:widowControl w:val="0"/>
                      <w:jc w:val="right"/>
                    </w:pPr>
                    <w:r>
                      <w:t>2,627,073</w:t>
                    </w:r>
                  </w:p>
                </w:tc>
              </w:tr>
            </w:sdtContent>
          </w:sdt>
          <w:tr w:rsidR="007E7472" w14:paraId="1FE48B74" w14:textId="77777777" w:rsidTr="007E7472">
            <w:trPr>
              <w:trHeight w:val="284"/>
            </w:trPr>
            <w:sdt>
              <w:sdtPr>
                <w:tag w:val="_PLD_338c13f365964c67a7e58b3e079f4171"/>
                <w:id w:val="-1613899265"/>
                <w:lock w:val="sdtLocked"/>
              </w:sdtPr>
              <w:sdtEndPr/>
              <w:sdtContent>
                <w:tc>
                  <w:tcPr>
                    <w:tcW w:w="853" w:type="pct"/>
                    <w:shd w:val="clear" w:color="auto" w:fill="auto"/>
                  </w:tcPr>
                  <w:p w14:paraId="603DF4F2" w14:textId="77777777" w:rsidR="007E7472" w:rsidRDefault="00EC1269">
                    <w:pPr>
                      <w:widowControl w:val="0"/>
                      <w:jc w:val="center"/>
                    </w:pPr>
                    <w:r>
                      <w:rPr>
                        <w:rFonts w:hint="eastAsia"/>
                      </w:rPr>
                      <w:t>合计</w:t>
                    </w:r>
                  </w:p>
                </w:tc>
              </w:sdtContent>
            </w:sdt>
            <w:tc>
              <w:tcPr>
                <w:tcW w:w="683" w:type="pct"/>
                <w:shd w:val="clear" w:color="auto" w:fill="auto"/>
              </w:tcPr>
              <w:p w14:paraId="43EAE45F" w14:textId="77777777" w:rsidR="007E7472" w:rsidRDefault="00EC1269">
                <w:pPr>
                  <w:widowControl w:val="0"/>
                  <w:jc w:val="right"/>
                </w:pPr>
                <w:r>
                  <w:t>2,699,114</w:t>
                </w:r>
              </w:p>
            </w:tc>
            <w:tc>
              <w:tcPr>
                <w:tcW w:w="739" w:type="pct"/>
                <w:shd w:val="clear" w:color="auto" w:fill="auto"/>
              </w:tcPr>
              <w:p w14:paraId="2547DF0A" w14:textId="77777777" w:rsidR="007E7472" w:rsidRDefault="00EC1269">
                <w:pPr>
                  <w:widowControl w:val="0"/>
                  <w:jc w:val="right"/>
                </w:pPr>
                <w:r>
                  <w:t>9,608</w:t>
                </w:r>
              </w:p>
            </w:tc>
            <w:tc>
              <w:tcPr>
                <w:tcW w:w="681" w:type="pct"/>
                <w:shd w:val="clear" w:color="auto" w:fill="auto"/>
              </w:tcPr>
              <w:p w14:paraId="514443E5" w14:textId="77777777" w:rsidR="007E7472" w:rsidRDefault="00EC1269">
                <w:pPr>
                  <w:widowControl w:val="0"/>
                  <w:jc w:val="right"/>
                </w:pPr>
                <w:r>
                  <w:t>-81,649</w:t>
                </w:r>
              </w:p>
            </w:tc>
            <w:tc>
              <w:tcPr>
                <w:tcW w:w="683" w:type="pct"/>
              </w:tcPr>
              <w:p w14:paraId="42ED8A0C" w14:textId="77777777" w:rsidR="007E7472" w:rsidRDefault="00C8327E">
                <w:pPr>
                  <w:widowControl w:val="0"/>
                  <w:jc w:val="right"/>
                </w:pPr>
              </w:p>
            </w:tc>
            <w:tc>
              <w:tcPr>
                <w:tcW w:w="681" w:type="pct"/>
              </w:tcPr>
              <w:p w14:paraId="2DD5D0BE" w14:textId="77777777" w:rsidR="007E7472" w:rsidRDefault="00C8327E">
                <w:pPr>
                  <w:widowControl w:val="0"/>
                  <w:jc w:val="right"/>
                </w:pPr>
              </w:p>
            </w:tc>
            <w:tc>
              <w:tcPr>
                <w:tcW w:w="680" w:type="pct"/>
                <w:shd w:val="clear" w:color="auto" w:fill="auto"/>
              </w:tcPr>
              <w:p w14:paraId="7EB5CF74" w14:textId="77777777" w:rsidR="007E7472" w:rsidRDefault="00EC1269">
                <w:pPr>
                  <w:widowControl w:val="0"/>
                  <w:jc w:val="right"/>
                </w:pPr>
                <w:r>
                  <w:t>2,627,073</w:t>
                </w:r>
              </w:p>
            </w:tc>
          </w:tr>
        </w:tbl>
        <w:p w14:paraId="1DC6B3CA" w14:textId="77777777" w:rsidR="007E7472" w:rsidRDefault="00EC1269">
          <w:r>
            <w:rPr>
              <w:rFonts w:hint="eastAsia"/>
            </w:rPr>
            <w:t>其中本期坏账准备转回或收回金额重要的：</w:t>
          </w:r>
        </w:p>
        <w:sdt>
          <w:sdtPr>
            <w:alias w:val="是否适用：其中本期其他应收账款坏账准备收回或转回金额重要的[双击切换]"/>
            <w:tag w:val="_GBC_766264a4e81b4ae6885d7f965ebbcd08"/>
            <w:id w:val="2125960200"/>
            <w:lock w:val="sdtLocked"/>
            <w:placeholder>
              <w:docPart w:val="GBC22222222222222222222222222222"/>
            </w:placeholder>
          </w:sdtPr>
          <w:sdtEndPr/>
          <w:sdtContent>
            <w:p w14:paraId="6AEC0D45"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bookmarkEnd w:id="183" w:displacedByCustomXml="next"/>
    <w:sdt>
      <w:sdtPr>
        <w:rPr>
          <w:rFonts w:ascii="宋体" w:hAnsi="宋体" w:cs="宋体" w:hint="eastAsia"/>
          <w:b w:val="0"/>
          <w:bCs w:val="0"/>
          <w:kern w:val="0"/>
          <w:sz w:val="20"/>
          <w:szCs w:val="24"/>
        </w:rPr>
        <w:alias w:val="模块:本报告期实际核销的其他应收款情况"/>
        <w:tag w:val="_GBC_ca12851378c64f09a5335b8a527df46f"/>
        <w:id w:val="-779884770"/>
        <w:lock w:val="sdtLocked"/>
        <w:placeholder>
          <w:docPart w:val="GBC22222222222222222222222222222"/>
        </w:placeholder>
      </w:sdtPr>
      <w:sdtEndPr>
        <w:rPr>
          <w:szCs w:val="21"/>
        </w:rPr>
      </w:sdtEndPr>
      <w:sdtContent>
        <w:p w14:paraId="7CC5F571" w14:textId="77777777" w:rsidR="007E7472" w:rsidRDefault="00EC1269" w:rsidP="00162493">
          <w:pPr>
            <w:pStyle w:val="4"/>
            <w:numPr>
              <w:ilvl w:val="0"/>
              <w:numId w:val="66"/>
            </w:numPr>
          </w:pPr>
          <w:r>
            <w:rPr>
              <w:rFonts w:hint="eastAsia"/>
            </w:rPr>
            <w:t>本期实际核销的其他应收款情况</w:t>
          </w:r>
        </w:p>
        <w:sdt>
          <w:sdtPr>
            <w:alias w:val="是否适用：本期实际核销的其他应收款情况[双击切换]"/>
            <w:tag w:val="_GBC_99c0ad513e2447ba8b2267c169be5583"/>
            <w:id w:val="-855804259"/>
            <w:lock w:val="sdtLocked"/>
            <w:placeholder>
              <w:docPart w:val="GBC22222222222222222222222222222"/>
            </w:placeholder>
          </w:sdtPr>
          <w:sdtEndPr/>
          <w:sdtContent>
            <w:p w14:paraId="4D600F23" w14:textId="2CBBA519"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sdt>
      <w:sdtPr>
        <w:rPr>
          <w:rFonts w:ascii="宋体" w:hAnsi="宋体" w:cs="宋体" w:hint="eastAsia"/>
          <w:b w:val="0"/>
          <w:bCs w:val="0"/>
          <w:kern w:val="0"/>
          <w:szCs w:val="24"/>
        </w:rPr>
        <w:alias w:val="模块:按欠款方归集的期末余额其中前五名的其他应收款单位情况"/>
        <w:tag w:val="_GBC_a83a3fc7866445d68738701d3998ac0b"/>
        <w:id w:val="1386221323"/>
        <w:lock w:val="sdtLocked"/>
        <w:placeholder>
          <w:docPart w:val="GBC22222222222222222222222222222"/>
        </w:placeholder>
      </w:sdtPr>
      <w:sdtEndPr>
        <w:rPr>
          <w:rFonts w:hint="default"/>
          <w:szCs w:val="21"/>
        </w:rPr>
      </w:sdtEndPr>
      <w:sdtContent>
        <w:p w14:paraId="7931961E" w14:textId="77777777" w:rsidR="007E7472" w:rsidRDefault="00EC1269" w:rsidP="00162493">
          <w:pPr>
            <w:pStyle w:val="4"/>
            <w:numPr>
              <w:ilvl w:val="0"/>
              <w:numId w:val="66"/>
            </w:numPr>
          </w:pPr>
          <w:r>
            <w:rPr>
              <w:rFonts w:hint="eastAsia"/>
            </w:rPr>
            <w:t>按欠款方归集的期末余额前五名的其他应收款情况</w:t>
          </w:r>
        </w:p>
        <w:sdt>
          <w:sdtPr>
            <w:alias w:val="是否适用：按欠款方归集的期末余额前五名的其他应收款情况[双击切换]"/>
            <w:tag w:val="_GBC_1ad831584f90441b93cce7d9b7baa3c9"/>
            <w:id w:val="-598951886"/>
            <w:lock w:val="sdtLocked"/>
            <w:placeholder>
              <w:docPart w:val="GBC22222222222222222222222222222"/>
            </w:placeholder>
          </w:sdtPr>
          <w:sdtEndPr/>
          <w:sdtContent>
            <w:p w14:paraId="7E58E605"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337D4807" w14:textId="37197626" w:rsidR="007E7472" w:rsidRDefault="00EC1269">
          <w:pPr>
            <w:jc w:val="right"/>
          </w:pPr>
          <w:r>
            <w:rPr>
              <w:rFonts w:hint="eastAsia"/>
            </w:rPr>
            <w:t>单位：</w:t>
          </w:r>
          <w:sdt>
            <w:sdtPr>
              <w:rPr>
                <w:rFonts w:hint="eastAsia"/>
              </w:rPr>
              <w:alias w:val="单位财务附注：其他应收账款前五名欠款情况"/>
              <w:tag w:val="_GBC_1f85b3036b0644cbaf6c33311b7f159d"/>
              <w:id w:val="-14642712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其他应收账款前五名欠款情况"/>
              <w:tag w:val="_GBC_bc5cf48306144a92af62fef51b293c5a"/>
              <w:id w:val="20551872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2405"/>
            <w:gridCol w:w="1276"/>
            <w:gridCol w:w="1276"/>
            <w:gridCol w:w="1274"/>
            <w:gridCol w:w="1419"/>
            <w:gridCol w:w="1173"/>
          </w:tblGrid>
          <w:tr w:rsidR="007E7472" w14:paraId="7271EAAA" w14:textId="77777777">
            <w:trPr>
              <w:cantSplit/>
            </w:trPr>
            <w:sdt>
              <w:sdtPr>
                <w:tag w:val="_PLD_6d371f7abd044db6abe05c7f74810d89"/>
                <w:id w:val="-378559088"/>
                <w:lock w:val="sdtLocked"/>
              </w:sdtPr>
              <w:sdtEndPr/>
              <w:sdtContent>
                <w:tc>
                  <w:tcPr>
                    <w:tcW w:w="1363" w:type="pct"/>
                    <w:vAlign w:val="center"/>
                  </w:tcPr>
                  <w:p w14:paraId="6840F1E8" w14:textId="77777777" w:rsidR="007E7472" w:rsidRDefault="00EC1269">
                    <w:pPr>
                      <w:ind w:right="105"/>
                      <w:jc w:val="center"/>
                    </w:pPr>
                    <w:r>
                      <w:rPr>
                        <w:rFonts w:hint="eastAsia"/>
                      </w:rPr>
                      <w:t>单位名称</w:t>
                    </w:r>
                  </w:p>
                </w:tc>
              </w:sdtContent>
            </w:sdt>
            <w:sdt>
              <w:sdtPr>
                <w:tag w:val="_PLD_538171446ab849ca976672ecf5055c60"/>
                <w:id w:val="-506294841"/>
                <w:lock w:val="sdtLocked"/>
              </w:sdtPr>
              <w:sdtEndPr/>
              <w:sdtContent>
                <w:tc>
                  <w:tcPr>
                    <w:tcW w:w="723" w:type="pct"/>
                    <w:tcBorders>
                      <w:bottom w:val="single" w:sz="4" w:space="0" w:color="auto"/>
                    </w:tcBorders>
                    <w:vAlign w:val="center"/>
                  </w:tcPr>
                  <w:p w14:paraId="1E8D486B" w14:textId="77777777" w:rsidR="007E7472" w:rsidRDefault="00EC1269">
                    <w:pPr>
                      <w:ind w:right="73"/>
                      <w:jc w:val="center"/>
                    </w:pPr>
                    <w:r>
                      <w:rPr>
                        <w:rFonts w:hint="eastAsia"/>
                      </w:rPr>
                      <w:t>款项的性质</w:t>
                    </w:r>
                  </w:p>
                </w:tc>
              </w:sdtContent>
            </w:sdt>
            <w:sdt>
              <w:sdtPr>
                <w:tag w:val="_PLD_9561b3d624ee40c28568fb322a981ebc"/>
                <w:id w:val="1542870542"/>
                <w:lock w:val="sdtLocked"/>
              </w:sdtPr>
              <w:sdtEndPr/>
              <w:sdtContent>
                <w:tc>
                  <w:tcPr>
                    <w:tcW w:w="723" w:type="pct"/>
                    <w:tcBorders>
                      <w:bottom w:val="single" w:sz="4" w:space="0" w:color="auto"/>
                    </w:tcBorders>
                    <w:vAlign w:val="center"/>
                  </w:tcPr>
                  <w:p w14:paraId="2D20035E" w14:textId="77777777" w:rsidR="007E7472" w:rsidRDefault="00EC1269">
                    <w:pPr>
                      <w:ind w:right="73"/>
                      <w:jc w:val="center"/>
                    </w:pPr>
                    <w:r>
                      <w:rPr>
                        <w:rFonts w:hint="eastAsia"/>
                      </w:rPr>
                      <w:t>期末余额</w:t>
                    </w:r>
                  </w:p>
                </w:tc>
              </w:sdtContent>
            </w:sdt>
            <w:sdt>
              <w:sdtPr>
                <w:tag w:val="_PLD_a97392b37d5d4c709a23cfdece48161b"/>
                <w:id w:val="-1661990370"/>
                <w:lock w:val="sdtLocked"/>
              </w:sdtPr>
              <w:sdtEndPr/>
              <w:sdtContent>
                <w:tc>
                  <w:tcPr>
                    <w:tcW w:w="722" w:type="pct"/>
                    <w:tcBorders>
                      <w:bottom w:val="single" w:sz="4" w:space="0" w:color="auto"/>
                    </w:tcBorders>
                    <w:vAlign w:val="center"/>
                  </w:tcPr>
                  <w:p w14:paraId="402E0677" w14:textId="77777777" w:rsidR="007E7472" w:rsidRDefault="00EC1269">
                    <w:pPr>
                      <w:ind w:right="73"/>
                      <w:jc w:val="center"/>
                    </w:pPr>
                    <w:r>
                      <w:rPr>
                        <w:rFonts w:hint="eastAsia"/>
                      </w:rPr>
                      <w:t>账龄</w:t>
                    </w:r>
                  </w:p>
                </w:tc>
              </w:sdtContent>
            </w:sdt>
            <w:sdt>
              <w:sdtPr>
                <w:tag w:val="_PLD_e2774c827e314521821234a0e399c2c1"/>
                <w:id w:val="1662883943"/>
                <w:lock w:val="sdtLocked"/>
              </w:sdtPr>
              <w:sdtEndPr/>
              <w:sdtContent>
                <w:tc>
                  <w:tcPr>
                    <w:tcW w:w="804" w:type="pct"/>
                    <w:tcBorders>
                      <w:bottom w:val="single" w:sz="4" w:space="0" w:color="auto"/>
                    </w:tcBorders>
                    <w:vAlign w:val="center"/>
                  </w:tcPr>
                  <w:p w14:paraId="40BACA7D" w14:textId="77777777" w:rsidR="007E7472" w:rsidRDefault="00EC1269">
                    <w:pPr>
                      <w:jc w:val="center"/>
                    </w:pPr>
                    <w:r>
                      <w:rPr>
                        <w:rFonts w:hint="eastAsia"/>
                      </w:rPr>
                      <w:t>占其他应收款期末余额合计数的比例(</w:t>
                    </w:r>
                    <w:r>
                      <w:t>%)</w:t>
                    </w:r>
                  </w:p>
                </w:tc>
              </w:sdtContent>
            </w:sdt>
            <w:sdt>
              <w:sdtPr>
                <w:tag w:val="_PLD_ac7ac1a39d1a46eb9269fc6979d54f6f"/>
                <w:id w:val="110098023"/>
                <w:lock w:val="sdtLocked"/>
              </w:sdtPr>
              <w:sdtEndPr/>
              <w:sdtContent>
                <w:tc>
                  <w:tcPr>
                    <w:tcW w:w="665" w:type="pct"/>
                    <w:tcBorders>
                      <w:bottom w:val="single" w:sz="4" w:space="0" w:color="auto"/>
                    </w:tcBorders>
                    <w:vAlign w:val="center"/>
                  </w:tcPr>
                  <w:p w14:paraId="58F6ED48" w14:textId="77777777" w:rsidR="007E7472" w:rsidRDefault="00EC1269">
                    <w:pPr>
                      <w:jc w:val="center"/>
                    </w:pPr>
                    <w:r>
                      <w:rPr>
                        <w:rFonts w:hint="eastAsia"/>
                      </w:rPr>
                      <w:t>坏账准备</w:t>
                    </w:r>
                  </w:p>
                  <w:p w14:paraId="13F9D520" w14:textId="77777777" w:rsidR="007E7472" w:rsidRDefault="00EC1269">
                    <w:pPr>
                      <w:jc w:val="center"/>
                    </w:pPr>
                    <w:r>
                      <w:rPr>
                        <w:rFonts w:hint="eastAsia"/>
                      </w:rPr>
                      <w:t>期末余额</w:t>
                    </w:r>
                  </w:p>
                </w:tc>
              </w:sdtContent>
            </w:sdt>
          </w:tr>
          <w:sdt>
            <w:sdtPr>
              <w:rPr>
                <w:rFonts w:asciiTheme="minorHAnsi" w:eastAsiaTheme="minorEastAsia" w:hAnsiTheme="minorHAnsi" w:cstheme="minorBidi" w:hint="eastAsia"/>
                <w:kern w:val="2"/>
                <w:szCs w:val="22"/>
              </w:rPr>
              <w:alias w:val="其他应收款欠款户"/>
              <w:tag w:val="_GBC_a3b4ad6ea89146a79c37c3807ef7a6fd"/>
              <w:id w:val="1206756181"/>
              <w:lock w:val="sdtLocked"/>
            </w:sdtPr>
            <w:sdtEndPr>
              <w:rPr>
                <w:rFonts w:hint="default"/>
              </w:rPr>
            </w:sdtEndPr>
            <w:sdtContent>
              <w:tr w:rsidR="007E7472" w14:paraId="7207F66C" w14:textId="77777777">
                <w:trPr>
                  <w:cantSplit/>
                </w:trPr>
                <w:tc>
                  <w:tcPr>
                    <w:tcW w:w="1363" w:type="pct"/>
                  </w:tcPr>
                  <w:p w14:paraId="174464E3" w14:textId="417735DB" w:rsidR="007E7472" w:rsidRDefault="00162493">
                    <w:pPr>
                      <w:ind w:right="105"/>
                    </w:pPr>
                    <w:r>
                      <w:rPr>
                        <w:rFonts w:hint="eastAsia"/>
                      </w:rPr>
                      <w:t>公司1</w:t>
                    </w:r>
                  </w:p>
                </w:tc>
                <w:tc>
                  <w:tcPr>
                    <w:tcW w:w="723" w:type="pct"/>
                    <w:tcBorders>
                      <w:top w:val="single" w:sz="4" w:space="0" w:color="auto"/>
                      <w:left w:val="nil"/>
                      <w:bottom w:val="single" w:sz="4" w:space="0" w:color="auto"/>
                      <w:right w:val="single" w:sz="4" w:space="0" w:color="auto"/>
                    </w:tcBorders>
                    <w:shd w:val="clear" w:color="auto" w:fill="auto"/>
                    <w:vAlign w:val="center"/>
                  </w:tcPr>
                  <w:p w14:paraId="35DF05F3" w14:textId="77777777" w:rsidR="007E7472" w:rsidRDefault="00EC1269">
                    <w:pPr>
                      <w:jc w:val="center"/>
                    </w:pPr>
                    <w:r>
                      <w:t>往来款</w:t>
                    </w:r>
                  </w:p>
                </w:tc>
                <w:tc>
                  <w:tcPr>
                    <w:tcW w:w="723" w:type="pct"/>
                    <w:tcBorders>
                      <w:top w:val="single" w:sz="4" w:space="0" w:color="auto"/>
                      <w:left w:val="single" w:sz="4" w:space="0" w:color="auto"/>
                      <w:bottom w:val="single" w:sz="4" w:space="0" w:color="auto"/>
                      <w:right w:val="single" w:sz="4" w:space="0" w:color="auto"/>
                    </w:tcBorders>
                    <w:vAlign w:val="center"/>
                  </w:tcPr>
                  <w:p w14:paraId="47F3F892" w14:textId="77777777" w:rsidR="007E7472" w:rsidRDefault="00EC1269">
                    <w:pPr>
                      <w:jc w:val="right"/>
                    </w:pPr>
                    <w:r>
                      <w:t>541,138</w:t>
                    </w:r>
                  </w:p>
                </w:tc>
                <w:tc>
                  <w:tcPr>
                    <w:tcW w:w="722" w:type="pct"/>
                    <w:tcBorders>
                      <w:top w:val="single" w:sz="4" w:space="0" w:color="auto"/>
                      <w:left w:val="single" w:sz="4" w:space="0" w:color="auto"/>
                      <w:bottom w:val="single" w:sz="4" w:space="0" w:color="auto"/>
                      <w:right w:val="single" w:sz="4" w:space="0" w:color="auto"/>
                    </w:tcBorders>
                    <w:vAlign w:val="center"/>
                  </w:tcPr>
                  <w:p w14:paraId="7593C2D7" w14:textId="77777777" w:rsidR="007E7472" w:rsidRDefault="00EC1269">
                    <w:pPr>
                      <w:jc w:val="center"/>
                    </w:pPr>
                    <w:r>
                      <w:t>1-3年</w:t>
                    </w:r>
                  </w:p>
                  <w:p w14:paraId="40A6AF16" w14:textId="77777777" w:rsidR="007E7472" w:rsidRDefault="00EC1269">
                    <w:pPr>
                      <w:jc w:val="center"/>
                    </w:pPr>
                    <w:r>
                      <w:t>3年以上</w:t>
                    </w:r>
                  </w:p>
                </w:tc>
                <w:tc>
                  <w:tcPr>
                    <w:tcW w:w="804" w:type="pct"/>
                    <w:tcBorders>
                      <w:top w:val="single" w:sz="4" w:space="0" w:color="auto"/>
                      <w:left w:val="single" w:sz="4" w:space="0" w:color="auto"/>
                      <w:bottom w:val="single" w:sz="4" w:space="0" w:color="auto"/>
                      <w:right w:val="single" w:sz="4" w:space="0" w:color="auto"/>
                    </w:tcBorders>
                    <w:vAlign w:val="center"/>
                  </w:tcPr>
                  <w:p w14:paraId="5597B7EE" w14:textId="77777777" w:rsidR="007E7472" w:rsidRDefault="00EC1269">
                    <w:pPr>
                      <w:jc w:val="right"/>
                    </w:pPr>
                    <w:r>
                      <w:t>10</w:t>
                    </w:r>
                  </w:p>
                </w:tc>
                <w:tc>
                  <w:tcPr>
                    <w:tcW w:w="665" w:type="pct"/>
                    <w:tcBorders>
                      <w:top w:val="single" w:sz="4" w:space="0" w:color="auto"/>
                      <w:left w:val="single" w:sz="4" w:space="0" w:color="auto"/>
                      <w:bottom w:val="single" w:sz="4" w:space="0" w:color="auto"/>
                    </w:tcBorders>
                    <w:vAlign w:val="center"/>
                  </w:tcPr>
                  <w:p w14:paraId="3878169A" w14:textId="77777777" w:rsidR="007E7472" w:rsidRDefault="00C8327E">
                    <w:pPr>
                      <w:jc w:val="right"/>
                    </w:pPr>
                  </w:p>
                </w:tc>
              </w:tr>
            </w:sdtContent>
          </w:sdt>
          <w:sdt>
            <w:sdtPr>
              <w:rPr>
                <w:rFonts w:asciiTheme="minorHAnsi" w:eastAsiaTheme="minorEastAsia" w:hAnsiTheme="minorHAnsi" w:cstheme="minorBidi" w:hint="eastAsia"/>
                <w:kern w:val="2"/>
                <w:szCs w:val="22"/>
              </w:rPr>
              <w:alias w:val="其他应收款欠款户"/>
              <w:tag w:val="_GBC_a3b4ad6ea89146a79c37c3807ef7a6fd"/>
              <w:id w:val="1617953573"/>
              <w:lock w:val="sdtLocked"/>
            </w:sdtPr>
            <w:sdtEndPr>
              <w:rPr>
                <w:rFonts w:hint="default"/>
              </w:rPr>
            </w:sdtEndPr>
            <w:sdtContent>
              <w:tr w:rsidR="007E7472" w14:paraId="5E8B76F9" w14:textId="77777777">
                <w:trPr>
                  <w:cantSplit/>
                </w:trPr>
                <w:tc>
                  <w:tcPr>
                    <w:tcW w:w="1363" w:type="pct"/>
                  </w:tcPr>
                  <w:p w14:paraId="36857D54" w14:textId="42B92486" w:rsidR="007E7472" w:rsidRDefault="00162493">
                    <w:pPr>
                      <w:ind w:right="105"/>
                    </w:pPr>
                    <w:r w:rsidRPr="005B7D41">
                      <w:rPr>
                        <w:rFonts w:hint="eastAsia"/>
                      </w:rPr>
                      <w:t>公司</w:t>
                    </w:r>
                    <w:r>
                      <w:rPr>
                        <w:rFonts w:hint="eastAsia"/>
                      </w:rPr>
                      <w:t>2</w:t>
                    </w:r>
                  </w:p>
                </w:tc>
                <w:tc>
                  <w:tcPr>
                    <w:tcW w:w="723" w:type="pct"/>
                    <w:tcBorders>
                      <w:top w:val="single" w:sz="4" w:space="0" w:color="auto"/>
                      <w:left w:val="nil"/>
                      <w:bottom w:val="single" w:sz="4" w:space="0" w:color="auto"/>
                      <w:right w:val="single" w:sz="4" w:space="0" w:color="auto"/>
                    </w:tcBorders>
                    <w:shd w:val="clear" w:color="auto" w:fill="auto"/>
                    <w:vAlign w:val="center"/>
                  </w:tcPr>
                  <w:p w14:paraId="3A25CF2A" w14:textId="77777777" w:rsidR="007E7472" w:rsidRDefault="00EC1269">
                    <w:pPr>
                      <w:jc w:val="center"/>
                      <w:rPr>
                        <w:bCs/>
                        <w:color w:val="000000"/>
                      </w:rPr>
                    </w:pPr>
                    <w:r>
                      <w:rPr>
                        <w:rFonts w:hint="eastAsia"/>
                        <w:color w:val="000000"/>
                      </w:rPr>
                      <w:t>往来款</w:t>
                    </w:r>
                  </w:p>
                </w:tc>
                <w:tc>
                  <w:tcPr>
                    <w:tcW w:w="723" w:type="pct"/>
                    <w:tcBorders>
                      <w:top w:val="single" w:sz="4" w:space="0" w:color="auto"/>
                      <w:left w:val="single" w:sz="4" w:space="0" w:color="auto"/>
                      <w:bottom w:val="single" w:sz="4" w:space="0" w:color="auto"/>
                      <w:right w:val="single" w:sz="4" w:space="0" w:color="auto"/>
                    </w:tcBorders>
                    <w:vAlign w:val="center"/>
                  </w:tcPr>
                  <w:p w14:paraId="57895B51" w14:textId="77777777" w:rsidR="007E7472" w:rsidRDefault="00EC1269">
                    <w:pPr>
                      <w:jc w:val="right"/>
                      <w:rPr>
                        <w:bCs/>
                        <w:sz w:val="24"/>
                        <w:szCs w:val="24"/>
                      </w:rPr>
                    </w:pPr>
                    <w:r>
                      <w:t>361,791</w:t>
                    </w:r>
                  </w:p>
                </w:tc>
                <w:tc>
                  <w:tcPr>
                    <w:tcW w:w="722" w:type="pct"/>
                    <w:tcBorders>
                      <w:top w:val="single" w:sz="4" w:space="0" w:color="auto"/>
                      <w:left w:val="single" w:sz="4" w:space="0" w:color="auto"/>
                      <w:bottom w:val="single" w:sz="4" w:space="0" w:color="auto"/>
                      <w:right w:val="single" w:sz="4" w:space="0" w:color="auto"/>
                    </w:tcBorders>
                    <w:vAlign w:val="center"/>
                  </w:tcPr>
                  <w:p w14:paraId="4B812331" w14:textId="77777777" w:rsidR="007E7472" w:rsidRDefault="00EC1269">
                    <w:pPr>
                      <w:jc w:val="center"/>
                      <w:rPr>
                        <w:bCs/>
                        <w:sz w:val="24"/>
                        <w:szCs w:val="24"/>
                      </w:rPr>
                    </w:pPr>
                    <w:r>
                      <w:t>3年</w:t>
                    </w:r>
                    <w:r>
                      <w:rPr>
                        <w:rFonts w:hint="eastAsia"/>
                      </w:rPr>
                      <w:t>以上</w:t>
                    </w:r>
                  </w:p>
                </w:tc>
                <w:tc>
                  <w:tcPr>
                    <w:tcW w:w="804" w:type="pct"/>
                    <w:tcBorders>
                      <w:top w:val="single" w:sz="4" w:space="0" w:color="auto"/>
                      <w:left w:val="single" w:sz="4" w:space="0" w:color="auto"/>
                      <w:bottom w:val="single" w:sz="4" w:space="0" w:color="auto"/>
                      <w:right w:val="single" w:sz="4" w:space="0" w:color="auto"/>
                    </w:tcBorders>
                    <w:vAlign w:val="center"/>
                  </w:tcPr>
                  <w:p w14:paraId="342FF6CD" w14:textId="77777777" w:rsidR="007E7472" w:rsidRDefault="00EC1269">
                    <w:pPr>
                      <w:jc w:val="right"/>
                      <w:rPr>
                        <w:bCs/>
                        <w:sz w:val="24"/>
                        <w:szCs w:val="24"/>
                      </w:rPr>
                    </w:pPr>
                    <w:r>
                      <w:t>7</w:t>
                    </w:r>
                  </w:p>
                </w:tc>
                <w:tc>
                  <w:tcPr>
                    <w:tcW w:w="665" w:type="pct"/>
                    <w:tcBorders>
                      <w:top w:val="single" w:sz="4" w:space="0" w:color="auto"/>
                      <w:left w:val="single" w:sz="4" w:space="0" w:color="auto"/>
                      <w:bottom w:val="single" w:sz="4" w:space="0" w:color="auto"/>
                    </w:tcBorders>
                    <w:vAlign w:val="center"/>
                  </w:tcPr>
                  <w:p w14:paraId="2F1BF4CF" w14:textId="77777777" w:rsidR="007E7472" w:rsidRDefault="00EC1269">
                    <w:pPr>
                      <w:jc w:val="right"/>
                    </w:pPr>
                    <w:r>
                      <w:t>361,791</w:t>
                    </w:r>
                  </w:p>
                </w:tc>
              </w:tr>
            </w:sdtContent>
          </w:sdt>
          <w:sdt>
            <w:sdtPr>
              <w:rPr>
                <w:rFonts w:asciiTheme="minorHAnsi" w:eastAsiaTheme="minorEastAsia" w:hAnsiTheme="minorHAnsi" w:cstheme="minorBidi" w:hint="eastAsia"/>
                <w:kern w:val="2"/>
                <w:szCs w:val="22"/>
              </w:rPr>
              <w:alias w:val="其他应收款欠款户"/>
              <w:tag w:val="_GBC_a3b4ad6ea89146a79c37c3807ef7a6fd"/>
              <w:id w:val="-507915859"/>
              <w:lock w:val="sdtLocked"/>
            </w:sdtPr>
            <w:sdtEndPr>
              <w:rPr>
                <w:rFonts w:hint="default"/>
              </w:rPr>
            </w:sdtEndPr>
            <w:sdtContent>
              <w:tr w:rsidR="007E7472" w14:paraId="12F6429C" w14:textId="77777777">
                <w:trPr>
                  <w:cantSplit/>
                </w:trPr>
                <w:tc>
                  <w:tcPr>
                    <w:tcW w:w="1363" w:type="pct"/>
                  </w:tcPr>
                  <w:p w14:paraId="27601D21" w14:textId="0CD2E79C" w:rsidR="007E7472" w:rsidRDefault="00162493">
                    <w:pPr>
                      <w:ind w:right="105"/>
                    </w:pPr>
                    <w:r w:rsidRPr="005B7D41">
                      <w:rPr>
                        <w:rFonts w:hint="eastAsia"/>
                      </w:rPr>
                      <w:t>公司</w:t>
                    </w:r>
                    <w:r>
                      <w:rPr>
                        <w:rFonts w:hint="eastAsia"/>
                      </w:rPr>
                      <w:t>3</w:t>
                    </w:r>
                  </w:p>
                </w:tc>
                <w:tc>
                  <w:tcPr>
                    <w:tcW w:w="723" w:type="pct"/>
                    <w:tcBorders>
                      <w:top w:val="single" w:sz="4" w:space="0" w:color="auto"/>
                      <w:left w:val="nil"/>
                      <w:bottom w:val="single" w:sz="4" w:space="0" w:color="auto"/>
                      <w:right w:val="single" w:sz="4" w:space="0" w:color="auto"/>
                    </w:tcBorders>
                    <w:shd w:val="clear" w:color="auto" w:fill="auto"/>
                    <w:vAlign w:val="center"/>
                  </w:tcPr>
                  <w:p w14:paraId="2D4A3955" w14:textId="77777777" w:rsidR="007E7472" w:rsidRDefault="00EC1269">
                    <w:pPr>
                      <w:jc w:val="center"/>
                      <w:rPr>
                        <w:color w:val="000000"/>
                      </w:rPr>
                    </w:pPr>
                    <w:r>
                      <w:rPr>
                        <w:rFonts w:hint="eastAsia"/>
                        <w:color w:val="000000"/>
                      </w:rPr>
                      <w:t>往来款</w:t>
                    </w:r>
                  </w:p>
                </w:tc>
                <w:tc>
                  <w:tcPr>
                    <w:tcW w:w="723" w:type="pct"/>
                    <w:tcBorders>
                      <w:top w:val="single" w:sz="4" w:space="0" w:color="auto"/>
                      <w:left w:val="single" w:sz="4" w:space="0" w:color="auto"/>
                      <w:bottom w:val="single" w:sz="4" w:space="0" w:color="auto"/>
                      <w:right w:val="single" w:sz="4" w:space="0" w:color="auto"/>
                    </w:tcBorders>
                    <w:vAlign w:val="center"/>
                  </w:tcPr>
                  <w:p w14:paraId="13862A27" w14:textId="77777777" w:rsidR="007E7472" w:rsidRDefault="00EC1269">
                    <w:pPr>
                      <w:jc w:val="right"/>
                    </w:pPr>
                    <w:r>
                      <w:t>338,297</w:t>
                    </w:r>
                  </w:p>
                </w:tc>
                <w:tc>
                  <w:tcPr>
                    <w:tcW w:w="722" w:type="pct"/>
                    <w:tcBorders>
                      <w:top w:val="single" w:sz="4" w:space="0" w:color="auto"/>
                      <w:left w:val="single" w:sz="4" w:space="0" w:color="auto"/>
                      <w:bottom w:val="single" w:sz="4" w:space="0" w:color="auto"/>
                      <w:right w:val="single" w:sz="4" w:space="0" w:color="auto"/>
                    </w:tcBorders>
                    <w:vAlign w:val="center"/>
                  </w:tcPr>
                  <w:p w14:paraId="1D0BDD75" w14:textId="6DC60AD0" w:rsidR="007E7472" w:rsidRDefault="00EC1269">
                    <w:pPr>
                      <w:jc w:val="center"/>
                    </w:pPr>
                    <w:r>
                      <w:t>3年以上</w:t>
                    </w:r>
                  </w:p>
                </w:tc>
                <w:tc>
                  <w:tcPr>
                    <w:tcW w:w="804" w:type="pct"/>
                    <w:tcBorders>
                      <w:top w:val="single" w:sz="4" w:space="0" w:color="auto"/>
                      <w:left w:val="single" w:sz="4" w:space="0" w:color="auto"/>
                      <w:bottom w:val="single" w:sz="4" w:space="0" w:color="auto"/>
                      <w:right w:val="single" w:sz="4" w:space="0" w:color="auto"/>
                    </w:tcBorders>
                    <w:vAlign w:val="center"/>
                  </w:tcPr>
                  <w:p w14:paraId="6B3B8953" w14:textId="77777777" w:rsidR="007E7472" w:rsidRDefault="00EC1269">
                    <w:pPr>
                      <w:jc w:val="right"/>
                    </w:pPr>
                    <w:r>
                      <w:t>6</w:t>
                    </w:r>
                  </w:p>
                </w:tc>
                <w:tc>
                  <w:tcPr>
                    <w:tcW w:w="665" w:type="pct"/>
                    <w:tcBorders>
                      <w:top w:val="single" w:sz="4" w:space="0" w:color="auto"/>
                      <w:left w:val="single" w:sz="4" w:space="0" w:color="auto"/>
                      <w:bottom w:val="single" w:sz="4" w:space="0" w:color="auto"/>
                    </w:tcBorders>
                    <w:vAlign w:val="center"/>
                  </w:tcPr>
                  <w:p w14:paraId="66101B5A" w14:textId="77777777" w:rsidR="007E7472" w:rsidRDefault="00EC1269">
                    <w:pPr>
                      <w:jc w:val="right"/>
                    </w:pPr>
                    <w:r>
                      <w:t>338,297</w:t>
                    </w:r>
                  </w:p>
                </w:tc>
              </w:tr>
            </w:sdtContent>
          </w:sdt>
          <w:sdt>
            <w:sdtPr>
              <w:rPr>
                <w:rFonts w:asciiTheme="minorHAnsi" w:eastAsiaTheme="minorEastAsia" w:hAnsiTheme="minorHAnsi" w:cstheme="minorBidi" w:hint="eastAsia"/>
                <w:kern w:val="2"/>
                <w:szCs w:val="22"/>
              </w:rPr>
              <w:alias w:val="其他应收款欠款户"/>
              <w:tag w:val="_GBC_a3b4ad6ea89146a79c37c3807ef7a6fd"/>
              <w:id w:val="1365172143"/>
              <w:lock w:val="sdtLocked"/>
            </w:sdtPr>
            <w:sdtEndPr>
              <w:rPr>
                <w:rFonts w:hint="default"/>
              </w:rPr>
            </w:sdtEndPr>
            <w:sdtContent>
              <w:tr w:rsidR="007E7472" w14:paraId="56FE5E8C" w14:textId="77777777">
                <w:trPr>
                  <w:cantSplit/>
                </w:trPr>
                <w:tc>
                  <w:tcPr>
                    <w:tcW w:w="1363" w:type="pct"/>
                  </w:tcPr>
                  <w:p w14:paraId="0C661844" w14:textId="76B8238E" w:rsidR="007E7472" w:rsidRDefault="00162493">
                    <w:pPr>
                      <w:ind w:right="105"/>
                    </w:pPr>
                    <w:r w:rsidRPr="005B7D41">
                      <w:rPr>
                        <w:rFonts w:hint="eastAsia"/>
                      </w:rPr>
                      <w:t>公司</w:t>
                    </w:r>
                    <w:r>
                      <w:rPr>
                        <w:rFonts w:hint="eastAsia"/>
                      </w:rPr>
                      <w:t>4</w:t>
                    </w:r>
                  </w:p>
                </w:tc>
                <w:tc>
                  <w:tcPr>
                    <w:tcW w:w="723" w:type="pct"/>
                    <w:tcBorders>
                      <w:top w:val="single" w:sz="4" w:space="0" w:color="auto"/>
                      <w:left w:val="nil"/>
                      <w:bottom w:val="single" w:sz="4" w:space="0" w:color="auto"/>
                      <w:right w:val="single" w:sz="4" w:space="0" w:color="auto"/>
                    </w:tcBorders>
                    <w:shd w:val="clear" w:color="auto" w:fill="auto"/>
                    <w:vAlign w:val="center"/>
                  </w:tcPr>
                  <w:p w14:paraId="43BDA805" w14:textId="77777777" w:rsidR="007E7472" w:rsidRDefault="00EC1269">
                    <w:pPr>
                      <w:jc w:val="center"/>
                      <w:rPr>
                        <w:color w:val="000000"/>
                      </w:rPr>
                    </w:pPr>
                    <w:r>
                      <w:rPr>
                        <w:rFonts w:hint="eastAsia"/>
                        <w:color w:val="000000"/>
                      </w:rPr>
                      <w:t>往来款</w:t>
                    </w:r>
                  </w:p>
                </w:tc>
                <w:tc>
                  <w:tcPr>
                    <w:tcW w:w="723" w:type="pct"/>
                    <w:tcBorders>
                      <w:top w:val="single" w:sz="4" w:space="0" w:color="auto"/>
                      <w:left w:val="single" w:sz="4" w:space="0" w:color="auto"/>
                      <w:bottom w:val="single" w:sz="4" w:space="0" w:color="auto"/>
                      <w:right w:val="single" w:sz="4" w:space="0" w:color="auto"/>
                    </w:tcBorders>
                    <w:vAlign w:val="center"/>
                  </w:tcPr>
                  <w:p w14:paraId="5DE38DF3" w14:textId="77777777" w:rsidR="007E7472" w:rsidRDefault="00EC1269">
                    <w:pPr>
                      <w:jc w:val="right"/>
                    </w:pPr>
                    <w:r>
                      <w:t>178,410</w:t>
                    </w:r>
                  </w:p>
                </w:tc>
                <w:tc>
                  <w:tcPr>
                    <w:tcW w:w="722" w:type="pct"/>
                    <w:tcBorders>
                      <w:top w:val="single" w:sz="4" w:space="0" w:color="auto"/>
                      <w:left w:val="single" w:sz="4" w:space="0" w:color="auto"/>
                      <w:bottom w:val="single" w:sz="4" w:space="0" w:color="auto"/>
                      <w:right w:val="single" w:sz="4" w:space="0" w:color="auto"/>
                    </w:tcBorders>
                    <w:vAlign w:val="center"/>
                  </w:tcPr>
                  <w:p w14:paraId="7DC97DB6" w14:textId="77777777" w:rsidR="007E7472" w:rsidRDefault="00EC1269">
                    <w:pPr>
                      <w:jc w:val="center"/>
                    </w:pPr>
                    <w:r>
                      <w:t>3年以上</w:t>
                    </w:r>
                  </w:p>
                </w:tc>
                <w:tc>
                  <w:tcPr>
                    <w:tcW w:w="804" w:type="pct"/>
                    <w:tcBorders>
                      <w:top w:val="single" w:sz="4" w:space="0" w:color="auto"/>
                      <w:left w:val="single" w:sz="4" w:space="0" w:color="auto"/>
                      <w:bottom w:val="single" w:sz="4" w:space="0" w:color="auto"/>
                      <w:right w:val="single" w:sz="4" w:space="0" w:color="auto"/>
                    </w:tcBorders>
                    <w:vAlign w:val="center"/>
                  </w:tcPr>
                  <w:p w14:paraId="35E8B889" w14:textId="77777777" w:rsidR="007E7472" w:rsidRDefault="00EC1269">
                    <w:pPr>
                      <w:jc w:val="right"/>
                    </w:pPr>
                    <w:r>
                      <w:t>3</w:t>
                    </w:r>
                  </w:p>
                </w:tc>
                <w:tc>
                  <w:tcPr>
                    <w:tcW w:w="665" w:type="pct"/>
                    <w:tcBorders>
                      <w:top w:val="single" w:sz="4" w:space="0" w:color="auto"/>
                      <w:left w:val="single" w:sz="4" w:space="0" w:color="auto"/>
                      <w:bottom w:val="single" w:sz="4" w:space="0" w:color="auto"/>
                    </w:tcBorders>
                    <w:vAlign w:val="center"/>
                  </w:tcPr>
                  <w:p w14:paraId="3BFC3EB4" w14:textId="77777777" w:rsidR="007E7472" w:rsidRDefault="00C8327E">
                    <w:pPr>
                      <w:jc w:val="right"/>
                    </w:pPr>
                  </w:p>
                </w:tc>
              </w:tr>
            </w:sdtContent>
          </w:sdt>
          <w:sdt>
            <w:sdtPr>
              <w:rPr>
                <w:rFonts w:asciiTheme="minorHAnsi" w:eastAsiaTheme="minorEastAsia" w:hAnsiTheme="minorHAnsi" w:cstheme="minorBidi" w:hint="eastAsia"/>
                <w:kern w:val="2"/>
                <w:szCs w:val="22"/>
              </w:rPr>
              <w:alias w:val="其他应收款欠款户"/>
              <w:tag w:val="_GBC_a3b4ad6ea89146a79c37c3807ef7a6fd"/>
              <w:id w:val="-1564709843"/>
              <w:lock w:val="sdtLocked"/>
            </w:sdtPr>
            <w:sdtEndPr/>
            <w:sdtContent>
              <w:tr w:rsidR="007E7472" w14:paraId="38BC7D91" w14:textId="77777777">
                <w:trPr>
                  <w:cantSplit/>
                </w:trPr>
                <w:tc>
                  <w:tcPr>
                    <w:tcW w:w="1363" w:type="pct"/>
                  </w:tcPr>
                  <w:p w14:paraId="777E14EC" w14:textId="2C83C491" w:rsidR="007E7472" w:rsidRDefault="00162493">
                    <w:pPr>
                      <w:ind w:right="105"/>
                    </w:pPr>
                    <w:r w:rsidRPr="005B7D41">
                      <w:rPr>
                        <w:rFonts w:hint="eastAsia"/>
                      </w:rPr>
                      <w:t>公司</w:t>
                    </w:r>
                    <w:r>
                      <w:rPr>
                        <w:rFonts w:hint="eastAsia"/>
                      </w:rPr>
                      <w:t>5</w:t>
                    </w:r>
                  </w:p>
                </w:tc>
                <w:tc>
                  <w:tcPr>
                    <w:tcW w:w="723" w:type="pct"/>
                    <w:tcBorders>
                      <w:top w:val="single" w:sz="4" w:space="0" w:color="auto"/>
                      <w:left w:val="nil"/>
                      <w:bottom w:val="single" w:sz="4" w:space="0" w:color="auto"/>
                      <w:right w:val="single" w:sz="4" w:space="0" w:color="auto"/>
                    </w:tcBorders>
                    <w:shd w:val="clear" w:color="auto" w:fill="auto"/>
                    <w:vAlign w:val="center"/>
                  </w:tcPr>
                  <w:p w14:paraId="3AF58970" w14:textId="77777777" w:rsidR="007E7472" w:rsidRDefault="00EC1269">
                    <w:pPr>
                      <w:jc w:val="center"/>
                      <w:rPr>
                        <w:color w:val="000000"/>
                      </w:rPr>
                    </w:pPr>
                    <w:r>
                      <w:rPr>
                        <w:rFonts w:hint="eastAsia"/>
                        <w:color w:val="000000"/>
                      </w:rPr>
                      <w:t>往来款</w:t>
                    </w:r>
                  </w:p>
                </w:tc>
                <w:tc>
                  <w:tcPr>
                    <w:tcW w:w="723" w:type="pct"/>
                    <w:tcBorders>
                      <w:top w:val="single" w:sz="4" w:space="0" w:color="auto"/>
                      <w:left w:val="single" w:sz="4" w:space="0" w:color="auto"/>
                      <w:bottom w:val="single" w:sz="4" w:space="0" w:color="auto"/>
                      <w:right w:val="single" w:sz="4" w:space="0" w:color="auto"/>
                    </w:tcBorders>
                    <w:vAlign w:val="center"/>
                  </w:tcPr>
                  <w:p w14:paraId="78A65025" w14:textId="77777777" w:rsidR="007E7472" w:rsidRDefault="00EC1269">
                    <w:pPr>
                      <w:jc w:val="right"/>
                    </w:pPr>
                    <w:r>
                      <w:rPr>
                        <w:rFonts w:hint="eastAsia"/>
                      </w:rPr>
                      <w:t>1</w:t>
                    </w:r>
                    <w:r>
                      <w:t>56,308</w:t>
                    </w:r>
                  </w:p>
                </w:tc>
                <w:tc>
                  <w:tcPr>
                    <w:tcW w:w="722" w:type="pct"/>
                    <w:tcBorders>
                      <w:top w:val="single" w:sz="4" w:space="0" w:color="auto"/>
                      <w:left w:val="single" w:sz="4" w:space="0" w:color="auto"/>
                      <w:bottom w:val="single" w:sz="4" w:space="0" w:color="auto"/>
                      <w:right w:val="single" w:sz="4" w:space="0" w:color="auto"/>
                    </w:tcBorders>
                    <w:vAlign w:val="center"/>
                  </w:tcPr>
                  <w:p w14:paraId="1F5DA011" w14:textId="77777777" w:rsidR="007E7472" w:rsidRDefault="00EC1269">
                    <w:pPr>
                      <w:jc w:val="center"/>
                    </w:pPr>
                    <w:r>
                      <w:rPr>
                        <w:rFonts w:hint="eastAsia"/>
                      </w:rPr>
                      <w:t>3年以上</w:t>
                    </w:r>
                  </w:p>
                </w:tc>
                <w:tc>
                  <w:tcPr>
                    <w:tcW w:w="804" w:type="pct"/>
                    <w:tcBorders>
                      <w:top w:val="single" w:sz="4" w:space="0" w:color="auto"/>
                      <w:left w:val="single" w:sz="4" w:space="0" w:color="auto"/>
                      <w:bottom w:val="single" w:sz="4" w:space="0" w:color="auto"/>
                      <w:right w:val="single" w:sz="4" w:space="0" w:color="auto"/>
                    </w:tcBorders>
                    <w:vAlign w:val="center"/>
                  </w:tcPr>
                  <w:p w14:paraId="65D27322" w14:textId="77777777" w:rsidR="007E7472" w:rsidRDefault="00EC1269">
                    <w:pPr>
                      <w:jc w:val="right"/>
                    </w:pPr>
                    <w:r>
                      <w:rPr>
                        <w:rFonts w:hint="eastAsia"/>
                      </w:rPr>
                      <w:t>3</w:t>
                    </w:r>
                  </w:p>
                </w:tc>
                <w:tc>
                  <w:tcPr>
                    <w:tcW w:w="665" w:type="pct"/>
                    <w:tcBorders>
                      <w:top w:val="single" w:sz="4" w:space="0" w:color="auto"/>
                      <w:left w:val="single" w:sz="4" w:space="0" w:color="auto"/>
                      <w:bottom w:val="single" w:sz="4" w:space="0" w:color="auto"/>
                    </w:tcBorders>
                    <w:vAlign w:val="center"/>
                  </w:tcPr>
                  <w:p w14:paraId="5597B9B7" w14:textId="77777777" w:rsidR="007E7472" w:rsidRDefault="00C8327E">
                    <w:pPr>
                      <w:jc w:val="right"/>
                    </w:pPr>
                  </w:p>
                </w:tc>
              </w:tr>
            </w:sdtContent>
          </w:sdt>
          <w:tr w:rsidR="007E7472" w14:paraId="424ADCE7" w14:textId="77777777">
            <w:trPr>
              <w:cantSplit/>
            </w:trPr>
            <w:sdt>
              <w:sdtPr>
                <w:tag w:val="_PLD_f229cb1d3424499a96c618f3911226c3"/>
                <w:id w:val="1235278194"/>
                <w:lock w:val="sdtLocked"/>
              </w:sdtPr>
              <w:sdtEndPr/>
              <w:sdtContent>
                <w:tc>
                  <w:tcPr>
                    <w:tcW w:w="1363" w:type="pct"/>
                  </w:tcPr>
                  <w:p w14:paraId="322A0695" w14:textId="77777777" w:rsidR="007E7472" w:rsidRDefault="00EC1269">
                    <w:pPr>
                      <w:ind w:right="105"/>
                      <w:jc w:val="center"/>
                    </w:pPr>
                    <w:r>
                      <w:rPr>
                        <w:rFonts w:hint="eastAsia"/>
                      </w:rPr>
                      <w:t>合计</w:t>
                    </w:r>
                  </w:p>
                </w:tc>
              </w:sdtContent>
            </w:sdt>
            <w:tc>
              <w:tcPr>
                <w:tcW w:w="723" w:type="pct"/>
                <w:vAlign w:val="center"/>
              </w:tcPr>
              <w:p w14:paraId="114B52FB" w14:textId="77777777" w:rsidR="007E7472" w:rsidRDefault="00EC1269">
                <w:pPr>
                  <w:ind w:right="73"/>
                  <w:jc w:val="center"/>
                </w:pPr>
                <w:r>
                  <w:t>/</w:t>
                </w:r>
              </w:p>
            </w:tc>
            <w:tc>
              <w:tcPr>
                <w:tcW w:w="723" w:type="pct"/>
                <w:vAlign w:val="center"/>
              </w:tcPr>
              <w:p w14:paraId="11BB1A4A" w14:textId="77777777" w:rsidR="007E7472" w:rsidRDefault="00EC1269">
                <w:pPr>
                  <w:ind w:right="73"/>
                  <w:jc w:val="right"/>
                </w:pPr>
                <w:r>
                  <w:t>1,575,944</w:t>
                </w:r>
              </w:p>
            </w:tc>
            <w:tc>
              <w:tcPr>
                <w:tcW w:w="722" w:type="pct"/>
                <w:vAlign w:val="center"/>
              </w:tcPr>
              <w:p w14:paraId="51EC37B6" w14:textId="77777777" w:rsidR="007E7472" w:rsidRDefault="00EC1269">
                <w:pPr>
                  <w:ind w:right="73"/>
                  <w:jc w:val="center"/>
                </w:pPr>
                <w:r>
                  <w:t>/</w:t>
                </w:r>
              </w:p>
            </w:tc>
            <w:tc>
              <w:tcPr>
                <w:tcW w:w="804" w:type="pct"/>
                <w:vAlign w:val="center"/>
              </w:tcPr>
              <w:p w14:paraId="6E222F1C" w14:textId="77777777" w:rsidR="007E7472" w:rsidRDefault="00EC1269">
                <w:pPr>
                  <w:jc w:val="right"/>
                </w:pPr>
                <w:r>
                  <w:rPr>
                    <w:rFonts w:hint="eastAsia"/>
                  </w:rPr>
                  <w:t>2</w:t>
                </w:r>
                <w:r>
                  <w:t>9</w:t>
                </w:r>
              </w:p>
            </w:tc>
            <w:tc>
              <w:tcPr>
                <w:tcW w:w="665" w:type="pct"/>
                <w:vAlign w:val="center"/>
              </w:tcPr>
              <w:p w14:paraId="307637E3" w14:textId="77777777" w:rsidR="007E7472" w:rsidRDefault="00EC1269">
                <w:pPr>
                  <w:jc w:val="right"/>
                </w:pPr>
                <w:r>
                  <w:t>700,088</w:t>
                </w:r>
              </w:p>
            </w:tc>
          </w:tr>
        </w:tbl>
        <w:p w14:paraId="4D0950CD" w14:textId="77777777" w:rsidR="007E7472" w:rsidRDefault="00C8327E">
          <w:pPr>
            <w:snapToGrid w:val="0"/>
            <w:spacing w:line="240" w:lineRule="atLeast"/>
          </w:pPr>
        </w:p>
      </w:sdtContent>
    </w:sdt>
    <w:sdt>
      <w:sdtPr>
        <w:rPr>
          <w:rFonts w:ascii="宋体" w:hAnsi="宋体" w:cs="宋体" w:hint="eastAsia"/>
          <w:b w:val="0"/>
          <w:bCs w:val="0"/>
          <w:kern w:val="0"/>
          <w:szCs w:val="24"/>
        </w:rPr>
        <w:alias w:val="模块:按应收金额确认的政府补助"/>
        <w:tag w:val="_GBC_0b136aef44064ce4880a47aef5cda04d"/>
        <w:id w:val="79504329"/>
        <w:lock w:val="sdtLocked"/>
        <w:placeholder>
          <w:docPart w:val="GBC22222222222222222222222222222"/>
        </w:placeholder>
      </w:sdtPr>
      <w:sdtEndPr>
        <w:rPr>
          <w:szCs w:val="21"/>
        </w:rPr>
      </w:sdtEndPr>
      <w:sdtContent>
        <w:p w14:paraId="796D9BDD" w14:textId="77777777" w:rsidR="007E7472" w:rsidRDefault="00EC1269" w:rsidP="00162493">
          <w:pPr>
            <w:pStyle w:val="4"/>
            <w:numPr>
              <w:ilvl w:val="0"/>
              <w:numId w:val="66"/>
            </w:numPr>
          </w:pPr>
          <w:r>
            <w:rPr>
              <w:rFonts w:hint="eastAsia"/>
            </w:rPr>
            <w:t>涉及政府补助的应收款项</w:t>
          </w:r>
        </w:p>
        <w:sdt>
          <w:sdtPr>
            <w:alias w:val="是否适用：涉及政府补助的应收款项[双击切换]"/>
            <w:tag w:val="_GBC_bfa30ddd81f643f9b7a3d1064d505e6a"/>
            <w:id w:val="1631120830"/>
            <w:lock w:val="sdtLocked"/>
            <w:placeholder>
              <w:docPart w:val="GBC22222222222222222222222222222"/>
            </w:placeholder>
          </w:sdtPr>
          <w:sdtEndPr/>
          <w:sdtContent>
            <w:p w14:paraId="3BC67B17" w14:textId="151A6154" w:rsidR="007E7472" w:rsidRDefault="00EC1269" w:rsidP="007E7472">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sdt>
      <w:sdtPr>
        <w:rPr>
          <w:rFonts w:ascii="宋体" w:hAnsi="宋体" w:cs="宋体"/>
          <w:b w:val="0"/>
          <w:bCs w:val="0"/>
          <w:kern w:val="0"/>
          <w:szCs w:val="21"/>
        </w:rPr>
        <w:alias w:val="模块:因金融资产转移而终止确认的其他应收款"/>
        <w:tag w:val="_GBC_73268e67b3d94deab59672a03d2cbd2a"/>
        <w:id w:val="861948159"/>
        <w:lock w:val="sdtLocked"/>
        <w:placeholder>
          <w:docPart w:val="GBC22222222222222222222222222222"/>
        </w:placeholder>
      </w:sdtPr>
      <w:sdtEndPr/>
      <w:sdtContent>
        <w:p w14:paraId="486CF5CD" w14:textId="77777777" w:rsidR="007E7472" w:rsidRDefault="00EC1269" w:rsidP="00162493">
          <w:pPr>
            <w:pStyle w:val="4"/>
            <w:numPr>
              <w:ilvl w:val="0"/>
              <w:numId w:val="66"/>
            </w:numPr>
          </w:pPr>
          <w:r>
            <w:rPr>
              <w:rFonts w:hint="eastAsia"/>
            </w:rPr>
            <w:t>因金融资产转移而终止确认的其他应收款</w:t>
          </w:r>
        </w:p>
        <w:sdt>
          <w:sdtPr>
            <w:rPr>
              <w:rFonts w:hint="eastAsia"/>
            </w:rPr>
            <w:alias w:val="是否适用：因金融资产转移而终止确认的其他应收款[双击切换]"/>
            <w:tag w:val="_GBC_0451c8b8783146d3a8ab851341e7f35b"/>
            <w:id w:val="815153870"/>
            <w:lock w:val="sdtLocked"/>
            <w:placeholder>
              <w:docPart w:val="GBC22222222222222222222222222222"/>
            </w:placeholder>
          </w:sdtPr>
          <w:sdtEndPr/>
          <w:sdtContent>
            <w:p w14:paraId="171E8826" w14:textId="77777777" w:rsidR="007E7472" w:rsidRDefault="00EC1269">
              <w:pPr>
                <w:ind w:right="57"/>
              </w:pPr>
              <w:r>
                <w:rPr>
                  <w:rFonts w:asciiTheme="minorEastAsia" w:eastAsiaTheme="minorEastAsia" w:hAnsiTheme="minorEastAsia" w:cs="Times New Roman"/>
                </w:rPr>
                <w:fldChar w:fldCharType="begin"/>
              </w:r>
              <w:r>
                <w:rPr>
                  <w:rFonts w:asciiTheme="minorEastAsia" w:eastAsiaTheme="minorEastAsia" w:hAnsiTheme="minorEastAsia" w:cs="Times New Roman"/>
                </w:rPr>
                <w:instrText xml:space="preserve"> MACROBUTTON  SnrToggleCheckbox □适用 </w:instrText>
              </w:r>
              <w:r>
                <w:rPr>
                  <w:rFonts w:asciiTheme="minorEastAsia" w:eastAsiaTheme="minorEastAsia" w:hAnsiTheme="minorEastAsia" w:cs="Times New Roman"/>
                </w:rPr>
                <w:fldChar w:fldCharType="end"/>
              </w:r>
              <w:r>
                <w:rPr>
                  <w:rFonts w:asciiTheme="minorEastAsia" w:eastAsiaTheme="minorEastAsia" w:hAnsiTheme="minorEastAsia" w:cs="Times New Roman"/>
                </w:rPr>
                <w:fldChar w:fldCharType="begin"/>
              </w:r>
              <w:r>
                <w:rPr>
                  <w:rFonts w:asciiTheme="minorEastAsia" w:eastAsiaTheme="minorEastAsia" w:hAnsiTheme="minorEastAsia" w:cs="Times New Roman"/>
                </w:rPr>
                <w:instrText xml:space="preserve"> MACROBUTTON  SnrToggleCheckbox √不适用 </w:instrText>
              </w:r>
              <w:r>
                <w:rPr>
                  <w:rFonts w:asciiTheme="minorEastAsia" w:eastAsiaTheme="minorEastAsia" w:hAnsiTheme="minorEastAsia" w:cs="Times New Roman"/>
                </w:rPr>
                <w:fldChar w:fldCharType="end"/>
              </w:r>
            </w:p>
          </w:sdtContent>
        </w:sdt>
      </w:sdtContent>
    </w:sdt>
    <w:sdt>
      <w:sdtPr>
        <w:rPr>
          <w:rFonts w:ascii="宋体" w:hAnsi="宋体" w:cs="宋体" w:hint="eastAsia"/>
          <w:b w:val="0"/>
          <w:bCs w:val="0"/>
          <w:kern w:val="0"/>
          <w:sz w:val="20"/>
          <w:szCs w:val="21"/>
        </w:rPr>
        <w:alias w:val="模块:转移其他应收款且继续涉入形成的资产、负债金额的说明"/>
        <w:tag w:val="_GBC_05496beed0c54ab3b5c0e91297ee374e"/>
        <w:id w:val="-1856653861"/>
        <w:lock w:val="sdtLocked"/>
        <w:placeholder>
          <w:docPart w:val="GBC22222222222222222222222222222"/>
        </w:placeholder>
      </w:sdtPr>
      <w:sdtEndPr/>
      <w:sdtContent>
        <w:p w14:paraId="0959E902" w14:textId="77777777" w:rsidR="007E7472" w:rsidRDefault="00EC1269" w:rsidP="00162493">
          <w:pPr>
            <w:pStyle w:val="4"/>
            <w:numPr>
              <w:ilvl w:val="0"/>
              <w:numId w:val="66"/>
            </w:numPr>
          </w:pPr>
          <w:r>
            <w:rPr>
              <w:rFonts w:hint="eastAsia"/>
            </w:rPr>
            <w:t>转移其他应收款且继续涉入形成的资产、负债的金额</w:t>
          </w:r>
        </w:p>
        <w:sdt>
          <w:sdtPr>
            <w:rPr>
              <w:rFonts w:hint="eastAsia"/>
            </w:rPr>
            <w:alias w:val="是否适用：转移其他应收款且继续涉入形成的资产、负债的金额[双击切换]"/>
            <w:tag w:val="_GBC_e74d63017ee7420b83e7544117beeac6"/>
            <w:id w:val="-1609116798"/>
            <w:lock w:val="sdtLocked"/>
            <w:placeholder>
              <w:docPart w:val="GBC22222222222222222222222222222"/>
            </w:placeholder>
          </w:sdtPr>
          <w:sdtEndPr/>
          <w:sdtContent>
            <w:p w14:paraId="594CA4FA"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sdt>
      <w:sdtPr>
        <w:rPr>
          <w:rFonts w:hint="eastAsia"/>
          <w:b/>
          <w:bCs/>
        </w:rPr>
        <w:alias w:val="模块:其他应收款其他说明"/>
        <w:tag w:val="_GBC_de4246046d754793a6a2db96dd5bb245"/>
        <w:id w:val="-1575190415"/>
        <w:lock w:val="sdtLocked"/>
        <w:placeholder>
          <w:docPart w:val="GBC22222222222222222222222222222"/>
        </w:placeholder>
      </w:sdtPr>
      <w:sdtEndPr>
        <w:rPr>
          <w:b w:val="0"/>
          <w:bCs w:val="0"/>
        </w:rPr>
      </w:sdtEndPr>
      <w:sdtContent>
        <w:p w14:paraId="6C61EDF3" w14:textId="77777777" w:rsidR="007E7472" w:rsidRDefault="00EC1269">
          <w:r>
            <w:rPr>
              <w:rFonts w:hint="eastAsia"/>
            </w:rPr>
            <w:t>其他</w:t>
          </w:r>
          <w:r>
            <w:t>说明：</w:t>
          </w:r>
        </w:p>
        <w:sdt>
          <w:sdtPr>
            <w:alias w:val="是否适用：其他应收款的其他说明[双击切换]"/>
            <w:tag w:val="_GBC_55d570440c184744bd13a4938ba488d1"/>
            <w:id w:val="-418869529"/>
            <w:lock w:val="sdtLocked"/>
            <w:placeholder>
              <w:docPart w:val="GBC22222222222222222222222222222"/>
            </w:placeholder>
          </w:sdtPr>
          <w:sdtEndPr/>
          <w:sdtContent>
            <w:p w14:paraId="05B42529" w14:textId="33CC2FB3"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p w14:paraId="6B0253C8" w14:textId="77777777" w:rsidR="007E7472" w:rsidRDefault="00EC1269" w:rsidP="00162493">
      <w:pPr>
        <w:pStyle w:val="3"/>
        <w:numPr>
          <w:ilvl w:val="0"/>
          <w:numId w:val="62"/>
        </w:numPr>
      </w:pPr>
      <w:r>
        <w:rPr>
          <w:rFonts w:hint="eastAsia"/>
        </w:rPr>
        <w:lastRenderedPageBreak/>
        <w:t>存货</w:t>
      </w:r>
    </w:p>
    <w:bookmarkStart w:id="184" w:name="_Hlk10470159" w:displacedByCustomXml="next"/>
    <w:sdt>
      <w:sdtPr>
        <w:rPr>
          <w:rFonts w:ascii="宋体" w:hAnsi="宋体" w:cs="宋体" w:hint="eastAsia"/>
          <w:b w:val="0"/>
          <w:bCs w:val="0"/>
          <w:kern w:val="0"/>
          <w:sz w:val="20"/>
          <w:szCs w:val="21"/>
        </w:rPr>
        <w:alias w:val="模块:存货分类 "/>
        <w:tag w:val="_GBC_1953ea50f68542df9fa36d84b994cf17"/>
        <w:id w:val="-1969734279"/>
        <w:lock w:val="sdtLocked"/>
        <w:placeholder>
          <w:docPart w:val="GBC22222222222222222222222222222"/>
        </w:placeholder>
      </w:sdtPr>
      <w:sdtEndPr/>
      <w:sdtContent>
        <w:p w14:paraId="53552135" w14:textId="77777777" w:rsidR="007E7472" w:rsidRDefault="00EC1269" w:rsidP="00162493">
          <w:pPr>
            <w:pStyle w:val="4"/>
            <w:numPr>
              <w:ilvl w:val="0"/>
              <w:numId w:val="67"/>
            </w:numPr>
          </w:pPr>
          <w:r>
            <w:rPr>
              <w:rFonts w:hint="eastAsia"/>
            </w:rPr>
            <w:t>存货分类</w:t>
          </w:r>
        </w:p>
        <w:sdt>
          <w:sdtPr>
            <w:alias w:val="是否适用：存货分类[双击切换]"/>
            <w:tag w:val="_GBC_06c46a03a226418fb8e5e84326c47750"/>
            <w:id w:val="-1308156191"/>
            <w:lock w:val="sdtLocked"/>
            <w:placeholder>
              <w:docPart w:val="GBC22222222222222222222222222222"/>
            </w:placeholder>
          </w:sdtPr>
          <w:sdtEndPr/>
          <w:sdtContent>
            <w:p w14:paraId="03E7CA58"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6E4A4E82" w14:textId="3F511F08" w:rsidR="007E7472" w:rsidRDefault="00EC1269">
          <w:pPr>
            <w:jc w:val="right"/>
          </w:pPr>
          <w:r>
            <w:rPr>
              <w:rFonts w:hint="eastAsia"/>
            </w:rPr>
            <w:t>单位：</w:t>
          </w:r>
          <w:sdt>
            <w:sdtPr>
              <w:rPr>
                <w:rFonts w:hint="eastAsia"/>
              </w:rPr>
              <w:alias w:val="单位：财务附注：存货分类"/>
              <w:tag w:val="_GBC_cc6e1ec3be0141cbb25cf999a897b29b"/>
              <w:id w:val="-5279444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存货分类"/>
              <w:tag w:val="_GBC_d85b2ad6790d4fa2ace1d773934cd4b3"/>
              <w:id w:val="8255535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1554"/>
            <w:gridCol w:w="1043"/>
            <w:gridCol w:w="1359"/>
            <w:gridCol w:w="1225"/>
            <w:gridCol w:w="1214"/>
            <w:gridCol w:w="1353"/>
            <w:gridCol w:w="1075"/>
          </w:tblGrid>
          <w:tr w:rsidR="007E7472" w14:paraId="34741475" w14:textId="77777777" w:rsidTr="007E7472">
            <w:trPr>
              <w:cantSplit/>
              <w:trHeight w:val="397"/>
            </w:trPr>
            <w:sdt>
              <w:sdtPr>
                <w:rPr>
                  <w:rFonts w:asciiTheme="minorEastAsia" w:eastAsiaTheme="minorEastAsia" w:hAnsiTheme="minorEastAsia"/>
                </w:rPr>
                <w:tag w:val="_PLD_48d855cd658044389f8d1cbe0016be78"/>
                <w:id w:val="-1204555353"/>
                <w:lock w:val="sdtLocked"/>
              </w:sdtPr>
              <w:sdtEndPr/>
              <w:sdtContent>
                <w:tc>
                  <w:tcPr>
                    <w:tcW w:w="881" w:type="pct"/>
                    <w:vMerge w:val="restart"/>
                    <w:vAlign w:val="center"/>
                  </w:tcPr>
                  <w:p w14:paraId="33B2C870" w14:textId="77777777" w:rsidR="007E7472" w:rsidRPr="006718A2" w:rsidRDefault="00EC1269">
                    <w:pPr>
                      <w:jc w:val="center"/>
                      <w:rPr>
                        <w:rFonts w:asciiTheme="minorEastAsia" w:eastAsiaTheme="minorEastAsia" w:hAnsiTheme="minorEastAsia"/>
                      </w:rPr>
                    </w:pPr>
                    <w:r w:rsidRPr="006718A2">
                      <w:rPr>
                        <w:rFonts w:asciiTheme="minorEastAsia" w:eastAsiaTheme="minorEastAsia" w:hAnsiTheme="minorEastAsia" w:hint="eastAsia"/>
                      </w:rPr>
                      <w:t>项目</w:t>
                    </w:r>
                  </w:p>
                </w:tc>
              </w:sdtContent>
            </w:sdt>
            <w:sdt>
              <w:sdtPr>
                <w:rPr>
                  <w:rFonts w:asciiTheme="minorEastAsia" w:eastAsiaTheme="minorEastAsia" w:hAnsiTheme="minorEastAsia"/>
                </w:rPr>
                <w:tag w:val="_PLD_586606f595aa4fff8214f9b6209260b6"/>
                <w:id w:val="-24639138"/>
                <w:lock w:val="sdtLocked"/>
              </w:sdtPr>
              <w:sdtEndPr/>
              <w:sdtContent>
                <w:tc>
                  <w:tcPr>
                    <w:tcW w:w="2055" w:type="pct"/>
                    <w:gridSpan w:val="3"/>
                    <w:vAlign w:val="center"/>
                  </w:tcPr>
                  <w:p w14:paraId="6CC04A39" w14:textId="77777777" w:rsidR="007E7472" w:rsidRPr="006718A2" w:rsidRDefault="00EC1269">
                    <w:pPr>
                      <w:jc w:val="center"/>
                      <w:rPr>
                        <w:rFonts w:asciiTheme="minorEastAsia" w:eastAsiaTheme="minorEastAsia" w:hAnsiTheme="minorEastAsia"/>
                      </w:rPr>
                    </w:pPr>
                    <w:r w:rsidRPr="006718A2">
                      <w:rPr>
                        <w:rFonts w:asciiTheme="minorEastAsia" w:eastAsiaTheme="minorEastAsia" w:hAnsiTheme="minorEastAsia" w:hint="eastAsia"/>
                      </w:rPr>
                      <w:t>期末余额</w:t>
                    </w:r>
                  </w:p>
                </w:tc>
              </w:sdtContent>
            </w:sdt>
            <w:sdt>
              <w:sdtPr>
                <w:rPr>
                  <w:rFonts w:asciiTheme="minorEastAsia" w:eastAsiaTheme="minorEastAsia" w:hAnsiTheme="minorEastAsia"/>
                </w:rPr>
                <w:tag w:val="_PLD_a1bbc97888494137a790328386c2b9d8"/>
                <w:id w:val="-1225057872"/>
                <w:lock w:val="sdtLocked"/>
              </w:sdtPr>
              <w:sdtEndPr/>
              <w:sdtContent>
                <w:tc>
                  <w:tcPr>
                    <w:tcW w:w="2064" w:type="pct"/>
                    <w:gridSpan w:val="3"/>
                    <w:vAlign w:val="center"/>
                  </w:tcPr>
                  <w:p w14:paraId="27EC6F3C" w14:textId="77777777" w:rsidR="007E7472" w:rsidRPr="006718A2" w:rsidRDefault="00EC1269">
                    <w:pPr>
                      <w:jc w:val="center"/>
                      <w:rPr>
                        <w:rFonts w:asciiTheme="minorEastAsia" w:eastAsiaTheme="minorEastAsia" w:hAnsiTheme="minorEastAsia"/>
                      </w:rPr>
                    </w:pPr>
                    <w:r w:rsidRPr="006718A2">
                      <w:rPr>
                        <w:rFonts w:asciiTheme="minorEastAsia" w:eastAsiaTheme="minorEastAsia" w:hAnsiTheme="minorEastAsia" w:hint="eastAsia"/>
                      </w:rPr>
                      <w:t>期初余额</w:t>
                    </w:r>
                  </w:p>
                </w:tc>
              </w:sdtContent>
            </w:sdt>
          </w:tr>
          <w:tr w:rsidR="007E7472" w14:paraId="2FE13C90" w14:textId="77777777">
            <w:trPr>
              <w:cantSplit/>
            </w:trPr>
            <w:tc>
              <w:tcPr>
                <w:tcW w:w="881" w:type="pct"/>
                <w:vMerge/>
                <w:vAlign w:val="center"/>
              </w:tcPr>
              <w:p w14:paraId="6441A72A" w14:textId="77777777" w:rsidR="007E7472" w:rsidRPr="006718A2" w:rsidRDefault="00C8327E">
                <w:pPr>
                  <w:ind w:right="5"/>
                  <w:jc w:val="center"/>
                  <w:rPr>
                    <w:rFonts w:asciiTheme="minorEastAsia" w:eastAsiaTheme="minorEastAsia" w:hAnsiTheme="minorEastAsia"/>
                  </w:rPr>
                </w:pPr>
              </w:p>
            </w:tc>
            <w:sdt>
              <w:sdtPr>
                <w:rPr>
                  <w:rFonts w:asciiTheme="minorEastAsia" w:eastAsiaTheme="minorEastAsia" w:hAnsiTheme="minorEastAsia"/>
                </w:rPr>
                <w:tag w:val="_PLD_60368d835c2843d99b5061f4c84f8d8e"/>
                <w:id w:val="-769542883"/>
                <w:lock w:val="sdtLocked"/>
              </w:sdtPr>
              <w:sdtEndPr/>
              <w:sdtContent>
                <w:tc>
                  <w:tcPr>
                    <w:tcW w:w="591" w:type="pct"/>
                    <w:vAlign w:val="center"/>
                  </w:tcPr>
                  <w:p w14:paraId="45B6EE38" w14:textId="77777777" w:rsidR="007E7472" w:rsidRPr="006718A2" w:rsidRDefault="00EC1269">
                    <w:pPr>
                      <w:ind w:right="5"/>
                      <w:jc w:val="center"/>
                      <w:rPr>
                        <w:rFonts w:asciiTheme="minorEastAsia" w:eastAsiaTheme="minorEastAsia" w:hAnsiTheme="minorEastAsia"/>
                      </w:rPr>
                    </w:pPr>
                    <w:r w:rsidRPr="006718A2">
                      <w:rPr>
                        <w:rFonts w:asciiTheme="minorEastAsia" w:eastAsiaTheme="minorEastAsia" w:hAnsiTheme="minorEastAsia" w:hint="eastAsia"/>
                      </w:rPr>
                      <w:t>账面余额</w:t>
                    </w:r>
                  </w:p>
                </w:tc>
              </w:sdtContent>
            </w:sdt>
            <w:tc>
              <w:tcPr>
                <w:tcW w:w="770" w:type="pct"/>
                <w:vAlign w:val="center"/>
              </w:tcPr>
              <w:p w14:paraId="15DDACC5" w14:textId="77777777" w:rsidR="007E7472" w:rsidRPr="006718A2" w:rsidRDefault="00C8327E">
                <w:pPr>
                  <w:ind w:right="5"/>
                  <w:jc w:val="center"/>
                  <w:rPr>
                    <w:rFonts w:asciiTheme="minorEastAsia" w:eastAsiaTheme="minorEastAsia" w:hAnsiTheme="minorEastAsia"/>
                  </w:rPr>
                </w:pPr>
                <w:sdt>
                  <w:sdtPr>
                    <w:rPr>
                      <w:rFonts w:asciiTheme="minorEastAsia" w:eastAsiaTheme="minorEastAsia" w:hAnsiTheme="minorEastAsia"/>
                    </w:rPr>
                    <w:tag w:val="_PLD_b5c53ce2a5004db988af9e72594f6b6a"/>
                    <w:id w:val="-1880922760"/>
                    <w:lock w:val="sdtLocked"/>
                  </w:sdtPr>
                  <w:sdtEndPr/>
                  <w:sdtContent>
                    <w:r w:rsidR="00EC1269" w:rsidRPr="006718A2">
                      <w:rPr>
                        <w:rFonts w:asciiTheme="minorEastAsia" w:eastAsiaTheme="minorEastAsia" w:hAnsiTheme="minorEastAsia" w:hint="eastAsia"/>
                      </w:rPr>
                      <w:t>存货跌价准备</w:t>
                    </w:r>
                    <w:r w:rsidR="00EC1269" w:rsidRPr="006718A2">
                      <w:rPr>
                        <w:rFonts w:asciiTheme="minorEastAsia" w:eastAsiaTheme="minorEastAsia" w:hAnsiTheme="minorEastAsia"/>
                      </w:rPr>
                      <w:t>/合同履约成本减值准备</w:t>
                    </w:r>
                  </w:sdtContent>
                </w:sdt>
              </w:p>
            </w:tc>
            <w:sdt>
              <w:sdtPr>
                <w:rPr>
                  <w:rFonts w:asciiTheme="minorEastAsia" w:eastAsiaTheme="minorEastAsia" w:hAnsiTheme="minorEastAsia"/>
                </w:rPr>
                <w:tag w:val="_PLD_f2691cf723784fbcbc9a900f61c6e250"/>
                <w:id w:val="-144428171"/>
                <w:lock w:val="sdtLocked"/>
              </w:sdtPr>
              <w:sdtEndPr/>
              <w:sdtContent>
                <w:tc>
                  <w:tcPr>
                    <w:tcW w:w="694" w:type="pct"/>
                    <w:vAlign w:val="center"/>
                  </w:tcPr>
                  <w:p w14:paraId="7439AD8C" w14:textId="77777777" w:rsidR="007E7472" w:rsidRPr="006718A2" w:rsidRDefault="00EC1269">
                    <w:pPr>
                      <w:ind w:right="5"/>
                      <w:jc w:val="center"/>
                      <w:rPr>
                        <w:rFonts w:asciiTheme="minorEastAsia" w:eastAsiaTheme="minorEastAsia" w:hAnsiTheme="minorEastAsia"/>
                      </w:rPr>
                    </w:pPr>
                    <w:r w:rsidRPr="006718A2">
                      <w:rPr>
                        <w:rFonts w:asciiTheme="minorEastAsia" w:eastAsiaTheme="minorEastAsia" w:hAnsiTheme="minorEastAsia" w:hint="eastAsia"/>
                      </w:rPr>
                      <w:t>账面价值</w:t>
                    </w:r>
                  </w:p>
                </w:tc>
              </w:sdtContent>
            </w:sdt>
            <w:sdt>
              <w:sdtPr>
                <w:rPr>
                  <w:rFonts w:asciiTheme="minorEastAsia" w:eastAsiaTheme="minorEastAsia" w:hAnsiTheme="minorEastAsia"/>
                </w:rPr>
                <w:tag w:val="_PLD_df34ec94af0b441bab962cb42fe65b1a"/>
                <w:id w:val="1329944591"/>
                <w:lock w:val="sdtLocked"/>
              </w:sdtPr>
              <w:sdtEndPr/>
              <w:sdtContent>
                <w:tc>
                  <w:tcPr>
                    <w:tcW w:w="688" w:type="pct"/>
                    <w:vAlign w:val="center"/>
                  </w:tcPr>
                  <w:p w14:paraId="63C3C599" w14:textId="77777777" w:rsidR="007E7472" w:rsidRPr="006718A2" w:rsidRDefault="00EC1269">
                    <w:pPr>
                      <w:ind w:right="5"/>
                      <w:jc w:val="center"/>
                      <w:rPr>
                        <w:rFonts w:asciiTheme="minorEastAsia" w:eastAsiaTheme="minorEastAsia" w:hAnsiTheme="minorEastAsia"/>
                      </w:rPr>
                    </w:pPr>
                    <w:r w:rsidRPr="006718A2">
                      <w:rPr>
                        <w:rFonts w:asciiTheme="minorEastAsia" w:eastAsiaTheme="minorEastAsia" w:hAnsiTheme="minorEastAsia" w:hint="eastAsia"/>
                      </w:rPr>
                      <w:t>账面余额</w:t>
                    </w:r>
                  </w:p>
                </w:tc>
              </w:sdtContent>
            </w:sdt>
            <w:tc>
              <w:tcPr>
                <w:tcW w:w="767" w:type="pct"/>
                <w:vAlign w:val="center"/>
              </w:tcPr>
              <w:p w14:paraId="68807498" w14:textId="77777777" w:rsidR="007E7472" w:rsidRPr="006718A2" w:rsidRDefault="00C8327E">
                <w:pPr>
                  <w:ind w:right="5"/>
                  <w:jc w:val="center"/>
                  <w:rPr>
                    <w:rFonts w:asciiTheme="minorEastAsia" w:eastAsiaTheme="minorEastAsia" w:hAnsiTheme="minorEastAsia"/>
                  </w:rPr>
                </w:pPr>
                <w:sdt>
                  <w:sdtPr>
                    <w:rPr>
                      <w:rFonts w:asciiTheme="minorEastAsia" w:eastAsiaTheme="minorEastAsia" w:hAnsiTheme="minorEastAsia"/>
                    </w:rPr>
                    <w:tag w:val="_PLD_7a42c47b54924b47b9e161d8fd9fb840"/>
                    <w:id w:val="-1788798531"/>
                    <w:lock w:val="sdtLocked"/>
                  </w:sdtPr>
                  <w:sdtEndPr/>
                  <w:sdtContent>
                    <w:r w:rsidR="00EC1269" w:rsidRPr="006718A2">
                      <w:rPr>
                        <w:rFonts w:asciiTheme="minorEastAsia" w:eastAsiaTheme="minorEastAsia" w:hAnsiTheme="minorEastAsia" w:hint="eastAsia"/>
                      </w:rPr>
                      <w:t>存货跌价准备</w:t>
                    </w:r>
                    <w:r w:rsidR="00EC1269" w:rsidRPr="006718A2">
                      <w:rPr>
                        <w:rFonts w:asciiTheme="minorEastAsia" w:eastAsiaTheme="minorEastAsia" w:hAnsiTheme="minorEastAsia"/>
                      </w:rPr>
                      <w:t>/合同履约成本减值准备</w:t>
                    </w:r>
                  </w:sdtContent>
                </w:sdt>
              </w:p>
            </w:tc>
            <w:sdt>
              <w:sdtPr>
                <w:rPr>
                  <w:rFonts w:asciiTheme="minorEastAsia" w:eastAsiaTheme="minorEastAsia" w:hAnsiTheme="minorEastAsia"/>
                </w:rPr>
                <w:tag w:val="_PLD_0db3a7f82db34583bb111dc2a8e88f8c"/>
                <w:id w:val="-1072191494"/>
                <w:lock w:val="sdtLocked"/>
              </w:sdtPr>
              <w:sdtEndPr/>
              <w:sdtContent>
                <w:tc>
                  <w:tcPr>
                    <w:tcW w:w="609" w:type="pct"/>
                    <w:vAlign w:val="center"/>
                  </w:tcPr>
                  <w:p w14:paraId="2305C848" w14:textId="77777777" w:rsidR="007E7472" w:rsidRPr="006718A2" w:rsidRDefault="00EC1269">
                    <w:pPr>
                      <w:ind w:right="5"/>
                      <w:jc w:val="center"/>
                      <w:rPr>
                        <w:rFonts w:asciiTheme="minorEastAsia" w:eastAsiaTheme="minorEastAsia" w:hAnsiTheme="minorEastAsia"/>
                      </w:rPr>
                    </w:pPr>
                    <w:r w:rsidRPr="006718A2">
                      <w:rPr>
                        <w:rFonts w:asciiTheme="minorEastAsia" w:eastAsiaTheme="minorEastAsia" w:hAnsiTheme="minorEastAsia" w:hint="eastAsia"/>
                      </w:rPr>
                      <w:t>账面价值</w:t>
                    </w:r>
                  </w:p>
                </w:tc>
              </w:sdtContent>
            </w:sdt>
          </w:tr>
          <w:tr w:rsidR="007E7472" w14:paraId="0B6D7A3E" w14:textId="77777777" w:rsidTr="007E7472">
            <w:trPr>
              <w:cantSplit/>
              <w:trHeight w:val="340"/>
            </w:trPr>
            <w:tc>
              <w:tcPr>
                <w:tcW w:w="881" w:type="pct"/>
                <w:vAlign w:val="center"/>
              </w:tcPr>
              <w:p w14:paraId="6EDD21F2" w14:textId="77777777" w:rsidR="007E7472" w:rsidRPr="006718A2" w:rsidRDefault="00EC1269">
                <w:pPr>
                  <w:ind w:right="5"/>
                  <w:rPr>
                    <w:rFonts w:asciiTheme="minorEastAsia" w:eastAsiaTheme="minorEastAsia" w:hAnsiTheme="minorEastAsia"/>
                  </w:rPr>
                </w:pPr>
                <w:r w:rsidRPr="006718A2">
                  <w:rPr>
                    <w:rFonts w:asciiTheme="minorEastAsia" w:eastAsiaTheme="minorEastAsia" w:hAnsiTheme="minorEastAsia" w:hint="eastAsia"/>
                  </w:rPr>
                  <w:t>原材料</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346C459D" w14:textId="77777777" w:rsidR="007E7472" w:rsidRPr="006718A2" w:rsidRDefault="00EC1269">
                <w:pPr>
                  <w:jc w:val="right"/>
                  <w:rPr>
                    <w:rFonts w:asciiTheme="minorEastAsia" w:eastAsiaTheme="minorEastAsia" w:hAnsiTheme="minorEastAsia" w:cs="Times New Roman"/>
                    <w:bCs/>
                  </w:rPr>
                </w:pPr>
                <w:r w:rsidRPr="006718A2">
                  <w:rPr>
                    <w:rFonts w:asciiTheme="minorEastAsia" w:eastAsiaTheme="minorEastAsia" w:hAnsiTheme="minorEastAsia" w:cs="Times New Roman"/>
                  </w:rPr>
                  <w:t>1,822,543</w:t>
                </w:r>
              </w:p>
            </w:tc>
            <w:tc>
              <w:tcPr>
                <w:tcW w:w="770" w:type="pct"/>
                <w:tcBorders>
                  <w:top w:val="single" w:sz="4" w:space="0" w:color="auto"/>
                  <w:left w:val="nil"/>
                  <w:bottom w:val="single" w:sz="4" w:space="0" w:color="auto"/>
                  <w:right w:val="single" w:sz="4" w:space="0" w:color="auto"/>
                </w:tcBorders>
                <w:shd w:val="clear" w:color="auto" w:fill="auto"/>
                <w:vAlign w:val="center"/>
              </w:tcPr>
              <w:p w14:paraId="38B765E3" w14:textId="77777777" w:rsidR="007E7472" w:rsidRPr="006718A2" w:rsidRDefault="00EC1269">
                <w:pPr>
                  <w:jc w:val="right"/>
                  <w:rPr>
                    <w:rFonts w:asciiTheme="minorEastAsia" w:eastAsiaTheme="minorEastAsia" w:hAnsiTheme="minorEastAsia" w:cs="Times New Roman"/>
                  </w:rPr>
                </w:pPr>
                <w:r w:rsidRPr="006718A2">
                  <w:rPr>
                    <w:rFonts w:asciiTheme="minorEastAsia" w:eastAsiaTheme="minorEastAsia" w:hAnsiTheme="minorEastAsia" w:cs="Times New Roman"/>
                  </w:rPr>
                  <w:t>1,161</w:t>
                </w:r>
              </w:p>
            </w:tc>
            <w:tc>
              <w:tcPr>
                <w:tcW w:w="694" w:type="pct"/>
                <w:tcBorders>
                  <w:top w:val="single" w:sz="4" w:space="0" w:color="auto"/>
                  <w:left w:val="nil"/>
                  <w:bottom w:val="single" w:sz="4" w:space="0" w:color="auto"/>
                  <w:right w:val="single" w:sz="4" w:space="0" w:color="auto"/>
                </w:tcBorders>
                <w:shd w:val="clear" w:color="auto" w:fill="auto"/>
                <w:vAlign w:val="center"/>
              </w:tcPr>
              <w:p w14:paraId="6ECC84BD" w14:textId="77777777" w:rsidR="007E7472" w:rsidRPr="006718A2" w:rsidRDefault="00EC1269">
                <w:pPr>
                  <w:jc w:val="right"/>
                  <w:rPr>
                    <w:rFonts w:asciiTheme="minorEastAsia" w:eastAsiaTheme="minorEastAsia" w:hAnsiTheme="minorEastAsia" w:cs="Times New Roman"/>
                  </w:rPr>
                </w:pPr>
                <w:r w:rsidRPr="006718A2">
                  <w:rPr>
                    <w:rFonts w:asciiTheme="minorEastAsia" w:eastAsiaTheme="minorEastAsia" w:hAnsiTheme="minorEastAsia" w:cs="Times New Roman"/>
                  </w:rPr>
                  <w:t>1,821,382</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370D273E" w14:textId="77777777" w:rsidR="007E7472" w:rsidRPr="006718A2" w:rsidRDefault="00EC1269">
                <w:pPr>
                  <w:jc w:val="right"/>
                  <w:rPr>
                    <w:rFonts w:asciiTheme="minorEastAsia" w:eastAsiaTheme="minorEastAsia" w:hAnsiTheme="minorEastAsia" w:cs="Times New Roman"/>
                    <w:bCs/>
                  </w:rPr>
                </w:pPr>
                <w:r w:rsidRPr="006718A2">
                  <w:rPr>
                    <w:rFonts w:asciiTheme="minorEastAsia" w:eastAsiaTheme="minorEastAsia" w:hAnsiTheme="minorEastAsia" w:cs="Times New Roman"/>
                  </w:rPr>
                  <w:t>1,988,445</w:t>
                </w:r>
              </w:p>
            </w:tc>
            <w:tc>
              <w:tcPr>
                <w:tcW w:w="767" w:type="pct"/>
                <w:tcBorders>
                  <w:top w:val="single" w:sz="4" w:space="0" w:color="auto"/>
                  <w:left w:val="nil"/>
                  <w:bottom w:val="single" w:sz="4" w:space="0" w:color="auto"/>
                  <w:right w:val="single" w:sz="4" w:space="0" w:color="auto"/>
                </w:tcBorders>
                <w:shd w:val="clear" w:color="auto" w:fill="auto"/>
                <w:vAlign w:val="center"/>
              </w:tcPr>
              <w:p w14:paraId="0EA7549C" w14:textId="77777777" w:rsidR="007E7472" w:rsidRPr="006718A2" w:rsidRDefault="00EC1269">
                <w:pPr>
                  <w:jc w:val="right"/>
                  <w:rPr>
                    <w:rFonts w:asciiTheme="minorEastAsia" w:eastAsiaTheme="minorEastAsia" w:hAnsiTheme="minorEastAsia" w:cs="Times New Roman"/>
                  </w:rPr>
                </w:pPr>
                <w:r w:rsidRPr="006718A2">
                  <w:rPr>
                    <w:rFonts w:asciiTheme="minorEastAsia" w:eastAsiaTheme="minorEastAsia" w:hAnsiTheme="minorEastAsia" w:cs="Times New Roman"/>
                  </w:rPr>
                  <w:t>1,161</w:t>
                </w:r>
              </w:p>
            </w:tc>
            <w:tc>
              <w:tcPr>
                <w:tcW w:w="609" w:type="pct"/>
                <w:tcBorders>
                  <w:top w:val="single" w:sz="4" w:space="0" w:color="auto"/>
                  <w:left w:val="nil"/>
                  <w:bottom w:val="single" w:sz="4" w:space="0" w:color="auto"/>
                  <w:right w:val="single" w:sz="4" w:space="0" w:color="auto"/>
                </w:tcBorders>
                <w:shd w:val="clear" w:color="auto" w:fill="auto"/>
                <w:vAlign w:val="center"/>
              </w:tcPr>
              <w:p w14:paraId="4465AB67" w14:textId="77777777" w:rsidR="007E7472" w:rsidRPr="006718A2" w:rsidRDefault="00EC1269">
                <w:pPr>
                  <w:jc w:val="right"/>
                  <w:rPr>
                    <w:rFonts w:asciiTheme="minorEastAsia" w:eastAsiaTheme="minorEastAsia" w:hAnsiTheme="minorEastAsia" w:cs="Times New Roman"/>
                  </w:rPr>
                </w:pPr>
                <w:r w:rsidRPr="006718A2">
                  <w:rPr>
                    <w:rFonts w:asciiTheme="minorEastAsia" w:eastAsiaTheme="minorEastAsia" w:hAnsiTheme="minorEastAsia" w:cs="Times New Roman"/>
                  </w:rPr>
                  <w:t>1,987,284</w:t>
                </w:r>
              </w:p>
            </w:tc>
          </w:tr>
          <w:tr w:rsidR="007E7472" w14:paraId="64539ABB" w14:textId="77777777" w:rsidTr="007E7472">
            <w:trPr>
              <w:cantSplit/>
              <w:trHeight w:val="340"/>
            </w:trPr>
            <w:tc>
              <w:tcPr>
                <w:tcW w:w="881" w:type="pct"/>
                <w:vAlign w:val="center"/>
              </w:tcPr>
              <w:p w14:paraId="01F75E9D" w14:textId="77777777" w:rsidR="007E7472" w:rsidRPr="006718A2" w:rsidRDefault="00EC1269">
                <w:pPr>
                  <w:ind w:right="5"/>
                  <w:rPr>
                    <w:rFonts w:asciiTheme="minorEastAsia" w:eastAsiaTheme="minorEastAsia" w:hAnsiTheme="minorEastAsia"/>
                  </w:rPr>
                </w:pPr>
                <w:r w:rsidRPr="006718A2">
                  <w:rPr>
                    <w:rFonts w:asciiTheme="minorEastAsia" w:eastAsiaTheme="minorEastAsia" w:hAnsiTheme="minorEastAsia" w:hint="eastAsia"/>
                  </w:rPr>
                  <w:t>在产品</w:t>
                </w:r>
              </w:p>
            </w:tc>
            <w:tc>
              <w:tcPr>
                <w:tcW w:w="591" w:type="pct"/>
                <w:tcBorders>
                  <w:top w:val="nil"/>
                  <w:left w:val="single" w:sz="4" w:space="0" w:color="auto"/>
                  <w:bottom w:val="single" w:sz="4" w:space="0" w:color="auto"/>
                  <w:right w:val="single" w:sz="4" w:space="0" w:color="auto"/>
                </w:tcBorders>
                <w:shd w:val="clear" w:color="auto" w:fill="auto"/>
                <w:vAlign w:val="center"/>
              </w:tcPr>
              <w:p w14:paraId="09F56875" w14:textId="77777777" w:rsidR="007E7472" w:rsidRPr="006718A2" w:rsidRDefault="00EC1269">
                <w:pPr>
                  <w:jc w:val="right"/>
                  <w:rPr>
                    <w:rFonts w:asciiTheme="minorEastAsia" w:eastAsiaTheme="minorEastAsia" w:hAnsiTheme="minorEastAsia" w:cs="Times New Roman"/>
                  </w:rPr>
                </w:pPr>
                <w:r w:rsidRPr="006718A2">
                  <w:rPr>
                    <w:rFonts w:asciiTheme="minorEastAsia" w:eastAsiaTheme="minorEastAsia" w:hAnsiTheme="minorEastAsia" w:cs="Times New Roman"/>
                  </w:rPr>
                  <w:t>500,813</w:t>
                </w:r>
              </w:p>
            </w:tc>
            <w:tc>
              <w:tcPr>
                <w:tcW w:w="770" w:type="pct"/>
                <w:tcBorders>
                  <w:top w:val="nil"/>
                  <w:left w:val="nil"/>
                  <w:bottom w:val="single" w:sz="4" w:space="0" w:color="auto"/>
                  <w:right w:val="single" w:sz="4" w:space="0" w:color="auto"/>
                </w:tcBorders>
                <w:shd w:val="clear" w:color="auto" w:fill="auto"/>
                <w:vAlign w:val="center"/>
              </w:tcPr>
              <w:p w14:paraId="26B5058F" w14:textId="77777777" w:rsidR="007E7472" w:rsidRPr="006718A2" w:rsidRDefault="00C8327E">
                <w:pPr>
                  <w:jc w:val="right"/>
                  <w:rPr>
                    <w:rFonts w:asciiTheme="minorEastAsia" w:eastAsiaTheme="minorEastAsia" w:hAnsiTheme="minorEastAsia" w:cs="Times New Roman"/>
                  </w:rPr>
                </w:pPr>
              </w:p>
            </w:tc>
            <w:tc>
              <w:tcPr>
                <w:tcW w:w="694" w:type="pct"/>
                <w:tcBorders>
                  <w:top w:val="nil"/>
                  <w:left w:val="nil"/>
                  <w:bottom w:val="single" w:sz="4" w:space="0" w:color="auto"/>
                  <w:right w:val="single" w:sz="4" w:space="0" w:color="auto"/>
                </w:tcBorders>
                <w:shd w:val="clear" w:color="auto" w:fill="auto"/>
                <w:vAlign w:val="center"/>
              </w:tcPr>
              <w:p w14:paraId="09A2FA23" w14:textId="77777777" w:rsidR="007E7472" w:rsidRPr="006718A2" w:rsidRDefault="00EC1269">
                <w:pPr>
                  <w:jc w:val="right"/>
                  <w:rPr>
                    <w:rFonts w:asciiTheme="minorEastAsia" w:eastAsiaTheme="minorEastAsia" w:hAnsiTheme="minorEastAsia" w:cs="Times New Roman"/>
                  </w:rPr>
                </w:pPr>
                <w:r w:rsidRPr="006718A2">
                  <w:rPr>
                    <w:rFonts w:asciiTheme="minorEastAsia" w:eastAsiaTheme="minorEastAsia" w:hAnsiTheme="minorEastAsia" w:cs="Times New Roman"/>
                  </w:rPr>
                  <w:t>500,813</w:t>
                </w:r>
              </w:p>
            </w:tc>
            <w:tc>
              <w:tcPr>
                <w:tcW w:w="688" w:type="pct"/>
                <w:tcBorders>
                  <w:top w:val="nil"/>
                  <w:left w:val="single" w:sz="4" w:space="0" w:color="auto"/>
                  <w:bottom w:val="single" w:sz="4" w:space="0" w:color="auto"/>
                  <w:right w:val="single" w:sz="4" w:space="0" w:color="auto"/>
                </w:tcBorders>
                <w:shd w:val="clear" w:color="auto" w:fill="auto"/>
                <w:vAlign w:val="center"/>
              </w:tcPr>
              <w:p w14:paraId="4C62C7F9" w14:textId="77777777" w:rsidR="007E7472" w:rsidRPr="006718A2" w:rsidRDefault="00EC1269">
                <w:pPr>
                  <w:jc w:val="right"/>
                  <w:rPr>
                    <w:rFonts w:asciiTheme="minorEastAsia" w:eastAsiaTheme="minorEastAsia" w:hAnsiTheme="minorEastAsia" w:cs="Times New Roman"/>
                  </w:rPr>
                </w:pPr>
                <w:r w:rsidRPr="006718A2">
                  <w:rPr>
                    <w:rFonts w:asciiTheme="minorEastAsia" w:eastAsiaTheme="minorEastAsia" w:hAnsiTheme="minorEastAsia" w:cs="Times New Roman"/>
                  </w:rPr>
                  <w:t>397,387</w:t>
                </w:r>
              </w:p>
            </w:tc>
            <w:tc>
              <w:tcPr>
                <w:tcW w:w="767" w:type="pct"/>
                <w:tcBorders>
                  <w:top w:val="nil"/>
                  <w:left w:val="nil"/>
                  <w:bottom w:val="single" w:sz="4" w:space="0" w:color="auto"/>
                  <w:right w:val="single" w:sz="4" w:space="0" w:color="auto"/>
                </w:tcBorders>
                <w:shd w:val="clear" w:color="auto" w:fill="auto"/>
                <w:vAlign w:val="center"/>
              </w:tcPr>
              <w:p w14:paraId="049E86F2" w14:textId="77777777" w:rsidR="007E7472" w:rsidRPr="006718A2" w:rsidRDefault="00C8327E">
                <w:pPr>
                  <w:jc w:val="right"/>
                  <w:rPr>
                    <w:rFonts w:asciiTheme="minorEastAsia" w:eastAsiaTheme="minorEastAsia" w:hAnsiTheme="minorEastAsia" w:cs="Times New Roman"/>
                  </w:rPr>
                </w:pPr>
              </w:p>
            </w:tc>
            <w:tc>
              <w:tcPr>
                <w:tcW w:w="609" w:type="pct"/>
                <w:tcBorders>
                  <w:top w:val="nil"/>
                  <w:left w:val="nil"/>
                  <w:bottom w:val="single" w:sz="4" w:space="0" w:color="auto"/>
                  <w:right w:val="single" w:sz="4" w:space="0" w:color="auto"/>
                </w:tcBorders>
                <w:shd w:val="clear" w:color="auto" w:fill="auto"/>
                <w:vAlign w:val="center"/>
              </w:tcPr>
              <w:p w14:paraId="50ABA7DD" w14:textId="77777777" w:rsidR="007E7472" w:rsidRPr="006718A2" w:rsidRDefault="00EC1269">
                <w:pPr>
                  <w:jc w:val="right"/>
                  <w:rPr>
                    <w:rFonts w:asciiTheme="minorEastAsia" w:eastAsiaTheme="minorEastAsia" w:hAnsiTheme="minorEastAsia" w:cs="Times New Roman"/>
                  </w:rPr>
                </w:pPr>
                <w:r w:rsidRPr="006718A2">
                  <w:rPr>
                    <w:rFonts w:asciiTheme="minorEastAsia" w:eastAsiaTheme="minorEastAsia" w:hAnsiTheme="minorEastAsia" w:cs="Times New Roman"/>
                  </w:rPr>
                  <w:t>397,387</w:t>
                </w:r>
              </w:p>
            </w:tc>
          </w:tr>
          <w:tr w:rsidR="007E7472" w14:paraId="54CCCC56" w14:textId="77777777" w:rsidTr="007E7472">
            <w:trPr>
              <w:cantSplit/>
              <w:trHeight w:val="340"/>
            </w:trPr>
            <w:tc>
              <w:tcPr>
                <w:tcW w:w="881" w:type="pct"/>
                <w:vAlign w:val="center"/>
              </w:tcPr>
              <w:p w14:paraId="7663E2C7" w14:textId="77777777" w:rsidR="007E7472" w:rsidRPr="006718A2" w:rsidRDefault="00EC1269">
                <w:pPr>
                  <w:ind w:right="5"/>
                  <w:rPr>
                    <w:rFonts w:asciiTheme="minorEastAsia" w:eastAsiaTheme="minorEastAsia" w:hAnsiTheme="minorEastAsia"/>
                  </w:rPr>
                </w:pPr>
                <w:r w:rsidRPr="006718A2">
                  <w:rPr>
                    <w:rFonts w:asciiTheme="minorEastAsia" w:eastAsiaTheme="minorEastAsia" w:hAnsiTheme="minorEastAsia" w:hint="eastAsia"/>
                  </w:rPr>
                  <w:t>产成品</w:t>
                </w:r>
              </w:p>
            </w:tc>
            <w:tc>
              <w:tcPr>
                <w:tcW w:w="591" w:type="pct"/>
                <w:tcBorders>
                  <w:top w:val="nil"/>
                  <w:left w:val="single" w:sz="4" w:space="0" w:color="auto"/>
                  <w:bottom w:val="single" w:sz="4" w:space="0" w:color="auto"/>
                  <w:right w:val="single" w:sz="4" w:space="0" w:color="auto"/>
                </w:tcBorders>
                <w:shd w:val="clear" w:color="auto" w:fill="auto"/>
                <w:vAlign w:val="center"/>
              </w:tcPr>
              <w:p w14:paraId="70FFED3E" w14:textId="77777777" w:rsidR="007E7472" w:rsidRPr="006718A2" w:rsidRDefault="00EC1269">
                <w:pPr>
                  <w:jc w:val="right"/>
                  <w:rPr>
                    <w:rFonts w:asciiTheme="minorEastAsia" w:eastAsiaTheme="minorEastAsia" w:hAnsiTheme="minorEastAsia" w:cs="Times New Roman"/>
                  </w:rPr>
                </w:pPr>
                <w:r w:rsidRPr="006718A2">
                  <w:rPr>
                    <w:rFonts w:asciiTheme="minorEastAsia" w:eastAsiaTheme="minorEastAsia" w:hAnsiTheme="minorEastAsia" w:cs="Times New Roman"/>
                  </w:rPr>
                  <w:t>1,972,711</w:t>
                </w:r>
              </w:p>
            </w:tc>
            <w:tc>
              <w:tcPr>
                <w:tcW w:w="770" w:type="pct"/>
                <w:tcBorders>
                  <w:top w:val="nil"/>
                  <w:left w:val="nil"/>
                  <w:bottom w:val="single" w:sz="4" w:space="0" w:color="auto"/>
                  <w:right w:val="single" w:sz="4" w:space="0" w:color="auto"/>
                </w:tcBorders>
                <w:shd w:val="clear" w:color="auto" w:fill="auto"/>
                <w:vAlign w:val="center"/>
              </w:tcPr>
              <w:p w14:paraId="253D5498" w14:textId="77777777" w:rsidR="007E7472" w:rsidRPr="006718A2" w:rsidRDefault="00EC1269">
                <w:pPr>
                  <w:jc w:val="right"/>
                  <w:rPr>
                    <w:rFonts w:asciiTheme="minorEastAsia" w:eastAsiaTheme="minorEastAsia" w:hAnsiTheme="minorEastAsia" w:cs="Times New Roman"/>
                  </w:rPr>
                </w:pPr>
                <w:r w:rsidRPr="006718A2">
                  <w:rPr>
                    <w:rFonts w:asciiTheme="minorEastAsia" w:eastAsiaTheme="minorEastAsia" w:hAnsiTheme="minorEastAsia" w:cs="Times New Roman"/>
                  </w:rPr>
                  <w:t>15,073</w:t>
                </w:r>
              </w:p>
            </w:tc>
            <w:tc>
              <w:tcPr>
                <w:tcW w:w="694" w:type="pct"/>
                <w:tcBorders>
                  <w:top w:val="nil"/>
                  <w:left w:val="nil"/>
                  <w:bottom w:val="single" w:sz="4" w:space="0" w:color="auto"/>
                  <w:right w:val="single" w:sz="4" w:space="0" w:color="auto"/>
                </w:tcBorders>
                <w:shd w:val="clear" w:color="auto" w:fill="auto"/>
                <w:vAlign w:val="center"/>
              </w:tcPr>
              <w:p w14:paraId="3CE30271" w14:textId="77777777" w:rsidR="007E7472" w:rsidRPr="006718A2" w:rsidRDefault="00EC1269">
                <w:pPr>
                  <w:jc w:val="right"/>
                  <w:rPr>
                    <w:rFonts w:asciiTheme="minorEastAsia" w:eastAsiaTheme="minorEastAsia" w:hAnsiTheme="minorEastAsia" w:cs="Times New Roman"/>
                  </w:rPr>
                </w:pPr>
                <w:r w:rsidRPr="006718A2">
                  <w:rPr>
                    <w:rFonts w:asciiTheme="minorEastAsia" w:eastAsiaTheme="minorEastAsia" w:hAnsiTheme="minorEastAsia" w:cs="Times New Roman"/>
                  </w:rPr>
                  <w:t>1,957,638</w:t>
                </w:r>
              </w:p>
            </w:tc>
            <w:tc>
              <w:tcPr>
                <w:tcW w:w="688" w:type="pct"/>
                <w:tcBorders>
                  <w:top w:val="nil"/>
                  <w:left w:val="single" w:sz="4" w:space="0" w:color="auto"/>
                  <w:bottom w:val="single" w:sz="4" w:space="0" w:color="auto"/>
                  <w:right w:val="single" w:sz="4" w:space="0" w:color="auto"/>
                </w:tcBorders>
                <w:shd w:val="clear" w:color="auto" w:fill="auto"/>
                <w:vAlign w:val="center"/>
              </w:tcPr>
              <w:p w14:paraId="6BE17DDE" w14:textId="77777777" w:rsidR="007E7472" w:rsidRPr="006718A2" w:rsidRDefault="00EC1269">
                <w:pPr>
                  <w:jc w:val="right"/>
                  <w:rPr>
                    <w:rFonts w:asciiTheme="minorEastAsia" w:eastAsiaTheme="minorEastAsia" w:hAnsiTheme="minorEastAsia" w:cs="Times New Roman"/>
                  </w:rPr>
                </w:pPr>
                <w:r w:rsidRPr="006718A2">
                  <w:rPr>
                    <w:rFonts w:asciiTheme="minorEastAsia" w:eastAsiaTheme="minorEastAsia" w:hAnsiTheme="minorEastAsia" w:cs="Times New Roman"/>
                  </w:rPr>
                  <w:t>2,588,591</w:t>
                </w:r>
              </w:p>
            </w:tc>
            <w:tc>
              <w:tcPr>
                <w:tcW w:w="767" w:type="pct"/>
                <w:tcBorders>
                  <w:top w:val="nil"/>
                  <w:left w:val="nil"/>
                  <w:bottom w:val="single" w:sz="4" w:space="0" w:color="auto"/>
                  <w:right w:val="single" w:sz="4" w:space="0" w:color="auto"/>
                </w:tcBorders>
                <w:shd w:val="clear" w:color="auto" w:fill="auto"/>
                <w:vAlign w:val="center"/>
              </w:tcPr>
              <w:p w14:paraId="44A69F2A" w14:textId="77777777" w:rsidR="007E7472" w:rsidRPr="006718A2" w:rsidRDefault="00EC1269">
                <w:pPr>
                  <w:jc w:val="right"/>
                  <w:rPr>
                    <w:rFonts w:asciiTheme="minorEastAsia" w:eastAsiaTheme="minorEastAsia" w:hAnsiTheme="minorEastAsia" w:cs="Times New Roman"/>
                  </w:rPr>
                </w:pPr>
                <w:r w:rsidRPr="006718A2">
                  <w:rPr>
                    <w:rFonts w:asciiTheme="minorEastAsia" w:eastAsiaTheme="minorEastAsia" w:hAnsiTheme="minorEastAsia" w:cs="Times New Roman"/>
                  </w:rPr>
                  <w:t>51,344</w:t>
                </w:r>
              </w:p>
            </w:tc>
            <w:tc>
              <w:tcPr>
                <w:tcW w:w="609" w:type="pct"/>
                <w:tcBorders>
                  <w:top w:val="nil"/>
                  <w:left w:val="nil"/>
                  <w:bottom w:val="single" w:sz="4" w:space="0" w:color="auto"/>
                  <w:right w:val="single" w:sz="4" w:space="0" w:color="auto"/>
                </w:tcBorders>
                <w:shd w:val="clear" w:color="auto" w:fill="auto"/>
                <w:vAlign w:val="center"/>
              </w:tcPr>
              <w:p w14:paraId="4734EF4A" w14:textId="77777777" w:rsidR="007E7472" w:rsidRPr="006718A2" w:rsidRDefault="00EC1269">
                <w:pPr>
                  <w:jc w:val="right"/>
                  <w:rPr>
                    <w:rFonts w:asciiTheme="minorEastAsia" w:eastAsiaTheme="minorEastAsia" w:hAnsiTheme="minorEastAsia" w:cs="Times New Roman"/>
                  </w:rPr>
                </w:pPr>
                <w:r w:rsidRPr="006718A2">
                  <w:rPr>
                    <w:rFonts w:asciiTheme="minorEastAsia" w:eastAsiaTheme="minorEastAsia" w:hAnsiTheme="minorEastAsia" w:cs="Times New Roman"/>
                  </w:rPr>
                  <w:t>2,537,247</w:t>
                </w:r>
              </w:p>
            </w:tc>
          </w:tr>
          <w:tr w:rsidR="007E7472" w14:paraId="729ACEED" w14:textId="77777777" w:rsidTr="007E7472">
            <w:trPr>
              <w:cantSplit/>
              <w:trHeight w:val="340"/>
            </w:trPr>
            <w:tc>
              <w:tcPr>
                <w:tcW w:w="881" w:type="pct"/>
                <w:vAlign w:val="center"/>
              </w:tcPr>
              <w:p w14:paraId="4FC7F301" w14:textId="77777777" w:rsidR="007E7472" w:rsidRPr="006718A2" w:rsidRDefault="00EC1269">
                <w:pPr>
                  <w:autoSpaceDE w:val="0"/>
                  <w:autoSpaceDN w:val="0"/>
                  <w:adjustRightInd w:val="0"/>
                  <w:rPr>
                    <w:rFonts w:asciiTheme="minorEastAsia" w:eastAsiaTheme="minorEastAsia" w:hAnsiTheme="minorEastAsia"/>
                  </w:rPr>
                </w:pPr>
                <w:r w:rsidRPr="006718A2">
                  <w:rPr>
                    <w:rFonts w:asciiTheme="minorEastAsia" w:eastAsiaTheme="minorEastAsia" w:hAnsiTheme="minorEastAsia" w:hint="eastAsia"/>
                  </w:rPr>
                  <w:t>库存商品</w:t>
                </w:r>
              </w:p>
            </w:tc>
            <w:tc>
              <w:tcPr>
                <w:tcW w:w="591" w:type="pct"/>
                <w:tcBorders>
                  <w:top w:val="nil"/>
                  <w:left w:val="single" w:sz="4" w:space="0" w:color="auto"/>
                  <w:bottom w:val="single" w:sz="4" w:space="0" w:color="auto"/>
                  <w:right w:val="single" w:sz="4" w:space="0" w:color="auto"/>
                </w:tcBorders>
                <w:shd w:val="clear" w:color="auto" w:fill="auto"/>
                <w:vAlign w:val="center"/>
              </w:tcPr>
              <w:p w14:paraId="44C25F8E" w14:textId="77777777" w:rsidR="007E7472" w:rsidRPr="006718A2" w:rsidRDefault="00EC1269">
                <w:pPr>
                  <w:jc w:val="right"/>
                  <w:rPr>
                    <w:rFonts w:asciiTheme="minorEastAsia" w:eastAsiaTheme="minorEastAsia" w:hAnsiTheme="minorEastAsia" w:cs="Times New Roman"/>
                  </w:rPr>
                </w:pPr>
                <w:r w:rsidRPr="006718A2">
                  <w:rPr>
                    <w:rFonts w:asciiTheme="minorEastAsia" w:eastAsiaTheme="minorEastAsia" w:hAnsiTheme="minorEastAsia" w:cs="Times New Roman"/>
                  </w:rPr>
                  <w:t>2,200,408</w:t>
                </w:r>
              </w:p>
            </w:tc>
            <w:tc>
              <w:tcPr>
                <w:tcW w:w="770" w:type="pct"/>
                <w:tcBorders>
                  <w:top w:val="nil"/>
                  <w:left w:val="nil"/>
                  <w:bottom w:val="single" w:sz="4" w:space="0" w:color="auto"/>
                  <w:right w:val="single" w:sz="4" w:space="0" w:color="auto"/>
                </w:tcBorders>
                <w:shd w:val="clear" w:color="auto" w:fill="auto"/>
                <w:vAlign w:val="center"/>
              </w:tcPr>
              <w:p w14:paraId="6FD89D87" w14:textId="77777777" w:rsidR="007E7472" w:rsidRPr="006718A2" w:rsidRDefault="00EC1269">
                <w:pPr>
                  <w:jc w:val="right"/>
                  <w:rPr>
                    <w:rFonts w:asciiTheme="minorEastAsia" w:eastAsiaTheme="minorEastAsia" w:hAnsiTheme="minorEastAsia" w:cs="Times New Roman"/>
                  </w:rPr>
                </w:pPr>
                <w:r w:rsidRPr="006718A2">
                  <w:rPr>
                    <w:rFonts w:asciiTheme="minorEastAsia" w:eastAsiaTheme="minorEastAsia" w:hAnsiTheme="minorEastAsia" w:cs="Times New Roman"/>
                  </w:rPr>
                  <w:t>735</w:t>
                </w:r>
              </w:p>
            </w:tc>
            <w:tc>
              <w:tcPr>
                <w:tcW w:w="694" w:type="pct"/>
                <w:tcBorders>
                  <w:top w:val="nil"/>
                  <w:left w:val="nil"/>
                  <w:bottom w:val="single" w:sz="4" w:space="0" w:color="auto"/>
                  <w:right w:val="single" w:sz="4" w:space="0" w:color="auto"/>
                </w:tcBorders>
                <w:shd w:val="clear" w:color="auto" w:fill="auto"/>
                <w:vAlign w:val="center"/>
              </w:tcPr>
              <w:p w14:paraId="6420472A" w14:textId="77777777" w:rsidR="007E7472" w:rsidRPr="006718A2" w:rsidRDefault="00EC1269">
                <w:pPr>
                  <w:jc w:val="right"/>
                  <w:rPr>
                    <w:rFonts w:asciiTheme="minorEastAsia" w:eastAsiaTheme="minorEastAsia" w:hAnsiTheme="minorEastAsia" w:cs="Times New Roman"/>
                  </w:rPr>
                </w:pPr>
                <w:r w:rsidRPr="006718A2">
                  <w:rPr>
                    <w:rFonts w:asciiTheme="minorEastAsia" w:eastAsiaTheme="minorEastAsia" w:hAnsiTheme="minorEastAsia" w:cs="Times New Roman"/>
                  </w:rPr>
                  <w:t>2,199,673</w:t>
                </w:r>
              </w:p>
            </w:tc>
            <w:tc>
              <w:tcPr>
                <w:tcW w:w="688" w:type="pct"/>
                <w:tcBorders>
                  <w:top w:val="nil"/>
                  <w:left w:val="single" w:sz="4" w:space="0" w:color="auto"/>
                  <w:bottom w:val="single" w:sz="4" w:space="0" w:color="auto"/>
                  <w:right w:val="single" w:sz="4" w:space="0" w:color="auto"/>
                </w:tcBorders>
                <w:shd w:val="clear" w:color="auto" w:fill="auto"/>
                <w:vAlign w:val="center"/>
              </w:tcPr>
              <w:p w14:paraId="455711AA" w14:textId="77777777" w:rsidR="007E7472" w:rsidRPr="006718A2" w:rsidRDefault="00EC1269">
                <w:pPr>
                  <w:jc w:val="right"/>
                  <w:rPr>
                    <w:rFonts w:asciiTheme="minorEastAsia" w:eastAsiaTheme="minorEastAsia" w:hAnsiTheme="minorEastAsia" w:cs="Times New Roman"/>
                  </w:rPr>
                </w:pPr>
                <w:r w:rsidRPr="006718A2">
                  <w:rPr>
                    <w:rFonts w:asciiTheme="minorEastAsia" w:eastAsiaTheme="minorEastAsia" w:hAnsiTheme="minorEastAsia" w:cs="Times New Roman"/>
                  </w:rPr>
                  <w:t>2,830,813</w:t>
                </w:r>
              </w:p>
            </w:tc>
            <w:tc>
              <w:tcPr>
                <w:tcW w:w="767" w:type="pct"/>
                <w:tcBorders>
                  <w:top w:val="nil"/>
                  <w:left w:val="nil"/>
                  <w:bottom w:val="single" w:sz="4" w:space="0" w:color="auto"/>
                  <w:right w:val="single" w:sz="4" w:space="0" w:color="auto"/>
                </w:tcBorders>
                <w:shd w:val="clear" w:color="auto" w:fill="auto"/>
                <w:vAlign w:val="center"/>
              </w:tcPr>
              <w:p w14:paraId="384D86D1" w14:textId="77777777" w:rsidR="007E7472" w:rsidRPr="006718A2" w:rsidRDefault="00EC1269">
                <w:pPr>
                  <w:jc w:val="right"/>
                  <w:rPr>
                    <w:rFonts w:asciiTheme="minorEastAsia" w:eastAsiaTheme="minorEastAsia" w:hAnsiTheme="minorEastAsia" w:cs="Times New Roman"/>
                  </w:rPr>
                </w:pPr>
                <w:r w:rsidRPr="006718A2">
                  <w:rPr>
                    <w:rFonts w:asciiTheme="minorEastAsia" w:eastAsiaTheme="minorEastAsia" w:hAnsiTheme="minorEastAsia" w:cs="Times New Roman"/>
                  </w:rPr>
                  <w:t>735</w:t>
                </w:r>
              </w:p>
            </w:tc>
            <w:tc>
              <w:tcPr>
                <w:tcW w:w="609" w:type="pct"/>
                <w:tcBorders>
                  <w:top w:val="nil"/>
                  <w:left w:val="nil"/>
                  <w:bottom w:val="single" w:sz="4" w:space="0" w:color="auto"/>
                  <w:right w:val="single" w:sz="4" w:space="0" w:color="auto"/>
                </w:tcBorders>
                <w:shd w:val="clear" w:color="auto" w:fill="auto"/>
                <w:vAlign w:val="center"/>
              </w:tcPr>
              <w:p w14:paraId="1139D486" w14:textId="77777777" w:rsidR="007E7472" w:rsidRPr="006718A2" w:rsidRDefault="00EC1269">
                <w:pPr>
                  <w:jc w:val="right"/>
                  <w:rPr>
                    <w:rFonts w:asciiTheme="minorEastAsia" w:eastAsiaTheme="minorEastAsia" w:hAnsiTheme="minorEastAsia" w:cs="Times New Roman"/>
                  </w:rPr>
                </w:pPr>
                <w:r w:rsidRPr="006718A2">
                  <w:rPr>
                    <w:rFonts w:asciiTheme="minorEastAsia" w:eastAsiaTheme="minorEastAsia" w:hAnsiTheme="minorEastAsia" w:cs="Times New Roman"/>
                  </w:rPr>
                  <w:t>2,830,078</w:t>
                </w:r>
              </w:p>
            </w:tc>
          </w:tr>
          <w:tr w:rsidR="007E7472" w14:paraId="7010E041" w14:textId="77777777" w:rsidTr="007E7472">
            <w:trPr>
              <w:cantSplit/>
              <w:trHeight w:val="340"/>
            </w:trPr>
            <w:tc>
              <w:tcPr>
                <w:tcW w:w="881" w:type="pct"/>
                <w:vAlign w:val="center"/>
              </w:tcPr>
              <w:p w14:paraId="3801476B" w14:textId="77777777" w:rsidR="007E7472" w:rsidRPr="006718A2" w:rsidRDefault="00EC1269">
                <w:pPr>
                  <w:autoSpaceDE w:val="0"/>
                  <w:autoSpaceDN w:val="0"/>
                  <w:adjustRightInd w:val="0"/>
                  <w:rPr>
                    <w:rFonts w:asciiTheme="minorEastAsia" w:eastAsiaTheme="minorEastAsia" w:hAnsiTheme="minorEastAsia"/>
                  </w:rPr>
                </w:pPr>
                <w:r w:rsidRPr="006718A2">
                  <w:rPr>
                    <w:rFonts w:asciiTheme="minorEastAsia" w:eastAsiaTheme="minorEastAsia" w:hAnsiTheme="minorEastAsia" w:hint="eastAsia"/>
                  </w:rPr>
                  <w:t>低值易耗品</w:t>
                </w:r>
              </w:p>
            </w:tc>
            <w:tc>
              <w:tcPr>
                <w:tcW w:w="591" w:type="pct"/>
                <w:tcBorders>
                  <w:top w:val="nil"/>
                  <w:left w:val="single" w:sz="4" w:space="0" w:color="auto"/>
                  <w:bottom w:val="single" w:sz="4" w:space="0" w:color="auto"/>
                  <w:right w:val="single" w:sz="4" w:space="0" w:color="auto"/>
                </w:tcBorders>
                <w:shd w:val="clear" w:color="auto" w:fill="auto"/>
                <w:vAlign w:val="center"/>
              </w:tcPr>
              <w:p w14:paraId="241DAE50" w14:textId="77777777" w:rsidR="007E7472" w:rsidRPr="006718A2" w:rsidRDefault="00EC1269">
                <w:pPr>
                  <w:jc w:val="right"/>
                  <w:rPr>
                    <w:rFonts w:asciiTheme="minorEastAsia" w:eastAsiaTheme="minorEastAsia" w:hAnsiTheme="minorEastAsia" w:cs="Times New Roman"/>
                  </w:rPr>
                </w:pPr>
                <w:r w:rsidRPr="006718A2">
                  <w:rPr>
                    <w:rFonts w:asciiTheme="minorEastAsia" w:eastAsiaTheme="minorEastAsia" w:hAnsiTheme="minorEastAsia" w:cs="Times New Roman"/>
                  </w:rPr>
                  <w:t>703,153</w:t>
                </w:r>
              </w:p>
            </w:tc>
            <w:tc>
              <w:tcPr>
                <w:tcW w:w="770" w:type="pct"/>
                <w:tcBorders>
                  <w:top w:val="nil"/>
                  <w:left w:val="nil"/>
                  <w:bottom w:val="single" w:sz="4" w:space="0" w:color="auto"/>
                  <w:right w:val="single" w:sz="4" w:space="0" w:color="auto"/>
                </w:tcBorders>
                <w:shd w:val="clear" w:color="auto" w:fill="auto"/>
                <w:vAlign w:val="center"/>
              </w:tcPr>
              <w:p w14:paraId="21B4EFC2" w14:textId="77777777" w:rsidR="007E7472" w:rsidRPr="006718A2" w:rsidRDefault="00C8327E">
                <w:pPr>
                  <w:jc w:val="right"/>
                  <w:rPr>
                    <w:rFonts w:asciiTheme="minorEastAsia" w:eastAsiaTheme="minorEastAsia" w:hAnsiTheme="minorEastAsia" w:cs="Times New Roman"/>
                  </w:rPr>
                </w:pPr>
              </w:p>
            </w:tc>
            <w:tc>
              <w:tcPr>
                <w:tcW w:w="694" w:type="pct"/>
                <w:tcBorders>
                  <w:top w:val="nil"/>
                  <w:left w:val="nil"/>
                  <w:bottom w:val="single" w:sz="4" w:space="0" w:color="auto"/>
                  <w:right w:val="single" w:sz="4" w:space="0" w:color="auto"/>
                </w:tcBorders>
                <w:shd w:val="clear" w:color="auto" w:fill="auto"/>
                <w:vAlign w:val="center"/>
              </w:tcPr>
              <w:p w14:paraId="355E9DE6" w14:textId="77777777" w:rsidR="007E7472" w:rsidRPr="006718A2" w:rsidRDefault="00EC1269">
                <w:pPr>
                  <w:jc w:val="right"/>
                  <w:rPr>
                    <w:rFonts w:asciiTheme="minorEastAsia" w:eastAsiaTheme="minorEastAsia" w:hAnsiTheme="minorEastAsia" w:cs="Times New Roman"/>
                  </w:rPr>
                </w:pPr>
                <w:r w:rsidRPr="006718A2">
                  <w:rPr>
                    <w:rFonts w:asciiTheme="minorEastAsia" w:eastAsiaTheme="minorEastAsia" w:hAnsiTheme="minorEastAsia" w:cs="Times New Roman"/>
                  </w:rPr>
                  <w:t>703,153</w:t>
                </w:r>
              </w:p>
            </w:tc>
            <w:tc>
              <w:tcPr>
                <w:tcW w:w="688" w:type="pct"/>
                <w:tcBorders>
                  <w:top w:val="nil"/>
                  <w:left w:val="single" w:sz="4" w:space="0" w:color="auto"/>
                  <w:bottom w:val="single" w:sz="4" w:space="0" w:color="auto"/>
                  <w:right w:val="single" w:sz="4" w:space="0" w:color="auto"/>
                </w:tcBorders>
                <w:shd w:val="clear" w:color="auto" w:fill="auto"/>
                <w:vAlign w:val="center"/>
              </w:tcPr>
              <w:p w14:paraId="09DC51C8" w14:textId="77777777" w:rsidR="007E7472" w:rsidRPr="006718A2" w:rsidRDefault="00EC1269">
                <w:pPr>
                  <w:jc w:val="right"/>
                  <w:rPr>
                    <w:rFonts w:asciiTheme="minorEastAsia" w:eastAsiaTheme="minorEastAsia" w:hAnsiTheme="minorEastAsia" w:cs="Times New Roman"/>
                  </w:rPr>
                </w:pPr>
                <w:r w:rsidRPr="006718A2">
                  <w:rPr>
                    <w:rFonts w:asciiTheme="minorEastAsia" w:eastAsiaTheme="minorEastAsia" w:hAnsiTheme="minorEastAsia" w:cs="Times New Roman"/>
                  </w:rPr>
                  <w:t>664,020</w:t>
                </w:r>
              </w:p>
            </w:tc>
            <w:tc>
              <w:tcPr>
                <w:tcW w:w="767" w:type="pct"/>
                <w:tcBorders>
                  <w:top w:val="nil"/>
                  <w:left w:val="nil"/>
                  <w:bottom w:val="single" w:sz="4" w:space="0" w:color="auto"/>
                  <w:right w:val="single" w:sz="4" w:space="0" w:color="auto"/>
                </w:tcBorders>
                <w:shd w:val="clear" w:color="auto" w:fill="auto"/>
                <w:vAlign w:val="center"/>
              </w:tcPr>
              <w:p w14:paraId="643A153C" w14:textId="77777777" w:rsidR="007E7472" w:rsidRPr="006718A2" w:rsidRDefault="00C8327E">
                <w:pPr>
                  <w:jc w:val="right"/>
                  <w:rPr>
                    <w:rFonts w:asciiTheme="minorEastAsia" w:eastAsiaTheme="minorEastAsia" w:hAnsiTheme="minorEastAsia" w:cs="Times New Roman"/>
                  </w:rPr>
                </w:pPr>
              </w:p>
            </w:tc>
            <w:tc>
              <w:tcPr>
                <w:tcW w:w="609" w:type="pct"/>
                <w:tcBorders>
                  <w:top w:val="nil"/>
                  <w:left w:val="nil"/>
                  <w:bottom w:val="single" w:sz="4" w:space="0" w:color="auto"/>
                  <w:right w:val="single" w:sz="4" w:space="0" w:color="auto"/>
                </w:tcBorders>
                <w:shd w:val="clear" w:color="auto" w:fill="auto"/>
                <w:vAlign w:val="center"/>
              </w:tcPr>
              <w:p w14:paraId="234D85C0" w14:textId="77777777" w:rsidR="007E7472" w:rsidRPr="006718A2" w:rsidRDefault="00EC1269">
                <w:pPr>
                  <w:jc w:val="right"/>
                  <w:rPr>
                    <w:rFonts w:asciiTheme="minorEastAsia" w:eastAsiaTheme="minorEastAsia" w:hAnsiTheme="minorEastAsia" w:cs="Times New Roman"/>
                  </w:rPr>
                </w:pPr>
                <w:r w:rsidRPr="006718A2">
                  <w:rPr>
                    <w:rFonts w:asciiTheme="minorEastAsia" w:eastAsiaTheme="minorEastAsia" w:hAnsiTheme="minorEastAsia" w:cs="Times New Roman"/>
                  </w:rPr>
                  <w:t>664,020</w:t>
                </w:r>
              </w:p>
            </w:tc>
          </w:tr>
          <w:tr w:rsidR="007E7472" w14:paraId="6214CB76" w14:textId="77777777" w:rsidTr="007E7472">
            <w:trPr>
              <w:cantSplit/>
              <w:trHeight w:val="340"/>
            </w:trPr>
            <w:tc>
              <w:tcPr>
                <w:tcW w:w="881" w:type="pct"/>
                <w:vAlign w:val="center"/>
              </w:tcPr>
              <w:p w14:paraId="5277FEB8" w14:textId="77777777" w:rsidR="007E7472" w:rsidRPr="006718A2" w:rsidRDefault="00EC1269">
                <w:pPr>
                  <w:autoSpaceDE w:val="0"/>
                  <w:autoSpaceDN w:val="0"/>
                  <w:adjustRightInd w:val="0"/>
                  <w:rPr>
                    <w:rFonts w:asciiTheme="minorEastAsia" w:eastAsiaTheme="minorEastAsia" w:hAnsiTheme="minorEastAsia"/>
                  </w:rPr>
                </w:pPr>
                <w:r w:rsidRPr="006718A2">
                  <w:rPr>
                    <w:rFonts w:asciiTheme="minorEastAsia" w:eastAsiaTheme="minorEastAsia" w:hAnsiTheme="minorEastAsia" w:hint="eastAsia"/>
                  </w:rPr>
                  <w:t>房地产开发成本</w:t>
                </w:r>
              </w:p>
            </w:tc>
            <w:tc>
              <w:tcPr>
                <w:tcW w:w="591" w:type="pct"/>
                <w:vAlign w:val="center"/>
              </w:tcPr>
              <w:p w14:paraId="6073C244" w14:textId="77777777" w:rsidR="007E7472" w:rsidRPr="006718A2" w:rsidRDefault="00C8327E">
                <w:pPr>
                  <w:ind w:right="5"/>
                  <w:jc w:val="right"/>
                  <w:rPr>
                    <w:rFonts w:asciiTheme="minorEastAsia" w:eastAsiaTheme="minorEastAsia" w:hAnsiTheme="minorEastAsia"/>
                  </w:rPr>
                </w:pPr>
              </w:p>
            </w:tc>
            <w:tc>
              <w:tcPr>
                <w:tcW w:w="770" w:type="pct"/>
                <w:vAlign w:val="center"/>
              </w:tcPr>
              <w:p w14:paraId="53F09A58" w14:textId="77777777" w:rsidR="007E7472" w:rsidRPr="006718A2" w:rsidRDefault="00C8327E">
                <w:pPr>
                  <w:ind w:right="5"/>
                  <w:jc w:val="right"/>
                  <w:rPr>
                    <w:rFonts w:asciiTheme="minorEastAsia" w:eastAsiaTheme="minorEastAsia" w:hAnsiTheme="minorEastAsia"/>
                  </w:rPr>
                </w:pPr>
              </w:p>
            </w:tc>
            <w:tc>
              <w:tcPr>
                <w:tcW w:w="694" w:type="pct"/>
                <w:vAlign w:val="center"/>
              </w:tcPr>
              <w:p w14:paraId="505E1489" w14:textId="77777777" w:rsidR="007E7472" w:rsidRPr="006718A2" w:rsidRDefault="00C8327E">
                <w:pPr>
                  <w:ind w:right="5"/>
                  <w:jc w:val="right"/>
                  <w:rPr>
                    <w:rFonts w:asciiTheme="minorEastAsia" w:eastAsiaTheme="minorEastAsia" w:hAnsiTheme="minorEastAsia"/>
                  </w:rPr>
                </w:pPr>
              </w:p>
            </w:tc>
            <w:tc>
              <w:tcPr>
                <w:tcW w:w="688" w:type="pct"/>
                <w:tcBorders>
                  <w:top w:val="nil"/>
                  <w:left w:val="single" w:sz="4" w:space="0" w:color="auto"/>
                  <w:bottom w:val="single" w:sz="4" w:space="0" w:color="auto"/>
                  <w:right w:val="single" w:sz="4" w:space="0" w:color="auto"/>
                </w:tcBorders>
                <w:shd w:val="clear" w:color="auto" w:fill="auto"/>
                <w:vAlign w:val="center"/>
              </w:tcPr>
              <w:p w14:paraId="44469B32" w14:textId="77777777" w:rsidR="007E7472" w:rsidRPr="006718A2" w:rsidRDefault="00EC1269">
                <w:pPr>
                  <w:jc w:val="right"/>
                  <w:rPr>
                    <w:rFonts w:asciiTheme="minorEastAsia" w:eastAsiaTheme="minorEastAsia" w:hAnsiTheme="minorEastAsia" w:cs="Times New Roman"/>
                  </w:rPr>
                </w:pPr>
                <w:r w:rsidRPr="006718A2">
                  <w:rPr>
                    <w:rFonts w:asciiTheme="minorEastAsia" w:eastAsiaTheme="minorEastAsia" w:hAnsiTheme="minorEastAsia" w:cs="Times New Roman"/>
                  </w:rPr>
                  <w:t>734,723</w:t>
                </w:r>
              </w:p>
            </w:tc>
            <w:tc>
              <w:tcPr>
                <w:tcW w:w="767" w:type="pct"/>
                <w:tcBorders>
                  <w:top w:val="nil"/>
                  <w:left w:val="nil"/>
                  <w:bottom w:val="single" w:sz="4" w:space="0" w:color="auto"/>
                  <w:right w:val="single" w:sz="4" w:space="0" w:color="auto"/>
                </w:tcBorders>
                <w:shd w:val="clear" w:color="auto" w:fill="auto"/>
                <w:vAlign w:val="center"/>
              </w:tcPr>
              <w:p w14:paraId="63BC9551" w14:textId="77777777" w:rsidR="007E7472" w:rsidRPr="006718A2" w:rsidRDefault="00EC1269">
                <w:pPr>
                  <w:jc w:val="right"/>
                  <w:rPr>
                    <w:rFonts w:asciiTheme="minorEastAsia" w:eastAsiaTheme="minorEastAsia" w:hAnsiTheme="minorEastAsia" w:cs="Times New Roman"/>
                  </w:rPr>
                </w:pPr>
                <w:r w:rsidRPr="006718A2">
                  <w:rPr>
                    <w:rFonts w:asciiTheme="minorEastAsia" w:eastAsiaTheme="minorEastAsia" w:hAnsiTheme="minorEastAsia" w:cs="Times New Roman"/>
                  </w:rPr>
                  <w:t>234,239</w:t>
                </w:r>
              </w:p>
            </w:tc>
            <w:tc>
              <w:tcPr>
                <w:tcW w:w="609" w:type="pct"/>
                <w:tcBorders>
                  <w:top w:val="nil"/>
                  <w:left w:val="nil"/>
                  <w:bottom w:val="single" w:sz="4" w:space="0" w:color="auto"/>
                  <w:right w:val="single" w:sz="4" w:space="0" w:color="auto"/>
                </w:tcBorders>
                <w:shd w:val="clear" w:color="auto" w:fill="auto"/>
                <w:vAlign w:val="center"/>
              </w:tcPr>
              <w:p w14:paraId="54B9418E" w14:textId="77777777" w:rsidR="007E7472" w:rsidRPr="006718A2" w:rsidRDefault="00EC1269">
                <w:pPr>
                  <w:jc w:val="right"/>
                  <w:rPr>
                    <w:rFonts w:asciiTheme="minorEastAsia" w:eastAsiaTheme="minorEastAsia" w:hAnsiTheme="minorEastAsia" w:cs="Times New Roman"/>
                  </w:rPr>
                </w:pPr>
                <w:r w:rsidRPr="006718A2">
                  <w:rPr>
                    <w:rFonts w:asciiTheme="minorEastAsia" w:eastAsiaTheme="minorEastAsia" w:hAnsiTheme="minorEastAsia" w:cs="Times New Roman"/>
                  </w:rPr>
                  <w:t>500,484</w:t>
                </w:r>
              </w:p>
            </w:tc>
          </w:tr>
          <w:tr w:rsidR="007E7472" w14:paraId="13CBAFCD" w14:textId="77777777" w:rsidTr="007E7472">
            <w:trPr>
              <w:cantSplit/>
              <w:trHeight w:val="340"/>
            </w:trPr>
            <w:tc>
              <w:tcPr>
                <w:tcW w:w="881" w:type="pct"/>
                <w:vAlign w:val="center"/>
              </w:tcPr>
              <w:p w14:paraId="52CE56C4" w14:textId="77777777" w:rsidR="007E7472" w:rsidRPr="006718A2" w:rsidRDefault="00EC1269">
                <w:pPr>
                  <w:ind w:right="5"/>
                  <w:jc w:val="center"/>
                  <w:rPr>
                    <w:rFonts w:asciiTheme="minorEastAsia" w:eastAsiaTheme="minorEastAsia" w:hAnsiTheme="minorEastAsia"/>
                  </w:rPr>
                </w:pPr>
                <w:r w:rsidRPr="006718A2">
                  <w:rPr>
                    <w:rFonts w:asciiTheme="minorEastAsia" w:eastAsiaTheme="minorEastAsia" w:hAnsiTheme="minorEastAsia" w:hint="eastAsia"/>
                  </w:rPr>
                  <w:t>合计</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50E3826E" w14:textId="77777777" w:rsidR="007E7472" w:rsidRPr="00E4374F" w:rsidRDefault="00EC1269">
                <w:pPr>
                  <w:jc w:val="right"/>
                  <w:rPr>
                    <w:rFonts w:asciiTheme="minorEastAsia" w:eastAsiaTheme="minorEastAsia" w:hAnsiTheme="minorEastAsia" w:cs="Times New Roman"/>
                    <w:bCs/>
                  </w:rPr>
                </w:pPr>
                <w:r w:rsidRPr="00E4374F">
                  <w:rPr>
                    <w:rFonts w:asciiTheme="minorEastAsia" w:eastAsiaTheme="minorEastAsia" w:hAnsiTheme="minorEastAsia" w:cs="Times New Roman"/>
                    <w:bCs/>
                  </w:rPr>
                  <w:t>7,199,628</w:t>
                </w:r>
              </w:p>
            </w:tc>
            <w:tc>
              <w:tcPr>
                <w:tcW w:w="770" w:type="pct"/>
                <w:tcBorders>
                  <w:top w:val="single" w:sz="4" w:space="0" w:color="auto"/>
                  <w:left w:val="nil"/>
                  <w:bottom w:val="single" w:sz="4" w:space="0" w:color="auto"/>
                  <w:right w:val="single" w:sz="4" w:space="0" w:color="auto"/>
                </w:tcBorders>
                <w:shd w:val="clear" w:color="auto" w:fill="auto"/>
                <w:vAlign w:val="center"/>
              </w:tcPr>
              <w:p w14:paraId="430F9F03" w14:textId="77777777" w:rsidR="007E7472" w:rsidRPr="00E4374F" w:rsidRDefault="00EC1269">
                <w:pPr>
                  <w:jc w:val="right"/>
                  <w:rPr>
                    <w:rFonts w:asciiTheme="minorEastAsia" w:eastAsiaTheme="minorEastAsia" w:hAnsiTheme="minorEastAsia" w:cs="Times New Roman"/>
                    <w:bCs/>
                  </w:rPr>
                </w:pPr>
                <w:r w:rsidRPr="00E4374F">
                  <w:rPr>
                    <w:rFonts w:asciiTheme="minorEastAsia" w:eastAsiaTheme="minorEastAsia" w:hAnsiTheme="minorEastAsia" w:cs="Times New Roman"/>
                    <w:bCs/>
                  </w:rPr>
                  <w:t>16,969</w:t>
                </w:r>
              </w:p>
            </w:tc>
            <w:tc>
              <w:tcPr>
                <w:tcW w:w="694" w:type="pct"/>
                <w:tcBorders>
                  <w:top w:val="single" w:sz="4" w:space="0" w:color="auto"/>
                  <w:left w:val="nil"/>
                  <w:bottom w:val="single" w:sz="4" w:space="0" w:color="auto"/>
                  <w:right w:val="single" w:sz="4" w:space="0" w:color="auto"/>
                </w:tcBorders>
                <w:shd w:val="clear" w:color="auto" w:fill="auto"/>
                <w:vAlign w:val="center"/>
              </w:tcPr>
              <w:p w14:paraId="495402E4" w14:textId="77777777" w:rsidR="007E7472" w:rsidRPr="00E4374F" w:rsidRDefault="00EC1269">
                <w:pPr>
                  <w:jc w:val="right"/>
                  <w:rPr>
                    <w:rFonts w:asciiTheme="minorEastAsia" w:eastAsiaTheme="minorEastAsia" w:hAnsiTheme="minorEastAsia" w:cs="Times New Roman"/>
                    <w:bCs/>
                  </w:rPr>
                </w:pPr>
                <w:r w:rsidRPr="00E4374F">
                  <w:rPr>
                    <w:rFonts w:asciiTheme="minorEastAsia" w:eastAsiaTheme="minorEastAsia" w:hAnsiTheme="minorEastAsia" w:cs="Times New Roman"/>
                    <w:bCs/>
                  </w:rPr>
                  <w:t>7,182,659</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36FFC5A3" w14:textId="77777777" w:rsidR="007E7472" w:rsidRPr="00E4374F" w:rsidRDefault="00EC1269">
                <w:pPr>
                  <w:jc w:val="right"/>
                  <w:rPr>
                    <w:rFonts w:asciiTheme="minorEastAsia" w:eastAsiaTheme="minorEastAsia" w:hAnsiTheme="minorEastAsia" w:cs="Times New Roman"/>
                    <w:bCs/>
                  </w:rPr>
                </w:pPr>
                <w:r w:rsidRPr="00E4374F">
                  <w:rPr>
                    <w:rFonts w:asciiTheme="minorEastAsia" w:eastAsiaTheme="minorEastAsia" w:hAnsiTheme="minorEastAsia" w:cs="Times New Roman"/>
                    <w:bCs/>
                  </w:rPr>
                  <w:t>9,203,979</w:t>
                </w:r>
              </w:p>
            </w:tc>
            <w:tc>
              <w:tcPr>
                <w:tcW w:w="767" w:type="pct"/>
                <w:tcBorders>
                  <w:top w:val="single" w:sz="4" w:space="0" w:color="auto"/>
                  <w:left w:val="nil"/>
                  <w:bottom w:val="single" w:sz="4" w:space="0" w:color="auto"/>
                  <w:right w:val="single" w:sz="4" w:space="0" w:color="auto"/>
                </w:tcBorders>
                <w:shd w:val="clear" w:color="auto" w:fill="auto"/>
                <w:vAlign w:val="center"/>
              </w:tcPr>
              <w:p w14:paraId="0D4DCBC5" w14:textId="77777777" w:rsidR="007E7472" w:rsidRPr="00E4374F" w:rsidRDefault="00EC1269">
                <w:pPr>
                  <w:jc w:val="right"/>
                  <w:rPr>
                    <w:rFonts w:asciiTheme="minorEastAsia" w:eastAsiaTheme="minorEastAsia" w:hAnsiTheme="minorEastAsia" w:cs="Times New Roman"/>
                    <w:bCs/>
                  </w:rPr>
                </w:pPr>
                <w:r w:rsidRPr="00E4374F">
                  <w:rPr>
                    <w:rFonts w:asciiTheme="minorEastAsia" w:eastAsiaTheme="minorEastAsia" w:hAnsiTheme="minorEastAsia" w:cs="Times New Roman"/>
                    <w:bCs/>
                  </w:rPr>
                  <w:t>287,479</w:t>
                </w:r>
              </w:p>
            </w:tc>
            <w:tc>
              <w:tcPr>
                <w:tcW w:w="609" w:type="pct"/>
                <w:tcBorders>
                  <w:top w:val="single" w:sz="4" w:space="0" w:color="auto"/>
                  <w:left w:val="nil"/>
                  <w:bottom w:val="single" w:sz="4" w:space="0" w:color="auto"/>
                  <w:right w:val="single" w:sz="4" w:space="0" w:color="auto"/>
                </w:tcBorders>
                <w:shd w:val="clear" w:color="auto" w:fill="auto"/>
                <w:vAlign w:val="center"/>
              </w:tcPr>
              <w:p w14:paraId="7C8EF7F7" w14:textId="77777777" w:rsidR="007E7472" w:rsidRPr="00E4374F" w:rsidRDefault="00EC1269">
                <w:pPr>
                  <w:jc w:val="right"/>
                  <w:rPr>
                    <w:rFonts w:asciiTheme="minorEastAsia" w:eastAsiaTheme="minorEastAsia" w:hAnsiTheme="minorEastAsia" w:cs="Times New Roman"/>
                    <w:bCs/>
                  </w:rPr>
                </w:pPr>
                <w:r w:rsidRPr="00E4374F">
                  <w:rPr>
                    <w:rFonts w:asciiTheme="minorEastAsia" w:eastAsiaTheme="minorEastAsia" w:hAnsiTheme="minorEastAsia" w:cs="Times New Roman"/>
                    <w:bCs/>
                  </w:rPr>
                  <w:t>8,916,500</w:t>
                </w:r>
              </w:p>
            </w:tc>
          </w:tr>
        </w:tbl>
        <w:p w14:paraId="082402B3" w14:textId="77777777" w:rsidR="007E7472" w:rsidRDefault="00C8327E"/>
      </w:sdtContent>
    </w:sdt>
    <w:bookmarkEnd w:id="184" w:displacedByCustomXml="next"/>
    <w:bookmarkStart w:id="185" w:name="_Hlk10470459" w:displacedByCustomXml="next"/>
    <w:sdt>
      <w:sdtPr>
        <w:rPr>
          <w:rFonts w:ascii="宋体" w:hAnsi="宋体" w:cs="宋体" w:hint="eastAsia"/>
          <w:b w:val="0"/>
          <w:bCs w:val="0"/>
          <w:kern w:val="0"/>
          <w:sz w:val="20"/>
          <w:szCs w:val="24"/>
        </w:rPr>
        <w:alias w:val="模块:存货跌价准备"/>
        <w:tag w:val="_GBC_d00b46c41ac84794bd1f7b10e97923a0"/>
        <w:id w:val="-1132478245"/>
        <w:lock w:val="sdtLocked"/>
        <w:placeholder>
          <w:docPart w:val="GBC22222222222222222222222222222"/>
        </w:placeholder>
      </w:sdtPr>
      <w:sdtEndPr>
        <w:rPr>
          <w:szCs w:val="21"/>
        </w:rPr>
      </w:sdtEndPr>
      <w:sdtContent>
        <w:p w14:paraId="68883B7B" w14:textId="77777777" w:rsidR="007E7472" w:rsidRDefault="00EC1269" w:rsidP="00162493">
          <w:pPr>
            <w:pStyle w:val="4"/>
            <w:numPr>
              <w:ilvl w:val="0"/>
              <w:numId w:val="67"/>
            </w:numPr>
            <w:rPr>
              <w:rFonts w:asciiTheme="minorEastAsia" w:eastAsiaTheme="minorEastAsia" w:hAnsiTheme="minorEastAsia"/>
            </w:rPr>
          </w:pPr>
          <w:r>
            <w:rPr>
              <w:rFonts w:asciiTheme="minorEastAsia" w:eastAsiaTheme="minorEastAsia" w:hAnsiTheme="minorEastAsia" w:hint="eastAsia"/>
            </w:rPr>
            <w:t>存货跌价准备及合同履约成本减值准备</w:t>
          </w:r>
        </w:p>
        <w:sdt>
          <w:sdtPr>
            <w:rPr>
              <w:rFonts w:asciiTheme="minorEastAsia" w:eastAsiaTheme="minorEastAsia" w:hAnsiTheme="minorEastAsia"/>
            </w:rPr>
            <w:alias w:val="是否适用：存货跌价准备[双击切换]"/>
            <w:tag w:val="_GBC_b9bd4a0fa089468ebded8bb61a86fbae"/>
            <w:id w:val="-1641961134"/>
            <w:lock w:val="sdtLocked"/>
            <w:placeholder>
              <w:docPart w:val="GBC22222222222222222222222222222"/>
            </w:placeholder>
          </w:sdtPr>
          <w:sdtEndPr/>
          <w:sdtContent>
            <w:p w14:paraId="4D5ECF33" w14:textId="77777777" w:rsidR="007E7472" w:rsidRDefault="00EC1269">
              <w:pPr>
                <w:rPr>
                  <w:rFonts w:asciiTheme="minorEastAsia" w:eastAsiaTheme="minorEastAsia" w:hAnsiTheme="minorEastAsia"/>
                </w:rPr>
              </w:pP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493FB87C" w14:textId="51F05E54" w:rsidR="007E7472" w:rsidRDefault="00EC1269">
          <w:pPr>
            <w:jc w:val="right"/>
            <w:rPr>
              <w:rFonts w:asciiTheme="minorEastAsia" w:eastAsiaTheme="minorEastAsia" w:hAnsiTheme="minorEastAsia"/>
            </w:rPr>
          </w:pPr>
          <w:r>
            <w:rPr>
              <w:rFonts w:asciiTheme="minorEastAsia" w:eastAsiaTheme="minorEastAsia" w:hAnsiTheme="minorEastAsia" w:hint="eastAsia"/>
            </w:rPr>
            <w:t>单位：</w:t>
          </w:r>
          <w:sdt>
            <w:sdtPr>
              <w:rPr>
                <w:rFonts w:asciiTheme="minorEastAsia" w:eastAsiaTheme="minorEastAsia" w:hAnsiTheme="minorEastAsia" w:hint="eastAsia"/>
              </w:rPr>
              <w:alias w:val="单位：存货跌价准备"/>
              <w:tag w:val="_GBC_42225a9505da4f598594afea08f9738b"/>
              <w:id w:val="2810763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asciiTheme="minorEastAsia" w:eastAsiaTheme="minorEastAsia" w:hAnsiTheme="minorEastAsia" w:hint="eastAsia"/>
                </w:rPr>
                <w:t>千元</w:t>
              </w:r>
            </w:sdtContent>
          </w:sdt>
          <w:r>
            <w:rPr>
              <w:rFonts w:asciiTheme="minorEastAsia" w:eastAsiaTheme="minorEastAsia" w:hAnsiTheme="minorEastAsia" w:hint="eastAsia"/>
            </w:rPr>
            <w:t>币种：</w:t>
          </w:r>
          <w:sdt>
            <w:sdtPr>
              <w:rPr>
                <w:rFonts w:asciiTheme="minorEastAsia" w:eastAsiaTheme="minorEastAsia" w:hAnsiTheme="minorEastAsia" w:hint="eastAsia"/>
              </w:rPr>
              <w:alias w:val="币种：存货跌价准备"/>
              <w:tag w:val="_GBC_4de434e29d00482b8b3175d1e7874ff2"/>
              <w:id w:val="-17978294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asciiTheme="minorEastAsia" w:eastAsiaTheme="minorEastAsia" w:hAnsiTheme="minorEastAsia"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9"/>
            <w:gridCol w:w="951"/>
            <w:gridCol w:w="1124"/>
            <w:gridCol w:w="1115"/>
            <w:gridCol w:w="951"/>
            <w:gridCol w:w="1031"/>
            <w:gridCol w:w="1009"/>
            <w:gridCol w:w="893"/>
          </w:tblGrid>
          <w:tr w:rsidR="007E7472" w14:paraId="1F033804" w14:textId="77777777">
            <w:trPr>
              <w:trHeight w:val="238"/>
            </w:trPr>
            <w:sdt>
              <w:sdtPr>
                <w:rPr>
                  <w:rFonts w:asciiTheme="minorEastAsia" w:eastAsiaTheme="minorEastAsia" w:hAnsiTheme="minorEastAsia"/>
                </w:rPr>
                <w:tag w:val="_PLD_08d27e088675483b81e6b09cfaf565b8"/>
                <w:id w:val="1017115248"/>
                <w:lock w:val="sdtLocked"/>
              </w:sdtPr>
              <w:sdtEndPr/>
              <w:sdtContent>
                <w:tc>
                  <w:tcPr>
                    <w:tcW w:w="991" w:type="pct"/>
                    <w:vMerge w:val="restart"/>
                    <w:tcBorders>
                      <w:top w:val="single" w:sz="4" w:space="0" w:color="auto"/>
                      <w:left w:val="single" w:sz="4" w:space="0" w:color="auto"/>
                      <w:bottom w:val="single" w:sz="4" w:space="0" w:color="auto"/>
                      <w:right w:val="single" w:sz="4" w:space="0" w:color="auto"/>
                    </w:tcBorders>
                    <w:vAlign w:val="center"/>
                  </w:tcPr>
                  <w:p w14:paraId="2C954889" w14:textId="77777777" w:rsidR="007E7472" w:rsidRDefault="00EC1269">
                    <w:pPr>
                      <w:jc w:val="center"/>
                      <w:rPr>
                        <w:rFonts w:asciiTheme="minorEastAsia" w:eastAsiaTheme="minorEastAsia" w:hAnsiTheme="minorEastAsia"/>
                      </w:rPr>
                    </w:pPr>
                    <w:r>
                      <w:rPr>
                        <w:rFonts w:asciiTheme="minorEastAsia" w:eastAsiaTheme="minorEastAsia" w:hAnsiTheme="minorEastAsia" w:hint="eastAsia"/>
                      </w:rPr>
                      <w:t>项目</w:t>
                    </w:r>
                  </w:p>
                </w:tc>
              </w:sdtContent>
            </w:sdt>
            <w:sdt>
              <w:sdtPr>
                <w:rPr>
                  <w:rFonts w:asciiTheme="minorEastAsia" w:eastAsiaTheme="minorEastAsia" w:hAnsiTheme="minorEastAsia"/>
                </w:rPr>
                <w:tag w:val="_PLD_631ae60526c9437f842913d632c47f24"/>
                <w:id w:val="445819132"/>
                <w:lock w:val="sdtLocked"/>
              </w:sdtPr>
              <w:sdtEndPr/>
              <w:sdtContent>
                <w:tc>
                  <w:tcPr>
                    <w:tcW w:w="539" w:type="pct"/>
                    <w:vMerge w:val="restart"/>
                    <w:tcBorders>
                      <w:top w:val="single" w:sz="4" w:space="0" w:color="auto"/>
                      <w:left w:val="single" w:sz="4" w:space="0" w:color="auto"/>
                      <w:bottom w:val="single" w:sz="4" w:space="0" w:color="auto"/>
                      <w:right w:val="single" w:sz="4" w:space="0" w:color="auto"/>
                    </w:tcBorders>
                    <w:vAlign w:val="center"/>
                  </w:tcPr>
                  <w:p w14:paraId="760C814A" w14:textId="77777777" w:rsidR="007E7472" w:rsidRDefault="00EC1269">
                    <w:pPr>
                      <w:jc w:val="center"/>
                      <w:rPr>
                        <w:rFonts w:asciiTheme="minorEastAsia" w:eastAsiaTheme="minorEastAsia" w:hAnsiTheme="minorEastAsia"/>
                      </w:rPr>
                    </w:pPr>
                    <w:r>
                      <w:rPr>
                        <w:rFonts w:asciiTheme="minorEastAsia" w:eastAsiaTheme="minorEastAsia" w:hAnsiTheme="minorEastAsia" w:hint="eastAsia"/>
                      </w:rPr>
                      <w:t>期初余额</w:t>
                    </w:r>
                  </w:p>
                </w:tc>
              </w:sdtContent>
            </w:sdt>
            <w:sdt>
              <w:sdtPr>
                <w:rPr>
                  <w:rFonts w:asciiTheme="minorEastAsia" w:eastAsiaTheme="minorEastAsia" w:hAnsiTheme="minorEastAsia"/>
                </w:rPr>
                <w:tag w:val="_PLD_bc39054479074b8ab34cb8519780a5f1"/>
                <w:id w:val="966397486"/>
                <w:lock w:val="sdtLocked"/>
              </w:sdtPr>
              <w:sdtEndPr/>
              <w:sdtContent>
                <w:tc>
                  <w:tcPr>
                    <w:tcW w:w="1269" w:type="pct"/>
                    <w:gridSpan w:val="2"/>
                    <w:tcBorders>
                      <w:top w:val="single" w:sz="4" w:space="0" w:color="auto"/>
                      <w:left w:val="single" w:sz="4" w:space="0" w:color="auto"/>
                      <w:right w:val="single" w:sz="4" w:space="0" w:color="auto"/>
                    </w:tcBorders>
                    <w:vAlign w:val="center"/>
                  </w:tcPr>
                  <w:p w14:paraId="58C8E5B3" w14:textId="77777777" w:rsidR="007E7472" w:rsidRDefault="00EC1269">
                    <w:pPr>
                      <w:jc w:val="center"/>
                      <w:rPr>
                        <w:rFonts w:asciiTheme="minorEastAsia" w:eastAsiaTheme="minorEastAsia" w:hAnsiTheme="minorEastAsia"/>
                      </w:rPr>
                    </w:pPr>
                    <w:r>
                      <w:rPr>
                        <w:rFonts w:asciiTheme="minorEastAsia" w:eastAsiaTheme="minorEastAsia" w:hAnsiTheme="minorEastAsia" w:hint="eastAsia"/>
                      </w:rPr>
                      <w:t>本期增加金额</w:t>
                    </w:r>
                  </w:p>
                </w:tc>
              </w:sdtContent>
            </w:sdt>
            <w:sdt>
              <w:sdtPr>
                <w:rPr>
                  <w:rFonts w:asciiTheme="minorEastAsia" w:eastAsiaTheme="minorEastAsia" w:hAnsiTheme="minorEastAsia"/>
                </w:rPr>
                <w:tag w:val="_PLD_a4a235b43e524c0c98a604df05693747"/>
                <w:id w:val="1229500461"/>
                <w:lock w:val="sdtLocked"/>
              </w:sdtPr>
              <w:sdtEndPr/>
              <w:sdtContent>
                <w:tc>
                  <w:tcPr>
                    <w:tcW w:w="1123" w:type="pct"/>
                    <w:gridSpan w:val="2"/>
                    <w:tcBorders>
                      <w:top w:val="single" w:sz="4" w:space="0" w:color="auto"/>
                      <w:left w:val="single" w:sz="4" w:space="0" w:color="auto"/>
                      <w:right w:val="single" w:sz="4" w:space="0" w:color="auto"/>
                    </w:tcBorders>
                    <w:vAlign w:val="center"/>
                  </w:tcPr>
                  <w:p w14:paraId="2E20DA92" w14:textId="77777777" w:rsidR="007E7472" w:rsidRDefault="00EC1269">
                    <w:pPr>
                      <w:jc w:val="center"/>
                      <w:rPr>
                        <w:rFonts w:asciiTheme="minorEastAsia" w:eastAsiaTheme="minorEastAsia" w:hAnsiTheme="minorEastAsia"/>
                      </w:rPr>
                    </w:pPr>
                    <w:r>
                      <w:rPr>
                        <w:rFonts w:asciiTheme="minorEastAsia" w:eastAsiaTheme="minorEastAsia" w:hAnsiTheme="minorEastAsia" w:hint="eastAsia"/>
                      </w:rPr>
                      <w:t>本期减少金额</w:t>
                    </w:r>
                  </w:p>
                </w:tc>
              </w:sdtContent>
            </w:sdt>
            <w:tc>
              <w:tcPr>
                <w:tcW w:w="572" w:type="pct"/>
                <w:vMerge w:val="restart"/>
                <w:tcBorders>
                  <w:top w:val="single" w:sz="4" w:space="0" w:color="auto"/>
                  <w:left w:val="single" w:sz="4" w:space="0" w:color="auto"/>
                  <w:right w:val="single" w:sz="4" w:space="0" w:color="auto"/>
                </w:tcBorders>
                <w:vAlign w:val="center"/>
              </w:tcPr>
              <w:p w14:paraId="3D6DE503" w14:textId="77777777" w:rsidR="007E7472" w:rsidRDefault="00EC1269">
                <w:pPr>
                  <w:jc w:val="center"/>
                  <w:rPr>
                    <w:rFonts w:asciiTheme="minorEastAsia" w:eastAsiaTheme="minorEastAsia" w:hAnsiTheme="minorEastAsia"/>
                  </w:rPr>
                </w:pPr>
                <w:r>
                  <w:rPr>
                    <w:rFonts w:asciiTheme="minorEastAsia" w:eastAsiaTheme="minorEastAsia" w:hAnsiTheme="minorEastAsia"/>
                  </w:rPr>
                  <w:t>外币报表折算差额</w:t>
                </w:r>
              </w:p>
            </w:tc>
            <w:sdt>
              <w:sdtPr>
                <w:rPr>
                  <w:rFonts w:asciiTheme="minorEastAsia" w:eastAsiaTheme="minorEastAsia" w:hAnsiTheme="minorEastAsia"/>
                </w:rPr>
                <w:tag w:val="_PLD_fcea706dd57f438c8205de888401e160"/>
                <w:id w:val="445276425"/>
                <w:lock w:val="sdtLocked"/>
              </w:sdtPr>
              <w:sdtEndPr/>
              <w:sdtContent>
                <w:tc>
                  <w:tcPr>
                    <w:tcW w:w="507" w:type="pct"/>
                    <w:vMerge w:val="restart"/>
                    <w:tcBorders>
                      <w:top w:val="single" w:sz="4" w:space="0" w:color="auto"/>
                      <w:left w:val="single" w:sz="4" w:space="0" w:color="auto"/>
                      <w:bottom w:val="single" w:sz="4" w:space="0" w:color="auto"/>
                      <w:right w:val="single" w:sz="4" w:space="0" w:color="auto"/>
                    </w:tcBorders>
                    <w:vAlign w:val="center"/>
                  </w:tcPr>
                  <w:p w14:paraId="3BF772FD" w14:textId="77777777" w:rsidR="007E7472" w:rsidRDefault="00EC1269">
                    <w:pPr>
                      <w:jc w:val="center"/>
                      <w:rPr>
                        <w:rFonts w:asciiTheme="minorEastAsia" w:eastAsiaTheme="minorEastAsia" w:hAnsiTheme="minorEastAsia"/>
                      </w:rPr>
                    </w:pPr>
                    <w:r>
                      <w:rPr>
                        <w:rFonts w:asciiTheme="minorEastAsia" w:eastAsiaTheme="minorEastAsia" w:hAnsiTheme="minorEastAsia" w:hint="eastAsia"/>
                      </w:rPr>
                      <w:t>期末余额</w:t>
                    </w:r>
                  </w:p>
                </w:tc>
              </w:sdtContent>
            </w:sdt>
          </w:tr>
          <w:tr w:rsidR="007E7472" w14:paraId="384442A2" w14:textId="77777777">
            <w:trPr>
              <w:trHeight w:val="301"/>
            </w:trPr>
            <w:tc>
              <w:tcPr>
                <w:tcW w:w="991" w:type="pct"/>
                <w:vMerge/>
                <w:tcBorders>
                  <w:top w:val="single" w:sz="4" w:space="0" w:color="auto"/>
                  <w:left w:val="single" w:sz="4" w:space="0" w:color="auto"/>
                  <w:bottom w:val="single" w:sz="4" w:space="0" w:color="auto"/>
                  <w:right w:val="single" w:sz="4" w:space="0" w:color="auto"/>
                </w:tcBorders>
              </w:tcPr>
              <w:p w14:paraId="5988BEB4" w14:textId="77777777" w:rsidR="007E7472" w:rsidRDefault="00C8327E">
                <w:pPr>
                  <w:jc w:val="center"/>
                  <w:rPr>
                    <w:rFonts w:asciiTheme="minorEastAsia" w:eastAsiaTheme="minorEastAsia" w:hAnsiTheme="minorEastAsia"/>
                  </w:rPr>
                </w:pPr>
              </w:p>
            </w:tc>
            <w:tc>
              <w:tcPr>
                <w:tcW w:w="539" w:type="pct"/>
                <w:vMerge/>
                <w:tcBorders>
                  <w:top w:val="single" w:sz="4" w:space="0" w:color="auto"/>
                  <w:left w:val="single" w:sz="4" w:space="0" w:color="auto"/>
                  <w:bottom w:val="single" w:sz="4" w:space="0" w:color="auto"/>
                  <w:right w:val="single" w:sz="4" w:space="0" w:color="auto"/>
                </w:tcBorders>
              </w:tcPr>
              <w:p w14:paraId="6E08E3A4" w14:textId="77777777" w:rsidR="007E7472" w:rsidRDefault="00C8327E">
                <w:pPr>
                  <w:jc w:val="center"/>
                  <w:rPr>
                    <w:rFonts w:asciiTheme="minorEastAsia" w:eastAsiaTheme="minorEastAsia" w:hAnsiTheme="minorEastAsia"/>
                  </w:rPr>
                </w:pPr>
              </w:p>
            </w:tc>
            <w:sdt>
              <w:sdtPr>
                <w:rPr>
                  <w:rFonts w:asciiTheme="minorEastAsia" w:eastAsiaTheme="minorEastAsia" w:hAnsiTheme="minorEastAsia"/>
                </w:rPr>
                <w:tag w:val="_PLD_9355443eafab4f4a862c075a55d7e279"/>
                <w:id w:val="-137342428"/>
                <w:lock w:val="sdtLocked"/>
              </w:sdtPr>
              <w:sdtEndPr/>
              <w:sdtContent>
                <w:tc>
                  <w:tcPr>
                    <w:tcW w:w="637" w:type="pct"/>
                    <w:tcBorders>
                      <w:left w:val="single" w:sz="4" w:space="0" w:color="auto"/>
                      <w:bottom w:val="single" w:sz="4" w:space="0" w:color="auto"/>
                      <w:right w:val="single" w:sz="4" w:space="0" w:color="auto"/>
                    </w:tcBorders>
                    <w:vAlign w:val="center"/>
                  </w:tcPr>
                  <w:p w14:paraId="66120C21" w14:textId="77777777" w:rsidR="007E7472" w:rsidRDefault="00EC1269">
                    <w:pPr>
                      <w:jc w:val="center"/>
                      <w:rPr>
                        <w:rFonts w:asciiTheme="minorEastAsia" w:eastAsiaTheme="minorEastAsia" w:hAnsiTheme="minorEastAsia"/>
                      </w:rPr>
                    </w:pPr>
                    <w:r>
                      <w:rPr>
                        <w:rFonts w:asciiTheme="minorEastAsia" w:eastAsiaTheme="minorEastAsia" w:hAnsiTheme="minorEastAsia" w:hint="eastAsia"/>
                      </w:rPr>
                      <w:t>计提</w:t>
                    </w:r>
                  </w:p>
                </w:tc>
              </w:sdtContent>
            </w:sdt>
            <w:sdt>
              <w:sdtPr>
                <w:rPr>
                  <w:rFonts w:asciiTheme="minorEastAsia" w:eastAsiaTheme="minorEastAsia" w:hAnsiTheme="minorEastAsia"/>
                </w:rPr>
                <w:tag w:val="_PLD_e67cdd42c79245c980edb6a9d839ecd0"/>
                <w:id w:val="-2098164201"/>
                <w:lock w:val="sdtLocked"/>
              </w:sdtPr>
              <w:sdtEndPr/>
              <w:sdtContent>
                <w:tc>
                  <w:tcPr>
                    <w:tcW w:w="632" w:type="pct"/>
                    <w:tcBorders>
                      <w:left w:val="single" w:sz="4" w:space="0" w:color="auto"/>
                      <w:bottom w:val="single" w:sz="4" w:space="0" w:color="auto"/>
                      <w:right w:val="single" w:sz="4" w:space="0" w:color="auto"/>
                    </w:tcBorders>
                    <w:vAlign w:val="center"/>
                  </w:tcPr>
                  <w:p w14:paraId="5D682A13" w14:textId="77777777" w:rsidR="007E7472" w:rsidRDefault="00EC1269">
                    <w:pPr>
                      <w:jc w:val="center"/>
                      <w:rPr>
                        <w:rFonts w:asciiTheme="minorEastAsia" w:eastAsiaTheme="minorEastAsia" w:hAnsiTheme="minorEastAsia"/>
                      </w:rPr>
                    </w:pPr>
                    <w:r>
                      <w:rPr>
                        <w:rFonts w:asciiTheme="minorEastAsia" w:eastAsiaTheme="minorEastAsia" w:hAnsiTheme="minorEastAsia" w:hint="eastAsia"/>
                      </w:rPr>
                      <w:t>其他</w:t>
                    </w:r>
                  </w:p>
                </w:tc>
              </w:sdtContent>
            </w:sdt>
            <w:sdt>
              <w:sdtPr>
                <w:rPr>
                  <w:rFonts w:asciiTheme="minorEastAsia" w:eastAsiaTheme="minorEastAsia" w:hAnsiTheme="minorEastAsia"/>
                </w:rPr>
                <w:tag w:val="_PLD_d2a5b409858c40b5a77dea8d7f7c8500"/>
                <w:id w:val="1593427829"/>
                <w:lock w:val="sdtLocked"/>
              </w:sdtPr>
              <w:sdtEndPr/>
              <w:sdtContent>
                <w:tc>
                  <w:tcPr>
                    <w:tcW w:w="539" w:type="pct"/>
                    <w:tcBorders>
                      <w:top w:val="single" w:sz="4" w:space="0" w:color="auto"/>
                      <w:left w:val="single" w:sz="4" w:space="0" w:color="auto"/>
                      <w:bottom w:val="single" w:sz="4" w:space="0" w:color="auto"/>
                      <w:right w:val="single" w:sz="4" w:space="0" w:color="auto"/>
                    </w:tcBorders>
                    <w:vAlign w:val="center"/>
                  </w:tcPr>
                  <w:p w14:paraId="0022FDD0" w14:textId="77777777" w:rsidR="007E7472" w:rsidRDefault="00EC1269">
                    <w:pPr>
                      <w:jc w:val="center"/>
                      <w:rPr>
                        <w:rFonts w:asciiTheme="minorEastAsia" w:eastAsiaTheme="minorEastAsia" w:hAnsiTheme="minorEastAsia"/>
                      </w:rPr>
                    </w:pPr>
                    <w:r>
                      <w:rPr>
                        <w:rFonts w:asciiTheme="minorEastAsia" w:eastAsiaTheme="minorEastAsia" w:hAnsiTheme="minorEastAsia" w:hint="eastAsia"/>
                      </w:rPr>
                      <w:t>转回或转销</w:t>
                    </w:r>
                  </w:p>
                </w:tc>
              </w:sdtContent>
            </w:sdt>
            <w:sdt>
              <w:sdtPr>
                <w:rPr>
                  <w:rFonts w:asciiTheme="minorEastAsia" w:eastAsiaTheme="minorEastAsia" w:hAnsiTheme="minorEastAsia"/>
                </w:rPr>
                <w:tag w:val="_PLD_a0a39eeb19a049d18a777b0dc41ab25e"/>
                <w:id w:val="1017423854"/>
                <w:lock w:val="sdtLocked"/>
              </w:sdtPr>
              <w:sdtEndPr/>
              <w:sdtContent>
                <w:tc>
                  <w:tcPr>
                    <w:tcW w:w="584" w:type="pct"/>
                    <w:tcBorders>
                      <w:top w:val="single" w:sz="4" w:space="0" w:color="auto"/>
                      <w:left w:val="single" w:sz="4" w:space="0" w:color="auto"/>
                      <w:bottom w:val="single" w:sz="4" w:space="0" w:color="auto"/>
                      <w:right w:val="single" w:sz="4" w:space="0" w:color="auto"/>
                    </w:tcBorders>
                    <w:vAlign w:val="center"/>
                  </w:tcPr>
                  <w:p w14:paraId="596FBF0C" w14:textId="77777777" w:rsidR="007E7472" w:rsidRDefault="00EC1269">
                    <w:pPr>
                      <w:jc w:val="center"/>
                      <w:rPr>
                        <w:rFonts w:asciiTheme="minorEastAsia" w:eastAsiaTheme="minorEastAsia" w:hAnsiTheme="minorEastAsia"/>
                      </w:rPr>
                    </w:pPr>
                    <w:r>
                      <w:rPr>
                        <w:rFonts w:asciiTheme="minorEastAsia" w:eastAsiaTheme="minorEastAsia" w:hAnsiTheme="minorEastAsia" w:hint="eastAsia"/>
                      </w:rPr>
                      <w:t>其他</w:t>
                    </w:r>
                  </w:p>
                </w:tc>
              </w:sdtContent>
            </w:sdt>
            <w:tc>
              <w:tcPr>
                <w:tcW w:w="572" w:type="pct"/>
                <w:vMerge/>
                <w:tcBorders>
                  <w:left w:val="single" w:sz="4" w:space="0" w:color="auto"/>
                  <w:bottom w:val="single" w:sz="4" w:space="0" w:color="auto"/>
                  <w:right w:val="single" w:sz="4" w:space="0" w:color="auto"/>
                </w:tcBorders>
                <w:vAlign w:val="center"/>
              </w:tcPr>
              <w:p w14:paraId="2F0108D4" w14:textId="77777777" w:rsidR="007E7472" w:rsidRDefault="00C8327E">
                <w:pPr>
                  <w:jc w:val="center"/>
                  <w:rPr>
                    <w:rFonts w:asciiTheme="minorEastAsia" w:eastAsiaTheme="minorEastAsia" w:hAnsiTheme="minorEastAsia"/>
                  </w:rPr>
                </w:pPr>
              </w:p>
            </w:tc>
            <w:tc>
              <w:tcPr>
                <w:tcW w:w="507" w:type="pct"/>
                <w:vMerge/>
                <w:tcBorders>
                  <w:top w:val="single" w:sz="4" w:space="0" w:color="auto"/>
                  <w:left w:val="single" w:sz="4" w:space="0" w:color="auto"/>
                  <w:bottom w:val="single" w:sz="4" w:space="0" w:color="auto"/>
                  <w:right w:val="single" w:sz="4" w:space="0" w:color="auto"/>
                </w:tcBorders>
                <w:vAlign w:val="center"/>
              </w:tcPr>
              <w:p w14:paraId="55BC6A3B" w14:textId="77777777" w:rsidR="007E7472" w:rsidRDefault="00C8327E">
                <w:pPr>
                  <w:jc w:val="center"/>
                  <w:rPr>
                    <w:rFonts w:asciiTheme="minorEastAsia" w:eastAsiaTheme="minorEastAsia" w:hAnsiTheme="minorEastAsia"/>
                  </w:rPr>
                </w:pPr>
              </w:p>
            </w:tc>
          </w:tr>
          <w:tr w:rsidR="007E7472" w14:paraId="1EADFB98" w14:textId="77777777">
            <w:trPr>
              <w:trHeight w:val="20"/>
            </w:trPr>
            <w:tc>
              <w:tcPr>
                <w:tcW w:w="991" w:type="pct"/>
                <w:tcBorders>
                  <w:top w:val="single" w:sz="4" w:space="0" w:color="auto"/>
                  <w:left w:val="single" w:sz="4" w:space="0" w:color="auto"/>
                  <w:bottom w:val="single" w:sz="4" w:space="0" w:color="auto"/>
                  <w:right w:val="single" w:sz="4" w:space="0" w:color="auto"/>
                </w:tcBorders>
              </w:tcPr>
              <w:p w14:paraId="2DBD1B97" w14:textId="77777777" w:rsidR="007E7472" w:rsidRDefault="00EC1269">
                <w:pPr>
                  <w:rPr>
                    <w:rFonts w:asciiTheme="minorEastAsia" w:eastAsiaTheme="minorEastAsia" w:hAnsiTheme="minorEastAsia"/>
                  </w:rPr>
                </w:pPr>
                <w:r>
                  <w:rPr>
                    <w:rFonts w:asciiTheme="minorEastAsia" w:eastAsiaTheme="minorEastAsia" w:hAnsiTheme="minorEastAsia" w:hint="eastAsia"/>
                  </w:rPr>
                  <w:t>原材料</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14:paraId="4AD8486C" w14:textId="77777777" w:rsidR="007E7472" w:rsidRDefault="00EC1269">
                <w:pPr>
                  <w:jc w:val="right"/>
                  <w:rPr>
                    <w:rFonts w:asciiTheme="minorEastAsia" w:eastAsiaTheme="minorEastAsia" w:hAnsiTheme="minorEastAsia" w:cs="Times New Roman"/>
                    <w:bCs/>
                  </w:rPr>
                </w:pPr>
                <w:r>
                  <w:rPr>
                    <w:rFonts w:asciiTheme="minorEastAsia" w:eastAsiaTheme="minorEastAsia" w:hAnsiTheme="minorEastAsia" w:cs="Times New Roman"/>
                  </w:rPr>
                  <w:t>1,161</w:t>
                </w:r>
              </w:p>
            </w:tc>
            <w:tc>
              <w:tcPr>
                <w:tcW w:w="637" w:type="pct"/>
                <w:tcBorders>
                  <w:top w:val="single" w:sz="4" w:space="0" w:color="auto"/>
                  <w:left w:val="nil"/>
                  <w:bottom w:val="single" w:sz="4" w:space="0" w:color="auto"/>
                  <w:right w:val="single" w:sz="4" w:space="0" w:color="auto"/>
                </w:tcBorders>
                <w:shd w:val="clear" w:color="auto" w:fill="auto"/>
                <w:vAlign w:val="center"/>
              </w:tcPr>
              <w:p w14:paraId="665F2588" w14:textId="77777777" w:rsidR="007E7472" w:rsidRDefault="00C8327E">
                <w:pPr>
                  <w:jc w:val="right"/>
                  <w:rPr>
                    <w:rFonts w:asciiTheme="minorEastAsia" w:eastAsiaTheme="minorEastAsia" w:hAnsiTheme="minorEastAsia" w:cs="Times New Roman"/>
                  </w:rPr>
                </w:pPr>
              </w:p>
            </w:tc>
            <w:tc>
              <w:tcPr>
                <w:tcW w:w="632" w:type="pct"/>
                <w:tcBorders>
                  <w:top w:val="single" w:sz="4" w:space="0" w:color="auto"/>
                  <w:left w:val="nil"/>
                  <w:bottom w:val="single" w:sz="4" w:space="0" w:color="auto"/>
                  <w:right w:val="single" w:sz="4" w:space="0" w:color="auto"/>
                </w:tcBorders>
                <w:shd w:val="clear" w:color="auto" w:fill="auto"/>
                <w:vAlign w:val="center"/>
              </w:tcPr>
              <w:p w14:paraId="6B2FCB7D" w14:textId="77777777" w:rsidR="007E7472" w:rsidRDefault="00C8327E">
                <w:pPr>
                  <w:jc w:val="right"/>
                  <w:rPr>
                    <w:rFonts w:asciiTheme="minorEastAsia" w:eastAsiaTheme="minorEastAsia" w:hAnsiTheme="minorEastAsia" w:cs="Times New Roman"/>
                  </w:rPr>
                </w:pPr>
              </w:p>
            </w:tc>
            <w:tc>
              <w:tcPr>
                <w:tcW w:w="539" w:type="pct"/>
                <w:tcBorders>
                  <w:top w:val="single" w:sz="4" w:space="0" w:color="auto"/>
                  <w:left w:val="nil"/>
                  <w:bottom w:val="single" w:sz="4" w:space="0" w:color="auto"/>
                  <w:right w:val="single" w:sz="4" w:space="0" w:color="auto"/>
                </w:tcBorders>
                <w:shd w:val="clear" w:color="auto" w:fill="auto"/>
                <w:vAlign w:val="center"/>
              </w:tcPr>
              <w:p w14:paraId="239E68A2" w14:textId="77777777" w:rsidR="007E7472" w:rsidRDefault="00C8327E">
                <w:pPr>
                  <w:jc w:val="right"/>
                  <w:rPr>
                    <w:rFonts w:asciiTheme="minorEastAsia" w:eastAsiaTheme="minorEastAsia" w:hAnsiTheme="minorEastAsia" w:cs="Times New Roman"/>
                  </w:rPr>
                </w:pPr>
              </w:p>
            </w:tc>
            <w:tc>
              <w:tcPr>
                <w:tcW w:w="584" w:type="pct"/>
                <w:tcBorders>
                  <w:top w:val="single" w:sz="4" w:space="0" w:color="auto"/>
                  <w:left w:val="nil"/>
                  <w:bottom w:val="single" w:sz="4" w:space="0" w:color="auto"/>
                  <w:right w:val="single" w:sz="4" w:space="0" w:color="auto"/>
                </w:tcBorders>
                <w:shd w:val="clear" w:color="auto" w:fill="auto"/>
                <w:vAlign w:val="center"/>
              </w:tcPr>
              <w:p w14:paraId="0F20C9D3" w14:textId="77777777" w:rsidR="007E7472" w:rsidRDefault="00C8327E">
                <w:pPr>
                  <w:jc w:val="right"/>
                  <w:rPr>
                    <w:rFonts w:asciiTheme="minorEastAsia" w:eastAsiaTheme="minorEastAsia" w:hAnsiTheme="minorEastAsia" w:cs="Times New Roman"/>
                  </w:rPr>
                </w:pPr>
              </w:p>
            </w:tc>
            <w:tc>
              <w:tcPr>
                <w:tcW w:w="572" w:type="pct"/>
                <w:tcBorders>
                  <w:top w:val="single" w:sz="4" w:space="0" w:color="auto"/>
                  <w:left w:val="nil"/>
                  <w:bottom w:val="single" w:sz="4" w:space="0" w:color="auto"/>
                  <w:right w:val="single" w:sz="4" w:space="0" w:color="auto"/>
                </w:tcBorders>
                <w:shd w:val="clear" w:color="auto" w:fill="auto"/>
                <w:vAlign w:val="center"/>
              </w:tcPr>
              <w:p w14:paraId="77EB5540" w14:textId="77777777" w:rsidR="007E7472" w:rsidRDefault="00C8327E">
                <w:pPr>
                  <w:jc w:val="right"/>
                  <w:rPr>
                    <w:rFonts w:asciiTheme="minorEastAsia" w:eastAsiaTheme="minorEastAsia" w:hAnsiTheme="minorEastAsia" w:cs="Times New Roman"/>
                  </w:rPr>
                </w:pPr>
              </w:p>
            </w:tc>
            <w:tc>
              <w:tcPr>
                <w:tcW w:w="507" w:type="pct"/>
                <w:tcBorders>
                  <w:top w:val="single" w:sz="4" w:space="0" w:color="auto"/>
                  <w:left w:val="nil"/>
                  <w:bottom w:val="single" w:sz="4" w:space="0" w:color="auto"/>
                  <w:right w:val="single" w:sz="4" w:space="0" w:color="auto"/>
                </w:tcBorders>
                <w:shd w:val="clear" w:color="auto" w:fill="auto"/>
                <w:vAlign w:val="center"/>
              </w:tcPr>
              <w:p w14:paraId="1A3281E5" w14:textId="77777777" w:rsidR="007E7472" w:rsidRDefault="00EC1269">
                <w:pPr>
                  <w:jc w:val="right"/>
                  <w:rPr>
                    <w:rFonts w:asciiTheme="minorEastAsia" w:eastAsiaTheme="minorEastAsia" w:hAnsiTheme="minorEastAsia" w:cs="Times New Roman"/>
                  </w:rPr>
                </w:pPr>
                <w:r>
                  <w:rPr>
                    <w:rFonts w:asciiTheme="minorEastAsia" w:eastAsiaTheme="minorEastAsia" w:hAnsiTheme="minorEastAsia" w:cs="Times New Roman"/>
                  </w:rPr>
                  <w:t>1,161</w:t>
                </w:r>
              </w:p>
            </w:tc>
          </w:tr>
          <w:tr w:rsidR="007E7472" w14:paraId="63AE69A9" w14:textId="77777777">
            <w:trPr>
              <w:trHeight w:val="20"/>
            </w:trPr>
            <w:tc>
              <w:tcPr>
                <w:tcW w:w="991" w:type="pct"/>
                <w:tcBorders>
                  <w:top w:val="single" w:sz="4" w:space="0" w:color="auto"/>
                  <w:left w:val="single" w:sz="4" w:space="0" w:color="auto"/>
                  <w:bottom w:val="single" w:sz="4" w:space="0" w:color="auto"/>
                  <w:right w:val="single" w:sz="4" w:space="0" w:color="auto"/>
                </w:tcBorders>
              </w:tcPr>
              <w:p w14:paraId="1399C20D" w14:textId="77777777" w:rsidR="007E7472" w:rsidRDefault="00EC1269">
                <w:pPr>
                  <w:rPr>
                    <w:rFonts w:asciiTheme="minorEastAsia" w:eastAsiaTheme="minorEastAsia" w:hAnsiTheme="minorEastAsia"/>
                  </w:rPr>
                </w:pPr>
                <w:r>
                  <w:rPr>
                    <w:rFonts w:asciiTheme="minorEastAsia" w:eastAsiaTheme="minorEastAsia" w:hAnsiTheme="minorEastAsia" w:hint="eastAsia"/>
                  </w:rPr>
                  <w:t>产成品</w:t>
                </w:r>
              </w:p>
            </w:tc>
            <w:tc>
              <w:tcPr>
                <w:tcW w:w="539" w:type="pct"/>
                <w:tcBorders>
                  <w:top w:val="nil"/>
                  <w:left w:val="single" w:sz="4" w:space="0" w:color="auto"/>
                  <w:bottom w:val="single" w:sz="4" w:space="0" w:color="auto"/>
                  <w:right w:val="single" w:sz="4" w:space="0" w:color="auto"/>
                </w:tcBorders>
                <w:shd w:val="clear" w:color="auto" w:fill="auto"/>
                <w:vAlign w:val="center"/>
              </w:tcPr>
              <w:p w14:paraId="0CB6194F" w14:textId="77777777" w:rsidR="007E7472" w:rsidRDefault="00EC1269">
                <w:pPr>
                  <w:jc w:val="right"/>
                  <w:rPr>
                    <w:rFonts w:asciiTheme="minorEastAsia" w:eastAsiaTheme="minorEastAsia" w:hAnsiTheme="minorEastAsia" w:cs="Times New Roman"/>
                  </w:rPr>
                </w:pPr>
                <w:r>
                  <w:rPr>
                    <w:rFonts w:asciiTheme="minorEastAsia" w:eastAsiaTheme="minorEastAsia" w:hAnsiTheme="minorEastAsia" w:cs="Times New Roman"/>
                  </w:rPr>
                  <w:t>51,344</w:t>
                </w:r>
              </w:p>
            </w:tc>
            <w:tc>
              <w:tcPr>
                <w:tcW w:w="637" w:type="pct"/>
                <w:tcBorders>
                  <w:top w:val="nil"/>
                  <w:left w:val="nil"/>
                  <w:bottom w:val="single" w:sz="4" w:space="0" w:color="auto"/>
                  <w:right w:val="single" w:sz="4" w:space="0" w:color="auto"/>
                </w:tcBorders>
                <w:shd w:val="clear" w:color="auto" w:fill="auto"/>
                <w:vAlign w:val="center"/>
              </w:tcPr>
              <w:p w14:paraId="40F5A219" w14:textId="77777777" w:rsidR="007E7472" w:rsidRDefault="00EC1269">
                <w:pPr>
                  <w:jc w:val="right"/>
                  <w:rPr>
                    <w:rFonts w:asciiTheme="minorEastAsia" w:eastAsiaTheme="minorEastAsia" w:hAnsiTheme="minorEastAsia" w:cs="Times New Roman"/>
                  </w:rPr>
                </w:pPr>
                <w:r>
                  <w:rPr>
                    <w:rFonts w:asciiTheme="minorEastAsia" w:eastAsiaTheme="minorEastAsia" w:hAnsiTheme="minorEastAsia" w:cs="Times New Roman"/>
                  </w:rPr>
                  <w:t>2,007</w:t>
                </w:r>
              </w:p>
            </w:tc>
            <w:tc>
              <w:tcPr>
                <w:tcW w:w="632" w:type="pct"/>
                <w:tcBorders>
                  <w:top w:val="nil"/>
                  <w:left w:val="nil"/>
                  <w:bottom w:val="single" w:sz="4" w:space="0" w:color="auto"/>
                  <w:right w:val="single" w:sz="4" w:space="0" w:color="auto"/>
                </w:tcBorders>
                <w:shd w:val="clear" w:color="auto" w:fill="auto"/>
                <w:vAlign w:val="center"/>
              </w:tcPr>
              <w:p w14:paraId="2A586DFA" w14:textId="77777777" w:rsidR="007E7472" w:rsidRDefault="00C8327E">
                <w:pPr>
                  <w:jc w:val="right"/>
                  <w:rPr>
                    <w:rFonts w:asciiTheme="minorEastAsia" w:eastAsiaTheme="minorEastAsia" w:hAnsiTheme="minorEastAsia" w:cs="Times New Roman"/>
                  </w:rPr>
                </w:pPr>
              </w:p>
            </w:tc>
            <w:tc>
              <w:tcPr>
                <w:tcW w:w="539" w:type="pct"/>
                <w:tcBorders>
                  <w:top w:val="nil"/>
                  <w:left w:val="nil"/>
                  <w:bottom w:val="single" w:sz="4" w:space="0" w:color="auto"/>
                  <w:right w:val="single" w:sz="4" w:space="0" w:color="auto"/>
                </w:tcBorders>
                <w:shd w:val="clear" w:color="auto" w:fill="auto"/>
                <w:vAlign w:val="center"/>
              </w:tcPr>
              <w:p w14:paraId="1D7FE1F2" w14:textId="61352F3B" w:rsidR="007E7472" w:rsidRDefault="00913748">
                <w:pPr>
                  <w:jc w:val="right"/>
                  <w:rPr>
                    <w:rFonts w:asciiTheme="minorEastAsia" w:eastAsiaTheme="minorEastAsia" w:hAnsiTheme="minorEastAsia" w:cs="Times New Roman"/>
                  </w:rPr>
                </w:pPr>
                <w:r w:rsidRPr="0072426F">
                  <w:rPr>
                    <w:rFonts w:asciiTheme="minorEastAsia" w:eastAsiaTheme="minorEastAsia" w:hAnsiTheme="minorEastAsia" w:cs="Times New Roman"/>
                  </w:rPr>
                  <w:t>3</w:t>
                </w:r>
                <w:r>
                  <w:rPr>
                    <w:rFonts w:asciiTheme="minorEastAsia" w:eastAsiaTheme="minorEastAsia" w:hAnsiTheme="minorEastAsia" w:cs="Times New Roman"/>
                  </w:rPr>
                  <w:t>9</w:t>
                </w:r>
                <w:r w:rsidRPr="0072426F">
                  <w:rPr>
                    <w:rFonts w:asciiTheme="minorEastAsia" w:eastAsiaTheme="minorEastAsia" w:hAnsiTheme="minorEastAsia" w:cs="Times New Roman"/>
                  </w:rPr>
                  <w:t>,2</w:t>
                </w:r>
                <w:r>
                  <w:rPr>
                    <w:rFonts w:asciiTheme="minorEastAsia" w:eastAsiaTheme="minorEastAsia" w:hAnsiTheme="minorEastAsia" w:cs="Times New Roman"/>
                  </w:rPr>
                  <w:t>27</w:t>
                </w:r>
              </w:p>
            </w:tc>
            <w:tc>
              <w:tcPr>
                <w:tcW w:w="584" w:type="pct"/>
                <w:tcBorders>
                  <w:top w:val="nil"/>
                  <w:left w:val="nil"/>
                  <w:bottom w:val="single" w:sz="4" w:space="0" w:color="auto"/>
                  <w:right w:val="single" w:sz="4" w:space="0" w:color="auto"/>
                </w:tcBorders>
                <w:shd w:val="clear" w:color="auto" w:fill="auto"/>
                <w:vAlign w:val="center"/>
              </w:tcPr>
              <w:p w14:paraId="4E0BB763" w14:textId="77777777" w:rsidR="007E7472" w:rsidRDefault="00C8327E">
                <w:pPr>
                  <w:jc w:val="right"/>
                  <w:rPr>
                    <w:rFonts w:asciiTheme="minorEastAsia" w:eastAsiaTheme="minorEastAsia" w:hAnsiTheme="minorEastAsia" w:cs="Times New Roman"/>
                  </w:rPr>
                </w:pPr>
              </w:p>
            </w:tc>
            <w:tc>
              <w:tcPr>
                <w:tcW w:w="572" w:type="pct"/>
                <w:tcBorders>
                  <w:top w:val="nil"/>
                  <w:left w:val="nil"/>
                  <w:bottom w:val="single" w:sz="4" w:space="0" w:color="auto"/>
                  <w:right w:val="single" w:sz="4" w:space="0" w:color="auto"/>
                </w:tcBorders>
                <w:shd w:val="clear" w:color="auto" w:fill="auto"/>
                <w:vAlign w:val="center"/>
              </w:tcPr>
              <w:p w14:paraId="32872CD4" w14:textId="1EFA9CFB" w:rsidR="007E7472" w:rsidRDefault="00913748">
                <w:pPr>
                  <w:jc w:val="right"/>
                  <w:rPr>
                    <w:rFonts w:asciiTheme="minorEastAsia" w:eastAsiaTheme="minorEastAsia" w:hAnsiTheme="minorEastAsia" w:cs="Times New Roman"/>
                  </w:rPr>
                </w:pPr>
                <w:r>
                  <w:rPr>
                    <w:rFonts w:asciiTheme="minorEastAsia" w:eastAsiaTheme="minorEastAsia" w:hAnsiTheme="minorEastAsia" w:cs="Times New Roman"/>
                  </w:rPr>
                  <w:t>949</w:t>
                </w:r>
              </w:p>
            </w:tc>
            <w:tc>
              <w:tcPr>
                <w:tcW w:w="507" w:type="pct"/>
                <w:tcBorders>
                  <w:top w:val="nil"/>
                  <w:left w:val="nil"/>
                  <w:bottom w:val="single" w:sz="4" w:space="0" w:color="auto"/>
                  <w:right w:val="single" w:sz="4" w:space="0" w:color="auto"/>
                </w:tcBorders>
                <w:shd w:val="clear" w:color="auto" w:fill="auto"/>
                <w:vAlign w:val="center"/>
              </w:tcPr>
              <w:p w14:paraId="06CF8F05" w14:textId="77777777" w:rsidR="007E7472" w:rsidRDefault="00EC1269">
                <w:pPr>
                  <w:jc w:val="right"/>
                  <w:rPr>
                    <w:rFonts w:asciiTheme="minorEastAsia" w:eastAsiaTheme="minorEastAsia" w:hAnsiTheme="minorEastAsia" w:cs="Times New Roman"/>
                  </w:rPr>
                </w:pPr>
                <w:r>
                  <w:rPr>
                    <w:rFonts w:asciiTheme="minorEastAsia" w:eastAsiaTheme="minorEastAsia" w:hAnsiTheme="minorEastAsia" w:cs="Times New Roman"/>
                  </w:rPr>
                  <w:t>15,073</w:t>
                </w:r>
              </w:p>
            </w:tc>
          </w:tr>
          <w:tr w:rsidR="007E7472" w14:paraId="051EC0B2" w14:textId="77777777">
            <w:trPr>
              <w:trHeight w:val="20"/>
            </w:trPr>
            <w:tc>
              <w:tcPr>
                <w:tcW w:w="991" w:type="pct"/>
                <w:tcBorders>
                  <w:top w:val="single" w:sz="4" w:space="0" w:color="auto"/>
                  <w:left w:val="single" w:sz="4" w:space="0" w:color="auto"/>
                  <w:bottom w:val="single" w:sz="4" w:space="0" w:color="auto"/>
                  <w:right w:val="single" w:sz="4" w:space="0" w:color="auto"/>
                </w:tcBorders>
              </w:tcPr>
              <w:p w14:paraId="35187719" w14:textId="77777777" w:rsidR="007E7472" w:rsidRDefault="00EC1269">
                <w:pPr>
                  <w:rPr>
                    <w:rFonts w:asciiTheme="minorEastAsia" w:eastAsiaTheme="minorEastAsia" w:hAnsiTheme="minorEastAsia"/>
                  </w:rPr>
                </w:pPr>
                <w:r>
                  <w:rPr>
                    <w:rFonts w:asciiTheme="minorEastAsia" w:eastAsiaTheme="minorEastAsia" w:hAnsiTheme="minorEastAsia" w:hint="eastAsia"/>
                  </w:rPr>
                  <w:t>库存商品</w:t>
                </w:r>
              </w:p>
            </w:tc>
            <w:tc>
              <w:tcPr>
                <w:tcW w:w="539" w:type="pct"/>
                <w:tcBorders>
                  <w:top w:val="nil"/>
                  <w:left w:val="single" w:sz="4" w:space="0" w:color="auto"/>
                  <w:bottom w:val="single" w:sz="4" w:space="0" w:color="auto"/>
                  <w:right w:val="single" w:sz="4" w:space="0" w:color="auto"/>
                </w:tcBorders>
                <w:shd w:val="clear" w:color="auto" w:fill="auto"/>
                <w:vAlign w:val="center"/>
              </w:tcPr>
              <w:p w14:paraId="069DD9D8" w14:textId="77777777" w:rsidR="007E7472" w:rsidRDefault="00EC1269">
                <w:pPr>
                  <w:jc w:val="right"/>
                  <w:rPr>
                    <w:rFonts w:asciiTheme="minorEastAsia" w:eastAsiaTheme="minorEastAsia" w:hAnsiTheme="minorEastAsia" w:cs="Times New Roman"/>
                  </w:rPr>
                </w:pPr>
                <w:r>
                  <w:rPr>
                    <w:rFonts w:asciiTheme="minorEastAsia" w:eastAsiaTheme="minorEastAsia" w:hAnsiTheme="minorEastAsia" w:cs="Times New Roman"/>
                  </w:rPr>
                  <w:t>735</w:t>
                </w:r>
              </w:p>
            </w:tc>
            <w:tc>
              <w:tcPr>
                <w:tcW w:w="637" w:type="pct"/>
                <w:tcBorders>
                  <w:top w:val="nil"/>
                  <w:left w:val="nil"/>
                  <w:bottom w:val="single" w:sz="4" w:space="0" w:color="auto"/>
                  <w:right w:val="single" w:sz="4" w:space="0" w:color="auto"/>
                </w:tcBorders>
                <w:shd w:val="clear" w:color="auto" w:fill="auto"/>
                <w:vAlign w:val="center"/>
              </w:tcPr>
              <w:p w14:paraId="70BAEC30" w14:textId="77777777" w:rsidR="007E7472" w:rsidRDefault="00C8327E">
                <w:pPr>
                  <w:jc w:val="right"/>
                  <w:rPr>
                    <w:rFonts w:asciiTheme="minorEastAsia" w:eastAsiaTheme="minorEastAsia" w:hAnsiTheme="minorEastAsia" w:cs="Times New Roman"/>
                  </w:rPr>
                </w:pPr>
              </w:p>
            </w:tc>
            <w:tc>
              <w:tcPr>
                <w:tcW w:w="632" w:type="pct"/>
                <w:tcBorders>
                  <w:top w:val="nil"/>
                  <w:left w:val="nil"/>
                  <w:bottom w:val="single" w:sz="4" w:space="0" w:color="auto"/>
                  <w:right w:val="single" w:sz="4" w:space="0" w:color="auto"/>
                </w:tcBorders>
                <w:shd w:val="clear" w:color="auto" w:fill="auto"/>
                <w:vAlign w:val="center"/>
              </w:tcPr>
              <w:p w14:paraId="4E03DA88" w14:textId="77777777" w:rsidR="007E7472" w:rsidRDefault="00C8327E">
                <w:pPr>
                  <w:jc w:val="right"/>
                  <w:rPr>
                    <w:rFonts w:asciiTheme="minorEastAsia" w:eastAsiaTheme="minorEastAsia" w:hAnsiTheme="minorEastAsia" w:cs="Times New Roman"/>
                  </w:rPr>
                </w:pPr>
              </w:p>
            </w:tc>
            <w:tc>
              <w:tcPr>
                <w:tcW w:w="539" w:type="pct"/>
                <w:tcBorders>
                  <w:top w:val="nil"/>
                  <w:left w:val="nil"/>
                  <w:bottom w:val="single" w:sz="4" w:space="0" w:color="auto"/>
                  <w:right w:val="single" w:sz="4" w:space="0" w:color="auto"/>
                </w:tcBorders>
                <w:shd w:val="clear" w:color="auto" w:fill="auto"/>
                <w:vAlign w:val="center"/>
              </w:tcPr>
              <w:p w14:paraId="04E37F3B" w14:textId="77777777" w:rsidR="007E7472" w:rsidRDefault="00C8327E">
                <w:pPr>
                  <w:jc w:val="right"/>
                  <w:rPr>
                    <w:rFonts w:asciiTheme="minorEastAsia" w:eastAsiaTheme="minorEastAsia" w:hAnsiTheme="minorEastAsia" w:cs="Times New Roman"/>
                  </w:rPr>
                </w:pPr>
              </w:p>
            </w:tc>
            <w:tc>
              <w:tcPr>
                <w:tcW w:w="584" w:type="pct"/>
                <w:tcBorders>
                  <w:top w:val="nil"/>
                  <w:left w:val="nil"/>
                  <w:bottom w:val="single" w:sz="4" w:space="0" w:color="auto"/>
                  <w:right w:val="single" w:sz="4" w:space="0" w:color="auto"/>
                </w:tcBorders>
                <w:shd w:val="clear" w:color="auto" w:fill="auto"/>
                <w:vAlign w:val="center"/>
              </w:tcPr>
              <w:p w14:paraId="2694BC86" w14:textId="77777777" w:rsidR="007E7472" w:rsidRDefault="00C8327E">
                <w:pPr>
                  <w:jc w:val="right"/>
                  <w:rPr>
                    <w:rFonts w:asciiTheme="minorEastAsia" w:eastAsiaTheme="minorEastAsia" w:hAnsiTheme="minorEastAsia" w:cs="Times New Roman"/>
                  </w:rPr>
                </w:pPr>
              </w:p>
            </w:tc>
            <w:tc>
              <w:tcPr>
                <w:tcW w:w="572" w:type="pct"/>
                <w:tcBorders>
                  <w:top w:val="nil"/>
                  <w:left w:val="nil"/>
                  <w:bottom w:val="single" w:sz="4" w:space="0" w:color="auto"/>
                  <w:right w:val="single" w:sz="4" w:space="0" w:color="auto"/>
                </w:tcBorders>
                <w:shd w:val="clear" w:color="auto" w:fill="auto"/>
                <w:vAlign w:val="center"/>
              </w:tcPr>
              <w:p w14:paraId="33111C19" w14:textId="77777777" w:rsidR="007E7472" w:rsidRDefault="00C8327E">
                <w:pPr>
                  <w:jc w:val="right"/>
                  <w:rPr>
                    <w:rFonts w:asciiTheme="minorEastAsia" w:eastAsiaTheme="minorEastAsia" w:hAnsiTheme="minorEastAsia" w:cs="Times New Roman"/>
                  </w:rPr>
                </w:pPr>
              </w:p>
            </w:tc>
            <w:tc>
              <w:tcPr>
                <w:tcW w:w="507" w:type="pct"/>
                <w:tcBorders>
                  <w:top w:val="nil"/>
                  <w:left w:val="nil"/>
                  <w:bottom w:val="single" w:sz="4" w:space="0" w:color="auto"/>
                  <w:right w:val="single" w:sz="4" w:space="0" w:color="auto"/>
                </w:tcBorders>
                <w:shd w:val="clear" w:color="auto" w:fill="auto"/>
                <w:vAlign w:val="center"/>
              </w:tcPr>
              <w:p w14:paraId="326FC67F" w14:textId="77777777" w:rsidR="007E7472" w:rsidRDefault="00EC1269">
                <w:pPr>
                  <w:jc w:val="right"/>
                  <w:rPr>
                    <w:rFonts w:asciiTheme="minorEastAsia" w:eastAsiaTheme="minorEastAsia" w:hAnsiTheme="minorEastAsia" w:cs="Times New Roman"/>
                  </w:rPr>
                </w:pPr>
                <w:r>
                  <w:rPr>
                    <w:rFonts w:asciiTheme="minorEastAsia" w:eastAsiaTheme="minorEastAsia" w:hAnsiTheme="minorEastAsia" w:cs="Times New Roman"/>
                  </w:rPr>
                  <w:t>735</w:t>
                </w:r>
              </w:p>
            </w:tc>
          </w:tr>
          <w:tr w:rsidR="007E7472" w14:paraId="7BBD60D6" w14:textId="77777777">
            <w:trPr>
              <w:trHeight w:val="20"/>
            </w:trPr>
            <w:tc>
              <w:tcPr>
                <w:tcW w:w="991" w:type="pct"/>
                <w:tcBorders>
                  <w:top w:val="single" w:sz="4" w:space="0" w:color="auto"/>
                  <w:left w:val="single" w:sz="4" w:space="0" w:color="auto"/>
                  <w:bottom w:val="single" w:sz="4" w:space="0" w:color="auto"/>
                  <w:right w:val="single" w:sz="4" w:space="0" w:color="auto"/>
                </w:tcBorders>
              </w:tcPr>
              <w:p w14:paraId="07D315E1" w14:textId="77777777" w:rsidR="007E7472" w:rsidRDefault="00EC1269">
                <w:pPr>
                  <w:rPr>
                    <w:rFonts w:asciiTheme="minorEastAsia" w:eastAsiaTheme="minorEastAsia" w:hAnsiTheme="minorEastAsia"/>
                  </w:rPr>
                </w:pPr>
                <w:r>
                  <w:rPr>
                    <w:rFonts w:asciiTheme="minorEastAsia" w:eastAsiaTheme="minorEastAsia" w:hAnsiTheme="minorEastAsia" w:hint="eastAsia"/>
                  </w:rPr>
                  <w:t>房地产开发支出</w:t>
                </w:r>
              </w:p>
            </w:tc>
            <w:tc>
              <w:tcPr>
                <w:tcW w:w="539" w:type="pct"/>
                <w:tcBorders>
                  <w:top w:val="nil"/>
                  <w:left w:val="single" w:sz="4" w:space="0" w:color="auto"/>
                  <w:bottom w:val="single" w:sz="4" w:space="0" w:color="auto"/>
                  <w:right w:val="single" w:sz="4" w:space="0" w:color="auto"/>
                </w:tcBorders>
                <w:shd w:val="clear" w:color="auto" w:fill="auto"/>
                <w:vAlign w:val="center"/>
              </w:tcPr>
              <w:p w14:paraId="47FB0878" w14:textId="77777777" w:rsidR="007E7472" w:rsidRDefault="00EC1269">
                <w:pPr>
                  <w:jc w:val="right"/>
                  <w:rPr>
                    <w:rFonts w:asciiTheme="minorEastAsia" w:eastAsiaTheme="minorEastAsia" w:hAnsiTheme="minorEastAsia" w:cs="Times New Roman"/>
                  </w:rPr>
                </w:pPr>
                <w:r>
                  <w:rPr>
                    <w:rFonts w:asciiTheme="minorEastAsia" w:eastAsiaTheme="minorEastAsia" w:hAnsiTheme="minorEastAsia" w:cs="Times New Roman"/>
                  </w:rPr>
                  <w:t>234,239</w:t>
                </w:r>
              </w:p>
            </w:tc>
            <w:tc>
              <w:tcPr>
                <w:tcW w:w="637" w:type="pct"/>
                <w:tcBorders>
                  <w:top w:val="nil"/>
                  <w:left w:val="nil"/>
                  <w:bottom w:val="single" w:sz="4" w:space="0" w:color="auto"/>
                  <w:right w:val="single" w:sz="4" w:space="0" w:color="auto"/>
                </w:tcBorders>
                <w:shd w:val="clear" w:color="auto" w:fill="auto"/>
                <w:vAlign w:val="center"/>
              </w:tcPr>
              <w:p w14:paraId="0480B21F" w14:textId="77777777" w:rsidR="007E7472" w:rsidRDefault="00C8327E">
                <w:pPr>
                  <w:jc w:val="right"/>
                  <w:rPr>
                    <w:rFonts w:asciiTheme="minorEastAsia" w:eastAsiaTheme="minorEastAsia" w:hAnsiTheme="minorEastAsia" w:cs="Times New Roman"/>
                  </w:rPr>
                </w:pPr>
              </w:p>
            </w:tc>
            <w:tc>
              <w:tcPr>
                <w:tcW w:w="632" w:type="pct"/>
                <w:tcBorders>
                  <w:top w:val="nil"/>
                  <w:left w:val="nil"/>
                  <w:bottom w:val="single" w:sz="4" w:space="0" w:color="auto"/>
                  <w:right w:val="single" w:sz="4" w:space="0" w:color="auto"/>
                </w:tcBorders>
                <w:shd w:val="clear" w:color="auto" w:fill="auto"/>
                <w:vAlign w:val="center"/>
              </w:tcPr>
              <w:p w14:paraId="583E1086" w14:textId="77777777" w:rsidR="007E7472" w:rsidRDefault="00C8327E">
                <w:pPr>
                  <w:jc w:val="right"/>
                  <w:rPr>
                    <w:rFonts w:asciiTheme="minorEastAsia" w:eastAsiaTheme="minorEastAsia" w:hAnsiTheme="minorEastAsia" w:cs="Times New Roman"/>
                  </w:rPr>
                </w:pPr>
              </w:p>
            </w:tc>
            <w:tc>
              <w:tcPr>
                <w:tcW w:w="539" w:type="pct"/>
                <w:tcBorders>
                  <w:top w:val="nil"/>
                  <w:left w:val="nil"/>
                  <w:bottom w:val="single" w:sz="4" w:space="0" w:color="auto"/>
                  <w:right w:val="single" w:sz="4" w:space="0" w:color="auto"/>
                </w:tcBorders>
                <w:shd w:val="clear" w:color="auto" w:fill="auto"/>
                <w:vAlign w:val="center"/>
              </w:tcPr>
              <w:p w14:paraId="600CC689" w14:textId="77777777" w:rsidR="007E7472" w:rsidRDefault="00C8327E">
                <w:pPr>
                  <w:jc w:val="right"/>
                  <w:rPr>
                    <w:rFonts w:asciiTheme="minorEastAsia" w:eastAsiaTheme="minorEastAsia" w:hAnsiTheme="minorEastAsia" w:cs="Times New Roman"/>
                  </w:rPr>
                </w:pPr>
              </w:p>
            </w:tc>
            <w:tc>
              <w:tcPr>
                <w:tcW w:w="584" w:type="pct"/>
                <w:tcBorders>
                  <w:top w:val="nil"/>
                  <w:left w:val="nil"/>
                  <w:bottom w:val="single" w:sz="4" w:space="0" w:color="auto"/>
                  <w:right w:val="single" w:sz="4" w:space="0" w:color="auto"/>
                </w:tcBorders>
                <w:shd w:val="clear" w:color="auto" w:fill="auto"/>
                <w:vAlign w:val="center"/>
              </w:tcPr>
              <w:p w14:paraId="65295826" w14:textId="77777777" w:rsidR="007E7472" w:rsidRDefault="00EC1269">
                <w:pPr>
                  <w:jc w:val="right"/>
                  <w:rPr>
                    <w:rFonts w:asciiTheme="minorEastAsia" w:eastAsiaTheme="minorEastAsia" w:hAnsiTheme="minorEastAsia" w:cs="Times New Roman"/>
                  </w:rPr>
                </w:pPr>
                <w:r>
                  <w:rPr>
                    <w:rFonts w:asciiTheme="minorEastAsia" w:eastAsiaTheme="minorEastAsia" w:hAnsiTheme="minorEastAsia" w:cs="Times New Roman"/>
                  </w:rPr>
                  <w:t>234,239</w:t>
                </w:r>
              </w:p>
            </w:tc>
            <w:tc>
              <w:tcPr>
                <w:tcW w:w="572" w:type="pct"/>
                <w:tcBorders>
                  <w:top w:val="nil"/>
                  <w:left w:val="nil"/>
                  <w:bottom w:val="single" w:sz="4" w:space="0" w:color="auto"/>
                  <w:right w:val="single" w:sz="4" w:space="0" w:color="auto"/>
                </w:tcBorders>
                <w:shd w:val="clear" w:color="auto" w:fill="auto"/>
                <w:vAlign w:val="center"/>
              </w:tcPr>
              <w:p w14:paraId="7E279699" w14:textId="77777777" w:rsidR="007E7472" w:rsidRDefault="00C8327E">
                <w:pPr>
                  <w:jc w:val="right"/>
                  <w:rPr>
                    <w:rFonts w:asciiTheme="minorEastAsia" w:eastAsiaTheme="minorEastAsia" w:hAnsiTheme="minorEastAsia" w:cs="Times New Roman"/>
                  </w:rPr>
                </w:pPr>
              </w:p>
            </w:tc>
            <w:tc>
              <w:tcPr>
                <w:tcW w:w="507" w:type="pct"/>
                <w:tcBorders>
                  <w:top w:val="nil"/>
                  <w:left w:val="nil"/>
                  <w:bottom w:val="single" w:sz="4" w:space="0" w:color="auto"/>
                  <w:right w:val="single" w:sz="4" w:space="0" w:color="auto"/>
                </w:tcBorders>
                <w:shd w:val="clear" w:color="auto" w:fill="auto"/>
                <w:vAlign w:val="center"/>
              </w:tcPr>
              <w:p w14:paraId="4FC961E5" w14:textId="77777777" w:rsidR="007E7472" w:rsidRDefault="00C8327E">
                <w:pPr>
                  <w:jc w:val="right"/>
                  <w:rPr>
                    <w:rFonts w:asciiTheme="minorEastAsia" w:eastAsiaTheme="minorEastAsia" w:hAnsiTheme="minorEastAsia" w:cs="Times New Roman"/>
                  </w:rPr>
                </w:pPr>
              </w:p>
            </w:tc>
          </w:tr>
          <w:tr w:rsidR="007E7472" w14:paraId="5F78D4E3" w14:textId="77777777">
            <w:trPr>
              <w:trHeight w:val="20"/>
            </w:trPr>
            <w:tc>
              <w:tcPr>
                <w:tcW w:w="991" w:type="pct"/>
                <w:tcBorders>
                  <w:top w:val="single" w:sz="4" w:space="0" w:color="auto"/>
                  <w:left w:val="single" w:sz="4" w:space="0" w:color="auto"/>
                  <w:bottom w:val="single" w:sz="4" w:space="0" w:color="auto"/>
                  <w:right w:val="single" w:sz="4" w:space="0" w:color="auto"/>
                </w:tcBorders>
              </w:tcPr>
              <w:p w14:paraId="2B38D8FF" w14:textId="77777777" w:rsidR="007E7472" w:rsidRDefault="00EC1269">
                <w:pPr>
                  <w:jc w:val="center"/>
                  <w:rPr>
                    <w:rFonts w:asciiTheme="minorEastAsia" w:eastAsiaTheme="minorEastAsia" w:hAnsiTheme="minorEastAsia"/>
                  </w:rPr>
                </w:pPr>
                <w:r>
                  <w:rPr>
                    <w:rFonts w:asciiTheme="minorEastAsia" w:eastAsiaTheme="minorEastAsia" w:hAnsiTheme="minorEastAsia" w:hint="eastAsia"/>
                  </w:rPr>
                  <w:t>合计</w:t>
                </w:r>
              </w:p>
            </w:tc>
            <w:tc>
              <w:tcPr>
                <w:tcW w:w="539" w:type="pct"/>
                <w:tcBorders>
                  <w:top w:val="nil"/>
                  <w:left w:val="single" w:sz="4" w:space="0" w:color="auto"/>
                  <w:bottom w:val="single" w:sz="4" w:space="0" w:color="auto"/>
                  <w:right w:val="single" w:sz="4" w:space="0" w:color="auto"/>
                </w:tcBorders>
                <w:shd w:val="clear" w:color="auto" w:fill="auto"/>
                <w:vAlign w:val="center"/>
              </w:tcPr>
              <w:p w14:paraId="3EE96DCD" w14:textId="77777777" w:rsidR="007E7472" w:rsidRDefault="00EC1269">
                <w:pPr>
                  <w:jc w:val="right"/>
                  <w:rPr>
                    <w:rFonts w:asciiTheme="minorEastAsia" w:eastAsiaTheme="minorEastAsia" w:hAnsiTheme="minorEastAsia" w:cs="Times New Roman"/>
                  </w:rPr>
                </w:pPr>
                <w:r>
                  <w:rPr>
                    <w:rFonts w:asciiTheme="minorEastAsia" w:eastAsiaTheme="minorEastAsia" w:hAnsiTheme="minorEastAsia" w:cs="Times New Roman"/>
                  </w:rPr>
                  <w:t>287,479</w:t>
                </w:r>
              </w:p>
            </w:tc>
            <w:tc>
              <w:tcPr>
                <w:tcW w:w="637" w:type="pct"/>
                <w:tcBorders>
                  <w:top w:val="nil"/>
                  <w:left w:val="nil"/>
                  <w:bottom w:val="single" w:sz="4" w:space="0" w:color="auto"/>
                  <w:right w:val="single" w:sz="4" w:space="0" w:color="auto"/>
                </w:tcBorders>
                <w:shd w:val="clear" w:color="auto" w:fill="auto"/>
                <w:vAlign w:val="center"/>
              </w:tcPr>
              <w:p w14:paraId="1C263009" w14:textId="77777777" w:rsidR="007E7472" w:rsidRDefault="00EC1269">
                <w:pPr>
                  <w:jc w:val="right"/>
                  <w:rPr>
                    <w:rFonts w:asciiTheme="minorEastAsia" w:eastAsiaTheme="minorEastAsia" w:hAnsiTheme="minorEastAsia" w:cs="Times New Roman"/>
                  </w:rPr>
                </w:pPr>
                <w:r>
                  <w:rPr>
                    <w:rFonts w:asciiTheme="minorEastAsia" w:eastAsiaTheme="minorEastAsia" w:hAnsiTheme="minorEastAsia" w:cs="Times New Roman"/>
                  </w:rPr>
                  <w:t>2,007</w:t>
                </w:r>
              </w:p>
            </w:tc>
            <w:tc>
              <w:tcPr>
                <w:tcW w:w="632" w:type="pct"/>
                <w:tcBorders>
                  <w:top w:val="nil"/>
                  <w:left w:val="nil"/>
                  <w:bottom w:val="single" w:sz="4" w:space="0" w:color="auto"/>
                  <w:right w:val="single" w:sz="4" w:space="0" w:color="auto"/>
                </w:tcBorders>
                <w:shd w:val="clear" w:color="auto" w:fill="auto"/>
                <w:vAlign w:val="center"/>
              </w:tcPr>
              <w:p w14:paraId="000D8597" w14:textId="77777777" w:rsidR="007E7472" w:rsidRDefault="00C8327E">
                <w:pPr>
                  <w:jc w:val="right"/>
                  <w:rPr>
                    <w:rFonts w:asciiTheme="minorEastAsia" w:eastAsiaTheme="minorEastAsia" w:hAnsiTheme="minorEastAsia" w:cs="Times New Roman"/>
                  </w:rPr>
                </w:pPr>
              </w:p>
            </w:tc>
            <w:tc>
              <w:tcPr>
                <w:tcW w:w="539" w:type="pct"/>
                <w:tcBorders>
                  <w:top w:val="nil"/>
                  <w:left w:val="nil"/>
                  <w:bottom w:val="single" w:sz="4" w:space="0" w:color="auto"/>
                  <w:right w:val="single" w:sz="4" w:space="0" w:color="auto"/>
                </w:tcBorders>
                <w:shd w:val="clear" w:color="auto" w:fill="auto"/>
                <w:vAlign w:val="center"/>
              </w:tcPr>
              <w:p w14:paraId="21CAADCD" w14:textId="3B3CBAB2" w:rsidR="007E7472" w:rsidRDefault="00913748">
                <w:pPr>
                  <w:jc w:val="right"/>
                  <w:rPr>
                    <w:rFonts w:asciiTheme="minorEastAsia" w:eastAsiaTheme="minorEastAsia" w:hAnsiTheme="minorEastAsia" w:cs="Times New Roman"/>
                  </w:rPr>
                </w:pPr>
                <w:r w:rsidRPr="0072426F">
                  <w:rPr>
                    <w:rFonts w:asciiTheme="minorEastAsia" w:eastAsiaTheme="minorEastAsia" w:hAnsiTheme="minorEastAsia" w:cs="Times New Roman"/>
                  </w:rPr>
                  <w:t>39,227</w:t>
                </w:r>
              </w:p>
            </w:tc>
            <w:tc>
              <w:tcPr>
                <w:tcW w:w="584" w:type="pct"/>
                <w:tcBorders>
                  <w:top w:val="nil"/>
                  <w:left w:val="nil"/>
                  <w:bottom w:val="single" w:sz="4" w:space="0" w:color="auto"/>
                  <w:right w:val="single" w:sz="4" w:space="0" w:color="auto"/>
                </w:tcBorders>
                <w:shd w:val="clear" w:color="auto" w:fill="auto"/>
                <w:vAlign w:val="center"/>
              </w:tcPr>
              <w:p w14:paraId="777A50EF" w14:textId="77777777" w:rsidR="007E7472" w:rsidRDefault="00EC1269">
                <w:pPr>
                  <w:jc w:val="right"/>
                  <w:rPr>
                    <w:rFonts w:asciiTheme="minorEastAsia" w:eastAsiaTheme="minorEastAsia" w:hAnsiTheme="minorEastAsia" w:cs="Times New Roman"/>
                  </w:rPr>
                </w:pPr>
                <w:r>
                  <w:rPr>
                    <w:rFonts w:asciiTheme="minorEastAsia" w:eastAsiaTheme="minorEastAsia" w:hAnsiTheme="minorEastAsia" w:cs="Times New Roman"/>
                  </w:rPr>
                  <w:t>234,239</w:t>
                </w:r>
              </w:p>
            </w:tc>
            <w:tc>
              <w:tcPr>
                <w:tcW w:w="572" w:type="pct"/>
                <w:tcBorders>
                  <w:top w:val="nil"/>
                  <w:left w:val="nil"/>
                  <w:bottom w:val="single" w:sz="4" w:space="0" w:color="auto"/>
                  <w:right w:val="single" w:sz="4" w:space="0" w:color="auto"/>
                </w:tcBorders>
                <w:shd w:val="clear" w:color="auto" w:fill="auto"/>
                <w:vAlign w:val="center"/>
              </w:tcPr>
              <w:p w14:paraId="2A7FE8E5" w14:textId="055E3E23" w:rsidR="007E7472" w:rsidRDefault="00913748">
                <w:pPr>
                  <w:jc w:val="right"/>
                  <w:rPr>
                    <w:rFonts w:asciiTheme="minorEastAsia" w:eastAsiaTheme="minorEastAsia" w:hAnsiTheme="minorEastAsia" w:cs="Times New Roman"/>
                  </w:rPr>
                </w:pPr>
                <w:r w:rsidRPr="0072426F">
                  <w:rPr>
                    <w:rFonts w:asciiTheme="minorEastAsia" w:eastAsiaTheme="minorEastAsia" w:hAnsiTheme="minorEastAsia" w:cs="Times New Roman"/>
                  </w:rPr>
                  <w:t>949</w:t>
                </w:r>
              </w:p>
            </w:tc>
            <w:tc>
              <w:tcPr>
                <w:tcW w:w="507" w:type="pct"/>
                <w:tcBorders>
                  <w:top w:val="nil"/>
                  <w:left w:val="nil"/>
                  <w:bottom w:val="single" w:sz="4" w:space="0" w:color="auto"/>
                  <w:right w:val="single" w:sz="4" w:space="0" w:color="auto"/>
                </w:tcBorders>
                <w:shd w:val="clear" w:color="auto" w:fill="auto"/>
                <w:vAlign w:val="center"/>
              </w:tcPr>
              <w:p w14:paraId="08166DA4" w14:textId="77777777" w:rsidR="007E7472" w:rsidRDefault="00EC1269">
                <w:pPr>
                  <w:jc w:val="right"/>
                  <w:rPr>
                    <w:rFonts w:asciiTheme="minorEastAsia" w:eastAsiaTheme="minorEastAsia" w:hAnsiTheme="minorEastAsia" w:cs="Times New Roman"/>
                  </w:rPr>
                </w:pPr>
                <w:r>
                  <w:rPr>
                    <w:rFonts w:asciiTheme="minorEastAsia" w:eastAsiaTheme="minorEastAsia" w:hAnsiTheme="minorEastAsia" w:cs="Times New Roman"/>
                  </w:rPr>
                  <w:t>16,969</w:t>
                </w:r>
              </w:p>
            </w:tc>
          </w:tr>
        </w:tbl>
        <w:p w14:paraId="398BFE07" w14:textId="77777777" w:rsidR="007E7472" w:rsidRDefault="00C8327E"/>
      </w:sdtContent>
    </w:sdt>
    <w:bookmarkEnd w:id="185" w:displacedByCustomXml="next"/>
    <w:sdt>
      <w:sdtPr>
        <w:rPr>
          <w:rFonts w:ascii="宋体" w:hAnsi="宋体" w:cs="宋体" w:hint="eastAsia"/>
          <w:b w:val="0"/>
          <w:bCs w:val="0"/>
          <w:kern w:val="0"/>
          <w:sz w:val="20"/>
          <w:szCs w:val="24"/>
        </w:rPr>
        <w:alias w:val="模块:存货期末余额含有借款费用资本化金额的说明："/>
        <w:tag w:val="_GBC_dc559aaf0bf0428386e2f7f2cdeb43ec"/>
        <w:id w:val="677782610"/>
        <w:lock w:val="sdtLocked"/>
        <w:placeholder>
          <w:docPart w:val="GBC22222222222222222222222222222"/>
        </w:placeholder>
      </w:sdtPr>
      <w:sdtEndPr>
        <w:rPr>
          <w:sz w:val="21"/>
          <w:szCs w:val="21"/>
        </w:rPr>
      </w:sdtEndPr>
      <w:sdtContent>
        <w:p w14:paraId="4A9D2C28" w14:textId="77777777" w:rsidR="007E7472" w:rsidRDefault="00EC1269" w:rsidP="00162493">
          <w:pPr>
            <w:pStyle w:val="4"/>
            <w:numPr>
              <w:ilvl w:val="0"/>
              <w:numId w:val="67"/>
            </w:numPr>
          </w:pPr>
          <w:r>
            <w:rPr>
              <w:rFonts w:hint="eastAsia"/>
            </w:rPr>
            <w:t>存货期末余额含有借款费用资本化金额的说明</w:t>
          </w:r>
        </w:p>
        <w:sdt>
          <w:sdtPr>
            <w:rPr>
              <w:rFonts w:hint="eastAsia"/>
            </w:rPr>
            <w:alias w:val="是否适用：存货期末余额含有借款费用资本化金额的说明[双击切换]"/>
            <w:tag w:val="_GBC_c4216db560c643b38b29d44401d464c9"/>
            <w:id w:val="164981644"/>
            <w:lock w:val="sdtLocked"/>
            <w:placeholder>
              <w:docPart w:val="GBC22222222222222222222222222222"/>
            </w:placeholder>
          </w:sdtPr>
          <w:sdtEndPr/>
          <w:sdtContent>
            <w:p w14:paraId="0AB3DDAA"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bookmarkStart w:id="186" w:name="_Hlk10470641" w:displacedByCustomXml="next"/>
    <w:sdt>
      <w:sdtPr>
        <w:rPr>
          <w:rFonts w:ascii="宋体" w:hAnsi="宋体" w:cs="宋体" w:hint="eastAsia"/>
          <w:b w:val="0"/>
          <w:bCs w:val="0"/>
          <w:kern w:val="0"/>
          <w:sz w:val="20"/>
          <w:szCs w:val="21"/>
        </w:rPr>
        <w:alias w:val="模块:合同履约成本本期摊销金额的说明"/>
        <w:tag w:val="_SEC_8c46917973d94083a642ad0ca746d3cd"/>
        <w:id w:val="87904406"/>
        <w:lock w:val="sdtLocked"/>
        <w:placeholder>
          <w:docPart w:val="GBC22222222222222222222222222222"/>
        </w:placeholder>
      </w:sdtPr>
      <w:sdtEndPr>
        <w:rPr>
          <w:rFonts w:hint="default"/>
        </w:rPr>
      </w:sdtEndPr>
      <w:sdtContent>
        <w:p w14:paraId="314B8226" w14:textId="77777777" w:rsidR="007E7472" w:rsidRDefault="00EC1269" w:rsidP="00162493">
          <w:pPr>
            <w:pStyle w:val="4"/>
            <w:numPr>
              <w:ilvl w:val="0"/>
              <w:numId w:val="67"/>
            </w:numPr>
          </w:pPr>
          <w:r>
            <w:rPr>
              <w:rFonts w:hint="eastAsia"/>
            </w:rPr>
            <w:t>合同履约成本本期摊销金额的说明</w:t>
          </w:r>
        </w:p>
        <w:sdt>
          <w:sdtPr>
            <w:alias w:val="是否适用：合同履约成本本期摊销金额的说明[双击切换]"/>
            <w:tag w:val="_GBC_cd3513a7790e48d4a2a156e8ad6a629a"/>
            <w:id w:val="-1436057172"/>
            <w:lock w:val="sdtLocked"/>
            <w:placeholder>
              <w:docPart w:val="GBC22222222222222222222222222222"/>
            </w:placeholder>
          </w:sdtPr>
          <w:sdtEndPr/>
          <w:sdtContent>
            <w:p w14:paraId="38CCB8E8"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bookmarkEnd w:id="186" w:displacedByCustomXml="next"/>
    <w:sdt>
      <w:sdtPr>
        <w:rPr>
          <w:rFonts w:hint="eastAsia"/>
        </w:rPr>
        <w:alias w:val="模块:存货的其他说明"/>
        <w:tag w:val="_SEC_96c2195df56b4f3eb6049f39e6923486"/>
        <w:id w:val="621580734"/>
        <w:lock w:val="sdtLocked"/>
        <w:placeholder>
          <w:docPart w:val="GBC22222222222222222222222222222"/>
        </w:placeholder>
      </w:sdtPr>
      <w:sdtEndPr>
        <w:rPr>
          <w:rFonts w:hint="default"/>
        </w:rPr>
      </w:sdtEndPr>
      <w:sdtContent>
        <w:p w14:paraId="20DE729A" w14:textId="77777777" w:rsidR="007E7472" w:rsidRDefault="00EC1269">
          <w:r>
            <w:rPr>
              <w:rFonts w:hint="eastAsia"/>
            </w:rPr>
            <w:t>其他说明：</w:t>
          </w:r>
        </w:p>
        <w:sdt>
          <w:sdtPr>
            <w:alias w:val="是否适用：存货的其他说明[双击切换]"/>
            <w:tag w:val="_GBC_bd31680428a448ecb64fdd4cbab90a42"/>
            <w:id w:val="-388880509"/>
            <w:lock w:val="sdtLocked"/>
            <w:placeholder>
              <w:docPart w:val="GBC22222222222222222222222222222"/>
            </w:placeholder>
          </w:sdtPr>
          <w:sdtEndPr/>
          <w:sdtContent>
            <w:p w14:paraId="10DF3B04"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bookmarkStart w:id="187" w:name="_Hlk10470760" w:displacedByCustomXml="next"/>
    <w:sdt>
      <w:sdtPr>
        <w:rPr>
          <w:rFonts w:ascii="宋体" w:hAnsi="宋体" w:cs="宋体" w:hint="eastAsia"/>
          <w:b w:val="0"/>
          <w:bCs w:val="0"/>
          <w:kern w:val="0"/>
          <w:sz w:val="20"/>
          <w:szCs w:val="21"/>
        </w:rPr>
        <w:alias w:val="模块:合同资产"/>
        <w:tag w:val="_SEC_9eb3b6c88c0a41f7a3f6a2f43946f06c"/>
        <w:id w:val="1556968629"/>
        <w:lock w:val="sdtLocked"/>
        <w:placeholder>
          <w:docPart w:val="GBC22222222222222222222222222222"/>
        </w:placeholder>
      </w:sdtPr>
      <w:sdtEndPr/>
      <w:sdtContent>
        <w:p w14:paraId="5EE7BD5A" w14:textId="77777777" w:rsidR="007E7472" w:rsidRDefault="00EC1269" w:rsidP="00162493">
          <w:pPr>
            <w:pStyle w:val="3"/>
            <w:numPr>
              <w:ilvl w:val="0"/>
              <w:numId w:val="62"/>
            </w:numPr>
          </w:pPr>
          <w:r>
            <w:rPr>
              <w:rFonts w:hint="eastAsia"/>
            </w:rPr>
            <w:t>合同资产</w:t>
          </w:r>
        </w:p>
        <w:p w14:paraId="7B5808AC" w14:textId="77777777" w:rsidR="007E7472" w:rsidRDefault="00EC1269" w:rsidP="00162493">
          <w:pPr>
            <w:pStyle w:val="4"/>
            <w:numPr>
              <w:ilvl w:val="0"/>
              <w:numId w:val="68"/>
            </w:numPr>
          </w:pPr>
          <w:r>
            <w:rPr>
              <w:rFonts w:hint="eastAsia"/>
            </w:rPr>
            <w:t>合同资产情况</w:t>
          </w:r>
        </w:p>
        <w:sdt>
          <w:sdtPr>
            <w:alias w:val="是否适用：合同资产情况[双击切换]"/>
            <w:tag w:val="_GBC_d77156d135184e21a21238cac863494c"/>
            <w:id w:val="-1954930412"/>
            <w:lock w:val="sdtLocked"/>
            <w:placeholder>
              <w:docPart w:val="GBC22222222222222222222222222222"/>
            </w:placeholder>
          </w:sdtPr>
          <w:sdtEndPr/>
          <w:sdtContent>
            <w:p w14:paraId="7B51ACA9"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fldChar w:fldCharType="begin"/>
              </w:r>
              <w:r>
                <w:instrText xml:space="preserve"> MACROBUTTON  SnrToggleCheckbox √不适用 </w:instrText>
              </w:r>
              <w:r>
                <w:fldChar w:fldCharType="end"/>
              </w:r>
            </w:p>
          </w:sdtContent>
        </w:sdt>
      </w:sdtContent>
    </w:sdt>
    <w:bookmarkEnd w:id="187" w:displacedByCustomXml="next"/>
    <w:bookmarkStart w:id="188" w:name="_Hlk10470932" w:displacedByCustomXml="next"/>
    <w:bookmarkStart w:id="189" w:name="_Hlk10470942" w:displacedByCustomXml="next"/>
    <w:sdt>
      <w:sdtPr>
        <w:rPr>
          <w:rFonts w:ascii="宋体" w:hAnsi="宋体" w:cs="宋体" w:hint="eastAsia"/>
          <w:b w:val="0"/>
          <w:bCs w:val="0"/>
          <w:kern w:val="0"/>
          <w:sz w:val="20"/>
          <w:szCs w:val="21"/>
        </w:rPr>
        <w:alias w:val="模块:报告期内账面价值发生重大变动的金额和原因"/>
        <w:tag w:val="_SEC_e8c350da8e69479e93eb03226371923c"/>
        <w:id w:val="856703349"/>
        <w:lock w:val="sdtLocked"/>
        <w:placeholder>
          <w:docPart w:val="GBC22222222222222222222222222222"/>
        </w:placeholder>
      </w:sdtPr>
      <w:sdtEndPr>
        <w:rPr>
          <w:rFonts w:hint="default"/>
        </w:rPr>
      </w:sdtEndPr>
      <w:sdtContent>
        <w:p w14:paraId="0759CB1B" w14:textId="77777777" w:rsidR="007E7472" w:rsidRDefault="00EC1269" w:rsidP="00162493">
          <w:pPr>
            <w:pStyle w:val="4"/>
            <w:numPr>
              <w:ilvl w:val="0"/>
              <w:numId w:val="68"/>
            </w:numPr>
          </w:pPr>
          <w:r>
            <w:rPr>
              <w:rFonts w:hint="eastAsia"/>
            </w:rPr>
            <w:t>报告期内账面价值发生重大变动的金额和原因</w:t>
          </w:r>
          <w:bookmarkEnd w:id="188"/>
        </w:p>
        <w:sdt>
          <w:sdtPr>
            <w:alias w:val="是否适用：合同资产账面价值发生重大变动[双击切换]"/>
            <w:tag w:val="_GBC_4cdeacc1c4f24682b8d7fe35b510e9c1"/>
            <w:id w:val="-1566633176"/>
            <w:lock w:val="sdtLocked"/>
            <w:placeholder>
              <w:docPart w:val="GBC22222222222222222222222222222"/>
            </w:placeholder>
          </w:sdtPr>
          <w:sdtEndPr/>
          <w:sdtContent>
            <w:p w14:paraId="1AD17A17"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bookmarkEnd w:id="189" w:displacedByCustomXml="next"/>
    <w:bookmarkStart w:id="190" w:name="_Hlk10470956" w:displacedByCustomXml="next"/>
    <w:bookmarkStart w:id="191" w:name="_Hlk10470966" w:displacedByCustomXml="next"/>
    <w:sdt>
      <w:sdtPr>
        <w:rPr>
          <w:rFonts w:ascii="宋体" w:hAnsi="宋体" w:cs="宋体" w:hint="eastAsia"/>
          <w:b w:val="0"/>
          <w:bCs w:val="0"/>
          <w:kern w:val="0"/>
          <w:szCs w:val="21"/>
        </w:rPr>
        <w:alias w:val="模块:本期合同资产计提减值准备情况"/>
        <w:tag w:val="_SEC_bf3d6e0971b243878381353846199645"/>
        <w:id w:val="-834229208"/>
        <w:lock w:val="sdtLocked"/>
        <w:placeholder>
          <w:docPart w:val="GBC22222222222222222222222222222"/>
        </w:placeholder>
      </w:sdtPr>
      <w:sdtEndPr>
        <w:rPr>
          <w:rFonts w:hint="default"/>
        </w:rPr>
      </w:sdtEndPr>
      <w:sdtContent>
        <w:p w14:paraId="71458F6E" w14:textId="77777777" w:rsidR="007E7472" w:rsidRDefault="00EC1269" w:rsidP="00162493">
          <w:pPr>
            <w:pStyle w:val="4"/>
            <w:numPr>
              <w:ilvl w:val="0"/>
              <w:numId w:val="68"/>
            </w:numPr>
          </w:pPr>
          <w:r>
            <w:rPr>
              <w:rFonts w:hint="eastAsia"/>
            </w:rPr>
            <w:t>本期合同资产计提减值准备情况</w:t>
          </w:r>
          <w:bookmarkEnd w:id="190"/>
        </w:p>
        <w:sdt>
          <w:sdtPr>
            <w:alias w:val="是否适用：合同资产减值准备[双击切换]"/>
            <w:tag w:val="_GBC_47f239b7a5d442b0a0a358017de09567"/>
            <w:id w:val="2072076205"/>
            <w:lock w:val="sdtLocked"/>
            <w:placeholder>
              <w:docPart w:val="GBC22222222222222222222222222222"/>
            </w:placeholder>
          </w:sdtPr>
          <w:sdtEndPr/>
          <w:sdtContent>
            <w:p w14:paraId="149C6F51" w14:textId="77777777" w:rsidR="007E7472" w:rsidRDefault="00EC1269">
              <w:pPr>
                <w:autoSpaceDE w:val="0"/>
                <w:autoSpaceDN w:val="0"/>
                <w:adjustRightInd w:val="0"/>
                <w:ind w:rightChars="50" w:right="105"/>
              </w:pPr>
              <w:r>
                <w:rPr>
                  <w:rFonts w:asciiTheme="minorEastAsia" w:eastAsiaTheme="minorEastAsia" w:hAnsiTheme="minorEastAsia" w:cs="Times New Roman"/>
                </w:rPr>
                <w:fldChar w:fldCharType="begin"/>
              </w:r>
              <w:r>
                <w:rPr>
                  <w:rFonts w:asciiTheme="minorEastAsia" w:eastAsiaTheme="minorEastAsia" w:hAnsiTheme="minorEastAsia" w:cs="Times New Roman"/>
                </w:rPr>
                <w:instrText xml:space="preserve"> MACROBUTTON  SnrToggleCheckbox □适用 </w:instrText>
              </w:r>
              <w:r>
                <w:rPr>
                  <w:rFonts w:asciiTheme="minorEastAsia" w:eastAsiaTheme="minorEastAsia" w:hAnsiTheme="minorEastAsia" w:cs="Times New Roman"/>
                </w:rPr>
                <w:fldChar w:fldCharType="end"/>
              </w:r>
              <w:r>
                <w:rPr>
                  <w:rFonts w:asciiTheme="minorEastAsia" w:eastAsiaTheme="minorEastAsia" w:hAnsiTheme="minorEastAsia" w:cs="Times New Roman"/>
                </w:rPr>
                <w:fldChar w:fldCharType="begin"/>
              </w:r>
              <w:r>
                <w:rPr>
                  <w:rFonts w:asciiTheme="minorEastAsia" w:eastAsiaTheme="minorEastAsia" w:hAnsiTheme="minorEastAsia" w:cs="Times New Roman"/>
                </w:rPr>
                <w:instrText xml:space="preserve"> MACROBUTTON  SnrToggleCheckbox √不适用 </w:instrText>
              </w:r>
              <w:r>
                <w:rPr>
                  <w:rFonts w:asciiTheme="minorEastAsia" w:eastAsiaTheme="minorEastAsia" w:hAnsiTheme="minorEastAsia" w:cs="Times New Roman"/>
                </w:rPr>
                <w:fldChar w:fldCharType="end"/>
              </w:r>
            </w:p>
          </w:sdtContent>
        </w:sdt>
      </w:sdtContent>
    </w:sdt>
    <w:bookmarkEnd w:id="191" w:displacedByCustomXml="next"/>
    <w:bookmarkStart w:id="192" w:name="_Hlk10471002" w:displacedByCustomXml="next"/>
    <w:bookmarkStart w:id="193" w:name="_Hlk10471011" w:displacedByCustomXml="next"/>
    <w:sdt>
      <w:sdtPr>
        <w:rPr>
          <w:rFonts w:hint="eastAsia"/>
        </w:rPr>
        <w:alias w:val="模块:其他说明："/>
        <w:tag w:val="_SEC_5b10981ad765434eb8d30a4d75bff071"/>
        <w:id w:val="-1071349248"/>
        <w:lock w:val="sdtLocked"/>
        <w:placeholder>
          <w:docPart w:val="GBC22222222222222222222222222222"/>
        </w:placeholder>
      </w:sdtPr>
      <w:sdtEndPr>
        <w:rPr>
          <w:rFonts w:hint="default"/>
        </w:rPr>
      </w:sdtEndPr>
      <w:sdtContent>
        <w:p w14:paraId="50672FBF" w14:textId="77777777" w:rsidR="007E7472" w:rsidRDefault="00EC1269">
          <w:r>
            <w:rPr>
              <w:rFonts w:hint="eastAsia"/>
            </w:rPr>
            <w:t>其他说明：</w:t>
          </w:r>
          <w:bookmarkEnd w:id="192"/>
        </w:p>
        <w:sdt>
          <w:sdtPr>
            <w:alias w:val="是否适用：合同资产其他说明[双击切换]"/>
            <w:tag w:val="_GBC_06cd3c0f93454d76bd0c7e20322e8a49"/>
            <w:id w:val="-869371679"/>
            <w:lock w:val="sdtLocked"/>
            <w:placeholder>
              <w:docPart w:val="GBC22222222222222222222222222222"/>
            </w:placeholder>
          </w:sdtPr>
          <w:sdtEndPr/>
          <w:sdtContent>
            <w:p w14:paraId="009141B9" w14:textId="440BCC12"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bookmarkEnd w:id="193" w:displacedByCustomXml="prev"/>
    <w:sdt>
      <w:sdtPr>
        <w:rPr>
          <w:rFonts w:ascii="宋体" w:hAnsi="宋体" w:cs="宋体" w:hint="eastAsia"/>
          <w:b w:val="0"/>
          <w:bCs w:val="0"/>
          <w:kern w:val="0"/>
          <w:sz w:val="20"/>
          <w:szCs w:val="21"/>
        </w:rPr>
        <w:alias w:val="模块:划分为持有待售的资产"/>
        <w:tag w:val="_GBC_b8017c342539428893a6ec198dd061b3"/>
        <w:id w:val="-1977447531"/>
        <w:lock w:val="sdtLocked"/>
        <w:placeholder>
          <w:docPart w:val="GBC22222222222222222222222222222"/>
        </w:placeholder>
      </w:sdtPr>
      <w:sdtEndPr>
        <w:rPr>
          <w:rFonts w:hint="default"/>
        </w:rPr>
      </w:sdtEndPr>
      <w:sdtContent>
        <w:p w14:paraId="5F92F4ED" w14:textId="77777777" w:rsidR="007E7472" w:rsidRDefault="00EC1269" w:rsidP="00162493">
          <w:pPr>
            <w:pStyle w:val="3"/>
            <w:numPr>
              <w:ilvl w:val="0"/>
              <w:numId w:val="62"/>
            </w:numPr>
          </w:pPr>
          <w:r>
            <w:rPr>
              <w:rFonts w:hint="eastAsia"/>
            </w:rPr>
            <w:t>持有待售资产</w:t>
          </w:r>
        </w:p>
        <w:sdt>
          <w:sdtPr>
            <w:alias w:val="是否适用：划分为持有待售的资产[双击切换]"/>
            <w:tag w:val="_GBC_a6517e0f93e04b1caa2e45201c8133b1"/>
            <w:id w:val="-1761515337"/>
            <w:lock w:val="sdtLocked"/>
            <w:placeholder>
              <w:docPart w:val="GBC22222222222222222222222222222"/>
            </w:placeholder>
          </w:sdtPr>
          <w:sdtEndPr/>
          <w:sdtContent>
            <w:p w14:paraId="32FF2811" w14:textId="5E4CD171" w:rsidR="007E7472" w:rsidRDefault="00EC1269" w:rsidP="007E7472">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bookmarkStart w:id="194" w:name="_Hlk10471081" w:displacedByCustomXml="next"/>
    <w:sdt>
      <w:sdtPr>
        <w:rPr>
          <w:rFonts w:ascii="宋体" w:hAnsi="宋体" w:cs="宋体" w:hint="eastAsia"/>
          <w:b w:val="0"/>
          <w:bCs w:val="0"/>
          <w:kern w:val="0"/>
          <w:szCs w:val="24"/>
        </w:rPr>
        <w:alias w:val="模块:一年内到期的非流动资产"/>
        <w:tag w:val="_GBC_73afc3711ce24918b57d8c069abaf5c5"/>
        <w:id w:val="762193373"/>
        <w:lock w:val="sdtLocked"/>
        <w:placeholder>
          <w:docPart w:val="GBC22222222222222222222222222222"/>
        </w:placeholder>
      </w:sdtPr>
      <w:sdtEndPr>
        <w:rPr>
          <w:szCs w:val="21"/>
        </w:rPr>
      </w:sdtEndPr>
      <w:sdtContent>
        <w:p w14:paraId="01B0DFA2" w14:textId="77777777" w:rsidR="007E7472" w:rsidRDefault="00EC1269" w:rsidP="00162493">
          <w:pPr>
            <w:pStyle w:val="3"/>
            <w:numPr>
              <w:ilvl w:val="0"/>
              <w:numId w:val="62"/>
            </w:numPr>
          </w:pPr>
          <w:r>
            <w:rPr>
              <w:rFonts w:hint="eastAsia"/>
            </w:rPr>
            <w:t>一年内到期的非流动资产</w:t>
          </w:r>
        </w:p>
        <w:sdt>
          <w:sdtPr>
            <w:alias w:val="是否适用：一年内到期的非流动资产[双击切换]"/>
            <w:tag w:val="_GBC_3c3df002388d4bbe8dd8d4df7fe26ebc"/>
            <w:id w:val="567387377"/>
            <w:lock w:val="sdtLocked"/>
            <w:placeholder>
              <w:docPart w:val="GBC22222222222222222222222222222"/>
            </w:placeholder>
          </w:sdtPr>
          <w:sdtEndPr/>
          <w:sdtContent>
            <w:p w14:paraId="797FF9F4"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3DA4F703" w14:textId="55632CAF" w:rsidR="007E7472" w:rsidRDefault="00EC1269">
          <w:pPr>
            <w:ind w:right="210"/>
            <w:jc w:val="right"/>
          </w:pPr>
          <w:r>
            <w:rPr>
              <w:rFonts w:hint="eastAsia"/>
            </w:rPr>
            <w:t>单位：</w:t>
          </w:r>
          <w:sdt>
            <w:sdtPr>
              <w:rPr>
                <w:rFonts w:hint="eastAsia"/>
              </w:rPr>
              <w:alias w:val="单位：财务附注：一年内到期的非流动资产"/>
              <w:tag w:val="_GBC_14922dae03f44c28ac9ffa1215012f9c"/>
              <w:id w:val="4765827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一年内到期的非流动资产"/>
              <w:tag w:val="_GBC_82f0c618fc25413492c788e363214691"/>
              <w:id w:val="7807696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6"/>
            <w:gridCol w:w="2825"/>
            <w:gridCol w:w="2792"/>
          </w:tblGrid>
          <w:tr w:rsidR="007E7472" w14:paraId="148B56F9" w14:textId="77777777">
            <w:sdt>
              <w:sdtPr>
                <w:tag w:val="_PLD_3dd3ecdefaa34ef4b20ed16dfc08362c"/>
                <w:id w:val="-199084536"/>
                <w:lock w:val="sdtLocked"/>
              </w:sdtPr>
              <w:sdtEndPr/>
              <w:sdtContent>
                <w:tc>
                  <w:tcPr>
                    <w:tcW w:w="1816" w:type="pct"/>
                    <w:shd w:val="clear" w:color="auto" w:fill="auto"/>
                    <w:vAlign w:val="center"/>
                  </w:tcPr>
                  <w:p w14:paraId="7CA4F1BF" w14:textId="77777777" w:rsidR="007E7472" w:rsidRDefault="00EC1269">
                    <w:pPr>
                      <w:jc w:val="center"/>
                    </w:pPr>
                    <w:r>
                      <w:rPr>
                        <w:rFonts w:hint="eastAsia"/>
                      </w:rPr>
                      <w:t>项目</w:t>
                    </w:r>
                  </w:p>
                </w:tc>
              </w:sdtContent>
            </w:sdt>
            <w:sdt>
              <w:sdtPr>
                <w:tag w:val="_PLD_480b5377d1d84a9c8b0deaaf24f342ff"/>
                <w:id w:val="481810771"/>
                <w:lock w:val="sdtLocked"/>
              </w:sdtPr>
              <w:sdtEndPr/>
              <w:sdtContent>
                <w:tc>
                  <w:tcPr>
                    <w:tcW w:w="1601" w:type="pct"/>
                    <w:shd w:val="clear" w:color="auto" w:fill="auto"/>
                    <w:vAlign w:val="center"/>
                  </w:tcPr>
                  <w:p w14:paraId="5EDB2D69" w14:textId="77777777" w:rsidR="007E7472" w:rsidRDefault="00EC1269">
                    <w:pPr>
                      <w:jc w:val="center"/>
                    </w:pPr>
                    <w:r>
                      <w:rPr>
                        <w:rFonts w:hint="eastAsia"/>
                      </w:rPr>
                      <w:t>期末余额</w:t>
                    </w:r>
                  </w:p>
                </w:tc>
              </w:sdtContent>
            </w:sdt>
            <w:sdt>
              <w:sdtPr>
                <w:tag w:val="_PLD_a67b2de4a1a3451da84cbef4312398ed"/>
                <w:id w:val="-1334911159"/>
                <w:lock w:val="sdtLocked"/>
              </w:sdtPr>
              <w:sdtEndPr/>
              <w:sdtContent>
                <w:tc>
                  <w:tcPr>
                    <w:tcW w:w="1582" w:type="pct"/>
                    <w:shd w:val="clear" w:color="auto" w:fill="auto"/>
                    <w:vAlign w:val="center"/>
                  </w:tcPr>
                  <w:p w14:paraId="196A0D42" w14:textId="77777777" w:rsidR="007E7472" w:rsidRDefault="00EC1269">
                    <w:pPr>
                      <w:jc w:val="center"/>
                    </w:pPr>
                    <w:r>
                      <w:rPr>
                        <w:rFonts w:hint="eastAsia"/>
                      </w:rPr>
                      <w:t>期初余额</w:t>
                    </w:r>
                  </w:p>
                </w:tc>
              </w:sdtContent>
            </w:sdt>
          </w:tr>
          <w:sdt>
            <w:sdtPr>
              <w:rPr>
                <w:rFonts w:asciiTheme="minorHAnsi" w:eastAsiaTheme="minorEastAsia" w:hAnsiTheme="minorHAnsi" w:cstheme="minorBidi" w:hint="eastAsia"/>
                <w:kern w:val="2"/>
                <w:szCs w:val="22"/>
              </w:rPr>
              <w:alias w:val="一年内到期的非流动资产明细"/>
              <w:tag w:val="_GBC_28cb8da7835241e682eaaa567efa24ff"/>
              <w:id w:val="1340342261"/>
              <w:lock w:val="sdtLocked"/>
            </w:sdtPr>
            <w:sdtEndPr/>
            <w:sdtContent>
              <w:tr w:rsidR="007E7472" w14:paraId="5C98DA81" w14:textId="77777777">
                <w:tc>
                  <w:tcPr>
                    <w:tcW w:w="1816" w:type="pct"/>
                    <w:shd w:val="clear" w:color="auto" w:fill="auto"/>
                  </w:tcPr>
                  <w:p w14:paraId="40945890" w14:textId="77777777" w:rsidR="007E7472" w:rsidRDefault="00EC1269">
                    <w:pPr>
                      <w:snapToGrid w:val="0"/>
                      <w:ind w:leftChars="-51" w:left="-107"/>
                      <w:rPr>
                        <w:rFonts w:asciiTheme="minorHAnsi" w:eastAsiaTheme="minorEastAsia" w:hAnsiTheme="minorHAnsi" w:cstheme="minorBidi"/>
                        <w:kern w:val="2"/>
                        <w:szCs w:val="22"/>
                      </w:rPr>
                    </w:pPr>
                    <w:r>
                      <w:t>一年内到期的长期应收款（注）</w:t>
                    </w:r>
                  </w:p>
                </w:tc>
                <w:tc>
                  <w:tcPr>
                    <w:tcW w:w="1601" w:type="pct"/>
                    <w:shd w:val="clear" w:color="auto" w:fill="auto"/>
                  </w:tcPr>
                  <w:p w14:paraId="16165871" w14:textId="77777777" w:rsidR="007E7472" w:rsidRDefault="00EC1269">
                    <w:pPr>
                      <w:snapToGrid w:val="0"/>
                      <w:jc w:val="right"/>
                    </w:pPr>
                    <w:r>
                      <w:t>2,802,663</w:t>
                    </w:r>
                  </w:p>
                </w:tc>
                <w:tc>
                  <w:tcPr>
                    <w:tcW w:w="1582" w:type="pct"/>
                    <w:shd w:val="clear" w:color="auto" w:fill="auto"/>
                  </w:tcPr>
                  <w:p w14:paraId="724BAF81" w14:textId="77777777" w:rsidR="007E7472" w:rsidRDefault="00EC1269">
                    <w:pPr>
                      <w:snapToGrid w:val="0"/>
                      <w:jc w:val="right"/>
                      <w:rPr>
                        <w:rFonts w:asciiTheme="minorHAnsi" w:eastAsiaTheme="minorEastAsia" w:hAnsiTheme="minorHAnsi" w:cstheme="minorBidi"/>
                        <w:kern w:val="2"/>
                        <w:szCs w:val="22"/>
                      </w:rPr>
                    </w:pPr>
                    <w:r>
                      <w:t>2,566,988</w:t>
                    </w:r>
                  </w:p>
                </w:tc>
              </w:tr>
            </w:sdtContent>
          </w:sdt>
          <w:sdt>
            <w:sdtPr>
              <w:rPr>
                <w:rFonts w:asciiTheme="minorHAnsi" w:eastAsiaTheme="minorEastAsia" w:hAnsiTheme="minorHAnsi" w:cstheme="minorBidi" w:hint="eastAsia"/>
                <w:kern w:val="2"/>
                <w:szCs w:val="22"/>
              </w:rPr>
              <w:alias w:val="一年内到期的非流动资产明细"/>
              <w:tag w:val="_GBC_28cb8da7835241e682eaaa567efa24ff"/>
              <w:id w:val="-1041829634"/>
              <w:lock w:val="sdtLocked"/>
            </w:sdtPr>
            <w:sdtEndPr/>
            <w:sdtContent>
              <w:tr w:rsidR="007E7472" w14:paraId="380EB603" w14:textId="77777777">
                <w:tc>
                  <w:tcPr>
                    <w:tcW w:w="1816" w:type="pct"/>
                    <w:shd w:val="clear" w:color="auto" w:fill="auto"/>
                  </w:tcPr>
                  <w:p w14:paraId="6F035D67" w14:textId="05356F12" w:rsidR="007E7472" w:rsidRDefault="00913748">
                    <w:pPr>
                      <w:snapToGrid w:val="0"/>
                      <w:ind w:leftChars="-51" w:left="-107"/>
                    </w:pPr>
                    <w:r w:rsidRPr="00CF1572">
                      <w:rPr>
                        <w:rFonts w:hint="eastAsia"/>
                      </w:rPr>
                      <w:t>一年内到期的其他债权投资</w:t>
                    </w:r>
                  </w:p>
                </w:tc>
                <w:tc>
                  <w:tcPr>
                    <w:tcW w:w="1601" w:type="pct"/>
                    <w:shd w:val="clear" w:color="auto" w:fill="auto"/>
                  </w:tcPr>
                  <w:p w14:paraId="6F2330C0" w14:textId="77777777" w:rsidR="007E7472" w:rsidRDefault="00C8327E">
                    <w:pPr>
                      <w:snapToGrid w:val="0"/>
                      <w:jc w:val="right"/>
                    </w:pPr>
                  </w:p>
                </w:tc>
                <w:tc>
                  <w:tcPr>
                    <w:tcW w:w="1582" w:type="pct"/>
                    <w:shd w:val="clear" w:color="auto" w:fill="auto"/>
                  </w:tcPr>
                  <w:p w14:paraId="34122B2A" w14:textId="77777777" w:rsidR="007E7472" w:rsidRDefault="00EC1269">
                    <w:pPr>
                      <w:snapToGrid w:val="0"/>
                      <w:jc w:val="right"/>
                    </w:pPr>
                    <w:r>
                      <w:t>1,950,000</w:t>
                    </w:r>
                  </w:p>
                </w:tc>
              </w:tr>
            </w:sdtContent>
          </w:sdt>
          <w:tr w:rsidR="007E7472" w14:paraId="5ECA4CBC" w14:textId="77777777">
            <w:sdt>
              <w:sdtPr>
                <w:tag w:val="_PLD_487fc28d4c564bc397743399f82b936a"/>
                <w:id w:val="-1350184020"/>
                <w:lock w:val="sdtLocked"/>
              </w:sdtPr>
              <w:sdtEndPr/>
              <w:sdtContent>
                <w:tc>
                  <w:tcPr>
                    <w:tcW w:w="1816" w:type="pct"/>
                    <w:shd w:val="clear" w:color="auto" w:fill="auto"/>
                    <w:vAlign w:val="bottom"/>
                  </w:tcPr>
                  <w:p w14:paraId="27695D12" w14:textId="77777777" w:rsidR="007E7472" w:rsidRDefault="00EC1269">
                    <w:pPr>
                      <w:snapToGrid w:val="0"/>
                      <w:ind w:leftChars="-51" w:left="-107"/>
                      <w:jc w:val="center"/>
                    </w:pPr>
                    <w:r>
                      <w:rPr>
                        <w:rFonts w:hint="eastAsia"/>
                      </w:rPr>
                      <w:t>合计</w:t>
                    </w:r>
                  </w:p>
                </w:tc>
              </w:sdtContent>
            </w:sdt>
            <w:tc>
              <w:tcPr>
                <w:tcW w:w="1601" w:type="pct"/>
                <w:shd w:val="clear" w:color="auto" w:fill="auto"/>
              </w:tcPr>
              <w:p w14:paraId="10243610" w14:textId="77777777" w:rsidR="007E7472" w:rsidRDefault="00EC1269">
                <w:pPr>
                  <w:snapToGrid w:val="0"/>
                  <w:jc w:val="right"/>
                </w:pPr>
                <w:r>
                  <w:t>2,802,663</w:t>
                </w:r>
              </w:p>
            </w:tc>
            <w:tc>
              <w:tcPr>
                <w:tcW w:w="1582" w:type="pct"/>
                <w:shd w:val="clear" w:color="auto" w:fill="auto"/>
              </w:tcPr>
              <w:p w14:paraId="583AB1F8" w14:textId="77777777" w:rsidR="007E7472" w:rsidRDefault="00EC1269">
                <w:pPr>
                  <w:snapToGrid w:val="0"/>
                  <w:jc w:val="right"/>
                </w:pPr>
                <w:r>
                  <w:t>4,516,988</w:t>
                </w:r>
              </w:p>
            </w:tc>
          </w:tr>
        </w:tbl>
        <w:p w14:paraId="11EEB9BE" w14:textId="77777777" w:rsidR="007E7472" w:rsidRDefault="00C8327E"/>
        <w:p w14:paraId="0E5861A7" w14:textId="77777777" w:rsidR="007E7472" w:rsidRDefault="00EC1269">
          <w:pPr>
            <w:ind w:right="210"/>
          </w:pPr>
          <w:r>
            <w:rPr>
              <w:rFonts w:hint="eastAsia"/>
            </w:rPr>
            <w:t>期末重要的债权投资和其他债权投资：</w:t>
          </w:r>
        </w:p>
        <w:sdt>
          <w:sdtPr>
            <w:alias w:val="是否适用：一年内到期的非流动资产中重要的债权投资[双击切换]"/>
            <w:tag w:val="_GBC_48bf54d20bb74c9aaa661a2407efce08"/>
            <w:id w:val="-507827426"/>
            <w:lock w:val="sdtLocked"/>
            <w:placeholder>
              <w:docPart w:val="GBC22222222222222222222222222222"/>
            </w:placeholder>
          </w:sdtPr>
          <w:sdtEndPr/>
          <w:sdtContent>
            <w:p w14:paraId="6FA6FCE9" w14:textId="77777777" w:rsidR="007E7472" w:rsidRDefault="00EC1269">
              <w:pPr>
                <w:ind w:right="210"/>
              </w:pPr>
              <w:r>
                <w:rPr>
                  <w:rFonts w:asciiTheme="minorEastAsia" w:eastAsiaTheme="minorEastAsia" w:hAnsiTheme="minorEastAsia" w:cs="Times New Roman"/>
                </w:rPr>
                <w:fldChar w:fldCharType="begin"/>
              </w:r>
              <w:r>
                <w:rPr>
                  <w:rFonts w:asciiTheme="minorEastAsia" w:eastAsiaTheme="minorEastAsia" w:hAnsiTheme="minorEastAsia" w:cs="Times New Roman"/>
                </w:rPr>
                <w:instrText xml:space="preserve"> MACROBUTTON  SnrToggleCheckbox □适用 </w:instrText>
              </w:r>
              <w:r>
                <w:rPr>
                  <w:rFonts w:asciiTheme="minorEastAsia" w:eastAsiaTheme="minorEastAsia" w:hAnsiTheme="minorEastAsia" w:cs="Times New Roman"/>
                </w:rPr>
                <w:fldChar w:fldCharType="end"/>
              </w:r>
              <w:r>
                <w:rPr>
                  <w:rFonts w:asciiTheme="minorEastAsia" w:eastAsiaTheme="minorEastAsia" w:hAnsiTheme="minorEastAsia" w:cs="Times New Roman"/>
                </w:rPr>
                <w:fldChar w:fldCharType="begin"/>
              </w:r>
              <w:r>
                <w:rPr>
                  <w:rFonts w:asciiTheme="minorEastAsia" w:eastAsiaTheme="minorEastAsia" w:hAnsiTheme="minorEastAsia" w:cs="Times New Roman"/>
                </w:rPr>
                <w:instrText xml:space="preserve"> MACROBUTTON  SnrToggleCheckbox √不适用 </w:instrText>
              </w:r>
              <w:r>
                <w:rPr>
                  <w:rFonts w:asciiTheme="minorEastAsia" w:eastAsiaTheme="minorEastAsia" w:hAnsiTheme="minorEastAsia" w:cs="Times New Roman"/>
                </w:rPr>
                <w:fldChar w:fldCharType="end"/>
              </w:r>
            </w:p>
          </w:sdtContent>
        </w:sdt>
        <w:p w14:paraId="74416E27" w14:textId="77777777" w:rsidR="007E7472" w:rsidRDefault="00EC1269">
          <w:pPr>
            <w:ind w:right="210"/>
          </w:pPr>
          <w:r>
            <w:rPr>
              <w:rFonts w:hint="eastAsia"/>
            </w:rPr>
            <w:t>其他说明：</w:t>
          </w:r>
        </w:p>
        <w:sdt>
          <w:sdtPr>
            <w:alias w:val="一年内到期的非流动资产其他说明"/>
            <w:tag w:val="_GBC_b46cca262d82450dafd7a3161c7d790e"/>
            <w:id w:val="1642920848"/>
            <w:lock w:val="sdtLocked"/>
            <w:placeholder>
              <w:docPart w:val="GBC22222222222222222222222222222"/>
            </w:placeholder>
          </w:sdtPr>
          <w:sdtEndPr/>
          <w:sdtContent>
            <w:p w14:paraId="0D2BC396" w14:textId="77777777" w:rsidR="007E7472" w:rsidRDefault="00EC1269">
              <w:pPr>
                <w:spacing w:beforeLines="50" w:before="156" w:afterLines="50" w:after="156" w:line="360" w:lineRule="exact"/>
                <w:ind w:firstLineChars="200" w:firstLine="420"/>
                <w:jc w:val="both"/>
              </w:pPr>
              <w:r>
                <w:rPr>
                  <w:rFonts w:hint="eastAsia"/>
                </w:rPr>
                <w:t>注：一年内到期的长期应收款包括本公司之子公司兖矿融资租赁有限公司长期应收融资租赁款</w:t>
              </w:r>
              <w:r>
                <w:t>2,802,663千元。</w:t>
              </w:r>
            </w:p>
          </w:sdtContent>
        </w:sdt>
      </w:sdtContent>
    </w:sdt>
    <w:bookmarkEnd w:id="194" w:displacedByCustomXml="next"/>
    <w:bookmarkStart w:id="195" w:name="_Hlk10471163" w:displacedByCustomXml="next"/>
    <w:sdt>
      <w:sdtPr>
        <w:rPr>
          <w:rFonts w:ascii="宋体" w:hAnsi="宋体" w:cs="宋体" w:hint="eastAsia"/>
          <w:b w:val="0"/>
          <w:bCs w:val="0"/>
          <w:kern w:val="0"/>
          <w:sz w:val="20"/>
          <w:szCs w:val="21"/>
        </w:rPr>
        <w:alias w:val="模块:其他流动资产"/>
        <w:tag w:val="_GBC_e29fd29bee934fc3ab8325cf3625b905"/>
        <w:id w:val="1593668537"/>
        <w:lock w:val="sdtLocked"/>
        <w:placeholder>
          <w:docPart w:val="GBC22222222222222222222222222222"/>
        </w:placeholder>
      </w:sdtPr>
      <w:sdtEndPr/>
      <w:sdtContent>
        <w:p w14:paraId="62FAF6E1" w14:textId="77777777" w:rsidR="007E7472" w:rsidRDefault="00EC1269" w:rsidP="00162493">
          <w:pPr>
            <w:pStyle w:val="3"/>
            <w:numPr>
              <w:ilvl w:val="0"/>
              <w:numId w:val="62"/>
            </w:numPr>
          </w:pPr>
          <w:r>
            <w:rPr>
              <w:rFonts w:hint="eastAsia"/>
            </w:rPr>
            <w:t>其他流动资产</w:t>
          </w:r>
        </w:p>
        <w:sdt>
          <w:sdtPr>
            <w:alias w:val="是否适用：其他流动资产[双击切换]"/>
            <w:tag w:val="_GBC_7733d50365e24328b41020152f88028d"/>
            <w:id w:val="-554236161"/>
            <w:lock w:val="sdtLocked"/>
            <w:placeholder>
              <w:docPart w:val="GBC22222222222222222222222222222"/>
            </w:placeholder>
          </w:sdtPr>
          <w:sdtEndPr/>
          <w:sdtContent>
            <w:p w14:paraId="50DE0814"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70E8C825" w14:textId="76F9359D" w:rsidR="007E7472" w:rsidRDefault="00EC1269">
          <w:pPr>
            <w:jc w:val="right"/>
          </w:pPr>
          <w:r>
            <w:rPr>
              <w:rFonts w:hint="eastAsia"/>
            </w:rPr>
            <w:t>单位：</w:t>
          </w:r>
          <w:sdt>
            <w:sdtPr>
              <w:rPr>
                <w:rFonts w:hint="eastAsia"/>
              </w:rPr>
              <w:alias w:val="单位：其他流动资产"/>
              <w:tag w:val="_GBC_d0c62fc75d164678ad203d9ddb106538"/>
              <w:id w:val="-112207006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其他流动资产"/>
              <w:tag w:val="_GBC_9196143d56d24a9ea7f7e31ce8a09024"/>
              <w:id w:val="-10990214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4"/>
            <w:gridCol w:w="2845"/>
            <w:gridCol w:w="2774"/>
          </w:tblGrid>
          <w:tr w:rsidR="007E7472" w14:paraId="1BFAE794" w14:textId="77777777">
            <w:sdt>
              <w:sdtPr>
                <w:tag w:val="_PLD_15bbfc7d41df4300abcae2e424cc6572"/>
                <w:id w:val="-1237089772"/>
                <w:lock w:val="sdtLocked"/>
              </w:sdtPr>
              <w:sdtEndPr/>
              <w:sdtContent>
                <w:tc>
                  <w:tcPr>
                    <w:tcW w:w="1816" w:type="pct"/>
                    <w:shd w:val="clear" w:color="auto" w:fill="auto"/>
                    <w:vAlign w:val="center"/>
                  </w:tcPr>
                  <w:p w14:paraId="2D532E53" w14:textId="77777777" w:rsidR="007E7472" w:rsidRDefault="00EC1269">
                    <w:pPr>
                      <w:jc w:val="center"/>
                    </w:pPr>
                    <w:r>
                      <w:rPr>
                        <w:rFonts w:hint="eastAsia"/>
                      </w:rPr>
                      <w:t>项目</w:t>
                    </w:r>
                  </w:p>
                </w:tc>
              </w:sdtContent>
            </w:sdt>
            <w:sdt>
              <w:sdtPr>
                <w:tag w:val="_PLD_d2a222194eae4e958db2401139170ea2"/>
                <w:id w:val="-2067411783"/>
                <w:lock w:val="sdtLocked"/>
              </w:sdtPr>
              <w:sdtEndPr/>
              <w:sdtContent>
                <w:tc>
                  <w:tcPr>
                    <w:tcW w:w="1612" w:type="pct"/>
                    <w:shd w:val="clear" w:color="auto" w:fill="auto"/>
                    <w:vAlign w:val="center"/>
                  </w:tcPr>
                  <w:p w14:paraId="6B24FBCB" w14:textId="77777777" w:rsidR="007E7472" w:rsidRDefault="00EC1269">
                    <w:pPr>
                      <w:jc w:val="center"/>
                    </w:pPr>
                    <w:r>
                      <w:rPr>
                        <w:rFonts w:hint="eastAsia"/>
                      </w:rPr>
                      <w:t>期末余额</w:t>
                    </w:r>
                  </w:p>
                </w:tc>
              </w:sdtContent>
            </w:sdt>
            <w:sdt>
              <w:sdtPr>
                <w:tag w:val="_PLD_0f3815799e9d4216b9506517d8e9b90c"/>
                <w:id w:val="955678065"/>
                <w:lock w:val="sdtLocked"/>
              </w:sdtPr>
              <w:sdtEndPr/>
              <w:sdtContent>
                <w:tc>
                  <w:tcPr>
                    <w:tcW w:w="1572" w:type="pct"/>
                    <w:shd w:val="clear" w:color="auto" w:fill="auto"/>
                    <w:vAlign w:val="center"/>
                  </w:tcPr>
                  <w:p w14:paraId="04DC8C31" w14:textId="77777777" w:rsidR="007E7472" w:rsidRDefault="00EC1269">
                    <w:pPr>
                      <w:jc w:val="center"/>
                    </w:pPr>
                    <w:r>
                      <w:rPr>
                        <w:rFonts w:hint="eastAsia"/>
                      </w:rPr>
                      <w:t>期初余额</w:t>
                    </w:r>
                  </w:p>
                </w:tc>
              </w:sdtContent>
            </w:sdt>
          </w:tr>
          <w:sdt>
            <w:sdtPr>
              <w:rPr>
                <w:rFonts w:asciiTheme="minorHAnsi" w:eastAsiaTheme="minorEastAsia" w:hAnsiTheme="minorHAnsi" w:cstheme="minorBidi" w:hint="eastAsia"/>
                <w:kern w:val="2"/>
                <w:szCs w:val="22"/>
              </w:rPr>
              <w:alias w:val="其他流动资产明细"/>
              <w:tag w:val="_TUP_0bae324e6bd3444492796087e454ca12"/>
              <w:id w:val="-1131542930"/>
              <w:lock w:val="sdtLocked"/>
            </w:sdtPr>
            <w:sdtEndPr>
              <w:rPr>
                <w:rFonts w:ascii="宋体" w:eastAsia="宋体" w:hAnsi="宋体" w:cs="宋体" w:hint="default"/>
                <w:kern w:val="0"/>
              </w:rPr>
            </w:sdtEndPr>
            <w:sdtContent>
              <w:tr w:rsidR="007E7472" w14:paraId="3A1C0E24" w14:textId="77777777">
                <w:tc>
                  <w:tcPr>
                    <w:tcW w:w="1816" w:type="pct"/>
                    <w:shd w:val="clear" w:color="auto" w:fill="auto"/>
                  </w:tcPr>
                  <w:p w14:paraId="0392DFF4" w14:textId="77777777" w:rsidR="007E7472" w:rsidRDefault="00EC1269">
                    <w:pPr>
                      <w:snapToGrid w:val="0"/>
                      <w:rPr>
                        <w:rFonts w:asciiTheme="minorHAnsi" w:eastAsiaTheme="minorEastAsia" w:hAnsiTheme="minorHAnsi" w:cstheme="minorBidi"/>
                        <w:kern w:val="2"/>
                      </w:rPr>
                    </w:pPr>
                    <w:r>
                      <w:t>发放贷款及垫款</w:t>
                    </w:r>
                  </w:p>
                </w:tc>
                <w:tc>
                  <w:tcPr>
                    <w:tcW w:w="1612" w:type="pct"/>
                    <w:shd w:val="clear" w:color="auto" w:fill="auto"/>
                  </w:tcPr>
                  <w:p w14:paraId="34A6362F" w14:textId="77777777" w:rsidR="007E7472" w:rsidRDefault="00EC1269">
                    <w:pPr>
                      <w:snapToGrid w:val="0"/>
                      <w:jc w:val="right"/>
                    </w:pPr>
                    <w:r>
                      <w:t>6,897,150</w:t>
                    </w:r>
                  </w:p>
                </w:tc>
                <w:tc>
                  <w:tcPr>
                    <w:tcW w:w="1572" w:type="pct"/>
                    <w:shd w:val="clear" w:color="auto" w:fill="auto"/>
                  </w:tcPr>
                  <w:p w14:paraId="677978CC" w14:textId="77777777" w:rsidR="007E7472" w:rsidRDefault="00EC1269">
                    <w:pPr>
                      <w:snapToGrid w:val="0"/>
                      <w:jc w:val="right"/>
                    </w:pPr>
                    <w:r>
                      <w:t>5,211,437</w:t>
                    </w:r>
                  </w:p>
                </w:tc>
              </w:tr>
            </w:sdtContent>
          </w:sdt>
          <w:sdt>
            <w:sdtPr>
              <w:rPr>
                <w:rFonts w:asciiTheme="minorHAnsi" w:eastAsiaTheme="minorEastAsia" w:hAnsiTheme="minorHAnsi" w:cstheme="minorBidi" w:hint="eastAsia"/>
                <w:kern w:val="2"/>
                <w:szCs w:val="22"/>
              </w:rPr>
              <w:alias w:val="其他流动资产明细"/>
              <w:tag w:val="_TUP_0bae324e6bd3444492796087e454ca12"/>
              <w:id w:val="-281961206"/>
              <w:lock w:val="sdtLocked"/>
            </w:sdtPr>
            <w:sdtEndPr>
              <w:rPr>
                <w:rFonts w:ascii="宋体" w:eastAsia="宋体" w:hAnsi="宋体" w:cs="宋体" w:hint="default"/>
                <w:kern w:val="0"/>
              </w:rPr>
            </w:sdtEndPr>
            <w:sdtContent>
              <w:tr w:rsidR="007E7472" w14:paraId="1C1CB745" w14:textId="77777777">
                <w:tc>
                  <w:tcPr>
                    <w:tcW w:w="1816" w:type="pct"/>
                    <w:shd w:val="clear" w:color="auto" w:fill="auto"/>
                  </w:tcPr>
                  <w:p w14:paraId="6157415C" w14:textId="77777777" w:rsidR="007E7472" w:rsidRDefault="00EC1269">
                    <w:pPr>
                      <w:snapToGrid w:val="0"/>
                      <w:rPr>
                        <w:rFonts w:asciiTheme="minorHAnsi" w:eastAsiaTheme="minorEastAsia" w:hAnsiTheme="minorHAnsi" w:cstheme="minorBidi"/>
                        <w:kern w:val="2"/>
                      </w:rPr>
                    </w:pPr>
                    <w:r>
                      <w:t>土地塌陷、复原、重整及环保费</w:t>
                    </w:r>
                  </w:p>
                </w:tc>
                <w:tc>
                  <w:tcPr>
                    <w:tcW w:w="1612" w:type="pct"/>
                    <w:shd w:val="clear" w:color="auto" w:fill="auto"/>
                  </w:tcPr>
                  <w:p w14:paraId="6B734ECB" w14:textId="77777777" w:rsidR="007E7472" w:rsidRDefault="00EC1269">
                    <w:pPr>
                      <w:snapToGrid w:val="0"/>
                      <w:jc w:val="right"/>
                    </w:pPr>
                    <w:r>
                      <w:t>5,519,815</w:t>
                    </w:r>
                  </w:p>
                </w:tc>
                <w:tc>
                  <w:tcPr>
                    <w:tcW w:w="1572" w:type="pct"/>
                    <w:shd w:val="clear" w:color="auto" w:fill="auto"/>
                  </w:tcPr>
                  <w:p w14:paraId="41A2C2EC" w14:textId="77777777" w:rsidR="007E7472" w:rsidRDefault="00EC1269">
                    <w:pPr>
                      <w:snapToGrid w:val="0"/>
                      <w:jc w:val="right"/>
                    </w:pPr>
                    <w:r>
                      <w:t>5,224,276</w:t>
                    </w:r>
                  </w:p>
                </w:tc>
              </w:tr>
            </w:sdtContent>
          </w:sdt>
          <w:sdt>
            <w:sdtPr>
              <w:rPr>
                <w:rFonts w:asciiTheme="minorHAnsi" w:eastAsiaTheme="minorEastAsia" w:hAnsiTheme="minorHAnsi" w:cstheme="minorBidi" w:hint="eastAsia"/>
                <w:kern w:val="2"/>
                <w:szCs w:val="22"/>
              </w:rPr>
              <w:alias w:val="其他流动资产明细"/>
              <w:tag w:val="_TUP_0bae324e6bd3444492796087e454ca12"/>
              <w:id w:val="-296841475"/>
              <w:lock w:val="sdtLocked"/>
            </w:sdtPr>
            <w:sdtEndPr>
              <w:rPr>
                <w:rFonts w:hint="default"/>
              </w:rPr>
            </w:sdtEndPr>
            <w:sdtContent>
              <w:tr w:rsidR="007E7472" w14:paraId="5AD35CC0" w14:textId="77777777">
                <w:tc>
                  <w:tcPr>
                    <w:tcW w:w="1816" w:type="pct"/>
                    <w:shd w:val="clear" w:color="auto" w:fill="auto"/>
                  </w:tcPr>
                  <w:p w14:paraId="14AF9C40" w14:textId="77777777" w:rsidR="007E7472" w:rsidRDefault="00EC1269">
                    <w:pPr>
                      <w:snapToGrid w:val="0"/>
                    </w:pPr>
                    <w:r>
                      <w:t>应收保理款</w:t>
                    </w:r>
                  </w:p>
                </w:tc>
                <w:tc>
                  <w:tcPr>
                    <w:tcW w:w="1612" w:type="pct"/>
                    <w:shd w:val="clear" w:color="auto" w:fill="auto"/>
                  </w:tcPr>
                  <w:p w14:paraId="3009EFFC" w14:textId="77777777" w:rsidR="007E7472" w:rsidRDefault="00EC1269">
                    <w:pPr>
                      <w:snapToGrid w:val="0"/>
                      <w:jc w:val="right"/>
                    </w:pPr>
                    <w:r>
                      <w:t>1,349,437</w:t>
                    </w:r>
                  </w:p>
                </w:tc>
                <w:tc>
                  <w:tcPr>
                    <w:tcW w:w="1572" w:type="pct"/>
                    <w:shd w:val="clear" w:color="auto" w:fill="auto"/>
                  </w:tcPr>
                  <w:p w14:paraId="08485AE3" w14:textId="77777777" w:rsidR="007E7472" w:rsidRDefault="00EC1269">
                    <w:pPr>
                      <w:snapToGrid w:val="0"/>
                      <w:jc w:val="right"/>
                    </w:pPr>
                    <w:r>
                      <w:t>377,141</w:t>
                    </w:r>
                  </w:p>
                </w:tc>
              </w:tr>
            </w:sdtContent>
          </w:sdt>
          <w:sdt>
            <w:sdtPr>
              <w:rPr>
                <w:rFonts w:asciiTheme="minorHAnsi" w:eastAsiaTheme="minorEastAsia" w:hAnsiTheme="minorHAnsi" w:cstheme="minorBidi" w:hint="eastAsia"/>
                <w:kern w:val="2"/>
                <w:szCs w:val="22"/>
              </w:rPr>
              <w:alias w:val="其他流动资产明细"/>
              <w:tag w:val="_TUP_0bae324e6bd3444492796087e454ca12"/>
              <w:id w:val="-739096494"/>
              <w:lock w:val="sdtLocked"/>
            </w:sdtPr>
            <w:sdtEndPr/>
            <w:sdtContent>
              <w:tr w:rsidR="007E7472" w14:paraId="169C9262" w14:textId="77777777">
                <w:tc>
                  <w:tcPr>
                    <w:tcW w:w="1816" w:type="pct"/>
                    <w:shd w:val="clear" w:color="auto" w:fill="auto"/>
                  </w:tcPr>
                  <w:p w14:paraId="799A2AFB" w14:textId="77777777" w:rsidR="007E7472" w:rsidRDefault="00EC1269">
                    <w:pPr>
                      <w:snapToGrid w:val="0"/>
                    </w:pPr>
                    <w:r>
                      <w:rPr>
                        <w:rFonts w:hint="eastAsia"/>
                      </w:rPr>
                      <w:t>待抵扣进项税、预缴税款</w:t>
                    </w:r>
                  </w:p>
                </w:tc>
                <w:tc>
                  <w:tcPr>
                    <w:tcW w:w="1612" w:type="pct"/>
                    <w:shd w:val="clear" w:color="auto" w:fill="auto"/>
                  </w:tcPr>
                  <w:p w14:paraId="2A6FDB57" w14:textId="77777777" w:rsidR="007E7472" w:rsidRDefault="00EC1269">
                    <w:pPr>
                      <w:snapToGrid w:val="0"/>
                      <w:jc w:val="right"/>
                    </w:pPr>
                    <w:r>
                      <w:t>377,722</w:t>
                    </w:r>
                  </w:p>
                </w:tc>
                <w:tc>
                  <w:tcPr>
                    <w:tcW w:w="1572" w:type="pct"/>
                    <w:shd w:val="clear" w:color="auto" w:fill="auto"/>
                  </w:tcPr>
                  <w:p w14:paraId="203E71B3" w14:textId="77777777" w:rsidR="007E7472" w:rsidRDefault="00EC1269">
                    <w:pPr>
                      <w:snapToGrid w:val="0"/>
                      <w:jc w:val="right"/>
                    </w:pPr>
                    <w:r>
                      <w:t>913,680</w:t>
                    </w:r>
                  </w:p>
                </w:tc>
              </w:tr>
            </w:sdtContent>
          </w:sdt>
          <w:sdt>
            <w:sdtPr>
              <w:rPr>
                <w:rFonts w:asciiTheme="minorHAnsi" w:eastAsiaTheme="minorEastAsia" w:hAnsiTheme="minorHAnsi" w:cstheme="minorBidi" w:hint="eastAsia"/>
                <w:kern w:val="2"/>
                <w:szCs w:val="22"/>
              </w:rPr>
              <w:alias w:val="其他流动资产明细"/>
              <w:tag w:val="_TUP_0bae324e6bd3444492796087e454ca12"/>
              <w:id w:val="-734848811"/>
              <w:lock w:val="sdtLocked"/>
            </w:sdtPr>
            <w:sdtEndPr/>
            <w:sdtContent>
              <w:tr w:rsidR="007E7472" w14:paraId="7AB5037A" w14:textId="77777777">
                <w:tc>
                  <w:tcPr>
                    <w:tcW w:w="1816" w:type="pct"/>
                    <w:shd w:val="clear" w:color="auto" w:fill="auto"/>
                  </w:tcPr>
                  <w:p w14:paraId="0FA86F7A" w14:textId="77777777" w:rsidR="007E7472" w:rsidRDefault="00EC1269">
                    <w:pPr>
                      <w:snapToGrid w:val="0"/>
                    </w:pPr>
                    <w:r>
                      <w:rPr>
                        <w:rFonts w:hint="eastAsia"/>
                      </w:rPr>
                      <w:t>环境治理保证金</w:t>
                    </w:r>
                  </w:p>
                </w:tc>
                <w:tc>
                  <w:tcPr>
                    <w:tcW w:w="1612" w:type="pct"/>
                    <w:shd w:val="clear" w:color="auto" w:fill="auto"/>
                  </w:tcPr>
                  <w:p w14:paraId="4BC965CC" w14:textId="77777777" w:rsidR="007E7472" w:rsidRDefault="00EC1269">
                    <w:pPr>
                      <w:snapToGrid w:val="0"/>
                      <w:jc w:val="right"/>
                    </w:pPr>
                    <w:r>
                      <w:t>62,186</w:t>
                    </w:r>
                  </w:p>
                </w:tc>
                <w:tc>
                  <w:tcPr>
                    <w:tcW w:w="1572" w:type="pct"/>
                    <w:shd w:val="clear" w:color="auto" w:fill="auto"/>
                  </w:tcPr>
                  <w:p w14:paraId="08533215" w14:textId="77777777" w:rsidR="007E7472" w:rsidRDefault="00EC1269">
                    <w:pPr>
                      <w:snapToGrid w:val="0"/>
                      <w:jc w:val="right"/>
                    </w:pPr>
                    <w:r>
                      <w:t>62,186</w:t>
                    </w:r>
                  </w:p>
                </w:tc>
              </w:tr>
            </w:sdtContent>
          </w:sdt>
          <w:sdt>
            <w:sdtPr>
              <w:rPr>
                <w:rFonts w:asciiTheme="minorHAnsi" w:eastAsiaTheme="minorEastAsia" w:hAnsiTheme="minorHAnsi" w:cstheme="minorBidi" w:hint="eastAsia"/>
                <w:kern w:val="2"/>
                <w:szCs w:val="22"/>
              </w:rPr>
              <w:alias w:val="其他流动资产明细"/>
              <w:tag w:val="_TUP_0bae324e6bd3444492796087e454ca12"/>
              <w:id w:val="-554704223"/>
              <w:lock w:val="sdtLocked"/>
            </w:sdtPr>
            <w:sdtEndPr/>
            <w:sdtContent>
              <w:tr w:rsidR="007E7472" w14:paraId="2AA6537A" w14:textId="77777777">
                <w:tc>
                  <w:tcPr>
                    <w:tcW w:w="1816" w:type="pct"/>
                    <w:shd w:val="clear" w:color="auto" w:fill="auto"/>
                  </w:tcPr>
                  <w:p w14:paraId="0D5353D6" w14:textId="77777777" w:rsidR="007E7472" w:rsidRDefault="00EC1269">
                    <w:pPr>
                      <w:snapToGrid w:val="0"/>
                    </w:pPr>
                    <w:r>
                      <w:rPr>
                        <w:rFonts w:hint="eastAsia"/>
                      </w:rPr>
                      <w:t>长期服务假基金会补偿金</w:t>
                    </w:r>
                  </w:p>
                </w:tc>
                <w:tc>
                  <w:tcPr>
                    <w:tcW w:w="1612" w:type="pct"/>
                    <w:shd w:val="clear" w:color="auto" w:fill="auto"/>
                  </w:tcPr>
                  <w:p w14:paraId="50C3FD9A" w14:textId="77777777" w:rsidR="007E7472" w:rsidRDefault="00EC1269">
                    <w:pPr>
                      <w:snapToGrid w:val="0"/>
                      <w:jc w:val="right"/>
                    </w:pPr>
                    <w:r>
                      <w:t>30,600</w:t>
                    </w:r>
                  </w:p>
                </w:tc>
                <w:tc>
                  <w:tcPr>
                    <w:tcW w:w="1572" w:type="pct"/>
                    <w:shd w:val="clear" w:color="auto" w:fill="auto"/>
                  </w:tcPr>
                  <w:p w14:paraId="09E4D404" w14:textId="77777777" w:rsidR="007E7472" w:rsidRDefault="00EC1269">
                    <w:pPr>
                      <w:snapToGrid w:val="0"/>
                      <w:jc w:val="right"/>
                    </w:pPr>
                    <w:r>
                      <w:t>11,396</w:t>
                    </w:r>
                  </w:p>
                </w:tc>
              </w:tr>
            </w:sdtContent>
          </w:sdt>
          <w:sdt>
            <w:sdtPr>
              <w:rPr>
                <w:rFonts w:asciiTheme="minorHAnsi" w:eastAsiaTheme="minorEastAsia" w:hAnsiTheme="minorHAnsi" w:cstheme="minorBidi" w:hint="eastAsia"/>
                <w:kern w:val="2"/>
                <w:szCs w:val="22"/>
              </w:rPr>
              <w:alias w:val="其他流动资产明细"/>
              <w:tag w:val="_TUP_0bae324e6bd3444492796087e454ca12"/>
              <w:id w:val="-1556535700"/>
              <w:lock w:val="sdtLocked"/>
            </w:sdtPr>
            <w:sdtEndPr/>
            <w:sdtContent>
              <w:tr w:rsidR="007E7472" w14:paraId="22C8BD8D" w14:textId="77777777">
                <w:tc>
                  <w:tcPr>
                    <w:tcW w:w="1816" w:type="pct"/>
                    <w:shd w:val="clear" w:color="auto" w:fill="auto"/>
                  </w:tcPr>
                  <w:p w14:paraId="49DD47BC" w14:textId="77777777" w:rsidR="007E7472" w:rsidRDefault="00EC1269">
                    <w:pPr>
                      <w:snapToGrid w:val="0"/>
                    </w:pPr>
                    <w:r>
                      <w:rPr>
                        <w:rFonts w:hint="eastAsia"/>
                      </w:rPr>
                      <w:t>其他</w:t>
                    </w:r>
                  </w:p>
                </w:tc>
                <w:tc>
                  <w:tcPr>
                    <w:tcW w:w="1612" w:type="pct"/>
                    <w:shd w:val="clear" w:color="auto" w:fill="auto"/>
                  </w:tcPr>
                  <w:p w14:paraId="4915DE06" w14:textId="77777777" w:rsidR="007E7472" w:rsidRDefault="00EC1269">
                    <w:pPr>
                      <w:snapToGrid w:val="0"/>
                      <w:jc w:val="right"/>
                    </w:pPr>
                    <w:r>
                      <w:t>99,528</w:t>
                    </w:r>
                  </w:p>
                </w:tc>
                <w:tc>
                  <w:tcPr>
                    <w:tcW w:w="1572" w:type="pct"/>
                    <w:shd w:val="clear" w:color="auto" w:fill="auto"/>
                  </w:tcPr>
                  <w:p w14:paraId="66F36724" w14:textId="77777777" w:rsidR="007E7472" w:rsidRDefault="00EC1269">
                    <w:pPr>
                      <w:snapToGrid w:val="0"/>
                      <w:jc w:val="right"/>
                    </w:pPr>
                    <w:r>
                      <w:t>31,329</w:t>
                    </w:r>
                  </w:p>
                </w:tc>
              </w:tr>
            </w:sdtContent>
          </w:sdt>
          <w:tr w:rsidR="007E7472" w14:paraId="4600FF3B" w14:textId="77777777">
            <w:sdt>
              <w:sdtPr>
                <w:tag w:val="_PLD_b6c346d1d68d4f27847794dad182ef24"/>
                <w:id w:val="1361858914"/>
                <w:lock w:val="sdtLocked"/>
              </w:sdtPr>
              <w:sdtEndPr/>
              <w:sdtContent>
                <w:tc>
                  <w:tcPr>
                    <w:tcW w:w="1816" w:type="pct"/>
                    <w:shd w:val="clear" w:color="auto" w:fill="auto"/>
                    <w:vAlign w:val="center"/>
                  </w:tcPr>
                  <w:p w14:paraId="0A1C8C2A" w14:textId="77777777" w:rsidR="007E7472" w:rsidRDefault="00EC1269">
                    <w:pPr>
                      <w:snapToGrid w:val="0"/>
                      <w:ind w:leftChars="-51" w:left="-107"/>
                      <w:jc w:val="center"/>
                    </w:pPr>
                    <w:r>
                      <w:rPr>
                        <w:rFonts w:hint="eastAsia"/>
                      </w:rPr>
                      <w:t>合计</w:t>
                    </w:r>
                  </w:p>
                </w:tc>
              </w:sdtContent>
            </w:sdt>
            <w:tc>
              <w:tcPr>
                <w:tcW w:w="1612" w:type="pct"/>
                <w:shd w:val="clear" w:color="auto" w:fill="auto"/>
                <w:vAlign w:val="center"/>
              </w:tcPr>
              <w:p w14:paraId="0439D4BE" w14:textId="77777777" w:rsidR="007E7472" w:rsidRDefault="00EC1269">
                <w:pPr>
                  <w:jc w:val="right"/>
                  <w:rPr>
                    <w:bCs/>
                  </w:rPr>
                </w:pPr>
                <w:r>
                  <w:t>14,336,438</w:t>
                </w:r>
              </w:p>
            </w:tc>
            <w:tc>
              <w:tcPr>
                <w:tcW w:w="1572" w:type="pct"/>
                <w:shd w:val="clear" w:color="auto" w:fill="auto"/>
                <w:vAlign w:val="center"/>
              </w:tcPr>
              <w:p w14:paraId="39A33A51" w14:textId="77777777" w:rsidR="007E7472" w:rsidRDefault="00EC1269">
                <w:pPr>
                  <w:jc w:val="right"/>
                </w:pPr>
                <w:r>
                  <w:t>11,831,445</w:t>
                </w:r>
              </w:p>
            </w:tc>
          </w:tr>
        </w:tbl>
        <w:p w14:paraId="2F4C510D" w14:textId="77777777" w:rsidR="007E7472" w:rsidRDefault="00C8327E"/>
      </w:sdtContent>
    </w:sdt>
    <w:bookmarkEnd w:id="195" w:displacedByCustomXml="next"/>
    <w:sdt>
      <w:sdtPr>
        <w:rPr>
          <w:rFonts w:ascii="宋体" w:hAnsi="宋体" w:cs="宋体" w:hint="eastAsia"/>
          <w:b w:val="0"/>
          <w:bCs w:val="0"/>
          <w:kern w:val="0"/>
          <w:szCs w:val="24"/>
        </w:rPr>
        <w:alias w:val="模块:债权投资债权投资情况"/>
        <w:tag w:val="_SEC_949cb4eb7a744418a5a5c6266b7029c9"/>
        <w:id w:val="63076784"/>
        <w:lock w:val="sdtLocked"/>
        <w:placeholder>
          <w:docPart w:val="GBC22222222222222222222222222222"/>
        </w:placeholder>
      </w:sdtPr>
      <w:sdtEndPr>
        <w:rPr>
          <w:rFonts w:hint="default"/>
          <w:szCs w:val="21"/>
        </w:rPr>
      </w:sdtEndPr>
      <w:sdtContent>
        <w:p w14:paraId="1DCE38AA" w14:textId="77777777" w:rsidR="007E7472" w:rsidRDefault="00EC1269" w:rsidP="00162493">
          <w:pPr>
            <w:pStyle w:val="3"/>
            <w:numPr>
              <w:ilvl w:val="0"/>
              <w:numId w:val="62"/>
            </w:numPr>
          </w:pPr>
          <w:r>
            <w:rPr>
              <w:rFonts w:hint="eastAsia"/>
            </w:rPr>
            <w:t>债权投资</w:t>
          </w:r>
        </w:p>
        <w:p w14:paraId="0B609C8A" w14:textId="77777777" w:rsidR="007E7472" w:rsidRDefault="00EC1269" w:rsidP="00162493">
          <w:pPr>
            <w:pStyle w:val="4"/>
            <w:numPr>
              <w:ilvl w:val="0"/>
              <w:numId w:val="69"/>
            </w:numPr>
            <w:rPr>
              <w:rFonts w:asciiTheme="minorEastAsia" w:eastAsiaTheme="minorEastAsia" w:hAnsiTheme="minorEastAsia"/>
            </w:rPr>
          </w:pPr>
          <w:r>
            <w:rPr>
              <w:rFonts w:asciiTheme="minorEastAsia" w:eastAsiaTheme="minorEastAsia" w:hAnsiTheme="minorEastAsia" w:hint="eastAsia"/>
            </w:rPr>
            <w:t>债权投资情况</w:t>
          </w:r>
        </w:p>
        <w:sdt>
          <w:sdtPr>
            <w:rPr>
              <w:rFonts w:asciiTheme="minorEastAsia" w:eastAsiaTheme="minorEastAsia" w:hAnsiTheme="minorEastAsia"/>
            </w:rPr>
            <w:alias w:val="是否适用：以摊余成本计量的长期债权投资[双击切换]"/>
            <w:tag w:val="_GBC_22cb0188d98c4d37a97e0c6a9e34e10d"/>
            <w:id w:val="-809162867"/>
            <w:lock w:val="sdtLocked"/>
            <w:placeholder>
              <w:docPart w:val="GBC22222222222222222222222222222"/>
            </w:placeholder>
          </w:sdtPr>
          <w:sdtEndPr/>
          <w:sdtContent>
            <w:p w14:paraId="14621840" w14:textId="77777777" w:rsidR="007E7472" w:rsidRDefault="00EC1269">
              <w:pPr>
                <w:rPr>
                  <w:rFonts w:asciiTheme="minorEastAsia" w:eastAsiaTheme="minorEastAsia" w:hAnsiTheme="minorEastAsia"/>
                </w:rPr>
              </w:pP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124918FC" w14:textId="46659B40" w:rsidR="007E7472" w:rsidRDefault="00EC1269">
          <w:pPr>
            <w:jc w:val="right"/>
          </w:pPr>
          <w:r>
            <w:rPr>
              <w:rFonts w:hint="eastAsia"/>
            </w:rPr>
            <w:t>单位：</w:t>
          </w:r>
          <w:sdt>
            <w:sdtPr>
              <w:rPr>
                <w:rFonts w:hint="eastAsia"/>
              </w:rPr>
              <w:alias w:val="单位：以摊余成本计量的长期债权投资"/>
              <w:tag w:val="_GBC_d157d561aaa849b7a4acf54b3b1a5555"/>
              <w:id w:val="-15428172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以摊余成本计量的长期债权投资"/>
              <w:tag w:val="_GBC_f91a544cb754445eb1f89182fd9d2bc9"/>
              <w:id w:val="-20138316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firstRow="1" w:lastRow="0" w:firstColumn="1" w:lastColumn="0" w:noHBand="0" w:noVBand="1"/>
          </w:tblPr>
          <w:tblGrid>
            <w:gridCol w:w="1978"/>
            <w:gridCol w:w="1134"/>
            <w:gridCol w:w="1132"/>
            <w:gridCol w:w="1134"/>
            <w:gridCol w:w="1143"/>
            <w:gridCol w:w="1144"/>
            <w:gridCol w:w="1152"/>
          </w:tblGrid>
          <w:tr w:rsidR="007E7472" w14:paraId="42E23B24" w14:textId="77777777" w:rsidTr="007E7472">
            <w:trPr>
              <w:cantSplit/>
            </w:trPr>
            <w:sdt>
              <w:sdtPr>
                <w:tag w:val="_PLD_ab7ac8c132214a18bfbfd03aafff6e18"/>
                <w:id w:val="331873553"/>
                <w:lock w:val="sdtLocked"/>
              </w:sdtPr>
              <w:sdtEndPr/>
              <w:sdtContent>
                <w:tc>
                  <w:tcPr>
                    <w:tcW w:w="1122" w:type="pct"/>
                    <w:vMerge w:val="restart"/>
                    <w:shd w:val="clear" w:color="auto" w:fill="auto"/>
                    <w:vAlign w:val="center"/>
                  </w:tcPr>
                  <w:p w14:paraId="195024D6" w14:textId="77777777" w:rsidR="007E7472" w:rsidRPr="00236CC6" w:rsidRDefault="00EC1269">
                    <w:pPr>
                      <w:jc w:val="center"/>
                    </w:pPr>
                    <w:r w:rsidRPr="00236CC6">
                      <w:rPr>
                        <w:rFonts w:hint="eastAsia"/>
                      </w:rPr>
                      <w:t>项目</w:t>
                    </w:r>
                  </w:p>
                </w:tc>
              </w:sdtContent>
            </w:sdt>
            <w:sdt>
              <w:sdtPr>
                <w:tag w:val="_PLD_f145772978644c72a42d71eab6e0dd9e"/>
                <w:id w:val="-452404979"/>
                <w:lock w:val="sdtLocked"/>
              </w:sdtPr>
              <w:sdtEndPr/>
              <w:sdtContent>
                <w:tc>
                  <w:tcPr>
                    <w:tcW w:w="1928" w:type="pct"/>
                    <w:gridSpan w:val="3"/>
                    <w:shd w:val="clear" w:color="auto" w:fill="auto"/>
                    <w:vAlign w:val="center"/>
                  </w:tcPr>
                  <w:p w14:paraId="32A1DC71" w14:textId="77777777" w:rsidR="007E7472" w:rsidRPr="00236CC6" w:rsidRDefault="00EC1269">
                    <w:pPr>
                      <w:autoSpaceDE w:val="0"/>
                      <w:autoSpaceDN w:val="0"/>
                      <w:adjustRightInd w:val="0"/>
                      <w:snapToGrid w:val="0"/>
                      <w:spacing w:line="240" w:lineRule="atLeast"/>
                      <w:jc w:val="center"/>
                    </w:pPr>
                    <w:r w:rsidRPr="00236CC6">
                      <w:rPr>
                        <w:rFonts w:hint="eastAsia"/>
                      </w:rPr>
                      <w:t>期末余额</w:t>
                    </w:r>
                  </w:p>
                </w:tc>
              </w:sdtContent>
            </w:sdt>
            <w:sdt>
              <w:sdtPr>
                <w:tag w:val="_PLD_b94edb563b8846399940376494bf1d4b"/>
                <w:id w:val="1121727191"/>
                <w:lock w:val="sdtLocked"/>
              </w:sdtPr>
              <w:sdtEndPr/>
              <w:sdtContent>
                <w:tc>
                  <w:tcPr>
                    <w:tcW w:w="1950" w:type="pct"/>
                    <w:gridSpan w:val="3"/>
                    <w:shd w:val="clear" w:color="auto" w:fill="auto"/>
                    <w:vAlign w:val="center"/>
                  </w:tcPr>
                  <w:p w14:paraId="0692A575" w14:textId="77777777" w:rsidR="007E7472" w:rsidRPr="00236CC6" w:rsidRDefault="00EC1269">
                    <w:pPr>
                      <w:autoSpaceDE w:val="0"/>
                      <w:autoSpaceDN w:val="0"/>
                      <w:adjustRightInd w:val="0"/>
                      <w:snapToGrid w:val="0"/>
                      <w:spacing w:line="240" w:lineRule="atLeast"/>
                      <w:jc w:val="center"/>
                    </w:pPr>
                    <w:r w:rsidRPr="00236CC6">
                      <w:rPr>
                        <w:rFonts w:hint="eastAsia"/>
                      </w:rPr>
                      <w:t>期初余额</w:t>
                    </w:r>
                  </w:p>
                </w:tc>
              </w:sdtContent>
            </w:sdt>
          </w:tr>
          <w:tr w:rsidR="007E7472" w14:paraId="69E203E1" w14:textId="77777777" w:rsidTr="007E7472">
            <w:trPr>
              <w:cantSplit/>
            </w:trPr>
            <w:tc>
              <w:tcPr>
                <w:tcW w:w="1122" w:type="pct"/>
                <w:vMerge/>
                <w:shd w:val="clear" w:color="auto" w:fill="auto"/>
                <w:vAlign w:val="center"/>
              </w:tcPr>
              <w:p w14:paraId="7C03B269" w14:textId="77777777" w:rsidR="007E7472" w:rsidRPr="00236CC6" w:rsidRDefault="00C8327E">
                <w:pPr>
                  <w:jc w:val="center"/>
                </w:pPr>
              </w:p>
            </w:tc>
            <w:sdt>
              <w:sdtPr>
                <w:tag w:val="_PLD_d7d5b47a3f594d728ea4acdf1665ca49"/>
                <w:id w:val="-1596932761"/>
                <w:lock w:val="sdtLocked"/>
              </w:sdtPr>
              <w:sdtEndPr/>
              <w:sdtContent>
                <w:tc>
                  <w:tcPr>
                    <w:tcW w:w="643" w:type="pct"/>
                    <w:shd w:val="clear" w:color="auto" w:fill="auto"/>
                    <w:vAlign w:val="center"/>
                  </w:tcPr>
                  <w:p w14:paraId="34E05A49" w14:textId="77777777" w:rsidR="007E7472" w:rsidRPr="00236CC6" w:rsidRDefault="00EC1269">
                    <w:pPr>
                      <w:jc w:val="center"/>
                    </w:pPr>
                    <w:r w:rsidRPr="00236CC6">
                      <w:rPr>
                        <w:rFonts w:hint="eastAsia"/>
                      </w:rPr>
                      <w:t>账面余额</w:t>
                    </w:r>
                  </w:p>
                </w:tc>
              </w:sdtContent>
            </w:sdt>
            <w:sdt>
              <w:sdtPr>
                <w:tag w:val="_PLD_a49055b1519a430d9baee4e055fd8542"/>
                <w:id w:val="-2063556814"/>
                <w:lock w:val="sdtLocked"/>
              </w:sdtPr>
              <w:sdtEndPr/>
              <w:sdtContent>
                <w:tc>
                  <w:tcPr>
                    <w:tcW w:w="642" w:type="pct"/>
                    <w:shd w:val="clear" w:color="auto" w:fill="auto"/>
                    <w:vAlign w:val="center"/>
                  </w:tcPr>
                  <w:p w14:paraId="1DF46AFA" w14:textId="77777777" w:rsidR="007E7472" w:rsidRPr="00236CC6" w:rsidRDefault="00EC1269">
                    <w:pPr>
                      <w:jc w:val="center"/>
                    </w:pPr>
                    <w:r w:rsidRPr="00236CC6">
                      <w:rPr>
                        <w:rFonts w:hint="eastAsia"/>
                      </w:rPr>
                      <w:t>减值准备</w:t>
                    </w:r>
                  </w:p>
                </w:tc>
              </w:sdtContent>
            </w:sdt>
            <w:sdt>
              <w:sdtPr>
                <w:tag w:val="_PLD_f69e4a59e1194305b58aa89d755a2bf4"/>
                <w:id w:val="-1370529312"/>
                <w:lock w:val="sdtLocked"/>
              </w:sdtPr>
              <w:sdtEndPr/>
              <w:sdtContent>
                <w:tc>
                  <w:tcPr>
                    <w:tcW w:w="643" w:type="pct"/>
                    <w:shd w:val="clear" w:color="auto" w:fill="auto"/>
                    <w:vAlign w:val="center"/>
                  </w:tcPr>
                  <w:p w14:paraId="44B8C519" w14:textId="77777777" w:rsidR="007E7472" w:rsidRPr="00236CC6" w:rsidRDefault="00EC1269">
                    <w:pPr>
                      <w:jc w:val="center"/>
                    </w:pPr>
                    <w:r w:rsidRPr="00236CC6">
                      <w:rPr>
                        <w:rFonts w:hint="eastAsia"/>
                      </w:rPr>
                      <w:t>账面价值</w:t>
                    </w:r>
                  </w:p>
                </w:tc>
              </w:sdtContent>
            </w:sdt>
            <w:sdt>
              <w:sdtPr>
                <w:tag w:val="_PLD_51392153cab04b3cbcea65509fa4da8b"/>
                <w:id w:val="768659622"/>
                <w:lock w:val="sdtLocked"/>
              </w:sdtPr>
              <w:sdtEndPr/>
              <w:sdtContent>
                <w:tc>
                  <w:tcPr>
                    <w:tcW w:w="648" w:type="pct"/>
                    <w:shd w:val="clear" w:color="auto" w:fill="auto"/>
                    <w:vAlign w:val="center"/>
                  </w:tcPr>
                  <w:p w14:paraId="7F6E2679" w14:textId="77777777" w:rsidR="007E7472" w:rsidRPr="00236CC6" w:rsidRDefault="00EC1269">
                    <w:pPr>
                      <w:jc w:val="center"/>
                    </w:pPr>
                    <w:r w:rsidRPr="00236CC6">
                      <w:rPr>
                        <w:rFonts w:hint="eastAsia"/>
                      </w:rPr>
                      <w:t>账面余额</w:t>
                    </w:r>
                  </w:p>
                </w:tc>
              </w:sdtContent>
            </w:sdt>
            <w:sdt>
              <w:sdtPr>
                <w:tag w:val="_PLD_9620f0e7ba554a45b700f15254d5afd4"/>
                <w:id w:val="-535193733"/>
                <w:lock w:val="sdtLocked"/>
              </w:sdtPr>
              <w:sdtEndPr/>
              <w:sdtContent>
                <w:tc>
                  <w:tcPr>
                    <w:tcW w:w="649" w:type="pct"/>
                    <w:shd w:val="clear" w:color="auto" w:fill="auto"/>
                    <w:vAlign w:val="center"/>
                  </w:tcPr>
                  <w:p w14:paraId="3FC6DA5B" w14:textId="77777777" w:rsidR="007E7472" w:rsidRPr="00236CC6" w:rsidRDefault="00EC1269">
                    <w:pPr>
                      <w:jc w:val="center"/>
                    </w:pPr>
                    <w:r w:rsidRPr="00236CC6">
                      <w:rPr>
                        <w:rFonts w:hint="eastAsia"/>
                      </w:rPr>
                      <w:t>减值准备</w:t>
                    </w:r>
                  </w:p>
                </w:tc>
              </w:sdtContent>
            </w:sdt>
            <w:sdt>
              <w:sdtPr>
                <w:tag w:val="_PLD_c96b470dfca84d5485d4a3dda61936b8"/>
                <w:id w:val="-1334992906"/>
                <w:lock w:val="sdtLocked"/>
              </w:sdtPr>
              <w:sdtEndPr/>
              <w:sdtContent>
                <w:tc>
                  <w:tcPr>
                    <w:tcW w:w="653" w:type="pct"/>
                    <w:shd w:val="clear" w:color="auto" w:fill="auto"/>
                    <w:vAlign w:val="center"/>
                  </w:tcPr>
                  <w:p w14:paraId="4AB3AC33" w14:textId="77777777" w:rsidR="007E7472" w:rsidRPr="00236CC6" w:rsidRDefault="00EC1269">
                    <w:pPr>
                      <w:jc w:val="center"/>
                    </w:pPr>
                    <w:r w:rsidRPr="00236CC6">
                      <w:rPr>
                        <w:rFonts w:hint="eastAsia"/>
                      </w:rPr>
                      <w:t>账面价值</w:t>
                    </w:r>
                  </w:p>
                </w:tc>
              </w:sdtContent>
            </w:sdt>
          </w:tr>
          <w:sdt>
            <w:sdtPr>
              <w:alias w:val="以摊余成本计量的长期债权投资明细"/>
              <w:tag w:val="_TUP_648ee22987aa42a69df86eba19f503fd"/>
              <w:id w:val="-52926735"/>
              <w:lock w:val="sdtLocked"/>
            </w:sdtPr>
            <w:sdtEndPr/>
            <w:sdtContent>
              <w:tr w:rsidR="007E7472" w14:paraId="332C89DE" w14:textId="77777777" w:rsidTr="007E7472">
                <w:trPr>
                  <w:cantSplit/>
                  <w:trHeight w:val="340"/>
                </w:trPr>
                <w:tc>
                  <w:tcPr>
                    <w:tcW w:w="1122" w:type="pct"/>
                    <w:shd w:val="clear" w:color="auto" w:fill="auto"/>
                    <w:vAlign w:val="center"/>
                  </w:tcPr>
                  <w:p w14:paraId="1EBBC966" w14:textId="77777777" w:rsidR="007E7472" w:rsidRPr="00236CC6" w:rsidRDefault="00EC1269">
                    <w:r w:rsidRPr="00236CC6">
                      <w:t>委托贷款</w:t>
                    </w:r>
                  </w:p>
                </w:tc>
                <w:tc>
                  <w:tcPr>
                    <w:tcW w:w="643" w:type="pct"/>
                    <w:shd w:val="clear" w:color="auto" w:fill="auto"/>
                    <w:vAlign w:val="center"/>
                  </w:tcPr>
                  <w:p w14:paraId="252A0ECB" w14:textId="77777777" w:rsidR="007E7472" w:rsidRPr="00236CC6" w:rsidRDefault="00EC1269">
                    <w:pPr>
                      <w:jc w:val="right"/>
                    </w:pPr>
                    <w:r w:rsidRPr="00236CC6">
                      <w:t>190,000</w:t>
                    </w:r>
                  </w:p>
                </w:tc>
                <w:tc>
                  <w:tcPr>
                    <w:tcW w:w="642" w:type="pct"/>
                    <w:shd w:val="clear" w:color="auto" w:fill="auto"/>
                    <w:vAlign w:val="center"/>
                  </w:tcPr>
                  <w:p w14:paraId="59865930" w14:textId="77777777" w:rsidR="007E7472" w:rsidRPr="00236CC6" w:rsidRDefault="00EC1269">
                    <w:pPr>
                      <w:jc w:val="right"/>
                    </w:pPr>
                    <w:r w:rsidRPr="00236CC6">
                      <w:t>190,000</w:t>
                    </w:r>
                  </w:p>
                </w:tc>
                <w:tc>
                  <w:tcPr>
                    <w:tcW w:w="643" w:type="pct"/>
                    <w:shd w:val="clear" w:color="auto" w:fill="auto"/>
                    <w:vAlign w:val="center"/>
                  </w:tcPr>
                  <w:p w14:paraId="12185F4E" w14:textId="77777777" w:rsidR="007E7472" w:rsidRPr="00236CC6" w:rsidRDefault="00C8327E">
                    <w:pPr>
                      <w:jc w:val="right"/>
                    </w:pPr>
                  </w:p>
                </w:tc>
                <w:tc>
                  <w:tcPr>
                    <w:tcW w:w="648" w:type="pct"/>
                    <w:shd w:val="clear" w:color="auto" w:fill="auto"/>
                    <w:vAlign w:val="center"/>
                  </w:tcPr>
                  <w:p w14:paraId="4C0CF725" w14:textId="77777777" w:rsidR="007E7472" w:rsidRPr="00236CC6" w:rsidRDefault="00EC1269">
                    <w:pPr>
                      <w:jc w:val="right"/>
                    </w:pPr>
                    <w:r w:rsidRPr="00236CC6">
                      <w:t>190,000</w:t>
                    </w:r>
                  </w:p>
                </w:tc>
                <w:tc>
                  <w:tcPr>
                    <w:tcW w:w="649" w:type="pct"/>
                    <w:shd w:val="clear" w:color="auto" w:fill="auto"/>
                    <w:vAlign w:val="center"/>
                  </w:tcPr>
                  <w:p w14:paraId="28722F0B" w14:textId="77777777" w:rsidR="007E7472" w:rsidRPr="00236CC6" w:rsidRDefault="00EC1269">
                    <w:pPr>
                      <w:jc w:val="right"/>
                    </w:pPr>
                    <w:r w:rsidRPr="00236CC6">
                      <w:t>190,000</w:t>
                    </w:r>
                  </w:p>
                </w:tc>
                <w:tc>
                  <w:tcPr>
                    <w:tcW w:w="653" w:type="pct"/>
                    <w:shd w:val="clear" w:color="auto" w:fill="auto"/>
                    <w:vAlign w:val="center"/>
                  </w:tcPr>
                  <w:p w14:paraId="3F83825A" w14:textId="77777777" w:rsidR="007E7472" w:rsidRPr="00236CC6" w:rsidRDefault="00C8327E">
                    <w:pPr>
                      <w:jc w:val="right"/>
                    </w:pPr>
                  </w:p>
                </w:tc>
              </w:tr>
            </w:sdtContent>
          </w:sdt>
          <w:tr w:rsidR="007E7472" w14:paraId="155A5E95" w14:textId="77777777" w:rsidTr="007E7472">
            <w:trPr>
              <w:cantSplit/>
              <w:trHeight w:val="340"/>
            </w:trPr>
            <w:tc>
              <w:tcPr>
                <w:tcW w:w="1122" w:type="pct"/>
                <w:shd w:val="clear" w:color="auto" w:fill="auto"/>
                <w:vAlign w:val="center"/>
              </w:tcPr>
              <w:p w14:paraId="4EB1D4F3" w14:textId="531A2AE3" w:rsidR="007E7472" w:rsidRPr="00236CC6" w:rsidRDefault="00913748">
                <w:r w:rsidRPr="00236CC6">
                  <w:rPr>
                    <w:rFonts w:hint="eastAsia"/>
                  </w:rPr>
                  <w:t>格拉斯通债券</w:t>
                </w:r>
              </w:p>
            </w:tc>
            <w:tc>
              <w:tcPr>
                <w:tcW w:w="643" w:type="pct"/>
                <w:shd w:val="clear" w:color="auto" w:fill="auto"/>
                <w:vAlign w:val="center"/>
              </w:tcPr>
              <w:p w14:paraId="17435D2D" w14:textId="77777777" w:rsidR="007E7472" w:rsidRPr="00236CC6" w:rsidRDefault="00EC1269">
                <w:pPr>
                  <w:jc w:val="right"/>
                </w:pPr>
                <w:r w:rsidRPr="00236CC6">
                  <w:t>151,175</w:t>
                </w:r>
              </w:p>
            </w:tc>
            <w:tc>
              <w:tcPr>
                <w:tcW w:w="642" w:type="pct"/>
                <w:shd w:val="clear" w:color="auto" w:fill="auto"/>
                <w:vAlign w:val="center"/>
              </w:tcPr>
              <w:p w14:paraId="0E5A343C" w14:textId="77777777" w:rsidR="007E7472" w:rsidRPr="00236CC6" w:rsidRDefault="00EC1269">
                <w:pPr>
                  <w:jc w:val="right"/>
                </w:pPr>
                <w:r w:rsidRPr="00236CC6">
                  <w:t>83,026</w:t>
                </w:r>
              </w:p>
            </w:tc>
            <w:tc>
              <w:tcPr>
                <w:tcW w:w="643" w:type="pct"/>
                <w:shd w:val="clear" w:color="auto" w:fill="auto"/>
                <w:vAlign w:val="center"/>
              </w:tcPr>
              <w:p w14:paraId="35928DB5" w14:textId="77777777" w:rsidR="007E7472" w:rsidRPr="00236CC6" w:rsidRDefault="00EC1269">
                <w:pPr>
                  <w:jc w:val="right"/>
                </w:pPr>
                <w:r w:rsidRPr="00236CC6">
                  <w:t>68,149</w:t>
                </w:r>
              </w:p>
            </w:tc>
            <w:tc>
              <w:tcPr>
                <w:tcW w:w="648" w:type="pct"/>
                <w:shd w:val="clear" w:color="auto" w:fill="auto"/>
                <w:vAlign w:val="center"/>
              </w:tcPr>
              <w:p w14:paraId="52531D2A" w14:textId="77777777" w:rsidR="007E7472" w:rsidRPr="00236CC6" w:rsidRDefault="00EC1269">
                <w:pPr>
                  <w:jc w:val="right"/>
                </w:pPr>
                <w:r w:rsidRPr="00236CC6">
                  <w:t>148,485</w:t>
                </w:r>
              </w:p>
            </w:tc>
            <w:tc>
              <w:tcPr>
                <w:tcW w:w="649" w:type="pct"/>
                <w:shd w:val="clear" w:color="auto" w:fill="auto"/>
                <w:vAlign w:val="center"/>
              </w:tcPr>
              <w:p w14:paraId="5992A7E0" w14:textId="77777777" w:rsidR="007E7472" w:rsidRPr="00236CC6" w:rsidRDefault="00EC1269">
                <w:pPr>
                  <w:jc w:val="right"/>
                </w:pPr>
                <w:r w:rsidRPr="00236CC6">
                  <w:t>81,549</w:t>
                </w:r>
              </w:p>
            </w:tc>
            <w:tc>
              <w:tcPr>
                <w:tcW w:w="653" w:type="pct"/>
                <w:shd w:val="clear" w:color="auto" w:fill="auto"/>
                <w:vAlign w:val="center"/>
              </w:tcPr>
              <w:p w14:paraId="6A3F317C" w14:textId="77777777" w:rsidR="007E7472" w:rsidRPr="00236CC6" w:rsidRDefault="00EC1269">
                <w:pPr>
                  <w:jc w:val="right"/>
                </w:pPr>
                <w:r w:rsidRPr="00236CC6">
                  <w:t>66,936</w:t>
                </w:r>
              </w:p>
            </w:tc>
          </w:tr>
          <w:sdt>
            <w:sdtPr>
              <w:alias w:val="以摊余成本计量的长期债权投资明细"/>
              <w:tag w:val="_TUP_648ee22987aa42a69df86eba19f503fd"/>
              <w:id w:val="-2089225012"/>
              <w:lock w:val="sdtLocked"/>
            </w:sdtPr>
            <w:sdtEndPr/>
            <w:sdtContent>
              <w:tr w:rsidR="007E7472" w14:paraId="5D409294" w14:textId="77777777" w:rsidTr="007E7472">
                <w:trPr>
                  <w:cantSplit/>
                  <w:trHeight w:val="340"/>
                </w:trPr>
                <w:tc>
                  <w:tcPr>
                    <w:tcW w:w="1122" w:type="pct"/>
                    <w:shd w:val="clear" w:color="auto" w:fill="auto"/>
                    <w:vAlign w:val="center"/>
                  </w:tcPr>
                  <w:p w14:paraId="46EB2942" w14:textId="77777777" w:rsidR="007E7472" w:rsidRPr="00236CC6" w:rsidRDefault="00EC1269">
                    <w:r w:rsidRPr="00236CC6">
                      <w:t>菏泽城投美元债</w:t>
                    </w:r>
                  </w:p>
                </w:tc>
                <w:tc>
                  <w:tcPr>
                    <w:tcW w:w="643" w:type="pct"/>
                    <w:shd w:val="clear" w:color="auto" w:fill="auto"/>
                    <w:vAlign w:val="center"/>
                  </w:tcPr>
                  <w:p w14:paraId="469AAC7B" w14:textId="77777777" w:rsidR="007E7472" w:rsidRPr="00236CC6" w:rsidRDefault="00EC1269">
                    <w:pPr>
                      <w:jc w:val="right"/>
                    </w:pPr>
                    <w:r w:rsidRPr="00236CC6">
                      <w:t>144,516</w:t>
                    </w:r>
                  </w:p>
                </w:tc>
                <w:tc>
                  <w:tcPr>
                    <w:tcW w:w="642" w:type="pct"/>
                    <w:shd w:val="clear" w:color="auto" w:fill="auto"/>
                    <w:vAlign w:val="center"/>
                  </w:tcPr>
                  <w:p w14:paraId="36D7CCEA" w14:textId="77777777" w:rsidR="007E7472" w:rsidRPr="00236CC6" w:rsidRDefault="00C8327E">
                    <w:pPr>
                      <w:jc w:val="right"/>
                    </w:pPr>
                  </w:p>
                </w:tc>
                <w:tc>
                  <w:tcPr>
                    <w:tcW w:w="643" w:type="pct"/>
                    <w:shd w:val="clear" w:color="auto" w:fill="auto"/>
                    <w:vAlign w:val="center"/>
                  </w:tcPr>
                  <w:p w14:paraId="0FDD0BDF" w14:textId="77777777" w:rsidR="007E7472" w:rsidRPr="00236CC6" w:rsidRDefault="00EC1269">
                    <w:pPr>
                      <w:jc w:val="right"/>
                    </w:pPr>
                    <w:r w:rsidRPr="00236CC6">
                      <w:t>144,516</w:t>
                    </w:r>
                  </w:p>
                </w:tc>
                <w:tc>
                  <w:tcPr>
                    <w:tcW w:w="648" w:type="pct"/>
                    <w:shd w:val="clear" w:color="auto" w:fill="auto"/>
                    <w:vAlign w:val="center"/>
                  </w:tcPr>
                  <w:p w14:paraId="2E1D1BD7" w14:textId="77777777" w:rsidR="007E7472" w:rsidRPr="00236CC6" w:rsidRDefault="00EC1269">
                    <w:pPr>
                      <w:jc w:val="right"/>
                    </w:pPr>
                    <w:r w:rsidRPr="00236CC6">
                      <w:t>139,292</w:t>
                    </w:r>
                  </w:p>
                </w:tc>
                <w:tc>
                  <w:tcPr>
                    <w:tcW w:w="649" w:type="pct"/>
                    <w:shd w:val="clear" w:color="auto" w:fill="auto"/>
                    <w:vAlign w:val="center"/>
                  </w:tcPr>
                  <w:p w14:paraId="2DC1D8EE" w14:textId="77777777" w:rsidR="007E7472" w:rsidRPr="00236CC6" w:rsidRDefault="00C8327E">
                    <w:pPr>
                      <w:jc w:val="right"/>
                    </w:pPr>
                  </w:p>
                </w:tc>
                <w:tc>
                  <w:tcPr>
                    <w:tcW w:w="653" w:type="pct"/>
                    <w:shd w:val="clear" w:color="auto" w:fill="auto"/>
                    <w:vAlign w:val="center"/>
                  </w:tcPr>
                  <w:p w14:paraId="00ABE36E" w14:textId="77777777" w:rsidR="007E7472" w:rsidRPr="00236CC6" w:rsidRDefault="00EC1269">
                    <w:pPr>
                      <w:jc w:val="right"/>
                    </w:pPr>
                    <w:r w:rsidRPr="00236CC6">
                      <w:t>139,292</w:t>
                    </w:r>
                  </w:p>
                </w:tc>
              </w:tr>
            </w:sdtContent>
          </w:sdt>
          <w:tr w:rsidR="007E7472" w14:paraId="644EE811" w14:textId="77777777" w:rsidTr="007E7472">
            <w:trPr>
              <w:cantSplit/>
              <w:trHeight w:val="340"/>
            </w:trPr>
            <w:sdt>
              <w:sdtPr>
                <w:tag w:val="_PLD_b2ca1066d00a4735bb5b3aa2bc6b8fdb"/>
                <w:id w:val="-1642809359"/>
                <w:lock w:val="sdtLocked"/>
              </w:sdtPr>
              <w:sdtEndPr/>
              <w:sdtContent>
                <w:tc>
                  <w:tcPr>
                    <w:tcW w:w="1122" w:type="pct"/>
                    <w:shd w:val="clear" w:color="auto" w:fill="auto"/>
                    <w:vAlign w:val="center"/>
                  </w:tcPr>
                  <w:p w14:paraId="11442AA3" w14:textId="77777777" w:rsidR="007E7472" w:rsidRPr="00236CC6" w:rsidRDefault="00EC1269">
                    <w:pPr>
                      <w:jc w:val="center"/>
                    </w:pPr>
                    <w:r w:rsidRPr="00236CC6">
                      <w:rPr>
                        <w:rFonts w:hint="eastAsia"/>
                      </w:rPr>
                      <w:t>合计</w:t>
                    </w:r>
                  </w:p>
                </w:tc>
              </w:sdtContent>
            </w:sdt>
            <w:tc>
              <w:tcPr>
                <w:tcW w:w="643" w:type="pct"/>
                <w:shd w:val="clear" w:color="auto" w:fill="auto"/>
                <w:vAlign w:val="center"/>
              </w:tcPr>
              <w:p w14:paraId="7F24593F" w14:textId="77777777" w:rsidR="007E7472" w:rsidRPr="00236CC6" w:rsidRDefault="00EC1269">
                <w:pPr>
                  <w:jc w:val="right"/>
                </w:pPr>
                <w:r w:rsidRPr="00236CC6">
                  <w:t>485,691</w:t>
                </w:r>
              </w:p>
            </w:tc>
            <w:tc>
              <w:tcPr>
                <w:tcW w:w="642" w:type="pct"/>
                <w:shd w:val="clear" w:color="auto" w:fill="auto"/>
                <w:vAlign w:val="center"/>
              </w:tcPr>
              <w:p w14:paraId="3080C245" w14:textId="77777777" w:rsidR="007E7472" w:rsidRPr="00236CC6" w:rsidRDefault="00EC1269">
                <w:pPr>
                  <w:jc w:val="right"/>
                </w:pPr>
                <w:r w:rsidRPr="00236CC6">
                  <w:t>273,026</w:t>
                </w:r>
              </w:p>
            </w:tc>
            <w:tc>
              <w:tcPr>
                <w:tcW w:w="643" w:type="pct"/>
                <w:shd w:val="clear" w:color="auto" w:fill="auto"/>
                <w:vAlign w:val="center"/>
              </w:tcPr>
              <w:p w14:paraId="56A9989F" w14:textId="77777777" w:rsidR="007E7472" w:rsidRPr="00236CC6" w:rsidRDefault="00EC1269">
                <w:pPr>
                  <w:jc w:val="right"/>
                </w:pPr>
                <w:r w:rsidRPr="00236CC6">
                  <w:t>212,665</w:t>
                </w:r>
              </w:p>
            </w:tc>
            <w:tc>
              <w:tcPr>
                <w:tcW w:w="648" w:type="pct"/>
                <w:shd w:val="clear" w:color="auto" w:fill="auto"/>
                <w:vAlign w:val="center"/>
              </w:tcPr>
              <w:p w14:paraId="4350F782" w14:textId="77777777" w:rsidR="007E7472" w:rsidRPr="00236CC6" w:rsidRDefault="00EC1269">
                <w:pPr>
                  <w:jc w:val="right"/>
                </w:pPr>
                <w:r w:rsidRPr="00236CC6">
                  <w:t>477,777</w:t>
                </w:r>
              </w:p>
            </w:tc>
            <w:tc>
              <w:tcPr>
                <w:tcW w:w="649" w:type="pct"/>
                <w:shd w:val="clear" w:color="auto" w:fill="auto"/>
                <w:vAlign w:val="center"/>
              </w:tcPr>
              <w:p w14:paraId="143417B6" w14:textId="77777777" w:rsidR="007E7472" w:rsidRPr="00236CC6" w:rsidRDefault="00EC1269">
                <w:pPr>
                  <w:jc w:val="right"/>
                </w:pPr>
                <w:r w:rsidRPr="00236CC6">
                  <w:t>271,549</w:t>
                </w:r>
              </w:p>
            </w:tc>
            <w:tc>
              <w:tcPr>
                <w:tcW w:w="653" w:type="pct"/>
                <w:shd w:val="clear" w:color="auto" w:fill="auto"/>
                <w:vAlign w:val="center"/>
              </w:tcPr>
              <w:p w14:paraId="2D7E60A8" w14:textId="77777777" w:rsidR="007E7472" w:rsidRPr="00236CC6" w:rsidRDefault="00EC1269">
                <w:pPr>
                  <w:jc w:val="right"/>
                </w:pPr>
                <w:r w:rsidRPr="00236CC6">
                  <w:t>206,228</w:t>
                </w:r>
              </w:p>
            </w:tc>
          </w:tr>
        </w:tbl>
        <w:p w14:paraId="4229C89D" w14:textId="77777777" w:rsidR="007E7472" w:rsidRDefault="00C8327E">
          <w:pPr>
            <w:ind w:right="210"/>
          </w:pPr>
        </w:p>
      </w:sdtContent>
    </w:sdt>
    <w:bookmarkStart w:id="196" w:name="_Hlk10471440" w:displacedByCustomXml="next"/>
    <w:bookmarkStart w:id="197" w:name="_Hlk10471450" w:displacedByCustomXml="next"/>
    <w:sdt>
      <w:sdtPr>
        <w:rPr>
          <w:rFonts w:ascii="宋体" w:hAnsi="宋体" w:cs="宋体" w:hint="eastAsia"/>
          <w:b w:val="0"/>
          <w:bCs w:val="0"/>
          <w:kern w:val="0"/>
          <w:sz w:val="20"/>
          <w:szCs w:val="24"/>
        </w:rPr>
        <w:alias w:val="模块:期末重要的债权投资"/>
        <w:tag w:val="_SEC_b1d789cc522341caa1c75b1a7b84351c"/>
        <w:id w:val="-1697147226"/>
        <w:lock w:val="sdtLocked"/>
        <w:placeholder>
          <w:docPart w:val="GBC22222222222222222222222222222"/>
        </w:placeholder>
      </w:sdtPr>
      <w:sdtEndPr>
        <w:rPr>
          <w:rFonts w:hint="default"/>
          <w:sz w:val="21"/>
          <w:szCs w:val="21"/>
        </w:rPr>
      </w:sdtEndPr>
      <w:sdtContent>
        <w:p w14:paraId="58021337" w14:textId="77777777" w:rsidR="007E7472" w:rsidRDefault="00EC1269" w:rsidP="00162493">
          <w:pPr>
            <w:pStyle w:val="4"/>
            <w:numPr>
              <w:ilvl w:val="0"/>
              <w:numId w:val="69"/>
            </w:numPr>
          </w:pPr>
          <w:r>
            <w:rPr>
              <w:rFonts w:hint="eastAsia"/>
            </w:rPr>
            <w:t>期末重要的债权投资</w:t>
          </w:r>
          <w:bookmarkEnd w:id="196"/>
        </w:p>
        <w:sdt>
          <w:sdtPr>
            <w:alias w:val="是否适用：重要的债权投资[双击切换]"/>
            <w:tag w:val="_GBC_0ff84ccc1d234704b93c4e33c0d575ce"/>
            <w:id w:val="-1386488457"/>
            <w:lock w:val="sdtLocked"/>
            <w:placeholder>
              <w:docPart w:val="GBC22222222222222222222222222222"/>
            </w:placeholder>
          </w:sdtPr>
          <w:sdtEndPr/>
          <w:sdtContent>
            <w:p w14:paraId="62A7F933"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bookmarkEnd w:id="197" w:displacedByCustomXml="next"/>
    <w:bookmarkStart w:id="198" w:name="_Hlk10471472" w:displacedByCustomXml="next"/>
    <w:bookmarkStart w:id="199" w:name="_Hlk10471485" w:displacedByCustomXml="next"/>
    <w:sdt>
      <w:sdtPr>
        <w:rPr>
          <w:rFonts w:ascii="宋体" w:hAnsi="宋体" w:cs="宋体" w:hint="eastAsia"/>
          <w:b w:val="0"/>
          <w:bCs w:val="0"/>
          <w:kern w:val="0"/>
          <w:sz w:val="20"/>
          <w:szCs w:val="21"/>
        </w:rPr>
        <w:alias w:val="模块:减值准备计提情况"/>
        <w:tag w:val="_SEC_bff86b17d4774a4a9f8a3329635b5429"/>
        <w:id w:val="567237490"/>
        <w:lock w:val="sdtLocked"/>
        <w:placeholder>
          <w:docPart w:val="GBC22222222222222222222222222222"/>
        </w:placeholder>
      </w:sdtPr>
      <w:sdtEndPr>
        <w:rPr>
          <w:rFonts w:hint="default"/>
        </w:rPr>
      </w:sdtEndPr>
      <w:sdtContent>
        <w:p w14:paraId="610FF9A9" w14:textId="77777777" w:rsidR="007E7472" w:rsidRDefault="00EC1269" w:rsidP="00162493">
          <w:pPr>
            <w:pStyle w:val="4"/>
            <w:numPr>
              <w:ilvl w:val="0"/>
              <w:numId w:val="69"/>
            </w:numPr>
          </w:pPr>
          <w:r>
            <w:rPr>
              <w:rFonts w:hint="eastAsia"/>
            </w:rPr>
            <w:t>减值准备计提情况</w:t>
          </w:r>
          <w:bookmarkEnd w:id="198"/>
        </w:p>
        <w:sdt>
          <w:sdtPr>
            <w:alias w:val="是否适用：债权投资减值准备调节表[双击切换]"/>
            <w:tag w:val="_GBC_415a5cd43ad14136b13ac09b150da06f"/>
            <w:id w:val="-800301851"/>
            <w:lock w:val="sdtLocked"/>
            <w:placeholder>
              <w:docPart w:val="GBC22222222222222222222222222222"/>
            </w:placeholder>
          </w:sdtPr>
          <w:sdtEndPr/>
          <w:sdtContent>
            <w:p w14:paraId="3CE9A3F5"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bookmarkEnd w:id="199" w:displacedByCustomXml="next"/>
    <w:bookmarkStart w:id="200" w:name="_Hlk10471652" w:displacedByCustomXml="next"/>
    <w:sdt>
      <w:sdtPr>
        <w:rPr>
          <w:rFonts w:ascii="宋体" w:hAnsi="宋体" w:cs="宋体" w:hint="eastAsia"/>
          <w:b w:val="0"/>
          <w:bCs w:val="0"/>
          <w:kern w:val="0"/>
          <w:szCs w:val="21"/>
        </w:rPr>
        <w:alias w:val="模块:其他债权投资"/>
        <w:tag w:val="_SEC_1af1e8e9eab94f10811b4e7aa91aa24d"/>
        <w:id w:val="1544566470"/>
        <w:lock w:val="sdtLocked"/>
        <w:placeholder>
          <w:docPart w:val="GBC22222222222222222222222222222"/>
        </w:placeholder>
      </w:sdtPr>
      <w:sdtEndPr/>
      <w:sdtContent>
        <w:p w14:paraId="6A43C67E" w14:textId="77777777" w:rsidR="007E7472" w:rsidRDefault="00EC1269" w:rsidP="00162493">
          <w:pPr>
            <w:pStyle w:val="3"/>
            <w:numPr>
              <w:ilvl w:val="0"/>
              <w:numId w:val="62"/>
            </w:numPr>
          </w:pPr>
          <w:r>
            <w:rPr>
              <w:rFonts w:hint="eastAsia"/>
            </w:rPr>
            <w:t>其他债权投资</w:t>
          </w:r>
        </w:p>
        <w:p w14:paraId="4522BD78" w14:textId="77777777" w:rsidR="007E7472" w:rsidRDefault="00EC1269" w:rsidP="00162493">
          <w:pPr>
            <w:pStyle w:val="4"/>
            <w:numPr>
              <w:ilvl w:val="0"/>
              <w:numId w:val="70"/>
            </w:numPr>
          </w:pPr>
          <w:r>
            <w:rPr>
              <w:rFonts w:hint="eastAsia"/>
            </w:rPr>
            <w:t>其他债权投资情况</w:t>
          </w:r>
        </w:p>
        <w:sdt>
          <w:sdtPr>
            <w:alias w:val="是否适用：其他债权投资情况[双击切换]"/>
            <w:tag w:val="_GBC_a2d99fd3a665497694c6ad6801c54a4f"/>
            <w:id w:val="-1976904371"/>
            <w:lock w:val="sdtLocked"/>
            <w:placeholder>
              <w:docPart w:val="GBC22222222222222222222222222222"/>
            </w:placeholder>
          </w:sdtPr>
          <w:sdtEndPr/>
          <w:sdtContent>
            <w:p w14:paraId="60CB7B6F" w14:textId="77777777" w:rsidR="007E7472" w:rsidRDefault="00EC1269">
              <w:pPr>
                <w:ind w:right="210"/>
              </w:pPr>
              <w:r>
                <w:rPr>
                  <w:rFonts w:asciiTheme="minorEastAsia" w:eastAsiaTheme="minorEastAsia" w:hAnsiTheme="minorEastAsia" w:cs="Times New Roman"/>
                </w:rPr>
                <w:fldChar w:fldCharType="begin"/>
              </w:r>
              <w:r>
                <w:rPr>
                  <w:rFonts w:asciiTheme="minorEastAsia" w:eastAsiaTheme="minorEastAsia" w:hAnsiTheme="minorEastAsia" w:cs="Times New Roman"/>
                </w:rPr>
                <w:instrText xml:space="preserve"> MACROBUTTON  SnrToggleCheckbox □适用 </w:instrText>
              </w:r>
              <w:r>
                <w:rPr>
                  <w:rFonts w:asciiTheme="minorEastAsia" w:eastAsiaTheme="minorEastAsia" w:hAnsiTheme="minorEastAsia" w:cs="Times New Roman"/>
                </w:rPr>
                <w:fldChar w:fldCharType="end"/>
              </w:r>
              <w:r>
                <w:rPr>
                  <w:rFonts w:asciiTheme="minorEastAsia" w:eastAsiaTheme="minorEastAsia" w:hAnsiTheme="minorEastAsia" w:cs="Times New Roman"/>
                </w:rPr>
                <w:fldChar w:fldCharType="begin"/>
              </w:r>
              <w:r>
                <w:rPr>
                  <w:rFonts w:asciiTheme="minorEastAsia" w:eastAsiaTheme="minorEastAsia" w:hAnsiTheme="minorEastAsia" w:cs="Times New Roman"/>
                </w:rPr>
                <w:instrText xml:space="preserve"> MACROBUTTON  SnrToggleCheckbox √不适用 </w:instrText>
              </w:r>
              <w:r>
                <w:rPr>
                  <w:rFonts w:asciiTheme="minorEastAsia" w:eastAsiaTheme="minorEastAsia" w:hAnsiTheme="minorEastAsia" w:cs="Times New Roman"/>
                </w:rPr>
                <w:fldChar w:fldCharType="end"/>
              </w:r>
            </w:p>
          </w:sdtContent>
        </w:sdt>
      </w:sdtContent>
    </w:sdt>
    <w:bookmarkEnd w:id="200" w:displacedByCustomXml="next"/>
    <w:bookmarkStart w:id="201" w:name="_Hlk10471670" w:displacedByCustomXml="next"/>
    <w:bookmarkStart w:id="202" w:name="_Hlk10471680" w:displacedByCustomXml="next"/>
    <w:sdt>
      <w:sdtPr>
        <w:rPr>
          <w:rFonts w:ascii="宋体" w:hAnsi="宋体" w:cs="宋体" w:hint="eastAsia"/>
          <w:b w:val="0"/>
          <w:bCs w:val="0"/>
          <w:kern w:val="0"/>
          <w:szCs w:val="21"/>
        </w:rPr>
        <w:alias w:val="模块:期末重要的其他债权投资"/>
        <w:tag w:val="_SEC_052112d020944ec8b923dd106b2a0cbf"/>
        <w:id w:val="-1956714686"/>
        <w:lock w:val="sdtLocked"/>
        <w:placeholder>
          <w:docPart w:val="GBC22222222222222222222222222222"/>
        </w:placeholder>
      </w:sdtPr>
      <w:sdtEndPr>
        <w:rPr>
          <w:rFonts w:hint="default"/>
        </w:rPr>
      </w:sdtEndPr>
      <w:sdtContent>
        <w:p w14:paraId="794B3F2A" w14:textId="77777777" w:rsidR="007E7472" w:rsidRDefault="00EC1269" w:rsidP="00162493">
          <w:pPr>
            <w:pStyle w:val="4"/>
            <w:numPr>
              <w:ilvl w:val="0"/>
              <w:numId w:val="70"/>
            </w:numPr>
          </w:pPr>
          <w:r>
            <w:rPr>
              <w:rFonts w:hint="eastAsia"/>
            </w:rPr>
            <w:t>期末重要的其他债权投资</w:t>
          </w:r>
          <w:bookmarkEnd w:id="201"/>
        </w:p>
        <w:sdt>
          <w:sdtPr>
            <w:alias w:val="是否适用：重要的其他债权投资[双击切换]"/>
            <w:tag w:val="_GBC_e8808db892544b1ead740cddc4156455"/>
            <w:id w:val="-1752965629"/>
            <w:lock w:val="sdtLocked"/>
            <w:placeholder>
              <w:docPart w:val="GBC22222222222222222222222222222"/>
            </w:placeholder>
          </w:sdtPr>
          <w:sdtEndPr/>
          <w:sdtContent>
            <w:p w14:paraId="56C33966" w14:textId="77777777" w:rsidR="007E7472" w:rsidRDefault="00EC1269">
              <w:pPr>
                <w:ind w:right="210"/>
              </w:pPr>
              <w:r>
                <w:rPr>
                  <w:rFonts w:asciiTheme="minorEastAsia" w:eastAsiaTheme="minorEastAsia" w:hAnsiTheme="minorEastAsia" w:cs="Times New Roman"/>
                </w:rPr>
                <w:fldChar w:fldCharType="begin"/>
              </w:r>
              <w:r>
                <w:rPr>
                  <w:rFonts w:asciiTheme="minorEastAsia" w:eastAsiaTheme="minorEastAsia" w:hAnsiTheme="minorEastAsia" w:cs="Times New Roman"/>
                </w:rPr>
                <w:instrText xml:space="preserve"> MACROBUTTON  SnrToggleCheckbox □适用 </w:instrText>
              </w:r>
              <w:r>
                <w:rPr>
                  <w:rFonts w:asciiTheme="minorEastAsia" w:eastAsiaTheme="minorEastAsia" w:hAnsiTheme="minorEastAsia" w:cs="Times New Roman"/>
                </w:rPr>
                <w:fldChar w:fldCharType="end"/>
              </w:r>
              <w:r>
                <w:fldChar w:fldCharType="begin"/>
              </w:r>
              <w:r>
                <w:instrText xml:space="preserve"> MACROBUTTON  SnrToggleCheckbox √不适用 </w:instrText>
              </w:r>
              <w:r>
                <w:fldChar w:fldCharType="end"/>
              </w:r>
            </w:p>
          </w:sdtContent>
        </w:sdt>
      </w:sdtContent>
    </w:sdt>
    <w:bookmarkEnd w:id="202" w:displacedByCustomXml="next"/>
    <w:bookmarkStart w:id="203" w:name="_Hlk10471703" w:displacedByCustomXml="next"/>
    <w:bookmarkStart w:id="204" w:name="_Hlk10471716" w:displacedByCustomXml="next"/>
    <w:bookmarkStart w:id="205" w:name="_Hlk533848073" w:displacedByCustomXml="next"/>
    <w:sdt>
      <w:sdtPr>
        <w:rPr>
          <w:rFonts w:ascii="宋体" w:hAnsi="宋体" w:cs="宋体" w:hint="eastAsia"/>
          <w:b w:val="0"/>
          <w:bCs w:val="0"/>
          <w:kern w:val="0"/>
          <w:sz w:val="20"/>
          <w:szCs w:val="21"/>
        </w:rPr>
        <w:alias w:val="模块:减值准备计提情况"/>
        <w:tag w:val="_SEC_a18c2d8250c64daf904816a57fe286bd"/>
        <w:id w:val="749317049"/>
        <w:lock w:val="sdtLocked"/>
        <w:placeholder>
          <w:docPart w:val="GBC22222222222222222222222222222"/>
        </w:placeholder>
      </w:sdtPr>
      <w:sdtEndPr>
        <w:rPr>
          <w:rFonts w:hint="default"/>
        </w:rPr>
      </w:sdtEndPr>
      <w:sdtContent>
        <w:p w14:paraId="1A7DE3BC" w14:textId="77777777" w:rsidR="007E7472" w:rsidRDefault="00EC1269" w:rsidP="00162493">
          <w:pPr>
            <w:pStyle w:val="4"/>
            <w:numPr>
              <w:ilvl w:val="0"/>
              <w:numId w:val="70"/>
            </w:numPr>
          </w:pPr>
          <w:r>
            <w:rPr>
              <w:rFonts w:hint="eastAsia"/>
            </w:rPr>
            <w:t>减值准备计提情况</w:t>
          </w:r>
          <w:bookmarkEnd w:id="203"/>
        </w:p>
        <w:sdt>
          <w:sdtPr>
            <w:alias w:val="是否适用：其他债权投资减值准备调节表[双击切换]"/>
            <w:tag w:val="_GBC_038e4a0a4815442e91a9309c128001c1"/>
            <w:id w:val="1216392067"/>
            <w:lock w:val="sdtLocked"/>
            <w:placeholder>
              <w:docPart w:val="GBC22222222222222222222222222222"/>
            </w:placeholder>
          </w:sdtPr>
          <w:sdtEndPr/>
          <w:sdtContent>
            <w:p w14:paraId="6A96696D" w14:textId="77777777" w:rsidR="007E7472" w:rsidRDefault="00EC1269">
              <w:r>
                <w:rPr>
                  <w:rFonts w:asciiTheme="majorEastAsia" w:eastAsiaTheme="majorEastAsia" w:hAnsiTheme="majorEastAsia"/>
                </w:rPr>
                <w:fldChar w:fldCharType="begin"/>
              </w:r>
              <w:r>
                <w:rPr>
                  <w:rFonts w:asciiTheme="majorEastAsia" w:eastAsiaTheme="majorEastAsia" w:hAnsiTheme="majorEastAsia"/>
                </w:rPr>
                <w:instrText xml:space="preserve"> MACROBUTTON  SnrToggleCheckbox □适用 </w:instrText>
              </w:r>
              <w:r>
                <w:rPr>
                  <w:rFonts w:asciiTheme="majorEastAsia" w:eastAsiaTheme="majorEastAsia" w:hAnsiTheme="majorEastAsia"/>
                </w:rPr>
                <w:fldChar w:fldCharType="end"/>
              </w:r>
              <w:r>
                <w:rPr>
                  <w:rFonts w:asciiTheme="majorEastAsia" w:eastAsiaTheme="majorEastAsia" w:hAnsiTheme="majorEastAsia"/>
                </w:rPr>
                <w:fldChar w:fldCharType="begin"/>
              </w:r>
              <w:r>
                <w:rPr>
                  <w:rFonts w:asciiTheme="majorEastAsia" w:eastAsiaTheme="majorEastAsia" w:hAnsiTheme="majorEastAsia"/>
                </w:rPr>
                <w:instrText xml:space="preserve"> MACROBUTTON  SnrToggleCheckbox √不适用 </w:instrText>
              </w:r>
              <w:r>
                <w:rPr>
                  <w:rFonts w:asciiTheme="majorEastAsia" w:eastAsiaTheme="majorEastAsia" w:hAnsiTheme="majorEastAsia"/>
                </w:rPr>
                <w:fldChar w:fldCharType="end"/>
              </w:r>
            </w:p>
          </w:sdtContent>
        </w:sdt>
      </w:sdtContent>
    </w:sdt>
    <w:bookmarkEnd w:id="204" w:displacedByCustomXml="next"/>
    <w:bookmarkEnd w:id="205" w:displacedByCustomXml="next"/>
    <w:bookmarkStart w:id="206" w:name="_Hlk533848097" w:displacedByCustomXml="next"/>
    <w:bookmarkStart w:id="207" w:name="_Hlk10471761" w:displacedByCustomXml="next"/>
    <w:sdt>
      <w:sdtPr>
        <w:rPr>
          <w:rFonts w:hint="eastAsia"/>
        </w:rPr>
        <w:alias w:val="模块:其他说明："/>
        <w:tag w:val="_SEC_a6d7d62dd24747a08e0a132cf37e100c"/>
        <w:id w:val="1199899829"/>
        <w:lock w:val="sdtLocked"/>
        <w:placeholder>
          <w:docPart w:val="GBC22222222222222222222222222222"/>
        </w:placeholder>
      </w:sdtPr>
      <w:sdtEndPr>
        <w:rPr>
          <w:rFonts w:hint="default"/>
          <w:sz w:val="20"/>
          <w:szCs w:val="20"/>
        </w:rPr>
      </w:sdtEndPr>
      <w:sdtContent>
        <w:p w14:paraId="27577B67" w14:textId="77777777" w:rsidR="007E7472" w:rsidRDefault="00EC1269">
          <w:r>
            <w:rPr>
              <w:rFonts w:hint="eastAsia"/>
            </w:rPr>
            <w:t>其他说明：</w:t>
          </w:r>
          <w:bookmarkEnd w:id="206"/>
        </w:p>
        <w:sdt>
          <w:sdtPr>
            <w:alias w:val="是否适用：其他债权投资其他说明[双击切换]"/>
            <w:tag w:val="_GBC_e37f3e78626b4cd0ad52d68ae2fcdecb"/>
            <w:id w:val="1143935097"/>
            <w:lock w:val="sdtLocked"/>
            <w:placeholder>
              <w:docPart w:val="GBC22222222222222222222222222222"/>
            </w:placeholder>
          </w:sdtPr>
          <w:sdtEndPr>
            <w:rPr>
              <w:sz w:val="20"/>
              <w:szCs w:val="20"/>
            </w:rPr>
          </w:sdtEndPr>
          <w:sdtContent>
            <w:p w14:paraId="6225DB1C"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bookmarkEnd w:id="207"/>
    <w:p w14:paraId="61539FF4" w14:textId="77777777" w:rsidR="007E7472" w:rsidRDefault="00C8327E"/>
    <w:sdt>
      <w:sdtPr>
        <w:rPr>
          <w:rFonts w:ascii="宋体" w:hAnsi="宋体" w:cs="宋体" w:hint="eastAsia"/>
          <w:b w:val="0"/>
          <w:bCs w:val="0"/>
          <w:kern w:val="0"/>
          <w:szCs w:val="24"/>
        </w:rPr>
        <w:alias w:val="模块:长期应收款"/>
        <w:tag w:val="_GBC_2642a454002a499399e1b643b91ef1ad"/>
        <w:id w:val="-1855323773"/>
        <w:lock w:val="sdtLocked"/>
        <w:placeholder>
          <w:docPart w:val="GBC22222222222222222222222222222"/>
        </w:placeholder>
      </w:sdtPr>
      <w:sdtEndPr>
        <w:rPr>
          <w:rFonts w:hint="default"/>
          <w:color w:val="FF0000"/>
          <w:szCs w:val="21"/>
        </w:rPr>
      </w:sdtEndPr>
      <w:sdtContent>
        <w:p w14:paraId="602C4B39" w14:textId="77777777" w:rsidR="007E7472" w:rsidRDefault="00EC1269" w:rsidP="00162493">
          <w:pPr>
            <w:pStyle w:val="3"/>
            <w:numPr>
              <w:ilvl w:val="0"/>
              <w:numId w:val="62"/>
            </w:numPr>
          </w:pPr>
          <w:r>
            <w:rPr>
              <w:rFonts w:hint="eastAsia"/>
            </w:rPr>
            <w:t>长期应收款</w:t>
          </w:r>
        </w:p>
        <w:p w14:paraId="1E4EC604" w14:textId="77777777" w:rsidR="007E7472" w:rsidRDefault="00EC1269" w:rsidP="00162493">
          <w:pPr>
            <w:pStyle w:val="4"/>
            <w:numPr>
              <w:ilvl w:val="0"/>
              <w:numId w:val="71"/>
            </w:numPr>
          </w:pPr>
          <w:r>
            <w:rPr>
              <w:rFonts w:hint="eastAsia"/>
            </w:rPr>
            <w:t>长期应收款情况</w:t>
          </w:r>
        </w:p>
        <w:sdt>
          <w:sdtPr>
            <w:alias w:val="是否适用：长期应收款情况[双击切换]"/>
            <w:tag w:val="_GBC_03ba5a75d6d541f4a60fba2b18c9d548"/>
            <w:id w:val="-682126819"/>
            <w:lock w:val="sdtLocked"/>
          </w:sdtPr>
          <w:sdtEndPr/>
          <w:sdtContent>
            <w:p w14:paraId="4F0F480A" w14:textId="77777777" w:rsidR="007E7472" w:rsidRDefault="00EC1269">
              <w:r>
                <w:fldChar w:fldCharType="begin"/>
              </w:r>
              <w:r>
                <w:instrText xml:space="preserve"> MACROBUTTON SnrToggleCheckbox √适用 </w:instrText>
              </w:r>
              <w:r>
                <w:fldChar w:fldCharType="end"/>
              </w:r>
              <w:r>
                <w:fldChar w:fldCharType="begin"/>
              </w:r>
              <w:r>
                <w:instrText xml:space="preserve">MACROBUTTON  SnrToggleCheckbox □不适用 </w:instrText>
              </w:r>
              <w:r>
                <w:fldChar w:fldCharType="end"/>
              </w:r>
            </w:p>
          </w:sdtContent>
        </w:sdt>
        <w:p w14:paraId="184B9781" w14:textId="6BEF0A13" w:rsidR="007E7472" w:rsidRDefault="00EC1269">
          <w:pPr>
            <w:jc w:val="right"/>
          </w:pPr>
          <w:r>
            <w:rPr>
              <w:rFonts w:hint="eastAsia"/>
            </w:rPr>
            <w:t>单位：</w:t>
          </w:r>
          <w:sdt>
            <w:sdtPr>
              <w:rPr>
                <w:rFonts w:hint="eastAsia"/>
              </w:rPr>
              <w:alias w:val="单位：财务附注：长期应收款"/>
              <w:tag w:val="_GBC_95baf3ea634a4a60970b09906c240d55"/>
              <w:id w:val="-867287449"/>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长期应收款"/>
              <w:tag w:val="_GBC_fe21d7e81e5548d09e30637bd81155e1"/>
              <w:id w:val="91536533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0"/>
            <w:gridCol w:w="1417"/>
            <w:gridCol w:w="992"/>
            <w:gridCol w:w="1135"/>
            <w:gridCol w:w="1135"/>
            <w:gridCol w:w="992"/>
            <w:gridCol w:w="1136"/>
            <w:gridCol w:w="886"/>
          </w:tblGrid>
          <w:tr w:rsidR="007E7472" w14:paraId="2D068498" w14:textId="77777777" w:rsidTr="007E7472">
            <w:sdt>
              <w:sdtPr>
                <w:tag w:val="_PLD_8e80648375054a09a15bfc6f9a7fb093"/>
                <w:id w:val="211085300"/>
                <w:lock w:val="sdtLocked"/>
              </w:sdtPr>
              <w:sdtEndPr/>
              <w:sdtContent>
                <w:tc>
                  <w:tcPr>
                    <w:tcW w:w="640" w:type="pct"/>
                    <w:vMerge w:val="restart"/>
                    <w:tcBorders>
                      <w:top w:val="single" w:sz="4" w:space="0" w:color="auto"/>
                      <w:left w:val="single" w:sz="4" w:space="0" w:color="auto"/>
                      <w:right w:val="single" w:sz="4" w:space="0" w:color="auto"/>
                    </w:tcBorders>
                    <w:shd w:val="clear" w:color="auto" w:fill="auto"/>
                    <w:vAlign w:val="center"/>
                  </w:tcPr>
                  <w:p w14:paraId="26FFEA9C" w14:textId="77777777" w:rsidR="007E7472" w:rsidRDefault="00EC1269">
                    <w:pPr>
                      <w:jc w:val="center"/>
                    </w:pPr>
                    <w:r>
                      <w:rPr>
                        <w:rFonts w:hint="eastAsia"/>
                      </w:rPr>
                      <w:t>项目</w:t>
                    </w:r>
                  </w:p>
                </w:tc>
              </w:sdtContent>
            </w:sdt>
            <w:sdt>
              <w:sdtPr>
                <w:tag w:val="_PLD_e9a93d1c2d6847be992e152b686ed22d"/>
                <w:id w:val="-369142260"/>
                <w:lock w:val="sdtLocked"/>
              </w:sdtPr>
              <w:sdtEndPr/>
              <w:sdtContent>
                <w:tc>
                  <w:tcPr>
                    <w:tcW w:w="200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2D825BC" w14:textId="77777777" w:rsidR="007E7472" w:rsidRDefault="00EC1269">
                    <w:pPr>
                      <w:jc w:val="center"/>
                    </w:pPr>
                    <w:r>
                      <w:rPr>
                        <w:rFonts w:hint="eastAsia"/>
                      </w:rPr>
                      <w:t>期末余额</w:t>
                    </w:r>
                  </w:p>
                </w:tc>
              </w:sdtContent>
            </w:sdt>
            <w:sdt>
              <w:sdtPr>
                <w:tag w:val="_PLD_f41f953b597d46848a98bb222c5ebb8e"/>
                <w:id w:val="1464011328"/>
                <w:lock w:val="sdtLocked"/>
              </w:sdtPr>
              <w:sdtEndPr/>
              <w:sdtContent>
                <w:tc>
                  <w:tcPr>
                    <w:tcW w:w="184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92C6693" w14:textId="77777777" w:rsidR="007E7472" w:rsidRDefault="00EC1269">
                    <w:pPr>
                      <w:jc w:val="center"/>
                    </w:pPr>
                    <w:r>
                      <w:rPr>
                        <w:rFonts w:hint="eastAsia"/>
                      </w:rPr>
                      <w:t>期初余额</w:t>
                    </w:r>
                  </w:p>
                </w:tc>
              </w:sdtContent>
            </w:sdt>
            <w:sdt>
              <w:sdtPr>
                <w:tag w:val="_PLD_e23d00708e6c434eac89cf07e5b896e2"/>
                <w:id w:val="-1792823383"/>
                <w:lock w:val="sdtLocked"/>
              </w:sdtPr>
              <w:sdtEndPr/>
              <w:sdtContent>
                <w:tc>
                  <w:tcPr>
                    <w:tcW w:w="502" w:type="pct"/>
                    <w:vMerge w:val="restart"/>
                    <w:tcBorders>
                      <w:top w:val="single" w:sz="4" w:space="0" w:color="auto"/>
                      <w:left w:val="single" w:sz="4" w:space="0" w:color="auto"/>
                      <w:right w:val="single" w:sz="4" w:space="0" w:color="auto"/>
                    </w:tcBorders>
                    <w:shd w:val="clear" w:color="auto" w:fill="auto"/>
                    <w:vAlign w:val="center"/>
                  </w:tcPr>
                  <w:p w14:paraId="376807F8" w14:textId="77777777" w:rsidR="007E7472" w:rsidRDefault="00EC1269">
                    <w:pPr>
                      <w:jc w:val="center"/>
                    </w:pPr>
                    <w:r>
                      <w:rPr>
                        <w:rFonts w:hint="eastAsia"/>
                      </w:rPr>
                      <w:t>折现率区间</w:t>
                    </w:r>
                  </w:p>
                </w:tc>
              </w:sdtContent>
            </w:sdt>
          </w:tr>
          <w:tr w:rsidR="007E7472" w14:paraId="444D8DEC" w14:textId="77777777" w:rsidTr="007E747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640" w:type="pct"/>
                <w:vMerge/>
                <w:tcBorders>
                  <w:left w:val="single" w:sz="4" w:space="0" w:color="auto"/>
                  <w:bottom w:val="single" w:sz="6" w:space="0" w:color="auto"/>
                  <w:right w:val="single" w:sz="4" w:space="0" w:color="auto"/>
                </w:tcBorders>
                <w:shd w:val="clear" w:color="auto" w:fill="auto"/>
                <w:vAlign w:val="center"/>
              </w:tcPr>
              <w:p w14:paraId="6E198A57" w14:textId="77777777" w:rsidR="007E7472" w:rsidRDefault="00C8327E">
                <w:pPr>
                  <w:jc w:val="center"/>
                </w:pPr>
              </w:p>
            </w:tc>
            <w:sdt>
              <w:sdtPr>
                <w:tag w:val="_PLD_93de35b749ff4ac9a6b3c5ec236ed585"/>
                <w:id w:val="1450042355"/>
                <w:lock w:val="sdtLocked"/>
              </w:sdtPr>
              <w:sdtEndPr/>
              <w:sdtContent>
                <w:tc>
                  <w:tcPr>
                    <w:tcW w:w="803" w:type="pct"/>
                    <w:tcBorders>
                      <w:left w:val="single" w:sz="4" w:space="0" w:color="auto"/>
                      <w:bottom w:val="single" w:sz="6" w:space="0" w:color="auto"/>
                    </w:tcBorders>
                    <w:shd w:val="clear" w:color="auto" w:fill="auto"/>
                    <w:vAlign w:val="center"/>
                  </w:tcPr>
                  <w:p w14:paraId="64DD249D" w14:textId="77777777" w:rsidR="007E7472" w:rsidRDefault="00EC1269">
                    <w:pPr>
                      <w:jc w:val="center"/>
                    </w:pPr>
                    <w:r>
                      <w:rPr>
                        <w:rFonts w:hint="eastAsia"/>
                      </w:rPr>
                      <w:t>账面余额</w:t>
                    </w:r>
                  </w:p>
                </w:tc>
              </w:sdtContent>
            </w:sdt>
            <w:sdt>
              <w:sdtPr>
                <w:tag w:val="_PLD_eccd0387c0f24fa5a972b6cd6e1d4d30"/>
                <w:id w:val="1057814715"/>
                <w:lock w:val="sdtLocked"/>
              </w:sdtPr>
              <w:sdtEndPr/>
              <w:sdtContent>
                <w:tc>
                  <w:tcPr>
                    <w:tcW w:w="562" w:type="pct"/>
                    <w:tcBorders>
                      <w:bottom w:val="single" w:sz="6" w:space="0" w:color="auto"/>
                    </w:tcBorders>
                    <w:shd w:val="clear" w:color="auto" w:fill="auto"/>
                    <w:vAlign w:val="center"/>
                  </w:tcPr>
                  <w:p w14:paraId="12D2825D" w14:textId="77777777" w:rsidR="007E7472" w:rsidRDefault="00EC1269">
                    <w:pPr>
                      <w:jc w:val="center"/>
                    </w:pPr>
                    <w:r>
                      <w:rPr>
                        <w:rFonts w:hint="eastAsia"/>
                      </w:rPr>
                      <w:t>坏账准备</w:t>
                    </w:r>
                  </w:p>
                </w:tc>
              </w:sdtContent>
            </w:sdt>
            <w:sdt>
              <w:sdtPr>
                <w:tag w:val="_PLD_9016cddeb6f34d55a584d277237a8ac1"/>
                <w:id w:val="-1677260890"/>
                <w:lock w:val="sdtLocked"/>
              </w:sdtPr>
              <w:sdtEndPr/>
              <w:sdtContent>
                <w:tc>
                  <w:tcPr>
                    <w:tcW w:w="643" w:type="pct"/>
                    <w:tcBorders>
                      <w:bottom w:val="single" w:sz="6" w:space="0" w:color="auto"/>
                    </w:tcBorders>
                    <w:shd w:val="clear" w:color="auto" w:fill="auto"/>
                    <w:vAlign w:val="center"/>
                  </w:tcPr>
                  <w:p w14:paraId="30DFEFC5" w14:textId="77777777" w:rsidR="007E7472" w:rsidRDefault="00EC1269">
                    <w:pPr>
                      <w:jc w:val="center"/>
                    </w:pPr>
                    <w:r>
                      <w:rPr>
                        <w:rFonts w:hint="eastAsia"/>
                      </w:rPr>
                      <w:t>账面价值</w:t>
                    </w:r>
                  </w:p>
                </w:tc>
              </w:sdtContent>
            </w:sdt>
            <w:sdt>
              <w:sdtPr>
                <w:tag w:val="_PLD_db7d979714524efcab7433361aaac461"/>
                <w:id w:val="-1420792730"/>
                <w:lock w:val="sdtLocked"/>
              </w:sdtPr>
              <w:sdtEndPr/>
              <w:sdtContent>
                <w:tc>
                  <w:tcPr>
                    <w:tcW w:w="643" w:type="pct"/>
                    <w:tcBorders>
                      <w:bottom w:val="single" w:sz="6" w:space="0" w:color="auto"/>
                    </w:tcBorders>
                    <w:shd w:val="clear" w:color="auto" w:fill="auto"/>
                    <w:vAlign w:val="center"/>
                  </w:tcPr>
                  <w:p w14:paraId="19FE2512" w14:textId="77777777" w:rsidR="007E7472" w:rsidRDefault="00EC1269">
                    <w:pPr>
                      <w:jc w:val="center"/>
                    </w:pPr>
                    <w:r>
                      <w:rPr>
                        <w:rFonts w:hint="eastAsia"/>
                      </w:rPr>
                      <w:t>账面余额</w:t>
                    </w:r>
                  </w:p>
                </w:tc>
              </w:sdtContent>
            </w:sdt>
            <w:sdt>
              <w:sdtPr>
                <w:tag w:val="_PLD_395cf962072c462fb83f42db9e225402"/>
                <w:id w:val="-401225981"/>
                <w:lock w:val="sdtLocked"/>
              </w:sdtPr>
              <w:sdtEndPr/>
              <w:sdtContent>
                <w:tc>
                  <w:tcPr>
                    <w:tcW w:w="562" w:type="pct"/>
                    <w:tcBorders>
                      <w:bottom w:val="single" w:sz="6" w:space="0" w:color="auto"/>
                    </w:tcBorders>
                    <w:shd w:val="clear" w:color="auto" w:fill="auto"/>
                    <w:vAlign w:val="center"/>
                  </w:tcPr>
                  <w:p w14:paraId="45E0E879" w14:textId="77777777" w:rsidR="007E7472" w:rsidRDefault="00EC1269">
                    <w:pPr>
                      <w:jc w:val="center"/>
                    </w:pPr>
                    <w:r>
                      <w:rPr>
                        <w:rFonts w:hint="eastAsia"/>
                      </w:rPr>
                      <w:t>坏账准备</w:t>
                    </w:r>
                  </w:p>
                </w:tc>
              </w:sdtContent>
            </w:sdt>
            <w:sdt>
              <w:sdtPr>
                <w:tag w:val="_PLD_505b96d943e341af8e22763be8ab91c7"/>
                <w:id w:val="906345766"/>
                <w:lock w:val="sdtLocked"/>
              </w:sdtPr>
              <w:sdtEndPr/>
              <w:sdtContent>
                <w:tc>
                  <w:tcPr>
                    <w:tcW w:w="644" w:type="pct"/>
                    <w:tcBorders>
                      <w:bottom w:val="single" w:sz="6" w:space="0" w:color="auto"/>
                      <w:right w:val="single" w:sz="4" w:space="0" w:color="auto"/>
                    </w:tcBorders>
                    <w:shd w:val="clear" w:color="auto" w:fill="auto"/>
                    <w:vAlign w:val="center"/>
                  </w:tcPr>
                  <w:p w14:paraId="604347FE" w14:textId="77777777" w:rsidR="007E7472" w:rsidRDefault="00EC1269">
                    <w:pPr>
                      <w:jc w:val="center"/>
                    </w:pPr>
                    <w:r>
                      <w:rPr>
                        <w:rFonts w:hint="eastAsia"/>
                      </w:rPr>
                      <w:t>账面价值</w:t>
                    </w:r>
                  </w:p>
                </w:tc>
              </w:sdtContent>
            </w:sdt>
            <w:tc>
              <w:tcPr>
                <w:tcW w:w="502" w:type="pct"/>
                <w:vMerge/>
                <w:tcBorders>
                  <w:left w:val="single" w:sz="4" w:space="0" w:color="auto"/>
                  <w:bottom w:val="single" w:sz="6" w:space="0" w:color="auto"/>
                  <w:right w:val="single" w:sz="4" w:space="0" w:color="auto"/>
                </w:tcBorders>
                <w:shd w:val="clear" w:color="auto" w:fill="auto"/>
              </w:tcPr>
              <w:p w14:paraId="102DB38B" w14:textId="77777777" w:rsidR="007E7472" w:rsidRDefault="00C8327E">
                <w:pPr>
                  <w:jc w:val="center"/>
                </w:pPr>
              </w:p>
            </w:tc>
          </w:tr>
          <w:tr w:rsidR="007E7472" w14:paraId="5BF647D9" w14:textId="77777777" w:rsidTr="007E747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Height w:val="340"/>
            </w:trPr>
            <w:sdt>
              <w:sdtPr>
                <w:tag w:val="_PLD_44b22517c61942ddbf5f351c0b6e745f"/>
                <w:id w:val="-1286190984"/>
                <w:lock w:val="sdtLocked"/>
              </w:sdtPr>
              <w:sdtEndPr/>
              <w:sdtContent>
                <w:tc>
                  <w:tcPr>
                    <w:tcW w:w="640" w:type="pct"/>
                    <w:shd w:val="clear" w:color="auto" w:fill="auto"/>
                    <w:vAlign w:val="center"/>
                  </w:tcPr>
                  <w:p w14:paraId="6E4A79F0" w14:textId="77777777" w:rsidR="007E7472" w:rsidRDefault="00EC1269">
                    <w:r>
                      <w:rPr>
                        <w:rFonts w:hint="eastAsia"/>
                      </w:rPr>
                      <w:t>融资租赁款</w:t>
                    </w:r>
                  </w:p>
                </w:tc>
              </w:sdtContent>
            </w:sdt>
            <w:tc>
              <w:tcPr>
                <w:tcW w:w="803" w:type="pct"/>
                <w:shd w:val="clear" w:color="auto" w:fill="auto"/>
                <w:vAlign w:val="center"/>
              </w:tcPr>
              <w:p w14:paraId="3A34D8E9" w14:textId="77777777" w:rsidR="007E7472" w:rsidRDefault="00EC1269">
                <w:pPr>
                  <w:jc w:val="right"/>
                </w:pPr>
                <w:r>
                  <w:rPr>
                    <w:rFonts w:hint="eastAsia"/>
                  </w:rPr>
                  <w:t>1,353,601</w:t>
                </w:r>
              </w:p>
            </w:tc>
            <w:tc>
              <w:tcPr>
                <w:tcW w:w="562" w:type="pct"/>
                <w:shd w:val="clear" w:color="auto" w:fill="auto"/>
                <w:vAlign w:val="center"/>
              </w:tcPr>
              <w:p w14:paraId="18722BB4" w14:textId="77777777" w:rsidR="007E7472" w:rsidRDefault="00EC1269">
                <w:pPr>
                  <w:jc w:val="right"/>
                </w:pPr>
                <w:r>
                  <w:rPr>
                    <w:rFonts w:hint="eastAsia"/>
                  </w:rPr>
                  <w:t>115,981</w:t>
                </w:r>
              </w:p>
            </w:tc>
            <w:tc>
              <w:tcPr>
                <w:tcW w:w="643" w:type="pct"/>
                <w:shd w:val="clear" w:color="auto" w:fill="auto"/>
                <w:vAlign w:val="center"/>
              </w:tcPr>
              <w:p w14:paraId="6F034FAF" w14:textId="77777777" w:rsidR="007E7472" w:rsidRDefault="00EC1269">
                <w:pPr>
                  <w:jc w:val="right"/>
                </w:pPr>
                <w:r>
                  <w:rPr>
                    <w:rFonts w:hint="eastAsia"/>
                  </w:rPr>
                  <w:t>1,237,620</w:t>
                </w:r>
              </w:p>
            </w:tc>
            <w:tc>
              <w:tcPr>
                <w:tcW w:w="643" w:type="pct"/>
                <w:shd w:val="clear" w:color="auto" w:fill="auto"/>
                <w:vAlign w:val="center"/>
              </w:tcPr>
              <w:p w14:paraId="6D14EEB9" w14:textId="77777777" w:rsidR="007E7472" w:rsidRDefault="00EC1269">
                <w:pPr>
                  <w:jc w:val="right"/>
                </w:pPr>
                <w:r>
                  <w:rPr>
                    <w:rFonts w:hint="eastAsia"/>
                  </w:rPr>
                  <w:t>1,770,031</w:t>
                </w:r>
              </w:p>
            </w:tc>
            <w:tc>
              <w:tcPr>
                <w:tcW w:w="562" w:type="pct"/>
                <w:shd w:val="clear" w:color="auto" w:fill="auto"/>
                <w:vAlign w:val="center"/>
              </w:tcPr>
              <w:p w14:paraId="57171CAD" w14:textId="77777777" w:rsidR="007E7472" w:rsidRDefault="00EC1269">
                <w:pPr>
                  <w:jc w:val="right"/>
                </w:pPr>
                <w:r>
                  <w:rPr>
                    <w:rFonts w:hint="eastAsia"/>
                  </w:rPr>
                  <w:t>166,029</w:t>
                </w:r>
              </w:p>
            </w:tc>
            <w:tc>
              <w:tcPr>
                <w:tcW w:w="644" w:type="pct"/>
                <w:tcBorders>
                  <w:right w:val="single" w:sz="4" w:space="0" w:color="auto"/>
                </w:tcBorders>
                <w:shd w:val="clear" w:color="auto" w:fill="auto"/>
                <w:vAlign w:val="center"/>
              </w:tcPr>
              <w:p w14:paraId="2CB40139" w14:textId="77777777" w:rsidR="007E7472" w:rsidRDefault="00EC1269">
                <w:pPr>
                  <w:jc w:val="right"/>
                </w:pPr>
                <w:r>
                  <w:rPr>
                    <w:rFonts w:hint="eastAsia"/>
                  </w:rPr>
                  <w:t>1,604,002</w:t>
                </w:r>
              </w:p>
            </w:tc>
            <w:tc>
              <w:tcPr>
                <w:tcW w:w="502" w:type="pct"/>
                <w:tcBorders>
                  <w:left w:val="single" w:sz="4" w:space="0" w:color="auto"/>
                </w:tcBorders>
                <w:shd w:val="clear" w:color="auto" w:fill="auto"/>
                <w:vAlign w:val="center"/>
              </w:tcPr>
              <w:p w14:paraId="109FC286" w14:textId="77777777" w:rsidR="007E7472" w:rsidRDefault="00C8327E"/>
            </w:tc>
          </w:tr>
          <w:tr w:rsidR="007E7472" w14:paraId="3DE3803B" w14:textId="77777777" w:rsidTr="007E747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Height w:val="340"/>
            </w:trPr>
            <w:sdt>
              <w:sdtPr>
                <w:tag w:val="_PLD_82bbe5076aee43e28a8773131c01e1c5"/>
                <w:id w:val="2146925739"/>
                <w:lock w:val="sdtLocked"/>
              </w:sdtPr>
              <w:sdtEndPr/>
              <w:sdtContent>
                <w:tc>
                  <w:tcPr>
                    <w:tcW w:w="640" w:type="pct"/>
                    <w:shd w:val="clear" w:color="auto" w:fill="auto"/>
                    <w:vAlign w:val="center"/>
                  </w:tcPr>
                  <w:p w14:paraId="122F4061" w14:textId="77777777" w:rsidR="007E7472" w:rsidRDefault="00913748" w:rsidP="007E7472">
                    <w:r>
                      <w:rPr>
                        <w:rFonts w:hint="eastAsia"/>
                      </w:rPr>
                      <w:t>其中：未实现融资收益</w:t>
                    </w:r>
                  </w:p>
                </w:tc>
              </w:sdtContent>
            </w:sdt>
            <w:tc>
              <w:tcPr>
                <w:tcW w:w="803" w:type="pct"/>
                <w:shd w:val="clear" w:color="auto" w:fill="auto"/>
                <w:vAlign w:val="center"/>
              </w:tcPr>
              <w:p w14:paraId="39C575F9" w14:textId="58B244CC" w:rsidR="007E7472" w:rsidRDefault="00913748" w:rsidP="007E7472">
                <w:pPr>
                  <w:jc w:val="right"/>
                </w:pPr>
                <w:r>
                  <w:t>292,747</w:t>
                </w:r>
              </w:p>
            </w:tc>
            <w:tc>
              <w:tcPr>
                <w:tcW w:w="562" w:type="pct"/>
                <w:shd w:val="clear" w:color="auto" w:fill="auto"/>
                <w:vAlign w:val="center"/>
              </w:tcPr>
              <w:p w14:paraId="674B95CA" w14:textId="77777777" w:rsidR="007E7472" w:rsidRDefault="00C8327E" w:rsidP="007E7472">
                <w:pPr>
                  <w:jc w:val="right"/>
                </w:pPr>
              </w:p>
            </w:tc>
            <w:tc>
              <w:tcPr>
                <w:tcW w:w="643" w:type="pct"/>
                <w:shd w:val="clear" w:color="auto" w:fill="auto"/>
                <w:vAlign w:val="center"/>
              </w:tcPr>
              <w:p w14:paraId="59BE5966" w14:textId="6A20E6A2" w:rsidR="007E7472" w:rsidRDefault="00913748" w:rsidP="007E7472">
                <w:pPr>
                  <w:jc w:val="right"/>
                </w:pPr>
                <w:r>
                  <w:t>292,747</w:t>
                </w:r>
              </w:p>
            </w:tc>
            <w:tc>
              <w:tcPr>
                <w:tcW w:w="643" w:type="pct"/>
                <w:shd w:val="clear" w:color="auto" w:fill="auto"/>
                <w:vAlign w:val="center"/>
              </w:tcPr>
              <w:p w14:paraId="767870EC" w14:textId="77777777" w:rsidR="007E7472" w:rsidRDefault="00913748" w:rsidP="007E7472">
                <w:pPr>
                  <w:jc w:val="right"/>
                </w:pPr>
                <w:r>
                  <w:rPr>
                    <w:rFonts w:hint="eastAsia"/>
                  </w:rPr>
                  <w:t>382,461</w:t>
                </w:r>
              </w:p>
            </w:tc>
            <w:tc>
              <w:tcPr>
                <w:tcW w:w="562" w:type="pct"/>
                <w:shd w:val="clear" w:color="auto" w:fill="auto"/>
                <w:vAlign w:val="center"/>
              </w:tcPr>
              <w:p w14:paraId="059109E5" w14:textId="77777777" w:rsidR="007E7472" w:rsidRDefault="00C8327E" w:rsidP="007E7472">
                <w:pPr>
                  <w:jc w:val="right"/>
                </w:pPr>
              </w:p>
            </w:tc>
            <w:tc>
              <w:tcPr>
                <w:tcW w:w="644" w:type="pct"/>
                <w:tcBorders>
                  <w:right w:val="single" w:sz="4" w:space="0" w:color="auto"/>
                </w:tcBorders>
                <w:shd w:val="clear" w:color="auto" w:fill="auto"/>
                <w:vAlign w:val="center"/>
              </w:tcPr>
              <w:p w14:paraId="283548EB" w14:textId="77777777" w:rsidR="007E7472" w:rsidRDefault="00913748" w:rsidP="007E7472">
                <w:pPr>
                  <w:jc w:val="right"/>
                </w:pPr>
                <w:r>
                  <w:rPr>
                    <w:rFonts w:hint="eastAsia"/>
                  </w:rPr>
                  <w:t>382,461</w:t>
                </w:r>
              </w:p>
            </w:tc>
            <w:tc>
              <w:tcPr>
                <w:tcW w:w="502" w:type="pct"/>
                <w:tcBorders>
                  <w:left w:val="single" w:sz="4" w:space="0" w:color="auto"/>
                </w:tcBorders>
                <w:shd w:val="clear" w:color="auto" w:fill="auto"/>
                <w:vAlign w:val="center"/>
              </w:tcPr>
              <w:p w14:paraId="1F3B3817" w14:textId="77777777" w:rsidR="007E7472" w:rsidRDefault="00C8327E" w:rsidP="007E7472"/>
            </w:tc>
          </w:tr>
          <w:sdt>
            <w:sdtPr>
              <w:alias w:val="长期应收款情况明细"/>
              <w:tag w:val="_GBC_5a41f105be7341e4bda68c15cf69c9e0"/>
              <w:id w:val="283781835"/>
              <w:lock w:val="sdtLocked"/>
            </w:sdtPr>
            <w:sdtEndPr/>
            <w:sdtContent>
              <w:tr w:rsidR="007E7472" w14:paraId="2949CCE5" w14:textId="77777777" w:rsidTr="007E747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Height w:val="340"/>
                </w:trPr>
                <w:tc>
                  <w:tcPr>
                    <w:tcW w:w="640" w:type="pct"/>
                    <w:shd w:val="clear" w:color="auto" w:fill="auto"/>
                    <w:vAlign w:val="center"/>
                  </w:tcPr>
                  <w:p w14:paraId="5BBB21E9" w14:textId="77777777" w:rsidR="007E7472" w:rsidRDefault="00EC1269">
                    <w:r>
                      <w:rPr>
                        <w:rFonts w:hint="eastAsia"/>
                      </w:rPr>
                      <w:t>采矿权</w:t>
                    </w:r>
                  </w:p>
                </w:tc>
                <w:tc>
                  <w:tcPr>
                    <w:tcW w:w="803" w:type="pct"/>
                    <w:shd w:val="clear" w:color="auto" w:fill="auto"/>
                    <w:vAlign w:val="center"/>
                  </w:tcPr>
                  <w:p w14:paraId="3510D69D" w14:textId="77777777" w:rsidR="007E7472" w:rsidRDefault="00EC1269">
                    <w:pPr>
                      <w:jc w:val="right"/>
                    </w:pPr>
                    <w:r>
                      <w:rPr>
                        <w:rFonts w:hint="eastAsia"/>
                      </w:rPr>
                      <w:t>718,053</w:t>
                    </w:r>
                  </w:p>
                </w:tc>
                <w:tc>
                  <w:tcPr>
                    <w:tcW w:w="562" w:type="pct"/>
                    <w:shd w:val="clear" w:color="auto" w:fill="auto"/>
                    <w:vAlign w:val="center"/>
                  </w:tcPr>
                  <w:p w14:paraId="62061F3F" w14:textId="77777777" w:rsidR="007E7472" w:rsidRDefault="00C8327E">
                    <w:pPr>
                      <w:jc w:val="right"/>
                    </w:pPr>
                  </w:p>
                </w:tc>
                <w:tc>
                  <w:tcPr>
                    <w:tcW w:w="643" w:type="pct"/>
                    <w:shd w:val="clear" w:color="auto" w:fill="auto"/>
                    <w:vAlign w:val="center"/>
                  </w:tcPr>
                  <w:p w14:paraId="1FE9A867" w14:textId="77777777" w:rsidR="007E7472" w:rsidRDefault="00EC1269">
                    <w:pPr>
                      <w:jc w:val="right"/>
                    </w:pPr>
                    <w:r>
                      <w:rPr>
                        <w:rFonts w:hint="eastAsia"/>
                      </w:rPr>
                      <w:t>718,053</w:t>
                    </w:r>
                  </w:p>
                </w:tc>
                <w:tc>
                  <w:tcPr>
                    <w:tcW w:w="643" w:type="pct"/>
                    <w:shd w:val="clear" w:color="auto" w:fill="auto"/>
                    <w:vAlign w:val="center"/>
                  </w:tcPr>
                  <w:p w14:paraId="61EE3C33" w14:textId="77777777" w:rsidR="007E7472" w:rsidRDefault="00EC1269">
                    <w:pPr>
                      <w:jc w:val="right"/>
                    </w:pPr>
                    <w:r>
                      <w:rPr>
                        <w:rFonts w:hint="eastAsia"/>
                      </w:rPr>
                      <w:t>727,927</w:t>
                    </w:r>
                  </w:p>
                </w:tc>
                <w:tc>
                  <w:tcPr>
                    <w:tcW w:w="562" w:type="pct"/>
                    <w:shd w:val="clear" w:color="auto" w:fill="auto"/>
                    <w:vAlign w:val="center"/>
                  </w:tcPr>
                  <w:p w14:paraId="0B8866FE" w14:textId="77777777" w:rsidR="007E7472" w:rsidRDefault="00C8327E">
                    <w:pPr>
                      <w:jc w:val="right"/>
                    </w:pPr>
                  </w:p>
                </w:tc>
                <w:tc>
                  <w:tcPr>
                    <w:tcW w:w="644" w:type="pct"/>
                    <w:tcBorders>
                      <w:right w:val="single" w:sz="4" w:space="0" w:color="auto"/>
                    </w:tcBorders>
                    <w:shd w:val="clear" w:color="auto" w:fill="auto"/>
                    <w:vAlign w:val="center"/>
                  </w:tcPr>
                  <w:p w14:paraId="0AE3D86C" w14:textId="77777777" w:rsidR="007E7472" w:rsidRDefault="00EC1269">
                    <w:pPr>
                      <w:jc w:val="right"/>
                    </w:pPr>
                    <w:r>
                      <w:rPr>
                        <w:rFonts w:hint="eastAsia"/>
                      </w:rPr>
                      <w:t>727,927</w:t>
                    </w:r>
                  </w:p>
                </w:tc>
                <w:tc>
                  <w:tcPr>
                    <w:tcW w:w="502" w:type="pct"/>
                    <w:tcBorders>
                      <w:left w:val="single" w:sz="4" w:space="0" w:color="auto"/>
                    </w:tcBorders>
                    <w:shd w:val="clear" w:color="auto" w:fill="auto"/>
                    <w:vAlign w:val="center"/>
                  </w:tcPr>
                  <w:p w14:paraId="61F258E9" w14:textId="77777777" w:rsidR="007E7472" w:rsidRDefault="00C8327E"/>
                </w:tc>
              </w:tr>
            </w:sdtContent>
          </w:sdt>
          <w:sdt>
            <w:sdtPr>
              <w:alias w:val="长期应收款情况明细"/>
              <w:tag w:val="_GBC_5a41f105be7341e4bda68c15cf69c9e0"/>
              <w:id w:val="182874948"/>
              <w:lock w:val="sdtLocked"/>
            </w:sdtPr>
            <w:sdtEndPr/>
            <w:sdtContent>
              <w:tr w:rsidR="007E7472" w14:paraId="5E64E956" w14:textId="77777777" w:rsidTr="007E747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Height w:val="340"/>
                </w:trPr>
                <w:tc>
                  <w:tcPr>
                    <w:tcW w:w="640" w:type="pct"/>
                    <w:shd w:val="clear" w:color="auto" w:fill="auto"/>
                    <w:vAlign w:val="center"/>
                  </w:tcPr>
                  <w:p w14:paraId="0F463666" w14:textId="77777777" w:rsidR="007E7472" w:rsidRDefault="00EC1269">
                    <w:r>
                      <w:rPr>
                        <w:rFonts w:hint="eastAsia"/>
                      </w:rPr>
                      <w:t>其他</w:t>
                    </w:r>
                  </w:p>
                </w:tc>
                <w:tc>
                  <w:tcPr>
                    <w:tcW w:w="803" w:type="pct"/>
                    <w:shd w:val="clear" w:color="auto" w:fill="auto"/>
                    <w:vAlign w:val="center"/>
                  </w:tcPr>
                  <w:p w14:paraId="13A1AC4B" w14:textId="77777777" w:rsidR="007E7472" w:rsidRDefault="00EC1269">
                    <w:pPr>
                      <w:jc w:val="right"/>
                    </w:pPr>
                    <w:r>
                      <w:rPr>
                        <w:rFonts w:hint="eastAsia"/>
                      </w:rPr>
                      <w:t>33,259</w:t>
                    </w:r>
                  </w:p>
                </w:tc>
                <w:tc>
                  <w:tcPr>
                    <w:tcW w:w="562" w:type="pct"/>
                    <w:shd w:val="clear" w:color="auto" w:fill="auto"/>
                    <w:vAlign w:val="center"/>
                  </w:tcPr>
                  <w:p w14:paraId="3C5B666E" w14:textId="77777777" w:rsidR="007E7472" w:rsidRDefault="00C8327E">
                    <w:pPr>
                      <w:jc w:val="right"/>
                    </w:pPr>
                  </w:p>
                </w:tc>
                <w:tc>
                  <w:tcPr>
                    <w:tcW w:w="643" w:type="pct"/>
                    <w:shd w:val="clear" w:color="auto" w:fill="auto"/>
                    <w:vAlign w:val="center"/>
                  </w:tcPr>
                  <w:p w14:paraId="197551BF" w14:textId="77777777" w:rsidR="007E7472" w:rsidRDefault="00EC1269">
                    <w:pPr>
                      <w:jc w:val="right"/>
                    </w:pPr>
                    <w:r>
                      <w:rPr>
                        <w:rFonts w:hint="eastAsia"/>
                      </w:rPr>
                      <w:t>33,259</w:t>
                    </w:r>
                  </w:p>
                </w:tc>
                <w:tc>
                  <w:tcPr>
                    <w:tcW w:w="643" w:type="pct"/>
                    <w:shd w:val="clear" w:color="auto" w:fill="auto"/>
                    <w:vAlign w:val="center"/>
                  </w:tcPr>
                  <w:p w14:paraId="44CDC050" w14:textId="77777777" w:rsidR="007E7472" w:rsidRDefault="00EC1269">
                    <w:pPr>
                      <w:jc w:val="right"/>
                    </w:pPr>
                    <w:r>
                      <w:rPr>
                        <w:rFonts w:hint="eastAsia"/>
                      </w:rPr>
                      <w:t>32,667</w:t>
                    </w:r>
                  </w:p>
                </w:tc>
                <w:tc>
                  <w:tcPr>
                    <w:tcW w:w="562" w:type="pct"/>
                    <w:shd w:val="clear" w:color="auto" w:fill="auto"/>
                    <w:vAlign w:val="center"/>
                  </w:tcPr>
                  <w:p w14:paraId="2457922F" w14:textId="77777777" w:rsidR="007E7472" w:rsidRDefault="00C8327E">
                    <w:pPr>
                      <w:jc w:val="right"/>
                    </w:pPr>
                  </w:p>
                </w:tc>
                <w:tc>
                  <w:tcPr>
                    <w:tcW w:w="644" w:type="pct"/>
                    <w:tcBorders>
                      <w:right w:val="single" w:sz="4" w:space="0" w:color="auto"/>
                    </w:tcBorders>
                    <w:shd w:val="clear" w:color="auto" w:fill="auto"/>
                    <w:vAlign w:val="center"/>
                  </w:tcPr>
                  <w:p w14:paraId="4E8FD5BD" w14:textId="77777777" w:rsidR="007E7472" w:rsidRDefault="00EC1269">
                    <w:pPr>
                      <w:jc w:val="right"/>
                    </w:pPr>
                    <w:r>
                      <w:rPr>
                        <w:rFonts w:hint="eastAsia"/>
                      </w:rPr>
                      <w:t>32,667</w:t>
                    </w:r>
                  </w:p>
                </w:tc>
                <w:tc>
                  <w:tcPr>
                    <w:tcW w:w="502" w:type="pct"/>
                    <w:tcBorders>
                      <w:left w:val="single" w:sz="4" w:space="0" w:color="auto"/>
                    </w:tcBorders>
                    <w:shd w:val="clear" w:color="auto" w:fill="auto"/>
                    <w:vAlign w:val="center"/>
                  </w:tcPr>
                  <w:p w14:paraId="7F078421" w14:textId="77777777" w:rsidR="007E7472" w:rsidRDefault="00C8327E"/>
                </w:tc>
              </w:tr>
            </w:sdtContent>
          </w:sdt>
          <w:tr w:rsidR="007E7472" w14:paraId="12F33378" w14:textId="77777777" w:rsidTr="007E747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Height w:val="340"/>
            </w:trPr>
            <w:sdt>
              <w:sdtPr>
                <w:tag w:val="_PLD_8bf46c35ccf64076b70a8027cfc753dc"/>
                <w:id w:val="1314456215"/>
                <w:lock w:val="sdtLocked"/>
              </w:sdtPr>
              <w:sdtEndPr/>
              <w:sdtContent>
                <w:tc>
                  <w:tcPr>
                    <w:tcW w:w="640" w:type="pct"/>
                    <w:shd w:val="clear" w:color="auto" w:fill="auto"/>
                    <w:vAlign w:val="center"/>
                  </w:tcPr>
                  <w:p w14:paraId="6058721D" w14:textId="77777777" w:rsidR="007E7472" w:rsidRDefault="00EC1269">
                    <w:pPr>
                      <w:jc w:val="center"/>
                    </w:pPr>
                    <w:r>
                      <w:rPr>
                        <w:rFonts w:hint="eastAsia"/>
                      </w:rPr>
                      <w:t>合计</w:t>
                    </w:r>
                  </w:p>
                </w:tc>
              </w:sdtContent>
            </w:sdt>
            <w:tc>
              <w:tcPr>
                <w:tcW w:w="803" w:type="pct"/>
                <w:shd w:val="clear" w:color="auto" w:fill="auto"/>
                <w:vAlign w:val="center"/>
              </w:tcPr>
              <w:p w14:paraId="3C1EB5A0" w14:textId="77777777" w:rsidR="007E7472" w:rsidRDefault="00EC1269">
                <w:pPr>
                  <w:jc w:val="right"/>
                </w:pPr>
                <w:r>
                  <w:rPr>
                    <w:rFonts w:hint="eastAsia"/>
                  </w:rPr>
                  <w:t>2,104,913</w:t>
                </w:r>
              </w:p>
            </w:tc>
            <w:tc>
              <w:tcPr>
                <w:tcW w:w="562" w:type="pct"/>
                <w:shd w:val="clear" w:color="auto" w:fill="auto"/>
                <w:vAlign w:val="center"/>
              </w:tcPr>
              <w:p w14:paraId="012A94F8" w14:textId="77777777" w:rsidR="007E7472" w:rsidRDefault="00EC1269">
                <w:pPr>
                  <w:jc w:val="right"/>
                </w:pPr>
                <w:r>
                  <w:rPr>
                    <w:rFonts w:hint="eastAsia"/>
                  </w:rPr>
                  <w:t>115,981</w:t>
                </w:r>
              </w:p>
            </w:tc>
            <w:tc>
              <w:tcPr>
                <w:tcW w:w="643" w:type="pct"/>
                <w:shd w:val="clear" w:color="auto" w:fill="auto"/>
                <w:vAlign w:val="center"/>
              </w:tcPr>
              <w:p w14:paraId="59A19967" w14:textId="77777777" w:rsidR="007E7472" w:rsidRDefault="00EC1269">
                <w:pPr>
                  <w:jc w:val="right"/>
                </w:pPr>
                <w:r>
                  <w:rPr>
                    <w:rFonts w:hint="eastAsia"/>
                  </w:rPr>
                  <w:t>1,988,932</w:t>
                </w:r>
              </w:p>
            </w:tc>
            <w:tc>
              <w:tcPr>
                <w:tcW w:w="643" w:type="pct"/>
                <w:shd w:val="clear" w:color="auto" w:fill="auto"/>
                <w:vAlign w:val="center"/>
              </w:tcPr>
              <w:p w14:paraId="2786DDCF" w14:textId="77777777" w:rsidR="007E7472" w:rsidRDefault="00EC1269">
                <w:pPr>
                  <w:jc w:val="right"/>
                </w:pPr>
                <w:r>
                  <w:rPr>
                    <w:rFonts w:hint="eastAsia"/>
                  </w:rPr>
                  <w:t>2,530,625</w:t>
                </w:r>
              </w:p>
            </w:tc>
            <w:tc>
              <w:tcPr>
                <w:tcW w:w="562" w:type="pct"/>
                <w:shd w:val="clear" w:color="auto" w:fill="auto"/>
                <w:vAlign w:val="center"/>
              </w:tcPr>
              <w:p w14:paraId="7BF827E3" w14:textId="77777777" w:rsidR="007E7472" w:rsidRDefault="00EC1269">
                <w:pPr>
                  <w:jc w:val="right"/>
                </w:pPr>
                <w:r>
                  <w:rPr>
                    <w:rFonts w:hint="eastAsia"/>
                  </w:rPr>
                  <w:t>166,029</w:t>
                </w:r>
              </w:p>
            </w:tc>
            <w:tc>
              <w:tcPr>
                <w:tcW w:w="644" w:type="pct"/>
                <w:tcBorders>
                  <w:right w:val="single" w:sz="4" w:space="0" w:color="auto"/>
                </w:tcBorders>
                <w:shd w:val="clear" w:color="auto" w:fill="auto"/>
                <w:vAlign w:val="center"/>
              </w:tcPr>
              <w:p w14:paraId="7A1F198F" w14:textId="77777777" w:rsidR="007E7472" w:rsidRDefault="00EC1269">
                <w:pPr>
                  <w:jc w:val="right"/>
                </w:pPr>
                <w:r>
                  <w:rPr>
                    <w:rFonts w:hint="eastAsia"/>
                  </w:rPr>
                  <w:t>2,364,596</w:t>
                </w:r>
              </w:p>
            </w:tc>
            <w:tc>
              <w:tcPr>
                <w:tcW w:w="502" w:type="pct"/>
                <w:tcBorders>
                  <w:left w:val="single" w:sz="4" w:space="0" w:color="auto"/>
                </w:tcBorders>
                <w:shd w:val="clear" w:color="auto" w:fill="auto"/>
                <w:vAlign w:val="center"/>
              </w:tcPr>
              <w:p w14:paraId="16248AF2" w14:textId="77777777" w:rsidR="007E7472" w:rsidRDefault="00EC1269">
                <w:pPr>
                  <w:jc w:val="center"/>
                </w:pPr>
                <w:r>
                  <w:rPr>
                    <w:rFonts w:hint="eastAsia"/>
                  </w:rPr>
                  <w:t>/</w:t>
                </w:r>
              </w:p>
            </w:tc>
          </w:tr>
        </w:tbl>
        <w:p w14:paraId="170A35FF" w14:textId="77777777" w:rsidR="007E7472" w:rsidRDefault="00C8327E">
          <w:pPr>
            <w:rPr>
              <w:color w:val="FF0000"/>
            </w:rPr>
          </w:pPr>
        </w:p>
      </w:sdtContent>
    </w:sdt>
    <w:bookmarkStart w:id="208" w:name="_Hlk10471933" w:displacedByCustomXml="next"/>
    <w:sdt>
      <w:sdtPr>
        <w:rPr>
          <w:rFonts w:ascii="宋体" w:hAnsi="宋体" w:cs="宋体" w:hint="eastAsia"/>
          <w:b w:val="0"/>
          <w:bCs w:val="0"/>
          <w:color w:val="FF0000"/>
          <w:kern w:val="0"/>
          <w:sz w:val="20"/>
          <w:szCs w:val="21"/>
        </w:rPr>
        <w:alias w:val="模块:坏账准备计提情况"/>
        <w:tag w:val="_SEC_a0520f64d4bd49e5a3638a0386a233ee"/>
        <w:id w:val="-150979485"/>
        <w:lock w:val="sdtLocked"/>
        <w:placeholder>
          <w:docPart w:val="GBC22222222222222222222222222222"/>
        </w:placeholder>
      </w:sdtPr>
      <w:sdtEndPr>
        <w:rPr>
          <w:rFonts w:hint="default"/>
        </w:rPr>
      </w:sdtEndPr>
      <w:sdtContent>
        <w:p w14:paraId="7DC64256" w14:textId="77777777" w:rsidR="007E7472" w:rsidRDefault="00EC1269" w:rsidP="00162493">
          <w:pPr>
            <w:pStyle w:val="4"/>
            <w:numPr>
              <w:ilvl w:val="0"/>
              <w:numId w:val="71"/>
            </w:numPr>
            <w:rPr>
              <w:rFonts w:asciiTheme="minorEastAsia" w:eastAsiaTheme="minorEastAsia" w:hAnsiTheme="minorEastAsia"/>
            </w:rPr>
          </w:pPr>
          <w:r>
            <w:rPr>
              <w:rFonts w:hint="eastAsia"/>
            </w:rPr>
            <w:t>坏</w:t>
          </w:r>
          <w:r>
            <w:rPr>
              <w:rFonts w:asciiTheme="minorEastAsia" w:eastAsiaTheme="minorEastAsia" w:hAnsiTheme="minorEastAsia" w:hint="eastAsia"/>
            </w:rPr>
            <w:t>账准备计提情况</w:t>
          </w:r>
        </w:p>
        <w:sdt>
          <w:sdtPr>
            <w:rPr>
              <w:rFonts w:asciiTheme="minorEastAsia" w:eastAsiaTheme="minorEastAsia" w:hAnsiTheme="minorEastAsia"/>
            </w:rPr>
            <w:alias w:val="是否适用：长期应收款坏账准备调节表[双击切换]"/>
            <w:tag w:val="_GBC_f7e4bed7dbb84fbcb52f2226cf465bb3"/>
            <w:id w:val="1263256085"/>
            <w:lock w:val="sdtLocked"/>
            <w:placeholder>
              <w:docPart w:val="GBC22222222222222222222222222222"/>
            </w:placeholder>
          </w:sdtPr>
          <w:sdtEndPr/>
          <w:sdtContent>
            <w:p w14:paraId="39EBE11E" w14:textId="77777777" w:rsidR="007E7472" w:rsidRDefault="00EC1269">
              <w:pPr>
                <w:rPr>
                  <w:rFonts w:asciiTheme="minorEastAsia" w:eastAsiaTheme="minorEastAsia" w:hAnsiTheme="minorEastAsia"/>
                </w:rPr>
              </w:pP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292809C0" w14:textId="69B8D0CF" w:rsidR="007E7472" w:rsidRDefault="00EC1269">
          <w:pPr>
            <w:autoSpaceDE w:val="0"/>
            <w:autoSpaceDN w:val="0"/>
            <w:adjustRightInd w:val="0"/>
            <w:ind w:rightChars="50" w:right="105"/>
            <w:jc w:val="right"/>
            <w:rPr>
              <w:rFonts w:asciiTheme="minorEastAsia" w:eastAsiaTheme="minorEastAsia" w:hAnsiTheme="minorEastAsia"/>
            </w:rPr>
          </w:pPr>
          <w:r>
            <w:rPr>
              <w:rFonts w:asciiTheme="minorEastAsia" w:eastAsiaTheme="minorEastAsia" w:hAnsiTheme="minorEastAsia" w:hint="eastAsia"/>
            </w:rPr>
            <w:t>单位：</w:t>
          </w:r>
          <w:sdt>
            <w:sdtPr>
              <w:rPr>
                <w:rFonts w:asciiTheme="minorEastAsia" w:eastAsiaTheme="minorEastAsia" w:hAnsiTheme="minorEastAsia" w:hint="eastAsia"/>
              </w:rPr>
              <w:alias w:val="单位：长期应收款坏账准备调节表"/>
              <w:tag w:val="_GBC_2bbd87eab11a481f80927dfd7342e232"/>
              <w:id w:val="366383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asciiTheme="minorEastAsia" w:eastAsiaTheme="minorEastAsia" w:hAnsiTheme="minorEastAsia" w:hint="eastAsia"/>
                </w:rPr>
                <w:t>千元</w:t>
              </w:r>
            </w:sdtContent>
          </w:sdt>
          <w:r>
            <w:rPr>
              <w:rFonts w:asciiTheme="minorEastAsia" w:eastAsiaTheme="minorEastAsia" w:hAnsiTheme="minorEastAsia" w:hint="eastAsia"/>
            </w:rPr>
            <w:t>币种：</w:t>
          </w:r>
          <w:sdt>
            <w:sdtPr>
              <w:rPr>
                <w:rFonts w:asciiTheme="minorEastAsia" w:eastAsiaTheme="minorEastAsia" w:hAnsiTheme="minorEastAsia" w:hint="eastAsia"/>
              </w:rPr>
              <w:alias w:val="币种：长期应收款坏账准备调节表"/>
              <w:tag w:val="_GBC_a6d3fb90964748f494536b204e5bab68"/>
              <w:id w:val="-21044953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asciiTheme="minorEastAsia" w:eastAsiaTheme="minorEastAsia" w:hAnsiTheme="minorEastAsia"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1521"/>
            <w:gridCol w:w="1664"/>
            <w:gridCol w:w="1936"/>
            <w:gridCol w:w="1662"/>
          </w:tblGrid>
          <w:tr w:rsidR="007E7472" w14:paraId="22AEE718" w14:textId="77777777">
            <w:sdt>
              <w:sdtPr>
                <w:rPr>
                  <w:rFonts w:asciiTheme="minorEastAsia" w:eastAsiaTheme="minorEastAsia" w:hAnsiTheme="minorEastAsia"/>
                </w:rPr>
                <w:tag w:val="_PLD_294e5bbfd4534d8cbbae3a90b20c447c"/>
                <w:id w:val="-1113892857"/>
                <w:lock w:val="sdtLocked"/>
              </w:sdtPr>
              <w:sdtEndPr/>
              <w:sdtContent>
                <w:tc>
                  <w:tcPr>
                    <w:tcW w:w="1156" w:type="pct"/>
                    <w:vMerge w:val="restart"/>
                    <w:vAlign w:val="center"/>
                  </w:tcPr>
                  <w:p w14:paraId="000ADA07" w14:textId="77777777" w:rsidR="007E7472" w:rsidRDefault="00EC1269">
                    <w:pPr>
                      <w:jc w:val="center"/>
                      <w:rPr>
                        <w:rFonts w:asciiTheme="minorEastAsia" w:eastAsiaTheme="minorEastAsia" w:hAnsiTheme="minorEastAsia"/>
                      </w:rPr>
                    </w:pPr>
                    <w:r>
                      <w:rPr>
                        <w:rFonts w:asciiTheme="minorEastAsia" w:eastAsiaTheme="minorEastAsia" w:hAnsiTheme="minorEastAsia" w:hint="eastAsia"/>
                      </w:rPr>
                      <w:t>坏账</w:t>
                    </w:r>
                    <w:r>
                      <w:rPr>
                        <w:rFonts w:asciiTheme="minorEastAsia" w:eastAsiaTheme="minorEastAsia" w:hAnsiTheme="minorEastAsia"/>
                      </w:rPr>
                      <w:t>准备</w:t>
                    </w:r>
                  </w:p>
                </w:tc>
              </w:sdtContent>
            </w:sdt>
            <w:sdt>
              <w:sdtPr>
                <w:rPr>
                  <w:rFonts w:asciiTheme="minorEastAsia" w:eastAsiaTheme="minorEastAsia" w:hAnsiTheme="minorEastAsia"/>
                </w:rPr>
                <w:tag w:val="_PLD_ace79c3416eb44e7b3a74c621384a23c"/>
                <w:id w:val="1506399506"/>
                <w:lock w:val="sdtLocked"/>
              </w:sdtPr>
              <w:sdtEndPr/>
              <w:sdtContent>
                <w:tc>
                  <w:tcPr>
                    <w:tcW w:w="862" w:type="pct"/>
                    <w:vAlign w:val="center"/>
                  </w:tcPr>
                  <w:p w14:paraId="3B5AF8C3" w14:textId="77777777" w:rsidR="007E7472" w:rsidRDefault="00EC1269">
                    <w:pPr>
                      <w:jc w:val="center"/>
                      <w:rPr>
                        <w:rFonts w:asciiTheme="minorEastAsia" w:eastAsiaTheme="minorEastAsia" w:hAnsiTheme="minorEastAsia"/>
                      </w:rPr>
                    </w:pPr>
                    <w:r>
                      <w:rPr>
                        <w:rFonts w:asciiTheme="minorEastAsia" w:eastAsiaTheme="minorEastAsia" w:hAnsiTheme="minorEastAsia"/>
                      </w:rPr>
                      <w:t>第一阶段</w:t>
                    </w:r>
                  </w:p>
                </w:tc>
              </w:sdtContent>
            </w:sdt>
            <w:sdt>
              <w:sdtPr>
                <w:rPr>
                  <w:rFonts w:asciiTheme="minorEastAsia" w:eastAsiaTheme="minorEastAsia" w:hAnsiTheme="minorEastAsia"/>
                </w:rPr>
                <w:tag w:val="_PLD_a72e5fdd446746579a277a4e75ad7bab"/>
                <w:id w:val="1820301931"/>
                <w:lock w:val="sdtLocked"/>
              </w:sdtPr>
              <w:sdtEndPr/>
              <w:sdtContent>
                <w:tc>
                  <w:tcPr>
                    <w:tcW w:w="943" w:type="pct"/>
                    <w:vAlign w:val="center"/>
                  </w:tcPr>
                  <w:p w14:paraId="2C062FDA" w14:textId="77777777" w:rsidR="007E7472" w:rsidRDefault="00EC1269">
                    <w:pPr>
                      <w:jc w:val="center"/>
                      <w:rPr>
                        <w:rFonts w:asciiTheme="minorEastAsia" w:eastAsiaTheme="minorEastAsia" w:hAnsiTheme="minorEastAsia"/>
                      </w:rPr>
                    </w:pPr>
                    <w:r>
                      <w:rPr>
                        <w:rFonts w:asciiTheme="minorEastAsia" w:eastAsiaTheme="minorEastAsia" w:hAnsiTheme="minorEastAsia"/>
                      </w:rPr>
                      <w:t>第二阶段</w:t>
                    </w:r>
                  </w:p>
                </w:tc>
              </w:sdtContent>
            </w:sdt>
            <w:sdt>
              <w:sdtPr>
                <w:rPr>
                  <w:rFonts w:asciiTheme="minorEastAsia" w:eastAsiaTheme="minorEastAsia" w:hAnsiTheme="minorEastAsia"/>
                </w:rPr>
                <w:tag w:val="_PLD_a754bd1abe98492398b5c00c97a6f42c"/>
                <w:id w:val="1768730178"/>
                <w:lock w:val="sdtLocked"/>
              </w:sdtPr>
              <w:sdtEndPr/>
              <w:sdtContent>
                <w:tc>
                  <w:tcPr>
                    <w:tcW w:w="1097" w:type="pct"/>
                    <w:vAlign w:val="center"/>
                  </w:tcPr>
                  <w:p w14:paraId="04668B9A" w14:textId="77777777" w:rsidR="007E7472" w:rsidRDefault="00EC1269">
                    <w:pPr>
                      <w:jc w:val="center"/>
                      <w:rPr>
                        <w:rFonts w:asciiTheme="minorEastAsia" w:eastAsiaTheme="minorEastAsia" w:hAnsiTheme="minorEastAsia"/>
                      </w:rPr>
                    </w:pPr>
                    <w:r>
                      <w:rPr>
                        <w:rFonts w:asciiTheme="minorEastAsia" w:eastAsiaTheme="minorEastAsia" w:hAnsiTheme="minorEastAsia"/>
                      </w:rPr>
                      <w:t>第三阶段</w:t>
                    </w:r>
                  </w:p>
                </w:tc>
              </w:sdtContent>
            </w:sdt>
            <w:sdt>
              <w:sdtPr>
                <w:rPr>
                  <w:rFonts w:asciiTheme="minorEastAsia" w:eastAsiaTheme="minorEastAsia" w:hAnsiTheme="minorEastAsia"/>
                </w:rPr>
                <w:tag w:val="_PLD_23f4843cece44eacbfbcf493f51395f4"/>
                <w:id w:val="-1985384363"/>
                <w:lock w:val="sdtLocked"/>
              </w:sdtPr>
              <w:sdtEndPr/>
              <w:sdtContent>
                <w:tc>
                  <w:tcPr>
                    <w:tcW w:w="942" w:type="pct"/>
                    <w:vMerge w:val="restart"/>
                    <w:vAlign w:val="center"/>
                  </w:tcPr>
                  <w:p w14:paraId="6D063868" w14:textId="77777777" w:rsidR="007E7472" w:rsidRDefault="00EC1269">
                    <w:pPr>
                      <w:jc w:val="center"/>
                      <w:rPr>
                        <w:rFonts w:asciiTheme="minorEastAsia" w:eastAsiaTheme="minorEastAsia" w:hAnsiTheme="minorEastAsia"/>
                      </w:rPr>
                    </w:pPr>
                    <w:r>
                      <w:rPr>
                        <w:rFonts w:asciiTheme="minorEastAsia" w:eastAsiaTheme="minorEastAsia" w:hAnsiTheme="minorEastAsia"/>
                      </w:rPr>
                      <w:t>合计</w:t>
                    </w:r>
                  </w:p>
                </w:tc>
              </w:sdtContent>
            </w:sdt>
          </w:tr>
          <w:tr w:rsidR="007E7472" w14:paraId="31223A8D" w14:textId="77777777">
            <w:tc>
              <w:tcPr>
                <w:tcW w:w="1156" w:type="pct"/>
                <w:vMerge/>
                <w:vAlign w:val="center"/>
              </w:tcPr>
              <w:p w14:paraId="2AE43A31" w14:textId="77777777" w:rsidR="007E7472" w:rsidRDefault="00C8327E">
                <w:pPr>
                  <w:pStyle w:val="TableParagraph"/>
                  <w:spacing w:after="0" w:line="240" w:lineRule="auto"/>
                  <w:jc w:val="both"/>
                  <w:rPr>
                    <w:rFonts w:asciiTheme="minorEastAsia" w:eastAsiaTheme="minorEastAsia" w:hAnsiTheme="minorEastAsia" w:cs="宋体"/>
                    <w:sz w:val="21"/>
                    <w:szCs w:val="21"/>
                    <w:lang w:eastAsia="zh-CN"/>
                  </w:rPr>
                </w:pPr>
              </w:p>
            </w:tc>
            <w:sdt>
              <w:sdtPr>
                <w:rPr>
                  <w:rFonts w:asciiTheme="minorEastAsia" w:eastAsiaTheme="minorEastAsia" w:hAnsiTheme="minorEastAsia"/>
                </w:rPr>
                <w:tag w:val="_PLD_0aa7c2cede1449e0abbc75ce6ccb5122"/>
                <w:id w:val="-1202546465"/>
                <w:lock w:val="sdtLocked"/>
              </w:sdtPr>
              <w:sdtEndPr/>
              <w:sdtContent>
                <w:tc>
                  <w:tcPr>
                    <w:tcW w:w="862" w:type="pct"/>
                    <w:vAlign w:val="center"/>
                  </w:tcPr>
                  <w:p w14:paraId="109945AB" w14:textId="77777777" w:rsidR="007E7472" w:rsidRDefault="00EC1269">
                    <w:pPr>
                      <w:jc w:val="center"/>
                      <w:rPr>
                        <w:rFonts w:asciiTheme="minorEastAsia" w:eastAsiaTheme="minorEastAsia" w:hAnsiTheme="minorEastAsia"/>
                      </w:rPr>
                    </w:pPr>
                    <w:r>
                      <w:rPr>
                        <w:rFonts w:asciiTheme="minorEastAsia" w:eastAsiaTheme="minorEastAsia" w:hAnsiTheme="minorEastAsia"/>
                      </w:rPr>
                      <w:t>未来12个月预期信用损失</w:t>
                    </w:r>
                  </w:p>
                </w:tc>
              </w:sdtContent>
            </w:sdt>
            <w:sdt>
              <w:sdtPr>
                <w:rPr>
                  <w:rFonts w:asciiTheme="minorEastAsia" w:eastAsiaTheme="minorEastAsia" w:hAnsiTheme="minorEastAsia"/>
                </w:rPr>
                <w:tag w:val="_PLD_ac35bfd34bb64348af71d5e39e31efa9"/>
                <w:id w:val="274144143"/>
                <w:lock w:val="sdtLocked"/>
              </w:sdtPr>
              <w:sdtEndPr/>
              <w:sdtContent>
                <w:tc>
                  <w:tcPr>
                    <w:tcW w:w="943" w:type="pct"/>
                    <w:vAlign w:val="center"/>
                  </w:tcPr>
                  <w:p w14:paraId="631258C2" w14:textId="77777777" w:rsidR="007E7472" w:rsidRDefault="00EC1269">
                    <w:pPr>
                      <w:jc w:val="center"/>
                      <w:rPr>
                        <w:rFonts w:asciiTheme="minorEastAsia" w:eastAsiaTheme="minorEastAsia" w:hAnsiTheme="minorEastAsia"/>
                      </w:rPr>
                    </w:pPr>
                    <w:r>
                      <w:rPr>
                        <w:rFonts w:asciiTheme="minorEastAsia" w:eastAsiaTheme="minorEastAsia" w:hAnsiTheme="minorEastAsia"/>
                      </w:rPr>
                      <w:t>整个存续期预期信用损失(未发生信用减值)</w:t>
                    </w:r>
                  </w:p>
                </w:tc>
              </w:sdtContent>
            </w:sdt>
            <w:sdt>
              <w:sdtPr>
                <w:rPr>
                  <w:rFonts w:asciiTheme="minorEastAsia" w:eastAsiaTheme="minorEastAsia" w:hAnsiTheme="minorEastAsia"/>
                </w:rPr>
                <w:tag w:val="_PLD_a6de648cafb14afea0a52db889b45bef"/>
                <w:id w:val="2136669247"/>
                <w:lock w:val="sdtLocked"/>
              </w:sdtPr>
              <w:sdtEndPr/>
              <w:sdtContent>
                <w:tc>
                  <w:tcPr>
                    <w:tcW w:w="1097" w:type="pct"/>
                    <w:vAlign w:val="center"/>
                  </w:tcPr>
                  <w:p w14:paraId="51E3E7B0" w14:textId="77777777" w:rsidR="007E7472" w:rsidRDefault="00EC1269">
                    <w:pPr>
                      <w:jc w:val="center"/>
                      <w:rPr>
                        <w:rFonts w:asciiTheme="minorEastAsia" w:eastAsiaTheme="minorEastAsia" w:hAnsiTheme="minorEastAsia"/>
                      </w:rPr>
                    </w:pPr>
                    <w:r>
                      <w:rPr>
                        <w:rFonts w:asciiTheme="minorEastAsia" w:eastAsiaTheme="minorEastAsia" w:hAnsiTheme="minorEastAsia"/>
                      </w:rPr>
                      <w:t>整个存续期预期信用损失(已发生信用减值)</w:t>
                    </w:r>
                  </w:p>
                </w:tc>
              </w:sdtContent>
            </w:sdt>
            <w:tc>
              <w:tcPr>
                <w:tcW w:w="942" w:type="pct"/>
                <w:vMerge/>
              </w:tcPr>
              <w:p w14:paraId="2F3C2348" w14:textId="77777777" w:rsidR="007E7472" w:rsidRDefault="00C8327E">
                <w:pPr>
                  <w:jc w:val="center"/>
                  <w:rPr>
                    <w:rFonts w:asciiTheme="minorEastAsia" w:eastAsiaTheme="minorEastAsia" w:hAnsiTheme="minorEastAsia"/>
                  </w:rPr>
                </w:pPr>
              </w:p>
            </w:tc>
          </w:tr>
          <w:tr w:rsidR="007E7472" w14:paraId="2E7F2F46" w14:textId="77777777" w:rsidTr="007E7472">
            <w:trPr>
              <w:trHeight w:val="284"/>
            </w:trPr>
            <w:sdt>
              <w:sdtPr>
                <w:rPr>
                  <w:rFonts w:asciiTheme="minorEastAsia" w:eastAsiaTheme="minorEastAsia" w:hAnsiTheme="minorEastAsia"/>
                  <w:sz w:val="21"/>
                  <w:szCs w:val="21"/>
                </w:rPr>
                <w:tag w:val="_PLD_b230a46cbf60446eb4dfe2c0b000d751"/>
                <w:id w:val="1876430473"/>
                <w:lock w:val="sdtLocked"/>
              </w:sdtPr>
              <w:sdtEndPr/>
              <w:sdtContent>
                <w:tc>
                  <w:tcPr>
                    <w:tcW w:w="1156" w:type="pct"/>
                    <w:vAlign w:val="center"/>
                  </w:tcPr>
                  <w:p w14:paraId="092D124F" w14:textId="77777777" w:rsidR="007E7472" w:rsidRDefault="00EC1269">
                    <w:pPr>
                      <w:pStyle w:val="TableParagraph"/>
                      <w:spacing w:after="0" w:line="240" w:lineRule="auto"/>
                      <w:jc w:val="both"/>
                      <w:rPr>
                        <w:rFonts w:asciiTheme="minorEastAsia" w:eastAsiaTheme="minorEastAsia" w:hAnsiTheme="minorEastAsia" w:cs="宋体"/>
                        <w:sz w:val="21"/>
                        <w:szCs w:val="21"/>
                        <w:lang w:eastAsia="zh-CN"/>
                      </w:rPr>
                    </w:pPr>
                    <w:r>
                      <w:rPr>
                        <w:rFonts w:asciiTheme="minorEastAsia" w:eastAsiaTheme="minorEastAsia" w:hAnsiTheme="minorEastAsia" w:cs="宋体"/>
                        <w:sz w:val="21"/>
                        <w:szCs w:val="21"/>
                        <w:lang w:eastAsia="zh-CN"/>
                      </w:rPr>
                      <w:t>2023年</w:t>
                    </w:r>
                    <w:r>
                      <w:rPr>
                        <w:rFonts w:asciiTheme="minorEastAsia" w:eastAsiaTheme="minorEastAsia" w:hAnsiTheme="minorEastAsia" w:cs="宋体" w:hint="eastAsia"/>
                        <w:sz w:val="21"/>
                        <w:szCs w:val="21"/>
                        <w:lang w:eastAsia="zh-CN"/>
                      </w:rPr>
                      <w:t>1月1日余额</w:t>
                    </w:r>
                  </w:p>
                </w:tc>
              </w:sdtContent>
            </w:sdt>
            <w:tc>
              <w:tcPr>
                <w:tcW w:w="862" w:type="pct"/>
                <w:vAlign w:val="center"/>
              </w:tcPr>
              <w:p w14:paraId="2124276F" w14:textId="77777777" w:rsidR="007E7472" w:rsidRDefault="00EC1269">
                <w:pPr>
                  <w:jc w:val="right"/>
                  <w:rPr>
                    <w:rFonts w:asciiTheme="minorEastAsia" w:eastAsiaTheme="minorEastAsia" w:hAnsiTheme="minorEastAsia"/>
                    <w:bCs/>
                  </w:rPr>
                </w:pPr>
                <w:r>
                  <w:rPr>
                    <w:rFonts w:asciiTheme="minorEastAsia" w:eastAsiaTheme="minorEastAsia" w:hAnsiTheme="minorEastAsia"/>
                  </w:rPr>
                  <w:t>47,534</w:t>
                </w:r>
              </w:p>
            </w:tc>
            <w:tc>
              <w:tcPr>
                <w:tcW w:w="943" w:type="pct"/>
                <w:vAlign w:val="center"/>
              </w:tcPr>
              <w:p w14:paraId="030992C9" w14:textId="77777777" w:rsidR="007E7472" w:rsidRDefault="00C8327E">
                <w:pPr>
                  <w:jc w:val="right"/>
                  <w:rPr>
                    <w:rFonts w:asciiTheme="minorEastAsia" w:eastAsiaTheme="minorEastAsia" w:hAnsiTheme="minorEastAsia"/>
                  </w:rPr>
                </w:pPr>
              </w:p>
            </w:tc>
            <w:tc>
              <w:tcPr>
                <w:tcW w:w="1097" w:type="pct"/>
                <w:vAlign w:val="center"/>
              </w:tcPr>
              <w:p w14:paraId="2150EB1C" w14:textId="77777777" w:rsidR="007E7472" w:rsidRDefault="00EC1269">
                <w:pPr>
                  <w:jc w:val="right"/>
                  <w:rPr>
                    <w:rFonts w:asciiTheme="minorEastAsia" w:eastAsiaTheme="minorEastAsia" w:hAnsiTheme="minorEastAsia"/>
                  </w:rPr>
                </w:pPr>
                <w:r>
                  <w:rPr>
                    <w:rFonts w:asciiTheme="minorEastAsia" w:eastAsiaTheme="minorEastAsia" w:hAnsiTheme="minorEastAsia"/>
                  </w:rPr>
                  <w:t>118,495</w:t>
                </w:r>
              </w:p>
            </w:tc>
            <w:tc>
              <w:tcPr>
                <w:tcW w:w="942" w:type="pct"/>
                <w:vAlign w:val="center"/>
              </w:tcPr>
              <w:p w14:paraId="38584C98" w14:textId="77777777" w:rsidR="007E7472" w:rsidRDefault="00EC1269">
                <w:pPr>
                  <w:jc w:val="right"/>
                  <w:rPr>
                    <w:rFonts w:asciiTheme="minorEastAsia" w:eastAsiaTheme="minorEastAsia" w:hAnsiTheme="minorEastAsia"/>
                  </w:rPr>
                </w:pPr>
                <w:r>
                  <w:rPr>
                    <w:rFonts w:asciiTheme="minorEastAsia" w:eastAsiaTheme="minorEastAsia" w:hAnsiTheme="minorEastAsia"/>
                  </w:rPr>
                  <w:t>166,029</w:t>
                </w:r>
              </w:p>
            </w:tc>
          </w:tr>
          <w:tr w:rsidR="007E7472" w14:paraId="4DBD124A" w14:textId="77777777" w:rsidTr="007E7472">
            <w:trPr>
              <w:trHeight w:val="284"/>
            </w:trPr>
            <w:sdt>
              <w:sdtPr>
                <w:rPr>
                  <w:rFonts w:asciiTheme="minorEastAsia" w:eastAsiaTheme="minorEastAsia" w:hAnsiTheme="minorEastAsia"/>
                  <w:sz w:val="21"/>
                  <w:szCs w:val="21"/>
                </w:rPr>
                <w:tag w:val="_PLD_f2f4f1b9b1744ac0988cc3ac81ace38e"/>
                <w:id w:val="-134415975"/>
                <w:lock w:val="sdtLocked"/>
              </w:sdtPr>
              <w:sdtEndPr/>
              <w:sdtContent>
                <w:tc>
                  <w:tcPr>
                    <w:tcW w:w="1156" w:type="pct"/>
                    <w:vAlign w:val="center"/>
                  </w:tcPr>
                  <w:p w14:paraId="604551EA" w14:textId="77777777" w:rsidR="007E7472" w:rsidRDefault="00EC1269">
                    <w:pPr>
                      <w:pStyle w:val="TableParagraph"/>
                      <w:spacing w:after="0" w:line="240" w:lineRule="auto"/>
                      <w:jc w:val="both"/>
                      <w:rPr>
                        <w:rFonts w:asciiTheme="minorEastAsia" w:eastAsiaTheme="minorEastAsia" w:hAnsiTheme="minorEastAsia" w:cs="宋体"/>
                        <w:sz w:val="21"/>
                        <w:szCs w:val="21"/>
                        <w:lang w:eastAsia="zh-CN"/>
                      </w:rPr>
                    </w:pPr>
                    <w:r>
                      <w:rPr>
                        <w:rFonts w:asciiTheme="minorEastAsia" w:eastAsiaTheme="minorEastAsia" w:hAnsiTheme="minorEastAsia" w:cs="宋体" w:hint="eastAsia"/>
                        <w:sz w:val="21"/>
                        <w:szCs w:val="21"/>
                        <w:lang w:eastAsia="zh-CN"/>
                      </w:rPr>
                      <w:t>本期计提</w:t>
                    </w:r>
                  </w:p>
                </w:tc>
              </w:sdtContent>
            </w:sdt>
            <w:tc>
              <w:tcPr>
                <w:tcW w:w="862" w:type="pct"/>
                <w:vAlign w:val="center"/>
              </w:tcPr>
              <w:p w14:paraId="5E6474C5" w14:textId="77777777" w:rsidR="007E7472" w:rsidRDefault="00EC1269">
                <w:pPr>
                  <w:jc w:val="right"/>
                  <w:rPr>
                    <w:rFonts w:asciiTheme="minorEastAsia" w:eastAsiaTheme="minorEastAsia" w:hAnsiTheme="minorEastAsia"/>
                  </w:rPr>
                </w:pPr>
                <w:r>
                  <w:rPr>
                    <w:rFonts w:asciiTheme="minorEastAsia" w:eastAsiaTheme="minorEastAsia" w:hAnsiTheme="minorEastAsia"/>
                  </w:rPr>
                  <w:t>15,550</w:t>
                </w:r>
              </w:p>
            </w:tc>
            <w:tc>
              <w:tcPr>
                <w:tcW w:w="943" w:type="pct"/>
                <w:vAlign w:val="center"/>
              </w:tcPr>
              <w:p w14:paraId="4EE07F95" w14:textId="77777777" w:rsidR="007E7472" w:rsidRDefault="00C8327E">
                <w:pPr>
                  <w:jc w:val="right"/>
                  <w:rPr>
                    <w:rFonts w:asciiTheme="minorEastAsia" w:eastAsiaTheme="minorEastAsia" w:hAnsiTheme="minorEastAsia"/>
                  </w:rPr>
                </w:pPr>
              </w:p>
            </w:tc>
            <w:tc>
              <w:tcPr>
                <w:tcW w:w="1097" w:type="pct"/>
                <w:vAlign w:val="center"/>
              </w:tcPr>
              <w:p w14:paraId="158B650D" w14:textId="77777777" w:rsidR="007E7472" w:rsidRDefault="00C8327E">
                <w:pPr>
                  <w:jc w:val="right"/>
                  <w:rPr>
                    <w:rFonts w:asciiTheme="minorEastAsia" w:eastAsiaTheme="minorEastAsia" w:hAnsiTheme="minorEastAsia"/>
                  </w:rPr>
                </w:pPr>
              </w:p>
            </w:tc>
            <w:tc>
              <w:tcPr>
                <w:tcW w:w="942" w:type="pct"/>
                <w:vAlign w:val="center"/>
              </w:tcPr>
              <w:p w14:paraId="1FB0691C" w14:textId="77777777" w:rsidR="007E7472" w:rsidRDefault="00EC1269">
                <w:pPr>
                  <w:jc w:val="right"/>
                  <w:rPr>
                    <w:rFonts w:asciiTheme="minorEastAsia" w:eastAsiaTheme="minorEastAsia" w:hAnsiTheme="minorEastAsia"/>
                  </w:rPr>
                </w:pPr>
                <w:r>
                  <w:rPr>
                    <w:rFonts w:asciiTheme="minorEastAsia" w:eastAsiaTheme="minorEastAsia" w:hAnsiTheme="minorEastAsia"/>
                  </w:rPr>
                  <w:t>15,550</w:t>
                </w:r>
              </w:p>
            </w:tc>
          </w:tr>
          <w:tr w:rsidR="007E7472" w14:paraId="36728237" w14:textId="77777777" w:rsidTr="007E7472">
            <w:trPr>
              <w:trHeight w:val="284"/>
            </w:trPr>
            <w:tc>
              <w:tcPr>
                <w:tcW w:w="1156" w:type="pct"/>
                <w:vAlign w:val="center"/>
              </w:tcPr>
              <w:sdt>
                <w:sdtPr>
                  <w:rPr>
                    <w:rFonts w:asciiTheme="minorEastAsia" w:eastAsiaTheme="minorEastAsia" w:hAnsiTheme="minorEastAsia" w:hint="eastAsia"/>
                    <w:sz w:val="21"/>
                    <w:szCs w:val="21"/>
                    <w:lang w:eastAsia="zh-CN"/>
                  </w:rPr>
                  <w:tag w:val="_PLD_e2387077844b4460b8e43f4c1bfef43e"/>
                  <w:id w:val="-737931876"/>
                  <w:lock w:val="sdtLocked"/>
                </w:sdtPr>
                <w:sdtEndPr/>
                <w:sdtContent>
                  <w:p w14:paraId="697386C8" w14:textId="77777777" w:rsidR="007E7472" w:rsidRDefault="00EC1269">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本期转回</w:t>
                    </w:r>
                  </w:p>
                </w:sdtContent>
              </w:sdt>
            </w:tc>
            <w:tc>
              <w:tcPr>
                <w:tcW w:w="862" w:type="pct"/>
                <w:vAlign w:val="center"/>
              </w:tcPr>
              <w:p w14:paraId="1006A810" w14:textId="77777777" w:rsidR="007E7472" w:rsidRDefault="00C8327E">
                <w:pPr>
                  <w:jc w:val="right"/>
                  <w:rPr>
                    <w:rFonts w:asciiTheme="minorEastAsia" w:eastAsiaTheme="minorEastAsia" w:hAnsiTheme="minorEastAsia"/>
                  </w:rPr>
                </w:pPr>
              </w:p>
            </w:tc>
            <w:tc>
              <w:tcPr>
                <w:tcW w:w="943" w:type="pct"/>
                <w:vAlign w:val="center"/>
              </w:tcPr>
              <w:p w14:paraId="6A6A1586" w14:textId="77777777" w:rsidR="007E7472" w:rsidRDefault="00C8327E">
                <w:pPr>
                  <w:jc w:val="right"/>
                  <w:rPr>
                    <w:rFonts w:asciiTheme="minorEastAsia" w:eastAsiaTheme="minorEastAsia" w:hAnsiTheme="minorEastAsia"/>
                  </w:rPr>
                </w:pPr>
              </w:p>
            </w:tc>
            <w:tc>
              <w:tcPr>
                <w:tcW w:w="1097" w:type="pct"/>
                <w:vAlign w:val="center"/>
              </w:tcPr>
              <w:p w14:paraId="02C899DD" w14:textId="77777777" w:rsidR="007E7472" w:rsidRDefault="00C8327E">
                <w:pPr>
                  <w:jc w:val="right"/>
                  <w:rPr>
                    <w:rFonts w:asciiTheme="minorEastAsia" w:eastAsiaTheme="minorEastAsia" w:hAnsiTheme="minorEastAsia"/>
                  </w:rPr>
                </w:pPr>
              </w:p>
            </w:tc>
            <w:tc>
              <w:tcPr>
                <w:tcW w:w="942" w:type="pct"/>
                <w:vAlign w:val="center"/>
              </w:tcPr>
              <w:p w14:paraId="64C36124" w14:textId="77777777" w:rsidR="007E7472" w:rsidRDefault="00C8327E">
                <w:pPr>
                  <w:jc w:val="right"/>
                  <w:rPr>
                    <w:rFonts w:asciiTheme="minorEastAsia" w:eastAsiaTheme="minorEastAsia" w:hAnsiTheme="minorEastAsia"/>
                  </w:rPr>
                </w:pPr>
              </w:p>
            </w:tc>
          </w:tr>
          <w:tr w:rsidR="007E7472" w14:paraId="5C385B72" w14:textId="77777777" w:rsidTr="007E7472">
            <w:trPr>
              <w:trHeight w:val="284"/>
            </w:trPr>
            <w:sdt>
              <w:sdtPr>
                <w:rPr>
                  <w:rFonts w:asciiTheme="minorEastAsia" w:eastAsiaTheme="minorEastAsia" w:hAnsiTheme="minorEastAsia"/>
                  <w:sz w:val="21"/>
                  <w:szCs w:val="21"/>
                </w:rPr>
                <w:tag w:val="_PLD_aa19890b26f443ed9e213e6f29b85d71"/>
                <w:id w:val="1963541120"/>
                <w:lock w:val="sdtLocked"/>
              </w:sdtPr>
              <w:sdtEndPr/>
              <w:sdtContent>
                <w:tc>
                  <w:tcPr>
                    <w:tcW w:w="1156" w:type="pct"/>
                    <w:vAlign w:val="center"/>
                  </w:tcPr>
                  <w:p w14:paraId="61FA442E" w14:textId="77777777" w:rsidR="007E7472" w:rsidRDefault="00EC1269">
                    <w:pPr>
                      <w:pStyle w:val="TableParagraph"/>
                      <w:spacing w:after="0" w:line="240" w:lineRule="auto"/>
                      <w:jc w:val="both"/>
                      <w:rPr>
                        <w:rFonts w:asciiTheme="minorEastAsia" w:eastAsiaTheme="minorEastAsia" w:hAnsiTheme="minorEastAsia" w:cs="宋体"/>
                        <w:sz w:val="21"/>
                        <w:szCs w:val="21"/>
                        <w:lang w:eastAsia="zh-CN"/>
                      </w:rPr>
                    </w:pPr>
                    <w:r>
                      <w:rPr>
                        <w:rFonts w:asciiTheme="minorEastAsia" w:eastAsiaTheme="minorEastAsia" w:hAnsiTheme="minorEastAsia" w:cs="宋体" w:hint="eastAsia"/>
                        <w:sz w:val="21"/>
                        <w:szCs w:val="21"/>
                        <w:lang w:eastAsia="zh-CN"/>
                      </w:rPr>
                      <w:t>本期转销</w:t>
                    </w:r>
                  </w:p>
                </w:tc>
              </w:sdtContent>
            </w:sdt>
            <w:tc>
              <w:tcPr>
                <w:tcW w:w="862" w:type="pct"/>
                <w:vAlign w:val="center"/>
              </w:tcPr>
              <w:p w14:paraId="59168E7F" w14:textId="77777777" w:rsidR="007E7472" w:rsidRDefault="00C8327E">
                <w:pPr>
                  <w:jc w:val="right"/>
                  <w:rPr>
                    <w:rFonts w:asciiTheme="minorEastAsia" w:eastAsiaTheme="minorEastAsia" w:hAnsiTheme="minorEastAsia"/>
                  </w:rPr>
                </w:pPr>
              </w:p>
            </w:tc>
            <w:tc>
              <w:tcPr>
                <w:tcW w:w="943" w:type="pct"/>
                <w:vAlign w:val="center"/>
              </w:tcPr>
              <w:p w14:paraId="51658CA8" w14:textId="77777777" w:rsidR="007E7472" w:rsidRDefault="00C8327E">
                <w:pPr>
                  <w:jc w:val="right"/>
                  <w:rPr>
                    <w:rFonts w:asciiTheme="minorEastAsia" w:eastAsiaTheme="minorEastAsia" w:hAnsiTheme="minorEastAsia"/>
                  </w:rPr>
                </w:pPr>
              </w:p>
            </w:tc>
            <w:tc>
              <w:tcPr>
                <w:tcW w:w="1097" w:type="pct"/>
                <w:vAlign w:val="center"/>
              </w:tcPr>
              <w:p w14:paraId="3FD1DFCC" w14:textId="77777777" w:rsidR="007E7472" w:rsidRDefault="00C8327E">
                <w:pPr>
                  <w:jc w:val="right"/>
                  <w:rPr>
                    <w:rFonts w:asciiTheme="minorEastAsia" w:eastAsiaTheme="minorEastAsia" w:hAnsiTheme="minorEastAsia"/>
                  </w:rPr>
                </w:pPr>
              </w:p>
            </w:tc>
            <w:tc>
              <w:tcPr>
                <w:tcW w:w="942" w:type="pct"/>
                <w:vAlign w:val="center"/>
              </w:tcPr>
              <w:p w14:paraId="71837BFC" w14:textId="77777777" w:rsidR="007E7472" w:rsidRDefault="00C8327E">
                <w:pPr>
                  <w:jc w:val="right"/>
                  <w:rPr>
                    <w:rFonts w:asciiTheme="minorEastAsia" w:eastAsiaTheme="minorEastAsia" w:hAnsiTheme="minorEastAsia"/>
                  </w:rPr>
                </w:pPr>
              </w:p>
            </w:tc>
          </w:tr>
          <w:tr w:rsidR="007E7472" w14:paraId="28B56D5E" w14:textId="77777777" w:rsidTr="007E7472">
            <w:trPr>
              <w:trHeight w:val="284"/>
            </w:trPr>
            <w:tc>
              <w:tcPr>
                <w:tcW w:w="1156" w:type="pct"/>
                <w:vAlign w:val="center"/>
              </w:tcPr>
              <w:sdt>
                <w:sdtPr>
                  <w:rPr>
                    <w:rFonts w:asciiTheme="minorEastAsia" w:eastAsiaTheme="minorEastAsia" w:hAnsiTheme="minorEastAsia" w:hint="eastAsia"/>
                    <w:sz w:val="21"/>
                    <w:szCs w:val="21"/>
                    <w:lang w:eastAsia="zh-CN"/>
                  </w:rPr>
                  <w:tag w:val="_PLD_4505add4f90d480c9e310bf0a1e87ff7"/>
                  <w:id w:val="1877427140"/>
                  <w:lock w:val="sdtLocked"/>
                </w:sdtPr>
                <w:sdtEndPr/>
                <w:sdtContent>
                  <w:p w14:paraId="791909A4" w14:textId="77777777" w:rsidR="007E7472" w:rsidRDefault="00EC1269">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本期核销</w:t>
                    </w:r>
                  </w:p>
                </w:sdtContent>
              </w:sdt>
            </w:tc>
            <w:tc>
              <w:tcPr>
                <w:tcW w:w="862" w:type="pct"/>
                <w:vAlign w:val="center"/>
              </w:tcPr>
              <w:p w14:paraId="5093C1A0" w14:textId="77777777" w:rsidR="007E7472" w:rsidRDefault="00C8327E">
                <w:pPr>
                  <w:jc w:val="right"/>
                  <w:rPr>
                    <w:rFonts w:asciiTheme="minorEastAsia" w:eastAsiaTheme="minorEastAsia" w:hAnsiTheme="minorEastAsia"/>
                  </w:rPr>
                </w:pPr>
              </w:p>
            </w:tc>
            <w:tc>
              <w:tcPr>
                <w:tcW w:w="943" w:type="pct"/>
                <w:vAlign w:val="center"/>
              </w:tcPr>
              <w:p w14:paraId="4F780A70" w14:textId="77777777" w:rsidR="007E7472" w:rsidRDefault="00C8327E">
                <w:pPr>
                  <w:jc w:val="right"/>
                  <w:rPr>
                    <w:rFonts w:asciiTheme="minorEastAsia" w:eastAsiaTheme="minorEastAsia" w:hAnsiTheme="minorEastAsia"/>
                  </w:rPr>
                </w:pPr>
              </w:p>
            </w:tc>
            <w:tc>
              <w:tcPr>
                <w:tcW w:w="1097" w:type="pct"/>
                <w:vAlign w:val="center"/>
              </w:tcPr>
              <w:p w14:paraId="4B35596E" w14:textId="77777777" w:rsidR="007E7472" w:rsidRDefault="00EC1269">
                <w:pPr>
                  <w:jc w:val="right"/>
                  <w:rPr>
                    <w:rFonts w:asciiTheme="minorEastAsia" w:eastAsiaTheme="minorEastAsia" w:hAnsiTheme="minorEastAsia"/>
                    <w:bCs/>
                  </w:rPr>
                </w:pPr>
                <w:r>
                  <w:rPr>
                    <w:rFonts w:asciiTheme="minorEastAsia" w:eastAsiaTheme="minorEastAsia" w:hAnsiTheme="minorEastAsia"/>
                  </w:rPr>
                  <w:t>76,30</w:t>
                </w:r>
                <w:r>
                  <w:rPr>
                    <w:rFonts w:asciiTheme="minorEastAsia" w:eastAsiaTheme="minorEastAsia" w:hAnsiTheme="minorEastAsia" w:hint="eastAsia"/>
                  </w:rPr>
                  <w:t>7</w:t>
                </w:r>
              </w:p>
            </w:tc>
            <w:tc>
              <w:tcPr>
                <w:tcW w:w="942" w:type="pct"/>
                <w:vAlign w:val="center"/>
              </w:tcPr>
              <w:p w14:paraId="58B4BCA2" w14:textId="77777777" w:rsidR="007E7472" w:rsidRDefault="00EC1269">
                <w:pPr>
                  <w:jc w:val="right"/>
                  <w:rPr>
                    <w:rFonts w:asciiTheme="minorEastAsia" w:eastAsiaTheme="minorEastAsia" w:hAnsiTheme="minorEastAsia"/>
                  </w:rPr>
                </w:pPr>
                <w:r>
                  <w:rPr>
                    <w:rFonts w:asciiTheme="minorEastAsia" w:eastAsiaTheme="minorEastAsia" w:hAnsiTheme="minorEastAsia"/>
                  </w:rPr>
                  <w:t>76,30</w:t>
                </w:r>
                <w:r>
                  <w:rPr>
                    <w:rFonts w:asciiTheme="minorEastAsia" w:eastAsiaTheme="minorEastAsia" w:hAnsiTheme="minorEastAsia" w:hint="eastAsia"/>
                  </w:rPr>
                  <w:t>7</w:t>
                </w:r>
              </w:p>
            </w:tc>
          </w:tr>
          <w:tr w:rsidR="007E7472" w14:paraId="658A36EB" w14:textId="77777777" w:rsidTr="007E7472">
            <w:trPr>
              <w:trHeight w:val="284"/>
            </w:trPr>
            <w:sdt>
              <w:sdtPr>
                <w:rPr>
                  <w:rFonts w:asciiTheme="minorEastAsia" w:eastAsiaTheme="minorEastAsia" w:hAnsiTheme="minorEastAsia"/>
                  <w:sz w:val="21"/>
                  <w:szCs w:val="21"/>
                </w:rPr>
                <w:tag w:val="_PLD_93cb3f645f9f45558eed3ae8afc2f5e9"/>
                <w:id w:val="151657140"/>
                <w:lock w:val="sdtLocked"/>
              </w:sdtPr>
              <w:sdtEndPr/>
              <w:sdtContent>
                <w:tc>
                  <w:tcPr>
                    <w:tcW w:w="1156" w:type="pct"/>
                    <w:vAlign w:val="center"/>
                  </w:tcPr>
                  <w:p w14:paraId="533172CF" w14:textId="77777777" w:rsidR="007E7472" w:rsidRDefault="00EC1269">
                    <w:pPr>
                      <w:pStyle w:val="TableParagraph"/>
                      <w:spacing w:after="0" w:line="240" w:lineRule="auto"/>
                      <w:jc w:val="both"/>
                      <w:rPr>
                        <w:rFonts w:asciiTheme="minorEastAsia" w:eastAsiaTheme="minorEastAsia" w:hAnsiTheme="minorEastAsia" w:cs="宋体"/>
                        <w:sz w:val="21"/>
                        <w:szCs w:val="21"/>
                        <w:lang w:eastAsia="zh-CN"/>
                      </w:rPr>
                    </w:pPr>
                    <w:r>
                      <w:rPr>
                        <w:rFonts w:asciiTheme="minorEastAsia" w:eastAsiaTheme="minorEastAsia" w:hAnsiTheme="minorEastAsia" w:cs="宋体" w:hint="eastAsia"/>
                        <w:sz w:val="21"/>
                        <w:szCs w:val="21"/>
                        <w:lang w:eastAsia="zh-CN"/>
                      </w:rPr>
                      <w:t>其他变动</w:t>
                    </w:r>
                  </w:p>
                </w:tc>
              </w:sdtContent>
            </w:sdt>
            <w:tc>
              <w:tcPr>
                <w:tcW w:w="862" w:type="pct"/>
                <w:vAlign w:val="center"/>
              </w:tcPr>
              <w:p w14:paraId="2B0E49DD" w14:textId="77777777" w:rsidR="007E7472" w:rsidRDefault="00EC1269">
                <w:pPr>
                  <w:jc w:val="right"/>
                  <w:rPr>
                    <w:rFonts w:asciiTheme="minorEastAsia" w:eastAsiaTheme="minorEastAsia" w:hAnsiTheme="minorEastAsia"/>
                  </w:rPr>
                </w:pPr>
                <w:r>
                  <w:rPr>
                    <w:rFonts w:asciiTheme="minorEastAsia" w:eastAsiaTheme="minorEastAsia" w:hAnsiTheme="minorEastAsia"/>
                  </w:rPr>
                  <w:t>-10,709</w:t>
                </w:r>
              </w:p>
            </w:tc>
            <w:tc>
              <w:tcPr>
                <w:tcW w:w="943" w:type="pct"/>
                <w:vAlign w:val="center"/>
              </w:tcPr>
              <w:p w14:paraId="5E3474E1" w14:textId="77777777" w:rsidR="007E7472" w:rsidRDefault="00C8327E">
                <w:pPr>
                  <w:jc w:val="right"/>
                  <w:rPr>
                    <w:rFonts w:asciiTheme="minorEastAsia" w:eastAsiaTheme="minorEastAsia" w:hAnsiTheme="minorEastAsia"/>
                  </w:rPr>
                </w:pPr>
              </w:p>
            </w:tc>
            <w:tc>
              <w:tcPr>
                <w:tcW w:w="1097" w:type="pct"/>
                <w:vAlign w:val="center"/>
              </w:tcPr>
              <w:p w14:paraId="1D74D486" w14:textId="77777777" w:rsidR="007E7472" w:rsidRDefault="00C8327E">
                <w:pPr>
                  <w:jc w:val="right"/>
                  <w:rPr>
                    <w:rFonts w:asciiTheme="minorEastAsia" w:eastAsiaTheme="minorEastAsia" w:hAnsiTheme="minorEastAsia"/>
                  </w:rPr>
                </w:pPr>
              </w:p>
            </w:tc>
            <w:tc>
              <w:tcPr>
                <w:tcW w:w="942" w:type="pct"/>
                <w:vAlign w:val="center"/>
              </w:tcPr>
              <w:p w14:paraId="2609EB07" w14:textId="77777777" w:rsidR="007E7472" w:rsidRDefault="00EC1269">
                <w:pPr>
                  <w:jc w:val="right"/>
                  <w:rPr>
                    <w:rFonts w:asciiTheme="minorEastAsia" w:eastAsiaTheme="minorEastAsia" w:hAnsiTheme="minorEastAsia"/>
                  </w:rPr>
                </w:pPr>
                <w:r>
                  <w:rPr>
                    <w:rFonts w:asciiTheme="minorEastAsia" w:eastAsiaTheme="minorEastAsia" w:hAnsiTheme="minorEastAsia"/>
                  </w:rPr>
                  <w:t>-10,709</w:t>
                </w:r>
              </w:p>
            </w:tc>
          </w:tr>
          <w:tr w:rsidR="007E7472" w14:paraId="06698D71" w14:textId="77777777" w:rsidTr="007E7472">
            <w:trPr>
              <w:trHeight w:val="284"/>
            </w:trPr>
            <w:sdt>
              <w:sdtPr>
                <w:rPr>
                  <w:rFonts w:asciiTheme="minorEastAsia" w:eastAsiaTheme="minorEastAsia" w:hAnsiTheme="minorEastAsia"/>
                  <w:sz w:val="21"/>
                  <w:szCs w:val="21"/>
                </w:rPr>
                <w:tag w:val="_PLD_6026bcc031c2492189bd9398709c587d"/>
                <w:id w:val="-1511051084"/>
                <w:lock w:val="sdtLocked"/>
              </w:sdtPr>
              <w:sdtEndPr/>
              <w:sdtContent>
                <w:tc>
                  <w:tcPr>
                    <w:tcW w:w="1156" w:type="pct"/>
                    <w:vAlign w:val="center"/>
                  </w:tcPr>
                  <w:p w14:paraId="0269CB3D" w14:textId="77777777" w:rsidR="007E7472" w:rsidRDefault="00EC1269">
                    <w:pPr>
                      <w:pStyle w:val="TableParagraph"/>
                      <w:spacing w:after="0" w:line="240" w:lineRule="auto"/>
                      <w:rPr>
                        <w:rFonts w:asciiTheme="minorEastAsia" w:eastAsiaTheme="minorEastAsia" w:hAnsiTheme="minorEastAsia" w:cs="宋体"/>
                        <w:sz w:val="21"/>
                        <w:szCs w:val="21"/>
                        <w:lang w:eastAsia="zh-CN"/>
                      </w:rPr>
                    </w:pPr>
                    <w:r>
                      <w:rPr>
                        <w:rFonts w:asciiTheme="minorEastAsia" w:eastAsiaTheme="minorEastAsia" w:hAnsiTheme="minorEastAsia" w:cs="宋体"/>
                        <w:sz w:val="21"/>
                        <w:szCs w:val="21"/>
                        <w:lang w:eastAsia="zh-CN"/>
                      </w:rPr>
                      <w:t>2023年6月30日</w:t>
                    </w:r>
                    <w:r>
                      <w:rPr>
                        <w:rFonts w:asciiTheme="minorEastAsia" w:eastAsiaTheme="minorEastAsia" w:hAnsiTheme="minorEastAsia" w:cs="宋体" w:hint="eastAsia"/>
                        <w:sz w:val="21"/>
                        <w:szCs w:val="21"/>
                        <w:lang w:eastAsia="zh-CN"/>
                      </w:rPr>
                      <w:t>余额</w:t>
                    </w:r>
                  </w:p>
                </w:tc>
              </w:sdtContent>
            </w:sdt>
            <w:tc>
              <w:tcPr>
                <w:tcW w:w="862" w:type="pct"/>
                <w:vAlign w:val="center"/>
              </w:tcPr>
              <w:p w14:paraId="2FA68BEC" w14:textId="77777777" w:rsidR="007E7472" w:rsidRDefault="00EC1269">
                <w:pPr>
                  <w:jc w:val="right"/>
                  <w:rPr>
                    <w:rFonts w:asciiTheme="minorEastAsia" w:eastAsiaTheme="minorEastAsia" w:hAnsiTheme="minorEastAsia"/>
                    <w:bCs/>
                  </w:rPr>
                </w:pPr>
                <w:r>
                  <w:rPr>
                    <w:rFonts w:asciiTheme="minorEastAsia" w:eastAsiaTheme="minorEastAsia" w:hAnsiTheme="minorEastAsia"/>
                  </w:rPr>
                  <w:t>73,793</w:t>
                </w:r>
              </w:p>
            </w:tc>
            <w:tc>
              <w:tcPr>
                <w:tcW w:w="943" w:type="pct"/>
                <w:vAlign w:val="center"/>
              </w:tcPr>
              <w:p w14:paraId="2352AF62" w14:textId="77777777" w:rsidR="007E7472" w:rsidRDefault="00C8327E">
                <w:pPr>
                  <w:jc w:val="right"/>
                  <w:rPr>
                    <w:rFonts w:asciiTheme="minorEastAsia" w:eastAsiaTheme="minorEastAsia" w:hAnsiTheme="minorEastAsia"/>
                  </w:rPr>
                </w:pPr>
              </w:p>
            </w:tc>
            <w:tc>
              <w:tcPr>
                <w:tcW w:w="1097" w:type="pct"/>
                <w:vAlign w:val="center"/>
              </w:tcPr>
              <w:p w14:paraId="361F1A7E" w14:textId="77777777" w:rsidR="007E7472" w:rsidRDefault="00EC1269">
                <w:pPr>
                  <w:jc w:val="right"/>
                  <w:rPr>
                    <w:rFonts w:asciiTheme="minorEastAsia" w:eastAsiaTheme="minorEastAsia" w:hAnsiTheme="minorEastAsia"/>
                  </w:rPr>
                </w:pPr>
                <w:r>
                  <w:rPr>
                    <w:rFonts w:asciiTheme="minorEastAsia" w:eastAsiaTheme="minorEastAsia" w:hAnsiTheme="minorEastAsia"/>
                  </w:rPr>
                  <w:t>42,18</w:t>
                </w:r>
                <w:r>
                  <w:rPr>
                    <w:rFonts w:asciiTheme="minorEastAsia" w:eastAsiaTheme="minorEastAsia" w:hAnsiTheme="minorEastAsia" w:hint="eastAsia"/>
                  </w:rPr>
                  <w:t>8</w:t>
                </w:r>
              </w:p>
            </w:tc>
            <w:tc>
              <w:tcPr>
                <w:tcW w:w="942" w:type="pct"/>
                <w:vAlign w:val="center"/>
              </w:tcPr>
              <w:p w14:paraId="62483015" w14:textId="77777777" w:rsidR="007E7472" w:rsidRDefault="00EC1269">
                <w:pPr>
                  <w:jc w:val="right"/>
                  <w:rPr>
                    <w:rFonts w:asciiTheme="minorEastAsia" w:eastAsiaTheme="minorEastAsia" w:hAnsiTheme="minorEastAsia"/>
                  </w:rPr>
                </w:pPr>
                <w:r>
                  <w:rPr>
                    <w:rFonts w:asciiTheme="minorEastAsia" w:eastAsiaTheme="minorEastAsia" w:hAnsiTheme="minorEastAsia"/>
                  </w:rPr>
                  <w:t>115,98</w:t>
                </w:r>
                <w:r>
                  <w:rPr>
                    <w:rFonts w:asciiTheme="minorEastAsia" w:eastAsiaTheme="minorEastAsia" w:hAnsiTheme="minorEastAsia" w:hint="eastAsia"/>
                  </w:rPr>
                  <w:t>1</w:t>
                </w:r>
              </w:p>
            </w:tc>
          </w:tr>
        </w:tbl>
        <w:p w14:paraId="1A63EC8A" w14:textId="77777777" w:rsidR="007E7472" w:rsidRDefault="00C8327E"/>
        <w:p w14:paraId="06761E5D" w14:textId="77777777" w:rsidR="007E7472" w:rsidRDefault="00EC1269">
          <w:r>
            <w:rPr>
              <w:rFonts w:hint="eastAsia"/>
            </w:rPr>
            <w:lastRenderedPageBreak/>
            <w:t>对本期发生损失准备变动的长期应收款账面余额显著变动的情况说明：</w:t>
          </w:r>
        </w:p>
        <w:sdt>
          <w:sdtPr>
            <w:alias w:val="是否适用：长期应收款本期发生损失准备变动且账面余额显著变动的情况说明[双击切换]"/>
            <w:tag w:val="_GBC_105890c95e234852a3bb3a3f5acf6008"/>
            <w:id w:val="-1320184195"/>
            <w:lock w:val="sdtLocked"/>
            <w:placeholder>
              <w:docPart w:val="GBC22222222222222222222222222222"/>
            </w:placeholder>
          </w:sdtPr>
          <w:sdtEndPr>
            <w:rPr>
              <w:rFonts w:asciiTheme="minorEastAsia" w:eastAsiaTheme="minorEastAsia" w:hAnsiTheme="minorEastAsia"/>
            </w:rPr>
          </w:sdtEndPr>
          <w:sdtContent>
            <w:p w14:paraId="0E921B45" w14:textId="37AD17F3" w:rsidR="007E7472" w:rsidRPr="009E2372" w:rsidRDefault="00EC1269">
              <w:pPr>
                <w:rPr>
                  <w:rFonts w:asciiTheme="minorEastAsia" w:eastAsiaTheme="minorEastAsia" w:hAnsiTheme="minorEastAsia"/>
                </w:rPr>
              </w:pP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162CD1C1" w14:textId="77777777" w:rsidR="007E7472" w:rsidRDefault="00EC1269">
          <w:pPr>
            <w:rPr>
              <w:rFonts w:asciiTheme="minorEastAsia" w:eastAsiaTheme="minorEastAsia" w:hAnsiTheme="minorEastAsia"/>
            </w:rPr>
          </w:pPr>
          <w:r>
            <w:rPr>
              <w:rFonts w:asciiTheme="minorEastAsia" w:eastAsiaTheme="minorEastAsia" w:hAnsiTheme="minorEastAsia" w:hint="eastAsia"/>
            </w:rPr>
            <w:t>本期坏账准备计提金额以及评估金融工具的信用风险是否显著增加的采用依据：</w:t>
          </w:r>
        </w:p>
        <w:sdt>
          <w:sdtPr>
            <w:rPr>
              <w:rFonts w:asciiTheme="minorEastAsia" w:eastAsiaTheme="minorEastAsia" w:hAnsiTheme="minorEastAsia"/>
            </w:rPr>
            <w:alias w:val="是否适用：长期应收款坏账准备计提金额以及评估金融工具的信用风险显著增加的采用依据[双击切换]"/>
            <w:tag w:val="_GBC_9c13b337c4794abdbfceded7b319c34a"/>
            <w:id w:val="-1793041634"/>
            <w:lock w:val="sdtLocked"/>
            <w:placeholder>
              <w:docPart w:val="GBC22222222222222222222222222222"/>
            </w:placeholder>
          </w:sdtPr>
          <w:sdtEndPr>
            <w:rPr>
              <w:rFonts w:ascii="Times New Roman" w:eastAsia="宋体" w:hAnsi="Times New Roman"/>
              <w:sz w:val="20"/>
              <w:szCs w:val="20"/>
            </w:rPr>
          </w:sdtEndPr>
          <w:sdtContent>
            <w:p w14:paraId="5077889E"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bookmarkEnd w:id="208"/>
    <w:p w14:paraId="14C0F562" w14:textId="77777777" w:rsidR="007E7472" w:rsidRDefault="00C8327E">
      <w:pPr>
        <w:rPr>
          <w:color w:val="FF0000"/>
        </w:rPr>
      </w:pPr>
    </w:p>
    <w:sdt>
      <w:sdtPr>
        <w:rPr>
          <w:rFonts w:ascii="宋体" w:hAnsi="宋体" w:cs="宋体" w:hint="eastAsia"/>
          <w:b w:val="0"/>
          <w:bCs w:val="0"/>
          <w:kern w:val="0"/>
          <w:sz w:val="20"/>
          <w:szCs w:val="21"/>
        </w:rPr>
        <w:alias w:val="模块:因金融资产转移而终止确认的长期应收款"/>
        <w:tag w:val="_GBC_928896eb74ab465199673a59201d4a8b"/>
        <w:id w:val="297496472"/>
        <w:lock w:val="sdtLocked"/>
        <w:placeholder>
          <w:docPart w:val="GBC22222222222222222222222222222"/>
        </w:placeholder>
      </w:sdtPr>
      <w:sdtEndPr/>
      <w:sdtContent>
        <w:p w14:paraId="49927E3A" w14:textId="77777777" w:rsidR="007E7472" w:rsidRDefault="00EC1269" w:rsidP="00162493">
          <w:pPr>
            <w:pStyle w:val="4"/>
            <w:numPr>
              <w:ilvl w:val="0"/>
              <w:numId w:val="71"/>
            </w:numPr>
          </w:pPr>
          <w:r>
            <w:rPr>
              <w:rFonts w:hint="eastAsia"/>
            </w:rPr>
            <w:t>因金融资产转移而终止确认的长期应收款</w:t>
          </w:r>
        </w:p>
        <w:sdt>
          <w:sdtPr>
            <w:rPr>
              <w:rFonts w:hint="eastAsia"/>
            </w:rPr>
            <w:alias w:val="是否适用：因金融资产转移而终止确认的长期应收款[双击切换]"/>
            <w:tag w:val="_GBC_f7aab2a321ef4781ad1595366bc02c5e"/>
            <w:id w:val="-30501208"/>
            <w:lock w:val="sdtLocked"/>
            <w:placeholder>
              <w:docPart w:val="GBC22222222222222222222222222222"/>
            </w:placeholder>
          </w:sdtPr>
          <w:sdtEndPr/>
          <w:sdtContent>
            <w:p w14:paraId="140157CE"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sdt>
      <w:sdtPr>
        <w:rPr>
          <w:rFonts w:ascii="宋体" w:hAnsi="宋体" w:cs="宋体" w:hint="eastAsia"/>
          <w:b w:val="0"/>
          <w:bCs w:val="0"/>
          <w:kern w:val="0"/>
          <w:sz w:val="20"/>
          <w:szCs w:val="24"/>
        </w:rPr>
        <w:alias w:val="模块:转移长期应收款且继续涉入形成的资产、负债金额"/>
        <w:tag w:val="_GBC_711f6e05c2eb42e595d774bdf837f823"/>
        <w:id w:val="963545788"/>
        <w:lock w:val="sdtLocked"/>
        <w:placeholder>
          <w:docPart w:val="GBC22222222222222222222222222222"/>
        </w:placeholder>
      </w:sdtPr>
      <w:sdtEndPr>
        <w:rPr>
          <w:szCs w:val="21"/>
        </w:rPr>
      </w:sdtEndPr>
      <w:sdtContent>
        <w:p w14:paraId="1292406C" w14:textId="77777777" w:rsidR="007E7472" w:rsidRDefault="00EC1269" w:rsidP="00162493">
          <w:pPr>
            <w:pStyle w:val="4"/>
            <w:numPr>
              <w:ilvl w:val="0"/>
              <w:numId w:val="71"/>
            </w:numPr>
          </w:pPr>
          <w:r>
            <w:rPr>
              <w:rFonts w:hint="eastAsia"/>
            </w:rPr>
            <w:t>转移长期应收款且继续涉入形成的资产、负债金额</w:t>
          </w:r>
        </w:p>
        <w:sdt>
          <w:sdtPr>
            <w:rPr>
              <w:rFonts w:hint="eastAsia"/>
            </w:rPr>
            <w:alias w:val="是否适用：转移长期应收款且继续涉入形成的资产、负债金额[双击切换]"/>
            <w:tag w:val="_GBC_202f97bd4328472388c45157689d09e0"/>
            <w:id w:val="1877119427"/>
            <w:lock w:val="sdtLocked"/>
            <w:placeholder>
              <w:docPart w:val="GBC22222222222222222222222222222"/>
            </w:placeholder>
          </w:sdtPr>
          <w:sdtEndPr/>
          <w:sdtContent>
            <w:p w14:paraId="0FBE26C2"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sdt>
      <w:sdtPr>
        <w:rPr>
          <w:rFonts w:hint="eastAsia"/>
        </w:rPr>
        <w:alias w:val="模块:长期应收款的其他说明"/>
        <w:tag w:val="_GBC_2a6246644ca84dfdb1b5ecc95ea5c0c2"/>
        <w:id w:val="-734853968"/>
        <w:lock w:val="sdtLocked"/>
        <w:placeholder>
          <w:docPart w:val="GBC22222222222222222222222222222"/>
        </w:placeholder>
      </w:sdtPr>
      <w:sdtEndPr/>
      <w:sdtContent>
        <w:p w14:paraId="0CE1AACF" w14:textId="77777777" w:rsidR="007E7472" w:rsidRDefault="00EC1269">
          <w:r>
            <w:rPr>
              <w:rFonts w:hint="eastAsia"/>
            </w:rPr>
            <w:t>其他说明：</w:t>
          </w:r>
        </w:p>
        <w:sdt>
          <w:sdtPr>
            <w:rPr>
              <w:rFonts w:hint="eastAsia"/>
            </w:rPr>
            <w:alias w:val="是否适用：长期应收款的其他说明[双击切换]"/>
            <w:tag w:val="_GBC_a368edfbd60c44cdaed5299529b44fa0"/>
            <w:id w:val="-1377242421"/>
            <w:lock w:val="sdtLocked"/>
            <w:placeholder>
              <w:docPart w:val="GBC22222222222222222222222222222"/>
            </w:placeholder>
          </w:sdtPr>
          <w:sdtEndPr/>
          <w:sdtContent>
            <w:p w14:paraId="486281DE"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p w14:paraId="061D041C" w14:textId="77777777" w:rsidR="007E7472" w:rsidRDefault="00EC1269">
      <w:pPr>
        <w:sectPr w:rsidR="007E7472">
          <w:pgSz w:w="11906" w:h="16838"/>
          <w:pgMar w:top="1440" w:right="1797" w:bottom="1525" w:left="1276" w:header="856" w:footer="992" w:gutter="0"/>
          <w:cols w:space="425"/>
          <w:docGrid w:type="lines" w:linePitch="312"/>
        </w:sectPr>
      </w:pPr>
      <w:r>
        <w:tab/>
      </w:r>
    </w:p>
    <w:p w14:paraId="22334D36" w14:textId="77777777" w:rsidR="007E7472" w:rsidRDefault="00EC1269" w:rsidP="00162493">
      <w:pPr>
        <w:pStyle w:val="3"/>
        <w:numPr>
          <w:ilvl w:val="0"/>
          <w:numId w:val="62"/>
        </w:numPr>
      </w:pPr>
      <w:r>
        <w:rPr>
          <w:rFonts w:hint="eastAsia"/>
        </w:rPr>
        <w:lastRenderedPageBreak/>
        <w:t>长期股权投资</w:t>
      </w:r>
    </w:p>
    <w:p w14:paraId="2525DC72" w14:textId="77777777" w:rsidR="007E7472" w:rsidRDefault="00C8327E">
      <w:sdt>
        <w:sdtPr>
          <w:rPr>
            <w:rFonts w:hint="eastAsia"/>
          </w:rPr>
          <w:alias w:val="是否适用：长期股权投资[双击切换]"/>
          <w:tag w:val="_GBC_bafa2cb2262c4c4ebc4eed8f4e4a81c6"/>
          <w:id w:val="573090842"/>
          <w:lock w:val="contentLocked"/>
          <w:placeholder>
            <w:docPart w:val="GBC22222222222222222222222222222"/>
          </w:placeholder>
        </w:sdtPr>
        <w:sdtEndPr/>
        <w:sdtContent>
          <w:r w:rsidR="00EC1269">
            <w:rPr>
              <w:rFonts w:asciiTheme="minorEastAsia" w:eastAsiaTheme="minorEastAsia" w:hAnsiTheme="minorEastAsia"/>
            </w:rPr>
            <w:fldChar w:fldCharType="begin"/>
          </w:r>
          <w:r w:rsidR="00EC1269">
            <w:rPr>
              <w:rFonts w:asciiTheme="minorEastAsia" w:eastAsiaTheme="minorEastAsia" w:hAnsiTheme="minorEastAsia"/>
            </w:rPr>
            <w:instrText xml:space="preserve"> MACROBUTTON  SnrToggleCheckbox √适用 </w:instrText>
          </w:r>
          <w:r w:rsidR="00EC1269">
            <w:rPr>
              <w:rFonts w:asciiTheme="minorEastAsia" w:eastAsiaTheme="minorEastAsia" w:hAnsiTheme="minorEastAsia"/>
            </w:rPr>
            <w:fldChar w:fldCharType="end"/>
          </w:r>
          <w:r w:rsidR="00EC1269">
            <w:rPr>
              <w:rFonts w:asciiTheme="minorEastAsia" w:eastAsiaTheme="minorEastAsia" w:hAnsiTheme="minorEastAsia"/>
            </w:rPr>
            <w:fldChar w:fldCharType="begin"/>
          </w:r>
          <w:r w:rsidR="00EC1269">
            <w:rPr>
              <w:rFonts w:asciiTheme="minorEastAsia" w:eastAsiaTheme="minorEastAsia" w:hAnsiTheme="minorEastAsia"/>
            </w:rPr>
            <w:instrText xml:space="preserve"> MACROBUTTON  SnrToggleCheckbox □不适用 </w:instrText>
          </w:r>
          <w:r w:rsidR="00EC1269">
            <w:rPr>
              <w:rFonts w:asciiTheme="minorEastAsia" w:eastAsiaTheme="minorEastAsia" w:hAnsiTheme="minorEastAsia"/>
            </w:rPr>
            <w:fldChar w:fldCharType="end"/>
          </w:r>
        </w:sdtContent>
      </w:sdt>
    </w:p>
    <w:bookmarkStart w:id="209" w:name="_Hlk106375234" w:displacedByCustomXml="next"/>
    <w:sdt>
      <w:sdtPr>
        <w:rPr>
          <w:rFonts w:hint="eastAsia"/>
        </w:rPr>
        <w:alias w:val="模块:长期股权投资"/>
        <w:tag w:val="_GBC_e68906ccea2845f1856fe89f4de6c229"/>
        <w:id w:val="-203331080"/>
        <w:lock w:val="sdtLocked"/>
        <w:placeholder>
          <w:docPart w:val="GBC22222222222222222222222222222"/>
        </w:placeholder>
      </w:sdtPr>
      <w:sdtEndPr/>
      <w:sdtContent>
        <w:p w14:paraId="3886D45C" w14:textId="036A2188" w:rsidR="007E7472" w:rsidRDefault="00EC1269">
          <w:pPr>
            <w:jc w:val="right"/>
          </w:pPr>
          <w:r>
            <w:rPr>
              <w:rFonts w:hint="eastAsia"/>
            </w:rPr>
            <w:t>单位：</w:t>
          </w:r>
          <w:sdt>
            <w:sdtPr>
              <w:rPr>
                <w:rFonts w:hint="eastAsia"/>
              </w:rPr>
              <w:alias w:val="单位：财务附注：长期股权投资"/>
              <w:tag w:val="_GBC_63e30834d38e49658bec9056bc38e4e2"/>
              <w:id w:val="-12023876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长期股权投资"/>
              <w:tag w:val="_GBC_f72bca6b250e484887289a819bc62e7d"/>
              <w:id w:val="-18773032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1"/>
            <w:gridCol w:w="1115"/>
            <w:gridCol w:w="782"/>
            <w:gridCol w:w="887"/>
            <w:gridCol w:w="1125"/>
            <w:gridCol w:w="998"/>
            <w:gridCol w:w="1006"/>
            <w:gridCol w:w="1117"/>
            <w:gridCol w:w="1103"/>
            <w:gridCol w:w="1078"/>
            <w:gridCol w:w="1139"/>
            <w:gridCol w:w="1100"/>
            <w:gridCol w:w="909"/>
          </w:tblGrid>
          <w:tr w:rsidR="007E7472" w14:paraId="13ABD9EE" w14:textId="77777777">
            <w:sdt>
              <w:sdtPr>
                <w:rPr>
                  <w:rFonts w:asciiTheme="minorEastAsia" w:hAnsiTheme="minorEastAsia"/>
                  <w:w w:val="90"/>
                </w:rPr>
                <w:tag w:val="_PLD_9e3ff129c80540828097585bec2a274a"/>
                <w:id w:val="632684557"/>
                <w:lock w:val="sdtLocked"/>
              </w:sdtPr>
              <w:sdtEndPr/>
              <w:sdtContent>
                <w:tc>
                  <w:tcPr>
                    <w:tcW w:w="541" w:type="pct"/>
                    <w:vMerge w:val="restart"/>
                    <w:tcBorders>
                      <w:top w:val="single" w:sz="4" w:space="0" w:color="auto"/>
                      <w:left w:val="single" w:sz="4" w:space="0" w:color="auto"/>
                      <w:right w:val="single" w:sz="4" w:space="0" w:color="auto"/>
                    </w:tcBorders>
                    <w:shd w:val="clear" w:color="auto" w:fill="auto"/>
                    <w:vAlign w:val="center"/>
                  </w:tcPr>
                  <w:p w14:paraId="278DAA2F" w14:textId="77777777" w:rsidR="007E7472" w:rsidRDefault="00EC1269">
                    <w:pPr>
                      <w:jc w:val="center"/>
                      <w:rPr>
                        <w:rFonts w:asciiTheme="minorEastAsia" w:eastAsiaTheme="minorEastAsia" w:hAnsiTheme="minorEastAsia"/>
                        <w:w w:val="90"/>
                      </w:rPr>
                    </w:pPr>
                    <w:r>
                      <w:rPr>
                        <w:rFonts w:asciiTheme="minorEastAsia" w:eastAsiaTheme="minorEastAsia" w:hAnsiTheme="minorEastAsia" w:hint="eastAsia"/>
                        <w:w w:val="90"/>
                      </w:rPr>
                      <w:t>被投资单位</w:t>
                    </w:r>
                  </w:p>
                </w:tc>
              </w:sdtContent>
            </w:sdt>
            <w:sdt>
              <w:sdtPr>
                <w:rPr>
                  <w:rFonts w:asciiTheme="minorEastAsia" w:hAnsiTheme="minorEastAsia"/>
                  <w:w w:val="90"/>
                </w:rPr>
                <w:tag w:val="_PLD_1d8637e24bf6498db71869cd552b60a2"/>
                <w:id w:val="1307895633"/>
                <w:lock w:val="sdtLocked"/>
              </w:sdtPr>
              <w:sdtEndPr/>
              <w:sdtContent>
                <w:tc>
                  <w:tcPr>
                    <w:tcW w:w="402" w:type="pct"/>
                    <w:vMerge w:val="restart"/>
                    <w:tcBorders>
                      <w:top w:val="single" w:sz="4" w:space="0" w:color="auto"/>
                      <w:left w:val="single" w:sz="4" w:space="0" w:color="auto"/>
                      <w:right w:val="single" w:sz="4" w:space="0" w:color="auto"/>
                    </w:tcBorders>
                    <w:shd w:val="clear" w:color="auto" w:fill="auto"/>
                    <w:vAlign w:val="center"/>
                  </w:tcPr>
                  <w:p w14:paraId="00C6A1F9" w14:textId="77777777" w:rsidR="007E7472" w:rsidRDefault="00EC1269">
                    <w:pPr>
                      <w:jc w:val="center"/>
                      <w:rPr>
                        <w:rFonts w:asciiTheme="minorEastAsia" w:eastAsiaTheme="minorEastAsia" w:hAnsiTheme="minorEastAsia"/>
                        <w:w w:val="90"/>
                      </w:rPr>
                    </w:pPr>
                    <w:r>
                      <w:rPr>
                        <w:rFonts w:asciiTheme="minorEastAsia" w:eastAsiaTheme="minorEastAsia" w:hAnsiTheme="minorEastAsia" w:hint="eastAsia"/>
                        <w:w w:val="90"/>
                      </w:rPr>
                      <w:t>期初</w:t>
                    </w:r>
                  </w:p>
                  <w:p w14:paraId="5F407937" w14:textId="77777777" w:rsidR="007E7472" w:rsidRDefault="00EC1269">
                    <w:pPr>
                      <w:jc w:val="center"/>
                      <w:rPr>
                        <w:rFonts w:asciiTheme="minorEastAsia" w:eastAsiaTheme="minorEastAsia" w:hAnsiTheme="minorEastAsia"/>
                        <w:w w:val="90"/>
                      </w:rPr>
                    </w:pPr>
                    <w:r>
                      <w:rPr>
                        <w:rFonts w:asciiTheme="minorEastAsia" w:eastAsiaTheme="minorEastAsia" w:hAnsiTheme="minorEastAsia" w:hint="eastAsia"/>
                        <w:w w:val="90"/>
                      </w:rPr>
                      <w:t>余额</w:t>
                    </w:r>
                  </w:p>
                </w:tc>
              </w:sdtContent>
            </w:sdt>
            <w:sdt>
              <w:sdtPr>
                <w:rPr>
                  <w:rFonts w:asciiTheme="minorEastAsia" w:hAnsiTheme="minorEastAsia"/>
                  <w:w w:val="90"/>
                </w:rPr>
                <w:tag w:val="_PLD_edc952101e7b4fa483f7289f9b74dfdf"/>
                <w:id w:val="-2109407092"/>
                <w:lock w:val="sdtLocked"/>
              </w:sdtPr>
              <w:sdtEndPr/>
              <w:sdtContent>
                <w:tc>
                  <w:tcPr>
                    <w:tcW w:w="3332"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47770FD1" w14:textId="77777777" w:rsidR="007E7472" w:rsidRDefault="00EC1269">
                    <w:pPr>
                      <w:jc w:val="center"/>
                      <w:rPr>
                        <w:rFonts w:asciiTheme="minorEastAsia" w:eastAsiaTheme="minorEastAsia" w:hAnsiTheme="minorEastAsia"/>
                        <w:w w:val="90"/>
                      </w:rPr>
                    </w:pPr>
                    <w:r>
                      <w:rPr>
                        <w:rFonts w:asciiTheme="minorEastAsia" w:eastAsiaTheme="minorEastAsia" w:hAnsiTheme="minorEastAsia" w:hint="eastAsia"/>
                        <w:w w:val="90"/>
                      </w:rPr>
                      <w:t>本期增减变动</w:t>
                    </w:r>
                  </w:p>
                </w:tc>
              </w:sdtContent>
            </w:sdt>
            <w:sdt>
              <w:sdtPr>
                <w:rPr>
                  <w:rFonts w:asciiTheme="minorEastAsia" w:hAnsiTheme="minorEastAsia"/>
                  <w:w w:val="90"/>
                </w:rPr>
                <w:tag w:val="_PLD_44cfcec128d9419fba83c50966e49235"/>
                <w:id w:val="1022365201"/>
                <w:lock w:val="sdtLocked"/>
              </w:sdtPr>
              <w:sdtEndPr/>
              <w:sdtContent>
                <w:tc>
                  <w:tcPr>
                    <w:tcW w:w="397" w:type="pct"/>
                    <w:vMerge w:val="restart"/>
                    <w:tcBorders>
                      <w:top w:val="single" w:sz="4" w:space="0" w:color="auto"/>
                      <w:left w:val="single" w:sz="4" w:space="0" w:color="auto"/>
                      <w:right w:val="single" w:sz="4" w:space="0" w:color="auto"/>
                    </w:tcBorders>
                    <w:shd w:val="clear" w:color="auto" w:fill="auto"/>
                    <w:vAlign w:val="center"/>
                  </w:tcPr>
                  <w:p w14:paraId="3DA6AC41" w14:textId="77777777" w:rsidR="007E7472" w:rsidRDefault="00EC1269">
                    <w:pPr>
                      <w:jc w:val="center"/>
                      <w:rPr>
                        <w:rFonts w:asciiTheme="minorEastAsia" w:eastAsiaTheme="minorEastAsia" w:hAnsiTheme="minorEastAsia"/>
                        <w:w w:val="90"/>
                      </w:rPr>
                    </w:pPr>
                    <w:r>
                      <w:rPr>
                        <w:rFonts w:asciiTheme="minorEastAsia" w:eastAsiaTheme="minorEastAsia" w:hAnsiTheme="minorEastAsia" w:hint="eastAsia"/>
                        <w:w w:val="90"/>
                      </w:rPr>
                      <w:t>期末</w:t>
                    </w:r>
                  </w:p>
                  <w:p w14:paraId="3E2AFF99" w14:textId="77777777" w:rsidR="007E7472" w:rsidRDefault="00EC1269">
                    <w:pPr>
                      <w:jc w:val="center"/>
                      <w:rPr>
                        <w:rFonts w:asciiTheme="minorEastAsia" w:eastAsiaTheme="minorEastAsia" w:hAnsiTheme="minorEastAsia"/>
                        <w:w w:val="90"/>
                      </w:rPr>
                    </w:pPr>
                    <w:r>
                      <w:rPr>
                        <w:rFonts w:asciiTheme="minorEastAsia" w:eastAsiaTheme="minorEastAsia" w:hAnsiTheme="minorEastAsia" w:hint="eastAsia"/>
                        <w:w w:val="90"/>
                      </w:rPr>
                      <w:t>余额</w:t>
                    </w:r>
                  </w:p>
                </w:tc>
              </w:sdtContent>
            </w:sdt>
            <w:sdt>
              <w:sdtPr>
                <w:rPr>
                  <w:rFonts w:asciiTheme="minorEastAsia" w:hAnsiTheme="minorEastAsia"/>
                  <w:w w:val="90"/>
                </w:rPr>
                <w:tag w:val="_PLD_34a3cc0844264226a50c84165c09bb9a"/>
                <w:id w:val="-255056658"/>
                <w:lock w:val="sdtLocked"/>
              </w:sdtPr>
              <w:sdtEndPr/>
              <w:sdtContent>
                <w:tc>
                  <w:tcPr>
                    <w:tcW w:w="328" w:type="pct"/>
                    <w:vMerge w:val="restart"/>
                    <w:tcBorders>
                      <w:top w:val="single" w:sz="4" w:space="0" w:color="auto"/>
                      <w:left w:val="single" w:sz="4" w:space="0" w:color="auto"/>
                      <w:right w:val="single" w:sz="4" w:space="0" w:color="auto"/>
                    </w:tcBorders>
                    <w:shd w:val="clear" w:color="auto" w:fill="auto"/>
                    <w:vAlign w:val="center"/>
                  </w:tcPr>
                  <w:p w14:paraId="129C5D16" w14:textId="77777777" w:rsidR="007E7472" w:rsidRDefault="00EC1269">
                    <w:pPr>
                      <w:jc w:val="center"/>
                      <w:rPr>
                        <w:rFonts w:asciiTheme="minorEastAsia" w:eastAsiaTheme="minorEastAsia" w:hAnsiTheme="minorEastAsia"/>
                        <w:w w:val="90"/>
                      </w:rPr>
                    </w:pPr>
                    <w:r>
                      <w:rPr>
                        <w:rFonts w:asciiTheme="minorEastAsia" w:eastAsiaTheme="minorEastAsia" w:hAnsiTheme="minorEastAsia" w:hint="eastAsia"/>
                        <w:w w:val="90"/>
                      </w:rPr>
                      <w:t>减值准备期末余额</w:t>
                    </w:r>
                  </w:p>
                </w:tc>
              </w:sdtContent>
            </w:sdt>
          </w:tr>
          <w:tr w:rsidR="007E7472" w14:paraId="4E799EE1" w14:textId="77777777">
            <w:tc>
              <w:tcPr>
                <w:tcW w:w="541" w:type="pct"/>
                <w:vMerge/>
                <w:tcBorders>
                  <w:left w:val="single" w:sz="4" w:space="0" w:color="auto"/>
                  <w:bottom w:val="single" w:sz="4" w:space="0" w:color="auto"/>
                  <w:right w:val="single" w:sz="4" w:space="0" w:color="auto"/>
                </w:tcBorders>
                <w:shd w:val="clear" w:color="auto" w:fill="auto"/>
              </w:tcPr>
              <w:p w14:paraId="42D43722" w14:textId="77777777" w:rsidR="007E7472" w:rsidRDefault="00C8327E">
                <w:pPr>
                  <w:jc w:val="center"/>
                  <w:rPr>
                    <w:rFonts w:asciiTheme="minorEastAsia" w:eastAsiaTheme="minorEastAsia" w:hAnsiTheme="minorEastAsia"/>
                    <w:w w:val="90"/>
                  </w:rPr>
                </w:pPr>
              </w:p>
            </w:tc>
            <w:tc>
              <w:tcPr>
                <w:tcW w:w="402" w:type="pct"/>
                <w:vMerge/>
                <w:tcBorders>
                  <w:left w:val="single" w:sz="4" w:space="0" w:color="auto"/>
                  <w:bottom w:val="single" w:sz="4" w:space="0" w:color="auto"/>
                  <w:right w:val="single" w:sz="4" w:space="0" w:color="auto"/>
                </w:tcBorders>
                <w:shd w:val="clear" w:color="auto" w:fill="auto"/>
              </w:tcPr>
              <w:p w14:paraId="6253EB9E" w14:textId="77777777" w:rsidR="007E7472" w:rsidRDefault="00C8327E">
                <w:pPr>
                  <w:jc w:val="center"/>
                  <w:rPr>
                    <w:rFonts w:asciiTheme="minorEastAsia" w:eastAsiaTheme="minorEastAsia" w:hAnsiTheme="minorEastAsia"/>
                    <w:w w:val="90"/>
                  </w:rPr>
                </w:pPr>
              </w:p>
            </w:tc>
            <w:sdt>
              <w:sdtPr>
                <w:rPr>
                  <w:rFonts w:asciiTheme="minorEastAsia" w:hAnsiTheme="minorEastAsia"/>
                  <w:w w:val="90"/>
                </w:rPr>
                <w:tag w:val="_PLD_f88446e104b7482db6830a46769bd8f6"/>
                <w:id w:val="381675119"/>
                <w:lock w:val="sdtLocked"/>
              </w:sdtPr>
              <w:sdtEndPr/>
              <w:sdtContent>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14:paraId="4882E530" w14:textId="77777777" w:rsidR="007E7472" w:rsidRDefault="00EC1269">
                    <w:pPr>
                      <w:jc w:val="center"/>
                      <w:rPr>
                        <w:rFonts w:asciiTheme="minorEastAsia" w:eastAsiaTheme="minorEastAsia" w:hAnsiTheme="minorEastAsia"/>
                        <w:w w:val="90"/>
                      </w:rPr>
                    </w:pPr>
                    <w:r>
                      <w:rPr>
                        <w:rFonts w:asciiTheme="minorEastAsia" w:eastAsiaTheme="minorEastAsia" w:hAnsiTheme="minorEastAsia" w:hint="eastAsia"/>
                        <w:w w:val="90"/>
                      </w:rPr>
                      <w:t>追加投资</w:t>
                    </w:r>
                  </w:p>
                </w:tc>
              </w:sdtContent>
            </w:sdt>
            <w:sdt>
              <w:sdtPr>
                <w:rPr>
                  <w:rFonts w:asciiTheme="minorEastAsia" w:hAnsiTheme="minorEastAsia"/>
                  <w:w w:val="90"/>
                </w:rPr>
                <w:tag w:val="_PLD_dc0d6646fb2e45ba8e5e07f2c6954c9f"/>
                <w:id w:val="-1811852246"/>
                <w:lock w:val="sdtLocked"/>
              </w:sdtPr>
              <w:sdtEndPr/>
              <w:sdtContent>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609F45A4" w14:textId="77777777" w:rsidR="007E7472" w:rsidRDefault="00EC1269">
                    <w:pPr>
                      <w:jc w:val="center"/>
                      <w:rPr>
                        <w:rFonts w:asciiTheme="minorEastAsia" w:eastAsiaTheme="minorEastAsia" w:hAnsiTheme="minorEastAsia"/>
                        <w:w w:val="90"/>
                      </w:rPr>
                    </w:pPr>
                    <w:r>
                      <w:rPr>
                        <w:rFonts w:asciiTheme="minorEastAsia" w:eastAsiaTheme="minorEastAsia" w:hAnsiTheme="minorEastAsia" w:hint="eastAsia"/>
                        <w:w w:val="90"/>
                      </w:rPr>
                      <w:t>减少投资</w:t>
                    </w:r>
                  </w:p>
                </w:tc>
              </w:sdtContent>
            </w:sdt>
            <w:sdt>
              <w:sdtPr>
                <w:rPr>
                  <w:rFonts w:asciiTheme="minorEastAsia" w:hAnsiTheme="minorEastAsia"/>
                  <w:w w:val="90"/>
                </w:rPr>
                <w:tag w:val="_PLD_098d9fcf9d5341879d534aa385508f23"/>
                <w:id w:val="403339948"/>
                <w:lock w:val="sdtLocked"/>
              </w:sdtPr>
              <w:sdtEndPr/>
              <w:sdtContent>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593F914C" w14:textId="77777777" w:rsidR="007E7472" w:rsidRDefault="00EC1269">
                    <w:pPr>
                      <w:jc w:val="center"/>
                      <w:rPr>
                        <w:rFonts w:asciiTheme="minorEastAsia" w:eastAsiaTheme="minorEastAsia" w:hAnsiTheme="minorEastAsia"/>
                        <w:w w:val="90"/>
                      </w:rPr>
                    </w:pPr>
                    <w:r>
                      <w:rPr>
                        <w:rFonts w:asciiTheme="minorEastAsia" w:eastAsiaTheme="minorEastAsia" w:hAnsiTheme="minorEastAsia" w:hint="eastAsia"/>
                        <w:w w:val="90"/>
                      </w:rPr>
                      <w:t>权益法下确认的投资损益</w:t>
                    </w:r>
                  </w:p>
                </w:tc>
              </w:sdtContent>
            </w:sdt>
            <w:sdt>
              <w:sdtPr>
                <w:rPr>
                  <w:rFonts w:asciiTheme="minorEastAsia" w:hAnsiTheme="minorEastAsia"/>
                  <w:w w:val="90"/>
                </w:rPr>
                <w:tag w:val="_PLD_b66787b3a51d435899d94dbab1edade7"/>
                <w:id w:val="1758704077"/>
                <w:lock w:val="sdtLocked"/>
              </w:sdtPr>
              <w:sdtEndPr/>
              <w:sdtConten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6B5FFF3" w14:textId="77777777" w:rsidR="007E7472" w:rsidRDefault="00EC1269">
                    <w:pPr>
                      <w:jc w:val="center"/>
                      <w:rPr>
                        <w:rFonts w:asciiTheme="minorEastAsia" w:eastAsiaTheme="minorEastAsia" w:hAnsiTheme="minorEastAsia"/>
                        <w:w w:val="90"/>
                      </w:rPr>
                    </w:pPr>
                    <w:r>
                      <w:rPr>
                        <w:rFonts w:asciiTheme="minorEastAsia" w:eastAsiaTheme="minorEastAsia" w:hAnsiTheme="minorEastAsia" w:hint="eastAsia"/>
                        <w:w w:val="90"/>
                      </w:rPr>
                      <w:t>其他综合收益调整</w:t>
                    </w:r>
                  </w:p>
                </w:tc>
              </w:sdtContent>
            </w:sdt>
            <w:sdt>
              <w:sdtPr>
                <w:rPr>
                  <w:rFonts w:asciiTheme="minorEastAsia" w:hAnsiTheme="minorEastAsia"/>
                  <w:w w:val="90"/>
                </w:rPr>
                <w:tag w:val="_PLD_59166394bf7143a6a5ce0d447326b1ac"/>
                <w:id w:val="1654727342"/>
                <w:lock w:val="sdtLocked"/>
              </w:sdtPr>
              <w:sdtEndPr/>
              <w:sdtContent>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3F290A55" w14:textId="77777777" w:rsidR="007E7472" w:rsidRDefault="00EC1269">
                    <w:pPr>
                      <w:jc w:val="center"/>
                      <w:rPr>
                        <w:rFonts w:asciiTheme="minorEastAsia" w:eastAsiaTheme="minorEastAsia" w:hAnsiTheme="minorEastAsia"/>
                        <w:w w:val="90"/>
                      </w:rPr>
                    </w:pPr>
                    <w:r>
                      <w:rPr>
                        <w:rFonts w:asciiTheme="minorEastAsia" w:eastAsiaTheme="minorEastAsia" w:hAnsiTheme="minorEastAsia" w:hint="eastAsia"/>
                        <w:w w:val="90"/>
                      </w:rPr>
                      <w:t>其他权益变动</w:t>
                    </w:r>
                  </w:p>
                </w:tc>
              </w:sdtContent>
            </w:sdt>
            <w:sdt>
              <w:sdtPr>
                <w:rPr>
                  <w:rFonts w:asciiTheme="minorEastAsia" w:hAnsiTheme="minorEastAsia"/>
                  <w:w w:val="90"/>
                </w:rPr>
                <w:tag w:val="_PLD_cbd4cf48730a4934a58b86d2c27b6b08"/>
                <w:id w:val="-1412847086"/>
                <w:lock w:val="sdtLocked"/>
              </w:sdtPr>
              <w:sdtEndPr/>
              <w:sdtContent>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247E3EDD" w14:textId="77777777" w:rsidR="007E7472" w:rsidRDefault="00EC1269">
                    <w:pPr>
                      <w:jc w:val="center"/>
                      <w:rPr>
                        <w:rFonts w:asciiTheme="minorEastAsia" w:eastAsiaTheme="minorEastAsia" w:hAnsiTheme="minorEastAsia"/>
                        <w:w w:val="90"/>
                      </w:rPr>
                    </w:pPr>
                    <w:r>
                      <w:rPr>
                        <w:rFonts w:asciiTheme="minorEastAsia" w:eastAsiaTheme="minorEastAsia" w:hAnsiTheme="minorEastAsia" w:hint="eastAsia"/>
                        <w:w w:val="90"/>
                      </w:rPr>
                      <w:t>宣告发放现金股利或利润</w:t>
                    </w:r>
                  </w:p>
                </w:tc>
              </w:sdtContent>
            </w:sdt>
            <w:sdt>
              <w:sdtPr>
                <w:rPr>
                  <w:rFonts w:asciiTheme="minorEastAsia" w:hAnsiTheme="minorEastAsia"/>
                  <w:w w:val="90"/>
                </w:rPr>
                <w:tag w:val="_PLD_4c0a72e8e14d4b319998bc5bde635ef0"/>
                <w:id w:val="-553928562"/>
                <w:lock w:val="sdtLocked"/>
              </w:sdtPr>
              <w:sdtEndPr/>
              <w:sdtContent>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14:paraId="1A3E71EA" w14:textId="77777777" w:rsidR="007E7472" w:rsidRDefault="00EC1269">
                    <w:pPr>
                      <w:jc w:val="center"/>
                      <w:rPr>
                        <w:rFonts w:asciiTheme="minorEastAsia" w:eastAsiaTheme="minorEastAsia" w:hAnsiTheme="minorEastAsia"/>
                        <w:w w:val="90"/>
                      </w:rPr>
                    </w:pPr>
                    <w:r>
                      <w:rPr>
                        <w:rFonts w:asciiTheme="minorEastAsia" w:eastAsiaTheme="minorEastAsia" w:hAnsiTheme="minorEastAsia" w:hint="eastAsia"/>
                        <w:w w:val="90"/>
                      </w:rPr>
                      <w:t>计提减值准备</w:t>
                    </w:r>
                  </w:p>
                </w:tc>
              </w:sdtContent>
            </w:sdt>
            <w:sdt>
              <w:sdtPr>
                <w:rPr>
                  <w:rFonts w:asciiTheme="minorEastAsia" w:hAnsiTheme="minorEastAsia"/>
                  <w:w w:val="90"/>
                </w:rPr>
                <w:tag w:val="_PLD_ea8213b5ee1442f98996b6dfc1f9a9a4"/>
                <w:id w:val="-1880543978"/>
                <w:lock w:val="sdtLocked"/>
              </w:sdtPr>
              <w:sdtEndPr/>
              <w:sdtContent>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68A4D860" w14:textId="77777777" w:rsidR="007E7472" w:rsidRDefault="00EC1269">
                    <w:pPr>
                      <w:jc w:val="center"/>
                      <w:rPr>
                        <w:rFonts w:asciiTheme="minorEastAsia" w:eastAsiaTheme="minorEastAsia" w:hAnsiTheme="minorEastAsia"/>
                        <w:w w:val="90"/>
                      </w:rPr>
                    </w:pPr>
                    <w:r>
                      <w:rPr>
                        <w:rFonts w:asciiTheme="minorEastAsia" w:eastAsiaTheme="minorEastAsia" w:hAnsiTheme="minorEastAsia" w:hint="eastAsia"/>
                        <w:w w:val="90"/>
                      </w:rPr>
                      <w:t>其他</w:t>
                    </w:r>
                  </w:p>
                </w:tc>
              </w:sdtContent>
            </w:sdt>
            <w:tc>
              <w:tcPr>
                <w:tcW w:w="411" w:type="pct"/>
                <w:tcBorders>
                  <w:top w:val="single" w:sz="4" w:space="0" w:color="auto"/>
                  <w:left w:val="single" w:sz="4" w:space="0" w:color="auto"/>
                  <w:bottom w:val="single" w:sz="4" w:space="0" w:color="auto"/>
                  <w:right w:val="single" w:sz="4" w:space="0" w:color="auto"/>
                </w:tcBorders>
                <w:shd w:val="clear" w:color="auto" w:fill="auto"/>
                <w:vAlign w:val="center"/>
              </w:tcPr>
              <w:p w14:paraId="170DC7D3" w14:textId="77777777" w:rsidR="007E7472" w:rsidRDefault="00EC1269">
                <w:pPr>
                  <w:jc w:val="center"/>
                  <w:rPr>
                    <w:rFonts w:asciiTheme="minorEastAsia" w:eastAsiaTheme="minorEastAsia" w:hAnsiTheme="minorEastAsia"/>
                    <w:w w:val="90"/>
                  </w:rPr>
                </w:pPr>
                <w:r>
                  <w:rPr>
                    <w:rFonts w:asciiTheme="minorEastAsia" w:eastAsiaTheme="minorEastAsia" w:hAnsiTheme="minorEastAsia" w:hint="eastAsia"/>
                    <w:w w:val="90"/>
                  </w:rPr>
                  <w:t>外币报表折算</w:t>
                </w:r>
              </w:p>
            </w:tc>
            <w:tc>
              <w:tcPr>
                <w:tcW w:w="397" w:type="pct"/>
                <w:vMerge/>
                <w:tcBorders>
                  <w:left w:val="single" w:sz="4" w:space="0" w:color="auto"/>
                  <w:bottom w:val="single" w:sz="4" w:space="0" w:color="auto"/>
                  <w:right w:val="single" w:sz="4" w:space="0" w:color="auto"/>
                </w:tcBorders>
                <w:shd w:val="clear" w:color="auto" w:fill="auto"/>
                <w:vAlign w:val="center"/>
              </w:tcPr>
              <w:p w14:paraId="06B7A12E" w14:textId="77777777" w:rsidR="007E7472" w:rsidRDefault="00C8327E">
                <w:pPr>
                  <w:jc w:val="center"/>
                  <w:rPr>
                    <w:rFonts w:asciiTheme="minorEastAsia" w:eastAsiaTheme="minorEastAsia" w:hAnsiTheme="minorEastAsia"/>
                    <w:w w:val="90"/>
                  </w:rPr>
                </w:pPr>
              </w:p>
            </w:tc>
            <w:tc>
              <w:tcPr>
                <w:tcW w:w="328" w:type="pct"/>
                <w:vMerge/>
                <w:tcBorders>
                  <w:left w:val="single" w:sz="4" w:space="0" w:color="auto"/>
                  <w:bottom w:val="single" w:sz="4" w:space="0" w:color="auto"/>
                  <w:right w:val="single" w:sz="4" w:space="0" w:color="auto"/>
                </w:tcBorders>
                <w:shd w:val="clear" w:color="auto" w:fill="auto"/>
                <w:vAlign w:val="center"/>
              </w:tcPr>
              <w:p w14:paraId="4DAF05AD" w14:textId="77777777" w:rsidR="007E7472" w:rsidRDefault="00C8327E">
                <w:pPr>
                  <w:jc w:val="center"/>
                  <w:rPr>
                    <w:rFonts w:asciiTheme="minorEastAsia" w:eastAsiaTheme="minorEastAsia" w:hAnsiTheme="minorEastAsia"/>
                    <w:w w:val="90"/>
                  </w:rPr>
                </w:pPr>
              </w:p>
            </w:tc>
          </w:tr>
          <w:tr w:rsidR="007E7472" w14:paraId="2F014B91" w14:textId="77777777">
            <w:sdt>
              <w:sdtPr>
                <w:rPr>
                  <w:rFonts w:asciiTheme="minorEastAsia" w:hAnsiTheme="minorEastAsia"/>
                  <w:w w:val="90"/>
                </w:rPr>
                <w:tag w:val="_PLD_8204b6b48bf546e3af5babc667d4c84c"/>
                <w:id w:val="105092319"/>
                <w:lock w:val="sdtLocked"/>
              </w:sdtPr>
              <w:sdtEndPr/>
              <w:sdtContent>
                <w:tc>
                  <w:tcPr>
                    <w:tcW w:w="5000" w:type="pct"/>
                    <w:gridSpan w:val="13"/>
                    <w:tcBorders>
                      <w:top w:val="single" w:sz="4" w:space="0" w:color="auto"/>
                      <w:left w:val="single" w:sz="4" w:space="0" w:color="auto"/>
                      <w:bottom w:val="single" w:sz="4" w:space="0" w:color="auto"/>
                      <w:right w:val="single" w:sz="4" w:space="0" w:color="auto"/>
                    </w:tcBorders>
                    <w:shd w:val="clear" w:color="auto" w:fill="auto"/>
                  </w:tcPr>
                  <w:p w14:paraId="2AD10032" w14:textId="77777777" w:rsidR="007E7472" w:rsidRDefault="00EC1269">
                    <w:pPr>
                      <w:rPr>
                        <w:rFonts w:asciiTheme="minorEastAsia" w:eastAsiaTheme="minorEastAsia" w:hAnsiTheme="minorEastAsia"/>
                        <w:w w:val="90"/>
                      </w:rPr>
                    </w:pPr>
                    <w:r>
                      <w:rPr>
                        <w:rFonts w:asciiTheme="minorEastAsia" w:eastAsiaTheme="minorEastAsia" w:hAnsiTheme="minorEastAsia" w:hint="eastAsia"/>
                        <w:w w:val="90"/>
                      </w:rPr>
                      <w:t>一、合营企业</w:t>
                    </w:r>
                  </w:p>
                </w:tc>
              </w:sdtContent>
            </w:sdt>
          </w:tr>
          <w:sdt>
            <w:sdtPr>
              <w:rPr>
                <w:rFonts w:asciiTheme="minorEastAsia" w:eastAsiaTheme="minorEastAsia" w:hAnsiTheme="minorEastAsia" w:cstheme="minorBidi"/>
                <w:spacing w:val="-20"/>
                <w:kern w:val="2"/>
                <w:szCs w:val="22"/>
              </w:rPr>
              <w:alias w:val="合营企业投资信息明细"/>
              <w:tag w:val="_TUP_03aa82a9df984d7b8487d492b6106380"/>
              <w:id w:val="-113294216"/>
              <w:lock w:val="sdtLocked"/>
            </w:sdtPr>
            <w:sdtEndPr/>
            <w:sdtContent>
              <w:tr w:rsidR="007E7472" w14:paraId="289C9FFC" w14:textId="77777777">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5FBCC580" w14:textId="77777777" w:rsidR="007E7472" w:rsidRDefault="00EC1269">
                    <w:pPr>
                      <w:rPr>
                        <w:rFonts w:asciiTheme="minorEastAsia" w:eastAsiaTheme="minorEastAsia" w:hAnsiTheme="minorEastAsia"/>
                        <w:bCs/>
                        <w:spacing w:val="-20"/>
                      </w:rPr>
                    </w:pPr>
                    <w:r>
                      <w:rPr>
                        <w:rFonts w:asciiTheme="minorEastAsia" w:eastAsiaTheme="minorEastAsia" w:hAnsiTheme="minorEastAsia" w:hint="eastAsia"/>
                        <w:spacing w:val="-20"/>
                      </w:rPr>
                      <w:t>中山矿合营企业</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67F1B8CF" w14:textId="77777777" w:rsidR="007E7472" w:rsidRDefault="00EC1269">
                    <w:pPr>
                      <w:jc w:val="right"/>
                      <w:rPr>
                        <w:rFonts w:asciiTheme="minorEastAsia" w:eastAsiaTheme="minorEastAsia" w:hAnsiTheme="minorEastAsia"/>
                        <w:bCs/>
                        <w:spacing w:val="-20"/>
                      </w:rPr>
                    </w:pPr>
                    <w:r>
                      <w:rPr>
                        <w:rFonts w:asciiTheme="minorEastAsia" w:eastAsiaTheme="minorEastAsia" w:hAnsiTheme="minorEastAsia"/>
                        <w:spacing w:val="-20"/>
                      </w:rPr>
                      <w:t>1,123,923</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14:paraId="3F4BB9F6" w14:textId="77777777" w:rsidR="007E7472" w:rsidRDefault="00C8327E">
                    <w:pPr>
                      <w:jc w:val="right"/>
                      <w:rPr>
                        <w:rFonts w:asciiTheme="minorEastAsia" w:eastAsiaTheme="minorEastAsia" w:hAnsiTheme="minorEastAsia"/>
                        <w:spacing w:val="-20"/>
                      </w:rPr>
                    </w:pP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5729E743" w14:textId="77777777" w:rsidR="007E7472" w:rsidRDefault="00C8327E">
                    <w:pPr>
                      <w:jc w:val="right"/>
                      <w:rPr>
                        <w:rFonts w:asciiTheme="minorEastAsia" w:eastAsiaTheme="minorEastAsia" w:hAnsiTheme="minorEastAsia"/>
                        <w:spacing w:val="-20"/>
                      </w:rPr>
                    </w:pP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7D99C775" w14:textId="77777777" w:rsidR="007E7472" w:rsidRDefault="00EC1269">
                    <w:pPr>
                      <w:jc w:val="right"/>
                      <w:rPr>
                        <w:rFonts w:asciiTheme="minorEastAsia" w:eastAsiaTheme="minorEastAsia" w:hAnsiTheme="minorEastAsia"/>
                        <w:spacing w:val="-20"/>
                      </w:rPr>
                    </w:pPr>
                    <w:r>
                      <w:rPr>
                        <w:rFonts w:asciiTheme="minorEastAsia" w:eastAsiaTheme="minorEastAsia" w:hAnsiTheme="minorEastAsia"/>
                        <w:spacing w:val="-20"/>
                      </w:rPr>
                      <w:t>28,580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F85D6B5" w14:textId="77777777" w:rsidR="007E7472" w:rsidRDefault="00C8327E">
                    <w:pPr>
                      <w:jc w:val="right"/>
                      <w:rPr>
                        <w:rFonts w:asciiTheme="minorEastAsia" w:eastAsiaTheme="minorEastAsia" w:hAnsiTheme="minorEastAsia"/>
                        <w:spacing w:val="-20"/>
                      </w:rPr>
                    </w:pP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1C8A9355" w14:textId="77777777" w:rsidR="007E7472" w:rsidRDefault="00C8327E">
                    <w:pPr>
                      <w:jc w:val="right"/>
                      <w:rPr>
                        <w:rFonts w:asciiTheme="minorEastAsia" w:eastAsiaTheme="minorEastAsia" w:hAnsiTheme="minorEastAsia"/>
                        <w:spacing w:val="-20"/>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0B42D27D" w14:textId="77777777" w:rsidR="007E7472" w:rsidRDefault="00C8327E">
                    <w:pPr>
                      <w:jc w:val="right"/>
                      <w:rPr>
                        <w:rFonts w:asciiTheme="minorEastAsia" w:eastAsiaTheme="minorEastAsia" w:hAnsiTheme="minorEastAsia"/>
                        <w:spacing w:val="-20"/>
                      </w:rPr>
                    </w:pP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14:paraId="1D91B824" w14:textId="77777777" w:rsidR="007E7472" w:rsidRDefault="00C8327E">
                    <w:pPr>
                      <w:jc w:val="right"/>
                      <w:rPr>
                        <w:rFonts w:asciiTheme="minorEastAsia" w:eastAsiaTheme="minorEastAsia" w:hAnsiTheme="minorEastAsia"/>
                        <w:spacing w:val="-20"/>
                      </w:rPr>
                    </w:pP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7A51EF6D" w14:textId="77777777" w:rsidR="007E7472" w:rsidRDefault="00C8327E">
                    <w:pPr>
                      <w:jc w:val="right"/>
                      <w:rPr>
                        <w:rFonts w:asciiTheme="minorEastAsia" w:eastAsiaTheme="minorEastAsia" w:hAnsiTheme="minorEastAsia"/>
                        <w:spacing w:val="-20"/>
                      </w:rPr>
                    </w:pPr>
                  </w:p>
                </w:tc>
                <w:sdt>
                  <w:sdtPr>
                    <w:rPr>
                      <w:rFonts w:asciiTheme="minorEastAsia" w:hAnsiTheme="minorEastAsia"/>
                      <w:spacing w:val="-20"/>
                    </w:rPr>
                    <w:alias w:val="外币报表折算"/>
                    <w:tag w:val="_GBC_00b25d4bfbc04c6c9e216120900218f0"/>
                    <w:id w:val="-1940524974"/>
                    <w:lock w:val="sdtLocked"/>
                  </w:sdtPr>
                  <w:sdtEndPr/>
                  <w:sdtContent>
                    <w:tc>
                      <w:tcPr>
                        <w:tcW w:w="411" w:type="pct"/>
                        <w:tcBorders>
                          <w:top w:val="single" w:sz="4" w:space="0" w:color="auto"/>
                          <w:left w:val="single" w:sz="4" w:space="0" w:color="auto"/>
                          <w:bottom w:val="single" w:sz="4" w:space="0" w:color="auto"/>
                          <w:right w:val="single" w:sz="4" w:space="0" w:color="auto"/>
                        </w:tcBorders>
                        <w:shd w:val="clear" w:color="auto" w:fill="auto"/>
                        <w:vAlign w:val="center"/>
                      </w:tcPr>
                      <w:p w14:paraId="345B2B33" w14:textId="77777777" w:rsidR="007E7472" w:rsidRDefault="00EC1269">
                        <w:pPr>
                          <w:jc w:val="right"/>
                          <w:rPr>
                            <w:rFonts w:asciiTheme="minorEastAsia" w:eastAsiaTheme="minorEastAsia" w:hAnsiTheme="minorEastAsia"/>
                            <w:spacing w:val="-20"/>
                          </w:rPr>
                        </w:pPr>
                        <w:r>
                          <w:rPr>
                            <w:rFonts w:asciiTheme="minorEastAsia" w:eastAsiaTheme="minorEastAsia" w:hAnsiTheme="minorEastAsia"/>
                            <w:spacing w:val="-20"/>
                          </w:rPr>
                          <w:t>20,619</w:t>
                        </w:r>
                      </w:p>
                    </w:tc>
                  </w:sdtContent>
                </w:sdt>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28950E15" w14:textId="77777777" w:rsidR="007E7472" w:rsidRDefault="00EC1269">
                    <w:pPr>
                      <w:jc w:val="right"/>
                      <w:rPr>
                        <w:rFonts w:asciiTheme="minorEastAsia" w:eastAsiaTheme="minorEastAsia" w:hAnsiTheme="minorEastAsia"/>
                        <w:spacing w:val="-20"/>
                      </w:rPr>
                    </w:pPr>
                    <w:r>
                      <w:rPr>
                        <w:rFonts w:asciiTheme="minorEastAsia" w:eastAsiaTheme="minorEastAsia" w:hAnsiTheme="minorEastAsia"/>
                        <w:spacing w:val="-20"/>
                      </w:rPr>
                      <w:t>1,173,122</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794A0B33" w14:textId="77777777" w:rsidR="007E7472" w:rsidRDefault="00C8327E">
                    <w:pPr>
                      <w:jc w:val="right"/>
                      <w:rPr>
                        <w:rFonts w:asciiTheme="minorEastAsia" w:eastAsiaTheme="minorEastAsia" w:hAnsiTheme="minorEastAsia"/>
                        <w:spacing w:val="-20"/>
                      </w:rPr>
                    </w:pPr>
                  </w:p>
                </w:tc>
              </w:tr>
            </w:sdtContent>
          </w:sdt>
          <w:sdt>
            <w:sdtPr>
              <w:rPr>
                <w:rFonts w:asciiTheme="minorEastAsia" w:eastAsiaTheme="minorEastAsia" w:hAnsiTheme="minorEastAsia" w:cstheme="minorBidi"/>
                <w:spacing w:val="-20"/>
                <w:kern w:val="2"/>
                <w:szCs w:val="22"/>
              </w:rPr>
              <w:alias w:val="合营企业投资信息明细"/>
              <w:tag w:val="_TUP_03aa82a9df984d7b8487d492b6106380"/>
              <w:id w:val="1716377"/>
              <w:lock w:val="sdtLocked"/>
            </w:sdtPr>
            <w:sdtEndPr/>
            <w:sdtContent>
              <w:tr w:rsidR="007E7472" w14:paraId="3B4790F7" w14:textId="77777777">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1BB25526" w14:textId="77777777" w:rsidR="007E7472" w:rsidRDefault="00EC1269">
                    <w:pPr>
                      <w:rPr>
                        <w:rFonts w:asciiTheme="minorEastAsia" w:eastAsiaTheme="minorEastAsia" w:hAnsiTheme="minorEastAsia"/>
                        <w:bCs/>
                        <w:spacing w:val="-20"/>
                      </w:rPr>
                    </w:pPr>
                    <w:r>
                      <w:rPr>
                        <w:rFonts w:asciiTheme="minorEastAsia" w:eastAsiaTheme="minorEastAsia" w:hAnsiTheme="minorEastAsia" w:hint="eastAsia"/>
                        <w:spacing w:val="-20"/>
                      </w:rPr>
                      <w:t>圣地芬雷选煤工程技术（天津）有限公司</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23795B0A" w14:textId="77777777" w:rsidR="007E7472" w:rsidRDefault="00EC1269">
                    <w:pPr>
                      <w:jc w:val="right"/>
                      <w:rPr>
                        <w:rFonts w:asciiTheme="minorEastAsia" w:eastAsiaTheme="minorEastAsia" w:hAnsiTheme="minorEastAsia"/>
                        <w:spacing w:val="-20"/>
                      </w:rPr>
                    </w:pPr>
                    <w:r>
                      <w:rPr>
                        <w:rFonts w:asciiTheme="minorEastAsia" w:eastAsiaTheme="minorEastAsia" w:hAnsiTheme="minorEastAsia"/>
                        <w:spacing w:val="-20"/>
                      </w:rPr>
                      <w:t>35,735</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14:paraId="01A64602" w14:textId="77777777" w:rsidR="007E7472" w:rsidRDefault="00C8327E">
                    <w:pPr>
                      <w:jc w:val="right"/>
                      <w:rPr>
                        <w:rFonts w:asciiTheme="minorEastAsia" w:eastAsiaTheme="minorEastAsia" w:hAnsiTheme="minorEastAsia"/>
                        <w:spacing w:val="-20"/>
                      </w:rPr>
                    </w:pP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62D8771E" w14:textId="77777777" w:rsidR="007E7472" w:rsidRDefault="00C8327E">
                    <w:pPr>
                      <w:jc w:val="right"/>
                      <w:rPr>
                        <w:rFonts w:asciiTheme="minorEastAsia" w:eastAsiaTheme="minorEastAsia" w:hAnsiTheme="minorEastAsia"/>
                        <w:spacing w:val="-20"/>
                      </w:rPr>
                    </w:pP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255EA32D" w14:textId="77777777" w:rsidR="007E7472" w:rsidRDefault="00EC1269">
                    <w:pPr>
                      <w:jc w:val="right"/>
                      <w:rPr>
                        <w:rFonts w:asciiTheme="minorEastAsia" w:eastAsiaTheme="minorEastAsia" w:hAnsiTheme="minorEastAsia"/>
                        <w:spacing w:val="-20"/>
                      </w:rPr>
                    </w:pPr>
                    <w:r>
                      <w:rPr>
                        <w:rFonts w:asciiTheme="minorEastAsia" w:eastAsiaTheme="minorEastAsia" w:hAnsiTheme="minorEastAsia"/>
                        <w:spacing w:val="-20"/>
                      </w:rPr>
                      <w:t>-436</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AA6BC28" w14:textId="77777777" w:rsidR="007E7472" w:rsidRDefault="00C8327E">
                    <w:pPr>
                      <w:jc w:val="right"/>
                      <w:rPr>
                        <w:rFonts w:asciiTheme="minorEastAsia" w:eastAsiaTheme="minorEastAsia" w:hAnsiTheme="minorEastAsia"/>
                        <w:spacing w:val="-20"/>
                      </w:rPr>
                    </w:pP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298D16F6" w14:textId="77777777" w:rsidR="007E7472" w:rsidRDefault="00C8327E">
                    <w:pPr>
                      <w:jc w:val="right"/>
                      <w:rPr>
                        <w:rFonts w:asciiTheme="minorEastAsia" w:eastAsiaTheme="minorEastAsia" w:hAnsiTheme="minorEastAsia"/>
                        <w:spacing w:val="-20"/>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24B69956" w14:textId="77777777" w:rsidR="007E7472" w:rsidRDefault="00C8327E">
                    <w:pPr>
                      <w:jc w:val="right"/>
                      <w:rPr>
                        <w:rFonts w:asciiTheme="minorEastAsia" w:eastAsiaTheme="minorEastAsia" w:hAnsiTheme="minorEastAsia"/>
                        <w:spacing w:val="-20"/>
                      </w:rPr>
                    </w:pP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14:paraId="0C25340A" w14:textId="77777777" w:rsidR="007E7472" w:rsidRDefault="00C8327E">
                    <w:pPr>
                      <w:jc w:val="right"/>
                      <w:rPr>
                        <w:rFonts w:asciiTheme="minorEastAsia" w:eastAsiaTheme="minorEastAsia" w:hAnsiTheme="minorEastAsia"/>
                        <w:spacing w:val="-20"/>
                      </w:rPr>
                    </w:pP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0A4A152A" w14:textId="77777777" w:rsidR="007E7472" w:rsidRDefault="00C8327E">
                    <w:pPr>
                      <w:jc w:val="right"/>
                      <w:rPr>
                        <w:rFonts w:asciiTheme="minorEastAsia" w:eastAsiaTheme="minorEastAsia" w:hAnsiTheme="minorEastAsia"/>
                        <w:spacing w:val="-20"/>
                      </w:rPr>
                    </w:pP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tcPr>
                  <w:p w14:paraId="571AA235" w14:textId="77777777" w:rsidR="007E7472" w:rsidRDefault="00C8327E">
                    <w:pPr>
                      <w:jc w:val="right"/>
                      <w:rPr>
                        <w:rFonts w:asciiTheme="minorEastAsia" w:eastAsiaTheme="minorEastAsia" w:hAnsiTheme="minorEastAsia"/>
                        <w:spacing w:val="-20"/>
                      </w:rPr>
                    </w:pP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33CD9CB4" w14:textId="77777777" w:rsidR="007E7472" w:rsidRDefault="00EC1269">
                    <w:pPr>
                      <w:jc w:val="right"/>
                      <w:rPr>
                        <w:rFonts w:asciiTheme="minorEastAsia" w:eastAsiaTheme="minorEastAsia" w:hAnsiTheme="minorEastAsia"/>
                        <w:spacing w:val="-20"/>
                      </w:rPr>
                    </w:pPr>
                    <w:r>
                      <w:rPr>
                        <w:rFonts w:asciiTheme="minorEastAsia" w:eastAsiaTheme="minorEastAsia" w:hAnsiTheme="minorEastAsia"/>
                        <w:spacing w:val="-20"/>
                      </w:rPr>
                      <w:t>35,299</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720169DF" w14:textId="77777777" w:rsidR="007E7472" w:rsidRDefault="00C8327E">
                    <w:pPr>
                      <w:jc w:val="right"/>
                      <w:rPr>
                        <w:rFonts w:asciiTheme="minorEastAsia" w:eastAsiaTheme="minorEastAsia" w:hAnsiTheme="minorEastAsia"/>
                        <w:spacing w:val="-20"/>
                      </w:rPr>
                    </w:pPr>
                  </w:p>
                </w:tc>
              </w:tr>
            </w:sdtContent>
          </w:sdt>
          <w:sdt>
            <w:sdtPr>
              <w:rPr>
                <w:rFonts w:asciiTheme="minorEastAsia" w:eastAsiaTheme="minorEastAsia" w:hAnsiTheme="minorEastAsia" w:cstheme="minorBidi"/>
                <w:spacing w:val="-20"/>
                <w:kern w:val="2"/>
                <w:szCs w:val="22"/>
              </w:rPr>
              <w:alias w:val="合营企业投资信息明细"/>
              <w:tag w:val="_TUP_03aa82a9df984d7b8487d492b6106380"/>
              <w:id w:val="768274503"/>
              <w:lock w:val="sdtLocked"/>
            </w:sdtPr>
            <w:sdtEndPr/>
            <w:sdtContent>
              <w:tr w:rsidR="007E7472" w14:paraId="2D3F2147" w14:textId="77777777">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43911E6F" w14:textId="77777777" w:rsidR="007E7472" w:rsidRDefault="00EC1269">
                    <w:pPr>
                      <w:rPr>
                        <w:rFonts w:asciiTheme="minorEastAsia" w:eastAsiaTheme="minorEastAsia" w:hAnsiTheme="minorEastAsia"/>
                        <w:bCs/>
                        <w:spacing w:val="-20"/>
                      </w:rPr>
                    </w:pPr>
                    <w:r>
                      <w:rPr>
                        <w:rFonts w:asciiTheme="minorEastAsia" w:eastAsiaTheme="minorEastAsia" w:hAnsiTheme="minorEastAsia" w:hint="eastAsia"/>
                        <w:spacing w:val="-20"/>
                      </w:rPr>
                      <w:t>山东东华装备再制造有限公司（注1）</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314965D6" w14:textId="77777777" w:rsidR="007E7472" w:rsidRDefault="00EC1269">
                    <w:pPr>
                      <w:jc w:val="right"/>
                      <w:rPr>
                        <w:rFonts w:asciiTheme="minorEastAsia" w:eastAsiaTheme="minorEastAsia" w:hAnsiTheme="minorEastAsia"/>
                        <w:spacing w:val="-20"/>
                      </w:rPr>
                    </w:pPr>
                    <w:r>
                      <w:rPr>
                        <w:rFonts w:asciiTheme="minorEastAsia" w:eastAsiaTheme="minorEastAsia" w:hAnsiTheme="minorEastAsia"/>
                        <w:spacing w:val="-20"/>
                      </w:rPr>
                      <w:t>15,259</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14:paraId="67D49097" w14:textId="77777777" w:rsidR="007E7472" w:rsidRDefault="00C8327E">
                    <w:pPr>
                      <w:jc w:val="right"/>
                      <w:rPr>
                        <w:rFonts w:asciiTheme="minorEastAsia" w:eastAsiaTheme="minorEastAsia" w:hAnsiTheme="minorEastAsia"/>
                        <w:spacing w:val="-20"/>
                      </w:rPr>
                    </w:pP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60BBE67E" w14:textId="77777777" w:rsidR="007E7472" w:rsidRDefault="00EC1269">
                    <w:pPr>
                      <w:jc w:val="right"/>
                      <w:rPr>
                        <w:rFonts w:asciiTheme="minorEastAsia" w:eastAsiaTheme="minorEastAsia" w:hAnsiTheme="minorEastAsia"/>
                        <w:spacing w:val="-20"/>
                      </w:rPr>
                    </w:pPr>
                    <w:r>
                      <w:rPr>
                        <w:rFonts w:asciiTheme="minorEastAsia" w:eastAsiaTheme="minorEastAsia" w:hAnsiTheme="minorEastAsia"/>
                        <w:spacing w:val="-20"/>
                      </w:rPr>
                      <w:t>-15,259</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2386505C" w14:textId="77777777" w:rsidR="007E7472" w:rsidRDefault="00C8327E">
                    <w:pPr>
                      <w:jc w:val="right"/>
                      <w:rPr>
                        <w:rFonts w:asciiTheme="minorEastAsia" w:eastAsiaTheme="minorEastAsia" w:hAnsiTheme="minorEastAsia"/>
                        <w:spacing w:val="-20"/>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2C59211" w14:textId="77777777" w:rsidR="007E7472" w:rsidRDefault="00C8327E">
                    <w:pPr>
                      <w:jc w:val="right"/>
                      <w:rPr>
                        <w:rFonts w:asciiTheme="minorEastAsia" w:eastAsiaTheme="minorEastAsia" w:hAnsiTheme="minorEastAsia"/>
                        <w:spacing w:val="-20"/>
                      </w:rPr>
                    </w:pP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20817C4E" w14:textId="77777777" w:rsidR="007E7472" w:rsidRDefault="00C8327E">
                    <w:pPr>
                      <w:jc w:val="right"/>
                      <w:rPr>
                        <w:rFonts w:asciiTheme="minorEastAsia" w:eastAsiaTheme="minorEastAsia" w:hAnsiTheme="minorEastAsia"/>
                        <w:spacing w:val="-20"/>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228A85FE" w14:textId="77777777" w:rsidR="007E7472" w:rsidRDefault="00C8327E">
                    <w:pPr>
                      <w:jc w:val="right"/>
                      <w:rPr>
                        <w:rFonts w:asciiTheme="minorEastAsia" w:eastAsiaTheme="minorEastAsia" w:hAnsiTheme="minorEastAsia"/>
                        <w:spacing w:val="-20"/>
                      </w:rPr>
                    </w:pP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14:paraId="374329F4" w14:textId="77777777" w:rsidR="007E7472" w:rsidRDefault="00C8327E">
                    <w:pPr>
                      <w:jc w:val="right"/>
                      <w:rPr>
                        <w:rFonts w:asciiTheme="minorEastAsia" w:eastAsiaTheme="minorEastAsia" w:hAnsiTheme="minorEastAsia"/>
                        <w:spacing w:val="-20"/>
                      </w:rPr>
                    </w:pP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26AD56D3" w14:textId="77777777" w:rsidR="007E7472" w:rsidRDefault="00C8327E">
                    <w:pPr>
                      <w:jc w:val="right"/>
                      <w:rPr>
                        <w:rFonts w:asciiTheme="minorEastAsia" w:eastAsiaTheme="minorEastAsia" w:hAnsiTheme="minorEastAsia"/>
                        <w:spacing w:val="-20"/>
                      </w:rPr>
                    </w:pPr>
                  </w:p>
                </w:tc>
                <w:sdt>
                  <w:sdtPr>
                    <w:rPr>
                      <w:rFonts w:asciiTheme="minorEastAsia" w:hAnsiTheme="minorEastAsia"/>
                      <w:spacing w:val="-20"/>
                    </w:rPr>
                    <w:alias w:val="外币报表折算"/>
                    <w:tag w:val="_GBC_00b25d4bfbc04c6c9e216120900218f0"/>
                    <w:id w:val="-1463111908"/>
                    <w:lock w:val="sdtLocked"/>
                    <w:showingPlcHdr/>
                  </w:sdtPr>
                  <w:sdtEndPr/>
                  <w:sdtContent>
                    <w:tc>
                      <w:tcPr>
                        <w:tcW w:w="411" w:type="pct"/>
                        <w:tcBorders>
                          <w:top w:val="single" w:sz="4" w:space="0" w:color="auto"/>
                          <w:left w:val="single" w:sz="4" w:space="0" w:color="auto"/>
                          <w:bottom w:val="single" w:sz="4" w:space="0" w:color="auto"/>
                          <w:right w:val="single" w:sz="4" w:space="0" w:color="auto"/>
                        </w:tcBorders>
                        <w:shd w:val="clear" w:color="auto" w:fill="auto"/>
                        <w:vAlign w:val="center"/>
                      </w:tcPr>
                      <w:p w14:paraId="62E8A6AE" w14:textId="77777777" w:rsidR="007E7472" w:rsidRDefault="00C8327E">
                        <w:pPr>
                          <w:jc w:val="right"/>
                          <w:rPr>
                            <w:rFonts w:asciiTheme="minorEastAsia" w:eastAsiaTheme="minorEastAsia" w:hAnsiTheme="minorEastAsia"/>
                            <w:spacing w:val="-20"/>
                          </w:rPr>
                        </w:pPr>
                      </w:p>
                    </w:tc>
                  </w:sdtContent>
                </w:sdt>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124F4CBC" w14:textId="77777777" w:rsidR="007E7472" w:rsidRDefault="00C8327E">
                    <w:pPr>
                      <w:jc w:val="right"/>
                      <w:rPr>
                        <w:rFonts w:asciiTheme="minorEastAsia" w:eastAsiaTheme="minorEastAsia" w:hAnsiTheme="minorEastAsia"/>
                        <w:spacing w:val="-20"/>
                      </w:rPr>
                    </w:pP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073F94E1" w14:textId="77777777" w:rsidR="007E7472" w:rsidRDefault="00C8327E">
                    <w:pPr>
                      <w:jc w:val="right"/>
                      <w:rPr>
                        <w:rFonts w:asciiTheme="minorEastAsia" w:eastAsiaTheme="minorEastAsia" w:hAnsiTheme="minorEastAsia"/>
                        <w:spacing w:val="-20"/>
                      </w:rPr>
                    </w:pPr>
                  </w:p>
                </w:tc>
              </w:tr>
            </w:sdtContent>
          </w:sdt>
          <w:sdt>
            <w:sdtPr>
              <w:rPr>
                <w:rFonts w:asciiTheme="minorEastAsia" w:eastAsiaTheme="minorEastAsia" w:hAnsiTheme="minorEastAsia" w:cstheme="minorBidi"/>
                <w:spacing w:val="-20"/>
                <w:kern w:val="2"/>
                <w:szCs w:val="22"/>
              </w:rPr>
              <w:alias w:val="合营企业投资信息明细"/>
              <w:tag w:val="_TUP_03aa82a9df984d7b8487d492b6106380"/>
              <w:id w:val="908577306"/>
              <w:lock w:val="sdtLocked"/>
            </w:sdtPr>
            <w:sdtEndPr/>
            <w:sdtContent>
              <w:tr w:rsidR="007E7472" w14:paraId="4B0CF74D" w14:textId="77777777">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69EC7AB4" w14:textId="77777777" w:rsidR="007E7472" w:rsidRDefault="00EC1269">
                    <w:pPr>
                      <w:rPr>
                        <w:rFonts w:asciiTheme="minorEastAsia" w:eastAsiaTheme="minorEastAsia" w:hAnsiTheme="minorEastAsia"/>
                        <w:spacing w:val="-20"/>
                      </w:rPr>
                    </w:pPr>
                    <w:r>
                      <w:rPr>
                        <w:rFonts w:asciiTheme="minorEastAsia" w:eastAsiaTheme="minorEastAsia" w:hAnsiTheme="minorEastAsia" w:hint="eastAsia"/>
                        <w:spacing w:val="-20"/>
                      </w:rPr>
                      <w:t>山东丰隆智控工业科技有限公司（注2）</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302C4A65" w14:textId="77777777" w:rsidR="007E7472" w:rsidRDefault="00C8327E">
                    <w:pPr>
                      <w:jc w:val="right"/>
                      <w:rPr>
                        <w:rFonts w:asciiTheme="minorEastAsia" w:eastAsiaTheme="minorEastAsia" w:hAnsiTheme="minorEastAsia"/>
                        <w:spacing w:val="-20"/>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14:paraId="2E2ED9F6" w14:textId="77777777" w:rsidR="007E7472" w:rsidRDefault="00EC1269">
                    <w:pPr>
                      <w:jc w:val="right"/>
                      <w:rPr>
                        <w:rFonts w:asciiTheme="minorEastAsia" w:eastAsiaTheme="minorEastAsia" w:hAnsiTheme="minorEastAsia"/>
                        <w:spacing w:val="-20"/>
                      </w:rPr>
                    </w:pPr>
                    <w:r>
                      <w:rPr>
                        <w:rFonts w:asciiTheme="minorEastAsia" w:eastAsiaTheme="minorEastAsia" w:hAnsiTheme="minorEastAsia" w:hint="eastAsia"/>
                        <w:spacing w:val="-20"/>
                      </w:rPr>
                      <w:t>50,000</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566C80F7" w14:textId="77777777" w:rsidR="007E7472" w:rsidRDefault="00C8327E">
                    <w:pPr>
                      <w:jc w:val="right"/>
                      <w:rPr>
                        <w:rFonts w:asciiTheme="minorEastAsia" w:eastAsiaTheme="minorEastAsia" w:hAnsiTheme="minorEastAsia"/>
                        <w:spacing w:val="-20"/>
                      </w:rPr>
                    </w:pP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1B9C7254" w14:textId="77777777" w:rsidR="007E7472" w:rsidRDefault="00C8327E">
                    <w:pPr>
                      <w:jc w:val="right"/>
                      <w:rPr>
                        <w:rFonts w:asciiTheme="minorEastAsia" w:eastAsiaTheme="minorEastAsia" w:hAnsiTheme="minorEastAsia"/>
                        <w:spacing w:val="-20"/>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5BDAB7E3" w14:textId="77777777" w:rsidR="007E7472" w:rsidRDefault="00C8327E">
                    <w:pPr>
                      <w:jc w:val="right"/>
                      <w:rPr>
                        <w:rFonts w:asciiTheme="minorEastAsia" w:eastAsiaTheme="minorEastAsia" w:hAnsiTheme="minorEastAsia"/>
                        <w:spacing w:val="-20"/>
                      </w:rPr>
                    </w:pP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70CD6238" w14:textId="77777777" w:rsidR="007E7472" w:rsidRDefault="00C8327E">
                    <w:pPr>
                      <w:jc w:val="right"/>
                      <w:rPr>
                        <w:rFonts w:asciiTheme="minorEastAsia" w:eastAsiaTheme="minorEastAsia" w:hAnsiTheme="minorEastAsia"/>
                        <w:spacing w:val="-20"/>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123DE79F" w14:textId="77777777" w:rsidR="007E7472" w:rsidRDefault="00C8327E">
                    <w:pPr>
                      <w:jc w:val="right"/>
                      <w:rPr>
                        <w:rFonts w:asciiTheme="minorEastAsia" w:eastAsiaTheme="minorEastAsia" w:hAnsiTheme="minorEastAsia"/>
                        <w:spacing w:val="-20"/>
                      </w:rPr>
                    </w:pP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14:paraId="6BEB7A2D" w14:textId="77777777" w:rsidR="007E7472" w:rsidRDefault="00C8327E">
                    <w:pPr>
                      <w:jc w:val="right"/>
                      <w:rPr>
                        <w:rFonts w:asciiTheme="minorEastAsia" w:eastAsiaTheme="minorEastAsia" w:hAnsiTheme="minorEastAsia"/>
                        <w:spacing w:val="-20"/>
                      </w:rPr>
                    </w:pP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43BB1220" w14:textId="77777777" w:rsidR="007E7472" w:rsidRDefault="00C8327E">
                    <w:pPr>
                      <w:jc w:val="right"/>
                      <w:rPr>
                        <w:rFonts w:asciiTheme="minorEastAsia" w:eastAsiaTheme="minorEastAsia" w:hAnsiTheme="minorEastAsia"/>
                        <w:spacing w:val="-20"/>
                      </w:rPr>
                    </w:pP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tcPr>
                  <w:p w14:paraId="7AB3202D" w14:textId="77777777" w:rsidR="007E7472" w:rsidRDefault="00EC1269">
                    <w:pPr>
                      <w:jc w:val="right"/>
                      <w:rPr>
                        <w:rFonts w:asciiTheme="minorEastAsia" w:eastAsiaTheme="minorEastAsia" w:hAnsiTheme="minorEastAsia"/>
                        <w:spacing w:val="-20"/>
                      </w:rPr>
                    </w:pPr>
                    <w:r>
                      <w:rPr>
                        <w:rFonts w:asciiTheme="minorEastAsia" w:eastAsiaTheme="minorEastAsia" w:hAnsiTheme="minorEastAsia" w:hint="eastAsia"/>
                        <w:spacing w:val="-20"/>
                      </w:rPr>
                      <w:t>1,059</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44E65449" w14:textId="77777777" w:rsidR="007E7472" w:rsidRDefault="00EC1269">
                    <w:pPr>
                      <w:jc w:val="right"/>
                      <w:rPr>
                        <w:rFonts w:asciiTheme="minorEastAsia" w:eastAsiaTheme="minorEastAsia" w:hAnsiTheme="minorEastAsia"/>
                        <w:spacing w:val="-20"/>
                      </w:rPr>
                    </w:pPr>
                    <w:r>
                      <w:rPr>
                        <w:rFonts w:asciiTheme="minorEastAsia" w:eastAsiaTheme="minorEastAsia" w:hAnsiTheme="minorEastAsia"/>
                        <w:spacing w:val="-20"/>
                      </w:rPr>
                      <w:t>51,059</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533C4AC3" w14:textId="77777777" w:rsidR="007E7472" w:rsidRDefault="00C8327E">
                    <w:pPr>
                      <w:jc w:val="right"/>
                      <w:rPr>
                        <w:rFonts w:asciiTheme="minorEastAsia" w:eastAsiaTheme="minorEastAsia" w:hAnsiTheme="minorEastAsia"/>
                        <w:spacing w:val="-20"/>
                      </w:rPr>
                    </w:pPr>
                  </w:p>
                </w:tc>
              </w:tr>
            </w:sdtContent>
          </w:sdt>
          <w:sdt>
            <w:sdtPr>
              <w:rPr>
                <w:rFonts w:asciiTheme="minorEastAsia" w:eastAsiaTheme="minorEastAsia" w:hAnsiTheme="minorEastAsia" w:cstheme="minorBidi"/>
                <w:spacing w:val="-20"/>
                <w:kern w:val="2"/>
                <w:szCs w:val="22"/>
              </w:rPr>
              <w:alias w:val="合营企业投资信息明细"/>
              <w:tag w:val="_TUP_03aa82a9df984d7b8487d492b6106380"/>
              <w:id w:val="-1153987995"/>
              <w:lock w:val="sdtLocked"/>
            </w:sdtPr>
            <w:sdtEndPr/>
            <w:sdtContent>
              <w:tr w:rsidR="007E7472" w14:paraId="2C009D98" w14:textId="77777777">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4B78245B" w14:textId="77777777" w:rsidR="007E7472" w:rsidRDefault="00EC1269">
                    <w:pPr>
                      <w:rPr>
                        <w:rFonts w:asciiTheme="minorEastAsia" w:eastAsiaTheme="minorEastAsia" w:hAnsiTheme="minorEastAsia"/>
                        <w:spacing w:val="-20"/>
                      </w:rPr>
                    </w:pPr>
                    <w:r>
                      <w:rPr>
                        <w:spacing w:val="-20"/>
                        <w:w w:val="90"/>
                      </w:rPr>
                      <w:t>HVO Entities</w:t>
                    </w:r>
                    <w:r>
                      <w:rPr>
                        <w:rFonts w:asciiTheme="minorEastAsia" w:eastAsiaTheme="minorEastAsia" w:hAnsiTheme="minorEastAsia"/>
                        <w:spacing w:val="-20"/>
                      </w:rPr>
                      <w:t>（注</w:t>
                    </w:r>
                    <w:r>
                      <w:rPr>
                        <w:rFonts w:asciiTheme="minorEastAsia" w:eastAsiaTheme="minorEastAsia" w:hAnsiTheme="minorEastAsia" w:hint="eastAsia"/>
                        <w:spacing w:val="-20"/>
                      </w:rPr>
                      <w:t>3</w:t>
                    </w:r>
                    <w:r>
                      <w:rPr>
                        <w:rFonts w:asciiTheme="minorEastAsia" w:eastAsiaTheme="minorEastAsia" w:hAnsiTheme="minorEastAsia"/>
                        <w:spacing w:val="-20"/>
                      </w:rPr>
                      <w:t>）</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5B1799AA" w14:textId="77777777" w:rsidR="007E7472" w:rsidRDefault="00C8327E">
                    <w:pPr>
                      <w:jc w:val="right"/>
                      <w:rPr>
                        <w:rFonts w:asciiTheme="minorEastAsia" w:eastAsiaTheme="minorEastAsia" w:hAnsiTheme="minorEastAsia"/>
                        <w:spacing w:val="-20"/>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14:paraId="336EEA19" w14:textId="77777777" w:rsidR="007E7472" w:rsidRDefault="00C8327E">
                    <w:pPr>
                      <w:jc w:val="right"/>
                      <w:rPr>
                        <w:rFonts w:asciiTheme="minorEastAsia" w:eastAsiaTheme="minorEastAsia" w:hAnsiTheme="minorEastAsia"/>
                        <w:spacing w:val="-20"/>
                      </w:rPr>
                    </w:pP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411784AB" w14:textId="77777777" w:rsidR="007E7472" w:rsidRDefault="00C8327E">
                    <w:pPr>
                      <w:jc w:val="right"/>
                      <w:rPr>
                        <w:rFonts w:asciiTheme="minorEastAsia" w:eastAsiaTheme="minorEastAsia" w:hAnsiTheme="minorEastAsia"/>
                        <w:spacing w:val="-20"/>
                      </w:rPr>
                    </w:pP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3E4967D1" w14:textId="77777777" w:rsidR="007E7472" w:rsidRDefault="00C8327E">
                    <w:pPr>
                      <w:jc w:val="right"/>
                      <w:rPr>
                        <w:rFonts w:asciiTheme="minorEastAsia" w:eastAsiaTheme="minorEastAsia" w:hAnsiTheme="minorEastAsia"/>
                        <w:spacing w:val="-20"/>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212092A5" w14:textId="77777777" w:rsidR="007E7472" w:rsidRDefault="00C8327E">
                    <w:pPr>
                      <w:jc w:val="right"/>
                      <w:rPr>
                        <w:rFonts w:asciiTheme="minorEastAsia" w:eastAsiaTheme="minorEastAsia" w:hAnsiTheme="minorEastAsia"/>
                        <w:spacing w:val="-20"/>
                      </w:rPr>
                    </w:pP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79A695FC" w14:textId="77777777" w:rsidR="007E7472" w:rsidRDefault="00C8327E">
                    <w:pPr>
                      <w:jc w:val="right"/>
                      <w:rPr>
                        <w:rFonts w:asciiTheme="minorEastAsia" w:eastAsiaTheme="minorEastAsia" w:hAnsiTheme="minorEastAsia"/>
                        <w:spacing w:val="-20"/>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06D4E0C8" w14:textId="77777777" w:rsidR="007E7472" w:rsidRDefault="00C8327E">
                    <w:pPr>
                      <w:jc w:val="right"/>
                      <w:rPr>
                        <w:rFonts w:asciiTheme="minorEastAsia" w:eastAsiaTheme="minorEastAsia" w:hAnsiTheme="minorEastAsia"/>
                        <w:spacing w:val="-20"/>
                      </w:rPr>
                    </w:pP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14:paraId="2FC0126D" w14:textId="77777777" w:rsidR="007E7472" w:rsidRDefault="00C8327E">
                    <w:pPr>
                      <w:jc w:val="right"/>
                      <w:rPr>
                        <w:rFonts w:asciiTheme="minorEastAsia" w:eastAsiaTheme="minorEastAsia" w:hAnsiTheme="minorEastAsia"/>
                        <w:spacing w:val="-20"/>
                      </w:rPr>
                    </w:pP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768FBB28" w14:textId="77777777" w:rsidR="007E7472" w:rsidRDefault="00C8327E">
                    <w:pPr>
                      <w:jc w:val="right"/>
                      <w:rPr>
                        <w:rFonts w:asciiTheme="minorEastAsia" w:eastAsiaTheme="minorEastAsia" w:hAnsiTheme="minorEastAsia"/>
                        <w:spacing w:val="-20"/>
                      </w:rPr>
                    </w:pP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tcPr>
                  <w:p w14:paraId="030BEC64" w14:textId="77777777" w:rsidR="007E7472" w:rsidRDefault="00C8327E">
                    <w:pPr>
                      <w:jc w:val="right"/>
                      <w:rPr>
                        <w:rFonts w:asciiTheme="minorEastAsia" w:eastAsiaTheme="minorEastAsia" w:hAnsiTheme="minorEastAsia"/>
                        <w:spacing w:val="-20"/>
                      </w:rPr>
                    </w:pP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7B78595E" w14:textId="77777777" w:rsidR="007E7472" w:rsidRDefault="00C8327E">
                    <w:pPr>
                      <w:jc w:val="right"/>
                      <w:rPr>
                        <w:rFonts w:asciiTheme="minorEastAsia" w:eastAsiaTheme="minorEastAsia" w:hAnsiTheme="minorEastAsia"/>
                        <w:spacing w:val="-20"/>
                      </w:rPr>
                    </w:pP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53096F53" w14:textId="77777777" w:rsidR="007E7472" w:rsidRDefault="00C8327E">
                    <w:pPr>
                      <w:jc w:val="right"/>
                      <w:rPr>
                        <w:rFonts w:asciiTheme="minorEastAsia" w:eastAsiaTheme="minorEastAsia" w:hAnsiTheme="minorEastAsia"/>
                        <w:spacing w:val="-20"/>
                      </w:rPr>
                    </w:pPr>
                  </w:p>
                </w:tc>
              </w:tr>
            </w:sdtContent>
          </w:sdt>
          <w:sdt>
            <w:sdtPr>
              <w:rPr>
                <w:rFonts w:asciiTheme="minorEastAsia" w:eastAsiaTheme="minorEastAsia" w:hAnsiTheme="minorEastAsia" w:cstheme="minorBidi"/>
                <w:spacing w:val="-20"/>
                <w:kern w:val="2"/>
                <w:szCs w:val="22"/>
              </w:rPr>
              <w:alias w:val="合营企业投资信息明细"/>
              <w:tag w:val="_TUP_03aa82a9df984d7b8487d492b6106380"/>
              <w:id w:val="-1321727887"/>
              <w:lock w:val="sdtLocked"/>
            </w:sdtPr>
            <w:sdtEndPr/>
            <w:sdtContent>
              <w:tr w:rsidR="007E7472" w14:paraId="2E366982" w14:textId="77777777">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2EAA8CE9" w14:textId="77777777" w:rsidR="007E7472" w:rsidRDefault="00EC1269">
                    <w:pPr>
                      <w:rPr>
                        <w:rFonts w:asciiTheme="minorEastAsia" w:eastAsiaTheme="minorEastAsia" w:hAnsiTheme="minorEastAsia"/>
                        <w:spacing w:val="-20"/>
                      </w:rPr>
                    </w:pPr>
                    <w:r>
                      <w:rPr>
                        <w:rFonts w:asciiTheme="minorEastAsia" w:eastAsiaTheme="minorEastAsia" w:hAnsiTheme="minorEastAsia"/>
                        <w:spacing w:val="-20"/>
                      </w:rPr>
                      <w:t>纽卡斯尔煤炭基础建设集团（注</w:t>
                    </w:r>
                    <w:r>
                      <w:rPr>
                        <w:rFonts w:asciiTheme="minorEastAsia" w:eastAsiaTheme="minorEastAsia" w:hAnsiTheme="minorEastAsia" w:hint="eastAsia"/>
                        <w:spacing w:val="-20"/>
                      </w:rPr>
                      <w:t>4</w:t>
                    </w:r>
                    <w:r>
                      <w:rPr>
                        <w:rFonts w:asciiTheme="minorEastAsia" w:eastAsiaTheme="minorEastAsia" w:hAnsiTheme="minorEastAsia"/>
                        <w:spacing w:val="-20"/>
                      </w:rPr>
                      <w:t>）</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5FECA56D" w14:textId="77777777" w:rsidR="007E7472" w:rsidRDefault="00C8327E">
                    <w:pPr>
                      <w:jc w:val="right"/>
                      <w:rPr>
                        <w:rFonts w:asciiTheme="minorEastAsia" w:eastAsiaTheme="minorEastAsia" w:hAnsiTheme="minorEastAsia"/>
                        <w:spacing w:val="-20"/>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14:paraId="14933E30" w14:textId="77777777" w:rsidR="007E7472" w:rsidRDefault="00C8327E">
                    <w:pPr>
                      <w:jc w:val="right"/>
                      <w:rPr>
                        <w:rFonts w:asciiTheme="minorEastAsia" w:eastAsiaTheme="minorEastAsia" w:hAnsiTheme="minorEastAsia"/>
                        <w:spacing w:val="-20"/>
                      </w:rPr>
                    </w:pP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6FC56704" w14:textId="77777777" w:rsidR="007E7472" w:rsidRDefault="00C8327E">
                    <w:pPr>
                      <w:jc w:val="right"/>
                      <w:rPr>
                        <w:rFonts w:asciiTheme="minorEastAsia" w:eastAsiaTheme="minorEastAsia" w:hAnsiTheme="minorEastAsia"/>
                        <w:spacing w:val="-20"/>
                      </w:rPr>
                    </w:pP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030DEB69" w14:textId="77777777" w:rsidR="007E7472" w:rsidRDefault="00C8327E">
                    <w:pPr>
                      <w:jc w:val="right"/>
                      <w:rPr>
                        <w:rFonts w:asciiTheme="minorEastAsia" w:eastAsiaTheme="minorEastAsia" w:hAnsiTheme="minorEastAsia"/>
                        <w:spacing w:val="-20"/>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80CBE70" w14:textId="77777777" w:rsidR="007E7472" w:rsidRDefault="00C8327E">
                    <w:pPr>
                      <w:jc w:val="right"/>
                      <w:rPr>
                        <w:rFonts w:asciiTheme="minorEastAsia" w:eastAsiaTheme="minorEastAsia" w:hAnsiTheme="minorEastAsia"/>
                        <w:spacing w:val="-20"/>
                      </w:rPr>
                    </w:pP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2BF2975F" w14:textId="77777777" w:rsidR="007E7472" w:rsidRDefault="00C8327E">
                    <w:pPr>
                      <w:jc w:val="right"/>
                      <w:rPr>
                        <w:rFonts w:asciiTheme="minorEastAsia" w:eastAsiaTheme="minorEastAsia" w:hAnsiTheme="minorEastAsia"/>
                        <w:spacing w:val="-20"/>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14A5E956" w14:textId="77777777" w:rsidR="007E7472" w:rsidRDefault="00C8327E">
                    <w:pPr>
                      <w:jc w:val="right"/>
                      <w:rPr>
                        <w:rFonts w:asciiTheme="minorEastAsia" w:eastAsiaTheme="minorEastAsia" w:hAnsiTheme="minorEastAsia"/>
                        <w:spacing w:val="-20"/>
                      </w:rPr>
                    </w:pP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14:paraId="3BF54935" w14:textId="77777777" w:rsidR="007E7472" w:rsidRDefault="00C8327E">
                    <w:pPr>
                      <w:jc w:val="right"/>
                      <w:rPr>
                        <w:rFonts w:asciiTheme="minorEastAsia" w:eastAsiaTheme="minorEastAsia" w:hAnsiTheme="minorEastAsia"/>
                        <w:spacing w:val="-20"/>
                      </w:rPr>
                    </w:pP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4C063C3D" w14:textId="77777777" w:rsidR="007E7472" w:rsidRDefault="00C8327E">
                    <w:pPr>
                      <w:jc w:val="right"/>
                      <w:rPr>
                        <w:rFonts w:asciiTheme="minorEastAsia" w:eastAsiaTheme="minorEastAsia" w:hAnsiTheme="minorEastAsia"/>
                        <w:spacing w:val="-20"/>
                      </w:rPr>
                    </w:pP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tcPr>
                  <w:p w14:paraId="2641BCAA" w14:textId="77777777" w:rsidR="007E7472" w:rsidRDefault="00C8327E">
                    <w:pPr>
                      <w:jc w:val="right"/>
                      <w:rPr>
                        <w:rFonts w:asciiTheme="minorEastAsia" w:eastAsiaTheme="minorEastAsia" w:hAnsiTheme="minorEastAsia"/>
                        <w:spacing w:val="-20"/>
                      </w:rPr>
                    </w:pP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42EF8AB1" w14:textId="77777777" w:rsidR="007E7472" w:rsidRDefault="00C8327E">
                    <w:pPr>
                      <w:jc w:val="right"/>
                      <w:rPr>
                        <w:rFonts w:asciiTheme="minorEastAsia" w:eastAsiaTheme="minorEastAsia" w:hAnsiTheme="minorEastAsia"/>
                        <w:spacing w:val="-20"/>
                      </w:rPr>
                    </w:pP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7AA88655" w14:textId="77777777" w:rsidR="007E7472" w:rsidRDefault="00C8327E">
                    <w:pPr>
                      <w:jc w:val="right"/>
                      <w:rPr>
                        <w:rFonts w:asciiTheme="minorEastAsia" w:eastAsiaTheme="minorEastAsia" w:hAnsiTheme="minorEastAsia"/>
                        <w:spacing w:val="-20"/>
                      </w:rPr>
                    </w:pPr>
                  </w:p>
                </w:tc>
              </w:tr>
            </w:sdtContent>
          </w:sdt>
          <w:tr w:rsidR="007E7472" w14:paraId="047EEC37" w14:textId="77777777">
            <w:sdt>
              <w:sdtPr>
                <w:rPr>
                  <w:rFonts w:asciiTheme="minorEastAsia" w:hAnsiTheme="minorEastAsia"/>
                  <w:spacing w:val="-20"/>
                </w:rPr>
                <w:tag w:val="_PLD_29b8b80db8a747689480382645b9fdb1"/>
                <w:id w:val="348448940"/>
                <w:lock w:val="sdtLocked"/>
              </w:sdtPr>
              <w:sdtEndPr/>
              <w:sdtContent>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787A792A" w14:textId="77777777" w:rsidR="007E7472" w:rsidRDefault="00EC1269">
                    <w:pPr>
                      <w:rPr>
                        <w:rFonts w:asciiTheme="minorEastAsia" w:eastAsiaTheme="minorEastAsia" w:hAnsiTheme="minorEastAsia"/>
                        <w:spacing w:val="-20"/>
                      </w:rPr>
                    </w:pPr>
                    <w:r>
                      <w:rPr>
                        <w:rFonts w:asciiTheme="minorEastAsia" w:eastAsiaTheme="minorEastAsia" w:hAnsiTheme="minorEastAsia" w:hint="eastAsia"/>
                        <w:spacing w:val="-20"/>
                      </w:rPr>
                      <w:t>小计</w:t>
                    </w:r>
                  </w:p>
                </w:tc>
              </w:sdtContent>
            </w:sdt>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0D873167" w14:textId="77777777" w:rsidR="007E7472" w:rsidRDefault="00EC1269">
                <w:pPr>
                  <w:jc w:val="right"/>
                  <w:rPr>
                    <w:rFonts w:asciiTheme="minorEastAsia" w:eastAsiaTheme="minorEastAsia" w:hAnsiTheme="minorEastAsia"/>
                    <w:bCs/>
                    <w:spacing w:val="-20"/>
                  </w:rPr>
                </w:pPr>
                <w:r>
                  <w:rPr>
                    <w:rFonts w:asciiTheme="minorEastAsia" w:eastAsiaTheme="minorEastAsia" w:hAnsiTheme="minorEastAsia"/>
                    <w:spacing w:val="-20"/>
                  </w:rPr>
                  <w:t>1,174,917</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14:paraId="167EFAB0" w14:textId="77777777" w:rsidR="007E7472" w:rsidRDefault="00EC1269">
                <w:pPr>
                  <w:jc w:val="right"/>
                  <w:rPr>
                    <w:rFonts w:asciiTheme="minorEastAsia" w:eastAsiaTheme="minorEastAsia" w:hAnsiTheme="minorEastAsia"/>
                    <w:spacing w:val="-20"/>
                  </w:rPr>
                </w:pPr>
                <w:r>
                  <w:rPr>
                    <w:rFonts w:asciiTheme="minorEastAsia" w:eastAsiaTheme="minorEastAsia" w:hAnsiTheme="minorEastAsia" w:hint="eastAsia"/>
                    <w:spacing w:val="-20"/>
                  </w:rPr>
                  <w:t>50,000</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2063E33E" w14:textId="77777777" w:rsidR="007E7472" w:rsidRDefault="00EC1269">
                <w:pPr>
                  <w:jc w:val="right"/>
                  <w:rPr>
                    <w:rFonts w:asciiTheme="minorEastAsia" w:eastAsiaTheme="minorEastAsia" w:hAnsiTheme="minorEastAsia"/>
                    <w:spacing w:val="-20"/>
                  </w:rPr>
                </w:pPr>
                <w:r>
                  <w:rPr>
                    <w:rFonts w:asciiTheme="minorEastAsia" w:eastAsiaTheme="minorEastAsia" w:hAnsiTheme="minorEastAsia"/>
                    <w:spacing w:val="-20"/>
                  </w:rPr>
                  <w:t>-15,259</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331188EE" w14:textId="77777777" w:rsidR="007E7472" w:rsidRDefault="00EC1269">
                <w:pPr>
                  <w:jc w:val="right"/>
                  <w:rPr>
                    <w:rFonts w:asciiTheme="minorEastAsia" w:eastAsiaTheme="minorEastAsia" w:hAnsiTheme="minorEastAsia"/>
                    <w:spacing w:val="-20"/>
                  </w:rPr>
                </w:pPr>
                <w:r>
                  <w:rPr>
                    <w:rFonts w:asciiTheme="minorEastAsia" w:eastAsiaTheme="minorEastAsia" w:hAnsiTheme="minorEastAsia"/>
                    <w:spacing w:val="-20"/>
                  </w:rPr>
                  <w:t>28,144</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2BEF045" w14:textId="77777777" w:rsidR="007E7472" w:rsidRDefault="00C8327E">
                <w:pPr>
                  <w:jc w:val="right"/>
                  <w:rPr>
                    <w:rFonts w:asciiTheme="minorEastAsia" w:eastAsiaTheme="minorEastAsia" w:hAnsiTheme="minorEastAsia"/>
                    <w:spacing w:val="-20"/>
                  </w:rPr>
                </w:pP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321470CB" w14:textId="77777777" w:rsidR="007E7472" w:rsidRDefault="00C8327E">
                <w:pPr>
                  <w:jc w:val="right"/>
                  <w:rPr>
                    <w:rFonts w:asciiTheme="minorEastAsia" w:eastAsiaTheme="minorEastAsia" w:hAnsiTheme="minorEastAsia"/>
                    <w:spacing w:val="-20"/>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5537DA89" w14:textId="77777777" w:rsidR="007E7472" w:rsidRDefault="00C8327E">
                <w:pPr>
                  <w:jc w:val="right"/>
                  <w:rPr>
                    <w:rFonts w:asciiTheme="minorEastAsia" w:eastAsiaTheme="minorEastAsia" w:hAnsiTheme="minorEastAsia"/>
                    <w:spacing w:val="-20"/>
                  </w:rPr>
                </w:pP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14:paraId="5AC79BD9" w14:textId="77777777" w:rsidR="007E7472" w:rsidRDefault="00C8327E">
                <w:pPr>
                  <w:jc w:val="right"/>
                  <w:rPr>
                    <w:rFonts w:asciiTheme="minorEastAsia" w:eastAsiaTheme="minorEastAsia" w:hAnsiTheme="minorEastAsia"/>
                    <w:spacing w:val="-20"/>
                  </w:rPr>
                </w:pP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36B2CB1E" w14:textId="77777777" w:rsidR="007E7472" w:rsidRDefault="00C8327E">
                <w:pPr>
                  <w:jc w:val="right"/>
                  <w:rPr>
                    <w:rFonts w:asciiTheme="minorEastAsia" w:eastAsiaTheme="minorEastAsia" w:hAnsiTheme="minorEastAsia"/>
                    <w:spacing w:val="-20"/>
                  </w:rPr>
                </w:pP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tcPr>
              <w:p w14:paraId="04271E56" w14:textId="77777777" w:rsidR="007E7472" w:rsidRDefault="00EC1269">
                <w:pPr>
                  <w:jc w:val="right"/>
                  <w:rPr>
                    <w:rFonts w:asciiTheme="minorEastAsia" w:eastAsiaTheme="minorEastAsia" w:hAnsiTheme="minorEastAsia"/>
                    <w:spacing w:val="-20"/>
                  </w:rPr>
                </w:pPr>
                <w:r>
                  <w:rPr>
                    <w:rFonts w:eastAsiaTheme="minorEastAsia" w:hint="eastAsia"/>
                    <w:spacing w:val="-20"/>
                  </w:rPr>
                  <w:t>21,678</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6BC373F3" w14:textId="77777777" w:rsidR="007E7472" w:rsidRDefault="00EC1269">
                <w:pPr>
                  <w:jc w:val="right"/>
                  <w:rPr>
                    <w:rFonts w:asciiTheme="minorEastAsia" w:eastAsiaTheme="minorEastAsia" w:hAnsiTheme="minorEastAsia"/>
                    <w:spacing w:val="-20"/>
                  </w:rPr>
                </w:pPr>
                <w:r>
                  <w:rPr>
                    <w:spacing w:val="-20"/>
                  </w:rPr>
                  <w:t>1,259,480</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44441FA6" w14:textId="77777777" w:rsidR="007E7472" w:rsidRDefault="00C8327E">
                <w:pPr>
                  <w:jc w:val="right"/>
                  <w:rPr>
                    <w:rFonts w:asciiTheme="minorEastAsia" w:eastAsiaTheme="minorEastAsia" w:hAnsiTheme="minorEastAsia"/>
                    <w:spacing w:val="-20"/>
                  </w:rPr>
                </w:pPr>
              </w:p>
            </w:tc>
          </w:tr>
          <w:tr w:rsidR="007E7472" w14:paraId="5BDF24A2" w14:textId="77777777">
            <w:sdt>
              <w:sdtPr>
                <w:rPr>
                  <w:rFonts w:asciiTheme="minorEastAsia" w:hAnsiTheme="minorEastAsia"/>
                  <w:spacing w:val="-20"/>
                </w:rPr>
                <w:tag w:val="_PLD_0b6a8ff5b8594d3fa9d53755249b815f"/>
                <w:id w:val="-1973432594"/>
                <w:lock w:val="sdtLocked"/>
              </w:sdtPr>
              <w:sdtEndPr/>
              <w:sdtContent>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14:paraId="1438A358" w14:textId="77777777" w:rsidR="007E7472" w:rsidRDefault="00EC1269">
                    <w:pPr>
                      <w:rPr>
                        <w:rFonts w:asciiTheme="minorEastAsia" w:eastAsiaTheme="minorEastAsia" w:hAnsiTheme="minorEastAsia"/>
                        <w:spacing w:val="-20"/>
                      </w:rPr>
                    </w:pPr>
                    <w:r>
                      <w:rPr>
                        <w:rFonts w:asciiTheme="minorEastAsia" w:eastAsiaTheme="minorEastAsia" w:hAnsiTheme="minorEastAsia" w:hint="eastAsia"/>
                        <w:spacing w:val="-20"/>
                      </w:rPr>
                      <w:t>二、联营企业</w:t>
                    </w:r>
                  </w:p>
                </w:tc>
              </w:sdtContent>
            </w:sdt>
          </w:tr>
          <w:sdt>
            <w:sdtPr>
              <w:rPr>
                <w:rFonts w:asciiTheme="minorEastAsia" w:eastAsiaTheme="minorEastAsia" w:hAnsiTheme="minorEastAsia" w:cstheme="minorBidi" w:hint="eastAsia"/>
                <w:spacing w:val="-20"/>
                <w:kern w:val="2"/>
                <w:szCs w:val="22"/>
              </w:rPr>
              <w:alias w:val="联营企业投资信息明细"/>
              <w:tag w:val="_TUP_7b793873cf474c90a258ae813c0395d1"/>
              <w:id w:val="-301772069"/>
              <w:lock w:val="sdtLocked"/>
            </w:sdtPr>
            <w:sdtEndPr>
              <w:rPr>
                <w:rFonts w:hint="default"/>
              </w:rPr>
            </w:sdtEndPr>
            <w:sdtContent>
              <w:tr w:rsidR="007E7472" w14:paraId="163FE060" w14:textId="77777777">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1A8D4780" w14:textId="77777777" w:rsidR="007E7472" w:rsidRDefault="00EC1269">
                    <w:pPr>
                      <w:rPr>
                        <w:rFonts w:asciiTheme="minorEastAsia" w:hAnsiTheme="minorEastAsia"/>
                        <w:spacing w:val="-20"/>
                      </w:rPr>
                    </w:pPr>
                    <w:r>
                      <w:rPr>
                        <w:spacing w:val="-20"/>
                      </w:rPr>
                      <w:t>华电邹县发电有限公司</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38FCBB83" w14:textId="77777777" w:rsidR="007E7472" w:rsidRDefault="00EC1269">
                    <w:pPr>
                      <w:jc w:val="right"/>
                      <w:rPr>
                        <w:rFonts w:asciiTheme="minorEastAsia" w:eastAsiaTheme="minorEastAsia" w:hAnsiTheme="minorEastAsia"/>
                        <w:bCs/>
                        <w:spacing w:val="-20"/>
                        <w:sz w:val="24"/>
                        <w:szCs w:val="24"/>
                      </w:rPr>
                    </w:pPr>
                    <w:r>
                      <w:rPr>
                        <w:rFonts w:asciiTheme="minorEastAsia" w:eastAsiaTheme="minorEastAsia" w:hAnsiTheme="minorEastAsia"/>
                        <w:spacing w:val="-20"/>
                      </w:rPr>
                      <w:t>984,543</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14:paraId="52B26B67" w14:textId="77777777" w:rsidR="007E7472" w:rsidRDefault="00C8327E">
                    <w:pPr>
                      <w:jc w:val="right"/>
                      <w:rPr>
                        <w:rFonts w:asciiTheme="minorEastAsia" w:eastAsiaTheme="minorEastAsia" w:hAnsiTheme="minorEastAsia"/>
                        <w:spacing w:val="-20"/>
                      </w:rPr>
                    </w:pP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21CF2DF4" w14:textId="77777777" w:rsidR="007E7472" w:rsidRDefault="00C8327E">
                    <w:pPr>
                      <w:jc w:val="right"/>
                      <w:rPr>
                        <w:rFonts w:asciiTheme="minorEastAsia" w:eastAsiaTheme="minorEastAsia" w:hAnsiTheme="minorEastAsia"/>
                        <w:spacing w:val="-20"/>
                      </w:rPr>
                    </w:pP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2422B3D2" w14:textId="77777777" w:rsidR="007E7472" w:rsidRDefault="00EC1269">
                    <w:pPr>
                      <w:jc w:val="right"/>
                      <w:rPr>
                        <w:rFonts w:asciiTheme="minorEastAsia" w:eastAsiaTheme="minorEastAsia" w:hAnsiTheme="minorEastAsia"/>
                        <w:spacing w:val="-20"/>
                      </w:rPr>
                    </w:pPr>
                    <w:r>
                      <w:rPr>
                        <w:rFonts w:asciiTheme="minorEastAsia" w:eastAsiaTheme="minorEastAsia" w:hAnsiTheme="minorEastAsia"/>
                        <w:spacing w:val="-20"/>
                      </w:rPr>
                      <w:t>59,477</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62595262" w14:textId="77777777" w:rsidR="007E7472" w:rsidRDefault="00C8327E">
                    <w:pPr>
                      <w:jc w:val="right"/>
                      <w:rPr>
                        <w:rFonts w:asciiTheme="minorEastAsia" w:eastAsiaTheme="minorEastAsia" w:hAnsiTheme="minorEastAsia"/>
                        <w:spacing w:val="-20"/>
                      </w:rPr>
                    </w:pP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17BA644D" w14:textId="77777777" w:rsidR="007E7472" w:rsidRDefault="00EC1269">
                    <w:pPr>
                      <w:jc w:val="right"/>
                      <w:rPr>
                        <w:rFonts w:asciiTheme="minorEastAsia" w:eastAsiaTheme="minorEastAsia" w:hAnsiTheme="minorEastAsia"/>
                        <w:spacing w:val="-20"/>
                      </w:rPr>
                    </w:pPr>
                    <w:r>
                      <w:rPr>
                        <w:rFonts w:asciiTheme="minorEastAsia" w:eastAsiaTheme="minorEastAsia" w:hAnsiTheme="minorEastAsia"/>
                        <w:spacing w:val="-20"/>
                      </w:rPr>
                      <w:t>6,293</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64A6AA9F" w14:textId="77777777" w:rsidR="007E7472" w:rsidRDefault="00C8327E">
                    <w:pPr>
                      <w:jc w:val="right"/>
                      <w:rPr>
                        <w:rFonts w:asciiTheme="minorEastAsia" w:eastAsiaTheme="minorEastAsia" w:hAnsiTheme="minorEastAsia"/>
                        <w:spacing w:val="-20"/>
                      </w:rPr>
                    </w:pP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14:paraId="68EC8EFE" w14:textId="77777777" w:rsidR="007E7472" w:rsidRDefault="00C8327E">
                    <w:pPr>
                      <w:jc w:val="right"/>
                      <w:rPr>
                        <w:rFonts w:asciiTheme="minorEastAsia" w:eastAsiaTheme="minorEastAsia" w:hAnsiTheme="minorEastAsia"/>
                        <w:spacing w:val="-20"/>
                      </w:rPr>
                    </w:pP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5636A26E" w14:textId="77777777" w:rsidR="007E7472" w:rsidRDefault="00C8327E">
                    <w:pPr>
                      <w:jc w:val="right"/>
                      <w:rPr>
                        <w:rFonts w:asciiTheme="minorEastAsia" w:eastAsiaTheme="minorEastAsia" w:hAnsiTheme="minorEastAsia"/>
                        <w:spacing w:val="-20"/>
                      </w:rPr>
                    </w:pP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tcPr>
                  <w:p w14:paraId="09022EFB" w14:textId="77777777" w:rsidR="007E7472" w:rsidRDefault="00C8327E">
                    <w:pPr>
                      <w:jc w:val="right"/>
                      <w:rPr>
                        <w:rFonts w:asciiTheme="minorEastAsia" w:eastAsiaTheme="minorEastAsia" w:hAnsiTheme="minorEastAsia"/>
                        <w:spacing w:val="-20"/>
                      </w:rPr>
                    </w:pP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33D0FE91" w14:textId="77777777" w:rsidR="007E7472" w:rsidRDefault="00EC1269">
                    <w:pPr>
                      <w:jc w:val="right"/>
                      <w:rPr>
                        <w:rFonts w:asciiTheme="minorEastAsia" w:eastAsiaTheme="minorEastAsia" w:hAnsiTheme="minorEastAsia"/>
                        <w:spacing w:val="-20"/>
                      </w:rPr>
                    </w:pPr>
                    <w:r>
                      <w:rPr>
                        <w:rFonts w:asciiTheme="minorEastAsia" w:eastAsiaTheme="minorEastAsia" w:hAnsiTheme="minorEastAsia"/>
                        <w:spacing w:val="-20"/>
                      </w:rPr>
                      <w:t>1,050,313</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73C2E108" w14:textId="77777777" w:rsidR="007E7472" w:rsidRDefault="00C8327E">
                    <w:pPr>
                      <w:jc w:val="right"/>
                      <w:rPr>
                        <w:rFonts w:asciiTheme="minorEastAsia" w:hAnsiTheme="minorEastAsia"/>
                        <w:spacing w:val="-20"/>
                      </w:rPr>
                    </w:pPr>
                  </w:p>
                </w:tc>
              </w:tr>
            </w:sdtContent>
          </w:sdt>
          <w:sdt>
            <w:sdtPr>
              <w:rPr>
                <w:rFonts w:asciiTheme="minorEastAsia" w:eastAsiaTheme="minorEastAsia" w:hAnsiTheme="minorEastAsia" w:cstheme="minorBidi" w:hint="eastAsia"/>
                <w:spacing w:val="-20"/>
                <w:kern w:val="2"/>
                <w:szCs w:val="22"/>
              </w:rPr>
              <w:alias w:val="联营企业投资信息明细"/>
              <w:tag w:val="_TUP_7b793873cf474c90a258ae813c0395d1"/>
              <w:id w:val="-360592865"/>
              <w:lock w:val="sdtLocked"/>
            </w:sdtPr>
            <w:sdtEndPr>
              <w:rPr>
                <w:rFonts w:hint="default"/>
              </w:rPr>
            </w:sdtEndPr>
            <w:sdtContent>
              <w:tr w:rsidR="007E7472" w14:paraId="11F95EAE" w14:textId="77777777">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2B8F8F14" w14:textId="77777777" w:rsidR="007E7472" w:rsidRDefault="00EC1269">
                    <w:pPr>
                      <w:rPr>
                        <w:rFonts w:asciiTheme="minorEastAsia" w:hAnsiTheme="minorEastAsia"/>
                        <w:spacing w:val="-20"/>
                      </w:rPr>
                    </w:pPr>
                    <w:r>
                      <w:rPr>
                        <w:spacing w:val="-20"/>
                      </w:rPr>
                      <w:t>齐鲁银行股份有限公司(注</w:t>
                    </w:r>
                    <w:r>
                      <w:rPr>
                        <w:rFonts w:hint="eastAsia"/>
                        <w:spacing w:val="-20"/>
                      </w:rPr>
                      <w:t>5</w:t>
                    </w:r>
                    <w:r>
                      <w:rPr>
                        <w:spacing w:val="-20"/>
                      </w:rPr>
                      <w:t>)</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3D70C1B1" w14:textId="77777777" w:rsidR="007E7472" w:rsidRDefault="00EC1269">
                    <w:pPr>
                      <w:jc w:val="right"/>
                      <w:rPr>
                        <w:rFonts w:asciiTheme="minorEastAsia" w:eastAsiaTheme="minorEastAsia" w:hAnsiTheme="minorEastAsia"/>
                        <w:spacing w:val="-20"/>
                      </w:rPr>
                    </w:pPr>
                    <w:r>
                      <w:rPr>
                        <w:rFonts w:asciiTheme="minorEastAsia" w:eastAsiaTheme="minorEastAsia" w:hAnsiTheme="minorEastAsia"/>
                        <w:spacing w:val="-20"/>
                      </w:rPr>
                      <w:t>2,269,764</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14:paraId="29C36B75" w14:textId="77777777" w:rsidR="007E7472" w:rsidRDefault="00C8327E">
                    <w:pPr>
                      <w:jc w:val="right"/>
                      <w:rPr>
                        <w:rFonts w:asciiTheme="minorEastAsia" w:eastAsiaTheme="minorEastAsia" w:hAnsiTheme="minorEastAsia"/>
                        <w:spacing w:val="-20"/>
                      </w:rPr>
                    </w:pP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48FE3E45" w14:textId="77777777" w:rsidR="007E7472" w:rsidRDefault="00C8327E">
                    <w:pPr>
                      <w:jc w:val="right"/>
                      <w:rPr>
                        <w:rFonts w:asciiTheme="minorEastAsia" w:eastAsiaTheme="minorEastAsia" w:hAnsiTheme="minorEastAsia"/>
                        <w:spacing w:val="-20"/>
                      </w:rPr>
                    </w:pP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5CA7C3F1" w14:textId="5E95B139" w:rsidR="007E7472" w:rsidRDefault="00C8327E">
                    <w:pPr>
                      <w:jc w:val="right"/>
                      <w:rPr>
                        <w:rFonts w:asciiTheme="minorEastAsia" w:eastAsiaTheme="minorEastAsia" w:hAnsiTheme="minorEastAsia"/>
                        <w:spacing w:val="-20"/>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2B14DD74" w14:textId="2FBCBB10" w:rsidR="007E7472" w:rsidRDefault="00C8327E">
                    <w:pPr>
                      <w:jc w:val="right"/>
                      <w:rPr>
                        <w:rFonts w:asciiTheme="minorEastAsia" w:eastAsiaTheme="minorEastAsia" w:hAnsiTheme="minorEastAsia"/>
                        <w:spacing w:val="-20"/>
                      </w:rPr>
                    </w:pP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5A806A01" w14:textId="7661291B" w:rsidR="007E7472" w:rsidRDefault="00C8327E">
                    <w:pPr>
                      <w:jc w:val="right"/>
                      <w:rPr>
                        <w:rFonts w:asciiTheme="minorEastAsia" w:eastAsiaTheme="minorEastAsia" w:hAnsiTheme="minorEastAsia"/>
                        <w:spacing w:val="-20"/>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0B6F916B" w14:textId="77777777" w:rsidR="007E7472" w:rsidRDefault="00C8327E">
                    <w:pPr>
                      <w:jc w:val="right"/>
                      <w:rPr>
                        <w:rFonts w:asciiTheme="minorEastAsia" w:eastAsiaTheme="minorEastAsia" w:hAnsiTheme="minorEastAsia"/>
                        <w:spacing w:val="-20"/>
                      </w:rPr>
                    </w:pP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14:paraId="522A5C4F" w14:textId="77777777" w:rsidR="007E7472" w:rsidRDefault="00C8327E">
                    <w:pPr>
                      <w:jc w:val="right"/>
                      <w:rPr>
                        <w:rFonts w:asciiTheme="minorEastAsia" w:eastAsiaTheme="minorEastAsia" w:hAnsiTheme="minorEastAsia"/>
                        <w:spacing w:val="-20"/>
                      </w:rPr>
                    </w:pP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3E242382" w14:textId="77777777" w:rsidR="007E7472" w:rsidRDefault="00C8327E">
                    <w:pPr>
                      <w:jc w:val="right"/>
                      <w:rPr>
                        <w:rFonts w:asciiTheme="minorEastAsia" w:eastAsiaTheme="minorEastAsia" w:hAnsiTheme="minorEastAsia"/>
                        <w:spacing w:val="-20"/>
                      </w:rPr>
                    </w:pP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tcPr>
                  <w:p w14:paraId="0B72FFC8" w14:textId="77777777" w:rsidR="007E7472" w:rsidRDefault="00C8327E">
                    <w:pPr>
                      <w:jc w:val="right"/>
                      <w:rPr>
                        <w:rFonts w:asciiTheme="minorEastAsia" w:eastAsiaTheme="minorEastAsia" w:hAnsiTheme="minorEastAsia"/>
                        <w:spacing w:val="-20"/>
                      </w:rPr>
                    </w:pP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55CB4F0E" w14:textId="47DCB84B" w:rsidR="007E7472" w:rsidRDefault="00C8327E">
                    <w:pPr>
                      <w:jc w:val="right"/>
                      <w:rPr>
                        <w:rFonts w:asciiTheme="minorEastAsia" w:eastAsiaTheme="minorEastAsia" w:hAnsiTheme="minorEastAsia"/>
                        <w:spacing w:val="-20"/>
                      </w:rPr>
                    </w:pP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73A4BD26" w14:textId="77777777" w:rsidR="007E7472" w:rsidRDefault="00C8327E">
                    <w:pPr>
                      <w:jc w:val="right"/>
                      <w:rPr>
                        <w:rFonts w:asciiTheme="minorEastAsia" w:hAnsiTheme="minorEastAsia"/>
                        <w:spacing w:val="-20"/>
                      </w:rPr>
                    </w:pPr>
                  </w:p>
                </w:tc>
              </w:tr>
            </w:sdtContent>
          </w:sdt>
          <w:sdt>
            <w:sdtPr>
              <w:rPr>
                <w:rFonts w:asciiTheme="minorEastAsia" w:eastAsiaTheme="minorEastAsia" w:hAnsiTheme="minorEastAsia" w:cstheme="minorBidi" w:hint="eastAsia"/>
                <w:spacing w:val="-20"/>
                <w:kern w:val="2"/>
                <w:szCs w:val="22"/>
              </w:rPr>
              <w:alias w:val="联营企业投资信息明细"/>
              <w:tag w:val="_TUP_7b793873cf474c90a258ae813c0395d1"/>
              <w:id w:val="2087491073"/>
              <w:lock w:val="sdtLocked"/>
            </w:sdtPr>
            <w:sdtEndPr>
              <w:rPr>
                <w:rFonts w:hint="default"/>
              </w:rPr>
            </w:sdtEndPr>
            <w:sdtContent>
              <w:tr w:rsidR="007E7472" w14:paraId="798FEA1B" w14:textId="77777777">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26B20710" w14:textId="77777777" w:rsidR="007E7472" w:rsidRDefault="00EC1269">
                    <w:pPr>
                      <w:rPr>
                        <w:rFonts w:asciiTheme="minorEastAsia" w:hAnsiTheme="minorEastAsia"/>
                        <w:spacing w:val="-20"/>
                      </w:rPr>
                    </w:pPr>
                    <w:r>
                      <w:rPr>
                        <w:spacing w:val="-20"/>
                      </w:rPr>
                      <w:t>上海中期期货股份有限公司（注</w:t>
                    </w:r>
                    <w:r>
                      <w:rPr>
                        <w:rFonts w:hint="eastAsia"/>
                        <w:spacing w:val="-20"/>
                      </w:rPr>
                      <w:t>5</w:t>
                    </w:r>
                    <w:r>
                      <w:rPr>
                        <w:spacing w:val="-20"/>
                      </w:rPr>
                      <w:t>）</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16C5C017" w14:textId="77777777" w:rsidR="007E7472" w:rsidRDefault="00EC1269">
                    <w:pPr>
                      <w:jc w:val="right"/>
                      <w:rPr>
                        <w:rFonts w:asciiTheme="minorEastAsia" w:eastAsiaTheme="minorEastAsia" w:hAnsiTheme="minorEastAsia"/>
                        <w:spacing w:val="-20"/>
                      </w:rPr>
                    </w:pPr>
                    <w:r>
                      <w:rPr>
                        <w:rFonts w:asciiTheme="minorEastAsia" w:eastAsiaTheme="minorEastAsia" w:hAnsiTheme="minorEastAsia"/>
                        <w:spacing w:val="-20"/>
                      </w:rPr>
                      <w:t>725,696</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14:paraId="3B66EC93" w14:textId="77777777" w:rsidR="007E7472" w:rsidRDefault="00C8327E">
                    <w:pPr>
                      <w:jc w:val="right"/>
                      <w:rPr>
                        <w:rFonts w:asciiTheme="minorEastAsia" w:eastAsiaTheme="minorEastAsia" w:hAnsiTheme="minorEastAsia"/>
                        <w:spacing w:val="-20"/>
                      </w:rPr>
                    </w:pP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768EA269" w14:textId="77777777" w:rsidR="007E7472" w:rsidRDefault="00C8327E">
                    <w:pPr>
                      <w:jc w:val="right"/>
                      <w:rPr>
                        <w:rFonts w:asciiTheme="minorEastAsia" w:eastAsiaTheme="minorEastAsia" w:hAnsiTheme="minorEastAsia"/>
                        <w:spacing w:val="-20"/>
                      </w:rPr>
                    </w:pP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58F97C45" w14:textId="53F1A29E" w:rsidR="007E7472" w:rsidRDefault="00C8327E">
                    <w:pPr>
                      <w:jc w:val="right"/>
                      <w:rPr>
                        <w:rFonts w:asciiTheme="minorEastAsia" w:eastAsiaTheme="minorEastAsia" w:hAnsiTheme="minorEastAsia"/>
                        <w:spacing w:val="-20"/>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6215315" w14:textId="77777777" w:rsidR="007E7472" w:rsidRDefault="00C8327E">
                    <w:pPr>
                      <w:jc w:val="right"/>
                      <w:rPr>
                        <w:rFonts w:asciiTheme="minorEastAsia" w:eastAsiaTheme="minorEastAsia" w:hAnsiTheme="minorEastAsia"/>
                        <w:spacing w:val="-20"/>
                      </w:rPr>
                    </w:pP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777D3BAB" w14:textId="77777777" w:rsidR="007E7472" w:rsidRDefault="00C8327E">
                    <w:pPr>
                      <w:jc w:val="right"/>
                      <w:rPr>
                        <w:rFonts w:asciiTheme="minorEastAsia" w:eastAsiaTheme="minorEastAsia" w:hAnsiTheme="minorEastAsia"/>
                        <w:spacing w:val="-20"/>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1A6716D2" w14:textId="77777777" w:rsidR="007E7472" w:rsidRDefault="00C8327E">
                    <w:pPr>
                      <w:jc w:val="right"/>
                      <w:rPr>
                        <w:rFonts w:asciiTheme="minorEastAsia" w:eastAsiaTheme="minorEastAsia" w:hAnsiTheme="minorEastAsia"/>
                        <w:spacing w:val="-20"/>
                      </w:rPr>
                    </w:pP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14:paraId="7FE327F7" w14:textId="77777777" w:rsidR="007E7472" w:rsidRDefault="00C8327E">
                    <w:pPr>
                      <w:jc w:val="right"/>
                      <w:rPr>
                        <w:rFonts w:asciiTheme="minorEastAsia" w:eastAsiaTheme="minorEastAsia" w:hAnsiTheme="minorEastAsia"/>
                        <w:spacing w:val="-20"/>
                      </w:rPr>
                    </w:pP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488118FB" w14:textId="77F85A91" w:rsidR="007E7472" w:rsidRDefault="00C8327E">
                    <w:pPr>
                      <w:jc w:val="right"/>
                      <w:rPr>
                        <w:rFonts w:asciiTheme="minorEastAsia" w:eastAsiaTheme="minorEastAsia" w:hAnsiTheme="minorEastAsia"/>
                        <w:spacing w:val="-20"/>
                      </w:rPr>
                    </w:pP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tcPr>
                  <w:p w14:paraId="1BA81E8A" w14:textId="77777777" w:rsidR="007E7472" w:rsidRDefault="00C8327E">
                    <w:pPr>
                      <w:jc w:val="right"/>
                      <w:rPr>
                        <w:rFonts w:asciiTheme="minorEastAsia" w:eastAsiaTheme="minorEastAsia" w:hAnsiTheme="minorEastAsia"/>
                        <w:spacing w:val="-20"/>
                      </w:rPr>
                    </w:pP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1BA8674E" w14:textId="41EBD402" w:rsidR="007E7472" w:rsidRDefault="00C8327E">
                    <w:pPr>
                      <w:jc w:val="right"/>
                      <w:rPr>
                        <w:rFonts w:asciiTheme="minorEastAsia" w:eastAsiaTheme="minorEastAsia" w:hAnsiTheme="minorEastAsia"/>
                        <w:spacing w:val="-20"/>
                      </w:rPr>
                    </w:pP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268FE6A4" w14:textId="77777777" w:rsidR="007E7472" w:rsidRDefault="00C8327E">
                    <w:pPr>
                      <w:jc w:val="right"/>
                      <w:rPr>
                        <w:rFonts w:asciiTheme="minorEastAsia" w:hAnsiTheme="minorEastAsia"/>
                        <w:spacing w:val="-20"/>
                      </w:rPr>
                    </w:pPr>
                  </w:p>
                </w:tc>
              </w:tr>
            </w:sdtContent>
          </w:sdt>
          <w:sdt>
            <w:sdtPr>
              <w:rPr>
                <w:rFonts w:asciiTheme="minorEastAsia" w:eastAsiaTheme="minorEastAsia" w:hAnsiTheme="minorEastAsia" w:cstheme="minorBidi" w:hint="eastAsia"/>
                <w:spacing w:val="-20"/>
                <w:kern w:val="2"/>
                <w:szCs w:val="22"/>
              </w:rPr>
              <w:alias w:val="联营企业投资信息明细"/>
              <w:tag w:val="_TUP_7b793873cf474c90a258ae813c0395d1"/>
              <w:id w:val="-93258825"/>
              <w:lock w:val="sdtLocked"/>
            </w:sdtPr>
            <w:sdtEndPr>
              <w:rPr>
                <w:rFonts w:hint="default"/>
              </w:rPr>
            </w:sdtEndPr>
            <w:sdtContent>
              <w:tr w:rsidR="007E7472" w14:paraId="31068756" w14:textId="77777777">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2115076B" w14:textId="77777777" w:rsidR="007E7472" w:rsidRDefault="00913748" w:rsidP="007E7472">
                    <w:pPr>
                      <w:rPr>
                        <w:rFonts w:asciiTheme="minorEastAsia" w:hAnsiTheme="minorEastAsia"/>
                        <w:spacing w:val="-20"/>
                      </w:rPr>
                    </w:pPr>
                    <w:r>
                      <w:rPr>
                        <w:spacing w:val="-20"/>
                      </w:rPr>
                      <w:t>内蒙古伊泰呼准铁路有限公司</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3ECA6638" w14:textId="77777777" w:rsidR="007E7472" w:rsidRDefault="00913748" w:rsidP="007E7472">
                    <w:pPr>
                      <w:jc w:val="right"/>
                      <w:rPr>
                        <w:spacing w:val="-20"/>
                      </w:rPr>
                    </w:pPr>
                    <w:r>
                      <w:rPr>
                        <w:spacing w:val="-20"/>
                      </w:rPr>
                      <w:t>2,159,397</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14:paraId="75C03DB8" w14:textId="77777777" w:rsidR="007E7472" w:rsidRDefault="00C8327E" w:rsidP="007E7472">
                    <w:pPr>
                      <w:jc w:val="right"/>
                      <w:rPr>
                        <w:rFonts w:asciiTheme="minorEastAsia" w:hAnsiTheme="minorEastAsia"/>
                        <w:spacing w:val="-20"/>
                      </w:rPr>
                    </w:pP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6B0CB1B4" w14:textId="77777777" w:rsidR="007E7472" w:rsidRDefault="00C8327E" w:rsidP="007E7472">
                    <w:pPr>
                      <w:jc w:val="right"/>
                      <w:rPr>
                        <w:rFonts w:asciiTheme="minorEastAsia" w:hAnsiTheme="minorEastAsia"/>
                        <w:spacing w:val="-20"/>
                      </w:rPr>
                    </w:pP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610A3BF4" w14:textId="3F7C72F6" w:rsidR="007E7472" w:rsidRDefault="00913748" w:rsidP="007E7472">
                    <w:pPr>
                      <w:jc w:val="right"/>
                      <w:rPr>
                        <w:rFonts w:asciiTheme="minorEastAsia" w:hAnsiTheme="minorEastAsia"/>
                        <w:spacing w:val="-20"/>
                      </w:rPr>
                    </w:pPr>
                    <w:r w:rsidRPr="00846B08">
                      <w:rPr>
                        <w:spacing w:val="-20"/>
                      </w:rPr>
                      <w:t>42,583</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60AAD954" w14:textId="77777777" w:rsidR="007E7472" w:rsidRDefault="00913748" w:rsidP="007E7472">
                    <w:pPr>
                      <w:jc w:val="right"/>
                      <w:rPr>
                        <w:rFonts w:asciiTheme="minorEastAsia" w:hAnsiTheme="minorEastAsia"/>
                        <w:spacing w:val="-20"/>
                      </w:rPr>
                    </w:pPr>
                    <w:r>
                      <w:rPr>
                        <w:spacing w:val="-20"/>
                      </w:rPr>
                      <w:t>5,983</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1560559E" w14:textId="77777777" w:rsidR="007E7472" w:rsidRDefault="00913748" w:rsidP="007E7472">
                    <w:pPr>
                      <w:jc w:val="right"/>
                      <w:rPr>
                        <w:rFonts w:asciiTheme="minorEastAsia" w:hAnsiTheme="minorEastAsia"/>
                        <w:spacing w:val="-20"/>
                      </w:rPr>
                    </w:pPr>
                    <w:r>
                      <w:rPr>
                        <w:spacing w:val="-20"/>
                      </w:rPr>
                      <w:t>1,585</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2BC149AB" w14:textId="77777777" w:rsidR="007E7472" w:rsidRDefault="00C8327E" w:rsidP="007E7472">
                    <w:pPr>
                      <w:jc w:val="right"/>
                      <w:rPr>
                        <w:rFonts w:asciiTheme="minorEastAsia" w:hAnsiTheme="minorEastAsia"/>
                        <w:spacing w:val="-20"/>
                      </w:rPr>
                    </w:pP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14:paraId="3133F299" w14:textId="77777777" w:rsidR="007E7472" w:rsidRDefault="00C8327E" w:rsidP="007E7472">
                    <w:pPr>
                      <w:jc w:val="right"/>
                      <w:rPr>
                        <w:rFonts w:asciiTheme="minorEastAsia" w:hAnsiTheme="minorEastAsia"/>
                        <w:spacing w:val="-20"/>
                      </w:rPr>
                    </w:pP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30EEAA61" w14:textId="77777777" w:rsidR="007E7472" w:rsidRDefault="00C8327E" w:rsidP="007E7472">
                    <w:pPr>
                      <w:jc w:val="right"/>
                      <w:rPr>
                        <w:rFonts w:asciiTheme="minorEastAsia" w:hAnsiTheme="minorEastAsia"/>
                        <w:spacing w:val="-20"/>
                      </w:rPr>
                    </w:pP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tcPr>
                  <w:p w14:paraId="4F0B1A10" w14:textId="77777777" w:rsidR="007E7472" w:rsidRDefault="00C8327E" w:rsidP="007E7472">
                    <w:pPr>
                      <w:jc w:val="right"/>
                      <w:rPr>
                        <w:rFonts w:asciiTheme="minorEastAsia" w:hAnsiTheme="minorEastAsia"/>
                        <w:spacing w:val="-20"/>
                      </w:rPr>
                    </w:pP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77F3B4F2" w14:textId="5ECEF293" w:rsidR="007E7472" w:rsidRPr="004337DF" w:rsidRDefault="00913748" w:rsidP="007E7472">
                    <w:pPr>
                      <w:jc w:val="right"/>
                      <w:rPr>
                        <w:rFonts w:asciiTheme="minorEastAsia" w:hAnsiTheme="minorEastAsia"/>
                        <w:spacing w:val="-20"/>
                      </w:rPr>
                    </w:pPr>
                    <w:r w:rsidRPr="004337DF">
                      <w:rPr>
                        <w:spacing w:val="-20"/>
                      </w:rPr>
                      <w:t>2,209,548</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5B719FA6" w14:textId="77777777" w:rsidR="007E7472" w:rsidRDefault="00C8327E" w:rsidP="007E7472">
                    <w:pPr>
                      <w:jc w:val="right"/>
                      <w:rPr>
                        <w:rFonts w:asciiTheme="minorEastAsia" w:hAnsiTheme="minorEastAsia"/>
                        <w:spacing w:val="-20"/>
                      </w:rPr>
                    </w:pPr>
                  </w:p>
                </w:tc>
              </w:tr>
            </w:sdtContent>
          </w:sdt>
          <w:sdt>
            <w:sdtPr>
              <w:rPr>
                <w:rFonts w:asciiTheme="minorEastAsia" w:eastAsiaTheme="minorEastAsia" w:hAnsiTheme="minorEastAsia" w:cstheme="minorBidi" w:hint="eastAsia"/>
                <w:spacing w:val="-20"/>
                <w:kern w:val="2"/>
                <w:szCs w:val="22"/>
              </w:rPr>
              <w:alias w:val="联营企业投资信息明细"/>
              <w:tag w:val="_TUP_7b793873cf474c90a258ae813c0395d1"/>
              <w:id w:val="201217063"/>
              <w:lock w:val="sdtLocked"/>
            </w:sdtPr>
            <w:sdtEndPr>
              <w:rPr>
                <w:rFonts w:hint="default"/>
              </w:rPr>
            </w:sdtEndPr>
            <w:sdtContent>
              <w:tr w:rsidR="007E7472" w14:paraId="327047ED" w14:textId="77777777">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6282B486" w14:textId="77777777" w:rsidR="007E7472" w:rsidRDefault="00913748" w:rsidP="007E7472">
                    <w:pPr>
                      <w:rPr>
                        <w:rFonts w:asciiTheme="minorEastAsia" w:hAnsiTheme="minorEastAsia"/>
                        <w:spacing w:val="-20"/>
                      </w:rPr>
                    </w:pPr>
                    <w:r>
                      <w:rPr>
                        <w:spacing w:val="-20"/>
                      </w:rPr>
                      <w:t>鄂尔多斯市海勒斯铁路运输有限公司</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4B54610E" w14:textId="77777777" w:rsidR="007E7472" w:rsidRDefault="00913748" w:rsidP="007E7472">
                    <w:pPr>
                      <w:jc w:val="right"/>
                      <w:rPr>
                        <w:spacing w:val="-20"/>
                      </w:rPr>
                    </w:pPr>
                    <w:r>
                      <w:rPr>
                        <w:spacing w:val="-20"/>
                      </w:rPr>
                      <w:t>48,289</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14:paraId="7F1C30E5" w14:textId="77777777" w:rsidR="007E7472" w:rsidRDefault="00C8327E" w:rsidP="007E7472">
                    <w:pPr>
                      <w:jc w:val="right"/>
                      <w:rPr>
                        <w:rFonts w:asciiTheme="minorEastAsia" w:hAnsiTheme="minorEastAsia"/>
                        <w:spacing w:val="-20"/>
                      </w:rPr>
                    </w:pP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778CC716" w14:textId="77777777" w:rsidR="007E7472" w:rsidRDefault="00C8327E" w:rsidP="007E7472">
                    <w:pPr>
                      <w:jc w:val="right"/>
                      <w:rPr>
                        <w:rFonts w:asciiTheme="minorEastAsia" w:hAnsiTheme="minorEastAsia"/>
                        <w:spacing w:val="-20"/>
                      </w:rPr>
                    </w:pP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6EBE879B" w14:textId="52F9ED97" w:rsidR="007E7472" w:rsidRDefault="00913748" w:rsidP="007E7472">
                    <w:pPr>
                      <w:jc w:val="right"/>
                      <w:rPr>
                        <w:rFonts w:asciiTheme="minorEastAsia" w:hAnsiTheme="minorEastAsia"/>
                        <w:spacing w:val="-20"/>
                      </w:rPr>
                    </w:pPr>
                    <w:r w:rsidRPr="00846B08">
                      <w:rPr>
                        <w:spacing w:val="-20"/>
                      </w:rPr>
                      <w:t>-440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E6545D0" w14:textId="245325DB" w:rsidR="007E7472" w:rsidRDefault="00C8327E" w:rsidP="007E7472">
                    <w:pPr>
                      <w:jc w:val="right"/>
                      <w:rPr>
                        <w:rFonts w:asciiTheme="minorEastAsia" w:hAnsiTheme="minorEastAsia"/>
                        <w:spacing w:val="-20"/>
                      </w:rPr>
                    </w:pP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2E3403D2" w14:textId="77777777" w:rsidR="007E7472" w:rsidRDefault="00C8327E" w:rsidP="007E7472">
                    <w:pPr>
                      <w:jc w:val="right"/>
                      <w:rPr>
                        <w:rFonts w:asciiTheme="minorEastAsia" w:hAnsiTheme="minorEastAsia"/>
                        <w:spacing w:val="-20"/>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1C835F2A" w14:textId="77777777" w:rsidR="007E7472" w:rsidRDefault="00C8327E" w:rsidP="007E7472">
                    <w:pPr>
                      <w:jc w:val="right"/>
                      <w:rPr>
                        <w:rFonts w:asciiTheme="minorEastAsia" w:hAnsiTheme="minorEastAsia"/>
                        <w:spacing w:val="-20"/>
                      </w:rPr>
                    </w:pP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14:paraId="76E699DC" w14:textId="77777777" w:rsidR="007E7472" w:rsidRDefault="00C8327E" w:rsidP="007E7472">
                    <w:pPr>
                      <w:jc w:val="right"/>
                      <w:rPr>
                        <w:rFonts w:asciiTheme="minorEastAsia" w:hAnsiTheme="minorEastAsia"/>
                        <w:spacing w:val="-20"/>
                      </w:rPr>
                    </w:pP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07A97154" w14:textId="77777777" w:rsidR="007E7472" w:rsidRDefault="00C8327E" w:rsidP="007E7472">
                    <w:pPr>
                      <w:jc w:val="right"/>
                      <w:rPr>
                        <w:rFonts w:asciiTheme="minorEastAsia" w:hAnsiTheme="minorEastAsia"/>
                        <w:spacing w:val="-20"/>
                      </w:rPr>
                    </w:pP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tcPr>
                  <w:p w14:paraId="0A6D6648" w14:textId="77777777" w:rsidR="007E7472" w:rsidRDefault="00C8327E" w:rsidP="007E7472">
                    <w:pPr>
                      <w:jc w:val="right"/>
                      <w:rPr>
                        <w:rFonts w:asciiTheme="minorEastAsia" w:hAnsiTheme="minorEastAsia"/>
                        <w:spacing w:val="-20"/>
                      </w:rPr>
                    </w:pP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21F98591" w14:textId="6F5E6C60" w:rsidR="007E7472" w:rsidRPr="004337DF" w:rsidRDefault="00913748" w:rsidP="007E7472">
                    <w:pPr>
                      <w:jc w:val="right"/>
                      <w:rPr>
                        <w:rFonts w:asciiTheme="minorEastAsia" w:hAnsiTheme="minorEastAsia"/>
                        <w:spacing w:val="-20"/>
                      </w:rPr>
                    </w:pPr>
                    <w:r w:rsidRPr="004337DF">
                      <w:rPr>
                        <w:spacing w:val="-20"/>
                      </w:rPr>
                      <w:t>47,849</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7C85C1FF" w14:textId="77777777" w:rsidR="007E7472" w:rsidRDefault="00C8327E" w:rsidP="007E7472">
                    <w:pPr>
                      <w:jc w:val="right"/>
                      <w:rPr>
                        <w:rFonts w:asciiTheme="minorEastAsia" w:hAnsiTheme="minorEastAsia"/>
                        <w:spacing w:val="-20"/>
                      </w:rPr>
                    </w:pPr>
                  </w:p>
                </w:tc>
              </w:tr>
            </w:sdtContent>
          </w:sdt>
          <w:sdt>
            <w:sdtPr>
              <w:rPr>
                <w:rFonts w:asciiTheme="minorEastAsia" w:eastAsiaTheme="minorEastAsia" w:hAnsiTheme="minorEastAsia" w:cstheme="minorBidi" w:hint="eastAsia"/>
                <w:spacing w:val="-20"/>
                <w:kern w:val="2"/>
                <w:szCs w:val="22"/>
              </w:rPr>
              <w:alias w:val="联营企业投资信息明细"/>
              <w:tag w:val="_TUP_7b793873cf474c90a258ae813c0395d1"/>
              <w:id w:val="-1356106831"/>
              <w:lock w:val="sdtLocked"/>
            </w:sdtPr>
            <w:sdtEndPr>
              <w:rPr>
                <w:rFonts w:hint="default"/>
              </w:rPr>
            </w:sdtEndPr>
            <w:sdtContent>
              <w:tr w:rsidR="007E7472" w14:paraId="08D4EC35" w14:textId="77777777">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18842558" w14:textId="77777777" w:rsidR="007E7472" w:rsidRDefault="00EC1269">
                    <w:pPr>
                      <w:rPr>
                        <w:rFonts w:asciiTheme="minorEastAsia" w:hAnsiTheme="minorEastAsia"/>
                        <w:spacing w:val="-20"/>
                      </w:rPr>
                    </w:pPr>
                    <w:r>
                      <w:rPr>
                        <w:spacing w:val="-20"/>
                      </w:rPr>
                      <w:t>沃拉塔港煤炭服务公司</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20995712" w14:textId="77777777" w:rsidR="007E7472" w:rsidRDefault="00EC1269">
                    <w:pPr>
                      <w:jc w:val="right"/>
                      <w:rPr>
                        <w:spacing w:val="-20"/>
                      </w:rPr>
                    </w:pPr>
                    <w:r>
                      <w:rPr>
                        <w:spacing w:val="-20"/>
                      </w:rPr>
                      <w:t>826,514</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14:paraId="35AE068F" w14:textId="77777777" w:rsidR="007E7472" w:rsidRDefault="00C8327E">
                    <w:pPr>
                      <w:jc w:val="right"/>
                      <w:rPr>
                        <w:rFonts w:asciiTheme="minorEastAsia" w:hAnsiTheme="minorEastAsia"/>
                        <w:spacing w:val="-20"/>
                      </w:rPr>
                    </w:pP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703E7E8D" w14:textId="77777777" w:rsidR="007E7472" w:rsidRDefault="00C8327E">
                    <w:pPr>
                      <w:jc w:val="right"/>
                      <w:rPr>
                        <w:rFonts w:asciiTheme="minorEastAsia" w:hAnsiTheme="minorEastAsia"/>
                        <w:spacing w:val="-20"/>
                      </w:rPr>
                    </w:pP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2889E8ED" w14:textId="77777777" w:rsidR="007E7472" w:rsidRDefault="00EC1269">
                    <w:pPr>
                      <w:jc w:val="right"/>
                      <w:rPr>
                        <w:rFonts w:asciiTheme="minorEastAsia" w:hAnsiTheme="minorEastAsia"/>
                        <w:spacing w:val="-20"/>
                      </w:rPr>
                    </w:pPr>
                    <w:r>
                      <w:rPr>
                        <w:spacing w:val="-20"/>
                      </w:rPr>
                      <w:t>47,834</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DB98FC2" w14:textId="77777777" w:rsidR="007E7472" w:rsidRDefault="00C8327E">
                    <w:pPr>
                      <w:jc w:val="right"/>
                      <w:rPr>
                        <w:rFonts w:asciiTheme="minorEastAsia" w:hAnsiTheme="minorEastAsia"/>
                        <w:spacing w:val="-20"/>
                      </w:rPr>
                    </w:pP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62CCE023" w14:textId="77777777" w:rsidR="007E7472" w:rsidRDefault="00EC1269">
                    <w:pPr>
                      <w:jc w:val="right"/>
                      <w:rPr>
                        <w:rFonts w:asciiTheme="minorEastAsia" w:hAnsiTheme="minorEastAsia"/>
                        <w:spacing w:val="-20"/>
                      </w:rPr>
                    </w:pPr>
                    <w:r>
                      <w:rPr>
                        <w:spacing w:val="-20"/>
                      </w:rPr>
                      <w:t>3,156</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68BF96AC" w14:textId="77777777" w:rsidR="007E7472" w:rsidRDefault="00EC1269">
                    <w:pPr>
                      <w:jc w:val="right"/>
                      <w:rPr>
                        <w:rFonts w:asciiTheme="minorEastAsia" w:hAnsiTheme="minorEastAsia"/>
                        <w:spacing w:val="-20"/>
                      </w:rPr>
                    </w:pPr>
                    <w:r>
                      <w:rPr>
                        <w:spacing w:val="-20"/>
                      </w:rPr>
                      <w:t>-28,539</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14:paraId="19043D45" w14:textId="77777777" w:rsidR="007E7472" w:rsidRDefault="00C8327E">
                    <w:pPr>
                      <w:jc w:val="right"/>
                      <w:rPr>
                        <w:rFonts w:asciiTheme="minorEastAsia" w:hAnsiTheme="minorEastAsia"/>
                        <w:spacing w:val="-20"/>
                      </w:rPr>
                    </w:pP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52AF5269" w14:textId="77777777" w:rsidR="007E7472" w:rsidRDefault="00C8327E">
                    <w:pPr>
                      <w:jc w:val="right"/>
                      <w:rPr>
                        <w:rFonts w:asciiTheme="minorEastAsia" w:hAnsiTheme="minorEastAsia"/>
                        <w:spacing w:val="-20"/>
                      </w:rPr>
                    </w:pP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tcPr>
                  <w:p w14:paraId="2AF977E3" w14:textId="77777777" w:rsidR="007E7472" w:rsidRDefault="00EC1269">
                    <w:pPr>
                      <w:jc w:val="right"/>
                      <w:rPr>
                        <w:rFonts w:asciiTheme="minorEastAsia" w:hAnsiTheme="minorEastAsia"/>
                        <w:spacing w:val="-20"/>
                      </w:rPr>
                    </w:pPr>
                    <w:r>
                      <w:rPr>
                        <w:spacing w:val="-20"/>
                      </w:rPr>
                      <w:t>15,176</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3F790EF7" w14:textId="77777777" w:rsidR="007E7472" w:rsidRDefault="00EC1269">
                    <w:pPr>
                      <w:jc w:val="right"/>
                      <w:rPr>
                        <w:rFonts w:asciiTheme="minorEastAsia" w:hAnsiTheme="minorEastAsia"/>
                        <w:spacing w:val="-20"/>
                      </w:rPr>
                    </w:pPr>
                    <w:r>
                      <w:rPr>
                        <w:spacing w:val="-20"/>
                      </w:rPr>
                      <w:t>864,141</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223FE8DB" w14:textId="77777777" w:rsidR="007E7472" w:rsidRDefault="00C8327E">
                    <w:pPr>
                      <w:jc w:val="right"/>
                      <w:rPr>
                        <w:rFonts w:asciiTheme="minorEastAsia" w:hAnsiTheme="minorEastAsia"/>
                        <w:spacing w:val="-20"/>
                      </w:rPr>
                    </w:pPr>
                  </w:p>
                </w:tc>
              </w:tr>
            </w:sdtContent>
          </w:sdt>
          <w:sdt>
            <w:sdtPr>
              <w:rPr>
                <w:rFonts w:asciiTheme="minorEastAsia" w:eastAsiaTheme="minorEastAsia" w:hAnsiTheme="minorEastAsia" w:cstheme="minorBidi" w:hint="eastAsia"/>
                <w:spacing w:val="-20"/>
                <w:kern w:val="2"/>
                <w:szCs w:val="22"/>
              </w:rPr>
              <w:alias w:val="联营企业投资信息明细"/>
              <w:tag w:val="_TUP_7b793873cf474c90a258ae813c0395d1"/>
              <w:id w:val="-1447310676"/>
              <w:lock w:val="sdtLocked"/>
            </w:sdtPr>
            <w:sdtEndPr>
              <w:rPr>
                <w:rFonts w:hint="default"/>
              </w:rPr>
            </w:sdtEndPr>
            <w:sdtContent>
              <w:tr w:rsidR="007E7472" w14:paraId="4EE7115D" w14:textId="77777777">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6B766E24" w14:textId="77777777" w:rsidR="007E7472" w:rsidRDefault="00EC1269">
                    <w:pPr>
                      <w:rPr>
                        <w:rFonts w:asciiTheme="minorEastAsia" w:hAnsiTheme="minorEastAsia"/>
                        <w:spacing w:val="-20"/>
                      </w:rPr>
                    </w:pPr>
                    <w:r>
                      <w:rPr>
                        <w:spacing w:val="-20"/>
                      </w:rPr>
                      <w:t>兖矿售电有限公司</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396C4075" w14:textId="77777777" w:rsidR="007E7472" w:rsidRDefault="00EC1269">
                    <w:pPr>
                      <w:jc w:val="right"/>
                      <w:rPr>
                        <w:spacing w:val="-20"/>
                      </w:rPr>
                    </w:pPr>
                    <w:r>
                      <w:rPr>
                        <w:spacing w:val="-20"/>
                      </w:rPr>
                      <w:t>32,280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14:paraId="08F19935" w14:textId="77777777" w:rsidR="007E7472" w:rsidRDefault="00C8327E">
                    <w:pPr>
                      <w:jc w:val="right"/>
                      <w:rPr>
                        <w:rFonts w:asciiTheme="minorEastAsia" w:hAnsiTheme="minorEastAsia"/>
                        <w:spacing w:val="-20"/>
                      </w:rPr>
                    </w:pP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378F2B6B" w14:textId="77777777" w:rsidR="007E7472" w:rsidRDefault="00C8327E">
                    <w:pPr>
                      <w:jc w:val="right"/>
                      <w:rPr>
                        <w:rFonts w:asciiTheme="minorEastAsia" w:hAnsiTheme="minorEastAsia"/>
                        <w:spacing w:val="-20"/>
                      </w:rPr>
                    </w:pP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0A81854F" w14:textId="77777777" w:rsidR="007E7472" w:rsidRDefault="00EC1269">
                    <w:pPr>
                      <w:jc w:val="right"/>
                      <w:rPr>
                        <w:rFonts w:asciiTheme="minorEastAsia" w:hAnsiTheme="minorEastAsia"/>
                        <w:spacing w:val="-20"/>
                      </w:rPr>
                    </w:pPr>
                    <w:r>
                      <w:rPr>
                        <w:spacing w:val="-20"/>
                      </w:rPr>
                      <w:t>1,492</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25E3EE95" w14:textId="77777777" w:rsidR="007E7472" w:rsidRDefault="00C8327E">
                    <w:pPr>
                      <w:jc w:val="right"/>
                      <w:rPr>
                        <w:rFonts w:asciiTheme="minorEastAsia" w:hAnsiTheme="minorEastAsia"/>
                        <w:spacing w:val="-20"/>
                      </w:rPr>
                    </w:pP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34449D86" w14:textId="77777777" w:rsidR="007E7472" w:rsidRDefault="00C8327E">
                    <w:pPr>
                      <w:jc w:val="right"/>
                      <w:rPr>
                        <w:rFonts w:asciiTheme="minorEastAsia" w:hAnsiTheme="minorEastAsia"/>
                        <w:spacing w:val="-20"/>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475BFDE3" w14:textId="77777777" w:rsidR="007E7472" w:rsidRDefault="00C8327E">
                    <w:pPr>
                      <w:jc w:val="right"/>
                      <w:rPr>
                        <w:rFonts w:asciiTheme="minorEastAsia" w:hAnsiTheme="minorEastAsia"/>
                        <w:spacing w:val="-20"/>
                      </w:rPr>
                    </w:pP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14:paraId="2F27CFFF" w14:textId="77777777" w:rsidR="007E7472" w:rsidRDefault="00C8327E">
                    <w:pPr>
                      <w:jc w:val="right"/>
                      <w:rPr>
                        <w:rFonts w:asciiTheme="minorEastAsia" w:hAnsiTheme="minorEastAsia"/>
                        <w:spacing w:val="-20"/>
                      </w:rPr>
                    </w:pP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25633E02" w14:textId="77777777" w:rsidR="007E7472" w:rsidRDefault="00C8327E">
                    <w:pPr>
                      <w:jc w:val="right"/>
                      <w:rPr>
                        <w:rFonts w:asciiTheme="minorEastAsia" w:hAnsiTheme="minorEastAsia"/>
                        <w:spacing w:val="-20"/>
                      </w:rPr>
                    </w:pP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tcPr>
                  <w:p w14:paraId="6B4E9A6E" w14:textId="77777777" w:rsidR="007E7472" w:rsidRDefault="00C8327E">
                    <w:pPr>
                      <w:jc w:val="right"/>
                      <w:rPr>
                        <w:rFonts w:asciiTheme="minorEastAsia" w:hAnsiTheme="minorEastAsia"/>
                        <w:spacing w:val="-20"/>
                      </w:rPr>
                    </w:pP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418767A5" w14:textId="77777777" w:rsidR="007E7472" w:rsidRDefault="00EC1269">
                    <w:pPr>
                      <w:jc w:val="right"/>
                      <w:rPr>
                        <w:rFonts w:asciiTheme="minorEastAsia" w:hAnsiTheme="minorEastAsia"/>
                        <w:spacing w:val="-20"/>
                      </w:rPr>
                    </w:pPr>
                    <w:r>
                      <w:rPr>
                        <w:spacing w:val="-20"/>
                      </w:rPr>
                      <w:t>33,772</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029FFE2F" w14:textId="77777777" w:rsidR="007E7472" w:rsidRDefault="00C8327E">
                    <w:pPr>
                      <w:jc w:val="right"/>
                      <w:rPr>
                        <w:rFonts w:asciiTheme="minorEastAsia" w:hAnsiTheme="minorEastAsia"/>
                        <w:spacing w:val="-20"/>
                      </w:rPr>
                    </w:pPr>
                  </w:p>
                </w:tc>
              </w:tr>
            </w:sdtContent>
          </w:sdt>
          <w:sdt>
            <w:sdtPr>
              <w:rPr>
                <w:rFonts w:asciiTheme="minorEastAsia" w:eastAsiaTheme="minorEastAsia" w:hAnsiTheme="minorEastAsia" w:cstheme="minorBidi" w:hint="eastAsia"/>
                <w:spacing w:val="-20"/>
                <w:kern w:val="2"/>
                <w:szCs w:val="22"/>
              </w:rPr>
              <w:alias w:val="联营企业投资信息明细"/>
              <w:tag w:val="_TUP_7b793873cf474c90a258ae813c0395d1"/>
              <w:id w:val="-1654988075"/>
              <w:lock w:val="sdtLocked"/>
            </w:sdtPr>
            <w:sdtEndPr>
              <w:rPr>
                <w:rFonts w:hint="default"/>
              </w:rPr>
            </w:sdtEndPr>
            <w:sdtContent>
              <w:tr w:rsidR="007E7472" w14:paraId="06BFBD63" w14:textId="77777777">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1191F0C9" w14:textId="77777777" w:rsidR="007E7472" w:rsidRDefault="00EC1269">
                    <w:pPr>
                      <w:rPr>
                        <w:rFonts w:asciiTheme="minorEastAsia" w:hAnsiTheme="minorEastAsia"/>
                        <w:spacing w:val="-20"/>
                      </w:rPr>
                    </w:pPr>
                    <w:r>
                      <w:rPr>
                        <w:spacing w:val="-20"/>
                      </w:rPr>
                      <w:t>浙商银行股份有限公司（注</w:t>
                    </w:r>
                    <w:r>
                      <w:rPr>
                        <w:rFonts w:hint="eastAsia"/>
                        <w:spacing w:val="-20"/>
                      </w:rPr>
                      <w:t>5</w:t>
                    </w:r>
                    <w:r>
                      <w:rPr>
                        <w:spacing w:val="-20"/>
                      </w:rPr>
                      <w:t>）</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26CF0AE4" w14:textId="77777777" w:rsidR="007E7472" w:rsidRDefault="00EC1269">
                    <w:pPr>
                      <w:jc w:val="right"/>
                      <w:rPr>
                        <w:spacing w:val="-20"/>
                      </w:rPr>
                    </w:pPr>
                    <w:r>
                      <w:rPr>
                        <w:spacing w:val="-20"/>
                      </w:rPr>
                      <w:t>6,659,420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14:paraId="6FE18552" w14:textId="77777777" w:rsidR="007E7472" w:rsidRDefault="00C8327E">
                    <w:pPr>
                      <w:jc w:val="right"/>
                      <w:rPr>
                        <w:rFonts w:asciiTheme="minorEastAsia" w:hAnsiTheme="minorEastAsia"/>
                        <w:spacing w:val="-20"/>
                      </w:rPr>
                    </w:pP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39C49958" w14:textId="77777777" w:rsidR="007E7472" w:rsidRDefault="00C8327E">
                    <w:pPr>
                      <w:jc w:val="right"/>
                      <w:rPr>
                        <w:rFonts w:asciiTheme="minorEastAsia" w:hAnsiTheme="minorEastAsia"/>
                        <w:spacing w:val="-20"/>
                      </w:rPr>
                    </w:pP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463B96DE" w14:textId="27493FF0" w:rsidR="007E7472" w:rsidRDefault="00C8327E">
                    <w:pPr>
                      <w:jc w:val="right"/>
                      <w:rPr>
                        <w:rFonts w:asciiTheme="minorEastAsia" w:hAnsiTheme="minorEastAsia"/>
                        <w:spacing w:val="-20"/>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7178A94" w14:textId="40269E26" w:rsidR="007E7472" w:rsidRDefault="00C8327E">
                    <w:pPr>
                      <w:jc w:val="right"/>
                      <w:rPr>
                        <w:rFonts w:asciiTheme="minorEastAsia" w:hAnsiTheme="minorEastAsia"/>
                        <w:spacing w:val="-20"/>
                      </w:rPr>
                    </w:pP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5D2C37FD" w14:textId="77777777" w:rsidR="007E7472" w:rsidRDefault="00C8327E">
                    <w:pPr>
                      <w:jc w:val="right"/>
                      <w:rPr>
                        <w:rFonts w:asciiTheme="minorEastAsia" w:hAnsiTheme="minorEastAsia"/>
                        <w:spacing w:val="-20"/>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046CD83B" w14:textId="248DE7FB" w:rsidR="007E7472" w:rsidRDefault="00C8327E">
                    <w:pPr>
                      <w:jc w:val="right"/>
                      <w:rPr>
                        <w:rFonts w:asciiTheme="minorEastAsia" w:hAnsiTheme="minorEastAsia"/>
                        <w:spacing w:val="-20"/>
                      </w:rPr>
                    </w:pP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14:paraId="5EAFF173" w14:textId="77777777" w:rsidR="007E7472" w:rsidRDefault="00C8327E">
                    <w:pPr>
                      <w:jc w:val="right"/>
                      <w:rPr>
                        <w:rFonts w:asciiTheme="minorEastAsia" w:hAnsiTheme="minorEastAsia"/>
                        <w:spacing w:val="-20"/>
                      </w:rPr>
                    </w:pP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1ECEB474" w14:textId="77777777" w:rsidR="007E7472" w:rsidRDefault="00C8327E">
                    <w:pPr>
                      <w:jc w:val="right"/>
                      <w:rPr>
                        <w:rFonts w:asciiTheme="minorEastAsia" w:hAnsiTheme="minorEastAsia"/>
                        <w:spacing w:val="-20"/>
                      </w:rPr>
                    </w:pP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tcPr>
                  <w:p w14:paraId="7AED7A4A" w14:textId="2F4671AB" w:rsidR="007E7472" w:rsidRDefault="00C8327E">
                    <w:pPr>
                      <w:jc w:val="right"/>
                      <w:rPr>
                        <w:rFonts w:asciiTheme="minorEastAsia" w:hAnsiTheme="minorEastAsia"/>
                        <w:spacing w:val="-20"/>
                      </w:rPr>
                    </w:pP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037952E9" w14:textId="3C8372CE" w:rsidR="007E7472" w:rsidRDefault="00C8327E">
                    <w:pPr>
                      <w:jc w:val="right"/>
                      <w:rPr>
                        <w:rFonts w:asciiTheme="minorEastAsia" w:hAnsiTheme="minorEastAsia"/>
                        <w:spacing w:val="-20"/>
                      </w:rPr>
                    </w:pP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606E6905" w14:textId="77777777" w:rsidR="007E7472" w:rsidRDefault="00C8327E">
                    <w:pPr>
                      <w:jc w:val="right"/>
                      <w:rPr>
                        <w:rFonts w:asciiTheme="minorEastAsia" w:hAnsiTheme="minorEastAsia"/>
                        <w:spacing w:val="-20"/>
                      </w:rPr>
                    </w:pPr>
                  </w:p>
                </w:tc>
              </w:tr>
            </w:sdtContent>
          </w:sdt>
          <w:sdt>
            <w:sdtPr>
              <w:rPr>
                <w:rFonts w:asciiTheme="minorEastAsia" w:eastAsiaTheme="minorEastAsia" w:hAnsiTheme="minorEastAsia" w:cstheme="minorBidi" w:hint="eastAsia"/>
                <w:spacing w:val="-20"/>
                <w:kern w:val="2"/>
                <w:szCs w:val="22"/>
              </w:rPr>
              <w:alias w:val="联营企业投资信息明细"/>
              <w:tag w:val="_TUP_7b793873cf474c90a258ae813c0395d1"/>
              <w:id w:val="1916051559"/>
              <w:lock w:val="sdtLocked"/>
            </w:sdtPr>
            <w:sdtEndPr>
              <w:rPr>
                <w:rFonts w:hint="default"/>
              </w:rPr>
            </w:sdtEndPr>
            <w:sdtContent>
              <w:tr w:rsidR="007E7472" w14:paraId="29BFDE0B" w14:textId="77777777">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04D126E8" w14:textId="77777777" w:rsidR="007E7472" w:rsidRDefault="00EC1269">
                    <w:pPr>
                      <w:rPr>
                        <w:rFonts w:asciiTheme="minorEastAsia" w:hAnsiTheme="minorEastAsia"/>
                        <w:spacing w:val="-20"/>
                      </w:rPr>
                    </w:pPr>
                    <w:r>
                      <w:rPr>
                        <w:spacing w:val="-20"/>
                      </w:rPr>
                      <w:t>临商银行股份有限公司</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66CE3EA3" w14:textId="77777777" w:rsidR="007E7472" w:rsidRDefault="00EC1269">
                    <w:pPr>
                      <w:jc w:val="right"/>
                      <w:rPr>
                        <w:spacing w:val="-20"/>
                      </w:rPr>
                    </w:pPr>
                    <w:r>
                      <w:rPr>
                        <w:spacing w:val="-20"/>
                      </w:rPr>
                      <w:t>2,078,655</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14:paraId="1145E170" w14:textId="77777777" w:rsidR="007E7472" w:rsidRDefault="00C8327E">
                    <w:pPr>
                      <w:jc w:val="right"/>
                      <w:rPr>
                        <w:rFonts w:asciiTheme="minorEastAsia" w:hAnsiTheme="minorEastAsia"/>
                        <w:spacing w:val="-20"/>
                      </w:rPr>
                    </w:pP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40E64095" w14:textId="77777777" w:rsidR="007E7472" w:rsidRDefault="00C8327E">
                    <w:pPr>
                      <w:jc w:val="right"/>
                      <w:rPr>
                        <w:rFonts w:asciiTheme="minorEastAsia" w:hAnsiTheme="minorEastAsia"/>
                        <w:spacing w:val="-20"/>
                      </w:rPr>
                    </w:pP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5C486520" w14:textId="77777777" w:rsidR="007E7472" w:rsidRDefault="00EC1269">
                    <w:pPr>
                      <w:jc w:val="right"/>
                      <w:rPr>
                        <w:rFonts w:asciiTheme="minorEastAsia" w:hAnsiTheme="minorEastAsia"/>
                        <w:spacing w:val="-20"/>
                      </w:rPr>
                    </w:pPr>
                    <w:r>
                      <w:rPr>
                        <w:spacing w:val="-20"/>
                      </w:rPr>
                      <w:t>22,842</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605C6406" w14:textId="77777777" w:rsidR="007E7472" w:rsidRDefault="00EC1269">
                    <w:pPr>
                      <w:jc w:val="right"/>
                      <w:rPr>
                        <w:rFonts w:asciiTheme="minorEastAsia" w:hAnsiTheme="minorEastAsia"/>
                        <w:spacing w:val="-20"/>
                      </w:rPr>
                    </w:pPr>
                    <w:r>
                      <w:rPr>
                        <w:spacing w:val="-20"/>
                      </w:rPr>
                      <w:t>8,491</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53762D7E" w14:textId="77777777" w:rsidR="007E7472" w:rsidRDefault="00C8327E">
                    <w:pPr>
                      <w:jc w:val="right"/>
                      <w:rPr>
                        <w:rFonts w:asciiTheme="minorEastAsia" w:hAnsiTheme="minorEastAsia"/>
                        <w:spacing w:val="-20"/>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77BC2984" w14:textId="77777777" w:rsidR="007E7472" w:rsidRDefault="00C8327E">
                    <w:pPr>
                      <w:jc w:val="right"/>
                      <w:rPr>
                        <w:rFonts w:asciiTheme="minorEastAsia" w:hAnsiTheme="minorEastAsia"/>
                        <w:spacing w:val="-20"/>
                      </w:rPr>
                    </w:pP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14:paraId="089198A1" w14:textId="77777777" w:rsidR="007E7472" w:rsidRDefault="00C8327E">
                    <w:pPr>
                      <w:jc w:val="right"/>
                      <w:rPr>
                        <w:rFonts w:asciiTheme="minorEastAsia" w:hAnsiTheme="minorEastAsia"/>
                        <w:spacing w:val="-20"/>
                      </w:rPr>
                    </w:pP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54990CB6" w14:textId="77777777" w:rsidR="007E7472" w:rsidRDefault="00C8327E">
                    <w:pPr>
                      <w:jc w:val="right"/>
                      <w:rPr>
                        <w:rFonts w:asciiTheme="minorEastAsia" w:hAnsiTheme="minorEastAsia"/>
                        <w:spacing w:val="-20"/>
                      </w:rPr>
                    </w:pP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tcPr>
                  <w:p w14:paraId="0E89931D" w14:textId="77777777" w:rsidR="007E7472" w:rsidRDefault="00C8327E">
                    <w:pPr>
                      <w:jc w:val="right"/>
                      <w:rPr>
                        <w:rFonts w:asciiTheme="minorEastAsia" w:hAnsiTheme="minorEastAsia"/>
                        <w:spacing w:val="-20"/>
                      </w:rPr>
                    </w:pP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4EDD6FB7" w14:textId="77777777" w:rsidR="007E7472" w:rsidRDefault="00EC1269">
                    <w:pPr>
                      <w:jc w:val="right"/>
                      <w:rPr>
                        <w:rFonts w:asciiTheme="minorEastAsia" w:hAnsiTheme="minorEastAsia"/>
                        <w:spacing w:val="-20"/>
                      </w:rPr>
                    </w:pPr>
                    <w:r>
                      <w:rPr>
                        <w:spacing w:val="-20"/>
                      </w:rPr>
                      <w:t>2,109,988</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20139174" w14:textId="77777777" w:rsidR="007E7472" w:rsidRDefault="00C8327E">
                    <w:pPr>
                      <w:jc w:val="right"/>
                      <w:rPr>
                        <w:rFonts w:asciiTheme="minorEastAsia" w:hAnsiTheme="minorEastAsia"/>
                        <w:spacing w:val="-20"/>
                      </w:rPr>
                    </w:pPr>
                  </w:p>
                </w:tc>
              </w:tr>
            </w:sdtContent>
          </w:sdt>
          <w:sdt>
            <w:sdtPr>
              <w:rPr>
                <w:rFonts w:asciiTheme="minorEastAsia" w:eastAsiaTheme="minorEastAsia" w:hAnsiTheme="minorEastAsia" w:cstheme="minorBidi" w:hint="eastAsia"/>
                <w:spacing w:val="-20"/>
                <w:kern w:val="2"/>
                <w:szCs w:val="22"/>
              </w:rPr>
              <w:alias w:val="联营企业投资信息明细"/>
              <w:tag w:val="_TUP_7b793873cf474c90a258ae813c0395d1"/>
              <w:id w:val="-270475524"/>
              <w:lock w:val="sdtLocked"/>
            </w:sdtPr>
            <w:sdtEndPr>
              <w:rPr>
                <w:rFonts w:hint="default"/>
              </w:rPr>
            </w:sdtEndPr>
            <w:sdtContent>
              <w:tr w:rsidR="007E7472" w14:paraId="232584DA" w14:textId="77777777">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40B609BD" w14:textId="77777777" w:rsidR="007E7472" w:rsidRDefault="00EC1269">
                    <w:pPr>
                      <w:rPr>
                        <w:rFonts w:asciiTheme="minorEastAsia" w:hAnsiTheme="minorEastAsia"/>
                        <w:spacing w:val="-20"/>
                      </w:rPr>
                    </w:pPr>
                    <w:r>
                      <w:rPr>
                        <w:spacing w:val="-20"/>
                      </w:rPr>
                      <w:t>山东省东岳泰恒发展有限公司</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22A064EA" w14:textId="77777777" w:rsidR="007E7472" w:rsidRDefault="00EC1269">
                    <w:pPr>
                      <w:jc w:val="right"/>
                      <w:rPr>
                        <w:spacing w:val="-20"/>
                      </w:rPr>
                    </w:pPr>
                    <w:r>
                      <w:rPr>
                        <w:spacing w:val="-20"/>
                      </w:rPr>
                      <w:t>242,069</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14:paraId="7E4C22E5" w14:textId="77777777" w:rsidR="007E7472" w:rsidRDefault="00C8327E">
                    <w:pPr>
                      <w:jc w:val="right"/>
                      <w:rPr>
                        <w:rFonts w:asciiTheme="minorEastAsia" w:hAnsiTheme="minorEastAsia"/>
                        <w:spacing w:val="-20"/>
                      </w:rPr>
                    </w:pP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49E3ACBE" w14:textId="77777777" w:rsidR="007E7472" w:rsidRDefault="00C8327E">
                    <w:pPr>
                      <w:jc w:val="right"/>
                      <w:rPr>
                        <w:rFonts w:asciiTheme="minorEastAsia" w:hAnsiTheme="minorEastAsia"/>
                        <w:spacing w:val="-20"/>
                      </w:rPr>
                    </w:pP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3E66D11C" w14:textId="77777777" w:rsidR="007E7472" w:rsidRDefault="00EC1269">
                    <w:pPr>
                      <w:jc w:val="right"/>
                      <w:rPr>
                        <w:rFonts w:asciiTheme="minorEastAsia" w:hAnsiTheme="minorEastAsia"/>
                        <w:spacing w:val="-20"/>
                      </w:rPr>
                    </w:pPr>
                    <w:r>
                      <w:rPr>
                        <w:spacing w:val="-20"/>
                      </w:rPr>
                      <w:t>-999</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9710215" w14:textId="77777777" w:rsidR="007E7472" w:rsidRDefault="00C8327E">
                    <w:pPr>
                      <w:jc w:val="right"/>
                      <w:rPr>
                        <w:rFonts w:asciiTheme="minorEastAsia" w:hAnsiTheme="minorEastAsia"/>
                        <w:spacing w:val="-20"/>
                      </w:rPr>
                    </w:pP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4F698A1D" w14:textId="77777777" w:rsidR="007E7472" w:rsidRDefault="00C8327E">
                    <w:pPr>
                      <w:jc w:val="right"/>
                      <w:rPr>
                        <w:rFonts w:asciiTheme="minorEastAsia" w:hAnsiTheme="minorEastAsia"/>
                        <w:spacing w:val="-20"/>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1EE45400" w14:textId="77777777" w:rsidR="007E7472" w:rsidRDefault="00C8327E">
                    <w:pPr>
                      <w:jc w:val="right"/>
                      <w:rPr>
                        <w:rFonts w:asciiTheme="minorEastAsia" w:hAnsiTheme="minorEastAsia"/>
                        <w:spacing w:val="-20"/>
                      </w:rPr>
                    </w:pP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14:paraId="38775932" w14:textId="77777777" w:rsidR="007E7472" w:rsidRDefault="00C8327E">
                    <w:pPr>
                      <w:jc w:val="right"/>
                      <w:rPr>
                        <w:rFonts w:asciiTheme="minorEastAsia" w:hAnsiTheme="minorEastAsia"/>
                        <w:spacing w:val="-20"/>
                      </w:rPr>
                    </w:pP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55A59ACB" w14:textId="77777777" w:rsidR="007E7472" w:rsidRDefault="00C8327E">
                    <w:pPr>
                      <w:jc w:val="right"/>
                      <w:rPr>
                        <w:rFonts w:asciiTheme="minorEastAsia" w:hAnsiTheme="minorEastAsia"/>
                        <w:spacing w:val="-20"/>
                      </w:rPr>
                    </w:pP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tcPr>
                  <w:p w14:paraId="4D305076" w14:textId="77777777" w:rsidR="007E7472" w:rsidRDefault="00C8327E">
                    <w:pPr>
                      <w:jc w:val="right"/>
                      <w:rPr>
                        <w:rFonts w:asciiTheme="minorEastAsia" w:hAnsiTheme="minorEastAsia"/>
                        <w:spacing w:val="-20"/>
                      </w:rPr>
                    </w:pP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518B9C3A" w14:textId="77777777" w:rsidR="007E7472" w:rsidRDefault="00EC1269">
                    <w:pPr>
                      <w:jc w:val="right"/>
                      <w:rPr>
                        <w:rFonts w:asciiTheme="minorEastAsia" w:hAnsiTheme="minorEastAsia"/>
                        <w:spacing w:val="-20"/>
                      </w:rPr>
                    </w:pPr>
                    <w:r>
                      <w:rPr>
                        <w:spacing w:val="-20"/>
                      </w:rPr>
                      <w:t>241,070</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73F54358" w14:textId="77777777" w:rsidR="007E7472" w:rsidRDefault="00C8327E">
                    <w:pPr>
                      <w:jc w:val="right"/>
                      <w:rPr>
                        <w:rFonts w:asciiTheme="minorEastAsia" w:hAnsiTheme="minorEastAsia"/>
                        <w:spacing w:val="-20"/>
                      </w:rPr>
                    </w:pPr>
                  </w:p>
                </w:tc>
              </w:tr>
            </w:sdtContent>
          </w:sdt>
          <w:sdt>
            <w:sdtPr>
              <w:rPr>
                <w:rFonts w:asciiTheme="minorEastAsia" w:eastAsiaTheme="minorEastAsia" w:hAnsiTheme="minorEastAsia" w:cstheme="minorBidi" w:hint="eastAsia"/>
                <w:spacing w:val="-20"/>
                <w:kern w:val="2"/>
                <w:szCs w:val="22"/>
              </w:rPr>
              <w:alias w:val="联营企业投资信息明细"/>
              <w:tag w:val="_TUP_7b793873cf474c90a258ae813c0395d1"/>
              <w:id w:val="-698698681"/>
              <w:lock w:val="sdtLocked"/>
            </w:sdtPr>
            <w:sdtEndPr>
              <w:rPr>
                <w:rFonts w:hint="default"/>
              </w:rPr>
            </w:sdtEndPr>
            <w:sdtContent>
              <w:tr w:rsidR="007E7472" w14:paraId="0755F9DF" w14:textId="77777777">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716658AA" w14:textId="77777777" w:rsidR="007E7472" w:rsidRDefault="00EC1269">
                    <w:pPr>
                      <w:rPr>
                        <w:rFonts w:asciiTheme="minorEastAsia" w:hAnsiTheme="minorEastAsia"/>
                        <w:spacing w:val="-20"/>
                      </w:rPr>
                    </w:pPr>
                    <w:r>
                      <w:rPr>
                        <w:spacing w:val="-20"/>
                      </w:rPr>
                      <w:t>兖矿清湖生态科技（山东）有限责任公司</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7E6457CF" w14:textId="77777777" w:rsidR="007E7472" w:rsidRDefault="00EC1269">
                    <w:pPr>
                      <w:jc w:val="right"/>
                      <w:rPr>
                        <w:spacing w:val="-20"/>
                      </w:rPr>
                    </w:pPr>
                    <w:r>
                      <w:rPr>
                        <w:spacing w:val="-20"/>
                      </w:rPr>
                      <w:t>6,300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14:paraId="6A898952" w14:textId="77777777" w:rsidR="007E7472" w:rsidRDefault="00C8327E">
                    <w:pPr>
                      <w:jc w:val="right"/>
                      <w:rPr>
                        <w:rFonts w:asciiTheme="minorEastAsia" w:hAnsiTheme="minorEastAsia"/>
                        <w:spacing w:val="-20"/>
                      </w:rPr>
                    </w:pP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396608FF" w14:textId="77777777" w:rsidR="007E7472" w:rsidRDefault="00C8327E">
                    <w:pPr>
                      <w:jc w:val="right"/>
                      <w:rPr>
                        <w:rFonts w:asciiTheme="minorEastAsia" w:hAnsiTheme="minorEastAsia"/>
                        <w:spacing w:val="-20"/>
                      </w:rPr>
                    </w:pP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1A74024B" w14:textId="77777777" w:rsidR="007E7472" w:rsidRDefault="00EC1269">
                    <w:pPr>
                      <w:jc w:val="right"/>
                      <w:rPr>
                        <w:rFonts w:asciiTheme="minorEastAsia" w:hAnsiTheme="minorEastAsia"/>
                        <w:spacing w:val="-20"/>
                      </w:rPr>
                    </w:pPr>
                    <w:r>
                      <w:rPr>
                        <w:spacing w:val="-20"/>
                      </w:rPr>
                      <w:t>-843</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6F88C10C" w14:textId="77777777" w:rsidR="007E7472" w:rsidRDefault="00C8327E">
                    <w:pPr>
                      <w:jc w:val="right"/>
                      <w:rPr>
                        <w:rFonts w:asciiTheme="minorEastAsia" w:hAnsiTheme="minorEastAsia"/>
                        <w:spacing w:val="-20"/>
                      </w:rPr>
                    </w:pP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6C62E656" w14:textId="77777777" w:rsidR="007E7472" w:rsidRDefault="00C8327E">
                    <w:pPr>
                      <w:jc w:val="right"/>
                      <w:rPr>
                        <w:rFonts w:asciiTheme="minorEastAsia" w:hAnsiTheme="minorEastAsia"/>
                        <w:spacing w:val="-20"/>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292B708C" w14:textId="77777777" w:rsidR="007E7472" w:rsidRDefault="00C8327E">
                    <w:pPr>
                      <w:jc w:val="right"/>
                      <w:rPr>
                        <w:rFonts w:asciiTheme="minorEastAsia" w:hAnsiTheme="minorEastAsia"/>
                        <w:spacing w:val="-20"/>
                      </w:rPr>
                    </w:pP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14:paraId="028975B8" w14:textId="77777777" w:rsidR="007E7472" w:rsidRDefault="00C8327E">
                    <w:pPr>
                      <w:jc w:val="right"/>
                      <w:rPr>
                        <w:rFonts w:asciiTheme="minorEastAsia" w:hAnsiTheme="minorEastAsia"/>
                        <w:spacing w:val="-20"/>
                      </w:rPr>
                    </w:pP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6E75B290" w14:textId="77777777" w:rsidR="007E7472" w:rsidRDefault="00C8327E">
                    <w:pPr>
                      <w:jc w:val="right"/>
                      <w:rPr>
                        <w:rFonts w:asciiTheme="minorEastAsia" w:hAnsiTheme="minorEastAsia"/>
                        <w:spacing w:val="-20"/>
                      </w:rPr>
                    </w:pP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tcPr>
                  <w:p w14:paraId="34502A4A" w14:textId="77777777" w:rsidR="007E7472" w:rsidRDefault="00C8327E">
                    <w:pPr>
                      <w:jc w:val="right"/>
                      <w:rPr>
                        <w:rFonts w:asciiTheme="minorEastAsia" w:hAnsiTheme="minorEastAsia"/>
                        <w:spacing w:val="-20"/>
                      </w:rPr>
                    </w:pP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0273198D" w14:textId="77777777" w:rsidR="007E7472" w:rsidRDefault="00EC1269">
                    <w:pPr>
                      <w:jc w:val="right"/>
                      <w:rPr>
                        <w:rFonts w:asciiTheme="minorEastAsia" w:hAnsiTheme="minorEastAsia"/>
                        <w:spacing w:val="-20"/>
                      </w:rPr>
                    </w:pPr>
                    <w:r>
                      <w:rPr>
                        <w:spacing w:val="-20"/>
                      </w:rPr>
                      <w:t>5,457</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14A7E056" w14:textId="77777777" w:rsidR="007E7472" w:rsidRDefault="00C8327E">
                    <w:pPr>
                      <w:jc w:val="right"/>
                      <w:rPr>
                        <w:rFonts w:asciiTheme="minorEastAsia" w:hAnsiTheme="minorEastAsia"/>
                        <w:spacing w:val="-20"/>
                      </w:rPr>
                    </w:pPr>
                  </w:p>
                </w:tc>
              </w:tr>
            </w:sdtContent>
          </w:sdt>
          <w:sdt>
            <w:sdtPr>
              <w:rPr>
                <w:rFonts w:asciiTheme="minorEastAsia" w:eastAsiaTheme="minorEastAsia" w:hAnsiTheme="minorEastAsia" w:cstheme="minorBidi" w:hint="eastAsia"/>
                <w:spacing w:val="-20"/>
                <w:kern w:val="2"/>
                <w:szCs w:val="22"/>
              </w:rPr>
              <w:alias w:val="联营企业投资信息明细"/>
              <w:tag w:val="_TUP_7b793873cf474c90a258ae813c0395d1"/>
              <w:id w:val="1586648959"/>
              <w:lock w:val="sdtLocked"/>
            </w:sdtPr>
            <w:sdtEndPr>
              <w:rPr>
                <w:rFonts w:hint="default"/>
              </w:rPr>
            </w:sdtEndPr>
            <w:sdtContent>
              <w:tr w:rsidR="007E7472" w14:paraId="5F832818" w14:textId="77777777">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085F9417" w14:textId="77777777" w:rsidR="007E7472" w:rsidRDefault="00EC1269">
                    <w:pPr>
                      <w:rPr>
                        <w:rFonts w:asciiTheme="minorEastAsia" w:hAnsiTheme="minorEastAsia"/>
                        <w:spacing w:val="-20"/>
                      </w:rPr>
                    </w:pPr>
                    <w:r>
                      <w:rPr>
                        <w:spacing w:val="-20"/>
                      </w:rPr>
                      <w:t>兖矿苗夫智慧生态科技（山东）有限公司</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55C0F30C" w14:textId="77777777" w:rsidR="007E7472" w:rsidRDefault="00EC1269">
                    <w:pPr>
                      <w:jc w:val="right"/>
                      <w:rPr>
                        <w:spacing w:val="-20"/>
                      </w:rPr>
                    </w:pPr>
                    <w:r>
                      <w:rPr>
                        <w:spacing w:val="-20"/>
                      </w:rPr>
                      <w:t>50,000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14:paraId="6638F224" w14:textId="77777777" w:rsidR="007E7472" w:rsidRDefault="00C8327E">
                    <w:pPr>
                      <w:jc w:val="right"/>
                      <w:rPr>
                        <w:rFonts w:asciiTheme="minorEastAsia" w:hAnsiTheme="minorEastAsia"/>
                        <w:spacing w:val="-20"/>
                      </w:rPr>
                    </w:pP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31AE46AA" w14:textId="77777777" w:rsidR="007E7472" w:rsidRDefault="00C8327E">
                    <w:pPr>
                      <w:jc w:val="right"/>
                      <w:rPr>
                        <w:rFonts w:asciiTheme="minorEastAsia" w:hAnsiTheme="minorEastAsia"/>
                        <w:spacing w:val="-20"/>
                      </w:rPr>
                    </w:pP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05D9BDB4" w14:textId="77777777" w:rsidR="007E7472" w:rsidRDefault="00EC1269">
                    <w:pPr>
                      <w:jc w:val="right"/>
                      <w:rPr>
                        <w:rFonts w:asciiTheme="minorEastAsia" w:hAnsiTheme="minorEastAsia"/>
                        <w:spacing w:val="-20"/>
                      </w:rPr>
                    </w:pPr>
                    <w:r>
                      <w:rPr>
                        <w:spacing w:val="-20"/>
                      </w:rPr>
                      <w:t>43</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D4F62FB" w14:textId="77777777" w:rsidR="007E7472" w:rsidRDefault="00C8327E">
                    <w:pPr>
                      <w:jc w:val="right"/>
                      <w:rPr>
                        <w:rFonts w:asciiTheme="minorEastAsia" w:hAnsiTheme="minorEastAsia"/>
                        <w:spacing w:val="-20"/>
                      </w:rPr>
                    </w:pP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399500B0" w14:textId="77777777" w:rsidR="007E7472" w:rsidRDefault="00C8327E">
                    <w:pPr>
                      <w:jc w:val="right"/>
                      <w:rPr>
                        <w:rFonts w:asciiTheme="minorEastAsia" w:hAnsiTheme="minorEastAsia"/>
                        <w:spacing w:val="-20"/>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2448410C" w14:textId="77777777" w:rsidR="007E7472" w:rsidRDefault="00C8327E">
                    <w:pPr>
                      <w:jc w:val="right"/>
                      <w:rPr>
                        <w:rFonts w:asciiTheme="minorEastAsia" w:hAnsiTheme="minorEastAsia"/>
                        <w:spacing w:val="-20"/>
                      </w:rPr>
                    </w:pP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14:paraId="02F42C6D" w14:textId="77777777" w:rsidR="007E7472" w:rsidRDefault="00C8327E">
                    <w:pPr>
                      <w:jc w:val="right"/>
                      <w:rPr>
                        <w:rFonts w:asciiTheme="minorEastAsia" w:hAnsiTheme="minorEastAsia"/>
                        <w:spacing w:val="-20"/>
                      </w:rPr>
                    </w:pP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6C58F483" w14:textId="77777777" w:rsidR="007E7472" w:rsidRDefault="00C8327E">
                    <w:pPr>
                      <w:jc w:val="right"/>
                      <w:rPr>
                        <w:rFonts w:asciiTheme="minorEastAsia" w:hAnsiTheme="minorEastAsia"/>
                        <w:spacing w:val="-20"/>
                      </w:rPr>
                    </w:pP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tcPr>
                  <w:p w14:paraId="2BA93829" w14:textId="77777777" w:rsidR="007E7472" w:rsidRDefault="00C8327E">
                    <w:pPr>
                      <w:jc w:val="right"/>
                      <w:rPr>
                        <w:rFonts w:asciiTheme="minorEastAsia" w:hAnsiTheme="minorEastAsia"/>
                        <w:spacing w:val="-20"/>
                      </w:rPr>
                    </w:pP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15DC3CF6" w14:textId="77777777" w:rsidR="007E7472" w:rsidRDefault="00EC1269">
                    <w:pPr>
                      <w:jc w:val="right"/>
                      <w:rPr>
                        <w:rFonts w:asciiTheme="minorEastAsia" w:hAnsiTheme="minorEastAsia"/>
                        <w:spacing w:val="-20"/>
                      </w:rPr>
                    </w:pPr>
                    <w:r>
                      <w:rPr>
                        <w:spacing w:val="-20"/>
                      </w:rPr>
                      <w:t>50,043</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3D1B6875" w14:textId="77777777" w:rsidR="007E7472" w:rsidRDefault="00C8327E">
                    <w:pPr>
                      <w:jc w:val="right"/>
                      <w:rPr>
                        <w:rFonts w:asciiTheme="minorEastAsia" w:hAnsiTheme="minorEastAsia"/>
                        <w:spacing w:val="-20"/>
                      </w:rPr>
                    </w:pPr>
                  </w:p>
                </w:tc>
              </w:tr>
            </w:sdtContent>
          </w:sdt>
          <w:sdt>
            <w:sdtPr>
              <w:rPr>
                <w:rFonts w:asciiTheme="minorEastAsia" w:eastAsiaTheme="minorEastAsia" w:hAnsiTheme="minorEastAsia" w:cstheme="minorBidi" w:hint="eastAsia"/>
                <w:spacing w:val="-20"/>
                <w:kern w:val="2"/>
                <w:szCs w:val="22"/>
              </w:rPr>
              <w:alias w:val="联营企业投资信息明细"/>
              <w:tag w:val="_TUP_7b793873cf474c90a258ae813c0395d1"/>
              <w:id w:val="-271240067"/>
              <w:lock w:val="sdtLocked"/>
            </w:sdtPr>
            <w:sdtEndPr>
              <w:rPr>
                <w:rFonts w:hint="default"/>
              </w:rPr>
            </w:sdtEndPr>
            <w:sdtContent>
              <w:tr w:rsidR="007E7472" w14:paraId="4AA92DA2" w14:textId="77777777">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45A60785" w14:textId="77777777" w:rsidR="007E7472" w:rsidRDefault="00EC1269">
                    <w:pPr>
                      <w:rPr>
                        <w:rFonts w:asciiTheme="minorEastAsia" w:hAnsiTheme="minorEastAsia"/>
                        <w:spacing w:val="-20"/>
                      </w:rPr>
                    </w:pPr>
                    <w:r>
                      <w:rPr>
                        <w:spacing w:val="-20"/>
                      </w:rPr>
                      <w:t>山东聚合顺鲁化新材料有限公司</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0D7B5B40" w14:textId="77777777" w:rsidR="007E7472" w:rsidRDefault="00EC1269">
                    <w:pPr>
                      <w:jc w:val="right"/>
                      <w:rPr>
                        <w:spacing w:val="-20"/>
                      </w:rPr>
                    </w:pPr>
                    <w:r>
                      <w:rPr>
                        <w:spacing w:val="-20"/>
                      </w:rPr>
                      <w:t>138,315</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14:paraId="5068693C" w14:textId="77777777" w:rsidR="007E7472" w:rsidRDefault="00C8327E">
                    <w:pPr>
                      <w:jc w:val="right"/>
                      <w:rPr>
                        <w:rFonts w:asciiTheme="minorEastAsia" w:hAnsiTheme="minorEastAsia"/>
                        <w:spacing w:val="-20"/>
                      </w:rPr>
                    </w:pP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509A0B79" w14:textId="77777777" w:rsidR="007E7472" w:rsidRDefault="00C8327E">
                    <w:pPr>
                      <w:jc w:val="right"/>
                      <w:rPr>
                        <w:rFonts w:asciiTheme="minorEastAsia" w:hAnsiTheme="minorEastAsia"/>
                        <w:spacing w:val="-20"/>
                      </w:rPr>
                    </w:pP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40B6F148" w14:textId="77777777" w:rsidR="007E7472" w:rsidRDefault="00EC1269">
                    <w:pPr>
                      <w:jc w:val="right"/>
                      <w:rPr>
                        <w:rFonts w:asciiTheme="minorEastAsia" w:hAnsiTheme="minorEastAsia"/>
                        <w:spacing w:val="-20"/>
                      </w:rPr>
                    </w:pPr>
                    <w:r>
                      <w:rPr>
                        <w:spacing w:val="-20"/>
                      </w:rPr>
                      <w:t>4,813</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5532635" w14:textId="77777777" w:rsidR="007E7472" w:rsidRDefault="00C8327E">
                    <w:pPr>
                      <w:jc w:val="right"/>
                      <w:rPr>
                        <w:rFonts w:asciiTheme="minorEastAsia" w:hAnsiTheme="minorEastAsia"/>
                        <w:spacing w:val="-20"/>
                      </w:rPr>
                    </w:pP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21ED8AEF" w14:textId="77777777" w:rsidR="007E7472" w:rsidRDefault="00C8327E">
                    <w:pPr>
                      <w:jc w:val="right"/>
                      <w:rPr>
                        <w:rFonts w:asciiTheme="minorEastAsia" w:hAnsiTheme="minorEastAsia"/>
                        <w:spacing w:val="-20"/>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30F7B7D6" w14:textId="77777777" w:rsidR="007E7472" w:rsidRDefault="00C8327E">
                    <w:pPr>
                      <w:jc w:val="right"/>
                      <w:rPr>
                        <w:rFonts w:asciiTheme="minorEastAsia" w:hAnsiTheme="minorEastAsia"/>
                        <w:spacing w:val="-20"/>
                      </w:rPr>
                    </w:pP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14:paraId="2A544B62" w14:textId="77777777" w:rsidR="007E7472" w:rsidRDefault="00C8327E">
                    <w:pPr>
                      <w:jc w:val="right"/>
                      <w:rPr>
                        <w:rFonts w:asciiTheme="minorEastAsia" w:hAnsiTheme="minorEastAsia"/>
                        <w:spacing w:val="-20"/>
                      </w:rPr>
                    </w:pP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7EDCC2BE" w14:textId="77777777" w:rsidR="007E7472" w:rsidRDefault="00C8327E">
                    <w:pPr>
                      <w:jc w:val="right"/>
                      <w:rPr>
                        <w:rFonts w:asciiTheme="minorEastAsia" w:hAnsiTheme="minorEastAsia"/>
                        <w:spacing w:val="-20"/>
                      </w:rPr>
                    </w:pP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tcPr>
                  <w:p w14:paraId="7627F28C" w14:textId="77777777" w:rsidR="007E7472" w:rsidRDefault="00C8327E">
                    <w:pPr>
                      <w:jc w:val="right"/>
                      <w:rPr>
                        <w:rFonts w:asciiTheme="minorEastAsia" w:hAnsiTheme="minorEastAsia"/>
                        <w:spacing w:val="-20"/>
                      </w:rPr>
                    </w:pP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7590EB0E" w14:textId="77777777" w:rsidR="007E7472" w:rsidRDefault="00EC1269">
                    <w:pPr>
                      <w:jc w:val="right"/>
                      <w:rPr>
                        <w:rFonts w:asciiTheme="minorEastAsia" w:hAnsiTheme="minorEastAsia"/>
                        <w:spacing w:val="-20"/>
                      </w:rPr>
                    </w:pPr>
                    <w:r>
                      <w:rPr>
                        <w:spacing w:val="-20"/>
                      </w:rPr>
                      <w:t>143,128</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53965E36" w14:textId="77777777" w:rsidR="007E7472" w:rsidRDefault="00C8327E">
                    <w:pPr>
                      <w:jc w:val="right"/>
                      <w:rPr>
                        <w:rFonts w:asciiTheme="minorEastAsia" w:hAnsiTheme="minorEastAsia"/>
                        <w:spacing w:val="-20"/>
                      </w:rPr>
                    </w:pPr>
                  </w:p>
                </w:tc>
              </w:tr>
            </w:sdtContent>
          </w:sdt>
          <w:sdt>
            <w:sdtPr>
              <w:rPr>
                <w:rFonts w:asciiTheme="minorEastAsia" w:eastAsiaTheme="minorEastAsia" w:hAnsiTheme="minorEastAsia" w:cstheme="minorBidi" w:hint="eastAsia"/>
                <w:spacing w:val="-20"/>
                <w:kern w:val="2"/>
                <w:szCs w:val="22"/>
              </w:rPr>
              <w:alias w:val="联营企业投资信息明细"/>
              <w:tag w:val="_TUP_7b793873cf474c90a258ae813c0395d1"/>
              <w:id w:val="52427917"/>
              <w:lock w:val="sdtLocked"/>
            </w:sdtPr>
            <w:sdtEndPr>
              <w:rPr>
                <w:rFonts w:hint="default"/>
              </w:rPr>
            </w:sdtEndPr>
            <w:sdtContent>
              <w:tr w:rsidR="007E7472" w14:paraId="686640DB" w14:textId="77777777">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57488EE5" w14:textId="77777777" w:rsidR="007E7472" w:rsidRDefault="00EC1269">
                    <w:pPr>
                      <w:rPr>
                        <w:rFonts w:asciiTheme="minorEastAsia" w:hAnsiTheme="minorEastAsia"/>
                        <w:spacing w:val="-20"/>
                      </w:rPr>
                    </w:pPr>
                    <w:r>
                      <w:rPr>
                        <w:spacing w:val="-20"/>
                      </w:rPr>
                      <w:t>山东能源（海南）智慧国际科技有限公司</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159EC860" w14:textId="77777777" w:rsidR="007E7472" w:rsidRDefault="00EC1269">
                    <w:pPr>
                      <w:jc w:val="right"/>
                      <w:rPr>
                        <w:spacing w:val="-20"/>
                      </w:rPr>
                    </w:pPr>
                    <w:r>
                      <w:rPr>
                        <w:spacing w:val="-20"/>
                      </w:rPr>
                      <w:t>91,885</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14:paraId="0779D4E8" w14:textId="77777777" w:rsidR="007E7472" w:rsidRDefault="00C8327E">
                    <w:pPr>
                      <w:jc w:val="right"/>
                      <w:rPr>
                        <w:rFonts w:asciiTheme="minorEastAsia" w:hAnsiTheme="minorEastAsia"/>
                        <w:spacing w:val="-20"/>
                      </w:rPr>
                    </w:pP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67E98D70" w14:textId="77777777" w:rsidR="007E7472" w:rsidRDefault="00C8327E">
                    <w:pPr>
                      <w:jc w:val="right"/>
                      <w:rPr>
                        <w:rFonts w:asciiTheme="minorEastAsia" w:hAnsiTheme="minorEastAsia"/>
                        <w:spacing w:val="-20"/>
                      </w:rPr>
                    </w:pP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05E3F4A2" w14:textId="77777777" w:rsidR="007E7472" w:rsidRDefault="00EC1269">
                    <w:pPr>
                      <w:jc w:val="right"/>
                      <w:rPr>
                        <w:rFonts w:asciiTheme="minorEastAsia" w:hAnsiTheme="minorEastAsia"/>
                        <w:spacing w:val="-20"/>
                      </w:rPr>
                    </w:pPr>
                    <w:r>
                      <w:rPr>
                        <w:spacing w:val="-20"/>
                      </w:rPr>
                      <w:t>-4,774</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52C9065" w14:textId="77777777" w:rsidR="007E7472" w:rsidRDefault="00EC1269">
                    <w:pPr>
                      <w:jc w:val="right"/>
                      <w:rPr>
                        <w:rFonts w:asciiTheme="minorEastAsia" w:hAnsiTheme="minorEastAsia"/>
                        <w:spacing w:val="-20"/>
                      </w:rPr>
                    </w:pPr>
                    <w:r>
                      <w:rPr>
                        <w:spacing w:val="-20"/>
                      </w:rPr>
                      <w:t>5,190</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69AC263D" w14:textId="77777777" w:rsidR="007E7472" w:rsidRDefault="00C8327E">
                    <w:pPr>
                      <w:jc w:val="right"/>
                      <w:rPr>
                        <w:rFonts w:asciiTheme="minorEastAsia" w:hAnsiTheme="minorEastAsia"/>
                        <w:spacing w:val="-20"/>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0C43F12B" w14:textId="77777777" w:rsidR="007E7472" w:rsidRDefault="00C8327E">
                    <w:pPr>
                      <w:jc w:val="right"/>
                      <w:rPr>
                        <w:rFonts w:asciiTheme="minorEastAsia" w:hAnsiTheme="minorEastAsia"/>
                        <w:spacing w:val="-20"/>
                      </w:rPr>
                    </w:pP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14:paraId="2587AD87" w14:textId="77777777" w:rsidR="007E7472" w:rsidRDefault="00C8327E">
                    <w:pPr>
                      <w:jc w:val="right"/>
                      <w:rPr>
                        <w:rFonts w:asciiTheme="minorEastAsia" w:hAnsiTheme="minorEastAsia"/>
                        <w:spacing w:val="-20"/>
                      </w:rPr>
                    </w:pP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6118E2A4" w14:textId="77777777" w:rsidR="007E7472" w:rsidRDefault="00C8327E">
                    <w:pPr>
                      <w:jc w:val="right"/>
                      <w:rPr>
                        <w:rFonts w:asciiTheme="minorEastAsia" w:hAnsiTheme="minorEastAsia"/>
                        <w:spacing w:val="-20"/>
                      </w:rPr>
                    </w:pP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tcPr>
                  <w:p w14:paraId="12BB9C2D" w14:textId="77777777" w:rsidR="007E7472" w:rsidRDefault="00C8327E">
                    <w:pPr>
                      <w:jc w:val="right"/>
                      <w:rPr>
                        <w:rFonts w:asciiTheme="minorEastAsia" w:hAnsiTheme="minorEastAsia"/>
                        <w:spacing w:val="-20"/>
                      </w:rPr>
                    </w:pP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426321B8" w14:textId="77777777" w:rsidR="007E7472" w:rsidRDefault="00EC1269">
                    <w:pPr>
                      <w:jc w:val="right"/>
                      <w:rPr>
                        <w:rFonts w:asciiTheme="minorEastAsia" w:hAnsiTheme="minorEastAsia"/>
                        <w:spacing w:val="-20"/>
                      </w:rPr>
                    </w:pPr>
                    <w:r>
                      <w:rPr>
                        <w:spacing w:val="-20"/>
                      </w:rPr>
                      <w:t>92,301</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70117299" w14:textId="77777777" w:rsidR="007E7472" w:rsidRDefault="00C8327E">
                    <w:pPr>
                      <w:jc w:val="right"/>
                      <w:rPr>
                        <w:rFonts w:asciiTheme="minorEastAsia" w:hAnsiTheme="minorEastAsia"/>
                        <w:spacing w:val="-20"/>
                      </w:rPr>
                    </w:pPr>
                  </w:p>
                </w:tc>
              </w:tr>
            </w:sdtContent>
          </w:sdt>
          <w:sdt>
            <w:sdtPr>
              <w:rPr>
                <w:rFonts w:asciiTheme="minorEastAsia" w:eastAsiaTheme="minorEastAsia" w:hAnsiTheme="minorEastAsia" w:cstheme="minorBidi" w:hint="eastAsia"/>
                <w:spacing w:val="-20"/>
                <w:kern w:val="2"/>
                <w:szCs w:val="22"/>
              </w:rPr>
              <w:alias w:val="联营企业投资信息明细"/>
              <w:tag w:val="_TUP_7b793873cf474c90a258ae813c0395d1"/>
              <w:id w:val="192117610"/>
              <w:lock w:val="sdtLocked"/>
            </w:sdtPr>
            <w:sdtEndPr>
              <w:rPr>
                <w:rFonts w:hint="default"/>
              </w:rPr>
            </w:sdtEndPr>
            <w:sdtContent>
              <w:tr w:rsidR="007E7472" w14:paraId="2ECDA7A8" w14:textId="77777777">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35D2F357" w14:textId="77777777" w:rsidR="007E7472" w:rsidRDefault="00EC1269">
                    <w:pPr>
                      <w:rPr>
                        <w:rFonts w:asciiTheme="minorEastAsia" w:hAnsiTheme="minorEastAsia"/>
                        <w:spacing w:val="-20"/>
                      </w:rPr>
                    </w:pPr>
                    <w:r>
                      <w:rPr>
                        <w:spacing w:val="-20"/>
                      </w:rPr>
                      <w:t>内蒙古东能能源有限责任公司</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78CE2C04" w14:textId="77777777" w:rsidR="007E7472" w:rsidRDefault="00EC1269">
                    <w:pPr>
                      <w:jc w:val="right"/>
                      <w:rPr>
                        <w:spacing w:val="-20"/>
                      </w:rPr>
                    </w:pPr>
                    <w:r>
                      <w:rPr>
                        <w:spacing w:val="-20"/>
                      </w:rPr>
                      <w:t>11,042</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14:paraId="187B865F" w14:textId="77777777" w:rsidR="007E7472" w:rsidRDefault="00C8327E">
                    <w:pPr>
                      <w:jc w:val="right"/>
                      <w:rPr>
                        <w:rFonts w:asciiTheme="minorEastAsia" w:hAnsiTheme="minorEastAsia"/>
                        <w:spacing w:val="-20"/>
                      </w:rPr>
                    </w:pP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55DEBA29" w14:textId="77777777" w:rsidR="007E7472" w:rsidRDefault="00C8327E">
                    <w:pPr>
                      <w:jc w:val="right"/>
                      <w:rPr>
                        <w:rFonts w:asciiTheme="minorEastAsia" w:hAnsiTheme="minorEastAsia"/>
                        <w:spacing w:val="-20"/>
                      </w:rPr>
                    </w:pP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5C9893F4" w14:textId="77777777" w:rsidR="007E7472" w:rsidRDefault="00EC1269">
                    <w:pPr>
                      <w:jc w:val="right"/>
                      <w:rPr>
                        <w:rFonts w:asciiTheme="minorEastAsia" w:hAnsiTheme="minorEastAsia"/>
                        <w:spacing w:val="-20"/>
                      </w:rPr>
                    </w:pPr>
                    <w:r>
                      <w:rPr>
                        <w:spacing w:val="-20"/>
                      </w:rPr>
                      <w:t>1,654</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6470E868" w14:textId="77777777" w:rsidR="007E7472" w:rsidRDefault="00C8327E">
                    <w:pPr>
                      <w:jc w:val="right"/>
                      <w:rPr>
                        <w:rFonts w:asciiTheme="minorEastAsia" w:hAnsiTheme="minorEastAsia"/>
                        <w:spacing w:val="-20"/>
                      </w:rPr>
                    </w:pP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5A90C5C8" w14:textId="77777777" w:rsidR="007E7472" w:rsidRDefault="00C8327E">
                    <w:pPr>
                      <w:jc w:val="right"/>
                      <w:rPr>
                        <w:rFonts w:asciiTheme="minorEastAsia" w:hAnsiTheme="minorEastAsia"/>
                        <w:spacing w:val="-20"/>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7F0067FD" w14:textId="77777777" w:rsidR="007E7472" w:rsidRDefault="00C8327E">
                    <w:pPr>
                      <w:jc w:val="right"/>
                      <w:rPr>
                        <w:rFonts w:asciiTheme="minorEastAsia" w:hAnsiTheme="minorEastAsia"/>
                        <w:spacing w:val="-20"/>
                      </w:rPr>
                    </w:pP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14:paraId="4DA2490C" w14:textId="77777777" w:rsidR="007E7472" w:rsidRDefault="00C8327E">
                    <w:pPr>
                      <w:jc w:val="right"/>
                      <w:rPr>
                        <w:rFonts w:asciiTheme="minorEastAsia" w:hAnsiTheme="minorEastAsia"/>
                        <w:spacing w:val="-20"/>
                      </w:rPr>
                    </w:pP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65D9402D" w14:textId="77777777" w:rsidR="007E7472" w:rsidRDefault="00C8327E">
                    <w:pPr>
                      <w:jc w:val="right"/>
                      <w:rPr>
                        <w:rFonts w:asciiTheme="minorEastAsia" w:hAnsiTheme="minorEastAsia"/>
                        <w:spacing w:val="-20"/>
                      </w:rPr>
                    </w:pP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tcPr>
                  <w:p w14:paraId="5A7FF0FD" w14:textId="77777777" w:rsidR="007E7472" w:rsidRDefault="00C8327E">
                    <w:pPr>
                      <w:jc w:val="right"/>
                      <w:rPr>
                        <w:rFonts w:asciiTheme="minorEastAsia" w:hAnsiTheme="minorEastAsia"/>
                        <w:spacing w:val="-20"/>
                      </w:rPr>
                    </w:pP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794CF04D" w14:textId="77777777" w:rsidR="007E7472" w:rsidRDefault="00EC1269">
                    <w:pPr>
                      <w:jc w:val="right"/>
                      <w:rPr>
                        <w:rFonts w:asciiTheme="minorEastAsia" w:hAnsiTheme="minorEastAsia"/>
                        <w:spacing w:val="-20"/>
                      </w:rPr>
                    </w:pPr>
                    <w:r>
                      <w:rPr>
                        <w:spacing w:val="-20"/>
                      </w:rPr>
                      <w:t>12,696</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17ABA460" w14:textId="77777777" w:rsidR="007E7472" w:rsidRDefault="00C8327E">
                    <w:pPr>
                      <w:jc w:val="right"/>
                      <w:rPr>
                        <w:rFonts w:asciiTheme="minorEastAsia" w:hAnsiTheme="minorEastAsia"/>
                        <w:spacing w:val="-20"/>
                      </w:rPr>
                    </w:pPr>
                  </w:p>
                </w:tc>
              </w:tr>
            </w:sdtContent>
          </w:sdt>
          <w:sdt>
            <w:sdtPr>
              <w:rPr>
                <w:rFonts w:asciiTheme="minorEastAsia" w:eastAsiaTheme="minorEastAsia" w:hAnsiTheme="minorEastAsia" w:cstheme="minorBidi" w:hint="eastAsia"/>
                <w:spacing w:val="-20"/>
                <w:kern w:val="2"/>
                <w:szCs w:val="22"/>
              </w:rPr>
              <w:alias w:val="联营企业投资信息明细"/>
              <w:tag w:val="_TUP_7b793873cf474c90a258ae813c0395d1"/>
              <w:id w:val="-354963769"/>
              <w:lock w:val="sdtLocked"/>
            </w:sdtPr>
            <w:sdtEndPr>
              <w:rPr>
                <w:rFonts w:hint="default"/>
              </w:rPr>
            </w:sdtEndPr>
            <w:sdtContent>
              <w:tr w:rsidR="007E7472" w14:paraId="771D9FDC" w14:textId="77777777">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22A59506" w14:textId="77777777" w:rsidR="007E7472" w:rsidRDefault="00EC1269">
                    <w:pPr>
                      <w:rPr>
                        <w:rFonts w:asciiTheme="minorEastAsia" w:hAnsiTheme="minorEastAsia"/>
                        <w:spacing w:val="-20"/>
                      </w:rPr>
                    </w:pPr>
                    <w:r>
                      <w:rPr>
                        <w:spacing w:val="-20"/>
                      </w:rPr>
                      <w:t>内蒙古西能能源有限责任公司</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4552DB79" w14:textId="77777777" w:rsidR="007E7472" w:rsidRDefault="00EC1269">
                    <w:pPr>
                      <w:jc w:val="right"/>
                      <w:rPr>
                        <w:spacing w:val="-20"/>
                      </w:rPr>
                    </w:pPr>
                    <w:r>
                      <w:rPr>
                        <w:spacing w:val="-20"/>
                      </w:rPr>
                      <w:t>23,288</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14:paraId="16BA9810" w14:textId="77777777" w:rsidR="007E7472" w:rsidRDefault="00C8327E">
                    <w:pPr>
                      <w:jc w:val="right"/>
                      <w:rPr>
                        <w:rFonts w:asciiTheme="minorEastAsia" w:hAnsiTheme="minorEastAsia"/>
                        <w:spacing w:val="-20"/>
                      </w:rPr>
                    </w:pP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0F684EE5" w14:textId="77777777" w:rsidR="007E7472" w:rsidRDefault="00C8327E">
                    <w:pPr>
                      <w:jc w:val="right"/>
                      <w:rPr>
                        <w:rFonts w:asciiTheme="minorEastAsia" w:hAnsiTheme="minorEastAsia"/>
                        <w:spacing w:val="-20"/>
                      </w:rPr>
                    </w:pP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2FA759B2" w14:textId="77777777" w:rsidR="007E7472" w:rsidRDefault="00EC1269">
                    <w:pPr>
                      <w:jc w:val="right"/>
                      <w:rPr>
                        <w:rFonts w:asciiTheme="minorEastAsia" w:hAnsiTheme="minorEastAsia"/>
                        <w:spacing w:val="-20"/>
                      </w:rPr>
                    </w:pPr>
                    <w:r>
                      <w:rPr>
                        <w:spacing w:val="-20"/>
                      </w:rPr>
                      <w:t>249</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228C579" w14:textId="77777777" w:rsidR="007E7472" w:rsidRDefault="00C8327E">
                    <w:pPr>
                      <w:jc w:val="right"/>
                      <w:rPr>
                        <w:rFonts w:asciiTheme="minorEastAsia" w:hAnsiTheme="minorEastAsia"/>
                        <w:spacing w:val="-20"/>
                      </w:rPr>
                    </w:pP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312C9B8F" w14:textId="77777777" w:rsidR="007E7472" w:rsidRDefault="00C8327E">
                    <w:pPr>
                      <w:jc w:val="right"/>
                      <w:rPr>
                        <w:rFonts w:asciiTheme="minorEastAsia" w:hAnsiTheme="minorEastAsia"/>
                        <w:spacing w:val="-20"/>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1758864F" w14:textId="77777777" w:rsidR="007E7472" w:rsidRDefault="00C8327E">
                    <w:pPr>
                      <w:jc w:val="right"/>
                      <w:rPr>
                        <w:rFonts w:asciiTheme="minorEastAsia" w:hAnsiTheme="minorEastAsia"/>
                        <w:spacing w:val="-20"/>
                      </w:rPr>
                    </w:pP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14:paraId="3A253182" w14:textId="77777777" w:rsidR="007E7472" w:rsidRDefault="00C8327E">
                    <w:pPr>
                      <w:jc w:val="right"/>
                      <w:rPr>
                        <w:rFonts w:asciiTheme="minorEastAsia" w:hAnsiTheme="minorEastAsia"/>
                        <w:spacing w:val="-20"/>
                      </w:rPr>
                    </w:pP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3FE91388" w14:textId="77777777" w:rsidR="007E7472" w:rsidRDefault="00C8327E">
                    <w:pPr>
                      <w:jc w:val="right"/>
                      <w:rPr>
                        <w:rFonts w:asciiTheme="minorEastAsia" w:hAnsiTheme="minorEastAsia"/>
                        <w:spacing w:val="-20"/>
                      </w:rPr>
                    </w:pP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tcPr>
                  <w:p w14:paraId="6B9F10EF" w14:textId="77777777" w:rsidR="007E7472" w:rsidRDefault="00C8327E">
                    <w:pPr>
                      <w:jc w:val="right"/>
                      <w:rPr>
                        <w:rFonts w:asciiTheme="minorEastAsia" w:hAnsiTheme="minorEastAsia"/>
                        <w:spacing w:val="-20"/>
                      </w:rPr>
                    </w:pP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50599A6F" w14:textId="77777777" w:rsidR="007E7472" w:rsidRDefault="00EC1269">
                    <w:pPr>
                      <w:jc w:val="right"/>
                      <w:rPr>
                        <w:rFonts w:asciiTheme="minorEastAsia" w:hAnsiTheme="minorEastAsia"/>
                        <w:spacing w:val="-20"/>
                      </w:rPr>
                    </w:pPr>
                    <w:r>
                      <w:rPr>
                        <w:spacing w:val="-20"/>
                      </w:rPr>
                      <w:t>23,537</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188666AC" w14:textId="77777777" w:rsidR="007E7472" w:rsidRDefault="00C8327E">
                    <w:pPr>
                      <w:jc w:val="right"/>
                      <w:rPr>
                        <w:rFonts w:asciiTheme="minorEastAsia" w:hAnsiTheme="minorEastAsia"/>
                        <w:spacing w:val="-20"/>
                      </w:rPr>
                    </w:pPr>
                  </w:p>
                </w:tc>
              </w:tr>
            </w:sdtContent>
          </w:sdt>
          <w:sdt>
            <w:sdtPr>
              <w:rPr>
                <w:rFonts w:asciiTheme="minorEastAsia" w:eastAsiaTheme="minorEastAsia" w:hAnsiTheme="minorEastAsia" w:cstheme="minorBidi" w:hint="eastAsia"/>
                <w:spacing w:val="-20"/>
                <w:kern w:val="2"/>
                <w:szCs w:val="22"/>
              </w:rPr>
              <w:alias w:val="联营企业投资信息明细"/>
              <w:tag w:val="_TUP_7b793873cf474c90a258ae813c0395d1"/>
              <w:id w:val="1811126891"/>
              <w:lock w:val="sdtLocked"/>
            </w:sdtPr>
            <w:sdtEndPr>
              <w:rPr>
                <w:rFonts w:hint="default"/>
              </w:rPr>
            </w:sdtEndPr>
            <w:sdtContent>
              <w:tr w:rsidR="007E7472" w14:paraId="7E6F0662" w14:textId="77777777">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468AB0C9" w14:textId="77777777" w:rsidR="007E7472" w:rsidRDefault="00EC1269">
                    <w:pPr>
                      <w:rPr>
                        <w:rFonts w:asciiTheme="minorEastAsia" w:hAnsiTheme="minorEastAsia"/>
                        <w:spacing w:val="-20"/>
                      </w:rPr>
                    </w:pPr>
                    <w:r>
                      <w:rPr>
                        <w:spacing w:val="-20"/>
                      </w:rPr>
                      <w:t>内蒙古锦联铝材有限公司</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51ACDE38" w14:textId="77777777" w:rsidR="007E7472" w:rsidRDefault="00EC1269">
                    <w:pPr>
                      <w:jc w:val="right"/>
                      <w:rPr>
                        <w:spacing w:val="-20"/>
                      </w:rPr>
                    </w:pPr>
                    <w:r>
                      <w:rPr>
                        <w:spacing w:val="-20"/>
                      </w:rPr>
                      <w:t>4,691,156</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14:paraId="6FD5E3F5" w14:textId="77777777" w:rsidR="007E7472" w:rsidRDefault="00C8327E">
                    <w:pPr>
                      <w:jc w:val="right"/>
                      <w:rPr>
                        <w:rFonts w:asciiTheme="minorEastAsia" w:hAnsiTheme="minorEastAsia"/>
                        <w:spacing w:val="-20"/>
                      </w:rPr>
                    </w:pP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7B971121" w14:textId="77777777" w:rsidR="007E7472" w:rsidRDefault="00C8327E">
                    <w:pPr>
                      <w:jc w:val="right"/>
                      <w:rPr>
                        <w:rFonts w:asciiTheme="minorEastAsia" w:hAnsiTheme="minorEastAsia"/>
                        <w:spacing w:val="-20"/>
                      </w:rPr>
                    </w:pP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6D792B2D" w14:textId="77777777" w:rsidR="007E7472" w:rsidRDefault="00EC1269">
                    <w:pPr>
                      <w:jc w:val="right"/>
                      <w:rPr>
                        <w:rFonts w:asciiTheme="minorEastAsia" w:hAnsiTheme="minorEastAsia"/>
                        <w:spacing w:val="-20"/>
                      </w:rPr>
                    </w:pPr>
                    <w:r>
                      <w:rPr>
                        <w:spacing w:val="-20"/>
                      </w:rPr>
                      <w:t>-10,504</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5C7A57DB" w14:textId="77777777" w:rsidR="007E7472" w:rsidRDefault="00C8327E">
                    <w:pPr>
                      <w:jc w:val="right"/>
                      <w:rPr>
                        <w:rFonts w:asciiTheme="minorEastAsia" w:hAnsiTheme="minorEastAsia"/>
                        <w:spacing w:val="-20"/>
                      </w:rPr>
                    </w:pP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5C8945CC" w14:textId="77777777" w:rsidR="007E7472" w:rsidRDefault="00C8327E">
                    <w:pPr>
                      <w:jc w:val="right"/>
                      <w:rPr>
                        <w:rFonts w:asciiTheme="minorEastAsia" w:hAnsiTheme="minorEastAsia"/>
                        <w:spacing w:val="-20"/>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194789C4" w14:textId="77777777" w:rsidR="007E7472" w:rsidRDefault="00C8327E">
                    <w:pPr>
                      <w:jc w:val="right"/>
                      <w:rPr>
                        <w:rFonts w:asciiTheme="minorEastAsia" w:hAnsiTheme="minorEastAsia"/>
                        <w:spacing w:val="-20"/>
                      </w:rPr>
                    </w:pP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14:paraId="687CD1D5" w14:textId="77777777" w:rsidR="007E7472" w:rsidRDefault="00C8327E">
                    <w:pPr>
                      <w:jc w:val="right"/>
                      <w:rPr>
                        <w:rFonts w:asciiTheme="minorEastAsia" w:hAnsiTheme="minorEastAsia"/>
                        <w:spacing w:val="-20"/>
                      </w:rPr>
                    </w:pP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178AC9F9" w14:textId="77777777" w:rsidR="007E7472" w:rsidRDefault="00C8327E">
                    <w:pPr>
                      <w:jc w:val="right"/>
                      <w:rPr>
                        <w:rFonts w:asciiTheme="minorEastAsia" w:hAnsiTheme="minorEastAsia"/>
                        <w:spacing w:val="-20"/>
                      </w:rPr>
                    </w:pPr>
                  </w:p>
                </w:tc>
                <w:sdt>
                  <w:sdtPr>
                    <w:rPr>
                      <w:rFonts w:asciiTheme="minorEastAsia" w:hAnsiTheme="minorEastAsia"/>
                      <w:spacing w:val="-20"/>
                    </w:rPr>
                    <w:alias w:val="外币报表折算"/>
                    <w:tag w:val="_GBC_39caad961913487a9eb697bc14dc91de"/>
                    <w:id w:val="1631673702"/>
                    <w:lock w:val="sdtLocked"/>
                    <w:showingPlcHdr/>
                  </w:sdtPr>
                  <w:sdtEndPr/>
                  <w:sdtContent>
                    <w:tc>
                      <w:tcPr>
                        <w:tcW w:w="411" w:type="pct"/>
                        <w:tcBorders>
                          <w:top w:val="single" w:sz="4" w:space="0" w:color="auto"/>
                          <w:left w:val="single" w:sz="4" w:space="0" w:color="auto"/>
                          <w:bottom w:val="single" w:sz="4" w:space="0" w:color="auto"/>
                          <w:right w:val="single" w:sz="4" w:space="0" w:color="auto"/>
                        </w:tcBorders>
                        <w:shd w:val="clear" w:color="auto" w:fill="auto"/>
                        <w:vAlign w:val="center"/>
                      </w:tcPr>
                      <w:p w14:paraId="42731705" w14:textId="77777777" w:rsidR="007E7472" w:rsidRDefault="00C8327E">
                        <w:pPr>
                          <w:jc w:val="right"/>
                          <w:rPr>
                            <w:rFonts w:asciiTheme="minorEastAsia" w:hAnsiTheme="minorEastAsia"/>
                            <w:spacing w:val="-20"/>
                          </w:rPr>
                        </w:pPr>
                      </w:p>
                    </w:tc>
                  </w:sdtContent>
                </w:sdt>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5446F22F" w14:textId="77777777" w:rsidR="007E7472" w:rsidRDefault="00EC1269">
                    <w:pPr>
                      <w:jc w:val="right"/>
                      <w:rPr>
                        <w:rFonts w:asciiTheme="minorEastAsia" w:hAnsiTheme="minorEastAsia"/>
                        <w:spacing w:val="-20"/>
                      </w:rPr>
                    </w:pPr>
                    <w:r>
                      <w:rPr>
                        <w:spacing w:val="-20"/>
                      </w:rPr>
                      <w:t>4,680,652</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40C5C6F9" w14:textId="77777777" w:rsidR="007E7472" w:rsidRDefault="00C8327E">
                    <w:pPr>
                      <w:jc w:val="right"/>
                      <w:rPr>
                        <w:rFonts w:asciiTheme="minorEastAsia" w:hAnsiTheme="minorEastAsia"/>
                        <w:spacing w:val="-20"/>
                      </w:rPr>
                    </w:pPr>
                  </w:p>
                </w:tc>
              </w:tr>
            </w:sdtContent>
          </w:sdt>
          <w:sdt>
            <w:sdtPr>
              <w:rPr>
                <w:rFonts w:asciiTheme="minorEastAsia" w:eastAsiaTheme="minorEastAsia" w:hAnsiTheme="minorEastAsia" w:cstheme="minorBidi" w:hint="eastAsia"/>
                <w:spacing w:val="-20"/>
                <w:kern w:val="2"/>
                <w:szCs w:val="22"/>
              </w:rPr>
              <w:alias w:val="联营企业投资信息明细"/>
              <w:tag w:val="_TUP_7b793873cf474c90a258ae813c0395d1"/>
              <w:id w:val="1281221773"/>
              <w:lock w:val="sdtLocked"/>
            </w:sdtPr>
            <w:sdtEndPr>
              <w:rPr>
                <w:rFonts w:hint="default"/>
              </w:rPr>
            </w:sdtEndPr>
            <w:sdtContent>
              <w:tr w:rsidR="007E7472" w14:paraId="28A9BC7A" w14:textId="77777777">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0454EC32" w14:textId="77777777" w:rsidR="007E7472" w:rsidRDefault="00EC1269">
                    <w:pPr>
                      <w:rPr>
                        <w:rFonts w:asciiTheme="minorEastAsia" w:hAnsiTheme="minorEastAsia"/>
                        <w:spacing w:val="-20"/>
                      </w:rPr>
                    </w:pPr>
                    <w:r>
                      <w:rPr>
                        <w:spacing w:val="-20"/>
                      </w:rPr>
                      <w:t>内蒙古霍煤锦联矿业有限责任公司</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48F5E0C0" w14:textId="77777777" w:rsidR="007E7472" w:rsidRDefault="00EC1269">
                    <w:pPr>
                      <w:jc w:val="right"/>
                      <w:rPr>
                        <w:spacing w:val="-20"/>
                      </w:rPr>
                    </w:pPr>
                    <w:r>
                      <w:rPr>
                        <w:spacing w:val="-20"/>
                      </w:rPr>
                      <w:t>16,673</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14:paraId="1BBC147F" w14:textId="77777777" w:rsidR="007E7472" w:rsidRDefault="00C8327E">
                    <w:pPr>
                      <w:jc w:val="right"/>
                      <w:rPr>
                        <w:rFonts w:asciiTheme="minorEastAsia" w:hAnsiTheme="minorEastAsia"/>
                        <w:spacing w:val="-20"/>
                      </w:rPr>
                    </w:pP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196B1173" w14:textId="77777777" w:rsidR="007E7472" w:rsidRDefault="00C8327E">
                    <w:pPr>
                      <w:jc w:val="right"/>
                      <w:rPr>
                        <w:rFonts w:asciiTheme="minorEastAsia" w:hAnsiTheme="minorEastAsia"/>
                        <w:spacing w:val="-20"/>
                      </w:rPr>
                    </w:pP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3B891CEE" w14:textId="77777777" w:rsidR="007E7472" w:rsidRDefault="00EC1269">
                    <w:pPr>
                      <w:jc w:val="right"/>
                      <w:rPr>
                        <w:rFonts w:asciiTheme="minorEastAsia" w:hAnsiTheme="minorEastAsia"/>
                        <w:spacing w:val="-20"/>
                      </w:rPr>
                    </w:pPr>
                    <w:r>
                      <w:rPr>
                        <w:spacing w:val="-20"/>
                      </w:rPr>
                      <w:t>-516</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6279A20" w14:textId="77777777" w:rsidR="007E7472" w:rsidRDefault="00C8327E">
                    <w:pPr>
                      <w:jc w:val="right"/>
                      <w:rPr>
                        <w:rFonts w:asciiTheme="minorEastAsia" w:hAnsiTheme="minorEastAsia"/>
                        <w:spacing w:val="-20"/>
                      </w:rPr>
                    </w:pP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085071EE" w14:textId="77777777" w:rsidR="007E7472" w:rsidRDefault="00C8327E">
                    <w:pPr>
                      <w:jc w:val="right"/>
                      <w:rPr>
                        <w:rFonts w:asciiTheme="minorEastAsia" w:hAnsiTheme="minorEastAsia"/>
                        <w:spacing w:val="-20"/>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112F62B3" w14:textId="77777777" w:rsidR="007E7472" w:rsidRDefault="00C8327E">
                    <w:pPr>
                      <w:jc w:val="right"/>
                      <w:rPr>
                        <w:rFonts w:asciiTheme="minorEastAsia" w:hAnsiTheme="minorEastAsia"/>
                        <w:spacing w:val="-20"/>
                      </w:rPr>
                    </w:pP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14:paraId="61EA1915" w14:textId="77777777" w:rsidR="007E7472" w:rsidRDefault="00C8327E">
                    <w:pPr>
                      <w:jc w:val="right"/>
                      <w:rPr>
                        <w:rFonts w:asciiTheme="minorEastAsia" w:hAnsiTheme="minorEastAsia"/>
                        <w:spacing w:val="-20"/>
                      </w:rPr>
                    </w:pP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6CD13356" w14:textId="77777777" w:rsidR="007E7472" w:rsidRDefault="00C8327E">
                    <w:pPr>
                      <w:jc w:val="right"/>
                      <w:rPr>
                        <w:rFonts w:asciiTheme="minorEastAsia" w:hAnsiTheme="minorEastAsia"/>
                        <w:spacing w:val="-20"/>
                      </w:rPr>
                    </w:pP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tcPr>
                  <w:p w14:paraId="30AB5BFC" w14:textId="77777777" w:rsidR="007E7472" w:rsidRDefault="00C8327E">
                    <w:pPr>
                      <w:jc w:val="right"/>
                      <w:rPr>
                        <w:rFonts w:asciiTheme="minorEastAsia" w:hAnsiTheme="minorEastAsia"/>
                        <w:spacing w:val="-20"/>
                      </w:rPr>
                    </w:pP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38F4A232" w14:textId="77777777" w:rsidR="007E7472" w:rsidRDefault="00EC1269">
                    <w:pPr>
                      <w:jc w:val="right"/>
                      <w:rPr>
                        <w:rFonts w:asciiTheme="minorEastAsia" w:hAnsiTheme="minorEastAsia"/>
                        <w:spacing w:val="-20"/>
                      </w:rPr>
                    </w:pPr>
                    <w:r>
                      <w:rPr>
                        <w:spacing w:val="-20"/>
                      </w:rPr>
                      <w:t>16,157</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1BFF353A" w14:textId="77777777" w:rsidR="007E7472" w:rsidRDefault="00EC1269">
                    <w:pPr>
                      <w:jc w:val="right"/>
                      <w:rPr>
                        <w:rFonts w:asciiTheme="minorEastAsia" w:hAnsiTheme="minorEastAsia"/>
                        <w:spacing w:val="-20"/>
                      </w:rPr>
                    </w:pPr>
                    <w:r>
                      <w:rPr>
                        <w:spacing w:val="-20"/>
                      </w:rPr>
                      <w:t>6,158</w:t>
                    </w:r>
                  </w:p>
                </w:tc>
              </w:tr>
            </w:sdtContent>
          </w:sdt>
          <w:sdt>
            <w:sdtPr>
              <w:rPr>
                <w:rFonts w:asciiTheme="minorEastAsia" w:eastAsiaTheme="minorEastAsia" w:hAnsiTheme="minorEastAsia" w:cstheme="minorBidi" w:hint="eastAsia"/>
                <w:spacing w:val="-20"/>
                <w:kern w:val="2"/>
                <w:szCs w:val="22"/>
              </w:rPr>
              <w:alias w:val="联营企业投资信息明细"/>
              <w:tag w:val="_TUP_7b793873cf474c90a258ae813c0395d1"/>
              <w:id w:val="1683781398"/>
              <w:lock w:val="sdtLocked"/>
            </w:sdtPr>
            <w:sdtEndPr>
              <w:rPr>
                <w:rFonts w:hint="default"/>
              </w:rPr>
            </w:sdtEndPr>
            <w:sdtContent>
              <w:tr w:rsidR="007E7472" w14:paraId="0012FDA8" w14:textId="77777777">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12B055F6" w14:textId="77777777" w:rsidR="007E7472" w:rsidRDefault="00EC1269">
                    <w:pPr>
                      <w:rPr>
                        <w:rFonts w:asciiTheme="minorEastAsia" w:hAnsiTheme="minorEastAsia"/>
                        <w:spacing w:val="-20"/>
                      </w:rPr>
                    </w:pPr>
                    <w:r>
                      <w:rPr>
                        <w:spacing w:val="-20"/>
                      </w:rPr>
                      <w:t>德伯特机械(山东)有限公司</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11DE7657" w14:textId="77777777" w:rsidR="007E7472" w:rsidRDefault="00EC1269">
                    <w:pPr>
                      <w:jc w:val="right"/>
                      <w:rPr>
                        <w:spacing w:val="-20"/>
                      </w:rPr>
                    </w:pPr>
                    <w:r>
                      <w:rPr>
                        <w:spacing w:val="-20"/>
                      </w:rPr>
                      <w:t>17,451</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14:paraId="1E6EB562" w14:textId="77777777" w:rsidR="007E7472" w:rsidRDefault="00C8327E">
                    <w:pPr>
                      <w:jc w:val="right"/>
                      <w:rPr>
                        <w:rFonts w:asciiTheme="minorEastAsia" w:hAnsiTheme="minorEastAsia"/>
                        <w:spacing w:val="-20"/>
                      </w:rPr>
                    </w:pP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183138E9" w14:textId="77777777" w:rsidR="007E7472" w:rsidRDefault="00C8327E">
                    <w:pPr>
                      <w:jc w:val="right"/>
                      <w:rPr>
                        <w:rFonts w:asciiTheme="minorEastAsia" w:hAnsiTheme="minorEastAsia"/>
                        <w:spacing w:val="-20"/>
                      </w:rPr>
                    </w:pP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336100FC" w14:textId="77777777" w:rsidR="007E7472" w:rsidRDefault="00EC1269">
                    <w:pPr>
                      <w:jc w:val="right"/>
                      <w:rPr>
                        <w:rFonts w:asciiTheme="minorEastAsia" w:hAnsiTheme="minorEastAsia"/>
                        <w:spacing w:val="-20"/>
                      </w:rPr>
                    </w:pPr>
                    <w:r>
                      <w:rPr>
                        <w:spacing w:val="-20"/>
                      </w:rPr>
                      <w:t>395</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2B6FA22F" w14:textId="77777777" w:rsidR="007E7472" w:rsidRDefault="00C8327E">
                    <w:pPr>
                      <w:jc w:val="right"/>
                      <w:rPr>
                        <w:rFonts w:asciiTheme="minorEastAsia" w:hAnsiTheme="minorEastAsia"/>
                        <w:spacing w:val="-20"/>
                      </w:rPr>
                    </w:pP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74ADA85B" w14:textId="77777777" w:rsidR="007E7472" w:rsidRDefault="00C8327E">
                    <w:pPr>
                      <w:jc w:val="right"/>
                      <w:rPr>
                        <w:rFonts w:asciiTheme="minorEastAsia" w:hAnsiTheme="minorEastAsia"/>
                        <w:spacing w:val="-20"/>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4520AF9B" w14:textId="77777777" w:rsidR="007E7472" w:rsidRDefault="00C8327E">
                    <w:pPr>
                      <w:jc w:val="right"/>
                      <w:rPr>
                        <w:rFonts w:asciiTheme="minorEastAsia" w:hAnsiTheme="minorEastAsia"/>
                        <w:spacing w:val="-20"/>
                      </w:rPr>
                    </w:pP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14:paraId="11FDB397" w14:textId="77777777" w:rsidR="007E7472" w:rsidRDefault="00C8327E">
                    <w:pPr>
                      <w:jc w:val="right"/>
                      <w:rPr>
                        <w:rFonts w:asciiTheme="minorEastAsia" w:hAnsiTheme="minorEastAsia"/>
                        <w:spacing w:val="-20"/>
                      </w:rPr>
                    </w:pP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4CDF5902" w14:textId="77777777" w:rsidR="007E7472" w:rsidRDefault="00C8327E">
                    <w:pPr>
                      <w:jc w:val="right"/>
                      <w:rPr>
                        <w:rFonts w:asciiTheme="minorEastAsia" w:hAnsiTheme="minorEastAsia"/>
                        <w:spacing w:val="-20"/>
                      </w:rPr>
                    </w:pP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tcPr>
                  <w:p w14:paraId="2F668190" w14:textId="77777777" w:rsidR="007E7472" w:rsidRDefault="00C8327E">
                    <w:pPr>
                      <w:jc w:val="right"/>
                      <w:rPr>
                        <w:rFonts w:asciiTheme="minorEastAsia" w:hAnsiTheme="minorEastAsia"/>
                        <w:spacing w:val="-20"/>
                      </w:rPr>
                    </w:pP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0A853101" w14:textId="77777777" w:rsidR="007E7472" w:rsidRDefault="00EC1269">
                    <w:pPr>
                      <w:jc w:val="right"/>
                      <w:rPr>
                        <w:rFonts w:asciiTheme="minorEastAsia" w:hAnsiTheme="minorEastAsia"/>
                        <w:spacing w:val="-20"/>
                      </w:rPr>
                    </w:pPr>
                    <w:r>
                      <w:rPr>
                        <w:spacing w:val="-20"/>
                      </w:rPr>
                      <w:t>17,846</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32B5B5FA" w14:textId="77777777" w:rsidR="007E7472" w:rsidRDefault="00C8327E">
                    <w:pPr>
                      <w:jc w:val="right"/>
                      <w:rPr>
                        <w:rFonts w:asciiTheme="minorEastAsia" w:hAnsiTheme="minorEastAsia"/>
                        <w:spacing w:val="-20"/>
                      </w:rPr>
                    </w:pPr>
                  </w:p>
                </w:tc>
              </w:tr>
            </w:sdtContent>
          </w:sdt>
          <w:sdt>
            <w:sdtPr>
              <w:rPr>
                <w:rFonts w:asciiTheme="minorEastAsia" w:eastAsiaTheme="minorEastAsia" w:hAnsiTheme="minorEastAsia" w:cstheme="minorBidi" w:hint="eastAsia"/>
                <w:spacing w:val="-20"/>
                <w:kern w:val="2"/>
                <w:szCs w:val="22"/>
              </w:rPr>
              <w:alias w:val="联营企业投资信息明细"/>
              <w:tag w:val="_TUP_7b793873cf474c90a258ae813c0395d1"/>
              <w:id w:val="-241722944"/>
              <w:lock w:val="sdtLocked"/>
            </w:sdtPr>
            <w:sdtEndPr>
              <w:rPr>
                <w:rFonts w:hint="default"/>
              </w:rPr>
            </w:sdtEndPr>
            <w:sdtContent>
              <w:tr w:rsidR="007E7472" w14:paraId="11CB3459" w14:textId="77777777">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7399D498" w14:textId="77777777" w:rsidR="007E7472" w:rsidRDefault="00EC1269">
                    <w:pPr>
                      <w:rPr>
                        <w:rFonts w:asciiTheme="minorEastAsia" w:hAnsiTheme="minorEastAsia"/>
                        <w:spacing w:val="-20"/>
                      </w:rPr>
                    </w:pPr>
                    <w:r>
                      <w:rPr>
                        <w:spacing w:val="-20"/>
                      </w:rPr>
                      <w:t>山东新宝龙工业科技有限公司（注6）</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6F7DBEC2" w14:textId="77777777" w:rsidR="007E7472" w:rsidRDefault="00EC1269">
                    <w:pPr>
                      <w:jc w:val="right"/>
                      <w:rPr>
                        <w:spacing w:val="-20"/>
                      </w:rPr>
                    </w:pPr>
                    <w:r>
                      <w:rPr>
                        <w:spacing w:val="-20"/>
                      </w:rPr>
                      <w:t>63,852</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14:paraId="460C038D" w14:textId="77777777" w:rsidR="007E7472" w:rsidRDefault="00EC1269">
                    <w:pPr>
                      <w:jc w:val="right"/>
                      <w:rPr>
                        <w:rFonts w:asciiTheme="minorEastAsia" w:hAnsiTheme="minorEastAsia"/>
                        <w:spacing w:val="-20"/>
                      </w:rPr>
                    </w:pPr>
                    <w:r>
                      <w:rPr>
                        <w:rFonts w:hint="eastAsia"/>
                        <w:spacing w:val="-20"/>
                      </w:rPr>
                      <w:t>40,819</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55F1016D" w14:textId="77777777" w:rsidR="007E7472" w:rsidRDefault="00C8327E">
                    <w:pPr>
                      <w:jc w:val="right"/>
                      <w:rPr>
                        <w:rFonts w:asciiTheme="minorEastAsia" w:hAnsiTheme="minorEastAsia"/>
                        <w:spacing w:val="-20"/>
                      </w:rPr>
                    </w:pP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19D09E33" w14:textId="77777777" w:rsidR="007E7472" w:rsidRDefault="00EC1269">
                    <w:pPr>
                      <w:jc w:val="right"/>
                      <w:rPr>
                        <w:rFonts w:asciiTheme="minorEastAsia" w:hAnsiTheme="minorEastAsia"/>
                        <w:spacing w:val="-20"/>
                      </w:rPr>
                    </w:pPr>
                    <w:r>
                      <w:rPr>
                        <w:spacing w:val="-20"/>
                      </w:rPr>
                      <w:t>5,966</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351B7B5" w14:textId="77777777" w:rsidR="007E7472" w:rsidRDefault="00C8327E">
                    <w:pPr>
                      <w:jc w:val="right"/>
                      <w:rPr>
                        <w:rFonts w:asciiTheme="minorEastAsia" w:hAnsiTheme="minorEastAsia"/>
                        <w:spacing w:val="-20"/>
                      </w:rPr>
                    </w:pP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210188E7" w14:textId="77777777" w:rsidR="007E7472" w:rsidRDefault="00EC1269">
                    <w:pPr>
                      <w:jc w:val="right"/>
                      <w:rPr>
                        <w:rFonts w:asciiTheme="minorEastAsia" w:hAnsiTheme="minorEastAsia"/>
                        <w:spacing w:val="-20"/>
                      </w:rPr>
                    </w:pPr>
                    <w:r>
                      <w:rPr>
                        <w:spacing w:val="-20"/>
                      </w:rPr>
                      <w:t>11</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52EDB9FE" w14:textId="77777777" w:rsidR="007E7472" w:rsidRDefault="00C8327E">
                    <w:pPr>
                      <w:jc w:val="right"/>
                      <w:rPr>
                        <w:rFonts w:asciiTheme="minorEastAsia" w:hAnsiTheme="minorEastAsia"/>
                        <w:spacing w:val="-20"/>
                      </w:rPr>
                    </w:pP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14:paraId="05052855" w14:textId="77777777" w:rsidR="007E7472" w:rsidRDefault="00C8327E">
                    <w:pPr>
                      <w:jc w:val="right"/>
                      <w:rPr>
                        <w:rFonts w:asciiTheme="minorEastAsia" w:hAnsiTheme="minorEastAsia"/>
                        <w:spacing w:val="-20"/>
                      </w:rPr>
                    </w:pP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31E8FD4D" w14:textId="77777777" w:rsidR="007E7472" w:rsidRDefault="00C8327E">
                    <w:pPr>
                      <w:jc w:val="right"/>
                      <w:rPr>
                        <w:rFonts w:asciiTheme="minorEastAsia" w:hAnsiTheme="minorEastAsia"/>
                        <w:spacing w:val="-20"/>
                      </w:rPr>
                    </w:pP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tcPr>
                  <w:p w14:paraId="524A4432" w14:textId="77777777" w:rsidR="007E7472" w:rsidRDefault="00EC1269">
                    <w:pPr>
                      <w:jc w:val="right"/>
                      <w:rPr>
                        <w:rFonts w:asciiTheme="minorEastAsia" w:hAnsiTheme="minorEastAsia"/>
                        <w:spacing w:val="-20"/>
                      </w:rPr>
                    </w:pPr>
                    <w:r>
                      <w:rPr>
                        <w:rFonts w:asciiTheme="minorEastAsia" w:hAnsiTheme="minorEastAsia" w:hint="eastAsia"/>
                        <w:spacing w:val="-20"/>
                      </w:rPr>
                      <w:t>1,155</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0627081C" w14:textId="77777777" w:rsidR="007E7472" w:rsidRDefault="00EC1269">
                    <w:pPr>
                      <w:jc w:val="right"/>
                      <w:rPr>
                        <w:rFonts w:asciiTheme="minorEastAsia" w:hAnsiTheme="minorEastAsia"/>
                        <w:spacing w:val="-20"/>
                      </w:rPr>
                    </w:pPr>
                    <w:r>
                      <w:rPr>
                        <w:spacing w:val="-20"/>
                      </w:rPr>
                      <w:t>111,803</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226EDAC3" w14:textId="77777777" w:rsidR="007E7472" w:rsidRDefault="00C8327E">
                    <w:pPr>
                      <w:jc w:val="right"/>
                      <w:rPr>
                        <w:rFonts w:asciiTheme="minorEastAsia" w:hAnsiTheme="minorEastAsia"/>
                        <w:spacing w:val="-20"/>
                      </w:rPr>
                    </w:pPr>
                  </w:p>
                </w:tc>
              </w:tr>
            </w:sdtContent>
          </w:sdt>
          <w:sdt>
            <w:sdtPr>
              <w:rPr>
                <w:rFonts w:asciiTheme="minorEastAsia" w:eastAsiaTheme="minorEastAsia" w:hAnsiTheme="minorEastAsia" w:cstheme="minorBidi" w:hint="eastAsia"/>
                <w:spacing w:val="-20"/>
                <w:kern w:val="2"/>
                <w:szCs w:val="22"/>
              </w:rPr>
              <w:alias w:val="联营企业投资信息明细"/>
              <w:tag w:val="_TUP_7b793873cf474c90a258ae813c0395d1"/>
              <w:id w:val="-960957151"/>
              <w:lock w:val="sdtLocked"/>
            </w:sdtPr>
            <w:sdtEndPr>
              <w:rPr>
                <w:rFonts w:hint="default"/>
              </w:rPr>
            </w:sdtEndPr>
            <w:sdtContent>
              <w:tr w:rsidR="007E7472" w14:paraId="66C34D9A" w14:textId="77777777">
                <w:trPr>
                  <w:trHeight w:val="90"/>
                </w:trPr>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3BA3F514" w14:textId="77777777" w:rsidR="007E7472" w:rsidRDefault="00EC1269">
                    <w:pPr>
                      <w:rPr>
                        <w:rFonts w:asciiTheme="minorEastAsia" w:hAnsiTheme="minorEastAsia"/>
                        <w:spacing w:val="-20"/>
                      </w:rPr>
                    </w:pPr>
                    <w:r>
                      <w:rPr>
                        <w:spacing w:val="-20"/>
                      </w:rPr>
                      <w:t>山东宝能智维工业科技有限公司</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1BFDC354" w14:textId="77777777" w:rsidR="007E7472" w:rsidRDefault="00EC1269">
                    <w:pPr>
                      <w:jc w:val="right"/>
                      <w:rPr>
                        <w:spacing w:val="-20"/>
                      </w:rPr>
                    </w:pPr>
                    <w:r>
                      <w:rPr>
                        <w:spacing w:val="-20"/>
                      </w:rPr>
                      <w:t>2,822</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14:paraId="713B36CB" w14:textId="77777777" w:rsidR="007E7472" w:rsidRDefault="00C8327E">
                    <w:pPr>
                      <w:jc w:val="right"/>
                      <w:rPr>
                        <w:rFonts w:asciiTheme="minorEastAsia" w:hAnsiTheme="minorEastAsia"/>
                        <w:spacing w:val="-20"/>
                      </w:rPr>
                    </w:pP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07B1FC51" w14:textId="77777777" w:rsidR="007E7472" w:rsidRDefault="00C8327E">
                    <w:pPr>
                      <w:jc w:val="right"/>
                      <w:rPr>
                        <w:rFonts w:asciiTheme="minorEastAsia" w:hAnsiTheme="minorEastAsia"/>
                        <w:spacing w:val="-20"/>
                      </w:rPr>
                    </w:pP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52295890" w14:textId="77777777" w:rsidR="007E7472" w:rsidRDefault="00EC1269">
                    <w:pPr>
                      <w:jc w:val="right"/>
                      <w:rPr>
                        <w:rFonts w:asciiTheme="minorEastAsia" w:hAnsiTheme="minorEastAsia"/>
                        <w:spacing w:val="-20"/>
                      </w:rPr>
                    </w:pPr>
                    <w:r>
                      <w:rPr>
                        <w:spacing w:val="-20"/>
                      </w:rPr>
                      <w:t>-362</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7375B71" w14:textId="77777777" w:rsidR="007E7472" w:rsidRDefault="00C8327E">
                    <w:pPr>
                      <w:jc w:val="right"/>
                      <w:rPr>
                        <w:rFonts w:asciiTheme="minorEastAsia" w:hAnsiTheme="minorEastAsia"/>
                        <w:spacing w:val="-20"/>
                      </w:rPr>
                    </w:pP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41BBAA55" w14:textId="77777777" w:rsidR="007E7472" w:rsidRDefault="00C8327E">
                    <w:pPr>
                      <w:jc w:val="right"/>
                      <w:rPr>
                        <w:rFonts w:asciiTheme="minorEastAsia" w:hAnsiTheme="minorEastAsia"/>
                        <w:spacing w:val="-20"/>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57826621" w14:textId="77777777" w:rsidR="007E7472" w:rsidRDefault="00C8327E">
                    <w:pPr>
                      <w:jc w:val="right"/>
                      <w:rPr>
                        <w:rFonts w:asciiTheme="minorEastAsia" w:hAnsiTheme="minorEastAsia"/>
                        <w:spacing w:val="-20"/>
                      </w:rPr>
                    </w:pP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14:paraId="4094E55E" w14:textId="77777777" w:rsidR="007E7472" w:rsidRDefault="00C8327E">
                    <w:pPr>
                      <w:jc w:val="right"/>
                      <w:rPr>
                        <w:rFonts w:asciiTheme="minorEastAsia" w:hAnsiTheme="minorEastAsia"/>
                        <w:spacing w:val="-20"/>
                      </w:rPr>
                    </w:pP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2B3017C6" w14:textId="77777777" w:rsidR="007E7472" w:rsidRDefault="00C8327E">
                    <w:pPr>
                      <w:jc w:val="right"/>
                      <w:rPr>
                        <w:rFonts w:asciiTheme="minorEastAsia" w:hAnsiTheme="minorEastAsia"/>
                        <w:spacing w:val="-20"/>
                      </w:rPr>
                    </w:pP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tcPr>
                  <w:p w14:paraId="6F0CCB7D" w14:textId="77777777" w:rsidR="007E7472" w:rsidRDefault="00C8327E">
                    <w:pPr>
                      <w:jc w:val="right"/>
                      <w:rPr>
                        <w:rFonts w:asciiTheme="minorEastAsia" w:hAnsiTheme="minorEastAsia"/>
                        <w:spacing w:val="-20"/>
                      </w:rPr>
                    </w:pP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58E75BF7" w14:textId="77777777" w:rsidR="007E7472" w:rsidRDefault="00EC1269">
                    <w:pPr>
                      <w:jc w:val="right"/>
                      <w:rPr>
                        <w:rFonts w:asciiTheme="minorEastAsia" w:hAnsiTheme="minorEastAsia"/>
                        <w:spacing w:val="-20"/>
                      </w:rPr>
                    </w:pPr>
                    <w:r>
                      <w:rPr>
                        <w:spacing w:val="-20"/>
                      </w:rPr>
                      <w:t>2,460</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3EBFFFC0" w14:textId="77777777" w:rsidR="007E7472" w:rsidRDefault="00C8327E">
                    <w:pPr>
                      <w:jc w:val="right"/>
                      <w:rPr>
                        <w:rFonts w:asciiTheme="minorEastAsia" w:hAnsiTheme="minorEastAsia"/>
                        <w:spacing w:val="-20"/>
                      </w:rPr>
                    </w:pPr>
                  </w:p>
                </w:tc>
              </w:tr>
            </w:sdtContent>
          </w:sdt>
          <w:sdt>
            <w:sdtPr>
              <w:rPr>
                <w:rFonts w:asciiTheme="minorEastAsia" w:eastAsiaTheme="minorEastAsia" w:hAnsiTheme="minorEastAsia" w:cstheme="minorBidi" w:hint="eastAsia"/>
                <w:spacing w:val="-20"/>
                <w:kern w:val="2"/>
                <w:szCs w:val="22"/>
              </w:rPr>
              <w:alias w:val="联营企业投资信息明细"/>
              <w:tag w:val="_TUP_7b793873cf474c90a258ae813c0395d1"/>
              <w:id w:val="1624123572"/>
              <w:lock w:val="sdtLocked"/>
            </w:sdtPr>
            <w:sdtEndPr>
              <w:rPr>
                <w:rFonts w:hint="default"/>
              </w:rPr>
            </w:sdtEndPr>
            <w:sdtContent>
              <w:tr w:rsidR="007E7472" w14:paraId="4D64ACA2" w14:textId="77777777">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6D84F984" w14:textId="77777777" w:rsidR="007E7472" w:rsidRDefault="00EC1269">
                    <w:pPr>
                      <w:rPr>
                        <w:rFonts w:asciiTheme="minorEastAsia" w:hAnsiTheme="minorEastAsia"/>
                        <w:spacing w:val="-20"/>
                      </w:rPr>
                    </w:pPr>
                    <w:r>
                      <w:rPr>
                        <w:spacing w:val="-20"/>
                      </w:rPr>
                      <w:t>水兴能源（邹城）有限公司</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21651E5D" w14:textId="77777777" w:rsidR="007E7472" w:rsidRDefault="00EC1269">
                    <w:pPr>
                      <w:jc w:val="right"/>
                      <w:rPr>
                        <w:spacing w:val="-20"/>
                      </w:rPr>
                    </w:pPr>
                    <w:r>
                      <w:rPr>
                        <w:spacing w:val="-20"/>
                      </w:rPr>
                      <w:t>15,421</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14:paraId="3F4A8E5B" w14:textId="77777777" w:rsidR="007E7472" w:rsidRDefault="00C8327E">
                    <w:pPr>
                      <w:jc w:val="right"/>
                      <w:rPr>
                        <w:rFonts w:asciiTheme="minorEastAsia" w:hAnsiTheme="minorEastAsia"/>
                        <w:spacing w:val="-20"/>
                      </w:rPr>
                    </w:pP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2A441838" w14:textId="77777777" w:rsidR="007E7472" w:rsidRDefault="00C8327E">
                    <w:pPr>
                      <w:jc w:val="right"/>
                      <w:rPr>
                        <w:rFonts w:asciiTheme="minorEastAsia" w:hAnsiTheme="minorEastAsia"/>
                        <w:spacing w:val="-20"/>
                      </w:rPr>
                    </w:pP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1161EA0C" w14:textId="77777777" w:rsidR="007E7472" w:rsidRDefault="00C8327E">
                    <w:pPr>
                      <w:jc w:val="right"/>
                      <w:rPr>
                        <w:rFonts w:asciiTheme="minorEastAsia" w:hAnsiTheme="minorEastAsia"/>
                        <w:spacing w:val="-20"/>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745C8FB2" w14:textId="77777777" w:rsidR="007E7472" w:rsidRDefault="00C8327E">
                    <w:pPr>
                      <w:jc w:val="right"/>
                      <w:rPr>
                        <w:rFonts w:asciiTheme="minorEastAsia" w:hAnsiTheme="minorEastAsia"/>
                        <w:spacing w:val="-20"/>
                      </w:rPr>
                    </w:pP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1E01887E" w14:textId="77777777" w:rsidR="007E7472" w:rsidRDefault="00C8327E">
                    <w:pPr>
                      <w:jc w:val="right"/>
                      <w:rPr>
                        <w:rFonts w:asciiTheme="minorEastAsia" w:hAnsiTheme="minorEastAsia"/>
                        <w:spacing w:val="-20"/>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3BDE01BF" w14:textId="77777777" w:rsidR="007E7472" w:rsidRDefault="00C8327E">
                    <w:pPr>
                      <w:jc w:val="right"/>
                      <w:rPr>
                        <w:rFonts w:asciiTheme="minorEastAsia" w:hAnsiTheme="minorEastAsia"/>
                        <w:spacing w:val="-20"/>
                      </w:rPr>
                    </w:pP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14:paraId="4EF5CA29" w14:textId="77777777" w:rsidR="007E7472" w:rsidRDefault="00C8327E">
                    <w:pPr>
                      <w:jc w:val="right"/>
                      <w:rPr>
                        <w:rFonts w:asciiTheme="minorEastAsia" w:hAnsiTheme="minorEastAsia"/>
                        <w:spacing w:val="-20"/>
                      </w:rPr>
                    </w:pP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46597590" w14:textId="77777777" w:rsidR="007E7472" w:rsidRDefault="00C8327E">
                    <w:pPr>
                      <w:jc w:val="right"/>
                      <w:rPr>
                        <w:rFonts w:asciiTheme="minorEastAsia" w:hAnsiTheme="minorEastAsia"/>
                        <w:spacing w:val="-20"/>
                      </w:rPr>
                    </w:pP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tcPr>
                  <w:p w14:paraId="70FFFA03" w14:textId="77777777" w:rsidR="007E7472" w:rsidRDefault="00EC1269">
                    <w:pPr>
                      <w:jc w:val="right"/>
                      <w:rPr>
                        <w:rFonts w:asciiTheme="minorEastAsia" w:hAnsiTheme="minorEastAsia"/>
                        <w:spacing w:val="-20"/>
                      </w:rPr>
                    </w:pPr>
                    <w:r>
                      <w:rPr>
                        <w:spacing w:val="-20"/>
                      </w:rPr>
                      <w:t>497</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27274A17" w14:textId="77777777" w:rsidR="007E7472" w:rsidRDefault="00EC1269">
                    <w:pPr>
                      <w:jc w:val="right"/>
                      <w:rPr>
                        <w:rFonts w:asciiTheme="minorEastAsia" w:hAnsiTheme="minorEastAsia"/>
                        <w:spacing w:val="-20"/>
                      </w:rPr>
                    </w:pPr>
                    <w:r>
                      <w:rPr>
                        <w:spacing w:val="-20"/>
                      </w:rPr>
                      <w:t>15,918</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295217B8" w14:textId="77777777" w:rsidR="007E7472" w:rsidRDefault="00C8327E">
                    <w:pPr>
                      <w:jc w:val="right"/>
                      <w:rPr>
                        <w:rFonts w:asciiTheme="minorEastAsia" w:hAnsiTheme="minorEastAsia"/>
                        <w:spacing w:val="-20"/>
                      </w:rPr>
                    </w:pPr>
                  </w:p>
                </w:tc>
              </w:tr>
            </w:sdtContent>
          </w:sdt>
          <w:sdt>
            <w:sdtPr>
              <w:rPr>
                <w:rFonts w:asciiTheme="minorEastAsia" w:eastAsiaTheme="minorEastAsia" w:hAnsiTheme="minorEastAsia" w:cstheme="minorBidi" w:hint="eastAsia"/>
                <w:spacing w:val="-20"/>
                <w:kern w:val="2"/>
                <w:szCs w:val="22"/>
              </w:rPr>
              <w:alias w:val="联营企业投资信息明细"/>
              <w:tag w:val="_TUP_7b793873cf474c90a258ae813c0395d1"/>
              <w:id w:val="-556163849"/>
              <w:lock w:val="sdtLocked"/>
            </w:sdtPr>
            <w:sdtEndPr>
              <w:rPr>
                <w:rFonts w:hint="default"/>
              </w:rPr>
            </w:sdtEndPr>
            <w:sdtContent>
              <w:tr w:rsidR="007E7472" w14:paraId="64C11F64" w14:textId="77777777">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2A3FA4EF" w14:textId="77777777" w:rsidR="007E7472" w:rsidRDefault="00EC1269">
                    <w:pPr>
                      <w:rPr>
                        <w:rFonts w:asciiTheme="minorEastAsia" w:eastAsiaTheme="minorEastAsia" w:hAnsiTheme="minorEastAsia" w:cstheme="minorBidi"/>
                        <w:spacing w:val="-20"/>
                        <w:kern w:val="2"/>
                        <w:szCs w:val="22"/>
                      </w:rPr>
                    </w:pPr>
                    <w:r>
                      <w:rPr>
                        <w:spacing w:val="-20"/>
                        <w:w w:val="90"/>
                      </w:rPr>
                      <w:t>WICET Holdings Pty Ltd</w:t>
                    </w:r>
                    <w:r>
                      <w:rPr>
                        <w:rFonts w:asciiTheme="minorEastAsia" w:eastAsiaTheme="minorEastAsia" w:hAnsiTheme="minorEastAsia" w:cstheme="minorBidi"/>
                        <w:spacing w:val="-20"/>
                        <w:kern w:val="2"/>
                        <w:szCs w:val="22"/>
                      </w:rPr>
                      <w:t>（注7）</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66A735BF" w14:textId="77777777" w:rsidR="007E7472" w:rsidRDefault="00C8327E">
                    <w:pPr>
                      <w:jc w:val="right"/>
                      <w:rPr>
                        <w:spacing w:val="-20"/>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14:paraId="37C5C0D2" w14:textId="77777777" w:rsidR="007E7472" w:rsidRDefault="00C8327E">
                    <w:pPr>
                      <w:jc w:val="right"/>
                      <w:rPr>
                        <w:rFonts w:asciiTheme="minorEastAsia" w:hAnsiTheme="minorEastAsia"/>
                        <w:spacing w:val="-20"/>
                      </w:rPr>
                    </w:pP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3883095D" w14:textId="77777777" w:rsidR="007E7472" w:rsidRDefault="00C8327E">
                    <w:pPr>
                      <w:jc w:val="right"/>
                      <w:rPr>
                        <w:rFonts w:asciiTheme="minorEastAsia" w:hAnsiTheme="minorEastAsia"/>
                        <w:spacing w:val="-20"/>
                      </w:rPr>
                    </w:pP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160AFCCB" w14:textId="77777777" w:rsidR="007E7472" w:rsidRDefault="00C8327E">
                    <w:pPr>
                      <w:jc w:val="right"/>
                      <w:rPr>
                        <w:rFonts w:asciiTheme="minorEastAsia" w:hAnsiTheme="minorEastAsia"/>
                        <w:spacing w:val="-20"/>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E90C094" w14:textId="77777777" w:rsidR="007E7472" w:rsidRDefault="00C8327E">
                    <w:pPr>
                      <w:jc w:val="right"/>
                      <w:rPr>
                        <w:rFonts w:asciiTheme="minorEastAsia" w:hAnsiTheme="minorEastAsia"/>
                        <w:spacing w:val="-20"/>
                      </w:rPr>
                    </w:pP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5238B685" w14:textId="77777777" w:rsidR="007E7472" w:rsidRDefault="00C8327E">
                    <w:pPr>
                      <w:jc w:val="right"/>
                      <w:rPr>
                        <w:rFonts w:asciiTheme="minorEastAsia" w:hAnsiTheme="minorEastAsia"/>
                        <w:spacing w:val="-20"/>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64BEF477" w14:textId="77777777" w:rsidR="007E7472" w:rsidRDefault="00C8327E">
                    <w:pPr>
                      <w:jc w:val="right"/>
                      <w:rPr>
                        <w:rFonts w:asciiTheme="minorEastAsia" w:hAnsiTheme="minorEastAsia"/>
                        <w:spacing w:val="-20"/>
                      </w:rPr>
                    </w:pP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14:paraId="0CB56581" w14:textId="77777777" w:rsidR="007E7472" w:rsidRDefault="00C8327E">
                    <w:pPr>
                      <w:jc w:val="right"/>
                      <w:rPr>
                        <w:rFonts w:asciiTheme="minorEastAsia" w:hAnsiTheme="minorEastAsia"/>
                        <w:spacing w:val="-20"/>
                      </w:rPr>
                    </w:pP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2603CB66" w14:textId="77777777" w:rsidR="007E7472" w:rsidRDefault="00C8327E">
                    <w:pPr>
                      <w:jc w:val="right"/>
                      <w:rPr>
                        <w:rFonts w:asciiTheme="minorEastAsia" w:hAnsiTheme="minorEastAsia"/>
                        <w:spacing w:val="-20"/>
                      </w:rPr>
                    </w:pP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tcPr>
                  <w:p w14:paraId="7A9ED11B" w14:textId="77777777" w:rsidR="007E7472" w:rsidRDefault="00C8327E">
                    <w:pPr>
                      <w:jc w:val="right"/>
                      <w:rPr>
                        <w:spacing w:val="-20"/>
                      </w:rPr>
                    </w:pP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39C8FCD5" w14:textId="77777777" w:rsidR="007E7472" w:rsidRDefault="00C8327E">
                    <w:pPr>
                      <w:jc w:val="right"/>
                      <w:rPr>
                        <w:spacing w:val="-20"/>
                      </w:rPr>
                    </w:pP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6E985350" w14:textId="77777777" w:rsidR="007E7472" w:rsidRDefault="00C8327E">
                    <w:pPr>
                      <w:jc w:val="right"/>
                      <w:rPr>
                        <w:rFonts w:asciiTheme="minorEastAsia" w:eastAsiaTheme="minorEastAsia" w:hAnsiTheme="minorEastAsia" w:cstheme="minorBidi"/>
                        <w:spacing w:val="-20"/>
                        <w:kern w:val="2"/>
                        <w:szCs w:val="22"/>
                      </w:rPr>
                    </w:pPr>
                  </w:p>
                </w:tc>
              </w:tr>
            </w:sdtContent>
          </w:sdt>
          <w:tr w:rsidR="007E7472" w14:paraId="54B54844" w14:textId="77777777">
            <w:sdt>
              <w:sdtPr>
                <w:rPr>
                  <w:rFonts w:asciiTheme="minorEastAsia" w:hAnsiTheme="minorEastAsia"/>
                  <w:spacing w:val="-20"/>
                </w:rPr>
                <w:tag w:val="_PLD_e86edcc613c54457be7851b5a68c6455"/>
                <w:id w:val="443965705"/>
                <w:lock w:val="sdtLocked"/>
              </w:sdtPr>
              <w:sdtEndPr/>
              <w:sdtContent>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5FDE3EEE" w14:textId="77777777" w:rsidR="007E7472" w:rsidRDefault="00EC1269">
                    <w:pPr>
                      <w:rPr>
                        <w:rFonts w:asciiTheme="minorEastAsia" w:hAnsiTheme="minorEastAsia"/>
                        <w:spacing w:val="-20"/>
                      </w:rPr>
                    </w:pPr>
                    <w:r>
                      <w:rPr>
                        <w:rFonts w:asciiTheme="minorEastAsia" w:hAnsiTheme="minorEastAsia" w:hint="eastAsia"/>
                        <w:spacing w:val="-20"/>
                      </w:rPr>
                      <w:t>小计</w:t>
                    </w:r>
                  </w:p>
                </w:tc>
              </w:sdtContent>
            </w:sdt>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6C21171C" w14:textId="77777777" w:rsidR="007E7472" w:rsidRDefault="00EC1269">
                <w:pPr>
                  <w:jc w:val="right"/>
                  <w:rPr>
                    <w:bCs/>
                    <w:spacing w:val="-20"/>
                    <w:sz w:val="24"/>
                    <w:szCs w:val="24"/>
                  </w:rPr>
                </w:pPr>
                <w:r>
                  <w:rPr>
                    <w:spacing w:val="-20"/>
                  </w:rPr>
                  <w:t>21,154,832</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14:paraId="4C808788" w14:textId="77777777" w:rsidR="007E7472" w:rsidRDefault="00EC1269">
                <w:pPr>
                  <w:jc w:val="right"/>
                  <w:rPr>
                    <w:spacing w:val="-20"/>
                  </w:rPr>
                </w:pPr>
                <w:r>
                  <w:rPr>
                    <w:rFonts w:hint="eastAsia"/>
                    <w:spacing w:val="-20"/>
                  </w:rPr>
                  <w:t>40,819</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79DC37B5" w14:textId="77777777" w:rsidR="007E7472" w:rsidRDefault="00C8327E">
                <w:pPr>
                  <w:jc w:val="right"/>
                  <w:rPr>
                    <w:spacing w:val="-20"/>
                  </w:rPr>
                </w:pP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105209A7" w14:textId="77777777" w:rsidR="007E7472" w:rsidRDefault="00EC1269">
                <w:pPr>
                  <w:jc w:val="right"/>
                  <w:rPr>
                    <w:spacing w:val="-20"/>
                    <w:sz w:val="24"/>
                    <w:szCs w:val="24"/>
                  </w:rPr>
                </w:pPr>
                <w:r>
                  <w:rPr>
                    <w:spacing w:val="-20"/>
                  </w:rPr>
                  <w:t>614,354</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648F88D" w14:textId="77777777" w:rsidR="007E7472" w:rsidRDefault="00EC1269">
                <w:pPr>
                  <w:jc w:val="right"/>
                  <w:rPr>
                    <w:spacing w:val="-20"/>
                  </w:rPr>
                </w:pPr>
                <w:r>
                  <w:rPr>
                    <w:spacing w:val="-20"/>
                  </w:rPr>
                  <w:t>134,756</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28740B7F" w14:textId="77777777" w:rsidR="007E7472" w:rsidRDefault="00EC1269">
                <w:pPr>
                  <w:jc w:val="right"/>
                  <w:rPr>
                    <w:spacing w:val="-20"/>
                  </w:rPr>
                </w:pPr>
                <w:r>
                  <w:rPr>
                    <w:spacing w:val="-20"/>
                  </w:rPr>
                  <w:t>25,572</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06E9CB8D" w14:textId="77777777" w:rsidR="007E7472" w:rsidRDefault="00EC1269">
                <w:pPr>
                  <w:jc w:val="right"/>
                  <w:rPr>
                    <w:spacing w:val="-20"/>
                  </w:rPr>
                </w:pPr>
                <w:r>
                  <w:rPr>
                    <w:rFonts w:hint="eastAsia"/>
                    <w:spacing w:val="-20"/>
                  </w:rPr>
                  <w:t>-207,830</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14:paraId="52328D7B" w14:textId="77777777" w:rsidR="007E7472" w:rsidRDefault="00C8327E">
                <w:pPr>
                  <w:jc w:val="right"/>
                  <w:rPr>
                    <w:spacing w:val="-20"/>
                  </w:rPr>
                </w:pP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786A766E" w14:textId="77777777" w:rsidR="007E7472" w:rsidRDefault="00EC1269">
                <w:pPr>
                  <w:jc w:val="right"/>
                  <w:rPr>
                    <w:spacing w:val="-20"/>
                    <w:sz w:val="24"/>
                    <w:szCs w:val="24"/>
                  </w:rPr>
                </w:pPr>
                <w:r>
                  <w:rPr>
                    <w:spacing w:val="-20"/>
                  </w:rPr>
                  <w:t>9,999</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tcPr>
              <w:p w14:paraId="274E567E" w14:textId="77777777" w:rsidR="007E7472" w:rsidRDefault="00EC1269">
                <w:pPr>
                  <w:jc w:val="right"/>
                  <w:rPr>
                    <w:spacing w:val="-20"/>
                  </w:rPr>
                </w:pPr>
                <w:r>
                  <w:rPr>
                    <w:rFonts w:hint="eastAsia"/>
                    <w:spacing w:val="-20"/>
                  </w:rPr>
                  <w:t>230,350</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0358F56C" w14:textId="77777777" w:rsidR="007E7472" w:rsidRDefault="00EC1269">
                <w:pPr>
                  <w:jc w:val="right"/>
                  <w:rPr>
                    <w:spacing w:val="-20"/>
                  </w:rPr>
                </w:pPr>
                <w:r>
                  <w:rPr>
                    <w:spacing w:val="-20"/>
                  </w:rPr>
                  <w:t>22,002,852</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06CBD4F4" w14:textId="77777777" w:rsidR="007E7472" w:rsidRDefault="00EC1269">
                <w:pPr>
                  <w:jc w:val="right"/>
                  <w:rPr>
                    <w:spacing w:val="-20"/>
                  </w:rPr>
                </w:pPr>
                <w:r>
                  <w:rPr>
                    <w:spacing w:val="-20"/>
                  </w:rPr>
                  <w:t>6,158</w:t>
                </w:r>
              </w:p>
            </w:tc>
          </w:tr>
          <w:tr w:rsidR="007E7472" w14:paraId="6F572635" w14:textId="77777777">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14:paraId="49A23850" w14:textId="77777777" w:rsidR="007E7472" w:rsidRDefault="00EC1269">
                <w:pPr>
                  <w:rPr>
                    <w:rFonts w:asciiTheme="minorEastAsia" w:hAnsiTheme="minorEastAsia"/>
                    <w:spacing w:val="-20"/>
                  </w:rPr>
                </w:pPr>
                <w:r>
                  <w:rPr>
                    <w:rFonts w:asciiTheme="minorEastAsia" w:hAnsiTheme="minorEastAsia" w:hint="eastAsia"/>
                    <w:spacing w:val="-20"/>
                  </w:rPr>
                  <w:t>三、其他</w:t>
                </w:r>
              </w:p>
            </w:tc>
          </w:tr>
          <w:tr w:rsidR="007E7472" w14:paraId="029212AB" w14:textId="77777777">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7D61B497" w14:textId="77777777" w:rsidR="007E7472" w:rsidRDefault="00EC1269">
                <w:pPr>
                  <w:rPr>
                    <w:rFonts w:asciiTheme="minorEastAsia" w:hAnsiTheme="minorEastAsia"/>
                    <w:spacing w:val="-20"/>
                  </w:rPr>
                </w:pPr>
                <w:r>
                  <w:rPr>
                    <w:rFonts w:asciiTheme="minorEastAsia" w:hAnsiTheme="minorEastAsia"/>
                    <w:spacing w:val="-20"/>
                  </w:rPr>
                  <w:t>山西天浩化工股份有限公司（注8）</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2859F014" w14:textId="77777777" w:rsidR="007E7472" w:rsidRDefault="00C8327E">
                <w:pPr>
                  <w:jc w:val="right"/>
                  <w:rPr>
                    <w:rFonts w:asciiTheme="minorEastAsia" w:hAnsiTheme="minorEastAsia"/>
                    <w:spacing w:val="-20"/>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14:paraId="1D5C0669" w14:textId="77777777" w:rsidR="007E7472" w:rsidRDefault="00C8327E">
                <w:pPr>
                  <w:jc w:val="right"/>
                  <w:rPr>
                    <w:rFonts w:asciiTheme="minorEastAsia" w:hAnsiTheme="minorEastAsia"/>
                    <w:spacing w:val="-20"/>
                  </w:rPr>
                </w:pP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6E6EA722" w14:textId="77777777" w:rsidR="007E7472" w:rsidRDefault="00C8327E">
                <w:pPr>
                  <w:jc w:val="right"/>
                  <w:rPr>
                    <w:rFonts w:asciiTheme="minorEastAsia" w:eastAsiaTheme="minorEastAsia" w:hAnsiTheme="minorEastAsia"/>
                    <w:spacing w:val="-20"/>
                  </w:rPr>
                </w:pP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260EBE03" w14:textId="77777777" w:rsidR="007E7472" w:rsidRDefault="00C8327E">
                <w:pPr>
                  <w:jc w:val="right"/>
                  <w:rPr>
                    <w:rFonts w:asciiTheme="minorEastAsia" w:hAnsiTheme="minorEastAsia"/>
                    <w:spacing w:val="-20"/>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E9C39E8" w14:textId="77777777" w:rsidR="007E7472" w:rsidRDefault="00C8327E">
                <w:pPr>
                  <w:jc w:val="right"/>
                  <w:rPr>
                    <w:rFonts w:asciiTheme="minorEastAsia" w:hAnsiTheme="minorEastAsia"/>
                    <w:spacing w:val="-20"/>
                  </w:rPr>
                </w:pP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6A663153" w14:textId="77777777" w:rsidR="007E7472" w:rsidRDefault="00C8327E">
                <w:pPr>
                  <w:jc w:val="right"/>
                  <w:rPr>
                    <w:rFonts w:asciiTheme="minorEastAsia" w:hAnsiTheme="minorEastAsia"/>
                    <w:spacing w:val="-20"/>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6D7F3842" w14:textId="77777777" w:rsidR="007E7472" w:rsidRDefault="00C8327E">
                <w:pPr>
                  <w:jc w:val="right"/>
                  <w:rPr>
                    <w:rFonts w:asciiTheme="minorEastAsia" w:hAnsiTheme="minorEastAsia"/>
                    <w:spacing w:val="-20"/>
                  </w:rPr>
                </w:pP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14:paraId="449E2686" w14:textId="77777777" w:rsidR="007E7472" w:rsidRDefault="00C8327E">
                <w:pPr>
                  <w:jc w:val="right"/>
                  <w:rPr>
                    <w:rFonts w:asciiTheme="minorEastAsia" w:hAnsiTheme="minorEastAsia"/>
                    <w:spacing w:val="-20"/>
                  </w:rPr>
                </w:pP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0238C7E9" w14:textId="77777777" w:rsidR="007E7472" w:rsidRDefault="00C8327E">
                <w:pPr>
                  <w:jc w:val="right"/>
                  <w:rPr>
                    <w:rFonts w:asciiTheme="minorEastAsia" w:hAnsiTheme="minorEastAsia"/>
                    <w:spacing w:val="-20"/>
                  </w:rPr>
                </w:pP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tcPr>
              <w:p w14:paraId="5759F854" w14:textId="77777777" w:rsidR="007E7472" w:rsidRDefault="00C8327E">
                <w:pPr>
                  <w:jc w:val="right"/>
                  <w:rPr>
                    <w:rFonts w:asciiTheme="minorEastAsia" w:hAnsiTheme="minorEastAsia"/>
                    <w:spacing w:val="-20"/>
                  </w:rPr>
                </w:pP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3198A1AF" w14:textId="77777777" w:rsidR="007E7472" w:rsidRDefault="00C8327E">
                <w:pPr>
                  <w:jc w:val="right"/>
                  <w:rPr>
                    <w:rFonts w:asciiTheme="minorEastAsia" w:hAnsiTheme="minorEastAsia"/>
                    <w:spacing w:val="-20"/>
                  </w:rPr>
                </w:pP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477F8805" w14:textId="77777777" w:rsidR="007E7472" w:rsidRDefault="00EC1269">
                <w:pPr>
                  <w:jc w:val="right"/>
                  <w:rPr>
                    <w:rFonts w:asciiTheme="minorEastAsia" w:hAnsiTheme="minorEastAsia"/>
                    <w:bCs/>
                    <w:spacing w:val="-20"/>
                  </w:rPr>
                </w:pPr>
                <w:r>
                  <w:rPr>
                    <w:rFonts w:asciiTheme="minorEastAsia" w:hAnsiTheme="minorEastAsia"/>
                    <w:spacing w:val="-20"/>
                  </w:rPr>
                  <w:t>149,786</w:t>
                </w:r>
              </w:p>
            </w:tc>
          </w:tr>
          <w:tr w:rsidR="007E7472" w14:paraId="7A4C4F76" w14:textId="77777777">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38E2DE59" w14:textId="77777777" w:rsidR="007E7472" w:rsidRDefault="00EC1269">
                <w:pPr>
                  <w:rPr>
                    <w:rFonts w:asciiTheme="minorEastAsia" w:hAnsiTheme="minorEastAsia"/>
                    <w:spacing w:val="-20"/>
                  </w:rPr>
                </w:pPr>
                <w:r>
                  <w:rPr>
                    <w:rFonts w:asciiTheme="minorEastAsia" w:hAnsiTheme="minorEastAsia"/>
                    <w:spacing w:val="-20"/>
                  </w:rPr>
                  <w:lastRenderedPageBreak/>
                  <w:t>兖矿集团大陆机械有限公司（注9）</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7278C6F6" w14:textId="77777777" w:rsidR="007E7472" w:rsidRDefault="00C8327E">
                <w:pPr>
                  <w:jc w:val="right"/>
                  <w:rPr>
                    <w:rFonts w:asciiTheme="minorEastAsia" w:hAnsiTheme="minorEastAsia"/>
                    <w:spacing w:val="-20"/>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14:paraId="1E75B8EA" w14:textId="77777777" w:rsidR="007E7472" w:rsidRDefault="00C8327E">
                <w:pPr>
                  <w:jc w:val="right"/>
                  <w:rPr>
                    <w:rFonts w:asciiTheme="minorEastAsia" w:hAnsiTheme="minorEastAsia"/>
                    <w:spacing w:val="-20"/>
                  </w:rPr>
                </w:pP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2543B211" w14:textId="77777777" w:rsidR="007E7472" w:rsidRDefault="00C8327E">
                <w:pPr>
                  <w:jc w:val="right"/>
                  <w:rPr>
                    <w:rFonts w:asciiTheme="minorEastAsia" w:hAnsiTheme="minorEastAsia"/>
                    <w:spacing w:val="-20"/>
                  </w:rPr>
                </w:pP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3112ED79" w14:textId="77777777" w:rsidR="007E7472" w:rsidRDefault="00C8327E">
                <w:pPr>
                  <w:jc w:val="right"/>
                  <w:rPr>
                    <w:rFonts w:asciiTheme="minorEastAsia" w:hAnsiTheme="minorEastAsia"/>
                    <w:spacing w:val="-20"/>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E2D16BF" w14:textId="77777777" w:rsidR="007E7472" w:rsidRDefault="00C8327E">
                <w:pPr>
                  <w:jc w:val="right"/>
                  <w:rPr>
                    <w:rFonts w:asciiTheme="minorEastAsia" w:hAnsiTheme="minorEastAsia"/>
                    <w:spacing w:val="-20"/>
                  </w:rPr>
                </w:pP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62CE646B" w14:textId="77777777" w:rsidR="007E7472" w:rsidRDefault="00C8327E">
                <w:pPr>
                  <w:jc w:val="right"/>
                  <w:rPr>
                    <w:rFonts w:asciiTheme="minorEastAsia" w:hAnsiTheme="minorEastAsia"/>
                    <w:spacing w:val="-20"/>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22EF3E34" w14:textId="77777777" w:rsidR="007E7472" w:rsidRDefault="00C8327E">
                <w:pPr>
                  <w:jc w:val="right"/>
                  <w:rPr>
                    <w:rFonts w:asciiTheme="minorEastAsia" w:hAnsiTheme="minorEastAsia"/>
                    <w:spacing w:val="-20"/>
                  </w:rPr>
                </w:pP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14:paraId="4F3228DB" w14:textId="77777777" w:rsidR="007E7472" w:rsidRDefault="00C8327E">
                <w:pPr>
                  <w:jc w:val="right"/>
                  <w:rPr>
                    <w:rFonts w:asciiTheme="minorEastAsia" w:hAnsiTheme="minorEastAsia"/>
                    <w:spacing w:val="-20"/>
                  </w:rPr>
                </w:pP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52563CD6" w14:textId="77777777" w:rsidR="007E7472" w:rsidRDefault="00C8327E">
                <w:pPr>
                  <w:jc w:val="right"/>
                  <w:rPr>
                    <w:rFonts w:asciiTheme="minorEastAsia" w:hAnsiTheme="minorEastAsia"/>
                    <w:spacing w:val="-20"/>
                  </w:rPr>
                </w:pP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tcPr>
              <w:p w14:paraId="5168D16E" w14:textId="77777777" w:rsidR="007E7472" w:rsidRDefault="00C8327E">
                <w:pPr>
                  <w:jc w:val="right"/>
                  <w:rPr>
                    <w:rFonts w:asciiTheme="minorEastAsia" w:hAnsiTheme="minorEastAsia"/>
                    <w:spacing w:val="-20"/>
                  </w:rPr>
                </w:pP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3D37542F" w14:textId="77777777" w:rsidR="007E7472" w:rsidRDefault="00C8327E">
                <w:pPr>
                  <w:jc w:val="right"/>
                  <w:rPr>
                    <w:rFonts w:asciiTheme="minorEastAsia" w:hAnsiTheme="minorEastAsia"/>
                    <w:spacing w:val="-20"/>
                  </w:rPr>
                </w:pP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0EA56625" w14:textId="77777777" w:rsidR="007E7472" w:rsidRDefault="00EC1269">
                <w:pPr>
                  <w:jc w:val="right"/>
                  <w:rPr>
                    <w:rFonts w:asciiTheme="minorEastAsia" w:hAnsiTheme="minorEastAsia"/>
                    <w:spacing w:val="-20"/>
                  </w:rPr>
                </w:pPr>
                <w:r>
                  <w:rPr>
                    <w:rFonts w:asciiTheme="minorEastAsia" w:hAnsiTheme="minorEastAsia"/>
                    <w:spacing w:val="-20"/>
                  </w:rPr>
                  <w:t>39,845</w:t>
                </w:r>
              </w:p>
            </w:tc>
          </w:tr>
          <w:tr w:rsidR="007E7472" w14:paraId="2C895C50" w14:textId="77777777">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5C9160A5" w14:textId="77777777" w:rsidR="007E7472" w:rsidRDefault="00EC1269">
                <w:pPr>
                  <w:rPr>
                    <w:rFonts w:asciiTheme="minorEastAsia" w:hAnsiTheme="minorEastAsia"/>
                    <w:spacing w:val="-20"/>
                  </w:rPr>
                </w:pPr>
                <w:r>
                  <w:rPr>
                    <w:rFonts w:asciiTheme="minorEastAsia" w:hAnsiTheme="minorEastAsia" w:hint="eastAsia"/>
                    <w:spacing w:val="-20"/>
                  </w:rPr>
                  <w:t>小计</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503580AB" w14:textId="77777777" w:rsidR="007E7472" w:rsidRDefault="00C8327E">
                <w:pPr>
                  <w:jc w:val="right"/>
                  <w:rPr>
                    <w:rFonts w:asciiTheme="minorEastAsia" w:hAnsiTheme="minorEastAsia"/>
                    <w:spacing w:val="-20"/>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14:paraId="2F95FB16" w14:textId="77777777" w:rsidR="007E7472" w:rsidRDefault="00C8327E">
                <w:pPr>
                  <w:jc w:val="right"/>
                  <w:rPr>
                    <w:rFonts w:asciiTheme="minorEastAsia" w:hAnsiTheme="minorEastAsia"/>
                    <w:spacing w:val="-20"/>
                  </w:rPr>
                </w:pP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27CE421A" w14:textId="77777777" w:rsidR="007E7472" w:rsidRDefault="00C8327E">
                <w:pPr>
                  <w:jc w:val="right"/>
                  <w:rPr>
                    <w:rFonts w:asciiTheme="minorEastAsia" w:hAnsiTheme="minorEastAsia"/>
                    <w:spacing w:val="-20"/>
                  </w:rPr>
                </w:pP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2ECAA162" w14:textId="77777777" w:rsidR="007E7472" w:rsidRDefault="00C8327E">
                <w:pPr>
                  <w:jc w:val="right"/>
                  <w:rPr>
                    <w:rFonts w:asciiTheme="minorEastAsia" w:hAnsiTheme="minorEastAsia"/>
                    <w:spacing w:val="-20"/>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2E9E0073" w14:textId="77777777" w:rsidR="007E7472" w:rsidRDefault="00C8327E">
                <w:pPr>
                  <w:jc w:val="right"/>
                  <w:rPr>
                    <w:rFonts w:asciiTheme="minorEastAsia" w:hAnsiTheme="minorEastAsia"/>
                    <w:spacing w:val="-20"/>
                  </w:rPr>
                </w:pP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7E83F911" w14:textId="77777777" w:rsidR="007E7472" w:rsidRDefault="00C8327E">
                <w:pPr>
                  <w:jc w:val="right"/>
                  <w:rPr>
                    <w:rFonts w:asciiTheme="minorEastAsia" w:hAnsiTheme="minorEastAsia"/>
                    <w:spacing w:val="-20"/>
                  </w:rPr>
                </w:pP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27F6F158" w14:textId="77777777" w:rsidR="007E7472" w:rsidRDefault="00C8327E">
                <w:pPr>
                  <w:jc w:val="right"/>
                  <w:rPr>
                    <w:rFonts w:asciiTheme="minorEastAsia" w:hAnsiTheme="minorEastAsia"/>
                    <w:spacing w:val="-20"/>
                  </w:rPr>
                </w:pP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14:paraId="479593A9" w14:textId="77777777" w:rsidR="007E7472" w:rsidRDefault="00C8327E">
                <w:pPr>
                  <w:jc w:val="right"/>
                  <w:rPr>
                    <w:rFonts w:asciiTheme="minorEastAsia" w:hAnsiTheme="minorEastAsia"/>
                    <w:spacing w:val="-20"/>
                  </w:rPr>
                </w:pP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504E9A4D" w14:textId="77777777" w:rsidR="007E7472" w:rsidRDefault="00C8327E">
                <w:pPr>
                  <w:jc w:val="right"/>
                  <w:rPr>
                    <w:rFonts w:asciiTheme="minorEastAsia" w:hAnsiTheme="minorEastAsia"/>
                    <w:spacing w:val="-20"/>
                  </w:rPr>
                </w:pP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tcPr>
              <w:p w14:paraId="728268FE" w14:textId="77777777" w:rsidR="007E7472" w:rsidRDefault="00C8327E">
                <w:pPr>
                  <w:jc w:val="right"/>
                  <w:rPr>
                    <w:rFonts w:asciiTheme="minorEastAsia" w:hAnsiTheme="minorEastAsia"/>
                    <w:spacing w:val="-20"/>
                  </w:rPr>
                </w:pP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1002BD21" w14:textId="77777777" w:rsidR="007E7472" w:rsidRDefault="00C8327E">
                <w:pPr>
                  <w:jc w:val="right"/>
                  <w:rPr>
                    <w:rFonts w:asciiTheme="minorEastAsia" w:hAnsiTheme="minorEastAsia"/>
                    <w:spacing w:val="-20"/>
                  </w:rPr>
                </w:pP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541E6158" w14:textId="77777777" w:rsidR="007E7472" w:rsidRDefault="00EC1269">
                <w:pPr>
                  <w:jc w:val="right"/>
                  <w:rPr>
                    <w:rFonts w:asciiTheme="minorEastAsia" w:hAnsiTheme="minorEastAsia"/>
                    <w:spacing w:val="-20"/>
                  </w:rPr>
                </w:pPr>
                <w:r>
                  <w:rPr>
                    <w:rFonts w:asciiTheme="minorEastAsia" w:hAnsiTheme="minorEastAsia"/>
                    <w:spacing w:val="-20"/>
                  </w:rPr>
                  <w:t>189,631</w:t>
                </w:r>
              </w:p>
            </w:tc>
          </w:tr>
          <w:tr w:rsidR="007E7472" w14:paraId="622090DA" w14:textId="77777777">
            <w:sdt>
              <w:sdtPr>
                <w:rPr>
                  <w:w w:val="90"/>
                </w:rPr>
                <w:tag w:val="_PLD_b73f7db9d31542d0baadac2e32c193fe"/>
                <w:id w:val="-262615462"/>
                <w:lock w:val="sdtLocked"/>
              </w:sdtPr>
              <w:sdtEndPr/>
              <w:sdtContent>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14:paraId="2CA73FC2" w14:textId="77777777" w:rsidR="007E7472" w:rsidRDefault="00EC1269">
                    <w:pPr>
                      <w:jc w:val="center"/>
                      <w:rPr>
                        <w:w w:val="90"/>
                      </w:rPr>
                    </w:pPr>
                    <w:r>
                      <w:rPr>
                        <w:rFonts w:hint="eastAsia"/>
                        <w:w w:val="90"/>
                      </w:rPr>
                      <w:t>合计</w:t>
                    </w:r>
                  </w:p>
                </w:tc>
              </w:sdtContent>
            </w:sdt>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2745AF06" w14:textId="77777777" w:rsidR="007E7472" w:rsidRDefault="00EC1269">
                <w:pPr>
                  <w:jc w:val="right"/>
                  <w:rPr>
                    <w:bCs/>
                    <w:spacing w:val="-20"/>
                    <w:sz w:val="24"/>
                    <w:szCs w:val="24"/>
                  </w:rPr>
                </w:pPr>
                <w:r>
                  <w:rPr>
                    <w:spacing w:val="-20"/>
                  </w:rPr>
                  <w:t>22,329,749</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14:paraId="37583FD7" w14:textId="77777777" w:rsidR="007E7472" w:rsidRDefault="00EC1269">
                <w:pPr>
                  <w:jc w:val="right"/>
                  <w:rPr>
                    <w:spacing w:val="-20"/>
                  </w:rPr>
                </w:pPr>
                <w:r>
                  <w:rPr>
                    <w:spacing w:val="-20"/>
                  </w:rPr>
                  <w:t>90,819</w:t>
                </w:r>
              </w:p>
            </w:tc>
            <w:tc>
              <w:tcPr>
                <w:tcW w:w="320" w:type="pct"/>
                <w:tcBorders>
                  <w:top w:val="single" w:sz="4" w:space="0" w:color="auto"/>
                  <w:left w:val="single" w:sz="4" w:space="0" w:color="auto"/>
                  <w:bottom w:val="single" w:sz="4" w:space="0" w:color="auto"/>
                  <w:right w:val="single" w:sz="4" w:space="0" w:color="auto"/>
                </w:tcBorders>
                <w:shd w:val="clear" w:color="auto" w:fill="auto"/>
                <w:vAlign w:val="center"/>
              </w:tcPr>
              <w:p w14:paraId="4F95D998" w14:textId="77777777" w:rsidR="007E7472" w:rsidRDefault="00EC1269">
                <w:pPr>
                  <w:jc w:val="right"/>
                  <w:rPr>
                    <w:spacing w:val="-20"/>
                  </w:rPr>
                </w:pPr>
                <w:r>
                  <w:rPr>
                    <w:spacing w:val="-20"/>
                  </w:rPr>
                  <w:t>-15,259</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42C988CA" w14:textId="77777777" w:rsidR="007E7472" w:rsidRDefault="00EC1269">
                <w:pPr>
                  <w:jc w:val="right"/>
                  <w:rPr>
                    <w:spacing w:val="-20"/>
                  </w:rPr>
                </w:pPr>
                <w:r>
                  <w:rPr>
                    <w:spacing w:val="-20"/>
                  </w:rPr>
                  <w:t>642,498</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48918ECA" w14:textId="77777777" w:rsidR="007E7472" w:rsidRDefault="00EC1269">
                <w:pPr>
                  <w:jc w:val="right"/>
                  <w:rPr>
                    <w:spacing w:val="-20"/>
                  </w:rPr>
                </w:pPr>
                <w:r>
                  <w:rPr>
                    <w:spacing w:val="-20"/>
                  </w:rPr>
                  <w:t>134,756</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131FBA52" w14:textId="77777777" w:rsidR="007E7472" w:rsidRDefault="00EC1269">
                <w:pPr>
                  <w:jc w:val="right"/>
                  <w:rPr>
                    <w:spacing w:val="-20"/>
                  </w:rPr>
                </w:pPr>
                <w:r>
                  <w:rPr>
                    <w:spacing w:val="-20"/>
                  </w:rPr>
                  <w:t>25,572</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433B9496" w14:textId="77777777" w:rsidR="007E7472" w:rsidRDefault="00EC1269">
                <w:pPr>
                  <w:jc w:val="right"/>
                  <w:rPr>
                    <w:spacing w:val="-20"/>
                  </w:rPr>
                </w:pPr>
                <w:r>
                  <w:rPr>
                    <w:spacing w:val="-20"/>
                  </w:rPr>
                  <w:t>-207,830</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14:paraId="5FC00C31" w14:textId="77777777" w:rsidR="007E7472" w:rsidRDefault="00C8327E">
                <w:pPr>
                  <w:jc w:val="right"/>
                  <w:rPr>
                    <w:spacing w:val="-20"/>
                  </w:rPr>
                </w:pP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65A09B80" w14:textId="77777777" w:rsidR="007E7472" w:rsidRDefault="00EC1269">
                <w:pPr>
                  <w:jc w:val="right"/>
                  <w:rPr>
                    <w:spacing w:val="-20"/>
                    <w:sz w:val="24"/>
                    <w:szCs w:val="24"/>
                  </w:rPr>
                </w:pPr>
                <w:r>
                  <w:rPr>
                    <w:spacing w:val="-20"/>
                  </w:rPr>
                  <w:t>9,999</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tcPr>
              <w:p w14:paraId="5D7A6653" w14:textId="77777777" w:rsidR="007E7472" w:rsidRDefault="00EC1269">
                <w:pPr>
                  <w:jc w:val="right"/>
                  <w:rPr>
                    <w:spacing w:val="-20"/>
                  </w:rPr>
                </w:pPr>
                <w:r>
                  <w:rPr>
                    <w:spacing w:val="-20"/>
                  </w:rPr>
                  <w:t>252,028</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14:paraId="3BB45C6A" w14:textId="77777777" w:rsidR="007E7472" w:rsidRDefault="00EC1269">
                <w:pPr>
                  <w:jc w:val="right"/>
                  <w:rPr>
                    <w:spacing w:val="-20"/>
                  </w:rPr>
                </w:pPr>
                <w:r>
                  <w:rPr>
                    <w:spacing w:val="-20"/>
                  </w:rPr>
                  <w:t>23,262,332</w:t>
                </w: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14:paraId="114A1551" w14:textId="77777777" w:rsidR="007E7472" w:rsidRDefault="00EC1269">
                <w:pPr>
                  <w:jc w:val="right"/>
                  <w:rPr>
                    <w:spacing w:val="-20"/>
                  </w:rPr>
                </w:pPr>
                <w:r>
                  <w:rPr>
                    <w:spacing w:val="-20"/>
                  </w:rPr>
                  <w:t>195,789</w:t>
                </w:r>
              </w:p>
            </w:tc>
          </w:tr>
        </w:tbl>
        <w:p w14:paraId="10255EA3" w14:textId="77777777" w:rsidR="007E7472" w:rsidRDefault="00C8327E"/>
        <w:sdt>
          <w:sdtPr>
            <w:rPr>
              <w:rFonts w:hint="eastAsia"/>
            </w:rPr>
            <w:tag w:val="_GBC_ccc3d8feeab24d0e8e4139f2a19cfa7c"/>
            <w:id w:val="-1010372793"/>
            <w:lock w:val="sdtLocked"/>
            <w:placeholder>
              <w:docPart w:val="GBC22222222222222222222222222222"/>
            </w:placeholder>
          </w:sdtPr>
          <w:sdtEndPr>
            <w:rPr>
              <w:rFonts w:hint="default"/>
            </w:rPr>
          </w:sdtEndPr>
          <w:sdtContent>
            <w:sdt>
              <w:sdtPr>
                <w:alias w:val="长期股票投资的说明"/>
                <w:tag w:val="_GBC_492b53d02462408a924f069c70a16ce9"/>
                <w:id w:val="-613983265"/>
                <w:lock w:val="sdtLocked"/>
                <w:placeholder>
                  <w:docPart w:val="GBC22222222222222222222222222222"/>
                </w:placeholder>
              </w:sdtPr>
              <w:sdtEndPr/>
              <w:sdtContent>
                <w:sdt>
                  <w:sdtPr>
                    <w:rPr>
                      <w:rFonts w:hint="eastAsia"/>
                    </w:rPr>
                    <w:alias w:val="长期股票投资的说明"/>
                    <w:tag w:val="_GBC_4023b747651f4831814ee17f68bb62d6"/>
                    <w:id w:val="-1354644398"/>
                    <w:lock w:val="sdtLocked"/>
                  </w:sdtPr>
                  <w:sdtEndPr/>
                  <w:sdtContent>
                    <w:p w14:paraId="04AC492B" w14:textId="77777777" w:rsidR="007E7472" w:rsidRDefault="00EC1269">
                      <w:pPr>
                        <w:keepNext/>
                        <w:keepLines/>
                        <w:widowControl w:val="0"/>
                        <w:spacing w:beforeLines="50" w:before="120" w:afterLines="50" w:after="120" w:line="360" w:lineRule="exact"/>
                        <w:ind w:firstLineChars="200" w:firstLine="420"/>
                        <w:jc w:val="both"/>
                        <w:rPr>
                          <w:bCs/>
                        </w:rPr>
                      </w:pPr>
                      <w:r>
                        <w:rPr>
                          <w:rFonts w:hint="eastAsia"/>
                          <w:bCs/>
                        </w:rPr>
                        <w:t>注1：该公司于2</w:t>
                      </w:r>
                      <w:r>
                        <w:rPr>
                          <w:bCs/>
                        </w:rPr>
                        <w:t>023</w:t>
                      </w:r>
                      <w:r>
                        <w:rPr>
                          <w:rFonts w:hint="eastAsia"/>
                          <w:bCs/>
                        </w:rPr>
                        <w:t>年2月2</w:t>
                      </w:r>
                      <w:r>
                        <w:rPr>
                          <w:bCs/>
                        </w:rPr>
                        <w:t>8</w:t>
                      </w:r>
                      <w:r>
                        <w:rPr>
                          <w:rFonts w:hint="eastAsia"/>
                          <w:bCs/>
                        </w:rPr>
                        <w:t>日已注销</w:t>
                      </w:r>
                      <w:r>
                        <w:rPr>
                          <w:bCs/>
                        </w:rPr>
                        <w:t>。</w:t>
                      </w:r>
                    </w:p>
                    <w:p w14:paraId="607FA1B4" w14:textId="02E3BD86" w:rsidR="007E7472" w:rsidRDefault="00EC1269">
                      <w:pPr>
                        <w:keepNext/>
                        <w:keepLines/>
                        <w:widowControl w:val="0"/>
                        <w:spacing w:beforeLines="50" w:before="120" w:afterLines="50" w:after="120" w:line="360" w:lineRule="exact"/>
                        <w:ind w:firstLineChars="200" w:firstLine="420"/>
                        <w:jc w:val="both"/>
                        <w:rPr>
                          <w:bCs/>
                        </w:rPr>
                      </w:pPr>
                      <w:r>
                        <w:rPr>
                          <w:rFonts w:hint="eastAsia"/>
                          <w:bCs/>
                        </w:rPr>
                        <w:t>注2：本公司之子公司兖煤卢森堡资源控股有限公司与丰隆高科液压股份有限公司于</w:t>
                      </w:r>
                      <w:r>
                        <w:rPr>
                          <w:bCs/>
                        </w:rPr>
                        <w:t>2023年签订协议出资设立山东丰隆智控科技有限公司，认缴出资额50,000千元取得50%股权，</w:t>
                      </w:r>
                      <w:r w:rsidR="00913748">
                        <w:rPr>
                          <w:rFonts w:hint="eastAsia"/>
                          <w:bCs/>
                        </w:rPr>
                        <w:t>对其共同控制，</w:t>
                      </w:r>
                      <w:r>
                        <w:rPr>
                          <w:bCs/>
                        </w:rPr>
                        <w:t>按照权益法核算。</w:t>
                      </w:r>
                    </w:p>
                    <w:p w14:paraId="1B6B613E" w14:textId="77777777" w:rsidR="007E7472" w:rsidRDefault="00EC1269">
                      <w:pPr>
                        <w:keepNext/>
                        <w:keepLines/>
                        <w:widowControl w:val="0"/>
                        <w:spacing w:beforeLines="50" w:before="120" w:afterLines="50" w:after="120" w:line="360" w:lineRule="exact"/>
                        <w:ind w:firstLineChars="200" w:firstLine="420"/>
                        <w:jc w:val="both"/>
                        <w:rPr>
                          <w:bCs/>
                        </w:rPr>
                      </w:pPr>
                      <w:r>
                        <w:rPr>
                          <w:rFonts w:hint="eastAsia"/>
                          <w:bCs/>
                        </w:rPr>
                        <w:t>注3：本公司之子公司澳洲公司在</w:t>
                      </w:r>
                      <w:r>
                        <w:rPr>
                          <w:bCs/>
                        </w:rPr>
                        <w:t>HVO Entities</w:t>
                      </w:r>
                      <w:r>
                        <w:rPr>
                          <w:rFonts w:hint="eastAsia"/>
                          <w:bCs/>
                        </w:rPr>
                        <w:t>累计亏损额超过其投资账面价值，对其长期股权投资账面价值计为零。</w:t>
                      </w:r>
                    </w:p>
                    <w:p w14:paraId="017E3BC1" w14:textId="77777777" w:rsidR="007E7472" w:rsidRDefault="00EC1269">
                      <w:pPr>
                        <w:keepNext/>
                        <w:keepLines/>
                        <w:widowControl w:val="0"/>
                        <w:spacing w:beforeLines="50" w:before="120" w:afterLines="50" w:after="120" w:line="360" w:lineRule="exact"/>
                        <w:ind w:firstLineChars="200" w:firstLine="420"/>
                        <w:jc w:val="both"/>
                        <w:rPr>
                          <w:bCs/>
                        </w:rPr>
                      </w:pPr>
                      <w:r>
                        <w:rPr>
                          <w:rFonts w:hint="eastAsia"/>
                          <w:bCs/>
                        </w:rPr>
                        <w:t>注4：本公司之子公司澳洲公司在纽卡斯尔煤炭基础建设集团累计亏损额超过其投资账面价值，对其长期股权投资账面价值计为零。</w:t>
                      </w:r>
                    </w:p>
                    <w:p w14:paraId="62C6FF60" w14:textId="77777777" w:rsidR="007E7472" w:rsidRDefault="00EC1269">
                      <w:pPr>
                        <w:keepNext/>
                        <w:keepLines/>
                        <w:widowControl w:val="0"/>
                        <w:spacing w:beforeLines="50" w:before="120" w:afterLines="50" w:after="120" w:line="360" w:lineRule="exact"/>
                        <w:ind w:firstLineChars="200" w:firstLine="420"/>
                        <w:jc w:val="both"/>
                        <w:rPr>
                          <w:bCs/>
                          <w:color w:val="000000" w:themeColor="text1"/>
                        </w:rPr>
                      </w:pPr>
                      <w:r>
                        <w:rPr>
                          <w:rFonts w:hint="eastAsia"/>
                          <w:bCs/>
                        </w:rPr>
                        <w:t>注5：齐鲁银行股份有限公司、浙商银行股份有限公司在本财务报表批准报出日尚未公开披露2</w:t>
                      </w:r>
                      <w:r>
                        <w:rPr>
                          <w:bCs/>
                        </w:rPr>
                        <w:t>023</w:t>
                      </w:r>
                      <w:r>
                        <w:rPr>
                          <w:rFonts w:hint="eastAsia"/>
                          <w:bCs/>
                        </w:rPr>
                        <w:t>年半年度</w:t>
                      </w:r>
                      <w:r>
                        <w:rPr>
                          <w:rFonts w:hint="eastAsia"/>
                          <w:bCs/>
                          <w:color w:val="000000" w:themeColor="text1"/>
                        </w:rPr>
                        <w:t>业绩，依据相关监管准则，在不披露齐鲁银行股份有限公司、浙商银行股份有限公司相关数据的同时，随机删除上海中期期货股份有限公司相关数据，以保证在披露合计数据前提下，齐鲁银行股份有限公司、浙商银行股份有限公司相关数据不会因唯一披露而被计算得出。</w:t>
                      </w:r>
                    </w:p>
                    <w:p w14:paraId="074002C9" w14:textId="77777777" w:rsidR="007E7472" w:rsidRDefault="00EC1269">
                      <w:pPr>
                        <w:keepNext/>
                        <w:keepLines/>
                        <w:widowControl w:val="0"/>
                        <w:spacing w:beforeLines="50" w:before="120" w:afterLines="50" w:after="120" w:line="360" w:lineRule="exact"/>
                        <w:ind w:firstLineChars="200" w:firstLine="420"/>
                        <w:jc w:val="both"/>
                        <w:rPr>
                          <w:bCs/>
                        </w:rPr>
                      </w:pPr>
                      <w:r>
                        <w:rPr>
                          <w:rFonts w:hint="eastAsia"/>
                          <w:bCs/>
                          <w:color w:val="000000" w:themeColor="text1"/>
                        </w:rPr>
                        <w:t>注6：</w:t>
                      </w:r>
                      <w:r>
                        <w:rPr>
                          <w:bCs/>
                          <w:color w:val="000000" w:themeColor="text1"/>
                        </w:rPr>
                        <w:t>2022年12月，山东新宝龙工业科技有限公司引入新股东增资，变更后，本公司持股由45%下降至7.5%，本</w:t>
                      </w:r>
                      <w:r>
                        <w:rPr>
                          <w:bCs/>
                        </w:rPr>
                        <w:t>公司之子公司兖煤卢森堡资源控股有限公司对其增资250,000千元，持股41.67%，本集团共计持股49.17%。本期卢森堡对其增资4</w:t>
                      </w:r>
                      <w:r>
                        <w:rPr>
                          <w:rFonts w:hint="eastAsia"/>
                          <w:bCs/>
                        </w:rPr>
                        <w:t>0</w:t>
                      </w:r>
                      <w:r>
                        <w:rPr>
                          <w:bCs/>
                        </w:rPr>
                        <w:t>,</w:t>
                      </w:r>
                      <w:r>
                        <w:rPr>
                          <w:rFonts w:hint="eastAsia"/>
                          <w:bCs/>
                        </w:rPr>
                        <w:t>819</w:t>
                      </w:r>
                      <w:r>
                        <w:rPr>
                          <w:bCs/>
                        </w:rPr>
                        <w:t>千元。截止2023年6月30日，新股东未完成全部注资。</w:t>
                      </w:r>
                    </w:p>
                    <w:p w14:paraId="3DB79018" w14:textId="77777777" w:rsidR="007E7472" w:rsidRDefault="00EC1269">
                      <w:pPr>
                        <w:keepNext/>
                        <w:keepLines/>
                        <w:widowControl w:val="0"/>
                        <w:spacing w:beforeLines="50" w:before="120" w:afterLines="50" w:after="120" w:line="360" w:lineRule="exact"/>
                        <w:ind w:firstLineChars="200" w:firstLine="420"/>
                        <w:jc w:val="both"/>
                        <w:rPr>
                          <w:bCs/>
                        </w:rPr>
                      </w:pPr>
                      <w:r>
                        <w:rPr>
                          <w:rFonts w:hint="eastAsia"/>
                          <w:bCs/>
                        </w:rPr>
                        <w:t>注7：本公司之子公司澳洲公司在</w:t>
                      </w:r>
                      <w:r>
                        <w:rPr>
                          <w:bCs/>
                        </w:rPr>
                        <w:t>WICET Holdings Pty Ltd</w:t>
                      </w:r>
                      <w:r>
                        <w:rPr>
                          <w:rFonts w:hint="eastAsia"/>
                          <w:bCs/>
                        </w:rPr>
                        <w:t>累计亏损额超过其投资账面价值，对其长期股权投资账面价值计为零。</w:t>
                      </w:r>
                    </w:p>
                    <w:p w14:paraId="461FAF9A" w14:textId="77777777" w:rsidR="007E7472" w:rsidRDefault="00EC1269">
                      <w:pPr>
                        <w:keepNext/>
                        <w:keepLines/>
                        <w:widowControl w:val="0"/>
                        <w:spacing w:beforeLines="50" w:before="120" w:afterLines="50" w:after="120" w:line="360" w:lineRule="exact"/>
                        <w:ind w:firstLineChars="193" w:firstLine="405"/>
                        <w:jc w:val="both"/>
                        <w:rPr>
                          <w:bCs/>
                        </w:rPr>
                      </w:pPr>
                      <w:r>
                        <w:rPr>
                          <w:rFonts w:hint="eastAsia"/>
                          <w:bCs/>
                        </w:rPr>
                        <w:t>注8：山西天浩化工股份有限公司（以下简称“山西天浩”）因长期停产致严重资不抵债，2018年12月31日，山西天浩向山西省吕梁市中级人民法院申请破产清算。2019年9月27日，山西省吕梁市中级人民法院裁定受理山西天浩破产清算一案，山西天浩已向破产管理人移交控制权，2019年11月起不再纳入合并范围，并对其长期股权投资全额计提减值准备。</w:t>
                      </w:r>
                    </w:p>
                    <w:p w14:paraId="48A07A57" w14:textId="77777777" w:rsidR="007E7472" w:rsidRDefault="00EC1269">
                      <w:pPr>
                        <w:keepNext/>
                        <w:keepLines/>
                        <w:widowControl w:val="0"/>
                        <w:spacing w:beforeLines="50" w:before="120" w:afterLines="50" w:after="120" w:line="360" w:lineRule="exact"/>
                        <w:ind w:firstLineChars="193" w:firstLine="405"/>
                        <w:jc w:val="both"/>
                        <w:rPr>
                          <w:bCs/>
                        </w:rPr>
                      </w:pPr>
                      <w:r>
                        <w:rPr>
                          <w:rFonts w:hint="eastAsia"/>
                          <w:bCs/>
                        </w:rPr>
                        <w:t>注9：兖矿集团大陆机械有限公司（以下简称“大陆机械公司”）于2020年9月23日以其不能清偿到期债务，并且其资产不足以清偿全部债务为由，向济宁市兖州区人民法院申请破产清算，法院于2020年9月24日出具[2020]鲁0812破申4号民事裁定书同意受理其破产清算申请，大陆机械公司已向破产管理人移交控制权。20</w:t>
                      </w:r>
                      <w:r>
                        <w:rPr>
                          <w:rFonts w:hint="eastAsia"/>
                        </w:rPr>
                        <w:t>20年10月起大陆机械公司不再纳入合并范围，并对其长期股权投资全额计提减值准备。</w:t>
                      </w:r>
                    </w:p>
                  </w:sdtContent>
                </w:sdt>
              </w:sdtContent>
            </w:sdt>
          </w:sdtContent>
        </w:sdt>
      </w:sdtContent>
    </w:sdt>
    <w:bookmarkEnd w:id="209"/>
    <w:p w14:paraId="4F823BD0" w14:textId="77777777" w:rsidR="007E7472" w:rsidRDefault="00C8327E">
      <w:pPr>
        <w:sectPr w:rsidR="007E7472">
          <w:pgSz w:w="16838" w:h="11906" w:orient="landscape"/>
          <w:pgMar w:top="1276" w:right="1440" w:bottom="1797" w:left="1525" w:header="856" w:footer="992" w:gutter="0"/>
          <w:cols w:space="425"/>
          <w:docGrid w:linePitch="312"/>
        </w:sectPr>
      </w:pPr>
    </w:p>
    <w:p w14:paraId="523D7D18" w14:textId="77777777" w:rsidR="007E7472" w:rsidRDefault="00C8327E"/>
    <w:bookmarkStart w:id="210" w:name="_Hlk10472053" w:displacedByCustomXml="next"/>
    <w:sdt>
      <w:sdtPr>
        <w:rPr>
          <w:rFonts w:ascii="宋体" w:hAnsi="宋体" w:cs="宋体" w:hint="eastAsia"/>
          <w:b w:val="0"/>
          <w:bCs w:val="0"/>
          <w:kern w:val="0"/>
          <w:sz w:val="20"/>
          <w:szCs w:val="21"/>
        </w:rPr>
        <w:alias w:val="模块:其他权益工具投资"/>
        <w:tag w:val="_SEC_a252a6b12c694a478cd66b63ece88d66"/>
        <w:id w:val="1672613141"/>
        <w:lock w:val="sdtLocked"/>
        <w:placeholder>
          <w:docPart w:val="GBC22222222222222222222222222222"/>
        </w:placeholder>
      </w:sdtPr>
      <w:sdtEndPr/>
      <w:sdtContent>
        <w:p w14:paraId="1BF4D617" w14:textId="77777777" w:rsidR="007E7472" w:rsidRDefault="00EC1269" w:rsidP="00162493">
          <w:pPr>
            <w:pStyle w:val="3"/>
            <w:numPr>
              <w:ilvl w:val="0"/>
              <w:numId w:val="62"/>
            </w:numPr>
          </w:pPr>
          <w:r>
            <w:rPr>
              <w:rFonts w:hint="eastAsia"/>
            </w:rPr>
            <w:t>其他权益工具投资</w:t>
          </w:r>
        </w:p>
        <w:p w14:paraId="1AC5F810" w14:textId="77777777" w:rsidR="007E7472" w:rsidRDefault="00EC1269" w:rsidP="00162493">
          <w:pPr>
            <w:pStyle w:val="4"/>
            <w:numPr>
              <w:ilvl w:val="0"/>
              <w:numId w:val="72"/>
            </w:numPr>
          </w:pPr>
          <w:bookmarkStart w:id="211" w:name="_Hlk532994936"/>
          <w:r>
            <w:rPr>
              <w:rFonts w:hint="eastAsia"/>
            </w:rPr>
            <w:t>其他权益工具投资情况</w:t>
          </w:r>
        </w:p>
        <w:sdt>
          <w:sdtPr>
            <w:alias w:val="是否适用：其他权益工具投资情况[双击切换]"/>
            <w:tag w:val="_GBC_d175ecfe27dc4b7592725426a352847c"/>
            <w:id w:val="-913007473"/>
            <w:lock w:val="sdtLocked"/>
            <w:placeholder>
              <w:docPart w:val="GBC22222222222222222222222222222"/>
            </w:placeholder>
          </w:sdtPr>
          <w:sdtEndPr/>
          <w:sdtContent>
            <w:p w14:paraId="37CA5122"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67975E97" w14:textId="20A987AB" w:rsidR="007E7472" w:rsidRDefault="00EC1269">
          <w:pPr>
            <w:autoSpaceDE w:val="0"/>
            <w:autoSpaceDN w:val="0"/>
            <w:adjustRightInd w:val="0"/>
            <w:ind w:left="5880" w:right="105"/>
            <w:jc w:val="right"/>
          </w:pPr>
          <w:r>
            <w:rPr>
              <w:rFonts w:hint="eastAsia"/>
            </w:rPr>
            <w:t>单位：</w:t>
          </w:r>
          <w:sdt>
            <w:sdtPr>
              <w:rPr>
                <w:rFonts w:hint="eastAsia"/>
              </w:rPr>
              <w:alias w:val="单位：其他权益工具投资情况"/>
              <w:tag w:val="_GBC_5ba15972ed8942bcb12a0deb317c278c"/>
              <w:id w:val="21302043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其他权益工具投资情况"/>
              <w:tag w:val="_GBC_8191cbe84b2c4761b07741ed60e5a890"/>
              <w:id w:val="-14487751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ook w:val="04A0" w:firstRow="1" w:lastRow="0" w:firstColumn="1" w:lastColumn="0" w:noHBand="0" w:noVBand="1"/>
          </w:tblPr>
          <w:tblGrid>
            <w:gridCol w:w="4252"/>
            <w:gridCol w:w="2349"/>
            <w:gridCol w:w="2222"/>
          </w:tblGrid>
          <w:tr w:rsidR="007E7472" w14:paraId="7BCF01BF" w14:textId="77777777" w:rsidTr="007E7472">
            <w:trPr>
              <w:trHeight w:val="340"/>
            </w:trPr>
            <w:sdt>
              <w:sdtPr>
                <w:tag w:val="_PLD_07475a7ed00c4147abad11fc989c691b"/>
                <w:id w:val="-518005573"/>
                <w:lock w:val="sdtLocked"/>
              </w:sdtPr>
              <w:sdtEndPr/>
              <w:sdtContent>
                <w:tc>
                  <w:tcPr>
                    <w:tcW w:w="2410" w:type="pct"/>
                    <w:shd w:val="clear" w:color="auto" w:fill="auto"/>
                    <w:vAlign w:val="center"/>
                  </w:tcPr>
                  <w:p w14:paraId="3514AD82" w14:textId="77777777" w:rsidR="007E7472" w:rsidRDefault="00EC1269">
                    <w:pPr>
                      <w:jc w:val="center"/>
                    </w:pPr>
                    <w:r>
                      <w:rPr>
                        <w:rFonts w:hint="eastAsia"/>
                      </w:rPr>
                      <w:t>项目</w:t>
                    </w:r>
                  </w:p>
                </w:tc>
              </w:sdtContent>
            </w:sdt>
            <w:sdt>
              <w:sdtPr>
                <w:tag w:val="_PLD_d7f2f3494b3446d8ae4631f63b2c7e8e"/>
                <w:id w:val="1389767662"/>
                <w:lock w:val="sdtLocked"/>
              </w:sdtPr>
              <w:sdtEndPr/>
              <w:sdtContent>
                <w:tc>
                  <w:tcPr>
                    <w:tcW w:w="1331" w:type="pct"/>
                    <w:shd w:val="clear" w:color="auto" w:fill="auto"/>
                    <w:vAlign w:val="center"/>
                  </w:tcPr>
                  <w:p w14:paraId="75512838" w14:textId="77777777" w:rsidR="007E7472" w:rsidRDefault="00EC1269">
                    <w:pPr>
                      <w:autoSpaceDE w:val="0"/>
                      <w:autoSpaceDN w:val="0"/>
                      <w:adjustRightInd w:val="0"/>
                      <w:snapToGrid w:val="0"/>
                      <w:spacing w:line="240" w:lineRule="atLeast"/>
                      <w:jc w:val="center"/>
                    </w:pPr>
                    <w:r>
                      <w:rPr>
                        <w:rFonts w:hint="eastAsia"/>
                      </w:rPr>
                      <w:t>期末余额</w:t>
                    </w:r>
                  </w:p>
                </w:tc>
              </w:sdtContent>
            </w:sdt>
            <w:sdt>
              <w:sdtPr>
                <w:tag w:val="_PLD_9f4168295fb3439f8426e5fe728b845b"/>
                <w:id w:val="-1947609021"/>
                <w:lock w:val="sdtLocked"/>
              </w:sdtPr>
              <w:sdtEndPr/>
              <w:sdtContent>
                <w:tc>
                  <w:tcPr>
                    <w:tcW w:w="1259" w:type="pct"/>
                    <w:shd w:val="clear" w:color="auto" w:fill="auto"/>
                    <w:vAlign w:val="center"/>
                  </w:tcPr>
                  <w:p w14:paraId="4580DDEF" w14:textId="77777777" w:rsidR="007E7472" w:rsidRDefault="00EC1269">
                    <w:pPr>
                      <w:autoSpaceDE w:val="0"/>
                      <w:autoSpaceDN w:val="0"/>
                      <w:adjustRightInd w:val="0"/>
                      <w:snapToGrid w:val="0"/>
                      <w:spacing w:line="240" w:lineRule="atLeast"/>
                      <w:jc w:val="center"/>
                    </w:pPr>
                    <w:r>
                      <w:rPr>
                        <w:rFonts w:hint="eastAsia"/>
                      </w:rPr>
                      <w:t>期初余额</w:t>
                    </w:r>
                  </w:p>
                </w:tc>
              </w:sdtContent>
            </w:sdt>
          </w:tr>
          <w:sdt>
            <w:sdtPr>
              <w:rPr>
                <w:rFonts w:asciiTheme="minorEastAsia" w:eastAsiaTheme="minorEastAsia" w:hAnsiTheme="minorEastAsia"/>
              </w:rPr>
              <w:alias w:val="其他权益工具投资明细"/>
              <w:tag w:val="_TUP_6afa3e8ae24c4d689dd00c7fc35b2c46"/>
              <w:id w:val="-517238147"/>
              <w:lock w:val="sdtLocked"/>
            </w:sdtPr>
            <w:sdtEndPr/>
            <w:sdtContent>
              <w:tr w:rsidR="007E7472" w14:paraId="6D3D9FC9" w14:textId="77777777" w:rsidTr="007E7472">
                <w:trPr>
                  <w:trHeight w:val="340"/>
                </w:trPr>
                <w:tc>
                  <w:tcPr>
                    <w:tcW w:w="2410" w:type="pct"/>
                    <w:shd w:val="clear" w:color="auto" w:fill="auto"/>
                    <w:vAlign w:val="center"/>
                  </w:tcPr>
                  <w:p w14:paraId="4F82FA1E" w14:textId="77777777" w:rsidR="007E7472" w:rsidRDefault="00EC1269">
                    <w:pPr>
                      <w:rPr>
                        <w:rFonts w:asciiTheme="minorEastAsia" w:eastAsiaTheme="minorEastAsia" w:hAnsiTheme="minorEastAsia"/>
                      </w:rPr>
                    </w:pPr>
                    <w:r>
                      <w:rPr>
                        <w:rFonts w:asciiTheme="minorEastAsia" w:eastAsiaTheme="minorEastAsia" w:hAnsiTheme="minorEastAsia"/>
                      </w:rPr>
                      <w:t>建信信托-彩蝶6号财产权信托计划</w:t>
                    </w:r>
                  </w:p>
                </w:tc>
                <w:tc>
                  <w:tcPr>
                    <w:tcW w:w="1331" w:type="pct"/>
                    <w:shd w:val="clear" w:color="auto" w:fill="auto"/>
                    <w:vAlign w:val="center"/>
                  </w:tcPr>
                  <w:p w14:paraId="6EC222F1" w14:textId="77777777" w:rsidR="007E7472" w:rsidRDefault="00EC1269">
                    <w:pPr>
                      <w:jc w:val="right"/>
                      <w:rPr>
                        <w:rFonts w:asciiTheme="minorEastAsia" w:eastAsiaTheme="minorEastAsia" w:hAnsiTheme="minorEastAsia"/>
                      </w:rPr>
                    </w:pPr>
                    <w:r>
                      <w:rPr>
                        <w:rFonts w:asciiTheme="minorEastAsia" w:eastAsiaTheme="minorEastAsia" w:hAnsiTheme="minorEastAsia"/>
                      </w:rPr>
                      <w:t>70,520</w:t>
                    </w:r>
                  </w:p>
                </w:tc>
                <w:tc>
                  <w:tcPr>
                    <w:tcW w:w="1259" w:type="pct"/>
                    <w:shd w:val="clear" w:color="auto" w:fill="auto"/>
                    <w:vAlign w:val="center"/>
                  </w:tcPr>
                  <w:p w14:paraId="28C373C9" w14:textId="77777777" w:rsidR="007E7472" w:rsidRDefault="00EC1269">
                    <w:pPr>
                      <w:jc w:val="right"/>
                      <w:rPr>
                        <w:rFonts w:asciiTheme="minorEastAsia" w:eastAsiaTheme="minorEastAsia" w:hAnsiTheme="minorEastAsia"/>
                      </w:rPr>
                    </w:pPr>
                    <w:r>
                      <w:rPr>
                        <w:rFonts w:asciiTheme="minorEastAsia" w:eastAsiaTheme="minorEastAsia" w:hAnsiTheme="minorEastAsia"/>
                      </w:rPr>
                      <w:t>70,520</w:t>
                    </w:r>
                  </w:p>
                </w:tc>
              </w:tr>
            </w:sdtContent>
          </w:sdt>
          <w:sdt>
            <w:sdtPr>
              <w:rPr>
                <w:rFonts w:asciiTheme="minorEastAsia" w:eastAsiaTheme="minorEastAsia" w:hAnsiTheme="minorEastAsia"/>
              </w:rPr>
              <w:alias w:val="其他权益工具投资明细"/>
              <w:tag w:val="_TUP_6afa3e8ae24c4d689dd00c7fc35b2c46"/>
              <w:id w:val="368492294"/>
              <w:lock w:val="sdtLocked"/>
            </w:sdtPr>
            <w:sdtEndPr/>
            <w:sdtContent>
              <w:tr w:rsidR="007E7472" w14:paraId="79171707" w14:textId="77777777" w:rsidTr="007E7472">
                <w:trPr>
                  <w:trHeight w:val="340"/>
                </w:trPr>
                <w:tc>
                  <w:tcPr>
                    <w:tcW w:w="2410" w:type="pct"/>
                    <w:shd w:val="clear" w:color="auto" w:fill="auto"/>
                    <w:vAlign w:val="center"/>
                  </w:tcPr>
                  <w:p w14:paraId="7027E3F1" w14:textId="77777777" w:rsidR="007E7472" w:rsidRDefault="00EC1269">
                    <w:pPr>
                      <w:rPr>
                        <w:rFonts w:asciiTheme="minorEastAsia" w:eastAsiaTheme="minorEastAsia" w:hAnsiTheme="minorEastAsia"/>
                      </w:rPr>
                    </w:pPr>
                    <w:r>
                      <w:rPr>
                        <w:rFonts w:asciiTheme="minorEastAsia" w:eastAsiaTheme="minorEastAsia" w:hAnsiTheme="minorEastAsia"/>
                      </w:rPr>
                      <w:t>天津物产二号企业管理合伙企业（有限合伙）</w:t>
                    </w:r>
                  </w:p>
                </w:tc>
                <w:tc>
                  <w:tcPr>
                    <w:tcW w:w="1331" w:type="pct"/>
                    <w:shd w:val="clear" w:color="auto" w:fill="auto"/>
                    <w:vAlign w:val="center"/>
                  </w:tcPr>
                  <w:p w14:paraId="4560938E" w14:textId="77777777" w:rsidR="007E7472" w:rsidRDefault="00EC1269">
                    <w:pPr>
                      <w:jc w:val="right"/>
                      <w:rPr>
                        <w:rFonts w:asciiTheme="minorEastAsia" w:eastAsiaTheme="minorEastAsia" w:hAnsiTheme="minorEastAsia"/>
                      </w:rPr>
                    </w:pPr>
                    <w:r>
                      <w:rPr>
                        <w:rFonts w:asciiTheme="minorEastAsia" w:eastAsiaTheme="minorEastAsia" w:hAnsiTheme="minorEastAsia"/>
                      </w:rPr>
                      <w:t>26,065</w:t>
                    </w:r>
                  </w:p>
                </w:tc>
                <w:tc>
                  <w:tcPr>
                    <w:tcW w:w="1259" w:type="pct"/>
                    <w:shd w:val="clear" w:color="auto" w:fill="auto"/>
                    <w:vAlign w:val="center"/>
                  </w:tcPr>
                  <w:p w14:paraId="250983EE" w14:textId="77777777" w:rsidR="007E7472" w:rsidRDefault="00EC1269">
                    <w:pPr>
                      <w:jc w:val="right"/>
                      <w:rPr>
                        <w:rFonts w:asciiTheme="minorEastAsia" w:eastAsiaTheme="minorEastAsia" w:hAnsiTheme="minorEastAsia"/>
                      </w:rPr>
                    </w:pPr>
                    <w:r>
                      <w:rPr>
                        <w:rFonts w:asciiTheme="minorEastAsia" w:eastAsiaTheme="minorEastAsia" w:hAnsiTheme="minorEastAsia"/>
                      </w:rPr>
                      <w:t>26,065</w:t>
                    </w:r>
                  </w:p>
                </w:tc>
              </w:tr>
            </w:sdtContent>
          </w:sdt>
          <w:sdt>
            <w:sdtPr>
              <w:rPr>
                <w:rFonts w:asciiTheme="minorEastAsia" w:eastAsiaTheme="minorEastAsia" w:hAnsiTheme="minorEastAsia"/>
              </w:rPr>
              <w:alias w:val="其他权益工具投资明细"/>
              <w:tag w:val="_TUP_6afa3e8ae24c4d689dd00c7fc35b2c46"/>
              <w:id w:val="-1492481813"/>
              <w:lock w:val="sdtLocked"/>
            </w:sdtPr>
            <w:sdtEndPr/>
            <w:sdtContent>
              <w:tr w:rsidR="007E7472" w14:paraId="04C4096C" w14:textId="77777777" w:rsidTr="007E7472">
                <w:trPr>
                  <w:trHeight w:val="340"/>
                </w:trPr>
                <w:tc>
                  <w:tcPr>
                    <w:tcW w:w="2410" w:type="pct"/>
                    <w:shd w:val="clear" w:color="auto" w:fill="auto"/>
                    <w:vAlign w:val="center"/>
                  </w:tcPr>
                  <w:p w14:paraId="05DB5205" w14:textId="77777777" w:rsidR="007E7472" w:rsidRDefault="00EC1269">
                    <w:pPr>
                      <w:rPr>
                        <w:rFonts w:asciiTheme="minorEastAsia" w:eastAsiaTheme="minorEastAsia" w:hAnsiTheme="minorEastAsia"/>
                      </w:rPr>
                    </w:pPr>
                    <w:r>
                      <w:rPr>
                        <w:rFonts w:asciiTheme="minorEastAsia" w:eastAsiaTheme="minorEastAsia" w:hAnsiTheme="minorEastAsia"/>
                      </w:rPr>
                      <w:t>天津物产三号企业管理合伙企业（有限合伙）</w:t>
                    </w:r>
                  </w:p>
                </w:tc>
                <w:tc>
                  <w:tcPr>
                    <w:tcW w:w="1331" w:type="pct"/>
                    <w:shd w:val="clear" w:color="auto" w:fill="auto"/>
                    <w:vAlign w:val="center"/>
                  </w:tcPr>
                  <w:p w14:paraId="49E641A3" w14:textId="77777777" w:rsidR="007E7472" w:rsidRDefault="00EC1269">
                    <w:pPr>
                      <w:jc w:val="right"/>
                      <w:rPr>
                        <w:rFonts w:asciiTheme="minorEastAsia" w:eastAsiaTheme="minorEastAsia" w:hAnsiTheme="minorEastAsia"/>
                      </w:rPr>
                    </w:pPr>
                    <w:r>
                      <w:rPr>
                        <w:rFonts w:asciiTheme="minorEastAsia" w:eastAsiaTheme="minorEastAsia" w:hAnsiTheme="minorEastAsia"/>
                      </w:rPr>
                      <w:t>15,967</w:t>
                    </w:r>
                  </w:p>
                </w:tc>
                <w:tc>
                  <w:tcPr>
                    <w:tcW w:w="1259" w:type="pct"/>
                    <w:shd w:val="clear" w:color="auto" w:fill="auto"/>
                    <w:vAlign w:val="center"/>
                  </w:tcPr>
                  <w:p w14:paraId="2170F06B" w14:textId="77777777" w:rsidR="007E7472" w:rsidRDefault="00EC1269">
                    <w:pPr>
                      <w:jc w:val="right"/>
                      <w:rPr>
                        <w:rFonts w:asciiTheme="minorEastAsia" w:eastAsiaTheme="minorEastAsia" w:hAnsiTheme="minorEastAsia"/>
                      </w:rPr>
                    </w:pPr>
                    <w:r>
                      <w:rPr>
                        <w:rFonts w:asciiTheme="minorEastAsia" w:eastAsiaTheme="minorEastAsia" w:hAnsiTheme="minorEastAsia"/>
                      </w:rPr>
                      <w:t>15,967</w:t>
                    </w:r>
                  </w:p>
                </w:tc>
              </w:tr>
            </w:sdtContent>
          </w:sdt>
          <w:sdt>
            <w:sdtPr>
              <w:rPr>
                <w:rFonts w:asciiTheme="minorEastAsia" w:eastAsiaTheme="minorEastAsia" w:hAnsiTheme="minorEastAsia"/>
              </w:rPr>
              <w:alias w:val="其他权益工具投资明细"/>
              <w:tag w:val="_TUP_6afa3e8ae24c4d689dd00c7fc35b2c46"/>
              <w:id w:val="-238941474"/>
              <w:lock w:val="sdtLocked"/>
            </w:sdtPr>
            <w:sdtEndPr/>
            <w:sdtContent>
              <w:tr w:rsidR="007E7472" w14:paraId="73C95D79" w14:textId="77777777" w:rsidTr="007E7472">
                <w:trPr>
                  <w:trHeight w:val="340"/>
                </w:trPr>
                <w:tc>
                  <w:tcPr>
                    <w:tcW w:w="2410" w:type="pct"/>
                    <w:shd w:val="clear" w:color="auto" w:fill="auto"/>
                    <w:vAlign w:val="center"/>
                  </w:tcPr>
                  <w:p w14:paraId="6FAA31D3" w14:textId="77777777" w:rsidR="007E7472" w:rsidRDefault="00EC1269">
                    <w:pPr>
                      <w:rPr>
                        <w:rFonts w:asciiTheme="minorEastAsia" w:eastAsiaTheme="minorEastAsia" w:hAnsiTheme="minorEastAsia"/>
                      </w:rPr>
                    </w:pPr>
                    <w:r>
                      <w:rPr>
                        <w:rFonts w:asciiTheme="minorEastAsia" w:eastAsiaTheme="minorEastAsia" w:hAnsiTheme="minorEastAsia"/>
                      </w:rPr>
                      <w:t>中峰化学有限公司</w:t>
                    </w:r>
                  </w:p>
                </w:tc>
                <w:tc>
                  <w:tcPr>
                    <w:tcW w:w="1331" w:type="pct"/>
                    <w:shd w:val="clear" w:color="auto" w:fill="auto"/>
                    <w:vAlign w:val="center"/>
                  </w:tcPr>
                  <w:p w14:paraId="6F465154" w14:textId="77777777" w:rsidR="007E7472" w:rsidRDefault="00EC1269">
                    <w:pPr>
                      <w:jc w:val="right"/>
                      <w:rPr>
                        <w:rFonts w:asciiTheme="minorEastAsia" w:eastAsiaTheme="minorEastAsia" w:hAnsiTheme="minorEastAsia"/>
                      </w:rPr>
                    </w:pPr>
                    <w:r>
                      <w:rPr>
                        <w:rFonts w:asciiTheme="minorEastAsia" w:eastAsiaTheme="minorEastAsia" w:hAnsiTheme="minorEastAsia"/>
                      </w:rPr>
                      <w:t>10,000</w:t>
                    </w:r>
                  </w:p>
                </w:tc>
                <w:tc>
                  <w:tcPr>
                    <w:tcW w:w="1259" w:type="pct"/>
                    <w:shd w:val="clear" w:color="auto" w:fill="auto"/>
                    <w:vAlign w:val="center"/>
                  </w:tcPr>
                  <w:p w14:paraId="77AAF015" w14:textId="77777777" w:rsidR="007E7472" w:rsidRDefault="00EC1269">
                    <w:pPr>
                      <w:jc w:val="right"/>
                      <w:rPr>
                        <w:rFonts w:asciiTheme="minorEastAsia" w:eastAsiaTheme="minorEastAsia" w:hAnsiTheme="minorEastAsia"/>
                      </w:rPr>
                    </w:pPr>
                    <w:r>
                      <w:rPr>
                        <w:rFonts w:asciiTheme="minorEastAsia" w:eastAsiaTheme="minorEastAsia" w:hAnsiTheme="minorEastAsia"/>
                      </w:rPr>
                      <w:t>10,000</w:t>
                    </w:r>
                  </w:p>
                </w:tc>
              </w:tr>
            </w:sdtContent>
          </w:sdt>
          <w:sdt>
            <w:sdtPr>
              <w:rPr>
                <w:rFonts w:asciiTheme="minorEastAsia" w:eastAsiaTheme="minorEastAsia" w:hAnsiTheme="minorEastAsia"/>
              </w:rPr>
              <w:alias w:val="其他权益工具投资明细"/>
              <w:tag w:val="_TUP_6afa3e8ae24c4d689dd00c7fc35b2c46"/>
              <w:id w:val="1059053817"/>
              <w:lock w:val="sdtLocked"/>
            </w:sdtPr>
            <w:sdtEndPr/>
            <w:sdtContent>
              <w:tr w:rsidR="007E7472" w14:paraId="5C049E52" w14:textId="77777777" w:rsidTr="007E7472">
                <w:trPr>
                  <w:trHeight w:val="340"/>
                </w:trPr>
                <w:tc>
                  <w:tcPr>
                    <w:tcW w:w="2410" w:type="pct"/>
                    <w:shd w:val="clear" w:color="auto" w:fill="auto"/>
                    <w:vAlign w:val="center"/>
                  </w:tcPr>
                  <w:p w14:paraId="0F13D0F0" w14:textId="77777777" w:rsidR="007E7472" w:rsidRDefault="00EC1269">
                    <w:pPr>
                      <w:rPr>
                        <w:rFonts w:asciiTheme="minorEastAsia" w:eastAsiaTheme="minorEastAsia" w:hAnsiTheme="minorEastAsia"/>
                      </w:rPr>
                    </w:pPr>
                    <w:r>
                      <w:rPr>
                        <w:rFonts w:asciiTheme="minorEastAsia" w:eastAsiaTheme="minorEastAsia" w:hAnsiTheme="minorEastAsia"/>
                      </w:rPr>
                      <w:t>山东邹城建信村镇银行有限公司</w:t>
                    </w:r>
                  </w:p>
                </w:tc>
                <w:tc>
                  <w:tcPr>
                    <w:tcW w:w="1331" w:type="pct"/>
                    <w:shd w:val="clear" w:color="auto" w:fill="auto"/>
                    <w:vAlign w:val="center"/>
                  </w:tcPr>
                  <w:p w14:paraId="064342E9" w14:textId="77777777" w:rsidR="007E7472" w:rsidRDefault="00EC1269">
                    <w:pPr>
                      <w:jc w:val="right"/>
                      <w:rPr>
                        <w:rFonts w:asciiTheme="minorEastAsia" w:eastAsiaTheme="minorEastAsia" w:hAnsiTheme="minorEastAsia"/>
                      </w:rPr>
                    </w:pPr>
                    <w:r>
                      <w:rPr>
                        <w:rFonts w:asciiTheme="minorEastAsia" w:eastAsiaTheme="minorEastAsia" w:hAnsiTheme="minorEastAsia"/>
                      </w:rPr>
                      <w:t>3,771</w:t>
                    </w:r>
                  </w:p>
                </w:tc>
                <w:tc>
                  <w:tcPr>
                    <w:tcW w:w="1259" w:type="pct"/>
                    <w:shd w:val="clear" w:color="auto" w:fill="auto"/>
                    <w:vAlign w:val="center"/>
                  </w:tcPr>
                  <w:p w14:paraId="5D6A8F34" w14:textId="77777777" w:rsidR="007E7472" w:rsidRDefault="00EC1269">
                    <w:pPr>
                      <w:jc w:val="right"/>
                      <w:rPr>
                        <w:rFonts w:asciiTheme="minorEastAsia" w:eastAsiaTheme="minorEastAsia" w:hAnsiTheme="minorEastAsia"/>
                      </w:rPr>
                    </w:pPr>
                    <w:r>
                      <w:rPr>
                        <w:rFonts w:asciiTheme="minorEastAsia" w:eastAsiaTheme="minorEastAsia" w:hAnsiTheme="minorEastAsia"/>
                      </w:rPr>
                      <w:t>3,771</w:t>
                    </w:r>
                  </w:p>
                </w:tc>
              </w:tr>
            </w:sdtContent>
          </w:sdt>
          <w:sdt>
            <w:sdtPr>
              <w:rPr>
                <w:rFonts w:asciiTheme="minorEastAsia" w:eastAsiaTheme="minorEastAsia" w:hAnsiTheme="minorEastAsia"/>
              </w:rPr>
              <w:alias w:val="其他权益工具投资明细"/>
              <w:tag w:val="_TUP_6afa3e8ae24c4d689dd00c7fc35b2c46"/>
              <w:id w:val="625894466"/>
              <w:lock w:val="sdtLocked"/>
            </w:sdtPr>
            <w:sdtEndPr/>
            <w:sdtContent>
              <w:tr w:rsidR="007E7472" w14:paraId="3D4A73D7" w14:textId="77777777" w:rsidTr="007E7472">
                <w:trPr>
                  <w:trHeight w:val="340"/>
                </w:trPr>
                <w:tc>
                  <w:tcPr>
                    <w:tcW w:w="2410" w:type="pct"/>
                    <w:shd w:val="clear" w:color="auto" w:fill="auto"/>
                    <w:vAlign w:val="center"/>
                  </w:tcPr>
                  <w:p w14:paraId="383AA73A" w14:textId="77777777" w:rsidR="007E7472" w:rsidRDefault="00EC1269">
                    <w:pPr>
                      <w:rPr>
                        <w:rFonts w:asciiTheme="minorEastAsia" w:eastAsiaTheme="minorEastAsia" w:hAnsiTheme="minorEastAsia"/>
                      </w:rPr>
                    </w:pPr>
                    <w:r>
                      <w:rPr>
                        <w:rFonts w:asciiTheme="minorEastAsia" w:eastAsiaTheme="minorEastAsia" w:hAnsiTheme="minorEastAsia"/>
                      </w:rPr>
                      <w:t>江苏连云港港口股份有限公司</w:t>
                    </w:r>
                  </w:p>
                </w:tc>
                <w:tc>
                  <w:tcPr>
                    <w:tcW w:w="1331" w:type="pct"/>
                    <w:shd w:val="clear" w:color="auto" w:fill="auto"/>
                    <w:vAlign w:val="center"/>
                  </w:tcPr>
                  <w:p w14:paraId="3D2E2414" w14:textId="77777777" w:rsidR="007E7472" w:rsidRDefault="00EC1269">
                    <w:pPr>
                      <w:jc w:val="right"/>
                      <w:rPr>
                        <w:rFonts w:asciiTheme="minorEastAsia" w:eastAsiaTheme="minorEastAsia" w:hAnsiTheme="minorEastAsia"/>
                      </w:rPr>
                    </w:pPr>
                    <w:r>
                      <w:rPr>
                        <w:rFonts w:asciiTheme="minorEastAsia" w:eastAsiaTheme="minorEastAsia" w:hAnsiTheme="minorEastAsia"/>
                      </w:rPr>
                      <w:t>384</w:t>
                    </w:r>
                  </w:p>
                </w:tc>
                <w:tc>
                  <w:tcPr>
                    <w:tcW w:w="1259" w:type="pct"/>
                    <w:shd w:val="clear" w:color="auto" w:fill="auto"/>
                    <w:vAlign w:val="center"/>
                  </w:tcPr>
                  <w:p w14:paraId="2E2ADC19" w14:textId="77777777" w:rsidR="007E7472" w:rsidRDefault="00EC1269">
                    <w:pPr>
                      <w:jc w:val="right"/>
                      <w:rPr>
                        <w:rFonts w:asciiTheme="minorEastAsia" w:eastAsiaTheme="minorEastAsia" w:hAnsiTheme="minorEastAsia"/>
                      </w:rPr>
                    </w:pPr>
                    <w:r>
                      <w:rPr>
                        <w:rFonts w:asciiTheme="minorEastAsia" w:eastAsiaTheme="minorEastAsia" w:hAnsiTheme="minorEastAsia"/>
                      </w:rPr>
                      <w:t>441</w:t>
                    </w:r>
                  </w:p>
                </w:tc>
              </w:tr>
            </w:sdtContent>
          </w:sdt>
          <w:tr w:rsidR="007E7472" w14:paraId="71E8D71B" w14:textId="77777777" w:rsidTr="007E7472">
            <w:trPr>
              <w:trHeight w:val="340"/>
            </w:trPr>
            <w:sdt>
              <w:sdtPr>
                <w:rPr>
                  <w:rFonts w:asciiTheme="minorEastAsia" w:eastAsiaTheme="minorEastAsia" w:hAnsiTheme="minorEastAsia"/>
                </w:rPr>
                <w:tag w:val="_PLD_1e61ba0c2e3c4f1891477e6427f0532c"/>
                <w:id w:val="-2134932907"/>
                <w:lock w:val="sdtLocked"/>
              </w:sdtPr>
              <w:sdtEndPr/>
              <w:sdtContent>
                <w:tc>
                  <w:tcPr>
                    <w:tcW w:w="2410" w:type="pct"/>
                    <w:shd w:val="clear" w:color="auto" w:fill="auto"/>
                    <w:vAlign w:val="center"/>
                  </w:tcPr>
                  <w:p w14:paraId="6C4AC0E4" w14:textId="77777777" w:rsidR="007E7472" w:rsidRDefault="00EC1269">
                    <w:pPr>
                      <w:jc w:val="center"/>
                      <w:rPr>
                        <w:rFonts w:asciiTheme="minorEastAsia" w:eastAsiaTheme="minorEastAsia" w:hAnsiTheme="minorEastAsia"/>
                      </w:rPr>
                    </w:pPr>
                    <w:r>
                      <w:rPr>
                        <w:rFonts w:asciiTheme="minorEastAsia" w:eastAsiaTheme="minorEastAsia" w:hAnsiTheme="minorEastAsia" w:hint="eastAsia"/>
                      </w:rPr>
                      <w:t>合计</w:t>
                    </w:r>
                  </w:p>
                </w:tc>
              </w:sdtContent>
            </w:sdt>
            <w:tc>
              <w:tcPr>
                <w:tcW w:w="1331" w:type="pct"/>
                <w:shd w:val="clear" w:color="auto" w:fill="auto"/>
                <w:vAlign w:val="center"/>
              </w:tcPr>
              <w:p w14:paraId="0AD6D71A" w14:textId="77777777" w:rsidR="007E7472" w:rsidRDefault="00EC1269">
                <w:pPr>
                  <w:jc w:val="right"/>
                  <w:rPr>
                    <w:rFonts w:asciiTheme="minorEastAsia" w:eastAsiaTheme="minorEastAsia" w:hAnsiTheme="minorEastAsia"/>
                  </w:rPr>
                </w:pPr>
                <w:r>
                  <w:rPr>
                    <w:rFonts w:asciiTheme="minorEastAsia" w:eastAsiaTheme="minorEastAsia" w:hAnsiTheme="minorEastAsia"/>
                  </w:rPr>
                  <w:t>126,707</w:t>
                </w:r>
              </w:p>
            </w:tc>
            <w:tc>
              <w:tcPr>
                <w:tcW w:w="1259" w:type="pct"/>
                <w:shd w:val="clear" w:color="auto" w:fill="auto"/>
                <w:vAlign w:val="center"/>
              </w:tcPr>
              <w:p w14:paraId="6F06C60D" w14:textId="77777777" w:rsidR="007E7472" w:rsidRDefault="00EC1269">
                <w:pPr>
                  <w:jc w:val="right"/>
                  <w:rPr>
                    <w:rFonts w:asciiTheme="minorEastAsia" w:eastAsiaTheme="minorEastAsia" w:hAnsiTheme="minorEastAsia"/>
                  </w:rPr>
                </w:pPr>
                <w:r>
                  <w:rPr>
                    <w:rFonts w:asciiTheme="minorEastAsia" w:eastAsiaTheme="minorEastAsia" w:hAnsiTheme="minorEastAsia"/>
                  </w:rPr>
                  <w:t>126,764</w:t>
                </w:r>
              </w:p>
            </w:tc>
          </w:tr>
        </w:tbl>
        <w:p w14:paraId="0C9126B7" w14:textId="77777777" w:rsidR="007E7472" w:rsidRDefault="00C8327E"/>
      </w:sdtContent>
    </w:sdt>
    <w:bookmarkEnd w:id="211" w:displacedByCustomXml="next"/>
    <w:bookmarkEnd w:id="210" w:displacedByCustomXml="next"/>
    <w:bookmarkStart w:id="212" w:name="_Hlk10472075" w:displacedByCustomXml="next"/>
    <w:bookmarkStart w:id="213" w:name="_Hlk10472085" w:displacedByCustomXml="next"/>
    <w:sdt>
      <w:sdtPr>
        <w:rPr>
          <w:rFonts w:ascii="宋体" w:hAnsi="宋体" w:cs="宋体" w:hint="eastAsia"/>
          <w:b w:val="0"/>
          <w:bCs w:val="0"/>
          <w:kern w:val="0"/>
          <w:sz w:val="20"/>
          <w:szCs w:val="24"/>
        </w:rPr>
        <w:alias w:val="模块:非交易性权益工具投资的情况"/>
        <w:tag w:val="_SEC_cfe1ba6c98894c1f8f64c41c9a5b8180"/>
        <w:id w:val="-1119226994"/>
        <w:lock w:val="sdtLocked"/>
        <w:placeholder>
          <w:docPart w:val="GBC22222222222222222222222222222"/>
        </w:placeholder>
      </w:sdtPr>
      <w:sdtEndPr>
        <w:rPr>
          <w:rFonts w:hint="default"/>
          <w:szCs w:val="21"/>
        </w:rPr>
      </w:sdtEndPr>
      <w:sdtContent>
        <w:p w14:paraId="3786F05B" w14:textId="77777777" w:rsidR="007E7472" w:rsidRDefault="00EC1269" w:rsidP="00162493">
          <w:pPr>
            <w:pStyle w:val="4"/>
            <w:numPr>
              <w:ilvl w:val="0"/>
              <w:numId w:val="72"/>
            </w:numPr>
          </w:pPr>
          <w:r>
            <w:rPr>
              <w:rFonts w:hint="eastAsia"/>
            </w:rPr>
            <w:t>非交易性权益工具投资的情况</w:t>
          </w:r>
          <w:bookmarkEnd w:id="212"/>
        </w:p>
        <w:sdt>
          <w:sdtPr>
            <w:alias w:val="是否适用：非交易性权益工具投资情况[双击切换]"/>
            <w:tag w:val="_GBC_5bc286b941b942a6afabd12760854b2c"/>
            <w:id w:val="444671445"/>
            <w:lock w:val="sdtLocked"/>
            <w:placeholder>
              <w:docPart w:val="GBC22222222222222222222222222222"/>
            </w:placeholder>
          </w:sdtPr>
          <w:sdtEndPr/>
          <w:sdtContent>
            <w:p w14:paraId="4EBF9D89"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bookmarkEnd w:id="213" w:displacedByCustomXml="next"/>
    <w:bookmarkStart w:id="214" w:name="_Hlk10472110" w:displacedByCustomXml="next"/>
    <w:bookmarkStart w:id="215" w:name="_Hlk10472118" w:displacedByCustomXml="next"/>
    <w:sdt>
      <w:sdtPr>
        <w:rPr>
          <w:rFonts w:hint="eastAsia"/>
        </w:rPr>
        <w:alias w:val="模块:其他说明："/>
        <w:tag w:val="_SEC_e3d4d5136ad847a0a66a1c4edca28c29"/>
        <w:id w:val="-847172591"/>
        <w:lock w:val="sdtLocked"/>
        <w:placeholder>
          <w:docPart w:val="GBC22222222222222222222222222222"/>
        </w:placeholder>
      </w:sdtPr>
      <w:sdtEndPr>
        <w:rPr>
          <w:rFonts w:hint="default"/>
        </w:rPr>
      </w:sdtEndPr>
      <w:sdtContent>
        <w:p w14:paraId="280B7FBD" w14:textId="77777777" w:rsidR="007E7472" w:rsidRDefault="00EC1269">
          <w:r>
            <w:rPr>
              <w:rFonts w:hint="eastAsia"/>
            </w:rPr>
            <w:t>其他</w:t>
          </w:r>
          <w:r>
            <w:t>说明</w:t>
          </w:r>
          <w:r>
            <w:rPr>
              <w:rFonts w:hint="eastAsia"/>
            </w:rPr>
            <w:t>：</w:t>
          </w:r>
          <w:bookmarkEnd w:id="214"/>
        </w:p>
        <w:sdt>
          <w:sdtPr>
            <w:alias w:val="是否适用：其他权益工具投资其他说明[双击切换]"/>
            <w:tag w:val="_GBC_9bd79d8d324a4f4c984344781e18ee35"/>
            <w:id w:val="-92704262"/>
            <w:lock w:val="sdtLocked"/>
            <w:placeholder>
              <w:docPart w:val="GBC22222222222222222222222222222"/>
            </w:placeholder>
          </w:sdtPr>
          <w:sdtEndPr/>
          <w:sdtContent>
            <w:p w14:paraId="5C304FDF"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bookmarkEnd w:id="215"/>
    <w:p w14:paraId="44751286" w14:textId="77777777" w:rsidR="007E7472" w:rsidRDefault="00C8327E"/>
    <w:bookmarkStart w:id="216" w:name="_Hlk10472259" w:displacedByCustomXml="next"/>
    <w:sdt>
      <w:sdtPr>
        <w:rPr>
          <w:rFonts w:ascii="宋体" w:hAnsi="宋体" w:cs="宋体" w:hint="eastAsia"/>
          <w:b w:val="0"/>
          <w:bCs w:val="0"/>
          <w:kern w:val="0"/>
          <w:sz w:val="20"/>
          <w:szCs w:val="21"/>
        </w:rPr>
        <w:alias w:val="模块:其他非流动金融资产"/>
        <w:tag w:val="_SEC_6895bb6903584ff780f3500311ed1560"/>
        <w:id w:val="497772960"/>
        <w:lock w:val="sdtLocked"/>
        <w:placeholder>
          <w:docPart w:val="GBC22222222222222222222222222222"/>
        </w:placeholder>
      </w:sdtPr>
      <w:sdtEndPr/>
      <w:sdtContent>
        <w:p w14:paraId="5A5489D3" w14:textId="77777777" w:rsidR="007E7472" w:rsidRDefault="00EC1269" w:rsidP="00162493">
          <w:pPr>
            <w:pStyle w:val="3"/>
            <w:numPr>
              <w:ilvl w:val="0"/>
              <w:numId w:val="62"/>
            </w:numPr>
          </w:pPr>
          <w:r>
            <w:rPr>
              <w:rFonts w:hint="eastAsia"/>
            </w:rPr>
            <w:t>其他非流动金融资产</w:t>
          </w:r>
        </w:p>
        <w:sdt>
          <w:sdtPr>
            <w:alias w:val="是否适用：其他非流动金融资产[双击切换]"/>
            <w:tag w:val="_GBC_39a16d6030db4b008bd8e70705c49dd5"/>
            <w:id w:val="-454639176"/>
            <w:lock w:val="sdtLocked"/>
            <w:placeholder>
              <w:docPart w:val="GBC22222222222222222222222222222"/>
            </w:placeholder>
          </w:sdtPr>
          <w:sdtEndPr/>
          <w:sdtContent>
            <w:p w14:paraId="78385A1C"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hint="eastAsia"/>
                </w:rPr>
                <w:instrText xml:space="preserve"> MACROBUTTON  SnrToggleCheckbox □不适用 </w:instrText>
              </w:r>
              <w:r>
                <w:rPr>
                  <w:rFonts w:asciiTheme="minorEastAsia" w:eastAsiaTheme="minorEastAsia" w:hAnsiTheme="minorEastAsia"/>
                </w:rPr>
                <w:fldChar w:fldCharType="end"/>
              </w:r>
            </w:p>
          </w:sdtContent>
        </w:sdt>
        <w:p w14:paraId="24E5EB0B" w14:textId="713776A2" w:rsidR="007E7472" w:rsidRDefault="00EC1269">
          <w:pPr>
            <w:ind w:left="420"/>
            <w:jc w:val="right"/>
          </w:pPr>
          <w:r>
            <w:rPr>
              <w:rFonts w:hint="eastAsia"/>
            </w:rPr>
            <w:t>单位：</w:t>
          </w:r>
          <w:sdt>
            <w:sdtPr>
              <w:rPr>
                <w:rFonts w:hint="eastAsia"/>
              </w:rPr>
              <w:alias w:val="单位：其他非流动金融资产"/>
              <w:tag w:val="_GBC_5b71e344ee4a4b75b4e1ad6a64a64951"/>
              <w:id w:val="1599746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其他非流动金融资产"/>
              <w:tag w:val="_GBC_328ac62ac4c04ba5a240d189e78801d2"/>
              <w:id w:val="-1177582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248"/>
            <w:gridCol w:w="2269"/>
            <w:gridCol w:w="2306"/>
          </w:tblGrid>
          <w:tr w:rsidR="007E7472" w14:paraId="48D140EA" w14:textId="77777777" w:rsidTr="007E7472">
            <w:trPr>
              <w:trHeight w:val="340"/>
              <w:jc w:val="center"/>
            </w:trPr>
            <w:sdt>
              <w:sdtPr>
                <w:rPr>
                  <w:rFonts w:asciiTheme="minorEastAsia" w:eastAsiaTheme="minorEastAsia" w:hAnsiTheme="minorEastAsia"/>
                </w:rPr>
                <w:tag w:val="_PLD_368e897e0b6d4c33891110578462f85a"/>
                <w:id w:val="-1441368821"/>
                <w:lock w:val="sdtLocked"/>
              </w:sdtPr>
              <w:sdtEndPr/>
              <w:sdtContent>
                <w:tc>
                  <w:tcPr>
                    <w:tcW w:w="2407" w:type="pct"/>
                    <w:shd w:val="clear" w:color="auto" w:fill="auto"/>
                    <w:vAlign w:val="center"/>
                  </w:tcPr>
                  <w:p w14:paraId="2376DD0A" w14:textId="77777777" w:rsidR="007E7472" w:rsidRDefault="00EC1269">
                    <w:pPr>
                      <w:jc w:val="center"/>
                      <w:rPr>
                        <w:rFonts w:asciiTheme="minorEastAsia" w:eastAsiaTheme="minorEastAsia" w:hAnsiTheme="minorEastAsia"/>
                      </w:rPr>
                    </w:pPr>
                    <w:r>
                      <w:rPr>
                        <w:rFonts w:asciiTheme="minorEastAsia" w:eastAsiaTheme="minorEastAsia" w:hAnsiTheme="minorEastAsia" w:hint="eastAsia"/>
                      </w:rPr>
                      <w:t>项目</w:t>
                    </w:r>
                  </w:p>
                </w:tc>
              </w:sdtContent>
            </w:sdt>
            <w:sdt>
              <w:sdtPr>
                <w:rPr>
                  <w:rFonts w:asciiTheme="minorEastAsia" w:eastAsiaTheme="minorEastAsia" w:hAnsiTheme="minorEastAsia"/>
                </w:rPr>
                <w:tag w:val="_PLD_1b9292064fbf4f529dddfa8a709ecb23"/>
                <w:id w:val="1977877747"/>
                <w:lock w:val="sdtLocked"/>
              </w:sdtPr>
              <w:sdtEndPr/>
              <w:sdtContent>
                <w:tc>
                  <w:tcPr>
                    <w:tcW w:w="1285" w:type="pct"/>
                    <w:tcBorders>
                      <w:bottom w:val="single" w:sz="6" w:space="0" w:color="auto"/>
                    </w:tcBorders>
                    <w:shd w:val="clear" w:color="auto" w:fill="auto"/>
                    <w:vAlign w:val="center"/>
                  </w:tcPr>
                  <w:p w14:paraId="220A8C85" w14:textId="77777777" w:rsidR="007E7472" w:rsidRDefault="00EC1269">
                    <w:pPr>
                      <w:autoSpaceDE w:val="0"/>
                      <w:autoSpaceDN w:val="0"/>
                      <w:adjustRightInd w:val="0"/>
                      <w:snapToGrid w:val="0"/>
                      <w:spacing w:line="240" w:lineRule="atLeast"/>
                      <w:jc w:val="center"/>
                      <w:rPr>
                        <w:rFonts w:asciiTheme="minorEastAsia" w:eastAsiaTheme="minorEastAsia" w:hAnsiTheme="minorEastAsia"/>
                      </w:rPr>
                    </w:pPr>
                    <w:r>
                      <w:rPr>
                        <w:rFonts w:asciiTheme="minorEastAsia" w:eastAsiaTheme="minorEastAsia" w:hAnsiTheme="minorEastAsia" w:hint="eastAsia"/>
                      </w:rPr>
                      <w:t>期末余额</w:t>
                    </w:r>
                  </w:p>
                </w:tc>
              </w:sdtContent>
            </w:sdt>
            <w:sdt>
              <w:sdtPr>
                <w:rPr>
                  <w:rFonts w:asciiTheme="minorEastAsia" w:eastAsiaTheme="minorEastAsia" w:hAnsiTheme="minorEastAsia"/>
                </w:rPr>
                <w:tag w:val="_PLD_eb417a8c21ba4afd967834600316003d"/>
                <w:id w:val="507877596"/>
                <w:lock w:val="sdtLocked"/>
              </w:sdtPr>
              <w:sdtEndPr/>
              <w:sdtContent>
                <w:tc>
                  <w:tcPr>
                    <w:tcW w:w="1307" w:type="pct"/>
                    <w:shd w:val="clear" w:color="auto" w:fill="auto"/>
                    <w:vAlign w:val="center"/>
                  </w:tcPr>
                  <w:p w14:paraId="09BD9386" w14:textId="77777777" w:rsidR="007E7472" w:rsidRDefault="00EC1269">
                    <w:pPr>
                      <w:autoSpaceDE w:val="0"/>
                      <w:autoSpaceDN w:val="0"/>
                      <w:adjustRightInd w:val="0"/>
                      <w:snapToGrid w:val="0"/>
                      <w:spacing w:line="240" w:lineRule="atLeast"/>
                      <w:jc w:val="center"/>
                      <w:rPr>
                        <w:rFonts w:asciiTheme="minorEastAsia" w:eastAsiaTheme="minorEastAsia" w:hAnsiTheme="minorEastAsia"/>
                      </w:rPr>
                    </w:pPr>
                    <w:r>
                      <w:rPr>
                        <w:rFonts w:asciiTheme="minorEastAsia" w:eastAsiaTheme="minorEastAsia" w:hAnsiTheme="minorEastAsia" w:hint="eastAsia"/>
                      </w:rPr>
                      <w:t>期初余额</w:t>
                    </w:r>
                  </w:p>
                </w:tc>
              </w:sdtContent>
            </w:sdt>
          </w:tr>
          <w:sdt>
            <w:sdtPr>
              <w:rPr>
                <w:rFonts w:asciiTheme="minorEastAsia" w:eastAsiaTheme="minorEastAsia" w:hAnsiTheme="minorEastAsia"/>
              </w:rPr>
              <w:alias w:val="其他非流动金融资产明细"/>
              <w:tag w:val="_TUP_ba201d1821ad43148235a005a3d4c647"/>
              <w:id w:val="-1740396284"/>
              <w:lock w:val="sdtLocked"/>
            </w:sdtPr>
            <w:sdtEndPr/>
            <w:sdtContent>
              <w:tr w:rsidR="007E7472" w14:paraId="18FC48E2" w14:textId="77777777" w:rsidTr="007E7472">
                <w:trPr>
                  <w:trHeight w:val="340"/>
                  <w:jc w:val="center"/>
                </w:trPr>
                <w:tc>
                  <w:tcPr>
                    <w:tcW w:w="2407" w:type="pct"/>
                    <w:shd w:val="clear" w:color="auto" w:fill="auto"/>
                    <w:vAlign w:val="center"/>
                  </w:tcPr>
                  <w:p w14:paraId="1EB4248E" w14:textId="77777777" w:rsidR="007E7472" w:rsidRDefault="00EC1269">
                    <w:pPr>
                      <w:rPr>
                        <w:rFonts w:asciiTheme="minorEastAsia" w:eastAsiaTheme="minorEastAsia" w:hAnsiTheme="minorEastAsia"/>
                      </w:rPr>
                    </w:pPr>
                    <w:r>
                      <w:rPr>
                        <w:rFonts w:asciiTheme="minorEastAsia" w:eastAsiaTheme="minorEastAsia" w:hAnsiTheme="minorEastAsia"/>
                      </w:rPr>
                      <w:t>特别收益权（附注七、2）</w:t>
                    </w:r>
                  </w:p>
                </w:tc>
                <w:tc>
                  <w:tcPr>
                    <w:tcW w:w="1285" w:type="pct"/>
                    <w:tcBorders>
                      <w:top w:val="single" w:sz="6" w:space="0" w:color="auto"/>
                      <w:bottom w:val="single" w:sz="6" w:space="0" w:color="auto"/>
                    </w:tcBorders>
                    <w:shd w:val="clear" w:color="auto" w:fill="auto"/>
                    <w:vAlign w:val="center"/>
                  </w:tcPr>
                  <w:p w14:paraId="7FEB235D" w14:textId="77777777" w:rsidR="007E7472" w:rsidRDefault="00EC1269">
                    <w:pPr>
                      <w:jc w:val="right"/>
                      <w:rPr>
                        <w:rFonts w:asciiTheme="minorEastAsia" w:eastAsiaTheme="minorEastAsia" w:hAnsiTheme="minorEastAsia"/>
                      </w:rPr>
                    </w:pPr>
                    <w:r>
                      <w:rPr>
                        <w:rFonts w:asciiTheme="minorEastAsia" w:eastAsiaTheme="minorEastAsia" w:hAnsiTheme="minorEastAsia"/>
                      </w:rPr>
                      <w:t>957,104</w:t>
                    </w:r>
                  </w:p>
                </w:tc>
                <w:tc>
                  <w:tcPr>
                    <w:tcW w:w="1307" w:type="pct"/>
                    <w:shd w:val="clear" w:color="auto" w:fill="auto"/>
                    <w:vAlign w:val="center"/>
                  </w:tcPr>
                  <w:p w14:paraId="7AB8A76F" w14:textId="77777777" w:rsidR="007E7472" w:rsidRDefault="00EC1269">
                    <w:pPr>
                      <w:jc w:val="right"/>
                      <w:rPr>
                        <w:rFonts w:asciiTheme="minorEastAsia" w:eastAsiaTheme="minorEastAsia" w:hAnsiTheme="minorEastAsia"/>
                      </w:rPr>
                    </w:pPr>
                    <w:r>
                      <w:rPr>
                        <w:rFonts w:asciiTheme="minorEastAsia" w:eastAsiaTheme="minorEastAsia" w:hAnsiTheme="minorEastAsia"/>
                      </w:rPr>
                      <w:t>1,004,040</w:t>
                    </w:r>
                  </w:p>
                </w:tc>
              </w:tr>
            </w:sdtContent>
          </w:sdt>
          <w:sdt>
            <w:sdtPr>
              <w:rPr>
                <w:rFonts w:asciiTheme="minorEastAsia" w:eastAsiaTheme="minorEastAsia" w:hAnsiTheme="minorEastAsia"/>
              </w:rPr>
              <w:alias w:val="其他非流动金融资产明细"/>
              <w:tag w:val="_TUP_ba201d1821ad43148235a005a3d4c647"/>
              <w:id w:val="1373734688"/>
              <w:lock w:val="sdtLocked"/>
            </w:sdtPr>
            <w:sdtEndPr/>
            <w:sdtContent>
              <w:tr w:rsidR="007E7472" w14:paraId="0E391251" w14:textId="77777777" w:rsidTr="007E7472">
                <w:trPr>
                  <w:trHeight w:val="340"/>
                  <w:jc w:val="center"/>
                </w:trPr>
                <w:tc>
                  <w:tcPr>
                    <w:tcW w:w="2407" w:type="pct"/>
                    <w:shd w:val="clear" w:color="auto" w:fill="auto"/>
                    <w:vAlign w:val="center"/>
                  </w:tcPr>
                  <w:p w14:paraId="2184CDCF" w14:textId="77777777" w:rsidR="007E7472" w:rsidRDefault="00EC1269">
                    <w:pPr>
                      <w:rPr>
                        <w:rFonts w:asciiTheme="minorEastAsia" w:eastAsiaTheme="minorEastAsia" w:hAnsiTheme="minorEastAsia"/>
                      </w:rPr>
                    </w:pPr>
                    <w:r>
                      <w:rPr>
                        <w:rFonts w:asciiTheme="minorEastAsia" w:eastAsiaTheme="minorEastAsia" w:hAnsiTheme="minorEastAsia"/>
                      </w:rPr>
                      <w:t>榆林市榆阳区煤矿疏干水环境治理有限公司</w:t>
                    </w:r>
                  </w:p>
                </w:tc>
                <w:tc>
                  <w:tcPr>
                    <w:tcW w:w="1285" w:type="pct"/>
                    <w:tcBorders>
                      <w:top w:val="single" w:sz="6" w:space="0" w:color="auto"/>
                      <w:bottom w:val="single" w:sz="6" w:space="0" w:color="auto"/>
                    </w:tcBorders>
                    <w:shd w:val="clear" w:color="auto" w:fill="auto"/>
                    <w:vAlign w:val="center"/>
                  </w:tcPr>
                  <w:p w14:paraId="7ED85184" w14:textId="77777777" w:rsidR="007E7472" w:rsidRDefault="00EC1269">
                    <w:pPr>
                      <w:jc w:val="right"/>
                      <w:rPr>
                        <w:rFonts w:asciiTheme="minorEastAsia" w:eastAsiaTheme="minorEastAsia" w:hAnsiTheme="minorEastAsia"/>
                      </w:rPr>
                    </w:pPr>
                    <w:r>
                      <w:rPr>
                        <w:rFonts w:asciiTheme="minorEastAsia" w:eastAsiaTheme="minorEastAsia" w:hAnsiTheme="minorEastAsia"/>
                      </w:rPr>
                      <w:t>164,519</w:t>
                    </w:r>
                  </w:p>
                </w:tc>
                <w:tc>
                  <w:tcPr>
                    <w:tcW w:w="1307" w:type="pct"/>
                    <w:shd w:val="clear" w:color="auto" w:fill="auto"/>
                    <w:vAlign w:val="center"/>
                  </w:tcPr>
                  <w:p w14:paraId="4BBC348E" w14:textId="77777777" w:rsidR="007E7472" w:rsidRDefault="00EC1269">
                    <w:pPr>
                      <w:jc w:val="right"/>
                      <w:rPr>
                        <w:rFonts w:asciiTheme="minorEastAsia" w:eastAsiaTheme="minorEastAsia" w:hAnsiTheme="minorEastAsia"/>
                      </w:rPr>
                    </w:pPr>
                    <w:r>
                      <w:rPr>
                        <w:rFonts w:asciiTheme="minorEastAsia" w:eastAsiaTheme="minorEastAsia" w:hAnsiTheme="minorEastAsia"/>
                      </w:rPr>
                      <w:t>165,060</w:t>
                    </w:r>
                  </w:p>
                </w:tc>
              </w:tr>
            </w:sdtContent>
          </w:sdt>
          <w:sdt>
            <w:sdtPr>
              <w:rPr>
                <w:rFonts w:asciiTheme="minorEastAsia" w:eastAsiaTheme="minorEastAsia" w:hAnsiTheme="minorEastAsia"/>
              </w:rPr>
              <w:alias w:val="其他非流动金融资产明细"/>
              <w:tag w:val="_TUP_ba201d1821ad43148235a005a3d4c647"/>
              <w:id w:val="1137919033"/>
              <w:lock w:val="sdtLocked"/>
            </w:sdtPr>
            <w:sdtEndPr/>
            <w:sdtContent>
              <w:tr w:rsidR="007E7472" w14:paraId="3E414B27" w14:textId="77777777" w:rsidTr="007E7472">
                <w:trPr>
                  <w:trHeight w:val="340"/>
                  <w:jc w:val="center"/>
                </w:trPr>
                <w:tc>
                  <w:tcPr>
                    <w:tcW w:w="2407" w:type="pct"/>
                    <w:shd w:val="clear" w:color="auto" w:fill="auto"/>
                    <w:vAlign w:val="center"/>
                  </w:tcPr>
                  <w:p w14:paraId="3E806207" w14:textId="77777777" w:rsidR="007E7472" w:rsidRDefault="00EC1269">
                    <w:pPr>
                      <w:rPr>
                        <w:rFonts w:asciiTheme="minorEastAsia" w:eastAsiaTheme="minorEastAsia" w:hAnsiTheme="minorEastAsia"/>
                      </w:rPr>
                    </w:pPr>
                    <w:r>
                      <w:rPr>
                        <w:rFonts w:asciiTheme="minorEastAsia" w:eastAsiaTheme="minorEastAsia" w:hAnsiTheme="minorEastAsia"/>
                      </w:rPr>
                      <w:t>陕西靖神铁路有限责任公司</w:t>
                    </w:r>
                  </w:p>
                </w:tc>
                <w:tc>
                  <w:tcPr>
                    <w:tcW w:w="1285" w:type="pct"/>
                    <w:tcBorders>
                      <w:top w:val="single" w:sz="6" w:space="0" w:color="auto"/>
                      <w:bottom w:val="single" w:sz="6" w:space="0" w:color="auto"/>
                    </w:tcBorders>
                    <w:shd w:val="clear" w:color="auto" w:fill="auto"/>
                    <w:vAlign w:val="center"/>
                  </w:tcPr>
                  <w:p w14:paraId="5E3D6DA6" w14:textId="77777777" w:rsidR="007E7472" w:rsidRDefault="00EC1269">
                    <w:pPr>
                      <w:jc w:val="right"/>
                      <w:rPr>
                        <w:rFonts w:asciiTheme="minorEastAsia" w:eastAsiaTheme="minorEastAsia" w:hAnsiTheme="minorEastAsia"/>
                      </w:rPr>
                    </w:pPr>
                    <w:r>
                      <w:rPr>
                        <w:rFonts w:asciiTheme="minorEastAsia" w:eastAsiaTheme="minorEastAsia" w:hAnsiTheme="minorEastAsia"/>
                      </w:rPr>
                      <w:t>165,060</w:t>
                    </w:r>
                  </w:p>
                </w:tc>
                <w:tc>
                  <w:tcPr>
                    <w:tcW w:w="1307" w:type="pct"/>
                    <w:shd w:val="clear" w:color="auto" w:fill="auto"/>
                    <w:vAlign w:val="center"/>
                  </w:tcPr>
                  <w:p w14:paraId="75A4619A" w14:textId="77777777" w:rsidR="007E7472" w:rsidRDefault="00EC1269">
                    <w:pPr>
                      <w:jc w:val="right"/>
                      <w:rPr>
                        <w:rFonts w:asciiTheme="minorEastAsia" w:eastAsiaTheme="minorEastAsia" w:hAnsiTheme="minorEastAsia"/>
                      </w:rPr>
                    </w:pPr>
                    <w:r>
                      <w:rPr>
                        <w:rFonts w:asciiTheme="minorEastAsia" w:eastAsiaTheme="minorEastAsia" w:hAnsiTheme="minorEastAsia"/>
                      </w:rPr>
                      <w:t>163,678</w:t>
                    </w:r>
                  </w:p>
                </w:tc>
              </w:tr>
            </w:sdtContent>
          </w:sdt>
          <w:sdt>
            <w:sdtPr>
              <w:rPr>
                <w:rFonts w:asciiTheme="minorEastAsia" w:eastAsiaTheme="minorEastAsia" w:hAnsiTheme="minorEastAsia"/>
              </w:rPr>
              <w:alias w:val="其他非流动金融资产明细"/>
              <w:tag w:val="_TUP_ba201d1821ad43148235a005a3d4c647"/>
              <w:id w:val="-1877765290"/>
              <w:lock w:val="sdtLocked"/>
            </w:sdtPr>
            <w:sdtEndPr/>
            <w:sdtContent>
              <w:tr w:rsidR="007E7472" w14:paraId="7416DB67" w14:textId="77777777" w:rsidTr="007E7472">
                <w:trPr>
                  <w:trHeight w:val="340"/>
                  <w:jc w:val="center"/>
                </w:trPr>
                <w:tc>
                  <w:tcPr>
                    <w:tcW w:w="2407" w:type="pct"/>
                    <w:shd w:val="clear" w:color="auto" w:fill="auto"/>
                    <w:vAlign w:val="center"/>
                  </w:tcPr>
                  <w:p w14:paraId="69ECFAE5" w14:textId="77777777" w:rsidR="007E7472" w:rsidRDefault="00EC1269">
                    <w:pPr>
                      <w:rPr>
                        <w:rFonts w:asciiTheme="minorEastAsia" w:eastAsiaTheme="minorEastAsia" w:hAnsiTheme="minorEastAsia"/>
                      </w:rPr>
                    </w:pPr>
                    <w:r>
                      <w:rPr>
                        <w:rFonts w:asciiTheme="minorEastAsia" w:eastAsiaTheme="minorEastAsia" w:hAnsiTheme="minorEastAsia"/>
                      </w:rPr>
                      <w:t>鄂尔多斯南部铁路有限责任公司</w:t>
                    </w:r>
                  </w:p>
                </w:tc>
                <w:tc>
                  <w:tcPr>
                    <w:tcW w:w="1285" w:type="pct"/>
                    <w:tcBorders>
                      <w:top w:val="single" w:sz="6" w:space="0" w:color="auto"/>
                      <w:bottom w:val="single" w:sz="6" w:space="0" w:color="auto"/>
                    </w:tcBorders>
                    <w:shd w:val="clear" w:color="auto" w:fill="auto"/>
                    <w:vAlign w:val="center"/>
                  </w:tcPr>
                  <w:p w14:paraId="43621A54" w14:textId="77777777" w:rsidR="007E7472" w:rsidRDefault="00EC1269">
                    <w:pPr>
                      <w:jc w:val="right"/>
                      <w:rPr>
                        <w:rFonts w:asciiTheme="minorEastAsia" w:eastAsiaTheme="minorEastAsia" w:hAnsiTheme="minorEastAsia"/>
                      </w:rPr>
                    </w:pPr>
                    <w:r>
                      <w:rPr>
                        <w:rFonts w:asciiTheme="minorEastAsia" w:eastAsiaTheme="minorEastAsia" w:hAnsiTheme="minorEastAsia"/>
                      </w:rPr>
                      <w:t>110,076</w:t>
                    </w:r>
                  </w:p>
                </w:tc>
                <w:tc>
                  <w:tcPr>
                    <w:tcW w:w="1307" w:type="pct"/>
                    <w:shd w:val="clear" w:color="auto" w:fill="auto"/>
                    <w:vAlign w:val="center"/>
                  </w:tcPr>
                  <w:p w14:paraId="2598DB03" w14:textId="77777777" w:rsidR="007E7472" w:rsidRDefault="00EC1269">
                    <w:pPr>
                      <w:jc w:val="right"/>
                      <w:rPr>
                        <w:rFonts w:asciiTheme="minorEastAsia" w:eastAsiaTheme="minorEastAsia" w:hAnsiTheme="minorEastAsia"/>
                      </w:rPr>
                    </w:pPr>
                    <w:r>
                      <w:rPr>
                        <w:rFonts w:asciiTheme="minorEastAsia" w:eastAsiaTheme="minorEastAsia" w:hAnsiTheme="minorEastAsia"/>
                      </w:rPr>
                      <w:t>110,076</w:t>
                    </w:r>
                  </w:p>
                </w:tc>
              </w:tr>
            </w:sdtContent>
          </w:sdt>
          <w:sdt>
            <w:sdtPr>
              <w:rPr>
                <w:rFonts w:asciiTheme="minorEastAsia" w:eastAsiaTheme="minorEastAsia" w:hAnsiTheme="minorEastAsia"/>
              </w:rPr>
              <w:alias w:val="其他非流动金融资产明细"/>
              <w:tag w:val="_TUP_ba201d1821ad43148235a005a3d4c647"/>
              <w:id w:val="-1708018244"/>
              <w:lock w:val="sdtLocked"/>
            </w:sdtPr>
            <w:sdtEndPr/>
            <w:sdtContent>
              <w:tr w:rsidR="007E7472" w14:paraId="1E1B2450" w14:textId="77777777" w:rsidTr="007E7472">
                <w:trPr>
                  <w:trHeight w:val="340"/>
                  <w:jc w:val="center"/>
                </w:trPr>
                <w:tc>
                  <w:tcPr>
                    <w:tcW w:w="2407" w:type="pct"/>
                    <w:shd w:val="clear" w:color="auto" w:fill="auto"/>
                    <w:vAlign w:val="center"/>
                  </w:tcPr>
                  <w:p w14:paraId="2BEBEC0A" w14:textId="77777777" w:rsidR="007E7472" w:rsidRDefault="00EC1269">
                    <w:pPr>
                      <w:rPr>
                        <w:rFonts w:asciiTheme="minorEastAsia" w:eastAsiaTheme="minorEastAsia" w:hAnsiTheme="minorEastAsia"/>
                      </w:rPr>
                    </w:pPr>
                    <w:r>
                      <w:rPr>
                        <w:rFonts w:asciiTheme="minorEastAsia" w:eastAsiaTheme="minorEastAsia" w:hAnsiTheme="minorEastAsia"/>
                      </w:rPr>
                      <w:t>杭州时代鼎丰创业投资合伙企业(有限合伙)</w:t>
                    </w:r>
                  </w:p>
                </w:tc>
                <w:tc>
                  <w:tcPr>
                    <w:tcW w:w="1285" w:type="pct"/>
                    <w:tcBorders>
                      <w:top w:val="single" w:sz="6" w:space="0" w:color="auto"/>
                      <w:bottom w:val="single" w:sz="6" w:space="0" w:color="auto"/>
                    </w:tcBorders>
                    <w:shd w:val="clear" w:color="auto" w:fill="auto"/>
                    <w:vAlign w:val="center"/>
                  </w:tcPr>
                  <w:p w14:paraId="14CB0B96" w14:textId="77777777" w:rsidR="007E7472" w:rsidRDefault="00EC1269">
                    <w:pPr>
                      <w:jc w:val="right"/>
                      <w:rPr>
                        <w:rFonts w:asciiTheme="minorEastAsia" w:eastAsiaTheme="minorEastAsia" w:hAnsiTheme="minorEastAsia"/>
                      </w:rPr>
                    </w:pPr>
                    <w:r>
                      <w:rPr>
                        <w:rFonts w:asciiTheme="minorEastAsia" w:eastAsiaTheme="minorEastAsia" w:hAnsiTheme="minorEastAsia"/>
                      </w:rPr>
                      <w:t>58,754</w:t>
                    </w:r>
                  </w:p>
                </w:tc>
                <w:tc>
                  <w:tcPr>
                    <w:tcW w:w="1307" w:type="pct"/>
                    <w:shd w:val="clear" w:color="auto" w:fill="auto"/>
                    <w:vAlign w:val="center"/>
                  </w:tcPr>
                  <w:p w14:paraId="4C8825B3" w14:textId="77777777" w:rsidR="007E7472" w:rsidRDefault="00EC1269">
                    <w:pPr>
                      <w:jc w:val="right"/>
                      <w:rPr>
                        <w:rFonts w:asciiTheme="minorEastAsia" w:eastAsiaTheme="minorEastAsia" w:hAnsiTheme="minorEastAsia"/>
                      </w:rPr>
                    </w:pPr>
                    <w:r>
                      <w:rPr>
                        <w:rFonts w:asciiTheme="minorEastAsia" w:eastAsiaTheme="minorEastAsia" w:hAnsiTheme="minorEastAsia"/>
                      </w:rPr>
                      <w:t>65,907</w:t>
                    </w:r>
                  </w:p>
                </w:tc>
              </w:tr>
            </w:sdtContent>
          </w:sdt>
          <w:sdt>
            <w:sdtPr>
              <w:rPr>
                <w:rFonts w:asciiTheme="minorEastAsia" w:eastAsiaTheme="minorEastAsia" w:hAnsiTheme="minorEastAsia"/>
              </w:rPr>
              <w:alias w:val="其他非流动金融资产明细"/>
              <w:tag w:val="_TUP_ba201d1821ad43148235a005a3d4c647"/>
              <w:id w:val="1651088763"/>
              <w:lock w:val="sdtLocked"/>
            </w:sdtPr>
            <w:sdtEndPr/>
            <w:sdtContent>
              <w:tr w:rsidR="007E7472" w14:paraId="52445CAC" w14:textId="77777777" w:rsidTr="007E7472">
                <w:trPr>
                  <w:trHeight w:val="340"/>
                  <w:jc w:val="center"/>
                </w:trPr>
                <w:tc>
                  <w:tcPr>
                    <w:tcW w:w="2407" w:type="pct"/>
                    <w:shd w:val="clear" w:color="auto" w:fill="auto"/>
                    <w:vAlign w:val="center"/>
                  </w:tcPr>
                  <w:p w14:paraId="124CD434" w14:textId="77777777" w:rsidR="007E7472" w:rsidRDefault="00EC1269">
                    <w:pPr>
                      <w:rPr>
                        <w:rFonts w:asciiTheme="minorEastAsia" w:eastAsiaTheme="minorEastAsia" w:hAnsiTheme="minorEastAsia"/>
                      </w:rPr>
                    </w:pPr>
                    <w:r>
                      <w:rPr>
                        <w:rFonts w:asciiTheme="minorEastAsia" w:eastAsiaTheme="minorEastAsia" w:hAnsiTheme="minorEastAsia"/>
                      </w:rPr>
                      <w:t>上海骥琛企业管理合伙企业（有限合伙）</w:t>
                    </w:r>
                  </w:p>
                </w:tc>
                <w:tc>
                  <w:tcPr>
                    <w:tcW w:w="1285" w:type="pct"/>
                    <w:tcBorders>
                      <w:top w:val="single" w:sz="6" w:space="0" w:color="auto"/>
                      <w:bottom w:val="single" w:sz="6" w:space="0" w:color="auto"/>
                    </w:tcBorders>
                    <w:shd w:val="clear" w:color="auto" w:fill="auto"/>
                    <w:vAlign w:val="center"/>
                  </w:tcPr>
                  <w:p w14:paraId="287578C7" w14:textId="77777777" w:rsidR="007E7472" w:rsidRDefault="00EC1269">
                    <w:pPr>
                      <w:jc w:val="right"/>
                      <w:rPr>
                        <w:rFonts w:asciiTheme="minorEastAsia" w:eastAsiaTheme="minorEastAsia" w:hAnsiTheme="minorEastAsia"/>
                      </w:rPr>
                    </w:pPr>
                    <w:r>
                      <w:rPr>
                        <w:rFonts w:asciiTheme="minorEastAsia" w:eastAsiaTheme="minorEastAsia" w:hAnsiTheme="minorEastAsia"/>
                      </w:rPr>
                      <w:t>30,000</w:t>
                    </w:r>
                  </w:p>
                </w:tc>
                <w:tc>
                  <w:tcPr>
                    <w:tcW w:w="1307" w:type="pct"/>
                    <w:shd w:val="clear" w:color="auto" w:fill="auto"/>
                    <w:vAlign w:val="center"/>
                  </w:tcPr>
                  <w:p w14:paraId="3DA73260" w14:textId="77777777" w:rsidR="007E7472" w:rsidRDefault="00EC1269">
                    <w:pPr>
                      <w:jc w:val="right"/>
                      <w:rPr>
                        <w:rFonts w:asciiTheme="minorEastAsia" w:eastAsiaTheme="minorEastAsia" w:hAnsiTheme="minorEastAsia"/>
                      </w:rPr>
                    </w:pPr>
                    <w:r>
                      <w:rPr>
                        <w:rFonts w:asciiTheme="minorEastAsia" w:eastAsiaTheme="minorEastAsia" w:hAnsiTheme="minorEastAsia"/>
                      </w:rPr>
                      <w:t>30,000</w:t>
                    </w:r>
                  </w:p>
                </w:tc>
              </w:tr>
            </w:sdtContent>
          </w:sdt>
          <w:tr w:rsidR="007E7472" w14:paraId="31AF0FA8" w14:textId="77777777" w:rsidTr="007E7472">
            <w:trPr>
              <w:trHeight w:val="340"/>
              <w:jc w:val="center"/>
            </w:trPr>
            <w:sdt>
              <w:sdtPr>
                <w:rPr>
                  <w:rFonts w:asciiTheme="minorEastAsia" w:eastAsiaTheme="minorEastAsia" w:hAnsiTheme="minorEastAsia"/>
                </w:rPr>
                <w:tag w:val="_PLD_fab894f676854d2a96dbf6e1d97540a1"/>
                <w:id w:val="-948305374"/>
                <w:lock w:val="sdtLocked"/>
              </w:sdtPr>
              <w:sdtEndPr/>
              <w:sdtContent>
                <w:tc>
                  <w:tcPr>
                    <w:tcW w:w="2407" w:type="pct"/>
                    <w:shd w:val="clear" w:color="auto" w:fill="auto"/>
                    <w:vAlign w:val="center"/>
                  </w:tcPr>
                  <w:p w14:paraId="23A41D7C" w14:textId="77777777" w:rsidR="007E7472" w:rsidRDefault="00EC1269">
                    <w:pPr>
                      <w:jc w:val="center"/>
                      <w:rPr>
                        <w:rFonts w:asciiTheme="minorEastAsia" w:eastAsiaTheme="minorEastAsia" w:hAnsiTheme="minorEastAsia"/>
                      </w:rPr>
                    </w:pPr>
                    <w:r>
                      <w:rPr>
                        <w:rFonts w:asciiTheme="minorEastAsia" w:eastAsiaTheme="minorEastAsia" w:hAnsiTheme="minorEastAsia" w:hint="eastAsia"/>
                      </w:rPr>
                      <w:t>合计</w:t>
                    </w:r>
                  </w:p>
                </w:tc>
              </w:sdtContent>
            </w:sdt>
            <w:tc>
              <w:tcPr>
                <w:tcW w:w="1285" w:type="pct"/>
                <w:tcBorders>
                  <w:top w:val="single" w:sz="6" w:space="0" w:color="auto"/>
                  <w:bottom w:val="single" w:sz="4" w:space="0" w:color="auto"/>
                </w:tcBorders>
                <w:shd w:val="clear" w:color="auto" w:fill="auto"/>
                <w:vAlign w:val="center"/>
              </w:tcPr>
              <w:p w14:paraId="6A0BE035" w14:textId="77777777" w:rsidR="007E7472" w:rsidRDefault="00EC1269">
                <w:pPr>
                  <w:jc w:val="right"/>
                  <w:rPr>
                    <w:rFonts w:asciiTheme="minorEastAsia" w:eastAsiaTheme="minorEastAsia" w:hAnsiTheme="minorEastAsia"/>
                  </w:rPr>
                </w:pPr>
                <w:r>
                  <w:rPr>
                    <w:rFonts w:asciiTheme="minorEastAsia" w:eastAsiaTheme="minorEastAsia" w:hAnsiTheme="minorEastAsia"/>
                  </w:rPr>
                  <w:t>1,485,513</w:t>
                </w:r>
              </w:p>
            </w:tc>
            <w:tc>
              <w:tcPr>
                <w:tcW w:w="1307" w:type="pct"/>
                <w:shd w:val="clear" w:color="auto" w:fill="auto"/>
                <w:vAlign w:val="center"/>
              </w:tcPr>
              <w:p w14:paraId="64A53A00" w14:textId="77777777" w:rsidR="007E7472" w:rsidRDefault="00EC1269">
                <w:pPr>
                  <w:jc w:val="right"/>
                  <w:rPr>
                    <w:rFonts w:asciiTheme="minorEastAsia" w:eastAsiaTheme="minorEastAsia" w:hAnsiTheme="minorEastAsia"/>
                  </w:rPr>
                </w:pPr>
                <w:r>
                  <w:rPr>
                    <w:rFonts w:asciiTheme="minorEastAsia" w:eastAsiaTheme="minorEastAsia" w:hAnsiTheme="minorEastAsia"/>
                  </w:rPr>
                  <w:t>1,538,761</w:t>
                </w:r>
              </w:p>
            </w:tc>
          </w:tr>
        </w:tbl>
        <w:p w14:paraId="0C2C2B6C" w14:textId="77777777" w:rsidR="007E7472" w:rsidRDefault="00C8327E"/>
      </w:sdtContent>
    </w:sdt>
    <w:bookmarkEnd w:id="216"/>
    <w:p w14:paraId="158A8FBA" w14:textId="77777777" w:rsidR="007E7472" w:rsidRDefault="00EC1269" w:rsidP="00162493">
      <w:pPr>
        <w:pStyle w:val="3"/>
        <w:numPr>
          <w:ilvl w:val="0"/>
          <w:numId w:val="62"/>
        </w:numPr>
      </w:pPr>
      <w:r>
        <w:rPr>
          <w:rFonts w:hint="eastAsia"/>
        </w:rPr>
        <w:t>投资性房地产</w:t>
      </w:r>
    </w:p>
    <w:p w14:paraId="7FB87C9A" w14:textId="77777777" w:rsidR="007E7472" w:rsidRDefault="00EC1269">
      <w:r>
        <w:t>投资性房地产</w:t>
      </w:r>
      <w:r>
        <w:rPr>
          <w:rFonts w:hint="eastAsia"/>
        </w:rPr>
        <w:t>计量模式</w:t>
      </w:r>
    </w:p>
    <w:sdt>
      <w:sdtPr>
        <w:rPr>
          <w:rFonts w:ascii="宋体" w:hAnsi="宋体" w:cs="宋体" w:hint="eastAsia"/>
          <w:b w:val="0"/>
          <w:bCs w:val="0"/>
          <w:kern w:val="0"/>
          <w:szCs w:val="21"/>
        </w:rPr>
        <w:tag w:val="_GBC_528a899f5044443fa0dd6606f304d80d"/>
        <w:id w:val="1387832765"/>
        <w:lock w:val="sdtLocked"/>
        <w:placeholder>
          <w:docPart w:val="GBC22222222222222222222222222222"/>
        </w:placeholder>
      </w:sdtPr>
      <w:sdtEndPr>
        <w:rPr>
          <w:rFonts w:cstheme="minorBidi"/>
        </w:rPr>
      </w:sdtEndPr>
      <w:sdtContent>
        <w:p w14:paraId="63911C53" w14:textId="77777777" w:rsidR="007E7472" w:rsidRDefault="00EC1269" w:rsidP="00162493">
          <w:pPr>
            <w:pStyle w:val="4"/>
            <w:numPr>
              <w:ilvl w:val="0"/>
              <w:numId w:val="73"/>
            </w:numPr>
            <w:rPr>
              <w:color w:val="FF00FF"/>
            </w:rPr>
          </w:pPr>
          <w:r>
            <w:rPr>
              <w:rFonts w:hint="eastAsia"/>
            </w:rPr>
            <w:t>采用</w:t>
          </w:r>
          <w:r>
            <w:t>公允价值计量</w:t>
          </w:r>
          <w:r>
            <w:rPr>
              <w:rFonts w:hint="eastAsia"/>
            </w:rPr>
            <w:t>模式</w:t>
          </w:r>
          <w:r>
            <w:t>的投资性房地产</w:t>
          </w:r>
        </w:p>
        <w:p w14:paraId="50F88A12" w14:textId="6799819C" w:rsidR="007E7472" w:rsidRDefault="00EC1269">
          <w:pPr>
            <w:jc w:val="right"/>
          </w:pPr>
          <w:r>
            <w:rPr>
              <w:rFonts w:hint="eastAsia"/>
            </w:rPr>
            <w:t>单位：</w:t>
          </w:r>
          <w:sdt>
            <w:sdtPr>
              <w:rPr>
                <w:rFonts w:hint="eastAsia"/>
              </w:rPr>
              <w:alias w:val="单位：财务附注：按公允价值计量的投资性房地产"/>
              <w:tag w:val="_GBC_63b8278d283447408b8acb8a673afc1e"/>
              <w:id w:val="-21397192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按公允价值计量的投资性房地产"/>
              <w:tag w:val="_GBC_ab727728b2474f9faacae67c00bf0afe"/>
              <w:id w:val="-1555001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6"/>
            <w:gridCol w:w="2566"/>
            <w:gridCol w:w="2511"/>
          </w:tblGrid>
          <w:tr w:rsidR="007E7472" w14:paraId="31C74BF5" w14:textId="77777777">
            <w:trPr>
              <w:trHeight w:val="272"/>
            </w:trPr>
            <w:sdt>
              <w:sdtPr>
                <w:tag w:val="_PLD_5c8971a7643e473e8da0cb49b691de17"/>
                <w:id w:val="834735654"/>
                <w:lock w:val="sdtLocked"/>
              </w:sdtPr>
              <w:sdtEndPr/>
              <w:sdtContent>
                <w:tc>
                  <w:tcPr>
                    <w:tcW w:w="2123" w:type="pct"/>
                    <w:tcBorders>
                      <w:top w:val="single" w:sz="4" w:space="0" w:color="auto"/>
                      <w:left w:val="single" w:sz="4" w:space="0" w:color="auto"/>
                      <w:bottom w:val="single" w:sz="4" w:space="0" w:color="auto"/>
                      <w:right w:val="single" w:sz="4" w:space="0" w:color="auto"/>
                    </w:tcBorders>
                    <w:shd w:val="clear" w:color="auto" w:fill="auto"/>
                    <w:vAlign w:val="center"/>
                  </w:tcPr>
                  <w:p w14:paraId="69D5C049" w14:textId="77777777" w:rsidR="007E7472" w:rsidRDefault="00EC1269">
                    <w:pPr>
                      <w:jc w:val="center"/>
                    </w:pPr>
                    <w:r>
                      <w:rPr>
                        <w:rFonts w:hint="eastAsia"/>
                      </w:rPr>
                      <w:t>项目</w:t>
                    </w:r>
                  </w:p>
                </w:tc>
              </w:sdtContent>
            </w:sdt>
            <w:sdt>
              <w:sdtPr>
                <w:tag w:val="_PLD_6b7361d51ce54edfa90bd144c75a07e6"/>
                <w:id w:val="594673128"/>
                <w:lock w:val="sdtLocked"/>
              </w:sdtPr>
              <w:sdtEndPr/>
              <w:sdtContent>
                <w:tc>
                  <w:tcPr>
                    <w:tcW w:w="1454" w:type="pct"/>
                    <w:tcBorders>
                      <w:top w:val="single" w:sz="4" w:space="0" w:color="auto"/>
                      <w:left w:val="single" w:sz="4" w:space="0" w:color="auto"/>
                      <w:bottom w:val="single" w:sz="4" w:space="0" w:color="auto"/>
                      <w:right w:val="single" w:sz="4" w:space="0" w:color="auto"/>
                    </w:tcBorders>
                    <w:shd w:val="clear" w:color="auto" w:fill="auto"/>
                    <w:vAlign w:val="center"/>
                  </w:tcPr>
                  <w:p w14:paraId="483E9200" w14:textId="77777777" w:rsidR="007E7472" w:rsidRDefault="00EC1269">
                    <w:pPr>
                      <w:jc w:val="center"/>
                    </w:pPr>
                    <w:r>
                      <w:rPr>
                        <w:rFonts w:hint="eastAsia"/>
                      </w:rPr>
                      <w:t>房屋、建筑物</w:t>
                    </w:r>
                  </w:p>
                </w:tc>
              </w:sdtContent>
            </w:sdt>
            <w:sdt>
              <w:sdtPr>
                <w:tag w:val="_PLD_089c0234bd304e26899493c36cb6a6e7"/>
                <w:id w:val="400334260"/>
                <w:lock w:val="sdtLocked"/>
              </w:sdtPr>
              <w:sdtEndPr/>
              <w:sdtContent>
                <w:tc>
                  <w:tcPr>
                    <w:tcW w:w="1423" w:type="pct"/>
                    <w:tcBorders>
                      <w:top w:val="single" w:sz="4" w:space="0" w:color="auto"/>
                      <w:left w:val="single" w:sz="4" w:space="0" w:color="auto"/>
                      <w:bottom w:val="single" w:sz="4" w:space="0" w:color="auto"/>
                      <w:right w:val="single" w:sz="4" w:space="0" w:color="auto"/>
                    </w:tcBorders>
                    <w:shd w:val="clear" w:color="auto" w:fill="auto"/>
                    <w:vAlign w:val="center"/>
                  </w:tcPr>
                  <w:p w14:paraId="2373EFE8" w14:textId="77777777" w:rsidR="007E7472" w:rsidRDefault="00EC1269">
                    <w:pPr>
                      <w:jc w:val="center"/>
                    </w:pPr>
                    <w:r>
                      <w:rPr>
                        <w:rFonts w:hint="eastAsia"/>
                      </w:rPr>
                      <w:t>合计</w:t>
                    </w:r>
                  </w:p>
                </w:tc>
              </w:sdtContent>
            </w:sdt>
          </w:tr>
          <w:tr w:rsidR="007E7472" w14:paraId="4669DAFD" w14:textId="77777777" w:rsidTr="007E7472">
            <w:trPr>
              <w:trHeight w:val="340"/>
            </w:trPr>
            <w:sdt>
              <w:sdtPr>
                <w:tag w:val="_PLD_d61dcf5ae5e74a7bb03b2783082506fe"/>
                <w:id w:val="1929390628"/>
                <w:lock w:val="sdtLocked"/>
              </w:sdtPr>
              <w:sdtEndPr/>
              <w:sdtContent>
                <w:tc>
                  <w:tcPr>
                    <w:tcW w:w="2123" w:type="pct"/>
                    <w:tcBorders>
                      <w:top w:val="single" w:sz="4" w:space="0" w:color="auto"/>
                      <w:left w:val="single" w:sz="4" w:space="0" w:color="auto"/>
                      <w:bottom w:val="single" w:sz="4" w:space="0" w:color="auto"/>
                      <w:right w:val="single" w:sz="4" w:space="0" w:color="auto"/>
                    </w:tcBorders>
                    <w:shd w:val="clear" w:color="auto" w:fill="auto"/>
                    <w:vAlign w:val="center"/>
                  </w:tcPr>
                  <w:p w14:paraId="45B9C414" w14:textId="77777777" w:rsidR="007E7472" w:rsidRDefault="00EC1269">
                    <w:r>
                      <w:rPr>
                        <w:rFonts w:hint="eastAsia"/>
                      </w:rPr>
                      <w:t>一、期初余额</w:t>
                    </w:r>
                  </w:p>
                </w:tc>
              </w:sdtContent>
            </w:sdt>
            <w:tc>
              <w:tcPr>
                <w:tcW w:w="1454" w:type="pct"/>
                <w:tcBorders>
                  <w:top w:val="single" w:sz="4" w:space="0" w:color="auto"/>
                  <w:left w:val="single" w:sz="4" w:space="0" w:color="auto"/>
                  <w:bottom w:val="single" w:sz="4" w:space="0" w:color="auto"/>
                  <w:right w:val="single" w:sz="4" w:space="0" w:color="auto"/>
                </w:tcBorders>
                <w:shd w:val="clear" w:color="auto" w:fill="auto"/>
                <w:vAlign w:val="center"/>
              </w:tcPr>
              <w:p w14:paraId="02A41773" w14:textId="77777777" w:rsidR="007E7472" w:rsidRDefault="00EC1269">
                <w:pPr>
                  <w:jc w:val="right"/>
                  <w:rPr>
                    <w:bCs/>
                  </w:rPr>
                </w:pPr>
                <w:r>
                  <w:t>1,471,730</w:t>
                </w:r>
              </w:p>
            </w:tc>
            <w:tc>
              <w:tcPr>
                <w:tcW w:w="1423" w:type="pct"/>
                <w:tcBorders>
                  <w:top w:val="single" w:sz="4" w:space="0" w:color="auto"/>
                  <w:left w:val="single" w:sz="4" w:space="0" w:color="auto"/>
                  <w:bottom w:val="single" w:sz="4" w:space="0" w:color="auto"/>
                  <w:right w:val="single" w:sz="4" w:space="0" w:color="auto"/>
                </w:tcBorders>
                <w:shd w:val="clear" w:color="auto" w:fill="auto"/>
                <w:vAlign w:val="center"/>
              </w:tcPr>
              <w:p w14:paraId="6C2444A2" w14:textId="77777777" w:rsidR="007E7472" w:rsidRDefault="00EC1269">
                <w:pPr>
                  <w:jc w:val="right"/>
                </w:pPr>
                <w:r>
                  <w:t>1,471,730</w:t>
                </w:r>
              </w:p>
            </w:tc>
          </w:tr>
          <w:tr w:rsidR="007E7472" w14:paraId="59390372" w14:textId="77777777" w:rsidTr="007E7472">
            <w:trPr>
              <w:trHeight w:val="340"/>
            </w:trPr>
            <w:sdt>
              <w:sdtPr>
                <w:tag w:val="_PLD_f4935da68c5647dcac9e0f137928737b"/>
                <w:id w:val="-267860691"/>
                <w:lock w:val="sdtLocked"/>
              </w:sdtPr>
              <w:sdtEndPr/>
              <w:sdtContent>
                <w:tc>
                  <w:tcPr>
                    <w:tcW w:w="2123" w:type="pct"/>
                    <w:tcBorders>
                      <w:top w:val="single" w:sz="4" w:space="0" w:color="auto"/>
                      <w:left w:val="single" w:sz="4" w:space="0" w:color="auto"/>
                      <w:bottom w:val="single" w:sz="4" w:space="0" w:color="auto"/>
                      <w:right w:val="single" w:sz="4" w:space="0" w:color="auto"/>
                    </w:tcBorders>
                    <w:shd w:val="clear" w:color="auto" w:fill="auto"/>
                    <w:vAlign w:val="center"/>
                  </w:tcPr>
                  <w:p w14:paraId="6602E81C" w14:textId="77777777" w:rsidR="007E7472" w:rsidRDefault="00EC1269">
                    <w:r>
                      <w:rPr>
                        <w:rFonts w:hint="eastAsia"/>
                      </w:rPr>
                      <w:t>二、本期变动</w:t>
                    </w:r>
                  </w:p>
                </w:tc>
              </w:sdtContent>
            </w:sdt>
            <w:tc>
              <w:tcPr>
                <w:tcW w:w="1454" w:type="pct"/>
                <w:tcBorders>
                  <w:top w:val="single" w:sz="4" w:space="0" w:color="auto"/>
                  <w:left w:val="single" w:sz="4" w:space="0" w:color="auto"/>
                  <w:bottom w:val="single" w:sz="4" w:space="0" w:color="auto"/>
                  <w:right w:val="single" w:sz="4" w:space="0" w:color="auto"/>
                </w:tcBorders>
                <w:shd w:val="clear" w:color="auto" w:fill="auto"/>
                <w:vAlign w:val="center"/>
              </w:tcPr>
              <w:p w14:paraId="188F6FF6" w14:textId="77777777" w:rsidR="007E7472" w:rsidRDefault="00C8327E">
                <w:pPr>
                  <w:jc w:val="right"/>
                </w:pPr>
              </w:p>
            </w:tc>
            <w:tc>
              <w:tcPr>
                <w:tcW w:w="1423" w:type="pct"/>
                <w:tcBorders>
                  <w:top w:val="single" w:sz="4" w:space="0" w:color="auto"/>
                  <w:left w:val="single" w:sz="4" w:space="0" w:color="auto"/>
                  <w:bottom w:val="single" w:sz="4" w:space="0" w:color="auto"/>
                  <w:right w:val="single" w:sz="4" w:space="0" w:color="auto"/>
                </w:tcBorders>
                <w:shd w:val="clear" w:color="auto" w:fill="auto"/>
                <w:vAlign w:val="center"/>
              </w:tcPr>
              <w:p w14:paraId="51C6F886" w14:textId="77777777" w:rsidR="007E7472" w:rsidRDefault="00C8327E">
                <w:pPr>
                  <w:jc w:val="right"/>
                </w:pPr>
              </w:p>
            </w:tc>
          </w:tr>
          <w:sdt>
            <w:sdtPr>
              <w:rPr>
                <w:rFonts w:asciiTheme="minorHAnsi" w:eastAsiaTheme="minorEastAsia" w:hAnsiTheme="minorHAnsi" w:cstheme="minorBidi"/>
                <w:kern w:val="2"/>
                <w:szCs w:val="22"/>
              </w:rPr>
              <w:alias w:val="按公允价值计量投资性房地产本期变动数明细"/>
              <w:tag w:val="_GBC_2f24940cc2ad47b3ac4379c4fde0586a"/>
              <w:id w:val="-1196848275"/>
              <w:lock w:val="sdtLocked"/>
            </w:sdtPr>
            <w:sdtEndPr/>
            <w:sdtContent>
              <w:tr w:rsidR="007E7472" w14:paraId="2197092A" w14:textId="77777777" w:rsidTr="007E7472">
                <w:trPr>
                  <w:trHeight w:val="340"/>
                </w:trPr>
                <w:tc>
                  <w:tcPr>
                    <w:tcW w:w="2116" w:type="pct"/>
                    <w:tcBorders>
                      <w:top w:val="single" w:sz="4" w:space="0" w:color="auto"/>
                      <w:left w:val="single" w:sz="4" w:space="0" w:color="auto"/>
                      <w:bottom w:val="single" w:sz="4" w:space="0" w:color="auto"/>
                      <w:right w:val="single" w:sz="4" w:space="0" w:color="auto"/>
                    </w:tcBorders>
                    <w:shd w:val="clear" w:color="auto" w:fill="auto"/>
                    <w:vAlign w:val="center"/>
                  </w:tcPr>
                  <w:p w14:paraId="3B55D689" w14:textId="6A86B67B" w:rsidR="007E7472" w:rsidRDefault="00EC1269">
                    <w:pPr>
                      <w:ind w:firstLineChars="250" w:firstLine="525"/>
                      <w:rPr>
                        <w:rFonts w:asciiTheme="minorHAnsi" w:eastAsiaTheme="minorEastAsia" w:hAnsiTheme="minorHAnsi" w:cstheme="minorBidi"/>
                        <w:kern w:val="2"/>
                        <w:szCs w:val="22"/>
                      </w:rPr>
                    </w:pPr>
                    <w:r w:rsidRPr="006B4AA2">
                      <w:rPr>
                        <w:rFonts w:asciiTheme="minorHAnsi" w:eastAsiaTheme="minorEastAsia" w:hAnsiTheme="minorHAnsi" w:cstheme="minorBidi" w:hint="eastAsia"/>
                        <w:kern w:val="2"/>
                        <w:szCs w:val="22"/>
                      </w:rPr>
                      <w:t>加：公允价值变动</w:t>
                    </w:r>
                  </w:p>
                </w:tc>
                <w:tc>
                  <w:tcPr>
                    <w:tcW w:w="1448" w:type="pct"/>
                    <w:tcBorders>
                      <w:top w:val="single" w:sz="4" w:space="0" w:color="auto"/>
                      <w:left w:val="single" w:sz="4" w:space="0" w:color="auto"/>
                      <w:bottom w:val="single" w:sz="4" w:space="0" w:color="auto"/>
                      <w:right w:val="single" w:sz="4" w:space="0" w:color="auto"/>
                    </w:tcBorders>
                    <w:shd w:val="clear" w:color="auto" w:fill="auto"/>
                    <w:vAlign w:val="center"/>
                  </w:tcPr>
                  <w:p w14:paraId="67142A06" w14:textId="77777777" w:rsidR="007E7472" w:rsidRDefault="00C8327E">
                    <w:pPr>
                      <w:jc w:val="right"/>
                    </w:pPr>
                  </w:p>
                </w:tc>
                <w:tc>
                  <w:tcPr>
                    <w:tcW w:w="1432" w:type="pct"/>
                    <w:tcBorders>
                      <w:top w:val="single" w:sz="4" w:space="0" w:color="auto"/>
                      <w:left w:val="single" w:sz="4" w:space="0" w:color="auto"/>
                      <w:bottom w:val="single" w:sz="4" w:space="0" w:color="auto"/>
                      <w:right w:val="single" w:sz="4" w:space="0" w:color="auto"/>
                    </w:tcBorders>
                    <w:shd w:val="clear" w:color="auto" w:fill="auto"/>
                    <w:vAlign w:val="center"/>
                  </w:tcPr>
                  <w:p w14:paraId="0B9D035F" w14:textId="3A4745D5" w:rsidR="007E7472" w:rsidRDefault="00C8327E">
                    <w:pPr>
                      <w:jc w:val="right"/>
                      <w:rPr>
                        <w:rFonts w:asciiTheme="minorHAnsi" w:eastAsiaTheme="minorEastAsia" w:hAnsiTheme="minorHAnsi" w:cstheme="minorBidi"/>
                        <w:kern w:val="2"/>
                        <w:szCs w:val="22"/>
                      </w:rPr>
                    </w:pPr>
                  </w:p>
                </w:tc>
              </w:tr>
            </w:sdtContent>
          </w:sdt>
          <w:tr w:rsidR="007E7472" w14:paraId="20C4485C" w14:textId="77777777" w:rsidTr="007E7472">
            <w:trPr>
              <w:trHeight w:val="340"/>
            </w:trPr>
            <w:sdt>
              <w:sdtPr>
                <w:tag w:val="_PLD_6fb2e868c9e247449530f4e2f1fde6c0"/>
                <w:id w:val="1170987152"/>
                <w:lock w:val="sdtLocked"/>
              </w:sdtPr>
              <w:sdtEndPr/>
              <w:sdtContent>
                <w:tc>
                  <w:tcPr>
                    <w:tcW w:w="2123" w:type="pct"/>
                    <w:tcBorders>
                      <w:top w:val="single" w:sz="4" w:space="0" w:color="auto"/>
                      <w:left w:val="single" w:sz="4" w:space="0" w:color="auto"/>
                      <w:bottom w:val="single" w:sz="4" w:space="0" w:color="auto"/>
                      <w:right w:val="single" w:sz="4" w:space="0" w:color="auto"/>
                    </w:tcBorders>
                    <w:shd w:val="clear" w:color="auto" w:fill="auto"/>
                    <w:vAlign w:val="center"/>
                  </w:tcPr>
                  <w:p w14:paraId="72F5F2F7" w14:textId="77777777" w:rsidR="007E7472" w:rsidRDefault="00EC1269">
                    <w:pPr>
                      <w:ind w:firstLineChars="400" w:firstLine="840"/>
                    </w:pPr>
                    <w:r>
                      <w:rPr>
                        <w:rFonts w:hint="eastAsia"/>
                      </w:rPr>
                      <w:t>固定资产转入</w:t>
                    </w:r>
                  </w:p>
                </w:tc>
              </w:sdtContent>
            </w:sdt>
            <w:tc>
              <w:tcPr>
                <w:tcW w:w="1454" w:type="pct"/>
                <w:tcBorders>
                  <w:top w:val="single" w:sz="4" w:space="0" w:color="auto"/>
                  <w:left w:val="single" w:sz="4" w:space="0" w:color="auto"/>
                  <w:bottom w:val="single" w:sz="4" w:space="0" w:color="auto"/>
                  <w:right w:val="single" w:sz="4" w:space="0" w:color="auto"/>
                </w:tcBorders>
                <w:shd w:val="clear" w:color="auto" w:fill="auto"/>
                <w:vAlign w:val="center"/>
              </w:tcPr>
              <w:p w14:paraId="6076F4E6" w14:textId="77777777" w:rsidR="007E7472" w:rsidRDefault="00C8327E">
                <w:pPr>
                  <w:jc w:val="right"/>
                </w:pPr>
              </w:p>
            </w:tc>
            <w:tc>
              <w:tcPr>
                <w:tcW w:w="1423" w:type="pct"/>
                <w:tcBorders>
                  <w:top w:val="single" w:sz="4" w:space="0" w:color="auto"/>
                  <w:left w:val="single" w:sz="4" w:space="0" w:color="auto"/>
                  <w:bottom w:val="single" w:sz="4" w:space="0" w:color="auto"/>
                  <w:right w:val="single" w:sz="4" w:space="0" w:color="auto"/>
                </w:tcBorders>
                <w:shd w:val="clear" w:color="auto" w:fill="auto"/>
                <w:vAlign w:val="center"/>
              </w:tcPr>
              <w:p w14:paraId="4E9E0F78" w14:textId="77777777" w:rsidR="007E7472" w:rsidRDefault="00C8327E">
                <w:pPr>
                  <w:jc w:val="right"/>
                </w:pPr>
              </w:p>
            </w:tc>
          </w:tr>
          <w:tr w:rsidR="007E7472" w14:paraId="007742F4" w14:textId="77777777" w:rsidTr="007E7472">
            <w:trPr>
              <w:trHeight w:val="340"/>
            </w:trPr>
            <w:sdt>
              <w:sdtPr>
                <w:tag w:val="_PLD_16b1c93b67e3422091d03342316736d9"/>
                <w:id w:val="1868326017"/>
                <w:lock w:val="sdtLocked"/>
              </w:sdtPr>
              <w:sdtEndPr/>
              <w:sdtContent>
                <w:tc>
                  <w:tcPr>
                    <w:tcW w:w="2123" w:type="pct"/>
                    <w:tcBorders>
                      <w:top w:val="single" w:sz="4" w:space="0" w:color="auto"/>
                      <w:left w:val="single" w:sz="4" w:space="0" w:color="auto"/>
                      <w:bottom w:val="single" w:sz="4" w:space="0" w:color="auto"/>
                      <w:right w:val="single" w:sz="4" w:space="0" w:color="auto"/>
                    </w:tcBorders>
                    <w:shd w:val="clear" w:color="auto" w:fill="auto"/>
                    <w:vAlign w:val="center"/>
                  </w:tcPr>
                  <w:p w14:paraId="2518BC21" w14:textId="77777777" w:rsidR="007E7472" w:rsidRDefault="00EC1269">
                    <w:pPr>
                      <w:ind w:firstLineChars="200" w:firstLine="420"/>
                    </w:pPr>
                    <w:r>
                      <w:rPr>
                        <w:rFonts w:hint="eastAsia"/>
                      </w:rPr>
                      <w:t>减：处置</w:t>
                    </w:r>
                  </w:p>
                </w:tc>
              </w:sdtContent>
            </w:sdt>
            <w:tc>
              <w:tcPr>
                <w:tcW w:w="1454" w:type="pct"/>
                <w:tcBorders>
                  <w:top w:val="single" w:sz="4" w:space="0" w:color="auto"/>
                  <w:left w:val="single" w:sz="4" w:space="0" w:color="auto"/>
                  <w:bottom w:val="single" w:sz="4" w:space="0" w:color="auto"/>
                  <w:right w:val="single" w:sz="4" w:space="0" w:color="auto"/>
                </w:tcBorders>
                <w:shd w:val="clear" w:color="auto" w:fill="auto"/>
                <w:vAlign w:val="center"/>
              </w:tcPr>
              <w:p w14:paraId="40F5F523" w14:textId="77777777" w:rsidR="007E7472" w:rsidRDefault="00C8327E">
                <w:pPr>
                  <w:jc w:val="right"/>
                </w:pPr>
              </w:p>
            </w:tc>
            <w:tc>
              <w:tcPr>
                <w:tcW w:w="1423" w:type="pct"/>
                <w:tcBorders>
                  <w:top w:val="single" w:sz="4" w:space="0" w:color="auto"/>
                  <w:left w:val="single" w:sz="4" w:space="0" w:color="auto"/>
                  <w:bottom w:val="single" w:sz="4" w:space="0" w:color="auto"/>
                  <w:right w:val="single" w:sz="4" w:space="0" w:color="auto"/>
                </w:tcBorders>
                <w:shd w:val="clear" w:color="auto" w:fill="auto"/>
                <w:vAlign w:val="center"/>
              </w:tcPr>
              <w:p w14:paraId="36CA0D91" w14:textId="77777777" w:rsidR="007E7472" w:rsidRDefault="00C8327E">
                <w:pPr>
                  <w:jc w:val="right"/>
                </w:pPr>
              </w:p>
            </w:tc>
          </w:tr>
          <w:tr w:rsidR="007E7472" w14:paraId="2F8EC098" w14:textId="77777777" w:rsidTr="007E7472">
            <w:trPr>
              <w:trHeight w:val="340"/>
            </w:trPr>
            <w:sdt>
              <w:sdtPr>
                <w:tag w:val="_PLD_b7ac764bbe9345d29ce926907a900d5d"/>
                <w:id w:val="163449093"/>
                <w:lock w:val="sdtLocked"/>
              </w:sdtPr>
              <w:sdtEndPr/>
              <w:sdtContent>
                <w:tc>
                  <w:tcPr>
                    <w:tcW w:w="2123" w:type="pct"/>
                    <w:tcBorders>
                      <w:top w:val="single" w:sz="4" w:space="0" w:color="auto"/>
                      <w:left w:val="single" w:sz="4" w:space="0" w:color="auto"/>
                      <w:bottom w:val="single" w:sz="4" w:space="0" w:color="auto"/>
                      <w:right w:val="single" w:sz="4" w:space="0" w:color="auto"/>
                    </w:tcBorders>
                    <w:shd w:val="clear" w:color="auto" w:fill="auto"/>
                    <w:vAlign w:val="center"/>
                  </w:tcPr>
                  <w:p w14:paraId="7A5044DB" w14:textId="77777777" w:rsidR="007E7472" w:rsidRDefault="00EC1269">
                    <w:r>
                      <w:rPr>
                        <w:rFonts w:hint="eastAsia"/>
                      </w:rPr>
                      <w:t>三、期末余额</w:t>
                    </w:r>
                  </w:p>
                </w:tc>
              </w:sdtContent>
            </w:sdt>
            <w:tc>
              <w:tcPr>
                <w:tcW w:w="1454" w:type="pct"/>
                <w:tcBorders>
                  <w:top w:val="single" w:sz="4" w:space="0" w:color="auto"/>
                  <w:left w:val="single" w:sz="4" w:space="0" w:color="auto"/>
                  <w:bottom w:val="single" w:sz="4" w:space="0" w:color="auto"/>
                  <w:right w:val="single" w:sz="4" w:space="0" w:color="auto"/>
                </w:tcBorders>
                <w:shd w:val="clear" w:color="auto" w:fill="auto"/>
                <w:vAlign w:val="center"/>
              </w:tcPr>
              <w:p w14:paraId="746E8AEE" w14:textId="77777777" w:rsidR="007E7472" w:rsidRDefault="00EC1269">
                <w:pPr>
                  <w:jc w:val="right"/>
                  <w:rPr>
                    <w:bCs/>
                  </w:rPr>
                </w:pPr>
                <w:r>
                  <w:t>1,471,730</w:t>
                </w:r>
              </w:p>
            </w:tc>
            <w:tc>
              <w:tcPr>
                <w:tcW w:w="1423" w:type="pct"/>
                <w:tcBorders>
                  <w:top w:val="single" w:sz="4" w:space="0" w:color="auto"/>
                  <w:left w:val="single" w:sz="4" w:space="0" w:color="auto"/>
                  <w:bottom w:val="single" w:sz="4" w:space="0" w:color="auto"/>
                  <w:right w:val="single" w:sz="4" w:space="0" w:color="auto"/>
                </w:tcBorders>
                <w:shd w:val="clear" w:color="auto" w:fill="auto"/>
                <w:vAlign w:val="center"/>
              </w:tcPr>
              <w:p w14:paraId="4FD4BE20" w14:textId="77777777" w:rsidR="007E7472" w:rsidRDefault="00EC1269">
                <w:pPr>
                  <w:jc w:val="right"/>
                </w:pPr>
                <w:r>
                  <w:t>1,471,730</w:t>
                </w:r>
              </w:p>
            </w:tc>
          </w:tr>
        </w:tbl>
        <w:p w14:paraId="127F616F" w14:textId="77777777" w:rsidR="007E7472" w:rsidRDefault="00C8327E"/>
        <w:p w14:paraId="3BC9AD7A" w14:textId="05A36177" w:rsidR="007E7472" w:rsidRDefault="00EC1269" w:rsidP="00162493">
          <w:pPr>
            <w:pStyle w:val="4"/>
            <w:numPr>
              <w:ilvl w:val="0"/>
              <w:numId w:val="73"/>
            </w:numPr>
          </w:pPr>
          <w:r>
            <w:rPr>
              <w:rFonts w:hint="eastAsia"/>
            </w:rPr>
            <w:t>未办妥产权证书的投资性房地产情况：</w:t>
          </w:r>
        </w:p>
        <w:p w14:paraId="4310E61B" w14:textId="77777777" w:rsidR="007E7472" w:rsidRDefault="00C8327E">
          <w:sdt>
            <w:sdtPr>
              <w:alias w:val="是否适用：未办妥产权证书的投资性房地产情况[双击切换]"/>
              <w:tag w:val="_GBC_4ebde9db521f427dbcd577bafe064ac8"/>
              <w:id w:val="1092054941"/>
              <w:lock w:val="sdtLocked"/>
              <w:placeholder>
                <w:docPart w:val="GBC22222222222222222222222222222"/>
              </w:placeholder>
            </w:sdtPr>
            <w:sdtEndPr/>
            <w:sdtContent>
              <w:r w:rsidR="00EC1269">
                <w:rPr>
                  <w:rFonts w:asciiTheme="minorEastAsia" w:eastAsiaTheme="minorEastAsia" w:hAnsiTheme="minorEastAsia"/>
                </w:rPr>
                <w:fldChar w:fldCharType="begin"/>
              </w:r>
              <w:r w:rsidR="00EC1269">
                <w:rPr>
                  <w:rFonts w:asciiTheme="minorEastAsia" w:eastAsiaTheme="minorEastAsia" w:hAnsiTheme="minorEastAsia"/>
                </w:rPr>
                <w:instrText xml:space="preserve"> MACROBUTTON  SnrToggleCheckbox √适用 </w:instrText>
              </w:r>
              <w:r w:rsidR="00EC1269">
                <w:rPr>
                  <w:rFonts w:asciiTheme="minorEastAsia" w:eastAsiaTheme="minorEastAsia" w:hAnsiTheme="minorEastAsia"/>
                </w:rPr>
                <w:fldChar w:fldCharType="end"/>
              </w:r>
              <w:r w:rsidR="00EC1269">
                <w:rPr>
                  <w:rFonts w:asciiTheme="minorEastAsia" w:eastAsiaTheme="minorEastAsia" w:hAnsiTheme="minorEastAsia"/>
                </w:rPr>
                <w:fldChar w:fldCharType="begin"/>
              </w:r>
              <w:r w:rsidR="00EC1269">
                <w:rPr>
                  <w:rFonts w:asciiTheme="minorEastAsia" w:eastAsiaTheme="minorEastAsia" w:hAnsiTheme="minorEastAsia"/>
                </w:rPr>
                <w:instrText xml:space="preserve"> MACROBUTTON  SnrToggleCheckbox □不适用 </w:instrText>
              </w:r>
              <w:r w:rsidR="00EC1269">
                <w:rPr>
                  <w:rFonts w:asciiTheme="minorEastAsia" w:eastAsiaTheme="minorEastAsia" w:hAnsiTheme="minorEastAsia"/>
                </w:rPr>
                <w:fldChar w:fldCharType="end"/>
              </w:r>
            </w:sdtContent>
          </w:sdt>
        </w:p>
        <w:p w14:paraId="7A5869E7" w14:textId="575CA709" w:rsidR="007E7472" w:rsidRDefault="00EC1269">
          <w:pPr>
            <w:jc w:val="right"/>
          </w:pPr>
          <w:r>
            <w:rPr>
              <w:rFonts w:hint="eastAsia"/>
            </w:rPr>
            <w:t>单位：</w:t>
          </w:r>
          <w:sdt>
            <w:sdtPr>
              <w:rPr>
                <w:rFonts w:hint="eastAsia"/>
              </w:rPr>
              <w:alias w:val="单位：财务附注：未办妥产权证书的投资性房地产情况"/>
              <w:tag w:val="_GBC_16f07ded0d424a9c8da9dd271a9f2a9e"/>
              <w:id w:val="9184466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未办妥产权证书的投资性房地产情况"/>
              <w:tag w:val="_GBC_85dc11a10b1b407784df999e774e3355"/>
              <w:id w:val="-19917038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5"/>
            <w:gridCol w:w="2792"/>
            <w:gridCol w:w="2806"/>
          </w:tblGrid>
          <w:tr w:rsidR="007E7472" w14:paraId="13252541" w14:textId="77777777" w:rsidTr="007E7472">
            <w:trPr>
              <w:trHeight w:val="340"/>
            </w:trPr>
            <w:sdt>
              <w:sdtPr>
                <w:tag w:val="_PLD_53be96213eea4965a0a0c049db07537d"/>
                <w:id w:val="693420049"/>
                <w:lock w:val="sdtLocked"/>
              </w:sdtPr>
              <w:sdtEndPr/>
              <w:sdtContent>
                <w:tc>
                  <w:tcPr>
                    <w:tcW w:w="1828" w:type="pct"/>
                    <w:shd w:val="clear" w:color="auto" w:fill="auto"/>
                    <w:vAlign w:val="center"/>
                  </w:tcPr>
                  <w:p w14:paraId="2CE3C9CA" w14:textId="77777777" w:rsidR="007E7472" w:rsidRDefault="00EC1269">
                    <w:pPr>
                      <w:tabs>
                        <w:tab w:val="right" w:pos="3690"/>
                        <w:tab w:val="right" w:pos="5130"/>
                        <w:tab w:val="right" w:pos="6030"/>
                        <w:tab w:val="right" w:pos="7650"/>
                        <w:tab w:val="right" w:pos="9270"/>
                      </w:tabs>
                      <w:adjustRightInd w:val="0"/>
                      <w:snapToGrid w:val="0"/>
                      <w:jc w:val="center"/>
                    </w:pPr>
                    <w:r>
                      <w:rPr>
                        <w:rFonts w:hint="eastAsia"/>
                      </w:rPr>
                      <w:t>项目</w:t>
                    </w:r>
                  </w:p>
                </w:tc>
              </w:sdtContent>
            </w:sdt>
            <w:sdt>
              <w:sdtPr>
                <w:tag w:val="_PLD_90830921bf6f493d836d8802bd6ae4ec"/>
                <w:id w:val="-1276554514"/>
                <w:lock w:val="sdtLocked"/>
              </w:sdtPr>
              <w:sdtEndPr/>
              <w:sdtContent>
                <w:tc>
                  <w:tcPr>
                    <w:tcW w:w="1582" w:type="pct"/>
                    <w:shd w:val="clear" w:color="auto" w:fill="auto"/>
                    <w:vAlign w:val="center"/>
                  </w:tcPr>
                  <w:p w14:paraId="39C1226D" w14:textId="77777777" w:rsidR="007E7472" w:rsidRDefault="00EC1269">
                    <w:pPr>
                      <w:tabs>
                        <w:tab w:val="right" w:pos="3690"/>
                        <w:tab w:val="right" w:pos="5130"/>
                        <w:tab w:val="right" w:pos="6030"/>
                        <w:tab w:val="right" w:pos="7650"/>
                        <w:tab w:val="right" w:pos="9270"/>
                      </w:tabs>
                      <w:adjustRightInd w:val="0"/>
                      <w:snapToGrid w:val="0"/>
                      <w:jc w:val="center"/>
                    </w:pPr>
                    <w:r>
                      <w:rPr>
                        <w:rFonts w:hint="eastAsia"/>
                      </w:rPr>
                      <w:t>账面价值</w:t>
                    </w:r>
                  </w:p>
                </w:tc>
              </w:sdtContent>
            </w:sdt>
            <w:sdt>
              <w:sdtPr>
                <w:tag w:val="_PLD_6752183ecb424a7abe8607de6c2c60cf"/>
                <w:id w:val="-686283018"/>
                <w:lock w:val="sdtLocked"/>
              </w:sdtPr>
              <w:sdtEndPr/>
              <w:sdtContent>
                <w:tc>
                  <w:tcPr>
                    <w:tcW w:w="1590" w:type="pct"/>
                    <w:shd w:val="clear" w:color="auto" w:fill="auto"/>
                    <w:vAlign w:val="center"/>
                  </w:tcPr>
                  <w:p w14:paraId="4152737C" w14:textId="77777777" w:rsidR="007E7472" w:rsidRDefault="00EC1269">
                    <w:pPr>
                      <w:tabs>
                        <w:tab w:val="right" w:pos="3690"/>
                        <w:tab w:val="right" w:pos="5130"/>
                        <w:tab w:val="right" w:pos="6030"/>
                        <w:tab w:val="right" w:pos="7650"/>
                        <w:tab w:val="right" w:pos="9270"/>
                      </w:tabs>
                      <w:adjustRightInd w:val="0"/>
                      <w:snapToGrid w:val="0"/>
                      <w:jc w:val="center"/>
                    </w:pPr>
                    <w:r>
                      <w:rPr>
                        <w:rFonts w:hint="eastAsia"/>
                      </w:rPr>
                      <w:t>未办妥产权证书原因</w:t>
                    </w:r>
                  </w:p>
                </w:tc>
              </w:sdtContent>
            </w:sdt>
          </w:tr>
          <w:sdt>
            <w:sdtPr>
              <w:alias w:val="未办妥产权证书的投资性房地产金额及原因明细"/>
              <w:tag w:val="_TUP_5c9770612a964e2d8a45bf9fb9cf560b"/>
              <w:id w:val="-107895900"/>
              <w:lock w:val="sdtLocked"/>
            </w:sdtPr>
            <w:sdtEndPr/>
            <w:sdtContent>
              <w:tr w:rsidR="007E7472" w14:paraId="70C8DE1A" w14:textId="77777777" w:rsidTr="007E7472">
                <w:trPr>
                  <w:trHeight w:val="340"/>
                </w:trPr>
                <w:tc>
                  <w:tcPr>
                    <w:tcW w:w="1828" w:type="pct"/>
                    <w:shd w:val="clear" w:color="auto" w:fill="auto"/>
                    <w:vAlign w:val="center"/>
                  </w:tcPr>
                  <w:p w14:paraId="1312F3DA" w14:textId="77777777" w:rsidR="007E7472" w:rsidRDefault="00EC1269">
                    <w:pPr>
                      <w:tabs>
                        <w:tab w:val="right" w:pos="3690"/>
                        <w:tab w:val="right" w:pos="5130"/>
                        <w:tab w:val="right" w:pos="6030"/>
                        <w:tab w:val="right" w:pos="7650"/>
                        <w:tab w:val="right" w:pos="9270"/>
                      </w:tabs>
                      <w:adjustRightInd w:val="0"/>
                      <w:snapToGrid w:val="0"/>
                    </w:pPr>
                    <w:r>
                      <w:t>房屋建筑物</w:t>
                    </w:r>
                  </w:p>
                </w:tc>
                <w:tc>
                  <w:tcPr>
                    <w:tcW w:w="1582" w:type="pct"/>
                    <w:shd w:val="clear" w:color="auto" w:fill="auto"/>
                    <w:vAlign w:val="center"/>
                  </w:tcPr>
                  <w:p w14:paraId="59219F60" w14:textId="77777777" w:rsidR="007E7472" w:rsidRDefault="00EC1269">
                    <w:pPr>
                      <w:tabs>
                        <w:tab w:val="right" w:pos="3690"/>
                        <w:tab w:val="right" w:pos="5130"/>
                        <w:tab w:val="right" w:pos="6030"/>
                        <w:tab w:val="right" w:pos="7650"/>
                        <w:tab w:val="right" w:pos="9270"/>
                      </w:tabs>
                      <w:adjustRightInd w:val="0"/>
                      <w:snapToGrid w:val="0"/>
                      <w:jc w:val="right"/>
                    </w:pPr>
                    <w:r>
                      <w:t>83,027</w:t>
                    </w:r>
                  </w:p>
                </w:tc>
                <w:tc>
                  <w:tcPr>
                    <w:tcW w:w="1590" w:type="pct"/>
                    <w:shd w:val="clear" w:color="auto" w:fill="auto"/>
                    <w:vAlign w:val="center"/>
                  </w:tcPr>
                  <w:p w14:paraId="79EC1404" w14:textId="77777777" w:rsidR="007E7472" w:rsidRDefault="00EC1269">
                    <w:pPr>
                      <w:jc w:val="center"/>
                      <w:rPr>
                        <w:bCs/>
                      </w:rPr>
                    </w:pPr>
                    <w:r>
                      <w:rPr>
                        <w:rFonts w:hint="eastAsia"/>
                      </w:rPr>
                      <w:t>正在办理</w:t>
                    </w:r>
                  </w:p>
                </w:tc>
              </w:tr>
            </w:sdtContent>
          </w:sdt>
        </w:tbl>
        <w:p w14:paraId="64FD8700" w14:textId="77777777" w:rsidR="007E7472" w:rsidRDefault="00C8327E"/>
        <w:p w14:paraId="6D30F911" w14:textId="77777777" w:rsidR="007E7472" w:rsidRDefault="00EC1269">
          <w:pPr>
            <w:ind w:leftChars="-21" w:left="-2" w:hangingChars="20" w:hanging="42"/>
          </w:pPr>
          <w:r>
            <w:rPr>
              <w:rFonts w:hint="eastAsia"/>
            </w:rPr>
            <w:t>其他说明</w:t>
          </w:r>
        </w:p>
        <w:sdt>
          <w:sdtPr>
            <w:alias w:val="是否适用：投资性房地产的说明[双击切换]"/>
            <w:tag w:val="_GBC_0caaeaf285c347ca935ac7d0d9b49f42"/>
            <w:id w:val="511654206"/>
            <w:lock w:val="sdtLocked"/>
            <w:placeholder>
              <w:docPart w:val="GBC22222222222222222222222222222"/>
            </w:placeholder>
          </w:sdtPr>
          <w:sdtEndPr/>
          <w:sdtContent>
            <w:p w14:paraId="569B428C" w14:textId="50231F55" w:rsidR="007E7472" w:rsidRDefault="00EC1269" w:rsidP="007E7472">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p w14:paraId="1D54C8DB" w14:textId="77777777" w:rsidR="007E7472" w:rsidRDefault="00EC1269" w:rsidP="00162493">
      <w:pPr>
        <w:pStyle w:val="3"/>
        <w:numPr>
          <w:ilvl w:val="0"/>
          <w:numId w:val="62"/>
        </w:numPr>
      </w:pPr>
      <w:r>
        <w:rPr>
          <w:rFonts w:hint="eastAsia"/>
        </w:rPr>
        <w:t>固定资产</w:t>
      </w:r>
    </w:p>
    <w:bookmarkStart w:id="217" w:name="_Hlk10472369" w:displacedByCustomXml="next"/>
    <w:bookmarkEnd w:id="217" w:displacedByCustomXml="next"/>
    <w:bookmarkStart w:id="218" w:name="_Hlk10472389" w:displacedByCustomXml="next"/>
    <w:bookmarkStart w:id="219" w:name="_Hlk10472397" w:displacedByCustomXml="next"/>
    <w:sdt>
      <w:sdtPr>
        <w:rPr>
          <w:rFonts w:ascii="宋体" w:hAnsi="宋体" w:cs="宋体" w:hint="eastAsia"/>
          <w:b w:val="0"/>
          <w:bCs w:val="0"/>
          <w:kern w:val="0"/>
          <w:sz w:val="20"/>
          <w:szCs w:val="24"/>
        </w:rPr>
        <w:alias w:val="模块:固定资产项目列示"/>
        <w:tag w:val="_SEC_d216074d2ae442239dbb6f5f9b7a5d89"/>
        <w:id w:val="-1516379290"/>
        <w:lock w:val="sdtLocked"/>
        <w:placeholder>
          <w:docPart w:val="GBC22222222222222222222222222222"/>
        </w:placeholder>
      </w:sdtPr>
      <w:sdtEndPr>
        <w:rPr>
          <w:rFonts w:hint="default"/>
          <w:szCs w:val="21"/>
        </w:rPr>
      </w:sdtEndPr>
      <w:sdtContent>
        <w:p w14:paraId="58AA44C9" w14:textId="77777777" w:rsidR="007E7472" w:rsidRDefault="00EC1269" w:rsidP="007E7472">
          <w:pPr>
            <w:pStyle w:val="4"/>
          </w:pPr>
          <w:r>
            <w:rPr>
              <w:rFonts w:hint="eastAsia"/>
            </w:rPr>
            <w:t>项目列示</w:t>
          </w:r>
        </w:p>
        <w:sdt>
          <w:sdtPr>
            <w:alias w:val="是否适用：固定资产分类列示[双击切换]"/>
            <w:tag w:val="_GBC_73d82e583dcc4330bebfeb83abd5f5bb"/>
            <w:id w:val="-1822876637"/>
            <w:lock w:val="sdtLocked"/>
            <w:placeholder>
              <w:docPart w:val="GBC22222222222222222222222222222"/>
            </w:placeholder>
          </w:sdtPr>
          <w:sdtEndPr/>
          <w:sdtContent>
            <w:p w14:paraId="171DBAF3"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bookmarkEnd w:id="219"/>
    <w:bookmarkEnd w:id="218"/>
    <w:p w14:paraId="6A99AD47" w14:textId="77777777" w:rsidR="007E7472" w:rsidRDefault="00EC1269">
      <w:pPr>
        <w:sectPr w:rsidR="007E7472">
          <w:pgSz w:w="11906" w:h="16838"/>
          <w:pgMar w:top="1440" w:right="1797" w:bottom="1525" w:left="1276" w:header="856" w:footer="992" w:gutter="0"/>
          <w:cols w:space="425"/>
          <w:docGrid w:linePitch="312"/>
        </w:sectPr>
      </w:pPr>
      <w:r>
        <w:br w:type="page"/>
      </w:r>
    </w:p>
    <w:p w14:paraId="2499750E" w14:textId="77777777" w:rsidR="007E7472" w:rsidRDefault="00C8327E"/>
    <w:p w14:paraId="2E2C6205" w14:textId="77777777" w:rsidR="007E7472" w:rsidRDefault="00EC1269" w:rsidP="007E7472">
      <w:pPr>
        <w:pStyle w:val="4"/>
      </w:pPr>
      <w:r>
        <w:rPr>
          <w:rFonts w:hint="eastAsia"/>
        </w:rPr>
        <w:t>固定资产</w:t>
      </w:r>
    </w:p>
    <w:sdt>
      <w:sdtPr>
        <w:rPr>
          <w:rFonts w:ascii="宋体" w:hAnsi="宋体" w:cs="宋体" w:hint="eastAsia"/>
          <w:b w:val="0"/>
          <w:bCs w:val="0"/>
          <w:kern w:val="0"/>
          <w:sz w:val="20"/>
          <w:szCs w:val="21"/>
        </w:rPr>
        <w:alias w:val="模块:固定资产情况"/>
        <w:tag w:val="_GBC_6b764c2f9af049ba98fb55c66fe083a9"/>
        <w:id w:val="-1924874883"/>
        <w:lock w:val="sdtLocked"/>
        <w:placeholder>
          <w:docPart w:val="GBC22222222222222222222222222222"/>
        </w:placeholder>
      </w:sdtPr>
      <w:sdtEndPr>
        <w:rPr>
          <w:rFonts w:cstheme="minorBidi"/>
        </w:rPr>
      </w:sdtEndPr>
      <w:sdtContent>
        <w:p w14:paraId="77B91BAD" w14:textId="77777777" w:rsidR="007E7472" w:rsidRDefault="00EC1269" w:rsidP="00162493">
          <w:pPr>
            <w:pStyle w:val="4"/>
            <w:numPr>
              <w:ilvl w:val="0"/>
              <w:numId w:val="74"/>
            </w:numPr>
          </w:pPr>
          <w:r>
            <w:rPr>
              <w:rFonts w:hint="eastAsia"/>
            </w:rPr>
            <w:t>固定资产情况</w:t>
          </w:r>
        </w:p>
        <w:sdt>
          <w:sdtPr>
            <w:alias w:val="是否适用：固定资产情况[双击切换]"/>
            <w:tag w:val="_GBC_dea1f620aab74d63b1372d831b5b450f"/>
            <w:id w:val="997845503"/>
            <w:lock w:val="sdtLocked"/>
            <w:placeholder>
              <w:docPart w:val="GBC22222222222222222222222222222"/>
            </w:placeholder>
          </w:sdtPr>
          <w:sdtEndPr/>
          <w:sdtContent>
            <w:p w14:paraId="1367AF17"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0BB4C6EC" w14:textId="7A60677F" w:rsidR="007E7472" w:rsidRDefault="00EC1269">
          <w:pPr>
            <w:autoSpaceDE w:val="0"/>
            <w:autoSpaceDN w:val="0"/>
            <w:adjustRightInd w:val="0"/>
            <w:jc w:val="right"/>
          </w:pPr>
          <w:r>
            <w:rPr>
              <w:rFonts w:hint="eastAsia"/>
            </w:rPr>
            <w:t>单位：</w:t>
          </w:r>
          <w:sdt>
            <w:sdtPr>
              <w:rPr>
                <w:rFonts w:hint="eastAsia"/>
              </w:rPr>
              <w:alias w:val="单位：财务附注：固定资产情况"/>
              <w:tag w:val="_GBC_563afa3e91c048118558af0713b1a1af"/>
              <w:id w:val="14994561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固定资产情况"/>
              <w:tag w:val="_GBC_c5ecae448dd948eca54add973afbe77b"/>
              <w:id w:val="14580690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116"/>
            <w:gridCol w:w="1589"/>
            <w:gridCol w:w="1381"/>
            <w:gridCol w:w="1142"/>
            <w:gridCol w:w="1192"/>
            <w:gridCol w:w="1242"/>
            <w:gridCol w:w="1212"/>
            <w:gridCol w:w="1284"/>
            <w:gridCol w:w="1705"/>
          </w:tblGrid>
          <w:tr w:rsidR="007E7472" w14:paraId="76835DCF" w14:textId="77777777" w:rsidTr="007E7472">
            <w:sdt>
              <w:sdtPr>
                <w:tag w:val="_PLD_1741958de41447b7ac4cbd15ce893c6c"/>
                <w:id w:val="229349863"/>
                <w:lock w:val="sdtLocked"/>
              </w:sdtPr>
              <w:sdtEndPr/>
              <w:sdtContent>
                <w:tc>
                  <w:tcPr>
                    <w:tcW w:w="1124" w:type="pct"/>
                    <w:shd w:val="clear" w:color="auto" w:fill="auto"/>
                    <w:vAlign w:val="center"/>
                  </w:tcPr>
                  <w:p w14:paraId="313FFCBD" w14:textId="77777777" w:rsidR="007E7472" w:rsidRDefault="00EC1269">
                    <w:pPr>
                      <w:jc w:val="center"/>
                    </w:pPr>
                    <w:r>
                      <w:rPr>
                        <w:rFonts w:hint="eastAsia"/>
                      </w:rPr>
                      <w:t>项目</w:t>
                    </w:r>
                  </w:p>
                </w:tc>
              </w:sdtContent>
            </w:sdt>
            <w:sdt>
              <w:sdtPr>
                <w:rPr>
                  <w:rFonts w:hint="eastAsia"/>
                </w:rPr>
                <w:alias w:val="固定资产情况明细-项目名称"/>
                <w:tag w:val="_GBC_936a8499167f477aab1a2942b2fdbdaf"/>
                <w:id w:val="-2132164954"/>
                <w:lock w:val="sdtLocked"/>
                <w:text/>
              </w:sdtPr>
              <w:sdtEndPr/>
              <w:sdtContent>
                <w:tc>
                  <w:tcPr>
                    <w:tcW w:w="573" w:type="pct"/>
                    <w:shd w:val="clear" w:color="auto" w:fill="auto"/>
                    <w:vAlign w:val="center"/>
                  </w:tcPr>
                  <w:p w14:paraId="7ECFB08E" w14:textId="47E48BF1" w:rsidR="007E7472" w:rsidRDefault="006F3F93">
                    <w:pPr>
                      <w:jc w:val="center"/>
                    </w:pPr>
                    <w:r>
                      <w:rPr>
                        <w:rFonts w:hint="eastAsia"/>
                      </w:rPr>
                      <w:t>土地</w:t>
                    </w:r>
                  </w:p>
                </w:tc>
              </w:sdtContent>
            </w:sdt>
            <w:sdt>
              <w:sdtPr>
                <w:rPr>
                  <w:rFonts w:hint="eastAsia"/>
                </w:rPr>
                <w:alias w:val="固定资产情况明细-项目名称"/>
                <w:tag w:val="_GBC_936a8499167f477aab1a2942b2fdbdaf"/>
                <w:id w:val="1405188309"/>
                <w:lock w:val="sdtLocked"/>
                <w:text/>
              </w:sdtPr>
              <w:sdtEndPr/>
              <w:sdtContent>
                <w:tc>
                  <w:tcPr>
                    <w:tcW w:w="498" w:type="pct"/>
                    <w:shd w:val="clear" w:color="auto" w:fill="auto"/>
                    <w:vAlign w:val="center"/>
                  </w:tcPr>
                  <w:p w14:paraId="00B525E2" w14:textId="23ECD463" w:rsidR="007E7472" w:rsidRDefault="006F3F93">
                    <w:pPr>
                      <w:jc w:val="center"/>
                    </w:pPr>
                    <w:r>
                      <w:rPr>
                        <w:rFonts w:hint="eastAsia"/>
                      </w:rPr>
                      <w:t>房屋及建筑物</w:t>
                    </w:r>
                  </w:p>
                </w:tc>
              </w:sdtContent>
            </w:sdt>
            <w:sdt>
              <w:sdtPr>
                <w:rPr>
                  <w:rFonts w:hint="eastAsia"/>
                </w:rPr>
                <w:alias w:val="固定资产情况明细-项目名称"/>
                <w:tag w:val="_GBC_936a8499167f477aab1a2942b2fdbdaf"/>
                <w:id w:val="-728992949"/>
                <w:lock w:val="sdtLocked"/>
                <w:text/>
              </w:sdtPr>
              <w:sdtEndPr/>
              <w:sdtContent>
                <w:tc>
                  <w:tcPr>
                    <w:tcW w:w="412" w:type="pct"/>
                    <w:shd w:val="clear" w:color="auto" w:fill="auto"/>
                    <w:vAlign w:val="center"/>
                  </w:tcPr>
                  <w:p w14:paraId="407B10F7" w14:textId="1A89E889" w:rsidR="007E7472" w:rsidRDefault="006F3F93">
                    <w:pPr>
                      <w:jc w:val="center"/>
                    </w:pPr>
                    <w:r>
                      <w:rPr>
                        <w:rFonts w:hint="eastAsia"/>
                      </w:rPr>
                      <w:t>矿井建筑物</w:t>
                    </w:r>
                  </w:p>
                </w:tc>
              </w:sdtContent>
            </w:sdt>
            <w:sdt>
              <w:sdtPr>
                <w:rPr>
                  <w:rFonts w:hint="eastAsia"/>
                </w:rPr>
                <w:alias w:val="固定资产情况明细-项目名称"/>
                <w:tag w:val="_GBC_936a8499167f477aab1a2942b2fdbdaf"/>
                <w:id w:val="1461390306"/>
                <w:lock w:val="sdtLocked"/>
                <w:text/>
              </w:sdtPr>
              <w:sdtEndPr/>
              <w:sdtContent>
                <w:tc>
                  <w:tcPr>
                    <w:tcW w:w="430" w:type="pct"/>
                    <w:shd w:val="clear" w:color="auto" w:fill="auto"/>
                    <w:vAlign w:val="center"/>
                  </w:tcPr>
                  <w:p w14:paraId="4C46A09C" w14:textId="251BF378" w:rsidR="007E7472" w:rsidRDefault="006F3F93">
                    <w:pPr>
                      <w:jc w:val="center"/>
                    </w:pPr>
                    <w:r>
                      <w:rPr>
                        <w:rFonts w:hint="eastAsia"/>
                      </w:rPr>
                      <w:t>地面建筑物</w:t>
                    </w:r>
                  </w:p>
                </w:tc>
              </w:sdtContent>
            </w:sdt>
            <w:sdt>
              <w:sdtPr>
                <w:rPr>
                  <w:rFonts w:hint="eastAsia"/>
                </w:rPr>
                <w:alias w:val="固定资产情况明细-项目名称"/>
                <w:tag w:val="_GBC_936a8499167f477aab1a2942b2fdbdaf"/>
                <w:id w:val="698589235"/>
                <w:lock w:val="sdtLocked"/>
                <w:text/>
              </w:sdtPr>
              <w:sdtEndPr/>
              <w:sdtContent>
                <w:tc>
                  <w:tcPr>
                    <w:tcW w:w="448" w:type="pct"/>
                    <w:shd w:val="clear" w:color="auto" w:fill="auto"/>
                    <w:vAlign w:val="center"/>
                  </w:tcPr>
                  <w:p w14:paraId="4C8C4D8C" w14:textId="595FCBF3" w:rsidR="007E7472" w:rsidRDefault="006F3F93">
                    <w:pPr>
                      <w:jc w:val="center"/>
                    </w:pPr>
                    <w:r>
                      <w:rPr>
                        <w:rFonts w:hint="eastAsia"/>
                      </w:rPr>
                      <w:t>机器设备</w:t>
                    </w:r>
                  </w:p>
                </w:tc>
              </w:sdtContent>
            </w:sdt>
            <w:sdt>
              <w:sdtPr>
                <w:rPr>
                  <w:rFonts w:hint="eastAsia"/>
                </w:rPr>
                <w:alias w:val="固定资产情况明细-项目名称"/>
                <w:tag w:val="_GBC_936a8499167f477aab1a2942b2fdbdaf"/>
                <w:id w:val="881679679"/>
                <w:lock w:val="sdtLocked"/>
                <w:text/>
              </w:sdtPr>
              <w:sdtEndPr/>
              <w:sdtContent>
                <w:tc>
                  <w:tcPr>
                    <w:tcW w:w="437" w:type="pct"/>
                    <w:shd w:val="clear" w:color="auto" w:fill="auto"/>
                    <w:vAlign w:val="center"/>
                  </w:tcPr>
                  <w:p w14:paraId="3D87DBA3" w14:textId="38642414" w:rsidR="007E7472" w:rsidRDefault="006F3F93">
                    <w:pPr>
                      <w:jc w:val="center"/>
                    </w:pPr>
                    <w:r>
                      <w:rPr>
                        <w:rFonts w:hint="eastAsia"/>
                      </w:rPr>
                      <w:t>运输工具</w:t>
                    </w:r>
                  </w:p>
                </w:tc>
              </w:sdtContent>
            </w:sdt>
            <w:sdt>
              <w:sdtPr>
                <w:rPr>
                  <w:rFonts w:hint="eastAsia"/>
                </w:rPr>
                <w:alias w:val="固定资产情况明细-项目名称"/>
                <w:tag w:val="_GBC_936a8499167f477aab1a2942b2fdbdaf"/>
                <w:id w:val="-1842699241"/>
                <w:lock w:val="sdtLocked"/>
                <w:text/>
              </w:sdtPr>
              <w:sdtEndPr/>
              <w:sdtContent>
                <w:tc>
                  <w:tcPr>
                    <w:tcW w:w="463" w:type="pct"/>
                    <w:shd w:val="clear" w:color="auto" w:fill="auto"/>
                    <w:vAlign w:val="center"/>
                  </w:tcPr>
                  <w:p w14:paraId="2001C5A6" w14:textId="17DFC60A" w:rsidR="007E7472" w:rsidRDefault="006F3F93">
                    <w:pPr>
                      <w:jc w:val="center"/>
                    </w:pPr>
                    <w:r>
                      <w:rPr>
                        <w:rFonts w:hint="eastAsia"/>
                      </w:rPr>
                      <w:t>其他</w:t>
                    </w:r>
                  </w:p>
                </w:tc>
              </w:sdtContent>
            </w:sdt>
            <w:sdt>
              <w:sdtPr>
                <w:tag w:val="_PLD_0b635f975b4949dbb798f88c3dcf1d8d"/>
                <w:id w:val="1741520871"/>
                <w:lock w:val="sdtLocked"/>
              </w:sdtPr>
              <w:sdtEndPr/>
              <w:sdtContent>
                <w:tc>
                  <w:tcPr>
                    <w:tcW w:w="609" w:type="pct"/>
                    <w:shd w:val="clear" w:color="auto" w:fill="auto"/>
                    <w:vAlign w:val="center"/>
                  </w:tcPr>
                  <w:p w14:paraId="7F082514" w14:textId="77777777" w:rsidR="007E7472" w:rsidRDefault="00EC1269">
                    <w:pPr>
                      <w:jc w:val="center"/>
                    </w:pPr>
                    <w:r>
                      <w:rPr>
                        <w:rFonts w:hint="eastAsia"/>
                      </w:rPr>
                      <w:t>合计</w:t>
                    </w:r>
                  </w:p>
                </w:tc>
              </w:sdtContent>
            </w:sdt>
          </w:tr>
          <w:tr w:rsidR="007E7472" w14:paraId="6C213422" w14:textId="77777777" w:rsidTr="007E7472">
            <w:sdt>
              <w:sdtPr>
                <w:tag w:val="_PLD_e1d4e79d72fd45cc925f8729ecef795c"/>
                <w:id w:val="561914433"/>
                <w:lock w:val="sdtLocked"/>
              </w:sdtPr>
              <w:sdtEndPr/>
              <w:sdtContent>
                <w:tc>
                  <w:tcPr>
                    <w:tcW w:w="5000" w:type="pct"/>
                    <w:gridSpan w:val="9"/>
                    <w:shd w:val="clear" w:color="auto" w:fill="auto"/>
                    <w:vAlign w:val="center"/>
                  </w:tcPr>
                  <w:p w14:paraId="28B2BD9F" w14:textId="77777777" w:rsidR="007E7472" w:rsidRDefault="00EC1269">
                    <w:r>
                      <w:rPr>
                        <w:rFonts w:hint="eastAsia"/>
                      </w:rPr>
                      <w:t>一、账面原值：</w:t>
                    </w:r>
                  </w:p>
                </w:tc>
              </w:sdtContent>
            </w:sdt>
          </w:tr>
          <w:tr w:rsidR="007E7472" w14:paraId="79F6AE8D" w14:textId="77777777" w:rsidTr="007E7472">
            <w:sdt>
              <w:sdtPr>
                <w:tag w:val="_PLD_76089fd0a4a0479c8c1f36c514cb7ecd"/>
                <w:id w:val="1707207326"/>
                <w:lock w:val="sdtLocked"/>
              </w:sdtPr>
              <w:sdtEndPr/>
              <w:sdtContent>
                <w:tc>
                  <w:tcPr>
                    <w:tcW w:w="1124" w:type="pct"/>
                    <w:shd w:val="clear" w:color="auto" w:fill="auto"/>
                    <w:vAlign w:val="center"/>
                  </w:tcPr>
                  <w:p w14:paraId="50D9DF1B" w14:textId="77777777" w:rsidR="007E7472" w:rsidRDefault="00EC1269">
                    <w:pPr>
                      <w:ind w:firstLineChars="200" w:firstLine="420"/>
                    </w:pPr>
                    <w:r>
                      <w:t>1.</w:t>
                    </w:r>
                    <w:r>
                      <w:rPr>
                        <w:rFonts w:hint="eastAsia"/>
                      </w:rPr>
                      <w:t>期初余额</w:t>
                    </w:r>
                  </w:p>
                </w:tc>
              </w:sdtContent>
            </w:sdt>
            <w:tc>
              <w:tcPr>
                <w:tcW w:w="573" w:type="pct"/>
                <w:shd w:val="clear" w:color="auto" w:fill="auto"/>
                <w:vAlign w:val="center"/>
              </w:tcPr>
              <w:p w14:paraId="5150F83B" w14:textId="77777777" w:rsidR="007E7472" w:rsidRDefault="00EC1269">
                <w:pPr>
                  <w:jc w:val="right"/>
                  <w:rPr>
                    <w:sz w:val="24"/>
                    <w:szCs w:val="24"/>
                  </w:rPr>
                </w:pPr>
                <w:r>
                  <w:t>1,442,079</w:t>
                </w:r>
              </w:p>
            </w:tc>
            <w:tc>
              <w:tcPr>
                <w:tcW w:w="498" w:type="pct"/>
                <w:shd w:val="clear" w:color="auto" w:fill="auto"/>
                <w:vAlign w:val="center"/>
              </w:tcPr>
              <w:p w14:paraId="2A4FDF14" w14:textId="77777777" w:rsidR="007E7472" w:rsidRDefault="00EC1269">
                <w:pPr>
                  <w:jc w:val="right"/>
                </w:pPr>
                <w:r>
                  <w:t>12,270,803</w:t>
                </w:r>
              </w:p>
            </w:tc>
            <w:tc>
              <w:tcPr>
                <w:tcW w:w="412" w:type="pct"/>
                <w:shd w:val="clear" w:color="auto" w:fill="auto"/>
                <w:vAlign w:val="center"/>
              </w:tcPr>
              <w:p w14:paraId="552DCE77" w14:textId="77777777" w:rsidR="007E7472" w:rsidRDefault="00EC1269">
                <w:pPr>
                  <w:jc w:val="right"/>
                </w:pPr>
                <w:r>
                  <w:t>29,254,572</w:t>
                </w:r>
              </w:p>
            </w:tc>
            <w:tc>
              <w:tcPr>
                <w:tcW w:w="430" w:type="pct"/>
                <w:shd w:val="clear" w:color="auto" w:fill="auto"/>
                <w:vAlign w:val="center"/>
              </w:tcPr>
              <w:p w14:paraId="5956A104" w14:textId="77777777" w:rsidR="007E7472" w:rsidRDefault="00EC1269">
                <w:pPr>
                  <w:jc w:val="right"/>
                </w:pPr>
                <w:r>
                  <w:t>16,605,080</w:t>
                </w:r>
              </w:p>
            </w:tc>
            <w:tc>
              <w:tcPr>
                <w:tcW w:w="448" w:type="pct"/>
                <w:shd w:val="clear" w:color="auto" w:fill="auto"/>
                <w:vAlign w:val="center"/>
              </w:tcPr>
              <w:p w14:paraId="6B6C04F8" w14:textId="77777777" w:rsidR="007E7472" w:rsidRDefault="00EC1269">
                <w:pPr>
                  <w:jc w:val="right"/>
                </w:pPr>
                <w:r>
                  <w:t>74,868,341</w:t>
                </w:r>
              </w:p>
            </w:tc>
            <w:tc>
              <w:tcPr>
                <w:tcW w:w="437" w:type="pct"/>
                <w:shd w:val="clear" w:color="auto" w:fill="auto"/>
                <w:vAlign w:val="center"/>
              </w:tcPr>
              <w:p w14:paraId="2A079B3A" w14:textId="77777777" w:rsidR="007E7472" w:rsidRDefault="00EC1269">
                <w:pPr>
                  <w:jc w:val="right"/>
                </w:pPr>
                <w:r>
                  <w:t>2,078,108</w:t>
                </w:r>
              </w:p>
            </w:tc>
            <w:tc>
              <w:tcPr>
                <w:tcW w:w="463" w:type="pct"/>
                <w:shd w:val="clear" w:color="auto" w:fill="auto"/>
                <w:vAlign w:val="center"/>
              </w:tcPr>
              <w:p w14:paraId="00DAC0BD" w14:textId="77777777" w:rsidR="007E7472" w:rsidRDefault="00EC1269">
                <w:pPr>
                  <w:jc w:val="right"/>
                </w:pPr>
                <w:r>
                  <w:t>6,960,922</w:t>
                </w:r>
              </w:p>
            </w:tc>
            <w:tc>
              <w:tcPr>
                <w:tcW w:w="609" w:type="pct"/>
                <w:shd w:val="clear" w:color="auto" w:fill="auto"/>
                <w:vAlign w:val="center"/>
              </w:tcPr>
              <w:p w14:paraId="6320BCC5" w14:textId="77777777" w:rsidR="007E7472" w:rsidRDefault="00EC1269">
                <w:pPr>
                  <w:jc w:val="right"/>
                </w:pPr>
                <w:r>
                  <w:t>143,479,905</w:t>
                </w:r>
              </w:p>
            </w:tc>
          </w:tr>
          <w:tr w:rsidR="007E7472" w14:paraId="1A6CE529" w14:textId="77777777" w:rsidTr="007E7472">
            <w:sdt>
              <w:sdtPr>
                <w:tag w:val="_PLD_ee436c0e086043f0a5f400c99fbf0df9"/>
                <w:id w:val="615722541"/>
                <w:lock w:val="sdtLocked"/>
              </w:sdtPr>
              <w:sdtEndPr/>
              <w:sdtContent>
                <w:tc>
                  <w:tcPr>
                    <w:tcW w:w="1124" w:type="pct"/>
                    <w:shd w:val="clear" w:color="auto" w:fill="auto"/>
                    <w:vAlign w:val="center"/>
                  </w:tcPr>
                  <w:p w14:paraId="07934C7D" w14:textId="77777777" w:rsidR="007E7472" w:rsidRDefault="00EC1269">
                    <w:pPr>
                      <w:ind w:firstLineChars="200" w:firstLine="420"/>
                    </w:pPr>
                    <w:r>
                      <w:t>2.</w:t>
                    </w:r>
                    <w:r>
                      <w:rPr>
                        <w:rFonts w:hint="eastAsia"/>
                      </w:rPr>
                      <w:t>本期增加金额</w:t>
                    </w:r>
                  </w:p>
                </w:tc>
              </w:sdtContent>
            </w:sdt>
            <w:tc>
              <w:tcPr>
                <w:tcW w:w="573" w:type="pct"/>
                <w:shd w:val="clear" w:color="auto" w:fill="auto"/>
                <w:vAlign w:val="center"/>
              </w:tcPr>
              <w:p w14:paraId="38EA153A" w14:textId="77777777" w:rsidR="007E7472" w:rsidRDefault="00EC1269">
                <w:pPr>
                  <w:jc w:val="right"/>
                  <w:rPr>
                    <w:sz w:val="24"/>
                    <w:szCs w:val="24"/>
                  </w:rPr>
                </w:pPr>
                <w:r>
                  <w:t>850</w:t>
                </w:r>
              </w:p>
            </w:tc>
            <w:tc>
              <w:tcPr>
                <w:tcW w:w="498" w:type="pct"/>
                <w:shd w:val="clear" w:color="auto" w:fill="auto"/>
                <w:vAlign w:val="center"/>
              </w:tcPr>
              <w:p w14:paraId="073D264B" w14:textId="77777777" w:rsidR="007E7472" w:rsidRDefault="00EC1269">
                <w:pPr>
                  <w:jc w:val="right"/>
                </w:pPr>
                <w:r>
                  <w:t>584,908</w:t>
                </w:r>
              </w:p>
            </w:tc>
            <w:tc>
              <w:tcPr>
                <w:tcW w:w="412" w:type="pct"/>
                <w:shd w:val="clear" w:color="auto" w:fill="auto"/>
                <w:vAlign w:val="center"/>
              </w:tcPr>
              <w:p w14:paraId="4FF2C504" w14:textId="77777777" w:rsidR="007E7472" w:rsidRDefault="00EC1269">
                <w:pPr>
                  <w:jc w:val="right"/>
                </w:pPr>
                <w:r>
                  <w:t>412,588</w:t>
                </w:r>
              </w:p>
            </w:tc>
            <w:tc>
              <w:tcPr>
                <w:tcW w:w="430" w:type="pct"/>
                <w:shd w:val="clear" w:color="auto" w:fill="auto"/>
                <w:vAlign w:val="center"/>
              </w:tcPr>
              <w:p w14:paraId="2F7D0604" w14:textId="77777777" w:rsidR="007E7472" w:rsidRDefault="00EC1269">
                <w:pPr>
                  <w:jc w:val="right"/>
                </w:pPr>
                <w:r>
                  <w:t>344,132</w:t>
                </w:r>
              </w:p>
            </w:tc>
            <w:tc>
              <w:tcPr>
                <w:tcW w:w="448" w:type="pct"/>
                <w:shd w:val="clear" w:color="auto" w:fill="auto"/>
                <w:vAlign w:val="center"/>
              </w:tcPr>
              <w:p w14:paraId="6A5C9FF1" w14:textId="77777777" w:rsidR="007E7472" w:rsidRDefault="00EC1269">
                <w:pPr>
                  <w:jc w:val="right"/>
                </w:pPr>
                <w:r>
                  <w:t>2,855,355</w:t>
                </w:r>
              </w:p>
            </w:tc>
            <w:tc>
              <w:tcPr>
                <w:tcW w:w="437" w:type="pct"/>
                <w:shd w:val="clear" w:color="auto" w:fill="auto"/>
                <w:vAlign w:val="center"/>
              </w:tcPr>
              <w:p w14:paraId="7E70CE3E" w14:textId="77777777" w:rsidR="007E7472" w:rsidRDefault="00EC1269">
                <w:pPr>
                  <w:jc w:val="right"/>
                </w:pPr>
                <w:r>
                  <w:t>144</w:t>
                </w:r>
              </w:p>
            </w:tc>
            <w:tc>
              <w:tcPr>
                <w:tcW w:w="463" w:type="pct"/>
                <w:shd w:val="clear" w:color="auto" w:fill="auto"/>
                <w:vAlign w:val="center"/>
              </w:tcPr>
              <w:p w14:paraId="48A51DBA" w14:textId="77777777" w:rsidR="007E7472" w:rsidRDefault="00EC1269">
                <w:pPr>
                  <w:jc w:val="right"/>
                </w:pPr>
                <w:r>
                  <w:t>30,892</w:t>
                </w:r>
              </w:p>
            </w:tc>
            <w:tc>
              <w:tcPr>
                <w:tcW w:w="609" w:type="pct"/>
                <w:shd w:val="clear" w:color="auto" w:fill="auto"/>
                <w:vAlign w:val="center"/>
              </w:tcPr>
              <w:p w14:paraId="0172567F" w14:textId="77777777" w:rsidR="007E7472" w:rsidRDefault="00EC1269">
                <w:pPr>
                  <w:jc w:val="right"/>
                </w:pPr>
                <w:r>
                  <w:t>4,228,869</w:t>
                </w:r>
              </w:p>
            </w:tc>
          </w:tr>
          <w:tr w:rsidR="007E7472" w14:paraId="7CEA9C00" w14:textId="77777777" w:rsidTr="007E7472">
            <w:sdt>
              <w:sdtPr>
                <w:tag w:val="_PLD_52f208e0e9cd4154b48b25225e9d4e33"/>
                <w:id w:val="-1222593823"/>
                <w:lock w:val="sdtLocked"/>
              </w:sdtPr>
              <w:sdtEndPr/>
              <w:sdtContent>
                <w:tc>
                  <w:tcPr>
                    <w:tcW w:w="1124" w:type="pct"/>
                    <w:shd w:val="clear" w:color="auto" w:fill="auto"/>
                    <w:vAlign w:val="center"/>
                  </w:tcPr>
                  <w:p w14:paraId="5EA01103" w14:textId="77777777" w:rsidR="007E7472" w:rsidRDefault="00EC1269">
                    <w:pPr>
                      <w:ind w:firstLineChars="300" w:firstLine="630"/>
                    </w:pPr>
                    <w:r>
                      <w:rPr>
                        <w:rFonts w:hint="eastAsia"/>
                      </w:rPr>
                      <w:t>（1）购置</w:t>
                    </w:r>
                  </w:p>
                </w:tc>
              </w:sdtContent>
            </w:sdt>
            <w:tc>
              <w:tcPr>
                <w:tcW w:w="573" w:type="pct"/>
                <w:shd w:val="clear" w:color="auto" w:fill="auto"/>
                <w:vAlign w:val="center"/>
              </w:tcPr>
              <w:p w14:paraId="3DB9917F" w14:textId="77777777" w:rsidR="007E7472" w:rsidRDefault="00C8327E">
                <w:pPr>
                  <w:jc w:val="right"/>
                </w:pPr>
              </w:p>
            </w:tc>
            <w:tc>
              <w:tcPr>
                <w:tcW w:w="498" w:type="pct"/>
                <w:shd w:val="clear" w:color="auto" w:fill="auto"/>
                <w:vAlign w:val="center"/>
              </w:tcPr>
              <w:p w14:paraId="130F786D" w14:textId="77777777" w:rsidR="007E7472" w:rsidRDefault="00EC1269">
                <w:pPr>
                  <w:jc w:val="right"/>
                </w:pPr>
                <w:r>
                  <w:t>145</w:t>
                </w:r>
              </w:p>
            </w:tc>
            <w:tc>
              <w:tcPr>
                <w:tcW w:w="412" w:type="pct"/>
                <w:shd w:val="clear" w:color="auto" w:fill="auto"/>
                <w:vAlign w:val="center"/>
              </w:tcPr>
              <w:p w14:paraId="538BA56B" w14:textId="77777777" w:rsidR="007E7472" w:rsidRDefault="00C8327E">
                <w:pPr>
                  <w:jc w:val="right"/>
                </w:pPr>
              </w:p>
            </w:tc>
            <w:tc>
              <w:tcPr>
                <w:tcW w:w="430" w:type="pct"/>
                <w:shd w:val="clear" w:color="auto" w:fill="auto"/>
                <w:vAlign w:val="center"/>
              </w:tcPr>
              <w:p w14:paraId="2F55E013" w14:textId="77777777" w:rsidR="007E7472" w:rsidRDefault="00EC1269">
                <w:pPr>
                  <w:jc w:val="right"/>
                </w:pPr>
                <w:r>
                  <w:t>5,007</w:t>
                </w:r>
              </w:p>
            </w:tc>
            <w:tc>
              <w:tcPr>
                <w:tcW w:w="448" w:type="pct"/>
                <w:shd w:val="clear" w:color="auto" w:fill="auto"/>
                <w:vAlign w:val="center"/>
              </w:tcPr>
              <w:p w14:paraId="0C820974" w14:textId="77777777" w:rsidR="007E7472" w:rsidRDefault="00EC1269">
                <w:pPr>
                  <w:jc w:val="right"/>
                </w:pPr>
                <w:r>
                  <w:t>296,576</w:t>
                </w:r>
              </w:p>
            </w:tc>
            <w:tc>
              <w:tcPr>
                <w:tcW w:w="437" w:type="pct"/>
                <w:shd w:val="clear" w:color="auto" w:fill="auto"/>
                <w:vAlign w:val="center"/>
              </w:tcPr>
              <w:p w14:paraId="73B164BB" w14:textId="77777777" w:rsidR="007E7472" w:rsidRDefault="00EC1269">
                <w:pPr>
                  <w:jc w:val="right"/>
                </w:pPr>
                <w:r>
                  <w:t>144</w:t>
                </w:r>
              </w:p>
            </w:tc>
            <w:tc>
              <w:tcPr>
                <w:tcW w:w="463" w:type="pct"/>
                <w:shd w:val="clear" w:color="auto" w:fill="auto"/>
                <w:vAlign w:val="center"/>
              </w:tcPr>
              <w:p w14:paraId="77723F9C" w14:textId="77777777" w:rsidR="007E7472" w:rsidRDefault="00EC1269">
                <w:pPr>
                  <w:jc w:val="right"/>
                </w:pPr>
                <w:r>
                  <w:t>20,687</w:t>
                </w:r>
              </w:p>
            </w:tc>
            <w:tc>
              <w:tcPr>
                <w:tcW w:w="609" w:type="pct"/>
                <w:shd w:val="clear" w:color="auto" w:fill="auto"/>
                <w:vAlign w:val="center"/>
              </w:tcPr>
              <w:p w14:paraId="74FF303D" w14:textId="77777777" w:rsidR="007E7472" w:rsidRDefault="00EC1269">
                <w:pPr>
                  <w:jc w:val="right"/>
                </w:pPr>
                <w:r>
                  <w:t>322,559</w:t>
                </w:r>
              </w:p>
            </w:tc>
          </w:tr>
          <w:tr w:rsidR="007E7472" w14:paraId="7AB413F8" w14:textId="77777777" w:rsidTr="007E7472">
            <w:sdt>
              <w:sdtPr>
                <w:tag w:val="_PLD_c449c35eb24a41ae87b7fabcc7ac49f2"/>
                <w:id w:val="-985238813"/>
                <w:lock w:val="sdtLocked"/>
              </w:sdtPr>
              <w:sdtEndPr/>
              <w:sdtContent>
                <w:tc>
                  <w:tcPr>
                    <w:tcW w:w="1124" w:type="pct"/>
                    <w:shd w:val="clear" w:color="auto" w:fill="auto"/>
                    <w:vAlign w:val="center"/>
                  </w:tcPr>
                  <w:p w14:paraId="4F6FB857" w14:textId="77777777" w:rsidR="007E7472" w:rsidRDefault="00EC1269">
                    <w:pPr>
                      <w:ind w:firstLineChars="300" w:firstLine="630"/>
                    </w:pPr>
                    <w:r>
                      <w:rPr>
                        <w:rFonts w:hint="eastAsia"/>
                      </w:rPr>
                      <w:t>（2）在建工程转入</w:t>
                    </w:r>
                  </w:p>
                </w:tc>
              </w:sdtContent>
            </w:sdt>
            <w:tc>
              <w:tcPr>
                <w:tcW w:w="573" w:type="pct"/>
                <w:shd w:val="clear" w:color="auto" w:fill="auto"/>
                <w:vAlign w:val="center"/>
              </w:tcPr>
              <w:p w14:paraId="0BFFC3B1" w14:textId="77777777" w:rsidR="007E7472" w:rsidRDefault="00EC1269">
                <w:pPr>
                  <w:jc w:val="right"/>
                </w:pPr>
                <w:r>
                  <w:t>850</w:t>
                </w:r>
              </w:p>
            </w:tc>
            <w:tc>
              <w:tcPr>
                <w:tcW w:w="498" w:type="pct"/>
                <w:shd w:val="clear" w:color="auto" w:fill="auto"/>
                <w:vAlign w:val="center"/>
              </w:tcPr>
              <w:p w14:paraId="6E0307DC" w14:textId="77777777" w:rsidR="007E7472" w:rsidRDefault="00EC1269">
                <w:pPr>
                  <w:jc w:val="right"/>
                </w:pPr>
                <w:r>
                  <w:t>69,728</w:t>
                </w:r>
              </w:p>
            </w:tc>
            <w:tc>
              <w:tcPr>
                <w:tcW w:w="412" w:type="pct"/>
                <w:shd w:val="clear" w:color="auto" w:fill="auto"/>
                <w:vAlign w:val="center"/>
              </w:tcPr>
              <w:p w14:paraId="0551635C" w14:textId="77777777" w:rsidR="007E7472" w:rsidRDefault="00EC1269">
                <w:pPr>
                  <w:jc w:val="right"/>
                </w:pPr>
                <w:r>
                  <w:t>412,588</w:t>
                </w:r>
              </w:p>
            </w:tc>
            <w:tc>
              <w:tcPr>
                <w:tcW w:w="430" w:type="pct"/>
                <w:shd w:val="clear" w:color="auto" w:fill="auto"/>
                <w:vAlign w:val="center"/>
              </w:tcPr>
              <w:p w14:paraId="1E5D6B35" w14:textId="77777777" w:rsidR="007E7472" w:rsidRDefault="00EC1269">
                <w:pPr>
                  <w:jc w:val="right"/>
                </w:pPr>
                <w:r>
                  <w:t>7,289</w:t>
                </w:r>
              </w:p>
            </w:tc>
            <w:tc>
              <w:tcPr>
                <w:tcW w:w="448" w:type="pct"/>
                <w:shd w:val="clear" w:color="auto" w:fill="auto"/>
                <w:vAlign w:val="center"/>
              </w:tcPr>
              <w:p w14:paraId="00E69F3C" w14:textId="77777777" w:rsidR="007E7472" w:rsidRDefault="00EC1269">
                <w:pPr>
                  <w:jc w:val="right"/>
                </w:pPr>
                <w:r>
                  <w:t>856,504</w:t>
                </w:r>
              </w:p>
            </w:tc>
            <w:tc>
              <w:tcPr>
                <w:tcW w:w="437" w:type="pct"/>
                <w:shd w:val="clear" w:color="auto" w:fill="auto"/>
                <w:vAlign w:val="center"/>
              </w:tcPr>
              <w:p w14:paraId="2A775F25" w14:textId="77777777" w:rsidR="007E7472" w:rsidRDefault="00C8327E">
                <w:pPr>
                  <w:jc w:val="right"/>
                </w:pPr>
              </w:p>
            </w:tc>
            <w:tc>
              <w:tcPr>
                <w:tcW w:w="463" w:type="pct"/>
                <w:shd w:val="clear" w:color="auto" w:fill="auto"/>
                <w:vAlign w:val="center"/>
              </w:tcPr>
              <w:p w14:paraId="4089D793" w14:textId="77777777" w:rsidR="007E7472" w:rsidRDefault="00EC1269">
                <w:pPr>
                  <w:jc w:val="right"/>
                </w:pPr>
                <w:r>
                  <w:t>645</w:t>
                </w:r>
              </w:p>
            </w:tc>
            <w:tc>
              <w:tcPr>
                <w:tcW w:w="609" w:type="pct"/>
                <w:shd w:val="clear" w:color="auto" w:fill="auto"/>
                <w:vAlign w:val="center"/>
              </w:tcPr>
              <w:p w14:paraId="031FEC2C" w14:textId="77777777" w:rsidR="007E7472" w:rsidRDefault="00EC1269">
                <w:pPr>
                  <w:jc w:val="right"/>
                </w:pPr>
                <w:r>
                  <w:t>1,347,604</w:t>
                </w:r>
              </w:p>
            </w:tc>
          </w:tr>
          <w:tr w:rsidR="007E7472" w14:paraId="25860032" w14:textId="77777777" w:rsidTr="007E7472">
            <w:sdt>
              <w:sdtPr>
                <w:alias w:val="固定资产账面原值增加项目名称"/>
                <w:tag w:val="_GBC_4d32d042060b4c8aa7f965b96f5580a8"/>
                <w:id w:val="-994335377"/>
                <w:lock w:val="sdtLocked"/>
              </w:sdtPr>
              <w:sdtEndPr/>
              <w:sdtContent>
                <w:tc>
                  <w:tcPr>
                    <w:tcW w:w="1124" w:type="pct"/>
                    <w:shd w:val="clear" w:color="auto" w:fill="auto"/>
                    <w:vAlign w:val="center"/>
                  </w:tcPr>
                  <w:p w14:paraId="696F15F1" w14:textId="77777777" w:rsidR="007E7472" w:rsidRDefault="00EC1269">
                    <w:pPr>
                      <w:ind w:firstLineChars="300" w:firstLine="630"/>
                    </w:pPr>
                    <w:r>
                      <w:rPr>
                        <w:rFonts w:hint="eastAsia"/>
                      </w:rPr>
                      <w:t>（3）企业合并增加</w:t>
                    </w:r>
                  </w:p>
                </w:tc>
              </w:sdtContent>
            </w:sdt>
            <w:sdt>
              <w:sdtPr>
                <w:alias w:val="固定资产账面原值增加项目金额"/>
                <w:tag w:val="_GBC_c2ca665b86c0425dba69c4867b84d3f4"/>
                <w:id w:val="-125473690"/>
                <w:lock w:val="sdtLocked"/>
                <w:showingPlcHdr/>
              </w:sdtPr>
              <w:sdtEndPr/>
              <w:sdtContent>
                <w:tc>
                  <w:tcPr>
                    <w:tcW w:w="573" w:type="pct"/>
                    <w:shd w:val="clear" w:color="auto" w:fill="auto"/>
                    <w:vAlign w:val="center"/>
                  </w:tcPr>
                  <w:p w14:paraId="65A9B144" w14:textId="77777777" w:rsidR="007E7472" w:rsidRDefault="00EC1269">
                    <w:pPr>
                      <w:jc w:val="right"/>
                    </w:pPr>
                    <w:r>
                      <w:t xml:space="preserve">     </w:t>
                    </w:r>
                  </w:p>
                </w:tc>
              </w:sdtContent>
            </w:sdt>
            <w:sdt>
              <w:sdtPr>
                <w:alias w:val="固定资产账面原值增加项目金额"/>
                <w:tag w:val="_GBC_c2ca665b86c0425dba69c4867b84d3f4"/>
                <w:id w:val="-371537803"/>
                <w:lock w:val="sdtLocked"/>
                <w:showingPlcHdr/>
              </w:sdtPr>
              <w:sdtEndPr/>
              <w:sdtContent>
                <w:tc>
                  <w:tcPr>
                    <w:tcW w:w="498" w:type="pct"/>
                    <w:shd w:val="clear" w:color="auto" w:fill="auto"/>
                    <w:vAlign w:val="center"/>
                  </w:tcPr>
                  <w:p w14:paraId="3A025B11" w14:textId="77777777" w:rsidR="007E7472" w:rsidRDefault="00EC1269">
                    <w:pPr>
                      <w:jc w:val="right"/>
                    </w:pPr>
                    <w:r>
                      <w:t xml:space="preserve">     </w:t>
                    </w:r>
                  </w:p>
                </w:tc>
              </w:sdtContent>
            </w:sdt>
            <w:sdt>
              <w:sdtPr>
                <w:alias w:val="固定资产账面原值增加项目金额"/>
                <w:tag w:val="_GBC_c2ca665b86c0425dba69c4867b84d3f4"/>
                <w:id w:val="-1478836119"/>
                <w:lock w:val="sdtLocked"/>
                <w:showingPlcHdr/>
              </w:sdtPr>
              <w:sdtEndPr/>
              <w:sdtContent>
                <w:tc>
                  <w:tcPr>
                    <w:tcW w:w="412" w:type="pct"/>
                    <w:shd w:val="clear" w:color="auto" w:fill="auto"/>
                    <w:vAlign w:val="center"/>
                  </w:tcPr>
                  <w:p w14:paraId="076C5B18" w14:textId="77777777" w:rsidR="007E7472" w:rsidRDefault="00EC1269">
                    <w:pPr>
                      <w:jc w:val="right"/>
                    </w:pPr>
                    <w:r>
                      <w:t xml:space="preserve">     </w:t>
                    </w:r>
                  </w:p>
                </w:tc>
              </w:sdtContent>
            </w:sdt>
            <w:sdt>
              <w:sdtPr>
                <w:alias w:val="固定资产账面原值增加项目金额"/>
                <w:tag w:val="_GBC_c2ca665b86c0425dba69c4867b84d3f4"/>
                <w:id w:val="-286895271"/>
                <w:lock w:val="sdtLocked"/>
                <w:showingPlcHdr/>
              </w:sdtPr>
              <w:sdtEndPr/>
              <w:sdtContent>
                <w:tc>
                  <w:tcPr>
                    <w:tcW w:w="430" w:type="pct"/>
                    <w:shd w:val="clear" w:color="auto" w:fill="auto"/>
                    <w:vAlign w:val="center"/>
                  </w:tcPr>
                  <w:p w14:paraId="62EF58DF" w14:textId="77777777" w:rsidR="007E7472" w:rsidRDefault="00EC1269">
                    <w:pPr>
                      <w:jc w:val="right"/>
                    </w:pPr>
                    <w:r>
                      <w:t xml:space="preserve">     </w:t>
                    </w:r>
                  </w:p>
                </w:tc>
              </w:sdtContent>
            </w:sdt>
            <w:sdt>
              <w:sdtPr>
                <w:alias w:val="固定资产账面原值增加项目金额"/>
                <w:tag w:val="_GBC_c2ca665b86c0425dba69c4867b84d3f4"/>
                <w:id w:val="-608425373"/>
                <w:lock w:val="sdtLocked"/>
                <w:showingPlcHdr/>
              </w:sdtPr>
              <w:sdtEndPr/>
              <w:sdtContent>
                <w:tc>
                  <w:tcPr>
                    <w:tcW w:w="448" w:type="pct"/>
                    <w:shd w:val="clear" w:color="auto" w:fill="auto"/>
                    <w:vAlign w:val="center"/>
                  </w:tcPr>
                  <w:p w14:paraId="133142D9" w14:textId="77777777" w:rsidR="007E7472" w:rsidRDefault="00EC1269">
                    <w:pPr>
                      <w:jc w:val="right"/>
                    </w:pPr>
                    <w:r>
                      <w:t xml:space="preserve">     </w:t>
                    </w:r>
                  </w:p>
                </w:tc>
              </w:sdtContent>
            </w:sdt>
            <w:sdt>
              <w:sdtPr>
                <w:alias w:val="固定资产账面原值增加项目金额"/>
                <w:tag w:val="_GBC_c2ca665b86c0425dba69c4867b84d3f4"/>
                <w:id w:val="1675305762"/>
                <w:lock w:val="sdtLocked"/>
                <w:showingPlcHdr/>
              </w:sdtPr>
              <w:sdtEndPr/>
              <w:sdtContent>
                <w:tc>
                  <w:tcPr>
                    <w:tcW w:w="437" w:type="pct"/>
                    <w:shd w:val="clear" w:color="auto" w:fill="auto"/>
                    <w:vAlign w:val="center"/>
                  </w:tcPr>
                  <w:p w14:paraId="63DE3E85" w14:textId="77777777" w:rsidR="007E7472" w:rsidRDefault="00EC1269">
                    <w:pPr>
                      <w:jc w:val="right"/>
                    </w:pPr>
                    <w:r>
                      <w:t xml:space="preserve">     </w:t>
                    </w:r>
                  </w:p>
                </w:tc>
              </w:sdtContent>
            </w:sdt>
            <w:sdt>
              <w:sdtPr>
                <w:alias w:val="固定资产账面原值增加项目金额"/>
                <w:tag w:val="_GBC_c2ca665b86c0425dba69c4867b84d3f4"/>
                <w:id w:val="724031952"/>
                <w:lock w:val="sdtLocked"/>
                <w:showingPlcHdr/>
              </w:sdtPr>
              <w:sdtEndPr/>
              <w:sdtContent>
                <w:tc>
                  <w:tcPr>
                    <w:tcW w:w="463" w:type="pct"/>
                    <w:shd w:val="clear" w:color="auto" w:fill="auto"/>
                    <w:vAlign w:val="center"/>
                  </w:tcPr>
                  <w:p w14:paraId="60115D4A" w14:textId="77777777" w:rsidR="007E7472" w:rsidRDefault="00EC1269">
                    <w:pPr>
                      <w:jc w:val="right"/>
                    </w:pPr>
                    <w:r>
                      <w:t xml:space="preserve">     </w:t>
                    </w:r>
                  </w:p>
                </w:tc>
              </w:sdtContent>
            </w:sdt>
            <w:sdt>
              <w:sdtPr>
                <w:alias w:val="固定资产账面原值增加项目合计金额"/>
                <w:tag w:val="_GBC_001e75f32bd54007926becb1d5aa914d"/>
                <w:id w:val="1651324978"/>
                <w:lock w:val="sdtLocked"/>
                <w:showingPlcHdr/>
              </w:sdtPr>
              <w:sdtEndPr/>
              <w:sdtContent>
                <w:tc>
                  <w:tcPr>
                    <w:tcW w:w="609" w:type="pct"/>
                    <w:shd w:val="clear" w:color="auto" w:fill="auto"/>
                    <w:vAlign w:val="center"/>
                  </w:tcPr>
                  <w:p w14:paraId="1534CC15" w14:textId="77777777" w:rsidR="007E7472" w:rsidRDefault="00EC1269">
                    <w:pPr>
                      <w:jc w:val="right"/>
                    </w:pPr>
                    <w:r>
                      <w:t xml:space="preserve">     </w:t>
                    </w:r>
                  </w:p>
                </w:tc>
              </w:sdtContent>
            </w:sdt>
          </w:tr>
          <w:tr w:rsidR="007E7472" w14:paraId="66F4E8D1" w14:textId="77777777" w:rsidTr="007E7472">
            <w:sdt>
              <w:sdtPr>
                <w:alias w:val="固定资产账面原值增加项目名称"/>
                <w:tag w:val="_GBC_4d32d042060b4c8aa7f965b96f5580a8"/>
                <w:id w:val="893473577"/>
                <w:lock w:val="sdtLocked"/>
              </w:sdtPr>
              <w:sdtEndPr/>
              <w:sdtContent>
                <w:tc>
                  <w:tcPr>
                    <w:tcW w:w="1124" w:type="pct"/>
                    <w:shd w:val="clear" w:color="auto" w:fill="auto"/>
                    <w:vAlign w:val="center"/>
                  </w:tcPr>
                  <w:p w14:paraId="20C24B58" w14:textId="77777777" w:rsidR="007E7472" w:rsidRDefault="00EC1269">
                    <w:pPr>
                      <w:ind w:firstLineChars="300" w:firstLine="630"/>
                    </w:pPr>
                    <w:r>
                      <w:rPr>
                        <w:rFonts w:hint="eastAsia"/>
                      </w:rPr>
                      <w:t>（4）重分类转入</w:t>
                    </w:r>
                  </w:p>
                </w:tc>
              </w:sdtContent>
            </w:sdt>
            <w:sdt>
              <w:sdtPr>
                <w:alias w:val="固定资产账面原值增加项目金额"/>
                <w:tag w:val="_GBC_c2ca665b86c0425dba69c4867b84d3f4"/>
                <w:id w:val="-1317878296"/>
                <w:lock w:val="sdtLocked"/>
                <w:showingPlcHdr/>
              </w:sdtPr>
              <w:sdtEndPr/>
              <w:sdtContent>
                <w:tc>
                  <w:tcPr>
                    <w:tcW w:w="573" w:type="pct"/>
                    <w:shd w:val="clear" w:color="auto" w:fill="auto"/>
                    <w:vAlign w:val="center"/>
                  </w:tcPr>
                  <w:p w14:paraId="58D125E4" w14:textId="77777777" w:rsidR="007E7472" w:rsidRDefault="00EC1269">
                    <w:pPr>
                      <w:jc w:val="right"/>
                    </w:pPr>
                    <w:r>
                      <w:t xml:space="preserve">     </w:t>
                    </w:r>
                  </w:p>
                </w:tc>
              </w:sdtContent>
            </w:sdt>
            <w:sdt>
              <w:sdtPr>
                <w:alias w:val="固定资产账面原值增加项目金额"/>
                <w:tag w:val="_GBC_c2ca665b86c0425dba69c4867b84d3f4"/>
                <w:id w:val="-1140260704"/>
                <w:lock w:val="sdtLocked"/>
                <w:showingPlcHdr/>
              </w:sdtPr>
              <w:sdtEndPr/>
              <w:sdtContent>
                <w:tc>
                  <w:tcPr>
                    <w:tcW w:w="498" w:type="pct"/>
                    <w:shd w:val="clear" w:color="auto" w:fill="auto"/>
                    <w:vAlign w:val="center"/>
                  </w:tcPr>
                  <w:p w14:paraId="6AA77B22" w14:textId="77777777" w:rsidR="007E7472" w:rsidRDefault="00EC1269">
                    <w:pPr>
                      <w:jc w:val="right"/>
                    </w:pPr>
                    <w:r>
                      <w:t xml:space="preserve">     </w:t>
                    </w:r>
                  </w:p>
                </w:tc>
              </w:sdtContent>
            </w:sdt>
            <w:sdt>
              <w:sdtPr>
                <w:alias w:val="固定资产账面原值增加项目金额"/>
                <w:tag w:val="_GBC_c2ca665b86c0425dba69c4867b84d3f4"/>
                <w:id w:val="1148868781"/>
                <w:lock w:val="sdtLocked"/>
                <w:showingPlcHdr/>
              </w:sdtPr>
              <w:sdtEndPr/>
              <w:sdtContent>
                <w:tc>
                  <w:tcPr>
                    <w:tcW w:w="412" w:type="pct"/>
                    <w:shd w:val="clear" w:color="auto" w:fill="auto"/>
                    <w:vAlign w:val="center"/>
                  </w:tcPr>
                  <w:p w14:paraId="362BC95A" w14:textId="77777777" w:rsidR="007E7472" w:rsidRDefault="00EC1269">
                    <w:pPr>
                      <w:jc w:val="right"/>
                    </w:pPr>
                    <w:r>
                      <w:t xml:space="preserve">     </w:t>
                    </w:r>
                  </w:p>
                </w:tc>
              </w:sdtContent>
            </w:sdt>
            <w:sdt>
              <w:sdtPr>
                <w:alias w:val="固定资产账面原值增加项目金额"/>
                <w:tag w:val="_GBC_c2ca665b86c0425dba69c4867b84d3f4"/>
                <w:id w:val="899400527"/>
                <w:lock w:val="sdtLocked"/>
              </w:sdtPr>
              <w:sdtEndPr/>
              <w:sdtContent>
                <w:tc>
                  <w:tcPr>
                    <w:tcW w:w="430" w:type="pct"/>
                    <w:shd w:val="clear" w:color="auto" w:fill="auto"/>
                    <w:vAlign w:val="center"/>
                  </w:tcPr>
                  <w:p w14:paraId="48D86127" w14:textId="77777777" w:rsidR="007E7472" w:rsidRDefault="00EC1269">
                    <w:pPr>
                      <w:jc w:val="right"/>
                    </w:pPr>
                    <w:r>
                      <w:t>331,836</w:t>
                    </w:r>
                  </w:p>
                </w:tc>
              </w:sdtContent>
            </w:sdt>
            <w:sdt>
              <w:sdtPr>
                <w:alias w:val="固定资产账面原值增加项目金额"/>
                <w:tag w:val="_GBC_c2ca665b86c0425dba69c4867b84d3f4"/>
                <w:id w:val="478344906"/>
                <w:lock w:val="sdtLocked"/>
              </w:sdtPr>
              <w:sdtEndPr/>
              <w:sdtContent>
                <w:tc>
                  <w:tcPr>
                    <w:tcW w:w="448" w:type="pct"/>
                    <w:shd w:val="clear" w:color="auto" w:fill="auto"/>
                    <w:vAlign w:val="center"/>
                  </w:tcPr>
                  <w:p w14:paraId="3013FEBE" w14:textId="77777777" w:rsidR="007E7472" w:rsidRDefault="00EC1269">
                    <w:pPr>
                      <w:jc w:val="right"/>
                    </w:pPr>
                    <w:r>
                      <w:t>1,702,275</w:t>
                    </w:r>
                  </w:p>
                </w:tc>
              </w:sdtContent>
            </w:sdt>
            <w:sdt>
              <w:sdtPr>
                <w:alias w:val="固定资产账面原值增加项目金额"/>
                <w:tag w:val="_GBC_c2ca665b86c0425dba69c4867b84d3f4"/>
                <w:id w:val="355313851"/>
                <w:lock w:val="sdtLocked"/>
                <w:showingPlcHdr/>
              </w:sdtPr>
              <w:sdtEndPr/>
              <w:sdtContent>
                <w:tc>
                  <w:tcPr>
                    <w:tcW w:w="437" w:type="pct"/>
                    <w:shd w:val="clear" w:color="auto" w:fill="auto"/>
                    <w:vAlign w:val="center"/>
                  </w:tcPr>
                  <w:p w14:paraId="0A20963E" w14:textId="77777777" w:rsidR="007E7472" w:rsidRDefault="00EC1269">
                    <w:pPr>
                      <w:jc w:val="right"/>
                    </w:pPr>
                    <w:r>
                      <w:t xml:space="preserve">     </w:t>
                    </w:r>
                  </w:p>
                </w:tc>
              </w:sdtContent>
            </w:sdt>
            <w:sdt>
              <w:sdtPr>
                <w:alias w:val="固定资产账面原值增加项目金额"/>
                <w:tag w:val="_GBC_c2ca665b86c0425dba69c4867b84d3f4"/>
                <w:id w:val="1575852088"/>
                <w:lock w:val="sdtLocked"/>
              </w:sdtPr>
              <w:sdtEndPr/>
              <w:sdtContent>
                <w:tc>
                  <w:tcPr>
                    <w:tcW w:w="463" w:type="pct"/>
                    <w:shd w:val="clear" w:color="auto" w:fill="auto"/>
                    <w:vAlign w:val="center"/>
                  </w:tcPr>
                  <w:p w14:paraId="1F308C7C" w14:textId="77777777" w:rsidR="007E7472" w:rsidRDefault="00EC1269">
                    <w:pPr>
                      <w:jc w:val="right"/>
                    </w:pPr>
                    <w:r>
                      <w:t>9,560</w:t>
                    </w:r>
                  </w:p>
                </w:tc>
              </w:sdtContent>
            </w:sdt>
            <w:sdt>
              <w:sdtPr>
                <w:alias w:val="固定资产账面原值增加项目合计金额"/>
                <w:tag w:val="_GBC_001e75f32bd54007926becb1d5aa914d"/>
                <w:id w:val="-356892661"/>
                <w:lock w:val="sdtLocked"/>
              </w:sdtPr>
              <w:sdtEndPr/>
              <w:sdtContent>
                <w:tc>
                  <w:tcPr>
                    <w:tcW w:w="609" w:type="pct"/>
                    <w:shd w:val="clear" w:color="auto" w:fill="auto"/>
                    <w:vAlign w:val="center"/>
                  </w:tcPr>
                  <w:p w14:paraId="248A4139" w14:textId="77777777" w:rsidR="007E7472" w:rsidRDefault="00EC1269">
                    <w:pPr>
                      <w:jc w:val="right"/>
                    </w:pPr>
                    <w:r>
                      <w:t>2,043,671</w:t>
                    </w:r>
                  </w:p>
                </w:tc>
              </w:sdtContent>
            </w:sdt>
          </w:tr>
          <w:tr w:rsidR="007E7472" w14:paraId="7B14E929" w14:textId="77777777" w:rsidTr="007E7472">
            <w:sdt>
              <w:sdtPr>
                <w:alias w:val="固定资产账面原值增加项目名称"/>
                <w:tag w:val="_GBC_4d32d042060b4c8aa7f965b96f5580a8"/>
                <w:id w:val="711155263"/>
                <w:lock w:val="sdtLocked"/>
              </w:sdtPr>
              <w:sdtEndPr/>
              <w:sdtContent>
                <w:tc>
                  <w:tcPr>
                    <w:tcW w:w="1124" w:type="pct"/>
                    <w:shd w:val="clear" w:color="auto" w:fill="auto"/>
                    <w:vAlign w:val="center"/>
                  </w:tcPr>
                  <w:p w14:paraId="5C949435" w14:textId="77777777" w:rsidR="007E7472" w:rsidRDefault="00EC1269">
                    <w:pPr>
                      <w:ind w:firstLineChars="300" w:firstLine="630"/>
                    </w:pPr>
                    <w:r>
                      <w:rPr>
                        <w:rFonts w:hint="eastAsia"/>
                      </w:rPr>
                      <w:t>（5）使用权资产转入</w:t>
                    </w:r>
                  </w:p>
                </w:tc>
              </w:sdtContent>
            </w:sdt>
            <w:sdt>
              <w:sdtPr>
                <w:alias w:val="固定资产账面原值增加项目金额"/>
                <w:tag w:val="_GBC_c2ca665b86c0425dba69c4867b84d3f4"/>
                <w:id w:val="-336547058"/>
                <w:lock w:val="sdtLocked"/>
                <w:showingPlcHdr/>
              </w:sdtPr>
              <w:sdtEndPr/>
              <w:sdtContent>
                <w:tc>
                  <w:tcPr>
                    <w:tcW w:w="573" w:type="pct"/>
                    <w:shd w:val="clear" w:color="auto" w:fill="auto"/>
                    <w:vAlign w:val="center"/>
                  </w:tcPr>
                  <w:p w14:paraId="4B069FE0" w14:textId="77777777" w:rsidR="007E7472" w:rsidRDefault="00EC1269">
                    <w:pPr>
                      <w:jc w:val="right"/>
                    </w:pPr>
                    <w:r>
                      <w:t xml:space="preserve">     </w:t>
                    </w:r>
                  </w:p>
                </w:tc>
              </w:sdtContent>
            </w:sdt>
            <w:sdt>
              <w:sdtPr>
                <w:alias w:val="固定资产账面原值增加项目金额"/>
                <w:tag w:val="_GBC_c2ca665b86c0425dba69c4867b84d3f4"/>
                <w:id w:val="2038536021"/>
                <w:lock w:val="sdtLocked"/>
                <w:showingPlcHdr/>
              </w:sdtPr>
              <w:sdtEndPr/>
              <w:sdtContent>
                <w:tc>
                  <w:tcPr>
                    <w:tcW w:w="498" w:type="pct"/>
                    <w:shd w:val="clear" w:color="auto" w:fill="auto"/>
                    <w:vAlign w:val="center"/>
                  </w:tcPr>
                  <w:p w14:paraId="5830406C" w14:textId="77777777" w:rsidR="007E7472" w:rsidRDefault="00EC1269">
                    <w:pPr>
                      <w:jc w:val="right"/>
                    </w:pPr>
                    <w:r>
                      <w:t xml:space="preserve">     </w:t>
                    </w:r>
                  </w:p>
                </w:tc>
              </w:sdtContent>
            </w:sdt>
            <w:sdt>
              <w:sdtPr>
                <w:alias w:val="固定资产账面原值增加项目金额"/>
                <w:tag w:val="_GBC_c2ca665b86c0425dba69c4867b84d3f4"/>
                <w:id w:val="94448179"/>
                <w:lock w:val="sdtLocked"/>
                <w:showingPlcHdr/>
              </w:sdtPr>
              <w:sdtEndPr/>
              <w:sdtContent>
                <w:tc>
                  <w:tcPr>
                    <w:tcW w:w="412" w:type="pct"/>
                    <w:shd w:val="clear" w:color="auto" w:fill="auto"/>
                    <w:vAlign w:val="center"/>
                  </w:tcPr>
                  <w:p w14:paraId="4E24463A" w14:textId="77777777" w:rsidR="007E7472" w:rsidRDefault="00EC1269">
                    <w:pPr>
                      <w:jc w:val="right"/>
                    </w:pPr>
                    <w:r>
                      <w:t xml:space="preserve">     </w:t>
                    </w:r>
                  </w:p>
                </w:tc>
              </w:sdtContent>
            </w:sdt>
            <w:sdt>
              <w:sdtPr>
                <w:alias w:val="固定资产账面原值增加项目金额"/>
                <w:tag w:val="_GBC_c2ca665b86c0425dba69c4867b84d3f4"/>
                <w:id w:val="1174694303"/>
                <w:lock w:val="sdtLocked"/>
                <w:showingPlcHdr/>
              </w:sdtPr>
              <w:sdtEndPr/>
              <w:sdtContent>
                <w:tc>
                  <w:tcPr>
                    <w:tcW w:w="430" w:type="pct"/>
                    <w:shd w:val="clear" w:color="auto" w:fill="auto"/>
                    <w:vAlign w:val="center"/>
                  </w:tcPr>
                  <w:p w14:paraId="60A6F47D" w14:textId="77777777" w:rsidR="007E7472" w:rsidRDefault="00EC1269">
                    <w:pPr>
                      <w:jc w:val="right"/>
                    </w:pPr>
                    <w:r>
                      <w:t xml:space="preserve">     </w:t>
                    </w:r>
                  </w:p>
                </w:tc>
              </w:sdtContent>
            </w:sdt>
            <w:sdt>
              <w:sdtPr>
                <w:alias w:val="固定资产账面原值增加项目金额"/>
                <w:tag w:val="_GBC_c2ca665b86c0425dba69c4867b84d3f4"/>
                <w:id w:val="1109627275"/>
                <w:lock w:val="sdtLocked"/>
                <w:showingPlcHdr/>
              </w:sdtPr>
              <w:sdtEndPr/>
              <w:sdtContent>
                <w:tc>
                  <w:tcPr>
                    <w:tcW w:w="448" w:type="pct"/>
                    <w:shd w:val="clear" w:color="auto" w:fill="auto"/>
                    <w:vAlign w:val="center"/>
                  </w:tcPr>
                  <w:p w14:paraId="7FFE3BF1" w14:textId="77777777" w:rsidR="007E7472" w:rsidRDefault="00EC1269">
                    <w:pPr>
                      <w:jc w:val="right"/>
                    </w:pPr>
                    <w:r>
                      <w:t xml:space="preserve">     </w:t>
                    </w:r>
                  </w:p>
                </w:tc>
              </w:sdtContent>
            </w:sdt>
            <w:sdt>
              <w:sdtPr>
                <w:alias w:val="固定资产账面原值增加项目金额"/>
                <w:tag w:val="_GBC_c2ca665b86c0425dba69c4867b84d3f4"/>
                <w:id w:val="-344402562"/>
                <w:lock w:val="sdtLocked"/>
                <w:showingPlcHdr/>
              </w:sdtPr>
              <w:sdtEndPr/>
              <w:sdtContent>
                <w:tc>
                  <w:tcPr>
                    <w:tcW w:w="437" w:type="pct"/>
                    <w:shd w:val="clear" w:color="auto" w:fill="auto"/>
                    <w:vAlign w:val="center"/>
                  </w:tcPr>
                  <w:p w14:paraId="574E9944" w14:textId="77777777" w:rsidR="007E7472" w:rsidRDefault="00EC1269">
                    <w:pPr>
                      <w:jc w:val="right"/>
                    </w:pPr>
                    <w:r>
                      <w:t xml:space="preserve">     </w:t>
                    </w:r>
                  </w:p>
                </w:tc>
              </w:sdtContent>
            </w:sdt>
            <w:sdt>
              <w:sdtPr>
                <w:alias w:val="固定资产账面原值增加项目金额"/>
                <w:tag w:val="_GBC_c2ca665b86c0425dba69c4867b84d3f4"/>
                <w:id w:val="-1695143318"/>
                <w:lock w:val="sdtLocked"/>
                <w:showingPlcHdr/>
              </w:sdtPr>
              <w:sdtEndPr/>
              <w:sdtContent>
                <w:tc>
                  <w:tcPr>
                    <w:tcW w:w="463" w:type="pct"/>
                    <w:shd w:val="clear" w:color="auto" w:fill="auto"/>
                    <w:vAlign w:val="center"/>
                  </w:tcPr>
                  <w:p w14:paraId="7D5AA456" w14:textId="77777777" w:rsidR="007E7472" w:rsidRDefault="00EC1269">
                    <w:pPr>
                      <w:jc w:val="right"/>
                    </w:pPr>
                    <w:r>
                      <w:t xml:space="preserve">     </w:t>
                    </w:r>
                  </w:p>
                </w:tc>
              </w:sdtContent>
            </w:sdt>
            <w:sdt>
              <w:sdtPr>
                <w:alias w:val="固定资产账面原值增加项目合计金额"/>
                <w:tag w:val="_GBC_001e75f32bd54007926becb1d5aa914d"/>
                <w:id w:val="-2112969352"/>
                <w:lock w:val="sdtLocked"/>
                <w:showingPlcHdr/>
              </w:sdtPr>
              <w:sdtEndPr/>
              <w:sdtContent>
                <w:tc>
                  <w:tcPr>
                    <w:tcW w:w="609" w:type="pct"/>
                    <w:shd w:val="clear" w:color="auto" w:fill="auto"/>
                    <w:vAlign w:val="center"/>
                  </w:tcPr>
                  <w:p w14:paraId="195F60E5" w14:textId="77777777" w:rsidR="007E7472" w:rsidRDefault="00EC1269">
                    <w:pPr>
                      <w:jc w:val="right"/>
                    </w:pPr>
                    <w:r>
                      <w:rPr>
                        <w:rFonts w:hint="eastAsia"/>
                      </w:rPr>
                      <w:t xml:space="preserve">　</w:t>
                    </w:r>
                  </w:p>
                </w:tc>
              </w:sdtContent>
            </w:sdt>
          </w:tr>
          <w:tr w:rsidR="007E7472" w14:paraId="5B9DBADC" w14:textId="77777777" w:rsidTr="007E7472">
            <w:sdt>
              <w:sdtPr>
                <w:alias w:val="固定资产账面原值增加项目名称"/>
                <w:tag w:val="_GBC_4d32d042060b4c8aa7f965b96f5580a8"/>
                <w:id w:val="1130820806"/>
                <w:lock w:val="sdtLocked"/>
              </w:sdtPr>
              <w:sdtEndPr/>
              <w:sdtContent>
                <w:tc>
                  <w:tcPr>
                    <w:tcW w:w="1124" w:type="pct"/>
                    <w:shd w:val="clear" w:color="auto" w:fill="auto"/>
                    <w:vAlign w:val="center"/>
                  </w:tcPr>
                  <w:p w14:paraId="6C41BE08" w14:textId="77777777" w:rsidR="007E7472" w:rsidRDefault="00EC1269">
                    <w:pPr>
                      <w:ind w:firstLineChars="300" w:firstLine="630"/>
                    </w:pPr>
                    <w:r>
                      <w:rPr>
                        <w:rFonts w:hint="eastAsia"/>
                      </w:rPr>
                      <w:t>（6）其他增加</w:t>
                    </w:r>
                  </w:p>
                </w:tc>
              </w:sdtContent>
            </w:sdt>
            <w:sdt>
              <w:sdtPr>
                <w:alias w:val="固定资产账面原值增加项目金额"/>
                <w:tag w:val="_GBC_c2ca665b86c0425dba69c4867b84d3f4"/>
                <w:id w:val="-1199778022"/>
                <w:lock w:val="sdtLocked"/>
                <w:showingPlcHdr/>
              </w:sdtPr>
              <w:sdtEndPr/>
              <w:sdtContent>
                <w:tc>
                  <w:tcPr>
                    <w:tcW w:w="573" w:type="pct"/>
                    <w:shd w:val="clear" w:color="auto" w:fill="auto"/>
                    <w:vAlign w:val="center"/>
                  </w:tcPr>
                  <w:p w14:paraId="312427BA" w14:textId="77777777" w:rsidR="007E7472" w:rsidRDefault="00EC1269">
                    <w:pPr>
                      <w:jc w:val="right"/>
                    </w:pPr>
                    <w:r>
                      <w:t xml:space="preserve">     </w:t>
                    </w:r>
                  </w:p>
                </w:tc>
              </w:sdtContent>
            </w:sdt>
            <w:sdt>
              <w:sdtPr>
                <w:alias w:val="固定资产账面原值增加项目金额"/>
                <w:tag w:val="_GBC_c2ca665b86c0425dba69c4867b84d3f4"/>
                <w:id w:val="2021660711"/>
                <w:lock w:val="sdtLocked"/>
              </w:sdtPr>
              <w:sdtEndPr/>
              <w:sdtContent>
                <w:tc>
                  <w:tcPr>
                    <w:tcW w:w="498" w:type="pct"/>
                    <w:shd w:val="clear" w:color="auto" w:fill="auto"/>
                    <w:vAlign w:val="center"/>
                  </w:tcPr>
                  <w:p w14:paraId="5314D6EC" w14:textId="77777777" w:rsidR="007E7472" w:rsidRDefault="00EC1269">
                    <w:pPr>
                      <w:jc w:val="right"/>
                    </w:pPr>
                    <w:r>
                      <w:t>515,035</w:t>
                    </w:r>
                  </w:p>
                </w:tc>
              </w:sdtContent>
            </w:sdt>
            <w:sdt>
              <w:sdtPr>
                <w:alias w:val="固定资产账面原值增加项目金额"/>
                <w:tag w:val="_GBC_c2ca665b86c0425dba69c4867b84d3f4"/>
                <w:id w:val="-718209873"/>
                <w:lock w:val="sdtLocked"/>
                <w:showingPlcHdr/>
              </w:sdtPr>
              <w:sdtEndPr/>
              <w:sdtContent>
                <w:tc>
                  <w:tcPr>
                    <w:tcW w:w="412" w:type="pct"/>
                    <w:shd w:val="clear" w:color="auto" w:fill="auto"/>
                    <w:vAlign w:val="center"/>
                  </w:tcPr>
                  <w:p w14:paraId="6185F918" w14:textId="77777777" w:rsidR="007E7472" w:rsidRDefault="00EC1269">
                    <w:pPr>
                      <w:jc w:val="right"/>
                    </w:pPr>
                    <w:r>
                      <w:t xml:space="preserve">     </w:t>
                    </w:r>
                  </w:p>
                </w:tc>
              </w:sdtContent>
            </w:sdt>
            <w:sdt>
              <w:sdtPr>
                <w:alias w:val="固定资产账面原值增加项目金额"/>
                <w:tag w:val="_GBC_c2ca665b86c0425dba69c4867b84d3f4"/>
                <w:id w:val="1088117971"/>
                <w:lock w:val="sdtLocked"/>
                <w:showingPlcHdr/>
              </w:sdtPr>
              <w:sdtEndPr/>
              <w:sdtContent>
                <w:tc>
                  <w:tcPr>
                    <w:tcW w:w="430" w:type="pct"/>
                    <w:shd w:val="clear" w:color="auto" w:fill="auto"/>
                    <w:vAlign w:val="center"/>
                  </w:tcPr>
                  <w:p w14:paraId="6BB1F3FE" w14:textId="77777777" w:rsidR="007E7472" w:rsidRDefault="00EC1269">
                    <w:pPr>
                      <w:jc w:val="right"/>
                    </w:pPr>
                    <w:r>
                      <w:t xml:space="preserve">     </w:t>
                    </w:r>
                  </w:p>
                </w:tc>
              </w:sdtContent>
            </w:sdt>
            <w:sdt>
              <w:sdtPr>
                <w:alias w:val="固定资产账面原值增加项目金额"/>
                <w:tag w:val="_GBC_c2ca665b86c0425dba69c4867b84d3f4"/>
                <w:id w:val="1663664479"/>
                <w:lock w:val="sdtLocked"/>
                <w:showingPlcHdr/>
              </w:sdtPr>
              <w:sdtEndPr/>
              <w:sdtContent>
                <w:tc>
                  <w:tcPr>
                    <w:tcW w:w="448" w:type="pct"/>
                    <w:shd w:val="clear" w:color="auto" w:fill="auto"/>
                    <w:vAlign w:val="center"/>
                  </w:tcPr>
                  <w:p w14:paraId="24EA5528" w14:textId="77777777" w:rsidR="007E7472" w:rsidRDefault="00EC1269">
                    <w:pPr>
                      <w:jc w:val="right"/>
                    </w:pPr>
                    <w:r>
                      <w:t xml:space="preserve">     </w:t>
                    </w:r>
                  </w:p>
                </w:tc>
              </w:sdtContent>
            </w:sdt>
            <w:sdt>
              <w:sdtPr>
                <w:alias w:val="固定资产账面原值增加项目金额"/>
                <w:tag w:val="_GBC_c2ca665b86c0425dba69c4867b84d3f4"/>
                <w:id w:val="1836100468"/>
                <w:lock w:val="sdtLocked"/>
                <w:showingPlcHdr/>
              </w:sdtPr>
              <w:sdtEndPr/>
              <w:sdtContent>
                <w:tc>
                  <w:tcPr>
                    <w:tcW w:w="437" w:type="pct"/>
                    <w:shd w:val="clear" w:color="auto" w:fill="auto"/>
                    <w:vAlign w:val="center"/>
                  </w:tcPr>
                  <w:p w14:paraId="4CD19900" w14:textId="77777777" w:rsidR="007E7472" w:rsidRDefault="00EC1269">
                    <w:pPr>
                      <w:jc w:val="right"/>
                    </w:pPr>
                    <w:r>
                      <w:t xml:space="preserve">     </w:t>
                    </w:r>
                  </w:p>
                </w:tc>
              </w:sdtContent>
            </w:sdt>
            <w:sdt>
              <w:sdtPr>
                <w:alias w:val="固定资产账面原值增加项目金额"/>
                <w:tag w:val="_GBC_c2ca665b86c0425dba69c4867b84d3f4"/>
                <w:id w:val="-502044713"/>
                <w:lock w:val="sdtLocked"/>
                <w:showingPlcHdr/>
              </w:sdtPr>
              <w:sdtEndPr/>
              <w:sdtContent>
                <w:tc>
                  <w:tcPr>
                    <w:tcW w:w="463" w:type="pct"/>
                    <w:shd w:val="clear" w:color="auto" w:fill="auto"/>
                    <w:vAlign w:val="center"/>
                  </w:tcPr>
                  <w:p w14:paraId="1FE77B0E" w14:textId="77777777" w:rsidR="007E7472" w:rsidRDefault="00EC1269">
                    <w:pPr>
                      <w:jc w:val="right"/>
                    </w:pPr>
                    <w:r>
                      <w:t xml:space="preserve">     </w:t>
                    </w:r>
                  </w:p>
                </w:tc>
              </w:sdtContent>
            </w:sdt>
            <w:sdt>
              <w:sdtPr>
                <w:alias w:val="固定资产账面原值增加项目合计金额"/>
                <w:tag w:val="_GBC_001e75f32bd54007926becb1d5aa914d"/>
                <w:id w:val="63536482"/>
                <w:lock w:val="sdtLocked"/>
              </w:sdtPr>
              <w:sdtEndPr/>
              <w:sdtContent>
                <w:tc>
                  <w:tcPr>
                    <w:tcW w:w="609" w:type="pct"/>
                    <w:shd w:val="clear" w:color="auto" w:fill="auto"/>
                    <w:vAlign w:val="center"/>
                  </w:tcPr>
                  <w:p w14:paraId="0E688AB3" w14:textId="77777777" w:rsidR="007E7472" w:rsidRDefault="00EC1269">
                    <w:pPr>
                      <w:jc w:val="right"/>
                    </w:pPr>
                    <w:r>
                      <w:t>515,035</w:t>
                    </w:r>
                  </w:p>
                </w:tc>
              </w:sdtContent>
            </w:sdt>
          </w:tr>
          <w:tr w:rsidR="007E7472" w14:paraId="5A10C968" w14:textId="77777777" w:rsidTr="007E7472">
            <w:sdt>
              <w:sdtPr>
                <w:tag w:val="_PLD_dfb162daa7694866a1c4e80fabb81d52"/>
                <w:id w:val="1706671544"/>
                <w:lock w:val="sdtLocked"/>
              </w:sdtPr>
              <w:sdtEndPr/>
              <w:sdtContent>
                <w:tc>
                  <w:tcPr>
                    <w:tcW w:w="1124" w:type="pct"/>
                    <w:shd w:val="clear" w:color="auto" w:fill="auto"/>
                    <w:vAlign w:val="center"/>
                  </w:tcPr>
                  <w:p w14:paraId="4D166EDA" w14:textId="77777777" w:rsidR="007E7472" w:rsidRDefault="00EC1269">
                    <w:pPr>
                      <w:ind w:firstLineChars="250" w:firstLine="525"/>
                    </w:pPr>
                    <w:r>
                      <w:rPr>
                        <w:rFonts w:hint="eastAsia"/>
                      </w:rPr>
                      <w:t>3.本期减少金额</w:t>
                    </w:r>
                  </w:p>
                </w:tc>
              </w:sdtContent>
            </w:sdt>
            <w:tc>
              <w:tcPr>
                <w:tcW w:w="573" w:type="pct"/>
                <w:shd w:val="clear" w:color="auto" w:fill="auto"/>
                <w:vAlign w:val="center"/>
              </w:tcPr>
              <w:p w14:paraId="70A76E5E" w14:textId="77777777" w:rsidR="007E7472" w:rsidRDefault="00C8327E">
                <w:pPr>
                  <w:jc w:val="right"/>
                </w:pPr>
              </w:p>
            </w:tc>
            <w:tc>
              <w:tcPr>
                <w:tcW w:w="498" w:type="pct"/>
                <w:shd w:val="clear" w:color="auto" w:fill="auto"/>
                <w:vAlign w:val="center"/>
              </w:tcPr>
              <w:p w14:paraId="62420FCC" w14:textId="77777777" w:rsidR="007E7472" w:rsidRDefault="00EC1269">
                <w:pPr>
                  <w:jc w:val="right"/>
                </w:pPr>
                <w:r>
                  <w:t>330,518</w:t>
                </w:r>
              </w:p>
            </w:tc>
            <w:tc>
              <w:tcPr>
                <w:tcW w:w="412" w:type="pct"/>
                <w:shd w:val="clear" w:color="auto" w:fill="auto"/>
                <w:vAlign w:val="center"/>
              </w:tcPr>
              <w:p w14:paraId="1B64E47F" w14:textId="77777777" w:rsidR="007E7472" w:rsidRDefault="00EC1269">
                <w:pPr>
                  <w:jc w:val="right"/>
                </w:pPr>
                <w:r>
                  <w:t>83,820</w:t>
                </w:r>
              </w:p>
            </w:tc>
            <w:tc>
              <w:tcPr>
                <w:tcW w:w="430" w:type="pct"/>
                <w:shd w:val="clear" w:color="auto" w:fill="auto"/>
                <w:vAlign w:val="center"/>
              </w:tcPr>
              <w:p w14:paraId="089E9862" w14:textId="77777777" w:rsidR="007E7472" w:rsidRDefault="00EC1269">
                <w:pPr>
                  <w:jc w:val="right"/>
                </w:pPr>
                <w:r>
                  <w:t>43,429</w:t>
                </w:r>
              </w:p>
            </w:tc>
            <w:tc>
              <w:tcPr>
                <w:tcW w:w="448" w:type="pct"/>
                <w:shd w:val="clear" w:color="auto" w:fill="auto"/>
                <w:vAlign w:val="center"/>
              </w:tcPr>
              <w:p w14:paraId="47489C93" w14:textId="77777777" w:rsidR="007E7472" w:rsidRDefault="00EC1269">
                <w:pPr>
                  <w:jc w:val="right"/>
                </w:pPr>
                <w:r>
                  <w:t>774,789</w:t>
                </w:r>
              </w:p>
            </w:tc>
            <w:tc>
              <w:tcPr>
                <w:tcW w:w="437" w:type="pct"/>
                <w:shd w:val="clear" w:color="auto" w:fill="auto"/>
                <w:vAlign w:val="center"/>
              </w:tcPr>
              <w:p w14:paraId="47AB9D5A" w14:textId="77777777" w:rsidR="007E7472" w:rsidRDefault="00EC1269">
                <w:pPr>
                  <w:jc w:val="right"/>
                </w:pPr>
                <w:r>
                  <w:t>67,432</w:t>
                </w:r>
              </w:p>
            </w:tc>
            <w:tc>
              <w:tcPr>
                <w:tcW w:w="463" w:type="pct"/>
                <w:shd w:val="clear" w:color="auto" w:fill="auto"/>
                <w:vAlign w:val="center"/>
              </w:tcPr>
              <w:p w14:paraId="1DC05965" w14:textId="77777777" w:rsidR="007E7472" w:rsidRDefault="00EC1269">
                <w:pPr>
                  <w:jc w:val="right"/>
                </w:pPr>
                <w:r>
                  <w:t>1,683,239</w:t>
                </w:r>
              </w:p>
            </w:tc>
            <w:tc>
              <w:tcPr>
                <w:tcW w:w="609" w:type="pct"/>
                <w:shd w:val="clear" w:color="auto" w:fill="auto"/>
                <w:vAlign w:val="center"/>
              </w:tcPr>
              <w:p w14:paraId="7732270B" w14:textId="77777777" w:rsidR="007E7472" w:rsidRDefault="00EC1269">
                <w:pPr>
                  <w:jc w:val="right"/>
                </w:pPr>
                <w:r>
                  <w:t>2,983,227</w:t>
                </w:r>
              </w:p>
            </w:tc>
          </w:tr>
          <w:tr w:rsidR="007E7472" w14:paraId="26642598" w14:textId="77777777" w:rsidTr="007E7472">
            <w:sdt>
              <w:sdtPr>
                <w:tag w:val="_PLD_fee37578c2514ed28988969e830aeae7"/>
                <w:id w:val="-1873683214"/>
                <w:lock w:val="sdtLocked"/>
              </w:sdtPr>
              <w:sdtEndPr/>
              <w:sdtContent>
                <w:tc>
                  <w:tcPr>
                    <w:tcW w:w="1124" w:type="pct"/>
                    <w:shd w:val="clear" w:color="auto" w:fill="auto"/>
                    <w:vAlign w:val="center"/>
                  </w:tcPr>
                  <w:p w14:paraId="510B70B9" w14:textId="77777777" w:rsidR="007E7472" w:rsidRDefault="00EC1269">
                    <w:pPr>
                      <w:ind w:firstLineChars="300" w:firstLine="630"/>
                    </w:pPr>
                    <w:r>
                      <w:rPr>
                        <w:rFonts w:hint="eastAsia"/>
                      </w:rPr>
                      <w:t>（1）处置或报废</w:t>
                    </w:r>
                  </w:p>
                </w:tc>
              </w:sdtContent>
            </w:sdt>
            <w:tc>
              <w:tcPr>
                <w:tcW w:w="573" w:type="pct"/>
                <w:shd w:val="clear" w:color="auto" w:fill="auto"/>
                <w:vAlign w:val="center"/>
              </w:tcPr>
              <w:p w14:paraId="3EF05029" w14:textId="77777777" w:rsidR="007E7472" w:rsidRDefault="00C8327E">
                <w:pPr>
                  <w:jc w:val="right"/>
                </w:pPr>
              </w:p>
            </w:tc>
            <w:tc>
              <w:tcPr>
                <w:tcW w:w="498" w:type="pct"/>
                <w:shd w:val="clear" w:color="auto" w:fill="auto"/>
                <w:vAlign w:val="center"/>
              </w:tcPr>
              <w:p w14:paraId="243FFE67" w14:textId="77777777" w:rsidR="007E7472" w:rsidRDefault="00EC1269">
                <w:pPr>
                  <w:jc w:val="right"/>
                </w:pPr>
                <w:r>
                  <w:t>2,981</w:t>
                </w:r>
              </w:p>
            </w:tc>
            <w:tc>
              <w:tcPr>
                <w:tcW w:w="412" w:type="pct"/>
                <w:shd w:val="clear" w:color="auto" w:fill="auto"/>
                <w:vAlign w:val="center"/>
              </w:tcPr>
              <w:p w14:paraId="460F7029" w14:textId="77777777" w:rsidR="007E7472" w:rsidRDefault="00EC1269">
                <w:pPr>
                  <w:jc w:val="right"/>
                </w:pPr>
                <w:r>
                  <w:t>11,161</w:t>
                </w:r>
              </w:p>
            </w:tc>
            <w:tc>
              <w:tcPr>
                <w:tcW w:w="430" w:type="pct"/>
                <w:shd w:val="clear" w:color="auto" w:fill="auto"/>
                <w:vAlign w:val="center"/>
              </w:tcPr>
              <w:p w14:paraId="594EBE51" w14:textId="77777777" w:rsidR="007E7472" w:rsidRDefault="00EC1269">
                <w:pPr>
                  <w:jc w:val="right"/>
                </w:pPr>
                <w:r>
                  <w:t>43,429</w:t>
                </w:r>
              </w:p>
            </w:tc>
            <w:tc>
              <w:tcPr>
                <w:tcW w:w="448" w:type="pct"/>
                <w:shd w:val="clear" w:color="auto" w:fill="auto"/>
                <w:vAlign w:val="center"/>
              </w:tcPr>
              <w:p w14:paraId="3CE81912" w14:textId="77777777" w:rsidR="007E7472" w:rsidRDefault="00EC1269">
                <w:pPr>
                  <w:jc w:val="right"/>
                </w:pPr>
                <w:r>
                  <w:t>765,229</w:t>
                </w:r>
              </w:p>
            </w:tc>
            <w:tc>
              <w:tcPr>
                <w:tcW w:w="437" w:type="pct"/>
                <w:shd w:val="clear" w:color="auto" w:fill="auto"/>
                <w:vAlign w:val="center"/>
              </w:tcPr>
              <w:p w14:paraId="2F1693BE" w14:textId="77777777" w:rsidR="007E7472" w:rsidRDefault="00EC1269">
                <w:pPr>
                  <w:jc w:val="right"/>
                </w:pPr>
                <w:r>
                  <w:t>11,734</w:t>
                </w:r>
              </w:p>
            </w:tc>
            <w:tc>
              <w:tcPr>
                <w:tcW w:w="463" w:type="pct"/>
                <w:shd w:val="clear" w:color="auto" w:fill="auto"/>
                <w:vAlign w:val="center"/>
              </w:tcPr>
              <w:p w14:paraId="102EAF73" w14:textId="77777777" w:rsidR="007E7472" w:rsidRDefault="00EC1269">
                <w:pPr>
                  <w:jc w:val="right"/>
                </w:pPr>
                <w:r>
                  <w:t>32,363</w:t>
                </w:r>
              </w:p>
            </w:tc>
            <w:tc>
              <w:tcPr>
                <w:tcW w:w="609" w:type="pct"/>
                <w:shd w:val="clear" w:color="auto" w:fill="auto"/>
                <w:vAlign w:val="center"/>
              </w:tcPr>
              <w:p w14:paraId="6A0D96EE" w14:textId="77777777" w:rsidR="007E7472" w:rsidRDefault="00EC1269">
                <w:pPr>
                  <w:jc w:val="right"/>
                </w:pPr>
                <w:r>
                  <w:t>866,897</w:t>
                </w:r>
              </w:p>
            </w:tc>
          </w:tr>
          <w:tr w:rsidR="007E7472" w14:paraId="0D1FB56A" w14:textId="77777777" w:rsidTr="007E7472">
            <w:sdt>
              <w:sdtPr>
                <w:rPr>
                  <w:rFonts w:hint="eastAsia"/>
                </w:rPr>
                <w:alias w:val="固定资产账面原值减少项目名称"/>
                <w:tag w:val="_GBC_2f4e09d586974d5099e26de2e9f2268e"/>
                <w:id w:val="-1908522411"/>
                <w:lock w:val="sdtLocked"/>
              </w:sdtPr>
              <w:sdtEndPr/>
              <w:sdtContent>
                <w:tc>
                  <w:tcPr>
                    <w:tcW w:w="1124" w:type="pct"/>
                    <w:shd w:val="clear" w:color="auto" w:fill="auto"/>
                    <w:vAlign w:val="center"/>
                  </w:tcPr>
                  <w:p w14:paraId="6B02F8BB" w14:textId="77777777" w:rsidR="007E7472" w:rsidRDefault="00EC1269">
                    <w:pPr>
                      <w:ind w:firstLineChars="300" w:firstLine="630"/>
                    </w:pPr>
                    <w:r>
                      <w:rPr>
                        <w:rFonts w:hint="eastAsia"/>
                      </w:rPr>
                      <w:t>（2）重分类转出</w:t>
                    </w:r>
                  </w:p>
                </w:tc>
              </w:sdtContent>
            </w:sdt>
            <w:sdt>
              <w:sdtPr>
                <w:rPr>
                  <w:rFonts w:hint="eastAsia"/>
                </w:rPr>
                <w:alias w:val="固定资产账面原值减少项目金额"/>
                <w:tag w:val="_GBC_86b298d954344511b012e84c48d4404f"/>
                <w:id w:val="460010333"/>
                <w:lock w:val="sdtLocked"/>
                <w:showingPlcHdr/>
              </w:sdtPr>
              <w:sdtEndPr/>
              <w:sdtContent>
                <w:tc>
                  <w:tcPr>
                    <w:tcW w:w="573" w:type="pct"/>
                    <w:shd w:val="clear" w:color="auto" w:fill="auto"/>
                    <w:vAlign w:val="center"/>
                  </w:tcPr>
                  <w:p w14:paraId="6C0D06D5" w14:textId="77777777" w:rsidR="007E7472" w:rsidRDefault="00EC1269">
                    <w:pPr>
                      <w:jc w:val="right"/>
                    </w:pPr>
                    <w:r>
                      <w:t xml:space="preserve">     </w:t>
                    </w:r>
                  </w:p>
                </w:tc>
              </w:sdtContent>
            </w:sdt>
            <w:sdt>
              <w:sdtPr>
                <w:rPr>
                  <w:rFonts w:hint="eastAsia"/>
                </w:rPr>
                <w:alias w:val="固定资产账面原值减少项目金额"/>
                <w:tag w:val="_GBC_86b298d954344511b012e84c48d4404f"/>
                <w:id w:val="-647203924"/>
                <w:lock w:val="sdtLocked"/>
              </w:sdtPr>
              <w:sdtEndPr/>
              <w:sdtContent>
                <w:tc>
                  <w:tcPr>
                    <w:tcW w:w="498" w:type="pct"/>
                    <w:shd w:val="clear" w:color="auto" w:fill="auto"/>
                    <w:vAlign w:val="center"/>
                  </w:tcPr>
                  <w:p w14:paraId="4ACBFE9B" w14:textId="77777777" w:rsidR="007E7472" w:rsidRDefault="00EC1269">
                    <w:pPr>
                      <w:jc w:val="right"/>
                    </w:pPr>
                    <w:r>
                      <w:rPr>
                        <w:rFonts w:hint="eastAsia"/>
                      </w:rPr>
                      <w:t>327,537</w:t>
                    </w:r>
                  </w:p>
                </w:tc>
              </w:sdtContent>
            </w:sdt>
            <w:sdt>
              <w:sdtPr>
                <w:rPr>
                  <w:rFonts w:hint="eastAsia"/>
                </w:rPr>
                <w:alias w:val="固定资产账面原值减少项目金额"/>
                <w:tag w:val="_GBC_86b298d954344511b012e84c48d4404f"/>
                <w:id w:val="-161927467"/>
                <w:lock w:val="sdtLocked"/>
                <w:showingPlcHdr/>
              </w:sdtPr>
              <w:sdtEndPr/>
              <w:sdtContent>
                <w:tc>
                  <w:tcPr>
                    <w:tcW w:w="412" w:type="pct"/>
                    <w:shd w:val="clear" w:color="auto" w:fill="auto"/>
                    <w:vAlign w:val="center"/>
                  </w:tcPr>
                  <w:p w14:paraId="0EF36970" w14:textId="77777777" w:rsidR="007E7472" w:rsidRDefault="00EC1269">
                    <w:pPr>
                      <w:jc w:val="right"/>
                    </w:pPr>
                    <w:r>
                      <w:t xml:space="preserve">     </w:t>
                    </w:r>
                  </w:p>
                </w:tc>
              </w:sdtContent>
            </w:sdt>
            <w:sdt>
              <w:sdtPr>
                <w:rPr>
                  <w:rFonts w:hint="eastAsia"/>
                </w:rPr>
                <w:alias w:val="固定资产账面原值减少项目金额"/>
                <w:tag w:val="_GBC_86b298d954344511b012e84c48d4404f"/>
                <w:id w:val="-139732939"/>
                <w:lock w:val="sdtLocked"/>
                <w:showingPlcHdr/>
              </w:sdtPr>
              <w:sdtEndPr/>
              <w:sdtContent>
                <w:tc>
                  <w:tcPr>
                    <w:tcW w:w="430" w:type="pct"/>
                    <w:shd w:val="clear" w:color="auto" w:fill="auto"/>
                    <w:vAlign w:val="center"/>
                  </w:tcPr>
                  <w:p w14:paraId="2B209B18" w14:textId="77777777" w:rsidR="007E7472" w:rsidRDefault="00EC1269">
                    <w:pPr>
                      <w:jc w:val="right"/>
                    </w:pPr>
                    <w:r>
                      <w:t xml:space="preserve">     </w:t>
                    </w:r>
                  </w:p>
                </w:tc>
              </w:sdtContent>
            </w:sdt>
            <w:sdt>
              <w:sdtPr>
                <w:rPr>
                  <w:rFonts w:hint="eastAsia"/>
                </w:rPr>
                <w:alias w:val="固定资产账面原值减少项目金额"/>
                <w:tag w:val="_GBC_86b298d954344511b012e84c48d4404f"/>
                <w:id w:val="-443383075"/>
                <w:lock w:val="sdtLocked"/>
              </w:sdtPr>
              <w:sdtEndPr/>
              <w:sdtContent>
                <w:tc>
                  <w:tcPr>
                    <w:tcW w:w="448" w:type="pct"/>
                    <w:shd w:val="clear" w:color="auto" w:fill="auto"/>
                    <w:vAlign w:val="center"/>
                  </w:tcPr>
                  <w:p w14:paraId="1CEAC468" w14:textId="77777777" w:rsidR="007E7472" w:rsidRDefault="00EC1269">
                    <w:pPr>
                      <w:jc w:val="right"/>
                    </w:pPr>
                    <w:r>
                      <w:rPr>
                        <w:rFonts w:hint="eastAsia"/>
                      </w:rPr>
                      <w:t>9,560</w:t>
                    </w:r>
                  </w:p>
                </w:tc>
              </w:sdtContent>
            </w:sdt>
            <w:sdt>
              <w:sdtPr>
                <w:rPr>
                  <w:rFonts w:hint="eastAsia"/>
                </w:rPr>
                <w:alias w:val="固定资产账面原值减少项目金额"/>
                <w:tag w:val="_GBC_86b298d954344511b012e84c48d4404f"/>
                <w:id w:val="-1379390647"/>
                <w:lock w:val="sdtLocked"/>
              </w:sdtPr>
              <w:sdtEndPr/>
              <w:sdtContent>
                <w:tc>
                  <w:tcPr>
                    <w:tcW w:w="437" w:type="pct"/>
                    <w:shd w:val="clear" w:color="auto" w:fill="auto"/>
                    <w:vAlign w:val="center"/>
                  </w:tcPr>
                  <w:p w14:paraId="757D97B4" w14:textId="77777777" w:rsidR="007E7472" w:rsidRDefault="00EC1269">
                    <w:pPr>
                      <w:jc w:val="right"/>
                    </w:pPr>
                    <w:r>
                      <w:rPr>
                        <w:rFonts w:hint="eastAsia"/>
                      </w:rPr>
                      <w:t>55,698</w:t>
                    </w:r>
                  </w:p>
                </w:tc>
              </w:sdtContent>
            </w:sdt>
            <w:sdt>
              <w:sdtPr>
                <w:rPr>
                  <w:rFonts w:hint="eastAsia"/>
                </w:rPr>
                <w:alias w:val="固定资产账面原值减少项目金额"/>
                <w:tag w:val="_GBC_86b298d954344511b012e84c48d4404f"/>
                <w:id w:val="-462733422"/>
                <w:lock w:val="sdtLocked"/>
              </w:sdtPr>
              <w:sdtEndPr/>
              <w:sdtContent>
                <w:tc>
                  <w:tcPr>
                    <w:tcW w:w="463" w:type="pct"/>
                    <w:shd w:val="clear" w:color="auto" w:fill="auto"/>
                    <w:vAlign w:val="center"/>
                  </w:tcPr>
                  <w:p w14:paraId="6E31D0FE" w14:textId="77777777" w:rsidR="007E7472" w:rsidRDefault="00EC1269">
                    <w:pPr>
                      <w:jc w:val="right"/>
                    </w:pPr>
                    <w:r>
                      <w:rPr>
                        <w:rFonts w:hint="eastAsia"/>
                      </w:rPr>
                      <w:t>1,650,876</w:t>
                    </w:r>
                  </w:p>
                </w:tc>
              </w:sdtContent>
            </w:sdt>
            <w:sdt>
              <w:sdtPr>
                <w:rPr>
                  <w:rFonts w:hint="eastAsia"/>
                </w:rPr>
                <w:alias w:val="固定资产账面原值减少项目合计金额"/>
                <w:tag w:val="_GBC_b75b8542395b4972ad2d3a1ea5c4c1d9"/>
                <w:id w:val="527305841"/>
                <w:lock w:val="sdtLocked"/>
              </w:sdtPr>
              <w:sdtEndPr/>
              <w:sdtContent>
                <w:tc>
                  <w:tcPr>
                    <w:tcW w:w="609" w:type="pct"/>
                    <w:shd w:val="clear" w:color="auto" w:fill="auto"/>
                    <w:vAlign w:val="center"/>
                  </w:tcPr>
                  <w:p w14:paraId="082BA32D" w14:textId="77777777" w:rsidR="007E7472" w:rsidRDefault="00EC1269">
                    <w:pPr>
                      <w:jc w:val="right"/>
                    </w:pPr>
                    <w:r>
                      <w:rPr>
                        <w:rFonts w:hint="eastAsia"/>
                      </w:rPr>
                      <w:t>2,043,671</w:t>
                    </w:r>
                  </w:p>
                </w:tc>
              </w:sdtContent>
            </w:sdt>
          </w:tr>
          <w:tr w:rsidR="007E7472" w14:paraId="17DA3B6A" w14:textId="77777777" w:rsidTr="007E7472">
            <w:sdt>
              <w:sdtPr>
                <w:rPr>
                  <w:rFonts w:hint="eastAsia"/>
                </w:rPr>
                <w:alias w:val="固定资产账面原值减少项目名称"/>
                <w:tag w:val="_GBC_2f4e09d586974d5099e26de2e9f2268e"/>
                <w:id w:val="-1598786340"/>
                <w:lock w:val="sdtLocked"/>
              </w:sdtPr>
              <w:sdtEndPr/>
              <w:sdtContent>
                <w:tc>
                  <w:tcPr>
                    <w:tcW w:w="1124" w:type="pct"/>
                    <w:shd w:val="clear" w:color="auto" w:fill="auto"/>
                    <w:vAlign w:val="center"/>
                  </w:tcPr>
                  <w:p w14:paraId="147F629A" w14:textId="77777777" w:rsidR="007E7472" w:rsidRDefault="00EC1269">
                    <w:pPr>
                      <w:ind w:firstLineChars="300" w:firstLine="630"/>
                    </w:pPr>
                    <w:r>
                      <w:rPr>
                        <w:rFonts w:hint="eastAsia"/>
                      </w:rPr>
                      <w:t>（3）其他减少</w:t>
                    </w:r>
                  </w:p>
                </w:tc>
              </w:sdtContent>
            </w:sdt>
            <w:sdt>
              <w:sdtPr>
                <w:rPr>
                  <w:rFonts w:hint="eastAsia"/>
                </w:rPr>
                <w:alias w:val="固定资产账面原值减少项目金额"/>
                <w:tag w:val="_GBC_86b298d954344511b012e84c48d4404f"/>
                <w:id w:val="2135745961"/>
                <w:lock w:val="sdtLocked"/>
                <w:showingPlcHdr/>
              </w:sdtPr>
              <w:sdtEndPr/>
              <w:sdtContent>
                <w:tc>
                  <w:tcPr>
                    <w:tcW w:w="573" w:type="pct"/>
                    <w:shd w:val="clear" w:color="auto" w:fill="auto"/>
                    <w:vAlign w:val="center"/>
                  </w:tcPr>
                  <w:p w14:paraId="75F65F2C" w14:textId="77777777" w:rsidR="007E7472" w:rsidRDefault="00EC1269">
                    <w:pPr>
                      <w:jc w:val="right"/>
                    </w:pPr>
                    <w:r>
                      <w:t xml:space="preserve">     </w:t>
                    </w:r>
                  </w:p>
                </w:tc>
              </w:sdtContent>
            </w:sdt>
            <w:sdt>
              <w:sdtPr>
                <w:rPr>
                  <w:rFonts w:hint="eastAsia"/>
                </w:rPr>
                <w:alias w:val="固定资产账面原值减少项目金额"/>
                <w:tag w:val="_GBC_86b298d954344511b012e84c48d4404f"/>
                <w:id w:val="-459727618"/>
                <w:lock w:val="sdtLocked"/>
                <w:showingPlcHdr/>
              </w:sdtPr>
              <w:sdtEndPr/>
              <w:sdtContent>
                <w:tc>
                  <w:tcPr>
                    <w:tcW w:w="498" w:type="pct"/>
                    <w:shd w:val="clear" w:color="auto" w:fill="auto"/>
                    <w:vAlign w:val="center"/>
                  </w:tcPr>
                  <w:p w14:paraId="07AE01CA" w14:textId="77777777" w:rsidR="007E7472" w:rsidRDefault="00EC1269">
                    <w:pPr>
                      <w:jc w:val="right"/>
                    </w:pPr>
                    <w:r>
                      <w:t xml:space="preserve">     </w:t>
                    </w:r>
                  </w:p>
                </w:tc>
              </w:sdtContent>
            </w:sdt>
            <w:sdt>
              <w:sdtPr>
                <w:rPr>
                  <w:rFonts w:hint="eastAsia"/>
                </w:rPr>
                <w:alias w:val="固定资产账面原值减少项目金额"/>
                <w:tag w:val="_GBC_86b298d954344511b012e84c48d4404f"/>
                <w:id w:val="2092811727"/>
                <w:lock w:val="sdtLocked"/>
              </w:sdtPr>
              <w:sdtEndPr/>
              <w:sdtContent>
                <w:tc>
                  <w:tcPr>
                    <w:tcW w:w="412" w:type="pct"/>
                    <w:shd w:val="clear" w:color="auto" w:fill="auto"/>
                    <w:vAlign w:val="center"/>
                  </w:tcPr>
                  <w:p w14:paraId="39875DF4" w14:textId="77777777" w:rsidR="007E7472" w:rsidRDefault="00EC1269">
                    <w:pPr>
                      <w:jc w:val="right"/>
                    </w:pPr>
                    <w:r>
                      <w:rPr>
                        <w:rFonts w:hint="eastAsia"/>
                      </w:rPr>
                      <w:t>72,659</w:t>
                    </w:r>
                  </w:p>
                </w:tc>
              </w:sdtContent>
            </w:sdt>
            <w:sdt>
              <w:sdtPr>
                <w:rPr>
                  <w:rFonts w:hint="eastAsia"/>
                </w:rPr>
                <w:alias w:val="固定资产账面原值减少项目金额"/>
                <w:tag w:val="_GBC_86b298d954344511b012e84c48d4404f"/>
                <w:id w:val="68009524"/>
                <w:lock w:val="sdtLocked"/>
                <w:showingPlcHdr/>
              </w:sdtPr>
              <w:sdtEndPr/>
              <w:sdtContent>
                <w:tc>
                  <w:tcPr>
                    <w:tcW w:w="430" w:type="pct"/>
                    <w:shd w:val="clear" w:color="auto" w:fill="auto"/>
                    <w:vAlign w:val="center"/>
                  </w:tcPr>
                  <w:p w14:paraId="192C1CA1" w14:textId="77777777" w:rsidR="007E7472" w:rsidRDefault="00EC1269">
                    <w:pPr>
                      <w:jc w:val="right"/>
                    </w:pPr>
                    <w:r>
                      <w:t xml:space="preserve">     </w:t>
                    </w:r>
                  </w:p>
                </w:tc>
              </w:sdtContent>
            </w:sdt>
            <w:sdt>
              <w:sdtPr>
                <w:rPr>
                  <w:rFonts w:hint="eastAsia"/>
                </w:rPr>
                <w:alias w:val="固定资产账面原值减少项目金额"/>
                <w:tag w:val="_GBC_86b298d954344511b012e84c48d4404f"/>
                <w:id w:val="966012602"/>
                <w:lock w:val="sdtLocked"/>
                <w:showingPlcHdr/>
              </w:sdtPr>
              <w:sdtEndPr/>
              <w:sdtContent>
                <w:tc>
                  <w:tcPr>
                    <w:tcW w:w="448" w:type="pct"/>
                    <w:shd w:val="clear" w:color="auto" w:fill="auto"/>
                    <w:vAlign w:val="center"/>
                  </w:tcPr>
                  <w:p w14:paraId="4C530ECD" w14:textId="77777777" w:rsidR="007E7472" w:rsidRDefault="00EC1269">
                    <w:pPr>
                      <w:jc w:val="right"/>
                    </w:pPr>
                    <w:r>
                      <w:t xml:space="preserve">     </w:t>
                    </w:r>
                  </w:p>
                </w:tc>
              </w:sdtContent>
            </w:sdt>
            <w:sdt>
              <w:sdtPr>
                <w:rPr>
                  <w:rFonts w:hint="eastAsia"/>
                </w:rPr>
                <w:alias w:val="固定资产账面原值减少项目金额"/>
                <w:tag w:val="_GBC_86b298d954344511b012e84c48d4404f"/>
                <w:id w:val="-696009046"/>
                <w:lock w:val="sdtLocked"/>
                <w:showingPlcHdr/>
              </w:sdtPr>
              <w:sdtEndPr/>
              <w:sdtContent>
                <w:tc>
                  <w:tcPr>
                    <w:tcW w:w="437" w:type="pct"/>
                    <w:shd w:val="clear" w:color="auto" w:fill="auto"/>
                    <w:vAlign w:val="center"/>
                  </w:tcPr>
                  <w:p w14:paraId="296B9ECC" w14:textId="77777777" w:rsidR="007E7472" w:rsidRDefault="00EC1269">
                    <w:pPr>
                      <w:jc w:val="right"/>
                    </w:pPr>
                    <w:r>
                      <w:t xml:space="preserve">     </w:t>
                    </w:r>
                  </w:p>
                </w:tc>
              </w:sdtContent>
            </w:sdt>
            <w:sdt>
              <w:sdtPr>
                <w:rPr>
                  <w:rFonts w:hint="eastAsia"/>
                </w:rPr>
                <w:alias w:val="固定资产账面原值减少项目金额"/>
                <w:tag w:val="_GBC_86b298d954344511b012e84c48d4404f"/>
                <w:id w:val="-603348119"/>
                <w:lock w:val="sdtLocked"/>
                <w:showingPlcHdr/>
              </w:sdtPr>
              <w:sdtEndPr/>
              <w:sdtContent>
                <w:tc>
                  <w:tcPr>
                    <w:tcW w:w="463" w:type="pct"/>
                    <w:shd w:val="clear" w:color="auto" w:fill="auto"/>
                    <w:vAlign w:val="center"/>
                  </w:tcPr>
                  <w:p w14:paraId="20B7C729" w14:textId="77777777" w:rsidR="007E7472" w:rsidRDefault="00EC1269">
                    <w:pPr>
                      <w:jc w:val="right"/>
                    </w:pPr>
                    <w:r>
                      <w:t xml:space="preserve">     </w:t>
                    </w:r>
                  </w:p>
                </w:tc>
              </w:sdtContent>
            </w:sdt>
            <w:sdt>
              <w:sdtPr>
                <w:rPr>
                  <w:rFonts w:hint="eastAsia"/>
                </w:rPr>
                <w:alias w:val="固定资产账面原值减少项目合计金额"/>
                <w:tag w:val="_GBC_b75b8542395b4972ad2d3a1ea5c4c1d9"/>
                <w:id w:val="1188874680"/>
                <w:lock w:val="sdtLocked"/>
              </w:sdtPr>
              <w:sdtEndPr/>
              <w:sdtContent>
                <w:tc>
                  <w:tcPr>
                    <w:tcW w:w="609" w:type="pct"/>
                    <w:shd w:val="clear" w:color="auto" w:fill="auto"/>
                    <w:vAlign w:val="center"/>
                  </w:tcPr>
                  <w:p w14:paraId="45603B92" w14:textId="77777777" w:rsidR="007E7472" w:rsidRDefault="00EC1269">
                    <w:pPr>
                      <w:jc w:val="right"/>
                    </w:pPr>
                    <w:r>
                      <w:rPr>
                        <w:rFonts w:hint="eastAsia"/>
                      </w:rPr>
                      <w:t>72,659</w:t>
                    </w:r>
                  </w:p>
                </w:tc>
              </w:sdtContent>
            </w:sdt>
          </w:tr>
          <w:tr w:rsidR="007E7472" w14:paraId="47B2B6C3" w14:textId="77777777" w:rsidTr="007E7472">
            <w:tc>
              <w:tcPr>
                <w:tcW w:w="1124" w:type="pct"/>
                <w:shd w:val="clear" w:color="auto" w:fill="auto"/>
                <w:vAlign w:val="center"/>
              </w:tcPr>
              <w:p w14:paraId="2A261026" w14:textId="77777777" w:rsidR="007E7472" w:rsidRDefault="00EC1269">
                <w:pPr>
                  <w:ind w:firstLineChars="200" w:firstLine="420"/>
                  <w:rPr>
                    <w:bCs/>
                  </w:rPr>
                </w:pPr>
                <w:r>
                  <w:rPr>
                    <w:rFonts w:hint="eastAsia"/>
                  </w:rPr>
                  <w:t>4.外币报表折算差额</w:t>
                </w:r>
              </w:p>
            </w:tc>
            <w:tc>
              <w:tcPr>
                <w:tcW w:w="573" w:type="pct"/>
                <w:shd w:val="clear" w:color="auto" w:fill="auto"/>
                <w:vAlign w:val="center"/>
              </w:tcPr>
              <w:p w14:paraId="114655F4" w14:textId="77777777" w:rsidR="007E7472" w:rsidRDefault="00EC1269">
                <w:pPr>
                  <w:jc w:val="right"/>
                </w:pPr>
                <w:r>
                  <w:t>26,434</w:t>
                </w:r>
              </w:p>
            </w:tc>
            <w:tc>
              <w:tcPr>
                <w:tcW w:w="498" w:type="pct"/>
                <w:shd w:val="clear" w:color="auto" w:fill="auto"/>
                <w:vAlign w:val="center"/>
              </w:tcPr>
              <w:p w14:paraId="525C2471" w14:textId="77777777" w:rsidR="007E7472" w:rsidRDefault="00EC1269">
                <w:pPr>
                  <w:jc w:val="right"/>
                </w:pPr>
                <w:r>
                  <w:t>20,206</w:t>
                </w:r>
              </w:p>
            </w:tc>
            <w:tc>
              <w:tcPr>
                <w:tcW w:w="412" w:type="pct"/>
                <w:shd w:val="clear" w:color="auto" w:fill="auto"/>
                <w:vAlign w:val="center"/>
              </w:tcPr>
              <w:p w14:paraId="33EEE2BC" w14:textId="77777777" w:rsidR="007E7472" w:rsidRDefault="00EC1269">
                <w:pPr>
                  <w:jc w:val="right"/>
                </w:pPr>
                <w:r>
                  <w:t>236,876</w:t>
                </w:r>
              </w:p>
            </w:tc>
            <w:tc>
              <w:tcPr>
                <w:tcW w:w="430" w:type="pct"/>
                <w:shd w:val="clear" w:color="auto" w:fill="auto"/>
                <w:vAlign w:val="center"/>
              </w:tcPr>
              <w:p w14:paraId="6E7D1E69" w14:textId="77777777" w:rsidR="007E7472" w:rsidRDefault="00C8327E">
                <w:pPr>
                  <w:jc w:val="right"/>
                </w:pPr>
              </w:p>
            </w:tc>
            <w:tc>
              <w:tcPr>
                <w:tcW w:w="448" w:type="pct"/>
                <w:shd w:val="clear" w:color="auto" w:fill="auto"/>
                <w:vAlign w:val="center"/>
              </w:tcPr>
              <w:p w14:paraId="5104935C" w14:textId="77777777" w:rsidR="007E7472" w:rsidRDefault="00EC1269">
                <w:pPr>
                  <w:jc w:val="right"/>
                </w:pPr>
                <w:r>
                  <w:t>341,020</w:t>
                </w:r>
              </w:p>
            </w:tc>
            <w:tc>
              <w:tcPr>
                <w:tcW w:w="437" w:type="pct"/>
                <w:shd w:val="clear" w:color="auto" w:fill="auto"/>
                <w:vAlign w:val="center"/>
              </w:tcPr>
              <w:p w14:paraId="37961BF2" w14:textId="77777777" w:rsidR="007E7472" w:rsidRDefault="00EC1269">
                <w:pPr>
                  <w:jc w:val="right"/>
                </w:pPr>
                <w:r>
                  <w:t>9</w:t>
                </w:r>
              </w:p>
            </w:tc>
            <w:tc>
              <w:tcPr>
                <w:tcW w:w="463" w:type="pct"/>
                <w:shd w:val="clear" w:color="auto" w:fill="auto"/>
                <w:vAlign w:val="center"/>
              </w:tcPr>
              <w:p w14:paraId="14BADF7E" w14:textId="77777777" w:rsidR="007E7472" w:rsidRDefault="00C8327E">
                <w:pPr>
                  <w:jc w:val="right"/>
                </w:pPr>
              </w:p>
            </w:tc>
            <w:tc>
              <w:tcPr>
                <w:tcW w:w="609" w:type="pct"/>
                <w:shd w:val="clear" w:color="auto" w:fill="auto"/>
                <w:vAlign w:val="center"/>
              </w:tcPr>
              <w:p w14:paraId="601CB0AD" w14:textId="77777777" w:rsidR="007E7472" w:rsidRDefault="00EC1269">
                <w:pPr>
                  <w:jc w:val="right"/>
                </w:pPr>
                <w:r>
                  <w:t>624,545</w:t>
                </w:r>
              </w:p>
            </w:tc>
          </w:tr>
          <w:tr w:rsidR="007E7472" w14:paraId="580CA207" w14:textId="77777777" w:rsidTr="007E7472">
            <w:sdt>
              <w:sdtPr>
                <w:tag w:val="_PLD_249206a916954d19ba9495bb5be5eb90"/>
                <w:id w:val="60763895"/>
                <w:lock w:val="sdtLocked"/>
              </w:sdtPr>
              <w:sdtEndPr/>
              <w:sdtContent>
                <w:tc>
                  <w:tcPr>
                    <w:tcW w:w="1124" w:type="pct"/>
                    <w:shd w:val="clear" w:color="auto" w:fill="auto"/>
                    <w:vAlign w:val="center"/>
                  </w:tcPr>
                  <w:p w14:paraId="2E1A2F7B" w14:textId="77777777" w:rsidR="007E7472" w:rsidRDefault="00EC1269">
                    <w:pPr>
                      <w:ind w:firstLineChars="200" w:firstLine="420"/>
                    </w:pPr>
                    <w:r>
                      <w:t>5</w:t>
                    </w:r>
                    <w:r>
                      <w:rPr>
                        <w:rFonts w:hint="eastAsia"/>
                      </w:rPr>
                      <w:t>.期末余额</w:t>
                    </w:r>
                  </w:p>
                </w:tc>
              </w:sdtContent>
            </w:sdt>
            <w:tc>
              <w:tcPr>
                <w:tcW w:w="573" w:type="pct"/>
                <w:shd w:val="clear" w:color="auto" w:fill="auto"/>
                <w:vAlign w:val="center"/>
              </w:tcPr>
              <w:p w14:paraId="3D9C56F4" w14:textId="77777777" w:rsidR="007E7472" w:rsidRDefault="00EC1269">
                <w:pPr>
                  <w:jc w:val="right"/>
                </w:pPr>
                <w:r>
                  <w:t>1,469,363</w:t>
                </w:r>
              </w:p>
            </w:tc>
            <w:tc>
              <w:tcPr>
                <w:tcW w:w="498" w:type="pct"/>
                <w:shd w:val="clear" w:color="auto" w:fill="auto"/>
                <w:vAlign w:val="center"/>
              </w:tcPr>
              <w:p w14:paraId="31C09D3E" w14:textId="77777777" w:rsidR="007E7472" w:rsidRDefault="00EC1269">
                <w:pPr>
                  <w:jc w:val="right"/>
                </w:pPr>
                <w:r>
                  <w:t>12,545,399</w:t>
                </w:r>
              </w:p>
            </w:tc>
            <w:tc>
              <w:tcPr>
                <w:tcW w:w="412" w:type="pct"/>
                <w:shd w:val="clear" w:color="auto" w:fill="auto"/>
                <w:vAlign w:val="center"/>
              </w:tcPr>
              <w:p w14:paraId="455D1BC1" w14:textId="77777777" w:rsidR="007E7472" w:rsidRDefault="00EC1269">
                <w:pPr>
                  <w:jc w:val="right"/>
                </w:pPr>
                <w:r>
                  <w:t>29,820,216</w:t>
                </w:r>
              </w:p>
            </w:tc>
            <w:tc>
              <w:tcPr>
                <w:tcW w:w="430" w:type="pct"/>
                <w:shd w:val="clear" w:color="auto" w:fill="auto"/>
                <w:vAlign w:val="center"/>
              </w:tcPr>
              <w:p w14:paraId="1FFE98DA" w14:textId="77777777" w:rsidR="007E7472" w:rsidRDefault="00EC1269">
                <w:pPr>
                  <w:jc w:val="right"/>
                </w:pPr>
                <w:r>
                  <w:t>16,905,783</w:t>
                </w:r>
              </w:p>
            </w:tc>
            <w:tc>
              <w:tcPr>
                <w:tcW w:w="448" w:type="pct"/>
                <w:shd w:val="clear" w:color="auto" w:fill="auto"/>
                <w:vAlign w:val="center"/>
              </w:tcPr>
              <w:p w14:paraId="053A9F97" w14:textId="77777777" w:rsidR="007E7472" w:rsidRDefault="00EC1269">
                <w:pPr>
                  <w:jc w:val="right"/>
                </w:pPr>
                <w:r>
                  <w:t>77,289,927</w:t>
                </w:r>
              </w:p>
            </w:tc>
            <w:tc>
              <w:tcPr>
                <w:tcW w:w="437" w:type="pct"/>
                <w:shd w:val="clear" w:color="auto" w:fill="auto"/>
                <w:vAlign w:val="center"/>
              </w:tcPr>
              <w:p w14:paraId="350926C4" w14:textId="77777777" w:rsidR="007E7472" w:rsidRDefault="00EC1269">
                <w:pPr>
                  <w:jc w:val="right"/>
                </w:pPr>
                <w:r>
                  <w:t>2,010,829</w:t>
                </w:r>
              </w:p>
            </w:tc>
            <w:tc>
              <w:tcPr>
                <w:tcW w:w="463" w:type="pct"/>
                <w:shd w:val="clear" w:color="auto" w:fill="auto"/>
                <w:vAlign w:val="center"/>
              </w:tcPr>
              <w:p w14:paraId="3B210EE9" w14:textId="77777777" w:rsidR="007E7472" w:rsidRDefault="00EC1269">
                <w:pPr>
                  <w:jc w:val="right"/>
                </w:pPr>
                <w:r>
                  <w:t>5,308,575</w:t>
                </w:r>
              </w:p>
            </w:tc>
            <w:tc>
              <w:tcPr>
                <w:tcW w:w="609" w:type="pct"/>
                <w:shd w:val="clear" w:color="auto" w:fill="auto"/>
                <w:vAlign w:val="center"/>
              </w:tcPr>
              <w:p w14:paraId="7E45D516" w14:textId="77777777" w:rsidR="007E7472" w:rsidRDefault="00EC1269">
                <w:pPr>
                  <w:jc w:val="right"/>
                </w:pPr>
                <w:r>
                  <w:t>145,350,092</w:t>
                </w:r>
              </w:p>
            </w:tc>
          </w:tr>
          <w:tr w:rsidR="007E7472" w14:paraId="56FE912A" w14:textId="77777777" w:rsidTr="007E7472">
            <w:sdt>
              <w:sdtPr>
                <w:tag w:val="_PLD_3b9a984e6e834331844252acd1c6a321"/>
                <w:id w:val="-149283890"/>
                <w:lock w:val="sdtLocked"/>
              </w:sdtPr>
              <w:sdtEndPr/>
              <w:sdtContent>
                <w:tc>
                  <w:tcPr>
                    <w:tcW w:w="5000" w:type="pct"/>
                    <w:gridSpan w:val="9"/>
                    <w:shd w:val="clear" w:color="auto" w:fill="auto"/>
                    <w:vAlign w:val="center"/>
                  </w:tcPr>
                  <w:p w14:paraId="77B0DC41" w14:textId="77777777" w:rsidR="007E7472" w:rsidRDefault="00EC1269">
                    <w:r>
                      <w:rPr>
                        <w:rFonts w:hint="eastAsia"/>
                      </w:rPr>
                      <w:t>二、累计折旧</w:t>
                    </w:r>
                  </w:p>
                </w:tc>
              </w:sdtContent>
            </w:sdt>
          </w:tr>
          <w:tr w:rsidR="007E7472" w14:paraId="7E39EFD5" w14:textId="77777777" w:rsidTr="007E7472">
            <w:sdt>
              <w:sdtPr>
                <w:tag w:val="_PLD_f4ae2b083a314e62b85f562d3dbe5c24"/>
                <w:id w:val="-334298335"/>
                <w:lock w:val="sdtLocked"/>
              </w:sdtPr>
              <w:sdtEndPr/>
              <w:sdtContent>
                <w:tc>
                  <w:tcPr>
                    <w:tcW w:w="1124" w:type="pct"/>
                    <w:shd w:val="clear" w:color="auto" w:fill="auto"/>
                    <w:vAlign w:val="center"/>
                  </w:tcPr>
                  <w:p w14:paraId="7F13D34B" w14:textId="77777777" w:rsidR="007E7472" w:rsidRDefault="00EC1269">
                    <w:pPr>
                      <w:ind w:firstLineChars="200" w:firstLine="420"/>
                    </w:pPr>
                    <w:r>
                      <w:t>1.</w:t>
                    </w:r>
                    <w:r>
                      <w:rPr>
                        <w:rFonts w:hint="eastAsia"/>
                      </w:rPr>
                      <w:t>期初余额</w:t>
                    </w:r>
                  </w:p>
                </w:tc>
              </w:sdtContent>
            </w:sdt>
            <w:tc>
              <w:tcPr>
                <w:tcW w:w="573" w:type="pct"/>
                <w:shd w:val="clear" w:color="auto" w:fill="auto"/>
                <w:vAlign w:val="center"/>
              </w:tcPr>
              <w:p w14:paraId="369DD8B0" w14:textId="77777777" w:rsidR="007E7472" w:rsidRDefault="00C8327E">
                <w:pPr>
                  <w:jc w:val="right"/>
                </w:pPr>
              </w:p>
            </w:tc>
            <w:tc>
              <w:tcPr>
                <w:tcW w:w="498" w:type="pct"/>
                <w:shd w:val="clear" w:color="auto" w:fill="auto"/>
                <w:vAlign w:val="center"/>
              </w:tcPr>
              <w:p w14:paraId="608E95E7" w14:textId="77777777" w:rsidR="007E7472" w:rsidRDefault="00EC1269">
                <w:pPr>
                  <w:jc w:val="right"/>
                </w:pPr>
                <w:r>
                  <w:t>4,099,851</w:t>
                </w:r>
              </w:p>
            </w:tc>
            <w:tc>
              <w:tcPr>
                <w:tcW w:w="412" w:type="pct"/>
                <w:shd w:val="clear" w:color="auto" w:fill="auto"/>
                <w:vAlign w:val="center"/>
              </w:tcPr>
              <w:p w14:paraId="5919A113" w14:textId="77777777" w:rsidR="007E7472" w:rsidRDefault="00EC1269">
                <w:pPr>
                  <w:jc w:val="right"/>
                </w:pPr>
                <w:r>
                  <w:t>10,075,425</w:t>
                </w:r>
              </w:p>
            </w:tc>
            <w:tc>
              <w:tcPr>
                <w:tcW w:w="430" w:type="pct"/>
                <w:shd w:val="clear" w:color="auto" w:fill="auto"/>
                <w:vAlign w:val="center"/>
              </w:tcPr>
              <w:p w14:paraId="47452DCB" w14:textId="77777777" w:rsidR="007E7472" w:rsidRDefault="00EC1269">
                <w:pPr>
                  <w:jc w:val="right"/>
                </w:pPr>
                <w:r>
                  <w:t>6,154,101</w:t>
                </w:r>
              </w:p>
            </w:tc>
            <w:tc>
              <w:tcPr>
                <w:tcW w:w="448" w:type="pct"/>
                <w:shd w:val="clear" w:color="auto" w:fill="auto"/>
                <w:vAlign w:val="center"/>
              </w:tcPr>
              <w:p w14:paraId="43FAA10F" w14:textId="77777777" w:rsidR="007E7472" w:rsidRDefault="00EC1269">
                <w:pPr>
                  <w:jc w:val="right"/>
                </w:pPr>
                <w:r>
                  <w:t>35,157,867</w:t>
                </w:r>
              </w:p>
            </w:tc>
            <w:tc>
              <w:tcPr>
                <w:tcW w:w="437" w:type="pct"/>
                <w:shd w:val="clear" w:color="auto" w:fill="auto"/>
                <w:vAlign w:val="center"/>
              </w:tcPr>
              <w:p w14:paraId="01018DE7" w14:textId="77777777" w:rsidR="007E7472" w:rsidRDefault="00EC1269">
                <w:pPr>
                  <w:jc w:val="right"/>
                </w:pPr>
                <w:r>
                  <w:t>1,189,316</w:t>
                </w:r>
              </w:p>
            </w:tc>
            <w:tc>
              <w:tcPr>
                <w:tcW w:w="463" w:type="pct"/>
                <w:shd w:val="clear" w:color="auto" w:fill="auto"/>
                <w:vAlign w:val="center"/>
              </w:tcPr>
              <w:p w14:paraId="33AD750A" w14:textId="77777777" w:rsidR="007E7472" w:rsidRDefault="00EC1269">
                <w:pPr>
                  <w:jc w:val="right"/>
                </w:pPr>
                <w:r>
                  <w:t>2,889,61</w:t>
                </w:r>
                <w:r>
                  <w:rPr>
                    <w:rFonts w:hint="eastAsia"/>
                  </w:rPr>
                  <w:t>8</w:t>
                </w:r>
              </w:p>
            </w:tc>
            <w:tc>
              <w:tcPr>
                <w:tcW w:w="609" w:type="pct"/>
                <w:shd w:val="clear" w:color="auto" w:fill="auto"/>
                <w:vAlign w:val="center"/>
              </w:tcPr>
              <w:p w14:paraId="206FDB39" w14:textId="77777777" w:rsidR="007E7472" w:rsidRDefault="00EC1269">
                <w:pPr>
                  <w:jc w:val="right"/>
                </w:pPr>
                <w:r>
                  <w:t>59,566,17</w:t>
                </w:r>
                <w:r>
                  <w:rPr>
                    <w:rFonts w:hint="eastAsia"/>
                  </w:rPr>
                  <w:t>8</w:t>
                </w:r>
              </w:p>
            </w:tc>
          </w:tr>
          <w:tr w:rsidR="007E7472" w14:paraId="2C39F90F" w14:textId="77777777" w:rsidTr="007E7472">
            <w:sdt>
              <w:sdtPr>
                <w:tag w:val="_PLD_5f15b887e02c4ec6b52b0f15c4e97c9c"/>
                <w:id w:val="1671301566"/>
                <w:lock w:val="sdtLocked"/>
              </w:sdtPr>
              <w:sdtEndPr/>
              <w:sdtContent>
                <w:tc>
                  <w:tcPr>
                    <w:tcW w:w="1124" w:type="pct"/>
                    <w:shd w:val="clear" w:color="auto" w:fill="auto"/>
                    <w:vAlign w:val="center"/>
                  </w:tcPr>
                  <w:p w14:paraId="0FB2C9F0" w14:textId="77777777" w:rsidR="007E7472" w:rsidRDefault="00EC1269">
                    <w:pPr>
                      <w:ind w:firstLineChars="200" w:firstLine="420"/>
                    </w:pPr>
                    <w:r>
                      <w:t>2.</w:t>
                    </w:r>
                    <w:r>
                      <w:rPr>
                        <w:rFonts w:hint="eastAsia"/>
                      </w:rPr>
                      <w:t>本期增加金额</w:t>
                    </w:r>
                  </w:p>
                </w:tc>
              </w:sdtContent>
            </w:sdt>
            <w:tc>
              <w:tcPr>
                <w:tcW w:w="573" w:type="pct"/>
                <w:shd w:val="clear" w:color="auto" w:fill="auto"/>
                <w:vAlign w:val="center"/>
              </w:tcPr>
              <w:p w14:paraId="58F9A852" w14:textId="77777777" w:rsidR="007E7472" w:rsidRDefault="00C8327E">
                <w:pPr>
                  <w:jc w:val="right"/>
                </w:pPr>
              </w:p>
            </w:tc>
            <w:tc>
              <w:tcPr>
                <w:tcW w:w="498" w:type="pct"/>
                <w:shd w:val="clear" w:color="auto" w:fill="auto"/>
                <w:vAlign w:val="center"/>
              </w:tcPr>
              <w:p w14:paraId="7CBB2B1A" w14:textId="77777777" w:rsidR="007E7472" w:rsidRDefault="00EC1269">
                <w:pPr>
                  <w:jc w:val="right"/>
                </w:pPr>
                <w:r>
                  <w:t>253,647</w:t>
                </w:r>
              </w:p>
            </w:tc>
            <w:tc>
              <w:tcPr>
                <w:tcW w:w="412" w:type="pct"/>
                <w:shd w:val="clear" w:color="auto" w:fill="auto"/>
                <w:vAlign w:val="center"/>
              </w:tcPr>
              <w:p w14:paraId="33717211" w14:textId="77777777" w:rsidR="007E7472" w:rsidRDefault="00EC1269">
                <w:pPr>
                  <w:jc w:val="right"/>
                </w:pPr>
                <w:r>
                  <w:t>755,850</w:t>
                </w:r>
              </w:p>
            </w:tc>
            <w:tc>
              <w:tcPr>
                <w:tcW w:w="430" w:type="pct"/>
                <w:shd w:val="clear" w:color="auto" w:fill="auto"/>
                <w:vAlign w:val="center"/>
              </w:tcPr>
              <w:p w14:paraId="2231C620" w14:textId="77777777" w:rsidR="007E7472" w:rsidRDefault="00EC1269">
                <w:pPr>
                  <w:jc w:val="right"/>
                </w:pPr>
                <w:r>
                  <w:t>425,717</w:t>
                </w:r>
              </w:p>
            </w:tc>
            <w:tc>
              <w:tcPr>
                <w:tcW w:w="448" w:type="pct"/>
                <w:shd w:val="clear" w:color="auto" w:fill="auto"/>
                <w:vAlign w:val="center"/>
              </w:tcPr>
              <w:p w14:paraId="6A8A8C32" w14:textId="77777777" w:rsidR="007E7472" w:rsidRDefault="00EC1269">
                <w:pPr>
                  <w:jc w:val="right"/>
                </w:pPr>
                <w:r>
                  <w:t>2,716,976</w:t>
                </w:r>
              </w:p>
            </w:tc>
            <w:tc>
              <w:tcPr>
                <w:tcW w:w="437" w:type="pct"/>
                <w:shd w:val="clear" w:color="auto" w:fill="auto"/>
                <w:vAlign w:val="center"/>
              </w:tcPr>
              <w:p w14:paraId="60313A72" w14:textId="77777777" w:rsidR="007E7472" w:rsidRDefault="00EC1269">
                <w:pPr>
                  <w:jc w:val="right"/>
                </w:pPr>
                <w:r>
                  <w:t>76,409</w:t>
                </w:r>
              </w:p>
            </w:tc>
            <w:tc>
              <w:tcPr>
                <w:tcW w:w="463" w:type="pct"/>
                <w:shd w:val="clear" w:color="auto" w:fill="auto"/>
                <w:vAlign w:val="center"/>
              </w:tcPr>
              <w:p w14:paraId="5B9C10E9" w14:textId="77777777" w:rsidR="007E7472" w:rsidRDefault="00EC1269">
                <w:pPr>
                  <w:jc w:val="right"/>
                </w:pPr>
                <w:r>
                  <w:t>690,994</w:t>
                </w:r>
              </w:p>
            </w:tc>
            <w:tc>
              <w:tcPr>
                <w:tcW w:w="609" w:type="pct"/>
                <w:shd w:val="clear" w:color="auto" w:fill="auto"/>
                <w:vAlign w:val="center"/>
              </w:tcPr>
              <w:p w14:paraId="0D41B142" w14:textId="77777777" w:rsidR="007E7472" w:rsidRDefault="00EC1269">
                <w:pPr>
                  <w:jc w:val="right"/>
                </w:pPr>
                <w:r>
                  <w:t>4,919,593</w:t>
                </w:r>
              </w:p>
            </w:tc>
          </w:tr>
          <w:tr w:rsidR="007E7472" w14:paraId="1C597743" w14:textId="77777777" w:rsidTr="007E7472">
            <w:sdt>
              <w:sdtPr>
                <w:tag w:val="_PLD_8957ada504474bfcb99282b7912be7e4"/>
                <w:id w:val="5490192"/>
                <w:lock w:val="sdtLocked"/>
              </w:sdtPr>
              <w:sdtEndPr/>
              <w:sdtContent>
                <w:tc>
                  <w:tcPr>
                    <w:tcW w:w="1124" w:type="pct"/>
                    <w:shd w:val="clear" w:color="auto" w:fill="auto"/>
                    <w:vAlign w:val="center"/>
                  </w:tcPr>
                  <w:p w14:paraId="4714843F" w14:textId="77777777" w:rsidR="007E7472" w:rsidRDefault="00EC1269">
                    <w:pPr>
                      <w:ind w:firstLineChars="300" w:firstLine="630"/>
                    </w:pPr>
                    <w:r>
                      <w:rPr>
                        <w:rFonts w:hint="eastAsia"/>
                      </w:rPr>
                      <w:t>（1）计提</w:t>
                    </w:r>
                  </w:p>
                </w:tc>
              </w:sdtContent>
            </w:sdt>
            <w:tc>
              <w:tcPr>
                <w:tcW w:w="573" w:type="pct"/>
                <w:shd w:val="clear" w:color="auto" w:fill="auto"/>
                <w:vAlign w:val="center"/>
              </w:tcPr>
              <w:p w14:paraId="79224FE2" w14:textId="77777777" w:rsidR="007E7472" w:rsidRDefault="00C8327E">
                <w:pPr>
                  <w:jc w:val="right"/>
                </w:pPr>
              </w:p>
            </w:tc>
            <w:tc>
              <w:tcPr>
                <w:tcW w:w="498" w:type="pct"/>
                <w:shd w:val="clear" w:color="auto" w:fill="auto"/>
                <w:vAlign w:val="center"/>
              </w:tcPr>
              <w:p w14:paraId="345F79A1" w14:textId="77777777" w:rsidR="007E7472" w:rsidRDefault="00EC1269">
                <w:pPr>
                  <w:jc w:val="right"/>
                </w:pPr>
                <w:r>
                  <w:t>252,325</w:t>
                </w:r>
              </w:p>
            </w:tc>
            <w:tc>
              <w:tcPr>
                <w:tcW w:w="412" w:type="pct"/>
                <w:shd w:val="clear" w:color="auto" w:fill="auto"/>
                <w:vAlign w:val="center"/>
              </w:tcPr>
              <w:p w14:paraId="4DC9D7F3" w14:textId="77777777" w:rsidR="007E7472" w:rsidRDefault="00EC1269">
                <w:pPr>
                  <w:jc w:val="right"/>
                </w:pPr>
                <w:r>
                  <w:t>747,433</w:t>
                </w:r>
              </w:p>
            </w:tc>
            <w:tc>
              <w:tcPr>
                <w:tcW w:w="430" w:type="pct"/>
                <w:shd w:val="clear" w:color="auto" w:fill="auto"/>
                <w:vAlign w:val="center"/>
              </w:tcPr>
              <w:p w14:paraId="536E6389" w14:textId="77777777" w:rsidR="007E7472" w:rsidRDefault="00EC1269">
                <w:pPr>
                  <w:jc w:val="right"/>
                </w:pPr>
                <w:r>
                  <w:t>327,119</w:t>
                </w:r>
              </w:p>
            </w:tc>
            <w:tc>
              <w:tcPr>
                <w:tcW w:w="448" w:type="pct"/>
                <w:shd w:val="clear" w:color="auto" w:fill="auto"/>
                <w:vAlign w:val="center"/>
              </w:tcPr>
              <w:p w14:paraId="4CED6BF1" w14:textId="77777777" w:rsidR="007E7472" w:rsidRDefault="00EC1269">
                <w:pPr>
                  <w:jc w:val="right"/>
                </w:pPr>
                <w:r>
                  <w:t>2,710,255</w:t>
                </w:r>
              </w:p>
            </w:tc>
            <w:tc>
              <w:tcPr>
                <w:tcW w:w="437" w:type="pct"/>
                <w:shd w:val="clear" w:color="auto" w:fill="auto"/>
                <w:vAlign w:val="center"/>
              </w:tcPr>
              <w:p w14:paraId="4B52C8FA" w14:textId="77777777" w:rsidR="007E7472" w:rsidRDefault="00EC1269">
                <w:pPr>
                  <w:jc w:val="right"/>
                </w:pPr>
                <w:r>
                  <w:t>76,409</w:t>
                </w:r>
              </w:p>
            </w:tc>
            <w:tc>
              <w:tcPr>
                <w:tcW w:w="463" w:type="pct"/>
                <w:shd w:val="clear" w:color="auto" w:fill="auto"/>
                <w:vAlign w:val="center"/>
              </w:tcPr>
              <w:p w14:paraId="41F50326" w14:textId="77777777" w:rsidR="007E7472" w:rsidRDefault="00EC1269">
                <w:pPr>
                  <w:jc w:val="right"/>
                </w:pPr>
                <w:r>
                  <w:t>288,036</w:t>
                </w:r>
              </w:p>
            </w:tc>
            <w:tc>
              <w:tcPr>
                <w:tcW w:w="609" w:type="pct"/>
                <w:shd w:val="clear" w:color="auto" w:fill="auto"/>
                <w:vAlign w:val="center"/>
              </w:tcPr>
              <w:p w14:paraId="6F86AAF5" w14:textId="77777777" w:rsidR="007E7472" w:rsidRDefault="00EC1269">
                <w:pPr>
                  <w:jc w:val="right"/>
                </w:pPr>
                <w:r>
                  <w:t>4,401,577</w:t>
                </w:r>
              </w:p>
            </w:tc>
          </w:tr>
          <w:tr w:rsidR="007E7472" w14:paraId="6994D30B" w14:textId="77777777" w:rsidTr="007E7472">
            <w:sdt>
              <w:sdtPr>
                <w:rPr>
                  <w:rFonts w:hint="eastAsia"/>
                </w:rPr>
                <w:alias w:val="固定资产累计折旧增加项目名称"/>
                <w:tag w:val="_GBC_0965865fe56240ca9467fb856bda8c28"/>
                <w:id w:val="-928195068"/>
                <w:lock w:val="sdtLocked"/>
              </w:sdtPr>
              <w:sdtEndPr/>
              <w:sdtContent>
                <w:tc>
                  <w:tcPr>
                    <w:tcW w:w="1124" w:type="pct"/>
                    <w:shd w:val="clear" w:color="auto" w:fill="auto"/>
                    <w:vAlign w:val="center"/>
                  </w:tcPr>
                  <w:p w14:paraId="2F40FB5D" w14:textId="77777777" w:rsidR="007E7472" w:rsidRDefault="00EC1269">
                    <w:pPr>
                      <w:ind w:firstLineChars="300" w:firstLine="630"/>
                    </w:pPr>
                    <w:r>
                      <w:rPr>
                        <w:rFonts w:hint="eastAsia"/>
                      </w:rPr>
                      <w:t>（2）重分类转入</w:t>
                    </w:r>
                  </w:p>
                </w:tc>
              </w:sdtContent>
            </w:sdt>
            <w:sdt>
              <w:sdtPr>
                <w:rPr>
                  <w:rFonts w:hint="eastAsia"/>
                </w:rPr>
                <w:alias w:val="固定资产累计折旧增加项目金额"/>
                <w:tag w:val="_GBC_4f471bfa60bb4fd284527a4bd35a106e"/>
                <w:id w:val="-1332828476"/>
                <w:lock w:val="sdtLocked"/>
                <w:showingPlcHdr/>
              </w:sdtPr>
              <w:sdtEndPr/>
              <w:sdtContent>
                <w:tc>
                  <w:tcPr>
                    <w:tcW w:w="573" w:type="pct"/>
                    <w:shd w:val="clear" w:color="auto" w:fill="auto"/>
                    <w:vAlign w:val="center"/>
                  </w:tcPr>
                  <w:p w14:paraId="6AF7F733" w14:textId="77777777" w:rsidR="007E7472" w:rsidRDefault="00C8327E">
                    <w:pPr>
                      <w:jc w:val="right"/>
                    </w:pPr>
                  </w:p>
                </w:tc>
              </w:sdtContent>
            </w:sdt>
            <w:sdt>
              <w:sdtPr>
                <w:rPr>
                  <w:rFonts w:hint="eastAsia"/>
                </w:rPr>
                <w:alias w:val="固定资产累计折旧增加项目金额"/>
                <w:tag w:val="_GBC_4f471bfa60bb4fd284527a4bd35a106e"/>
                <w:id w:val="145711923"/>
                <w:lock w:val="sdtLocked"/>
                <w:showingPlcHdr/>
              </w:sdtPr>
              <w:sdtEndPr/>
              <w:sdtContent>
                <w:tc>
                  <w:tcPr>
                    <w:tcW w:w="498" w:type="pct"/>
                    <w:shd w:val="clear" w:color="auto" w:fill="auto"/>
                    <w:vAlign w:val="center"/>
                  </w:tcPr>
                  <w:p w14:paraId="45D34641" w14:textId="77777777" w:rsidR="007E7472" w:rsidRDefault="00EC1269">
                    <w:pPr>
                      <w:jc w:val="right"/>
                    </w:pPr>
                    <w:r>
                      <w:t xml:space="preserve">     </w:t>
                    </w:r>
                  </w:p>
                </w:tc>
              </w:sdtContent>
            </w:sdt>
            <w:sdt>
              <w:sdtPr>
                <w:rPr>
                  <w:rFonts w:hint="eastAsia"/>
                </w:rPr>
                <w:alias w:val="固定资产累计折旧增加项目金额"/>
                <w:tag w:val="_GBC_4f471bfa60bb4fd284527a4bd35a106e"/>
                <w:id w:val="-193619178"/>
                <w:lock w:val="sdtLocked"/>
                <w:showingPlcHdr/>
              </w:sdtPr>
              <w:sdtEndPr/>
              <w:sdtContent>
                <w:tc>
                  <w:tcPr>
                    <w:tcW w:w="412" w:type="pct"/>
                    <w:shd w:val="clear" w:color="auto" w:fill="auto"/>
                    <w:vAlign w:val="center"/>
                  </w:tcPr>
                  <w:p w14:paraId="553B06A6" w14:textId="77777777" w:rsidR="007E7472" w:rsidRDefault="00EC1269">
                    <w:pPr>
                      <w:jc w:val="right"/>
                    </w:pPr>
                    <w:r>
                      <w:t xml:space="preserve">     </w:t>
                    </w:r>
                  </w:p>
                </w:tc>
              </w:sdtContent>
            </w:sdt>
            <w:sdt>
              <w:sdtPr>
                <w:rPr>
                  <w:rFonts w:hint="eastAsia"/>
                </w:rPr>
                <w:alias w:val="固定资产累计折旧增加项目金额"/>
                <w:tag w:val="_GBC_4f471bfa60bb4fd284527a4bd35a106e"/>
                <w:id w:val="152879610"/>
                <w:lock w:val="sdtLocked"/>
              </w:sdtPr>
              <w:sdtEndPr/>
              <w:sdtContent>
                <w:tc>
                  <w:tcPr>
                    <w:tcW w:w="430" w:type="pct"/>
                    <w:shd w:val="clear" w:color="auto" w:fill="auto"/>
                    <w:vAlign w:val="center"/>
                  </w:tcPr>
                  <w:p w14:paraId="547B02BE" w14:textId="77777777" w:rsidR="007E7472" w:rsidRDefault="00EC1269">
                    <w:pPr>
                      <w:jc w:val="right"/>
                    </w:pPr>
                    <w:r>
                      <w:rPr>
                        <w:rFonts w:hint="eastAsia"/>
                      </w:rPr>
                      <w:t>98,598</w:t>
                    </w:r>
                  </w:p>
                </w:tc>
              </w:sdtContent>
            </w:sdt>
            <w:sdt>
              <w:sdtPr>
                <w:rPr>
                  <w:rFonts w:hint="eastAsia"/>
                </w:rPr>
                <w:alias w:val="固定资产累计折旧增加项目金额"/>
                <w:tag w:val="_GBC_4f471bfa60bb4fd284527a4bd35a106e"/>
                <w:id w:val="71857953"/>
                <w:lock w:val="sdtLocked"/>
              </w:sdtPr>
              <w:sdtEndPr/>
              <w:sdtContent>
                <w:tc>
                  <w:tcPr>
                    <w:tcW w:w="448" w:type="pct"/>
                    <w:shd w:val="clear" w:color="auto" w:fill="auto"/>
                    <w:vAlign w:val="center"/>
                  </w:tcPr>
                  <w:p w14:paraId="0E251735" w14:textId="77777777" w:rsidR="007E7472" w:rsidRDefault="00EC1269">
                    <w:pPr>
                      <w:jc w:val="right"/>
                    </w:pPr>
                    <w:r>
                      <w:rPr>
                        <w:rFonts w:hint="eastAsia"/>
                      </w:rPr>
                      <w:t>96</w:t>
                    </w:r>
                  </w:p>
                </w:tc>
              </w:sdtContent>
            </w:sdt>
            <w:sdt>
              <w:sdtPr>
                <w:rPr>
                  <w:rFonts w:hint="eastAsia"/>
                </w:rPr>
                <w:alias w:val="固定资产累计折旧增加项目金额"/>
                <w:tag w:val="_GBC_4f471bfa60bb4fd284527a4bd35a106e"/>
                <w:id w:val="-1843230592"/>
                <w:lock w:val="sdtLocked"/>
                <w:showingPlcHdr/>
              </w:sdtPr>
              <w:sdtEndPr/>
              <w:sdtContent>
                <w:tc>
                  <w:tcPr>
                    <w:tcW w:w="437" w:type="pct"/>
                    <w:shd w:val="clear" w:color="auto" w:fill="auto"/>
                    <w:vAlign w:val="center"/>
                  </w:tcPr>
                  <w:p w14:paraId="3FF7FA1C" w14:textId="77777777" w:rsidR="007E7472" w:rsidRDefault="00EC1269">
                    <w:pPr>
                      <w:jc w:val="right"/>
                    </w:pPr>
                    <w:r>
                      <w:t xml:space="preserve">     </w:t>
                    </w:r>
                  </w:p>
                </w:tc>
              </w:sdtContent>
            </w:sdt>
            <w:sdt>
              <w:sdtPr>
                <w:rPr>
                  <w:rFonts w:hint="eastAsia"/>
                </w:rPr>
                <w:alias w:val="固定资产累计折旧增加项目金额"/>
                <w:tag w:val="_GBC_4f471bfa60bb4fd284527a4bd35a106e"/>
                <w:id w:val="-165875438"/>
                <w:lock w:val="sdtLocked"/>
              </w:sdtPr>
              <w:sdtEndPr/>
              <w:sdtContent>
                <w:tc>
                  <w:tcPr>
                    <w:tcW w:w="463" w:type="pct"/>
                    <w:shd w:val="clear" w:color="auto" w:fill="auto"/>
                    <w:vAlign w:val="center"/>
                  </w:tcPr>
                  <w:p w14:paraId="2742E44F" w14:textId="77777777" w:rsidR="007E7472" w:rsidRDefault="00EC1269">
                    <w:pPr>
                      <w:jc w:val="right"/>
                    </w:pPr>
                    <w:r>
                      <w:rPr>
                        <w:rFonts w:hint="eastAsia"/>
                      </w:rPr>
                      <w:t>402,95</w:t>
                    </w:r>
                    <w:r>
                      <w:t>8</w:t>
                    </w:r>
                  </w:p>
                </w:tc>
              </w:sdtContent>
            </w:sdt>
            <w:sdt>
              <w:sdtPr>
                <w:rPr>
                  <w:rFonts w:hint="eastAsia"/>
                </w:rPr>
                <w:alias w:val="固定资产累计折旧增加项目合计金额"/>
                <w:tag w:val="_GBC_de0f633422eb40198165dd44928b321c"/>
                <w:id w:val="-1276240385"/>
                <w:lock w:val="sdtLocked"/>
              </w:sdtPr>
              <w:sdtEndPr/>
              <w:sdtContent>
                <w:tc>
                  <w:tcPr>
                    <w:tcW w:w="609" w:type="pct"/>
                    <w:shd w:val="clear" w:color="auto" w:fill="auto"/>
                    <w:vAlign w:val="center"/>
                  </w:tcPr>
                  <w:p w14:paraId="4C3D5FE6" w14:textId="77777777" w:rsidR="007E7472" w:rsidRDefault="00EC1269">
                    <w:pPr>
                      <w:jc w:val="right"/>
                    </w:pPr>
                    <w:r>
                      <w:rPr>
                        <w:rFonts w:hint="eastAsia"/>
                      </w:rPr>
                      <w:t>501,65</w:t>
                    </w:r>
                    <w:r>
                      <w:t>2</w:t>
                    </w:r>
                  </w:p>
                </w:tc>
              </w:sdtContent>
            </w:sdt>
          </w:tr>
          <w:tr w:rsidR="007E7472" w14:paraId="7DA60526" w14:textId="77777777" w:rsidTr="007E7472">
            <w:sdt>
              <w:sdtPr>
                <w:rPr>
                  <w:rFonts w:hint="eastAsia"/>
                </w:rPr>
                <w:alias w:val="固定资产累计折旧增加项目名称"/>
                <w:tag w:val="_GBC_0965865fe56240ca9467fb856bda8c28"/>
                <w:id w:val="507412451"/>
                <w:lock w:val="sdtLocked"/>
              </w:sdtPr>
              <w:sdtEndPr/>
              <w:sdtContent>
                <w:tc>
                  <w:tcPr>
                    <w:tcW w:w="1124" w:type="pct"/>
                    <w:shd w:val="clear" w:color="auto" w:fill="auto"/>
                    <w:vAlign w:val="center"/>
                  </w:tcPr>
                  <w:p w14:paraId="0D713AB2" w14:textId="77777777" w:rsidR="007E7472" w:rsidRDefault="00EC1269">
                    <w:pPr>
                      <w:ind w:firstLineChars="300" w:firstLine="630"/>
                    </w:pPr>
                    <w:r>
                      <w:rPr>
                        <w:rFonts w:hint="eastAsia"/>
                      </w:rPr>
                      <w:t>（3）使用权资产转入</w:t>
                    </w:r>
                  </w:p>
                </w:tc>
              </w:sdtContent>
            </w:sdt>
            <w:sdt>
              <w:sdtPr>
                <w:rPr>
                  <w:rFonts w:hint="eastAsia"/>
                </w:rPr>
                <w:alias w:val="固定资产累计折旧增加项目金额"/>
                <w:tag w:val="_GBC_4f471bfa60bb4fd284527a4bd35a106e"/>
                <w:id w:val="-1763911781"/>
                <w:lock w:val="sdtLocked"/>
                <w:showingPlcHdr/>
              </w:sdtPr>
              <w:sdtEndPr/>
              <w:sdtContent>
                <w:tc>
                  <w:tcPr>
                    <w:tcW w:w="573" w:type="pct"/>
                    <w:shd w:val="clear" w:color="auto" w:fill="auto"/>
                    <w:vAlign w:val="center"/>
                  </w:tcPr>
                  <w:p w14:paraId="4BE56F24" w14:textId="77777777" w:rsidR="007E7472" w:rsidRDefault="00C8327E">
                    <w:pPr>
                      <w:jc w:val="right"/>
                    </w:pPr>
                  </w:p>
                </w:tc>
              </w:sdtContent>
            </w:sdt>
            <w:sdt>
              <w:sdtPr>
                <w:rPr>
                  <w:rFonts w:hint="eastAsia"/>
                </w:rPr>
                <w:alias w:val="固定资产累计折旧增加项目金额"/>
                <w:tag w:val="_GBC_4f471bfa60bb4fd284527a4bd35a106e"/>
                <w:id w:val="-770934953"/>
                <w:lock w:val="sdtLocked"/>
                <w:showingPlcHdr/>
              </w:sdtPr>
              <w:sdtEndPr/>
              <w:sdtContent>
                <w:tc>
                  <w:tcPr>
                    <w:tcW w:w="498" w:type="pct"/>
                    <w:shd w:val="clear" w:color="auto" w:fill="auto"/>
                    <w:vAlign w:val="center"/>
                  </w:tcPr>
                  <w:p w14:paraId="3BE5A5EC" w14:textId="77777777" w:rsidR="007E7472" w:rsidRDefault="00EC1269">
                    <w:pPr>
                      <w:jc w:val="right"/>
                    </w:pPr>
                    <w:r>
                      <w:t xml:space="preserve">     </w:t>
                    </w:r>
                  </w:p>
                </w:tc>
              </w:sdtContent>
            </w:sdt>
            <w:sdt>
              <w:sdtPr>
                <w:rPr>
                  <w:rFonts w:hint="eastAsia"/>
                </w:rPr>
                <w:alias w:val="固定资产累计折旧增加项目金额"/>
                <w:tag w:val="_GBC_4f471bfa60bb4fd284527a4bd35a106e"/>
                <w:id w:val="-1351862825"/>
                <w:lock w:val="sdtLocked"/>
                <w:showingPlcHdr/>
              </w:sdtPr>
              <w:sdtEndPr/>
              <w:sdtContent>
                <w:tc>
                  <w:tcPr>
                    <w:tcW w:w="412" w:type="pct"/>
                    <w:shd w:val="clear" w:color="auto" w:fill="auto"/>
                    <w:vAlign w:val="center"/>
                  </w:tcPr>
                  <w:p w14:paraId="741B3383" w14:textId="77777777" w:rsidR="007E7472" w:rsidRDefault="00EC1269">
                    <w:pPr>
                      <w:jc w:val="right"/>
                    </w:pPr>
                    <w:r>
                      <w:t xml:space="preserve">     </w:t>
                    </w:r>
                  </w:p>
                </w:tc>
              </w:sdtContent>
            </w:sdt>
            <w:sdt>
              <w:sdtPr>
                <w:rPr>
                  <w:rFonts w:hint="eastAsia"/>
                </w:rPr>
                <w:alias w:val="固定资产累计折旧增加项目金额"/>
                <w:tag w:val="_GBC_4f471bfa60bb4fd284527a4bd35a106e"/>
                <w:id w:val="-1096935190"/>
                <w:lock w:val="sdtLocked"/>
                <w:showingPlcHdr/>
              </w:sdtPr>
              <w:sdtEndPr/>
              <w:sdtContent>
                <w:tc>
                  <w:tcPr>
                    <w:tcW w:w="430" w:type="pct"/>
                    <w:shd w:val="clear" w:color="auto" w:fill="auto"/>
                    <w:vAlign w:val="center"/>
                  </w:tcPr>
                  <w:p w14:paraId="52940E31" w14:textId="77777777" w:rsidR="007E7472" w:rsidRDefault="00EC1269">
                    <w:pPr>
                      <w:jc w:val="right"/>
                    </w:pPr>
                    <w:r>
                      <w:t xml:space="preserve">     </w:t>
                    </w:r>
                  </w:p>
                </w:tc>
              </w:sdtContent>
            </w:sdt>
            <w:sdt>
              <w:sdtPr>
                <w:rPr>
                  <w:rFonts w:hint="eastAsia"/>
                </w:rPr>
                <w:alias w:val="固定资产累计折旧增加项目金额"/>
                <w:tag w:val="_GBC_4f471bfa60bb4fd284527a4bd35a106e"/>
                <w:id w:val="494081757"/>
                <w:lock w:val="sdtLocked"/>
                <w:showingPlcHdr/>
              </w:sdtPr>
              <w:sdtEndPr/>
              <w:sdtContent>
                <w:tc>
                  <w:tcPr>
                    <w:tcW w:w="448" w:type="pct"/>
                    <w:shd w:val="clear" w:color="auto" w:fill="auto"/>
                    <w:vAlign w:val="center"/>
                  </w:tcPr>
                  <w:p w14:paraId="14F15355" w14:textId="77777777" w:rsidR="007E7472" w:rsidRDefault="00EC1269">
                    <w:pPr>
                      <w:jc w:val="right"/>
                    </w:pPr>
                    <w:r>
                      <w:t xml:space="preserve">     </w:t>
                    </w:r>
                  </w:p>
                </w:tc>
              </w:sdtContent>
            </w:sdt>
            <w:sdt>
              <w:sdtPr>
                <w:rPr>
                  <w:rFonts w:hint="eastAsia"/>
                </w:rPr>
                <w:alias w:val="固定资产累计折旧增加项目金额"/>
                <w:tag w:val="_GBC_4f471bfa60bb4fd284527a4bd35a106e"/>
                <w:id w:val="1646775830"/>
                <w:lock w:val="sdtLocked"/>
                <w:showingPlcHdr/>
              </w:sdtPr>
              <w:sdtEndPr/>
              <w:sdtContent>
                <w:tc>
                  <w:tcPr>
                    <w:tcW w:w="437" w:type="pct"/>
                    <w:shd w:val="clear" w:color="auto" w:fill="auto"/>
                    <w:vAlign w:val="center"/>
                  </w:tcPr>
                  <w:p w14:paraId="09169C14" w14:textId="77777777" w:rsidR="007E7472" w:rsidRDefault="00EC1269">
                    <w:pPr>
                      <w:jc w:val="right"/>
                    </w:pPr>
                    <w:r>
                      <w:t xml:space="preserve">     </w:t>
                    </w:r>
                  </w:p>
                </w:tc>
              </w:sdtContent>
            </w:sdt>
            <w:sdt>
              <w:sdtPr>
                <w:rPr>
                  <w:rFonts w:hint="eastAsia"/>
                </w:rPr>
                <w:alias w:val="固定资产累计折旧增加项目金额"/>
                <w:tag w:val="_GBC_4f471bfa60bb4fd284527a4bd35a106e"/>
                <w:id w:val="-2072266220"/>
                <w:lock w:val="sdtLocked"/>
                <w:showingPlcHdr/>
              </w:sdtPr>
              <w:sdtEndPr/>
              <w:sdtContent>
                <w:tc>
                  <w:tcPr>
                    <w:tcW w:w="463" w:type="pct"/>
                    <w:shd w:val="clear" w:color="auto" w:fill="auto"/>
                    <w:vAlign w:val="center"/>
                  </w:tcPr>
                  <w:p w14:paraId="436E6795" w14:textId="77777777" w:rsidR="007E7472" w:rsidRDefault="00EC1269">
                    <w:pPr>
                      <w:jc w:val="right"/>
                    </w:pPr>
                    <w:r>
                      <w:t xml:space="preserve">     </w:t>
                    </w:r>
                  </w:p>
                </w:tc>
              </w:sdtContent>
            </w:sdt>
            <w:sdt>
              <w:sdtPr>
                <w:rPr>
                  <w:rFonts w:hint="eastAsia"/>
                </w:rPr>
                <w:alias w:val="固定资产累计折旧增加项目合计金额"/>
                <w:tag w:val="_GBC_de0f633422eb40198165dd44928b321c"/>
                <w:id w:val="10728998"/>
                <w:lock w:val="sdtLocked"/>
                <w:showingPlcHdr/>
              </w:sdtPr>
              <w:sdtEndPr/>
              <w:sdtContent>
                <w:tc>
                  <w:tcPr>
                    <w:tcW w:w="609" w:type="pct"/>
                    <w:shd w:val="clear" w:color="auto" w:fill="auto"/>
                    <w:vAlign w:val="center"/>
                  </w:tcPr>
                  <w:p w14:paraId="7D88A16E" w14:textId="77777777" w:rsidR="007E7472" w:rsidRDefault="00EC1269">
                    <w:pPr>
                      <w:jc w:val="right"/>
                    </w:pPr>
                    <w:r>
                      <w:rPr>
                        <w:rFonts w:hint="eastAsia"/>
                      </w:rPr>
                      <w:t xml:space="preserve">　</w:t>
                    </w:r>
                  </w:p>
                </w:tc>
              </w:sdtContent>
            </w:sdt>
          </w:tr>
          <w:tr w:rsidR="007E7472" w14:paraId="0106821B" w14:textId="77777777" w:rsidTr="007E7472">
            <w:sdt>
              <w:sdtPr>
                <w:rPr>
                  <w:rFonts w:hint="eastAsia"/>
                </w:rPr>
                <w:alias w:val="固定资产累计折旧增加项目名称"/>
                <w:tag w:val="_GBC_0965865fe56240ca9467fb856bda8c28"/>
                <w:id w:val="942813264"/>
                <w:lock w:val="sdtLocked"/>
              </w:sdtPr>
              <w:sdtEndPr/>
              <w:sdtContent>
                <w:tc>
                  <w:tcPr>
                    <w:tcW w:w="1124" w:type="pct"/>
                    <w:shd w:val="clear" w:color="auto" w:fill="auto"/>
                    <w:vAlign w:val="center"/>
                  </w:tcPr>
                  <w:p w14:paraId="65207D4F" w14:textId="77777777" w:rsidR="007E7472" w:rsidRDefault="00EC1269">
                    <w:pPr>
                      <w:ind w:firstLineChars="300" w:firstLine="630"/>
                    </w:pPr>
                    <w:r>
                      <w:rPr>
                        <w:rFonts w:hint="eastAsia"/>
                      </w:rPr>
                      <w:t>（4）企业合并增加</w:t>
                    </w:r>
                  </w:p>
                </w:tc>
              </w:sdtContent>
            </w:sdt>
            <w:sdt>
              <w:sdtPr>
                <w:rPr>
                  <w:rFonts w:hint="eastAsia"/>
                </w:rPr>
                <w:alias w:val="固定资产累计折旧增加项目金额"/>
                <w:tag w:val="_GBC_4f471bfa60bb4fd284527a4bd35a106e"/>
                <w:id w:val="-1234077737"/>
                <w:lock w:val="sdtLocked"/>
                <w:showingPlcHdr/>
              </w:sdtPr>
              <w:sdtEndPr/>
              <w:sdtContent>
                <w:tc>
                  <w:tcPr>
                    <w:tcW w:w="573" w:type="pct"/>
                    <w:shd w:val="clear" w:color="auto" w:fill="auto"/>
                    <w:vAlign w:val="center"/>
                  </w:tcPr>
                  <w:p w14:paraId="2A743F4E" w14:textId="77777777" w:rsidR="007E7472" w:rsidRDefault="00C8327E">
                    <w:pPr>
                      <w:jc w:val="right"/>
                    </w:pPr>
                  </w:p>
                </w:tc>
              </w:sdtContent>
            </w:sdt>
            <w:sdt>
              <w:sdtPr>
                <w:rPr>
                  <w:rFonts w:hint="eastAsia"/>
                </w:rPr>
                <w:alias w:val="固定资产累计折旧增加项目金额"/>
                <w:tag w:val="_GBC_4f471bfa60bb4fd284527a4bd35a106e"/>
                <w:id w:val="-929504702"/>
                <w:lock w:val="sdtLocked"/>
                <w:showingPlcHdr/>
              </w:sdtPr>
              <w:sdtEndPr/>
              <w:sdtContent>
                <w:tc>
                  <w:tcPr>
                    <w:tcW w:w="498" w:type="pct"/>
                    <w:shd w:val="clear" w:color="auto" w:fill="auto"/>
                    <w:vAlign w:val="center"/>
                  </w:tcPr>
                  <w:p w14:paraId="48AD53A0" w14:textId="77777777" w:rsidR="007E7472" w:rsidRDefault="00EC1269">
                    <w:pPr>
                      <w:jc w:val="right"/>
                    </w:pPr>
                    <w:r>
                      <w:t xml:space="preserve">     </w:t>
                    </w:r>
                  </w:p>
                </w:tc>
              </w:sdtContent>
            </w:sdt>
            <w:sdt>
              <w:sdtPr>
                <w:rPr>
                  <w:rFonts w:hint="eastAsia"/>
                </w:rPr>
                <w:alias w:val="固定资产累计折旧增加项目金额"/>
                <w:tag w:val="_GBC_4f471bfa60bb4fd284527a4bd35a106e"/>
                <w:id w:val="1750070620"/>
                <w:lock w:val="sdtLocked"/>
                <w:showingPlcHdr/>
              </w:sdtPr>
              <w:sdtEndPr/>
              <w:sdtContent>
                <w:tc>
                  <w:tcPr>
                    <w:tcW w:w="412" w:type="pct"/>
                    <w:shd w:val="clear" w:color="auto" w:fill="auto"/>
                    <w:vAlign w:val="center"/>
                  </w:tcPr>
                  <w:p w14:paraId="3C6DF51F" w14:textId="77777777" w:rsidR="007E7472" w:rsidRDefault="00EC1269">
                    <w:pPr>
                      <w:jc w:val="right"/>
                    </w:pPr>
                    <w:r>
                      <w:t xml:space="preserve">     </w:t>
                    </w:r>
                  </w:p>
                </w:tc>
              </w:sdtContent>
            </w:sdt>
            <w:sdt>
              <w:sdtPr>
                <w:rPr>
                  <w:rFonts w:hint="eastAsia"/>
                </w:rPr>
                <w:alias w:val="固定资产累计折旧增加项目金额"/>
                <w:tag w:val="_GBC_4f471bfa60bb4fd284527a4bd35a106e"/>
                <w:id w:val="798730068"/>
                <w:lock w:val="sdtLocked"/>
                <w:showingPlcHdr/>
              </w:sdtPr>
              <w:sdtEndPr/>
              <w:sdtContent>
                <w:tc>
                  <w:tcPr>
                    <w:tcW w:w="430" w:type="pct"/>
                    <w:shd w:val="clear" w:color="auto" w:fill="auto"/>
                    <w:vAlign w:val="center"/>
                  </w:tcPr>
                  <w:p w14:paraId="6161717D" w14:textId="77777777" w:rsidR="007E7472" w:rsidRDefault="00EC1269">
                    <w:pPr>
                      <w:jc w:val="right"/>
                    </w:pPr>
                    <w:r>
                      <w:t xml:space="preserve">     </w:t>
                    </w:r>
                  </w:p>
                </w:tc>
              </w:sdtContent>
            </w:sdt>
            <w:sdt>
              <w:sdtPr>
                <w:rPr>
                  <w:rFonts w:hint="eastAsia"/>
                </w:rPr>
                <w:alias w:val="固定资产累计折旧增加项目金额"/>
                <w:tag w:val="_GBC_4f471bfa60bb4fd284527a4bd35a106e"/>
                <w:id w:val="-1361888933"/>
                <w:lock w:val="sdtLocked"/>
                <w:showingPlcHdr/>
              </w:sdtPr>
              <w:sdtEndPr/>
              <w:sdtContent>
                <w:tc>
                  <w:tcPr>
                    <w:tcW w:w="448" w:type="pct"/>
                    <w:shd w:val="clear" w:color="auto" w:fill="auto"/>
                    <w:vAlign w:val="center"/>
                  </w:tcPr>
                  <w:p w14:paraId="724BB055" w14:textId="77777777" w:rsidR="007E7472" w:rsidRDefault="00EC1269">
                    <w:pPr>
                      <w:jc w:val="right"/>
                    </w:pPr>
                    <w:r>
                      <w:t xml:space="preserve">     </w:t>
                    </w:r>
                  </w:p>
                </w:tc>
              </w:sdtContent>
            </w:sdt>
            <w:sdt>
              <w:sdtPr>
                <w:rPr>
                  <w:rFonts w:hint="eastAsia"/>
                </w:rPr>
                <w:alias w:val="固定资产累计折旧增加项目金额"/>
                <w:tag w:val="_GBC_4f471bfa60bb4fd284527a4bd35a106e"/>
                <w:id w:val="-1338923274"/>
                <w:lock w:val="sdtLocked"/>
                <w:showingPlcHdr/>
              </w:sdtPr>
              <w:sdtEndPr/>
              <w:sdtContent>
                <w:tc>
                  <w:tcPr>
                    <w:tcW w:w="437" w:type="pct"/>
                    <w:shd w:val="clear" w:color="auto" w:fill="auto"/>
                    <w:vAlign w:val="center"/>
                  </w:tcPr>
                  <w:p w14:paraId="5CB8AA9B" w14:textId="77777777" w:rsidR="007E7472" w:rsidRDefault="00EC1269">
                    <w:pPr>
                      <w:jc w:val="right"/>
                    </w:pPr>
                    <w:r>
                      <w:t xml:space="preserve">     </w:t>
                    </w:r>
                  </w:p>
                </w:tc>
              </w:sdtContent>
            </w:sdt>
            <w:sdt>
              <w:sdtPr>
                <w:rPr>
                  <w:rFonts w:hint="eastAsia"/>
                </w:rPr>
                <w:alias w:val="固定资产累计折旧增加项目金额"/>
                <w:tag w:val="_GBC_4f471bfa60bb4fd284527a4bd35a106e"/>
                <w:id w:val="-1850633130"/>
                <w:lock w:val="sdtLocked"/>
                <w:showingPlcHdr/>
              </w:sdtPr>
              <w:sdtEndPr/>
              <w:sdtContent>
                <w:tc>
                  <w:tcPr>
                    <w:tcW w:w="463" w:type="pct"/>
                    <w:shd w:val="clear" w:color="auto" w:fill="auto"/>
                    <w:vAlign w:val="center"/>
                  </w:tcPr>
                  <w:p w14:paraId="3375F4B8" w14:textId="77777777" w:rsidR="007E7472" w:rsidRDefault="00EC1269">
                    <w:pPr>
                      <w:jc w:val="right"/>
                    </w:pPr>
                    <w:r>
                      <w:t xml:space="preserve">     </w:t>
                    </w:r>
                  </w:p>
                </w:tc>
              </w:sdtContent>
            </w:sdt>
            <w:sdt>
              <w:sdtPr>
                <w:rPr>
                  <w:rFonts w:hint="eastAsia"/>
                </w:rPr>
                <w:alias w:val="固定资产累计折旧增加项目合计金额"/>
                <w:tag w:val="_GBC_de0f633422eb40198165dd44928b321c"/>
                <w:id w:val="147023018"/>
                <w:lock w:val="sdtLocked"/>
                <w:showingPlcHdr/>
              </w:sdtPr>
              <w:sdtEndPr/>
              <w:sdtContent>
                <w:tc>
                  <w:tcPr>
                    <w:tcW w:w="609" w:type="pct"/>
                    <w:shd w:val="clear" w:color="auto" w:fill="auto"/>
                    <w:vAlign w:val="center"/>
                  </w:tcPr>
                  <w:p w14:paraId="4F3A0CB6" w14:textId="77777777" w:rsidR="007E7472" w:rsidRDefault="00EC1269">
                    <w:pPr>
                      <w:jc w:val="right"/>
                    </w:pPr>
                    <w:r>
                      <w:t xml:space="preserve">     </w:t>
                    </w:r>
                  </w:p>
                </w:tc>
              </w:sdtContent>
            </w:sdt>
          </w:tr>
          <w:tr w:rsidR="007E7472" w14:paraId="33F68764" w14:textId="77777777" w:rsidTr="007E7472">
            <w:sdt>
              <w:sdtPr>
                <w:rPr>
                  <w:rFonts w:hint="eastAsia"/>
                </w:rPr>
                <w:alias w:val="固定资产累计折旧增加项目名称"/>
                <w:tag w:val="_GBC_0965865fe56240ca9467fb856bda8c28"/>
                <w:id w:val="657110178"/>
                <w:lock w:val="sdtLocked"/>
              </w:sdtPr>
              <w:sdtEndPr/>
              <w:sdtContent>
                <w:tc>
                  <w:tcPr>
                    <w:tcW w:w="1124" w:type="pct"/>
                    <w:shd w:val="clear" w:color="auto" w:fill="auto"/>
                    <w:vAlign w:val="center"/>
                  </w:tcPr>
                  <w:p w14:paraId="71B9ED11" w14:textId="77777777" w:rsidR="007E7472" w:rsidRDefault="00EC1269">
                    <w:pPr>
                      <w:ind w:firstLineChars="300" w:firstLine="630"/>
                    </w:pPr>
                    <w:r>
                      <w:rPr>
                        <w:rFonts w:hint="eastAsia"/>
                      </w:rPr>
                      <w:t>（5</w:t>
                    </w:r>
                    <w:r>
                      <w:t>）</w:t>
                    </w:r>
                    <w:r>
                      <w:rPr>
                        <w:rFonts w:hint="eastAsia"/>
                      </w:rPr>
                      <w:t>其他增加</w:t>
                    </w:r>
                  </w:p>
                </w:tc>
              </w:sdtContent>
            </w:sdt>
            <w:sdt>
              <w:sdtPr>
                <w:rPr>
                  <w:rFonts w:hint="eastAsia"/>
                </w:rPr>
                <w:alias w:val="固定资产累计折旧增加项目金额"/>
                <w:tag w:val="_GBC_4f471bfa60bb4fd284527a4bd35a106e"/>
                <w:id w:val="481661031"/>
                <w:lock w:val="sdtLocked"/>
                <w:showingPlcHdr/>
              </w:sdtPr>
              <w:sdtEndPr/>
              <w:sdtContent>
                <w:tc>
                  <w:tcPr>
                    <w:tcW w:w="573" w:type="pct"/>
                    <w:shd w:val="clear" w:color="auto" w:fill="auto"/>
                    <w:vAlign w:val="center"/>
                  </w:tcPr>
                  <w:p w14:paraId="04C8AC47" w14:textId="77777777" w:rsidR="007E7472" w:rsidRDefault="00C8327E">
                    <w:pPr>
                      <w:jc w:val="right"/>
                    </w:pPr>
                  </w:p>
                </w:tc>
              </w:sdtContent>
            </w:sdt>
            <w:sdt>
              <w:sdtPr>
                <w:rPr>
                  <w:rFonts w:hint="eastAsia"/>
                </w:rPr>
                <w:alias w:val="固定资产累计折旧增加项目金额"/>
                <w:tag w:val="_GBC_4f471bfa60bb4fd284527a4bd35a106e"/>
                <w:id w:val="320313992"/>
                <w:lock w:val="sdtLocked"/>
              </w:sdtPr>
              <w:sdtEndPr/>
              <w:sdtContent>
                <w:tc>
                  <w:tcPr>
                    <w:tcW w:w="498" w:type="pct"/>
                    <w:shd w:val="clear" w:color="auto" w:fill="auto"/>
                    <w:vAlign w:val="center"/>
                  </w:tcPr>
                  <w:p w14:paraId="2185CBA1" w14:textId="77777777" w:rsidR="007E7472" w:rsidRDefault="00EC1269">
                    <w:pPr>
                      <w:jc w:val="right"/>
                    </w:pPr>
                    <w:r>
                      <w:rPr>
                        <w:rFonts w:hint="eastAsia"/>
                      </w:rPr>
                      <w:t>1,322</w:t>
                    </w:r>
                  </w:p>
                </w:tc>
              </w:sdtContent>
            </w:sdt>
            <w:sdt>
              <w:sdtPr>
                <w:rPr>
                  <w:rFonts w:hint="eastAsia"/>
                </w:rPr>
                <w:alias w:val="固定资产累计折旧增加项目金额"/>
                <w:tag w:val="_GBC_4f471bfa60bb4fd284527a4bd35a106e"/>
                <w:id w:val="-1220283433"/>
                <w:lock w:val="sdtLocked"/>
              </w:sdtPr>
              <w:sdtEndPr/>
              <w:sdtContent>
                <w:tc>
                  <w:tcPr>
                    <w:tcW w:w="412" w:type="pct"/>
                    <w:shd w:val="clear" w:color="auto" w:fill="auto"/>
                    <w:vAlign w:val="center"/>
                  </w:tcPr>
                  <w:p w14:paraId="24E19CEE" w14:textId="77777777" w:rsidR="007E7472" w:rsidRDefault="00EC1269">
                    <w:pPr>
                      <w:jc w:val="right"/>
                    </w:pPr>
                    <w:r>
                      <w:rPr>
                        <w:rFonts w:hint="eastAsia"/>
                      </w:rPr>
                      <w:t>8,417</w:t>
                    </w:r>
                  </w:p>
                </w:tc>
              </w:sdtContent>
            </w:sdt>
            <w:sdt>
              <w:sdtPr>
                <w:rPr>
                  <w:rFonts w:hint="eastAsia"/>
                </w:rPr>
                <w:alias w:val="固定资产累计折旧增加项目金额"/>
                <w:tag w:val="_GBC_4f471bfa60bb4fd284527a4bd35a106e"/>
                <w:id w:val="-60957638"/>
                <w:lock w:val="sdtLocked"/>
              </w:sdtPr>
              <w:sdtEndPr/>
              <w:sdtContent>
                <w:tc>
                  <w:tcPr>
                    <w:tcW w:w="430" w:type="pct"/>
                    <w:shd w:val="clear" w:color="auto" w:fill="auto"/>
                    <w:vAlign w:val="center"/>
                  </w:tcPr>
                  <w:p w14:paraId="7E4E2E33" w14:textId="77777777" w:rsidR="007E7472" w:rsidRDefault="00C8327E">
                    <w:pPr>
                      <w:jc w:val="right"/>
                    </w:pPr>
                  </w:p>
                </w:tc>
              </w:sdtContent>
            </w:sdt>
            <w:sdt>
              <w:sdtPr>
                <w:rPr>
                  <w:rFonts w:hint="eastAsia"/>
                </w:rPr>
                <w:alias w:val="固定资产累计折旧增加项目金额"/>
                <w:tag w:val="_GBC_4f471bfa60bb4fd284527a4bd35a106e"/>
                <w:id w:val="432800516"/>
                <w:lock w:val="sdtLocked"/>
              </w:sdtPr>
              <w:sdtEndPr/>
              <w:sdtContent>
                <w:tc>
                  <w:tcPr>
                    <w:tcW w:w="448" w:type="pct"/>
                    <w:shd w:val="clear" w:color="auto" w:fill="auto"/>
                    <w:vAlign w:val="center"/>
                  </w:tcPr>
                  <w:p w14:paraId="184F4F45" w14:textId="77777777" w:rsidR="007E7472" w:rsidRDefault="00EC1269">
                    <w:pPr>
                      <w:jc w:val="right"/>
                    </w:pPr>
                    <w:r>
                      <w:rPr>
                        <w:rFonts w:hint="eastAsia"/>
                      </w:rPr>
                      <w:t>6,625</w:t>
                    </w:r>
                  </w:p>
                </w:tc>
              </w:sdtContent>
            </w:sdt>
            <w:sdt>
              <w:sdtPr>
                <w:rPr>
                  <w:rFonts w:hint="eastAsia"/>
                </w:rPr>
                <w:alias w:val="固定资产累计折旧增加项目金额"/>
                <w:tag w:val="_GBC_4f471bfa60bb4fd284527a4bd35a106e"/>
                <w:id w:val="-85772328"/>
                <w:lock w:val="sdtLocked"/>
              </w:sdtPr>
              <w:sdtEndPr/>
              <w:sdtContent>
                <w:tc>
                  <w:tcPr>
                    <w:tcW w:w="437" w:type="pct"/>
                    <w:shd w:val="clear" w:color="auto" w:fill="auto"/>
                    <w:vAlign w:val="center"/>
                  </w:tcPr>
                  <w:p w14:paraId="35A0BD8B" w14:textId="77777777" w:rsidR="007E7472" w:rsidRDefault="00C8327E">
                    <w:pPr>
                      <w:jc w:val="right"/>
                    </w:pPr>
                  </w:p>
                </w:tc>
              </w:sdtContent>
            </w:sdt>
            <w:sdt>
              <w:sdtPr>
                <w:rPr>
                  <w:rFonts w:hint="eastAsia"/>
                </w:rPr>
                <w:alias w:val="固定资产累计折旧增加项目金额"/>
                <w:tag w:val="_GBC_4f471bfa60bb4fd284527a4bd35a106e"/>
                <w:id w:val="-1421013078"/>
                <w:lock w:val="sdtLocked"/>
              </w:sdtPr>
              <w:sdtEndPr/>
              <w:sdtContent>
                <w:tc>
                  <w:tcPr>
                    <w:tcW w:w="463" w:type="pct"/>
                    <w:shd w:val="clear" w:color="auto" w:fill="auto"/>
                    <w:vAlign w:val="center"/>
                  </w:tcPr>
                  <w:p w14:paraId="72944F2A" w14:textId="77777777" w:rsidR="007E7472" w:rsidRDefault="00C8327E">
                    <w:pPr>
                      <w:jc w:val="right"/>
                    </w:pPr>
                  </w:p>
                </w:tc>
              </w:sdtContent>
            </w:sdt>
            <w:sdt>
              <w:sdtPr>
                <w:rPr>
                  <w:rFonts w:hint="eastAsia"/>
                </w:rPr>
                <w:alias w:val="固定资产累计折旧增加项目合计金额"/>
                <w:tag w:val="_GBC_de0f633422eb40198165dd44928b321c"/>
                <w:id w:val="712852940"/>
                <w:lock w:val="sdtLocked"/>
              </w:sdtPr>
              <w:sdtEndPr/>
              <w:sdtContent>
                <w:tc>
                  <w:tcPr>
                    <w:tcW w:w="609" w:type="pct"/>
                    <w:shd w:val="clear" w:color="auto" w:fill="auto"/>
                    <w:vAlign w:val="center"/>
                  </w:tcPr>
                  <w:p w14:paraId="3EADFE03" w14:textId="77777777" w:rsidR="007E7472" w:rsidRDefault="00EC1269">
                    <w:pPr>
                      <w:jc w:val="right"/>
                    </w:pPr>
                    <w:r>
                      <w:rPr>
                        <w:rFonts w:hint="eastAsia"/>
                      </w:rPr>
                      <w:t>16,364</w:t>
                    </w:r>
                  </w:p>
                </w:tc>
              </w:sdtContent>
            </w:sdt>
          </w:tr>
          <w:tr w:rsidR="007E7472" w14:paraId="04A9ED83" w14:textId="77777777" w:rsidTr="007E7472">
            <w:sdt>
              <w:sdtPr>
                <w:tag w:val="_PLD_ec9558ad6e194439bc7519617b9fda17"/>
                <w:id w:val="14748875"/>
                <w:lock w:val="sdtLocked"/>
              </w:sdtPr>
              <w:sdtEndPr/>
              <w:sdtContent>
                <w:tc>
                  <w:tcPr>
                    <w:tcW w:w="1124" w:type="pct"/>
                    <w:shd w:val="clear" w:color="auto" w:fill="auto"/>
                    <w:vAlign w:val="center"/>
                  </w:tcPr>
                  <w:p w14:paraId="13B4DA0D" w14:textId="77777777" w:rsidR="007E7472" w:rsidRDefault="00EC1269">
                    <w:pPr>
                      <w:ind w:firstLineChars="200" w:firstLine="420"/>
                    </w:pPr>
                    <w:r>
                      <w:rPr>
                        <w:rFonts w:hint="eastAsia"/>
                      </w:rPr>
                      <w:t>3.本期减少金额</w:t>
                    </w:r>
                  </w:p>
                </w:tc>
              </w:sdtContent>
            </w:sdt>
            <w:tc>
              <w:tcPr>
                <w:tcW w:w="573" w:type="pct"/>
                <w:shd w:val="clear" w:color="auto" w:fill="auto"/>
                <w:vAlign w:val="center"/>
              </w:tcPr>
              <w:p w14:paraId="1C1DEC95" w14:textId="77777777" w:rsidR="007E7472" w:rsidRDefault="00C8327E">
                <w:pPr>
                  <w:jc w:val="right"/>
                </w:pPr>
              </w:p>
            </w:tc>
            <w:tc>
              <w:tcPr>
                <w:tcW w:w="498" w:type="pct"/>
                <w:shd w:val="clear" w:color="auto" w:fill="auto"/>
                <w:vAlign w:val="center"/>
              </w:tcPr>
              <w:p w14:paraId="4309CB06" w14:textId="77777777" w:rsidR="007E7472" w:rsidRDefault="00EC1269">
                <w:pPr>
                  <w:jc w:val="right"/>
                </w:pPr>
                <w:r>
                  <w:t>97,478</w:t>
                </w:r>
              </w:p>
            </w:tc>
            <w:tc>
              <w:tcPr>
                <w:tcW w:w="412" w:type="pct"/>
                <w:shd w:val="clear" w:color="auto" w:fill="auto"/>
                <w:vAlign w:val="center"/>
              </w:tcPr>
              <w:p w14:paraId="69BE762D" w14:textId="77777777" w:rsidR="007E7472" w:rsidRDefault="00EC1269">
                <w:pPr>
                  <w:jc w:val="right"/>
                </w:pPr>
                <w:r>
                  <w:t>11,128</w:t>
                </w:r>
              </w:p>
            </w:tc>
            <w:tc>
              <w:tcPr>
                <w:tcW w:w="430" w:type="pct"/>
                <w:shd w:val="clear" w:color="auto" w:fill="auto"/>
                <w:vAlign w:val="center"/>
              </w:tcPr>
              <w:p w14:paraId="4AC883C0" w14:textId="77777777" w:rsidR="007E7472" w:rsidRDefault="00EC1269">
                <w:pPr>
                  <w:jc w:val="right"/>
                </w:pPr>
                <w:r>
                  <w:t>4,579</w:t>
                </w:r>
              </w:p>
            </w:tc>
            <w:tc>
              <w:tcPr>
                <w:tcW w:w="448" w:type="pct"/>
                <w:shd w:val="clear" w:color="auto" w:fill="auto"/>
                <w:vAlign w:val="center"/>
              </w:tcPr>
              <w:p w14:paraId="097329B4" w14:textId="77777777" w:rsidR="007E7472" w:rsidRDefault="00EC1269">
                <w:pPr>
                  <w:jc w:val="right"/>
                </w:pPr>
                <w:r>
                  <w:t>992,505</w:t>
                </w:r>
              </w:p>
            </w:tc>
            <w:tc>
              <w:tcPr>
                <w:tcW w:w="437" w:type="pct"/>
                <w:shd w:val="clear" w:color="auto" w:fill="auto"/>
                <w:vAlign w:val="center"/>
              </w:tcPr>
              <w:p w14:paraId="2213A6C6" w14:textId="77777777" w:rsidR="007E7472" w:rsidRDefault="00EC1269">
                <w:pPr>
                  <w:jc w:val="right"/>
                </w:pPr>
                <w:r>
                  <w:t>61,410</w:t>
                </w:r>
              </w:p>
            </w:tc>
            <w:tc>
              <w:tcPr>
                <w:tcW w:w="463" w:type="pct"/>
                <w:shd w:val="clear" w:color="auto" w:fill="auto"/>
                <w:vAlign w:val="center"/>
              </w:tcPr>
              <w:p w14:paraId="66F1BF3C" w14:textId="77777777" w:rsidR="007E7472" w:rsidRDefault="00EC1269">
                <w:pPr>
                  <w:jc w:val="right"/>
                </w:pPr>
                <w:r>
                  <w:t>32,28</w:t>
                </w:r>
                <w:r>
                  <w:rPr>
                    <w:rFonts w:hint="eastAsia"/>
                  </w:rPr>
                  <w:t>0</w:t>
                </w:r>
              </w:p>
            </w:tc>
            <w:tc>
              <w:tcPr>
                <w:tcW w:w="609" w:type="pct"/>
                <w:shd w:val="clear" w:color="auto" w:fill="auto"/>
                <w:vAlign w:val="center"/>
              </w:tcPr>
              <w:p w14:paraId="634261AC" w14:textId="77777777" w:rsidR="007E7472" w:rsidRDefault="00EC1269">
                <w:pPr>
                  <w:jc w:val="right"/>
                </w:pPr>
                <w:r>
                  <w:t>1,199,38</w:t>
                </w:r>
                <w:r>
                  <w:rPr>
                    <w:rFonts w:hint="eastAsia"/>
                  </w:rPr>
                  <w:t>0</w:t>
                </w:r>
              </w:p>
            </w:tc>
          </w:tr>
          <w:tr w:rsidR="007E7472" w14:paraId="624482D0" w14:textId="77777777" w:rsidTr="007E7472">
            <w:sdt>
              <w:sdtPr>
                <w:tag w:val="_PLD_5ee3d83bd53d480fa0f8ca39eef2375d"/>
                <w:id w:val="189645383"/>
                <w:lock w:val="sdtLocked"/>
              </w:sdtPr>
              <w:sdtEndPr/>
              <w:sdtContent>
                <w:tc>
                  <w:tcPr>
                    <w:tcW w:w="1124" w:type="pct"/>
                    <w:shd w:val="clear" w:color="auto" w:fill="auto"/>
                    <w:vAlign w:val="center"/>
                  </w:tcPr>
                  <w:p w14:paraId="06096EE5" w14:textId="77777777" w:rsidR="007E7472" w:rsidRDefault="00EC1269">
                    <w:pPr>
                      <w:ind w:firstLineChars="300" w:firstLine="630"/>
                    </w:pPr>
                    <w:r>
                      <w:rPr>
                        <w:rFonts w:hint="eastAsia"/>
                      </w:rPr>
                      <w:t>（1）处置或报废</w:t>
                    </w:r>
                  </w:p>
                </w:tc>
              </w:sdtContent>
            </w:sdt>
            <w:tc>
              <w:tcPr>
                <w:tcW w:w="573" w:type="pct"/>
                <w:shd w:val="clear" w:color="auto" w:fill="auto"/>
                <w:vAlign w:val="center"/>
              </w:tcPr>
              <w:p w14:paraId="32EFF26D" w14:textId="77777777" w:rsidR="007E7472" w:rsidRDefault="00C8327E">
                <w:pPr>
                  <w:jc w:val="right"/>
                </w:pPr>
              </w:p>
            </w:tc>
            <w:tc>
              <w:tcPr>
                <w:tcW w:w="498" w:type="pct"/>
                <w:shd w:val="clear" w:color="auto" w:fill="auto"/>
                <w:vAlign w:val="center"/>
              </w:tcPr>
              <w:p w14:paraId="3A341205" w14:textId="77777777" w:rsidR="007E7472" w:rsidRDefault="00EC1269">
                <w:pPr>
                  <w:jc w:val="right"/>
                </w:pPr>
                <w:r>
                  <w:t>129</w:t>
                </w:r>
              </w:p>
            </w:tc>
            <w:tc>
              <w:tcPr>
                <w:tcW w:w="412" w:type="pct"/>
                <w:shd w:val="clear" w:color="auto" w:fill="auto"/>
                <w:vAlign w:val="center"/>
              </w:tcPr>
              <w:p w14:paraId="7AA41C29" w14:textId="77777777" w:rsidR="007E7472" w:rsidRDefault="00EC1269">
                <w:pPr>
                  <w:jc w:val="right"/>
                </w:pPr>
                <w:r>
                  <w:t>11,128</w:t>
                </w:r>
              </w:p>
            </w:tc>
            <w:tc>
              <w:tcPr>
                <w:tcW w:w="430" w:type="pct"/>
                <w:shd w:val="clear" w:color="auto" w:fill="auto"/>
                <w:vAlign w:val="center"/>
              </w:tcPr>
              <w:p w14:paraId="04D942A4" w14:textId="77777777" w:rsidR="007E7472" w:rsidRDefault="00EC1269">
                <w:pPr>
                  <w:jc w:val="right"/>
                </w:pPr>
                <w:r>
                  <w:t>4,579</w:t>
                </w:r>
              </w:p>
            </w:tc>
            <w:tc>
              <w:tcPr>
                <w:tcW w:w="448" w:type="pct"/>
                <w:shd w:val="clear" w:color="auto" w:fill="auto"/>
                <w:vAlign w:val="center"/>
              </w:tcPr>
              <w:p w14:paraId="1DDE36DE" w14:textId="77777777" w:rsidR="007E7472" w:rsidRDefault="00EC1269">
                <w:pPr>
                  <w:jc w:val="right"/>
                </w:pPr>
                <w:r>
                  <w:t>643,741</w:t>
                </w:r>
              </w:p>
            </w:tc>
            <w:tc>
              <w:tcPr>
                <w:tcW w:w="437" w:type="pct"/>
                <w:shd w:val="clear" w:color="auto" w:fill="auto"/>
                <w:vAlign w:val="center"/>
              </w:tcPr>
              <w:p w14:paraId="70EB9958" w14:textId="77777777" w:rsidR="007E7472" w:rsidRDefault="00EC1269">
                <w:pPr>
                  <w:jc w:val="right"/>
                </w:pPr>
                <w:r>
                  <w:t>5,871</w:t>
                </w:r>
              </w:p>
            </w:tc>
            <w:tc>
              <w:tcPr>
                <w:tcW w:w="463" w:type="pct"/>
                <w:shd w:val="clear" w:color="auto" w:fill="auto"/>
                <w:vAlign w:val="center"/>
              </w:tcPr>
              <w:p w14:paraId="1966B5BD" w14:textId="77777777" w:rsidR="007E7472" w:rsidRDefault="00EC1269">
                <w:pPr>
                  <w:jc w:val="right"/>
                </w:pPr>
                <w:r>
                  <w:t>32,28</w:t>
                </w:r>
                <w:r>
                  <w:rPr>
                    <w:rFonts w:hint="eastAsia"/>
                  </w:rPr>
                  <w:t>0</w:t>
                </w:r>
              </w:p>
            </w:tc>
            <w:tc>
              <w:tcPr>
                <w:tcW w:w="609" w:type="pct"/>
                <w:shd w:val="clear" w:color="auto" w:fill="auto"/>
                <w:vAlign w:val="center"/>
              </w:tcPr>
              <w:p w14:paraId="1456D560" w14:textId="77777777" w:rsidR="007E7472" w:rsidRDefault="00EC1269">
                <w:pPr>
                  <w:jc w:val="right"/>
                </w:pPr>
                <w:r>
                  <w:t>697,72</w:t>
                </w:r>
                <w:r>
                  <w:rPr>
                    <w:rFonts w:hint="eastAsia"/>
                  </w:rPr>
                  <w:t>8</w:t>
                </w:r>
              </w:p>
            </w:tc>
          </w:tr>
          <w:tr w:rsidR="007E7472" w14:paraId="5F423889" w14:textId="77777777" w:rsidTr="007E7472">
            <w:sdt>
              <w:sdtPr>
                <w:rPr>
                  <w:rFonts w:hint="eastAsia"/>
                </w:rPr>
                <w:alias w:val="固定资产累计折旧减少项目名称"/>
                <w:tag w:val="_GBC_4c9ad176f9f549d79f1ea8e8285e4304"/>
                <w:id w:val="-2022779821"/>
                <w:lock w:val="sdtLocked"/>
              </w:sdtPr>
              <w:sdtEndPr/>
              <w:sdtContent>
                <w:tc>
                  <w:tcPr>
                    <w:tcW w:w="1124" w:type="pct"/>
                    <w:shd w:val="clear" w:color="auto" w:fill="auto"/>
                    <w:vAlign w:val="center"/>
                  </w:tcPr>
                  <w:p w14:paraId="795B5594" w14:textId="77777777" w:rsidR="007E7472" w:rsidRDefault="00EC1269">
                    <w:pPr>
                      <w:ind w:firstLineChars="300" w:firstLine="630"/>
                    </w:pPr>
                    <w:r>
                      <w:rPr>
                        <w:rFonts w:hint="eastAsia"/>
                      </w:rPr>
                      <w:t>（2）重分类转出</w:t>
                    </w:r>
                  </w:p>
                </w:tc>
              </w:sdtContent>
            </w:sdt>
            <w:sdt>
              <w:sdtPr>
                <w:rPr>
                  <w:rFonts w:hint="eastAsia"/>
                </w:rPr>
                <w:alias w:val="固定资产累计折旧减少项目金额"/>
                <w:tag w:val="_GBC_0475795030724aa4838f00440a8fdfe1"/>
                <w:id w:val="-263461035"/>
                <w:lock w:val="sdtLocked"/>
                <w:showingPlcHdr/>
              </w:sdtPr>
              <w:sdtEndPr/>
              <w:sdtContent>
                <w:tc>
                  <w:tcPr>
                    <w:tcW w:w="573" w:type="pct"/>
                    <w:shd w:val="clear" w:color="auto" w:fill="auto"/>
                    <w:vAlign w:val="center"/>
                  </w:tcPr>
                  <w:p w14:paraId="3FEEFDCF" w14:textId="77777777" w:rsidR="007E7472" w:rsidRDefault="00C8327E">
                    <w:pPr>
                      <w:jc w:val="right"/>
                    </w:pPr>
                  </w:p>
                </w:tc>
              </w:sdtContent>
            </w:sdt>
            <w:sdt>
              <w:sdtPr>
                <w:rPr>
                  <w:rFonts w:hint="eastAsia"/>
                </w:rPr>
                <w:alias w:val="固定资产累计折旧减少项目金额"/>
                <w:tag w:val="_GBC_0475795030724aa4838f00440a8fdfe1"/>
                <w:id w:val="279385437"/>
                <w:lock w:val="sdtLocked"/>
              </w:sdtPr>
              <w:sdtEndPr/>
              <w:sdtContent>
                <w:tc>
                  <w:tcPr>
                    <w:tcW w:w="498" w:type="pct"/>
                    <w:shd w:val="clear" w:color="auto" w:fill="auto"/>
                    <w:vAlign w:val="center"/>
                  </w:tcPr>
                  <w:p w14:paraId="4E8BCF88" w14:textId="77777777" w:rsidR="007E7472" w:rsidRDefault="00EC1269">
                    <w:pPr>
                      <w:jc w:val="right"/>
                    </w:pPr>
                    <w:r>
                      <w:rPr>
                        <w:rFonts w:hint="eastAsia"/>
                      </w:rPr>
                      <w:t>97,349</w:t>
                    </w:r>
                  </w:p>
                </w:tc>
              </w:sdtContent>
            </w:sdt>
            <w:sdt>
              <w:sdtPr>
                <w:rPr>
                  <w:rFonts w:hint="eastAsia"/>
                </w:rPr>
                <w:alias w:val="固定资产累计折旧减少项目金额"/>
                <w:tag w:val="_GBC_0475795030724aa4838f00440a8fdfe1"/>
                <w:id w:val="-489480239"/>
                <w:lock w:val="sdtLocked"/>
                <w:showingPlcHdr/>
              </w:sdtPr>
              <w:sdtEndPr/>
              <w:sdtContent>
                <w:tc>
                  <w:tcPr>
                    <w:tcW w:w="412" w:type="pct"/>
                    <w:shd w:val="clear" w:color="auto" w:fill="auto"/>
                    <w:vAlign w:val="center"/>
                  </w:tcPr>
                  <w:p w14:paraId="64A56C5F" w14:textId="77777777" w:rsidR="007E7472" w:rsidRDefault="00EC1269">
                    <w:pPr>
                      <w:jc w:val="right"/>
                    </w:pPr>
                    <w:r>
                      <w:t xml:space="preserve">     </w:t>
                    </w:r>
                  </w:p>
                </w:tc>
              </w:sdtContent>
            </w:sdt>
            <w:sdt>
              <w:sdtPr>
                <w:rPr>
                  <w:rFonts w:hint="eastAsia"/>
                </w:rPr>
                <w:alias w:val="固定资产累计折旧减少项目金额"/>
                <w:tag w:val="_GBC_0475795030724aa4838f00440a8fdfe1"/>
                <w:id w:val="-599256921"/>
                <w:lock w:val="sdtLocked"/>
                <w:showingPlcHdr/>
              </w:sdtPr>
              <w:sdtEndPr/>
              <w:sdtContent>
                <w:tc>
                  <w:tcPr>
                    <w:tcW w:w="430" w:type="pct"/>
                    <w:shd w:val="clear" w:color="auto" w:fill="auto"/>
                    <w:vAlign w:val="center"/>
                  </w:tcPr>
                  <w:p w14:paraId="393B5BCB" w14:textId="77777777" w:rsidR="007E7472" w:rsidRDefault="00EC1269">
                    <w:pPr>
                      <w:jc w:val="right"/>
                    </w:pPr>
                    <w:r>
                      <w:t xml:space="preserve">     </w:t>
                    </w:r>
                  </w:p>
                </w:tc>
              </w:sdtContent>
            </w:sdt>
            <w:sdt>
              <w:sdtPr>
                <w:rPr>
                  <w:rFonts w:hint="eastAsia"/>
                </w:rPr>
                <w:alias w:val="固定资产累计折旧减少项目金额"/>
                <w:tag w:val="_GBC_0475795030724aa4838f00440a8fdfe1"/>
                <w:id w:val="772207648"/>
                <w:lock w:val="sdtLocked"/>
              </w:sdtPr>
              <w:sdtEndPr/>
              <w:sdtContent>
                <w:tc>
                  <w:tcPr>
                    <w:tcW w:w="448" w:type="pct"/>
                    <w:shd w:val="clear" w:color="auto" w:fill="auto"/>
                    <w:vAlign w:val="center"/>
                  </w:tcPr>
                  <w:p w14:paraId="353D4813" w14:textId="77777777" w:rsidR="007E7472" w:rsidRDefault="00EC1269">
                    <w:pPr>
                      <w:jc w:val="right"/>
                    </w:pPr>
                    <w:r>
                      <w:t>348,764</w:t>
                    </w:r>
                  </w:p>
                </w:tc>
              </w:sdtContent>
            </w:sdt>
            <w:sdt>
              <w:sdtPr>
                <w:rPr>
                  <w:rFonts w:hint="eastAsia"/>
                </w:rPr>
                <w:alias w:val="固定资产累计折旧减少项目金额"/>
                <w:tag w:val="_GBC_0475795030724aa4838f00440a8fdfe1"/>
                <w:id w:val="-674803343"/>
                <w:lock w:val="sdtLocked"/>
              </w:sdtPr>
              <w:sdtEndPr/>
              <w:sdtContent>
                <w:tc>
                  <w:tcPr>
                    <w:tcW w:w="437" w:type="pct"/>
                    <w:shd w:val="clear" w:color="auto" w:fill="auto"/>
                    <w:vAlign w:val="center"/>
                  </w:tcPr>
                  <w:p w14:paraId="0B02C5C4" w14:textId="77777777" w:rsidR="007E7472" w:rsidRDefault="00EC1269">
                    <w:pPr>
                      <w:jc w:val="right"/>
                    </w:pPr>
                    <w:r>
                      <w:t>55,539</w:t>
                    </w:r>
                  </w:p>
                </w:tc>
              </w:sdtContent>
            </w:sdt>
            <w:sdt>
              <w:sdtPr>
                <w:rPr>
                  <w:rFonts w:hint="eastAsia"/>
                </w:rPr>
                <w:alias w:val="固定资产累计折旧减少项目金额"/>
                <w:tag w:val="_GBC_0475795030724aa4838f00440a8fdfe1"/>
                <w:id w:val="-1536193066"/>
                <w:lock w:val="sdtLocked"/>
                <w:showingPlcHdr/>
              </w:sdtPr>
              <w:sdtEndPr/>
              <w:sdtContent>
                <w:tc>
                  <w:tcPr>
                    <w:tcW w:w="463" w:type="pct"/>
                    <w:shd w:val="clear" w:color="auto" w:fill="auto"/>
                    <w:vAlign w:val="center"/>
                  </w:tcPr>
                  <w:p w14:paraId="0469A0E9" w14:textId="77777777" w:rsidR="007E7472" w:rsidRDefault="00EC1269">
                    <w:pPr>
                      <w:jc w:val="right"/>
                    </w:pPr>
                    <w:r>
                      <w:t xml:space="preserve">     </w:t>
                    </w:r>
                  </w:p>
                </w:tc>
              </w:sdtContent>
            </w:sdt>
            <w:sdt>
              <w:sdtPr>
                <w:rPr>
                  <w:rFonts w:hint="eastAsia"/>
                </w:rPr>
                <w:alias w:val="固定资产累计折旧减少项目合计金额"/>
                <w:tag w:val="_GBC_11178a6044164f9abd685ae39ec93217"/>
                <w:id w:val="-1770073637"/>
                <w:lock w:val="sdtLocked"/>
              </w:sdtPr>
              <w:sdtEndPr/>
              <w:sdtContent>
                <w:tc>
                  <w:tcPr>
                    <w:tcW w:w="609" w:type="pct"/>
                    <w:shd w:val="clear" w:color="auto" w:fill="auto"/>
                    <w:vAlign w:val="center"/>
                  </w:tcPr>
                  <w:p w14:paraId="634EC0AA" w14:textId="77777777" w:rsidR="007E7472" w:rsidRDefault="00EC1269">
                    <w:pPr>
                      <w:jc w:val="right"/>
                    </w:pPr>
                    <w:r>
                      <w:rPr>
                        <w:rFonts w:hint="eastAsia"/>
                      </w:rPr>
                      <w:t>501,652</w:t>
                    </w:r>
                  </w:p>
                </w:tc>
              </w:sdtContent>
            </w:sdt>
          </w:tr>
          <w:tr w:rsidR="007E7472" w14:paraId="2711F79F" w14:textId="77777777" w:rsidTr="007E7472">
            <w:sdt>
              <w:sdtPr>
                <w:rPr>
                  <w:rFonts w:hint="eastAsia"/>
                </w:rPr>
                <w:alias w:val="固定资产累计折旧减少项目名称"/>
                <w:tag w:val="_GBC_4c9ad176f9f549d79f1ea8e8285e4304"/>
                <w:id w:val="492613213"/>
                <w:lock w:val="sdtLocked"/>
              </w:sdtPr>
              <w:sdtEndPr/>
              <w:sdtContent>
                <w:tc>
                  <w:tcPr>
                    <w:tcW w:w="1124" w:type="pct"/>
                    <w:shd w:val="clear" w:color="auto" w:fill="auto"/>
                    <w:vAlign w:val="center"/>
                  </w:tcPr>
                  <w:p w14:paraId="0A7FC680" w14:textId="77777777" w:rsidR="007E7472" w:rsidRDefault="00EC1269">
                    <w:pPr>
                      <w:ind w:firstLineChars="200" w:firstLine="420"/>
                    </w:pPr>
                    <w:r>
                      <w:rPr>
                        <w:rFonts w:hint="eastAsia"/>
                      </w:rPr>
                      <w:t>4.外币报表折算差额</w:t>
                    </w:r>
                  </w:p>
                </w:tc>
              </w:sdtContent>
            </w:sdt>
            <w:sdt>
              <w:sdtPr>
                <w:rPr>
                  <w:rFonts w:hint="eastAsia"/>
                </w:rPr>
                <w:alias w:val="固定资产累计折旧减少项目金额"/>
                <w:tag w:val="_GBC_0475795030724aa4838f00440a8fdfe1"/>
                <w:id w:val="2106685006"/>
                <w:lock w:val="sdtLocked"/>
                <w:showingPlcHdr/>
              </w:sdtPr>
              <w:sdtEndPr/>
              <w:sdtContent>
                <w:tc>
                  <w:tcPr>
                    <w:tcW w:w="573" w:type="pct"/>
                    <w:shd w:val="clear" w:color="auto" w:fill="auto"/>
                    <w:vAlign w:val="center"/>
                  </w:tcPr>
                  <w:p w14:paraId="62EED119" w14:textId="77777777" w:rsidR="007E7472" w:rsidRDefault="00C8327E">
                    <w:pPr>
                      <w:jc w:val="right"/>
                    </w:pPr>
                  </w:p>
                </w:tc>
              </w:sdtContent>
            </w:sdt>
            <w:sdt>
              <w:sdtPr>
                <w:rPr>
                  <w:rFonts w:hint="eastAsia"/>
                </w:rPr>
                <w:alias w:val="固定资产累计折旧减少项目金额"/>
                <w:tag w:val="_GBC_0475795030724aa4838f00440a8fdfe1"/>
                <w:id w:val="-91552076"/>
                <w:lock w:val="sdtLocked"/>
              </w:sdtPr>
              <w:sdtEndPr/>
              <w:sdtContent>
                <w:tc>
                  <w:tcPr>
                    <w:tcW w:w="498" w:type="pct"/>
                    <w:shd w:val="clear" w:color="auto" w:fill="auto"/>
                    <w:vAlign w:val="center"/>
                  </w:tcPr>
                  <w:p w14:paraId="7ED8998C" w14:textId="77777777" w:rsidR="007E7472" w:rsidRDefault="00EC1269">
                    <w:pPr>
                      <w:jc w:val="right"/>
                    </w:pPr>
                    <w:r>
                      <w:rPr>
                        <w:rFonts w:hint="eastAsia"/>
                      </w:rPr>
                      <w:t>11,963</w:t>
                    </w:r>
                  </w:p>
                </w:tc>
              </w:sdtContent>
            </w:sdt>
            <w:sdt>
              <w:sdtPr>
                <w:rPr>
                  <w:rFonts w:hint="eastAsia"/>
                </w:rPr>
                <w:alias w:val="固定资产累计折旧减少项目金额"/>
                <w:tag w:val="_GBC_0475795030724aa4838f00440a8fdfe1"/>
                <w:id w:val="1613714688"/>
                <w:lock w:val="sdtLocked"/>
              </w:sdtPr>
              <w:sdtEndPr/>
              <w:sdtContent>
                <w:tc>
                  <w:tcPr>
                    <w:tcW w:w="412" w:type="pct"/>
                    <w:shd w:val="clear" w:color="auto" w:fill="auto"/>
                    <w:vAlign w:val="center"/>
                  </w:tcPr>
                  <w:p w14:paraId="56879E86" w14:textId="77777777" w:rsidR="007E7472" w:rsidRDefault="00EC1269">
                    <w:pPr>
                      <w:jc w:val="right"/>
                    </w:pPr>
                    <w:r>
                      <w:rPr>
                        <w:rFonts w:hint="eastAsia"/>
                      </w:rPr>
                      <w:t>98,454</w:t>
                    </w:r>
                  </w:p>
                </w:tc>
              </w:sdtContent>
            </w:sdt>
            <w:sdt>
              <w:sdtPr>
                <w:rPr>
                  <w:rFonts w:hint="eastAsia"/>
                </w:rPr>
                <w:alias w:val="固定资产累计折旧减少项目金额"/>
                <w:tag w:val="_GBC_0475795030724aa4838f00440a8fdfe1"/>
                <w:id w:val="827331579"/>
                <w:lock w:val="sdtLocked"/>
                <w:showingPlcHdr/>
              </w:sdtPr>
              <w:sdtEndPr/>
              <w:sdtContent>
                <w:tc>
                  <w:tcPr>
                    <w:tcW w:w="430" w:type="pct"/>
                    <w:shd w:val="clear" w:color="auto" w:fill="auto"/>
                    <w:vAlign w:val="center"/>
                  </w:tcPr>
                  <w:p w14:paraId="2BD94E87" w14:textId="77777777" w:rsidR="007E7472" w:rsidRDefault="00EC1269">
                    <w:pPr>
                      <w:jc w:val="right"/>
                    </w:pPr>
                    <w:r>
                      <w:t xml:space="preserve">     </w:t>
                    </w:r>
                  </w:p>
                </w:tc>
              </w:sdtContent>
            </w:sdt>
            <w:sdt>
              <w:sdtPr>
                <w:rPr>
                  <w:rFonts w:hint="eastAsia"/>
                </w:rPr>
                <w:alias w:val="固定资产累计折旧减少项目金额"/>
                <w:tag w:val="_GBC_0475795030724aa4838f00440a8fdfe1"/>
                <w:id w:val="-908614366"/>
                <w:lock w:val="sdtLocked"/>
              </w:sdtPr>
              <w:sdtEndPr/>
              <w:sdtContent>
                <w:tc>
                  <w:tcPr>
                    <w:tcW w:w="448" w:type="pct"/>
                    <w:shd w:val="clear" w:color="auto" w:fill="auto"/>
                    <w:vAlign w:val="center"/>
                  </w:tcPr>
                  <w:p w14:paraId="4AA64E56" w14:textId="77777777" w:rsidR="007E7472" w:rsidRDefault="00EC1269">
                    <w:pPr>
                      <w:jc w:val="right"/>
                    </w:pPr>
                    <w:r>
                      <w:rPr>
                        <w:rFonts w:hint="eastAsia"/>
                      </w:rPr>
                      <w:t>234,791</w:t>
                    </w:r>
                  </w:p>
                </w:tc>
              </w:sdtContent>
            </w:sdt>
            <w:sdt>
              <w:sdtPr>
                <w:rPr>
                  <w:rFonts w:hint="eastAsia"/>
                </w:rPr>
                <w:alias w:val="固定资产累计折旧减少项目金额"/>
                <w:tag w:val="_GBC_0475795030724aa4838f00440a8fdfe1"/>
                <w:id w:val="1750691555"/>
                <w:lock w:val="sdtLocked"/>
              </w:sdtPr>
              <w:sdtEndPr/>
              <w:sdtContent>
                <w:tc>
                  <w:tcPr>
                    <w:tcW w:w="437" w:type="pct"/>
                    <w:shd w:val="clear" w:color="auto" w:fill="auto"/>
                    <w:vAlign w:val="center"/>
                  </w:tcPr>
                  <w:p w14:paraId="6918030B" w14:textId="77777777" w:rsidR="007E7472" w:rsidRDefault="00EC1269">
                    <w:pPr>
                      <w:jc w:val="right"/>
                    </w:pPr>
                    <w:r>
                      <w:rPr>
                        <w:rFonts w:hint="eastAsia"/>
                      </w:rPr>
                      <w:t>7</w:t>
                    </w:r>
                  </w:p>
                </w:tc>
              </w:sdtContent>
            </w:sdt>
            <w:sdt>
              <w:sdtPr>
                <w:rPr>
                  <w:rFonts w:hint="eastAsia"/>
                </w:rPr>
                <w:alias w:val="固定资产累计折旧减少项目金额"/>
                <w:tag w:val="_GBC_0475795030724aa4838f00440a8fdfe1"/>
                <w:id w:val="1516653112"/>
                <w:lock w:val="sdtLocked"/>
                <w:showingPlcHdr/>
              </w:sdtPr>
              <w:sdtEndPr/>
              <w:sdtContent>
                <w:tc>
                  <w:tcPr>
                    <w:tcW w:w="463" w:type="pct"/>
                    <w:shd w:val="clear" w:color="auto" w:fill="auto"/>
                    <w:vAlign w:val="center"/>
                  </w:tcPr>
                  <w:p w14:paraId="5939B9FA" w14:textId="77777777" w:rsidR="007E7472" w:rsidRDefault="00EC1269">
                    <w:pPr>
                      <w:jc w:val="right"/>
                    </w:pPr>
                    <w:r>
                      <w:t xml:space="preserve">     </w:t>
                    </w:r>
                  </w:p>
                </w:tc>
              </w:sdtContent>
            </w:sdt>
            <w:sdt>
              <w:sdtPr>
                <w:rPr>
                  <w:rFonts w:hint="eastAsia"/>
                </w:rPr>
                <w:alias w:val="固定资产累计折旧减少项目合计金额"/>
                <w:tag w:val="_GBC_11178a6044164f9abd685ae39ec93217"/>
                <w:id w:val="-1940516080"/>
                <w:lock w:val="sdtLocked"/>
              </w:sdtPr>
              <w:sdtEndPr/>
              <w:sdtContent>
                <w:tc>
                  <w:tcPr>
                    <w:tcW w:w="609" w:type="pct"/>
                    <w:shd w:val="clear" w:color="auto" w:fill="auto"/>
                    <w:vAlign w:val="center"/>
                  </w:tcPr>
                  <w:p w14:paraId="16A084C3" w14:textId="77777777" w:rsidR="007E7472" w:rsidRDefault="00EC1269">
                    <w:pPr>
                      <w:jc w:val="right"/>
                    </w:pPr>
                    <w:r>
                      <w:rPr>
                        <w:rFonts w:hint="eastAsia"/>
                      </w:rPr>
                      <w:t>345,215</w:t>
                    </w:r>
                  </w:p>
                </w:tc>
              </w:sdtContent>
            </w:sdt>
          </w:tr>
          <w:tr w:rsidR="007E7472" w14:paraId="115E500C" w14:textId="77777777" w:rsidTr="007E7472">
            <w:sdt>
              <w:sdtPr>
                <w:tag w:val="_PLD_6eaa2035e58e4e21885400a2e0bb3a60"/>
                <w:id w:val="-1429503262"/>
                <w:lock w:val="sdtLocked"/>
              </w:sdtPr>
              <w:sdtEndPr/>
              <w:sdtContent>
                <w:tc>
                  <w:tcPr>
                    <w:tcW w:w="1124" w:type="pct"/>
                    <w:shd w:val="clear" w:color="auto" w:fill="auto"/>
                    <w:vAlign w:val="center"/>
                  </w:tcPr>
                  <w:p w14:paraId="77554CE0" w14:textId="77777777" w:rsidR="007E7472" w:rsidRDefault="00EC1269">
                    <w:pPr>
                      <w:ind w:firstLineChars="200" w:firstLine="420"/>
                    </w:pPr>
                    <w:r>
                      <w:t>5</w:t>
                    </w:r>
                    <w:r>
                      <w:rPr>
                        <w:rFonts w:hint="eastAsia"/>
                      </w:rPr>
                      <w:t>.期末余额</w:t>
                    </w:r>
                  </w:p>
                </w:tc>
              </w:sdtContent>
            </w:sdt>
            <w:tc>
              <w:tcPr>
                <w:tcW w:w="573" w:type="pct"/>
                <w:shd w:val="clear" w:color="auto" w:fill="auto"/>
                <w:vAlign w:val="center"/>
              </w:tcPr>
              <w:p w14:paraId="1E731D78" w14:textId="77777777" w:rsidR="007E7472" w:rsidRDefault="00C8327E">
                <w:pPr>
                  <w:jc w:val="right"/>
                </w:pPr>
              </w:p>
            </w:tc>
            <w:tc>
              <w:tcPr>
                <w:tcW w:w="498" w:type="pct"/>
                <w:shd w:val="clear" w:color="auto" w:fill="auto"/>
                <w:vAlign w:val="center"/>
              </w:tcPr>
              <w:p w14:paraId="413E543E" w14:textId="77777777" w:rsidR="007E7472" w:rsidRDefault="00EC1269">
                <w:pPr>
                  <w:jc w:val="right"/>
                </w:pPr>
                <w:r>
                  <w:t>4,267,983</w:t>
                </w:r>
              </w:p>
            </w:tc>
            <w:tc>
              <w:tcPr>
                <w:tcW w:w="412" w:type="pct"/>
                <w:shd w:val="clear" w:color="auto" w:fill="auto"/>
                <w:vAlign w:val="center"/>
              </w:tcPr>
              <w:p w14:paraId="0F32AB96" w14:textId="77777777" w:rsidR="007E7472" w:rsidRDefault="00EC1269">
                <w:pPr>
                  <w:jc w:val="right"/>
                </w:pPr>
                <w:r>
                  <w:t>10,918,601</w:t>
                </w:r>
              </w:p>
            </w:tc>
            <w:tc>
              <w:tcPr>
                <w:tcW w:w="430" w:type="pct"/>
                <w:shd w:val="clear" w:color="auto" w:fill="auto"/>
                <w:vAlign w:val="center"/>
              </w:tcPr>
              <w:p w14:paraId="25ED63E6" w14:textId="77777777" w:rsidR="007E7472" w:rsidRDefault="00EC1269">
                <w:pPr>
                  <w:jc w:val="right"/>
                </w:pPr>
                <w:r>
                  <w:t>6,575,239</w:t>
                </w:r>
              </w:p>
            </w:tc>
            <w:tc>
              <w:tcPr>
                <w:tcW w:w="448" w:type="pct"/>
                <w:shd w:val="clear" w:color="auto" w:fill="auto"/>
                <w:vAlign w:val="center"/>
              </w:tcPr>
              <w:p w14:paraId="1F1E3032" w14:textId="77777777" w:rsidR="007E7472" w:rsidRDefault="00EC1269">
                <w:pPr>
                  <w:jc w:val="right"/>
                </w:pPr>
                <w:r>
                  <w:t>37,117,129</w:t>
                </w:r>
              </w:p>
            </w:tc>
            <w:tc>
              <w:tcPr>
                <w:tcW w:w="437" w:type="pct"/>
                <w:shd w:val="clear" w:color="auto" w:fill="auto"/>
                <w:vAlign w:val="center"/>
              </w:tcPr>
              <w:p w14:paraId="642BA622" w14:textId="77777777" w:rsidR="007E7472" w:rsidRDefault="00EC1269">
                <w:pPr>
                  <w:jc w:val="right"/>
                </w:pPr>
                <w:r>
                  <w:t>1,204,322</w:t>
                </w:r>
              </w:p>
            </w:tc>
            <w:tc>
              <w:tcPr>
                <w:tcW w:w="463" w:type="pct"/>
                <w:shd w:val="clear" w:color="auto" w:fill="auto"/>
                <w:vAlign w:val="center"/>
              </w:tcPr>
              <w:p w14:paraId="79915A7D" w14:textId="77777777" w:rsidR="007E7472" w:rsidRDefault="00EC1269">
                <w:pPr>
                  <w:jc w:val="right"/>
                </w:pPr>
                <w:r>
                  <w:t>3,548,332</w:t>
                </w:r>
              </w:p>
            </w:tc>
            <w:tc>
              <w:tcPr>
                <w:tcW w:w="609" w:type="pct"/>
                <w:shd w:val="clear" w:color="auto" w:fill="auto"/>
                <w:vAlign w:val="center"/>
              </w:tcPr>
              <w:p w14:paraId="58495C14" w14:textId="77777777" w:rsidR="007E7472" w:rsidRDefault="00EC1269">
                <w:pPr>
                  <w:jc w:val="right"/>
                </w:pPr>
                <w:r>
                  <w:t>63,631,606</w:t>
                </w:r>
              </w:p>
            </w:tc>
          </w:tr>
          <w:tr w:rsidR="007E7472" w14:paraId="0C2B221D" w14:textId="77777777" w:rsidTr="007E7472">
            <w:sdt>
              <w:sdtPr>
                <w:tag w:val="_PLD_662c84047b6d41648e46d047cc9b134a"/>
                <w:id w:val="2047718199"/>
                <w:lock w:val="sdtLocked"/>
              </w:sdtPr>
              <w:sdtEndPr/>
              <w:sdtContent>
                <w:tc>
                  <w:tcPr>
                    <w:tcW w:w="5000" w:type="pct"/>
                    <w:gridSpan w:val="9"/>
                    <w:shd w:val="clear" w:color="auto" w:fill="auto"/>
                    <w:vAlign w:val="center"/>
                  </w:tcPr>
                  <w:p w14:paraId="6A319B99" w14:textId="77777777" w:rsidR="007E7472" w:rsidRDefault="00EC1269">
                    <w:r>
                      <w:rPr>
                        <w:rFonts w:hint="eastAsia"/>
                      </w:rPr>
                      <w:t>三、减值准备</w:t>
                    </w:r>
                  </w:p>
                </w:tc>
              </w:sdtContent>
            </w:sdt>
          </w:tr>
          <w:tr w:rsidR="007E7472" w14:paraId="79B04B3C" w14:textId="77777777" w:rsidTr="007E7472">
            <w:sdt>
              <w:sdtPr>
                <w:tag w:val="_PLD_ca34fab5808d492588c9f9773f2bb656"/>
                <w:id w:val="-1656449796"/>
                <w:lock w:val="sdtLocked"/>
              </w:sdtPr>
              <w:sdtEndPr/>
              <w:sdtContent>
                <w:tc>
                  <w:tcPr>
                    <w:tcW w:w="1124" w:type="pct"/>
                    <w:shd w:val="clear" w:color="auto" w:fill="auto"/>
                    <w:vAlign w:val="center"/>
                  </w:tcPr>
                  <w:p w14:paraId="6DC86ABB" w14:textId="77777777" w:rsidR="007E7472" w:rsidRDefault="00EC1269">
                    <w:pPr>
                      <w:ind w:firstLineChars="200" w:firstLine="420"/>
                    </w:pPr>
                    <w:r>
                      <w:t>1.</w:t>
                    </w:r>
                    <w:r>
                      <w:rPr>
                        <w:rFonts w:hint="eastAsia"/>
                      </w:rPr>
                      <w:t>期初余额</w:t>
                    </w:r>
                  </w:p>
                </w:tc>
              </w:sdtContent>
            </w:sdt>
            <w:tc>
              <w:tcPr>
                <w:tcW w:w="573" w:type="pct"/>
                <w:shd w:val="clear" w:color="auto" w:fill="auto"/>
                <w:vAlign w:val="center"/>
              </w:tcPr>
              <w:p w14:paraId="3CB36A9D" w14:textId="77777777" w:rsidR="007E7472" w:rsidRDefault="00C8327E">
                <w:pPr>
                  <w:jc w:val="right"/>
                </w:pPr>
              </w:p>
            </w:tc>
            <w:tc>
              <w:tcPr>
                <w:tcW w:w="498" w:type="pct"/>
                <w:shd w:val="clear" w:color="auto" w:fill="auto"/>
                <w:vAlign w:val="center"/>
              </w:tcPr>
              <w:p w14:paraId="4A0DEB6A" w14:textId="77777777" w:rsidR="007E7472" w:rsidRDefault="00EC1269">
                <w:pPr>
                  <w:jc w:val="right"/>
                  <w:rPr>
                    <w:bCs/>
                    <w:sz w:val="24"/>
                    <w:szCs w:val="24"/>
                  </w:rPr>
                </w:pPr>
                <w:r>
                  <w:t>5,187</w:t>
                </w:r>
              </w:p>
            </w:tc>
            <w:tc>
              <w:tcPr>
                <w:tcW w:w="412" w:type="pct"/>
                <w:shd w:val="clear" w:color="auto" w:fill="auto"/>
                <w:vAlign w:val="center"/>
              </w:tcPr>
              <w:p w14:paraId="130D2E4F" w14:textId="77777777" w:rsidR="007E7472" w:rsidRDefault="00EC1269">
                <w:pPr>
                  <w:jc w:val="right"/>
                </w:pPr>
                <w:r>
                  <w:t>703,67</w:t>
                </w:r>
                <w:r>
                  <w:rPr>
                    <w:rFonts w:hint="eastAsia"/>
                  </w:rPr>
                  <w:t>2</w:t>
                </w:r>
              </w:p>
            </w:tc>
            <w:tc>
              <w:tcPr>
                <w:tcW w:w="430" w:type="pct"/>
                <w:shd w:val="clear" w:color="auto" w:fill="auto"/>
                <w:vAlign w:val="center"/>
              </w:tcPr>
              <w:p w14:paraId="7BB63648" w14:textId="77777777" w:rsidR="007E7472" w:rsidRDefault="00C8327E">
                <w:pPr>
                  <w:jc w:val="right"/>
                </w:pPr>
              </w:p>
            </w:tc>
            <w:tc>
              <w:tcPr>
                <w:tcW w:w="448" w:type="pct"/>
                <w:shd w:val="clear" w:color="auto" w:fill="auto"/>
                <w:vAlign w:val="center"/>
              </w:tcPr>
              <w:p w14:paraId="184D6118" w14:textId="77777777" w:rsidR="007E7472" w:rsidRDefault="00EC1269">
                <w:pPr>
                  <w:jc w:val="right"/>
                </w:pPr>
                <w:r>
                  <w:t>239,032</w:t>
                </w:r>
              </w:p>
            </w:tc>
            <w:tc>
              <w:tcPr>
                <w:tcW w:w="437" w:type="pct"/>
                <w:shd w:val="clear" w:color="auto" w:fill="auto"/>
                <w:vAlign w:val="center"/>
              </w:tcPr>
              <w:p w14:paraId="6B928FC9" w14:textId="77777777" w:rsidR="007E7472" w:rsidRDefault="00EC1269">
                <w:pPr>
                  <w:jc w:val="right"/>
                </w:pPr>
                <w:r>
                  <w:t>954</w:t>
                </w:r>
              </w:p>
            </w:tc>
            <w:tc>
              <w:tcPr>
                <w:tcW w:w="463" w:type="pct"/>
                <w:shd w:val="clear" w:color="auto" w:fill="auto"/>
                <w:vAlign w:val="center"/>
              </w:tcPr>
              <w:p w14:paraId="70A30974" w14:textId="77777777" w:rsidR="007E7472" w:rsidRDefault="00EC1269">
                <w:pPr>
                  <w:jc w:val="right"/>
                </w:pPr>
                <w:r>
                  <w:t>3,164</w:t>
                </w:r>
              </w:p>
            </w:tc>
            <w:tc>
              <w:tcPr>
                <w:tcW w:w="609" w:type="pct"/>
                <w:shd w:val="clear" w:color="auto" w:fill="auto"/>
                <w:vAlign w:val="center"/>
              </w:tcPr>
              <w:p w14:paraId="39AE95A9" w14:textId="77777777" w:rsidR="007E7472" w:rsidRDefault="00EC1269">
                <w:pPr>
                  <w:jc w:val="right"/>
                </w:pPr>
                <w:r>
                  <w:t>952,00</w:t>
                </w:r>
                <w:r>
                  <w:rPr>
                    <w:rFonts w:hint="eastAsia"/>
                  </w:rPr>
                  <w:t>9</w:t>
                </w:r>
              </w:p>
            </w:tc>
          </w:tr>
          <w:tr w:rsidR="007E7472" w14:paraId="5399E5B8" w14:textId="77777777" w:rsidTr="007E7472">
            <w:sdt>
              <w:sdtPr>
                <w:tag w:val="_PLD_558d8ea305db4595a0aa4db4612e68ec"/>
                <w:id w:val="-232863521"/>
                <w:lock w:val="sdtLocked"/>
              </w:sdtPr>
              <w:sdtEndPr/>
              <w:sdtContent>
                <w:tc>
                  <w:tcPr>
                    <w:tcW w:w="1124" w:type="pct"/>
                    <w:shd w:val="clear" w:color="auto" w:fill="auto"/>
                    <w:vAlign w:val="center"/>
                  </w:tcPr>
                  <w:p w14:paraId="7B432AA3" w14:textId="77777777" w:rsidR="007E7472" w:rsidRDefault="00EC1269">
                    <w:pPr>
                      <w:ind w:firstLineChars="200" w:firstLine="420"/>
                    </w:pPr>
                    <w:r>
                      <w:t>2.</w:t>
                    </w:r>
                    <w:r>
                      <w:rPr>
                        <w:rFonts w:hint="eastAsia"/>
                      </w:rPr>
                      <w:t>本期增加金额</w:t>
                    </w:r>
                  </w:p>
                </w:tc>
              </w:sdtContent>
            </w:sdt>
            <w:tc>
              <w:tcPr>
                <w:tcW w:w="573" w:type="pct"/>
                <w:shd w:val="clear" w:color="auto" w:fill="auto"/>
                <w:vAlign w:val="center"/>
              </w:tcPr>
              <w:p w14:paraId="5AC7BA81" w14:textId="77777777" w:rsidR="007E7472" w:rsidRDefault="00C8327E">
                <w:pPr>
                  <w:jc w:val="right"/>
                </w:pPr>
              </w:p>
            </w:tc>
            <w:tc>
              <w:tcPr>
                <w:tcW w:w="498" w:type="pct"/>
                <w:shd w:val="clear" w:color="auto" w:fill="auto"/>
                <w:vAlign w:val="center"/>
              </w:tcPr>
              <w:p w14:paraId="3B4ADA7A" w14:textId="77777777" w:rsidR="007E7472" w:rsidRDefault="00C8327E">
                <w:pPr>
                  <w:jc w:val="right"/>
                </w:pPr>
              </w:p>
            </w:tc>
            <w:tc>
              <w:tcPr>
                <w:tcW w:w="412" w:type="pct"/>
                <w:shd w:val="clear" w:color="auto" w:fill="auto"/>
                <w:vAlign w:val="center"/>
              </w:tcPr>
              <w:p w14:paraId="41AC5E93" w14:textId="77777777" w:rsidR="007E7472" w:rsidRDefault="00C8327E">
                <w:pPr>
                  <w:jc w:val="right"/>
                </w:pPr>
              </w:p>
            </w:tc>
            <w:tc>
              <w:tcPr>
                <w:tcW w:w="430" w:type="pct"/>
                <w:shd w:val="clear" w:color="auto" w:fill="auto"/>
                <w:vAlign w:val="center"/>
              </w:tcPr>
              <w:p w14:paraId="0CB50898" w14:textId="77777777" w:rsidR="007E7472" w:rsidRDefault="00C8327E">
                <w:pPr>
                  <w:jc w:val="right"/>
                </w:pPr>
              </w:p>
            </w:tc>
            <w:tc>
              <w:tcPr>
                <w:tcW w:w="448" w:type="pct"/>
                <w:shd w:val="clear" w:color="auto" w:fill="auto"/>
                <w:vAlign w:val="center"/>
              </w:tcPr>
              <w:p w14:paraId="181764DF" w14:textId="77777777" w:rsidR="007E7472" w:rsidRDefault="00C8327E">
                <w:pPr>
                  <w:jc w:val="right"/>
                </w:pPr>
              </w:p>
            </w:tc>
            <w:tc>
              <w:tcPr>
                <w:tcW w:w="437" w:type="pct"/>
                <w:shd w:val="clear" w:color="auto" w:fill="auto"/>
                <w:vAlign w:val="center"/>
              </w:tcPr>
              <w:p w14:paraId="54857496" w14:textId="77777777" w:rsidR="007E7472" w:rsidRDefault="00C8327E">
                <w:pPr>
                  <w:jc w:val="right"/>
                </w:pPr>
              </w:p>
            </w:tc>
            <w:tc>
              <w:tcPr>
                <w:tcW w:w="463" w:type="pct"/>
                <w:shd w:val="clear" w:color="auto" w:fill="auto"/>
                <w:vAlign w:val="center"/>
              </w:tcPr>
              <w:p w14:paraId="1ED67377" w14:textId="77777777" w:rsidR="007E7472" w:rsidRDefault="00C8327E">
                <w:pPr>
                  <w:jc w:val="right"/>
                </w:pPr>
              </w:p>
            </w:tc>
            <w:tc>
              <w:tcPr>
                <w:tcW w:w="609" w:type="pct"/>
                <w:shd w:val="clear" w:color="auto" w:fill="auto"/>
                <w:vAlign w:val="center"/>
              </w:tcPr>
              <w:p w14:paraId="24184EF5" w14:textId="77777777" w:rsidR="007E7472" w:rsidRDefault="00C8327E">
                <w:pPr>
                  <w:jc w:val="right"/>
                </w:pPr>
              </w:p>
            </w:tc>
          </w:tr>
          <w:tr w:rsidR="007E7472" w14:paraId="6FC0A1B4" w14:textId="77777777" w:rsidTr="007E7472">
            <w:sdt>
              <w:sdtPr>
                <w:tag w:val="_PLD_433ae6be63a842f9b3c972bb56b0616a"/>
                <w:id w:val="2045713401"/>
                <w:lock w:val="sdtLocked"/>
              </w:sdtPr>
              <w:sdtEndPr/>
              <w:sdtContent>
                <w:tc>
                  <w:tcPr>
                    <w:tcW w:w="1124" w:type="pct"/>
                    <w:shd w:val="clear" w:color="auto" w:fill="auto"/>
                    <w:vAlign w:val="center"/>
                  </w:tcPr>
                  <w:p w14:paraId="520EA014" w14:textId="77777777" w:rsidR="007E7472" w:rsidRDefault="00EC1269">
                    <w:pPr>
                      <w:ind w:firstLineChars="300" w:firstLine="630"/>
                    </w:pPr>
                    <w:r>
                      <w:rPr>
                        <w:rFonts w:hint="eastAsia"/>
                      </w:rPr>
                      <w:t>（1）计提</w:t>
                    </w:r>
                  </w:p>
                </w:tc>
              </w:sdtContent>
            </w:sdt>
            <w:tc>
              <w:tcPr>
                <w:tcW w:w="573" w:type="pct"/>
                <w:shd w:val="clear" w:color="auto" w:fill="auto"/>
                <w:vAlign w:val="center"/>
              </w:tcPr>
              <w:p w14:paraId="1620101C" w14:textId="77777777" w:rsidR="007E7472" w:rsidRDefault="00C8327E">
                <w:pPr>
                  <w:jc w:val="right"/>
                </w:pPr>
              </w:p>
            </w:tc>
            <w:tc>
              <w:tcPr>
                <w:tcW w:w="498" w:type="pct"/>
                <w:shd w:val="clear" w:color="auto" w:fill="auto"/>
                <w:vAlign w:val="center"/>
              </w:tcPr>
              <w:p w14:paraId="6716CAC6" w14:textId="77777777" w:rsidR="007E7472" w:rsidRDefault="00C8327E">
                <w:pPr>
                  <w:jc w:val="right"/>
                </w:pPr>
              </w:p>
            </w:tc>
            <w:tc>
              <w:tcPr>
                <w:tcW w:w="412" w:type="pct"/>
                <w:shd w:val="clear" w:color="auto" w:fill="auto"/>
                <w:vAlign w:val="center"/>
              </w:tcPr>
              <w:p w14:paraId="706E0E81" w14:textId="77777777" w:rsidR="007E7472" w:rsidRDefault="00C8327E">
                <w:pPr>
                  <w:jc w:val="right"/>
                </w:pPr>
              </w:p>
            </w:tc>
            <w:tc>
              <w:tcPr>
                <w:tcW w:w="430" w:type="pct"/>
                <w:shd w:val="clear" w:color="auto" w:fill="auto"/>
                <w:vAlign w:val="center"/>
              </w:tcPr>
              <w:p w14:paraId="492F5F60" w14:textId="77777777" w:rsidR="007E7472" w:rsidRDefault="00C8327E">
                <w:pPr>
                  <w:jc w:val="right"/>
                </w:pPr>
              </w:p>
            </w:tc>
            <w:tc>
              <w:tcPr>
                <w:tcW w:w="448" w:type="pct"/>
                <w:shd w:val="clear" w:color="auto" w:fill="auto"/>
                <w:vAlign w:val="center"/>
              </w:tcPr>
              <w:p w14:paraId="396AD119" w14:textId="77777777" w:rsidR="007E7472" w:rsidRDefault="00C8327E">
                <w:pPr>
                  <w:jc w:val="right"/>
                </w:pPr>
              </w:p>
            </w:tc>
            <w:tc>
              <w:tcPr>
                <w:tcW w:w="437" w:type="pct"/>
                <w:shd w:val="clear" w:color="auto" w:fill="auto"/>
                <w:vAlign w:val="center"/>
              </w:tcPr>
              <w:p w14:paraId="51E48326" w14:textId="77777777" w:rsidR="007E7472" w:rsidRDefault="00C8327E">
                <w:pPr>
                  <w:jc w:val="right"/>
                </w:pPr>
              </w:p>
            </w:tc>
            <w:tc>
              <w:tcPr>
                <w:tcW w:w="463" w:type="pct"/>
                <w:shd w:val="clear" w:color="auto" w:fill="auto"/>
                <w:vAlign w:val="center"/>
              </w:tcPr>
              <w:p w14:paraId="46882531" w14:textId="77777777" w:rsidR="007E7472" w:rsidRDefault="00C8327E">
                <w:pPr>
                  <w:jc w:val="right"/>
                </w:pPr>
              </w:p>
            </w:tc>
            <w:tc>
              <w:tcPr>
                <w:tcW w:w="609" w:type="pct"/>
                <w:shd w:val="clear" w:color="auto" w:fill="auto"/>
                <w:vAlign w:val="center"/>
              </w:tcPr>
              <w:p w14:paraId="7007A137" w14:textId="77777777" w:rsidR="007E7472" w:rsidRDefault="00C8327E">
                <w:pPr>
                  <w:jc w:val="right"/>
                </w:pPr>
              </w:p>
            </w:tc>
          </w:tr>
          <w:tr w:rsidR="007E7472" w14:paraId="10B75959" w14:textId="77777777" w:rsidTr="007E7472">
            <w:sdt>
              <w:sdtPr>
                <w:tag w:val="_PLD_9f06e7f0e71e4a3aa190d3fcd09490fc"/>
                <w:id w:val="1624957925"/>
                <w:lock w:val="sdtLocked"/>
              </w:sdtPr>
              <w:sdtEndPr/>
              <w:sdtContent>
                <w:tc>
                  <w:tcPr>
                    <w:tcW w:w="1124" w:type="pct"/>
                    <w:shd w:val="clear" w:color="auto" w:fill="auto"/>
                    <w:vAlign w:val="center"/>
                  </w:tcPr>
                  <w:p w14:paraId="4C0877CB" w14:textId="77777777" w:rsidR="007E7472" w:rsidRDefault="00EC1269">
                    <w:pPr>
                      <w:ind w:firstLineChars="200" w:firstLine="420"/>
                    </w:pPr>
                    <w:r>
                      <w:rPr>
                        <w:rFonts w:hint="eastAsia"/>
                      </w:rPr>
                      <w:t>3.本期减少金额</w:t>
                    </w:r>
                  </w:p>
                </w:tc>
              </w:sdtContent>
            </w:sdt>
            <w:tc>
              <w:tcPr>
                <w:tcW w:w="573" w:type="pct"/>
                <w:shd w:val="clear" w:color="auto" w:fill="auto"/>
                <w:vAlign w:val="center"/>
              </w:tcPr>
              <w:p w14:paraId="7BE874E5" w14:textId="77777777" w:rsidR="007E7472" w:rsidRDefault="00C8327E">
                <w:pPr>
                  <w:jc w:val="right"/>
                </w:pPr>
              </w:p>
            </w:tc>
            <w:tc>
              <w:tcPr>
                <w:tcW w:w="498" w:type="pct"/>
                <w:shd w:val="clear" w:color="auto" w:fill="auto"/>
                <w:vAlign w:val="center"/>
              </w:tcPr>
              <w:p w14:paraId="1FD96057" w14:textId="77777777" w:rsidR="007E7472" w:rsidRDefault="00EC1269">
                <w:pPr>
                  <w:jc w:val="right"/>
                  <w:rPr>
                    <w:bCs/>
                    <w:sz w:val="24"/>
                    <w:szCs w:val="24"/>
                  </w:rPr>
                </w:pPr>
                <w:r>
                  <w:t>1,328</w:t>
                </w:r>
              </w:p>
            </w:tc>
            <w:tc>
              <w:tcPr>
                <w:tcW w:w="412" w:type="pct"/>
                <w:shd w:val="clear" w:color="auto" w:fill="auto"/>
                <w:vAlign w:val="center"/>
              </w:tcPr>
              <w:p w14:paraId="7151B9DA" w14:textId="77777777" w:rsidR="007E7472" w:rsidRDefault="00EC1269">
                <w:pPr>
                  <w:jc w:val="right"/>
                </w:pPr>
                <w:r>
                  <w:t>8,417</w:t>
                </w:r>
              </w:p>
            </w:tc>
            <w:tc>
              <w:tcPr>
                <w:tcW w:w="430" w:type="pct"/>
                <w:shd w:val="clear" w:color="auto" w:fill="auto"/>
                <w:vAlign w:val="center"/>
              </w:tcPr>
              <w:p w14:paraId="6753CEA3" w14:textId="77777777" w:rsidR="007E7472" w:rsidRDefault="00C8327E">
                <w:pPr>
                  <w:jc w:val="right"/>
                </w:pPr>
              </w:p>
            </w:tc>
            <w:tc>
              <w:tcPr>
                <w:tcW w:w="448" w:type="pct"/>
                <w:shd w:val="clear" w:color="auto" w:fill="auto"/>
                <w:vAlign w:val="center"/>
              </w:tcPr>
              <w:p w14:paraId="152B3988" w14:textId="77777777" w:rsidR="007E7472" w:rsidRDefault="00EC1269">
                <w:pPr>
                  <w:jc w:val="right"/>
                </w:pPr>
                <w:r>
                  <w:t>12,437</w:t>
                </w:r>
              </w:p>
            </w:tc>
            <w:tc>
              <w:tcPr>
                <w:tcW w:w="437" w:type="pct"/>
                <w:shd w:val="clear" w:color="auto" w:fill="auto"/>
                <w:vAlign w:val="center"/>
              </w:tcPr>
              <w:p w14:paraId="364AC29D" w14:textId="77777777" w:rsidR="007E7472" w:rsidRDefault="00C8327E">
                <w:pPr>
                  <w:jc w:val="right"/>
                </w:pPr>
              </w:p>
            </w:tc>
            <w:tc>
              <w:tcPr>
                <w:tcW w:w="463" w:type="pct"/>
                <w:shd w:val="clear" w:color="auto" w:fill="auto"/>
                <w:vAlign w:val="center"/>
              </w:tcPr>
              <w:p w14:paraId="6D18E151" w14:textId="77777777" w:rsidR="007E7472" w:rsidRDefault="00C8327E">
                <w:pPr>
                  <w:jc w:val="right"/>
                </w:pPr>
              </w:p>
            </w:tc>
            <w:tc>
              <w:tcPr>
                <w:tcW w:w="609" w:type="pct"/>
                <w:shd w:val="clear" w:color="auto" w:fill="auto"/>
                <w:vAlign w:val="center"/>
              </w:tcPr>
              <w:p w14:paraId="6E88C9EC" w14:textId="77777777" w:rsidR="007E7472" w:rsidRDefault="00EC1269">
                <w:pPr>
                  <w:jc w:val="right"/>
                </w:pPr>
                <w:r>
                  <w:t>22,182</w:t>
                </w:r>
              </w:p>
            </w:tc>
          </w:tr>
          <w:tr w:rsidR="007E7472" w14:paraId="16564166" w14:textId="77777777" w:rsidTr="007E7472">
            <w:sdt>
              <w:sdtPr>
                <w:tag w:val="_PLD_27997f63b30343a4a13f2ee412af0eba"/>
                <w:id w:val="818695630"/>
                <w:lock w:val="sdtLocked"/>
              </w:sdtPr>
              <w:sdtEndPr/>
              <w:sdtContent>
                <w:tc>
                  <w:tcPr>
                    <w:tcW w:w="1124" w:type="pct"/>
                    <w:shd w:val="clear" w:color="auto" w:fill="auto"/>
                    <w:vAlign w:val="center"/>
                  </w:tcPr>
                  <w:p w14:paraId="64EB737C" w14:textId="77777777" w:rsidR="007E7472" w:rsidRDefault="00EC1269">
                    <w:pPr>
                      <w:ind w:firstLineChars="300" w:firstLine="630"/>
                    </w:pPr>
                    <w:r>
                      <w:rPr>
                        <w:rFonts w:hint="eastAsia"/>
                      </w:rPr>
                      <w:t>（1）处置或报废</w:t>
                    </w:r>
                  </w:p>
                </w:tc>
              </w:sdtContent>
            </w:sdt>
            <w:tc>
              <w:tcPr>
                <w:tcW w:w="573" w:type="pct"/>
                <w:shd w:val="clear" w:color="auto" w:fill="auto"/>
                <w:vAlign w:val="center"/>
              </w:tcPr>
              <w:p w14:paraId="37BA592E" w14:textId="77777777" w:rsidR="007E7472" w:rsidRDefault="00C8327E">
                <w:pPr>
                  <w:jc w:val="right"/>
                </w:pPr>
              </w:p>
            </w:tc>
            <w:tc>
              <w:tcPr>
                <w:tcW w:w="498" w:type="pct"/>
                <w:shd w:val="clear" w:color="auto" w:fill="auto"/>
                <w:vAlign w:val="center"/>
              </w:tcPr>
              <w:p w14:paraId="02FBFA3A" w14:textId="77777777" w:rsidR="007E7472" w:rsidRDefault="00C8327E">
                <w:pPr>
                  <w:jc w:val="right"/>
                  <w:rPr>
                    <w:bCs/>
                    <w:sz w:val="24"/>
                    <w:szCs w:val="24"/>
                  </w:rPr>
                </w:pPr>
              </w:p>
            </w:tc>
            <w:tc>
              <w:tcPr>
                <w:tcW w:w="412" w:type="pct"/>
                <w:shd w:val="clear" w:color="auto" w:fill="auto"/>
                <w:vAlign w:val="center"/>
              </w:tcPr>
              <w:p w14:paraId="17BB459C" w14:textId="77777777" w:rsidR="007E7472" w:rsidRDefault="00C8327E">
                <w:pPr>
                  <w:jc w:val="right"/>
                </w:pPr>
              </w:p>
            </w:tc>
            <w:tc>
              <w:tcPr>
                <w:tcW w:w="430" w:type="pct"/>
                <w:shd w:val="clear" w:color="auto" w:fill="auto"/>
                <w:vAlign w:val="center"/>
              </w:tcPr>
              <w:p w14:paraId="066A308B" w14:textId="77777777" w:rsidR="007E7472" w:rsidRDefault="00C8327E">
                <w:pPr>
                  <w:jc w:val="right"/>
                </w:pPr>
              </w:p>
            </w:tc>
            <w:tc>
              <w:tcPr>
                <w:tcW w:w="448" w:type="pct"/>
                <w:shd w:val="clear" w:color="auto" w:fill="auto"/>
                <w:vAlign w:val="center"/>
              </w:tcPr>
              <w:p w14:paraId="32D4F7D3" w14:textId="77777777" w:rsidR="007E7472" w:rsidRDefault="00C8327E">
                <w:pPr>
                  <w:jc w:val="right"/>
                </w:pPr>
              </w:p>
            </w:tc>
            <w:tc>
              <w:tcPr>
                <w:tcW w:w="437" w:type="pct"/>
                <w:shd w:val="clear" w:color="auto" w:fill="auto"/>
                <w:vAlign w:val="center"/>
              </w:tcPr>
              <w:p w14:paraId="2F341D64" w14:textId="77777777" w:rsidR="007E7472" w:rsidRDefault="00C8327E">
                <w:pPr>
                  <w:jc w:val="right"/>
                </w:pPr>
              </w:p>
            </w:tc>
            <w:tc>
              <w:tcPr>
                <w:tcW w:w="463" w:type="pct"/>
                <w:shd w:val="clear" w:color="auto" w:fill="auto"/>
                <w:vAlign w:val="center"/>
              </w:tcPr>
              <w:p w14:paraId="7D584098" w14:textId="77777777" w:rsidR="007E7472" w:rsidRDefault="00C8327E">
                <w:pPr>
                  <w:jc w:val="right"/>
                </w:pPr>
              </w:p>
            </w:tc>
            <w:tc>
              <w:tcPr>
                <w:tcW w:w="609" w:type="pct"/>
                <w:shd w:val="clear" w:color="auto" w:fill="auto"/>
                <w:vAlign w:val="center"/>
              </w:tcPr>
              <w:p w14:paraId="3DB2FB0F" w14:textId="77777777" w:rsidR="007E7472" w:rsidRDefault="00C8327E">
                <w:pPr>
                  <w:jc w:val="right"/>
                </w:pPr>
              </w:p>
            </w:tc>
          </w:tr>
          <w:tr w:rsidR="007E7472" w14:paraId="282132A0" w14:textId="77777777" w:rsidTr="007E7472">
            <w:tc>
              <w:tcPr>
                <w:tcW w:w="1124" w:type="pct"/>
                <w:shd w:val="clear" w:color="auto" w:fill="auto"/>
                <w:vAlign w:val="center"/>
              </w:tcPr>
              <w:p w14:paraId="06179C75" w14:textId="77777777" w:rsidR="007E7472" w:rsidRDefault="00EC1269">
                <w:pPr>
                  <w:ind w:firstLineChars="300" w:firstLine="630"/>
                </w:pPr>
                <w:r>
                  <w:rPr>
                    <w:rFonts w:hint="eastAsia"/>
                  </w:rPr>
                  <w:t>（2</w:t>
                </w:r>
                <w:r>
                  <w:t>）</w:t>
                </w:r>
                <w:r>
                  <w:rPr>
                    <w:rFonts w:hint="eastAsia"/>
                  </w:rPr>
                  <w:t>其他减少</w:t>
                </w:r>
              </w:p>
            </w:tc>
            <w:tc>
              <w:tcPr>
                <w:tcW w:w="573" w:type="pct"/>
                <w:shd w:val="clear" w:color="auto" w:fill="auto"/>
                <w:vAlign w:val="center"/>
              </w:tcPr>
              <w:p w14:paraId="52D9E309" w14:textId="77777777" w:rsidR="007E7472" w:rsidRDefault="00C8327E">
                <w:pPr>
                  <w:jc w:val="right"/>
                </w:pPr>
              </w:p>
            </w:tc>
            <w:tc>
              <w:tcPr>
                <w:tcW w:w="498" w:type="pct"/>
                <w:shd w:val="clear" w:color="auto" w:fill="auto"/>
                <w:vAlign w:val="center"/>
              </w:tcPr>
              <w:p w14:paraId="0BE7A265" w14:textId="77777777" w:rsidR="007E7472" w:rsidRDefault="00EC1269">
                <w:pPr>
                  <w:jc w:val="right"/>
                </w:pPr>
                <w:r>
                  <w:t>1,328</w:t>
                </w:r>
              </w:p>
            </w:tc>
            <w:tc>
              <w:tcPr>
                <w:tcW w:w="412" w:type="pct"/>
                <w:shd w:val="clear" w:color="auto" w:fill="auto"/>
                <w:vAlign w:val="center"/>
              </w:tcPr>
              <w:p w14:paraId="504DB32A" w14:textId="77777777" w:rsidR="007E7472" w:rsidRDefault="00EC1269">
                <w:pPr>
                  <w:jc w:val="right"/>
                </w:pPr>
                <w:r>
                  <w:t>8,417</w:t>
                </w:r>
              </w:p>
            </w:tc>
            <w:tc>
              <w:tcPr>
                <w:tcW w:w="430" w:type="pct"/>
                <w:shd w:val="clear" w:color="auto" w:fill="auto"/>
                <w:vAlign w:val="center"/>
              </w:tcPr>
              <w:p w14:paraId="4FDF2E1F" w14:textId="77777777" w:rsidR="007E7472" w:rsidRDefault="00C8327E">
                <w:pPr>
                  <w:jc w:val="right"/>
                </w:pPr>
              </w:p>
            </w:tc>
            <w:tc>
              <w:tcPr>
                <w:tcW w:w="448" w:type="pct"/>
                <w:shd w:val="clear" w:color="auto" w:fill="auto"/>
                <w:vAlign w:val="center"/>
              </w:tcPr>
              <w:p w14:paraId="3FF92943" w14:textId="77777777" w:rsidR="007E7472" w:rsidRDefault="00EC1269">
                <w:pPr>
                  <w:jc w:val="right"/>
                </w:pPr>
                <w:r>
                  <w:t>12,437</w:t>
                </w:r>
              </w:p>
            </w:tc>
            <w:tc>
              <w:tcPr>
                <w:tcW w:w="437" w:type="pct"/>
                <w:shd w:val="clear" w:color="auto" w:fill="auto"/>
                <w:vAlign w:val="center"/>
              </w:tcPr>
              <w:p w14:paraId="54B0CC8D" w14:textId="77777777" w:rsidR="007E7472" w:rsidRDefault="00C8327E">
                <w:pPr>
                  <w:jc w:val="right"/>
                </w:pPr>
              </w:p>
            </w:tc>
            <w:tc>
              <w:tcPr>
                <w:tcW w:w="463" w:type="pct"/>
                <w:shd w:val="clear" w:color="auto" w:fill="auto"/>
                <w:vAlign w:val="center"/>
              </w:tcPr>
              <w:p w14:paraId="1DA41591" w14:textId="77777777" w:rsidR="007E7472" w:rsidRDefault="00C8327E">
                <w:pPr>
                  <w:jc w:val="right"/>
                </w:pPr>
              </w:p>
            </w:tc>
            <w:tc>
              <w:tcPr>
                <w:tcW w:w="609" w:type="pct"/>
                <w:shd w:val="clear" w:color="auto" w:fill="auto"/>
                <w:vAlign w:val="center"/>
              </w:tcPr>
              <w:p w14:paraId="3ADC1512" w14:textId="77777777" w:rsidR="007E7472" w:rsidRDefault="00EC1269">
                <w:pPr>
                  <w:jc w:val="right"/>
                </w:pPr>
                <w:r>
                  <w:t>22,182</w:t>
                </w:r>
              </w:p>
            </w:tc>
          </w:tr>
          <w:tr w:rsidR="007E7472" w14:paraId="0B366824" w14:textId="77777777" w:rsidTr="007E7472">
            <w:tc>
              <w:tcPr>
                <w:tcW w:w="1124" w:type="pct"/>
                <w:shd w:val="clear" w:color="auto" w:fill="auto"/>
                <w:vAlign w:val="center"/>
              </w:tcPr>
              <w:p w14:paraId="1C9FEADC" w14:textId="77777777" w:rsidR="007E7472" w:rsidRDefault="00EC1269">
                <w:pPr>
                  <w:ind w:firstLineChars="200" w:firstLine="420"/>
                </w:pPr>
                <w:r>
                  <w:rPr>
                    <w:rFonts w:hint="eastAsia"/>
                  </w:rPr>
                  <w:t>4.外币报表折算差额</w:t>
                </w:r>
              </w:p>
            </w:tc>
            <w:tc>
              <w:tcPr>
                <w:tcW w:w="573" w:type="pct"/>
                <w:shd w:val="clear" w:color="auto" w:fill="auto"/>
                <w:vAlign w:val="center"/>
              </w:tcPr>
              <w:p w14:paraId="3E01BF61" w14:textId="77777777" w:rsidR="007E7472" w:rsidRDefault="00C8327E">
                <w:pPr>
                  <w:jc w:val="right"/>
                </w:pPr>
              </w:p>
            </w:tc>
            <w:tc>
              <w:tcPr>
                <w:tcW w:w="498" w:type="pct"/>
                <w:shd w:val="clear" w:color="auto" w:fill="auto"/>
                <w:vAlign w:val="center"/>
              </w:tcPr>
              <w:p w14:paraId="6417D4B0" w14:textId="77777777" w:rsidR="007E7472" w:rsidRDefault="00EC1269">
                <w:pPr>
                  <w:jc w:val="right"/>
                </w:pPr>
                <w:r>
                  <w:t>75</w:t>
                </w:r>
              </w:p>
            </w:tc>
            <w:tc>
              <w:tcPr>
                <w:tcW w:w="412" w:type="pct"/>
                <w:shd w:val="clear" w:color="auto" w:fill="auto"/>
                <w:vAlign w:val="center"/>
              </w:tcPr>
              <w:p w14:paraId="014745B9" w14:textId="77777777" w:rsidR="007E7472" w:rsidRDefault="00EC1269">
                <w:pPr>
                  <w:jc w:val="right"/>
                </w:pPr>
                <w:r>
                  <w:t>12,74</w:t>
                </w:r>
                <w:r>
                  <w:rPr>
                    <w:rFonts w:hint="eastAsia"/>
                  </w:rPr>
                  <w:t>8</w:t>
                </w:r>
              </w:p>
            </w:tc>
            <w:tc>
              <w:tcPr>
                <w:tcW w:w="430" w:type="pct"/>
                <w:shd w:val="clear" w:color="auto" w:fill="auto"/>
                <w:vAlign w:val="center"/>
              </w:tcPr>
              <w:p w14:paraId="264A7F42" w14:textId="77777777" w:rsidR="007E7472" w:rsidRDefault="00C8327E">
                <w:pPr>
                  <w:jc w:val="right"/>
                </w:pPr>
              </w:p>
            </w:tc>
            <w:tc>
              <w:tcPr>
                <w:tcW w:w="448" w:type="pct"/>
                <w:shd w:val="clear" w:color="auto" w:fill="auto"/>
                <w:vAlign w:val="center"/>
              </w:tcPr>
              <w:p w14:paraId="1300D189" w14:textId="77777777" w:rsidR="007E7472" w:rsidRDefault="00EC1269">
                <w:pPr>
                  <w:jc w:val="right"/>
                </w:pPr>
                <w:r>
                  <w:t>3,471</w:t>
                </w:r>
              </w:p>
            </w:tc>
            <w:tc>
              <w:tcPr>
                <w:tcW w:w="437" w:type="pct"/>
                <w:shd w:val="clear" w:color="auto" w:fill="auto"/>
                <w:vAlign w:val="center"/>
              </w:tcPr>
              <w:p w14:paraId="2173297C" w14:textId="77777777" w:rsidR="007E7472" w:rsidRDefault="00C8327E">
                <w:pPr>
                  <w:jc w:val="right"/>
                </w:pPr>
              </w:p>
            </w:tc>
            <w:tc>
              <w:tcPr>
                <w:tcW w:w="463" w:type="pct"/>
                <w:shd w:val="clear" w:color="auto" w:fill="auto"/>
                <w:vAlign w:val="center"/>
              </w:tcPr>
              <w:p w14:paraId="5A0B386C" w14:textId="77777777" w:rsidR="007E7472" w:rsidRDefault="00C8327E">
                <w:pPr>
                  <w:jc w:val="right"/>
                </w:pPr>
              </w:p>
            </w:tc>
            <w:tc>
              <w:tcPr>
                <w:tcW w:w="609" w:type="pct"/>
                <w:shd w:val="clear" w:color="auto" w:fill="auto"/>
                <w:vAlign w:val="center"/>
              </w:tcPr>
              <w:p w14:paraId="7B807C88" w14:textId="77777777" w:rsidR="007E7472" w:rsidRDefault="00EC1269">
                <w:pPr>
                  <w:jc w:val="right"/>
                </w:pPr>
                <w:r>
                  <w:t>16,29</w:t>
                </w:r>
                <w:r>
                  <w:rPr>
                    <w:rFonts w:hint="eastAsia"/>
                  </w:rPr>
                  <w:t>4</w:t>
                </w:r>
              </w:p>
            </w:tc>
          </w:tr>
          <w:tr w:rsidR="007E7472" w14:paraId="595562B1" w14:textId="77777777" w:rsidTr="007E7472">
            <w:sdt>
              <w:sdtPr>
                <w:tag w:val="_PLD_a3e5577c50494e858eeb7a95a5b17653"/>
                <w:id w:val="788165552"/>
                <w:lock w:val="sdtLocked"/>
              </w:sdtPr>
              <w:sdtEndPr/>
              <w:sdtContent>
                <w:tc>
                  <w:tcPr>
                    <w:tcW w:w="1124" w:type="pct"/>
                    <w:shd w:val="clear" w:color="auto" w:fill="auto"/>
                    <w:vAlign w:val="center"/>
                  </w:tcPr>
                  <w:p w14:paraId="4145F4EF" w14:textId="77777777" w:rsidR="007E7472" w:rsidRDefault="00EC1269">
                    <w:pPr>
                      <w:ind w:firstLineChars="200" w:firstLine="420"/>
                    </w:pPr>
                    <w:r>
                      <w:t>5</w:t>
                    </w:r>
                    <w:r>
                      <w:rPr>
                        <w:rFonts w:hint="eastAsia"/>
                      </w:rPr>
                      <w:t>.期末余额</w:t>
                    </w:r>
                  </w:p>
                </w:tc>
              </w:sdtContent>
            </w:sdt>
            <w:tc>
              <w:tcPr>
                <w:tcW w:w="573" w:type="pct"/>
                <w:shd w:val="clear" w:color="auto" w:fill="auto"/>
                <w:vAlign w:val="center"/>
              </w:tcPr>
              <w:p w14:paraId="33D25615" w14:textId="77777777" w:rsidR="007E7472" w:rsidRDefault="00C8327E">
                <w:pPr>
                  <w:jc w:val="right"/>
                </w:pPr>
              </w:p>
            </w:tc>
            <w:tc>
              <w:tcPr>
                <w:tcW w:w="498" w:type="pct"/>
                <w:shd w:val="clear" w:color="auto" w:fill="auto"/>
                <w:vAlign w:val="center"/>
              </w:tcPr>
              <w:p w14:paraId="273D34A1" w14:textId="77777777" w:rsidR="007E7472" w:rsidRDefault="00EC1269">
                <w:pPr>
                  <w:jc w:val="right"/>
                </w:pPr>
                <w:r>
                  <w:t>3,934</w:t>
                </w:r>
              </w:p>
            </w:tc>
            <w:tc>
              <w:tcPr>
                <w:tcW w:w="412" w:type="pct"/>
                <w:shd w:val="clear" w:color="auto" w:fill="auto"/>
                <w:vAlign w:val="center"/>
              </w:tcPr>
              <w:p w14:paraId="7218C586" w14:textId="77777777" w:rsidR="007E7472" w:rsidRDefault="00EC1269">
                <w:pPr>
                  <w:jc w:val="right"/>
                </w:pPr>
                <w:r>
                  <w:t>708,003</w:t>
                </w:r>
              </w:p>
            </w:tc>
            <w:tc>
              <w:tcPr>
                <w:tcW w:w="430" w:type="pct"/>
                <w:shd w:val="clear" w:color="auto" w:fill="auto"/>
                <w:vAlign w:val="center"/>
              </w:tcPr>
              <w:p w14:paraId="3B5E98FF" w14:textId="77777777" w:rsidR="007E7472" w:rsidRDefault="00C8327E">
                <w:pPr>
                  <w:jc w:val="right"/>
                </w:pPr>
              </w:p>
            </w:tc>
            <w:tc>
              <w:tcPr>
                <w:tcW w:w="448" w:type="pct"/>
                <w:shd w:val="clear" w:color="auto" w:fill="auto"/>
                <w:vAlign w:val="center"/>
              </w:tcPr>
              <w:p w14:paraId="37203718" w14:textId="77777777" w:rsidR="007E7472" w:rsidRDefault="00EC1269">
                <w:pPr>
                  <w:jc w:val="right"/>
                </w:pPr>
                <w:r>
                  <w:t>230,066</w:t>
                </w:r>
              </w:p>
            </w:tc>
            <w:tc>
              <w:tcPr>
                <w:tcW w:w="437" w:type="pct"/>
                <w:shd w:val="clear" w:color="auto" w:fill="auto"/>
                <w:vAlign w:val="center"/>
              </w:tcPr>
              <w:p w14:paraId="69EE5FFE" w14:textId="77777777" w:rsidR="007E7472" w:rsidRDefault="00EC1269">
                <w:pPr>
                  <w:jc w:val="right"/>
                </w:pPr>
                <w:r>
                  <w:t>954</w:t>
                </w:r>
              </w:p>
            </w:tc>
            <w:tc>
              <w:tcPr>
                <w:tcW w:w="463" w:type="pct"/>
                <w:shd w:val="clear" w:color="auto" w:fill="auto"/>
                <w:vAlign w:val="center"/>
              </w:tcPr>
              <w:p w14:paraId="78E59007" w14:textId="77777777" w:rsidR="007E7472" w:rsidRDefault="00EC1269">
                <w:pPr>
                  <w:jc w:val="right"/>
                </w:pPr>
                <w:r>
                  <w:t>3,164</w:t>
                </w:r>
              </w:p>
            </w:tc>
            <w:tc>
              <w:tcPr>
                <w:tcW w:w="609" w:type="pct"/>
                <w:shd w:val="clear" w:color="auto" w:fill="auto"/>
                <w:vAlign w:val="center"/>
              </w:tcPr>
              <w:p w14:paraId="19D346F2" w14:textId="77777777" w:rsidR="007E7472" w:rsidRDefault="00EC1269">
                <w:pPr>
                  <w:jc w:val="right"/>
                </w:pPr>
                <w:r>
                  <w:t>946,121</w:t>
                </w:r>
              </w:p>
            </w:tc>
          </w:tr>
          <w:tr w:rsidR="007E7472" w14:paraId="1D711854" w14:textId="77777777" w:rsidTr="007E7472">
            <w:sdt>
              <w:sdtPr>
                <w:tag w:val="_PLD_bea29c32f5204124a483fa6e274ca7df"/>
                <w:id w:val="-1927648453"/>
                <w:lock w:val="sdtLocked"/>
              </w:sdtPr>
              <w:sdtEndPr/>
              <w:sdtContent>
                <w:tc>
                  <w:tcPr>
                    <w:tcW w:w="5000" w:type="pct"/>
                    <w:gridSpan w:val="9"/>
                    <w:shd w:val="clear" w:color="auto" w:fill="auto"/>
                    <w:vAlign w:val="center"/>
                  </w:tcPr>
                  <w:p w14:paraId="3BB803A8" w14:textId="77777777" w:rsidR="007E7472" w:rsidRDefault="00EC1269">
                    <w:r>
                      <w:rPr>
                        <w:rFonts w:hint="eastAsia"/>
                      </w:rPr>
                      <w:t>四、账面价值</w:t>
                    </w:r>
                  </w:p>
                </w:tc>
              </w:sdtContent>
            </w:sdt>
          </w:tr>
          <w:tr w:rsidR="007E7472" w14:paraId="1FF37DD9" w14:textId="77777777" w:rsidTr="007E7472">
            <w:sdt>
              <w:sdtPr>
                <w:tag w:val="_PLD_0cb15efd736e4fb48f835ee67e79495e"/>
                <w:id w:val="515666705"/>
                <w:lock w:val="sdtLocked"/>
              </w:sdtPr>
              <w:sdtEndPr/>
              <w:sdtContent>
                <w:tc>
                  <w:tcPr>
                    <w:tcW w:w="1124" w:type="pct"/>
                    <w:shd w:val="clear" w:color="auto" w:fill="auto"/>
                    <w:vAlign w:val="center"/>
                  </w:tcPr>
                  <w:p w14:paraId="16BF0F42" w14:textId="77777777" w:rsidR="007E7472" w:rsidRDefault="00EC1269">
                    <w:pPr>
                      <w:ind w:firstLineChars="200" w:firstLine="420"/>
                    </w:pPr>
                    <w:r>
                      <w:rPr>
                        <w:rFonts w:hint="eastAsia"/>
                      </w:rPr>
                      <w:t>1.期末账面价值</w:t>
                    </w:r>
                  </w:p>
                </w:tc>
              </w:sdtContent>
            </w:sdt>
            <w:tc>
              <w:tcPr>
                <w:tcW w:w="573" w:type="pct"/>
                <w:shd w:val="clear" w:color="auto" w:fill="auto"/>
                <w:vAlign w:val="center"/>
              </w:tcPr>
              <w:p w14:paraId="3AB9080E" w14:textId="77777777" w:rsidR="007E7472" w:rsidRDefault="00EC1269">
                <w:pPr>
                  <w:jc w:val="right"/>
                  <w:rPr>
                    <w:bCs/>
                    <w:sz w:val="24"/>
                    <w:szCs w:val="24"/>
                  </w:rPr>
                </w:pPr>
                <w:r>
                  <w:t>1,469,363</w:t>
                </w:r>
              </w:p>
            </w:tc>
            <w:tc>
              <w:tcPr>
                <w:tcW w:w="498" w:type="pct"/>
                <w:shd w:val="clear" w:color="auto" w:fill="auto"/>
                <w:vAlign w:val="center"/>
              </w:tcPr>
              <w:p w14:paraId="6776D9F3" w14:textId="77777777" w:rsidR="007E7472" w:rsidRDefault="00EC1269">
                <w:pPr>
                  <w:jc w:val="right"/>
                </w:pPr>
                <w:r>
                  <w:t>8,273,482</w:t>
                </w:r>
              </w:p>
            </w:tc>
            <w:tc>
              <w:tcPr>
                <w:tcW w:w="412" w:type="pct"/>
                <w:shd w:val="clear" w:color="auto" w:fill="auto"/>
                <w:vAlign w:val="center"/>
              </w:tcPr>
              <w:p w14:paraId="55942973" w14:textId="77777777" w:rsidR="007E7472" w:rsidRDefault="00EC1269">
                <w:pPr>
                  <w:jc w:val="right"/>
                </w:pPr>
                <w:r>
                  <w:t>18,193,612</w:t>
                </w:r>
              </w:p>
            </w:tc>
            <w:tc>
              <w:tcPr>
                <w:tcW w:w="430" w:type="pct"/>
                <w:shd w:val="clear" w:color="auto" w:fill="auto"/>
                <w:vAlign w:val="center"/>
              </w:tcPr>
              <w:p w14:paraId="30070961" w14:textId="77777777" w:rsidR="007E7472" w:rsidRDefault="00EC1269">
                <w:pPr>
                  <w:jc w:val="right"/>
                </w:pPr>
                <w:r>
                  <w:t>10,330,544</w:t>
                </w:r>
              </w:p>
            </w:tc>
            <w:tc>
              <w:tcPr>
                <w:tcW w:w="448" w:type="pct"/>
                <w:shd w:val="clear" w:color="auto" w:fill="auto"/>
                <w:vAlign w:val="center"/>
              </w:tcPr>
              <w:p w14:paraId="18FF9799" w14:textId="77777777" w:rsidR="007E7472" w:rsidRDefault="00EC1269">
                <w:pPr>
                  <w:jc w:val="right"/>
                </w:pPr>
                <w:r>
                  <w:t>39,942,732</w:t>
                </w:r>
              </w:p>
            </w:tc>
            <w:tc>
              <w:tcPr>
                <w:tcW w:w="437" w:type="pct"/>
                <w:shd w:val="clear" w:color="auto" w:fill="auto"/>
                <w:vAlign w:val="center"/>
              </w:tcPr>
              <w:p w14:paraId="20677564" w14:textId="77777777" w:rsidR="007E7472" w:rsidRDefault="00EC1269">
                <w:pPr>
                  <w:jc w:val="right"/>
                </w:pPr>
                <w:r>
                  <w:t>805,553</w:t>
                </w:r>
              </w:p>
            </w:tc>
            <w:tc>
              <w:tcPr>
                <w:tcW w:w="463" w:type="pct"/>
                <w:shd w:val="clear" w:color="auto" w:fill="auto"/>
                <w:vAlign w:val="center"/>
              </w:tcPr>
              <w:p w14:paraId="3C0F48A2" w14:textId="77777777" w:rsidR="007E7472" w:rsidRDefault="00EC1269">
                <w:pPr>
                  <w:jc w:val="right"/>
                </w:pPr>
                <w:r>
                  <w:t>1,757,079</w:t>
                </w:r>
              </w:p>
            </w:tc>
            <w:tc>
              <w:tcPr>
                <w:tcW w:w="609" w:type="pct"/>
                <w:shd w:val="clear" w:color="auto" w:fill="auto"/>
                <w:vAlign w:val="center"/>
              </w:tcPr>
              <w:p w14:paraId="31623762" w14:textId="77777777" w:rsidR="007E7472" w:rsidRDefault="00EC1269">
                <w:pPr>
                  <w:jc w:val="right"/>
                </w:pPr>
                <w:r>
                  <w:t>80,772,365</w:t>
                </w:r>
              </w:p>
            </w:tc>
          </w:tr>
          <w:tr w:rsidR="007E7472" w14:paraId="0EAD47A6" w14:textId="77777777" w:rsidTr="007E7472">
            <w:sdt>
              <w:sdtPr>
                <w:tag w:val="_PLD_0a70238af5ae41dda386e3180cb5ac13"/>
                <w:id w:val="-1483305461"/>
                <w:lock w:val="sdtLocked"/>
              </w:sdtPr>
              <w:sdtEndPr/>
              <w:sdtContent>
                <w:tc>
                  <w:tcPr>
                    <w:tcW w:w="1124" w:type="pct"/>
                    <w:shd w:val="clear" w:color="auto" w:fill="auto"/>
                    <w:vAlign w:val="center"/>
                  </w:tcPr>
                  <w:p w14:paraId="5B2FC01A" w14:textId="77777777" w:rsidR="007E7472" w:rsidRDefault="00EC1269">
                    <w:pPr>
                      <w:ind w:firstLineChars="200" w:firstLine="420"/>
                    </w:pPr>
                    <w:r>
                      <w:rPr>
                        <w:rFonts w:hint="eastAsia"/>
                      </w:rPr>
                      <w:t>2.期初账面价值</w:t>
                    </w:r>
                  </w:p>
                </w:tc>
              </w:sdtContent>
            </w:sdt>
            <w:tc>
              <w:tcPr>
                <w:tcW w:w="573" w:type="pct"/>
                <w:shd w:val="clear" w:color="auto" w:fill="auto"/>
                <w:vAlign w:val="center"/>
              </w:tcPr>
              <w:p w14:paraId="51E99038" w14:textId="77777777" w:rsidR="007E7472" w:rsidRDefault="00EC1269">
                <w:pPr>
                  <w:jc w:val="right"/>
                </w:pPr>
                <w:r>
                  <w:t>1,442,079</w:t>
                </w:r>
              </w:p>
            </w:tc>
            <w:tc>
              <w:tcPr>
                <w:tcW w:w="498" w:type="pct"/>
                <w:shd w:val="clear" w:color="auto" w:fill="auto"/>
                <w:vAlign w:val="center"/>
              </w:tcPr>
              <w:p w14:paraId="084E87F8" w14:textId="77777777" w:rsidR="007E7472" w:rsidRDefault="00EC1269">
                <w:pPr>
                  <w:jc w:val="right"/>
                </w:pPr>
                <w:r>
                  <w:t>8,165,765</w:t>
                </w:r>
              </w:p>
            </w:tc>
            <w:tc>
              <w:tcPr>
                <w:tcW w:w="412" w:type="pct"/>
                <w:shd w:val="clear" w:color="auto" w:fill="auto"/>
                <w:vAlign w:val="center"/>
              </w:tcPr>
              <w:p w14:paraId="47C2DD7B" w14:textId="77777777" w:rsidR="007E7472" w:rsidRDefault="00EC1269">
                <w:pPr>
                  <w:jc w:val="right"/>
                </w:pPr>
                <w:r>
                  <w:t>18,475,47</w:t>
                </w:r>
                <w:r>
                  <w:rPr>
                    <w:rFonts w:hint="eastAsia"/>
                  </w:rPr>
                  <w:t>5</w:t>
                </w:r>
              </w:p>
            </w:tc>
            <w:tc>
              <w:tcPr>
                <w:tcW w:w="430" w:type="pct"/>
                <w:shd w:val="clear" w:color="auto" w:fill="auto"/>
                <w:vAlign w:val="center"/>
              </w:tcPr>
              <w:p w14:paraId="19B78DDB" w14:textId="77777777" w:rsidR="007E7472" w:rsidRDefault="00EC1269">
                <w:pPr>
                  <w:jc w:val="right"/>
                </w:pPr>
                <w:r>
                  <w:t>10,450,979</w:t>
                </w:r>
              </w:p>
            </w:tc>
            <w:tc>
              <w:tcPr>
                <w:tcW w:w="448" w:type="pct"/>
                <w:shd w:val="clear" w:color="auto" w:fill="auto"/>
                <w:vAlign w:val="center"/>
              </w:tcPr>
              <w:p w14:paraId="31C9B9B1" w14:textId="77777777" w:rsidR="007E7472" w:rsidRDefault="00EC1269">
                <w:pPr>
                  <w:jc w:val="right"/>
                </w:pPr>
                <w:r>
                  <w:t>39,471,442</w:t>
                </w:r>
              </w:p>
            </w:tc>
            <w:tc>
              <w:tcPr>
                <w:tcW w:w="437" w:type="pct"/>
                <w:shd w:val="clear" w:color="auto" w:fill="auto"/>
                <w:vAlign w:val="center"/>
              </w:tcPr>
              <w:p w14:paraId="22E57872" w14:textId="77777777" w:rsidR="007E7472" w:rsidRDefault="00EC1269">
                <w:pPr>
                  <w:jc w:val="right"/>
                </w:pPr>
                <w:r>
                  <w:t>887,838</w:t>
                </w:r>
              </w:p>
            </w:tc>
            <w:tc>
              <w:tcPr>
                <w:tcW w:w="463" w:type="pct"/>
                <w:shd w:val="clear" w:color="auto" w:fill="auto"/>
                <w:vAlign w:val="center"/>
              </w:tcPr>
              <w:p w14:paraId="584A6948" w14:textId="77777777" w:rsidR="007E7472" w:rsidRDefault="00EC1269">
                <w:pPr>
                  <w:jc w:val="right"/>
                </w:pPr>
                <w:r>
                  <w:t>4,068,1</w:t>
                </w:r>
                <w:r>
                  <w:rPr>
                    <w:rFonts w:hint="eastAsia"/>
                  </w:rPr>
                  <w:t>40</w:t>
                </w:r>
              </w:p>
            </w:tc>
            <w:tc>
              <w:tcPr>
                <w:tcW w:w="609" w:type="pct"/>
                <w:shd w:val="clear" w:color="auto" w:fill="auto"/>
                <w:vAlign w:val="center"/>
              </w:tcPr>
              <w:p w14:paraId="39B5CE04" w14:textId="77777777" w:rsidR="007E7472" w:rsidRDefault="00EC1269">
                <w:pPr>
                  <w:jc w:val="right"/>
                </w:pPr>
                <w:r>
                  <w:t>82,961,71</w:t>
                </w:r>
                <w:r>
                  <w:rPr>
                    <w:rFonts w:hint="eastAsia"/>
                  </w:rPr>
                  <w:t>8</w:t>
                </w:r>
              </w:p>
            </w:tc>
          </w:tr>
        </w:tbl>
        <w:p w14:paraId="28A256C4" w14:textId="77777777" w:rsidR="007E7472" w:rsidRDefault="00EC1269">
          <w:pPr>
            <w:spacing w:beforeLines="50" w:before="120" w:afterLines="50" w:after="120" w:line="360" w:lineRule="exact"/>
            <w:ind w:firstLineChars="200" w:firstLine="420"/>
            <w:jc w:val="both"/>
            <w:rPr>
              <w:color w:val="000000"/>
            </w:rPr>
          </w:pPr>
          <w:r>
            <w:rPr>
              <w:rFonts w:hint="eastAsia"/>
              <w:color w:val="000000"/>
            </w:rPr>
            <w:t>注：土地类固定资产系本公司之子公司澳洲公司拥有的永久性土地使用权，因此无需计提折旧。</w:t>
          </w:r>
        </w:p>
        <w:p w14:paraId="76E75E2A" w14:textId="77777777" w:rsidR="007E7472" w:rsidRDefault="00C8327E">
          <w:pPr>
            <w:sectPr w:rsidR="007E7472">
              <w:pgSz w:w="16838" w:h="11906" w:orient="landscape"/>
              <w:pgMar w:top="1276" w:right="1440" w:bottom="1797" w:left="1525" w:header="856" w:footer="992" w:gutter="0"/>
              <w:cols w:space="425"/>
              <w:docGrid w:linePitch="312"/>
            </w:sectPr>
          </w:pPr>
        </w:p>
        <w:p w14:paraId="25145D9B" w14:textId="77777777" w:rsidR="007E7472" w:rsidRDefault="00C8327E"/>
      </w:sdtContent>
    </w:sdt>
    <w:sdt>
      <w:sdtPr>
        <w:rPr>
          <w:rFonts w:ascii="宋体" w:hAnsi="宋体" w:cs="宋体" w:hint="eastAsia"/>
          <w:b w:val="0"/>
          <w:bCs w:val="0"/>
          <w:kern w:val="0"/>
          <w:sz w:val="20"/>
          <w:szCs w:val="21"/>
        </w:rPr>
        <w:alias w:val="模块:暂时闲置的固定资产情况"/>
        <w:tag w:val="_GBC_77e89169b7ab4fccae8cff3d8a125711"/>
        <w:id w:val="1736045249"/>
        <w:lock w:val="sdtLocked"/>
        <w:placeholder>
          <w:docPart w:val="GBC22222222222222222222222222222"/>
        </w:placeholder>
      </w:sdtPr>
      <w:sdtEndPr>
        <w:rPr>
          <w:rFonts w:hint="default"/>
        </w:rPr>
      </w:sdtEndPr>
      <w:sdtContent>
        <w:p w14:paraId="1957CFF7" w14:textId="77777777" w:rsidR="007E7472" w:rsidRDefault="00EC1269" w:rsidP="00162493">
          <w:pPr>
            <w:pStyle w:val="4"/>
            <w:numPr>
              <w:ilvl w:val="0"/>
              <w:numId w:val="74"/>
            </w:numPr>
          </w:pPr>
          <w:r>
            <w:rPr>
              <w:rFonts w:hint="eastAsia"/>
            </w:rPr>
            <w:t>暂时闲置的固定资产情况</w:t>
          </w:r>
        </w:p>
        <w:sdt>
          <w:sdtPr>
            <w:alias w:val="是否适用：暂时闲置的固定资产情况[双击切换]"/>
            <w:tag w:val="_GBC_ca31f29118c7481f95f99a2655f8c1e1"/>
            <w:id w:val="1803498451"/>
            <w:lock w:val="sdtLocked"/>
            <w:placeholder>
              <w:docPart w:val="GBC22222222222222222222222222222"/>
            </w:placeholder>
          </w:sdtPr>
          <w:sdtEndPr/>
          <w:sdtContent>
            <w:p w14:paraId="58D1E33D"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sdt>
      <w:sdtPr>
        <w:rPr>
          <w:rFonts w:ascii="宋体" w:hAnsi="宋体" w:cs="宋体" w:hint="eastAsia"/>
          <w:b w:val="0"/>
          <w:bCs w:val="0"/>
          <w:kern w:val="0"/>
          <w:sz w:val="20"/>
          <w:szCs w:val="21"/>
        </w:rPr>
        <w:alias w:val="模块:通过融资租赁租入的固定资产情况"/>
        <w:tag w:val="_GBC_f8dc7bf0df9345f6a1581560999dd4d8"/>
        <w:id w:val="-461958130"/>
        <w:lock w:val="sdtLocked"/>
        <w:placeholder>
          <w:docPart w:val="GBC22222222222222222222222222222"/>
        </w:placeholder>
      </w:sdtPr>
      <w:sdtEndPr>
        <w:rPr>
          <w:rFonts w:hint="default"/>
        </w:rPr>
      </w:sdtEndPr>
      <w:sdtContent>
        <w:p w14:paraId="070770F5" w14:textId="77777777" w:rsidR="007E7472" w:rsidRDefault="00EC1269" w:rsidP="00162493">
          <w:pPr>
            <w:pStyle w:val="4"/>
            <w:numPr>
              <w:ilvl w:val="0"/>
              <w:numId w:val="74"/>
            </w:numPr>
          </w:pPr>
          <w:r>
            <w:rPr>
              <w:rFonts w:hint="eastAsia"/>
            </w:rPr>
            <w:t>通过融资租赁租入的固定资产情况</w:t>
          </w:r>
        </w:p>
        <w:sdt>
          <w:sdtPr>
            <w:alias w:val="是否适用：通过融资租赁租入的固定资产情况[双击切换]"/>
            <w:tag w:val="_GBC_17a138c76e604d1b9b48d7c64e72801d"/>
            <w:id w:val="1230657366"/>
            <w:lock w:val="sdtLocked"/>
            <w:placeholder>
              <w:docPart w:val="GBC22222222222222222222222222222"/>
            </w:placeholder>
          </w:sdtPr>
          <w:sdtEndPr/>
          <w:sdtContent>
            <w:p w14:paraId="643613C7" w14:textId="2A863F3F"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sdt>
      <w:sdtPr>
        <w:rPr>
          <w:rFonts w:ascii="宋体" w:hAnsi="宋体" w:cs="宋体" w:hint="eastAsia"/>
          <w:b w:val="0"/>
          <w:bCs w:val="0"/>
          <w:kern w:val="0"/>
          <w:szCs w:val="21"/>
        </w:rPr>
        <w:alias w:val="模块:通过经营租赁租出的固定资产"/>
        <w:tag w:val="_GBC_06e38c241c8a43a99fdd68c92888bab1"/>
        <w:id w:val="1552413758"/>
        <w:lock w:val="sdtLocked"/>
        <w:placeholder>
          <w:docPart w:val="GBC22222222222222222222222222222"/>
        </w:placeholder>
      </w:sdtPr>
      <w:sdtEndPr>
        <w:rPr>
          <w:rFonts w:hint="default"/>
          <w:color w:val="FF0000"/>
        </w:rPr>
      </w:sdtEndPr>
      <w:sdtContent>
        <w:p w14:paraId="09A199A8" w14:textId="77777777" w:rsidR="007E7472" w:rsidRDefault="00EC1269" w:rsidP="00162493">
          <w:pPr>
            <w:pStyle w:val="4"/>
            <w:numPr>
              <w:ilvl w:val="0"/>
              <w:numId w:val="74"/>
            </w:numPr>
          </w:pPr>
          <w:r>
            <w:rPr>
              <w:rFonts w:hint="eastAsia"/>
            </w:rPr>
            <w:t>通过经营租赁租出的固定资产</w:t>
          </w:r>
        </w:p>
        <w:sdt>
          <w:sdtPr>
            <w:alias w:val="是否适用：通过经营租赁租出的固定资产[双击切换]"/>
            <w:tag w:val="_GBC_251e1c74f40b47869d759974b0f6a463"/>
            <w:id w:val="-1460416950"/>
            <w:lock w:val="sdtLocked"/>
            <w:placeholder>
              <w:docPart w:val="GBC22222222222222222222222222222"/>
            </w:placeholder>
          </w:sdtPr>
          <w:sdtEndPr/>
          <w:sdtContent>
            <w:p w14:paraId="199D290F" w14:textId="7B350EB4" w:rsidR="007E7472" w:rsidRPr="00EA651B"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sdt>
      <w:sdtPr>
        <w:rPr>
          <w:rFonts w:ascii="宋体" w:hAnsi="宋体" w:cs="宋体" w:hint="eastAsia"/>
          <w:b w:val="0"/>
          <w:bCs w:val="0"/>
          <w:kern w:val="0"/>
          <w:sz w:val="20"/>
          <w:szCs w:val="21"/>
        </w:rPr>
        <w:alias w:val="模块:未办妥产权证书的固定资产情况"/>
        <w:tag w:val="_GBC_5b357259936442c38f67f17b533c7085"/>
        <w:id w:val="-505587358"/>
        <w:lock w:val="sdtLocked"/>
        <w:placeholder>
          <w:docPart w:val="GBC22222222222222222222222222222"/>
        </w:placeholder>
      </w:sdtPr>
      <w:sdtEndPr>
        <w:rPr>
          <w:rFonts w:hint="default"/>
        </w:rPr>
      </w:sdtEndPr>
      <w:sdtContent>
        <w:p w14:paraId="3D3CECE8" w14:textId="77777777" w:rsidR="007E7472" w:rsidRDefault="00EC1269" w:rsidP="00162493">
          <w:pPr>
            <w:pStyle w:val="4"/>
            <w:numPr>
              <w:ilvl w:val="0"/>
              <w:numId w:val="74"/>
            </w:numPr>
          </w:pPr>
          <w:r>
            <w:rPr>
              <w:rFonts w:hint="eastAsia"/>
            </w:rPr>
            <w:t>未办妥产权证书的固定资产情况</w:t>
          </w:r>
        </w:p>
        <w:sdt>
          <w:sdtPr>
            <w:alias w:val="是否适用：未办妥产权证书的固定资产情况[双击切换]"/>
            <w:tag w:val="_GBC_a26aa363313e4c8fbedf9041cd41bfc9"/>
            <w:id w:val="1611627412"/>
            <w:lock w:val="sdtLocked"/>
            <w:placeholder>
              <w:docPart w:val="GBC22222222222222222222222222222"/>
            </w:placeholder>
          </w:sdtPr>
          <w:sdtEndPr/>
          <w:sdtContent>
            <w:p w14:paraId="65594C8E"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2DDAE058" w14:textId="1FB7A66C" w:rsidR="007E7472" w:rsidRDefault="00EC1269">
          <w:pPr>
            <w:jc w:val="right"/>
          </w:pPr>
          <w:r>
            <w:rPr>
              <w:rFonts w:hint="eastAsia"/>
            </w:rPr>
            <w:t>单位：</w:t>
          </w:r>
          <w:sdt>
            <w:sdtPr>
              <w:rPr>
                <w:rFonts w:hint="eastAsia"/>
              </w:rPr>
              <w:alias w:val="单位：财务附注：未办妥产权证书的固定资产情况"/>
              <w:tag w:val="_GBC_b7780eb99c5c47be9731dc6ebe1dea77"/>
              <w:id w:val="95798761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未办妥产权证书的固定资产情况"/>
              <w:tag w:val="_GBC_07d37ddbabe745a3b375a7706f9047dc"/>
              <w:id w:val="20421595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2966"/>
            <w:gridCol w:w="2982"/>
          </w:tblGrid>
          <w:tr w:rsidR="007E7472" w14:paraId="3F07D9A3" w14:textId="77777777" w:rsidTr="007E7472">
            <w:trPr>
              <w:trHeight w:val="340"/>
            </w:trPr>
            <w:sdt>
              <w:sdtPr>
                <w:tag w:val="_PLD_1347e8d2222c4d13aa7c3569cd05e439"/>
                <w:id w:val="-345170272"/>
                <w:lock w:val="sdtLocked"/>
              </w:sdtPr>
              <w:sdtEndPr/>
              <w:sdtContent>
                <w:tc>
                  <w:tcPr>
                    <w:tcW w:w="1629" w:type="pct"/>
                    <w:vAlign w:val="center"/>
                  </w:tcPr>
                  <w:p w14:paraId="40DD5401" w14:textId="77777777" w:rsidR="007E7472" w:rsidRDefault="00EC1269">
                    <w:pPr>
                      <w:jc w:val="center"/>
                    </w:pPr>
                    <w:r>
                      <w:rPr>
                        <w:rFonts w:hint="eastAsia"/>
                      </w:rPr>
                      <w:t>项目</w:t>
                    </w:r>
                  </w:p>
                </w:tc>
              </w:sdtContent>
            </w:sdt>
            <w:sdt>
              <w:sdtPr>
                <w:tag w:val="_PLD_e14c4b6f9d874d4c86e835843a896497"/>
                <w:id w:val="614180822"/>
                <w:lock w:val="sdtLocked"/>
              </w:sdtPr>
              <w:sdtEndPr/>
              <w:sdtContent>
                <w:tc>
                  <w:tcPr>
                    <w:tcW w:w="1681" w:type="pct"/>
                    <w:vAlign w:val="center"/>
                  </w:tcPr>
                  <w:p w14:paraId="05EC8182" w14:textId="77777777" w:rsidR="007E7472" w:rsidRDefault="00EC1269">
                    <w:pPr>
                      <w:jc w:val="center"/>
                    </w:pPr>
                    <w:r>
                      <w:rPr>
                        <w:rFonts w:hint="eastAsia"/>
                      </w:rPr>
                      <w:t>账面价值</w:t>
                    </w:r>
                  </w:p>
                </w:tc>
              </w:sdtContent>
            </w:sdt>
            <w:sdt>
              <w:sdtPr>
                <w:tag w:val="_PLD_0735ea1c6b5c4a2395fde5f63b614530"/>
                <w:id w:val="579327447"/>
                <w:lock w:val="sdtLocked"/>
              </w:sdtPr>
              <w:sdtEndPr/>
              <w:sdtContent>
                <w:tc>
                  <w:tcPr>
                    <w:tcW w:w="1690" w:type="pct"/>
                    <w:vAlign w:val="center"/>
                  </w:tcPr>
                  <w:p w14:paraId="5D311537" w14:textId="77777777" w:rsidR="007E7472" w:rsidRDefault="00EC1269">
                    <w:pPr>
                      <w:jc w:val="center"/>
                    </w:pPr>
                    <w:r>
                      <w:rPr>
                        <w:rFonts w:hint="eastAsia"/>
                      </w:rPr>
                      <w:t>未办妥产权证书的原因</w:t>
                    </w:r>
                  </w:p>
                </w:tc>
              </w:sdtContent>
            </w:sdt>
          </w:tr>
          <w:sdt>
            <w:sdtPr>
              <w:rPr>
                <w:rFonts w:hint="eastAsia"/>
              </w:rPr>
              <w:alias w:val="未办妥产权证书的固定资产情况明细"/>
              <w:tag w:val="_GBC_197aee8b2edc4ea19721e86529111007"/>
              <w:id w:val="-162402612"/>
              <w:lock w:val="sdtLocked"/>
            </w:sdtPr>
            <w:sdtEndPr/>
            <w:sdtContent>
              <w:tr w:rsidR="007E7472" w14:paraId="3B6F2BC4" w14:textId="77777777" w:rsidTr="007E7472">
                <w:trPr>
                  <w:trHeight w:val="340"/>
                </w:trPr>
                <w:tc>
                  <w:tcPr>
                    <w:tcW w:w="1629" w:type="pct"/>
                    <w:vAlign w:val="center"/>
                  </w:tcPr>
                  <w:p w14:paraId="2B352951" w14:textId="77777777" w:rsidR="007E7472" w:rsidRDefault="00EC1269">
                    <w:r>
                      <w:t>房屋建筑物</w:t>
                    </w:r>
                  </w:p>
                </w:tc>
                <w:tc>
                  <w:tcPr>
                    <w:tcW w:w="1681" w:type="pct"/>
                    <w:vAlign w:val="center"/>
                  </w:tcPr>
                  <w:p w14:paraId="317EDFDE" w14:textId="77777777" w:rsidR="007E7472" w:rsidRDefault="00EC1269">
                    <w:pPr>
                      <w:jc w:val="right"/>
                      <w:rPr>
                        <w:bCs/>
                      </w:rPr>
                    </w:pPr>
                    <w:r>
                      <w:rPr>
                        <w:rFonts w:hint="eastAsia"/>
                        <w:bCs/>
                      </w:rPr>
                      <w:t>1,918,590</w:t>
                    </w:r>
                  </w:p>
                </w:tc>
                <w:tc>
                  <w:tcPr>
                    <w:tcW w:w="1690" w:type="pct"/>
                    <w:vAlign w:val="center"/>
                  </w:tcPr>
                  <w:p w14:paraId="6B5F2083" w14:textId="77777777" w:rsidR="007E7472" w:rsidRDefault="00EC1269">
                    <w:pPr>
                      <w:jc w:val="center"/>
                    </w:pPr>
                    <w:r>
                      <w:t>正在办理</w:t>
                    </w:r>
                  </w:p>
                </w:tc>
              </w:tr>
            </w:sdtContent>
          </w:sdt>
          <w:sdt>
            <w:sdtPr>
              <w:rPr>
                <w:rFonts w:hint="eastAsia"/>
              </w:rPr>
              <w:alias w:val="未办妥产权证书的固定资产情况明细"/>
              <w:tag w:val="_GBC_197aee8b2edc4ea19721e86529111007"/>
              <w:id w:val="1735206705"/>
              <w:lock w:val="sdtLocked"/>
            </w:sdtPr>
            <w:sdtEndPr/>
            <w:sdtContent>
              <w:tr w:rsidR="007E7472" w14:paraId="7716AC25" w14:textId="77777777" w:rsidTr="007E7472">
                <w:trPr>
                  <w:trHeight w:val="340"/>
                </w:trPr>
                <w:tc>
                  <w:tcPr>
                    <w:tcW w:w="1629" w:type="pct"/>
                    <w:vAlign w:val="center"/>
                  </w:tcPr>
                  <w:p w14:paraId="32EEC084" w14:textId="77777777" w:rsidR="007E7472" w:rsidRDefault="00EC1269">
                    <w:r>
                      <w:t>地面建筑物</w:t>
                    </w:r>
                  </w:p>
                </w:tc>
                <w:tc>
                  <w:tcPr>
                    <w:tcW w:w="1681" w:type="pct"/>
                    <w:vAlign w:val="center"/>
                  </w:tcPr>
                  <w:p w14:paraId="0C5C5848" w14:textId="77777777" w:rsidR="007E7472" w:rsidRDefault="00EC1269">
                    <w:pPr>
                      <w:jc w:val="right"/>
                    </w:pPr>
                    <w:r>
                      <w:rPr>
                        <w:rFonts w:hint="eastAsia"/>
                      </w:rPr>
                      <w:t>55,331</w:t>
                    </w:r>
                  </w:p>
                </w:tc>
                <w:tc>
                  <w:tcPr>
                    <w:tcW w:w="1690" w:type="pct"/>
                    <w:vAlign w:val="center"/>
                  </w:tcPr>
                  <w:p w14:paraId="4DB36AD8" w14:textId="77777777" w:rsidR="007E7472" w:rsidRDefault="00EC1269">
                    <w:pPr>
                      <w:jc w:val="center"/>
                    </w:pPr>
                    <w:r>
                      <w:t>正在办理</w:t>
                    </w:r>
                  </w:p>
                </w:tc>
              </w:tr>
            </w:sdtContent>
          </w:sdt>
        </w:tbl>
        <w:p w14:paraId="3BD6F2D0" w14:textId="77777777" w:rsidR="007E7472" w:rsidRDefault="00C8327E"/>
      </w:sdtContent>
    </w:sdt>
    <w:sdt>
      <w:sdtPr>
        <w:rPr>
          <w:rFonts w:hint="eastAsia"/>
        </w:rPr>
        <w:alias w:val="模块:固定资产说明"/>
        <w:tag w:val="_GBC_c93a179f84504ae59ee71556bc9afb64"/>
        <w:id w:val="-1321647444"/>
        <w:lock w:val="sdtLocked"/>
        <w:placeholder>
          <w:docPart w:val="GBC22222222222222222222222222222"/>
        </w:placeholder>
      </w:sdtPr>
      <w:sdtEndPr>
        <w:rPr>
          <w:rFonts w:hint="default"/>
        </w:rPr>
      </w:sdtEndPr>
      <w:sdtContent>
        <w:p w14:paraId="402DFAA4" w14:textId="77777777" w:rsidR="007E7472" w:rsidRDefault="00EC1269">
          <w:r>
            <w:rPr>
              <w:rFonts w:hint="eastAsia"/>
            </w:rPr>
            <w:t>其他说明：</w:t>
          </w:r>
        </w:p>
        <w:sdt>
          <w:sdtPr>
            <w:alias w:val="是否适用：固定资产的说明[双击切换]"/>
            <w:tag w:val="_GBC_e2fd7087594d4949ada40807334de5fb"/>
            <w:id w:val="1274219200"/>
            <w:lock w:val="sdtLocked"/>
            <w:placeholder>
              <w:docPart w:val="GBC22222222222222222222222222222"/>
            </w:placeholder>
          </w:sdtPr>
          <w:sdtEndPr/>
          <w:sdtContent>
            <w:p w14:paraId="3EF540B1"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p w14:paraId="61BF9B58" w14:textId="77777777" w:rsidR="007E7472" w:rsidRDefault="00C8327E">
      <w:pPr>
        <w:rPr>
          <w:color w:val="FF0000"/>
        </w:rPr>
      </w:pPr>
    </w:p>
    <w:sdt>
      <w:sdtPr>
        <w:rPr>
          <w:rFonts w:ascii="宋体" w:hAnsi="宋体" w:cs="宋体" w:hint="eastAsia"/>
          <w:b w:val="0"/>
          <w:bCs w:val="0"/>
          <w:kern w:val="0"/>
          <w:sz w:val="20"/>
          <w:szCs w:val="24"/>
        </w:rPr>
        <w:alias w:val="模块:固定资产清理"/>
        <w:tag w:val="_GBC_0de4677cdcb54eaa8c2b2afa938f1054"/>
        <w:id w:val="1581560699"/>
        <w:lock w:val="sdtLocked"/>
        <w:placeholder>
          <w:docPart w:val="GBC22222222222222222222222222222"/>
        </w:placeholder>
      </w:sdtPr>
      <w:sdtEndPr>
        <w:rPr>
          <w:szCs w:val="21"/>
        </w:rPr>
      </w:sdtEndPr>
      <w:sdtContent>
        <w:p w14:paraId="0EB75F08" w14:textId="77777777" w:rsidR="007E7472" w:rsidRDefault="00EC1269" w:rsidP="007E7472">
          <w:pPr>
            <w:pStyle w:val="4"/>
          </w:pPr>
          <w:r>
            <w:rPr>
              <w:rFonts w:hint="eastAsia"/>
            </w:rPr>
            <w:t>固定资产清理</w:t>
          </w:r>
        </w:p>
        <w:sdt>
          <w:sdtPr>
            <w:alias w:val="是否适用：固定资产清理[双击切换]"/>
            <w:tag w:val="_GBC_d005d220fbda4cd2a58ced6d0d7a1404"/>
            <w:id w:val="251781624"/>
            <w:lock w:val="sdtLocked"/>
            <w:placeholder>
              <w:docPart w:val="GBC22222222222222222222222222222"/>
            </w:placeholder>
          </w:sdtPr>
          <w:sdtEndPr>
            <w:rPr>
              <w:rFonts w:asciiTheme="minorEastAsia" w:eastAsiaTheme="minorEastAsia" w:hAnsiTheme="minorEastAsia"/>
            </w:rPr>
          </w:sdtEndPr>
          <w:sdtContent>
            <w:p w14:paraId="2BC56423" w14:textId="77777777" w:rsidR="007E7472" w:rsidRDefault="00EC1269">
              <w:pPr>
                <w:rPr>
                  <w:rFonts w:asciiTheme="minorEastAsia" w:eastAsiaTheme="minorEastAsia" w:hAnsiTheme="minorEastAsia"/>
                </w:rPr>
              </w:pP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4E9F6F53" w14:textId="77777777" w:rsidR="007E7472" w:rsidRDefault="00C8327E"/>
      </w:sdtContent>
    </w:sdt>
    <w:p w14:paraId="557EB079" w14:textId="77777777" w:rsidR="007E7472" w:rsidRDefault="00EC1269" w:rsidP="00162493">
      <w:pPr>
        <w:pStyle w:val="3"/>
        <w:numPr>
          <w:ilvl w:val="0"/>
          <w:numId w:val="62"/>
        </w:numPr>
      </w:pPr>
      <w:r>
        <w:rPr>
          <w:rFonts w:hint="eastAsia"/>
        </w:rPr>
        <w:t>在建工程</w:t>
      </w:r>
    </w:p>
    <w:bookmarkStart w:id="220" w:name="_Hlk10472757" w:displacedByCustomXml="next"/>
    <w:sdt>
      <w:sdtPr>
        <w:rPr>
          <w:rFonts w:ascii="宋体" w:hAnsi="宋体" w:cs="宋体" w:hint="eastAsia"/>
          <w:b w:val="0"/>
          <w:bCs w:val="0"/>
          <w:kern w:val="0"/>
          <w:sz w:val="20"/>
          <w:szCs w:val="24"/>
        </w:rPr>
        <w:alias w:val="模块:在建工程项目列示"/>
        <w:tag w:val="_SEC_5259769a5b954eaaa39f8ab4268be07c"/>
        <w:id w:val="-618224428"/>
        <w:lock w:val="sdtLocked"/>
        <w:placeholder>
          <w:docPart w:val="GBC22222222222222222222222222222"/>
        </w:placeholder>
      </w:sdtPr>
      <w:sdtEndPr>
        <w:rPr>
          <w:rFonts w:hint="default"/>
          <w:szCs w:val="21"/>
        </w:rPr>
      </w:sdtEndPr>
      <w:sdtContent>
        <w:p w14:paraId="7844EC51" w14:textId="77777777" w:rsidR="007E7472" w:rsidRDefault="00EC1269" w:rsidP="007E7472">
          <w:pPr>
            <w:pStyle w:val="4"/>
          </w:pPr>
          <w:r>
            <w:rPr>
              <w:rFonts w:hint="eastAsia"/>
            </w:rPr>
            <w:t>项目列示</w:t>
          </w:r>
        </w:p>
        <w:sdt>
          <w:sdtPr>
            <w:alias w:val="是否适用：在建工程分类列示[双击切换]"/>
            <w:tag w:val="_GBC_bcbd4315343844fc923825dd150041e5"/>
            <w:id w:val="-861893574"/>
            <w:lock w:val="sdtLocked"/>
            <w:placeholder>
              <w:docPart w:val="GBC22222222222222222222222222222"/>
            </w:placeholder>
          </w:sdtPr>
          <w:sdtEndPr>
            <w:rPr>
              <w:rFonts w:asciiTheme="minorEastAsia" w:eastAsiaTheme="minorEastAsia" w:hAnsiTheme="minorEastAsia"/>
            </w:rPr>
          </w:sdtEndPr>
          <w:sdtContent>
            <w:p w14:paraId="072AE1E1" w14:textId="77777777" w:rsidR="007E7472" w:rsidRDefault="00EC1269">
              <w:pPr>
                <w:rPr>
                  <w:rFonts w:asciiTheme="minorEastAsia" w:eastAsiaTheme="minorEastAsia" w:hAnsiTheme="minorEastAsia"/>
                </w:rPr>
              </w:pP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1328315C" w14:textId="19E0C510" w:rsidR="007E7472" w:rsidRDefault="00EC1269">
          <w:pPr>
            <w:jc w:val="right"/>
          </w:pPr>
          <w:r>
            <w:rPr>
              <w:rFonts w:hint="eastAsia"/>
            </w:rPr>
            <w:t>单位：</w:t>
          </w:r>
          <w:sdt>
            <w:sdtPr>
              <w:rPr>
                <w:rFonts w:hint="eastAsia"/>
              </w:rPr>
              <w:alias w:val="单位：在建工程分类列示"/>
              <w:tag w:val="_GBC_9df8e16a6fb54a76b384d11e7a6dd52d"/>
              <w:id w:val="-2781102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在建工程分类列示"/>
              <w:tag w:val="_GBC_17b0bdb7b5f24e599fcea2e90510306a"/>
              <w:id w:val="-14411455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113"/>
            <w:gridCol w:w="2862"/>
            <w:gridCol w:w="2848"/>
          </w:tblGrid>
          <w:tr w:rsidR="007E7472" w14:paraId="5F51E79E" w14:textId="77777777" w:rsidTr="007E7472">
            <w:trPr>
              <w:cantSplit/>
              <w:trHeight w:val="340"/>
            </w:trPr>
            <w:sdt>
              <w:sdtPr>
                <w:tag w:val="_PLD_3a34a6496ee4454093b17b19ba9b805d"/>
                <w:id w:val="2137287294"/>
                <w:lock w:val="sdtLocked"/>
              </w:sdtPr>
              <w:sdtEndPr/>
              <w:sdtContent>
                <w:tc>
                  <w:tcPr>
                    <w:tcW w:w="1764" w:type="pct"/>
                    <w:vAlign w:val="center"/>
                  </w:tcPr>
                  <w:p w14:paraId="07FA47E1" w14:textId="77777777" w:rsidR="007E7472" w:rsidRDefault="00EC1269">
                    <w:pPr>
                      <w:jc w:val="center"/>
                    </w:pPr>
                    <w:r>
                      <w:rPr>
                        <w:rFonts w:hint="eastAsia"/>
                      </w:rPr>
                      <w:t>项目</w:t>
                    </w:r>
                  </w:p>
                </w:tc>
              </w:sdtContent>
            </w:sdt>
            <w:sdt>
              <w:sdtPr>
                <w:tag w:val="_PLD_88973d2835334cdbb31181ad26b55912"/>
                <w:id w:val="-1347935397"/>
                <w:lock w:val="sdtLocked"/>
              </w:sdtPr>
              <w:sdtEndPr/>
              <w:sdtContent>
                <w:tc>
                  <w:tcPr>
                    <w:tcW w:w="1622" w:type="pct"/>
                    <w:vAlign w:val="center"/>
                  </w:tcPr>
                  <w:p w14:paraId="27A431B8" w14:textId="77777777" w:rsidR="007E7472" w:rsidRDefault="00EC1269">
                    <w:pPr>
                      <w:jc w:val="center"/>
                    </w:pPr>
                    <w:r>
                      <w:rPr>
                        <w:rFonts w:hint="eastAsia"/>
                      </w:rPr>
                      <w:t>期末余额</w:t>
                    </w:r>
                  </w:p>
                </w:tc>
              </w:sdtContent>
            </w:sdt>
            <w:sdt>
              <w:sdtPr>
                <w:tag w:val="_PLD_55f5bd8851c54b7897a165bee2df0273"/>
                <w:id w:val="-1367208405"/>
                <w:lock w:val="sdtLocked"/>
              </w:sdtPr>
              <w:sdtEndPr/>
              <w:sdtContent>
                <w:tc>
                  <w:tcPr>
                    <w:tcW w:w="1614" w:type="pct"/>
                    <w:vAlign w:val="center"/>
                  </w:tcPr>
                  <w:p w14:paraId="61143569" w14:textId="77777777" w:rsidR="007E7472" w:rsidRDefault="00EC1269">
                    <w:pPr>
                      <w:jc w:val="center"/>
                    </w:pPr>
                    <w:r>
                      <w:rPr>
                        <w:rFonts w:hint="eastAsia"/>
                      </w:rPr>
                      <w:t>期初余额</w:t>
                    </w:r>
                  </w:p>
                </w:tc>
              </w:sdtContent>
            </w:sdt>
          </w:tr>
          <w:tr w:rsidR="007E7472" w14:paraId="1C9EFA5A" w14:textId="77777777" w:rsidTr="007E7472">
            <w:trPr>
              <w:cantSplit/>
              <w:trHeight w:val="340"/>
            </w:trPr>
            <w:sdt>
              <w:sdtPr>
                <w:tag w:val="_PLD_65bb35f19246484caedfd539dfade78d"/>
                <w:id w:val="-809088893"/>
                <w:lock w:val="sdtLocked"/>
              </w:sdtPr>
              <w:sdtEndPr/>
              <w:sdtContent>
                <w:tc>
                  <w:tcPr>
                    <w:tcW w:w="1764" w:type="pct"/>
                    <w:vAlign w:val="center"/>
                  </w:tcPr>
                  <w:p w14:paraId="642F7682" w14:textId="77777777" w:rsidR="007E7472" w:rsidRDefault="00EC1269">
                    <w:pPr>
                      <w:tabs>
                        <w:tab w:val="right" w:pos="3690"/>
                        <w:tab w:val="right" w:pos="5130"/>
                        <w:tab w:val="right" w:pos="6030"/>
                        <w:tab w:val="right" w:pos="7650"/>
                        <w:tab w:val="right" w:pos="9270"/>
                      </w:tabs>
                      <w:adjustRightInd w:val="0"/>
                      <w:snapToGrid w:val="0"/>
                    </w:pPr>
                    <w:r>
                      <w:rPr>
                        <w:rFonts w:hint="eastAsia"/>
                      </w:rPr>
                      <w:t>在建工程</w:t>
                    </w:r>
                  </w:p>
                </w:tc>
              </w:sdtContent>
            </w:sdt>
            <w:tc>
              <w:tcPr>
                <w:tcW w:w="1622" w:type="pct"/>
                <w:vAlign w:val="center"/>
              </w:tcPr>
              <w:p w14:paraId="0BE23877" w14:textId="77777777" w:rsidR="007E7472" w:rsidRDefault="00EC1269">
                <w:pPr>
                  <w:jc w:val="right"/>
                  <w:rPr>
                    <w:bCs/>
                    <w:sz w:val="24"/>
                    <w:szCs w:val="24"/>
                  </w:rPr>
                </w:pPr>
                <w:r>
                  <w:t>18,290,471</w:t>
                </w:r>
              </w:p>
            </w:tc>
            <w:tc>
              <w:tcPr>
                <w:tcW w:w="1614" w:type="pct"/>
                <w:vAlign w:val="center"/>
              </w:tcPr>
              <w:p w14:paraId="009CDB8A" w14:textId="77777777" w:rsidR="007E7472" w:rsidRDefault="00EC1269">
                <w:pPr>
                  <w:jc w:val="right"/>
                </w:pPr>
                <w:r>
                  <w:t>16,516,648</w:t>
                </w:r>
              </w:p>
            </w:tc>
          </w:tr>
          <w:tr w:rsidR="007E7472" w14:paraId="6F4B5E34" w14:textId="77777777" w:rsidTr="007E7472">
            <w:trPr>
              <w:cantSplit/>
              <w:trHeight w:val="340"/>
            </w:trPr>
            <w:sdt>
              <w:sdtPr>
                <w:tag w:val="_PLD_e1778e13b3024450b5ac627563f1ed3a"/>
                <w:id w:val="532314852"/>
                <w:lock w:val="sdtLocked"/>
              </w:sdtPr>
              <w:sdtEndPr/>
              <w:sdtContent>
                <w:tc>
                  <w:tcPr>
                    <w:tcW w:w="1764" w:type="pct"/>
                    <w:vAlign w:val="center"/>
                  </w:tcPr>
                  <w:p w14:paraId="19F71189" w14:textId="77777777" w:rsidR="007E7472" w:rsidRDefault="00EC1269">
                    <w:pPr>
                      <w:autoSpaceDE w:val="0"/>
                      <w:autoSpaceDN w:val="0"/>
                      <w:adjustRightInd w:val="0"/>
                      <w:jc w:val="center"/>
                    </w:pPr>
                    <w:r>
                      <w:rPr>
                        <w:rFonts w:hint="eastAsia"/>
                      </w:rPr>
                      <w:t>合计</w:t>
                    </w:r>
                  </w:p>
                </w:tc>
              </w:sdtContent>
            </w:sdt>
            <w:tc>
              <w:tcPr>
                <w:tcW w:w="1622" w:type="pct"/>
                <w:vAlign w:val="center"/>
              </w:tcPr>
              <w:p w14:paraId="366874A6" w14:textId="77777777" w:rsidR="007E7472" w:rsidRDefault="00EC1269">
                <w:pPr>
                  <w:jc w:val="right"/>
                  <w:rPr>
                    <w:bCs/>
                    <w:sz w:val="24"/>
                    <w:szCs w:val="24"/>
                  </w:rPr>
                </w:pPr>
                <w:r>
                  <w:t>18,290,471</w:t>
                </w:r>
              </w:p>
            </w:tc>
            <w:tc>
              <w:tcPr>
                <w:tcW w:w="1614" w:type="pct"/>
                <w:vAlign w:val="center"/>
              </w:tcPr>
              <w:p w14:paraId="604FC527" w14:textId="77777777" w:rsidR="007E7472" w:rsidRDefault="00EC1269">
                <w:pPr>
                  <w:jc w:val="right"/>
                </w:pPr>
                <w:r>
                  <w:t>16,516,648</w:t>
                </w:r>
              </w:p>
            </w:tc>
          </w:tr>
          <w:bookmarkEnd w:id="220"/>
        </w:tbl>
      </w:sdtContent>
    </w:sdt>
    <w:p w14:paraId="3969E674" w14:textId="77777777" w:rsidR="007E7472" w:rsidRDefault="00C8327E"/>
    <w:p w14:paraId="2EBAC9D5" w14:textId="77777777" w:rsidR="007E7472" w:rsidRDefault="00EC1269" w:rsidP="007E7472">
      <w:pPr>
        <w:pStyle w:val="4"/>
      </w:pPr>
      <w:r>
        <w:rPr>
          <w:rFonts w:hint="eastAsia"/>
        </w:rPr>
        <w:t>在建工程</w:t>
      </w:r>
    </w:p>
    <w:sdt>
      <w:sdtPr>
        <w:rPr>
          <w:rFonts w:ascii="宋体" w:hAnsi="宋体" w:cs="宋体" w:hint="eastAsia"/>
          <w:b w:val="0"/>
          <w:bCs w:val="0"/>
          <w:kern w:val="0"/>
          <w:sz w:val="20"/>
          <w:szCs w:val="21"/>
        </w:rPr>
        <w:alias w:val="模块:在建工程情况"/>
        <w:tag w:val="_GBC_88cd7483eb15414d84d17f5cc1a4bf78"/>
        <w:id w:val="-196547703"/>
        <w:lock w:val="sdtLocked"/>
        <w:placeholder>
          <w:docPart w:val="GBC22222222222222222222222222222"/>
        </w:placeholder>
      </w:sdtPr>
      <w:sdtEndPr>
        <w:rPr>
          <w:rFonts w:hint="default"/>
        </w:rPr>
      </w:sdtEndPr>
      <w:sdtContent>
        <w:p w14:paraId="4EDDB41D" w14:textId="77777777" w:rsidR="007E7472" w:rsidRDefault="00EC1269" w:rsidP="00162493">
          <w:pPr>
            <w:pStyle w:val="4"/>
            <w:numPr>
              <w:ilvl w:val="0"/>
              <w:numId w:val="75"/>
            </w:numPr>
          </w:pPr>
          <w:r>
            <w:rPr>
              <w:rFonts w:hint="eastAsia"/>
            </w:rPr>
            <w:t>在建工程情况</w:t>
          </w:r>
        </w:p>
        <w:sdt>
          <w:sdtPr>
            <w:alias w:val="是否适用：在建工程情况[双击切换]"/>
            <w:tag w:val="_GBC_d9828cc7ad534f26902e1979f9d67530"/>
            <w:id w:val="-1210561364"/>
            <w:lock w:val="sdtLocked"/>
            <w:placeholder>
              <w:docPart w:val="GBC22222222222222222222222222222"/>
            </w:placeholder>
          </w:sdtPr>
          <w:sdtEndPr>
            <w:rPr>
              <w:rFonts w:asciiTheme="minorEastAsia" w:eastAsiaTheme="minorEastAsia" w:hAnsiTheme="minorEastAsia"/>
            </w:rPr>
          </w:sdtEndPr>
          <w:sdtContent>
            <w:p w14:paraId="2A539E2B" w14:textId="77777777" w:rsidR="007E7472" w:rsidRDefault="00EC1269">
              <w:pPr>
                <w:rPr>
                  <w:rFonts w:asciiTheme="minorEastAsia" w:eastAsiaTheme="minorEastAsia" w:hAnsiTheme="minorEastAsia"/>
                </w:rPr>
              </w:pP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64E7A518" w14:textId="36FCEEBA" w:rsidR="007E7472" w:rsidRDefault="00EC1269">
          <w:pPr>
            <w:jc w:val="right"/>
          </w:pPr>
          <w:r>
            <w:rPr>
              <w:rFonts w:hint="eastAsia"/>
            </w:rPr>
            <w:t>单位：</w:t>
          </w:r>
          <w:sdt>
            <w:sdtPr>
              <w:rPr>
                <w:rFonts w:hint="eastAsia"/>
              </w:rPr>
              <w:alias w:val="单位：财务附注：在建工程"/>
              <w:tag w:val="_GBC_d20598ce3f5b4d21a9055de674936a9a"/>
              <w:id w:val="-93089341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在建工程"/>
              <w:tag w:val="_GBC_9e96d736daa247dd96af144329fff105"/>
              <w:id w:val="1169567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1838"/>
            <w:gridCol w:w="1166"/>
            <w:gridCol w:w="1166"/>
            <w:gridCol w:w="1154"/>
            <w:gridCol w:w="1152"/>
            <w:gridCol w:w="1166"/>
            <w:gridCol w:w="1181"/>
          </w:tblGrid>
          <w:tr w:rsidR="007E7472" w14:paraId="6DF7DA26" w14:textId="77777777" w:rsidTr="007E7472">
            <w:trPr>
              <w:cantSplit/>
              <w:trHeight w:val="340"/>
            </w:trPr>
            <w:sdt>
              <w:sdtPr>
                <w:tag w:val="_PLD_27b31695edfd49cb9cafa333777d18c3"/>
                <w:id w:val="740294375"/>
                <w:lock w:val="sdtLocked"/>
              </w:sdtPr>
              <w:sdtEndPr/>
              <w:sdtContent>
                <w:tc>
                  <w:tcPr>
                    <w:tcW w:w="1041" w:type="pct"/>
                    <w:vMerge w:val="restart"/>
                    <w:vAlign w:val="center"/>
                  </w:tcPr>
                  <w:p w14:paraId="25B582E1" w14:textId="77777777" w:rsidR="007E7472" w:rsidRDefault="00EC1269">
                    <w:pPr>
                      <w:jc w:val="center"/>
                    </w:pPr>
                    <w:r>
                      <w:rPr>
                        <w:rFonts w:hint="eastAsia"/>
                      </w:rPr>
                      <w:t>项目</w:t>
                    </w:r>
                  </w:p>
                </w:tc>
              </w:sdtContent>
            </w:sdt>
            <w:sdt>
              <w:sdtPr>
                <w:tag w:val="_PLD_a5273bde7b2f4c6c8fbe3ea2d7a7eb84"/>
                <w:id w:val="1131752477"/>
                <w:lock w:val="sdtLocked"/>
              </w:sdtPr>
              <w:sdtEndPr/>
              <w:sdtContent>
                <w:tc>
                  <w:tcPr>
                    <w:tcW w:w="1976" w:type="pct"/>
                    <w:gridSpan w:val="3"/>
                    <w:vAlign w:val="center"/>
                  </w:tcPr>
                  <w:p w14:paraId="3F6AC090" w14:textId="77777777" w:rsidR="007E7472" w:rsidRDefault="00EC1269">
                    <w:pPr>
                      <w:jc w:val="center"/>
                    </w:pPr>
                    <w:r>
                      <w:rPr>
                        <w:rFonts w:hint="eastAsia"/>
                      </w:rPr>
                      <w:t>期末余额</w:t>
                    </w:r>
                  </w:p>
                </w:tc>
              </w:sdtContent>
            </w:sdt>
            <w:sdt>
              <w:sdtPr>
                <w:tag w:val="_PLD_ac57490b080449c8b91be5a872e19f79"/>
                <w:id w:val="-1418624980"/>
                <w:lock w:val="sdtLocked"/>
              </w:sdtPr>
              <w:sdtEndPr/>
              <w:sdtContent>
                <w:tc>
                  <w:tcPr>
                    <w:tcW w:w="1983" w:type="pct"/>
                    <w:gridSpan w:val="3"/>
                    <w:vAlign w:val="center"/>
                  </w:tcPr>
                  <w:p w14:paraId="7D6A3172" w14:textId="77777777" w:rsidR="007E7472" w:rsidRDefault="00EC1269">
                    <w:pPr>
                      <w:jc w:val="center"/>
                    </w:pPr>
                    <w:r>
                      <w:rPr>
                        <w:rFonts w:hint="eastAsia"/>
                      </w:rPr>
                      <w:t>期初余额</w:t>
                    </w:r>
                  </w:p>
                </w:tc>
              </w:sdtContent>
            </w:sdt>
          </w:tr>
          <w:tr w:rsidR="007E7472" w14:paraId="79492481" w14:textId="77777777" w:rsidTr="007E7472">
            <w:trPr>
              <w:cantSplit/>
              <w:trHeight w:val="340"/>
            </w:trPr>
            <w:tc>
              <w:tcPr>
                <w:tcW w:w="1041" w:type="pct"/>
                <w:vMerge/>
                <w:vAlign w:val="center"/>
              </w:tcPr>
              <w:p w14:paraId="5878C7D5" w14:textId="77777777" w:rsidR="007E7472" w:rsidRDefault="00C8327E">
                <w:pPr>
                  <w:tabs>
                    <w:tab w:val="left" w:pos="420"/>
                  </w:tabs>
                  <w:ind w:left="420" w:hanging="420"/>
                  <w:jc w:val="center"/>
                </w:pPr>
              </w:p>
            </w:tc>
            <w:sdt>
              <w:sdtPr>
                <w:tag w:val="_PLD_1d60491359e245e7bc54655c8c8c15fd"/>
                <w:id w:val="1867796978"/>
                <w:lock w:val="sdtLocked"/>
              </w:sdtPr>
              <w:sdtEndPr/>
              <w:sdtContent>
                <w:tc>
                  <w:tcPr>
                    <w:tcW w:w="661" w:type="pct"/>
                    <w:vAlign w:val="center"/>
                  </w:tcPr>
                  <w:p w14:paraId="2C97231A" w14:textId="77777777" w:rsidR="007E7472" w:rsidRDefault="00EC1269" w:rsidP="007E7472">
                    <w:pPr>
                      <w:tabs>
                        <w:tab w:val="left" w:pos="420"/>
                      </w:tabs>
                      <w:ind w:left="420" w:hanging="420"/>
                      <w:jc w:val="center"/>
                    </w:pPr>
                    <w:r>
                      <w:rPr>
                        <w:rFonts w:hint="eastAsia"/>
                      </w:rPr>
                      <w:t>账面余额</w:t>
                    </w:r>
                  </w:p>
                </w:tc>
              </w:sdtContent>
            </w:sdt>
            <w:sdt>
              <w:sdtPr>
                <w:tag w:val="_PLD_d5d8fa5186d44c82b146ad7151830389"/>
                <w:id w:val="-103039970"/>
                <w:lock w:val="sdtLocked"/>
              </w:sdtPr>
              <w:sdtEndPr/>
              <w:sdtContent>
                <w:tc>
                  <w:tcPr>
                    <w:tcW w:w="661" w:type="pct"/>
                    <w:vAlign w:val="center"/>
                  </w:tcPr>
                  <w:p w14:paraId="3D2A656D" w14:textId="77777777" w:rsidR="007E7472" w:rsidRDefault="00EC1269" w:rsidP="007E7472">
                    <w:pPr>
                      <w:jc w:val="center"/>
                    </w:pPr>
                    <w:r>
                      <w:rPr>
                        <w:rFonts w:hint="eastAsia"/>
                      </w:rPr>
                      <w:t>减值准备</w:t>
                    </w:r>
                  </w:p>
                </w:tc>
              </w:sdtContent>
            </w:sdt>
            <w:sdt>
              <w:sdtPr>
                <w:tag w:val="_PLD_49aa1c2d25814b789479d76afb6fc844"/>
                <w:id w:val="753795387"/>
                <w:lock w:val="sdtLocked"/>
              </w:sdtPr>
              <w:sdtEndPr/>
              <w:sdtContent>
                <w:tc>
                  <w:tcPr>
                    <w:tcW w:w="654" w:type="pct"/>
                    <w:vAlign w:val="center"/>
                  </w:tcPr>
                  <w:p w14:paraId="1E81DD4B" w14:textId="77777777" w:rsidR="007E7472" w:rsidRDefault="00EC1269" w:rsidP="007E7472">
                    <w:pPr>
                      <w:jc w:val="center"/>
                    </w:pPr>
                    <w:r>
                      <w:rPr>
                        <w:rFonts w:hint="eastAsia"/>
                      </w:rPr>
                      <w:t>账面价值</w:t>
                    </w:r>
                  </w:p>
                </w:tc>
              </w:sdtContent>
            </w:sdt>
            <w:sdt>
              <w:sdtPr>
                <w:tag w:val="_PLD_4bba2db5e5a549ecafbf4e94a7af2e35"/>
                <w:id w:val="2130127745"/>
                <w:lock w:val="sdtLocked"/>
              </w:sdtPr>
              <w:sdtEndPr/>
              <w:sdtContent>
                <w:tc>
                  <w:tcPr>
                    <w:tcW w:w="653" w:type="pct"/>
                    <w:vAlign w:val="center"/>
                  </w:tcPr>
                  <w:p w14:paraId="77133FCA" w14:textId="77777777" w:rsidR="007E7472" w:rsidRDefault="00EC1269" w:rsidP="007E7472">
                    <w:pPr>
                      <w:tabs>
                        <w:tab w:val="left" w:pos="420"/>
                      </w:tabs>
                      <w:ind w:left="420" w:hanging="420"/>
                      <w:jc w:val="center"/>
                    </w:pPr>
                    <w:r>
                      <w:rPr>
                        <w:rFonts w:hint="eastAsia"/>
                      </w:rPr>
                      <w:t>账面余额</w:t>
                    </w:r>
                  </w:p>
                </w:tc>
              </w:sdtContent>
            </w:sdt>
            <w:sdt>
              <w:sdtPr>
                <w:tag w:val="_PLD_e054d8cd1e1b4672ae08a495b587bdce"/>
                <w:id w:val="900635151"/>
                <w:lock w:val="sdtLocked"/>
              </w:sdtPr>
              <w:sdtEndPr/>
              <w:sdtContent>
                <w:tc>
                  <w:tcPr>
                    <w:tcW w:w="661" w:type="pct"/>
                    <w:vAlign w:val="center"/>
                  </w:tcPr>
                  <w:p w14:paraId="38831567" w14:textId="77777777" w:rsidR="007E7472" w:rsidRDefault="00EC1269" w:rsidP="007E7472">
                    <w:pPr>
                      <w:jc w:val="center"/>
                    </w:pPr>
                    <w:r>
                      <w:rPr>
                        <w:rFonts w:hint="eastAsia"/>
                      </w:rPr>
                      <w:t>减值准备</w:t>
                    </w:r>
                  </w:p>
                </w:tc>
              </w:sdtContent>
            </w:sdt>
            <w:sdt>
              <w:sdtPr>
                <w:tag w:val="_PLD_bd3055c2713a44fa9cbd3fd973d34c6a"/>
                <w:id w:val="-1587617358"/>
                <w:lock w:val="sdtLocked"/>
              </w:sdtPr>
              <w:sdtEndPr/>
              <w:sdtContent>
                <w:tc>
                  <w:tcPr>
                    <w:tcW w:w="669" w:type="pct"/>
                    <w:vAlign w:val="center"/>
                  </w:tcPr>
                  <w:p w14:paraId="17D8F559" w14:textId="77777777" w:rsidR="007E7472" w:rsidRDefault="00EC1269" w:rsidP="007E7472">
                    <w:pPr>
                      <w:jc w:val="center"/>
                    </w:pPr>
                    <w:r>
                      <w:rPr>
                        <w:rFonts w:hint="eastAsia"/>
                      </w:rPr>
                      <w:t>账面价值</w:t>
                    </w:r>
                  </w:p>
                </w:tc>
              </w:sdtContent>
            </w:sdt>
          </w:tr>
          <w:sdt>
            <w:sdtPr>
              <w:alias w:val="在建工程情况明细"/>
              <w:tag w:val="_GBC_5f073fecf2ff4f9ba33e687f80450c77"/>
              <w:id w:val="-701246954"/>
              <w:lock w:val="sdtLocked"/>
            </w:sdtPr>
            <w:sdtEndPr/>
            <w:sdtContent>
              <w:tr w:rsidR="007E7472" w14:paraId="4A54A9A1" w14:textId="77777777" w:rsidTr="007E7472">
                <w:trPr>
                  <w:cantSplit/>
                  <w:trHeight w:val="340"/>
                </w:trPr>
                <w:tc>
                  <w:tcPr>
                    <w:tcW w:w="1041" w:type="pct"/>
                    <w:vAlign w:val="center"/>
                  </w:tcPr>
                  <w:p w14:paraId="060A6C84" w14:textId="77777777" w:rsidR="007E7472" w:rsidRDefault="00EC1269">
                    <w:r>
                      <w:rPr>
                        <w:rFonts w:hint="eastAsia"/>
                      </w:rPr>
                      <w:t>一、维简工程</w:t>
                    </w:r>
                  </w:p>
                </w:tc>
                <w:tc>
                  <w:tcPr>
                    <w:tcW w:w="661" w:type="pct"/>
                    <w:vAlign w:val="center"/>
                  </w:tcPr>
                  <w:p w14:paraId="58F1BCF9" w14:textId="77777777" w:rsidR="007E7472" w:rsidRDefault="00EC1269">
                    <w:pPr>
                      <w:jc w:val="right"/>
                      <w:rPr>
                        <w:bCs/>
                        <w:sz w:val="24"/>
                        <w:szCs w:val="24"/>
                      </w:rPr>
                    </w:pPr>
                    <w:r>
                      <w:t>2,412,697</w:t>
                    </w:r>
                  </w:p>
                </w:tc>
                <w:tc>
                  <w:tcPr>
                    <w:tcW w:w="661" w:type="pct"/>
                    <w:vAlign w:val="center"/>
                  </w:tcPr>
                  <w:p w14:paraId="4CEB7F10" w14:textId="77777777" w:rsidR="007E7472" w:rsidRDefault="00C8327E">
                    <w:pPr>
                      <w:jc w:val="right"/>
                    </w:pPr>
                  </w:p>
                </w:tc>
                <w:tc>
                  <w:tcPr>
                    <w:tcW w:w="654" w:type="pct"/>
                    <w:vAlign w:val="center"/>
                  </w:tcPr>
                  <w:p w14:paraId="01766427" w14:textId="77777777" w:rsidR="007E7472" w:rsidRDefault="00EC1269">
                    <w:pPr>
                      <w:jc w:val="right"/>
                    </w:pPr>
                    <w:r>
                      <w:t>2,412,697</w:t>
                    </w:r>
                  </w:p>
                </w:tc>
                <w:tc>
                  <w:tcPr>
                    <w:tcW w:w="653" w:type="pct"/>
                    <w:vAlign w:val="center"/>
                  </w:tcPr>
                  <w:p w14:paraId="35ECEFC1" w14:textId="77777777" w:rsidR="007E7472" w:rsidRDefault="00EC1269">
                    <w:pPr>
                      <w:jc w:val="right"/>
                    </w:pPr>
                    <w:r>
                      <w:t>2,187,290</w:t>
                    </w:r>
                  </w:p>
                </w:tc>
                <w:tc>
                  <w:tcPr>
                    <w:tcW w:w="661" w:type="pct"/>
                    <w:vAlign w:val="center"/>
                  </w:tcPr>
                  <w:p w14:paraId="5DB692CF" w14:textId="77777777" w:rsidR="007E7472" w:rsidRDefault="00C8327E">
                    <w:pPr>
                      <w:jc w:val="right"/>
                    </w:pPr>
                  </w:p>
                </w:tc>
                <w:tc>
                  <w:tcPr>
                    <w:tcW w:w="669" w:type="pct"/>
                    <w:vAlign w:val="center"/>
                  </w:tcPr>
                  <w:p w14:paraId="402AF062" w14:textId="77777777" w:rsidR="007E7472" w:rsidRDefault="00EC1269">
                    <w:pPr>
                      <w:jc w:val="right"/>
                    </w:pPr>
                    <w:r>
                      <w:t>2,187,290</w:t>
                    </w:r>
                  </w:p>
                </w:tc>
              </w:tr>
            </w:sdtContent>
          </w:sdt>
          <w:sdt>
            <w:sdtPr>
              <w:alias w:val="在建工程情况明细"/>
              <w:tag w:val="_GBC_5f073fecf2ff4f9ba33e687f80450c77"/>
              <w:id w:val="-132645600"/>
              <w:lock w:val="sdtLocked"/>
            </w:sdtPr>
            <w:sdtEndPr/>
            <w:sdtContent>
              <w:tr w:rsidR="007E7472" w14:paraId="43260C63" w14:textId="77777777" w:rsidTr="007E7472">
                <w:trPr>
                  <w:cantSplit/>
                  <w:trHeight w:val="340"/>
                </w:trPr>
                <w:tc>
                  <w:tcPr>
                    <w:tcW w:w="1041" w:type="pct"/>
                    <w:vAlign w:val="center"/>
                  </w:tcPr>
                  <w:p w14:paraId="2CFC7103" w14:textId="77777777" w:rsidR="007E7472" w:rsidRDefault="00EC1269">
                    <w:r>
                      <w:rPr>
                        <w:rFonts w:hint="eastAsia"/>
                      </w:rPr>
                      <w:t>二、技改工程</w:t>
                    </w:r>
                  </w:p>
                </w:tc>
                <w:tc>
                  <w:tcPr>
                    <w:tcW w:w="661" w:type="pct"/>
                    <w:vAlign w:val="center"/>
                  </w:tcPr>
                  <w:p w14:paraId="6B884CAA" w14:textId="77777777" w:rsidR="007E7472" w:rsidRDefault="00EC1269">
                    <w:pPr>
                      <w:jc w:val="right"/>
                    </w:pPr>
                    <w:r>
                      <w:t>1,959,689</w:t>
                    </w:r>
                  </w:p>
                </w:tc>
                <w:tc>
                  <w:tcPr>
                    <w:tcW w:w="661" w:type="pct"/>
                    <w:vAlign w:val="center"/>
                  </w:tcPr>
                  <w:p w14:paraId="66F20805" w14:textId="77777777" w:rsidR="007E7472" w:rsidRDefault="00C8327E">
                    <w:pPr>
                      <w:jc w:val="right"/>
                    </w:pPr>
                  </w:p>
                </w:tc>
                <w:tc>
                  <w:tcPr>
                    <w:tcW w:w="654" w:type="pct"/>
                    <w:vAlign w:val="center"/>
                  </w:tcPr>
                  <w:p w14:paraId="6E2AA82B" w14:textId="77777777" w:rsidR="007E7472" w:rsidRDefault="00EC1269">
                    <w:pPr>
                      <w:jc w:val="right"/>
                    </w:pPr>
                    <w:r>
                      <w:t>1,959,689</w:t>
                    </w:r>
                  </w:p>
                </w:tc>
                <w:tc>
                  <w:tcPr>
                    <w:tcW w:w="653" w:type="pct"/>
                    <w:vAlign w:val="center"/>
                  </w:tcPr>
                  <w:p w14:paraId="7582593A" w14:textId="77777777" w:rsidR="007E7472" w:rsidRDefault="00EC1269">
                    <w:pPr>
                      <w:jc w:val="right"/>
                    </w:pPr>
                    <w:r>
                      <w:t>1,796,184</w:t>
                    </w:r>
                  </w:p>
                </w:tc>
                <w:tc>
                  <w:tcPr>
                    <w:tcW w:w="661" w:type="pct"/>
                    <w:vAlign w:val="center"/>
                  </w:tcPr>
                  <w:p w14:paraId="24A5FD95" w14:textId="77777777" w:rsidR="007E7472" w:rsidRDefault="00C8327E">
                    <w:pPr>
                      <w:jc w:val="right"/>
                    </w:pPr>
                  </w:p>
                </w:tc>
                <w:tc>
                  <w:tcPr>
                    <w:tcW w:w="669" w:type="pct"/>
                    <w:vAlign w:val="center"/>
                  </w:tcPr>
                  <w:p w14:paraId="0EFE0C2E" w14:textId="77777777" w:rsidR="007E7472" w:rsidRDefault="00EC1269">
                    <w:pPr>
                      <w:jc w:val="right"/>
                    </w:pPr>
                    <w:r>
                      <w:t>1,796,184</w:t>
                    </w:r>
                  </w:p>
                </w:tc>
              </w:tr>
            </w:sdtContent>
          </w:sdt>
          <w:sdt>
            <w:sdtPr>
              <w:alias w:val="在建工程情况明细"/>
              <w:tag w:val="_GBC_5f073fecf2ff4f9ba33e687f80450c77"/>
              <w:id w:val="679851654"/>
              <w:lock w:val="sdtLocked"/>
            </w:sdtPr>
            <w:sdtEndPr/>
            <w:sdtContent>
              <w:tr w:rsidR="007E7472" w14:paraId="277067CB" w14:textId="77777777" w:rsidTr="007E7472">
                <w:trPr>
                  <w:cantSplit/>
                  <w:trHeight w:val="340"/>
                </w:trPr>
                <w:tc>
                  <w:tcPr>
                    <w:tcW w:w="1041" w:type="pct"/>
                    <w:vAlign w:val="center"/>
                  </w:tcPr>
                  <w:p w14:paraId="25B61D57" w14:textId="77777777" w:rsidR="007E7472" w:rsidRDefault="00EC1269">
                    <w:r>
                      <w:rPr>
                        <w:rFonts w:hint="eastAsia"/>
                      </w:rPr>
                      <w:t>三、基建工程</w:t>
                    </w:r>
                  </w:p>
                </w:tc>
                <w:tc>
                  <w:tcPr>
                    <w:tcW w:w="661" w:type="pct"/>
                    <w:vAlign w:val="center"/>
                  </w:tcPr>
                  <w:p w14:paraId="5690513F" w14:textId="77777777" w:rsidR="007E7472" w:rsidRDefault="00EC1269">
                    <w:pPr>
                      <w:jc w:val="right"/>
                    </w:pPr>
                    <w:r>
                      <w:t>14,104,079</w:t>
                    </w:r>
                  </w:p>
                </w:tc>
                <w:tc>
                  <w:tcPr>
                    <w:tcW w:w="661" w:type="pct"/>
                    <w:vAlign w:val="center"/>
                  </w:tcPr>
                  <w:p w14:paraId="7989B207" w14:textId="77777777" w:rsidR="007E7472" w:rsidRDefault="00EC1269">
                    <w:pPr>
                      <w:jc w:val="right"/>
                    </w:pPr>
                    <w:r>
                      <w:t>800,370</w:t>
                    </w:r>
                  </w:p>
                </w:tc>
                <w:tc>
                  <w:tcPr>
                    <w:tcW w:w="654" w:type="pct"/>
                    <w:vAlign w:val="center"/>
                  </w:tcPr>
                  <w:p w14:paraId="327FB612" w14:textId="77777777" w:rsidR="007E7472" w:rsidRDefault="00EC1269">
                    <w:pPr>
                      <w:jc w:val="right"/>
                    </w:pPr>
                    <w:r>
                      <w:t>13,303,709</w:t>
                    </w:r>
                  </w:p>
                </w:tc>
                <w:tc>
                  <w:tcPr>
                    <w:tcW w:w="653" w:type="pct"/>
                    <w:vAlign w:val="center"/>
                  </w:tcPr>
                  <w:p w14:paraId="6878B05F" w14:textId="77777777" w:rsidR="007E7472" w:rsidRDefault="00EC1269">
                    <w:pPr>
                      <w:jc w:val="right"/>
                    </w:pPr>
                    <w:r>
                      <w:t>12,752,895</w:t>
                    </w:r>
                  </w:p>
                </w:tc>
                <w:tc>
                  <w:tcPr>
                    <w:tcW w:w="661" w:type="pct"/>
                    <w:vAlign w:val="center"/>
                  </w:tcPr>
                  <w:p w14:paraId="79131290" w14:textId="77777777" w:rsidR="007E7472" w:rsidRDefault="00EC1269">
                    <w:pPr>
                      <w:jc w:val="right"/>
                    </w:pPr>
                    <w:r>
                      <w:t>801,807</w:t>
                    </w:r>
                  </w:p>
                </w:tc>
                <w:tc>
                  <w:tcPr>
                    <w:tcW w:w="669" w:type="pct"/>
                    <w:vAlign w:val="center"/>
                  </w:tcPr>
                  <w:p w14:paraId="6BBC0749" w14:textId="77777777" w:rsidR="007E7472" w:rsidRDefault="00EC1269">
                    <w:pPr>
                      <w:jc w:val="right"/>
                    </w:pPr>
                    <w:r>
                      <w:t>11,951,088</w:t>
                    </w:r>
                  </w:p>
                </w:tc>
              </w:tr>
            </w:sdtContent>
          </w:sdt>
          <w:sdt>
            <w:sdtPr>
              <w:alias w:val="在建工程情况明细"/>
              <w:tag w:val="_GBC_5f073fecf2ff4f9ba33e687f80450c77"/>
              <w:id w:val="-1731461896"/>
              <w:lock w:val="sdtLocked"/>
            </w:sdtPr>
            <w:sdtEndPr/>
            <w:sdtContent>
              <w:tr w:rsidR="007E7472" w14:paraId="0906927B" w14:textId="77777777" w:rsidTr="007E7472">
                <w:trPr>
                  <w:cantSplit/>
                  <w:trHeight w:val="340"/>
                </w:trPr>
                <w:tc>
                  <w:tcPr>
                    <w:tcW w:w="1041" w:type="pct"/>
                    <w:vAlign w:val="center"/>
                  </w:tcPr>
                  <w:p w14:paraId="1E4A9C5B" w14:textId="77777777" w:rsidR="007E7472" w:rsidRDefault="00EC1269">
                    <w:r>
                      <w:rPr>
                        <w:rFonts w:hint="eastAsia"/>
                      </w:rPr>
                      <w:t>四、安全工程</w:t>
                    </w:r>
                  </w:p>
                </w:tc>
                <w:tc>
                  <w:tcPr>
                    <w:tcW w:w="661" w:type="pct"/>
                    <w:vAlign w:val="center"/>
                  </w:tcPr>
                  <w:p w14:paraId="2F5D1F15" w14:textId="77777777" w:rsidR="007E7472" w:rsidRDefault="00EC1269">
                    <w:pPr>
                      <w:jc w:val="right"/>
                    </w:pPr>
                    <w:r>
                      <w:t>322,601</w:t>
                    </w:r>
                  </w:p>
                </w:tc>
                <w:tc>
                  <w:tcPr>
                    <w:tcW w:w="661" w:type="pct"/>
                    <w:vAlign w:val="center"/>
                  </w:tcPr>
                  <w:p w14:paraId="227E422C" w14:textId="77777777" w:rsidR="007E7472" w:rsidRDefault="00C8327E">
                    <w:pPr>
                      <w:jc w:val="right"/>
                    </w:pPr>
                  </w:p>
                </w:tc>
                <w:tc>
                  <w:tcPr>
                    <w:tcW w:w="654" w:type="pct"/>
                    <w:vAlign w:val="center"/>
                  </w:tcPr>
                  <w:p w14:paraId="60BD47C8" w14:textId="77777777" w:rsidR="007E7472" w:rsidRDefault="00EC1269">
                    <w:pPr>
                      <w:jc w:val="right"/>
                    </w:pPr>
                    <w:r>
                      <w:t>322,601</w:t>
                    </w:r>
                  </w:p>
                </w:tc>
                <w:tc>
                  <w:tcPr>
                    <w:tcW w:w="653" w:type="pct"/>
                    <w:vAlign w:val="center"/>
                  </w:tcPr>
                  <w:p w14:paraId="5877AD87" w14:textId="77777777" w:rsidR="007E7472" w:rsidRDefault="00EC1269">
                    <w:pPr>
                      <w:jc w:val="right"/>
                    </w:pPr>
                    <w:r>
                      <w:t>241,673</w:t>
                    </w:r>
                  </w:p>
                </w:tc>
                <w:tc>
                  <w:tcPr>
                    <w:tcW w:w="661" w:type="pct"/>
                    <w:vAlign w:val="center"/>
                  </w:tcPr>
                  <w:p w14:paraId="02490723" w14:textId="77777777" w:rsidR="007E7472" w:rsidRDefault="00C8327E">
                    <w:pPr>
                      <w:jc w:val="right"/>
                    </w:pPr>
                  </w:p>
                </w:tc>
                <w:tc>
                  <w:tcPr>
                    <w:tcW w:w="669" w:type="pct"/>
                    <w:vAlign w:val="center"/>
                  </w:tcPr>
                  <w:p w14:paraId="46A37D31" w14:textId="77777777" w:rsidR="007E7472" w:rsidRDefault="00EC1269">
                    <w:pPr>
                      <w:jc w:val="right"/>
                    </w:pPr>
                    <w:r>
                      <w:t>241,673</w:t>
                    </w:r>
                  </w:p>
                </w:tc>
              </w:tr>
            </w:sdtContent>
          </w:sdt>
          <w:sdt>
            <w:sdtPr>
              <w:alias w:val="在建工程情况明细"/>
              <w:tag w:val="_GBC_5f073fecf2ff4f9ba33e687f80450c77"/>
              <w:id w:val="753478583"/>
              <w:lock w:val="sdtLocked"/>
            </w:sdtPr>
            <w:sdtEndPr/>
            <w:sdtContent>
              <w:tr w:rsidR="007E7472" w14:paraId="7E337B99" w14:textId="77777777" w:rsidTr="007E7472">
                <w:trPr>
                  <w:cantSplit/>
                  <w:trHeight w:val="340"/>
                </w:trPr>
                <w:tc>
                  <w:tcPr>
                    <w:tcW w:w="1041" w:type="pct"/>
                    <w:vAlign w:val="center"/>
                  </w:tcPr>
                  <w:p w14:paraId="5C2E1C59" w14:textId="77777777" w:rsidR="007E7472" w:rsidRDefault="00EC1269">
                    <w:r>
                      <w:rPr>
                        <w:rFonts w:hint="eastAsia"/>
                      </w:rPr>
                      <w:t>五、勘探工程</w:t>
                    </w:r>
                  </w:p>
                </w:tc>
                <w:tc>
                  <w:tcPr>
                    <w:tcW w:w="661" w:type="pct"/>
                    <w:vAlign w:val="center"/>
                  </w:tcPr>
                  <w:p w14:paraId="70026DDA" w14:textId="77777777" w:rsidR="007E7472" w:rsidRDefault="00EC1269">
                    <w:pPr>
                      <w:jc w:val="right"/>
                    </w:pPr>
                    <w:r>
                      <w:t>914,980</w:t>
                    </w:r>
                  </w:p>
                </w:tc>
                <w:tc>
                  <w:tcPr>
                    <w:tcW w:w="661" w:type="pct"/>
                    <w:vAlign w:val="center"/>
                  </w:tcPr>
                  <w:p w14:paraId="283D3723" w14:textId="77777777" w:rsidR="007E7472" w:rsidRDefault="00EC1269">
                    <w:pPr>
                      <w:jc w:val="right"/>
                    </w:pPr>
                    <w:r>
                      <w:t>676,170</w:t>
                    </w:r>
                  </w:p>
                </w:tc>
                <w:tc>
                  <w:tcPr>
                    <w:tcW w:w="654" w:type="pct"/>
                    <w:vAlign w:val="center"/>
                  </w:tcPr>
                  <w:p w14:paraId="4F7905C4" w14:textId="77777777" w:rsidR="007E7472" w:rsidRDefault="00EC1269">
                    <w:pPr>
                      <w:jc w:val="right"/>
                    </w:pPr>
                    <w:r>
                      <w:t>238,810</w:t>
                    </w:r>
                  </w:p>
                </w:tc>
                <w:tc>
                  <w:tcPr>
                    <w:tcW w:w="653" w:type="pct"/>
                    <w:vAlign w:val="center"/>
                  </w:tcPr>
                  <w:p w14:paraId="70DF180D" w14:textId="77777777" w:rsidR="007E7472" w:rsidRDefault="00EC1269">
                    <w:pPr>
                      <w:jc w:val="right"/>
                    </w:pPr>
                    <w:r>
                      <w:t>951,454</w:t>
                    </w:r>
                  </w:p>
                </w:tc>
                <w:tc>
                  <w:tcPr>
                    <w:tcW w:w="661" w:type="pct"/>
                    <w:vAlign w:val="center"/>
                  </w:tcPr>
                  <w:p w14:paraId="39AAA17C" w14:textId="77777777" w:rsidR="007E7472" w:rsidRDefault="00EC1269">
                    <w:pPr>
                      <w:jc w:val="right"/>
                    </w:pPr>
                    <w:r>
                      <w:t>662,701</w:t>
                    </w:r>
                  </w:p>
                </w:tc>
                <w:tc>
                  <w:tcPr>
                    <w:tcW w:w="669" w:type="pct"/>
                    <w:vAlign w:val="center"/>
                  </w:tcPr>
                  <w:p w14:paraId="6201E823" w14:textId="77777777" w:rsidR="007E7472" w:rsidRDefault="00EC1269">
                    <w:pPr>
                      <w:jc w:val="right"/>
                    </w:pPr>
                    <w:r>
                      <w:t>288,753</w:t>
                    </w:r>
                  </w:p>
                </w:tc>
              </w:tr>
            </w:sdtContent>
          </w:sdt>
          <w:sdt>
            <w:sdtPr>
              <w:alias w:val="在建工程情况明细"/>
              <w:tag w:val="_GBC_5f073fecf2ff4f9ba33e687f80450c77"/>
              <w:id w:val="1575092531"/>
              <w:lock w:val="sdtLocked"/>
            </w:sdtPr>
            <w:sdtEndPr/>
            <w:sdtContent>
              <w:tr w:rsidR="007E7472" w14:paraId="3F451AE6" w14:textId="77777777" w:rsidTr="007E7472">
                <w:trPr>
                  <w:cantSplit/>
                  <w:trHeight w:val="340"/>
                </w:trPr>
                <w:tc>
                  <w:tcPr>
                    <w:tcW w:w="1041" w:type="pct"/>
                    <w:vAlign w:val="center"/>
                  </w:tcPr>
                  <w:p w14:paraId="1819AA93" w14:textId="77777777" w:rsidR="007E7472" w:rsidRDefault="00EC1269">
                    <w:r>
                      <w:rPr>
                        <w:rFonts w:hint="eastAsia"/>
                      </w:rPr>
                      <w:t>六、科技工程</w:t>
                    </w:r>
                  </w:p>
                </w:tc>
                <w:tc>
                  <w:tcPr>
                    <w:tcW w:w="661" w:type="pct"/>
                    <w:vAlign w:val="center"/>
                  </w:tcPr>
                  <w:p w14:paraId="2BB184F9" w14:textId="77777777" w:rsidR="007E7472" w:rsidRDefault="00EC1269">
                    <w:pPr>
                      <w:jc w:val="right"/>
                    </w:pPr>
                    <w:r>
                      <w:t>20,061</w:t>
                    </w:r>
                  </w:p>
                </w:tc>
                <w:tc>
                  <w:tcPr>
                    <w:tcW w:w="661" w:type="pct"/>
                    <w:vAlign w:val="center"/>
                  </w:tcPr>
                  <w:p w14:paraId="54470771" w14:textId="77777777" w:rsidR="007E7472" w:rsidRDefault="00C8327E">
                    <w:pPr>
                      <w:jc w:val="right"/>
                    </w:pPr>
                  </w:p>
                </w:tc>
                <w:tc>
                  <w:tcPr>
                    <w:tcW w:w="654" w:type="pct"/>
                    <w:vAlign w:val="center"/>
                  </w:tcPr>
                  <w:p w14:paraId="43F562BA" w14:textId="77777777" w:rsidR="007E7472" w:rsidRDefault="00EC1269">
                    <w:pPr>
                      <w:jc w:val="right"/>
                    </w:pPr>
                    <w:r>
                      <w:t>20,061</w:t>
                    </w:r>
                  </w:p>
                </w:tc>
                <w:tc>
                  <w:tcPr>
                    <w:tcW w:w="653" w:type="pct"/>
                    <w:vAlign w:val="center"/>
                  </w:tcPr>
                  <w:p w14:paraId="37D949E5" w14:textId="77777777" w:rsidR="007E7472" w:rsidRDefault="00EC1269">
                    <w:pPr>
                      <w:jc w:val="right"/>
                    </w:pPr>
                    <w:r>
                      <w:t>19,769</w:t>
                    </w:r>
                  </w:p>
                </w:tc>
                <w:tc>
                  <w:tcPr>
                    <w:tcW w:w="661" w:type="pct"/>
                    <w:vAlign w:val="center"/>
                  </w:tcPr>
                  <w:p w14:paraId="25F4A53E" w14:textId="77777777" w:rsidR="007E7472" w:rsidRDefault="00C8327E">
                    <w:pPr>
                      <w:jc w:val="right"/>
                    </w:pPr>
                  </w:p>
                </w:tc>
                <w:tc>
                  <w:tcPr>
                    <w:tcW w:w="669" w:type="pct"/>
                    <w:vAlign w:val="center"/>
                  </w:tcPr>
                  <w:p w14:paraId="35740734" w14:textId="77777777" w:rsidR="007E7472" w:rsidRDefault="00EC1269">
                    <w:pPr>
                      <w:jc w:val="right"/>
                    </w:pPr>
                    <w:r>
                      <w:t>19,769</w:t>
                    </w:r>
                  </w:p>
                </w:tc>
              </w:tr>
            </w:sdtContent>
          </w:sdt>
          <w:sdt>
            <w:sdtPr>
              <w:alias w:val="在建工程情况明细"/>
              <w:tag w:val="_GBC_5f073fecf2ff4f9ba33e687f80450c77"/>
              <w:id w:val="946279994"/>
              <w:lock w:val="sdtLocked"/>
            </w:sdtPr>
            <w:sdtEndPr/>
            <w:sdtContent>
              <w:tr w:rsidR="007E7472" w14:paraId="60F5053B" w14:textId="77777777" w:rsidTr="007E7472">
                <w:trPr>
                  <w:cantSplit/>
                  <w:trHeight w:val="340"/>
                </w:trPr>
                <w:tc>
                  <w:tcPr>
                    <w:tcW w:w="1041" w:type="pct"/>
                    <w:vAlign w:val="center"/>
                  </w:tcPr>
                  <w:p w14:paraId="5925CE8F" w14:textId="77777777" w:rsidR="007E7472" w:rsidRDefault="00EC1269">
                    <w:r>
                      <w:rPr>
                        <w:rFonts w:hint="eastAsia"/>
                      </w:rPr>
                      <w:t>七、修理工程</w:t>
                    </w:r>
                  </w:p>
                </w:tc>
                <w:tc>
                  <w:tcPr>
                    <w:tcW w:w="661" w:type="pct"/>
                    <w:vAlign w:val="center"/>
                  </w:tcPr>
                  <w:p w14:paraId="1A721819" w14:textId="77777777" w:rsidR="007E7472" w:rsidRDefault="00EC1269">
                    <w:pPr>
                      <w:jc w:val="right"/>
                    </w:pPr>
                    <w:r>
                      <w:t>33,398</w:t>
                    </w:r>
                  </w:p>
                </w:tc>
                <w:tc>
                  <w:tcPr>
                    <w:tcW w:w="661" w:type="pct"/>
                    <w:vAlign w:val="center"/>
                  </w:tcPr>
                  <w:p w14:paraId="261329E3" w14:textId="77777777" w:rsidR="007E7472" w:rsidRDefault="00EC1269">
                    <w:pPr>
                      <w:jc w:val="right"/>
                    </w:pPr>
                    <w:r>
                      <w:t>494</w:t>
                    </w:r>
                  </w:p>
                </w:tc>
                <w:tc>
                  <w:tcPr>
                    <w:tcW w:w="654" w:type="pct"/>
                    <w:vAlign w:val="center"/>
                  </w:tcPr>
                  <w:p w14:paraId="483AA2C9" w14:textId="77777777" w:rsidR="007E7472" w:rsidRDefault="00EC1269">
                    <w:pPr>
                      <w:jc w:val="right"/>
                    </w:pPr>
                    <w:r>
                      <w:t>32,904</w:t>
                    </w:r>
                  </w:p>
                </w:tc>
                <w:tc>
                  <w:tcPr>
                    <w:tcW w:w="653" w:type="pct"/>
                    <w:vAlign w:val="center"/>
                  </w:tcPr>
                  <w:p w14:paraId="0C83D123" w14:textId="77777777" w:rsidR="007E7472" w:rsidRDefault="00EC1269">
                    <w:pPr>
                      <w:jc w:val="right"/>
                    </w:pPr>
                    <w:r>
                      <w:t>32,385</w:t>
                    </w:r>
                  </w:p>
                </w:tc>
                <w:tc>
                  <w:tcPr>
                    <w:tcW w:w="661" w:type="pct"/>
                    <w:vAlign w:val="center"/>
                  </w:tcPr>
                  <w:p w14:paraId="37FAF692" w14:textId="77777777" w:rsidR="007E7472" w:rsidRDefault="00EC1269">
                    <w:pPr>
                      <w:jc w:val="right"/>
                    </w:pPr>
                    <w:r>
                      <w:t>494</w:t>
                    </w:r>
                  </w:p>
                </w:tc>
                <w:tc>
                  <w:tcPr>
                    <w:tcW w:w="669" w:type="pct"/>
                    <w:vAlign w:val="center"/>
                  </w:tcPr>
                  <w:p w14:paraId="31D20420" w14:textId="77777777" w:rsidR="007E7472" w:rsidRDefault="00EC1269">
                    <w:pPr>
                      <w:jc w:val="right"/>
                    </w:pPr>
                    <w:r>
                      <w:t>31,891</w:t>
                    </w:r>
                  </w:p>
                </w:tc>
              </w:tr>
            </w:sdtContent>
          </w:sdt>
          <w:tr w:rsidR="007E7472" w14:paraId="30DF555F" w14:textId="77777777" w:rsidTr="007E7472">
            <w:trPr>
              <w:cantSplit/>
              <w:trHeight w:val="340"/>
            </w:trPr>
            <w:sdt>
              <w:sdtPr>
                <w:tag w:val="_PLD_fb8a9351bc5144ab907a84376899a536"/>
                <w:id w:val="-374776764"/>
                <w:lock w:val="sdtLocked"/>
              </w:sdtPr>
              <w:sdtEndPr/>
              <w:sdtContent>
                <w:tc>
                  <w:tcPr>
                    <w:tcW w:w="1041" w:type="pct"/>
                    <w:vAlign w:val="center"/>
                  </w:tcPr>
                  <w:p w14:paraId="32D69ED2" w14:textId="77777777" w:rsidR="007E7472" w:rsidRDefault="00EC1269">
                    <w:pPr>
                      <w:jc w:val="center"/>
                    </w:pPr>
                    <w:r>
                      <w:rPr>
                        <w:rFonts w:hint="eastAsia"/>
                      </w:rPr>
                      <w:t>合计</w:t>
                    </w:r>
                  </w:p>
                </w:tc>
              </w:sdtContent>
            </w:sdt>
            <w:tc>
              <w:tcPr>
                <w:tcW w:w="661" w:type="pct"/>
                <w:vAlign w:val="center"/>
              </w:tcPr>
              <w:p w14:paraId="6E97B7D3" w14:textId="77777777" w:rsidR="007E7472" w:rsidRDefault="00EC1269">
                <w:pPr>
                  <w:jc w:val="right"/>
                </w:pPr>
                <w:r>
                  <w:t>19,767,505</w:t>
                </w:r>
              </w:p>
            </w:tc>
            <w:tc>
              <w:tcPr>
                <w:tcW w:w="661" w:type="pct"/>
                <w:vAlign w:val="center"/>
              </w:tcPr>
              <w:p w14:paraId="4D741C2D" w14:textId="77777777" w:rsidR="007E7472" w:rsidRDefault="00EC1269">
                <w:pPr>
                  <w:jc w:val="right"/>
                </w:pPr>
                <w:r>
                  <w:t>1,477,034</w:t>
                </w:r>
              </w:p>
            </w:tc>
            <w:tc>
              <w:tcPr>
                <w:tcW w:w="654" w:type="pct"/>
                <w:vAlign w:val="center"/>
              </w:tcPr>
              <w:p w14:paraId="7A69D45E" w14:textId="77777777" w:rsidR="007E7472" w:rsidRDefault="00EC1269">
                <w:pPr>
                  <w:jc w:val="right"/>
                </w:pPr>
                <w:r>
                  <w:t>18,290,471</w:t>
                </w:r>
              </w:p>
            </w:tc>
            <w:tc>
              <w:tcPr>
                <w:tcW w:w="653" w:type="pct"/>
                <w:vAlign w:val="center"/>
              </w:tcPr>
              <w:p w14:paraId="49051B2D" w14:textId="77777777" w:rsidR="007E7472" w:rsidRDefault="00EC1269">
                <w:pPr>
                  <w:jc w:val="right"/>
                  <w:rPr>
                    <w:bCs/>
                    <w:sz w:val="24"/>
                    <w:szCs w:val="24"/>
                  </w:rPr>
                </w:pPr>
                <w:r>
                  <w:t>17,981,650</w:t>
                </w:r>
              </w:p>
            </w:tc>
            <w:tc>
              <w:tcPr>
                <w:tcW w:w="661" w:type="pct"/>
                <w:vAlign w:val="center"/>
              </w:tcPr>
              <w:p w14:paraId="63F05F18" w14:textId="77777777" w:rsidR="007E7472" w:rsidRDefault="00EC1269">
                <w:pPr>
                  <w:jc w:val="right"/>
                </w:pPr>
                <w:r>
                  <w:t>1,465,002</w:t>
                </w:r>
              </w:p>
            </w:tc>
            <w:tc>
              <w:tcPr>
                <w:tcW w:w="669" w:type="pct"/>
                <w:vAlign w:val="center"/>
              </w:tcPr>
              <w:p w14:paraId="177CFC14" w14:textId="77777777" w:rsidR="007E7472" w:rsidRDefault="00EC1269">
                <w:pPr>
                  <w:jc w:val="right"/>
                </w:pPr>
                <w:r>
                  <w:t>16,516,648</w:t>
                </w:r>
              </w:p>
            </w:tc>
          </w:tr>
        </w:tbl>
        <w:p w14:paraId="02DAE9A5" w14:textId="6B1AACEF" w:rsidR="007E7472" w:rsidRDefault="00C8327E">
          <w:pPr>
            <w:sectPr w:rsidR="007E7472">
              <w:pgSz w:w="11906" w:h="16838"/>
              <w:pgMar w:top="1440" w:right="1797" w:bottom="1525" w:left="1276" w:header="856" w:footer="992" w:gutter="0"/>
              <w:cols w:space="425"/>
              <w:docGrid w:linePitch="312"/>
            </w:sectPr>
          </w:pPr>
        </w:p>
      </w:sdtContent>
    </w:sdt>
    <w:sdt>
      <w:sdtPr>
        <w:rPr>
          <w:rFonts w:ascii="宋体" w:hAnsi="宋体" w:cs="宋体" w:hint="eastAsia"/>
          <w:b w:val="0"/>
          <w:bCs w:val="0"/>
          <w:kern w:val="0"/>
          <w:szCs w:val="21"/>
        </w:rPr>
        <w:alias w:val="模块:重大在建工程项目变动情况"/>
        <w:tag w:val="_GBC_b1eb75f465d7494995f17407201cfca9"/>
        <w:id w:val="2060123135"/>
        <w:lock w:val="sdtLocked"/>
        <w:placeholder>
          <w:docPart w:val="GBC22222222222222222222222222222"/>
        </w:placeholder>
      </w:sdtPr>
      <w:sdtEndPr>
        <w:rPr>
          <w:rFonts w:cstheme="minorBidi" w:hint="default"/>
        </w:rPr>
      </w:sdtEndPr>
      <w:sdtContent>
        <w:p w14:paraId="362E828D" w14:textId="77777777" w:rsidR="007E7472" w:rsidRDefault="00EC1269" w:rsidP="00162493">
          <w:pPr>
            <w:pStyle w:val="4"/>
            <w:numPr>
              <w:ilvl w:val="0"/>
              <w:numId w:val="75"/>
            </w:numPr>
          </w:pPr>
          <w:r>
            <w:rPr>
              <w:rFonts w:hint="eastAsia"/>
            </w:rPr>
            <w:t>重要在建工程项目本期变动情况</w:t>
          </w:r>
        </w:p>
        <w:sdt>
          <w:sdtPr>
            <w:alias w:val="是否适用：重要在建工程项目本期变动情况[双击切换]"/>
            <w:tag w:val="_GBC_ec2dd768673145d4bb9d3c31a6fa701a"/>
            <w:id w:val="1281695506"/>
            <w:lock w:val="sdtLocked"/>
            <w:placeholder>
              <w:docPart w:val="GBC22222222222222222222222222222"/>
            </w:placeholder>
          </w:sdtPr>
          <w:sdtEndPr/>
          <w:sdtContent>
            <w:p w14:paraId="31532242"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5D55F8F2" w14:textId="67662E01" w:rsidR="007E7472" w:rsidRDefault="00EC1269">
          <w:pPr>
            <w:jc w:val="right"/>
          </w:pPr>
          <w:r>
            <w:rPr>
              <w:rFonts w:hint="eastAsia"/>
            </w:rPr>
            <w:t>单位：</w:t>
          </w:r>
          <w:sdt>
            <w:sdtPr>
              <w:rPr>
                <w:rFonts w:hint="eastAsia"/>
              </w:rPr>
              <w:alias w:val="单位：财务附注：在建工程项目变动情况"/>
              <w:tag w:val="_GBC_29f36690ce0d4e8bbec5f76711e80456"/>
              <w:id w:val="12889379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在建工程项目变动情况"/>
              <w:tag w:val="_GBC_6fab639954e742c1bd6f75b3c51ecaf8"/>
              <w:id w:val="19313836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1255"/>
            <w:gridCol w:w="1007"/>
            <w:gridCol w:w="961"/>
            <w:gridCol w:w="1022"/>
            <w:gridCol w:w="873"/>
            <w:gridCol w:w="921"/>
            <w:gridCol w:w="1007"/>
            <w:gridCol w:w="1359"/>
            <w:gridCol w:w="860"/>
            <w:gridCol w:w="882"/>
            <w:gridCol w:w="1007"/>
            <w:gridCol w:w="937"/>
            <w:gridCol w:w="968"/>
            <w:gridCol w:w="804"/>
          </w:tblGrid>
          <w:tr w:rsidR="007E7472" w14:paraId="663C49A0" w14:textId="77777777" w:rsidTr="007E7472">
            <w:trPr>
              <w:cantSplit/>
              <w:jc w:val="center"/>
            </w:trPr>
            <w:sdt>
              <w:sdtPr>
                <w:tag w:val="_PLD_911d5911af294d4f9d2b6b16b5f6c08b"/>
                <w:id w:val="-408622728"/>
                <w:lock w:val="sdtLocked"/>
              </w:sdtPr>
              <w:sdtEndPr/>
              <w:sdtContent>
                <w:tc>
                  <w:tcPr>
                    <w:tcW w:w="453" w:type="pct"/>
                    <w:shd w:val="clear" w:color="auto" w:fill="auto"/>
                    <w:vAlign w:val="center"/>
                  </w:tcPr>
                  <w:p w14:paraId="463C33E1" w14:textId="77777777" w:rsidR="007E7472" w:rsidRDefault="00EC1269">
                    <w:pPr>
                      <w:ind w:right="105"/>
                      <w:jc w:val="center"/>
                    </w:pPr>
                    <w:r>
                      <w:rPr>
                        <w:rFonts w:hint="eastAsia"/>
                      </w:rPr>
                      <w:t>项目名称</w:t>
                    </w:r>
                  </w:p>
                </w:tc>
              </w:sdtContent>
            </w:sdt>
            <w:sdt>
              <w:sdtPr>
                <w:tag w:val="_PLD_25c75ebdcb434964b5f5e8b512151b0b"/>
                <w:id w:val="533845992"/>
                <w:lock w:val="sdtLocked"/>
              </w:sdtPr>
              <w:sdtEndPr/>
              <w:sdtContent>
                <w:tc>
                  <w:tcPr>
                    <w:tcW w:w="363" w:type="pct"/>
                    <w:shd w:val="clear" w:color="auto" w:fill="auto"/>
                    <w:vAlign w:val="center"/>
                  </w:tcPr>
                  <w:p w14:paraId="0E9F2206" w14:textId="77777777" w:rsidR="007E7472" w:rsidRDefault="00EC1269">
                    <w:pPr>
                      <w:ind w:right="105"/>
                      <w:jc w:val="center"/>
                    </w:pPr>
                    <w:r>
                      <w:rPr>
                        <w:rFonts w:hint="eastAsia"/>
                      </w:rPr>
                      <w:t>期初</w:t>
                    </w:r>
                  </w:p>
                  <w:p w14:paraId="09E8E725" w14:textId="77777777" w:rsidR="007E7472" w:rsidRDefault="00EC1269">
                    <w:pPr>
                      <w:ind w:right="105"/>
                      <w:jc w:val="center"/>
                    </w:pPr>
                    <w:r>
                      <w:rPr>
                        <w:rFonts w:hint="eastAsia"/>
                      </w:rPr>
                      <w:t>余额</w:t>
                    </w:r>
                  </w:p>
                </w:tc>
              </w:sdtContent>
            </w:sdt>
            <w:sdt>
              <w:sdtPr>
                <w:tag w:val="_PLD_0117182ae7e24536a0996423ddcfa5f0"/>
                <w:id w:val="1157043036"/>
                <w:lock w:val="sdtLocked"/>
              </w:sdtPr>
              <w:sdtEndPr/>
              <w:sdtContent>
                <w:tc>
                  <w:tcPr>
                    <w:tcW w:w="347" w:type="pct"/>
                    <w:shd w:val="clear" w:color="auto" w:fill="auto"/>
                    <w:vAlign w:val="center"/>
                  </w:tcPr>
                  <w:p w14:paraId="46F83B4D" w14:textId="77777777" w:rsidR="007E7472" w:rsidRDefault="00EC1269">
                    <w:pPr>
                      <w:ind w:right="105"/>
                      <w:jc w:val="center"/>
                    </w:pPr>
                    <w:r>
                      <w:rPr>
                        <w:rFonts w:hint="eastAsia"/>
                      </w:rPr>
                      <w:t>本期增加金额</w:t>
                    </w:r>
                  </w:p>
                </w:tc>
              </w:sdtContent>
            </w:sdt>
            <w:sdt>
              <w:sdtPr>
                <w:tag w:val="_PLD_6db4feaec90f4eeeb4ed5fb04d298657"/>
                <w:id w:val="176473404"/>
                <w:lock w:val="sdtLocked"/>
              </w:sdtPr>
              <w:sdtEndPr/>
              <w:sdtContent>
                <w:tc>
                  <w:tcPr>
                    <w:tcW w:w="369" w:type="pct"/>
                    <w:shd w:val="clear" w:color="auto" w:fill="auto"/>
                    <w:vAlign w:val="center"/>
                  </w:tcPr>
                  <w:p w14:paraId="3C07D00A" w14:textId="77777777" w:rsidR="007E7472" w:rsidRDefault="00EC1269">
                    <w:pPr>
                      <w:ind w:right="73"/>
                      <w:jc w:val="center"/>
                    </w:pPr>
                    <w:r>
                      <w:rPr>
                        <w:rFonts w:hint="eastAsia"/>
                      </w:rPr>
                      <w:t>本期转入固定资产金额</w:t>
                    </w:r>
                  </w:p>
                </w:tc>
              </w:sdtContent>
            </w:sdt>
            <w:sdt>
              <w:sdtPr>
                <w:tag w:val="_PLD_1fe85c3ed6f84f6f85209149a9931055"/>
                <w:id w:val="-37754268"/>
                <w:lock w:val="sdtLocked"/>
              </w:sdtPr>
              <w:sdtEndPr/>
              <w:sdtContent>
                <w:tc>
                  <w:tcPr>
                    <w:tcW w:w="315" w:type="pct"/>
                    <w:shd w:val="clear" w:color="auto" w:fill="auto"/>
                    <w:vAlign w:val="center"/>
                  </w:tcPr>
                  <w:p w14:paraId="12C4EC06" w14:textId="77777777" w:rsidR="007E7472" w:rsidRDefault="00EC1269">
                    <w:pPr>
                      <w:ind w:right="73"/>
                      <w:jc w:val="center"/>
                    </w:pPr>
                    <w:r>
                      <w:rPr>
                        <w:rFonts w:hint="eastAsia"/>
                      </w:rPr>
                      <w:t>本期其他减少金额</w:t>
                    </w:r>
                  </w:p>
                </w:tc>
              </w:sdtContent>
            </w:sdt>
            <w:tc>
              <w:tcPr>
                <w:tcW w:w="332" w:type="pct"/>
                <w:vAlign w:val="center"/>
              </w:tcPr>
              <w:p w14:paraId="279F543C" w14:textId="77777777" w:rsidR="007E7472" w:rsidRDefault="00EC1269">
                <w:pPr>
                  <w:jc w:val="center"/>
                </w:pPr>
                <w:r>
                  <w:rPr>
                    <w:rFonts w:hint="eastAsia"/>
                  </w:rPr>
                  <w:t>外币报表折算差额</w:t>
                </w:r>
              </w:p>
            </w:tc>
            <w:sdt>
              <w:sdtPr>
                <w:tag w:val="_PLD_7954fe4b89f644d29865af249dfe8c3f"/>
                <w:id w:val="1903253830"/>
                <w:lock w:val="sdtLocked"/>
              </w:sdtPr>
              <w:sdtEndPr/>
              <w:sdtContent>
                <w:tc>
                  <w:tcPr>
                    <w:tcW w:w="363" w:type="pct"/>
                    <w:vAlign w:val="center"/>
                  </w:tcPr>
                  <w:p w14:paraId="266F422A" w14:textId="77777777" w:rsidR="007E7472" w:rsidRDefault="00EC1269">
                    <w:pPr>
                      <w:jc w:val="center"/>
                    </w:pPr>
                    <w:r>
                      <w:rPr>
                        <w:rFonts w:hint="eastAsia"/>
                      </w:rPr>
                      <w:t>期末</w:t>
                    </w:r>
                  </w:p>
                  <w:p w14:paraId="1549F9DC" w14:textId="77777777" w:rsidR="007E7472" w:rsidRDefault="00EC1269">
                    <w:pPr>
                      <w:jc w:val="center"/>
                    </w:pPr>
                    <w:r>
                      <w:rPr>
                        <w:rFonts w:hint="eastAsia"/>
                      </w:rPr>
                      <w:t>余额</w:t>
                    </w:r>
                  </w:p>
                </w:tc>
              </w:sdtContent>
            </w:sdt>
            <w:tc>
              <w:tcPr>
                <w:tcW w:w="490" w:type="pct"/>
                <w:shd w:val="clear" w:color="auto" w:fill="auto"/>
                <w:vAlign w:val="center"/>
              </w:tcPr>
              <w:p w14:paraId="52033407" w14:textId="77777777" w:rsidR="007E7472" w:rsidRDefault="00EC1269">
                <w:pPr>
                  <w:jc w:val="center"/>
                </w:pPr>
                <w:r>
                  <w:rPr>
                    <w:rFonts w:hint="eastAsia"/>
                  </w:rPr>
                  <w:t>预算数</w:t>
                </w:r>
              </w:p>
            </w:tc>
            <w:sdt>
              <w:sdtPr>
                <w:tag w:val="_PLD_d9aa12b28eda4362b90372032218ea1a"/>
                <w:id w:val="880279271"/>
                <w:lock w:val="sdtLocked"/>
              </w:sdtPr>
              <w:sdtEndPr/>
              <w:sdtContent>
                <w:tc>
                  <w:tcPr>
                    <w:tcW w:w="310" w:type="pct"/>
                    <w:shd w:val="clear" w:color="auto" w:fill="auto"/>
                    <w:vAlign w:val="center"/>
                  </w:tcPr>
                  <w:p w14:paraId="5FEFD8D7" w14:textId="77777777" w:rsidR="007E7472" w:rsidRDefault="00EC1269">
                    <w:pPr>
                      <w:jc w:val="center"/>
                    </w:pPr>
                    <w:r>
                      <w:rPr>
                        <w:rFonts w:hint="eastAsia"/>
                      </w:rPr>
                      <w:t>工程累计投入占预算比例(%)</w:t>
                    </w:r>
                  </w:p>
                </w:tc>
              </w:sdtContent>
            </w:sdt>
            <w:sdt>
              <w:sdtPr>
                <w:tag w:val="_PLD_9e610c25eba14177abc9b359511cb935"/>
                <w:id w:val="1405575586"/>
                <w:lock w:val="sdtLocked"/>
              </w:sdtPr>
              <w:sdtEndPr/>
              <w:sdtContent>
                <w:tc>
                  <w:tcPr>
                    <w:tcW w:w="318" w:type="pct"/>
                    <w:shd w:val="clear" w:color="auto" w:fill="auto"/>
                    <w:vAlign w:val="center"/>
                  </w:tcPr>
                  <w:p w14:paraId="0F5EAA51" w14:textId="77777777" w:rsidR="007E7472" w:rsidRDefault="00EC1269">
                    <w:pPr>
                      <w:jc w:val="center"/>
                    </w:pPr>
                    <w:r>
                      <w:rPr>
                        <w:rFonts w:hint="eastAsia"/>
                      </w:rPr>
                      <w:t>工程进度(%)</w:t>
                    </w:r>
                  </w:p>
                </w:tc>
              </w:sdtContent>
            </w:sdt>
            <w:sdt>
              <w:sdtPr>
                <w:tag w:val="_PLD_e89a95ddf6ab4a6abe2d40f64c95699a"/>
                <w:id w:val="-435984922"/>
                <w:lock w:val="sdtLocked"/>
              </w:sdtPr>
              <w:sdtEndPr/>
              <w:sdtContent>
                <w:tc>
                  <w:tcPr>
                    <w:tcW w:w="363" w:type="pct"/>
                    <w:shd w:val="clear" w:color="auto" w:fill="auto"/>
                    <w:vAlign w:val="center"/>
                  </w:tcPr>
                  <w:p w14:paraId="3DB8A2B8" w14:textId="77777777" w:rsidR="007E7472" w:rsidRDefault="00EC1269">
                    <w:pPr>
                      <w:jc w:val="center"/>
                    </w:pPr>
                    <w:r>
                      <w:rPr>
                        <w:rFonts w:hint="eastAsia"/>
                      </w:rPr>
                      <w:t>利息资本化累计金额</w:t>
                    </w:r>
                  </w:p>
                </w:tc>
              </w:sdtContent>
            </w:sdt>
            <w:sdt>
              <w:sdtPr>
                <w:tag w:val="_PLD_211048c05b944d8f9bfd1d37edfd2f6d"/>
                <w:id w:val="-2145027371"/>
                <w:lock w:val="sdtLocked"/>
              </w:sdtPr>
              <w:sdtEndPr/>
              <w:sdtContent>
                <w:tc>
                  <w:tcPr>
                    <w:tcW w:w="338" w:type="pct"/>
                    <w:shd w:val="clear" w:color="auto" w:fill="auto"/>
                    <w:vAlign w:val="center"/>
                  </w:tcPr>
                  <w:p w14:paraId="6F4736A5" w14:textId="77777777" w:rsidR="007E7472" w:rsidRDefault="00EC1269">
                    <w:pPr>
                      <w:jc w:val="center"/>
                    </w:pPr>
                    <w:r>
                      <w:rPr>
                        <w:rFonts w:hint="eastAsia"/>
                      </w:rPr>
                      <w:t>其中：本期利息资本化金额</w:t>
                    </w:r>
                  </w:p>
                </w:tc>
              </w:sdtContent>
            </w:sdt>
            <w:sdt>
              <w:sdtPr>
                <w:tag w:val="_PLD_2cbfddfcd5e6493ba68633d99551c05f"/>
                <w:id w:val="-1591530914"/>
                <w:lock w:val="sdtLocked"/>
              </w:sdtPr>
              <w:sdtEndPr/>
              <w:sdtContent>
                <w:tc>
                  <w:tcPr>
                    <w:tcW w:w="349" w:type="pct"/>
                    <w:shd w:val="clear" w:color="auto" w:fill="auto"/>
                    <w:vAlign w:val="center"/>
                  </w:tcPr>
                  <w:p w14:paraId="1A0854ED" w14:textId="77777777" w:rsidR="007E7472" w:rsidRDefault="00EC1269">
                    <w:pPr>
                      <w:jc w:val="center"/>
                    </w:pPr>
                    <w:r>
                      <w:rPr>
                        <w:rFonts w:hint="eastAsia"/>
                      </w:rPr>
                      <w:t>本期利息资本化率(%)</w:t>
                    </w:r>
                  </w:p>
                </w:tc>
              </w:sdtContent>
            </w:sdt>
            <w:sdt>
              <w:sdtPr>
                <w:tag w:val="_PLD_39440674746d4382a4f99328187752a9"/>
                <w:id w:val="-1748650532"/>
                <w:lock w:val="sdtLocked"/>
              </w:sdtPr>
              <w:sdtEndPr/>
              <w:sdtContent>
                <w:tc>
                  <w:tcPr>
                    <w:tcW w:w="290" w:type="pct"/>
                    <w:shd w:val="clear" w:color="auto" w:fill="auto"/>
                    <w:vAlign w:val="center"/>
                  </w:tcPr>
                  <w:p w14:paraId="4CAEBAAC" w14:textId="77777777" w:rsidR="007E7472" w:rsidRDefault="00EC1269">
                    <w:pPr>
                      <w:jc w:val="center"/>
                    </w:pPr>
                    <w:r>
                      <w:rPr>
                        <w:rFonts w:hint="eastAsia"/>
                      </w:rPr>
                      <w:t>资金来源</w:t>
                    </w:r>
                  </w:p>
                </w:tc>
              </w:sdtContent>
            </w:sdt>
          </w:tr>
          <w:sdt>
            <w:sdtPr>
              <w:rPr>
                <w:rFonts w:ascii="Times New Roman" w:hAnsi="Times New Roman" w:cs="Times New Roman" w:hint="eastAsia"/>
                <w:sz w:val="20"/>
                <w:szCs w:val="20"/>
              </w:rPr>
              <w:alias w:val="在建工程明细"/>
              <w:tag w:val="_GBC_b84d9018f52b45beabeca7c2371cdc18"/>
              <w:id w:val="883301679"/>
              <w:lock w:val="sdtLocked"/>
            </w:sdtPr>
            <w:sdtEndPr/>
            <w:sdtContent>
              <w:tr w:rsidR="007E7472" w14:paraId="742D0B28" w14:textId="77777777" w:rsidTr="007E7472">
                <w:trPr>
                  <w:cantSplit/>
                  <w:jc w:val="center"/>
                </w:trPr>
                <w:tc>
                  <w:tcPr>
                    <w:tcW w:w="453" w:type="pct"/>
                    <w:shd w:val="clear" w:color="auto" w:fill="auto"/>
                  </w:tcPr>
                  <w:p w14:paraId="31E1639B" w14:textId="77777777" w:rsidR="007E7472" w:rsidRDefault="00EC1269">
                    <w:pPr>
                      <w:ind w:right="105"/>
                    </w:pPr>
                    <w:r>
                      <w:rPr>
                        <w:rFonts w:hint="eastAsia"/>
                      </w:rPr>
                      <w:t>加拿大钾矿（注）</w:t>
                    </w:r>
                  </w:p>
                </w:tc>
                <w:tc>
                  <w:tcPr>
                    <w:tcW w:w="363" w:type="pct"/>
                    <w:shd w:val="clear" w:color="auto" w:fill="auto"/>
                    <w:vAlign w:val="center"/>
                  </w:tcPr>
                  <w:p w14:paraId="2EB6FB0A" w14:textId="77777777" w:rsidR="007E7472" w:rsidRDefault="00EC1269">
                    <w:pPr>
                      <w:jc w:val="right"/>
                    </w:pPr>
                    <w:r>
                      <w:rPr>
                        <w:rFonts w:hint="eastAsia"/>
                      </w:rPr>
                      <w:t>1,874,244</w:t>
                    </w:r>
                  </w:p>
                </w:tc>
                <w:tc>
                  <w:tcPr>
                    <w:tcW w:w="347" w:type="pct"/>
                    <w:shd w:val="clear" w:color="auto" w:fill="auto"/>
                    <w:vAlign w:val="center"/>
                  </w:tcPr>
                  <w:p w14:paraId="3CC97E48" w14:textId="77777777" w:rsidR="007E7472" w:rsidRDefault="00EC1269">
                    <w:pPr>
                      <w:jc w:val="right"/>
                    </w:pPr>
                    <w:r>
                      <w:rPr>
                        <w:rFonts w:hint="eastAsia"/>
                      </w:rPr>
                      <w:t>13,466</w:t>
                    </w:r>
                  </w:p>
                </w:tc>
                <w:tc>
                  <w:tcPr>
                    <w:tcW w:w="369" w:type="pct"/>
                    <w:shd w:val="clear" w:color="auto" w:fill="auto"/>
                    <w:vAlign w:val="center"/>
                  </w:tcPr>
                  <w:p w14:paraId="18FE6D38" w14:textId="77777777" w:rsidR="007E7472" w:rsidRDefault="00C8327E">
                    <w:pPr>
                      <w:ind w:right="73"/>
                      <w:jc w:val="right"/>
                    </w:pPr>
                  </w:p>
                </w:tc>
                <w:tc>
                  <w:tcPr>
                    <w:tcW w:w="315" w:type="pct"/>
                    <w:shd w:val="clear" w:color="auto" w:fill="auto"/>
                    <w:vAlign w:val="center"/>
                  </w:tcPr>
                  <w:p w14:paraId="73B0C7BF" w14:textId="77777777" w:rsidR="007E7472" w:rsidRDefault="00C8327E">
                    <w:pPr>
                      <w:jc w:val="right"/>
                    </w:pPr>
                  </w:p>
                </w:tc>
                <w:sdt>
                  <w:sdtPr>
                    <w:rPr>
                      <w:rFonts w:hint="eastAsia"/>
                    </w:rPr>
                    <w:alias w:val="外币报表折算差额"/>
                    <w:tag w:val="_GBC_03ee4ee1543240a5a62a9b4368a19be1"/>
                    <w:id w:val="404893405"/>
                    <w:lock w:val="sdtLocked"/>
                  </w:sdtPr>
                  <w:sdtEndPr/>
                  <w:sdtContent>
                    <w:tc>
                      <w:tcPr>
                        <w:tcW w:w="332" w:type="pct"/>
                        <w:vAlign w:val="center"/>
                      </w:tcPr>
                      <w:p w14:paraId="5FEBD263" w14:textId="77777777" w:rsidR="007E7472" w:rsidRDefault="00EC1269">
                        <w:pPr>
                          <w:jc w:val="right"/>
                        </w:pPr>
                        <w:r>
                          <w:rPr>
                            <w:rFonts w:hint="eastAsia"/>
                          </w:rPr>
                          <w:t>70,292</w:t>
                        </w:r>
                      </w:p>
                    </w:tc>
                  </w:sdtContent>
                </w:sdt>
                <w:tc>
                  <w:tcPr>
                    <w:tcW w:w="363" w:type="pct"/>
                    <w:vAlign w:val="center"/>
                  </w:tcPr>
                  <w:p w14:paraId="74F2FE4C" w14:textId="77777777" w:rsidR="007E7472" w:rsidRDefault="00EC1269">
                    <w:pPr>
                      <w:jc w:val="right"/>
                    </w:pPr>
                    <w:r>
                      <w:rPr>
                        <w:rFonts w:hint="eastAsia"/>
                      </w:rPr>
                      <w:t>1,958,002</w:t>
                    </w:r>
                  </w:p>
                </w:tc>
                <w:sdt>
                  <w:sdtPr>
                    <w:rPr>
                      <w:rFonts w:hint="eastAsia"/>
                    </w:rPr>
                    <w:alias w:val="预算数"/>
                    <w:tag w:val="_GBC_31d932b8a5e14276bb56b250239cf3c8"/>
                    <w:id w:val="839038782"/>
                    <w:lock w:val="sdtLocked"/>
                  </w:sdtPr>
                  <w:sdtEndPr/>
                  <w:sdtContent>
                    <w:tc>
                      <w:tcPr>
                        <w:tcW w:w="490" w:type="pct"/>
                        <w:shd w:val="clear" w:color="auto" w:fill="auto"/>
                        <w:vAlign w:val="center"/>
                      </w:tcPr>
                      <w:p w14:paraId="29129DC0" w14:textId="77777777" w:rsidR="007E7472" w:rsidRDefault="00EC1269">
                        <w:pPr>
                          <w:jc w:val="right"/>
                        </w:pPr>
                        <w:r>
                          <w:rPr>
                            <w:rFonts w:hint="eastAsia"/>
                          </w:rPr>
                          <w:t>N/A</w:t>
                        </w:r>
                      </w:p>
                    </w:tc>
                  </w:sdtContent>
                </w:sdt>
                <w:tc>
                  <w:tcPr>
                    <w:tcW w:w="310" w:type="pct"/>
                    <w:shd w:val="clear" w:color="auto" w:fill="auto"/>
                    <w:vAlign w:val="center"/>
                  </w:tcPr>
                  <w:p w14:paraId="4A3A9735" w14:textId="77777777" w:rsidR="007E7472" w:rsidRDefault="00EC1269">
                    <w:pPr>
                      <w:jc w:val="right"/>
                      <w:rPr>
                        <w:bCs/>
                      </w:rPr>
                    </w:pPr>
                    <w:r>
                      <w:rPr>
                        <w:rFonts w:hint="eastAsia"/>
                      </w:rPr>
                      <w:t>N/A</w:t>
                    </w:r>
                  </w:p>
                </w:tc>
                <w:tc>
                  <w:tcPr>
                    <w:tcW w:w="318" w:type="pct"/>
                    <w:shd w:val="clear" w:color="auto" w:fill="auto"/>
                    <w:vAlign w:val="center"/>
                  </w:tcPr>
                  <w:p w14:paraId="44C79888" w14:textId="77777777" w:rsidR="007E7472" w:rsidRDefault="00EC1269">
                    <w:pPr>
                      <w:jc w:val="right"/>
                    </w:pPr>
                    <w:r>
                      <w:rPr>
                        <w:rFonts w:hint="eastAsia"/>
                      </w:rPr>
                      <w:t>N/A</w:t>
                    </w:r>
                  </w:p>
                </w:tc>
                <w:tc>
                  <w:tcPr>
                    <w:tcW w:w="363" w:type="pct"/>
                    <w:shd w:val="clear" w:color="auto" w:fill="auto"/>
                    <w:vAlign w:val="center"/>
                  </w:tcPr>
                  <w:p w14:paraId="38336FCD" w14:textId="77777777" w:rsidR="007E7472" w:rsidRDefault="00EC1269">
                    <w:pPr>
                      <w:jc w:val="right"/>
                      <w:rPr>
                        <w:bCs/>
                      </w:rPr>
                    </w:pPr>
                    <w:r>
                      <w:rPr>
                        <w:rFonts w:hint="eastAsia"/>
                      </w:rPr>
                      <w:t>28,995</w:t>
                    </w:r>
                  </w:p>
                </w:tc>
                <w:tc>
                  <w:tcPr>
                    <w:tcW w:w="338" w:type="pct"/>
                    <w:shd w:val="clear" w:color="auto" w:fill="auto"/>
                    <w:vAlign w:val="center"/>
                  </w:tcPr>
                  <w:p w14:paraId="2854CF82" w14:textId="77777777" w:rsidR="007E7472" w:rsidRDefault="00EC1269">
                    <w:pPr>
                      <w:jc w:val="right"/>
                    </w:pPr>
                    <w:r>
                      <w:rPr>
                        <w:rFonts w:hint="eastAsia"/>
                      </w:rPr>
                      <w:t>N/A</w:t>
                    </w:r>
                  </w:p>
                </w:tc>
                <w:tc>
                  <w:tcPr>
                    <w:tcW w:w="349" w:type="pct"/>
                    <w:shd w:val="clear" w:color="auto" w:fill="auto"/>
                    <w:vAlign w:val="center"/>
                  </w:tcPr>
                  <w:p w14:paraId="58A9855E" w14:textId="77777777" w:rsidR="007E7472" w:rsidRDefault="00EC1269">
                    <w:pPr>
                      <w:jc w:val="right"/>
                      <w:rPr>
                        <w:bCs/>
                      </w:rPr>
                    </w:pPr>
                    <w:r>
                      <w:rPr>
                        <w:rFonts w:hint="eastAsia"/>
                      </w:rPr>
                      <w:t>N/A</w:t>
                    </w:r>
                  </w:p>
                </w:tc>
                <w:tc>
                  <w:tcPr>
                    <w:tcW w:w="290" w:type="pct"/>
                    <w:shd w:val="clear" w:color="auto" w:fill="auto"/>
                    <w:vAlign w:val="center"/>
                  </w:tcPr>
                  <w:p w14:paraId="7A6E4A80" w14:textId="77777777" w:rsidR="007E7472" w:rsidRDefault="00EC1269">
                    <w:r>
                      <w:rPr>
                        <w:rFonts w:hint="eastAsia"/>
                      </w:rPr>
                      <w:t>金融机构贷款</w:t>
                    </w:r>
                  </w:p>
                </w:tc>
              </w:tr>
            </w:sdtContent>
          </w:sdt>
          <w:sdt>
            <w:sdtPr>
              <w:rPr>
                <w:rFonts w:ascii="Times New Roman" w:hAnsi="Times New Roman" w:cs="Times New Roman" w:hint="eastAsia"/>
                <w:sz w:val="20"/>
                <w:szCs w:val="20"/>
              </w:rPr>
              <w:alias w:val="在建工程明细"/>
              <w:tag w:val="_GBC_b84d9018f52b45beabeca7c2371cdc18"/>
              <w:id w:val="645406920"/>
              <w:lock w:val="sdtLocked"/>
            </w:sdtPr>
            <w:sdtEndPr/>
            <w:sdtContent>
              <w:tr w:rsidR="007E7472" w14:paraId="1103DDFF" w14:textId="77777777" w:rsidTr="007E7472">
                <w:trPr>
                  <w:cantSplit/>
                  <w:jc w:val="center"/>
                </w:trPr>
                <w:tc>
                  <w:tcPr>
                    <w:tcW w:w="453" w:type="pct"/>
                    <w:shd w:val="clear" w:color="auto" w:fill="auto"/>
                    <w:vAlign w:val="center"/>
                  </w:tcPr>
                  <w:p w14:paraId="7F11E4B4" w14:textId="77777777" w:rsidR="007E7472" w:rsidRDefault="00EC1269">
                    <w:pPr>
                      <w:ind w:right="105"/>
                    </w:pPr>
                    <w:r>
                      <w:rPr>
                        <w:rFonts w:hint="eastAsia"/>
                      </w:rPr>
                      <w:t>万福煤矿</w:t>
                    </w:r>
                  </w:p>
                </w:tc>
                <w:tc>
                  <w:tcPr>
                    <w:tcW w:w="363" w:type="pct"/>
                    <w:shd w:val="clear" w:color="auto" w:fill="auto"/>
                    <w:vAlign w:val="center"/>
                  </w:tcPr>
                  <w:p w14:paraId="6C7FD23C" w14:textId="77777777" w:rsidR="007E7472" w:rsidRDefault="00EC1269">
                    <w:pPr>
                      <w:jc w:val="center"/>
                    </w:pPr>
                    <w:r>
                      <w:rPr>
                        <w:rFonts w:hint="eastAsia"/>
                      </w:rPr>
                      <w:t>5,173,321</w:t>
                    </w:r>
                  </w:p>
                </w:tc>
                <w:tc>
                  <w:tcPr>
                    <w:tcW w:w="347" w:type="pct"/>
                    <w:shd w:val="clear" w:color="auto" w:fill="auto"/>
                    <w:vAlign w:val="center"/>
                  </w:tcPr>
                  <w:p w14:paraId="7EB149F2" w14:textId="77777777" w:rsidR="007E7472" w:rsidRDefault="00EC1269">
                    <w:pPr>
                      <w:jc w:val="right"/>
                    </w:pPr>
                    <w:r>
                      <w:rPr>
                        <w:rFonts w:hint="eastAsia"/>
                      </w:rPr>
                      <w:t>321,864</w:t>
                    </w:r>
                  </w:p>
                </w:tc>
                <w:tc>
                  <w:tcPr>
                    <w:tcW w:w="369" w:type="pct"/>
                    <w:shd w:val="clear" w:color="auto" w:fill="auto"/>
                    <w:vAlign w:val="center"/>
                  </w:tcPr>
                  <w:p w14:paraId="726EB662" w14:textId="77777777" w:rsidR="007E7472" w:rsidRDefault="00C8327E">
                    <w:pPr>
                      <w:ind w:right="73"/>
                      <w:jc w:val="center"/>
                    </w:pPr>
                  </w:p>
                </w:tc>
                <w:tc>
                  <w:tcPr>
                    <w:tcW w:w="315" w:type="pct"/>
                    <w:shd w:val="clear" w:color="auto" w:fill="auto"/>
                    <w:vAlign w:val="center"/>
                  </w:tcPr>
                  <w:p w14:paraId="1C57B5FB" w14:textId="77777777" w:rsidR="007E7472" w:rsidRDefault="00C8327E">
                    <w:pPr>
                      <w:jc w:val="both"/>
                    </w:pPr>
                  </w:p>
                </w:tc>
                <w:sdt>
                  <w:sdtPr>
                    <w:rPr>
                      <w:rFonts w:hint="eastAsia"/>
                    </w:rPr>
                    <w:alias w:val="外币报表折算差额"/>
                    <w:tag w:val="_GBC_03ee4ee1543240a5a62a9b4368a19be1"/>
                    <w:id w:val="-528874924"/>
                    <w:lock w:val="sdtLocked"/>
                    <w:showingPlcHdr/>
                  </w:sdtPr>
                  <w:sdtEndPr/>
                  <w:sdtContent>
                    <w:tc>
                      <w:tcPr>
                        <w:tcW w:w="332" w:type="pct"/>
                        <w:vAlign w:val="center"/>
                      </w:tcPr>
                      <w:p w14:paraId="6BED12B5" w14:textId="77777777" w:rsidR="007E7472" w:rsidRDefault="00C8327E">
                        <w:pPr>
                          <w:jc w:val="right"/>
                        </w:pPr>
                      </w:p>
                    </w:tc>
                  </w:sdtContent>
                </w:sdt>
                <w:tc>
                  <w:tcPr>
                    <w:tcW w:w="363" w:type="pct"/>
                    <w:vAlign w:val="center"/>
                  </w:tcPr>
                  <w:p w14:paraId="00F39043" w14:textId="77777777" w:rsidR="007E7472" w:rsidRDefault="00EC1269">
                    <w:pPr>
                      <w:jc w:val="right"/>
                    </w:pPr>
                    <w:r>
                      <w:rPr>
                        <w:rFonts w:hint="eastAsia"/>
                      </w:rPr>
                      <w:t>5,495,185</w:t>
                    </w:r>
                  </w:p>
                </w:tc>
                <w:sdt>
                  <w:sdtPr>
                    <w:rPr>
                      <w:rFonts w:hint="eastAsia"/>
                    </w:rPr>
                    <w:alias w:val="预算数"/>
                    <w:tag w:val="_GBC_31d932b8a5e14276bb56b250239cf3c8"/>
                    <w:id w:val="-1777094470"/>
                    <w:lock w:val="sdtLocked"/>
                  </w:sdtPr>
                  <w:sdtEndPr/>
                  <w:sdtContent>
                    <w:tc>
                      <w:tcPr>
                        <w:tcW w:w="490" w:type="pct"/>
                        <w:shd w:val="clear" w:color="auto" w:fill="auto"/>
                        <w:vAlign w:val="center"/>
                      </w:tcPr>
                      <w:p w14:paraId="1AF1FA09" w14:textId="77777777" w:rsidR="007E7472" w:rsidRDefault="00EC1269" w:rsidP="007E7472">
                        <w:pPr>
                          <w:jc w:val="right"/>
                        </w:pPr>
                        <w:r>
                          <w:rPr>
                            <w:rFonts w:hint="eastAsia"/>
                          </w:rPr>
                          <w:t>8,395,930</w:t>
                        </w:r>
                      </w:p>
                    </w:tc>
                  </w:sdtContent>
                </w:sdt>
                <w:tc>
                  <w:tcPr>
                    <w:tcW w:w="310" w:type="pct"/>
                    <w:shd w:val="clear" w:color="auto" w:fill="auto"/>
                    <w:vAlign w:val="center"/>
                  </w:tcPr>
                  <w:p w14:paraId="41FC4F57" w14:textId="6911C9C6" w:rsidR="007E7472" w:rsidRDefault="00EC1269">
                    <w:pPr>
                      <w:jc w:val="right"/>
                      <w:rPr>
                        <w:bCs/>
                      </w:rPr>
                    </w:pPr>
                    <w:r>
                      <w:rPr>
                        <w:rFonts w:hint="eastAsia"/>
                      </w:rPr>
                      <w:t>65</w:t>
                    </w:r>
                  </w:p>
                </w:tc>
                <w:tc>
                  <w:tcPr>
                    <w:tcW w:w="318" w:type="pct"/>
                    <w:shd w:val="clear" w:color="auto" w:fill="auto"/>
                    <w:vAlign w:val="center"/>
                  </w:tcPr>
                  <w:p w14:paraId="077C8211" w14:textId="77777777" w:rsidR="007E7472" w:rsidRDefault="00EC1269">
                    <w:pPr>
                      <w:jc w:val="right"/>
                    </w:pPr>
                    <w:r>
                      <w:rPr>
                        <w:rFonts w:hint="eastAsia"/>
                      </w:rPr>
                      <w:t>65</w:t>
                    </w:r>
                  </w:p>
                </w:tc>
                <w:tc>
                  <w:tcPr>
                    <w:tcW w:w="363" w:type="pct"/>
                    <w:shd w:val="clear" w:color="auto" w:fill="auto"/>
                    <w:vAlign w:val="center"/>
                  </w:tcPr>
                  <w:p w14:paraId="4E968843" w14:textId="77777777" w:rsidR="007E7472" w:rsidRDefault="00EC1269">
                    <w:pPr>
                      <w:jc w:val="right"/>
                    </w:pPr>
                    <w:r>
                      <w:rPr>
                        <w:rFonts w:hint="eastAsia"/>
                      </w:rPr>
                      <w:t>1,124,102</w:t>
                    </w:r>
                  </w:p>
                </w:tc>
                <w:tc>
                  <w:tcPr>
                    <w:tcW w:w="338" w:type="pct"/>
                    <w:shd w:val="clear" w:color="auto" w:fill="auto"/>
                    <w:vAlign w:val="center"/>
                  </w:tcPr>
                  <w:p w14:paraId="7FF6541E" w14:textId="77777777" w:rsidR="007E7472" w:rsidRDefault="00EC1269">
                    <w:pPr>
                      <w:jc w:val="right"/>
                    </w:pPr>
                    <w:r>
                      <w:rPr>
                        <w:rFonts w:hint="eastAsia"/>
                      </w:rPr>
                      <w:t>147,723</w:t>
                    </w:r>
                  </w:p>
                </w:tc>
                <w:tc>
                  <w:tcPr>
                    <w:tcW w:w="349" w:type="pct"/>
                    <w:shd w:val="clear" w:color="auto" w:fill="auto"/>
                    <w:vAlign w:val="center"/>
                  </w:tcPr>
                  <w:p w14:paraId="280604AD" w14:textId="77777777" w:rsidR="007E7472" w:rsidRDefault="00EC1269">
                    <w:pPr>
                      <w:jc w:val="right"/>
                    </w:pPr>
                    <w:r>
                      <w:rPr>
                        <w:rFonts w:hint="eastAsia"/>
                      </w:rPr>
                      <w:t>4.35-6</w:t>
                    </w:r>
                  </w:p>
                </w:tc>
                <w:tc>
                  <w:tcPr>
                    <w:tcW w:w="290" w:type="pct"/>
                    <w:shd w:val="clear" w:color="auto" w:fill="auto"/>
                    <w:vAlign w:val="center"/>
                  </w:tcPr>
                  <w:p w14:paraId="09EE2B68" w14:textId="77777777" w:rsidR="007E7472" w:rsidRDefault="00EC1269">
                    <w:r>
                      <w:rPr>
                        <w:rFonts w:hint="eastAsia"/>
                      </w:rPr>
                      <w:t>金融机构贷款</w:t>
                    </w:r>
                  </w:p>
                </w:tc>
              </w:tr>
            </w:sdtContent>
          </w:sdt>
          <w:sdt>
            <w:sdtPr>
              <w:rPr>
                <w:rFonts w:ascii="Times New Roman" w:hAnsi="Times New Roman" w:cs="Times New Roman" w:hint="eastAsia"/>
                <w:sz w:val="20"/>
                <w:szCs w:val="20"/>
              </w:rPr>
              <w:alias w:val="在建工程明细"/>
              <w:tag w:val="_GBC_b84d9018f52b45beabeca7c2371cdc18"/>
              <w:id w:val="-1056308929"/>
              <w:lock w:val="sdtLocked"/>
            </w:sdtPr>
            <w:sdtEndPr/>
            <w:sdtContent>
              <w:tr w:rsidR="007E7472" w14:paraId="4A6160BE" w14:textId="77777777" w:rsidTr="007E7472">
                <w:trPr>
                  <w:cantSplit/>
                  <w:jc w:val="center"/>
                </w:trPr>
                <w:tc>
                  <w:tcPr>
                    <w:tcW w:w="453" w:type="pct"/>
                    <w:shd w:val="clear" w:color="auto" w:fill="auto"/>
                  </w:tcPr>
                  <w:p w14:paraId="5C682F5D" w14:textId="77777777" w:rsidR="007E7472" w:rsidRDefault="00EC1269">
                    <w:pPr>
                      <w:ind w:right="105"/>
                    </w:pPr>
                    <w:r>
                      <w:rPr>
                        <w:rFonts w:hint="eastAsia"/>
                      </w:rPr>
                      <w:t>兖矿泰安港公铁水联运物流园</w:t>
                    </w:r>
                  </w:p>
                </w:tc>
                <w:tc>
                  <w:tcPr>
                    <w:tcW w:w="363" w:type="pct"/>
                    <w:shd w:val="clear" w:color="auto" w:fill="auto"/>
                    <w:vAlign w:val="center"/>
                  </w:tcPr>
                  <w:p w14:paraId="23EDF7AD" w14:textId="77777777" w:rsidR="007E7472" w:rsidRDefault="00EC1269">
                    <w:pPr>
                      <w:jc w:val="right"/>
                    </w:pPr>
                    <w:r>
                      <w:rPr>
                        <w:rFonts w:hint="eastAsia"/>
                      </w:rPr>
                      <w:t>1,077,630</w:t>
                    </w:r>
                  </w:p>
                </w:tc>
                <w:tc>
                  <w:tcPr>
                    <w:tcW w:w="347" w:type="pct"/>
                    <w:shd w:val="clear" w:color="auto" w:fill="auto"/>
                    <w:vAlign w:val="center"/>
                  </w:tcPr>
                  <w:p w14:paraId="7B43691B" w14:textId="77777777" w:rsidR="007E7472" w:rsidRDefault="00EC1269">
                    <w:pPr>
                      <w:jc w:val="right"/>
                    </w:pPr>
                    <w:r>
                      <w:rPr>
                        <w:rFonts w:hint="eastAsia"/>
                      </w:rPr>
                      <w:t>240,749</w:t>
                    </w:r>
                  </w:p>
                </w:tc>
                <w:tc>
                  <w:tcPr>
                    <w:tcW w:w="369" w:type="pct"/>
                    <w:shd w:val="clear" w:color="auto" w:fill="auto"/>
                    <w:vAlign w:val="center"/>
                  </w:tcPr>
                  <w:p w14:paraId="64243907" w14:textId="77777777" w:rsidR="007E7472" w:rsidRDefault="00C8327E">
                    <w:pPr>
                      <w:ind w:right="73"/>
                      <w:jc w:val="right"/>
                    </w:pPr>
                  </w:p>
                </w:tc>
                <w:tc>
                  <w:tcPr>
                    <w:tcW w:w="315" w:type="pct"/>
                    <w:shd w:val="clear" w:color="auto" w:fill="auto"/>
                    <w:vAlign w:val="center"/>
                  </w:tcPr>
                  <w:p w14:paraId="5CACA412" w14:textId="77777777" w:rsidR="007E7472" w:rsidRDefault="00C8327E">
                    <w:pPr>
                      <w:jc w:val="right"/>
                    </w:pPr>
                  </w:p>
                </w:tc>
                <w:sdt>
                  <w:sdtPr>
                    <w:rPr>
                      <w:rFonts w:hint="eastAsia"/>
                    </w:rPr>
                    <w:alias w:val="外币报表折算差额"/>
                    <w:tag w:val="_GBC_03ee4ee1543240a5a62a9b4368a19be1"/>
                    <w:id w:val="-484781806"/>
                    <w:lock w:val="sdtLocked"/>
                    <w:showingPlcHdr/>
                  </w:sdtPr>
                  <w:sdtEndPr/>
                  <w:sdtContent>
                    <w:tc>
                      <w:tcPr>
                        <w:tcW w:w="332" w:type="pct"/>
                        <w:vAlign w:val="center"/>
                      </w:tcPr>
                      <w:p w14:paraId="661F4145" w14:textId="77777777" w:rsidR="007E7472" w:rsidRDefault="00C8327E">
                        <w:pPr>
                          <w:jc w:val="right"/>
                        </w:pPr>
                      </w:p>
                    </w:tc>
                  </w:sdtContent>
                </w:sdt>
                <w:tc>
                  <w:tcPr>
                    <w:tcW w:w="363" w:type="pct"/>
                    <w:vAlign w:val="center"/>
                  </w:tcPr>
                  <w:p w14:paraId="5817E223" w14:textId="77777777" w:rsidR="007E7472" w:rsidRDefault="00EC1269">
                    <w:pPr>
                      <w:jc w:val="right"/>
                    </w:pPr>
                    <w:r>
                      <w:rPr>
                        <w:rFonts w:hint="eastAsia"/>
                      </w:rPr>
                      <w:t>1,318,379</w:t>
                    </w:r>
                  </w:p>
                </w:tc>
                <w:sdt>
                  <w:sdtPr>
                    <w:rPr>
                      <w:rFonts w:hint="eastAsia"/>
                    </w:rPr>
                    <w:alias w:val="预算数"/>
                    <w:tag w:val="_GBC_31d932b8a5e14276bb56b250239cf3c8"/>
                    <w:id w:val="48125868"/>
                    <w:lock w:val="sdtLocked"/>
                  </w:sdtPr>
                  <w:sdtEndPr/>
                  <w:sdtContent>
                    <w:tc>
                      <w:tcPr>
                        <w:tcW w:w="490" w:type="pct"/>
                        <w:shd w:val="clear" w:color="auto" w:fill="auto"/>
                        <w:vAlign w:val="center"/>
                      </w:tcPr>
                      <w:p w14:paraId="274B2C09" w14:textId="77777777" w:rsidR="007E7472" w:rsidRDefault="00EC1269">
                        <w:pPr>
                          <w:jc w:val="right"/>
                        </w:pPr>
                        <w:r>
                          <w:rPr>
                            <w:rFonts w:hint="eastAsia"/>
                          </w:rPr>
                          <w:t>2,380,610</w:t>
                        </w:r>
                      </w:p>
                    </w:tc>
                  </w:sdtContent>
                </w:sdt>
                <w:tc>
                  <w:tcPr>
                    <w:tcW w:w="310" w:type="pct"/>
                    <w:shd w:val="clear" w:color="auto" w:fill="auto"/>
                    <w:vAlign w:val="center"/>
                  </w:tcPr>
                  <w:p w14:paraId="09E52E83" w14:textId="77777777" w:rsidR="007E7472" w:rsidRDefault="00EC1269">
                    <w:pPr>
                      <w:jc w:val="right"/>
                    </w:pPr>
                    <w:r>
                      <w:rPr>
                        <w:rFonts w:hint="eastAsia"/>
                      </w:rPr>
                      <w:t>55</w:t>
                    </w:r>
                  </w:p>
                </w:tc>
                <w:tc>
                  <w:tcPr>
                    <w:tcW w:w="318" w:type="pct"/>
                    <w:shd w:val="clear" w:color="auto" w:fill="auto"/>
                    <w:vAlign w:val="center"/>
                  </w:tcPr>
                  <w:p w14:paraId="383617E1" w14:textId="77777777" w:rsidR="007E7472" w:rsidRDefault="00EC1269">
                    <w:pPr>
                      <w:jc w:val="right"/>
                    </w:pPr>
                    <w:r>
                      <w:rPr>
                        <w:rFonts w:hint="eastAsia"/>
                      </w:rPr>
                      <w:t>55</w:t>
                    </w:r>
                  </w:p>
                </w:tc>
                <w:tc>
                  <w:tcPr>
                    <w:tcW w:w="363" w:type="pct"/>
                    <w:shd w:val="clear" w:color="auto" w:fill="auto"/>
                    <w:vAlign w:val="center"/>
                  </w:tcPr>
                  <w:p w14:paraId="0E3EE6BC" w14:textId="77777777" w:rsidR="007E7472" w:rsidRDefault="00EC1269">
                    <w:pPr>
                      <w:jc w:val="right"/>
                    </w:pPr>
                    <w:r>
                      <w:rPr>
                        <w:rFonts w:hint="eastAsia"/>
                      </w:rPr>
                      <w:t>40,589</w:t>
                    </w:r>
                  </w:p>
                </w:tc>
                <w:tc>
                  <w:tcPr>
                    <w:tcW w:w="338" w:type="pct"/>
                    <w:shd w:val="clear" w:color="auto" w:fill="auto"/>
                    <w:vAlign w:val="center"/>
                  </w:tcPr>
                  <w:p w14:paraId="1E268587" w14:textId="77777777" w:rsidR="007E7472" w:rsidRDefault="00EC1269">
                    <w:pPr>
                      <w:jc w:val="right"/>
                    </w:pPr>
                    <w:r>
                      <w:rPr>
                        <w:rFonts w:hint="eastAsia"/>
                      </w:rPr>
                      <w:t>19,824</w:t>
                    </w:r>
                  </w:p>
                </w:tc>
                <w:tc>
                  <w:tcPr>
                    <w:tcW w:w="349" w:type="pct"/>
                    <w:shd w:val="clear" w:color="auto" w:fill="auto"/>
                    <w:vAlign w:val="center"/>
                  </w:tcPr>
                  <w:p w14:paraId="46DD4D9B" w14:textId="77777777" w:rsidR="007E7472" w:rsidRDefault="00EC1269">
                    <w:pPr>
                      <w:jc w:val="right"/>
                    </w:pPr>
                    <w:r>
                      <w:rPr>
                        <w:rFonts w:hint="eastAsia"/>
                      </w:rPr>
                      <w:t>3.27</w:t>
                    </w:r>
                  </w:p>
                </w:tc>
                <w:tc>
                  <w:tcPr>
                    <w:tcW w:w="290" w:type="pct"/>
                    <w:shd w:val="clear" w:color="auto" w:fill="auto"/>
                    <w:vAlign w:val="center"/>
                  </w:tcPr>
                  <w:p w14:paraId="32F70AAD" w14:textId="77777777" w:rsidR="007E7472" w:rsidRDefault="00EC1269">
                    <w:r>
                      <w:rPr>
                        <w:rFonts w:hint="eastAsia"/>
                      </w:rPr>
                      <w:t>自筹及贷款</w:t>
                    </w:r>
                  </w:p>
                </w:tc>
              </w:tr>
            </w:sdtContent>
          </w:sdt>
          <w:tr w:rsidR="007E7472" w14:paraId="4A565DF2" w14:textId="77777777" w:rsidTr="007E7472">
            <w:trPr>
              <w:cantSplit/>
              <w:trHeight w:val="340"/>
              <w:jc w:val="center"/>
            </w:trPr>
            <w:sdt>
              <w:sdtPr>
                <w:rPr>
                  <w:rFonts w:hint="eastAsia"/>
                </w:rPr>
                <w:tag w:val="_PLD_942a3001646f41f087960bab251b2bbb"/>
                <w:id w:val="363411722"/>
                <w:lock w:val="sdtLocked"/>
              </w:sdtPr>
              <w:sdtEndPr/>
              <w:sdtContent>
                <w:tc>
                  <w:tcPr>
                    <w:tcW w:w="453" w:type="pct"/>
                    <w:shd w:val="clear" w:color="auto" w:fill="auto"/>
                    <w:vAlign w:val="center"/>
                  </w:tcPr>
                  <w:p w14:paraId="14C94752" w14:textId="77777777" w:rsidR="007E7472" w:rsidRDefault="00EC1269">
                    <w:pPr>
                      <w:ind w:right="105"/>
                      <w:jc w:val="center"/>
                    </w:pPr>
                    <w:r>
                      <w:rPr>
                        <w:rFonts w:hint="eastAsia"/>
                      </w:rPr>
                      <w:t>合计</w:t>
                    </w:r>
                  </w:p>
                </w:tc>
              </w:sdtContent>
            </w:sdt>
            <w:tc>
              <w:tcPr>
                <w:tcW w:w="363" w:type="pct"/>
                <w:shd w:val="clear" w:color="auto" w:fill="auto"/>
                <w:vAlign w:val="center"/>
              </w:tcPr>
              <w:p w14:paraId="08C1D6A8" w14:textId="77777777" w:rsidR="007E7472" w:rsidRDefault="00EC1269">
                <w:pPr>
                  <w:jc w:val="right"/>
                </w:pPr>
                <w:r>
                  <w:rPr>
                    <w:rFonts w:hint="eastAsia"/>
                  </w:rPr>
                  <w:t>8,125,195</w:t>
                </w:r>
              </w:p>
            </w:tc>
            <w:tc>
              <w:tcPr>
                <w:tcW w:w="347" w:type="pct"/>
                <w:shd w:val="clear" w:color="auto" w:fill="auto"/>
                <w:vAlign w:val="center"/>
              </w:tcPr>
              <w:p w14:paraId="0F54918C" w14:textId="77777777" w:rsidR="007E7472" w:rsidRDefault="00EC1269">
                <w:pPr>
                  <w:ind w:right="73"/>
                  <w:jc w:val="right"/>
                </w:pPr>
                <w:r>
                  <w:rPr>
                    <w:rFonts w:hint="eastAsia"/>
                  </w:rPr>
                  <w:t>576,079</w:t>
                </w:r>
              </w:p>
            </w:tc>
            <w:tc>
              <w:tcPr>
                <w:tcW w:w="369" w:type="pct"/>
                <w:shd w:val="clear" w:color="auto" w:fill="auto"/>
                <w:vAlign w:val="center"/>
              </w:tcPr>
              <w:p w14:paraId="3A606946" w14:textId="77777777" w:rsidR="007E7472" w:rsidRDefault="00C8327E">
                <w:pPr>
                  <w:ind w:right="73"/>
                  <w:jc w:val="right"/>
                </w:pPr>
              </w:p>
            </w:tc>
            <w:tc>
              <w:tcPr>
                <w:tcW w:w="315" w:type="pct"/>
                <w:shd w:val="clear" w:color="auto" w:fill="auto"/>
                <w:vAlign w:val="center"/>
              </w:tcPr>
              <w:p w14:paraId="1FB36BDD" w14:textId="77777777" w:rsidR="007E7472" w:rsidRDefault="00C8327E">
                <w:pPr>
                  <w:jc w:val="right"/>
                </w:pPr>
              </w:p>
            </w:tc>
            <w:tc>
              <w:tcPr>
                <w:tcW w:w="332" w:type="pct"/>
                <w:vAlign w:val="center"/>
              </w:tcPr>
              <w:p w14:paraId="413DB110" w14:textId="77777777" w:rsidR="007E7472" w:rsidRDefault="00EC1269">
                <w:pPr>
                  <w:jc w:val="right"/>
                </w:pPr>
                <w:r>
                  <w:rPr>
                    <w:rFonts w:hint="eastAsia"/>
                  </w:rPr>
                  <w:t>70,292</w:t>
                </w:r>
              </w:p>
            </w:tc>
            <w:tc>
              <w:tcPr>
                <w:tcW w:w="363" w:type="pct"/>
                <w:vAlign w:val="center"/>
              </w:tcPr>
              <w:p w14:paraId="76BE79FE" w14:textId="77777777" w:rsidR="007E7472" w:rsidRDefault="00EC1269">
                <w:pPr>
                  <w:jc w:val="right"/>
                </w:pPr>
                <w:r>
                  <w:rPr>
                    <w:rFonts w:hint="eastAsia"/>
                  </w:rPr>
                  <w:t>8,771,566</w:t>
                </w:r>
              </w:p>
            </w:tc>
            <w:tc>
              <w:tcPr>
                <w:tcW w:w="490" w:type="pct"/>
                <w:shd w:val="clear" w:color="auto" w:fill="auto"/>
                <w:vAlign w:val="center"/>
              </w:tcPr>
              <w:p w14:paraId="045AF48C" w14:textId="77777777" w:rsidR="007E7472" w:rsidRDefault="00EC1269" w:rsidP="007E7472">
                <w:pPr>
                  <w:jc w:val="right"/>
                </w:pPr>
                <w:r>
                  <w:rPr>
                    <w:rFonts w:hint="eastAsia"/>
                  </w:rPr>
                  <w:t>10,776,540</w:t>
                </w:r>
              </w:p>
            </w:tc>
            <w:tc>
              <w:tcPr>
                <w:tcW w:w="310" w:type="pct"/>
                <w:shd w:val="clear" w:color="auto" w:fill="auto"/>
                <w:vAlign w:val="center"/>
              </w:tcPr>
              <w:p w14:paraId="3064484C" w14:textId="77777777" w:rsidR="007E7472" w:rsidRDefault="00EC1269">
                <w:pPr>
                  <w:jc w:val="right"/>
                  <w:rPr>
                    <w:bCs/>
                  </w:rPr>
                </w:pPr>
                <w:r>
                  <w:rPr>
                    <w:rFonts w:hint="eastAsia"/>
                  </w:rPr>
                  <w:t>—</w:t>
                </w:r>
              </w:p>
            </w:tc>
            <w:tc>
              <w:tcPr>
                <w:tcW w:w="318" w:type="pct"/>
                <w:shd w:val="clear" w:color="auto" w:fill="auto"/>
                <w:vAlign w:val="center"/>
              </w:tcPr>
              <w:p w14:paraId="1236503F" w14:textId="77777777" w:rsidR="007E7472" w:rsidRDefault="00EC1269">
                <w:pPr>
                  <w:jc w:val="right"/>
                </w:pPr>
                <w:r>
                  <w:rPr>
                    <w:rFonts w:hint="eastAsia"/>
                  </w:rPr>
                  <w:t>—</w:t>
                </w:r>
              </w:p>
            </w:tc>
            <w:tc>
              <w:tcPr>
                <w:tcW w:w="363" w:type="pct"/>
                <w:shd w:val="clear" w:color="auto" w:fill="auto"/>
                <w:vAlign w:val="center"/>
              </w:tcPr>
              <w:p w14:paraId="48B1430C" w14:textId="77777777" w:rsidR="007E7472" w:rsidRDefault="00EC1269">
                <w:pPr>
                  <w:jc w:val="right"/>
                  <w:rPr>
                    <w:bCs/>
                  </w:rPr>
                </w:pPr>
                <w:r>
                  <w:rPr>
                    <w:rFonts w:hint="eastAsia"/>
                  </w:rPr>
                  <w:t>1,193,686</w:t>
                </w:r>
              </w:p>
            </w:tc>
            <w:tc>
              <w:tcPr>
                <w:tcW w:w="338" w:type="pct"/>
                <w:shd w:val="clear" w:color="auto" w:fill="auto"/>
                <w:vAlign w:val="center"/>
              </w:tcPr>
              <w:p w14:paraId="53660C1C" w14:textId="77777777" w:rsidR="007E7472" w:rsidRDefault="00EC1269">
                <w:pPr>
                  <w:jc w:val="right"/>
                </w:pPr>
                <w:r>
                  <w:rPr>
                    <w:rFonts w:hint="eastAsia"/>
                  </w:rPr>
                  <w:t>167,547</w:t>
                </w:r>
              </w:p>
            </w:tc>
            <w:tc>
              <w:tcPr>
                <w:tcW w:w="349" w:type="pct"/>
                <w:shd w:val="clear" w:color="auto" w:fill="auto"/>
                <w:vAlign w:val="center"/>
              </w:tcPr>
              <w:p w14:paraId="0CEB6577" w14:textId="77777777" w:rsidR="007E7472" w:rsidRDefault="00EC1269">
                <w:pPr>
                  <w:jc w:val="right"/>
                  <w:rPr>
                    <w:bCs/>
                  </w:rPr>
                </w:pPr>
                <w:r>
                  <w:rPr>
                    <w:rFonts w:hint="eastAsia"/>
                  </w:rPr>
                  <w:t>—</w:t>
                </w:r>
              </w:p>
            </w:tc>
            <w:tc>
              <w:tcPr>
                <w:tcW w:w="290" w:type="pct"/>
                <w:shd w:val="clear" w:color="auto" w:fill="auto"/>
                <w:vAlign w:val="center"/>
              </w:tcPr>
              <w:p w14:paraId="3DA05129" w14:textId="77777777" w:rsidR="007E7472" w:rsidRDefault="00EC1269">
                <w:pPr>
                  <w:jc w:val="center"/>
                </w:pPr>
                <w:r>
                  <w:rPr>
                    <w:rFonts w:hint="eastAsia"/>
                  </w:rPr>
                  <w:t>—</w:t>
                </w:r>
              </w:p>
            </w:tc>
          </w:tr>
        </w:tbl>
        <w:p w14:paraId="6E5EF4C3" w14:textId="77777777" w:rsidR="007E7472" w:rsidRDefault="00EC1269">
          <w:pPr>
            <w:widowControl w:val="0"/>
            <w:snapToGrid w:val="0"/>
            <w:spacing w:beforeLines="50" w:before="120" w:afterLines="50" w:after="120" w:line="360" w:lineRule="exact"/>
            <w:ind w:firstLineChars="200" w:firstLine="420"/>
            <w:jc w:val="both"/>
          </w:pPr>
          <w:r>
            <w:rPr>
              <w:rFonts w:hint="eastAsia"/>
            </w:rPr>
            <w:t>注：</w:t>
          </w:r>
          <w:r>
            <w:rPr>
              <w:rFonts w:hint="eastAsia"/>
              <w:color w:val="000000"/>
            </w:rPr>
            <w:t>加拿大钾矿拥有</w:t>
          </w:r>
          <w:r>
            <w:rPr>
              <w:rFonts w:hint="eastAsia"/>
            </w:rPr>
            <w:t>6个钾矿采矿权，项目可行性研究已经完成，尚没有具体开发规划。</w:t>
          </w:r>
        </w:p>
        <w:p w14:paraId="4BE0D39A" w14:textId="380A8D19" w:rsidR="007E7472" w:rsidRDefault="00C8327E">
          <w:pPr>
            <w:snapToGrid w:val="0"/>
            <w:spacing w:line="240" w:lineRule="atLeast"/>
            <w:sectPr w:rsidR="007E7472">
              <w:pgSz w:w="16838" w:h="11906" w:orient="landscape"/>
              <w:pgMar w:top="1276" w:right="1440" w:bottom="1797" w:left="1525" w:header="856" w:footer="992" w:gutter="0"/>
              <w:cols w:space="425"/>
              <w:docGrid w:linePitch="312"/>
            </w:sectPr>
          </w:pPr>
        </w:p>
      </w:sdtContent>
    </w:sdt>
    <w:sdt>
      <w:sdtPr>
        <w:rPr>
          <w:rFonts w:ascii="宋体" w:hAnsi="宋体" w:cs="宋体" w:hint="eastAsia"/>
          <w:b w:val="0"/>
          <w:bCs w:val="0"/>
          <w:kern w:val="0"/>
          <w:sz w:val="20"/>
          <w:szCs w:val="21"/>
        </w:rPr>
        <w:alias w:val="模块:在建工程减值准备"/>
        <w:tag w:val="_GBC_467986eee7244ad69e86a4292f121eb6"/>
        <w:id w:val="1473949623"/>
        <w:lock w:val="sdtLocked"/>
        <w:placeholder>
          <w:docPart w:val="GBC22222222222222222222222222222"/>
        </w:placeholder>
      </w:sdtPr>
      <w:sdtEndPr>
        <w:rPr>
          <w:rFonts w:cstheme="minorBidi"/>
          <w:szCs w:val="22"/>
        </w:rPr>
      </w:sdtEndPr>
      <w:sdtContent>
        <w:p w14:paraId="4822FB28" w14:textId="77777777" w:rsidR="007E7472" w:rsidRDefault="00EC1269" w:rsidP="00162493">
          <w:pPr>
            <w:pStyle w:val="4"/>
            <w:numPr>
              <w:ilvl w:val="0"/>
              <w:numId w:val="75"/>
            </w:numPr>
          </w:pPr>
          <w:r>
            <w:rPr>
              <w:rFonts w:hint="eastAsia"/>
            </w:rPr>
            <w:t>本期计提在建工程减值准备情况</w:t>
          </w:r>
        </w:p>
        <w:sdt>
          <w:sdtPr>
            <w:alias w:val="是否适用：本期计提在建工程减值准备情况[双击切换]"/>
            <w:tag w:val="_GBC_b220fd94287f4b01997861dc2c72b0a6"/>
            <w:id w:val="-609127532"/>
            <w:lock w:val="sdtLocked"/>
            <w:placeholder>
              <w:docPart w:val="GBC22222222222222222222222222222"/>
            </w:placeholder>
          </w:sdtPr>
          <w:sdtEndPr/>
          <w:sdtContent>
            <w:p w14:paraId="010A1529"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sdt>
      <w:sdtPr>
        <w:rPr>
          <w:rFonts w:hint="eastAsia"/>
        </w:rPr>
        <w:alias w:val="模块:在建工程的说明"/>
        <w:tag w:val="_GBC_d5aec612c6334d1b8a827f3f39a2781d"/>
        <w:id w:val="1715698491"/>
        <w:lock w:val="sdtLocked"/>
        <w:placeholder>
          <w:docPart w:val="GBC22222222222222222222222222222"/>
        </w:placeholder>
      </w:sdtPr>
      <w:sdtEndPr>
        <w:rPr>
          <w:rFonts w:hint="default"/>
        </w:rPr>
      </w:sdtEndPr>
      <w:sdtContent>
        <w:p w14:paraId="7ADA8162" w14:textId="77777777" w:rsidR="007E7472" w:rsidRDefault="00EC1269">
          <w:r>
            <w:rPr>
              <w:rFonts w:hint="eastAsia"/>
            </w:rPr>
            <w:t>其他说明</w:t>
          </w:r>
        </w:p>
        <w:sdt>
          <w:sdtPr>
            <w:alias w:val="是否适用：在建工程的说明[双击切换]"/>
            <w:tag w:val="_GBC_c0ffdfbb304348758da855627ba6d858"/>
            <w:id w:val="1767956304"/>
            <w:lock w:val="sdtLocked"/>
            <w:placeholder>
              <w:docPart w:val="GBC22222222222222222222222222222"/>
            </w:placeholder>
          </w:sdtPr>
          <w:sdtEndPr/>
          <w:sdtContent>
            <w:p w14:paraId="2BA29559"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fldChar w:fldCharType="begin"/>
              </w:r>
              <w:r>
                <w:instrText xml:space="preserve"> MACROBUTTON  SnrToggleCheckbox √不适用 </w:instrText>
              </w:r>
              <w:r>
                <w:fldChar w:fldCharType="end"/>
              </w:r>
            </w:p>
          </w:sdtContent>
        </w:sdt>
      </w:sdtContent>
    </w:sdt>
    <w:bookmarkStart w:id="221" w:name="_Hlk11683481" w:displacedByCustomXml="next"/>
    <w:sdt>
      <w:sdtPr>
        <w:rPr>
          <w:rFonts w:ascii="宋体" w:hAnsi="宋体" w:cstheme="minorBidi" w:hint="eastAsia"/>
          <w:kern w:val="0"/>
          <w:sz w:val="20"/>
          <w:szCs w:val="24"/>
        </w:rPr>
        <w:alias w:val="模块:工程物资"/>
        <w:tag w:val="_GBC_12c2ea8f308b49c7b5e2baae867f1ec7"/>
        <w:id w:val="-241951891"/>
        <w:lock w:val="sdtLocked"/>
        <w:placeholder>
          <w:docPart w:val="GBC22222222222222222222222222222"/>
        </w:placeholder>
      </w:sdtPr>
      <w:sdtEndPr>
        <w:rPr>
          <w:rFonts w:hint="default"/>
          <w:szCs w:val="21"/>
        </w:rPr>
      </w:sdtEndPr>
      <w:sdtContent>
        <w:p w14:paraId="17484962" w14:textId="77777777" w:rsidR="007E7472" w:rsidRPr="00E4374F" w:rsidRDefault="00EC1269" w:rsidP="00162493">
          <w:pPr>
            <w:pStyle w:val="aff2"/>
            <w:numPr>
              <w:ilvl w:val="0"/>
              <w:numId w:val="76"/>
            </w:numPr>
            <w:ind w:firstLineChars="0"/>
            <w:rPr>
              <w:rFonts w:ascii="Cambria" w:hAnsi="Cambria"/>
              <w:b/>
              <w:bCs/>
              <w:szCs w:val="28"/>
            </w:rPr>
          </w:pPr>
          <w:r w:rsidRPr="00E4374F">
            <w:rPr>
              <w:rFonts w:ascii="Cambria" w:hAnsi="Cambria" w:hint="eastAsia"/>
              <w:b/>
              <w:bCs/>
              <w:szCs w:val="28"/>
            </w:rPr>
            <w:t>工程物资</w:t>
          </w:r>
        </w:p>
        <w:sdt>
          <w:sdtPr>
            <w:alias w:val="是否适用：工程物资[双击切换]"/>
            <w:tag w:val="_GBC_0d711628566c4b08b883151766986b20"/>
            <w:id w:val="-468512656"/>
            <w:lock w:val="sdtLocked"/>
            <w:placeholder>
              <w:docPart w:val="GBC22222222222222222222222222222"/>
            </w:placeholder>
          </w:sdtPr>
          <w:sdtEndPr/>
          <w:sdtContent>
            <w:p w14:paraId="20C2BFCB" w14:textId="03C8E36F"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bookmarkEnd w:id="221"/>
    <w:p w14:paraId="6A449C5F" w14:textId="77777777" w:rsidR="007E7472" w:rsidRDefault="00EC1269" w:rsidP="00162493">
      <w:pPr>
        <w:pStyle w:val="3"/>
        <w:numPr>
          <w:ilvl w:val="0"/>
          <w:numId w:val="62"/>
        </w:numPr>
      </w:pPr>
      <w:r>
        <w:rPr>
          <w:rFonts w:hint="eastAsia"/>
        </w:rPr>
        <w:t>生产性生物资产</w:t>
      </w:r>
    </w:p>
    <w:sdt>
      <w:sdtPr>
        <w:rPr>
          <w:rFonts w:ascii="宋体" w:hAnsi="宋体" w:cstheme="minorBidi" w:hint="eastAsia"/>
          <w:b w:val="0"/>
          <w:bCs w:val="0"/>
          <w:kern w:val="0"/>
          <w:sz w:val="20"/>
          <w:szCs w:val="21"/>
        </w:rPr>
        <w:alias w:val="模块:采用成成本计量模式的生产性生物资产"/>
        <w:tag w:val="_GBC_e4aea5da03534f61818766a33b5ada09"/>
        <w:id w:val="-1676035004"/>
        <w:lock w:val="sdtLocked"/>
        <w:placeholder>
          <w:docPart w:val="GBC22222222222222222222222222222"/>
        </w:placeholder>
      </w:sdtPr>
      <w:sdtEndPr>
        <w:rPr>
          <w:rFonts w:hint="default"/>
        </w:rPr>
      </w:sdtEndPr>
      <w:sdtContent>
        <w:p w14:paraId="652FC93E" w14:textId="77777777" w:rsidR="007E7472" w:rsidRDefault="00EC1269" w:rsidP="00162493">
          <w:pPr>
            <w:pStyle w:val="4"/>
            <w:numPr>
              <w:ilvl w:val="0"/>
              <w:numId w:val="77"/>
            </w:numPr>
          </w:pPr>
          <w:r>
            <w:rPr>
              <w:rFonts w:hint="eastAsia"/>
            </w:rPr>
            <w:t>采用成本计量模式的生产性生物资产</w:t>
          </w:r>
        </w:p>
        <w:sdt>
          <w:sdtPr>
            <w:rPr>
              <w:rFonts w:hint="eastAsia"/>
            </w:rPr>
            <w:alias w:val="是否适用：财务附注：以成本计量的生产性生物资产[双击切换]"/>
            <w:tag w:val="_GBC_fca5101d9b46492484acd605f0ade969"/>
            <w:id w:val="-2067556539"/>
            <w:lock w:val="sdtLocked"/>
            <w:placeholder>
              <w:docPart w:val="GBC22222222222222222222222222222"/>
            </w:placeholder>
          </w:sdtPr>
          <w:sdtEndPr/>
          <w:sdtContent>
            <w:p w14:paraId="75483C77"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MACROBUTTON  SnrToggleCheckbox □适用</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sdt>
      <w:sdtPr>
        <w:rPr>
          <w:rFonts w:ascii="宋体" w:hAnsi="宋体" w:cstheme="minorBidi" w:hint="eastAsia"/>
          <w:b w:val="0"/>
          <w:bCs w:val="0"/>
          <w:kern w:val="0"/>
          <w:sz w:val="20"/>
          <w:szCs w:val="21"/>
        </w:rPr>
        <w:alias w:val="模块:采用公允价值计量模式的生产性生物资产"/>
        <w:tag w:val="_GBC_c6f2d306944241a8a32f51421c437b66"/>
        <w:id w:val="1202285040"/>
        <w:lock w:val="sdtLocked"/>
        <w:placeholder>
          <w:docPart w:val="GBC22222222222222222222222222222"/>
        </w:placeholder>
      </w:sdtPr>
      <w:sdtEndPr>
        <w:rPr>
          <w:szCs w:val="22"/>
        </w:rPr>
      </w:sdtEndPr>
      <w:sdtContent>
        <w:p w14:paraId="6F44A57A" w14:textId="77777777" w:rsidR="007E7472" w:rsidRDefault="00EC1269" w:rsidP="00162493">
          <w:pPr>
            <w:pStyle w:val="4"/>
            <w:numPr>
              <w:ilvl w:val="0"/>
              <w:numId w:val="77"/>
            </w:numPr>
          </w:pPr>
          <w:r>
            <w:rPr>
              <w:rFonts w:hint="eastAsia"/>
            </w:rPr>
            <w:t>采用公允价值计量模式的生产性生物资产</w:t>
          </w:r>
        </w:p>
        <w:sdt>
          <w:sdtPr>
            <w:alias w:val="是否适用：财务附注：以公允价值计量的生产性生物资产[双击切换]"/>
            <w:tag w:val="_GBC_3a67921e606f4abca6478a1ffb759394"/>
            <w:id w:val="-570879725"/>
            <w:lock w:val="sdtLocked"/>
            <w:placeholder>
              <w:docPart w:val="GBC22222222222222222222222222222"/>
            </w:placeholder>
          </w:sdtPr>
          <w:sdtEndPr/>
          <w:sdtContent>
            <w:p w14:paraId="378D2A17"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sdt>
      <w:sdtPr>
        <w:rPr>
          <w:rFonts w:hint="eastAsia"/>
        </w:rPr>
        <w:alias w:val="模块:生产性生物资产的说明"/>
        <w:tag w:val="_GBC_2bc189a19173429a899369a340bb8483"/>
        <w:id w:val="-908230649"/>
        <w:lock w:val="sdtLocked"/>
        <w:placeholder>
          <w:docPart w:val="GBC22222222222222222222222222222"/>
        </w:placeholder>
      </w:sdtPr>
      <w:sdtEndPr>
        <w:rPr>
          <w:rFonts w:hint="default"/>
        </w:rPr>
      </w:sdtEndPr>
      <w:sdtContent>
        <w:p w14:paraId="3D947611" w14:textId="77777777" w:rsidR="007E7472" w:rsidRDefault="00EC1269">
          <w:pPr>
            <w:autoSpaceDE w:val="0"/>
            <w:autoSpaceDN w:val="0"/>
            <w:adjustRightInd w:val="0"/>
          </w:pPr>
          <w:r>
            <w:rPr>
              <w:rFonts w:hint="eastAsia"/>
            </w:rPr>
            <w:t>其他说明</w:t>
          </w:r>
        </w:p>
        <w:sdt>
          <w:sdtPr>
            <w:alias w:val="是否适用：生产性生物资产的说明[双击切换]"/>
            <w:tag w:val="_GBC_48247874e2c54937aabce9db1308bea7"/>
            <w:id w:val="1953977284"/>
            <w:lock w:val="sdtLocked"/>
            <w:placeholder>
              <w:docPart w:val="GBC22222222222222222222222222222"/>
            </w:placeholder>
          </w:sdtPr>
          <w:sdtEndPr/>
          <w:sdtContent>
            <w:p w14:paraId="392FEB57" w14:textId="4CC9BAAB" w:rsidR="007E7472" w:rsidRDefault="00EC1269" w:rsidP="007E7472">
              <w:pPr>
                <w:autoSpaceDE w:val="0"/>
                <w:autoSpaceDN w:val="0"/>
                <w:adjustRightInd w:val="0"/>
              </w:pPr>
              <w:r>
                <w:rPr>
                  <w:rFonts w:asciiTheme="minorEastAsia" w:eastAsiaTheme="minorEastAsia" w:hAnsiTheme="minorEastAsia" w:cs="Times New Roman"/>
                </w:rPr>
                <w:fldChar w:fldCharType="begin"/>
              </w:r>
              <w:r>
                <w:rPr>
                  <w:rFonts w:asciiTheme="minorEastAsia" w:eastAsiaTheme="minorEastAsia" w:hAnsiTheme="minorEastAsia" w:cs="Times New Roman"/>
                </w:rPr>
                <w:instrText xml:space="preserve"> MACROBUTTON  SnrToggleCheckbox □适用 </w:instrText>
              </w:r>
              <w:r>
                <w:rPr>
                  <w:rFonts w:asciiTheme="minorEastAsia" w:eastAsiaTheme="minorEastAsia" w:hAnsiTheme="minorEastAsia" w:cs="Times New Roman"/>
                </w:rPr>
                <w:fldChar w:fldCharType="end"/>
              </w:r>
              <w:r>
                <w:rPr>
                  <w:rFonts w:asciiTheme="minorEastAsia" w:eastAsiaTheme="minorEastAsia" w:hAnsiTheme="minorEastAsia" w:cs="Times New Roman"/>
                </w:rPr>
                <w:fldChar w:fldCharType="begin"/>
              </w:r>
              <w:r>
                <w:rPr>
                  <w:rFonts w:asciiTheme="minorEastAsia" w:eastAsiaTheme="minorEastAsia" w:hAnsiTheme="minorEastAsia" w:cs="Times New Roman"/>
                </w:rPr>
                <w:instrText xml:space="preserve"> MACROBUTTON  SnrToggleCheckbox √不适用 </w:instrText>
              </w:r>
              <w:r>
                <w:rPr>
                  <w:rFonts w:asciiTheme="minorEastAsia" w:eastAsiaTheme="minorEastAsia" w:hAnsiTheme="minorEastAsia" w:cs="Times New Roman"/>
                </w:rPr>
                <w:fldChar w:fldCharType="end"/>
              </w:r>
            </w:p>
          </w:sdtContent>
        </w:sdt>
      </w:sdtContent>
    </w:sdt>
    <w:sdt>
      <w:sdtPr>
        <w:rPr>
          <w:rFonts w:ascii="宋体" w:hAnsi="宋体" w:cs="宋体" w:hint="eastAsia"/>
          <w:b w:val="0"/>
          <w:bCs w:val="0"/>
          <w:kern w:val="0"/>
          <w:sz w:val="20"/>
          <w:szCs w:val="21"/>
        </w:rPr>
        <w:alias w:val="模块:油气资产"/>
        <w:tag w:val="_GBC_fe60430654f541aab1da59bd08202085"/>
        <w:id w:val="163365821"/>
        <w:lock w:val="sdtLocked"/>
        <w:placeholder>
          <w:docPart w:val="GBC22222222222222222222222222222"/>
        </w:placeholder>
      </w:sdtPr>
      <w:sdtEndPr>
        <w:rPr>
          <w:rFonts w:ascii="Times New Roman" w:hAnsi="Times New Roman" w:cstheme="minorBidi" w:hint="default"/>
          <w:szCs w:val="20"/>
        </w:rPr>
      </w:sdtEndPr>
      <w:sdtContent>
        <w:p w14:paraId="7E643148" w14:textId="77777777" w:rsidR="007E7472" w:rsidRDefault="00EC1269" w:rsidP="00162493">
          <w:pPr>
            <w:pStyle w:val="3"/>
            <w:numPr>
              <w:ilvl w:val="0"/>
              <w:numId w:val="62"/>
            </w:numPr>
          </w:pPr>
          <w:r>
            <w:rPr>
              <w:rFonts w:hint="eastAsia"/>
            </w:rPr>
            <w:t>油气资产</w:t>
          </w:r>
        </w:p>
        <w:sdt>
          <w:sdtPr>
            <w:alias w:val="是否适用：油气资产[双击切换]"/>
            <w:tag w:val="_GBC_7dce41817eb749dba0d132424020d250"/>
            <w:id w:val="-670572602"/>
            <w:lock w:val="sdtLocked"/>
            <w:placeholder>
              <w:docPart w:val="GBC22222222222222222222222222222"/>
            </w:placeholder>
          </w:sdtPr>
          <w:sdtEndPr/>
          <w:sdtContent>
            <w:p w14:paraId="64C39EB3"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bookmarkStart w:id="222" w:name="_Hlk11679747" w:displacedByCustomXml="next"/>
    <w:sdt>
      <w:sdtPr>
        <w:rPr>
          <w:rFonts w:ascii="宋体" w:hAnsi="宋体" w:cs="宋体" w:hint="eastAsia"/>
          <w:b w:val="0"/>
          <w:bCs w:val="0"/>
          <w:kern w:val="0"/>
          <w:sz w:val="20"/>
          <w:szCs w:val="21"/>
        </w:rPr>
        <w:alias w:val="模块:使用权资产"/>
        <w:tag w:val="_SEC_42126bf96c7241e38ff33aae0d98dae2"/>
        <w:id w:val="-931275464"/>
        <w:lock w:val="sdtLocked"/>
        <w:placeholder>
          <w:docPart w:val="GBC22222222222222222222222222222"/>
        </w:placeholder>
      </w:sdtPr>
      <w:sdtEndPr/>
      <w:sdtContent>
        <w:p w14:paraId="3FAC297F" w14:textId="77777777" w:rsidR="007E7472" w:rsidRDefault="00EC1269" w:rsidP="00162493">
          <w:pPr>
            <w:pStyle w:val="3"/>
            <w:numPr>
              <w:ilvl w:val="0"/>
              <w:numId w:val="62"/>
            </w:numPr>
          </w:pPr>
          <w:r>
            <w:rPr>
              <w:rFonts w:hint="eastAsia"/>
            </w:rPr>
            <w:t>使用权资产</w:t>
          </w:r>
        </w:p>
        <w:sdt>
          <w:sdtPr>
            <w:alias w:val="是否适用：使用权资产[双击切换]"/>
            <w:tag w:val="_GBC_3ac132175b304712af4889ae3914ef7d"/>
            <w:id w:val="-1723582727"/>
            <w:lock w:val="sdtLocked"/>
          </w:sdtPr>
          <w:sdtEndPr/>
          <w:sdtContent>
            <w:p w14:paraId="4AC0B943" w14:textId="77777777" w:rsidR="007E7472" w:rsidRDefault="00EC1269">
              <w:r>
                <w:rPr>
                  <w:rFonts w:hint="eastAsia"/>
                </w:rPr>
                <w:fldChar w:fldCharType="begin"/>
              </w:r>
              <w:r>
                <w:rPr>
                  <w:rFonts w:hint="eastAsia"/>
                </w:rPr>
                <w:instrText xml:space="preserve"> MACROBUTTON SnrToggleCheckbox √适用 </w:instrText>
              </w:r>
              <w:r>
                <w:rPr>
                  <w:rFonts w:hint="eastAsia"/>
                </w:rPr>
                <w:fldChar w:fldCharType="end"/>
              </w:r>
              <w:r>
                <w:rPr>
                  <w:rFonts w:hint="eastAsia"/>
                </w:rPr>
                <w:fldChar w:fldCharType="begin"/>
              </w:r>
              <w:r>
                <w:rPr>
                  <w:rFonts w:hint="eastAsia"/>
                </w:rPr>
                <w:instrText xml:space="preserve">MACROBUTTON  SnrToggleCheckbox □不适用 </w:instrText>
              </w:r>
              <w:r>
                <w:rPr>
                  <w:rFonts w:hint="eastAsia"/>
                </w:rPr>
                <w:fldChar w:fldCharType="end"/>
              </w:r>
            </w:p>
          </w:sdtContent>
        </w:sdt>
        <w:p w14:paraId="5E902E28" w14:textId="03DD4906" w:rsidR="007E7472" w:rsidRDefault="00EC1269">
          <w:pPr>
            <w:autoSpaceDE w:val="0"/>
            <w:autoSpaceDN w:val="0"/>
            <w:adjustRightInd w:val="0"/>
            <w:jc w:val="right"/>
          </w:pPr>
          <w:r>
            <w:rPr>
              <w:rFonts w:hint="eastAsia"/>
            </w:rPr>
            <w:t>单位：</w:t>
          </w:r>
          <w:sdt>
            <w:sdtPr>
              <w:rPr>
                <w:rFonts w:hint="eastAsia"/>
              </w:rPr>
              <w:alias w:val="单位：使用权资产"/>
              <w:tag w:val="_GBC_126de13c7c92490d95bdebd7efe2d59b"/>
              <w:id w:val="894392862"/>
              <w:lock w:val="sdtLocked"/>
              <w:comboBox>
                <w:listItem w:displayText="元" w:value="元"/>
                <w:listItem w:displayText="千元" w:value="千元"/>
                <w:listItem w:displayText="万元" w:value="万元"/>
                <w:listItem w:displayText="百万元" w:value="百万元"/>
                <w:listItem w:displayText="亿元" w:value="亿元"/>
              </w:comboBox>
            </w:sdtPr>
            <w:sdtEndPr/>
            <w:sdtContent>
              <w:r w:rsidR="006F3F93">
                <w:rPr>
                  <w:rFonts w:hint="eastAsia"/>
                </w:rPr>
                <w:t>千元</w:t>
              </w:r>
            </w:sdtContent>
          </w:sdt>
          <w:r>
            <w:rPr>
              <w:rFonts w:hint="eastAsia"/>
            </w:rPr>
            <w:t>币种：</w:t>
          </w:r>
          <w:sdt>
            <w:sdtPr>
              <w:rPr>
                <w:rFonts w:hint="eastAsia"/>
              </w:rPr>
              <w:alias w:val="币种：使用权资产"/>
              <w:tag w:val="_GBC_bb9e8b7096ab49fc95311a6c81431e95"/>
              <w:id w:val="1955670516"/>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0"/>
            <w:gridCol w:w="1556"/>
            <w:gridCol w:w="1756"/>
            <w:gridCol w:w="1415"/>
            <w:gridCol w:w="1316"/>
          </w:tblGrid>
          <w:tr w:rsidR="007E7472" w14:paraId="06C50E38" w14:textId="77777777" w:rsidTr="007E7472">
            <w:trPr>
              <w:trHeight w:val="340"/>
            </w:trPr>
            <w:sdt>
              <w:sdtPr>
                <w:rPr>
                  <w:rFonts w:hint="eastAsia"/>
                </w:rPr>
                <w:tag w:val="_PLD_e7cc7a86c52f4dc596615cce534e6d6a"/>
                <w:id w:val="-679197538"/>
                <w:lock w:val="sdtLocked"/>
              </w:sdtPr>
              <w:sdtEndPr/>
              <w:sdtContent>
                <w:tc>
                  <w:tcPr>
                    <w:tcW w:w="1575" w:type="pct"/>
                    <w:shd w:val="clear" w:color="auto" w:fill="auto"/>
                    <w:vAlign w:val="center"/>
                  </w:tcPr>
                  <w:p w14:paraId="1C657444" w14:textId="77777777" w:rsidR="007E7472" w:rsidRDefault="00913748" w:rsidP="007E7472">
                    <w:pPr>
                      <w:spacing w:line="240" w:lineRule="atLeast"/>
                      <w:jc w:val="center"/>
                    </w:pPr>
                    <w:r>
                      <w:rPr>
                        <w:rFonts w:hint="eastAsia"/>
                      </w:rPr>
                      <w:t>项目</w:t>
                    </w:r>
                  </w:p>
                </w:tc>
              </w:sdtContent>
            </w:sdt>
            <w:sdt>
              <w:sdtPr>
                <w:rPr>
                  <w:rFonts w:hint="eastAsia"/>
                </w:rPr>
                <w:alias w:val="使用权资产明细-项目"/>
                <w:tag w:val="_GBC_ea9ffc7b81304e04ad88fe7fcccf7ec1"/>
                <w:id w:val="-1423560987"/>
                <w:lock w:val="sdtLocked"/>
              </w:sdtPr>
              <w:sdtEndPr/>
              <w:sdtContent>
                <w:tc>
                  <w:tcPr>
                    <w:tcW w:w="882" w:type="pct"/>
                    <w:shd w:val="clear" w:color="auto" w:fill="auto"/>
                    <w:vAlign w:val="center"/>
                  </w:tcPr>
                  <w:p w14:paraId="7B2A2699" w14:textId="77777777" w:rsidR="007E7472" w:rsidRDefault="00913748" w:rsidP="007E7472">
                    <w:pPr>
                      <w:spacing w:line="240" w:lineRule="atLeast"/>
                      <w:jc w:val="center"/>
                    </w:pPr>
                    <w:r>
                      <w:rPr>
                        <w:rFonts w:hint="eastAsia"/>
                      </w:rPr>
                      <w:t>房屋及建筑物</w:t>
                    </w:r>
                  </w:p>
                </w:tc>
              </w:sdtContent>
            </w:sdt>
            <w:sdt>
              <w:sdtPr>
                <w:rPr>
                  <w:rFonts w:hint="eastAsia"/>
                </w:rPr>
                <w:alias w:val="使用权资产明细-项目"/>
                <w:tag w:val="_GBC_ea9ffc7b81304e04ad88fe7fcccf7ec1"/>
                <w:id w:val="1459608781"/>
                <w:lock w:val="sdtLocked"/>
              </w:sdtPr>
              <w:sdtEndPr/>
              <w:sdtContent>
                <w:tc>
                  <w:tcPr>
                    <w:tcW w:w="995" w:type="pct"/>
                    <w:shd w:val="clear" w:color="auto" w:fill="auto"/>
                    <w:vAlign w:val="center"/>
                  </w:tcPr>
                  <w:p w14:paraId="1B17A9E1" w14:textId="77777777" w:rsidR="007E7472" w:rsidRDefault="00913748" w:rsidP="007E7472">
                    <w:pPr>
                      <w:spacing w:line="240" w:lineRule="atLeast"/>
                      <w:jc w:val="center"/>
                    </w:pPr>
                    <w:r>
                      <w:rPr>
                        <w:rFonts w:hint="eastAsia"/>
                      </w:rPr>
                      <w:t>机器设备</w:t>
                    </w:r>
                  </w:p>
                </w:tc>
              </w:sdtContent>
            </w:sdt>
            <w:sdt>
              <w:sdtPr>
                <w:rPr>
                  <w:rFonts w:hint="eastAsia"/>
                </w:rPr>
                <w:alias w:val="使用权资产明细-项目"/>
                <w:tag w:val="_GBC_ea9ffc7b81304e04ad88fe7fcccf7ec1"/>
                <w:id w:val="288633908"/>
                <w:lock w:val="sdtLocked"/>
              </w:sdtPr>
              <w:sdtEndPr/>
              <w:sdtContent>
                <w:tc>
                  <w:tcPr>
                    <w:tcW w:w="802" w:type="pct"/>
                    <w:shd w:val="clear" w:color="auto" w:fill="auto"/>
                    <w:vAlign w:val="center"/>
                  </w:tcPr>
                  <w:p w14:paraId="75DCDE99" w14:textId="77777777" w:rsidR="007E7472" w:rsidRDefault="00913748" w:rsidP="007E7472">
                    <w:pPr>
                      <w:spacing w:line="240" w:lineRule="atLeast"/>
                      <w:jc w:val="center"/>
                    </w:pPr>
                    <w:r>
                      <w:rPr>
                        <w:rFonts w:hint="eastAsia"/>
                      </w:rPr>
                      <w:t>运输设备</w:t>
                    </w:r>
                  </w:p>
                </w:tc>
              </w:sdtContent>
            </w:sdt>
            <w:sdt>
              <w:sdtPr>
                <w:rPr>
                  <w:rFonts w:hint="eastAsia"/>
                </w:rPr>
                <w:tag w:val="_PLD_8404013d36434d0f94f9d2e0e06379db"/>
                <w:id w:val="127600715"/>
                <w:lock w:val="sdtLocked"/>
              </w:sdtPr>
              <w:sdtEndPr/>
              <w:sdtContent>
                <w:tc>
                  <w:tcPr>
                    <w:tcW w:w="745" w:type="pct"/>
                    <w:shd w:val="clear" w:color="auto" w:fill="auto"/>
                    <w:vAlign w:val="center"/>
                  </w:tcPr>
                  <w:p w14:paraId="355486D3" w14:textId="77777777" w:rsidR="007E7472" w:rsidRDefault="00913748" w:rsidP="007E7472">
                    <w:pPr>
                      <w:spacing w:line="240" w:lineRule="atLeast"/>
                      <w:jc w:val="center"/>
                    </w:pPr>
                    <w:r>
                      <w:rPr>
                        <w:rFonts w:hint="eastAsia"/>
                      </w:rPr>
                      <w:t>合计</w:t>
                    </w:r>
                  </w:p>
                </w:tc>
              </w:sdtContent>
            </w:sdt>
          </w:tr>
          <w:tr w:rsidR="007E7472" w14:paraId="50EEC73A" w14:textId="77777777" w:rsidTr="007E7472">
            <w:trPr>
              <w:trHeight w:val="340"/>
            </w:trPr>
            <w:sdt>
              <w:sdtPr>
                <w:rPr>
                  <w:rFonts w:hint="eastAsia"/>
                </w:rPr>
                <w:tag w:val="_PLD_8a1172a4974b4db489d9ace1c9b06ff9"/>
                <w:id w:val="2080626845"/>
                <w:lock w:val="sdtLocked"/>
              </w:sdtPr>
              <w:sdtEndPr/>
              <w:sdtContent>
                <w:tc>
                  <w:tcPr>
                    <w:tcW w:w="5000" w:type="pct"/>
                    <w:gridSpan w:val="5"/>
                    <w:shd w:val="clear" w:color="auto" w:fill="auto"/>
                    <w:vAlign w:val="center"/>
                  </w:tcPr>
                  <w:p w14:paraId="50BF2B59" w14:textId="77777777" w:rsidR="007E7472" w:rsidRDefault="00913748" w:rsidP="007E7472">
                    <w:pPr>
                      <w:spacing w:line="240" w:lineRule="atLeast"/>
                    </w:pPr>
                    <w:r>
                      <w:rPr>
                        <w:rFonts w:hint="eastAsia"/>
                      </w:rPr>
                      <w:t>一、账面原值</w:t>
                    </w:r>
                  </w:p>
                </w:tc>
              </w:sdtContent>
            </w:sdt>
          </w:tr>
          <w:tr w:rsidR="007E7472" w14:paraId="48530D22" w14:textId="77777777" w:rsidTr="007E7472">
            <w:trPr>
              <w:trHeight w:val="340"/>
            </w:trPr>
            <w:sdt>
              <w:sdtPr>
                <w:rPr>
                  <w:rFonts w:hint="eastAsia"/>
                </w:rPr>
                <w:tag w:val="_PLD_1bcbd6f040864936993405929e8f3c87"/>
                <w:id w:val="1927070491"/>
                <w:lock w:val="sdtLocked"/>
              </w:sdtPr>
              <w:sdtEndPr/>
              <w:sdtContent>
                <w:tc>
                  <w:tcPr>
                    <w:tcW w:w="1575" w:type="pct"/>
                    <w:shd w:val="clear" w:color="auto" w:fill="auto"/>
                    <w:vAlign w:val="center"/>
                  </w:tcPr>
                  <w:p w14:paraId="735DEA5D" w14:textId="77777777" w:rsidR="007E7472" w:rsidRDefault="00913748" w:rsidP="007E7472">
                    <w:pPr>
                      <w:spacing w:line="240" w:lineRule="atLeast"/>
                    </w:pPr>
                    <w:r>
                      <w:rPr>
                        <w:rFonts w:hint="eastAsia"/>
                      </w:rPr>
                      <w:t xml:space="preserve">    1.期初余额</w:t>
                    </w:r>
                  </w:p>
                </w:tc>
              </w:sdtContent>
            </w:sdt>
            <w:sdt>
              <w:sdtPr>
                <w:rPr>
                  <w:rFonts w:hint="eastAsia"/>
                </w:rPr>
                <w:alias w:val="使用权资产明细-账面原值"/>
                <w:tag w:val="_GBC_6079549d75e44c4794dbbc33e1c33ad8"/>
                <w:id w:val="1117249103"/>
                <w:lock w:val="sdtLocked"/>
              </w:sdtPr>
              <w:sdtEndPr/>
              <w:sdtContent>
                <w:tc>
                  <w:tcPr>
                    <w:tcW w:w="882" w:type="pct"/>
                    <w:shd w:val="clear" w:color="auto" w:fill="auto"/>
                    <w:vAlign w:val="center"/>
                  </w:tcPr>
                  <w:p w14:paraId="74F4DA02" w14:textId="77777777" w:rsidR="007E7472" w:rsidRDefault="00913748" w:rsidP="007E7472">
                    <w:pPr>
                      <w:spacing w:line="240" w:lineRule="atLeast"/>
                      <w:ind w:firstLineChars="200" w:firstLine="420"/>
                      <w:jc w:val="right"/>
                    </w:pPr>
                    <w:r>
                      <w:rPr>
                        <w:rFonts w:hint="eastAsia"/>
                      </w:rPr>
                      <w:t>23,737</w:t>
                    </w:r>
                  </w:p>
                </w:tc>
              </w:sdtContent>
            </w:sdt>
            <w:sdt>
              <w:sdtPr>
                <w:rPr>
                  <w:rFonts w:hint="eastAsia"/>
                </w:rPr>
                <w:alias w:val="使用权资产明细-账面原值"/>
                <w:tag w:val="_GBC_6079549d75e44c4794dbbc33e1c33ad8"/>
                <w:id w:val="-1181274526"/>
                <w:lock w:val="sdtLocked"/>
              </w:sdtPr>
              <w:sdtEndPr/>
              <w:sdtContent>
                <w:tc>
                  <w:tcPr>
                    <w:tcW w:w="995" w:type="pct"/>
                    <w:shd w:val="clear" w:color="auto" w:fill="auto"/>
                    <w:vAlign w:val="center"/>
                  </w:tcPr>
                  <w:p w14:paraId="705C720A" w14:textId="77777777" w:rsidR="007E7472" w:rsidRDefault="00913748" w:rsidP="007E7472">
                    <w:pPr>
                      <w:spacing w:line="240" w:lineRule="atLeast"/>
                      <w:ind w:firstLineChars="200" w:firstLine="420"/>
                      <w:jc w:val="right"/>
                    </w:pPr>
                    <w:r>
                      <w:rPr>
                        <w:rFonts w:hint="eastAsia"/>
                      </w:rPr>
                      <w:t>1,186,581</w:t>
                    </w:r>
                  </w:p>
                </w:tc>
              </w:sdtContent>
            </w:sdt>
            <w:sdt>
              <w:sdtPr>
                <w:rPr>
                  <w:rFonts w:hint="eastAsia"/>
                </w:rPr>
                <w:alias w:val="使用权资产明细-账面原值"/>
                <w:tag w:val="_GBC_6079549d75e44c4794dbbc33e1c33ad8"/>
                <w:id w:val="-1004507714"/>
                <w:lock w:val="sdtLocked"/>
              </w:sdtPr>
              <w:sdtEndPr/>
              <w:sdtContent>
                <w:tc>
                  <w:tcPr>
                    <w:tcW w:w="802" w:type="pct"/>
                    <w:shd w:val="clear" w:color="auto" w:fill="auto"/>
                    <w:vAlign w:val="center"/>
                  </w:tcPr>
                  <w:p w14:paraId="258FD874" w14:textId="77777777" w:rsidR="007E7472" w:rsidRDefault="00913748" w:rsidP="007E7472">
                    <w:pPr>
                      <w:spacing w:line="240" w:lineRule="atLeast"/>
                      <w:ind w:firstLineChars="200" w:firstLine="420"/>
                      <w:jc w:val="right"/>
                    </w:pPr>
                    <w:r>
                      <w:rPr>
                        <w:rFonts w:hint="eastAsia"/>
                      </w:rPr>
                      <w:t>53,852</w:t>
                    </w:r>
                  </w:p>
                </w:tc>
              </w:sdtContent>
            </w:sdt>
            <w:sdt>
              <w:sdtPr>
                <w:rPr>
                  <w:rFonts w:hint="eastAsia"/>
                </w:rPr>
                <w:alias w:val="使用权资产账面原值"/>
                <w:tag w:val="_GBC_1a35fa4b8971434894a45baaca257b56"/>
                <w:id w:val="1600060322"/>
                <w:lock w:val="sdtLocked"/>
              </w:sdtPr>
              <w:sdtEndPr/>
              <w:sdtContent>
                <w:tc>
                  <w:tcPr>
                    <w:tcW w:w="745" w:type="pct"/>
                    <w:shd w:val="clear" w:color="auto" w:fill="auto"/>
                    <w:vAlign w:val="center"/>
                  </w:tcPr>
                  <w:p w14:paraId="1A6FA67F" w14:textId="77777777" w:rsidR="007E7472" w:rsidRDefault="00913748" w:rsidP="007E7472">
                    <w:pPr>
                      <w:spacing w:line="240" w:lineRule="atLeast"/>
                      <w:jc w:val="right"/>
                    </w:pPr>
                    <w:r>
                      <w:rPr>
                        <w:rFonts w:hint="eastAsia"/>
                      </w:rPr>
                      <w:t>1,264,170</w:t>
                    </w:r>
                  </w:p>
                </w:tc>
              </w:sdtContent>
            </w:sdt>
          </w:tr>
          <w:tr w:rsidR="007E7472" w14:paraId="671EE6D4" w14:textId="77777777" w:rsidTr="007E7472">
            <w:trPr>
              <w:trHeight w:val="340"/>
            </w:trPr>
            <w:sdt>
              <w:sdtPr>
                <w:rPr>
                  <w:rFonts w:hint="eastAsia"/>
                </w:rPr>
                <w:tag w:val="_PLD_cb8705faa0dd4f71889eeb93b843f45e"/>
                <w:id w:val="-408239518"/>
                <w:lock w:val="sdtLocked"/>
              </w:sdtPr>
              <w:sdtEndPr/>
              <w:sdtContent>
                <w:tc>
                  <w:tcPr>
                    <w:tcW w:w="1575" w:type="pct"/>
                    <w:shd w:val="clear" w:color="auto" w:fill="auto"/>
                    <w:vAlign w:val="center"/>
                  </w:tcPr>
                  <w:p w14:paraId="352BB7A1" w14:textId="77777777" w:rsidR="007E7472" w:rsidRDefault="00913748" w:rsidP="007E7472">
                    <w:pPr>
                      <w:spacing w:line="240" w:lineRule="atLeast"/>
                      <w:ind w:firstLineChars="200" w:firstLine="420"/>
                    </w:pPr>
                    <w:r>
                      <w:rPr>
                        <w:rFonts w:hint="eastAsia"/>
                      </w:rPr>
                      <w:t>2.本期增加金额</w:t>
                    </w:r>
                  </w:p>
                </w:tc>
              </w:sdtContent>
            </w:sdt>
            <w:sdt>
              <w:sdtPr>
                <w:rPr>
                  <w:rFonts w:hint="eastAsia"/>
                </w:rPr>
                <w:alias w:val="使用权资产明细-账面原值增加"/>
                <w:tag w:val="_GBC_038693f88fd04c6e945c2a70721938c5"/>
                <w:id w:val="-1798838291"/>
                <w:lock w:val="sdtLocked"/>
                <w:showingPlcHdr/>
              </w:sdtPr>
              <w:sdtEndPr/>
              <w:sdtContent>
                <w:tc>
                  <w:tcPr>
                    <w:tcW w:w="882" w:type="pct"/>
                    <w:shd w:val="clear" w:color="auto" w:fill="auto"/>
                    <w:vAlign w:val="center"/>
                  </w:tcPr>
                  <w:p w14:paraId="69307301" w14:textId="77777777" w:rsidR="007E7472" w:rsidRDefault="00913748" w:rsidP="007E7472">
                    <w:pPr>
                      <w:spacing w:line="240" w:lineRule="atLeast"/>
                      <w:jc w:val="right"/>
                    </w:pPr>
                    <w:r>
                      <w:rPr>
                        <w:rFonts w:hint="eastAsia"/>
                      </w:rPr>
                      <w:t xml:space="preserve">　</w:t>
                    </w:r>
                  </w:p>
                </w:tc>
              </w:sdtContent>
            </w:sdt>
            <w:sdt>
              <w:sdtPr>
                <w:rPr>
                  <w:rFonts w:hint="eastAsia"/>
                </w:rPr>
                <w:alias w:val="使用权资产明细-账面原值增加"/>
                <w:tag w:val="_GBC_038693f88fd04c6e945c2a70721938c5"/>
                <w:id w:val="-629777755"/>
                <w:lock w:val="sdtLocked"/>
              </w:sdtPr>
              <w:sdtEndPr/>
              <w:sdtContent>
                <w:tc>
                  <w:tcPr>
                    <w:tcW w:w="995" w:type="pct"/>
                    <w:shd w:val="clear" w:color="auto" w:fill="auto"/>
                    <w:vAlign w:val="center"/>
                  </w:tcPr>
                  <w:p w14:paraId="02B8CD33" w14:textId="77777777" w:rsidR="007E7472" w:rsidRDefault="00913748" w:rsidP="007E7472">
                    <w:pPr>
                      <w:spacing w:line="240" w:lineRule="atLeast"/>
                      <w:jc w:val="right"/>
                    </w:pPr>
                    <w:r>
                      <w:rPr>
                        <w:rFonts w:hint="eastAsia"/>
                      </w:rPr>
                      <w:t>24,079</w:t>
                    </w:r>
                  </w:p>
                </w:tc>
              </w:sdtContent>
            </w:sdt>
            <w:sdt>
              <w:sdtPr>
                <w:rPr>
                  <w:rFonts w:hint="eastAsia"/>
                </w:rPr>
                <w:alias w:val="使用权资产明细-账面原值增加"/>
                <w:tag w:val="_GBC_038693f88fd04c6e945c2a70721938c5"/>
                <w:id w:val="-781342794"/>
                <w:lock w:val="sdtLocked"/>
                <w:showingPlcHdr/>
              </w:sdtPr>
              <w:sdtEndPr/>
              <w:sdtContent>
                <w:tc>
                  <w:tcPr>
                    <w:tcW w:w="802" w:type="pct"/>
                    <w:shd w:val="clear" w:color="auto" w:fill="auto"/>
                    <w:vAlign w:val="center"/>
                  </w:tcPr>
                  <w:p w14:paraId="06A4DD38" w14:textId="77777777" w:rsidR="007E7472" w:rsidRDefault="00C8327E" w:rsidP="007E7472">
                    <w:pPr>
                      <w:spacing w:line="240" w:lineRule="atLeast"/>
                      <w:jc w:val="right"/>
                    </w:pPr>
                  </w:p>
                </w:tc>
              </w:sdtContent>
            </w:sdt>
            <w:sdt>
              <w:sdtPr>
                <w:rPr>
                  <w:rFonts w:hint="eastAsia"/>
                </w:rPr>
                <w:alias w:val="使用权资产账面原值增加"/>
                <w:tag w:val="_GBC_8000655ddf3b4066924ff13958ca8787"/>
                <w:id w:val="1164743580"/>
                <w:lock w:val="sdtLocked"/>
              </w:sdtPr>
              <w:sdtEndPr/>
              <w:sdtContent>
                <w:tc>
                  <w:tcPr>
                    <w:tcW w:w="745" w:type="pct"/>
                    <w:shd w:val="clear" w:color="auto" w:fill="auto"/>
                    <w:vAlign w:val="center"/>
                  </w:tcPr>
                  <w:p w14:paraId="7DC76FF4" w14:textId="77777777" w:rsidR="007E7472" w:rsidRDefault="00913748" w:rsidP="007E7472">
                    <w:pPr>
                      <w:spacing w:line="240" w:lineRule="atLeast"/>
                      <w:jc w:val="right"/>
                    </w:pPr>
                    <w:r>
                      <w:rPr>
                        <w:rFonts w:hint="eastAsia"/>
                      </w:rPr>
                      <w:t>24,079</w:t>
                    </w:r>
                  </w:p>
                </w:tc>
              </w:sdtContent>
            </w:sdt>
          </w:tr>
          <w:tr w:rsidR="007E7472" w14:paraId="7D908A34" w14:textId="77777777" w:rsidTr="007E7472">
            <w:trPr>
              <w:trHeight w:val="340"/>
            </w:trPr>
            <w:sdt>
              <w:sdtPr>
                <w:rPr>
                  <w:rFonts w:hint="eastAsia"/>
                </w:rPr>
                <w:alias w:val="使用权资产账面原值增加项目名称"/>
                <w:tag w:val="_GBC_1a6d831f9b1b40bfbbec3afae5f4701e"/>
                <w:id w:val="614489079"/>
                <w:lock w:val="sdtLocked"/>
              </w:sdtPr>
              <w:sdtEndPr/>
              <w:sdtContent>
                <w:tc>
                  <w:tcPr>
                    <w:tcW w:w="1575" w:type="pct"/>
                    <w:shd w:val="clear" w:color="auto" w:fill="auto"/>
                    <w:vAlign w:val="center"/>
                  </w:tcPr>
                  <w:p w14:paraId="278A4608" w14:textId="77777777" w:rsidR="007E7472" w:rsidRDefault="00913748" w:rsidP="007E7472">
                    <w:pPr>
                      <w:spacing w:line="240" w:lineRule="atLeast"/>
                      <w:ind w:firstLineChars="300" w:firstLine="630"/>
                    </w:pPr>
                    <w:r>
                      <w:rPr>
                        <w:rFonts w:hint="eastAsia"/>
                      </w:rPr>
                      <w:t>（1）租入</w:t>
                    </w:r>
                  </w:p>
                </w:tc>
              </w:sdtContent>
            </w:sdt>
            <w:sdt>
              <w:sdtPr>
                <w:rPr>
                  <w:rFonts w:hint="eastAsia"/>
                </w:rPr>
                <w:alias w:val="使用权资产账面原值增加项目金额"/>
                <w:tag w:val="_GBC_fea54c9079f8401280ded64a3f37ad3c"/>
                <w:id w:val="1484665422"/>
                <w:lock w:val="sdtLocked"/>
              </w:sdtPr>
              <w:sdtEndPr/>
              <w:sdtContent>
                <w:tc>
                  <w:tcPr>
                    <w:tcW w:w="882" w:type="pct"/>
                    <w:shd w:val="clear" w:color="auto" w:fill="auto"/>
                    <w:vAlign w:val="center"/>
                  </w:tcPr>
                  <w:p w14:paraId="7EAD73C6" w14:textId="77777777" w:rsidR="007E7472" w:rsidRDefault="00C8327E" w:rsidP="007E7472">
                    <w:pPr>
                      <w:spacing w:line="240" w:lineRule="atLeast"/>
                      <w:jc w:val="right"/>
                    </w:pPr>
                  </w:p>
                </w:tc>
              </w:sdtContent>
            </w:sdt>
            <w:sdt>
              <w:sdtPr>
                <w:rPr>
                  <w:rFonts w:hint="eastAsia"/>
                </w:rPr>
                <w:alias w:val="使用权资产账面原值增加项目金额"/>
                <w:tag w:val="_GBC_fea54c9079f8401280ded64a3f37ad3c"/>
                <w:id w:val="701449028"/>
                <w:lock w:val="sdtLocked"/>
              </w:sdtPr>
              <w:sdtEndPr/>
              <w:sdtContent>
                <w:tc>
                  <w:tcPr>
                    <w:tcW w:w="995" w:type="pct"/>
                    <w:shd w:val="clear" w:color="auto" w:fill="auto"/>
                    <w:vAlign w:val="center"/>
                  </w:tcPr>
                  <w:p w14:paraId="5F3F6F16" w14:textId="77777777" w:rsidR="007E7472" w:rsidRDefault="00913748" w:rsidP="007E7472">
                    <w:pPr>
                      <w:spacing w:line="240" w:lineRule="atLeast"/>
                      <w:jc w:val="right"/>
                    </w:pPr>
                    <w:r>
                      <w:rPr>
                        <w:rFonts w:hint="eastAsia"/>
                      </w:rPr>
                      <w:t>24,079</w:t>
                    </w:r>
                  </w:p>
                </w:tc>
              </w:sdtContent>
            </w:sdt>
            <w:sdt>
              <w:sdtPr>
                <w:rPr>
                  <w:rFonts w:hint="eastAsia"/>
                </w:rPr>
                <w:alias w:val="使用权资产账面原值增加项目金额"/>
                <w:tag w:val="_GBC_fea54c9079f8401280ded64a3f37ad3c"/>
                <w:id w:val="-909149232"/>
                <w:lock w:val="sdtLocked"/>
              </w:sdtPr>
              <w:sdtEndPr/>
              <w:sdtContent>
                <w:tc>
                  <w:tcPr>
                    <w:tcW w:w="802" w:type="pct"/>
                    <w:shd w:val="clear" w:color="auto" w:fill="auto"/>
                    <w:vAlign w:val="center"/>
                  </w:tcPr>
                  <w:p w14:paraId="1F957816" w14:textId="77777777" w:rsidR="007E7472" w:rsidRDefault="00C8327E" w:rsidP="007E7472">
                    <w:pPr>
                      <w:spacing w:line="240" w:lineRule="atLeast"/>
                      <w:jc w:val="right"/>
                    </w:pPr>
                  </w:p>
                </w:tc>
              </w:sdtContent>
            </w:sdt>
            <w:sdt>
              <w:sdtPr>
                <w:rPr>
                  <w:rFonts w:hint="eastAsia"/>
                </w:rPr>
                <w:alias w:val="使用权资产账面原值增加项目合计金额"/>
                <w:tag w:val="_GBC_a28fe7f9c36c4f208081a5dd677ef6b7"/>
                <w:id w:val="964702364"/>
                <w:lock w:val="sdtLocked"/>
              </w:sdtPr>
              <w:sdtEndPr/>
              <w:sdtContent>
                <w:tc>
                  <w:tcPr>
                    <w:tcW w:w="745" w:type="pct"/>
                    <w:shd w:val="clear" w:color="auto" w:fill="auto"/>
                    <w:vAlign w:val="center"/>
                  </w:tcPr>
                  <w:p w14:paraId="442C9658" w14:textId="77777777" w:rsidR="007E7472" w:rsidRDefault="00913748" w:rsidP="007E7472">
                    <w:pPr>
                      <w:spacing w:line="240" w:lineRule="atLeast"/>
                      <w:jc w:val="right"/>
                    </w:pPr>
                    <w:r>
                      <w:rPr>
                        <w:rFonts w:hint="eastAsia"/>
                      </w:rPr>
                      <w:t>24,079</w:t>
                    </w:r>
                  </w:p>
                </w:tc>
              </w:sdtContent>
            </w:sdt>
          </w:tr>
          <w:tr w:rsidR="007E7472" w14:paraId="4FAD2F24" w14:textId="77777777" w:rsidTr="007E7472">
            <w:trPr>
              <w:trHeight w:val="340"/>
            </w:trPr>
            <w:sdt>
              <w:sdtPr>
                <w:rPr>
                  <w:rFonts w:hint="eastAsia"/>
                </w:rPr>
                <w:alias w:val="使用权资产账面原值增加项目名称"/>
                <w:tag w:val="_GBC_1a6d831f9b1b40bfbbec3afae5f4701e"/>
                <w:id w:val="522673021"/>
                <w:lock w:val="sdtLocked"/>
              </w:sdtPr>
              <w:sdtEndPr/>
              <w:sdtContent>
                <w:tc>
                  <w:tcPr>
                    <w:tcW w:w="1575" w:type="pct"/>
                    <w:shd w:val="clear" w:color="auto" w:fill="auto"/>
                    <w:vAlign w:val="center"/>
                  </w:tcPr>
                  <w:p w14:paraId="2D12DDBC" w14:textId="77777777" w:rsidR="007E7472" w:rsidRDefault="00913748" w:rsidP="007E7472">
                    <w:pPr>
                      <w:spacing w:line="240" w:lineRule="atLeast"/>
                      <w:ind w:firstLineChars="300" w:firstLine="630"/>
                    </w:pPr>
                    <w:r>
                      <w:rPr>
                        <w:rFonts w:hint="eastAsia"/>
                      </w:rPr>
                      <w:t>（2）重分类转入</w:t>
                    </w:r>
                  </w:p>
                </w:tc>
              </w:sdtContent>
            </w:sdt>
            <w:sdt>
              <w:sdtPr>
                <w:rPr>
                  <w:rFonts w:hint="eastAsia"/>
                </w:rPr>
                <w:alias w:val="使用权资产账面原值增加项目金额"/>
                <w:tag w:val="_GBC_fea54c9079f8401280ded64a3f37ad3c"/>
                <w:id w:val="864016275"/>
                <w:lock w:val="sdtLocked"/>
              </w:sdtPr>
              <w:sdtEndPr/>
              <w:sdtContent>
                <w:tc>
                  <w:tcPr>
                    <w:tcW w:w="882" w:type="pct"/>
                    <w:shd w:val="clear" w:color="auto" w:fill="auto"/>
                    <w:vAlign w:val="center"/>
                  </w:tcPr>
                  <w:p w14:paraId="47D13E0D" w14:textId="77777777" w:rsidR="007E7472" w:rsidRDefault="00C8327E" w:rsidP="007E7472">
                    <w:pPr>
                      <w:spacing w:line="240" w:lineRule="atLeast"/>
                      <w:jc w:val="right"/>
                    </w:pPr>
                  </w:p>
                </w:tc>
              </w:sdtContent>
            </w:sdt>
            <w:sdt>
              <w:sdtPr>
                <w:rPr>
                  <w:rFonts w:hint="eastAsia"/>
                </w:rPr>
                <w:alias w:val="使用权资产账面原值增加项目金额"/>
                <w:tag w:val="_GBC_fea54c9079f8401280ded64a3f37ad3c"/>
                <w:id w:val="-1709722261"/>
                <w:lock w:val="sdtLocked"/>
              </w:sdtPr>
              <w:sdtEndPr/>
              <w:sdtContent>
                <w:tc>
                  <w:tcPr>
                    <w:tcW w:w="995" w:type="pct"/>
                    <w:shd w:val="clear" w:color="auto" w:fill="auto"/>
                    <w:vAlign w:val="center"/>
                  </w:tcPr>
                  <w:p w14:paraId="414660E0" w14:textId="77777777" w:rsidR="007E7472" w:rsidRDefault="00C8327E" w:rsidP="007E7472">
                    <w:pPr>
                      <w:spacing w:line="240" w:lineRule="atLeast"/>
                      <w:jc w:val="right"/>
                    </w:pPr>
                  </w:p>
                </w:tc>
              </w:sdtContent>
            </w:sdt>
            <w:sdt>
              <w:sdtPr>
                <w:rPr>
                  <w:rFonts w:hint="eastAsia"/>
                </w:rPr>
                <w:alias w:val="使用权资产账面原值增加项目金额"/>
                <w:tag w:val="_GBC_fea54c9079f8401280ded64a3f37ad3c"/>
                <w:id w:val="676475323"/>
                <w:lock w:val="sdtLocked"/>
              </w:sdtPr>
              <w:sdtEndPr/>
              <w:sdtContent>
                <w:tc>
                  <w:tcPr>
                    <w:tcW w:w="802" w:type="pct"/>
                    <w:shd w:val="clear" w:color="auto" w:fill="auto"/>
                    <w:vAlign w:val="center"/>
                  </w:tcPr>
                  <w:p w14:paraId="43FF3748" w14:textId="77777777" w:rsidR="007E7472" w:rsidRDefault="00C8327E" w:rsidP="007E7472">
                    <w:pPr>
                      <w:spacing w:line="240" w:lineRule="atLeast"/>
                      <w:jc w:val="right"/>
                    </w:pPr>
                  </w:p>
                </w:tc>
              </w:sdtContent>
            </w:sdt>
            <w:sdt>
              <w:sdtPr>
                <w:rPr>
                  <w:rFonts w:hint="eastAsia"/>
                </w:rPr>
                <w:alias w:val="使用权资产账面原值增加项目合计金额"/>
                <w:tag w:val="_GBC_a28fe7f9c36c4f208081a5dd677ef6b7"/>
                <w:id w:val="336741223"/>
                <w:lock w:val="sdtLocked"/>
              </w:sdtPr>
              <w:sdtEndPr/>
              <w:sdtContent>
                <w:tc>
                  <w:tcPr>
                    <w:tcW w:w="745" w:type="pct"/>
                    <w:shd w:val="clear" w:color="auto" w:fill="auto"/>
                    <w:vAlign w:val="center"/>
                  </w:tcPr>
                  <w:p w14:paraId="30F8B10E" w14:textId="77777777" w:rsidR="007E7472" w:rsidRDefault="00C8327E" w:rsidP="007E7472">
                    <w:pPr>
                      <w:spacing w:line="240" w:lineRule="atLeast"/>
                      <w:jc w:val="right"/>
                    </w:pPr>
                  </w:p>
                </w:tc>
              </w:sdtContent>
            </w:sdt>
          </w:tr>
          <w:tr w:rsidR="007E7472" w14:paraId="17A7B3CB" w14:textId="77777777" w:rsidTr="007E7472">
            <w:trPr>
              <w:trHeight w:val="340"/>
            </w:trPr>
            <w:sdt>
              <w:sdtPr>
                <w:rPr>
                  <w:rFonts w:hint="eastAsia"/>
                </w:rPr>
                <w:tag w:val="_PLD_5a836262bcb54f0aa73023d39e87cb70"/>
                <w:id w:val="272985832"/>
                <w:lock w:val="sdtLocked"/>
              </w:sdtPr>
              <w:sdtEndPr/>
              <w:sdtContent>
                <w:tc>
                  <w:tcPr>
                    <w:tcW w:w="1575" w:type="pct"/>
                    <w:shd w:val="clear" w:color="auto" w:fill="auto"/>
                    <w:vAlign w:val="center"/>
                  </w:tcPr>
                  <w:p w14:paraId="41F655BD" w14:textId="77777777" w:rsidR="007E7472" w:rsidRDefault="00913748" w:rsidP="007E7472">
                    <w:pPr>
                      <w:spacing w:line="240" w:lineRule="atLeast"/>
                      <w:ind w:firstLineChars="200" w:firstLine="420"/>
                    </w:pPr>
                    <w:r>
                      <w:rPr>
                        <w:rFonts w:hint="eastAsia"/>
                      </w:rPr>
                      <w:t>3.本期减少金额</w:t>
                    </w:r>
                  </w:p>
                </w:tc>
              </w:sdtContent>
            </w:sdt>
            <w:sdt>
              <w:sdtPr>
                <w:rPr>
                  <w:rFonts w:hint="eastAsia"/>
                </w:rPr>
                <w:alias w:val="使用权资产明细-账面原值减少"/>
                <w:tag w:val="_GBC_ad311ac7cd944c41ab0869eebfbbc2a9"/>
                <w:id w:val="88974792"/>
                <w:lock w:val="sdtLocked"/>
                <w:showingPlcHdr/>
              </w:sdtPr>
              <w:sdtEndPr/>
              <w:sdtContent>
                <w:tc>
                  <w:tcPr>
                    <w:tcW w:w="882" w:type="pct"/>
                    <w:shd w:val="clear" w:color="auto" w:fill="auto"/>
                    <w:vAlign w:val="center"/>
                  </w:tcPr>
                  <w:p w14:paraId="22440F73" w14:textId="77777777" w:rsidR="007E7472" w:rsidRDefault="00913748" w:rsidP="007E7472">
                    <w:pPr>
                      <w:spacing w:line="240" w:lineRule="atLeast"/>
                      <w:jc w:val="right"/>
                    </w:pPr>
                    <w:r>
                      <w:rPr>
                        <w:rFonts w:hint="eastAsia"/>
                      </w:rPr>
                      <w:t xml:space="preserve">　</w:t>
                    </w:r>
                  </w:p>
                </w:tc>
              </w:sdtContent>
            </w:sdt>
            <w:sdt>
              <w:sdtPr>
                <w:rPr>
                  <w:rFonts w:hint="eastAsia"/>
                </w:rPr>
                <w:alias w:val="使用权资产明细-账面原值减少"/>
                <w:tag w:val="_GBC_ad311ac7cd944c41ab0869eebfbbc2a9"/>
                <w:id w:val="1072855756"/>
                <w:lock w:val="sdtLocked"/>
              </w:sdtPr>
              <w:sdtEndPr/>
              <w:sdtContent>
                <w:tc>
                  <w:tcPr>
                    <w:tcW w:w="995" w:type="pct"/>
                    <w:shd w:val="clear" w:color="auto" w:fill="auto"/>
                    <w:vAlign w:val="center"/>
                  </w:tcPr>
                  <w:p w14:paraId="281175D0" w14:textId="77777777" w:rsidR="007E7472" w:rsidRDefault="00913748" w:rsidP="007E7472">
                    <w:pPr>
                      <w:spacing w:line="240" w:lineRule="atLeast"/>
                      <w:jc w:val="right"/>
                    </w:pPr>
                    <w:r>
                      <w:rPr>
                        <w:rFonts w:hint="eastAsia"/>
                      </w:rPr>
                      <w:t>20,126</w:t>
                    </w:r>
                  </w:p>
                </w:tc>
              </w:sdtContent>
            </w:sdt>
            <w:sdt>
              <w:sdtPr>
                <w:rPr>
                  <w:rFonts w:hint="eastAsia"/>
                </w:rPr>
                <w:alias w:val="使用权资产明细-账面原值减少"/>
                <w:tag w:val="_GBC_ad311ac7cd944c41ab0869eebfbbc2a9"/>
                <w:id w:val="835033360"/>
                <w:lock w:val="sdtLocked"/>
                <w:showingPlcHdr/>
              </w:sdtPr>
              <w:sdtEndPr/>
              <w:sdtContent>
                <w:tc>
                  <w:tcPr>
                    <w:tcW w:w="802" w:type="pct"/>
                    <w:shd w:val="clear" w:color="auto" w:fill="auto"/>
                    <w:vAlign w:val="center"/>
                  </w:tcPr>
                  <w:p w14:paraId="40E16788" w14:textId="77777777" w:rsidR="007E7472" w:rsidRDefault="00C8327E" w:rsidP="007E7472">
                    <w:pPr>
                      <w:spacing w:line="240" w:lineRule="atLeast"/>
                      <w:jc w:val="right"/>
                    </w:pPr>
                  </w:p>
                </w:tc>
              </w:sdtContent>
            </w:sdt>
            <w:sdt>
              <w:sdtPr>
                <w:rPr>
                  <w:rFonts w:hint="eastAsia"/>
                </w:rPr>
                <w:alias w:val="使用权资产账面原值减少"/>
                <w:tag w:val="_GBC_0f36d990434d47bd9f1a709a0a597c10"/>
                <w:id w:val="1792559874"/>
                <w:lock w:val="sdtLocked"/>
              </w:sdtPr>
              <w:sdtEndPr/>
              <w:sdtContent>
                <w:tc>
                  <w:tcPr>
                    <w:tcW w:w="745" w:type="pct"/>
                    <w:shd w:val="clear" w:color="auto" w:fill="auto"/>
                    <w:vAlign w:val="center"/>
                  </w:tcPr>
                  <w:p w14:paraId="224DA460" w14:textId="77777777" w:rsidR="007E7472" w:rsidRDefault="00913748" w:rsidP="007E7472">
                    <w:pPr>
                      <w:spacing w:line="240" w:lineRule="atLeast"/>
                      <w:jc w:val="right"/>
                    </w:pPr>
                    <w:r>
                      <w:rPr>
                        <w:rFonts w:hint="eastAsia"/>
                      </w:rPr>
                      <w:t>20,126</w:t>
                    </w:r>
                  </w:p>
                </w:tc>
              </w:sdtContent>
            </w:sdt>
          </w:tr>
          <w:tr w:rsidR="007E7472" w14:paraId="02945E80" w14:textId="77777777" w:rsidTr="007E7472">
            <w:trPr>
              <w:trHeight w:val="340"/>
            </w:trPr>
            <w:sdt>
              <w:sdtPr>
                <w:rPr>
                  <w:rFonts w:hint="eastAsia"/>
                </w:rPr>
                <w:alias w:val="使用权资产账面原值减少项目名称"/>
                <w:tag w:val="_GBC_f534700ba5da4c9582fa43e92a4bb935"/>
                <w:id w:val="-814022146"/>
                <w:lock w:val="sdtLocked"/>
              </w:sdtPr>
              <w:sdtEndPr/>
              <w:sdtContent>
                <w:tc>
                  <w:tcPr>
                    <w:tcW w:w="1575" w:type="pct"/>
                    <w:shd w:val="clear" w:color="auto" w:fill="auto"/>
                    <w:vAlign w:val="center"/>
                  </w:tcPr>
                  <w:p w14:paraId="17A94013" w14:textId="77777777" w:rsidR="007E7472" w:rsidRDefault="00913748" w:rsidP="007E7472">
                    <w:pPr>
                      <w:spacing w:line="240" w:lineRule="atLeast"/>
                      <w:ind w:firstLineChars="300" w:firstLine="630"/>
                    </w:pPr>
                    <w:r>
                      <w:rPr>
                        <w:rFonts w:hint="eastAsia"/>
                      </w:rPr>
                      <w:t>（1）处置</w:t>
                    </w:r>
                  </w:p>
                </w:tc>
              </w:sdtContent>
            </w:sdt>
            <w:sdt>
              <w:sdtPr>
                <w:rPr>
                  <w:rFonts w:hint="eastAsia"/>
                </w:rPr>
                <w:alias w:val="使用权资产账面原值减少项目金额"/>
                <w:tag w:val="_GBC_63c6f750d7344be9b23f8c4363a3cb39"/>
                <w:id w:val="-1249498703"/>
                <w:lock w:val="sdtLocked"/>
              </w:sdtPr>
              <w:sdtEndPr/>
              <w:sdtContent>
                <w:tc>
                  <w:tcPr>
                    <w:tcW w:w="882" w:type="pct"/>
                    <w:shd w:val="clear" w:color="auto" w:fill="auto"/>
                    <w:vAlign w:val="center"/>
                  </w:tcPr>
                  <w:p w14:paraId="530BDDC3" w14:textId="77777777" w:rsidR="007E7472" w:rsidRDefault="00C8327E" w:rsidP="007E7472">
                    <w:pPr>
                      <w:spacing w:line="240" w:lineRule="atLeast"/>
                      <w:jc w:val="right"/>
                    </w:pPr>
                  </w:p>
                </w:tc>
              </w:sdtContent>
            </w:sdt>
            <w:sdt>
              <w:sdtPr>
                <w:rPr>
                  <w:rFonts w:hint="eastAsia"/>
                </w:rPr>
                <w:alias w:val="使用权资产账面原值减少项目金额"/>
                <w:tag w:val="_GBC_63c6f750d7344be9b23f8c4363a3cb39"/>
                <w:id w:val="-1004200435"/>
                <w:lock w:val="sdtLocked"/>
              </w:sdtPr>
              <w:sdtEndPr/>
              <w:sdtContent>
                <w:tc>
                  <w:tcPr>
                    <w:tcW w:w="995" w:type="pct"/>
                    <w:shd w:val="clear" w:color="auto" w:fill="auto"/>
                    <w:vAlign w:val="center"/>
                  </w:tcPr>
                  <w:p w14:paraId="094758E9" w14:textId="77777777" w:rsidR="007E7472" w:rsidRDefault="00C8327E" w:rsidP="007E7472">
                    <w:pPr>
                      <w:spacing w:line="240" w:lineRule="atLeast"/>
                      <w:jc w:val="right"/>
                    </w:pPr>
                  </w:p>
                </w:tc>
              </w:sdtContent>
            </w:sdt>
            <w:sdt>
              <w:sdtPr>
                <w:rPr>
                  <w:rFonts w:hint="eastAsia"/>
                </w:rPr>
                <w:alias w:val="使用权资产账面原值减少项目金额"/>
                <w:tag w:val="_GBC_63c6f750d7344be9b23f8c4363a3cb39"/>
                <w:id w:val="667602440"/>
                <w:lock w:val="sdtLocked"/>
              </w:sdtPr>
              <w:sdtEndPr/>
              <w:sdtContent>
                <w:tc>
                  <w:tcPr>
                    <w:tcW w:w="802" w:type="pct"/>
                    <w:shd w:val="clear" w:color="auto" w:fill="auto"/>
                    <w:vAlign w:val="center"/>
                  </w:tcPr>
                  <w:p w14:paraId="112A98AC" w14:textId="77777777" w:rsidR="007E7472" w:rsidRDefault="00C8327E" w:rsidP="007E7472">
                    <w:pPr>
                      <w:spacing w:line="240" w:lineRule="atLeast"/>
                      <w:jc w:val="right"/>
                    </w:pPr>
                  </w:p>
                </w:tc>
              </w:sdtContent>
            </w:sdt>
            <w:sdt>
              <w:sdtPr>
                <w:rPr>
                  <w:rFonts w:hint="eastAsia"/>
                </w:rPr>
                <w:alias w:val="使用权资产账面原值减少项目合计金额"/>
                <w:tag w:val="_GBC_16a3134bd513450994cab10e2f01d80f"/>
                <w:id w:val="1932546334"/>
                <w:lock w:val="sdtLocked"/>
              </w:sdtPr>
              <w:sdtEndPr/>
              <w:sdtContent>
                <w:tc>
                  <w:tcPr>
                    <w:tcW w:w="745" w:type="pct"/>
                    <w:shd w:val="clear" w:color="auto" w:fill="auto"/>
                    <w:vAlign w:val="center"/>
                  </w:tcPr>
                  <w:p w14:paraId="2A2FB08A" w14:textId="77777777" w:rsidR="007E7472" w:rsidRDefault="00C8327E" w:rsidP="007E7472">
                    <w:pPr>
                      <w:spacing w:line="240" w:lineRule="atLeast"/>
                      <w:jc w:val="right"/>
                    </w:pPr>
                  </w:p>
                </w:tc>
              </w:sdtContent>
            </w:sdt>
          </w:tr>
          <w:tr w:rsidR="007E7472" w14:paraId="4B1F094C" w14:textId="77777777" w:rsidTr="007E7472">
            <w:trPr>
              <w:trHeight w:val="340"/>
            </w:trPr>
            <w:sdt>
              <w:sdtPr>
                <w:rPr>
                  <w:rFonts w:hint="eastAsia"/>
                </w:rPr>
                <w:alias w:val="使用权资产账面原值减少项目名称"/>
                <w:tag w:val="_GBC_f534700ba5da4c9582fa43e92a4bb935"/>
                <w:id w:val="1262020423"/>
                <w:lock w:val="sdtLocked"/>
              </w:sdtPr>
              <w:sdtEndPr/>
              <w:sdtContent>
                <w:tc>
                  <w:tcPr>
                    <w:tcW w:w="1575" w:type="pct"/>
                    <w:shd w:val="clear" w:color="auto" w:fill="auto"/>
                    <w:vAlign w:val="center"/>
                  </w:tcPr>
                  <w:p w14:paraId="10FA091A" w14:textId="77777777" w:rsidR="007E7472" w:rsidRDefault="00913748" w:rsidP="007E7472">
                    <w:pPr>
                      <w:spacing w:line="240" w:lineRule="atLeast"/>
                      <w:ind w:firstLineChars="300" w:firstLine="630"/>
                    </w:pPr>
                    <w:r>
                      <w:rPr>
                        <w:rFonts w:hint="eastAsia"/>
                      </w:rPr>
                      <w:t>（2）重分类转出</w:t>
                    </w:r>
                  </w:p>
                </w:tc>
              </w:sdtContent>
            </w:sdt>
            <w:sdt>
              <w:sdtPr>
                <w:rPr>
                  <w:rFonts w:hint="eastAsia"/>
                </w:rPr>
                <w:alias w:val="使用权资产账面原值减少项目金额"/>
                <w:tag w:val="_GBC_63c6f750d7344be9b23f8c4363a3cb39"/>
                <w:id w:val="70713383"/>
                <w:lock w:val="sdtLocked"/>
              </w:sdtPr>
              <w:sdtEndPr/>
              <w:sdtContent>
                <w:tc>
                  <w:tcPr>
                    <w:tcW w:w="882" w:type="pct"/>
                    <w:shd w:val="clear" w:color="auto" w:fill="auto"/>
                    <w:vAlign w:val="center"/>
                  </w:tcPr>
                  <w:p w14:paraId="633BF18E" w14:textId="77777777" w:rsidR="007E7472" w:rsidRDefault="00C8327E" w:rsidP="007E7472">
                    <w:pPr>
                      <w:spacing w:line="240" w:lineRule="atLeast"/>
                      <w:jc w:val="right"/>
                    </w:pPr>
                  </w:p>
                </w:tc>
              </w:sdtContent>
            </w:sdt>
            <w:sdt>
              <w:sdtPr>
                <w:rPr>
                  <w:rFonts w:hint="eastAsia"/>
                </w:rPr>
                <w:alias w:val="使用权资产账面原值减少项目金额"/>
                <w:tag w:val="_GBC_63c6f750d7344be9b23f8c4363a3cb39"/>
                <w:id w:val="245777510"/>
                <w:lock w:val="sdtLocked"/>
              </w:sdtPr>
              <w:sdtEndPr/>
              <w:sdtContent>
                <w:tc>
                  <w:tcPr>
                    <w:tcW w:w="995" w:type="pct"/>
                    <w:shd w:val="clear" w:color="auto" w:fill="auto"/>
                    <w:vAlign w:val="center"/>
                  </w:tcPr>
                  <w:p w14:paraId="0DAEAD87" w14:textId="77777777" w:rsidR="007E7472" w:rsidRDefault="00C8327E" w:rsidP="007E7472">
                    <w:pPr>
                      <w:spacing w:line="240" w:lineRule="atLeast"/>
                      <w:jc w:val="right"/>
                    </w:pPr>
                  </w:p>
                </w:tc>
              </w:sdtContent>
            </w:sdt>
            <w:sdt>
              <w:sdtPr>
                <w:rPr>
                  <w:rFonts w:hint="eastAsia"/>
                </w:rPr>
                <w:alias w:val="使用权资产账面原值减少项目金额"/>
                <w:tag w:val="_GBC_63c6f750d7344be9b23f8c4363a3cb39"/>
                <w:id w:val="1601213568"/>
                <w:lock w:val="sdtLocked"/>
                <w:showingPlcHdr/>
              </w:sdtPr>
              <w:sdtEndPr/>
              <w:sdtContent>
                <w:tc>
                  <w:tcPr>
                    <w:tcW w:w="802" w:type="pct"/>
                    <w:shd w:val="clear" w:color="auto" w:fill="auto"/>
                    <w:vAlign w:val="center"/>
                  </w:tcPr>
                  <w:p w14:paraId="0143DED3" w14:textId="77777777" w:rsidR="007E7472" w:rsidRDefault="00913748" w:rsidP="007E7472">
                    <w:pPr>
                      <w:spacing w:line="240" w:lineRule="atLeast"/>
                      <w:jc w:val="right"/>
                    </w:pPr>
                    <w:r>
                      <w:rPr>
                        <w:rFonts w:hint="eastAsia"/>
                      </w:rPr>
                      <w:t xml:space="preserve">     </w:t>
                    </w:r>
                  </w:p>
                </w:tc>
              </w:sdtContent>
            </w:sdt>
            <w:sdt>
              <w:sdtPr>
                <w:rPr>
                  <w:rFonts w:hint="eastAsia"/>
                </w:rPr>
                <w:alias w:val="使用权资产账面原值减少项目合计金额"/>
                <w:tag w:val="_GBC_16a3134bd513450994cab10e2f01d80f"/>
                <w:id w:val="1405799990"/>
                <w:lock w:val="sdtLocked"/>
              </w:sdtPr>
              <w:sdtEndPr/>
              <w:sdtContent>
                <w:tc>
                  <w:tcPr>
                    <w:tcW w:w="745" w:type="pct"/>
                    <w:shd w:val="clear" w:color="auto" w:fill="auto"/>
                    <w:vAlign w:val="center"/>
                  </w:tcPr>
                  <w:p w14:paraId="23C802C5" w14:textId="77777777" w:rsidR="007E7472" w:rsidRDefault="00C8327E" w:rsidP="007E7472">
                    <w:pPr>
                      <w:spacing w:line="240" w:lineRule="atLeast"/>
                      <w:jc w:val="right"/>
                    </w:pPr>
                  </w:p>
                </w:tc>
              </w:sdtContent>
            </w:sdt>
          </w:tr>
          <w:tr w:rsidR="007E7472" w14:paraId="06F43A74" w14:textId="77777777" w:rsidTr="007E7472">
            <w:trPr>
              <w:trHeight w:val="340"/>
            </w:trPr>
            <w:sdt>
              <w:sdtPr>
                <w:rPr>
                  <w:rFonts w:hint="eastAsia"/>
                </w:rPr>
                <w:alias w:val="使用权资产累计摊销增加项目名称"/>
                <w:tag w:val="_GBC_ad0a9abd74b14da4af63396afd0be609"/>
                <w:id w:val="1744378947"/>
                <w:lock w:val="sdtLocked"/>
              </w:sdtPr>
              <w:sdtEndPr/>
              <w:sdtContent>
                <w:tc>
                  <w:tcPr>
                    <w:tcW w:w="1575" w:type="pct"/>
                    <w:shd w:val="clear" w:color="auto" w:fill="auto"/>
                    <w:vAlign w:val="center"/>
                  </w:tcPr>
                  <w:p w14:paraId="00B483C4" w14:textId="77777777" w:rsidR="007E7472" w:rsidRDefault="00913748" w:rsidP="007E7472">
                    <w:pPr>
                      <w:spacing w:line="240" w:lineRule="atLeast"/>
                      <w:ind w:firstLineChars="300" w:firstLine="630"/>
                    </w:pPr>
                    <w:r>
                      <w:rPr>
                        <w:rFonts w:hint="eastAsia"/>
                      </w:rPr>
                      <w:t>（3）其他减少</w:t>
                    </w:r>
                  </w:p>
                </w:tc>
              </w:sdtContent>
            </w:sdt>
            <w:sdt>
              <w:sdtPr>
                <w:rPr>
                  <w:rFonts w:hint="eastAsia"/>
                </w:rPr>
                <w:alias w:val="使用权资产累计摊销增加项目金额"/>
                <w:tag w:val="_GBC_574ca06ad2e24c269140cbae3c525b8e"/>
                <w:id w:val="-1839610866"/>
                <w:lock w:val="sdtLocked"/>
                <w:showingPlcHdr/>
              </w:sdtPr>
              <w:sdtEndPr/>
              <w:sdtContent>
                <w:tc>
                  <w:tcPr>
                    <w:tcW w:w="882" w:type="pct"/>
                    <w:shd w:val="clear" w:color="auto" w:fill="auto"/>
                    <w:vAlign w:val="center"/>
                  </w:tcPr>
                  <w:p w14:paraId="282F953A" w14:textId="77777777" w:rsidR="007E7472" w:rsidRDefault="00C8327E" w:rsidP="007E7472">
                    <w:pPr>
                      <w:spacing w:line="240" w:lineRule="atLeast"/>
                      <w:jc w:val="right"/>
                    </w:pPr>
                  </w:p>
                </w:tc>
              </w:sdtContent>
            </w:sdt>
            <w:sdt>
              <w:sdtPr>
                <w:rPr>
                  <w:rFonts w:hint="eastAsia"/>
                </w:rPr>
                <w:alias w:val="使用权资产累计摊销增加项目金额"/>
                <w:tag w:val="_GBC_574ca06ad2e24c269140cbae3c525b8e"/>
                <w:id w:val="-1054997635"/>
                <w:lock w:val="sdtLocked"/>
              </w:sdtPr>
              <w:sdtEndPr/>
              <w:sdtContent>
                <w:tc>
                  <w:tcPr>
                    <w:tcW w:w="995" w:type="pct"/>
                    <w:shd w:val="clear" w:color="auto" w:fill="auto"/>
                    <w:vAlign w:val="center"/>
                  </w:tcPr>
                  <w:p w14:paraId="447C8D31" w14:textId="77777777" w:rsidR="007E7472" w:rsidRDefault="00913748" w:rsidP="007E7472">
                    <w:pPr>
                      <w:spacing w:line="240" w:lineRule="atLeast"/>
                      <w:jc w:val="right"/>
                    </w:pPr>
                    <w:r>
                      <w:rPr>
                        <w:rFonts w:hint="eastAsia"/>
                      </w:rPr>
                      <w:t>20,126</w:t>
                    </w:r>
                  </w:p>
                </w:tc>
              </w:sdtContent>
            </w:sdt>
            <w:sdt>
              <w:sdtPr>
                <w:rPr>
                  <w:rFonts w:hint="eastAsia"/>
                </w:rPr>
                <w:alias w:val="使用权资产累计摊销增加项目金额"/>
                <w:tag w:val="_GBC_574ca06ad2e24c269140cbae3c525b8e"/>
                <w:id w:val="187502365"/>
                <w:lock w:val="sdtLocked"/>
                <w:showingPlcHdr/>
              </w:sdtPr>
              <w:sdtEndPr/>
              <w:sdtContent>
                <w:tc>
                  <w:tcPr>
                    <w:tcW w:w="802" w:type="pct"/>
                    <w:shd w:val="clear" w:color="auto" w:fill="auto"/>
                    <w:vAlign w:val="center"/>
                  </w:tcPr>
                  <w:p w14:paraId="79415BD7" w14:textId="77777777" w:rsidR="007E7472" w:rsidRDefault="00C8327E" w:rsidP="007E7472">
                    <w:pPr>
                      <w:spacing w:line="240" w:lineRule="atLeast"/>
                      <w:jc w:val="right"/>
                    </w:pPr>
                  </w:p>
                </w:tc>
              </w:sdtContent>
            </w:sdt>
            <w:sdt>
              <w:sdtPr>
                <w:rPr>
                  <w:rFonts w:hint="eastAsia"/>
                </w:rPr>
                <w:alias w:val="使用权资产累计摊销增加项目合计金额"/>
                <w:tag w:val="_GBC_0b7d750bc62949549bb49a286ef62b71"/>
                <w:id w:val="254182177"/>
                <w:lock w:val="sdtLocked"/>
              </w:sdtPr>
              <w:sdtEndPr/>
              <w:sdtContent>
                <w:tc>
                  <w:tcPr>
                    <w:tcW w:w="745" w:type="pct"/>
                    <w:shd w:val="clear" w:color="auto" w:fill="auto"/>
                    <w:vAlign w:val="center"/>
                  </w:tcPr>
                  <w:p w14:paraId="5B6D30C1" w14:textId="77777777" w:rsidR="007E7472" w:rsidRDefault="00913748" w:rsidP="007E7472">
                    <w:pPr>
                      <w:spacing w:line="240" w:lineRule="atLeast"/>
                      <w:jc w:val="right"/>
                    </w:pPr>
                    <w:r>
                      <w:rPr>
                        <w:rFonts w:hint="eastAsia"/>
                      </w:rPr>
                      <w:t>20,126</w:t>
                    </w:r>
                  </w:p>
                </w:tc>
              </w:sdtContent>
            </w:sdt>
          </w:tr>
          <w:tr w:rsidR="007E7472" w14:paraId="16267637" w14:textId="77777777" w:rsidTr="007E7472">
            <w:trPr>
              <w:trHeight w:val="340"/>
            </w:trPr>
            <w:sdt>
              <w:sdtPr>
                <w:rPr>
                  <w:rFonts w:hint="eastAsia"/>
                </w:rPr>
                <w:alias w:val="使用权资产累计摊销增加项目名称"/>
                <w:tag w:val="_GBC_ad0a9abd74b14da4af63396afd0be609"/>
                <w:id w:val="-619536413"/>
                <w:lock w:val="sdtLocked"/>
              </w:sdtPr>
              <w:sdtEndPr/>
              <w:sdtContent>
                <w:tc>
                  <w:tcPr>
                    <w:tcW w:w="1575" w:type="pct"/>
                    <w:shd w:val="clear" w:color="auto" w:fill="auto"/>
                    <w:vAlign w:val="center"/>
                  </w:tcPr>
                  <w:p w14:paraId="62731B8D" w14:textId="77777777" w:rsidR="007E7472" w:rsidRDefault="00913748" w:rsidP="007E7472">
                    <w:pPr>
                      <w:spacing w:line="240" w:lineRule="atLeast"/>
                      <w:ind w:firstLineChars="201" w:firstLine="422"/>
                    </w:pPr>
                    <w:r>
                      <w:rPr>
                        <w:rFonts w:hint="eastAsia"/>
                      </w:rPr>
                      <w:t>4.外币报表折算差额</w:t>
                    </w:r>
                  </w:p>
                </w:tc>
              </w:sdtContent>
            </w:sdt>
            <w:sdt>
              <w:sdtPr>
                <w:rPr>
                  <w:rFonts w:hint="eastAsia"/>
                </w:rPr>
                <w:alias w:val="使用权资产累计摊销增加项目金额"/>
                <w:tag w:val="_GBC_574ca06ad2e24c269140cbae3c525b8e"/>
                <w:id w:val="854698393"/>
                <w:lock w:val="sdtLocked"/>
                <w:showingPlcHdr/>
              </w:sdtPr>
              <w:sdtEndPr/>
              <w:sdtContent>
                <w:tc>
                  <w:tcPr>
                    <w:tcW w:w="882" w:type="pct"/>
                    <w:shd w:val="clear" w:color="auto" w:fill="auto"/>
                    <w:vAlign w:val="center"/>
                  </w:tcPr>
                  <w:p w14:paraId="74F4DEE4" w14:textId="77777777" w:rsidR="007E7472" w:rsidRDefault="00C8327E" w:rsidP="007E7472">
                    <w:pPr>
                      <w:spacing w:line="240" w:lineRule="atLeast"/>
                      <w:jc w:val="right"/>
                    </w:pPr>
                  </w:p>
                </w:tc>
              </w:sdtContent>
            </w:sdt>
            <w:sdt>
              <w:sdtPr>
                <w:rPr>
                  <w:rFonts w:hint="eastAsia"/>
                </w:rPr>
                <w:alias w:val="使用权资产累计摊销增加项目金额"/>
                <w:tag w:val="_GBC_574ca06ad2e24c269140cbae3c525b8e"/>
                <w:id w:val="-1198311675"/>
                <w:lock w:val="sdtLocked"/>
              </w:sdtPr>
              <w:sdtEndPr/>
              <w:sdtContent>
                <w:tc>
                  <w:tcPr>
                    <w:tcW w:w="995" w:type="pct"/>
                    <w:shd w:val="clear" w:color="auto" w:fill="auto"/>
                    <w:vAlign w:val="center"/>
                  </w:tcPr>
                  <w:p w14:paraId="7117B587" w14:textId="77777777" w:rsidR="007E7472" w:rsidRDefault="00913748" w:rsidP="007E7472">
                    <w:pPr>
                      <w:spacing w:line="240" w:lineRule="atLeast"/>
                      <w:jc w:val="right"/>
                    </w:pPr>
                    <w:r>
                      <w:rPr>
                        <w:rFonts w:hint="eastAsia"/>
                      </w:rPr>
                      <w:t>21,533</w:t>
                    </w:r>
                  </w:p>
                </w:tc>
              </w:sdtContent>
            </w:sdt>
            <w:sdt>
              <w:sdtPr>
                <w:rPr>
                  <w:rFonts w:hint="eastAsia"/>
                </w:rPr>
                <w:alias w:val="使用权资产累计摊销增加项目金额"/>
                <w:tag w:val="_GBC_574ca06ad2e24c269140cbae3c525b8e"/>
                <w:id w:val="78636406"/>
                <w:lock w:val="sdtLocked"/>
              </w:sdtPr>
              <w:sdtEndPr/>
              <w:sdtContent>
                <w:tc>
                  <w:tcPr>
                    <w:tcW w:w="802" w:type="pct"/>
                    <w:shd w:val="clear" w:color="auto" w:fill="auto"/>
                    <w:vAlign w:val="center"/>
                  </w:tcPr>
                  <w:p w14:paraId="359C010B" w14:textId="77777777" w:rsidR="007E7472" w:rsidRDefault="00C8327E" w:rsidP="007E7472">
                    <w:pPr>
                      <w:spacing w:line="240" w:lineRule="atLeast"/>
                      <w:jc w:val="right"/>
                    </w:pPr>
                  </w:p>
                </w:tc>
              </w:sdtContent>
            </w:sdt>
            <w:sdt>
              <w:sdtPr>
                <w:rPr>
                  <w:rFonts w:hint="eastAsia"/>
                </w:rPr>
                <w:alias w:val="使用权资产累计摊销增加项目合计金额"/>
                <w:tag w:val="_GBC_0b7d750bc62949549bb49a286ef62b71"/>
                <w:id w:val="1404100682"/>
                <w:lock w:val="sdtLocked"/>
              </w:sdtPr>
              <w:sdtEndPr/>
              <w:sdtContent>
                <w:tc>
                  <w:tcPr>
                    <w:tcW w:w="745" w:type="pct"/>
                    <w:shd w:val="clear" w:color="auto" w:fill="auto"/>
                    <w:vAlign w:val="center"/>
                  </w:tcPr>
                  <w:p w14:paraId="3CE0C65B" w14:textId="77777777" w:rsidR="007E7472" w:rsidRDefault="00913748" w:rsidP="007E7472">
                    <w:pPr>
                      <w:spacing w:line="240" w:lineRule="atLeast"/>
                      <w:jc w:val="right"/>
                    </w:pPr>
                    <w:r>
                      <w:rPr>
                        <w:rFonts w:hint="eastAsia"/>
                      </w:rPr>
                      <w:t>21,533</w:t>
                    </w:r>
                  </w:p>
                </w:tc>
              </w:sdtContent>
            </w:sdt>
          </w:tr>
          <w:tr w:rsidR="007E7472" w14:paraId="7729B01A" w14:textId="77777777" w:rsidTr="007E7472">
            <w:trPr>
              <w:trHeight w:val="340"/>
            </w:trPr>
            <w:sdt>
              <w:sdtPr>
                <w:rPr>
                  <w:rFonts w:hint="eastAsia"/>
                </w:rPr>
                <w:tag w:val="_PLD_d2ddd00acda84b158c10aa57a3b88766"/>
                <w:id w:val="-367301152"/>
                <w:lock w:val="sdtLocked"/>
              </w:sdtPr>
              <w:sdtEndPr/>
              <w:sdtContent>
                <w:tc>
                  <w:tcPr>
                    <w:tcW w:w="1575" w:type="pct"/>
                    <w:shd w:val="clear" w:color="auto" w:fill="auto"/>
                    <w:vAlign w:val="center"/>
                  </w:tcPr>
                  <w:p w14:paraId="5C91D7B2" w14:textId="77777777" w:rsidR="007E7472" w:rsidRDefault="00913748" w:rsidP="007E7472">
                    <w:pPr>
                      <w:spacing w:line="240" w:lineRule="atLeast"/>
                      <w:ind w:firstLineChars="200" w:firstLine="420"/>
                    </w:pPr>
                    <w:r>
                      <w:rPr>
                        <w:rFonts w:hint="eastAsia"/>
                      </w:rPr>
                      <w:t>5.期末余额</w:t>
                    </w:r>
                  </w:p>
                </w:tc>
              </w:sdtContent>
            </w:sdt>
            <w:sdt>
              <w:sdtPr>
                <w:rPr>
                  <w:rFonts w:hint="eastAsia"/>
                </w:rPr>
                <w:alias w:val="使用权资产明细-账面原值"/>
                <w:tag w:val="_GBC_6a038554bb4d4aa789f64c8ccc710b07"/>
                <w:id w:val="-2071338678"/>
                <w:lock w:val="sdtLocked"/>
              </w:sdtPr>
              <w:sdtEndPr/>
              <w:sdtContent>
                <w:tc>
                  <w:tcPr>
                    <w:tcW w:w="882" w:type="pct"/>
                    <w:shd w:val="clear" w:color="auto" w:fill="auto"/>
                    <w:vAlign w:val="center"/>
                  </w:tcPr>
                  <w:p w14:paraId="620CBEF3" w14:textId="77777777" w:rsidR="007E7472" w:rsidRDefault="00913748" w:rsidP="007E7472">
                    <w:pPr>
                      <w:spacing w:line="240" w:lineRule="atLeast"/>
                      <w:jc w:val="right"/>
                    </w:pPr>
                    <w:r>
                      <w:rPr>
                        <w:rFonts w:hint="eastAsia"/>
                      </w:rPr>
                      <w:t>23,737</w:t>
                    </w:r>
                  </w:p>
                </w:tc>
              </w:sdtContent>
            </w:sdt>
            <w:sdt>
              <w:sdtPr>
                <w:rPr>
                  <w:rFonts w:hint="eastAsia"/>
                </w:rPr>
                <w:alias w:val="使用权资产明细-账面原值"/>
                <w:tag w:val="_GBC_6a038554bb4d4aa789f64c8ccc710b07"/>
                <w:id w:val="1087501362"/>
                <w:lock w:val="sdtLocked"/>
              </w:sdtPr>
              <w:sdtEndPr/>
              <w:sdtContent>
                <w:tc>
                  <w:tcPr>
                    <w:tcW w:w="995" w:type="pct"/>
                    <w:shd w:val="clear" w:color="auto" w:fill="auto"/>
                    <w:vAlign w:val="center"/>
                  </w:tcPr>
                  <w:p w14:paraId="1E0650B6" w14:textId="77777777" w:rsidR="007E7472" w:rsidRDefault="00913748" w:rsidP="007E7472">
                    <w:pPr>
                      <w:spacing w:line="240" w:lineRule="atLeast"/>
                      <w:jc w:val="right"/>
                    </w:pPr>
                    <w:r>
                      <w:rPr>
                        <w:rFonts w:hint="eastAsia"/>
                      </w:rPr>
                      <w:t>1,212,067</w:t>
                    </w:r>
                  </w:p>
                </w:tc>
              </w:sdtContent>
            </w:sdt>
            <w:sdt>
              <w:sdtPr>
                <w:rPr>
                  <w:rFonts w:hint="eastAsia"/>
                </w:rPr>
                <w:alias w:val="使用权资产明细-账面原值"/>
                <w:tag w:val="_GBC_6a038554bb4d4aa789f64c8ccc710b07"/>
                <w:id w:val="-1563858344"/>
                <w:lock w:val="sdtLocked"/>
              </w:sdtPr>
              <w:sdtEndPr/>
              <w:sdtContent>
                <w:tc>
                  <w:tcPr>
                    <w:tcW w:w="802" w:type="pct"/>
                    <w:shd w:val="clear" w:color="auto" w:fill="auto"/>
                    <w:vAlign w:val="center"/>
                  </w:tcPr>
                  <w:p w14:paraId="73532730" w14:textId="77777777" w:rsidR="007E7472" w:rsidRDefault="00913748" w:rsidP="007E7472">
                    <w:pPr>
                      <w:spacing w:line="240" w:lineRule="atLeast"/>
                      <w:jc w:val="right"/>
                    </w:pPr>
                    <w:r>
                      <w:rPr>
                        <w:rFonts w:hint="eastAsia"/>
                      </w:rPr>
                      <w:t>53,852</w:t>
                    </w:r>
                  </w:p>
                </w:tc>
              </w:sdtContent>
            </w:sdt>
            <w:sdt>
              <w:sdtPr>
                <w:rPr>
                  <w:rFonts w:hint="eastAsia"/>
                </w:rPr>
                <w:alias w:val="使用权资产账面原值"/>
                <w:tag w:val="_GBC_007c0f31392649b696a0d5d1c1e6a108"/>
                <w:id w:val="-80611233"/>
                <w:lock w:val="sdtLocked"/>
              </w:sdtPr>
              <w:sdtEndPr/>
              <w:sdtContent>
                <w:tc>
                  <w:tcPr>
                    <w:tcW w:w="745" w:type="pct"/>
                    <w:shd w:val="clear" w:color="auto" w:fill="auto"/>
                    <w:vAlign w:val="center"/>
                  </w:tcPr>
                  <w:p w14:paraId="58134ACE" w14:textId="77777777" w:rsidR="007E7472" w:rsidRDefault="00913748" w:rsidP="007E7472">
                    <w:pPr>
                      <w:spacing w:line="240" w:lineRule="atLeast"/>
                      <w:jc w:val="right"/>
                    </w:pPr>
                    <w:r>
                      <w:rPr>
                        <w:rFonts w:hint="eastAsia"/>
                      </w:rPr>
                      <w:t>1,289,656</w:t>
                    </w:r>
                  </w:p>
                </w:tc>
              </w:sdtContent>
            </w:sdt>
          </w:tr>
          <w:tr w:rsidR="007E7472" w14:paraId="176E0470" w14:textId="77777777" w:rsidTr="007E7472">
            <w:trPr>
              <w:trHeight w:val="340"/>
            </w:trPr>
            <w:sdt>
              <w:sdtPr>
                <w:rPr>
                  <w:rFonts w:hint="eastAsia"/>
                </w:rPr>
                <w:tag w:val="_PLD_c5fd254e7ed54ab8b2346f3d57a1cc54"/>
                <w:id w:val="-1291741314"/>
                <w:lock w:val="sdtLocked"/>
              </w:sdtPr>
              <w:sdtEndPr/>
              <w:sdtContent>
                <w:tc>
                  <w:tcPr>
                    <w:tcW w:w="5000" w:type="pct"/>
                    <w:gridSpan w:val="5"/>
                    <w:shd w:val="clear" w:color="auto" w:fill="auto"/>
                    <w:vAlign w:val="center"/>
                  </w:tcPr>
                  <w:p w14:paraId="1555CB89" w14:textId="77777777" w:rsidR="007E7472" w:rsidRDefault="00913748" w:rsidP="007E7472">
                    <w:pPr>
                      <w:spacing w:line="240" w:lineRule="atLeast"/>
                    </w:pPr>
                    <w:r>
                      <w:rPr>
                        <w:rFonts w:hint="eastAsia"/>
                      </w:rPr>
                      <w:t>二、累计折旧</w:t>
                    </w:r>
                  </w:p>
                </w:tc>
              </w:sdtContent>
            </w:sdt>
          </w:tr>
          <w:tr w:rsidR="007E7472" w14:paraId="5C37777F" w14:textId="77777777" w:rsidTr="007E7472">
            <w:trPr>
              <w:trHeight w:val="340"/>
            </w:trPr>
            <w:sdt>
              <w:sdtPr>
                <w:rPr>
                  <w:rFonts w:hint="eastAsia"/>
                </w:rPr>
                <w:tag w:val="_PLD_9d84a55f4f2440dda7ca9f05e3bee994"/>
                <w:id w:val="162125050"/>
                <w:lock w:val="sdtLocked"/>
              </w:sdtPr>
              <w:sdtEndPr/>
              <w:sdtContent>
                <w:tc>
                  <w:tcPr>
                    <w:tcW w:w="1575" w:type="pct"/>
                    <w:shd w:val="clear" w:color="auto" w:fill="auto"/>
                    <w:vAlign w:val="center"/>
                  </w:tcPr>
                  <w:p w14:paraId="72AD02F8" w14:textId="77777777" w:rsidR="007E7472" w:rsidRDefault="00913748" w:rsidP="007E7472">
                    <w:pPr>
                      <w:spacing w:line="240" w:lineRule="atLeast"/>
                      <w:ind w:firstLineChars="200" w:firstLine="420"/>
                    </w:pPr>
                    <w:r>
                      <w:rPr>
                        <w:rFonts w:hint="eastAsia"/>
                      </w:rPr>
                      <w:t>1.期初余额</w:t>
                    </w:r>
                  </w:p>
                </w:tc>
              </w:sdtContent>
            </w:sdt>
            <w:sdt>
              <w:sdtPr>
                <w:rPr>
                  <w:rFonts w:hint="eastAsia"/>
                </w:rPr>
                <w:alias w:val="使用权资产明细-累计折旧"/>
                <w:tag w:val="_GBC_5c668c183c4043a5aade63b6e2f10e53"/>
                <w:id w:val="-713120475"/>
                <w:lock w:val="sdtLocked"/>
              </w:sdtPr>
              <w:sdtEndPr/>
              <w:sdtContent>
                <w:tc>
                  <w:tcPr>
                    <w:tcW w:w="882" w:type="pct"/>
                    <w:shd w:val="clear" w:color="auto" w:fill="auto"/>
                    <w:vAlign w:val="center"/>
                  </w:tcPr>
                  <w:p w14:paraId="7257CC77" w14:textId="77777777" w:rsidR="007E7472" w:rsidRDefault="00913748" w:rsidP="007E7472">
                    <w:pPr>
                      <w:spacing w:line="240" w:lineRule="atLeast"/>
                      <w:jc w:val="right"/>
                    </w:pPr>
                    <w:r>
                      <w:rPr>
                        <w:rFonts w:hint="eastAsia"/>
                      </w:rPr>
                      <w:t>22,056</w:t>
                    </w:r>
                  </w:p>
                </w:tc>
              </w:sdtContent>
            </w:sdt>
            <w:sdt>
              <w:sdtPr>
                <w:rPr>
                  <w:rFonts w:hint="eastAsia"/>
                </w:rPr>
                <w:alias w:val="使用权资产明细-累计折旧"/>
                <w:tag w:val="_GBC_5c668c183c4043a5aade63b6e2f10e53"/>
                <w:id w:val="-838915525"/>
                <w:lock w:val="sdtLocked"/>
              </w:sdtPr>
              <w:sdtEndPr/>
              <w:sdtContent>
                <w:tc>
                  <w:tcPr>
                    <w:tcW w:w="995" w:type="pct"/>
                    <w:shd w:val="clear" w:color="auto" w:fill="auto"/>
                    <w:vAlign w:val="center"/>
                  </w:tcPr>
                  <w:p w14:paraId="2D4BF27C" w14:textId="77777777" w:rsidR="007E7472" w:rsidRDefault="00913748" w:rsidP="007E7472">
                    <w:pPr>
                      <w:spacing w:line="240" w:lineRule="atLeast"/>
                      <w:jc w:val="right"/>
                    </w:pPr>
                    <w:r>
                      <w:rPr>
                        <w:rFonts w:hint="eastAsia"/>
                      </w:rPr>
                      <w:t>354,671</w:t>
                    </w:r>
                  </w:p>
                </w:tc>
              </w:sdtContent>
            </w:sdt>
            <w:sdt>
              <w:sdtPr>
                <w:rPr>
                  <w:rFonts w:hint="eastAsia"/>
                </w:rPr>
                <w:alias w:val="使用权资产明细-累计折旧"/>
                <w:tag w:val="_GBC_5c668c183c4043a5aade63b6e2f10e53"/>
                <w:id w:val="1719935663"/>
                <w:lock w:val="sdtLocked"/>
              </w:sdtPr>
              <w:sdtEndPr/>
              <w:sdtContent>
                <w:tc>
                  <w:tcPr>
                    <w:tcW w:w="802" w:type="pct"/>
                    <w:shd w:val="clear" w:color="auto" w:fill="auto"/>
                    <w:vAlign w:val="center"/>
                  </w:tcPr>
                  <w:p w14:paraId="55A23F42" w14:textId="77777777" w:rsidR="007E7472" w:rsidRDefault="00913748" w:rsidP="007E7472">
                    <w:pPr>
                      <w:spacing w:line="240" w:lineRule="atLeast"/>
                      <w:jc w:val="right"/>
                    </w:pPr>
                    <w:r>
                      <w:rPr>
                        <w:rFonts w:hint="eastAsia"/>
                      </w:rPr>
                      <w:t>14,032</w:t>
                    </w:r>
                  </w:p>
                </w:tc>
              </w:sdtContent>
            </w:sdt>
            <w:sdt>
              <w:sdtPr>
                <w:rPr>
                  <w:rFonts w:hint="eastAsia"/>
                </w:rPr>
                <w:alias w:val="使用权资产累计折旧"/>
                <w:tag w:val="_GBC_5c5976dca1a94e139da6fac64c954c50"/>
                <w:id w:val="-636495532"/>
                <w:lock w:val="sdtLocked"/>
              </w:sdtPr>
              <w:sdtEndPr/>
              <w:sdtContent>
                <w:tc>
                  <w:tcPr>
                    <w:tcW w:w="745" w:type="pct"/>
                    <w:shd w:val="clear" w:color="auto" w:fill="auto"/>
                    <w:vAlign w:val="center"/>
                  </w:tcPr>
                  <w:p w14:paraId="4C61BA5E" w14:textId="77777777" w:rsidR="007E7472" w:rsidRDefault="00913748" w:rsidP="007E7472">
                    <w:pPr>
                      <w:spacing w:line="240" w:lineRule="atLeast"/>
                      <w:jc w:val="right"/>
                    </w:pPr>
                    <w:r>
                      <w:rPr>
                        <w:rFonts w:hint="eastAsia"/>
                      </w:rPr>
                      <w:t>390,759</w:t>
                    </w:r>
                  </w:p>
                </w:tc>
              </w:sdtContent>
            </w:sdt>
          </w:tr>
          <w:tr w:rsidR="007E7472" w14:paraId="1BF43455" w14:textId="77777777" w:rsidTr="007E7472">
            <w:trPr>
              <w:trHeight w:val="340"/>
            </w:trPr>
            <w:sdt>
              <w:sdtPr>
                <w:rPr>
                  <w:rFonts w:hint="eastAsia"/>
                </w:rPr>
                <w:tag w:val="_PLD_217b7f3bca984b1e9148b657f60c578a"/>
                <w:id w:val="-996721508"/>
                <w:lock w:val="sdtLocked"/>
              </w:sdtPr>
              <w:sdtEndPr/>
              <w:sdtContent>
                <w:tc>
                  <w:tcPr>
                    <w:tcW w:w="1575" w:type="pct"/>
                    <w:shd w:val="clear" w:color="auto" w:fill="auto"/>
                    <w:vAlign w:val="center"/>
                  </w:tcPr>
                  <w:p w14:paraId="56F02AB0" w14:textId="77777777" w:rsidR="007E7472" w:rsidRDefault="00913748" w:rsidP="007E7472">
                    <w:pPr>
                      <w:spacing w:line="240" w:lineRule="atLeast"/>
                      <w:ind w:firstLineChars="200" w:firstLine="420"/>
                    </w:pPr>
                    <w:r>
                      <w:rPr>
                        <w:rFonts w:hint="eastAsia"/>
                      </w:rPr>
                      <w:t>2.本期增加金额</w:t>
                    </w:r>
                  </w:p>
                </w:tc>
              </w:sdtContent>
            </w:sdt>
            <w:sdt>
              <w:sdtPr>
                <w:rPr>
                  <w:rFonts w:hint="eastAsia"/>
                </w:rPr>
                <w:alias w:val="使用权资产明细-累计折旧增加"/>
                <w:tag w:val="_GBC_30e838b31a2344d0acb83c67997b16d1"/>
                <w:id w:val="-1893720303"/>
                <w:lock w:val="sdtLocked"/>
              </w:sdtPr>
              <w:sdtEndPr/>
              <w:sdtContent>
                <w:tc>
                  <w:tcPr>
                    <w:tcW w:w="882" w:type="pct"/>
                    <w:shd w:val="clear" w:color="auto" w:fill="auto"/>
                    <w:vAlign w:val="center"/>
                  </w:tcPr>
                  <w:p w14:paraId="56A27CD3" w14:textId="77777777" w:rsidR="007E7472" w:rsidRDefault="00913748" w:rsidP="007E7472">
                    <w:pPr>
                      <w:spacing w:line="240" w:lineRule="atLeast"/>
                      <w:jc w:val="right"/>
                    </w:pPr>
                    <w:r>
                      <w:rPr>
                        <w:rFonts w:hint="eastAsia"/>
                      </w:rPr>
                      <w:t>732</w:t>
                    </w:r>
                  </w:p>
                </w:tc>
              </w:sdtContent>
            </w:sdt>
            <w:sdt>
              <w:sdtPr>
                <w:rPr>
                  <w:rFonts w:hint="eastAsia"/>
                </w:rPr>
                <w:alias w:val="使用权资产明细-累计折旧增加"/>
                <w:tag w:val="_GBC_30e838b31a2344d0acb83c67997b16d1"/>
                <w:id w:val="487527752"/>
                <w:lock w:val="sdtLocked"/>
              </w:sdtPr>
              <w:sdtEndPr/>
              <w:sdtContent>
                <w:tc>
                  <w:tcPr>
                    <w:tcW w:w="995" w:type="pct"/>
                    <w:shd w:val="clear" w:color="auto" w:fill="auto"/>
                    <w:vAlign w:val="center"/>
                  </w:tcPr>
                  <w:p w14:paraId="329B9128" w14:textId="77777777" w:rsidR="007E7472" w:rsidRDefault="00913748" w:rsidP="007E7472">
                    <w:pPr>
                      <w:spacing w:line="240" w:lineRule="atLeast"/>
                      <w:jc w:val="right"/>
                    </w:pPr>
                    <w:r>
                      <w:rPr>
                        <w:rFonts w:hint="eastAsia"/>
                      </w:rPr>
                      <w:t>119,074</w:t>
                    </w:r>
                  </w:p>
                </w:tc>
              </w:sdtContent>
            </w:sdt>
            <w:sdt>
              <w:sdtPr>
                <w:rPr>
                  <w:rFonts w:hint="eastAsia"/>
                </w:rPr>
                <w:alias w:val="使用权资产明细-累计折旧增加"/>
                <w:tag w:val="_GBC_30e838b31a2344d0acb83c67997b16d1"/>
                <w:id w:val="-1529323004"/>
                <w:lock w:val="sdtLocked"/>
              </w:sdtPr>
              <w:sdtEndPr/>
              <w:sdtContent>
                <w:tc>
                  <w:tcPr>
                    <w:tcW w:w="802" w:type="pct"/>
                    <w:shd w:val="clear" w:color="auto" w:fill="auto"/>
                    <w:vAlign w:val="center"/>
                  </w:tcPr>
                  <w:p w14:paraId="151C7198" w14:textId="77777777" w:rsidR="007E7472" w:rsidRDefault="00913748" w:rsidP="007E7472">
                    <w:pPr>
                      <w:spacing w:line="240" w:lineRule="atLeast"/>
                      <w:jc w:val="right"/>
                    </w:pPr>
                    <w:r>
                      <w:rPr>
                        <w:rFonts w:hint="eastAsia"/>
                      </w:rPr>
                      <w:t>2,999</w:t>
                    </w:r>
                  </w:p>
                </w:tc>
              </w:sdtContent>
            </w:sdt>
            <w:sdt>
              <w:sdtPr>
                <w:rPr>
                  <w:rFonts w:hint="eastAsia"/>
                </w:rPr>
                <w:alias w:val="使用权资产累计折旧增加"/>
                <w:tag w:val="_GBC_04fdf39eca0f40e2abbf616fa83850c0"/>
                <w:id w:val="2046086899"/>
                <w:lock w:val="sdtLocked"/>
              </w:sdtPr>
              <w:sdtEndPr/>
              <w:sdtContent>
                <w:tc>
                  <w:tcPr>
                    <w:tcW w:w="745" w:type="pct"/>
                    <w:shd w:val="clear" w:color="auto" w:fill="auto"/>
                    <w:vAlign w:val="center"/>
                  </w:tcPr>
                  <w:p w14:paraId="7F3E8152" w14:textId="77777777" w:rsidR="007E7472" w:rsidRDefault="00913748" w:rsidP="007E7472">
                    <w:pPr>
                      <w:spacing w:line="240" w:lineRule="atLeast"/>
                      <w:jc w:val="right"/>
                    </w:pPr>
                    <w:r>
                      <w:rPr>
                        <w:rFonts w:hint="eastAsia"/>
                      </w:rPr>
                      <w:t>122,805</w:t>
                    </w:r>
                  </w:p>
                </w:tc>
              </w:sdtContent>
            </w:sdt>
          </w:tr>
          <w:tr w:rsidR="007E7472" w14:paraId="0B9411E3" w14:textId="77777777" w:rsidTr="007E7472">
            <w:trPr>
              <w:trHeight w:val="340"/>
            </w:trPr>
            <w:sdt>
              <w:sdtPr>
                <w:rPr>
                  <w:rFonts w:hint="eastAsia"/>
                </w:rPr>
                <w:tag w:val="_PLD_c5cff13f53f547b2b4c43791a1454f16"/>
                <w:id w:val="-1418780064"/>
                <w:lock w:val="sdtLocked"/>
              </w:sdtPr>
              <w:sdtEndPr/>
              <w:sdtContent>
                <w:tc>
                  <w:tcPr>
                    <w:tcW w:w="1575" w:type="pct"/>
                    <w:shd w:val="clear" w:color="auto" w:fill="auto"/>
                    <w:vAlign w:val="center"/>
                  </w:tcPr>
                  <w:p w14:paraId="02885901" w14:textId="77777777" w:rsidR="007E7472" w:rsidRDefault="00913748" w:rsidP="007E7472">
                    <w:pPr>
                      <w:spacing w:line="240" w:lineRule="atLeast"/>
                      <w:ind w:firstLineChars="300" w:firstLine="630"/>
                    </w:pPr>
                    <w:r>
                      <w:rPr>
                        <w:rFonts w:hint="eastAsia"/>
                      </w:rPr>
                      <w:t>（1）计提</w:t>
                    </w:r>
                  </w:p>
                </w:tc>
              </w:sdtContent>
            </w:sdt>
            <w:sdt>
              <w:sdtPr>
                <w:rPr>
                  <w:rFonts w:hint="eastAsia"/>
                </w:rPr>
                <w:alias w:val="使用权资产明细-计提导致的累计折旧增加"/>
                <w:tag w:val="_GBC_eca0c64a8da54245b08a966a6139eee7"/>
                <w:id w:val="473337572"/>
                <w:lock w:val="sdtLocked"/>
              </w:sdtPr>
              <w:sdtEndPr/>
              <w:sdtContent>
                <w:tc>
                  <w:tcPr>
                    <w:tcW w:w="882" w:type="pct"/>
                    <w:shd w:val="clear" w:color="auto" w:fill="auto"/>
                    <w:vAlign w:val="center"/>
                  </w:tcPr>
                  <w:p w14:paraId="43CB30B6" w14:textId="77777777" w:rsidR="007E7472" w:rsidRDefault="00913748" w:rsidP="007E7472">
                    <w:pPr>
                      <w:spacing w:line="240" w:lineRule="atLeast"/>
                      <w:jc w:val="right"/>
                    </w:pPr>
                    <w:r>
                      <w:rPr>
                        <w:rFonts w:hint="eastAsia"/>
                      </w:rPr>
                      <w:t>732</w:t>
                    </w:r>
                  </w:p>
                </w:tc>
              </w:sdtContent>
            </w:sdt>
            <w:sdt>
              <w:sdtPr>
                <w:rPr>
                  <w:rFonts w:hint="eastAsia"/>
                </w:rPr>
                <w:alias w:val="使用权资产明细-计提导致的累计折旧增加"/>
                <w:tag w:val="_GBC_eca0c64a8da54245b08a966a6139eee7"/>
                <w:id w:val="759488974"/>
                <w:lock w:val="sdtLocked"/>
              </w:sdtPr>
              <w:sdtEndPr/>
              <w:sdtContent>
                <w:tc>
                  <w:tcPr>
                    <w:tcW w:w="995" w:type="pct"/>
                    <w:shd w:val="clear" w:color="auto" w:fill="auto"/>
                    <w:vAlign w:val="center"/>
                  </w:tcPr>
                  <w:p w14:paraId="65189C8B" w14:textId="77777777" w:rsidR="007E7472" w:rsidRDefault="00913748" w:rsidP="007E7472">
                    <w:pPr>
                      <w:spacing w:line="240" w:lineRule="atLeast"/>
                      <w:jc w:val="right"/>
                    </w:pPr>
                    <w:r>
                      <w:rPr>
                        <w:rFonts w:hint="eastAsia"/>
                      </w:rPr>
                      <w:t>119,074</w:t>
                    </w:r>
                  </w:p>
                </w:tc>
              </w:sdtContent>
            </w:sdt>
            <w:sdt>
              <w:sdtPr>
                <w:rPr>
                  <w:rFonts w:hint="eastAsia"/>
                </w:rPr>
                <w:alias w:val="使用权资产明细-计提导致的累计折旧增加"/>
                <w:tag w:val="_GBC_eca0c64a8da54245b08a966a6139eee7"/>
                <w:id w:val="96760573"/>
                <w:lock w:val="sdtLocked"/>
              </w:sdtPr>
              <w:sdtEndPr/>
              <w:sdtContent>
                <w:tc>
                  <w:tcPr>
                    <w:tcW w:w="802" w:type="pct"/>
                    <w:shd w:val="clear" w:color="auto" w:fill="auto"/>
                    <w:vAlign w:val="center"/>
                  </w:tcPr>
                  <w:p w14:paraId="7C3A7CF3" w14:textId="77777777" w:rsidR="007E7472" w:rsidRDefault="00913748" w:rsidP="007E7472">
                    <w:pPr>
                      <w:spacing w:line="240" w:lineRule="atLeast"/>
                      <w:jc w:val="right"/>
                    </w:pPr>
                    <w:r>
                      <w:rPr>
                        <w:rFonts w:hint="eastAsia"/>
                      </w:rPr>
                      <w:t>2,999</w:t>
                    </w:r>
                  </w:p>
                </w:tc>
              </w:sdtContent>
            </w:sdt>
            <w:sdt>
              <w:sdtPr>
                <w:rPr>
                  <w:rFonts w:hint="eastAsia"/>
                </w:rPr>
                <w:alias w:val="使用权资产计提导致的累计折旧增加"/>
                <w:tag w:val="_GBC_99e847bff39043dfad6af7a482c70a79"/>
                <w:id w:val="-1400892148"/>
                <w:lock w:val="sdtLocked"/>
              </w:sdtPr>
              <w:sdtEndPr/>
              <w:sdtContent>
                <w:tc>
                  <w:tcPr>
                    <w:tcW w:w="745" w:type="pct"/>
                    <w:shd w:val="clear" w:color="auto" w:fill="auto"/>
                    <w:vAlign w:val="center"/>
                  </w:tcPr>
                  <w:p w14:paraId="6AD86B2A" w14:textId="77777777" w:rsidR="007E7472" w:rsidRDefault="00913748" w:rsidP="007E7472">
                    <w:pPr>
                      <w:spacing w:line="240" w:lineRule="atLeast"/>
                      <w:jc w:val="right"/>
                    </w:pPr>
                    <w:r>
                      <w:rPr>
                        <w:rFonts w:hint="eastAsia"/>
                      </w:rPr>
                      <w:t>122,805</w:t>
                    </w:r>
                  </w:p>
                </w:tc>
              </w:sdtContent>
            </w:sdt>
          </w:tr>
          <w:tr w:rsidR="007E7472" w14:paraId="605B3A4C" w14:textId="77777777" w:rsidTr="007E7472">
            <w:trPr>
              <w:trHeight w:val="340"/>
            </w:trPr>
            <w:sdt>
              <w:sdtPr>
                <w:rPr>
                  <w:rFonts w:hint="eastAsia"/>
                </w:rPr>
                <w:tag w:val="_PLD_74a88ffcb94e429ba842908a6c9f7dea"/>
                <w:id w:val="-1241558692"/>
                <w:lock w:val="sdtLocked"/>
              </w:sdtPr>
              <w:sdtEndPr/>
              <w:sdtContent>
                <w:tc>
                  <w:tcPr>
                    <w:tcW w:w="1575" w:type="pct"/>
                    <w:shd w:val="clear" w:color="auto" w:fill="auto"/>
                    <w:vAlign w:val="center"/>
                  </w:tcPr>
                  <w:p w14:paraId="4A7EED08" w14:textId="77777777" w:rsidR="007E7472" w:rsidRDefault="00913748" w:rsidP="007E7472">
                    <w:pPr>
                      <w:spacing w:line="240" w:lineRule="atLeast"/>
                      <w:ind w:firstLineChars="200" w:firstLine="420"/>
                    </w:pPr>
                    <w:r>
                      <w:rPr>
                        <w:rFonts w:hint="eastAsia"/>
                      </w:rPr>
                      <w:t>3.本期减少金额</w:t>
                    </w:r>
                  </w:p>
                </w:tc>
              </w:sdtContent>
            </w:sdt>
            <w:sdt>
              <w:sdtPr>
                <w:rPr>
                  <w:rFonts w:hint="eastAsia"/>
                </w:rPr>
                <w:alias w:val="使用权资产明细-累计折旧减少"/>
                <w:tag w:val="_GBC_fb6b3d96d26e4d50a9282198926a5a46"/>
                <w:id w:val="-1975287653"/>
                <w:lock w:val="sdtLocked"/>
                <w:showingPlcHdr/>
              </w:sdtPr>
              <w:sdtEndPr/>
              <w:sdtContent>
                <w:tc>
                  <w:tcPr>
                    <w:tcW w:w="882" w:type="pct"/>
                    <w:shd w:val="clear" w:color="auto" w:fill="auto"/>
                    <w:vAlign w:val="center"/>
                  </w:tcPr>
                  <w:p w14:paraId="02583542" w14:textId="77777777" w:rsidR="007E7472" w:rsidRDefault="00913748" w:rsidP="007E7472">
                    <w:pPr>
                      <w:spacing w:line="240" w:lineRule="atLeast"/>
                      <w:jc w:val="right"/>
                    </w:pPr>
                    <w:r>
                      <w:rPr>
                        <w:rFonts w:hint="eastAsia"/>
                      </w:rPr>
                      <w:t xml:space="preserve">　</w:t>
                    </w:r>
                  </w:p>
                </w:tc>
              </w:sdtContent>
            </w:sdt>
            <w:sdt>
              <w:sdtPr>
                <w:rPr>
                  <w:rFonts w:hint="eastAsia"/>
                </w:rPr>
                <w:alias w:val="使用权资产明细-累计折旧减少"/>
                <w:tag w:val="_GBC_fb6b3d96d26e4d50a9282198926a5a46"/>
                <w:id w:val="617721476"/>
                <w:lock w:val="sdtLocked"/>
              </w:sdtPr>
              <w:sdtEndPr/>
              <w:sdtContent>
                <w:tc>
                  <w:tcPr>
                    <w:tcW w:w="995" w:type="pct"/>
                    <w:shd w:val="clear" w:color="auto" w:fill="auto"/>
                    <w:vAlign w:val="center"/>
                  </w:tcPr>
                  <w:p w14:paraId="0CFFE74B" w14:textId="77777777" w:rsidR="007E7472" w:rsidRDefault="00913748" w:rsidP="007E7472">
                    <w:pPr>
                      <w:spacing w:line="240" w:lineRule="atLeast"/>
                      <w:jc w:val="right"/>
                    </w:pPr>
                    <w:r>
                      <w:rPr>
                        <w:rFonts w:hint="eastAsia"/>
                      </w:rPr>
                      <w:t>20,126</w:t>
                    </w:r>
                  </w:p>
                </w:tc>
              </w:sdtContent>
            </w:sdt>
            <w:sdt>
              <w:sdtPr>
                <w:rPr>
                  <w:rFonts w:hint="eastAsia"/>
                </w:rPr>
                <w:alias w:val="使用权资产明细-累计折旧减少"/>
                <w:tag w:val="_GBC_fb6b3d96d26e4d50a9282198926a5a46"/>
                <w:id w:val="1800493381"/>
                <w:lock w:val="sdtLocked"/>
                <w:showingPlcHdr/>
              </w:sdtPr>
              <w:sdtEndPr/>
              <w:sdtContent>
                <w:tc>
                  <w:tcPr>
                    <w:tcW w:w="802" w:type="pct"/>
                    <w:shd w:val="clear" w:color="auto" w:fill="auto"/>
                    <w:vAlign w:val="center"/>
                  </w:tcPr>
                  <w:p w14:paraId="5058D235" w14:textId="77777777" w:rsidR="007E7472" w:rsidRDefault="00C8327E" w:rsidP="007E7472">
                    <w:pPr>
                      <w:spacing w:line="240" w:lineRule="atLeast"/>
                      <w:jc w:val="right"/>
                    </w:pPr>
                  </w:p>
                </w:tc>
              </w:sdtContent>
            </w:sdt>
            <w:sdt>
              <w:sdtPr>
                <w:rPr>
                  <w:rFonts w:hint="eastAsia"/>
                </w:rPr>
                <w:alias w:val="使用权资产累计折旧减少"/>
                <w:tag w:val="_GBC_182c07412ff64d06a77c86487db48ffa"/>
                <w:id w:val="-116446731"/>
                <w:lock w:val="sdtLocked"/>
              </w:sdtPr>
              <w:sdtEndPr/>
              <w:sdtContent>
                <w:tc>
                  <w:tcPr>
                    <w:tcW w:w="745" w:type="pct"/>
                    <w:shd w:val="clear" w:color="auto" w:fill="auto"/>
                    <w:vAlign w:val="center"/>
                  </w:tcPr>
                  <w:p w14:paraId="7A85214B" w14:textId="77777777" w:rsidR="007E7472" w:rsidRDefault="00913748" w:rsidP="007E7472">
                    <w:pPr>
                      <w:spacing w:line="240" w:lineRule="atLeast"/>
                      <w:jc w:val="right"/>
                    </w:pPr>
                    <w:r>
                      <w:rPr>
                        <w:rFonts w:hint="eastAsia"/>
                      </w:rPr>
                      <w:t>20,126</w:t>
                    </w:r>
                  </w:p>
                </w:tc>
              </w:sdtContent>
            </w:sdt>
          </w:tr>
          <w:tr w:rsidR="007E7472" w14:paraId="083AAFD2" w14:textId="77777777" w:rsidTr="007E7472">
            <w:trPr>
              <w:trHeight w:val="340"/>
            </w:trPr>
            <w:sdt>
              <w:sdtPr>
                <w:rPr>
                  <w:rFonts w:hint="eastAsia"/>
                </w:rPr>
                <w:tag w:val="_PLD_9d1f18a4d0d64b789c36d13861afaa48"/>
                <w:id w:val="-100422136"/>
                <w:lock w:val="sdtLocked"/>
              </w:sdtPr>
              <w:sdtEndPr/>
              <w:sdtContent>
                <w:tc>
                  <w:tcPr>
                    <w:tcW w:w="1575" w:type="pct"/>
                    <w:shd w:val="clear" w:color="auto" w:fill="auto"/>
                    <w:vAlign w:val="center"/>
                  </w:tcPr>
                  <w:p w14:paraId="26D85FC9" w14:textId="77777777" w:rsidR="007E7472" w:rsidRDefault="00913748" w:rsidP="007E7472">
                    <w:pPr>
                      <w:spacing w:line="240" w:lineRule="atLeast"/>
                      <w:ind w:firstLineChars="300" w:firstLine="630"/>
                    </w:pPr>
                    <w:r>
                      <w:rPr>
                        <w:rFonts w:hint="eastAsia"/>
                      </w:rPr>
                      <w:t>（1）处置</w:t>
                    </w:r>
                  </w:p>
                </w:tc>
              </w:sdtContent>
            </w:sdt>
            <w:sdt>
              <w:sdtPr>
                <w:rPr>
                  <w:rFonts w:hint="eastAsia"/>
                </w:rPr>
                <w:alias w:val="使用权资产明细-处置导致的累计折旧减少"/>
                <w:tag w:val="_GBC_0f8695aa2415494c89174c1fee60af1d"/>
                <w:id w:val="-874226075"/>
                <w:lock w:val="sdtLocked"/>
                <w:showingPlcHdr/>
              </w:sdtPr>
              <w:sdtEndPr/>
              <w:sdtContent>
                <w:tc>
                  <w:tcPr>
                    <w:tcW w:w="882" w:type="pct"/>
                    <w:shd w:val="clear" w:color="auto" w:fill="auto"/>
                    <w:vAlign w:val="center"/>
                  </w:tcPr>
                  <w:p w14:paraId="55DF6441" w14:textId="77777777" w:rsidR="007E7472" w:rsidRDefault="00913748" w:rsidP="007E7472">
                    <w:pPr>
                      <w:spacing w:line="240" w:lineRule="atLeast"/>
                      <w:jc w:val="right"/>
                    </w:pPr>
                    <w:r>
                      <w:rPr>
                        <w:rFonts w:hint="eastAsia"/>
                      </w:rPr>
                      <w:t xml:space="preserve">　</w:t>
                    </w:r>
                  </w:p>
                </w:tc>
              </w:sdtContent>
            </w:sdt>
            <w:sdt>
              <w:sdtPr>
                <w:rPr>
                  <w:rFonts w:hint="eastAsia"/>
                </w:rPr>
                <w:alias w:val="使用权资产明细-处置导致的累计折旧减少"/>
                <w:tag w:val="_GBC_0f8695aa2415494c89174c1fee60af1d"/>
                <w:id w:val="-1698463582"/>
                <w:lock w:val="sdtLocked"/>
                <w:showingPlcHdr/>
              </w:sdtPr>
              <w:sdtEndPr/>
              <w:sdtContent>
                <w:tc>
                  <w:tcPr>
                    <w:tcW w:w="995" w:type="pct"/>
                    <w:shd w:val="clear" w:color="auto" w:fill="auto"/>
                    <w:vAlign w:val="center"/>
                  </w:tcPr>
                  <w:p w14:paraId="76160154" w14:textId="77777777" w:rsidR="007E7472" w:rsidRDefault="00913748" w:rsidP="007E7472">
                    <w:pPr>
                      <w:spacing w:line="240" w:lineRule="atLeast"/>
                      <w:jc w:val="right"/>
                    </w:pPr>
                    <w:r>
                      <w:t xml:space="preserve">     </w:t>
                    </w:r>
                  </w:p>
                </w:tc>
              </w:sdtContent>
            </w:sdt>
            <w:sdt>
              <w:sdtPr>
                <w:rPr>
                  <w:rFonts w:hint="eastAsia"/>
                </w:rPr>
                <w:alias w:val="使用权资产明细-处置导致的累计折旧减少"/>
                <w:tag w:val="_GBC_0f8695aa2415494c89174c1fee60af1d"/>
                <w:id w:val="703995120"/>
                <w:lock w:val="sdtLocked"/>
                <w:showingPlcHdr/>
              </w:sdtPr>
              <w:sdtEndPr/>
              <w:sdtContent>
                <w:tc>
                  <w:tcPr>
                    <w:tcW w:w="802" w:type="pct"/>
                    <w:shd w:val="clear" w:color="auto" w:fill="auto"/>
                    <w:vAlign w:val="center"/>
                  </w:tcPr>
                  <w:p w14:paraId="453DED0D" w14:textId="77777777" w:rsidR="007E7472" w:rsidRDefault="00C8327E" w:rsidP="007E7472">
                    <w:pPr>
                      <w:spacing w:line="240" w:lineRule="atLeast"/>
                      <w:jc w:val="right"/>
                    </w:pPr>
                  </w:p>
                </w:tc>
              </w:sdtContent>
            </w:sdt>
            <w:sdt>
              <w:sdtPr>
                <w:rPr>
                  <w:rFonts w:hint="eastAsia"/>
                </w:rPr>
                <w:alias w:val="使用权资产处置导致的累计折旧减少"/>
                <w:tag w:val="_GBC_c527122e6a23425f84c18b75a8c11bdd"/>
                <w:id w:val="1927158708"/>
                <w:lock w:val="sdtLocked"/>
              </w:sdtPr>
              <w:sdtEndPr/>
              <w:sdtContent>
                <w:tc>
                  <w:tcPr>
                    <w:tcW w:w="745" w:type="pct"/>
                    <w:shd w:val="clear" w:color="auto" w:fill="auto"/>
                    <w:vAlign w:val="center"/>
                  </w:tcPr>
                  <w:p w14:paraId="73BBD72C" w14:textId="77777777" w:rsidR="007E7472" w:rsidRDefault="00C8327E" w:rsidP="007E7472">
                    <w:pPr>
                      <w:spacing w:line="240" w:lineRule="atLeast"/>
                      <w:jc w:val="right"/>
                    </w:pPr>
                  </w:p>
                </w:tc>
              </w:sdtContent>
            </w:sdt>
          </w:tr>
          <w:tr w:rsidR="007E7472" w14:paraId="713C46CB" w14:textId="77777777" w:rsidTr="007E7472">
            <w:trPr>
              <w:trHeight w:val="340"/>
            </w:trPr>
            <w:sdt>
              <w:sdtPr>
                <w:rPr>
                  <w:rFonts w:hint="eastAsia"/>
                </w:rPr>
                <w:alias w:val="使用权资产累计摊销减少项目名称"/>
                <w:tag w:val="_GBC_eeb2a28e58984bcc904289ee5f949843"/>
                <w:id w:val="255265387"/>
                <w:lock w:val="sdtLocked"/>
              </w:sdtPr>
              <w:sdtEndPr/>
              <w:sdtContent>
                <w:tc>
                  <w:tcPr>
                    <w:tcW w:w="1575" w:type="pct"/>
                    <w:shd w:val="clear" w:color="auto" w:fill="auto"/>
                    <w:vAlign w:val="center"/>
                  </w:tcPr>
                  <w:p w14:paraId="4E77B014" w14:textId="77777777" w:rsidR="007E7472" w:rsidRDefault="00913748" w:rsidP="007E7472">
                    <w:pPr>
                      <w:spacing w:line="240" w:lineRule="atLeast"/>
                      <w:ind w:firstLineChars="300" w:firstLine="630"/>
                    </w:pPr>
                    <w:r>
                      <w:rPr>
                        <w:rFonts w:hint="eastAsia"/>
                      </w:rPr>
                      <w:t>（2）重分类转出</w:t>
                    </w:r>
                  </w:p>
                </w:tc>
              </w:sdtContent>
            </w:sdt>
            <w:sdt>
              <w:sdtPr>
                <w:rPr>
                  <w:rFonts w:hint="eastAsia"/>
                </w:rPr>
                <w:alias w:val="使用权资产累计摊销减少项目金额"/>
                <w:tag w:val="_GBC_652e1dbe13f545bb973000ba9e0f3426"/>
                <w:id w:val="-102273179"/>
                <w:lock w:val="sdtLocked"/>
              </w:sdtPr>
              <w:sdtEndPr/>
              <w:sdtContent>
                <w:tc>
                  <w:tcPr>
                    <w:tcW w:w="882" w:type="pct"/>
                    <w:shd w:val="clear" w:color="auto" w:fill="auto"/>
                    <w:vAlign w:val="center"/>
                  </w:tcPr>
                  <w:p w14:paraId="60AAD039" w14:textId="77777777" w:rsidR="007E7472" w:rsidRDefault="00C8327E" w:rsidP="007E7472">
                    <w:pPr>
                      <w:spacing w:line="240" w:lineRule="atLeast"/>
                      <w:jc w:val="right"/>
                    </w:pPr>
                  </w:p>
                </w:tc>
              </w:sdtContent>
            </w:sdt>
            <w:sdt>
              <w:sdtPr>
                <w:rPr>
                  <w:rFonts w:hint="eastAsia"/>
                </w:rPr>
                <w:alias w:val="使用权资产累计摊销减少项目金额"/>
                <w:tag w:val="_GBC_652e1dbe13f545bb973000ba9e0f3426"/>
                <w:id w:val="-964191150"/>
                <w:lock w:val="sdtLocked"/>
              </w:sdtPr>
              <w:sdtEndPr/>
              <w:sdtContent>
                <w:tc>
                  <w:tcPr>
                    <w:tcW w:w="995" w:type="pct"/>
                    <w:shd w:val="clear" w:color="auto" w:fill="auto"/>
                    <w:vAlign w:val="center"/>
                  </w:tcPr>
                  <w:p w14:paraId="1402F633" w14:textId="77777777" w:rsidR="007E7472" w:rsidRDefault="00C8327E" w:rsidP="007E7472">
                    <w:pPr>
                      <w:spacing w:line="240" w:lineRule="atLeast"/>
                      <w:jc w:val="right"/>
                    </w:pPr>
                  </w:p>
                </w:tc>
              </w:sdtContent>
            </w:sdt>
            <w:sdt>
              <w:sdtPr>
                <w:rPr>
                  <w:rFonts w:hint="eastAsia"/>
                </w:rPr>
                <w:alias w:val="使用权资产累计摊销减少项目金额"/>
                <w:tag w:val="_GBC_652e1dbe13f545bb973000ba9e0f3426"/>
                <w:id w:val="1226409874"/>
                <w:lock w:val="sdtLocked"/>
              </w:sdtPr>
              <w:sdtEndPr/>
              <w:sdtContent>
                <w:tc>
                  <w:tcPr>
                    <w:tcW w:w="802" w:type="pct"/>
                    <w:shd w:val="clear" w:color="auto" w:fill="auto"/>
                    <w:vAlign w:val="center"/>
                  </w:tcPr>
                  <w:p w14:paraId="50ABADAF" w14:textId="77777777" w:rsidR="007E7472" w:rsidRDefault="00C8327E" w:rsidP="007E7472">
                    <w:pPr>
                      <w:spacing w:line="240" w:lineRule="atLeast"/>
                      <w:jc w:val="right"/>
                    </w:pPr>
                  </w:p>
                </w:tc>
              </w:sdtContent>
            </w:sdt>
            <w:sdt>
              <w:sdtPr>
                <w:rPr>
                  <w:rFonts w:hint="eastAsia"/>
                </w:rPr>
                <w:alias w:val="使用权资产累计摊销减少项目合计金额"/>
                <w:tag w:val="_GBC_5700cc82223545fd8ce096d7ba30e3d7"/>
                <w:id w:val="1123963905"/>
                <w:lock w:val="sdtLocked"/>
              </w:sdtPr>
              <w:sdtEndPr/>
              <w:sdtContent>
                <w:tc>
                  <w:tcPr>
                    <w:tcW w:w="745" w:type="pct"/>
                    <w:shd w:val="clear" w:color="auto" w:fill="auto"/>
                    <w:vAlign w:val="center"/>
                  </w:tcPr>
                  <w:p w14:paraId="65330463" w14:textId="77777777" w:rsidR="007E7472" w:rsidRDefault="00C8327E" w:rsidP="007E7472">
                    <w:pPr>
                      <w:spacing w:line="240" w:lineRule="atLeast"/>
                      <w:jc w:val="right"/>
                    </w:pPr>
                  </w:p>
                </w:tc>
              </w:sdtContent>
            </w:sdt>
          </w:tr>
          <w:tr w:rsidR="007E7472" w14:paraId="674B4703" w14:textId="77777777" w:rsidTr="007E7472">
            <w:trPr>
              <w:trHeight w:val="340"/>
            </w:trPr>
            <w:sdt>
              <w:sdtPr>
                <w:rPr>
                  <w:rFonts w:hint="eastAsia"/>
                </w:rPr>
                <w:alias w:val="使用权资产累计摊销减少项目名称"/>
                <w:tag w:val="_GBC_eeb2a28e58984bcc904289ee5f949843"/>
                <w:id w:val="-64427276"/>
                <w:lock w:val="sdtLocked"/>
              </w:sdtPr>
              <w:sdtEndPr/>
              <w:sdtContent>
                <w:tc>
                  <w:tcPr>
                    <w:tcW w:w="1575" w:type="pct"/>
                    <w:shd w:val="clear" w:color="auto" w:fill="auto"/>
                    <w:vAlign w:val="center"/>
                  </w:tcPr>
                  <w:p w14:paraId="3074CB1D" w14:textId="77777777" w:rsidR="007E7472" w:rsidRDefault="00913748" w:rsidP="007E7472">
                    <w:pPr>
                      <w:spacing w:line="240" w:lineRule="atLeast"/>
                      <w:ind w:firstLineChars="300" w:firstLine="630"/>
                    </w:pPr>
                    <w:r>
                      <w:rPr>
                        <w:rFonts w:hint="eastAsia"/>
                      </w:rPr>
                      <w:t>（3）其他减少</w:t>
                    </w:r>
                  </w:p>
                </w:tc>
              </w:sdtContent>
            </w:sdt>
            <w:sdt>
              <w:sdtPr>
                <w:rPr>
                  <w:rFonts w:hint="eastAsia"/>
                </w:rPr>
                <w:alias w:val="使用权资产累计摊销减少项目金额"/>
                <w:tag w:val="_GBC_652e1dbe13f545bb973000ba9e0f3426"/>
                <w:id w:val="-128555242"/>
                <w:lock w:val="sdtLocked"/>
                <w:showingPlcHdr/>
              </w:sdtPr>
              <w:sdtEndPr/>
              <w:sdtContent>
                <w:tc>
                  <w:tcPr>
                    <w:tcW w:w="882" w:type="pct"/>
                    <w:shd w:val="clear" w:color="auto" w:fill="auto"/>
                    <w:vAlign w:val="center"/>
                  </w:tcPr>
                  <w:p w14:paraId="0BA0EAA2" w14:textId="77777777" w:rsidR="007E7472" w:rsidRDefault="00C8327E" w:rsidP="007E7472">
                    <w:pPr>
                      <w:spacing w:line="240" w:lineRule="atLeast"/>
                      <w:jc w:val="right"/>
                    </w:pPr>
                  </w:p>
                </w:tc>
              </w:sdtContent>
            </w:sdt>
            <w:sdt>
              <w:sdtPr>
                <w:rPr>
                  <w:rFonts w:hint="eastAsia"/>
                </w:rPr>
                <w:alias w:val="使用权资产累计摊销减少项目金额"/>
                <w:tag w:val="_GBC_652e1dbe13f545bb973000ba9e0f3426"/>
                <w:id w:val="507488915"/>
                <w:lock w:val="sdtLocked"/>
              </w:sdtPr>
              <w:sdtEndPr/>
              <w:sdtContent>
                <w:tc>
                  <w:tcPr>
                    <w:tcW w:w="995" w:type="pct"/>
                    <w:shd w:val="clear" w:color="auto" w:fill="auto"/>
                    <w:vAlign w:val="center"/>
                  </w:tcPr>
                  <w:p w14:paraId="37560D30" w14:textId="77777777" w:rsidR="007E7472" w:rsidRDefault="00913748" w:rsidP="007E7472">
                    <w:pPr>
                      <w:spacing w:line="240" w:lineRule="atLeast"/>
                      <w:jc w:val="right"/>
                    </w:pPr>
                    <w:r>
                      <w:rPr>
                        <w:rFonts w:hint="eastAsia"/>
                      </w:rPr>
                      <w:t>20,126</w:t>
                    </w:r>
                  </w:p>
                </w:tc>
              </w:sdtContent>
            </w:sdt>
            <w:sdt>
              <w:sdtPr>
                <w:rPr>
                  <w:rFonts w:hint="eastAsia"/>
                </w:rPr>
                <w:alias w:val="使用权资产累计摊销减少项目金额"/>
                <w:tag w:val="_GBC_652e1dbe13f545bb973000ba9e0f3426"/>
                <w:id w:val="439339439"/>
                <w:lock w:val="sdtLocked"/>
              </w:sdtPr>
              <w:sdtEndPr/>
              <w:sdtContent>
                <w:tc>
                  <w:tcPr>
                    <w:tcW w:w="802" w:type="pct"/>
                    <w:shd w:val="clear" w:color="auto" w:fill="auto"/>
                    <w:vAlign w:val="center"/>
                  </w:tcPr>
                  <w:p w14:paraId="7B44B716" w14:textId="77777777" w:rsidR="007E7472" w:rsidRDefault="00C8327E" w:rsidP="007E7472">
                    <w:pPr>
                      <w:spacing w:line="240" w:lineRule="atLeast"/>
                      <w:jc w:val="right"/>
                    </w:pPr>
                  </w:p>
                </w:tc>
              </w:sdtContent>
            </w:sdt>
            <w:sdt>
              <w:sdtPr>
                <w:rPr>
                  <w:rFonts w:hint="eastAsia"/>
                </w:rPr>
                <w:alias w:val="使用权资产累计摊销减少项目合计金额"/>
                <w:tag w:val="_GBC_5700cc82223545fd8ce096d7ba30e3d7"/>
                <w:id w:val="-1587691313"/>
                <w:lock w:val="sdtLocked"/>
              </w:sdtPr>
              <w:sdtEndPr/>
              <w:sdtContent>
                <w:tc>
                  <w:tcPr>
                    <w:tcW w:w="745" w:type="pct"/>
                    <w:shd w:val="clear" w:color="auto" w:fill="auto"/>
                    <w:vAlign w:val="center"/>
                  </w:tcPr>
                  <w:p w14:paraId="1630C03B" w14:textId="77777777" w:rsidR="007E7472" w:rsidRDefault="00913748" w:rsidP="007E7472">
                    <w:pPr>
                      <w:spacing w:line="240" w:lineRule="atLeast"/>
                      <w:jc w:val="right"/>
                    </w:pPr>
                    <w:r>
                      <w:rPr>
                        <w:rFonts w:hint="eastAsia"/>
                      </w:rPr>
                      <w:t>20,126</w:t>
                    </w:r>
                  </w:p>
                </w:tc>
              </w:sdtContent>
            </w:sdt>
          </w:tr>
          <w:tr w:rsidR="007E7472" w14:paraId="05E0A0F9" w14:textId="77777777" w:rsidTr="007E7472">
            <w:trPr>
              <w:trHeight w:val="340"/>
            </w:trPr>
            <w:sdt>
              <w:sdtPr>
                <w:rPr>
                  <w:rFonts w:hint="eastAsia"/>
                </w:rPr>
                <w:alias w:val="使用权资产减值准备增加项目名称"/>
                <w:tag w:val="_GBC_3f68846af47346a78c0bbd37fda2e94c"/>
                <w:id w:val="881989854"/>
                <w:lock w:val="sdtLocked"/>
              </w:sdtPr>
              <w:sdtEndPr/>
              <w:sdtContent>
                <w:tc>
                  <w:tcPr>
                    <w:tcW w:w="1575" w:type="pct"/>
                    <w:shd w:val="clear" w:color="auto" w:fill="auto"/>
                    <w:vAlign w:val="center"/>
                  </w:tcPr>
                  <w:p w14:paraId="4DF0250A" w14:textId="77777777" w:rsidR="007E7472" w:rsidRDefault="00913748" w:rsidP="007E7472">
                    <w:pPr>
                      <w:spacing w:line="240" w:lineRule="atLeast"/>
                      <w:ind w:firstLineChars="201" w:firstLine="422"/>
                    </w:pPr>
                    <w:r>
                      <w:rPr>
                        <w:rFonts w:hint="eastAsia"/>
                      </w:rPr>
                      <w:t>4.外币报表折算差额</w:t>
                    </w:r>
                  </w:p>
                </w:tc>
              </w:sdtContent>
            </w:sdt>
            <w:sdt>
              <w:sdtPr>
                <w:rPr>
                  <w:rFonts w:hint="eastAsia"/>
                </w:rPr>
                <w:alias w:val="使用权资产减值准备增加项目金额"/>
                <w:tag w:val="_GBC_bab50aee06d84f1e8fc4fdeafe69534b"/>
                <w:id w:val="1218865954"/>
                <w:lock w:val="sdtLocked"/>
                <w:showingPlcHdr/>
              </w:sdtPr>
              <w:sdtEndPr/>
              <w:sdtContent>
                <w:tc>
                  <w:tcPr>
                    <w:tcW w:w="882" w:type="pct"/>
                    <w:shd w:val="clear" w:color="auto" w:fill="auto"/>
                    <w:vAlign w:val="center"/>
                  </w:tcPr>
                  <w:p w14:paraId="10C9E081" w14:textId="77777777" w:rsidR="007E7472" w:rsidRDefault="00C8327E" w:rsidP="007E7472">
                    <w:pPr>
                      <w:spacing w:line="240" w:lineRule="atLeast"/>
                      <w:jc w:val="right"/>
                    </w:pPr>
                  </w:p>
                </w:tc>
              </w:sdtContent>
            </w:sdt>
            <w:sdt>
              <w:sdtPr>
                <w:rPr>
                  <w:rFonts w:hint="eastAsia"/>
                </w:rPr>
                <w:alias w:val="使用权资产减值准备增加项目金额"/>
                <w:tag w:val="_GBC_bab50aee06d84f1e8fc4fdeafe69534b"/>
                <w:id w:val="1588722164"/>
                <w:lock w:val="sdtLocked"/>
              </w:sdtPr>
              <w:sdtEndPr/>
              <w:sdtContent>
                <w:tc>
                  <w:tcPr>
                    <w:tcW w:w="995" w:type="pct"/>
                    <w:shd w:val="clear" w:color="auto" w:fill="auto"/>
                    <w:vAlign w:val="center"/>
                  </w:tcPr>
                  <w:p w14:paraId="2BB66F9C" w14:textId="77777777" w:rsidR="007E7472" w:rsidRDefault="00913748" w:rsidP="007E7472">
                    <w:pPr>
                      <w:spacing w:line="240" w:lineRule="atLeast"/>
                      <w:jc w:val="right"/>
                    </w:pPr>
                    <w:r>
                      <w:rPr>
                        <w:rFonts w:hint="eastAsia"/>
                      </w:rPr>
                      <w:t>7,302</w:t>
                    </w:r>
                  </w:p>
                </w:tc>
              </w:sdtContent>
            </w:sdt>
            <w:sdt>
              <w:sdtPr>
                <w:rPr>
                  <w:rFonts w:hint="eastAsia"/>
                </w:rPr>
                <w:alias w:val="使用权资产减值准备增加项目金额"/>
                <w:tag w:val="_GBC_bab50aee06d84f1e8fc4fdeafe69534b"/>
                <w:id w:val="1964465664"/>
                <w:lock w:val="sdtLocked"/>
              </w:sdtPr>
              <w:sdtEndPr/>
              <w:sdtContent>
                <w:tc>
                  <w:tcPr>
                    <w:tcW w:w="802" w:type="pct"/>
                    <w:shd w:val="clear" w:color="auto" w:fill="auto"/>
                    <w:vAlign w:val="center"/>
                  </w:tcPr>
                  <w:p w14:paraId="10E476BC" w14:textId="77777777" w:rsidR="007E7472" w:rsidRDefault="00C8327E" w:rsidP="007E7472">
                    <w:pPr>
                      <w:spacing w:line="240" w:lineRule="atLeast"/>
                      <w:jc w:val="right"/>
                    </w:pPr>
                  </w:p>
                </w:tc>
              </w:sdtContent>
            </w:sdt>
            <w:sdt>
              <w:sdtPr>
                <w:rPr>
                  <w:rFonts w:hint="eastAsia"/>
                </w:rPr>
                <w:alias w:val="使用权资产减值准备增加项目合计金额"/>
                <w:tag w:val="_GBC_2701d42012d640a9aea2252eb6e597c5"/>
                <w:id w:val="1883133265"/>
                <w:lock w:val="sdtLocked"/>
              </w:sdtPr>
              <w:sdtEndPr/>
              <w:sdtContent>
                <w:tc>
                  <w:tcPr>
                    <w:tcW w:w="745" w:type="pct"/>
                    <w:shd w:val="clear" w:color="auto" w:fill="auto"/>
                    <w:vAlign w:val="center"/>
                  </w:tcPr>
                  <w:p w14:paraId="27ABD394" w14:textId="77777777" w:rsidR="007E7472" w:rsidRDefault="00913748" w:rsidP="007E7472">
                    <w:pPr>
                      <w:spacing w:line="240" w:lineRule="atLeast"/>
                      <w:jc w:val="right"/>
                    </w:pPr>
                    <w:r>
                      <w:rPr>
                        <w:rFonts w:hint="eastAsia"/>
                      </w:rPr>
                      <w:t>7,302</w:t>
                    </w:r>
                  </w:p>
                </w:tc>
              </w:sdtContent>
            </w:sdt>
          </w:tr>
          <w:tr w:rsidR="007E7472" w14:paraId="06686946" w14:textId="77777777" w:rsidTr="007E7472">
            <w:trPr>
              <w:trHeight w:val="340"/>
            </w:trPr>
            <w:sdt>
              <w:sdtPr>
                <w:rPr>
                  <w:rFonts w:hint="eastAsia"/>
                </w:rPr>
                <w:tag w:val="_PLD_7acfb13844c6472295c20fd22554cb75"/>
                <w:id w:val="1363629905"/>
                <w:lock w:val="sdtLocked"/>
              </w:sdtPr>
              <w:sdtEndPr/>
              <w:sdtContent>
                <w:tc>
                  <w:tcPr>
                    <w:tcW w:w="1575" w:type="pct"/>
                    <w:shd w:val="clear" w:color="auto" w:fill="auto"/>
                    <w:vAlign w:val="center"/>
                  </w:tcPr>
                  <w:p w14:paraId="158C1985" w14:textId="77777777" w:rsidR="007E7472" w:rsidRDefault="00913748" w:rsidP="007E7472">
                    <w:pPr>
                      <w:spacing w:line="240" w:lineRule="atLeast"/>
                      <w:ind w:firstLineChars="200" w:firstLine="420"/>
                    </w:pPr>
                    <w:r>
                      <w:rPr>
                        <w:rFonts w:hint="eastAsia"/>
                      </w:rPr>
                      <w:t>5.期末余额</w:t>
                    </w:r>
                  </w:p>
                </w:tc>
              </w:sdtContent>
            </w:sdt>
            <w:sdt>
              <w:sdtPr>
                <w:rPr>
                  <w:rFonts w:hint="eastAsia"/>
                </w:rPr>
                <w:alias w:val="使用权资产明细-累计折旧"/>
                <w:tag w:val="_GBC_710540a263bf464f92e9c57efeb7876e"/>
                <w:id w:val="476955899"/>
                <w:lock w:val="sdtLocked"/>
              </w:sdtPr>
              <w:sdtEndPr/>
              <w:sdtContent>
                <w:tc>
                  <w:tcPr>
                    <w:tcW w:w="882" w:type="pct"/>
                    <w:shd w:val="clear" w:color="auto" w:fill="auto"/>
                    <w:vAlign w:val="center"/>
                  </w:tcPr>
                  <w:p w14:paraId="3ABBCB79" w14:textId="77777777" w:rsidR="007E7472" w:rsidRDefault="00913748" w:rsidP="007E7472">
                    <w:pPr>
                      <w:spacing w:line="240" w:lineRule="atLeast"/>
                      <w:jc w:val="right"/>
                    </w:pPr>
                    <w:r>
                      <w:rPr>
                        <w:rFonts w:hint="eastAsia"/>
                      </w:rPr>
                      <w:t>22,788</w:t>
                    </w:r>
                  </w:p>
                </w:tc>
              </w:sdtContent>
            </w:sdt>
            <w:sdt>
              <w:sdtPr>
                <w:rPr>
                  <w:rFonts w:hint="eastAsia"/>
                </w:rPr>
                <w:alias w:val="使用权资产明细-累计折旧"/>
                <w:tag w:val="_GBC_710540a263bf464f92e9c57efeb7876e"/>
                <w:id w:val="1127434857"/>
                <w:lock w:val="sdtLocked"/>
              </w:sdtPr>
              <w:sdtEndPr/>
              <w:sdtContent>
                <w:tc>
                  <w:tcPr>
                    <w:tcW w:w="995" w:type="pct"/>
                    <w:shd w:val="clear" w:color="auto" w:fill="auto"/>
                    <w:vAlign w:val="center"/>
                  </w:tcPr>
                  <w:p w14:paraId="5179B7B9" w14:textId="77777777" w:rsidR="007E7472" w:rsidRDefault="00913748" w:rsidP="007E7472">
                    <w:pPr>
                      <w:spacing w:line="240" w:lineRule="atLeast"/>
                      <w:jc w:val="right"/>
                    </w:pPr>
                    <w:r>
                      <w:rPr>
                        <w:rFonts w:hint="eastAsia"/>
                      </w:rPr>
                      <w:t>460,921</w:t>
                    </w:r>
                  </w:p>
                </w:tc>
              </w:sdtContent>
            </w:sdt>
            <w:sdt>
              <w:sdtPr>
                <w:rPr>
                  <w:rFonts w:hint="eastAsia"/>
                </w:rPr>
                <w:alias w:val="使用权资产明细-累计折旧"/>
                <w:tag w:val="_GBC_710540a263bf464f92e9c57efeb7876e"/>
                <w:id w:val="-383635523"/>
                <w:lock w:val="sdtLocked"/>
              </w:sdtPr>
              <w:sdtEndPr/>
              <w:sdtContent>
                <w:tc>
                  <w:tcPr>
                    <w:tcW w:w="802" w:type="pct"/>
                    <w:shd w:val="clear" w:color="auto" w:fill="auto"/>
                    <w:vAlign w:val="center"/>
                  </w:tcPr>
                  <w:p w14:paraId="458A1B15" w14:textId="77777777" w:rsidR="007E7472" w:rsidRDefault="00913748" w:rsidP="007E7472">
                    <w:pPr>
                      <w:spacing w:line="240" w:lineRule="atLeast"/>
                      <w:jc w:val="right"/>
                    </w:pPr>
                    <w:r>
                      <w:rPr>
                        <w:rFonts w:hint="eastAsia"/>
                      </w:rPr>
                      <w:t>17,031</w:t>
                    </w:r>
                  </w:p>
                </w:tc>
              </w:sdtContent>
            </w:sdt>
            <w:sdt>
              <w:sdtPr>
                <w:rPr>
                  <w:rFonts w:hint="eastAsia"/>
                </w:rPr>
                <w:alias w:val="使用权资产累计折旧"/>
                <w:tag w:val="_GBC_99b7e0aec39c48708e812ece4f57f7df"/>
                <w:id w:val="-1124082433"/>
                <w:lock w:val="sdtLocked"/>
              </w:sdtPr>
              <w:sdtEndPr/>
              <w:sdtContent>
                <w:tc>
                  <w:tcPr>
                    <w:tcW w:w="745" w:type="pct"/>
                    <w:shd w:val="clear" w:color="auto" w:fill="auto"/>
                    <w:vAlign w:val="center"/>
                  </w:tcPr>
                  <w:p w14:paraId="5E3DDD87" w14:textId="77777777" w:rsidR="007E7472" w:rsidRDefault="00913748" w:rsidP="007E7472">
                    <w:pPr>
                      <w:spacing w:line="240" w:lineRule="atLeast"/>
                      <w:jc w:val="right"/>
                    </w:pPr>
                    <w:r>
                      <w:rPr>
                        <w:rFonts w:hint="eastAsia"/>
                      </w:rPr>
                      <w:t>500,740</w:t>
                    </w:r>
                  </w:p>
                </w:tc>
              </w:sdtContent>
            </w:sdt>
          </w:tr>
          <w:tr w:rsidR="007E7472" w14:paraId="5A82FCB3" w14:textId="77777777" w:rsidTr="007E7472">
            <w:trPr>
              <w:trHeight w:val="340"/>
            </w:trPr>
            <w:sdt>
              <w:sdtPr>
                <w:rPr>
                  <w:rFonts w:hint="eastAsia"/>
                </w:rPr>
                <w:tag w:val="_PLD_977579b288954e92aacbdc72b4e58579"/>
                <w:id w:val="-1952695278"/>
                <w:lock w:val="sdtLocked"/>
              </w:sdtPr>
              <w:sdtEndPr/>
              <w:sdtContent>
                <w:tc>
                  <w:tcPr>
                    <w:tcW w:w="5000" w:type="pct"/>
                    <w:gridSpan w:val="5"/>
                    <w:shd w:val="clear" w:color="auto" w:fill="auto"/>
                    <w:vAlign w:val="center"/>
                  </w:tcPr>
                  <w:p w14:paraId="6E9B651D" w14:textId="77777777" w:rsidR="007E7472" w:rsidRDefault="00913748" w:rsidP="007E7472">
                    <w:pPr>
                      <w:spacing w:line="240" w:lineRule="atLeast"/>
                    </w:pPr>
                    <w:r>
                      <w:rPr>
                        <w:rFonts w:hint="eastAsia"/>
                      </w:rPr>
                      <w:t>三、减值准备</w:t>
                    </w:r>
                  </w:p>
                </w:tc>
              </w:sdtContent>
            </w:sdt>
          </w:tr>
          <w:tr w:rsidR="007E7472" w14:paraId="460533BC" w14:textId="77777777" w:rsidTr="007E7472">
            <w:trPr>
              <w:trHeight w:val="340"/>
            </w:trPr>
            <w:sdt>
              <w:sdtPr>
                <w:rPr>
                  <w:rFonts w:hint="eastAsia"/>
                </w:rPr>
                <w:tag w:val="_PLD_451a3431a02f424d82ced950a4aa62d1"/>
                <w:id w:val="-706870042"/>
                <w:lock w:val="sdtLocked"/>
              </w:sdtPr>
              <w:sdtEndPr/>
              <w:sdtContent>
                <w:tc>
                  <w:tcPr>
                    <w:tcW w:w="1575" w:type="pct"/>
                    <w:shd w:val="clear" w:color="auto" w:fill="auto"/>
                    <w:vAlign w:val="center"/>
                  </w:tcPr>
                  <w:p w14:paraId="6E253FE8" w14:textId="77777777" w:rsidR="007E7472" w:rsidRDefault="00913748" w:rsidP="007E7472">
                    <w:pPr>
                      <w:spacing w:line="240" w:lineRule="atLeast"/>
                      <w:ind w:firstLineChars="200" w:firstLine="420"/>
                    </w:pPr>
                    <w:r>
                      <w:rPr>
                        <w:rFonts w:hint="eastAsia"/>
                      </w:rPr>
                      <w:t>1.期初余额</w:t>
                    </w:r>
                  </w:p>
                </w:tc>
              </w:sdtContent>
            </w:sdt>
            <w:sdt>
              <w:sdtPr>
                <w:rPr>
                  <w:rFonts w:hint="eastAsia"/>
                </w:rPr>
                <w:alias w:val="使用权资产明细-减值准备"/>
                <w:tag w:val="_GBC_27e6e6a665bc4f7cb75fdccfac703399"/>
                <w:id w:val="763040577"/>
                <w:lock w:val="sdtLocked"/>
                <w:showingPlcHdr/>
              </w:sdtPr>
              <w:sdtEndPr/>
              <w:sdtContent>
                <w:tc>
                  <w:tcPr>
                    <w:tcW w:w="882" w:type="pct"/>
                    <w:shd w:val="clear" w:color="auto" w:fill="auto"/>
                    <w:vAlign w:val="center"/>
                  </w:tcPr>
                  <w:p w14:paraId="2611A22A" w14:textId="77777777" w:rsidR="007E7472" w:rsidRDefault="00913748" w:rsidP="007E7472">
                    <w:pPr>
                      <w:spacing w:line="240" w:lineRule="atLeast"/>
                      <w:jc w:val="right"/>
                    </w:pPr>
                    <w:r>
                      <w:rPr>
                        <w:rFonts w:hint="eastAsia"/>
                      </w:rPr>
                      <w:t xml:space="preserve">　</w:t>
                    </w:r>
                  </w:p>
                </w:tc>
              </w:sdtContent>
            </w:sdt>
            <w:sdt>
              <w:sdtPr>
                <w:rPr>
                  <w:rFonts w:hint="eastAsia"/>
                </w:rPr>
                <w:alias w:val="使用权资产明细-减值准备"/>
                <w:tag w:val="_GBC_27e6e6a665bc4f7cb75fdccfac703399"/>
                <w:id w:val="-514912665"/>
                <w:lock w:val="sdtLocked"/>
              </w:sdtPr>
              <w:sdtEndPr/>
              <w:sdtContent>
                <w:tc>
                  <w:tcPr>
                    <w:tcW w:w="995" w:type="pct"/>
                    <w:shd w:val="clear" w:color="auto" w:fill="auto"/>
                    <w:vAlign w:val="center"/>
                  </w:tcPr>
                  <w:p w14:paraId="0D86FAE7" w14:textId="77777777" w:rsidR="007E7472" w:rsidRDefault="00913748" w:rsidP="007E7472">
                    <w:pPr>
                      <w:spacing w:line="240" w:lineRule="atLeast"/>
                      <w:jc w:val="right"/>
                    </w:pPr>
                    <w:r>
                      <w:rPr>
                        <w:rFonts w:hint="eastAsia"/>
                      </w:rPr>
                      <w:t>127,235</w:t>
                    </w:r>
                  </w:p>
                </w:tc>
              </w:sdtContent>
            </w:sdt>
            <w:sdt>
              <w:sdtPr>
                <w:rPr>
                  <w:rFonts w:hint="eastAsia"/>
                </w:rPr>
                <w:alias w:val="使用权资产明细-减值准备"/>
                <w:tag w:val="_GBC_27e6e6a665bc4f7cb75fdccfac703399"/>
                <w:id w:val="-563869819"/>
                <w:lock w:val="sdtLocked"/>
                <w:showingPlcHdr/>
              </w:sdtPr>
              <w:sdtEndPr/>
              <w:sdtContent>
                <w:tc>
                  <w:tcPr>
                    <w:tcW w:w="802" w:type="pct"/>
                    <w:shd w:val="clear" w:color="auto" w:fill="auto"/>
                    <w:vAlign w:val="center"/>
                  </w:tcPr>
                  <w:p w14:paraId="0E543B00" w14:textId="77777777" w:rsidR="007E7472" w:rsidRDefault="00C8327E" w:rsidP="007E7472">
                    <w:pPr>
                      <w:spacing w:line="240" w:lineRule="atLeast"/>
                      <w:jc w:val="right"/>
                    </w:pPr>
                  </w:p>
                </w:tc>
              </w:sdtContent>
            </w:sdt>
            <w:sdt>
              <w:sdtPr>
                <w:rPr>
                  <w:rFonts w:hint="eastAsia"/>
                </w:rPr>
                <w:alias w:val="使用权资产减值准备"/>
                <w:tag w:val="_GBC_c069caa344d649e8bf37ff39e190f387"/>
                <w:id w:val="-935601319"/>
                <w:lock w:val="sdtLocked"/>
              </w:sdtPr>
              <w:sdtEndPr/>
              <w:sdtContent>
                <w:tc>
                  <w:tcPr>
                    <w:tcW w:w="745" w:type="pct"/>
                    <w:shd w:val="clear" w:color="auto" w:fill="auto"/>
                    <w:vAlign w:val="center"/>
                  </w:tcPr>
                  <w:p w14:paraId="506822A0" w14:textId="77777777" w:rsidR="007E7472" w:rsidRDefault="00913748" w:rsidP="007E7472">
                    <w:pPr>
                      <w:spacing w:line="240" w:lineRule="atLeast"/>
                      <w:jc w:val="right"/>
                    </w:pPr>
                    <w:r>
                      <w:rPr>
                        <w:rFonts w:hint="eastAsia"/>
                      </w:rPr>
                      <w:t>127,235</w:t>
                    </w:r>
                  </w:p>
                </w:tc>
              </w:sdtContent>
            </w:sdt>
          </w:tr>
          <w:tr w:rsidR="007E7472" w14:paraId="60846B26" w14:textId="77777777" w:rsidTr="007E7472">
            <w:trPr>
              <w:trHeight w:val="340"/>
            </w:trPr>
            <w:sdt>
              <w:sdtPr>
                <w:rPr>
                  <w:rFonts w:hint="eastAsia"/>
                </w:rPr>
                <w:tag w:val="_PLD_47a737a9b30f4d8da4048f1415893c19"/>
                <w:id w:val="1179157619"/>
                <w:lock w:val="sdtLocked"/>
              </w:sdtPr>
              <w:sdtEndPr/>
              <w:sdtContent>
                <w:tc>
                  <w:tcPr>
                    <w:tcW w:w="1575" w:type="pct"/>
                    <w:shd w:val="clear" w:color="auto" w:fill="auto"/>
                    <w:vAlign w:val="center"/>
                  </w:tcPr>
                  <w:p w14:paraId="509E8472" w14:textId="77777777" w:rsidR="007E7472" w:rsidRDefault="00913748" w:rsidP="007E7472">
                    <w:pPr>
                      <w:spacing w:line="240" w:lineRule="atLeast"/>
                      <w:ind w:firstLineChars="200" w:firstLine="420"/>
                    </w:pPr>
                    <w:r>
                      <w:rPr>
                        <w:rFonts w:hint="eastAsia"/>
                      </w:rPr>
                      <w:t>2.本期增加金额</w:t>
                    </w:r>
                  </w:p>
                </w:tc>
              </w:sdtContent>
            </w:sdt>
            <w:sdt>
              <w:sdtPr>
                <w:rPr>
                  <w:rFonts w:hint="eastAsia"/>
                </w:rPr>
                <w:alias w:val="使用权资产明细-减值准备增加"/>
                <w:tag w:val="_GBC_f1f8b2d4952a4850be8769576373251c"/>
                <w:id w:val="-2005356951"/>
                <w:lock w:val="sdtLocked"/>
                <w:showingPlcHdr/>
              </w:sdtPr>
              <w:sdtEndPr/>
              <w:sdtContent>
                <w:tc>
                  <w:tcPr>
                    <w:tcW w:w="882" w:type="pct"/>
                    <w:shd w:val="clear" w:color="auto" w:fill="auto"/>
                    <w:vAlign w:val="center"/>
                  </w:tcPr>
                  <w:p w14:paraId="6C4BD863" w14:textId="77777777" w:rsidR="007E7472" w:rsidRDefault="00913748" w:rsidP="007E7472">
                    <w:pPr>
                      <w:spacing w:line="240" w:lineRule="atLeast"/>
                      <w:jc w:val="right"/>
                    </w:pPr>
                    <w:r>
                      <w:rPr>
                        <w:rFonts w:hint="eastAsia"/>
                      </w:rPr>
                      <w:t xml:space="preserve">　</w:t>
                    </w:r>
                  </w:p>
                </w:tc>
              </w:sdtContent>
            </w:sdt>
            <w:sdt>
              <w:sdtPr>
                <w:rPr>
                  <w:rFonts w:hint="eastAsia"/>
                </w:rPr>
                <w:alias w:val="使用权资产明细-减值准备增加"/>
                <w:tag w:val="_GBC_f1f8b2d4952a4850be8769576373251c"/>
                <w:id w:val="1386453017"/>
                <w:lock w:val="sdtLocked"/>
                <w:showingPlcHdr/>
              </w:sdtPr>
              <w:sdtEndPr/>
              <w:sdtContent>
                <w:tc>
                  <w:tcPr>
                    <w:tcW w:w="995" w:type="pct"/>
                    <w:shd w:val="clear" w:color="auto" w:fill="auto"/>
                    <w:vAlign w:val="center"/>
                  </w:tcPr>
                  <w:p w14:paraId="34B9390A" w14:textId="77777777" w:rsidR="007E7472" w:rsidRDefault="00C8327E" w:rsidP="007E7472">
                    <w:pPr>
                      <w:spacing w:line="240" w:lineRule="atLeast"/>
                      <w:jc w:val="right"/>
                    </w:pPr>
                  </w:p>
                </w:tc>
              </w:sdtContent>
            </w:sdt>
            <w:sdt>
              <w:sdtPr>
                <w:rPr>
                  <w:rFonts w:hint="eastAsia"/>
                </w:rPr>
                <w:alias w:val="使用权资产明细-减值准备增加"/>
                <w:tag w:val="_GBC_f1f8b2d4952a4850be8769576373251c"/>
                <w:id w:val="1272746799"/>
                <w:lock w:val="sdtLocked"/>
                <w:showingPlcHdr/>
              </w:sdtPr>
              <w:sdtEndPr/>
              <w:sdtContent>
                <w:tc>
                  <w:tcPr>
                    <w:tcW w:w="802" w:type="pct"/>
                    <w:shd w:val="clear" w:color="auto" w:fill="auto"/>
                    <w:vAlign w:val="center"/>
                  </w:tcPr>
                  <w:p w14:paraId="40CDFDD7" w14:textId="77777777" w:rsidR="007E7472" w:rsidRDefault="00C8327E" w:rsidP="007E7472">
                    <w:pPr>
                      <w:spacing w:line="240" w:lineRule="atLeast"/>
                      <w:jc w:val="right"/>
                    </w:pPr>
                  </w:p>
                </w:tc>
              </w:sdtContent>
            </w:sdt>
            <w:sdt>
              <w:sdtPr>
                <w:rPr>
                  <w:rFonts w:hint="eastAsia"/>
                </w:rPr>
                <w:alias w:val="使用权资产减值准备增加"/>
                <w:tag w:val="_GBC_cf1909d3485d4a3787a1dbcefa412814"/>
                <w:id w:val="-979457457"/>
                <w:lock w:val="sdtLocked"/>
                <w:showingPlcHdr/>
              </w:sdtPr>
              <w:sdtEndPr/>
              <w:sdtContent>
                <w:tc>
                  <w:tcPr>
                    <w:tcW w:w="745" w:type="pct"/>
                    <w:shd w:val="clear" w:color="auto" w:fill="auto"/>
                    <w:vAlign w:val="center"/>
                  </w:tcPr>
                  <w:p w14:paraId="398FE657" w14:textId="77777777" w:rsidR="007E7472" w:rsidRDefault="00913748" w:rsidP="007E7472">
                    <w:pPr>
                      <w:spacing w:line="240" w:lineRule="atLeast"/>
                      <w:jc w:val="right"/>
                    </w:pPr>
                    <w:r>
                      <w:rPr>
                        <w:rFonts w:hint="eastAsia"/>
                      </w:rPr>
                      <w:t xml:space="preserve">　</w:t>
                    </w:r>
                  </w:p>
                </w:tc>
              </w:sdtContent>
            </w:sdt>
          </w:tr>
          <w:tr w:rsidR="007E7472" w14:paraId="1A5C8F47" w14:textId="77777777" w:rsidTr="007E7472">
            <w:trPr>
              <w:trHeight w:val="340"/>
            </w:trPr>
            <w:sdt>
              <w:sdtPr>
                <w:rPr>
                  <w:rFonts w:hint="eastAsia"/>
                </w:rPr>
                <w:tag w:val="_PLD_26be3676b9774a9b8396fa4fa9f17098"/>
                <w:id w:val="-196007002"/>
                <w:lock w:val="sdtLocked"/>
              </w:sdtPr>
              <w:sdtEndPr/>
              <w:sdtContent>
                <w:tc>
                  <w:tcPr>
                    <w:tcW w:w="1575" w:type="pct"/>
                    <w:shd w:val="clear" w:color="auto" w:fill="auto"/>
                    <w:vAlign w:val="center"/>
                  </w:tcPr>
                  <w:p w14:paraId="530F7EF3" w14:textId="77777777" w:rsidR="007E7472" w:rsidRDefault="00913748" w:rsidP="007E7472">
                    <w:pPr>
                      <w:spacing w:line="240" w:lineRule="atLeast"/>
                      <w:ind w:firstLineChars="300" w:firstLine="630"/>
                    </w:pPr>
                    <w:r>
                      <w:rPr>
                        <w:rFonts w:hint="eastAsia"/>
                      </w:rPr>
                      <w:t>（1）计提</w:t>
                    </w:r>
                  </w:p>
                </w:tc>
              </w:sdtContent>
            </w:sdt>
            <w:sdt>
              <w:sdtPr>
                <w:rPr>
                  <w:rFonts w:hint="eastAsia"/>
                </w:rPr>
                <w:alias w:val="使用权资产明细-计提导致的减值准备增加"/>
                <w:tag w:val="_GBC_5d4a64a97dc94c19805438da8c6ab478"/>
                <w:id w:val="-1128090634"/>
                <w:lock w:val="sdtLocked"/>
                <w:showingPlcHdr/>
              </w:sdtPr>
              <w:sdtEndPr/>
              <w:sdtContent>
                <w:tc>
                  <w:tcPr>
                    <w:tcW w:w="882" w:type="pct"/>
                    <w:shd w:val="clear" w:color="auto" w:fill="auto"/>
                    <w:vAlign w:val="center"/>
                  </w:tcPr>
                  <w:p w14:paraId="14860A92" w14:textId="77777777" w:rsidR="007E7472" w:rsidRDefault="00913748" w:rsidP="007E7472">
                    <w:pPr>
                      <w:spacing w:line="240" w:lineRule="atLeast"/>
                      <w:jc w:val="right"/>
                    </w:pPr>
                    <w:r>
                      <w:rPr>
                        <w:rFonts w:hint="eastAsia"/>
                      </w:rPr>
                      <w:t xml:space="preserve">　</w:t>
                    </w:r>
                  </w:p>
                </w:tc>
              </w:sdtContent>
            </w:sdt>
            <w:sdt>
              <w:sdtPr>
                <w:rPr>
                  <w:rFonts w:hint="eastAsia"/>
                </w:rPr>
                <w:alias w:val="使用权资产明细-计提导致的减值准备增加"/>
                <w:tag w:val="_GBC_5d4a64a97dc94c19805438da8c6ab478"/>
                <w:id w:val="1403265254"/>
                <w:lock w:val="sdtLocked"/>
                <w:showingPlcHdr/>
              </w:sdtPr>
              <w:sdtEndPr/>
              <w:sdtContent>
                <w:tc>
                  <w:tcPr>
                    <w:tcW w:w="995" w:type="pct"/>
                    <w:shd w:val="clear" w:color="auto" w:fill="auto"/>
                    <w:vAlign w:val="center"/>
                  </w:tcPr>
                  <w:p w14:paraId="755031CB" w14:textId="77777777" w:rsidR="007E7472" w:rsidRDefault="00913748" w:rsidP="007E7472">
                    <w:pPr>
                      <w:spacing w:line="240" w:lineRule="atLeast"/>
                      <w:jc w:val="right"/>
                    </w:pPr>
                    <w:r>
                      <w:rPr>
                        <w:rFonts w:hint="eastAsia"/>
                      </w:rPr>
                      <w:t xml:space="preserve">     </w:t>
                    </w:r>
                  </w:p>
                </w:tc>
              </w:sdtContent>
            </w:sdt>
            <w:sdt>
              <w:sdtPr>
                <w:rPr>
                  <w:rFonts w:hint="eastAsia"/>
                </w:rPr>
                <w:alias w:val="使用权资产明细-计提导致的减值准备增加"/>
                <w:tag w:val="_GBC_5d4a64a97dc94c19805438da8c6ab478"/>
                <w:id w:val="1874881494"/>
                <w:lock w:val="sdtLocked"/>
                <w:showingPlcHdr/>
              </w:sdtPr>
              <w:sdtEndPr/>
              <w:sdtContent>
                <w:tc>
                  <w:tcPr>
                    <w:tcW w:w="802" w:type="pct"/>
                    <w:shd w:val="clear" w:color="auto" w:fill="auto"/>
                    <w:vAlign w:val="center"/>
                  </w:tcPr>
                  <w:p w14:paraId="20931FC6" w14:textId="77777777" w:rsidR="007E7472" w:rsidRDefault="00C8327E" w:rsidP="007E7472">
                    <w:pPr>
                      <w:spacing w:line="240" w:lineRule="atLeast"/>
                      <w:jc w:val="right"/>
                    </w:pPr>
                  </w:p>
                </w:tc>
              </w:sdtContent>
            </w:sdt>
            <w:sdt>
              <w:sdtPr>
                <w:rPr>
                  <w:rFonts w:hint="eastAsia"/>
                </w:rPr>
                <w:alias w:val="使用权资产计提导致的减值准备增加"/>
                <w:tag w:val="_GBC_283120a8dc6944b9a690320018e1c280"/>
                <w:id w:val="931394286"/>
                <w:lock w:val="sdtLocked"/>
                <w:showingPlcHdr/>
              </w:sdtPr>
              <w:sdtEndPr/>
              <w:sdtContent>
                <w:tc>
                  <w:tcPr>
                    <w:tcW w:w="745" w:type="pct"/>
                    <w:shd w:val="clear" w:color="auto" w:fill="auto"/>
                    <w:vAlign w:val="center"/>
                  </w:tcPr>
                  <w:p w14:paraId="4736BF7A" w14:textId="77777777" w:rsidR="007E7472" w:rsidRDefault="00913748" w:rsidP="007E7472">
                    <w:pPr>
                      <w:spacing w:line="240" w:lineRule="atLeast"/>
                      <w:jc w:val="right"/>
                    </w:pPr>
                    <w:r>
                      <w:rPr>
                        <w:rFonts w:hint="eastAsia"/>
                      </w:rPr>
                      <w:t xml:space="preserve">     </w:t>
                    </w:r>
                  </w:p>
                </w:tc>
              </w:sdtContent>
            </w:sdt>
          </w:tr>
          <w:tr w:rsidR="007E7472" w14:paraId="2D4BAE2D" w14:textId="77777777" w:rsidTr="007E7472">
            <w:trPr>
              <w:trHeight w:val="340"/>
            </w:trPr>
            <w:sdt>
              <w:sdtPr>
                <w:rPr>
                  <w:rFonts w:hint="eastAsia"/>
                </w:rPr>
                <w:tag w:val="_PLD_fd8e2e2eb1c94e01bbb88fa8f1e8d273"/>
                <w:id w:val="38715447"/>
                <w:lock w:val="sdtLocked"/>
              </w:sdtPr>
              <w:sdtEndPr/>
              <w:sdtContent>
                <w:tc>
                  <w:tcPr>
                    <w:tcW w:w="1575" w:type="pct"/>
                    <w:shd w:val="clear" w:color="auto" w:fill="auto"/>
                    <w:vAlign w:val="center"/>
                  </w:tcPr>
                  <w:p w14:paraId="6BF1561B" w14:textId="77777777" w:rsidR="007E7472" w:rsidRDefault="00913748" w:rsidP="007E7472">
                    <w:pPr>
                      <w:spacing w:line="240" w:lineRule="atLeast"/>
                      <w:ind w:firstLineChars="200" w:firstLine="420"/>
                    </w:pPr>
                    <w:r>
                      <w:rPr>
                        <w:rFonts w:hint="eastAsia"/>
                      </w:rPr>
                      <w:t>3.本期减少金额</w:t>
                    </w:r>
                  </w:p>
                </w:tc>
              </w:sdtContent>
            </w:sdt>
            <w:sdt>
              <w:sdtPr>
                <w:rPr>
                  <w:rFonts w:hint="eastAsia"/>
                </w:rPr>
                <w:alias w:val="使用权资产明细-减值准备减少"/>
                <w:tag w:val="_GBC_b575c68addb54ddb8041c85aa9e131d6"/>
                <w:id w:val="1416592140"/>
                <w:lock w:val="sdtLocked"/>
                <w:showingPlcHdr/>
              </w:sdtPr>
              <w:sdtEndPr/>
              <w:sdtContent>
                <w:tc>
                  <w:tcPr>
                    <w:tcW w:w="882" w:type="pct"/>
                    <w:shd w:val="clear" w:color="auto" w:fill="auto"/>
                    <w:vAlign w:val="center"/>
                  </w:tcPr>
                  <w:p w14:paraId="2481364F" w14:textId="77777777" w:rsidR="007E7472" w:rsidRDefault="00913748" w:rsidP="007E7472">
                    <w:pPr>
                      <w:spacing w:line="240" w:lineRule="atLeast"/>
                      <w:jc w:val="right"/>
                    </w:pPr>
                    <w:r>
                      <w:rPr>
                        <w:rFonts w:hint="eastAsia"/>
                      </w:rPr>
                      <w:t xml:space="preserve">　</w:t>
                    </w:r>
                  </w:p>
                </w:tc>
              </w:sdtContent>
            </w:sdt>
            <w:sdt>
              <w:sdtPr>
                <w:rPr>
                  <w:rFonts w:hint="eastAsia"/>
                </w:rPr>
                <w:alias w:val="使用权资产明细-减值准备减少"/>
                <w:tag w:val="_GBC_b575c68addb54ddb8041c85aa9e131d6"/>
                <w:id w:val="-999500644"/>
                <w:lock w:val="sdtLocked"/>
              </w:sdtPr>
              <w:sdtEndPr/>
              <w:sdtContent>
                <w:tc>
                  <w:tcPr>
                    <w:tcW w:w="995" w:type="pct"/>
                    <w:shd w:val="clear" w:color="auto" w:fill="auto"/>
                    <w:vAlign w:val="center"/>
                  </w:tcPr>
                  <w:p w14:paraId="0C0D28C7" w14:textId="77777777" w:rsidR="007E7472" w:rsidRDefault="00913748" w:rsidP="007E7472">
                    <w:pPr>
                      <w:spacing w:line="240" w:lineRule="atLeast"/>
                      <w:jc w:val="right"/>
                    </w:pPr>
                    <w:r>
                      <w:rPr>
                        <w:rFonts w:hint="eastAsia"/>
                      </w:rPr>
                      <w:t>10,183</w:t>
                    </w:r>
                  </w:p>
                </w:tc>
              </w:sdtContent>
            </w:sdt>
            <w:sdt>
              <w:sdtPr>
                <w:rPr>
                  <w:rFonts w:hint="eastAsia"/>
                </w:rPr>
                <w:alias w:val="使用权资产明细-减值准备减少"/>
                <w:tag w:val="_GBC_b575c68addb54ddb8041c85aa9e131d6"/>
                <w:id w:val="-1004749472"/>
                <w:lock w:val="sdtLocked"/>
                <w:showingPlcHdr/>
              </w:sdtPr>
              <w:sdtEndPr/>
              <w:sdtContent>
                <w:tc>
                  <w:tcPr>
                    <w:tcW w:w="802" w:type="pct"/>
                    <w:shd w:val="clear" w:color="auto" w:fill="auto"/>
                    <w:vAlign w:val="center"/>
                  </w:tcPr>
                  <w:p w14:paraId="6FE216FB" w14:textId="77777777" w:rsidR="007E7472" w:rsidRDefault="00C8327E" w:rsidP="007E7472">
                    <w:pPr>
                      <w:spacing w:line="240" w:lineRule="atLeast"/>
                      <w:jc w:val="right"/>
                    </w:pPr>
                  </w:p>
                </w:tc>
              </w:sdtContent>
            </w:sdt>
            <w:sdt>
              <w:sdtPr>
                <w:rPr>
                  <w:rFonts w:hint="eastAsia"/>
                </w:rPr>
                <w:alias w:val="使用权资产减值准备减少"/>
                <w:tag w:val="_GBC_8508e68e7521428db971997c1ccf68f1"/>
                <w:id w:val="1913890837"/>
                <w:lock w:val="sdtLocked"/>
              </w:sdtPr>
              <w:sdtEndPr/>
              <w:sdtContent>
                <w:tc>
                  <w:tcPr>
                    <w:tcW w:w="745" w:type="pct"/>
                    <w:shd w:val="clear" w:color="auto" w:fill="auto"/>
                    <w:vAlign w:val="center"/>
                  </w:tcPr>
                  <w:p w14:paraId="4F98A055" w14:textId="77777777" w:rsidR="007E7472" w:rsidRDefault="00913748" w:rsidP="007E7472">
                    <w:pPr>
                      <w:spacing w:line="240" w:lineRule="atLeast"/>
                      <w:jc w:val="right"/>
                    </w:pPr>
                    <w:r>
                      <w:rPr>
                        <w:rFonts w:hint="eastAsia"/>
                      </w:rPr>
                      <w:t>10,183</w:t>
                    </w:r>
                  </w:p>
                </w:tc>
              </w:sdtContent>
            </w:sdt>
          </w:tr>
          <w:tr w:rsidR="007E7472" w14:paraId="5F84419B" w14:textId="77777777" w:rsidTr="007E7472">
            <w:trPr>
              <w:trHeight w:val="340"/>
            </w:trPr>
            <w:sdt>
              <w:sdtPr>
                <w:rPr>
                  <w:rFonts w:hint="eastAsia"/>
                </w:rPr>
                <w:tag w:val="_PLD_039436c52bad480cb82e28e945ac6011"/>
                <w:id w:val="-1703243837"/>
                <w:lock w:val="sdtLocked"/>
              </w:sdtPr>
              <w:sdtEndPr/>
              <w:sdtContent>
                <w:tc>
                  <w:tcPr>
                    <w:tcW w:w="1575" w:type="pct"/>
                    <w:shd w:val="clear" w:color="auto" w:fill="auto"/>
                    <w:vAlign w:val="center"/>
                  </w:tcPr>
                  <w:p w14:paraId="12297204" w14:textId="77777777" w:rsidR="007E7472" w:rsidRDefault="00913748" w:rsidP="007E7472">
                    <w:pPr>
                      <w:spacing w:line="240" w:lineRule="atLeast"/>
                      <w:ind w:firstLineChars="300" w:firstLine="630"/>
                    </w:pPr>
                    <w:r>
                      <w:rPr>
                        <w:rFonts w:hint="eastAsia"/>
                      </w:rPr>
                      <w:t>（1）处置或报废</w:t>
                    </w:r>
                  </w:p>
                </w:tc>
              </w:sdtContent>
            </w:sdt>
            <w:sdt>
              <w:sdtPr>
                <w:rPr>
                  <w:rFonts w:hint="eastAsia"/>
                </w:rPr>
                <w:alias w:val="使用权资产明细-处置导致的减值准备减少"/>
                <w:tag w:val="_GBC_fc379f4f5e874264a0b7917e8e5f7b8f"/>
                <w:id w:val="-2013827277"/>
                <w:lock w:val="sdtLocked"/>
                <w:showingPlcHdr/>
              </w:sdtPr>
              <w:sdtEndPr/>
              <w:sdtContent>
                <w:tc>
                  <w:tcPr>
                    <w:tcW w:w="882" w:type="pct"/>
                    <w:shd w:val="clear" w:color="auto" w:fill="auto"/>
                    <w:vAlign w:val="center"/>
                  </w:tcPr>
                  <w:p w14:paraId="5B07CE9B" w14:textId="77777777" w:rsidR="007E7472" w:rsidRDefault="00913748" w:rsidP="007E7472">
                    <w:pPr>
                      <w:spacing w:line="240" w:lineRule="atLeast"/>
                      <w:jc w:val="right"/>
                    </w:pPr>
                    <w:r>
                      <w:rPr>
                        <w:rFonts w:hint="eastAsia"/>
                      </w:rPr>
                      <w:t xml:space="preserve">　</w:t>
                    </w:r>
                  </w:p>
                </w:tc>
              </w:sdtContent>
            </w:sdt>
            <w:sdt>
              <w:sdtPr>
                <w:rPr>
                  <w:rFonts w:hint="eastAsia"/>
                </w:rPr>
                <w:alias w:val="使用权资产明细-处置导致的减值准备减少"/>
                <w:tag w:val="_GBC_fc379f4f5e874264a0b7917e8e5f7b8f"/>
                <w:id w:val="1396937489"/>
                <w:lock w:val="sdtLocked"/>
                <w:showingPlcHdr/>
              </w:sdtPr>
              <w:sdtEndPr/>
              <w:sdtContent>
                <w:tc>
                  <w:tcPr>
                    <w:tcW w:w="995" w:type="pct"/>
                    <w:shd w:val="clear" w:color="auto" w:fill="auto"/>
                    <w:vAlign w:val="center"/>
                  </w:tcPr>
                  <w:p w14:paraId="558DF144" w14:textId="402A3AB4" w:rsidR="007E7472" w:rsidRDefault="00913748" w:rsidP="007E7472">
                    <w:pPr>
                      <w:spacing w:line="240" w:lineRule="atLeast"/>
                      <w:jc w:val="right"/>
                    </w:pPr>
                    <w:r>
                      <w:t xml:space="preserve">     </w:t>
                    </w:r>
                  </w:p>
                </w:tc>
              </w:sdtContent>
            </w:sdt>
            <w:sdt>
              <w:sdtPr>
                <w:rPr>
                  <w:rFonts w:hint="eastAsia"/>
                </w:rPr>
                <w:alias w:val="使用权资产明细-处置导致的减值准备减少"/>
                <w:tag w:val="_GBC_fc379f4f5e874264a0b7917e8e5f7b8f"/>
                <w:id w:val="1351602804"/>
                <w:lock w:val="sdtLocked"/>
                <w:showingPlcHdr/>
              </w:sdtPr>
              <w:sdtEndPr/>
              <w:sdtContent>
                <w:tc>
                  <w:tcPr>
                    <w:tcW w:w="802" w:type="pct"/>
                    <w:shd w:val="clear" w:color="auto" w:fill="auto"/>
                    <w:vAlign w:val="center"/>
                  </w:tcPr>
                  <w:p w14:paraId="416D9931" w14:textId="157EF17A" w:rsidR="007E7472" w:rsidRDefault="00913748" w:rsidP="007E7472">
                    <w:pPr>
                      <w:spacing w:line="240" w:lineRule="atLeast"/>
                      <w:jc w:val="right"/>
                    </w:pPr>
                    <w:r>
                      <w:t xml:space="preserve">     </w:t>
                    </w:r>
                  </w:p>
                </w:tc>
              </w:sdtContent>
            </w:sdt>
            <w:sdt>
              <w:sdtPr>
                <w:rPr>
                  <w:rFonts w:hint="eastAsia"/>
                </w:rPr>
                <w:alias w:val="使用权资产处置导致的减值准备减少"/>
                <w:tag w:val="_GBC_b12f4ebe26a3412bb18711415fec7659"/>
                <w:id w:val="626283052"/>
                <w:lock w:val="sdtLocked"/>
                <w:showingPlcHdr/>
              </w:sdtPr>
              <w:sdtEndPr/>
              <w:sdtContent>
                <w:tc>
                  <w:tcPr>
                    <w:tcW w:w="745" w:type="pct"/>
                    <w:shd w:val="clear" w:color="auto" w:fill="auto"/>
                    <w:vAlign w:val="center"/>
                  </w:tcPr>
                  <w:p w14:paraId="249ABE53" w14:textId="797CE6CA" w:rsidR="007E7472" w:rsidRDefault="00913748" w:rsidP="007E7472">
                    <w:pPr>
                      <w:spacing w:line="240" w:lineRule="atLeast"/>
                      <w:jc w:val="right"/>
                    </w:pPr>
                    <w:r>
                      <w:t xml:space="preserve">     </w:t>
                    </w:r>
                  </w:p>
                </w:tc>
              </w:sdtContent>
            </w:sdt>
          </w:tr>
          <w:tr w:rsidR="007E7472" w14:paraId="4177CCCC" w14:textId="77777777" w:rsidTr="007E7472">
            <w:trPr>
              <w:trHeight w:val="340"/>
            </w:trPr>
            <w:tc>
              <w:tcPr>
                <w:tcW w:w="1575" w:type="pct"/>
                <w:shd w:val="clear" w:color="auto" w:fill="auto"/>
                <w:vAlign w:val="center"/>
              </w:tcPr>
              <w:p w14:paraId="1A0C8ED1" w14:textId="0B773526" w:rsidR="007E7472" w:rsidRDefault="00913748" w:rsidP="007E7472">
                <w:pPr>
                  <w:spacing w:line="240" w:lineRule="atLeast"/>
                  <w:ind w:firstLineChars="300" w:firstLine="630"/>
                </w:pPr>
                <w:r w:rsidRPr="00C048F4">
                  <w:rPr>
                    <w:rFonts w:hint="eastAsia"/>
                  </w:rPr>
                  <w:t>（</w:t>
                </w:r>
                <w:r>
                  <w:rPr>
                    <w:rFonts w:hint="eastAsia"/>
                  </w:rPr>
                  <w:t>2</w:t>
                </w:r>
                <w:r w:rsidRPr="00C048F4">
                  <w:t>）</w:t>
                </w:r>
                <w:r>
                  <w:rPr>
                    <w:rFonts w:hint="eastAsia"/>
                  </w:rPr>
                  <w:t>其他减少</w:t>
                </w:r>
              </w:p>
            </w:tc>
            <w:tc>
              <w:tcPr>
                <w:tcW w:w="882" w:type="pct"/>
                <w:shd w:val="clear" w:color="auto" w:fill="auto"/>
                <w:vAlign w:val="center"/>
              </w:tcPr>
              <w:p w14:paraId="6ECFAB49" w14:textId="77777777" w:rsidR="007E7472" w:rsidRDefault="00C8327E" w:rsidP="007E7472">
                <w:pPr>
                  <w:spacing w:line="240" w:lineRule="atLeast"/>
                  <w:jc w:val="right"/>
                </w:pPr>
              </w:p>
            </w:tc>
            <w:tc>
              <w:tcPr>
                <w:tcW w:w="995" w:type="pct"/>
                <w:shd w:val="clear" w:color="auto" w:fill="auto"/>
                <w:vAlign w:val="center"/>
              </w:tcPr>
              <w:p w14:paraId="2FEAF4AD" w14:textId="0DC93EE9" w:rsidR="007E7472" w:rsidRDefault="00913748" w:rsidP="007E7472">
                <w:pPr>
                  <w:spacing w:line="240" w:lineRule="atLeast"/>
                  <w:jc w:val="right"/>
                </w:pPr>
                <w:r>
                  <w:t>10,183</w:t>
                </w:r>
              </w:p>
            </w:tc>
            <w:tc>
              <w:tcPr>
                <w:tcW w:w="802" w:type="pct"/>
                <w:shd w:val="clear" w:color="auto" w:fill="auto"/>
                <w:vAlign w:val="center"/>
              </w:tcPr>
              <w:p w14:paraId="63B94CB7" w14:textId="77777777" w:rsidR="007E7472" w:rsidRDefault="00C8327E" w:rsidP="007E7472">
                <w:pPr>
                  <w:spacing w:line="240" w:lineRule="atLeast"/>
                  <w:jc w:val="right"/>
                </w:pPr>
              </w:p>
            </w:tc>
            <w:tc>
              <w:tcPr>
                <w:tcW w:w="745" w:type="pct"/>
                <w:shd w:val="clear" w:color="auto" w:fill="auto"/>
                <w:vAlign w:val="center"/>
              </w:tcPr>
              <w:p w14:paraId="56C0E757" w14:textId="7C7F1FC5" w:rsidR="007E7472" w:rsidRDefault="00913748" w:rsidP="007E7472">
                <w:pPr>
                  <w:spacing w:line="240" w:lineRule="atLeast"/>
                  <w:jc w:val="right"/>
                </w:pPr>
                <w:r>
                  <w:t>10,183</w:t>
                </w:r>
              </w:p>
            </w:tc>
          </w:tr>
          <w:tr w:rsidR="007E7472" w14:paraId="19B8B45C" w14:textId="77777777" w:rsidTr="007E7472">
            <w:trPr>
              <w:trHeight w:val="340"/>
            </w:trPr>
            <w:tc>
              <w:tcPr>
                <w:tcW w:w="1575" w:type="pct"/>
                <w:shd w:val="clear" w:color="auto" w:fill="auto"/>
                <w:vAlign w:val="center"/>
              </w:tcPr>
              <w:p w14:paraId="6FD5ADC6" w14:textId="77777777" w:rsidR="007E7472" w:rsidRDefault="00913748" w:rsidP="007E7472">
                <w:pPr>
                  <w:ind w:firstLineChars="200" w:firstLine="420"/>
                </w:pPr>
                <w:r>
                  <w:rPr>
                    <w:rFonts w:hint="eastAsia"/>
                  </w:rPr>
                  <w:t>4.外币报表折算差额</w:t>
                </w:r>
              </w:p>
            </w:tc>
            <w:tc>
              <w:tcPr>
                <w:tcW w:w="882" w:type="pct"/>
                <w:shd w:val="clear" w:color="auto" w:fill="auto"/>
                <w:vAlign w:val="center"/>
              </w:tcPr>
              <w:p w14:paraId="7378764B" w14:textId="77777777" w:rsidR="007E7472" w:rsidRDefault="00C8327E" w:rsidP="007E7472">
                <w:pPr>
                  <w:spacing w:line="240" w:lineRule="atLeast"/>
                  <w:jc w:val="right"/>
                </w:pPr>
              </w:p>
            </w:tc>
            <w:tc>
              <w:tcPr>
                <w:tcW w:w="995" w:type="pct"/>
                <w:shd w:val="clear" w:color="auto" w:fill="auto"/>
                <w:vAlign w:val="center"/>
              </w:tcPr>
              <w:p w14:paraId="6F5F14B4" w14:textId="77777777" w:rsidR="007E7472" w:rsidRDefault="00913748" w:rsidP="007E7472">
                <w:pPr>
                  <w:spacing w:line="240" w:lineRule="atLeast"/>
                  <w:jc w:val="right"/>
                </w:pPr>
                <w:r>
                  <w:rPr>
                    <w:rFonts w:hint="eastAsia"/>
                  </w:rPr>
                  <w:t>2,214</w:t>
                </w:r>
              </w:p>
            </w:tc>
            <w:tc>
              <w:tcPr>
                <w:tcW w:w="802" w:type="pct"/>
                <w:shd w:val="clear" w:color="auto" w:fill="auto"/>
                <w:vAlign w:val="center"/>
              </w:tcPr>
              <w:p w14:paraId="2DAA282A" w14:textId="77777777" w:rsidR="007E7472" w:rsidRDefault="00C8327E" w:rsidP="007E7472">
                <w:pPr>
                  <w:spacing w:line="240" w:lineRule="atLeast"/>
                  <w:jc w:val="right"/>
                </w:pPr>
              </w:p>
            </w:tc>
            <w:tc>
              <w:tcPr>
                <w:tcW w:w="745" w:type="pct"/>
                <w:shd w:val="clear" w:color="auto" w:fill="auto"/>
                <w:vAlign w:val="center"/>
              </w:tcPr>
              <w:p w14:paraId="73D3A6F3" w14:textId="77777777" w:rsidR="007E7472" w:rsidRDefault="00913748" w:rsidP="007E7472">
                <w:pPr>
                  <w:spacing w:line="240" w:lineRule="atLeast"/>
                  <w:jc w:val="right"/>
                </w:pPr>
                <w:r>
                  <w:rPr>
                    <w:rFonts w:hint="eastAsia"/>
                  </w:rPr>
                  <w:t>2,214</w:t>
                </w:r>
              </w:p>
            </w:tc>
          </w:tr>
          <w:tr w:rsidR="007E7472" w14:paraId="2F32B3C3" w14:textId="77777777" w:rsidTr="007E7472">
            <w:trPr>
              <w:trHeight w:val="340"/>
            </w:trPr>
            <w:sdt>
              <w:sdtPr>
                <w:rPr>
                  <w:rFonts w:hint="eastAsia"/>
                </w:rPr>
                <w:tag w:val="_PLD_3170291c2496403c8098c91bdd6cebcd"/>
                <w:id w:val="-1062944301"/>
                <w:lock w:val="sdtLocked"/>
              </w:sdtPr>
              <w:sdtEndPr/>
              <w:sdtContent>
                <w:tc>
                  <w:tcPr>
                    <w:tcW w:w="1575" w:type="pct"/>
                    <w:shd w:val="clear" w:color="auto" w:fill="auto"/>
                    <w:vAlign w:val="center"/>
                  </w:tcPr>
                  <w:p w14:paraId="5DEBFF78" w14:textId="77777777" w:rsidR="007E7472" w:rsidRDefault="00913748" w:rsidP="007E7472">
                    <w:pPr>
                      <w:spacing w:line="240" w:lineRule="atLeast"/>
                      <w:ind w:firstLineChars="200" w:firstLine="420"/>
                    </w:pPr>
                    <w:r>
                      <w:rPr>
                        <w:rFonts w:hint="eastAsia"/>
                      </w:rPr>
                      <w:t>5.期末余额</w:t>
                    </w:r>
                  </w:p>
                </w:tc>
              </w:sdtContent>
            </w:sdt>
            <w:sdt>
              <w:sdtPr>
                <w:rPr>
                  <w:rFonts w:hint="eastAsia"/>
                </w:rPr>
                <w:alias w:val="使用权资产明细-减值准备"/>
                <w:tag w:val="_GBC_d0d02d2ebed7413da2c65b876a24d32c"/>
                <w:id w:val="350695802"/>
                <w:lock w:val="sdtLocked"/>
                <w:showingPlcHdr/>
              </w:sdtPr>
              <w:sdtEndPr/>
              <w:sdtContent>
                <w:tc>
                  <w:tcPr>
                    <w:tcW w:w="882" w:type="pct"/>
                    <w:shd w:val="clear" w:color="auto" w:fill="auto"/>
                    <w:vAlign w:val="center"/>
                  </w:tcPr>
                  <w:p w14:paraId="41B47476" w14:textId="77777777" w:rsidR="007E7472" w:rsidRDefault="00913748" w:rsidP="007E7472">
                    <w:pPr>
                      <w:spacing w:line="240" w:lineRule="atLeast"/>
                      <w:jc w:val="right"/>
                    </w:pPr>
                    <w:r>
                      <w:rPr>
                        <w:rFonts w:hint="eastAsia"/>
                      </w:rPr>
                      <w:t xml:space="preserve">　</w:t>
                    </w:r>
                  </w:p>
                </w:tc>
              </w:sdtContent>
            </w:sdt>
            <w:sdt>
              <w:sdtPr>
                <w:rPr>
                  <w:rFonts w:hint="eastAsia"/>
                </w:rPr>
                <w:alias w:val="使用权资产明细-减值准备"/>
                <w:tag w:val="_GBC_d0d02d2ebed7413da2c65b876a24d32c"/>
                <w:id w:val="1635068056"/>
                <w:lock w:val="sdtLocked"/>
              </w:sdtPr>
              <w:sdtEndPr/>
              <w:sdtContent>
                <w:tc>
                  <w:tcPr>
                    <w:tcW w:w="995" w:type="pct"/>
                    <w:shd w:val="clear" w:color="auto" w:fill="auto"/>
                    <w:vAlign w:val="center"/>
                  </w:tcPr>
                  <w:p w14:paraId="42E4B2DA" w14:textId="77777777" w:rsidR="007E7472" w:rsidRDefault="00913748" w:rsidP="007E7472">
                    <w:pPr>
                      <w:spacing w:line="240" w:lineRule="atLeast"/>
                      <w:jc w:val="right"/>
                    </w:pPr>
                    <w:r>
                      <w:rPr>
                        <w:rFonts w:hint="eastAsia"/>
                      </w:rPr>
                      <w:t>119,266</w:t>
                    </w:r>
                  </w:p>
                </w:tc>
              </w:sdtContent>
            </w:sdt>
            <w:sdt>
              <w:sdtPr>
                <w:rPr>
                  <w:rFonts w:hint="eastAsia"/>
                </w:rPr>
                <w:alias w:val="使用权资产明细-减值准备"/>
                <w:tag w:val="_GBC_d0d02d2ebed7413da2c65b876a24d32c"/>
                <w:id w:val="-1825196257"/>
                <w:lock w:val="sdtLocked"/>
                <w:showingPlcHdr/>
              </w:sdtPr>
              <w:sdtEndPr/>
              <w:sdtContent>
                <w:tc>
                  <w:tcPr>
                    <w:tcW w:w="802" w:type="pct"/>
                    <w:shd w:val="clear" w:color="auto" w:fill="auto"/>
                    <w:vAlign w:val="center"/>
                  </w:tcPr>
                  <w:p w14:paraId="5AAE22D2" w14:textId="77777777" w:rsidR="007E7472" w:rsidRDefault="00913748" w:rsidP="007E7472">
                    <w:pPr>
                      <w:spacing w:line="240" w:lineRule="atLeast"/>
                      <w:jc w:val="right"/>
                    </w:pPr>
                    <w:r>
                      <w:rPr>
                        <w:rFonts w:hint="eastAsia"/>
                      </w:rPr>
                      <w:t xml:space="preserve">　</w:t>
                    </w:r>
                  </w:p>
                </w:tc>
              </w:sdtContent>
            </w:sdt>
            <w:sdt>
              <w:sdtPr>
                <w:rPr>
                  <w:rFonts w:hint="eastAsia"/>
                </w:rPr>
                <w:alias w:val="使用权资产减值准备"/>
                <w:tag w:val="_GBC_41ce3320f4f948c69e0325d66e1fc514"/>
                <w:id w:val="-1894726130"/>
                <w:lock w:val="sdtLocked"/>
              </w:sdtPr>
              <w:sdtEndPr/>
              <w:sdtContent>
                <w:tc>
                  <w:tcPr>
                    <w:tcW w:w="745" w:type="pct"/>
                    <w:shd w:val="clear" w:color="auto" w:fill="auto"/>
                    <w:vAlign w:val="center"/>
                  </w:tcPr>
                  <w:p w14:paraId="657AB305" w14:textId="77777777" w:rsidR="007E7472" w:rsidRDefault="00913748" w:rsidP="007E7472">
                    <w:pPr>
                      <w:spacing w:line="240" w:lineRule="atLeast"/>
                      <w:jc w:val="right"/>
                    </w:pPr>
                    <w:r>
                      <w:rPr>
                        <w:rFonts w:hint="eastAsia"/>
                      </w:rPr>
                      <w:t>119,266</w:t>
                    </w:r>
                  </w:p>
                </w:tc>
              </w:sdtContent>
            </w:sdt>
          </w:tr>
          <w:tr w:rsidR="007E7472" w14:paraId="42AC32E6" w14:textId="77777777" w:rsidTr="007E7472">
            <w:trPr>
              <w:trHeight w:val="340"/>
            </w:trPr>
            <w:sdt>
              <w:sdtPr>
                <w:rPr>
                  <w:rFonts w:hint="eastAsia"/>
                </w:rPr>
                <w:tag w:val="_PLD_a609076f16da4fedb37d9fc1d72dfd8f"/>
                <w:id w:val="1942186626"/>
                <w:lock w:val="sdtLocked"/>
              </w:sdtPr>
              <w:sdtEndPr/>
              <w:sdtContent>
                <w:tc>
                  <w:tcPr>
                    <w:tcW w:w="5000" w:type="pct"/>
                    <w:gridSpan w:val="5"/>
                    <w:shd w:val="clear" w:color="auto" w:fill="auto"/>
                    <w:vAlign w:val="center"/>
                  </w:tcPr>
                  <w:p w14:paraId="47271DBA" w14:textId="77777777" w:rsidR="007E7472" w:rsidRDefault="00913748" w:rsidP="007E7472">
                    <w:pPr>
                      <w:spacing w:line="240" w:lineRule="atLeast"/>
                    </w:pPr>
                    <w:r>
                      <w:rPr>
                        <w:rFonts w:hint="eastAsia"/>
                      </w:rPr>
                      <w:t>四、账面价值</w:t>
                    </w:r>
                  </w:p>
                </w:tc>
              </w:sdtContent>
            </w:sdt>
          </w:tr>
          <w:tr w:rsidR="007E7472" w14:paraId="4B607487" w14:textId="77777777" w:rsidTr="007E7472">
            <w:trPr>
              <w:trHeight w:val="340"/>
            </w:trPr>
            <w:sdt>
              <w:sdtPr>
                <w:rPr>
                  <w:rFonts w:hint="eastAsia"/>
                </w:rPr>
                <w:tag w:val="_PLD_4674f60ab7b34201a998a840d9d08d8a"/>
                <w:id w:val="1491907763"/>
                <w:lock w:val="sdtLocked"/>
              </w:sdtPr>
              <w:sdtEndPr/>
              <w:sdtContent>
                <w:tc>
                  <w:tcPr>
                    <w:tcW w:w="1575" w:type="pct"/>
                    <w:shd w:val="clear" w:color="auto" w:fill="auto"/>
                    <w:vAlign w:val="center"/>
                  </w:tcPr>
                  <w:p w14:paraId="63298296" w14:textId="77777777" w:rsidR="007E7472" w:rsidRDefault="00913748" w:rsidP="007E7472">
                    <w:pPr>
                      <w:spacing w:line="240" w:lineRule="atLeast"/>
                    </w:pPr>
                    <w:r>
                      <w:rPr>
                        <w:rFonts w:hint="eastAsia"/>
                      </w:rPr>
                      <w:t>1.期末账面价值</w:t>
                    </w:r>
                  </w:p>
                </w:tc>
              </w:sdtContent>
            </w:sdt>
            <w:sdt>
              <w:sdtPr>
                <w:rPr>
                  <w:rFonts w:hint="eastAsia"/>
                </w:rPr>
                <w:alias w:val="使用权资产明细-账面价值"/>
                <w:tag w:val="_GBC_2bb664ccfd7e4285b84d8fb7955354cb"/>
                <w:id w:val="-1879543609"/>
                <w:lock w:val="sdtLocked"/>
              </w:sdtPr>
              <w:sdtEndPr/>
              <w:sdtContent>
                <w:tc>
                  <w:tcPr>
                    <w:tcW w:w="882" w:type="pct"/>
                    <w:shd w:val="clear" w:color="auto" w:fill="auto"/>
                    <w:vAlign w:val="center"/>
                  </w:tcPr>
                  <w:p w14:paraId="4A8396F3" w14:textId="77777777" w:rsidR="007E7472" w:rsidRDefault="00913748" w:rsidP="007E7472">
                    <w:pPr>
                      <w:spacing w:line="240" w:lineRule="atLeast"/>
                      <w:jc w:val="right"/>
                    </w:pPr>
                    <w:r>
                      <w:rPr>
                        <w:rFonts w:hint="eastAsia"/>
                      </w:rPr>
                      <w:t>949</w:t>
                    </w:r>
                  </w:p>
                </w:tc>
              </w:sdtContent>
            </w:sdt>
            <w:sdt>
              <w:sdtPr>
                <w:rPr>
                  <w:rFonts w:hint="eastAsia"/>
                </w:rPr>
                <w:alias w:val="使用权资产明细-账面价值"/>
                <w:tag w:val="_GBC_2bb664ccfd7e4285b84d8fb7955354cb"/>
                <w:id w:val="-723453255"/>
                <w:lock w:val="sdtLocked"/>
              </w:sdtPr>
              <w:sdtEndPr/>
              <w:sdtContent>
                <w:tc>
                  <w:tcPr>
                    <w:tcW w:w="995" w:type="pct"/>
                    <w:shd w:val="clear" w:color="auto" w:fill="auto"/>
                    <w:vAlign w:val="center"/>
                  </w:tcPr>
                  <w:p w14:paraId="3542B5AE" w14:textId="77777777" w:rsidR="007E7472" w:rsidRDefault="00913748" w:rsidP="007E7472">
                    <w:pPr>
                      <w:spacing w:line="240" w:lineRule="atLeast"/>
                      <w:jc w:val="right"/>
                    </w:pPr>
                    <w:r>
                      <w:rPr>
                        <w:rFonts w:hint="eastAsia"/>
                      </w:rPr>
                      <w:t>631,880</w:t>
                    </w:r>
                  </w:p>
                </w:tc>
              </w:sdtContent>
            </w:sdt>
            <w:sdt>
              <w:sdtPr>
                <w:rPr>
                  <w:rFonts w:hint="eastAsia"/>
                </w:rPr>
                <w:alias w:val="使用权资产明细-账面价值"/>
                <w:tag w:val="_GBC_2bb664ccfd7e4285b84d8fb7955354cb"/>
                <w:id w:val="-171337887"/>
                <w:lock w:val="sdtLocked"/>
              </w:sdtPr>
              <w:sdtEndPr/>
              <w:sdtContent>
                <w:tc>
                  <w:tcPr>
                    <w:tcW w:w="802" w:type="pct"/>
                    <w:shd w:val="clear" w:color="auto" w:fill="auto"/>
                    <w:vAlign w:val="center"/>
                  </w:tcPr>
                  <w:p w14:paraId="5B40A009" w14:textId="77777777" w:rsidR="007E7472" w:rsidRDefault="00913748" w:rsidP="007E7472">
                    <w:pPr>
                      <w:spacing w:line="240" w:lineRule="atLeast"/>
                      <w:jc w:val="right"/>
                    </w:pPr>
                    <w:r>
                      <w:rPr>
                        <w:rFonts w:hint="eastAsia"/>
                      </w:rPr>
                      <w:t>36,821</w:t>
                    </w:r>
                  </w:p>
                </w:tc>
              </w:sdtContent>
            </w:sdt>
            <w:sdt>
              <w:sdtPr>
                <w:rPr>
                  <w:rFonts w:hint="eastAsia"/>
                </w:rPr>
                <w:alias w:val="使用权资产"/>
                <w:tag w:val="_GBC_edf5285955b448ed844183547d426f66"/>
                <w:id w:val="-888803151"/>
                <w:lock w:val="sdtLocked"/>
              </w:sdtPr>
              <w:sdtEndPr/>
              <w:sdtContent>
                <w:tc>
                  <w:tcPr>
                    <w:tcW w:w="745" w:type="pct"/>
                    <w:shd w:val="clear" w:color="auto" w:fill="auto"/>
                    <w:vAlign w:val="center"/>
                  </w:tcPr>
                  <w:p w14:paraId="59487294" w14:textId="77777777" w:rsidR="007E7472" w:rsidRDefault="00913748" w:rsidP="007E7472">
                    <w:pPr>
                      <w:spacing w:line="240" w:lineRule="atLeast"/>
                      <w:jc w:val="right"/>
                    </w:pPr>
                    <w:r>
                      <w:rPr>
                        <w:rFonts w:hint="eastAsia"/>
                      </w:rPr>
                      <w:t>669,650</w:t>
                    </w:r>
                  </w:p>
                </w:tc>
              </w:sdtContent>
            </w:sdt>
          </w:tr>
          <w:tr w:rsidR="007E7472" w14:paraId="2E3C5669" w14:textId="77777777" w:rsidTr="007E7472">
            <w:trPr>
              <w:trHeight w:val="340"/>
            </w:trPr>
            <w:sdt>
              <w:sdtPr>
                <w:rPr>
                  <w:rFonts w:hint="eastAsia"/>
                </w:rPr>
                <w:tag w:val="_PLD_a7e06de99a79495a885da295fe9ce70c"/>
                <w:id w:val="432406727"/>
                <w:lock w:val="sdtLocked"/>
              </w:sdtPr>
              <w:sdtEndPr/>
              <w:sdtContent>
                <w:tc>
                  <w:tcPr>
                    <w:tcW w:w="1575" w:type="pct"/>
                    <w:shd w:val="clear" w:color="auto" w:fill="auto"/>
                    <w:vAlign w:val="center"/>
                  </w:tcPr>
                  <w:p w14:paraId="4E6333F0" w14:textId="77777777" w:rsidR="007E7472" w:rsidRDefault="00913748" w:rsidP="007E7472">
                    <w:pPr>
                      <w:spacing w:line="240" w:lineRule="atLeast"/>
                    </w:pPr>
                    <w:r>
                      <w:rPr>
                        <w:rFonts w:hint="eastAsia"/>
                      </w:rPr>
                      <w:t>2.期初账面价值</w:t>
                    </w:r>
                  </w:p>
                </w:tc>
              </w:sdtContent>
            </w:sdt>
            <w:sdt>
              <w:sdtPr>
                <w:rPr>
                  <w:rFonts w:hint="eastAsia"/>
                </w:rPr>
                <w:alias w:val="使用权资产明细-账面价值"/>
                <w:tag w:val="_GBC_fb48ddba17ca41f48409ce6b3fc26277"/>
                <w:id w:val="689267488"/>
                <w:lock w:val="sdtLocked"/>
              </w:sdtPr>
              <w:sdtEndPr/>
              <w:sdtContent>
                <w:tc>
                  <w:tcPr>
                    <w:tcW w:w="882" w:type="pct"/>
                    <w:shd w:val="clear" w:color="auto" w:fill="auto"/>
                    <w:vAlign w:val="center"/>
                  </w:tcPr>
                  <w:p w14:paraId="4ECC504F" w14:textId="77777777" w:rsidR="007E7472" w:rsidRDefault="00913748" w:rsidP="007E7472">
                    <w:pPr>
                      <w:spacing w:line="240" w:lineRule="atLeast"/>
                      <w:jc w:val="right"/>
                    </w:pPr>
                    <w:r>
                      <w:rPr>
                        <w:rFonts w:hint="eastAsia"/>
                      </w:rPr>
                      <w:t>1,681</w:t>
                    </w:r>
                  </w:p>
                </w:tc>
              </w:sdtContent>
            </w:sdt>
            <w:sdt>
              <w:sdtPr>
                <w:rPr>
                  <w:rFonts w:hint="eastAsia"/>
                </w:rPr>
                <w:alias w:val="使用权资产明细-账面价值"/>
                <w:tag w:val="_GBC_fb48ddba17ca41f48409ce6b3fc26277"/>
                <w:id w:val="714241087"/>
                <w:lock w:val="sdtLocked"/>
              </w:sdtPr>
              <w:sdtEndPr/>
              <w:sdtContent>
                <w:tc>
                  <w:tcPr>
                    <w:tcW w:w="995" w:type="pct"/>
                    <w:shd w:val="clear" w:color="auto" w:fill="auto"/>
                    <w:vAlign w:val="center"/>
                  </w:tcPr>
                  <w:p w14:paraId="0F31C38A" w14:textId="77777777" w:rsidR="007E7472" w:rsidRDefault="00913748" w:rsidP="007E7472">
                    <w:pPr>
                      <w:spacing w:line="240" w:lineRule="atLeast"/>
                      <w:jc w:val="right"/>
                    </w:pPr>
                    <w:r>
                      <w:rPr>
                        <w:rFonts w:hint="eastAsia"/>
                      </w:rPr>
                      <w:t>704,675</w:t>
                    </w:r>
                  </w:p>
                </w:tc>
              </w:sdtContent>
            </w:sdt>
            <w:sdt>
              <w:sdtPr>
                <w:rPr>
                  <w:rFonts w:hint="eastAsia"/>
                </w:rPr>
                <w:alias w:val="使用权资产明细-账面价值"/>
                <w:tag w:val="_GBC_fb48ddba17ca41f48409ce6b3fc26277"/>
                <w:id w:val="-169563795"/>
                <w:lock w:val="sdtLocked"/>
              </w:sdtPr>
              <w:sdtEndPr/>
              <w:sdtContent>
                <w:tc>
                  <w:tcPr>
                    <w:tcW w:w="802" w:type="pct"/>
                    <w:shd w:val="clear" w:color="auto" w:fill="auto"/>
                    <w:vAlign w:val="center"/>
                  </w:tcPr>
                  <w:p w14:paraId="03273AA3" w14:textId="77777777" w:rsidR="007E7472" w:rsidRDefault="00913748" w:rsidP="007E7472">
                    <w:pPr>
                      <w:spacing w:line="240" w:lineRule="atLeast"/>
                      <w:jc w:val="right"/>
                    </w:pPr>
                    <w:r>
                      <w:rPr>
                        <w:rFonts w:hint="eastAsia"/>
                      </w:rPr>
                      <w:t>39,820</w:t>
                    </w:r>
                  </w:p>
                </w:tc>
              </w:sdtContent>
            </w:sdt>
            <w:sdt>
              <w:sdtPr>
                <w:rPr>
                  <w:rFonts w:hint="eastAsia"/>
                </w:rPr>
                <w:alias w:val="使用权资产"/>
                <w:tag w:val="_GBC_c5f95837b99940e9bff8f606a3972d0a"/>
                <w:id w:val="324097204"/>
                <w:lock w:val="sdtLocked"/>
              </w:sdtPr>
              <w:sdtEndPr/>
              <w:sdtContent>
                <w:tc>
                  <w:tcPr>
                    <w:tcW w:w="745" w:type="pct"/>
                    <w:shd w:val="clear" w:color="auto" w:fill="auto"/>
                    <w:vAlign w:val="center"/>
                  </w:tcPr>
                  <w:p w14:paraId="130126DB" w14:textId="77777777" w:rsidR="007E7472" w:rsidRDefault="00913748" w:rsidP="007E7472">
                    <w:pPr>
                      <w:spacing w:line="240" w:lineRule="atLeast"/>
                      <w:jc w:val="right"/>
                    </w:pPr>
                    <w:r>
                      <w:rPr>
                        <w:rFonts w:hint="eastAsia"/>
                      </w:rPr>
                      <w:t>746,176</w:t>
                    </w:r>
                  </w:p>
                </w:tc>
              </w:sdtContent>
            </w:sdt>
          </w:tr>
        </w:tbl>
        <w:p w14:paraId="240A81E9" w14:textId="77777777" w:rsidR="007E7472" w:rsidRDefault="00C8327E"/>
      </w:sdtContent>
    </w:sdt>
    <w:bookmarkEnd w:id="222"/>
    <w:p w14:paraId="42269F03" w14:textId="77777777" w:rsidR="007E7472" w:rsidRDefault="00EC1269">
      <w:r>
        <w:br w:type="page"/>
      </w:r>
    </w:p>
    <w:p w14:paraId="5EAF07FC" w14:textId="77777777" w:rsidR="007E7472" w:rsidRDefault="00C8327E">
      <w:pPr>
        <w:sectPr w:rsidR="007E7472">
          <w:pgSz w:w="11906" w:h="16838"/>
          <w:pgMar w:top="1440" w:right="1797" w:bottom="1525" w:left="1276" w:header="856" w:footer="992" w:gutter="0"/>
          <w:cols w:space="425"/>
          <w:docGrid w:linePitch="312"/>
        </w:sectPr>
      </w:pPr>
    </w:p>
    <w:p w14:paraId="7BD23CD7" w14:textId="77777777" w:rsidR="007E7472" w:rsidRDefault="00C8327E"/>
    <w:p w14:paraId="4B74EC55" w14:textId="77777777" w:rsidR="007E7472" w:rsidRDefault="00EC1269" w:rsidP="00162493">
      <w:pPr>
        <w:pStyle w:val="3"/>
        <w:numPr>
          <w:ilvl w:val="0"/>
          <w:numId w:val="62"/>
        </w:numPr>
      </w:pPr>
      <w:r>
        <w:rPr>
          <w:rFonts w:hint="eastAsia"/>
        </w:rPr>
        <w:t>无形资产</w:t>
      </w:r>
    </w:p>
    <w:p w14:paraId="5F9B45D4" w14:textId="77777777" w:rsidR="007E7472" w:rsidRPr="00483F7E" w:rsidRDefault="00EC1269" w:rsidP="00162493">
      <w:pPr>
        <w:pStyle w:val="4"/>
        <w:numPr>
          <w:ilvl w:val="0"/>
          <w:numId w:val="78"/>
        </w:numPr>
        <w:rPr>
          <w:bCs w:val="0"/>
        </w:rPr>
      </w:pPr>
      <w:r w:rsidRPr="00483F7E">
        <w:rPr>
          <w:rFonts w:hint="eastAsia"/>
        </w:rPr>
        <w:t>无形资产情况</w:t>
      </w:r>
    </w:p>
    <w:p w14:paraId="62D2C4C2" w14:textId="77777777" w:rsidR="007E7472" w:rsidRDefault="00C8327E">
      <w:sdt>
        <w:sdtPr>
          <w:rPr>
            <w:rFonts w:hint="eastAsia"/>
          </w:rPr>
          <w:alias w:val="是否适用：无形资产情况[双击切换]"/>
          <w:tag w:val="_GBC_0882d05501f84259b91efc5f2eae98cf"/>
          <w:id w:val="457076191"/>
          <w:lock w:val="sdtContentLocked"/>
          <w:placeholder>
            <w:docPart w:val="GBC22222222222222222222222222222"/>
          </w:placeholder>
        </w:sdtPr>
        <w:sdtEndPr/>
        <w:sdtContent>
          <w:r w:rsidR="00EC1269">
            <w:rPr>
              <w:rFonts w:asciiTheme="minorEastAsia" w:eastAsiaTheme="minorEastAsia" w:hAnsiTheme="minorEastAsia"/>
            </w:rPr>
            <w:fldChar w:fldCharType="begin"/>
          </w:r>
          <w:r w:rsidR="00EC1269">
            <w:rPr>
              <w:rFonts w:asciiTheme="minorEastAsia" w:eastAsiaTheme="minorEastAsia" w:hAnsiTheme="minorEastAsia"/>
            </w:rPr>
            <w:instrText xml:space="preserve"> MACROBUTTON  SnrToggleCheckbox √适用 </w:instrText>
          </w:r>
          <w:r w:rsidR="00EC1269">
            <w:rPr>
              <w:rFonts w:asciiTheme="minorEastAsia" w:eastAsiaTheme="minorEastAsia" w:hAnsiTheme="minorEastAsia"/>
            </w:rPr>
            <w:fldChar w:fldCharType="end"/>
          </w:r>
          <w:r w:rsidR="00EC1269">
            <w:rPr>
              <w:rFonts w:asciiTheme="minorEastAsia" w:eastAsiaTheme="minorEastAsia" w:hAnsiTheme="minorEastAsia"/>
            </w:rPr>
            <w:fldChar w:fldCharType="begin"/>
          </w:r>
          <w:r w:rsidR="00EC1269">
            <w:rPr>
              <w:rFonts w:asciiTheme="minorEastAsia" w:eastAsiaTheme="minorEastAsia" w:hAnsiTheme="minorEastAsia"/>
            </w:rPr>
            <w:instrText xml:space="preserve"> MACROBUTTON  SnrToggleCheckbox □不适用 </w:instrText>
          </w:r>
          <w:r w:rsidR="00EC1269">
            <w:rPr>
              <w:rFonts w:asciiTheme="minorEastAsia" w:eastAsiaTheme="minorEastAsia" w:hAnsiTheme="minorEastAsia"/>
            </w:rPr>
            <w:fldChar w:fldCharType="end"/>
          </w:r>
        </w:sdtContent>
      </w:sdt>
    </w:p>
    <w:sdt>
      <w:sdtPr>
        <w:rPr>
          <w:rFonts w:ascii="Times New Roman" w:hAnsi="Times New Roman" w:cs="Times New Roman" w:hint="eastAsia"/>
          <w:b/>
          <w:bCs/>
        </w:rPr>
        <w:alias w:val="模块:无形资产情况"/>
        <w:tag w:val="_GBC_799ffdb131784d33a2db94a85018c927"/>
        <w:id w:val="-375394589"/>
        <w:lock w:val="sdtLocked"/>
      </w:sdtPr>
      <w:sdtEndPr>
        <w:rPr>
          <w:rFonts w:hint="default"/>
          <w:b w:val="0"/>
          <w:bCs w:val="0"/>
        </w:rPr>
      </w:sdtEndPr>
      <w:sdtContent>
        <w:p w14:paraId="4AD33226" w14:textId="1E56C8C8" w:rsidR="007E7472" w:rsidRDefault="00EC1269">
          <w:pPr>
            <w:snapToGrid w:val="0"/>
            <w:spacing w:line="240" w:lineRule="atLeast"/>
            <w:jc w:val="right"/>
          </w:pPr>
          <w:r>
            <w:rPr>
              <w:rFonts w:hint="eastAsia"/>
            </w:rPr>
            <w:t>单位：</w:t>
          </w:r>
          <w:sdt>
            <w:sdtPr>
              <w:rPr>
                <w:rFonts w:hint="eastAsia"/>
              </w:rPr>
              <w:alias w:val="单位：财务附注：无形资产情况"/>
              <w:tag w:val="_GBC_e04514c8858e489490302ba7c2e1448a"/>
              <w:id w:val="1456603541"/>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无形资产情况"/>
              <w:tag w:val="_GBC_5ac7324577934f838e3655199c980c1c"/>
              <w:id w:val="-29799571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9"/>
            <w:gridCol w:w="1331"/>
            <w:gridCol w:w="1278"/>
            <w:gridCol w:w="1287"/>
            <w:gridCol w:w="1237"/>
            <w:gridCol w:w="1237"/>
            <w:gridCol w:w="1237"/>
            <w:gridCol w:w="1395"/>
            <w:gridCol w:w="1525"/>
          </w:tblGrid>
          <w:tr w:rsidR="007E7472" w14:paraId="7DBD2E84" w14:textId="77777777" w:rsidTr="007E7472">
            <w:trPr>
              <w:trHeight w:val="340"/>
            </w:trPr>
            <w:sdt>
              <w:sdtPr>
                <w:rPr>
                  <w:rFonts w:hint="eastAsia"/>
                </w:rPr>
                <w:tag w:val="_PLD_16e062da10ef4301a1526b8633f88a31"/>
                <w:id w:val="1796175278"/>
                <w:lock w:val="sdtLocked"/>
              </w:sdtPr>
              <w:sdtEndPr/>
              <w:sdtContent>
                <w:tc>
                  <w:tcPr>
                    <w:tcW w:w="1204" w:type="pct"/>
                    <w:shd w:val="clear" w:color="auto" w:fill="auto"/>
                    <w:vAlign w:val="center"/>
                  </w:tcPr>
                  <w:p w14:paraId="2337B652" w14:textId="77777777" w:rsidR="007E7472" w:rsidRDefault="00EC1269">
                    <w:pPr>
                      <w:jc w:val="center"/>
                    </w:pPr>
                    <w:r>
                      <w:rPr>
                        <w:rFonts w:hint="eastAsia"/>
                      </w:rPr>
                      <w:t>项目</w:t>
                    </w:r>
                  </w:p>
                </w:tc>
              </w:sdtContent>
            </w:sdt>
            <w:sdt>
              <w:sdtPr>
                <w:rPr>
                  <w:rFonts w:hint="eastAsia"/>
                </w:rPr>
                <w:alias w:val="无形资产明细－项目"/>
                <w:tag w:val="_GBC_ee2531f58c0a420e83919cd1efe46139"/>
                <w:id w:val="-482237992"/>
                <w:lock w:val="sdtLocked"/>
              </w:sdtPr>
              <w:sdtEndPr/>
              <w:sdtContent>
                <w:tc>
                  <w:tcPr>
                    <w:tcW w:w="480" w:type="pct"/>
                    <w:shd w:val="clear" w:color="auto" w:fill="auto"/>
                    <w:vAlign w:val="center"/>
                  </w:tcPr>
                  <w:p w14:paraId="2B5A2B73" w14:textId="77777777" w:rsidR="007E7472" w:rsidRDefault="00EC1269">
                    <w:pPr>
                      <w:jc w:val="center"/>
                    </w:pPr>
                    <w:r>
                      <w:rPr>
                        <w:rFonts w:hint="eastAsia"/>
                      </w:rPr>
                      <w:t>采矿权</w:t>
                    </w:r>
                  </w:p>
                </w:tc>
              </w:sdtContent>
            </w:sdt>
            <w:sdt>
              <w:sdtPr>
                <w:rPr>
                  <w:rFonts w:hint="eastAsia"/>
                </w:rPr>
                <w:alias w:val="无形资产明细－项目"/>
                <w:tag w:val="_GBC_ee2531f58c0a420e83919cd1efe46139"/>
                <w:id w:val="948201809"/>
                <w:lock w:val="sdtLocked"/>
              </w:sdtPr>
              <w:sdtEndPr/>
              <w:sdtContent>
                <w:tc>
                  <w:tcPr>
                    <w:tcW w:w="461" w:type="pct"/>
                    <w:shd w:val="clear" w:color="auto" w:fill="auto"/>
                    <w:vAlign w:val="center"/>
                  </w:tcPr>
                  <w:p w14:paraId="3D41B571" w14:textId="77777777" w:rsidR="007E7472" w:rsidRDefault="00EC1269">
                    <w:pPr>
                      <w:jc w:val="center"/>
                    </w:pPr>
                    <w:r>
                      <w:rPr>
                        <w:rFonts w:hint="eastAsia"/>
                      </w:rPr>
                      <w:t>未探明矿区权益</w:t>
                    </w:r>
                  </w:p>
                </w:tc>
              </w:sdtContent>
            </w:sdt>
            <w:sdt>
              <w:sdtPr>
                <w:rPr>
                  <w:rFonts w:hint="eastAsia"/>
                </w:rPr>
                <w:tag w:val="_PLD_8b465b50cb10415c8931fdb66ee29ca3"/>
                <w:id w:val="-1409140185"/>
                <w:lock w:val="sdtLocked"/>
              </w:sdtPr>
              <w:sdtEndPr/>
              <w:sdtContent>
                <w:tc>
                  <w:tcPr>
                    <w:tcW w:w="464" w:type="pct"/>
                    <w:shd w:val="clear" w:color="auto" w:fill="auto"/>
                    <w:vAlign w:val="center"/>
                  </w:tcPr>
                  <w:p w14:paraId="1CDA81A6" w14:textId="77777777" w:rsidR="007E7472" w:rsidRDefault="00EC1269">
                    <w:pPr>
                      <w:jc w:val="center"/>
                    </w:pPr>
                    <w:r>
                      <w:rPr>
                        <w:rFonts w:hint="eastAsia"/>
                      </w:rPr>
                      <w:t>土地使用权</w:t>
                    </w:r>
                  </w:p>
                </w:tc>
              </w:sdtContent>
            </w:sdt>
            <w:sdt>
              <w:sdtPr>
                <w:rPr>
                  <w:rFonts w:hint="eastAsia"/>
                </w:rPr>
                <w:alias w:val="无形资产明细－项目"/>
                <w:tag w:val="_GBC_ee2531f58c0a420e83919cd1efe46139"/>
                <w:id w:val="730118894"/>
                <w:lock w:val="sdtLocked"/>
              </w:sdtPr>
              <w:sdtEndPr/>
              <w:sdtContent>
                <w:tc>
                  <w:tcPr>
                    <w:tcW w:w="446" w:type="pct"/>
                    <w:shd w:val="clear" w:color="auto" w:fill="auto"/>
                    <w:vAlign w:val="center"/>
                  </w:tcPr>
                  <w:p w14:paraId="05AC8FBB" w14:textId="77777777" w:rsidR="007E7472" w:rsidRDefault="00EC1269">
                    <w:pPr>
                      <w:jc w:val="center"/>
                    </w:pPr>
                    <w:r>
                      <w:rPr>
                        <w:rFonts w:hint="eastAsia"/>
                      </w:rPr>
                      <w:t>专利和专有技术</w:t>
                    </w:r>
                  </w:p>
                </w:tc>
              </w:sdtContent>
            </w:sdt>
            <w:sdt>
              <w:sdtPr>
                <w:rPr>
                  <w:rFonts w:hint="eastAsia"/>
                </w:rPr>
                <w:alias w:val="无形资产明细－项目"/>
                <w:tag w:val="_GBC_ee2531f58c0a420e83919cd1efe46139"/>
                <w:id w:val="-1895967717"/>
                <w:lock w:val="sdtLocked"/>
              </w:sdtPr>
              <w:sdtEndPr/>
              <w:sdtContent>
                <w:tc>
                  <w:tcPr>
                    <w:tcW w:w="446" w:type="pct"/>
                    <w:shd w:val="clear" w:color="auto" w:fill="auto"/>
                    <w:vAlign w:val="center"/>
                  </w:tcPr>
                  <w:p w14:paraId="4812A4EB" w14:textId="77777777" w:rsidR="007E7472" w:rsidRDefault="00EC1269">
                    <w:pPr>
                      <w:jc w:val="center"/>
                    </w:pPr>
                    <w:r>
                      <w:rPr>
                        <w:rFonts w:hint="eastAsia"/>
                      </w:rPr>
                      <w:t>水资源使用权</w:t>
                    </w:r>
                  </w:p>
                </w:tc>
              </w:sdtContent>
            </w:sdt>
            <w:sdt>
              <w:sdtPr>
                <w:rPr>
                  <w:rFonts w:hint="eastAsia"/>
                </w:rPr>
                <w:alias w:val="无形资产明细－项目"/>
                <w:tag w:val="_GBC_ee2531f58c0a420e83919cd1efe46139"/>
                <w:id w:val="2012014608"/>
                <w:lock w:val="sdtLocked"/>
              </w:sdtPr>
              <w:sdtEndPr/>
              <w:sdtContent>
                <w:tc>
                  <w:tcPr>
                    <w:tcW w:w="446" w:type="pct"/>
                    <w:shd w:val="clear" w:color="auto" w:fill="auto"/>
                    <w:vAlign w:val="center"/>
                  </w:tcPr>
                  <w:p w14:paraId="0E4D96C1" w14:textId="77777777" w:rsidR="007E7472" w:rsidRDefault="00EC1269">
                    <w:pPr>
                      <w:jc w:val="center"/>
                    </w:pPr>
                    <w:r>
                      <w:rPr>
                        <w:rFonts w:hint="eastAsia"/>
                      </w:rPr>
                      <w:t>产能置换</w:t>
                    </w:r>
                  </w:p>
                </w:tc>
              </w:sdtContent>
            </w:sdt>
            <w:sdt>
              <w:sdtPr>
                <w:rPr>
                  <w:rFonts w:hint="eastAsia"/>
                </w:rPr>
                <w:alias w:val="无形资产明细－项目"/>
                <w:tag w:val="_GBC_ee2531f58c0a420e83919cd1efe46139"/>
                <w:id w:val="283475113"/>
                <w:lock w:val="sdtLocked"/>
              </w:sdtPr>
              <w:sdtEndPr/>
              <w:sdtContent>
                <w:tc>
                  <w:tcPr>
                    <w:tcW w:w="503" w:type="pct"/>
                    <w:shd w:val="clear" w:color="auto" w:fill="auto"/>
                    <w:vAlign w:val="center"/>
                  </w:tcPr>
                  <w:p w14:paraId="519D1340" w14:textId="77777777" w:rsidR="007E7472" w:rsidRDefault="00EC1269">
                    <w:pPr>
                      <w:jc w:val="center"/>
                    </w:pPr>
                    <w:r>
                      <w:rPr>
                        <w:rFonts w:hint="eastAsia"/>
                      </w:rPr>
                      <w:t>计算机软件</w:t>
                    </w:r>
                  </w:p>
                </w:tc>
              </w:sdtContent>
            </w:sdt>
            <w:sdt>
              <w:sdtPr>
                <w:rPr>
                  <w:rFonts w:hint="eastAsia"/>
                </w:rPr>
                <w:tag w:val="_PLD_57620ddc57e34012a99d49f2280a99e2"/>
                <w:id w:val="-1008757357"/>
                <w:lock w:val="sdtLocked"/>
              </w:sdtPr>
              <w:sdtEndPr/>
              <w:sdtContent>
                <w:tc>
                  <w:tcPr>
                    <w:tcW w:w="550" w:type="pct"/>
                    <w:shd w:val="clear" w:color="auto" w:fill="auto"/>
                    <w:vAlign w:val="center"/>
                  </w:tcPr>
                  <w:p w14:paraId="11F84D61" w14:textId="77777777" w:rsidR="007E7472" w:rsidRDefault="00EC1269">
                    <w:pPr>
                      <w:jc w:val="center"/>
                    </w:pPr>
                    <w:r>
                      <w:rPr>
                        <w:rFonts w:hint="eastAsia"/>
                      </w:rPr>
                      <w:t>合计</w:t>
                    </w:r>
                  </w:p>
                </w:tc>
              </w:sdtContent>
            </w:sdt>
          </w:tr>
          <w:tr w:rsidR="007E7472" w14:paraId="0C2D1F35" w14:textId="77777777" w:rsidTr="007E7472">
            <w:trPr>
              <w:trHeight w:val="340"/>
            </w:trPr>
            <w:sdt>
              <w:sdtPr>
                <w:rPr>
                  <w:rFonts w:hint="eastAsia"/>
                </w:rPr>
                <w:tag w:val="_PLD_97ce5956782c457c89e9607c943b01d4"/>
                <w:id w:val="1993441261"/>
                <w:lock w:val="sdtLocked"/>
              </w:sdtPr>
              <w:sdtEndPr/>
              <w:sdtContent>
                <w:tc>
                  <w:tcPr>
                    <w:tcW w:w="5000" w:type="pct"/>
                    <w:gridSpan w:val="9"/>
                    <w:shd w:val="clear" w:color="auto" w:fill="auto"/>
                    <w:vAlign w:val="center"/>
                  </w:tcPr>
                  <w:p w14:paraId="5DAE8B91" w14:textId="77777777" w:rsidR="007E7472" w:rsidRDefault="00EC1269">
                    <w:r>
                      <w:rPr>
                        <w:rFonts w:hint="eastAsia"/>
                      </w:rPr>
                      <w:t>一、账面原值</w:t>
                    </w:r>
                  </w:p>
                </w:tc>
              </w:sdtContent>
            </w:sdt>
          </w:tr>
          <w:tr w:rsidR="007E7472" w14:paraId="4CF31136" w14:textId="77777777" w:rsidTr="007E7472">
            <w:trPr>
              <w:trHeight w:val="340"/>
            </w:trPr>
            <w:sdt>
              <w:sdtPr>
                <w:rPr>
                  <w:rFonts w:hint="eastAsia"/>
                </w:rPr>
                <w:tag w:val="_PLD_3ece69191bc64684a4f52dc219040125"/>
                <w:id w:val="-123315660"/>
                <w:lock w:val="sdtLocked"/>
              </w:sdtPr>
              <w:sdtEndPr/>
              <w:sdtContent>
                <w:tc>
                  <w:tcPr>
                    <w:tcW w:w="1204" w:type="pct"/>
                    <w:shd w:val="clear" w:color="auto" w:fill="auto"/>
                    <w:vAlign w:val="center"/>
                  </w:tcPr>
                  <w:p w14:paraId="3A12EC73" w14:textId="77777777" w:rsidR="007E7472" w:rsidRDefault="00EC1269">
                    <w:r>
                      <w:rPr>
                        <w:rFonts w:hint="eastAsia"/>
                      </w:rPr>
                      <w:t>1.期初余额</w:t>
                    </w:r>
                  </w:p>
                </w:tc>
              </w:sdtContent>
            </w:sdt>
            <w:tc>
              <w:tcPr>
                <w:tcW w:w="480" w:type="pct"/>
                <w:shd w:val="clear" w:color="auto" w:fill="auto"/>
                <w:vAlign w:val="center"/>
              </w:tcPr>
              <w:p w14:paraId="0305DA76" w14:textId="77777777" w:rsidR="007E7472" w:rsidRDefault="00EC1269">
                <w:pPr>
                  <w:jc w:val="right"/>
                </w:pPr>
                <w:r>
                  <w:rPr>
                    <w:rFonts w:hint="eastAsia"/>
                  </w:rPr>
                  <w:t>71,534,658</w:t>
                </w:r>
              </w:p>
            </w:tc>
            <w:tc>
              <w:tcPr>
                <w:tcW w:w="461" w:type="pct"/>
                <w:shd w:val="clear" w:color="auto" w:fill="auto"/>
                <w:vAlign w:val="center"/>
              </w:tcPr>
              <w:p w14:paraId="129A9CD0" w14:textId="77777777" w:rsidR="007E7472" w:rsidRDefault="00EC1269">
                <w:pPr>
                  <w:jc w:val="right"/>
                </w:pPr>
                <w:r>
                  <w:rPr>
                    <w:rFonts w:hint="eastAsia"/>
                  </w:rPr>
                  <w:t>2,648,943</w:t>
                </w:r>
              </w:p>
            </w:tc>
            <w:tc>
              <w:tcPr>
                <w:tcW w:w="464" w:type="pct"/>
                <w:shd w:val="clear" w:color="auto" w:fill="auto"/>
                <w:vAlign w:val="center"/>
              </w:tcPr>
              <w:p w14:paraId="507E9707" w14:textId="77777777" w:rsidR="007E7472" w:rsidRDefault="00EC1269">
                <w:pPr>
                  <w:jc w:val="right"/>
                </w:pPr>
                <w:r>
                  <w:rPr>
                    <w:rFonts w:hint="eastAsia"/>
                  </w:rPr>
                  <w:t>3,637,277</w:t>
                </w:r>
              </w:p>
            </w:tc>
            <w:tc>
              <w:tcPr>
                <w:tcW w:w="446" w:type="pct"/>
                <w:shd w:val="clear" w:color="auto" w:fill="auto"/>
                <w:vAlign w:val="center"/>
              </w:tcPr>
              <w:p w14:paraId="2374D29E" w14:textId="77777777" w:rsidR="007E7472" w:rsidRDefault="00EC1269">
                <w:pPr>
                  <w:jc w:val="right"/>
                </w:pPr>
                <w:r>
                  <w:rPr>
                    <w:rFonts w:hint="eastAsia"/>
                  </w:rPr>
                  <w:t>1,392,934</w:t>
                </w:r>
              </w:p>
            </w:tc>
            <w:tc>
              <w:tcPr>
                <w:tcW w:w="446" w:type="pct"/>
                <w:shd w:val="clear" w:color="auto" w:fill="auto"/>
                <w:vAlign w:val="center"/>
              </w:tcPr>
              <w:p w14:paraId="53C0C087" w14:textId="77777777" w:rsidR="007E7472" w:rsidRDefault="00EC1269">
                <w:pPr>
                  <w:jc w:val="right"/>
                </w:pPr>
                <w:r>
                  <w:rPr>
                    <w:rFonts w:hint="eastAsia"/>
                  </w:rPr>
                  <w:t>544,924</w:t>
                </w:r>
              </w:p>
            </w:tc>
            <w:tc>
              <w:tcPr>
                <w:tcW w:w="446" w:type="pct"/>
                <w:shd w:val="clear" w:color="auto" w:fill="auto"/>
                <w:vAlign w:val="center"/>
              </w:tcPr>
              <w:p w14:paraId="24A6DFAC" w14:textId="77777777" w:rsidR="007E7472" w:rsidRDefault="00EC1269">
                <w:pPr>
                  <w:jc w:val="right"/>
                </w:pPr>
                <w:r>
                  <w:rPr>
                    <w:rFonts w:hint="eastAsia"/>
                  </w:rPr>
                  <w:t>2,419,098</w:t>
                </w:r>
              </w:p>
            </w:tc>
            <w:tc>
              <w:tcPr>
                <w:tcW w:w="503" w:type="pct"/>
                <w:shd w:val="clear" w:color="auto" w:fill="auto"/>
                <w:vAlign w:val="center"/>
              </w:tcPr>
              <w:p w14:paraId="30DFA127" w14:textId="77777777" w:rsidR="007E7472" w:rsidRDefault="00EC1269">
                <w:pPr>
                  <w:jc w:val="right"/>
                </w:pPr>
                <w:r>
                  <w:rPr>
                    <w:rFonts w:hint="eastAsia"/>
                  </w:rPr>
                  <w:t>231,403</w:t>
                </w:r>
              </w:p>
            </w:tc>
            <w:tc>
              <w:tcPr>
                <w:tcW w:w="550" w:type="pct"/>
                <w:shd w:val="clear" w:color="auto" w:fill="auto"/>
                <w:vAlign w:val="center"/>
              </w:tcPr>
              <w:p w14:paraId="0E361C94" w14:textId="77777777" w:rsidR="007E7472" w:rsidRDefault="00EC1269">
                <w:pPr>
                  <w:jc w:val="right"/>
                </w:pPr>
                <w:r>
                  <w:rPr>
                    <w:rFonts w:hint="eastAsia"/>
                  </w:rPr>
                  <w:t>82,409,237</w:t>
                </w:r>
              </w:p>
            </w:tc>
          </w:tr>
          <w:tr w:rsidR="007E7472" w14:paraId="5C9D6A7B" w14:textId="77777777" w:rsidTr="007E7472">
            <w:trPr>
              <w:trHeight w:val="340"/>
            </w:trPr>
            <w:sdt>
              <w:sdtPr>
                <w:rPr>
                  <w:rFonts w:hint="eastAsia"/>
                </w:rPr>
                <w:tag w:val="_PLD_619b832ec5e340dc899fb93538a5459d"/>
                <w:id w:val="-1011294756"/>
                <w:lock w:val="sdtLocked"/>
              </w:sdtPr>
              <w:sdtEndPr/>
              <w:sdtContent>
                <w:tc>
                  <w:tcPr>
                    <w:tcW w:w="1204" w:type="pct"/>
                    <w:shd w:val="clear" w:color="auto" w:fill="auto"/>
                    <w:vAlign w:val="center"/>
                  </w:tcPr>
                  <w:p w14:paraId="23E82E58" w14:textId="77777777" w:rsidR="007E7472" w:rsidRDefault="00EC1269">
                    <w:pPr>
                      <w:ind w:firstLineChars="200" w:firstLine="420"/>
                    </w:pPr>
                    <w:r>
                      <w:rPr>
                        <w:rFonts w:hint="eastAsia"/>
                      </w:rPr>
                      <w:t>2.本期增加金额</w:t>
                    </w:r>
                  </w:p>
                </w:tc>
              </w:sdtContent>
            </w:sdt>
            <w:tc>
              <w:tcPr>
                <w:tcW w:w="480" w:type="pct"/>
                <w:shd w:val="clear" w:color="auto" w:fill="auto"/>
                <w:vAlign w:val="center"/>
              </w:tcPr>
              <w:p w14:paraId="1D46A4C3" w14:textId="77777777" w:rsidR="007E7472" w:rsidRDefault="00EC1269">
                <w:pPr>
                  <w:jc w:val="right"/>
                </w:pPr>
                <w:r>
                  <w:rPr>
                    <w:rFonts w:hint="eastAsia"/>
                  </w:rPr>
                  <w:t>64,477</w:t>
                </w:r>
              </w:p>
            </w:tc>
            <w:tc>
              <w:tcPr>
                <w:tcW w:w="461" w:type="pct"/>
                <w:shd w:val="clear" w:color="auto" w:fill="auto"/>
                <w:vAlign w:val="center"/>
              </w:tcPr>
              <w:p w14:paraId="3A2B888F" w14:textId="77777777" w:rsidR="007E7472" w:rsidRDefault="00C8327E">
                <w:pPr>
                  <w:jc w:val="right"/>
                </w:pPr>
              </w:p>
            </w:tc>
            <w:tc>
              <w:tcPr>
                <w:tcW w:w="464" w:type="pct"/>
                <w:shd w:val="clear" w:color="auto" w:fill="auto"/>
                <w:vAlign w:val="center"/>
              </w:tcPr>
              <w:p w14:paraId="3322A6DF" w14:textId="77777777" w:rsidR="007E7472" w:rsidRDefault="00EC1269">
                <w:pPr>
                  <w:jc w:val="right"/>
                </w:pPr>
                <w:r>
                  <w:rPr>
                    <w:rFonts w:hint="eastAsia"/>
                  </w:rPr>
                  <w:t>163,255</w:t>
                </w:r>
              </w:p>
            </w:tc>
            <w:tc>
              <w:tcPr>
                <w:tcW w:w="446" w:type="pct"/>
                <w:shd w:val="clear" w:color="auto" w:fill="auto"/>
                <w:vAlign w:val="center"/>
              </w:tcPr>
              <w:p w14:paraId="53689972" w14:textId="77777777" w:rsidR="007E7472" w:rsidRDefault="00C8327E">
                <w:pPr>
                  <w:jc w:val="right"/>
                </w:pPr>
              </w:p>
            </w:tc>
            <w:tc>
              <w:tcPr>
                <w:tcW w:w="446" w:type="pct"/>
                <w:shd w:val="clear" w:color="auto" w:fill="auto"/>
                <w:vAlign w:val="center"/>
              </w:tcPr>
              <w:p w14:paraId="6ED37B7C" w14:textId="77777777" w:rsidR="007E7472" w:rsidRDefault="00C8327E">
                <w:pPr>
                  <w:jc w:val="right"/>
                </w:pPr>
              </w:p>
            </w:tc>
            <w:tc>
              <w:tcPr>
                <w:tcW w:w="446" w:type="pct"/>
                <w:shd w:val="clear" w:color="auto" w:fill="auto"/>
                <w:vAlign w:val="center"/>
              </w:tcPr>
              <w:p w14:paraId="4235326B" w14:textId="77777777" w:rsidR="007E7472" w:rsidRDefault="00C8327E">
                <w:pPr>
                  <w:jc w:val="right"/>
                </w:pPr>
              </w:p>
            </w:tc>
            <w:tc>
              <w:tcPr>
                <w:tcW w:w="503" w:type="pct"/>
                <w:shd w:val="clear" w:color="auto" w:fill="auto"/>
                <w:vAlign w:val="center"/>
              </w:tcPr>
              <w:p w14:paraId="0DDBFBC8" w14:textId="77777777" w:rsidR="007E7472" w:rsidRDefault="00EC1269">
                <w:pPr>
                  <w:jc w:val="right"/>
                </w:pPr>
                <w:r>
                  <w:rPr>
                    <w:rFonts w:hint="eastAsia"/>
                  </w:rPr>
                  <w:t>261</w:t>
                </w:r>
              </w:p>
            </w:tc>
            <w:tc>
              <w:tcPr>
                <w:tcW w:w="550" w:type="pct"/>
                <w:shd w:val="clear" w:color="auto" w:fill="auto"/>
                <w:vAlign w:val="center"/>
              </w:tcPr>
              <w:p w14:paraId="4B56D104" w14:textId="77777777" w:rsidR="007E7472" w:rsidRDefault="00EC1269">
                <w:pPr>
                  <w:jc w:val="right"/>
                </w:pPr>
                <w:r>
                  <w:rPr>
                    <w:rFonts w:hint="eastAsia"/>
                  </w:rPr>
                  <w:t>227,993</w:t>
                </w:r>
              </w:p>
            </w:tc>
          </w:tr>
          <w:tr w:rsidR="007E7472" w14:paraId="58664395" w14:textId="77777777" w:rsidTr="007E7472">
            <w:trPr>
              <w:trHeight w:val="340"/>
            </w:trPr>
            <w:sdt>
              <w:sdtPr>
                <w:rPr>
                  <w:rFonts w:hint="eastAsia"/>
                </w:rPr>
                <w:tag w:val="_PLD_90ef4a07fa3c4f969161b700396d9ac5"/>
                <w:id w:val="-1185973735"/>
                <w:lock w:val="sdtLocked"/>
              </w:sdtPr>
              <w:sdtEndPr/>
              <w:sdtContent>
                <w:tc>
                  <w:tcPr>
                    <w:tcW w:w="1204" w:type="pct"/>
                    <w:shd w:val="clear" w:color="auto" w:fill="auto"/>
                    <w:vAlign w:val="center"/>
                  </w:tcPr>
                  <w:p w14:paraId="1E0ADD55" w14:textId="77777777" w:rsidR="007E7472" w:rsidRDefault="00EC1269">
                    <w:pPr>
                      <w:ind w:firstLineChars="300" w:firstLine="630"/>
                    </w:pPr>
                    <w:r>
                      <w:rPr>
                        <w:rFonts w:hint="eastAsia"/>
                      </w:rPr>
                      <w:t>（1）购置</w:t>
                    </w:r>
                  </w:p>
                </w:tc>
              </w:sdtContent>
            </w:sdt>
            <w:tc>
              <w:tcPr>
                <w:tcW w:w="480" w:type="pct"/>
                <w:shd w:val="clear" w:color="auto" w:fill="auto"/>
                <w:vAlign w:val="center"/>
              </w:tcPr>
              <w:p w14:paraId="21D9C7E5" w14:textId="77777777" w:rsidR="007E7472" w:rsidRDefault="00EC1269">
                <w:pPr>
                  <w:jc w:val="right"/>
                </w:pPr>
                <w:r>
                  <w:rPr>
                    <w:rFonts w:hint="eastAsia"/>
                  </w:rPr>
                  <w:t>64,477</w:t>
                </w:r>
              </w:p>
            </w:tc>
            <w:tc>
              <w:tcPr>
                <w:tcW w:w="461" w:type="pct"/>
                <w:shd w:val="clear" w:color="auto" w:fill="auto"/>
                <w:vAlign w:val="center"/>
              </w:tcPr>
              <w:p w14:paraId="3AD650A4" w14:textId="77777777" w:rsidR="007E7472" w:rsidRDefault="00C8327E">
                <w:pPr>
                  <w:jc w:val="right"/>
                </w:pPr>
              </w:p>
            </w:tc>
            <w:tc>
              <w:tcPr>
                <w:tcW w:w="464" w:type="pct"/>
                <w:shd w:val="clear" w:color="auto" w:fill="auto"/>
                <w:vAlign w:val="center"/>
              </w:tcPr>
              <w:p w14:paraId="4AE0831D" w14:textId="77777777" w:rsidR="007E7472" w:rsidRDefault="00EC1269">
                <w:pPr>
                  <w:jc w:val="right"/>
                </w:pPr>
                <w:r>
                  <w:rPr>
                    <w:rFonts w:hint="eastAsia"/>
                  </w:rPr>
                  <w:t>163,255</w:t>
                </w:r>
              </w:p>
            </w:tc>
            <w:tc>
              <w:tcPr>
                <w:tcW w:w="446" w:type="pct"/>
                <w:shd w:val="clear" w:color="auto" w:fill="auto"/>
                <w:vAlign w:val="center"/>
              </w:tcPr>
              <w:p w14:paraId="2212B9B7" w14:textId="77777777" w:rsidR="007E7472" w:rsidRDefault="00C8327E">
                <w:pPr>
                  <w:jc w:val="right"/>
                </w:pPr>
              </w:p>
            </w:tc>
            <w:tc>
              <w:tcPr>
                <w:tcW w:w="446" w:type="pct"/>
                <w:shd w:val="clear" w:color="auto" w:fill="auto"/>
                <w:vAlign w:val="center"/>
              </w:tcPr>
              <w:p w14:paraId="436B7493" w14:textId="77777777" w:rsidR="007E7472" w:rsidRDefault="00C8327E">
                <w:pPr>
                  <w:jc w:val="right"/>
                </w:pPr>
              </w:p>
            </w:tc>
            <w:tc>
              <w:tcPr>
                <w:tcW w:w="446" w:type="pct"/>
                <w:shd w:val="clear" w:color="auto" w:fill="auto"/>
                <w:vAlign w:val="center"/>
              </w:tcPr>
              <w:p w14:paraId="0C64161B" w14:textId="77777777" w:rsidR="007E7472" w:rsidRDefault="00C8327E">
                <w:pPr>
                  <w:jc w:val="right"/>
                </w:pPr>
              </w:p>
            </w:tc>
            <w:tc>
              <w:tcPr>
                <w:tcW w:w="503" w:type="pct"/>
                <w:shd w:val="clear" w:color="auto" w:fill="auto"/>
                <w:vAlign w:val="center"/>
              </w:tcPr>
              <w:p w14:paraId="76B0B018" w14:textId="77777777" w:rsidR="007E7472" w:rsidRDefault="00EC1269">
                <w:pPr>
                  <w:jc w:val="right"/>
                </w:pPr>
                <w:r>
                  <w:rPr>
                    <w:rFonts w:hint="eastAsia"/>
                  </w:rPr>
                  <w:t>261</w:t>
                </w:r>
              </w:p>
            </w:tc>
            <w:tc>
              <w:tcPr>
                <w:tcW w:w="550" w:type="pct"/>
                <w:shd w:val="clear" w:color="auto" w:fill="auto"/>
                <w:vAlign w:val="center"/>
              </w:tcPr>
              <w:p w14:paraId="736081F3" w14:textId="77777777" w:rsidR="007E7472" w:rsidRDefault="00EC1269">
                <w:pPr>
                  <w:jc w:val="right"/>
                </w:pPr>
                <w:r>
                  <w:rPr>
                    <w:rFonts w:hint="eastAsia"/>
                  </w:rPr>
                  <w:t>227,993</w:t>
                </w:r>
              </w:p>
            </w:tc>
          </w:tr>
          <w:tr w:rsidR="007E7472" w14:paraId="467EB5D9" w14:textId="77777777" w:rsidTr="007E7472">
            <w:trPr>
              <w:trHeight w:val="340"/>
            </w:trPr>
            <w:sdt>
              <w:sdtPr>
                <w:rPr>
                  <w:rFonts w:hint="eastAsia"/>
                </w:rPr>
                <w:tag w:val="_PLD_fdfb103746a24d0281c1e921b5c8be79"/>
                <w:id w:val="1695504854"/>
                <w:lock w:val="sdtLocked"/>
              </w:sdtPr>
              <w:sdtEndPr/>
              <w:sdtContent>
                <w:tc>
                  <w:tcPr>
                    <w:tcW w:w="1204" w:type="pct"/>
                    <w:shd w:val="clear" w:color="auto" w:fill="auto"/>
                    <w:vAlign w:val="center"/>
                  </w:tcPr>
                  <w:p w14:paraId="663B9227" w14:textId="77777777" w:rsidR="007E7472" w:rsidRDefault="00EC1269">
                    <w:pPr>
                      <w:ind w:firstLineChars="300" w:firstLine="630"/>
                    </w:pPr>
                    <w:r>
                      <w:rPr>
                        <w:rFonts w:hint="eastAsia"/>
                      </w:rPr>
                      <w:t>（2）内部研发</w:t>
                    </w:r>
                  </w:p>
                </w:tc>
              </w:sdtContent>
            </w:sdt>
            <w:tc>
              <w:tcPr>
                <w:tcW w:w="480" w:type="pct"/>
                <w:shd w:val="clear" w:color="auto" w:fill="auto"/>
                <w:vAlign w:val="center"/>
              </w:tcPr>
              <w:p w14:paraId="1662D902" w14:textId="77777777" w:rsidR="007E7472" w:rsidRDefault="00C8327E">
                <w:pPr>
                  <w:jc w:val="right"/>
                </w:pPr>
              </w:p>
            </w:tc>
            <w:tc>
              <w:tcPr>
                <w:tcW w:w="461" w:type="pct"/>
                <w:shd w:val="clear" w:color="auto" w:fill="auto"/>
                <w:vAlign w:val="center"/>
              </w:tcPr>
              <w:p w14:paraId="692BD859" w14:textId="77777777" w:rsidR="007E7472" w:rsidRDefault="00C8327E">
                <w:pPr>
                  <w:jc w:val="right"/>
                </w:pPr>
              </w:p>
            </w:tc>
            <w:tc>
              <w:tcPr>
                <w:tcW w:w="464" w:type="pct"/>
                <w:shd w:val="clear" w:color="auto" w:fill="auto"/>
                <w:vAlign w:val="center"/>
              </w:tcPr>
              <w:p w14:paraId="5217B821" w14:textId="77777777" w:rsidR="007E7472" w:rsidRDefault="00C8327E">
                <w:pPr>
                  <w:jc w:val="right"/>
                </w:pPr>
              </w:p>
            </w:tc>
            <w:tc>
              <w:tcPr>
                <w:tcW w:w="446" w:type="pct"/>
                <w:shd w:val="clear" w:color="auto" w:fill="auto"/>
                <w:vAlign w:val="center"/>
              </w:tcPr>
              <w:p w14:paraId="72FFB61B" w14:textId="77777777" w:rsidR="007E7472" w:rsidRDefault="00C8327E">
                <w:pPr>
                  <w:jc w:val="right"/>
                </w:pPr>
              </w:p>
            </w:tc>
            <w:tc>
              <w:tcPr>
                <w:tcW w:w="446" w:type="pct"/>
                <w:shd w:val="clear" w:color="auto" w:fill="auto"/>
                <w:vAlign w:val="center"/>
              </w:tcPr>
              <w:p w14:paraId="56FA2E22" w14:textId="77777777" w:rsidR="007E7472" w:rsidRDefault="00C8327E">
                <w:pPr>
                  <w:jc w:val="right"/>
                </w:pPr>
              </w:p>
            </w:tc>
            <w:tc>
              <w:tcPr>
                <w:tcW w:w="446" w:type="pct"/>
                <w:shd w:val="clear" w:color="auto" w:fill="auto"/>
                <w:vAlign w:val="center"/>
              </w:tcPr>
              <w:p w14:paraId="56C89FCC" w14:textId="77777777" w:rsidR="007E7472" w:rsidRDefault="00C8327E">
                <w:pPr>
                  <w:jc w:val="right"/>
                </w:pPr>
              </w:p>
            </w:tc>
            <w:tc>
              <w:tcPr>
                <w:tcW w:w="503" w:type="pct"/>
                <w:shd w:val="clear" w:color="auto" w:fill="auto"/>
                <w:vAlign w:val="center"/>
              </w:tcPr>
              <w:p w14:paraId="69A73FF4" w14:textId="77777777" w:rsidR="007E7472" w:rsidRDefault="00C8327E">
                <w:pPr>
                  <w:jc w:val="right"/>
                </w:pPr>
              </w:p>
            </w:tc>
            <w:tc>
              <w:tcPr>
                <w:tcW w:w="550" w:type="pct"/>
                <w:shd w:val="clear" w:color="auto" w:fill="auto"/>
                <w:vAlign w:val="center"/>
              </w:tcPr>
              <w:p w14:paraId="504D7497" w14:textId="77777777" w:rsidR="007E7472" w:rsidRDefault="00C8327E">
                <w:pPr>
                  <w:jc w:val="both"/>
                </w:pPr>
              </w:p>
            </w:tc>
          </w:tr>
          <w:tr w:rsidR="007E7472" w14:paraId="46809E1C" w14:textId="77777777" w:rsidTr="007E7472">
            <w:trPr>
              <w:trHeight w:val="340"/>
            </w:trPr>
            <w:sdt>
              <w:sdtPr>
                <w:rPr>
                  <w:rFonts w:hint="eastAsia"/>
                </w:rPr>
                <w:tag w:val="_PLD_a843f8687ca145b0abf8bd1ef13c7d8f"/>
                <w:id w:val="-855192194"/>
                <w:lock w:val="sdtLocked"/>
              </w:sdtPr>
              <w:sdtEndPr/>
              <w:sdtContent>
                <w:tc>
                  <w:tcPr>
                    <w:tcW w:w="1204" w:type="pct"/>
                    <w:shd w:val="clear" w:color="auto" w:fill="auto"/>
                    <w:vAlign w:val="center"/>
                  </w:tcPr>
                  <w:p w14:paraId="06131C61" w14:textId="77777777" w:rsidR="007E7472" w:rsidRDefault="00EC1269">
                    <w:pPr>
                      <w:ind w:firstLineChars="300" w:firstLine="630"/>
                    </w:pPr>
                    <w:r>
                      <w:rPr>
                        <w:rFonts w:hint="eastAsia"/>
                      </w:rPr>
                      <w:t>（3）企业合并增加</w:t>
                    </w:r>
                  </w:p>
                </w:tc>
              </w:sdtContent>
            </w:sdt>
            <w:tc>
              <w:tcPr>
                <w:tcW w:w="480" w:type="pct"/>
                <w:shd w:val="clear" w:color="auto" w:fill="auto"/>
                <w:vAlign w:val="center"/>
              </w:tcPr>
              <w:p w14:paraId="263460D9" w14:textId="77777777" w:rsidR="007E7472" w:rsidRDefault="00C8327E">
                <w:pPr>
                  <w:jc w:val="right"/>
                </w:pPr>
              </w:p>
            </w:tc>
            <w:tc>
              <w:tcPr>
                <w:tcW w:w="461" w:type="pct"/>
                <w:shd w:val="clear" w:color="auto" w:fill="auto"/>
                <w:vAlign w:val="center"/>
              </w:tcPr>
              <w:p w14:paraId="427433BB" w14:textId="77777777" w:rsidR="007E7472" w:rsidRDefault="00C8327E">
                <w:pPr>
                  <w:jc w:val="right"/>
                </w:pPr>
              </w:p>
            </w:tc>
            <w:tc>
              <w:tcPr>
                <w:tcW w:w="464" w:type="pct"/>
                <w:shd w:val="clear" w:color="auto" w:fill="auto"/>
                <w:vAlign w:val="center"/>
              </w:tcPr>
              <w:p w14:paraId="7EF17109" w14:textId="77777777" w:rsidR="007E7472" w:rsidRDefault="00C8327E">
                <w:pPr>
                  <w:jc w:val="right"/>
                </w:pPr>
              </w:p>
            </w:tc>
            <w:tc>
              <w:tcPr>
                <w:tcW w:w="446" w:type="pct"/>
                <w:shd w:val="clear" w:color="auto" w:fill="auto"/>
                <w:vAlign w:val="center"/>
              </w:tcPr>
              <w:p w14:paraId="0F8A59E3" w14:textId="77777777" w:rsidR="007E7472" w:rsidRDefault="00C8327E">
                <w:pPr>
                  <w:jc w:val="right"/>
                </w:pPr>
              </w:p>
            </w:tc>
            <w:tc>
              <w:tcPr>
                <w:tcW w:w="446" w:type="pct"/>
                <w:shd w:val="clear" w:color="auto" w:fill="auto"/>
                <w:vAlign w:val="center"/>
              </w:tcPr>
              <w:p w14:paraId="49A7176E" w14:textId="77777777" w:rsidR="007E7472" w:rsidRDefault="00C8327E">
                <w:pPr>
                  <w:jc w:val="right"/>
                </w:pPr>
              </w:p>
            </w:tc>
            <w:tc>
              <w:tcPr>
                <w:tcW w:w="446" w:type="pct"/>
                <w:shd w:val="clear" w:color="auto" w:fill="auto"/>
                <w:vAlign w:val="center"/>
              </w:tcPr>
              <w:p w14:paraId="2A3AB91E" w14:textId="77777777" w:rsidR="007E7472" w:rsidRDefault="00C8327E">
                <w:pPr>
                  <w:jc w:val="right"/>
                </w:pPr>
              </w:p>
            </w:tc>
            <w:tc>
              <w:tcPr>
                <w:tcW w:w="503" w:type="pct"/>
                <w:shd w:val="clear" w:color="auto" w:fill="auto"/>
                <w:vAlign w:val="center"/>
              </w:tcPr>
              <w:p w14:paraId="29DC8BCA" w14:textId="77777777" w:rsidR="007E7472" w:rsidRDefault="00C8327E">
                <w:pPr>
                  <w:jc w:val="right"/>
                </w:pPr>
              </w:p>
            </w:tc>
            <w:tc>
              <w:tcPr>
                <w:tcW w:w="550" w:type="pct"/>
                <w:shd w:val="clear" w:color="auto" w:fill="auto"/>
                <w:vAlign w:val="center"/>
              </w:tcPr>
              <w:p w14:paraId="0CEBA0B3" w14:textId="77777777" w:rsidR="007E7472" w:rsidRDefault="00C8327E">
                <w:pPr>
                  <w:jc w:val="right"/>
                </w:pPr>
              </w:p>
            </w:tc>
          </w:tr>
          <w:tr w:rsidR="007E7472" w14:paraId="5295180F" w14:textId="77777777" w:rsidTr="007E7472">
            <w:trPr>
              <w:trHeight w:val="340"/>
            </w:trPr>
            <w:sdt>
              <w:sdtPr>
                <w:rPr>
                  <w:rFonts w:hint="eastAsia"/>
                </w:rPr>
                <w:tag w:val="_PLD_e2ff397d9d9a4a48baa098333a2effda"/>
                <w:id w:val="-885876034"/>
                <w:lock w:val="sdtLocked"/>
              </w:sdtPr>
              <w:sdtEndPr/>
              <w:sdtContent>
                <w:tc>
                  <w:tcPr>
                    <w:tcW w:w="1204" w:type="pct"/>
                    <w:shd w:val="clear" w:color="auto" w:fill="auto"/>
                    <w:vAlign w:val="center"/>
                  </w:tcPr>
                  <w:p w14:paraId="4F3E8305" w14:textId="77777777" w:rsidR="007E7472" w:rsidRDefault="00EC1269">
                    <w:r>
                      <w:rPr>
                        <w:rFonts w:hint="eastAsia"/>
                      </w:rPr>
                      <w:t>3.本期减少金额</w:t>
                    </w:r>
                  </w:p>
                </w:tc>
              </w:sdtContent>
            </w:sdt>
            <w:tc>
              <w:tcPr>
                <w:tcW w:w="480" w:type="pct"/>
                <w:shd w:val="clear" w:color="auto" w:fill="auto"/>
                <w:vAlign w:val="center"/>
              </w:tcPr>
              <w:p w14:paraId="2C353168" w14:textId="77777777" w:rsidR="007E7472" w:rsidRDefault="00C8327E">
                <w:pPr>
                  <w:jc w:val="right"/>
                </w:pPr>
              </w:p>
            </w:tc>
            <w:tc>
              <w:tcPr>
                <w:tcW w:w="461" w:type="pct"/>
                <w:shd w:val="clear" w:color="auto" w:fill="auto"/>
                <w:vAlign w:val="center"/>
              </w:tcPr>
              <w:p w14:paraId="0FB52D6A" w14:textId="77777777" w:rsidR="007E7472" w:rsidRDefault="00C8327E">
                <w:pPr>
                  <w:jc w:val="right"/>
                </w:pPr>
              </w:p>
            </w:tc>
            <w:tc>
              <w:tcPr>
                <w:tcW w:w="464" w:type="pct"/>
                <w:shd w:val="clear" w:color="auto" w:fill="auto"/>
                <w:vAlign w:val="center"/>
              </w:tcPr>
              <w:p w14:paraId="349BEBB0" w14:textId="77777777" w:rsidR="007E7472" w:rsidRDefault="00EC1269">
                <w:pPr>
                  <w:jc w:val="right"/>
                </w:pPr>
                <w:r>
                  <w:rPr>
                    <w:rFonts w:hint="eastAsia"/>
                  </w:rPr>
                  <w:t>1,596</w:t>
                </w:r>
              </w:p>
            </w:tc>
            <w:tc>
              <w:tcPr>
                <w:tcW w:w="446" w:type="pct"/>
                <w:shd w:val="clear" w:color="auto" w:fill="auto"/>
                <w:vAlign w:val="center"/>
              </w:tcPr>
              <w:p w14:paraId="5CAD90E8" w14:textId="77777777" w:rsidR="007E7472" w:rsidRDefault="00C8327E">
                <w:pPr>
                  <w:jc w:val="right"/>
                </w:pPr>
              </w:p>
            </w:tc>
            <w:tc>
              <w:tcPr>
                <w:tcW w:w="446" w:type="pct"/>
                <w:shd w:val="clear" w:color="auto" w:fill="auto"/>
                <w:vAlign w:val="center"/>
              </w:tcPr>
              <w:p w14:paraId="099D098C" w14:textId="77777777" w:rsidR="007E7472" w:rsidRDefault="00C8327E">
                <w:pPr>
                  <w:jc w:val="right"/>
                </w:pPr>
              </w:p>
            </w:tc>
            <w:tc>
              <w:tcPr>
                <w:tcW w:w="446" w:type="pct"/>
                <w:shd w:val="clear" w:color="auto" w:fill="auto"/>
                <w:vAlign w:val="center"/>
              </w:tcPr>
              <w:p w14:paraId="6883FD99" w14:textId="77777777" w:rsidR="007E7472" w:rsidRDefault="00C8327E">
                <w:pPr>
                  <w:jc w:val="right"/>
                </w:pPr>
              </w:p>
            </w:tc>
            <w:tc>
              <w:tcPr>
                <w:tcW w:w="503" w:type="pct"/>
                <w:shd w:val="clear" w:color="auto" w:fill="auto"/>
                <w:vAlign w:val="center"/>
              </w:tcPr>
              <w:p w14:paraId="2AA4CA33" w14:textId="77777777" w:rsidR="007E7472" w:rsidRDefault="00EC1269">
                <w:pPr>
                  <w:jc w:val="right"/>
                </w:pPr>
                <w:r>
                  <w:rPr>
                    <w:rFonts w:hint="eastAsia"/>
                  </w:rPr>
                  <w:t>342</w:t>
                </w:r>
              </w:p>
            </w:tc>
            <w:tc>
              <w:tcPr>
                <w:tcW w:w="550" w:type="pct"/>
                <w:shd w:val="clear" w:color="auto" w:fill="auto"/>
                <w:vAlign w:val="center"/>
              </w:tcPr>
              <w:p w14:paraId="0EEDC46C" w14:textId="77777777" w:rsidR="007E7472" w:rsidRDefault="00EC1269">
                <w:pPr>
                  <w:jc w:val="right"/>
                </w:pPr>
                <w:r>
                  <w:rPr>
                    <w:rFonts w:hint="eastAsia"/>
                  </w:rPr>
                  <w:t>1,938</w:t>
                </w:r>
              </w:p>
            </w:tc>
          </w:tr>
          <w:tr w:rsidR="007E7472" w14:paraId="0E30FFC7" w14:textId="77777777" w:rsidTr="007E7472">
            <w:trPr>
              <w:trHeight w:val="340"/>
            </w:trPr>
            <w:sdt>
              <w:sdtPr>
                <w:rPr>
                  <w:rFonts w:hint="eastAsia"/>
                </w:rPr>
                <w:tag w:val="_PLD_01039cac859c46279f030f4ef8891ef8"/>
                <w:id w:val="-890576839"/>
                <w:lock w:val="sdtLocked"/>
              </w:sdtPr>
              <w:sdtEndPr/>
              <w:sdtContent>
                <w:tc>
                  <w:tcPr>
                    <w:tcW w:w="1204" w:type="pct"/>
                    <w:shd w:val="clear" w:color="auto" w:fill="auto"/>
                    <w:vAlign w:val="center"/>
                  </w:tcPr>
                  <w:p w14:paraId="3CC8D376" w14:textId="77777777" w:rsidR="007E7472" w:rsidRDefault="00EC1269">
                    <w:pPr>
                      <w:ind w:firstLineChars="300" w:firstLine="630"/>
                    </w:pPr>
                    <w:r>
                      <w:rPr>
                        <w:rFonts w:hint="eastAsia"/>
                      </w:rPr>
                      <w:t>（1）处置</w:t>
                    </w:r>
                  </w:p>
                </w:tc>
              </w:sdtContent>
            </w:sdt>
            <w:tc>
              <w:tcPr>
                <w:tcW w:w="480" w:type="pct"/>
                <w:shd w:val="clear" w:color="auto" w:fill="auto"/>
                <w:vAlign w:val="center"/>
              </w:tcPr>
              <w:p w14:paraId="7F6531CD" w14:textId="77777777" w:rsidR="007E7472" w:rsidRDefault="00C8327E">
                <w:pPr>
                  <w:jc w:val="right"/>
                </w:pPr>
              </w:p>
            </w:tc>
            <w:tc>
              <w:tcPr>
                <w:tcW w:w="461" w:type="pct"/>
                <w:shd w:val="clear" w:color="auto" w:fill="auto"/>
                <w:vAlign w:val="center"/>
              </w:tcPr>
              <w:p w14:paraId="683480CD" w14:textId="77777777" w:rsidR="007E7472" w:rsidRDefault="00C8327E">
                <w:pPr>
                  <w:jc w:val="right"/>
                </w:pPr>
              </w:p>
            </w:tc>
            <w:tc>
              <w:tcPr>
                <w:tcW w:w="464" w:type="pct"/>
                <w:shd w:val="clear" w:color="auto" w:fill="auto"/>
                <w:vAlign w:val="center"/>
              </w:tcPr>
              <w:p w14:paraId="413E3813" w14:textId="77777777" w:rsidR="007E7472" w:rsidRDefault="00EC1269">
                <w:pPr>
                  <w:jc w:val="right"/>
                </w:pPr>
                <w:r>
                  <w:rPr>
                    <w:rFonts w:hint="eastAsia"/>
                  </w:rPr>
                  <w:t>1,596</w:t>
                </w:r>
              </w:p>
            </w:tc>
            <w:tc>
              <w:tcPr>
                <w:tcW w:w="446" w:type="pct"/>
                <w:shd w:val="clear" w:color="auto" w:fill="auto"/>
                <w:vAlign w:val="center"/>
              </w:tcPr>
              <w:p w14:paraId="0AFA178F" w14:textId="77777777" w:rsidR="007E7472" w:rsidRDefault="00C8327E">
                <w:pPr>
                  <w:jc w:val="right"/>
                </w:pPr>
              </w:p>
            </w:tc>
            <w:tc>
              <w:tcPr>
                <w:tcW w:w="446" w:type="pct"/>
                <w:shd w:val="clear" w:color="auto" w:fill="auto"/>
                <w:vAlign w:val="center"/>
              </w:tcPr>
              <w:p w14:paraId="37667695" w14:textId="77777777" w:rsidR="007E7472" w:rsidRDefault="00C8327E">
                <w:pPr>
                  <w:jc w:val="right"/>
                </w:pPr>
              </w:p>
            </w:tc>
            <w:tc>
              <w:tcPr>
                <w:tcW w:w="446" w:type="pct"/>
                <w:shd w:val="clear" w:color="auto" w:fill="auto"/>
                <w:vAlign w:val="center"/>
              </w:tcPr>
              <w:p w14:paraId="70DFFD5B" w14:textId="77777777" w:rsidR="007E7472" w:rsidRDefault="00C8327E">
                <w:pPr>
                  <w:jc w:val="right"/>
                </w:pPr>
              </w:p>
            </w:tc>
            <w:tc>
              <w:tcPr>
                <w:tcW w:w="503" w:type="pct"/>
                <w:shd w:val="clear" w:color="auto" w:fill="auto"/>
                <w:vAlign w:val="center"/>
              </w:tcPr>
              <w:p w14:paraId="5C0773FC" w14:textId="77777777" w:rsidR="007E7472" w:rsidRDefault="00EC1269">
                <w:pPr>
                  <w:jc w:val="right"/>
                </w:pPr>
                <w:r>
                  <w:rPr>
                    <w:rFonts w:hint="eastAsia"/>
                  </w:rPr>
                  <w:t>342</w:t>
                </w:r>
              </w:p>
            </w:tc>
            <w:tc>
              <w:tcPr>
                <w:tcW w:w="550" w:type="pct"/>
                <w:shd w:val="clear" w:color="auto" w:fill="auto"/>
                <w:vAlign w:val="center"/>
              </w:tcPr>
              <w:p w14:paraId="24F961FD" w14:textId="77777777" w:rsidR="007E7472" w:rsidRDefault="00EC1269">
                <w:pPr>
                  <w:jc w:val="right"/>
                </w:pPr>
                <w:r>
                  <w:rPr>
                    <w:rFonts w:hint="eastAsia"/>
                  </w:rPr>
                  <w:t>1,938</w:t>
                </w:r>
              </w:p>
            </w:tc>
          </w:tr>
          <w:tr w:rsidR="007E7472" w14:paraId="6A4CACBF" w14:textId="77777777" w:rsidTr="007E7472">
            <w:trPr>
              <w:trHeight w:val="340"/>
            </w:trPr>
            <w:sdt>
              <w:sdtPr>
                <w:rPr>
                  <w:rFonts w:hint="eastAsia"/>
                </w:rPr>
                <w:alias w:val="无形资产累计摊销增加项目名称"/>
                <w:tag w:val="_GBC_4c50300c8d7948e29642049bd51cde3e"/>
                <w:id w:val="1385908843"/>
                <w:lock w:val="sdtLocked"/>
              </w:sdtPr>
              <w:sdtEndPr/>
              <w:sdtContent>
                <w:tc>
                  <w:tcPr>
                    <w:tcW w:w="1204" w:type="pct"/>
                    <w:shd w:val="clear" w:color="auto" w:fill="auto"/>
                    <w:vAlign w:val="center"/>
                  </w:tcPr>
                  <w:p w14:paraId="08D1391B" w14:textId="77777777" w:rsidR="007E7472" w:rsidRDefault="00EC1269">
                    <w:pPr>
                      <w:ind w:firstLineChars="200" w:firstLine="420"/>
                    </w:pPr>
                    <w:r>
                      <w:rPr>
                        <w:rFonts w:hint="eastAsia"/>
                      </w:rPr>
                      <w:t>4.外币报表折算差额</w:t>
                    </w:r>
                  </w:p>
                </w:tc>
              </w:sdtContent>
            </w:sdt>
            <w:sdt>
              <w:sdtPr>
                <w:rPr>
                  <w:rFonts w:hint="eastAsia"/>
                </w:rPr>
                <w:alias w:val="无形资产累计摊销增加项目金额"/>
                <w:tag w:val="_GBC_be793f363ede4d81a059f7c3f73d8e7c"/>
                <w:id w:val="1368716230"/>
                <w:lock w:val="sdtLocked"/>
              </w:sdtPr>
              <w:sdtEndPr/>
              <w:sdtContent>
                <w:tc>
                  <w:tcPr>
                    <w:tcW w:w="480" w:type="pct"/>
                    <w:shd w:val="clear" w:color="auto" w:fill="auto"/>
                    <w:vAlign w:val="center"/>
                  </w:tcPr>
                  <w:p w14:paraId="5D88830B" w14:textId="77777777" w:rsidR="007E7472" w:rsidRDefault="00EC1269">
                    <w:pPr>
                      <w:jc w:val="right"/>
                    </w:pPr>
                    <w:r>
                      <w:rPr>
                        <w:rFonts w:hint="eastAsia"/>
                      </w:rPr>
                      <w:t>572,673</w:t>
                    </w:r>
                  </w:p>
                </w:tc>
              </w:sdtContent>
            </w:sdt>
            <w:sdt>
              <w:sdtPr>
                <w:rPr>
                  <w:rFonts w:hint="eastAsia"/>
                </w:rPr>
                <w:alias w:val="无形资产累计摊销增加项目金额"/>
                <w:tag w:val="_GBC_be793f363ede4d81a059f7c3f73d8e7c"/>
                <w:id w:val="1554274450"/>
                <w:lock w:val="sdtLocked"/>
              </w:sdtPr>
              <w:sdtEndPr/>
              <w:sdtContent>
                <w:tc>
                  <w:tcPr>
                    <w:tcW w:w="461" w:type="pct"/>
                    <w:shd w:val="clear" w:color="auto" w:fill="auto"/>
                    <w:vAlign w:val="center"/>
                  </w:tcPr>
                  <w:p w14:paraId="59182CB7" w14:textId="77777777" w:rsidR="007E7472" w:rsidRDefault="00EC1269">
                    <w:pPr>
                      <w:jc w:val="right"/>
                    </w:pPr>
                    <w:r>
                      <w:rPr>
                        <w:rFonts w:hint="eastAsia"/>
                      </w:rPr>
                      <w:t>47,990</w:t>
                    </w:r>
                  </w:p>
                </w:tc>
              </w:sdtContent>
            </w:sdt>
            <w:sdt>
              <w:sdtPr>
                <w:rPr>
                  <w:rFonts w:hint="eastAsia"/>
                </w:rPr>
                <w:alias w:val="无形资产土地使用权累计摊销增加项目金额"/>
                <w:tag w:val="_GBC_6f3b78a39f1f45348d4b4dcd0d2b0569"/>
                <w:id w:val="611717865"/>
                <w:lock w:val="sdtLocked"/>
              </w:sdtPr>
              <w:sdtEndPr/>
              <w:sdtContent>
                <w:tc>
                  <w:tcPr>
                    <w:tcW w:w="464" w:type="pct"/>
                    <w:shd w:val="clear" w:color="auto" w:fill="auto"/>
                    <w:vAlign w:val="center"/>
                  </w:tcPr>
                  <w:p w14:paraId="0F783BA7" w14:textId="77777777" w:rsidR="007E7472" w:rsidRDefault="00EC1269">
                    <w:pPr>
                      <w:jc w:val="right"/>
                    </w:pPr>
                    <w:r>
                      <w:rPr>
                        <w:rFonts w:hint="eastAsia"/>
                      </w:rPr>
                      <w:t>3,107</w:t>
                    </w:r>
                  </w:p>
                </w:tc>
              </w:sdtContent>
            </w:sdt>
            <w:sdt>
              <w:sdtPr>
                <w:rPr>
                  <w:rFonts w:hint="eastAsia"/>
                </w:rPr>
                <w:alias w:val="无形资产累计摊销增加项目金额"/>
                <w:tag w:val="_GBC_be793f363ede4d81a059f7c3f73d8e7c"/>
                <w:id w:val="-898670734"/>
                <w:lock w:val="sdtLocked"/>
              </w:sdtPr>
              <w:sdtEndPr/>
              <w:sdtContent>
                <w:tc>
                  <w:tcPr>
                    <w:tcW w:w="446" w:type="pct"/>
                    <w:shd w:val="clear" w:color="auto" w:fill="auto"/>
                    <w:vAlign w:val="center"/>
                  </w:tcPr>
                  <w:p w14:paraId="129540F9" w14:textId="77777777" w:rsidR="007E7472" w:rsidRDefault="00EC1269">
                    <w:pPr>
                      <w:jc w:val="right"/>
                    </w:pPr>
                    <w:r>
                      <w:rPr>
                        <w:rFonts w:hint="eastAsia"/>
                      </w:rPr>
                      <w:t>2,136</w:t>
                    </w:r>
                  </w:p>
                </w:tc>
              </w:sdtContent>
            </w:sdt>
            <w:sdt>
              <w:sdtPr>
                <w:rPr>
                  <w:rFonts w:hint="eastAsia"/>
                </w:rPr>
                <w:alias w:val="无形资产累计摊销增加项目金额"/>
                <w:tag w:val="_GBC_be793f363ede4d81a059f7c3f73d8e7c"/>
                <w:id w:val="-163404457"/>
                <w:lock w:val="sdtLocked"/>
              </w:sdtPr>
              <w:sdtEndPr/>
              <w:sdtContent>
                <w:tc>
                  <w:tcPr>
                    <w:tcW w:w="446" w:type="pct"/>
                    <w:shd w:val="clear" w:color="auto" w:fill="auto"/>
                    <w:vAlign w:val="center"/>
                  </w:tcPr>
                  <w:p w14:paraId="02EA58FE" w14:textId="77777777" w:rsidR="007E7472" w:rsidRDefault="00EC1269">
                    <w:pPr>
                      <w:jc w:val="right"/>
                    </w:pPr>
                    <w:r>
                      <w:rPr>
                        <w:rFonts w:hint="eastAsia"/>
                      </w:rPr>
                      <w:t>4,478</w:t>
                    </w:r>
                  </w:p>
                </w:tc>
              </w:sdtContent>
            </w:sdt>
            <w:sdt>
              <w:sdtPr>
                <w:rPr>
                  <w:rFonts w:hint="eastAsia"/>
                </w:rPr>
                <w:alias w:val="无形资产累计摊销增加项目金额"/>
                <w:tag w:val="_GBC_be793f363ede4d81a059f7c3f73d8e7c"/>
                <w:id w:val="1565604348"/>
                <w:lock w:val="sdtLocked"/>
              </w:sdtPr>
              <w:sdtEndPr/>
              <w:sdtContent>
                <w:tc>
                  <w:tcPr>
                    <w:tcW w:w="446" w:type="pct"/>
                    <w:shd w:val="clear" w:color="auto" w:fill="auto"/>
                    <w:vAlign w:val="center"/>
                  </w:tcPr>
                  <w:p w14:paraId="7364B527" w14:textId="77777777" w:rsidR="007E7472" w:rsidRDefault="00C8327E">
                    <w:pPr>
                      <w:jc w:val="right"/>
                    </w:pPr>
                  </w:p>
                </w:tc>
              </w:sdtContent>
            </w:sdt>
            <w:sdt>
              <w:sdtPr>
                <w:rPr>
                  <w:rFonts w:hint="eastAsia"/>
                </w:rPr>
                <w:alias w:val="无形资产累计摊销增加项目金额"/>
                <w:tag w:val="_GBC_be793f363ede4d81a059f7c3f73d8e7c"/>
                <w:id w:val="-847559775"/>
                <w:lock w:val="sdtLocked"/>
              </w:sdtPr>
              <w:sdtEndPr/>
              <w:sdtContent>
                <w:tc>
                  <w:tcPr>
                    <w:tcW w:w="503" w:type="pct"/>
                    <w:shd w:val="clear" w:color="auto" w:fill="auto"/>
                    <w:vAlign w:val="center"/>
                  </w:tcPr>
                  <w:p w14:paraId="798691CD" w14:textId="77777777" w:rsidR="007E7472" w:rsidRDefault="00EC1269">
                    <w:pPr>
                      <w:jc w:val="right"/>
                    </w:pPr>
                    <w:r>
                      <w:rPr>
                        <w:rFonts w:hint="eastAsia"/>
                      </w:rPr>
                      <w:t>3,360</w:t>
                    </w:r>
                  </w:p>
                </w:tc>
              </w:sdtContent>
            </w:sdt>
            <w:sdt>
              <w:sdtPr>
                <w:rPr>
                  <w:rFonts w:hint="eastAsia"/>
                </w:rPr>
                <w:alias w:val="无形资产累计摊销增加项目合计金额"/>
                <w:tag w:val="_GBC_2786960157f34a39a4cf247d142f7392"/>
                <w:id w:val="-583305047"/>
                <w:lock w:val="sdtLocked"/>
              </w:sdtPr>
              <w:sdtEndPr/>
              <w:sdtContent>
                <w:tc>
                  <w:tcPr>
                    <w:tcW w:w="550" w:type="pct"/>
                    <w:shd w:val="clear" w:color="auto" w:fill="auto"/>
                    <w:vAlign w:val="center"/>
                  </w:tcPr>
                  <w:p w14:paraId="3A946753" w14:textId="77777777" w:rsidR="007E7472" w:rsidRDefault="00EC1269">
                    <w:pPr>
                      <w:jc w:val="right"/>
                    </w:pPr>
                    <w:r>
                      <w:rPr>
                        <w:rFonts w:hint="eastAsia"/>
                      </w:rPr>
                      <w:t>633,744</w:t>
                    </w:r>
                  </w:p>
                </w:tc>
              </w:sdtContent>
            </w:sdt>
          </w:tr>
          <w:tr w:rsidR="007E7472" w14:paraId="2B38163B" w14:textId="77777777" w:rsidTr="007E7472">
            <w:trPr>
              <w:trHeight w:val="340"/>
            </w:trPr>
            <w:sdt>
              <w:sdtPr>
                <w:rPr>
                  <w:rFonts w:hint="eastAsia"/>
                </w:rPr>
                <w:tag w:val="_PLD_4f7e6faa1a2a40ff9644db9d2bcd8070"/>
                <w:id w:val="1174306614"/>
                <w:lock w:val="sdtLocked"/>
              </w:sdtPr>
              <w:sdtEndPr/>
              <w:sdtContent>
                <w:tc>
                  <w:tcPr>
                    <w:tcW w:w="1204" w:type="pct"/>
                    <w:shd w:val="clear" w:color="auto" w:fill="auto"/>
                    <w:vAlign w:val="center"/>
                  </w:tcPr>
                  <w:p w14:paraId="1A8C142C" w14:textId="77777777" w:rsidR="007E7472" w:rsidRDefault="00EC1269">
                    <w:r>
                      <w:rPr>
                        <w:rFonts w:hint="eastAsia"/>
                      </w:rPr>
                      <w:t>5.期末余额</w:t>
                    </w:r>
                  </w:p>
                </w:tc>
              </w:sdtContent>
            </w:sdt>
            <w:tc>
              <w:tcPr>
                <w:tcW w:w="480" w:type="pct"/>
                <w:shd w:val="clear" w:color="auto" w:fill="auto"/>
                <w:vAlign w:val="center"/>
              </w:tcPr>
              <w:p w14:paraId="0AEEAE56" w14:textId="77777777" w:rsidR="007E7472" w:rsidRDefault="00EC1269">
                <w:pPr>
                  <w:jc w:val="right"/>
                </w:pPr>
                <w:r>
                  <w:rPr>
                    <w:rFonts w:hint="eastAsia"/>
                  </w:rPr>
                  <w:t>72,171,808</w:t>
                </w:r>
              </w:p>
            </w:tc>
            <w:tc>
              <w:tcPr>
                <w:tcW w:w="461" w:type="pct"/>
                <w:shd w:val="clear" w:color="auto" w:fill="auto"/>
                <w:vAlign w:val="center"/>
              </w:tcPr>
              <w:p w14:paraId="01A2BE43" w14:textId="77777777" w:rsidR="007E7472" w:rsidRDefault="00EC1269">
                <w:pPr>
                  <w:jc w:val="right"/>
                </w:pPr>
                <w:r>
                  <w:rPr>
                    <w:rFonts w:hint="eastAsia"/>
                  </w:rPr>
                  <w:t>2,696,933</w:t>
                </w:r>
              </w:p>
            </w:tc>
            <w:tc>
              <w:tcPr>
                <w:tcW w:w="464" w:type="pct"/>
                <w:shd w:val="clear" w:color="auto" w:fill="auto"/>
                <w:vAlign w:val="center"/>
              </w:tcPr>
              <w:p w14:paraId="5B69B979" w14:textId="77777777" w:rsidR="007E7472" w:rsidRDefault="00EC1269">
                <w:pPr>
                  <w:jc w:val="right"/>
                </w:pPr>
                <w:r>
                  <w:rPr>
                    <w:rFonts w:hint="eastAsia"/>
                  </w:rPr>
                  <w:t>3,802,043</w:t>
                </w:r>
              </w:p>
            </w:tc>
            <w:tc>
              <w:tcPr>
                <w:tcW w:w="446" w:type="pct"/>
                <w:shd w:val="clear" w:color="auto" w:fill="auto"/>
                <w:vAlign w:val="center"/>
              </w:tcPr>
              <w:p w14:paraId="01FD4C73" w14:textId="77777777" w:rsidR="007E7472" w:rsidRDefault="00EC1269">
                <w:pPr>
                  <w:jc w:val="right"/>
                </w:pPr>
                <w:r>
                  <w:rPr>
                    <w:rFonts w:hint="eastAsia"/>
                  </w:rPr>
                  <w:t>1,395,070</w:t>
                </w:r>
              </w:p>
            </w:tc>
            <w:tc>
              <w:tcPr>
                <w:tcW w:w="446" w:type="pct"/>
                <w:shd w:val="clear" w:color="auto" w:fill="auto"/>
                <w:vAlign w:val="center"/>
              </w:tcPr>
              <w:p w14:paraId="6D6A8F86" w14:textId="77777777" w:rsidR="007E7472" w:rsidRDefault="00EC1269">
                <w:pPr>
                  <w:jc w:val="right"/>
                </w:pPr>
                <w:r>
                  <w:rPr>
                    <w:rFonts w:hint="eastAsia"/>
                  </w:rPr>
                  <w:t>549,402</w:t>
                </w:r>
              </w:p>
            </w:tc>
            <w:tc>
              <w:tcPr>
                <w:tcW w:w="446" w:type="pct"/>
                <w:shd w:val="clear" w:color="auto" w:fill="auto"/>
                <w:vAlign w:val="center"/>
              </w:tcPr>
              <w:p w14:paraId="2C10E6EB" w14:textId="77777777" w:rsidR="007E7472" w:rsidRDefault="00EC1269">
                <w:pPr>
                  <w:jc w:val="right"/>
                </w:pPr>
                <w:r>
                  <w:rPr>
                    <w:rFonts w:hint="eastAsia"/>
                  </w:rPr>
                  <w:t>2,419,098</w:t>
                </w:r>
              </w:p>
            </w:tc>
            <w:tc>
              <w:tcPr>
                <w:tcW w:w="503" w:type="pct"/>
                <w:shd w:val="clear" w:color="auto" w:fill="auto"/>
                <w:vAlign w:val="center"/>
              </w:tcPr>
              <w:p w14:paraId="1F778AAF" w14:textId="77777777" w:rsidR="007E7472" w:rsidRDefault="00EC1269">
                <w:pPr>
                  <w:jc w:val="right"/>
                </w:pPr>
                <w:r>
                  <w:rPr>
                    <w:rFonts w:hint="eastAsia"/>
                  </w:rPr>
                  <w:t>234,682</w:t>
                </w:r>
              </w:p>
            </w:tc>
            <w:tc>
              <w:tcPr>
                <w:tcW w:w="550" w:type="pct"/>
                <w:shd w:val="clear" w:color="auto" w:fill="auto"/>
                <w:vAlign w:val="center"/>
              </w:tcPr>
              <w:p w14:paraId="48100FB9" w14:textId="77777777" w:rsidR="007E7472" w:rsidRDefault="00EC1269">
                <w:pPr>
                  <w:jc w:val="right"/>
                </w:pPr>
                <w:r>
                  <w:rPr>
                    <w:rFonts w:hint="eastAsia"/>
                  </w:rPr>
                  <w:t>83,269,036</w:t>
                </w:r>
              </w:p>
            </w:tc>
          </w:tr>
          <w:tr w:rsidR="007E7472" w14:paraId="6BA580AD" w14:textId="77777777" w:rsidTr="007E7472">
            <w:trPr>
              <w:trHeight w:val="340"/>
            </w:trPr>
            <w:sdt>
              <w:sdtPr>
                <w:rPr>
                  <w:rFonts w:hint="eastAsia"/>
                </w:rPr>
                <w:tag w:val="_PLD_3d92ef615d3b41e5abb58e018e2db72b"/>
                <w:id w:val="-1464807868"/>
                <w:lock w:val="sdtLocked"/>
              </w:sdtPr>
              <w:sdtEndPr/>
              <w:sdtContent>
                <w:tc>
                  <w:tcPr>
                    <w:tcW w:w="5000" w:type="pct"/>
                    <w:gridSpan w:val="9"/>
                    <w:shd w:val="clear" w:color="auto" w:fill="auto"/>
                    <w:vAlign w:val="center"/>
                  </w:tcPr>
                  <w:p w14:paraId="21B9B019" w14:textId="77777777" w:rsidR="007E7472" w:rsidRDefault="00EC1269">
                    <w:r>
                      <w:rPr>
                        <w:rFonts w:hint="eastAsia"/>
                      </w:rPr>
                      <w:t>二、累计摊销</w:t>
                    </w:r>
                  </w:p>
                </w:tc>
              </w:sdtContent>
            </w:sdt>
          </w:tr>
          <w:tr w:rsidR="007E7472" w14:paraId="5347B848" w14:textId="77777777" w:rsidTr="007E7472">
            <w:trPr>
              <w:trHeight w:val="340"/>
            </w:trPr>
            <w:sdt>
              <w:sdtPr>
                <w:rPr>
                  <w:rFonts w:hint="eastAsia"/>
                </w:rPr>
                <w:tag w:val="_PLD_193e5febfa90446ca630ebb42ca96e06"/>
                <w:id w:val="1982264868"/>
                <w:lock w:val="sdtLocked"/>
              </w:sdtPr>
              <w:sdtEndPr/>
              <w:sdtContent>
                <w:tc>
                  <w:tcPr>
                    <w:tcW w:w="1204" w:type="pct"/>
                    <w:tcBorders>
                      <w:bottom w:val="single" w:sz="4" w:space="0" w:color="auto"/>
                    </w:tcBorders>
                    <w:shd w:val="clear" w:color="auto" w:fill="auto"/>
                    <w:vAlign w:val="center"/>
                  </w:tcPr>
                  <w:p w14:paraId="474665A2" w14:textId="77777777" w:rsidR="007E7472" w:rsidRDefault="00EC1269">
                    <w:pPr>
                      <w:ind w:firstLineChars="200" w:firstLine="420"/>
                    </w:pPr>
                    <w:r>
                      <w:rPr>
                        <w:rFonts w:hint="eastAsia"/>
                      </w:rPr>
                      <w:t>1.期初余额</w:t>
                    </w:r>
                  </w:p>
                </w:tc>
              </w:sdtContent>
            </w:sdt>
            <w:tc>
              <w:tcPr>
                <w:tcW w:w="480" w:type="pct"/>
                <w:shd w:val="clear" w:color="auto" w:fill="auto"/>
                <w:vAlign w:val="center"/>
              </w:tcPr>
              <w:p w14:paraId="72B5CA32" w14:textId="77777777" w:rsidR="007E7472" w:rsidRDefault="00EC1269">
                <w:pPr>
                  <w:jc w:val="right"/>
                </w:pPr>
                <w:r>
                  <w:rPr>
                    <w:rFonts w:hint="eastAsia"/>
                  </w:rPr>
                  <w:t>17,506,156</w:t>
                </w:r>
              </w:p>
            </w:tc>
            <w:tc>
              <w:tcPr>
                <w:tcW w:w="461" w:type="pct"/>
                <w:shd w:val="clear" w:color="auto" w:fill="auto"/>
                <w:vAlign w:val="center"/>
              </w:tcPr>
              <w:p w14:paraId="431AD1E8" w14:textId="77777777" w:rsidR="007E7472" w:rsidRDefault="00C8327E">
                <w:pPr>
                  <w:jc w:val="right"/>
                </w:pPr>
              </w:p>
            </w:tc>
            <w:tc>
              <w:tcPr>
                <w:tcW w:w="464" w:type="pct"/>
                <w:shd w:val="clear" w:color="auto" w:fill="auto"/>
                <w:vAlign w:val="center"/>
              </w:tcPr>
              <w:p w14:paraId="76F380ED" w14:textId="77777777" w:rsidR="007E7472" w:rsidRDefault="00EC1269">
                <w:pPr>
                  <w:jc w:val="right"/>
                </w:pPr>
                <w:r>
                  <w:rPr>
                    <w:rFonts w:hint="eastAsia"/>
                  </w:rPr>
                  <w:t>622,728</w:t>
                </w:r>
              </w:p>
            </w:tc>
            <w:tc>
              <w:tcPr>
                <w:tcW w:w="446" w:type="pct"/>
                <w:shd w:val="clear" w:color="auto" w:fill="auto"/>
                <w:vAlign w:val="center"/>
              </w:tcPr>
              <w:p w14:paraId="76A60785" w14:textId="77777777" w:rsidR="007E7472" w:rsidRDefault="00EC1269">
                <w:pPr>
                  <w:jc w:val="right"/>
                </w:pPr>
                <w:r>
                  <w:rPr>
                    <w:rFonts w:hint="eastAsia"/>
                  </w:rPr>
                  <w:t>684,923</w:t>
                </w:r>
              </w:p>
            </w:tc>
            <w:tc>
              <w:tcPr>
                <w:tcW w:w="446" w:type="pct"/>
                <w:shd w:val="clear" w:color="auto" w:fill="auto"/>
                <w:vAlign w:val="center"/>
              </w:tcPr>
              <w:p w14:paraId="5A7B6A3B" w14:textId="77777777" w:rsidR="007E7472" w:rsidRDefault="00EC1269">
                <w:pPr>
                  <w:jc w:val="right"/>
                </w:pPr>
                <w:r>
                  <w:rPr>
                    <w:rFonts w:hint="eastAsia"/>
                  </w:rPr>
                  <w:t>42,472</w:t>
                </w:r>
              </w:p>
            </w:tc>
            <w:tc>
              <w:tcPr>
                <w:tcW w:w="446" w:type="pct"/>
                <w:shd w:val="clear" w:color="auto" w:fill="auto"/>
                <w:vAlign w:val="center"/>
              </w:tcPr>
              <w:p w14:paraId="4BA74F72" w14:textId="77777777" w:rsidR="007E7472" w:rsidRDefault="00EC1269">
                <w:pPr>
                  <w:jc w:val="right"/>
                </w:pPr>
                <w:r>
                  <w:rPr>
                    <w:rFonts w:hint="eastAsia"/>
                  </w:rPr>
                  <w:t>235,048</w:t>
                </w:r>
              </w:p>
            </w:tc>
            <w:tc>
              <w:tcPr>
                <w:tcW w:w="503" w:type="pct"/>
                <w:shd w:val="clear" w:color="auto" w:fill="auto"/>
                <w:vAlign w:val="center"/>
              </w:tcPr>
              <w:p w14:paraId="6C9FA579" w14:textId="77777777" w:rsidR="007E7472" w:rsidRDefault="00EC1269">
                <w:pPr>
                  <w:jc w:val="right"/>
                </w:pPr>
                <w:r>
                  <w:rPr>
                    <w:rFonts w:hint="eastAsia"/>
                  </w:rPr>
                  <w:t>182,605</w:t>
                </w:r>
              </w:p>
            </w:tc>
            <w:tc>
              <w:tcPr>
                <w:tcW w:w="550" w:type="pct"/>
                <w:shd w:val="clear" w:color="auto" w:fill="auto"/>
                <w:vAlign w:val="center"/>
              </w:tcPr>
              <w:p w14:paraId="439C03B9" w14:textId="77777777" w:rsidR="007E7472" w:rsidRDefault="00EC1269">
                <w:pPr>
                  <w:jc w:val="right"/>
                </w:pPr>
                <w:r>
                  <w:rPr>
                    <w:rFonts w:hint="eastAsia"/>
                  </w:rPr>
                  <w:t>19,273,932</w:t>
                </w:r>
              </w:p>
            </w:tc>
          </w:tr>
          <w:tr w:rsidR="007E7472" w14:paraId="784E48F2" w14:textId="77777777" w:rsidTr="007E7472">
            <w:trPr>
              <w:trHeight w:val="340"/>
            </w:trPr>
            <w:sdt>
              <w:sdtPr>
                <w:rPr>
                  <w:rFonts w:hint="eastAsia"/>
                </w:rPr>
                <w:tag w:val="_PLD_1002de94b721483c99b3b05a42a37601"/>
                <w:id w:val="815073614"/>
                <w:lock w:val="sdtLocked"/>
              </w:sdtPr>
              <w:sdtEndPr/>
              <w:sdtContent>
                <w:tc>
                  <w:tcPr>
                    <w:tcW w:w="1204" w:type="pct"/>
                    <w:shd w:val="clear" w:color="auto" w:fill="auto"/>
                    <w:vAlign w:val="center"/>
                  </w:tcPr>
                  <w:p w14:paraId="01758777" w14:textId="77777777" w:rsidR="007E7472" w:rsidRDefault="00EC1269">
                    <w:pPr>
                      <w:ind w:firstLineChars="200" w:firstLine="420"/>
                    </w:pPr>
                    <w:r>
                      <w:rPr>
                        <w:rFonts w:hint="eastAsia"/>
                      </w:rPr>
                      <w:t>2.本期增加金额</w:t>
                    </w:r>
                  </w:p>
                </w:tc>
              </w:sdtContent>
            </w:sdt>
            <w:tc>
              <w:tcPr>
                <w:tcW w:w="480" w:type="pct"/>
                <w:shd w:val="clear" w:color="auto" w:fill="auto"/>
                <w:vAlign w:val="center"/>
              </w:tcPr>
              <w:p w14:paraId="14DA8386" w14:textId="77777777" w:rsidR="007E7472" w:rsidRDefault="00EC1269">
                <w:pPr>
                  <w:jc w:val="right"/>
                </w:pPr>
                <w:r>
                  <w:rPr>
                    <w:rFonts w:hint="eastAsia"/>
                  </w:rPr>
                  <w:t>1,167,872</w:t>
                </w:r>
              </w:p>
            </w:tc>
            <w:tc>
              <w:tcPr>
                <w:tcW w:w="461" w:type="pct"/>
                <w:shd w:val="clear" w:color="auto" w:fill="auto"/>
                <w:vAlign w:val="center"/>
              </w:tcPr>
              <w:p w14:paraId="1DF4745D" w14:textId="77777777" w:rsidR="007E7472" w:rsidRDefault="00C8327E">
                <w:pPr>
                  <w:jc w:val="right"/>
                </w:pPr>
              </w:p>
            </w:tc>
            <w:tc>
              <w:tcPr>
                <w:tcW w:w="464" w:type="pct"/>
                <w:shd w:val="clear" w:color="auto" w:fill="auto"/>
                <w:vAlign w:val="center"/>
              </w:tcPr>
              <w:p w14:paraId="4620DA1B" w14:textId="77777777" w:rsidR="007E7472" w:rsidRDefault="00EC1269">
                <w:pPr>
                  <w:jc w:val="right"/>
                </w:pPr>
                <w:r>
                  <w:rPr>
                    <w:rFonts w:hint="eastAsia"/>
                  </w:rPr>
                  <w:t>41,128</w:t>
                </w:r>
              </w:p>
            </w:tc>
            <w:tc>
              <w:tcPr>
                <w:tcW w:w="446" w:type="pct"/>
                <w:shd w:val="clear" w:color="auto" w:fill="auto"/>
                <w:vAlign w:val="center"/>
              </w:tcPr>
              <w:p w14:paraId="755C167C" w14:textId="77777777" w:rsidR="007E7472" w:rsidRDefault="00EC1269">
                <w:pPr>
                  <w:jc w:val="right"/>
                </w:pPr>
                <w:r>
                  <w:rPr>
                    <w:rFonts w:hint="eastAsia"/>
                  </w:rPr>
                  <w:t>51,402</w:t>
                </w:r>
              </w:p>
            </w:tc>
            <w:tc>
              <w:tcPr>
                <w:tcW w:w="446" w:type="pct"/>
                <w:shd w:val="clear" w:color="auto" w:fill="auto"/>
                <w:vAlign w:val="center"/>
              </w:tcPr>
              <w:p w14:paraId="68D77EF1" w14:textId="77777777" w:rsidR="007E7472" w:rsidRDefault="00EC1269">
                <w:pPr>
                  <w:jc w:val="right"/>
                </w:pPr>
                <w:r>
                  <w:rPr>
                    <w:rFonts w:hint="eastAsia"/>
                  </w:rPr>
                  <w:t>6,034</w:t>
                </w:r>
              </w:p>
            </w:tc>
            <w:tc>
              <w:tcPr>
                <w:tcW w:w="446" w:type="pct"/>
                <w:shd w:val="clear" w:color="auto" w:fill="auto"/>
                <w:vAlign w:val="center"/>
              </w:tcPr>
              <w:p w14:paraId="2E2DD2F8" w14:textId="1CFE8696" w:rsidR="007E7472" w:rsidRDefault="00913748">
                <w:pPr>
                  <w:jc w:val="right"/>
                </w:pPr>
                <w:r w:rsidRPr="00672D76">
                  <w:t>54,068</w:t>
                </w:r>
              </w:p>
            </w:tc>
            <w:tc>
              <w:tcPr>
                <w:tcW w:w="503" w:type="pct"/>
                <w:shd w:val="clear" w:color="auto" w:fill="auto"/>
                <w:vAlign w:val="center"/>
              </w:tcPr>
              <w:p w14:paraId="2F0351C1" w14:textId="77777777" w:rsidR="007E7472" w:rsidRDefault="00EC1269">
                <w:pPr>
                  <w:jc w:val="right"/>
                </w:pPr>
                <w:r>
                  <w:rPr>
                    <w:rFonts w:hint="eastAsia"/>
                  </w:rPr>
                  <w:t>6,138</w:t>
                </w:r>
              </w:p>
            </w:tc>
            <w:tc>
              <w:tcPr>
                <w:tcW w:w="550" w:type="pct"/>
                <w:shd w:val="clear" w:color="auto" w:fill="auto"/>
                <w:vAlign w:val="center"/>
              </w:tcPr>
              <w:p w14:paraId="2D6434E7" w14:textId="0926C220" w:rsidR="007E7472" w:rsidRDefault="00913748">
                <w:pPr>
                  <w:jc w:val="right"/>
                </w:pPr>
                <w:r w:rsidRPr="00672D76">
                  <w:t>1,326,642</w:t>
                </w:r>
              </w:p>
            </w:tc>
          </w:tr>
          <w:tr w:rsidR="007E7472" w14:paraId="332461AA" w14:textId="77777777" w:rsidTr="007E7472">
            <w:trPr>
              <w:trHeight w:val="340"/>
            </w:trPr>
            <w:sdt>
              <w:sdtPr>
                <w:rPr>
                  <w:rFonts w:hint="eastAsia"/>
                </w:rPr>
                <w:tag w:val="_PLD_8a3c7c560c054537b4caae539fe46c59"/>
                <w:id w:val="893858939"/>
                <w:lock w:val="sdtLocked"/>
              </w:sdtPr>
              <w:sdtEndPr/>
              <w:sdtContent>
                <w:tc>
                  <w:tcPr>
                    <w:tcW w:w="1204" w:type="pct"/>
                    <w:shd w:val="clear" w:color="auto" w:fill="auto"/>
                    <w:vAlign w:val="center"/>
                  </w:tcPr>
                  <w:p w14:paraId="6E51739B" w14:textId="77777777" w:rsidR="007E7472" w:rsidRDefault="00EC1269">
                    <w:pPr>
                      <w:ind w:firstLineChars="300" w:firstLine="630"/>
                    </w:pPr>
                    <w:r>
                      <w:rPr>
                        <w:rFonts w:hint="eastAsia"/>
                      </w:rPr>
                      <w:t>（1）计提</w:t>
                    </w:r>
                  </w:p>
                </w:tc>
              </w:sdtContent>
            </w:sdt>
            <w:tc>
              <w:tcPr>
                <w:tcW w:w="480" w:type="pct"/>
                <w:shd w:val="clear" w:color="auto" w:fill="auto"/>
                <w:vAlign w:val="center"/>
              </w:tcPr>
              <w:p w14:paraId="45CCFFB6" w14:textId="77777777" w:rsidR="007E7472" w:rsidRDefault="00EC1269">
                <w:pPr>
                  <w:jc w:val="right"/>
                </w:pPr>
                <w:r>
                  <w:rPr>
                    <w:rFonts w:hint="eastAsia"/>
                  </w:rPr>
                  <w:t>1,167,872</w:t>
                </w:r>
              </w:p>
            </w:tc>
            <w:tc>
              <w:tcPr>
                <w:tcW w:w="461" w:type="pct"/>
                <w:shd w:val="clear" w:color="auto" w:fill="auto"/>
                <w:vAlign w:val="center"/>
              </w:tcPr>
              <w:p w14:paraId="647AD370" w14:textId="77777777" w:rsidR="007E7472" w:rsidRDefault="00C8327E">
                <w:pPr>
                  <w:jc w:val="right"/>
                </w:pPr>
              </w:p>
            </w:tc>
            <w:tc>
              <w:tcPr>
                <w:tcW w:w="464" w:type="pct"/>
                <w:shd w:val="clear" w:color="auto" w:fill="auto"/>
                <w:vAlign w:val="center"/>
              </w:tcPr>
              <w:p w14:paraId="570E6639" w14:textId="77777777" w:rsidR="007E7472" w:rsidRDefault="00EC1269">
                <w:pPr>
                  <w:jc w:val="right"/>
                </w:pPr>
                <w:r>
                  <w:rPr>
                    <w:rFonts w:hint="eastAsia"/>
                  </w:rPr>
                  <w:t>41,128</w:t>
                </w:r>
              </w:p>
            </w:tc>
            <w:tc>
              <w:tcPr>
                <w:tcW w:w="446" w:type="pct"/>
                <w:shd w:val="clear" w:color="auto" w:fill="auto"/>
                <w:vAlign w:val="center"/>
              </w:tcPr>
              <w:p w14:paraId="5E74802E" w14:textId="77777777" w:rsidR="007E7472" w:rsidRDefault="00EC1269">
                <w:pPr>
                  <w:jc w:val="right"/>
                </w:pPr>
                <w:r>
                  <w:rPr>
                    <w:rFonts w:hint="eastAsia"/>
                  </w:rPr>
                  <w:t>51,402</w:t>
                </w:r>
              </w:p>
            </w:tc>
            <w:tc>
              <w:tcPr>
                <w:tcW w:w="446" w:type="pct"/>
                <w:shd w:val="clear" w:color="auto" w:fill="auto"/>
                <w:vAlign w:val="center"/>
              </w:tcPr>
              <w:p w14:paraId="36665EFF" w14:textId="77777777" w:rsidR="007E7472" w:rsidRDefault="00EC1269">
                <w:pPr>
                  <w:jc w:val="right"/>
                </w:pPr>
                <w:r>
                  <w:rPr>
                    <w:rFonts w:hint="eastAsia"/>
                  </w:rPr>
                  <w:t>6,034</w:t>
                </w:r>
              </w:p>
            </w:tc>
            <w:tc>
              <w:tcPr>
                <w:tcW w:w="446" w:type="pct"/>
                <w:shd w:val="clear" w:color="auto" w:fill="auto"/>
                <w:vAlign w:val="center"/>
              </w:tcPr>
              <w:p w14:paraId="105720E6" w14:textId="77777777" w:rsidR="007E7472" w:rsidRDefault="00EC1269">
                <w:pPr>
                  <w:jc w:val="right"/>
                </w:pPr>
                <w:r>
                  <w:rPr>
                    <w:rFonts w:hint="eastAsia"/>
                  </w:rPr>
                  <w:t>54,068</w:t>
                </w:r>
              </w:p>
            </w:tc>
            <w:tc>
              <w:tcPr>
                <w:tcW w:w="503" w:type="pct"/>
                <w:shd w:val="clear" w:color="auto" w:fill="auto"/>
                <w:vAlign w:val="center"/>
              </w:tcPr>
              <w:p w14:paraId="7995DD3C" w14:textId="77777777" w:rsidR="007E7472" w:rsidRDefault="00EC1269">
                <w:pPr>
                  <w:jc w:val="right"/>
                </w:pPr>
                <w:r>
                  <w:rPr>
                    <w:rFonts w:hint="eastAsia"/>
                  </w:rPr>
                  <w:t>6,138</w:t>
                </w:r>
              </w:p>
            </w:tc>
            <w:tc>
              <w:tcPr>
                <w:tcW w:w="550" w:type="pct"/>
                <w:shd w:val="clear" w:color="auto" w:fill="auto"/>
                <w:vAlign w:val="center"/>
              </w:tcPr>
              <w:p w14:paraId="05554428" w14:textId="77777777" w:rsidR="007E7472" w:rsidRDefault="00EC1269">
                <w:pPr>
                  <w:jc w:val="right"/>
                </w:pPr>
                <w:r>
                  <w:rPr>
                    <w:rFonts w:hint="eastAsia"/>
                  </w:rPr>
                  <w:t>1,326,642</w:t>
                </w:r>
              </w:p>
            </w:tc>
          </w:tr>
          <w:tr w:rsidR="007E7472" w14:paraId="3EF8A087" w14:textId="77777777" w:rsidTr="007E7472">
            <w:trPr>
              <w:trHeight w:val="340"/>
            </w:trPr>
            <w:sdt>
              <w:sdtPr>
                <w:rPr>
                  <w:rFonts w:hint="eastAsia"/>
                </w:rPr>
                <w:tag w:val="_PLD_915cb31bb4224f868e630c1166a0d717"/>
                <w:id w:val="-1329286731"/>
                <w:lock w:val="sdtLocked"/>
              </w:sdtPr>
              <w:sdtEndPr/>
              <w:sdtContent>
                <w:tc>
                  <w:tcPr>
                    <w:tcW w:w="1204" w:type="pct"/>
                    <w:shd w:val="clear" w:color="auto" w:fill="auto"/>
                    <w:vAlign w:val="center"/>
                  </w:tcPr>
                  <w:p w14:paraId="06BF0B77" w14:textId="77777777" w:rsidR="007E7472" w:rsidRDefault="00EC1269">
                    <w:pPr>
                      <w:ind w:firstLineChars="200" w:firstLine="420"/>
                    </w:pPr>
                    <w:r>
                      <w:rPr>
                        <w:rFonts w:hint="eastAsia"/>
                      </w:rPr>
                      <w:t>3.本期减少金额</w:t>
                    </w:r>
                  </w:p>
                </w:tc>
              </w:sdtContent>
            </w:sdt>
            <w:tc>
              <w:tcPr>
                <w:tcW w:w="480" w:type="pct"/>
                <w:shd w:val="clear" w:color="auto" w:fill="auto"/>
                <w:vAlign w:val="center"/>
              </w:tcPr>
              <w:p w14:paraId="6A277E57" w14:textId="77777777" w:rsidR="007E7472" w:rsidRDefault="00C8327E">
                <w:pPr>
                  <w:jc w:val="right"/>
                </w:pPr>
              </w:p>
            </w:tc>
            <w:tc>
              <w:tcPr>
                <w:tcW w:w="461" w:type="pct"/>
                <w:shd w:val="clear" w:color="auto" w:fill="auto"/>
                <w:vAlign w:val="center"/>
              </w:tcPr>
              <w:p w14:paraId="0826AC98" w14:textId="77777777" w:rsidR="007E7472" w:rsidRDefault="00C8327E">
                <w:pPr>
                  <w:jc w:val="right"/>
                </w:pPr>
              </w:p>
            </w:tc>
            <w:tc>
              <w:tcPr>
                <w:tcW w:w="464" w:type="pct"/>
                <w:shd w:val="clear" w:color="auto" w:fill="auto"/>
                <w:vAlign w:val="center"/>
              </w:tcPr>
              <w:p w14:paraId="4EB806A7" w14:textId="77777777" w:rsidR="007E7472" w:rsidRDefault="00EC1269">
                <w:pPr>
                  <w:jc w:val="right"/>
                </w:pPr>
                <w:r>
                  <w:rPr>
                    <w:rFonts w:hint="eastAsia"/>
                  </w:rPr>
                  <w:t>1,544</w:t>
                </w:r>
              </w:p>
            </w:tc>
            <w:tc>
              <w:tcPr>
                <w:tcW w:w="446" w:type="pct"/>
                <w:shd w:val="clear" w:color="auto" w:fill="auto"/>
                <w:vAlign w:val="center"/>
              </w:tcPr>
              <w:p w14:paraId="04E420CB" w14:textId="77777777" w:rsidR="007E7472" w:rsidRDefault="00C8327E">
                <w:pPr>
                  <w:jc w:val="right"/>
                </w:pPr>
              </w:p>
            </w:tc>
            <w:tc>
              <w:tcPr>
                <w:tcW w:w="446" w:type="pct"/>
                <w:shd w:val="clear" w:color="auto" w:fill="auto"/>
                <w:vAlign w:val="center"/>
              </w:tcPr>
              <w:p w14:paraId="3ECAC358" w14:textId="77777777" w:rsidR="007E7472" w:rsidRDefault="00C8327E">
                <w:pPr>
                  <w:jc w:val="right"/>
                </w:pPr>
              </w:p>
            </w:tc>
            <w:tc>
              <w:tcPr>
                <w:tcW w:w="446" w:type="pct"/>
                <w:shd w:val="clear" w:color="auto" w:fill="auto"/>
                <w:vAlign w:val="center"/>
              </w:tcPr>
              <w:p w14:paraId="03B4D845" w14:textId="77777777" w:rsidR="007E7472" w:rsidRDefault="00C8327E">
                <w:pPr>
                  <w:jc w:val="right"/>
                </w:pPr>
              </w:p>
            </w:tc>
            <w:tc>
              <w:tcPr>
                <w:tcW w:w="503" w:type="pct"/>
                <w:shd w:val="clear" w:color="auto" w:fill="auto"/>
                <w:vAlign w:val="center"/>
              </w:tcPr>
              <w:p w14:paraId="4BD9859D" w14:textId="15E04A23" w:rsidR="007E7472" w:rsidRDefault="00913748">
                <w:pPr>
                  <w:jc w:val="right"/>
                </w:pPr>
                <w:r w:rsidRPr="00672D76">
                  <w:t>398</w:t>
                </w:r>
              </w:p>
            </w:tc>
            <w:tc>
              <w:tcPr>
                <w:tcW w:w="550" w:type="pct"/>
                <w:shd w:val="clear" w:color="auto" w:fill="auto"/>
                <w:vAlign w:val="center"/>
              </w:tcPr>
              <w:p w14:paraId="72E7BADD" w14:textId="2D45B549" w:rsidR="007E7472" w:rsidRDefault="00913748">
                <w:pPr>
                  <w:jc w:val="right"/>
                </w:pPr>
                <w:r w:rsidRPr="00672D76">
                  <w:t>1,942</w:t>
                </w:r>
              </w:p>
            </w:tc>
          </w:tr>
          <w:tr w:rsidR="007E7472" w14:paraId="0F60DFC1" w14:textId="77777777" w:rsidTr="007E7472">
            <w:trPr>
              <w:trHeight w:val="340"/>
            </w:trPr>
            <w:sdt>
              <w:sdtPr>
                <w:rPr>
                  <w:rFonts w:hint="eastAsia"/>
                </w:rPr>
                <w:tag w:val="_PLD_0d3cdfa6a81e4a8ab3796288b6ac246d"/>
                <w:id w:val="-973287931"/>
                <w:lock w:val="sdtLocked"/>
              </w:sdtPr>
              <w:sdtEndPr/>
              <w:sdtContent>
                <w:tc>
                  <w:tcPr>
                    <w:tcW w:w="1204" w:type="pct"/>
                    <w:shd w:val="clear" w:color="auto" w:fill="auto"/>
                    <w:vAlign w:val="center"/>
                  </w:tcPr>
                  <w:p w14:paraId="633338C7" w14:textId="77777777" w:rsidR="007E7472" w:rsidRDefault="00EC1269">
                    <w:pPr>
                      <w:ind w:firstLineChars="300" w:firstLine="630"/>
                    </w:pPr>
                    <w:r>
                      <w:rPr>
                        <w:rFonts w:hint="eastAsia"/>
                      </w:rPr>
                      <w:t>（1）处置</w:t>
                    </w:r>
                  </w:p>
                </w:tc>
              </w:sdtContent>
            </w:sdt>
            <w:tc>
              <w:tcPr>
                <w:tcW w:w="480" w:type="pct"/>
                <w:shd w:val="clear" w:color="auto" w:fill="auto"/>
                <w:vAlign w:val="center"/>
              </w:tcPr>
              <w:p w14:paraId="3F160D0D" w14:textId="77777777" w:rsidR="007E7472" w:rsidRDefault="00C8327E">
                <w:pPr>
                  <w:jc w:val="right"/>
                </w:pPr>
              </w:p>
            </w:tc>
            <w:tc>
              <w:tcPr>
                <w:tcW w:w="461" w:type="pct"/>
                <w:shd w:val="clear" w:color="auto" w:fill="auto"/>
                <w:vAlign w:val="center"/>
              </w:tcPr>
              <w:p w14:paraId="4BFF6EA2" w14:textId="77777777" w:rsidR="007E7472" w:rsidRDefault="00C8327E">
                <w:pPr>
                  <w:jc w:val="right"/>
                </w:pPr>
              </w:p>
            </w:tc>
            <w:tc>
              <w:tcPr>
                <w:tcW w:w="464" w:type="pct"/>
                <w:shd w:val="clear" w:color="auto" w:fill="auto"/>
                <w:vAlign w:val="center"/>
              </w:tcPr>
              <w:p w14:paraId="21441E8F" w14:textId="77777777" w:rsidR="007E7472" w:rsidRDefault="00EC1269">
                <w:pPr>
                  <w:jc w:val="right"/>
                </w:pPr>
                <w:r>
                  <w:rPr>
                    <w:rFonts w:hint="eastAsia"/>
                  </w:rPr>
                  <w:t>1,544</w:t>
                </w:r>
              </w:p>
            </w:tc>
            <w:tc>
              <w:tcPr>
                <w:tcW w:w="446" w:type="pct"/>
                <w:shd w:val="clear" w:color="auto" w:fill="auto"/>
                <w:vAlign w:val="center"/>
              </w:tcPr>
              <w:p w14:paraId="4D552865" w14:textId="77777777" w:rsidR="007E7472" w:rsidRDefault="00C8327E">
                <w:pPr>
                  <w:jc w:val="right"/>
                </w:pPr>
              </w:p>
            </w:tc>
            <w:tc>
              <w:tcPr>
                <w:tcW w:w="446" w:type="pct"/>
                <w:shd w:val="clear" w:color="auto" w:fill="auto"/>
                <w:vAlign w:val="center"/>
              </w:tcPr>
              <w:p w14:paraId="56FB795D" w14:textId="77777777" w:rsidR="007E7472" w:rsidRDefault="00C8327E">
                <w:pPr>
                  <w:jc w:val="right"/>
                </w:pPr>
              </w:p>
            </w:tc>
            <w:tc>
              <w:tcPr>
                <w:tcW w:w="446" w:type="pct"/>
                <w:shd w:val="clear" w:color="auto" w:fill="auto"/>
                <w:vAlign w:val="center"/>
              </w:tcPr>
              <w:p w14:paraId="086BDA5A" w14:textId="77777777" w:rsidR="007E7472" w:rsidRDefault="00C8327E">
                <w:pPr>
                  <w:jc w:val="right"/>
                </w:pPr>
              </w:p>
            </w:tc>
            <w:tc>
              <w:tcPr>
                <w:tcW w:w="503" w:type="pct"/>
                <w:shd w:val="clear" w:color="auto" w:fill="auto"/>
                <w:vAlign w:val="center"/>
              </w:tcPr>
              <w:p w14:paraId="2CA461F3" w14:textId="77777777" w:rsidR="007E7472" w:rsidRDefault="00EC1269">
                <w:pPr>
                  <w:jc w:val="right"/>
                </w:pPr>
                <w:r>
                  <w:rPr>
                    <w:rFonts w:hint="eastAsia"/>
                  </w:rPr>
                  <w:t>398</w:t>
                </w:r>
              </w:p>
            </w:tc>
            <w:tc>
              <w:tcPr>
                <w:tcW w:w="550" w:type="pct"/>
                <w:shd w:val="clear" w:color="auto" w:fill="auto"/>
                <w:vAlign w:val="center"/>
              </w:tcPr>
              <w:p w14:paraId="394E640C" w14:textId="77777777" w:rsidR="007E7472" w:rsidRDefault="00EC1269">
                <w:pPr>
                  <w:jc w:val="right"/>
                </w:pPr>
                <w:r>
                  <w:rPr>
                    <w:rFonts w:hint="eastAsia"/>
                  </w:rPr>
                  <w:t>1,942</w:t>
                </w:r>
              </w:p>
            </w:tc>
          </w:tr>
          <w:tr w:rsidR="007E7472" w14:paraId="5716C5FA" w14:textId="77777777" w:rsidTr="007E7472">
            <w:trPr>
              <w:trHeight w:val="340"/>
            </w:trPr>
            <w:sdt>
              <w:sdtPr>
                <w:rPr>
                  <w:rFonts w:hint="eastAsia"/>
                </w:rPr>
                <w:alias w:val="无形资产累计摊销增加项目名称"/>
                <w:tag w:val="_GBC_4c50300c8d7948e29642049bd51cde3e"/>
                <w:id w:val="-185995142"/>
                <w:lock w:val="sdtLocked"/>
              </w:sdtPr>
              <w:sdtEndPr/>
              <w:sdtContent>
                <w:tc>
                  <w:tcPr>
                    <w:tcW w:w="1204" w:type="pct"/>
                    <w:tcBorders>
                      <w:bottom w:val="single" w:sz="4" w:space="0" w:color="auto"/>
                    </w:tcBorders>
                    <w:shd w:val="clear" w:color="auto" w:fill="auto"/>
                    <w:vAlign w:val="center"/>
                  </w:tcPr>
                  <w:p w14:paraId="3B0577E6" w14:textId="77777777" w:rsidR="007E7472" w:rsidRDefault="00EC1269">
                    <w:pPr>
                      <w:ind w:firstLineChars="200" w:firstLine="420"/>
                    </w:pPr>
                    <w:r>
                      <w:rPr>
                        <w:rFonts w:hint="eastAsia"/>
                      </w:rPr>
                      <w:t>4.外币报表折算差额</w:t>
                    </w:r>
                  </w:p>
                </w:tc>
              </w:sdtContent>
            </w:sdt>
            <w:sdt>
              <w:sdtPr>
                <w:rPr>
                  <w:rFonts w:hint="eastAsia"/>
                </w:rPr>
                <w:alias w:val="无形资产累计摊销增加项目金额"/>
                <w:tag w:val="_GBC_be793f363ede4d81a059f7c3f73d8e7c"/>
                <w:id w:val="-137412750"/>
                <w:lock w:val="sdtLocked"/>
              </w:sdtPr>
              <w:sdtEndPr/>
              <w:sdtContent>
                <w:tc>
                  <w:tcPr>
                    <w:tcW w:w="480" w:type="pct"/>
                    <w:shd w:val="clear" w:color="auto" w:fill="auto"/>
                    <w:vAlign w:val="center"/>
                  </w:tcPr>
                  <w:p w14:paraId="5BD58BA5" w14:textId="77777777" w:rsidR="007E7472" w:rsidRDefault="00EC1269">
                    <w:pPr>
                      <w:jc w:val="right"/>
                    </w:pPr>
                    <w:r>
                      <w:rPr>
                        <w:rFonts w:hint="eastAsia"/>
                      </w:rPr>
                      <w:t>202,711</w:t>
                    </w:r>
                  </w:p>
                </w:tc>
              </w:sdtContent>
            </w:sdt>
            <w:sdt>
              <w:sdtPr>
                <w:rPr>
                  <w:rFonts w:hint="eastAsia"/>
                </w:rPr>
                <w:alias w:val="无形资产累计摊销增加项目金额"/>
                <w:tag w:val="_GBC_be793f363ede4d81a059f7c3f73d8e7c"/>
                <w:id w:val="1527898856"/>
                <w:lock w:val="sdtLocked"/>
              </w:sdtPr>
              <w:sdtEndPr/>
              <w:sdtContent>
                <w:tc>
                  <w:tcPr>
                    <w:tcW w:w="461" w:type="pct"/>
                    <w:shd w:val="clear" w:color="auto" w:fill="auto"/>
                    <w:vAlign w:val="center"/>
                  </w:tcPr>
                  <w:p w14:paraId="2A5B11A8" w14:textId="77777777" w:rsidR="007E7472" w:rsidRDefault="00C8327E">
                    <w:pPr>
                      <w:jc w:val="right"/>
                    </w:pPr>
                  </w:p>
                </w:tc>
              </w:sdtContent>
            </w:sdt>
            <w:sdt>
              <w:sdtPr>
                <w:rPr>
                  <w:rFonts w:hint="eastAsia"/>
                </w:rPr>
                <w:alias w:val="无形资产土地使用权累计摊销增加项目金额"/>
                <w:tag w:val="_GBC_6f3b78a39f1f45348d4b4dcd0d2b0569"/>
                <w:id w:val="957153458"/>
                <w:lock w:val="sdtLocked"/>
              </w:sdtPr>
              <w:sdtEndPr/>
              <w:sdtContent>
                <w:tc>
                  <w:tcPr>
                    <w:tcW w:w="464" w:type="pct"/>
                    <w:shd w:val="clear" w:color="auto" w:fill="auto"/>
                    <w:vAlign w:val="center"/>
                  </w:tcPr>
                  <w:p w14:paraId="02C13646" w14:textId="77777777" w:rsidR="007E7472" w:rsidRDefault="00EC1269">
                    <w:pPr>
                      <w:jc w:val="right"/>
                    </w:pPr>
                    <w:r>
                      <w:rPr>
                        <w:rFonts w:hint="eastAsia"/>
                      </w:rPr>
                      <w:t>563</w:t>
                    </w:r>
                  </w:p>
                </w:tc>
              </w:sdtContent>
            </w:sdt>
            <w:sdt>
              <w:sdtPr>
                <w:rPr>
                  <w:rFonts w:hint="eastAsia"/>
                </w:rPr>
                <w:alias w:val="无形资产累计摊销增加项目金额"/>
                <w:tag w:val="_GBC_be793f363ede4d81a059f7c3f73d8e7c"/>
                <w:id w:val="-14693713"/>
                <w:lock w:val="sdtLocked"/>
                <w:showingPlcHdr/>
              </w:sdtPr>
              <w:sdtEndPr/>
              <w:sdtContent>
                <w:tc>
                  <w:tcPr>
                    <w:tcW w:w="446" w:type="pct"/>
                    <w:shd w:val="clear" w:color="auto" w:fill="auto"/>
                    <w:vAlign w:val="center"/>
                  </w:tcPr>
                  <w:p w14:paraId="494BBF8B" w14:textId="77777777" w:rsidR="007E7472" w:rsidRDefault="00C8327E">
                    <w:pPr>
                      <w:jc w:val="right"/>
                    </w:pPr>
                  </w:p>
                </w:tc>
              </w:sdtContent>
            </w:sdt>
            <w:sdt>
              <w:sdtPr>
                <w:rPr>
                  <w:rFonts w:hint="eastAsia"/>
                </w:rPr>
                <w:alias w:val="无形资产累计摊销增加项目金额"/>
                <w:tag w:val="_GBC_be793f363ede4d81a059f7c3f73d8e7c"/>
                <w:id w:val="-106661400"/>
                <w:lock w:val="sdtLocked"/>
              </w:sdtPr>
              <w:sdtEndPr/>
              <w:sdtContent>
                <w:tc>
                  <w:tcPr>
                    <w:tcW w:w="446" w:type="pct"/>
                    <w:shd w:val="clear" w:color="auto" w:fill="auto"/>
                    <w:vAlign w:val="center"/>
                  </w:tcPr>
                  <w:p w14:paraId="7A002677" w14:textId="77777777" w:rsidR="007E7472" w:rsidRDefault="00C8327E">
                    <w:pPr>
                      <w:jc w:val="right"/>
                    </w:pPr>
                  </w:p>
                </w:tc>
              </w:sdtContent>
            </w:sdt>
            <w:sdt>
              <w:sdtPr>
                <w:rPr>
                  <w:rFonts w:hint="eastAsia"/>
                </w:rPr>
                <w:alias w:val="无形资产累计摊销增加项目金额"/>
                <w:tag w:val="_GBC_be793f363ede4d81a059f7c3f73d8e7c"/>
                <w:id w:val="624053285"/>
                <w:lock w:val="sdtLocked"/>
              </w:sdtPr>
              <w:sdtEndPr/>
              <w:sdtContent>
                <w:tc>
                  <w:tcPr>
                    <w:tcW w:w="446" w:type="pct"/>
                    <w:shd w:val="clear" w:color="auto" w:fill="auto"/>
                    <w:vAlign w:val="center"/>
                  </w:tcPr>
                  <w:p w14:paraId="72D09472" w14:textId="77777777" w:rsidR="007E7472" w:rsidRDefault="00C8327E">
                    <w:pPr>
                      <w:jc w:val="right"/>
                    </w:pPr>
                  </w:p>
                </w:tc>
              </w:sdtContent>
            </w:sdt>
            <w:sdt>
              <w:sdtPr>
                <w:rPr>
                  <w:rFonts w:hint="eastAsia"/>
                </w:rPr>
                <w:alias w:val="无形资产累计摊销增加项目金额"/>
                <w:tag w:val="_GBC_be793f363ede4d81a059f7c3f73d8e7c"/>
                <w:id w:val="-1975826472"/>
                <w:lock w:val="sdtLocked"/>
              </w:sdtPr>
              <w:sdtEndPr/>
              <w:sdtContent>
                <w:tc>
                  <w:tcPr>
                    <w:tcW w:w="503" w:type="pct"/>
                    <w:shd w:val="clear" w:color="auto" w:fill="auto"/>
                    <w:vAlign w:val="center"/>
                  </w:tcPr>
                  <w:p w14:paraId="46DBC4F0" w14:textId="77777777" w:rsidR="007E7472" w:rsidRDefault="00EC1269">
                    <w:pPr>
                      <w:jc w:val="right"/>
                    </w:pPr>
                    <w:r>
                      <w:rPr>
                        <w:rFonts w:hint="eastAsia"/>
                      </w:rPr>
                      <w:t>2,827</w:t>
                    </w:r>
                  </w:p>
                </w:tc>
              </w:sdtContent>
            </w:sdt>
            <w:sdt>
              <w:sdtPr>
                <w:rPr>
                  <w:rFonts w:hint="eastAsia"/>
                </w:rPr>
                <w:alias w:val="无形资产累计摊销增加项目合计金额"/>
                <w:tag w:val="_GBC_2786960157f34a39a4cf247d142f7392"/>
                <w:id w:val="-1889950681"/>
                <w:lock w:val="sdtLocked"/>
              </w:sdtPr>
              <w:sdtEndPr/>
              <w:sdtContent>
                <w:tc>
                  <w:tcPr>
                    <w:tcW w:w="550" w:type="pct"/>
                    <w:shd w:val="clear" w:color="auto" w:fill="auto"/>
                    <w:vAlign w:val="center"/>
                  </w:tcPr>
                  <w:p w14:paraId="781EF7D6" w14:textId="77777777" w:rsidR="007E7472" w:rsidRDefault="00EC1269">
                    <w:pPr>
                      <w:jc w:val="right"/>
                    </w:pPr>
                    <w:r>
                      <w:rPr>
                        <w:rFonts w:hint="eastAsia"/>
                      </w:rPr>
                      <w:t>206,101</w:t>
                    </w:r>
                  </w:p>
                </w:tc>
              </w:sdtContent>
            </w:sdt>
          </w:tr>
          <w:tr w:rsidR="007E7472" w14:paraId="71475379" w14:textId="77777777" w:rsidTr="007E7472">
            <w:trPr>
              <w:trHeight w:val="340"/>
            </w:trPr>
            <w:sdt>
              <w:sdtPr>
                <w:rPr>
                  <w:rFonts w:hint="eastAsia"/>
                </w:rPr>
                <w:tag w:val="_PLD_6b52e77de021464b99b9a2d55cb6dc5b"/>
                <w:id w:val="-977297171"/>
                <w:lock w:val="sdtLocked"/>
              </w:sdtPr>
              <w:sdtEndPr/>
              <w:sdtContent>
                <w:tc>
                  <w:tcPr>
                    <w:tcW w:w="1204" w:type="pct"/>
                    <w:shd w:val="clear" w:color="auto" w:fill="auto"/>
                    <w:vAlign w:val="center"/>
                  </w:tcPr>
                  <w:p w14:paraId="1FB5DDC4" w14:textId="77777777" w:rsidR="007E7472" w:rsidRDefault="00913748" w:rsidP="007E7472">
                    <w:pPr>
                      <w:ind w:firstLineChars="200" w:firstLine="420"/>
                    </w:pPr>
                    <w:r>
                      <w:rPr>
                        <w:rFonts w:hint="eastAsia"/>
                      </w:rPr>
                      <w:t>5.期末余额</w:t>
                    </w:r>
                  </w:p>
                </w:tc>
              </w:sdtContent>
            </w:sdt>
            <w:tc>
              <w:tcPr>
                <w:tcW w:w="480" w:type="pct"/>
                <w:shd w:val="clear" w:color="auto" w:fill="auto"/>
                <w:vAlign w:val="center"/>
              </w:tcPr>
              <w:p w14:paraId="1F0968CB" w14:textId="77777777" w:rsidR="007E7472" w:rsidRDefault="00913748" w:rsidP="007E7472">
                <w:pPr>
                  <w:jc w:val="right"/>
                </w:pPr>
                <w:r>
                  <w:rPr>
                    <w:rFonts w:hint="eastAsia"/>
                  </w:rPr>
                  <w:t>18,876,739</w:t>
                </w:r>
              </w:p>
            </w:tc>
            <w:tc>
              <w:tcPr>
                <w:tcW w:w="461" w:type="pct"/>
                <w:shd w:val="clear" w:color="auto" w:fill="auto"/>
                <w:vAlign w:val="center"/>
              </w:tcPr>
              <w:p w14:paraId="4705FD40" w14:textId="77777777" w:rsidR="007E7472" w:rsidRDefault="00C8327E" w:rsidP="007E7472">
                <w:pPr>
                  <w:jc w:val="right"/>
                </w:pPr>
              </w:p>
            </w:tc>
            <w:tc>
              <w:tcPr>
                <w:tcW w:w="464" w:type="pct"/>
                <w:shd w:val="clear" w:color="auto" w:fill="auto"/>
                <w:vAlign w:val="center"/>
              </w:tcPr>
              <w:p w14:paraId="4BD1615B" w14:textId="77777777" w:rsidR="007E7472" w:rsidRDefault="00913748" w:rsidP="007E7472">
                <w:pPr>
                  <w:jc w:val="right"/>
                </w:pPr>
                <w:r>
                  <w:rPr>
                    <w:rFonts w:hint="eastAsia"/>
                  </w:rPr>
                  <w:t>662,875</w:t>
                </w:r>
              </w:p>
            </w:tc>
            <w:tc>
              <w:tcPr>
                <w:tcW w:w="446" w:type="pct"/>
                <w:shd w:val="clear" w:color="auto" w:fill="auto"/>
                <w:vAlign w:val="center"/>
              </w:tcPr>
              <w:p w14:paraId="3A90C97C" w14:textId="77777777" w:rsidR="007E7472" w:rsidRDefault="00913748" w:rsidP="007E7472">
                <w:pPr>
                  <w:jc w:val="right"/>
                </w:pPr>
                <w:r>
                  <w:rPr>
                    <w:rFonts w:hint="eastAsia"/>
                  </w:rPr>
                  <w:t>736,325</w:t>
                </w:r>
              </w:p>
            </w:tc>
            <w:tc>
              <w:tcPr>
                <w:tcW w:w="446" w:type="pct"/>
                <w:shd w:val="clear" w:color="auto" w:fill="auto"/>
                <w:vAlign w:val="center"/>
              </w:tcPr>
              <w:p w14:paraId="5F8E6353" w14:textId="77777777" w:rsidR="007E7472" w:rsidRDefault="00913748" w:rsidP="007E7472">
                <w:pPr>
                  <w:jc w:val="right"/>
                </w:pPr>
                <w:r>
                  <w:rPr>
                    <w:rFonts w:hint="eastAsia"/>
                  </w:rPr>
                  <w:t>48,506</w:t>
                </w:r>
              </w:p>
            </w:tc>
            <w:tc>
              <w:tcPr>
                <w:tcW w:w="446" w:type="pct"/>
                <w:shd w:val="clear" w:color="auto" w:fill="auto"/>
                <w:vAlign w:val="center"/>
              </w:tcPr>
              <w:p w14:paraId="748559B7" w14:textId="3C7D62A2" w:rsidR="007E7472" w:rsidRDefault="00913748" w:rsidP="007E7472">
                <w:pPr>
                  <w:jc w:val="right"/>
                </w:pPr>
                <w:r>
                  <w:t>289,116</w:t>
                </w:r>
              </w:p>
            </w:tc>
            <w:tc>
              <w:tcPr>
                <w:tcW w:w="503" w:type="pct"/>
                <w:shd w:val="clear" w:color="auto" w:fill="auto"/>
                <w:vAlign w:val="center"/>
              </w:tcPr>
              <w:p w14:paraId="3ACFB745" w14:textId="29357E35" w:rsidR="007E7472" w:rsidRDefault="00913748" w:rsidP="007E7472">
                <w:pPr>
                  <w:jc w:val="right"/>
                </w:pPr>
                <w:r>
                  <w:t>191,172</w:t>
                </w:r>
              </w:p>
            </w:tc>
            <w:tc>
              <w:tcPr>
                <w:tcW w:w="550" w:type="pct"/>
                <w:shd w:val="clear" w:color="auto" w:fill="auto"/>
                <w:vAlign w:val="center"/>
              </w:tcPr>
              <w:p w14:paraId="4DB69A39" w14:textId="77777777" w:rsidR="007E7472" w:rsidRDefault="00913748" w:rsidP="007E7472">
                <w:pPr>
                  <w:jc w:val="right"/>
                </w:pPr>
                <w:r>
                  <w:rPr>
                    <w:rFonts w:hint="eastAsia"/>
                  </w:rPr>
                  <w:t>20,804,733</w:t>
                </w:r>
              </w:p>
            </w:tc>
          </w:tr>
          <w:tr w:rsidR="007E7472" w14:paraId="16E9E75B" w14:textId="77777777" w:rsidTr="007E7472">
            <w:trPr>
              <w:trHeight w:val="340"/>
            </w:trPr>
            <w:sdt>
              <w:sdtPr>
                <w:rPr>
                  <w:rFonts w:hint="eastAsia"/>
                </w:rPr>
                <w:tag w:val="_PLD_100d3bc56cc142c1b30c3998528f8af2"/>
                <w:id w:val="400096140"/>
                <w:lock w:val="sdtLocked"/>
              </w:sdtPr>
              <w:sdtEndPr/>
              <w:sdtContent>
                <w:tc>
                  <w:tcPr>
                    <w:tcW w:w="5000" w:type="pct"/>
                    <w:gridSpan w:val="9"/>
                    <w:shd w:val="clear" w:color="auto" w:fill="auto"/>
                    <w:vAlign w:val="center"/>
                  </w:tcPr>
                  <w:p w14:paraId="585A2FD5" w14:textId="77777777" w:rsidR="007E7472" w:rsidRDefault="00EC1269">
                    <w:r>
                      <w:rPr>
                        <w:rFonts w:hint="eastAsia"/>
                      </w:rPr>
                      <w:t>三、减值准备</w:t>
                    </w:r>
                  </w:p>
                </w:tc>
              </w:sdtContent>
            </w:sdt>
          </w:tr>
          <w:tr w:rsidR="007E7472" w14:paraId="6F1B30D3" w14:textId="77777777" w:rsidTr="007E7472">
            <w:trPr>
              <w:trHeight w:val="340"/>
            </w:trPr>
            <w:sdt>
              <w:sdtPr>
                <w:rPr>
                  <w:rFonts w:hint="eastAsia"/>
                </w:rPr>
                <w:tag w:val="_PLD_420f955ca82e4f579c5533e44e7054ff"/>
                <w:id w:val="-1555769062"/>
                <w:lock w:val="sdtLocked"/>
              </w:sdtPr>
              <w:sdtEndPr/>
              <w:sdtContent>
                <w:tc>
                  <w:tcPr>
                    <w:tcW w:w="1204" w:type="pct"/>
                    <w:shd w:val="clear" w:color="auto" w:fill="auto"/>
                    <w:vAlign w:val="center"/>
                  </w:tcPr>
                  <w:p w14:paraId="265D53E5" w14:textId="77777777" w:rsidR="007E7472" w:rsidRDefault="00EC1269">
                    <w:pPr>
                      <w:ind w:firstLineChars="200" w:firstLine="420"/>
                    </w:pPr>
                    <w:r>
                      <w:rPr>
                        <w:rFonts w:hint="eastAsia"/>
                      </w:rPr>
                      <w:t>1.期初余额</w:t>
                    </w:r>
                  </w:p>
                </w:tc>
              </w:sdtContent>
            </w:sdt>
            <w:tc>
              <w:tcPr>
                <w:tcW w:w="480" w:type="pct"/>
                <w:shd w:val="clear" w:color="auto" w:fill="auto"/>
                <w:vAlign w:val="center"/>
              </w:tcPr>
              <w:p w14:paraId="656836C1" w14:textId="77777777" w:rsidR="007E7472" w:rsidRDefault="00EC1269">
                <w:pPr>
                  <w:jc w:val="right"/>
                </w:pPr>
                <w:r>
                  <w:rPr>
                    <w:rFonts w:hint="eastAsia"/>
                  </w:rPr>
                  <w:t>3,241,608</w:t>
                </w:r>
              </w:p>
            </w:tc>
            <w:tc>
              <w:tcPr>
                <w:tcW w:w="461" w:type="pct"/>
                <w:shd w:val="clear" w:color="auto" w:fill="auto"/>
                <w:vAlign w:val="center"/>
              </w:tcPr>
              <w:p w14:paraId="6A097DA7" w14:textId="77777777" w:rsidR="007E7472" w:rsidRDefault="00C8327E">
                <w:pPr>
                  <w:jc w:val="right"/>
                </w:pPr>
              </w:p>
            </w:tc>
            <w:tc>
              <w:tcPr>
                <w:tcW w:w="464" w:type="pct"/>
                <w:shd w:val="clear" w:color="auto" w:fill="auto"/>
                <w:vAlign w:val="center"/>
              </w:tcPr>
              <w:p w14:paraId="09264CF5" w14:textId="77777777" w:rsidR="007E7472" w:rsidRDefault="00EC1269">
                <w:pPr>
                  <w:jc w:val="right"/>
                </w:pPr>
                <w:r>
                  <w:rPr>
                    <w:rFonts w:hint="eastAsia"/>
                  </w:rPr>
                  <w:t>2,517</w:t>
                </w:r>
              </w:p>
            </w:tc>
            <w:tc>
              <w:tcPr>
                <w:tcW w:w="446" w:type="pct"/>
                <w:shd w:val="clear" w:color="auto" w:fill="auto"/>
                <w:vAlign w:val="center"/>
              </w:tcPr>
              <w:p w14:paraId="1D630BF4" w14:textId="77777777" w:rsidR="007E7472" w:rsidRDefault="00EC1269">
                <w:pPr>
                  <w:jc w:val="right"/>
                </w:pPr>
                <w:r>
                  <w:rPr>
                    <w:rFonts w:hint="eastAsia"/>
                  </w:rPr>
                  <w:t>127,165</w:t>
                </w:r>
              </w:p>
            </w:tc>
            <w:tc>
              <w:tcPr>
                <w:tcW w:w="446" w:type="pct"/>
                <w:shd w:val="clear" w:color="auto" w:fill="auto"/>
                <w:vAlign w:val="center"/>
              </w:tcPr>
              <w:p w14:paraId="7BCE44E9" w14:textId="77777777" w:rsidR="007E7472" w:rsidRDefault="00EC1269">
                <w:pPr>
                  <w:jc w:val="right"/>
                </w:pPr>
                <w:r>
                  <w:rPr>
                    <w:rFonts w:hint="eastAsia"/>
                  </w:rPr>
                  <w:t>26,397</w:t>
                </w:r>
              </w:p>
            </w:tc>
            <w:tc>
              <w:tcPr>
                <w:tcW w:w="446" w:type="pct"/>
                <w:shd w:val="clear" w:color="auto" w:fill="auto"/>
                <w:vAlign w:val="center"/>
              </w:tcPr>
              <w:p w14:paraId="3336A478" w14:textId="77777777" w:rsidR="007E7472" w:rsidRDefault="00C8327E">
                <w:pPr>
                  <w:jc w:val="right"/>
                </w:pPr>
              </w:p>
            </w:tc>
            <w:tc>
              <w:tcPr>
                <w:tcW w:w="503" w:type="pct"/>
                <w:shd w:val="clear" w:color="auto" w:fill="auto"/>
                <w:vAlign w:val="center"/>
              </w:tcPr>
              <w:p w14:paraId="525052F4" w14:textId="77777777" w:rsidR="007E7472" w:rsidRDefault="00EC1269">
                <w:pPr>
                  <w:jc w:val="right"/>
                </w:pPr>
                <w:r>
                  <w:rPr>
                    <w:rFonts w:hint="eastAsia"/>
                  </w:rPr>
                  <w:t>835</w:t>
                </w:r>
              </w:p>
            </w:tc>
            <w:tc>
              <w:tcPr>
                <w:tcW w:w="550" w:type="pct"/>
                <w:shd w:val="clear" w:color="auto" w:fill="auto"/>
                <w:vAlign w:val="center"/>
              </w:tcPr>
              <w:p w14:paraId="6E8B3FCB" w14:textId="77777777" w:rsidR="007E7472" w:rsidRDefault="00EC1269">
                <w:pPr>
                  <w:jc w:val="right"/>
                </w:pPr>
                <w:r>
                  <w:rPr>
                    <w:rFonts w:hint="eastAsia"/>
                  </w:rPr>
                  <w:t>3,398,522</w:t>
                </w:r>
              </w:p>
            </w:tc>
          </w:tr>
          <w:tr w:rsidR="007E7472" w14:paraId="36FA4283" w14:textId="77777777" w:rsidTr="007E7472">
            <w:trPr>
              <w:trHeight w:val="340"/>
            </w:trPr>
            <w:sdt>
              <w:sdtPr>
                <w:rPr>
                  <w:rFonts w:hint="eastAsia"/>
                </w:rPr>
                <w:tag w:val="_PLD_7efb2ccf9b504b529547ebac5b8ce675"/>
                <w:id w:val="486749863"/>
                <w:lock w:val="sdtLocked"/>
              </w:sdtPr>
              <w:sdtEndPr/>
              <w:sdtContent>
                <w:tc>
                  <w:tcPr>
                    <w:tcW w:w="1204" w:type="pct"/>
                    <w:shd w:val="clear" w:color="auto" w:fill="auto"/>
                    <w:vAlign w:val="center"/>
                  </w:tcPr>
                  <w:p w14:paraId="012D0604" w14:textId="77777777" w:rsidR="007E7472" w:rsidRDefault="00EC1269">
                    <w:pPr>
                      <w:ind w:firstLineChars="200" w:firstLine="420"/>
                    </w:pPr>
                    <w:r>
                      <w:rPr>
                        <w:rFonts w:hint="eastAsia"/>
                      </w:rPr>
                      <w:t>2.本期增加金额</w:t>
                    </w:r>
                  </w:p>
                </w:tc>
              </w:sdtContent>
            </w:sdt>
            <w:tc>
              <w:tcPr>
                <w:tcW w:w="480" w:type="pct"/>
                <w:shd w:val="clear" w:color="auto" w:fill="auto"/>
                <w:vAlign w:val="center"/>
              </w:tcPr>
              <w:p w14:paraId="374C8891" w14:textId="77777777" w:rsidR="007E7472" w:rsidRDefault="00C8327E">
                <w:pPr>
                  <w:jc w:val="right"/>
                </w:pPr>
              </w:p>
            </w:tc>
            <w:tc>
              <w:tcPr>
                <w:tcW w:w="461" w:type="pct"/>
                <w:shd w:val="clear" w:color="auto" w:fill="auto"/>
                <w:vAlign w:val="center"/>
              </w:tcPr>
              <w:p w14:paraId="0E1FF69A" w14:textId="77777777" w:rsidR="007E7472" w:rsidRDefault="00C8327E">
                <w:pPr>
                  <w:jc w:val="right"/>
                </w:pPr>
              </w:p>
            </w:tc>
            <w:tc>
              <w:tcPr>
                <w:tcW w:w="464" w:type="pct"/>
                <w:shd w:val="clear" w:color="auto" w:fill="auto"/>
                <w:vAlign w:val="center"/>
              </w:tcPr>
              <w:p w14:paraId="7B441B4D" w14:textId="77777777" w:rsidR="007E7472" w:rsidRDefault="00C8327E">
                <w:pPr>
                  <w:jc w:val="right"/>
                </w:pPr>
              </w:p>
            </w:tc>
            <w:tc>
              <w:tcPr>
                <w:tcW w:w="446" w:type="pct"/>
                <w:shd w:val="clear" w:color="auto" w:fill="auto"/>
                <w:vAlign w:val="center"/>
              </w:tcPr>
              <w:p w14:paraId="7ED8635D" w14:textId="77777777" w:rsidR="007E7472" w:rsidRDefault="00C8327E">
                <w:pPr>
                  <w:jc w:val="right"/>
                </w:pPr>
              </w:p>
            </w:tc>
            <w:tc>
              <w:tcPr>
                <w:tcW w:w="446" w:type="pct"/>
                <w:shd w:val="clear" w:color="auto" w:fill="auto"/>
                <w:vAlign w:val="center"/>
              </w:tcPr>
              <w:p w14:paraId="4E68D381" w14:textId="77777777" w:rsidR="007E7472" w:rsidRDefault="00C8327E">
                <w:pPr>
                  <w:jc w:val="right"/>
                </w:pPr>
              </w:p>
            </w:tc>
            <w:tc>
              <w:tcPr>
                <w:tcW w:w="446" w:type="pct"/>
                <w:shd w:val="clear" w:color="auto" w:fill="auto"/>
                <w:vAlign w:val="center"/>
              </w:tcPr>
              <w:p w14:paraId="2686EB49" w14:textId="77777777" w:rsidR="007E7472" w:rsidRDefault="00C8327E">
                <w:pPr>
                  <w:jc w:val="right"/>
                </w:pPr>
              </w:p>
            </w:tc>
            <w:tc>
              <w:tcPr>
                <w:tcW w:w="503" w:type="pct"/>
                <w:shd w:val="clear" w:color="auto" w:fill="auto"/>
                <w:vAlign w:val="center"/>
              </w:tcPr>
              <w:p w14:paraId="20FD06D2" w14:textId="77777777" w:rsidR="007E7472" w:rsidRDefault="00C8327E">
                <w:pPr>
                  <w:jc w:val="right"/>
                </w:pPr>
              </w:p>
            </w:tc>
            <w:tc>
              <w:tcPr>
                <w:tcW w:w="550" w:type="pct"/>
                <w:shd w:val="clear" w:color="auto" w:fill="auto"/>
                <w:vAlign w:val="center"/>
              </w:tcPr>
              <w:p w14:paraId="25FB5BB7" w14:textId="77777777" w:rsidR="007E7472" w:rsidRDefault="00C8327E">
                <w:pPr>
                  <w:jc w:val="right"/>
                </w:pPr>
              </w:p>
            </w:tc>
          </w:tr>
          <w:tr w:rsidR="007E7472" w14:paraId="5E05EB5C" w14:textId="77777777" w:rsidTr="007E7472">
            <w:trPr>
              <w:trHeight w:val="340"/>
            </w:trPr>
            <w:sdt>
              <w:sdtPr>
                <w:rPr>
                  <w:rFonts w:hint="eastAsia"/>
                </w:rPr>
                <w:tag w:val="_PLD_80ddaa0f1cfd432483c808ea875d3645"/>
                <w:id w:val="-128937834"/>
                <w:lock w:val="sdtLocked"/>
              </w:sdtPr>
              <w:sdtEndPr/>
              <w:sdtContent>
                <w:tc>
                  <w:tcPr>
                    <w:tcW w:w="1204" w:type="pct"/>
                    <w:shd w:val="clear" w:color="auto" w:fill="auto"/>
                    <w:vAlign w:val="center"/>
                  </w:tcPr>
                  <w:p w14:paraId="39D67CEC" w14:textId="77777777" w:rsidR="007E7472" w:rsidRDefault="00EC1269">
                    <w:pPr>
                      <w:ind w:firstLineChars="200" w:firstLine="420"/>
                    </w:pPr>
                    <w:r>
                      <w:rPr>
                        <w:rFonts w:hint="eastAsia"/>
                      </w:rPr>
                      <w:t>3.本期减少金额</w:t>
                    </w:r>
                  </w:p>
                </w:tc>
              </w:sdtContent>
            </w:sdt>
            <w:tc>
              <w:tcPr>
                <w:tcW w:w="480" w:type="pct"/>
                <w:shd w:val="clear" w:color="auto" w:fill="auto"/>
                <w:vAlign w:val="center"/>
              </w:tcPr>
              <w:p w14:paraId="748341B3" w14:textId="77777777" w:rsidR="007E7472" w:rsidRDefault="00EC1269">
                <w:pPr>
                  <w:jc w:val="right"/>
                </w:pPr>
                <w:r>
                  <w:rPr>
                    <w:rFonts w:hint="eastAsia"/>
                  </w:rPr>
                  <w:t>38,105</w:t>
                </w:r>
              </w:p>
            </w:tc>
            <w:tc>
              <w:tcPr>
                <w:tcW w:w="461" w:type="pct"/>
                <w:shd w:val="clear" w:color="auto" w:fill="auto"/>
                <w:vAlign w:val="center"/>
              </w:tcPr>
              <w:p w14:paraId="6A7C534E" w14:textId="77777777" w:rsidR="007E7472" w:rsidRDefault="00C8327E">
                <w:pPr>
                  <w:jc w:val="right"/>
                </w:pPr>
              </w:p>
            </w:tc>
            <w:tc>
              <w:tcPr>
                <w:tcW w:w="464" w:type="pct"/>
                <w:shd w:val="clear" w:color="auto" w:fill="auto"/>
                <w:vAlign w:val="center"/>
              </w:tcPr>
              <w:p w14:paraId="3E94CB1A" w14:textId="77777777" w:rsidR="007E7472" w:rsidRDefault="00C8327E">
                <w:pPr>
                  <w:jc w:val="right"/>
                </w:pPr>
              </w:p>
            </w:tc>
            <w:tc>
              <w:tcPr>
                <w:tcW w:w="446" w:type="pct"/>
                <w:shd w:val="clear" w:color="auto" w:fill="auto"/>
                <w:vAlign w:val="center"/>
              </w:tcPr>
              <w:p w14:paraId="6D407045" w14:textId="77777777" w:rsidR="007E7472" w:rsidRDefault="00C8327E">
                <w:pPr>
                  <w:jc w:val="right"/>
                </w:pPr>
              </w:p>
            </w:tc>
            <w:tc>
              <w:tcPr>
                <w:tcW w:w="446" w:type="pct"/>
                <w:shd w:val="clear" w:color="auto" w:fill="auto"/>
                <w:vAlign w:val="center"/>
              </w:tcPr>
              <w:p w14:paraId="5C200060" w14:textId="77777777" w:rsidR="007E7472" w:rsidRDefault="00C8327E">
                <w:pPr>
                  <w:jc w:val="right"/>
                </w:pPr>
              </w:p>
            </w:tc>
            <w:tc>
              <w:tcPr>
                <w:tcW w:w="446" w:type="pct"/>
                <w:shd w:val="clear" w:color="auto" w:fill="auto"/>
                <w:vAlign w:val="center"/>
              </w:tcPr>
              <w:p w14:paraId="52BB3FB6" w14:textId="77777777" w:rsidR="007E7472" w:rsidRDefault="00C8327E">
                <w:pPr>
                  <w:jc w:val="right"/>
                </w:pPr>
              </w:p>
            </w:tc>
            <w:tc>
              <w:tcPr>
                <w:tcW w:w="503" w:type="pct"/>
                <w:shd w:val="clear" w:color="auto" w:fill="auto"/>
                <w:vAlign w:val="center"/>
              </w:tcPr>
              <w:p w14:paraId="748804FA" w14:textId="77777777" w:rsidR="007E7472" w:rsidRDefault="00C8327E">
                <w:pPr>
                  <w:jc w:val="right"/>
                </w:pPr>
              </w:p>
            </w:tc>
            <w:tc>
              <w:tcPr>
                <w:tcW w:w="550" w:type="pct"/>
                <w:shd w:val="clear" w:color="auto" w:fill="auto"/>
                <w:vAlign w:val="center"/>
              </w:tcPr>
              <w:p w14:paraId="2133DF30" w14:textId="77777777" w:rsidR="007E7472" w:rsidRDefault="00EC1269">
                <w:pPr>
                  <w:jc w:val="right"/>
                </w:pPr>
                <w:r>
                  <w:rPr>
                    <w:rFonts w:hint="eastAsia"/>
                  </w:rPr>
                  <w:t>38,105</w:t>
                </w:r>
              </w:p>
            </w:tc>
          </w:tr>
          <w:tr w:rsidR="007E7472" w14:paraId="4AEC4963" w14:textId="77777777" w:rsidTr="007E7472">
            <w:trPr>
              <w:trHeight w:val="340"/>
            </w:trPr>
            <w:tc>
              <w:tcPr>
                <w:tcW w:w="1204" w:type="pct"/>
                <w:shd w:val="clear" w:color="auto" w:fill="auto"/>
                <w:vAlign w:val="center"/>
              </w:tcPr>
              <w:p w14:paraId="242307BC" w14:textId="77777777" w:rsidR="007E7472" w:rsidRDefault="00EC1269">
                <w:pPr>
                  <w:ind w:firstLineChars="200" w:firstLine="420"/>
                </w:pPr>
                <w:r>
                  <w:rPr>
                    <w:rFonts w:hint="eastAsia"/>
                  </w:rPr>
                  <w:t>4.外币报表折算差额</w:t>
                </w:r>
              </w:p>
            </w:tc>
            <w:tc>
              <w:tcPr>
                <w:tcW w:w="480" w:type="pct"/>
                <w:shd w:val="clear" w:color="auto" w:fill="auto"/>
                <w:vAlign w:val="center"/>
              </w:tcPr>
              <w:p w14:paraId="6EEC6C91" w14:textId="77777777" w:rsidR="007E7472" w:rsidRDefault="00EC1269">
                <w:pPr>
                  <w:jc w:val="right"/>
                </w:pPr>
                <w:r>
                  <w:rPr>
                    <w:rFonts w:hint="eastAsia"/>
                  </w:rPr>
                  <w:t>26,106</w:t>
                </w:r>
              </w:p>
            </w:tc>
            <w:tc>
              <w:tcPr>
                <w:tcW w:w="461" w:type="pct"/>
                <w:shd w:val="clear" w:color="auto" w:fill="auto"/>
                <w:vAlign w:val="center"/>
              </w:tcPr>
              <w:p w14:paraId="7F0DFC7F" w14:textId="77777777" w:rsidR="007E7472" w:rsidRDefault="00C8327E">
                <w:pPr>
                  <w:jc w:val="right"/>
                </w:pPr>
              </w:p>
            </w:tc>
            <w:tc>
              <w:tcPr>
                <w:tcW w:w="464" w:type="pct"/>
                <w:shd w:val="clear" w:color="auto" w:fill="auto"/>
                <w:vAlign w:val="center"/>
              </w:tcPr>
              <w:p w14:paraId="569C7DDC" w14:textId="77777777" w:rsidR="007E7472" w:rsidRDefault="00C8327E">
                <w:pPr>
                  <w:jc w:val="right"/>
                </w:pPr>
              </w:p>
            </w:tc>
            <w:tc>
              <w:tcPr>
                <w:tcW w:w="446" w:type="pct"/>
                <w:shd w:val="clear" w:color="auto" w:fill="auto"/>
                <w:vAlign w:val="center"/>
              </w:tcPr>
              <w:p w14:paraId="4C954626" w14:textId="77777777" w:rsidR="007E7472" w:rsidRDefault="00EC1269">
                <w:pPr>
                  <w:jc w:val="right"/>
                </w:pPr>
                <w:r>
                  <w:rPr>
                    <w:rFonts w:hint="eastAsia"/>
                  </w:rPr>
                  <w:t>2,135</w:t>
                </w:r>
              </w:p>
            </w:tc>
            <w:tc>
              <w:tcPr>
                <w:tcW w:w="446" w:type="pct"/>
                <w:shd w:val="clear" w:color="auto" w:fill="auto"/>
                <w:vAlign w:val="center"/>
              </w:tcPr>
              <w:p w14:paraId="15B108DB" w14:textId="77777777" w:rsidR="007E7472" w:rsidRDefault="00EC1269">
                <w:pPr>
                  <w:jc w:val="right"/>
                </w:pPr>
                <w:r>
                  <w:rPr>
                    <w:rFonts w:hint="eastAsia"/>
                  </w:rPr>
                  <w:t>478</w:t>
                </w:r>
              </w:p>
            </w:tc>
            <w:tc>
              <w:tcPr>
                <w:tcW w:w="446" w:type="pct"/>
                <w:shd w:val="clear" w:color="auto" w:fill="auto"/>
                <w:vAlign w:val="center"/>
              </w:tcPr>
              <w:p w14:paraId="43AD865C" w14:textId="77777777" w:rsidR="007E7472" w:rsidRDefault="00C8327E">
                <w:pPr>
                  <w:jc w:val="right"/>
                </w:pPr>
              </w:p>
            </w:tc>
            <w:tc>
              <w:tcPr>
                <w:tcW w:w="503" w:type="pct"/>
                <w:shd w:val="clear" w:color="auto" w:fill="auto"/>
                <w:vAlign w:val="center"/>
              </w:tcPr>
              <w:p w14:paraId="7308583A" w14:textId="77777777" w:rsidR="007E7472" w:rsidRDefault="00EC1269">
                <w:pPr>
                  <w:jc w:val="right"/>
                </w:pPr>
                <w:r>
                  <w:rPr>
                    <w:rFonts w:hint="eastAsia"/>
                  </w:rPr>
                  <w:t>15</w:t>
                </w:r>
              </w:p>
            </w:tc>
            <w:tc>
              <w:tcPr>
                <w:tcW w:w="550" w:type="pct"/>
                <w:shd w:val="clear" w:color="auto" w:fill="auto"/>
                <w:vAlign w:val="center"/>
              </w:tcPr>
              <w:p w14:paraId="222D9CFD" w14:textId="77777777" w:rsidR="007E7472" w:rsidRDefault="00EC1269">
                <w:pPr>
                  <w:jc w:val="right"/>
                </w:pPr>
                <w:r>
                  <w:rPr>
                    <w:rFonts w:hint="eastAsia"/>
                  </w:rPr>
                  <w:t>28,734</w:t>
                </w:r>
              </w:p>
            </w:tc>
          </w:tr>
          <w:tr w:rsidR="007E7472" w14:paraId="1BCBD588" w14:textId="77777777" w:rsidTr="007E7472">
            <w:trPr>
              <w:trHeight w:val="340"/>
            </w:trPr>
            <w:sdt>
              <w:sdtPr>
                <w:rPr>
                  <w:rFonts w:hint="eastAsia"/>
                </w:rPr>
                <w:tag w:val="_PLD_4a919606beac465fb30f547b86305b00"/>
                <w:id w:val="428163509"/>
                <w:lock w:val="sdtLocked"/>
              </w:sdtPr>
              <w:sdtEndPr/>
              <w:sdtContent>
                <w:tc>
                  <w:tcPr>
                    <w:tcW w:w="1204" w:type="pct"/>
                    <w:shd w:val="clear" w:color="auto" w:fill="auto"/>
                    <w:vAlign w:val="center"/>
                  </w:tcPr>
                  <w:p w14:paraId="65C82CA2" w14:textId="77777777" w:rsidR="007E7472" w:rsidRDefault="00EC1269">
                    <w:pPr>
                      <w:ind w:firstLineChars="200" w:firstLine="420"/>
                    </w:pPr>
                    <w:r>
                      <w:rPr>
                        <w:rFonts w:hint="eastAsia"/>
                      </w:rPr>
                      <w:t>5.期末余额</w:t>
                    </w:r>
                  </w:p>
                </w:tc>
              </w:sdtContent>
            </w:sdt>
            <w:tc>
              <w:tcPr>
                <w:tcW w:w="480" w:type="pct"/>
                <w:shd w:val="clear" w:color="auto" w:fill="auto"/>
                <w:vAlign w:val="center"/>
              </w:tcPr>
              <w:p w14:paraId="4B65429B" w14:textId="77777777" w:rsidR="007E7472" w:rsidRDefault="00EC1269">
                <w:pPr>
                  <w:jc w:val="right"/>
                </w:pPr>
                <w:r>
                  <w:rPr>
                    <w:rFonts w:hint="eastAsia"/>
                  </w:rPr>
                  <w:t>3,229,609</w:t>
                </w:r>
              </w:p>
            </w:tc>
            <w:tc>
              <w:tcPr>
                <w:tcW w:w="461" w:type="pct"/>
                <w:shd w:val="clear" w:color="auto" w:fill="auto"/>
                <w:vAlign w:val="center"/>
              </w:tcPr>
              <w:p w14:paraId="06B9028A" w14:textId="77777777" w:rsidR="007E7472" w:rsidRDefault="00C8327E">
                <w:pPr>
                  <w:jc w:val="right"/>
                </w:pPr>
              </w:p>
            </w:tc>
            <w:tc>
              <w:tcPr>
                <w:tcW w:w="464" w:type="pct"/>
                <w:shd w:val="clear" w:color="auto" w:fill="auto"/>
                <w:vAlign w:val="center"/>
              </w:tcPr>
              <w:p w14:paraId="02A30D87" w14:textId="77777777" w:rsidR="007E7472" w:rsidRDefault="00EC1269">
                <w:pPr>
                  <w:jc w:val="right"/>
                </w:pPr>
                <w:r>
                  <w:rPr>
                    <w:rFonts w:hint="eastAsia"/>
                  </w:rPr>
                  <w:t>2,517</w:t>
                </w:r>
              </w:p>
            </w:tc>
            <w:tc>
              <w:tcPr>
                <w:tcW w:w="446" w:type="pct"/>
                <w:shd w:val="clear" w:color="auto" w:fill="auto"/>
                <w:vAlign w:val="center"/>
              </w:tcPr>
              <w:p w14:paraId="444A99A8" w14:textId="77777777" w:rsidR="007E7472" w:rsidRDefault="00EC1269">
                <w:pPr>
                  <w:jc w:val="right"/>
                </w:pPr>
                <w:r>
                  <w:rPr>
                    <w:rFonts w:hint="eastAsia"/>
                  </w:rPr>
                  <w:t>129,300</w:t>
                </w:r>
              </w:p>
            </w:tc>
            <w:tc>
              <w:tcPr>
                <w:tcW w:w="446" w:type="pct"/>
                <w:shd w:val="clear" w:color="auto" w:fill="auto"/>
                <w:vAlign w:val="center"/>
              </w:tcPr>
              <w:p w14:paraId="7CF5A2EA" w14:textId="77777777" w:rsidR="007E7472" w:rsidRDefault="00EC1269">
                <w:pPr>
                  <w:jc w:val="right"/>
                </w:pPr>
                <w:r>
                  <w:rPr>
                    <w:rFonts w:hint="eastAsia"/>
                  </w:rPr>
                  <w:t>26,875</w:t>
                </w:r>
              </w:p>
            </w:tc>
            <w:tc>
              <w:tcPr>
                <w:tcW w:w="446" w:type="pct"/>
                <w:shd w:val="clear" w:color="auto" w:fill="auto"/>
                <w:vAlign w:val="center"/>
              </w:tcPr>
              <w:p w14:paraId="7677D687" w14:textId="77777777" w:rsidR="007E7472" w:rsidRDefault="00C8327E">
                <w:pPr>
                  <w:jc w:val="right"/>
                </w:pPr>
              </w:p>
            </w:tc>
            <w:tc>
              <w:tcPr>
                <w:tcW w:w="503" w:type="pct"/>
                <w:shd w:val="clear" w:color="auto" w:fill="auto"/>
                <w:vAlign w:val="center"/>
              </w:tcPr>
              <w:p w14:paraId="6E6DEC0E" w14:textId="77777777" w:rsidR="007E7472" w:rsidRDefault="00EC1269">
                <w:pPr>
                  <w:jc w:val="right"/>
                </w:pPr>
                <w:r>
                  <w:rPr>
                    <w:rFonts w:hint="eastAsia"/>
                  </w:rPr>
                  <w:t>850</w:t>
                </w:r>
              </w:p>
            </w:tc>
            <w:tc>
              <w:tcPr>
                <w:tcW w:w="550" w:type="pct"/>
                <w:shd w:val="clear" w:color="auto" w:fill="auto"/>
                <w:vAlign w:val="center"/>
              </w:tcPr>
              <w:p w14:paraId="0A05CE66" w14:textId="77777777" w:rsidR="007E7472" w:rsidRDefault="00EC1269">
                <w:pPr>
                  <w:jc w:val="right"/>
                </w:pPr>
                <w:r>
                  <w:rPr>
                    <w:rFonts w:hint="eastAsia"/>
                  </w:rPr>
                  <w:t>3,389,151</w:t>
                </w:r>
              </w:p>
            </w:tc>
          </w:tr>
          <w:tr w:rsidR="007E7472" w14:paraId="19C3CD49" w14:textId="77777777" w:rsidTr="007E7472">
            <w:trPr>
              <w:trHeight w:val="340"/>
            </w:trPr>
            <w:sdt>
              <w:sdtPr>
                <w:rPr>
                  <w:rFonts w:hint="eastAsia"/>
                </w:rPr>
                <w:tag w:val="_PLD_77aceef1b70d43c0846f7e8f529b7784"/>
                <w:id w:val="279374135"/>
                <w:lock w:val="sdtLocked"/>
              </w:sdtPr>
              <w:sdtEndPr/>
              <w:sdtContent>
                <w:tc>
                  <w:tcPr>
                    <w:tcW w:w="5000" w:type="pct"/>
                    <w:gridSpan w:val="9"/>
                    <w:shd w:val="clear" w:color="auto" w:fill="auto"/>
                    <w:vAlign w:val="center"/>
                  </w:tcPr>
                  <w:p w14:paraId="75CB77E7" w14:textId="77777777" w:rsidR="007E7472" w:rsidRDefault="00EC1269">
                    <w:r>
                      <w:rPr>
                        <w:rFonts w:hint="eastAsia"/>
                      </w:rPr>
                      <w:t>四、账面价值</w:t>
                    </w:r>
                  </w:p>
                </w:tc>
              </w:sdtContent>
            </w:sdt>
          </w:tr>
          <w:tr w:rsidR="007E7472" w14:paraId="61437A6C" w14:textId="77777777" w:rsidTr="007E7472">
            <w:trPr>
              <w:trHeight w:val="340"/>
            </w:trPr>
            <w:sdt>
              <w:sdtPr>
                <w:rPr>
                  <w:rFonts w:hint="eastAsia"/>
                </w:rPr>
                <w:tag w:val="_PLD_7b3cabd4024540c8bf9dc83469ecf7d4"/>
                <w:id w:val="1021284012"/>
                <w:lock w:val="sdtLocked"/>
              </w:sdtPr>
              <w:sdtEndPr/>
              <w:sdtContent>
                <w:tc>
                  <w:tcPr>
                    <w:tcW w:w="1204" w:type="pct"/>
                    <w:shd w:val="clear" w:color="auto" w:fill="auto"/>
                    <w:vAlign w:val="center"/>
                  </w:tcPr>
                  <w:p w14:paraId="07A72072" w14:textId="77777777" w:rsidR="007E7472" w:rsidRDefault="00EC1269">
                    <w:r>
                      <w:rPr>
                        <w:rFonts w:hint="eastAsia"/>
                      </w:rPr>
                      <w:t>1.期末账面价值</w:t>
                    </w:r>
                  </w:p>
                </w:tc>
              </w:sdtContent>
            </w:sdt>
            <w:tc>
              <w:tcPr>
                <w:tcW w:w="480" w:type="pct"/>
                <w:shd w:val="clear" w:color="auto" w:fill="auto"/>
                <w:vAlign w:val="center"/>
              </w:tcPr>
              <w:p w14:paraId="31946E5C" w14:textId="77777777" w:rsidR="007E7472" w:rsidRDefault="00EC1269">
                <w:pPr>
                  <w:jc w:val="right"/>
                </w:pPr>
                <w:r>
                  <w:rPr>
                    <w:rFonts w:hint="eastAsia"/>
                  </w:rPr>
                  <w:t>50,065,460</w:t>
                </w:r>
              </w:p>
            </w:tc>
            <w:tc>
              <w:tcPr>
                <w:tcW w:w="461" w:type="pct"/>
                <w:shd w:val="clear" w:color="auto" w:fill="auto"/>
                <w:vAlign w:val="center"/>
              </w:tcPr>
              <w:p w14:paraId="265A9B10" w14:textId="77777777" w:rsidR="007E7472" w:rsidRDefault="00EC1269">
                <w:pPr>
                  <w:jc w:val="right"/>
                </w:pPr>
                <w:r>
                  <w:rPr>
                    <w:rFonts w:hint="eastAsia"/>
                  </w:rPr>
                  <w:t>2,696,933</w:t>
                </w:r>
              </w:p>
            </w:tc>
            <w:tc>
              <w:tcPr>
                <w:tcW w:w="464" w:type="pct"/>
                <w:shd w:val="clear" w:color="auto" w:fill="auto"/>
                <w:vAlign w:val="center"/>
              </w:tcPr>
              <w:p w14:paraId="7CFB6DE8" w14:textId="77777777" w:rsidR="007E7472" w:rsidRDefault="00EC1269">
                <w:pPr>
                  <w:jc w:val="right"/>
                </w:pPr>
                <w:r>
                  <w:rPr>
                    <w:rFonts w:hint="eastAsia"/>
                  </w:rPr>
                  <w:t>3,136,651</w:t>
                </w:r>
              </w:p>
            </w:tc>
            <w:tc>
              <w:tcPr>
                <w:tcW w:w="446" w:type="pct"/>
                <w:shd w:val="clear" w:color="auto" w:fill="auto"/>
                <w:vAlign w:val="center"/>
              </w:tcPr>
              <w:p w14:paraId="54B446DB" w14:textId="77777777" w:rsidR="007E7472" w:rsidRDefault="00EC1269">
                <w:pPr>
                  <w:jc w:val="right"/>
                </w:pPr>
                <w:r>
                  <w:rPr>
                    <w:rFonts w:hint="eastAsia"/>
                  </w:rPr>
                  <w:t>529,445</w:t>
                </w:r>
              </w:p>
            </w:tc>
            <w:tc>
              <w:tcPr>
                <w:tcW w:w="446" w:type="pct"/>
                <w:shd w:val="clear" w:color="auto" w:fill="auto"/>
                <w:vAlign w:val="center"/>
              </w:tcPr>
              <w:p w14:paraId="230F16DA" w14:textId="77777777" w:rsidR="007E7472" w:rsidRDefault="00EC1269">
                <w:pPr>
                  <w:jc w:val="right"/>
                </w:pPr>
                <w:r>
                  <w:rPr>
                    <w:rFonts w:hint="eastAsia"/>
                  </w:rPr>
                  <w:t>474,021</w:t>
                </w:r>
              </w:p>
            </w:tc>
            <w:tc>
              <w:tcPr>
                <w:tcW w:w="446" w:type="pct"/>
                <w:shd w:val="clear" w:color="auto" w:fill="auto"/>
                <w:vAlign w:val="center"/>
              </w:tcPr>
              <w:p w14:paraId="14EC7420" w14:textId="20689C6E" w:rsidR="007E7472" w:rsidRDefault="00EC1269">
                <w:pPr>
                  <w:jc w:val="right"/>
                </w:pPr>
                <w:r>
                  <w:rPr>
                    <w:rFonts w:hint="eastAsia"/>
                  </w:rPr>
                  <w:t>2,12</w:t>
                </w:r>
                <w:r w:rsidR="00913748">
                  <w:t>9</w:t>
                </w:r>
                <w:r>
                  <w:rPr>
                    <w:rFonts w:hint="eastAsia"/>
                  </w:rPr>
                  <w:t>,</w:t>
                </w:r>
                <w:r w:rsidR="00913748">
                  <w:t>982</w:t>
                </w:r>
              </w:p>
            </w:tc>
            <w:tc>
              <w:tcPr>
                <w:tcW w:w="503" w:type="pct"/>
                <w:shd w:val="clear" w:color="auto" w:fill="auto"/>
                <w:vAlign w:val="center"/>
              </w:tcPr>
              <w:p w14:paraId="4E2FBBAD" w14:textId="1226C8DC" w:rsidR="007E7472" w:rsidRDefault="00EC1269">
                <w:pPr>
                  <w:jc w:val="right"/>
                </w:pPr>
                <w:r>
                  <w:rPr>
                    <w:rFonts w:hint="eastAsia"/>
                  </w:rPr>
                  <w:t>4</w:t>
                </w:r>
                <w:r w:rsidR="00913748">
                  <w:t>2</w:t>
                </w:r>
                <w:r>
                  <w:rPr>
                    <w:rFonts w:hint="eastAsia"/>
                  </w:rPr>
                  <w:t>,</w:t>
                </w:r>
                <w:r w:rsidR="00913748">
                  <w:t>660</w:t>
                </w:r>
              </w:p>
            </w:tc>
            <w:tc>
              <w:tcPr>
                <w:tcW w:w="550" w:type="pct"/>
                <w:shd w:val="clear" w:color="auto" w:fill="auto"/>
                <w:vAlign w:val="center"/>
              </w:tcPr>
              <w:p w14:paraId="183FC3B3" w14:textId="77777777" w:rsidR="007E7472" w:rsidRDefault="00EC1269">
                <w:pPr>
                  <w:jc w:val="right"/>
                </w:pPr>
                <w:r>
                  <w:rPr>
                    <w:rFonts w:hint="eastAsia"/>
                  </w:rPr>
                  <w:t>59,075,152</w:t>
                </w:r>
              </w:p>
            </w:tc>
          </w:tr>
          <w:tr w:rsidR="007E7472" w14:paraId="1894FC1B" w14:textId="77777777" w:rsidTr="007E7472">
            <w:trPr>
              <w:trHeight w:val="340"/>
            </w:trPr>
            <w:sdt>
              <w:sdtPr>
                <w:rPr>
                  <w:rFonts w:hint="eastAsia"/>
                </w:rPr>
                <w:tag w:val="_PLD_04cb9e53cf0d4d8b83570453ac161e64"/>
                <w:id w:val="-1419086765"/>
                <w:lock w:val="sdtLocked"/>
              </w:sdtPr>
              <w:sdtEndPr/>
              <w:sdtContent>
                <w:tc>
                  <w:tcPr>
                    <w:tcW w:w="1204" w:type="pct"/>
                    <w:shd w:val="clear" w:color="auto" w:fill="auto"/>
                    <w:vAlign w:val="center"/>
                  </w:tcPr>
                  <w:p w14:paraId="74BC7D9D" w14:textId="77777777" w:rsidR="007E7472" w:rsidRDefault="00EC1269">
                    <w:r>
                      <w:rPr>
                        <w:rFonts w:hint="eastAsia"/>
                      </w:rPr>
                      <w:t>2.期初账面价值</w:t>
                    </w:r>
                  </w:p>
                </w:tc>
              </w:sdtContent>
            </w:sdt>
            <w:tc>
              <w:tcPr>
                <w:tcW w:w="480" w:type="pct"/>
                <w:shd w:val="clear" w:color="auto" w:fill="auto"/>
                <w:vAlign w:val="center"/>
              </w:tcPr>
              <w:p w14:paraId="7E2BDDF4" w14:textId="77777777" w:rsidR="007E7472" w:rsidRDefault="00EC1269">
                <w:pPr>
                  <w:jc w:val="right"/>
                </w:pPr>
                <w:r>
                  <w:rPr>
                    <w:rFonts w:hint="eastAsia"/>
                  </w:rPr>
                  <w:t>50,786,894</w:t>
                </w:r>
              </w:p>
            </w:tc>
            <w:tc>
              <w:tcPr>
                <w:tcW w:w="461" w:type="pct"/>
                <w:shd w:val="clear" w:color="auto" w:fill="auto"/>
                <w:vAlign w:val="center"/>
              </w:tcPr>
              <w:p w14:paraId="73EEC576" w14:textId="77777777" w:rsidR="007E7472" w:rsidRDefault="00EC1269">
                <w:pPr>
                  <w:jc w:val="right"/>
                </w:pPr>
                <w:r>
                  <w:rPr>
                    <w:rFonts w:hint="eastAsia"/>
                  </w:rPr>
                  <w:t>2,648,943</w:t>
                </w:r>
              </w:p>
            </w:tc>
            <w:tc>
              <w:tcPr>
                <w:tcW w:w="464" w:type="pct"/>
                <w:shd w:val="clear" w:color="auto" w:fill="auto"/>
                <w:vAlign w:val="center"/>
              </w:tcPr>
              <w:p w14:paraId="2A1A2865" w14:textId="77777777" w:rsidR="007E7472" w:rsidRDefault="00EC1269">
                <w:pPr>
                  <w:jc w:val="right"/>
                </w:pPr>
                <w:r>
                  <w:rPr>
                    <w:rFonts w:hint="eastAsia"/>
                  </w:rPr>
                  <w:t>3,012,032</w:t>
                </w:r>
              </w:p>
            </w:tc>
            <w:tc>
              <w:tcPr>
                <w:tcW w:w="446" w:type="pct"/>
                <w:shd w:val="clear" w:color="auto" w:fill="auto"/>
                <w:vAlign w:val="center"/>
              </w:tcPr>
              <w:p w14:paraId="488C6D27" w14:textId="77777777" w:rsidR="007E7472" w:rsidRDefault="00EC1269">
                <w:pPr>
                  <w:jc w:val="right"/>
                </w:pPr>
                <w:r>
                  <w:rPr>
                    <w:rFonts w:hint="eastAsia"/>
                  </w:rPr>
                  <w:t>580,846</w:t>
                </w:r>
              </w:p>
            </w:tc>
            <w:tc>
              <w:tcPr>
                <w:tcW w:w="446" w:type="pct"/>
                <w:shd w:val="clear" w:color="auto" w:fill="auto"/>
                <w:vAlign w:val="center"/>
              </w:tcPr>
              <w:p w14:paraId="4E444F6D" w14:textId="77777777" w:rsidR="007E7472" w:rsidRDefault="00EC1269">
                <w:pPr>
                  <w:jc w:val="right"/>
                </w:pPr>
                <w:r>
                  <w:rPr>
                    <w:rFonts w:hint="eastAsia"/>
                  </w:rPr>
                  <w:t>476,055</w:t>
                </w:r>
              </w:p>
            </w:tc>
            <w:tc>
              <w:tcPr>
                <w:tcW w:w="446" w:type="pct"/>
                <w:shd w:val="clear" w:color="auto" w:fill="auto"/>
                <w:vAlign w:val="center"/>
              </w:tcPr>
              <w:p w14:paraId="2DA7F5C5" w14:textId="77777777" w:rsidR="007E7472" w:rsidRDefault="00EC1269">
                <w:pPr>
                  <w:jc w:val="right"/>
                </w:pPr>
                <w:r>
                  <w:rPr>
                    <w:rFonts w:hint="eastAsia"/>
                  </w:rPr>
                  <w:t>2,184,050</w:t>
                </w:r>
              </w:p>
            </w:tc>
            <w:tc>
              <w:tcPr>
                <w:tcW w:w="503" w:type="pct"/>
                <w:shd w:val="clear" w:color="auto" w:fill="auto"/>
                <w:vAlign w:val="center"/>
              </w:tcPr>
              <w:p w14:paraId="1F8C52FF" w14:textId="77777777" w:rsidR="007E7472" w:rsidRDefault="00EC1269">
                <w:pPr>
                  <w:jc w:val="right"/>
                </w:pPr>
                <w:r>
                  <w:rPr>
                    <w:rFonts w:hint="eastAsia"/>
                  </w:rPr>
                  <w:t>47,963</w:t>
                </w:r>
              </w:p>
            </w:tc>
            <w:tc>
              <w:tcPr>
                <w:tcW w:w="550" w:type="pct"/>
                <w:shd w:val="clear" w:color="auto" w:fill="auto"/>
                <w:vAlign w:val="center"/>
              </w:tcPr>
              <w:p w14:paraId="6558BE9A" w14:textId="77777777" w:rsidR="007E7472" w:rsidRDefault="00EC1269">
                <w:pPr>
                  <w:jc w:val="right"/>
                </w:pPr>
                <w:r>
                  <w:rPr>
                    <w:rFonts w:hint="eastAsia"/>
                  </w:rPr>
                  <w:t>59,736,783</w:t>
                </w:r>
              </w:p>
            </w:tc>
          </w:tr>
        </w:tbl>
        <w:p w14:paraId="3B42448E" w14:textId="77777777" w:rsidR="007E7472" w:rsidRDefault="00C8327E"/>
      </w:sdtContent>
    </w:sdt>
    <w:p w14:paraId="784CCD08" w14:textId="77777777" w:rsidR="007E7472" w:rsidRDefault="00EC1269">
      <w:r>
        <w:br w:type="page"/>
      </w:r>
    </w:p>
    <w:p w14:paraId="356296C1" w14:textId="77777777" w:rsidR="007E7472" w:rsidRDefault="00C8327E">
      <w:pPr>
        <w:snapToGrid w:val="0"/>
        <w:spacing w:line="240" w:lineRule="atLeast"/>
        <w:sectPr w:rsidR="007E7472">
          <w:pgSz w:w="16838" w:h="11906" w:orient="landscape"/>
          <w:pgMar w:top="1276" w:right="1440" w:bottom="1797" w:left="1525" w:header="856" w:footer="992" w:gutter="0"/>
          <w:cols w:space="425"/>
          <w:docGrid w:linePitch="312"/>
        </w:sectPr>
      </w:pPr>
    </w:p>
    <w:p w14:paraId="223E44DB" w14:textId="77777777" w:rsidR="007E7472" w:rsidRDefault="00C8327E">
      <w:pPr>
        <w:snapToGrid w:val="0"/>
        <w:spacing w:line="240" w:lineRule="atLeast"/>
      </w:pPr>
    </w:p>
    <w:sdt>
      <w:sdtPr>
        <w:rPr>
          <w:rFonts w:ascii="宋体" w:hAnsi="宋体" w:cs="宋体" w:hint="eastAsia"/>
          <w:b w:val="0"/>
          <w:bCs w:val="0"/>
          <w:kern w:val="0"/>
          <w:szCs w:val="21"/>
        </w:rPr>
        <w:alias w:val="模块:未办妥产权证书的土地使用权情况："/>
        <w:tag w:val="_GBC_0daf5d1e7172402ab885ca5e5b78a389"/>
        <w:id w:val="1271510372"/>
        <w:lock w:val="sdtLocked"/>
        <w:placeholder>
          <w:docPart w:val="GBC22222222222222222222222222222"/>
        </w:placeholder>
      </w:sdtPr>
      <w:sdtEndPr/>
      <w:sdtContent>
        <w:p w14:paraId="49E437C3" w14:textId="77777777" w:rsidR="007E7472" w:rsidRPr="00483F7E" w:rsidRDefault="00EC1269" w:rsidP="00162493">
          <w:pPr>
            <w:pStyle w:val="4"/>
            <w:numPr>
              <w:ilvl w:val="0"/>
              <w:numId w:val="78"/>
            </w:numPr>
          </w:pPr>
          <w:r w:rsidRPr="00483F7E">
            <w:rPr>
              <w:rFonts w:hint="eastAsia"/>
              <w:bCs w:val="0"/>
            </w:rPr>
            <w:t>未办妥产权证书的土地使用权情况</w:t>
          </w:r>
        </w:p>
        <w:sdt>
          <w:sdtPr>
            <w:alias w:val="是否适用：未办妥产权证书的土地使用权情况[双击切换]"/>
            <w:tag w:val="_GBC_e8ff0641401a44f19fe64ad31dc15c58"/>
            <w:id w:val="-140349396"/>
            <w:lock w:val="sdtLocked"/>
            <w:placeholder>
              <w:docPart w:val="GBC22222222222222222222222222222"/>
            </w:placeholder>
          </w:sdtPr>
          <w:sdtEndPr/>
          <w:sdtContent>
            <w:p w14:paraId="533C0224"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402AF1CD" w14:textId="2B415A22" w:rsidR="007E7472" w:rsidRDefault="00EC1269">
          <w:pPr>
            <w:jc w:val="right"/>
          </w:pPr>
          <w:r>
            <w:rPr>
              <w:rFonts w:hint="eastAsia"/>
            </w:rPr>
            <w:t>单位：</w:t>
          </w:r>
          <w:sdt>
            <w:sdtPr>
              <w:rPr>
                <w:rFonts w:hint="eastAsia"/>
              </w:rPr>
              <w:alias w:val="单位：财务附注：未办妥产权证书的土地使用权情况"/>
              <w:tag w:val="_GBC_6d7518e23389454d8aa2c26272e90959"/>
              <w:id w:val="-14304234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未办妥产权证书的土地使用权情况"/>
              <w:tag w:val="_GBC_27007ebda6594c4a9f41f6d4effd1d62"/>
              <w:id w:val="-1896656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9"/>
            <w:gridCol w:w="2942"/>
            <w:gridCol w:w="2942"/>
          </w:tblGrid>
          <w:tr w:rsidR="007E7472" w14:paraId="72C0277F" w14:textId="77777777">
            <w:sdt>
              <w:sdtPr>
                <w:tag w:val="_PLD_4efb019848394f1b84d6df16ceb61a30"/>
                <w:id w:val="-1938516677"/>
                <w:lock w:val="sdtLocked"/>
              </w:sdtPr>
              <w:sdtEndPr/>
              <w:sdtContent>
                <w:tc>
                  <w:tcPr>
                    <w:tcW w:w="1666" w:type="pct"/>
                    <w:shd w:val="clear" w:color="auto" w:fill="auto"/>
                    <w:vAlign w:val="center"/>
                  </w:tcPr>
                  <w:p w14:paraId="4A8B0D54" w14:textId="77777777" w:rsidR="007E7472" w:rsidRDefault="00EC1269">
                    <w:pPr>
                      <w:jc w:val="center"/>
                    </w:pPr>
                    <w:r>
                      <w:rPr>
                        <w:rFonts w:hint="eastAsia"/>
                      </w:rPr>
                      <w:t>项目</w:t>
                    </w:r>
                  </w:p>
                </w:tc>
              </w:sdtContent>
            </w:sdt>
            <w:sdt>
              <w:sdtPr>
                <w:tag w:val="_PLD_dd62230db4d04e378a4a470f0f0ef863"/>
                <w:id w:val="1539010051"/>
                <w:lock w:val="sdtLocked"/>
              </w:sdtPr>
              <w:sdtEndPr/>
              <w:sdtContent>
                <w:tc>
                  <w:tcPr>
                    <w:tcW w:w="1667" w:type="pct"/>
                    <w:shd w:val="clear" w:color="auto" w:fill="auto"/>
                    <w:vAlign w:val="center"/>
                  </w:tcPr>
                  <w:p w14:paraId="538B30C6" w14:textId="77777777" w:rsidR="007E7472" w:rsidRDefault="00EC1269">
                    <w:pPr>
                      <w:jc w:val="center"/>
                    </w:pPr>
                    <w:r>
                      <w:rPr>
                        <w:rFonts w:hint="eastAsia"/>
                      </w:rPr>
                      <w:t>账面价值</w:t>
                    </w:r>
                  </w:p>
                </w:tc>
              </w:sdtContent>
            </w:sdt>
            <w:sdt>
              <w:sdtPr>
                <w:tag w:val="_PLD_f1c8cdf0044a4f9199725c6ef167bb29"/>
                <w:id w:val="-1053846714"/>
                <w:lock w:val="sdtLocked"/>
              </w:sdtPr>
              <w:sdtEndPr/>
              <w:sdtContent>
                <w:tc>
                  <w:tcPr>
                    <w:tcW w:w="1667" w:type="pct"/>
                    <w:shd w:val="clear" w:color="auto" w:fill="auto"/>
                    <w:vAlign w:val="center"/>
                  </w:tcPr>
                  <w:p w14:paraId="1DDAECEE" w14:textId="77777777" w:rsidR="007E7472" w:rsidRDefault="00EC1269">
                    <w:pPr>
                      <w:jc w:val="center"/>
                    </w:pPr>
                    <w:r>
                      <w:rPr>
                        <w:rFonts w:hint="eastAsia"/>
                      </w:rPr>
                      <w:t>未办妥产权证书的原因</w:t>
                    </w:r>
                  </w:p>
                </w:tc>
              </w:sdtContent>
            </w:sdt>
          </w:tr>
          <w:sdt>
            <w:sdtPr>
              <w:alias w:val="未办妥产权证书的土地使用权情况明细"/>
              <w:tag w:val="_GBC_109499b5d2b34860aa856972401fcb6e"/>
              <w:id w:val="912117302"/>
              <w:lock w:val="sdtLocked"/>
              <w:placeholder>
                <w:docPart w:val="GBC11111111111111111111111111111"/>
              </w:placeholder>
            </w:sdtPr>
            <w:sdtEndPr/>
            <w:sdtContent>
              <w:tr w:rsidR="007E7472" w14:paraId="6D97BB50" w14:textId="77777777">
                <w:tc>
                  <w:tcPr>
                    <w:tcW w:w="1666" w:type="pct"/>
                    <w:shd w:val="clear" w:color="auto" w:fill="auto"/>
                    <w:vAlign w:val="center"/>
                  </w:tcPr>
                  <w:p w14:paraId="50B82673" w14:textId="77777777" w:rsidR="007E7472" w:rsidRDefault="00EC1269">
                    <w:r>
                      <w:rPr>
                        <w:rFonts w:hint="eastAsia"/>
                      </w:rPr>
                      <w:t>土地使用权</w:t>
                    </w:r>
                  </w:p>
                </w:tc>
                <w:tc>
                  <w:tcPr>
                    <w:tcW w:w="1667" w:type="pct"/>
                    <w:shd w:val="clear" w:color="auto" w:fill="auto"/>
                    <w:vAlign w:val="center"/>
                  </w:tcPr>
                  <w:p w14:paraId="43A7F899" w14:textId="77777777" w:rsidR="007E7472" w:rsidRDefault="00EC1269">
                    <w:pPr>
                      <w:jc w:val="right"/>
                    </w:pPr>
                    <w:r>
                      <w:t>524,325</w:t>
                    </w:r>
                  </w:p>
                </w:tc>
                <w:tc>
                  <w:tcPr>
                    <w:tcW w:w="1667" w:type="pct"/>
                    <w:shd w:val="clear" w:color="auto" w:fill="auto"/>
                    <w:vAlign w:val="center"/>
                  </w:tcPr>
                  <w:p w14:paraId="1DF8D1DD" w14:textId="77777777" w:rsidR="007E7472" w:rsidRDefault="00EC1269">
                    <w:pPr>
                      <w:jc w:val="center"/>
                    </w:pPr>
                    <w:r>
                      <w:rPr>
                        <w:rFonts w:hint="eastAsia"/>
                      </w:rPr>
                      <w:t>正在办理</w:t>
                    </w:r>
                  </w:p>
                </w:tc>
              </w:tr>
            </w:sdtContent>
          </w:sdt>
        </w:tbl>
        <w:p w14:paraId="70F9D675" w14:textId="77777777" w:rsidR="007E7472" w:rsidRDefault="00C8327E">
          <w:pPr>
            <w:snapToGrid w:val="0"/>
            <w:spacing w:line="240" w:lineRule="atLeast"/>
          </w:pPr>
        </w:p>
      </w:sdtContent>
    </w:sdt>
    <w:sdt>
      <w:sdtPr>
        <w:alias w:val="模块:无形资产说明"/>
        <w:tag w:val="_GBC_c2d02a8bb1274cb1bf0330030cc64229"/>
        <w:id w:val="538478281"/>
        <w:lock w:val="sdtLocked"/>
        <w:placeholder>
          <w:docPart w:val="GBC22222222222222222222222222222"/>
        </w:placeholder>
      </w:sdtPr>
      <w:sdtEndPr/>
      <w:sdtContent>
        <w:p w14:paraId="3BA54402" w14:textId="77777777" w:rsidR="007E7472" w:rsidRDefault="00EC1269">
          <w:r>
            <w:rPr>
              <w:rFonts w:asciiTheme="minorEastAsia" w:eastAsiaTheme="minorEastAsia" w:hAnsiTheme="minorEastAsia" w:hint="eastAsia"/>
            </w:rPr>
            <w:t>其他说明</w:t>
          </w:r>
          <w:r>
            <w:rPr>
              <w:rFonts w:hint="eastAsia"/>
            </w:rPr>
            <w:t>：</w:t>
          </w:r>
        </w:p>
        <w:sdt>
          <w:sdtPr>
            <w:alias w:val="是否适用：无形资产的说明[双击切换]"/>
            <w:tag w:val="_GBC_dc3c687f3c2c457e9024304c14129458"/>
            <w:id w:val="1340819187"/>
            <w:lock w:val="sdtLocked"/>
            <w:placeholder>
              <w:docPart w:val="GBC22222222222222222222222222222"/>
            </w:placeholder>
          </w:sdtPr>
          <w:sdtEndPr/>
          <w:sdtContent>
            <w:p w14:paraId="4E2EE428"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77F3ADCA" w14:textId="77777777" w:rsidR="007E7472" w:rsidRDefault="00C8327E">
          <w:pPr>
            <w:snapToGrid w:val="0"/>
            <w:spacing w:line="240" w:lineRule="atLeast"/>
          </w:pPr>
        </w:p>
      </w:sdtContent>
    </w:sdt>
    <w:sdt>
      <w:sdtPr>
        <w:rPr>
          <w:rFonts w:ascii="宋体" w:hAnsi="宋体" w:cs="宋体" w:hint="eastAsia"/>
          <w:b w:val="0"/>
          <w:bCs w:val="0"/>
          <w:kern w:val="0"/>
          <w:szCs w:val="21"/>
        </w:rPr>
        <w:alias w:val="模块:公司开发项目支出"/>
        <w:tag w:val="_GBC_41dea900f659431692960536981b1d8d"/>
        <w:id w:val="619196831"/>
        <w:lock w:val="sdtLocked"/>
        <w:placeholder>
          <w:docPart w:val="GBC22222222222222222222222222222"/>
        </w:placeholder>
      </w:sdtPr>
      <w:sdtEndPr>
        <w:rPr>
          <w:rFonts w:cstheme="minorBidi" w:hint="default"/>
        </w:rPr>
      </w:sdtEndPr>
      <w:sdtContent>
        <w:p w14:paraId="5A5F27BA" w14:textId="77777777" w:rsidR="007E7472" w:rsidRDefault="00EC1269" w:rsidP="00162493">
          <w:pPr>
            <w:pStyle w:val="3"/>
            <w:numPr>
              <w:ilvl w:val="0"/>
              <w:numId w:val="62"/>
            </w:numPr>
          </w:pPr>
          <w:r>
            <w:rPr>
              <w:rFonts w:hint="eastAsia"/>
            </w:rPr>
            <w:t>开发支出</w:t>
          </w:r>
        </w:p>
        <w:sdt>
          <w:sdtPr>
            <w:alias w:val="是否适用：开发支出[双击切换]"/>
            <w:tag w:val="_GBC_a62fb6e641b048a49c12233ba47c4939"/>
            <w:id w:val="862407695"/>
            <w:lock w:val="sdtLocked"/>
            <w:placeholder>
              <w:docPart w:val="GBC22222222222222222222222222222"/>
            </w:placeholder>
          </w:sdtPr>
          <w:sdtEndPr/>
          <w:sdtContent>
            <w:p w14:paraId="0F83E277"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5193A52E" w14:textId="77777777" w:rsidR="007E7472" w:rsidRDefault="00C8327E">
          <w:pPr>
            <w:snapToGrid w:val="0"/>
            <w:spacing w:line="240" w:lineRule="atLeast"/>
          </w:pPr>
        </w:p>
      </w:sdtContent>
    </w:sdt>
    <w:p w14:paraId="2834A729" w14:textId="77777777" w:rsidR="007E7472" w:rsidRDefault="00EC1269" w:rsidP="00162493">
      <w:pPr>
        <w:pStyle w:val="3"/>
        <w:numPr>
          <w:ilvl w:val="0"/>
          <w:numId w:val="62"/>
        </w:numPr>
      </w:pPr>
      <w:r>
        <w:rPr>
          <w:rFonts w:hint="eastAsia"/>
        </w:rPr>
        <w:t>商誉</w:t>
      </w:r>
    </w:p>
    <w:sdt>
      <w:sdtPr>
        <w:rPr>
          <w:rFonts w:ascii="宋体" w:hAnsi="宋体" w:cs="宋体" w:hint="eastAsia"/>
          <w:b w:val="0"/>
          <w:bCs w:val="0"/>
          <w:kern w:val="0"/>
          <w:sz w:val="20"/>
          <w:szCs w:val="24"/>
        </w:rPr>
        <w:alias w:val="模块:商誉账面原值"/>
        <w:tag w:val="_SEC_0d13253f4b004ecdaea8960cfb92cf26"/>
        <w:id w:val="2128889364"/>
        <w:lock w:val="sdtLocked"/>
        <w:placeholder>
          <w:docPart w:val="GBC22222222222222222222222222222"/>
        </w:placeholder>
      </w:sdtPr>
      <w:sdtEndPr>
        <w:rPr>
          <w:rFonts w:hint="default"/>
          <w:sz w:val="21"/>
          <w:szCs w:val="21"/>
        </w:rPr>
      </w:sdtEndPr>
      <w:sdtContent>
        <w:p w14:paraId="06FD9462" w14:textId="77777777" w:rsidR="007E7472" w:rsidRDefault="00EC1269" w:rsidP="00162493">
          <w:pPr>
            <w:pStyle w:val="4"/>
            <w:numPr>
              <w:ilvl w:val="0"/>
              <w:numId w:val="79"/>
            </w:numPr>
          </w:pPr>
          <w:r>
            <w:rPr>
              <w:rFonts w:hint="eastAsia"/>
            </w:rPr>
            <w:t>商誉账面原值</w:t>
          </w:r>
        </w:p>
        <w:sdt>
          <w:sdtPr>
            <w:alias w:val="是否适用：商誉账面原值[双击切换]"/>
            <w:tag w:val="_GBC_e2a869d440cf4b7f9f592f3e22cea85d"/>
            <w:id w:val="-153767262"/>
            <w:lock w:val="sdtLocked"/>
          </w:sdtPr>
          <w:sdtEndPr/>
          <w:sdtContent>
            <w:p w14:paraId="493227D4" w14:textId="77777777" w:rsidR="007E7472" w:rsidRDefault="00EC1269">
              <w:r>
                <w:fldChar w:fldCharType="begin"/>
              </w:r>
              <w:r>
                <w:instrText xml:space="preserve"> MACROBUTTON SnrToggleCheckbox √适用 </w:instrText>
              </w:r>
              <w:r>
                <w:fldChar w:fldCharType="end"/>
              </w:r>
              <w:r>
                <w:fldChar w:fldCharType="begin"/>
              </w:r>
              <w:r>
                <w:instrText xml:space="preserve">MACROBUTTON  SnrToggleCheckbox □不适用 </w:instrText>
              </w:r>
              <w:r>
                <w:fldChar w:fldCharType="end"/>
              </w:r>
            </w:p>
          </w:sdtContent>
        </w:sdt>
        <w:p w14:paraId="242EBAA5" w14:textId="0BB07AA9" w:rsidR="007E7472" w:rsidRDefault="00EC1269">
          <w:pPr>
            <w:jc w:val="right"/>
          </w:pPr>
          <w:r>
            <w:rPr>
              <w:rFonts w:hint="eastAsia"/>
            </w:rPr>
            <w:t>单位：</w:t>
          </w:r>
          <w:sdt>
            <w:sdtPr>
              <w:rPr>
                <w:rFonts w:hint="eastAsia"/>
              </w:rPr>
              <w:alias w:val="单位：财务附注：商誉"/>
              <w:tag w:val="_GBC_4797b6084eb24fe79f24d181640f3283"/>
              <w:id w:val="1540709912"/>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商誉"/>
              <w:tag w:val="_GBC_7cd9149d9bea4da8974b80b14b1c0e44"/>
              <w:id w:val="5374940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2"/>
            <w:gridCol w:w="1134"/>
            <w:gridCol w:w="1132"/>
            <w:gridCol w:w="619"/>
            <w:gridCol w:w="1083"/>
            <w:gridCol w:w="566"/>
            <w:gridCol w:w="1213"/>
            <w:gridCol w:w="1090"/>
          </w:tblGrid>
          <w:tr w:rsidR="007E7472" w14:paraId="3D2611DA" w14:textId="77777777" w:rsidTr="007E7472">
            <w:trPr>
              <w:trHeight w:val="423"/>
              <w:jc w:val="center"/>
            </w:trPr>
            <w:sdt>
              <w:sdtPr>
                <w:tag w:val="_PLD_b248be5460bf4bb299c4579815256238"/>
                <w:id w:val="-703785718"/>
                <w:lock w:val="sdtLocked"/>
              </w:sdtPr>
              <w:sdtEndPr/>
              <w:sdtContent>
                <w:tc>
                  <w:tcPr>
                    <w:tcW w:w="1123" w:type="pct"/>
                    <w:vMerge w:val="restart"/>
                    <w:shd w:val="clear" w:color="auto" w:fill="auto"/>
                    <w:vAlign w:val="center"/>
                  </w:tcPr>
                  <w:p w14:paraId="2FBB227C" w14:textId="77777777" w:rsidR="007E7472" w:rsidRDefault="00EC1269">
                    <w:pPr>
                      <w:autoSpaceDE w:val="0"/>
                      <w:autoSpaceDN w:val="0"/>
                      <w:adjustRightInd w:val="0"/>
                      <w:snapToGrid w:val="0"/>
                      <w:jc w:val="center"/>
                    </w:pPr>
                    <w:r>
                      <w:rPr>
                        <w:rFonts w:hint="eastAsia"/>
                      </w:rPr>
                      <w:t>被投资单位名称或形成商誉的事项</w:t>
                    </w:r>
                  </w:p>
                </w:tc>
              </w:sdtContent>
            </w:sdt>
            <w:sdt>
              <w:sdtPr>
                <w:tag w:val="_PLD_a25f69a57b624da887f74ab27a20ba0b"/>
                <w:id w:val="1518350521"/>
                <w:lock w:val="sdtLocked"/>
              </w:sdtPr>
              <w:sdtEndPr/>
              <w:sdtContent>
                <w:tc>
                  <w:tcPr>
                    <w:tcW w:w="643" w:type="pct"/>
                    <w:vMerge w:val="restart"/>
                    <w:shd w:val="clear" w:color="auto" w:fill="auto"/>
                    <w:vAlign w:val="center"/>
                  </w:tcPr>
                  <w:p w14:paraId="3926C105" w14:textId="77777777" w:rsidR="007E7472" w:rsidRDefault="00EC1269">
                    <w:pPr>
                      <w:autoSpaceDE w:val="0"/>
                      <w:autoSpaceDN w:val="0"/>
                      <w:adjustRightInd w:val="0"/>
                      <w:snapToGrid w:val="0"/>
                      <w:jc w:val="center"/>
                    </w:pPr>
                    <w:r>
                      <w:rPr>
                        <w:rFonts w:hint="eastAsia"/>
                      </w:rPr>
                      <w:t>期初余额</w:t>
                    </w:r>
                  </w:p>
                </w:tc>
              </w:sdtContent>
            </w:sdt>
            <w:sdt>
              <w:sdtPr>
                <w:tag w:val="_PLD_c348d952dc8b438289897d2014b7d310"/>
                <w:id w:val="2043707146"/>
                <w:lock w:val="sdtLocked"/>
              </w:sdtPr>
              <w:sdtEndPr/>
              <w:sdtContent>
                <w:tc>
                  <w:tcPr>
                    <w:tcW w:w="993" w:type="pct"/>
                    <w:gridSpan w:val="2"/>
                    <w:shd w:val="clear" w:color="auto" w:fill="auto"/>
                    <w:vAlign w:val="center"/>
                  </w:tcPr>
                  <w:p w14:paraId="1EC7ABB8" w14:textId="77777777" w:rsidR="007E7472" w:rsidRDefault="00EC1269">
                    <w:pPr>
                      <w:autoSpaceDE w:val="0"/>
                      <w:autoSpaceDN w:val="0"/>
                      <w:adjustRightInd w:val="0"/>
                      <w:snapToGrid w:val="0"/>
                      <w:jc w:val="center"/>
                    </w:pPr>
                    <w:r>
                      <w:rPr>
                        <w:rFonts w:hint="eastAsia"/>
                      </w:rPr>
                      <w:t>本期增加</w:t>
                    </w:r>
                  </w:p>
                </w:tc>
              </w:sdtContent>
            </w:sdt>
            <w:sdt>
              <w:sdtPr>
                <w:tag w:val="_PLD_5560c6ea7650430a8c304ee861d4bc25"/>
                <w:id w:val="-317108656"/>
                <w:lock w:val="sdtLocked"/>
              </w:sdtPr>
              <w:sdtEndPr/>
              <w:sdtContent>
                <w:tc>
                  <w:tcPr>
                    <w:tcW w:w="935" w:type="pct"/>
                    <w:gridSpan w:val="2"/>
                    <w:shd w:val="clear" w:color="auto" w:fill="auto"/>
                    <w:vAlign w:val="center"/>
                  </w:tcPr>
                  <w:p w14:paraId="6D136F95" w14:textId="77777777" w:rsidR="007E7472" w:rsidRDefault="00EC1269">
                    <w:pPr>
                      <w:autoSpaceDE w:val="0"/>
                      <w:autoSpaceDN w:val="0"/>
                      <w:adjustRightInd w:val="0"/>
                      <w:snapToGrid w:val="0"/>
                      <w:jc w:val="center"/>
                    </w:pPr>
                    <w:r>
                      <w:rPr>
                        <w:rFonts w:hint="eastAsia"/>
                      </w:rPr>
                      <w:t>本期减少</w:t>
                    </w:r>
                  </w:p>
                </w:tc>
              </w:sdtContent>
            </w:sdt>
            <w:sdt>
              <w:sdtPr>
                <w:tag w:val="_PLD_075635973edd4d94a997d2ed78e56d8b"/>
                <w:id w:val="-1204173163"/>
                <w:lock w:val="sdtLocked"/>
              </w:sdtPr>
              <w:sdtEndPr/>
              <w:sdtContent>
                <w:tc>
                  <w:tcPr>
                    <w:tcW w:w="688" w:type="pct"/>
                    <w:vMerge w:val="restart"/>
                    <w:shd w:val="clear" w:color="auto" w:fill="auto"/>
                    <w:vAlign w:val="center"/>
                  </w:tcPr>
                  <w:p w14:paraId="1DAC9ABF" w14:textId="77777777" w:rsidR="007E7472" w:rsidRDefault="00EC1269">
                    <w:pPr>
                      <w:autoSpaceDE w:val="0"/>
                      <w:autoSpaceDN w:val="0"/>
                      <w:adjustRightInd w:val="0"/>
                      <w:snapToGrid w:val="0"/>
                      <w:jc w:val="center"/>
                    </w:pPr>
                    <w:r>
                      <w:rPr>
                        <w:rFonts w:hint="eastAsia"/>
                      </w:rPr>
                      <w:t>外币报表折算差额</w:t>
                    </w:r>
                  </w:p>
                </w:tc>
              </w:sdtContent>
            </w:sdt>
            <w:sdt>
              <w:sdtPr>
                <w:tag w:val="_PLD_075635973edd4d94a997d2ed78e56d8b"/>
                <w:id w:val="-1569488854"/>
                <w:lock w:val="sdtLocked"/>
              </w:sdtPr>
              <w:sdtEndPr/>
              <w:sdtContent>
                <w:tc>
                  <w:tcPr>
                    <w:tcW w:w="618" w:type="pct"/>
                    <w:vMerge w:val="restart"/>
                    <w:shd w:val="clear" w:color="auto" w:fill="auto"/>
                    <w:vAlign w:val="center"/>
                  </w:tcPr>
                  <w:p w14:paraId="01B94F5B" w14:textId="77777777" w:rsidR="007E7472" w:rsidRDefault="00EC1269">
                    <w:pPr>
                      <w:autoSpaceDE w:val="0"/>
                      <w:autoSpaceDN w:val="0"/>
                      <w:adjustRightInd w:val="0"/>
                      <w:snapToGrid w:val="0"/>
                      <w:jc w:val="center"/>
                    </w:pPr>
                    <w:r>
                      <w:rPr>
                        <w:rFonts w:hint="eastAsia"/>
                      </w:rPr>
                      <w:t>期末余额</w:t>
                    </w:r>
                  </w:p>
                </w:tc>
              </w:sdtContent>
            </w:sdt>
          </w:tr>
          <w:tr w:rsidR="007E7472" w14:paraId="24FAAAE9" w14:textId="77777777" w:rsidTr="007E7472">
            <w:trPr>
              <w:trHeight w:val="535"/>
              <w:jc w:val="center"/>
            </w:trPr>
            <w:tc>
              <w:tcPr>
                <w:tcW w:w="1123" w:type="pct"/>
                <w:vMerge/>
                <w:shd w:val="clear" w:color="auto" w:fill="auto"/>
              </w:tcPr>
              <w:p w14:paraId="7887B016" w14:textId="77777777" w:rsidR="007E7472" w:rsidRDefault="00C8327E">
                <w:pPr>
                  <w:autoSpaceDE w:val="0"/>
                  <w:autoSpaceDN w:val="0"/>
                  <w:adjustRightInd w:val="0"/>
                  <w:snapToGrid w:val="0"/>
                  <w:jc w:val="center"/>
                </w:pPr>
              </w:p>
            </w:tc>
            <w:tc>
              <w:tcPr>
                <w:tcW w:w="643" w:type="pct"/>
                <w:vMerge/>
                <w:shd w:val="clear" w:color="auto" w:fill="auto"/>
              </w:tcPr>
              <w:p w14:paraId="087B2F50" w14:textId="77777777" w:rsidR="007E7472" w:rsidRDefault="00C8327E">
                <w:pPr>
                  <w:autoSpaceDE w:val="0"/>
                  <w:autoSpaceDN w:val="0"/>
                  <w:adjustRightInd w:val="0"/>
                  <w:snapToGrid w:val="0"/>
                  <w:jc w:val="center"/>
                </w:pPr>
              </w:p>
            </w:tc>
            <w:sdt>
              <w:sdtPr>
                <w:tag w:val="_PLD_1553ab7e041e4cd0bdd59c30d303dc84"/>
                <w:id w:val="547892763"/>
                <w:lock w:val="sdtLocked"/>
              </w:sdtPr>
              <w:sdtEndPr/>
              <w:sdtContent>
                <w:tc>
                  <w:tcPr>
                    <w:tcW w:w="642" w:type="pct"/>
                    <w:shd w:val="clear" w:color="auto" w:fill="auto"/>
                    <w:vAlign w:val="center"/>
                  </w:tcPr>
                  <w:p w14:paraId="78D2B227" w14:textId="77777777" w:rsidR="007E7472" w:rsidRDefault="00EC1269">
                    <w:pPr>
                      <w:autoSpaceDE w:val="0"/>
                      <w:autoSpaceDN w:val="0"/>
                      <w:adjustRightInd w:val="0"/>
                      <w:snapToGrid w:val="0"/>
                      <w:jc w:val="center"/>
                    </w:pPr>
                    <w:r>
                      <w:rPr>
                        <w:rFonts w:hint="eastAsia"/>
                      </w:rPr>
                      <w:t>企业合并形成的</w:t>
                    </w:r>
                  </w:p>
                </w:tc>
              </w:sdtContent>
            </w:sdt>
            <w:sdt>
              <w:sdtPr>
                <w:alias w:val="商誉账面原值本期增加额项目名称"/>
                <w:tag w:val="_GBC_c14b754516e24efd9115d33500cd04df"/>
                <w:id w:val="261891575"/>
                <w:lock w:val="sdtLocked"/>
              </w:sdtPr>
              <w:sdtEndPr>
                <w:rPr>
                  <w:rFonts w:hint="eastAsia"/>
                </w:rPr>
              </w:sdtEndPr>
              <w:sdtContent>
                <w:tc>
                  <w:tcPr>
                    <w:tcW w:w="351" w:type="pct"/>
                    <w:shd w:val="clear" w:color="auto" w:fill="auto"/>
                    <w:vAlign w:val="center"/>
                  </w:tcPr>
                  <w:p w14:paraId="460974CF" w14:textId="77777777" w:rsidR="007E7472" w:rsidRDefault="00EC1269">
                    <w:pPr>
                      <w:autoSpaceDE w:val="0"/>
                      <w:autoSpaceDN w:val="0"/>
                      <w:adjustRightInd w:val="0"/>
                      <w:snapToGrid w:val="0"/>
                      <w:jc w:val="center"/>
                    </w:pPr>
                    <w:r>
                      <w:t>其他</w:t>
                    </w:r>
                  </w:p>
                </w:tc>
              </w:sdtContent>
            </w:sdt>
            <w:sdt>
              <w:sdtPr>
                <w:tag w:val="_PLD_52f6eef41a0247f195c94af6823a4b67"/>
                <w:id w:val="-885876208"/>
                <w:lock w:val="sdtLocked"/>
              </w:sdtPr>
              <w:sdtEndPr/>
              <w:sdtContent>
                <w:tc>
                  <w:tcPr>
                    <w:tcW w:w="614" w:type="pct"/>
                    <w:shd w:val="clear" w:color="auto" w:fill="auto"/>
                    <w:vAlign w:val="center"/>
                  </w:tcPr>
                  <w:p w14:paraId="73D2FFBD" w14:textId="77777777" w:rsidR="007E7472" w:rsidRDefault="00EC1269">
                    <w:pPr>
                      <w:autoSpaceDE w:val="0"/>
                      <w:autoSpaceDN w:val="0"/>
                      <w:adjustRightInd w:val="0"/>
                      <w:snapToGrid w:val="0"/>
                      <w:jc w:val="center"/>
                    </w:pPr>
                    <w:r>
                      <w:rPr>
                        <w:rFonts w:hint="eastAsia"/>
                      </w:rPr>
                      <w:t>处置</w:t>
                    </w:r>
                  </w:p>
                </w:tc>
              </w:sdtContent>
            </w:sdt>
            <w:sdt>
              <w:sdtPr>
                <w:alias w:val="商誉账面原值本期减少额项目名称"/>
                <w:tag w:val="_GBC_5ba36aaca8144cb8979636970f4c6ae3"/>
                <w:id w:val="-1522088775"/>
                <w:lock w:val="sdtLocked"/>
              </w:sdtPr>
              <w:sdtEndPr>
                <w:rPr>
                  <w:rFonts w:hint="eastAsia"/>
                </w:rPr>
              </w:sdtEndPr>
              <w:sdtContent>
                <w:tc>
                  <w:tcPr>
                    <w:tcW w:w="321" w:type="pct"/>
                    <w:shd w:val="clear" w:color="auto" w:fill="auto"/>
                    <w:vAlign w:val="center"/>
                  </w:tcPr>
                  <w:p w14:paraId="00A9EE00" w14:textId="77777777" w:rsidR="007E7472" w:rsidRDefault="00EC1269">
                    <w:pPr>
                      <w:autoSpaceDE w:val="0"/>
                      <w:autoSpaceDN w:val="0"/>
                      <w:adjustRightInd w:val="0"/>
                      <w:snapToGrid w:val="0"/>
                      <w:jc w:val="center"/>
                    </w:pPr>
                    <w:r>
                      <w:t>其他</w:t>
                    </w:r>
                  </w:p>
                </w:tc>
              </w:sdtContent>
            </w:sdt>
            <w:tc>
              <w:tcPr>
                <w:tcW w:w="688" w:type="pct"/>
                <w:vMerge/>
                <w:shd w:val="clear" w:color="auto" w:fill="auto"/>
              </w:tcPr>
              <w:p w14:paraId="121C1EB0" w14:textId="77777777" w:rsidR="007E7472" w:rsidRDefault="00C8327E">
                <w:pPr>
                  <w:autoSpaceDE w:val="0"/>
                  <w:autoSpaceDN w:val="0"/>
                  <w:adjustRightInd w:val="0"/>
                  <w:snapToGrid w:val="0"/>
                  <w:jc w:val="center"/>
                </w:pPr>
              </w:p>
            </w:tc>
            <w:tc>
              <w:tcPr>
                <w:tcW w:w="618" w:type="pct"/>
                <w:vMerge/>
                <w:shd w:val="clear" w:color="auto" w:fill="auto"/>
              </w:tcPr>
              <w:p w14:paraId="5BD2119D" w14:textId="77777777" w:rsidR="007E7472" w:rsidRDefault="00C8327E">
                <w:pPr>
                  <w:autoSpaceDE w:val="0"/>
                  <w:autoSpaceDN w:val="0"/>
                  <w:adjustRightInd w:val="0"/>
                  <w:snapToGrid w:val="0"/>
                  <w:jc w:val="center"/>
                </w:pPr>
              </w:p>
            </w:tc>
          </w:tr>
          <w:sdt>
            <w:sdtPr>
              <w:alias w:val="商誉明细"/>
              <w:tag w:val="_GBC_916c5c3712e44d7db6b8c9e16bcf5865"/>
              <w:id w:val="1123578400"/>
              <w:lock w:val="sdtLocked"/>
            </w:sdtPr>
            <w:sdtEndPr/>
            <w:sdtContent>
              <w:tr w:rsidR="007E7472" w14:paraId="08F40E49" w14:textId="77777777" w:rsidTr="007E7472">
                <w:trPr>
                  <w:trHeight w:val="340"/>
                  <w:jc w:val="center"/>
                </w:trPr>
                <w:tc>
                  <w:tcPr>
                    <w:tcW w:w="1123" w:type="pct"/>
                    <w:shd w:val="clear" w:color="auto" w:fill="auto"/>
                    <w:vAlign w:val="center"/>
                  </w:tcPr>
                  <w:p w14:paraId="3F7B79F9" w14:textId="77777777" w:rsidR="007E7472" w:rsidRDefault="00EC1269">
                    <w:pPr>
                      <w:autoSpaceDE w:val="0"/>
                      <w:autoSpaceDN w:val="0"/>
                      <w:adjustRightInd w:val="0"/>
                      <w:snapToGrid w:val="0"/>
                    </w:pPr>
                    <w:r>
                      <w:rPr>
                        <w:rFonts w:hint="eastAsia"/>
                      </w:rPr>
                      <w:t>收购鑫泰</w:t>
                    </w:r>
                  </w:p>
                </w:tc>
                <w:tc>
                  <w:tcPr>
                    <w:tcW w:w="643" w:type="pct"/>
                    <w:shd w:val="clear" w:color="auto" w:fill="auto"/>
                    <w:vAlign w:val="center"/>
                  </w:tcPr>
                  <w:p w14:paraId="7F030A50" w14:textId="77777777" w:rsidR="007E7472" w:rsidRDefault="00EC1269">
                    <w:pPr>
                      <w:autoSpaceDE w:val="0"/>
                      <w:autoSpaceDN w:val="0"/>
                      <w:adjustRightInd w:val="0"/>
                      <w:snapToGrid w:val="0"/>
                      <w:jc w:val="right"/>
                    </w:pPr>
                    <w:r>
                      <w:rPr>
                        <w:rFonts w:hint="eastAsia"/>
                      </w:rPr>
                      <w:t>653,836</w:t>
                    </w:r>
                  </w:p>
                </w:tc>
                <w:tc>
                  <w:tcPr>
                    <w:tcW w:w="642" w:type="pct"/>
                    <w:shd w:val="clear" w:color="auto" w:fill="auto"/>
                    <w:vAlign w:val="center"/>
                  </w:tcPr>
                  <w:p w14:paraId="32AF9C7E" w14:textId="77777777" w:rsidR="007E7472" w:rsidRDefault="00C8327E">
                    <w:pPr>
                      <w:autoSpaceDE w:val="0"/>
                      <w:autoSpaceDN w:val="0"/>
                      <w:adjustRightInd w:val="0"/>
                      <w:snapToGrid w:val="0"/>
                      <w:jc w:val="right"/>
                    </w:pPr>
                  </w:p>
                </w:tc>
                <w:tc>
                  <w:tcPr>
                    <w:tcW w:w="351" w:type="pct"/>
                    <w:shd w:val="clear" w:color="auto" w:fill="auto"/>
                    <w:vAlign w:val="center"/>
                  </w:tcPr>
                  <w:p w14:paraId="16136A50" w14:textId="77777777" w:rsidR="007E7472" w:rsidRDefault="00C8327E">
                    <w:pPr>
                      <w:autoSpaceDE w:val="0"/>
                      <w:autoSpaceDN w:val="0"/>
                      <w:adjustRightInd w:val="0"/>
                      <w:snapToGrid w:val="0"/>
                      <w:jc w:val="right"/>
                    </w:pPr>
                  </w:p>
                </w:tc>
                <w:tc>
                  <w:tcPr>
                    <w:tcW w:w="614" w:type="pct"/>
                    <w:shd w:val="clear" w:color="auto" w:fill="auto"/>
                    <w:vAlign w:val="center"/>
                  </w:tcPr>
                  <w:p w14:paraId="01E23F0E" w14:textId="77777777" w:rsidR="007E7472" w:rsidRDefault="00C8327E">
                    <w:pPr>
                      <w:autoSpaceDE w:val="0"/>
                      <w:autoSpaceDN w:val="0"/>
                      <w:adjustRightInd w:val="0"/>
                      <w:snapToGrid w:val="0"/>
                      <w:jc w:val="right"/>
                    </w:pPr>
                  </w:p>
                </w:tc>
                <w:tc>
                  <w:tcPr>
                    <w:tcW w:w="321" w:type="pct"/>
                    <w:shd w:val="clear" w:color="auto" w:fill="auto"/>
                    <w:vAlign w:val="center"/>
                  </w:tcPr>
                  <w:p w14:paraId="5F99B435" w14:textId="77777777" w:rsidR="007E7472" w:rsidRDefault="00C8327E">
                    <w:pPr>
                      <w:autoSpaceDE w:val="0"/>
                      <w:autoSpaceDN w:val="0"/>
                      <w:adjustRightInd w:val="0"/>
                      <w:snapToGrid w:val="0"/>
                      <w:jc w:val="right"/>
                    </w:pPr>
                  </w:p>
                </w:tc>
                <w:tc>
                  <w:tcPr>
                    <w:tcW w:w="688" w:type="pct"/>
                    <w:shd w:val="clear" w:color="auto" w:fill="auto"/>
                    <w:vAlign w:val="center"/>
                  </w:tcPr>
                  <w:p w14:paraId="26A330F8" w14:textId="77777777" w:rsidR="007E7472" w:rsidRDefault="00C8327E">
                    <w:pPr>
                      <w:autoSpaceDE w:val="0"/>
                      <w:autoSpaceDN w:val="0"/>
                      <w:adjustRightInd w:val="0"/>
                      <w:snapToGrid w:val="0"/>
                      <w:jc w:val="right"/>
                    </w:pPr>
                  </w:p>
                </w:tc>
                <w:tc>
                  <w:tcPr>
                    <w:tcW w:w="618" w:type="pct"/>
                    <w:shd w:val="clear" w:color="auto" w:fill="auto"/>
                    <w:vAlign w:val="center"/>
                  </w:tcPr>
                  <w:p w14:paraId="5D9A7129" w14:textId="77777777" w:rsidR="007E7472" w:rsidRDefault="00EC1269">
                    <w:pPr>
                      <w:autoSpaceDE w:val="0"/>
                      <w:autoSpaceDN w:val="0"/>
                      <w:adjustRightInd w:val="0"/>
                      <w:snapToGrid w:val="0"/>
                      <w:jc w:val="right"/>
                    </w:pPr>
                    <w:r>
                      <w:rPr>
                        <w:rFonts w:hint="eastAsia"/>
                      </w:rPr>
                      <w:t>653,836</w:t>
                    </w:r>
                  </w:p>
                </w:tc>
              </w:tr>
            </w:sdtContent>
          </w:sdt>
          <w:sdt>
            <w:sdtPr>
              <w:alias w:val="商誉明细"/>
              <w:tag w:val="_GBC_916c5c3712e44d7db6b8c9e16bcf5865"/>
              <w:id w:val="-1871749827"/>
              <w:lock w:val="sdtLocked"/>
            </w:sdtPr>
            <w:sdtEndPr/>
            <w:sdtContent>
              <w:tr w:rsidR="007E7472" w14:paraId="6184D7A3" w14:textId="77777777" w:rsidTr="007E7472">
                <w:trPr>
                  <w:trHeight w:val="340"/>
                  <w:jc w:val="center"/>
                </w:trPr>
                <w:tc>
                  <w:tcPr>
                    <w:tcW w:w="1123" w:type="pct"/>
                    <w:shd w:val="clear" w:color="auto" w:fill="auto"/>
                    <w:vAlign w:val="center"/>
                  </w:tcPr>
                  <w:p w14:paraId="15D4B893" w14:textId="77777777" w:rsidR="007E7472" w:rsidRDefault="00EC1269">
                    <w:pPr>
                      <w:autoSpaceDE w:val="0"/>
                      <w:autoSpaceDN w:val="0"/>
                      <w:adjustRightInd w:val="0"/>
                      <w:snapToGrid w:val="0"/>
                    </w:pPr>
                    <w:r>
                      <w:rPr>
                        <w:rFonts w:hint="eastAsia"/>
                      </w:rPr>
                      <w:t>收购兖煤资源</w:t>
                    </w:r>
                  </w:p>
                </w:tc>
                <w:tc>
                  <w:tcPr>
                    <w:tcW w:w="643" w:type="pct"/>
                    <w:shd w:val="clear" w:color="auto" w:fill="auto"/>
                    <w:vAlign w:val="center"/>
                  </w:tcPr>
                  <w:p w14:paraId="1CB99FC5" w14:textId="77777777" w:rsidR="007E7472" w:rsidRDefault="00EC1269">
                    <w:pPr>
                      <w:autoSpaceDE w:val="0"/>
                      <w:autoSpaceDN w:val="0"/>
                      <w:adjustRightInd w:val="0"/>
                      <w:snapToGrid w:val="0"/>
                      <w:jc w:val="right"/>
                    </w:pPr>
                    <w:r>
                      <w:rPr>
                        <w:rFonts w:hint="eastAsia"/>
                      </w:rPr>
                      <w:t>287,699</w:t>
                    </w:r>
                  </w:p>
                </w:tc>
                <w:tc>
                  <w:tcPr>
                    <w:tcW w:w="642" w:type="pct"/>
                    <w:shd w:val="clear" w:color="auto" w:fill="auto"/>
                    <w:vAlign w:val="center"/>
                  </w:tcPr>
                  <w:p w14:paraId="1832FD2B" w14:textId="77777777" w:rsidR="007E7472" w:rsidRDefault="00C8327E">
                    <w:pPr>
                      <w:autoSpaceDE w:val="0"/>
                      <w:autoSpaceDN w:val="0"/>
                      <w:adjustRightInd w:val="0"/>
                      <w:snapToGrid w:val="0"/>
                      <w:jc w:val="right"/>
                    </w:pPr>
                  </w:p>
                </w:tc>
                <w:tc>
                  <w:tcPr>
                    <w:tcW w:w="351" w:type="pct"/>
                    <w:shd w:val="clear" w:color="auto" w:fill="auto"/>
                    <w:vAlign w:val="center"/>
                  </w:tcPr>
                  <w:p w14:paraId="772721BA" w14:textId="77777777" w:rsidR="007E7472" w:rsidRDefault="00C8327E">
                    <w:pPr>
                      <w:autoSpaceDE w:val="0"/>
                      <w:autoSpaceDN w:val="0"/>
                      <w:adjustRightInd w:val="0"/>
                      <w:snapToGrid w:val="0"/>
                      <w:jc w:val="right"/>
                    </w:pPr>
                  </w:p>
                </w:tc>
                <w:tc>
                  <w:tcPr>
                    <w:tcW w:w="614" w:type="pct"/>
                    <w:shd w:val="clear" w:color="auto" w:fill="auto"/>
                    <w:vAlign w:val="center"/>
                  </w:tcPr>
                  <w:p w14:paraId="3345C4DF" w14:textId="77777777" w:rsidR="007E7472" w:rsidRDefault="00C8327E">
                    <w:pPr>
                      <w:autoSpaceDE w:val="0"/>
                      <w:autoSpaceDN w:val="0"/>
                      <w:adjustRightInd w:val="0"/>
                      <w:snapToGrid w:val="0"/>
                      <w:jc w:val="right"/>
                    </w:pPr>
                  </w:p>
                </w:tc>
                <w:tc>
                  <w:tcPr>
                    <w:tcW w:w="321" w:type="pct"/>
                    <w:shd w:val="clear" w:color="auto" w:fill="auto"/>
                    <w:vAlign w:val="center"/>
                  </w:tcPr>
                  <w:p w14:paraId="169E72DC" w14:textId="77777777" w:rsidR="007E7472" w:rsidRDefault="00C8327E">
                    <w:pPr>
                      <w:autoSpaceDE w:val="0"/>
                      <w:autoSpaceDN w:val="0"/>
                      <w:adjustRightInd w:val="0"/>
                      <w:snapToGrid w:val="0"/>
                      <w:jc w:val="right"/>
                    </w:pPr>
                  </w:p>
                </w:tc>
                <w:tc>
                  <w:tcPr>
                    <w:tcW w:w="688" w:type="pct"/>
                    <w:shd w:val="clear" w:color="auto" w:fill="auto"/>
                    <w:vAlign w:val="center"/>
                  </w:tcPr>
                  <w:p w14:paraId="57A91F36" w14:textId="77777777" w:rsidR="007E7472" w:rsidRDefault="00EC1269">
                    <w:pPr>
                      <w:autoSpaceDE w:val="0"/>
                      <w:autoSpaceDN w:val="0"/>
                      <w:adjustRightInd w:val="0"/>
                      <w:snapToGrid w:val="0"/>
                      <w:jc w:val="right"/>
                    </w:pPr>
                    <w:r>
                      <w:t>5,212</w:t>
                    </w:r>
                  </w:p>
                </w:tc>
                <w:tc>
                  <w:tcPr>
                    <w:tcW w:w="618" w:type="pct"/>
                    <w:shd w:val="clear" w:color="auto" w:fill="auto"/>
                    <w:vAlign w:val="center"/>
                  </w:tcPr>
                  <w:p w14:paraId="0E1F4ACA" w14:textId="77777777" w:rsidR="007E7472" w:rsidRDefault="00EC1269">
                    <w:pPr>
                      <w:autoSpaceDE w:val="0"/>
                      <w:autoSpaceDN w:val="0"/>
                      <w:adjustRightInd w:val="0"/>
                      <w:snapToGrid w:val="0"/>
                      <w:jc w:val="right"/>
                    </w:pPr>
                    <w:r>
                      <w:rPr>
                        <w:rFonts w:hint="eastAsia"/>
                      </w:rPr>
                      <w:t>292,911</w:t>
                    </w:r>
                  </w:p>
                </w:tc>
              </w:tr>
            </w:sdtContent>
          </w:sdt>
          <w:sdt>
            <w:sdtPr>
              <w:alias w:val="商誉明细"/>
              <w:tag w:val="_GBC_916c5c3712e44d7db6b8c9e16bcf5865"/>
              <w:id w:val="1345594383"/>
              <w:lock w:val="sdtLocked"/>
            </w:sdtPr>
            <w:sdtEndPr/>
            <w:sdtContent>
              <w:tr w:rsidR="007E7472" w14:paraId="33CA899A" w14:textId="77777777" w:rsidTr="007E7472">
                <w:trPr>
                  <w:trHeight w:val="340"/>
                  <w:jc w:val="center"/>
                </w:trPr>
                <w:tc>
                  <w:tcPr>
                    <w:tcW w:w="1123" w:type="pct"/>
                    <w:shd w:val="clear" w:color="auto" w:fill="auto"/>
                    <w:vAlign w:val="center"/>
                  </w:tcPr>
                  <w:p w14:paraId="40516128" w14:textId="77777777" w:rsidR="007E7472" w:rsidRDefault="00EC1269">
                    <w:pPr>
                      <w:autoSpaceDE w:val="0"/>
                      <w:autoSpaceDN w:val="0"/>
                      <w:adjustRightInd w:val="0"/>
                      <w:snapToGrid w:val="0"/>
                    </w:pPr>
                    <w:r>
                      <w:rPr>
                        <w:rFonts w:hint="eastAsia"/>
                      </w:rPr>
                      <w:t>收购新泰克Ⅱ</w:t>
                    </w:r>
                  </w:p>
                </w:tc>
                <w:tc>
                  <w:tcPr>
                    <w:tcW w:w="643" w:type="pct"/>
                    <w:shd w:val="clear" w:color="auto" w:fill="auto"/>
                    <w:vAlign w:val="center"/>
                  </w:tcPr>
                  <w:p w14:paraId="0D090650" w14:textId="77777777" w:rsidR="007E7472" w:rsidRDefault="00EC1269">
                    <w:pPr>
                      <w:autoSpaceDE w:val="0"/>
                      <w:autoSpaceDN w:val="0"/>
                      <w:adjustRightInd w:val="0"/>
                      <w:snapToGrid w:val="0"/>
                      <w:jc w:val="right"/>
                    </w:pPr>
                    <w:r>
                      <w:rPr>
                        <w:rFonts w:hint="eastAsia"/>
                      </w:rPr>
                      <w:t>20,618</w:t>
                    </w:r>
                  </w:p>
                </w:tc>
                <w:tc>
                  <w:tcPr>
                    <w:tcW w:w="642" w:type="pct"/>
                    <w:shd w:val="clear" w:color="auto" w:fill="auto"/>
                    <w:vAlign w:val="center"/>
                  </w:tcPr>
                  <w:p w14:paraId="2E43E92E" w14:textId="77777777" w:rsidR="007E7472" w:rsidRDefault="00C8327E">
                    <w:pPr>
                      <w:autoSpaceDE w:val="0"/>
                      <w:autoSpaceDN w:val="0"/>
                      <w:adjustRightInd w:val="0"/>
                      <w:snapToGrid w:val="0"/>
                      <w:jc w:val="right"/>
                    </w:pPr>
                  </w:p>
                </w:tc>
                <w:tc>
                  <w:tcPr>
                    <w:tcW w:w="351" w:type="pct"/>
                    <w:shd w:val="clear" w:color="auto" w:fill="auto"/>
                    <w:vAlign w:val="center"/>
                  </w:tcPr>
                  <w:p w14:paraId="7E555370" w14:textId="77777777" w:rsidR="007E7472" w:rsidRDefault="00C8327E">
                    <w:pPr>
                      <w:autoSpaceDE w:val="0"/>
                      <w:autoSpaceDN w:val="0"/>
                      <w:adjustRightInd w:val="0"/>
                      <w:snapToGrid w:val="0"/>
                      <w:jc w:val="right"/>
                    </w:pPr>
                  </w:p>
                </w:tc>
                <w:tc>
                  <w:tcPr>
                    <w:tcW w:w="614" w:type="pct"/>
                    <w:shd w:val="clear" w:color="auto" w:fill="auto"/>
                    <w:vAlign w:val="center"/>
                  </w:tcPr>
                  <w:p w14:paraId="2A6EE5B4" w14:textId="77777777" w:rsidR="007E7472" w:rsidRDefault="00C8327E">
                    <w:pPr>
                      <w:autoSpaceDE w:val="0"/>
                      <w:autoSpaceDN w:val="0"/>
                      <w:adjustRightInd w:val="0"/>
                      <w:snapToGrid w:val="0"/>
                      <w:jc w:val="right"/>
                    </w:pPr>
                  </w:p>
                </w:tc>
                <w:tc>
                  <w:tcPr>
                    <w:tcW w:w="321" w:type="pct"/>
                    <w:shd w:val="clear" w:color="auto" w:fill="auto"/>
                    <w:vAlign w:val="center"/>
                  </w:tcPr>
                  <w:p w14:paraId="7B6EE129" w14:textId="77777777" w:rsidR="007E7472" w:rsidRDefault="00C8327E">
                    <w:pPr>
                      <w:autoSpaceDE w:val="0"/>
                      <w:autoSpaceDN w:val="0"/>
                      <w:adjustRightInd w:val="0"/>
                      <w:snapToGrid w:val="0"/>
                      <w:jc w:val="right"/>
                    </w:pPr>
                  </w:p>
                </w:tc>
                <w:tc>
                  <w:tcPr>
                    <w:tcW w:w="688" w:type="pct"/>
                    <w:shd w:val="clear" w:color="auto" w:fill="auto"/>
                    <w:vAlign w:val="center"/>
                  </w:tcPr>
                  <w:p w14:paraId="67C0D9A1" w14:textId="77777777" w:rsidR="007E7472" w:rsidRDefault="00EC1269">
                    <w:pPr>
                      <w:autoSpaceDE w:val="0"/>
                      <w:autoSpaceDN w:val="0"/>
                      <w:adjustRightInd w:val="0"/>
                      <w:snapToGrid w:val="0"/>
                      <w:jc w:val="right"/>
                    </w:pPr>
                    <w:r>
                      <w:t>374</w:t>
                    </w:r>
                  </w:p>
                </w:tc>
                <w:tc>
                  <w:tcPr>
                    <w:tcW w:w="618" w:type="pct"/>
                    <w:shd w:val="clear" w:color="auto" w:fill="auto"/>
                    <w:vAlign w:val="center"/>
                  </w:tcPr>
                  <w:p w14:paraId="6C69D984" w14:textId="77777777" w:rsidR="007E7472" w:rsidRDefault="00EC1269">
                    <w:pPr>
                      <w:autoSpaceDE w:val="0"/>
                      <w:autoSpaceDN w:val="0"/>
                      <w:adjustRightInd w:val="0"/>
                      <w:snapToGrid w:val="0"/>
                      <w:jc w:val="right"/>
                    </w:pPr>
                    <w:r>
                      <w:rPr>
                        <w:rFonts w:hint="eastAsia"/>
                      </w:rPr>
                      <w:t>20,992</w:t>
                    </w:r>
                  </w:p>
                </w:tc>
              </w:tr>
            </w:sdtContent>
          </w:sdt>
          <w:sdt>
            <w:sdtPr>
              <w:alias w:val="商誉明细"/>
              <w:tag w:val="_GBC_916c5c3712e44d7db6b8c9e16bcf5865"/>
              <w:id w:val="-1477750012"/>
              <w:lock w:val="sdtLocked"/>
            </w:sdtPr>
            <w:sdtEndPr/>
            <w:sdtContent>
              <w:tr w:rsidR="007E7472" w14:paraId="63E384E6" w14:textId="77777777" w:rsidTr="007E7472">
                <w:trPr>
                  <w:trHeight w:val="340"/>
                  <w:jc w:val="center"/>
                </w:trPr>
                <w:tc>
                  <w:tcPr>
                    <w:tcW w:w="1123" w:type="pct"/>
                    <w:shd w:val="clear" w:color="auto" w:fill="auto"/>
                    <w:vAlign w:val="center"/>
                  </w:tcPr>
                  <w:p w14:paraId="7C0D9B1B" w14:textId="77777777" w:rsidR="007E7472" w:rsidRDefault="00EC1269">
                    <w:pPr>
                      <w:autoSpaceDE w:val="0"/>
                      <w:autoSpaceDN w:val="0"/>
                      <w:adjustRightInd w:val="0"/>
                      <w:snapToGrid w:val="0"/>
                    </w:pPr>
                    <w:r>
                      <w:rPr>
                        <w:rFonts w:hint="eastAsia"/>
                      </w:rPr>
                      <w:t>收购普力马</w:t>
                    </w:r>
                  </w:p>
                </w:tc>
                <w:tc>
                  <w:tcPr>
                    <w:tcW w:w="643" w:type="pct"/>
                    <w:shd w:val="clear" w:color="auto" w:fill="auto"/>
                    <w:vAlign w:val="center"/>
                  </w:tcPr>
                  <w:p w14:paraId="3104438F" w14:textId="77777777" w:rsidR="007E7472" w:rsidRDefault="00EC1269">
                    <w:pPr>
                      <w:autoSpaceDE w:val="0"/>
                      <w:autoSpaceDN w:val="0"/>
                      <w:adjustRightInd w:val="0"/>
                      <w:snapToGrid w:val="0"/>
                      <w:jc w:val="right"/>
                    </w:pPr>
                    <w:r>
                      <w:rPr>
                        <w:rFonts w:hint="eastAsia"/>
                      </w:rPr>
                      <w:t>12,822</w:t>
                    </w:r>
                  </w:p>
                </w:tc>
                <w:tc>
                  <w:tcPr>
                    <w:tcW w:w="642" w:type="pct"/>
                    <w:shd w:val="clear" w:color="auto" w:fill="auto"/>
                    <w:vAlign w:val="center"/>
                  </w:tcPr>
                  <w:p w14:paraId="0BA09C65" w14:textId="77777777" w:rsidR="007E7472" w:rsidRDefault="00C8327E">
                    <w:pPr>
                      <w:autoSpaceDE w:val="0"/>
                      <w:autoSpaceDN w:val="0"/>
                      <w:adjustRightInd w:val="0"/>
                      <w:snapToGrid w:val="0"/>
                      <w:jc w:val="right"/>
                    </w:pPr>
                  </w:p>
                </w:tc>
                <w:tc>
                  <w:tcPr>
                    <w:tcW w:w="351" w:type="pct"/>
                    <w:shd w:val="clear" w:color="auto" w:fill="auto"/>
                    <w:vAlign w:val="center"/>
                  </w:tcPr>
                  <w:p w14:paraId="2B9C8132" w14:textId="77777777" w:rsidR="007E7472" w:rsidRDefault="00C8327E">
                    <w:pPr>
                      <w:autoSpaceDE w:val="0"/>
                      <w:autoSpaceDN w:val="0"/>
                      <w:adjustRightInd w:val="0"/>
                      <w:snapToGrid w:val="0"/>
                      <w:jc w:val="right"/>
                    </w:pPr>
                  </w:p>
                </w:tc>
                <w:tc>
                  <w:tcPr>
                    <w:tcW w:w="614" w:type="pct"/>
                    <w:shd w:val="clear" w:color="auto" w:fill="auto"/>
                    <w:vAlign w:val="center"/>
                  </w:tcPr>
                  <w:p w14:paraId="2E151EFA" w14:textId="77777777" w:rsidR="007E7472" w:rsidRDefault="00C8327E">
                    <w:pPr>
                      <w:autoSpaceDE w:val="0"/>
                      <w:autoSpaceDN w:val="0"/>
                      <w:adjustRightInd w:val="0"/>
                      <w:snapToGrid w:val="0"/>
                      <w:jc w:val="right"/>
                    </w:pPr>
                  </w:p>
                </w:tc>
                <w:tc>
                  <w:tcPr>
                    <w:tcW w:w="321" w:type="pct"/>
                    <w:shd w:val="clear" w:color="auto" w:fill="auto"/>
                    <w:vAlign w:val="center"/>
                  </w:tcPr>
                  <w:p w14:paraId="7B521F0E" w14:textId="77777777" w:rsidR="007E7472" w:rsidRDefault="00C8327E">
                    <w:pPr>
                      <w:autoSpaceDE w:val="0"/>
                      <w:autoSpaceDN w:val="0"/>
                      <w:adjustRightInd w:val="0"/>
                      <w:snapToGrid w:val="0"/>
                      <w:jc w:val="right"/>
                    </w:pPr>
                  </w:p>
                </w:tc>
                <w:tc>
                  <w:tcPr>
                    <w:tcW w:w="688" w:type="pct"/>
                    <w:shd w:val="clear" w:color="auto" w:fill="auto"/>
                    <w:vAlign w:val="center"/>
                  </w:tcPr>
                  <w:p w14:paraId="187E4BCF" w14:textId="77777777" w:rsidR="007E7472" w:rsidRDefault="00EC1269">
                    <w:pPr>
                      <w:autoSpaceDE w:val="0"/>
                      <w:autoSpaceDN w:val="0"/>
                      <w:adjustRightInd w:val="0"/>
                      <w:snapToGrid w:val="0"/>
                      <w:jc w:val="right"/>
                    </w:pPr>
                    <w:r>
                      <w:t>232</w:t>
                    </w:r>
                  </w:p>
                </w:tc>
                <w:tc>
                  <w:tcPr>
                    <w:tcW w:w="618" w:type="pct"/>
                    <w:shd w:val="clear" w:color="auto" w:fill="auto"/>
                    <w:vAlign w:val="center"/>
                  </w:tcPr>
                  <w:p w14:paraId="402EF115" w14:textId="77777777" w:rsidR="007E7472" w:rsidRDefault="00EC1269">
                    <w:pPr>
                      <w:autoSpaceDE w:val="0"/>
                      <w:autoSpaceDN w:val="0"/>
                      <w:adjustRightInd w:val="0"/>
                      <w:snapToGrid w:val="0"/>
                      <w:jc w:val="right"/>
                    </w:pPr>
                    <w:r>
                      <w:rPr>
                        <w:rFonts w:hint="eastAsia"/>
                      </w:rPr>
                      <w:t>13,054</w:t>
                    </w:r>
                  </w:p>
                </w:tc>
              </w:tr>
            </w:sdtContent>
          </w:sdt>
          <w:sdt>
            <w:sdtPr>
              <w:alias w:val="商誉明细"/>
              <w:tag w:val="_GBC_916c5c3712e44d7db6b8c9e16bcf5865"/>
              <w:id w:val="616560908"/>
              <w:lock w:val="sdtLocked"/>
            </w:sdtPr>
            <w:sdtEndPr/>
            <w:sdtContent>
              <w:tr w:rsidR="007E7472" w14:paraId="05117F42" w14:textId="77777777" w:rsidTr="007E7472">
                <w:trPr>
                  <w:trHeight w:val="340"/>
                  <w:jc w:val="center"/>
                </w:trPr>
                <w:tc>
                  <w:tcPr>
                    <w:tcW w:w="1123" w:type="pct"/>
                    <w:shd w:val="clear" w:color="auto" w:fill="auto"/>
                    <w:vAlign w:val="center"/>
                  </w:tcPr>
                  <w:p w14:paraId="2A6E5654" w14:textId="77777777" w:rsidR="007E7472" w:rsidRDefault="00EC1269">
                    <w:pPr>
                      <w:autoSpaceDE w:val="0"/>
                      <w:autoSpaceDN w:val="0"/>
                      <w:adjustRightInd w:val="0"/>
                      <w:snapToGrid w:val="0"/>
                    </w:pPr>
                    <w:r>
                      <w:rPr>
                        <w:rFonts w:hint="eastAsia"/>
                      </w:rPr>
                      <w:t>收购兖煤航运</w:t>
                    </w:r>
                  </w:p>
                </w:tc>
                <w:tc>
                  <w:tcPr>
                    <w:tcW w:w="643" w:type="pct"/>
                    <w:shd w:val="clear" w:color="auto" w:fill="auto"/>
                    <w:vAlign w:val="center"/>
                  </w:tcPr>
                  <w:p w14:paraId="65F2A822" w14:textId="77777777" w:rsidR="007E7472" w:rsidRDefault="00EC1269">
                    <w:pPr>
                      <w:autoSpaceDE w:val="0"/>
                      <w:autoSpaceDN w:val="0"/>
                      <w:adjustRightInd w:val="0"/>
                      <w:snapToGrid w:val="0"/>
                      <w:jc w:val="right"/>
                    </w:pPr>
                    <w:r>
                      <w:rPr>
                        <w:rFonts w:hint="eastAsia"/>
                      </w:rPr>
                      <w:t>10,045</w:t>
                    </w:r>
                  </w:p>
                </w:tc>
                <w:tc>
                  <w:tcPr>
                    <w:tcW w:w="642" w:type="pct"/>
                    <w:shd w:val="clear" w:color="auto" w:fill="auto"/>
                    <w:vAlign w:val="center"/>
                  </w:tcPr>
                  <w:p w14:paraId="29291577" w14:textId="77777777" w:rsidR="007E7472" w:rsidRDefault="00C8327E">
                    <w:pPr>
                      <w:autoSpaceDE w:val="0"/>
                      <w:autoSpaceDN w:val="0"/>
                      <w:adjustRightInd w:val="0"/>
                      <w:snapToGrid w:val="0"/>
                      <w:jc w:val="right"/>
                    </w:pPr>
                  </w:p>
                </w:tc>
                <w:tc>
                  <w:tcPr>
                    <w:tcW w:w="351" w:type="pct"/>
                    <w:shd w:val="clear" w:color="auto" w:fill="auto"/>
                    <w:vAlign w:val="center"/>
                  </w:tcPr>
                  <w:p w14:paraId="28294C66" w14:textId="77777777" w:rsidR="007E7472" w:rsidRDefault="00C8327E">
                    <w:pPr>
                      <w:autoSpaceDE w:val="0"/>
                      <w:autoSpaceDN w:val="0"/>
                      <w:adjustRightInd w:val="0"/>
                      <w:snapToGrid w:val="0"/>
                      <w:jc w:val="right"/>
                    </w:pPr>
                  </w:p>
                </w:tc>
                <w:tc>
                  <w:tcPr>
                    <w:tcW w:w="614" w:type="pct"/>
                    <w:shd w:val="clear" w:color="auto" w:fill="auto"/>
                    <w:vAlign w:val="center"/>
                  </w:tcPr>
                  <w:p w14:paraId="5364BA8C" w14:textId="77777777" w:rsidR="007E7472" w:rsidRDefault="00C8327E">
                    <w:pPr>
                      <w:autoSpaceDE w:val="0"/>
                      <w:autoSpaceDN w:val="0"/>
                      <w:adjustRightInd w:val="0"/>
                      <w:snapToGrid w:val="0"/>
                      <w:jc w:val="right"/>
                    </w:pPr>
                  </w:p>
                </w:tc>
                <w:tc>
                  <w:tcPr>
                    <w:tcW w:w="321" w:type="pct"/>
                    <w:shd w:val="clear" w:color="auto" w:fill="auto"/>
                    <w:vAlign w:val="center"/>
                  </w:tcPr>
                  <w:p w14:paraId="5A55705D" w14:textId="77777777" w:rsidR="007E7472" w:rsidRDefault="00C8327E">
                    <w:pPr>
                      <w:autoSpaceDE w:val="0"/>
                      <w:autoSpaceDN w:val="0"/>
                      <w:adjustRightInd w:val="0"/>
                      <w:snapToGrid w:val="0"/>
                      <w:jc w:val="right"/>
                    </w:pPr>
                  </w:p>
                </w:tc>
                <w:tc>
                  <w:tcPr>
                    <w:tcW w:w="688" w:type="pct"/>
                    <w:shd w:val="clear" w:color="auto" w:fill="auto"/>
                    <w:vAlign w:val="center"/>
                  </w:tcPr>
                  <w:p w14:paraId="1AC48205" w14:textId="77777777" w:rsidR="007E7472" w:rsidRDefault="00C8327E">
                    <w:pPr>
                      <w:autoSpaceDE w:val="0"/>
                      <w:autoSpaceDN w:val="0"/>
                      <w:adjustRightInd w:val="0"/>
                      <w:snapToGrid w:val="0"/>
                      <w:jc w:val="right"/>
                    </w:pPr>
                  </w:p>
                </w:tc>
                <w:tc>
                  <w:tcPr>
                    <w:tcW w:w="618" w:type="pct"/>
                    <w:shd w:val="clear" w:color="auto" w:fill="auto"/>
                    <w:vAlign w:val="center"/>
                  </w:tcPr>
                  <w:p w14:paraId="7FBCB24F" w14:textId="77777777" w:rsidR="007E7472" w:rsidRDefault="00EC1269">
                    <w:pPr>
                      <w:autoSpaceDE w:val="0"/>
                      <w:autoSpaceDN w:val="0"/>
                      <w:adjustRightInd w:val="0"/>
                      <w:snapToGrid w:val="0"/>
                      <w:jc w:val="right"/>
                    </w:pPr>
                    <w:r>
                      <w:rPr>
                        <w:rFonts w:hint="eastAsia"/>
                      </w:rPr>
                      <w:t>10,045</w:t>
                    </w:r>
                  </w:p>
                </w:tc>
              </w:tr>
            </w:sdtContent>
          </w:sdt>
          <w:tr w:rsidR="007E7472" w14:paraId="731F0E02" w14:textId="77777777" w:rsidTr="007E7472">
            <w:trPr>
              <w:trHeight w:val="340"/>
              <w:jc w:val="center"/>
            </w:trPr>
            <w:sdt>
              <w:sdtPr>
                <w:tag w:val="_PLD_e45c45262afc495e90b6033bd7a17ec4"/>
                <w:id w:val="-1241095816"/>
                <w:lock w:val="sdtLocked"/>
              </w:sdtPr>
              <w:sdtEndPr/>
              <w:sdtContent>
                <w:tc>
                  <w:tcPr>
                    <w:tcW w:w="1123" w:type="pct"/>
                    <w:shd w:val="clear" w:color="auto" w:fill="auto"/>
                    <w:vAlign w:val="center"/>
                  </w:tcPr>
                  <w:p w14:paraId="0B4BB283" w14:textId="77777777" w:rsidR="007E7472" w:rsidRDefault="00EC1269">
                    <w:pPr>
                      <w:autoSpaceDE w:val="0"/>
                      <w:autoSpaceDN w:val="0"/>
                      <w:adjustRightInd w:val="0"/>
                      <w:snapToGrid w:val="0"/>
                      <w:jc w:val="center"/>
                      <w:rPr>
                        <w:u w:val="double"/>
                      </w:rPr>
                    </w:pPr>
                    <w:r>
                      <w:rPr>
                        <w:rFonts w:hint="eastAsia"/>
                      </w:rPr>
                      <w:t>合计</w:t>
                    </w:r>
                  </w:p>
                </w:tc>
              </w:sdtContent>
            </w:sdt>
            <w:tc>
              <w:tcPr>
                <w:tcW w:w="643" w:type="pct"/>
                <w:shd w:val="clear" w:color="auto" w:fill="auto"/>
                <w:vAlign w:val="center"/>
              </w:tcPr>
              <w:p w14:paraId="720C1385" w14:textId="77777777" w:rsidR="007E7472" w:rsidRDefault="00EC1269">
                <w:pPr>
                  <w:jc w:val="right"/>
                </w:pPr>
                <w:r>
                  <w:rPr>
                    <w:rFonts w:hint="eastAsia"/>
                  </w:rPr>
                  <w:t>985,020</w:t>
                </w:r>
              </w:p>
            </w:tc>
            <w:tc>
              <w:tcPr>
                <w:tcW w:w="642" w:type="pct"/>
                <w:shd w:val="clear" w:color="auto" w:fill="auto"/>
                <w:vAlign w:val="center"/>
              </w:tcPr>
              <w:p w14:paraId="5455BD8A" w14:textId="77777777" w:rsidR="007E7472" w:rsidRDefault="00C8327E">
                <w:pPr>
                  <w:jc w:val="right"/>
                </w:pPr>
              </w:p>
            </w:tc>
            <w:tc>
              <w:tcPr>
                <w:tcW w:w="351" w:type="pct"/>
                <w:shd w:val="clear" w:color="auto" w:fill="auto"/>
                <w:vAlign w:val="center"/>
              </w:tcPr>
              <w:p w14:paraId="78554A72" w14:textId="77777777" w:rsidR="007E7472" w:rsidRDefault="00C8327E">
                <w:pPr>
                  <w:jc w:val="right"/>
                </w:pPr>
              </w:p>
            </w:tc>
            <w:tc>
              <w:tcPr>
                <w:tcW w:w="614" w:type="pct"/>
                <w:shd w:val="clear" w:color="auto" w:fill="auto"/>
                <w:vAlign w:val="center"/>
              </w:tcPr>
              <w:p w14:paraId="7B15E628" w14:textId="77777777" w:rsidR="007E7472" w:rsidRDefault="00C8327E">
                <w:pPr>
                  <w:jc w:val="right"/>
                </w:pPr>
              </w:p>
            </w:tc>
            <w:tc>
              <w:tcPr>
                <w:tcW w:w="321" w:type="pct"/>
                <w:shd w:val="clear" w:color="auto" w:fill="auto"/>
                <w:vAlign w:val="center"/>
              </w:tcPr>
              <w:p w14:paraId="122B785B" w14:textId="77777777" w:rsidR="007E7472" w:rsidRDefault="00C8327E">
                <w:pPr>
                  <w:jc w:val="right"/>
                </w:pPr>
              </w:p>
            </w:tc>
            <w:tc>
              <w:tcPr>
                <w:tcW w:w="688" w:type="pct"/>
                <w:shd w:val="clear" w:color="auto" w:fill="auto"/>
                <w:vAlign w:val="center"/>
              </w:tcPr>
              <w:p w14:paraId="28B4FD39" w14:textId="77777777" w:rsidR="007E7472" w:rsidRDefault="00EC1269">
                <w:pPr>
                  <w:jc w:val="right"/>
                </w:pPr>
                <w:r>
                  <w:t>5,818</w:t>
                </w:r>
              </w:p>
            </w:tc>
            <w:tc>
              <w:tcPr>
                <w:tcW w:w="618" w:type="pct"/>
                <w:shd w:val="clear" w:color="auto" w:fill="auto"/>
                <w:vAlign w:val="center"/>
              </w:tcPr>
              <w:p w14:paraId="42633618" w14:textId="77777777" w:rsidR="007E7472" w:rsidRDefault="00EC1269">
                <w:pPr>
                  <w:jc w:val="right"/>
                </w:pPr>
                <w:r>
                  <w:rPr>
                    <w:rFonts w:hint="eastAsia"/>
                  </w:rPr>
                  <w:t>990,838</w:t>
                </w:r>
              </w:p>
            </w:tc>
          </w:tr>
        </w:tbl>
        <w:p w14:paraId="09695406" w14:textId="77777777" w:rsidR="007E7472" w:rsidRDefault="00C8327E">
          <w:pPr>
            <w:tabs>
              <w:tab w:val="left" w:pos="588"/>
            </w:tabs>
          </w:pPr>
        </w:p>
      </w:sdtContent>
    </w:sdt>
    <w:sdt>
      <w:sdtPr>
        <w:rPr>
          <w:rFonts w:ascii="宋体" w:hAnsi="宋体" w:cs="宋体" w:hint="eastAsia"/>
          <w:b w:val="0"/>
          <w:bCs w:val="0"/>
          <w:kern w:val="0"/>
          <w:sz w:val="20"/>
          <w:szCs w:val="24"/>
        </w:rPr>
        <w:alias w:val="模块:商誉减值准备"/>
        <w:tag w:val="_SEC_6fe538077d4746d4ba51a5610b4bd03b"/>
        <w:id w:val="985138595"/>
        <w:lock w:val="sdtLocked"/>
        <w:placeholder>
          <w:docPart w:val="GBC22222222222222222222222222222"/>
        </w:placeholder>
      </w:sdtPr>
      <w:sdtEndPr>
        <w:rPr>
          <w:rFonts w:hint="default"/>
          <w:szCs w:val="21"/>
        </w:rPr>
      </w:sdtEndPr>
      <w:sdtContent>
        <w:p w14:paraId="28C90FDF" w14:textId="77777777" w:rsidR="007E7472" w:rsidRDefault="00EC1269" w:rsidP="00162493">
          <w:pPr>
            <w:pStyle w:val="4"/>
            <w:numPr>
              <w:ilvl w:val="0"/>
              <w:numId w:val="79"/>
            </w:numPr>
          </w:pPr>
          <w:r>
            <w:rPr>
              <w:rFonts w:hint="eastAsia"/>
            </w:rPr>
            <w:t>商誉减值准备</w:t>
          </w:r>
        </w:p>
        <w:sdt>
          <w:sdtPr>
            <w:rPr>
              <w:rFonts w:hint="eastAsia"/>
            </w:rPr>
            <w:alias w:val="是否适用：商誉减值准备[双击切换]"/>
            <w:tag w:val="_GBC_743c9a20b5c043668f28664eb36decf8"/>
            <w:id w:val="-1169477675"/>
            <w:lock w:val="sdtLocked"/>
            <w:placeholder>
              <w:docPart w:val="GBC22222222222222222222222222222"/>
            </w:placeholder>
          </w:sdtPr>
          <w:sdtEndPr/>
          <w:sdtContent>
            <w:p w14:paraId="44729F80" w14:textId="77777777" w:rsidR="007E7472" w:rsidRDefault="00EC1269">
              <w:r>
                <w:rPr>
                  <w:rFonts w:hint="eastAsia"/>
                </w:rPr>
                <w:fldChar w:fldCharType="begin"/>
              </w:r>
              <w:r>
                <w:rPr>
                  <w:rFonts w:hint="eastAsia"/>
                </w:rPr>
                <w:instrText xml:space="preserve"> MACROBUTTON  SnrToggleCheckbox √适用 </w:instrText>
              </w:r>
              <w:r>
                <w:rPr>
                  <w:rFonts w:hint="eastAsia"/>
                </w:rPr>
                <w:fldChar w:fldCharType="end"/>
              </w:r>
              <w:r>
                <w:rPr>
                  <w:rFonts w:hint="eastAsia"/>
                </w:rPr>
                <w:fldChar w:fldCharType="begin"/>
              </w:r>
              <w:r>
                <w:rPr>
                  <w:rFonts w:hint="eastAsia"/>
                </w:rPr>
                <w:instrText xml:space="preserve"> MACROBUTTON  SnrToggleCheckbox □不适用 </w:instrText>
              </w:r>
              <w:r>
                <w:rPr>
                  <w:rFonts w:hint="eastAsia"/>
                </w:rPr>
                <w:fldChar w:fldCharType="end"/>
              </w:r>
            </w:p>
          </w:sdtContent>
        </w:sdt>
        <w:p w14:paraId="7C5DC1E5" w14:textId="40B2FAB7" w:rsidR="007E7472" w:rsidRDefault="00EC1269">
          <w:pPr>
            <w:jc w:val="right"/>
          </w:pPr>
          <w:r>
            <w:rPr>
              <w:rFonts w:hint="eastAsia"/>
            </w:rPr>
            <w:t>单位：</w:t>
          </w:r>
          <w:sdt>
            <w:sdtPr>
              <w:rPr>
                <w:rFonts w:hint="eastAsia"/>
              </w:rPr>
              <w:alias w:val="单位：财务附注：商誉减值准备"/>
              <w:tag w:val="_GBC_81f58baed09c46a3bf97830ea3adfd98"/>
              <w:id w:val="132955772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商誉减值准备"/>
              <w:tag w:val="_GBC_67c9edd209fb4492bdb662edf79314f5"/>
              <w:id w:val="9917491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1107"/>
            <w:gridCol w:w="873"/>
            <w:gridCol w:w="990"/>
            <w:gridCol w:w="914"/>
            <w:gridCol w:w="879"/>
            <w:gridCol w:w="1091"/>
            <w:gridCol w:w="1071"/>
          </w:tblGrid>
          <w:tr w:rsidR="007E7472" w14:paraId="282A983C" w14:textId="77777777">
            <w:trPr>
              <w:trHeight w:val="255"/>
              <w:jc w:val="center"/>
            </w:trPr>
            <w:sdt>
              <w:sdtPr>
                <w:rPr>
                  <w:rFonts w:hint="eastAsia"/>
                </w:rPr>
                <w:tag w:val="_PLD_d1a517071536478f9f7187c625e93763"/>
                <w:id w:val="210469577"/>
                <w:lock w:val="sdtLocked"/>
              </w:sdtPr>
              <w:sdtEndPr/>
              <w:sdtContent>
                <w:tc>
                  <w:tcPr>
                    <w:tcW w:w="1074" w:type="pct"/>
                    <w:vMerge w:val="restart"/>
                    <w:shd w:val="clear" w:color="auto" w:fill="auto"/>
                    <w:vAlign w:val="center"/>
                  </w:tcPr>
                  <w:p w14:paraId="33E46A93" w14:textId="77777777" w:rsidR="007E7472" w:rsidRDefault="00EC1269">
                    <w:pPr>
                      <w:autoSpaceDE w:val="0"/>
                      <w:autoSpaceDN w:val="0"/>
                      <w:adjustRightInd w:val="0"/>
                      <w:snapToGrid w:val="0"/>
                      <w:jc w:val="center"/>
                    </w:pPr>
                    <w:r>
                      <w:rPr>
                        <w:rFonts w:hint="eastAsia"/>
                      </w:rPr>
                      <w:t>被投资单位名称或形成商誉的事项</w:t>
                    </w:r>
                  </w:p>
                </w:tc>
              </w:sdtContent>
            </w:sdt>
            <w:sdt>
              <w:sdtPr>
                <w:rPr>
                  <w:rFonts w:hint="eastAsia"/>
                </w:rPr>
                <w:tag w:val="_PLD_a1ccc5eef6a041ffadb4dd09605c43f5"/>
                <w:id w:val="-1369141199"/>
                <w:lock w:val="sdtLocked"/>
              </w:sdtPr>
              <w:sdtEndPr/>
              <w:sdtContent>
                <w:tc>
                  <w:tcPr>
                    <w:tcW w:w="626" w:type="pct"/>
                    <w:vMerge w:val="restart"/>
                    <w:shd w:val="clear" w:color="auto" w:fill="auto"/>
                    <w:vAlign w:val="center"/>
                  </w:tcPr>
                  <w:p w14:paraId="5CD950F5" w14:textId="77777777" w:rsidR="007E7472" w:rsidRDefault="00EC1269">
                    <w:pPr>
                      <w:autoSpaceDE w:val="0"/>
                      <w:autoSpaceDN w:val="0"/>
                      <w:adjustRightInd w:val="0"/>
                      <w:snapToGrid w:val="0"/>
                      <w:jc w:val="center"/>
                    </w:pPr>
                    <w:r>
                      <w:rPr>
                        <w:rFonts w:hint="eastAsia"/>
                      </w:rPr>
                      <w:t>期初余额</w:t>
                    </w:r>
                  </w:p>
                </w:tc>
              </w:sdtContent>
            </w:sdt>
            <w:sdt>
              <w:sdtPr>
                <w:rPr>
                  <w:rFonts w:hint="eastAsia"/>
                </w:rPr>
                <w:tag w:val="_PLD_3dc4c2fbed8640a6acf5f19dd5073967"/>
                <w:id w:val="132150832"/>
                <w:lock w:val="sdtLocked"/>
              </w:sdtPr>
              <w:sdtEndPr/>
              <w:sdtContent>
                <w:tc>
                  <w:tcPr>
                    <w:tcW w:w="1055" w:type="pct"/>
                    <w:gridSpan w:val="2"/>
                    <w:shd w:val="clear" w:color="auto" w:fill="auto"/>
                    <w:vAlign w:val="center"/>
                  </w:tcPr>
                  <w:p w14:paraId="1803B2C1" w14:textId="77777777" w:rsidR="007E7472" w:rsidRDefault="00EC1269">
                    <w:pPr>
                      <w:autoSpaceDE w:val="0"/>
                      <w:autoSpaceDN w:val="0"/>
                      <w:adjustRightInd w:val="0"/>
                      <w:snapToGrid w:val="0"/>
                      <w:jc w:val="center"/>
                    </w:pPr>
                    <w:r>
                      <w:rPr>
                        <w:rFonts w:hint="eastAsia"/>
                      </w:rPr>
                      <w:t>本期增加</w:t>
                    </w:r>
                  </w:p>
                </w:tc>
              </w:sdtContent>
            </w:sdt>
            <w:sdt>
              <w:sdtPr>
                <w:rPr>
                  <w:rFonts w:hint="eastAsia"/>
                </w:rPr>
                <w:tag w:val="_PLD_36789e440c5d4e70969760ec1adf11d6"/>
                <w:id w:val="1520203749"/>
                <w:lock w:val="sdtLocked"/>
              </w:sdtPr>
              <w:sdtEndPr/>
              <w:sdtContent>
                <w:tc>
                  <w:tcPr>
                    <w:tcW w:w="1016" w:type="pct"/>
                    <w:gridSpan w:val="2"/>
                    <w:shd w:val="clear" w:color="auto" w:fill="auto"/>
                    <w:vAlign w:val="center"/>
                  </w:tcPr>
                  <w:p w14:paraId="60ED513B" w14:textId="77777777" w:rsidR="007E7472" w:rsidRDefault="00EC1269">
                    <w:pPr>
                      <w:autoSpaceDE w:val="0"/>
                      <w:autoSpaceDN w:val="0"/>
                      <w:adjustRightInd w:val="0"/>
                      <w:snapToGrid w:val="0"/>
                      <w:jc w:val="center"/>
                    </w:pPr>
                    <w:r>
                      <w:rPr>
                        <w:rFonts w:hint="eastAsia"/>
                      </w:rPr>
                      <w:t>本期减少</w:t>
                    </w:r>
                  </w:p>
                </w:tc>
              </w:sdtContent>
            </w:sdt>
            <w:sdt>
              <w:sdtPr>
                <w:rPr>
                  <w:rFonts w:hint="eastAsia"/>
                </w:rPr>
                <w:tag w:val="_PLD_b4bf3be5aa6c45bea85b5ae1c027be47"/>
                <w:id w:val="-174957882"/>
                <w:lock w:val="sdtLocked"/>
              </w:sdtPr>
              <w:sdtEndPr/>
              <w:sdtContent>
                <w:tc>
                  <w:tcPr>
                    <w:tcW w:w="618" w:type="pct"/>
                    <w:vMerge w:val="restart"/>
                    <w:shd w:val="clear" w:color="auto" w:fill="auto"/>
                    <w:vAlign w:val="center"/>
                  </w:tcPr>
                  <w:p w14:paraId="0B522A57" w14:textId="77777777" w:rsidR="007E7472" w:rsidRDefault="00EC1269">
                    <w:pPr>
                      <w:autoSpaceDE w:val="0"/>
                      <w:autoSpaceDN w:val="0"/>
                      <w:adjustRightInd w:val="0"/>
                      <w:snapToGrid w:val="0"/>
                      <w:jc w:val="center"/>
                    </w:pPr>
                    <w:r>
                      <w:rPr>
                        <w:rFonts w:hint="eastAsia"/>
                      </w:rPr>
                      <w:t>外币报表折算差额</w:t>
                    </w:r>
                  </w:p>
                </w:tc>
              </w:sdtContent>
            </w:sdt>
            <w:sdt>
              <w:sdtPr>
                <w:rPr>
                  <w:rFonts w:hint="eastAsia"/>
                </w:rPr>
                <w:tag w:val="_PLD_b4bf3be5aa6c45bea85b5ae1c027be47"/>
                <w:id w:val="-1272551220"/>
                <w:lock w:val="sdtLocked"/>
              </w:sdtPr>
              <w:sdtEndPr/>
              <w:sdtContent>
                <w:tc>
                  <w:tcPr>
                    <w:tcW w:w="607" w:type="pct"/>
                    <w:vMerge w:val="restart"/>
                    <w:shd w:val="clear" w:color="auto" w:fill="auto"/>
                    <w:vAlign w:val="center"/>
                  </w:tcPr>
                  <w:p w14:paraId="6A2F0047" w14:textId="77777777" w:rsidR="007E7472" w:rsidRDefault="00EC1269">
                    <w:pPr>
                      <w:autoSpaceDE w:val="0"/>
                      <w:autoSpaceDN w:val="0"/>
                      <w:adjustRightInd w:val="0"/>
                      <w:snapToGrid w:val="0"/>
                      <w:jc w:val="center"/>
                    </w:pPr>
                    <w:r>
                      <w:rPr>
                        <w:rFonts w:hint="eastAsia"/>
                      </w:rPr>
                      <w:t>期末余额</w:t>
                    </w:r>
                  </w:p>
                </w:tc>
              </w:sdtContent>
            </w:sdt>
          </w:tr>
          <w:tr w:rsidR="007E7472" w14:paraId="70B8698C" w14:textId="77777777">
            <w:trPr>
              <w:trHeight w:val="296"/>
              <w:jc w:val="center"/>
            </w:trPr>
            <w:tc>
              <w:tcPr>
                <w:tcW w:w="1074" w:type="pct"/>
                <w:vMerge/>
                <w:shd w:val="clear" w:color="auto" w:fill="auto"/>
              </w:tcPr>
              <w:p w14:paraId="051EF39E" w14:textId="77777777" w:rsidR="007E7472" w:rsidRDefault="00C8327E">
                <w:pPr>
                  <w:autoSpaceDE w:val="0"/>
                  <w:autoSpaceDN w:val="0"/>
                  <w:adjustRightInd w:val="0"/>
                  <w:snapToGrid w:val="0"/>
                </w:pPr>
              </w:p>
            </w:tc>
            <w:tc>
              <w:tcPr>
                <w:tcW w:w="626" w:type="pct"/>
                <w:vMerge/>
                <w:shd w:val="clear" w:color="auto" w:fill="auto"/>
                <w:vAlign w:val="center"/>
              </w:tcPr>
              <w:p w14:paraId="0F74A242" w14:textId="77777777" w:rsidR="007E7472" w:rsidRDefault="00C8327E">
                <w:pPr>
                  <w:autoSpaceDE w:val="0"/>
                  <w:autoSpaceDN w:val="0"/>
                  <w:adjustRightInd w:val="0"/>
                  <w:snapToGrid w:val="0"/>
                  <w:jc w:val="right"/>
                </w:pPr>
              </w:p>
            </w:tc>
            <w:sdt>
              <w:sdtPr>
                <w:rPr>
                  <w:rFonts w:hint="eastAsia"/>
                </w:rPr>
                <w:tag w:val="_PLD_fe6ebe6f95b64eeabc2aef23beee858c"/>
                <w:id w:val="-1365590216"/>
                <w:lock w:val="sdtLocked"/>
              </w:sdtPr>
              <w:sdtEndPr/>
              <w:sdtContent>
                <w:tc>
                  <w:tcPr>
                    <w:tcW w:w="494" w:type="pct"/>
                    <w:shd w:val="clear" w:color="auto" w:fill="auto"/>
                    <w:vAlign w:val="center"/>
                  </w:tcPr>
                  <w:p w14:paraId="088177C0" w14:textId="77777777" w:rsidR="007E7472" w:rsidRDefault="00EC1269">
                    <w:pPr>
                      <w:autoSpaceDE w:val="0"/>
                      <w:autoSpaceDN w:val="0"/>
                      <w:adjustRightInd w:val="0"/>
                      <w:snapToGrid w:val="0"/>
                      <w:jc w:val="center"/>
                    </w:pPr>
                    <w:r>
                      <w:rPr>
                        <w:rFonts w:hint="eastAsia"/>
                      </w:rPr>
                      <w:t>计提</w:t>
                    </w:r>
                  </w:p>
                </w:tc>
              </w:sdtContent>
            </w:sdt>
            <w:sdt>
              <w:sdtPr>
                <w:rPr>
                  <w:rFonts w:hint="eastAsia"/>
                </w:rPr>
                <w:alias w:val="商誉减值准备本期增加额项目名称"/>
                <w:tag w:val="_GBC_65d86954675d4b4f82e4fbc3d21ace02"/>
                <w:id w:val="1012567089"/>
                <w:lock w:val="sdtLocked"/>
              </w:sdtPr>
              <w:sdtEndPr/>
              <w:sdtContent>
                <w:tc>
                  <w:tcPr>
                    <w:tcW w:w="561" w:type="pct"/>
                    <w:shd w:val="clear" w:color="auto" w:fill="auto"/>
                    <w:vAlign w:val="center"/>
                  </w:tcPr>
                  <w:p w14:paraId="69DBB5F2" w14:textId="77777777" w:rsidR="007E7472" w:rsidRDefault="00EC1269">
                    <w:pPr>
                      <w:autoSpaceDE w:val="0"/>
                      <w:autoSpaceDN w:val="0"/>
                      <w:adjustRightInd w:val="0"/>
                      <w:snapToGrid w:val="0"/>
                      <w:jc w:val="center"/>
                    </w:pPr>
                    <w:r>
                      <w:rPr>
                        <w:rFonts w:hint="eastAsia"/>
                      </w:rPr>
                      <w:t>其他</w:t>
                    </w:r>
                  </w:p>
                </w:tc>
              </w:sdtContent>
            </w:sdt>
            <w:sdt>
              <w:sdtPr>
                <w:rPr>
                  <w:rFonts w:hint="eastAsia"/>
                </w:rPr>
                <w:tag w:val="_PLD_aaaa2d8a1fae404e9bab86b79225c7e3"/>
                <w:id w:val="-1749497498"/>
                <w:lock w:val="sdtLocked"/>
              </w:sdtPr>
              <w:sdtEndPr/>
              <w:sdtContent>
                <w:tc>
                  <w:tcPr>
                    <w:tcW w:w="518" w:type="pct"/>
                    <w:shd w:val="clear" w:color="auto" w:fill="auto"/>
                    <w:vAlign w:val="center"/>
                  </w:tcPr>
                  <w:p w14:paraId="2CE003C5" w14:textId="77777777" w:rsidR="007E7472" w:rsidRDefault="00EC1269">
                    <w:pPr>
                      <w:autoSpaceDE w:val="0"/>
                      <w:autoSpaceDN w:val="0"/>
                      <w:adjustRightInd w:val="0"/>
                      <w:snapToGrid w:val="0"/>
                      <w:jc w:val="center"/>
                    </w:pPr>
                    <w:r>
                      <w:rPr>
                        <w:rFonts w:hint="eastAsia"/>
                      </w:rPr>
                      <w:t>处置</w:t>
                    </w:r>
                  </w:p>
                </w:tc>
              </w:sdtContent>
            </w:sdt>
            <w:sdt>
              <w:sdtPr>
                <w:rPr>
                  <w:rFonts w:hint="eastAsia"/>
                </w:rPr>
                <w:alias w:val="商誉减值准备本期减少额项目名称"/>
                <w:tag w:val="_GBC_aa48e25b6e1f4be9b1276fe009dabf0e"/>
                <w:id w:val="-1536119583"/>
                <w:lock w:val="sdtLocked"/>
              </w:sdtPr>
              <w:sdtEndPr/>
              <w:sdtContent>
                <w:tc>
                  <w:tcPr>
                    <w:tcW w:w="497" w:type="pct"/>
                    <w:shd w:val="clear" w:color="auto" w:fill="auto"/>
                    <w:vAlign w:val="center"/>
                  </w:tcPr>
                  <w:p w14:paraId="28FD63E6" w14:textId="77777777" w:rsidR="007E7472" w:rsidRDefault="00EC1269">
                    <w:pPr>
                      <w:autoSpaceDE w:val="0"/>
                      <w:autoSpaceDN w:val="0"/>
                      <w:adjustRightInd w:val="0"/>
                      <w:snapToGrid w:val="0"/>
                      <w:jc w:val="center"/>
                    </w:pPr>
                    <w:r>
                      <w:rPr>
                        <w:rFonts w:hint="eastAsia"/>
                      </w:rPr>
                      <w:t>其他</w:t>
                    </w:r>
                  </w:p>
                </w:tc>
              </w:sdtContent>
            </w:sdt>
            <w:tc>
              <w:tcPr>
                <w:tcW w:w="618" w:type="pct"/>
                <w:vMerge/>
                <w:shd w:val="clear" w:color="auto" w:fill="auto"/>
              </w:tcPr>
              <w:p w14:paraId="1BEE4566" w14:textId="77777777" w:rsidR="007E7472" w:rsidRDefault="00C8327E">
                <w:pPr>
                  <w:autoSpaceDE w:val="0"/>
                  <w:autoSpaceDN w:val="0"/>
                  <w:adjustRightInd w:val="0"/>
                  <w:snapToGrid w:val="0"/>
                  <w:jc w:val="center"/>
                </w:pPr>
              </w:p>
            </w:tc>
            <w:tc>
              <w:tcPr>
                <w:tcW w:w="607" w:type="pct"/>
                <w:vMerge/>
                <w:shd w:val="clear" w:color="auto" w:fill="auto"/>
              </w:tcPr>
              <w:p w14:paraId="1EE9218A" w14:textId="77777777" w:rsidR="007E7472" w:rsidRDefault="00C8327E">
                <w:pPr>
                  <w:autoSpaceDE w:val="0"/>
                  <w:autoSpaceDN w:val="0"/>
                  <w:adjustRightInd w:val="0"/>
                  <w:snapToGrid w:val="0"/>
                  <w:jc w:val="center"/>
                </w:pPr>
              </w:p>
            </w:tc>
          </w:tr>
          <w:sdt>
            <w:sdtPr>
              <w:rPr>
                <w:rFonts w:hint="eastAsia"/>
              </w:rPr>
              <w:alias w:val="商誉减值准备明细"/>
              <w:tag w:val="_GBC_98340a952ec045d0bd3e053903c6a9f6"/>
              <w:id w:val="-1601180185"/>
              <w:lock w:val="sdtLocked"/>
            </w:sdtPr>
            <w:sdtEndPr/>
            <w:sdtContent>
              <w:tr w:rsidR="007E7472" w14:paraId="28DAC752" w14:textId="77777777">
                <w:trPr>
                  <w:trHeight w:val="323"/>
                  <w:jc w:val="center"/>
                </w:trPr>
                <w:tc>
                  <w:tcPr>
                    <w:tcW w:w="1074" w:type="pct"/>
                    <w:shd w:val="clear" w:color="auto" w:fill="auto"/>
                  </w:tcPr>
                  <w:p w14:paraId="6DB60576" w14:textId="77777777" w:rsidR="007E7472" w:rsidRDefault="00EC1269">
                    <w:r>
                      <w:rPr>
                        <w:rFonts w:hint="eastAsia"/>
                      </w:rPr>
                      <w:t>收购鑫泰</w:t>
                    </w:r>
                  </w:p>
                </w:tc>
                <w:tc>
                  <w:tcPr>
                    <w:tcW w:w="626" w:type="pct"/>
                    <w:shd w:val="clear" w:color="auto" w:fill="auto"/>
                    <w:vAlign w:val="center"/>
                  </w:tcPr>
                  <w:p w14:paraId="7AFC6564" w14:textId="77777777" w:rsidR="007E7472" w:rsidRDefault="00EC1269">
                    <w:pPr>
                      <w:jc w:val="right"/>
                    </w:pPr>
                    <w:r>
                      <w:rPr>
                        <w:rFonts w:hint="eastAsia"/>
                      </w:rPr>
                      <w:t>653,836</w:t>
                    </w:r>
                  </w:p>
                </w:tc>
                <w:tc>
                  <w:tcPr>
                    <w:tcW w:w="494" w:type="pct"/>
                    <w:shd w:val="clear" w:color="auto" w:fill="auto"/>
                  </w:tcPr>
                  <w:p w14:paraId="3FCAB254" w14:textId="77777777" w:rsidR="007E7472" w:rsidRDefault="00C8327E">
                    <w:pPr>
                      <w:jc w:val="right"/>
                    </w:pPr>
                  </w:p>
                </w:tc>
                <w:tc>
                  <w:tcPr>
                    <w:tcW w:w="561" w:type="pct"/>
                    <w:shd w:val="clear" w:color="auto" w:fill="auto"/>
                  </w:tcPr>
                  <w:p w14:paraId="5E2803E0" w14:textId="77777777" w:rsidR="007E7472" w:rsidRDefault="00C8327E">
                    <w:pPr>
                      <w:jc w:val="right"/>
                    </w:pPr>
                  </w:p>
                </w:tc>
                <w:tc>
                  <w:tcPr>
                    <w:tcW w:w="518" w:type="pct"/>
                    <w:shd w:val="clear" w:color="auto" w:fill="auto"/>
                  </w:tcPr>
                  <w:p w14:paraId="40298D87" w14:textId="77777777" w:rsidR="007E7472" w:rsidRDefault="00C8327E">
                    <w:pPr>
                      <w:jc w:val="right"/>
                    </w:pPr>
                  </w:p>
                </w:tc>
                <w:tc>
                  <w:tcPr>
                    <w:tcW w:w="497" w:type="pct"/>
                    <w:shd w:val="clear" w:color="auto" w:fill="auto"/>
                  </w:tcPr>
                  <w:p w14:paraId="15275621" w14:textId="77777777" w:rsidR="007E7472" w:rsidRDefault="00C8327E">
                    <w:pPr>
                      <w:jc w:val="right"/>
                    </w:pPr>
                  </w:p>
                </w:tc>
                <w:tc>
                  <w:tcPr>
                    <w:tcW w:w="618" w:type="pct"/>
                    <w:shd w:val="clear" w:color="auto" w:fill="auto"/>
                  </w:tcPr>
                  <w:p w14:paraId="211FDA8D" w14:textId="77777777" w:rsidR="007E7472" w:rsidRDefault="00C8327E">
                    <w:pPr>
                      <w:jc w:val="right"/>
                    </w:pPr>
                  </w:p>
                </w:tc>
                <w:tc>
                  <w:tcPr>
                    <w:tcW w:w="607" w:type="pct"/>
                    <w:shd w:val="clear" w:color="auto" w:fill="auto"/>
                    <w:vAlign w:val="center"/>
                  </w:tcPr>
                  <w:p w14:paraId="5E100D4A" w14:textId="77777777" w:rsidR="007E7472" w:rsidRDefault="00EC1269">
                    <w:pPr>
                      <w:jc w:val="right"/>
                    </w:pPr>
                    <w:r>
                      <w:rPr>
                        <w:rFonts w:hint="eastAsia"/>
                      </w:rPr>
                      <w:t>653,836</w:t>
                    </w:r>
                  </w:p>
                </w:tc>
              </w:tr>
            </w:sdtContent>
          </w:sdt>
          <w:sdt>
            <w:sdtPr>
              <w:rPr>
                <w:rFonts w:hint="eastAsia"/>
              </w:rPr>
              <w:alias w:val="商誉减值准备明细"/>
              <w:tag w:val="_GBC_98340a952ec045d0bd3e053903c6a9f6"/>
              <w:id w:val="389701488"/>
              <w:lock w:val="sdtLocked"/>
            </w:sdtPr>
            <w:sdtEndPr/>
            <w:sdtContent>
              <w:tr w:rsidR="007E7472" w14:paraId="10808BF3" w14:textId="77777777">
                <w:trPr>
                  <w:trHeight w:val="323"/>
                  <w:jc w:val="center"/>
                </w:trPr>
                <w:tc>
                  <w:tcPr>
                    <w:tcW w:w="1074" w:type="pct"/>
                    <w:shd w:val="clear" w:color="auto" w:fill="auto"/>
                  </w:tcPr>
                  <w:p w14:paraId="6C1D5CCB" w14:textId="77777777" w:rsidR="007E7472" w:rsidRDefault="00EC1269">
                    <w:r>
                      <w:rPr>
                        <w:rFonts w:hint="eastAsia"/>
                      </w:rPr>
                      <w:t>收购兖煤资源</w:t>
                    </w:r>
                  </w:p>
                </w:tc>
                <w:tc>
                  <w:tcPr>
                    <w:tcW w:w="626" w:type="pct"/>
                    <w:shd w:val="clear" w:color="auto" w:fill="auto"/>
                    <w:vAlign w:val="center"/>
                  </w:tcPr>
                  <w:p w14:paraId="3D7DC6F1" w14:textId="77777777" w:rsidR="007E7472" w:rsidRDefault="00EC1269">
                    <w:pPr>
                      <w:jc w:val="right"/>
                    </w:pPr>
                    <w:r>
                      <w:rPr>
                        <w:rFonts w:hint="eastAsia"/>
                      </w:rPr>
                      <w:t>8,019</w:t>
                    </w:r>
                  </w:p>
                </w:tc>
                <w:tc>
                  <w:tcPr>
                    <w:tcW w:w="494" w:type="pct"/>
                    <w:shd w:val="clear" w:color="auto" w:fill="auto"/>
                  </w:tcPr>
                  <w:p w14:paraId="1D45D44F" w14:textId="77777777" w:rsidR="007E7472" w:rsidRDefault="00C8327E">
                    <w:pPr>
                      <w:jc w:val="right"/>
                    </w:pPr>
                  </w:p>
                </w:tc>
                <w:tc>
                  <w:tcPr>
                    <w:tcW w:w="561" w:type="pct"/>
                    <w:shd w:val="clear" w:color="auto" w:fill="auto"/>
                  </w:tcPr>
                  <w:p w14:paraId="1AEE9C7D" w14:textId="77777777" w:rsidR="007E7472" w:rsidRDefault="00C8327E">
                    <w:pPr>
                      <w:jc w:val="right"/>
                    </w:pPr>
                  </w:p>
                </w:tc>
                <w:tc>
                  <w:tcPr>
                    <w:tcW w:w="518" w:type="pct"/>
                    <w:shd w:val="clear" w:color="auto" w:fill="auto"/>
                  </w:tcPr>
                  <w:p w14:paraId="4EF62D51" w14:textId="77777777" w:rsidR="007E7472" w:rsidRDefault="00C8327E">
                    <w:pPr>
                      <w:jc w:val="right"/>
                    </w:pPr>
                  </w:p>
                </w:tc>
                <w:tc>
                  <w:tcPr>
                    <w:tcW w:w="497" w:type="pct"/>
                    <w:shd w:val="clear" w:color="auto" w:fill="auto"/>
                  </w:tcPr>
                  <w:p w14:paraId="55356852" w14:textId="77777777" w:rsidR="007E7472" w:rsidRDefault="00C8327E">
                    <w:pPr>
                      <w:jc w:val="right"/>
                    </w:pPr>
                  </w:p>
                </w:tc>
                <w:tc>
                  <w:tcPr>
                    <w:tcW w:w="618" w:type="pct"/>
                    <w:shd w:val="clear" w:color="auto" w:fill="auto"/>
                    <w:vAlign w:val="center"/>
                  </w:tcPr>
                  <w:p w14:paraId="7CF00134" w14:textId="77777777" w:rsidR="007E7472" w:rsidRDefault="00EC1269">
                    <w:pPr>
                      <w:jc w:val="right"/>
                    </w:pPr>
                    <w:r>
                      <w:rPr>
                        <w:rFonts w:hint="eastAsia"/>
                      </w:rPr>
                      <w:t>145</w:t>
                    </w:r>
                  </w:p>
                </w:tc>
                <w:tc>
                  <w:tcPr>
                    <w:tcW w:w="607" w:type="pct"/>
                    <w:shd w:val="clear" w:color="auto" w:fill="auto"/>
                    <w:vAlign w:val="center"/>
                  </w:tcPr>
                  <w:p w14:paraId="1E6B2BEB" w14:textId="77777777" w:rsidR="007E7472" w:rsidRDefault="00EC1269">
                    <w:pPr>
                      <w:jc w:val="right"/>
                    </w:pPr>
                    <w:r>
                      <w:rPr>
                        <w:rFonts w:hint="eastAsia"/>
                      </w:rPr>
                      <w:t>8,164</w:t>
                    </w:r>
                  </w:p>
                </w:tc>
              </w:tr>
            </w:sdtContent>
          </w:sdt>
          <w:sdt>
            <w:sdtPr>
              <w:rPr>
                <w:rFonts w:hint="eastAsia"/>
              </w:rPr>
              <w:alias w:val="商誉减值准备明细"/>
              <w:tag w:val="_GBC_98340a952ec045d0bd3e053903c6a9f6"/>
              <w:id w:val="-1776243716"/>
              <w:lock w:val="sdtLocked"/>
            </w:sdtPr>
            <w:sdtEndPr/>
            <w:sdtContent>
              <w:tr w:rsidR="007E7472" w14:paraId="1AD7D8F2" w14:textId="77777777">
                <w:trPr>
                  <w:trHeight w:val="323"/>
                  <w:jc w:val="center"/>
                </w:trPr>
                <w:tc>
                  <w:tcPr>
                    <w:tcW w:w="1074" w:type="pct"/>
                    <w:shd w:val="clear" w:color="auto" w:fill="auto"/>
                  </w:tcPr>
                  <w:p w14:paraId="2E8597E2" w14:textId="77777777" w:rsidR="007E7472" w:rsidRDefault="00EC1269">
                    <w:r>
                      <w:rPr>
                        <w:rFonts w:hint="eastAsia"/>
                      </w:rPr>
                      <w:t>收购普力马</w:t>
                    </w:r>
                  </w:p>
                </w:tc>
                <w:tc>
                  <w:tcPr>
                    <w:tcW w:w="626" w:type="pct"/>
                    <w:shd w:val="clear" w:color="auto" w:fill="auto"/>
                    <w:vAlign w:val="center"/>
                  </w:tcPr>
                  <w:p w14:paraId="56209231" w14:textId="77777777" w:rsidR="007E7472" w:rsidRDefault="00EC1269">
                    <w:pPr>
                      <w:jc w:val="right"/>
                    </w:pPr>
                    <w:r>
                      <w:rPr>
                        <w:rFonts w:hint="eastAsia"/>
                      </w:rPr>
                      <w:t>12,822</w:t>
                    </w:r>
                  </w:p>
                </w:tc>
                <w:tc>
                  <w:tcPr>
                    <w:tcW w:w="494" w:type="pct"/>
                    <w:shd w:val="clear" w:color="auto" w:fill="auto"/>
                  </w:tcPr>
                  <w:p w14:paraId="3A953A84" w14:textId="77777777" w:rsidR="007E7472" w:rsidRDefault="00C8327E">
                    <w:pPr>
                      <w:jc w:val="right"/>
                    </w:pPr>
                  </w:p>
                </w:tc>
                <w:tc>
                  <w:tcPr>
                    <w:tcW w:w="561" w:type="pct"/>
                    <w:shd w:val="clear" w:color="auto" w:fill="auto"/>
                  </w:tcPr>
                  <w:p w14:paraId="09F2B632" w14:textId="77777777" w:rsidR="007E7472" w:rsidRDefault="00C8327E">
                    <w:pPr>
                      <w:jc w:val="right"/>
                    </w:pPr>
                  </w:p>
                </w:tc>
                <w:tc>
                  <w:tcPr>
                    <w:tcW w:w="518" w:type="pct"/>
                    <w:shd w:val="clear" w:color="auto" w:fill="auto"/>
                  </w:tcPr>
                  <w:p w14:paraId="3F444048" w14:textId="77777777" w:rsidR="007E7472" w:rsidRDefault="00C8327E">
                    <w:pPr>
                      <w:jc w:val="right"/>
                    </w:pPr>
                  </w:p>
                </w:tc>
                <w:tc>
                  <w:tcPr>
                    <w:tcW w:w="497" w:type="pct"/>
                    <w:shd w:val="clear" w:color="auto" w:fill="auto"/>
                  </w:tcPr>
                  <w:p w14:paraId="3862D2C3" w14:textId="77777777" w:rsidR="007E7472" w:rsidRDefault="00C8327E">
                    <w:pPr>
                      <w:jc w:val="right"/>
                    </w:pPr>
                  </w:p>
                </w:tc>
                <w:tc>
                  <w:tcPr>
                    <w:tcW w:w="618" w:type="pct"/>
                    <w:shd w:val="clear" w:color="auto" w:fill="auto"/>
                    <w:vAlign w:val="center"/>
                  </w:tcPr>
                  <w:p w14:paraId="423C5D0E" w14:textId="77777777" w:rsidR="007E7472" w:rsidRDefault="00EC1269">
                    <w:pPr>
                      <w:jc w:val="right"/>
                    </w:pPr>
                    <w:r>
                      <w:rPr>
                        <w:rFonts w:hint="eastAsia"/>
                      </w:rPr>
                      <w:t>232</w:t>
                    </w:r>
                  </w:p>
                </w:tc>
                <w:tc>
                  <w:tcPr>
                    <w:tcW w:w="607" w:type="pct"/>
                    <w:shd w:val="clear" w:color="auto" w:fill="auto"/>
                    <w:vAlign w:val="center"/>
                  </w:tcPr>
                  <w:p w14:paraId="20CAB03D" w14:textId="77777777" w:rsidR="007E7472" w:rsidRDefault="00EC1269">
                    <w:pPr>
                      <w:jc w:val="right"/>
                    </w:pPr>
                    <w:r>
                      <w:rPr>
                        <w:rFonts w:hint="eastAsia"/>
                      </w:rPr>
                      <w:t>13,054</w:t>
                    </w:r>
                  </w:p>
                </w:tc>
              </w:tr>
            </w:sdtContent>
          </w:sdt>
          <w:tr w:rsidR="007E7472" w14:paraId="5C9A1916" w14:textId="77777777">
            <w:trPr>
              <w:trHeight w:val="282"/>
              <w:jc w:val="center"/>
            </w:trPr>
            <w:sdt>
              <w:sdtPr>
                <w:rPr>
                  <w:rFonts w:hint="eastAsia"/>
                </w:rPr>
                <w:tag w:val="_PLD_8723cba7d5f5468da42c45507923f6de"/>
                <w:id w:val="1026758884"/>
                <w:lock w:val="sdtLocked"/>
              </w:sdtPr>
              <w:sdtEndPr/>
              <w:sdtContent>
                <w:tc>
                  <w:tcPr>
                    <w:tcW w:w="1074" w:type="pct"/>
                    <w:shd w:val="clear" w:color="auto" w:fill="auto"/>
                    <w:vAlign w:val="center"/>
                  </w:tcPr>
                  <w:p w14:paraId="65AA8C03" w14:textId="77777777" w:rsidR="007E7472" w:rsidRDefault="00EC1269">
                    <w:pPr>
                      <w:autoSpaceDE w:val="0"/>
                      <w:autoSpaceDN w:val="0"/>
                      <w:adjustRightInd w:val="0"/>
                      <w:snapToGrid w:val="0"/>
                      <w:jc w:val="center"/>
                      <w:rPr>
                        <w:u w:val="double"/>
                      </w:rPr>
                    </w:pPr>
                    <w:r>
                      <w:rPr>
                        <w:rFonts w:hint="eastAsia"/>
                      </w:rPr>
                      <w:t>合计</w:t>
                    </w:r>
                  </w:p>
                </w:tc>
              </w:sdtContent>
            </w:sdt>
            <w:tc>
              <w:tcPr>
                <w:tcW w:w="626" w:type="pct"/>
                <w:shd w:val="clear" w:color="auto" w:fill="auto"/>
                <w:vAlign w:val="center"/>
              </w:tcPr>
              <w:p w14:paraId="5ACA2F99" w14:textId="77777777" w:rsidR="007E7472" w:rsidRDefault="00EC1269">
                <w:pPr>
                  <w:jc w:val="right"/>
                </w:pPr>
                <w:r>
                  <w:rPr>
                    <w:rFonts w:hint="eastAsia"/>
                  </w:rPr>
                  <w:t>674,677</w:t>
                </w:r>
              </w:p>
            </w:tc>
            <w:tc>
              <w:tcPr>
                <w:tcW w:w="494" w:type="pct"/>
                <w:shd w:val="clear" w:color="auto" w:fill="auto"/>
              </w:tcPr>
              <w:p w14:paraId="1990D8A0" w14:textId="77777777" w:rsidR="007E7472" w:rsidRDefault="00C8327E">
                <w:pPr>
                  <w:jc w:val="right"/>
                </w:pPr>
              </w:p>
            </w:tc>
            <w:tc>
              <w:tcPr>
                <w:tcW w:w="561" w:type="pct"/>
                <w:shd w:val="clear" w:color="auto" w:fill="auto"/>
              </w:tcPr>
              <w:p w14:paraId="64D33602" w14:textId="77777777" w:rsidR="007E7472" w:rsidRDefault="00C8327E">
                <w:pPr>
                  <w:jc w:val="right"/>
                </w:pPr>
              </w:p>
            </w:tc>
            <w:tc>
              <w:tcPr>
                <w:tcW w:w="518" w:type="pct"/>
                <w:shd w:val="clear" w:color="auto" w:fill="auto"/>
              </w:tcPr>
              <w:p w14:paraId="15CBDA4C" w14:textId="77777777" w:rsidR="007E7472" w:rsidRDefault="00C8327E">
                <w:pPr>
                  <w:jc w:val="right"/>
                </w:pPr>
              </w:p>
            </w:tc>
            <w:tc>
              <w:tcPr>
                <w:tcW w:w="497" w:type="pct"/>
                <w:shd w:val="clear" w:color="auto" w:fill="auto"/>
              </w:tcPr>
              <w:p w14:paraId="48825AD8" w14:textId="77777777" w:rsidR="007E7472" w:rsidRDefault="00C8327E">
                <w:pPr>
                  <w:jc w:val="right"/>
                </w:pPr>
              </w:p>
            </w:tc>
            <w:tc>
              <w:tcPr>
                <w:tcW w:w="618" w:type="pct"/>
                <w:shd w:val="clear" w:color="auto" w:fill="auto"/>
                <w:vAlign w:val="center"/>
              </w:tcPr>
              <w:p w14:paraId="4BE3E403" w14:textId="77777777" w:rsidR="007E7472" w:rsidRDefault="00EC1269">
                <w:pPr>
                  <w:jc w:val="right"/>
                </w:pPr>
                <w:r>
                  <w:rPr>
                    <w:rFonts w:hint="eastAsia"/>
                  </w:rPr>
                  <w:t>377</w:t>
                </w:r>
              </w:p>
            </w:tc>
            <w:tc>
              <w:tcPr>
                <w:tcW w:w="607" w:type="pct"/>
                <w:shd w:val="clear" w:color="auto" w:fill="auto"/>
                <w:vAlign w:val="center"/>
              </w:tcPr>
              <w:p w14:paraId="00AF353D" w14:textId="77777777" w:rsidR="007E7472" w:rsidRDefault="00EC1269">
                <w:pPr>
                  <w:jc w:val="right"/>
                </w:pPr>
                <w:r>
                  <w:rPr>
                    <w:rFonts w:hint="eastAsia"/>
                  </w:rPr>
                  <w:t>675,054</w:t>
                </w:r>
              </w:p>
            </w:tc>
          </w:tr>
        </w:tbl>
        <w:p w14:paraId="7545C2A9" w14:textId="77777777" w:rsidR="007E7472" w:rsidRDefault="00C8327E"/>
      </w:sdtContent>
    </w:sdt>
    <w:bookmarkStart w:id="223" w:name="_Hlk10535081" w:displacedByCustomXml="next"/>
    <w:bookmarkStart w:id="224" w:name="_Hlk10535094" w:displacedByCustomXml="next"/>
    <w:sdt>
      <w:sdtPr>
        <w:rPr>
          <w:rFonts w:ascii="宋体" w:hAnsi="宋体" w:cs="宋体" w:hint="eastAsia"/>
          <w:b w:val="0"/>
          <w:bCs w:val="0"/>
          <w:kern w:val="0"/>
          <w:sz w:val="20"/>
          <w:szCs w:val="24"/>
        </w:rPr>
        <w:alias w:val="模块:商誉所在资产组或资产组组合的相关信息"/>
        <w:tag w:val="_SEC_d66ac36383ac40138e90a678094ff1a4"/>
        <w:id w:val="-1200545540"/>
        <w:lock w:val="sdtLocked"/>
        <w:placeholder>
          <w:docPart w:val="GBC22222222222222222222222222222"/>
        </w:placeholder>
      </w:sdtPr>
      <w:sdtEndPr>
        <w:rPr>
          <w:rFonts w:hint="default"/>
          <w:szCs w:val="21"/>
        </w:rPr>
      </w:sdtEndPr>
      <w:sdtContent>
        <w:p w14:paraId="1049BC37" w14:textId="77777777" w:rsidR="007E7472" w:rsidRDefault="00EC1269" w:rsidP="00162493">
          <w:pPr>
            <w:pStyle w:val="4"/>
            <w:numPr>
              <w:ilvl w:val="0"/>
              <w:numId w:val="79"/>
            </w:numPr>
          </w:pPr>
          <w:r>
            <w:rPr>
              <w:rFonts w:hint="eastAsia"/>
            </w:rPr>
            <w:t>商誉所在资产组或资产组组合的相关信息</w:t>
          </w:r>
          <w:bookmarkEnd w:id="223"/>
        </w:p>
        <w:sdt>
          <w:sdtPr>
            <w:alias w:val="是否适用：商誉所在资产组或资产组组合的相关信息[双击切换]"/>
            <w:tag w:val="_GBC_a40a76b7512a45b79930a13f56d19c6d"/>
            <w:id w:val="-1895954575"/>
            <w:lock w:val="sdtLocked"/>
            <w:placeholder>
              <w:docPart w:val="GBC22222222222222222222222222222"/>
            </w:placeholder>
          </w:sdtPr>
          <w:sdtEndPr/>
          <w:sdtContent>
            <w:p w14:paraId="77C65654"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bookmarkEnd w:id="224" w:displacedByCustomXml="next"/>
    <w:sdt>
      <w:sdtPr>
        <w:rPr>
          <w:rFonts w:ascii="宋体" w:hAnsi="宋体" w:cs="宋体" w:hint="eastAsia"/>
          <w:b w:val="0"/>
          <w:bCs w:val="0"/>
          <w:kern w:val="0"/>
          <w:sz w:val="20"/>
          <w:szCs w:val="24"/>
        </w:rPr>
        <w:alias w:val="模块:说明商誉减值测试过程、关键参数（例如预计未来现金流量现值时的..."/>
        <w:tag w:val="_SEC_6b753aafd7bf484f982e228cd4c0dde3"/>
        <w:id w:val="271437401"/>
        <w:lock w:val="sdtLocked"/>
        <w:placeholder>
          <w:docPart w:val="GBC22222222222222222222222222222"/>
        </w:placeholder>
      </w:sdtPr>
      <w:sdtEndPr>
        <w:rPr>
          <w:rFonts w:hint="default"/>
          <w:szCs w:val="21"/>
        </w:rPr>
      </w:sdtEndPr>
      <w:sdtContent>
        <w:p w14:paraId="0EEAD83E" w14:textId="77777777" w:rsidR="007E7472" w:rsidRDefault="00EC1269" w:rsidP="00162493">
          <w:pPr>
            <w:pStyle w:val="4"/>
            <w:numPr>
              <w:ilvl w:val="0"/>
              <w:numId w:val="79"/>
            </w:numPr>
          </w:pPr>
          <w:r>
            <w:rPr>
              <w:rFonts w:hint="eastAsia"/>
            </w:rPr>
            <w:t>说明商誉减值测试过程、关键参数（例如预计未来现金流量现值时的预测期增长率、稳定期增长率、利润率、折现率、预测期等，如适用）及商誉减值损失的确认方法</w:t>
          </w:r>
        </w:p>
        <w:sdt>
          <w:sdtPr>
            <w:alias w:val="是否适用：说明商誉减值测试过程、参数及商誉减值损失的确认方法[双击切换]"/>
            <w:tag w:val="_GBC_3e5dd9e04d73479f9a70e665366f9d11"/>
            <w:id w:val="-1362273044"/>
            <w:lock w:val="sdtLocked"/>
            <w:placeholder>
              <w:docPart w:val="GBC22222222222222222222222222222"/>
            </w:placeholder>
          </w:sdtPr>
          <w:sdtEndPr/>
          <w:sdtContent>
            <w:p w14:paraId="62768296"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bookmarkStart w:id="225" w:name="_Hlk10535249" w:displacedByCustomXml="next"/>
    <w:bookmarkStart w:id="226" w:name="_Hlk10535258" w:displacedByCustomXml="next"/>
    <w:sdt>
      <w:sdtPr>
        <w:rPr>
          <w:rFonts w:ascii="宋体" w:hAnsi="宋体" w:cs="宋体" w:hint="eastAsia"/>
          <w:b w:val="0"/>
          <w:bCs w:val="0"/>
          <w:kern w:val="0"/>
          <w:sz w:val="20"/>
          <w:szCs w:val="21"/>
        </w:rPr>
        <w:alias w:val="模块:商誉减值测试的影响"/>
        <w:tag w:val="_SEC_fd017e302f8c4189978aac3dc8581f09"/>
        <w:id w:val="1629052046"/>
        <w:lock w:val="sdtLocked"/>
        <w:placeholder>
          <w:docPart w:val="GBC22222222222222222222222222222"/>
        </w:placeholder>
      </w:sdtPr>
      <w:sdtEndPr>
        <w:rPr>
          <w:rFonts w:hint="default"/>
        </w:rPr>
      </w:sdtEndPr>
      <w:sdtContent>
        <w:p w14:paraId="777C99F1" w14:textId="77777777" w:rsidR="007E7472" w:rsidRDefault="00EC1269" w:rsidP="00162493">
          <w:pPr>
            <w:pStyle w:val="4"/>
            <w:numPr>
              <w:ilvl w:val="0"/>
              <w:numId w:val="79"/>
            </w:numPr>
          </w:pPr>
          <w:r>
            <w:rPr>
              <w:rFonts w:hint="eastAsia"/>
            </w:rPr>
            <w:t>商誉减值测试的影响</w:t>
          </w:r>
          <w:bookmarkEnd w:id="225"/>
        </w:p>
        <w:sdt>
          <w:sdtPr>
            <w:alias w:val="是否适用：商誉减值测试的影响[双击切换]"/>
            <w:tag w:val="_GBC_24d2ea865aff4dda9d4cd3c8b1eb71cc"/>
            <w:id w:val="-1715575963"/>
            <w:lock w:val="sdtLocked"/>
            <w:placeholder>
              <w:docPart w:val="GBC22222222222222222222222222222"/>
            </w:placeholder>
          </w:sdtPr>
          <w:sdtEndPr/>
          <w:sdtContent>
            <w:p w14:paraId="022AB082"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bookmarkEnd w:id="226" w:displacedByCustomXml="next"/>
    <w:sdt>
      <w:sdtPr>
        <w:rPr>
          <w:rFonts w:hint="eastAsia"/>
        </w:rPr>
        <w:alias w:val="模块:其他说明"/>
        <w:tag w:val="_SEC_fd9f0a21b0c44e29ba84ddb7842fe32a"/>
        <w:id w:val="652796046"/>
        <w:lock w:val="sdtLocked"/>
        <w:placeholder>
          <w:docPart w:val="GBC22222222222222222222222222222"/>
        </w:placeholder>
      </w:sdtPr>
      <w:sdtEndPr>
        <w:rPr>
          <w:rFonts w:hint="default"/>
        </w:rPr>
      </w:sdtEndPr>
      <w:sdtContent>
        <w:p w14:paraId="3AC22BBE" w14:textId="77777777" w:rsidR="007E7472" w:rsidRDefault="00EC1269">
          <w:r>
            <w:rPr>
              <w:rFonts w:hint="eastAsia"/>
            </w:rPr>
            <w:t>其他说明：</w:t>
          </w:r>
        </w:p>
        <w:sdt>
          <w:sdtPr>
            <w:alias w:val="是否适用：商誉其他需要说明的事项[双击切换]"/>
            <w:tag w:val="_GBC_6b2c2377a4a6486b9a4ba845bd2192f6"/>
            <w:id w:val="50511578"/>
            <w:lock w:val="sdtLocked"/>
            <w:placeholder>
              <w:docPart w:val="GBC22222222222222222222222222222"/>
            </w:placeholder>
          </w:sdtPr>
          <w:sdtEndPr/>
          <w:sdtContent>
            <w:p w14:paraId="4614DA90"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p w14:paraId="29119C2F" w14:textId="77777777" w:rsidR="007E7472" w:rsidRDefault="00C8327E">
      <w:pPr>
        <w:snapToGrid w:val="0"/>
        <w:spacing w:line="240" w:lineRule="atLeast"/>
      </w:pPr>
    </w:p>
    <w:sdt>
      <w:sdtPr>
        <w:rPr>
          <w:rFonts w:ascii="宋体" w:hAnsi="宋体" w:cs="宋体" w:hint="eastAsia"/>
          <w:b w:val="0"/>
          <w:bCs w:val="0"/>
          <w:kern w:val="0"/>
          <w:sz w:val="20"/>
          <w:szCs w:val="21"/>
        </w:rPr>
        <w:alias w:val="模块:长期待摊费用"/>
        <w:tag w:val="_GBC_c7f901dce89846cbbbab6c51c3213a6f"/>
        <w:id w:val="776908177"/>
        <w:lock w:val="sdtLocked"/>
        <w:placeholder>
          <w:docPart w:val="GBC22222222222222222222222222222"/>
        </w:placeholder>
      </w:sdtPr>
      <w:sdtEndPr>
        <w:rPr>
          <w:rFonts w:cstheme="minorBidi" w:hint="default"/>
        </w:rPr>
      </w:sdtEndPr>
      <w:sdtContent>
        <w:p w14:paraId="23A170B2" w14:textId="77777777" w:rsidR="007E7472" w:rsidRDefault="00EC1269" w:rsidP="00162493">
          <w:pPr>
            <w:pStyle w:val="3"/>
            <w:numPr>
              <w:ilvl w:val="0"/>
              <w:numId w:val="62"/>
            </w:numPr>
          </w:pPr>
          <w:r>
            <w:rPr>
              <w:rFonts w:hint="eastAsia"/>
            </w:rPr>
            <w:t>长期待摊费用</w:t>
          </w:r>
        </w:p>
        <w:sdt>
          <w:sdtPr>
            <w:alias w:val="是否适用：长期待摊费用[双击切换]"/>
            <w:tag w:val="_GBC_9bec8f9516c84b19bae2fb8a7292063f"/>
            <w:id w:val="466934830"/>
            <w:lock w:val="sdtLocked"/>
            <w:placeholder>
              <w:docPart w:val="GBC22222222222222222222222222222"/>
            </w:placeholder>
          </w:sdtPr>
          <w:sdtEndPr/>
          <w:sdtContent>
            <w:p w14:paraId="036D2A4B"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p w14:paraId="0DFC399E" w14:textId="77777777" w:rsidR="007E7472" w:rsidRDefault="00C8327E"/>
    <w:sdt>
      <w:sdtPr>
        <w:rPr>
          <w:rFonts w:ascii="宋体" w:hAnsi="宋体" w:cs="宋体" w:hint="eastAsia"/>
          <w:b w:val="0"/>
          <w:bCs w:val="0"/>
          <w:kern w:val="0"/>
          <w:sz w:val="20"/>
          <w:szCs w:val="21"/>
        </w:rPr>
        <w:alias w:val="模块:未经抵销的递延所得税资产"/>
        <w:tag w:val="_SEC_24cb6110bf5143448478343c289c754e"/>
        <w:id w:val="983278023"/>
        <w:lock w:val="sdtLocked"/>
        <w:placeholder>
          <w:docPart w:val="GBC22222222222222222222222222222"/>
        </w:placeholder>
      </w:sdtPr>
      <w:sdtEndPr>
        <w:rPr>
          <w:rFonts w:hint="default"/>
        </w:rPr>
      </w:sdtEndPr>
      <w:sdtContent>
        <w:p w14:paraId="203B28FC" w14:textId="77777777" w:rsidR="007E7472" w:rsidRDefault="00EC1269" w:rsidP="00162493">
          <w:pPr>
            <w:pStyle w:val="3"/>
            <w:numPr>
              <w:ilvl w:val="0"/>
              <w:numId w:val="62"/>
            </w:numPr>
          </w:pPr>
          <w:r>
            <w:rPr>
              <w:rFonts w:hint="eastAsia"/>
            </w:rPr>
            <w:t>递延所得税资产</w:t>
          </w:r>
          <w:r>
            <w:rPr>
              <w:rFonts w:hint="eastAsia"/>
            </w:rPr>
            <w:t>/</w:t>
          </w:r>
          <w:r>
            <w:rPr>
              <w:rFonts w:hint="eastAsia"/>
            </w:rPr>
            <w:t>递延所得税负债</w:t>
          </w:r>
        </w:p>
        <w:p w14:paraId="18A00312" w14:textId="77777777" w:rsidR="007E7472" w:rsidRDefault="00EC1269" w:rsidP="00162493">
          <w:pPr>
            <w:pStyle w:val="4"/>
            <w:numPr>
              <w:ilvl w:val="0"/>
              <w:numId w:val="80"/>
            </w:numPr>
          </w:pPr>
          <w:bookmarkStart w:id="227" w:name="_Toc215903151"/>
          <w:r>
            <w:rPr>
              <w:rFonts w:hint="eastAsia"/>
            </w:rPr>
            <w:t>未经抵销的递延所得税资产</w:t>
          </w:r>
        </w:p>
        <w:sdt>
          <w:sdtPr>
            <w:alias w:val="是否适用：未经抵销的递延所得税资产[双击切换]"/>
            <w:tag w:val="_GBC_fc6e77974a404dc3bef5fc386ae4e1e7"/>
            <w:id w:val="-334687582"/>
            <w:lock w:val="sdtLocked"/>
            <w:placeholder>
              <w:docPart w:val="GBC22222222222222222222222222222"/>
            </w:placeholder>
          </w:sdtPr>
          <w:sdtEndPr/>
          <w:sdtContent>
            <w:p w14:paraId="4DA293DE"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710F8CAE" w14:textId="0D5B8D5C" w:rsidR="007E7472" w:rsidRDefault="00EC1269">
          <w:pPr>
            <w:jc w:val="right"/>
          </w:pPr>
          <w:r>
            <w:rPr>
              <w:rFonts w:hint="eastAsia"/>
            </w:rPr>
            <w:t>单位：</w:t>
          </w:r>
          <w:sdt>
            <w:sdtPr>
              <w:rPr>
                <w:rFonts w:hint="eastAsia"/>
              </w:rPr>
              <w:alias w:val="单位：财务附注：已确认的递延所得税资产和递延所得税负债"/>
              <w:tag w:val="_GBC_7be724d3c6f14974914db7d02bb734f9"/>
              <w:id w:val="4589267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bookmarkEnd w:id="227"/>
          <w:sdt>
            <w:sdtPr>
              <w:rPr>
                <w:rFonts w:hint="eastAsia"/>
              </w:rPr>
              <w:alias w:val="币种：财务附注：已确认的递延所得税资产和递延所得税负债"/>
              <w:tag w:val="_GBC_a48237f045494aa9a0ea8c2cb35b1c0f"/>
              <w:id w:val="-12361588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3"/>
            <w:gridCol w:w="1610"/>
            <w:gridCol w:w="1606"/>
            <w:gridCol w:w="1622"/>
            <w:gridCol w:w="1604"/>
          </w:tblGrid>
          <w:tr w:rsidR="007E7472" w14:paraId="2BB60BE7" w14:textId="77777777" w:rsidTr="007E7472">
            <w:trPr>
              <w:trHeight w:val="285"/>
            </w:trPr>
            <w:sdt>
              <w:sdtPr>
                <w:rPr>
                  <w:rFonts w:asciiTheme="minorEastAsia" w:hAnsiTheme="minorEastAsia"/>
                </w:rPr>
                <w:tag w:val="_PLD_e45101b3a01946f19f22657bb959574e"/>
                <w:id w:val="257877013"/>
              </w:sdtPr>
              <w:sdtEndPr/>
              <w:sdtContent>
                <w:tc>
                  <w:tcPr>
                    <w:tcW w:w="1350" w:type="pct"/>
                    <w:vMerge w:val="restart"/>
                    <w:shd w:val="clear" w:color="auto" w:fill="auto"/>
                    <w:vAlign w:val="center"/>
                  </w:tcPr>
                  <w:p w14:paraId="7C94D1AA" w14:textId="77777777" w:rsidR="007E7472" w:rsidRDefault="00EC1269">
                    <w:pPr>
                      <w:jc w:val="center"/>
                      <w:rPr>
                        <w:rFonts w:asciiTheme="minorEastAsia" w:eastAsiaTheme="minorEastAsia" w:hAnsiTheme="minorEastAsia"/>
                      </w:rPr>
                    </w:pPr>
                    <w:r>
                      <w:rPr>
                        <w:rFonts w:asciiTheme="minorEastAsia" w:eastAsiaTheme="minorEastAsia" w:hAnsiTheme="minorEastAsia" w:hint="eastAsia"/>
                      </w:rPr>
                      <w:t>项目</w:t>
                    </w:r>
                  </w:p>
                </w:tc>
              </w:sdtContent>
            </w:sdt>
            <w:sdt>
              <w:sdtPr>
                <w:rPr>
                  <w:rFonts w:asciiTheme="minorEastAsia" w:hAnsiTheme="minorEastAsia"/>
                </w:rPr>
                <w:tag w:val="_PLD_dd892ffecd234c819059bf10f71b1910"/>
                <w:id w:val="1603060700"/>
              </w:sdtPr>
              <w:sdtEndPr/>
              <w:sdtContent>
                <w:tc>
                  <w:tcPr>
                    <w:tcW w:w="1822" w:type="pct"/>
                    <w:gridSpan w:val="2"/>
                    <w:shd w:val="clear" w:color="auto" w:fill="auto"/>
                    <w:vAlign w:val="center"/>
                  </w:tcPr>
                  <w:p w14:paraId="743C5AAB" w14:textId="77777777" w:rsidR="007E7472" w:rsidRDefault="00EC1269">
                    <w:pPr>
                      <w:jc w:val="center"/>
                      <w:rPr>
                        <w:rFonts w:asciiTheme="minorEastAsia" w:eastAsiaTheme="minorEastAsia" w:hAnsiTheme="minorEastAsia"/>
                      </w:rPr>
                    </w:pPr>
                    <w:r>
                      <w:rPr>
                        <w:rFonts w:asciiTheme="minorEastAsia" w:eastAsiaTheme="minorEastAsia" w:hAnsiTheme="minorEastAsia" w:hint="eastAsia"/>
                      </w:rPr>
                      <w:t>期末余额</w:t>
                    </w:r>
                  </w:p>
                </w:tc>
              </w:sdtContent>
            </w:sdt>
            <w:sdt>
              <w:sdtPr>
                <w:rPr>
                  <w:rFonts w:asciiTheme="minorEastAsia" w:hAnsiTheme="minorEastAsia"/>
                </w:rPr>
                <w:tag w:val="_PLD_be855fcb002344d6ae2c74083e90b1c1"/>
                <w:id w:val="1115479666"/>
              </w:sdtPr>
              <w:sdtEndPr/>
              <w:sdtContent>
                <w:tc>
                  <w:tcPr>
                    <w:tcW w:w="1828" w:type="pct"/>
                    <w:gridSpan w:val="2"/>
                    <w:shd w:val="clear" w:color="auto" w:fill="auto"/>
                    <w:vAlign w:val="center"/>
                  </w:tcPr>
                  <w:p w14:paraId="4A6F5253" w14:textId="77777777" w:rsidR="007E7472" w:rsidRDefault="00EC1269">
                    <w:pPr>
                      <w:jc w:val="center"/>
                      <w:rPr>
                        <w:rFonts w:asciiTheme="minorEastAsia" w:eastAsiaTheme="minorEastAsia" w:hAnsiTheme="minorEastAsia"/>
                      </w:rPr>
                    </w:pPr>
                    <w:r>
                      <w:rPr>
                        <w:rFonts w:asciiTheme="minorEastAsia" w:eastAsiaTheme="minorEastAsia" w:hAnsiTheme="minorEastAsia" w:hint="eastAsia"/>
                      </w:rPr>
                      <w:t>期初余额</w:t>
                    </w:r>
                  </w:p>
                </w:tc>
              </w:sdtContent>
            </w:sdt>
          </w:tr>
          <w:tr w:rsidR="007E7472" w14:paraId="775822ED" w14:textId="77777777" w:rsidTr="007E7472">
            <w:trPr>
              <w:trHeight w:val="285"/>
            </w:trPr>
            <w:tc>
              <w:tcPr>
                <w:tcW w:w="1350" w:type="pct"/>
                <w:vMerge/>
                <w:shd w:val="clear" w:color="auto" w:fill="auto"/>
                <w:vAlign w:val="center"/>
              </w:tcPr>
              <w:p w14:paraId="01F356EB" w14:textId="77777777" w:rsidR="007E7472" w:rsidRDefault="00C8327E">
                <w:pPr>
                  <w:jc w:val="center"/>
                  <w:rPr>
                    <w:rFonts w:asciiTheme="minorEastAsia" w:eastAsiaTheme="minorEastAsia" w:hAnsiTheme="minorEastAsia"/>
                    <w:b/>
                  </w:rPr>
                </w:pPr>
              </w:p>
            </w:tc>
            <w:sdt>
              <w:sdtPr>
                <w:rPr>
                  <w:rFonts w:asciiTheme="minorEastAsia" w:hAnsiTheme="minorEastAsia"/>
                </w:rPr>
                <w:tag w:val="_PLD_c82eb64547054aa39a1b7bfe7c532e2e"/>
                <w:id w:val="739837457"/>
              </w:sdtPr>
              <w:sdtEndPr/>
              <w:sdtContent>
                <w:tc>
                  <w:tcPr>
                    <w:tcW w:w="912" w:type="pct"/>
                    <w:shd w:val="clear" w:color="auto" w:fill="auto"/>
                    <w:vAlign w:val="center"/>
                  </w:tcPr>
                  <w:p w14:paraId="6F5A191C" w14:textId="77777777" w:rsidR="007E7472" w:rsidRDefault="00EC1269">
                    <w:pPr>
                      <w:jc w:val="center"/>
                      <w:rPr>
                        <w:rFonts w:asciiTheme="minorEastAsia" w:eastAsiaTheme="minorEastAsia" w:hAnsiTheme="minorEastAsia"/>
                      </w:rPr>
                    </w:pPr>
                    <w:r>
                      <w:rPr>
                        <w:rFonts w:asciiTheme="minorEastAsia" w:eastAsiaTheme="minorEastAsia" w:hAnsiTheme="minorEastAsia" w:hint="eastAsia"/>
                      </w:rPr>
                      <w:t>可抵扣暂时性差异</w:t>
                    </w:r>
                  </w:p>
                </w:tc>
              </w:sdtContent>
            </w:sdt>
            <w:sdt>
              <w:sdtPr>
                <w:rPr>
                  <w:rFonts w:asciiTheme="minorEastAsia" w:hAnsiTheme="minorEastAsia"/>
                </w:rPr>
                <w:tag w:val="_PLD_ad2e47975c52486d8bfc7fec079252de"/>
                <w:id w:val="-80761813"/>
              </w:sdtPr>
              <w:sdtEndPr/>
              <w:sdtContent>
                <w:tc>
                  <w:tcPr>
                    <w:tcW w:w="910" w:type="pct"/>
                    <w:shd w:val="clear" w:color="auto" w:fill="auto"/>
                    <w:vAlign w:val="center"/>
                  </w:tcPr>
                  <w:p w14:paraId="6E8239AA" w14:textId="77777777" w:rsidR="007E7472" w:rsidRDefault="00EC1269">
                    <w:pPr>
                      <w:jc w:val="center"/>
                      <w:rPr>
                        <w:rFonts w:asciiTheme="minorEastAsia" w:eastAsiaTheme="minorEastAsia" w:hAnsiTheme="minorEastAsia"/>
                      </w:rPr>
                    </w:pPr>
                    <w:r>
                      <w:rPr>
                        <w:rFonts w:asciiTheme="minorEastAsia" w:eastAsiaTheme="minorEastAsia" w:hAnsiTheme="minorEastAsia" w:hint="eastAsia"/>
                      </w:rPr>
                      <w:t>递延所得税</w:t>
                    </w:r>
                  </w:p>
                  <w:p w14:paraId="14EB0E4B" w14:textId="77777777" w:rsidR="007E7472" w:rsidRDefault="00EC1269">
                    <w:pPr>
                      <w:jc w:val="center"/>
                      <w:rPr>
                        <w:rFonts w:asciiTheme="minorEastAsia" w:eastAsiaTheme="minorEastAsia" w:hAnsiTheme="minorEastAsia"/>
                      </w:rPr>
                    </w:pPr>
                    <w:r>
                      <w:rPr>
                        <w:rFonts w:asciiTheme="minorEastAsia" w:eastAsiaTheme="minorEastAsia" w:hAnsiTheme="minorEastAsia" w:hint="eastAsia"/>
                      </w:rPr>
                      <w:t>资产</w:t>
                    </w:r>
                  </w:p>
                </w:tc>
              </w:sdtContent>
            </w:sdt>
            <w:sdt>
              <w:sdtPr>
                <w:rPr>
                  <w:rFonts w:asciiTheme="minorEastAsia" w:hAnsiTheme="minorEastAsia"/>
                </w:rPr>
                <w:tag w:val="_PLD_0e0e7aabb5f8432ea9da8b4066b2e897"/>
                <w:id w:val="1112708214"/>
              </w:sdtPr>
              <w:sdtEndPr/>
              <w:sdtContent>
                <w:tc>
                  <w:tcPr>
                    <w:tcW w:w="919" w:type="pct"/>
                    <w:shd w:val="clear" w:color="auto" w:fill="auto"/>
                    <w:vAlign w:val="center"/>
                  </w:tcPr>
                  <w:p w14:paraId="18901D81" w14:textId="77777777" w:rsidR="007E7472" w:rsidRDefault="00EC1269">
                    <w:pPr>
                      <w:jc w:val="center"/>
                      <w:rPr>
                        <w:rFonts w:asciiTheme="minorEastAsia" w:eastAsiaTheme="minorEastAsia" w:hAnsiTheme="minorEastAsia"/>
                      </w:rPr>
                    </w:pPr>
                    <w:r>
                      <w:rPr>
                        <w:rFonts w:asciiTheme="minorEastAsia" w:eastAsiaTheme="minorEastAsia" w:hAnsiTheme="minorEastAsia" w:hint="eastAsia"/>
                      </w:rPr>
                      <w:t>可抵扣暂时性差异</w:t>
                    </w:r>
                  </w:p>
                </w:tc>
              </w:sdtContent>
            </w:sdt>
            <w:sdt>
              <w:sdtPr>
                <w:rPr>
                  <w:rFonts w:asciiTheme="minorEastAsia" w:hAnsiTheme="minorEastAsia"/>
                </w:rPr>
                <w:tag w:val="_PLD_34147e3346eb4b24b314e0dadaab6983"/>
                <w:id w:val="-617764434"/>
              </w:sdtPr>
              <w:sdtEndPr/>
              <w:sdtContent>
                <w:tc>
                  <w:tcPr>
                    <w:tcW w:w="909" w:type="pct"/>
                    <w:shd w:val="clear" w:color="auto" w:fill="auto"/>
                    <w:vAlign w:val="center"/>
                  </w:tcPr>
                  <w:p w14:paraId="6BC89190" w14:textId="77777777" w:rsidR="007E7472" w:rsidRDefault="00EC1269">
                    <w:pPr>
                      <w:jc w:val="center"/>
                      <w:rPr>
                        <w:rFonts w:asciiTheme="minorEastAsia" w:eastAsiaTheme="minorEastAsia" w:hAnsiTheme="minorEastAsia"/>
                      </w:rPr>
                    </w:pPr>
                    <w:r>
                      <w:rPr>
                        <w:rFonts w:asciiTheme="minorEastAsia" w:eastAsiaTheme="minorEastAsia" w:hAnsiTheme="minorEastAsia" w:hint="eastAsia"/>
                      </w:rPr>
                      <w:t>递延所得税</w:t>
                    </w:r>
                  </w:p>
                  <w:p w14:paraId="088527E5" w14:textId="77777777" w:rsidR="007E7472" w:rsidRDefault="00EC1269">
                    <w:pPr>
                      <w:jc w:val="center"/>
                      <w:rPr>
                        <w:rFonts w:asciiTheme="minorEastAsia" w:eastAsiaTheme="minorEastAsia" w:hAnsiTheme="minorEastAsia"/>
                      </w:rPr>
                    </w:pPr>
                    <w:r>
                      <w:rPr>
                        <w:rFonts w:asciiTheme="minorEastAsia" w:eastAsiaTheme="minorEastAsia" w:hAnsiTheme="minorEastAsia" w:hint="eastAsia"/>
                      </w:rPr>
                      <w:t>资产</w:t>
                    </w:r>
                  </w:p>
                </w:tc>
              </w:sdtContent>
            </w:sdt>
          </w:tr>
          <w:sdt>
            <w:sdtPr>
              <w:rPr>
                <w:rFonts w:asciiTheme="minorEastAsia" w:eastAsiaTheme="minorEastAsia" w:hAnsiTheme="minorEastAsia"/>
                <w:kern w:val="2"/>
              </w:rPr>
              <w:alias w:val="递延所得税资产明细"/>
              <w:tag w:val="_GBC_78d44848a87d4473a54948d3e2adbb46"/>
              <w:id w:val="-863443618"/>
            </w:sdtPr>
            <w:sdtEndPr/>
            <w:sdtContent>
              <w:tr w:rsidR="007E7472" w14:paraId="463A05B0" w14:textId="77777777" w:rsidTr="007E7472">
                <w:trPr>
                  <w:trHeight w:val="285"/>
                </w:trPr>
                <w:tc>
                  <w:tcPr>
                    <w:tcW w:w="1350" w:type="pct"/>
                    <w:shd w:val="clear" w:color="auto" w:fill="auto"/>
                    <w:vAlign w:val="center"/>
                  </w:tcPr>
                  <w:p w14:paraId="0B40DAC8" w14:textId="77777777" w:rsidR="007E7472" w:rsidRDefault="00EC1269">
                    <w:pPr>
                      <w:rPr>
                        <w:rFonts w:asciiTheme="minorEastAsia" w:eastAsiaTheme="minorEastAsia" w:hAnsiTheme="minorEastAsia"/>
                      </w:rPr>
                    </w:pPr>
                    <w:r>
                      <w:rPr>
                        <w:rFonts w:asciiTheme="minorEastAsia" w:eastAsiaTheme="minorEastAsia" w:hAnsiTheme="minorEastAsia" w:hint="eastAsia"/>
                        <w:b/>
                      </w:rPr>
                      <w:t>母公司及境内子公司</w:t>
                    </w:r>
                  </w:p>
                </w:tc>
                <w:tc>
                  <w:tcPr>
                    <w:tcW w:w="912" w:type="pct"/>
                    <w:shd w:val="clear" w:color="auto" w:fill="auto"/>
                    <w:vAlign w:val="center"/>
                  </w:tcPr>
                  <w:p w14:paraId="5215E7B9" w14:textId="77777777" w:rsidR="007E7472" w:rsidRDefault="00C8327E">
                    <w:pPr>
                      <w:jc w:val="right"/>
                      <w:rPr>
                        <w:rFonts w:asciiTheme="minorEastAsia" w:eastAsiaTheme="minorEastAsia" w:hAnsiTheme="minorEastAsia"/>
                      </w:rPr>
                    </w:pPr>
                  </w:p>
                </w:tc>
                <w:tc>
                  <w:tcPr>
                    <w:tcW w:w="910" w:type="pct"/>
                    <w:shd w:val="clear" w:color="auto" w:fill="auto"/>
                    <w:vAlign w:val="center"/>
                  </w:tcPr>
                  <w:p w14:paraId="2D677F79" w14:textId="77777777" w:rsidR="007E7472" w:rsidRDefault="00C8327E">
                    <w:pPr>
                      <w:jc w:val="right"/>
                      <w:rPr>
                        <w:rFonts w:asciiTheme="minorEastAsia" w:eastAsiaTheme="minorEastAsia" w:hAnsiTheme="minorEastAsia"/>
                      </w:rPr>
                    </w:pPr>
                  </w:p>
                </w:tc>
                <w:tc>
                  <w:tcPr>
                    <w:tcW w:w="919" w:type="pct"/>
                    <w:shd w:val="clear" w:color="auto" w:fill="auto"/>
                    <w:vAlign w:val="center"/>
                  </w:tcPr>
                  <w:p w14:paraId="76920192" w14:textId="77777777" w:rsidR="007E7472" w:rsidRDefault="00C8327E">
                    <w:pPr>
                      <w:jc w:val="right"/>
                      <w:rPr>
                        <w:rFonts w:asciiTheme="minorEastAsia" w:eastAsiaTheme="minorEastAsia" w:hAnsiTheme="minorEastAsia"/>
                      </w:rPr>
                    </w:pPr>
                  </w:p>
                </w:tc>
                <w:tc>
                  <w:tcPr>
                    <w:tcW w:w="909" w:type="pct"/>
                    <w:shd w:val="clear" w:color="auto" w:fill="auto"/>
                    <w:vAlign w:val="center"/>
                  </w:tcPr>
                  <w:p w14:paraId="5A533C38" w14:textId="77777777" w:rsidR="007E7472" w:rsidRDefault="00C8327E">
                    <w:pPr>
                      <w:jc w:val="right"/>
                      <w:rPr>
                        <w:rFonts w:asciiTheme="minorEastAsia" w:eastAsiaTheme="minorEastAsia" w:hAnsiTheme="minorEastAsia"/>
                      </w:rPr>
                    </w:pPr>
                  </w:p>
                </w:tc>
              </w:tr>
            </w:sdtContent>
          </w:sdt>
          <w:sdt>
            <w:sdtPr>
              <w:rPr>
                <w:rFonts w:asciiTheme="minorEastAsia" w:eastAsiaTheme="minorEastAsia" w:hAnsiTheme="minorEastAsia"/>
                <w:kern w:val="2"/>
              </w:rPr>
              <w:alias w:val="递延所得税资产明细"/>
              <w:tag w:val="_GBC_78d44848a87d4473a54948d3e2adbb46"/>
              <w:id w:val="-1110741002"/>
            </w:sdtPr>
            <w:sdtEndPr/>
            <w:sdtContent>
              <w:tr w:rsidR="007E7472" w14:paraId="15522D92" w14:textId="77777777" w:rsidTr="007E7472">
                <w:trPr>
                  <w:trHeight w:val="285"/>
                </w:trPr>
                <w:tc>
                  <w:tcPr>
                    <w:tcW w:w="1350" w:type="pct"/>
                    <w:shd w:val="clear" w:color="auto" w:fill="auto"/>
                    <w:vAlign w:val="center"/>
                  </w:tcPr>
                  <w:p w14:paraId="3AF90682" w14:textId="77777777" w:rsidR="007E7472" w:rsidRDefault="00EC1269">
                    <w:pPr>
                      <w:rPr>
                        <w:rFonts w:asciiTheme="minorEastAsia" w:eastAsiaTheme="minorEastAsia" w:hAnsiTheme="minorEastAsia"/>
                      </w:rPr>
                    </w:pPr>
                    <w:r>
                      <w:rPr>
                        <w:rFonts w:asciiTheme="minorEastAsia" w:eastAsiaTheme="minorEastAsia" w:hAnsiTheme="minorEastAsia" w:hint="eastAsia"/>
                      </w:rPr>
                      <w:t>未弥补亏损</w:t>
                    </w:r>
                  </w:p>
                </w:tc>
                <w:tc>
                  <w:tcPr>
                    <w:tcW w:w="912" w:type="pct"/>
                    <w:shd w:val="clear" w:color="auto" w:fill="auto"/>
                    <w:vAlign w:val="center"/>
                  </w:tcPr>
                  <w:p w14:paraId="7E7B6D55" w14:textId="77777777" w:rsidR="007E7472" w:rsidRDefault="00EC1269">
                    <w:pPr>
                      <w:jc w:val="right"/>
                      <w:rPr>
                        <w:rFonts w:asciiTheme="minorEastAsia" w:eastAsiaTheme="minorEastAsia" w:hAnsiTheme="minorEastAsia"/>
                      </w:rPr>
                    </w:pPr>
                    <w:r>
                      <w:rPr>
                        <w:rFonts w:asciiTheme="minorEastAsia" w:eastAsiaTheme="minorEastAsia" w:hAnsiTheme="minorEastAsia"/>
                      </w:rPr>
                      <w:t>5,561,954</w:t>
                    </w:r>
                  </w:p>
                </w:tc>
                <w:tc>
                  <w:tcPr>
                    <w:tcW w:w="910" w:type="pct"/>
                    <w:shd w:val="clear" w:color="auto" w:fill="auto"/>
                    <w:vAlign w:val="center"/>
                  </w:tcPr>
                  <w:p w14:paraId="601E5A5A" w14:textId="77777777" w:rsidR="007E7472" w:rsidRDefault="00EC1269">
                    <w:pPr>
                      <w:jc w:val="right"/>
                      <w:rPr>
                        <w:rFonts w:asciiTheme="minorEastAsia" w:eastAsiaTheme="minorEastAsia" w:hAnsiTheme="minorEastAsia"/>
                      </w:rPr>
                    </w:pPr>
                    <w:r>
                      <w:rPr>
                        <w:rFonts w:asciiTheme="minorEastAsia" w:eastAsiaTheme="minorEastAsia" w:hAnsiTheme="minorEastAsia"/>
                      </w:rPr>
                      <w:t>1,228,026</w:t>
                    </w:r>
                  </w:p>
                </w:tc>
                <w:tc>
                  <w:tcPr>
                    <w:tcW w:w="919" w:type="pct"/>
                    <w:shd w:val="clear" w:color="auto" w:fill="auto"/>
                    <w:vAlign w:val="center"/>
                  </w:tcPr>
                  <w:p w14:paraId="077D0DEF" w14:textId="77777777" w:rsidR="007E7472" w:rsidRDefault="00EC1269">
                    <w:pPr>
                      <w:jc w:val="right"/>
                      <w:rPr>
                        <w:rFonts w:asciiTheme="minorEastAsia" w:eastAsiaTheme="minorEastAsia" w:hAnsiTheme="minorEastAsia"/>
                      </w:rPr>
                    </w:pPr>
                    <w:r>
                      <w:rPr>
                        <w:rFonts w:asciiTheme="minorEastAsia" w:eastAsiaTheme="minorEastAsia" w:hAnsiTheme="minorEastAsia"/>
                      </w:rPr>
                      <w:t>4,861,122</w:t>
                    </w:r>
                  </w:p>
                </w:tc>
                <w:tc>
                  <w:tcPr>
                    <w:tcW w:w="909" w:type="pct"/>
                    <w:shd w:val="clear" w:color="auto" w:fill="auto"/>
                    <w:vAlign w:val="center"/>
                  </w:tcPr>
                  <w:p w14:paraId="638C3821" w14:textId="77777777" w:rsidR="007E7472" w:rsidRDefault="00EC1269">
                    <w:pPr>
                      <w:jc w:val="right"/>
                      <w:rPr>
                        <w:rFonts w:asciiTheme="minorEastAsia" w:eastAsiaTheme="minorEastAsia" w:hAnsiTheme="minorEastAsia"/>
                      </w:rPr>
                    </w:pPr>
                    <w:r>
                      <w:rPr>
                        <w:rFonts w:asciiTheme="minorEastAsia" w:eastAsiaTheme="minorEastAsia" w:hAnsiTheme="minorEastAsia"/>
                      </w:rPr>
                      <w:t>1,089,637</w:t>
                    </w:r>
                  </w:p>
                </w:tc>
              </w:tr>
            </w:sdtContent>
          </w:sdt>
          <w:sdt>
            <w:sdtPr>
              <w:rPr>
                <w:rFonts w:asciiTheme="minorEastAsia" w:eastAsiaTheme="minorEastAsia" w:hAnsiTheme="minorEastAsia"/>
                <w:kern w:val="2"/>
              </w:rPr>
              <w:alias w:val="递延所得税资产明细"/>
              <w:tag w:val="_GBC_78d44848a87d4473a54948d3e2adbb46"/>
              <w:id w:val="-1651814482"/>
            </w:sdtPr>
            <w:sdtEndPr/>
            <w:sdtContent>
              <w:tr w:rsidR="007E7472" w14:paraId="0BA25C08" w14:textId="77777777" w:rsidTr="007E7472">
                <w:trPr>
                  <w:trHeight w:val="285"/>
                </w:trPr>
                <w:tc>
                  <w:tcPr>
                    <w:tcW w:w="1350" w:type="pct"/>
                    <w:shd w:val="clear" w:color="auto" w:fill="auto"/>
                    <w:vAlign w:val="center"/>
                  </w:tcPr>
                  <w:p w14:paraId="0CAAFCE1" w14:textId="77777777" w:rsidR="007E7472" w:rsidRDefault="00EC1269">
                    <w:pPr>
                      <w:rPr>
                        <w:rFonts w:asciiTheme="minorEastAsia" w:eastAsiaTheme="minorEastAsia" w:hAnsiTheme="minorEastAsia"/>
                      </w:rPr>
                    </w:pPr>
                    <w:r>
                      <w:rPr>
                        <w:rFonts w:asciiTheme="minorEastAsia" w:eastAsiaTheme="minorEastAsia" w:hAnsiTheme="minorEastAsia" w:hint="eastAsia"/>
                      </w:rPr>
                      <w:t>资产减值准备</w:t>
                    </w:r>
                  </w:p>
                </w:tc>
                <w:tc>
                  <w:tcPr>
                    <w:tcW w:w="912" w:type="pct"/>
                    <w:shd w:val="clear" w:color="auto" w:fill="auto"/>
                    <w:vAlign w:val="center"/>
                  </w:tcPr>
                  <w:p w14:paraId="16B3F81E" w14:textId="77777777" w:rsidR="007E7472" w:rsidRDefault="00EC1269">
                    <w:pPr>
                      <w:jc w:val="right"/>
                      <w:rPr>
                        <w:rFonts w:asciiTheme="minorEastAsia" w:eastAsiaTheme="minorEastAsia" w:hAnsiTheme="minorEastAsia"/>
                      </w:rPr>
                    </w:pPr>
                    <w:r>
                      <w:rPr>
                        <w:rFonts w:asciiTheme="minorEastAsia" w:eastAsiaTheme="minorEastAsia" w:hAnsiTheme="minorEastAsia"/>
                      </w:rPr>
                      <w:t>2,198,172</w:t>
                    </w:r>
                  </w:p>
                </w:tc>
                <w:tc>
                  <w:tcPr>
                    <w:tcW w:w="910" w:type="pct"/>
                    <w:shd w:val="clear" w:color="auto" w:fill="auto"/>
                    <w:vAlign w:val="center"/>
                  </w:tcPr>
                  <w:p w14:paraId="1142491B" w14:textId="77777777" w:rsidR="007E7472" w:rsidRDefault="00EC1269">
                    <w:pPr>
                      <w:jc w:val="right"/>
                      <w:rPr>
                        <w:rFonts w:asciiTheme="minorEastAsia" w:eastAsiaTheme="minorEastAsia" w:hAnsiTheme="minorEastAsia"/>
                      </w:rPr>
                    </w:pPr>
                    <w:r>
                      <w:rPr>
                        <w:rFonts w:asciiTheme="minorEastAsia" w:eastAsiaTheme="minorEastAsia" w:hAnsiTheme="minorEastAsia"/>
                      </w:rPr>
                      <w:t>460,778</w:t>
                    </w:r>
                  </w:p>
                </w:tc>
                <w:tc>
                  <w:tcPr>
                    <w:tcW w:w="919" w:type="pct"/>
                    <w:shd w:val="clear" w:color="auto" w:fill="auto"/>
                    <w:vAlign w:val="center"/>
                  </w:tcPr>
                  <w:p w14:paraId="36FB38BF" w14:textId="77777777" w:rsidR="007E7472" w:rsidRDefault="00EC1269">
                    <w:pPr>
                      <w:jc w:val="right"/>
                      <w:rPr>
                        <w:rFonts w:asciiTheme="minorEastAsia" w:eastAsiaTheme="minorEastAsia" w:hAnsiTheme="minorEastAsia"/>
                      </w:rPr>
                    </w:pPr>
                    <w:r>
                      <w:rPr>
                        <w:rFonts w:asciiTheme="minorEastAsia" w:eastAsiaTheme="minorEastAsia" w:hAnsiTheme="minorEastAsia"/>
                      </w:rPr>
                      <w:t>2,007,329</w:t>
                    </w:r>
                  </w:p>
                </w:tc>
                <w:tc>
                  <w:tcPr>
                    <w:tcW w:w="909" w:type="pct"/>
                    <w:shd w:val="clear" w:color="auto" w:fill="auto"/>
                    <w:vAlign w:val="center"/>
                  </w:tcPr>
                  <w:p w14:paraId="5EBCCA1B" w14:textId="77777777" w:rsidR="007E7472" w:rsidRDefault="00EC1269">
                    <w:pPr>
                      <w:jc w:val="right"/>
                      <w:rPr>
                        <w:rFonts w:asciiTheme="minorEastAsia" w:eastAsiaTheme="minorEastAsia" w:hAnsiTheme="minorEastAsia"/>
                      </w:rPr>
                    </w:pPr>
                    <w:r>
                      <w:rPr>
                        <w:rFonts w:asciiTheme="minorEastAsia" w:eastAsiaTheme="minorEastAsia" w:hAnsiTheme="minorEastAsia"/>
                      </w:rPr>
                      <w:t>426,585</w:t>
                    </w:r>
                  </w:p>
                </w:tc>
              </w:tr>
            </w:sdtContent>
          </w:sdt>
          <w:sdt>
            <w:sdtPr>
              <w:rPr>
                <w:rFonts w:asciiTheme="minorEastAsia" w:eastAsiaTheme="minorEastAsia" w:hAnsiTheme="minorEastAsia"/>
                <w:kern w:val="2"/>
              </w:rPr>
              <w:alias w:val="递延所得税资产明细"/>
              <w:tag w:val="_GBC_78d44848a87d4473a54948d3e2adbb46"/>
              <w:id w:val="237143703"/>
            </w:sdtPr>
            <w:sdtEndPr/>
            <w:sdtContent>
              <w:tr w:rsidR="007E7472" w14:paraId="737961AB" w14:textId="77777777" w:rsidTr="007E7472">
                <w:trPr>
                  <w:trHeight w:val="285"/>
                </w:trPr>
                <w:tc>
                  <w:tcPr>
                    <w:tcW w:w="1350" w:type="pct"/>
                    <w:shd w:val="clear" w:color="auto" w:fill="auto"/>
                    <w:vAlign w:val="center"/>
                  </w:tcPr>
                  <w:p w14:paraId="6EB159CC" w14:textId="77777777" w:rsidR="007E7472" w:rsidRDefault="00EC1269">
                    <w:pPr>
                      <w:rPr>
                        <w:rFonts w:asciiTheme="minorEastAsia" w:eastAsiaTheme="minorEastAsia" w:hAnsiTheme="minorEastAsia"/>
                      </w:rPr>
                    </w:pPr>
                    <w:r>
                      <w:rPr>
                        <w:rFonts w:asciiTheme="minorEastAsia" w:eastAsiaTheme="minorEastAsia" w:hAnsiTheme="minorEastAsia" w:hint="eastAsia"/>
                      </w:rPr>
                      <w:t>维简费、发展基金</w:t>
                    </w:r>
                  </w:p>
                </w:tc>
                <w:tc>
                  <w:tcPr>
                    <w:tcW w:w="912" w:type="pct"/>
                    <w:shd w:val="clear" w:color="auto" w:fill="auto"/>
                    <w:vAlign w:val="center"/>
                  </w:tcPr>
                  <w:p w14:paraId="24CEDE79" w14:textId="77777777" w:rsidR="007E7472" w:rsidRDefault="00EC1269">
                    <w:pPr>
                      <w:jc w:val="right"/>
                      <w:rPr>
                        <w:rFonts w:asciiTheme="minorEastAsia" w:eastAsiaTheme="minorEastAsia" w:hAnsiTheme="minorEastAsia"/>
                      </w:rPr>
                    </w:pPr>
                    <w:r>
                      <w:rPr>
                        <w:rFonts w:asciiTheme="minorEastAsia" w:eastAsiaTheme="minorEastAsia" w:hAnsiTheme="minorEastAsia"/>
                      </w:rPr>
                      <w:t>2,003,409</w:t>
                    </w:r>
                  </w:p>
                </w:tc>
                <w:tc>
                  <w:tcPr>
                    <w:tcW w:w="910" w:type="pct"/>
                    <w:shd w:val="clear" w:color="auto" w:fill="auto"/>
                    <w:vAlign w:val="center"/>
                  </w:tcPr>
                  <w:p w14:paraId="2F398912" w14:textId="77777777" w:rsidR="007E7472" w:rsidRDefault="00EC1269">
                    <w:pPr>
                      <w:jc w:val="right"/>
                      <w:rPr>
                        <w:rFonts w:asciiTheme="minorEastAsia" w:eastAsiaTheme="minorEastAsia" w:hAnsiTheme="minorEastAsia"/>
                      </w:rPr>
                    </w:pPr>
                    <w:r>
                      <w:rPr>
                        <w:rFonts w:asciiTheme="minorEastAsia" w:eastAsiaTheme="minorEastAsia" w:hAnsiTheme="minorEastAsia"/>
                      </w:rPr>
                      <w:t>467,012</w:t>
                    </w:r>
                  </w:p>
                </w:tc>
                <w:tc>
                  <w:tcPr>
                    <w:tcW w:w="919" w:type="pct"/>
                    <w:shd w:val="clear" w:color="auto" w:fill="auto"/>
                    <w:vAlign w:val="center"/>
                  </w:tcPr>
                  <w:p w14:paraId="4D4C4B75" w14:textId="77777777" w:rsidR="007E7472" w:rsidRDefault="00EC1269">
                    <w:pPr>
                      <w:jc w:val="right"/>
                      <w:rPr>
                        <w:rFonts w:asciiTheme="minorEastAsia" w:eastAsiaTheme="minorEastAsia" w:hAnsiTheme="minorEastAsia"/>
                      </w:rPr>
                    </w:pPr>
                    <w:r>
                      <w:rPr>
                        <w:rFonts w:asciiTheme="minorEastAsia" w:eastAsiaTheme="minorEastAsia" w:hAnsiTheme="minorEastAsia"/>
                      </w:rPr>
                      <w:t>2,006,356</w:t>
                    </w:r>
                  </w:p>
                </w:tc>
                <w:tc>
                  <w:tcPr>
                    <w:tcW w:w="909" w:type="pct"/>
                    <w:shd w:val="clear" w:color="auto" w:fill="auto"/>
                    <w:vAlign w:val="center"/>
                  </w:tcPr>
                  <w:p w14:paraId="02F7B222" w14:textId="77777777" w:rsidR="007E7472" w:rsidRDefault="00EC1269">
                    <w:pPr>
                      <w:jc w:val="right"/>
                      <w:rPr>
                        <w:rFonts w:asciiTheme="minorEastAsia" w:eastAsiaTheme="minorEastAsia" w:hAnsiTheme="minorEastAsia"/>
                      </w:rPr>
                    </w:pPr>
                    <w:r>
                      <w:rPr>
                        <w:rFonts w:asciiTheme="minorEastAsia" w:eastAsiaTheme="minorEastAsia" w:hAnsiTheme="minorEastAsia"/>
                      </w:rPr>
                      <w:t>467,710</w:t>
                    </w:r>
                  </w:p>
                </w:tc>
              </w:tr>
            </w:sdtContent>
          </w:sdt>
          <w:sdt>
            <w:sdtPr>
              <w:rPr>
                <w:rFonts w:asciiTheme="minorEastAsia" w:eastAsiaTheme="minorEastAsia" w:hAnsiTheme="minorEastAsia"/>
                <w:kern w:val="2"/>
              </w:rPr>
              <w:alias w:val="递延所得税资产明细"/>
              <w:tag w:val="_GBC_78d44848a87d4473a54948d3e2adbb46"/>
              <w:id w:val="-1453471534"/>
            </w:sdtPr>
            <w:sdtEndPr/>
            <w:sdtContent>
              <w:tr w:rsidR="007E7472" w14:paraId="67A426AE" w14:textId="77777777" w:rsidTr="007E7472">
                <w:trPr>
                  <w:trHeight w:val="285"/>
                </w:trPr>
                <w:tc>
                  <w:tcPr>
                    <w:tcW w:w="1350" w:type="pct"/>
                    <w:shd w:val="clear" w:color="auto" w:fill="auto"/>
                    <w:vAlign w:val="center"/>
                  </w:tcPr>
                  <w:p w14:paraId="12A4DA7B" w14:textId="77777777" w:rsidR="007E7472" w:rsidRDefault="00EC1269">
                    <w:pPr>
                      <w:rPr>
                        <w:rFonts w:asciiTheme="minorEastAsia" w:eastAsiaTheme="minorEastAsia" w:hAnsiTheme="minorEastAsia"/>
                      </w:rPr>
                    </w:pPr>
                    <w:r>
                      <w:rPr>
                        <w:rFonts w:asciiTheme="minorEastAsia" w:eastAsiaTheme="minorEastAsia" w:hAnsiTheme="minorEastAsia" w:hint="eastAsia"/>
                      </w:rPr>
                      <w:t>土地塌陷、复原、重整及环保费</w:t>
                    </w:r>
                  </w:p>
                </w:tc>
                <w:tc>
                  <w:tcPr>
                    <w:tcW w:w="912" w:type="pct"/>
                    <w:shd w:val="clear" w:color="auto" w:fill="auto"/>
                    <w:vAlign w:val="center"/>
                  </w:tcPr>
                  <w:p w14:paraId="595E66BE" w14:textId="77777777" w:rsidR="007E7472" w:rsidRDefault="00EC1269">
                    <w:pPr>
                      <w:jc w:val="right"/>
                      <w:rPr>
                        <w:rFonts w:asciiTheme="minorEastAsia" w:eastAsiaTheme="minorEastAsia" w:hAnsiTheme="minorEastAsia"/>
                      </w:rPr>
                    </w:pPr>
                    <w:r>
                      <w:rPr>
                        <w:rFonts w:asciiTheme="minorEastAsia" w:eastAsiaTheme="minorEastAsia" w:hAnsiTheme="minorEastAsia"/>
                      </w:rPr>
                      <w:t>2,603,725</w:t>
                    </w:r>
                  </w:p>
                </w:tc>
                <w:tc>
                  <w:tcPr>
                    <w:tcW w:w="910" w:type="pct"/>
                    <w:shd w:val="clear" w:color="auto" w:fill="auto"/>
                    <w:vAlign w:val="center"/>
                  </w:tcPr>
                  <w:p w14:paraId="15985A7F" w14:textId="77777777" w:rsidR="007E7472" w:rsidRDefault="00EC1269">
                    <w:pPr>
                      <w:jc w:val="right"/>
                      <w:rPr>
                        <w:rFonts w:asciiTheme="minorEastAsia" w:eastAsiaTheme="minorEastAsia" w:hAnsiTheme="minorEastAsia"/>
                      </w:rPr>
                    </w:pPr>
                    <w:r>
                      <w:rPr>
                        <w:rFonts w:asciiTheme="minorEastAsia" w:eastAsiaTheme="minorEastAsia" w:hAnsiTheme="minorEastAsia"/>
                      </w:rPr>
                      <w:t>536,246</w:t>
                    </w:r>
                  </w:p>
                </w:tc>
                <w:tc>
                  <w:tcPr>
                    <w:tcW w:w="919" w:type="pct"/>
                    <w:shd w:val="clear" w:color="auto" w:fill="auto"/>
                    <w:vAlign w:val="center"/>
                  </w:tcPr>
                  <w:p w14:paraId="10D47AF4" w14:textId="77777777" w:rsidR="007E7472" w:rsidRDefault="00EC1269">
                    <w:pPr>
                      <w:jc w:val="right"/>
                      <w:rPr>
                        <w:rFonts w:asciiTheme="minorEastAsia" w:eastAsiaTheme="minorEastAsia" w:hAnsiTheme="minorEastAsia"/>
                      </w:rPr>
                    </w:pPr>
                    <w:r>
                      <w:rPr>
                        <w:rFonts w:asciiTheme="minorEastAsia" w:eastAsiaTheme="minorEastAsia" w:hAnsiTheme="minorEastAsia"/>
                      </w:rPr>
                      <w:t>2,046,422</w:t>
                    </w:r>
                  </w:p>
                </w:tc>
                <w:tc>
                  <w:tcPr>
                    <w:tcW w:w="909" w:type="pct"/>
                    <w:shd w:val="clear" w:color="auto" w:fill="auto"/>
                    <w:vAlign w:val="center"/>
                  </w:tcPr>
                  <w:p w14:paraId="427D9AB0" w14:textId="77777777" w:rsidR="007E7472" w:rsidRDefault="00EC1269">
                    <w:pPr>
                      <w:jc w:val="right"/>
                      <w:rPr>
                        <w:rFonts w:asciiTheme="minorEastAsia" w:eastAsiaTheme="minorEastAsia" w:hAnsiTheme="minorEastAsia"/>
                      </w:rPr>
                    </w:pPr>
                    <w:r>
                      <w:rPr>
                        <w:rFonts w:asciiTheme="minorEastAsia" w:eastAsiaTheme="minorEastAsia" w:hAnsiTheme="minorEastAsia"/>
                      </w:rPr>
                      <w:t>411,730</w:t>
                    </w:r>
                  </w:p>
                </w:tc>
              </w:tr>
            </w:sdtContent>
          </w:sdt>
          <w:sdt>
            <w:sdtPr>
              <w:rPr>
                <w:rFonts w:asciiTheme="minorEastAsia" w:eastAsiaTheme="minorEastAsia" w:hAnsiTheme="minorEastAsia"/>
                <w:kern w:val="2"/>
              </w:rPr>
              <w:alias w:val="递延所得税资产明细"/>
              <w:tag w:val="_GBC_78d44848a87d4473a54948d3e2adbb46"/>
              <w:id w:val="2036918024"/>
            </w:sdtPr>
            <w:sdtEndPr/>
            <w:sdtContent>
              <w:tr w:rsidR="007E7472" w14:paraId="4F4CF42D" w14:textId="77777777" w:rsidTr="007E7472">
                <w:trPr>
                  <w:trHeight w:val="285"/>
                </w:trPr>
                <w:tc>
                  <w:tcPr>
                    <w:tcW w:w="1350" w:type="pct"/>
                    <w:shd w:val="clear" w:color="auto" w:fill="auto"/>
                    <w:vAlign w:val="center"/>
                  </w:tcPr>
                  <w:p w14:paraId="1F6CCBC3" w14:textId="77777777" w:rsidR="007E7472" w:rsidRDefault="00EC1269">
                    <w:pPr>
                      <w:rPr>
                        <w:rFonts w:asciiTheme="minorEastAsia" w:eastAsiaTheme="minorEastAsia" w:hAnsiTheme="minorEastAsia"/>
                      </w:rPr>
                    </w:pPr>
                    <w:r>
                      <w:rPr>
                        <w:rFonts w:asciiTheme="minorEastAsia" w:eastAsiaTheme="minorEastAsia" w:hAnsiTheme="minorEastAsia" w:hint="eastAsia"/>
                      </w:rPr>
                      <w:t>已计提未支付的工资、保险</w:t>
                    </w:r>
                  </w:p>
                </w:tc>
                <w:tc>
                  <w:tcPr>
                    <w:tcW w:w="912" w:type="pct"/>
                    <w:shd w:val="clear" w:color="auto" w:fill="auto"/>
                    <w:vAlign w:val="center"/>
                  </w:tcPr>
                  <w:p w14:paraId="2BD1B68E" w14:textId="77777777" w:rsidR="007E7472" w:rsidRDefault="00EC1269">
                    <w:pPr>
                      <w:jc w:val="right"/>
                      <w:rPr>
                        <w:rFonts w:asciiTheme="minorEastAsia" w:eastAsiaTheme="minorEastAsia" w:hAnsiTheme="minorEastAsia"/>
                      </w:rPr>
                    </w:pPr>
                    <w:r>
                      <w:rPr>
                        <w:rFonts w:asciiTheme="minorEastAsia" w:eastAsiaTheme="minorEastAsia" w:hAnsiTheme="minorEastAsia"/>
                      </w:rPr>
                      <w:t>624,105</w:t>
                    </w:r>
                  </w:p>
                </w:tc>
                <w:tc>
                  <w:tcPr>
                    <w:tcW w:w="910" w:type="pct"/>
                    <w:shd w:val="clear" w:color="auto" w:fill="auto"/>
                    <w:vAlign w:val="center"/>
                  </w:tcPr>
                  <w:p w14:paraId="275540B3" w14:textId="77777777" w:rsidR="007E7472" w:rsidRDefault="00EC1269">
                    <w:pPr>
                      <w:jc w:val="right"/>
                      <w:rPr>
                        <w:rFonts w:asciiTheme="minorEastAsia" w:eastAsiaTheme="minorEastAsia" w:hAnsiTheme="minorEastAsia"/>
                      </w:rPr>
                    </w:pPr>
                    <w:r>
                      <w:rPr>
                        <w:rFonts w:asciiTheme="minorEastAsia" w:eastAsiaTheme="minorEastAsia" w:hAnsiTheme="minorEastAsia"/>
                      </w:rPr>
                      <w:t>153,045</w:t>
                    </w:r>
                  </w:p>
                </w:tc>
                <w:tc>
                  <w:tcPr>
                    <w:tcW w:w="919" w:type="pct"/>
                    <w:shd w:val="clear" w:color="auto" w:fill="auto"/>
                    <w:vAlign w:val="center"/>
                  </w:tcPr>
                  <w:p w14:paraId="0C9FE813" w14:textId="77777777" w:rsidR="007E7472" w:rsidRDefault="00EC1269">
                    <w:pPr>
                      <w:jc w:val="right"/>
                      <w:rPr>
                        <w:rFonts w:asciiTheme="minorEastAsia" w:eastAsiaTheme="minorEastAsia" w:hAnsiTheme="minorEastAsia"/>
                      </w:rPr>
                    </w:pPr>
                    <w:r>
                      <w:rPr>
                        <w:rFonts w:asciiTheme="minorEastAsia" w:eastAsiaTheme="minorEastAsia" w:hAnsiTheme="minorEastAsia"/>
                      </w:rPr>
                      <w:t>545,297</w:t>
                    </w:r>
                  </w:p>
                </w:tc>
                <w:tc>
                  <w:tcPr>
                    <w:tcW w:w="909" w:type="pct"/>
                    <w:shd w:val="clear" w:color="auto" w:fill="auto"/>
                    <w:vAlign w:val="center"/>
                  </w:tcPr>
                  <w:p w14:paraId="6D96DA98" w14:textId="77777777" w:rsidR="007E7472" w:rsidRDefault="00EC1269">
                    <w:pPr>
                      <w:jc w:val="right"/>
                      <w:rPr>
                        <w:rFonts w:asciiTheme="minorEastAsia" w:eastAsiaTheme="minorEastAsia" w:hAnsiTheme="minorEastAsia"/>
                      </w:rPr>
                    </w:pPr>
                    <w:r>
                      <w:rPr>
                        <w:rFonts w:asciiTheme="minorEastAsia" w:eastAsiaTheme="minorEastAsia" w:hAnsiTheme="minorEastAsia"/>
                      </w:rPr>
                      <w:t>133,343</w:t>
                    </w:r>
                  </w:p>
                </w:tc>
              </w:tr>
            </w:sdtContent>
          </w:sdt>
          <w:sdt>
            <w:sdtPr>
              <w:rPr>
                <w:rFonts w:asciiTheme="minorEastAsia" w:eastAsiaTheme="minorEastAsia" w:hAnsiTheme="minorEastAsia"/>
                <w:kern w:val="2"/>
              </w:rPr>
              <w:alias w:val="递延所得税资产明细"/>
              <w:tag w:val="_GBC_78d44848a87d4473a54948d3e2adbb46"/>
              <w:id w:val="2012640839"/>
            </w:sdtPr>
            <w:sdtEndPr/>
            <w:sdtContent>
              <w:tr w:rsidR="007E7472" w14:paraId="291B45C7" w14:textId="77777777" w:rsidTr="007E7472">
                <w:trPr>
                  <w:trHeight w:val="285"/>
                </w:trPr>
                <w:tc>
                  <w:tcPr>
                    <w:tcW w:w="1350" w:type="pct"/>
                    <w:shd w:val="clear" w:color="auto" w:fill="auto"/>
                    <w:vAlign w:val="center"/>
                  </w:tcPr>
                  <w:p w14:paraId="56403F08" w14:textId="77777777" w:rsidR="007E7472" w:rsidRDefault="00EC1269">
                    <w:pPr>
                      <w:rPr>
                        <w:rFonts w:asciiTheme="minorEastAsia" w:eastAsiaTheme="minorEastAsia" w:hAnsiTheme="minorEastAsia"/>
                      </w:rPr>
                    </w:pPr>
                    <w:r>
                      <w:rPr>
                        <w:rFonts w:asciiTheme="minorEastAsia" w:eastAsiaTheme="minorEastAsia" w:hAnsiTheme="minorEastAsia" w:hint="eastAsia"/>
                      </w:rPr>
                      <w:t>固定资产折旧差异</w:t>
                    </w:r>
                  </w:p>
                </w:tc>
                <w:tc>
                  <w:tcPr>
                    <w:tcW w:w="912" w:type="pct"/>
                    <w:shd w:val="clear" w:color="auto" w:fill="auto"/>
                    <w:vAlign w:val="center"/>
                  </w:tcPr>
                  <w:p w14:paraId="79BF0A31" w14:textId="77777777" w:rsidR="007E7472" w:rsidRDefault="00EC1269">
                    <w:pPr>
                      <w:jc w:val="right"/>
                      <w:rPr>
                        <w:rFonts w:asciiTheme="minorEastAsia" w:eastAsiaTheme="minorEastAsia" w:hAnsiTheme="minorEastAsia"/>
                      </w:rPr>
                    </w:pPr>
                    <w:r>
                      <w:rPr>
                        <w:rFonts w:asciiTheme="minorEastAsia" w:eastAsiaTheme="minorEastAsia" w:hAnsiTheme="minorEastAsia"/>
                      </w:rPr>
                      <w:t>331,541</w:t>
                    </w:r>
                  </w:p>
                </w:tc>
                <w:tc>
                  <w:tcPr>
                    <w:tcW w:w="910" w:type="pct"/>
                    <w:shd w:val="clear" w:color="auto" w:fill="auto"/>
                    <w:vAlign w:val="center"/>
                  </w:tcPr>
                  <w:p w14:paraId="30F6F668" w14:textId="77777777" w:rsidR="007E7472" w:rsidRDefault="00EC1269">
                    <w:pPr>
                      <w:jc w:val="right"/>
                      <w:rPr>
                        <w:rFonts w:asciiTheme="minorEastAsia" w:eastAsiaTheme="minorEastAsia" w:hAnsiTheme="minorEastAsia"/>
                      </w:rPr>
                    </w:pPr>
                    <w:r>
                      <w:rPr>
                        <w:rFonts w:asciiTheme="minorEastAsia" w:eastAsiaTheme="minorEastAsia" w:hAnsiTheme="minorEastAsia"/>
                      </w:rPr>
                      <w:t>82,885</w:t>
                    </w:r>
                  </w:p>
                </w:tc>
                <w:tc>
                  <w:tcPr>
                    <w:tcW w:w="919" w:type="pct"/>
                    <w:shd w:val="clear" w:color="auto" w:fill="auto"/>
                    <w:vAlign w:val="center"/>
                  </w:tcPr>
                  <w:p w14:paraId="0D57D052" w14:textId="77777777" w:rsidR="007E7472" w:rsidRDefault="00EC1269">
                    <w:pPr>
                      <w:jc w:val="right"/>
                      <w:rPr>
                        <w:rFonts w:asciiTheme="minorEastAsia" w:eastAsiaTheme="minorEastAsia" w:hAnsiTheme="minorEastAsia"/>
                      </w:rPr>
                    </w:pPr>
                    <w:r>
                      <w:rPr>
                        <w:rFonts w:asciiTheme="minorEastAsia" w:eastAsiaTheme="minorEastAsia" w:hAnsiTheme="minorEastAsia"/>
                      </w:rPr>
                      <w:t>354,553</w:t>
                    </w:r>
                  </w:p>
                </w:tc>
                <w:tc>
                  <w:tcPr>
                    <w:tcW w:w="909" w:type="pct"/>
                    <w:shd w:val="clear" w:color="auto" w:fill="auto"/>
                    <w:vAlign w:val="center"/>
                  </w:tcPr>
                  <w:p w14:paraId="7CDF99C6" w14:textId="77777777" w:rsidR="007E7472" w:rsidRDefault="00EC1269">
                    <w:pPr>
                      <w:jc w:val="right"/>
                      <w:rPr>
                        <w:rFonts w:asciiTheme="minorEastAsia" w:eastAsiaTheme="minorEastAsia" w:hAnsiTheme="minorEastAsia"/>
                      </w:rPr>
                    </w:pPr>
                    <w:r>
                      <w:rPr>
                        <w:rFonts w:asciiTheme="minorEastAsia" w:eastAsiaTheme="minorEastAsia" w:hAnsiTheme="minorEastAsia"/>
                      </w:rPr>
                      <w:t>88,638</w:t>
                    </w:r>
                  </w:p>
                </w:tc>
              </w:tr>
            </w:sdtContent>
          </w:sdt>
          <w:sdt>
            <w:sdtPr>
              <w:rPr>
                <w:rFonts w:asciiTheme="minorEastAsia" w:eastAsiaTheme="minorEastAsia" w:hAnsiTheme="minorEastAsia"/>
                <w:kern w:val="2"/>
              </w:rPr>
              <w:alias w:val="递延所得税资产明细"/>
              <w:tag w:val="_GBC_78d44848a87d4473a54948d3e2adbb46"/>
              <w:id w:val="-486553926"/>
            </w:sdtPr>
            <w:sdtEndPr/>
            <w:sdtContent>
              <w:tr w:rsidR="007E7472" w14:paraId="5A8490CA" w14:textId="77777777" w:rsidTr="007E7472">
                <w:trPr>
                  <w:trHeight w:val="285"/>
                </w:trPr>
                <w:tc>
                  <w:tcPr>
                    <w:tcW w:w="1350" w:type="pct"/>
                    <w:shd w:val="clear" w:color="auto" w:fill="auto"/>
                    <w:vAlign w:val="center"/>
                  </w:tcPr>
                  <w:p w14:paraId="1650BF15" w14:textId="77777777" w:rsidR="007E7472" w:rsidRDefault="00EC1269">
                    <w:pPr>
                      <w:rPr>
                        <w:rFonts w:asciiTheme="minorEastAsia" w:eastAsiaTheme="minorEastAsia" w:hAnsiTheme="minorEastAsia"/>
                      </w:rPr>
                    </w:pPr>
                    <w:r>
                      <w:rPr>
                        <w:rFonts w:asciiTheme="minorEastAsia" w:eastAsiaTheme="minorEastAsia" w:hAnsiTheme="minorEastAsia" w:hint="eastAsia"/>
                      </w:rPr>
                      <w:t>无形资产摊销差异</w:t>
                    </w:r>
                  </w:p>
                </w:tc>
                <w:tc>
                  <w:tcPr>
                    <w:tcW w:w="912" w:type="pct"/>
                    <w:shd w:val="clear" w:color="auto" w:fill="auto"/>
                    <w:vAlign w:val="center"/>
                  </w:tcPr>
                  <w:p w14:paraId="32BF4FA9" w14:textId="77777777" w:rsidR="007E7472" w:rsidRDefault="00EC1269">
                    <w:pPr>
                      <w:jc w:val="right"/>
                      <w:rPr>
                        <w:rFonts w:asciiTheme="minorEastAsia" w:eastAsiaTheme="minorEastAsia" w:hAnsiTheme="minorEastAsia"/>
                      </w:rPr>
                    </w:pPr>
                    <w:r>
                      <w:rPr>
                        <w:rFonts w:asciiTheme="minorEastAsia" w:eastAsiaTheme="minorEastAsia" w:hAnsiTheme="minorEastAsia"/>
                      </w:rPr>
                      <w:t>348,547</w:t>
                    </w:r>
                  </w:p>
                </w:tc>
                <w:tc>
                  <w:tcPr>
                    <w:tcW w:w="910" w:type="pct"/>
                    <w:shd w:val="clear" w:color="auto" w:fill="auto"/>
                    <w:vAlign w:val="center"/>
                  </w:tcPr>
                  <w:p w14:paraId="705FE7B9" w14:textId="77777777" w:rsidR="007E7472" w:rsidRDefault="00EC1269">
                    <w:pPr>
                      <w:jc w:val="right"/>
                      <w:rPr>
                        <w:rFonts w:asciiTheme="minorEastAsia" w:eastAsiaTheme="minorEastAsia" w:hAnsiTheme="minorEastAsia"/>
                      </w:rPr>
                    </w:pPr>
                    <w:r>
                      <w:rPr>
                        <w:rFonts w:asciiTheme="minorEastAsia" w:eastAsiaTheme="minorEastAsia" w:hAnsiTheme="minorEastAsia"/>
                      </w:rPr>
                      <w:t>87,137</w:t>
                    </w:r>
                  </w:p>
                </w:tc>
                <w:tc>
                  <w:tcPr>
                    <w:tcW w:w="919" w:type="pct"/>
                    <w:shd w:val="clear" w:color="auto" w:fill="auto"/>
                    <w:vAlign w:val="center"/>
                  </w:tcPr>
                  <w:p w14:paraId="2A49A28A" w14:textId="77777777" w:rsidR="007E7472" w:rsidRDefault="00EC1269">
                    <w:pPr>
                      <w:jc w:val="right"/>
                      <w:rPr>
                        <w:rFonts w:asciiTheme="minorEastAsia" w:eastAsiaTheme="minorEastAsia" w:hAnsiTheme="minorEastAsia"/>
                      </w:rPr>
                    </w:pPr>
                    <w:r>
                      <w:rPr>
                        <w:rFonts w:asciiTheme="minorEastAsia" w:eastAsiaTheme="minorEastAsia" w:hAnsiTheme="minorEastAsia"/>
                      </w:rPr>
                      <w:t>338,805</w:t>
                    </w:r>
                  </w:p>
                </w:tc>
                <w:tc>
                  <w:tcPr>
                    <w:tcW w:w="909" w:type="pct"/>
                    <w:shd w:val="clear" w:color="auto" w:fill="auto"/>
                    <w:vAlign w:val="center"/>
                  </w:tcPr>
                  <w:p w14:paraId="65ED4533" w14:textId="77777777" w:rsidR="007E7472" w:rsidRDefault="00EC1269">
                    <w:pPr>
                      <w:jc w:val="right"/>
                      <w:rPr>
                        <w:rFonts w:asciiTheme="minorEastAsia" w:eastAsiaTheme="minorEastAsia" w:hAnsiTheme="minorEastAsia"/>
                      </w:rPr>
                    </w:pPr>
                    <w:r>
                      <w:rPr>
                        <w:rFonts w:asciiTheme="minorEastAsia" w:eastAsiaTheme="minorEastAsia" w:hAnsiTheme="minorEastAsia"/>
                      </w:rPr>
                      <w:t>84,701</w:t>
                    </w:r>
                  </w:p>
                </w:tc>
              </w:tr>
            </w:sdtContent>
          </w:sdt>
          <w:sdt>
            <w:sdtPr>
              <w:rPr>
                <w:rFonts w:asciiTheme="minorEastAsia" w:eastAsiaTheme="minorEastAsia" w:hAnsiTheme="minorEastAsia"/>
                <w:kern w:val="2"/>
              </w:rPr>
              <w:alias w:val="递延所得税资产明细"/>
              <w:tag w:val="_GBC_78d44848a87d4473a54948d3e2adbb46"/>
              <w:id w:val="682324646"/>
            </w:sdtPr>
            <w:sdtEndPr/>
            <w:sdtContent>
              <w:tr w:rsidR="007E7472" w14:paraId="3DA76B1A" w14:textId="77777777" w:rsidTr="007E7472">
                <w:trPr>
                  <w:trHeight w:val="285"/>
                </w:trPr>
                <w:tc>
                  <w:tcPr>
                    <w:tcW w:w="1350" w:type="pct"/>
                    <w:shd w:val="clear" w:color="auto" w:fill="auto"/>
                    <w:vAlign w:val="center"/>
                  </w:tcPr>
                  <w:p w14:paraId="2AB3785D" w14:textId="77777777" w:rsidR="007E7472" w:rsidRDefault="00EC1269">
                    <w:pPr>
                      <w:rPr>
                        <w:rFonts w:asciiTheme="minorEastAsia" w:eastAsiaTheme="minorEastAsia" w:hAnsiTheme="minorEastAsia"/>
                      </w:rPr>
                    </w:pPr>
                    <w:r>
                      <w:rPr>
                        <w:rFonts w:asciiTheme="minorEastAsia" w:eastAsiaTheme="minorEastAsia" w:hAnsiTheme="minorEastAsia" w:hint="eastAsia"/>
                      </w:rPr>
                      <w:t>递延收益</w:t>
                    </w:r>
                  </w:p>
                </w:tc>
                <w:tc>
                  <w:tcPr>
                    <w:tcW w:w="912" w:type="pct"/>
                    <w:shd w:val="clear" w:color="auto" w:fill="auto"/>
                    <w:vAlign w:val="center"/>
                  </w:tcPr>
                  <w:p w14:paraId="421D5F9A" w14:textId="77777777" w:rsidR="007E7472" w:rsidRDefault="00EC1269">
                    <w:pPr>
                      <w:jc w:val="right"/>
                      <w:rPr>
                        <w:rFonts w:asciiTheme="minorEastAsia" w:eastAsiaTheme="minorEastAsia" w:hAnsiTheme="minorEastAsia"/>
                      </w:rPr>
                    </w:pPr>
                    <w:r>
                      <w:rPr>
                        <w:rFonts w:asciiTheme="minorEastAsia" w:eastAsiaTheme="minorEastAsia" w:hAnsiTheme="minorEastAsia"/>
                      </w:rPr>
                      <w:t>140,075</w:t>
                    </w:r>
                  </w:p>
                </w:tc>
                <w:tc>
                  <w:tcPr>
                    <w:tcW w:w="910" w:type="pct"/>
                    <w:shd w:val="clear" w:color="auto" w:fill="auto"/>
                    <w:vAlign w:val="center"/>
                  </w:tcPr>
                  <w:p w14:paraId="7BE96C49" w14:textId="77777777" w:rsidR="007E7472" w:rsidRDefault="00EC1269">
                    <w:pPr>
                      <w:jc w:val="right"/>
                      <w:rPr>
                        <w:rFonts w:asciiTheme="minorEastAsia" w:eastAsiaTheme="minorEastAsia" w:hAnsiTheme="minorEastAsia"/>
                      </w:rPr>
                    </w:pPr>
                    <w:r>
                      <w:rPr>
                        <w:rFonts w:asciiTheme="minorEastAsia" w:eastAsiaTheme="minorEastAsia" w:hAnsiTheme="minorEastAsia"/>
                      </w:rPr>
                      <w:t>33,984</w:t>
                    </w:r>
                  </w:p>
                </w:tc>
                <w:tc>
                  <w:tcPr>
                    <w:tcW w:w="919" w:type="pct"/>
                    <w:shd w:val="clear" w:color="auto" w:fill="auto"/>
                    <w:vAlign w:val="center"/>
                  </w:tcPr>
                  <w:p w14:paraId="44EC2873" w14:textId="77777777" w:rsidR="007E7472" w:rsidRDefault="00EC1269">
                    <w:pPr>
                      <w:jc w:val="right"/>
                      <w:rPr>
                        <w:rFonts w:asciiTheme="minorEastAsia" w:eastAsiaTheme="minorEastAsia" w:hAnsiTheme="minorEastAsia"/>
                      </w:rPr>
                    </w:pPr>
                    <w:r>
                      <w:rPr>
                        <w:rFonts w:asciiTheme="minorEastAsia" w:eastAsiaTheme="minorEastAsia" w:hAnsiTheme="minorEastAsia"/>
                      </w:rPr>
                      <w:t>144,944</w:t>
                    </w:r>
                  </w:p>
                </w:tc>
                <w:tc>
                  <w:tcPr>
                    <w:tcW w:w="909" w:type="pct"/>
                    <w:shd w:val="clear" w:color="auto" w:fill="auto"/>
                    <w:vAlign w:val="center"/>
                  </w:tcPr>
                  <w:p w14:paraId="32D8AE67" w14:textId="77777777" w:rsidR="007E7472" w:rsidRDefault="00EC1269">
                    <w:pPr>
                      <w:jc w:val="right"/>
                      <w:rPr>
                        <w:rFonts w:asciiTheme="minorEastAsia" w:eastAsiaTheme="minorEastAsia" w:hAnsiTheme="minorEastAsia"/>
                      </w:rPr>
                    </w:pPr>
                    <w:r>
                      <w:rPr>
                        <w:rFonts w:asciiTheme="minorEastAsia" w:eastAsiaTheme="minorEastAsia" w:hAnsiTheme="minorEastAsia"/>
                      </w:rPr>
                      <w:t>35,201</w:t>
                    </w:r>
                  </w:p>
                </w:tc>
              </w:tr>
            </w:sdtContent>
          </w:sdt>
          <w:sdt>
            <w:sdtPr>
              <w:rPr>
                <w:rFonts w:asciiTheme="minorEastAsia" w:eastAsiaTheme="minorEastAsia" w:hAnsiTheme="minorEastAsia"/>
                <w:kern w:val="2"/>
              </w:rPr>
              <w:alias w:val="递延所得税资产明细"/>
              <w:tag w:val="_GBC_78d44848a87d4473a54948d3e2adbb46"/>
              <w:id w:val="-1558233141"/>
            </w:sdtPr>
            <w:sdtEndPr/>
            <w:sdtContent>
              <w:tr w:rsidR="007E7472" w14:paraId="29102C25" w14:textId="77777777" w:rsidTr="007E7472">
                <w:trPr>
                  <w:trHeight w:val="285"/>
                </w:trPr>
                <w:tc>
                  <w:tcPr>
                    <w:tcW w:w="1350" w:type="pct"/>
                    <w:shd w:val="clear" w:color="auto" w:fill="auto"/>
                    <w:vAlign w:val="center"/>
                  </w:tcPr>
                  <w:p w14:paraId="5AC49B70" w14:textId="77777777" w:rsidR="007E7472" w:rsidRDefault="00EC1269">
                    <w:pPr>
                      <w:rPr>
                        <w:rFonts w:asciiTheme="minorEastAsia" w:eastAsiaTheme="minorEastAsia" w:hAnsiTheme="minorEastAsia"/>
                      </w:rPr>
                    </w:pPr>
                    <w:r>
                      <w:rPr>
                        <w:rFonts w:asciiTheme="minorEastAsia" w:eastAsiaTheme="minorEastAsia" w:hAnsiTheme="minorEastAsia" w:hint="eastAsia"/>
                      </w:rPr>
                      <w:t>其他权益工具投资公允价值变动</w:t>
                    </w:r>
                  </w:p>
                </w:tc>
                <w:tc>
                  <w:tcPr>
                    <w:tcW w:w="912" w:type="pct"/>
                    <w:shd w:val="clear" w:color="auto" w:fill="auto"/>
                    <w:vAlign w:val="center"/>
                  </w:tcPr>
                  <w:p w14:paraId="438BED1B" w14:textId="77777777" w:rsidR="007E7472" w:rsidRDefault="00EC1269">
                    <w:pPr>
                      <w:jc w:val="right"/>
                      <w:rPr>
                        <w:rFonts w:asciiTheme="minorEastAsia" w:eastAsiaTheme="minorEastAsia" w:hAnsiTheme="minorEastAsia"/>
                      </w:rPr>
                    </w:pPr>
                    <w:r>
                      <w:rPr>
                        <w:rFonts w:asciiTheme="minorEastAsia" w:eastAsiaTheme="minorEastAsia" w:hAnsiTheme="minorEastAsia"/>
                      </w:rPr>
                      <w:t>1,198</w:t>
                    </w:r>
                  </w:p>
                </w:tc>
                <w:tc>
                  <w:tcPr>
                    <w:tcW w:w="910" w:type="pct"/>
                    <w:shd w:val="clear" w:color="auto" w:fill="auto"/>
                    <w:vAlign w:val="center"/>
                  </w:tcPr>
                  <w:p w14:paraId="6A140158" w14:textId="77777777" w:rsidR="007E7472" w:rsidRDefault="00EC1269">
                    <w:pPr>
                      <w:jc w:val="right"/>
                      <w:rPr>
                        <w:rFonts w:asciiTheme="minorEastAsia" w:eastAsiaTheme="minorEastAsia" w:hAnsiTheme="minorEastAsia"/>
                      </w:rPr>
                    </w:pPr>
                    <w:r>
                      <w:rPr>
                        <w:rFonts w:asciiTheme="minorEastAsia" w:eastAsiaTheme="minorEastAsia" w:hAnsiTheme="minorEastAsia"/>
                      </w:rPr>
                      <w:t>299</w:t>
                    </w:r>
                  </w:p>
                </w:tc>
                <w:tc>
                  <w:tcPr>
                    <w:tcW w:w="919" w:type="pct"/>
                    <w:shd w:val="clear" w:color="auto" w:fill="auto"/>
                    <w:vAlign w:val="center"/>
                  </w:tcPr>
                  <w:p w14:paraId="1C847353" w14:textId="77777777" w:rsidR="007E7472" w:rsidRDefault="00EC1269">
                    <w:pPr>
                      <w:jc w:val="right"/>
                      <w:rPr>
                        <w:rFonts w:asciiTheme="minorEastAsia" w:eastAsiaTheme="minorEastAsia" w:hAnsiTheme="minorEastAsia"/>
                      </w:rPr>
                    </w:pPr>
                    <w:r>
                      <w:rPr>
                        <w:rFonts w:asciiTheme="minorEastAsia" w:eastAsiaTheme="minorEastAsia" w:hAnsiTheme="minorEastAsia"/>
                      </w:rPr>
                      <w:t>1,198</w:t>
                    </w:r>
                  </w:p>
                </w:tc>
                <w:tc>
                  <w:tcPr>
                    <w:tcW w:w="909" w:type="pct"/>
                    <w:shd w:val="clear" w:color="auto" w:fill="auto"/>
                    <w:vAlign w:val="center"/>
                  </w:tcPr>
                  <w:p w14:paraId="2048EF47" w14:textId="77777777" w:rsidR="007E7472" w:rsidRDefault="00EC1269">
                    <w:pPr>
                      <w:jc w:val="right"/>
                      <w:rPr>
                        <w:rFonts w:asciiTheme="minorEastAsia" w:eastAsiaTheme="minorEastAsia" w:hAnsiTheme="minorEastAsia"/>
                      </w:rPr>
                    </w:pPr>
                    <w:r>
                      <w:rPr>
                        <w:rFonts w:asciiTheme="minorEastAsia" w:eastAsiaTheme="minorEastAsia" w:hAnsiTheme="minorEastAsia"/>
                      </w:rPr>
                      <w:t>299</w:t>
                    </w:r>
                  </w:p>
                </w:tc>
              </w:tr>
            </w:sdtContent>
          </w:sdt>
          <w:sdt>
            <w:sdtPr>
              <w:rPr>
                <w:rFonts w:asciiTheme="minorEastAsia" w:eastAsiaTheme="minorEastAsia" w:hAnsiTheme="minorEastAsia"/>
                <w:kern w:val="2"/>
              </w:rPr>
              <w:alias w:val="递延所得税资产明细"/>
              <w:tag w:val="_GBC_78d44848a87d4473a54948d3e2adbb46"/>
              <w:id w:val="-1897891766"/>
            </w:sdtPr>
            <w:sdtEndPr/>
            <w:sdtContent>
              <w:tr w:rsidR="007E7472" w14:paraId="4E379D40" w14:textId="77777777" w:rsidTr="007E7472">
                <w:trPr>
                  <w:trHeight w:val="285"/>
                </w:trPr>
                <w:tc>
                  <w:tcPr>
                    <w:tcW w:w="1350" w:type="pct"/>
                    <w:shd w:val="clear" w:color="auto" w:fill="auto"/>
                    <w:vAlign w:val="center"/>
                  </w:tcPr>
                  <w:p w14:paraId="6C7A4781" w14:textId="77777777" w:rsidR="007E7472" w:rsidRDefault="00EC1269">
                    <w:pPr>
                      <w:rPr>
                        <w:rFonts w:asciiTheme="minorEastAsia" w:eastAsiaTheme="minorEastAsia" w:hAnsiTheme="minorEastAsia"/>
                      </w:rPr>
                    </w:pPr>
                    <w:r>
                      <w:rPr>
                        <w:rFonts w:asciiTheme="minorEastAsia" w:eastAsiaTheme="minorEastAsia" w:hAnsiTheme="minorEastAsia" w:hint="eastAsia"/>
                      </w:rPr>
                      <w:t>其他</w:t>
                    </w:r>
                  </w:p>
                </w:tc>
                <w:tc>
                  <w:tcPr>
                    <w:tcW w:w="912" w:type="pct"/>
                    <w:shd w:val="clear" w:color="auto" w:fill="auto"/>
                    <w:vAlign w:val="center"/>
                  </w:tcPr>
                  <w:p w14:paraId="2A160551" w14:textId="77777777" w:rsidR="007E7472" w:rsidRDefault="00EC1269">
                    <w:pPr>
                      <w:jc w:val="right"/>
                      <w:rPr>
                        <w:rFonts w:asciiTheme="minorEastAsia" w:eastAsiaTheme="minorEastAsia" w:hAnsiTheme="minorEastAsia"/>
                      </w:rPr>
                    </w:pPr>
                    <w:r>
                      <w:rPr>
                        <w:rFonts w:asciiTheme="minorEastAsia" w:eastAsiaTheme="minorEastAsia" w:hAnsiTheme="minorEastAsia"/>
                      </w:rPr>
                      <w:t>563,907</w:t>
                    </w:r>
                  </w:p>
                </w:tc>
                <w:tc>
                  <w:tcPr>
                    <w:tcW w:w="910" w:type="pct"/>
                    <w:shd w:val="clear" w:color="auto" w:fill="auto"/>
                    <w:vAlign w:val="center"/>
                  </w:tcPr>
                  <w:p w14:paraId="29D6CC2B" w14:textId="77777777" w:rsidR="007E7472" w:rsidRDefault="00EC1269">
                    <w:pPr>
                      <w:jc w:val="right"/>
                      <w:rPr>
                        <w:rFonts w:asciiTheme="minorEastAsia" w:eastAsiaTheme="minorEastAsia" w:hAnsiTheme="minorEastAsia"/>
                      </w:rPr>
                    </w:pPr>
                    <w:r>
                      <w:rPr>
                        <w:rFonts w:asciiTheme="minorEastAsia" w:eastAsiaTheme="minorEastAsia" w:hAnsiTheme="minorEastAsia"/>
                      </w:rPr>
                      <w:t>138,708</w:t>
                    </w:r>
                  </w:p>
                </w:tc>
                <w:tc>
                  <w:tcPr>
                    <w:tcW w:w="919" w:type="pct"/>
                    <w:shd w:val="clear" w:color="auto" w:fill="auto"/>
                    <w:vAlign w:val="center"/>
                  </w:tcPr>
                  <w:p w14:paraId="30635BFF" w14:textId="77777777" w:rsidR="007E7472" w:rsidRDefault="00EC1269">
                    <w:pPr>
                      <w:jc w:val="right"/>
                      <w:rPr>
                        <w:rFonts w:asciiTheme="minorEastAsia" w:eastAsiaTheme="minorEastAsia" w:hAnsiTheme="minorEastAsia"/>
                      </w:rPr>
                    </w:pPr>
                    <w:r>
                      <w:rPr>
                        <w:rFonts w:asciiTheme="minorEastAsia" w:eastAsiaTheme="minorEastAsia" w:hAnsiTheme="minorEastAsia"/>
                      </w:rPr>
                      <w:t>469,393</w:t>
                    </w:r>
                  </w:p>
                </w:tc>
                <w:tc>
                  <w:tcPr>
                    <w:tcW w:w="909" w:type="pct"/>
                    <w:shd w:val="clear" w:color="auto" w:fill="auto"/>
                    <w:vAlign w:val="center"/>
                  </w:tcPr>
                  <w:p w14:paraId="6ECD1F53" w14:textId="77777777" w:rsidR="007E7472" w:rsidRDefault="00EC1269">
                    <w:pPr>
                      <w:jc w:val="right"/>
                      <w:rPr>
                        <w:rFonts w:asciiTheme="minorEastAsia" w:eastAsiaTheme="minorEastAsia" w:hAnsiTheme="minorEastAsia"/>
                      </w:rPr>
                    </w:pPr>
                    <w:r>
                      <w:rPr>
                        <w:rFonts w:asciiTheme="minorEastAsia" w:eastAsiaTheme="minorEastAsia" w:hAnsiTheme="minorEastAsia"/>
                      </w:rPr>
                      <w:t>115,030</w:t>
                    </w:r>
                  </w:p>
                </w:tc>
              </w:tr>
            </w:sdtContent>
          </w:sdt>
          <w:sdt>
            <w:sdtPr>
              <w:rPr>
                <w:rFonts w:asciiTheme="minorEastAsia" w:eastAsiaTheme="minorEastAsia" w:hAnsiTheme="minorEastAsia"/>
                <w:kern w:val="2"/>
              </w:rPr>
              <w:alias w:val="递延所得税资产明细"/>
              <w:tag w:val="_GBC_78d44848a87d4473a54948d3e2adbb46"/>
              <w:id w:val="119189135"/>
            </w:sdtPr>
            <w:sdtEndPr/>
            <w:sdtContent>
              <w:tr w:rsidR="007E7472" w14:paraId="6E5B0E91" w14:textId="77777777" w:rsidTr="007E7472">
                <w:trPr>
                  <w:trHeight w:val="285"/>
                </w:trPr>
                <w:tc>
                  <w:tcPr>
                    <w:tcW w:w="1350" w:type="pct"/>
                    <w:shd w:val="clear" w:color="auto" w:fill="auto"/>
                    <w:vAlign w:val="center"/>
                  </w:tcPr>
                  <w:p w14:paraId="469881E2" w14:textId="77777777" w:rsidR="007E7472" w:rsidRDefault="00EC1269">
                    <w:pPr>
                      <w:rPr>
                        <w:rFonts w:asciiTheme="minorEastAsia" w:eastAsiaTheme="minorEastAsia" w:hAnsiTheme="minorEastAsia"/>
                      </w:rPr>
                    </w:pPr>
                    <w:r>
                      <w:rPr>
                        <w:rFonts w:asciiTheme="minorEastAsia" w:eastAsiaTheme="minorEastAsia" w:hAnsiTheme="minorEastAsia" w:hint="eastAsia"/>
                        <w:b/>
                      </w:rPr>
                      <w:t>澳大利亚子公司</w:t>
                    </w:r>
                  </w:p>
                </w:tc>
                <w:tc>
                  <w:tcPr>
                    <w:tcW w:w="912" w:type="pct"/>
                    <w:shd w:val="clear" w:color="auto" w:fill="auto"/>
                    <w:vAlign w:val="center"/>
                  </w:tcPr>
                  <w:p w14:paraId="63BB8893" w14:textId="77777777" w:rsidR="007E7472" w:rsidRDefault="00C8327E">
                    <w:pPr>
                      <w:jc w:val="right"/>
                      <w:rPr>
                        <w:rFonts w:asciiTheme="minorEastAsia" w:eastAsiaTheme="minorEastAsia" w:hAnsiTheme="minorEastAsia"/>
                      </w:rPr>
                    </w:pPr>
                  </w:p>
                </w:tc>
                <w:tc>
                  <w:tcPr>
                    <w:tcW w:w="910" w:type="pct"/>
                    <w:shd w:val="clear" w:color="auto" w:fill="auto"/>
                    <w:vAlign w:val="center"/>
                  </w:tcPr>
                  <w:p w14:paraId="2C736890" w14:textId="77777777" w:rsidR="007E7472" w:rsidRDefault="00C8327E">
                    <w:pPr>
                      <w:jc w:val="right"/>
                      <w:rPr>
                        <w:rFonts w:asciiTheme="minorEastAsia" w:eastAsiaTheme="minorEastAsia" w:hAnsiTheme="minorEastAsia"/>
                      </w:rPr>
                    </w:pPr>
                  </w:p>
                </w:tc>
                <w:tc>
                  <w:tcPr>
                    <w:tcW w:w="919" w:type="pct"/>
                    <w:shd w:val="clear" w:color="auto" w:fill="auto"/>
                    <w:vAlign w:val="center"/>
                  </w:tcPr>
                  <w:p w14:paraId="627F2B23" w14:textId="77777777" w:rsidR="007E7472" w:rsidRDefault="00C8327E">
                    <w:pPr>
                      <w:jc w:val="right"/>
                      <w:rPr>
                        <w:rFonts w:asciiTheme="minorEastAsia" w:eastAsiaTheme="minorEastAsia" w:hAnsiTheme="minorEastAsia"/>
                      </w:rPr>
                    </w:pPr>
                  </w:p>
                </w:tc>
                <w:tc>
                  <w:tcPr>
                    <w:tcW w:w="909" w:type="pct"/>
                    <w:shd w:val="clear" w:color="auto" w:fill="auto"/>
                    <w:vAlign w:val="center"/>
                  </w:tcPr>
                  <w:p w14:paraId="43A6BADA" w14:textId="77777777" w:rsidR="007E7472" w:rsidRDefault="00C8327E">
                    <w:pPr>
                      <w:jc w:val="right"/>
                      <w:rPr>
                        <w:rFonts w:asciiTheme="minorEastAsia" w:eastAsiaTheme="minorEastAsia" w:hAnsiTheme="minorEastAsia"/>
                      </w:rPr>
                    </w:pPr>
                  </w:p>
                </w:tc>
              </w:tr>
            </w:sdtContent>
          </w:sdt>
          <w:sdt>
            <w:sdtPr>
              <w:rPr>
                <w:rFonts w:asciiTheme="minorEastAsia" w:eastAsiaTheme="minorEastAsia" w:hAnsiTheme="minorEastAsia"/>
                <w:kern w:val="2"/>
              </w:rPr>
              <w:alias w:val="递延所得税资产明细"/>
              <w:tag w:val="_GBC_78d44848a87d4473a54948d3e2adbb46"/>
              <w:id w:val="21139904"/>
            </w:sdtPr>
            <w:sdtEndPr/>
            <w:sdtContent>
              <w:tr w:rsidR="007E7472" w14:paraId="4B949E0A" w14:textId="77777777" w:rsidTr="007E7472">
                <w:trPr>
                  <w:trHeight w:val="285"/>
                </w:trPr>
                <w:tc>
                  <w:tcPr>
                    <w:tcW w:w="1350" w:type="pct"/>
                    <w:shd w:val="clear" w:color="auto" w:fill="auto"/>
                    <w:vAlign w:val="center"/>
                  </w:tcPr>
                  <w:p w14:paraId="364AB48E" w14:textId="77777777" w:rsidR="007E7472" w:rsidRDefault="00EC1269">
                    <w:pPr>
                      <w:rPr>
                        <w:rFonts w:asciiTheme="minorEastAsia" w:eastAsiaTheme="minorEastAsia" w:hAnsiTheme="minorEastAsia"/>
                      </w:rPr>
                    </w:pPr>
                    <w:r>
                      <w:rPr>
                        <w:rFonts w:asciiTheme="minorEastAsia" w:eastAsiaTheme="minorEastAsia" w:hAnsiTheme="minorEastAsia" w:hint="eastAsia"/>
                      </w:rPr>
                      <w:t>复垦费用</w:t>
                    </w:r>
                  </w:p>
                </w:tc>
                <w:tc>
                  <w:tcPr>
                    <w:tcW w:w="912" w:type="pct"/>
                    <w:shd w:val="clear" w:color="auto" w:fill="auto"/>
                    <w:vAlign w:val="center"/>
                  </w:tcPr>
                  <w:p w14:paraId="6AFD8A5E" w14:textId="77777777" w:rsidR="007E7472" w:rsidRDefault="00EC1269">
                    <w:pPr>
                      <w:jc w:val="right"/>
                      <w:rPr>
                        <w:rFonts w:asciiTheme="minorEastAsia" w:eastAsiaTheme="minorEastAsia" w:hAnsiTheme="minorEastAsia"/>
                      </w:rPr>
                    </w:pPr>
                    <w:r>
                      <w:rPr>
                        <w:rFonts w:asciiTheme="minorEastAsia" w:eastAsiaTheme="minorEastAsia" w:hAnsiTheme="minorEastAsia"/>
                      </w:rPr>
                      <w:t>6,277,250</w:t>
                    </w:r>
                  </w:p>
                </w:tc>
                <w:tc>
                  <w:tcPr>
                    <w:tcW w:w="910" w:type="pct"/>
                    <w:shd w:val="clear" w:color="auto" w:fill="auto"/>
                    <w:vAlign w:val="center"/>
                  </w:tcPr>
                  <w:p w14:paraId="1BB22FBD" w14:textId="77777777" w:rsidR="007E7472" w:rsidRDefault="00EC1269">
                    <w:pPr>
                      <w:jc w:val="right"/>
                      <w:rPr>
                        <w:rFonts w:asciiTheme="minorEastAsia" w:eastAsiaTheme="minorEastAsia" w:hAnsiTheme="minorEastAsia"/>
                      </w:rPr>
                    </w:pPr>
                    <w:r>
                      <w:rPr>
                        <w:rFonts w:asciiTheme="minorEastAsia" w:eastAsiaTheme="minorEastAsia" w:hAnsiTheme="minorEastAsia"/>
                      </w:rPr>
                      <w:t>1,883,175</w:t>
                    </w:r>
                  </w:p>
                </w:tc>
                <w:tc>
                  <w:tcPr>
                    <w:tcW w:w="919" w:type="pct"/>
                    <w:shd w:val="clear" w:color="auto" w:fill="auto"/>
                    <w:vAlign w:val="center"/>
                  </w:tcPr>
                  <w:p w14:paraId="1DDE153E" w14:textId="77777777" w:rsidR="007E7472" w:rsidRDefault="00EC1269">
                    <w:pPr>
                      <w:jc w:val="right"/>
                      <w:rPr>
                        <w:rFonts w:asciiTheme="minorEastAsia" w:eastAsiaTheme="minorEastAsia" w:hAnsiTheme="minorEastAsia"/>
                      </w:rPr>
                    </w:pPr>
                    <w:r>
                      <w:rPr>
                        <w:rFonts w:asciiTheme="minorEastAsia" w:eastAsiaTheme="minorEastAsia" w:hAnsiTheme="minorEastAsia"/>
                      </w:rPr>
                      <w:t>6,195,899</w:t>
                    </w:r>
                  </w:p>
                </w:tc>
                <w:tc>
                  <w:tcPr>
                    <w:tcW w:w="909" w:type="pct"/>
                    <w:shd w:val="clear" w:color="auto" w:fill="auto"/>
                    <w:vAlign w:val="center"/>
                  </w:tcPr>
                  <w:p w14:paraId="6BE1AC1C" w14:textId="77777777" w:rsidR="007E7472" w:rsidRDefault="00EC1269">
                    <w:pPr>
                      <w:jc w:val="right"/>
                      <w:rPr>
                        <w:rFonts w:asciiTheme="minorEastAsia" w:eastAsiaTheme="minorEastAsia" w:hAnsiTheme="minorEastAsia"/>
                      </w:rPr>
                    </w:pPr>
                    <w:r>
                      <w:rPr>
                        <w:rFonts w:asciiTheme="minorEastAsia" w:eastAsiaTheme="minorEastAsia" w:hAnsiTheme="minorEastAsia"/>
                      </w:rPr>
                      <w:t>1,858,770</w:t>
                    </w:r>
                  </w:p>
                </w:tc>
              </w:tr>
            </w:sdtContent>
          </w:sdt>
          <w:sdt>
            <w:sdtPr>
              <w:rPr>
                <w:rFonts w:asciiTheme="minorEastAsia" w:eastAsiaTheme="minorEastAsia" w:hAnsiTheme="minorEastAsia"/>
                <w:kern w:val="2"/>
              </w:rPr>
              <w:alias w:val="递延所得税资产明细"/>
              <w:tag w:val="_GBC_78d44848a87d4473a54948d3e2adbb46"/>
              <w:id w:val="-1004741712"/>
            </w:sdtPr>
            <w:sdtEndPr/>
            <w:sdtContent>
              <w:tr w:rsidR="007E7472" w14:paraId="6BA0B0DB" w14:textId="77777777" w:rsidTr="007E7472">
                <w:trPr>
                  <w:trHeight w:val="285"/>
                </w:trPr>
                <w:tc>
                  <w:tcPr>
                    <w:tcW w:w="1350" w:type="pct"/>
                    <w:shd w:val="clear" w:color="auto" w:fill="auto"/>
                    <w:vAlign w:val="center"/>
                  </w:tcPr>
                  <w:p w14:paraId="1F7FC6D1" w14:textId="77777777" w:rsidR="007E7472" w:rsidRDefault="00EC1269">
                    <w:pPr>
                      <w:rPr>
                        <w:rFonts w:asciiTheme="minorEastAsia" w:eastAsiaTheme="minorEastAsia" w:hAnsiTheme="minorEastAsia"/>
                      </w:rPr>
                    </w:pPr>
                    <w:r>
                      <w:rPr>
                        <w:rFonts w:asciiTheme="minorEastAsia" w:eastAsiaTheme="minorEastAsia" w:hAnsiTheme="minorEastAsia" w:hint="eastAsia"/>
                      </w:rPr>
                      <w:t>融资租赁</w:t>
                    </w:r>
                  </w:p>
                </w:tc>
                <w:tc>
                  <w:tcPr>
                    <w:tcW w:w="912" w:type="pct"/>
                    <w:shd w:val="clear" w:color="auto" w:fill="auto"/>
                    <w:vAlign w:val="center"/>
                  </w:tcPr>
                  <w:p w14:paraId="03FB09F5" w14:textId="77777777" w:rsidR="007E7472" w:rsidRDefault="00EC1269">
                    <w:pPr>
                      <w:jc w:val="right"/>
                      <w:rPr>
                        <w:rFonts w:asciiTheme="minorEastAsia" w:eastAsiaTheme="minorEastAsia" w:hAnsiTheme="minorEastAsia"/>
                      </w:rPr>
                    </w:pPr>
                    <w:r>
                      <w:rPr>
                        <w:rFonts w:asciiTheme="minorEastAsia" w:eastAsiaTheme="minorEastAsia" w:hAnsiTheme="minorEastAsia"/>
                      </w:rPr>
                      <w:t>308,078</w:t>
                    </w:r>
                  </w:p>
                </w:tc>
                <w:tc>
                  <w:tcPr>
                    <w:tcW w:w="910" w:type="pct"/>
                    <w:shd w:val="clear" w:color="auto" w:fill="auto"/>
                    <w:vAlign w:val="center"/>
                  </w:tcPr>
                  <w:p w14:paraId="50B9C129" w14:textId="77777777" w:rsidR="007E7472" w:rsidRDefault="00EC1269">
                    <w:pPr>
                      <w:jc w:val="right"/>
                      <w:rPr>
                        <w:rFonts w:asciiTheme="minorEastAsia" w:eastAsiaTheme="minorEastAsia" w:hAnsiTheme="minorEastAsia"/>
                      </w:rPr>
                    </w:pPr>
                    <w:r>
                      <w:rPr>
                        <w:rFonts w:asciiTheme="minorEastAsia" w:eastAsiaTheme="minorEastAsia" w:hAnsiTheme="minorEastAsia"/>
                      </w:rPr>
                      <w:t>92,423</w:t>
                    </w:r>
                  </w:p>
                </w:tc>
                <w:tc>
                  <w:tcPr>
                    <w:tcW w:w="919" w:type="pct"/>
                    <w:shd w:val="clear" w:color="auto" w:fill="auto"/>
                    <w:vAlign w:val="center"/>
                  </w:tcPr>
                  <w:p w14:paraId="013434D7" w14:textId="77777777" w:rsidR="007E7472" w:rsidRDefault="00EC1269">
                    <w:pPr>
                      <w:jc w:val="right"/>
                      <w:rPr>
                        <w:rFonts w:asciiTheme="minorEastAsia" w:eastAsiaTheme="minorEastAsia" w:hAnsiTheme="minorEastAsia"/>
                      </w:rPr>
                    </w:pPr>
                    <w:r>
                      <w:rPr>
                        <w:rFonts w:asciiTheme="minorEastAsia" w:eastAsiaTheme="minorEastAsia" w:hAnsiTheme="minorEastAsia"/>
                      </w:rPr>
                      <w:t>701,274</w:t>
                    </w:r>
                  </w:p>
                </w:tc>
                <w:tc>
                  <w:tcPr>
                    <w:tcW w:w="909" w:type="pct"/>
                    <w:shd w:val="clear" w:color="auto" w:fill="auto"/>
                    <w:vAlign w:val="center"/>
                  </w:tcPr>
                  <w:p w14:paraId="4ADBC1A5" w14:textId="77777777" w:rsidR="007E7472" w:rsidRDefault="00EC1269">
                    <w:pPr>
                      <w:jc w:val="right"/>
                      <w:rPr>
                        <w:rFonts w:asciiTheme="minorEastAsia" w:eastAsiaTheme="minorEastAsia" w:hAnsiTheme="minorEastAsia"/>
                      </w:rPr>
                    </w:pPr>
                    <w:r>
                      <w:rPr>
                        <w:rFonts w:asciiTheme="minorEastAsia" w:eastAsiaTheme="minorEastAsia" w:hAnsiTheme="minorEastAsia"/>
                      </w:rPr>
                      <w:t>210,382</w:t>
                    </w:r>
                  </w:p>
                </w:tc>
              </w:tr>
            </w:sdtContent>
          </w:sdt>
          <w:sdt>
            <w:sdtPr>
              <w:rPr>
                <w:rFonts w:asciiTheme="minorEastAsia" w:eastAsiaTheme="minorEastAsia" w:hAnsiTheme="minorEastAsia"/>
                <w:kern w:val="2"/>
              </w:rPr>
              <w:alias w:val="递延所得税资产明细"/>
              <w:tag w:val="_GBC_78d44848a87d4473a54948d3e2adbb46"/>
              <w:id w:val="1565446510"/>
            </w:sdtPr>
            <w:sdtEndPr/>
            <w:sdtContent>
              <w:tr w:rsidR="007E7472" w14:paraId="3644687D" w14:textId="77777777" w:rsidTr="007E7472">
                <w:trPr>
                  <w:trHeight w:val="285"/>
                </w:trPr>
                <w:tc>
                  <w:tcPr>
                    <w:tcW w:w="1350" w:type="pct"/>
                    <w:shd w:val="clear" w:color="auto" w:fill="auto"/>
                    <w:vAlign w:val="center"/>
                  </w:tcPr>
                  <w:p w14:paraId="0EADA5AB" w14:textId="77777777" w:rsidR="007E7472" w:rsidRDefault="00EC1269">
                    <w:pPr>
                      <w:rPr>
                        <w:rFonts w:asciiTheme="minorEastAsia" w:eastAsiaTheme="minorEastAsia" w:hAnsiTheme="minorEastAsia"/>
                      </w:rPr>
                    </w:pPr>
                    <w:r>
                      <w:rPr>
                        <w:rFonts w:asciiTheme="minorEastAsia" w:eastAsiaTheme="minorEastAsia" w:hAnsiTheme="minorEastAsia" w:hint="eastAsia"/>
                      </w:rPr>
                      <w:t>照付不议负债</w:t>
                    </w:r>
                  </w:p>
                </w:tc>
                <w:tc>
                  <w:tcPr>
                    <w:tcW w:w="912" w:type="pct"/>
                    <w:shd w:val="clear" w:color="auto" w:fill="auto"/>
                    <w:vAlign w:val="center"/>
                  </w:tcPr>
                  <w:p w14:paraId="36B93803" w14:textId="77777777" w:rsidR="007E7472" w:rsidRDefault="00EC1269">
                    <w:pPr>
                      <w:jc w:val="right"/>
                      <w:rPr>
                        <w:rFonts w:asciiTheme="minorEastAsia" w:eastAsiaTheme="minorEastAsia" w:hAnsiTheme="minorEastAsia"/>
                      </w:rPr>
                    </w:pPr>
                    <w:r>
                      <w:rPr>
                        <w:rFonts w:asciiTheme="minorEastAsia" w:eastAsiaTheme="minorEastAsia" w:hAnsiTheme="minorEastAsia"/>
                      </w:rPr>
                      <w:t>423,416</w:t>
                    </w:r>
                  </w:p>
                </w:tc>
                <w:tc>
                  <w:tcPr>
                    <w:tcW w:w="910" w:type="pct"/>
                    <w:shd w:val="clear" w:color="auto" w:fill="auto"/>
                    <w:vAlign w:val="center"/>
                  </w:tcPr>
                  <w:p w14:paraId="7AA688FA" w14:textId="77777777" w:rsidR="007E7472" w:rsidRDefault="00EC1269">
                    <w:pPr>
                      <w:jc w:val="right"/>
                      <w:rPr>
                        <w:rFonts w:asciiTheme="minorEastAsia" w:eastAsiaTheme="minorEastAsia" w:hAnsiTheme="minorEastAsia"/>
                      </w:rPr>
                    </w:pPr>
                    <w:r>
                      <w:rPr>
                        <w:rFonts w:asciiTheme="minorEastAsia" w:eastAsiaTheme="minorEastAsia" w:hAnsiTheme="minorEastAsia"/>
                      </w:rPr>
                      <w:t>127,025</w:t>
                    </w:r>
                  </w:p>
                </w:tc>
                <w:tc>
                  <w:tcPr>
                    <w:tcW w:w="919" w:type="pct"/>
                    <w:shd w:val="clear" w:color="auto" w:fill="auto"/>
                    <w:vAlign w:val="center"/>
                  </w:tcPr>
                  <w:p w14:paraId="61E1E05F" w14:textId="77777777" w:rsidR="007E7472" w:rsidRDefault="00EC1269">
                    <w:pPr>
                      <w:jc w:val="right"/>
                      <w:rPr>
                        <w:rFonts w:asciiTheme="minorEastAsia" w:eastAsiaTheme="minorEastAsia" w:hAnsiTheme="minorEastAsia"/>
                      </w:rPr>
                    </w:pPr>
                    <w:r>
                      <w:rPr>
                        <w:rFonts w:asciiTheme="minorEastAsia" w:eastAsiaTheme="minorEastAsia" w:hAnsiTheme="minorEastAsia"/>
                      </w:rPr>
                      <w:t>668,814</w:t>
                    </w:r>
                  </w:p>
                </w:tc>
                <w:tc>
                  <w:tcPr>
                    <w:tcW w:w="909" w:type="pct"/>
                    <w:shd w:val="clear" w:color="auto" w:fill="auto"/>
                    <w:vAlign w:val="center"/>
                  </w:tcPr>
                  <w:p w14:paraId="3169789A" w14:textId="77777777" w:rsidR="007E7472" w:rsidRDefault="00EC1269">
                    <w:pPr>
                      <w:jc w:val="right"/>
                      <w:rPr>
                        <w:rFonts w:asciiTheme="minorEastAsia" w:eastAsiaTheme="minorEastAsia" w:hAnsiTheme="minorEastAsia"/>
                      </w:rPr>
                    </w:pPr>
                    <w:r>
                      <w:rPr>
                        <w:rFonts w:asciiTheme="minorEastAsia" w:eastAsiaTheme="minorEastAsia" w:hAnsiTheme="minorEastAsia"/>
                      </w:rPr>
                      <w:t>200,644</w:t>
                    </w:r>
                  </w:p>
                </w:tc>
              </w:tr>
            </w:sdtContent>
          </w:sdt>
          <w:sdt>
            <w:sdtPr>
              <w:rPr>
                <w:rFonts w:asciiTheme="minorEastAsia" w:eastAsiaTheme="minorEastAsia" w:hAnsiTheme="minorEastAsia"/>
                <w:kern w:val="2"/>
              </w:rPr>
              <w:alias w:val="递延所得税资产明细"/>
              <w:tag w:val="_GBC_78d44848a87d4473a54948d3e2adbb46"/>
              <w:id w:val="-525322807"/>
            </w:sdtPr>
            <w:sdtEndPr/>
            <w:sdtContent>
              <w:tr w:rsidR="007E7472" w14:paraId="5C8B8CE3" w14:textId="77777777" w:rsidTr="007E7472">
                <w:trPr>
                  <w:trHeight w:val="285"/>
                </w:trPr>
                <w:tc>
                  <w:tcPr>
                    <w:tcW w:w="1350" w:type="pct"/>
                    <w:shd w:val="clear" w:color="auto" w:fill="auto"/>
                    <w:vAlign w:val="center"/>
                  </w:tcPr>
                  <w:p w14:paraId="79695441" w14:textId="77777777" w:rsidR="007E7472" w:rsidRDefault="00EC1269">
                    <w:pPr>
                      <w:rPr>
                        <w:rFonts w:asciiTheme="minorEastAsia" w:eastAsiaTheme="minorEastAsia" w:hAnsiTheme="minorEastAsia"/>
                      </w:rPr>
                    </w:pPr>
                    <w:r>
                      <w:rPr>
                        <w:rFonts w:asciiTheme="minorEastAsia" w:eastAsiaTheme="minorEastAsia" w:hAnsiTheme="minorEastAsia" w:hint="eastAsia"/>
                      </w:rPr>
                      <w:t>套期工具负债</w:t>
                    </w:r>
                  </w:p>
                </w:tc>
                <w:tc>
                  <w:tcPr>
                    <w:tcW w:w="912" w:type="pct"/>
                    <w:shd w:val="clear" w:color="auto" w:fill="auto"/>
                    <w:vAlign w:val="center"/>
                  </w:tcPr>
                  <w:p w14:paraId="58D24171" w14:textId="77777777" w:rsidR="007E7472" w:rsidRDefault="00EC1269">
                    <w:pPr>
                      <w:jc w:val="right"/>
                      <w:rPr>
                        <w:rFonts w:asciiTheme="minorEastAsia" w:eastAsiaTheme="minorEastAsia" w:hAnsiTheme="minorEastAsia"/>
                      </w:rPr>
                    </w:pPr>
                    <w:r>
                      <w:rPr>
                        <w:rFonts w:asciiTheme="minorEastAsia" w:eastAsiaTheme="minorEastAsia" w:hAnsiTheme="minorEastAsia"/>
                      </w:rPr>
                      <w:t>846,513</w:t>
                    </w:r>
                  </w:p>
                </w:tc>
                <w:tc>
                  <w:tcPr>
                    <w:tcW w:w="910" w:type="pct"/>
                    <w:shd w:val="clear" w:color="auto" w:fill="auto"/>
                    <w:vAlign w:val="center"/>
                  </w:tcPr>
                  <w:p w14:paraId="15256166" w14:textId="77777777" w:rsidR="007E7472" w:rsidRDefault="00EC1269">
                    <w:pPr>
                      <w:jc w:val="right"/>
                      <w:rPr>
                        <w:rFonts w:asciiTheme="minorEastAsia" w:eastAsiaTheme="minorEastAsia" w:hAnsiTheme="minorEastAsia"/>
                      </w:rPr>
                    </w:pPr>
                    <w:r>
                      <w:rPr>
                        <w:rFonts w:asciiTheme="minorEastAsia" w:eastAsiaTheme="minorEastAsia" w:hAnsiTheme="minorEastAsia"/>
                      </w:rPr>
                      <w:t>253,954</w:t>
                    </w:r>
                  </w:p>
                </w:tc>
                <w:tc>
                  <w:tcPr>
                    <w:tcW w:w="919" w:type="pct"/>
                    <w:shd w:val="clear" w:color="auto" w:fill="auto"/>
                    <w:vAlign w:val="center"/>
                  </w:tcPr>
                  <w:p w14:paraId="56163542" w14:textId="77777777" w:rsidR="007E7472" w:rsidRDefault="00EC1269">
                    <w:pPr>
                      <w:jc w:val="right"/>
                      <w:rPr>
                        <w:rFonts w:asciiTheme="minorEastAsia" w:eastAsiaTheme="minorEastAsia" w:hAnsiTheme="minorEastAsia"/>
                      </w:rPr>
                    </w:pPr>
                    <w:r>
                      <w:rPr>
                        <w:rFonts w:asciiTheme="minorEastAsia" w:eastAsiaTheme="minorEastAsia" w:hAnsiTheme="minorEastAsia"/>
                      </w:rPr>
                      <w:t>654,700</w:t>
                    </w:r>
                  </w:p>
                </w:tc>
                <w:tc>
                  <w:tcPr>
                    <w:tcW w:w="909" w:type="pct"/>
                    <w:shd w:val="clear" w:color="auto" w:fill="auto"/>
                    <w:vAlign w:val="center"/>
                  </w:tcPr>
                  <w:p w14:paraId="2D060F73" w14:textId="77777777" w:rsidR="007E7472" w:rsidRDefault="00EC1269">
                    <w:pPr>
                      <w:jc w:val="right"/>
                      <w:rPr>
                        <w:rFonts w:asciiTheme="minorEastAsia" w:eastAsiaTheme="minorEastAsia" w:hAnsiTheme="minorEastAsia"/>
                      </w:rPr>
                    </w:pPr>
                    <w:r>
                      <w:rPr>
                        <w:rFonts w:asciiTheme="minorEastAsia" w:eastAsiaTheme="minorEastAsia" w:hAnsiTheme="minorEastAsia"/>
                      </w:rPr>
                      <w:t>196,410</w:t>
                    </w:r>
                  </w:p>
                </w:tc>
              </w:tr>
            </w:sdtContent>
          </w:sdt>
          <w:sdt>
            <w:sdtPr>
              <w:rPr>
                <w:rFonts w:asciiTheme="minorEastAsia" w:eastAsiaTheme="minorEastAsia" w:hAnsiTheme="minorEastAsia"/>
                <w:kern w:val="2"/>
              </w:rPr>
              <w:alias w:val="递延所得税资产明细"/>
              <w:tag w:val="_GBC_78d44848a87d4473a54948d3e2adbb46"/>
              <w:id w:val="-1205940888"/>
            </w:sdtPr>
            <w:sdtEndPr/>
            <w:sdtContent>
              <w:tr w:rsidR="007E7472" w14:paraId="64C128F5" w14:textId="77777777" w:rsidTr="007E7472">
                <w:trPr>
                  <w:trHeight w:val="285"/>
                </w:trPr>
                <w:tc>
                  <w:tcPr>
                    <w:tcW w:w="1350" w:type="pct"/>
                    <w:shd w:val="clear" w:color="auto" w:fill="auto"/>
                    <w:vAlign w:val="center"/>
                  </w:tcPr>
                  <w:p w14:paraId="70A8BFB2" w14:textId="77777777" w:rsidR="007E7472" w:rsidRDefault="00EC1269">
                    <w:pPr>
                      <w:rPr>
                        <w:rFonts w:asciiTheme="minorEastAsia" w:eastAsiaTheme="minorEastAsia" w:hAnsiTheme="minorEastAsia"/>
                      </w:rPr>
                    </w:pPr>
                    <w:r>
                      <w:rPr>
                        <w:rFonts w:asciiTheme="minorEastAsia" w:eastAsiaTheme="minorEastAsia" w:hAnsiTheme="minorEastAsia" w:hint="eastAsia"/>
                      </w:rPr>
                      <w:t>资产摊销</w:t>
                    </w:r>
                  </w:p>
                </w:tc>
                <w:tc>
                  <w:tcPr>
                    <w:tcW w:w="912" w:type="pct"/>
                    <w:shd w:val="clear" w:color="auto" w:fill="auto"/>
                    <w:vAlign w:val="center"/>
                  </w:tcPr>
                  <w:p w14:paraId="14CF0AB3" w14:textId="77777777" w:rsidR="007E7472" w:rsidRDefault="00EC1269">
                    <w:pPr>
                      <w:jc w:val="right"/>
                      <w:rPr>
                        <w:rFonts w:asciiTheme="minorEastAsia" w:eastAsiaTheme="minorEastAsia" w:hAnsiTheme="minorEastAsia"/>
                      </w:rPr>
                    </w:pPr>
                    <w:r>
                      <w:rPr>
                        <w:rFonts w:asciiTheme="minorEastAsia" w:eastAsiaTheme="minorEastAsia" w:hAnsiTheme="minorEastAsia"/>
                      </w:rPr>
                      <w:t>263,055</w:t>
                    </w:r>
                  </w:p>
                </w:tc>
                <w:tc>
                  <w:tcPr>
                    <w:tcW w:w="910" w:type="pct"/>
                    <w:shd w:val="clear" w:color="auto" w:fill="auto"/>
                    <w:vAlign w:val="center"/>
                  </w:tcPr>
                  <w:p w14:paraId="65DA3264" w14:textId="77777777" w:rsidR="007E7472" w:rsidRDefault="00EC1269">
                    <w:pPr>
                      <w:jc w:val="right"/>
                      <w:rPr>
                        <w:rFonts w:asciiTheme="minorEastAsia" w:eastAsiaTheme="minorEastAsia" w:hAnsiTheme="minorEastAsia"/>
                      </w:rPr>
                    </w:pPr>
                    <w:r>
                      <w:rPr>
                        <w:rFonts w:asciiTheme="minorEastAsia" w:eastAsiaTheme="minorEastAsia" w:hAnsiTheme="minorEastAsia"/>
                      </w:rPr>
                      <w:t>78,916</w:t>
                    </w:r>
                  </w:p>
                </w:tc>
                <w:tc>
                  <w:tcPr>
                    <w:tcW w:w="919" w:type="pct"/>
                    <w:shd w:val="clear" w:color="auto" w:fill="auto"/>
                    <w:vAlign w:val="center"/>
                  </w:tcPr>
                  <w:p w14:paraId="7ECC1D76" w14:textId="77777777" w:rsidR="007E7472" w:rsidRDefault="00EC1269">
                    <w:pPr>
                      <w:jc w:val="right"/>
                      <w:rPr>
                        <w:rFonts w:asciiTheme="minorEastAsia" w:eastAsiaTheme="minorEastAsia" w:hAnsiTheme="minorEastAsia"/>
                      </w:rPr>
                    </w:pPr>
                    <w:r>
                      <w:rPr>
                        <w:rFonts w:asciiTheme="minorEastAsia" w:eastAsiaTheme="minorEastAsia" w:hAnsiTheme="minorEastAsia"/>
                      </w:rPr>
                      <w:t>293,708</w:t>
                    </w:r>
                  </w:p>
                </w:tc>
                <w:tc>
                  <w:tcPr>
                    <w:tcW w:w="909" w:type="pct"/>
                    <w:shd w:val="clear" w:color="auto" w:fill="auto"/>
                    <w:vAlign w:val="center"/>
                  </w:tcPr>
                  <w:p w14:paraId="779330B9" w14:textId="77777777" w:rsidR="007E7472" w:rsidRDefault="00EC1269">
                    <w:pPr>
                      <w:jc w:val="right"/>
                      <w:rPr>
                        <w:rFonts w:asciiTheme="minorEastAsia" w:eastAsiaTheme="minorEastAsia" w:hAnsiTheme="minorEastAsia"/>
                      </w:rPr>
                    </w:pPr>
                    <w:r>
                      <w:rPr>
                        <w:rFonts w:asciiTheme="minorEastAsia" w:eastAsiaTheme="minorEastAsia" w:hAnsiTheme="minorEastAsia"/>
                      </w:rPr>
                      <w:t>88,112</w:t>
                    </w:r>
                  </w:p>
                </w:tc>
              </w:tr>
            </w:sdtContent>
          </w:sdt>
          <w:sdt>
            <w:sdtPr>
              <w:rPr>
                <w:rFonts w:asciiTheme="minorEastAsia" w:eastAsiaTheme="minorEastAsia" w:hAnsiTheme="minorEastAsia"/>
                <w:kern w:val="2"/>
              </w:rPr>
              <w:alias w:val="递延所得税资产明细"/>
              <w:tag w:val="_GBC_78d44848a87d4473a54948d3e2adbb46"/>
              <w:id w:val="2115014566"/>
            </w:sdtPr>
            <w:sdtEndPr/>
            <w:sdtContent>
              <w:tr w:rsidR="007E7472" w14:paraId="09CC257C" w14:textId="77777777" w:rsidTr="007E7472">
                <w:trPr>
                  <w:trHeight w:val="285"/>
                </w:trPr>
                <w:tc>
                  <w:tcPr>
                    <w:tcW w:w="1350" w:type="pct"/>
                    <w:shd w:val="clear" w:color="auto" w:fill="auto"/>
                    <w:vAlign w:val="center"/>
                  </w:tcPr>
                  <w:p w14:paraId="614D33AA" w14:textId="77777777" w:rsidR="007E7472" w:rsidRDefault="00EC1269">
                    <w:pPr>
                      <w:rPr>
                        <w:rFonts w:asciiTheme="minorEastAsia" w:eastAsiaTheme="minorEastAsia" w:hAnsiTheme="minorEastAsia"/>
                      </w:rPr>
                    </w:pPr>
                    <w:r>
                      <w:rPr>
                        <w:rFonts w:asciiTheme="minorEastAsia" w:eastAsiaTheme="minorEastAsia" w:hAnsiTheme="minorEastAsia" w:hint="eastAsia"/>
                      </w:rPr>
                      <w:t>未实现外汇损益</w:t>
                    </w:r>
                  </w:p>
                </w:tc>
                <w:tc>
                  <w:tcPr>
                    <w:tcW w:w="912" w:type="pct"/>
                    <w:shd w:val="clear" w:color="auto" w:fill="auto"/>
                    <w:vAlign w:val="center"/>
                  </w:tcPr>
                  <w:p w14:paraId="69C3F9D7" w14:textId="77777777" w:rsidR="007E7472" w:rsidRDefault="00EC1269">
                    <w:pPr>
                      <w:jc w:val="right"/>
                      <w:rPr>
                        <w:rFonts w:asciiTheme="minorEastAsia" w:eastAsiaTheme="minorEastAsia" w:hAnsiTheme="minorEastAsia"/>
                      </w:rPr>
                    </w:pPr>
                    <w:r>
                      <w:rPr>
                        <w:rFonts w:asciiTheme="minorEastAsia" w:eastAsiaTheme="minorEastAsia" w:hAnsiTheme="minorEastAsia"/>
                      </w:rPr>
                      <w:t>307,745</w:t>
                    </w:r>
                  </w:p>
                </w:tc>
                <w:tc>
                  <w:tcPr>
                    <w:tcW w:w="910" w:type="pct"/>
                    <w:shd w:val="clear" w:color="auto" w:fill="auto"/>
                    <w:vAlign w:val="center"/>
                  </w:tcPr>
                  <w:p w14:paraId="1E549B54" w14:textId="77777777" w:rsidR="007E7472" w:rsidRDefault="00EC1269">
                    <w:pPr>
                      <w:jc w:val="right"/>
                      <w:rPr>
                        <w:rFonts w:asciiTheme="minorEastAsia" w:eastAsiaTheme="minorEastAsia" w:hAnsiTheme="minorEastAsia"/>
                      </w:rPr>
                    </w:pPr>
                    <w:r>
                      <w:rPr>
                        <w:rFonts w:asciiTheme="minorEastAsia" w:eastAsiaTheme="minorEastAsia" w:hAnsiTheme="minorEastAsia"/>
                      </w:rPr>
                      <w:t>92,324</w:t>
                    </w:r>
                  </w:p>
                </w:tc>
                <w:tc>
                  <w:tcPr>
                    <w:tcW w:w="919" w:type="pct"/>
                    <w:shd w:val="clear" w:color="auto" w:fill="auto"/>
                    <w:vAlign w:val="center"/>
                  </w:tcPr>
                  <w:p w14:paraId="2ED7A069" w14:textId="77777777" w:rsidR="007E7472" w:rsidRDefault="00EC1269">
                    <w:pPr>
                      <w:jc w:val="right"/>
                      <w:rPr>
                        <w:rFonts w:asciiTheme="minorEastAsia" w:eastAsiaTheme="minorEastAsia" w:hAnsiTheme="minorEastAsia"/>
                      </w:rPr>
                    </w:pPr>
                    <w:r>
                      <w:rPr>
                        <w:rFonts w:asciiTheme="minorEastAsia" w:eastAsiaTheme="minorEastAsia" w:hAnsiTheme="minorEastAsia"/>
                      </w:rPr>
                      <w:t>330,518</w:t>
                    </w:r>
                  </w:p>
                </w:tc>
                <w:tc>
                  <w:tcPr>
                    <w:tcW w:w="909" w:type="pct"/>
                    <w:shd w:val="clear" w:color="auto" w:fill="auto"/>
                    <w:vAlign w:val="center"/>
                  </w:tcPr>
                  <w:p w14:paraId="2131AD25" w14:textId="77777777" w:rsidR="007E7472" w:rsidRDefault="00EC1269">
                    <w:pPr>
                      <w:jc w:val="right"/>
                      <w:rPr>
                        <w:rFonts w:asciiTheme="minorEastAsia" w:eastAsiaTheme="minorEastAsia" w:hAnsiTheme="minorEastAsia"/>
                      </w:rPr>
                    </w:pPr>
                    <w:r>
                      <w:rPr>
                        <w:rFonts w:asciiTheme="minorEastAsia" w:eastAsiaTheme="minorEastAsia" w:hAnsiTheme="minorEastAsia"/>
                      </w:rPr>
                      <w:t>99,155</w:t>
                    </w:r>
                  </w:p>
                </w:tc>
              </w:tr>
            </w:sdtContent>
          </w:sdt>
          <w:sdt>
            <w:sdtPr>
              <w:rPr>
                <w:rFonts w:asciiTheme="minorHAnsi" w:eastAsiaTheme="minorEastAsia" w:hAnsiTheme="minorHAnsi" w:cstheme="minorBidi"/>
                <w:kern w:val="2"/>
                <w:szCs w:val="22"/>
              </w:rPr>
              <w:alias w:val="递延所得税资产明细"/>
              <w:tag w:val="_GBC_78d44848a87d4473a54948d3e2adbb46"/>
              <w:id w:val="832650991"/>
            </w:sdtPr>
            <w:sdtEndPr/>
            <w:sdtContent>
              <w:tr w:rsidR="007E7472" w14:paraId="318BCA8F" w14:textId="77777777" w:rsidTr="007E7472">
                <w:trPr>
                  <w:trHeight w:val="285"/>
                </w:trPr>
                <w:tc>
                  <w:tcPr>
                    <w:tcW w:w="1350" w:type="pct"/>
                    <w:shd w:val="clear" w:color="auto" w:fill="auto"/>
                    <w:vAlign w:val="center"/>
                  </w:tcPr>
                  <w:p w14:paraId="77C6ACA2" w14:textId="77777777" w:rsidR="007E7472" w:rsidRDefault="00EC1269">
                    <w:r>
                      <w:rPr>
                        <w:rFonts w:asciiTheme="minorHAnsi" w:eastAsiaTheme="minorEastAsia" w:hAnsiTheme="minorHAnsi" w:cstheme="minorBidi" w:hint="eastAsia"/>
                        <w:kern w:val="2"/>
                        <w:szCs w:val="22"/>
                      </w:rPr>
                      <w:t>其他</w:t>
                    </w:r>
                  </w:p>
                </w:tc>
                <w:tc>
                  <w:tcPr>
                    <w:tcW w:w="912" w:type="pct"/>
                    <w:shd w:val="clear" w:color="auto" w:fill="auto"/>
                    <w:vAlign w:val="center"/>
                  </w:tcPr>
                  <w:p w14:paraId="1BD9B199" w14:textId="77777777" w:rsidR="007E7472" w:rsidRDefault="00EC1269">
                    <w:pPr>
                      <w:jc w:val="right"/>
                    </w:pPr>
                    <w:r>
                      <w:t>369,457</w:t>
                    </w:r>
                  </w:p>
                </w:tc>
                <w:tc>
                  <w:tcPr>
                    <w:tcW w:w="910" w:type="pct"/>
                    <w:shd w:val="clear" w:color="auto" w:fill="auto"/>
                    <w:vAlign w:val="center"/>
                  </w:tcPr>
                  <w:p w14:paraId="097F000B" w14:textId="77777777" w:rsidR="007E7472" w:rsidRDefault="00EC1269">
                    <w:pPr>
                      <w:jc w:val="right"/>
                    </w:pPr>
                    <w:r>
                      <w:t>110,837</w:t>
                    </w:r>
                  </w:p>
                </w:tc>
                <w:tc>
                  <w:tcPr>
                    <w:tcW w:w="919" w:type="pct"/>
                    <w:shd w:val="clear" w:color="auto" w:fill="auto"/>
                    <w:vAlign w:val="center"/>
                  </w:tcPr>
                  <w:p w14:paraId="68316815" w14:textId="77777777" w:rsidR="007E7472" w:rsidRDefault="00EC1269">
                    <w:pPr>
                      <w:jc w:val="right"/>
                    </w:pPr>
                    <w:r>
                      <w:t>282,855</w:t>
                    </w:r>
                  </w:p>
                </w:tc>
                <w:tc>
                  <w:tcPr>
                    <w:tcW w:w="909" w:type="pct"/>
                    <w:shd w:val="clear" w:color="auto" w:fill="auto"/>
                    <w:vAlign w:val="center"/>
                  </w:tcPr>
                  <w:p w14:paraId="4A72CF69" w14:textId="77777777" w:rsidR="007E7472" w:rsidRDefault="00EC1269">
                    <w:pPr>
                      <w:jc w:val="right"/>
                    </w:pPr>
                    <w:r>
                      <w:t>84,856</w:t>
                    </w:r>
                  </w:p>
                </w:tc>
              </w:tr>
            </w:sdtContent>
          </w:sdt>
          <w:tr w:rsidR="007E7472" w14:paraId="69662C19" w14:textId="77777777" w:rsidTr="007E7472">
            <w:trPr>
              <w:trHeight w:val="285"/>
            </w:trPr>
            <w:sdt>
              <w:sdtPr>
                <w:tag w:val="_PLD_aff9781bbd7249709be440b59752c5c2"/>
                <w:id w:val="-1337524151"/>
              </w:sdtPr>
              <w:sdtEndPr/>
              <w:sdtContent>
                <w:tc>
                  <w:tcPr>
                    <w:tcW w:w="1350" w:type="pct"/>
                    <w:shd w:val="clear" w:color="auto" w:fill="auto"/>
                    <w:vAlign w:val="center"/>
                  </w:tcPr>
                  <w:p w14:paraId="5AE69A80" w14:textId="77777777" w:rsidR="007E7472" w:rsidRDefault="00EC1269">
                    <w:pPr>
                      <w:jc w:val="center"/>
                    </w:pPr>
                    <w:r>
                      <w:rPr>
                        <w:rFonts w:hint="eastAsia"/>
                      </w:rPr>
                      <w:t>合计</w:t>
                    </w:r>
                  </w:p>
                </w:tc>
              </w:sdtContent>
            </w:sdt>
            <w:tc>
              <w:tcPr>
                <w:tcW w:w="912" w:type="pct"/>
                <w:shd w:val="clear" w:color="auto" w:fill="auto"/>
                <w:vAlign w:val="center"/>
              </w:tcPr>
              <w:p w14:paraId="5BC21670" w14:textId="77777777" w:rsidR="007E7472" w:rsidRDefault="00EC1269">
                <w:pPr>
                  <w:jc w:val="right"/>
                </w:pPr>
                <w:r>
                  <w:t>23,172,147</w:t>
                </w:r>
              </w:p>
            </w:tc>
            <w:tc>
              <w:tcPr>
                <w:tcW w:w="910" w:type="pct"/>
                <w:shd w:val="clear" w:color="auto" w:fill="auto"/>
                <w:vAlign w:val="center"/>
              </w:tcPr>
              <w:p w14:paraId="3FE39CC8" w14:textId="77777777" w:rsidR="007E7472" w:rsidRDefault="00EC1269">
                <w:pPr>
                  <w:jc w:val="right"/>
                </w:pPr>
                <w:r>
                  <w:t>5,826,774</w:t>
                </w:r>
              </w:p>
            </w:tc>
            <w:tc>
              <w:tcPr>
                <w:tcW w:w="919" w:type="pct"/>
                <w:shd w:val="clear" w:color="auto" w:fill="auto"/>
                <w:vAlign w:val="center"/>
              </w:tcPr>
              <w:p w14:paraId="1A02732F" w14:textId="77777777" w:rsidR="007E7472" w:rsidRDefault="00EC1269">
                <w:pPr>
                  <w:jc w:val="right"/>
                </w:pPr>
                <w:r>
                  <w:t>21,903,187</w:t>
                </w:r>
              </w:p>
            </w:tc>
            <w:tc>
              <w:tcPr>
                <w:tcW w:w="909" w:type="pct"/>
                <w:shd w:val="clear" w:color="auto" w:fill="auto"/>
                <w:vAlign w:val="center"/>
              </w:tcPr>
              <w:p w14:paraId="6B099356" w14:textId="77777777" w:rsidR="007E7472" w:rsidRDefault="00EC1269">
                <w:pPr>
                  <w:jc w:val="right"/>
                </w:pPr>
                <w:r>
                  <w:t>5,591,203</w:t>
                </w:r>
              </w:p>
            </w:tc>
          </w:tr>
        </w:tbl>
        <w:p w14:paraId="0FB69D9E" w14:textId="77777777" w:rsidR="007E7472" w:rsidRDefault="00C8327E"/>
        <w:p w14:paraId="6BC96467" w14:textId="77777777" w:rsidR="007E7472" w:rsidRDefault="00C8327E"/>
      </w:sdtContent>
    </w:sdt>
    <w:bookmarkStart w:id="228" w:name="_Hlk11160621" w:displacedByCustomXml="next"/>
    <w:sdt>
      <w:sdtPr>
        <w:rPr>
          <w:rFonts w:ascii="宋体" w:hAnsi="宋体" w:cs="宋体" w:hint="eastAsia"/>
          <w:b w:val="0"/>
          <w:bCs w:val="0"/>
          <w:kern w:val="0"/>
          <w:sz w:val="20"/>
          <w:szCs w:val="24"/>
        </w:rPr>
        <w:alias w:val="模块:未经抵销的递延所得税负债"/>
        <w:tag w:val="_SEC_022eb52f9e1542cbb5aaa5a287b8ee2a"/>
        <w:id w:val="-1926257221"/>
        <w:lock w:val="sdtLocked"/>
        <w:placeholder>
          <w:docPart w:val="GBC22222222222222222222222222222"/>
        </w:placeholder>
      </w:sdtPr>
      <w:sdtEndPr>
        <w:rPr>
          <w:rFonts w:hint="default"/>
          <w:bCs/>
          <w:szCs w:val="21"/>
        </w:rPr>
      </w:sdtEndPr>
      <w:sdtContent>
        <w:p w14:paraId="281DB17D" w14:textId="77777777" w:rsidR="007E7472" w:rsidRDefault="00EC1269" w:rsidP="00162493">
          <w:pPr>
            <w:pStyle w:val="4"/>
            <w:numPr>
              <w:ilvl w:val="0"/>
              <w:numId w:val="80"/>
            </w:numPr>
            <w:rPr>
              <w:rFonts w:asciiTheme="minorEastAsia" w:eastAsiaTheme="minorEastAsia" w:hAnsiTheme="minorEastAsia"/>
            </w:rPr>
          </w:pPr>
          <w:r>
            <w:rPr>
              <w:rFonts w:hint="eastAsia"/>
            </w:rPr>
            <w:t>未</w:t>
          </w:r>
          <w:r>
            <w:rPr>
              <w:rFonts w:asciiTheme="minorEastAsia" w:eastAsiaTheme="minorEastAsia" w:hAnsiTheme="minorEastAsia" w:hint="eastAsia"/>
            </w:rPr>
            <w:t>经抵销的递延所得税负债</w:t>
          </w:r>
        </w:p>
        <w:sdt>
          <w:sdtPr>
            <w:rPr>
              <w:rFonts w:asciiTheme="minorEastAsia" w:eastAsiaTheme="minorEastAsia" w:hAnsiTheme="minorEastAsia"/>
            </w:rPr>
            <w:alias w:val="是否适用：未经抵销的递延所得税负债[双击切换]"/>
            <w:tag w:val="_GBC_e9cf2825b61d4a9ca57e90c2ed017173"/>
            <w:id w:val="-1334677106"/>
            <w:lock w:val="sdtLocked"/>
            <w:placeholder>
              <w:docPart w:val="GBC22222222222222222222222222222"/>
            </w:placeholder>
          </w:sdtPr>
          <w:sdtEndPr/>
          <w:sdtContent>
            <w:p w14:paraId="162EDBCF" w14:textId="77777777" w:rsidR="007E7472" w:rsidRDefault="00EC1269">
              <w:pPr>
                <w:rPr>
                  <w:rFonts w:asciiTheme="minorEastAsia" w:eastAsiaTheme="minorEastAsia" w:hAnsiTheme="minorEastAsia"/>
                </w:rPr>
              </w:pP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1EB34E0C" w14:textId="5A0FE642" w:rsidR="007E7472" w:rsidRDefault="00EC1269">
          <w:pPr>
            <w:jc w:val="right"/>
            <w:rPr>
              <w:rFonts w:asciiTheme="minorEastAsia" w:eastAsiaTheme="minorEastAsia" w:hAnsiTheme="minorEastAsia"/>
            </w:rPr>
          </w:pPr>
          <w:r>
            <w:rPr>
              <w:rFonts w:asciiTheme="minorEastAsia" w:eastAsiaTheme="minorEastAsia" w:hAnsiTheme="minorEastAsia" w:hint="eastAsia"/>
            </w:rPr>
            <w:t>单位：</w:t>
          </w:r>
          <w:sdt>
            <w:sdtPr>
              <w:rPr>
                <w:rFonts w:asciiTheme="minorEastAsia" w:eastAsiaTheme="minorEastAsia" w:hAnsiTheme="minorEastAsia" w:hint="eastAsia"/>
              </w:rPr>
              <w:alias w:val="单位：财务附注：未经抵销的递延所得税负债"/>
              <w:tag w:val="_GBC_7fa4a7048e284eb79ceb0dee5165516f"/>
              <w:id w:val="-15819848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asciiTheme="minorEastAsia" w:eastAsiaTheme="minorEastAsia" w:hAnsiTheme="minorEastAsia" w:hint="eastAsia"/>
                </w:rPr>
                <w:t>千元</w:t>
              </w:r>
            </w:sdtContent>
          </w:sdt>
          <w:r>
            <w:rPr>
              <w:rFonts w:asciiTheme="minorEastAsia" w:eastAsiaTheme="minorEastAsia" w:hAnsiTheme="minorEastAsia" w:hint="eastAsia"/>
            </w:rPr>
            <w:t>币种：</w:t>
          </w:r>
          <w:sdt>
            <w:sdtPr>
              <w:rPr>
                <w:rFonts w:asciiTheme="minorEastAsia" w:eastAsiaTheme="minorEastAsia" w:hAnsiTheme="minorEastAsia" w:hint="eastAsia"/>
              </w:rPr>
              <w:alias w:val="币种：财务附注：未经抵销的递延所得税负债"/>
              <w:tag w:val="_GBC_85beae3a7d624858bfe37a33da15472b"/>
              <w:id w:val="4270060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asciiTheme="minorEastAsia" w:eastAsiaTheme="minorEastAsia" w:hAnsiTheme="minorEastAsia"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4"/>
            <w:gridCol w:w="2095"/>
            <w:gridCol w:w="1525"/>
            <w:gridCol w:w="1793"/>
            <w:gridCol w:w="1366"/>
          </w:tblGrid>
          <w:tr w:rsidR="007E7472" w14:paraId="0A0FF04E" w14:textId="77777777" w:rsidTr="007E7472">
            <w:trPr>
              <w:trHeight w:val="402"/>
            </w:trPr>
            <w:bookmarkStart w:id="229" w:name="_Hlk11857349" w:displacedByCustomXml="next"/>
            <w:sdt>
              <w:sdtPr>
                <w:rPr>
                  <w:rFonts w:asciiTheme="minorEastAsia" w:hAnsiTheme="minorEastAsia"/>
                </w:rPr>
                <w:tag w:val="_PLD_66ef6111bb2d4b3792b581d6ff38c8d2"/>
                <w:id w:val="152263435"/>
              </w:sdtPr>
              <w:sdtEndPr/>
              <w:sdtContent>
                <w:tc>
                  <w:tcPr>
                    <w:tcW w:w="1159" w:type="pct"/>
                    <w:vMerge w:val="restart"/>
                    <w:shd w:val="clear" w:color="auto" w:fill="auto"/>
                    <w:vAlign w:val="center"/>
                  </w:tcPr>
                  <w:p w14:paraId="5FC5DE86" w14:textId="77777777" w:rsidR="007E7472" w:rsidRDefault="00EC1269">
                    <w:pPr>
                      <w:jc w:val="center"/>
                      <w:rPr>
                        <w:rFonts w:asciiTheme="minorEastAsia" w:eastAsiaTheme="minorEastAsia" w:hAnsiTheme="minorEastAsia"/>
                      </w:rPr>
                    </w:pPr>
                    <w:r>
                      <w:rPr>
                        <w:rFonts w:asciiTheme="minorEastAsia" w:eastAsiaTheme="minorEastAsia" w:hAnsiTheme="minorEastAsia" w:hint="eastAsia"/>
                      </w:rPr>
                      <w:t>项目</w:t>
                    </w:r>
                  </w:p>
                </w:tc>
              </w:sdtContent>
            </w:sdt>
            <w:sdt>
              <w:sdtPr>
                <w:rPr>
                  <w:rFonts w:asciiTheme="minorEastAsia" w:hAnsiTheme="minorEastAsia"/>
                </w:rPr>
                <w:tag w:val="_PLD_b850d4f63866495f80e69799c9ea1b37"/>
                <w:id w:val="120577573"/>
              </w:sdtPr>
              <w:sdtEndPr/>
              <w:sdtContent>
                <w:tc>
                  <w:tcPr>
                    <w:tcW w:w="2051" w:type="pct"/>
                    <w:gridSpan w:val="2"/>
                    <w:shd w:val="clear" w:color="auto" w:fill="auto"/>
                    <w:vAlign w:val="center"/>
                  </w:tcPr>
                  <w:p w14:paraId="44F6B56A" w14:textId="77777777" w:rsidR="007E7472" w:rsidRDefault="00EC1269">
                    <w:pPr>
                      <w:jc w:val="center"/>
                      <w:rPr>
                        <w:rFonts w:asciiTheme="minorEastAsia" w:eastAsiaTheme="minorEastAsia" w:hAnsiTheme="minorEastAsia"/>
                      </w:rPr>
                    </w:pPr>
                    <w:r>
                      <w:rPr>
                        <w:rFonts w:asciiTheme="minorEastAsia" w:eastAsiaTheme="minorEastAsia" w:hAnsiTheme="minorEastAsia" w:hint="eastAsia"/>
                      </w:rPr>
                      <w:t>期末余额</w:t>
                    </w:r>
                  </w:p>
                </w:tc>
              </w:sdtContent>
            </w:sdt>
            <w:sdt>
              <w:sdtPr>
                <w:rPr>
                  <w:rFonts w:asciiTheme="minorEastAsia" w:hAnsiTheme="minorEastAsia"/>
                </w:rPr>
                <w:tag w:val="_PLD_951c3eee882c4aaa862f620814f6ce4e"/>
                <w:id w:val="-1585451850"/>
              </w:sdtPr>
              <w:sdtEndPr/>
              <w:sdtContent>
                <w:tc>
                  <w:tcPr>
                    <w:tcW w:w="1790" w:type="pct"/>
                    <w:gridSpan w:val="2"/>
                    <w:shd w:val="clear" w:color="auto" w:fill="auto"/>
                    <w:vAlign w:val="center"/>
                  </w:tcPr>
                  <w:p w14:paraId="479A6B37" w14:textId="77777777" w:rsidR="007E7472" w:rsidRDefault="00EC1269">
                    <w:pPr>
                      <w:jc w:val="center"/>
                      <w:rPr>
                        <w:rFonts w:asciiTheme="minorEastAsia" w:eastAsiaTheme="minorEastAsia" w:hAnsiTheme="minorEastAsia"/>
                      </w:rPr>
                    </w:pPr>
                    <w:r>
                      <w:rPr>
                        <w:rFonts w:asciiTheme="minorEastAsia" w:eastAsiaTheme="minorEastAsia" w:hAnsiTheme="minorEastAsia" w:hint="eastAsia"/>
                      </w:rPr>
                      <w:t>期初余额</w:t>
                    </w:r>
                  </w:p>
                </w:tc>
              </w:sdtContent>
            </w:sdt>
          </w:tr>
          <w:tr w:rsidR="007E7472" w14:paraId="1E0C7FFA" w14:textId="77777777" w:rsidTr="007E7472">
            <w:trPr>
              <w:trHeight w:val="285"/>
            </w:trPr>
            <w:tc>
              <w:tcPr>
                <w:tcW w:w="1159" w:type="pct"/>
                <w:vMerge/>
                <w:shd w:val="clear" w:color="auto" w:fill="auto"/>
                <w:vAlign w:val="center"/>
              </w:tcPr>
              <w:p w14:paraId="20829337" w14:textId="77777777" w:rsidR="007E7472" w:rsidRDefault="00C8327E">
                <w:pPr>
                  <w:jc w:val="center"/>
                  <w:rPr>
                    <w:rFonts w:asciiTheme="minorEastAsia" w:eastAsiaTheme="minorEastAsia" w:hAnsiTheme="minorEastAsia"/>
                    <w:b/>
                  </w:rPr>
                </w:pPr>
              </w:p>
            </w:tc>
            <w:sdt>
              <w:sdtPr>
                <w:rPr>
                  <w:rFonts w:asciiTheme="minorEastAsia" w:hAnsiTheme="minorEastAsia"/>
                </w:rPr>
                <w:tag w:val="_PLD_f33e3c528ff14a2bac81ec99970641f6"/>
                <w:id w:val="1994681347"/>
              </w:sdtPr>
              <w:sdtEndPr/>
              <w:sdtContent>
                <w:tc>
                  <w:tcPr>
                    <w:tcW w:w="1187" w:type="pct"/>
                    <w:shd w:val="clear" w:color="auto" w:fill="auto"/>
                    <w:vAlign w:val="center"/>
                  </w:tcPr>
                  <w:p w14:paraId="43A14A81" w14:textId="77777777" w:rsidR="007E7472" w:rsidRDefault="00EC1269" w:rsidP="007E7472">
                    <w:pPr>
                      <w:jc w:val="center"/>
                      <w:rPr>
                        <w:rFonts w:asciiTheme="minorEastAsia" w:eastAsiaTheme="minorEastAsia" w:hAnsiTheme="minorEastAsia"/>
                      </w:rPr>
                    </w:pPr>
                    <w:r>
                      <w:rPr>
                        <w:rFonts w:asciiTheme="minorEastAsia" w:eastAsiaTheme="minorEastAsia" w:hAnsiTheme="minorEastAsia" w:hint="eastAsia"/>
                      </w:rPr>
                      <w:t>应纳税暂时</w:t>
                    </w:r>
                  </w:p>
                  <w:p w14:paraId="4C566545" w14:textId="22FC49A0" w:rsidR="007E7472" w:rsidRDefault="00EC1269" w:rsidP="007E7472">
                    <w:pPr>
                      <w:jc w:val="center"/>
                      <w:rPr>
                        <w:rFonts w:asciiTheme="minorEastAsia" w:eastAsiaTheme="minorEastAsia" w:hAnsiTheme="minorEastAsia"/>
                      </w:rPr>
                    </w:pPr>
                    <w:r>
                      <w:rPr>
                        <w:rFonts w:asciiTheme="minorEastAsia" w:eastAsiaTheme="minorEastAsia" w:hAnsiTheme="minorEastAsia" w:hint="eastAsia"/>
                      </w:rPr>
                      <w:t>性差异</w:t>
                    </w:r>
                  </w:p>
                </w:tc>
              </w:sdtContent>
            </w:sdt>
            <w:sdt>
              <w:sdtPr>
                <w:rPr>
                  <w:rFonts w:asciiTheme="minorEastAsia" w:hAnsiTheme="minorEastAsia"/>
                </w:rPr>
                <w:tag w:val="_PLD_0cb734f9904e4a57a5107d601b9b38d1"/>
                <w:id w:val="244382064"/>
              </w:sdtPr>
              <w:sdtEndPr/>
              <w:sdtContent>
                <w:tc>
                  <w:tcPr>
                    <w:tcW w:w="864" w:type="pct"/>
                    <w:shd w:val="clear" w:color="auto" w:fill="auto"/>
                    <w:vAlign w:val="center"/>
                  </w:tcPr>
                  <w:p w14:paraId="2977DC10" w14:textId="77777777" w:rsidR="007E7472" w:rsidRDefault="00EC1269">
                    <w:pPr>
                      <w:jc w:val="center"/>
                      <w:rPr>
                        <w:rFonts w:asciiTheme="minorEastAsia" w:eastAsiaTheme="minorEastAsia" w:hAnsiTheme="minorEastAsia"/>
                      </w:rPr>
                    </w:pPr>
                    <w:r>
                      <w:rPr>
                        <w:rFonts w:asciiTheme="minorEastAsia" w:eastAsiaTheme="minorEastAsia" w:hAnsiTheme="minorEastAsia" w:hint="eastAsia"/>
                      </w:rPr>
                      <w:t>递延所得税</w:t>
                    </w:r>
                  </w:p>
                  <w:p w14:paraId="76421D0A" w14:textId="77777777" w:rsidR="007E7472" w:rsidRDefault="00EC1269">
                    <w:pPr>
                      <w:jc w:val="center"/>
                      <w:rPr>
                        <w:rFonts w:asciiTheme="minorEastAsia" w:eastAsiaTheme="minorEastAsia" w:hAnsiTheme="minorEastAsia"/>
                      </w:rPr>
                    </w:pPr>
                    <w:r>
                      <w:rPr>
                        <w:rFonts w:asciiTheme="minorEastAsia" w:eastAsiaTheme="minorEastAsia" w:hAnsiTheme="minorEastAsia" w:hint="eastAsia"/>
                      </w:rPr>
                      <w:t>负债</w:t>
                    </w:r>
                  </w:p>
                </w:tc>
              </w:sdtContent>
            </w:sdt>
            <w:sdt>
              <w:sdtPr>
                <w:rPr>
                  <w:rFonts w:asciiTheme="minorEastAsia" w:hAnsiTheme="minorEastAsia"/>
                </w:rPr>
                <w:tag w:val="_PLD_ddf3980c66a840e782386c14bb078052"/>
                <w:id w:val="-1494182379"/>
              </w:sdtPr>
              <w:sdtEndPr/>
              <w:sdtContent>
                <w:tc>
                  <w:tcPr>
                    <w:tcW w:w="1016" w:type="pct"/>
                    <w:shd w:val="clear" w:color="auto" w:fill="auto"/>
                    <w:vAlign w:val="center"/>
                  </w:tcPr>
                  <w:p w14:paraId="389EEC55" w14:textId="77777777" w:rsidR="007E7472" w:rsidRDefault="00EC1269" w:rsidP="007E7472">
                    <w:pPr>
                      <w:jc w:val="center"/>
                      <w:rPr>
                        <w:rFonts w:asciiTheme="minorEastAsia" w:eastAsiaTheme="minorEastAsia" w:hAnsiTheme="minorEastAsia"/>
                      </w:rPr>
                    </w:pPr>
                    <w:r>
                      <w:rPr>
                        <w:rFonts w:asciiTheme="minorEastAsia" w:eastAsiaTheme="minorEastAsia" w:hAnsiTheme="minorEastAsia" w:hint="eastAsia"/>
                      </w:rPr>
                      <w:t>应纳税暂时</w:t>
                    </w:r>
                  </w:p>
                  <w:p w14:paraId="6160F08F" w14:textId="1BFC4990" w:rsidR="007E7472" w:rsidRDefault="00EC1269" w:rsidP="007E7472">
                    <w:pPr>
                      <w:jc w:val="center"/>
                      <w:rPr>
                        <w:rFonts w:asciiTheme="minorEastAsia" w:eastAsiaTheme="minorEastAsia" w:hAnsiTheme="minorEastAsia"/>
                      </w:rPr>
                    </w:pPr>
                    <w:r>
                      <w:rPr>
                        <w:rFonts w:asciiTheme="minorEastAsia" w:eastAsiaTheme="minorEastAsia" w:hAnsiTheme="minorEastAsia" w:hint="eastAsia"/>
                      </w:rPr>
                      <w:t>性差异</w:t>
                    </w:r>
                  </w:p>
                </w:tc>
              </w:sdtContent>
            </w:sdt>
            <w:sdt>
              <w:sdtPr>
                <w:rPr>
                  <w:rFonts w:asciiTheme="minorEastAsia" w:hAnsiTheme="minorEastAsia"/>
                </w:rPr>
                <w:tag w:val="_PLD_590dc17e8304449fbff47c3b3cd45eb5"/>
                <w:id w:val="-263924594"/>
              </w:sdtPr>
              <w:sdtEndPr/>
              <w:sdtContent>
                <w:tc>
                  <w:tcPr>
                    <w:tcW w:w="774" w:type="pct"/>
                    <w:shd w:val="clear" w:color="auto" w:fill="auto"/>
                    <w:vAlign w:val="center"/>
                  </w:tcPr>
                  <w:p w14:paraId="5EF97564" w14:textId="77777777" w:rsidR="007E7472" w:rsidRDefault="00EC1269">
                    <w:pPr>
                      <w:jc w:val="center"/>
                      <w:rPr>
                        <w:rFonts w:asciiTheme="minorEastAsia" w:eastAsiaTheme="minorEastAsia" w:hAnsiTheme="minorEastAsia"/>
                      </w:rPr>
                    </w:pPr>
                    <w:r>
                      <w:rPr>
                        <w:rFonts w:asciiTheme="minorEastAsia" w:eastAsiaTheme="minorEastAsia" w:hAnsiTheme="minorEastAsia" w:hint="eastAsia"/>
                      </w:rPr>
                      <w:t>递延所得税</w:t>
                    </w:r>
                  </w:p>
                  <w:p w14:paraId="23195632" w14:textId="77777777" w:rsidR="007E7472" w:rsidRDefault="00EC1269">
                    <w:pPr>
                      <w:jc w:val="center"/>
                      <w:rPr>
                        <w:rFonts w:asciiTheme="minorEastAsia" w:eastAsiaTheme="minorEastAsia" w:hAnsiTheme="minorEastAsia"/>
                      </w:rPr>
                    </w:pPr>
                    <w:r>
                      <w:rPr>
                        <w:rFonts w:asciiTheme="minorEastAsia" w:eastAsiaTheme="minorEastAsia" w:hAnsiTheme="minorEastAsia" w:hint="eastAsia"/>
                      </w:rPr>
                      <w:t>负债</w:t>
                    </w:r>
                  </w:p>
                </w:tc>
              </w:sdtContent>
            </w:sdt>
          </w:tr>
          <w:sdt>
            <w:sdtPr>
              <w:rPr>
                <w:rFonts w:asciiTheme="minorHAnsi" w:eastAsiaTheme="minorEastAsia" w:hAnsiTheme="minorHAnsi" w:cstheme="minorBidi"/>
                <w:kern w:val="2"/>
                <w:szCs w:val="22"/>
              </w:rPr>
              <w:alias w:val="递延所得税负债明细"/>
              <w:tag w:val="_GBC_b1614c80d1bd478fbd0f56aa84238e04"/>
              <w:id w:val="-1198549042"/>
              <w:lock w:val="sdtLocked"/>
            </w:sdtPr>
            <w:sdtEndPr/>
            <w:sdtContent>
              <w:tr w:rsidR="007E7472" w14:paraId="359ED0EF" w14:textId="77777777" w:rsidTr="007E7472">
                <w:trPr>
                  <w:trHeight w:val="285"/>
                </w:trPr>
                <w:tc>
                  <w:tcPr>
                    <w:tcW w:w="1159" w:type="pct"/>
                    <w:shd w:val="clear" w:color="auto" w:fill="auto"/>
                    <w:vAlign w:val="center"/>
                  </w:tcPr>
                  <w:p w14:paraId="60965C0E" w14:textId="77777777" w:rsidR="007E7472" w:rsidRDefault="00EC1269">
                    <w:r>
                      <w:rPr>
                        <w:rFonts w:asciiTheme="minorHAnsi" w:eastAsiaTheme="minorEastAsia" w:hAnsiTheme="minorHAnsi" w:cstheme="minorBidi" w:hint="eastAsia"/>
                        <w:b/>
                        <w:bCs/>
                        <w:kern w:val="2"/>
                        <w:szCs w:val="22"/>
                      </w:rPr>
                      <w:t>母公司及境内子公司</w:t>
                    </w:r>
                  </w:p>
                </w:tc>
                <w:tc>
                  <w:tcPr>
                    <w:tcW w:w="1187" w:type="pct"/>
                    <w:shd w:val="clear" w:color="auto" w:fill="auto"/>
                  </w:tcPr>
                  <w:p w14:paraId="035674CF" w14:textId="77777777" w:rsidR="007E7472" w:rsidRDefault="00C8327E">
                    <w:pPr>
                      <w:jc w:val="right"/>
                    </w:pPr>
                  </w:p>
                </w:tc>
                <w:tc>
                  <w:tcPr>
                    <w:tcW w:w="864" w:type="pct"/>
                    <w:shd w:val="clear" w:color="auto" w:fill="auto"/>
                  </w:tcPr>
                  <w:p w14:paraId="26CBD602" w14:textId="77777777" w:rsidR="007E7472" w:rsidRDefault="00C8327E">
                    <w:pPr>
                      <w:jc w:val="right"/>
                    </w:pPr>
                  </w:p>
                </w:tc>
                <w:tc>
                  <w:tcPr>
                    <w:tcW w:w="1016" w:type="pct"/>
                    <w:shd w:val="clear" w:color="auto" w:fill="auto"/>
                  </w:tcPr>
                  <w:p w14:paraId="74DDD607" w14:textId="77777777" w:rsidR="007E7472" w:rsidRDefault="00C8327E">
                    <w:pPr>
                      <w:jc w:val="right"/>
                    </w:pPr>
                  </w:p>
                </w:tc>
                <w:tc>
                  <w:tcPr>
                    <w:tcW w:w="774" w:type="pct"/>
                    <w:shd w:val="clear" w:color="auto" w:fill="auto"/>
                  </w:tcPr>
                  <w:p w14:paraId="7D68B96F" w14:textId="77777777" w:rsidR="007E7472" w:rsidRDefault="00C8327E">
                    <w:pPr>
                      <w:jc w:val="right"/>
                    </w:pPr>
                  </w:p>
                </w:tc>
              </w:tr>
            </w:sdtContent>
          </w:sdt>
          <w:sdt>
            <w:sdtPr>
              <w:rPr>
                <w:rFonts w:asciiTheme="minorEastAsia" w:eastAsiaTheme="minorEastAsia" w:hAnsiTheme="minorEastAsia"/>
                <w:kern w:val="2"/>
              </w:rPr>
              <w:alias w:val="递延所得税负债明细"/>
              <w:tag w:val="_GBC_b1614c80d1bd478fbd0f56aa84238e04"/>
              <w:id w:val="644929876"/>
              <w:lock w:val="sdtLocked"/>
            </w:sdtPr>
            <w:sdtEndPr/>
            <w:sdtContent>
              <w:tr w:rsidR="007E7472" w14:paraId="7DDAF9BD" w14:textId="77777777" w:rsidTr="007E7472">
                <w:trPr>
                  <w:trHeight w:val="285"/>
                </w:trPr>
                <w:tc>
                  <w:tcPr>
                    <w:tcW w:w="1159" w:type="pct"/>
                    <w:shd w:val="clear" w:color="auto" w:fill="auto"/>
                    <w:vAlign w:val="center"/>
                  </w:tcPr>
                  <w:p w14:paraId="28C2332C" w14:textId="77777777" w:rsidR="007E7472" w:rsidRDefault="00EC1269">
                    <w:pPr>
                      <w:rPr>
                        <w:rFonts w:asciiTheme="minorEastAsia" w:eastAsiaTheme="minorEastAsia" w:hAnsiTheme="minorEastAsia"/>
                      </w:rPr>
                    </w:pPr>
                    <w:r>
                      <w:rPr>
                        <w:rFonts w:asciiTheme="minorEastAsia" w:eastAsiaTheme="minorEastAsia" w:hAnsiTheme="minorEastAsia"/>
                      </w:rPr>
                      <w:t>探（采）矿权公允价值</w:t>
                    </w:r>
                  </w:p>
                </w:tc>
                <w:tc>
                  <w:tcPr>
                    <w:tcW w:w="1187" w:type="pct"/>
                    <w:shd w:val="clear" w:color="auto" w:fill="auto"/>
                    <w:vAlign w:val="center"/>
                  </w:tcPr>
                  <w:p w14:paraId="3D31EA5D" w14:textId="77777777" w:rsidR="007E7472" w:rsidRDefault="00EC1269">
                    <w:pPr>
                      <w:jc w:val="right"/>
                      <w:rPr>
                        <w:rFonts w:asciiTheme="minorEastAsia" w:eastAsiaTheme="minorEastAsia" w:hAnsiTheme="minorEastAsia"/>
                      </w:rPr>
                    </w:pPr>
                    <w:r>
                      <w:rPr>
                        <w:rFonts w:asciiTheme="minorEastAsia" w:eastAsiaTheme="minorEastAsia" w:hAnsiTheme="minorEastAsia"/>
                      </w:rPr>
                      <w:t>24,071,743</w:t>
                    </w:r>
                  </w:p>
                </w:tc>
                <w:tc>
                  <w:tcPr>
                    <w:tcW w:w="864" w:type="pct"/>
                    <w:shd w:val="clear" w:color="auto" w:fill="auto"/>
                    <w:vAlign w:val="center"/>
                  </w:tcPr>
                  <w:p w14:paraId="3EF8C149" w14:textId="77777777" w:rsidR="007E7472" w:rsidRDefault="00EC1269">
                    <w:pPr>
                      <w:jc w:val="right"/>
                      <w:rPr>
                        <w:rFonts w:asciiTheme="minorEastAsia" w:eastAsiaTheme="minorEastAsia" w:hAnsiTheme="minorEastAsia"/>
                      </w:rPr>
                    </w:pPr>
                    <w:r>
                      <w:rPr>
                        <w:rFonts w:asciiTheme="minorEastAsia" w:eastAsiaTheme="minorEastAsia" w:hAnsiTheme="minorEastAsia"/>
                      </w:rPr>
                      <w:t>5,904,436</w:t>
                    </w:r>
                  </w:p>
                </w:tc>
                <w:tc>
                  <w:tcPr>
                    <w:tcW w:w="1016" w:type="pct"/>
                    <w:shd w:val="clear" w:color="auto" w:fill="auto"/>
                    <w:vAlign w:val="center"/>
                  </w:tcPr>
                  <w:p w14:paraId="681BDCA4" w14:textId="77777777" w:rsidR="007E7472" w:rsidRDefault="00EC1269">
                    <w:pPr>
                      <w:jc w:val="right"/>
                      <w:rPr>
                        <w:rFonts w:asciiTheme="minorEastAsia" w:eastAsiaTheme="minorEastAsia" w:hAnsiTheme="minorEastAsia"/>
                      </w:rPr>
                    </w:pPr>
                    <w:r>
                      <w:rPr>
                        <w:rFonts w:asciiTheme="minorEastAsia" w:eastAsiaTheme="minorEastAsia" w:hAnsiTheme="minorEastAsia"/>
                      </w:rPr>
                      <w:t>24,079,967</w:t>
                    </w:r>
                  </w:p>
                </w:tc>
                <w:tc>
                  <w:tcPr>
                    <w:tcW w:w="774" w:type="pct"/>
                    <w:shd w:val="clear" w:color="auto" w:fill="auto"/>
                    <w:vAlign w:val="center"/>
                  </w:tcPr>
                  <w:p w14:paraId="0FEC7897" w14:textId="77777777" w:rsidR="007E7472" w:rsidRDefault="00EC1269">
                    <w:pPr>
                      <w:jc w:val="right"/>
                      <w:rPr>
                        <w:rFonts w:asciiTheme="minorEastAsia" w:eastAsiaTheme="minorEastAsia" w:hAnsiTheme="minorEastAsia"/>
                      </w:rPr>
                    </w:pPr>
                    <w:r>
                      <w:rPr>
                        <w:rFonts w:asciiTheme="minorEastAsia" w:eastAsiaTheme="minorEastAsia" w:hAnsiTheme="minorEastAsia"/>
                      </w:rPr>
                      <w:t>5,911,950</w:t>
                    </w:r>
                  </w:p>
                </w:tc>
              </w:tr>
            </w:sdtContent>
          </w:sdt>
          <w:sdt>
            <w:sdtPr>
              <w:rPr>
                <w:rFonts w:asciiTheme="minorEastAsia" w:eastAsiaTheme="minorEastAsia" w:hAnsiTheme="minorEastAsia"/>
                <w:kern w:val="2"/>
              </w:rPr>
              <w:alias w:val="递延所得税负债明细"/>
              <w:tag w:val="_GBC_b1614c80d1bd478fbd0f56aa84238e04"/>
              <w:id w:val="-569969500"/>
              <w:lock w:val="sdtLocked"/>
            </w:sdtPr>
            <w:sdtEndPr/>
            <w:sdtContent>
              <w:tr w:rsidR="007E7472" w14:paraId="70855F8F" w14:textId="77777777" w:rsidTr="007E7472">
                <w:trPr>
                  <w:trHeight w:val="285"/>
                </w:trPr>
                <w:tc>
                  <w:tcPr>
                    <w:tcW w:w="1159" w:type="pct"/>
                    <w:shd w:val="clear" w:color="auto" w:fill="auto"/>
                    <w:vAlign w:val="center"/>
                  </w:tcPr>
                  <w:p w14:paraId="54ABD367" w14:textId="77777777" w:rsidR="007E7472" w:rsidRDefault="00EC1269">
                    <w:pPr>
                      <w:rPr>
                        <w:rFonts w:asciiTheme="minorEastAsia" w:eastAsiaTheme="minorEastAsia" w:hAnsiTheme="minorEastAsia"/>
                      </w:rPr>
                    </w:pPr>
                    <w:r>
                      <w:rPr>
                        <w:rFonts w:asciiTheme="minorEastAsia" w:eastAsiaTheme="minorEastAsia" w:hAnsiTheme="minorEastAsia"/>
                      </w:rPr>
                      <w:t>固定资产折旧差异</w:t>
                    </w:r>
                  </w:p>
                </w:tc>
                <w:tc>
                  <w:tcPr>
                    <w:tcW w:w="1187" w:type="pct"/>
                    <w:shd w:val="clear" w:color="auto" w:fill="auto"/>
                    <w:vAlign w:val="center"/>
                  </w:tcPr>
                  <w:p w14:paraId="5ED9E71D" w14:textId="77777777" w:rsidR="007E7472" w:rsidRDefault="00EC1269">
                    <w:pPr>
                      <w:jc w:val="right"/>
                      <w:rPr>
                        <w:rFonts w:asciiTheme="minorEastAsia" w:eastAsiaTheme="minorEastAsia" w:hAnsiTheme="minorEastAsia"/>
                      </w:rPr>
                    </w:pPr>
                    <w:r>
                      <w:rPr>
                        <w:rFonts w:asciiTheme="minorEastAsia" w:eastAsiaTheme="minorEastAsia" w:hAnsiTheme="minorEastAsia"/>
                      </w:rPr>
                      <w:t>717,813</w:t>
                    </w:r>
                  </w:p>
                </w:tc>
                <w:tc>
                  <w:tcPr>
                    <w:tcW w:w="864" w:type="pct"/>
                    <w:shd w:val="clear" w:color="auto" w:fill="auto"/>
                    <w:vAlign w:val="center"/>
                  </w:tcPr>
                  <w:p w14:paraId="6884356D" w14:textId="77777777" w:rsidR="007E7472" w:rsidRDefault="00EC1269">
                    <w:pPr>
                      <w:jc w:val="right"/>
                      <w:rPr>
                        <w:rFonts w:asciiTheme="minorEastAsia" w:eastAsiaTheme="minorEastAsia" w:hAnsiTheme="minorEastAsia"/>
                      </w:rPr>
                    </w:pPr>
                    <w:r>
                      <w:rPr>
                        <w:rFonts w:asciiTheme="minorEastAsia" w:eastAsiaTheme="minorEastAsia" w:hAnsiTheme="minorEastAsia"/>
                      </w:rPr>
                      <w:t>123,033</w:t>
                    </w:r>
                  </w:p>
                </w:tc>
                <w:tc>
                  <w:tcPr>
                    <w:tcW w:w="1016" w:type="pct"/>
                    <w:shd w:val="clear" w:color="auto" w:fill="auto"/>
                    <w:vAlign w:val="center"/>
                  </w:tcPr>
                  <w:p w14:paraId="33027409" w14:textId="77777777" w:rsidR="007E7472" w:rsidRDefault="00EC1269">
                    <w:pPr>
                      <w:jc w:val="right"/>
                      <w:rPr>
                        <w:rFonts w:asciiTheme="minorEastAsia" w:eastAsiaTheme="minorEastAsia" w:hAnsiTheme="minorEastAsia"/>
                      </w:rPr>
                    </w:pPr>
                    <w:r>
                      <w:rPr>
                        <w:rFonts w:asciiTheme="minorEastAsia" w:eastAsiaTheme="minorEastAsia" w:hAnsiTheme="minorEastAsia"/>
                      </w:rPr>
                      <w:t>681,515</w:t>
                    </w:r>
                  </w:p>
                </w:tc>
                <w:tc>
                  <w:tcPr>
                    <w:tcW w:w="774" w:type="pct"/>
                    <w:shd w:val="clear" w:color="auto" w:fill="auto"/>
                    <w:vAlign w:val="center"/>
                  </w:tcPr>
                  <w:p w14:paraId="002A4428" w14:textId="77777777" w:rsidR="007E7472" w:rsidRDefault="00EC1269">
                    <w:pPr>
                      <w:jc w:val="right"/>
                      <w:rPr>
                        <w:rFonts w:asciiTheme="minorEastAsia" w:eastAsiaTheme="minorEastAsia" w:hAnsiTheme="minorEastAsia"/>
                      </w:rPr>
                    </w:pPr>
                    <w:r>
                      <w:rPr>
                        <w:rFonts w:asciiTheme="minorEastAsia" w:eastAsiaTheme="minorEastAsia" w:hAnsiTheme="minorEastAsia"/>
                      </w:rPr>
                      <w:t>118,647</w:t>
                    </w:r>
                  </w:p>
                </w:tc>
              </w:tr>
            </w:sdtContent>
          </w:sdt>
          <w:sdt>
            <w:sdtPr>
              <w:rPr>
                <w:rFonts w:asciiTheme="minorEastAsia" w:eastAsiaTheme="minorEastAsia" w:hAnsiTheme="minorEastAsia"/>
                <w:kern w:val="2"/>
              </w:rPr>
              <w:alias w:val="递延所得税负债明细"/>
              <w:tag w:val="_GBC_b1614c80d1bd478fbd0f56aa84238e04"/>
              <w:id w:val="-1380782545"/>
              <w:lock w:val="sdtLocked"/>
            </w:sdtPr>
            <w:sdtEndPr/>
            <w:sdtContent>
              <w:tr w:rsidR="007E7472" w14:paraId="426E9801" w14:textId="77777777" w:rsidTr="007E7472">
                <w:trPr>
                  <w:trHeight w:val="285"/>
                </w:trPr>
                <w:tc>
                  <w:tcPr>
                    <w:tcW w:w="1159" w:type="pct"/>
                    <w:shd w:val="clear" w:color="auto" w:fill="auto"/>
                    <w:vAlign w:val="center"/>
                  </w:tcPr>
                  <w:p w14:paraId="47AFF786" w14:textId="77777777" w:rsidR="007E7472" w:rsidRDefault="00EC1269">
                    <w:pPr>
                      <w:rPr>
                        <w:rFonts w:asciiTheme="minorEastAsia" w:eastAsiaTheme="minorEastAsia" w:hAnsiTheme="minorEastAsia"/>
                      </w:rPr>
                    </w:pPr>
                    <w:r>
                      <w:rPr>
                        <w:rFonts w:asciiTheme="minorEastAsia" w:eastAsiaTheme="minorEastAsia" w:hAnsiTheme="minorEastAsia"/>
                      </w:rPr>
                      <w:t>固定资产转投资性房地产</w:t>
                    </w:r>
                  </w:p>
                </w:tc>
                <w:tc>
                  <w:tcPr>
                    <w:tcW w:w="1187" w:type="pct"/>
                    <w:shd w:val="clear" w:color="auto" w:fill="auto"/>
                    <w:vAlign w:val="center"/>
                  </w:tcPr>
                  <w:p w14:paraId="44B79A3C" w14:textId="77777777" w:rsidR="007E7472" w:rsidRDefault="00EC1269">
                    <w:pPr>
                      <w:jc w:val="right"/>
                      <w:rPr>
                        <w:rFonts w:asciiTheme="minorEastAsia" w:eastAsiaTheme="minorEastAsia" w:hAnsiTheme="minorEastAsia"/>
                      </w:rPr>
                    </w:pPr>
                    <w:r>
                      <w:rPr>
                        <w:rFonts w:asciiTheme="minorEastAsia" w:eastAsiaTheme="minorEastAsia" w:hAnsiTheme="minorEastAsia"/>
                      </w:rPr>
                      <w:t>358,908</w:t>
                    </w:r>
                  </w:p>
                </w:tc>
                <w:tc>
                  <w:tcPr>
                    <w:tcW w:w="864" w:type="pct"/>
                    <w:shd w:val="clear" w:color="auto" w:fill="auto"/>
                    <w:vAlign w:val="center"/>
                  </w:tcPr>
                  <w:p w14:paraId="52A4BF5F" w14:textId="77777777" w:rsidR="007E7472" w:rsidRDefault="00EC1269">
                    <w:pPr>
                      <w:jc w:val="right"/>
                      <w:rPr>
                        <w:rFonts w:asciiTheme="minorEastAsia" w:eastAsiaTheme="minorEastAsia" w:hAnsiTheme="minorEastAsia"/>
                      </w:rPr>
                    </w:pPr>
                    <w:r>
                      <w:rPr>
                        <w:rFonts w:asciiTheme="minorEastAsia" w:eastAsiaTheme="minorEastAsia" w:hAnsiTheme="minorEastAsia"/>
                      </w:rPr>
                      <w:t>89,727</w:t>
                    </w:r>
                  </w:p>
                </w:tc>
                <w:tc>
                  <w:tcPr>
                    <w:tcW w:w="1016" w:type="pct"/>
                    <w:shd w:val="clear" w:color="auto" w:fill="auto"/>
                    <w:vAlign w:val="center"/>
                  </w:tcPr>
                  <w:p w14:paraId="154E759B" w14:textId="77777777" w:rsidR="007E7472" w:rsidRDefault="00EC1269">
                    <w:pPr>
                      <w:jc w:val="right"/>
                      <w:rPr>
                        <w:rFonts w:asciiTheme="minorEastAsia" w:eastAsiaTheme="minorEastAsia" w:hAnsiTheme="minorEastAsia"/>
                      </w:rPr>
                    </w:pPr>
                    <w:r>
                      <w:rPr>
                        <w:rFonts w:asciiTheme="minorEastAsia" w:eastAsiaTheme="minorEastAsia" w:hAnsiTheme="minorEastAsia"/>
                      </w:rPr>
                      <w:t>358,908</w:t>
                    </w:r>
                  </w:p>
                </w:tc>
                <w:tc>
                  <w:tcPr>
                    <w:tcW w:w="774" w:type="pct"/>
                    <w:shd w:val="clear" w:color="auto" w:fill="auto"/>
                    <w:vAlign w:val="center"/>
                  </w:tcPr>
                  <w:p w14:paraId="7E0289D4" w14:textId="77777777" w:rsidR="007E7472" w:rsidRDefault="00EC1269">
                    <w:pPr>
                      <w:jc w:val="right"/>
                      <w:rPr>
                        <w:rFonts w:asciiTheme="minorEastAsia" w:eastAsiaTheme="minorEastAsia" w:hAnsiTheme="minorEastAsia"/>
                      </w:rPr>
                    </w:pPr>
                    <w:r>
                      <w:rPr>
                        <w:rFonts w:asciiTheme="minorEastAsia" w:eastAsiaTheme="minorEastAsia" w:hAnsiTheme="minorEastAsia"/>
                      </w:rPr>
                      <w:t>89,727</w:t>
                    </w:r>
                  </w:p>
                </w:tc>
              </w:tr>
            </w:sdtContent>
          </w:sdt>
          <w:sdt>
            <w:sdtPr>
              <w:rPr>
                <w:rFonts w:asciiTheme="minorEastAsia" w:eastAsiaTheme="minorEastAsia" w:hAnsiTheme="minorEastAsia"/>
                <w:kern w:val="2"/>
              </w:rPr>
              <w:alias w:val="递延所得税负债明细"/>
              <w:tag w:val="_GBC_b1614c80d1bd478fbd0f56aa84238e04"/>
              <w:id w:val="-33360977"/>
              <w:lock w:val="sdtLocked"/>
            </w:sdtPr>
            <w:sdtEndPr/>
            <w:sdtContent>
              <w:tr w:rsidR="007E7472" w14:paraId="2754670B" w14:textId="77777777" w:rsidTr="007E7472">
                <w:trPr>
                  <w:trHeight w:val="285"/>
                </w:trPr>
                <w:tc>
                  <w:tcPr>
                    <w:tcW w:w="1159" w:type="pct"/>
                    <w:shd w:val="clear" w:color="auto" w:fill="auto"/>
                    <w:vAlign w:val="center"/>
                  </w:tcPr>
                  <w:p w14:paraId="27CA404C" w14:textId="77777777" w:rsidR="007E7472" w:rsidRDefault="00EC1269">
                    <w:pPr>
                      <w:rPr>
                        <w:rFonts w:asciiTheme="minorEastAsia" w:eastAsiaTheme="minorEastAsia" w:hAnsiTheme="minorEastAsia"/>
                      </w:rPr>
                    </w:pPr>
                    <w:r>
                      <w:rPr>
                        <w:rFonts w:asciiTheme="minorEastAsia" w:eastAsiaTheme="minorEastAsia" w:hAnsiTheme="minorEastAsia"/>
                      </w:rPr>
                      <w:t>非同一控制下企业合并资产评估增值</w:t>
                    </w:r>
                  </w:p>
                </w:tc>
                <w:tc>
                  <w:tcPr>
                    <w:tcW w:w="1187" w:type="pct"/>
                    <w:shd w:val="clear" w:color="auto" w:fill="auto"/>
                    <w:vAlign w:val="center"/>
                  </w:tcPr>
                  <w:p w14:paraId="15116699" w14:textId="77777777" w:rsidR="007E7472" w:rsidRDefault="00EC1269">
                    <w:pPr>
                      <w:jc w:val="right"/>
                      <w:rPr>
                        <w:rFonts w:asciiTheme="minorEastAsia" w:eastAsiaTheme="minorEastAsia" w:hAnsiTheme="minorEastAsia"/>
                      </w:rPr>
                    </w:pPr>
                    <w:r>
                      <w:rPr>
                        <w:rFonts w:asciiTheme="minorEastAsia" w:eastAsiaTheme="minorEastAsia" w:hAnsiTheme="minorEastAsia"/>
                      </w:rPr>
                      <w:t>139,211</w:t>
                    </w:r>
                  </w:p>
                </w:tc>
                <w:tc>
                  <w:tcPr>
                    <w:tcW w:w="864" w:type="pct"/>
                    <w:shd w:val="clear" w:color="auto" w:fill="auto"/>
                    <w:vAlign w:val="center"/>
                  </w:tcPr>
                  <w:p w14:paraId="5799BDE4" w14:textId="77777777" w:rsidR="007E7472" w:rsidRDefault="00EC1269">
                    <w:pPr>
                      <w:jc w:val="right"/>
                      <w:rPr>
                        <w:rFonts w:asciiTheme="minorEastAsia" w:eastAsiaTheme="minorEastAsia" w:hAnsiTheme="minorEastAsia"/>
                      </w:rPr>
                    </w:pPr>
                    <w:r>
                      <w:rPr>
                        <w:rFonts w:asciiTheme="minorEastAsia" w:eastAsiaTheme="minorEastAsia" w:hAnsiTheme="minorEastAsia"/>
                      </w:rPr>
                      <w:t>34,803</w:t>
                    </w:r>
                  </w:p>
                </w:tc>
                <w:tc>
                  <w:tcPr>
                    <w:tcW w:w="1016" w:type="pct"/>
                    <w:shd w:val="clear" w:color="auto" w:fill="auto"/>
                    <w:vAlign w:val="center"/>
                  </w:tcPr>
                  <w:p w14:paraId="4016CA84" w14:textId="77777777" w:rsidR="007E7472" w:rsidRDefault="00EC1269">
                    <w:pPr>
                      <w:jc w:val="right"/>
                      <w:rPr>
                        <w:rFonts w:asciiTheme="minorEastAsia" w:eastAsiaTheme="minorEastAsia" w:hAnsiTheme="minorEastAsia"/>
                      </w:rPr>
                    </w:pPr>
                    <w:r>
                      <w:rPr>
                        <w:rFonts w:asciiTheme="minorEastAsia" w:eastAsiaTheme="minorEastAsia" w:hAnsiTheme="minorEastAsia"/>
                      </w:rPr>
                      <w:t>145,366</w:t>
                    </w:r>
                  </w:p>
                </w:tc>
                <w:tc>
                  <w:tcPr>
                    <w:tcW w:w="774" w:type="pct"/>
                    <w:shd w:val="clear" w:color="auto" w:fill="auto"/>
                    <w:vAlign w:val="center"/>
                  </w:tcPr>
                  <w:p w14:paraId="4563F901" w14:textId="77777777" w:rsidR="007E7472" w:rsidRDefault="00EC1269">
                    <w:pPr>
                      <w:jc w:val="right"/>
                      <w:rPr>
                        <w:rFonts w:asciiTheme="minorEastAsia" w:eastAsiaTheme="minorEastAsia" w:hAnsiTheme="minorEastAsia"/>
                      </w:rPr>
                    </w:pPr>
                    <w:r>
                      <w:rPr>
                        <w:rFonts w:asciiTheme="minorEastAsia" w:eastAsiaTheme="minorEastAsia" w:hAnsiTheme="minorEastAsia"/>
                      </w:rPr>
                      <w:t>36,342</w:t>
                    </w:r>
                  </w:p>
                </w:tc>
              </w:tr>
            </w:sdtContent>
          </w:sdt>
          <w:sdt>
            <w:sdtPr>
              <w:rPr>
                <w:rFonts w:asciiTheme="minorEastAsia" w:eastAsiaTheme="minorEastAsia" w:hAnsiTheme="minorEastAsia"/>
                <w:kern w:val="2"/>
              </w:rPr>
              <w:alias w:val="递延所得税负债明细"/>
              <w:tag w:val="_GBC_b1614c80d1bd478fbd0f56aa84238e04"/>
              <w:id w:val="-216971466"/>
              <w:lock w:val="sdtLocked"/>
            </w:sdtPr>
            <w:sdtEndPr/>
            <w:sdtContent>
              <w:tr w:rsidR="007E7472" w14:paraId="17FEDD36" w14:textId="77777777" w:rsidTr="007E7472">
                <w:trPr>
                  <w:trHeight w:val="285"/>
                </w:trPr>
                <w:tc>
                  <w:tcPr>
                    <w:tcW w:w="1159" w:type="pct"/>
                    <w:shd w:val="clear" w:color="auto" w:fill="auto"/>
                    <w:vAlign w:val="center"/>
                  </w:tcPr>
                  <w:p w14:paraId="6C01D601" w14:textId="77777777" w:rsidR="007E7472" w:rsidRDefault="00EC1269">
                    <w:pPr>
                      <w:rPr>
                        <w:rFonts w:asciiTheme="minorEastAsia" w:eastAsiaTheme="minorEastAsia" w:hAnsiTheme="minorEastAsia"/>
                      </w:rPr>
                    </w:pPr>
                    <w:r>
                      <w:rPr>
                        <w:rFonts w:asciiTheme="minorEastAsia" w:eastAsiaTheme="minorEastAsia" w:hAnsiTheme="minorEastAsia"/>
                      </w:rPr>
                      <w:t>投资性房地产公允价值调整</w:t>
                    </w:r>
                  </w:p>
                </w:tc>
                <w:tc>
                  <w:tcPr>
                    <w:tcW w:w="1187" w:type="pct"/>
                    <w:shd w:val="clear" w:color="auto" w:fill="auto"/>
                    <w:vAlign w:val="center"/>
                  </w:tcPr>
                  <w:p w14:paraId="1D7BC95E" w14:textId="77777777" w:rsidR="007E7472" w:rsidRDefault="00EC1269">
                    <w:pPr>
                      <w:jc w:val="right"/>
                      <w:rPr>
                        <w:rFonts w:asciiTheme="minorEastAsia" w:eastAsiaTheme="minorEastAsia" w:hAnsiTheme="minorEastAsia"/>
                      </w:rPr>
                    </w:pPr>
                    <w:r>
                      <w:rPr>
                        <w:rFonts w:asciiTheme="minorEastAsia" w:eastAsiaTheme="minorEastAsia" w:hAnsiTheme="minorEastAsia"/>
                      </w:rPr>
                      <w:t>135,765</w:t>
                    </w:r>
                  </w:p>
                </w:tc>
                <w:tc>
                  <w:tcPr>
                    <w:tcW w:w="864" w:type="pct"/>
                    <w:shd w:val="clear" w:color="auto" w:fill="auto"/>
                    <w:vAlign w:val="center"/>
                  </w:tcPr>
                  <w:p w14:paraId="30E8EF4B" w14:textId="77777777" w:rsidR="007E7472" w:rsidRDefault="00EC1269">
                    <w:pPr>
                      <w:jc w:val="right"/>
                      <w:rPr>
                        <w:rFonts w:asciiTheme="minorEastAsia" w:eastAsiaTheme="minorEastAsia" w:hAnsiTheme="minorEastAsia"/>
                      </w:rPr>
                    </w:pPr>
                    <w:r>
                      <w:rPr>
                        <w:rFonts w:asciiTheme="minorEastAsia" w:eastAsiaTheme="minorEastAsia" w:hAnsiTheme="minorEastAsia"/>
                      </w:rPr>
                      <w:t>33,941</w:t>
                    </w:r>
                  </w:p>
                </w:tc>
                <w:tc>
                  <w:tcPr>
                    <w:tcW w:w="1016" w:type="pct"/>
                    <w:shd w:val="clear" w:color="auto" w:fill="auto"/>
                    <w:vAlign w:val="center"/>
                  </w:tcPr>
                  <w:p w14:paraId="7330E968" w14:textId="77777777" w:rsidR="007E7472" w:rsidRDefault="00EC1269">
                    <w:pPr>
                      <w:jc w:val="right"/>
                      <w:rPr>
                        <w:rFonts w:asciiTheme="minorEastAsia" w:eastAsiaTheme="minorEastAsia" w:hAnsiTheme="minorEastAsia"/>
                      </w:rPr>
                    </w:pPr>
                    <w:r>
                      <w:rPr>
                        <w:rFonts w:asciiTheme="minorEastAsia" w:eastAsiaTheme="minorEastAsia" w:hAnsiTheme="minorEastAsia"/>
                      </w:rPr>
                      <w:t>135,765</w:t>
                    </w:r>
                  </w:p>
                </w:tc>
                <w:tc>
                  <w:tcPr>
                    <w:tcW w:w="774" w:type="pct"/>
                    <w:shd w:val="clear" w:color="auto" w:fill="auto"/>
                    <w:vAlign w:val="center"/>
                  </w:tcPr>
                  <w:p w14:paraId="367740D4" w14:textId="77777777" w:rsidR="007E7472" w:rsidRDefault="00EC1269">
                    <w:pPr>
                      <w:jc w:val="right"/>
                      <w:rPr>
                        <w:rFonts w:asciiTheme="minorEastAsia" w:eastAsiaTheme="minorEastAsia" w:hAnsiTheme="minorEastAsia"/>
                      </w:rPr>
                    </w:pPr>
                    <w:r>
                      <w:rPr>
                        <w:rFonts w:asciiTheme="minorEastAsia" w:eastAsiaTheme="minorEastAsia" w:hAnsiTheme="minorEastAsia"/>
                      </w:rPr>
                      <w:t>33,941</w:t>
                    </w:r>
                  </w:p>
                </w:tc>
              </w:tr>
            </w:sdtContent>
          </w:sdt>
          <w:sdt>
            <w:sdtPr>
              <w:rPr>
                <w:rFonts w:asciiTheme="minorEastAsia" w:eastAsiaTheme="minorEastAsia" w:hAnsiTheme="minorEastAsia"/>
                <w:kern w:val="2"/>
              </w:rPr>
              <w:alias w:val="递延所得税负债明细"/>
              <w:tag w:val="_GBC_b1614c80d1bd478fbd0f56aa84238e04"/>
              <w:id w:val="770131124"/>
              <w:lock w:val="sdtLocked"/>
            </w:sdtPr>
            <w:sdtEndPr/>
            <w:sdtContent>
              <w:tr w:rsidR="007E7472" w14:paraId="50C7383C" w14:textId="77777777" w:rsidTr="007E7472">
                <w:trPr>
                  <w:trHeight w:val="285"/>
                </w:trPr>
                <w:tc>
                  <w:tcPr>
                    <w:tcW w:w="1159" w:type="pct"/>
                    <w:shd w:val="clear" w:color="auto" w:fill="auto"/>
                    <w:vAlign w:val="center"/>
                  </w:tcPr>
                  <w:p w14:paraId="27790C14" w14:textId="77777777" w:rsidR="007E7472" w:rsidRDefault="00EC1269">
                    <w:pPr>
                      <w:rPr>
                        <w:rFonts w:asciiTheme="minorEastAsia" w:eastAsiaTheme="minorEastAsia" w:hAnsiTheme="minorEastAsia"/>
                      </w:rPr>
                    </w:pPr>
                    <w:r>
                      <w:rPr>
                        <w:rFonts w:asciiTheme="minorEastAsia" w:eastAsiaTheme="minorEastAsia" w:hAnsiTheme="minorEastAsia"/>
                      </w:rPr>
                      <w:t>其他非流动金融资产公允价值调整</w:t>
                    </w:r>
                  </w:p>
                </w:tc>
                <w:tc>
                  <w:tcPr>
                    <w:tcW w:w="1187" w:type="pct"/>
                    <w:shd w:val="clear" w:color="auto" w:fill="auto"/>
                    <w:vAlign w:val="center"/>
                  </w:tcPr>
                  <w:p w14:paraId="69D11C3A" w14:textId="77777777" w:rsidR="007E7472" w:rsidRDefault="00EC1269">
                    <w:pPr>
                      <w:jc w:val="right"/>
                      <w:rPr>
                        <w:rFonts w:asciiTheme="minorEastAsia" w:eastAsiaTheme="minorEastAsia" w:hAnsiTheme="minorEastAsia"/>
                      </w:rPr>
                    </w:pPr>
                    <w:r>
                      <w:rPr>
                        <w:rFonts w:asciiTheme="minorEastAsia" w:eastAsiaTheme="minorEastAsia" w:hAnsiTheme="minorEastAsia"/>
                      </w:rPr>
                      <w:t>58,754</w:t>
                    </w:r>
                  </w:p>
                </w:tc>
                <w:tc>
                  <w:tcPr>
                    <w:tcW w:w="864" w:type="pct"/>
                    <w:shd w:val="clear" w:color="auto" w:fill="auto"/>
                    <w:vAlign w:val="center"/>
                  </w:tcPr>
                  <w:p w14:paraId="1634C96B" w14:textId="77777777" w:rsidR="007E7472" w:rsidRDefault="00EC1269">
                    <w:pPr>
                      <w:jc w:val="right"/>
                      <w:rPr>
                        <w:rFonts w:asciiTheme="minorEastAsia" w:eastAsiaTheme="minorEastAsia" w:hAnsiTheme="minorEastAsia"/>
                      </w:rPr>
                    </w:pPr>
                    <w:r>
                      <w:rPr>
                        <w:rFonts w:asciiTheme="minorEastAsia" w:eastAsiaTheme="minorEastAsia" w:hAnsiTheme="minorEastAsia"/>
                      </w:rPr>
                      <w:t>14,688</w:t>
                    </w:r>
                  </w:p>
                </w:tc>
                <w:tc>
                  <w:tcPr>
                    <w:tcW w:w="1016" w:type="pct"/>
                    <w:shd w:val="clear" w:color="auto" w:fill="auto"/>
                    <w:vAlign w:val="center"/>
                  </w:tcPr>
                  <w:p w14:paraId="021FDA61" w14:textId="77777777" w:rsidR="007E7472" w:rsidRDefault="00EC1269">
                    <w:pPr>
                      <w:jc w:val="right"/>
                      <w:rPr>
                        <w:rFonts w:asciiTheme="minorEastAsia" w:eastAsiaTheme="minorEastAsia" w:hAnsiTheme="minorEastAsia"/>
                      </w:rPr>
                    </w:pPr>
                    <w:r>
                      <w:rPr>
                        <w:rFonts w:asciiTheme="minorEastAsia" w:eastAsiaTheme="minorEastAsia" w:hAnsiTheme="minorEastAsia"/>
                      </w:rPr>
                      <w:t>42,032</w:t>
                    </w:r>
                  </w:p>
                </w:tc>
                <w:tc>
                  <w:tcPr>
                    <w:tcW w:w="774" w:type="pct"/>
                    <w:shd w:val="clear" w:color="auto" w:fill="auto"/>
                    <w:vAlign w:val="center"/>
                  </w:tcPr>
                  <w:p w14:paraId="1B0959D0" w14:textId="77777777" w:rsidR="007E7472" w:rsidRDefault="00EC1269">
                    <w:pPr>
                      <w:jc w:val="right"/>
                      <w:rPr>
                        <w:rFonts w:asciiTheme="minorEastAsia" w:eastAsiaTheme="minorEastAsia" w:hAnsiTheme="minorEastAsia"/>
                      </w:rPr>
                    </w:pPr>
                    <w:r>
                      <w:rPr>
                        <w:rFonts w:asciiTheme="minorEastAsia" w:eastAsiaTheme="minorEastAsia" w:hAnsiTheme="minorEastAsia"/>
                      </w:rPr>
                      <w:t>10,508</w:t>
                    </w:r>
                  </w:p>
                </w:tc>
              </w:tr>
            </w:sdtContent>
          </w:sdt>
          <w:sdt>
            <w:sdtPr>
              <w:rPr>
                <w:rFonts w:asciiTheme="minorEastAsia" w:eastAsiaTheme="minorEastAsia" w:hAnsiTheme="minorEastAsia"/>
                <w:kern w:val="2"/>
              </w:rPr>
              <w:alias w:val="递延所得税负债明细"/>
              <w:tag w:val="_GBC_b1614c80d1bd478fbd0f56aa84238e04"/>
              <w:id w:val="1752230145"/>
              <w:lock w:val="sdtLocked"/>
            </w:sdtPr>
            <w:sdtEndPr/>
            <w:sdtContent>
              <w:tr w:rsidR="007E7472" w14:paraId="1833EC0B" w14:textId="77777777" w:rsidTr="007E7472">
                <w:trPr>
                  <w:trHeight w:val="285"/>
                </w:trPr>
                <w:tc>
                  <w:tcPr>
                    <w:tcW w:w="1159" w:type="pct"/>
                    <w:shd w:val="clear" w:color="auto" w:fill="auto"/>
                    <w:vAlign w:val="center"/>
                  </w:tcPr>
                  <w:p w14:paraId="05C54512" w14:textId="77777777" w:rsidR="007E7472" w:rsidRDefault="00EC1269">
                    <w:pPr>
                      <w:rPr>
                        <w:rFonts w:asciiTheme="minorEastAsia" w:eastAsiaTheme="minorEastAsia" w:hAnsiTheme="minorEastAsia"/>
                      </w:rPr>
                    </w:pPr>
                    <w:r>
                      <w:rPr>
                        <w:rFonts w:asciiTheme="minorEastAsia" w:eastAsiaTheme="minorEastAsia" w:hAnsiTheme="minorEastAsia"/>
                      </w:rPr>
                      <w:t>其他权益工具投资公允价值</w:t>
                    </w:r>
                    <w:r>
                      <w:rPr>
                        <w:rFonts w:asciiTheme="minorEastAsia" w:eastAsiaTheme="minorEastAsia" w:hAnsiTheme="minorEastAsia" w:hint="eastAsia"/>
                      </w:rPr>
                      <w:t>变动</w:t>
                    </w:r>
                  </w:p>
                </w:tc>
                <w:tc>
                  <w:tcPr>
                    <w:tcW w:w="1187" w:type="pct"/>
                    <w:shd w:val="clear" w:color="auto" w:fill="auto"/>
                    <w:vAlign w:val="center"/>
                  </w:tcPr>
                  <w:p w14:paraId="7BF76CE5" w14:textId="77777777" w:rsidR="007E7472" w:rsidRDefault="00EC1269">
                    <w:pPr>
                      <w:jc w:val="right"/>
                      <w:rPr>
                        <w:rFonts w:asciiTheme="minorEastAsia" w:eastAsiaTheme="minorEastAsia" w:hAnsiTheme="minorEastAsia"/>
                      </w:rPr>
                    </w:pPr>
                    <w:r>
                      <w:rPr>
                        <w:rFonts w:asciiTheme="minorEastAsia" w:eastAsiaTheme="minorEastAsia" w:hAnsiTheme="minorEastAsia"/>
                      </w:rPr>
                      <w:t>294</w:t>
                    </w:r>
                  </w:p>
                </w:tc>
                <w:tc>
                  <w:tcPr>
                    <w:tcW w:w="864" w:type="pct"/>
                    <w:shd w:val="clear" w:color="auto" w:fill="auto"/>
                    <w:vAlign w:val="center"/>
                  </w:tcPr>
                  <w:p w14:paraId="5E199795" w14:textId="77777777" w:rsidR="007E7472" w:rsidRDefault="00EC1269">
                    <w:pPr>
                      <w:jc w:val="right"/>
                      <w:rPr>
                        <w:rFonts w:asciiTheme="minorEastAsia" w:eastAsiaTheme="minorEastAsia" w:hAnsiTheme="minorEastAsia"/>
                      </w:rPr>
                    </w:pPr>
                    <w:r>
                      <w:rPr>
                        <w:rFonts w:asciiTheme="minorEastAsia" w:eastAsiaTheme="minorEastAsia" w:hAnsiTheme="minorEastAsia"/>
                      </w:rPr>
                      <w:t>74</w:t>
                    </w:r>
                  </w:p>
                </w:tc>
                <w:tc>
                  <w:tcPr>
                    <w:tcW w:w="1016" w:type="pct"/>
                    <w:shd w:val="clear" w:color="auto" w:fill="auto"/>
                    <w:vAlign w:val="center"/>
                  </w:tcPr>
                  <w:p w14:paraId="16D91BDA" w14:textId="77777777" w:rsidR="007E7472" w:rsidRDefault="00EC1269">
                    <w:pPr>
                      <w:jc w:val="right"/>
                      <w:rPr>
                        <w:rFonts w:asciiTheme="minorEastAsia" w:eastAsiaTheme="minorEastAsia" w:hAnsiTheme="minorEastAsia"/>
                      </w:rPr>
                    </w:pPr>
                    <w:r>
                      <w:rPr>
                        <w:rFonts w:asciiTheme="minorEastAsia" w:eastAsiaTheme="minorEastAsia" w:hAnsiTheme="minorEastAsia"/>
                      </w:rPr>
                      <w:t>351</w:t>
                    </w:r>
                  </w:p>
                </w:tc>
                <w:tc>
                  <w:tcPr>
                    <w:tcW w:w="774" w:type="pct"/>
                    <w:shd w:val="clear" w:color="auto" w:fill="auto"/>
                    <w:vAlign w:val="center"/>
                  </w:tcPr>
                  <w:p w14:paraId="220E432D" w14:textId="77777777" w:rsidR="007E7472" w:rsidRDefault="00EC1269">
                    <w:pPr>
                      <w:jc w:val="right"/>
                      <w:rPr>
                        <w:rFonts w:asciiTheme="minorEastAsia" w:eastAsiaTheme="minorEastAsia" w:hAnsiTheme="minorEastAsia"/>
                      </w:rPr>
                    </w:pPr>
                    <w:r>
                      <w:rPr>
                        <w:rFonts w:asciiTheme="minorEastAsia" w:eastAsiaTheme="minorEastAsia" w:hAnsiTheme="minorEastAsia"/>
                      </w:rPr>
                      <w:t>88</w:t>
                    </w:r>
                  </w:p>
                </w:tc>
              </w:tr>
            </w:sdtContent>
          </w:sdt>
          <w:sdt>
            <w:sdtPr>
              <w:rPr>
                <w:rFonts w:asciiTheme="minorEastAsia" w:eastAsiaTheme="minorEastAsia" w:hAnsiTheme="minorEastAsia"/>
                <w:kern w:val="2"/>
              </w:rPr>
              <w:alias w:val="递延所得税负债明细"/>
              <w:tag w:val="_GBC_b1614c80d1bd478fbd0f56aa84238e04"/>
              <w:id w:val="1025440932"/>
              <w:lock w:val="sdtLocked"/>
            </w:sdtPr>
            <w:sdtEndPr/>
            <w:sdtContent>
              <w:tr w:rsidR="007E7472" w14:paraId="6A51B13A" w14:textId="77777777" w:rsidTr="007E7472">
                <w:trPr>
                  <w:trHeight w:val="285"/>
                </w:trPr>
                <w:tc>
                  <w:tcPr>
                    <w:tcW w:w="1159" w:type="pct"/>
                    <w:shd w:val="clear" w:color="auto" w:fill="auto"/>
                    <w:vAlign w:val="center"/>
                  </w:tcPr>
                  <w:p w14:paraId="1AF31B8B" w14:textId="77777777" w:rsidR="007E7472" w:rsidRDefault="00EC1269">
                    <w:pPr>
                      <w:rPr>
                        <w:rFonts w:asciiTheme="minorEastAsia" w:eastAsiaTheme="minorEastAsia" w:hAnsiTheme="minorEastAsia"/>
                      </w:rPr>
                    </w:pPr>
                    <w:r>
                      <w:rPr>
                        <w:rFonts w:asciiTheme="minorEastAsia" w:eastAsiaTheme="minorEastAsia" w:hAnsiTheme="minorEastAsia"/>
                      </w:rPr>
                      <w:t>其他</w:t>
                    </w:r>
                  </w:p>
                </w:tc>
                <w:tc>
                  <w:tcPr>
                    <w:tcW w:w="1187" w:type="pct"/>
                    <w:shd w:val="clear" w:color="auto" w:fill="auto"/>
                    <w:vAlign w:val="center"/>
                  </w:tcPr>
                  <w:p w14:paraId="7B746A26" w14:textId="77777777" w:rsidR="007E7472" w:rsidRDefault="00EC1269">
                    <w:pPr>
                      <w:jc w:val="right"/>
                      <w:rPr>
                        <w:rFonts w:asciiTheme="minorEastAsia" w:eastAsiaTheme="minorEastAsia" w:hAnsiTheme="minorEastAsia"/>
                      </w:rPr>
                    </w:pPr>
                    <w:r>
                      <w:rPr>
                        <w:rFonts w:asciiTheme="minorEastAsia" w:eastAsiaTheme="minorEastAsia" w:hAnsiTheme="minorEastAsia"/>
                      </w:rPr>
                      <w:t>707,536</w:t>
                    </w:r>
                  </w:p>
                </w:tc>
                <w:tc>
                  <w:tcPr>
                    <w:tcW w:w="864" w:type="pct"/>
                    <w:shd w:val="clear" w:color="auto" w:fill="auto"/>
                    <w:vAlign w:val="center"/>
                  </w:tcPr>
                  <w:p w14:paraId="3C193F06" w14:textId="77777777" w:rsidR="007E7472" w:rsidRDefault="00EC1269">
                    <w:pPr>
                      <w:jc w:val="right"/>
                      <w:rPr>
                        <w:rFonts w:asciiTheme="minorEastAsia" w:eastAsiaTheme="minorEastAsia" w:hAnsiTheme="minorEastAsia"/>
                      </w:rPr>
                    </w:pPr>
                    <w:r>
                      <w:rPr>
                        <w:rFonts w:asciiTheme="minorEastAsia" w:eastAsiaTheme="minorEastAsia" w:hAnsiTheme="minorEastAsia"/>
                      </w:rPr>
                      <w:t>109,263</w:t>
                    </w:r>
                  </w:p>
                </w:tc>
                <w:tc>
                  <w:tcPr>
                    <w:tcW w:w="1016" w:type="pct"/>
                    <w:shd w:val="clear" w:color="auto" w:fill="auto"/>
                    <w:vAlign w:val="center"/>
                  </w:tcPr>
                  <w:p w14:paraId="2F938F8A" w14:textId="77777777" w:rsidR="007E7472" w:rsidRDefault="00EC1269">
                    <w:pPr>
                      <w:jc w:val="right"/>
                      <w:rPr>
                        <w:rFonts w:asciiTheme="minorEastAsia" w:eastAsiaTheme="minorEastAsia" w:hAnsiTheme="minorEastAsia"/>
                      </w:rPr>
                    </w:pPr>
                    <w:r>
                      <w:rPr>
                        <w:rFonts w:asciiTheme="minorEastAsia" w:eastAsiaTheme="minorEastAsia" w:hAnsiTheme="minorEastAsia"/>
                      </w:rPr>
                      <w:t>743,797</w:t>
                    </w:r>
                  </w:p>
                </w:tc>
                <w:tc>
                  <w:tcPr>
                    <w:tcW w:w="774" w:type="pct"/>
                    <w:shd w:val="clear" w:color="auto" w:fill="auto"/>
                    <w:vAlign w:val="center"/>
                  </w:tcPr>
                  <w:p w14:paraId="4AF66A1D" w14:textId="77777777" w:rsidR="007E7472" w:rsidRDefault="00EC1269">
                    <w:pPr>
                      <w:jc w:val="right"/>
                      <w:rPr>
                        <w:rFonts w:asciiTheme="minorEastAsia" w:eastAsiaTheme="minorEastAsia" w:hAnsiTheme="minorEastAsia"/>
                      </w:rPr>
                    </w:pPr>
                    <w:r>
                      <w:rPr>
                        <w:rFonts w:asciiTheme="minorEastAsia" w:eastAsiaTheme="minorEastAsia" w:hAnsiTheme="minorEastAsia"/>
                      </w:rPr>
                      <w:t>114,702</w:t>
                    </w:r>
                  </w:p>
                </w:tc>
              </w:tr>
            </w:sdtContent>
          </w:sdt>
          <w:sdt>
            <w:sdtPr>
              <w:rPr>
                <w:rFonts w:asciiTheme="minorEastAsia" w:eastAsiaTheme="minorEastAsia" w:hAnsiTheme="minorEastAsia" w:cstheme="minorBidi"/>
                <w:b/>
                <w:kern w:val="2"/>
                <w:szCs w:val="22"/>
              </w:rPr>
              <w:alias w:val="递延所得税负债明细"/>
              <w:tag w:val="_GBC_b1614c80d1bd478fbd0f56aa84238e04"/>
              <w:id w:val="-1780712857"/>
              <w:lock w:val="sdtLocked"/>
            </w:sdtPr>
            <w:sdtEndPr/>
            <w:sdtContent>
              <w:tr w:rsidR="007E7472" w14:paraId="5160F310" w14:textId="77777777" w:rsidTr="007E7472">
                <w:trPr>
                  <w:trHeight w:val="285"/>
                </w:trPr>
                <w:tc>
                  <w:tcPr>
                    <w:tcW w:w="1159" w:type="pct"/>
                    <w:shd w:val="clear" w:color="auto" w:fill="auto"/>
                    <w:vAlign w:val="center"/>
                  </w:tcPr>
                  <w:p w14:paraId="5B08DDFA" w14:textId="77777777" w:rsidR="007E7472" w:rsidRDefault="00EC1269">
                    <w:pPr>
                      <w:rPr>
                        <w:rFonts w:asciiTheme="minorEastAsia" w:eastAsiaTheme="minorEastAsia" w:hAnsiTheme="minorEastAsia"/>
                        <w:b/>
                      </w:rPr>
                    </w:pPr>
                    <w:r>
                      <w:rPr>
                        <w:rFonts w:asciiTheme="minorEastAsia" w:eastAsiaTheme="minorEastAsia" w:hAnsiTheme="minorEastAsia"/>
                        <w:b/>
                      </w:rPr>
                      <w:t>澳大利亚子公司</w:t>
                    </w:r>
                  </w:p>
                </w:tc>
                <w:tc>
                  <w:tcPr>
                    <w:tcW w:w="1187" w:type="pct"/>
                    <w:shd w:val="clear" w:color="auto" w:fill="auto"/>
                    <w:vAlign w:val="center"/>
                  </w:tcPr>
                  <w:p w14:paraId="7E38ACD6" w14:textId="77777777" w:rsidR="007E7472" w:rsidRDefault="00C8327E">
                    <w:pPr>
                      <w:jc w:val="right"/>
                      <w:rPr>
                        <w:rFonts w:asciiTheme="minorEastAsia" w:eastAsiaTheme="minorEastAsia" w:hAnsiTheme="minorEastAsia"/>
                        <w:b/>
                      </w:rPr>
                    </w:pPr>
                  </w:p>
                </w:tc>
                <w:tc>
                  <w:tcPr>
                    <w:tcW w:w="864" w:type="pct"/>
                    <w:shd w:val="clear" w:color="auto" w:fill="auto"/>
                    <w:vAlign w:val="center"/>
                  </w:tcPr>
                  <w:p w14:paraId="5F4B98F5" w14:textId="77777777" w:rsidR="007E7472" w:rsidRDefault="00C8327E">
                    <w:pPr>
                      <w:jc w:val="right"/>
                      <w:rPr>
                        <w:rFonts w:asciiTheme="minorEastAsia" w:eastAsiaTheme="minorEastAsia" w:hAnsiTheme="minorEastAsia"/>
                        <w:b/>
                      </w:rPr>
                    </w:pPr>
                  </w:p>
                </w:tc>
                <w:tc>
                  <w:tcPr>
                    <w:tcW w:w="1016" w:type="pct"/>
                    <w:shd w:val="clear" w:color="auto" w:fill="auto"/>
                    <w:vAlign w:val="center"/>
                  </w:tcPr>
                  <w:p w14:paraId="7237DBB9" w14:textId="77777777" w:rsidR="007E7472" w:rsidRDefault="00C8327E">
                    <w:pPr>
                      <w:jc w:val="right"/>
                      <w:rPr>
                        <w:rFonts w:asciiTheme="minorEastAsia" w:eastAsiaTheme="minorEastAsia" w:hAnsiTheme="minorEastAsia"/>
                        <w:b/>
                      </w:rPr>
                    </w:pPr>
                  </w:p>
                </w:tc>
                <w:tc>
                  <w:tcPr>
                    <w:tcW w:w="774" w:type="pct"/>
                    <w:shd w:val="clear" w:color="auto" w:fill="auto"/>
                    <w:vAlign w:val="center"/>
                  </w:tcPr>
                  <w:p w14:paraId="63F5378C" w14:textId="77777777" w:rsidR="007E7472" w:rsidRDefault="00C8327E">
                    <w:pPr>
                      <w:jc w:val="right"/>
                      <w:rPr>
                        <w:rFonts w:asciiTheme="minorEastAsia" w:eastAsiaTheme="minorEastAsia" w:hAnsiTheme="minorEastAsia"/>
                        <w:b/>
                      </w:rPr>
                    </w:pPr>
                  </w:p>
                </w:tc>
              </w:tr>
            </w:sdtContent>
          </w:sdt>
          <w:sdt>
            <w:sdtPr>
              <w:rPr>
                <w:rFonts w:asciiTheme="minorEastAsia" w:eastAsiaTheme="minorEastAsia" w:hAnsiTheme="minorEastAsia"/>
                <w:kern w:val="2"/>
              </w:rPr>
              <w:alias w:val="递延所得税负债明细"/>
              <w:tag w:val="_GBC_b1614c80d1bd478fbd0f56aa84238e04"/>
              <w:id w:val="450444931"/>
              <w:lock w:val="sdtLocked"/>
            </w:sdtPr>
            <w:sdtEndPr/>
            <w:sdtContent>
              <w:tr w:rsidR="007E7472" w14:paraId="414A09A1" w14:textId="77777777" w:rsidTr="007E7472">
                <w:trPr>
                  <w:trHeight w:val="285"/>
                </w:trPr>
                <w:tc>
                  <w:tcPr>
                    <w:tcW w:w="1159" w:type="pct"/>
                    <w:shd w:val="clear" w:color="auto" w:fill="auto"/>
                    <w:vAlign w:val="center"/>
                  </w:tcPr>
                  <w:p w14:paraId="0F599AA9" w14:textId="77777777" w:rsidR="007E7472" w:rsidRDefault="00EC1269">
                    <w:pPr>
                      <w:rPr>
                        <w:rFonts w:asciiTheme="minorEastAsia" w:eastAsiaTheme="minorEastAsia" w:hAnsiTheme="minorEastAsia"/>
                      </w:rPr>
                    </w:pPr>
                    <w:r>
                      <w:rPr>
                        <w:rFonts w:asciiTheme="minorEastAsia" w:eastAsiaTheme="minorEastAsia" w:hAnsiTheme="minorEastAsia"/>
                      </w:rPr>
                      <w:t>资产摊销及确认</w:t>
                    </w:r>
                  </w:p>
                </w:tc>
                <w:tc>
                  <w:tcPr>
                    <w:tcW w:w="1187" w:type="pct"/>
                    <w:shd w:val="clear" w:color="auto" w:fill="auto"/>
                    <w:vAlign w:val="center"/>
                  </w:tcPr>
                  <w:p w14:paraId="7B8F03CE" w14:textId="77777777" w:rsidR="007E7472" w:rsidRDefault="00EC1269">
                    <w:pPr>
                      <w:jc w:val="right"/>
                      <w:rPr>
                        <w:rFonts w:asciiTheme="minorEastAsia" w:eastAsiaTheme="minorEastAsia" w:hAnsiTheme="minorEastAsia"/>
                      </w:rPr>
                    </w:pPr>
                    <w:r>
                      <w:rPr>
                        <w:rFonts w:asciiTheme="minorEastAsia" w:eastAsiaTheme="minorEastAsia" w:hAnsiTheme="minorEastAsia"/>
                      </w:rPr>
                      <w:t>13,035,537</w:t>
                    </w:r>
                  </w:p>
                </w:tc>
                <w:tc>
                  <w:tcPr>
                    <w:tcW w:w="864" w:type="pct"/>
                    <w:shd w:val="clear" w:color="auto" w:fill="auto"/>
                    <w:vAlign w:val="center"/>
                  </w:tcPr>
                  <w:p w14:paraId="389201CE" w14:textId="77777777" w:rsidR="007E7472" w:rsidRDefault="00EC1269">
                    <w:pPr>
                      <w:jc w:val="right"/>
                      <w:rPr>
                        <w:rFonts w:asciiTheme="minorEastAsia" w:eastAsiaTheme="minorEastAsia" w:hAnsiTheme="minorEastAsia"/>
                      </w:rPr>
                    </w:pPr>
                    <w:r>
                      <w:rPr>
                        <w:rFonts w:asciiTheme="minorEastAsia" w:eastAsiaTheme="minorEastAsia" w:hAnsiTheme="minorEastAsia"/>
                      </w:rPr>
                      <w:t>3,910,661</w:t>
                    </w:r>
                  </w:p>
                </w:tc>
                <w:tc>
                  <w:tcPr>
                    <w:tcW w:w="1016" w:type="pct"/>
                    <w:shd w:val="clear" w:color="auto" w:fill="auto"/>
                    <w:vAlign w:val="center"/>
                  </w:tcPr>
                  <w:p w14:paraId="545BFB00" w14:textId="77777777" w:rsidR="007E7472" w:rsidRDefault="00EC1269">
                    <w:pPr>
                      <w:jc w:val="right"/>
                      <w:rPr>
                        <w:rFonts w:asciiTheme="minorEastAsia" w:eastAsiaTheme="minorEastAsia" w:hAnsiTheme="minorEastAsia"/>
                      </w:rPr>
                    </w:pPr>
                    <w:r>
                      <w:rPr>
                        <w:rFonts w:asciiTheme="minorEastAsia" w:eastAsiaTheme="minorEastAsia" w:hAnsiTheme="minorEastAsia"/>
                      </w:rPr>
                      <w:t>13,278,732</w:t>
                    </w:r>
                  </w:p>
                </w:tc>
                <w:tc>
                  <w:tcPr>
                    <w:tcW w:w="774" w:type="pct"/>
                    <w:shd w:val="clear" w:color="auto" w:fill="auto"/>
                    <w:vAlign w:val="center"/>
                  </w:tcPr>
                  <w:p w14:paraId="67B90D8F" w14:textId="77777777" w:rsidR="007E7472" w:rsidRDefault="00EC1269">
                    <w:pPr>
                      <w:jc w:val="right"/>
                      <w:rPr>
                        <w:rFonts w:asciiTheme="minorEastAsia" w:eastAsiaTheme="minorEastAsia" w:hAnsiTheme="minorEastAsia"/>
                      </w:rPr>
                    </w:pPr>
                    <w:r>
                      <w:rPr>
                        <w:rFonts w:asciiTheme="minorEastAsia" w:eastAsiaTheme="minorEastAsia" w:hAnsiTheme="minorEastAsia"/>
                      </w:rPr>
                      <w:t>3,983,619</w:t>
                    </w:r>
                  </w:p>
                </w:tc>
              </w:tr>
            </w:sdtContent>
          </w:sdt>
          <w:sdt>
            <w:sdtPr>
              <w:rPr>
                <w:rFonts w:asciiTheme="minorEastAsia" w:eastAsiaTheme="minorEastAsia" w:hAnsiTheme="minorEastAsia"/>
                <w:kern w:val="2"/>
              </w:rPr>
              <w:alias w:val="递延所得税负债明细"/>
              <w:tag w:val="_GBC_b1614c80d1bd478fbd0f56aa84238e04"/>
              <w:id w:val="2075861134"/>
              <w:lock w:val="sdtLocked"/>
            </w:sdtPr>
            <w:sdtEndPr/>
            <w:sdtContent>
              <w:tr w:rsidR="007E7472" w14:paraId="4933CE33" w14:textId="77777777" w:rsidTr="007E7472">
                <w:trPr>
                  <w:trHeight w:val="285"/>
                </w:trPr>
                <w:tc>
                  <w:tcPr>
                    <w:tcW w:w="1159" w:type="pct"/>
                    <w:shd w:val="clear" w:color="auto" w:fill="auto"/>
                    <w:vAlign w:val="center"/>
                  </w:tcPr>
                  <w:p w14:paraId="506047CB" w14:textId="77777777" w:rsidR="007E7472" w:rsidRDefault="00EC1269">
                    <w:pPr>
                      <w:rPr>
                        <w:rFonts w:asciiTheme="minorEastAsia" w:eastAsiaTheme="minorEastAsia" w:hAnsiTheme="minorEastAsia"/>
                      </w:rPr>
                    </w:pPr>
                    <w:r>
                      <w:rPr>
                        <w:rFonts w:asciiTheme="minorEastAsia" w:eastAsiaTheme="minorEastAsia" w:hAnsiTheme="minorEastAsia"/>
                      </w:rPr>
                      <w:t>未实现外汇损益</w:t>
                    </w:r>
                  </w:p>
                </w:tc>
                <w:tc>
                  <w:tcPr>
                    <w:tcW w:w="1187" w:type="pct"/>
                    <w:shd w:val="clear" w:color="auto" w:fill="auto"/>
                    <w:vAlign w:val="center"/>
                  </w:tcPr>
                  <w:p w14:paraId="18AF1C94" w14:textId="77777777" w:rsidR="007E7472" w:rsidRDefault="00EC1269">
                    <w:pPr>
                      <w:jc w:val="right"/>
                      <w:rPr>
                        <w:rFonts w:asciiTheme="minorEastAsia" w:eastAsiaTheme="minorEastAsia" w:hAnsiTheme="minorEastAsia"/>
                      </w:rPr>
                    </w:pPr>
                    <w:r>
                      <w:rPr>
                        <w:rFonts w:asciiTheme="minorEastAsia" w:eastAsiaTheme="minorEastAsia" w:hAnsiTheme="minorEastAsia"/>
                      </w:rPr>
                      <w:t>1,548,975</w:t>
                    </w:r>
                  </w:p>
                </w:tc>
                <w:tc>
                  <w:tcPr>
                    <w:tcW w:w="864" w:type="pct"/>
                    <w:shd w:val="clear" w:color="auto" w:fill="auto"/>
                    <w:vAlign w:val="center"/>
                  </w:tcPr>
                  <w:p w14:paraId="10E8077A" w14:textId="77777777" w:rsidR="007E7472" w:rsidRDefault="00EC1269">
                    <w:pPr>
                      <w:jc w:val="right"/>
                      <w:rPr>
                        <w:rFonts w:asciiTheme="minorEastAsia" w:eastAsiaTheme="minorEastAsia" w:hAnsiTheme="minorEastAsia"/>
                      </w:rPr>
                    </w:pPr>
                    <w:r>
                      <w:rPr>
                        <w:rFonts w:asciiTheme="minorEastAsia" w:eastAsiaTheme="minorEastAsia" w:hAnsiTheme="minorEastAsia"/>
                      </w:rPr>
                      <w:t>464,692</w:t>
                    </w:r>
                  </w:p>
                </w:tc>
                <w:tc>
                  <w:tcPr>
                    <w:tcW w:w="1016" w:type="pct"/>
                    <w:shd w:val="clear" w:color="auto" w:fill="auto"/>
                    <w:vAlign w:val="center"/>
                  </w:tcPr>
                  <w:p w14:paraId="30737F28" w14:textId="77777777" w:rsidR="007E7472" w:rsidRDefault="00EC1269">
                    <w:pPr>
                      <w:jc w:val="right"/>
                      <w:rPr>
                        <w:rFonts w:asciiTheme="minorEastAsia" w:eastAsiaTheme="minorEastAsia" w:hAnsiTheme="minorEastAsia"/>
                      </w:rPr>
                    </w:pPr>
                    <w:r>
                      <w:rPr>
                        <w:rFonts w:asciiTheme="minorEastAsia" w:eastAsiaTheme="minorEastAsia" w:hAnsiTheme="minorEastAsia"/>
                      </w:rPr>
                      <w:t>1,275,070</w:t>
                    </w:r>
                  </w:p>
                </w:tc>
                <w:tc>
                  <w:tcPr>
                    <w:tcW w:w="774" w:type="pct"/>
                    <w:shd w:val="clear" w:color="auto" w:fill="auto"/>
                    <w:vAlign w:val="center"/>
                  </w:tcPr>
                  <w:p w14:paraId="59E1DEF9" w14:textId="77777777" w:rsidR="007E7472" w:rsidRDefault="00EC1269">
                    <w:pPr>
                      <w:jc w:val="right"/>
                      <w:rPr>
                        <w:rFonts w:asciiTheme="minorEastAsia" w:eastAsiaTheme="minorEastAsia" w:hAnsiTheme="minorEastAsia"/>
                      </w:rPr>
                    </w:pPr>
                    <w:r>
                      <w:rPr>
                        <w:rFonts w:asciiTheme="minorEastAsia" w:eastAsiaTheme="minorEastAsia" w:hAnsiTheme="minorEastAsia"/>
                      </w:rPr>
                      <w:t>382,521</w:t>
                    </w:r>
                  </w:p>
                </w:tc>
              </w:tr>
            </w:sdtContent>
          </w:sdt>
          <w:sdt>
            <w:sdtPr>
              <w:rPr>
                <w:rFonts w:asciiTheme="minorEastAsia" w:eastAsiaTheme="minorEastAsia" w:hAnsiTheme="minorEastAsia"/>
                <w:kern w:val="2"/>
              </w:rPr>
              <w:alias w:val="递延所得税负债明细"/>
              <w:tag w:val="_GBC_b1614c80d1bd478fbd0f56aa84238e04"/>
              <w:id w:val="925307300"/>
              <w:lock w:val="sdtLocked"/>
            </w:sdtPr>
            <w:sdtEndPr/>
            <w:sdtContent>
              <w:tr w:rsidR="007E7472" w14:paraId="3C571B58" w14:textId="77777777" w:rsidTr="007E7472">
                <w:trPr>
                  <w:trHeight w:val="285"/>
                </w:trPr>
                <w:tc>
                  <w:tcPr>
                    <w:tcW w:w="1159" w:type="pct"/>
                    <w:shd w:val="clear" w:color="auto" w:fill="auto"/>
                    <w:vAlign w:val="center"/>
                  </w:tcPr>
                  <w:p w14:paraId="637A48E7" w14:textId="77777777" w:rsidR="007E7472" w:rsidRDefault="00EC1269">
                    <w:pPr>
                      <w:rPr>
                        <w:rFonts w:asciiTheme="minorEastAsia" w:eastAsiaTheme="minorEastAsia" w:hAnsiTheme="minorEastAsia"/>
                      </w:rPr>
                    </w:pPr>
                    <w:r>
                      <w:rPr>
                        <w:rFonts w:asciiTheme="minorEastAsia" w:eastAsiaTheme="minorEastAsia" w:hAnsiTheme="minorEastAsia"/>
                      </w:rPr>
                      <w:t>其他</w:t>
                    </w:r>
                  </w:p>
                </w:tc>
                <w:tc>
                  <w:tcPr>
                    <w:tcW w:w="1187" w:type="pct"/>
                    <w:shd w:val="clear" w:color="auto" w:fill="auto"/>
                    <w:vAlign w:val="center"/>
                  </w:tcPr>
                  <w:p w14:paraId="654B9F9B" w14:textId="77777777" w:rsidR="007E7472" w:rsidRDefault="00EC1269">
                    <w:pPr>
                      <w:jc w:val="right"/>
                      <w:rPr>
                        <w:rFonts w:asciiTheme="minorEastAsia" w:eastAsiaTheme="minorEastAsia" w:hAnsiTheme="minorEastAsia"/>
                      </w:rPr>
                    </w:pPr>
                    <w:r>
                      <w:rPr>
                        <w:rFonts w:asciiTheme="minorEastAsia" w:eastAsiaTheme="minorEastAsia" w:hAnsiTheme="minorEastAsia"/>
                      </w:rPr>
                      <w:t>985,661</w:t>
                    </w:r>
                  </w:p>
                </w:tc>
                <w:tc>
                  <w:tcPr>
                    <w:tcW w:w="864" w:type="pct"/>
                    <w:shd w:val="clear" w:color="auto" w:fill="auto"/>
                    <w:vAlign w:val="center"/>
                  </w:tcPr>
                  <w:p w14:paraId="2136E769" w14:textId="77777777" w:rsidR="007E7472" w:rsidRDefault="00EC1269">
                    <w:pPr>
                      <w:jc w:val="right"/>
                      <w:rPr>
                        <w:rFonts w:asciiTheme="minorEastAsia" w:eastAsiaTheme="minorEastAsia" w:hAnsiTheme="minorEastAsia"/>
                      </w:rPr>
                    </w:pPr>
                    <w:r>
                      <w:rPr>
                        <w:rFonts w:asciiTheme="minorEastAsia" w:eastAsiaTheme="minorEastAsia" w:hAnsiTheme="minorEastAsia"/>
                      </w:rPr>
                      <w:t>295,698</w:t>
                    </w:r>
                  </w:p>
                </w:tc>
                <w:tc>
                  <w:tcPr>
                    <w:tcW w:w="1016" w:type="pct"/>
                    <w:shd w:val="clear" w:color="auto" w:fill="auto"/>
                    <w:vAlign w:val="center"/>
                  </w:tcPr>
                  <w:p w14:paraId="52586269" w14:textId="77777777" w:rsidR="007E7472" w:rsidRDefault="00EC1269">
                    <w:pPr>
                      <w:jc w:val="right"/>
                      <w:rPr>
                        <w:rFonts w:asciiTheme="minorEastAsia" w:eastAsiaTheme="minorEastAsia" w:hAnsiTheme="minorEastAsia"/>
                      </w:rPr>
                    </w:pPr>
                    <w:r>
                      <w:rPr>
                        <w:rFonts w:asciiTheme="minorEastAsia" w:eastAsiaTheme="minorEastAsia" w:hAnsiTheme="minorEastAsia"/>
                      </w:rPr>
                      <w:t>868,328</w:t>
                    </w:r>
                  </w:p>
                </w:tc>
                <w:tc>
                  <w:tcPr>
                    <w:tcW w:w="774" w:type="pct"/>
                    <w:shd w:val="clear" w:color="auto" w:fill="auto"/>
                    <w:vAlign w:val="center"/>
                  </w:tcPr>
                  <w:p w14:paraId="23C449FC" w14:textId="77777777" w:rsidR="007E7472" w:rsidRDefault="00EC1269">
                    <w:pPr>
                      <w:jc w:val="right"/>
                      <w:rPr>
                        <w:rFonts w:asciiTheme="minorEastAsia" w:eastAsiaTheme="minorEastAsia" w:hAnsiTheme="minorEastAsia"/>
                      </w:rPr>
                    </w:pPr>
                    <w:r>
                      <w:rPr>
                        <w:rFonts w:asciiTheme="minorEastAsia" w:eastAsiaTheme="minorEastAsia" w:hAnsiTheme="minorEastAsia"/>
                      </w:rPr>
                      <w:t>260,498</w:t>
                    </w:r>
                  </w:p>
                </w:tc>
              </w:tr>
            </w:sdtContent>
          </w:sdt>
          <w:tr w:rsidR="007E7472" w14:paraId="6F629598" w14:textId="77777777" w:rsidTr="007E7472">
            <w:trPr>
              <w:trHeight w:val="285"/>
            </w:trPr>
            <w:sdt>
              <w:sdtPr>
                <w:rPr>
                  <w:rFonts w:asciiTheme="minorEastAsia" w:hAnsiTheme="minorEastAsia"/>
                </w:rPr>
                <w:tag w:val="_PLD_382351978b994852b2d36dbea92fd0cc"/>
                <w:id w:val="59679147"/>
              </w:sdtPr>
              <w:sdtEndPr/>
              <w:sdtContent>
                <w:tc>
                  <w:tcPr>
                    <w:tcW w:w="1159" w:type="pct"/>
                    <w:shd w:val="clear" w:color="auto" w:fill="auto"/>
                    <w:vAlign w:val="center"/>
                  </w:tcPr>
                  <w:p w14:paraId="74C0CDCA" w14:textId="77777777" w:rsidR="007E7472" w:rsidRDefault="00EC1269">
                    <w:pPr>
                      <w:jc w:val="center"/>
                      <w:rPr>
                        <w:rFonts w:asciiTheme="minorEastAsia" w:eastAsiaTheme="minorEastAsia" w:hAnsiTheme="minorEastAsia"/>
                      </w:rPr>
                    </w:pPr>
                    <w:r>
                      <w:rPr>
                        <w:rFonts w:asciiTheme="minorEastAsia" w:eastAsiaTheme="minorEastAsia" w:hAnsiTheme="minorEastAsia" w:hint="eastAsia"/>
                      </w:rPr>
                      <w:t>合计</w:t>
                    </w:r>
                  </w:p>
                </w:tc>
              </w:sdtContent>
            </w:sdt>
            <w:tc>
              <w:tcPr>
                <w:tcW w:w="1187" w:type="pct"/>
                <w:shd w:val="clear" w:color="auto" w:fill="auto"/>
                <w:vAlign w:val="center"/>
              </w:tcPr>
              <w:p w14:paraId="23A3C1E2" w14:textId="77777777" w:rsidR="007E7472" w:rsidRDefault="00EC1269">
                <w:pPr>
                  <w:jc w:val="right"/>
                  <w:rPr>
                    <w:rFonts w:asciiTheme="minorEastAsia" w:eastAsiaTheme="minorEastAsia" w:hAnsiTheme="minorEastAsia"/>
                  </w:rPr>
                </w:pPr>
                <w:r>
                  <w:rPr>
                    <w:rFonts w:asciiTheme="minorEastAsia" w:eastAsiaTheme="minorEastAsia" w:hAnsiTheme="minorEastAsia"/>
                  </w:rPr>
                  <w:t>41,760,197</w:t>
                </w:r>
              </w:p>
            </w:tc>
            <w:tc>
              <w:tcPr>
                <w:tcW w:w="864" w:type="pct"/>
                <w:shd w:val="clear" w:color="auto" w:fill="auto"/>
                <w:vAlign w:val="center"/>
              </w:tcPr>
              <w:p w14:paraId="5C51CC8C" w14:textId="77777777" w:rsidR="007E7472" w:rsidRDefault="00EC1269">
                <w:pPr>
                  <w:jc w:val="right"/>
                  <w:rPr>
                    <w:rFonts w:asciiTheme="minorEastAsia" w:eastAsiaTheme="minorEastAsia" w:hAnsiTheme="minorEastAsia"/>
                  </w:rPr>
                </w:pPr>
                <w:r>
                  <w:rPr>
                    <w:rFonts w:asciiTheme="minorEastAsia" w:eastAsiaTheme="minorEastAsia" w:hAnsiTheme="minorEastAsia"/>
                  </w:rPr>
                  <w:t>10,981,016</w:t>
                </w:r>
              </w:p>
            </w:tc>
            <w:tc>
              <w:tcPr>
                <w:tcW w:w="1016" w:type="pct"/>
                <w:shd w:val="clear" w:color="auto" w:fill="auto"/>
                <w:vAlign w:val="center"/>
              </w:tcPr>
              <w:p w14:paraId="492101B5" w14:textId="77777777" w:rsidR="007E7472" w:rsidRDefault="00EC1269">
                <w:pPr>
                  <w:jc w:val="right"/>
                  <w:rPr>
                    <w:rFonts w:asciiTheme="minorEastAsia" w:eastAsiaTheme="minorEastAsia" w:hAnsiTheme="minorEastAsia"/>
                  </w:rPr>
                </w:pPr>
                <w:r>
                  <w:rPr>
                    <w:rFonts w:asciiTheme="minorEastAsia" w:eastAsiaTheme="minorEastAsia" w:hAnsiTheme="minorEastAsia"/>
                  </w:rPr>
                  <w:t>41,609,831</w:t>
                </w:r>
              </w:p>
            </w:tc>
            <w:tc>
              <w:tcPr>
                <w:tcW w:w="774" w:type="pct"/>
                <w:shd w:val="clear" w:color="auto" w:fill="auto"/>
                <w:vAlign w:val="center"/>
              </w:tcPr>
              <w:p w14:paraId="124B5758" w14:textId="77777777" w:rsidR="007E7472" w:rsidRDefault="00EC1269">
                <w:pPr>
                  <w:jc w:val="right"/>
                  <w:rPr>
                    <w:rFonts w:asciiTheme="minorEastAsia" w:eastAsiaTheme="minorEastAsia" w:hAnsiTheme="minorEastAsia"/>
                  </w:rPr>
                </w:pPr>
                <w:r>
                  <w:rPr>
                    <w:rFonts w:asciiTheme="minorEastAsia" w:eastAsiaTheme="minorEastAsia" w:hAnsiTheme="minorEastAsia"/>
                  </w:rPr>
                  <w:t>10,942,543</w:t>
                </w:r>
              </w:p>
            </w:tc>
          </w:tr>
        </w:tbl>
        <w:p w14:paraId="3411E520" w14:textId="77777777" w:rsidR="007E7472" w:rsidRDefault="00C8327E"/>
        <w:p w14:paraId="2D8FCEAC" w14:textId="77777777" w:rsidR="007E7472" w:rsidRDefault="00C8327E"/>
      </w:sdtContent>
    </w:sdt>
    <w:bookmarkEnd w:id="229" w:displacedByCustomXml="next"/>
    <w:bookmarkEnd w:id="228" w:displacedByCustomXml="next"/>
    <w:bookmarkStart w:id="230" w:name="_Hlk11160645" w:displacedByCustomXml="next"/>
    <w:sdt>
      <w:sdtPr>
        <w:rPr>
          <w:rFonts w:ascii="宋体" w:hAnsi="宋体" w:cs="宋体" w:hint="eastAsia"/>
          <w:b w:val="0"/>
          <w:bCs w:val="0"/>
          <w:kern w:val="0"/>
          <w:szCs w:val="24"/>
        </w:rPr>
        <w:alias w:val="模块:以抵销后净额列示的递延所得税资产或负债"/>
        <w:tag w:val="_SEC_393d53219fe44274aa0bc5257c75c762"/>
        <w:id w:val="1481805907"/>
        <w:lock w:val="sdtLocked"/>
        <w:placeholder>
          <w:docPart w:val="GBC22222222222222222222222222222"/>
        </w:placeholder>
      </w:sdtPr>
      <w:sdtEndPr>
        <w:rPr>
          <w:rFonts w:hint="default"/>
          <w:szCs w:val="21"/>
        </w:rPr>
      </w:sdtEndPr>
      <w:sdtContent>
        <w:p w14:paraId="00F8725B" w14:textId="77777777" w:rsidR="007E7472" w:rsidRDefault="00EC1269" w:rsidP="00162493">
          <w:pPr>
            <w:pStyle w:val="4"/>
            <w:numPr>
              <w:ilvl w:val="0"/>
              <w:numId w:val="80"/>
            </w:numPr>
          </w:pPr>
          <w:r>
            <w:rPr>
              <w:rFonts w:hint="eastAsia"/>
            </w:rPr>
            <w:t>以抵销后净额列示的递延所得税资产或负债</w:t>
          </w:r>
        </w:p>
        <w:sdt>
          <w:sdtPr>
            <w:alias w:val="是否适用：以抵销后净额列示的递延所得税资产或负债[双击切换]"/>
            <w:tag w:val="_GBC_d6419a9d2dc94127a5f6aea72cb2a94d"/>
            <w:id w:val="1641993358"/>
            <w:lock w:val="sdtLocked"/>
            <w:placeholder>
              <w:docPart w:val="GBC22222222222222222222222222222"/>
            </w:placeholder>
          </w:sdtPr>
          <w:sdtEndPr/>
          <w:sdtContent>
            <w:p w14:paraId="5647C6AD"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1A9DCED7" w14:textId="192B77BD" w:rsidR="007E7472" w:rsidRDefault="00EC1269">
          <w:pPr>
            <w:wordWrap w:val="0"/>
            <w:jc w:val="right"/>
          </w:pPr>
          <w:r>
            <w:rPr>
              <w:rFonts w:hint="eastAsia"/>
            </w:rPr>
            <w:t>单位：</w:t>
          </w:r>
          <w:sdt>
            <w:sdtPr>
              <w:rPr>
                <w:rFonts w:hint="eastAsia"/>
              </w:rPr>
              <w:alias w:val="单位：财务附注：互抵后的递延所得税资产及负债的组成项目"/>
              <w:tag w:val="_GBC_87248a34ce3042a5abe2f7b24ba6f68f"/>
              <w:id w:val="-15766525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互抵后的递延所得税资产及负债的组成项目"/>
              <w:tag w:val="_GBC_cd0e5c76f450471280579335020253cf"/>
              <w:id w:val="-1922285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2"/>
            <w:gridCol w:w="2722"/>
            <w:gridCol w:w="2709"/>
          </w:tblGrid>
          <w:tr w:rsidR="007E7472" w14:paraId="3EA92D30" w14:textId="77777777">
            <w:sdt>
              <w:sdtPr>
                <w:tag w:val="_PLD_8eec3f5c36d74a4f98b09e1d2c84ffe5"/>
                <w:id w:val="-1971207448"/>
                <w:lock w:val="sdtLocked"/>
              </w:sdtPr>
              <w:sdtEndPr/>
              <w:sdtContent>
                <w:tc>
                  <w:tcPr>
                    <w:tcW w:w="1922" w:type="pct"/>
                    <w:tcBorders>
                      <w:bottom w:val="single" w:sz="4" w:space="0" w:color="auto"/>
                    </w:tcBorders>
                    <w:shd w:val="clear" w:color="auto" w:fill="auto"/>
                    <w:vAlign w:val="center"/>
                  </w:tcPr>
                  <w:p w14:paraId="3314D3F1" w14:textId="77777777" w:rsidR="007E7472" w:rsidRDefault="00EC1269">
                    <w:pPr>
                      <w:jc w:val="center"/>
                    </w:pPr>
                    <w:r>
                      <w:rPr>
                        <w:rFonts w:hint="eastAsia"/>
                      </w:rPr>
                      <w:t>项目</w:t>
                    </w:r>
                  </w:p>
                </w:tc>
              </w:sdtContent>
            </w:sdt>
            <w:sdt>
              <w:sdtPr>
                <w:tag w:val="_PLD_834fe5ba2d834f8f9b67482b5dbbbc14"/>
                <w:id w:val="-1638727754"/>
                <w:lock w:val="sdtLocked"/>
              </w:sdtPr>
              <w:sdtEndPr/>
              <w:sdtContent>
                <w:tc>
                  <w:tcPr>
                    <w:tcW w:w="1542" w:type="pct"/>
                    <w:tcBorders>
                      <w:bottom w:val="single" w:sz="4" w:space="0" w:color="auto"/>
                    </w:tcBorders>
                    <w:shd w:val="clear" w:color="auto" w:fill="auto"/>
                    <w:vAlign w:val="center"/>
                  </w:tcPr>
                  <w:p w14:paraId="4113831E" w14:textId="77777777" w:rsidR="007E7472" w:rsidRDefault="00EC1269">
                    <w:pPr>
                      <w:jc w:val="center"/>
                    </w:pPr>
                    <w:r>
                      <w:rPr>
                        <w:rFonts w:hint="eastAsia"/>
                      </w:rPr>
                      <w:t>递延所得税资产和负债期末互抵金额</w:t>
                    </w:r>
                  </w:p>
                </w:tc>
              </w:sdtContent>
            </w:sdt>
            <w:sdt>
              <w:sdtPr>
                <w:tag w:val="_PLD_1d423a6acdc84a9b86a8f4cfef14d1bc"/>
                <w:id w:val="1346371951"/>
                <w:lock w:val="sdtLocked"/>
              </w:sdtPr>
              <w:sdtEndPr/>
              <w:sdtContent>
                <w:tc>
                  <w:tcPr>
                    <w:tcW w:w="1534" w:type="pct"/>
                    <w:tcBorders>
                      <w:bottom w:val="single" w:sz="4" w:space="0" w:color="auto"/>
                    </w:tcBorders>
                    <w:shd w:val="clear" w:color="auto" w:fill="auto"/>
                    <w:vAlign w:val="center"/>
                  </w:tcPr>
                  <w:p w14:paraId="2499E314" w14:textId="77777777" w:rsidR="007E7472" w:rsidRDefault="00EC1269">
                    <w:pPr>
                      <w:jc w:val="center"/>
                    </w:pPr>
                    <w:r>
                      <w:rPr>
                        <w:rFonts w:hint="eastAsia"/>
                      </w:rPr>
                      <w:t>抵销后递延所得税资产或负债期末余额</w:t>
                    </w:r>
                  </w:p>
                </w:tc>
              </w:sdtContent>
            </w:sdt>
          </w:tr>
          <w:tr w:rsidR="007E7472" w14:paraId="6FE467A8" w14:textId="77777777" w:rsidTr="007E7472">
            <w:trPr>
              <w:trHeight w:val="340"/>
            </w:trPr>
            <w:tc>
              <w:tcPr>
                <w:tcW w:w="1922" w:type="pct"/>
                <w:shd w:val="clear" w:color="auto" w:fill="auto"/>
                <w:vAlign w:val="center"/>
              </w:tcPr>
              <w:p w14:paraId="7B3769BE" w14:textId="77777777" w:rsidR="007E7472" w:rsidRDefault="00EC1269">
                <w:r>
                  <w:rPr>
                    <w:rFonts w:hint="eastAsia"/>
                  </w:rPr>
                  <w:t>递延所得税资产</w:t>
                </w:r>
              </w:p>
            </w:tc>
            <w:tc>
              <w:tcPr>
                <w:tcW w:w="1542" w:type="pct"/>
                <w:shd w:val="clear" w:color="auto" w:fill="auto"/>
                <w:vAlign w:val="center"/>
              </w:tcPr>
              <w:p w14:paraId="17E0A007" w14:textId="77777777" w:rsidR="007E7472" w:rsidRDefault="00EC1269">
                <w:pPr>
                  <w:jc w:val="right"/>
                </w:pPr>
                <w:r>
                  <w:t>2,694,316</w:t>
                </w:r>
              </w:p>
            </w:tc>
            <w:tc>
              <w:tcPr>
                <w:tcW w:w="1534" w:type="pct"/>
                <w:shd w:val="clear" w:color="auto" w:fill="auto"/>
                <w:vAlign w:val="center"/>
              </w:tcPr>
              <w:p w14:paraId="1F67E5B7" w14:textId="77777777" w:rsidR="007E7472" w:rsidRDefault="00EC1269">
                <w:pPr>
                  <w:jc w:val="right"/>
                </w:pPr>
                <w:r>
                  <w:t>3,132,458</w:t>
                </w:r>
              </w:p>
            </w:tc>
          </w:tr>
          <w:tr w:rsidR="007E7472" w14:paraId="2E124C6A" w14:textId="77777777" w:rsidTr="007E7472">
            <w:trPr>
              <w:trHeight w:val="340"/>
            </w:trPr>
            <w:tc>
              <w:tcPr>
                <w:tcW w:w="1922" w:type="pct"/>
                <w:shd w:val="clear" w:color="auto" w:fill="auto"/>
                <w:vAlign w:val="center"/>
              </w:tcPr>
              <w:p w14:paraId="2869917E" w14:textId="77777777" w:rsidR="007E7472" w:rsidRDefault="00EC1269">
                <w:r>
                  <w:rPr>
                    <w:rFonts w:hint="eastAsia"/>
                  </w:rPr>
                  <w:t>递延所得税负债</w:t>
                </w:r>
              </w:p>
            </w:tc>
            <w:tc>
              <w:tcPr>
                <w:tcW w:w="1542" w:type="pct"/>
                <w:shd w:val="clear" w:color="auto" w:fill="auto"/>
                <w:vAlign w:val="center"/>
              </w:tcPr>
              <w:p w14:paraId="74FF532E" w14:textId="77777777" w:rsidR="007E7472" w:rsidRDefault="00EC1269">
                <w:pPr>
                  <w:jc w:val="right"/>
                </w:pPr>
                <w:r>
                  <w:t>2,694,316</w:t>
                </w:r>
              </w:p>
            </w:tc>
            <w:tc>
              <w:tcPr>
                <w:tcW w:w="1534" w:type="pct"/>
                <w:shd w:val="clear" w:color="auto" w:fill="auto"/>
                <w:vAlign w:val="center"/>
              </w:tcPr>
              <w:p w14:paraId="022705B3" w14:textId="77777777" w:rsidR="007E7472" w:rsidRDefault="00EC1269">
                <w:pPr>
                  <w:jc w:val="right"/>
                </w:pPr>
                <w:r>
                  <w:t>8,286,700</w:t>
                </w:r>
              </w:p>
            </w:tc>
          </w:tr>
        </w:tbl>
        <w:p w14:paraId="0F0A54AE" w14:textId="77777777" w:rsidR="007E7472" w:rsidRDefault="00EC1269">
          <w:pPr>
            <w:spacing w:beforeLines="50" w:before="156" w:afterLines="50" w:after="156" w:line="360" w:lineRule="exact"/>
            <w:ind w:firstLineChars="200" w:firstLine="420"/>
            <w:jc w:val="both"/>
          </w:pPr>
          <w:r>
            <w:rPr>
              <w:rFonts w:hint="eastAsia"/>
            </w:rPr>
            <w:t>注：本公司之澳洲地区子公司分别属于两个纳税集团，经批准，于</w:t>
          </w:r>
          <w:r>
            <w:t>2023年</w:t>
          </w:r>
          <w:r>
            <w:rPr>
              <w:rFonts w:hint="eastAsia"/>
            </w:rPr>
            <w:t>0</w:t>
          </w:r>
          <w:r>
            <w:t>6月30日，抵销递延所得税资产和递延所得税负债2,694,316千元。</w:t>
          </w:r>
        </w:p>
      </w:sdtContent>
    </w:sdt>
    <w:bookmarkEnd w:id="230" w:displacedByCustomXml="next"/>
    <w:bookmarkStart w:id="231" w:name="_Hlk11160660" w:displacedByCustomXml="next"/>
    <w:sdt>
      <w:sdtPr>
        <w:rPr>
          <w:rFonts w:ascii="宋体" w:hAnsi="宋体" w:cs="宋体" w:hint="eastAsia"/>
          <w:b w:val="0"/>
          <w:bCs w:val="0"/>
          <w:kern w:val="0"/>
          <w:sz w:val="20"/>
          <w:szCs w:val="21"/>
        </w:rPr>
        <w:alias w:val="模块:未确认递延所得税资产明细"/>
        <w:tag w:val="_SEC_858c4743950048c4949e354ac068e8af"/>
        <w:id w:val="-424495124"/>
        <w:lock w:val="sdtLocked"/>
        <w:placeholder>
          <w:docPart w:val="GBC22222222222222222222222222222"/>
        </w:placeholder>
      </w:sdtPr>
      <w:sdtEndPr>
        <w:rPr>
          <w:rFonts w:hint="default"/>
          <w:bCs/>
          <w:sz w:val="21"/>
        </w:rPr>
      </w:sdtEndPr>
      <w:sdtContent>
        <w:p w14:paraId="1A5F5D59" w14:textId="77777777" w:rsidR="007E7472" w:rsidRDefault="00EC1269" w:rsidP="00162493">
          <w:pPr>
            <w:pStyle w:val="4"/>
            <w:numPr>
              <w:ilvl w:val="0"/>
              <w:numId w:val="80"/>
            </w:numPr>
          </w:pPr>
          <w:r>
            <w:rPr>
              <w:rFonts w:hint="eastAsia"/>
            </w:rPr>
            <w:t>未确认递延所得税资产明细</w:t>
          </w:r>
        </w:p>
        <w:sdt>
          <w:sdtPr>
            <w:alias w:val="是否适用：未确认递延所得税资产明细[双击切换]"/>
            <w:tag w:val="_GBC_f210878b05204277b5f70ed9ae786ea7"/>
            <w:id w:val="518822858"/>
            <w:lock w:val="sdtLocked"/>
            <w:placeholder>
              <w:docPart w:val="GBC22222222222222222222222222222"/>
            </w:placeholder>
          </w:sdtPr>
          <w:sdtEndPr/>
          <w:sdtContent>
            <w:p w14:paraId="578CD368"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bookmarkStart w:id="232" w:name="_Hlk142404845" w:displacedByCustomXml="next"/>
    <w:bookmarkEnd w:id="232" w:displacedByCustomXml="next"/>
    <w:bookmarkEnd w:id="231" w:displacedByCustomXml="next"/>
    <w:bookmarkStart w:id="233" w:name="_Hlk11160672" w:displacedByCustomXml="next"/>
    <w:sdt>
      <w:sdtPr>
        <w:rPr>
          <w:rFonts w:ascii="宋体" w:hAnsi="宋体" w:cs="宋体" w:hint="eastAsia"/>
          <w:b w:val="0"/>
          <w:bCs w:val="0"/>
          <w:kern w:val="0"/>
          <w:sz w:val="20"/>
          <w:szCs w:val="21"/>
        </w:rPr>
        <w:alias w:val="模块:未确认递延所得税资产的可抵扣亏损将于以下年度到期"/>
        <w:tag w:val="_SEC_a5f2b329395b406fa4b30b710f4a81e0"/>
        <w:id w:val="386838409"/>
        <w:lock w:val="sdtLocked"/>
        <w:placeholder>
          <w:docPart w:val="GBC22222222222222222222222222222"/>
        </w:placeholder>
      </w:sdtPr>
      <w:sdtEndPr>
        <w:rPr>
          <w:rFonts w:hint="default"/>
          <w:bCs/>
        </w:rPr>
      </w:sdtEndPr>
      <w:sdtContent>
        <w:p w14:paraId="50971FD6" w14:textId="77777777" w:rsidR="007E7472" w:rsidRDefault="00EC1269" w:rsidP="00162493">
          <w:pPr>
            <w:pStyle w:val="4"/>
            <w:numPr>
              <w:ilvl w:val="0"/>
              <w:numId w:val="80"/>
            </w:numPr>
          </w:pPr>
          <w:r>
            <w:rPr>
              <w:rFonts w:hint="eastAsia"/>
            </w:rPr>
            <w:t>未确认递延所得税资产的可抵扣亏损将于以下年度到期</w:t>
          </w:r>
        </w:p>
        <w:sdt>
          <w:sdtPr>
            <w:alias w:val="是否适用：未确认递延所得税资产的可抵扣亏损将于以下年度到期[双击切换]"/>
            <w:tag w:val="_GBC_10d31911cedc4147b90ab71d35742bf4"/>
            <w:id w:val="1140928815"/>
            <w:lock w:val="sdtLocked"/>
            <w:placeholder>
              <w:docPart w:val="GBC22222222222222222222222222222"/>
            </w:placeholder>
          </w:sdtPr>
          <w:sdtEndPr/>
          <w:sdtContent>
            <w:p w14:paraId="50AD3387"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bookmarkEnd w:id="233" w:displacedByCustomXml="next"/>
    <w:sdt>
      <w:sdtPr>
        <w:rPr>
          <w:rFonts w:hint="eastAsia"/>
        </w:rPr>
        <w:alias w:val="模块:递延所得税资产和递延所得税负债的说明"/>
        <w:tag w:val="_GBC_057749240d604d9ab0db94f6e505935f"/>
        <w:id w:val="-1399895868"/>
        <w:lock w:val="sdtLocked"/>
        <w:placeholder>
          <w:docPart w:val="GBC22222222222222222222222222222"/>
        </w:placeholder>
      </w:sdtPr>
      <w:sdtEndPr>
        <w:rPr>
          <w:rFonts w:hint="default"/>
          <w:sz w:val="20"/>
          <w:szCs w:val="20"/>
        </w:rPr>
      </w:sdtEndPr>
      <w:sdtContent>
        <w:p w14:paraId="1F9E9344" w14:textId="77777777" w:rsidR="007E7472" w:rsidRDefault="00EC1269">
          <w:r>
            <w:rPr>
              <w:rFonts w:hint="eastAsia"/>
            </w:rPr>
            <w:t>其他说明：</w:t>
          </w:r>
        </w:p>
        <w:sdt>
          <w:sdtPr>
            <w:alias w:val="是否适用：递延所得税资产和递延所得税负债的说明[双击切换]"/>
            <w:tag w:val="_GBC_06478ceb6b7447a791a4a5cbf8cc7e95"/>
            <w:id w:val="-2103021324"/>
            <w:lock w:val="sdtLocked"/>
            <w:placeholder>
              <w:docPart w:val="GBC22222222222222222222222222222"/>
            </w:placeholder>
          </w:sdtPr>
          <w:sdtEndPr>
            <w:rPr>
              <w:sz w:val="20"/>
              <w:szCs w:val="20"/>
            </w:rPr>
          </w:sdtEndPr>
          <w:sdtContent>
            <w:p w14:paraId="21846DA6"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p w14:paraId="706F39E4" w14:textId="77777777" w:rsidR="007E7472" w:rsidRDefault="00C8327E"/>
    <w:sdt>
      <w:sdtPr>
        <w:rPr>
          <w:rFonts w:ascii="宋体" w:hAnsi="宋体" w:cs="宋体" w:hint="eastAsia"/>
          <w:b w:val="0"/>
          <w:bCs w:val="0"/>
          <w:kern w:val="0"/>
          <w:sz w:val="20"/>
          <w:szCs w:val="21"/>
        </w:rPr>
        <w:alias w:val="模块:其他非流动资产"/>
        <w:tag w:val="_GBC_b8db472f168c433c9cdb46a39ab78b50"/>
        <w:id w:val="1408339141"/>
        <w:lock w:val="sdtLocked"/>
        <w:placeholder>
          <w:docPart w:val="GBC22222222222222222222222222222"/>
        </w:placeholder>
      </w:sdtPr>
      <w:sdtEndPr>
        <w:rPr>
          <w:sz w:val="21"/>
        </w:rPr>
      </w:sdtEndPr>
      <w:sdtContent>
        <w:p w14:paraId="760CCFB1" w14:textId="77777777" w:rsidR="007E7472" w:rsidRDefault="00EC1269" w:rsidP="00162493">
          <w:pPr>
            <w:pStyle w:val="3"/>
            <w:numPr>
              <w:ilvl w:val="0"/>
              <w:numId w:val="62"/>
            </w:numPr>
          </w:pPr>
          <w:r>
            <w:rPr>
              <w:rFonts w:hint="eastAsia"/>
            </w:rPr>
            <w:t>其他非流动资产</w:t>
          </w:r>
        </w:p>
        <w:sdt>
          <w:sdtPr>
            <w:alias w:val="是否适用：其他非流动资产[双击切换]"/>
            <w:tag w:val="_GBC_227882aeaa9b4aa98d6af8bcac2af7a5"/>
            <w:id w:val="-567809067"/>
            <w:lock w:val="sdtLocked"/>
            <w:placeholder>
              <w:docPart w:val="GBC22222222222222222222222222222"/>
            </w:placeholder>
          </w:sdtPr>
          <w:sdtEndPr/>
          <w:sdtContent>
            <w:p w14:paraId="6488C0D8"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6D5B0EEF" w14:textId="4243D0B5" w:rsidR="007E7472" w:rsidRDefault="00EC1269">
          <w:pPr>
            <w:jc w:val="right"/>
          </w:pPr>
          <w:r>
            <w:rPr>
              <w:rFonts w:hint="eastAsia"/>
            </w:rPr>
            <w:t>单位：</w:t>
          </w:r>
          <w:sdt>
            <w:sdtPr>
              <w:alias w:val="单位：财务附注：其他非流动资产"/>
              <w:tag w:val="_GBC_5fd172528c7e4c4c8619b250ae90cdb4"/>
              <w:id w:val="-9609557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t>千元</w:t>
              </w:r>
            </w:sdtContent>
          </w:sdt>
          <w:r>
            <w:rPr>
              <w:rFonts w:hint="eastAsia"/>
            </w:rPr>
            <w:t>币种：</w:t>
          </w:r>
          <w:sdt>
            <w:sdtPr>
              <w:rPr>
                <w:rFonts w:hint="eastAsia"/>
              </w:rPr>
              <w:alias w:val="币种：财务附注：其他非流动资产"/>
              <w:tag w:val="_GBC_4cd5c26035ba4f7384dee597c98f0cb6"/>
              <w:id w:val="-13918063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693"/>
            <w:gridCol w:w="2112"/>
            <w:gridCol w:w="2070"/>
            <w:gridCol w:w="1934"/>
          </w:tblGrid>
          <w:tr w:rsidR="007E7472" w14:paraId="2642C7E3" w14:textId="77777777" w:rsidTr="007E7472">
            <w:trPr>
              <w:trHeight w:val="340"/>
            </w:trPr>
            <w:sdt>
              <w:sdtPr>
                <w:rPr>
                  <w:rFonts w:hint="eastAsia"/>
                </w:rPr>
                <w:tag w:val="_PLD_a0072e7adb6c49bb95cec91e0b7ec491"/>
                <w:id w:val="-1393028819"/>
                <w:lock w:val="sdtLocked"/>
              </w:sdtPr>
              <w:sdtEndPr/>
              <w:sdtContent>
                <w:tc>
                  <w:tcPr>
                    <w:tcW w:w="1528" w:type="pct"/>
                    <w:shd w:val="clear" w:color="auto" w:fill="auto"/>
                    <w:vAlign w:val="center"/>
                  </w:tcPr>
                  <w:p w14:paraId="5958D950" w14:textId="77777777" w:rsidR="007E7472" w:rsidRDefault="00EC1269">
                    <w:pPr>
                      <w:jc w:val="center"/>
                    </w:pPr>
                    <w:r>
                      <w:rPr>
                        <w:rFonts w:hint="eastAsia"/>
                      </w:rPr>
                      <w:t>项目</w:t>
                    </w:r>
                  </w:p>
                </w:tc>
              </w:sdtContent>
            </w:sdt>
            <w:sdt>
              <w:sdtPr>
                <w:rPr>
                  <w:rFonts w:hint="eastAsia"/>
                </w:rPr>
                <w:tag w:val="_PLD_9557fd4b49c84b3db8c9ae69c7346562"/>
                <w:id w:val="945972430"/>
                <w:lock w:val="sdtLocked"/>
              </w:sdtPr>
              <w:sdtEndPr/>
              <w:sdtContent>
                <w:tc>
                  <w:tcPr>
                    <w:tcW w:w="1199" w:type="pct"/>
                    <w:vAlign w:val="center"/>
                  </w:tcPr>
                  <w:p w14:paraId="4095C0E2" w14:textId="77777777" w:rsidR="007E7472" w:rsidRDefault="00EC1269">
                    <w:pPr>
                      <w:jc w:val="center"/>
                    </w:pPr>
                    <w:r>
                      <w:rPr>
                        <w:rFonts w:hint="eastAsia"/>
                      </w:rPr>
                      <w:t>期末余额</w:t>
                    </w:r>
                  </w:p>
                </w:tc>
              </w:sdtContent>
            </w:sdt>
            <w:sdt>
              <w:sdtPr>
                <w:rPr>
                  <w:rFonts w:hint="eastAsia"/>
                </w:rPr>
                <w:tag w:val="_PLD_dad73a13c6c344aaa0bec642175f96c3"/>
                <w:id w:val="-1956546955"/>
                <w:lock w:val="sdtLocked"/>
              </w:sdtPr>
              <w:sdtEndPr/>
              <w:sdtContent>
                <w:tc>
                  <w:tcPr>
                    <w:tcW w:w="1175" w:type="pct"/>
                    <w:vAlign w:val="center"/>
                  </w:tcPr>
                  <w:p w14:paraId="4C156A61" w14:textId="77777777" w:rsidR="007E7472" w:rsidRDefault="00EC1269">
                    <w:pPr>
                      <w:jc w:val="center"/>
                    </w:pPr>
                    <w:r>
                      <w:rPr>
                        <w:rFonts w:hint="eastAsia"/>
                      </w:rPr>
                      <w:t>期初余额</w:t>
                    </w:r>
                  </w:p>
                </w:tc>
              </w:sdtContent>
            </w:sdt>
            <w:tc>
              <w:tcPr>
                <w:tcW w:w="1098" w:type="pct"/>
                <w:vAlign w:val="center"/>
              </w:tcPr>
              <w:p w14:paraId="6C9EE1A1" w14:textId="77777777" w:rsidR="007E7472" w:rsidRDefault="00EC1269">
                <w:pPr>
                  <w:jc w:val="center"/>
                </w:pPr>
                <w:r>
                  <w:rPr>
                    <w:rFonts w:hint="eastAsia"/>
                  </w:rPr>
                  <w:t>性质</w:t>
                </w:r>
              </w:p>
            </w:tc>
          </w:tr>
          <w:tr w:rsidR="007E7472" w14:paraId="13ADF3E1" w14:textId="77777777" w:rsidTr="007E7472">
            <w:trPr>
              <w:trHeight w:val="340"/>
            </w:trPr>
            <w:tc>
              <w:tcPr>
                <w:tcW w:w="1528" w:type="pct"/>
                <w:shd w:val="clear" w:color="auto" w:fill="auto"/>
                <w:vAlign w:val="center"/>
              </w:tcPr>
              <w:p w14:paraId="6AFB269B" w14:textId="77777777" w:rsidR="007E7472" w:rsidRDefault="00EC1269">
                <w:pPr>
                  <w:rPr>
                    <w:bCs/>
                    <w:color w:val="000000"/>
                  </w:rPr>
                </w:pPr>
                <w:r>
                  <w:rPr>
                    <w:rFonts w:hint="eastAsia"/>
                    <w:color w:val="000000"/>
                  </w:rPr>
                  <w:t>探（采）矿权</w:t>
                </w:r>
              </w:p>
            </w:tc>
            <w:tc>
              <w:tcPr>
                <w:tcW w:w="1199" w:type="pct"/>
                <w:vAlign w:val="center"/>
              </w:tcPr>
              <w:p w14:paraId="4004EBAA" w14:textId="77777777" w:rsidR="007E7472" w:rsidRDefault="00EC1269">
                <w:pPr>
                  <w:jc w:val="right"/>
                  <w:rPr>
                    <w:bCs/>
                    <w:color w:val="000000"/>
                  </w:rPr>
                </w:pPr>
                <w:r>
                  <w:rPr>
                    <w:rFonts w:hint="eastAsia"/>
                    <w:color w:val="000000"/>
                  </w:rPr>
                  <w:t>13,276,433</w:t>
                </w:r>
              </w:p>
            </w:tc>
            <w:tc>
              <w:tcPr>
                <w:tcW w:w="1175" w:type="pct"/>
                <w:vAlign w:val="center"/>
              </w:tcPr>
              <w:p w14:paraId="17D1AD34" w14:textId="77777777" w:rsidR="007E7472" w:rsidRDefault="00EC1269">
                <w:pPr>
                  <w:jc w:val="right"/>
                  <w:rPr>
                    <w:bCs/>
                    <w:color w:val="000000"/>
                  </w:rPr>
                </w:pPr>
                <w:r>
                  <w:rPr>
                    <w:rFonts w:hint="eastAsia"/>
                    <w:color w:val="000000"/>
                  </w:rPr>
                  <w:t>13,090,901</w:t>
                </w:r>
              </w:p>
            </w:tc>
            <w:tc>
              <w:tcPr>
                <w:tcW w:w="1098" w:type="pct"/>
                <w:vAlign w:val="center"/>
              </w:tcPr>
              <w:p w14:paraId="61EE7290" w14:textId="77777777" w:rsidR="007E7472" w:rsidRDefault="00EC1269">
                <w:pPr>
                  <w:jc w:val="center"/>
                  <w:rPr>
                    <w:bCs/>
                  </w:rPr>
                </w:pPr>
                <w:r>
                  <w:rPr>
                    <w:rFonts w:hint="eastAsia"/>
                    <w:bCs/>
                  </w:rPr>
                  <w:t>注</w:t>
                </w:r>
              </w:p>
            </w:tc>
          </w:tr>
          <w:tr w:rsidR="007E7472" w14:paraId="3558687F" w14:textId="77777777" w:rsidTr="007E7472">
            <w:trPr>
              <w:trHeight w:val="340"/>
            </w:trPr>
            <w:tc>
              <w:tcPr>
                <w:tcW w:w="1528" w:type="pct"/>
                <w:shd w:val="clear" w:color="auto" w:fill="auto"/>
                <w:vAlign w:val="center"/>
              </w:tcPr>
              <w:p w14:paraId="1371B1FE" w14:textId="77777777" w:rsidR="007E7472" w:rsidRDefault="00EC1269">
                <w:pPr>
                  <w:rPr>
                    <w:color w:val="000000"/>
                  </w:rPr>
                </w:pPr>
                <w:r>
                  <w:rPr>
                    <w:rFonts w:hint="eastAsia"/>
                    <w:color w:val="000000"/>
                  </w:rPr>
                  <w:t>预付设备、工程款</w:t>
                </w:r>
              </w:p>
            </w:tc>
            <w:tc>
              <w:tcPr>
                <w:tcW w:w="1199" w:type="pct"/>
                <w:vAlign w:val="center"/>
              </w:tcPr>
              <w:p w14:paraId="0BC61A0B" w14:textId="77777777" w:rsidR="007E7472" w:rsidRDefault="00EC1269">
                <w:pPr>
                  <w:jc w:val="right"/>
                  <w:rPr>
                    <w:color w:val="000000"/>
                  </w:rPr>
                </w:pPr>
                <w:r>
                  <w:rPr>
                    <w:rFonts w:hint="eastAsia"/>
                    <w:color w:val="000000"/>
                  </w:rPr>
                  <w:t>1,065,839</w:t>
                </w:r>
              </w:p>
            </w:tc>
            <w:tc>
              <w:tcPr>
                <w:tcW w:w="1175" w:type="pct"/>
                <w:vAlign w:val="center"/>
              </w:tcPr>
              <w:p w14:paraId="49E1D763" w14:textId="77777777" w:rsidR="007E7472" w:rsidRDefault="00EC1269">
                <w:pPr>
                  <w:jc w:val="right"/>
                  <w:rPr>
                    <w:color w:val="000000"/>
                  </w:rPr>
                </w:pPr>
                <w:r>
                  <w:rPr>
                    <w:rFonts w:hint="eastAsia"/>
                    <w:color w:val="000000"/>
                  </w:rPr>
                  <w:t>1,771,161</w:t>
                </w:r>
              </w:p>
            </w:tc>
            <w:tc>
              <w:tcPr>
                <w:tcW w:w="1098" w:type="pct"/>
                <w:vAlign w:val="center"/>
              </w:tcPr>
              <w:p w14:paraId="7810BE10" w14:textId="77777777" w:rsidR="007E7472" w:rsidRDefault="00C8327E">
                <w:pPr>
                  <w:jc w:val="right"/>
                </w:pPr>
              </w:p>
            </w:tc>
          </w:tr>
          <w:tr w:rsidR="007E7472" w14:paraId="537F7BFA" w14:textId="77777777" w:rsidTr="007E7472">
            <w:trPr>
              <w:trHeight w:val="340"/>
            </w:trPr>
            <w:tc>
              <w:tcPr>
                <w:tcW w:w="1528" w:type="pct"/>
                <w:shd w:val="clear" w:color="auto" w:fill="auto"/>
                <w:vAlign w:val="center"/>
              </w:tcPr>
              <w:p w14:paraId="1BAD8D35" w14:textId="77777777" w:rsidR="007E7472" w:rsidRDefault="00EC1269">
                <w:pPr>
                  <w:rPr>
                    <w:color w:val="000000"/>
                  </w:rPr>
                </w:pPr>
                <w:r>
                  <w:rPr>
                    <w:rFonts w:hint="eastAsia"/>
                    <w:color w:val="000000"/>
                  </w:rPr>
                  <w:t>长期服务假基金会补偿金</w:t>
                </w:r>
              </w:p>
            </w:tc>
            <w:tc>
              <w:tcPr>
                <w:tcW w:w="1199" w:type="pct"/>
                <w:vAlign w:val="center"/>
              </w:tcPr>
              <w:p w14:paraId="6C0EDF27" w14:textId="77777777" w:rsidR="007E7472" w:rsidRDefault="00EC1269">
                <w:pPr>
                  <w:jc w:val="right"/>
                  <w:rPr>
                    <w:color w:val="000000"/>
                  </w:rPr>
                </w:pPr>
                <w:r>
                  <w:rPr>
                    <w:rFonts w:hint="eastAsia"/>
                    <w:color w:val="000000"/>
                  </w:rPr>
                  <w:t>399,352</w:t>
                </w:r>
              </w:p>
            </w:tc>
            <w:tc>
              <w:tcPr>
                <w:tcW w:w="1175" w:type="pct"/>
                <w:vAlign w:val="center"/>
              </w:tcPr>
              <w:p w14:paraId="1193BE27" w14:textId="77777777" w:rsidR="007E7472" w:rsidRDefault="00EC1269">
                <w:pPr>
                  <w:jc w:val="right"/>
                  <w:rPr>
                    <w:color w:val="000000"/>
                  </w:rPr>
                </w:pPr>
                <w:r>
                  <w:rPr>
                    <w:rFonts w:hint="eastAsia"/>
                    <w:color w:val="000000"/>
                  </w:rPr>
                  <w:t>409,310</w:t>
                </w:r>
              </w:p>
            </w:tc>
            <w:tc>
              <w:tcPr>
                <w:tcW w:w="1098" w:type="pct"/>
                <w:vAlign w:val="center"/>
              </w:tcPr>
              <w:p w14:paraId="6BF28FB1" w14:textId="77777777" w:rsidR="007E7472" w:rsidRDefault="00EC1269">
                <w:pPr>
                  <w:jc w:val="center"/>
                </w:pPr>
                <w:r>
                  <w:rPr>
                    <w:rFonts w:hint="eastAsia"/>
                  </w:rPr>
                  <w:t>附注七、49</w:t>
                </w:r>
              </w:p>
            </w:tc>
          </w:tr>
          <w:tr w:rsidR="007E7472" w14:paraId="7376CD57" w14:textId="77777777" w:rsidTr="007E7472">
            <w:trPr>
              <w:trHeight w:val="340"/>
            </w:trPr>
            <w:tc>
              <w:tcPr>
                <w:tcW w:w="1528" w:type="pct"/>
                <w:shd w:val="clear" w:color="auto" w:fill="auto"/>
                <w:vAlign w:val="center"/>
              </w:tcPr>
              <w:p w14:paraId="5CC3F744" w14:textId="77777777" w:rsidR="007E7472" w:rsidRDefault="00EC1269">
                <w:pPr>
                  <w:rPr>
                    <w:color w:val="000000"/>
                  </w:rPr>
                </w:pPr>
                <w:r>
                  <w:rPr>
                    <w:rFonts w:hint="eastAsia"/>
                    <w:color w:val="000000"/>
                  </w:rPr>
                  <w:t>产能置换款</w:t>
                </w:r>
              </w:p>
            </w:tc>
            <w:tc>
              <w:tcPr>
                <w:tcW w:w="1199" w:type="pct"/>
                <w:vAlign w:val="center"/>
              </w:tcPr>
              <w:p w14:paraId="64F1D68D" w14:textId="77777777" w:rsidR="007E7472" w:rsidRDefault="00EC1269">
                <w:pPr>
                  <w:jc w:val="right"/>
                  <w:rPr>
                    <w:color w:val="000000"/>
                  </w:rPr>
                </w:pPr>
                <w:r>
                  <w:rPr>
                    <w:rFonts w:hint="eastAsia"/>
                    <w:color w:val="000000"/>
                  </w:rPr>
                  <w:t>174,613</w:t>
                </w:r>
              </w:p>
            </w:tc>
            <w:tc>
              <w:tcPr>
                <w:tcW w:w="1175" w:type="pct"/>
                <w:vAlign w:val="center"/>
              </w:tcPr>
              <w:p w14:paraId="2CC0B9D0" w14:textId="77777777" w:rsidR="007E7472" w:rsidRDefault="00EC1269">
                <w:pPr>
                  <w:jc w:val="right"/>
                  <w:rPr>
                    <w:color w:val="000000"/>
                  </w:rPr>
                </w:pPr>
                <w:r>
                  <w:rPr>
                    <w:rFonts w:hint="eastAsia"/>
                    <w:color w:val="000000"/>
                  </w:rPr>
                  <w:t>174,613</w:t>
                </w:r>
              </w:p>
            </w:tc>
            <w:tc>
              <w:tcPr>
                <w:tcW w:w="1098" w:type="pct"/>
                <w:vAlign w:val="center"/>
              </w:tcPr>
              <w:p w14:paraId="78A52B30" w14:textId="77777777" w:rsidR="007E7472" w:rsidRDefault="00C8327E">
                <w:pPr>
                  <w:jc w:val="right"/>
                </w:pPr>
              </w:p>
            </w:tc>
          </w:tr>
          <w:tr w:rsidR="007E7472" w14:paraId="0F653499" w14:textId="77777777" w:rsidTr="007E7472">
            <w:trPr>
              <w:trHeight w:val="340"/>
            </w:trPr>
            <w:tc>
              <w:tcPr>
                <w:tcW w:w="1528" w:type="pct"/>
                <w:shd w:val="clear" w:color="auto" w:fill="auto"/>
                <w:vAlign w:val="center"/>
              </w:tcPr>
              <w:p w14:paraId="2FB07B04" w14:textId="77777777" w:rsidR="007E7472" w:rsidRDefault="00EC1269">
                <w:pPr>
                  <w:rPr>
                    <w:color w:val="000000"/>
                  </w:rPr>
                </w:pPr>
                <w:r>
                  <w:rPr>
                    <w:rFonts w:hint="eastAsia"/>
                    <w:color w:val="000000"/>
                  </w:rPr>
                  <w:t>其他</w:t>
                </w:r>
              </w:p>
            </w:tc>
            <w:tc>
              <w:tcPr>
                <w:tcW w:w="1199" w:type="pct"/>
                <w:vAlign w:val="center"/>
              </w:tcPr>
              <w:p w14:paraId="206C1E66" w14:textId="77777777" w:rsidR="007E7472" w:rsidRDefault="00EC1269">
                <w:pPr>
                  <w:jc w:val="right"/>
                  <w:rPr>
                    <w:color w:val="000000"/>
                  </w:rPr>
                </w:pPr>
                <w:r>
                  <w:rPr>
                    <w:rFonts w:hint="eastAsia"/>
                    <w:color w:val="000000"/>
                  </w:rPr>
                  <w:t>674,207</w:t>
                </w:r>
              </w:p>
            </w:tc>
            <w:tc>
              <w:tcPr>
                <w:tcW w:w="1175" w:type="pct"/>
                <w:vAlign w:val="center"/>
              </w:tcPr>
              <w:p w14:paraId="6ED6EFA4" w14:textId="77777777" w:rsidR="007E7472" w:rsidRDefault="00EC1269">
                <w:pPr>
                  <w:jc w:val="right"/>
                  <w:rPr>
                    <w:color w:val="000000"/>
                  </w:rPr>
                </w:pPr>
                <w:r>
                  <w:rPr>
                    <w:rFonts w:hint="eastAsia"/>
                    <w:color w:val="000000"/>
                  </w:rPr>
                  <w:t>628,386</w:t>
                </w:r>
              </w:p>
            </w:tc>
            <w:tc>
              <w:tcPr>
                <w:tcW w:w="1098" w:type="pct"/>
                <w:vAlign w:val="center"/>
              </w:tcPr>
              <w:p w14:paraId="46B45672" w14:textId="77777777" w:rsidR="007E7472" w:rsidRDefault="00C8327E">
                <w:pPr>
                  <w:jc w:val="right"/>
                </w:pPr>
              </w:p>
            </w:tc>
          </w:tr>
          <w:tr w:rsidR="007E7472" w14:paraId="65963302" w14:textId="77777777" w:rsidTr="007E7472">
            <w:trPr>
              <w:trHeight w:val="340"/>
            </w:trPr>
            <w:tc>
              <w:tcPr>
                <w:tcW w:w="1528" w:type="pct"/>
                <w:shd w:val="clear" w:color="auto" w:fill="auto"/>
                <w:vAlign w:val="center"/>
              </w:tcPr>
              <w:p w14:paraId="389F9B9D" w14:textId="77777777" w:rsidR="007E7472" w:rsidRDefault="00EC1269">
                <w:pPr>
                  <w:jc w:val="center"/>
                </w:pPr>
                <w:r>
                  <w:rPr>
                    <w:rFonts w:hint="eastAsia"/>
                  </w:rPr>
                  <w:t>合计</w:t>
                </w:r>
              </w:p>
            </w:tc>
            <w:tc>
              <w:tcPr>
                <w:tcW w:w="1199" w:type="pct"/>
                <w:vAlign w:val="center"/>
              </w:tcPr>
              <w:p w14:paraId="5E219B31" w14:textId="77777777" w:rsidR="007E7472" w:rsidRDefault="00EC1269">
                <w:pPr>
                  <w:jc w:val="right"/>
                  <w:rPr>
                    <w:color w:val="000000"/>
                  </w:rPr>
                </w:pPr>
                <w:r>
                  <w:rPr>
                    <w:rFonts w:hint="eastAsia"/>
                    <w:color w:val="000000"/>
                  </w:rPr>
                  <w:t>15,590,444</w:t>
                </w:r>
              </w:p>
            </w:tc>
            <w:tc>
              <w:tcPr>
                <w:tcW w:w="1175" w:type="pct"/>
                <w:vAlign w:val="center"/>
              </w:tcPr>
              <w:p w14:paraId="4A4B99BE" w14:textId="77777777" w:rsidR="007E7472" w:rsidRDefault="00EC1269">
                <w:pPr>
                  <w:jc w:val="right"/>
                  <w:rPr>
                    <w:color w:val="000000"/>
                  </w:rPr>
                </w:pPr>
                <w:r>
                  <w:rPr>
                    <w:rFonts w:hint="eastAsia"/>
                    <w:color w:val="000000"/>
                  </w:rPr>
                  <w:t>16,074,371</w:t>
                </w:r>
              </w:p>
            </w:tc>
            <w:tc>
              <w:tcPr>
                <w:tcW w:w="1098" w:type="pct"/>
                <w:vAlign w:val="center"/>
              </w:tcPr>
              <w:p w14:paraId="5155D9ED" w14:textId="77777777" w:rsidR="007E7472" w:rsidRDefault="00C8327E">
                <w:pPr>
                  <w:jc w:val="right"/>
                </w:pPr>
              </w:p>
            </w:tc>
          </w:tr>
        </w:tbl>
        <w:sdt>
          <w:sdtPr>
            <w:rPr>
              <w:rFonts w:hint="eastAsia"/>
            </w:rPr>
            <w:alias w:val="其他长期资产的说明"/>
            <w:tag w:val="_GBC_c90d49970b64411f909938927f41ebe5"/>
            <w:id w:val="-368144006"/>
            <w:lock w:val="sdtLocked"/>
            <w:placeholder>
              <w:docPart w:val="GBC22222222222222222222222222222"/>
            </w:placeholder>
          </w:sdtPr>
          <w:sdtEndPr/>
          <w:sdtContent>
            <w:p w14:paraId="4E2FD2BB" w14:textId="77777777" w:rsidR="007E7472" w:rsidRDefault="00C8327E">
              <w:pPr>
                <w:spacing w:beforeLines="50" w:before="156" w:afterLines="50" w:after="156" w:line="360" w:lineRule="exact"/>
                <w:ind w:firstLineChars="200" w:firstLine="420"/>
                <w:jc w:val="both"/>
                <w:rPr>
                  <w:bCs/>
                </w:rPr>
              </w:pPr>
              <w:sdt>
                <w:sdtPr>
                  <w:rPr>
                    <w:rFonts w:hint="eastAsia"/>
                  </w:rPr>
                  <w:alias w:val="其他长期资产的说明"/>
                  <w:tag w:val="_GBC_d2d37b97b8df4ba1b7bcbf3e8c04d024"/>
                  <w:id w:val="-1120445739"/>
                  <w:lock w:val="sdtLocked"/>
                </w:sdtPr>
                <w:sdtEndPr/>
                <w:sdtContent>
                  <w:r w:rsidR="00EC1269">
                    <w:rPr>
                      <w:rFonts w:hint="eastAsia"/>
                    </w:rPr>
                    <w:t>注：探（采）矿权主要系内蒙古准格尔煤田刘三圪旦煤矿、内蒙古自治区兴和县曹四夭矿区钼矿和内蒙古自治区东胜煤田嘎鲁图煤矿等矿权价款。</w:t>
                  </w:r>
                </w:sdtContent>
              </w:sdt>
            </w:p>
          </w:sdtContent>
        </w:sdt>
      </w:sdtContent>
    </w:sdt>
    <w:p w14:paraId="1BB42534" w14:textId="77777777" w:rsidR="007E7472" w:rsidRDefault="00C8327E"/>
    <w:p w14:paraId="69040A7D" w14:textId="77777777" w:rsidR="007E7472" w:rsidRDefault="00EC1269" w:rsidP="00162493">
      <w:pPr>
        <w:pStyle w:val="3"/>
        <w:numPr>
          <w:ilvl w:val="0"/>
          <w:numId w:val="62"/>
        </w:numPr>
      </w:pPr>
      <w:r>
        <w:rPr>
          <w:rFonts w:hint="eastAsia"/>
        </w:rPr>
        <w:t>短期借款</w:t>
      </w:r>
    </w:p>
    <w:sdt>
      <w:sdtPr>
        <w:rPr>
          <w:rFonts w:ascii="宋体" w:hAnsi="宋体" w:cs="宋体" w:hint="eastAsia"/>
          <w:b w:val="0"/>
          <w:bCs w:val="0"/>
          <w:kern w:val="0"/>
          <w:szCs w:val="21"/>
        </w:rPr>
        <w:alias w:val="模块:短期借款分类"/>
        <w:tag w:val="_GBC_7bd2428d8b3140c1a80e7a88bb928c1f"/>
        <w:id w:val="1318078582"/>
        <w:lock w:val="sdtLocked"/>
        <w:placeholder>
          <w:docPart w:val="GBC22222222222222222222222222222"/>
        </w:placeholder>
      </w:sdtPr>
      <w:sdtEndPr>
        <w:rPr>
          <w:rFonts w:cstheme="minorBidi" w:hint="default"/>
          <w:color w:val="000000" w:themeColor="text1"/>
        </w:rPr>
      </w:sdtEndPr>
      <w:sdtContent>
        <w:p w14:paraId="5B134C01" w14:textId="77777777" w:rsidR="007E7472" w:rsidRDefault="00EC1269" w:rsidP="00162493">
          <w:pPr>
            <w:pStyle w:val="4"/>
            <w:numPr>
              <w:ilvl w:val="0"/>
              <w:numId w:val="81"/>
            </w:numPr>
          </w:pPr>
          <w:r>
            <w:rPr>
              <w:rFonts w:hint="eastAsia"/>
            </w:rPr>
            <w:t>短期借款分类</w:t>
          </w:r>
        </w:p>
        <w:sdt>
          <w:sdtPr>
            <w:alias w:val="是否适用：短期借款分类[双击切换]"/>
            <w:tag w:val="_GBC_1074387a68b64f6b9270b522de53ad85"/>
            <w:id w:val="-1003128255"/>
            <w:lock w:val="sdtLocked"/>
            <w:placeholder>
              <w:docPart w:val="GBC22222222222222222222222222222"/>
            </w:placeholder>
          </w:sdtPr>
          <w:sdtEndPr/>
          <w:sdtContent>
            <w:p w14:paraId="0E57A01A" w14:textId="77777777" w:rsidR="007E7472" w:rsidRDefault="00EC1269">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52A5C1D6" w14:textId="25FC9ABC" w:rsidR="007E7472" w:rsidRDefault="00EC1269">
          <w:pPr>
            <w:jc w:val="right"/>
          </w:pPr>
          <w:r>
            <w:rPr>
              <w:rFonts w:hint="eastAsia"/>
            </w:rPr>
            <w:t>单位：</w:t>
          </w:r>
          <w:sdt>
            <w:sdtPr>
              <w:rPr>
                <w:rFonts w:hint="eastAsia"/>
              </w:rPr>
              <w:alias w:val="单位：财务附注：短期借款分类"/>
              <w:tag w:val="_GBC_f3353209b65c4921b63143340e11aac9"/>
              <w:id w:val="183695444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短期借款分类"/>
              <w:tag w:val="_GBC_b3a1802faad14eae96cfab316b25f639"/>
              <w:id w:val="-10797452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847"/>
            <w:gridCol w:w="2980"/>
            <w:gridCol w:w="2996"/>
          </w:tblGrid>
          <w:tr w:rsidR="007E7472" w14:paraId="0F4B5849" w14:textId="77777777" w:rsidTr="007E7472">
            <w:trPr>
              <w:cantSplit/>
              <w:trHeight w:val="340"/>
            </w:trPr>
            <w:sdt>
              <w:sdtPr>
                <w:tag w:val="_PLD_3476605067da474199aa03dc83e3d88c"/>
                <w:id w:val="617955907"/>
                <w:lock w:val="sdtLocked"/>
              </w:sdtPr>
              <w:sdtEndPr/>
              <w:sdtContent>
                <w:tc>
                  <w:tcPr>
                    <w:tcW w:w="1613" w:type="pct"/>
                    <w:vAlign w:val="center"/>
                  </w:tcPr>
                  <w:p w14:paraId="3C0A1804" w14:textId="77777777" w:rsidR="007E7472" w:rsidRDefault="00EC1269">
                    <w:pPr>
                      <w:autoSpaceDE w:val="0"/>
                      <w:autoSpaceDN w:val="0"/>
                      <w:adjustRightInd w:val="0"/>
                      <w:snapToGrid w:val="0"/>
                      <w:spacing w:line="240" w:lineRule="atLeast"/>
                      <w:jc w:val="center"/>
                      <w:rPr>
                        <w:color w:val="000000" w:themeColor="text1"/>
                      </w:rPr>
                    </w:pPr>
                    <w:r>
                      <w:rPr>
                        <w:rFonts w:hint="eastAsia"/>
                        <w:color w:val="000000" w:themeColor="text1"/>
                      </w:rPr>
                      <w:t>项目</w:t>
                    </w:r>
                  </w:p>
                </w:tc>
              </w:sdtContent>
            </w:sdt>
            <w:sdt>
              <w:sdtPr>
                <w:tag w:val="_PLD_ccd6dc2751cc421e8a2f26f78a44b4c5"/>
                <w:id w:val="1562750791"/>
                <w:lock w:val="sdtLocked"/>
              </w:sdtPr>
              <w:sdtEndPr/>
              <w:sdtContent>
                <w:tc>
                  <w:tcPr>
                    <w:tcW w:w="1689" w:type="pct"/>
                    <w:vAlign w:val="center"/>
                  </w:tcPr>
                  <w:p w14:paraId="6A483328" w14:textId="77777777" w:rsidR="007E7472" w:rsidRDefault="00EC1269">
                    <w:pPr>
                      <w:jc w:val="center"/>
                      <w:rPr>
                        <w:color w:val="000000" w:themeColor="text1"/>
                      </w:rPr>
                    </w:pPr>
                    <w:r>
                      <w:rPr>
                        <w:rFonts w:hint="eastAsia"/>
                        <w:color w:val="000000" w:themeColor="text1"/>
                      </w:rPr>
                      <w:t>期末余额</w:t>
                    </w:r>
                  </w:p>
                </w:tc>
              </w:sdtContent>
            </w:sdt>
            <w:sdt>
              <w:sdtPr>
                <w:tag w:val="_PLD_c16f582c583d4324abc605c4bc563081"/>
                <w:id w:val="-1933501382"/>
                <w:lock w:val="sdtLocked"/>
              </w:sdtPr>
              <w:sdtEndPr/>
              <w:sdtContent>
                <w:tc>
                  <w:tcPr>
                    <w:tcW w:w="1698" w:type="pct"/>
                    <w:vAlign w:val="center"/>
                  </w:tcPr>
                  <w:p w14:paraId="6EDF8056" w14:textId="77777777" w:rsidR="007E7472" w:rsidRDefault="00EC1269">
                    <w:pPr>
                      <w:jc w:val="center"/>
                      <w:rPr>
                        <w:color w:val="000000" w:themeColor="text1"/>
                      </w:rPr>
                    </w:pPr>
                    <w:r>
                      <w:rPr>
                        <w:rFonts w:hint="eastAsia"/>
                        <w:color w:val="000000" w:themeColor="text1"/>
                      </w:rPr>
                      <w:t>期初余额</w:t>
                    </w:r>
                  </w:p>
                </w:tc>
              </w:sdtContent>
            </w:sdt>
          </w:tr>
          <w:tr w:rsidR="007E7472" w14:paraId="741EA331" w14:textId="77777777" w:rsidTr="007E7472">
            <w:trPr>
              <w:cantSplit/>
              <w:trHeight w:val="340"/>
            </w:trPr>
            <w:tc>
              <w:tcPr>
                <w:tcW w:w="1613" w:type="pct"/>
                <w:shd w:val="clear" w:color="auto" w:fill="auto"/>
                <w:vAlign w:val="center"/>
              </w:tcPr>
              <w:p w14:paraId="58869181" w14:textId="77777777" w:rsidR="007E7472" w:rsidRDefault="00EC1269">
                <w:pPr>
                  <w:autoSpaceDE w:val="0"/>
                  <w:autoSpaceDN w:val="0"/>
                  <w:adjustRightInd w:val="0"/>
                  <w:snapToGrid w:val="0"/>
                  <w:spacing w:line="240" w:lineRule="atLeast"/>
                  <w:jc w:val="both"/>
                  <w:rPr>
                    <w:color w:val="000000" w:themeColor="text1"/>
                  </w:rPr>
                </w:pPr>
                <w:r>
                  <w:rPr>
                    <w:rFonts w:hint="eastAsia"/>
                    <w:color w:val="000000" w:themeColor="text1"/>
                  </w:rPr>
                  <w:t>信用借款</w:t>
                </w:r>
              </w:p>
            </w:tc>
            <w:tc>
              <w:tcPr>
                <w:tcW w:w="1689" w:type="pct"/>
                <w:shd w:val="clear" w:color="auto" w:fill="auto"/>
                <w:vAlign w:val="center"/>
              </w:tcPr>
              <w:p w14:paraId="3D88E96A" w14:textId="77777777" w:rsidR="007E7472" w:rsidRDefault="00EC1269">
                <w:pPr>
                  <w:autoSpaceDE w:val="0"/>
                  <w:autoSpaceDN w:val="0"/>
                  <w:adjustRightInd w:val="0"/>
                  <w:snapToGrid w:val="0"/>
                  <w:spacing w:line="240" w:lineRule="atLeast"/>
                  <w:ind w:right="180"/>
                  <w:jc w:val="right"/>
                </w:pPr>
                <w:r>
                  <w:t>620,000</w:t>
                </w:r>
              </w:p>
            </w:tc>
            <w:tc>
              <w:tcPr>
                <w:tcW w:w="1698" w:type="pct"/>
                <w:shd w:val="clear" w:color="auto" w:fill="auto"/>
                <w:vAlign w:val="center"/>
              </w:tcPr>
              <w:p w14:paraId="486F6265" w14:textId="77777777" w:rsidR="007E7472" w:rsidRDefault="00EC1269">
                <w:pPr>
                  <w:autoSpaceDE w:val="0"/>
                  <w:autoSpaceDN w:val="0"/>
                  <w:adjustRightInd w:val="0"/>
                  <w:snapToGrid w:val="0"/>
                  <w:spacing w:line="240" w:lineRule="atLeast"/>
                  <w:ind w:right="180"/>
                  <w:jc w:val="right"/>
                </w:pPr>
                <w:r>
                  <w:t>260,000</w:t>
                </w:r>
              </w:p>
            </w:tc>
          </w:tr>
          <w:tr w:rsidR="007E7472" w14:paraId="5F5282FA" w14:textId="77777777" w:rsidTr="007E7472">
            <w:trPr>
              <w:cantSplit/>
              <w:trHeight w:val="340"/>
            </w:trPr>
            <w:tc>
              <w:tcPr>
                <w:tcW w:w="1613" w:type="pct"/>
                <w:shd w:val="clear" w:color="auto" w:fill="auto"/>
                <w:vAlign w:val="center"/>
              </w:tcPr>
              <w:p w14:paraId="56677B39" w14:textId="0EBF377B" w:rsidR="007E7472" w:rsidRDefault="00EC1269">
                <w:pPr>
                  <w:autoSpaceDE w:val="0"/>
                  <w:autoSpaceDN w:val="0"/>
                  <w:adjustRightInd w:val="0"/>
                  <w:snapToGrid w:val="0"/>
                  <w:spacing w:line="240" w:lineRule="atLeast"/>
                  <w:jc w:val="both"/>
                  <w:rPr>
                    <w:color w:val="000000" w:themeColor="text1"/>
                  </w:rPr>
                </w:pPr>
                <w:r>
                  <w:rPr>
                    <w:rFonts w:hint="eastAsia"/>
                    <w:color w:val="000000" w:themeColor="text1"/>
                  </w:rPr>
                  <w:t>质押借款</w:t>
                </w:r>
                <w:r w:rsidR="00913748" w:rsidRPr="00FF5133">
                  <w:rPr>
                    <w:rFonts w:hint="eastAsia"/>
                    <w:color w:val="000000" w:themeColor="text1"/>
                  </w:rPr>
                  <w:t>（注</w:t>
                </w:r>
                <w:r w:rsidR="00913748">
                  <w:rPr>
                    <w:rFonts w:hint="eastAsia"/>
                    <w:color w:val="000000" w:themeColor="text1"/>
                  </w:rPr>
                  <w:t>3</w:t>
                </w:r>
                <w:r w:rsidR="00913748" w:rsidRPr="00FF5133">
                  <w:rPr>
                    <w:color w:val="000000" w:themeColor="text1"/>
                  </w:rPr>
                  <w:t>）</w:t>
                </w:r>
              </w:p>
            </w:tc>
            <w:tc>
              <w:tcPr>
                <w:tcW w:w="1689" w:type="pct"/>
                <w:shd w:val="clear" w:color="auto" w:fill="auto"/>
                <w:vAlign w:val="center"/>
              </w:tcPr>
              <w:p w14:paraId="5AEF0D40" w14:textId="77777777" w:rsidR="007E7472" w:rsidRDefault="00EC1269">
                <w:pPr>
                  <w:autoSpaceDE w:val="0"/>
                  <w:autoSpaceDN w:val="0"/>
                  <w:adjustRightInd w:val="0"/>
                  <w:snapToGrid w:val="0"/>
                  <w:spacing w:line="240" w:lineRule="atLeast"/>
                  <w:ind w:right="180"/>
                  <w:jc w:val="right"/>
                </w:pPr>
                <w:r>
                  <w:t>484,235</w:t>
                </w:r>
              </w:p>
            </w:tc>
            <w:tc>
              <w:tcPr>
                <w:tcW w:w="1698" w:type="pct"/>
                <w:shd w:val="clear" w:color="auto" w:fill="auto"/>
                <w:vAlign w:val="center"/>
              </w:tcPr>
              <w:p w14:paraId="1FDC3E66" w14:textId="77777777" w:rsidR="007E7472" w:rsidRDefault="00EC1269">
                <w:pPr>
                  <w:autoSpaceDE w:val="0"/>
                  <w:autoSpaceDN w:val="0"/>
                  <w:adjustRightInd w:val="0"/>
                  <w:snapToGrid w:val="0"/>
                  <w:spacing w:line="240" w:lineRule="atLeast"/>
                  <w:ind w:right="180"/>
                  <w:jc w:val="right"/>
                </w:pPr>
                <w:r>
                  <w:t>420,982</w:t>
                </w:r>
              </w:p>
            </w:tc>
          </w:tr>
          <w:tr w:rsidR="007E7472" w14:paraId="21FD83D1" w14:textId="77777777" w:rsidTr="007E7472">
            <w:trPr>
              <w:cantSplit/>
              <w:trHeight w:val="340"/>
            </w:trPr>
            <w:tc>
              <w:tcPr>
                <w:tcW w:w="1613" w:type="pct"/>
                <w:shd w:val="clear" w:color="auto" w:fill="auto"/>
                <w:vAlign w:val="center"/>
              </w:tcPr>
              <w:p w14:paraId="7B77AC4D" w14:textId="296C1633" w:rsidR="007E7472" w:rsidRDefault="00EC1269">
                <w:pPr>
                  <w:autoSpaceDE w:val="0"/>
                  <w:autoSpaceDN w:val="0"/>
                  <w:adjustRightInd w:val="0"/>
                  <w:snapToGrid w:val="0"/>
                  <w:spacing w:line="240" w:lineRule="atLeast"/>
                  <w:jc w:val="both"/>
                  <w:rPr>
                    <w:color w:val="000000" w:themeColor="text1"/>
                  </w:rPr>
                </w:pPr>
                <w:r>
                  <w:rPr>
                    <w:rFonts w:hint="eastAsia"/>
                    <w:color w:val="000000" w:themeColor="text1"/>
                  </w:rPr>
                  <w:t>保证借款</w:t>
                </w:r>
                <w:r w:rsidR="00913748">
                  <w:rPr>
                    <w:rFonts w:hint="eastAsia"/>
                    <w:color w:val="000000" w:themeColor="text1"/>
                  </w:rPr>
                  <w:t>（注2）</w:t>
                </w:r>
              </w:p>
            </w:tc>
            <w:tc>
              <w:tcPr>
                <w:tcW w:w="1689" w:type="pct"/>
                <w:shd w:val="clear" w:color="auto" w:fill="auto"/>
                <w:vAlign w:val="center"/>
              </w:tcPr>
              <w:p w14:paraId="3919ED00" w14:textId="77777777" w:rsidR="007E7472" w:rsidRDefault="00EC1269">
                <w:pPr>
                  <w:autoSpaceDE w:val="0"/>
                  <w:autoSpaceDN w:val="0"/>
                  <w:adjustRightInd w:val="0"/>
                  <w:snapToGrid w:val="0"/>
                  <w:spacing w:line="240" w:lineRule="atLeast"/>
                  <w:ind w:right="180"/>
                  <w:jc w:val="right"/>
                </w:pPr>
                <w:r>
                  <w:t>322,359</w:t>
                </w:r>
              </w:p>
            </w:tc>
            <w:tc>
              <w:tcPr>
                <w:tcW w:w="1698" w:type="pct"/>
                <w:shd w:val="clear" w:color="auto" w:fill="auto"/>
                <w:vAlign w:val="center"/>
              </w:tcPr>
              <w:p w14:paraId="32A5E98D" w14:textId="77777777" w:rsidR="007E7472" w:rsidRDefault="00EC1269">
                <w:pPr>
                  <w:autoSpaceDE w:val="0"/>
                  <w:autoSpaceDN w:val="0"/>
                  <w:adjustRightInd w:val="0"/>
                  <w:snapToGrid w:val="0"/>
                  <w:spacing w:line="240" w:lineRule="atLeast"/>
                  <w:ind w:right="180"/>
                  <w:jc w:val="right"/>
                </w:pPr>
                <w:r>
                  <w:t>638,366</w:t>
                </w:r>
              </w:p>
            </w:tc>
          </w:tr>
          <w:tr w:rsidR="007E7472" w14:paraId="32ED41A6" w14:textId="77777777" w:rsidTr="007E7472">
            <w:trPr>
              <w:cantSplit/>
              <w:trHeight w:val="340"/>
            </w:trPr>
            <w:tc>
              <w:tcPr>
                <w:tcW w:w="1613" w:type="pct"/>
                <w:vAlign w:val="center"/>
              </w:tcPr>
              <w:p w14:paraId="15B6A83E" w14:textId="77777777" w:rsidR="007E7472" w:rsidRDefault="00EC1269">
                <w:pPr>
                  <w:autoSpaceDE w:val="0"/>
                  <w:autoSpaceDN w:val="0"/>
                  <w:adjustRightInd w:val="0"/>
                  <w:snapToGrid w:val="0"/>
                  <w:spacing w:line="240" w:lineRule="atLeast"/>
                  <w:jc w:val="center"/>
                  <w:rPr>
                    <w:color w:val="000000" w:themeColor="text1"/>
                  </w:rPr>
                </w:pPr>
                <w:r>
                  <w:rPr>
                    <w:rFonts w:hint="eastAsia"/>
                    <w:color w:val="000000" w:themeColor="text1"/>
                  </w:rPr>
                  <w:t>合计</w:t>
                </w:r>
              </w:p>
            </w:tc>
            <w:tc>
              <w:tcPr>
                <w:tcW w:w="1689" w:type="pct"/>
                <w:vAlign w:val="center"/>
              </w:tcPr>
              <w:p w14:paraId="1B6118A9" w14:textId="629E65EF" w:rsidR="007E7472" w:rsidRDefault="00913748">
                <w:pPr>
                  <w:autoSpaceDE w:val="0"/>
                  <w:autoSpaceDN w:val="0"/>
                  <w:adjustRightInd w:val="0"/>
                  <w:snapToGrid w:val="0"/>
                  <w:spacing w:line="240" w:lineRule="atLeast"/>
                  <w:ind w:right="180"/>
                  <w:jc w:val="right"/>
                </w:pPr>
                <w:r w:rsidRPr="006B4C66">
                  <w:t>1,426,594</w:t>
                </w:r>
              </w:p>
            </w:tc>
            <w:tc>
              <w:tcPr>
                <w:tcW w:w="1698" w:type="pct"/>
                <w:vAlign w:val="center"/>
              </w:tcPr>
              <w:p w14:paraId="76FBBF77" w14:textId="44065BAE" w:rsidR="007E7472" w:rsidRDefault="00913748">
                <w:pPr>
                  <w:autoSpaceDE w:val="0"/>
                  <w:autoSpaceDN w:val="0"/>
                  <w:adjustRightInd w:val="0"/>
                  <w:snapToGrid w:val="0"/>
                  <w:spacing w:line="240" w:lineRule="atLeast"/>
                  <w:ind w:right="180"/>
                  <w:jc w:val="right"/>
                </w:pPr>
                <w:r>
                  <w:t>1,319,348</w:t>
                </w:r>
              </w:p>
            </w:tc>
          </w:tr>
        </w:tbl>
        <w:p w14:paraId="52FC5C3D" w14:textId="77777777" w:rsidR="007E7472" w:rsidRDefault="00EC1269">
          <w:pPr>
            <w:snapToGrid w:val="0"/>
            <w:spacing w:line="240" w:lineRule="atLeast"/>
            <w:rPr>
              <w:color w:val="000000" w:themeColor="text1"/>
            </w:rPr>
          </w:pPr>
          <w:r>
            <w:rPr>
              <w:rFonts w:hint="eastAsia"/>
              <w:color w:val="000000" w:themeColor="text1"/>
            </w:rPr>
            <w:t>短期借款分类的说明：</w:t>
          </w:r>
        </w:p>
        <w:sdt>
          <w:sdtPr>
            <w:alias w:val="短期借款分类的说明"/>
            <w:tag w:val="_GBC_fc19e133dd4f4dbdb9d583e76175b714"/>
            <w:id w:val="423153987"/>
            <w:lock w:val="sdtLocked"/>
            <w:placeholder>
              <w:docPart w:val="GBC22222222222222222222222222222"/>
            </w:placeholder>
          </w:sdtPr>
          <w:sdtEndPr/>
          <w:sdtContent>
            <w:p w14:paraId="366B6F52" w14:textId="77777777" w:rsidR="007E7472" w:rsidRDefault="00EC1269">
              <w:pPr>
                <w:snapToGrid w:val="0"/>
                <w:spacing w:beforeLines="50" w:before="156" w:afterLines="50" w:after="156" w:line="360" w:lineRule="exact"/>
                <w:ind w:firstLineChars="200" w:firstLine="420"/>
                <w:rPr>
                  <w:bCs/>
                </w:rPr>
              </w:pPr>
              <w:r>
                <w:rPr>
                  <w:rFonts w:hint="eastAsia"/>
                  <w:bCs/>
                </w:rPr>
                <w:t>注</w:t>
              </w:r>
              <w:r>
                <w:rPr>
                  <w:bCs/>
                </w:rPr>
                <w:t>1：短期借款中人民币借款利率在2.95%至4.30%之间，外币美元借款利率在3.23%至6.75%之间。短期借款中美元借款余额为94,859千元，折合人民币685,432千元；</w:t>
              </w:r>
            </w:p>
            <w:p w14:paraId="529A6A7D" w14:textId="77777777" w:rsidR="007E7472" w:rsidRDefault="00EC1269">
              <w:pPr>
                <w:snapToGrid w:val="0"/>
                <w:spacing w:beforeLines="50" w:before="156" w:afterLines="50" w:after="156" w:line="360" w:lineRule="exact"/>
                <w:ind w:firstLineChars="200" w:firstLine="420"/>
                <w:rPr>
                  <w:bCs/>
                </w:rPr>
              </w:pPr>
              <w:r>
                <w:rPr>
                  <w:rFonts w:hint="eastAsia"/>
                  <w:bCs/>
                </w:rPr>
                <w:t>注</w:t>
              </w:r>
              <w:r>
                <w:rPr>
                  <w:bCs/>
                </w:rPr>
                <w:t>2：保证借款322,359千元均由本公司提供担保；</w:t>
              </w:r>
            </w:p>
            <w:p w14:paraId="08F4251D" w14:textId="77777777" w:rsidR="007E7472" w:rsidRDefault="00EC1269">
              <w:pPr>
                <w:snapToGrid w:val="0"/>
                <w:spacing w:beforeLines="50" w:before="156" w:afterLines="50" w:after="156" w:line="360" w:lineRule="exact"/>
                <w:ind w:firstLineChars="200" w:firstLine="420"/>
                <w:rPr>
                  <w:color w:val="000000" w:themeColor="text1"/>
                </w:rPr>
              </w:pPr>
              <w:r>
                <w:rPr>
                  <w:rFonts w:hint="eastAsia"/>
                  <w:bCs/>
                </w:rPr>
                <w:t>注</w:t>
              </w:r>
              <w:r>
                <w:rPr>
                  <w:bCs/>
                </w:rPr>
                <w:t>3：质押借款484,235千元的质押物包括本公司之子公司青岛中垠瑞丰国际贸易有限公司在建行质押的定期存单，账面价值为523,949千元。</w:t>
              </w:r>
            </w:p>
          </w:sdtContent>
        </w:sdt>
      </w:sdtContent>
    </w:sdt>
    <w:p w14:paraId="19408C00" w14:textId="77777777" w:rsidR="007E7472" w:rsidRDefault="00C8327E">
      <w:pPr>
        <w:snapToGrid w:val="0"/>
        <w:spacing w:line="240" w:lineRule="atLeast"/>
        <w:ind w:rightChars="-73" w:right="-153"/>
        <w:rPr>
          <w:b/>
        </w:rPr>
      </w:pPr>
    </w:p>
    <w:sdt>
      <w:sdtPr>
        <w:rPr>
          <w:rFonts w:ascii="宋体" w:hAnsi="宋体" w:cs="宋体" w:hint="eastAsia"/>
          <w:b w:val="0"/>
          <w:bCs w:val="0"/>
          <w:kern w:val="0"/>
          <w:sz w:val="20"/>
          <w:szCs w:val="21"/>
        </w:rPr>
        <w:alias w:val="模块:已到期未偿还的短期借款情况"/>
        <w:tag w:val="_GBC_ed2a6c31b7cf49cda098dbe4c44cf674"/>
        <w:id w:val="526907983"/>
        <w:lock w:val="sdtLocked"/>
        <w:placeholder>
          <w:docPart w:val="GBC22222222222222222222222222222"/>
        </w:placeholder>
      </w:sdtPr>
      <w:sdtEndPr>
        <w:rPr>
          <w:rFonts w:cstheme="minorBidi" w:hint="default"/>
          <w:color w:val="000000" w:themeColor="text1"/>
        </w:rPr>
      </w:sdtEndPr>
      <w:sdtContent>
        <w:p w14:paraId="5C4793E5" w14:textId="77777777" w:rsidR="007E7472" w:rsidRDefault="00EC1269" w:rsidP="00162493">
          <w:pPr>
            <w:pStyle w:val="4"/>
            <w:numPr>
              <w:ilvl w:val="0"/>
              <w:numId w:val="81"/>
            </w:numPr>
          </w:pPr>
          <w:r>
            <w:rPr>
              <w:rFonts w:hint="eastAsia"/>
            </w:rPr>
            <w:t>已逾期未偿还的短期借款情况</w:t>
          </w:r>
        </w:p>
        <w:sdt>
          <w:sdtPr>
            <w:alias w:val="是否适用：已逾期未偿还的短期借款情况[双击切换]"/>
            <w:tag w:val="_GBC_57f74ff95a304f19a7c06d7996fc30c7"/>
            <w:id w:val="996073728"/>
            <w:lock w:val="sdtLocked"/>
            <w:placeholder>
              <w:docPart w:val="GBC22222222222222222222222222222"/>
            </w:placeholder>
          </w:sdtPr>
          <w:sdtEndPr/>
          <w:sdtContent>
            <w:p w14:paraId="4101A55D"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sdt>
      <w:sdtPr>
        <w:rPr>
          <w:rFonts w:hint="eastAsia"/>
        </w:rPr>
        <w:alias w:val="模块:短期借款的说明"/>
        <w:tag w:val="_GBC_46c6d163213144f484acc37c597c42f6"/>
        <w:id w:val="-1331743366"/>
        <w:lock w:val="sdtLocked"/>
        <w:placeholder>
          <w:docPart w:val="GBC22222222222222222222222222222"/>
        </w:placeholder>
      </w:sdtPr>
      <w:sdtEndPr>
        <w:rPr>
          <w:sz w:val="20"/>
          <w:szCs w:val="20"/>
        </w:rPr>
      </w:sdtEndPr>
      <w:sdtContent>
        <w:p w14:paraId="7731AD35" w14:textId="77777777" w:rsidR="007E7472" w:rsidRDefault="00EC1269">
          <w:r>
            <w:rPr>
              <w:rFonts w:hint="eastAsia"/>
            </w:rPr>
            <w:t>其他说明：</w:t>
          </w:r>
        </w:p>
        <w:sdt>
          <w:sdtPr>
            <w:alias w:val="是否适用：短期借款的说明[双击切换]"/>
            <w:tag w:val="_GBC_663e3ee6df014147bb9c7daa18ccb062"/>
            <w:id w:val="352387448"/>
            <w:lock w:val="sdtLocked"/>
            <w:placeholder>
              <w:docPart w:val="GBC22222222222222222222222222222"/>
            </w:placeholder>
          </w:sdtPr>
          <w:sdtEndPr>
            <w:rPr>
              <w:sz w:val="20"/>
              <w:szCs w:val="20"/>
            </w:rPr>
          </w:sdtEndPr>
          <w:sdtContent>
            <w:p w14:paraId="47CED4F2"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p w14:paraId="64CC2A25" w14:textId="77777777" w:rsidR="007E7472" w:rsidRDefault="00C8327E"/>
    <w:bookmarkStart w:id="234" w:name="_Hlk10535388" w:displacedByCustomXml="next"/>
    <w:sdt>
      <w:sdtPr>
        <w:rPr>
          <w:rFonts w:ascii="宋体" w:hAnsi="宋体" w:cs="宋体" w:hint="eastAsia"/>
          <w:b w:val="0"/>
          <w:bCs w:val="0"/>
          <w:kern w:val="0"/>
          <w:sz w:val="20"/>
          <w:szCs w:val="21"/>
        </w:rPr>
        <w:alias w:val="模块:交易性金融负债"/>
        <w:tag w:val="_SEC_354c17e0a096493bbae36dd9bb3f3774"/>
        <w:id w:val="-1215433887"/>
        <w:lock w:val="sdtLocked"/>
        <w:placeholder>
          <w:docPart w:val="GBC22222222222222222222222222222"/>
        </w:placeholder>
      </w:sdtPr>
      <w:sdtEndPr>
        <w:rPr>
          <w:rFonts w:hint="default"/>
        </w:rPr>
      </w:sdtEndPr>
      <w:sdtContent>
        <w:p w14:paraId="0779AC4E" w14:textId="77777777" w:rsidR="007E7472" w:rsidRDefault="00EC1269" w:rsidP="00162493">
          <w:pPr>
            <w:pStyle w:val="3"/>
            <w:numPr>
              <w:ilvl w:val="0"/>
              <w:numId w:val="62"/>
            </w:numPr>
          </w:pPr>
          <w:r>
            <w:rPr>
              <w:rFonts w:hint="eastAsia"/>
            </w:rPr>
            <w:t>交易性金融负债</w:t>
          </w:r>
        </w:p>
        <w:sdt>
          <w:sdtPr>
            <w:alias w:val="是否适用：交易性金融负债[双击切换]"/>
            <w:tag w:val="_GBC_ed513d792f1f4a5f8256d125428aafdf"/>
            <w:id w:val="-746031132"/>
            <w:lock w:val="sdtLocked"/>
            <w:placeholder>
              <w:docPart w:val="GBC22222222222222222222222222222"/>
            </w:placeholder>
          </w:sdtPr>
          <w:sdtEndPr/>
          <w:sdtContent>
            <w:p w14:paraId="61D3DE29"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bookmarkEnd w:id="234"/>
    <w:p w14:paraId="17FEC315" w14:textId="77777777" w:rsidR="007E7472" w:rsidRDefault="00C8327E"/>
    <w:sdt>
      <w:sdtPr>
        <w:rPr>
          <w:rFonts w:ascii="宋体" w:hAnsi="宋体" w:cs="宋体" w:hint="eastAsia"/>
          <w:b w:val="0"/>
          <w:bCs w:val="0"/>
          <w:kern w:val="0"/>
          <w:sz w:val="20"/>
          <w:szCs w:val="21"/>
        </w:rPr>
        <w:alias w:val="模块:衍生金融负债"/>
        <w:tag w:val="_GBC_c6a901495ec44a7798e3a75ddb5e06bf"/>
        <w:id w:val="1578548191"/>
        <w:lock w:val="sdtLocked"/>
        <w:placeholder>
          <w:docPart w:val="GBC22222222222222222222222222222"/>
        </w:placeholder>
      </w:sdtPr>
      <w:sdtEndPr/>
      <w:sdtContent>
        <w:p w14:paraId="238EBD98" w14:textId="77777777" w:rsidR="007E7472" w:rsidRDefault="00EC1269" w:rsidP="00162493">
          <w:pPr>
            <w:pStyle w:val="3"/>
            <w:numPr>
              <w:ilvl w:val="0"/>
              <w:numId w:val="62"/>
            </w:numPr>
          </w:pPr>
          <w:r>
            <w:rPr>
              <w:rFonts w:hint="eastAsia"/>
            </w:rPr>
            <w:t>衍生金融负债</w:t>
          </w:r>
        </w:p>
        <w:sdt>
          <w:sdtPr>
            <w:alias w:val="是否适用：衍生金融负债[双击切换]"/>
            <w:tag w:val="_GBC_3a60c0d3d0534eba80b93475b0a6411f"/>
            <w:id w:val="895097268"/>
            <w:lock w:val="sdtLocked"/>
            <w:placeholder>
              <w:docPart w:val="GBC22222222222222222222222222222"/>
            </w:placeholder>
          </w:sdtPr>
          <w:sdtEndPr/>
          <w:sdtContent>
            <w:p w14:paraId="360C3634"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p w14:paraId="0D883565" w14:textId="77777777" w:rsidR="007E7472" w:rsidRDefault="00EC1269" w:rsidP="00162493">
      <w:pPr>
        <w:pStyle w:val="3"/>
        <w:numPr>
          <w:ilvl w:val="0"/>
          <w:numId w:val="62"/>
        </w:numPr>
      </w:pPr>
      <w:r>
        <w:rPr>
          <w:rFonts w:hint="eastAsia"/>
        </w:rPr>
        <w:t>应付票据</w:t>
      </w:r>
    </w:p>
    <w:sdt>
      <w:sdtPr>
        <w:alias w:val="是否适用：应付票据[双击切换]"/>
        <w:tag w:val="_GBC_57c67181b34944e782b23a48b1843e8f"/>
        <w:id w:val="-998967142"/>
        <w:lock w:val="sdtContentLocked"/>
        <w:placeholder>
          <w:docPart w:val="GBC22222222222222222222222222222"/>
        </w:placeholder>
      </w:sdtPr>
      <w:sdtEndPr/>
      <w:sdtContent>
        <w:p w14:paraId="3D7528A0"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模块:商业承兑汇票"/>
        <w:tag w:val="_SEC_a4b116c3ef20487f88d23464626b8bb5"/>
        <w:id w:val="-1728291126"/>
        <w:lock w:val="sdtLocked"/>
        <w:placeholder>
          <w:docPart w:val="GBC22222222222222222222222222222"/>
        </w:placeholder>
      </w:sdtPr>
      <w:sdtEndPr/>
      <w:sdtContent>
        <w:p w14:paraId="52A46029" w14:textId="06F937FF" w:rsidR="007E7472" w:rsidRDefault="00EC1269">
          <w:pPr>
            <w:jc w:val="right"/>
          </w:pPr>
          <w:r>
            <w:rPr>
              <w:rFonts w:hint="eastAsia"/>
            </w:rPr>
            <w:t>单位：</w:t>
          </w:r>
          <w:sdt>
            <w:sdtPr>
              <w:rPr>
                <w:rFonts w:hint="eastAsia"/>
              </w:rPr>
              <w:alias w:val="单位：财务附注：应付票据"/>
              <w:tag w:val="_GBC_db69c246a0d14735805df636930e34ba"/>
              <w:id w:val="-144746126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应付票据"/>
              <w:tag w:val="_GBC_f734b21fc72c43feb20eaf84762dfd7f"/>
              <w:id w:val="-177061206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4A0" w:firstRow="1" w:lastRow="0" w:firstColumn="1" w:lastColumn="0" w:noHBand="0" w:noVBand="1"/>
          </w:tblPr>
          <w:tblGrid>
            <w:gridCol w:w="2291"/>
            <w:gridCol w:w="3310"/>
            <w:gridCol w:w="3216"/>
          </w:tblGrid>
          <w:tr w:rsidR="007E7472" w14:paraId="4F12E103" w14:textId="77777777" w:rsidTr="007E7472">
            <w:trPr>
              <w:cantSplit/>
              <w:trHeight w:val="340"/>
            </w:trPr>
            <w:sdt>
              <w:sdtPr>
                <w:tag w:val="_PLD_faa4f5cfe5ae4b0a9c786ca922191e7e"/>
                <w:id w:val="-1822112171"/>
                <w:lock w:val="sdtLocked"/>
              </w:sdtPr>
              <w:sdtEndPr/>
              <w:sdtContent>
                <w:tc>
                  <w:tcPr>
                    <w:tcW w:w="1299" w:type="pct"/>
                    <w:tcBorders>
                      <w:top w:val="single" w:sz="6" w:space="0" w:color="auto"/>
                      <w:left w:val="single" w:sz="6" w:space="0" w:color="auto"/>
                      <w:bottom w:val="single" w:sz="6" w:space="0" w:color="auto"/>
                      <w:right w:val="single" w:sz="6" w:space="0" w:color="auto"/>
                    </w:tcBorders>
                    <w:vAlign w:val="center"/>
                  </w:tcPr>
                  <w:p w14:paraId="0709DD2A" w14:textId="77777777" w:rsidR="007E7472" w:rsidRDefault="00EC1269">
                    <w:pPr>
                      <w:autoSpaceDE w:val="0"/>
                      <w:autoSpaceDN w:val="0"/>
                      <w:adjustRightInd w:val="0"/>
                      <w:snapToGrid w:val="0"/>
                      <w:spacing w:line="240" w:lineRule="atLeast"/>
                      <w:jc w:val="center"/>
                    </w:pPr>
                    <w:r>
                      <w:rPr>
                        <w:rFonts w:hint="eastAsia"/>
                      </w:rPr>
                      <w:t>种类</w:t>
                    </w:r>
                  </w:p>
                </w:tc>
              </w:sdtContent>
            </w:sdt>
            <w:sdt>
              <w:sdtPr>
                <w:tag w:val="_PLD_b51f0f25994640289becfaca28eb1d5c"/>
                <w:id w:val="573715375"/>
                <w:lock w:val="sdtLocked"/>
              </w:sdtPr>
              <w:sdtEndPr/>
              <w:sdtContent>
                <w:tc>
                  <w:tcPr>
                    <w:tcW w:w="1877" w:type="pct"/>
                    <w:tcBorders>
                      <w:top w:val="single" w:sz="6" w:space="0" w:color="auto"/>
                      <w:left w:val="single" w:sz="6" w:space="0" w:color="auto"/>
                      <w:bottom w:val="single" w:sz="6" w:space="0" w:color="auto"/>
                      <w:right w:val="single" w:sz="6" w:space="0" w:color="auto"/>
                    </w:tcBorders>
                    <w:vAlign w:val="center"/>
                  </w:tcPr>
                  <w:p w14:paraId="207646B0" w14:textId="77777777" w:rsidR="007E7472" w:rsidRDefault="00EC1269">
                    <w:pPr>
                      <w:autoSpaceDE w:val="0"/>
                      <w:autoSpaceDN w:val="0"/>
                      <w:adjustRightInd w:val="0"/>
                      <w:snapToGrid w:val="0"/>
                      <w:spacing w:line="240" w:lineRule="atLeast"/>
                      <w:jc w:val="center"/>
                    </w:pPr>
                    <w:r>
                      <w:rPr>
                        <w:rFonts w:hint="eastAsia"/>
                      </w:rPr>
                      <w:t>期末余额</w:t>
                    </w:r>
                  </w:p>
                </w:tc>
              </w:sdtContent>
            </w:sdt>
            <w:sdt>
              <w:sdtPr>
                <w:tag w:val="_PLD_996d96c1a15e479289fa9e0699e2822e"/>
                <w:id w:val="36943636"/>
                <w:lock w:val="sdtLocked"/>
              </w:sdtPr>
              <w:sdtEndPr/>
              <w:sdtContent>
                <w:tc>
                  <w:tcPr>
                    <w:tcW w:w="1824" w:type="pct"/>
                    <w:tcBorders>
                      <w:top w:val="single" w:sz="6" w:space="0" w:color="auto"/>
                      <w:left w:val="single" w:sz="6" w:space="0" w:color="auto"/>
                      <w:bottom w:val="single" w:sz="6" w:space="0" w:color="auto"/>
                      <w:right w:val="single" w:sz="6" w:space="0" w:color="auto"/>
                    </w:tcBorders>
                    <w:vAlign w:val="center"/>
                  </w:tcPr>
                  <w:p w14:paraId="74828AC7" w14:textId="77777777" w:rsidR="007E7472" w:rsidRDefault="00EC1269">
                    <w:pPr>
                      <w:autoSpaceDE w:val="0"/>
                      <w:autoSpaceDN w:val="0"/>
                      <w:adjustRightInd w:val="0"/>
                      <w:snapToGrid w:val="0"/>
                      <w:spacing w:line="240" w:lineRule="atLeast"/>
                      <w:jc w:val="center"/>
                    </w:pPr>
                    <w:r>
                      <w:rPr>
                        <w:rFonts w:hint="eastAsia"/>
                      </w:rPr>
                      <w:t>期初余额</w:t>
                    </w:r>
                  </w:p>
                </w:tc>
              </w:sdtContent>
            </w:sdt>
          </w:tr>
          <w:sdt>
            <w:sdtPr>
              <w:rPr>
                <w:rFonts w:asciiTheme="minorHAnsi" w:eastAsiaTheme="minorEastAsia" w:hAnsiTheme="minorHAnsi" w:cstheme="minorBidi"/>
                <w:kern w:val="2"/>
                <w:szCs w:val="22"/>
              </w:rPr>
              <w:alias w:val="应付票据明细"/>
              <w:tag w:val="_TUP_a5ea2bde9c2145ab9443e9a86b5162f5"/>
              <w:id w:val="-860048391"/>
              <w:lock w:val="sdtLocked"/>
            </w:sdtPr>
            <w:sdtEndPr/>
            <w:sdtContent>
              <w:tr w:rsidR="007E7472" w14:paraId="4E7E97A5" w14:textId="77777777" w:rsidTr="007E7472">
                <w:trPr>
                  <w:cantSplit/>
                  <w:trHeight w:val="340"/>
                </w:trPr>
                <w:tc>
                  <w:tcPr>
                    <w:tcW w:w="1299" w:type="pct"/>
                    <w:tcBorders>
                      <w:top w:val="single" w:sz="6" w:space="0" w:color="auto"/>
                      <w:left w:val="single" w:sz="6" w:space="0" w:color="auto"/>
                      <w:bottom w:val="single" w:sz="6" w:space="0" w:color="auto"/>
                      <w:right w:val="single" w:sz="6" w:space="0" w:color="auto"/>
                    </w:tcBorders>
                    <w:shd w:val="clear" w:color="auto" w:fill="auto"/>
                    <w:vAlign w:val="center"/>
                  </w:tcPr>
                  <w:p w14:paraId="224F1F83" w14:textId="77777777" w:rsidR="007E7472" w:rsidRDefault="00EC1269">
                    <w:pPr>
                      <w:autoSpaceDE w:val="0"/>
                      <w:autoSpaceDN w:val="0"/>
                      <w:adjustRightInd w:val="0"/>
                      <w:snapToGrid w:val="0"/>
                      <w:spacing w:line="240" w:lineRule="atLeast"/>
                    </w:pPr>
                    <w:r>
                      <w:t>银行承兑汇票</w:t>
                    </w:r>
                  </w:p>
                </w:tc>
                <w:tc>
                  <w:tcPr>
                    <w:tcW w:w="1877" w:type="pct"/>
                    <w:tcBorders>
                      <w:top w:val="single" w:sz="6" w:space="0" w:color="auto"/>
                      <w:left w:val="single" w:sz="6" w:space="0" w:color="auto"/>
                      <w:bottom w:val="single" w:sz="6" w:space="0" w:color="auto"/>
                      <w:right w:val="single" w:sz="6" w:space="0" w:color="auto"/>
                    </w:tcBorders>
                    <w:shd w:val="clear" w:color="auto" w:fill="auto"/>
                    <w:vAlign w:val="center"/>
                  </w:tcPr>
                  <w:p w14:paraId="50789BE3" w14:textId="77777777" w:rsidR="007E7472" w:rsidRDefault="00EC1269">
                    <w:pPr>
                      <w:ind w:right="13"/>
                      <w:jc w:val="right"/>
                    </w:pPr>
                    <w:r>
                      <w:t>9,197,144</w:t>
                    </w:r>
                  </w:p>
                </w:tc>
                <w:tc>
                  <w:tcPr>
                    <w:tcW w:w="1824" w:type="pct"/>
                    <w:tcBorders>
                      <w:top w:val="single" w:sz="6" w:space="0" w:color="auto"/>
                      <w:left w:val="single" w:sz="6" w:space="0" w:color="auto"/>
                      <w:bottom w:val="single" w:sz="6" w:space="0" w:color="auto"/>
                      <w:right w:val="single" w:sz="6" w:space="0" w:color="auto"/>
                    </w:tcBorders>
                    <w:shd w:val="clear" w:color="auto" w:fill="auto"/>
                    <w:vAlign w:val="center"/>
                  </w:tcPr>
                  <w:p w14:paraId="3E012F41" w14:textId="77777777" w:rsidR="007E7472" w:rsidRDefault="00EC1269">
                    <w:pPr>
                      <w:jc w:val="right"/>
                    </w:pPr>
                    <w:r>
                      <w:t>7,775,065</w:t>
                    </w:r>
                  </w:p>
                </w:tc>
              </w:tr>
            </w:sdtContent>
          </w:sdt>
          <w:sdt>
            <w:sdtPr>
              <w:rPr>
                <w:rFonts w:asciiTheme="minorHAnsi" w:eastAsiaTheme="minorEastAsia" w:hAnsiTheme="minorHAnsi" w:cstheme="minorBidi"/>
                <w:kern w:val="2"/>
                <w:szCs w:val="22"/>
              </w:rPr>
              <w:alias w:val="应付票据明细"/>
              <w:tag w:val="_TUP_a5ea2bde9c2145ab9443e9a86b5162f5"/>
              <w:id w:val="-1291285168"/>
              <w:lock w:val="sdtLocked"/>
            </w:sdtPr>
            <w:sdtEndPr/>
            <w:sdtContent>
              <w:tr w:rsidR="007E7472" w14:paraId="151EF9C9" w14:textId="77777777" w:rsidTr="007E7472">
                <w:trPr>
                  <w:cantSplit/>
                  <w:trHeight w:val="340"/>
                </w:trPr>
                <w:tc>
                  <w:tcPr>
                    <w:tcW w:w="1299" w:type="pct"/>
                    <w:tcBorders>
                      <w:top w:val="single" w:sz="6" w:space="0" w:color="auto"/>
                      <w:left w:val="single" w:sz="6" w:space="0" w:color="auto"/>
                      <w:bottom w:val="single" w:sz="6" w:space="0" w:color="auto"/>
                      <w:right w:val="single" w:sz="6" w:space="0" w:color="auto"/>
                    </w:tcBorders>
                    <w:shd w:val="clear" w:color="auto" w:fill="auto"/>
                    <w:vAlign w:val="center"/>
                  </w:tcPr>
                  <w:p w14:paraId="698C7645" w14:textId="77777777" w:rsidR="007E7472" w:rsidRDefault="00EC1269">
                    <w:pPr>
                      <w:autoSpaceDE w:val="0"/>
                      <w:autoSpaceDN w:val="0"/>
                      <w:adjustRightInd w:val="0"/>
                      <w:snapToGrid w:val="0"/>
                      <w:spacing w:line="240" w:lineRule="atLeast"/>
                    </w:pPr>
                    <w:r>
                      <w:t>商业承兑汇票</w:t>
                    </w:r>
                  </w:p>
                </w:tc>
                <w:tc>
                  <w:tcPr>
                    <w:tcW w:w="1877" w:type="pct"/>
                    <w:tcBorders>
                      <w:top w:val="single" w:sz="6" w:space="0" w:color="auto"/>
                      <w:left w:val="single" w:sz="6" w:space="0" w:color="auto"/>
                      <w:bottom w:val="single" w:sz="6" w:space="0" w:color="auto"/>
                      <w:right w:val="single" w:sz="6" w:space="0" w:color="auto"/>
                    </w:tcBorders>
                    <w:shd w:val="clear" w:color="auto" w:fill="auto"/>
                    <w:vAlign w:val="center"/>
                  </w:tcPr>
                  <w:p w14:paraId="4CA23365" w14:textId="77777777" w:rsidR="007E7472" w:rsidRDefault="00EC1269">
                    <w:pPr>
                      <w:ind w:right="13"/>
                      <w:jc w:val="right"/>
                    </w:pPr>
                    <w:r>
                      <w:t>1,215,991</w:t>
                    </w:r>
                  </w:p>
                </w:tc>
                <w:tc>
                  <w:tcPr>
                    <w:tcW w:w="1824" w:type="pct"/>
                    <w:tcBorders>
                      <w:top w:val="single" w:sz="6" w:space="0" w:color="auto"/>
                      <w:left w:val="single" w:sz="6" w:space="0" w:color="auto"/>
                      <w:bottom w:val="single" w:sz="6" w:space="0" w:color="auto"/>
                      <w:right w:val="single" w:sz="6" w:space="0" w:color="auto"/>
                    </w:tcBorders>
                    <w:shd w:val="clear" w:color="auto" w:fill="auto"/>
                    <w:vAlign w:val="center"/>
                  </w:tcPr>
                  <w:p w14:paraId="059A8CFA" w14:textId="77777777" w:rsidR="007E7472" w:rsidRDefault="00EC1269">
                    <w:pPr>
                      <w:jc w:val="right"/>
                    </w:pPr>
                    <w:r>
                      <w:t>1,186,618</w:t>
                    </w:r>
                  </w:p>
                </w:tc>
              </w:tr>
            </w:sdtContent>
          </w:sdt>
          <w:sdt>
            <w:sdtPr>
              <w:rPr>
                <w:rFonts w:asciiTheme="minorHAnsi" w:eastAsiaTheme="minorEastAsia" w:hAnsiTheme="minorHAnsi" w:cstheme="minorBidi"/>
                <w:kern w:val="2"/>
                <w:szCs w:val="22"/>
              </w:rPr>
              <w:alias w:val="应付票据明细"/>
              <w:tag w:val="_TUP_a5ea2bde9c2145ab9443e9a86b5162f5"/>
              <w:id w:val="-1879079923"/>
              <w:lock w:val="sdtLocked"/>
            </w:sdtPr>
            <w:sdtEndPr/>
            <w:sdtContent>
              <w:tr w:rsidR="007E7472" w14:paraId="16C48820" w14:textId="77777777" w:rsidTr="007E7472">
                <w:trPr>
                  <w:cantSplit/>
                  <w:trHeight w:val="340"/>
                </w:trPr>
                <w:tc>
                  <w:tcPr>
                    <w:tcW w:w="1299" w:type="pct"/>
                    <w:tcBorders>
                      <w:top w:val="single" w:sz="6" w:space="0" w:color="auto"/>
                      <w:left w:val="single" w:sz="6" w:space="0" w:color="auto"/>
                      <w:bottom w:val="single" w:sz="6" w:space="0" w:color="auto"/>
                      <w:right w:val="single" w:sz="6" w:space="0" w:color="auto"/>
                    </w:tcBorders>
                    <w:shd w:val="clear" w:color="auto" w:fill="auto"/>
                    <w:vAlign w:val="center"/>
                  </w:tcPr>
                  <w:p w14:paraId="606158E1" w14:textId="77777777" w:rsidR="007E7472" w:rsidRDefault="00EC1269">
                    <w:pPr>
                      <w:autoSpaceDE w:val="0"/>
                      <w:autoSpaceDN w:val="0"/>
                      <w:adjustRightInd w:val="0"/>
                      <w:snapToGrid w:val="0"/>
                      <w:spacing w:line="240" w:lineRule="atLeast"/>
                    </w:pPr>
                    <w:r>
                      <w:rPr>
                        <w:rFonts w:hint="eastAsia"/>
                      </w:rPr>
                      <w:t>信用证</w:t>
                    </w:r>
                  </w:p>
                </w:tc>
                <w:tc>
                  <w:tcPr>
                    <w:tcW w:w="1877" w:type="pct"/>
                    <w:tcBorders>
                      <w:top w:val="single" w:sz="6" w:space="0" w:color="auto"/>
                      <w:left w:val="single" w:sz="6" w:space="0" w:color="auto"/>
                      <w:bottom w:val="single" w:sz="6" w:space="0" w:color="auto"/>
                      <w:right w:val="single" w:sz="6" w:space="0" w:color="auto"/>
                    </w:tcBorders>
                    <w:shd w:val="clear" w:color="auto" w:fill="auto"/>
                    <w:vAlign w:val="center"/>
                  </w:tcPr>
                  <w:p w14:paraId="119B86CF" w14:textId="77777777" w:rsidR="007E7472" w:rsidRDefault="00C8327E">
                    <w:pPr>
                      <w:ind w:right="13"/>
                      <w:jc w:val="right"/>
                    </w:pPr>
                  </w:p>
                </w:tc>
                <w:tc>
                  <w:tcPr>
                    <w:tcW w:w="1824" w:type="pct"/>
                    <w:tcBorders>
                      <w:top w:val="single" w:sz="6" w:space="0" w:color="auto"/>
                      <w:left w:val="single" w:sz="6" w:space="0" w:color="auto"/>
                      <w:bottom w:val="single" w:sz="6" w:space="0" w:color="auto"/>
                      <w:right w:val="single" w:sz="6" w:space="0" w:color="auto"/>
                    </w:tcBorders>
                    <w:shd w:val="clear" w:color="auto" w:fill="auto"/>
                    <w:vAlign w:val="center"/>
                  </w:tcPr>
                  <w:p w14:paraId="168F693A" w14:textId="77777777" w:rsidR="007E7472" w:rsidRDefault="00EC1269">
                    <w:pPr>
                      <w:jc w:val="right"/>
                    </w:pPr>
                    <w:r>
                      <w:t>1,820,958</w:t>
                    </w:r>
                  </w:p>
                </w:tc>
              </w:tr>
            </w:sdtContent>
          </w:sdt>
          <w:tr w:rsidR="007E7472" w14:paraId="63AFF20F" w14:textId="77777777" w:rsidTr="007E7472">
            <w:trPr>
              <w:cantSplit/>
              <w:trHeight w:val="340"/>
            </w:trPr>
            <w:sdt>
              <w:sdtPr>
                <w:tag w:val="_PLD_91c7e1de96284cd2994cfcf7c0e798dc"/>
                <w:id w:val="1150941098"/>
                <w:lock w:val="sdtLocked"/>
              </w:sdtPr>
              <w:sdtEndPr/>
              <w:sdtContent>
                <w:tc>
                  <w:tcPr>
                    <w:tcW w:w="1299" w:type="pct"/>
                    <w:tcBorders>
                      <w:top w:val="single" w:sz="6" w:space="0" w:color="auto"/>
                      <w:left w:val="single" w:sz="6" w:space="0" w:color="auto"/>
                      <w:bottom w:val="single" w:sz="6" w:space="0" w:color="auto"/>
                      <w:right w:val="single" w:sz="6" w:space="0" w:color="auto"/>
                    </w:tcBorders>
                    <w:vAlign w:val="center"/>
                  </w:tcPr>
                  <w:p w14:paraId="0CA6F3FE" w14:textId="77777777" w:rsidR="007E7472" w:rsidRDefault="00EC1269">
                    <w:pPr>
                      <w:autoSpaceDE w:val="0"/>
                      <w:autoSpaceDN w:val="0"/>
                      <w:adjustRightInd w:val="0"/>
                      <w:snapToGrid w:val="0"/>
                      <w:spacing w:line="240" w:lineRule="atLeast"/>
                      <w:jc w:val="center"/>
                    </w:pPr>
                    <w:r>
                      <w:rPr>
                        <w:rFonts w:hint="eastAsia"/>
                      </w:rPr>
                      <w:t>合计</w:t>
                    </w:r>
                  </w:p>
                </w:tc>
              </w:sdtContent>
            </w:sdt>
            <w:tc>
              <w:tcPr>
                <w:tcW w:w="1877" w:type="pct"/>
                <w:tcBorders>
                  <w:top w:val="single" w:sz="6" w:space="0" w:color="auto"/>
                  <w:left w:val="single" w:sz="6" w:space="0" w:color="auto"/>
                  <w:bottom w:val="single" w:sz="6" w:space="0" w:color="auto"/>
                  <w:right w:val="single" w:sz="6" w:space="0" w:color="auto"/>
                </w:tcBorders>
                <w:vAlign w:val="center"/>
              </w:tcPr>
              <w:p w14:paraId="7BEB0BDF" w14:textId="77777777" w:rsidR="007E7472" w:rsidRDefault="00EC1269">
                <w:pPr>
                  <w:jc w:val="right"/>
                </w:pPr>
                <w:r>
                  <w:rPr>
                    <w:rFonts w:hint="eastAsia"/>
                  </w:rPr>
                  <w:t>10,413,135</w:t>
                </w:r>
              </w:p>
            </w:tc>
            <w:tc>
              <w:tcPr>
                <w:tcW w:w="1824" w:type="pct"/>
                <w:tcBorders>
                  <w:top w:val="single" w:sz="6" w:space="0" w:color="auto"/>
                  <w:left w:val="single" w:sz="6" w:space="0" w:color="auto"/>
                  <w:bottom w:val="single" w:sz="6" w:space="0" w:color="auto"/>
                  <w:right w:val="single" w:sz="6" w:space="0" w:color="auto"/>
                </w:tcBorders>
                <w:vAlign w:val="center"/>
              </w:tcPr>
              <w:p w14:paraId="0333577C" w14:textId="732F8962" w:rsidR="007E7472" w:rsidRDefault="00EC1269">
                <w:pPr>
                  <w:jc w:val="right"/>
                </w:pPr>
                <w:r w:rsidRPr="003361A6">
                  <w:t>10,</w:t>
                </w:r>
                <w:r>
                  <w:t>782</w:t>
                </w:r>
                <w:r w:rsidRPr="003361A6">
                  <w:t>,</w:t>
                </w:r>
                <w:r>
                  <w:t>641</w:t>
                </w:r>
              </w:p>
            </w:tc>
          </w:tr>
        </w:tbl>
        <w:p w14:paraId="663E74E0" w14:textId="77777777" w:rsidR="007E7472" w:rsidRDefault="00C8327E">
          <w:pPr>
            <w:snapToGrid w:val="0"/>
            <w:spacing w:line="240" w:lineRule="atLeast"/>
          </w:pPr>
        </w:p>
      </w:sdtContent>
    </w:sdt>
    <w:p w14:paraId="05169D01" w14:textId="77777777" w:rsidR="007E7472" w:rsidRDefault="00EC1269" w:rsidP="00162493">
      <w:pPr>
        <w:pStyle w:val="3"/>
        <w:numPr>
          <w:ilvl w:val="0"/>
          <w:numId w:val="62"/>
        </w:numPr>
      </w:pPr>
      <w:r>
        <w:rPr>
          <w:rFonts w:hint="eastAsia"/>
        </w:rPr>
        <w:t>应付账款</w:t>
      </w:r>
    </w:p>
    <w:sdt>
      <w:sdtPr>
        <w:rPr>
          <w:rFonts w:ascii="宋体" w:hAnsi="宋体" w:cs="宋体" w:hint="eastAsia"/>
          <w:b w:val="0"/>
          <w:bCs w:val="0"/>
          <w:kern w:val="0"/>
          <w:sz w:val="20"/>
          <w:szCs w:val="21"/>
        </w:rPr>
        <w:alias w:val="模块:应付账款情况"/>
        <w:tag w:val="_GBC_0f1b98b90c3845e1a1ad65786460f84b"/>
        <w:id w:val="-1875300883"/>
        <w:lock w:val="sdtLocked"/>
        <w:placeholder>
          <w:docPart w:val="GBC22222222222222222222222222222"/>
        </w:placeholder>
      </w:sdtPr>
      <w:sdtEndPr>
        <w:rPr>
          <w:rFonts w:hint="default"/>
        </w:rPr>
      </w:sdtEndPr>
      <w:sdtContent>
        <w:p w14:paraId="4F91EADB" w14:textId="77777777" w:rsidR="007E7472" w:rsidRDefault="00EC1269" w:rsidP="00162493">
          <w:pPr>
            <w:pStyle w:val="4"/>
            <w:numPr>
              <w:ilvl w:val="0"/>
              <w:numId w:val="82"/>
            </w:numPr>
          </w:pPr>
          <w:r>
            <w:rPr>
              <w:rFonts w:hint="eastAsia"/>
            </w:rPr>
            <w:t>应付账款列示</w:t>
          </w:r>
        </w:p>
        <w:sdt>
          <w:sdtPr>
            <w:alias w:val="是否适用：应付账款列示[双击切换]"/>
            <w:tag w:val="_GBC_8531771c226a4fb0b98e3cdaf7271c71"/>
            <w:id w:val="-1172170097"/>
            <w:lock w:val="sdtLocked"/>
          </w:sdtPr>
          <w:sdtEndPr/>
          <w:sdtContent>
            <w:p w14:paraId="2BEBB5F1" w14:textId="77777777" w:rsidR="007E7472" w:rsidRDefault="00EC1269">
              <w:r>
                <w:fldChar w:fldCharType="begin"/>
              </w:r>
              <w:r>
                <w:instrText xml:space="preserve"> MACROBUTTON SnrToggleCheckbox √适用 </w:instrText>
              </w:r>
              <w:r>
                <w:fldChar w:fldCharType="end"/>
              </w:r>
              <w:r>
                <w:fldChar w:fldCharType="begin"/>
              </w:r>
              <w:r>
                <w:instrText xml:space="preserve">MACROBUTTON  SnrToggleCheckbox □不适用 </w:instrText>
              </w:r>
              <w:r>
                <w:fldChar w:fldCharType="end"/>
              </w:r>
            </w:p>
          </w:sdtContent>
        </w:sdt>
        <w:p w14:paraId="0CAFA4FD" w14:textId="44BD3DDC" w:rsidR="007E7472" w:rsidRDefault="00EC1269">
          <w:pPr>
            <w:jc w:val="right"/>
          </w:pPr>
          <w:r>
            <w:rPr>
              <w:rFonts w:hint="eastAsia"/>
            </w:rPr>
            <w:t>单位：</w:t>
          </w:r>
          <w:sdt>
            <w:sdtPr>
              <w:rPr>
                <w:rFonts w:hint="eastAsia"/>
              </w:rPr>
              <w:alias w:val="单位：财务附注：应付账款情况"/>
              <w:tag w:val="_GBC_53c05e3ea1bb4f08bbe5cf204a0947b9"/>
              <w:id w:val="904734163"/>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 xml:space="preserve">  币种：</w:t>
          </w:r>
          <w:sdt>
            <w:sdtPr>
              <w:rPr>
                <w:rFonts w:hint="eastAsia"/>
              </w:rPr>
              <w:alias w:val="币种：财务附注：应付账款情况"/>
              <w:tag w:val="_GBC_e10cb0a664ca4400817c8a2bcf9247fc"/>
              <w:id w:val="177280868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1"/>
            <w:gridCol w:w="2795"/>
            <w:gridCol w:w="3257"/>
          </w:tblGrid>
          <w:tr w:rsidR="007E7472" w14:paraId="18C02FD9" w14:textId="77777777" w:rsidTr="007E7472">
            <w:trPr>
              <w:trHeight w:val="340"/>
            </w:trPr>
            <w:sdt>
              <w:sdtPr>
                <w:tag w:val="_PLD_7dae27caeee34d74add24cd985083c75"/>
                <w:id w:val="1888683644"/>
                <w:lock w:val="sdtLocked"/>
              </w:sdtPr>
              <w:sdtEndPr/>
              <w:sdtContent>
                <w:tc>
                  <w:tcPr>
                    <w:tcW w:w="1570" w:type="pct"/>
                    <w:shd w:val="clear" w:color="auto" w:fill="auto"/>
                    <w:vAlign w:val="center"/>
                  </w:tcPr>
                  <w:p w14:paraId="4959277F" w14:textId="77777777" w:rsidR="007E7472" w:rsidRDefault="00EC1269">
                    <w:pPr>
                      <w:jc w:val="center"/>
                    </w:pPr>
                    <w:r>
                      <w:rPr>
                        <w:rFonts w:hint="eastAsia"/>
                      </w:rPr>
                      <w:t>项目</w:t>
                    </w:r>
                  </w:p>
                </w:tc>
              </w:sdtContent>
            </w:sdt>
            <w:sdt>
              <w:sdtPr>
                <w:tag w:val="_PLD_136ba417561e421ea02da8004fdf8b33"/>
                <w:id w:val="287089896"/>
                <w:lock w:val="sdtLocked"/>
              </w:sdtPr>
              <w:sdtEndPr/>
              <w:sdtContent>
                <w:tc>
                  <w:tcPr>
                    <w:tcW w:w="1584" w:type="pct"/>
                    <w:shd w:val="clear" w:color="auto" w:fill="auto"/>
                    <w:vAlign w:val="center"/>
                  </w:tcPr>
                  <w:p w14:paraId="7C4D05B4" w14:textId="77777777" w:rsidR="007E7472" w:rsidRDefault="00EC1269">
                    <w:pPr>
                      <w:jc w:val="center"/>
                    </w:pPr>
                    <w:r>
                      <w:rPr>
                        <w:rFonts w:hint="eastAsia"/>
                      </w:rPr>
                      <w:t>期末余额</w:t>
                    </w:r>
                  </w:p>
                </w:tc>
              </w:sdtContent>
            </w:sdt>
            <w:sdt>
              <w:sdtPr>
                <w:tag w:val="_PLD_bc4b311c1ee54bd48b7b2ba2ab79c364"/>
                <w:id w:val="-929888701"/>
                <w:lock w:val="sdtLocked"/>
              </w:sdtPr>
              <w:sdtEndPr/>
              <w:sdtContent>
                <w:tc>
                  <w:tcPr>
                    <w:tcW w:w="1846" w:type="pct"/>
                    <w:shd w:val="clear" w:color="auto" w:fill="auto"/>
                    <w:vAlign w:val="center"/>
                  </w:tcPr>
                  <w:p w14:paraId="31E0D10A" w14:textId="77777777" w:rsidR="007E7472" w:rsidRDefault="00EC1269">
                    <w:pPr>
                      <w:jc w:val="center"/>
                    </w:pPr>
                    <w:r>
                      <w:rPr>
                        <w:rFonts w:hint="eastAsia"/>
                      </w:rPr>
                      <w:t>期初余额</w:t>
                    </w:r>
                  </w:p>
                </w:tc>
              </w:sdtContent>
            </w:sdt>
          </w:tr>
          <w:tr w:rsidR="007E7472" w14:paraId="438A750C" w14:textId="77777777" w:rsidTr="007E7472">
            <w:trPr>
              <w:trHeight w:val="340"/>
            </w:trPr>
            <w:tc>
              <w:tcPr>
                <w:tcW w:w="1570" w:type="pct"/>
                <w:shd w:val="clear" w:color="auto" w:fill="auto"/>
                <w:vAlign w:val="center"/>
              </w:tcPr>
              <w:p w14:paraId="1FF848B0" w14:textId="77777777" w:rsidR="007E7472" w:rsidRDefault="00EC1269">
                <w:pPr>
                  <w:rPr>
                    <w:color w:val="000000" w:themeColor="text1"/>
                  </w:rPr>
                </w:pPr>
                <w:r>
                  <w:rPr>
                    <w:rFonts w:hint="eastAsia"/>
                    <w:color w:val="000000" w:themeColor="text1"/>
                  </w:rPr>
                  <w:t>合计</w:t>
                </w:r>
              </w:p>
            </w:tc>
            <w:tc>
              <w:tcPr>
                <w:tcW w:w="1584" w:type="pct"/>
                <w:shd w:val="clear" w:color="auto" w:fill="auto"/>
                <w:vAlign w:val="center"/>
              </w:tcPr>
              <w:p w14:paraId="13094BE7" w14:textId="77777777" w:rsidR="007E7472" w:rsidRDefault="00EC1269">
                <w:pPr>
                  <w:jc w:val="right"/>
                </w:pPr>
                <w:r>
                  <w:rPr>
                    <w:rFonts w:hint="eastAsia"/>
                  </w:rPr>
                  <w:t>13,360,835</w:t>
                </w:r>
              </w:p>
            </w:tc>
            <w:tc>
              <w:tcPr>
                <w:tcW w:w="1846" w:type="pct"/>
                <w:shd w:val="clear" w:color="auto" w:fill="auto"/>
                <w:vAlign w:val="center"/>
              </w:tcPr>
              <w:p w14:paraId="66B186BA" w14:textId="77777777" w:rsidR="007E7472" w:rsidRDefault="00EC1269">
                <w:pPr>
                  <w:jc w:val="right"/>
                </w:pPr>
                <w:r>
                  <w:rPr>
                    <w:rFonts w:hint="eastAsia"/>
                  </w:rPr>
                  <w:t>18,991,182</w:t>
                </w:r>
              </w:p>
            </w:tc>
          </w:tr>
          <w:tr w:rsidR="007E7472" w14:paraId="23E71794" w14:textId="77777777" w:rsidTr="007E7472">
            <w:trPr>
              <w:trHeight w:val="340"/>
            </w:trPr>
            <w:tc>
              <w:tcPr>
                <w:tcW w:w="1570" w:type="pct"/>
                <w:shd w:val="clear" w:color="auto" w:fill="auto"/>
                <w:vAlign w:val="center"/>
              </w:tcPr>
              <w:p w14:paraId="31B92148" w14:textId="77777777" w:rsidR="007E7472" w:rsidRDefault="00EC1269">
                <w:r>
                  <w:rPr>
                    <w:rFonts w:hint="eastAsia"/>
                  </w:rPr>
                  <w:t>其中：1年以上</w:t>
                </w:r>
              </w:p>
            </w:tc>
            <w:tc>
              <w:tcPr>
                <w:tcW w:w="1584" w:type="pct"/>
                <w:shd w:val="clear" w:color="auto" w:fill="auto"/>
                <w:vAlign w:val="center"/>
              </w:tcPr>
              <w:p w14:paraId="263E8B6B" w14:textId="77777777" w:rsidR="007E7472" w:rsidRDefault="00EC1269">
                <w:pPr>
                  <w:jc w:val="right"/>
                </w:pPr>
                <w:r>
                  <w:rPr>
                    <w:rFonts w:hint="eastAsia"/>
                  </w:rPr>
                  <w:t>3,679,694</w:t>
                </w:r>
              </w:p>
            </w:tc>
            <w:tc>
              <w:tcPr>
                <w:tcW w:w="1846" w:type="pct"/>
                <w:shd w:val="clear" w:color="auto" w:fill="auto"/>
                <w:vAlign w:val="center"/>
              </w:tcPr>
              <w:p w14:paraId="48774D8E" w14:textId="77777777" w:rsidR="007E7472" w:rsidRDefault="00EC1269">
                <w:pPr>
                  <w:jc w:val="right"/>
                </w:pPr>
                <w:r>
                  <w:rPr>
                    <w:rFonts w:hint="eastAsia"/>
                  </w:rPr>
                  <w:t>3,248,314</w:t>
                </w:r>
              </w:p>
            </w:tc>
          </w:tr>
        </w:tbl>
        <w:p w14:paraId="73805E2E" w14:textId="77777777" w:rsidR="007E7472" w:rsidRDefault="00C8327E"/>
      </w:sdtContent>
    </w:sdt>
    <w:sdt>
      <w:sdtPr>
        <w:rPr>
          <w:rFonts w:ascii="宋体" w:hAnsi="宋体" w:cstheme="minorBidi" w:hint="eastAsia"/>
          <w:b w:val="0"/>
          <w:bCs w:val="0"/>
          <w:kern w:val="0"/>
          <w:sz w:val="20"/>
          <w:szCs w:val="21"/>
        </w:rPr>
        <w:alias w:val="模块:重要的账龄超过1年的应付账款"/>
        <w:tag w:val="_GBC_5fffbd1416eb408d959645d37f190cf5"/>
        <w:id w:val="-2120743691"/>
        <w:lock w:val="sdtLocked"/>
        <w:placeholder>
          <w:docPart w:val="GBC22222222222222222222222222222"/>
        </w:placeholder>
      </w:sdtPr>
      <w:sdtEndPr/>
      <w:sdtContent>
        <w:p w14:paraId="1EAA0D9D" w14:textId="77777777" w:rsidR="007E7472" w:rsidRDefault="00EC1269" w:rsidP="00162493">
          <w:pPr>
            <w:pStyle w:val="4"/>
            <w:numPr>
              <w:ilvl w:val="0"/>
              <w:numId w:val="82"/>
            </w:numPr>
          </w:pPr>
          <w:r>
            <w:rPr>
              <w:rFonts w:hint="eastAsia"/>
            </w:rPr>
            <w:t>账龄超过</w:t>
          </w:r>
          <w:r>
            <w:t>1</w:t>
          </w:r>
          <w:r>
            <w:t>年的重要应付账款</w:t>
          </w:r>
        </w:p>
        <w:sdt>
          <w:sdtPr>
            <w:alias w:val="是否适用：账龄超过1年的重要应付账款[双击切换]"/>
            <w:tag w:val="_GBC_02c6e7ed8ae149e8a09f5b80217deb89"/>
            <w:id w:val="970946197"/>
            <w:lock w:val="sdtLocked"/>
            <w:placeholder>
              <w:docPart w:val="GBC22222222222222222222222222222"/>
            </w:placeholder>
          </w:sdtPr>
          <w:sdtEndPr/>
          <w:sdtContent>
            <w:p w14:paraId="7CD90018"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sdt>
      <w:sdtPr>
        <w:rPr>
          <w:rFonts w:hint="eastAsia"/>
          <w:b/>
          <w:bCs/>
        </w:rPr>
        <w:alias w:val="模块:应付账款的其他说明"/>
        <w:tag w:val="_GBC_aecd44efc3ea456b9149dd662d0a5085"/>
        <w:id w:val="1464158660"/>
        <w:lock w:val="sdtLocked"/>
        <w:placeholder>
          <w:docPart w:val="GBC22222222222222222222222222222"/>
        </w:placeholder>
      </w:sdtPr>
      <w:sdtEndPr>
        <w:rPr>
          <w:rFonts w:cstheme="minorBidi" w:hint="default"/>
          <w:b w:val="0"/>
          <w:bCs w:val="0"/>
          <w:kern w:val="2"/>
        </w:rPr>
      </w:sdtEndPr>
      <w:sdtContent>
        <w:p w14:paraId="2BE5A489" w14:textId="77777777" w:rsidR="007E7472" w:rsidRDefault="00EC1269">
          <w:r>
            <w:rPr>
              <w:rFonts w:hint="eastAsia"/>
            </w:rPr>
            <w:t>其他说明：</w:t>
          </w:r>
        </w:p>
        <w:sdt>
          <w:sdtPr>
            <w:alias w:val="是否适用：应付账款的其他说明[双击切换]"/>
            <w:tag w:val="_GBC_9a797e83ea1747e9aca4221e6cdfe89f"/>
            <w:id w:val="1738510200"/>
            <w:lock w:val="sdtLocked"/>
            <w:placeholder>
              <w:docPart w:val="GBC22222222222222222222222222222"/>
            </w:placeholder>
          </w:sdtPr>
          <w:sdtEndPr/>
          <w:sdtContent>
            <w:p w14:paraId="23E5F383"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p w14:paraId="47BBB6F7" w14:textId="77777777" w:rsidR="007E7472" w:rsidRDefault="00C8327E">
      <w:pPr>
        <w:snapToGrid w:val="0"/>
        <w:spacing w:line="240" w:lineRule="atLeast"/>
      </w:pPr>
    </w:p>
    <w:p w14:paraId="0766FB6C" w14:textId="77777777" w:rsidR="007E7472" w:rsidRDefault="00EC1269" w:rsidP="00162493">
      <w:pPr>
        <w:pStyle w:val="3"/>
        <w:numPr>
          <w:ilvl w:val="0"/>
          <w:numId w:val="62"/>
        </w:numPr>
      </w:pPr>
      <w:r>
        <w:rPr>
          <w:rFonts w:hint="eastAsia"/>
        </w:rPr>
        <w:t>预收款项</w:t>
      </w:r>
    </w:p>
    <w:sdt>
      <w:sdtPr>
        <w:rPr>
          <w:rFonts w:ascii="宋体" w:hAnsi="宋体" w:cs="宋体" w:hint="eastAsia"/>
          <w:b w:val="0"/>
          <w:bCs w:val="0"/>
          <w:kern w:val="0"/>
          <w:sz w:val="20"/>
          <w:szCs w:val="21"/>
        </w:rPr>
        <w:alias w:val="模块:预收账款情况"/>
        <w:tag w:val="_GBC_d7dac18f0444439d83469555857c3195"/>
        <w:id w:val="1345745061"/>
        <w:lock w:val="sdtLocked"/>
        <w:placeholder>
          <w:docPart w:val="GBC22222222222222222222222222222"/>
        </w:placeholder>
      </w:sdtPr>
      <w:sdtEndPr>
        <w:rPr>
          <w:rFonts w:hint="default"/>
        </w:rPr>
      </w:sdtEndPr>
      <w:sdtContent>
        <w:p w14:paraId="14C821F9" w14:textId="77777777" w:rsidR="007E7472" w:rsidRDefault="00EC1269" w:rsidP="00162493">
          <w:pPr>
            <w:pStyle w:val="4"/>
            <w:numPr>
              <w:ilvl w:val="0"/>
              <w:numId w:val="83"/>
            </w:numPr>
          </w:pPr>
          <w:r>
            <w:rPr>
              <w:rFonts w:hint="eastAsia"/>
            </w:rPr>
            <w:t>预收账款项列示</w:t>
          </w:r>
        </w:p>
        <w:sdt>
          <w:sdtPr>
            <w:alias w:val="是否适用：预收账款项列示[双击切换]"/>
            <w:tag w:val="_GBC_cf9ab7f5f12c4f788a9bbb6e3ef9c9de"/>
            <w:id w:val="1247535768"/>
            <w:lock w:val="sdtLocked"/>
            <w:placeholder>
              <w:docPart w:val="GBC22222222222222222222222222222"/>
            </w:placeholder>
          </w:sdtPr>
          <w:sdtEndPr/>
          <w:sdtContent>
            <w:p w14:paraId="5CCC08B9"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sdt>
      <w:sdtPr>
        <w:rPr>
          <w:rFonts w:asciiTheme="minorEastAsia" w:eastAsiaTheme="minorEastAsia" w:hAnsiTheme="minorEastAsia" w:cstheme="minorBidi" w:hint="eastAsia"/>
          <w:b w:val="0"/>
          <w:bCs w:val="0"/>
          <w:kern w:val="0"/>
          <w:szCs w:val="21"/>
        </w:rPr>
        <w:alias w:val="模块:账龄超过1年的重要预收款项"/>
        <w:tag w:val="_GBC_59300802f7ac43e3ab1ce4a570fb0267"/>
        <w:id w:val="-1751424243"/>
        <w:lock w:val="sdtLocked"/>
        <w:placeholder>
          <w:docPart w:val="GBC22222222222222222222222222222"/>
        </w:placeholder>
      </w:sdtPr>
      <w:sdtEndPr>
        <w:rPr>
          <w:rFonts w:ascii="宋体" w:eastAsia="宋体" w:hAnsi="宋体"/>
        </w:rPr>
      </w:sdtEndPr>
      <w:sdtContent>
        <w:p w14:paraId="1A77950C" w14:textId="77777777" w:rsidR="007E7472" w:rsidRPr="00EF3751" w:rsidRDefault="00EC1269" w:rsidP="00162493">
          <w:pPr>
            <w:pStyle w:val="4"/>
            <w:numPr>
              <w:ilvl w:val="0"/>
              <w:numId w:val="83"/>
            </w:numPr>
            <w:rPr>
              <w:rFonts w:asciiTheme="minorEastAsia" w:eastAsiaTheme="minorEastAsia" w:hAnsiTheme="minorEastAsia"/>
            </w:rPr>
          </w:pPr>
          <w:r w:rsidRPr="00EF3751">
            <w:rPr>
              <w:rFonts w:asciiTheme="minorEastAsia" w:eastAsiaTheme="minorEastAsia" w:hAnsiTheme="minorEastAsia" w:hint="eastAsia"/>
            </w:rPr>
            <w:t>账龄超过</w:t>
          </w:r>
          <w:r w:rsidRPr="00EF3751">
            <w:rPr>
              <w:rFonts w:asciiTheme="minorEastAsia" w:eastAsiaTheme="minorEastAsia" w:hAnsiTheme="minorEastAsia"/>
            </w:rPr>
            <w:t>1年的重要预收款项</w:t>
          </w:r>
        </w:p>
        <w:sdt>
          <w:sdtPr>
            <w:alias w:val="是否适用：账龄超过1年的重要预收款项[双击切换]"/>
            <w:tag w:val="_GBC_ae7ea5bab4b04b2cb170af5020f86302"/>
            <w:id w:val="-979847146"/>
            <w:lock w:val="sdtLocked"/>
            <w:placeholder>
              <w:docPart w:val="GBC22222222222222222222222222222"/>
            </w:placeholder>
          </w:sdtPr>
          <w:sdtEndPr/>
          <w:sdtContent>
            <w:p w14:paraId="789DC027" w14:textId="77777777" w:rsidR="007E7472" w:rsidRDefault="00EC1269">
              <w:pPr>
                <w:rPr>
                  <w:rFonts w:cstheme="minorBidi"/>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b/>
          <w:bCs/>
        </w:rPr>
        <w:alias w:val="模块:账龄超过1年的大额预收款项情况的说明"/>
        <w:tag w:val="_GBC_3b693e8055374a80821823cdad74f225"/>
        <w:id w:val="-639952625"/>
        <w:lock w:val="sdtLocked"/>
        <w:placeholder>
          <w:docPart w:val="GBC22222222222222222222222222222"/>
        </w:placeholder>
      </w:sdtPr>
      <w:sdtEndPr>
        <w:rPr>
          <w:rFonts w:cstheme="minorBidi" w:hint="default"/>
          <w:b w:val="0"/>
          <w:bCs w:val="0"/>
          <w:color w:val="000000" w:themeColor="text1"/>
          <w:kern w:val="2"/>
          <w:sz w:val="20"/>
          <w:szCs w:val="20"/>
        </w:rPr>
      </w:sdtEndPr>
      <w:sdtContent>
        <w:p w14:paraId="56E18D5B" w14:textId="77777777" w:rsidR="007E7472" w:rsidRDefault="00EC1269">
          <w:r>
            <w:rPr>
              <w:rFonts w:hint="eastAsia"/>
            </w:rPr>
            <w:t>其他说明：</w:t>
          </w:r>
        </w:p>
        <w:sdt>
          <w:sdtPr>
            <w:alias w:val="是否适用：预收账款的其他说明[双击切换]"/>
            <w:tag w:val="_GBC_f473b6b28a104ffc812e6da4cf5177e5"/>
            <w:id w:val="961154984"/>
            <w:lock w:val="sdtLocked"/>
            <w:placeholder>
              <w:docPart w:val="GBC22222222222222222222222222222"/>
            </w:placeholder>
          </w:sdtPr>
          <w:sdtEndPr>
            <w:rPr>
              <w:sz w:val="20"/>
              <w:szCs w:val="20"/>
            </w:rPr>
          </w:sdtEndPr>
          <w:sdtContent>
            <w:p w14:paraId="25F8B932"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bookmarkStart w:id="235" w:name="_Hlk10535609" w:displacedByCustomXml="next"/>
    <w:sdt>
      <w:sdtPr>
        <w:rPr>
          <w:rFonts w:ascii="宋体" w:hAnsi="宋体" w:cs="宋体" w:hint="eastAsia"/>
          <w:b w:val="0"/>
          <w:bCs w:val="0"/>
          <w:kern w:val="0"/>
          <w:sz w:val="20"/>
          <w:szCs w:val="21"/>
        </w:rPr>
        <w:alias w:val="模块:合同负债"/>
        <w:tag w:val="_SEC_c98a59ac0d184ea5b3b590c23bf7ff8d"/>
        <w:id w:val="-135492053"/>
        <w:lock w:val="sdtLocked"/>
        <w:placeholder>
          <w:docPart w:val="GBC22222222222222222222222222222"/>
        </w:placeholder>
      </w:sdtPr>
      <w:sdtEndPr>
        <w:rPr>
          <w:rFonts w:hint="default"/>
          <w:sz w:val="21"/>
        </w:rPr>
      </w:sdtEndPr>
      <w:sdtContent>
        <w:p w14:paraId="51E58489" w14:textId="77777777" w:rsidR="007E7472" w:rsidRDefault="00EC1269" w:rsidP="00162493">
          <w:pPr>
            <w:pStyle w:val="3"/>
            <w:numPr>
              <w:ilvl w:val="0"/>
              <w:numId w:val="62"/>
            </w:numPr>
          </w:pPr>
          <w:r>
            <w:rPr>
              <w:rFonts w:hint="eastAsia"/>
            </w:rPr>
            <w:t>合同负债</w:t>
          </w:r>
        </w:p>
        <w:p w14:paraId="6D1A5FA6" w14:textId="77777777" w:rsidR="007E7472" w:rsidRDefault="00EC1269" w:rsidP="00162493">
          <w:pPr>
            <w:pStyle w:val="4"/>
            <w:numPr>
              <w:ilvl w:val="0"/>
              <w:numId w:val="84"/>
            </w:numPr>
          </w:pPr>
          <w:r>
            <w:rPr>
              <w:rFonts w:hint="eastAsia"/>
            </w:rPr>
            <w:t>合同负债情况</w:t>
          </w:r>
        </w:p>
        <w:sdt>
          <w:sdtPr>
            <w:alias w:val="是否适用：合同负债情况[双击切换]"/>
            <w:tag w:val="_GBC_2b6238a8ea00438eab947f83a5f6451d"/>
            <w:id w:val="-1722822477"/>
            <w:lock w:val="sdtLocked"/>
            <w:placeholder>
              <w:docPart w:val="GBC22222222222222222222222222222"/>
            </w:placeholder>
          </w:sdtPr>
          <w:sdtEndPr/>
          <w:sdtContent>
            <w:p w14:paraId="27D44204"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14F55DB6" w14:textId="76E47D90" w:rsidR="007E7472" w:rsidRDefault="00EC1269">
          <w:pPr>
            <w:ind w:left="360"/>
            <w:jc w:val="right"/>
          </w:pPr>
          <w:r>
            <w:rPr>
              <w:rFonts w:hint="eastAsia"/>
            </w:rPr>
            <w:t>单位：</w:t>
          </w:r>
          <w:sdt>
            <w:sdtPr>
              <w:rPr>
                <w:rFonts w:hint="eastAsia"/>
              </w:rPr>
              <w:alias w:val="单位：合同负债情况"/>
              <w:tag w:val="_GBC_0024c0ddc3514b009e8166b63dc10ae9"/>
              <w:id w:val="-8858017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合同负债情况"/>
              <w:tag w:val="_GBC_154d9411b9764a4f8e1412d0a22c8375"/>
              <w:id w:val="-18531746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5"/>
            <w:gridCol w:w="3002"/>
            <w:gridCol w:w="2996"/>
          </w:tblGrid>
          <w:tr w:rsidR="007E7472" w14:paraId="6FDCB92D" w14:textId="77777777" w:rsidTr="007E7472">
            <w:trPr>
              <w:trHeight w:val="340"/>
            </w:trPr>
            <w:sdt>
              <w:sdtPr>
                <w:tag w:val="_PLD_c5e783ac966e416184ff57e436f98be2"/>
                <w:id w:val="-1518918139"/>
                <w:lock w:val="sdtLocked"/>
              </w:sdtPr>
              <w:sdtEndPr/>
              <w:sdtContent>
                <w:tc>
                  <w:tcPr>
                    <w:tcW w:w="1601" w:type="pct"/>
                    <w:shd w:val="clear" w:color="auto" w:fill="auto"/>
                    <w:vAlign w:val="center"/>
                  </w:tcPr>
                  <w:p w14:paraId="2418C2D2" w14:textId="77777777" w:rsidR="007E7472" w:rsidRDefault="00EC1269">
                    <w:pPr>
                      <w:jc w:val="center"/>
                    </w:pPr>
                    <w:r>
                      <w:rPr>
                        <w:rFonts w:hint="eastAsia"/>
                      </w:rPr>
                      <w:t>项目</w:t>
                    </w:r>
                  </w:p>
                </w:tc>
              </w:sdtContent>
            </w:sdt>
            <w:sdt>
              <w:sdtPr>
                <w:tag w:val="_PLD_a4f8a9567271447e9f7bc01f59c6eed6"/>
                <w:id w:val="-397665306"/>
                <w:lock w:val="sdtLocked"/>
              </w:sdtPr>
              <w:sdtEndPr/>
              <w:sdtContent>
                <w:tc>
                  <w:tcPr>
                    <w:tcW w:w="1701" w:type="pct"/>
                    <w:shd w:val="clear" w:color="auto" w:fill="auto"/>
                    <w:vAlign w:val="center"/>
                  </w:tcPr>
                  <w:p w14:paraId="64F6B280" w14:textId="77777777" w:rsidR="007E7472" w:rsidRDefault="00EC1269">
                    <w:pPr>
                      <w:autoSpaceDE w:val="0"/>
                      <w:autoSpaceDN w:val="0"/>
                      <w:adjustRightInd w:val="0"/>
                      <w:snapToGrid w:val="0"/>
                      <w:spacing w:line="240" w:lineRule="atLeast"/>
                      <w:jc w:val="center"/>
                    </w:pPr>
                    <w:r>
                      <w:rPr>
                        <w:rFonts w:hint="eastAsia"/>
                      </w:rPr>
                      <w:t>期末余额</w:t>
                    </w:r>
                  </w:p>
                </w:tc>
              </w:sdtContent>
            </w:sdt>
            <w:sdt>
              <w:sdtPr>
                <w:tag w:val="_PLD_b8f751ec83834a96b0e87c862d2ae80b"/>
                <w:id w:val="-1937512708"/>
                <w:lock w:val="sdtLocked"/>
              </w:sdtPr>
              <w:sdtEndPr/>
              <w:sdtContent>
                <w:tc>
                  <w:tcPr>
                    <w:tcW w:w="1698" w:type="pct"/>
                    <w:shd w:val="clear" w:color="auto" w:fill="auto"/>
                    <w:vAlign w:val="center"/>
                  </w:tcPr>
                  <w:p w14:paraId="672ACBE3" w14:textId="77777777" w:rsidR="007E7472" w:rsidRDefault="00EC1269">
                    <w:pPr>
                      <w:autoSpaceDE w:val="0"/>
                      <w:autoSpaceDN w:val="0"/>
                      <w:adjustRightInd w:val="0"/>
                      <w:snapToGrid w:val="0"/>
                      <w:spacing w:line="240" w:lineRule="atLeast"/>
                      <w:jc w:val="center"/>
                    </w:pPr>
                    <w:r>
                      <w:rPr>
                        <w:rFonts w:hint="eastAsia"/>
                      </w:rPr>
                      <w:t>期初余额</w:t>
                    </w:r>
                  </w:p>
                </w:tc>
              </w:sdtContent>
            </w:sdt>
          </w:tr>
          <w:sdt>
            <w:sdtPr>
              <w:rPr>
                <w:color w:val="000000"/>
              </w:rPr>
              <w:alias w:val="合同负债明细"/>
              <w:tag w:val="_TUP_d1c7a7f050fb40619e0f52b844ab99a2"/>
              <w:id w:val="-1309389223"/>
              <w:lock w:val="sdtLocked"/>
              <w:placeholder>
                <w:docPart w:val="GBC11111111111111111111111111111"/>
              </w:placeholder>
            </w:sdtPr>
            <w:sdtEndPr/>
            <w:sdtContent>
              <w:tr w:rsidR="007E7472" w14:paraId="55C0FD6D" w14:textId="77777777" w:rsidTr="007E7472">
                <w:trPr>
                  <w:trHeight w:val="340"/>
                </w:trPr>
                <w:tc>
                  <w:tcPr>
                    <w:tcW w:w="1601" w:type="pct"/>
                    <w:shd w:val="clear" w:color="auto" w:fill="auto"/>
                    <w:vAlign w:val="center"/>
                  </w:tcPr>
                  <w:p w14:paraId="01B8DAE7" w14:textId="77777777" w:rsidR="007E7472" w:rsidRDefault="00EC1269">
                    <w:r>
                      <w:rPr>
                        <w:color w:val="000000"/>
                      </w:rPr>
                      <w:t>合计</w:t>
                    </w:r>
                  </w:p>
                </w:tc>
                <w:tc>
                  <w:tcPr>
                    <w:tcW w:w="1701" w:type="pct"/>
                    <w:shd w:val="clear" w:color="auto" w:fill="auto"/>
                    <w:vAlign w:val="center"/>
                  </w:tcPr>
                  <w:p w14:paraId="2BB28498" w14:textId="77777777" w:rsidR="007E7472" w:rsidRDefault="00EC1269">
                    <w:pPr>
                      <w:jc w:val="right"/>
                    </w:pPr>
                    <w:r>
                      <w:t>4,529,451</w:t>
                    </w:r>
                  </w:p>
                </w:tc>
                <w:tc>
                  <w:tcPr>
                    <w:tcW w:w="1698" w:type="pct"/>
                    <w:shd w:val="clear" w:color="auto" w:fill="auto"/>
                    <w:vAlign w:val="center"/>
                  </w:tcPr>
                  <w:p w14:paraId="7A95894B" w14:textId="77777777" w:rsidR="007E7472" w:rsidRDefault="00EC1269">
                    <w:pPr>
                      <w:jc w:val="right"/>
                    </w:pPr>
                    <w:r>
                      <w:t>4,833,680</w:t>
                    </w:r>
                  </w:p>
                </w:tc>
              </w:tr>
            </w:sdtContent>
          </w:sdt>
          <w:tr w:rsidR="007E7472" w14:paraId="5EAB35DC" w14:textId="77777777">
            <w:tc>
              <w:tcPr>
                <w:tcW w:w="1601" w:type="pct"/>
                <w:shd w:val="clear" w:color="auto" w:fill="auto"/>
              </w:tcPr>
              <w:p w14:paraId="67C7301D" w14:textId="77777777" w:rsidR="007E7472" w:rsidRDefault="00EC1269">
                <w:r>
                  <w:rPr>
                    <w:rFonts w:hint="eastAsia"/>
                    <w:color w:val="000000"/>
                  </w:rPr>
                  <w:t>其中：</w:t>
                </w:r>
                <w:r>
                  <w:rPr>
                    <w:color w:val="000000"/>
                  </w:rPr>
                  <w:t>1年以上</w:t>
                </w:r>
              </w:p>
            </w:tc>
            <w:tc>
              <w:tcPr>
                <w:tcW w:w="1701" w:type="pct"/>
                <w:shd w:val="clear" w:color="auto" w:fill="auto"/>
              </w:tcPr>
              <w:p w14:paraId="5F8DA97E" w14:textId="77777777" w:rsidR="007E7472" w:rsidRDefault="00EC1269">
                <w:pPr>
                  <w:jc w:val="right"/>
                </w:pPr>
                <w:r>
                  <w:t>506,415</w:t>
                </w:r>
              </w:p>
            </w:tc>
            <w:tc>
              <w:tcPr>
                <w:tcW w:w="1698" w:type="pct"/>
                <w:shd w:val="clear" w:color="auto" w:fill="auto"/>
              </w:tcPr>
              <w:p w14:paraId="58AC2242" w14:textId="77777777" w:rsidR="007E7472" w:rsidRDefault="00EC1269">
                <w:pPr>
                  <w:jc w:val="right"/>
                </w:pPr>
                <w:r>
                  <w:t>209,181</w:t>
                </w:r>
              </w:p>
            </w:tc>
          </w:tr>
        </w:tbl>
        <w:p w14:paraId="693E2ABC" w14:textId="77777777" w:rsidR="007E7472" w:rsidRDefault="00C8327E"/>
      </w:sdtContent>
    </w:sdt>
    <w:bookmarkEnd w:id="235" w:displacedByCustomXml="next"/>
    <w:bookmarkStart w:id="236" w:name="_Hlk10535674" w:displacedByCustomXml="next"/>
    <w:sdt>
      <w:sdtPr>
        <w:rPr>
          <w:rFonts w:ascii="宋体" w:hAnsi="宋体" w:cs="宋体" w:hint="eastAsia"/>
          <w:b w:val="0"/>
          <w:bCs w:val="0"/>
          <w:kern w:val="0"/>
          <w:sz w:val="20"/>
          <w:szCs w:val="21"/>
        </w:rPr>
        <w:alias w:val="模块:报告期内账面价值发生重大变动的金额和原因"/>
        <w:tag w:val="_SEC_c824c488dbc74824b379bb9187c7bdf0"/>
        <w:id w:val="-1807160167"/>
        <w:lock w:val="sdtLocked"/>
        <w:placeholder>
          <w:docPart w:val="GBC22222222222222222222222222222"/>
        </w:placeholder>
      </w:sdtPr>
      <w:sdtEndPr>
        <w:rPr>
          <w:rFonts w:hint="default"/>
        </w:rPr>
      </w:sdtEndPr>
      <w:sdtContent>
        <w:p w14:paraId="10FA6B21" w14:textId="77777777" w:rsidR="007E7472" w:rsidRDefault="00EC1269" w:rsidP="00162493">
          <w:pPr>
            <w:pStyle w:val="4"/>
            <w:numPr>
              <w:ilvl w:val="0"/>
              <w:numId w:val="84"/>
            </w:numPr>
          </w:pPr>
          <w:r>
            <w:rPr>
              <w:rFonts w:hint="eastAsia"/>
            </w:rPr>
            <w:t>报告期内账面价值发生重大变动的金额和原因</w:t>
          </w:r>
        </w:p>
        <w:sdt>
          <w:sdtPr>
            <w:alias w:val="是否适用：合同负债账面价值发生重大变动[双击切换]"/>
            <w:tag w:val="_GBC_18d9cdd7095d4bda8f22860c58746248"/>
            <w:id w:val="1953281917"/>
            <w:lock w:val="sdtLocked"/>
            <w:placeholder>
              <w:docPart w:val="GBC22222222222222222222222222222"/>
            </w:placeholder>
          </w:sdtPr>
          <w:sdtEndPr/>
          <w:sdtContent>
            <w:p w14:paraId="71EC9BFD"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bookmarkEnd w:id="236" w:displacedByCustomXml="next"/>
    <w:bookmarkStart w:id="237" w:name="_Hlk10535687" w:displacedByCustomXml="next"/>
    <w:bookmarkStart w:id="238" w:name="_Hlk10535696" w:displacedByCustomXml="next"/>
    <w:sdt>
      <w:sdtPr>
        <w:rPr>
          <w:rFonts w:hint="eastAsia"/>
        </w:rPr>
        <w:alias w:val="模块:其他说明："/>
        <w:tag w:val="_SEC_1910d69cccc04d3fb0422784d0b1dd58"/>
        <w:id w:val="1779135781"/>
        <w:lock w:val="sdtLocked"/>
        <w:placeholder>
          <w:docPart w:val="GBC22222222222222222222222222222"/>
        </w:placeholder>
      </w:sdtPr>
      <w:sdtEndPr>
        <w:rPr>
          <w:rFonts w:hint="default"/>
        </w:rPr>
      </w:sdtEndPr>
      <w:sdtContent>
        <w:p w14:paraId="1D29324C" w14:textId="77777777" w:rsidR="007E7472" w:rsidRDefault="00EC1269">
          <w:r>
            <w:rPr>
              <w:rFonts w:hint="eastAsia"/>
            </w:rPr>
            <w:t>其他说明：</w:t>
          </w:r>
          <w:bookmarkEnd w:id="237"/>
        </w:p>
        <w:sdt>
          <w:sdtPr>
            <w:alias w:val="是否适用：合同负债其他说明[双击切换]"/>
            <w:tag w:val="_GBC_f73cf097b72042508657c656d4dc0c08"/>
            <w:id w:val="456851637"/>
            <w:lock w:val="sdtLocked"/>
            <w:placeholder>
              <w:docPart w:val="GBC22222222222222222222222222222"/>
            </w:placeholder>
          </w:sdtPr>
          <w:sdtEndPr/>
          <w:sdtContent>
            <w:p w14:paraId="507B4AFA"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bookmarkEnd w:id="238"/>
    <w:p w14:paraId="24F82998" w14:textId="77777777" w:rsidR="007E7472" w:rsidRDefault="00C8327E"/>
    <w:p w14:paraId="5F607EB7" w14:textId="77777777" w:rsidR="007E7472" w:rsidRDefault="00EC1269" w:rsidP="00162493">
      <w:pPr>
        <w:pStyle w:val="3"/>
        <w:numPr>
          <w:ilvl w:val="0"/>
          <w:numId w:val="62"/>
        </w:numPr>
      </w:pPr>
      <w:r>
        <w:rPr>
          <w:rFonts w:hint="eastAsia"/>
        </w:rPr>
        <w:t>应付职工薪酬</w:t>
      </w:r>
    </w:p>
    <w:sdt>
      <w:sdtPr>
        <w:rPr>
          <w:rFonts w:ascii="宋体" w:hAnsi="宋体" w:cs="宋体"/>
          <w:b w:val="0"/>
          <w:bCs w:val="0"/>
          <w:kern w:val="0"/>
          <w:sz w:val="20"/>
          <w:szCs w:val="24"/>
        </w:rPr>
        <w:alias w:val="模块:应付职工薪酬列示："/>
        <w:tag w:val="_GBC_fa609950067149f1a5c0a6c3ba353431"/>
        <w:id w:val="866644252"/>
        <w:lock w:val="sdtLocked"/>
        <w:placeholder>
          <w:docPart w:val="GBC22222222222222222222222222222"/>
        </w:placeholder>
      </w:sdtPr>
      <w:sdtEndPr>
        <w:rPr>
          <w:sz w:val="21"/>
          <w:szCs w:val="21"/>
        </w:rPr>
      </w:sdtEndPr>
      <w:sdtContent>
        <w:p w14:paraId="13EA0BCC" w14:textId="77777777" w:rsidR="007E7472" w:rsidRDefault="00EC1269" w:rsidP="00162493">
          <w:pPr>
            <w:pStyle w:val="4"/>
            <w:numPr>
              <w:ilvl w:val="0"/>
              <w:numId w:val="85"/>
            </w:numPr>
          </w:pPr>
          <w:r>
            <w:rPr>
              <w:rFonts w:hint="eastAsia"/>
            </w:rPr>
            <w:t>应付职工薪酬列示</w:t>
          </w:r>
        </w:p>
        <w:sdt>
          <w:sdtPr>
            <w:alias w:val="是否适用：应付职工薪酬列示[双击切换]"/>
            <w:tag w:val="_GBC_88faccc480a843dca589c1af0d3fee37"/>
            <w:id w:val="1435013110"/>
            <w:lock w:val="sdtLocked"/>
            <w:placeholder>
              <w:docPart w:val="GBC22222222222222222222222222222"/>
            </w:placeholder>
          </w:sdtPr>
          <w:sdtEndPr/>
          <w:sdtContent>
            <w:p w14:paraId="14D3585F"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0AF1DE07" w14:textId="54D0835D" w:rsidR="007E7472" w:rsidRDefault="00EC1269">
          <w:pPr>
            <w:jc w:val="right"/>
          </w:pPr>
          <w:r>
            <w:rPr>
              <w:rFonts w:hint="eastAsia"/>
            </w:rPr>
            <w:t>单位：</w:t>
          </w:r>
          <w:sdt>
            <w:sdtPr>
              <w:rPr>
                <w:rFonts w:hint="eastAsia"/>
              </w:rPr>
              <w:alias w:val="单位：财务附注：应付职工薪酬"/>
              <w:tag w:val="_GBC_5c4cdcd7cd924c4ca8e87f806bc459b0"/>
              <w:id w:val="6602749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应付职工薪酬"/>
              <w:tag w:val="_GBC_1b7f0fd0ca54470ca12f1037c092be9a"/>
              <w:id w:val="-1160694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276"/>
            <w:gridCol w:w="1419"/>
            <w:gridCol w:w="1419"/>
            <w:gridCol w:w="1556"/>
            <w:gridCol w:w="1173"/>
          </w:tblGrid>
          <w:tr w:rsidR="007E7472" w14:paraId="6ABA7162" w14:textId="77777777" w:rsidTr="007E7472">
            <w:trPr>
              <w:trHeight w:val="473"/>
            </w:trPr>
            <w:sdt>
              <w:sdtPr>
                <w:tag w:val="_PLD_481bea2acb8f49ac9b4cfc92cd4a426e"/>
                <w:id w:val="-1752893285"/>
                <w:lock w:val="sdtLocked"/>
              </w:sdtPr>
              <w:sdtEndPr/>
              <w:sdtContent>
                <w:tc>
                  <w:tcPr>
                    <w:tcW w:w="1122" w:type="pct"/>
                    <w:shd w:val="clear" w:color="auto" w:fill="auto"/>
                    <w:vAlign w:val="center"/>
                  </w:tcPr>
                  <w:p w14:paraId="7BDF57C7" w14:textId="77777777" w:rsidR="007E7472" w:rsidRDefault="00EC1269">
                    <w:pPr>
                      <w:jc w:val="center"/>
                    </w:pPr>
                    <w:r>
                      <w:rPr>
                        <w:rFonts w:hint="eastAsia"/>
                      </w:rPr>
                      <w:t>项目</w:t>
                    </w:r>
                  </w:p>
                </w:tc>
              </w:sdtContent>
            </w:sdt>
            <w:sdt>
              <w:sdtPr>
                <w:tag w:val="_PLD_ff27c0f5bcb94d9b932762b91edf2ff1"/>
                <w:id w:val="-875313482"/>
                <w:lock w:val="sdtLocked"/>
              </w:sdtPr>
              <w:sdtEndPr/>
              <w:sdtContent>
                <w:tc>
                  <w:tcPr>
                    <w:tcW w:w="723" w:type="pct"/>
                    <w:shd w:val="clear" w:color="auto" w:fill="auto"/>
                    <w:vAlign w:val="center"/>
                  </w:tcPr>
                  <w:p w14:paraId="4237780F" w14:textId="77777777" w:rsidR="007E7472" w:rsidRDefault="00EC1269">
                    <w:pPr>
                      <w:jc w:val="center"/>
                    </w:pPr>
                    <w:r>
                      <w:rPr>
                        <w:rFonts w:hint="eastAsia"/>
                      </w:rPr>
                      <w:t>期初余额</w:t>
                    </w:r>
                  </w:p>
                </w:tc>
              </w:sdtContent>
            </w:sdt>
            <w:sdt>
              <w:sdtPr>
                <w:tag w:val="_PLD_7274636f27ae4e048ade60bfddaa8164"/>
                <w:id w:val="-1896965227"/>
                <w:lock w:val="sdtLocked"/>
              </w:sdtPr>
              <w:sdtEndPr/>
              <w:sdtContent>
                <w:tc>
                  <w:tcPr>
                    <w:tcW w:w="804" w:type="pct"/>
                    <w:shd w:val="clear" w:color="auto" w:fill="auto"/>
                    <w:vAlign w:val="center"/>
                  </w:tcPr>
                  <w:p w14:paraId="6505C092" w14:textId="77777777" w:rsidR="007E7472" w:rsidRDefault="00EC1269">
                    <w:pPr>
                      <w:jc w:val="center"/>
                    </w:pPr>
                    <w:r>
                      <w:rPr>
                        <w:rFonts w:hint="eastAsia"/>
                      </w:rPr>
                      <w:t>本期增加</w:t>
                    </w:r>
                  </w:p>
                </w:tc>
              </w:sdtContent>
            </w:sdt>
            <w:sdt>
              <w:sdtPr>
                <w:tag w:val="_PLD_07ae572963de436aa2308d649a28c23b"/>
                <w:id w:val="-67341901"/>
                <w:lock w:val="sdtLocked"/>
              </w:sdtPr>
              <w:sdtEndPr/>
              <w:sdtContent>
                <w:tc>
                  <w:tcPr>
                    <w:tcW w:w="804" w:type="pct"/>
                    <w:shd w:val="clear" w:color="auto" w:fill="auto"/>
                    <w:vAlign w:val="center"/>
                  </w:tcPr>
                  <w:p w14:paraId="28B99B2D" w14:textId="77777777" w:rsidR="007E7472" w:rsidRDefault="00EC1269">
                    <w:pPr>
                      <w:jc w:val="center"/>
                    </w:pPr>
                    <w:r>
                      <w:rPr>
                        <w:rFonts w:hint="eastAsia"/>
                      </w:rPr>
                      <w:t>本期减少</w:t>
                    </w:r>
                  </w:p>
                </w:tc>
              </w:sdtContent>
            </w:sdt>
            <w:tc>
              <w:tcPr>
                <w:tcW w:w="882" w:type="pct"/>
                <w:shd w:val="clear" w:color="auto" w:fill="auto"/>
                <w:vAlign w:val="center"/>
              </w:tcPr>
              <w:p w14:paraId="7382C3AB" w14:textId="77777777" w:rsidR="007E7472" w:rsidRDefault="00EC1269">
                <w:pPr>
                  <w:jc w:val="center"/>
                </w:pPr>
                <w:r>
                  <w:rPr>
                    <w:rFonts w:hint="eastAsia"/>
                  </w:rPr>
                  <w:t>外币报表折算</w:t>
                </w:r>
              </w:p>
            </w:tc>
            <w:sdt>
              <w:sdtPr>
                <w:tag w:val="_PLD_27069329d7654e34bc45ca7dee532204"/>
                <w:id w:val="698738841"/>
                <w:lock w:val="sdtLocked"/>
              </w:sdtPr>
              <w:sdtEndPr/>
              <w:sdtContent>
                <w:tc>
                  <w:tcPr>
                    <w:tcW w:w="665" w:type="pct"/>
                    <w:shd w:val="clear" w:color="auto" w:fill="auto"/>
                    <w:vAlign w:val="center"/>
                  </w:tcPr>
                  <w:p w14:paraId="7A996B68" w14:textId="77777777" w:rsidR="007E7472" w:rsidRDefault="00EC1269">
                    <w:pPr>
                      <w:jc w:val="center"/>
                    </w:pPr>
                    <w:r>
                      <w:rPr>
                        <w:rFonts w:hint="eastAsia"/>
                      </w:rPr>
                      <w:t>期末余额</w:t>
                    </w:r>
                  </w:p>
                </w:tc>
              </w:sdtContent>
            </w:sdt>
          </w:tr>
          <w:tr w:rsidR="007E7472" w14:paraId="6779DDEC" w14:textId="77777777" w:rsidTr="007E7472">
            <w:trPr>
              <w:trHeight w:val="340"/>
            </w:trPr>
            <w:sdt>
              <w:sdtPr>
                <w:tag w:val="_PLD_8272d2e82a6f45a197d65c1251ac79c7"/>
                <w:id w:val="-1668932849"/>
                <w:lock w:val="sdtLocked"/>
              </w:sdtPr>
              <w:sdtEndPr/>
              <w:sdtContent>
                <w:tc>
                  <w:tcPr>
                    <w:tcW w:w="1122" w:type="pct"/>
                    <w:shd w:val="clear" w:color="auto" w:fill="auto"/>
                    <w:vAlign w:val="center"/>
                  </w:tcPr>
                  <w:p w14:paraId="0D9CBF81" w14:textId="77777777" w:rsidR="007E7472" w:rsidRDefault="00EC1269">
                    <w:r>
                      <w:rPr>
                        <w:rFonts w:hint="eastAsia"/>
                      </w:rPr>
                      <w:t>一、短期薪酬</w:t>
                    </w:r>
                  </w:p>
                </w:tc>
              </w:sdtContent>
            </w:sdt>
            <w:tc>
              <w:tcPr>
                <w:tcW w:w="723" w:type="pct"/>
                <w:shd w:val="clear" w:color="auto" w:fill="auto"/>
                <w:vAlign w:val="center"/>
              </w:tcPr>
              <w:p w14:paraId="516B77DA" w14:textId="77777777" w:rsidR="007E7472" w:rsidRDefault="00EC1269">
                <w:pPr>
                  <w:jc w:val="right"/>
                </w:pPr>
                <w:r>
                  <w:t>2,035,668</w:t>
                </w:r>
              </w:p>
            </w:tc>
            <w:tc>
              <w:tcPr>
                <w:tcW w:w="804" w:type="pct"/>
                <w:shd w:val="clear" w:color="auto" w:fill="auto"/>
                <w:vAlign w:val="center"/>
              </w:tcPr>
              <w:p w14:paraId="22E1C4AF" w14:textId="77777777" w:rsidR="007E7472" w:rsidRDefault="00EC1269">
                <w:pPr>
                  <w:jc w:val="right"/>
                  <w:rPr>
                    <w:bCs/>
                  </w:rPr>
                </w:pPr>
                <w:r>
                  <w:t>7,413,375</w:t>
                </w:r>
              </w:p>
            </w:tc>
            <w:tc>
              <w:tcPr>
                <w:tcW w:w="804" w:type="pct"/>
                <w:shd w:val="clear" w:color="auto" w:fill="auto"/>
                <w:vAlign w:val="center"/>
              </w:tcPr>
              <w:p w14:paraId="4A4322EC" w14:textId="77777777" w:rsidR="007E7472" w:rsidRDefault="00EC1269">
                <w:pPr>
                  <w:jc w:val="right"/>
                </w:pPr>
                <w:r>
                  <w:t>7,624,553</w:t>
                </w:r>
              </w:p>
            </w:tc>
            <w:tc>
              <w:tcPr>
                <w:tcW w:w="882" w:type="pct"/>
                <w:shd w:val="clear" w:color="auto" w:fill="auto"/>
                <w:vAlign w:val="center"/>
              </w:tcPr>
              <w:p w14:paraId="0C9F9E2A" w14:textId="77777777" w:rsidR="007E7472" w:rsidRDefault="00EC1269">
                <w:pPr>
                  <w:jc w:val="right"/>
                </w:pPr>
                <w:r>
                  <w:t>13,508</w:t>
                </w:r>
              </w:p>
            </w:tc>
            <w:tc>
              <w:tcPr>
                <w:tcW w:w="665" w:type="pct"/>
                <w:shd w:val="clear" w:color="auto" w:fill="auto"/>
                <w:vAlign w:val="center"/>
              </w:tcPr>
              <w:p w14:paraId="62837058" w14:textId="77777777" w:rsidR="007E7472" w:rsidRDefault="00EC1269">
                <w:pPr>
                  <w:jc w:val="right"/>
                </w:pPr>
                <w:r>
                  <w:t>1,837,998</w:t>
                </w:r>
              </w:p>
            </w:tc>
          </w:tr>
          <w:tr w:rsidR="007E7472" w14:paraId="4946E152" w14:textId="77777777" w:rsidTr="007E7472">
            <w:sdt>
              <w:sdtPr>
                <w:tag w:val="_PLD_e3c7b981b4f64fe3993a41cabeb3d888"/>
                <w:id w:val="1777364506"/>
                <w:lock w:val="sdtLocked"/>
              </w:sdtPr>
              <w:sdtEndPr/>
              <w:sdtContent>
                <w:tc>
                  <w:tcPr>
                    <w:tcW w:w="1122" w:type="pct"/>
                    <w:shd w:val="clear" w:color="auto" w:fill="auto"/>
                    <w:vAlign w:val="center"/>
                  </w:tcPr>
                  <w:p w14:paraId="49438D89" w14:textId="77777777" w:rsidR="007E7472" w:rsidRDefault="00EC1269">
                    <w:r>
                      <w:rPr>
                        <w:rFonts w:hint="eastAsia"/>
                      </w:rPr>
                      <w:t>二、离职后福利-设定提存计划</w:t>
                    </w:r>
                  </w:p>
                </w:tc>
              </w:sdtContent>
            </w:sdt>
            <w:tc>
              <w:tcPr>
                <w:tcW w:w="723" w:type="pct"/>
                <w:shd w:val="clear" w:color="auto" w:fill="auto"/>
                <w:vAlign w:val="center"/>
              </w:tcPr>
              <w:p w14:paraId="3F99A2B3" w14:textId="77777777" w:rsidR="007E7472" w:rsidRDefault="00EC1269">
                <w:pPr>
                  <w:jc w:val="right"/>
                </w:pPr>
                <w:r>
                  <w:t>53,245</w:t>
                </w:r>
              </w:p>
            </w:tc>
            <w:tc>
              <w:tcPr>
                <w:tcW w:w="804" w:type="pct"/>
                <w:shd w:val="clear" w:color="auto" w:fill="auto"/>
                <w:vAlign w:val="center"/>
              </w:tcPr>
              <w:p w14:paraId="04039661" w14:textId="77777777" w:rsidR="007E7472" w:rsidRDefault="00EC1269">
                <w:pPr>
                  <w:jc w:val="right"/>
                </w:pPr>
                <w:r>
                  <w:t>949,208</w:t>
                </w:r>
              </w:p>
            </w:tc>
            <w:tc>
              <w:tcPr>
                <w:tcW w:w="804" w:type="pct"/>
                <w:shd w:val="clear" w:color="auto" w:fill="auto"/>
                <w:vAlign w:val="center"/>
              </w:tcPr>
              <w:p w14:paraId="18ACC98D" w14:textId="77777777" w:rsidR="007E7472" w:rsidRDefault="00EC1269">
                <w:pPr>
                  <w:jc w:val="right"/>
                </w:pPr>
                <w:r>
                  <w:t>918,156</w:t>
                </w:r>
              </w:p>
            </w:tc>
            <w:tc>
              <w:tcPr>
                <w:tcW w:w="882" w:type="pct"/>
                <w:shd w:val="clear" w:color="auto" w:fill="auto"/>
                <w:vAlign w:val="center"/>
              </w:tcPr>
              <w:p w14:paraId="37BCF68C" w14:textId="77777777" w:rsidR="007E7472" w:rsidRDefault="00C8327E">
                <w:pPr>
                  <w:jc w:val="right"/>
                </w:pPr>
              </w:p>
            </w:tc>
            <w:tc>
              <w:tcPr>
                <w:tcW w:w="665" w:type="pct"/>
                <w:shd w:val="clear" w:color="auto" w:fill="auto"/>
                <w:vAlign w:val="center"/>
              </w:tcPr>
              <w:p w14:paraId="674B27E8" w14:textId="77777777" w:rsidR="007E7472" w:rsidRDefault="00EC1269">
                <w:pPr>
                  <w:jc w:val="right"/>
                </w:pPr>
                <w:r>
                  <w:t>84,297</w:t>
                </w:r>
              </w:p>
            </w:tc>
          </w:tr>
          <w:tr w:rsidR="007E7472" w14:paraId="61A92634" w14:textId="77777777" w:rsidTr="007E7472">
            <w:trPr>
              <w:trHeight w:val="340"/>
            </w:trPr>
            <w:sdt>
              <w:sdtPr>
                <w:tag w:val="_PLD_d615e4da2a4948e5994fcc5682898c56"/>
                <w:id w:val="1081569989"/>
                <w:lock w:val="sdtLocked"/>
              </w:sdtPr>
              <w:sdtEndPr/>
              <w:sdtContent>
                <w:tc>
                  <w:tcPr>
                    <w:tcW w:w="1122" w:type="pct"/>
                    <w:shd w:val="clear" w:color="auto" w:fill="auto"/>
                    <w:vAlign w:val="center"/>
                  </w:tcPr>
                  <w:p w14:paraId="3F3EF229" w14:textId="77777777" w:rsidR="007E7472" w:rsidRDefault="00EC1269">
                    <w:r>
                      <w:rPr>
                        <w:rFonts w:hint="eastAsia"/>
                      </w:rPr>
                      <w:t>三、辞退福利</w:t>
                    </w:r>
                  </w:p>
                </w:tc>
              </w:sdtContent>
            </w:sdt>
            <w:tc>
              <w:tcPr>
                <w:tcW w:w="723" w:type="pct"/>
                <w:shd w:val="clear" w:color="auto" w:fill="auto"/>
                <w:vAlign w:val="center"/>
              </w:tcPr>
              <w:p w14:paraId="6CDCF3E5" w14:textId="77777777" w:rsidR="007E7472" w:rsidRDefault="00C8327E">
                <w:pPr>
                  <w:jc w:val="right"/>
                </w:pPr>
              </w:p>
            </w:tc>
            <w:tc>
              <w:tcPr>
                <w:tcW w:w="804" w:type="pct"/>
                <w:shd w:val="clear" w:color="auto" w:fill="auto"/>
                <w:vAlign w:val="center"/>
              </w:tcPr>
              <w:p w14:paraId="738592B2" w14:textId="77777777" w:rsidR="007E7472" w:rsidRDefault="00C8327E">
                <w:pPr>
                  <w:jc w:val="right"/>
                </w:pPr>
              </w:p>
            </w:tc>
            <w:tc>
              <w:tcPr>
                <w:tcW w:w="804" w:type="pct"/>
                <w:shd w:val="clear" w:color="auto" w:fill="auto"/>
                <w:vAlign w:val="center"/>
              </w:tcPr>
              <w:p w14:paraId="6659B644" w14:textId="77777777" w:rsidR="007E7472" w:rsidRDefault="00C8327E">
                <w:pPr>
                  <w:jc w:val="right"/>
                </w:pPr>
              </w:p>
            </w:tc>
            <w:tc>
              <w:tcPr>
                <w:tcW w:w="882" w:type="pct"/>
                <w:shd w:val="clear" w:color="auto" w:fill="auto"/>
                <w:vAlign w:val="center"/>
              </w:tcPr>
              <w:p w14:paraId="1AB2356F" w14:textId="77777777" w:rsidR="007E7472" w:rsidRDefault="00C8327E">
                <w:pPr>
                  <w:jc w:val="right"/>
                </w:pPr>
              </w:p>
            </w:tc>
            <w:tc>
              <w:tcPr>
                <w:tcW w:w="665" w:type="pct"/>
                <w:shd w:val="clear" w:color="auto" w:fill="auto"/>
                <w:vAlign w:val="center"/>
              </w:tcPr>
              <w:p w14:paraId="41B897ED" w14:textId="77777777" w:rsidR="007E7472" w:rsidRDefault="00C8327E">
                <w:pPr>
                  <w:jc w:val="right"/>
                </w:pPr>
              </w:p>
            </w:tc>
          </w:tr>
          <w:tr w:rsidR="007E7472" w14:paraId="36ADAACD" w14:textId="77777777" w:rsidTr="007E7472">
            <w:sdt>
              <w:sdtPr>
                <w:tag w:val="_PLD_f85ecebc2b9f455eb675b5c3c3edb84c"/>
                <w:id w:val="1128585828"/>
                <w:lock w:val="sdtLocked"/>
              </w:sdtPr>
              <w:sdtEndPr/>
              <w:sdtContent>
                <w:tc>
                  <w:tcPr>
                    <w:tcW w:w="1122" w:type="pct"/>
                    <w:shd w:val="clear" w:color="auto" w:fill="auto"/>
                    <w:vAlign w:val="center"/>
                  </w:tcPr>
                  <w:p w14:paraId="312B8131" w14:textId="77777777" w:rsidR="007E7472" w:rsidRDefault="00EC1269">
                    <w:r>
                      <w:rPr>
                        <w:rFonts w:hint="eastAsia"/>
                      </w:rPr>
                      <w:t>四、一年内到期的其他福利</w:t>
                    </w:r>
                  </w:p>
                </w:tc>
              </w:sdtContent>
            </w:sdt>
            <w:tc>
              <w:tcPr>
                <w:tcW w:w="723" w:type="pct"/>
                <w:shd w:val="clear" w:color="auto" w:fill="auto"/>
                <w:vAlign w:val="center"/>
              </w:tcPr>
              <w:p w14:paraId="6D0808A5" w14:textId="77777777" w:rsidR="007E7472" w:rsidRDefault="00EC1269">
                <w:pPr>
                  <w:jc w:val="right"/>
                </w:pPr>
                <w:r>
                  <w:t>21,669</w:t>
                </w:r>
              </w:p>
            </w:tc>
            <w:tc>
              <w:tcPr>
                <w:tcW w:w="804" w:type="pct"/>
                <w:shd w:val="clear" w:color="auto" w:fill="auto"/>
                <w:vAlign w:val="center"/>
              </w:tcPr>
              <w:p w14:paraId="68408598" w14:textId="77777777" w:rsidR="007E7472" w:rsidRDefault="00EC1269">
                <w:pPr>
                  <w:jc w:val="right"/>
                </w:pPr>
                <w:r>
                  <w:t>30,607</w:t>
                </w:r>
              </w:p>
            </w:tc>
            <w:tc>
              <w:tcPr>
                <w:tcW w:w="804" w:type="pct"/>
                <w:shd w:val="clear" w:color="auto" w:fill="auto"/>
                <w:vAlign w:val="center"/>
              </w:tcPr>
              <w:p w14:paraId="0E52088A" w14:textId="77777777" w:rsidR="007E7472" w:rsidRDefault="00EC1269">
                <w:pPr>
                  <w:jc w:val="right"/>
                </w:pPr>
                <w:r>
                  <w:t>118</w:t>
                </w:r>
              </w:p>
            </w:tc>
            <w:tc>
              <w:tcPr>
                <w:tcW w:w="882" w:type="pct"/>
                <w:shd w:val="clear" w:color="auto" w:fill="auto"/>
                <w:vAlign w:val="center"/>
              </w:tcPr>
              <w:p w14:paraId="7C1E5452" w14:textId="77777777" w:rsidR="007E7472" w:rsidRDefault="00EC1269">
                <w:pPr>
                  <w:jc w:val="right"/>
                </w:pPr>
                <w:r>
                  <w:t>666</w:t>
                </w:r>
              </w:p>
            </w:tc>
            <w:tc>
              <w:tcPr>
                <w:tcW w:w="665" w:type="pct"/>
                <w:shd w:val="clear" w:color="auto" w:fill="auto"/>
                <w:vAlign w:val="center"/>
              </w:tcPr>
              <w:p w14:paraId="3295C4DA" w14:textId="77777777" w:rsidR="007E7472" w:rsidRDefault="00EC1269">
                <w:pPr>
                  <w:jc w:val="right"/>
                </w:pPr>
                <w:r>
                  <w:t>52,824</w:t>
                </w:r>
              </w:p>
            </w:tc>
          </w:tr>
          <w:tr w:rsidR="007E7472" w14:paraId="3227CAC1" w14:textId="77777777" w:rsidTr="007E7472">
            <w:trPr>
              <w:trHeight w:val="340"/>
            </w:trPr>
            <w:sdt>
              <w:sdtPr>
                <w:tag w:val="_PLD_5ce2e7ac546346f4a7bec33299c89503"/>
                <w:id w:val="-1436824845"/>
                <w:lock w:val="sdtLocked"/>
              </w:sdtPr>
              <w:sdtEndPr/>
              <w:sdtContent>
                <w:tc>
                  <w:tcPr>
                    <w:tcW w:w="1122" w:type="pct"/>
                    <w:shd w:val="clear" w:color="auto" w:fill="auto"/>
                    <w:vAlign w:val="center"/>
                  </w:tcPr>
                  <w:p w14:paraId="3F7E3883" w14:textId="77777777" w:rsidR="007E7472" w:rsidRDefault="00EC1269">
                    <w:pPr>
                      <w:jc w:val="center"/>
                    </w:pPr>
                    <w:r>
                      <w:rPr>
                        <w:rFonts w:hint="eastAsia"/>
                      </w:rPr>
                      <w:t>合计</w:t>
                    </w:r>
                  </w:p>
                </w:tc>
              </w:sdtContent>
            </w:sdt>
            <w:tc>
              <w:tcPr>
                <w:tcW w:w="723" w:type="pct"/>
                <w:shd w:val="clear" w:color="auto" w:fill="auto"/>
                <w:vAlign w:val="center"/>
              </w:tcPr>
              <w:p w14:paraId="684AE2B6" w14:textId="77777777" w:rsidR="007E7472" w:rsidRDefault="00EC1269">
                <w:pPr>
                  <w:jc w:val="right"/>
                </w:pPr>
                <w:r>
                  <w:t>2,110,582</w:t>
                </w:r>
              </w:p>
            </w:tc>
            <w:tc>
              <w:tcPr>
                <w:tcW w:w="804" w:type="pct"/>
                <w:shd w:val="clear" w:color="auto" w:fill="auto"/>
                <w:vAlign w:val="center"/>
              </w:tcPr>
              <w:p w14:paraId="1BE85A41" w14:textId="77777777" w:rsidR="007E7472" w:rsidRDefault="00EC1269">
                <w:pPr>
                  <w:jc w:val="right"/>
                </w:pPr>
                <w:r>
                  <w:t>8,393,190</w:t>
                </w:r>
              </w:p>
            </w:tc>
            <w:tc>
              <w:tcPr>
                <w:tcW w:w="804" w:type="pct"/>
                <w:shd w:val="clear" w:color="auto" w:fill="auto"/>
                <w:vAlign w:val="center"/>
              </w:tcPr>
              <w:p w14:paraId="3BDB25F0" w14:textId="77777777" w:rsidR="007E7472" w:rsidRDefault="00EC1269">
                <w:pPr>
                  <w:jc w:val="right"/>
                </w:pPr>
                <w:r>
                  <w:t>8,542,827</w:t>
                </w:r>
              </w:p>
            </w:tc>
            <w:tc>
              <w:tcPr>
                <w:tcW w:w="882" w:type="pct"/>
                <w:shd w:val="clear" w:color="auto" w:fill="auto"/>
                <w:vAlign w:val="center"/>
              </w:tcPr>
              <w:p w14:paraId="614B361C" w14:textId="77777777" w:rsidR="007E7472" w:rsidRDefault="00EC1269">
                <w:pPr>
                  <w:jc w:val="right"/>
                </w:pPr>
                <w:r>
                  <w:t>14,174</w:t>
                </w:r>
              </w:p>
            </w:tc>
            <w:tc>
              <w:tcPr>
                <w:tcW w:w="665" w:type="pct"/>
                <w:shd w:val="clear" w:color="auto" w:fill="auto"/>
                <w:vAlign w:val="center"/>
              </w:tcPr>
              <w:p w14:paraId="1D67CCC8" w14:textId="77777777" w:rsidR="007E7472" w:rsidRDefault="00EC1269">
                <w:pPr>
                  <w:jc w:val="right"/>
                </w:pPr>
                <w:r>
                  <w:t>1,975,119</w:t>
                </w:r>
              </w:p>
            </w:tc>
          </w:tr>
        </w:tbl>
        <w:p w14:paraId="3B9A2D7F" w14:textId="77777777" w:rsidR="007E7472" w:rsidRDefault="00C8327E"/>
      </w:sdtContent>
    </w:sdt>
    <w:sdt>
      <w:sdtPr>
        <w:rPr>
          <w:rFonts w:ascii="宋体" w:hAnsi="宋体" w:cs="宋体" w:hint="eastAsia"/>
          <w:b w:val="0"/>
          <w:bCs w:val="0"/>
          <w:kern w:val="0"/>
          <w:szCs w:val="21"/>
        </w:rPr>
        <w:alias w:val="模块:短期薪酬列示"/>
        <w:tag w:val="_GBC_8889528627cf49dfa80ba4d972a53405"/>
        <w:id w:val="-445468327"/>
        <w:lock w:val="sdtLocked"/>
        <w:placeholder>
          <w:docPart w:val="GBC22222222222222222222222222222"/>
        </w:placeholder>
      </w:sdtPr>
      <w:sdtEndPr>
        <w:rPr>
          <w:rFonts w:hint="default"/>
        </w:rPr>
      </w:sdtEndPr>
      <w:sdtContent>
        <w:p w14:paraId="24D043BF" w14:textId="77777777" w:rsidR="007E7472" w:rsidRDefault="00EC1269" w:rsidP="00162493">
          <w:pPr>
            <w:pStyle w:val="4"/>
            <w:numPr>
              <w:ilvl w:val="0"/>
              <w:numId w:val="85"/>
            </w:numPr>
          </w:pPr>
          <w:r>
            <w:rPr>
              <w:rFonts w:hint="eastAsia"/>
            </w:rPr>
            <w:t>短期薪酬列示</w:t>
          </w:r>
        </w:p>
        <w:sdt>
          <w:sdtPr>
            <w:alias w:val="是否适用：短期薪酬列示[双击切换]"/>
            <w:tag w:val="_GBC_fe9cc4ffdf524f4695448b31c76167ce"/>
            <w:id w:val="-1857107938"/>
            <w:lock w:val="sdtLocked"/>
            <w:placeholder>
              <w:docPart w:val="GBC22222222222222222222222222222"/>
            </w:placeholder>
          </w:sdtPr>
          <w:sdtEndPr/>
          <w:sdtContent>
            <w:p w14:paraId="64C3AB5C"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4191D25F" w14:textId="75644EBC" w:rsidR="007E7472" w:rsidRDefault="00EC1269">
          <w:pPr>
            <w:jc w:val="right"/>
          </w:pPr>
          <w:r>
            <w:rPr>
              <w:rFonts w:hint="eastAsia"/>
            </w:rPr>
            <w:t>单位：</w:t>
          </w:r>
          <w:sdt>
            <w:sdtPr>
              <w:rPr>
                <w:rFonts w:hint="eastAsia"/>
              </w:rPr>
              <w:alias w:val="单位：财务附注：短期薪酬"/>
              <w:tag w:val="_GBC_f5a2a934147944d68f11ca2bcce4d80f"/>
              <w:id w:val="-16852069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短期薪酬"/>
              <w:tag w:val="_GBC_ded097d86a7d48b8a8b1d9689a73bd5d"/>
              <w:id w:val="-11735658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3"/>
            <w:gridCol w:w="1276"/>
            <w:gridCol w:w="1417"/>
            <w:gridCol w:w="1276"/>
            <w:gridCol w:w="1558"/>
            <w:gridCol w:w="1173"/>
          </w:tblGrid>
          <w:tr w:rsidR="007E7472" w14:paraId="1C82045F" w14:textId="77777777" w:rsidTr="007E7472">
            <w:trPr>
              <w:trHeight w:val="684"/>
            </w:trPr>
            <w:sdt>
              <w:sdtPr>
                <w:tag w:val="_PLD_7b5378bc64e24511ae79d643c80f9c98"/>
                <w:id w:val="2049951623"/>
                <w:lock w:val="sdtLocked"/>
              </w:sdtPr>
              <w:sdtEndPr/>
              <w:sdtContent>
                <w:tc>
                  <w:tcPr>
                    <w:tcW w:w="1203" w:type="pct"/>
                    <w:tcBorders>
                      <w:top w:val="single" w:sz="4" w:space="0" w:color="auto"/>
                      <w:left w:val="single" w:sz="4" w:space="0" w:color="auto"/>
                      <w:bottom w:val="single" w:sz="4" w:space="0" w:color="auto"/>
                      <w:right w:val="single" w:sz="4" w:space="0" w:color="auto"/>
                    </w:tcBorders>
                    <w:vAlign w:val="center"/>
                  </w:tcPr>
                  <w:p w14:paraId="12405A36" w14:textId="77777777" w:rsidR="007E7472" w:rsidRDefault="00EC1269">
                    <w:pPr>
                      <w:autoSpaceDE w:val="0"/>
                      <w:autoSpaceDN w:val="0"/>
                      <w:adjustRightInd w:val="0"/>
                      <w:jc w:val="center"/>
                    </w:pPr>
                    <w:r>
                      <w:rPr>
                        <w:rFonts w:hint="eastAsia"/>
                      </w:rPr>
                      <w:t>项目</w:t>
                    </w:r>
                  </w:p>
                </w:tc>
              </w:sdtContent>
            </w:sdt>
            <w:sdt>
              <w:sdtPr>
                <w:tag w:val="_PLD_0144fa4bad154236aa75e1dcc0a89e56"/>
                <w:id w:val="-179739240"/>
                <w:lock w:val="sdtLocked"/>
              </w:sdtPr>
              <w:sdtEndPr/>
              <w:sdtContent>
                <w:tc>
                  <w:tcPr>
                    <w:tcW w:w="723" w:type="pct"/>
                    <w:tcBorders>
                      <w:top w:val="single" w:sz="4" w:space="0" w:color="auto"/>
                      <w:left w:val="single" w:sz="4" w:space="0" w:color="auto"/>
                      <w:bottom w:val="single" w:sz="4" w:space="0" w:color="auto"/>
                      <w:right w:val="single" w:sz="4" w:space="0" w:color="auto"/>
                    </w:tcBorders>
                    <w:vAlign w:val="center"/>
                  </w:tcPr>
                  <w:p w14:paraId="49D178F9" w14:textId="77777777" w:rsidR="007E7472" w:rsidRDefault="00EC1269">
                    <w:pPr>
                      <w:autoSpaceDE w:val="0"/>
                      <w:autoSpaceDN w:val="0"/>
                      <w:adjustRightInd w:val="0"/>
                      <w:jc w:val="center"/>
                    </w:pPr>
                    <w:r>
                      <w:rPr>
                        <w:rFonts w:hint="eastAsia"/>
                      </w:rPr>
                      <w:t>期初余额</w:t>
                    </w:r>
                  </w:p>
                </w:tc>
              </w:sdtContent>
            </w:sdt>
            <w:sdt>
              <w:sdtPr>
                <w:tag w:val="_PLD_2d15a4a9e10b4386a7ed67bc2137e04a"/>
                <w:id w:val="-998416001"/>
                <w:lock w:val="sdtLocked"/>
              </w:sdtPr>
              <w:sdtEndPr/>
              <w:sdtContent>
                <w:tc>
                  <w:tcPr>
                    <w:tcW w:w="803" w:type="pct"/>
                    <w:tcBorders>
                      <w:top w:val="single" w:sz="4" w:space="0" w:color="auto"/>
                      <w:left w:val="single" w:sz="4" w:space="0" w:color="auto"/>
                      <w:bottom w:val="single" w:sz="4" w:space="0" w:color="auto"/>
                      <w:right w:val="single" w:sz="4" w:space="0" w:color="auto"/>
                    </w:tcBorders>
                    <w:vAlign w:val="center"/>
                  </w:tcPr>
                  <w:p w14:paraId="041ABA82" w14:textId="77777777" w:rsidR="007E7472" w:rsidRDefault="00EC1269">
                    <w:pPr>
                      <w:jc w:val="center"/>
                    </w:pPr>
                    <w:r>
                      <w:rPr>
                        <w:rFonts w:hint="eastAsia"/>
                      </w:rPr>
                      <w:t>本期增加</w:t>
                    </w:r>
                  </w:p>
                </w:tc>
              </w:sdtContent>
            </w:sdt>
            <w:sdt>
              <w:sdtPr>
                <w:tag w:val="_PLD_12a2bbefe0874cde83fdb77f4a4158a1"/>
                <w:id w:val="-1903354822"/>
                <w:lock w:val="sdtLocked"/>
              </w:sdtPr>
              <w:sdtEndPr/>
              <w:sdtContent>
                <w:tc>
                  <w:tcPr>
                    <w:tcW w:w="723" w:type="pct"/>
                    <w:tcBorders>
                      <w:top w:val="single" w:sz="4" w:space="0" w:color="auto"/>
                      <w:left w:val="single" w:sz="4" w:space="0" w:color="auto"/>
                      <w:bottom w:val="single" w:sz="4" w:space="0" w:color="auto"/>
                      <w:right w:val="single" w:sz="4" w:space="0" w:color="auto"/>
                    </w:tcBorders>
                    <w:vAlign w:val="center"/>
                  </w:tcPr>
                  <w:p w14:paraId="1071BCBC" w14:textId="77777777" w:rsidR="007E7472" w:rsidRDefault="00EC1269">
                    <w:pPr>
                      <w:jc w:val="center"/>
                    </w:pPr>
                    <w:r>
                      <w:t>本期减少</w:t>
                    </w:r>
                  </w:p>
                </w:tc>
              </w:sdtContent>
            </w:sdt>
            <w:tc>
              <w:tcPr>
                <w:tcW w:w="883" w:type="pct"/>
                <w:tcBorders>
                  <w:top w:val="single" w:sz="4" w:space="0" w:color="auto"/>
                  <w:left w:val="single" w:sz="4" w:space="0" w:color="auto"/>
                  <w:bottom w:val="single" w:sz="4" w:space="0" w:color="auto"/>
                  <w:right w:val="single" w:sz="4" w:space="0" w:color="auto"/>
                </w:tcBorders>
                <w:vAlign w:val="center"/>
              </w:tcPr>
              <w:p w14:paraId="766231EA" w14:textId="77777777" w:rsidR="007E7472" w:rsidRDefault="00EC1269">
                <w:pPr>
                  <w:autoSpaceDE w:val="0"/>
                  <w:autoSpaceDN w:val="0"/>
                  <w:adjustRightInd w:val="0"/>
                  <w:jc w:val="center"/>
                </w:pPr>
                <w:r>
                  <w:rPr>
                    <w:rFonts w:hint="eastAsia"/>
                  </w:rPr>
                  <w:t>外币报表折算</w:t>
                </w:r>
              </w:p>
            </w:tc>
            <w:sdt>
              <w:sdtPr>
                <w:tag w:val="_PLD_190d6bcbbde148ffb48f230c6d9d7186"/>
                <w:id w:val="511341913"/>
                <w:lock w:val="sdtLocked"/>
              </w:sdtPr>
              <w:sdtEndPr/>
              <w:sdtContent>
                <w:tc>
                  <w:tcPr>
                    <w:tcW w:w="665" w:type="pct"/>
                    <w:tcBorders>
                      <w:top w:val="single" w:sz="4" w:space="0" w:color="auto"/>
                      <w:left w:val="single" w:sz="4" w:space="0" w:color="auto"/>
                      <w:bottom w:val="single" w:sz="4" w:space="0" w:color="auto"/>
                      <w:right w:val="single" w:sz="4" w:space="0" w:color="auto"/>
                    </w:tcBorders>
                    <w:vAlign w:val="center"/>
                  </w:tcPr>
                  <w:p w14:paraId="3021D200" w14:textId="77777777" w:rsidR="007E7472" w:rsidRDefault="00EC1269">
                    <w:pPr>
                      <w:autoSpaceDE w:val="0"/>
                      <w:autoSpaceDN w:val="0"/>
                      <w:adjustRightInd w:val="0"/>
                      <w:jc w:val="center"/>
                    </w:pPr>
                    <w:r>
                      <w:rPr>
                        <w:rFonts w:hint="eastAsia"/>
                      </w:rPr>
                      <w:t>期末余额</w:t>
                    </w:r>
                  </w:p>
                </w:tc>
              </w:sdtContent>
            </w:sdt>
          </w:tr>
          <w:tr w:rsidR="007E7472" w14:paraId="0E7A8329" w14:textId="77777777">
            <w:sdt>
              <w:sdtPr>
                <w:tag w:val="_PLD_b24db0ed8285493c9b46db6af314618d"/>
                <w:id w:val="1148022829"/>
                <w:lock w:val="sdtLocked"/>
              </w:sdtPr>
              <w:sdtEndPr/>
              <w:sdtContent>
                <w:tc>
                  <w:tcPr>
                    <w:tcW w:w="1203" w:type="pct"/>
                    <w:tcBorders>
                      <w:top w:val="single" w:sz="4" w:space="0" w:color="auto"/>
                      <w:left w:val="single" w:sz="4" w:space="0" w:color="auto"/>
                      <w:bottom w:val="single" w:sz="4" w:space="0" w:color="auto"/>
                      <w:right w:val="single" w:sz="4" w:space="0" w:color="auto"/>
                    </w:tcBorders>
                  </w:tcPr>
                  <w:p w14:paraId="42EE7718" w14:textId="77777777" w:rsidR="007E7472" w:rsidRDefault="00EC1269">
                    <w:pPr>
                      <w:autoSpaceDE w:val="0"/>
                      <w:autoSpaceDN w:val="0"/>
                      <w:adjustRightInd w:val="0"/>
                    </w:pPr>
                    <w:r>
                      <w:rPr>
                        <w:rFonts w:hint="eastAsia"/>
                      </w:rPr>
                      <w:t>一、工资、奖金、津贴和补贴</w:t>
                    </w:r>
                  </w:p>
                </w:tc>
              </w:sdtContent>
            </w:sdt>
            <w:tc>
              <w:tcPr>
                <w:tcW w:w="723" w:type="pct"/>
                <w:tcBorders>
                  <w:top w:val="single" w:sz="4" w:space="0" w:color="auto"/>
                  <w:left w:val="single" w:sz="4" w:space="0" w:color="auto"/>
                  <w:bottom w:val="single" w:sz="4" w:space="0" w:color="auto"/>
                  <w:right w:val="single" w:sz="4" w:space="0" w:color="auto"/>
                </w:tcBorders>
                <w:vAlign w:val="center"/>
              </w:tcPr>
              <w:p w14:paraId="515BB19A" w14:textId="77777777" w:rsidR="007E7472" w:rsidRDefault="00EC1269">
                <w:pPr>
                  <w:jc w:val="right"/>
                  <w:rPr>
                    <w:bCs/>
                  </w:rPr>
                </w:pPr>
                <w:r>
                  <w:t>821,772</w:t>
                </w:r>
              </w:p>
            </w:tc>
            <w:tc>
              <w:tcPr>
                <w:tcW w:w="803" w:type="pct"/>
                <w:tcBorders>
                  <w:top w:val="single" w:sz="4" w:space="0" w:color="auto"/>
                  <w:left w:val="single" w:sz="4" w:space="0" w:color="auto"/>
                  <w:bottom w:val="single" w:sz="4" w:space="0" w:color="auto"/>
                  <w:right w:val="single" w:sz="4" w:space="0" w:color="auto"/>
                </w:tcBorders>
                <w:vAlign w:val="center"/>
              </w:tcPr>
              <w:p w14:paraId="45B951A3" w14:textId="77777777" w:rsidR="007E7472" w:rsidRDefault="00EC1269">
                <w:pPr>
                  <w:jc w:val="right"/>
                </w:pPr>
                <w:r>
                  <w:t>5,207,141</w:t>
                </w:r>
              </w:p>
            </w:tc>
            <w:tc>
              <w:tcPr>
                <w:tcW w:w="723" w:type="pct"/>
                <w:tcBorders>
                  <w:top w:val="single" w:sz="4" w:space="0" w:color="auto"/>
                  <w:left w:val="single" w:sz="4" w:space="0" w:color="auto"/>
                  <w:bottom w:val="single" w:sz="4" w:space="0" w:color="auto"/>
                  <w:right w:val="single" w:sz="4" w:space="0" w:color="auto"/>
                </w:tcBorders>
                <w:vAlign w:val="center"/>
              </w:tcPr>
              <w:p w14:paraId="717DBB3F" w14:textId="77777777" w:rsidR="007E7472" w:rsidRDefault="00EC1269">
                <w:pPr>
                  <w:jc w:val="right"/>
                </w:pPr>
                <w:r>
                  <w:t>5,587,335</w:t>
                </w:r>
              </w:p>
            </w:tc>
            <w:tc>
              <w:tcPr>
                <w:tcW w:w="883" w:type="pct"/>
                <w:tcBorders>
                  <w:top w:val="single" w:sz="4" w:space="0" w:color="auto"/>
                  <w:left w:val="single" w:sz="4" w:space="0" w:color="auto"/>
                  <w:bottom w:val="single" w:sz="4" w:space="0" w:color="auto"/>
                  <w:right w:val="single" w:sz="4" w:space="0" w:color="auto"/>
                </w:tcBorders>
                <w:vAlign w:val="center"/>
              </w:tcPr>
              <w:p w14:paraId="7F854257" w14:textId="77777777" w:rsidR="007E7472" w:rsidRDefault="00EC1269">
                <w:pPr>
                  <w:jc w:val="right"/>
                </w:pPr>
                <w:r>
                  <w:t>4,057</w:t>
                </w:r>
              </w:p>
            </w:tc>
            <w:tc>
              <w:tcPr>
                <w:tcW w:w="665" w:type="pct"/>
                <w:tcBorders>
                  <w:top w:val="single" w:sz="4" w:space="0" w:color="auto"/>
                  <w:left w:val="single" w:sz="4" w:space="0" w:color="auto"/>
                  <w:bottom w:val="single" w:sz="4" w:space="0" w:color="auto"/>
                  <w:right w:val="single" w:sz="4" w:space="0" w:color="auto"/>
                </w:tcBorders>
                <w:vAlign w:val="center"/>
              </w:tcPr>
              <w:p w14:paraId="364EF785" w14:textId="77777777" w:rsidR="007E7472" w:rsidRDefault="00EC1269">
                <w:pPr>
                  <w:jc w:val="right"/>
                </w:pPr>
                <w:r>
                  <w:t>445,635</w:t>
                </w:r>
              </w:p>
            </w:tc>
          </w:tr>
          <w:tr w:rsidR="007E7472" w14:paraId="547C076D" w14:textId="77777777" w:rsidTr="007E7472">
            <w:trPr>
              <w:trHeight w:val="340"/>
            </w:trPr>
            <w:sdt>
              <w:sdtPr>
                <w:tag w:val="_PLD_f557df41d0484816863da6fa2f5bb6e0"/>
                <w:id w:val="-903669968"/>
                <w:lock w:val="sdtLocked"/>
              </w:sdtPr>
              <w:sdtEndPr/>
              <w:sdtContent>
                <w:tc>
                  <w:tcPr>
                    <w:tcW w:w="1203" w:type="pct"/>
                    <w:tcBorders>
                      <w:top w:val="single" w:sz="4" w:space="0" w:color="auto"/>
                      <w:left w:val="single" w:sz="4" w:space="0" w:color="auto"/>
                      <w:bottom w:val="single" w:sz="4" w:space="0" w:color="auto"/>
                      <w:right w:val="single" w:sz="4" w:space="0" w:color="auto"/>
                    </w:tcBorders>
                    <w:vAlign w:val="center"/>
                  </w:tcPr>
                  <w:p w14:paraId="0D066735" w14:textId="77777777" w:rsidR="007E7472" w:rsidRDefault="00EC1269">
                    <w:pPr>
                      <w:autoSpaceDE w:val="0"/>
                      <w:autoSpaceDN w:val="0"/>
                      <w:adjustRightInd w:val="0"/>
                    </w:pPr>
                    <w:r>
                      <w:rPr>
                        <w:rFonts w:hint="eastAsia"/>
                      </w:rPr>
                      <w:t>二、职工福利费</w:t>
                    </w:r>
                  </w:p>
                </w:tc>
              </w:sdtContent>
            </w:sdt>
            <w:tc>
              <w:tcPr>
                <w:tcW w:w="723" w:type="pct"/>
                <w:tcBorders>
                  <w:top w:val="single" w:sz="4" w:space="0" w:color="auto"/>
                  <w:left w:val="single" w:sz="4" w:space="0" w:color="auto"/>
                  <w:bottom w:val="single" w:sz="4" w:space="0" w:color="auto"/>
                  <w:right w:val="single" w:sz="4" w:space="0" w:color="auto"/>
                </w:tcBorders>
                <w:vAlign w:val="center"/>
              </w:tcPr>
              <w:p w14:paraId="49B20F48" w14:textId="77777777" w:rsidR="007E7472" w:rsidRDefault="00EC1269">
                <w:pPr>
                  <w:jc w:val="right"/>
                </w:pPr>
                <w:r>
                  <w:t>2,257</w:t>
                </w:r>
              </w:p>
            </w:tc>
            <w:tc>
              <w:tcPr>
                <w:tcW w:w="803" w:type="pct"/>
                <w:tcBorders>
                  <w:top w:val="single" w:sz="4" w:space="0" w:color="auto"/>
                  <w:left w:val="single" w:sz="4" w:space="0" w:color="auto"/>
                  <w:bottom w:val="single" w:sz="4" w:space="0" w:color="auto"/>
                  <w:right w:val="single" w:sz="4" w:space="0" w:color="auto"/>
                </w:tcBorders>
                <w:vAlign w:val="center"/>
              </w:tcPr>
              <w:p w14:paraId="4F010B61" w14:textId="77777777" w:rsidR="007E7472" w:rsidRDefault="00EC1269">
                <w:pPr>
                  <w:jc w:val="right"/>
                </w:pPr>
                <w:r>
                  <w:t>612,797</w:t>
                </w:r>
              </w:p>
            </w:tc>
            <w:tc>
              <w:tcPr>
                <w:tcW w:w="723" w:type="pct"/>
                <w:tcBorders>
                  <w:top w:val="single" w:sz="4" w:space="0" w:color="auto"/>
                  <w:left w:val="single" w:sz="4" w:space="0" w:color="auto"/>
                  <w:bottom w:val="single" w:sz="4" w:space="0" w:color="auto"/>
                  <w:right w:val="single" w:sz="4" w:space="0" w:color="auto"/>
                </w:tcBorders>
                <w:vAlign w:val="center"/>
              </w:tcPr>
              <w:p w14:paraId="761E7A5A" w14:textId="77777777" w:rsidR="007E7472" w:rsidRDefault="00EC1269">
                <w:pPr>
                  <w:jc w:val="right"/>
                </w:pPr>
                <w:r>
                  <w:t>614,124</w:t>
                </w:r>
              </w:p>
            </w:tc>
            <w:tc>
              <w:tcPr>
                <w:tcW w:w="883" w:type="pct"/>
                <w:tcBorders>
                  <w:top w:val="single" w:sz="4" w:space="0" w:color="auto"/>
                  <w:left w:val="single" w:sz="4" w:space="0" w:color="auto"/>
                  <w:bottom w:val="single" w:sz="4" w:space="0" w:color="auto"/>
                  <w:right w:val="single" w:sz="4" w:space="0" w:color="auto"/>
                </w:tcBorders>
                <w:vAlign w:val="center"/>
              </w:tcPr>
              <w:p w14:paraId="0A48C10A" w14:textId="77777777" w:rsidR="007E7472" w:rsidRDefault="00C8327E">
                <w:pPr>
                  <w:jc w:val="right"/>
                </w:pPr>
              </w:p>
            </w:tc>
            <w:tc>
              <w:tcPr>
                <w:tcW w:w="665" w:type="pct"/>
                <w:tcBorders>
                  <w:top w:val="single" w:sz="4" w:space="0" w:color="auto"/>
                  <w:left w:val="single" w:sz="4" w:space="0" w:color="auto"/>
                  <w:bottom w:val="single" w:sz="4" w:space="0" w:color="auto"/>
                  <w:right w:val="single" w:sz="4" w:space="0" w:color="auto"/>
                </w:tcBorders>
                <w:vAlign w:val="center"/>
              </w:tcPr>
              <w:p w14:paraId="2422574E" w14:textId="77777777" w:rsidR="007E7472" w:rsidRDefault="00EC1269">
                <w:pPr>
                  <w:jc w:val="right"/>
                </w:pPr>
                <w:r>
                  <w:t>930</w:t>
                </w:r>
              </w:p>
            </w:tc>
          </w:tr>
          <w:tr w:rsidR="007E7472" w14:paraId="7F1542D3" w14:textId="77777777" w:rsidTr="007E7472">
            <w:trPr>
              <w:trHeight w:val="340"/>
            </w:trPr>
            <w:sdt>
              <w:sdtPr>
                <w:tag w:val="_PLD_dbac61dc87104ba08157258eaf632c94"/>
                <w:id w:val="-434749925"/>
                <w:lock w:val="sdtLocked"/>
              </w:sdtPr>
              <w:sdtEndPr/>
              <w:sdtContent>
                <w:tc>
                  <w:tcPr>
                    <w:tcW w:w="1203" w:type="pct"/>
                    <w:tcBorders>
                      <w:top w:val="single" w:sz="4" w:space="0" w:color="auto"/>
                      <w:left w:val="single" w:sz="4" w:space="0" w:color="auto"/>
                      <w:bottom w:val="single" w:sz="4" w:space="0" w:color="auto"/>
                      <w:right w:val="single" w:sz="4" w:space="0" w:color="auto"/>
                    </w:tcBorders>
                    <w:vAlign w:val="center"/>
                  </w:tcPr>
                  <w:p w14:paraId="3535D45D" w14:textId="77777777" w:rsidR="007E7472" w:rsidRDefault="00EC1269">
                    <w:pPr>
                      <w:autoSpaceDE w:val="0"/>
                      <w:autoSpaceDN w:val="0"/>
                      <w:adjustRightInd w:val="0"/>
                    </w:pPr>
                    <w:r>
                      <w:rPr>
                        <w:rFonts w:hint="eastAsia"/>
                      </w:rPr>
                      <w:t>三、社会保险费</w:t>
                    </w:r>
                  </w:p>
                </w:tc>
              </w:sdtContent>
            </w:sdt>
            <w:tc>
              <w:tcPr>
                <w:tcW w:w="723" w:type="pct"/>
                <w:tcBorders>
                  <w:top w:val="single" w:sz="4" w:space="0" w:color="auto"/>
                  <w:left w:val="single" w:sz="4" w:space="0" w:color="auto"/>
                  <w:bottom w:val="single" w:sz="4" w:space="0" w:color="auto"/>
                  <w:right w:val="single" w:sz="4" w:space="0" w:color="auto"/>
                </w:tcBorders>
                <w:vAlign w:val="center"/>
              </w:tcPr>
              <w:p w14:paraId="6D20BF9C" w14:textId="77777777" w:rsidR="007E7472" w:rsidRDefault="00EC1269">
                <w:pPr>
                  <w:jc w:val="right"/>
                </w:pPr>
                <w:r>
                  <w:t>258,800</w:t>
                </w:r>
              </w:p>
            </w:tc>
            <w:tc>
              <w:tcPr>
                <w:tcW w:w="803" w:type="pct"/>
                <w:tcBorders>
                  <w:top w:val="single" w:sz="4" w:space="0" w:color="auto"/>
                  <w:left w:val="single" w:sz="4" w:space="0" w:color="auto"/>
                  <w:bottom w:val="single" w:sz="4" w:space="0" w:color="auto"/>
                  <w:right w:val="single" w:sz="4" w:space="0" w:color="auto"/>
                </w:tcBorders>
                <w:vAlign w:val="center"/>
              </w:tcPr>
              <w:p w14:paraId="1C63BCFC" w14:textId="77777777" w:rsidR="007E7472" w:rsidRDefault="00EC1269">
                <w:pPr>
                  <w:jc w:val="right"/>
                </w:pPr>
                <w:r>
                  <w:t>429,338</w:t>
                </w:r>
              </w:p>
            </w:tc>
            <w:tc>
              <w:tcPr>
                <w:tcW w:w="723" w:type="pct"/>
                <w:tcBorders>
                  <w:top w:val="single" w:sz="4" w:space="0" w:color="auto"/>
                  <w:left w:val="single" w:sz="4" w:space="0" w:color="auto"/>
                  <w:bottom w:val="single" w:sz="4" w:space="0" w:color="auto"/>
                  <w:right w:val="single" w:sz="4" w:space="0" w:color="auto"/>
                </w:tcBorders>
                <w:vAlign w:val="center"/>
              </w:tcPr>
              <w:p w14:paraId="3955C605" w14:textId="77777777" w:rsidR="007E7472" w:rsidRDefault="00EC1269">
                <w:pPr>
                  <w:jc w:val="right"/>
                </w:pPr>
                <w:r>
                  <w:t>371,680</w:t>
                </w:r>
              </w:p>
            </w:tc>
            <w:tc>
              <w:tcPr>
                <w:tcW w:w="883" w:type="pct"/>
                <w:tcBorders>
                  <w:top w:val="single" w:sz="4" w:space="0" w:color="auto"/>
                  <w:left w:val="single" w:sz="4" w:space="0" w:color="auto"/>
                  <w:bottom w:val="single" w:sz="4" w:space="0" w:color="auto"/>
                  <w:right w:val="single" w:sz="4" w:space="0" w:color="auto"/>
                </w:tcBorders>
                <w:vAlign w:val="center"/>
              </w:tcPr>
              <w:p w14:paraId="2A9A89AE" w14:textId="77777777" w:rsidR="007E7472" w:rsidRDefault="00C8327E">
                <w:pPr>
                  <w:jc w:val="right"/>
                </w:pPr>
              </w:p>
            </w:tc>
            <w:tc>
              <w:tcPr>
                <w:tcW w:w="665" w:type="pct"/>
                <w:tcBorders>
                  <w:top w:val="single" w:sz="4" w:space="0" w:color="auto"/>
                  <w:left w:val="single" w:sz="4" w:space="0" w:color="auto"/>
                  <w:bottom w:val="single" w:sz="4" w:space="0" w:color="auto"/>
                  <w:right w:val="single" w:sz="4" w:space="0" w:color="auto"/>
                </w:tcBorders>
                <w:vAlign w:val="center"/>
              </w:tcPr>
              <w:p w14:paraId="05A0A637" w14:textId="77777777" w:rsidR="007E7472" w:rsidRDefault="00EC1269">
                <w:pPr>
                  <w:jc w:val="right"/>
                </w:pPr>
                <w:r>
                  <w:t>316,458</w:t>
                </w:r>
              </w:p>
            </w:tc>
          </w:tr>
          <w:tr w:rsidR="007E7472" w14:paraId="4D8BFCD1" w14:textId="77777777" w:rsidTr="007E7472">
            <w:trPr>
              <w:trHeight w:val="340"/>
            </w:trPr>
            <w:sdt>
              <w:sdtPr>
                <w:tag w:val="_PLD_1ae6ec180f494dc4bdbe2a71caadcf9d"/>
                <w:id w:val="-234319954"/>
                <w:lock w:val="sdtLocked"/>
              </w:sdtPr>
              <w:sdtEndPr/>
              <w:sdtContent>
                <w:tc>
                  <w:tcPr>
                    <w:tcW w:w="1203" w:type="pct"/>
                    <w:tcBorders>
                      <w:top w:val="single" w:sz="4" w:space="0" w:color="auto"/>
                      <w:left w:val="single" w:sz="4" w:space="0" w:color="auto"/>
                      <w:bottom w:val="single" w:sz="4" w:space="0" w:color="auto"/>
                      <w:right w:val="single" w:sz="4" w:space="0" w:color="auto"/>
                    </w:tcBorders>
                    <w:vAlign w:val="center"/>
                  </w:tcPr>
                  <w:p w14:paraId="6DB1975B" w14:textId="77777777" w:rsidR="007E7472" w:rsidRDefault="00EC1269">
                    <w:pPr>
                      <w:rPr>
                        <w:color w:val="008000"/>
                      </w:rPr>
                    </w:pPr>
                    <w:r>
                      <w:rPr>
                        <w:rFonts w:hint="eastAsia"/>
                      </w:rPr>
                      <w:t>其中：</w:t>
                    </w:r>
                    <w:r>
                      <w:t>医疗保险费</w:t>
                    </w:r>
                  </w:p>
                </w:tc>
              </w:sdtContent>
            </w:sdt>
            <w:tc>
              <w:tcPr>
                <w:tcW w:w="723" w:type="pct"/>
                <w:tcBorders>
                  <w:top w:val="single" w:sz="4" w:space="0" w:color="auto"/>
                  <w:left w:val="single" w:sz="4" w:space="0" w:color="auto"/>
                  <w:bottom w:val="single" w:sz="4" w:space="0" w:color="auto"/>
                  <w:right w:val="single" w:sz="4" w:space="0" w:color="auto"/>
                </w:tcBorders>
                <w:vAlign w:val="center"/>
              </w:tcPr>
              <w:p w14:paraId="51085DE4" w14:textId="77777777" w:rsidR="007E7472" w:rsidRDefault="00EC1269">
                <w:pPr>
                  <w:jc w:val="right"/>
                </w:pPr>
                <w:r>
                  <w:t>234,777</w:t>
                </w:r>
              </w:p>
            </w:tc>
            <w:tc>
              <w:tcPr>
                <w:tcW w:w="803" w:type="pct"/>
                <w:tcBorders>
                  <w:top w:val="single" w:sz="4" w:space="0" w:color="auto"/>
                  <w:left w:val="single" w:sz="4" w:space="0" w:color="auto"/>
                  <w:bottom w:val="single" w:sz="4" w:space="0" w:color="auto"/>
                  <w:right w:val="single" w:sz="4" w:space="0" w:color="auto"/>
                </w:tcBorders>
                <w:vAlign w:val="center"/>
              </w:tcPr>
              <w:p w14:paraId="4906D9F5" w14:textId="77777777" w:rsidR="007E7472" w:rsidRDefault="00EC1269">
                <w:pPr>
                  <w:jc w:val="right"/>
                </w:pPr>
                <w:r>
                  <w:t>387,224</w:t>
                </w:r>
              </w:p>
            </w:tc>
            <w:tc>
              <w:tcPr>
                <w:tcW w:w="723" w:type="pct"/>
                <w:tcBorders>
                  <w:top w:val="single" w:sz="4" w:space="0" w:color="auto"/>
                  <w:left w:val="single" w:sz="4" w:space="0" w:color="auto"/>
                  <w:bottom w:val="single" w:sz="4" w:space="0" w:color="auto"/>
                  <w:right w:val="single" w:sz="4" w:space="0" w:color="auto"/>
                </w:tcBorders>
                <w:vAlign w:val="center"/>
              </w:tcPr>
              <w:p w14:paraId="26E45596" w14:textId="77777777" w:rsidR="007E7472" w:rsidRDefault="00EC1269">
                <w:pPr>
                  <w:jc w:val="right"/>
                </w:pPr>
                <w:r>
                  <w:t>329,016</w:t>
                </w:r>
              </w:p>
            </w:tc>
            <w:tc>
              <w:tcPr>
                <w:tcW w:w="883" w:type="pct"/>
                <w:tcBorders>
                  <w:top w:val="single" w:sz="4" w:space="0" w:color="auto"/>
                  <w:left w:val="single" w:sz="4" w:space="0" w:color="auto"/>
                  <w:bottom w:val="single" w:sz="4" w:space="0" w:color="auto"/>
                  <w:right w:val="single" w:sz="4" w:space="0" w:color="auto"/>
                </w:tcBorders>
                <w:vAlign w:val="center"/>
              </w:tcPr>
              <w:p w14:paraId="20B41D35" w14:textId="77777777" w:rsidR="007E7472" w:rsidRDefault="00C8327E">
                <w:pPr>
                  <w:jc w:val="right"/>
                </w:pPr>
              </w:p>
            </w:tc>
            <w:tc>
              <w:tcPr>
                <w:tcW w:w="665" w:type="pct"/>
                <w:tcBorders>
                  <w:top w:val="single" w:sz="4" w:space="0" w:color="auto"/>
                  <w:left w:val="single" w:sz="4" w:space="0" w:color="auto"/>
                  <w:bottom w:val="single" w:sz="4" w:space="0" w:color="auto"/>
                  <w:right w:val="single" w:sz="4" w:space="0" w:color="auto"/>
                </w:tcBorders>
                <w:vAlign w:val="center"/>
              </w:tcPr>
              <w:p w14:paraId="38D13932" w14:textId="77777777" w:rsidR="007E7472" w:rsidRDefault="00EC1269">
                <w:pPr>
                  <w:jc w:val="right"/>
                </w:pPr>
                <w:r>
                  <w:t>292,985</w:t>
                </w:r>
              </w:p>
            </w:tc>
          </w:tr>
          <w:tr w:rsidR="007E7472" w14:paraId="42B6A61A" w14:textId="77777777" w:rsidTr="007E7472">
            <w:trPr>
              <w:trHeight w:val="340"/>
            </w:trPr>
            <w:sdt>
              <w:sdtPr>
                <w:tag w:val="_PLD_a5396281963e4191a16040ecc2da4b44"/>
                <w:id w:val="1712447774"/>
                <w:lock w:val="sdtLocked"/>
              </w:sdtPr>
              <w:sdtEndPr/>
              <w:sdtContent>
                <w:tc>
                  <w:tcPr>
                    <w:tcW w:w="1203" w:type="pct"/>
                    <w:tcBorders>
                      <w:top w:val="single" w:sz="4" w:space="0" w:color="auto"/>
                      <w:left w:val="single" w:sz="4" w:space="0" w:color="auto"/>
                      <w:bottom w:val="single" w:sz="4" w:space="0" w:color="auto"/>
                      <w:right w:val="single" w:sz="4" w:space="0" w:color="auto"/>
                    </w:tcBorders>
                    <w:vAlign w:val="center"/>
                  </w:tcPr>
                  <w:p w14:paraId="0E6ECCF9" w14:textId="77777777" w:rsidR="007E7472" w:rsidRDefault="00EC1269">
                    <w:pPr>
                      <w:ind w:firstLineChars="300" w:firstLine="630"/>
                    </w:pPr>
                    <w:r>
                      <w:rPr>
                        <w:rFonts w:hint="eastAsia"/>
                      </w:rPr>
                      <w:t>工伤保险费</w:t>
                    </w:r>
                  </w:p>
                </w:tc>
              </w:sdtContent>
            </w:sdt>
            <w:tc>
              <w:tcPr>
                <w:tcW w:w="723" w:type="pct"/>
                <w:tcBorders>
                  <w:top w:val="single" w:sz="4" w:space="0" w:color="auto"/>
                  <w:left w:val="single" w:sz="4" w:space="0" w:color="auto"/>
                  <w:bottom w:val="single" w:sz="4" w:space="0" w:color="auto"/>
                  <w:right w:val="single" w:sz="4" w:space="0" w:color="auto"/>
                </w:tcBorders>
                <w:vAlign w:val="center"/>
              </w:tcPr>
              <w:p w14:paraId="4BBA2746" w14:textId="77777777" w:rsidR="007E7472" w:rsidRDefault="00EC1269">
                <w:pPr>
                  <w:jc w:val="right"/>
                </w:pPr>
                <w:r>
                  <w:t>21,780</w:t>
                </w:r>
              </w:p>
            </w:tc>
            <w:tc>
              <w:tcPr>
                <w:tcW w:w="803" w:type="pct"/>
                <w:tcBorders>
                  <w:top w:val="single" w:sz="4" w:space="0" w:color="auto"/>
                  <w:left w:val="single" w:sz="4" w:space="0" w:color="auto"/>
                  <w:bottom w:val="single" w:sz="4" w:space="0" w:color="auto"/>
                  <w:right w:val="single" w:sz="4" w:space="0" w:color="auto"/>
                </w:tcBorders>
                <w:vAlign w:val="center"/>
              </w:tcPr>
              <w:p w14:paraId="3F8198D3" w14:textId="77777777" w:rsidR="007E7472" w:rsidRDefault="00EC1269">
                <w:pPr>
                  <w:jc w:val="right"/>
                </w:pPr>
                <w:r>
                  <w:t>38,514</w:t>
                </w:r>
              </w:p>
            </w:tc>
            <w:tc>
              <w:tcPr>
                <w:tcW w:w="723" w:type="pct"/>
                <w:tcBorders>
                  <w:top w:val="single" w:sz="4" w:space="0" w:color="auto"/>
                  <w:left w:val="single" w:sz="4" w:space="0" w:color="auto"/>
                  <w:bottom w:val="single" w:sz="4" w:space="0" w:color="auto"/>
                  <w:right w:val="single" w:sz="4" w:space="0" w:color="auto"/>
                </w:tcBorders>
                <w:vAlign w:val="center"/>
              </w:tcPr>
              <w:p w14:paraId="69D09BCF" w14:textId="77777777" w:rsidR="007E7472" w:rsidRDefault="00EC1269">
                <w:pPr>
                  <w:jc w:val="right"/>
                </w:pPr>
                <w:r>
                  <w:t>42,145</w:t>
                </w:r>
              </w:p>
            </w:tc>
            <w:tc>
              <w:tcPr>
                <w:tcW w:w="883" w:type="pct"/>
                <w:tcBorders>
                  <w:top w:val="single" w:sz="4" w:space="0" w:color="auto"/>
                  <w:left w:val="single" w:sz="4" w:space="0" w:color="auto"/>
                  <w:bottom w:val="single" w:sz="4" w:space="0" w:color="auto"/>
                  <w:right w:val="single" w:sz="4" w:space="0" w:color="auto"/>
                </w:tcBorders>
                <w:vAlign w:val="center"/>
              </w:tcPr>
              <w:p w14:paraId="02F64725" w14:textId="77777777" w:rsidR="007E7472" w:rsidRDefault="00C8327E">
                <w:pPr>
                  <w:jc w:val="right"/>
                </w:pPr>
              </w:p>
            </w:tc>
            <w:tc>
              <w:tcPr>
                <w:tcW w:w="665" w:type="pct"/>
                <w:tcBorders>
                  <w:top w:val="single" w:sz="4" w:space="0" w:color="auto"/>
                  <w:left w:val="single" w:sz="4" w:space="0" w:color="auto"/>
                  <w:bottom w:val="single" w:sz="4" w:space="0" w:color="auto"/>
                  <w:right w:val="single" w:sz="4" w:space="0" w:color="auto"/>
                </w:tcBorders>
                <w:vAlign w:val="center"/>
              </w:tcPr>
              <w:p w14:paraId="3D13FBFB" w14:textId="77777777" w:rsidR="007E7472" w:rsidRDefault="00EC1269">
                <w:pPr>
                  <w:jc w:val="right"/>
                </w:pPr>
                <w:r>
                  <w:t>18,149</w:t>
                </w:r>
              </w:p>
            </w:tc>
          </w:tr>
          <w:tr w:rsidR="007E7472" w14:paraId="1806E9D0" w14:textId="77777777" w:rsidTr="007E7472">
            <w:trPr>
              <w:trHeight w:val="340"/>
            </w:trPr>
            <w:sdt>
              <w:sdtPr>
                <w:tag w:val="_PLD_804a3b1683d741ebb83bd99deed156d6"/>
                <w:id w:val="-1543126554"/>
                <w:lock w:val="sdtLocked"/>
              </w:sdtPr>
              <w:sdtEndPr/>
              <w:sdtContent>
                <w:tc>
                  <w:tcPr>
                    <w:tcW w:w="1203" w:type="pct"/>
                    <w:tcBorders>
                      <w:top w:val="single" w:sz="4" w:space="0" w:color="auto"/>
                      <w:left w:val="single" w:sz="4" w:space="0" w:color="auto"/>
                      <w:bottom w:val="single" w:sz="4" w:space="0" w:color="auto"/>
                      <w:right w:val="single" w:sz="4" w:space="0" w:color="auto"/>
                    </w:tcBorders>
                    <w:vAlign w:val="center"/>
                  </w:tcPr>
                  <w:p w14:paraId="740EFCB9" w14:textId="77777777" w:rsidR="007E7472" w:rsidRDefault="00EC1269">
                    <w:pPr>
                      <w:ind w:firstLineChars="300" w:firstLine="630"/>
                    </w:pPr>
                    <w:r>
                      <w:rPr>
                        <w:rFonts w:hint="eastAsia"/>
                      </w:rPr>
                      <w:t>生育保险费</w:t>
                    </w:r>
                  </w:p>
                </w:tc>
              </w:sdtContent>
            </w:sdt>
            <w:tc>
              <w:tcPr>
                <w:tcW w:w="723" w:type="pct"/>
                <w:tcBorders>
                  <w:top w:val="single" w:sz="4" w:space="0" w:color="auto"/>
                  <w:left w:val="single" w:sz="4" w:space="0" w:color="auto"/>
                  <w:bottom w:val="single" w:sz="4" w:space="0" w:color="auto"/>
                  <w:right w:val="single" w:sz="4" w:space="0" w:color="auto"/>
                </w:tcBorders>
                <w:vAlign w:val="center"/>
              </w:tcPr>
              <w:p w14:paraId="7E0237C5" w14:textId="77777777" w:rsidR="007E7472" w:rsidRDefault="00EC1269">
                <w:pPr>
                  <w:jc w:val="right"/>
                </w:pPr>
                <w:r>
                  <w:t>2,243</w:t>
                </w:r>
              </w:p>
            </w:tc>
            <w:tc>
              <w:tcPr>
                <w:tcW w:w="803" w:type="pct"/>
                <w:tcBorders>
                  <w:top w:val="single" w:sz="4" w:space="0" w:color="auto"/>
                  <w:left w:val="single" w:sz="4" w:space="0" w:color="auto"/>
                  <w:bottom w:val="single" w:sz="4" w:space="0" w:color="auto"/>
                  <w:right w:val="single" w:sz="4" w:space="0" w:color="auto"/>
                </w:tcBorders>
                <w:vAlign w:val="center"/>
              </w:tcPr>
              <w:p w14:paraId="3622766E" w14:textId="77777777" w:rsidR="007E7472" w:rsidRDefault="00EC1269">
                <w:pPr>
                  <w:jc w:val="right"/>
                </w:pPr>
                <w:r>
                  <w:t>3,600</w:t>
                </w:r>
              </w:p>
            </w:tc>
            <w:tc>
              <w:tcPr>
                <w:tcW w:w="723" w:type="pct"/>
                <w:tcBorders>
                  <w:top w:val="single" w:sz="4" w:space="0" w:color="auto"/>
                  <w:left w:val="single" w:sz="4" w:space="0" w:color="auto"/>
                  <w:bottom w:val="single" w:sz="4" w:space="0" w:color="auto"/>
                  <w:right w:val="single" w:sz="4" w:space="0" w:color="auto"/>
                </w:tcBorders>
                <w:vAlign w:val="center"/>
              </w:tcPr>
              <w:p w14:paraId="63262929" w14:textId="77777777" w:rsidR="007E7472" w:rsidRDefault="00EC1269">
                <w:pPr>
                  <w:jc w:val="right"/>
                </w:pPr>
                <w:r>
                  <w:t>519</w:t>
                </w:r>
              </w:p>
            </w:tc>
            <w:tc>
              <w:tcPr>
                <w:tcW w:w="883" w:type="pct"/>
                <w:tcBorders>
                  <w:top w:val="single" w:sz="4" w:space="0" w:color="auto"/>
                  <w:left w:val="single" w:sz="4" w:space="0" w:color="auto"/>
                  <w:bottom w:val="single" w:sz="4" w:space="0" w:color="auto"/>
                  <w:right w:val="single" w:sz="4" w:space="0" w:color="auto"/>
                </w:tcBorders>
                <w:vAlign w:val="center"/>
              </w:tcPr>
              <w:p w14:paraId="4A05E382" w14:textId="77777777" w:rsidR="007E7472" w:rsidRDefault="00C8327E">
                <w:pPr>
                  <w:jc w:val="right"/>
                </w:pPr>
              </w:p>
            </w:tc>
            <w:tc>
              <w:tcPr>
                <w:tcW w:w="665" w:type="pct"/>
                <w:tcBorders>
                  <w:top w:val="single" w:sz="4" w:space="0" w:color="auto"/>
                  <w:left w:val="single" w:sz="4" w:space="0" w:color="auto"/>
                  <w:bottom w:val="single" w:sz="4" w:space="0" w:color="auto"/>
                  <w:right w:val="single" w:sz="4" w:space="0" w:color="auto"/>
                </w:tcBorders>
                <w:vAlign w:val="center"/>
              </w:tcPr>
              <w:p w14:paraId="5EF5D55B" w14:textId="77777777" w:rsidR="007E7472" w:rsidRDefault="00EC1269">
                <w:pPr>
                  <w:jc w:val="right"/>
                </w:pPr>
                <w:r>
                  <w:t>5,324</w:t>
                </w:r>
              </w:p>
            </w:tc>
          </w:tr>
          <w:tr w:rsidR="007E7472" w14:paraId="58B6C20C" w14:textId="77777777" w:rsidTr="007E7472">
            <w:trPr>
              <w:trHeight w:val="340"/>
            </w:trPr>
            <w:sdt>
              <w:sdtPr>
                <w:tag w:val="_PLD_7cd8935ff2544a81820fdc14f7afe2b7"/>
                <w:id w:val="-355893488"/>
                <w:lock w:val="sdtLocked"/>
              </w:sdtPr>
              <w:sdtEndPr/>
              <w:sdtContent>
                <w:tc>
                  <w:tcPr>
                    <w:tcW w:w="1203" w:type="pct"/>
                    <w:tcBorders>
                      <w:top w:val="single" w:sz="4" w:space="0" w:color="auto"/>
                      <w:left w:val="single" w:sz="4" w:space="0" w:color="auto"/>
                      <w:bottom w:val="single" w:sz="4" w:space="0" w:color="auto"/>
                      <w:right w:val="single" w:sz="4" w:space="0" w:color="auto"/>
                    </w:tcBorders>
                    <w:vAlign w:val="center"/>
                  </w:tcPr>
                  <w:p w14:paraId="5C449DAA" w14:textId="77777777" w:rsidR="007E7472" w:rsidRDefault="00EC1269">
                    <w:pPr>
                      <w:autoSpaceDE w:val="0"/>
                      <w:autoSpaceDN w:val="0"/>
                      <w:adjustRightInd w:val="0"/>
                    </w:pPr>
                    <w:r>
                      <w:rPr>
                        <w:rFonts w:hint="eastAsia"/>
                      </w:rPr>
                      <w:t>四、住房公积金</w:t>
                    </w:r>
                  </w:p>
                </w:tc>
              </w:sdtContent>
            </w:sdt>
            <w:tc>
              <w:tcPr>
                <w:tcW w:w="723" w:type="pct"/>
                <w:tcBorders>
                  <w:top w:val="single" w:sz="4" w:space="0" w:color="auto"/>
                  <w:left w:val="single" w:sz="4" w:space="0" w:color="auto"/>
                  <w:bottom w:val="single" w:sz="4" w:space="0" w:color="auto"/>
                  <w:right w:val="single" w:sz="4" w:space="0" w:color="auto"/>
                </w:tcBorders>
                <w:vAlign w:val="center"/>
              </w:tcPr>
              <w:p w14:paraId="4F615913" w14:textId="77777777" w:rsidR="007E7472" w:rsidRDefault="00EC1269">
                <w:pPr>
                  <w:jc w:val="right"/>
                </w:pPr>
                <w:r>
                  <w:t>34,707</w:t>
                </w:r>
              </w:p>
            </w:tc>
            <w:tc>
              <w:tcPr>
                <w:tcW w:w="803" w:type="pct"/>
                <w:tcBorders>
                  <w:top w:val="single" w:sz="4" w:space="0" w:color="auto"/>
                  <w:left w:val="single" w:sz="4" w:space="0" w:color="auto"/>
                  <w:bottom w:val="single" w:sz="4" w:space="0" w:color="auto"/>
                  <w:right w:val="single" w:sz="4" w:space="0" w:color="auto"/>
                </w:tcBorders>
                <w:vAlign w:val="center"/>
              </w:tcPr>
              <w:p w14:paraId="64A31155" w14:textId="77777777" w:rsidR="007E7472" w:rsidRDefault="00EC1269">
                <w:pPr>
                  <w:jc w:val="right"/>
                </w:pPr>
                <w:r>
                  <w:t>412,637</w:t>
                </w:r>
              </w:p>
            </w:tc>
            <w:tc>
              <w:tcPr>
                <w:tcW w:w="723" w:type="pct"/>
                <w:tcBorders>
                  <w:top w:val="single" w:sz="4" w:space="0" w:color="auto"/>
                  <w:left w:val="single" w:sz="4" w:space="0" w:color="auto"/>
                  <w:bottom w:val="single" w:sz="4" w:space="0" w:color="auto"/>
                  <w:right w:val="single" w:sz="4" w:space="0" w:color="auto"/>
                </w:tcBorders>
                <w:vAlign w:val="center"/>
              </w:tcPr>
              <w:p w14:paraId="5EDCC524" w14:textId="77777777" w:rsidR="007E7472" w:rsidRDefault="00EC1269">
                <w:pPr>
                  <w:jc w:val="right"/>
                </w:pPr>
                <w:r>
                  <w:t>403,352</w:t>
                </w:r>
              </w:p>
            </w:tc>
            <w:tc>
              <w:tcPr>
                <w:tcW w:w="883" w:type="pct"/>
                <w:tcBorders>
                  <w:top w:val="single" w:sz="4" w:space="0" w:color="auto"/>
                  <w:left w:val="single" w:sz="4" w:space="0" w:color="auto"/>
                  <w:bottom w:val="single" w:sz="4" w:space="0" w:color="auto"/>
                  <w:right w:val="single" w:sz="4" w:space="0" w:color="auto"/>
                </w:tcBorders>
                <w:vAlign w:val="center"/>
              </w:tcPr>
              <w:p w14:paraId="5683D90F" w14:textId="77777777" w:rsidR="007E7472" w:rsidRDefault="00C8327E">
                <w:pPr>
                  <w:jc w:val="right"/>
                </w:pPr>
              </w:p>
            </w:tc>
            <w:tc>
              <w:tcPr>
                <w:tcW w:w="665" w:type="pct"/>
                <w:tcBorders>
                  <w:top w:val="single" w:sz="4" w:space="0" w:color="auto"/>
                  <w:left w:val="single" w:sz="4" w:space="0" w:color="auto"/>
                  <w:bottom w:val="single" w:sz="4" w:space="0" w:color="auto"/>
                  <w:right w:val="single" w:sz="4" w:space="0" w:color="auto"/>
                </w:tcBorders>
                <w:vAlign w:val="center"/>
              </w:tcPr>
              <w:p w14:paraId="1B2AEC45" w14:textId="77777777" w:rsidR="007E7472" w:rsidRDefault="00EC1269">
                <w:pPr>
                  <w:jc w:val="right"/>
                </w:pPr>
                <w:r>
                  <w:t>43,992</w:t>
                </w:r>
              </w:p>
            </w:tc>
          </w:tr>
          <w:tr w:rsidR="007E7472" w14:paraId="02F3FC13" w14:textId="77777777">
            <w:sdt>
              <w:sdtPr>
                <w:tag w:val="_PLD_9a4d3040fb464e23a007dcea5588dfc0"/>
                <w:id w:val="-533886154"/>
                <w:lock w:val="sdtLocked"/>
              </w:sdtPr>
              <w:sdtEndPr/>
              <w:sdtContent>
                <w:tc>
                  <w:tcPr>
                    <w:tcW w:w="1203" w:type="pct"/>
                    <w:tcBorders>
                      <w:top w:val="single" w:sz="4" w:space="0" w:color="auto"/>
                      <w:left w:val="single" w:sz="4" w:space="0" w:color="auto"/>
                      <w:bottom w:val="single" w:sz="4" w:space="0" w:color="auto"/>
                      <w:right w:val="single" w:sz="4" w:space="0" w:color="auto"/>
                    </w:tcBorders>
                  </w:tcPr>
                  <w:p w14:paraId="763F1BED" w14:textId="77777777" w:rsidR="007E7472" w:rsidRDefault="00EC1269">
                    <w:pPr>
                      <w:autoSpaceDE w:val="0"/>
                      <w:autoSpaceDN w:val="0"/>
                      <w:adjustRightInd w:val="0"/>
                    </w:pPr>
                    <w:r>
                      <w:rPr>
                        <w:rFonts w:hint="eastAsia"/>
                      </w:rPr>
                      <w:t>五、工会经费和职工教育经费</w:t>
                    </w:r>
                  </w:p>
                </w:tc>
              </w:sdtContent>
            </w:sdt>
            <w:tc>
              <w:tcPr>
                <w:tcW w:w="723" w:type="pct"/>
                <w:tcBorders>
                  <w:top w:val="single" w:sz="4" w:space="0" w:color="auto"/>
                  <w:left w:val="single" w:sz="4" w:space="0" w:color="auto"/>
                  <w:bottom w:val="single" w:sz="4" w:space="0" w:color="auto"/>
                  <w:right w:val="single" w:sz="4" w:space="0" w:color="auto"/>
                </w:tcBorders>
                <w:vAlign w:val="center"/>
              </w:tcPr>
              <w:p w14:paraId="6E1F3D91" w14:textId="77777777" w:rsidR="007E7472" w:rsidRDefault="00EC1269">
                <w:pPr>
                  <w:jc w:val="right"/>
                </w:pPr>
                <w:r>
                  <w:t>394,339</w:t>
                </w:r>
              </w:p>
            </w:tc>
            <w:tc>
              <w:tcPr>
                <w:tcW w:w="803" w:type="pct"/>
                <w:tcBorders>
                  <w:top w:val="single" w:sz="4" w:space="0" w:color="auto"/>
                  <w:left w:val="single" w:sz="4" w:space="0" w:color="auto"/>
                  <w:bottom w:val="single" w:sz="4" w:space="0" w:color="auto"/>
                  <w:right w:val="single" w:sz="4" w:space="0" w:color="auto"/>
                </w:tcBorders>
                <w:vAlign w:val="center"/>
              </w:tcPr>
              <w:p w14:paraId="3F89E839" w14:textId="77777777" w:rsidR="007E7472" w:rsidRDefault="00EC1269">
                <w:pPr>
                  <w:jc w:val="right"/>
                </w:pPr>
                <w:r>
                  <w:t>178,787</w:t>
                </w:r>
              </w:p>
            </w:tc>
            <w:tc>
              <w:tcPr>
                <w:tcW w:w="723" w:type="pct"/>
                <w:tcBorders>
                  <w:top w:val="single" w:sz="4" w:space="0" w:color="auto"/>
                  <w:left w:val="single" w:sz="4" w:space="0" w:color="auto"/>
                  <w:bottom w:val="single" w:sz="4" w:space="0" w:color="auto"/>
                  <w:right w:val="single" w:sz="4" w:space="0" w:color="auto"/>
                </w:tcBorders>
                <w:vAlign w:val="center"/>
              </w:tcPr>
              <w:p w14:paraId="289EB8FC" w14:textId="77777777" w:rsidR="007E7472" w:rsidRDefault="00EC1269">
                <w:pPr>
                  <w:jc w:val="right"/>
                </w:pPr>
                <w:r>
                  <w:t>109,025</w:t>
                </w:r>
              </w:p>
            </w:tc>
            <w:tc>
              <w:tcPr>
                <w:tcW w:w="883" w:type="pct"/>
                <w:tcBorders>
                  <w:top w:val="single" w:sz="4" w:space="0" w:color="auto"/>
                  <w:left w:val="single" w:sz="4" w:space="0" w:color="auto"/>
                  <w:bottom w:val="single" w:sz="4" w:space="0" w:color="auto"/>
                  <w:right w:val="single" w:sz="4" w:space="0" w:color="auto"/>
                </w:tcBorders>
                <w:vAlign w:val="center"/>
              </w:tcPr>
              <w:p w14:paraId="6C2B7310" w14:textId="77777777" w:rsidR="007E7472" w:rsidRDefault="00C8327E">
                <w:pPr>
                  <w:jc w:val="right"/>
                </w:pPr>
              </w:p>
            </w:tc>
            <w:tc>
              <w:tcPr>
                <w:tcW w:w="665" w:type="pct"/>
                <w:tcBorders>
                  <w:top w:val="single" w:sz="4" w:space="0" w:color="auto"/>
                  <w:left w:val="single" w:sz="4" w:space="0" w:color="auto"/>
                  <w:bottom w:val="single" w:sz="4" w:space="0" w:color="auto"/>
                  <w:right w:val="single" w:sz="4" w:space="0" w:color="auto"/>
                </w:tcBorders>
                <w:vAlign w:val="center"/>
              </w:tcPr>
              <w:p w14:paraId="59EA0CA5" w14:textId="77777777" w:rsidR="007E7472" w:rsidRDefault="00EC1269">
                <w:pPr>
                  <w:jc w:val="right"/>
                </w:pPr>
                <w:r>
                  <w:t>464,101</w:t>
                </w:r>
              </w:p>
            </w:tc>
          </w:tr>
          <w:tr w:rsidR="007E7472" w14:paraId="53DE9E7B" w14:textId="77777777" w:rsidTr="007E7472">
            <w:trPr>
              <w:trHeight w:val="340"/>
            </w:trPr>
            <w:sdt>
              <w:sdtPr>
                <w:tag w:val="_PLD_bc842d3a1ac64d43805380b3757b59de"/>
                <w:id w:val="-273564551"/>
                <w:lock w:val="sdtLocked"/>
              </w:sdtPr>
              <w:sdtEndPr/>
              <w:sdtContent>
                <w:tc>
                  <w:tcPr>
                    <w:tcW w:w="1203" w:type="pct"/>
                    <w:tcBorders>
                      <w:top w:val="single" w:sz="4" w:space="0" w:color="auto"/>
                      <w:left w:val="single" w:sz="4" w:space="0" w:color="auto"/>
                      <w:bottom w:val="single" w:sz="4" w:space="0" w:color="auto"/>
                      <w:right w:val="single" w:sz="4" w:space="0" w:color="auto"/>
                    </w:tcBorders>
                    <w:vAlign w:val="center"/>
                  </w:tcPr>
                  <w:p w14:paraId="651A081E" w14:textId="77777777" w:rsidR="007E7472" w:rsidRDefault="00EC1269">
                    <w:pPr>
                      <w:autoSpaceDE w:val="0"/>
                      <w:autoSpaceDN w:val="0"/>
                      <w:adjustRightInd w:val="0"/>
                    </w:pPr>
                    <w:r>
                      <w:rPr>
                        <w:rFonts w:hint="eastAsia"/>
                      </w:rPr>
                      <w:t>六、短期带薪缺勤</w:t>
                    </w:r>
                  </w:p>
                </w:tc>
              </w:sdtContent>
            </w:sdt>
            <w:tc>
              <w:tcPr>
                <w:tcW w:w="723" w:type="pct"/>
                <w:tcBorders>
                  <w:top w:val="single" w:sz="4" w:space="0" w:color="auto"/>
                  <w:left w:val="single" w:sz="4" w:space="0" w:color="auto"/>
                  <w:bottom w:val="single" w:sz="4" w:space="0" w:color="auto"/>
                  <w:right w:val="single" w:sz="4" w:space="0" w:color="auto"/>
                </w:tcBorders>
                <w:vAlign w:val="center"/>
              </w:tcPr>
              <w:p w14:paraId="32B64EFA" w14:textId="77777777" w:rsidR="007E7472" w:rsidRDefault="00EC1269">
                <w:pPr>
                  <w:jc w:val="right"/>
                </w:pPr>
                <w:r>
                  <w:t>523,793</w:t>
                </w:r>
              </w:p>
            </w:tc>
            <w:tc>
              <w:tcPr>
                <w:tcW w:w="803" w:type="pct"/>
                <w:tcBorders>
                  <w:top w:val="single" w:sz="4" w:space="0" w:color="auto"/>
                  <w:left w:val="single" w:sz="4" w:space="0" w:color="auto"/>
                  <w:bottom w:val="single" w:sz="4" w:space="0" w:color="auto"/>
                  <w:right w:val="single" w:sz="4" w:space="0" w:color="auto"/>
                </w:tcBorders>
                <w:vAlign w:val="center"/>
              </w:tcPr>
              <w:p w14:paraId="1700A2C4" w14:textId="77777777" w:rsidR="007E7472" w:rsidRDefault="00EC1269">
                <w:pPr>
                  <w:jc w:val="right"/>
                </w:pPr>
                <w:r>
                  <w:t>572,675</w:t>
                </w:r>
              </w:p>
            </w:tc>
            <w:tc>
              <w:tcPr>
                <w:tcW w:w="723" w:type="pct"/>
                <w:tcBorders>
                  <w:top w:val="single" w:sz="4" w:space="0" w:color="auto"/>
                  <w:left w:val="single" w:sz="4" w:space="0" w:color="auto"/>
                  <w:bottom w:val="single" w:sz="4" w:space="0" w:color="auto"/>
                  <w:right w:val="single" w:sz="4" w:space="0" w:color="auto"/>
                </w:tcBorders>
                <w:vAlign w:val="center"/>
              </w:tcPr>
              <w:p w14:paraId="0E70F9CB" w14:textId="77777777" w:rsidR="007E7472" w:rsidRDefault="00EC1269">
                <w:pPr>
                  <w:jc w:val="right"/>
                </w:pPr>
                <w:r>
                  <w:t>539,037</w:t>
                </w:r>
              </w:p>
            </w:tc>
            <w:tc>
              <w:tcPr>
                <w:tcW w:w="883" w:type="pct"/>
                <w:tcBorders>
                  <w:top w:val="single" w:sz="4" w:space="0" w:color="auto"/>
                  <w:left w:val="single" w:sz="4" w:space="0" w:color="auto"/>
                  <w:bottom w:val="single" w:sz="4" w:space="0" w:color="auto"/>
                  <w:right w:val="single" w:sz="4" w:space="0" w:color="auto"/>
                </w:tcBorders>
                <w:vAlign w:val="center"/>
              </w:tcPr>
              <w:p w14:paraId="1F2BAA41" w14:textId="77777777" w:rsidR="007E7472" w:rsidRDefault="00EC1269">
                <w:pPr>
                  <w:jc w:val="right"/>
                </w:pPr>
                <w:r>
                  <w:t>9,451</w:t>
                </w:r>
              </w:p>
            </w:tc>
            <w:tc>
              <w:tcPr>
                <w:tcW w:w="665" w:type="pct"/>
                <w:tcBorders>
                  <w:top w:val="single" w:sz="4" w:space="0" w:color="auto"/>
                  <w:left w:val="single" w:sz="4" w:space="0" w:color="auto"/>
                  <w:bottom w:val="single" w:sz="4" w:space="0" w:color="auto"/>
                  <w:right w:val="single" w:sz="4" w:space="0" w:color="auto"/>
                </w:tcBorders>
                <w:vAlign w:val="center"/>
              </w:tcPr>
              <w:p w14:paraId="692F3A5B" w14:textId="77777777" w:rsidR="007E7472" w:rsidRDefault="00EC1269">
                <w:pPr>
                  <w:jc w:val="right"/>
                </w:pPr>
                <w:r>
                  <w:t>566,882</w:t>
                </w:r>
              </w:p>
            </w:tc>
          </w:tr>
          <w:tr w:rsidR="007E7472" w14:paraId="2F076048" w14:textId="77777777" w:rsidTr="007E7472">
            <w:trPr>
              <w:trHeight w:val="340"/>
            </w:trPr>
            <w:sdt>
              <w:sdtPr>
                <w:tag w:val="_PLD_9abbed23473c4b4bb51ec9b7d667e31c"/>
                <w:id w:val="-666163086"/>
                <w:lock w:val="sdtLocked"/>
              </w:sdtPr>
              <w:sdtEndPr/>
              <w:sdtContent>
                <w:tc>
                  <w:tcPr>
                    <w:tcW w:w="1203" w:type="pct"/>
                    <w:tcBorders>
                      <w:top w:val="single" w:sz="4" w:space="0" w:color="auto"/>
                      <w:left w:val="single" w:sz="4" w:space="0" w:color="auto"/>
                      <w:bottom w:val="single" w:sz="4" w:space="0" w:color="auto"/>
                      <w:right w:val="single" w:sz="4" w:space="0" w:color="auto"/>
                    </w:tcBorders>
                    <w:vAlign w:val="center"/>
                  </w:tcPr>
                  <w:p w14:paraId="1E72C454" w14:textId="77777777" w:rsidR="007E7472" w:rsidRDefault="00EC1269">
                    <w:pPr>
                      <w:autoSpaceDE w:val="0"/>
                      <w:autoSpaceDN w:val="0"/>
                      <w:adjustRightInd w:val="0"/>
                      <w:jc w:val="center"/>
                    </w:pPr>
                    <w:r>
                      <w:rPr>
                        <w:rFonts w:hint="eastAsia"/>
                      </w:rPr>
                      <w:t>合计</w:t>
                    </w:r>
                  </w:p>
                </w:tc>
              </w:sdtContent>
            </w:sdt>
            <w:tc>
              <w:tcPr>
                <w:tcW w:w="723" w:type="pct"/>
                <w:tcBorders>
                  <w:top w:val="single" w:sz="4" w:space="0" w:color="auto"/>
                  <w:left w:val="single" w:sz="4" w:space="0" w:color="auto"/>
                  <w:bottom w:val="single" w:sz="4" w:space="0" w:color="auto"/>
                  <w:right w:val="single" w:sz="4" w:space="0" w:color="auto"/>
                </w:tcBorders>
                <w:vAlign w:val="center"/>
              </w:tcPr>
              <w:p w14:paraId="33E296B8" w14:textId="77777777" w:rsidR="007E7472" w:rsidRDefault="00EC1269">
                <w:pPr>
                  <w:jc w:val="right"/>
                </w:pPr>
                <w:r>
                  <w:t>2,035,668</w:t>
                </w:r>
              </w:p>
            </w:tc>
            <w:tc>
              <w:tcPr>
                <w:tcW w:w="803" w:type="pct"/>
                <w:tcBorders>
                  <w:top w:val="single" w:sz="4" w:space="0" w:color="auto"/>
                  <w:left w:val="single" w:sz="4" w:space="0" w:color="auto"/>
                  <w:bottom w:val="single" w:sz="4" w:space="0" w:color="auto"/>
                  <w:right w:val="single" w:sz="4" w:space="0" w:color="auto"/>
                </w:tcBorders>
                <w:vAlign w:val="center"/>
              </w:tcPr>
              <w:p w14:paraId="16BCE045" w14:textId="77777777" w:rsidR="007E7472" w:rsidRDefault="00EC1269">
                <w:pPr>
                  <w:jc w:val="right"/>
                </w:pPr>
                <w:r>
                  <w:t>7,413,375</w:t>
                </w:r>
              </w:p>
            </w:tc>
            <w:tc>
              <w:tcPr>
                <w:tcW w:w="723" w:type="pct"/>
                <w:tcBorders>
                  <w:top w:val="single" w:sz="4" w:space="0" w:color="auto"/>
                  <w:left w:val="single" w:sz="4" w:space="0" w:color="auto"/>
                  <w:bottom w:val="single" w:sz="4" w:space="0" w:color="auto"/>
                  <w:right w:val="single" w:sz="4" w:space="0" w:color="auto"/>
                </w:tcBorders>
                <w:vAlign w:val="center"/>
              </w:tcPr>
              <w:p w14:paraId="66F47F38" w14:textId="77777777" w:rsidR="007E7472" w:rsidRDefault="00EC1269">
                <w:pPr>
                  <w:jc w:val="right"/>
                </w:pPr>
                <w:r>
                  <w:t>7,624,553</w:t>
                </w:r>
              </w:p>
            </w:tc>
            <w:tc>
              <w:tcPr>
                <w:tcW w:w="883" w:type="pct"/>
                <w:tcBorders>
                  <w:top w:val="single" w:sz="4" w:space="0" w:color="auto"/>
                  <w:left w:val="single" w:sz="4" w:space="0" w:color="auto"/>
                  <w:bottom w:val="single" w:sz="4" w:space="0" w:color="auto"/>
                  <w:right w:val="single" w:sz="4" w:space="0" w:color="auto"/>
                </w:tcBorders>
                <w:vAlign w:val="center"/>
              </w:tcPr>
              <w:p w14:paraId="4CC18479" w14:textId="77777777" w:rsidR="007E7472" w:rsidRDefault="00EC1269">
                <w:pPr>
                  <w:jc w:val="right"/>
                </w:pPr>
                <w:r>
                  <w:t>13,508</w:t>
                </w:r>
              </w:p>
            </w:tc>
            <w:tc>
              <w:tcPr>
                <w:tcW w:w="665" w:type="pct"/>
                <w:tcBorders>
                  <w:top w:val="single" w:sz="4" w:space="0" w:color="auto"/>
                  <w:left w:val="single" w:sz="4" w:space="0" w:color="auto"/>
                  <w:bottom w:val="single" w:sz="4" w:space="0" w:color="auto"/>
                  <w:right w:val="single" w:sz="4" w:space="0" w:color="auto"/>
                </w:tcBorders>
                <w:vAlign w:val="center"/>
              </w:tcPr>
              <w:p w14:paraId="3703FCD6" w14:textId="77777777" w:rsidR="007E7472" w:rsidRDefault="00EC1269">
                <w:pPr>
                  <w:jc w:val="right"/>
                </w:pPr>
                <w:r>
                  <w:t>1,837,998</w:t>
                </w:r>
              </w:p>
            </w:tc>
          </w:tr>
        </w:tbl>
        <w:p w14:paraId="49056905" w14:textId="77777777" w:rsidR="007E7472" w:rsidRDefault="00C8327E">
          <w:pPr>
            <w:rPr>
              <w:color w:val="000000" w:themeColor="text1"/>
            </w:rPr>
          </w:pPr>
        </w:p>
      </w:sdtContent>
    </w:sdt>
    <w:sdt>
      <w:sdtPr>
        <w:rPr>
          <w:rFonts w:ascii="宋体" w:hAnsi="宋体" w:cs="宋体" w:hint="eastAsia"/>
          <w:b w:val="0"/>
          <w:bCs w:val="0"/>
          <w:kern w:val="0"/>
          <w:szCs w:val="21"/>
        </w:rPr>
        <w:alias w:val="模块:设定提存计划列示"/>
        <w:tag w:val="_GBC_b98ebc9fce454755bd30d763bee0283a"/>
        <w:id w:val="1748306900"/>
        <w:lock w:val="sdtLocked"/>
        <w:placeholder>
          <w:docPart w:val="GBC22222222222222222222222222222"/>
        </w:placeholder>
      </w:sdtPr>
      <w:sdtEndPr/>
      <w:sdtContent>
        <w:p w14:paraId="6F9ACDDD" w14:textId="77777777" w:rsidR="007E7472" w:rsidRDefault="00EC1269" w:rsidP="00162493">
          <w:pPr>
            <w:pStyle w:val="4"/>
            <w:numPr>
              <w:ilvl w:val="0"/>
              <w:numId w:val="85"/>
            </w:numPr>
          </w:pPr>
          <w:r>
            <w:rPr>
              <w:rFonts w:hint="eastAsia"/>
            </w:rPr>
            <w:t>设定提存计划列示</w:t>
          </w:r>
        </w:p>
        <w:sdt>
          <w:sdtPr>
            <w:alias w:val="是否适用：设定提存计划列示[双击切换]"/>
            <w:tag w:val="_GBC_107b7eec6d75473e8809e93d01e00021"/>
            <w:id w:val="337742038"/>
            <w:lock w:val="sdtLocked"/>
            <w:placeholder>
              <w:docPart w:val="GBC22222222222222222222222222222"/>
            </w:placeholder>
          </w:sdtPr>
          <w:sdtEndPr/>
          <w:sdtContent>
            <w:p w14:paraId="20D88A74"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2E443EA9" w14:textId="235AB3EB" w:rsidR="007E7472" w:rsidRDefault="00EC1269">
          <w:pPr>
            <w:jc w:val="right"/>
          </w:pPr>
          <w:r>
            <w:rPr>
              <w:rFonts w:hint="eastAsia"/>
            </w:rPr>
            <w:lastRenderedPageBreak/>
            <w:t>单位：</w:t>
          </w:r>
          <w:sdt>
            <w:sdtPr>
              <w:rPr>
                <w:rFonts w:hint="eastAsia"/>
              </w:rPr>
              <w:alias w:val="单位：财务附注：设定提存计划列示"/>
              <w:tag w:val="_GBC_744d8f829e6040c78616ef1951ef7e59"/>
              <w:id w:val="-6196882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设定提存计划列示"/>
              <w:tag w:val="_GBC_433e4a4ae9d648a2973673cbec959f23"/>
              <w:id w:val="-13785351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7"/>
            <w:gridCol w:w="1338"/>
            <w:gridCol w:w="1324"/>
            <w:gridCol w:w="1150"/>
            <w:gridCol w:w="1559"/>
            <w:gridCol w:w="1169"/>
          </w:tblGrid>
          <w:tr w:rsidR="007E7472" w14:paraId="4DBA6807" w14:textId="77777777" w:rsidTr="007E7472">
            <w:trPr>
              <w:trHeight w:val="387"/>
            </w:trPr>
            <w:sdt>
              <w:sdtPr>
                <w:tag w:val="_PLD_f8a9011ca6bd4cc895a50279da6547e9"/>
                <w:id w:val="-1371067440"/>
                <w:lock w:val="sdtLocked"/>
              </w:sdtPr>
              <w:sdtEndPr/>
              <w:sdtContent>
                <w:tc>
                  <w:tcPr>
                    <w:tcW w:w="1291" w:type="pct"/>
                    <w:tcBorders>
                      <w:top w:val="single" w:sz="6" w:space="0" w:color="auto"/>
                      <w:left w:val="single" w:sz="6" w:space="0" w:color="auto"/>
                      <w:bottom w:val="single" w:sz="6" w:space="0" w:color="auto"/>
                      <w:right w:val="single" w:sz="6" w:space="0" w:color="auto"/>
                    </w:tcBorders>
                    <w:shd w:val="clear" w:color="auto" w:fill="auto"/>
                    <w:vAlign w:val="center"/>
                  </w:tcPr>
                  <w:p w14:paraId="0B24ADEB" w14:textId="77777777" w:rsidR="007E7472" w:rsidRDefault="00EC1269">
                    <w:pPr>
                      <w:jc w:val="center"/>
                    </w:pPr>
                    <w:r>
                      <w:rPr>
                        <w:rFonts w:hint="eastAsia"/>
                      </w:rPr>
                      <w:t>项目</w:t>
                    </w:r>
                  </w:p>
                </w:tc>
              </w:sdtContent>
            </w:sdt>
            <w:sdt>
              <w:sdtPr>
                <w:tag w:val="_PLD_db9ecea0e08e4c1bb5fe2474183a8480"/>
                <w:id w:val="177782670"/>
                <w:lock w:val="sdtLocked"/>
              </w:sdtPr>
              <w:sdtEndPr/>
              <w:sdtContent>
                <w:tc>
                  <w:tcPr>
                    <w:tcW w:w="759" w:type="pct"/>
                    <w:tcBorders>
                      <w:top w:val="single" w:sz="6" w:space="0" w:color="auto"/>
                      <w:left w:val="single" w:sz="6" w:space="0" w:color="auto"/>
                      <w:bottom w:val="single" w:sz="6" w:space="0" w:color="auto"/>
                      <w:right w:val="single" w:sz="6" w:space="0" w:color="auto"/>
                    </w:tcBorders>
                    <w:shd w:val="clear" w:color="auto" w:fill="auto"/>
                    <w:vAlign w:val="center"/>
                  </w:tcPr>
                  <w:p w14:paraId="1930BFA7" w14:textId="77777777" w:rsidR="007E7472" w:rsidRDefault="00EC1269">
                    <w:pPr>
                      <w:jc w:val="center"/>
                    </w:pPr>
                    <w:r>
                      <w:rPr>
                        <w:rFonts w:hint="eastAsia"/>
                      </w:rPr>
                      <w:t>期初余额</w:t>
                    </w:r>
                  </w:p>
                </w:tc>
              </w:sdtContent>
            </w:sdt>
            <w:sdt>
              <w:sdtPr>
                <w:tag w:val="_PLD_11b6b53867b44c92b19ef791cad0c8c4"/>
                <w:id w:val="308293508"/>
                <w:lock w:val="sdtLocked"/>
              </w:sdtPr>
              <w:sdtEndPr/>
              <w:sdtContent>
                <w:tc>
                  <w:tcPr>
                    <w:tcW w:w="751" w:type="pct"/>
                    <w:tcBorders>
                      <w:top w:val="single" w:sz="6" w:space="0" w:color="auto"/>
                      <w:left w:val="single" w:sz="6" w:space="0" w:color="auto"/>
                      <w:bottom w:val="single" w:sz="6" w:space="0" w:color="auto"/>
                      <w:right w:val="single" w:sz="6" w:space="0" w:color="auto"/>
                    </w:tcBorders>
                    <w:shd w:val="clear" w:color="auto" w:fill="auto"/>
                    <w:vAlign w:val="center"/>
                  </w:tcPr>
                  <w:p w14:paraId="7E3534BE" w14:textId="77777777" w:rsidR="007E7472" w:rsidRDefault="00EC1269">
                    <w:pPr>
                      <w:jc w:val="center"/>
                    </w:pPr>
                    <w:r>
                      <w:rPr>
                        <w:rFonts w:hint="eastAsia"/>
                      </w:rPr>
                      <w:t>本期增加</w:t>
                    </w:r>
                  </w:p>
                </w:tc>
              </w:sdtContent>
            </w:sdt>
            <w:sdt>
              <w:sdtPr>
                <w:tag w:val="_PLD_c2cbd009dd4248ceb9040da5fc326084"/>
                <w:id w:val="608634736"/>
                <w:lock w:val="sdtLocked"/>
              </w:sdtPr>
              <w:sdtEndPr/>
              <w:sdtContent>
                <w:tc>
                  <w:tcPr>
                    <w:tcW w:w="652" w:type="pct"/>
                    <w:tcBorders>
                      <w:top w:val="single" w:sz="6" w:space="0" w:color="auto"/>
                      <w:left w:val="single" w:sz="6" w:space="0" w:color="auto"/>
                      <w:bottom w:val="single" w:sz="6" w:space="0" w:color="auto"/>
                      <w:right w:val="single" w:sz="6" w:space="0" w:color="auto"/>
                    </w:tcBorders>
                    <w:shd w:val="clear" w:color="auto" w:fill="auto"/>
                    <w:vAlign w:val="center"/>
                  </w:tcPr>
                  <w:p w14:paraId="5A355D60" w14:textId="77777777" w:rsidR="007E7472" w:rsidRDefault="00EC1269">
                    <w:pPr>
                      <w:jc w:val="center"/>
                    </w:pPr>
                    <w:r>
                      <w:rPr>
                        <w:rFonts w:hint="eastAsia"/>
                      </w:rPr>
                      <w:t>本期减少</w:t>
                    </w:r>
                  </w:p>
                </w:tc>
              </w:sdtContent>
            </w:sdt>
            <w:tc>
              <w:tcPr>
                <w:tcW w:w="884" w:type="pct"/>
                <w:tcBorders>
                  <w:top w:val="single" w:sz="6" w:space="0" w:color="auto"/>
                  <w:left w:val="single" w:sz="6" w:space="0" w:color="auto"/>
                  <w:bottom w:val="single" w:sz="6" w:space="0" w:color="auto"/>
                  <w:right w:val="single" w:sz="6" w:space="0" w:color="auto"/>
                </w:tcBorders>
                <w:shd w:val="clear" w:color="auto" w:fill="auto"/>
                <w:vAlign w:val="center"/>
              </w:tcPr>
              <w:p w14:paraId="4C4C0B8F" w14:textId="77777777" w:rsidR="007E7472" w:rsidRDefault="00EC1269">
                <w:pPr>
                  <w:jc w:val="center"/>
                </w:pPr>
                <w:r>
                  <w:rPr>
                    <w:rFonts w:hint="eastAsia"/>
                  </w:rPr>
                  <w:t>外币报表折算</w:t>
                </w:r>
              </w:p>
            </w:tc>
            <w:sdt>
              <w:sdtPr>
                <w:tag w:val="_PLD_0ded00fbf217420ebfe8ace86c12086d"/>
                <w:id w:val="-1691367873"/>
                <w:lock w:val="sdtLocked"/>
              </w:sdtPr>
              <w:sdtEndPr/>
              <w:sdtContent>
                <w:tc>
                  <w:tcPr>
                    <w:tcW w:w="663" w:type="pct"/>
                    <w:tcBorders>
                      <w:top w:val="single" w:sz="6" w:space="0" w:color="auto"/>
                      <w:left w:val="single" w:sz="6" w:space="0" w:color="auto"/>
                      <w:bottom w:val="single" w:sz="6" w:space="0" w:color="auto"/>
                      <w:right w:val="single" w:sz="6" w:space="0" w:color="auto"/>
                    </w:tcBorders>
                    <w:shd w:val="clear" w:color="auto" w:fill="auto"/>
                    <w:vAlign w:val="center"/>
                  </w:tcPr>
                  <w:p w14:paraId="1C644511" w14:textId="77777777" w:rsidR="007E7472" w:rsidRDefault="00EC1269">
                    <w:pPr>
                      <w:jc w:val="center"/>
                    </w:pPr>
                    <w:r>
                      <w:rPr>
                        <w:rFonts w:hint="eastAsia"/>
                      </w:rPr>
                      <w:t>期末余额</w:t>
                    </w:r>
                  </w:p>
                </w:tc>
              </w:sdtContent>
            </w:sdt>
          </w:tr>
          <w:tr w:rsidR="007E7472" w14:paraId="3B3B425D" w14:textId="77777777" w:rsidTr="007E7472">
            <w:trPr>
              <w:trHeight w:val="340"/>
            </w:trPr>
            <w:sdt>
              <w:sdtPr>
                <w:tag w:val="_PLD_b93c5842361145079010296748b2acbc"/>
                <w:id w:val="-871307097"/>
                <w:lock w:val="sdtLocked"/>
              </w:sdtPr>
              <w:sdtEndPr/>
              <w:sdtContent>
                <w:tc>
                  <w:tcPr>
                    <w:tcW w:w="1291" w:type="pct"/>
                    <w:tcBorders>
                      <w:top w:val="single" w:sz="6" w:space="0" w:color="auto"/>
                      <w:left w:val="single" w:sz="6" w:space="0" w:color="auto"/>
                      <w:bottom w:val="single" w:sz="6" w:space="0" w:color="auto"/>
                      <w:right w:val="single" w:sz="6" w:space="0" w:color="auto"/>
                    </w:tcBorders>
                    <w:shd w:val="clear" w:color="auto" w:fill="auto"/>
                    <w:vAlign w:val="center"/>
                  </w:tcPr>
                  <w:p w14:paraId="0335BFFF" w14:textId="77777777" w:rsidR="007E7472" w:rsidRDefault="00EC1269">
                    <w:r>
                      <w:rPr>
                        <w:rFonts w:hint="eastAsia"/>
                      </w:rPr>
                      <w:t>1、基本养老保险</w:t>
                    </w:r>
                  </w:p>
                </w:tc>
              </w:sdtContent>
            </w:sdt>
            <w:tc>
              <w:tcPr>
                <w:tcW w:w="759" w:type="pct"/>
                <w:tcBorders>
                  <w:top w:val="single" w:sz="4" w:space="0" w:color="auto"/>
                  <w:left w:val="single" w:sz="6" w:space="0" w:color="auto"/>
                  <w:bottom w:val="single" w:sz="4" w:space="0" w:color="auto"/>
                  <w:right w:val="single" w:sz="4" w:space="0" w:color="auto"/>
                </w:tcBorders>
                <w:shd w:val="clear" w:color="auto" w:fill="auto"/>
                <w:vAlign w:val="center"/>
              </w:tcPr>
              <w:p w14:paraId="401338E2" w14:textId="77777777" w:rsidR="007E7472" w:rsidRDefault="00EC1269">
                <w:pPr>
                  <w:jc w:val="right"/>
                  <w:rPr>
                    <w:bCs/>
                  </w:rPr>
                </w:pPr>
                <w:r>
                  <w:t>33,781</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3C7A0621" w14:textId="77777777" w:rsidR="007E7472" w:rsidRDefault="00EC1269">
                <w:pPr>
                  <w:jc w:val="right"/>
                </w:pPr>
                <w:r>
                  <w:t>647,812</w:t>
                </w:r>
              </w:p>
            </w:tc>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14:paraId="3049EA2B" w14:textId="77777777" w:rsidR="007E7472" w:rsidRDefault="00EC1269">
                <w:pPr>
                  <w:jc w:val="right"/>
                </w:pPr>
                <w:r>
                  <w:t>620,748</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14:paraId="1EA946B8" w14:textId="77777777" w:rsidR="007E7472" w:rsidRDefault="00C8327E">
                <w:pPr>
                  <w:jc w:val="right"/>
                </w:pP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14:paraId="5F0AC52D" w14:textId="77777777" w:rsidR="007E7472" w:rsidRDefault="00EC1269">
                <w:pPr>
                  <w:jc w:val="right"/>
                </w:pPr>
                <w:r>
                  <w:t>60,845</w:t>
                </w:r>
              </w:p>
            </w:tc>
          </w:tr>
          <w:tr w:rsidR="007E7472" w14:paraId="4E007C14" w14:textId="77777777" w:rsidTr="007E7472">
            <w:trPr>
              <w:trHeight w:val="340"/>
            </w:trPr>
            <w:sdt>
              <w:sdtPr>
                <w:tag w:val="_PLD_909a72476f78427892237821bb7d583f"/>
                <w:id w:val="-1279175652"/>
                <w:lock w:val="sdtLocked"/>
              </w:sdtPr>
              <w:sdtEndPr/>
              <w:sdtContent>
                <w:tc>
                  <w:tcPr>
                    <w:tcW w:w="1291" w:type="pct"/>
                    <w:tcBorders>
                      <w:top w:val="single" w:sz="6" w:space="0" w:color="auto"/>
                      <w:left w:val="single" w:sz="6" w:space="0" w:color="auto"/>
                      <w:bottom w:val="single" w:sz="6" w:space="0" w:color="auto"/>
                      <w:right w:val="single" w:sz="6" w:space="0" w:color="auto"/>
                    </w:tcBorders>
                    <w:shd w:val="clear" w:color="auto" w:fill="auto"/>
                    <w:vAlign w:val="center"/>
                  </w:tcPr>
                  <w:p w14:paraId="6B6DBCA7" w14:textId="77777777" w:rsidR="007E7472" w:rsidRDefault="00EC1269">
                    <w:r>
                      <w:rPr>
                        <w:rFonts w:hint="eastAsia"/>
                      </w:rPr>
                      <w:t>2、失业保险费</w:t>
                    </w:r>
                  </w:p>
                </w:tc>
              </w:sdtContent>
            </w:sdt>
            <w:tc>
              <w:tcPr>
                <w:tcW w:w="759" w:type="pct"/>
                <w:tcBorders>
                  <w:top w:val="single" w:sz="4" w:space="0" w:color="auto"/>
                  <w:left w:val="single" w:sz="6" w:space="0" w:color="auto"/>
                  <w:bottom w:val="single" w:sz="4" w:space="0" w:color="auto"/>
                  <w:right w:val="single" w:sz="4" w:space="0" w:color="auto"/>
                </w:tcBorders>
                <w:shd w:val="clear" w:color="auto" w:fill="auto"/>
                <w:vAlign w:val="center"/>
              </w:tcPr>
              <w:p w14:paraId="6BEB4ED2" w14:textId="77777777" w:rsidR="007E7472" w:rsidRDefault="00EC1269">
                <w:pPr>
                  <w:jc w:val="right"/>
                </w:pPr>
                <w:r>
                  <w:t>16,579</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3D3BCDBE" w14:textId="77777777" w:rsidR="007E7472" w:rsidRDefault="00EC1269">
                <w:pPr>
                  <w:jc w:val="right"/>
                </w:pPr>
                <w:r>
                  <w:t>27,104</w:t>
                </w:r>
              </w:p>
            </w:tc>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14:paraId="3A50CAD0" w14:textId="77777777" w:rsidR="007E7472" w:rsidRDefault="00EC1269">
                <w:pPr>
                  <w:jc w:val="right"/>
                </w:pPr>
                <w:r>
                  <w:t>23,212</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14:paraId="488170C4" w14:textId="77777777" w:rsidR="007E7472" w:rsidRDefault="00C8327E">
                <w:pPr>
                  <w:jc w:val="right"/>
                </w:pP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14:paraId="28CFFBED" w14:textId="4B784CA0" w:rsidR="007E7472" w:rsidRDefault="00EC1269">
                <w:pPr>
                  <w:jc w:val="right"/>
                </w:pPr>
                <w:r>
                  <w:t>20,47</w:t>
                </w:r>
                <w:r w:rsidR="00913748">
                  <w:t>1</w:t>
                </w:r>
              </w:p>
            </w:tc>
          </w:tr>
          <w:tr w:rsidR="007E7472" w14:paraId="5AB2D165" w14:textId="77777777" w:rsidTr="007E7472">
            <w:trPr>
              <w:trHeight w:val="340"/>
            </w:trPr>
            <w:sdt>
              <w:sdtPr>
                <w:tag w:val="_PLD_f2bb08099d4d4b2a96054f71c4e23a24"/>
                <w:id w:val="6799116"/>
                <w:lock w:val="sdtLocked"/>
              </w:sdtPr>
              <w:sdtEndPr/>
              <w:sdtContent>
                <w:tc>
                  <w:tcPr>
                    <w:tcW w:w="1291" w:type="pct"/>
                    <w:tcBorders>
                      <w:top w:val="single" w:sz="6" w:space="0" w:color="auto"/>
                      <w:left w:val="single" w:sz="6" w:space="0" w:color="auto"/>
                      <w:bottom w:val="single" w:sz="6" w:space="0" w:color="auto"/>
                      <w:right w:val="single" w:sz="6" w:space="0" w:color="auto"/>
                    </w:tcBorders>
                    <w:shd w:val="clear" w:color="auto" w:fill="auto"/>
                    <w:vAlign w:val="center"/>
                  </w:tcPr>
                  <w:p w14:paraId="03A4E1F6" w14:textId="77777777" w:rsidR="007E7472" w:rsidRDefault="00EC1269">
                    <w:r>
                      <w:rPr>
                        <w:rFonts w:hint="eastAsia"/>
                      </w:rPr>
                      <w:t>3、企业年金缴费</w:t>
                    </w:r>
                  </w:p>
                </w:tc>
              </w:sdtContent>
            </w:sdt>
            <w:tc>
              <w:tcPr>
                <w:tcW w:w="759" w:type="pct"/>
                <w:tcBorders>
                  <w:top w:val="single" w:sz="4" w:space="0" w:color="auto"/>
                  <w:left w:val="single" w:sz="6" w:space="0" w:color="auto"/>
                  <w:bottom w:val="single" w:sz="4" w:space="0" w:color="auto"/>
                  <w:right w:val="single" w:sz="4" w:space="0" w:color="auto"/>
                </w:tcBorders>
                <w:shd w:val="clear" w:color="auto" w:fill="auto"/>
                <w:vAlign w:val="center"/>
              </w:tcPr>
              <w:p w14:paraId="677D53E9" w14:textId="77777777" w:rsidR="007E7472" w:rsidRDefault="00EC1269">
                <w:pPr>
                  <w:jc w:val="right"/>
                </w:pPr>
                <w:r>
                  <w:t>2,885</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4E08FEAA" w14:textId="77777777" w:rsidR="007E7472" w:rsidRDefault="00EC1269">
                <w:pPr>
                  <w:jc w:val="right"/>
                </w:pPr>
                <w:r>
                  <w:t>274,292</w:t>
                </w:r>
              </w:p>
            </w:tc>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14:paraId="4A1EA49C" w14:textId="77777777" w:rsidR="007E7472" w:rsidRDefault="00EC1269">
                <w:pPr>
                  <w:jc w:val="right"/>
                </w:pPr>
                <w:r>
                  <w:t>274,196</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14:paraId="149DE13F" w14:textId="77777777" w:rsidR="007E7472" w:rsidRDefault="00C8327E">
                <w:pPr>
                  <w:jc w:val="right"/>
                </w:pP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14:paraId="07D6E8EF" w14:textId="33C4D04B" w:rsidR="007E7472" w:rsidRDefault="00EC1269">
                <w:pPr>
                  <w:jc w:val="right"/>
                </w:pPr>
                <w:r>
                  <w:t>2,98</w:t>
                </w:r>
                <w:r w:rsidR="00913748">
                  <w:t>1</w:t>
                </w:r>
              </w:p>
            </w:tc>
          </w:tr>
          <w:tr w:rsidR="007E7472" w14:paraId="6350A17E" w14:textId="77777777" w:rsidTr="007E7472">
            <w:trPr>
              <w:trHeight w:val="340"/>
            </w:trPr>
            <w:sdt>
              <w:sdtPr>
                <w:tag w:val="_PLD_258ec0cea28b41718457ba73ff6955af"/>
                <w:id w:val="-2095076262"/>
                <w:lock w:val="sdtLocked"/>
              </w:sdtPr>
              <w:sdtEndPr/>
              <w:sdtContent>
                <w:tc>
                  <w:tcPr>
                    <w:tcW w:w="1291" w:type="pct"/>
                    <w:tcBorders>
                      <w:top w:val="single" w:sz="6" w:space="0" w:color="auto"/>
                      <w:left w:val="single" w:sz="6" w:space="0" w:color="auto"/>
                      <w:bottom w:val="single" w:sz="6" w:space="0" w:color="auto"/>
                      <w:right w:val="single" w:sz="6" w:space="0" w:color="auto"/>
                    </w:tcBorders>
                    <w:shd w:val="clear" w:color="auto" w:fill="auto"/>
                    <w:vAlign w:val="center"/>
                  </w:tcPr>
                  <w:p w14:paraId="1917EEDA" w14:textId="77777777" w:rsidR="007E7472" w:rsidRDefault="00EC1269">
                    <w:pPr>
                      <w:jc w:val="center"/>
                    </w:pPr>
                    <w:r>
                      <w:rPr>
                        <w:rFonts w:hint="eastAsia"/>
                      </w:rPr>
                      <w:t>合计</w:t>
                    </w:r>
                  </w:p>
                </w:tc>
              </w:sdtContent>
            </w:sdt>
            <w:tc>
              <w:tcPr>
                <w:tcW w:w="759" w:type="pct"/>
                <w:tcBorders>
                  <w:top w:val="single" w:sz="4" w:space="0" w:color="auto"/>
                  <w:left w:val="single" w:sz="6" w:space="0" w:color="auto"/>
                  <w:bottom w:val="single" w:sz="4" w:space="0" w:color="auto"/>
                  <w:right w:val="single" w:sz="4" w:space="0" w:color="auto"/>
                </w:tcBorders>
                <w:shd w:val="clear" w:color="auto" w:fill="auto"/>
                <w:vAlign w:val="center"/>
              </w:tcPr>
              <w:p w14:paraId="4632EEE5" w14:textId="77777777" w:rsidR="007E7472" w:rsidRDefault="00EC1269">
                <w:pPr>
                  <w:jc w:val="right"/>
                </w:pPr>
                <w:r>
                  <w:t>53,245</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2B03AEE5" w14:textId="77777777" w:rsidR="007E7472" w:rsidRDefault="00EC1269">
                <w:pPr>
                  <w:jc w:val="right"/>
                </w:pPr>
                <w:r>
                  <w:t>949,208</w:t>
                </w:r>
              </w:p>
            </w:tc>
            <w:tc>
              <w:tcPr>
                <w:tcW w:w="652" w:type="pct"/>
                <w:tcBorders>
                  <w:top w:val="single" w:sz="4" w:space="0" w:color="auto"/>
                  <w:left w:val="single" w:sz="4" w:space="0" w:color="auto"/>
                  <w:bottom w:val="single" w:sz="4" w:space="0" w:color="auto"/>
                  <w:right w:val="single" w:sz="4" w:space="0" w:color="auto"/>
                </w:tcBorders>
                <w:shd w:val="clear" w:color="auto" w:fill="auto"/>
                <w:vAlign w:val="center"/>
              </w:tcPr>
              <w:p w14:paraId="475949A7" w14:textId="77777777" w:rsidR="007E7472" w:rsidRDefault="00EC1269">
                <w:pPr>
                  <w:jc w:val="right"/>
                </w:pPr>
                <w:r>
                  <w:t>918,156</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14:paraId="476B69ED" w14:textId="77777777" w:rsidR="007E7472" w:rsidRDefault="00C8327E">
                <w:pPr>
                  <w:jc w:val="right"/>
                </w:pP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14:paraId="7ECB9644" w14:textId="77777777" w:rsidR="007E7472" w:rsidRDefault="00EC1269">
                <w:pPr>
                  <w:jc w:val="right"/>
                </w:pPr>
                <w:r>
                  <w:t>84,297</w:t>
                </w:r>
              </w:p>
            </w:tc>
          </w:tr>
        </w:tbl>
        <w:p w14:paraId="2750431B" w14:textId="77777777" w:rsidR="007E7472" w:rsidRDefault="00C8327E">
          <w:pPr>
            <w:autoSpaceDE w:val="0"/>
            <w:autoSpaceDN w:val="0"/>
            <w:adjustRightInd w:val="0"/>
          </w:pPr>
        </w:p>
      </w:sdtContent>
    </w:sdt>
    <w:sdt>
      <w:sdtPr>
        <w:rPr>
          <w:rFonts w:hint="eastAsia"/>
        </w:rPr>
        <w:alias w:val="模块:应付职工薪酬说明"/>
        <w:tag w:val="_GBC_9173eff793e04226ba65f69088a27313"/>
        <w:id w:val="1039555168"/>
        <w:lock w:val="sdtLocked"/>
        <w:placeholder>
          <w:docPart w:val="GBC22222222222222222222222222222"/>
        </w:placeholder>
      </w:sdtPr>
      <w:sdtEndPr/>
      <w:sdtContent>
        <w:p w14:paraId="4D2B1E9A" w14:textId="77777777" w:rsidR="007E7472" w:rsidRDefault="00EC1269">
          <w:pPr>
            <w:autoSpaceDE w:val="0"/>
            <w:autoSpaceDN w:val="0"/>
            <w:adjustRightInd w:val="0"/>
          </w:pPr>
          <w:r>
            <w:rPr>
              <w:rFonts w:hint="eastAsia"/>
            </w:rPr>
            <w:t>其他说明：</w:t>
          </w:r>
        </w:p>
        <w:sdt>
          <w:sdtPr>
            <w:alias w:val="是否适用：应付职工薪酬的说明[双击切换]"/>
            <w:tag w:val="_GBC_f41ecc08d4994ba99707111806caa376"/>
            <w:id w:val="378588872"/>
            <w:lock w:val="sdtLocked"/>
            <w:placeholder>
              <w:docPart w:val="GBC22222222222222222222222222222"/>
            </w:placeholder>
          </w:sdtPr>
          <w:sdtEndPr/>
          <w:sdtContent>
            <w:p w14:paraId="0A41D1D7" w14:textId="77777777" w:rsidR="007E7472" w:rsidRDefault="00EC1269">
              <w:pPr>
                <w:autoSpaceDE w:val="0"/>
                <w:autoSpaceDN w:val="0"/>
                <w:adjustRightInd w:val="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1A1BDB0E" w14:textId="77777777" w:rsidR="007E7472" w:rsidRDefault="00C8327E">
      <w:pPr>
        <w:autoSpaceDE w:val="0"/>
        <w:autoSpaceDN w:val="0"/>
        <w:adjustRightInd w:val="0"/>
      </w:pPr>
    </w:p>
    <w:sdt>
      <w:sdtPr>
        <w:rPr>
          <w:rFonts w:ascii="宋体" w:hAnsi="宋体" w:cs="宋体" w:hint="eastAsia"/>
          <w:b w:val="0"/>
          <w:bCs w:val="0"/>
          <w:kern w:val="0"/>
          <w:sz w:val="20"/>
          <w:szCs w:val="21"/>
        </w:rPr>
        <w:alias w:val="模块:应交税费"/>
        <w:tag w:val="_GBC_50fc9ef51868432e98c401f69097dfc6"/>
        <w:id w:val="1783920779"/>
        <w:lock w:val="sdtLocked"/>
        <w:placeholder>
          <w:docPart w:val="GBC22222222222222222222222222222"/>
        </w:placeholder>
      </w:sdtPr>
      <w:sdtEndPr>
        <w:rPr>
          <w:rFonts w:asciiTheme="minorEastAsia" w:eastAsiaTheme="minorEastAsia" w:hAnsiTheme="minorEastAsia" w:cstheme="minorBidi" w:hint="default"/>
          <w:color w:val="000000" w:themeColor="text1"/>
          <w:sz w:val="21"/>
        </w:rPr>
      </w:sdtEndPr>
      <w:sdtContent>
        <w:p w14:paraId="39AF7989" w14:textId="77777777" w:rsidR="007E7472" w:rsidRDefault="00EC1269" w:rsidP="00162493">
          <w:pPr>
            <w:pStyle w:val="3"/>
            <w:numPr>
              <w:ilvl w:val="0"/>
              <w:numId w:val="62"/>
            </w:numPr>
          </w:pPr>
          <w:r>
            <w:rPr>
              <w:rFonts w:hint="eastAsia"/>
            </w:rPr>
            <w:t>应交税费</w:t>
          </w:r>
        </w:p>
        <w:sdt>
          <w:sdtPr>
            <w:alias w:val="是否适用：应交税费[双击切换]"/>
            <w:tag w:val="_GBC_e7e2664720b9408384c5d3cd6d97c132"/>
            <w:id w:val="2001071875"/>
            <w:lock w:val="sdtLocked"/>
            <w:placeholder>
              <w:docPart w:val="GBC22222222222222222222222222222"/>
            </w:placeholder>
          </w:sdtPr>
          <w:sdtEndPr/>
          <w:sdtContent>
            <w:p w14:paraId="1BD64142"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05923535" w14:textId="28E71467" w:rsidR="007E7472" w:rsidRDefault="00EC1269">
          <w:pPr>
            <w:jc w:val="right"/>
          </w:pPr>
          <w:r>
            <w:rPr>
              <w:rFonts w:hint="eastAsia"/>
            </w:rPr>
            <w:t>单位：</w:t>
          </w:r>
          <w:sdt>
            <w:sdtPr>
              <w:rPr>
                <w:rFonts w:hint="eastAsia"/>
              </w:rPr>
              <w:alias w:val="单位：财务附注：应交税费"/>
              <w:tag w:val="_GBC_a6162c9f021640929018406be611b834"/>
              <w:id w:val="-11384923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应交税费"/>
              <w:tag w:val="_GBC_d787fa1c70604797889c69c4c364e711"/>
              <w:id w:val="6855613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2956"/>
            <w:gridCol w:w="2931"/>
            <w:gridCol w:w="2936"/>
          </w:tblGrid>
          <w:tr w:rsidR="007E7472" w14:paraId="6A943717" w14:textId="77777777" w:rsidTr="007E7472">
            <w:trPr>
              <w:cantSplit/>
              <w:trHeight w:val="340"/>
            </w:trPr>
            <w:sdt>
              <w:sdtPr>
                <w:rPr>
                  <w:rFonts w:asciiTheme="minorEastAsia" w:eastAsiaTheme="minorEastAsia" w:hAnsiTheme="minorEastAsia"/>
                </w:rPr>
                <w:tag w:val="_PLD_ab0019be2d10489d885d15626d85168f"/>
                <w:id w:val="466015021"/>
                <w:lock w:val="sdtLocked"/>
              </w:sdtPr>
              <w:sdtEndPr/>
              <w:sdtContent>
                <w:tc>
                  <w:tcPr>
                    <w:tcW w:w="1675" w:type="pct"/>
                    <w:vAlign w:val="center"/>
                  </w:tcPr>
                  <w:p w14:paraId="550FD685" w14:textId="77777777" w:rsidR="007E7472" w:rsidRDefault="00EC1269">
                    <w:pPr>
                      <w:ind w:right="105"/>
                      <w:jc w:val="center"/>
                      <w:rPr>
                        <w:rFonts w:asciiTheme="minorEastAsia" w:eastAsiaTheme="minorEastAsia" w:hAnsiTheme="minorEastAsia"/>
                      </w:rPr>
                    </w:pPr>
                    <w:r>
                      <w:rPr>
                        <w:rFonts w:asciiTheme="minorEastAsia" w:eastAsiaTheme="minorEastAsia" w:hAnsiTheme="minorEastAsia" w:hint="eastAsia"/>
                      </w:rPr>
                      <w:t>项目</w:t>
                    </w:r>
                  </w:p>
                </w:tc>
              </w:sdtContent>
            </w:sdt>
            <w:sdt>
              <w:sdtPr>
                <w:rPr>
                  <w:rFonts w:asciiTheme="minorEastAsia" w:eastAsiaTheme="minorEastAsia" w:hAnsiTheme="minorEastAsia"/>
                </w:rPr>
                <w:tag w:val="_PLD_4d086e8f4e004ee3aa116a5d10a7ecbd"/>
                <w:id w:val="-885714293"/>
                <w:lock w:val="sdtLocked"/>
              </w:sdtPr>
              <w:sdtEndPr/>
              <w:sdtContent>
                <w:tc>
                  <w:tcPr>
                    <w:tcW w:w="1661" w:type="pct"/>
                    <w:vAlign w:val="center"/>
                  </w:tcPr>
                  <w:p w14:paraId="5BA582DB" w14:textId="77777777" w:rsidR="007E7472" w:rsidRDefault="00EC1269">
                    <w:pPr>
                      <w:jc w:val="center"/>
                      <w:rPr>
                        <w:rFonts w:asciiTheme="minorEastAsia" w:eastAsiaTheme="minorEastAsia" w:hAnsiTheme="minorEastAsia"/>
                      </w:rPr>
                    </w:pPr>
                    <w:r>
                      <w:rPr>
                        <w:rFonts w:asciiTheme="minorEastAsia" w:eastAsiaTheme="minorEastAsia" w:hAnsiTheme="minorEastAsia" w:hint="eastAsia"/>
                      </w:rPr>
                      <w:t>期末余额</w:t>
                    </w:r>
                  </w:p>
                </w:tc>
              </w:sdtContent>
            </w:sdt>
            <w:sdt>
              <w:sdtPr>
                <w:rPr>
                  <w:rFonts w:asciiTheme="minorEastAsia" w:eastAsiaTheme="minorEastAsia" w:hAnsiTheme="minorEastAsia"/>
                </w:rPr>
                <w:tag w:val="_PLD_8b866f731e474c6ebfb67cd903ab95c8"/>
                <w:id w:val="-1500180445"/>
                <w:lock w:val="sdtLocked"/>
              </w:sdtPr>
              <w:sdtEndPr/>
              <w:sdtContent>
                <w:tc>
                  <w:tcPr>
                    <w:tcW w:w="1664" w:type="pct"/>
                    <w:vAlign w:val="center"/>
                  </w:tcPr>
                  <w:p w14:paraId="779A03E4" w14:textId="77777777" w:rsidR="007E7472" w:rsidRDefault="00EC1269">
                    <w:pPr>
                      <w:jc w:val="center"/>
                      <w:rPr>
                        <w:rFonts w:asciiTheme="minorEastAsia" w:eastAsiaTheme="minorEastAsia" w:hAnsiTheme="minorEastAsia"/>
                      </w:rPr>
                    </w:pPr>
                    <w:r>
                      <w:rPr>
                        <w:rFonts w:asciiTheme="minorEastAsia" w:eastAsiaTheme="minorEastAsia" w:hAnsiTheme="minorEastAsia" w:hint="eastAsia"/>
                      </w:rPr>
                      <w:t>期初余额</w:t>
                    </w:r>
                  </w:p>
                </w:tc>
              </w:sdtContent>
            </w:sdt>
          </w:tr>
          <w:tr w:rsidR="007E7472" w14:paraId="0A80EB90" w14:textId="77777777" w:rsidTr="007E7472">
            <w:trPr>
              <w:cantSplit/>
              <w:trHeight w:val="340"/>
            </w:trPr>
            <w:tc>
              <w:tcPr>
                <w:tcW w:w="1675" w:type="pct"/>
                <w:shd w:val="clear" w:color="auto" w:fill="auto"/>
                <w:vAlign w:val="center"/>
              </w:tcPr>
              <w:p w14:paraId="53125189" w14:textId="77777777" w:rsidR="007E7472" w:rsidRDefault="00EC1269">
                <w:pPr>
                  <w:ind w:right="105"/>
                  <w:rPr>
                    <w:rFonts w:asciiTheme="minorEastAsia" w:eastAsiaTheme="minorEastAsia" w:hAnsiTheme="minorEastAsia"/>
                  </w:rPr>
                </w:pPr>
                <w:r>
                  <w:rPr>
                    <w:rFonts w:asciiTheme="minorEastAsia" w:eastAsiaTheme="minorEastAsia" w:hAnsiTheme="minorEastAsia" w:hint="eastAsia"/>
                  </w:rPr>
                  <w:t>企业所得税</w:t>
                </w:r>
              </w:p>
            </w:tc>
            <w:tc>
              <w:tcPr>
                <w:tcW w:w="1661" w:type="pct"/>
                <w:shd w:val="clear" w:color="auto" w:fill="auto"/>
                <w:vAlign w:val="center"/>
              </w:tcPr>
              <w:p w14:paraId="00CEC8FE" w14:textId="77777777" w:rsidR="007E7472" w:rsidRDefault="00EC1269">
                <w:pPr>
                  <w:jc w:val="right"/>
                  <w:rPr>
                    <w:rFonts w:asciiTheme="minorEastAsia" w:eastAsiaTheme="minorEastAsia" w:hAnsiTheme="minorEastAsia"/>
                    <w:bCs/>
                  </w:rPr>
                </w:pPr>
                <w:r>
                  <w:rPr>
                    <w:rFonts w:asciiTheme="minorEastAsia" w:eastAsiaTheme="minorEastAsia" w:hAnsiTheme="minorEastAsia"/>
                  </w:rPr>
                  <w:t>2,710,259</w:t>
                </w:r>
              </w:p>
            </w:tc>
            <w:tc>
              <w:tcPr>
                <w:tcW w:w="1664" w:type="pct"/>
                <w:shd w:val="clear" w:color="auto" w:fill="auto"/>
                <w:vAlign w:val="center"/>
              </w:tcPr>
              <w:p w14:paraId="1801720C" w14:textId="77777777" w:rsidR="007E7472" w:rsidRDefault="00EC1269">
                <w:pPr>
                  <w:jc w:val="right"/>
                  <w:rPr>
                    <w:rFonts w:asciiTheme="minorEastAsia" w:eastAsiaTheme="minorEastAsia" w:hAnsiTheme="minorEastAsia"/>
                  </w:rPr>
                </w:pPr>
                <w:r>
                  <w:rPr>
                    <w:rFonts w:asciiTheme="minorEastAsia" w:eastAsiaTheme="minorEastAsia" w:hAnsiTheme="minorEastAsia"/>
                  </w:rPr>
                  <w:t>10,066,948</w:t>
                </w:r>
              </w:p>
            </w:tc>
          </w:tr>
          <w:tr w:rsidR="007E7472" w14:paraId="1A1DC10F" w14:textId="77777777" w:rsidTr="007E7472">
            <w:trPr>
              <w:cantSplit/>
              <w:trHeight w:val="340"/>
            </w:trPr>
            <w:tc>
              <w:tcPr>
                <w:tcW w:w="1675" w:type="pct"/>
                <w:shd w:val="clear" w:color="auto" w:fill="auto"/>
                <w:vAlign w:val="center"/>
              </w:tcPr>
              <w:p w14:paraId="0ED9B0F2" w14:textId="77777777" w:rsidR="007E7472" w:rsidRDefault="00EC1269">
                <w:pPr>
                  <w:ind w:right="105"/>
                  <w:rPr>
                    <w:rFonts w:asciiTheme="minorEastAsia" w:eastAsiaTheme="minorEastAsia" w:hAnsiTheme="minorEastAsia"/>
                  </w:rPr>
                </w:pPr>
                <w:r>
                  <w:rPr>
                    <w:rFonts w:asciiTheme="minorEastAsia" w:eastAsiaTheme="minorEastAsia" w:hAnsiTheme="minorEastAsia" w:hint="eastAsia"/>
                  </w:rPr>
                  <w:t>增值税</w:t>
                </w:r>
              </w:p>
            </w:tc>
            <w:tc>
              <w:tcPr>
                <w:tcW w:w="1661" w:type="pct"/>
                <w:shd w:val="clear" w:color="auto" w:fill="auto"/>
                <w:vAlign w:val="center"/>
              </w:tcPr>
              <w:p w14:paraId="5065E388" w14:textId="77777777" w:rsidR="007E7472" w:rsidRDefault="00EC1269">
                <w:pPr>
                  <w:jc w:val="right"/>
                  <w:rPr>
                    <w:rFonts w:asciiTheme="minorEastAsia" w:eastAsiaTheme="minorEastAsia" w:hAnsiTheme="minorEastAsia"/>
                  </w:rPr>
                </w:pPr>
                <w:r>
                  <w:rPr>
                    <w:rFonts w:asciiTheme="minorEastAsia" w:eastAsiaTheme="minorEastAsia" w:hAnsiTheme="minorEastAsia"/>
                  </w:rPr>
                  <w:t>555,802</w:t>
                </w:r>
              </w:p>
            </w:tc>
            <w:tc>
              <w:tcPr>
                <w:tcW w:w="1664" w:type="pct"/>
                <w:shd w:val="clear" w:color="auto" w:fill="auto"/>
                <w:vAlign w:val="center"/>
              </w:tcPr>
              <w:p w14:paraId="6FD6AFA8" w14:textId="77777777" w:rsidR="007E7472" w:rsidRDefault="00EC1269">
                <w:pPr>
                  <w:jc w:val="right"/>
                  <w:rPr>
                    <w:rFonts w:asciiTheme="minorEastAsia" w:eastAsiaTheme="minorEastAsia" w:hAnsiTheme="minorEastAsia"/>
                  </w:rPr>
                </w:pPr>
                <w:r>
                  <w:rPr>
                    <w:rFonts w:asciiTheme="minorEastAsia" w:eastAsiaTheme="minorEastAsia" w:hAnsiTheme="minorEastAsia"/>
                  </w:rPr>
                  <w:t>267,176</w:t>
                </w:r>
              </w:p>
            </w:tc>
          </w:tr>
          <w:tr w:rsidR="007E7472" w14:paraId="7FF85C25" w14:textId="77777777" w:rsidTr="007E7472">
            <w:trPr>
              <w:cantSplit/>
              <w:trHeight w:val="340"/>
            </w:trPr>
            <w:tc>
              <w:tcPr>
                <w:tcW w:w="1675" w:type="pct"/>
                <w:shd w:val="clear" w:color="auto" w:fill="auto"/>
                <w:vAlign w:val="center"/>
              </w:tcPr>
              <w:p w14:paraId="02842E33" w14:textId="77777777" w:rsidR="007E7472" w:rsidRDefault="00EC1269">
                <w:pPr>
                  <w:ind w:right="105"/>
                  <w:rPr>
                    <w:rFonts w:asciiTheme="minorEastAsia" w:eastAsiaTheme="minorEastAsia" w:hAnsiTheme="minorEastAsia"/>
                  </w:rPr>
                </w:pPr>
                <w:r>
                  <w:rPr>
                    <w:rFonts w:asciiTheme="minorEastAsia" w:eastAsiaTheme="minorEastAsia" w:hAnsiTheme="minorEastAsia" w:hint="eastAsia"/>
                  </w:rPr>
                  <w:t>资源税</w:t>
                </w:r>
              </w:p>
            </w:tc>
            <w:tc>
              <w:tcPr>
                <w:tcW w:w="1661" w:type="pct"/>
                <w:shd w:val="clear" w:color="auto" w:fill="auto"/>
                <w:vAlign w:val="center"/>
              </w:tcPr>
              <w:p w14:paraId="23ED1486" w14:textId="77777777" w:rsidR="007E7472" w:rsidRDefault="00EC1269">
                <w:pPr>
                  <w:jc w:val="right"/>
                  <w:rPr>
                    <w:rFonts w:asciiTheme="minorEastAsia" w:eastAsiaTheme="minorEastAsia" w:hAnsiTheme="minorEastAsia"/>
                  </w:rPr>
                </w:pPr>
                <w:r>
                  <w:rPr>
                    <w:rFonts w:asciiTheme="minorEastAsia" w:eastAsiaTheme="minorEastAsia" w:hAnsiTheme="minorEastAsia"/>
                  </w:rPr>
                  <w:t>251,162</w:t>
                </w:r>
              </w:p>
            </w:tc>
            <w:tc>
              <w:tcPr>
                <w:tcW w:w="1664" w:type="pct"/>
                <w:shd w:val="clear" w:color="auto" w:fill="auto"/>
                <w:vAlign w:val="center"/>
              </w:tcPr>
              <w:p w14:paraId="593922C9" w14:textId="77777777" w:rsidR="007E7472" w:rsidRDefault="00EC1269">
                <w:pPr>
                  <w:jc w:val="right"/>
                  <w:rPr>
                    <w:rFonts w:asciiTheme="minorEastAsia" w:eastAsiaTheme="minorEastAsia" w:hAnsiTheme="minorEastAsia"/>
                  </w:rPr>
                </w:pPr>
                <w:r>
                  <w:rPr>
                    <w:rFonts w:asciiTheme="minorEastAsia" w:eastAsiaTheme="minorEastAsia" w:hAnsiTheme="minorEastAsia"/>
                  </w:rPr>
                  <w:t>729,095</w:t>
                </w:r>
              </w:p>
            </w:tc>
          </w:tr>
          <w:tr w:rsidR="007E7472" w14:paraId="7F5E7DB6" w14:textId="77777777" w:rsidTr="007E7472">
            <w:trPr>
              <w:cantSplit/>
              <w:trHeight w:val="340"/>
            </w:trPr>
            <w:tc>
              <w:tcPr>
                <w:tcW w:w="1675" w:type="pct"/>
                <w:shd w:val="clear" w:color="auto" w:fill="auto"/>
                <w:vAlign w:val="center"/>
              </w:tcPr>
              <w:p w14:paraId="75F4038E" w14:textId="77777777" w:rsidR="007E7472" w:rsidRDefault="00EC1269">
                <w:pPr>
                  <w:ind w:right="105"/>
                  <w:rPr>
                    <w:rFonts w:asciiTheme="minorEastAsia" w:eastAsiaTheme="minorEastAsia" w:hAnsiTheme="minorEastAsia"/>
                  </w:rPr>
                </w:pPr>
                <w:r>
                  <w:rPr>
                    <w:rFonts w:asciiTheme="minorEastAsia" w:eastAsiaTheme="minorEastAsia" w:hAnsiTheme="minorEastAsia" w:hint="eastAsia"/>
                  </w:rPr>
                  <w:t>消费税</w:t>
                </w:r>
              </w:p>
            </w:tc>
            <w:tc>
              <w:tcPr>
                <w:tcW w:w="1661" w:type="pct"/>
                <w:shd w:val="clear" w:color="auto" w:fill="auto"/>
                <w:vAlign w:val="center"/>
              </w:tcPr>
              <w:p w14:paraId="2D395234" w14:textId="77777777" w:rsidR="007E7472" w:rsidRDefault="00EC1269">
                <w:pPr>
                  <w:jc w:val="right"/>
                  <w:rPr>
                    <w:rFonts w:asciiTheme="minorEastAsia" w:eastAsiaTheme="minorEastAsia" w:hAnsiTheme="minorEastAsia"/>
                  </w:rPr>
                </w:pPr>
                <w:r>
                  <w:rPr>
                    <w:rFonts w:asciiTheme="minorEastAsia" w:eastAsiaTheme="minorEastAsia" w:hAnsiTheme="minorEastAsia"/>
                  </w:rPr>
                  <w:t>86,612</w:t>
                </w:r>
              </w:p>
            </w:tc>
            <w:tc>
              <w:tcPr>
                <w:tcW w:w="1664" w:type="pct"/>
                <w:shd w:val="clear" w:color="auto" w:fill="auto"/>
                <w:vAlign w:val="center"/>
              </w:tcPr>
              <w:p w14:paraId="0B1352DC" w14:textId="77777777" w:rsidR="007E7472" w:rsidRDefault="00EC1269">
                <w:pPr>
                  <w:jc w:val="right"/>
                  <w:rPr>
                    <w:rFonts w:asciiTheme="minorEastAsia" w:eastAsiaTheme="minorEastAsia" w:hAnsiTheme="minorEastAsia"/>
                  </w:rPr>
                </w:pPr>
                <w:r>
                  <w:rPr>
                    <w:rFonts w:asciiTheme="minorEastAsia" w:eastAsiaTheme="minorEastAsia" w:hAnsiTheme="minorEastAsia"/>
                  </w:rPr>
                  <w:t>113,819</w:t>
                </w:r>
              </w:p>
            </w:tc>
          </w:tr>
          <w:tr w:rsidR="007E7472" w14:paraId="5B71FCD2" w14:textId="77777777" w:rsidTr="007E7472">
            <w:trPr>
              <w:cantSplit/>
              <w:trHeight w:val="340"/>
            </w:trPr>
            <w:tc>
              <w:tcPr>
                <w:tcW w:w="1675" w:type="pct"/>
                <w:shd w:val="clear" w:color="auto" w:fill="auto"/>
                <w:vAlign w:val="center"/>
              </w:tcPr>
              <w:p w14:paraId="6709AD5F" w14:textId="77777777" w:rsidR="007E7472" w:rsidRDefault="00EC1269">
                <w:pPr>
                  <w:ind w:right="105"/>
                  <w:rPr>
                    <w:rFonts w:asciiTheme="minorEastAsia" w:eastAsiaTheme="minorEastAsia" w:hAnsiTheme="minorEastAsia"/>
                  </w:rPr>
                </w:pPr>
                <w:r>
                  <w:rPr>
                    <w:rFonts w:asciiTheme="minorEastAsia" w:eastAsiaTheme="minorEastAsia" w:hAnsiTheme="minorEastAsia"/>
                  </w:rPr>
                  <w:t>其他</w:t>
                </w:r>
              </w:p>
            </w:tc>
            <w:tc>
              <w:tcPr>
                <w:tcW w:w="1661" w:type="pct"/>
                <w:shd w:val="clear" w:color="auto" w:fill="auto"/>
                <w:vAlign w:val="center"/>
              </w:tcPr>
              <w:p w14:paraId="794CF1E5" w14:textId="77777777" w:rsidR="007E7472" w:rsidRDefault="00EC1269">
                <w:pPr>
                  <w:jc w:val="right"/>
                  <w:rPr>
                    <w:rFonts w:asciiTheme="minorEastAsia" w:eastAsiaTheme="minorEastAsia" w:hAnsiTheme="minorEastAsia"/>
                  </w:rPr>
                </w:pPr>
                <w:r>
                  <w:rPr>
                    <w:rFonts w:asciiTheme="minorEastAsia" w:eastAsiaTheme="minorEastAsia" w:hAnsiTheme="minorEastAsia"/>
                  </w:rPr>
                  <w:t>233,825</w:t>
                </w:r>
              </w:p>
            </w:tc>
            <w:tc>
              <w:tcPr>
                <w:tcW w:w="1664" w:type="pct"/>
                <w:shd w:val="clear" w:color="auto" w:fill="auto"/>
                <w:vAlign w:val="center"/>
              </w:tcPr>
              <w:p w14:paraId="17E8DCF9" w14:textId="77777777" w:rsidR="007E7472" w:rsidRDefault="00EC1269">
                <w:pPr>
                  <w:jc w:val="right"/>
                  <w:rPr>
                    <w:rFonts w:asciiTheme="minorEastAsia" w:eastAsiaTheme="minorEastAsia" w:hAnsiTheme="minorEastAsia"/>
                  </w:rPr>
                </w:pPr>
                <w:r>
                  <w:rPr>
                    <w:rFonts w:asciiTheme="minorEastAsia" w:eastAsiaTheme="minorEastAsia" w:hAnsiTheme="minorEastAsia"/>
                  </w:rPr>
                  <w:t>569,427</w:t>
                </w:r>
              </w:p>
            </w:tc>
          </w:tr>
          <w:tr w:rsidR="007E7472" w14:paraId="71530D49" w14:textId="77777777" w:rsidTr="007E7472">
            <w:trPr>
              <w:cantSplit/>
              <w:trHeight w:val="340"/>
            </w:trPr>
            <w:tc>
              <w:tcPr>
                <w:tcW w:w="1675" w:type="pct"/>
                <w:vAlign w:val="center"/>
              </w:tcPr>
              <w:p w14:paraId="3EFCDF41" w14:textId="77777777" w:rsidR="007E7472" w:rsidRDefault="00EC1269">
                <w:pPr>
                  <w:ind w:right="105"/>
                  <w:jc w:val="center"/>
                  <w:rPr>
                    <w:rFonts w:asciiTheme="minorEastAsia" w:eastAsiaTheme="minorEastAsia" w:hAnsiTheme="minorEastAsia"/>
                  </w:rPr>
                </w:pPr>
                <w:r>
                  <w:rPr>
                    <w:rFonts w:asciiTheme="minorEastAsia" w:eastAsiaTheme="minorEastAsia" w:hAnsiTheme="minorEastAsia" w:hint="eastAsia"/>
                  </w:rPr>
                  <w:t>合计</w:t>
                </w:r>
              </w:p>
            </w:tc>
            <w:tc>
              <w:tcPr>
                <w:tcW w:w="1661" w:type="pct"/>
                <w:vAlign w:val="center"/>
              </w:tcPr>
              <w:p w14:paraId="060D87B9" w14:textId="77777777" w:rsidR="007E7472" w:rsidRDefault="00EC1269">
                <w:pPr>
                  <w:jc w:val="right"/>
                  <w:rPr>
                    <w:rFonts w:asciiTheme="minorEastAsia" w:eastAsiaTheme="minorEastAsia" w:hAnsiTheme="minorEastAsia"/>
                    <w:bCs/>
                  </w:rPr>
                </w:pPr>
                <w:r>
                  <w:rPr>
                    <w:rFonts w:asciiTheme="minorEastAsia" w:eastAsiaTheme="minorEastAsia" w:hAnsiTheme="minorEastAsia"/>
                  </w:rPr>
                  <w:t>3,837,660</w:t>
                </w:r>
              </w:p>
            </w:tc>
            <w:tc>
              <w:tcPr>
                <w:tcW w:w="1664" w:type="pct"/>
                <w:vAlign w:val="center"/>
              </w:tcPr>
              <w:p w14:paraId="501C8625" w14:textId="77777777" w:rsidR="007E7472" w:rsidRDefault="00EC1269">
                <w:pPr>
                  <w:jc w:val="right"/>
                  <w:rPr>
                    <w:rFonts w:asciiTheme="minorEastAsia" w:eastAsiaTheme="minorEastAsia" w:hAnsiTheme="minorEastAsia"/>
                  </w:rPr>
                </w:pPr>
                <w:r>
                  <w:rPr>
                    <w:rFonts w:asciiTheme="minorEastAsia" w:eastAsiaTheme="minorEastAsia" w:hAnsiTheme="minorEastAsia"/>
                  </w:rPr>
                  <w:t>11,746,465</w:t>
                </w:r>
              </w:p>
            </w:tc>
          </w:tr>
        </w:tbl>
      </w:sdtContent>
    </w:sdt>
    <w:p w14:paraId="1A318D2D" w14:textId="77777777" w:rsidR="007E7472" w:rsidRDefault="00C8327E">
      <w:pPr>
        <w:rPr>
          <w:rFonts w:asciiTheme="minorEastAsia" w:eastAsiaTheme="minorEastAsia" w:hAnsiTheme="minorEastAsia"/>
        </w:rPr>
      </w:pPr>
    </w:p>
    <w:p w14:paraId="7A01C14C" w14:textId="77777777" w:rsidR="007E7472" w:rsidRDefault="00EC1269" w:rsidP="00162493">
      <w:pPr>
        <w:pStyle w:val="3"/>
        <w:numPr>
          <w:ilvl w:val="0"/>
          <w:numId w:val="62"/>
        </w:numPr>
        <w:rPr>
          <w:rFonts w:asciiTheme="minorEastAsia" w:eastAsiaTheme="minorEastAsia" w:hAnsiTheme="minorEastAsia"/>
        </w:rPr>
      </w:pPr>
      <w:r>
        <w:rPr>
          <w:rFonts w:asciiTheme="minorEastAsia" w:eastAsiaTheme="minorEastAsia" w:hAnsiTheme="minorEastAsia" w:hint="eastAsia"/>
        </w:rPr>
        <w:t>其他应付款</w:t>
      </w:r>
    </w:p>
    <w:bookmarkStart w:id="239" w:name="_Hlk10535943" w:displacedByCustomXml="next"/>
    <w:sdt>
      <w:sdtPr>
        <w:rPr>
          <w:rFonts w:asciiTheme="minorEastAsia" w:eastAsiaTheme="minorEastAsia" w:hAnsiTheme="minorEastAsia" w:cs="宋体" w:hint="eastAsia"/>
          <w:b w:val="0"/>
          <w:bCs w:val="0"/>
          <w:kern w:val="0"/>
          <w:szCs w:val="21"/>
        </w:rPr>
        <w:alias w:val="模块:项目列示"/>
        <w:tag w:val="_SEC_d4a31631d4c141d39fd547efdfcde484"/>
        <w:id w:val="-1747179738"/>
        <w:lock w:val="sdtLocked"/>
        <w:placeholder>
          <w:docPart w:val="GBC22222222222222222222222222222"/>
        </w:placeholder>
      </w:sdtPr>
      <w:sdtEndPr/>
      <w:sdtContent>
        <w:p w14:paraId="30618B87" w14:textId="77777777" w:rsidR="007E7472" w:rsidRDefault="00EC1269" w:rsidP="007E7472">
          <w:pPr>
            <w:pStyle w:val="4"/>
            <w:rPr>
              <w:rFonts w:asciiTheme="minorEastAsia" w:eastAsiaTheme="minorEastAsia" w:hAnsiTheme="minorEastAsia"/>
            </w:rPr>
          </w:pPr>
          <w:r>
            <w:rPr>
              <w:rFonts w:asciiTheme="minorEastAsia" w:eastAsiaTheme="minorEastAsia" w:hAnsiTheme="minorEastAsia" w:hint="eastAsia"/>
            </w:rPr>
            <w:t>项目列示</w:t>
          </w:r>
        </w:p>
        <w:sdt>
          <w:sdtPr>
            <w:rPr>
              <w:rFonts w:asciiTheme="minorEastAsia" w:eastAsiaTheme="minorEastAsia" w:hAnsiTheme="minorEastAsia"/>
            </w:rPr>
            <w:alias w:val="是否适用：其他应付款分类列示[双击切换]"/>
            <w:tag w:val="_GBC_8136b8c1140049519ac46075abed3220"/>
            <w:id w:val="-1015919041"/>
            <w:lock w:val="sdtLocked"/>
            <w:placeholder>
              <w:docPart w:val="GBC22222222222222222222222222222"/>
            </w:placeholder>
          </w:sdtPr>
          <w:sdtEndPr/>
          <w:sdtContent>
            <w:p w14:paraId="29328AE4" w14:textId="77777777" w:rsidR="007E7472" w:rsidRDefault="00EC1269">
              <w:pPr>
                <w:rPr>
                  <w:rFonts w:asciiTheme="minorEastAsia" w:eastAsiaTheme="minorEastAsia" w:hAnsiTheme="minorEastAsia"/>
                </w:rPr>
              </w:pP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1307264C" w14:textId="48C88614" w:rsidR="007E7472" w:rsidRDefault="00EC1269">
          <w:pPr>
            <w:jc w:val="right"/>
            <w:rPr>
              <w:rFonts w:asciiTheme="minorEastAsia" w:eastAsiaTheme="minorEastAsia" w:hAnsiTheme="minorEastAsia"/>
            </w:rPr>
          </w:pPr>
          <w:r>
            <w:rPr>
              <w:rFonts w:asciiTheme="minorEastAsia" w:eastAsiaTheme="minorEastAsia" w:hAnsiTheme="minorEastAsia" w:hint="eastAsia"/>
            </w:rPr>
            <w:t>单位：</w:t>
          </w:r>
          <w:sdt>
            <w:sdtPr>
              <w:rPr>
                <w:rFonts w:asciiTheme="minorEastAsia" w:eastAsiaTheme="minorEastAsia" w:hAnsiTheme="minorEastAsia" w:hint="eastAsia"/>
              </w:rPr>
              <w:alias w:val="单位：其他应付款分类列示"/>
              <w:tag w:val="_GBC_f725af1ac18e4ea28ff0b171fd9076b1"/>
              <w:id w:val="6661387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asciiTheme="minorEastAsia" w:eastAsiaTheme="minorEastAsia" w:hAnsiTheme="minorEastAsia" w:hint="eastAsia"/>
                </w:rPr>
                <w:t>千元</w:t>
              </w:r>
            </w:sdtContent>
          </w:sdt>
          <w:r>
            <w:rPr>
              <w:rFonts w:asciiTheme="minorEastAsia" w:eastAsiaTheme="minorEastAsia" w:hAnsiTheme="minorEastAsia" w:hint="eastAsia"/>
            </w:rPr>
            <w:t>币种：</w:t>
          </w:r>
          <w:sdt>
            <w:sdtPr>
              <w:rPr>
                <w:rFonts w:asciiTheme="minorEastAsia" w:eastAsiaTheme="minorEastAsia" w:hAnsiTheme="minorEastAsia" w:hint="eastAsia"/>
              </w:rPr>
              <w:alias w:val="币种：其他应付款分类列示"/>
              <w:tag w:val="_GBC_9e26b8e601ae4c3b9b2f73c2946bed3c"/>
              <w:id w:val="1498859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asciiTheme="minorEastAsia" w:eastAsiaTheme="minorEastAsia" w:hAnsiTheme="minorEastAsia"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5"/>
            <w:gridCol w:w="2792"/>
            <w:gridCol w:w="2806"/>
          </w:tblGrid>
          <w:tr w:rsidR="007E7472" w14:paraId="1B757876" w14:textId="77777777" w:rsidTr="007E7472">
            <w:trPr>
              <w:trHeight w:val="340"/>
            </w:trPr>
            <w:sdt>
              <w:sdtPr>
                <w:rPr>
                  <w:rFonts w:asciiTheme="minorEastAsia" w:eastAsiaTheme="minorEastAsia" w:hAnsiTheme="minorEastAsia"/>
                </w:rPr>
                <w:tag w:val="_PLD_d301d6d0c6f244d3b16ca7922fb1eae1"/>
                <w:id w:val="548737750"/>
                <w:lock w:val="sdtLocked"/>
              </w:sdtPr>
              <w:sdtEndPr/>
              <w:sdtContent>
                <w:tc>
                  <w:tcPr>
                    <w:tcW w:w="1828" w:type="pct"/>
                    <w:shd w:val="clear" w:color="auto" w:fill="auto"/>
                    <w:vAlign w:val="center"/>
                  </w:tcPr>
                  <w:p w14:paraId="1454E071" w14:textId="77777777" w:rsidR="007E7472" w:rsidRDefault="00EC1269">
                    <w:pPr>
                      <w:tabs>
                        <w:tab w:val="right" w:pos="3690"/>
                        <w:tab w:val="right" w:pos="5130"/>
                        <w:tab w:val="right" w:pos="6030"/>
                        <w:tab w:val="right" w:pos="7650"/>
                        <w:tab w:val="right" w:pos="9270"/>
                      </w:tabs>
                      <w:adjustRightInd w:val="0"/>
                      <w:snapToGrid w:val="0"/>
                      <w:jc w:val="center"/>
                      <w:rPr>
                        <w:rFonts w:asciiTheme="minorEastAsia" w:eastAsiaTheme="minorEastAsia" w:hAnsiTheme="minorEastAsia"/>
                      </w:rPr>
                    </w:pPr>
                    <w:r>
                      <w:rPr>
                        <w:rFonts w:asciiTheme="minorEastAsia" w:eastAsiaTheme="minorEastAsia" w:hAnsiTheme="minorEastAsia" w:hint="eastAsia"/>
                      </w:rPr>
                      <w:t>项目</w:t>
                    </w:r>
                  </w:p>
                </w:tc>
              </w:sdtContent>
            </w:sdt>
            <w:sdt>
              <w:sdtPr>
                <w:rPr>
                  <w:rFonts w:asciiTheme="minorEastAsia" w:eastAsiaTheme="minorEastAsia" w:hAnsiTheme="minorEastAsia"/>
                </w:rPr>
                <w:tag w:val="_PLD_14a27299981b44e8a51ddedd6261c7cb"/>
                <w:id w:val="-608042354"/>
                <w:lock w:val="sdtLocked"/>
              </w:sdtPr>
              <w:sdtEndPr/>
              <w:sdtContent>
                <w:tc>
                  <w:tcPr>
                    <w:tcW w:w="1582" w:type="pct"/>
                    <w:shd w:val="clear" w:color="auto" w:fill="auto"/>
                    <w:vAlign w:val="center"/>
                  </w:tcPr>
                  <w:p w14:paraId="173316AF" w14:textId="77777777" w:rsidR="007E7472" w:rsidRDefault="00EC1269">
                    <w:pPr>
                      <w:jc w:val="center"/>
                      <w:rPr>
                        <w:rFonts w:asciiTheme="minorEastAsia" w:eastAsiaTheme="minorEastAsia" w:hAnsiTheme="minorEastAsia"/>
                      </w:rPr>
                    </w:pPr>
                    <w:r>
                      <w:rPr>
                        <w:rFonts w:asciiTheme="minorEastAsia" w:eastAsiaTheme="minorEastAsia" w:hAnsiTheme="minorEastAsia" w:hint="eastAsia"/>
                      </w:rPr>
                      <w:t>期末余额</w:t>
                    </w:r>
                  </w:p>
                </w:tc>
              </w:sdtContent>
            </w:sdt>
            <w:sdt>
              <w:sdtPr>
                <w:rPr>
                  <w:rFonts w:asciiTheme="minorEastAsia" w:eastAsiaTheme="minorEastAsia" w:hAnsiTheme="minorEastAsia"/>
                </w:rPr>
                <w:tag w:val="_PLD_3ada436da03540938e5f25706fc839ab"/>
                <w:id w:val="1234204313"/>
                <w:lock w:val="sdtLocked"/>
              </w:sdtPr>
              <w:sdtEndPr/>
              <w:sdtContent>
                <w:tc>
                  <w:tcPr>
                    <w:tcW w:w="1590" w:type="pct"/>
                    <w:shd w:val="clear" w:color="auto" w:fill="auto"/>
                    <w:vAlign w:val="center"/>
                  </w:tcPr>
                  <w:p w14:paraId="1DFA03EE" w14:textId="77777777" w:rsidR="007E7472" w:rsidRDefault="00EC1269">
                    <w:pPr>
                      <w:jc w:val="center"/>
                      <w:rPr>
                        <w:rFonts w:asciiTheme="minorEastAsia" w:eastAsiaTheme="minorEastAsia" w:hAnsiTheme="minorEastAsia"/>
                      </w:rPr>
                    </w:pPr>
                    <w:r>
                      <w:rPr>
                        <w:rFonts w:asciiTheme="minorEastAsia" w:eastAsiaTheme="minorEastAsia" w:hAnsiTheme="minorEastAsia" w:hint="eastAsia"/>
                      </w:rPr>
                      <w:t>期初余额</w:t>
                    </w:r>
                  </w:p>
                </w:tc>
              </w:sdtContent>
            </w:sdt>
          </w:tr>
          <w:tr w:rsidR="007E7472" w14:paraId="1ACCE0FB" w14:textId="77777777" w:rsidTr="007E7472">
            <w:trPr>
              <w:trHeight w:val="340"/>
            </w:trPr>
            <w:sdt>
              <w:sdtPr>
                <w:rPr>
                  <w:rFonts w:asciiTheme="minorEastAsia" w:eastAsiaTheme="minorEastAsia" w:hAnsiTheme="minorEastAsia"/>
                </w:rPr>
                <w:tag w:val="_PLD_d66a9d37a92f4ab8ae47e30c7542c8f2"/>
                <w:id w:val="870185970"/>
                <w:lock w:val="sdtLocked"/>
              </w:sdtPr>
              <w:sdtEndPr/>
              <w:sdtContent>
                <w:tc>
                  <w:tcPr>
                    <w:tcW w:w="1828" w:type="pct"/>
                    <w:shd w:val="clear" w:color="auto" w:fill="auto"/>
                    <w:vAlign w:val="center"/>
                  </w:tcPr>
                  <w:p w14:paraId="049B06C9" w14:textId="77777777" w:rsidR="007E7472" w:rsidRDefault="00EC1269">
                    <w:pPr>
                      <w:tabs>
                        <w:tab w:val="right" w:pos="3690"/>
                        <w:tab w:val="right" w:pos="5130"/>
                        <w:tab w:val="right" w:pos="6030"/>
                        <w:tab w:val="right" w:pos="7650"/>
                        <w:tab w:val="right" w:pos="9270"/>
                      </w:tabs>
                      <w:adjustRightInd w:val="0"/>
                      <w:snapToGrid w:val="0"/>
                      <w:rPr>
                        <w:rFonts w:asciiTheme="minorEastAsia" w:eastAsiaTheme="minorEastAsia" w:hAnsiTheme="minorEastAsia"/>
                      </w:rPr>
                    </w:pPr>
                    <w:r>
                      <w:rPr>
                        <w:rFonts w:asciiTheme="minorEastAsia" w:eastAsiaTheme="minorEastAsia" w:hAnsiTheme="minorEastAsia" w:hint="eastAsia"/>
                      </w:rPr>
                      <w:t>应付利息</w:t>
                    </w:r>
                  </w:p>
                </w:tc>
              </w:sdtContent>
            </w:sdt>
            <w:tc>
              <w:tcPr>
                <w:tcW w:w="1582" w:type="pct"/>
                <w:shd w:val="clear" w:color="auto" w:fill="auto"/>
                <w:vAlign w:val="center"/>
              </w:tcPr>
              <w:p w14:paraId="4A5FFE2C" w14:textId="77777777" w:rsidR="007E7472" w:rsidRDefault="00EC1269">
                <w:pPr>
                  <w:jc w:val="right"/>
                  <w:rPr>
                    <w:rFonts w:asciiTheme="minorEastAsia" w:eastAsiaTheme="minorEastAsia" w:hAnsiTheme="minorEastAsia"/>
                    <w:bCs/>
                  </w:rPr>
                </w:pPr>
                <w:r>
                  <w:rPr>
                    <w:rFonts w:asciiTheme="minorEastAsia" w:eastAsiaTheme="minorEastAsia" w:hAnsiTheme="minorEastAsia"/>
                  </w:rPr>
                  <w:t>534,684</w:t>
                </w:r>
              </w:p>
            </w:tc>
            <w:tc>
              <w:tcPr>
                <w:tcW w:w="1590" w:type="pct"/>
                <w:shd w:val="clear" w:color="auto" w:fill="auto"/>
                <w:vAlign w:val="center"/>
              </w:tcPr>
              <w:p w14:paraId="5FA6BDD1" w14:textId="77777777" w:rsidR="007E7472" w:rsidRDefault="00EC1269">
                <w:pPr>
                  <w:jc w:val="right"/>
                  <w:rPr>
                    <w:rFonts w:asciiTheme="minorEastAsia" w:eastAsiaTheme="minorEastAsia" w:hAnsiTheme="minorEastAsia"/>
                  </w:rPr>
                </w:pPr>
                <w:r>
                  <w:rPr>
                    <w:rFonts w:asciiTheme="minorEastAsia" w:eastAsiaTheme="minorEastAsia" w:hAnsiTheme="minorEastAsia"/>
                  </w:rPr>
                  <w:t>650,799</w:t>
                </w:r>
              </w:p>
            </w:tc>
          </w:tr>
          <w:tr w:rsidR="007E7472" w14:paraId="7E11FFDB" w14:textId="77777777" w:rsidTr="007E7472">
            <w:trPr>
              <w:trHeight w:val="340"/>
            </w:trPr>
            <w:sdt>
              <w:sdtPr>
                <w:rPr>
                  <w:rFonts w:asciiTheme="minorEastAsia" w:eastAsiaTheme="minorEastAsia" w:hAnsiTheme="minorEastAsia"/>
                </w:rPr>
                <w:tag w:val="_PLD_f7c963c0ee7f4ae9a9ee01376e1c10a3"/>
                <w:id w:val="-332994471"/>
                <w:lock w:val="sdtLocked"/>
              </w:sdtPr>
              <w:sdtEndPr/>
              <w:sdtContent>
                <w:tc>
                  <w:tcPr>
                    <w:tcW w:w="1828" w:type="pct"/>
                    <w:shd w:val="clear" w:color="auto" w:fill="auto"/>
                    <w:vAlign w:val="center"/>
                  </w:tcPr>
                  <w:p w14:paraId="40DFBFCC" w14:textId="77777777" w:rsidR="007E7472" w:rsidRDefault="00EC1269">
                    <w:pPr>
                      <w:tabs>
                        <w:tab w:val="right" w:pos="3690"/>
                        <w:tab w:val="right" w:pos="5130"/>
                        <w:tab w:val="right" w:pos="6030"/>
                        <w:tab w:val="right" w:pos="7650"/>
                        <w:tab w:val="right" w:pos="9270"/>
                      </w:tabs>
                      <w:adjustRightInd w:val="0"/>
                      <w:snapToGrid w:val="0"/>
                      <w:rPr>
                        <w:rFonts w:asciiTheme="minorEastAsia" w:eastAsiaTheme="minorEastAsia" w:hAnsiTheme="minorEastAsia"/>
                      </w:rPr>
                    </w:pPr>
                    <w:r>
                      <w:rPr>
                        <w:rFonts w:asciiTheme="minorEastAsia" w:eastAsiaTheme="minorEastAsia" w:hAnsiTheme="minorEastAsia" w:hint="eastAsia"/>
                      </w:rPr>
                      <w:t>应付股利</w:t>
                    </w:r>
                  </w:p>
                </w:tc>
              </w:sdtContent>
            </w:sdt>
            <w:tc>
              <w:tcPr>
                <w:tcW w:w="1582" w:type="pct"/>
                <w:shd w:val="clear" w:color="auto" w:fill="auto"/>
                <w:vAlign w:val="center"/>
              </w:tcPr>
              <w:p w14:paraId="62CDBAF1" w14:textId="77777777" w:rsidR="007E7472" w:rsidRDefault="00EC1269">
                <w:pPr>
                  <w:jc w:val="right"/>
                  <w:rPr>
                    <w:rFonts w:asciiTheme="minorEastAsia" w:eastAsiaTheme="minorEastAsia" w:hAnsiTheme="minorEastAsia"/>
                  </w:rPr>
                </w:pPr>
                <w:r>
                  <w:rPr>
                    <w:rFonts w:asciiTheme="minorEastAsia" w:eastAsiaTheme="minorEastAsia" w:hAnsiTheme="minorEastAsia"/>
                  </w:rPr>
                  <w:t>21,344,450</w:t>
                </w:r>
              </w:p>
            </w:tc>
            <w:tc>
              <w:tcPr>
                <w:tcW w:w="1590" w:type="pct"/>
                <w:shd w:val="clear" w:color="auto" w:fill="auto"/>
                <w:vAlign w:val="center"/>
              </w:tcPr>
              <w:p w14:paraId="0989947C" w14:textId="77777777" w:rsidR="007E7472" w:rsidRDefault="00EC1269">
                <w:pPr>
                  <w:jc w:val="right"/>
                  <w:rPr>
                    <w:rFonts w:asciiTheme="minorEastAsia" w:eastAsiaTheme="minorEastAsia" w:hAnsiTheme="minorEastAsia"/>
                  </w:rPr>
                </w:pPr>
                <w:r>
                  <w:rPr>
                    <w:rFonts w:asciiTheme="minorEastAsia" w:eastAsiaTheme="minorEastAsia" w:hAnsiTheme="minorEastAsia"/>
                  </w:rPr>
                  <w:t>3,544</w:t>
                </w:r>
              </w:p>
            </w:tc>
          </w:tr>
          <w:tr w:rsidR="007E7472" w14:paraId="41F2AEA0" w14:textId="77777777" w:rsidTr="007E7472">
            <w:trPr>
              <w:trHeight w:val="340"/>
            </w:trPr>
            <w:sdt>
              <w:sdtPr>
                <w:rPr>
                  <w:rFonts w:asciiTheme="minorEastAsia" w:eastAsiaTheme="minorEastAsia" w:hAnsiTheme="minorEastAsia"/>
                </w:rPr>
                <w:tag w:val="_PLD_bef380fd911e4f2a9e651243d4593795"/>
                <w:id w:val="35870057"/>
                <w:lock w:val="sdtLocked"/>
              </w:sdtPr>
              <w:sdtEndPr/>
              <w:sdtContent>
                <w:tc>
                  <w:tcPr>
                    <w:tcW w:w="1828" w:type="pct"/>
                    <w:shd w:val="clear" w:color="auto" w:fill="auto"/>
                    <w:vAlign w:val="center"/>
                  </w:tcPr>
                  <w:p w14:paraId="13917836" w14:textId="77777777" w:rsidR="007E7472" w:rsidRDefault="00EC1269">
                    <w:pPr>
                      <w:tabs>
                        <w:tab w:val="right" w:pos="3690"/>
                        <w:tab w:val="right" w:pos="5130"/>
                        <w:tab w:val="right" w:pos="6030"/>
                        <w:tab w:val="right" w:pos="7650"/>
                        <w:tab w:val="right" w:pos="9270"/>
                      </w:tabs>
                      <w:adjustRightInd w:val="0"/>
                      <w:snapToGrid w:val="0"/>
                      <w:rPr>
                        <w:rFonts w:asciiTheme="minorEastAsia" w:eastAsiaTheme="minorEastAsia" w:hAnsiTheme="minorEastAsia"/>
                      </w:rPr>
                    </w:pPr>
                    <w:r>
                      <w:rPr>
                        <w:rFonts w:asciiTheme="minorEastAsia" w:eastAsiaTheme="minorEastAsia" w:hAnsiTheme="minorEastAsia" w:hint="eastAsia"/>
                      </w:rPr>
                      <w:t>其他应付款</w:t>
                    </w:r>
                  </w:p>
                </w:tc>
              </w:sdtContent>
            </w:sdt>
            <w:tc>
              <w:tcPr>
                <w:tcW w:w="1582" w:type="pct"/>
                <w:shd w:val="clear" w:color="auto" w:fill="auto"/>
                <w:vAlign w:val="center"/>
              </w:tcPr>
              <w:p w14:paraId="4EBD68A3" w14:textId="77777777" w:rsidR="007E7472" w:rsidRDefault="00EC1269">
                <w:pPr>
                  <w:jc w:val="right"/>
                  <w:rPr>
                    <w:rFonts w:asciiTheme="minorEastAsia" w:eastAsiaTheme="minorEastAsia" w:hAnsiTheme="minorEastAsia"/>
                  </w:rPr>
                </w:pPr>
                <w:r>
                  <w:rPr>
                    <w:rFonts w:asciiTheme="minorEastAsia" w:eastAsiaTheme="minorEastAsia" w:hAnsiTheme="minorEastAsia"/>
                  </w:rPr>
                  <w:t>16,068,078</w:t>
                </w:r>
              </w:p>
            </w:tc>
            <w:tc>
              <w:tcPr>
                <w:tcW w:w="1590" w:type="pct"/>
                <w:shd w:val="clear" w:color="auto" w:fill="auto"/>
                <w:vAlign w:val="center"/>
              </w:tcPr>
              <w:p w14:paraId="536417D2" w14:textId="77777777" w:rsidR="007E7472" w:rsidRDefault="00EC1269">
                <w:pPr>
                  <w:jc w:val="right"/>
                  <w:rPr>
                    <w:rFonts w:asciiTheme="minorEastAsia" w:eastAsiaTheme="minorEastAsia" w:hAnsiTheme="minorEastAsia"/>
                  </w:rPr>
                </w:pPr>
                <w:r>
                  <w:rPr>
                    <w:rFonts w:asciiTheme="minorEastAsia" w:eastAsiaTheme="minorEastAsia" w:hAnsiTheme="minorEastAsia"/>
                  </w:rPr>
                  <w:t>16,394,476</w:t>
                </w:r>
              </w:p>
            </w:tc>
          </w:tr>
          <w:tr w:rsidR="007E7472" w14:paraId="6C4CC104" w14:textId="77777777" w:rsidTr="007E7472">
            <w:trPr>
              <w:trHeight w:val="340"/>
            </w:trPr>
            <w:sdt>
              <w:sdtPr>
                <w:rPr>
                  <w:rFonts w:asciiTheme="minorEastAsia" w:eastAsiaTheme="minorEastAsia" w:hAnsiTheme="minorEastAsia"/>
                </w:rPr>
                <w:tag w:val="_PLD_90dc33535197444a8eb7c8a4e477d9b7"/>
                <w:id w:val="-529027003"/>
                <w:lock w:val="sdtLocked"/>
              </w:sdtPr>
              <w:sdtEndPr/>
              <w:sdtContent>
                <w:tc>
                  <w:tcPr>
                    <w:tcW w:w="1828" w:type="pct"/>
                    <w:shd w:val="clear" w:color="auto" w:fill="auto"/>
                    <w:vAlign w:val="center"/>
                  </w:tcPr>
                  <w:p w14:paraId="16221A14" w14:textId="77777777" w:rsidR="007E7472" w:rsidRDefault="00EC1269">
                    <w:pPr>
                      <w:tabs>
                        <w:tab w:val="right" w:pos="3690"/>
                        <w:tab w:val="right" w:pos="5130"/>
                        <w:tab w:val="right" w:pos="6030"/>
                        <w:tab w:val="right" w:pos="7650"/>
                        <w:tab w:val="right" w:pos="9270"/>
                      </w:tabs>
                      <w:adjustRightInd w:val="0"/>
                      <w:snapToGrid w:val="0"/>
                      <w:jc w:val="center"/>
                      <w:rPr>
                        <w:rFonts w:asciiTheme="minorEastAsia" w:eastAsiaTheme="minorEastAsia" w:hAnsiTheme="minorEastAsia"/>
                      </w:rPr>
                    </w:pPr>
                    <w:r>
                      <w:rPr>
                        <w:rFonts w:asciiTheme="minorEastAsia" w:eastAsiaTheme="minorEastAsia" w:hAnsiTheme="minorEastAsia" w:hint="eastAsia"/>
                      </w:rPr>
                      <w:t>合计</w:t>
                    </w:r>
                  </w:p>
                </w:tc>
              </w:sdtContent>
            </w:sdt>
            <w:tc>
              <w:tcPr>
                <w:tcW w:w="1582" w:type="pct"/>
                <w:shd w:val="clear" w:color="auto" w:fill="auto"/>
                <w:vAlign w:val="center"/>
              </w:tcPr>
              <w:p w14:paraId="354F1E99" w14:textId="77777777" w:rsidR="007E7472" w:rsidRDefault="00EC1269">
                <w:pPr>
                  <w:jc w:val="right"/>
                  <w:rPr>
                    <w:rFonts w:asciiTheme="minorEastAsia" w:eastAsiaTheme="minorEastAsia" w:hAnsiTheme="minorEastAsia"/>
                  </w:rPr>
                </w:pPr>
                <w:r>
                  <w:rPr>
                    <w:rFonts w:asciiTheme="minorEastAsia" w:eastAsiaTheme="minorEastAsia" w:hAnsiTheme="minorEastAsia"/>
                  </w:rPr>
                  <w:t>37,947,212</w:t>
                </w:r>
              </w:p>
            </w:tc>
            <w:tc>
              <w:tcPr>
                <w:tcW w:w="1590" w:type="pct"/>
                <w:shd w:val="clear" w:color="auto" w:fill="auto"/>
                <w:vAlign w:val="center"/>
              </w:tcPr>
              <w:p w14:paraId="3755A94D" w14:textId="77777777" w:rsidR="007E7472" w:rsidRDefault="00EC1269">
                <w:pPr>
                  <w:jc w:val="right"/>
                  <w:rPr>
                    <w:rFonts w:asciiTheme="minorEastAsia" w:eastAsiaTheme="minorEastAsia" w:hAnsiTheme="minorEastAsia"/>
                  </w:rPr>
                </w:pPr>
                <w:r>
                  <w:rPr>
                    <w:rFonts w:asciiTheme="minorEastAsia" w:eastAsiaTheme="minorEastAsia" w:hAnsiTheme="minorEastAsia"/>
                  </w:rPr>
                  <w:t>17,048,819</w:t>
                </w:r>
              </w:p>
            </w:tc>
          </w:tr>
        </w:tbl>
      </w:sdtContent>
    </w:sdt>
    <w:bookmarkEnd w:id="239" w:displacedByCustomXml="next"/>
    <w:bookmarkStart w:id="240" w:name="_Hlk10536047" w:displacedByCustomXml="next"/>
    <w:sdt>
      <w:sdtPr>
        <w:rPr>
          <w:rFonts w:asciiTheme="minorEastAsia" w:eastAsiaTheme="minorEastAsia" w:hAnsiTheme="minorEastAsia" w:cs="宋体" w:hint="eastAsia"/>
          <w:b w:val="0"/>
          <w:bCs w:val="0"/>
          <w:kern w:val="0"/>
          <w:sz w:val="20"/>
          <w:szCs w:val="21"/>
        </w:rPr>
        <w:alias w:val="模块:应付利息"/>
        <w:tag w:val="_SEC_60feb8ef6f7c4655a263f50d12c222d8"/>
        <w:id w:val="1596984444"/>
        <w:lock w:val="sdtLocked"/>
        <w:placeholder>
          <w:docPart w:val="GBC22222222222222222222222222222"/>
        </w:placeholder>
      </w:sdtPr>
      <w:sdtEndPr>
        <w:rPr>
          <w:rFonts w:ascii="宋体" w:eastAsia="宋体" w:hAnsi="宋体"/>
        </w:rPr>
      </w:sdtEndPr>
      <w:sdtContent>
        <w:p w14:paraId="5795B2AF" w14:textId="77777777" w:rsidR="007E7472" w:rsidRDefault="00EC1269" w:rsidP="007E7472">
          <w:pPr>
            <w:pStyle w:val="4"/>
            <w:rPr>
              <w:rFonts w:asciiTheme="minorEastAsia" w:eastAsiaTheme="minorEastAsia" w:hAnsiTheme="minorEastAsia"/>
            </w:rPr>
          </w:pPr>
          <w:r>
            <w:rPr>
              <w:rFonts w:asciiTheme="minorEastAsia" w:eastAsiaTheme="minorEastAsia" w:hAnsiTheme="minorEastAsia" w:hint="eastAsia"/>
            </w:rPr>
            <w:t>应付利息</w:t>
          </w:r>
        </w:p>
        <w:sdt>
          <w:sdtPr>
            <w:rPr>
              <w:rFonts w:asciiTheme="minorEastAsia" w:eastAsiaTheme="minorEastAsia" w:hAnsiTheme="minorEastAsia"/>
            </w:rPr>
            <w:alias w:val="是否适用：应付利息[双击切换]"/>
            <w:tag w:val="_GBC_9058c1c6b0a94f6a8c531ec2dbd35706"/>
            <w:id w:val="731893441"/>
            <w:lock w:val="sdtLocked"/>
            <w:placeholder>
              <w:docPart w:val="GBC22222222222222222222222222222"/>
            </w:placeholder>
          </w:sdtPr>
          <w:sdtEndPr/>
          <w:sdtContent>
            <w:p w14:paraId="24F4C3B6" w14:textId="77777777" w:rsidR="007E7472" w:rsidRDefault="00EC1269">
              <w:pPr>
                <w:rPr>
                  <w:rFonts w:asciiTheme="minorEastAsia" w:eastAsiaTheme="minorEastAsia" w:hAnsiTheme="minorEastAsia"/>
                </w:rPr>
              </w:pPr>
              <w:r>
                <w:rPr>
                  <w:rFonts w:asciiTheme="minorEastAsia" w:eastAsiaTheme="minorEastAsia" w:hAnsiTheme="minorEastAsia"/>
                </w:rPr>
                <w:fldChar w:fldCharType="begin"/>
              </w:r>
              <w:r>
                <w:rPr>
                  <w:rFonts w:asciiTheme="minorEastAsia" w:eastAsiaTheme="minorEastAsia" w:hAnsiTheme="minorEastAsia"/>
                </w:rPr>
                <w:instrText xml:space="preserve">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273166E3" w14:textId="77777777" w:rsidR="007E7472" w:rsidRDefault="00913748" w:rsidP="00162493">
          <w:pPr>
            <w:pStyle w:val="4"/>
            <w:numPr>
              <w:ilvl w:val="0"/>
              <w:numId w:val="86"/>
            </w:numPr>
          </w:pPr>
          <w:r>
            <w:rPr>
              <w:rFonts w:hint="eastAsia"/>
            </w:rPr>
            <w:t>分类列示</w:t>
          </w:r>
        </w:p>
        <w:p w14:paraId="5D04D251" w14:textId="1E7B796B" w:rsidR="007E7472" w:rsidRDefault="00EC1269">
          <w:pPr>
            <w:jc w:val="right"/>
            <w:rPr>
              <w:rFonts w:asciiTheme="minorEastAsia" w:eastAsiaTheme="minorEastAsia" w:hAnsiTheme="minorEastAsia"/>
            </w:rPr>
          </w:pPr>
          <w:r>
            <w:rPr>
              <w:rFonts w:asciiTheme="minorEastAsia" w:eastAsiaTheme="minorEastAsia" w:hAnsiTheme="minorEastAsia" w:hint="eastAsia"/>
            </w:rPr>
            <w:t>单位：</w:t>
          </w:r>
          <w:sdt>
            <w:sdtPr>
              <w:rPr>
                <w:rFonts w:asciiTheme="minorEastAsia" w:eastAsiaTheme="minorEastAsia" w:hAnsiTheme="minorEastAsia" w:hint="eastAsia"/>
              </w:rPr>
              <w:alias w:val="单位：财务附注：应付利息"/>
              <w:tag w:val="_GBC_e9907c009de64097a89479217dbdc838"/>
              <w:id w:val="60862170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asciiTheme="minorEastAsia" w:eastAsiaTheme="minorEastAsia" w:hAnsiTheme="minorEastAsia" w:hint="eastAsia"/>
                </w:rPr>
                <w:t>千元</w:t>
              </w:r>
            </w:sdtContent>
          </w:sdt>
          <w:r>
            <w:rPr>
              <w:rFonts w:asciiTheme="minorEastAsia" w:eastAsiaTheme="minorEastAsia" w:hAnsiTheme="minorEastAsia" w:hint="eastAsia"/>
            </w:rPr>
            <w:t>币种：</w:t>
          </w:r>
          <w:sdt>
            <w:sdtPr>
              <w:rPr>
                <w:rFonts w:asciiTheme="minorEastAsia" w:eastAsiaTheme="minorEastAsia" w:hAnsiTheme="minorEastAsia" w:hint="eastAsia"/>
              </w:rPr>
              <w:alias w:val="币种：财务附注：应付利息"/>
              <w:tag w:val="_GBC_228df0cb4ea54d139c46410a0dcee74f"/>
              <w:id w:val="-12743236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asciiTheme="minorEastAsia" w:eastAsiaTheme="minorEastAsia" w:hAnsiTheme="minorEastAsia"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9"/>
            <w:gridCol w:w="2522"/>
            <w:gridCol w:w="2972"/>
          </w:tblGrid>
          <w:tr w:rsidR="007E7472" w14:paraId="38A31C5B" w14:textId="77777777" w:rsidTr="007E7472">
            <w:trPr>
              <w:trHeight w:val="340"/>
            </w:trPr>
            <w:sdt>
              <w:sdtPr>
                <w:rPr>
                  <w:rFonts w:asciiTheme="minorEastAsia" w:hAnsiTheme="minorEastAsia"/>
                </w:rPr>
                <w:tag w:val="_PLD_fd292d41e49846139b4ab78a4f19d473"/>
                <w:id w:val="-735249249"/>
                <w:lock w:val="sdtLocked"/>
              </w:sdtPr>
              <w:sdtEndPr/>
              <w:sdtContent>
                <w:tc>
                  <w:tcPr>
                    <w:tcW w:w="1887" w:type="pct"/>
                    <w:tcBorders>
                      <w:top w:val="single" w:sz="4" w:space="0" w:color="auto"/>
                      <w:left w:val="single" w:sz="4" w:space="0" w:color="auto"/>
                      <w:bottom w:val="single" w:sz="4" w:space="0" w:color="auto"/>
                      <w:right w:val="single" w:sz="4" w:space="0" w:color="auto"/>
                    </w:tcBorders>
                    <w:vAlign w:val="center"/>
                  </w:tcPr>
                  <w:p w14:paraId="1D0545EB" w14:textId="77777777" w:rsidR="007E7472" w:rsidRDefault="00EC1269">
                    <w:pPr>
                      <w:adjustRightInd w:val="0"/>
                      <w:snapToGrid w:val="0"/>
                      <w:ind w:leftChars="-2" w:left="-2" w:rightChars="9" w:right="19" w:hangingChars="1" w:hanging="2"/>
                      <w:jc w:val="center"/>
                      <w:rPr>
                        <w:rFonts w:asciiTheme="minorEastAsia" w:eastAsiaTheme="minorEastAsia" w:hAnsiTheme="minorEastAsia"/>
                      </w:rPr>
                    </w:pPr>
                    <w:r>
                      <w:rPr>
                        <w:rFonts w:asciiTheme="minorEastAsia" w:eastAsiaTheme="minorEastAsia" w:hAnsiTheme="minorEastAsia" w:hint="eastAsia"/>
                      </w:rPr>
                      <w:t>项目</w:t>
                    </w:r>
                  </w:p>
                </w:tc>
              </w:sdtContent>
            </w:sdt>
            <w:sdt>
              <w:sdtPr>
                <w:rPr>
                  <w:rFonts w:asciiTheme="minorEastAsia" w:hAnsiTheme="minorEastAsia"/>
                </w:rPr>
                <w:tag w:val="_PLD_6c7e9f13ec1e438b94631b9105180a42"/>
                <w:id w:val="-1111902275"/>
                <w:lock w:val="sdtLocked"/>
              </w:sdtPr>
              <w:sdtEndPr/>
              <w:sdtContent>
                <w:tc>
                  <w:tcPr>
                    <w:tcW w:w="1429" w:type="pct"/>
                    <w:tcBorders>
                      <w:top w:val="single" w:sz="4" w:space="0" w:color="auto"/>
                      <w:left w:val="single" w:sz="4" w:space="0" w:color="auto"/>
                      <w:bottom w:val="single" w:sz="4" w:space="0" w:color="auto"/>
                      <w:right w:val="single" w:sz="4" w:space="0" w:color="auto"/>
                    </w:tcBorders>
                    <w:vAlign w:val="center"/>
                  </w:tcPr>
                  <w:p w14:paraId="6E580FB3" w14:textId="77777777" w:rsidR="007E7472" w:rsidRDefault="00EC1269">
                    <w:pPr>
                      <w:adjustRightInd w:val="0"/>
                      <w:snapToGrid w:val="0"/>
                      <w:ind w:leftChars="-2" w:left="-2" w:rightChars="9" w:right="19" w:hangingChars="1" w:hanging="2"/>
                      <w:jc w:val="center"/>
                      <w:rPr>
                        <w:rFonts w:asciiTheme="minorEastAsia" w:eastAsiaTheme="minorEastAsia" w:hAnsiTheme="minorEastAsia"/>
                      </w:rPr>
                    </w:pPr>
                    <w:r>
                      <w:rPr>
                        <w:rFonts w:asciiTheme="minorEastAsia" w:eastAsiaTheme="minorEastAsia" w:hAnsiTheme="minorEastAsia" w:hint="eastAsia"/>
                      </w:rPr>
                      <w:t>期末余额</w:t>
                    </w:r>
                  </w:p>
                </w:tc>
              </w:sdtContent>
            </w:sdt>
            <w:sdt>
              <w:sdtPr>
                <w:rPr>
                  <w:rFonts w:asciiTheme="minorEastAsia" w:hAnsiTheme="minorEastAsia"/>
                </w:rPr>
                <w:tag w:val="_PLD_d562962f373f4d1588c525f99393fe5a"/>
                <w:id w:val="549659782"/>
                <w:lock w:val="sdtLocked"/>
              </w:sdtPr>
              <w:sdtEndPr/>
              <w:sdtContent>
                <w:tc>
                  <w:tcPr>
                    <w:tcW w:w="1684" w:type="pct"/>
                    <w:tcBorders>
                      <w:top w:val="single" w:sz="4" w:space="0" w:color="auto"/>
                      <w:left w:val="single" w:sz="4" w:space="0" w:color="auto"/>
                      <w:bottom w:val="single" w:sz="4" w:space="0" w:color="auto"/>
                      <w:right w:val="single" w:sz="4" w:space="0" w:color="auto"/>
                    </w:tcBorders>
                    <w:vAlign w:val="center"/>
                  </w:tcPr>
                  <w:p w14:paraId="435F433C" w14:textId="77777777" w:rsidR="007E7472" w:rsidRDefault="00EC1269">
                    <w:pPr>
                      <w:adjustRightInd w:val="0"/>
                      <w:snapToGrid w:val="0"/>
                      <w:ind w:leftChars="-2" w:left="-2" w:rightChars="9" w:right="19" w:hangingChars="1" w:hanging="2"/>
                      <w:jc w:val="center"/>
                      <w:rPr>
                        <w:rFonts w:asciiTheme="minorEastAsia" w:eastAsiaTheme="minorEastAsia" w:hAnsiTheme="minorEastAsia"/>
                      </w:rPr>
                    </w:pPr>
                    <w:r>
                      <w:rPr>
                        <w:rFonts w:asciiTheme="minorEastAsia" w:eastAsiaTheme="minorEastAsia" w:hAnsiTheme="minorEastAsia" w:hint="eastAsia"/>
                      </w:rPr>
                      <w:t>期初余额</w:t>
                    </w:r>
                  </w:p>
                </w:tc>
              </w:sdtContent>
            </w:sdt>
          </w:tr>
          <w:sdt>
            <w:sdtPr>
              <w:rPr>
                <w:rFonts w:asciiTheme="minorHAnsi" w:eastAsiaTheme="minorEastAsia" w:hAnsiTheme="minorHAnsi" w:cstheme="minorBidi"/>
                <w:kern w:val="2"/>
                <w:szCs w:val="22"/>
              </w:rPr>
              <w:alias w:val="划分为金融负债的优先股或永续债利息明细"/>
              <w:tag w:val="_TUP_c5f250bf33f14963b545b83aa42c9ea3"/>
              <w:id w:val="2050574142"/>
              <w:lock w:val="sdtLocked"/>
            </w:sdtPr>
            <w:sdtEndPr/>
            <w:sdtContent>
              <w:tr w:rsidR="007E7472" w14:paraId="21E3B0BD" w14:textId="77777777" w:rsidTr="007E7472">
                <w:trPr>
                  <w:trHeight w:val="340"/>
                </w:trPr>
                <w:tc>
                  <w:tcPr>
                    <w:tcW w:w="1887" w:type="pct"/>
                    <w:tcBorders>
                      <w:top w:val="single" w:sz="4" w:space="0" w:color="auto"/>
                      <w:left w:val="single" w:sz="4" w:space="0" w:color="auto"/>
                      <w:bottom w:val="single" w:sz="4" w:space="0" w:color="auto"/>
                      <w:right w:val="single" w:sz="4" w:space="0" w:color="auto"/>
                    </w:tcBorders>
                    <w:vAlign w:val="center"/>
                  </w:tcPr>
                  <w:p w14:paraId="64839471" w14:textId="77777777" w:rsidR="007E7472" w:rsidRDefault="00EC1269">
                    <w:r>
                      <w:t>应付债券利息</w:t>
                    </w:r>
                  </w:p>
                </w:tc>
                <w:tc>
                  <w:tcPr>
                    <w:tcW w:w="1429" w:type="pct"/>
                    <w:tcBorders>
                      <w:top w:val="single" w:sz="4" w:space="0" w:color="auto"/>
                      <w:left w:val="single" w:sz="4" w:space="0" w:color="auto"/>
                      <w:bottom w:val="single" w:sz="4" w:space="0" w:color="auto"/>
                      <w:right w:val="single" w:sz="4" w:space="0" w:color="auto"/>
                    </w:tcBorders>
                    <w:vAlign w:val="center"/>
                  </w:tcPr>
                  <w:p w14:paraId="26E29489" w14:textId="77777777" w:rsidR="007E7472" w:rsidRDefault="00EC1269">
                    <w:pPr>
                      <w:jc w:val="right"/>
                    </w:pPr>
                    <w:r>
                      <w:t>320,378</w:t>
                    </w:r>
                  </w:p>
                </w:tc>
                <w:tc>
                  <w:tcPr>
                    <w:tcW w:w="1684" w:type="pct"/>
                    <w:tcBorders>
                      <w:top w:val="single" w:sz="4" w:space="0" w:color="auto"/>
                      <w:left w:val="single" w:sz="4" w:space="0" w:color="auto"/>
                      <w:bottom w:val="single" w:sz="4" w:space="0" w:color="auto"/>
                      <w:right w:val="single" w:sz="4" w:space="0" w:color="auto"/>
                    </w:tcBorders>
                    <w:vAlign w:val="center"/>
                  </w:tcPr>
                  <w:p w14:paraId="5D690B4F" w14:textId="77777777" w:rsidR="007E7472" w:rsidRDefault="00EC1269">
                    <w:pPr>
                      <w:jc w:val="right"/>
                    </w:pPr>
                    <w:r>
                      <w:t>615,564</w:t>
                    </w:r>
                  </w:p>
                </w:tc>
              </w:tr>
            </w:sdtContent>
          </w:sdt>
          <w:sdt>
            <w:sdtPr>
              <w:rPr>
                <w:rFonts w:asciiTheme="minorHAnsi" w:eastAsiaTheme="minorEastAsia" w:hAnsiTheme="minorHAnsi" w:cstheme="minorBidi"/>
                <w:kern w:val="2"/>
                <w:szCs w:val="22"/>
              </w:rPr>
              <w:alias w:val="划分为金融负债的优先股或永续债利息明细"/>
              <w:tag w:val="_TUP_c5f250bf33f14963b545b83aa42c9ea3"/>
              <w:id w:val="1590275604"/>
              <w:lock w:val="sdtLocked"/>
            </w:sdtPr>
            <w:sdtEndPr/>
            <w:sdtContent>
              <w:tr w:rsidR="007E7472" w14:paraId="77249A43" w14:textId="77777777" w:rsidTr="007E7472">
                <w:tc>
                  <w:tcPr>
                    <w:tcW w:w="1887" w:type="pct"/>
                    <w:tcBorders>
                      <w:top w:val="single" w:sz="4" w:space="0" w:color="auto"/>
                      <w:left w:val="single" w:sz="4" w:space="0" w:color="auto"/>
                      <w:bottom w:val="single" w:sz="4" w:space="0" w:color="auto"/>
                      <w:right w:val="single" w:sz="4" w:space="0" w:color="auto"/>
                    </w:tcBorders>
                  </w:tcPr>
                  <w:p w14:paraId="370010BC" w14:textId="77777777" w:rsidR="007E7472" w:rsidRDefault="00EC1269">
                    <w:r>
                      <w:t>分期付息到期还本的长期借款利息</w:t>
                    </w:r>
                  </w:p>
                </w:tc>
                <w:tc>
                  <w:tcPr>
                    <w:tcW w:w="1429" w:type="pct"/>
                    <w:tcBorders>
                      <w:top w:val="single" w:sz="4" w:space="0" w:color="auto"/>
                      <w:left w:val="single" w:sz="4" w:space="0" w:color="auto"/>
                      <w:bottom w:val="single" w:sz="4" w:space="0" w:color="auto"/>
                      <w:right w:val="single" w:sz="4" w:space="0" w:color="auto"/>
                    </w:tcBorders>
                    <w:vAlign w:val="center"/>
                  </w:tcPr>
                  <w:p w14:paraId="188EE07B" w14:textId="77777777" w:rsidR="007E7472" w:rsidRDefault="00EC1269">
                    <w:pPr>
                      <w:jc w:val="right"/>
                    </w:pPr>
                    <w:r>
                      <w:t>211,212</w:t>
                    </w:r>
                  </w:p>
                </w:tc>
                <w:tc>
                  <w:tcPr>
                    <w:tcW w:w="1684" w:type="pct"/>
                    <w:tcBorders>
                      <w:top w:val="single" w:sz="4" w:space="0" w:color="auto"/>
                      <w:left w:val="single" w:sz="4" w:space="0" w:color="auto"/>
                      <w:bottom w:val="single" w:sz="4" w:space="0" w:color="auto"/>
                      <w:right w:val="single" w:sz="4" w:space="0" w:color="auto"/>
                    </w:tcBorders>
                    <w:vAlign w:val="center"/>
                  </w:tcPr>
                  <w:p w14:paraId="3C467C8A" w14:textId="77777777" w:rsidR="007E7472" w:rsidRDefault="00EC1269">
                    <w:pPr>
                      <w:jc w:val="right"/>
                    </w:pPr>
                    <w:r>
                      <w:t>35,091</w:t>
                    </w:r>
                  </w:p>
                </w:tc>
              </w:tr>
            </w:sdtContent>
          </w:sdt>
          <w:sdt>
            <w:sdtPr>
              <w:rPr>
                <w:rFonts w:asciiTheme="minorHAnsi" w:eastAsiaTheme="minorEastAsia" w:hAnsiTheme="minorHAnsi" w:cstheme="minorBidi"/>
                <w:kern w:val="2"/>
                <w:szCs w:val="22"/>
              </w:rPr>
              <w:alias w:val="划分为金融负债的优先股或永续债利息明细"/>
              <w:tag w:val="_TUP_c5f250bf33f14963b545b83aa42c9ea3"/>
              <w:id w:val="-1736777696"/>
              <w:lock w:val="sdtLocked"/>
            </w:sdtPr>
            <w:sdtEndPr/>
            <w:sdtContent>
              <w:tr w:rsidR="007E7472" w14:paraId="79ADCAC2" w14:textId="77777777" w:rsidTr="007E7472">
                <w:trPr>
                  <w:trHeight w:val="340"/>
                </w:trPr>
                <w:tc>
                  <w:tcPr>
                    <w:tcW w:w="1887" w:type="pct"/>
                    <w:tcBorders>
                      <w:top w:val="single" w:sz="4" w:space="0" w:color="auto"/>
                      <w:left w:val="single" w:sz="4" w:space="0" w:color="auto"/>
                      <w:bottom w:val="single" w:sz="4" w:space="0" w:color="auto"/>
                      <w:right w:val="single" w:sz="4" w:space="0" w:color="auto"/>
                    </w:tcBorders>
                    <w:vAlign w:val="center"/>
                  </w:tcPr>
                  <w:p w14:paraId="523EFE44" w14:textId="77777777" w:rsidR="007E7472" w:rsidRDefault="00EC1269">
                    <w:r>
                      <w:t>应付短期融资券利息</w:t>
                    </w:r>
                  </w:p>
                </w:tc>
                <w:tc>
                  <w:tcPr>
                    <w:tcW w:w="1429" w:type="pct"/>
                    <w:tcBorders>
                      <w:top w:val="single" w:sz="4" w:space="0" w:color="auto"/>
                      <w:left w:val="single" w:sz="4" w:space="0" w:color="auto"/>
                      <w:bottom w:val="single" w:sz="4" w:space="0" w:color="auto"/>
                      <w:right w:val="single" w:sz="4" w:space="0" w:color="auto"/>
                    </w:tcBorders>
                    <w:vAlign w:val="center"/>
                  </w:tcPr>
                  <w:p w14:paraId="55AD4F58" w14:textId="77777777" w:rsidR="007E7472" w:rsidRDefault="00EC1269">
                    <w:pPr>
                      <w:jc w:val="right"/>
                    </w:pPr>
                    <w:r>
                      <w:t>2,427</w:t>
                    </w:r>
                  </w:p>
                </w:tc>
                <w:tc>
                  <w:tcPr>
                    <w:tcW w:w="1684" w:type="pct"/>
                    <w:tcBorders>
                      <w:top w:val="single" w:sz="4" w:space="0" w:color="auto"/>
                      <w:left w:val="single" w:sz="4" w:space="0" w:color="auto"/>
                      <w:bottom w:val="single" w:sz="4" w:space="0" w:color="auto"/>
                      <w:right w:val="single" w:sz="4" w:space="0" w:color="auto"/>
                    </w:tcBorders>
                    <w:vAlign w:val="center"/>
                  </w:tcPr>
                  <w:p w14:paraId="74C9B83C" w14:textId="77777777" w:rsidR="007E7472" w:rsidRDefault="00C8327E">
                    <w:pPr>
                      <w:jc w:val="right"/>
                    </w:pPr>
                  </w:p>
                </w:tc>
              </w:tr>
            </w:sdtContent>
          </w:sdt>
          <w:sdt>
            <w:sdtPr>
              <w:rPr>
                <w:rFonts w:asciiTheme="minorHAnsi" w:eastAsiaTheme="minorEastAsia" w:hAnsiTheme="minorHAnsi" w:cstheme="minorBidi"/>
                <w:kern w:val="2"/>
                <w:szCs w:val="22"/>
              </w:rPr>
              <w:alias w:val="划分为金融负债的优先股或永续债利息明细"/>
              <w:tag w:val="_TUP_c5f250bf33f14963b545b83aa42c9ea3"/>
              <w:id w:val="-1815247514"/>
              <w:lock w:val="sdtLocked"/>
            </w:sdtPr>
            <w:sdtEndPr/>
            <w:sdtContent>
              <w:tr w:rsidR="007E7472" w14:paraId="37AE8D71" w14:textId="77777777" w:rsidTr="007E7472">
                <w:trPr>
                  <w:trHeight w:val="340"/>
                </w:trPr>
                <w:tc>
                  <w:tcPr>
                    <w:tcW w:w="1887" w:type="pct"/>
                    <w:tcBorders>
                      <w:top w:val="single" w:sz="4" w:space="0" w:color="auto"/>
                      <w:left w:val="single" w:sz="4" w:space="0" w:color="auto"/>
                      <w:bottom w:val="single" w:sz="4" w:space="0" w:color="auto"/>
                      <w:right w:val="single" w:sz="4" w:space="0" w:color="auto"/>
                    </w:tcBorders>
                    <w:vAlign w:val="center"/>
                  </w:tcPr>
                  <w:p w14:paraId="1B486326" w14:textId="77777777" w:rsidR="007E7472" w:rsidRDefault="00EC1269">
                    <w:r>
                      <w:t>应付定期存款利息</w:t>
                    </w:r>
                  </w:p>
                </w:tc>
                <w:tc>
                  <w:tcPr>
                    <w:tcW w:w="1429" w:type="pct"/>
                    <w:tcBorders>
                      <w:top w:val="single" w:sz="4" w:space="0" w:color="auto"/>
                      <w:left w:val="single" w:sz="4" w:space="0" w:color="auto"/>
                      <w:bottom w:val="single" w:sz="4" w:space="0" w:color="auto"/>
                      <w:right w:val="single" w:sz="4" w:space="0" w:color="auto"/>
                    </w:tcBorders>
                    <w:vAlign w:val="center"/>
                  </w:tcPr>
                  <w:p w14:paraId="43106738" w14:textId="77777777" w:rsidR="007E7472" w:rsidRDefault="00EC1269">
                    <w:pPr>
                      <w:jc w:val="right"/>
                    </w:pPr>
                    <w:r>
                      <w:t>667</w:t>
                    </w:r>
                  </w:p>
                </w:tc>
                <w:tc>
                  <w:tcPr>
                    <w:tcW w:w="1684" w:type="pct"/>
                    <w:tcBorders>
                      <w:top w:val="single" w:sz="4" w:space="0" w:color="auto"/>
                      <w:left w:val="single" w:sz="4" w:space="0" w:color="auto"/>
                      <w:bottom w:val="single" w:sz="4" w:space="0" w:color="auto"/>
                      <w:right w:val="single" w:sz="4" w:space="0" w:color="auto"/>
                    </w:tcBorders>
                    <w:vAlign w:val="center"/>
                  </w:tcPr>
                  <w:p w14:paraId="6754B4F2" w14:textId="77777777" w:rsidR="007E7472" w:rsidRDefault="00EC1269">
                    <w:pPr>
                      <w:jc w:val="right"/>
                    </w:pPr>
                    <w:r>
                      <w:t>144</w:t>
                    </w:r>
                  </w:p>
                </w:tc>
              </w:tr>
            </w:sdtContent>
          </w:sdt>
          <w:tr w:rsidR="007E7472" w14:paraId="06A421D5" w14:textId="77777777" w:rsidTr="007E7472">
            <w:trPr>
              <w:trHeight w:val="340"/>
            </w:trPr>
            <w:sdt>
              <w:sdtPr>
                <w:rPr>
                  <w:rFonts w:asciiTheme="minorEastAsia" w:hAnsiTheme="minorEastAsia"/>
                </w:rPr>
                <w:tag w:val="_PLD_a26d3928217a4cb48de388997f862e51"/>
                <w:id w:val="-293520771"/>
                <w:lock w:val="sdtLocked"/>
              </w:sdtPr>
              <w:sdtEndPr/>
              <w:sdtContent>
                <w:tc>
                  <w:tcPr>
                    <w:tcW w:w="1887" w:type="pct"/>
                    <w:tcBorders>
                      <w:top w:val="single" w:sz="4" w:space="0" w:color="auto"/>
                      <w:left w:val="single" w:sz="4" w:space="0" w:color="auto"/>
                      <w:bottom w:val="single" w:sz="4" w:space="0" w:color="auto"/>
                      <w:right w:val="single" w:sz="4" w:space="0" w:color="auto"/>
                    </w:tcBorders>
                    <w:vAlign w:val="center"/>
                  </w:tcPr>
                  <w:p w14:paraId="3E75069C" w14:textId="77777777" w:rsidR="007E7472" w:rsidRDefault="00EC1269">
                    <w:pPr>
                      <w:jc w:val="center"/>
                      <w:rPr>
                        <w:rFonts w:asciiTheme="minorEastAsia" w:eastAsiaTheme="minorEastAsia" w:hAnsiTheme="minorEastAsia"/>
                        <w:color w:val="FF0000"/>
                      </w:rPr>
                    </w:pPr>
                    <w:r>
                      <w:rPr>
                        <w:rFonts w:asciiTheme="minorEastAsia" w:eastAsiaTheme="minorEastAsia" w:hAnsiTheme="minorEastAsia" w:hint="eastAsia"/>
                      </w:rPr>
                      <w:t>合计</w:t>
                    </w:r>
                  </w:p>
                </w:tc>
              </w:sdtContent>
            </w:sdt>
            <w:tc>
              <w:tcPr>
                <w:tcW w:w="1429" w:type="pct"/>
                <w:tcBorders>
                  <w:top w:val="single" w:sz="4" w:space="0" w:color="auto"/>
                  <w:left w:val="single" w:sz="4" w:space="0" w:color="auto"/>
                  <w:bottom w:val="single" w:sz="4" w:space="0" w:color="auto"/>
                  <w:right w:val="single" w:sz="4" w:space="0" w:color="auto"/>
                </w:tcBorders>
                <w:vAlign w:val="center"/>
              </w:tcPr>
              <w:p w14:paraId="2A8B715B" w14:textId="77777777" w:rsidR="007E7472" w:rsidRDefault="00EC1269">
                <w:pPr>
                  <w:jc w:val="right"/>
                  <w:rPr>
                    <w:rFonts w:asciiTheme="minorEastAsia" w:eastAsiaTheme="minorEastAsia" w:hAnsiTheme="minorEastAsia"/>
                    <w:bCs/>
                  </w:rPr>
                </w:pPr>
                <w:r>
                  <w:rPr>
                    <w:rFonts w:asciiTheme="minorEastAsia" w:eastAsiaTheme="minorEastAsia" w:hAnsiTheme="minorEastAsia"/>
                  </w:rPr>
                  <w:t>534,684</w:t>
                </w:r>
              </w:p>
            </w:tc>
            <w:tc>
              <w:tcPr>
                <w:tcW w:w="1684" w:type="pct"/>
                <w:tcBorders>
                  <w:top w:val="single" w:sz="4" w:space="0" w:color="auto"/>
                  <w:left w:val="single" w:sz="4" w:space="0" w:color="auto"/>
                  <w:bottom w:val="single" w:sz="4" w:space="0" w:color="auto"/>
                  <w:right w:val="single" w:sz="4" w:space="0" w:color="auto"/>
                </w:tcBorders>
                <w:vAlign w:val="center"/>
              </w:tcPr>
              <w:p w14:paraId="42886C00" w14:textId="77777777" w:rsidR="007E7472" w:rsidRDefault="00EC1269">
                <w:pPr>
                  <w:jc w:val="right"/>
                  <w:rPr>
                    <w:rFonts w:asciiTheme="minorEastAsia" w:eastAsiaTheme="minorEastAsia" w:hAnsiTheme="minorEastAsia"/>
                  </w:rPr>
                </w:pPr>
                <w:r>
                  <w:rPr>
                    <w:rFonts w:asciiTheme="minorEastAsia" w:eastAsiaTheme="minorEastAsia" w:hAnsiTheme="minorEastAsia"/>
                  </w:rPr>
                  <w:t>650,799</w:t>
                </w:r>
              </w:p>
            </w:tc>
          </w:tr>
        </w:tbl>
        <w:p w14:paraId="1B349C31" w14:textId="77777777" w:rsidR="007E7472" w:rsidRDefault="00C8327E">
          <w:pPr>
            <w:rPr>
              <w:rFonts w:asciiTheme="minorEastAsia" w:eastAsiaTheme="minorEastAsia" w:hAnsiTheme="minorEastAsia"/>
            </w:rPr>
          </w:pPr>
        </w:p>
        <w:p w14:paraId="4C58C13E" w14:textId="77777777" w:rsidR="007E7472" w:rsidRDefault="00EC1269">
          <w:pPr>
            <w:rPr>
              <w:rFonts w:asciiTheme="minorEastAsia" w:eastAsiaTheme="minorEastAsia" w:hAnsiTheme="minorEastAsia"/>
            </w:rPr>
          </w:pPr>
          <w:r>
            <w:rPr>
              <w:rFonts w:asciiTheme="minorEastAsia" w:eastAsiaTheme="minorEastAsia" w:hAnsiTheme="minorEastAsia" w:hint="eastAsia"/>
            </w:rPr>
            <w:t>重要的已逾期未支付的利息情况：</w:t>
          </w:r>
        </w:p>
        <w:sdt>
          <w:sdtPr>
            <w:alias w:val="是否适用：重要的已逾期未支付的利息情况[双击切换]"/>
            <w:tag w:val="_GBC_467048e0118b400abf781e8a74db94e2"/>
            <w:id w:val="464400525"/>
            <w:lock w:val="sdtLocked"/>
            <w:placeholder>
              <w:docPart w:val="GBC22222222222222222222222222222"/>
            </w:placeholder>
          </w:sdtPr>
          <w:sdtEndPr/>
          <w:sdtContent>
            <w:p w14:paraId="03FA3F45"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3259E214" w14:textId="77777777" w:rsidR="007E7472" w:rsidRDefault="00EC1269">
          <w:r>
            <w:rPr>
              <w:rFonts w:hint="eastAsia"/>
            </w:rPr>
            <w:t>其他说明：</w:t>
          </w:r>
        </w:p>
        <w:sdt>
          <w:sdtPr>
            <w:alias w:val="是否适用：应付利息说明[双击切换]"/>
            <w:tag w:val="_GBC_7fa89c7d8b4b40bb9885811bf3463d04"/>
            <w:id w:val="-370303678"/>
            <w:lock w:val="sdtLocked"/>
            <w:placeholder>
              <w:docPart w:val="GBC22222222222222222222222222222"/>
            </w:placeholder>
          </w:sdtPr>
          <w:sdtEndPr/>
          <w:sdtContent>
            <w:p w14:paraId="3D42F2F5"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4C6F64BD" w14:textId="77777777" w:rsidR="007E7472" w:rsidRDefault="00C8327E"/>
      </w:sdtContent>
    </w:sdt>
    <w:bookmarkEnd w:id="240" w:displacedByCustomXml="next"/>
    <w:bookmarkStart w:id="241" w:name="_Hlk10536068" w:displacedByCustomXml="next"/>
    <w:bookmarkStart w:id="242" w:name="_Hlk10536082" w:displacedByCustomXml="next"/>
    <w:sdt>
      <w:sdtPr>
        <w:rPr>
          <w:rFonts w:ascii="宋体" w:hAnsi="宋体" w:cs="宋体" w:hint="eastAsia"/>
          <w:b w:val="0"/>
          <w:bCs w:val="0"/>
          <w:kern w:val="0"/>
          <w:szCs w:val="21"/>
        </w:rPr>
        <w:alias w:val="模块:应付股利"/>
        <w:tag w:val="_SEC_454db7ed64ca40e48e42eb6c38ae54ca"/>
        <w:id w:val="-118691920"/>
        <w:lock w:val="sdtLocked"/>
        <w:placeholder>
          <w:docPart w:val="GBC22222222222222222222222222222"/>
        </w:placeholder>
      </w:sdtPr>
      <w:sdtEndPr>
        <w:rPr>
          <w:rFonts w:hint="default"/>
        </w:rPr>
      </w:sdtEndPr>
      <w:sdtContent>
        <w:p w14:paraId="6878884A" w14:textId="77777777" w:rsidR="007E7472" w:rsidRDefault="00EC1269" w:rsidP="007E7472">
          <w:pPr>
            <w:pStyle w:val="4"/>
          </w:pPr>
          <w:r>
            <w:rPr>
              <w:rFonts w:hint="eastAsia"/>
            </w:rPr>
            <w:t>应付股利</w:t>
          </w:r>
          <w:bookmarkEnd w:id="241"/>
        </w:p>
        <w:sdt>
          <w:sdtPr>
            <w:alias w:val="是否适用：应付股利[双击切换]"/>
            <w:tag w:val="_GBC_09dc75ba10d44acfb18b03320a40e4c5"/>
            <w:id w:val="709995563"/>
            <w:lock w:val="sdtLocked"/>
            <w:placeholder>
              <w:docPart w:val="GBC22222222222222222222222222222"/>
            </w:placeholder>
          </w:sdtPr>
          <w:sdtEndPr/>
          <w:sdtContent>
            <w:p w14:paraId="731172B8"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5BD16F30" w14:textId="77777777" w:rsidR="007E7472" w:rsidRDefault="00913748" w:rsidP="00162493">
          <w:pPr>
            <w:pStyle w:val="4"/>
            <w:numPr>
              <w:ilvl w:val="0"/>
              <w:numId w:val="86"/>
            </w:numPr>
          </w:pPr>
          <w:r>
            <w:rPr>
              <w:rFonts w:hint="eastAsia"/>
            </w:rPr>
            <w:t>分类列示</w:t>
          </w:r>
        </w:p>
        <w:p w14:paraId="7F6AF600" w14:textId="2350F1D9" w:rsidR="007E7472" w:rsidRDefault="00EC1269">
          <w:pPr>
            <w:jc w:val="right"/>
          </w:pPr>
          <w:r>
            <w:rPr>
              <w:rFonts w:hint="eastAsia"/>
            </w:rPr>
            <w:t>单位：</w:t>
          </w:r>
          <w:sdt>
            <w:sdtPr>
              <w:rPr>
                <w:rFonts w:hint="eastAsia"/>
              </w:rPr>
              <w:alias w:val="单位：财务附注：应付股利"/>
              <w:tag w:val="_GBC_794436f63bf446c4b4d5d09922a87476"/>
              <w:id w:val="136825685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应付股利"/>
              <w:tag w:val="_GBC_3ac9f6019d6040e79214de869765e7c9"/>
              <w:id w:val="9563736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2835"/>
            <w:gridCol w:w="2993"/>
            <w:gridCol w:w="2995"/>
          </w:tblGrid>
          <w:tr w:rsidR="007E7472" w14:paraId="7C805EE6" w14:textId="77777777" w:rsidTr="007E7472">
            <w:trPr>
              <w:cantSplit/>
              <w:trHeight w:val="340"/>
            </w:trPr>
            <w:sdt>
              <w:sdtPr>
                <w:tag w:val="_PLD_9d58938574b04fdbb97abe896d2ae73a"/>
                <w:id w:val="-1435667059"/>
                <w:lock w:val="sdtLocked"/>
              </w:sdtPr>
              <w:sdtEndPr/>
              <w:sdtContent>
                <w:tc>
                  <w:tcPr>
                    <w:tcW w:w="1607" w:type="pct"/>
                    <w:vAlign w:val="center"/>
                  </w:tcPr>
                  <w:p w14:paraId="456C5343" w14:textId="77777777" w:rsidR="007E7472" w:rsidRDefault="00EC1269">
                    <w:pPr>
                      <w:ind w:right="105"/>
                      <w:jc w:val="center"/>
                    </w:pPr>
                    <w:r>
                      <w:rPr>
                        <w:rFonts w:hint="eastAsia"/>
                      </w:rPr>
                      <w:t>项目</w:t>
                    </w:r>
                  </w:p>
                </w:tc>
              </w:sdtContent>
            </w:sdt>
            <w:sdt>
              <w:sdtPr>
                <w:tag w:val="_PLD_464a3e2801194be5b8f549044d634880"/>
                <w:id w:val="-53773870"/>
                <w:lock w:val="sdtLocked"/>
              </w:sdtPr>
              <w:sdtEndPr/>
              <w:sdtContent>
                <w:tc>
                  <w:tcPr>
                    <w:tcW w:w="1696" w:type="pct"/>
                    <w:vAlign w:val="center"/>
                  </w:tcPr>
                  <w:p w14:paraId="67C31584" w14:textId="77777777" w:rsidR="007E7472" w:rsidRDefault="00EC1269">
                    <w:pPr>
                      <w:jc w:val="center"/>
                    </w:pPr>
                    <w:r>
                      <w:rPr>
                        <w:rFonts w:hint="eastAsia"/>
                      </w:rPr>
                      <w:t>期末余额</w:t>
                    </w:r>
                  </w:p>
                </w:tc>
              </w:sdtContent>
            </w:sdt>
            <w:sdt>
              <w:sdtPr>
                <w:tag w:val="_PLD_b96a666c25174aeab9bab423f51ae94f"/>
                <w:id w:val="-803776414"/>
                <w:lock w:val="sdtLocked"/>
              </w:sdtPr>
              <w:sdtEndPr/>
              <w:sdtContent>
                <w:tc>
                  <w:tcPr>
                    <w:tcW w:w="1697" w:type="pct"/>
                    <w:vAlign w:val="center"/>
                  </w:tcPr>
                  <w:p w14:paraId="421D6389" w14:textId="77777777" w:rsidR="007E7472" w:rsidRDefault="00EC1269">
                    <w:pPr>
                      <w:jc w:val="center"/>
                    </w:pPr>
                    <w:r>
                      <w:rPr>
                        <w:rFonts w:hint="eastAsia"/>
                      </w:rPr>
                      <w:t>期初余额</w:t>
                    </w:r>
                  </w:p>
                </w:tc>
              </w:sdtContent>
            </w:sdt>
          </w:tr>
          <w:tr w:rsidR="007E7472" w14:paraId="7396E8D5" w14:textId="77777777" w:rsidTr="007E7472">
            <w:trPr>
              <w:cantSplit/>
              <w:trHeight w:val="340"/>
            </w:trPr>
            <w:sdt>
              <w:sdtPr>
                <w:tag w:val="_PLD_ccc30ab30e5a4b788d1af42d774d7b85"/>
                <w:id w:val="-108899580"/>
                <w:lock w:val="sdtLocked"/>
              </w:sdtPr>
              <w:sdtEndPr/>
              <w:sdtContent>
                <w:tc>
                  <w:tcPr>
                    <w:tcW w:w="1607" w:type="pct"/>
                    <w:vAlign w:val="center"/>
                  </w:tcPr>
                  <w:p w14:paraId="63C59F7A" w14:textId="77777777" w:rsidR="007E7472" w:rsidRDefault="00EC1269">
                    <w:pPr>
                      <w:ind w:right="105"/>
                    </w:pPr>
                    <w:r>
                      <w:rPr>
                        <w:rFonts w:hint="eastAsia"/>
                      </w:rPr>
                      <w:t>普通股股利</w:t>
                    </w:r>
                  </w:p>
                </w:tc>
              </w:sdtContent>
            </w:sdt>
            <w:tc>
              <w:tcPr>
                <w:tcW w:w="1696" w:type="pct"/>
                <w:vAlign w:val="center"/>
              </w:tcPr>
              <w:p w14:paraId="2F840A53" w14:textId="77777777" w:rsidR="007E7472" w:rsidRDefault="00EC1269">
                <w:pPr>
                  <w:jc w:val="right"/>
                  <w:rPr>
                    <w:bCs/>
                  </w:rPr>
                </w:pPr>
                <w:r>
                  <w:t>21,344,450</w:t>
                </w:r>
              </w:p>
            </w:tc>
            <w:tc>
              <w:tcPr>
                <w:tcW w:w="1697" w:type="pct"/>
                <w:vAlign w:val="center"/>
              </w:tcPr>
              <w:p w14:paraId="778CE76B" w14:textId="77777777" w:rsidR="007E7472" w:rsidRDefault="00EC1269">
                <w:pPr>
                  <w:jc w:val="right"/>
                </w:pPr>
                <w:r>
                  <w:t>3,544</w:t>
                </w:r>
              </w:p>
            </w:tc>
          </w:tr>
          <w:tr w:rsidR="007E7472" w14:paraId="1DFC9FD4" w14:textId="77777777" w:rsidTr="007E7472">
            <w:trPr>
              <w:cantSplit/>
              <w:trHeight w:val="340"/>
            </w:trPr>
            <w:sdt>
              <w:sdtPr>
                <w:tag w:val="_PLD_2b0d3d581f184538a143c7836e38c7fd"/>
                <w:id w:val="215168038"/>
                <w:lock w:val="sdtLocked"/>
              </w:sdtPr>
              <w:sdtEndPr/>
              <w:sdtContent>
                <w:tc>
                  <w:tcPr>
                    <w:tcW w:w="1607" w:type="pct"/>
                    <w:vAlign w:val="center"/>
                  </w:tcPr>
                  <w:p w14:paraId="7F6F220B" w14:textId="77777777" w:rsidR="007E7472" w:rsidRDefault="00EC1269">
                    <w:pPr>
                      <w:ind w:right="105"/>
                      <w:jc w:val="center"/>
                      <w:rPr>
                        <w:color w:val="000000" w:themeColor="text1"/>
                      </w:rPr>
                    </w:pPr>
                    <w:r>
                      <w:rPr>
                        <w:rFonts w:hint="eastAsia"/>
                        <w:color w:val="000000" w:themeColor="text1"/>
                      </w:rPr>
                      <w:t>合计</w:t>
                    </w:r>
                  </w:p>
                </w:tc>
              </w:sdtContent>
            </w:sdt>
            <w:tc>
              <w:tcPr>
                <w:tcW w:w="1696" w:type="pct"/>
                <w:vAlign w:val="center"/>
              </w:tcPr>
              <w:p w14:paraId="657A0B23" w14:textId="77777777" w:rsidR="007E7472" w:rsidRDefault="00EC1269">
                <w:pPr>
                  <w:jc w:val="right"/>
                  <w:rPr>
                    <w:bCs/>
                  </w:rPr>
                </w:pPr>
                <w:r>
                  <w:t>21,344,450</w:t>
                </w:r>
              </w:p>
            </w:tc>
            <w:tc>
              <w:tcPr>
                <w:tcW w:w="1697" w:type="pct"/>
                <w:vAlign w:val="center"/>
              </w:tcPr>
              <w:p w14:paraId="160A2365" w14:textId="77777777" w:rsidR="007E7472" w:rsidRDefault="00EC1269">
                <w:pPr>
                  <w:jc w:val="right"/>
                </w:pPr>
                <w:r>
                  <w:t>3,544</w:t>
                </w:r>
              </w:p>
            </w:tc>
          </w:tr>
        </w:tbl>
      </w:sdtContent>
    </w:sdt>
    <w:p w14:paraId="7F8C3C16" w14:textId="77777777" w:rsidR="007E7472" w:rsidRDefault="00EC1269" w:rsidP="007E7472">
      <w:pPr>
        <w:pStyle w:val="4"/>
      </w:pPr>
      <w:bookmarkStart w:id="243" w:name="_Hlk10536163"/>
      <w:bookmarkEnd w:id="242"/>
      <w:r>
        <w:rPr>
          <w:rFonts w:hint="eastAsia"/>
        </w:rPr>
        <w:t>其他应付款</w:t>
      </w:r>
    </w:p>
    <w:sdt>
      <w:sdtPr>
        <w:rPr>
          <w:rFonts w:ascii="宋体" w:hAnsi="宋体" w:cs="宋体" w:hint="eastAsia"/>
          <w:b w:val="0"/>
          <w:bCs w:val="0"/>
          <w:kern w:val="0"/>
          <w:sz w:val="20"/>
          <w:szCs w:val="21"/>
        </w:rPr>
        <w:alias w:val="模块:按款项性质列示其他应付款"/>
        <w:tag w:val="_SEC_df361e68406f49208d47d08674984872"/>
        <w:id w:val="1818233721"/>
        <w:lock w:val="sdtLocked"/>
        <w:placeholder>
          <w:docPart w:val="GBC22222222222222222222222222222"/>
        </w:placeholder>
      </w:sdtPr>
      <w:sdtEndPr>
        <w:rPr>
          <w:rFonts w:hint="default"/>
        </w:rPr>
      </w:sdtEndPr>
      <w:sdtContent>
        <w:p w14:paraId="41EA2169" w14:textId="77777777" w:rsidR="007E7472" w:rsidRDefault="00EC1269" w:rsidP="00162493">
          <w:pPr>
            <w:pStyle w:val="4"/>
            <w:numPr>
              <w:ilvl w:val="0"/>
              <w:numId w:val="86"/>
            </w:numPr>
          </w:pPr>
          <w:r>
            <w:rPr>
              <w:rFonts w:hint="eastAsia"/>
            </w:rPr>
            <w:t>按款项性质列示其他应付款</w:t>
          </w:r>
        </w:p>
        <w:sdt>
          <w:sdtPr>
            <w:alias w:val="是否适用：按款项性质列示其他应付款[双击切换]"/>
            <w:tag w:val="_GBC_a099ebd596de4984814ff6b49af92e86"/>
            <w:id w:val="-1059937199"/>
            <w:lock w:val="sdtLocked"/>
            <w:placeholder>
              <w:docPart w:val="GBC22222222222222222222222222222"/>
            </w:placeholder>
          </w:sdtPr>
          <w:sdtEndPr/>
          <w:sdtContent>
            <w:p w14:paraId="4E109814" w14:textId="77777777" w:rsidR="007E7472" w:rsidRDefault="00EC1269">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6DA7166C" w14:textId="3E349B67" w:rsidR="007E7472" w:rsidRDefault="00EC1269">
          <w:pPr>
            <w:jc w:val="right"/>
          </w:pPr>
          <w:r>
            <w:rPr>
              <w:rFonts w:hint="eastAsia"/>
            </w:rPr>
            <w:t>单位：</w:t>
          </w:r>
          <w:sdt>
            <w:sdtPr>
              <w:rPr>
                <w:rFonts w:hint="eastAsia"/>
              </w:rPr>
              <w:alias w:val="单位：财务附注：其他应付款情况"/>
              <w:tag w:val="_GBC_781a05c0c742470b88557fa8878adf9c"/>
              <w:id w:val="1718498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其他应付款情况"/>
              <w:tag w:val="_GBC_19bba6af93f1445cbfdc13ddfb71a0ea"/>
              <w:id w:val="62128143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0"/>
            <w:gridCol w:w="2924"/>
            <w:gridCol w:w="3049"/>
          </w:tblGrid>
          <w:tr w:rsidR="007E7472" w14:paraId="5B5D47D4" w14:textId="77777777" w:rsidTr="007E7472">
            <w:trPr>
              <w:trHeight w:val="340"/>
            </w:trPr>
            <w:sdt>
              <w:sdtPr>
                <w:tag w:val="_PLD_3991c4118c8d4069811e5f758978143f"/>
                <w:id w:val="-499424563"/>
                <w:lock w:val="sdtLocked"/>
              </w:sdtPr>
              <w:sdtEndPr/>
              <w:sdtContent>
                <w:tc>
                  <w:tcPr>
                    <w:tcW w:w="1615" w:type="pct"/>
                    <w:shd w:val="clear" w:color="auto" w:fill="auto"/>
                    <w:vAlign w:val="center"/>
                  </w:tcPr>
                  <w:p w14:paraId="3E14214C" w14:textId="77777777" w:rsidR="007E7472" w:rsidRDefault="00EC1269">
                    <w:pPr>
                      <w:jc w:val="center"/>
                    </w:pPr>
                    <w:r>
                      <w:rPr>
                        <w:rFonts w:hint="eastAsia"/>
                      </w:rPr>
                      <w:t>项目</w:t>
                    </w:r>
                  </w:p>
                </w:tc>
              </w:sdtContent>
            </w:sdt>
            <w:sdt>
              <w:sdtPr>
                <w:tag w:val="_PLD_c1bcea3523f040f08da3a1bd0d135ad5"/>
                <w:id w:val="-1515923794"/>
                <w:lock w:val="sdtLocked"/>
              </w:sdtPr>
              <w:sdtEndPr/>
              <w:sdtContent>
                <w:tc>
                  <w:tcPr>
                    <w:tcW w:w="1657" w:type="pct"/>
                    <w:shd w:val="clear" w:color="auto" w:fill="auto"/>
                    <w:vAlign w:val="center"/>
                  </w:tcPr>
                  <w:p w14:paraId="254E4863" w14:textId="77777777" w:rsidR="007E7472" w:rsidRDefault="00EC1269">
                    <w:pPr>
                      <w:jc w:val="center"/>
                    </w:pPr>
                    <w:r>
                      <w:rPr>
                        <w:rFonts w:hint="eastAsia"/>
                      </w:rPr>
                      <w:t>期末余额</w:t>
                    </w:r>
                  </w:p>
                </w:tc>
              </w:sdtContent>
            </w:sdt>
            <w:sdt>
              <w:sdtPr>
                <w:tag w:val="_PLD_b89663858245498c995c58e2bab384aa"/>
                <w:id w:val="981665278"/>
                <w:lock w:val="sdtLocked"/>
              </w:sdtPr>
              <w:sdtEndPr/>
              <w:sdtContent>
                <w:tc>
                  <w:tcPr>
                    <w:tcW w:w="1728" w:type="pct"/>
                    <w:shd w:val="clear" w:color="auto" w:fill="auto"/>
                    <w:vAlign w:val="center"/>
                  </w:tcPr>
                  <w:p w14:paraId="473BC765" w14:textId="77777777" w:rsidR="007E7472" w:rsidRDefault="00EC1269">
                    <w:pPr>
                      <w:jc w:val="center"/>
                    </w:pPr>
                    <w:r>
                      <w:rPr>
                        <w:rFonts w:hint="eastAsia"/>
                      </w:rPr>
                      <w:t>期初余额</w:t>
                    </w:r>
                  </w:p>
                </w:tc>
              </w:sdtContent>
            </w:sdt>
          </w:tr>
          <w:sdt>
            <w:sdtPr>
              <w:rPr>
                <w:rFonts w:hint="eastAsia"/>
              </w:rPr>
              <w:alias w:val="其他应付款情况明细"/>
              <w:tag w:val="_TUP_d68cb62e22fc4f99ab4d25c145efcd43"/>
              <w:id w:val="606090503"/>
              <w:lock w:val="sdtLocked"/>
            </w:sdtPr>
            <w:sdtEndPr>
              <w:rPr>
                <w:rFonts w:hint="default"/>
              </w:rPr>
            </w:sdtEndPr>
            <w:sdtContent>
              <w:tr w:rsidR="007E7472" w14:paraId="4EC6CA34" w14:textId="77777777" w:rsidTr="007E7472">
                <w:trPr>
                  <w:trHeight w:val="340"/>
                </w:trPr>
                <w:tc>
                  <w:tcPr>
                    <w:tcW w:w="1615" w:type="pct"/>
                    <w:shd w:val="clear" w:color="auto" w:fill="auto"/>
                    <w:vAlign w:val="center"/>
                  </w:tcPr>
                  <w:p w14:paraId="24997D90" w14:textId="77777777" w:rsidR="007E7472" w:rsidRDefault="00EC1269">
                    <w:r>
                      <w:t>吸收存款</w:t>
                    </w:r>
                  </w:p>
                </w:tc>
                <w:tc>
                  <w:tcPr>
                    <w:tcW w:w="1657" w:type="pct"/>
                    <w:shd w:val="clear" w:color="auto" w:fill="auto"/>
                    <w:vAlign w:val="center"/>
                  </w:tcPr>
                  <w:p w14:paraId="2F72C638" w14:textId="77777777" w:rsidR="007E7472" w:rsidRDefault="00EC1269">
                    <w:pPr>
                      <w:jc w:val="right"/>
                    </w:pPr>
                    <w:r>
                      <w:t>10,354,107</w:t>
                    </w:r>
                  </w:p>
                </w:tc>
                <w:tc>
                  <w:tcPr>
                    <w:tcW w:w="1728" w:type="pct"/>
                    <w:shd w:val="clear" w:color="auto" w:fill="auto"/>
                    <w:vAlign w:val="center"/>
                  </w:tcPr>
                  <w:p w14:paraId="612B2211" w14:textId="77777777" w:rsidR="007E7472" w:rsidRDefault="00EC1269">
                    <w:pPr>
                      <w:jc w:val="right"/>
                    </w:pPr>
                    <w:r>
                      <w:t>11,243,810</w:t>
                    </w:r>
                  </w:p>
                </w:tc>
              </w:tr>
            </w:sdtContent>
          </w:sdt>
          <w:sdt>
            <w:sdtPr>
              <w:rPr>
                <w:rFonts w:hint="eastAsia"/>
              </w:rPr>
              <w:alias w:val="其他应付款情况明细"/>
              <w:tag w:val="_TUP_d68cb62e22fc4f99ab4d25c145efcd43"/>
              <w:id w:val="-1816798500"/>
              <w:lock w:val="sdtLocked"/>
            </w:sdtPr>
            <w:sdtEndPr>
              <w:rPr>
                <w:rFonts w:hint="default"/>
              </w:rPr>
            </w:sdtEndPr>
            <w:sdtContent>
              <w:tr w:rsidR="007E7472" w14:paraId="4FCB1825" w14:textId="77777777" w:rsidTr="007E7472">
                <w:trPr>
                  <w:trHeight w:val="340"/>
                </w:trPr>
                <w:tc>
                  <w:tcPr>
                    <w:tcW w:w="1615" w:type="pct"/>
                    <w:shd w:val="clear" w:color="auto" w:fill="auto"/>
                    <w:vAlign w:val="center"/>
                  </w:tcPr>
                  <w:p w14:paraId="3B48198A" w14:textId="77777777" w:rsidR="007E7472" w:rsidRDefault="00EC1269">
                    <w:r>
                      <w:t>往来款</w:t>
                    </w:r>
                  </w:p>
                </w:tc>
                <w:tc>
                  <w:tcPr>
                    <w:tcW w:w="1657" w:type="pct"/>
                    <w:shd w:val="clear" w:color="auto" w:fill="auto"/>
                    <w:vAlign w:val="center"/>
                  </w:tcPr>
                  <w:p w14:paraId="58088525" w14:textId="77777777" w:rsidR="007E7472" w:rsidRDefault="00EC1269">
                    <w:pPr>
                      <w:jc w:val="right"/>
                    </w:pPr>
                    <w:r>
                      <w:t>3,130,098</w:t>
                    </w:r>
                  </w:p>
                </w:tc>
                <w:tc>
                  <w:tcPr>
                    <w:tcW w:w="1728" w:type="pct"/>
                    <w:shd w:val="clear" w:color="auto" w:fill="auto"/>
                    <w:vAlign w:val="center"/>
                  </w:tcPr>
                  <w:p w14:paraId="59E8B741" w14:textId="77777777" w:rsidR="007E7472" w:rsidRDefault="00EC1269">
                    <w:pPr>
                      <w:jc w:val="right"/>
                    </w:pPr>
                    <w:r>
                      <w:t>2,750,636</w:t>
                    </w:r>
                  </w:p>
                </w:tc>
              </w:tr>
            </w:sdtContent>
          </w:sdt>
          <w:sdt>
            <w:sdtPr>
              <w:rPr>
                <w:rFonts w:hint="eastAsia"/>
              </w:rPr>
              <w:alias w:val="其他应付款情况明细"/>
              <w:tag w:val="_TUP_d68cb62e22fc4f99ab4d25c145efcd43"/>
              <w:id w:val="-1665232942"/>
              <w:lock w:val="sdtLocked"/>
            </w:sdtPr>
            <w:sdtEndPr>
              <w:rPr>
                <w:rFonts w:hint="default"/>
              </w:rPr>
            </w:sdtEndPr>
            <w:sdtContent>
              <w:tr w:rsidR="007E7472" w14:paraId="59CAFB72" w14:textId="77777777" w:rsidTr="007E7472">
                <w:trPr>
                  <w:trHeight w:val="340"/>
                </w:trPr>
                <w:tc>
                  <w:tcPr>
                    <w:tcW w:w="1615" w:type="pct"/>
                    <w:shd w:val="clear" w:color="auto" w:fill="auto"/>
                    <w:vAlign w:val="center"/>
                  </w:tcPr>
                  <w:p w14:paraId="3D6A33FC" w14:textId="77777777" w:rsidR="007E7472" w:rsidRDefault="00EC1269">
                    <w:r>
                      <w:t>限制性股票回购义务</w:t>
                    </w:r>
                  </w:p>
                </w:tc>
                <w:tc>
                  <w:tcPr>
                    <w:tcW w:w="1657" w:type="pct"/>
                    <w:shd w:val="clear" w:color="auto" w:fill="auto"/>
                    <w:vAlign w:val="center"/>
                  </w:tcPr>
                  <w:p w14:paraId="2E591DA5" w14:textId="77777777" w:rsidR="007E7472" w:rsidRDefault="00EC1269">
                    <w:pPr>
                      <w:jc w:val="right"/>
                    </w:pPr>
                    <w:r>
                      <w:t>723,593</w:t>
                    </w:r>
                  </w:p>
                </w:tc>
                <w:tc>
                  <w:tcPr>
                    <w:tcW w:w="1728" w:type="pct"/>
                    <w:shd w:val="clear" w:color="auto" w:fill="auto"/>
                    <w:vAlign w:val="center"/>
                  </w:tcPr>
                  <w:p w14:paraId="2BD30747" w14:textId="77777777" w:rsidR="007E7472" w:rsidRDefault="00EC1269">
                    <w:pPr>
                      <w:jc w:val="right"/>
                    </w:pPr>
                    <w:r>
                      <w:t>723,593</w:t>
                    </w:r>
                  </w:p>
                </w:tc>
              </w:tr>
            </w:sdtContent>
          </w:sdt>
          <w:sdt>
            <w:sdtPr>
              <w:rPr>
                <w:rFonts w:hint="eastAsia"/>
              </w:rPr>
              <w:alias w:val="其他应付款情况明细"/>
              <w:tag w:val="_TUP_d68cb62e22fc4f99ab4d25c145efcd43"/>
              <w:id w:val="-632100110"/>
              <w:lock w:val="sdtLocked"/>
            </w:sdtPr>
            <w:sdtEndPr>
              <w:rPr>
                <w:rFonts w:hint="default"/>
              </w:rPr>
            </w:sdtEndPr>
            <w:sdtContent>
              <w:tr w:rsidR="007E7472" w14:paraId="263B7804" w14:textId="77777777" w:rsidTr="007E7472">
                <w:trPr>
                  <w:trHeight w:val="340"/>
                </w:trPr>
                <w:tc>
                  <w:tcPr>
                    <w:tcW w:w="1615" w:type="pct"/>
                    <w:shd w:val="clear" w:color="auto" w:fill="auto"/>
                    <w:vAlign w:val="center"/>
                  </w:tcPr>
                  <w:p w14:paraId="5B1D1749" w14:textId="77777777" w:rsidR="007E7472" w:rsidRDefault="00EC1269">
                    <w:r>
                      <w:t>应付代扣款</w:t>
                    </w:r>
                  </w:p>
                </w:tc>
                <w:tc>
                  <w:tcPr>
                    <w:tcW w:w="1657" w:type="pct"/>
                    <w:shd w:val="clear" w:color="auto" w:fill="auto"/>
                    <w:vAlign w:val="center"/>
                  </w:tcPr>
                  <w:p w14:paraId="06132151" w14:textId="77777777" w:rsidR="007E7472" w:rsidRDefault="00EC1269">
                    <w:pPr>
                      <w:jc w:val="right"/>
                    </w:pPr>
                    <w:r>
                      <w:t>624,526</w:t>
                    </w:r>
                  </w:p>
                </w:tc>
                <w:tc>
                  <w:tcPr>
                    <w:tcW w:w="1728" w:type="pct"/>
                    <w:shd w:val="clear" w:color="auto" w:fill="auto"/>
                    <w:vAlign w:val="center"/>
                  </w:tcPr>
                  <w:p w14:paraId="26F1D314" w14:textId="77777777" w:rsidR="007E7472" w:rsidRDefault="00EC1269">
                    <w:pPr>
                      <w:jc w:val="right"/>
                    </w:pPr>
                    <w:r>
                      <w:t>567,342</w:t>
                    </w:r>
                  </w:p>
                </w:tc>
              </w:tr>
            </w:sdtContent>
          </w:sdt>
          <w:sdt>
            <w:sdtPr>
              <w:rPr>
                <w:rFonts w:hint="eastAsia"/>
              </w:rPr>
              <w:alias w:val="其他应付款情况明细"/>
              <w:tag w:val="_TUP_d68cb62e22fc4f99ab4d25c145efcd43"/>
              <w:id w:val="-1086224103"/>
              <w:lock w:val="sdtLocked"/>
            </w:sdtPr>
            <w:sdtEndPr>
              <w:rPr>
                <w:rFonts w:hint="default"/>
              </w:rPr>
            </w:sdtEndPr>
            <w:sdtContent>
              <w:tr w:rsidR="007E7472" w14:paraId="1477E5E4" w14:textId="77777777" w:rsidTr="007E7472">
                <w:trPr>
                  <w:trHeight w:val="340"/>
                </w:trPr>
                <w:tc>
                  <w:tcPr>
                    <w:tcW w:w="1615" w:type="pct"/>
                    <w:shd w:val="clear" w:color="auto" w:fill="auto"/>
                    <w:vAlign w:val="center"/>
                  </w:tcPr>
                  <w:p w14:paraId="5277EB72" w14:textId="77777777" w:rsidR="007E7472" w:rsidRDefault="00EC1269">
                    <w:r>
                      <w:t>押金保证金</w:t>
                    </w:r>
                  </w:p>
                </w:tc>
                <w:tc>
                  <w:tcPr>
                    <w:tcW w:w="1657" w:type="pct"/>
                    <w:shd w:val="clear" w:color="auto" w:fill="auto"/>
                    <w:vAlign w:val="center"/>
                  </w:tcPr>
                  <w:p w14:paraId="5D9064E1" w14:textId="77777777" w:rsidR="007E7472" w:rsidRDefault="00EC1269">
                    <w:pPr>
                      <w:jc w:val="right"/>
                    </w:pPr>
                    <w:r>
                      <w:t>507,777</w:t>
                    </w:r>
                  </w:p>
                </w:tc>
                <w:tc>
                  <w:tcPr>
                    <w:tcW w:w="1728" w:type="pct"/>
                    <w:shd w:val="clear" w:color="auto" w:fill="auto"/>
                    <w:vAlign w:val="center"/>
                  </w:tcPr>
                  <w:p w14:paraId="077AFE3C" w14:textId="77777777" w:rsidR="007E7472" w:rsidRDefault="00EC1269">
                    <w:pPr>
                      <w:jc w:val="right"/>
                    </w:pPr>
                    <w:r>
                      <w:t>495,989</w:t>
                    </w:r>
                  </w:p>
                </w:tc>
              </w:tr>
            </w:sdtContent>
          </w:sdt>
          <w:sdt>
            <w:sdtPr>
              <w:rPr>
                <w:rFonts w:hint="eastAsia"/>
              </w:rPr>
              <w:alias w:val="其他应付款情况明细"/>
              <w:tag w:val="_TUP_d68cb62e22fc4f99ab4d25c145efcd43"/>
              <w:id w:val="-269078512"/>
              <w:lock w:val="sdtLocked"/>
            </w:sdtPr>
            <w:sdtEndPr>
              <w:rPr>
                <w:rFonts w:hint="default"/>
              </w:rPr>
            </w:sdtEndPr>
            <w:sdtContent>
              <w:tr w:rsidR="007E7472" w14:paraId="34BF2B3E" w14:textId="77777777" w:rsidTr="007E7472">
                <w:trPr>
                  <w:trHeight w:val="340"/>
                </w:trPr>
                <w:tc>
                  <w:tcPr>
                    <w:tcW w:w="1615" w:type="pct"/>
                    <w:shd w:val="clear" w:color="auto" w:fill="auto"/>
                    <w:vAlign w:val="center"/>
                  </w:tcPr>
                  <w:p w14:paraId="56BB281B" w14:textId="77777777" w:rsidR="007E7472" w:rsidRDefault="00EC1269">
                    <w:r>
                      <w:t>应付投资款</w:t>
                    </w:r>
                  </w:p>
                </w:tc>
                <w:tc>
                  <w:tcPr>
                    <w:tcW w:w="1657" w:type="pct"/>
                    <w:shd w:val="clear" w:color="auto" w:fill="auto"/>
                    <w:vAlign w:val="center"/>
                  </w:tcPr>
                  <w:p w14:paraId="64FE6A33" w14:textId="77777777" w:rsidR="007E7472" w:rsidRDefault="00EC1269">
                    <w:pPr>
                      <w:jc w:val="right"/>
                    </w:pPr>
                    <w:r>
                      <w:t>441,910</w:t>
                    </w:r>
                  </w:p>
                </w:tc>
                <w:tc>
                  <w:tcPr>
                    <w:tcW w:w="1728" w:type="pct"/>
                    <w:shd w:val="clear" w:color="auto" w:fill="auto"/>
                    <w:vAlign w:val="center"/>
                  </w:tcPr>
                  <w:p w14:paraId="0F3D10EE" w14:textId="77777777" w:rsidR="007E7472" w:rsidRDefault="00EC1269">
                    <w:pPr>
                      <w:jc w:val="right"/>
                    </w:pPr>
                    <w:r>
                      <w:t>458,700</w:t>
                    </w:r>
                  </w:p>
                </w:tc>
              </w:tr>
            </w:sdtContent>
          </w:sdt>
          <w:sdt>
            <w:sdtPr>
              <w:rPr>
                <w:rFonts w:hint="eastAsia"/>
              </w:rPr>
              <w:alias w:val="其他应付款情况明细"/>
              <w:tag w:val="_TUP_d68cb62e22fc4f99ab4d25c145efcd43"/>
              <w:id w:val="449057550"/>
              <w:lock w:val="sdtLocked"/>
            </w:sdtPr>
            <w:sdtEndPr>
              <w:rPr>
                <w:rFonts w:hint="default"/>
              </w:rPr>
            </w:sdtEndPr>
            <w:sdtContent>
              <w:tr w:rsidR="007E7472" w14:paraId="6346165A" w14:textId="77777777" w:rsidTr="007E7472">
                <w:trPr>
                  <w:trHeight w:val="340"/>
                </w:trPr>
                <w:tc>
                  <w:tcPr>
                    <w:tcW w:w="1615" w:type="pct"/>
                    <w:shd w:val="clear" w:color="auto" w:fill="auto"/>
                    <w:vAlign w:val="center"/>
                  </w:tcPr>
                  <w:p w14:paraId="24EAA684" w14:textId="77777777" w:rsidR="007E7472" w:rsidRDefault="00EC1269">
                    <w:r>
                      <w:t>工程款</w:t>
                    </w:r>
                  </w:p>
                </w:tc>
                <w:tc>
                  <w:tcPr>
                    <w:tcW w:w="1657" w:type="pct"/>
                    <w:shd w:val="clear" w:color="auto" w:fill="auto"/>
                    <w:vAlign w:val="center"/>
                  </w:tcPr>
                  <w:p w14:paraId="5902EA3F" w14:textId="77777777" w:rsidR="007E7472" w:rsidRDefault="00EC1269">
                    <w:pPr>
                      <w:jc w:val="right"/>
                    </w:pPr>
                    <w:r>
                      <w:t>39,314</w:t>
                    </w:r>
                  </w:p>
                </w:tc>
                <w:tc>
                  <w:tcPr>
                    <w:tcW w:w="1728" w:type="pct"/>
                    <w:shd w:val="clear" w:color="auto" w:fill="auto"/>
                    <w:vAlign w:val="center"/>
                  </w:tcPr>
                  <w:p w14:paraId="5FE159FD" w14:textId="77777777" w:rsidR="007E7472" w:rsidRDefault="00EC1269">
                    <w:pPr>
                      <w:jc w:val="right"/>
                    </w:pPr>
                    <w:r>
                      <w:t>47,824</w:t>
                    </w:r>
                  </w:p>
                </w:tc>
              </w:tr>
            </w:sdtContent>
          </w:sdt>
          <w:sdt>
            <w:sdtPr>
              <w:rPr>
                <w:rFonts w:hint="eastAsia"/>
              </w:rPr>
              <w:alias w:val="其他应付款情况明细"/>
              <w:tag w:val="_TUP_d68cb62e22fc4f99ab4d25c145efcd43"/>
              <w:id w:val="1528823376"/>
              <w:lock w:val="sdtLocked"/>
            </w:sdtPr>
            <w:sdtEndPr>
              <w:rPr>
                <w:rFonts w:hint="default"/>
              </w:rPr>
            </w:sdtEndPr>
            <w:sdtContent>
              <w:tr w:rsidR="007E7472" w14:paraId="0468D7A5" w14:textId="77777777" w:rsidTr="007E7472">
                <w:trPr>
                  <w:trHeight w:val="340"/>
                </w:trPr>
                <w:tc>
                  <w:tcPr>
                    <w:tcW w:w="1615" w:type="pct"/>
                    <w:shd w:val="clear" w:color="auto" w:fill="auto"/>
                    <w:vAlign w:val="center"/>
                  </w:tcPr>
                  <w:p w14:paraId="12D45390" w14:textId="77777777" w:rsidR="007E7472" w:rsidRDefault="00EC1269">
                    <w:r>
                      <w:t>其他</w:t>
                    </w:r>
                  </w:p>
                </w:tc>
                <w:tc>
                  <w:tcPr>
                    <w:tcW w:w="1657" w:type="pct"/>
                    <w:shd w:val="clear" w:color="auto" w:fill="auto"/>
                    <w:vAlign w:val="center"/>
                  </w:tcPr>
                  <w:p w14:paraId="76967F1F" w14:textId="77777777" w:rsidR="007E7472" w:rsidRDefault="00EC1269">
                    <w:pPr>
                      <w:jc w:val="right"/>
                    </w:pPr>
                    <w:r>
                      <w:t>246,753</w:t>
                    </w:r>
                  </w:p>
                </w:tc>
                <w:tc>
                  <w:tcPr>
                    <w:tcW w:w="1728" w:type="pct"/>
                    <w:shd w:val="clear" w:color="auto" w:fill="auto"/>
                    <w:vAlign w:val="center"/>
                  </w:tcPr>
                  <w:p w14:paraId="0697B0DE" w14:textId="77777777" w:rsidR="007E7472" w:rsidRDefault="00EC1269">
                    <w:pPr>
                      <w:jc w:val="right"/>
                    </w:pPr>
                    <w:r>
                      <w:t>106,582</w:t>
                    </w:r>
                  </w:p>
                </w:tc>
              </w:tr>
            </w:sdtContent>
          </w:sdt>
          <w:tr w:rsidR="007E7472" w14:paraId="51259BA5" w14:textId="77777777" w:rsidTr="007E7472">
            <w:trPr>
              <w:trHeight w:val="340"/>
            </w:trPr>
            <w:sdt>
              <w:sdtPr>
                <w:tag w:val="_PLD_dc1df66b4e6549929c6b91b265854e4c"/>
                <w:id w:val="-1591309317"/>
                <w:lock w:val="sdtLocked"/>
              </w:sdtPr>
              <w:sdtEndPr/>
              <w:sdtContent>
                <w:tc>
                  <w:tcPr>
                    <w:tcW w:w="1615" w:type="pct"/>
                    <w:shd w:val="clear" w:color="auto" w:fill="auto"/>
                    <w:vAlign w:val="center"/>
                  </w:tcPr>
                  <w:p w14:paraId="452581C0" w14:textId="77777777" w:rsidR="007E7472" w:rsidRDefault="00EC1269">
                    <w:pPr>
                      <w:jc w:val="center"/>
                      <w:rPr>
                        <w:color w:val="000000" w:themeColor="text1"/>
                      </w:rPr>
                    </w:pPr>
                    <w:r>
                      <w:rPr>
                        <w:rFonts w:hint="eastAsia"/>
                        <w:color w:val="000000" w:themeColor="text1"/>
                      </w:rPr>
                      <w:t>合计</w:t>
                    </w:r>
                  </w:p>
                </w:tc>
              </w:sdtContent>
            </w:sdt>
            <w:tc>
              <w:tcPr>
                <w:tcW w:w="1657" w:type="pct"/>
                <w:shd w:val="clear" w:color="auto" w:fill="auto"/>
                <w:vAlign w:val="center"/>
              </w:tcPr>
              <w:p w14:paraId="4AEF6E0D" w14:textId="77777777" w:rsidR="007E7472" w:rsidRDefault="00EC1269">
                <w:pPr>
                  <w:jc w:val="right"/>
                </w:pPr>
                <w:r>
                  <w:t>16,068,078</w:t>
                </w:r>
              </w:p>
            </w:tc>
            <w:tc>
              <w:tcPr>
                <w:tcW w:w="1728" w:type="pct"/>
                <w:shd w:val="clear" w:color="auto" w:fill="auto"/>
                <w:vAlign w:val="center"/>
              </w:tcPr>
              <w:p w14:paraId="5E5DD79D" w14:textId="77777777" w:rsidR="007E7472" w:rsidRDefault="00EC1269">
                <w:pPr>
                  <w:jc w:val="right"/>
                </w:pPr>
                <w:r>
                  <w:t>16,394,476</w:t>
                </w:r>
              </w:p>
            </w:tc>
          </w:tr>
        </w:tbl>
        <w:p w14:paraId="2AD0DB37" w14:textId="77777777" w:rsidR="007E7472" w:rsidRDefault="00C8327E"/>
      </w:sdtContent>
    </w:sdt>
    <w:sdt>
      <w:sdtPr>
        <w:rPr>
          <w:rFonts w:ascii="宋体" w:hAnsi="宋体" w:cs="宋体" w:hint="eastAsia"/>
          <w:b w:val="0"/>
          <w:bCs w:val="0"/>
          <w:kern w:val="0"/>
          <w:sz w:val="20"/>
          <w:szCs w:val="21"/>
        </w:rPr>
        <w:alias w:val="模块:账龄超过1年的重要其他应付款"/>
        <w:tag w:val="_SEC_83408720712d4902a68e6c9ddd4c67ae"/>
        <w:id w:val="1775286470"/>
        <w:lock w:val="sdtLocked"/>
        <w:placeholder>
          <w:docPart w:val="GBC22222222222222222222222222222"/>
        </w:placeholder>
      </w:sdtPr>
      <w:sdtEndPr>
        <w:rPr>
          <w:rFonts w:hint="default"/>
        </w:rPr>
      </w:sdtEndPr>
      <w:sdtContent>
        <w:p w14:paraId="29769164" w14:textId="77777777" w:rsidR="007E7472" w:rsidRDefault="00EC1269" w:rsidP="00162493">
          <w:pPr>
            <w:pStyle w:val="4"/>
            <w:numPr>
              <w:ilvl w:val="0"/>
              <w:numId w:val="86"/>
            </w:numPr>
          </w:pPr>
          <w:r>
            <w:rPr>
              <w:rFonts w:hint="eastAsia"/>
            </w:rPr>
            <w:t>账龄超过</w:t>
          </w:r>
          <w:r>
            <w:t>1</w:t>
          </w:r>
          <w:r>
            <w:t>年的重要其他应付款</w:t>
          </w:r>
        </w:p>
        <w:p w14:paraId="44B47CF3" w14:textId="77777777" w:rsidR="007E7472" w:rsidRDefault="00C8327E">
          <w:sdt>
            <w:sdtPr>
              <w:alias w:val="是否适用：账龄超过1年的重要其他应付款[双击切换]"/>
              <w:tag w:val="_GBC_484cd63ee8b54a41978c822ae4ec5689"/>
              <w:id w:val="1847511742"/>
              <w:lock w:val="sdtLocked"/>
              <w:placeholder>
                <w:docPart w:val="GBC22222222222222222222222222222"/>
              </w:placeholder>
            </w:sdtPr>
            <w:sdtEndPr/>
            <w:sdtContent>
              <w:r w:rsidR="00EC1269">
                <w:rPr>
                  <w:rFonts w:asciiTheme="minorEastAsia" w:eastAsiaTheme="minorEastAsia" w:hAnsiTheme="minorEastAsia"/>
                </w:rPr>
                <w:fldChar w:fldCharType="begin"/>
              </w:r>
              <w:r w:rsidR="00EC1269">
                <w:rPr>
                  <w:rFonts w:asciiTheme="minorEastAsia" w:eastAsiaTheme="minorEastAsia" w:hAnsiTheme="minorEastAsia"/>
                </w:rPr>
                <w:instrText xml:space="preserve">MACROBUTTON  SnrToggleCheckbox √适用 </w:instrText>
              </w:r>
              <w:r w:rsidR="00EC1269">
                <w:rPr>
                  <w:rFonts w:asciiTheme="minorEastAsia" w:eastAsiaTheme="minorEastAsia" w:hAnsiTheme="minorEastAsia"/>
                </w:rPr>
                <w:fldChar w:fldCharType="end"/>
              </w:r>
              <w:r w:rsidR="00EC1269">
                <w:rPr>
                  <w:rFonts w:asciiTheme="minorEastAsia" w:eastAsiaTheme="minorEastAsia" w:hAnsiTheme="minorEastAsia"/>
                </w:rPr>
                <w:fldChar w:fldCharType="begin"/>
              </w:r>
              <w:r w:rsidR="00EC1269">
                <w:rPr>
                  <w:rFonts w:asciiTheme="minorEastAsia" w:eastAsiaTheme="minorEastAsia" w:hAnsiTheme="minorEastAsia"/>
                </w:rPr>
                <w:instrText xml:space="preserve"> MACROBUTTON  SnrToggleCheckbox □不适用 </w:instrText>
              </w:r>
              <w:r w:rsidR="00EC1269">
                <w:rPr>
                  <w:rFonts w:asciiTheme="minorEastAsia" w:eastAsiaTheme="minorEastAsia" w:hAnsiTheme="minorEastAsia"/>
                </w:rPr>
                <w:fldChar w:fldCharType="end"/>
              </w:r>
            </w:sdtContent>
          </w:sdt>
        </w:p>
        <w:p w14:paraId="5B2A4507" w14:textId="7DBC0562" w:rsidR="007E7472" w:rsidRDefault="00EC1269">
          <w:pPr>
            <w:jc w:val="right"/>
          </w:pPr>
          <w:r>
            <w:rPr>
              <w:rFonts w:hint="eastAsia"/>
            </w:rPr>
            <w:t>单位：</w:t>
          </w:r>
          <w:sdt>
            <w:sdtPr>
              <w:rPr>
                <w:rFonts w:hint="eastAsia"/>
              </w:rPr>
              <w:alias w:val="单位：财务附注：账龄超过1年的重要其他应付款"/>
              <w:tag w:val="_GBC_70627db7610a4aaf857bc90322d6cdfe"/>
              <w:id w:val="12508515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账龄超过1年的重要其他应付款"/>
              <w:tag w:val="_GBC_8ef8bcf4c1a64fecb8d1bc26dcf905d1"/>
              <w:id w:val="3560078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2952"/>
            <w:gridCol w:w="3035"/>
          </w:tblGrid>
          <w:tr w:rsidR="007E7472" w14:paraId="21E22674" w14:textId="77777777" w:rsidTr="007E7472">
            <w:trPr>
              <w:trHeight w:val="340"/>
            </w:trPr>
            <w:sdt>
              <w:sdtPr>
                <w:tag w:val="_PLD_a2b3ff41455140df9be8564e6380c550"/>
                <w:id w:val="-1153448510"/>
                <w:lock w:val="sdtLocked"/>
              </w:sdtPr>
              <w:sdtEndPr/>
              <w:sdtContent>
                <w:tc>
                  <w:tcPr>
                    <w:tcW w:w="1607" w:type="pct"/>
                    <w:shd w:val="clear" w:color="auto" w:fill="auto"/>
                    <w:vAlign w:val="center"/>
                  </w:tcPr>
                  <w:p w14:paraId="7FA6F3B5" w14:textId="77777777" w:rsidR="007E7472" w:rsidRDefault="00EC1269">
                    <w:pPr>
                      <w:jc w:val="center"/>
                    </w:pPr>
                    <w:r>
                      <w:rPr>
                        <w:rFonts w:hint="eastAsia"/>
                      </w:rPr>
                      <w:t>项目</w:t>
                    </w:r>
                  </w:p>
                </w:tc>
              </w:sdtContent>
            </w:sdt>
            <w:sdt>
              <w:sdtPr>
                <w:tag w:val="_PLD_e96da55b57ef4b128b17e8730df5f38e"/>
                <w:id w:val="395239914"/>
                <w:lock w:val="sdtLocked"/>
              </w:sdtPr>
              <w:sdtEndPr/>
              <w:sdtContent>
                <w:tc>
                  <w:tcPr>
                    <w:tcW w:w="1673" w:type="pct"/>
                    <w:shd w:val="clear" w:color="auto" w:fill="auto"/>
                    <w:vAlign w:val="center"/>
                  </w:tcPr>
                  <w:p w14:paraId="42E0629C" w14:textId="77777777" w:rsidR="007E7472" w:rsidRDefault="00EC1269">
                    <w:pPr>
                      <w:jc w:val="center"/>
                    </w:pPr>
                    <w:r>
                      <w:rPr>
                        <w:rFonts w:hint="eastAsia"/>
                      </w:rPr>
                      <w:t>期末余额</w:t>
                    </w:r>
                  </w:p>
                </w:tc>
              </w:sdtContent>
            </w:sdt>
            <w:sdt>
              <w:sdtPr>
                <w:tag w:val="_PLD_a0a7c81595d2416d898e57939ff78dd7"/>
                <w:id w:val="982114849"/>
                <w:lock w:val="sdtLocked"/>
              </w:sdtPr>
              <w:sdtEndPr/>
              <w:sdtContent>
                <w:tc>
                  <w:tcPr>
                    <w:tcW w:w="1720" w:type="pct"/>
                    <w:shd w:val="clear" w:color="auto" w:fill="auto"/>
                    <w:vAlign w:val="center"/>
                  </w:tcPr>
                  <w:p w14:paraId="3533DE41" w14:textId="77777777" w:rsidR="007E7472" w:rsidRDefault="00EC1269">
                    <w:pPr>
                      <w:jc w:val="center"/>
                    </w:pPr>
                    <w:r>
                      <w:rPr>
                        <w:rFonts w:hint="eastAsia"/>
                      </w:rPr>
                      <w:t>未偿还或结转的原因</w:t>
                    </w:r>
                  </w:p>
                </w:tc>
              </w:sdtContent>
            </w:sdt>
          </w:tr>
          <w:sdt>
            <w:sdtPr>
              <w:alias w:val="重要的账龄超过1年的其他应付款明细"/>
              <w:tag w:val="_TUP_107abfb893f149c8878e75d2528d9efe"/>
              <w:id w:val="-1988167642"/>
              <w:lock w:val="sdtLocked"/>
            </w:sdtPr>
            <w:sdtEndPr/>
            <w:sdtContent>
              <w:tr w:rsidR="007E7472" w14:paraId="26659FDD" w14:textId="77777777" w:rsidTr="007E7472">
                <w:trPr>
                  <w:trHeight w:val="340"/>
                </w:trPr>
                <w:tc>
                  <w:tcPr>
                    <w:tcW w:w="1607" w:type="pct"/>
                    <w:tcBorders>
                      <w:bottom w:val="single" w:sz="4" w:space="0" w:color="auto"/>
                    </w:tcBorders>
                    <w:shd w:val="clear" w:color="auto" w:fill="auto"/>
                    <w:vAlign w:val="center"/>
                  </w:tcPr>
                  <w:p w14:paraId="7BE9E483" w14:textId="77777777" w:rsidR="007E7472" w:rsidRDefault="00EC1269">
                    <w:r>
                      <w:t>应付股权投资款</w:t>
                    </w:r>
                  </w:p>
                </w:tc>
                <w:tc>
                  <w:tcPr>
                    <w:tcW w:w="1673" w:type="pct"/>
                    <w:shd w:val="clear" w:color="auto" w:fill="auto"/>
                    <w:vAlign w:val="center"/>
                  </w:tcPr>
                  <w:p w14:paraId="56F07484" w14:textId="77777777" w:rsidR="007E7472" w:rsidRDefault="00EC1269">
                    <w:pPr>
                      <w:jc w:val="right"/>
                      <w:rPr>
                        <w:bCs/>
                      </w:rPr>
                    </w:pPr>
                    <w:r>
                      <w:t>385,671</w:t>
                    </w:r>
                  </w:p>
                </w:tc>
                <w:tc>
                  <w:tcPr>
                    <w:tcW w:w="1720" w:type="pct"/>
                    <w:shd w:val="clear" w:color="auto" w:fill="auto"/>
                    <w:vAlign w:val="center"/>
                  </w:tcPr>
                  <w:p w14:paraId="61B2E0C4" w14:textId="77777777" w:rsidR="007E7472" w:rsidRDefault="00EC1269">
                    <w:pPr>
                      <w:jc w:val="center"/>
                    </w:pPr>
                    <w:r>
                      <w:t>股权投资款</w:t>
                    </w:r>
                  </w:p>
                </w:tc>
              </w:tr>
            </w:sdtContent>
          </w:sdt>
          <w:tr w:rsidR="007E7472" w14:paraId="63E63C41" w14:textId="77777777" w:rsidTr="007E7472">
            <w:trPr>
              <w:trHeight w:val="340"/>
            </w:trPr>
            <w:sdt>
              <w:sdtPr>
                <w:tag w:val="_PLD_ea766d57335d427393a67dd762f0167b"/>
                <w:id w:val="1144788975"/>
                <w:lock w:val="sdtLocked"/>
              </w:sdtPr>
              <w:sdtEndPr/>
              <w:sdtContent>
                <w:tc>
                  <w:tcPr>
                    <w:tcW w:w="1607" w:type="pct"/>
                    <w:shd w:val="clear" w:color="auto" w:fill="auto"/>
                    <w:vAlign w:val="center"/>
                  </w:tcPr>
                  <w:p w14:paraId="23B2A0E7" w14:textId="77777777" w:rsidR="007E7472" w:rsidRDefault="00EC1269">
                    <w:pPr>
                      <w:jc w:val="center"/>
                    </w:pPr>
                    <w:r>
                      <w:rPr>
                        <w:rFonts w:hint="eastAsia"/>
                      </w:rPr>
                      <w:t>合计</w:t>
                    </w:r>
                  </w:p>
                </w:tc>
              </w:sdtContent>
            </w:sdt>
            <w:tc>
              <w:tcPr>
                <w:tcW w:w="1673" w:type="pct"/>
                <w:shd w:val="clear" w:color="auto" w:fill="auto"/>
                <w:vAlign w:val="center"/>
              </w:tcPr>
              <w:p w14:paraId="16D37990" w14:textId="77777777" w:rsidR="007E7472" w:rsidRDefault="00EC1269">
                <w:pPr>
                  <w:jc w:val="right"/>
                </w:pPr>
                <w:r>
                  <w:t>385,671</w:t>
                </w:r>
              </w:p>
            </w:tc>
            <w:tc>
              <w:tcPr>
                <w:tcW w:w="1720" w:type="pct"/>
                <w:shd w:val="clear" w:color="auto" w:fill="auto"/>
                <w:vAlign w:val="center"/>
              </w:tcPr>
              <w:p w14:paraId="49EB5344" w14:textId="77777777" w:rsidR="007E7472" w:rsidRDefault="00EC1269">
                <w:pPr>
                  <w:jc w:val="center"/>
                </w:pPr>
                <w:r>
                  <w:rPr>
                    <w:rFonts w:hint="eastAsia"/>
                  </w:rPr>
                  <w:t>—</w:t>
                </w:r>
              </w:p>
            </w:tc>
          </w:tr>
        </w:tbl>
        <w:p w14:paraId="12A280AD" w14:textId="77777777" w:rsidR="007E7472" w:rsidRDefault="00C8327E"/>
      </w:sdtContent>
    </w:sdt>
    <w:sdt>
      <w:sdtPr>
        <w:rPr>
          <w:rFonts w:hint="eastAsia"/>
        </w:rPr>
        <w:alias w:val="模块:其他说明"/>
        <w:tag w:val="_SEC_b03fcb02b4b747249703cbc2e0a127fd"/>
        <w:id w:val="1039554752"/>
        <w:lock w:val="sdtLocked"/>
        <w:placeholder>
          <w:docPart w:val="GBC22222222222222222222222222222"/>
        </w:placeholder>
      </w:sdtPr>
      <w:sdtEndPr>
        <w:rPr>
          <w:rFonts w:hint="default"/>
        </w:rPr>
      </w:sdtEndPr>
      <w:sdtContent>
        <w:p w14:paraId="7F2F385F" w14:textId="77777777" w:rsidR="007E7472" w:rsidRDefault="00EC1269">
          <w:r>
            <w:rPr>
              <w:rFonts w:hint="eastAsia"/>
            </w:rPr>
            <w:t>其他说明：</w:t>
          </w:r>
        </w:p>
        <w:sdt>
          <w:sdtPr>
            <w:alias w:val="是否适用：其他应付款的其他说明[双击切换]"/>
            <w:tag w:val="_GBC_c968ec386e144657884a6b5b483acbfd"/>
            <w:id w:val="-1799373020"/>
            <w:lock w:val="sdtLocked"/>
            <w:placeholder>
              <w:docPart w:val="GBC22222222222222222222222222222"/>
            </w:placeholder>
          </w:sdtPr>
          <w:sdtEndPr/>
          <w:sdtContent>
            <w:p w14:paraId="5192984F"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bookmarkEnd w:id="243"/>
    <w:p w14:paraId="7FE9FC04" w14:textId="77777777" w:rsidR="007E7472" w:rsidRDefault="00C8327E"/>
    <w:sdt>
      <w:sdtPr>
        <w:rPr>
          <w:rFonts w:ascii="宋体" w:hAnsi="宋体" w:cs="宋体" w:hint="eastAsia"/>
          <w:b w:val="0"/>
          <w:bCs w:val="0"/>
          <w:kern w:val="0"/>
          <w:sz w:val="20"/>
          <w:szCs w:val="21"/>
        </w:rPr>
        <w:alias w:val="模块:划分为持有待售的负债"/>
        <w:tag w:val="_GBC_b863defdccbc448695ee82953f3da273"/>
        <w:id w:val="-1580053165"/>
        <w:lock w:val="sdtLocked"/>
        <w:placeholder>
          <w:docPart w:val="GBC22222222222222222222222222222"/>
        </w:placeholder>
      </w:sdtPr>
      <w:sdtEndPr/>
      <w:sdtContent>
        <w:p w14:paraId="4E76262E" w14:textId="77777777" w:rsidR="007E7472" w:rsidRDefault="00EC1269" w:rsidP="00162493">
          <w:pPr>
            <w:pStyle w:val="3"/>
            <w:numPr>
              <w:ilvl w:val="0"/>
              <w:numId w:val="62"/>
            </w:numPr>
          </w:pPr>
          <w:r>
            <w:rPr>
              <w:rFonts w:hint="eastAsia"/>
            </w:rPr>
            <w:t>持有待售负债</w:t>
          </w:r>
        </w:p>
        <w:sdt>
          <w:sdtPr>
            <w:alias w:val="是否适用：划分为持有待售的负债[双击切换]"/>
            <w:tag w:val="_GBC_039b9e06b132407a89f578be468d6ec8"/>
            <w:id w:val="54821049"/>
            <w:lock w:val="sdtLocked"/>
            <w:placeholder>
              <w:docPart w:val="GBC22222222222222222222222222222"/>
            </w:placeholder>
          </w:sdtPr>
          <w:sdtEndPr/>
          <w:sdtContent>
            <w:p w14:paraId="25A38EF3"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p w14:paraId="0EAFCAC2" w14:textId="77777777" w:rsidR="007E7472" w:rsidRDefault="00C8327E"/>
    <w:sdt>
      <w:sdtPr>
        <w:rPr>
          <w:rFonts w:ascii="宋体" w:hAnsi="宋体" w:cs="宋体" w:hint="eastAsia"/>
          <w:b w:val="0"/>
          <w:bCs w:val="0"/>
          <w:kern w:val="0"/>
          <w:sz w:val="20"/>
          <w:szCs w:val="21"/>
        </w:rPr>
        <w:alias w:val="模块:1年内到期的非流动负债"/>
        <w:tag w:val="_GBC_d5b7f9c02d494f85b85a36713895b9f8"/>
        <w:id w:val="833649671"/>
        <w:lock w:val="sdtLocked"/>
        <w:placeholder>
          <w:docPart w:val="GBC22222222222222222222222222222"/>
        </w:placeholder>
      </w:sdtPr>
      <w:sdtEndPr>
        <w:rPr>
          <w:rFonts w:hint="default"/>
        </w:rPr>
      </w:sdtEndPr>
      <w:sdtContent>
        <w:p w14:paraId="09023D16" w14:textId="77777777" w:rsidR="007E7472" w:rsidRDefault="00EC1269" w:rsidP="00162493">
          <w:pPr>
            <w:pStyle w:val="3"/>
            <w:numPr>
              <w:ilvl w:val="0"/>
              <w:numId w:val="62"/>
            </w:numPr>
          </w:pPr>
          <w:r>
            <w:rPr>
              <w:rFonts w:hint="eastAsia"/>
            </w:rPr>
            <w:t>1</w:t>
          </w:r>
          <w:r>
            <w:rPr>
              <w:rFonts w:hint="eastAsia"/>
            </w:rPr>
            <w:t>年内到期的非流动负债</w:t>
          </w:r>
        </w:p>
        <w:sdt>
          <w:sdtPr>
            <w:rPr>
              <w:rFonts w:asciiTheme="minorEastAsia" w:eastAsiaTheme="minorEastAsia" w:hAnsiTheme="minorEastAsia"/>
            </w:rPr>
            <w:alias w:val="是否适用：1年内到期的非流动负债[双击切换]"/>
            <w:tag w:val="_GBC_9b606bc3f0cf4f77be9b0f299d212c73"/>
            <w:id w:val="-1337922329"/>
            <w:lock w:val="sdtLocked"/>
            <w:placeholder>
              <w:docPart w:val="GBC22222222222222222222222222222"/>
            </w:placeholder>
          </w:sdtPr>
          <w:sdtEndPr/>
          <w:sdtContent>
            <w:p w14:paraId="35EE28D8" w14:textId="77777777" w:rsidR="007E7472" w:rsidRDefault="00EC1269">
              <w:pPr>
                <w:rPr>
                  <w:rFonts w:asciiTheme="minorEastAsia" w:eastAsiaTheme="minorEastAsia" w:hAnsiTheme="minorEastAsia"/>
                </w:rPr>
              </w:pP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0CA1B49F" w14:textId="7F5ABDBF" w:rsidR="007E7472" w:rsidRDefault="00EC1269">
          <w:pPr>
            <w:jc w:val="right"/>
          </w:pPr>
          <w:r>
            <w:rPr>
              <w:rFonts w:hint="eastAsia"/>
            </w:rPr>
            <w:t>单位：</w:t>
          </w:r>
          <w:sdt>
            <w:sdtPr>
              <w:rPr>
                <w:rFonts w:hint="eastAsia"/>
              </w:rPr>
              <w:alias w:val="单位：1年内到期的非流动负债情况"/>
              <w:tag w:val="_GBC_7bad01766fa0485ea9c16109704ff32e"/>
              <w:id w:val="-12154236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1年内到期的非流动负债情况"/>
              <w:tag w:val="_GBC_25aa805434d340a6ade79870522c9640"/>
              <w:id w:val="-1250058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6"/>
            <w:gridCol w:w="2148"/>
            <w:gridCol w:w="2476"/>
            <w:gridCol w:w="1653"/>
          </w:tblGrid>
          <w:tr w:rsidR="007E7472" w14:paraId="5DACD94F" w14:textId="77777777" w:rsidTr="007E7472">
            <w:trPr>
              <w:trHeight w:val="340"/>
            </w:trPr>
            <w:sdt>
              <w:sdtPr>
                <w:tag w:val="_PLD_bf2815b84ebe4a1e94909ee96ec31ac1"/>
                <w:id w:val="692663341"/>
                <w:lock w:val="sdtLocked"/>
              </w:sdtPr>
              <w:sdtEndPr/>
              <w:sdtContent>
                <w:tc>
                  <w:tcPr>
                    <w:tcW w:w="1443" w:type="pct"/>
                    <w:shd w:val="clear" w:color="auto" w:fill="auto"/>
                    <w:vAlign w:val="center"/>
                  </w:tcPr>
                  <w:p w14:paraId="53B54681" w14:textId="77777777" w:rsidR="007E7472" w:rsidRDefault="00EC1269" w:rsidP="007E7472">
                    <w:pPr>
                      <w:jc w:val="center"/>
                    </w:pPr>
                    <w:r>
                      <w:rPr>
                        <w:rFonts w:hint="eastAsia"/>
                      </w:rPr>
                      <w:t>项目</w:t>
                    </w:r>
                  </w:p>
                </w:tc>
              </w:sdtContent>
            </w:sdt>
            <w:sdt>
              <w:sdtPr>
                <w:tag w:val="_PLD_db7abcf611bc4296ad7bd9c8177202e0"/>
                <w:id w:val="-502661095"/>
                <w:lock w:val="sdtLocked"/>
              </w:sdtPr>
              <w:sdtEndPr/>
              <w:sdtContent>
                <w:tc>
                  <w:tcPr>
                    <w:tcW w:w="1217" w:type="pct"/>
                    <w:shd w:val="clear" w:color="auto" w:fill="auto"/>
                    <w:vAlign w:val="center"/>
                  </w:tcPr>
                  <w:p w14:paraId="6C5EA1F2" w14:textId="77777777" w:rsidR="007E7472" w:rsidRDefault="00EC1269" w:rsidP="007E7472">
                    <w:pPr>
                      <w:jc w:val="center"/>
                    </w:pPr>
                    <w:r>
                      <w:rPr>
                        <w:rFonts w:hint="eastAsia"/>
                      </w:rPr>
                      <w:t>期末余额</w:t>
                    </w:r>
                  </w:p>
                </w:tc>
              </w:sdtContent>
            </w:sdt>
            <w:sdt>
              <w:sdtPr>
                <w:tag w:val="_PLD_371959274ef4493ca1fe426c930e0bf2"/>
                <w:id w:val="289176186"/>
                <w:lock w:val="sdtLocked"/>
              </w:sdtPr>
              <w:sdtEndPr/>
              <w:sdtContent>
                <w:tc>
                  <w:tcPr>
                    <w:tcW w:w="1403" w:type="pct"/>
                    <w:shd w:val="clear" w:color="auto" w:fill="auto"/>
                    <w:vAlign w:val="center"/>
                  </w:tcPr>
                  <w:p w14:paraId="0577AE03" w14:textId="77777777" w:rsidR="007E7472" w:rsidRDefault="00EC1269" w:rsidP="007E7472">
                    <w:pPr>
                      <w:jc w:val="center"/>
                    </w:pPr>
                    <w:r>
                      <w:rPr>
                        <w:rFonts w:hint="eastAsia"/>
                      </w:rPr>
                      <w:t>期初余额</w:t>
                    </w:r>
                  </w:p>
                </w:tc>
              </w:sdtContent>
            </w:sdt>
            <w:tc>
              <w:tcPr>
                <w:tcW w:w="1122" w:type="pct"/>
                <w:shd w:val="clear" w:color="auto" w:fill="auto"/>
                <w:vAlign w:val="center"/>
              </w:tcPr>
              <w:p w14:paraId="5B5B6E8C" w14:textId="77777777" w:rsidR="007E7472" w:rsidRDefault="00EC1269" w:rsidP="007E7472">
                <w:pPr>
                  <w:jc w:val="center"/>
                </w:pPr>
                <w:r w:rsidRPr="00D21379">
                  <w:rPr>
                    <w:rFonts w:hint="eastAsia"/>
                  </w:rPr>
                  <w:t>性质</w:t>
                </w:r>
              </w:p>
            </w:tc>
          </w:tr>
          <w:sdt>
            <w:sdtPr>
              <w:rPr>
                <w:rFonts w:hint="eastAsia"/>
              </w:rPr>
              <w:alias w:val="1年内到期的非流动负债明细"/>
              <w:tag w:val="_GBC_dc4153fe5748430b8292d10d4e47eebf"/>
              <w:id w:val="-346102065"/>
              <w:lock w:val="sdtLocked"/>
            </w:sdtPr>
            <w:sdtEndPr>
              <w:rPr>
                <w:rFonts w:hint="default"/>
              </w:rPr>
            </w:sdtEndPr>
            <w:sdtContent>
              <w:tr w:rsidR="007E7472" w14:paraId="59BE0779" w14:textId="77777777" w:rsidTr="007E7472">
                <w:trPr>
                  <w:trHeight w:val="340"/>
                </w:trPr>
                <w:tc>
                  <w:tcPr>
                    <w:tcW w:w="1443" w:type="pct"/>
                    <w:shd w:val="clear" w:color="auto" w:fill="auto"/>
                    <w:vAlign w:val="center"/>
                  </w:tcPr>
                  <w:p w14:paraId="4B198D7B" w14:textId="77777777" w:rsidR="007E7472" w:rsidRDefault="00EC1269" w:rsidP="007E7472">
                    <w:r>
                      <w:t>1年内到期的应付债券</w:t>
                    </w:r>
                  </w:p>
                </w:tc>
                <w:tc>
                  <w:tcPr>
                    <w:tcW w:w="1217" w:type="pct"/>
                    <w:shd w:val="clear" w:color="auto" w:fill="auto"/>
                    <w:vAlign w:val="center"/>
                  </w:tcPr>
                  <w:p w14:paraId="2E558319" w14:textId="77777777" w:rsidR="007E7472" w:rsidRDefault="00EC1269" w:rsidP="007E7472">
                    <w:pPr>
                      <w:jc w:val="right"/>
                    </w:pPr>
                    <w:r>
                      <w:t>9,655,830</w:t>
                    </w:r>
                  </w:p>
                </w:tc>
                <w:tc>
                  <w:tcPr>
                    <w:tcW w:w="1403" w:type="pct"/>
                    <w:shd w:val="clear" w:color="auto" w:fill="auto"/>
                    <w:vAlign w:val="center"/>
                  </w:tcPr>
                  <w:p w14:paraId="219320A3" w14:textId="77777777" w:rsidR="007E7472" w:rsidRDefault="00EC1269" w:rsidP="007E7472">
                    <w:pPr>
                      <w:jc w:val="right"/>
                    </w:pPr>
                    <w:r>
                      <w:t>3,775,793</w:t>
                    </w:r>
                  </w:p>
                </w:tc>
                <w:tc>
                  <w:tcPr>
                    <w:tcW w:w="1122" w:type="pct"/>
                    <w:shd w:val="clear" w:color="auto" w:fill="auto"/>
                    <w:vAlign w:val="center"/>
                  </w:tcPr>
                  <w:p w14:paraId="2457DCCA" w14:textId="77777777" w:rsidR="007E7472" w:rsidRDefault="00EC1269" w:rsidP="007E7472">
                    <w:r w:rsidRPr="00D21379">
                      <w:rPr>
                        <w:rFonts w:hint="eastAsia"/>
                      </w:rPr>
                      <w:t>附注七、</w:t>
                    </w:r>
                    <w:r w:rsidRPr="00D21379">
                      <w:t>46</w:t>
                    </w:r>
                  </w:p>
                </w:tc>
              </w:tr>
            </w:sdtContent>
          </w:sdt>
          <w:sdt>
            <w:sdtPr>
              <w:rPr>
                <w:rFonts w:hint="eastAsia"/>
              </w:rPr>
              <w:alias w:val="1年内到期的非流动负债明细"/>
              <w:tag w:val="_GBC_dc4153fe5748430b8292d10d4e47eebf"/>
              <w:id w:val="-230613924"/>
              <w:lock w:val="sdtLocked"/>
            </w:sdtPr>
            <w:sdtEndPr>
              <w:rPr>
                <w:rFonts w:hint="default"/>
              </w:rPr>
            </w:sdtEndPr>
            <w:sdtContent>
              <w:tr w:rsidR="007E7472" w14:paraId="784F2373" w14:textId="77777777" w:rsidTr="007E7472">
                <w:trPr>
                  <w:trHeight w:val="340"/>
                </w:trPr>
                <w:tc>
                  <w:tcPr>
                    <w:tcW w:w="1443" w:type="pct"/>
                    <w:shd w:val="clear" w:color="auto" w:fill="auto"/>
                    <w:vAlign w:val="center"/>
                  </w:tcPr>
                  <w:p w14:paraId="6A31A1D8" w14:textId="77777777" w:rsidR="007E7472" w:rsidRDefault="00EC1269" w:rsidP="007E7472">
                    <w:r>
                      <w:t>1年内到期的长期借款</w:t>
                    </w:r>
                  </w:p>
                </w:tc>
                <w:tc>
                  <w:tcPr>
                    <w:tcW w:w="1217" w:type="pct"/>
                    <w:shd w:val="clear" w:color="auto" w:fill="auto"/>
                    <w:vAlign w:val="center"/>
                  </w:tcPr>
                  <w:p w14:paraId="0D1AC319" w14:textId="77777777" w:rsidR="007E7472" w:rsidRDefault="00EC1269" w:rsidP="007E7472">
                    <w:pPr>
                      <w:jc w:val="right"/>
                    </w:pPr>
                    <w:r>
                      <w:t>8,928,835</w:t>
                    </w:r>
                  </w:p>
                </w:tc>
                <w:tc>
                  <w:tcPr>
                    <w:tcW w:w="1403" w:type="pct"/>
                    <w:shd w:val="clear" w:color="auto" w:fill="auto"/>
                    <w:vAlign w:val="center"/>
                  </w:tcPr>
                  <w:p w14:paraId="56BB5193" w14:textId="77777777" w:rsidR="007E7472" w:rsidRDefault="00EC1269" w:rsidP="007E7472">
                    <w:pPr>
                      <w:jc w:val="right"/>
                    </w:pPr>
                    <w:r>
                      <w:t>9,329,154</w:t>
                    </w:r>
                  </w:p>
                </w:tc>
                <w:tc>
                  <w:tcPr>
                    <w:tcW w:w="1122" w:type="pct"/>
                    <w:shd w:val="clear" w:color="auto" w:fill="auto"/>
                    <w:vAlign w:val="center"/>
                  </w:tcPr>
                  <w:p w14:paraId="6B3556C8" w14:textId="77777777" w:rsidR="007E7472" w:rsidRDefault="00EC1269" w:rsidP="007E7472">
                    <w:r w:rsidRPr="00D21379">
                      <w:rPr>
                        <w:rFonts w:hint="eastAsia"/>
                      </w:rPr>
                      <w:t>注</w:t>
                    </w:r>
                    <w:r w:rsidRPr="00D21379">
                      <w:t>1</w:t>
                    </w:r>
                  </w:p>
                </w:tc>
              </w:tr>
            </w:sdtContent>
          </w:sdt>
          <w:sdt>
            <w:sdtPr>
              <w:rPr>
                <w:rFonts w:hint="eastAsia"/>
              </w:rPr>
              <w:alias w:val="1年内到期的非流动负债明细"/>
              <w:tag w:val="_GBC_dc4153fe5748430b8292d10d4e47eebf"/>
              <w:id w:val="1098917393"/>
              <w:lock w:val="sdtLocked"/>
            </w:sdtPr>
            <w:sdtEndPr>
              <w:rPr>
                <w:rFonts w:hint="default"/>
              </w:rPr>
            </w:sdtEndPr>
            <w:sdtContent>
              <w:tr w:rsidR="007E7472" w14:paraId="545FADDA" w14:textId="77777777" w:rsidTr="007E7472">
                <w:trPr>
                  <w:trHeight w:val="340"/>
                </w:trPr>
                <w:tc>
                  <w:tcPr>
                    <w:tcW w:w="1443" w:type="pct"/>
                    <w:shd w:val="clear" w:color="auto" w:fill="auto"/>
                    <w:vAlign w:val="center"/>
                  </w:tcPr>
                  <w:p w14:paraId="0F0FE918" w14:textId="77777777" w:rsidR="007E7472" w:rsidRDefault="00EC1269" w:rsidP="007E7472">
                    <w:r>
                      <w:t>1年内到期的长期应付款</w:t>
                    </w:r>
                  </w:p>
                </w:tc>
                <w:tc>
                  <w:tcPr>
                    <w:tcW w:w="1217" w:type="pct"/>
                    <w:shd w:val="clear" w:color="auto" w:fill="auto"/>
                    <w:vAlign w:val="center"/>
                  </w:tcPr>
                  <w:p w14:paraId="706DEA00" w14:textId="77777777" w:rsidR="007E7472" w:rsidRDefault="00EC1269" w:rsidP="007E7472">
                    <w:pPr>
                      <w:jc w:val="right"/>
                    </w:pPr>
                    <w:r>
                      <w:t>364,783</w:t>
                    </w:r>
                  </w:p>
                </w:tc>
                <w:tc>
                  <w:tcPr>
                    <w:tcW w:w="1403" w:type="pct"/>
                    <w:shd w:val="clear" w:color="auto" w:fill="auto"/>
                    <w:vAlign w:val="center"/>
                  </w:tcPr>
                  <w:p w14:paraId="43B6E940" w14:textId="77777777" w:rsidR="007E7472" w:rsidRDefault="00EC1269" w:rsidP="007E7472">
                    <w:pPr>
                      <w:jc w:val="right"/>
                    </w:pPr>
                    <w:r>
                      <w:t>359,905</w:t>
                    </w:r>
                  </w:p>
                </w:tc>
                <w:tc>
                  <w:tcPr>
                    <w:tcW w:w="1122" w:type="pct"/>
                    <w:shd w:val="clear" w:color="auto" w:fill="auto"/>
                    <w:vAlign w:val="center"/>
                  </w:tcPr>
                  <w:p w14:paraId="5B1F21C7" w14:textId="77777777" w:rsidR="007E7472" w:rsidRDefault="00C8327E" w:rsidP="007E7472"/>
                </w:tc>
              </w:tr>
            </w:sdtContent>
          </w:sdt>
          <w:sdt>
            <w:sdtPr>
              <w:rPr>
                <w:rFonts w:hint="eastAsia"/>
              </w:rPr>
              <w:alias w:val="1年内到期的非流动负债明细"/>
              <w:tag w:val="_GBC_dc4153fe5748430b8292d10d4e47eebf"/>
              <w:id w:val="-1465425892"/>
              <w:lock w:val="sdtLocked"/>
            </w:sdtPr>
            <w:sdtEndPr>
              <w:rPr>
                <w:rFonts w:hint="default"/>
              </w:rPr>
            </w:sdtEndPr>
            <w:sdtContent>
              <w:tr w:rsidR="007E7472" w14:paraId="2266F897" w14:textId="77777777" w:rsidTr="007E7472">
                <w:trPr>
                  <w:trHeight w:val="340"/>
                </w:trPr>
                <w:tc>
                  <w:tcPr>
                    <w:tcW w:w="1443" w:type="pct"/>
                    <w:shd w:val="clear" w:color="auto" w:fill="auto"/>
                    <w:vAlign w:val="center"/>
                  </w:tcPr>
                  <w:p w14:paraId="759D66DF" w14:textId="77777777" w:rsidR="007E7472" w:rsidRDefault="00EC1269" w:rsidP="007E7472">
                    <w:r>
                      <w:t>1年内到期的预计负债</w:t>
                    </w:r>
                  </w:p>
                </w:tc>
                <w:tc>
                  <w:tcPr>
                    <w:tcW w:w="1217" w:type="pct"/>
                    <w:shd w:val="clear" w:color="auto" w:fill="auto"/>
                    <w:vAlign w:val="center"/>
                  </w:tcPr>
                  <w:p w14:paraId="328081AF" w14:textId="77777777" w:rsidR="007E7472" w:rsidRDefault="00EC1269" w:rsidP="007E7472">
                    <w:pPr>
                      <w:jc w:val="right"/>
                    </w:pPr>
                    <w:r>
                      <w:t>250,717</w:t>
                    </w:r>
                  </w:p>
                </w:tc>
                <w:tc>
                  <w:tcPr>
                    <w:tcW w:w="1403" w:type="pct"/>
                    <w:shd w:val="clear" w:color="auto" w:fill="auto"/>
                    <w:vAlign w:val="center"/>
                  </w:tcPr>
                  <w:p w14:paraId="06FBD60B" w14:textId="77777777" w:rsidR="007E7472" w:rsidRDefault="00EC1269" w:rsidP="007E7472">
                    <w:pPr>
                      <w:jc w:val="right"/>
                    </w:pPr>
                    <w:r>
                      <w:t>66,851</w:t>
                    </w:r>
                  </w:p>
                </w:tc>
                <w:tc>
                  <w:tcPr>
                    <w:tcW w:w="1122" w:type="pct"/>
                    <w:shd w:val="clear" w:color="auto" w:fill="auto"/>
                    <w:vAlign w:val="center"/>
                  </w:tcPr>
                  <w:p w14:paraId="064F11B5" w14:textId="77777777" w:rsidR="007E7472" w:rsidRDefault="00EC1269" w:rsidP="007E7472">
                    <w:r w:rsidRPr="00D21379">
                      <w:rPr>
                        <w:rFonts w:hint="eastAsia"/>
                      </w:rPr>
                      <w:t>附注七、</w:t>
                    </w:r>
                    <w:r w:rsidRPr="00D21379">
                      <w:t>50</w:t>
                    </w:r>
                  </w:p>
                </w:tc>
              </w:tr>
            </w:sdtContent>
          </w:sdt>
          <w:sdt>
            <w:sdtPr>
              <w:rPr>
                <w:rFonts w:hint="eastAsia"/>
              </w:rPr>
              <w:alias w:val="1年内到期的非流动负债明细"/>
              <w:tag w:val="_GBC_dc4153fe5748430b8292d10d4e47eebf"/>
              <w:id w:val="1717694232"/>
              <w:lock w:val="sdtLocked"/>
            </w:sdtPr>
            <w:sdtEndPr>
              <w:rPr>
                <w:rFonts w:hint="default"/>
              </w:rPr>
            </w:sdtEndPr>
            <w:sdtContent>
              <w:tr w:rsidR="007E7472" w14:paraId="253DD72C" w14:textId="77777777" w:rsidTr="007E7472">
                <w:trPr>
                  <w:trHeight w:val="340"/>
                </w:trPr>
                <w:tc>
                  <w:tcPr>
                    <w:tcW w:w="1443" w:type="pct"/>
                    <w:shd w:val="clear" w:color="auto" w:fill="auto"/>
                    <w:vAlign w:val="center"/>
                  </w:tcPr>
                  <w:p w14:paraId="635B764B" w14:textId="77777777" w:rsidR="007E7472" w:rsidRDefault="00EC1269" w:rsidP="007E7472">
                    <w:r>
                      <w:t>1年内到期的租赁负债</w:t>
                    </w:r>
                  </w:p>
                </w:tc>
                <w:tc>
                  <w:tcPr>
                    <w:tcW w:w="1217" w:type="pct"/>
                    <w:shd w:val="clear" w:color="auto" w:fill="auto"/>
                    <w:vAlign w:val="center"/>
                  </w:tcPr>
                  <w:p w14:paraId="46D6195A" w14:textId="12222CE5" w:rsidR="007E7472" w:rsidRDefault="00913748" w:rsidP="007E7472">
                    <w:pPr>
                      <w:jc w:val="right"/>
                    </w:pPr>
                    <w:r w:rsidRPr="00AF61E8">
                      <w:t>159,207</w:t>
                    </w:r>
                  </w:p>
                </w:tc>
                <w:tc>
                  <w:tcPr>
                    <w:tcW w:w="1403" w:type="pct"/>
                    <w:shd w:val="clear" w:color="auto" w:fill="auto"/>
                    <w:vAlign w:val="center"/>
                  </w:tcPr>
                  <w:p w14:paraId="1E976013" w14:textId="77777777" w:rsidR="007E7472" w:rsidRDefault="00EC1269" w:rsidP="007E7472">
                    <w:pPr>
                      <w:jc w:val="right"/>
                    </w:pPr>
                    <w:r>
                      <w:t>170,239</w:t>
                    </w:r>
                  </w:p>
                </w:tc>
                <w:tc>
                  <w:tcPr>
                    <w:tcW w:w="1122" w:type="pct"/>
                    <w:shd w:val="clear" w:color="auto" w:fill="auto"/>
                    <w:vAlign w:val="center"/>
                  </w:tcPr>
                  <w:p w14:paraId="304D6C3B" w14:textId="114E1CC9" w:rsidR="007E7472" w:rsidRDefault="00C8327E" w:rsidP="007E7472"/>
                </w:tc>
              </w:tr>
            </w:sdtContent>
          </w:sdt>
          <w:sdt>
            <w:sdtPr>
              <w:rPr>
                <w:rFonts w:hint="eastAsia"/>
              </w:rPr>
              <w:alias w:val="1年内到期的非流动负债明细"/>
              <w:tag w:val="_GBC_dc4153fe5748430b8292d10d4e47eebf"/>
              <w:id w:val="-961500655"/>
              <w:lock w:val="sdtLocked"/>
            </w:sdtPr>
            <w:sdtEndPr>
              <w:rPr>
                <w:rFonts w:hint="default"/>
                <w:color w:val="000000" w:themeColor="text1"/>
              </w:rPr>
            </w:sdtEndPr>
            <w:sdtContent>
              <w:tr w:rsidR="007E7472" w14:paraId="6FACED68" w14:textId="77777777" w:rsidTr="007E7472">
                <w:trPr>
                  <w:trHeight w:val="340"/>
                </w:trPr>
                <w:tc>
                  <w:tcPr>
                    <w:tcW w:w="1443" w:type="pct"/>
                    <w:shd w:val="clear" w:color="auto" w:fill="auto"/>
                    <w:vAlign w:val="center"/>
                  </w:tcPr>
                  <w:p w14:paraId="50746E41" w14:textId="77777777" w:rsidR="007E7472" w:rsidRDefault="00EC1269" w:rsidP="007E7472">
                    <w:r>
                      <w:t>1年内到期的其他负债</w:t>
                    </w:r>
                  </w:p>
                </w:tc>
                <w:tc>
                  <w:tcPr>
                    <w:tcW w:w="1217" w:type="pct"/>
                    <w:shd w:val="clear" w:color="auto" w:fill="auto"/>
                    <w:vAlign w:val="center"/>
                  </w:tcPr>
                  <w:p w14:paraId="1DB68117" w14:textId="27736749" w:rsidR="007E7472" w:rsidRDefault="00913748" w:rsidP="007E7472">
                    <w:pPr>
                      <w:jc w:val="right"/>
                    </w:pPr>
                    <w:r w:rsidRPr="00AF61E8">
                      <w:t>192,614</w:t>
                    </w:r>
                  </w:p>
                </w:tc>
                <w:tc>
                  <w:tcPr>
                    <w:tcW w:w="1403" w:type="pct"/>
                    <w:shd w:val="clear" w:color="auto" w:fill="auto"/>
                    <w:vAlign w:val="center"/>
                  </w:tcPr>
                  <w:p w14:paraId="7D832226" w14:textId="77777777" w:rsidR="007E7472" w:rsidRDefault="00EC1269" w:rsidP="007E7472">
                    <w:pPr>
                      <w:jc w:val="right"/>
                    </w:pPr>
                    <w:r>
                      <w:t>566,117</w:t>
                    </w:r>
                  </w:p>
                </w:tc>
                <w:tc>
                  <w:tcPr>
                    <w:tcW w:w="1122" w:type="pct"/>
                    <w:shd w:val="clear" w:color="auto" w:fill="auto"/>
                    <w:vAlign w:val="center"/>
                  </w:tcPr>
                  <w:p w14:paraId="2AC200FF" w14:textId="77777777" w:rsidR="007E7472" w:rsidRDefault="00EC1269" w:rsidP="007E7472">
                    <w:r w:rsidRPr="00D21379">
                      <w:rPr>
                        <w:rFonts w:hint="eastAsia"/>
                      </w:rPr>
                      <w:t>注</w:t>
                    </w:r>
                    <w:r w:rsidRPr="00D21379">
                      <w:t>2</w:t>
                    </w:r>
                  </w:p>
                </w:tc>
              </w:tr>
            </w:sdtContent>
          </w:sdt>
          <w:tr w:rsidR="007E7472" w14:paraId="31401E38" w14:textId="77777777" w:rsidTr="007E7472">
            <w:trPr>
              <w:trHeight w:val="340"/>
            </w:trPr>
            <w:sdt>
              <w:sdtPr>
                <w:tag w:val="_PLD_f9405fec461a4b079f93c72be0490bbf"/>
                <w:id w:val="-1064335243"/>
                <w:lock w:val="sdtLocked"/>
              </w:sdtPr>
              <w:sdtEndPr/>
              <w:sdtContent>
                <w:tc>
                  <w:tcPr>
                    <w:tcW w:w="1443" w:type="pct"/>
                    <w:shd w:val="clear" w:color="auto" w:fill="auto"/>
                    <w:vAlign w:val="center"/>
                  </w:tcPr>
                  <w:p w14:paraId="581CA684" w14:textId="77777777" w:rsidR="007E7472" w:rsidRDefault="00EC1269" w:rsidP="007E7472">
                    <w:pPr>
                      <w:jc w:val="center"/>
                    </w:pPr>
                    <w:r>
                      <w:rPr>
                        <w:rFonts w:hint="eastAsia"/>
                      </w:rPr>
                      <w:t>合计</w:t>
                    </w:r>
                  </w:p>
                </w:tc>
              </w:sdtContent>
            </w:sdt>
            <w:tc>
              <w:tcPr>
                <w:tcW w:w="1217" w:type="pct"/>
                <w:shd w:val="clear" w:color="auto" w:fill="auto"/>
                <w:vAlign w:val="center"/>
              </w:tcPr>
              <w:p w14:paraId="5E2CF9FB" w14:textId="77777777" w:rsidR="007E7472" w:rsidRDefault="00EC1269" w:rsidP="007E7472">
                <w:pPr>
                  <w:jc w:val="right"/>
                </w:pPr>
                <w:r>
                  <w:t>19,551,986</w:t>
                </w:r>
              </w:p>
            </w:tc>
            <w:tc>
              <w:tcPr>
                <w:tcW w:w="1403" w:type="pct"/>
                <w:shd w:val="clear" w:color="auto" w:fill="auto"/>
                <w:vAlign w:val="center"/>
              </w:tcPr>
              <w:p w14:paraId="7E7EFED3" w14:textId="77777777" w:rsidR="007E7472" w:rsidRDefault="00EC1269" w:rsidP="007E7472">
                <w:pPr>
                  <w:jc w:val="right"/>
                </w:pPr>
                <w:r>
                  <w:t>14,268,059</w:t>
                </w:r>
              </w:p>
            </w:tc>
            <w:tc>
              <w:tcPr>
                <w:tcW w:w="1122" w:type="pct"/>
                <w:shd w:val="clear" w:color="auto" w:fill="auto"/>
                <w:vAlign w:val="center"/>
              </w:tcPr>
              <w:p w14:paraId="6902F363" w14:textId="77777777" w:rsidR="007E7472" w:rsidRDefault="00C8327E" w:rsidP="007E7472">
                <w:pPr>
                  <w:jc w:val="right"/>
                </w:pPr>
              </w:p>
            </w:tc>
          </w:tr>
        </w:tbl>
        <w:p w14:paraId="1337BCB1" w14:textId="77777777" w:rsidR="007E7472" w:rsidRDefault="00C8327E"/>
        <w:p w14:paraId="5C4E803B" w14:textId="77777777" w:rsidR="007E7472" w:rsidRDefault="00EC1269">
          <w:r>
            <w:rPr>
              <w:rFonts w:hint="eastAsia"/>
            </w:rPr>
            <w:t>其他说明：</w:t>
          </w:r>
        </w:p>
        <w:sdt>
          <w:sdtPr>
            <w:rPr>
              <w:rFonts w:ascii="Times New Roman" w:hAnsi="Times New Roman" w:cs="Times New Roman"/>
            </w:rPr>
            <w:alias w:val="1年内到期的非流动负债说明"/>
            <w:tag w:val="_GBC_ae2cc1bff1994660ac9e57279493bfe6"/>
            <w:id w:val="1470167792"/>
            <w:lock w:val="sdtLocked"/>
            <w:placeholder>
              <w:docPart w:val="GBC22222222222222222222222222222"/>
            </w:placeholder>
          </w:sdtPr>
          <w:sdtEndPr>
            <w:rPr>
              <w:rFonts w:ascii="宋体" w:hAnsi="宋体" w:cs="宋体"/>
            </w:rPr>
          </w:sdtEndPr>
          <w:sdtContent>
            <w:p w14:paraId="4A9A3E89" w14:textId="77777777" w:rsidR="007E7472" w:rsidRDefault="00EC1269">
              <w:pPr>
                <w:rPr>
                  <w:bCs/>
                </w:rPr>
              </w:pPr>
              <w:r>
                <w:rPr>
                  <w:rFonts w:hint="eastAsia"/>
                  <w:bCs/>
                </w:rPr>
                <w:t>注1：一年内到期的长期借款明细如下：</w:t>
              </w:r>
            </w:p>
            <w:tbl>
              <w:tblPr>
                <w:tblStyle w:val="g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2"/>
                <w:gridCol w:w="2948"/>
                <w:gridCol w:w="2953"/>
              </w:tblGrid>
              <w:tr w:rsidR="007E7472" w14:paraId="02FE9B2A" w14:textId="77777777" w:rsidTr="007E7472">
                <w:trPr>
                  <w:trHeight w:val="340"/>
                  <w:tblHeader/>
                </w:trPr>
                <w:tc>
                  <w:tcPr>
                    <w:tcW w:w="2922" w:type="dxa"/>
                    <w:vAlign w:val="center"/>
                  </w:tcPr>
                  <w:p w14:paraId="1A5DE537" w14:textId="77777777" w:rsidR="007E7472" w:rsidRDefault="00EC1269">
                    <w:pPr>
                      <w:jc w:val="center"/>
                    </w:pPr>
                    <w:r>
                      <w:t>借款类别</w:t>
                    </w:r>
                  </w:p>
                </w:tc>
                <w:tc>
                  <w:tcPr>
                    <w:tcW w:w="2948" w:type="dxa"/>
                    <w:vAlign w:val="center"/>
                  </w:tcPr>
                  <w:p w14:paraId="1F2F217C" w14:textId="77777777" w:rsidR="007E7472" w:rsidRDefault="00EC1269">
                    <w:pPr>
                      <w:jc w:val="center"/>
                    </w:pPr>
                    <w:r>
                      <w:t>年末余额</w:t>
                    </w:r>
                  </w:p>
                </w:tc>
                <w:tc>
                  <w:tcPr>
                    <w:tcW w:w="2953" w:type="dxa"/>
                    <w:vAlign w:val="center"/>
                  </w:tcPr>
                  <w:p w14:paraId="6E2455DB" w14:textId="77777777" w:rsidR="007E7472" w:rsidRDefault="00EC1269">
                    <w:pPr>
                      <w:jc w:val="center"/>
                    </w:pPr>
                    <w:r>
                      <w:t>年初余额</w:t>
                    </w:r>
                  </w:p>
                </w:tc>
              </w:tr>
              <w:tr w:rsidR="007E7472" w14:paraId="699D0BD4" w14:textId="77777777" w:rsidTr="007E7472">
                <w:trPr>
                  <w:trHeight w:val="340"/>
                </w:trPr>
                <w:tc>
                  <w:tcPr>
                    <w:tcW w:w="2922" w:type="dxa"/>
                    <w:vAlign w:val="center"/>
                  </w:tcPr>
                  <w:p w14:paraId="7C933D3F" w14:textId="77777777" w:rsidR="007E7472" w:rsidRDefault="00EC1269">
                    <w:r>
                      <w:t>信用借款</w:t>
                    </w:r>
                  </w:p>
                </w:tc>
                <w:tc>
                  <w:tcPr>
                    <w:tcW w:w="2948" w:type="dxa"/>
                    <w:vAlign w:val="center"/>
                  </w:tcPr>
                  <w:p w14:paraId="37A1936C" w14:textId="77777777" w:rsidR="007E7472" w:rsidRDefault="00EC1269">
                    <w:pPr>
                      <w:jc w:val="right"/>
                    </w:pPr>
                    <w:r>
                      <w:t>4,475,935</w:t>
                    </w:r>
                  </w:p>
                </w:tc>
                <w:tc>
                  <w:tcPr>
                    <w:tcW w:w="2953" w:type="dxa"/>
                    <w:vAlign w:val="center"/>
                  </w:tcPr>
                  <w:p w14:paraId="4CA1789D" w14:textId="77777777" w:rsidR="007E7472" w:rsidRDefault="00EC1269">
                    <w:pPr>
                      <w:jc w:val="right"/>
                    </w:pPr>
                    <w:r>
                      <w:t>4,591,000</w:t>
                    </w:r>
                  </w:p>
                </w:tc>
              </w:tr>
              <w:tr w:rsidR="007E7472" w14:paraId="1A9275EE" w14:textId="77777777" w:rsidTr="007E7472">
                <w:trPr>
                  <w:trHeight w:val="340"/>
                </w:trPr>
                <w:tc>
                  <w:tcPr>
                    <w:tcW w:w="2922" w:type="dxa"/>
                    <w:vAlign w:val="center"/>
                  </w:tcPr>
                  <w:p w14:paraId="48DBBA54" w14:textId="77777777" w:rsidR="007E7472" w:rsidRDefault="00EC1269">
                    <w:r>
                      <w:t>抵押借款</w:t>
                    </w:r>
                  </w:p>
                </w:tc>
                <w:tc>
                  <w:tcPr>
                    <w:tcW w:w="2948" w:type="dxa"/>
                    <w:vAlign w:val="center"/>
                  </w:tcPr>
                  <w:p w14:paraId="3087FB16" w14:textId="77777777" w:rsidR="007E7472" w:rsidRDefault="00EC1269">
                    <w:pPr>
                      <w:jc w:val="right"/>
                    </w:pPr>
                    <w:r>
                      <w:t>2,239,997</w:t>
                    </w:r>
                  </w:p>
                </w:tc>
                <w:tc>
                  <w:tcPr>
                    <w:tcW w:w="2953" w:type="dxa"/>
                    <w:vAlign w:val="center"/>
                  </w:tcPr>
                  <w:p w14:paraId="6BB85B46" w14:textId="77777777" w:rsidR="007E7472" w:rsidRDefault="00EC1269">
                    <w:pPr>
                      <w:jc w:val="right"/>
                    </w:pPr>
                    <w:r>
                      <w:t>2,159,027</w:t>
                    </w:r>
                  </w:p>
                </w:tc>
              </w:tr>
              <w:tr w:rsidR="007E7472" w14:paraId="057523F8" w14:textId="77777777" w:rsidTr="007E7472">
                <w:trPr>
                  <w:trHeight w:val="340"/>
                </w:trPr>
                <w:tc>
                  <w:tcPr>
                    <w:tcW w:w="2922" w:type="dxa"/>
                    <w:vAlign w:val="center"/>
                  </w:tcPr>
                  <w:p w14:paraId="7FC2FBB5" w14:textId="77777777" w:rsidR="007E7472" w:rsidRDefault="00EC1269">
                    <w:r>
                      <w:t>质押借款</w:t>
                    </w:r>
                  </w:p>
                </w:tc>
                <w:tc>
                  <w:tcPr>
                    <w:tcW w:w="2948" w:type="dxa"/>
                    <w:vAlign w:val="center"/>
                  </w:tcPr>
                  <w:p w14:paraId="763F3D32" w14:textId="77777777" w:rsidR="007E7472" w:rsidRDefault="00EC1269">
                    <w:pPr>
                      <w:jc w:val="right"/>
                    </w:pPr>
                    <w:r>
                      <w:t>1,381,085</w:t>
                    </w:r>
                  </w:p>
                </w:tc>
                <w:tc>
                  <w:tcPr>
                    <w:tcW w:w="2953" w:type="dxa"/>
                    <w:vAlign w:val="center"/>
                  </w:tcPr>
                  <w:p w14:paraId="731B9D79" w14:textId="77777777" w:rsidR="007E7472" w:rsidRDefault="00EC1269">
                    <w:pPr>
                      <w:jc w:val="right"/>
                    </w:pPr>
                    <w:r>
                      <w:t>2,075,592</w:t>
                    </w:r>
                  </w:p>
                </w:tc>
              </w:tr>
              <w:tr w:rsidR="007E7472" w14:paraId="11FB56B2" w14:textId="77777777" w:rsidTr="007E7472">
                <w:trPr>
                  <w:trHeight w:val="340"/>
                </w:trPr>
                <w:tc>
                  <w:tcPr>
                    <w:tcW w:w="2922" w:type="dxa"/>
                    <w:vAlign w:val="center"/>
                  </w:tcPr>
                  <w:p w14:paraId="79F1A20E" w14:textId="77777777" w:rsidR="007E7472" w:rsidRDefault="00EC1269">
                    <w:r>
                      <w:t>保证借款</w:t>
                    </w:r>
                  </w:p>
                </w:tc>
                <w:tc>
                  <w:tcPr>
                    <w:tcW w:w="2948" w:type="dxa"/>
                    <w:vAlign w:val="center"/>
                  </w:tcPr>
                  <w:p w14:paraId="45E2DF6F" w14:textId="77777777" w:rsidR="007E7472" w:rsidRDefault="00EC1269">
                    <w:pPr>
                      <w:jc w:val="right"/>
                    </w:pPr>
                    <w:r>
                      <w:t>831,818</w:t>
                    </w:r>
                  </w:p>
                </w:tc>
                <w:tc>
                  <w:tcPr>
                    <w:tcW w:w="2953" w:type="dxa"/>
                    <w:vAlign w:val="center"/>
                  </w:tcPr>
                  <w:p w14:paraId="2BA271FA" w14:textId="77777777" w:rsidR="007E7472" w:rsidRDefault="00EC1269">
                    <w:pPr>
                      <w:jc w:val="right"/>
                    </w:pPr>
                    <w:r>
                      <w:t>503,535</w:t>
                    </w:r>
                  </w:p>
                </w:tc>
              </w:tr>
              <w:tr w:rsidR="007E7472" w14:paraId="6A6C875A" w14:textId="77777777" w:rsidTr="007E7472">
                <w:trPr>
                  <w:trHeight w:val="340"/>
                </w:trPr>
                <w:tc>
                  <w:tcPr>
                    <w:tcW w:w="2922" w:type="dxa"/>
                    <w:vAlign w:val="center"/>
                  </w:tcPr>
                  <w:p w14:paraId="72399A17" w14:textId="77777777" w:rsidR="007E7472" w:rsidRDefault="00EC1269">
                    <w:pPr>
                      <w:jc w:val="center"/>
                    </w:pPr>
                    <w:r>
                      <w:t>合计</w:t>
                    </w:r>
                  </w:p>
                </w:tc>
                <w:tc>
                  <w:tcPr>
                    <w:tcW w:w="2948" w:type="dxa"/>
                    <w:vAlign w:val="center"/>
                  </w:tcPr>
                  <w:p w14:paraId="26D963BC" w14:textId="77777777" w:rsidR="007E7472" w:rsidRDefault="00EC1269">
                    <w:pPr>
                      <w:jc w:val="right"/>
                    </w:pPr>
                    <w:r>
                      <w:t>8,928,835</w:t>
                    </w:r>
                  </w:p>
                </w:tc>
                <w:tc>
                  <w:tcPr>
                    <w:tcW w:w="2953" w:type="dxa"/>
                    <w:vAlign w:val="center"/>
                  </w:tcPr>
                  <w:p w14:paraId="7CD3F50A" w14:textId="77777777" w:rsidR="007E7472" w:rsidRDefault="00EC1269">
                    <w:pPr>
                      <w:jc w:val="right"/>
                    </w:pPr>
                    <w:r>
                      <w:t>9,329,154</w:t>
                    </w:r>
                  </w:p>
                </w:tc>
              </w:tr>
            </w:tbl>
            <w:p w14:paraId="60917850" w14:textId="77777777" w:rsidR="007E7472" w:rsidRDefault="00EC1269">
              <w:pPr>
                <w:spacing w:beforeLines="50" w:before="156" w:afterLines="50" w:after="156" w:line="360" w:lineRule="exact"/>
                <w:ind w:firstLineChars="200" w:firstLine="420"/>
                <w:jc w:val="both"/>
              </w:pPr>
              <w:r>
                <w:rPr>
                  <w:rFonts w:hint="eastAsia"/>
                  <w:bCs/>
                </w:rPr>
                <w:t>一</w:t>
              </w:r>
              <w:r>
                <w:rPr>
                  <w:rFonts w:hint="eastAsia"/>
                </w:rPr>
                <w:t>年内到期的长期借款中人民币借款利率在</w:t>
              </w:r>
              <w:r>
                <w:t>2.9</w:t>
              </w:r>
              <w:r>
                <w:rPr>
                  <w:rFonts w:hint="eastAsia"/>
                </w:rPr>
                <w:t>0</w:t>
              </w:r>
              <w:r>
                <w:t>%至4.80%之间，外币美元</w:t>
              </w:r>
              <w:r>
                <w:rPr>
                  <w:bCs/>
                </w:rPr>
                <w:t>借款</w:t>
              </w:r>
              <w:r>
                <w:t>利率为2.20%</w:t>
              </w:r>
              <w:r>
                <w:rPr>
                  <w:rFonts w:hint="eastAsia"/>
                </w:rPr>
                <w:t>至</w:t>
              </w:r>
              <w:r>
                <w:t>6.8</w:t>
              </w:r>
              <w:r>
                <w:rPr>
                  <w:rFonts w:hint="eastAsia"/>
                </w:rPr>
                <w:t>0</w:t>
              </w:r>
              <w:r>
                <w:t>%之间。一年内到期的长期借款中美元借款余额为384,999千元，折合人民币2,781,932千元。</w:t>
              </w:r>
            </w:p>
            <w:p w14:paraId="47C16F20" w14:textId="77777777" w:rsidR="007E7472" w:rsidRDefault="00EC1269">
              <w:pPr>
                <w:spacing w:beforeLines="50" w:before="156" w:afterLines="50" w:after="156" w:line="360" w:lineRule="exact"/>
                <w:ind w:firstLineChars="200" w:firstLine="420"/>
                <w:jc w:val="both"/>
              </w:pPr>
              <w:r>
                <w:rPr>
                  <w:rFonts w:hint="eastAsia"/>
                </w:rPr>
                <w:t>一年内到期的保证借款由</w:t>
              </w:r>
              <w:r>
                <w:t>6家公司提供担保，其中：300,000千元由山东能源和陕西延长石油（集团）有限公司共同提供担保；6,117千元由陕西未来能源化工有限公司、北京江油伟创石油化工有限公司共同提供担保，</w:t>
              </w:r>
              <w:r>
                <w:rPr>
                  <w:bCs/>
                  <w:szCs w:val="24"/>
                </w:rPr>
                <w:t>482</w:t>
              </w:r>
              <w:r>
                <w:t>,950千元由鄂尔多斯市锋威光电有限公司提供担保。其余全部由本公司提供担保。</w:t>
              </w:r>
            </w:p>
            <w:p w14:paraId="62D10533" w14:textId="77777777" w:rsidR="007E7472" w:rsidRDefault="00EC1269">
              <w:pPr>
                <w:spacing w:beforeLines="50" w:before="156" w:afterLines="50" w:after="156" w:line="360" w:lineRule="exact"/>
                <w:ind w:firstLineChars="200" w:firstLine="420"/>
                <w:jc w:val="both"/>
                <w:rPr>
                  <w:bCs/>
                  <w:szCs w:val="24"/>
                </w:rPr>
              </w:pPr>
              <w:r>
                <w:rPr>
                  <w:rFonts w:hint="eastAsia"/>
                  <w:bCs/>
                  <w:szCs w:val="24"/>
                </w:rPr>
                <w:t>一年内到期的质押借款具体情况详见本附注“七、</w:t>
              </w:r>
              <w:r>
                <w:rPr>
                  <w:bCs/>
                  <w:szCs w:val="24"/>
                </w:rPr>
                <w:t>45.长期借款”。</w:t>
              </w:r>
            </w:p>
            <w:p w14:paraId="07C168EC" w14:textId="77777777" w:rsidR="007E7472" w:rsidRDefault="00EC1269">
              <w:pPr>
                <w:spacing w:beforeLines="50" w:before="156" w:afterLines="50" w:after="156" w:line="360" w:lineRule="exact"/>
                <w:ind w:firstLineChars="200" w:firstLine="420"/>
                <w:jc w:val="both"/>
              </w:pPr>
              <w:r>
                <w:rPr>
                  <w:rFonts w:hint="eastAsia"/>
                  <w:bCs/>
                  <w:szCs w:val="24"/>
                </w:rPr>
                <w:t>一年内</w:t>
              </w:r>
              <w:r>
                <w:rPr>
                  <w:rFonts w:hint="eastAsia"/>
                </w:rPr>
                <w:t>到期的抵押借款</w:t>
              </w:r>
              <w:r>
                <w:t>2,239,997千元的抵押物为本公司之子公司兖煤国际（控股）有限公司持有的9.34亿股</w:t>
              </w:r>
              <w:r>
                <w:rPr>
                  <w:rFonts w:hint="eastAsia"/>
                </w:rPr>
                <w:t>浙商</w:t>
              </w:r>
              <w:r>
                <w:t>银行股票，账面价值共计7,064,298千元。</w:t>
              </w:r>
            </w:p>
            <w:p w14:paraId="21E2CEB9" w14:textId="315A027B" w:rsidR="007E7472" w:rsidRDefault="00EC1269">
              <w:pPr>
                <w:spacing w:beforeLines="50" w:before="156" w:afterLines="50" w:after="156" w:line="360" w:lineRule="exact"/>
                <w:ind w:firstLineChars="200" w:firstLine="420"/>
                <w:jc w:val="both"/>
              </w:pPr>
              <w:r>
                <w:rPr>
                  <w:rFonts w:hint="eastAsia"/>
                </w:rPr>
                <w:t>注2： 本公司之子公司兖矿融资租赁有限公司于</w:t>
              </w:r>
              <w:r>
                <w:t>2021年6月2日发行“中垠租赁二期资产专项计划”，优先级发行期限为2年6个月，到期日2024年1月20日，发行金额为2,140,000千元，自行认购141,000千元，2021年归还620,676千元，2022年归还812,207千元,</w:t>
              </w:r>
              <w:r>
                <w:rPr>
                  <w:rFonts w:hint="eastAsia"/>
                </w:rPr>
                <w:t>2</w:t>
              </w:r>
              <w:r>
                <w:t>023</w:t>
              </w:r>
              <w:r>
                <w:rPr>
                  <w:rFonts w:hint="eastAsia"/>
                </w:rPr>
                <w:t>年归还</w:t>
              </w:r>
              <w:r w:rsidR="00913748">
                <w:t>373</w:t>
              </w:r>
              <w:r>
                <w:rPr>
                  <w:rFonts w:hint="eastAsia"/>
                </w:rPr>
                <w:t>,</w:t>
              </w:r>
              <w:r w:rsidR="00913748">
                <w:t>503</w:t>
              </w:r>
              <w:r>
                <w:rPr>
                  <w:rFonts w:hint="eastAsia"/>
                </w:rPr>
                <w:t>千元，剩余1</w:t>
              </w:r>
              <w:r w:rsidR="00913748">
                <w:t>92</w:t>
              </w:r>
              <w:r>
                <w:rPr>
                  <w:rFonts w:hint="eastAsia"/>
                </w:rPr>
                <w:t>,</w:t>
              </w:r>
              <w:r w:rsidR="00913748">
                <w:t>614</w:t>
              </w:r>
              <w:r>
                <w:rPr>
                  <w:rFonts w:hint="eastAsia"/>
                </w:rPr>
                <w:t>千元重分类至一年内到期的非流动负债。</w:t>
              </w:r>
            </w:p>
          </w:sdtContent>
        </w:sdt>
      </w:sdtContent>
    </w:sdt>
    <w:p w14:paraId="3A160D95" w14:textId="77777777" w:rsidR="007E7472" w:rsidRDefault="00EC1269" w:rsidP="00162493">
      <w:pPr>
        <w:pStyle w:val="3"/>
        <w:numPr>
          <w:ilvl w:val="0"/>
          <w:numId w:val="62"/>
        </w:numPr>
      </w:pPr>
      <w:r>
        <w:rPr>
          <w:rFonts w:hint="eastAsia"/>
        </w:rPr>
        <w:lastRenderedPageBreak/>
        <w:t>其他流动负债</w:t>
      </w:r>
      <w:bookmarkStart w:id="244" w:name="_Hlk10536328"/>
    </w:p>
    <w:sdt>
      <w:sdtPr>
        <w:rPr>
          <w:rFonts w:hint="eastAsia"/>
        </w:rPr>
        <w:alias w:val="是否适用：其他流动负债情况 [双击切换]"/>
        <w:tag w:val="_GBC_80907e3e53c44260b850f42646eb3d63"/>
        <w:id w:val="1680539194"/>
        <w:lock w:val="contentLocked"/>
        <w:placeholder>
          <w:docPart w:val="GBC22222222222222222222222222222"/>
        </w:placeholder>
      </w:sdtPr>
      <w:sdtEndPr/>
      <w:sdtContent>
        <w:p w14:paraId="7B13CD44"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
      <w:sdtPr>
        <w:rPr>
          <w:rFonts w:ascii="Times New Roman" w:hAnsi="Times New Roman" w:cs="Times New Roman" w:hint="eastAsia"/>
          <w:sz w:val="20"/>
          <w:szCs w:val="20"/>
        </w:rPr>
        <w:alias w:val="模块:其他流动负债"/>
        <w:tag w:val="_SEC_56be6eded8da4d0d9ac5c3624a91cdc6"/>
        <w:id w:val="975484436"/>
        <w:lock w:val="sdtLocked"/>
        <w:placeholder>
          <w:docPart w:val="GBC22222222222222222222222222222"/>
        </w:placeholder>
      </w:sdtPr>
      <w:sdtEndPr>
        <w:rPr>
          <w:rFonts w:hint="default"/>
        </w:rPr>
      </w:sdtEndPr>
      <w:sdtContent>
        <w:p w14:paraId="41B69620" w14:textId="727C40A1" w:rsidR="007E7472" w:rsidRDefault="00EC1269">
          <w:pPr>
            <w:jc w:val="right"/>
          </w:pPr>
          <w:r>
            <w:rPr>
              <w:rFonts w:hint="eastAsia"/>
            </w:rPr>
            <w:t>单位：</w:t>
          </w:r>
          <w:sdt>
            <w:sdtPr>
              <w:rPr>
                <w:rFonts w:hint="eastAsia"/>
              </w:rPr>
              <w:alias w:val="单位：财务附注：其他流动负债"/>
              <w:tag w:val="_GBC_6d31349460124941a4929421727aab0e"/>
              <w:id w:val="148434943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其他流动负债"/>
              <w:tag w:val="_GBC_7d8c93066ac541859a45d371953d3cdc"/>
              <w:id w:val="-138301361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2516"/>
            <w:gridCol w:w="3051"/>
          </w:tblGrid>
          <w:tr w:rsidR="007E7472" w14:paraId="633F93E4" w14:textId="77777777" w:rsidTr="007E7472">
            <w:trPr>
              <w:trHeight w:val="340"/>
              <w:jc w:val="center"/>
            </w:trPr>
            <w:sdt>
              <w:sdtPr>
                <w:tag w:val="_PLD_8fb682e3d6ad4a60b648ec38137fbf9d"/>
                <w:id w:val="-1063942791"/>
                <w:lock w:val="sdtLocked"/>
              </w:sdtPr>
              <w:sdtEndPr/>
              <w:sdtContent>
                <w:tc>
                  <w:tcPr>
                    <w:tcW w:w="1845" w:type="pct"/>
                    <w:tcBorders>
                      <w:top w:val="single" w:sz="4" w:space="0" w:color="auto"/>
                      <w:left w:val="single" w:sz="4" w:space="0" w:color="auto"/>
                      <w:bottom w:val="single" w:sz="4" w:space="0" w:color="auto"/>
                      <w:right w:val="single" w:sz="4" w:space="0" w:color="auto"/>
                    </w:tcBorders>
                    <w:vAlign w:val="center"/>
                  </w:tcPr>
                  <w:p w14:paraId="14AA1D2C" w14:textId="77777777" w:rsidR="007E7472" w:rsidRDefault="00EC1269">
                    <w:pPr>
                      <w:tabs>
                        <w:tab w:val="right" w:pos="3690"/>
                        <w:tab w:val="right" w:pos="5130"/>
                        <w:tab w:val="right" w:pos="6030"/>
                        <w:tab w:val="right" w:pos="7650"/>
                        <w:tab w:val="right" w:pos="9270"/>
                      </w:tabs>
                      <w:snapToGrid w:val="0"/>
                      <w:ind w:leftChars="-52" w:left="-109"/>
                      <w:jc w:val="center"/>
                    </w:pPr>
                    <w:r>
                      <w:rPr>
                        <w:rFonts w:hint="eastAsia"/>
                      </w:rPr>
                      <w:t>项目</w:t>
                    </w:r>
                  </w:p>
                </w:tc>
              </w:sdtContent>
            </w:sdt>
            <w:sdt>
              <w:sdtPr>
                <w:tag w:val="_PLD_0c0b762dc58f486f9f736b7ace21e9a0"/>
                <w:id w:val="-632014180"/>
                <w:lock w:val="sdtLocked"/>
              </w:sdtPr>
              <w:sdtEndPr/>
              <w:sdtContent>
                <w:tc>
                  <w:tcPr>
                    <w:tcW w:w="1426" w:type="pct"/>
                    <w:tcBorders>
                      <w:top w:val="single" w:sz="4" w:space="0" w:color="auto"/>
                      <w:left w:val="single" w:sz="4" w:space="0" w:color="auto"/>
                      <w:bottom w:val="single" w:sz="4" w:space="0" w:color="auto"/>
                      <w:right w:val="single" w:sz="4" w:space="0" w:color="auto"/>
                    </w:tcBorders>
                    <w:vAlign w:val="center"/>
                  </w:tcPr>
                  <w:p w14:paraId="5D2DE8C4" w14:textId="77777777" w:rsidR="007E7472" w:rsidRDefault="00EC1269">
                    <w:pPr>
                      <w:adjustRightInd w:val="0"/>
                      <w:snapToGrid w:val="0"/>
                      <w:jc w:val="center"/>
                    </w:pPr>
                    <w:r>
                      <w:rPr>
                        <w:rFonts w:hint="eastAsia"/>
                      </w:rPr>
                      <w:t>期末余额</w:t>
                    </w:r>
                  </w:p>
                </w:tc>
              </w:sdtContent>
            </w:sdt>
            <w:sdt>
              <w:sdtPr>
                <w:tag w:val="_PLD_942d693f41424f82b813e282a8210643"/>
                <w:id w:val="-950087344"/>
                <w:lock w:val="sdtLocked"/>
              </w:sdtPr>
              <w:sdtEndPr/>
              <w:sdtContent>
                <w:tc>
                  <w:tcPr>
                    <w:tcW w:w="1729" w:type="pct"/>
                    <w:tcBorders>
                      <w:top w:val="single" w:sz="4" w:space="0" w:color="auto"/>
                      <w:left w:val="single" w:sz="4" w:space="0" w:color="auto"/>
                      <w:bottom w:val="single" w:sz="4" w:space="0" w:color="auto"/>
                      <w:right w:val="single" w:sz="4" w:space="0" w:color="auto"/>
                    </w:tcBorders>
                    <w:vAlign w:val="center"/>
                  </w:tcPr>
                  <w:p w14:paraId="4547817E" w14:textId="77777777" w:rsidR="007E7472" w:rsidRDefault="00EC1269">
                    <w:pPr>
                      <w:adjustRightInd w:val="0"/>
                      <w:snapToGrid w:val="0"/>
                      <w:jc w:val="center"/>
                    </w:pPr>
                    <w:r>
                      <w:rPr>
                        <w:rFonts w:hint="eastAsia"/>
                      </w:rPr>
                      <w:t>期初余额</w:t>
                    </w:r>
                  </w:p>
                </w:tc>
              </w:sdtContent>
            </w:sdt>
          </w:tr>
          <w:tr w:rsidR="007E7472" w14:paraId="363211A1" w14:textId="77777777" w:rsidTr="007E7472">
            <w:trPr>
              <w:trHeight w:val="340"/>
              <w:jc w:val="center"/>
            </w:trPr>
            <w:sdt>
              <w:sdtPr>
                <w:tag w:val="_PLD_ded88bf4ef70481a9765df686ab4ec99"/>
                <w:id w:val="1259178111"/>
                <w:lock w:val="sdtLocked"/>
              </w:sdtPr>
              <w:sdtEndPr/>
              <w:sdtContent>
                <w:tc>
                  <w:tcPr>
                    <w:tcW w:w="1845" w:type="pct"/>
                    <w:tcBorders>
                      <w:top w:val="single" w:sz="4" w:space="0" w:color="auto"/>
                      <w:left w:val="single" w:sz="4" w:space="0" w:color="auto"/>
                      <w:bottom w:val="single" w:sz="4" w:space="0" w:color="auto"/>
                      <w:right w:val="single" w:sz="4" w:space="0" w:color="auto"/>
                    </w:tcBorders>
                    <w:vAlign w:val="center"/>
                  </w:tcPr>
                  <w:p w14:paraId="191978DB" w14:textId="77777777" w:rsidR="007E7472" w:rsidRDefault="00EC1269">
                    <w:pPr>
                      <w:rPr>
                        <w:color w:val="000000" w:themeColor="text1"/>
                      </w:rPr>
                    </w:pPr>
                    <w:r>
                      <w:rPr>
                        <w:rFonts w:hint="eastAsia"/>
                      </w:rPr>
                      <w:t>短期应付债券</w:t>
                    </w:r>
                  </w:p>
                </w:tc>
              </w:sdtContent>
            </w:sdt>
            <w:tc>
              <w:tcPr>
                <w:tcW w:w="1426" w:type="pct"/>
                <w:tcBorders>
                  <w:top w:val="single" w:sz="4" w:space="0" w:color="auto"/>
                  <w:left w:val="single" w:sz="4" w:space="0" w:color="auto"/>
                  <w:bottom w:val="single" w:sz="4" w:space="0" w:color="auto"/>
                  <w:right w:val="single" w:sz="4" w:space="0" w:color="auto"/>
                </w:tcBorders>
                <w:vAlign w:val="center"/>
              </w:tcPr>
              <w:p w14:paraId="013E3A09" w14:textId="77777777" w:rsidR="007E7472" w:rsidRDefault="00EC1269">
                <w:pPr>
                  <w:jc w:val="right"/>
                </w:pPr>
                <w:r>
                  <w:t>2,999,875</w:t>
                </w:r>
              </w:p>
            </w:tc>
            <w:tc>
              <w:tcPr>
                <w:tcW w:w="1729" w:type="pct"/>
                <w:tcBorders>
                  <w:top w:val="single" w:sz="4" w:space="0" w:color="auto"/>
                  <w:left w:val="single" w:sz="4" w:space="0" w:color="auto"/>
                  <w:bottom w:val="single" w:sz="4" w:space="0" w:color="auto"/>
                  <w:right w:val="single" w:sz="4" w:space="0" w:color="auto"/>
                </w:tcBorders>
                <w:vAlign w:val="center"/>
              </w:tcPr>
              <w:p w14:paraId="4B4521E4" w14:textId="77777777" w:rsidR="007E7472" w:rsidRDefault="00C8327E">
                <w:pPr>
                  <w:jc w:val="right"/>
                </w:pPr>
              </w:p>
            </w:tc>
          </w:tr>
          <w:sdt>
            <w:sdtPr>
              <w:rPr>
                <w:rFonts w:eastAsiaTheme="minorEastAsia" w:hint="eastAsia"/>
                <w:kern w:val="2"/>
              </w:rPr>
              <w:alias w:val="其他流动负债明细"/>
              <w:tag w:val="_GBC_6ad57a8cdfbd4161b9e29fe9e473fce8"/>
              <w:id w:val="-828208656"/>
              <w:lock w:val="sdtLocked"/>
            </w:sdtPr>
            <w:sdtEndPr>
              <w:rPr>
                <w:rFonts w:hint="default"/>
              </w:rPr>
            </w:sdtEndPr>
            <w:sdtContent>
              <w:tr w:rsidR="007E7472" w14:paraId="0D2298ED" w14:textId="77777777" w:rsidTr="007E7472">
                <w:trPr>
                  <w:trHeight w:val="340"/>
                  <w:jc w:val="center"/>
                </w:trPr>
                <w:tc>
                  <w:tcPr>
                    <w:tcW w:w="1845" w:type="pct"/>
                    <w:tcBorders>
                      <w:top w:val="single" w:sz="4" w:space="0" w:color="auto"/>
                      <w:left w:val="single" w:sz="4" w:space="0" w:color="auto"/>
                      <w:bottom w:val="single" w:sz="4" w:space="0" w:color="auto"/>
                      <w:right w:val="single" w:sz="4" w:space="0" w:color="auto"/>
                    </w:tcBorders>
                    <w:vAlign w:val="center"/>
                  </w:tcPr>
                  <w:p w14:paraId="39DB1EB6" w14:textId="77777777" w:rsidR="007E7472" w:rsidRDefault="00EC1269">
                    <w:r>
                      <w:t>土地塌陷、复原、重整及环保费</w:t>
                    </w:r>
                  </w:p>
                </w:tc>
                <w:tc>
                  <w:tcPr>
                    <w:tcW w:w="1426" w:type="pct"/>
                    <w:tcBorders>
                      <w:top w:val="single" w:sz="4" w:space="0" w:color="auto"/>
                      <w:left w:val="single" w:sz="4" w:space="0" w:color="auto"/>
                      <w:bottom w:val="single" w:sz="4" w:space="0" w:color="auto"/>
                      <w:right w:val="single" w:sz="4" w:space="0" w:color="auto"/>
                    </w:tcBorders>
                    <w:vAlign w:val="center"/>
                  </w:tcPr>
                  <w:p w14:paraId="26360210" w14:textId="77777777" w:rsidR="007E7472" w:rsidRDefault="00EC1269">
                    <w:pPr>
                      <w:jc w:val="right"/>
                    </w:pPr>
                    <w:r>
                      <w:t>1,232,999</w:t>
                    </w:r>
                  </w:p>
                </w:tc>
                <w:tc>
                  <w:tcPr>
                    <w:tcW w:w="1729" w:type="pct"/>
                    <w:tcBorders>
                      <w:top w:val="single" w:sz="4" w:space="0" w:color="auto"/>
                      <w:left w:val="single" w:sz="4" w:space="0" w:color="auto"/>
                      <w:bottom w:val="single" w:sz="4" w:space="0" w:color="auto"/>
                      <w:right w:val="single" w:sz="4" w:space="0" w:color="auto"/>
                    </w:tcBorders>
                    <w:vAlign w:val="center"/>
                  </w:tcPr>
                  <w:p w14:paraId="00F9E068" w14:textId="77777777" w:rsidR="007E7472" w:rsidRDefault="00EC1269">
                    <w:pPr>
                      <w:jc w:val="right"/>
                    </w:pPr>
                    <w:r>
                      <w:t>1,100,080</w:t>
                    </w:r>
                  </w:p>
                </w:tc>
              </w:tr>
            </w:sdtContent>
          </w:sdt>
          <w:sdt>
            <w:sdtPr>
              <w:rPr>
                <w:rFonts w:eastAsiaTheme="minorEastAsia" w:hint="eastAsia"/>
                <w:kern w:val="2"/>
              </w:rPr>
              <w:alias w:val="其他流动负债明细"/>
              <w:tag w:val="_GBC_6ad57a8cdfbd4161b9e29fe9e473fce8"/>
              <w:id w:val="242609038"/>
              <w:lock w:val="sdtLocked"/>
            </w:sdtPr>
            <w:sdtEndPr/>
            <w:sdtContent>
              <w:tr w:rsidR="007E7472" w14:paraId="3F3B3A53" w14:textId="77777777" w:rsidTr="007E7472">
                <w:trPr>
                  <w:trHeight w:val="340"/>
                  <w:jc w:val="center"/>
                </w:trPr>
                <w:tc>
                  <w:tcPr>
                    <w:tcW w:w="1845" w:type="pct"/>
                    <w:tcBorders>
                      <w:top w:val="single" w:sz="4" w:space="0" w:color="auto"/>
                      <w:left w:val="single" w:sz="4" w:space="0" w:color="auto"/>
                      <w:bottom w:val="single" w:sz="4" w:space="0" w:color="auto"/>
                      <w:right w:val="single" w:sz="4" w:space="0" w:color="auto"/>
                    </w:tcBorders>
                    <w:vAlign w:val="center"/>
                  </w:tcPr>
                  <w:p w14:paraId="035176D9" w14:textId="77777777" w:rsidR="007E7472" w:rsidRDefault="00EC1269">
                    <w:r>
                      <w:rPr>
                        <w:rFonts w:hint="eastAsia"/>
                      </w:rPr>
                      <w:t>待转销项税金</w:t>
                    </w:r>
                  </w:p>
                </w:tc>
                <w:tc>
                  <w:tcPr>
                    <w:tcW w:w="1426" w:type="pct"/>
                    <w:tcBorders>
                      <w:top w:val="single" w:sz="4" w:space="0" w:color="auto"/>
                      <w:left w:val="single" w:sz="4" w:space="0" w:color="auto"/>
                      <w:bottom w:val="single" w:sz="4" w:space="0" w:color="auto"/>
                      <w:right w:val="single" w:sz="4" w:space="0" w:color="auto"/>
                    </w:tcBorders>
                    <w:vAlign w:val="center"/>
                  </w:tcPr>
                  <w:p w14:paraId="67490B07" w14:textId="77777777" w:rsidR="007E7472" w:rsidRDefault="00EC1269">
                    <w:pPr>
                      <w:jc w:val="right"/>
                    </w:pPr>
                    <w:r>
                      <w:t>736,729</w:t>
                    </w:r>
                  </w:p>
                </w:tc>
                <w:tc>
                  <w:tcPr>
                    <w:tcW w:w="1729" w:type="pct"/>
                    <w:tcBorders>
                      <w:top w:val="single" w:sz="4" w:space="0" w:color="auto"/>
                      <w:left w:val="single" w:sz="4" w:space="0" w:color="auto"/>
                      <w:bottom w:val="single" w:sz="4" w:space="0" w:color="auto"/>
                      <w:right w:val="single" w:sz="4" w:space="0" w:color="auto"/>
                    </w:tcBorders>
                    <w:vAlign w:val="center"/>
                  </w:tcPr>
                  <w:p w14:paraId="783909D5" w14:textId="77777777" w:rsidR="007E7472" w:rsidRDefault="00EC1269">
                    <w:pPr>
                      <w:jc w:val="right"/>
                    </w:pPr>
                    <w:r>
                      <w:t>727,841</w:t>
                    </w:r>
                  </w:p>
                </w:tc>
              </w:tr>
            </w:sdtContent>
          </w:sdt>
          <w:tr w:rsidR="007E7472" w14:paraId="464C9984" w14:textId="77777777" w:rsidTr="007E7472">
            <w:trPr>
              <w:trHeight w:val="340"/>
              <w:jc w:val="center"/>
            </w:trPr>
            <w:sdt>
              <w:sdtPr>
                <w:tag w:val="_PLD_3835b041db764a298b09897ff76b9cf1"/>
                <w:id w:val="77490437"/>
                <w:lock w:val="sdtLocked"/>
              </w:sdtPr>
              <w:sdtEndPr/>
              <w:sdtContent>
                <w:tc>
                  <w:tcPr>
                    <w:tcW w:w="1845" w:type="pct"/>
                    <w:tcBorders>
                      <w:top w:val="single" w:sz="4" w:space="0" w:color="auto"/>
                      <w:left w:val="single" w:sz="4" w:space="0" w:color="auto"/>
                      <w:bottom w:val="single" w:sz="4" w:space="0" w:color="auto"/>
                      <w:right w:val="single" w:sz="4" w:space="0" w:color="auto"/>
                    </w:tcBorders>
                    <w:vAlign w:val="center"/>
                  </w:tcPr>
                  <w:p w14:paraId="5E394510" w14:textId="77777777" w:rsidR="007E7472" w:rsidRDefault="00EC1269">
                    <w:pPr>
                      <w:jc w:val="center"/>
                    </w:pPr>
                    <w:r>
                      <w:rPr>
                        <w:rFonts w:hint="eastAsia"/>
                      </w:rPr>
                      <w:t>合计</w:t>
                    </w:r>
                  </w:p>
                </w:tc>
              </w:sdtContent>
            </w:sdt>
            <w:tc>
              <w:tcPr>
                <w:tcW w:w="1426" w:type="pct"/>
                <w:tcBorders>
                  <w:top w:val="single" w:sz="4" w:space="0" w:color="auto"/>
                  <w:left w:val="single" w:sz="4" w:space="0" w:color="auto"/>
                  <w:bottom w:val="single" w:sz="4" w:space="0" w:color="auto"/>
                  <w:right w:val="single" w:sz="4" w:space="0" w:color="auto"/>
                </w:tcBorders>
                <w:vAlign w:val="center"/>
              </w:tcPr>
              <w:p w14:paraId="561B5885" w14:textId="77777777" w:rsidR="007E7472" w:rsidRDefault="00EC1269">
                <w:pPr>
                  <w:jc w:val="right"/>
                </w:pPr>
                <w:r>
                  <w:t>4,969,603</w:t>
                </w:r>
              </w:p>
            </w:tc>
            <w:tc>
              <w:tcPr>
                <w:tcW w:w="1729" w:type="pct"/>
                <w:tcBorders>
                  <w:top w:val="single" w:sz="4" w:space="0" w:color="auto"/>
                  <w:left w:val="single" w:sz="4" w:space="0" w:color="auto"/>
                  <w:bottom w:val="single" w:sz="4" w:space="0" w:color="auto"/>
                  <w:right w:val="single" w:sz="4" w:space="0" w:color="auto"/>
                </w:tcBorders>
                <w:vAlign w:val="center"/>
              </w:tcPr>
              <w:p w14:paraId="721FBAC2" w14:textId="77777777" w:rsidR="007E7472" w:rsidRDefault="00EC1269">
                <w:pPr>
                  <w:jc w:val="right"/>
                </w:pPr>
                <w:r>
                  <w:t>1,827,921</w:t>
                </w:r>
              </w:p>
            </w:tc>
          </w:tr>
        </w:tbl>
        <w:p w14:paraId="32726D86" w14:textId="77777777" w:rsidR="007E7472" w:rsidRDefault="00C8327E"/>
      </w:sdtContent>
    </w:sdt>
    <w:bookmarkEnd w:id="244" w:displacedByCustomXml="next"/>
    <w:sdt>
      <w:sdtPr>
        <w:rPr>
          <w:rFonts w:hint="eastAsia"/>
          <w:bCs/>
        </w:rPr>
        <w:alias w:val="模块:短期应付债券的增减变动"/>
        <w:tag w:val="_GBC_4577b030bbab4faa991328e6acd5a589"/>
        <w:id w:val="812143354"/>
        <w:lock w:val="sdtLocked"/>
        <w:placeholder>
          <w:docPart w:val="GBC22222222222222222222222222222"/>
        </w:placeholder>
      </w:sdtPr>
      <w:sdtEndPr>
        <w:rPr>
          <w:rFonts w:cstheme="minorBidi" w:hint="default"/>
          <w:bCs w:val="0"/>
          <w:color w:val="000000" w:themeColor="text1"/>
          <w:kern w:val="2"/>
        </w:rPr>
      </w:sdtEndPr>
      <w:sdtContent>
        <w:p w14:paraId="6AE08891" w14:textId="77777777" w:rsidR="007E7472" w:rsidRDefault="00EC1269">
          <w:r>
            <w:rPr>
              <w:rFonts w:hint="eastAsia"/>
            </w:rPr>
            <w:t>短期</w:t>
          </w:r>
          <w:r>
            <w:t>应付债券的增减变动</w:t>
          </w:r>
          <w:r>
            <w:rPr>
              <w:rFonts w:hint="eastAsia"/>
            </w:rPr>
            <w:t>：</w:t>
          </w:r>
        </w:p>
        <w:sdt>
          <w:sdtPr>
            <w:alias w:val="是否适用：短期应付债券的增减变动[双击切换]"/>
            <w:tag w:val="_GBC_82d0c6ce58744d20918b6a0221dbac6b"/>
            <w:id w:val="1961455828"/>
            <w:lock w:val="sdtLocked"/>
            <w:placeholder>
              <w:docPart w:val="GBC22222222222222222222222222222"/>
            </w:placeholder>
          </w:sdtPr>
          <w:sdtEndPr/>
          <w:sdtContent>
            <w:p w14:paraId="42E4092E"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4140EFC5" w14:textId="076D5752" w:rsidR="007E7472" w:rsidRDefault="00EC1269">
          <w:pPr>
            <w:jc w:val="right"/>
          </w:pPr>
          <w:r>
            <w:rPr>
              <w:rFonts w:hint="eastAsia"/>
            </w:rPr>
            <w:t>单位：</w:t>
          </w:r>
          <w:sdt>
            <w:sdtPr>
              <w:rPr>
                <w:rFonts w:hint="eastAsia"/>
              </w:rPr>
              <w:alias w:val="单位：财务附注：短期应付债券的增减变动"/>
              <w:tag w:val="_GBC_77aaa92de5de4505bd6b482014e7cf6b"/>
              <w:id w:val="-1024707068"/>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短期应付债券的增减变动"/>
              <w:tag w:val="_GBC_be6c70f7ccdc4344bdde801a6b0bb3a6"/>
              <w:id w:val="-168304858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844"/>
            <w:gridCol w:w="523"/>
            <w:gridCol w:w="755"/>
            <w:gridCol w:w="614"/>
            <w:gridCol w:w="1087"/>
            <w:gridCol w:w="602"/>
            <w:gridCol w:w="1099"/>
            <w:gridCol w:w="715"/>
            <w:gridCol w:w="819"/>
            <w:gridCol w:w="759"/>
            <w:gridCol w:w="1006"/>
          </w:tblGrid>
          <w:tr w:rsidR="007E7472" w14:paraId="5574B04E" w14:textId="77777777">
            <w:trPr>
              <w:cantSplit/>
              <w:trHeight w:val="816"/>
            </w:trPr>
            <w:sdt>
              <w:sdtPr>
                <w:tag w:val="_PLD_16817769f19f45ac9c46df788b579d1c"/>
                <w:id w:val="1672762534"/>
                <w:lock w:val="sdtLocked"/>
              </w:sdtPr>
              <w:sdtEndPr/>
              <w:sdtContent>
                <w:tc>
                  <w:tcPr>
                    <w:tcW w:w="478" w:type="pct"/>
                    <w:shd w:val="clear" w:color="auto" w:fill="auto"/>
                    <w:vAlign w:val="center"/>
                  </w:tcPr>
                  <w:p w14:paraId="733B2C09" w14:textId="77777777" w:rsidR="007E7472" w:rsidRDefault="00EC1269">
                    <w:pPr>
                      <w:jc w:val="center"/>
                    </w:pPr>
                    <w:r>
                      <w:rPr>
                        <w:rFonts w:hint="eastAsia"/>
                      </w:rPr>
                      <w:t>债券</w:t>
                    </w:r>
                  </w:p>
                  <w:p w14:paraId="40153C72" w14:textId="77777777" w:rsidR="007E7472" w:rsidRDefault="00EC1269">
                    <w:pPr>
                      <w:jc w:val="center"/>
                    </w:pPr>
                    <w:r>
                      <w:rPr>
                        <w:rFonts w:hint="eastAsia"/>
                      </w:rPr>
                      <w:t>名称</w:t>
                    </w:r>
                  </w:p>
                </w:tc>
              </w:sdtContent>
            </w:sdt>
            <w:sdt>
              <w:sdtPr>
                <w:tag w:val="_PLD_b64770d90b334eb1a037fdb31a538d36"/>
                <w:id w:val="-888111506"/>
                <w:lock w:val="sdtLocked"/>
              </w:sdtPr>
              <w:sdtEndPr/>
              <w:sdtContent>
                <w:tc>
                  <w:tcPr>
                    <w:tcW w:w="296" w:type="pct"/>
                    <w:shd w:val="clear" w:color="auto" w:fill="auto"/>
                    <w:vAlign w:val="center"/>
                  </w:tcPr>
                  <w:p w14:paraId="09BCBFE7" w14:textId="77777777" w:rsidR="007E7472" w:rsidRDefault="00EC1269">
                    <w:pPr>
                      <w:jc w:val="center"/>
                    </w:pPr>
                    <w:r>
                      <w:rPr>
                        <w:rFonts w:hint="eastAsia"/>
                      </w:rPr>
                      <w:t>面值</w:t>
                    </w:r>
                  </w:p>
                </w:tc>
              </w:sdtContent>
            </w:sdt>
            <w:sdt>
              <w:sdtPr>
                <w:tag w:val="_PLD_d384f007cfed4552826071d001810b87"/>
                <w:id w:val="-1553376719"/>
                <w:lock w:val="sdtLocked"/>
              </w:sdtPr>
              <w:sdtEndPr/>
              <w:sdtContent>
                <w:tc>
                  <w:tcPr>
                    <w:tcW w:w="428" w:type="pct"/>
                    <w:shd w:val="clear" w:color="auto" w:fill="auto"/>
                    <w:vAlign w:val="center"/>
                  </w:tcPr>
                  <w:p w14:paraId="291AB645" w14:textId="77777777" w:rsidR="007E7472" w:rsidRDefault="00EC1269">
                    <w:pPr>
                      <w:jc w:val="center"/>
                    </w:pPr>
                    <w:r>
                      <w:rPr>
                        <w:rFonts w:hint="eastAsia"/>
                      </w:rPr>
                      <w:t>发行</w:t>
                    </w:r>
                  </w:p>
                  <w:p w14:paraId="00CF3522" w14:textId="77777777" w:rsidR="007E7472" w:rsidRDefault="00EC1269">
                    <w:pPr>
                      <w:jc w:val="center"/>
                    </w:pPr>
                    <w:r>
                      <w:rPr>
                        <w:rFonts w:hint="eastAsia"/>
                      </w:rPr>
                      <w:t>日期</w:t>
                    </w:r>
                  </w:p>
                </w:tc>
              </w:sdtContent>
            </w:sdt>
            <w:sdt>
              <w:sdtPr>
                <w:tag w:val="_PLD_02b0b0cda7b14d5eb4d5c37c17fb4d3b"/>
                <w:id w:val="1492752022"/>
                <w:lock w:val="sdtLocked"/>
              </w:sdtPr>
              <w:sdtEndPr/>
              <w:sdtContent>
                <w:tc>
                  <w:tcPr>
                    <w:tcW w:w="348" w:type="pct"/>
                    <w:shd w:val="clear" w:color="auto" w:fill="auto"/>
                    <w:vAlign w:val="center"/>
                  </w:tcPr>
                  <w:p w14:paraId="28361871" w14:textId="77777777" w:rsidR="007E7472" w:rsidRDefault="00EC1269">
                    <w:pPr>
                      <w:jc w:val="center"/>
                    </w:pPr>
                    <w:r>
                      <w:rPr>
                        <w:rFonts w:hint="eastAsia"/>
                      </w:rPr>
                      <w:t>债券</w:t>
                    </w:r>
                  </w:p>
                  <w:p w14:paraId="3E547EA5" w14:textId="77777777" w:rsidR="007E7472" w:rsidRDefault="00EC1269">
                    <w:pPr>
                      <w:jc w:val="center"/>
                    </w:pPr>
                    <w:r>
                      <w:rPr>
                        <w:rFonts w:hint="eastAsia"/>
                      </w:rPr>
                      <w:t>期限</w:t>
                    </w:r>
                  </w:p>
                </w:tc>
              </w:sdtContent>
            </w:sdt>
            <w:sdt>
              <w:sdtPr>
                <w:tag w:val="_PLD_a8b9f211416c4764859b1ecbb67d7338"/>
                <w:id w:val="1558285198"/>
                <w:lock w:val="sdtLocked"/>
              </w:sdtPr>
              <w:sdtEndPr/>
              <w:sdtContent>
                <w:tc>
                  <w:tcPr>
                    <w:tcW w:w="616" w:type="pct"/>
                    <w:shd w:val="clear" w:color="auto" w:fill="auto"/>
                    <w:vAlign w:val="center"/>
                  </w:tcPr>
                  <w:p w14:paraId="4A8B4BE2" w14:textId="77777777" w:rsidR="007E7472" w:rsidRDefault="00EC1269">
                    <w:pPr>
                      <w:jc w:val="center"/>
                    </w:pPr>
                    <w:r>
                      <w:rPr>
                        <w:rFonts w:hint="eastAsia"/>
                      </w:rPr>
                      <w:t>发行</w:t>
                    </w:r>
                  </w:p>
                  <w:p w14:paraId="5CEAE747" w14:textId="77777777" w:rsidR="007E7472" w:rsidRDefault="00EC1269">
                    <w:pPr>
                      <w:jc w:val="center"/>
                    </w:pPr>
                    <w:r>
                      <w:rPr>
                        <w:rFonts w:hint="eastAsia"/>
                      </w:rPr>
                      <w:t>金额</w:t>
                    </w:r>
                  </w:p>
                </w:tc>
              </w:sdtContent>
            </w:sdt>
            <w:sdt>
              <w:sdtPr>
                <w:tag w:val="_PLD_a0e12e62a0ce4b78b139e5d1ffd5611e"/>
                <w:id w:val="375971835"/>
                <w:lock w:val="sdtLocked"/>
              </w:sdtPr>
              <w:sdtEndPr/>
              <w:sdtContent>
                <w:tc>
                  <w:tcPr>
                    <w:tcW w:w="341" w:type="pct"/>
                    <w:shd w:val="clear" w:color="auto" w:fill="auto"/>
                    <w:vAlign w:val="center"/>
                  </w:tcPr>
                  <w:p w14:paraId="3AB78841" w14:textId="77777777" w:rsidR="007E7472" w:rsidRDefault="00EC1269">
                    <w:pPr>
                      <w:jc w:val="center"/>
                    </w:pPr>
                    <w:r>
                      <w:rPr>
                        <w:rFonts w:hint="eastAsia"/>
                      </w:rPr>
                      <w:t>期初</w:t>
                    </w:r>
                  </w:p>
                  <w:p w14:paraId="2DF2E9F3" w14:textId="77777777" w:rsidR="007E7472" w:rsidRDefault="00EC1269">
                    <w:pPr>
                      <w:jc w:val="center"/>
                    </w:pPr>
                    <w:r>
                      <w:rPr>
                        <w:rFonts w:hint="eastAsia"/>
                      </w:rPr>
                      <w:t>余额</w:t>
                    </w:r>
                  </w:p>
                </w:tc>
              </w:sdtContent>
            </w:sdt>
            <w:sdt>
              <w:sdtPr>
                <w:tag w:val="_PLD_0d7f8012461b4f7388cc653ce721a2af"/>
                <w:id w:val="444585146"/>
                <w:lock w:val="sdtLocked"/>
              </w:sdtPr>
              <w:sdtEndPr/>
              <w:sdtContent>
                <w:tc>
                  <w:tcPr>
                    <w:tcW w:w="623" w:type="pct"/>
                    <w:shd w:val="clear" w:color="auto" w:fill="auto"/>
                    <w:vAlign w:val="center"/>
                  </w:tcPr>
                  <w:p w14:paraId="5B05DBED" w14:textId="77777777" w:rsidR="007E7472" w:rsidRDefault="00EC1269">
                    <w:pPr>
                      <w:jc w:val="center"/>
                    </w:pPr>
                    <w:r>
                      <w:rPr>
                        <w:rFonts w:hint="eastAsia"/>
                      </w:rPr>
                      <w:t>本期</w:t>
                    </w:r>
                  </w:p>
                  <w:p w14:paraId="0AD30C56" w14:textId="77777777" w:rsidR="007E7472" w:rsidRDefault="00EC1269">
                    <w:pPr>
                      <w:jc w:val="center"/>
                    </w:pPr>
                    <w:r>
                      <w:rPr>
                        <w:rFonts w:hint="eastAsia"/>
                      </w:rPr>
                      <w:t>发行</w:t>
                    </w:r>
                  </w:p>
                </w:tc>
              </w:sdtContent>
            </w:sdt>
            <w:sdt>
              <w:sdtPr>
                <w:tag w:val="_PLD_4203a9a167d241c193135a89949e50d1"/>
                <w:id w:val="1237980453"/>
                <w:lock w:val="sdtLocked"/>
              </w:sdtPr>
              <w:sdtEndPr/>
              <w:sdtContent>
                <w:tc>
                  <w:tcPr>
                    <w:tcW w:w="405" w:type="pct"/>
                    <w:shd w:val="clear" w:color="auto" w:fill="auto"/>
                    <w:vAlign w:val="center"/>
                  </w:tcPr>
                  <w:p w14:paraId="5D8CEEAC" w14:textId="77777777" w:rsidR="007E7472" w:rsidRDefault="00EC1269">
                    <w:pPr>
                      <w:jc w:val="center"/>
                    </w:pPr>
                    <w:r>
                      <w:rPr>
                        <w:rFonts w:hint="eastAsia"/>
                      </w:rPr>
                      <w:t>按面值计提利息</w:t>
                    </w:r>
                  </w:p>
                </w:tc>
              </w:sdtContent>
            </w:sdt>
            <w:sdt>
              <w:sdtPr>
                <w:tag w:val="_PLD_32e9f8bb93f84ec79eaaee43454a1694"/>
                <w:id w:val="2126879548"/>
                <w:lock w:val="sdtLocked"/>
              </w:sdtPr>
              <w:sdtEndPr/>
              <w:sdtContent>
                <w:tc>
                  <w:tcPr>
                    <w:tcW w:w="464" w:type="pct"/>
                    <w:shd w:val="clear" w:color="auto" w:fill="auto"/>
                    <w:vAlign w:val="center"/>
                  </w:tcPr>
                  <w:p w14:paraId="02AD1581" w14:textId="77777777" w:rsidR="007E7472" w:rsidRDefault="00EC1269">
                    <w:pPr>
                      <w:jc w:val="center"/>
                    </w:pPr>
                    <w:r>
                      <w:rPr>
                        <w:rFonts w:hint="eastAsia"/>
                      </w:rPr>
                      <w:t>溢折价摊销</w:t>
                    </w:r>
                  </w:p>
                </w:tc>
              </w:sdtContent>
            </w:sdt>
            <w:sdt>
              <w:sdtPr>
                <w:tag w:val="_PLD_7e3967d502ee43a8a740aec0c4372b76"/>
                <w:id w:val="-1594776829"/>
                <w:lock w:val="sdtLocked"/>
              </w:sdtPr>
              <w:sdtEndPr/>
              <w:sdtContent>
                <w:tc>
                  <w:tcPr>
                    <w:tcW w:w="430" w:type="pct"/>
                    <w:shd w:val="clear" w:color="auto" w:fill="auto"/>
                    <w:vAlign w:val="center"/>
                  </w:tcPr>
                  <w:p w14:paraId="451EA13F" w14:textId="77777777" w:rsidR="007E7472" w:rsidRDefault="00EC1269">
                    <w:pPr>
                      <w:jc w:val="center"/>
                    </w:pPr>
                    <w:r>
                      <w:rPr>
                        <w:rFonts w:hint="eastAsia"/>
                      </w:rPr>
                      <w:t>本期</w:t>
                    </w:r>
                  </w:p>
                  <w:p w14:paraId="431CCE3F" w14:textId="77777777" w:rsidR="007E7472" w:rsidRDefault="00EC1269">
                    <w:pPr>
                      <w:jc w:val="center"/>
                    </w:pPr>
                    <w:r>
                      <w:rPr>
                        <w:rFonts w:hint="eastAsia"/>
                      </w:rPr>
                      <w:t>偿还</w:t>
                    </w:r>
                  </w:p>
                </w:tc>
              </w:sdtContent>
            </w:sdt>
            <w:sdt>
              <w:sdtPr>
                <w:tag w:val="_PLD_bbd9c2a0e44642eda11733198d3795d9"/>
                <w:id w:val="-73587041"/>
                <w:lock w:val="sdtLocked"/>
              </w:sdtPr>
              <w:sdtEndPr/>
              <w:sdtContent>
                <w:tc>
                  <w:tcPr>
                    <w:tcW w:w="570" w:type="pct"/>
                    <w:shd w:val="clear" w:color="auto" w:fill="auto"/>
                    <w:vAlign w:val="center"/>
                  </w:tcPr>
                  <w:p w14:paraId="432127FE" w14:textId="77777777" w:rsidR="007E7472" w:rsidRDefault="00EC1269">
                    <w:pPr>
                      <w:jc w:val="center"/>
                    </w:pPr>
                    <w:r>
                      <w:rPr>
                        <w:rFonts w:hint="eastAsia"/>
                      </w:rPr>
                      <w:t>期末</w:t>
                    </w:r>
                  </w:p>
                  <w:p w14:paraId="6A0824B2" w14:textId="77777777" w:rsidR="007E7472" w:rsidRDefault="00EC1269">
                    <w:pPr>
                      <w:jc w:val="center"/>
                    </w:pPr>
                    <w:r>
                      <w:rPr>
                        <w:rFonts w:hint="eastAsia"/>
                      </w:rPr>
                      <w:t>余额</w:t>
                    </w:r>
                  </w:p>
                </w:tc>
              </w:sdtContent>
            </w:sdt>
          </w:tr>
          <w:sdt>
            <w:sdtPr>
              <w:alias w:val="短期应付债券的增减变动明细"/>
              <w:tag w:val="_GBC_550226a5f8464e86bf34017674f48f7f"/>
              <w:id w:val="-121693848"/>
              <w:lock w:val="sdtLocked"/>
            </w:sdtPr>
            <w:sdtEndPr/>
            <w:sdtContent>
              <w:tr w:rsidR="007E7472" w14:paraId="27208397" w14:textId="77777777">
                <w:trPr>
                  <w:cantSplit/>
                  <w:trHeight w:val="319"/>
                </w:trPr>
                <w:tc>
                  <w:tcPr>
                    <w:tcW w:w="478" w:type="pct"/>
                    <w:vAlign w:val="center"/>
                  </w:tcPr>
                  <w:p w14:paraId="789C92E6" w14:textId="4672A7CA" w:rsidR="007E7472" w:rsidRDefault="00EC1269">
                    <w:pPr>
                      <w:jc w:val="center"/>
                    </w:pPr>
                    <w:r>
                      <w:t>23</w:t>
                    </w:r>
                    <w:r>
                      <w:rPr>
                        <w:rFonts w:hint="eastAsia"/>
                      </w:rPr>
                      <w:t>兖矿能源</w:t>
                    </w:r>
                    <w:r>
                      <w:t>SCP001</w:t>
                    </w:r>
                  </w:p>
                </w:tc>
                <w:tc>
                  <w:tcPr>
                    <w:tcW w:w="296" w:type="pct"/>
                    <w:vAlign w:val="center"/>
                  </w:tcPr>
                  <w:p w14:paraId="29BC7758" w14:textId="77777777" w:rsidR="007E7472" w:rsidRDefault="00EC1269">
                    <w:pPr>
                      <w:jc w:val="center"/>
                    </w:pPr>
                    <w:r>
                      <w:t>0.10</w:t>
                    </w:r>
                  </w:p>
                </w:tc>
                <w:tc>
                  <w:tcPr>
                    <w:tcW w:w="428" w:type="pct"/>
                    <w:vAlign w:val="center"/>
                  </w:tcPr>
                  <w:p w14:paraId="3E3B3320" w14:textId="77777777" w:rsidR="007E7472" w:rsidRDefault="00EC1269">
                    <w:pPr>
                      <w:jc w:val="center"/>
                    </w:pPr>
                    <w:r>
                      <w:t>2023-6-19</w:t>
                    </w:r>
                  </w:p>
                </w:tc>
                <w:tc>
                  <w:tcPr>
                    <w:tcW w:w="348" w:type="pct"/>
                    <w:vAlign w:val="center"/>
                  </w:tcPr>
                  <w:p w14:paraId="00252965" w14:textId="77777777" w:rsidR="007E7472" w:rsidRDefault="00EC1269">
                    <w:pPr>
                      <w:jc w:val="center"/>
                    </w:pPr>
                    <w:r>
                      <w:t>270</w:t>
                    </w:r>
                  </w:p>
                </w:tc>
                <w:tc>
                  <w:tcPr>
                    <w:tcW w:w="616" w:type="pct"/>
                    <w:vAlign w:val="center"/>
                  </w:tcPr>
                  <w:p w14:paraId="2CB1C835" w14:textId="77777777" w:rsidR="007E7472" w:rsidRDefault="00EC1269">
                    <w:pPr>
                      <w:jc w:val="center"/>
                    </w:pPr>
                    <w:r>
                      <w:t>3,000,000</w:t>
                    </w:r>
                  </w:p>
                </w:tc>
                <w:tc>
                  <w:tcPr>
                    <w:tcW w:w="341" w:type="pct"/>
                    <w:vAlign w:val="center"/>
                  </w:tcPr>
                  <w:p w14:paraId="3B5A5BCB" w14:textId="77777777" w:rsidR="007E7472" w:rsidRDefault="00C8327E">
                    <w:pPr>
                      <w:jc w:val="center"/>
                    </w:pPr>
                  </w:p>
                </w:tc>
                <w:tc>
                  <w:tcPr>
                    <w:tcW w:w="623" w:type="pct"/>
                    <w:vAlign w:val="center"/>
                  </w:tcPr>
                  <w:p w14:paraId="14804800" w14:textId="77777777" w:rsidR="007E7472" w:rsidRDefault="00EC1269">
                    <w:pPr>
                      <w:jc w:val="center"/>
                    </w:pPr>
                    <w:r>
                      <w:t>3,000,000</w:t>
                    </w:r>
                  </w:p>
                </w:tc>
                <w:tc>
                  <w:tcPr>
                    <w:tcW w:w="405" w:type="pct"/>
                    <w:vAlign w:val="center"/>
                  </w:tcPr>
                  <w:p w14:paraId="1856E5E5" w14:textId="77777777" w:rsidR="007E7472" w:rsidRDefault="00EC1269">
                    <w:pPr>
                      <w:jc w:val="center"/>
                    </w:pPr>
                    <w:r>
                      <w:t>2,427</w:t>
                    </w:r>
                  </w:p>
                </w:tc>
                <w:tc>
                  <w:tcPr>
                    <w:tcW w:w="464" w:type="pct"/>
                    <w:vAlign w:val="center"/>
                  </w:tcPr>
                  <w:p w14:paraId="58BE3704" w14:textId="77777777" w:rsidR="007E7472" w:rsidRDefault="00EC1269">
                    <w:pPr>
                      <w:jc w:val="center"/>
                    </w:pPr>
                    <w:r>
                      <w:t>-125</w:t>
                    </w:r>
                  </w:p>
                </w:tc>
                <w:tc>
                  <w:tcPr>
                    <w:tcW w:w="430" w:type="pct"/>
                    <w:vAlign w:val="center"/>
                  </w:tcPr>
                  <w:p w14:paraId="14517078" w14:textId="77777777" w:rsidR="007E7472" w:rsidRDefault="00C8327E">
                    <w:pPr>
                      <w:jc w:val="center"/>
                    </w:pPr>
                  </w:p>
                </w:tc>
                <w:tc>
                  <w:tcPr>
                    <w:tcW w:w="570" w:type="pct"/>
                    <w:vAlign w:val="center"/>
                  </w:tcPr>
                  <w:p w14:paraId="1354612C" w14:textId="77777777" w:rsidR="007E7472" w:rsidRDefault="00EC1269">
                    <w:pPr>
                      <w:jc w:val="center"/>
                    </w:pPr>
                    <w:r>
                      <w:t>2,999,875</w:t>
                    </w:r>
                  </w:p>
                </w:tc>
              </w:tr>
            </w:sdtContent>
          </w:sdt>
          <w:tr w:rsidR="007E7472" w14:paraId="2F67CAE8" w14:textId="77777777">
            <w:trPr>
              <w:cantSplit/>
              <w:trHeight w:val="319"/>
            </w:trPr>
            <w:sdt>
              <w:sdtPr>
                <w:tag w:val="_PLD_15782e589e5649d192db034a7f0f7a7f"/>
                <w:id w:val="6422614"/>
                <w:lock w:val="sdtLocked"/>
              </w:sdtPr>
              <w:sdtEndPr/>
              <w:sdtContent>
                <w:tc>
                  <w:tcPr>
                    <w:tcW w:w="478" w:type="pct"/>
                    <w:vAlign w:val="center"/>
                  </w:tcPr>
                  <w:p w14:paraId="256510F2" w14:textId="77777777" w:rsidR="007E7472" w:rsidRDefault="00EC1269">
                    <w:pPr>
                      <w:jc w:val="center"/>
                    </w:pPr>
                    <w:r>
                      <w:rPr>
                        <w:rFonts w:hint="eastAsia"/>
                      </w:rPr>
                      <w:t>合计</w:t>
                    </w:r>
                  </w:p>
                </w:tc>
              </w:sdtContent>
            </w:sdt>
            <w:tc>
              <w:tcPr>
                <w:tcW w:w="296" w:type="pct"/>
              </w:tcPr>
              <w:p w14:paraId="3147ECA1" w14:textId="77777777" w:rsidR="007E7472" w:rsidRDefault="00EC1269">
                <w:pPr>
                  <w:jc w:val="center"/>
                </w:pPr>
                <w:r>
                  <w:rPr>
                    <w:rFonts w:hint="eastAsia"/>
                  </w:rPr>
                  <w:t>/</w:t>
                </w:r>
              </w:p>
            </w:tc>
            <w:tc>
              <w:tcPr>
                <w:tcW w:w="428" w:type="pct"/>
              </w:tcPr>
              <w:p w14:paraId="2F4DB8BA" w14:textId="77777777" w:rsidR="007E7472" w:rsidRDefault="00EC1269">
                <w:pPr>
                  <w:jc w:val="center"/>
                </w:pPr>
                <w:r>
                  <w:rPr>
                    <w:rFonts w:hint="eastAsia"/>
                  </w:rPr>
                  <w:t>/</w:t>
                </w:r>
              </w:p>
            </w:tc>
            <w:tc>
              <w:tcPr>
                <w:tcW w:w="348" w:type="pct"/>
              </w:tcPr>
              <w:p w14:paraId="53B4820C" w14:textId="77777777" w:rsidR="007E7472" w:rsidRDefault="00EC1269">
                <w:pPr>
                  <w:jc w:val="center"/>
                </w:pPr>
                <w:r>
                  <w:rPr>
                    <w:rFonts w:hint="eastAsia"/>
                  </w:rPr>
                  <w:t>/</w:t>
                </w:r>
              </w:p>
            </w:tc>
            <w:tc>
              <w:tcPr>
                <w:tcW w:w="616" w:type="pct"/>
              </w:tcPr>
              <w:p w14:paraId="4EEDF554" w14:textId="77777777" w:rsidR="007E7472" w:rsidRDefault="00EC1269">
                <w:pPr>
                  <w:jc w:val="center"/>
                </w:pPr>
                <w:r>
                  <w:t>3,000,000</w:t>
                </w:r>
              </w:p>
            </w:tc>
            <w:tc>
              <w:tcPr>
                <w:tcW w:w="341" w:type="pct"/>
              </w:tcPr>
              <w:p w14:paraId="19E971BB" w14:textId="77777777" w:rsidR="007E7472" w:rsidRDefault="00C8327E">
                <w:pPr>
                  <w:jc w:val="center"/>
                </w:pPr>
              </w:p>
            </w:tc>
            <w:tc>
              <w:tcPr>
                <w:tcW w:w="623" w:type="pct"/>
              </w:tcPr>
              <w:p w14:paraId="2BBCE116" w14:textId="77777777" w:rsidR="007E7472" w:rsidRDefault="00EC1269">
                <w:pPr>
                  <w:jc w:val="center"/>
                </w:pPr>
                <w:r>
                  <w:t>3,000,000</w:t>
                </w:r>
              </w:p>
            </w:tc>
            <w:tc>
              <w:tcPr>
                <w:tcW w:w="405" w:type="pct"/>
              </w:tcPr>
              <w:p w14:paraId="0813CDC8" w14:textId="77777777" w:rsidR="007E7472" w:rsidRDefault="00EC1269">
                <w:pPr>
                  <w:jc w:val="center"/>
                </w:pPr>
                <w:r>
                  <w:t>2,427</w:t>
                </w:r>
              </w:p>
            </w:tc>
            <w:tc>
              <w:tcPr>
                <w:tcW w:w="464" w:type="pct"/>
              </w:tcPr>
              <w:p w14:paraId="7ACA1B63" w14:textId="77777777" w:rsidR="007E7472" w:rsidRDefault="00EC1269">
                <w:pPr>
                  <w:jc w:val="center"/>
                </w:pPr>
                <w:r>
                  <w:t>-125</w:t>
                </w:r>
              </w:p>
            </w:tc>
            <w:tc>
              <w:tcPr>
                <w:tcW w:w="430" w:type="pct"/>
              </w:tcPr>
              <w:p w14:paraId="3689ABD6" w14:textId="77777777" w:rsidR="007E7472" w:rsidRDefault="00C8327E">
                <w:pPr>
                  <w:jc w:val="center"/>
                </w:pPr>
              </w:p>
            </w:tc>
            <w:tc>
              <w:tcPr>
                <w:tcW w:w="570" w:type="pct"/>
              </w:tcPr>
              <w:p w14:paraId="5A9208C8" w14:textId="77777777" w:rsidR="007E7472" w:rsidRDefault="00EC1269">
                <w:pPr>
                  <w:jc w:val="center"/>
                </w:pPr>
                <w:r>
                  <w:t>2,999,875</w:t>
                </w:r>
              </w:p>
            </w:tc>
          </w:tr>
        </w:tbl>
        <w:p w14:paraId="3BDFEF7D" w14:textId="77777777" w:rsidR="007E7472" w:rsidRDefault="00C8327E"/>
      </w:sdtContent>
    </w:sdt>
    <w:sdt>
      <w:sdtPr>
        <w:rPr>
          <w:rFonts w:hint="eastAsia"/>
        </w:rPr>
        <w:alias w:val="模块:其他流动负债说明"/>
        <w:tag w:val="_GBC_b1cb6faf7bad41e4868a075c1a423566"/>
        <w:id w:val="1700818591"/>
        <w:lock w:val="sdtLocked"/>
        <w:placeholder>
          <w:docPart w:val="GBC22222222222222222222222222222"/>
        </w:placeholder>
      </w:sdtPr>
      <w:sdtEndPr>
        <w:rPr>
          <w:rFonts w:hint="default"/>
          <w:color w:val="000000" w:themeColor="text1"/>
        </w:rPr>
      </w:sdtEndPr>
      <w:sdtContent>
        <w:p w14:paraId="18F353A6" w14:textId="77777777" w:rsidR="007E7472" w:rsidRDefault="00EC1269">
          <w:pPr>
            <w:spacing w:before="60" w:after="60"/>
          </w:pPr>
          <w:r>
            <w:rPr>
              <w:rFonts w:hint="eastAsia"/>
            </w:rPr>
            <w:t>其他说明：</w:t>
          </w:r>
        </w:p>
        <w:sdt>
          <w:sdtPr>
            <w:alias w:val="是否适用：其他流动负债说明[双击切换]"/>
            <w:tag w:val="_GBC_6ebc9e220fb04ea584ed56f756d92d59"/>
            <w:id w:val="-1963414958"/>
            <w:lock w:val="sdtLocked"/>
            <w:placeholder>
              <w:docPart w:val="GBC22222222222222222222222222222"/>
            </w:placeholder>
          </w:sdtPr>
          <w:sdtEndPr/>
          <w:sdtContent>
            <w:p w14:paraId="49DCB47C" w14:textId="77777777" w:rsidR="007E7472" w:rsidRDefault="00EC1269">
              <w:pPr>
                <w:spacing w:before="60" w:after="60"/>
              </w:pPr>
              <w:r>
                <w:rPr>
                  <w:rFonts w:asciiTheme="minorEastAsia" w:eastAsiaTheme="minorEastAsia" w:hAnsiTheme="minorEastAsia" w:cs="Times New Roman"/>
                </w:rPr>
                <w:fldChar w:fldCharType="begin"/>
              </w:r>
              <w:r>
                <w:rPr>
                  <w:rFonts w:asciiTheme="minorEastAsia" w:eastAsiaTheme="minorEastAsia" w:hAnsiTheme="minorEastAsia" w:cs="Times New Roman"/>
                </w:rPr>
                <w:instrText xml:space="preserve"> MACROBUTTON  SnrToggleCheckbox □适用 </w:instrText>
              </w:r>
              <w:r>
                <w:rPr>
                  <w:rFonts w:asciiTheme="minorEastAsia" w:eastAsiaTheme="minorEastAsia" w:hAnsiTheme="minorEastAsia" w:cs="Times New Roman"/>
                </w:rPr>
                <w:fldChar w:fldCharType="end"/>
              </w:r>
              <w:r>
                <w:rPr>
                  <w:rFonts w:asciiTheme="minorEastAsia" w:eastAsiaTheme="minorEastAsia" w:hAnsiTheme="minorEastAsia" w:cs="Times New Roman"/>
                </w:rPr>
                <w:fldChar w:fldCharType="begin"/>
              </w:r>
              <w:r>
                <w:rPr>
                  <w:rFonts w:asciiTheme="minorEastAsia" w:eastAsiaTheme="minorEastAsia" w:hAnsiTheme="minorEastAsia" w:cs="Times New Roman"/>
                </w:rPr>
                <w:instrText xml:space="preserve"> MACROBUTTON  SnrToggleCheckbox √不适用 </w:instrText>
              </w:r>
              <w:r>
                <w:rPr>
                  <w:rFonts w:asciiTheme="minorEastAsia" w:eastAsiaTheme="minorEastAsia" w:hAnsiTheme="minorEastAsia" w:cs="Times New Roman"/>
                </w:rPr>
                <w:fldChar w:fldCharType="end"/>
              </w:r>
            </w:p>
          </w:sdtContent>
        </w:sdt>
      </w:sdtContent>
    </w:sdt>
    <w:p w14:paraId="3304E731" w14:textId="77777777" w:rsidR="007E7472" w:rsidRDefault="00C8327E"/>
    <w:p w14:paraId="5E261D16" w14:textId="77777777" w:rsidR="007E7472" w:rsidRDefault="00EC1269" w:rsidP="00162493">
      <w:pPr>
        <w:pStyle w:val="3"/>
        <w:numPr>
          <w:ilvl w:val="0"/>
          <w:numId w:val="62"/>
        </w:numPr>
      </w:pPr>
      <w:r>
        <w:rPr>
          <w:rFonts w:hint="eastAsia"/>
        </w:rPr>
        <w:t>长期借款</w:t>
      </w:r>
    </w:p>
    <w:sdt>
      <w:sdtPr>
        <w:rPr>
          <w:rFonts w:ascii="宋体" w:hAnsi="宋体" w:cs="宋体" w:hint="eastAsia"/>
          <w:b w:val="0"/>
          <w:bCs w:val="0"/>
          <w:kern w:val="0"/>
          <w:szCs w:val="22"/>
        </w:rPr>
        <w:alias w:val="模块:长期借款分类 "/>
        <w:tag w:val="_GBC_8b6acb9acc4745f09cf8ff1a98787eb9"/>
        <w:id w:val="1582797724"/>
        <w:lock w:val="sdtLocked"/>
        <w:placeholder>
          <w:docPart w:val="GBC22222222222222222222222222222"/>
        </w:placeholder>
      </w:sdtPr>
      <w:sdtEndPr>
        <w:rPr>
          <w:rFonts w:cstheme="minorBidi" w:hint="default"/>
          <w:color w:val="000000" w:themeColor="text1"/>
          <w:szCs w:val="21"/>
        </w:rPr>
      </w:sdtEndPr>
      <w:sdtContent>
        <w:p w14:paraId="7736D079" w14:textId="77777777" w:rsidR="007E7472" w:rsidRDefault="00EC1269" w:rsidP="00162493">
          <w:pPr>
            <w:pStyle w:val="4"/>
            <w:numPr>
              <w:ilvl w:val="0"/>
              <w:numId w:val="87"/>
            </w:numPr>
          </w:pPr>
          <w:r>
            <w:rPr>
              <w:rFonts w:hint="eastAsia"/>
            </w:rPr>
            <w:t>长期借款分类</w:t>
          </w:r>
        </w:p>
        <w:sdt>
          <w:sdtPr>
            <w:alias w:val="是否适用：长期借款分类[双击切换]"/>
            <w:tag w:val="_GBC_6ef43a5268e7491db189883a31952469"/>
            <w:id w:val="406738933"/>
            <w:lock w:val="sdtLocked"/>
            <w:placeholder>
              <w:docPart w:val="GBC22222222222222222222222222222"/>
            </w:placeholder>
          </w:sdtPr>
          <w:sdtEndPr/>
          <w:sdtContent>
            <w:p w14:paraId="0CE898FD"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hint="eastAsia"/>
                </w:rPr>
                <w:fldChar w:fldCharType="begin"/>
              </w:r>
              <w:r>
                <w:rPr>
                  <w:rFonts w:asciiTheme="minorEastAsia" w:eastAsiaTheme="minorEastAsia" w:hAnsiTheme="minorEastAsia" w:hint="eastAsia"/>
                </w:rPr>
                <w:instrText xml:space="preserve"> MACROBUTTON  SnrToggleCheckbox □不适用 </w:instrText>
              </w:r>
              <w:r>
                <w:rPr>
                  <w:rFonts w:asciiTheme="minorEastAsia" w:eastAsiaTheme="minorEastAsia" w:hAnsiTheme="minorEastAsia" w:hint="eastAsia"/>
                </w:rPr>
                <w:fldChar w:fldCharType="end"/>
              </w:r>
            </w:p>
          </w:sdtContent>
        </w:sdt>
        <w:p w14:paraId="5241CC18" w14:textId="6A61AE31" w:rsidR="007E7472" w:rsidRDefault="00EC1269">
          <w:pPr>
            <w:jc w:val="right"/>
          </w:pPr>
          <w:r>
            <w:rPr>
              <w:rFonts w:hint="eastAsia"/>
            </w:rPr>
            <w:t>单位：</w:t>
          </w:r>
          <w:sdt>
            <w:sdtPr>
              <w:rPr>
                <w:rFonts w:hint="eastAsia"/>
              </w:rPr>
              <w:alias w:val="单位：财务附注：长期借款分类"/>
              <w:tag w:val="_GBC_146f044f7fd14a45bf9247f0af389a14"/>
              <w:id w:val="-17673816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长期借款分类"/>
              <w:tag w:val="_GBC_7570ad6f1fd04c3d939be649ce4cfc30"/>
              <w:id w:val="-4689831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975"/>
            <w:gridCol w:w="2975"/>
            <w:gridCol w:w="2873"/>
          </w:tblGrid>
          <w:tr w:rsidR="007E7472" w14:paraId="34E607C4" w14:textId="77777777">
            <w:trPr>
              <w:cantSplit/>
            </w:trPr>
            <w:sdt>
              <w:sdtPr>
                <w:tag w:val="_PLD_3ee60507a6384334b819485e73faa1f4"/>
                <w:id w:val="200668352"/>
                <w:lock w:val="sdtLocked"/>
              </w:sdtPr>
              <w:sdtEndPr/>
              <w:sdtContent>
                <w:tc>
                  <w:tcPr>
                    <w:tcW w:w="1686" w:type="pct"/>
                  </w:tcPr>
                  <w:p w14:paraId="413F98AC" w14:textId="77777777" w:rsidR="007E7472" w:rsidRDefault="00EC1269">
                    <w:pPr>
                      <w:autoSpaceDE w:val="0"/>
                      <w:autoSpaceDN w:val="0"/>
                      <w:adjustRightInd w:val="0"/>
                      <w:snapToGrid w:val="0"/>
                      <w:jc w:val="center"/>
                    </w:pPr>
                    <w:r>
                      <w:rPr>
                        <w:rFonts w:hint="eastAsia"/>
                      </w:rPr>
                      <w:t>项目</w:t>
                    </w:r>
                  </w:p>
                </w:tc>
              </w:sdtContent>
            </w:sdt>
            <w:sdt>
              <w:sdtPr>
                <w:tag w:val="_PLD_d2a4fabfb296457384b1523a60233642"/>
                <w:id w:val="-363674388"/>
                <w:lock w:val="sdtLocked"/>
              </w:sdtPr>
              <w:sdtEndPr/>
              <w:sdtContent>
                <w:tc>
                  <w:tcPr>
                    <w:tcW w:w="1686" w:type="pct"/>
                  </w:tcPr>
                  <w:p w14:paraId="3FD0E42A" w14:textId="77777777" w:rsidR="007E7472" w:rsidRDefault="00EC1269">
                    <w:pPr>
                      <w:jc w:val="center"/>
                    </w:pPr>
                    <w:r>
                      <w:rPr>
                        <w:rFonts w:hint="eastAsia"/>
                      </w:rPr>
                      <w:t>期末余额</w:t>
                    </w:r>
                  </w:p>
                </w:tc>
              </w:sdtContent>
            </w:sdt>
            <w:sdt>
              <w:sdtPr>
                <w:tag w:val="_PLD_aab598d4b37f4953a2ee9b7475cb43e6"/>
                <w:id w:val="77876594"/>
                <w:lock w:val="sdtLocked"/>
              </w:sdtPr>
              <w:sdtEndPr/>
              <w:sdtContent>
                <w:tc>
                  <w:tcPr>
                    <w:tcW w:w="1628" w:type="pct"/>
                  </w:tcPr>
                  <w:p w14:paraId="4BCDE564" w14:textId="77777777" w:rsidR="007E7472" w:rsidRDefault="00EC1269">
                    <w:pPr>
                      <w:jc w:val="center"/>
                    </w:pPr>
                    <w:r>
                      <w:rPr>
                        <w:rFonts w:hint="eastAsia"/>
                      </w:rPr>
                      <w:t>期初余额</w:t>
                    </w:r>
                  </w:p>
                </w:tc>
              </w:sdtContent>
            </w:sdt>
          </w:tr>
          <w:tr w:rsidR="007E7472" w14:paraId="14EC10A1" w14:textId="77777777">
            <w:trPr>
              <w:cantSplit/>
            </w:trPr>
            <w:tc>
              <w:tcPr>
                <w:tcW w:w="1686" w:type="pct"/>
                <w:shd w:val="clear" w:color="auto" w:fill="auto"/>
              </w:tcPr>
              <w:p w14:paraId="77C4CD41" w14:textId="77777777" w:rsidR="007E7472" w:rsidRDefault="00EC1269">
                <w:pPr>
                  <w:autoSpaceDE w:val="0"/>
                  <w:autoSpaceDN w:val="0"/>
                  <w:adjustRightInd w:val="0"/>
                  <w:snapToGrid w:val="0"/>
                  <w:jc w:val="both"/>
                </w:pPr>
                <w:r>
                  <w:rPr>
                    <w:rFonts w:hint="eastAsia"/>
                  </w:rPr>
                  <w:t>信用借款</w:t>
                </w:r>
              </w:p>
            </w:tc>
            <w:tc>
              <w:tcPr>
                <w:tcW w:w="1686" w:type="pct"/>
                <w:shd w:val="clear" w:color="auto" w:fill="auto"/>
                <w:vAlign w:val="center"/>
              </w:tcPr>
              <w:p w14:paraId="54033BC3" w14:textId="77777777" w:rsidR="007E7472" w:rsidRDefault="00EC1269">
                <w:pPr>
                  <w:jc w:val="right"/>
                  <w:rPr>
                    <w:bCs/>
                    <w:sz w:val="24"/>
                    <w:szCs w:val="24"/>
                  </w:rPr>
                </w:pPr>
                <w:r>
                  <w:t>28,292,179</w:t>
                </w:r>
              </w:p>
            </w:tc>
            <w:tc>
              <w:tcPr>
                <w:tcW w:w="1628" w:type="pct"/>
                <w:shd w:val="clear" w:color="auto" w:fill="auto"/>
                <w:vAlign w:val="center"/>
              </w:tcPr>
              <w:p w14:paraId="1B187924" w14:textId="77777777" w:rsidR="007E7472" w:rsidRDefault="00EC1269">
                <w:pPr>
                  <w:jc w:val="right"/>
                </w:pPr>
                <w:r>
                  <w:t>21,413,300</w:t>
                </w:r>
              </w:p>
            </w:tc>
          </w:tr>
          <w:tr w:rsidR="007E7472" w14:paraId="0701FFC3" w14:textId="77777777">
            <w:trPr>
              <w:cantSplit/>
            </w:trPr>
            <w:tc>
              <w:tcPr>
                <w:tcW w:w="1686" w:type="pct"/>
                <w:shd w:val="clear" w:color="auto" w:fill="auto"/>
              </w:tcPr>
              <w:p w14:paraId="3F46ACF5" w14:textId="77777777" w:rsidR="007E7472" w:rsidRDefault="00EC1269">
                <w:pPr>
                  <w:autoSpaceDE w:val="0"/>
                  <w:autoSpaceDN w:val="0"/>
                  <w:adjustRightInd w:val="0"/>
                  <w:snapToGrid w:val="0"/>
                  <w:jc w:val="both"/>
                </w:pPr>
                <w:r>
                  <w:rPr>
                    <w:rFonts w:hint="eastAsia"/>
                  </w:rPr>
                  <w:t>质押借款（注2）</w:t>
                </w:r>
              </w:p>
            </w:tc>
            <w:tc>
              <w:tcPr>
                <w:tcW w:w="1686" w:type="pct"/>
                <w:shd w:val="clear" w:color="auto" w:fill="auto"/>
                <w:vAlign w:val="center"/>
              </w:tcPr>
              <w:p w14:paraId="1565FCE3" w14:textId="77777777" w:rsidR="007E7472" w:rsidRDefault="00EC1269">
                <w:pPr>
                  <w:jc w:val="right"/>
                </w:pPr>
                <w:r>
                  <w:t>9,593,984</w:t>
                </w:r>
              </w:p>
            </w:tc>
            <w:tc>
              <w:tcPr>
                <w:tcW w:w="1628" w:type="pct"/>
                <w:shd w:val="clear" w:color="auto" w:fill="auto"/>
                <w:vAlign w:val="center"/>
              </w:tcPr>
              <w:p w14:paraId="04A347B1" w14:textId="77777777" w:rsidR="007E7472" w:rsidRDefault="00EC1269">
                <w:pPr>
                  <w:jc w:val="right"/>
                </w:pPr>
                <w:r>
                  <w:t>8,557,834</w:t>
                </w:r>
              </w:p>
            </w:tc>
          </w:tr>
          <w:tr w:rsidR="007E7472" w14:paraId="1133A842" w14:textId="77777777">
            <w:trPr>
              <w:cantSplit/>
            </w:trPr>
            <w:tc>
              <w:tcPr>
                <w:tcW w:w="1686" w:type="pct"/>
                <w:shd w:val="clear" w:color="auto" w:fill="auto"/>
              </w:tcPr>
              <w:p w14:paraId="72BD80A0" w14:textId="77777777" w:rsidR="007E7472" w:rsidRDefault="00EC1269">
                <w:pPr>
                  <w:autoSpaceDE w:val="0"/>
                  <w:autoSpaceDN w:val="0"/>
                  <w:adjustRightInd w:val="0"/>
                  <w:snapToGrid w:val="0"/>
                  <w:jc w:val="both"/>
                </w:pPr>
                <w:r>
                  <w:rPr>
                    <w:rFonts w:hint="eastAsia"/>
                  </w:rPr>
                  <w:t>保证借款（注3）</w:t>
                </w:r>
              </w:p>
            </w:tc>
            <w:tc>
              <w:tcPr>
                <w:tcW w:w="1686" w:type="pct"/>
                <w:shd w:val="clear" w:color="auto" w:fill="auto"/>
                <w:vAlign w:val="center"/>
              </w:tcPr>
              <w:p w14:paraId="6AFC8171" w14:textId="77777777" w:rsidR="007E7472" w:rsidRDefault="00EC1269">
                <w:pPr>
                  <w:jc w:val="right"/>
                </w:pPr>
                <w:r>
                  <w:t>5,049,829</w:t>
                </w:r>
              </w:p>
            </w:tc>
            <w:tc>
              <w:tcPr>
                <w:tcW w:w="1628" w:type="pct"/>
                <w:shd w:val="clear" w:color="auto" w:fill="auto"/>
                <w:vAlign w:val="center"/>
              </w:tcPr>
              <w:p w14:paraId="73FECE0C" w14:textId="77777777" w:rsidR="007E7472" w:rsidRDefault="00EC1269">
                <w:pPr>
                  <w:jc w:val="right"/>
                </w:pPr>
                <w:r>
                  <w:t>5,800,660</w:t>
                </w:r>
              </w:p>
            </w:tc>
          </w:tr>
          <w:tr w:rsidR="007E7472" w14:paraId="06F03683" w14:textId="77777777">
            <w:trPr>
              <w:cantSplit/>
            </w:trPr>
            <w:tc>
              <w:tcPr>
                <w:tcW w:w="1686" w:type="pct"/>
                <w:shd w:val="clear" w:color="auto" w:fill="auto"/>
              </w:tcPr>
              <w:p w14:paraId="05CAB63C" w14:textId="77777777" w:rsidR="007E7472" w:rsidRDefault="00EC1269">
                <w:pPr>
                  <w:autoSpaceDE w:val="0"/>
                  <w:autoSpaceDN w:val="0"/>
                  <w:adjustRightInd w:val="0"/>
                  <w:snapToGrid w:val="0"/>
                  <w:jc w:val="both"/>
                </w:pPr>
                <w:r>
                  <w:rPr>
                    <w:rFonts w:hint="eastAsia"/>
                  </w:rPr>
                  <w:t>抵押借款（注4）</w:t>
                </w:r>
              </w:p>
            </w:tc>
            <w:tc>
              <w:tcPr>
                <w:tcW w:w="1686" w:type="pct"/>
                <w:shd w:val="clear" w:color="auto" w:fill="auto"/>
                <w:vAlign w:val="center"/>
              </w:tcPr>
              <w:p w14:paraId="4CBDCF7F" w14:textId="77777777" w:rsidR="007E7472" w:rsidRDefault="00EC1269">
                <w:pPr>
                  <w:jc w:val="right"/>
                </w:pPr>
                <w:r>
                  <w:t>155,938</w:t>
                </w:r>
              </w:p>
            </w:tc>
            <w:tc>
              <w:tcPr>
                <w:tcW w:w="1628" w:type="pct"/>
                <w:shd w:val="clear" w:color="auto" w:fill="auto"/>
                <w:vAlign w:val="center"/>
              </w:tcPr>
              <w:p w14:paraId="28CE21B7" w14:textId="77777777" w:rsidR="007E7472" w:rsidRDefault="00EC1269">
                <w:pPr>
                  <w:jc w:val="right"/>
                </w:pPr>
                <w:r>
                  <w:t>2,452,300</w:t>
                </w:r>
              </w:p>
            </w:tc>
          </w:tr>
          <w:tr w:rsidR="007E7472" w14:paraId="4B61668B" w14:textId="77777777">
            <w:trPr>
              <w:cantSplit/>
            </w:trPr>
            <w:tc>
              <w:tcPr>
                <w:tcW w:w="1686" w:type="pct"/>
                <w:vAlign w:val="center"/>
              </w:tcPr>
              <w:p w14:paraId="4867E893" w14:textId="77777777" w:rsidR="007E7472" w:rsidRDefault="00EC1269">
                <w:pPr>
                  <w:autoSpaceDE w:val="0"/>
                  <w:autoSpaceDN w:val="0"/>
                  <w:adjustRightInd w:val="0"/>
                  <w:snapToGrid w:val="0"/>
                  <w:jc w:val="center"/>
                </w:pPr>
                <w:r>
                  <w:rPr>
                    <w:rFonts w:hint="eastAsia"/>
                  </w:rPr>
                  <w:t>合计</w:t>
                </w:r>
              </w:p>
            </w:tc>
            <w:tc>
              <w:tcPr>
                <w:tcW w:w="1686" w:type="pct"/>
                <w:vAlign w:val="center"/>
              </w:tcPr>
              <w:p w14:paraId="555236F4" w14:textId="77777777" w:rsidR="007E7472" w:rsidRDefault="00EC1269">
                <w:pPr>
                  <w:jc w:val="right"/>
                  <w:rPr>
                    <w:bCs/>
                    <w:sz w:val="24"/>
                    <w:szCs w:val="24"/>
                  </w:rPr>
                </w:pPr>
                <w:r>
                  <w:t>43,091,930</w:t>
                </w:r>
              </w:p>
            </w:tc>
            <w:tc>
              <w:tcPr>
                <w:tcW w:w="1628" w:type="pct"/>
                <w:vAlign w:val="center"/>
              </w:tcPr>
              <w:p w14:paraId="4E130987" w14:textId="77777777" w:rsidR="007E7472" w:rsidRDefault="00EC1269">
                <w:pPr>
                  <w:jc w:val="right"/>
                </w:pPr>
                <w:r>
                  <w:t>38,224,094</w:t>
                </w:r>
              </w:p>
            </w:tc>
          </w:tr>
        </w:tbl>
      </w:sdtContent>
    </w:sdt>
    <w:p w14:paraId="72A7CEEA" w14:textId="77777777" w:rsidR="007E7472" w:rsidRDefault="00C8327E">
      <w:pPr>
        <w:snapToGrid w:val="0"/>
        <w:rPr>
          <w:rFonts w:cstheme="minorBidi"/>
          <w:color w:val="000000" w:themeColor="text1"/>
          <w:kern w:val="2"/>
        </w:rPr>
      </w:pPr>
    </w:p>
    <w:sdt>
      <w:sdtPr>
        <w:rPr>
          <w:rFonts w:hint="eastAsia"/>
          <w:color w:val="000000" w:themeColor="text1"/>
        </w:rPr>
        <w:alias w:val="模块:长期借款的说明"/>
        <w:tag w:val="_GBC_7195bfed3c6d4a6fb2b17f01aa73f311"/>
        <w:id w:val="576095363"/>
        <w:lock w:val="sdtLocked"/>
        <w:placeholder>
          <w:docPart w:val="GBC22222222222222222222222222222"/>
        </w:placeholder>
      </w:sdtPr>
      <w:sdtEndPr>
        <w:rPr>
          <w:rFonts w:hint="default"/>
          <w:color w:val="auto"/>
        </w:rPr>
      </w:sdtEndPr>
      <w:sdtContent>
        <w:p w14:paraId="2AB9E0D8" w14:textId="77777777" w:rsidR="007E7472" w:rsidRDefault="00EC1269">
          <w:pPr>
            <w:snapToGrid w:val="0"/>
            <w:rPr>
              <w:color w:val="000000" w:themeColor="text1"/>
            </w:rPr>
          </w:pPr>
          <w:r>
            <w:rPr>
              <w:rFonts w:hint="eastAsia"/>
              <w:color w:val="000000" w:themeColor="text1"/>
            </w:rPr>
            <w:t>其他说明，包括利率区间：</w:t>
          </w:r>
        </w:p>
        <w:sdt>
          <w:sdtPr>
            <w:rPr>
              <w:color w:val="000000" w:themeColor="text1"/>
            </w:rPr>
            <w:alias w:val="是否适用：长期借款的说明[双击切换]"/>
            <w:tag w:val="_GBC_1dc67be6516c4de3956a80023674c75a"/>
            <w:id w:val="789715901"/>
            <w:lock w:val="sdtLocked"/>
            <w:placeholder>
              <w:docPart w:val="GBC22222222222222222222222222222"/>
            </w:placeholder>
          </w:sdtPr>
          <w:sdtEndPr/>
          <w:sdtContent>
            <w:p w14:paraId="37F37F6F" w14:textId="77777777" w:rsidR="007E7472" w:rsidRDefault="00EC1269">
              <w:pPr>
                <w:snapToGrid w:val="0"/>
                <w:rPr>
                  <w:color w:val="000000" w:themeColor="text1"/>
                </w:rPr>
              </w:pPr>
              <w:r>
                <w:rPr>
                  <w:rFonts w:asciiTheme="minorEastAsia" w:eastAsiaTheme="minorEastAsia" w:hAnsiTheme="minorEastAsia" w:cs="Times New Roman"/>
                </w:rPr>
                <w:fldChar w:fldCharType="begin"/>
              </w:r>
              <w:r>
                <w:rPr>
                  <w:rFonts w:asciiTheme="minorEastAsia" w:eastAsiaTheme="minorEastAsia" w:hAnsiTheme="minorEastAsia" w:cs="Times New Roman"/>
                </w:rPr>
                <w:instrText xml:space="preserve"> MACROBUTTON  SnrToggleCheckbox √适用 </w:instrText>
              </w:r>
              <w:r>
                <w:rPr>
                  <w:rFonts w:asciiTheme="minorEastAsia" w:eastAsiaTheme="minorEastAsia" w:hAnsiTheme="minorEastAsia" w:cs="Times New Roman"/>
                </w:rPr>
                <w:fldChar w:fldCharType="end"/>
              </w:r>
              <w:r>
                <w:rPr>
                  <w:rFonts w:asciiTheme="minorEastAsia" w:eastAsiaTheme="minorEastAsia" w:hAnsiTheme="minorEastAsia" w:cs="Times New Roman"/>
                </w:rPr>
                <w:fldChar w:fldCharType="begin"/>
              </w:r>
              <w:r>
                <w:rPr>
                  <w:rFonts w:asciiTheme="minorEastAsia" w:eastAsiaTheme="minorEastAsia" w:hAnsiTheme="minorEastAsia" w:cs="Times New Roman"/>
                </w:rPr>
                <w:instrText xml:space="preserve"> MACROBUTTON  SnrToggleCheckbox □不适用 </w:instrText>
              </w:r>
              <w:r>
                <w:rPr>
                  <w:rFonts w:asciiTheme="minorEastAsia" w:eastAsiaTheme="minorEastAsia" w:hAnsiTheme="minorEastAsia" w:cs="Times New Roman"/>
                </w:rPr>
                <w:fldChar w:fldCharType="end"/>
              </w:r>
            </w:p>
          </w:sdtContent>
        </w:sdt>
        <w:sdt>
          <w:sdtPr>
            <w:alias w:val="长期借款的说明"/>
            <w:tag w:val="_GBC_05c1a5b23bdb44ee812f7f625a395fd0"/>
            <w:id w:val="2097122744"/>
            <w:lock w:val="sdtLocked"/>
            <w:placeholder>
              <w:docPart w:val="GBC22222222222222222222222222222"/>
            </w:placeholder>
          </w:sdtPr>
          <w:sdtEndPr/>
          <w:sdtContent>
            <w:p w14:paraId="136C8B4F" w14:textId="77777777" w:rsidR="007E7472" w:rsidRDefault="00EC1269">
              <w:pPr>
                <w:snapToGrid w:val="0"/>
                <w:spacing w:beforeLines="50" w:before="156" w:afterLines="50" w:after="156" w:line="360" w:lineRule="exact"/>
                <w:ind w:firstLineChars="200" w:firstLine="420"/>
                <w:rPr>
                  <w:bCs/>
                </w:rPr>
              </w:pPr>
              <w:r>
                <w:rPr>
                  <w:rFonts w:hint="eastAsia"/>
                  <w:bCs/>
                </w:rPr>
                <w:t>注</w:t>
              </w:r>
              <w:r>
                <w:rPr>
                  <w:bCs/>
                </w:rPr>
                <w:t>1：长期借款中人民币借款利率在2.80%至4.93%之间，长期借款中外币美元借款利率在2.20%至6.8</w:t>
              </w:r>
              <w:r>
                <w:rPr>
                  <w:rFonts w:hint="eastAsia"/>
                  <w:bCs/>
                </w:rPr>
                <w:t>0</w:t>
              </w:r>
              <w:r>
                <w:rPr>
                  <w:bCs/>
                </w:rPr>
                <w:t>%之间，外币澳元借款利率为8.70%。长期借款中美元借款余额为250,000千元，折合人民币1,806,450千元；澳元借款余额为32,492千元，折合人民币155,938千元。</w:t>
              </w:r>
            </w:p>
            <w:p w14:paraId="46292233" w14:textId="5408FB0D" w:rsidR="007E7472" w:rsidRDefault="00EC1269">
              <w:pPr>
                <w:snapToGrid w:val="0"/>
                <w:spacing w:beforeLines="50" w:before="156" w:afterLines="50" w:after="156" w:line="360" w:lineRule="exact"/>
                <w:ind w:firstLineChars="200" w:firstLine="420"/>
                <w:jc w:val="both"/>
                <w:rPr>
                  <w:bCs/>
                </w:rPr>
              </w:pPr>
              <w:r>
                <w:rPr>
                  <w:rFonts w:hint="eastAsia"/>
                  <w:bCs/>
                </w:rPr>
                <w:t>注</w:t>
              </w:r>
              <w:r>
                <w:rPr>
                  <w:bCs/>
                </w:rPr>
                <w:t>2：质押借款共计</w:t>
              </w:r>
              <w:r>
                <w:rPr>
                  <w:rFonts w:hint="eastAsia"/>
                  <w:bCs/>
                </w:rPr>
                <w:t>10,975,069</w:t>
              </w:r>
              <w:r>
                <w:rPr>
                  <w:bCs/>
                </w:rPr>
                <w:t>千元，包括一年以内到期的质押借款1,381,085千元，其中：5,029,750千元的质押物为本公司对陕西未来能源化工有限公司的股权146,448万股，账面价值为4,734,713千元；4,319,514千元的质押物为本公司之子公司兖矿融资租赁有限公司质押</w:t>
              </w:r>
              <w:r>
                <w:rPr>
                  <w:bCs/>
                </w:rPr>
                <w:lastRenderedPageBreak/>
                <w:t>在借款银行应收租金债权</w:t>
              </w:r>
              <w:r>
                <w:rPr>
                  <w:rFonts w:hint="eastAsia"/>
                  <w:bCs/>
                </w:rPr>
                <w:t>4,956,707</w:t>
              </w:r>
              <w:r>
                <w:rPr>
                  <w:bCs/>
                </w:rPr>
                <w:t>千元；1,625,805千元的质押物为本公司认购本公司之子公司兖煤澳大利亚有限公司不超过10亿美元的配股而对其持有的全部股权和相关权益，截至2023年06月30日享有的本公司</w:t>
              </w:r>
              <w:r>
                <w:rPr>
                  <w:rFonts w:hint="eastAsia"/>
                  <w:bCs/>
                </w:rPr>
                <w:t>之子公司兖煤澳大利亚有限公司净资产账面价值为</w:t>
              </w:r>
              <w:r>
                <w:rPr>
                  <w:bCs/>
                </w:rPr>
                <w:t>8,406,533千元，同时由山东能源提供担保。</w:t>
              </w:r>
            </w:p>
            <w:p w14:paraId="3311E9D3" w14:textId="77777777" w:rsidR="007E7472" w:rsidRDefault="00EC1269">
              <w:pPr>
                <w:snapToGrid w:val="0"/>
                <w:spacing w:beforeLines="50" w:before="156" w:afterLines="50" w:after="156" w:line="360" w:lineRule="exact"/>
                <w:ind w:firstLineChars="200" w:firstLine="420"/>
                <w:rPr>
                  <w:bCs/>
                </w:rPr>
              </w:pPr>
              <w:r>
                <w:rPr>
                  <w:rFonts w:hint="eastAsia"/>
                  <w:bCs/>
                </w:rPr>
                <w:t>注</w:t>
              </w:r>
              <w:r>
                <w:rPr>
                  <w:bCs/>
                </w:rPr>
                <w:t>3：保证借款由3家公司提供担保，其中：3,400,000千元由山东能源和陕西延长石油（集团）有限公司共同提供担保；77,249千元由山东能源提供担保；其余全部由本公司提供担保。</w:t>
              </w:r>
            </w:p>
            <w:p w14:paraId="514421B0" w14:textId="5068CF77" w:rsidR="007E7472" w:rsidRDefault="00EC1269">
              <w:pPr>
                <w:snapToGrid w:val="0"/>
                <w:spacing w:beforeLines="50" w:before="156" w:afterLines="50" w:after="156" w:line="360" w:lineRule="exact"/>
                <w:ind w:firstLineChars="200" w:firstLine="420"/>
              </w:pPr>
              <w:r>
                <w:rPr>
                  <w:rFonts w:hint="eastAsia"/>
                  <w:bCs/>
                </w:rPr>
                <w:t>注</w:t>
              </w:r>
              <w:r>
                <w:rPr>
                  <w:bCs/>
                </w:rPr>
                <w:t>4：抵押借款155,938千元的抵押物为本公司之子公司普力马煤炭有限公司总资产，截至2023年06月30日总资产账面价值为</w:t>
              </w:r>
              <w:r w:rsidR="00913748">
                <w:rPr>
                  <w:bCs/>
                </w:rPr>
                <w:t>8</w:t>
              </w:r>
              <w:r>
                <w:rPr>
                  <w:bCs/>
                </w:rPr>
                <w:t>,</w:t>
              </w:r>
              <w:r w:rsidR="00913748">
                <w:rPr>
                  <w:bCs/>
                </w:rPr>
                <w:t>478</w:t>
              </w:r>
              <w:r>
                <w:rPr>
                  <w:bCs/>
                </w:rPr>
                <w:t>,</w:t>
              </w:r>
              <w:r w:rsidR="00913748">
                <w:rPr>
                  <w:bCs/>
                </w:rPr>
                <w:t>306</w:t>
              </w:r>
              <w:r>
                <w:rPr>
                  <w:bCs/>
                </w:rPr>
                <w:t>千元</w:t>
              </w:r>
              <w:r w:rsidR="00913748">
                <w:rPr>
                  <w:rFonts w:hint="eastAsia"/>
                  <w:bCs/>
                </w:rPr>
                <w:t>。</w:t>
              </w:r>
            </w:p>
          </w:sdtContent>
        </w:sdt>
      </w:sdtContent>
    </w:sdt>
    <w:p w14:paraId="3DCD3534" w14:textId="77777777" w:rsidR="007E7472" w:rsidRDefault="00C8327E"/>
    <w:p w14:paraId="047EE4AF" w14:textId="77777777" w:rsidR="007E7472" w:rsidRDefault="00EC1269" w:rsidP="00162493">
      <w:pPr>
        <w:pStyle w:val="3"/>
        <w:numPr>
          <w:ilvl w:val="0"/>
          <w:numId w:val="62"/>
        </w:numPr>
      </w:pPr>
      <w:r>
        <w:rPr>
          <w:rFonts w:hint="eastAsia"/>
        </w:rPr>
        <w:t>应付债券</w:t>
      </w:r>
    </w:p>
    <w:sdt>
      <w:sdtPr>
        <w:rPr>
          <w:rFonts w:ascii="宋体" w:hAnsi="宋体" w:cs="宋体" w:hint="eastAsia"/>
          <w:b w:val="0"/>
          <w:bCs w:val="0"/>
          <w:kern w:val="0"/>
          <w:sz w:val="20"/>
          <w:szCs w:val="21"/>
        </w:rPr>
        <w:alias w:val="模块:应付债券"/>
        <w:tag w:val="_GBC_cd8e29427b9b4eecb46188c744528e27"/>
        <w:id w:val="-1190995451"/>
        <w:lock w:val="sdtLocked"/>
        <w:placeholder>
          <w:docPart w:val="GBC22222222222222222222222222222"/>
        </w:placeholder>
      </w:sdtPr>
      <w:sdtEndPr/>
      <w:sdtContent>
        <w:p w14:paraId="1317CA6B" w14:textId="77777777" w:rsidR="007E7472" w:rsidRDefault="00EC1269" w:rsidP="00162493">
          <w:pPr>
            <w:pStyle w:val="4"/>
            <w:numPr>
              <w:ilvl w:val="0"/>
              <w:numId w:val="88"/>
            </w:numPr>
          </w:pPr>
          <w:r>
            <w:rPr>
              <w:rFonts w:hint="eastAsia"/>
            </w:rPr>
            <w:t>应付债券</w:t>
          </w:r>
        </w:p>
        <w:sdt>
          <w:sdtPr>
            <w:rPr>
              <w:rFonts w:hint="eastAsia"/>
            </w:rPr>
            <w:alias w:val="是否适用：应付债券[双击切换]"/>
            <w:tag w:val="_GBC_b07c291c892844efaca56bc1d52b1566"/>
            <w:id w:val="-394891909"/>
            <w:lock w:val="sdtLocked"/>
            <w:placeholder>
              <w:docPart w:val="GBC22222222222222222222222222222"/>
            </w:placeholder>
          </w:sdtPr>
          <w:sdtEndPr/>
          <w:sdtContent>
            <w:p w14:paraId="12BD313B"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7F166D69" w14:textId="3FA9DC72" w:rsidR="007E7472" w:rsidRDefault="00EC1269">
          <w:pPr>
            <w:jc w:val="right"/>
          </w:pPr>
          <w:r>
            <w:rPr>
              <w:rFonts w:hint="eastAsia"/>
            </w:rPr>
            <w:t>单位：</w:t>
          </w:r>
          <w:sdt>
            <w:sdtPr>
              <w:rPr>
                <w:rFonts w:hint="eastAsia"/>
              </w:rPr>
              <w:alias w:val="单位：财务附注：应付债券"/>
              <w:tag w:val="_GBC_5c0626b48a2b47e5b1fa30bc0936ae68"/>
              <w:id w:val="17559316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应付债券"/>
              <w:tag w:val="_GBC_5dd240124fc44a14b0361901a2a8b897"/>
              <w:id w:val="-1465956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2975"/>
            <w:gridCol w:w="2998"/>
            <w:gridCol w:w="2850"/>
          </w:tblGrid>
          <w:tr w:rsidR="007E7472" w14:paraId="0528AFB8" w14:textId="77777777" w:rsidTr="007E7472">
            <w:trPr>
              <w:cantSplit/>
              <w:trHeight w:val="340"/>
            </w:trPr>
            <w:sdt>
              <w:sdtPr>
                <w:tag w:val="_PLD_dacb6f47868c48c4a5180256022d0c07"/>
                <w:id w:val="1517725794"/>
                <w:lock w:val="sdtLocked"/>
              </w:sdtPr>
              <w:sdtEndPr/>
              <w:sdtContent>
                <w:tc>
                  <w:tcPr>
                    <w:tcW w:w="1686" w:type="pct"/>
                    <w:shd w:val="clear" w:color="auto" w:fill="auto"/>
                    <w:vAlign w:val="center"/>
                  </w:tcPr>
                  <w:p w14:paraId="1A705234" w14:textId="77777777" w:rsidR="007E7472" w:rsidRDefault="00EC1269">
                    <w:pPr>
                      <w:jc w:val="center"/>
                    </w:pPr>
                    <w:r>
                      <w:rPr>
                        <w:rFonts w:hint="eastAsia"/>
                      </w:rPr>
                      <w:t>项目</w:t>
                    </w:r>
                  </w:p>
                </w:tc>
              </w:sdtContent>
            </w:sdt>
            <w:sdt>
              <w:sdtPr>
                <w:tag w:val="_PLD_30efa3a744404b8e898a2f8f653f7f19"/>
                <w:id w:val="615176101"/>
                <w:lock w:val="sdtLocked"/>
              </w:sdtPr>
              <w:sdtEndPr/>
              <w:sdtContent>
                <w:tc>
                  <w:tcPr>
                    <w:tcW w:w="1699" w:type="pct"/>
                    <w:shd w:val="clear" w:color="auto" w:fill="auto"/>
                    <w:vAlign w:val="center"/>
                  </w:tcPr>
                  <w:p w14:paraId="620E4E82" w14:textId="77777777" w:rsidR="007E7472" w:rsidRDefault="00EC1269">
                    <w:pPr>
                      <w:adjustRightInd w:val="0"/>
                      <w:snapToGrid w:val="0"/>
                      <w:ind w:leftChars="-2" w:left="-2" w:rightChars="9" w:right="19" w:hangingChars="1" w:hanging="2"/>
                      <w:jc w:val="center"/>
                      <w:rPr>
                        <w:b/>
                      </w:rPr>
                    </w:pPr>
                    <w:r>
                      <w:rPr>
                        <w:rFonts w:hint="eastAsia"/>
                      </w:rPr>
                      <w:t>期末余额</w:t>
                    </w:r>
                  </w:p>
                </w:tc>
              </w:sdtContent>
            </w:sdt>
            <w:sdt>
              <w:sdtPr>
                <w:tag w:val="_PLD_faff9d38659a4878bf966d1b9dd493b9"/>
                <w:id w:val="881218293"/>
                <w:lock w:val="sdtLocked"/>
              </w:sdtPr>
              <w:sdtEndPr/>
              <w:sdtContent>
                <w:tc>
                  <w:tcPr>
                    <w:tcW w:w="1615" w:type="pct"/>
                    <w:shd w:val="clear" w:color="auto" w:fill="auto"/>
                    <w:vAlign w:val="center"/>
                  </w:tcPr>
                  <w:p w14:paraId="59E6C537" w14:textId="77777777" w:rsidR="007E7472" w:rsidRDefault="00EC1269">
                    <w:pPr>
                      <w:adjustRightInd w:val="0"/>
                      <w:snapToGrid w:val="0"/>
                      <w:ind w:leftChars="-2" w:left="-2" w:rightChars="9" w:right="19" w:hangingChars="1" w:hanging="2"/>
                      <w:jc w:val="center"/>
                    </w:pPr>
                    <w:r>
                      <w:rPr>
                        <w:rFonts w:hint="eastAsia"/>
                      </w:rPr>
                      <w:t>期初余额</w:t>
                    </w:r>
                  </w:p>
                </w:tc>
              </w:sdtContent>
            </w:sdt>
          </w:tr>
          <w:sdt>
            <w:sdtPr>
              <w:alias w:val="应付债券情况明细"/>
              <w:tag w:val="_GBC_ce87ca4ab7a54773927187961fdc2d7d"/>
              <w:id w:val="-415710331"/>
              <w:lock w:val="sdtLocked"/>
            </w:sdtPr>
            <w:sdtEndPr>
              <w:rPr>
                <w:rFonts w:hint="eastAsia"/>
              </w:rPr>
            </w:sdtEndPr>
            <w:sdtContent>
              <w:tr w:rsidR="007E7472" w14:paraId="47800617" w14:textId="77777777" w:rsidTr="007E7472">
                <w:trPr>
                  <w:cantSplit/>
                  <w:trHeight w:val="340"/>
                </w:trPr>
                <w:tc>
                  <w:tcPr>
                    <w:tcW w:w="1686" w:type="pct"/>
                    <w:shd w:val="clear" w:color="auto" w:fill="auto"/>
                    <w:vAlign w:val="center"/>
                  </w:tcPr>
                  <w:p w14:paraId="04E9C611" w14:textId="77777777" w:rsidR="007E7472" w:rsidRDefault="00EC1269">
                    <w:r>
                      <w:rPr>
                        <w:rFonts w:hint="eastAsia"/>
                      </w:rPr>
                      <w:t>应付债券</w:t>
                    </w:r>
                  </w:p>
                </w:tc>
                <w:tc>
                  <w:tcPr>
                    <w:tcW w:w="1699" w:type="pct"/>
                    <w:shd w:val="clear" w:color="auto" w:fill="auto"/>
                    <w:vAlign w:val="center"/>
                  </w:tcPr>
                  <w:p w14:paraId="176031B3" w14:textId="77777777" w:rsidR="007E7472" w:rsidRDefault="00EC1269">
                    <w:pPr>
                      <w:jc w:val="right"/>
                    </w:pPr>
                    <w:r>
                      <w:t>19,829,218</w:t>
                    </w:r>
                  </w:p>
                </w:tc>
                <w:tc>
                  <w:tcPr>
                    <w:tcW w:w="1615" w:type="pct"/>
                    <w:shd w:val="clear" w:color="auto" w:fill="auto"/>
                    <w:vAlign w:val="center"/>
                  </w:tcPr>
                  <w:p w14:paraId="605F6A5B" w14:textId="77777777" w:rsidR="007E7472" w:rsidRDefault="00EC1269">
                    <w:pPr>
                      <w:jc w:val="right"/>
                    </w:pPr>
                    <w:r>
                      <w:t>20,792,407</w:t>
                    </w:r>
                  </w:p>
                </w:tc>
              </w:tr>
            </w:sdtContent>
          </w:sdt>
          <w:tr w:rsidR="007E7472" w14:paraId="5B72B5E5" w14:textId="77777777" w:rsidTr="007E7472">
            <w:trPr>
              <w:cantSplit/>
              <w:trHeight w:val="340"/>
            </w:trPr>
            <w:sdt>
              <w:sdtPr>
                <w:tag w:val="_PLD_4bc5d2895572448eb50b2ba82f0a9f34"/>
                <w:id w:val="951904129"/>
                <w:lock w:val="sdtLocked"/>
              </w:sdtPr>
              <w:sdtEndPr/>
              <w:sdtContent>
                <w:tc>
                  <w:tcPr>
                    <w:tcW w:w="1686" w:type="pct"/>
                    <w:shd w:val="clear" w:color="auto" w:fill="auto"/>
                    <w:vAlign w:val="center"/>
                  </w:tcPr>
                  <w:p w14:paraId="157682D0" w14:textId="77777777" w:rsidR="007E7472" w:rsidRDefault="00EC1269">
                    <w:pPr>
                      <w:jc w:val="center"/>
                    </w:pPr>
                    <w:r>
                      <w:rPr>
                        <w:rFonts w:hint="eastAsia"/>
                      </w:rPr>
                      <w:t>合计</w:t>
                    </w:r>
                  </w:p>
                </w:tc>
              </w:sdtContent>
            </w:sdt>
            <w:tc>
              <w:tcPr>
                <w:tcW w:w="1699" w:type="pct"/>
                <w:shd w:val="clear" w:color="auto" w:fill="auto"/>
                <w:vAlign w:val="center"/>
              </w:tcPr>
              <w:p w14:paraId="7E8532F6" w14:textId="77777777" w:rsidR="007E7472" w:rsidRDefault="00EC1269">
                <w:pPr>
                  <w:jc w:val="right"/>
                  <w:rPr>
                    <w:bCs/>
                  </w:rPr>
                </w:pPr>
                <w:r>
                  <w:t>19,829,218</w:t>
                </w:r>
              </w:p>
            </w:tc>
            <w:tc>
              <w:tcPr>
                <w:tcW w:w="1615" w:type="pct"/>
                <w:shd w:val="clear" w:color="auto" w:fill="auto"/>
                <w:vAlign w:val="center"/>
              </w:tcPr>
              <w:p w14:paraId="5700F98F" w14:textId="77777777" w:rsidR="007E7472" w:rsidRDefault="00EC1269">
                <w:pPr>
                  <w:jc w:val="right"/>
                </w:pPr>
                <w:r>
                  <w:t>20,792,407</w:t>
                </w:r>
              </w:p>
            </w:tc>
          </w:tr>
        </w:tbl>
        <w:p w14:paraId="5AB8EEF4" w14:textId="77777777" w:rsidR="007E7472" w:rsidRDefault="00C8327E"/>
      </w:sdtContent>
    </w:sdt>
    <w:p w14:paraId="03B3DB8A" w14:textId="77777777" w:rsidR="007E7472" w:rsidRDefault="00C8327E" w:rsidP="00162493">
      <w:pPr>
        <w:numPr>
          <w:ilvl w:val="0"/>
          <w:numId w:val="89"/>
        </w:numPr>
        <w:tabs>
          <w:tab w:val="left" w:pos="672"/>
        </w:tabs>
        <w:rPr>
          <w:rFonts w:cstheme="minorBidi"/>
          <w:szCs w:val="22"/>
        </w:rPr>
        <w:sectPr w:rsidR="007E7472">
          <w:pgSz w:w="11906" w:h="16838"/>
          <w:pgMar w:top="1440" w:right="1797" w:bottom="1525" w:left="1276" w:header="856" w:footer="992" w:gutter="0"/>
          <w:cols w:space="425"/>
          <w:docGrid w:type="lines" w:linePitch="312"/>
        </w:sectPr>
      </w:pPr>
    </w:p>
    <w:sdt>
      <w:sdtPr>
        <w:rPr>
          <w:rFonts w:ascii="宋体" w:hAnsi="宋体" w:cstheme="minorBidi"/>
          <w:b w:val="0"/>
          <w:bCs w:val="0"/>
          <w:kern w:val="0"/>
          <w:sz w:val="20"/>
          <w:szCs w:val="22"/>
        </w:rPr>
        <w:alias w:val="模块:应付债券的增减变动"/>
        <w:tag w:val="_GBC_93c3424329ce41edbb49a50ffbdbc9d7"/>
        <w:id w:val="-9384362"/>
        <w:lock w:val="sdtLocked"/>
        <w:placeholder>
          <w:docPart w:val="GBC22222222222222222222222222222"/>
        </w:placeholder>
      </w:sdtPr>
      <w:sdtEndPr>
        <w:rPr>
          <w:rFonts w:hint="eastAsia"/>
          <w:color w:val="000000" w:themeColor="text1"/>
          <w:szCs w:val="21"/>
        </w:rPr>
      </w:sdtEndPr>
      <w:sdtContent>
        <w:p w14:paraId="25F9E8E5" w14:textId="77777777" w:rsidR="007E7472" w:rsidRDefault="00EC1269" w:rsidP="00162493">
          <w:pPr>
            <w:pStyle w:val="4"/>
            <w:numPr>
              <w:ilvl w:val="0"/>
              <w:numId w:val="88"/>
            </w:numPr>
          </w:pPr>
          <w:r>
            <w:t>应付债券的增减变动</w:t>
          </w:r>
          <w:r>
            <w:rPr>
              <w:rFonts w:hint="eastAsia"/>
            </w:rPr>
            <w:t>（不包括划分为金融负债的优先股、永续债等其他金融工具）</w:t>
          </w:r>
        </w:p>
        <w:sdt>
          <w:sdtPr>
            <w:alias w:val="是否适用：应付债券的增减变动[双击切换]"/>
            <w:tag w:val="_GBC_4b9b2c6cc76845b79e52a5d821e1cf5a"/>
            <w:id w:val="1590198203"/>
            <w:lock w:val="sdtLocked"/>
            <w:placeholder>
              <w:docPart w:val="GBC22222222222222222222222222222"/>
            </w:placeholder>
          </w:sdtPr>
          <w:sdtEndPr/>
          <w:sdtContent>
            <w:p w14:paraId="7F684FA9"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5FC5089E" w14:textId="05624E38" w:rsidR="007E7472" w:rsidRDefault="00EC1269">
          <w:pPr>
            <w:jc w:val="right"/>
          </w:pPr>
          <w:r>
            <w:rPr>
              <w:rFonts w:hint="eastAsia"/>
            </w:rPr>
            <w:t>单位：</w:t>
          </w:r>
          <w:sdt>
            <w:sdtPr>
              <w:rPr>
                <w:rFonts w:hint="eastAsia"/>
              </w:rPr>
              <w:alias w:val="单位：财务附注：应付债券的增减变动"/>
              <w:tag w:val="_GBC_0caebd9b9d9b4a59aaa853a387a1a299"/>
              <w:id w:val="-209608125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应付债券的增减变动"/>
              <w:tag w:val="_GBC_0e52a0719da945bab24d9f1419aafdbf"/>
              <w:id w:val="-20026461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4957"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980"/>
            <w:gridCol w:w="617"/>
            <w:gridCol w:w="941"/>
            <w:gridCol w:w="707"/>
            <w:gridCol w:w="995"/>
            <w:gridCol w:w="992"/>
            <w:gridCol w:w="992"/>
            <w:gridCol w:w="1273"/>
            <w:gridCol w:w="1135"/>
            <w:gridCol w:w="852"/>
            <w:gridCol w:w="709"/>
            <w:gridCol w:w="1031"/>
            <w:gridCol w:w="1520"/>
          </w:tblGrid>
          <w:tr w:rsidR="007E7472" w14:paraId="2CF48615" w14:textId="77777777" w:rsidTr="008862FC">
            <w:trPr>
              <w:cantSplit/>
              <w:trHeight w:val="590"/>
              <w:jc w:val="right"/>
            </w:trPr>
            <w:sdt>
              <w:sdtPr>
                <w:rPr>
                  <w:bCs/>
                  <w:spacing w:val="-20"/>
                  <w:w w:val="80"/>
                  <w:szCs w:val="24"/>
                </w:rPr>
                <w:tag w:val="_PLD_411683fdac8849338184241843ac8452"/>
                <w:id w:val="1023517785"/>
                <w:lock w:val="sdtLocked"/>
              </w:sdtPr>
              <w:sdtEndPr/>
              <w:sdtContent>
                <w:tc>
                  <w:tcPr>
                    <w:tcW w:w="720" w:type="pct"/>
                    <w:shd w:val="clear" w:color="auto" w:fill="auto"/>
                    <w:vAlign w:val="center"/>
                  </w:tcPr>
                  <w:p w14:paraId="24E889EA" w14:textId="77777777" w:rsidR="007E7472" w:rsidRDefault="00EC1269">
                    <w:pPr>
                      <w:jc w:val="center"/>
                      <w:rPr>
                        <w:bCs/>
                        <w:spacing w:val="-20"/>
                        <w:w w:val="80"/>
                        <w:szCs w:val="24"/>
                      </w:rPr>
                    </w:pPr>
                    <w:r>
                      <w:rPr>
                        <w:rFonts w:hint="eastAsia"/>
                        <w:spacing w:val="-20"/>
                        <w:w w:val="80"/>
                        <w:szCs w:val="24"/>
                      </w:rPr>
                      <w:t>债券</w:t>
                    </w:r>
                  </w:p>
                  <w:p w14:paraId="07FF9ACC" w14:textId="77777777" w:rsidR="007E7472" w:rsidRDefault="00EC1269">
                    <w:pPr>
                      <w:jc w:val="center"/>
                      <w:rPr>
                        <w:bCs/>
                        <w:spacing w:val="-20"/>
                        <w:w w:val="80"/>
                        <w:szCs w:val="24"/>
                      </w:rPr>
                    </w:pPr>
                    <w:r>
                      <w:rPr>
                        <w:rFonts w:hint="eastAsia"/>
                        <w:spacing w:val="-20"/>
                        <w:w w:val="80"/>
                        <w:szCs w:val="24"/>
                      </w:rPr>
                      <w:t>名称</w:t>
                    </w:r>
                  </w:p>
                </w:tc>
              </w:sdtContent>
            </w:sdt>
            <w:sdt>
              <w:sdtPr>
                <w:rPr>
                  <w:bCs/>
                  <w:spacing w:val="-20"/>
                  <w:w w:val="80"/>
                  <w:szCs w:val="24"/>
                </w:rPr>
                <w:tag w:val="_PLD_c5ae7cf1050d4b6db695378cb85e6bf6"/>
                <w:id w:val="1179928114"/>
                <w:lock w:val="sdtLocked"/>
              </w:sdtPr>
              <w:sdtEndPr/>
              <w:sdtContent>
                <w:tc>
                  <w:tcPr>
                    <w:tcW w:w="224" w:type="pct"/>
                    <w:shd w:val="clear" w:color="auto" w:fill="auto"/>
                    <w:vAlign w:val="center"/>
                  </w:tcPr>
                  <w:p w14:paraId="73E22DD7" w14:textId="77777777" w:rsidR="007E7472" w:rsidRDefault="00EC1269">
                    <w:pPr>
                      <w:jc w:val="center"/>
                      <w:rPr>
                        <w:bCs/>
                        <w:spacing w:val="-20"/>
                        <w:w w:val="80"/>
                        <w:szCs w:val="24"/>
                      </w:rPr>
                    </w:pPr>
                    <w:r>
                      <w:rPr>
                        <w:rFonts w:hint="eastAsia"/>
                        <w:spacing w:val="-20"/>
                        <w:w w:val="80"/>
                        <w:szCs w:val="24"/>
                      </w:rPr>
                      <w:t>面值</w:t>
                    </w:r>
                  </w:p>
                </w:tc>
              </w:sdtContent>
            </w:sdt>
            <w:sdt>
              <w:sdtPr>
                <w:rPr>
                  <w:bCs/>
                  <w:spacing w:val="-20"/>
                  <w:w w:val="80"/>
                  <w:szCs w:val="24"/>
                </w:rPr>
                <w:tag w:val="_PLD_b24c8421982a45ce9c2cbcbe4c427338"/>
                <w:id w:val="944495129"/>
                <w:lock w:val="sdtLocked"/>
              </w:sdtPr>
              <w:sdtEndPr/>
              <w:sdtContent>
                <w:tc>
                  <w:tcPr>
                    <w:tcW w:w="342" w:type="pct"/>
                    <w:shd w:val="clear" w:color="auto" w:fill="auto"/>
                    <w:vAlign w:val="center"/>
                  </w:tcPr>
                  <w:p w14:paraId="470597FA" w14:textId="77777777" w:rsidR="007E7472" w:rsidRDefault="00EC1269">
                    <w:pPr>
                      <w:jc w:val="center"/>
                      <w:rPr>
                        <w:bCs/>
                        <w:spacing w:val="-20"/>
                        <w:w w:val="80"/>
                        <w:szCs w:val="24"/>
                      </w:rPr>
                    </w:pPr>
                    <w:r>
                      <w:rPr>
                        <w:rFonts w:hint="eastAsia"/>
                        <w:spacing w:val="-20"/>
                        <w:w w:val="80"/>
                        <w:szCs w:val="24"/>
                      </w:rPr>
                      <w:t>发行</w:t>
                    </w:r>
                  </w:p>
                  <w:p w14:paraId="3CA429DD" w14:textId="77777777" w:rsidR="007E7472" w:rsidRDefault="00EC1269">
                    <w:pPr>
                      <w:jc w:val="center"/>
                      <w:rPr>
                        <w:bCs/>
                        <w:spacing w:val="-20"/>
                        <w:w w:val="80"/>
                        <w:szCs w:val="24"/>
                      </w:rPr>
                    </w:pPr>
                    <w:r>
                      <w:rPr>
                        <w:rFonts w:hint="eastAsia"/>
                        <w:spacing w:val="-20"/>
                        <w:w w:val="80"/>
                        <w:szCs w:val="24"/>
                      </w:rPr>
                      <w:t>日期</w:t>
                    </w:r>
                  </w:p>
                </w:tc>
              </w:sdtContent>
            </w:sdt>
            <w:sdt>
              <w:sdtPr>
                <w:rPr>
                  <w:bCs/>
                  <w:spacing w:val="-20"/>
                  <w:w w:val="80"/>
                  <w:szCs w:val="24"/>
                </w:rPr>
                <w:tag w:val="_PLD_cfe1f059778e41a2a06c9174e37fc9a6"/>
                <w:id w:val="1252388775"/>
                <w:lock w:val="sdtLocked"/>
              </w:sdtPr>
              <w:sdtEndPr/>
              <w:sdtContent>
                <w:tc>
                  <w:tcPr>
                    <w:tcW w:w="257" w:type="pct"/>
                    <w:shd w:val="clear" w:color="auto" w:fill="auto"/>
                    <w:vAlign w:val="center"/>
                  </w:tcPr>
                  <w:p w14:paraId="00E6C72D" w14:textId="77777777" w:rsidR="007E7472" w:rsidRDefault="00EC1269">
                    <w:pPr>
                      <w:jc w:val="center"/>
                      <w:rPr>
                        <w:bCs/>
                        <w:spacing w:val="-20"/>
                        <w:w w:val="80"/>
                        <w:szCs w:val="24"/>
                      </w:rPr>
                    </w:pPr>
                    <w:r>
                      <w:rPr>
                        <w:rFonts w:hint="eastAsia"/>
                        <w:spacing w:val="-20"/>
                        <w:w w:val="80"/>
                        <w:szCs w:val="24"/>
                      </w:rPr>
                      <w:t>债券</w:t>
                    </w:r>
                  </w:p>
                  <w:p w14:paraId="3073AC31" w14:textId="77777777" w:rsidR="007E7472" w:rsidRDefault="00EC1269">
                    <w:pPr>
                      <w:jc w:val="center"/>
                      <w:rPr>
                        <w:bCs/>
                        <w:spacing w:val="-20"/>
                        <w:w w:val="80"/>
                        <w:szCs w:val="24"/>
                      </w:rPr>
                    </w:pPr>
                    <w:r>
                      <w:rPr>
                        <w:rFonts w:hint="eastAsia"/>
                        <w:spacing w:val="-20"/>
                        <w:w w:val="80"/>
                        <w:szCs w:val="24"/>
                      </w:rPr>
                      <w:t>期限</w:t>
                    </w:r>
                  </w:p>
                </w:tc>
              </w:sdtContent>
            </w:sdt>
            <w:sdt>
              <w:sdtPr>
                <w:rPr>
                  <w:bCs/>
                  <w:spacing w:val="-20"/>
                  <w:w w:val="80"/>
                  <w:szCs w:val="24"/>
                </w:rPr>
                <w:tag w:val="_PLD_6de77ae8046a4df5864b434026fff480"/>
                <w:id w:val="945503945"/>
                <w:lock w:val="sdtLocked"/>
              </w:sdtPr>
              <w:sdtEndPr/>
              <w:sdtContent>
                <w:tc>
                  <w:tcPr>
                    <w:tcW w:w="362" w:type="pct"/>
                    <w:shd w:val="clear" w:color="auto" w:fill="auto"/>
                    <w:vAlign w:val="center"/>
                  </w:tcPr>
                  <w:p w14:paraId="60A19909" w14:textId="77777777" w:rsidR="007E7472" w:rsidRDefault="00EC1269">
                    <w:pPr>
                      <w:jc w:val="center"/>
                      <w:rPr>
                        <w:bCs/>
                        <w:spacing w:val="-20"/>
                        <w:w w:val="80"/>
                        <w:szCs w:val="24"/>
                      </w:rPr>
                    </w:pPr>
                    <w:r>
                      <w:rPr>
                        <w:rFonts w:hint="eastAsia"/>
                        <w:spacing w:val="-20"/>
                        <w:w w:val="80"/>
                        <w:szCs w:val="24"/>
                      </w:rPr>
                      <w:t>发行</w:t>
                    </w:r>
                  </w:p>
                  <w:p w14:paraId="3278CD51" w14:textId="77777777" w:rsidR="007E7472" w:rsidRDefault="00EC1269">
                    <w:pPr>
                      <w:jc w:val="center"/>
                      <w:rPr>
                        <w:bCs/>
                        <w:spacing w:val="-20"/>
                        <w:w w:val="80"/>
                        <w:szCs w:val="24"/>
                      </w:rPr>
                    </w:pPr>
                    <w:r>
                      <w:rPr>
                        <w:rFonts w:hint="eastAsia"/>
                        <w:spacing w:val="-20"/>
                        <w:w w:val="80"/>
                        <w:szCs w:val="24"/>
                      </w:rPr>
                      <w:t>金额</w:t>
                    </w:r>
                  </w:p>
                </w:tc>
              </w:sdtContent>
            </w:sdt>
            <w:sdt>
              <w:sdtPr>
                <w:rPr>
                  <w:bCs/>
                  <w:spacing w:val="-20"/>
                  <w:w w:val="80"/>
                  <w:szCs w:val="24"/>
                </w:rPr>
                <w:tag w:val="_PLD_15ad5334c6b949f3abd32dba93f5409a"/>
                <w:id w:val="-121613817"/>
                <w:lock w:val="sdtLocked"/>
              </w:sdtPr>
              <w:sdtEndPr/>
              <w:sdtContent>
                <w:tc>
                  <w:tcPr>
                    <w:tcW w:w="361" w:type="pct"/>
                    <w:shd w:val="clear" w:color="auto" w:fill="auto"/>
                    <w:vAlign w:val="center"/>
                  </w:tcPr>
                  <w:p w14:paraId="5F6972E4" w14:textId="77777777" w:rsidR="007E7472" w:rsidRDefault="00EC1269">
                    <w:pPr>
                      <w:jc w:val="center"/>
                      <w:rPr>
                        <w:bCs/>
                        <w:spacing w:val="-20"/>
                        <w:w w:val="80"/>
                        <w:szCs w:val="24"/>
                      </w:rPr>
                    </w:pPr>
                    <w:r>
                      <w:rPr>
                        <w:rFonts w:hint="eastAsia"/>
                        <w:spacing w:val="-20"/>
                        <w:w w:val="80"/>
                        <w:szCs w:val="24"/>
                      </w:rPr>
                      <w:t>期初</w:t>
                    </w:r>
                  </w:p>
                  <w:p w14:paraId="6B698631" w14:textId="77777777" w:rsidR="007E7472" w:rsidRDefault="00EC1269">
                    <w:pPr>
                      <w:jc w:val="center"/>
                      <w:rPr>
                        <w:bCs/>
                        <w:spacing w:val="-20"/>
                        <w:w w:val="80"/>
                        <w:szCs w:val="24"/>
                      </w:rPr>
                    </w:pPr>
                    <w:r>
                      <w:rPr>
                        <w:rFonts w:hint="eastAsia"/>
                        <w:spacing w:val="-20"/>
                        <w:w w:val="80"/>
                        <w:szCs w:val="24"/>
                      </w:rPr>
                      <w:t>余额</w:t>
                    </w:r>
                  </w:p>
                </w:tc>
              </w:sdtContent>
            </w:sdt>
            <w:sdt>
              <w:sdtPr>
                <w:rPr>
                  <w:bCs/>
                  <w:spacing w:val="-20"/>
                  <w:w w:val="80"/>
                  <w:szCs w:val="24"/>
                </w:rPr>
                <w:tag w:val="_PLD_070f511ab8b84b29adb30e353d60f6d7"/>
                <w:id w:val="858235337"/>
                <w:lock w:val="sdtLocked"/>
              </w:sdtPr>
              <w:sdtEndPr/>
              <w:sdtContent>
                <w:tc>
                  <w:tcPr>
                    <w:tcW w:w="361" w:type="pct"/>
                    <w:shd w:val="clear" w:color="auto" w:fill="auto"/>
                    <w:vAlign w:val="center"/>
                  </w:tcPr>
                  <w:p w14:paraId="4A4DFF2F" w14:textId="77777777" w:rsidR="007E7472" w:rsidRDefault="00EC1269">
                    <w:pPr>
                      <w:jc w:val="center"/>
                      <w:rPr>
                        <w:bCs/>
                        <w:spacing w:val="-20"/>
                        <w:w w:val="80"/>
                        <w:szCs w:val="24"/>
                      </w:rPr>
                    </w:pPr>
                    <w:r>
                      <w:rPr>
                        <w:rFonts w:hint="eastAsia"/>
                        <w:spacing w:val="-20"/>
                        <w:w w:val="80"/>
                        <w:szCs w:val="24"/>
                      </w:rPr>
                      <w:t>本期</w:t>
                    </w:r>
                  </w:p>
                  <w:p w14:paraId="2D4391CE" w14:textId="77777777" w:rsidR="007E7472" w:rsidRDefault="00EC1269">
                    <w:pPr>
                      <w:jc w:val="center"/>
                      <w:rPr>
                        <w:bCs/>
                        <w:spacing w:val="-20"/>
                        <w:w w:val="80"/>
                        <w:szCs w:val="24"/>
                      </w:rPr>
                    </w:pPr>
                    <w:r>
                      <w:rPr>
                        <w:rFonts w:hint="eastAsia"/>
                        <w:spacing w:val="-20"/>
                        <w:w w:val="80"/>
                        <w:szCs w:val="24"/>
                      </w:rPr>
                      <w:t>发行</w:t>
                    </w:r>
                  </w:p>
                </w:tc>
              </w:sdtContent>
            </w:sdt>
            <w:sdt>
              <w:sdtPr>
                <w:rPr>
                  <w:bCs/>
                  <w:spacing w:val="-20"/>
                  <w:w w:val="80"/>
                  <w:szCs w:val="24"/>
                </w:rPr>
                <w:tag w:val="_PLD_9063b0ae4adc4179ab1f05fdafd1ca18"/>
                <w:id w:val="67394605"/>
                <w:lock w:val="sdtLocked"/>
              </w:sdtPr>
              <w:sdtEndPr/>
              <w:sdtContent>
                <w:tc>
                  <w:tcPr>
                    <w:tcW w:w="463" w:type="pct"/>
                    <w:shd w:val="clear" w:color="auto" w:fill="auto"/>
                    <w:vAlign w:val="center"/>
                  </w:tcPr>
                  <w:p w14:paraId="143D5C9D" w14:textId="77777777" w:rsidR="007E7472" w:rsidRDefault="00EC1269">
                    <w:pPr>
                      <w:jc w:val="center"/>
                      <w:rPr>
                        <w:bCs/>
                        <w:spacing w:val="-20"/>
                        <w:w w:val="80"/>
                        <w:szCs w:val="24"/>
                      </w:rPr>
                    </w:pPr>
                    <w:r>
                      <w:rPr>
                        <w:rFonts w:hint="eastAsia"/>
                        <w:spacing w:val="-20"/>
                        <w:w w:val="80"/>
                        <w:szCs w:val="24"/>
                      </w:rPr>
                      <w:t>按面值计提利息</w:t>
                    </w:r>
                  </w:p>
                </w:tc>
              </w:sdtContent>
            </w:sdt>
            <w:sdt>
              <w:sdtPr>
                <w:rPr>
                  <w:bCs/>
                  <w:spacing w:val="-20"/>
                  <w:w w:val="80"/>
                  <w:szCs w:val="24"/>
                </w:rPr>
                <w:tag w:val="_PLD_52f37b4f678547c2b994ed9088b195d4"/>
                <w:id w:val="-2046281961"/>
                <w:lock w:val="sdtLocked"/>
              </w:sdtPr>
              <w:sdtEndPr/>
              <w:sdtContent>
                <w:tc>
                  <w:tcPr>
                    <w:tcW w:w="413" w:type="pct"/>
                    <w:shd w:val="clear" w:color="auto" w:fill="auto"/>
                    <w:vAlign w:val="center"/>
                  </w:tcPr>
                  <w:p w14:paraId="11169F2C" w14:textId="77777777" w:rsidR="007E7472" w:rsidRDefault="00EC1269">
                    <w:pPr>
                      <w:jc w:val="center"/>
                      <w:rPr>
                        <w:bCs/>
                        <w:spacing w:val="-20"/>
                        <w:w w:val="80"/>
                        <w:szCs w:val="24"/>
                      </w:rPr>
                    </w:pPr>
                    <w:r>
                      <w:rPr>
                        <w:rFonts w:hint="eastAsia"/>
                        <w:spacing w:val="-20"/>
                        <w:w w:val="80"/>
                        <w:szCs w:val="24"/>
                      </w:rPr>
                      <w:t>溢折价摊销</w:t>
                    </w:r>
                  </w:p>
                </w:tc>
              </w:sdtContent>
            </w:sdt>
            <w:sdt>
              <w:sdtPr>
                <w:rPr>
                  <w:bCs/>
                  <w:spacing w:val="-20"/>
                  <w:w w:val="80"/>
                  <w:szCs w:val="24"/>
                </w:rPr>
                <w:tag w:val="_PLD_80e06ce471504396b7d99cd1b3af5c58"/>
                <w:id w:val="-1127160157"/>
                <w:lock w:val="sdtLocked"/>
              </w:sdtPr>
              <w:sdtEndPr/>
              <w:sdtContent>
                <w:tc>
                  <w:tcPr>
                    <w:tcW w:w="310" w:type="pct"/>
                    <w:shd w:val="clear" w:color="auto" w:fill="auto"/>
                    <w:vAlign w:val="center"/>
                  </w:tcPr>
                  <w:p w14:paraId="2BE50DF0" w14:textId="77777777" w:rsidR="007E7472" w:rsidRDefault="00EC1269">
                    <w:pPr>
                      <w:jc w:val="center"/>
                      <w:rPr>
                        <w:bCs/>
                        <w:spacing w:val="-20"/>
                        <w:w w:val="80"/>
                        <w:szCs w:val="24"/>
                      </w:rPr>
                    </w:pPr>
                    <w:r>
                      <w:rPr>
                        <w:rFonts w:hint="eastAsia"/>
                        <w:spacing w:val="-20"/>
                        <w:w w:val="80"/>
                        <w:szCs w:val="24"/>
                      </w:rPr>
                      <w:t>本期</w:t>
                    </w:r>
                  </w:p>
                  <w:p w14:paraId="0D547773" w14:textId="77777777" w:rsidR="007E7472" w:rsidRDefault="00EC1269">
                    <w:pPr>
                      <w:jc w:val="center"/>
                      <w:rPr>
                        <w:bCs/>
                        <w:spacing w:val="-20"/>
                        <w:w w:val="80"/>
                        <w:szCs w:val="24"/>
                      </w:rPr>
                    </w:pPr>
                    <w:r>
                      <w:rPr>
                        <w:rFonts w:hint="eastAsia"/>
                        <w:spacing w:val="-20"/>
                        <w:w w:val="80"/>
                        <w:szCs w:val="24"/>
                      </w:rPr>
                      <w:t>偿还</w:t>
                    </w:r>
                  </w:p>
                </w:tc>
              </w:sdtContent>
            </w:sdt>
            <w:tc>
              <w:tcPr>
                <w:tcW w:w="258" w:type="pct"/>
                <w:shd w:val="clear" w:color="auto" w:fill="auto"/>
                <w:vAlign w:val="center"/>
              </w:tcPr>
              <w:p w14:paraId="7C772049" w14:textId="77777777" w:rsidR="007E7472" w:rsidRDefault="00EC1269">
                <w:pPr>
                  <w:jc w:val="center"/>
                  <w:rPr>
                    <w:bCs/>
                    <w:spacing w:val="-20"/>
                    <w:w w:val="80"/>
                    <w:szCs w:val="24"/>
                  </w:rPr>
                </w:pPr>
                <w:r>
                  <w:rPr>
                    <w:rFonts w:hint="eastAsia"/>
                    <w:spacing w:val="-20"/>
                    <w:w w:val="80"/>
                    <w:szCs w:val="24"/>
                  </w:rPr>
                  <w:t>外币报表折算</w:t>
                </w:r>
              </w:p>
            </w:tc>
            <w:tc>
              <w:tcPr>
                <w:tcW w:w="375" w:type="pct"/>
                <w:shd w:val="clear" w:color="auto" w:fill="auto"/>
                <w:vAlign w:val="center"/>
              </w:tcPr>
              <w:p w14:paraId="011E827D" w14:textId="77777777" w:rsidR="007E7472" w:rsidRDefault="00EC1269">
                <w:pPr>
                  <w:jc w:val="center"/>
                  <w:rPr>
                    <w:bCs/>
                    <w:spacing w:val="-20"/>
                    <w:w w:val="80"/>
                    <w:szCs w:val="24"/>
                  </w:rPr>
                </w:pPr>
                <w:r>
                  <w:rPr>
                    <w:rFonts w:hint="eastAsia"/>
                    <w:spacing w:val="-20"/>
                    <w:w w:val="80"/>
                    <w:szCs w:val="24"/>
                  </w:rPr>
                  <w:t>其他减少</w:t>
                </w:r>
              </w:p>
            </w:tc>
            <w:sdt>
              <w:sdtPr>
                <w:rPr>
                  <w:bCs/>
                  <w:spacing w:val="-20"/>
                  <w:w w:val="80"/>
                  <w:szCs w:val="24"/>
                </w:rPr>
                <w:tag w:val="_PLD_a920c6074a20468c93bd4cd5b15289a1"/>
                <w:id w:val="1777824606"/>
                <w:lock w:val="sdtLocked"/>
              </w:sdtPr>
              <w:sdtEndPr/>
              <w:sdtContent>
                <w:tc>
                  <w:tcPr>
                    <w:tcW w:w="553" w:type="pct"/>
                    <w:shd w:val="clear" w:color="auto" w:fill="auto"/>
                    <w:vAlign w:val="center"/>
                  </w:tcPr>
                  <w:p w14:paraId="0A80B388" w14:textId="77777777" w:rsidR="007E7472" w:rsidRDefault="00EC1269">
                    <w:pPr>
                      <w:jc w:val="center"/>
                      <w:rPr>
                        <w:bCs/>
                        <w:spacing w:val="-20"/>
                        <w:w w:val="80"/>
                        <w:szCs w:val="24"/>
                      </w:rPr>
                    </w:pPr>
                    <w:r>
                      <w:rPr>
                        <w:rFonts w:hint="eastAsia"/>
                        <w:spacing w:val="-20"/>
                        <w:w w:val="80"/>
                        <w:szCs w:val="24"/>
                      </w:rPr>
                      <w:t>期末</w:t>
                    </w:r>
                  </w:p>
                  <w:p w14:paraId="06740BC7" w14:textId="77777777" w:rsidR="007E7472" w:rsidRDefault="00EC1269">
                    <w:pPr>
                      <w:jc w:val="center"/>
                      <w:rPr>
                        <w:bCs/>
                        <w:spacing w:val="-20"/>
                        <w:w w:val="80"/>
                        <w:szCs w:val="24"/>
                      </w:rPr>
                    </w:pPr>
                    <w:r>
                      <w:rPr>
                        <w:rFonts w:hint="eastAsia"/>
                        <w:spacing w:val="-20"/>
                        <w:w w:val="80"/>
                        <w:szCs w:val="24"/>
                      </w:rPr>
                      <w:t>余额</w:t>
                    </w:r>
                  </w:p>
                </w:tc>
              </w:sdtContent>
            </w:sdt>
          </w:tr>
          <w:tr w:rsidR="007E7472" w14:paraId="655A500A" w14:textId="77777777" w:rsidTr="008862FC">
            <w:trPr>
              <w:cantSplit/>
              <w:trHeight w:val="397"/>
              <w:jc w:val="right"/>
            </w:trPr>
            <w:tc>
              <w:tcPr>
                <w:tcW w:w="720" w:type="pct"/>
                <w:shd w:val="clear" w:color="auto" w:fill="auto"/>
                <w:vAlign w:val="center"/>
              </w:tcPr>
              <w:p w14:paraId="3BC898FA" w14:textId="64149D18" w:rsidR="007E7472" w:rsidRPr="007E7472" w:rsidRDefault="00913748" w:rsidP="007E7472">
                <w:pPr>
                  <w:rPr>
                    <w:rFonts w:asciiTheme="minorEastAsia" w:eastAsiaTheme="minorEastAsia" w:hAnsiTheme="minorEastAsia"/>
                    <w:w w:val="80"/>
                  </w:rPr>
                </w:pPr>
                <w:r w:rsidRPr="007E7472">
                  <w:rPr>
                    <w:rFonts w:asciiTheme="minorEastAsia" w:eastAsiaTheme="minorEastAsia" w:hAnsiTheme="minorEastAsia" w:hint="eastAsia"/>
                    <w:w w:val="80"/>
                  </w:rPr>
                  <w:t>“</w:t>
                </w:r>
                <w:r w:rsidR="00EC1269" w:rsidRPr="007E7472">
                  <w:rPr>
                    <w:rFonts w:asciiTheme="minorEastAsia" w:eastAsiaTheme="minorEastAsia" w:hAnsiTheme="minorEastAsia"/>
                    <w:w w:val="80"/>
                  </w:rPr>
                  <w:t>12兖煤04</w:t>
                </w:r>
                <w:r w:rsidRPr="007E7472">
                  <w:rPr>
                    <w:rFonts w:asciiTheme="minorEastAsia" w:eastAsiaTheme="minorEastAsia" w:hAnsiTheme="minorEastAsia" w:hint="eastAsia"/>
                    <w:w w:val="80"/>
                  </w:rPr>
                  <w:t>”</w:t>
                </w:r>
                <w:r w:rsidR="00EC1269" w:rsidRPr="007E7472">
                  <w:rPr>
                    <w:rFonts w:asciiTheme="minorEastAsia" w:eastAsiaTheme="minorEastAsia" w:hAnsiTheme="minorEastAsia"/>
                    <w:w w:val="80"/>
                  </w:rPr>
                  <w:t>（注</w:t>
                </w:r>
                <w:r w:rsidRPr="007E7472">
                  <w:rPr>
                    <w:rFonts w:asciiTheme="minorEastAsia" w:eastAsiaTheme="minorEastAsia" w:hAnsiTheme="minorEastAsia" w:hint="eastAsia"/>
                    <w:w w:val="80"/>
                  </w:rPr>
                  <w:t>2</w:t>
                </w:r>
                <w:r w:rsidR="00EC1269" w:rsidRPr="007E7472">
                  <w:rPr>
                    <w:rFonts w:asciiTheme="minorEastAsia" w:eastAsiaTheme="minorEastAsia" w:hAnsiTheme="minorEastAsia"/>
                    <w:w w:val="80"/>
                  </w:rPr>
                  <w:t>）</w:t>
                </w:r>
              </w:p>
            </w:tc>
            <w:tc>
              <w:tcPr>
                <w:tcW w:w="224" w:type="pct"/>
                <w:shd w:val="clear" w:color="auto" w:fill="auto"/>
                <w:vAlign w:val="center"/>
              </w:tcPr>
              <w:p w14:paraId="19A179A4" w14:textId="57E44D53"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0.1</w:t>
                </w:r>
              </w:p>
            </w:tc>
            <w:tc>
              <w:tcPr>
                <w:tcW w:w="342" w:type="pct"/>
                <w:shd w:val="clear" w:color="auto" w:fill="auto"/>
                <w:vAlign w:val="center"/>
              </w:tcPr>
              <w:p w14:paraId="62C43708" w14:textId="77777777" w:rsidR="007E7472" w:rsidRPr="007E7472" w:rsidRDefault="00EC1269">
                <w:pPr>
                  <w:jc w:val="right"/>
                  <w:rPr>
                    <w:rFonts w:asciiTheme="minorEastAsia" w:eastAsiaTheme="minorEastAsia" w:hAnsiTheme="minorEastAsia"/>
                    <w:w w:val="80"/>
                  </w:rPr>
                </w:pPr>
                <w:r w:rsidRPr="007E7472">
                  <w:rPr>
                    <w:rFonts w:asciiTheme="minorEastAsia" w:eastAsiaTheme="minorEastAsia" w:hAnsiTheme="minorEastAsia"/>
                    <w:w w:val="80"/>
                  </w:rPr>
                  <w:t>2014-3-3</w:t>
                </w:r>
              </w:p>
            </w:tc>
            <w:tc>
              <w:tcPr>
                <w:tcW w:w="257" w:type="pct"/>
                <w:shd w:val="clear" w:color="auto" w:fill="auto"/>
                <w:vAlign w:val="center"/>
              </w:tcPr>
              <w:p w14:paraId="1C801F6D" w14:textId="77777777" w:rsidR="007E7472" w:rsidRPr="007E7472" w:rsidRDefault="00EC1269">
                <w:pPr>
                  <w:jc w:val="right"/>
                  <w:rPr>
                    <w:rFonts w:asciiTheme="minorEastAsia" w:eastAsiaTheme="minorEastAsia" w:hAnsiTheme="minorEastAsia"/>
                    <w:w w:val="80"/>
                  </w:rPr>
                </w:pPr>
                <w:r w:rsidRPr="007E7472">
                  <w:rPr>
                    <w:rFonts w:asciiTheme="minorEastAsia" w:eastAsiaTheme="minorEastAsia" w:hAnsiTheme="minorEastAsia"/>
                    <w:w w:val="80"/>
                  </w:rPr>
                  <w:t>10年</w:t>
                </w:r>
              </w:p>
            </w:tc>
            <w:tc>
              <w:tcPr>
                <w:tcW w:w="362" w:type="pct"/>
                <w:shd w:val="clear" w:color="auto" w:fill="auto"/>
                <w:vAlign w:val="center"/>
              </w:tcPr>
              <w:p w14:paraId="7A425330" w14:textId="77777777" w:rsidR="007E7472" w:rsidRPr="007E7472" w:rsidRDefault="00EC1269">
                <w:pPr>
                  <w:jc w:val="right"/>
                  <w:rPr>
                    <w:rFonts w:asciiTheme="minorEastAsia" w:eastAsiaTheme="minorEastAsia" w:hAnsiTheme="minorEastAsia"/>
                    <w:w w:val="80"/>
                  </w:rPr>
                </w:pPr>
                <w:r w:rsidRPr="007E7472">
                  <w:rPr>
                    <w:rFonts w:asciiTheme="minorEastAsia" w:eastAsiaTheme="minorEastAsia" w:hAnsiTheme="minorEastAsia"/>
                    <w:w w:val="80"/>
                  </w:rPr>
                  <w:t>3,050,000</w:t>
                </w:r>
              </w:p>
            </w:tc>
            <w:tc>
              <w:tcPr>
                <w:tcW w:w="361" w:type="pct"/>
                <w:shd w:val="clear" w:color="auto" w:fill="auto"/>
                <w:vAlign w:val="center"/>
              </w:tcPr>
              <w:p w14:paraId="5D7E5A49" w14:textId="77777777" w:rsidR="007E7472" w:rsidRPr="007E7472" w:rsidRDefault="00EC1269">
                <w:pPr>
                  <w:jc w:val="right"/>
                  <w:rPr>
                    <w:rFonts w:asciiTheme="minorEastAsia" w:eastAsiaTheme="minorEastAsia" w:hAnsiTheme="minorEastAsia"/>
                    <w:w w:val="80"/>
                  </w:rPr>
                </w:pPr>
                <w:r w:rsidRPr="007E7472">
                  <w:rPr>
                    <w:rFonts w:asciiTheme="minorEastAsia" w:eastAsiaTheme="minorEastAsia" w:hAnsiTheme="minorEastAsia"/>
                    <w:w w:val="80"/>
                  </w:rPr>
                  <w:t>3,047,342</w:t>
                </w:r>
              </w:p>
            </w:tc>
            <w:tc>
              <w:tcPr>
                <w:tcW w:w="361" w:type="pct"/>
                <w:shd w:val="clear" w:color="auto" w:fill="auto"/>
                <w:vAlign w:val="center"/>
              </w:tcPr>
              <w:p w14:paraId="535A9A7B" w14:textId="77777777" w:rsidR="007E7472" w:rsidRPr="007E7472" w:rsidRDefault="00C8327E">
                <w:pPr>
                  <w:jc w:val="right"/>
                  <w:rPr>
                    <w:rFonts w:asciiTheme="minorEastAsia" w:eastAsiaTheme="minorEastAsia" w:hAnsiTheme="minorEastAsia"/>
                    <w:w w:val="80"/>
                  </w:rPr>
                </w:pPr>
              </w:p>
            </w:tc>
            <w:tc>
              <w:tcPr>
                <w:tcW w:w="463" w:type="pct"/>
                <w:shd w:val="clear" w:color="auto" w:fill="auto"/>
                <w:vAlign w:val="center"/>
              </w:tcPr>
              <w:p w14:paraId="55E5331B" w14:textId="77777777" w:rsidR="007E7472" w:rsidRPr="007E7472" w:rsidRDefault="00EC1269">
                <w:pPr>
                  <w:jc w:val="right"/>
                  <w:rPr>
                    <w:rFonts w:asciiTheme="minorEastAsia" w:eastAsiaTheme="minorEastAsia" w:hAnsiTheme="minorEastAsia"/>
                    <w:w w:val="80"/>
                  </w:rPr>
                </w:pPr>
                <w:r w:rsidRPr="007E7472">
                  <w:rPr>
                    <w:rFonts w:asciiTheme="minorEastAsia" w:eastAsiaTheme="minorEastAsia" w:hAnsiTheme="minorEastAsia"/>
                    <w:w w:val="80"/>
                  </w:rPr>
                  <w:t>93,788</w:t>
                </w:r>
              </w:p>
            </w:tc>
            <w:tc>
              <w:tcPr>
                <w:tcW w:w="413" w:type="pct"/>
                <w:shd w:val="clear" w:color="auto" w:fill="auto"/>
                <w:vAlign w:val="center"/>
              </w:tcPr>
              <w:p w14:paraId="54E66527" w14:textId="77777777" w:rsidR="007E7472" w:rsidRPr="007E7472" w:rsidRDefault="00EC1269">
                <w:pPr>
                  <w:jc w:val="right"/>
                  <w:rPr>
                    <w:rFonts w:asciiTheme="minorEastAsia" w:eastAsiaTheme="minorEastAsia" w:hAnsiTheme="minorEastAsia"/>
                    <w:w w:val="80"/>
                  </w:rPr>
                </w:pPr>
                <w:r w:rsidRPr="007E7472">
                  <w:rPr>
                    <w:rFonts w:asciiTheme="minorEastAsia" w:eastAsiaTheme="minorEastAsia" w:hAnsiTheme="minorEastAsia"/>
                    <w:w w:val="80"/>
                  </w:rPr>
                  <w:t>1,525</w:t>
                </w:r>
              </w:p>
            </w:tc>
            <w:tc>
              <w:tcPr>
                <w:tcW w:w="310" w:type="pct"/>
                <w:shd w:val="clear" w:color="auto" w:fill="auto"/>
                <w:vAlign w:val="center"/>
              </w:tcPr>
              <w:p w14:paraId="25C37AE9" w14:textId="77777777" w:rsidR="007E7472" w:rsidRPr="007E7472" w:rsidRDefault="00C8327E">
                <w:pPr>
                  <w:jc w:val="right"/>
                  <w:rPr>
                    <w:rFonts w:asciiTheme="minorEastAsia" w:eastAsiaTheme="minorEastAsia" w:hAnsiTheme="minorEastAsia"/>
                    <w:w w:val="80"/>
                  </w:rPr>
                </w:pPr>
              </w:p>
            </w:tc>
            <w:tc>
              <w:tcPr>
                <w:tcW w:w="258" w:type="pct"/>
                <w:shd w:val="clear" w:color="auto" w:fill="auto"/>
                <w:vAlign w:val="center"/>
              </w:tcPr>
              <w:p w14:paraId="574F0C24" w14:textId="77777777" w:rsidR="007E7472" w:rsidRPr="007E7472" w:rsidRDefault="00C8327E">
                <w:pPr>
                  <w:jc w:val="right"/>
                  <w:rPr>
                    <w:rFonts w:asciiTheme="minorEastAsia" w:eastAsiaTheme="minorEastAsia" w:hAnsiTheme="minorEastAsia"/>
                    <w:w w:val="80"/>
                  </w:rPr>
                </w:pPr>
              </w:p>
            </w:tc>
            <w:tc>
              <w:tcPr>
                <w:tcW w:w="375" w:type="pct"/>
                <w:shd w:val="clear" w:color="auto" w:fill="auto"/>
                <w:vAlign w:val="center"/>
              </w:tcPr>
              <w:p w14:paraId="0E91B692" w14:textId="77777777" w:rsidR="007E7472" w:rsidRPr="007E7472" w:rsidRDefault="00EC1269">
                <w:pPr>
                  <w:jc w:val="right"/>
                  <w:rPr>
                    <w:rFonts w:asciiTheme="minorEastAsia" w:eastAsiaTheme="minorEastAsia" w:hAnsiTheme="minorEastAsia"/>
                    <w:w w:val="80"/>
                  </w:rPr>
                </w:pPr>
                <w:r w:rsidRPr="007E7472">
                  <w:rPr>
                    <w:rFonts w:asciiTheme="minorEastAsia" w:eastAsiaTheme="minorEastAsia" w:hAnsiTheme="minorEastAsia"/>
                    <w:w w:val="80"/>
                  </w:rPr>
                  <w:t>3,048,867</w:t>
                </w:r>
              </w:p>
            </w:tc>
            <w:tc>
              <w:tcPr>
                <w:tcW w:w="553" w:type="pct"/>
                <w:shd w:val="clear" w:color="auto" w:fill="auto"/>
                <w:vAlign w:val="center"/>
              </w:tcPr>
              <w:p w14:paraId="0715AB53" w14:textId="77777777" w:rsidR="007E7472" w:rsidRPr="007E7472" w:rsidRDefault="00C8327E">
                <w:pPr>
                  <w:jc w:val="right"/>
                  <w:rPr>
                    <w:rFonts w:asciiTheme="minorEastAsia" w:eastAsiaTheme="minorEastAsia" w:hAnsiTheme="minorEastAsia"/>
                    <w:w w:val="80"/>
                  </w:rPr>
                </w:pPr>
              </w:p>
            </w:tc>
          </w:tr>
          <w:tr w:rsidR="007E7472" w14:paraId="113C3125" w14:textId="77777777" w:rsidTr="008862FC">
            <w:trPr>
              <w:cantSplit/>
              <w:trHeight w:val="397"/>
              <w:jc w:val="right"/>
            </w:trPr>
            <w:tc>
              <w:tcPr>
                <w:tcW w:w="720" w:type="pct"/>
                <w:shd w:val="clear" w:color="auto" w:fill="auto"/>
                <w:vAlign w:val="center"/>
              </w:tcPr>
              <w:p w14:paraId="54BD7503" w14:textId="53D483F1" w:rsidR="007E7472" w:rsidRPr="007E7472" w:rsidRDefault="00913748" w:rsidP="007E7472">
                <w:pPr>
                  <w:rPr>
                    <w:rFonts w:asciiTheme="minorEastAsia" w:eastAsiaTheme="minorEastAsia" w:hAnsiTheme="minorEastAsia"/>
                    <w:w w:val="80"/>
                  </w:rPr>
                </w:pPr>
                <w:r w:rsidRPr="007E7472">
                  <w:rPr>
                    <w:rFonts w:asciiTheme="minorEastAsia" w:eastAsiaTheme="minorEastAsia" w:hAnsiTheme="minorEastAsia" w:hint="eastAsia"/>
                    <w:w w:val="80"/>
                  </w:rPr>
                  <w:t>“</w:t>
                </w:r>
                <w:r w:rsidRPr="007E7472">
                  <w:rPr>
                    <w:rFonts w:asciiTheme="minorEastAsia" w:eastAsiaTheme="minorEastAsia" w:hAnsiTheme="minorEastAsia"/>
                    <w:w w:val="80"/>
                  </w:rPr>
                  <w:t>20兖煤02</w:t>
                </w:r>
                <w:r w:rsidRPr="007E7472">
                  <w:rPr>
                    <w:rFonts w:asciiTheme="minorEastAsia" w:eastAsiaTheme="minorEastAsia" w:hAnsiTheme="minorEastAsia" w:hint="eastAsia"/>
                    <w:w w:val="80"/>
                  </w:rPr>
                  <w:t>”</w:t>
                </w:r>
              </w:p>
            </w:tc>
            <w:tc>
              <w:tcPr>
                <w:tcW w:w="224" w:type="pct"/>
                <w:shd w:val="clear" w:color="auto" w:fill="auto"/>
                <w:vAlign w:val="center"/>
              </w:tcPr>
              <w:p w14:paraId="033EC4B7" w14:textId="06AB4276"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0.1</w:t>
                </w:r>
              </w:p>
            </w:tc>
            <w:tc>
              <w:tcPr>
                <w:tcW w:w="342" w:type="pct"/>
                <w:shd w:val="clear" w:color="auto" w:fill="auto"/>
                <w:vAlign w:val="center"/>
              </w:tcPr>
              <w:p w14:paraId="1A0D650B"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2020-3-10</w:t>
                </w:r>
              </w:p>
            </w:tc>
            <w:tc>
              <w:tcPr>
                <w:tcW w:w="257" w:type="pct"/>
                <w:shd w:val="clear" w:color="auto" w:fill="auto"/>
                <w:vAlign w:val="center"/>
              </w:tcPr>
              <w:p w14:paraId="0EEA1232"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5年</w:t>
                </w:r>
              </w:p>
            </w:tc>
            <w:tc>
              <w:tcPr>
                <w:tcW w:w="362" w:type="pct"/>
                <w:shd w:val="clear" w:color="auto" w:fill="auto"/>
                <w:vAlign w:val="center"/>
              </w:tcPr>
              <w:p w14:paraId="44C8BF50"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2,700,000</w:t>
                </w:r>
              </w:p>
            </w:tc>
            <w:tc>
              <w:tcPr>
                <w:tcW w:w="361" w:type="pct"/>
                <w:shd w:val="clear" w:color="auto" w:fill="auto"/>
                <w:vAlign w:val="center"/>
              </w:tcPr>
              <w:p w14:paraId="64602DE9"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2,693,925</w:t>
                </w:r>
              </w:p>
            </w:tc>
            <w:tc>
              <w:tcPr>
                <w:tcW w:w="361" w:type="pct"/>
                <w:shd w:val="clear" w:color="auto" w:fill="auto"/>
                <w:vAlign w:val="center"/>
              </w:tcPr>
              <w:p w14:paraId="58CE3948" w14:textId="77777777" w:rsidR="007E7472" w:rsidRPr="007E7472" w:rsidRDefault="00C8327E" w:rsidP="007E7472">
                <w:pPr>
                  <w:jc w:val="right"/>
                  <w:rPr>
                    <w:rFonts w:asciiTheme="minorEastAsia" w:eastAsiaTheme="minorEastAsia" w:hAnsiTheme="minorEastAsia"/>
                    <w:w w:val="80"/>
                  </w:rPr>
                </w:pPr>
              </w:p>
            </w:tc>
            <w:tc>
              <w:tcPr>
                <w:tcW w:w="463" w:type="pct"/>
                <w:shd w:val="clear" w:color="auto" w:fill="auto"/>
                <w:vAlign w:val="center"/>
              </w:tcPr>
              <w:p w14:paraId="7A785FBC"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46,305</w:t>
                </w:r>
              </w:p>
            </w:tc>
            <w:tc>
              <w:tcPr>
                <w:tcW w:w="413" w:type="pct"/>
                <w:shd w:val="clear" w:color="auto" w:fill="auto"/>
                <w:vAlign w:val="center"/>
              </w:tcPr>
              <w:p w14:paraId="76FDB4AB"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1,350</w:t>
                </w:r>
              </w:p>
            </w:tc>
            <w:tc>
              <w:tcPr>
                <w:tcW w:w="310" w:type="pct"/>
                <w:shd w:val="clear" w:color="auto" w:fill="auto"/>
                <w:vAlign w:val="center"/>
              </w:tcPr>
              <w:p w14:paraId="7E08EA3F" w14:textId="77777777" w:rsidR="007E7472" w:rsidRPr="007E7472" w:rsidRDefault="00C8327E" w:rsidP="007E7472">
                <w:pPr>
                  <w:jc w:val="right"/>
                  <w:rPr>
                    <w:rFonts w:asciiTheme="minorEastAsia" w:eastAsiaTheme="minorEastAsia" w:hAnsiTheme="minorEastAsia"/>
                    <w:w w:val="80"/>
                  </w:rPr>
                </w:pPr>
              </w:p>
            </w:tc>
            <w:tc>
              <w:tcPr>
                <w:tcW w:w="258" w:type="pct"/>
                <w:shd w:val="clear" w:color="auto" w:fill="auto"/>
                <w:vAlign w:val="center"/>
              </w:tcPr>
              <w:p w14:paraId="370F62E8" w14:textId="77777777" w:rsidR="007E7472" w:rsidRPr="007E7472" w:rsidRDefault="00C8327E" w:rsidP="007E7472">
                <w:pPr>
                  <w:jc w:val="right"/>
                  <w:rPr>
                    <w:rFonts w:asciiTheme="minorEastAsia" w:eastAsiaTheme="minorEastAsia" w:hAnsiTheme="minorEastAsia"/>
                    <w:w w:val="80"/>
                  </w:rPr>
                </w:pPr>
              </w:p>
            </w:tc>
            <w:tc>
              <w:tcPr>
                <w:tcW w:w="375" w:type="pct"/>
                <w:shd w:val="clear" w:color="auto" w:fill="auto"/>
                <w:vAlign w:val="center"/>
              </w:tcPr>
              <w:p w14:paraId="64522709" w14:textId="77777777" w:rsidR="007E7472" w:rsidRPr="007E7472" w:rsidRDefault="00C8327E" w:rsidP="007E7472">
                <w:pPr>
                  <w:jc w:val="right"/>
                  <w:rPr>
                    <w:rFonts w:asciiTheme="minorEastAsia" w:eastAsiaTheme="minorEastAsia" w:hAnsiTheme="minorEastAsia"/>
                    <w:w w:val="80"/>
                  </w:rPr>
                </w:pPr>
              </w:p>
            </w:tc>
            <w:tc>
              <w:tcPr>
                <w:tcW w:w="553" w:type="pct"/>
                <w:shd w:val="clear" w:color="auto" w:fill="auto"/>
                <w:vAlign w:val="center"/>
              </w:tcPr>
              <w:p w14:paraId="3EB06C6C"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2,695,275</w:t>
                </w:r>
              </w:p>
            </w:tc>
          </w:tr>
          <w:tr w:rsidR="007E7472" w14:paraId="56AB9502" w14:textId="77777777" w:rsidTr="008862FC">
            <w:trPr>
              <w:cantSplit/>
              <w:trHeight w:val="397"/>
              <w:jc w:val="right"/>
            </w:trPr>
            <w:tc>
              <w:tcPr>
                <w:tcW w:w="720" w:type="pct"/>
                <w:shd w:val="clear" w:color="auto" w:fill="auto"/>
                <w:vAlign w:val="center"/>
              </w:tcPr>
              <w:p w14:paraId="4D361DF9" w14:textId="373AC04F" w:rsidR="007E7472" w:rsidRPr="007E7472" w:rsidRDefault="00913748" w:rsidP="007E7472">
                <w:pPr>
                  <w:rPr>
                    <w:rFonts w:asciiTheme="minorEastAsia" w:eastAsiaTheme="minorEastAsia" w:hAnsiTheme="minorEastAsia"/>
                    <w:w w:val="80"/>
                  </w:rPr>
                </w:pPr>
                <w:r w:rsidRPr="007E7472">
                  <w:rPr>
                    <w:rFonts w:asciiTheme="minorEastAsia" w:eastAsiaTheme="minorEastAsia" w:hAnsiTheme="minorEastAsia" w:hint="eastAsia"/>
                    <w:w w:val="80"/>
                  </w:rPr>
                  <w:t>“</w:t>
                </w:r>
                <w:r w:rsidRPr="007E7472">
                  <w:rPr>
                    <w:rFonts w:asciiTheme="minorEastAsia" w:eastAsiaTheme="minorEastAsia" w:hAnsiTheme="minorEastAsia"/>
                    <w:w w:val="80"/>
                  </w:rPr>
                  <w:t>20兖煤03</w:t>
                </w:r>
                <w:r w:rsidRPr="007E7472">
                  <w:rPr>
                    <w:rFonts w:asciiTheme="minorEastAsia" w:eastAsiaTheme="minorEastAsia" w:hAnsiTheme="minorEastAsia" w:hint="eastAsia"/>
                    <w:w w:val="80"/>
                  </w:rPr>
                  <w:t>”</w:t>
                </w:r>
              </w:p>
            </w:tc>
            <w:tc>
              <w:tcPr>
                <w:tcW w:w="224" w:type="pct"/>
                <w:shd w:val="clear" w:color="auto" w:fill="auto"/>
                <w:vAlign w:val="center"/>
              </w:tcPr>
              <w:p w14:paraId="3028C8E0" w14:textId="6267878F"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0.1</w:t>
                </w:r>
              </w:p>
            </w:tc>
            <w:tc>
              <w:tcPr>
                <w:tcW w:w="342" w:type="pct"/>
                <w:shd w:val="clear" w:color="auto" w:fill="auto"/>
                <w:vAlign w:val="center"/>
              </w:tcPr>
              <w:p w14:paraId="27AF170A"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2020-3-10</w:t>
                </w:r>
              </w:p>
            </w:tc>
            <w:tc>
              <w:tcPr>
                <w:tcW w:w="257" w:type="pct"/>
                <w:shd w:val="clear" w:color="auto" w:fill="auto"/>
                <w:vAlign w:val="center"/>
              </w:tcPr>
              <w:p w14:paraId="03139010"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10年</w:t>
                </w:r>
              </w:p>
            </w:tc>
            <w:tc>
              <w:tcPr>
                <w:tcW w:w="362" w:type="pct"/>
                <w:shd w:val="clear" w:color="auto" w:fill="auto"/>
                <w:vAlign w:val="center"/>
              </w:tcPr>
              <w:p w14:paraId="208A567C"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2,000,000</w:t>
                </w:r>
              </w:p>
            </w:tc>
            <w:tc>
              <w:tcPr>
                <w:tcW w:w="361" w:type="pct"/>
                <w:shd w:val="clear" w:color="auto" w:fill="auto"/>
                <w:vAlign w:val="center"/>
              </w:tcPr>
              <w:p w14:paraId="76248E04"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1,985,500</w:t>
                </w:r>
              </w:p>
            </w:tc>
            <w:tc>
              <w:tcPr>
                <w:tcW w:w="361" w:type="pct"/>
                <w:shd w:val="clear" w:color="auto" w:fill="auto"/>
                <w:vAlign w:val="center"/>
              </w:tcPr>
              <w:p w14:paraId="73691E6B" w14:textId="77777777" w:rsidR="007E7472" w:rsidRPr="007E7472" w:rsidRDefault="00C8327E" w:rsidP="007E7472">
                <w:pPr>
                  <w:jc w:val="right"/>
                  <w:rPr>
                    <w:rFonts w:asciiTheme="minorEastAsia" w:eastAsiaTheme="minorEastAsia" w:hAnsiTheme="minorEastAsia"/>
                    <w:w w:val="80"/>
                  </w:rPr>
                </w:pPr>
              </w:p>
            </w:tc>
            <w:tc>
              <w:tcPr>
                <w:tcW w:w="463" w:type="pct"/>
                <w:shd w:val="clear" w:color="auto" w:fill="auto"/>
                <w:vAlign w:val="center"/>
              </w:tcPr>
              <w:p w14:paraId="22C0EF86"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42,900</w:t>
                </w:r>
              </w:p>
            </w:tc>
            <w:tc>
              <w:tcPr>
                <w:tcW w:w="413" w:type="pct"/>
                <w:shd w:val="clear" w:color="auto" w:fill="auto"/>
                <w:vAlign w:val="center"/>
              </w:tcPr>
              <w:p w14:paraId="5EB1BCDF"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1,000</w:t>
                </w:r>
              </w:p>
            </w:tc>
            <w:tc>
              <w:tcPr>
                <w:tcW w:w="310" w:type="pct"/>
                <w:shd w:val="clear" w:color="auto" w:fill="auto"/>
                <w:vAlign w:val="center"/>
              </w:tcPr>
              <w:p w14:paraId="63A7A501" w14:textId="77777777" w:rsidR="007E7472" w:rsidRPr="007E7472" w:rsidRDefault="00C8327E" w:rsidP="007E7472">
                <w:pPr>
                  <w:jc w:val="right"/>
                  <w:rPr>
                    <w:rFonts w:asciiTheme="minorEastAsia" w:eastAsiaTheme="minorEastAsia" w:hAnsiTheme="minorEastAsia"/>
                    <w:w w:val="80"/>
                  </w:rPr>
                </w:pPr>
              </w:p>
            </w:tc>
            <w:tc>
              <w:tcPr>
                <w:tcW w:w="258" w:type="pct"/>
                <w:shd w:val="clear" w:color="auto" w:fill="auto"/>
                <w:vAlign w:val="center"/>
              </w:tcPr>
              <w:p w14:paraId="31720A14" w14:textId="77777777" w:rsidR="007E7472" w:rsidRPr="007E7472" w:rsidRDefault="00C8327E" w:rsidP="007E7472">
                <w:pPr>
                  <w:jc w:val="right"/>
                  <w:rPr>
                    <w:rFonts w:asciiTheme="minorEastAsia" w:eastAsiaTheme="minorEastAsia" w:hAnsiTheme="minorEastAsia"/>
                    <w:w w:val="80"/>
                  </w:rPr>
                </w:pPr>
              </w:p>
            </w:tc>
            <w:tc>
              <w:tcPr>
                <w:tcW w:w="375" w:type="pct"/>
                <w:shd w:val="clear" w:color="auto" w:fill="auto"/>
                <w:vAlign w:val="center"/>
              </w:tcPr>
              <w:p w14:paraId="7EF97E9F" w14:textId="77777777" w:rsidR="007E7472" w:rsidRPr="007E7472" w:rsidRDefault="00C8327E" w:rsidP="007E7472">
                <w:pPr>
                  <w:jc w:val="right"/>
                  <w:rPr>
                    <w:rFonts w:asciiTheme="minorEastAsia" w:eastAsiaTheme="minorEastAsia" w:hAnsiTheme="minorEastAsia"/>
                    <w:w w:val="80"/>
                  </w:rPr>
                </w:pPr>
              </w:p>
            </w:tc>
            <w:tc>
              <w:tcPr>
                <w:tcW w:w="553" w:type="pct"/>
                <w:shd w:val="clear" w:color="auto" w:fill="auto"/>
                <w:vAlign w:val="center"/>
              </w:tcPr>
              <w:p w14:paraId="447BA667"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1,986,500</w:t>
                </w:r>
              </w:p>
            </w:tc>
          </w:tr>
          <w:tr w:rsidR="007E7472" w14:paraId="3B8498DB" w14:textId="77777777" w:rsidTr="008862FC">
            <w:trPr>
              <w:cantSplit/>
              <w:trHeight w:val="397"/>
              <w:jc w:val="right"/>
            </w:trPr>
            <w:tc>
              <w:tcPr>
                <w:tcW w:w="720" w:type="pct"/>
                <w:shd w:val="clear" w:color="auto" w:fill="auto"/>
                <w:vAlign w:val="center"/>
              </w:tcPr>
              <w:p w14:paraId="0F805488" w14:textId="164E9B85" w:rsidR="007E7472" w:rsidRPr="007E7472" w:rsidRDefault="00913748" w:rsidP="007E7472">
                <w:pPr>
                  <w:rPr>
                    <w:rFonts w:asciiTheme="minorEastAsia" w:eastAsiaTheme="minorEastAsia" w:hAnsiTheme="minorEastAsia"/>
                    <w:w w:val="80"/>
                  </w:rPr>
                </w:pPr>
                <w:r w:rsidRPr="007E7472">
                  <w:rPr>
                    <w:rFonts w:asciiTheme="minorEastAsia" w:eastAsiaTheme="minorEastAsia" w:hAnsiTheme="minorEastAsia" w:hint="eastAsia"/>
                    <w:w w:val="80"/>
                  </w:rPr>
                  <w:t>“</w:t>
                </w:r>
                <w:r w:rsidRPr="007E7472">
                  <w:rPr>
                    <w:rFonts w:asciiTheme="minorEastAsia" w:eastAsiaTheme="minorEastAsia" w:hAnsiTheme="minorEastAsia"/>
                    <w:w w:val="80"/>
                  </w:rPr>
                  <w:t>20兖煤04</w:t>
                </w:r>
                <w:r w:rsidRPr="007E7472">
                  <w:rPr>
                    <w:rFonts w:asciiTheme="minorEastAsia" w:eastAsiaTheme="minorEastAsia" w:hAnsiTheme="minorEastAsia" w:hint="eastAsia"/>
                    <w:w w:val="80"/>
                  </w:rPr>
                  <w:t>”</w:t>
                </w:r>
              </w:p>
            </w:tc>
            <w:tc>
              <w:tcPr>
                <w:tcW w:w="224" w:type="pct"/>
                <w:shd w:val="clear" w:color="auto" w:fill="auto"/>
                <w:vAlign w:val="center"/>
              </w:tcPr>
              <w:p w14:paraId="4937A0F9" w14:textId="7D8662B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0.1</w:t>
                </w:r>
              </w:p>
            </w:tc>
            <w:tc>
              <w:tcPr>
                <w:tcW w:w="342" w:type="pct"/>
                <w:shd w:val="clear" w:color="auto" w:fill="auto"/>
                <w:vAlign w:val="center"/>
              </w:tcPr>
              <w:p w14:paraId="762759CE"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2020-10-21</w:t>
                </w:r>
              </w:p>
            </w:tc>
            <w:tc>
              <w:tcPr>
                <w:tcW w:w="257" w:type="pct"/>
                <w:shd w:val="clear" w:color="auto" w:fill="auto"/>
                <w:vAlign w:val="center"/>
              </w:tcPr>
              <w:p w14:paraId="5EAD1C82"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15年</w:t>
                </w:r>
              </w:p>
            </w:tc>
            <w:tc>
              <w:tcPr>
                <w:tcW w:w="362" w:type="pct"/>
                <w:shd w:val="clear" w:color="auto" w:fill="auto"/>
                <w:vAlign w:val="center"/>
              </w:tcPr>
              <w:p w14:paraId="322B9DFD"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3,500,000</w:t>
                </w:r>
              </w:p>
            </w:tc>
            <w:tc>
              <w:tcPr>
                <w:tcW w:w="361" w:type="pct"/>
                <w:shd w:val="clear" w:color="auto" w:fill="auto"/>
                <w:vAlign w:val="center"/>
              </w:tcPr>
              <w:p w14:paraId="4E58C8ED"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3,497,900</w:t>
                </w:r>
              </w:p>
            </w:tc>
            <w:tc>
              <w:tcPr>
                <w:tcW w:w="361" w:type="pct"/>
                <w:shd w:val="clear" w:color="auto" w:fill="auto"/>
                <w:vAlign w:val="center"/>
              </w:tcPr>
              <w:p w14:paraId="3F211A05" w14:textId="77777777" w:rsidR="007E7472" w:rsidRPr="007E7472" w:rsidRDefault="00C8327E" w:rsidP="007E7472">
                <w:pPr>
                  <w:jc w:val="right"/>
                  <w:rPr>
                    <w:rFonts w:asciiTheme="minorEastAsia" w:eastAsiaTheme="minorEastAsia" w:hAnsiTheme="minorEastAsia"/>
                    <w:w w:val="80"/>
                  </w:rPr>
                </w:pPr>
              </w:p>
            </w:tc>
            <w:tc>
              <w:tcPr>
                <w:tcW w:w="463" w:type="pct"/>
                <w:shd w:val="clear" w:color="auto" w:fill="auto"/>
                <w:vAlign w:val="center"/>
              </w:tcPr>
              <w:p w14:paraId="73EFF732"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68,075</w:t>
                </w:r>
              </w:p>
            </w:tc>
            <w:tc>
              <w:tcPr>
                <w:tcW w:w="413" w:type="pct"/>
                <w:shd w:val="clear" w:color="auto" w:fill="auto"/>
                <w:vAlign w:val="center"/>
              </w:tcPr>
              <w:p w14:paraId="57EB4102"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1,400</w:t>
                </w:r>
              </w:p>
            </w:tc>
            <w:tc>
              <w:tcPr>
                <w:tcW w:w="310" w:type="pct"/>
                <w:shd w:val="clear" w:color="auto" w:fill="auto"/>
                <w:vAlign w:val="center"/>
              </w:tcPr>
              <w:p w14:paraId="7729CFB3" w14:textId="77777777" w:rsidR="007E7472" w:rsidRPr="007E7472" w:rsidRDefault="00C8327E" w:rsidP="007E7472">
                <w:pPr>
                  <w:jc w:val="right"/>
                  <w:rPr>
                    <w:rFonts w:asciiTheme="minorEastAsia" w:eastAsiaTheme="minorEastAsia" w:hAnsiTheme="minorEastAsia"/>
                    <w:w w:val="80"/>
                  </w:rPr>
                </w:pPr>
              </w:p>
            </w:tc>
            <w:tc>
              <w:tcPr>
                <w:tcW w:w="258" w:type="pct"/>
                <w:shd w:val="clear" w:color="auto" w:fill="auto"/>
                <w:vAlign w:val="center"/>
              </w:tcPr>
              <w:p w14:paraId="1A120E66" w14:textId="77777777" w:rsidR="007E7472" w:rsidRPr="007E7472" w:rsidRDefault="00C8327E" w:rsidP="007E7472">
                <w:pPr>
                  <w:jc w:val="right"/>
                  <w:rPr>
                    <w:rFonts w:asciiTheme="minorEastAsia" w:eastAsiaTheme="minorEastAsia" w:hAnsiTheme="minorEastAsia"/>
                    <w:w w:val="80"/>
                  </w:rPr>
                </w:pPr>
              </w:p>
            </w:tc>
            <w:tc>
              <w:tcPr>
                <w:tcW w:w="375" w:type="pct"/>
                <w:shd w:val="clear" w:color="auto" w:fill="auto"/>
                <w:vAlign w:val="center"/>
              </w:tcPr>
              <w:p w14:paraId="41BF2902" w14:textId="77777777" w:rsidR="007E7472" w:rsidRPr="007E7472" w:rsidRDefault="00C8327E" w:rsidP="007E7472">
                <w:pPr>
                  <w:jc w:val="right"/>
                  <w:rPr>
                    <w:rFonts w:asciiTheme="minorEastAsia" w:eastAsiaTheme="minorEastAsia" w:hAnsiTheme="minorEastAsia"/>
                    <w:w w:val="80"/>
                  </w:rPr>
                </w:pPr>
              </w:p>
            </w:tc>
            <w:tc>
              <w:tcPr>
                <w:tcW w:w="553" w:type="pct"/>
                <w:shd w:val="clear" w:color="auto" w:fill="auto"/>
                <w:vAlign w:val="center"/>
              </w:tcPr>
              <w:p w14:paraId="5D951647"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3,499,300</w:t>
                </w:r>
              </w:p>
            </w:tc>
          </w:tr>
          <w:tr w:rsidR="007E7472" w14:paraId="4E986E05" w14:textId="77777777" w:rsidTr="008862FC">
            <w:trPr>
              <w:cantSplit/>
              <w:trHeight w:val="397"/>
              <w:jc w:val="right"/>
            </w:trPr>
            <w:tc>
              <w:tcPr>
                <w:tcW w:w="720" w:type="pct"/>
                <w:shd w:val="clear" w:color="auto" w:fill="auto"/>
                <w:vAlign w:val="center"/>
              </w:tcPr>
              <w:p w14:paraId="68E8D516" w14:textId="00C759C4" w:rsidR="007E7472" w:rsidRPr="007E7472" w:rsidRDefault="00913748" w:rsidP="007E7472">
                <w:pPr>
                  <w:rPr>
                    <w:rFonts w:asciiTheme="minorEastAsia" w:eastAsiaTheme="minorEastAsia" w:hAnsiTheme="minorEastAsia"/>
                    <w:w w:val="80"/>
                  </w:rPr>
                </w:pPr>
                <w:r w:rsidRPr="007E7472">
                  <w:rPr>
                    <w:rFonts w:asciiTheme="minorEastAsia" w:eastAsiaTheme="minorEastAsia" w:hAnsiTheme="minorEastAsia" w:hint="eastAsia"/>
                    <w:w w:val="80"/>
                  </w:rPr>
                  <w:t>“</w:t>
                </w:r>
                <w:r w:rsidRPr="007E7472">
                  <w:rPr>
                    <w:rFonts w:asciiTheme="minorEastAsia" w:eastAsiaTheme="minorEastAsia" w:hAnsiTheme="minorEastAsia"/>
                    <w:w w:val="80"/>
                  </w:rPr>
                  <w:t>20兖煤05</w:t>
                </w:r>
                <w:r w:rsidRPr="007E7472">
                  <w:rPr>
                    <w:rFonts w:asciiTheme="minorEastAsia" w:eastAsiaTheme="minorEastAsia" w:hAnsiTheme="minorEastAsia" w:hint="eastAsia"/>
                    <w:w w:val="80"/>
                  </w:rPr>
                  <w:t>”</w:t>
                </w:r>
              </w:p>
            </w:tc>
            <w:tc>
              <w:tcPr>
                <w:tcW w:w="224" w:type="pct"/>
                <w:shd w:val="clear" w:color="auto" w:fill="auto"/>
                <w:vAlign w:val="center"/>
              </w:tcPr>
              <w:p w14:paraId="47438A6D" w14:textId="5CF1AB5A"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0.1</w:t>
                </w:r>
              </w:p>
            </w:tc>
            <w:tc>
              <w:tcPr>
                <w:tcW w:w="342" w:type="pct"/>
                <w:shd w:val="clear" w:color="auto" w:fill="auto"/>
                <w:vAlign w:val="center"/>
              </w:tcPr>
              <w:p w14:paraId="052264D9"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2020-10-21</w:t>
                </w:r>
              </w:p>
            </w:tc>
            <w:tc>
              <w:tcPr>
                <w:tcW w:w="257" w:type="pct"/>
                <w:shd w:val="clear" w:color="auto" w:fill="auto"/>
                <w:vAlign w:val="center"/>
              </w:tcPr>
              <w:p w14:paraId="138385DE"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10年</w:t>
                </w:r>
              </w:p>
            </w:tc>
            <w:tc>
              <w:tcPr>
                <w:tcW w:w="362" w:type="pct"/>
                <w:shd w:val="clear" w:color="auto" w:fill="auto"/>
                <w:vAlign w:val="center"/>
              </w:tcPr>
              <w:p w14:paraId="37B34F7E"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1,500,000</w:t>
                </w:r>
              </w:p>
            </w:tc>
            <w:tc>
              <w:tcPr>
                <w:tcW w:w="361" w:type="pct"/>
                <w:shd w:val="clear" w:color="auto" w:fill="auto"/>
                <w:vAlign w:val="center"/>
              </w:tcPr>
              <w:p w14:paraId="74FD774D"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1,497,200</w:t>
                </w:r>
              </w:p>
            </w:tc>
            <w:tc>
              <w:tcPr>
                <w:tcW w:w="361" w:type="pct"/>
                <w:shd w:val="clear" w:color="auto" w:fill="auto"/>
                <w:vAlign w:val="center"/>
              </w:tcPr>
              <w:p w14:paraId="3AD6BFB5" w14:textId="77777777" w:rsidR="007E7472" w:rsidRPr="007E7472" w:rsidRDefault="00C8327E" w:rsidP="007E7472">
                <w:pPr>
                  <w:jc w:val="right"/>
                  <w:rPr>
                    <w:rFonts w:asciiTheme="minorEastAsia" w:eastAsiaTheme="minorEastAsia" w:hAnsiTheme="minorEastAsia"/>
                    <w:w w:val="80"/>
                  </w:rPr>
                </w:pPr>
              </w:p>
            </w:tc>
            <w:tc>
              <w:tcPr>
                <w:tcW w:w="463" w:type="pct"/>
                <w:shd w:val="clear" w:color="auto" w:fill="auto"/>
                <w:vAlign w:val="center"/>
              </w:tcPr>
              <w:p w14:paraId="5B854A9C"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32,025</w:t>
                </w:r>
              </w:p>
            </w:tc>
            <w:tc>
              <w:tcPr>
                <w:tcW w:w="413" w:type="pct"/>
                <w:shd w:val="clear" w:color="auto" w:fill="auto"/>
                <w:vAlign w:val="center"/>
              </w:tcPr>
              <w:p w14:paraId="238C23EE"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600</w:t>
                </w:r>
              </w:p>
            </w:tc>
            <w:tc>
              <w:tcPr>
                <w:tcW w:w="310" w:type="pct"/>
                <w:shd w:val="clear" w:color="auto" w:fill="auto"/>
                <w:vAlign w:val="center"/>
              </w:tcPr>
              <w:p w14:paraId="524B3275" w14:textId="77777777" w:rsidR="007E7472" w:rsidRPr="007E7472" w:rsidRDefault="00C8327E" w:rsidP="007E7472">
                <w:pPr>
                  <w:jc w:val="right"/>
                  <w:rPr>
                    <w:rFonts w:asciiTheme="minorEastAsia" w:eastAsiaTheme="minorEastAsia" w:hAnsiTheme="minorEastAsia"/>
                    <w:w w:val="80"/>
                  </w:rPr>
                </w:pPr>
              </w:p>
            </w:tc>
            <w:tc>
              <w:tcPr>
                <w:tcW w:w="258" w:type="pct"/>
                <w:shd w:val="clear" w:color="auto" w:fill="auto"/>
                <w:vAlign w:val="center"/>
              </w:tcPr>
              <w:p w14:paraId="29DB99E8" w14:textId="77777777" w:rsidR="007E7472" w:rsidRPr="007E7472" w:rsidRDefault="00C8327E" w:rsidP="007E7472">
                <w:pPr>
                  <w:jc w:val="right"/>
                  <w:rPr>
                    <w:rFonts w:asciiTheme="minorEastAsia" w:eastAsiaTheme="minorEastAsia" w:hAnsiTheme="minorEastAsia"/>
                    <w:w w:val="80"/>
                  </w:rPr>
                </w:pPr>
              </w:p>
            </w:tc>
            <w:tc>
              <w:tcPr>
                <w:tcW w:w="375" w:type="pct"/>
                <w:shd w:val="clear" w:color="auto" w:fill="auto"/>
                <w:vAlign w:val="center"/>
              </w:tcPr>
              <w:p w14:paraId="68AC263B" w14:textId="77777777" w:rsidR="007E7472" w:rsidRPr="007E7472" w:rsidRDefault="00C8327E" w:rsidP="007E7472">
                <w:pPr>
                  <w:jc w:val="right"/>
                  <w:rPr>
                    <w:rFonts w:asciiTheme="minorEastAsia" w:eastAsiaTheme="minorEastAsia" w:hAnsiTheme="minorEastAsia"/>
                    <w:w w:val="80"/>
                  </w:rPr>
                </w:pPr>
              </w:p>
            </w:tc>
            <w:tc>
              <w:tcPr>
                <w:tcW w:w="553" w:type="pct"/>
                <w:shd w:val="clear" w:color="auto" w:fill="auto"/>
                <w:vAlign w:val="center"/>
              </w:tcPr>
              <w:p w14:paraId="2F43942E"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1,497,800</w:t>
                </w:r>
              </w:p>
            </w:tc>
          </w:tr>
          <w:tr w:rsidR="007E7472" w14:paraId="63B873D4" w14:textId="77777777" w:rsidTr="008862FC">
            <w:trPr>
              <w:cantSplit/>
              <w:trHeight w:val="397"/>
              <w:jc w:val="right"/>
            </w:trPr>
            <w:tc>
              <w:tcPr>
                <w:tcW w:w="720" w:type="pct"/>
                <w:shd w:val="clear" w:color="auto" w:fill="auto"/>
                <w:vAlign w:val="center"/>
              </w:tcPr>
              <w:p w14:paraId="48C19054" w14:textId="66612662" w:rsidR="007E7472" w:rsidRPr="007E7472" w:rsidRDefault="00913748" w:rsidP="007E7472">
                <w:pPr>
                  <w:rPr>
                    <w:rFonts w:asciiTheme="minorEastAsia" w:eastAsiaTheme="minorEastAsia" w:hAnsiTheme="minorEastAsia"/>
                    <w:w w:val="80"/>
                  </w:rPr>
                </w:pPr>
                <w:r w:rsidRPr="007E7472">
                  <w:rPr>
                    <w:rFonts w:asciiTheme="minorEastAsia" w:eastAsiaTheme="minorEastAsia" w:hAnsiTheme="minorEastAsia" w:hint="eastAsia"/>
                    <w:w w:val="80"/>
                  </w:rPr>
                  <w:t>“</w:t>
                </w:r>
                <w:r w:rsidRPr="007E7472">
                  <w:rPr>
                    <w:rFonts w:asciiTheme="minorEastAsia" w:eastAsiaTheme="minorEastAsia" w:hAnsiTheme="minorEastAsia"/>
                    <w:w w:val="80"/>
                  </w:rPr>
                  <w:t>21兖煤01</w:t>
                </w:r>
                <w:r w:rsidRPr="007E7472">
                  <w:rPr>
                    <w:rFonts w:asciiTheme="minorEastAsia" w:eastAsiaTheme="minorEastAsia" w:hAnsiTheme="minorEastAsia" w:hint="eastAsia"/>
                    <w:w w:val="80"/>
                  </w:rPr>
                  <w:t>”</w:t>
                </w:r>
              </w:p>
            </w:tc>
            <w:tc>
              <w:tcPr>
                <w:tcW w:w="224" w:type="pct"/>
                <w:shd w:val="clear" w:color="auto" w:fill="auto"/>
                <w:vAlign w:val="center"/>
              </w:tcPr>
              <w:p w14:paraId="44CAD08A" w14:textId="59B954CE"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0.1</w:t>
                </w:r>
              </w:p>
            </w:tc>
            <w:tc>
              <w:tcPr>
                <w:tcW w:w="342" w:type="pct"/>
                <w:shd w:val="clear" w:color="auto" w:fill="auto"/>
                <w:vAlign w:val="center"/>
              </w:tcPr>
              <w:p w14:paraId="33AF18CC"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2021-5-28</w:t>
                </w:r>
              </w:p>
            </w:tc>
            <w:tc>
              <w:tcPr>
                <w:tcW w:w="257" w:type="pct"/>
                <w:shd w:val="clear" w:color="auto" w:fill="auto"/>
                <w:vAlign w:val="center"/>
              </w:tcPr>
              <w:p w14:paraId="5F571BB4"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3年</w:t>
                </w:r>
              </w:p>
            </w:tc>
            <w:tc>
              <w:tcPr>
                <w:tcW w:w="362" w:type="pct"/>
                <w:shd w:val="clear" w:color="auto" w:fill="auto"/>
                <w:vAlign w:val="center"/>
              </w:tcPr>
              <w:p w14:paraId="2BCEC12D"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3,000,000</w:t>
                </w:r>
              </w:p>
            </w:tc>
            <w:tc>
              <w:tcPr>
                <w:tcW w:w="361" w:type="pct"/>
                <w:shd w:val="clear" w:color="auto" w:fill="auto"/>
                <w:vAlign w:val="center"/>
              </w:tcPr>
              <w:p w14:paraId="35D5ADB2"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2,995,533</w:t>
                </w:r>
              </w:p>
            </w:tc>
            <w:tc>
              <w:tcPr>
                <w:tcW w:w="361" w:type="pct"/>
                <w:shd w:val="clear" w:color="auto" w:fill="auto"/>
                <w:vAlign w:val="center"/>
              </w:tcPr>
              <w:p w14:paraId="6175510A" w14:textId="77777777" w:rsidR="007E7472" w:rsidRPr="007E7472" w:rsidRDefault="00C8327E" w:rsidP="007E7472">
                <w:pPr>
                  <w:jc w:val="right"/>
                  <w:rPr>
                    <w:rFonts w:asciiTheme="minorEastAsia" w:eastAsiaTheme="minorEastAsia" w:hAnsiTheme="minorEastAsia"/>
                    <w:w w:val="80"/>
                  </w:rPr>
                </w:pPr>
              </w:p>
            </w:tc>
            <w:tc>
              <w:tcPr>
                <w:tcW w:w="463" w:type="pct"/>
                <w:shd w:val="clear" w:color="auto" w:fill="auto"/>
                <w:vAlign w:val="center"/>
              </w:tcPr>
              <w:p w14:paraId="6CB2E27E"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56,100</w:t>
                </w:r>
              </w:p>
            </w:tc>
            <w:tc>
              <w:tcPr>
                <w:tcW w:w="413" w:type="pct"/>
                <w:shd w:val="clear" w:color="auto" w:fill="auto"/>
                <w:vAlign w:val="center"/>
              </w:tcPr>
              <w:p w14:paraId="25A7F143"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1,200</w:t>
                </w:r>
              </w:p>
            </w:tc>
            <w:tc>
              <w:tcPr>
                <w:tcW w:w="310" w:type="pct"/>
                <w:shd w:val="clear" w:color="auto" w:fill="auto"/>
                <w:vAlign w:val="center"/>
              </w:tcPr>
              <w:p w14:paraId="36DF69FD" w14:textId="77777777" w:rsidR="007E7472" w:rsidRPr="007E7472" w:rsidRDefault="00C8327E" w:rsidP="007E7472">
                <w:pPr>
                  <w:jc w:val="right"/>
                  <w:rPr>
                    <w:rFonts w:asciiTheme="minorEastAsia" w:eastAsiaTheme="minorEastAsia" w:hAnsiTheme="minorEastAsia"/>
                    <w:w w:val="80"/>
                  </w:rPr>
                </w:pPr>
              </w:p>
            </w:tc>
            <w:tc>
              <w:tcPr>
                <w:tcW w:w="258" w:type="pct"/>
                <w:shd w:val="clear" w:color="auto" w:fill="auto"/>
                <w:vAlign w:val="center"/>
              </w:tcPr>
              <w:p w14:paraId="33F1CFCD" w14:textId="77777777" w:rsidR="007E7472" w:rsidRPr="007E7472" w:rsidRDefault="00C8327E" w:rsidP="007E7472">
                <w:pPr>
                  <w:jc w:val="right"/>
                  <w:rPr>
                    <w:rFonts w:asciiTheme="minorEastAsia" w:eastAsiaTheme="minorEastAsia" w:hAnsiTheme="minorEastAsia"/>
                    <w:w w:val="80"/>
                  </w:rPr>
                </w:pPr>
              </w:p>
            </w:tc>
            <w:tc>
              <w:tcPr>
                <w:tcW w:w="375" w:type="pct"/>
                <w:shd w:val="clear" w:color="auto" w:fill="auto"/>
                <w:vAlign w:val="center"/>
              </w:tcPr>
              <w:p w14:paraId="5EBDAA7C"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2,996,733</w:t>
                </w:r>
              </w:p>
            </w:tc>
            <w:tc>
              <w:tcPr>
                <w:tcW w:w="553" w:type="pct"/>
                <w:shd w:val="clear" w:color="auto" w:fill="auto"/>
                <w:vAlign w:val="center"/>
              </w:tcPr>
              <w:p w14:paraId="2D424E09" w14:textId="77777777" w:rsidR="007E7472" w:rsidRPr="007E7472" w:rsidRDefault="00C8327E" w:rsidP="007E7472">
                <w:pPr>
                  <w:jc w:val="right"/>
                  <w:rPr>
                    <w:rFonts w:asciiTheme="minorEastAsia" w:eastAsiaTheme="minorEastAsia" w:hAnsiTheme="minorEastAsia"/>
                    <w:w w:val="80"/>
                  </w:rPr>
                </w:pPr>
              </w:p>
            </w:tc>
          </w:tr>
          <w:tr w:rsidR="007E7472" w14:paraId="4B178FE6" w14:textId="77777777" w:rsidTr="008862FC">
            <w:trPr>
              <w:cantSplit/>
              <w:trHeight w:val="397"/>
              <w:jc w:val="right"/>
            </w:trPr>
            <w:tc>
              <w:tcPr>
                <w:tcW w:w="720" w:type="pct"/>
                <w:shd w:val="clear" w:color="auto" w:fill="auto"/>
                <w:vAlign w:val="center"/>
              </w:tcPr>
              <w:p w14:paraId="36406D93" w14:textId="056C5ACE" w:rsidR="007E7472" w:rsidRPr="007E7472" w:rsidRDefault="00913748" w:rsidP="007E7472">
                <w:pPr>
                  <w:rPr>
                    <w:rFonts w:asciiTheme="minorEastAsia" w:eastAsiaTheme="minorEastAsia" w:hAnsiTheme="minorEastAsia"/>
                    <w:w w:val="80"/>
                  </w:rPr>
                </w:pPr>
                <w:r w:rsidRPr="007E7472">
                  <w:rPr>
                    <w:rFonts w:asciiTheme="minorEastAsia" w:eastAsiaTheme="minorEastAsia" w:hAnsiTheme="minorEastAsia" w:hint="eastAsia"/>
                    <w:w w:val="80"/>
                  </w:rPr>
                  <w:t>“</w:t>
                </w:r>
                <w:r w:rsidRPr="007E7472">
                  <w:rPr>
                    <w:rFonts w:asciiTheme="minorEastAsia" w:eastAsiaTheme="minorEastAsia" w:hAnsiTheme="minorEastAsia"/>
                    <w:w w:val="80"/>
                  </w:rPr>
                  <w:t>21兖煤02</w:t>
                </w:r>
                <w:r w:rsidRPr="007E7472">
                  <w:rPr>
                    <w:rFonts w:asciiTheme="minorEastAsia" w:eastAsiaTheme="minorEastAsia" w:hAnsiTheme="minorEastAsia" w:hint="eastAsia"/>
                    <w:w w:val="80"/>
                  </w:rPr>
                  <w:t>”</w:t>
                </w:r>
              </w:p>
            </w:tc>
            <w:tc>
              <w:tcPr>
                <w:tcW w:w="224" w:type="pct"/>
                <w:shd w:val="clear" w:color="auto" w:fill="auto"/>
                <w:vAlign w:val="center"/>
              </w:tcPr>
              <w:p w14:paraId="60B866E8" w14:textId="6D0FBA4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0.1</w:t>
                </w:r>
              </w:p>
            </w:tc>
            <w:tc>
              <w:tcPr>
                <w:tcW w:w="342" w:type="pct"/>
                <w:shd w:val="clear" w:color="auto" w:fill="auto"/>
                <w:vAlign w:val="center"/>
              </w:tcPr>
              <w:p w14:paraId="1D50CF90"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2021-5-28</w:t>
                </w:r>
              </w:p>
            </w:tc>
            <w:tc>
              <w:tcPr>
                <w:tcW w:w="257" w:type="pct"/>
                <w:shd w:val="clear" w:color="auto" w:fill="auto"/>
                <w:vAlign w:val="center"/>
              </w:tcPr>
              <w:p w14:paraId="403795C3"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hint="eastAsia"/>
                    <w:w w:val="80"/>
                  </w:rPr>
                  <w:t>5年</w:t>
                </w:r>
              </w:p>
            </w:tc>
            <w:tc>
              <w:tcPr>
                <w:tcW w:w="362" w:type="pct"/>
                <w:shd w:val="clear" w:color="auto" w:fill="auto"/>
                <w:vAlign w:val="center"/>
              </w:tcPr>
              <w:p w14:paraId="2F793A80"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1,000,000</w:t>
                </w:r>
              </w:p>
            </w:tc>
            <w:tc>
              <w:tcPr>
                <w:tcW w:w="361" w:type="pct"/>
                <w:shd w:val="clear" w:color="auto" w:fill="auto"/>
                <w:vAlign w:val="center"/>
              </w:tcPr>
              <w:p w14:paraId="58C6001D"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998,200</w:t>
                </w:r>
              </w:p>
            </w:tc>
            <w:tc>
              <w:tcPr>
                <w:tcW w:w="361" w:type="pct"/>
                <w:shd w:val="clear" w:color="auto" w:fill="auto"/>
                <w:vAlign w:val="center"/>
              </w:tcPr>
              <w:p w14:paraId="3EFF3A8B" w14:textId="77777777" w:rsidR="007E7472" w:rsidRPr="007E7472" w:rsidRDefault="00C8327E" w:rsidP="007E7472">
                <w:pPr>
                  <w:jc w:val="right"/>
                  <w:rPr>
                    <w:rFonts w:asciiTheme="minorEastAsia" w:eastAsiaTheme="minorEastAsia" w:hAnsiTheme="minorEastAsia"/>
                    <w:w w:val="80"/>
                  </w:rPr>
                </w:pPr>
              </w:p>
            </w:tc>
            <w:tc>
              <w:tcPr>
                <w:tcW w:w="463" w:type="pct"/>
                <w:shd w:val="clear" w:color="auto" w:fill="auto"/>
                <w:vAlign w:val="center"/>
              </w:tcPr>
              <w:p w14:paraId="6075B073"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20,650</w:t>
                </w:r>
              </w:p>
            </w:tc>
            <w:tc>
              <w:tcPr>
                <w:tcW w:w="413" w:type="pct"/>
                <w:shd w:val="clear" w:color="auto" w:fill="auto"/>
                <w:vAlign w:val="center"/>
              </w:tcPr>
              <w:p w14:paraId="1DFF1055"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250</w:t>
                </w:r>
              </w:p>
            </w:tc>
            <w:tc>
              <w:tcPr>
                <w:tcW w:w="310" w:type="pct"/>
                <w:shd w:val="clear" w:color="auto" w:fill="auto"/>
                <w:vAlign w:val="center"/>
              </w:tcPr>
              <w:p w14:paraId="5D225D93" w14:textId="77777777" w:rsidR="007E7472" w:rsidRPr="007E7472" w:rsidRDefault="00C8327E" w:rsidP="007E7472">
                <w:pPr>
                  <w:jc w:val="right"/>
                  <w:rPr>
                    <w:rFonts w:asciiTheme="minorEastAsia" w:eastAsiaTheme="minorEastAsia" w:hAnsiTheme="minorEastAsia"/>
                    <w:w w:val="80"/>
                  </w:rPr>
                </w:pPr>
              </w:p>
            </w:tc>
            <w:tc>
              <w:tcPr>
                <w:tcW w:w="258" w:type="pct"/>
                <w:shd w:val="clear" w:color="auto" w:fill="auto"/>
                <w:vAlign w:val="center"/>
              </w:tcPr>
              <w:p w14:paraId="0A6CC24C" w14:textId="77777777" w:rsidR="007E7472" w:rsidRPr="007E7472" w:rsidRDefault="00C8327E" w:rsidP="007E7472">
                <w:pPr>
                  <w:jc w:val="right"/>
                  <w:rPr>
                    <w:rFonts w:asciiTheme="minorEastAsia" w:eastAsiaTheme="minorEastAsia" w:hAnsiTheme="minorEastAsia"/>
                    <w:w w:val="80"/>
                  </w:rPr>
                </w:pPr>
              </w:p>
            </w:tc>
            <w:tc>
              <w:tcPr>
                <w:tcW w:w="375" w:type="pct"/>
                <w:shd w:val="clear" w:color="auto" w:fill="auto"/>
                <w:vAlign w:val="center"/>
              </w:tcPr>
              <w:p w14:paraId="096694AF" w14:textId="77777777" w:rsidR="007E7472" w:rsidRPr="007E7472" w:rsidRDefault="00C8327E" w:rsidP="007E7472">
                <w:pPr>
                  <w:jc w:val="right"/>
                  <w:rPr>
                    <w:rFonts w:asciiTheme="minorEastAsia" w:eastAsiaTheme="minorEastAsia" w:hAnsiTheme="minorEastAsia"/>
                    <w:w w:val="80"/>
                  </w:rPr>
                </w:pPr>
              </w:p>
            </w:tc>
            <w:tc>
              <w:tcPr>
                <w:tcW w:w="553" w:type="pct"/>
                <w:shd w:val="clear" w:color="auto" w:fill="auto"/>
                <w:vAlign w:val="center"/>
              </w:tcPr>
              <w:p w14:paraId="3F62C475"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998,450</w:t>
                </w:r>
              </w:p>
            </w:tc>
          </w:tr>
          <w:tr w:rsidR="007E7472" w14:paraId="756F5932" w14:textId="77777777" w:rsidTr="008862FC">
            <w:trPr>
              <w:cantSplit/>
              <w:trHeight w:val="397"/>
              <w:jc w:val="right"/>
            </w:trPr>
            <w:tc>
              <w:tcPr>
                <w:tcW w:w="720" w:type="pct"/>
                <w:shd w:val="clear" w:color="auto" w:fill="auto"/>
                <w:vAlign w:val="center"/>
              </w:tcPr>
              <w:p w14:paraId="61F84AC3" w14:textId="58797E98" w:rsidR="007E7472" w:rsidRPr="007E7472" w:rsidRDefault="00913748" w:rsidP="007E7472">
                <w:pPr>
                  <w:rPr>
                    <w:rFonts w:asciiTheme="minorEastAsia" w:eastAsiaTheme="minorEastAsia" w:hAnsiTheme="minorEastAsia"/>
                    <w:w w:val="80"/>
                  </w:rPr>
                </w:pPr>
                <w:r w:rsidRPr="007E7472">
                  <w:rPr>
                    <w:rFonts w:asciiTheme="minorEastAsia" w:eastAsiaTheme="minorEastAsia" w:hAnsiTheme="minorEastAsia" w:hint="eastAsia"/>
                    <w:w w:val="80"/>
                  </w:rPr>
                  <w:t>“</w:t>
                </w:r>
                <w:r w:rsidRPr="007E7472">
                  <w:rPr>
                    <w:rFonts w:asciiTheme="minorEastAsia" w:eastAsiaTheme="minorEastAsia" w:hAnsiTheme="minorEastAsia"/>
                    <w:w w:val="80"/>
                  </w:rPr>
                  <w:t>23兖煤01</w:t>
                </w:r>
                <w:r w:rsidRPr="007E7472">
                  <w:rPr>
                    <w:rFonts w:asciiTheme="minorEastAsia" w:eastAsiaTheme="minorEastAsia" w:hAnsiTheme="minorEastAsia" w:hint="eastAsia"/>
                    <w:w w:val="80"/>
                  </w:rPr>
                  <w:t>”</w:t>
                </w:r>
              </w:p>
            </w:tc>
            <w:tc>
              <w:tcPr>
                <w:tcW w:w="224" w:type="pct"/>
                <w:shd w:val="clear" w:color="auto" w:fill="auto"/>
                <w:vAlign w:val="center"/>
              </w:tcPr>
              <w:p w14:paraId="0D58FD60" w14:textId="78306EC2"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0.1</w:t>
                </w:r>
              </w:p>
            </w:tc>
            <w:tc>
              <w:tcPr>
                <w:tcW w:w="342" w:type="pct"/>
                <w:shd w:val="clear" w:color="auto" w:fill="auto"/>
                <w:vAlign w:val="center"/>
              </w:tcPr>
              <w:p w14:paraId="29FCF9E2"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2023-5-25</w:t>
                </w:r>
              </w:p>
            </w:tc>
            <w:tc>
              <w:tcPr>
                <w:tcW w:w="257" w:type="pct"/>
                <w:shd w:val="clear" w:color="auto" w:fill="auto"/>
                <w:vAlign w:val="center"/>
              </w:tcPr>
              <w:p w14:paraId="690B1ACE"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5年</w:t>
                </w:r>
              </w:p>
            </w:tc>
            <w:tc>
              <w:tcPr>
                <w:tcW w:w="362" w:type="pct"/>
                <w:shd w:val="clear" w:color="auto" w:fill="auto"/>
                <w:vAlign w:val="center"/>
              </w:tcPr>
              <w:p w14:paraId="6A104A84"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1,000,000</w:t>
                </w:r>
              </w:p>
            </w:tc>
            <w:tc>
              <w:tcPr>
                <w:tcW w:w="361" w:type="pct"/>
                <w:shd w:val="clear" w:color="auto" w:fill="auto"/>
                <w:vAlign w:val="center"/>
              </w:tcPr>
              <w:p w14:paraId="0E07A98F" w14:textId="77777777" w:rsidR="007E7472" w:rsidRPr="007E7472" w:rsidRDefault="00C8327E" w:rsidP="007E7472">
                <w:pPr>
                  <w:jc w:val="right"/>
                  <w:rPr>
                    <w:rFonts w:asciiTheme="minorEastAsia" w:eastAsiaTheme="minorEastAsia" w:hAnsiTheme="minorEastAsia"/>
                    <w:w w:val="80"/>
                  </w:rPr>
                </w:pPr>
              </w:p>
            </w:tc>
            <w:tc>
              <w:tcPr>
                <w:tcW w:w="361" w:type="pct"/>
                <w:shd w:val="clear" w:color="auto" w:fill="auto"/>
                <w:vAlign w:val="center"/>
              </w:tcPr>
              <w:p w14:paraId="5700933D"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999,800</w:t>
                </w:r>
              </w:p>
            </w:tc>
            <w:tc>
              <w:tcPr>
                <w:tcW w:w="463" w:type="pct"/>
                <w:shd w:val="clear" w:color="auto" w:fill="auto"/>
                <w:vAlign w:val="center"/>
              </w:tcPr>
              <w:p w14:paraId="4C1D5F28"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2,783</w:t>
                </w:r>
              </w:p>
            </w:tc>
            <w:tc>
              <w:tcPr>
                <w:tcW w:w="413" w:type="pct"/>
                <w:shd w:val="clear" w:color="auto" w:fill="auto"/>
                <w:vAlign w:val="center"/>
              </w:tcPr>
              <w:p w14:paraId="1DD84CC3"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34</w:t>
                </w:r>
              </w:p>
            </w:tc>
            <w:tc>
              <w:tcPr>
                <w:tcW w:w="310" w:type="pct"/>
                <w:shd w:val="clear" w:color="auto" w:fill="auto"/>
                <w:vAlign w:val="center"/>
              </w:tcPr>
              <w:p w14:paraId="0E059668" w14:textId="77777777" w:rsidR="007E7472" w:rsidRPr="007E7472" w:rsidRDefault="00C8327E" w:rsidP="007E7472">
                <w:pPr>
                  <w:jc w:val="right"/>
                  <w:rPr>
                    <w:rFonts w:asciiTheme="minorEastAsia" w:eastAsiaTheme="minorEastAsia" w:hAnsiTheme="minorEastAsia"/>
                    <w:w w:val="80"/>
                  </w:rPr>
                </w:pPr>
              </w:p>
            </w:tc>
            <w:tc>
              <w:tcPr>
                <w:tcW w:w="258" w:type="pct"/>
                <w:shd w:val="clear" w:color="auto" w:fill="auto"/>
                <w:vAlign w:val="center"/>
              </w:tcPr>
              <w:p w14:paraId="0767C4CA" w14:textId="77777777" w:rsidR="007E7472" w:rsidRPr="007E7472" w:rsidRDefault="00C8327E" w:rsidP="007E7472">
                <w:pPr>
                  <w:jc w:val="right"/>
                  <w:rPr>
                    <w:rFonts w:asciiTheme="minorEastAsia" w:eastAsiaTheme="minorEastAsia" w:hAnsiTheme="minorEastAsia"/>
                    <w:w w:val="80"/>
                  </w:rPr>
                </w:pPr>
              </w:p>
            </w:tc>
            <w:tc>
              <w:tcPr>
                <w:tcW w:w="375" w:type="pct"/>
                <w:shd w:val="clear" w:color="auto" w:fill="auto"/>
                <w:vAlign w:val="center"/>
              </w:tcPr>
              <w:p w14:paraId="32F524EB" w14:textId="77777777" w:rsidR="007E7472" w:rsidRPr="007E7472" w:rsidRDefault="00C8327E" w:rsidP="007E7472">
                <w:pPr>
                  <w:jc w:val="right"/>
                  <w:rPr>
                    <w:rFonts w:asciiTheme="minorEastAsia" w:eastAsiaTheme="minorEastAsia" w:hAnsiTheme="minorEastAsia"/>
                    <w:w w:val="80"/>
                  </w:rPr>
                </w:pPr>
              </w:p>
            </w:tc>
            <w:tc>
              <w:tcPr>
                <w:tcW w:w="553" w:type="pct"/>
                <w:shd w:val="clear" w:color="auto" w:fill="auto"/>
                <w:vAlign w:val="center"/>
              </w:tcPr>
              <w:p w14:paraId="0196134E"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999,834</w:t>
                </w:r>
              </w:p>
            </w:tc>
          </w:tr>
          <w:tr w:rsidR="007E7472" w14:paraId="67BCB91D" w14:textId="77777777" w:rsidTr="008862FC">
            <w:trPr>
              <w:cantSplit/>
              <w:trHeight w:val="397"/>
              <w:jc w:val="right"/>
            </w:trPr>
            <w:tc>
              <w:tcPr>
                <w:tcW w:w="720" w:type="pct"/>
                <w:shd w:val="clear" w:color="auto" w:fill="auto"/>
                <w:vAlign w:val="center"/>
              </w:tcPr>
              <w:p w14:paraId="4BBDC668" w14:textId="6F7B17A6" w:rsidR="007E7472" w:rsidRPr="007E7472" w:rsidRDefault="00913748" w:rsidP="007E7472">
                <w:pPr>
                  <w:rPr>
                    <w:rFonts w:asciiTheme="minorEastAsia" w:eastAsiaTheme="minorEastAsia" w:hAnsiTheme="minorEastAsia"/>
                    <w:w w:val="80"/>
                  </w:rPr>
                </w:pPr>
                <w:r w:rsidRPr="007E7472">
                  <w:rPr>
                    <w:rFonts w:asciiTheme="minorEastAsia" w:eastAsiaTheme="minorEastAsia" w:hAnsiTheme="minorEastAsia" w:hint="eastAsia"/>
                    <w:w w:val="80"/>
                  </w:rPr>
                  <w:t>“</w:t>
                </w:r>
                <w:r w:rsidRPr="007E7472">
                  <w:rPr>
                    <w:rFonts w:asciiTheme="minorEastAsia" w:eastAsiaTheme="minorEastAsia" w:hAnsiTheme="minorEastAsia"/>
                    <w:w w:val="80"/>
                  </w:rPr>
                  <w:t>23兖煤02</w:t>
                </w:r>
                <w:r w:rsidRPr="007E7472">
                  <w:rPr>
                    <w:rFonts w:asciiTheme="minorEastAsia" w:eastAsiaTheme="minorEastAsia" w:hAnsiTheme="minorEastAsia" w:hint="eastAsia"/>
                    <w:w w:val="80"/>
                  </w:rPr>
                  <w:t>”</w:t>
                </w:r>
              </w:p>
            </w:tc>
            <w:tc>
              <w:tcPr>
                <w:tcW w:w="224" w:type="pct"/>
                <w:shd w:val="clear" w:color="auto" w:fill="auto"/>
                <w:vAlign w:val="center"/>
              </w:tcPr>
              <w:p w14:paraId="4A7150BB" w14:textId="67F07D32"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0.1</w:t>
                </w:r>
              </w:p>
            </w:tc>
            <w:tc>
              <w:tcPr>
                <w:tcW w:w="342" w:type="pct"/>
                <w:shd w:val="clear" w:color="auto" w:fill="auto"/>
                <w:vAlign w:val="center"/>
              </w:tcPr>
              <w:p w14:paraId="783304AD"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2023-5-25</w:t>
                </w:r>
              </w:p>
            </w:tc>
            <w:tc>
              <w:tcPr>
                <w:tcW w:w="257" w:type="pct"/>
                <w:shd w:val="clear" w:color="auto" w:fill="auto"/>
                <w:vAlign w:val="center"/>
              </w:tcPr>
              <w:p w14:paraId="58474C85"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10年</w:t>
                </w:r>
              </w:p>
            </w:tc>
            <w:tc>
              <w:tcPr>
                <w:tcW w:w="362" w:type="pct"/>
                <w:shd w:val="clear" w:color="auto" w:fill="auto"/>
                <w:vAlign w:val="center"/>
              </w:tcPr>
              <w:p w14:paraId="424F64E8"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2,000,000</w:t>
                </w:r>
              </w:p>
            </w:tc>
            <w:tc>
              <w:tcPr>
                <w:tcW w:w="361" w:type="pct"/>
                <w:shd w:val="clear" w:color="auto" w:fill="auto"/>
                <w:vAlign w:val="center"/>
              </w:tcPr>
              <w:p w14:paraId="7ADEE2E8" w14:textId="77777777" w:rsidR="007E7472" w:rsidRPr="007E7472" w:rsidRDefault="00C8327E" w:rsidP="007E7472">
                <w:pPr>
                  <w:jc w:val="right"/>
                  <w:rPr>
                    <w:rFonts w:asciiTheme="minorEastAsia" w:eastAsiaTheme="minorEastAsia" w:hAnsiTheme="minorEastAsia"/>
                    <w:w w:val="80"/>
                  </w:rPr>
                </w:pPr>
              </w:p>
            </w:tc>
            <w:tc>
              <w:tcPr>
                <w:tcW w:w="361" w:type="pct"/>
                <w:shd w:val="clear" w:color="auto" w:fill="auto"/>
                <w:vAlign w:val="center"/>
              </w:tcPr>
              <w:p w14:paraId="53B3DB30"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1,999,600</w:t>
                </w:r>
              </w:p>
            </w:tc>
            <w:tc>
              <w:tcPr>
                <w:tcW w:w="463" w:type="pct"/>
                <w:shd w:val="clear" w:color="auto" w:fill="auto"/>
                <w:vAlign w:val="center"/>
              </w:tcPr>
              <w:p w14:paraId="35EC927C"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6,333</w:t>
                </w:r>
              </w:p>
            </w:tc>
            <w:tc>
              <w:tcPr>
                <w:tcW w:w="413" w:type="pct"/>
                <w:shd w:val="clear" w:color="auto" w:fill="auto"/>
                <w:vAlign w:val="center"/>
              </w:tcPr>
              <w:p w14:paraId="4FBC74EA"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67</w:t>
                </w:r>
              </w:p>
            </w:tc>
            <w:tc>
              <w:tcPr>
                <w:tcW w:w="310" w:type="pct"/>
                <w:shd w:val="clear" w:color="auto" w:fill="auto"/>
                <w:vAlign w:val="center"/>
              </w:tcPr>
              <w:p w14:paraId="0BDE14FF" w14:textId="77777777" w:rsidR="007E7472" w:rsidRPr="007E7472" w:rsidRDefault="00C8327E" w:rsidP="007E7472">
                <w:pPr>
                  <w:jc w:val="right"/>
                  <w:rPr>
                    <w:rFonts w:asciiTheme="minorEastAsia" w:eastAsiaTheme="minorEastAsia" w:hAnsiTheme="minorEastAsia"/>
                    <w:w w:val="80"/>
                  </w:rPr>
                </w:pPr>
              </w:p>
            </w:tc>
            <w:tc>
              <w:tcPr>
                <w:tcW w:w="258" w:type="pct"/>
                <w:shd w:val="clear" w:color="auto" w:fill="auto"/>
                <w:vAlign w:val="center"/>
              </w:tcPr>
              <w:p w14:paraId="61D821E6" w14:textId="77777777" w:rsidR="007E7472" w:rsidRPr="007E7472" w:rsidRDefault="00C8327E" w:rsidP="007E7472">
                <w:pPr>
                  <w:jc w:val="right"/>
                  <w:rPr>
                    <w:rFonts w:asciiTheme="minorEastAsia" w:eastAsiaTheme="minorEastAsia" w:hAnsiTheme="minorEastAsia"/>
                    <w:w w:val="80"/>
                  </w:rPr>
                </w:pPr>
              </w:p>
            </w:tc>
            <w:tc>
              <w:tcPr>
                <w:tcW w:w="375" w:type="pct"/>
                <w:shd w:val="clear" w:color="auto" w:fill="auto"/>
                <w:vAlign w:val="center"/>
              </w:tcPr>
              <w:p w14:paraId="3B99554A" w14:textId="77777777" w:rsidR="007E7472" w:rsidRPr="007E7472" w:rsidRDefault="00C8327E" w:rsidP="007E7472">
                <w:pPr>
                  <w:jc w:val="right"/>
                  <w:rPr>
                    <w:rFonts w:asciiTheme="minorEastAsia" w:eastAsiaTheme="minorEastAsia" w:hAnsiTheme="minorEastAsia"/>
                    <w:w w:val="80"/>
                  </w:rPr>
                </w:pPr>
              </w:p>
            </w:tc>
            <w:tc>
              <w:tcPr>
                <w:tcW w:w="553" w:type="pct"/>
                <w:shd w:val="clear" w:color="auto" w:fill="auto"/>
                <w:vAlign w:val="center"/>
              </w:tcPr>
              <w:p w14:paraId="0469BE78"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1,999,667</w:t>
                </w:r>
              </w:p>
            </w:tc>
          </w:tr>
          <w:tr w:rsidR="007E7472" w14:paraId="6B887012" w14:textId="77777777" w:rsidTr="008862FC">
            <w:trPr>
              <w:cantSplit/>
              <w:trHeight w:val="397"/>
              <w:jc w:val="right"/>
            </w:trPr>
            <w:tc>
              <w:tcPr>
                <w:tcW w:w="720" w:type="pct"/>
                <w:shd w:val="clear" w:color="auto" w:fill="auto"/>
                <w:vAlign w:val="center"/>
              </w:tcPr>
              <w:p w14:paraId="4E167E3A" w14:textId="26025026" w:rsidR="007E7472" w:rsidRPr="007E7472" w:rsidRDefault="00913748" w:rsidP="007E7472">
                <w:pPr>
                  <w:rPr>
                    <w:rFonts w:asciiTheme="minorEastAsia" w:eastAsiaTheme="minorEastAsia" w:hAnsiTheme="minorEastAsia"/>
                    <w:w w:val="80"/>
                  </w:rPr>
                </w:pPr>
                <w:r w:rsidRPr="007E7472">
                  <w:rPr>
                    <w:rFonts w:asciiTheme="minorEastAsia" w:eastAsiaTheme="minorEastAsia" w:hAnsiTheme="minorEastAsia" w:hint="eastAsia"/>
                    <w:w w:val="80"/>
                  </w:rPr>
                  <w:t>“</w:t>
                </w:r>
                <w:r w:rsidRPr="007E7472">
                  <w:rPr>
                    <w:rFonts w:asciiTheme="minorEastAsia" w:eastAsiaTheme="minorEastAsia" w:hAnsiTheme="minorEastAsia"/>
                    <w:w w:val="80"/>
                  </w:rPr>
                  <w:t>23兖煤04</w:t>
                </w:r>
                <w:r w:rsidRPr="007E7472">
                  <w:rPr>
                    <w:rFonts w:asciiTheme="minorEastAsia" w:eastAsiaTheme="minorEastAsia" w:hAnsiTheme="minorEastAsia" w:hint="eastAsia"/>
                    <w:w w:val="80"/>
                  </w:rPr>
                  <w:t>”</w:t>
                </w:r>
              </w:p>
            </w:tc>
            <w:tc>
              <w:tcPr>
                <w:tcW w:w="224" w:type="pct"/>
                <w:shd w:val="clear" w:color="auto" w:fill="auto"/>
                <w:vAlign w:val="center"/>
              </w:tcPr>
              <w:p w14:paraId="4FF5581A" w14:textId="6619E14E"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0.1</w:t>
                </w:r>
              </w:p>
            </w:tc>
            <w:tc>
              <w:tcPr>
                <w:tcW w:w="342" w:type="pct"/>
                <w:shd w:val="clear" w:color="auto" w:fill="auto"/>
                <w:vAlign w:val="center"/>
              </w:tcPr>
              <w:p w14:paraId="1241BFE7"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2023-6-15</w:t>
                </w:r>
              </w:p>
            </w:tc>
            <w:tc>
              <w:tcPr>
                <w:tcW w:w="257" w:type="pct"/>
                <w:shd w:val="clear" w:color="auto" w:fill="auto"/>
                <w:vAlign w:val="center"/>
              </w:tcPr>
              <w:p w14:paraId="7F6BCE51"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10年</w:t>
                </w:r>
              </w:p>
            </w:tc>
            <w:tc>
              <w:tcPr>
                <w:tcW w:w="362" w:type="pct"/>
                <w:shd w:val="clear" w:color="auto" w:fill="auto"/>
                <w:vAlign w:val="center"/>
              </w:tcPr>
              <w:p w14:paraId="65D6EB9D"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2,000,000</w:t>
                </w:r>
              </w:p>
            </w:tc>
            <w:tc>
              <w:tcPr>
                <w:tcW w:w="361" w:type="pct"/>
                <w:shd w:val="clear" w:color="auto" w:fill="auto"/>
                <w:vAlign w:val="center"/>
              </w:tcPr>
              <w:p w14:paraId="0119DF59" w14:textId="77777777" w:rsidR="007E7472" w:rsidRPr="007E7472" w:rsidRDefault="00C8327E" w:rsidP="007E7472">
                <w:pPr>
                  <w:jc w:val="right"/>
                  <w:rPr>
                    <w:rFonts w:asciiTheme="minorEastAsia" w:eastAsiaTheme="minorEastAsia" w:hAnsiTheme="minorEastAsia"/>
                    <w:w w:val="80"/>
                  </w:rPr>
                </w:pPr>
              </w:p>
            </w:tc>
            <w:tc>
              <w:tcPr>
                <w:tcW w:w="361" w:type="pct"/>
                <w:shd w:val="clear" w:color="auto" w:fill="auto"/>
                <w:vAlign w:val="center"/>
              </w:tcPr>
              <w:p w14:paraId="589A0FBB"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1,999,600</w:t>
                </w:r>
              </w:p>
            </w:tc>
            <w:tc>
              <w:tcPr>
                <w:tcW w:w="463" w:type="pct"/>
                <w:shd w:val="clear" w:color="auto" w:fill="auto"/>
                <w:vAlign w:val="center"/>
              </w:tcPr>
              <w:p w14:paraId="295A4DD5"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6,250</w:t>
                </w:r>
              </w:p>
            </w:tc>
            <w:tc>
              <w:tcPr>
                <w:tcW w:w="413" w:type="pct"/>
                <w:shd w:val="clear" w:color="auto" w:fill="auto"/>
                <w:vAlign w:val="center"/>
              </w:tcPr>
              <w:p w14:paraId="08689B9B"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33</w:t>
                </w:r>
              </w:p>
            </w:tc>
            <w:tc>
              <w:tcPr>
                <w:tcW w:w="310" w:type="pct"/>
                <w:shd w:val="clear" w:color="auto" w:fill="auto"/>
                <w:vAlign w:val="center"/>
              </w:tcPr>
              <w:p w14:paraId="302637C4" w14:textId="77777777" w:rsidR="007E7472" w:rsidRPr="007E7472" w:rsidRDefault="00C8327E" w:rsidP="007E7472">
                <w:pPr>
                  <w:jc w:val="right"/>
                  <w:rPr>
                    <w:rFonts w:asciiTheme="minorEastAsia" w:eastAsiaTheme="minorEastAsia" w:hAnsiTheme="minorEastAsia"/>
                    <w:w w:val="80"/>
                  </w:rPr>
                </w:pPr>
              </w:p>
            </w:tc>
            <w:tc>
              <w:tcPr>
                <w:tcW w:w="258" w:type="pct"/>
                <w:shd w:val="clear" w:color="auto" w:fill="auto"/>
                <w:vAlign w:val="center"/>
              </w:tcPr>
              <w:p w14:paraId="4536255B" w14:textId="77777777" w:rsidR="007E7472" w:rsidRPr="007E7472" w:rsidRDefault="00C8327E" w:rsidP="007E7472">
                <w:pPr>
                  <w:jc w:val="right"/>
                  <w:rPr>
                    <w:rFonts w:asciiTheme="minorEastAsia" w:eastAsiaTheme="minorEastAsia" w:hAnsiTheme="minorEastAsia"/>
                    <w:w w:val="80"/>
                  </w:rPr>
                </w:pPr>
              </w:p>
            </w:tc>
            <w:tc>
              <w:tcPr>
                <w:tcW w:w="375" w:type="pct"/>
                <w:shd w:val="clear" w:color="auto" w:fill="auto"/>
                <w:vAlign w:val="center"/>
              </w:tcPr>
              <w:p w14:paraId="4943F504" w14:textId="77777777" w:rsidR="007E7472" w:rsidRPr="007E7472" w:rsidRDefault="00C8327E" w:rsidP="007E7472">
                <w:pPr>
                  <w:jc w:val="right"/>
                  <w:rPr>
                    <w:rFonts w:asciiTheme="minorEastAsia" w:eastAsiaTheme="minorEastAsia" w:hAnsiTheme="minorEastAsia"/>
                    <w:w w:val="80"/>
                  </w:rPr>
                </w:pPr>
              </w:p>
            </w:tc>
            <w:tc>
              <w:tcPr>
                <w:tcW w:w="553" w:type="pct"/>
                <w:shd w:val="clear" w:color="auto" w:fill="auto"/>
                <w:vAlign w:val="center"/>
              </w:tcPr>
              <w:p w14:paraId="4F1B75F1"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1,999,633</w:t>
                </w:r>
              </w:p>
            </w:tc>
          </w:tr>
          <w:sdt>
            <w:sdtPr>
              <w:rPr>
                <w:rFonts w:asciiTheme="minorEastAsia" w:eastAsiaTheme="minorEastAsia" w:hAnsiTheme="minorEastAsia" w:cstheme="minorBidi"/>
                <w:w w:val="80"/>
                <w:kern w:val="2"/>
              </w:rPr>
              <w:alias w:val="应付债券明细"/>
              <w:tag w:val="_GBC_e9f1ad9ee738418d9ed393ae3a98ece9"/>
              <w:id w:val="752706605"/>
              <w:lock w:val="sdtLocked"/>
            </w:sdtPr>
            <w:sdtEndPr/>
            <w:sdtContent>
              <w:tr w:rsidR="007E7472" w14:paraId="5AA61A84" w14:textId="77777777" w:rsidTr="008862FC">
                <w:trPr>
                  <w:cantSplit/>
                  <w:trHeight w:val="397"/>
                  <w:jc w:val="right"/>
                </w:trPr>
                <w:tc>
                  <w:tcPr>
                    <w:tcW w:w="720" w:type="pct"/>
                    <w:tcBorders>
                      <w:bottom w:val="single" w:sz="4" w:space="0" w:color="auto"/>
                    </w:tcBorders>
                    <w:shd w:val="clear" w:color="auto" w:fill="auto"/>
                    <w:vAlign w:val="center"/>
                  </w:tcPr>
                  <w:p w14:paraId="6C40545A" w14:textId="77777777" w:rsidR="007E7472" w:rsidRPr="007E7472" w:rsidRDefault="00913748" w:rsidP="007E7472">
                    <w:pPr>
                      <w:rPr>
                        <w:rFonts w:asciiTheme="minorEastAsia" w:eastAsiaTheme="minorEastAsia" w:hAnsiTheme="minorEastAsia"/>
                        <w:w w:val="80"/>
                      </w:rPr>
                    </w:pPr>
                    <w:r w:rsidRPr="007E7472">
                      <w:rPr>
                        <w:rFonts w:asciiTheme="minorEastAsia" w:eastAsiaTheme="minorEastAsia" w:hAnsiTheme="minorEastAsia"/>
                        <w:w w:val="80"/>
                      </w:rPr>
                      <w:t>MTN001招商银行中期票据</w:t>
                    </w:r>
                  </w:p>
                </w:tc>
                <w:tc>
                  <w:tcPr>
                    <w:tcW w:w="224" w:type="pct"/>
                    <w:tcBorders>
                      <w:bottom w:val="single" w:sz="4" w:space="0" w:color="auto"/>
                    </w:tcBorders>
                    <w:shd w:val="clear" w:color="auto" w:fill="auto"/>
                    <w:vAlign w:val="center"/>
                  </w:tcPr>
                  <w:p w14:paraId="7AF0FD99" w14:textId="3C0519BA"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0.1</w:t>
                    </w:r>
                  </w:p>
                </w:tc>
                <w:tc>
                  <w:tcPr>
                    <w:tcW w:w="342" w:type="pct"/>
                    <w:tcBorders>
                      <w:bottom w:val="single" w:sz="4" w:space="0" w:color="auto"/>
                    </w:tcBorders>
                    <w:shd w:val="clear" w:color="auto" w:fill="auto"/>
                    <w:vAlign w:val="center"/>
                  </w:tcPr>
                  <w:p w14:paraId="0A3DCEFF"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2021-7-22</w:t>
                    </w:r>
                  </w:p>
                </w:tc>
                <w:tc>
                  <w:tcPr>
                    <w:tcW w:w="257" w:type="pct"/>
                    <w:tcBorders>
                      <w:bottom w:val="single" w:sz="4" w:space="0" w:color="auto"/>
                    </w:tcBorders>
                    <w:shd w:val="clear" w:color="auto" w:fill="auto"/>
                    <w:vAlign w:val="center"/>
                  </w:tcPr>
                  <w:p w14:paraId="003ABC38"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3年</w:t>
                    </w:r>
                  </w:p>
                </w:tc>
                <w:tc>
                  <w:tcPr>
                    <w:tcW w:w="362" w:type="pct"/>
                    <w:tcBorders>
                      <w:bottom w:val="single" w:sz="4" w:space="0" w:color="auto"/>
                    </w:tcBorders>
                    <w:shd w:val="clear" w:color="auto" w:fill="auto"/>
                    <w:vAlign w:val="center"/>
                  </w:tcPr>
                  <w:p w14:paraId="685370EE"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2,000,000</w:t>
                    </w:r>
                  </w:p>
                </w:tc>
                <w:tc>
                  <w:tcPr>
                    <w:tcW w:w="361" w:type="pct"/>
                    <w:tcBorders>
                      <w:bottom w:val="single" w:sz="4" w:space="0" w:color="auto"/>
                    </w:tcBorders>
                    <w:shd w:val="clear" w:color="auto" w:fill="auto"/>
                    <w:vAlign w:val="center"/>
                  </w:tcPr>
                  <w:p w14:paraId="64204A54"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1,996,500</w:t>
                    </w:r>
                  </w:p>
                </w:tc>
                <w:tc>
                  <w:tcPr>
                    <w:tcW w:w="361" w:type="pct"/>
                    <w:tcBorders>
                      <w:bottom w:val="single" w:sz="4" w:space="0" w:color="auto"/>
                    </w:tcBorders>
                    <w:shd w:val="clear" w:color="auto" w:fill="auto"/>
                    <w:vAlign w:val="center"/>
                  </w:tcPr>
                  <w:p w14:paraId="45D06802" w14:textId="77777777" w:rsidR="007E7472" w:rsidRPr="007E7472" w:rsidRDefault="00C8327E" w:rsidP="007E7472">
                    <w:pPr>
                      <w:jc w:val="right"/>
                      <w:rPr>
                        <w:rFonts w:asciiTheme="minorEastAsia" w:eastAsiaTheme="minorEastAsia" w:hAnsiTheme="minorEastAsia"/>
                        <w:w w:val="80"/>
                      </w:rPr>
                    </w:pPr>
                  </w:p>
                </w:tc>
                <w:tc>
                  <w:tcPr>
                    <w:tcW w:w="463" w:type="pct"/>
                    <w:tcBorders>
                      <w:bottom w:val="single" w:sz="4" w:space="0" w:color="auto"/>
                    </w:tcBorders>
                    <w:shd w:val="clear" w:color="auto" w:fill="auto"/>
                    <w:vAlign w:val="center"/>
                  </w:tcPr>
                  <w:p w14:paraId="6732F95A"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38,000</w:t>
                    </w:r>
                  </w:p>
                </w:tc>
                <w:tc>
                  <w:tcPr>
                    <w:tcW w:w="413" w:type="pct"/>
                    <w:tcBorders>
                      <w:bottom w:val="single" w:sz="4" w:space="0" w:color="auto"/>
                    </w:tcBorders>
                    <w:shd w:val="clear" w:color="auto" w:fill="auto"/>
                    <w:vAlign w:val="center"/>
                  </w:tcPr>
                  <w:p w14:paraId="2994EFBA"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500</w:t>
                    </w:r>
                  </w:p>
                </w:tc>
                <w:tc>
                  <w:tcPr>
                    <w:tcW w:w="310" w:type="pct"/>
                    <w:tcBorders>
                      <w:bottom w:val="single" w:sz="4" w:space="0" w:color="auto"/>
                    </w:tcBorders>
                    <w:shd w:val="clear" w:color="auto" w:fill="auto"/>
                    <w:vAlign w:val="center"/>
                  </w:tcPr>
                  <w:p w14:paraId="51BD79FA" w14:textId="77777777" w:rsidR="007E7472" w:rsidRPr="007E7472" w:rsidRDefault="00C8327E" w:rsidP="007E7472">
                    <w:pPr>
                      <w:jc w:val="right"/>
                      <w:rPr>
                        <w:rFonts w:asciiTheme="minorEastAsia" w:eastAsiaTheme="minorEastAsia" w:hAnsiTheme="minorEastAsia"/>
                        <w:w w:val="80"/>
                      </w:rPr>
                    </w:pPr>
                  </w:p>
                </w:tc>
                <w:tc>
                  <w:tcPr>
                    <w:tcW w:w="258" w:type="pct"/>
                    <w:tcBorders>
                      <w:bottom w:val="single" w:sz="4" w:space="0" w:color="auto"/>
                    </w:tcBorders>
                    <w:shd w:val="clear" w:color="auto" w:fill="auto"/>
                    <w:vAlign w:val="center"/>
                  </w:tcPr>
                  <w:p w14:paraId="6CFD49A1" w14:textId="77777777" w:rsidR="007E7472" w:rsidRPr="007E7472" w:rsidRDefault="00C8327E" w:rsidP="007E7472">
                    <w:pPr>
                      <w:jc w:val="right"/>
                      <w:rPr>
                        <w:rFonts w:asciiTheme="minorEastAsia" w:eastAsiaTheme="minorEastAsia" w:hAnsiTheme="minorEastAsia"/>
                        <w:w w:val="80"/>
                      </w:rPr>
                    </w:pPr>
                  </w:p>
                </w:tc>
                <w:tc>
                  <w:tcPr>
                    <w:tcW w:w="375" w:type="pct"/>
                    <w:shd w:val="clear" w:color="auto" w:fill="auto"/>
                    <w:vAlign w:val="center"/>
                  </w:tcPr>
                  <w:p w14:paraId="4BFE8F36" w14:textId="77777777" w:rsidR="007E7472" w:rsidRPr="007E7472" w:rsidRDefault="00C8327E" w:rsidP="007E7472">
                    <w:pPr>
                      <w:jc w:val="right"/>
                      <w:rPr>
                        <w:rFonts w:asciiTheme="minorEastAsia" w:eastAsiaTheme="minorEastAsia" w:hAnsiTheme="minorEastAsia"/>
                        <w:w w:val="80"/>
                      </w:rPr>
                    </w:pPr>
                  </w:p>
                </w:tc>
                <w:tc>
                  <w:tcPr>
                    <w:tcW w:w="553" w:type="pct"/>
                    <w:shd w:val="clear" w:color="auto" w:fill="auto"/>
                    <w:vAlign w:val="center"/>
                  </w:tcPr>
                  <w:p w14:paraId="7FC8EFD7"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1,997,000</w:t>
                    </w:r>
                  </w:p>
                </w:tc>
              </w:tr>
            </w:sdtContent>
          </w:sdt>
          <w:sdt>
            <w:sdtPr>
              <w:rPr>
                <w:rFonts w:asciiTheme="minorEastAsia" w:eastAsiaTheme="minorEastAsia" w:hAnsiTheme="minorEastAsia" w:cstheme="minorBidi"/>
                <w:w w:val="80"/>
                <w:kern w:val="2"/>
              </w:rPr>
              <w:alias w:val="应付债券明细"/>
              <w:tag w:val="_GBC_e9f1ad9ee738418d9ed393ae3a98ece9"/>
              <w:id w:val="-641734560"/>
              <w:lock w:val="sdtLocked"/>
            </w:sdtPr>
            <w:sdtEndPr/>
            <w:sdtContent>
              <w:tr w:rsidR="007E7472" w14:paraId="15BD4475" w14:textId="77777777" w:rsidTr="008862FC">
                <w:trPr>
                  <w:cantSplit/>
                  <w:trHeight w:val="397"/>
                  <w:jc w:val="right"/>
                </w:trPr>
                <w:tc>
                  <w:tcPr>
                    <w:tcW w:w="720" w:type="pct"/>
                    <w:tcBorders>
                      <w:bottom w:val="single" w:sz="4" w:space="0" w:color="auto"/>
                    </w:tcBorders>
                    <w:shd w:val="clear" w:color="auto" w:fill="auto"/>
                    <w:vAlign w:val="center"/>
                  </w:tcPr>
                  <w:p w14:paraId="4CF1D5F4" w14:textId="13F3FE00" w:rsidR="007E7472" w:rsidRPr="007E7472" w:rsidRDefault="00913748" w:rsidP="007E7472">
                    <w:pPr>
                      <w:rPr>
                        <w:rFonts w:asciiTheme="minorEastAsia" w:eastAsiaTheme="minorEastAsia" w:hAnsiTheme="minorEastAsia"/>
                        <w:w w:val="80"/>
                      </w:rPr>
                    </w:pPr>
                    <w:r w:rsidRPr="007E7472">
                      <w:rPr>
                        <w:rFonts w:asciiTheme="minorEastAsia" w:eastAsiaTheme="minorEastAsia" w:hAnsiTheme="minorEastAsia" w:hint="eastAsia"/>
                        <w:w w:val="80"/>
                      </w:rPr>
                      <w:t>公司债券（注1</w:t>
                    </w:r>
                    <w:r w:rsidRPr="007E7472">
                      <w:rPr>
                        <w:rFonts w:asciiTheme="minorEastAsia" w:eastAsiaTheme="minorEastAsia" w:hAnsiTheme="minorEastAsia"/>
                        <w:w w:val="80"/>
                      </w:rPr>
                      <w:t>）</w:t>
                    </w:r>
                  </w:p>
                </w:tc>
                <w:tc>
                  <w:tcPr>
                    <w:tcW w:w="224" w:type="pct"/>
                    <w:tcBorders>
                      <w:bottom w:val="single" w:sz="4" w:space="0" w:color="auto"/>
                    </w:tcBorders>
                    <w:shd w:val="clear" w:color="auto" w:fill="auto"/>
                    <w:vAlign w:val="center"/>
                  </w:tcPr>
                  <w:p w14:paraId="74A9D272" w14:textId="0E54E983"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0.1</w:t>
                    </w:r>
                  </w:p>
                </w:tc>
                <w:tc>
                  <w:tcPr>
                    <w:tcW w:w="342" w:type="pct"/>
                    <w:tcBorders>
                      <w:bottom w:val="single" w:sz="4" w:space="0" w:color="auto"/>
                    </w:tcBorders>
                    <w:shd w:val="clear" w:color="auto" w:fill="auto"/>
                    <w:vAlign w:val="center"/>
                  </w:tcPr>
                  <w:p w14:paraId="31FB5354"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2021-11-23</w:t>
                    </w:r>
                  </w:p>
                </w:tc>
                <w:tc>
                  <w:tcPr>
                    <w:tcW w:w="257" w:type="pct"/>
                    <w:tcBorders>
                      <w:bottom w:val="single" w:sz="4" w:space="0" w:color="auto"/>
                    </w:tcBorders>
                    <w:shd w:val="clear" w:color="auto" w:fill="auto"/>
                    <w:vAlign w:val="center"/>
                  </w:tcPr>
                  <w:p w14:paraId="11B8975C"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3年</w:t>
                    </w:r>
                  </w:p>
                </w:tc>
                <w:tc>
                  <w:tcPr>
                    <w:tcW w:w="362" w:type="pct"/>
                    <w:tcBorders>
                      <w:bottom w:val="single" w:sz="4" w:space="0" w:color="auto"/>
                    </w:tcBorders>
                    <w:shd w:val="clear" w:color="auto" w:fill="auto"/>
                    <w:vAlign w:val="center"/>
                  </w:tcPr>
                  <w:p w14:paraId="71934FBA"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1,912,711</w:t>
                    </w:r>
                  </w:p>
                </w:tc>
                <w:tc>
                  <w:tcPr>
                    <w:tcW w:w="361" w:type="pct"/>
                    <w:tcBorders>
                      <w:bottom w:val="single" w:sz="4" w:space="0" w:color="auto"/>
                    </w:tcBorders>
                    <w:shd w:val="clear" w:color="auto" w:fill="auto"/>
                    <w:vAlign w:val="center"/>
                  </w:tcPr>
                  <w:p w14:paraId="3B669253"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2,080,307</w:t>
                    </w:r>
                  </w:p>
                </w:tc>
                <w:tc>
                  <w:tcPr>
                    <w:tcW w:w="361" w:type="pct"/>
                    <w:tcBorders>
                      <w:bottom w:val="single" w:sz="4" w:space="0" w:color="auto"/>
                    </w:tcBorders>
                    <w:shd w:val="clear" w:color="auto" w:fill="auto"/>
                    <w:vAlign w:val="center"/>
                  </w:tcPr>
                  <w:p w14:paraId="69084873" w14:textId="77777777" w:rsidR="007E7472" w:rsidRPr="007E7472" w:rsidRDefault="00C8327E" w:rsidP="007E7472">
                    <w:pPr>
                      <w:jc w:val="right"/>
                      <w:rPr>
                        <w:rFonts w:asciiTheme="minorEastAsia" w:eastAsiaTheme="minorEastAsia" w:hAnsiTheme="minorEastAsia"/>
                        <w:w w:val="80"/>
                      </w:rPr>
                    </w:pPr>
                  </w:p>
                </w:tc>
                <w:tc>
                  <w:tcPr>
                    <w:tcW w:w="463" w:type="pct"/>
                    <w:tcBorders>
                      <w:bottom w:val="single" w:sz="4" w:space="0" w:color="auto"/>
                    </w:tcBorders>
                    <w:shd w:val="clear" w:color="auto" w:fill="auto"/>
                    <w:vAlign w:val="center"/>
                  </w:tcPr>
                  <w:p w14:paraId="7DD05CDC" w14:textId="77777777" w:rsidR="007E7472" w:rsidRPr="007E7472" w:rsidRDefault="00C8327E" w:rsidP="007E7472">
                    <w:pPr>
                      <w:jc w:val="right"/>
                      <w:rPr>
                        <w:rFonts w:asciiTheme="minorEastAsia" w:eastAsiaTheme="minorEastAsia" w:hAnsiTheme="minorEastAsia"/>
                        <w:w w:val="80"/>
                      </w:rPr>
                    </w:pPr>
                  </w:p>
                </w:tc>
                <w:tc>
                  <w:tcPr>
                    <w:tcW w:w="413" w:type="pct"/>
                    <w:tcBorders>
                      <w:bottom w:val="single" w:sz="4" w:space="0" w:color="auto"/>
                    </w:tcBorders>
                    <w:shd w:val="clear" w:color="auto" w:fill="auto"/>
                    <w:vAlign w:val="center"/>
                  </w:tcPr>
                  <w:p w14:paraId="3D875224"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328</w:t>
                    </w:r>
                  </w:p>
                </w:tc>
                <w:tc>
                  <w:tcPr>
                    <w:tcW w:w="310" w:type="pct"/>
                    <w:tcBorders>
                      <w:bottom w:val="single" w:sz="4" w:space="0" w:color="auto"/>
                    </w:tcBorders>
                    <w:shd w:val="clear" w:color="auto" w:fill="auto"/>
                    <w:vAlign w:val="center"/>
                  </w:tcPr>
                  <w:p w14:paraId="0B67106A" w14:textId="77777777" w:rsidR="007E7472" w:rsidRPr="007E7472" w:rsidRDefault="00C8327E" w:rsidP="007E7472">
                    <w:pPr>
                      <w:jc w:val="right"/>
                      <w:rPr>
                        <w:rFonts w:asciiTheme="minorEastAsia" w:eastAsiaTheme="minorEastAsia" w:hAnsiTheme="minorEastAsia"/>
                        <w:w w:val="80"/>
                      </w:rPr>
                    </w:pPr>
                  </w:p>
                </w:tc>
                <w:tc>
                  <w:tcPr>
                    <w:tcW w:w="258" w:type="pct"/>
                    <w:tcBorders>
                      <w:bottom w:val="single" w:sz="4" w:space="0" w:color="auto"/>
                    </w:tcBorders>
                    <w:shd w:val="clear" w:color="auto" w:fill="auto"/>
                    <w:vAlign w:val="center"/>
                  </w:tcPr>
                  <w:p w14:paraId="0BED641D"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75,124</w:t>
                    </w:r>
                  </w:p>
                </w:tc>
                <w:sdt>
                  <w:sdtPr>
                    <w:rPr>
                      <w:rFonts w:asciiTheme="minorEastAsia" w:eastAsiaTheme="minorEastAsia" w:hAnsiTheme="minorEastAsia"/>
                      <w:w w:val="80"/>
                    </w:rPr>
                    <w:alias w:val="其他减少"/>
                    <w:tag w:val="_GBC_81545aa23ef949d399779cd5b3563d14"/>
                    <w:id w:val="2009705245"/>
                    <w:lock w:val="sdtLocked"/>
                    <w:showingPlcHdr/>
                  </w:sdtPr>
                  <w:sdtEndPr/>
                  <w:sdtContent>
                    <w:tc>
                      <w:tcPr>
                        <w:tcW w:w="375" w:type="pct"/>
                        <w:shd w:val="clear" w:color="auto" w:fill="auto"/>
                        <w:vAlign w:val="center"/>
                      </w:tcPr>
                      <w:p w14:paraId="2D266974"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 xml:space="preserve">     </w:t>
                        </w:r>
                      </w:p>
                    </w:tc>
                  </w:sdtContent>
                </w:sdt>
                <w:tc>
                  <w:tcPr>
                    <w:tcW w:w="553" w:type="pct"/>
                    <w:shd w:val="clear" w:color="auto" w:fill="auto"/>
                    <w:vAlign w:val="center"/>
                  </w:tcPr>
                  <w:p w14:paraId="35A85478" w14:textId="77777777" w:rsidR="007E7472" w:rsidRPr="007E7472" w:rsidRDefault="00913748" w:rsidP="007E7472">
                    <w:pPr>
                      <w:jc w:val="right"/>
                      <w:rPr>
                        <w:rFonts w:asciiTheme="minorEastAsia" w:eastAsiaTheme="minorEastAsia" w:hAnsiTheme="minorEastAsia"/>
                        <w:w w:val="80"/>
                      </w:rPr>
                    </w:pPr>
                    <w:r w:rsidRPr="007E7472">
                      <w:rPr>
                        <w:rFonts w:asciiTheme="minorEastAsia" w:eastAsiaTheme="minorEastAsia" w:hAnsiTheme="minorEastAsia"/>
                        <w:w w:val="80"/>
                      </w:rPr>
                      <w:t>2,155,759</w:t>
                    </w:r>
                  </w:p>
                </w:tc>
              </w:tr>
            </w:sdtContent>
          </w:sdt>
          <w:tr w:rsidR="007E7472" w14:paraId="6FA52E6A" w14:textId="77777777" w:rsidTr="008862FC">
            <w:trPr>
              <w:cantSplit/>
              <w:trHeight w:val="266"/>
              <w:jc w:val="right"/>
            </w:trPr>
            <w:sdt>
              <w:sdtPr>
                <w:rPr>
                  <w:rFonts w:asciiTheme="minorEastAsia" w:eastAsiaTheme="minorEastAsia" w:hAnsiTheme="minorEastAsia"/>
                  <w:w w:val="80"/>
                </w:rPr>
                <w:tag w:val="_PLD_ab2a5f4526d74087b1adaa1bdfb92c75"/>
                <w:id w:val="607164579"/>
                <w:lock w:val="sdtLocked"/>
              </w:sdtPr>
              <w:sdtEndPr/>
              <w:sdtContent>
                <w:tc>
                  <w:tcPr>
                    <w:tcW w:w="720" w:type="pct"/>
                    <w:shd w:val="clear" w:color="auto" w:fill="auto"/>
                    <w:vAlign w:val="center"/>
                  </w:tcPr>
                  <w:p w14:paraId="18F7ED36" w14:textId="77777777" w:rsidR="007E7472" w:rsidRPr="007E7472" w:rsidRDefault="00EC1269">
                    <w:pPr>
                      <w:jc w:val="center"/>
                      <w:rPr>
                        <w:rFonts w:asciiTheme="minorEastAsia" w:eastAsiaTheme="minorEastAsia" w:hAnsiTheme="minorEastAsia"/>
                        <w:w w:val="80"/>
                      </w:rPr>
                    </w:pPr>
                    <w:r w:rsidRPr="007E7472">
                      <w:rPr>
                        <w:rFonts w:asciiTheme="minorEastAsia" w:eastAsiaTheme="minorEastAsia" w:hAnsiTheme="minorEastAsia" w:hint="eastAsia"/>
                        <w:w w:val="80"/>
                      </w:rPr>
                      <w:t>合计</w:t>
                    </w:r>
                  </w:p>
                </w:tc>
              </w:sdtContent>
            </w:sdt>
            <w:tc>
              <w:tcPr>
                <w:tcW w:w="224" w:type="pct"/>
                <w:shd w:val="clear" w:color="auto" w:fill="auto"/>
                <w:vAlign w:val="center"/>
              </w:tcPr>
              <w:p w14:paraId="7A53E6A3" w14:textId="77777777" w:rsidR="007E7472" w:rsidRPr="007E7472" w:rsidRDefault="00EC1269">
                <w:pPr>
                  <w:jc w:val="center"/>
                  <w:rPr>
                    <w:rFonts w:asciiTheme="minorEastAsia" w:eastAsiaTheme="minorEastAsia" w:hAnsiTheme="minorEastAsia"/>
                    <w:w w:val="80"/>
                  </w:rPr>
                </w:pPr>
                <w:r w:rsidRPr="007E7472">
                  <w:rPr>
                    <w:rFonts w:asciiTheme="minorEastAsia" w:eastAsiaTheme="minorEastAsia" w:hAnsiTheme="minorEastAsia"/>
                    <w:w w:val="80"/>
                  </w:rPr>
                  <w:t>/</w:t>
                </w:r>
              </w:p>
            </w:tc>
            <w:tc>
              <w:tcPr>
                <w:tcW w:w="342" w:type="pct"/>
                <w:shd w:val="clear" w:color="auto" w:fill="auto"/>
                <w:vAlign w:val="center"/>
              </w:tcPr>
              <w:p w14:paraId="7FC3F9FD" w14:textId="77777777" w:rsidR="007E7472" w:rsidRPr="007E7472" w:rsidRDefault="00EC1269">
                <w:pPr>
                  <w:jc w:val="center"/>
                  <w:rPr>
                    <w:rFonts w:asciiTheme="minorEastAsia" w:eastAsiaTheme="minorEastAsia" w:hAnsiTheme="minorEastAsia"/>
                    <w:w w:val="80"/>
                  </w:rPr>
                </w:pPr>
                <w:r w:rsidRPr="007E7472">
                  <w:rPr>
                    <w:rFonts w:asciiTheme="minorEastAsia" w:eastAsiaTheme="minorEastAsia" w:hAnsiTheme="minorEastAsia" w:hint="eastAsia"/>
                    <w:w w:val="80"/>
                  </w:rPr>
                  <w:t>/</w:t>
                </w:r>
              </w:p>
            </w:tc>
            <w:tc>
              <w:tcPr>
                <w:tcW w:w="257" w:type="pct"/>
                <w:shd w:val="clear" w:color="auto" w:fill="auto"/>
                <w:vAlign w:val="center"/>
              </w:tcPr>
              <w:p w14:paraId="1C5A6C01" w14:textId="77777777" w:rsidR="007E7472" w:rsidRPr="007E7472" w:rsidRDefault="00EC1269">
                <w:pPr>
                  <w:jc w:val="center"/>
                  <w:rPr>
                    <w:rFonts w:asciiTheme="minorEastAsia" w:eastAsiaTheme="minorEastAsia" w:hAnsiTheme="minorEastAsia"/>
                    <w:w w:val="80"/>
                  </w:rPr>
                </w:pPr>
                <w:r w:rsidRPr="007E7472">
                  <w:rPr>
                    <w:rFonts w:asciiTheme="minorEastAsia" w:eastAsiaTheme="minorEastAsia" w:hAnsiTheme="minorEastAsia" w:hint="eastAsia"/>
                    <w:w w:val="80"/>
                  </w:rPr>
                  <w:t>/</w:t>
                </w:r>
              </w:p>
            </w:tc>
            <w:tc>
              <w:tcPr>
                <w:tcW w:w="362" w:type="pct"/>
                <w:shd w:val="clear" w:color="auto" w:fill="auto"/>
                <w:vAlign w:val="center"/>
              </w:tcPr>
              <w:p w14:paraId="53EE1709" w14:textId="596C25FF" w:rsidR="007E7472" w:rsidRPr="007E7472" w:rsidRDefault="00EC1269">
                <w:pPr>
                  <w:jc w:val="right"/>
                  <w:rPr>
                    <w:rFonts w:asciiTheme="minorEastAsia" w:eastAsiaTheme="minorEastAsia" w:hAnsiTheme="minorEastAsia"/>
                    <w:w w:val="80"/>
                  </w:rPr>
                </w:pPr>
                <w:r w:rsidRPr="007E7472">
                  <w:rPr>
                    <w:rFonts w:asciiTheme="minorEastAsia" w:eastAsiaTheme="minorEastAsia" w:hAnsiTheme="minorEastAsia"/>
                    <w:w w:val="80"/>
                  </w:rPr>
                  <w:t>2</w:t>
                </w:r>
                <w:r w:rsidR="00913748" w:rsidRPr="007E7472">
                  <w:rPr>
                    <w:rFonts w:asciiTheme="minorEastAsia" w:eastAsiaTheme="minorEastAsia" w:hAnsiTheme="minorEastAsia"/>
                    <w:w w:val="80"/>
                  </w:rPr>
                  <w:t>5</w:t>
                </w:r>
                <w:r w:rsidRPr="007E7472">
                  <w:rPr>
                    <w:rFonts w:asciiTheme="minorEastAsia" w:eastAsiaTheme="minorEastAsia" w:hAnsiTheme="minorEastAsia"/>
                    <w:w w:val="80"/>
                  </w:rPr>
                  <w:t>,</w:t>
                </w:r>
                <w:r w:rsidR="00913748" w:rsidRPr="007E7472">
                  <w:rPr>
                    <w:rFonts w:asciiTheme="minorEastAsia" w:eastAsiaTheme="minorEastAsia" w:hAnsiTheme="minorEastAsia"/>
                    <w:w w:val="80"/>
                  </w:rPr>
                  <w:t>662</w:t>
                </w:r>
                <w:r w:rsidRPr="007E7472">
                  <w:rPr>
                    <w:rFonts w:asciiTheme="minorEastAsia" w:eastAsiaTheme="minorEastAsia" w:hAnsiTheme="minorEastAsia"/>
                    <w:w w:val="80"/>
                  </w:rPr>
                  <w:t>,</w:t>
                </w:r>
                <w:r w:rsidR="00913748" w:rsidRPr="007E7472">
                  <w:rPr>
                    <w:rFonts w:asciiTheme="minorEastAsia" w:eastAsiaTheme="minorEastAsia" w:hAnsiTheme="minorEastAsia"/>
                    <w:w w:val="80"/>
                  </w:rPr>
                  <w:t>71</w:t>
                </w:r>
                <w:r w:rsidRPr="007E7472">
                  <w:rPr>
                    <w:rFonts w:asciiTheme="minorEastAsia" w:eastAsiaTheme="minorEastAsia" w:hAnsiTheme="minorEastAsia"/>
                    <w:w w:val="80"/>
                  </w:rPr>
                  <w:t>1</w:t>
                </w:r>
              </w:p>
            </w:tc>
            <w:tc>
              <w:tcPr>
                <w:tcW w:w="361" w:type="pct"/>
                <w:shd w:val="clear" w:color="auto" w:fill="auto"/>
                <w:vAlign w:val="center"/>
              </w:tcPr>
              <w:p w14:paraId="6FF6A8B5" w14:textId="77777777" w:rsidR="007E7472" w:rsidRPr="007E7472" w:rsidRDefault="00EC1269">
                <w:pPr>
                  <w:jc w:val="right"/>
                  <w:rPr>
                    <w:rFonts w:asciiTheme="minorEastAsia" w:eastAsiaTheme="minorEastAsia" w:hAnsiTheme="minorEastAsia"/>
                    <w:w w:val="80"/>
                  </w:rPr>
                </w:pPr>
                <w:r w:rsidRPr="007E7472">
                  <w:rPr>
                    <w:rFonts w:asciiTheme="minorEastAsia" w:eastAsiaTheme="minorEastAsia" w:hAnsiTheme="minorEastAsia"/>
                    <w:w w:val="80"/>
                  </w:rPr>
                  <w:t>20,792,407</w:t>
                </w:r>
              </w:p>
            </w:tc>
            <w:tc>
              <w:tcPr>
                <w:tcW w:w="361" w:type="pct"/>
                <w:shd w:val="clear" w:color="auto" w:fill="auto"/>
                <w:vAlign w:val="center"/>
              </w:tcPr>
              <w:p w14:paraId="64B30BEE" w14:textId="77777777" w:rsidR="007E7472" w:rsidRPr="007E7472" w:rsidRDefault="00EC1269">
                <w:pPr>
                  <w:jc w:val="right"/>
                  <w:rPr>
                    <w:rFonts w:asciiTheme="minorEastAsia" w:eastAsiaTheme="minorEastAsia" w:hAnsiTheme="minorEastAsia"/>
                    <w:w w:val="80"/>
                  </w:rPr>
                </w:pPr>
                <w:r w:rsidRPr="007E7472">
                  <w:rPr>
                    <w:rFonts w:asciiTheme="minorEastAsia" w:eastAsiaTheme="minorEastAsia" w:hAnsiTheme="minorEastAsia" w:hint="eastAsia"/>
                    <w:w w:val="80"/>
                  </w:rPr>
                  <w:t>4,</w:t>
                </w:r>
                <w:r w:rsidRPr="007E7472">
                  <w:rPr>
                    <w:rFonts w:asciiTheme="minorEastAsia" w:eastAsiaTheme="minorEastAsia" w:hAnsiTheme="minorEastAsia"/>
                    <w:w w:val="80"/>
                  </w:rPr>
                  <w:t>999</w:t>
                </w:r>
                <w:r w:rsidRPr="007E7472">
                  <w:rPr>
                    <w:rFonts w:asciiTheme="minorEastAsia" w:eastAsiaTheme="minorEastAsia" w:hAnsiTheme="minorEastAsia" w:hint="eastAsia"/>
                    <w:w w:val="80"/>
                  </w:rPr>
                  <w:t>,</w:t>
                </w:r>
                <w:r w:rsidRPr="007E7472">
                  <w:rPr>
                    <w:rFonts w:asciiTheme="minorEastAsia" w:eastAsiaTheme="minorEastAsia" w:hAnsiTheme="minorEastAsia"/>
                    <w:w w:val="80"/>
                  </w:rPr>
                  <w:t>000</w:t>
                </w:r>
              </w:p>
            </w:tc>
            <w:tc>
              <w:tcPr>
                <w:tcW w:w="463" w:type="pct"/>
                <w:shd w:val="clear" w:color="auto" w:fill="auto"/>
                <w:vAlign w:val="center"/>
              </w:tcPr>
              <w:p w14:paraId="43DDA41E" w14:textId="77777777" w:rsidR="007E7472" w:rsidRPr="007E7472" w:rsidRDefault="00EC1269">
                <w:pPr>
                  <w:jc w:val="right"/>
                  <w:rPr>
                    <w:rFonts w:asciiTheme="minorEastAsia" w:eastAsiaTheme="minorEastAsia" w:hAnsiTheme="minorEastAsia"/>
                    <w:w w:val="80"/>
                  </w:rPr>
                </w:pPr>
                <w:r w:rsidRPr="007E7472">
                  <w:rPr>
                    <w:rFonts w:asciiTheme="minorEastAsia" w:eastAsiaTheme="minorEastAsia" w:hAnsiTheme="minorEastAsia"/>
                    <w:w w:val="80"/>
                  </w:rPr>
                  <w:t>413,209</w:t>
                </w:r>
              </w:p>
            </w:tc>
            <w:tc>
              <w:tcPr>
                <w:tcW w:w="413" w:type="pct"/>
                <w:shd w:val="clear" w:color="auto" w:fill="auto"/>
                <w:vAlign w:val="center"/>
              </w:tcPr>
              <w:p w14:paraId="28EDFA00" w14:textId="77777777" w:rsidR="007E7472" w:rsidRPr="007E7472" w:rsidRDefault="00EC1269">
                <w:pPr>
                  <w:jc w:val="right"/>
                  <w:rPr>
                    <w:rFonts w:asciiTheme="minorEastAsia" w:eastAsiaTheme="minorEastAsia" w:hAnsiTheme="minorEastAsia"/>
                    <w:w w:val="80"/>
                  </w:rPr>
                </w:pPr>
                <w:r w:rsidRPr="007E7472">
                  <w:rPr>
                    <w:rFonts w:asciiTheme="minorEastAsia" w:eastAsiaTheme="minorEastAsia" w:hAnsiTheme="minorEastAsia"/>
                    <w:w w:val="80"/>
                  </w:rPr>
                  <w:t>8,287</w:t>
                </w:r>
              </w:p>
            </w:tc>
            <w:tc>
              <w:tcPr>
                <w:tcW w:w="310" w:type="pct"/>
                <w:shd w:val="clear" w:color="auto" w:fill="auto"/>
                <w:vAlign w:val="center"/>
              </w:tcPr>
              <w:p w14:paraId="4C9CA971" w14:textId="77777777" w:rsidR="007E7472" w:rsidRPr="007E7472" w:rsidRDefault="00C8327E">
                <w:pPr>
                  <w:jc w:val="right"/>
                  <w:rPr>
                    <w:rFonts w:asciiTheme="minorEastAsia" w:eastAsiaTheme="minorEastAsia" w:hAnsiTheme="minorEastAsia"/>
                    <w:w w:val="80"/>
                  </w:rPr>
                </w:pPr>
              </w:p>
            </w:tc>
            <w:tc>
              <w:tcPr>
                <w:tcW w:w="258" w:type="pct"/>
                <w:shd w:val="clear" w:color="auto" w:fill="auto"/>
                <w:vAlign w:val="center"/>
              </w:tcPr>
              <w:p w14:paraId="311D2CEB" w14:textId="77777777" w:rsidR="007E7472" w:rsidRPr="007E7472" w:rsidRDefault="00EC1269">
                <w:pPr>
                  <w:jc w:val="right"/>
                  <w:rPr>
                    <w:rFonts w:asciiTheme="minorEastAsia" w:eastAsiaTheme="minorEastAsia" w:hAnsiTheme="minorEastAsia"/>
                    <w:w w:val="80"/>
                  </w:rPr>
                </w:pPr>
                <w:r w:rsidRPr="007E7472">
                  <w:rPr>
                    <w:rFonts w:asciiTheme="minorEastAsia" w:eastAsiaTheme="minorEastAsia" w:hAnsiTheme="minorEastAsia"/>
                    <w:w w:val="80"/>
                  </w:rPr>
                  <w:t>75,124</w:t>
                </w:r>
              </w:p>
            </w:tc>
            <w:tc>
              <w:tcPr>
                <w:tcW w:w="375" w:type="pct"/>
                <w:shd w:val="clear" w:color="auto" w:fill="auto"/>
                <w:vAlign w:val="center"/>
              </w:tcPr>
              <w:p w14:paraId="4750F72E" w14:textId="72B18D1A" w:rsidR="007E7472" w:rsidRPr="007E7472" w:rsidRDefault="00913748">
                <w:pPr>
                  <w:jc w:val="right"/>
                  <w:rPr>
                    <w:rFonts w:asciiTheme="minorEastAsia" w:eastAsiaTheme="minorEastAsia" w:hAnsiTheme="minorEastAsia"/>
                    <w:w w:val="80"/>
                  </w:rPr>
                </w:pPr>
                <w:r w:rsidRPr="007E7472">
                  <w:rPr>
                    <w:rFonts w:asciiTheme="minorEastAsia" w:eastAsiaTheme="minorEastAsia" w:hAnsiTheme="minorEastAsia"/>
                    <w:w w:val="80"/>
                  </w:rPr>
                  <w:t>6,045,600</w:t>
                </w:r>
              </w:p>
            </w:tc>
            <w:tc>
              <w:tcPr>
                <w:tcW w:w="553" w:type="pct"/>
                <w:shd w:val="clear" w:color="auto" w:fill="auto"/>
                <w:vAlign w:val="center"/>
              </w:tcPr>
              <w:p w14:paraId="08278851" w14:textId="77777777" w:rsidR="007E7472" w:rsidRPr="007E7472" w:rsidRDefault="00EC1269">
                <w:pPr>
                  <w:jc w:val="right"/>
                  <w:rPr>
                    <w:rFonts w:asciiTheme="minorEastAsia" w:eastAsiaTheme="minorEastAsia" w:hAnsiTheme="minorEastAsia"/>
                    <w:w w:val="80"/>
                  </w:rPr>
                </w:pPr>
                <w:r w:rsidRPr="007E7472">
                  <w:rPr>
                    <w:rFonts w:asciiTheme="minorEastAsia" w:eastAsiaTheme="minorEastAsia" w:hAnsiTheme="minorEastAsia"/>
                    <w:w w:val="80"/>
                  </w:rPr>
                  <w:t>19,829,218</w:t>
                </w:r>
              </w:p>
            </w:tc>
          </w:tr>
        </w:tbl>
        <w:p w14:paraId="7461C13E" w14:textId="5B1099AA" w:rsidR="007E7472" w:rsidRDefault="00C8327E" w:rsidP="007E7472">
          <w:pPr>
            <w:spacing w:beforeLines="50" w:before="156" w:afterLines="50" w:after="156" w:line="360" w:lineRule="exact"/>
            <w:jc w:val="both"/>
          </w:pPr>
        </w:p>
        <w:p w14:paraId="653F58E3" w14:textId="4899E08C" w:rsidR="007E7472" w:rsidRDefault="00EC1269">
          <w:pPr>
            <w:spacing w:beforeLines="50" w:before="156" w:afterLines="50" w:after="156" w:line="360" w:lineRule="exact"/>
            <w:ind w:firstLineChars="200" w:firstLine="420"/>
            <w:jc w:val="both"/>
          </w:pPr>
          <w:r>
            <w:rPr>
              <w:rFonts w:hint="eastAsia"/>
            </w:rPr>
            <w:t>注</w:t>
          </w:r>
          <w:r w:rsidR="00913748">
            <w:t>1</w:t>
          </w:r>
          <w:r>
            <w:rPr>
              <w:rFonts w:hint="eastAsia"/>
            </w:rPr>
            <w:t>：本公司为本公司之子公司兖煤国际资源开发有限公司发行的8亿美元公司债券提供担保，包括一年内到期的应付债券5亿美元。</w:t>
          </w:r>
        </w:p>
        <w:p w14:paraId="4A41F5EC" w14:textId="3571F36D" w:rsidR="007E7472" w:rsidRDefault="00EC1269">
          <w:pPr>
            <w:spacing w:beforeLines="50" w:before="156" w:afterLines="50" w:after="156" w:line="360" w:lineRule="exact"/>
            <w:ind w:firstLineChars="200" w:firstLine="420"/>
            <w:jc w:val="both"/>
          </w:pPr>
          <w:r>
            <w:t>注</w:t>
          </w:r>
          <w:r w:rsidR="00913748">
            <w:t>2</w:t>
          </w:r>
          <w:r>
            <w:t>：本公司之控股股东山东能源为本公司发行的30.5亿元公司债券提供担保。</w:t>
          </w:r>
        </w:p>
        <w:p w14:paraId="5F84496E" w14:textId="113D68AE" w:rsidR="007E7472" w:rsidRDefault="00EC1269">
          <w:pPr>
            <w:spacing w:beforeLines="50" w:before="156" w:afterLines="50" w:after="156" w:line="360" w:lineRule="exact"/>
            <w:ind w:firstLineChars="200" w:firstLine="420"/>
            <w:jc w:val="both"/>
          </w:pPr>
          <w:r>
            <w:rPr>
              <w:rFonts w:hint="eastAsia"/>
            </w:rPr>
            <w:lastRenderedPageBreak/>
            <w:t>注</w:t>
          </w:r>
          <w:r w:rsidR="00913748">
            <w:t>3</w:t>
          </w:r>
          <w:r>
            <w:t>：其他减少系重分类至一年内到期的非流动负债，详见本附注“</w:t>
          </w:r>
          <w:r>
            <w:rPr>
              <w:rFonts w:hint="eastAsia"/>
            </w:rPr>
            <w:t>七</w:t>
          </w:r>
          <w:r>
            <w:t>、43.一年内到期的非流动负债”。</w:t>
          </w:r>
          <w:r>
            <w:tab/>
          </w:r>
        </w:p>
      </w:sdtContent>
    </w:sdt>
    <w:p w14:paraId="7101F3F9" w14:textId="77777777" w:rsidR="007E7472" w:rsidRDefault="00C8327E" w:rsidP="00162493">
      <w:pPr>
        <w:numPr>
          <w:ilvl w:val="0"/>
          <w:numId w:val="90"/>
        </w:numPr>
        <w:tabs>
          <w:tab w:val="left" w:pos="672"/>
        </w:tabs>
        <w:sectPr w:rsidR="007E7472">
          <w:pgSz w:w="16838" w:h="11906" w:orient="landscape"/>
          <w:pgMar w:top="1276" w:right="1440" w:bottom="1797" w:left="1525" w:header="856" w:footer="992" w:gutter="0"/>
          <w:cols w:space="425"/>
          <w:docGrid w:type="lines" w:linePitch="312"/>
        </w:sectPr>
      </w:pPr>
      <w:bookmarkStart w:id="245" w:name="OLE_LINK18"/>
      <w:bookmarkStart w:id="246" w:name="OLE_LINK16"/>
    </w:p>
    <w:sdt>
      <w:sdtPr>
        <w:rPr>
          <w:rFonts w:ascii="宋体" w:hAnsi="宋体" w:cs="宋体" w:hint="eastAsia"/>
          <w:b w:val="0"/>
          <w:bCs w:val="0"/>
          <w:kern w:val="0"/>
          <w:sz w:val="20"/>
          <w:szCs w:val="21"/>
        </w:rPr>
        <w:alias w:val="模块:可转换公司债券的转股条件、转股时间说明："/>
        <w:tag w:val="_GBC_235b19ac1003437586dbfe1a48116b09"/>
        <w:id w:val="250013686"/>
        <w:lock w:val="sdtLocked"/>
        <w:placeholder>
          <w:docPart w:val="GBC22222222222222222222222222222"/>
        </w:placeholder>
      </w:sdtPr>
      <w:sdtEndPr>
        <w:rPr>
          <w:sz w:val="21"/>
        </w:rPr>
      </w:sdtEndPr>
      <w:sdtContent>
        <w:p w14:paraId="72F990B0" w14:textId="77777777" w:rsidR="007E7472" w:rsidRDefault="00EC1269" w:rsidP="00162493">
          <w:pPr>
            <w:pStyle w:val="4"/>
            <w:numPr>
              <w:ilvl w:val="0"/>
              <w:numId w:val="88"/>
            </w:numPr>
          </w:pPr>
          <w:r>
            <w:rPr>
              <w:rFonts w:hint="eastAsia"/>
            </w:rPr>
            <w:t>可转换公司债券的转股条件、转股时间说明</w:t>
          </w:r>
        </w:p>
        <w:sdt>
          <w:sdtPr>
            <w:alias w:val="是否适用：可转换公司债券的转股条件、转股时间说明[双击切换]"/>
            <w:tag w:val="_GBC_bdbcbf7db2194e929d8f2f4945774241"/>
            <w:id w:val="809913338"/>
            <w:lock w:val="sdtLocked"/>
            <w:placeholder>
              <w:docPart w:val="GBC22222222222222222222222222222"/>
            </w:placeholder>
          </w:sdtPr>
          <w:sdtEndPr/>
          <w:sdtContent>
            <w:p w14:paraId="454CAD8D" w14:textId="524825F0"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bookmarkEnd w:id="246" w:displacedByCustomXml="next"/>
    <w:bookmarkEnd w:id="245" w:displacedByCustomXml="next"/>
    <w:sdt>
      <w:sdtPr>
        <w:rPr>
          <w:rFonts w:ascii="宋体" w:hAnsi="宋体" w:cs="宋体" w:hint="eastAsia"/>
          <w:b w:val="0"/>
          <w:bCs w:val="0"/>
          <w:kern w:val="0"/>
          <w:sz w:val="20"/>
          <w:szCs w:val="21"/>
        </w:rPr>
        <w:alias w:val="模块:划分为金融负债的其他金融工具说明"/>
        <w:tag w:val="_GBC_d031ed2380884bb4aa3cb2efb2740308"/>
        <w:id w:val="137314671"/>
        <w:lock w:val="sdtLocked"/>
        <w:placeholder>
          <w:docPart w:val="GBC22222222222222222222222222222"/>
        </w:placeholder>
      </w:sdtPr>
      <w:sdtEndPr>
        <w:rPr>
          <w:rFonts w:hint="default"/>
        </w:rPr>
      </w:sdtEndPr>
      <w:sdtContent>
        <w:p w14:paraId="29AACAC6" w14:textId="77777777" w:rsidR="007E7472" w:rsidRDefault="00EC1269" w:rsidP="00162493">
          <w:pPr>
            <w:pStyle w:val="4"/>
            <w:numPr>
              <w:ilvl w:val="0"/>
              <w:numId w:val="88"/>
            </w:numPr>
          </w:pPr>
          <w:r>
            <w:rPr>
              <w:rFonts w:hint="eastAsia"/>
            </w:rPr>
            <w:t>划分为金融负债的其他金融工具说明</w:t>
          </w:r>
        </w:p>
        <w:p w14:paraId="1831CB86" w14:textId="77777777" w:rsidR="007E7472" w:rsidRDefault="00EC1269">
          <w:r>
            <w:rPr>
              <w:rFonts w:hint="eastAsia"/>
            </w:rPr>
            <w:t>期末发行在外的优先股、永续债等其他金融工具基本情况</w:t>
          </w:r>
        </w:p>
        <w:sdt>
          <w:sdtPr>
            <w:alias w:val="是否适用：划分为金融负债的其他金融工具说明[双击切换]"/>
            <w:tag w:val="_GBC_61542231aba54618ab4bd6d781bfab05"/>
            <w:id w:val="959076916"/>
            <w:lock w:val="sdtLocked"/>
            <w:placeholder>
              <w:docPart w:val="GBC22222222222222222222222222222"/>
            </w:placeholder>
          </w:sdtPr>
          <w:sdtEndPr/>
          <w:sdtContent>
            <w:p w14:paraId="0C6906C6" w14:textId="34E4422D"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34358E02" w14:textId="77777777" w:rsidR="007E7472" w:rsidRDefault="00EC1269">
          <w:r>
            <w:rPr>
              <w:rFonts w:hint="eastAsia"/>
            </w:rPr>
            <w:t>期末发行在外的优先股、永续债等金融工具变动情况表</w:t>
          </w:r>
        </w:p>
        <w:sdt>
          <w:sdtPr>
            <w:alias w:val="是否适用：期末发行在外的优先股、永续债等金融工具变动情况表_应付债券[双击切换]"/>
            <w:tag w:val="_GBC_4cf6ed9dc37d42fc946f2268e90eee97"/>
            <w:id w:val="-772009785"/>
            <w:lock w:val="sdtLocked"/>
            <w:placeholder>
              <w:docPart w:val="GBC22222222222222222222222222222"/>
            </w:placeholder>
          </w:sdtPr>
          <w:sdtEndPr/>
          <w:sdtContent>
            <w:p w14:paraId="05959F6C"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5811AAA7" w14:textId="77777777" w:rsidR="007E7472" w:rsidRDefault="00EC1269">
          <w:pPr>
            <w:spacing w:before="60" w:after="60"/>
          </w:pPr>
          <w:r>
            <w:rPr>
              <w:rFonts w:hint="eastAsia"/>
            </w:rPr>
            <w:t>其他金融工具划分为金融负债的依据说明</w:t>
          </w:r>
        </w:p>
        <w:sdt>
          <w:sdtPr>
            <w:alias w:val="是否适用：其他金融工具划分为金融负债的依据说明[双击切换]"/>
            <w:tag w:val="_GBC_aec0ba7f99624a559a5f92bcd8e57e4f"/>
            <w:id w:val="-321132562"/>
            <w:lock w:val="sdtLocked"/>
            <w:placeholder>
              <w:docPart w:val="GBC22222222222222222222222222222"/>
            </w:placeholder>
          </w:sdtPr>
          <w:sdtEndPr/>
          <w:sdtContent>
            <w:p w14:paraId="21F8538F" w14:textId="33CB97F5" w:rsidR="007E7472" w:rsidRDefault="00EC1269" w:rsidP="007E7472">
              <w:pPr>
                <w:spacing w:before="60" w:after="60"/>
              </w:pPr>
              <w:r>
                <w:rPr>
                  <w:rFonts w:asciiTheme="minorEastAsia" w:eastAsiaTheme="minorEastAsia" w:hAnsiTheme="minorEastAsia" w:cs="Times New Roman"/>
                </w:rPr>
                <w:fldChar w:fldCharType="begin"/>
              </w:r>
              <w:r>
                <w:rPr>
                  <w:rFonts w:asciiTheme="minorEastAsia" w:eastAsiaTheme="minorEastAsia" w:hAnsiTheme="minorEastAsia" w:cs="Times New Roman"/>
                </w:rPr>
                <w:instrText xml:space="preserve"> MACROBUTTON  SnrToggleCheckbox □适用 </w:instrText>
              </w:r>
              <w:r>
                <w:rPr>
                  <w:rFonts w:asciiTheme="minorEastAsia" w:eastAsiaTheme="minorEastAsia" w:hAnsiTheme="minorEastAsia" w:cs="Times New Roman"/>
                </w:rPr>
                <w:fldChar w:fldCharType="end"/>
              </w:r>
              <w:r>
                <w:rPr>
                  <w:rFonts w:asciiTheme="minorEastAsia" w:eastAsiaTheme="minorEastAsia" w:hAnsiTheme="minorEastAsia" w:cs="Times New Roman"/>
                </w:rPr>
                <w:fldChar w:fldCharType="begin"/>
              </w:r>
              <w:r>
                <w:rPr>
                  <w:rFonts w:asciiTheme="minorEastAsia" w:eastAsiaTheme="minorEastAsia" w:hAnsiTheme="minorEastAsia" w:cs="Times New Roman"/>
                </w:rPr>
                <w:instrText xml:space="preserve"> MACROBUTTON  SnrToggleCheckbox √不适用 </w:instrText>
              </w:r>
              <w:r>
                <w:rPr>
                  <w:rFonts w:asciiTheme="minorEastAsia" w:eastAsiaTheme="minorEastAsia" w:hAnsiTheme="minorEastAsia" w:cs="Times New Roman"/>
                </w:rPr>
                <w:fldChar w:fldCharType="end"/>
              </w:r>
            </w:p>
          </w:sdtContent>
        </w:sdt>
      </w:sdtContent>
    </w:sdt>
    <w:sdt>
      <w:sdtPr>
        <w:rPr>
          <w:rFonts w:hint="eastAsia"/>
        </w:rPr>
        <w:alias w:val="模块:应付债券其他说明"/>
        <w:tag w:val="_GBC_32fb23173d7a4a4fa8cb056982254a59"/>
        <w:id w:val="-261696444"/>
        <w:lock w:val="sdtLocked"/>
        <w:placeholder>
          <w:docPart w:val="GBC22222222222222222222222222222"/>
        </w:placeholder>
      </w:sdtPr>
      <w:sdtEndPr/>
      <w:sdtContent>
        <w:p w14:paraId="4EAA5589" w14:textId="77777777" w:rsidR="007E7472" w:rsidRDefault="00EC1269">
          <w:pPr>
            <w:spacing w:before="60" w:after="60"/>
          </w:pPr>
          <w:r>
            <w:rPr>
              <w:rFonts w:hint="eastAsia"/>
            </w:rPr>
            <w:t>其他说明：</w:t>
          </w:r>
        </w:p>
        <w:sdt>
          <w:sdtPr>
            <w:alias w:val="是否适用：应付债券的其他说明[双击切换]"/>
            <w:tag w:val="_GBC_34ea80305b6a4fafaf2943f684877d08"/>
            <w:id w:val="-2058696845"/>
            <w:lock w:val="sdtLocked"/>
            <w:placeholder>
              <w:docPart w:val="GBC22222222222222222222222222222"/>
            </w:placeholder>
          </w:sdtPr>
          <w:sdtEndPr/>
          <w:sdtContent>
            <w:p w14:paraId="77A058A2" w14:textId="77777777" w:rsidR="007E7472" w:rsidRDefault="00EC1269">
              <w:pPr>
                <w:spacing w:before="60" w:after="60"/>
              </w:pPr>
              <w:r>
                <w:rPr>
                  <w:rFonts w:asciiTheme="minorEastAsia" w:eastAsiaTheme="minorEastAsia" w:hAnsiTheme="minorEastAsia" w:cs="Times New Roman"/>
                </w:rPr>
                <w:fldChar w:fldCharType="begin"/>
              </w:r>
              <w:r>
                <w:rPr>
                  <w:rFonts w:asciiTheme="minorEastAsia" w:eastAsiaTheme="minorEastAsia" w:hAnsiTheme="minorEastAsia" w:cs="Times New Roman"/>
                </w:rPr>
                <w:instrText xml:space="preserve"> MACROBUTTON  SnrToggleCheckbox □适用 </w:instrText>
              </w:r>
              <w:r>
                <w:rPr>
                  <w:rFonts w:asciiTheme="minorEastAsia" w:eastAsiaTheme="minorEastAsia" w:hAnsiTheme="minorEastAsia" w:cs="Times New Roman"/>
                </w:rPr>
                <w:fldChar w:fldCharType="end"/>
              </w:r>
              <w:r>
                <w:rPr>
                  <w:rFonts w:asciiTheme="minorEastAsia" w:eastAsiaTheme="minorEastAsia" w:hAnsiTheme="minorEastAsia" w:cs="Times New Roman"/>
                </w:rPr>
                <w:fldChar w:fldCharType="begin"/>
              </w:r>
              <w:r>
                <w:rPr>
                  <w:rFonts w:asciiTheme="minorEastAsia" w:eastAsiaTheme="minorEastAsia" w:hAnsiTheme="minorEastAsia" w:cs="Times New Roman"/>
                </w:rPr>
                <w:instrText xml:space="preserve"> MACROBUTTON  SnrToggleCheckbox √不适用 </w:instrText>
              </w:r>
              <w:r>
                <w:rPr>
                  <w:rFonts w:asciiTheme="minorEastAsia" w:eastAsiaTheme="minorEastAsia" w:hAnsiTheme="minorEastAsia" w:cs="Times New Roman"/>
                </w:rPr>
                <w:fldChar w:fldCharType="end"/>
              </w:r>
            </w:p>
          </w:sdtContent>
        </w:sdt>
      </w:sdtContent>
    </w:sdt>
    <w:p w14:paraId="5D754652" w14:textId="77777777" w:rsidR="007E7472" w:rsidRDefault="00C8327E"/>
    <w:sdt>
      <w:sdtPr>
        <w:rPr>
          <w:rFonts w:ascii="宋体" w:hAnsi="宋体" w:cs="宋体" w:hint="eastAsia"/>
          <w:b w:val="0"/>
          <w:bCs w:val="0"/>
          <w:kern w:val="0"/>
          <w:szCs w:val="21"/>
        </w:rPr>
        <w:alias w:val="模块:租赁负债"/>
        <w:tag w:val="_SEC_6bd3f432494344eb8aaf6d133dbbfdc8"/>
        <w:id w:val="-1777559013"/>
        <w:lock w:val="sdtLocked"/>
        <w:placeholder>
          <w:docPart w:val="GBC22222222222222222222222222222"/>
        </w:placeholder>
      </w:sdtPr>
      <w:sdtEndPr>
        <w:rPr>
          <w:rFonts w:hint="default"/>
        </w:rPr>
      </w:sdtEndPr>
      <w:sdtContent>
        <w:p w14:paraId="7717A136" w14:textId="77777777" w:rsidR="007E7472" w:rsidRDefault="00EC1269" w:rsidP="00162493">
          <w:pPr>
            <w:pStyle w:val="3"/>
            <w:numPr>
              <w:ilvl w:val="0"/>
              <w:numId w:val="62"/>
            </w:numPr>
          </w:pPr>
          <w:r>
            <w:rPr>
              <w:rFonts w:hint="eastAsia"/>
            </w:rPr>
            <w:t>租赁负债</w:t>
          </w:r>
        </w:p>
        <w:sdt>
          <w:sdtPr>
            <w:alias w:val="是否适用：租赁负债[双击切换]"/>
            <w:tag w:val="_GBC_cec9aedf0aa8427d9bd5dbf17e698298"/>
            <w:id w:val="-1760516098"/>
            <w:lock w:val="sdtLocked"/>
            <w:placeholder>
              <w:docPart w:val="GBC22222222222222222222222222222"/>
            </w:placeholder>
          </w:sdtPr>
          <w:sdtEndPr/>
          <w:sdtContent>
            <w:p w14:paraId="60908442"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232ECAB2" w14:textId="4A65BC45" w:rsidR="007E7472" w:rsidRDefault="00EC1269">
          <w:pPr>
            <w:jc w:val="right"/>
          </w:pPr>
          <w:r>
            <w:rPr>
              <w:rFonts w:hint="eastAsia"/>
            </w:rPr>
            <w:t>单位：</w:t>
          </w:r>
          <w:sdt>
            <w:sdtPr>
              <w:rPr>
                <w:rFonts w:hint="eastAsia"/>
              </w:rPr>
              <w:alias w:val="单位：租赁负债"/>
              <w:tag w:val="_GBC_3f1d18295bfb4156905ee3935811bc9f"/>
              <w:id w:val="71400314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6F3F93">
                <w:rPr>
                  <w:rFonts w:hint="eastAsia"/>
                </w:rPr>
                <w:t>千元</w:t>
              </w:r>
            </w:sdtContent>
          </w:sdt>
          <w:r>
            <w:rPr>
              <w:rFonts w:hint="eastAsia"/>
            </w:rPr>
            <w:t>币种：</w:t>
          </w:r>
          <w:sdt>
            <w:sdtPr>
              <w:rPr>
                <w:rFonts w:hint="eastAsia"/>
              </w:rPr>
              <w:alias w:val="币种：租赁负债"/>
              <w:tag w:val="_GBC_1ce63c76adb74c2f8d53dbdb5d73a87c"/>
              <w:id w:val="-5011214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3125"/>
            <w:gridCol w:w="2848"/>
            <w:gridCol w:w="2850"/>
          </w:tblGrid>
          <w:tr w:rsidR="007E7472" w14:paraId="7635DFD5" w14:textId="77777777" w:rsidTr="007E7472">
            <w:trPr>
              <w:cantSplit/>
              <w:trHeight w:val="340"/>
            </w:trPr>
            <w:sdt>
              <w:sdtPr>
                <w:tag w:val="_PLD_27afd78cc4b04fa19a7adaa593b83cc4"/>
                <w:id w:val="-891656842"/>
                <w:lock w:val="sdtLocked"/>
              </w:sdtPr>
              <w:sdtEndPr/>
              <w:sdtContent>
                <w:tc>
                  <w:tcPr>
                    <w:tcW w:w="1771" w:type="pct"/>
                    <w:shd w:val="clear" w:color="auto" w:fill="auto"/>
                    <w:vAlign w:val="center"/>
                  </w:tcPr>
                  <w:p w14:paraId="5522C5A9" w14:textId="77777777" w:rsidR="007E7472" w:rsidRDefault="00EC1269">
                    <w:pPr>
                      <w:jc w:val="center"/>
                    </w:pPr>
                    <w:r>
                      <w:rPr>
                        <w:rFonts w:hint="eastAsia"/>
                      </w:rPr>
                      <w:t>项目</w:t>
                    </w:r>
                  </w:p>
                </w:tc>
              </w:sdtContent>
            </w:sdt>
            <w:sdt>
              <w:sdtPr>
                <w:tag w:val="_PLD_473fbb207ad34f58a8a0f0451332e555"/>
                <w:id w:val="-1078052336"/>
                <w:lock w:val="sdtLocked"/>
              </w:sdtPr>
              <w:sdtEndPr/>
              <w:sdtContent>
                <w:tc>
                  <w:tcPr>
                    <w:tcW w:w="1614" w:type="pct"/>
                    <w:shd w:val="clear" w:color="auto" w:fill="auto"/>
                    <w:vAlign w:val="center"/>
                  </w:tcPr>
                  <w:p w14:paraId="3205CAAC" w14:textId="77777777" w:rsidR="007E7472" w:rsidRDefault="00EC1269">
                    <w:pPr>
                      <w:jc w:val="center"/>
                    </w:pPr>
                    <w:r>
                      <w:rPr>
                        <w:rFonts w:hint="eastAsia"/>
                      </w:rPr>
                      <w:t>期末余额</w:t>
                    </w:r>
                  </w:p>
                </w:tc>
              </w:sdtContent>
            </w:sdt>
            <w:sdt>
              <w:sdtPr>
                <w:tag w:val="_PLD_81cf17ce1aff4bad8deb2792f3b6570d"/>
                <w:id w:val="-538979280"/>
                <w:lock w:val="sdtLocked"/>
              </w:sdtPr>
              <w:sdtEndPr/>
              <w:sdtContent>
                <w:tc>
                  <w:tcPr>
                    <w:tcW w:w="1615" w:type="pct"/>
                    <w:shd w:val="clear" w:color="auto" w:fill="auto"/>
                    <w:vAlign w:val="center"/>
                  </w:tcPr>
                  <w:p w14:paraId="233D0001" w14:textId="77777777" w:rsidR="007E7472" w:rsidRDefault="00EC1269">
                    <w:pPr>
                      <w:jc w:val="center"/>
                    </w:pPr>
                    <w:r>
                      <w:rPr>
                        <w:rFonts w:hint="eastAsia"/>
                      </w:rPr>
                      <w:t>期初余额</w:t>
                    </w:r>
                  </w:p>
                </w:tc>
              </w:sdtContent>
            </w:sdt>
          </w:tr>
          <w:sdt>
            <w:sdtPr>
              <w:alias w:val="租赁负债明细"/>
              <w:tag w:val="_TUP_4f6c01aec10540a980fbed5fbec5a5f6"/>
              <w:id w:val="-1583371259"/>
              <w:lock w:val="sdtLocked"/>
            </w:sdtPr>
            <w:sdtEndPr/>
            <w:sdtContent>
              <w:tr w:rsidR="007E7472" w14:paraId="0A20C988" w14:textId="77777777" w:rsidTr="007E7472">
                <w:trPr>
                  <w:cantSplit/>
                  <w:trHeight w:val="340"/>
                </w:trPr>
                <w:tc>
                  <w:tcPr>
                    <w:tcW w:w="1771" w:type="pct"/>
                    <w:vAlign w:val="center"/>
                  </w:tcPr>
                  <w:p w14:paraId="0BD8D46F" w14:textId="77777777" w:rsidR="007E7472" w:rsidRDefault="00EC1269">
                    <w:r>
                      <w:rPr>
                        <w:rFonts w:hint="eastAsia"/>
                      </w:rPr>
                      <w:t>融资租赁</w:t>
                    </w:r>
                  </w:p>
                </w:tc>
                <w:tc>
                  <w:tcPr>
                    <w:tcW w:w="1614" w:type="pct"/>
                    <w:vAlign w:val="center"/>
                  </w:tcPr>
                  <w:p w14:paraId="185A6917" w14:textId="77777777" w:rsidR="007E7472" w:rsidRDefault="00EC1269">
                    <w:pPr>
                      <w:jc w:val="right"/>
                    </w:pPr>
                    <w:r>
                      <w:t>344,561</w:t>
                    </w:r>
                  </w:p>
                </w:tc>
                <w:tc>
                  <w:tcPr>
                    <w:tcW w:w="1615" w:type="pct"/>
                    <w:vAlign w:val="center"/>
                  </w:tcPr>
                  <w:p w14:paraId="5F7E44C3" w14:textId="77777777" w:rsidR="007E7472" w:rsidRDefault="00EC1269">
                    <w:pPr>
                      <w:jc w:val="right"/>
                      <w:rPr>
                        <w:bCs/>
                      </w:rPr>
                    </w:pPr>
                    <w:r>
                      <w:t>345,441</w:t>
                    </w:r>
                  </w:p>
                </w:tc>
              </w:tr>
            </w:sdtContent>
          </w:sdt>
          <w:sdt>
            <w:sdtPr>
              <w:alias w:val="租赁负债明细"/>
              <w:tag w:val="_TUP_4f6c01aec10540a980fbed5fbec5a5f6"/>
              <w:id w:val="-1644420526"/>
              <w:lock w:val="sdtLocked"/>
            </w:sdtPr>
            <w:sdtEndPr/>
            <w:sdtContent>
              <w:tr w:rsidR="007E7472" w14:paraId="0DA67CED" w14:textId="77777777" w:rsidTr="007E7472">
                <w:trPr>
                  <w:cantSplit/>
                  <w:trHeight w:val="340"/>
                </w:trPr>
                <w:tc>
                  <w:tcPr>
                    <w:tcW w:w="1771" w:type="pct"/>
                    <w:vAlign w:val="center"/>
                  </w:tcPr>
                  <w:p w14:paraId="26E00DF8" w14:textId="77777777" w:rsidR="007E7472" w:rsidRDefault="00EC1269">
                    <w:r>
                      <w:rPr>
                        <w:rFonts w:hint="eastAsia"/>
                      </w:rPr>
                      <w:t>经营租赁</w:t>
                    </w:r>
                  </w:p>
                </w:tc>
                <w:tc>
                  <w:tcPr>
                    <w:tcW w:w="1614" w:type="pct"/>
                    <w:vAlign w:val="center"/>
                  </w:tcPr>
                  <w:p w14:paraId="7C84B955" w14:textId="77777777" w:rsidR="007E7472" w:rsidRDefault="00C8327E">
                    <w:pPr>
                      <w:jc w:val="right"/>
                    </w:pPr>
                  </w:p>
                </w:tc>
                <w:tc>
                  <w:tcPr>
                    <w:tcW w:w="1615" w:type="pct"/>
                    <w:vAlign w:val="center"/>
                  </w:tcPr>
                  <w:p w14:paraId="0AC6F4B5" w14:textId="77777777" w:rsidR="007E7472" w:rsidRDefault="00EC1269">
                    <w:pPr>
                      <w:jc w:val="right"/>
                    </w:pPr>
                    <w:r>
                      <w:t>65,592</w:t>
                    </w:r>
                  </w:p>
                </w:tc>
              </w:tr>
            </w:sdtContent>
          </w:sdt>
          <w:tr w:rsidR="007E7472" w14:paraId="43D452E9" w14:textId="77777777" w:rsidTr="007E7472">
            <w:trPr>
              <w:cantSplit/>
              <w:trHeight w:val="340"/>
            </w:trPr>
            <w:sdt>
              <w:sdtPr>
                <w:tag w:val="_PLD_807a786371564fa194bf829b6d063d21"/>
                <w:id w:val="-415640989"/>
                <w:lock w:val="sdtLocked"/>
              </w:sdtPr>
              <w:sdtEndPr/>
              <w:sdtContent>
                <w:tc>
                  <w:tcPr>
                    <w:tcW w:w="1771" w:type="pct"/>
                    <w:vAlign w:val="center"/>
                  </w:tcPr>
                  <w:p w14:paraId="47135A47" w14:textId="77777777" w:rsidR="007E7472" w:rsidRDefault="00EC1269">
                    <w:pPr>
                      <w:jc w:val="center"/>
                    </w:pPr>
                    <w:r>
                      <w:rPr>
                        <w:rFonts w:hint="eastAsia"/>
                      </w:rPr>
                      <w:t>合计</w:t>
                    </w:r>
                  </w:p>
                </w:tc>
              </w:sdtContent>
            </w:sdt>
            <w:tc>
              <w:tcPr>
                <w:tcW w:w="1614" w:type="pct"/>
                <w:vAlign w:val="center"/>
              </w:tcPr>
              <w:p w14:paraId="4C7B28E3" w14:textId="77777777" w:rsidR="007E7472" w:rsidRDefault="00EC1269">
                <w:pPr>
                  <w:jc w:val="right"/>
                </w:pPr>
                <w:r>
                  <w:t>344,561</w:t>
                </w:r>
              </w:p>
            </w:tc>
            <w:tc>
              <w:tcPr>
                <w:tcW w:w="1615" w:type="pct"/>
                <w:vAlign w:val="center"/>
              </w:tcPr>
              <w:p w14:paraId="2BDC772A" w14:textId="77777777" w:rsidR="007E7472" w:rsidRDefault="00EC1269">
                <w:pPr>
                  <w:jc w:val="right"/>
                </w:pPr>
                <w:r>
                  <w:t>411,033</w:t>
                </w:r>
              </w:p>
            </w:tc>
          </w:tr>
        </w:tbl>
      </w:sdtContent>
    </w:sdt>
    <w:p w14:paraId="437D8784" w14:textId="77777777" w:rsidR="007E7472" w:rsidRDefault="00C8327E"/>
    <w:p w14:paraId="41C4A8BF" w14:textId="77777777" w:rsidR="007E7472" w:rsidRDefault="00EC1269" w:rsidP="00162493">
      <w:pPr>
        <w:pStyle w:val="3"/>
        <w:numPr>
          <w:ilvl w:val="0"/>
          <w:numId w:val="62"/>
        </w:numPr>
      </w:pPr>
      <w:r>
        <w:rPr>
          <w:rFonts w:hint="eastAsia"/>
        </w:rPr>
        <w:t>长期应付款</w:t>
      </w:r>
    </w:p>
    <w:sdt>
      <w:sdtPr>
        <w:rPr>
          <w:rFonts w:ascii="宋体" w:hAnsi="宋体" w:cs="宋体" w:hint="eastAsia"/>
          <w:b w:val="0"/>
          <w:bCs w:val="0"/>
          <w:kern w:val="0"/>
          <w:sz w:val="20"/>
          <w:szCs w:val="21"/>
        </w:rPr>
        <w:alias w:val="模块:项目列示"/>
        <w:tag w:val="_SEC_c0e96ee0f49e415f98873dfb1c798446"/>
        <w:id w:val="1685323960"/>
        <w:lock w:val="sdtLocked"/>
        <w:placeholder>
          <w:docPart w:val="GBC22222222222222222222222222222"/>
        </w:placeholder>
      </w:sdtPr>
      <w:sdtEndPr/>
      <w:sdtContent>
        <w:p w14:paraId="308A8067" w14:textId="77777777" w:rsidR="007E7472" w:rsidRDefault="00EC1269" w:rsidP="007E7472">
          <w:pPr>
            <w:pStyle w:val="4"/>
          </w:pPr>
          <w:r>
            <w:rPr>
              <w:rFonts w:hint="eastAsia"/>
            </w:rPr>
            <w:t>项目列示</w:t>
          </w:r>
        </w:p>
        <w:sdt>
          <w:sdtPr>
            <w:alias w:val="是否适用：长期应付款分类列示[双击切换]"/>
            <w:tag w:val="_GBC_dc1496c33e4a4cabb259020dbf46be93"/>
            <w:id w:val="1511023853"/>
            <w:lock w:val="sdtLocked"/>
            <w:placeholder>
              <w:docPart w:val="GBC22222222222222222222222222222"/>
            </w:placeholder>
          </w:sdtPr>
          <w:sdtEndPr/>
          <w:sdtContent>
            <w:p w14:paraId="4C6CC12A"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033B489F" w14:textId="5B57E7FA" w:rsidR="007E7472" w:rsidRDefault="00EC1269">
          <w:pPr>
            <w:jc w:val="right"/>
          </w:pPr>
          <w:r>
            <w:rPr>
              <w:rFonts w:hint="eastAsia"/>
            </w:rPr>
            <w:t>单位：</w:t>
          </w:r>
          <w:sdt>
            <w:sdtPr>
              <w:rPr>
                <w:rFonts w:hint="eastAsia"/>
              </w:rPr>
              <w:alias w:val="单位：长期应付款分类列示"/>
              <w:tag w:val="_GBC_ebfc605e57a44e54b3e33ac2adbd49b3"/>
              <w:id w:val="8136798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长期应付款分类列示"/>
              <w:tag w:val="_GBC_3e0811a7722a450c98b76253621cc253"/>
              <w:id w:val="5181323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5"/>
            <w:gridCol w:w="2792"/>
            <w:gridCol w:w="2806"/>
          </w:tblGrid>
          <w:tr w:rsidR="007E7472" w14:paraId="0708FD83" w14:textId="77777777" w:rsidTr="007E7472">
            <w:trPr>
              <w:trHeight w:val="340"/>
            </w:trPr>
            <w:sdt>
              <w:sdtPr>
                <w:tag w:val="_PLD_c3a93bba75a94d61a6bb41116821520d"/>
                <w:id w:val="-573427257"/>
                <w:lock w:val="sdtLocked"/>
              </w:sdtPr>
              <w:sdtEndPr/>
              <w:sdtContent>
                <w:tc>
                  <w:tcPr>
                    <w:tcW w:w="1828" w:type="pct"/>
                    <w:shd w:val="clear" w:color="auto" w:fill="auto"/>
                    <w:vAlign w:val="center"/>
                  </w:tcPr>
                  <w:p w14:paraId="145D9F81" w14:textId="77777777" w:rsidR="007E7472" w:rsidRDefault="00EC1269">
                    <w:pPr>
                      <w:tabs>
                        <w:tab w:val="right" w:pos="3690"/>
                        <w:tab w:val="right" w:pos="5130"/>
                        <w:tab w:val="right" w:pos="6030"/>
                        <w:tab w:val="right" w:pos="7650"/>
                        <w:tab w:val="right" w:pos="9270"/>
                      </w:tabs>
                      <w:adjustRightInd w:val="0"/>
                      <w:snapToGrid w:val="0"/>
                      <w:jc w:val="center"/>
                    </w:pPr>
                    <w:r>
                      <w:rPr>
                        <w:rFonts w:hint="eastAsia"/>
                      </w:rPr>
                      <w:t>项目</w:t>
                    </w:r>
                  </w:p>
                </w:tc>
              </w:sdtContent>
            </w:sdt>
            <w:sdt>
              <w:sdtPr>
                <w:tag w:val="_PLD_4cef3b6e993d4efeab53c68db46274b8"/>
                <w:id w:val="-299306004"/>
                <w:lock w:val="sdtLocked"/>
              </w:sdtPr>
              <w:sdtEndPr/>
              <w:sdtContent>
                <w:tc>
                  <w:tcPr>
                    <w:tcW w:w="1582" w:type="pct"/>
                    <w:shd w:val="clear" w:color="auto" w:fill="auto"/>
                    <w:vAlign w:val="center"/>
                  </w:tcPr>
                  <w:p w14:paraId="66BCE3FE" w14:textId="77777777" w:rsidR="007E7472" w:rsidRDefault="00EC1269">
                    <w:pPr>
                      <w:jc w:val="center"/>
                    </w:pPr>
                    <w:r>
                      <w:rPr>
                        <w:rFonts w:hint="eastAsia"/>
                      </w:rPr>
                      <w:t>期末余额</w:t>
                    </w:r>
                  </w:p>
                </w:tc>
              </w:sdtContent>
            </w:sdt>
            <w:sdt>
              <w:sdtPr>
                <w:tag w:val="_PLD_d7980fd6d7084f6bb108abf1cc53570a"/>
                <w:id w:val="563223213"/>
                <w:lock w:val="sdtLocked"/>
              </w:sdtPr>
              <w:sdtEndPr/>
              <w:sdtContent>
                <w:tc>
                  <w:tcPr>
                    <w:tcW w:w="1590" w:type="pct"/>
                    <w:shd w:val="clear" w:color="auto" w:fill="auto"/>
                    <w:vAlign w:val="center"/>
                  </w:tcPr>
                  <w:p w14:paraId="778366BB" w14:textId="77777777" w:rsidR="007E7472" w:rsidRDefault="00EC1269">
                    <w:pPr>
                      <w:jc w:val="center"/>
                    </w:pPr>
                    <w:r>
                      <w:rPr>
                        <w:rFonts w:hint="eastAsia"/>
                      </w:rPr>
                      <w:t>期初余额</w:t>
                    </w:r>
                  </w:p>
                </w:tc>
              </w:sdtContent>
            </w:sdt>
          </w:tr>
          <w:tr w:rsidR="007E7472" w14:paraId="1546130B" w14:textId="77777777" w:rsidTr="007E7472">
            <w:trPr>
              <w:trHeight w:val="340"/>
            </w:trPr>
            <w:sdt>
              <w:sdtPr>
                <w:tag w:val="_PLD_5e2f309101aa42679809229e6373eaeb"/>
                <w:id w:val="-1404058220"/>
                <w:lock w:val="sdtLocked"/>
              </w:sdtPr>
              <w:sdtEndPr/>
              <w:sdtContent>
                <w:tc>
                  <w:tcPr>
                    <w:tcW w:w="1828" w:type="pct"/>
                    <w:shd w:val="clear" w:color="auto" w:fill="auto"/>
                    <w:vAlign w:val="center"/>
                  </w:tcPr>
                  <w:p w14:paraId="7EF23B84" w14:textId="77777777" w:rsidR="007E7472" w:rsidRDefault="00EC1269">
                    <w:pPr>
                      <w:tabs>
                        <w:tab w:val="right" w:pos="3690"/>
                        <w:tab w:val="right" w:pos="5130"/>
                        <w:tab w:val="right" w:pos="6030"/>
                        <w:tab w:val="right" w:pos="7650"/>
                        <w:tab w:val="right" w:pos="9270"/>
                      </w:tabs>
                      <w:adjustRightInd w:val="0"/>
                      <w:snapToGrid w:val="0"/>
                    </w:pPr>
                    <w:r>
                      <w:rPr>
                        <w:rFonts w:hint="eastAsia"/>
                      </w:rPr>
                      <w:t>长期应付款</w:t>
                    </w:r>
                  </w:p>
                </w:tc>
              </w:sdtContent>
            </w:sdt>
            <w:tc>
              <w:tcPr>
                <w:tcW w:w="1582" w:type="pct"/>
                <w:shd w:val="clear" w:color="auto" w:fill="auto"/>
                <w:vAlign w:val="center"/>
              </w:tcPr>
              <w:p w14:paraId="2DE2283F" w14:textId="77777777" w:rsidR="007E7472" w:rsidRDefault="00EC1269">
                <w:pPr>
                  <w:jc w:val="right"/>
                  <w:rPr>
                    <w:bCs/>
                  </w:rPr>
                </w:pPr>
                <w:r>
                  <w:t>7,971,516</w:t>
                </w:r>
              </w:p>
            </w:tc>
            <w:tc>
              <w:tcPr>
                <w:tcW w:w="1590" w:type="pct"/>
                <w:shd w:val="clear" w:color="auto" w:fill="auto"/>
                <w:vAlign w:val="center"/>
              </w:tcPr>
              <w:p w14:paraId="582EC4F0" w14:textId="77777777" w:rsidR="007E7472" w:rsidRDefault="00EC1269">
                <w:pPr>
                  <w:jc w:val="right"/>
                </w:pPr>
                <w:r>
                  <w:t>6,820,991</w:t>
                </w:r>
              </w:p>
            </w:tc>
          </w:tr>
          <w:tr w:rsidR="007E7472" w14:paraId="4E618C6A" w14:textId="77777777" w:rsidTr="007E7472">
            <w:trPr>
              <w:trHeight w:val="340"/>
            </w:trPr>
            <w:sdt>
              <w:sdtPr>
                <w:tag w:val="_PLD_c99f5008eb7c496ab0332c6e3c621269"/>
                <w:id w:val="642935363"/>
                <w:lock w:val="sdtLocked"/>
              </w:sdtPr>
              <w:sdtEndPr/>
              <w:sdtContent>
                <w:tc>
                  <w:tcPr>
                    <w:tcW w:w="1828" w:type="pct"/>
                    <w:shd w:val="clear" w:color="auto" w:fill="auto"/>
                    <w:vAlign w:val="center"/>
                  </w:tcPr>
                  <w:p w14:paraId="3C553708" w14:textId="77777777" w:rsidR="007E7472" w:rsidRDefault="00EC1269">
                    <w:pPr>
                      <w:tabs>
                        <w:tab w:val="right" w:pos="3690"/>
                        <w:tab w:val="right" w:pos="5130"/>
                        <w:tab w:val="right" w:pos="6030"/>
                        <w:tab w:val="right" w:pos="7650"/>
                        <w:tab w:val="right" w:pos="9270"/>
                      </w:tabs>
                      <w:adjustRightInd w:val="0"/>
                      <w:snapToGrid w:val="0"/>
                    </w:pPr>
                    <w:r>
                      <w:rPr>
                        <w:rFonts w:hint="eastAsia"/>
                      </w:rPr>
                      <w:t>专项应付款</w:t>
                    </w:r>
                  </w:p>
                </w:tc>
              </w:sdtContent>
            </w:sdt>
            <w:tc>
              <w:tcPr>
                <w:tcW w:w="1582" w:type="pct"/>
                <w:shd w:val="clear" w:color="auto" w:fill="auto"/>
                <w:vAlign w:val="center"/>
              </w:tcPr>
              <w:p w14:paraId="2C2D03ED" w14:textId="77777777" w:rsidR="007E7472" w:rsidRDefault="00EC1269">
                <w:pPr>
                  <w:jc w:val="right"/>
                </w:pPr>
                <w:r>
                  <w:t>18,002</w:t>
                </w:r>
              </w:p>
            </w:tc>
            <w:tc>
              <w:tcPr>
                <w:tcW w:w="1590" w:type="pct"/>
                <w:shd w:val="clear" w:color="auto" w:fill="auto"/>
                <w:vAlign w:val="center"/>
              </w:tcPr>
              <w:p w14:paraId="55FC62A7" w14:textId="77777777" w:rsidR="007E7472" w:rsidRDefault="00EC1269">
                <w:pPr>
                  <w:jc w:val="right"/>
                </w:pPr>
                <w:r>
                  <w:t>19,237</w:t>
                </w:r>
              </w:p>
            </w:tc>
          </w:tr>
          <w:tr w:rsidR="007E7472" w14:paraId="479CB205" w14:textId="77777777" w:rsidTr="007E7472">
            <w:trPr>
              <w:trHeight w:val="340"/>
            </w:trPr>
            <w:sdt>
              <w:sdtPr>
                <w:tag w:val="_PLD_cba41f27288e4eb38b01308f50786168"/>
                <w:id w:val="-647592552"/>
                <w:lock w:val="sdtLocked"/>
              </w:sdtPr>
              <w:sdtEndPr/>
              <w:sdtContent>
                <w:tc>
                  <w:tcPr>
                    <w:tcW w:w="1828" w:type="pct"/>
                    <w:shd w:val="clear" w:color="auto" w:fill="auto"/>
                    <w:vAlign w:val="center"/>
                  </w:tcPr>
                  <w:p w14:paraId="0F549FFE" w14:textId="77777777" w:rsidR="007E7472" w:rsidRDefault="00EC1269">
                    <w:pPr>
                      <w:tabs>
                        <w:tab w:val="right" w:pos="3690"/>
                        <w:tab w:val="right" w:pos="5130"/>
                        <w:tab w:val="right" w:pos="6030"/>
                        <w:tab w:val="right" w:pos="7650"/>
                        <w:tab w:val="right" w:pos="9270"/>
                      </w:tabs>
                      <w:adjustRightInd w:val="0"/>
                      <w:snapToGrid w:val="0"/>
                    </w:pPr>
                    <w:r>
                      <w:rPr>
                        <w:rFonts w:hint="eastAsia"/>
                      </w:rPr>
                      <w:t>合计</w:t>
                    </w:r>
                  </w:p>
                </w:tc>
              </w:sdtContent>
            </w:sdt>
            <w:tc>
              <w:tcPr>
                <w:tcW w:w="1582" w:type="pct"/>
                <w:shd w:val="clear" w:color="auto" w:fill="auto"/>
                <w:vAlign w:val="center"/>
              </w:tcPr>
              <w:p w14:paraId="3C8A92D0" w14:textId="77777777" w:rsidR="007E7472" w:rsidRDefault="00EC1269">
                <w:pPr>
                  <w:jc w:val="right"/>
                </w:pPr>
                <w:r>
                  <w:t>7,989,518</w:t>
                </w:r>
              </w:p>
            </w:tc>
            <w:tc>
              <w:tcPr>
                <w:tcW w:w="1590" w:type="pct"/>
                <w:shd w:val="clear" w:color="auto" w:fill="auto"/>
                <w:vAlign w:val="center"/>
              </w:tcPr>
              <w:p w14:paraId="2B2F109A" w14:textId="77777777" w:rsidR="007E7472" w:rsidRDefault="00EC1269">
                <w:pPr>
                  <w:jc w:val="right"/>
                </w:pPr>
                <w:r>
                  <w:t>6,840,228</w:t>
                </w:r>
              </w:p>
            </w:tc>
          </w:tr>
        </w:tbl>
        <w:p w14:paraId="61664DFE" w14:textId="77777777" w:rsidR="007E7472" w:rsidRDefault="00C8327E"/>
      </w:sdtContent>
    </w:sdt>
    <w:bookmarkStart w:id="247" w:name="_Hlk532911057" w:displacedByCustomXml="next"/>
    <w:bookmarkEnd w:id="247" w:displacedByCustomXml="next"/>
    <w:bookmarkStart w:id="248" w:name="_Hlk10536806" w:displacedByCustomXml="next"/>
    <w:bookmarkStart w:id="249" w:name="_Hlk10536877" w:displacedByCustomXml="next"/>
    <w:sdt>
      <w:sdtPr>
        <w:rPr>
          <w:rFonts w:ascii="宋体" w:hAnsi="宋体" w:cs="宋体" w:hint="eastAsia"/>
          <w:b w:val="0"/>
          <w:bCs w:val="0"/>
          <w:kern w:val="0"/>
          <w:sz w:val="20"/>
          <w:szCs w:val="21"/>
        </w:rPr>
        <w:alias w:val="模块:长期应付款"/>
        <w:tag w:val="_SEC_1ac73daea3484386b92787e79e677fbb"/>
        <w:id w:val="-1408992018"/>
        <w:lock w:val="sdtLocked"/>
        <w:placeholder>
          <w:docPart w:val="GBC22222222222222222222222222222"/>
        </w:placeholder>
      </w:sdtPr>
      <w:sdtEndPr>
        <w:rPr>
          <w:rFonts w:hint="default"/>
        </w:rPr>
      </w:sdtEndPr>
      <w:sdtContent>
        <w:p w14:paraId="2CCB03DC" w14:textId="459A6ADB" w:rsidR="007E7472" w:rsidRDefault="00EC1269" w:rsidP="007E7472">
          <w:pPr>
            <w:pStyle w:val="4"/>
          </w:pPr>
          <w:r>
            <w:rPr>
              <w:rFonts w:hint="eastAsia"/>
            </w:rPr>
            <w:t>长期应付款</w:t>
          </w:r>
          <w:bookmarkEnd w:id="248"/>
        </w:p>
        <w:p w14:paraId="50023DF5" w14:textId="676F5331" w:rsidR="007E7472" w:rsidRPr="00C83254" w:rsidRDefault="00913748" w:rsidP="00162493">
          <w:pPr>
            <w:pStyle w:val="4"/>
            <w:numPr>
              <w:ilvl w:val="0"/>
              <w:numId w:val="91"/>
            </w:numPr>
            <w:ind w:left="426" w:hanging="426"/>
          </w:pPr>
          <w:r>
            <w:rPr>
              <w:rFonts w:hint="eastAsia"/>
            </w:rPr>
            <w:t>按款项性质列示长期应付款</w:t>
          </w:r>
        </w:p>
        <w:sdt>
          <w:sdtPr>
            <w:alias w:val="是否适用：按款项性质列示长期应付款[双击切换]"/>
            <w:tag w:val="_GBC_a9fa9a5286484f4bb853b1eff824e621"/>
            <w:id w:val="-720977671"/>
            <w:lock w:val="sdtLocked"/>
            <w:placeholder>
              <w:docPart w:val="GBC22222222222222222222222222222"/>
            </w:placeholder>
          </w:sdtPr>
          <w:sdtEndPr/>
          <w:sdtContent>
            <w:p w14:paraId="035FC8B2"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0CA309DE" w14:textId="32B71569" w:rsidR="007E7472" w:rsidRDefault="00EC1269">
          <w:pPr>
            <w:jc w:val="right"/>
          </w:pPr>
          <w:r>
            <w:rPr>
              <w:rFonts w:hint="eastAsia"/>
            </w:rPr>
            <w:t>单位：</w:t>
          </w:r>
          <w:sdt>
            <w:sdtPr>
              <w:rPr>
                <w:rFonts w:hint="eastAsia"/>
              </w:rPr>
              <w:alias w:val="单位：财务附注：长期应付款"/>
              <w:tag w:val="_GBC_8d90e4088fac4efe85a76cd0e30766e1"/>
              <w:id w:val="20864207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长期应付款"/>
              <w:tag w:val="_GBC_571b1adfcb634dcbb4fbdf0991f3e029"/>
              <w:id w:val="-10672628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125"/>
            <w:gridCol w:w="2848"/>
            <w:gridCol w:w="2850"/>
          </w:tblGrid>
          <w:tr w:rsidR="007E7472" w14:paraId="18A7C994" w14:textId="77777777" w:rsidTr="007E7472">
            <w:trPr>
              <w:cantSplit/>
              <w:trHeight w:val="340"/>
            </w:trPr>
            <w:sdt>
              <w:sdtPr>
                <w:tag w:val="_PLD_35c3ed078068475db04283d6d6c22bb5"/>
                <w:id w:val="674156149"/>
                <w:lock w:val="sdtLocked"/>
              </w:sdtPr>
              <w:sdtEndPr/>
              <w:sdtContent>
                <w:tc>
                  <w:tcPr>
                    <w:tcW w:w="1771" w:type="pct"/>
                    <w:shd w:val="clear" w:color="auto" w:fill="auto"/>
                    <w:vAlign w:val="center"/>
                  </w:tcPr>
                  <w:p w14:paraId="65BE3BC6" w14:textId="77777777" w:rsidR="007E7472" w:rsidRDefault="00EC1269">
                    <w:pPr>
                      <w:jc w:val="center"/>
                    </w:pPr>
                    <w:r>
                      <w:rPr>
                        <w:rFonts w:hint="eastAsia"/>
                      </w:rPr>
                      <w:t>项目</w:t>
                    </w:r>
                  </w:p>
                </w:tc>
              </w:sdtContent>
            </w:sdt>
            <w:sdt>
              <w:sdtPr>
                <w:tag w:val="_PLD_b59846bd1adb4f398cd1737332e81edb"/>
                <w:id w:val="-941693117"/>
                <w:lock w:val="sdtLocked"/>
              </w:sdtPr>
              <w:sdtEndPr/>
              <w:sdtContent>
                <w:tc>
                  <w:tcPr>
                    <w:tcW w:w="1614" w:type="pct"/>
                    <w:shd w:val="clear" w:color="auto" w:fill="auto"/>
                    <w:vAlign w:val="center"/>
                  </w:tcPr>
                  <w:p w14:paraId="4E0808A0" w14:textId="77777777" w:rsidR="007E7472" w:rsidRDefault="00EC1269">
                    <w:pPr>
                      <w:jc w:val="center"/>
                    </w:pPr>
                    <w:r>
                      <w:rPr>
                        <w:rFonts w:hint="eastAsia"/>
                      </w:rPr>
                      <w:t>期末余额</w:t>
                    </w:r>
                  </w:p>
                </w:tc>
              </w:sdtContent>
            </w:sdt>
            <w:sdt>
              <w:sdtPr>
                <w:tag w:val="_PLD_184e30079df94f509e7e7ea9142928df"/>
                <w:id w:val="1521349408"/>
                <w:lock w:val="sdtLocked"/>
              </w:sdtPr>
              <w:sdtEndPr/>
              <w:sdtContent>
                <w:tc>
                  <w:tcPr>
                    <w:tcW w:w="1615" w:type="pct"/>
                    <w:shd w:val="clear" w:color="auto" w:fill="auto"/>
                    <w:vAlign w:val="center"/>
                  </w:tcPr>
                  <w:p w14:paraId="253FB8F8" w14:textId="77777777" w:rsidR="007E7472" w:rsidRDefault="00EC1269">
                    <w:pPr>
                      <w:jc w:val="center"/>
                    </w:pPr>
                    <w:r>
                      <w:rPr>
                        <w:rFonts w:hint="eastAsia"/>
                      </w:rPr>
                      <w:t>期初余额</w:t>
                    </w:r>
                  </w:p>
                </w:tc>
              </w:sdtContent>
            </w:sdt>
          </w:tr>
          <w:sdt>
            <w:sdtPr>
              <w:alias w:val="按款项性质列示长期应付款明细"/>
              <w:tag w:val="_TUP_618fba5b46de42ad8e723e9585c5f36d"/>
              <w:id w:val="2110765155"/>
              <w:lock w:val="sdtLocked"/>
            </w:sdtPr>
            <w:sdtEndPr>
              <w:rPr>
                <w:rFonts w:hint="eastAsia"/>
              </w:rPr>
            </w:sdtEndPr>
            <w:sdtContent>
              <w:tr w:rsidR="007E7472" w14:paraId="504DE86A" w14:textId="77777777" w:rsidTr="007E7472">
                <w:trPr>
                  <w:cantSplit/>
                  <w:trHeight w:val="340"/>
                </w:trPr>
                <w:tc>
                  <w:tcPr>
                    <w:tcW w:w="1771" w:type="pct"/>
                    <w:vAlign w:val="center"/>
                  </w:tcPr>
                  <w:p w14:paraId="77ECF12E" w14:textId="77777777" w:rsidR="007E7472" w:rsidRDefault="00EC1269">
                    <w:r>
                      <w:t>采矿权购置款</w:t>
                    </w:r>
                  </w:p>
                </w:tc>
                <w:tc>
                  <w:tcPr>
                    <w:tcW w:w="1614" w:type="pct"/>
                    <w:vAlign w:val="center"/>
                  </w:tcPr>
                  <w:p w14:paraId="57ED5750" w14:textId="77777777" w:rsidR="007E7472" w:rsidRDefault="00EC1269">
                    <w:pPr>
                      <w:jc w:val="right"/>
                    </w:pPr>
                    <w:r>
                      <w:t>3,284,956</w:t>
                    </w:r>
                  </w:p>
                </w:tc>
                <w:tc>
                  <w:tcPr>
                    <w:tcW w:w="1615" w:type="pct"/>
                    <w:vAlign w:val="center"/>
                  </w:tcPr>
                  <w:p w14:paraId="473B7D97" w14:textId="77777777" w:rsidR="007E7472" w:rsidRDefault="00EC1269">
                    <w:pPr>
                      <w:jc w:val="right"/>
                    </w:pPr>
                    <w:r>
                      <w:t>3,466,978</w:t>
                    </w:r>
                  </w:p>
                </w:tc>
              </w:tr>
            </w:sdtContent>
          </w:sdt>
          <w:sdt>
            <w:sdtPr>
              <w:alias w:val="按款项性质列示长期应付款明细"/>
              <w:tag w:val="_TUP_618fba5b46de42ad8e723e9585c5f36d"/>
              <w:id w:val="189648418"/>
              <w:lock w:val="sdtLocked"/>
            </w:sdtPr>
            <w:sdtEndPr>
              <w:rPr>
                <w:rFonts w:hint="eastAsia"/>
              </w:rPr>
            </w:sdtEndPr>
            <w:sdtContent>
              <w:tr w:rsidR="007E7472" w14:paraId="275CD144" w14:textId="77777777" w:rsidTr="007E7472">
                <w:trPr>
                  <w:cantSplit/>
                  <w:trHeight w:val="340"/>
                </w:trPr>
                <w:tc>
                  <w:tcPr>
                    <w:tcW w:w="1771" w:type="pct"/>
                    <w:vAlign w:val="center"/>
                  </w:tcPr>
                  <w:p w14:paraId="57DA0D30" w14:textId="77777777" w:rsidR="007E7472" w:rsidRDefault="00EC1269">
                    <w:r>
                      <w:rPr>
                        <w:rFonts w:hint="eastAsia"/>
                      </w:rPr>
                      <w:t>售后回租款（注）</w:t>
                    </w:r>
                  </w:p>
                </w:tc>
                <w:tc>
                  <w:tcPr>
                    <w:tcW w:w="1614" w:type="pct"/>
                    <w:vAlign w:val="center"/>
                  </w:tcPr>
                  <w:p w14:paraId="6338CCBE" w14:textId="77777777" w:rsidR="007E7472" w:rsidRDefault="00EC1269">
                    <w:pPr>
                      <w:jc w:val="right"/>
                    </w:pPr>
                    <w:r>
                      <w:t>3,129,392</w:t>
                    </w:r>
                  </w:p>
                </w:tc>
                <w:tc>
                  <w:tcPr>
                    <w:tcW w:w="1615" w:type="pct"/>
                    <w:vAlign w:val="center"/>
                  </w:tcPr>
                  <w:p w14:paraId="15137ADB" w14:textId="77777777" w:rsidR="007E7472" w:rsidRDefault="00EC1269">
                    <w:pPr>
                      <w:jc w:val="right"/>
                    </w:pPr>
                    <w:r>
                      <w:t>1,796,845</w:t>
                    </w:r>
                  </w:p>
                </w:tc>
              </w:tr>
            </w:sdtContent>
          </w:sdt>
          <w:sdt>
            <w:sdtPr>
              <w:alias w:val="按款项性质列示长期应付款明细"/>
              <w:tag w:val="_TUP_618fba5b46de42ad8e723e9585c5f36d"/>
              <w:id w:val="1191639261"/>
              <w:lock w:val="sdtLocked"/>
            </w:sdtPr>
            <w:sdtEndPr>
              <w:rPr>
                <w:rFonts w:hint="eastAsia"/>
              </w:rPr>
            </w:sdtEndPr>
            <w:sdtContent>
              <w:tr w:rsidR="007E7472" w14:paraId="5CE3B4A2" w14:textId="77777777" w:rsidTr="007E7472">
                <w:trPr>
                  <w:cantSplit/>
                  <w:trHeight w:val="340"/>
                </w:trPr>
                <w:tc>
                  <w:tcPr>
                    <w:tcW w:w="1771" w:type="pct"/>
                    <w:vAlign w:val="center"/>
                  </w:tcPr>
                  <w:p w14:paraId="2ED4EFE7" w14:textId="77777777" w:rsidR="007E7472" w:rsidRDefault="00EC1269">
                    <w:r>
                      <w:t>政府专项债券</w:t>
                    </w:r>
                  </w:p>
                </w:tc>
                <w:tc>
                  <w:tcPr>
                    <w:tcW w:w="1614" w:type="pct"/>
                    <w:vAlign w:val="center"/>
                  </w:tcPr>
                  <w:p w14:paraId="3A042E5C" w14:textId="77777777" w:rsidR="007E7472" w:rsidRDefault="00EC1269">
                    <w:pPr>
                      <w:jc w:val="right"/>
                    </w:pPr>
                    <w:r>
                      <w:t>1,500,000</w:t>
                    </w:r>
                  </w:p>
                </w:tc>
                <w:tc>
                  <w:tcPr>
                    <w:tcW w:w="1615" w:type="pct"/>
                    <w:vAlign w:val="center"/>
                  </w:tcPr>
                  <w:p w14:paraId="4D73572A" w14:textId="77777777" w:rsidR="007E7472" w:rsidRDefault="00EC1269">
                    <w:pPr>
                      <w:jc w:val="right"/>
                    </w:pPr>
                    <w:r>
                      <w:t>1,500,000</w:t>
                    </w:r>
                  </w:p>
                </w:tc>
              </w:tr>
            </w:sdtContent>
          </w:sdt>
          <w:sdt>
            <w:sdtPr>
              <w:alias w:val="按款项性质列示长期应付款明细"/>
              <w:tag w:val="_TUP_618fba5b46de42ad8e723e9585c5f36d"/>
              <w:id w:val="-1751876768"/>
              <w:lock w:val="sdtLocked"/>
            </w:sdtPr>
            <w:sdtEndPr>
              <w:rPr>
                <w:rFonts w:hint="eastAsia"/>
              </w:rPr>
            </w:sdtEndPr>
            <w:sdtContent>
              <w:tr w:rsidR="007E7472" w14:paraId="0A0D7AA8" w14:textId="77777777" w:rsidTr="007E7472">
                <w:trPr>
                  <w:cantSplit/>
                  <w:trHeight w:val="340"/>
                </w:trPr>
                <w:tc>
                  <w:tcPr>
                    <w:tcW w:w="1771" w:type="pct"/>
                    <w:vAlign w:val="center"/>
                  </w:tcPr>
                  <w:p w14:paraId="2695848B" w14:textId="77777777" w:rsidR="007E7472" w:rsidRDefault="00EC1269">
                    <w:r>
                      <w:t>其他</w:t>
                    </w:r>
                  </w:p>
                </w:tc>
                <w:tc>
                  <w:tcPr>
                    <w:tcW w:w="1614" w:type="pct"/>
                    <w:vAlign w:val="center"/>
                  </w:tcPr>
                  <w:p w14:paraId="510A8C3B" w14:textId="77777777" w:rsidR="007E7472" w:rsidRDefault="00EC1269">
                    <w:pPr>
                      <w:jc w:val="right"/>
                    </w:pPr>
                    <w:r>
                      <w:t>57,168</w:t>
                    </w:r>
                  </w:p>
                </w:tc>
                <w:tc>
                  <w:tcPr>
                    <w:tcW w:w="1615" w:type="pct"/>
                    <w:vAlign w:val="center"/>
                  </w:tcPr>
                  <w:p w14:paraId="1CB29511" w14:textId="77777777" w:rsidR="007E7472" w:rsidRDefault="00EC1269">
                    <w:pPr>
                      <w:jc w:val="right"/>
                    </w:pPr>
                    <w:r>
                      <w:t>57,168</w:t>
                    </w:r>
                  </w:p>
                </w:tc>
              </w:tr>
            </w:sdtContent>
          </w:sdt>
          <w:tr w:rsidR="007E7472" w14:paraId="43875527" w14:textId="77777777" w:rsidTr="007E7472">
            <w:trPr>
              <w:cantSplit/>
              <w:trHeight w:val="340"/>
            </w:trPr>
            <w:sdt>
              <w:sdtPr>
                <w:tag w:val="_PLD_b9d5f725e3e04d2eb1e0e4d55b521e84"/>
                <w:id w:val="2124187386"/>
                <w:lock w:val="sdtLocked"/>
              </w:sdtPr>
              <w:sdtEndPr/>
              <w:sdtContent>
                <w:tc>
                  <w:tcPr>
                    <w:tcW w:w="1771" w:type="pct"/>
                    <w:vAlign w:val="center"/>
                  </w:tcPr>
                  <w:p w14:paraId="42272B77" w14:textId="77777777" w:rsidR="007E7472" w:rsidRDefault="00EC1269">
                    <w:pPr>
                      <w:jc w:val="center"/>
                    </w:pPr>
                    <w:r>
                      <w:rPr>
                        <w:rFonts w:hint="eastAsia"/>
                      </w:rPr>
                      <w:t>合计</w:t>
                    </w:r>
                  </w:p>
                </w:tc>
              </w:sdtContent>
            </w:sdt>
            <w:tc>
              <w:tcPr>
                <w:tcW w:w="1614" w:type="pct"/>
                <w:vAlign w:val="center"/>
              </w:tcPr>
              <w:p w14:paraId="73BB430D" w14:textId="77777777" w:rsidR="007E7472" w:rsidRDefault="00EC1269">
                <w:pPr>
                  <w:jc w:val="right"/>
                </w:pPr>
                <w:r>
                  <w:t>7,971,516</w:t>
                </w:r>
              </w:p>
            </w:tc>
            <w:tc>
              <w:tcPr>
                <w:tcW w:w="1615" w:type="pct"/>
                <w:vAlign w:val="center"/>
              </w:tcPr>
              <w:p w14:paraId="72084D38" w14:textId="77777777" w:rsidR="007E7472" w:rsidRDefault="00EC1269">
                <w:pPr>
                  <w:jc w:val="right"/>
                </w:pPr>
                <w:r>
                  <w:t>6,820,991</w:t>
                </w:r>
              </w:p>
            </w:tc>
          </w:tr>
        </w:tbl>
        <w:p w14:paraId="102EC285" w14:textId="150963B9" w:rsidR="007E7472" w:rsidRDefault="00C8327E" w:rsidP="007E7472">
          <w:pPr>
            <w:snapToGrid w:val="0"/>
            <w:spacing w:beforeLines="50" w:before="156" w:afterLines="50" w:after="156" w:line="360" w:lineRule="exact"/>
            <w:ind w:firstLineChars="200" w:firstLine="420"/>
            <w:jc w:val="both"/>
          </w:pPr>
          <w:sdt>
            <w:sdtPr>
              <w:alias w:val="长期应付款的说明"/>
              <w:tag w:val="_GBC_26dfebab321040728d621ff8ca8d9de0"/>
              <w:id w:val="2044401348"/>
              <w:lock w:val="sdtLocked"/>
              <w:placeholder>
                <w:docPart w:val="GBC22222222222222222222222222222"/>
              </w:placeholder>
            </w:sdtPr>
            <w:sdtEndPr/>
            <w:sdtContent>
              <w:r w:rsidR="00EC1269">
                <w:rPr>
                  <w:rFonts w:hint="eastAsia"/>
                </w:rPr>
                <w:t>注：截至</w:t>
              </w:r>
              <w:r w:rsidR="00EC1269">
                <w:t>2023年06月30日，该售后回租业务抵押的固定资产账面价值3,525,529千元</w:t>
              </w:r>
              <w:r w:rsidR="00EC1269">
                <w:rPr>
                  <w:rFonts w:hint="eastAsia"/>
                </w:rPr>
                <w:t>，质押的长期应收款账面价值</w:t>
              </w:r>
              <w:r w:rsidR="00EC1269">
                <w:t>1,761,770</w:t>
              </w:r>
              <w:r w:rsidR="00EC1269">
                <w:rPr>
                  <w:rFonts w:hint="eastAsia"/>
                </w:rPr>
                <w:t>千元</w:t>
              </w:r>
              <w:r w:rsidR="00EC1269">
                <w:t>。</w:t>
              </w:r>
            </w:sdtContent>
          </w:sdt>
        </w:p>
      </w:sdtContent>
    </w:sdt>
    <w:bookmarkEnd w:id="249" w:displacedByCustomXml="next"/>
    <w:sdt>
      <w:sdtPr>
        <w:rPr>
          <w:rFonts w:ascii="宋体" w:hAnsi="宋体" w:cs="宋体" w:hint="eastAsia"/>
          <w:b w:val="0"/>
          <w:bCs w:val="0"/>
          <w:kern w:val="0"/>
          <w:szCs w:val="21"/>
        </w:rPr>
        <w:alias w:val="模块:专项应付款"/>
        <w:tag w:val="_GBC_6847689be8c1493eb5db4e6dbab0fdbe"/>
        <w:id w:val="1157492423"/>
        <w:lock w:val="sdtLocked"/>
        <w:placeholder>
          <w:docPart w:val="GBC22222222222222222222222222222"/>
        </w:placeholder>
      </w:sdtPr>
      <w:sdtEndPr>
        <w:rPr>
          <w:rFonts w:cstheme="minorBidi" w:hint="default"/>
          <w:color w:val="000000" w:themeColor="text1"/>
        </w:rPr>
      </w:sdtEndPr>
      <w:sdtContent>
        <w:p w14:paraId="6CE918DE" w14:textId="426F4FF5" w:rsidR="007E7472" w:rsidRDefault="00EC1269" w:rsidP="007E7472">
          <w:pPr>
            <w:pStyle w:val="4"/>
          </w:pPr>
          <w:r>
            <w:rPr>
              <w:rFonts w:hint="eastAsia"/>
            </w:rPr>
            <w:t>专项应付款</w:t>
          </w:r>
        </w:p>
        <w:p w14:paraId="435B5141" w14:textId="2C49C921" w:rsidR="007E7472" w:rsidRPr="00C83254" w:rsidRDefault="00913748" w:rsidP="00162493">
          <w:pPr>
            <w:pStyle w:val="4"/>
            <w:numPr>
              <w:ilvl w:val="0"/>
              <w:numId w:val="91"/>
            </w:numPr>
            <w:ind w:left="426" w:hanging="426"/>
          </w:pPr>
          <w:r>
            <w:rPr>
              <w:rFonts w:hint="eastAsia"/>
            </w:rPr>
            <w:t>按款项性质列示专项应付款</w:t>
          </w:r>
        </w:p>
        <w:sdt>
          <w:sdtPr>
            <w:alias w:val="是否适用：专项应付款[双击切换]"/>
            <w:tag w:val="_GBC_f70a824e87784429a75fa648d7634cf8"/>
            <w:id w:val="65154784"/>
            <w:lock w:val="sdtLocked"/>
            <w:placeholder>
              <w:docPart w:val="GBC22222222222222222222222222222"/>
            </w:placeholder>
          </w:sdtPr>
          <w:sdtEndPr/>
          <w:sdtContent>
            <w:p w14:paraId="456BF176"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591B1C99" w14:textId="738EEFE0" w:rsidR="007E7472" w:rsidRDefault="00EC1269">
          <w:pPr>
            <w:jc w:val="right"/>
          </w:pPr>
          <w:r>
            <w:rPr>
              <w:rFonts w:hint="eastAsia"/>
            </w:rPr>
            <w:t>单位：</w:t>
          </w:r>
          <w:sdt>
            <w:sdtPr>
              <w:rPr>
                <w:rFonts w:hint="eastAsia"/>
              </w:rPr>
              <w:alias w:val="单位：财务附注：专项应付款"/>
              <w:tag w:val="_GBC_fbba1675963f41deb7db46c882d2bb66"/>
              <w:id w:val="-17918137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专项应付款"/>
              <w:tag w:val="_GBC_db6088dd197e44658d5eb4ad92eace1a"/>
              <w:id w:val="11572703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2547"/>
            <w:gridCol w:w="1559"/>
            <w:gridCol w:w="1147"/>
            <w:gridCol w:w="1791"/>
            <w:gridCol w:w="1779"/>
          </w:tblGrid>
          <w:tr w:rsidR="007E7472" w14:paraId="5468B023" w14:textId="77777777" w:rsidTr="007E7472">
            <w:trPr>
              <w:cantSplit/>
              <w:trHeight w:val="340"/>
            </w:trPr>
            <w:sdt>
              <w:sdtPr>
                <w:tag w:val="_PLD_cd0bf128e15a4ba9af42624758d0f741"/>
                <w:id w:val="-1574270503"/>
                <w:lock w:val="sdtLocked"/>
              </w:sdtPr>
              <w:sdtEndPr/>
              <w:sdtContent>
                <w:tc>
                  <w:tcPr>
                    <w:tcW w:w="1443" w:type="pct"/>
                    <w:vAlign w:val="center"/>
                  </w:tcPr>
                  <w:p w14:paraId="00250688" w14:textId="77777777" w:rsidR="007E7472" w:rsidRDefault="00EC1269">
                    <w:pPr>
                      <w:ind w:right="105"/>
                      <w:jc w:val="center"/>
                    </w:pPr>
                    <w:r>
                      <w:rPr>
                        <w:rFonts w:hint="eastAsia"/>
                      </w:rPr>
                      <w:t>项目</w:t>
                    </w:r>
                  </w:p>
                </w:tc>
              </w:sdtContent>
            </w:sdt>
            <w:sdt>
              <w:sdtPr>
                <w:tag w:val="_PLD_0273ec8ee2454cc3b513b4d9bc176584"/>
                <w:id w:val="-1414935429"/>
                <w:lock w:val="sdtLocked"/>
              </w:sdtPr>
              <w:sdtEndPr/>
              <w:sdtContent>
                <w:tc>
                  <w:tcPr>
                    <w:tcW w:w="883" w:type="pct"/>
                    <w:vAlign w:val="center"/>
                  </w:tcPr>
                  <w:p w14:paraId="277846EE" w14:textId="77777777" w:rsidR="007E7472" w:rsidRDefault="00EC1269">
                    <w:pPr>
                      <w:jc w:val="center"/>
                    </w:pPr>
                    <w:r>
                      <w:rPr>
                        <w:rFonts w:hint="eastAsia"/>
                      </w:rPr>
                      <w:t>期初余额</w:t>
                    </w:r>
                  </w:p>
                </w:tc>
              </w:sdtContent>
            </w:sdt>
            <w:sdt>
              <w:sdtPr>
                <w:tag w:val="_PLD_8af6034e00f845329602a9fdcfc9b2dc"/>
                <w:id w:val="-535972132"/>
                <w:lock w:val="sdtLocked"/>
              </w:sdtPr>
              <w:sdtEndPr/>
              <w:sdtContent>
                <w:tc>
                  <w:tcPr>
                    <w:tcW w:w="650" w:type="pct"/>
                    <w:shd w:val="clear" w:color="auto" w:fill="auto"/>
                    <w:vAlign w:val="center"/>
                  </w:tcPr>
                  <w:p w14:paraId="4C45E2CA" w14:textId="77777777" w:rsidR="007E7472" w:rsidRDefault="00EC1269">
                    <w:pPr>
                      <w:jc w:val="center"/>
                    </w:pPr>
                    <w:r>
                      <w:rPr>
                        <w:rFonts w:hint="eastAsia"/>
                      </w:rPr>
                      <w:t>本期增加</w:t>
                    </w:r>
                  </w:p>
                </w:tc>
              </w:sdtContent>
            </w:sdt>
            <w:sdt>
              <w:sdtPr>
                <w:tag w:val="_PLD_013b3bd484664b418b2949897aaba93a"/>
                <w:id w:val="1782606986"/>
                <w:lock w:val="sdtLocked"/>
              </w:sdtPr>
              <w:sdtEndPr/>
              <w:sdtContent>
                <w:tc>
                  <w:tcPr>
                    <w:tcW w:w="1015" w:type="pct"/>
                    <w:shd w:val="clear" w:color="auto" w:fill="auto"/>
                    <w:vAlign w:val="center"/>
                  </w:tcPr>
                  <w:p w14:paraId="301A4ECD" w14:textId="77777777" w:rsidR="007E7472" w:rsidRDefault="00EC1269">
                    <w:pPr>
                      <w:jc w:val="center"/>
                    </w:pPr>
                    <w:r>
                      <w:rPr>
                        <w:rFonts w:hint="eastAsia"/>
                      </w:rPr>
                      <w:t>本期减少</w:t>
                    </w:r>
                  </w:p>
                </w:tc>
              </w:sdtContent>
            </w:sdt>
            <w:sdt>
              <w:sdtPr>
                <w:tag w:val="_PLD_99498b7622144415a46b3eb203e33536"/>
                <w:id w:val="1287783585"/>
                <w:lock w:val="sdtLocked"/>
              </w:sdtPr>
              <w:sdtEndPr/>
              <w:sdtContent>
                <w:tc>
                  <w:tcPr>
                    <w:tcW w:w="1008" w:type="pct"/>
                    <w:vAlign w:val="center"/>
                  </w:tcPr>
                  <w:p w14:paraId="7C4DEC21" w14:textId="77777777" w:rsidR="007E7472" w:rsidRDefault="00EC1269">
                    <w:pPr>
                      <w:jc w:val="center"/>
                    </w:pPr>
                    <w:r>
                      <w:rPr>
                        <w:rFonts w:hint="eastAsia"/>
                      </w:rPr>
                      <w:t>期末余额</w:t>
                    </w:r>
                  </w:p>
                </w:tc>
              </w:sdtContent>
            </w:sdt>
          </w:tr>
          <w:sdt>
            <w:sdtPr>
              <w:rPr>
                <w:rFonts w:hint="eastAsia"/>
              </w:rPr>
              <w:alias w:val="专项应付款明细"/>
              <w:tag w:val="_GBC_cc0d870710d646f3adaaac92c6d0ce7e"/>
              <w:id w:val="-645667145"/>
              <w:lock w:val="sdtLocked"/>
            </w:sdtPr>
            <w:sdtEndPr/>
            <w:sdtContent>
              <w:tr w:rsidR="007E7472" w14:paraId="4B8AA1F4" w14:textId="77777777" w:rsidTr="007E7472">
                <w:trPr>
                  <w:cantSplit/>
                  <w:trHeight w:val="340"/>
                </w:trPr>
                <w:tc>
                  <w:tcPr>
                    <w:tcW w:w="1443" w:type="pct"/>
                    <w:vAlign w:val="center"/>
                  </w:tcPr>
                  <w:p w14:paraId="4F3A1C2F" w14:textId="77777777" w:rsidR="007E7472" w:rsidRDefault="00EC1269">
                    <w:pPr>
                      <w:ind w:right="105"/>
                    </w:pPr>
                    <w:r>
                      <w:rPr>
                        <w:rFonts w:hint="eastAsia"/>
                      </w:rPr>
                      <w:t>北宿煤矿关闭专项资金</w:t>
                    </w:r>
                  </w:p>
                </w:tc>
                <w:tc>
                  <w:tcPr>
                    <w:tcW w:w="883" w:type="pct"/>
                    <w:vAlign w:val="center"/>
                  </w:tcPr>
                  <w:p w14:paraId="03581F61" w14:textId="77777777" w:rsidR="007E7472" w:rsidRDefault="00EC1269">
                    <w:pPr>
                      <w:jc w:val="right"/>
                    </w:pPr>
                    <w:r>
                      <w:t>19,237</w:t>
                    </w:r>
                  </w:p>
                </w:tc>
                <w:tc>
                  <w:tcPr>
                    <w:tcW w:w="650" w:type="pct"/>
                    <w:shd w:val="clear" w:color="auto" w:fill="auto"/>
                    <w:vAlign w:val="center"/>
                  </w:tcPr>
                  <w:p w14:paraId="66B879B8" w14:textId="77777777" w:rsidR="007E7472" w:rsidRDefault="00C8327E">
                    <w:pPr>
                      <w:jc w:val="right"/>
                    </w:pPr>
                  </w:p>
                </w:tc>
                <w:tc>
                  <w:tcPr>
                    <w:tcW w:w="1015" w:type="pct"/>
                    <w:shd w:val="clear" w:color="auto" w:fill="auto"/>
                    <w:vAlign w:val="center"/>
                  </w:tcPr>
                  <w:p w14:paraId="4E226B7F" w14:textId="77777777" w:rsidR="007E7472" w:rsidRDefault="00EC1269">
                    <w:pPr>
                      <w:jc w:val="right"/>
                    </w:pPr>
                    <w:r>
                      <w:t>1,235</w:t>
                    </w:r>
                  </w:p>
                </w:tc>
                <w:tc>
                  <w:tcPr>
                    <w:tcW w:w="1008" w:type="pct"/>
                    <w:vAlign w:val="center"/>
                  </w:tcPr>
                  <w:p w14:paraId="1982D74F" w14:textId="77777777" w:rsidR="007E7472" w:rsidRDefault="00EC1269">
                    <w:pPr>
                      <w:jc w:val="right"/>
                    </w:pPr>
                    <w:r>
                      <w:t>18,002</w:t>
                    </w:r>
                  </w:p>
                </w:tc>
              </w:tr>
            </w:sdtContent>
          </w:sdt>
          <w:tr w:rsidR="007E7472" w14:paraId="32767313" w14:textId="77777777" w:rsidTr="007E7472">
            <w:trPr>
              <w:cantSplit/>
              <w:trHeight w:val="340"/>
            </w:trPr>
            <w:sdt>
              <w:sdtPr>
                <w:tag w:val="_PLD_b9429a61eab944fab8cf1cb493279d7f"/>
                <w:id w:val="1660111834"/>
                <w:lock w:val="sdtLocked"/>
              </w:sdtPr>
              <w:sdtEndPr/>
              <w:sdtContent>
                <w:tc>
                  <w:tcPr>
                    <w:tcW w:w="1443" w:type="pct"/>
                    <w:vAlign w:val="center"/>
                  </w:tcPr>
                  <w:p w14:paraId="2073E695" w14:textId="77777777" w:rsidR="007E7472" w:rsidRDefault="00EC1269">
                    <w:pPr>
                      <w:ind w:right="105"/>
                      <w:jc w:val="center"/>
                      <w:rPr>
                        <w:color w:val="000000" w:themeColor="text1"/>
                      </w:rPr>
                    </w:pPr>
                    <w:r>
                      <w:rPr>
                        <w:rFonts w:hint="eastAsia"/>
                        <w:color w:val="000000" w:themeColor="text1"/>
                      </w:rPr>
                      <w:t>合计</w:t>
                    </w:r>
                  </w:p>
                </w:tc>
              </w:sdtContent>
            </w:sdt>
            <w:tc>
              <w:tcPr>
                <w:tcW w:w="883" w:type="pct"/>
                <w:vAlign w:val="center"/>
              </w:tcPr>
              <w:p w14:paraId="1961ACE9" w14:textId="77777777" w:rsidR="007E7472" w:rsidRDefault="00EC1269">
                <w:pPr>
                  <w:jc w:val="right"/>
                  <w:rPr>
                    <w:bCs/>
                  </w:rPr>
                </w:pPr>
                <w:r>
                  <w:t>19,237</w:t>
                </w:r>
              </w:p>
            </w:tc>
            <w:tc>
              <w:tcPr>
                <w:tcW w:w="650" w:type="pct"/>
                <w:shd w:val="clear" w:color="auto" w:fill="auto"/>
                <w:vAlign w:val="center"/>
              </w:tcPr>
              <w:p w14:paraId="533324C2" w14:textId="77777777" w:rsidR="007E7472" w:rsidRDefault="00C8327E">
                <w:pPr>
                  <w:jc w:val="right"/>
                </w:pPr>
              </w:p>
            </w:tc>
            <w:tc>
              <w:tcPr>
                <w:tcW w:w="1015" w:type="pct"/>
                <w:shd w:val="clear" w:color="auto" w:fill="auto"/>
                <w:vAlign w:val="center"/>
              </w:tcPr>
              <w:p w14:paraId="6C161691" w14:textId="77777777" w:rsidR="007E7472" w:rsidRDefault="00EC1269">
                <w:pPr>
                  <w:jc w:val="right"/>
                </w:pPr>
                <w:r>
                  <w:t>1,235</w:t>
                </w:r>
              </w:p>
            </w:tc>
            <w:tc>
              <w:tcPr>
                <w:tcW w:w="1008" w:type="pct"/>
                <w:vAlign w:val="center"/>
              </w:tcPr>
              <w:p w14:paraId="266CAEB1" w14:textId="77777777" w:rsidR="007E7472" w:rsidRDefault="00EC1269">
                <w:pPr>
                  <w:jc w:val="right"/>
                </w:pPr>
                <w:r>
                  <w:t>18,002</w:t>
                </w:r>
              </w:p>
            </w:tc>
          </w:tr>
        </w:tbl>
      </w:sdtContent>
    </w:sdt>
    <w:p w14:paraId="05297147" w14:textId="77777777" w:rsidR="007E7472" w:rsidRDefault="00C8327E"/>
    <w:p w14:paraId="21EB6E50" w14:textId="77777777" w:rsidR="007E7472" w:rsidRDefault="00EC1269" w:rsidP="00162493">
      <w:pPr>
        <w:pStyle w:val="3"/>
        <w:numPr>
          <w:ilvl w:val="0"/>
          <w:numId w:val="62"/>
        </w:numPr>
      </w:pPr>
      <w:r>
        <w:rPr>
          <w:rFonts w:hint="eastAsia"/>
        </w:rPr>
        <w:t>长期应付职工薪酬</w:t>
      </w:r>
    </w:p>
    <w:sdt>
      <w:sdtPr>
        <w:alias w:val="是否适用：长期应付职工薪酬[双击切换]"/>
        <w:tag w:val="_GBC_077559b601814bb38f16734f98e8c045"/>
        <w:id w:val="-1210726528"/>
        <w:lock w:val="sdtLocked"/>
        <w:placeholder>
          <w:docPart w:val="GBC22222222222222222222222222222"/>
        </w:placeholder>
      </w:sdtPr>
      <w:sdtEndPr/>
      <w:sdtContent>
        <w:p w14:paraId="5FF3AB68"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
      <w:sdtPr>
        <w:rPr>
          <w:rFonts w:ascii="宋体" w:hAnsi="宋体" w:cs="宋体" w:hint="eastAsia"/>
          <w:b w:val="0"/>
          <w:bCs w:val="0"/>
          <w:kern w:val="0"/>
          <w:sz w:val="20"/>
          <w:szCs w:val="21"/>
        </w:rPr>
        <w:alias w:val="模块:长期应付职工薪酬"/>
        <w:tag w:val="_GBC_8af4eec42fcd4a7a8402661c45277cf7"/>
        <w:id w:val="-821734007"/>
        <w:lock w:val="sdtLocked"/>
        <w:placeholder>
          <w:docPart w:val="GBC22222222222222222222222222222"/>
        </w:placeholder>
      </w:sdtPr>
      <w:sdtEndPr/>
      <w:sdtContent>
        <w:p w14:paraId="2203A567" w14:textId="77777777" w:rsidR="007E7472" w:rsidRDefault="00EC1269" w:rsidP="00162493">
          <w:pPr>
            <w:pStyle w:val="4"/>
            <w:numPr>
              <w:ilvl w:val="0"/>
              <w:numId w:val="92"/>
            </w:numPr>
          </w:pPr>
          <w:r>
            <w:rPr>
              <w:rFonts w:hint="eastAsia"/>
            </w:rPr>
            <w:t>长期应付职工薪酬表</w:t>
          </w:r>
        </w:p>
        <w:sdt>
          <w:sdtPr>
            <w:alias w:val="是否适用：长期应付职工薪酬表[双击切换]"/>
            <w:tag w:val="_GBC_7391cd215aaf4a7595c44b639646aa7a"/>
            <w:id w:val="-379556470"/>
            <w:lock w:val="sdtLocked"/>
            <w:placeholder>
              <w:docPart w:val="GBC22222222222222222222222222222"/>
            </w:placeholder>
          </w:sdtPr>
          <w:sdtEndPr/>
          <w:sdtContent>
            <w:p w14:paraId="00ED141F"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2229A97A" w14:textId="012BFF21" w:rsidR="007E7472" w:rsidRDefault="00EC1269">
          <w:pPr>
            <w:jc w:val="right"/>
          </w:pPr>
          <w:r>
            <w:rPr>
              <w:rFonts w:hint="eastAsia"/>
            </w:rPr>
            <w:t>单位：</w:t>
          </w:r>
          <w:sdt>
            <w:sdtPr>
              <w:rPr>
                <w:rFonts w:hint="eastAsia"/>
              </w:rPr>
              <w:alias w:val="单位：财务附注：长期应付职工薪酬"/>
              <w:tag w:val="_GBC_9da16ecedc40480a9563f61db11afc75"/>
              <w:id w:val="-163717306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长期应付职工薪酬"/>
              <w:tag w:val="_GBC_4b18e9847cbc49689b57ca163e3c5f6f"/>
              <w:id w:val="4525251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0"/>
            <w:gridCol w:w="2564"/>
            <w:gridCol w:w="2693"/>
          </w:tblGrid>
          <w:tr w:rsidR="007E7472" w14:paraId="7684D2E7" w14:textId="77777777" w:rsidTr="007E7472">
            <w:trPr>
              <w:trHeight w:val="340"/>
            </w:trPr>
            <w:sdt>
              <w:sdtPr>
                <w:tag w:val="_PLD_cd74fa482412415587e08c0e74b1531a"/>
                <w:id w:val="2043946757"/>
                <w:lock w:val="sdtLocked"/>
              </w:sdtPr>
              <w:sdtEndPr/>
              <w:sdtContent>
                <w:tc>
                  <w:tcPr>
                    <w:tcW w:w="2019" w:type="pct"/>
                    <w:tcBorders>
                      <w:top w:val="single" w:sz="6" w:space="0" w:color="auto"/>
                      <w:left w:val="single" w:sz="6" w:space="0" w:color="auto"/>
                      <w:bottom w:val="single" w:sz="6" w:space="0" w:color="auto"/>
                      <w:right w:val="single" w:sz="6" w:space="0" w:color="auto"/>
                    </w:tcBorders>
                    <w:shd w:val="clear" w:color="auto" w:fill="auto"/>
                    <w:vAlign w:val="center"/>
                  </w:tcPr>
                  <w:p w14:paraId="33577A59" w14:textId="77777777" w:rsidR="007E7472" w:rsidRDefault="00EC1269">
                    <w:pPr>
                      <w:jc w:val="center"/>
                    </w:pPr>
                    <w:r>
                      <w:rPr>
                        <w:rFonts w:hint="eastAsia"/>
                      </w:rPr>
                      <w:t>项目</w:t>
                    </w:r>
                  </w:p>
                </w:tc>
              </w:sdtContent>
            </w:sdt>
            <w:sdt>
              <w:sdtPr>
                <w:tag w:val="_PLD_d4b575d8eb6648c09575eeeca2ce8fae"/>
                <w:id w:val="875429534"/>
                <w:lock w:val="sdtLocked"/>
              </w:sdtPr>
              <w:sdtEndPr/>
              <w:sdtContent>
                <w:tc>
                  <w:tcPr>
                    <w:tcW w:w="1454" w:type="pct"/>
                    <w:tcBorders>
                      <w:top w:val="single" w:sz="6" w:space="0" w:color="auto"/>
                      <w:left w:val="single" w:sz="6" w:space="0" w:color="auto"/>
                      <w:bottom w:val="single" w:sz="6" w:space="0" w:color="auto"/>
                      <w:right w:val="single" w:sz="6" w:space="0" w:color="auto"/>
                    </w:tcBorders>
                    <w:shd w:val="clear" w:color="auto" w:fill="auto"/>
                    <w:vAlign w:val="center"/>
                  </w:tcPr>
                  <w:p w14:paraId="3DFD832F" w14:textId="77777777" w:rsidR="007E7472" w:rsidRDefault="00EC1269">
                    <w:pPr>
                      <w:jc w:val="center"/>
                    </w:pPr>
                    <w:r>
                      <w:rPr>
                        <w:rFonts w:hint="eastAsia"/>
                      </w:rPr>
                      <w:t>期末余额</w:t>
                    </w:r>
                  </w:p>
                </w:tc>
              </w:sdtContent>
            </w:sdt>
            <w:sdt>
              <w:sdtPr>
                <w:tag w:val="_PLD_686b97eea8314637bed99bbd2be9e3af"/>
                <w:id w:val="1405182250"/>
                <w:lock w:val="sdtLocked"/>
              </w:sdtPr>
              <w:sdtEndPr/>
              <w:sdtContent>
                <w:tc>
                  <w:tcPr>
                    <w:tcW w:w="1527" w:type="pct"/>
                    <w:tcBorders>
                      <w:top w:val="single" w:sz="6" w:space="0" w:color="auto"/>
                      <w:left w:val="single" w:sz="6" w:space="0" w:color="auto"/>
                      <w:bottom w:val="single" w:sz="6" w:space="0" w:color="auto"/>
                      <w:right w:val="single" w:sz="6" w:space="0" w:color="auto"/>
                    </w:tcBorders>
                    <w:shd w:val="clear" w:color="auto" w:fill="auto"/>
                    <w:vAlign w:val="center"/>
                  </w:tcPr>
                  <w:p w14:paraId="419E71E9" w14:textId="77777777" w:rsidR="007E7472" w:rsidRDefault="00EC1269">
                    <w:pPr>
                      <w:jc w:val="center"/>
                    </w:pPr>
                    <w:r>
                      <w:rPr>
                        <w:rFonts w:hint="eastAsia"/>
                      </w:rPr>
                      <w:t>期初余额</w:t>
                    </w:r>
                  </w:p>
                </w:tc>
              </w:sdtContent>
            </w:sdt>
          </w:tr>
          <w:sdt>
            <w:sdtPr>
              <w:rPr>
                <w:rFonts w:asciiTheme="minorHAnsi" w:eastAsiaTheme="minorEastAsia" w:hAnsiTheme="minorHAnsi" w:cstheme="minorBidi"/>
                <w:kern w:val="2"/>
                <w:szCs w:val="22"/>
              </w:rPr>
              <w:alias w:val="长期应付职工薪酬明细"/>
              <w:tag w:val="_GBC_291a7f60bc8c4456a834398318782169"/>
              <w:id w:val="-259528272"/>
              <w:lock w:val="sdtLocked"/>
            </w:sdtPr>
            <w:sdtEndPr/>
            <w:sdtContent>
              <w:tr w:rsidR="007E7472" w14:paraId="4CC29ED5" w14:textId="77777777" w:rsidTr="007E7472">
                <w:trPr>
                  <w:trHeight w:val="340"/>
                </w:trPr>
                <w:tc>
                  <w:tcPr>
                    <w:tcW w:w="2019" w:type="pct"/>
                    <w:tcBorders>
                      <w:top w:val="single" w:sz="4" w:space="0" w:color="auto"/>
                      <w:left w:val="single" w:sz="4" w:space="0" w:color="auto"/>
                      <w:bottom w:val="single" w:sz="6" w:space="0" w:color="auto"/>
                      <w:right w:val="single" w:sz="4" w:space="0" w:color="auto"/>
                    </w:tcBorders>
                    <w:shd w:val="clear" w:color="auto" w:fill="auto"/>
                    <w:vAlign w:val="center"/>
                  </w:tcPr>
                  <w:p w14:paraId="609BF143" w14:textId="77777777" w:rsidR="007E7472" w:rsidRDefault="00EC1269">
                    <w:r>
                      <w:t>长期服务假（注）</w:t>
                    </w:r>
                  </w:p>
                </w:tc>
                <w:tc>
                  <w:tcPr>
                    <w:tcW w:w="1454" w:type="pct"/>
                    <w:tcBorders>
                      <w:top w:val="single" w:sz="4" w:space="0" w:color="auto"/>
                      <w:left w:val="single" w:sz="4" w:space="0" w:color="auto"/>
                      <w:bottom w:val="single" w:sz="4" w:space="0" w:color="auto"/>
                      <w:right w:val="single" w:sz="4" w:space="0" w:color="auto"/>
                    </w:tcBorders>
                    <w:shd w:val="clear" w:color="auto" w:fill="auto"/>
                    <w:vAlign w:val="center"/>
                  </w:tcPr>
                  <w:p w14:paraId="59836F3B" w14:textId="77777777" w:rsidR="007E7472" w:rsidRDefault="00EC1269">
                    <w:pPr>
                      <w:jc w:val="right"/>
                    </w:pPr>
                    <w:r>
                      <w:t>495,280</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224F06BF" w14:textId="77777777" w:rsidR="007E7472" w:rsidRDefault="00EC1269">
                    <w:pPr>
                      <w:jc w:val="right"/>
                    </w:pPr>
                    <w:r>
                      <w:t>544,841</w:t>
                    </w:r>
                  </w:p>
                </w:tc>
              </w:tr>
            </w:sdtContent>
          </w:sdt>
          <w:tr w:rsidR="007E7472" w14:paraId="2A68F1B9" w14:textId="77777777" w:rsidTr="007E7472">
            <w:trPr>
              <w:trHeight w:val="340"/>
            </w:trPr>
            <w:sdt>
              <w:sdtPr>
                <w:tag w:val="_PLD_9ad91a051a134d5b8b48745d2fe3ca24"/>
                <w:id w:val="1797563518"/>
                <w:lock w:val="sdtLocked"/>
              </w:sdtPr>
              <w:sdtEndPr/>
              <w:sdtContent>
                <w:tc>
                  <w:tcPr>
                    <w:tcW w:w="2019" w:type="pct"/>
                    <w:tcBorders>
                      <w:top w:val="single" w:sz="6" w:space="0" w:color="auto"/>
                      <w:left w:val="single" w:sz="6" w:space="0" w:color="auto"/>
                      <w:bottom w:val="single" w:sz="6" w:space="0" w:color="auto"/>
                      <w:right w:val="single" w:sz="6" w:space="0" w:color="auto"/>
                    </w:tcBorders>
                    <w:shd w:val="clear" w:color="auto" w:fill="auto"/>
                    <w:vAlign w:val="center"/>
                  </w:tcPr>
                  <w:p w14:paraId="61543C3A" w14:textId="77777777" w:rsidR="007E7472" w:rsidRDefault="00EC1269">
                    <w:pPr>
                      <w:jc w:val="center"/>
                    </w:pPr>
                    <w:r>
                      <w:rPr>
                        <w:rFonts w:hint="eastAsia"/>
                      </w:rPr>
                      <w:t>合计</w:t>
                    </w:r>
                  </w:p>
                </w:tc>
              </w:sdtContent>
            </w:sdt>
            <w:tc>
              <w:tcPr>
                <w:tcW w:w="1454" w:type="pct"/>
                <w:tcBorders>
                  <w:top w:val="single" w:sz="4" w:space="0" w:color="auto"/>
                  <w:left w:val="single" w:sz="6" w:space="0" w:color="auto"/>
                  <w:bottom w:val="single" w:sz="4" w:space="0" w:color="auto"/>
                  <w:right w:val="single" w:sz="4" w:space="0" w:color="auto"/>
                </w:tcBorders>
                <w:shd w:val="clear" w:color="auto" w:fill="auto"/>
                <w:vAlign w:val="center"/>
              </w:tcPr>
              <w:p w14:paraId="779757A8" w14:textId="77777777" w:rsidR="007E7472" w:rsidRDefault="00EC1269">
                <w:pPr>
                  <w:jc w:val="right"/>
                  <w:rPr>
                    <w:bCs/>
                  </w:rPr>
                </w:pPr>
                <w:r>
                  <w:t>495,280</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040AB907" w14:textId="77777777" w:rsidR="007E7472" w:rsidRDefault="00EC1269">
                <w:pPr>
                  <w:jc w:val="right"/>
                </w:pPr>
                <w:r>
                  <w:t>544,841</w:t>
                </w:r>
              </w:p>
            </w:tc>
          </w:tr>
        </w:tbl>
        <w:p w14:paraId="170E182E" w14:textId="77777777" w:rsidR="007E7472" w:rsidRDefault="00C8327E"/>
        <w:p w14:paraId="47A723C7" w14:textId="5EBB8232" w:rsidR="007E7472" w:rsidRDefault="00EC1269" w:rsidP="007E7472">
          <w:pPr>
            <w:spacing w:beforeLines="50" w:before="156" w:afterLines="50" w:after="156" w:line="360" w:lineRule="exact"/>
            <w:ind w:firstLineChars="200" w:firstLine="420"/>
          </w:pPr>
          <w:r>
            <w:rPr>
              <w:rFonts w:hint="eastAsia"/>
            </w:rPr>
            <w:t>注：根据澳大利亚Coal Mining Industry (Long Service Leave Funding)</w:t>
          </w:r>
          <w:r w:rsidR="00913748" w:rsidRPr="00F1195A">
            <w:t xml:space="preserve"> </w:t>
          </w:r>
          <w:r>
            <w:rPr>
              <w:rFonts w:hint="eastAsia"/>
            </w:rPr>
            <w:t>Act1992煤炭行业（长期服务年假基金）法规1992规定，若雇员长期被雇佣，雇员将获得除年假以外的长期服务假期（带薪）。长期服务假以截至本报告期末由职工提供的服务预期未来付款的现值计量，并考虑未来的工资和薪金水平，员工离职和服务期限。在资产负债表日，使用市场收益率对估计未来现金流出量进行折现。每月应根据职工薪酬水平向Coal Mining Industry（Long Service Leave Funding)Corporation（以下简称“Coal Mining Industry Corporation”）存入长期服务假资金，待向员工支付长期服务假福利后，可以从Coal Mining Industry Corporation得到部分补偿，因此将此款项确认为其他流动资产、其他非流动资产。在资产负债表日，若长期服务假的支付义务未来发生，则将长期服务假确认为应付职工薪酬、长期应付职工薪酬。</w:t>
          </w:r>
        </w:p>
      </w:sdtContent>
    </w:sdt>
    <w:sdt>
      <w:sdtPr>
        <w:rPr>
          <w:rFonts w:ascii="宋体" w:hAnsi="宋体" w:cs="宋体" w:hint="eastAsia"/>
          <w:b w:val="0"/>
          <w:bCs w:val="0"/>
          <w:kern w:val="0"/>
          <w:sz w:val="20"/>
          <w:szCs w:val="21"/>
        </w:rPr>
        <w:alias w:val="模块:设定受益计划变动情况"/>
        <w:tag w:val="_GBC_afdd9211c159429fa2d6540cc92dda04"/>
        <w:id w:val="140088322"/>
        <w:lock w:val="sdtLocked"/>
        <w:placeholder>
          <w:docPart w:val="GBC22222222222222222222222222222"/>
        </w:placeholder>
      </w:sdtPr>
      <w:sdtEndPr>
        <w:rPr>
          <w:sz w:val="21"/>
        </w:rPr>
      </w:sdtEndPr>
      <w:sdtContent>
        <w:p w14:paraId="7214568B" w14:textId="77777777" w:rsidR="007E7472" w:rsidRDefault="00EC1269" w:rsidP="00162493">
          <w:pPr>
            <w:pStyle w:val="4"/>
            <w:numPr>
              <w:ilvl w:val="0"/>
              <w:numId w:val="92"/>
            </w:numPr>
          </w:pPr>
          <w:r>
            <w:rPr>
              <w:rFonts w:hint="eastAsia"/>
            </w:rPr>
            <w:t>设定受益计划变动情况</w:t>
          </w:r>
        </w:p>
        <w:p w14:paraId="1148F6C1" w14:textId="77777777" w:rsidR="007E7472" w:rsidRDefault="00EC1269">
          <w:r>
            <w:rPr>
              <w:rFonts w:hint="eastAsia"/>
            </w:rPr>
            <w:t>设定受益计划义务现值：</w:t>
          </w:r>
        </w:p>
        <w:sdt>
          <w:sdtPr>
            <w:alias w:val="是否适用：设定受益计划义务现值[双击切换]"/>
            <w:tag w:val="_GBC_c4bc86b406e44d69b9ab0374bad05246"/>
            <w:id w:val="-864683150"/>
            <w:lock w:val="sdtLocked"/>
            <w:placeholder>
              <w:docPart w:val="GBC22222222222222222222222222222"/>
            </w:placeholder>
          </w:sdtPr>
          <w:sdtEndPr/>
          <w:sdtContent>
            <w:p w14:paraId="372EFF17"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20FCD8F1" w14:textId="77777777" w:rsidR="007E7472" w:rsidRDefault="00EC1269">
          <w:r>
            <w:rPr>
              <w:rFonts w:hint="eastAsia"/>
            </w:rPr>
            <w:t>计划资产：</w:t>
          </w:r>
        </w:p>
        <w:sdt>
          <w:sdtPr>
            <w:alias w:val="是否适用：设定受益计划变动情况_计划资产[双击切换]"/>
            <w:tag w:val="_GBC_c2b590ce2cf24711a0d840605c251bba"/>
            <w:id w:val="-1188745536"/>
            <w:lock w:val="sdtLocked"/>
            <w:placeholder>
              <w:docPart w:val="GBC22222222222222222222222222222"/>
            </w:placeholder>
          </w:sdtPr>
          <w:sdtEndPr/>
          <w:sdtContent>
            <w:p w14:paraId="1F1B693F"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79A16B9A" w14:textId="77777777" w:rsidR="007E7472" w:rsidRDefault="00EC1269">
          <w:r>
            <w:rPr>
              <w:rFonts w:hint="eastAsia"/>
            </w:rPr>
            <w:t>设定受益计划净负债（净资产）</w:t>
          </w:r>
        </w:p>
        <w:sdt>
          <w:sdtPr>
            <w:alias w:val="是否适用：设定受益计划变动情况_设定受益计划净负债[双击切换]"/>
            <w:tag w:val="_GBC_c9a00f9cf02f40478b9c06d7ded58e74"/>
            <w:id w:val="-948160283"/>
            <w:lock w:val="sdtLocked"/>
            <w:placeholder>
              <w:docPart w:val="GBC22222222222222222222222222222"/>
            </w:placeholder>
          </w:sdtPr>
          <w:sdtEndPr/>
          <w:sdtContent>
            <w:p w14:paraId="40A9EB5B"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51B6D800" w14:textId="77777777" w:rsidR="007E7472" w:rsidRDefault="00EC1269">
          <w:r>
            <w:rPr>
              <w:rFonts w:hint="eastAsia"/>
            </w:rPr>
            <w:t>设定受益计划的内容及与之相关风险、对公司未来现金流量、时间和不确定性的影响说明：</w:t>
          </w:r>
        </w:p>
        <w:sdt>
          <w:sdtPr>
            <w:alias w:val="是否适用：设定受益计划的内容及与之相关风险、对公司未来现金流量、时间和不确定性的影响说明[双击切换]"/>
            <w:tag w:val="_GBC_2e34365c15bf476d97ccb2c983bcb127"/>
            <w:id w:val="-323277451"/>
            <w:lock w:val="sdtLocked"/>
            <w:placeholder>
              <w:docPart w:val="GBC22222222222222222222222222222"/>
            </w:placeholder>
          </w:sdtPr>
          <w:sdtEndPr/>
          <w:sdtContent>
            <w:p w14:paraId="6E895EF3"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270C8026" w14:textId="77777777" w:rsidR="007E7472" w:rsidRDefault="00EC1269">
          <w:r>
            <w:rPr>
              <w:rFonts w:hint="eastAsia"/>
            </w:rPr>
            <w:t>设定受益计划重大精算假设及敏感性分析结果说明</w:t>
          </w:r>
        </w:p>
        <w:sdt>
          <w:sdtPr>
            <w:alias w:val="是否适用：设定受益计划重大精算假设及敏感性分析结果说明[双击切换]"/>
            <w:tag w:val="_GBC_ca3d6135d7d142dba45a1fa5a5c4591a"/>
            <w:id w:val="1135061043"/>
            <w:lock w:val="sdtLocked"/>
            <w:placeholder>
              <w:docPart w:val="GBC22222222222222222222222222222"/>
            </w:placeholder>
          </w:sdtPr>
          <w:sdtEndPr/>
          <w:sdtContent>
            <w:p w14:paraId="102E8028" w14:textId="28D4472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sdt>
      <w:sdtPr>
        <w:alias w:val="模块:长期应付职工薪酬的其他说明"/>
        <w:tag w:val="_GBC_9d7ebc39babc43788a550e83deca7fdc"/>
        <w:id w:val="1230036952"/>
        <w:lock w:val="sdtLocked"/>
        <w:placeholder>
          <w:docPart w:val="GBC22222222222222222222222222222"/>
        </w:placeholder>
      </w:sdtPr>
      <w:sdtEndPr/>
      <w:sdtContent>
        <w:p w14:paraId="62F743B0" w14:textId="77777777" w:rsidR="007E7472" w:rsidRDefault="00EC1269">
          <w:r>
            <w:rPr>
              <w:rFonts w:hint="eastAsia"/>
            </w:rPr>
            <w:t>其他说明：</w:t>
          </w:r>
        </w:p>
        <w:sdt>
          <w:sdtPr>
            <w:alias w:val="是否适用：长期应付职工薪酬的其他说明[双击切换]"/>
            <w:tag w:val="_GBC_9621d9da5c12475c9b0ae742a1372566"/>
            <w:id w:val="1892607537"/>
            <w:lock w:val="sdtLocked"/>
            <w:placeholder>
              <w:docPart w:val="GBC22222222222222222222222222222"/>
            </w:placeholder>
          </w:sdtPr>
          <w:sdtEndPr/>
          <w:sdtContent>
            <w:p w14:paraId="42ECA9E1"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p w14:paraId="0C3DE8A5" w14:textId="77777777" w:rsidR="007E7472" w:rsidRDefault="00C8327E"/>
    <w:bookmarkStart w:id="250" w:name="_Hlk10537141" w:displacedByCustomXml="next"/>
    <w:sdt>
      <w:sdtPr>
        <w:rPr>
          <w:rFonts w:ascii="宋体" w:hAnsi="宋体" w:cs="宋体" w:hint="eastAsia"/>
          <w:b w:val="0"/>
          <w:bCs w:val="0"/>
          <w:kern w:val="0"/>
          <w:szCs w:val="21"/>
        </w:rPr>
        <w:alias w:val="模块:预计负债"/>
        <w:tag w:val="_GBC_6b41f75046264d5392c8786bf4fd2da4"/>
        <w:id w:val="-912006794"/>
        <w:lock w:val="sdtLocked"/>
        <w:placeholder>
          <w:docPart w:val="GBC22222222222222222222222222222"/>
        </w:placeholder>
      </w:sdtPr>
      <w:sdtEndPr>
        <w:rPr>
          <w:rFonts w:cstheme="minorBidi" w:hint="default"/>
        </w:rPr>
      </w:sdtEndPr>
      <w:sdtContent>
        <w:p w14:paraId="3E12B57E" w14:textId="77777777" w:rsidR="007E7472" w:rsidRDefault="00EC1269" w:rsidP="00162493">
          <w:pPr>
            <w:pStyle w:val="3"/>
            <w:numPr>
              <w:ilvl w:val="0"/>
              <w:numId w:val="62"/>
            </w:numPr>
          </w:pPr>
          <w:r>
            <w:rPr>
              <w:rFonts w:hint="eastAsia"/>
            </w:rPr>
            <w:t>预计负债</w:t>
          </w:r>
        </w:p>
        <w:sdt>
          <w:sdtPr>
            <w:alias w:val="是否适用：预计负债[双击切换]"/>
            <w:tag w:val="_GBC_1687da235caf410f866f00240cee7fdb"/>
            <w:id w:val="-950479821"/>
            <w:lock w:val="sdtLocked"/>
            <w:placeholder>
              <w:docPart w:val="GBC22222222222222222222222222222"/>
            </w:placeholder>
          </w:sdtPr>
          <w:sdtEndPr/>
          <w:sdtContent>
            <w:p w14:paraId="6EC97B69"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429066C7" w14:textId="0B2E98B1" w:rsidR="007E7472" w:rsidRDefault="00EC1269">
          <w:pPr>
            <w:jc w:val="right"/>
          </w:pPr>
          <w:r>
            <w:rPr>
              <w:rFonts w:hint="eastAsia"/>
            </w:rPr>
            <w:t>单位：</w:t>
          </w:r>
          <w:sdt>
            <w:sdtPr>
              <w:rPr>
                <w:rFonts w:hint="eastAsia"/>
              </w:rPr>
              <w:alias w:val="单位：财务附注：预计负债"/>
              <w:tag w:val="_GBC_cb4f52bf31e64f4c951a1d03c8737c2c"/>
              <w:id w:val="3877689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预计负债"/>
              <w:tag w:val="_GBC_c1e0a0d54ae34f37b10682c1542f4496"/>
              <w:id w:val="-133545413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6"/>
            <w:gridCol w:w="2206"/>
            <w:gridCol w:w="2206"/>
            <w:gridCol w:w="1865"/>
          </w:tblGrid>
          <w:tr w:rsidR="007E7472" w14:paraId="68466FD8" w14:textId="77777777" w:rsidTr="007E7472">
            <w:trPr>
              <w:cantSplit/>
              <w:trHeight w:val="340"/>
            </w:trPr>
            <w:sdt>
              <w:sdtPr>
                <w:tag w:val="_PLD_fc927e21b7894351850a5341390e71f1"/>
                <w:id w:val="2027828541"/>
              </w:sdtPr>
              <w:sdtEndPr/>
              <w:sdtContent>
                <w:tc>
                  <w:tcPr>
                    <w:tcW w:w="1443" w:type="pct"/>
                    <w:vAlign w:val="center"/>
                  </w:tcPr>
                  <w:p w14:paraId="38C3AF0B" w14:textId="77777777" w:rsidR="007E7472" w:rsidRDefault="00EC1269">
                    <w:pPr>
                      <w:ind w:right="105"/>
                      <w:jc w:val="center"/>
                    </w:pPr>
                    <w:r>
                      <w:rPr>
                        <w:rFonts w:hint="eastAsia"/>
                      </w:rPr>
                      <w:t>项目</w:t>
                    </w:r>
                  </w:p>
                </w:tc>
              </w:sdtContent>
            </w:sdt>
            <w:sdt>
              <w:sdtPr>
                <w:tag w:val="_PLD_6f816d98e70940cfbbbbb868b0aeb358"/>
                <w:id w:val="-1176874690"/>
              </w:sdtPr>
              <w:sdtEndPr/>
              <w:sdtContent>
                <w:tc>
                  <w:tcPr>
                    <w:tcW w:w="1056" w:type="pct"/>
                    <w:vAlign w:val="center"/>
                  </w:tcPr>
                  <w:p w14:paraId="461F0F2A" w14:textId="77777777" w:rsidR="007E7472" w:rsidRDefault="00EC1269">
                    <w:pPr>
                      <w:jc w:val="center"/>
                    </w:pPr>
                    <w:r>
                      <w:rPr>
                        <w:rFonts w:hint="eastAsia"/>
                      </w:rPr>
                      <w:t>期末余额</w:t>
                    </w:r>
                  </w:p>
                </w:tc>
              </w:sdtContent>
            </w:sdt>
            <w:sdt>
              <w:sdtPr>
                <w:tag w:val="_PLD_5448bfd35d2348cfac66de5cdfbc78a4"/>
                <w:id w:val="370338786"/>
              </w:sdtPr>
              <w:sdtEndPr/>
              <w:sdtContent>
                <w:tc>
                  <w:tcPr>
                    <w:tcW w:w="1250" w:type="pct"/>
                    <w:vAlign w:val="center"/>
                  </w:tcPr>
                  <w:p w14:paraId="309593C1" w14:textId="77777777" w:rsidR="007E7472" w:rsidRDefault="00EC1269">
                    <w:pPr>
                      <w:jc w:val="center"/>
                    </w:pPr>
                    <w:r>
                      <w:rPr>
                        <w:rFonts w:hint="eastAsia"/>
                      </w:rPr>
                      <w:t>期初余额</w:t>
                    </w:r>
                  </w:p>
                </w:tc>
              </w:sdtContent>
            </w:sdt>
            <w:sdt>
              <w:sdtPr>
                <w:tag w:val="_PLD_987f713faa85401c883cbd6dd67e70b8"/>
                <w:id w:val="-1535652284"/>
              </w:sdtPr>
              <w:sdtEndPr/>
              <w:sdtContent>
                <w:tc>
                  <w:tcPr>
                    <w:tcW w:w="1250" w:type="pct"/>
                    <w:vAlign w:val="center"/>
                  </w:tcPr>
                  <w:p w14:paraId="75521040" w14:textId="77777777" w:rsidR="007E7472" w:rsidRDefault="00EC1269">
                    <w:pPr>
                      <w:jc w:val="center"/>
                    </w:pPr>
                    <w:r>
                      <w:rPr>
                        <w:rFonts w:hint="eastAsia"/>
                      </w:rPr>
                      <w:t>形成原因</w:t>
                    </w:r>
                  </w:p>
                </w:tc>
              </w:sdtContent>
            </w:sdt>
          </w:tr>
          <w:sdt>
            <w:sdtPr>
              <w:rPr>
                <w:rFonts w:asciiTheme="minorHAnsi" w:eastAsiaTheme="minorEastAsia" w:hAnsiTheme="minorHAnsi" w:cstheme="minorBidi" w:hint="eastAsia"/>
                <w:kern w:val="2"/>
                <w:szCs w:val="22"/>
              </w:rPr>
              <w:alias w:val="预计负债明细"/>
              <w:tag w:val="_GBC_5cf700910cc340f9a6a8c98630e6dc69"/>
              <w:id w:val="1880664170"/>
              <w:lock w:val="sdtLocked"/>
            </w:sdtPr>
            <w:sdtEndPr>
              <w:rPr>
                <w:rFonts w:hint="default"/>
                <w:color w:val="000000" w:themeColor="text1"/>
              </w:rPr>
            </w:sdtEndPr>
            <w:sdtContent>
              <w:tr w:rsidR="007E7472" w14:paraId="6F45DC37" w14:textId="77777777" w:rsidTr="007E7472">
                <w:trPr>
                  <w:cantSplit/>
                  <w:trHeight w:val="340"/>
                </w:trPr>
                <w:tc>
                  <w:tcPr>
                    <w:tcW w:w="1249" w:type="pct"/>
                    <w:shd w:val="clear" w:color="auto" w:fill="auto"/>
                    <w:vAlign w:val="center"/>
                  </w:tcPr>
                  <w:p w14:paraId="713D9066" w14:textId="77777777" w:rsidR="007E7472" w:rsidRDefault="00EC1269">
                    <w:pPr>
                      <w:ind w:right="105"/>
                    </w:pPr>
                    <w:r>
                      <w:rPr>
                        <w:rFonts w:asciiTheme="minorHAnsi" w:eastAsiaTheme="minorEastAsia" w:hAnsiTheme="minorHAnsi" w:cstheme="minorBidi" w:hint="eastAsia"/>
                        <w:kern w:val="2"/>
                        <w:szCs w:val="22"/>
                      </w:rPr>
                      <w:t>复垦</w:t>
                    </w:r>
                    <w:r>
                      <w:rPr>
                        <w:rFonts w:asciiTheme="minorHAnsi" w:eastAsiaTheme="minorEastAsia" w:hAnsiTheme="minorHAnsi" w:cstheme="minorBidi"/>
                        <w:kern w:val="2"/>
                        <w:szCs w:val="22"/>
                      </w:rPr>
                      <w:t>/</w:t>
                    </w:r>
                    <w:r>
                      <w:rPr>
                        <w:rFonts w:asciiTheme="minorHAnsi" w:eastAsiaTheme="minorEastAsia" w:hAnsiTheme="minorHAnsi" w:cstheme="minorBidi"/>
                        <w:kern w:val="2"/>
                        <w:szCs w:val="22"/>
                      </w:rPr>
                      <w:t>复原及环境恢复</w:t>
                    </w:r>
                  </w:p>
                </w:tc>
                <w:tc>
                  <w:tcPr>
                    <w:tcW w:w="1250" w:type="pct"/>
                    <w:vAlign w:val="center"/>
                  </w:tcPr>
                  <w:p w14:paraId="61D99E93" w14:textId="77777777" w:rsidR="007E7472" w:rsidRDefault="00EC1269">
                    <w:pPr>
                      <w:jc w:val="right"/>
                    </w:pPr>
                    <w:r>
                      <w:t>9,318,678</w:t>
                    </w:r>
                  </w:p>
                </w:tc>
                <w:tc>
                  <w:tcPr>
                    <w:tcW w:w="1250" w:type="pct"/>
                    <w:vAlign w:val="center"/>
                  </w:tcPr>
                  <w:p w14:paraId="74A5619D" w14:textId="77777777" w:rsidR="007E7472" w:rsidRDefault="00EC1269">
                    <w:pPr>
                      <w:jc w:val="right"/>
                    </w:pPr>
                    <w:r>
                      <w:t>9,189,449</w:t>
                    </w:r>
                  </w:p>
                </w:tc>
                <w:tc>
                  <w:tcPr>
                    <w:tcW w:w="1250" w:type="pct"/>
                    <w:vAlign w:val="center"/>
                  </w:tcPr>
                  <w:p w14:paraId="079EB9AD" w14:textId="77777777" w:rsidR="007E7472" w:rsidRDefault="00C8327E">
                    <w:pPr>
                      <w:ind w:right="73"/>
                    </w:pPr>
                  </w:p>
                </w:tc>
              </w:tr>
            </w:sdtContent>
          </w:sdt>
          <w:sdt>
            <w:sdtPr>
              <w:rPr>
                <w:rFonts w:asciiTheme="minorHAnsi" w:eastAsiaTheme="minorEastAsia" w:hAnsiTheme="minorHAnsi" w:cstheme="minorBidi" w:hint="eastAsia"/>
                <w:kern w:val="2"/>
                <w:szCs w:val="22"/>
              </w:rPr>
              <w:alias w:val="预计负债明细"/>
              <w:tag w:val="_GBC_5cf700910cc340f9a6a8c98630e6dc69"/>
              <w:id w:val="1374582806"/>
            </w:sdtPr>
            <w:sdtEndPr>
              <w:rPr>
                <w:rFonts w:hint="default"/>
                <w:color w:val="000000" w:themeColor="text1"/>
              </w:rPr>
            </w:sdtEndPr>
            <w:sdtContent>
              <w:tr w:rsidR="007E7472" w14:paraId="466E12B8" w14:textId="77777777" w:rsidTr="007E7472">
                <w:trPr>
                  <w:cantSplit/>
                  <w:trHeight w:val="340"/>
                </w:trPr>
                <w:tc>
                  <w:tcPr>
                    <w:tcW w:w="1249" w:type="pct"/>
                    <w:shd w:val="clear" w:color="auto" w:fill="auto"/>
                    <w:vAlign w:val="center"/>
                  </w:tcPr>
                  <w:p w14:paraId="661E16ED" w14:textId="77777777" w:rsidR="007E7472" w:rsidRDefault="00EC1269">
                    <w:pPr>
                      <w:ind w:right="105"/>
                    </w:pPr>
                    <w:r>
                      <w:t>亏损合同</w:t>
                    </w:r>
                  </w:p>
                </w:tc>
                <w:tc>
                  <w:tcPr>
                    <w:tcW w:w="1250" w:type="pct"/>
                    <w:vAlign w:val="center"/>
                  </w:tcPr>
                  <w:p w14:paraId="2B626022" w14:textId="77777777" w:rsidR="007E7472" w:rsidRDefault="00EC1269">
                    <w:pPr>
                      <w:jc w:val="right"/>
                    </w:pPr>
                    <w:r>
                      <w:t>122,015</w:t>
                    </w:r>
                  </w:p>
                </w:tc>
                <w:tc>
                  <w:tcPr>
                    <w:tcW w:w="1250" w:type="pct"/>
                    <w:vAlign w:val="center"/>
                  </w:tcPr>
                  <w:p w14:paraId="780ED09D" w14:textId="77777777" w:rsidR="007E7472" w:rsidRDefault="00EC1269">
                    <w:pPr>
                      <w:jc w:val="right"/>
                    </w:pPr>
                    <w:r>
                      <w:t>133,596</w:t>
                    </w:r>
                  </w:p>
                </w:tc>
                <w:tc>
                  <w:tcPr>
                    <w:tcW w:w="1250" w:type="pct"/>
                    <w:vAlign w:val="center"/>
                  </w:tcPr>
                  <w:p w14:paraId="6B661630" w14:textId="77777777" w:rsidR="007E7472" w:rsidRDefault="00EC1269" w:rsidP="007E7472">
                    <w:pPr>
                      <w:ind w:right="73"/>
                      <w:jc w:val="center"/>
                    </w:pPr>
                    <w:r>
                      <w:t>注1</w:t>
                    </w:r>
                  </w:p>
                </w:tc>
              </w:tr>
            </w:sdtContent>
          </w:sdt>
          <w:sdt>
            <w:sdtPr>
              <w:rPr>
                <w:rFonts w:asciiTheme="minorHAnsi" w:eastAsiaTheme="minorEastAsia" w:hAnsiTheme="minorHAnsi" w:cstheme="minorBidi" w:hint="eastAsia"/>
                <w:kern w:val="2"/>
                <w:szCs w:val="22"/>
              </w:rPr>
              <w:alias w:val="预计负债明细"/>
              <w:tag w:val="_GBC_5cf700910cc340f9a6a8c98630e6dc69"/>
              <w:id w:val="853310351"/>
            </w:sdtPr>
            <w:sdtEndPr>
              <w:rPr>
                <w:rFonts w:hint="default"/>
                <w:color w:val="000000" w:themeColor="text1"/>
              </w:rPr>
            </w:sdtEndPr>
            <w:sdtContent>
              <w:tr w:rsidR="007E7472" w14:paraId="5E45552F" w14:textId="77777777" w:rsidTr="007E7472">
                <w:trPr>
                  <w:cantSplit/>
                  <w:trHeight w:val="340"/>
                </w:trPr>
                <w:tc>
                  <w:tcPr>
                    <w:tcW w:w="1443" w:type="pct"/>
                    <w:shd w:val="clear" w:color="auto" w:fill="auto"/>
                    <w:vAlign w:val="center"/>
                  </w:tcPr>
                  <w:p w14:paraId="07D0EA40" w14:textId="77777777" w:rsidR="007E7472" w:rsidRDefault="00EC1269">
                    <w:pPr>
                      <w:ind w:right="105"/>
                    </w:pPr>
                    <w:r>
                      <w:t>照付不议负债</w:t>
                    </w:r>
                  </w:p>
                </w:tc>
                <w:tc>
                  <w:tcPr>
                    <w:tcW w:w="1056" w:type="pct"/>
                    <w:vAlign w:val="center"/>
                  </w:tcPr>
                  <w:p w14:paraId="74B73EB6" w14:textId="77777777" w:rsidR="007E7472" w:rsidRDefault="00EC1269">
                    <w:pPr>
                      <w:jc w:val="right"/>
                    </w:pPr>
                    <w:r>
                      <w:t>15,768</w:t>
                    </w:r>
                  </w:p>
                </w:tc>
                <w:tc>
                  <w:tcPr>
                    <w:tcW w:w="1250" w:type="pct"/>
                    <w:vAlign w:val="center"/>
                  </w:tcPr>
                  <w:p w14:paraId="34EDC56D" w14:textId="77777777" w:rsidR="007E7472" w:rsidRDefault="00EC1269">
                    <w:pPr>
                      <w:jc w:val="right"/>
                    </w:pPr>
                    <w:r>
                      <w:t>27,309</w:t>
                    </w:r>
                  </w:p>
                </w:tc>
                <w:tc>
                  <w:tcPr>
                    <w:tcW w:w="1250" w:type="pct"/>
                    <w:vAlign w:val="center"/>
                  </w:tcPr>
                  <w:p w14:paraId="20BBC370" w14:textId="77777777" w:rsidR="007E7472" w:rsidRDefault="00EC1269" w:rsidP="007E7472">
                    <w:pPr>
                      <w:ind w:right="73"/>
                      <w:jc w:val="center"/>
                    </w:pPr>
                    <w:r>
                      <w:rPr>
                        <w:rFonts w:hint="eastAsia"/>
                      </w:rPr>
                      <w:t>注2</w:t>
                    </w:r>
                  </w:p>
                </w:tc>
              </w:tr>
            </w:sdtContent>
          </w:sdt>
          <w:sdt>
            <w:sdtPr>
              <w:rPr>
                <w:rFonts w:asciiTheme="minorHAnsi" w:eastAsiaTheme="minorEastAsia" w:hAnsiTheme="minorHAnsi" w:cstheme="minorBidi" w:hint="eastAsia"/>
                <w:kern w:val="2"/>
                <w:szCs w:val="22"/>
              </w:rPr>
              <w:alias w:val="预计负债明细"/>
              <w:tag w:val="_GBC_5cf700910cc340f9a6a8c98630e6dc69"/>
              <w:id w:val="2079849529"/>
            </w:sdtPr>
            <w:sdtEndPr>
              <w:rPr>
                <w:rFonts w:hint="default"/>
                <w:color w:val="000000" w:themeColor="text1"/>
              </w:rPr>
            </w:sdtEndPr>
            <w:sdtContent>
              <w:tr w:rsidR="007E7472" w14:paraId="5FF1D95C" w14:textId="77777777" w:rsidTr="007E7472">
                <w:trPr>
                  <w:cantSplit/>
                  <w:trHeight w:val="340"/>
                </w:trPr>
                <w:tc>
                  <w:tcPr>
                    <w:tcW w:w="1443" w:type="pct"/>
                    <w:shd w:val="clear" w:color="auto" w:fill="auto"/>
                    <w:vAlign w:val="center"/>
                  </w:tcPr>
                  <w:p w14:paraId="24E1E071" w14:textId="77777777" w:rsidR="007E7472" w:rsidRDefault="00EC1269">
                    <w:pPr>
                      <w:ind w:right="105"/>
                    </w:pPr>
                    <w:r>
                      <w:t>其他</w:t>
                    </w:r>
                  </w:p>
                </w:tc>
                <w:tc>
                  <w:tcPr>
                    <w:tcW w:w="1056" w:type="pct"/>
                    <w:vAlign w:val="center"/>
                  </w:tcPr>
                  <w:p w14:paraId="086C05E7" w14:textId="77777777" w:rsidR="007E7472" w:rsidRDefault="00EC1269">
                    <w:pPr>
                      <w:jc w:val="right"/>
                    </w:pPr>
                    <w:r>
                      <w:t>69,915</w:t>
                    </w:r>
                  </w:p>
                </w:tc>
                <w:tc>
                  <w:tcPr>
                    <w:tcW w:w="1250" w:type="pct"/>
                    <w:vAlign w:val="center"/>
                  </w:tcPr>
                  <w:p w14:paraId="332B20E5" w14:textId="77777777" w:rsidR="007E7472" w:rsidRDefault="00EC1269">
                    <w:pPr>
                      <w:jc w:val="right"/>
                    </w:pPr>
                    <w:r>
                      <w:t>70,505</w:t>
                    </w:r>
                  </w:p>
                </w:tc>
                <w:tc>
                  <w:tcPr>
                    <w:tcW w:w="1250" w:type="pct"/>
                    <w:vAlign w:val="center"/>
                  </w:tcPr>
                  <w:p w14:paraId="1899D0F4" w14:textId="77777777" w:rsidR="007E7472" w:rsidRDefault="00C8327E">
                    <w:pPr>
                      <w:ind w:right="73"/>
                    </w:pPr>
                  </w:p>
                </w:tc>
              </w:tr>
            </w:sdtContent>
          </w:sdt>
          <w:tr w:rsidR="007E7472" w14:paraId="5E5DA83A" w14:textId="77777777" w:rsidTr="007E7472">
            <w:trPr>
              <w:cantSplit/>
              <w:trHeight w:val="340"/>
            </w:trPr>
            <w:sdt>
              <w:sdtPr>
                <w:tag w:val="_PLD_b9cf5ec4363246d39880d8a9118c7375"/>
                <w:id w:val="1950428960"/>
              </w:sdtPr>
              <w:sdtEndPr/>
              <w:sdtContent>
                <w:tc>
                  <w:tcPr>
                    <w:tcW w:w="1443" w:type="pct"/>
                    <w:vAlign w:val="center"/>
                  </w:tcPr>
                  <w:p w14:paraId="5C2C8B84" w14:textId="77777777" w:rsidR="007E7472" w:rsidRDefault="00EC1269">
                    <w:pPr>
                      <w:ind w:right="105"/>
                      <w:jc w:val="center"/>
                    </w:pPr>
                    <w:r>
                      <w:rPr>
                        <w:rFonts w:hint="eastAsia"/>
                      </w:rPr>
                      <w:t>合计</w:t>
                    </w:r>
                  </w:p>
                </w:tc>
              </w:sdtContent>
            </w:sdt>
            <w:tc>
              <w:tcPr>
                <w:tcW w:w="1056" w:type="pct"/>
                <w:vAlign w:val="center"/>
              </w:tcPr>
              <w:p w14:paraId="33F132C7" w14:textId="77777777" w:rsidR="007E7472" w:rsidRDefault="00EC1269">
                <w:pPr>
                  <w:jc w:val="right"/>
                </w:pPr>
                <w:r>
                  <w:t>9,526,376</w:t>
                </w:r>
              </w:p>
            </w:tc>
            <w:tc>
              <w:tcPr>
                <w:tcW w:w="1250" w:type="pct"/>
                <w:vAlign w:val="center"/>
              </w:tcPr>
              <w:p w14:paraId="4735BE61" w14:textId="77777777" w:rsidR="007E7472" w:rsidRDefault="00EC1269">
                <w:pPr>
                  <w:jc w:val="right"/>
                </w:pPr>
                <w:r>
                  <w:t>9,420,859</w:t>
                </w:r>
              </w:p>
            </w:tc>
            <w:tc>
              <w:tcPr>
                <w:tcW w:w="1250" w:type="pct"/>
                <w:vAlign w:val="center"/>
              </w:tcPr>
              <w:p w14:paraId="73D57104" w14:textId="77777777" w:rsidR="007E7472" w:rsidRDefault="00EC1269">
                <w:pPr>
                  <w:jc w:val="center"/>
                  <w:rPr>
                    <w:color w:val="000000" w:themeColor="text1"/>
                  </w:rPr>
                </w:pPr>
                <w:r>
                  <w:rPr>
                    <w:rFonts w:hint="eastAsia"/>
                    <w:color w:val="000000" w:themeColor="text1"/>
                  </w:rPr>
                  <w:t>/</w:t>
                </w:r>
              </w:p>
            </w:tc>
          </w:tr>
        </w:tbl>
        <w:p w14:paraId="4A0BA9FD" w14:textId="77777777" w:rsidR="007E7472" w:rsidRDefault="00C8327E"/>
        <w:p w14:paraId="3C851E7C" w14:textId="77777777" w:rsidR="007E7472" w:rsidRDefault="00EC1269">
          <w:pPr>
            <w:snapToGrid w:val="0"/>
            <w:spacing w:before="60" w:after="60"/>
          </w:pPr>
          <w:r>
            <w:rPr>
              <w:rFonts w:hint="eastAsia"/>
            </w:rPr>
            <w:t>其他说明，包括重要预计负债的相关重要假设、估计说明：</w:t>
          </w:r>
        </w:p>
        <w:sdt>
          <w:sdtPr>
            <w:alias w:val="预计负债的说明"/>
            <w:tag w:val="_GBC_d674f22c00c1425092bd34d8a8834fad"/>
            <w:id w:val="555592063"/>
            <w:lock w:val="sdtLocked"/>
            <w:placeholder>
              <w:docPart w:val="GBC22222222222222222222222222222"/>
            </w:placeholder>
          </w:sdtPr>
          <w:sdtEndPr/>
          <w:sdtContent>
            <w:p w14:paraId="59EF5123" w14:textId="77777777" w:rsidR="007E7472" w:rsidRDefault="00EC1269">
              <w:pPr>
                <w:spacing w:beforeLines="50" w:before="156" w:afterLines="50" w:after="156" w:line="360" w:lineRule="exact"/>
                <w:ind w:firstLineChars="200" w:firstLine="420"/>
              </w:pPr>
              <w:r>
                <w:rPr>
                  <w:rFonts w:hint="eastAsia"/>
                </w:rPr>
                <w:t>注1：本公司之子公司联合煤炭工业有限公司与第三方签订的煤炭供应和运输协议，该合同价格低于市场价格，为亏损合同，故就该合同价格与市场价格之间的差异折现确认预计负债，其中一年内到期的预计负债金额为</w:t>
              </w:r>
              <w:r>
                <w:t>30,121千元。</w:t>
              </w:r>
            </w:p>
            <w:p w14:paraId="4D08A09A" w14:textId="77777777" w:rsidR="007E7472" w:rsidRDefault="00EC1269">
              <w:pPr>
                <w:spacing w:beforeLines="50" w:before="156" w:afterLines="50" w:after="156" w:line="360" w:lineRule="exact"/>
                <w:ind w:firstLineChars="200" w:firstLine="420"/>
              </w:pPr>
              <w:r>
                <w:rPr>
                  <w:rFonts w:hint="eastAsia"/>
                </w:rPr>
                <w:t>注2：本公司之子公司格罗斯特煤炭有限公司与第三方签订的铁路及港口照付不议合同，因预计未来运量不会达到合同约定，故对按合同约定仍需支付的款项确认预计负债，其中一年内到期的预计负债金额为</w:t>
              </w:r>
              <w:r>
                <w:t>24,099千元。</w:t>
              </w:r>
            </w:p>
          </w:sdtContent>
        </w:sdt>
      </w:sdtContent>
    </w:sdt>
    <w:bookmarkEnd w:id="250"/>
    <w:p w14:paraId="5F061B92" w14:textId="77777777" w:rsidR="007E7472" w:rsidRDefault="00C8327E"/>
    <w:p w14:paraId="085C91E6" w14:textId="77777777" w:rsidR="007E7472" w:rsidRDefault="00EC1269" w:rsidP="00162493">
      <w:pPr>
        <w:pStyle w:val="3"/>
        <w:numPr>
          <w:ilvl w:val="0"/>
          <w:numId w:val="62"/>
        </w:numPr>
      </w:pPr>
      <w:r>
        <w:rPr>
          <w:rFonts w:hint="eastAsia"/>
        </w:rPr>
        <w:t>递延收益</w:t>
      </w:r>
    </w:p>
    <w:sdt>
      <w:sdtPr>
        <w:rPr>
          <w:rFonts w:hint="eastAsia"/>
          <w:sz w:val="20"/>
        </w:rPr>
        <w:alias w:val="模块:递延收益"/>
        <w:tag w:val="_GBC_8d74a4d69f6940c3968ca9c4cf2a1b4c"/>
        <w:id w:val="-1667622761"/>
        <w:lock w:val="sdtLocked"/>
        <w:placeholder>
          <w:docPart w:val="GBC22222222222222222222222222222"/>
        </w:placeholder>
      </w:sdtPr>
      <w:sdtEndPr>
        <w:rPr>
          <w:rFonts w:hint="default"/>
          <w:kern w:val="2"/>
          <w:sz w:val="21"/>
        </w:rPr>
      </w:sdtEndPr>
      <w:sdtContent>
        <w:p w14:paraId="6255E092" w14:textId="77777777" w:rsidR="007E7472" w:rsidRDefault="00EC1269">
          <w:r>
            <w:rPr>
              <w:rFonts w:hint="eastAsia"/>
            </w:rPr>
            <w:t>递延收益情况</w:t>
          </w:r>
        </w:p>
        <w:sdt>
          <w:sdtPr>
            <w:alias w:val="是否适用：递延收益情况 [双击切换]"/>
            <w:tag w:val="_GBC_2c1393684e764245824b2390014e92f1"/>
            <w:id w:val="-373699977"/>
            <w:lock w:val="sdtLocked"/>
            <w:placeholder>
              <w:docPart w:val="GBC22222222222222222222222222222"/>
            </w:placeholder>
          </w:sdtPr>
          <w:sdtEndPr/>
          <w:sdtContent>
            <w:p w14:paraId="13952DD7"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251" w:name="_Hlk10537331" w:displacedByCustomXml="next"/>
    <w:sdt>
      <w:sdtPr>
        <w:rPr>
          <w:rFonts w:hint="eastAsia"/>
        </w:rPr>
        <w:alias w:val="模块:涉及政府补助的负债项目"/>
        <w:tag w:val="_GBC_e1594f7b2d3e4b13b3e32c6cde5b210a"/>
        <w:id w:val="-1127771921"/>
        <w:lock w:val="sdtLocked"/>
        <w:placeholder>
          <w:docPart w:val="GBC22222222222222222222222222222"/>
        </w:placeholder>
      </w:sdtPr>
      <w:sdtEndPr>
        <w:rPr>
          <w:rFonts w:hint="default"/>
        </w:rPr>
      </w:sdtEndPr>
      <w:sdtContent>
        <w:p w14:paraId="5D0C3AB0" w14:textId="77777777" w:rsidR="007E7472" w:rsidRDefault="00EC1269">
          <w:r>
            <w:rPr>
              <w:rFonts w:hint="eastAsia"/>
            </w:rPr>
            <w:t>涉及政府补助的项目：</w:t>
          </w:r>
        </w:p>
        <w:sdt>
          <w:sdtPr>
            <w:alias w:val="是否适用：涉及政府补助的项目_递延收益[双击切换]"/>
            <w:tag w:val="_GBC_4c2c8447eb53428b988a5a364f2b236d"/>
            <w:id w:val="-1637641999"/>
            <w:lock w:val="sdtLocked"/>
            <w:placeholder>
              <w:docPart w:val="GBC22222222222222222222222222222"/>
            </w:placeholder>
          </w:sdtPr>
          <w:sdtEndPr/>
          <w:sdtContent>
            <w:p w14:paraId="39346ADF" w14:textId="77777777" w:rsidR="007E7472" w:rsidRDefault="00EC1269">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Content>
    </w:sdt>
    <w:bookmarkEnd w:id="251" w:displacedByCustomXml="next"/>
    <w:bookmarkStart w:id="252" w:name="OLE_LINK85" w:displacedByCustomXml="next"/>
    <w:bookmarkStart w:id="253" w:name="OLE_LINK84" w:displacedByCustomXml="next"/>
    <w:sdt>
      <w:sdtPr>
        <w:rPr>
          <w:rFonts w:ascii="Times New Roman" w:hAnsi="Times New Roman" w:cs="Times New Roman" w:hint="eastAsia"/>
          <w:sz w:val="20"/>
          <w:szCs w:val="20"/>
        </w:rPr>
        <w:alias w:val="模块:递延收益其他说明"/>
        <w:tag w:val="_GBC_3e5bdbca1c524ed19d397da3dfaf83a9"/>
        <w:id w:val="1837649579"/>
        <w:lock w:val="sdtLocked"/>
        <w:placeholder>
          <w:docPart w:val="GBC22222222222222222222222222222"/>
        </w:placeholder>
      </w:sdtPr>
      <w:sdtEndPr>
        <w:rPr>
          <w:rFonts w:ascii="宋体" w:hAnsi="宋体" w:cs="宋体" w:hint="default"/>
          <w:sz w:val="21"/>
          <w:szCs w:val="21"/>
        </w:rPr>
      </w:sdtEndPr>
      <w:sdtContent>
        <w:p w14:paraId="2AF4CD4C" w14:textId="77777777" w:rsidR="007E7472" w:rsidRDefault="00EC1269">
          <w:pPr>
            <w:spacing w:before="60" w:after="60"/>
          </w:pPr>
          <w:r>
            <w:rPr>
              <w:rFonts w:hint="eastAsia"/>
            </w:rPr>
            <w:t>其他说明：</w:t>
          </w:r>
        </w:p>
        <w:sdt>
          <w:sdtPr>
            <w:alias w:val="是否适用：递延收益的其他说明[双击切换]"/>
            <w:tag w:val="_GBC_da5e8f76ba934c9e8efb4ab4d41c9f8c"/>
            <w:id w:val="2037620322"/>
            <w:lock w:val="sdtLocked"/>
            <w:placeholder>
              <w:docPart w:val="GBC22222222222222222222222222222"/>
            </w:placeholder>
          </w:sdtPr>
          <w:sdtEndPr/>
          <w:sdtContent>
            <w:p w14:paraId="0C749FC0" w14:textId="77777777" w:rsidR="007E7472" w:rsidRDefault="00EC1269">
              <w:pPr>
                <w:spacing w:before="60" w:after="6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53"/>
    <w:bookmarkEnd w:id="252"/>
    <w:p w14:paraId="712132A2" w14:textId="77777777" w:rsidR="007E7472" w:rsidRDefault="00C8327E">
      <w:pPr>
        <w:snapToGrid w:val="0"/>
        <w:spacing w:line="240" w:lineRule="atLeast"/>
      </w:pPr>
    </w:p>
    <w:bookmarkStart w:id="254" w:name="_Hlk10537430" w:displacedByCustomXml="next"/>
    <w:sdt>
      <w:sdtPr>
        <w:rPr>
          <w:rFonts w:ascii="宋体" w:hAnsi="宋体" w:cs="宋体" w:hint="eastAsia"/>
          <w:b w:val="0"/>
          <w:bCs w:val="0"/>
          <w:kern w:val="0"/>
          <w:sz w:val="20"/>
          <w:szCs w:val="21"/>
        </w:rPr>
        <w:alias w:val="模块:其他非流动负债"/>
        <w:tag w:val="_GBC_ebdcd37ba77540d78079b1e51c20b6ce"/>
        <w:id w:val="-1896651394"/>
        <w:lock w:val="sdtLocked"/>
        <w:placeholder>
          <w:docPart w:val="GBC22222222222222222222222222222"/>
        </w:placeholder>
      </w:sdtPr>
      <w:sdtEndPr>
        <w:rPr>
          <w:rFonts w:cstheme="minorBidi" w:hint="default"/>
          <w:color w:val="000000" w:themeColor="text1"/>
        </w:rPr>
      </w:sdtEndPr>
      <w:sdtContent>
        <w:p w14:paraId="21A05F4C" w14:textId="77777777" w:rsidR="007E7472" w:rsidRDefault="00EC1269" w:rsidP="00162493">
          <w:pPr>
            <w:pStyle w:val="3"/>
            <w:numPr>
              <w:ilvl w:val="0"/>
              <w:numId w:val="62"/>
            </w:numPr>
          </w:pPr>
          <w:r>
            <w:rPr>
              <w:rFonts w:hint="eastAsia"/>
            </w:rPr>
            <w:t>其他非流动负债</w:t>
          </w:r>
        </w:p>
        <w:sdt>
          <w:sdtPr>
            <w:alias w:val="是否适用：其他非流动负债[双击切换]"/>
            <w:tag w:val="_GBC_bb8a5c7236564ec0823cbced5ea78e62"/>
            <w:id w:val="1224179577"/>
            <w:lock w:val="sdtLocked"/>
            <w:placeholder>
              <w:docPart w:val="GBC22222222222222222222222222222"/>
            </w:placeholder>
          </w:sdtPr>
          <w:sdtEndPr/>
          <w:sdtContent>
            <w:p w14:paraId="2074B68F"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388C5E85" w14:textId="77777777" w:rsidR="007E7472" w:rsidRDefault="00C8327E"/>
      </w:sdtContent>
    </w:sdt>
    <w:bookmarkEnd w:id="254"/>
    <w:p w14:paraId="7C12F499" w14:textId="77777777" w:rsidR="007E7472" w:rsidRDefault="00C8327E"/>
    <w:sdt>
      <w:sdtPr>
        <w:rPr>
          <w:rFonts w:ascii="宋体" w:hAnsi="宋体" w:cs="宋体" w:hint="eastAsia"/>
          <w:b w:val="0"/>
          <w:bCs w:val="0"/>
          <w:kern w:val="0"/>
          <w:sz w:val="20"/>
          <w:szCs w:val="21"/>
        </w:rPr>
        <w:alias w:val="模块:股本"/>
        <w:tag w:val="_GBC_7f4b2f9bba854132af4bbd6504a10383"/>
        <w:id w:val="1542702577"/>
        <w:lock w:val="sdtLocked"/>
        <w:placeholder>
          <w:docPart w:val="GBC22222222222222222222222222222"/>
        </w:placeholder>
      </w:sdtPr>
      <w:sdtEndPr>
        <w:rPr>
          <w:rFonts w:cstheme="minorBidi" w:hint="default"/>
          <w:color w:val="000000" w:themeColor="text1"/>
        </w:rPr>
      </w:sdtEndPr>
      <w:sdtContent>
        <w:p w14:paraId="7E3E7B14" w14:textId="77777777" w:rsidR="007E7472" w:rsidRDefault="00EC1269" w:rsidP="00162493">
          <w:pPr>
            <w:pStyle w:val="3"/>
            <w:numPr>
              <w:ilvl w:val="0"/>
              <w:numId w:val="62"/>
            </w:numPr>
          </w:pPr>
          <w:r>
            <w:rPr>
              <w:rFonts w:hint="eastAsia"/>
            </w:rPr>
            <w:t>股本</w:t>
          </w:r>
        </w:p>
        <w:sdt>
          <w:sdtPr>
            <w:alias w:val="是否适用：股本[双击切换]"/>
            <w:tag w:val="_GBC_a88b08589cbb4302b29839808faa8a3b"/>
            <w:id w:val="-63947300"/>
            <w:lock w:val="sdtLocked"/>
            <w:placeholder>
              <w:docPart w:val="GBC22222222222222222222222222222"/>
            </w:placeholder>
          </w:sdtPr>
          <w:sdtEndPr/>
          <w:sdtContent>
            <w:p w14:paraId="3E04A4E1" w14:textId="77777777" w:rsidR="007E7472" w:rsidRDefault="00EC1269">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533613E5" w14:textId="4B8C7ED3" w:rsidR="007E7472" w:rsidRDefault="00EC1269">
          <w:pPr>
            <w:jc w:val="right"/>
          </w:pPr>
          <w:r>
            <w:rPr>
              <w:rFonts w:hint="eastAsia"/>
            </w:rPr>
            <w:t>单位：</w:t>
          </w:r>
          <w:sdt>
            <w:sdtPr>
              <w:rPr>
                <w:rFonts w:hint="eastAsia"/>
              </w:rPr>
              <w:alias w:val="单位：财务附注：股本"/>
              <w:tag w:val="_GBC_cf915ea45a234de2a2455824dedc3c82"/>
              <w:id w:val="19153495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股本"/>
              <w:tag w:val="_GBC_2dcc7ff328cf480296bdddce64b88cf1"/>
              <w:id w:val="10486403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283"/>
            <w:gridCol w:w="976"/>
            <w:gridCol w:w="976"/>
            <w:gridCol w:w="1045"/>
            <w:gridCol w:w="1059"/>
            <w:gridCol w:w="1032"/>
            <w:gridCol w:w="1323"/>
          </w:tblGrid>
          <w:tr w:rsidR="007E7472" w14:paraId="0A67C11B" w14:textId="77777777">
            <w:trPr>
              <w:cantSplit/>
              <w:trHeight w:val="270"/>
            </w:trPr>
            <w:tc>
              <w:tcPr>
                <w:tcW w:w="640" w:type="pct"/>
                <w:vMerge w:val="restart"/>
                <w:tcBorders>
                  <w:top w:val="single" w:sz="4" w:space="0" w:color="auto"/>
                  <w:left w:val="single" w:sz="4" w:space="0" w:color="auto"/>
                  <w:bottom w:val="single" w:sz="4" w:space="0" w:color="auto"/>
                  <w:right w:val="single" w:sz="4" w:space="0" w:color="auto"/>
                </w:tcBorders>
                <w:vAlign w:val="center"/>
              </w:tcPr>
              <w:p w14:paraId="5CA60EF5" w14:textId="77777777" w:rsidR="007E7472" w:rsidRDefault="00EC1269">
                <w:pPr>
                  <w:jc w:val="both"/>
                </w:pPr>
                <w:r>
                  <w:rPr>
                    <w:rFonts w:hint="eastAsia"/>
                  </w:rPr>
                  <w:t>股东名称</w:t>
                </w:r>
                <w:r>
                  <w:t>/类别</w:t>
                </w:r>
              </w:p>
            </w:tc>
            <w:sdt>
              <w:sdtPr>
                <w:tag w:val="_PLD_7ad9a0911e364e48bc565dc3ed809692"/>
                <w:id w:val="-442757134"/>
                <w:lock w:val="sdtLocked"/>
              </w:sdtPr>
              <w:sdtEndPr/>
              <w:sdtContent>
                <w:tc>
                  <w:tcPr>
                    <w:tcW w:w="727" w:type="pct"/>
                    <w:vMerge w:val="restart"/>
                    <w:tcBorders>
                      <w:top w:val="single" w:sz="4" w:space="0" w:color="auto"/>
                      <w:left w:val="single" w:sz="4" w:space="0" w:color="auto"/>
                      <w:right w:val="single" w:sz="4" w:space="0" w:color="auto"/>
                    </w:tcBorders>
                    <w:vAlign w:val="center"/>
                  </w:tcPr>
                  <w:p w14:paraId="6998B3E1" w14:textId="77777777" w:rsidR="007E7472" w:rsidRDefault="00EC1269">
                    <w:pPr>
                      <w:jc w:val="center"/>
                    </w:pPr>
                    <w:r>
                      <w:rPr>
                        <w:rFonts w:hint="eastAsia"/>
                      </w:rPr>
                      <w:t>期初余额</w:t>
                    </w:r>
                  </w:p>
                </w:tc>
              </w:sdtContent>
            </w:sdt>
            <w:sdt>
              <w:sdtPr>
                <w:tag w:val="_PLD_33945fdb28e344edaa7d118a9aa07d7d"/>
                <w:id w:val="160521092"/>
                <w:lock w:val="sdtLocked"/>
              </w:sdtPr>
              <w:sdtEndPr/>
              <w:sdtContent>
                <w:tc>
                  <w:tcPr>
                    <w:tcW w:w="2883" w:type="pct"/>
                    <w:gridSpan w:val="5"/>
                    <w:tcBorders>
                      <w:top w:val="single" w:sz="4" w:space="0" w:color="auto"/>
                      <w:left w:val="single" w:sz="4" w:space="0" w:color="auto"/>
                      <w:bottom w:val="single" w:sz="4" w:space="0" w:color="auto"/>
                      <w:right w:val="single" w:sz="4" w:space="0" w:color="auto"/>
                    </w:tcBorders>
                    <w:vAlign w:val="center"/>
                  </w:tcPr>
                  <w:p w14:paraId="2239A7A4" w14:textId="77777777" w:rsidR="007E7472" w:rsidRDefault="00EC1269">
                    <w:pPr>
                      <w:jc w:val="center"/>
                    </w:pPr>
                    <w:r>
                      <w:rPr>
                        <w:rFonts w:hint="eastAsia"/>
                      </w:rPr>
                      <w:t>本次变动增减（+、一）</w:t>
                    </w:r>
                  </w:p>
                </w:tc>
              </w:sdtContent>
            </w:sdt>
            <w:sdt>
              <w:sdtPr>
                <w:tag w:val="_PLD_a0390714e323429ab6e793f9a610df70"/>
                <w:id w:val="1009334982"/>
                <w:lock w:val="sdtLocked"/>
              </w:sdtPr>
              <w:sdtEndPr/>
              <w:sdtContent>
                <w:tc>
                  <w:tcPr>
                    <w:tcW w:w="750" w:type="pct"/>
                    <w:vMerge w:val="restart"/>
                    <w:tcBorders>
                      <w:top w:val="single" w:sz="4" w:space="0" w:color="auto"/>
                      <w:left w:val="single" w:sz="4" w:space="0" w:color="auto"/>
                      <w:right w:val="single" w:sz="4" w:space="0" w:color="auto"/>
                    </w:tcBorders>
                    <w:vAlign w:val="center"/>
                  </w:tcPr>
                  <w:p w14:paraId="18E0FD72" w14:textId="77777777" w:rsidR="007E7472" w:rsidRDefault="00EC1269">
                    <w:pPr>
                      <w:jc w:val="center"/>
                    </w:pPr>
                    <w:r>
                      <w:rPr>
                        <w:rFonts w:hint="eastAsia"/>
                      </w:rPr>
                      <w:t>期末余额</w:t>
                    </w:r>
                  </w:p>
                </w:tc>
              </w:sdtContent>
            </w:sdt>
          </w:tr>
          <w:tr w:rsidR="007E7472" w14:paraId="59F0F104" w14:textId="77777777">
            <w:trPr>
              <w:cantSplit/>
              <w:trHeight w:val="312"/>
            </w:trPr>
            <w:tc>
              <w:tcPr>
                <w:tcW w:w="640" w:type="pct"/>
                <w:vMerge/>
                <w:tcBorders>
                  <w:top w:val="single" w:sz="4" w:space="0" w:color="auto"/>
                  <w:left w:val="single" w:sz="4" w:space="0" w:color="auto"/>
                  <w:bottom w:val="single" w:sz="4" w:space="0" w:color="auto"/>
                  <w:right w:val="single" w:sz="4" w:space="0" w:color="auto"/>
                </w:tcBorders>
              </w:tcPr>
              <w:p w14:paraId="4967CF3F" w14:textId="77777777" w:rsidR="007E7472" w:rsidRDefault="00C8327E"/>
            </w:tc>
            <w:tc>
              <w:tcPr>
                <w:tcW w:w="727" w:type="pct"/>
                <w:vMerge/>
                <w:tcBorders>
                  <w:left w:val="single" w:sz="4" w:space="0" w:color="auto"/>
                  <w:bottom w:val="single" w:sz="4" w:space="0" w:color="auto"/>
                  <w:right w:val="single" w:sz="4" w:space="0" w:color="auto"/>
                </w:tcBorders>
              </w:tcPr>
              <w:p w14:paraId="2E8684B2" w14:textId="77777777" w:rsidR="007E7472" w:rsidRDefault="00C8327E">
                <w:pPr>
                  <w:ind w:leftChars="-119" w:left="-250" w:firstLineChars="119" w:firstLine="250"/>
                </w:pPr>
              </w:p>
            </w:tc>
            <w:sdt>
              <w:sdtPr>
                <w:tag w:val="_PLD_fe0b182c33854e5bb51d2d2a3cd1dd7f"/>
                <w:id w:val="480351045"/>
                <w:lock w:val="sdtLocked"/>
              </w:sdtPr>
              <w:sdtEndPr/>
              <w:sdtContent>
                <w:tc>
                  <w:tcPr>
                    <w:tcW w:w="553" w:type="pct"/>
                    <w:tcBorders>
                      <w:top w:val="single" w:sz="4" w:space="0" w:color="auto"/>
                      <w:left w:val="single" w:sz="4" w:space="0" w:color="auto"/>
                      <w:bottom w:val="single" w:sz="4" w:space="0" w:color="auto"/>
                      <w:right w:val="single" w:sz="4" w:space="0" w:color="auto"/>
                    </w:tcBorders>
                    <w:vAlign w:val="center"/>
                  </w:tcPr>
                  <w:p w14:paraId="799D6E36" w14:textId="77777777" w:rsidR="007E7472" w:rsidRDefault="00EC1269">
                    <w:pPr>
                      <w:jc w:val="center"/>
                    </w:pPr>
                    <w:r>
                      <w:rPr>
                        <w:rFonts w:hint="eastAsia"/>
                      </w:rPr>
                      <w:t>发行</w:t>
                    </w:r>
                  </w:p>
                  <w:p w14:paraId="279A0DBF" w14:textId="77777777" w:rsidR="007E7472" w:rsidRDefault="00EC1269">
                    <w:pPr>
                      <w:jc w:val="center"/>
                    </w:pPr>
                    <w:r>
                      <w:rPr>
                        <w:rFonts w:hint="eastAsia"/>
                      </w:rPr>
                      <w:t>新股</w:t>
                    </w:r>
                  </w:p>
                </w:tc>
              </w:sdtContent>
            </w:sdt>
            <w:sdt>
              <w:sdtPr>
                <w:tag w:val="_PLD_80e7c94a1831488d89d22be722443897"/>
                <w:id w:val="577631444"/>
                <w:lock w:val="sdtLocked"/>
              </w:sdtPr>
              <w:sdtEndPr/>
              <w:sdtContent>
                <w:tc>
                  <w:tcPr>
                    <w:tcW w:w="553" w:type="pct"/>
                    <w:tcBorders>
                      <w:top w:val="single" w:sz="4" w:space="0" w:color="auto"/>
                      <w:left w:val="single" w:sz="4" w:space="0" w:color="auto"/>
                      <w:bottom w:val="single" w:sz="4" w:space="0" w:color="auto"/>
                      <w:right w:val="single" w:sz="4" w:space="0" w:color="auto"/>
                    </w:tcBorders>
                    <w:vAlign w:val="center"/>
                  </w:tcPr>
                  <w:p w14:paraId="5C0E233D" w14:textId="77777777" w:rsidR="007E7472" w:rsidRDefault="00EC1269">
                    <w:pPr>
                      <w:jc w:val="center"/>
                    </w:pPr>
                    <w:r>
                      <w:rPr>
                        <w:rFonts w:hint="eastAsia"/>
                      </w:rPr>
                      <w:t>送股</w:t>
                    </w:r>
                  </w:p>
                </w:tc>
              </w:sdtContent>
            </w:sdt>
            <w:sdt>
              <w:sdtPr>
                <w:tag w:val="_PLD_c1d7f04883eb4aaa9c52067f145ec081"/>
                <w:id w:val="-461584287"/>
                <w:lock w:val="sdtLocked"/>
              </w:sdtPr>
              <w:sdtEndPr/>
              <w:sdtContent>
                <w:tc>
                  <w:tcPr>
                    <w:tcW w:w="592" w:type="pct"/>
                    <w:tcBorders>
                      <w:top w:val="single" w:sz="4" w:space="0" w:color="auto"/>
                      <w:left w:val="single" w:sz="4" w:space="0" w:color="auto"/>
                      <w:bottom w:val="single" w:sz="4" w:space="0" w:color="auto"/>
                      <w:right w:val="single" w:sz="4" w:space="0" w:color="auto"/>
                    </w:tcBorders>
                    <w:vAlign w:val="center"/>
                  </w:tcPr>
                  <w:p w14:paraId="256AC69C" w14:textId="77777777" w:rsidR="007E7472" w:rsidRDefault="00EC1269">
                    <w:pPr>
                      <w:jc w:val="center"/>
                    </w:pPr>
                    <w:r>
                      <w:rPr>
                        <w:rFonts w:hint="eastAsia"/>
                      </w:rPr>
                      <w:t>公积金</w:t>
                    </w:r>
                  </w:p>
                  <w:p w14:paraId="0C521449" w14:textId="77777777" w:rsidR="007E7472" w:rsidRDefault="00EC1269">
                    <w:pPr>
                      <w:jc w:val="center"/>
                    </w:pPr>
                    <w:r>
                      <w:rPr>
                        <w:rFonts w:hint="eastAsia"/>
                      </w:rPr>
                      <w:t>转股</w:t>
                    </w:r>
                  </w:p>
                </w:tc>
              </w:sdtContent>
            </w:sdt>
            <w:sdt>
              <w:sdtPr>
                <w:tag w:val="_PLD_6e44c9cf090243e19b20f1e88e8231ef"/>
                <w:id w:val="-1823420772"/>
                <w:lock w:val="sdtLocked"/>
              </w:sdtPr>
              <w:sdtEndPr/>
              <w:sdtContent>
                <w:tc>
                  <w:tcPr>
                    <w:tcW w:w="600" w:type="pct"/>
                    <w:tcBorders>
                      <w:top w:val="single" w:sz="4" w:space="0" w:color="auto"/>
                      <w:left w:val="single" w:sz="4" w:space="0" w:color="auto"/>
                      <w:bottom w:val="single" w:sz="4" w:space="0" w:color="auto"/>
                      <w:right w:val="single" w:sz="4" w:space="0" w:color="auto"/>
                    </w:tcBorders>
                    <w:vAlign w:val="center"/>
                  </w:tcPr>
                  <w:p w14:paraId="43E0DE2E" w14:textId="77777777" w:rsidR="007E7472" w:rsidRDefault="00EC1269">
                    <w:pPr>
                      <w:jc w:val="center"/>
                    </w:pPr>
                    <w:r>
                      <w:rPr>
                        <w:rFonts w:hint="eastAsia"/>
                      </w:rPr>
                      <w:t>其他</w:t>
                    </w:r>
                  </w:p>
                </w:tc>
              </w:sdtContent>
            </w:sdt>
            <w:sdt>
              <w:sdtPr>
                <w:tag w:val="_PLD_0cee72421f954c94ba296c709c84ef52"/>
                <w:id w:val="-1609732742"/>
                <w:lock w:val="sdtLocked"/>
              </w:sdtPr>
              <w:sdtEndPr/>
              <w:sdtContent>
                <w:tc>
                  <w:tcPr>
                    <w:tcW w:w="585" w:type="pct"/>
                    <w:tcBorders>
                      <w:top w:val="single" w:sz="4" w:space="0" w:color="auto"/>
                      <w:left w:val="single" w:sz="4" w:space="0" w:color="auto"/>
                      <w:bottom w:val="single" w:sz="4" w:space="0" w:color="auto"/>
                      <w:right w:val="single" w:sz="4" w:space="0" w:color="auto"/>
                    </w:tcBorders>
                    <w:vAlign w:val="center"/>
                  </w:tcPr>
                  <w:p w14:paraId="24B86441" w14:textId="77777777" w:rsidR="007E7472" w:rsidRDefault="00EC1269">
                    <w:pPr>
                      <w:jc w:val="center"/>
                    </w:pPr>
                    <w:r>
                      <w:rPr>
                        <w:rFonts w:hint="eastAsia"/>
                      </w:rPr>
                      <w:t>小计</w:t>
                    </w:r>
                  </w:p>
                </w:tc>
              </w:sdtContent>
            </w:sdt>
            <w:tc>
              <w:tcPr>
                <w:tcW w:w="750" w:type="pct"/>
                <w:vMerge/>
                <w:tcBorders>
                  <w:left w:val="single" w:sz="4" w:space="0" w:color="auto"/>
                  <w:bottom w:val="single" w:sz="4" w:space="0" w:color="auto"/>
                  <w:right w:val="single" w:sz="4" w:space="0" w:color="auto"/>
                </w:tcBorders>
              </w:tcPr>
              <w:p w14:paraId="50EAC769" w14:textId="77777777" w:rsidR="007E7472" w:rsidRDefault="00C8327E"/>
            </w:tc>
          </w:tr>
          <w:tr w:rsidR="007E7472" w14:paraId="0A29275B" w14:textId="77777777">
            <w:trPr>
              <w:cantSplit/>
            </w:trPr>
            <w:tc>
              <w:tcPr>
                <w:tcW w:w="640" w:type="pct"/>
                <w:tcBorders>
                  <w:top w:val="single" w:sz="4" w:space="0" w:color="auto"/>
                  <w:left w:val="single" w:sz="4" w:space="0" w:color="auto"/>
                  <w:bottom w:val="single" w:sz="4" w:space="0" w:color="auto"/>
                  <w:right w:val="single" w:sz="4" w:space="0" w:color="auto"/>
                </w:tcBorders>
                <w:vAlign w:val="center"/>
              </w:tcPr>
              <w:p w14:paraId="0B5B198C" w14:textId="77777777" w:rsidR="007E7472" w:rsidRDefault="00EC1269">
                <w:pPr>
                  <w:jc w:val="both"/>
                </w:pPr>
                <w:r>
                  <w:rPr>
                    <w:rFonts w:hint="eastAsia"/>
                  </w:rPr>
                  <w:lastRenderedPageBreak/>
                  <w:t>有限售条件股份</w:t>
                </w:r>
              </w:p>
            </w:tc>
            <w:tc>
              <w:tcPr>
                <w:tcW w:w="727" w:type="pct"/>
                <w:tcBorders>
                  <w:top w:val="single" w:sz="4" w:space="0" w:color="auto"/>
                  <w:left w:val="single" w:sz="4" w:space="0" w:color="auto"/>
                  <w:bottom w:val="single" w:sz="4" w:space="0" w:color="auto"/>
                  <w:right w:val="single" w:sz="4" w:space="0" w:color="auto"/>
                </w:tcBorders>
                <w:vAlign w:val="center"/>
              </w:tcPr>
              <w:p w14:paraId="40EFC356" w14:textId="77777777" w:rsidR="007E7472" w:rsidRDefault="00C8327E">
                <w:pPr>
                  <w:jc w:val="right"/>
                </w:pPr>
              </w:p>
            </w:tc>
            <w:tc>
              <w:tcPr>
                <w:tcW w:w="553" w:type="pct"/>
                <w:tcBorders>
                  <w:top w:val="single" w:sz="4" w:space="0" w:color="auto"/>
                  <w:left w:val="single" w:sz="4" w:space="0" w:color="auto"/>
                  <w:bottom w:val="single" w:sz="4" w:space="0" w:color="auto"/>
                  <w:right w:val="single" w:sz="4" w:space="0" w:color="auto"/>
                </w:tcBorders>
                <w:vAlign w:val="center"/>
              </w:tcPr>
              <w:p w14:paraId="49258BEA" w14:textId="77777777" w:rsidR="007E7472" w:rsidRDefault="00C8327E">
                <w:pPr>
                  <w:jc w:val="right"/>
                </w:pPr>
              </w:p>
            </w:tc>
            <w:tc>
              <w:tcPr>
                <w:tcW w:w="553" w:type="pct"/>
                <w:tcBorders>
                  <w:top w:val="single" w:sz="4" w:space="0" w:color="auto"/>
                  <w:left w:val="single" w:sz="4" w:space="0" w:color="auto"/>
                  <w:bottom w:val="single" w:sz="4" w:space="0" w:color="auto"/>
                  <w:right w:val="single" w:sz="4" w:space="0" w:color="auto"/>
                </w:tcBorders>
                <w:vAlign w:val="center"/>
              </w:tcPr>
              <w:p w14:paraId="40756966" w14:textId="77777777" w:rsidR="007E7472" w:rsidRDefault="00C8327E">
                <w:pPr>
                  <w:jc w:val="right"/>
                </w:pPr>
              </w:p>
            </w:tc>
            <w:tc>
              <w:tcPr>
                <w:tcW w:w="592" w:type="pct"/>
                <w:tcBorders>
                  <w:top w:val="single" w:sz="4" w:space="0" w:color="auto"/>
                  <w:left w:val="single" w:sz="4" w:space="0" w:color="auto"/>
                  <w:bottom w:val="single" w:sz="4" w:space="0" w:color="auto"/>
                  <w:right w:val="single" w:sz="4" w:space="0" w:color="auto"/>
                </w:tcBorders>
                <w:vAlign w:val="center"/>
              </w:tcPr>
              <w:p w14:paraId="73593C47" w14:textId="77777777" w:rsidR="007E7472" w:rsidRDefault="00C8327E">
                <w:pPr>
                  <w:jc w:val="right"/>
                </w:pPr>
              </w:p>
            </w:tc>
            <w:tc>
              <w:tcPr>
                <w:tcW w:w="600" w:type="pct"/>
                <w:tcBorders>
                  <w:top w:val="single" w:sz="4" w:space="0" w:color="auto"/>
                  <w:left w:val="single" w:sz="4" w:space="0" w:color="auto"/>
                  <w:bottom w:val="single" w:sz="4" w:space="0" w:color="auto"/>
                  <w:right w:val="single" w:sz="4" w:space="0" w:color="auto"/>
                </w:tcBorders>
                <w:vAlign w:val="center"/>
              </w:tcPr>
              <w:p w14:paraId="416A61E9" w14:textId="77777777" w:rsidR="007E7472" w:rsidRDefault="00C8327E">
                <w:pPr>
                  <w:jc w:val="right"/>
                </w:pPr>
              </w:p>
            </w:tc>
            <w:tc>
              <w:tcPr>
                <w:tcW w:w="585" w:type="pct"/>
                <w:tcBorders>
                  <w:top w:val="single" w:sz="4" w:space="0" w:color="auto"/>
                  <w:left w:val="single" w:sz="4" w:space="0" w:color="auto"/>
                  <w:bottom w:val="single" w:sz="4" w:space="0" w:color="auto"/>
                  <w:right w:val="single" w:sz="4" w:space="0" w:color="auto"/>
                </w:tcBorders>
                <w:vAlign w:val="center"/>
              </w:tcPr>
              <w:p w14:paraId="293AF3B3" w14:textId="77777777" w:rsidR="007E7472" w:rsidRDefault="00C8327E">
                <w:pPr>
                  <w:jc w:val="right"/>
                </w:pPr>
              </w:p>
            </w:tc>
            <w:tc>
              <w:tcPr>
                <w:tcW w:w="750" w:type="pct"/>
                <w:tcBorders>
                  <w:top w:val="single" w:sz="4" w:space="0" w:color="auto"/>
                  <w:left w:val="single" w:sz="4" w:space="0" w:color="auto"/>
                  <w:bottom w:val="single" w:sz="4" w:space="0" w:color="auto"/>
                  <w:right w:val="single" w:sz="4" w:space="0" w:color="auto"/>
                </w:tcBorders>
                <w:vAlign w:val="center"/>
              </w:tcPr>
              <w:p w14:paraId="55A3DB84" w14:textId="77777777" w:rsidR="007E7472" w:rsidRDefault="00C8327E">
                <w:pPr>
                  <w:jc w:val="right"/>
                </w:pPr>
              </w:p>
            </w:tc>
          </w:tr>
          <w:tr w:rsidR="007E7472" w14:paraId="56FE0BE5" w14:textId="77777777">
            <w:trPr>
              <w:cantSplit/>
            </w:trPr>
            <w:tc>
              <w:tcPr>
                <w:tcW w:w="640" w:type="pct"/>
                <w:tcBorders>
                  <w:top w:val="single" w:sz="4" w:space="0" w:color="auto"/>
                  <w:left w:val="single" w:sz="4" w:space="0" w:color="auto"/>
                  <w:bottom w:val="single" w:sz="4" w:space="0" w:color="auto"/>
                  <w:right w:val="single" w:sz="4" w:space="0" w:color="auto"/>
                </w:tcBorders>
                <w:vAlign w:val="center"/>
              </w:tcPr>
              <w:p w14:paraId="67D77DB6" w14:textId="77777777" w:rsidR="007E7472" w:rsidRDefault="00EC1269">
                <w:pPr>
                  <w:jc w:val="both"/>
                </w:pPr>
                <w:r>
                  <w:rPr>
                    <w:rFonts w:hint="eastAsia"/>
                  </w:rPr>
                  <w:t>境内自然人持股</w:t>
                </w:r>
              </w:p>
            </w:tc>
            <w:tc>
              <w:tcPr>
                <w:tcW w:w="727" w:type="pct"/>
                <w:tcBorders>
                  <w:top w:val="single" w:sz="4" w:space="0" w:color="auto"/>
                  <w:left w:val="single" w:sz="4" w:space="0" w:color="auto"/>
                  <w:bottom w:val="single" w:sz="4" w:space="0" w:color="auto"/>
                  <w:right w:val="single" w:sz="4" w:space="0" w:color="auto"/>
                </w:tcBorders>
                <w:vAlign w:val="center"/>
              </w:tcPr>
              <w:p w14:paraId="50FE9D09" w14:textId="77777777" w:rsidR="007E7472" w:rsidRDefault="00EC1269">
                <w:pPr>
                  <w:jc w:val="right"/>
                </w:pPr>
                <w:r>
                  <w:t>61,740</w:t>
                </w:r>
              </w:p>
            </w:tc>
            <w:tc>
              <w:tcPr>
                <w:tcW w:w="553" w:type="pct"/>
                <w:tcBorders>
                  <w:top w:val="single" w:sz="4" w:space="0" w:color="auto"/>
                  <w:left w:val="single" w:sz="4" w:space="0" w:color="auto"/>
                  <w:bottom w:val="single" w:sz="4" w:space="0" w:color="auto"/>
                  <w:right w:val="single" w:sz="4" w:space="0" w:color="auto"/>
                </w:tcBorders>
                <w:vAlign w:val="center"/>
              </w:tcPr>
              <w:p w14:paraId="52DB4E04" w14:textId="77777777" w:rsidR="007E7472" w:rsidRDefault="00C8327E">
                <w:pPr>
                  <w:jc w:val="right"/>
                </w:pPr>
              </w:p>
            </w:tc>
            <w:tc>
              <w:tcPr>
                <w:tcW w:w="553" w:type="pct"/>
                <w:tcBorders>
                  <w:top w:val="single" w:sz="4" w:space="0" w:color="auto"/>
                  <w:left w:val="single" w:sz="4" w:space="0" w:color="auto"/>
                  <w:bottom w:val="single" w:sz="4" w:space="0" w:color="auto"/>
                  <w:right w:val="single" w:sz="4" w:space="0" w:color="auto"/>
                </w:tcBorders>
                <w:vAlign w:val="center"/>
              </w:tcPr>
              <w:p w14:paraId="424CD0EF" w14:textId="77777777" w:rsidR="007E7472" w:rsidRDefault="00C8327E">
                <w:pPr>
                  <w:jc w:val="right"/>
                </w:pPr>
              </w:p>
            </w:tc>
            <w:tc>
              <w:tcPr>
                <w:tcW w:w="592" w:type="pct"/>
                <w:tcBorders>
                  <w:top w:val="single" w:sz="4" w:space="0" w:color="auto"/>
                  <w:left w:val="single" w:sz="4" w:space="0" w:color="auto"/>
                  <w:bottom w:val="single" w:sz="4" w:space="0" w:color="auto"/>
                  <w:right w:val="single" w:sz="4" w:space="0" w:color="auto"/>
                </w:tcBorders>
                <w:vAlign w:val="center"/>
              </w:tcPr>
              <w:p w14:paraId="17F846BB" w14:textId="77777777" w:rsidR="007E7472" w:rsidRDefault="00C8327E">
                <w:pPr>
                  <w:jc w:val="right"/>
                </w:pPr>
              </w:p>
            </w:tc>
            <w:tc>
              <w:tcPr>
                <w:tcW w:w="600" w:type="pct"/>
                <w:tcBorders>
                  <w:top w:val="single" w:sz="4" w:space="0" w:color="auto"/>
                  <w:left w:val="single" w:sz="4" w:space="0" w:color="auto"/>
                  <w:bottom w:val="single" w:sz="4" w:space="0" w:color="auto"/>
                  <w:right w:val="single" w:sz="4" w:space="0" w:color="auto"/>
                </w:tcBorders>
                <w:vAlign w:val="center"/>
              </w:tcPr>
              <w:p w14:paraId="2ABE289C" w14:textId="77777777" w:rsidR="007E7472" w:rsidRDefault="00C8327E">
                <w:pPr>
                  <w:jc w:val="right"/>
                </w:pPr>
              </w:p>
            </w:tc>
            <w:tc>
              <w:tcPr>
                <w:tcW w:w="585" w:type="pct"/>
                <w:tcBorders>
                  <w:top w:val="single" w:sz="4" w:space="0" w:color="auto"/>
                  <w:left w:val="single" w:sz="4" w:space="0" w:color="auto"/>
                  <w:bottom w:val="single" w:sz="4" w:space="0" w:color="auto"/>
                  <w:right w:val="single" w:sz="4" w:space="0" w:color="auto"/>
                </w:tcBorders>
                <w:vAlign w:val="center"/>
              </w:tcPr>
              <w:p w14:paraId="5C28B6BF" w14:textId="77777777" w:rsidR="007E7472" w:rsidRDefault="00C8327E">
                <w:pPr>
                  <w:jc w:val="right"/>
                </w:pPr>
              </w:p>
            </w:tc>
            <w:tc>
              <w:tcPr>
                <w:tcW w:w="750" w:type="pct"/>
                <w:tcBorders>
                  <w:top w:val="single" w:sz="4" w:space="0" w:color="auto"/>
                  <w:left w:val="single" w:sz="4" w:space="0" w:color="auto"/>
                  <w:bottom w:val="single" w:sz="4" w:space="0" w:color="auto"/>
                  <w:right w:val="single" w:sz="4" w:space="0" w:color="auto"/>
                </w:tcBorders>
                <w:vAlign w:val="center"/>
              </w:tcPr>
              <w:p w14:paraId="20F7A191" w14:textId="77777777" w:rsidR="007E7472" w:rsidRDefault="00EC1269">
                <w:pPr>
                  <w:jc w:val="right"/>
                </w:pPr>
                <w:r>
                  <w:t>61,740</w:t>
                </w:r>
              </w:p>
            </w:tc>
          </w:tr>
          <w:tr w:rsidR="007E7472" w14:paraId="3F03DAC8" w14:textId="77777777">
            <w:trPr>
              <w:cantSplit/>
            </w:trPr>
            <w:tc>
              <w:tcPr>
                <w:tcW w:w="640" w:type="pct"/>
                <w:tcBorders>
                  <w:top w:val="single" w:sz="4" w:space="0" w:color="auto"/>
                  <w:left w:val="single" w:sz="4" w:space="0" w:color="auto"/>
                  <w:bottom w:val="single" w:sz="4" w:space="0" w:color="auto"/>
                  <w:right w:val="single" w:sz="4" w:space="0" w:color="auto"/>
                </w:tcBorders>
                <w:vAlign w:val="center"/>
              </w:tcPr>
              <w:p w14:paraId="6B1B3052" w14:textId="77777777" w:rsidR="007E7472" w:rsidRDefault="00EC1269">
                <w:pPr>
                  <w:jc w:val="both"/>
                </w:pPr>
                <w:r>
                  <w:rPr>
                    <w:rFonts w:hint="eastAsia"/>
                  </w:rPr>
                  <w:t>有限售条件股份合计</w:t>
                </w:r>
              </w:p>
            </w:tc>
            <w:tc>
              <w:tcPr>
                <w:tcW w:w="727" w:type="pct"/>
                <w:tcBorders>
                  <w:top w:val="single" w:sz="4" w:space="0" w:color="auto"/>
                  <w:left w:val="single" w:sz="4" w:space="0" w:color="auto"/>
                  <w:bottom w:val="single" w:sz="4" w:space="0" w:color="auto"/>
                  <w:right w:val="single" w:sz="4" w:space="0" w:color="auto"/>
                </w:tcBorders>
                <w:vAlign w:val="center"/>
              </w:tcPr>
              <w:p w14:paraId="0D19BBB8" w14:textId="77777777" w:rsidR="007E7472" w:rsidRDefault="00EC1269">
                <w:pPr>
                  <w:jc w:val="right"/>
                </w:pPr>
                <w:r>
                  <w:t>61,740</w:t>
                </w:r>
              </w:p>
            </w:tc>
            <w:tc>
              <w:tcPr>
                <w:tcW w:w="553" w:type="pct"/>
                <w:tcBorders>
                  <w:top w:val="single" w:sz="4" w:space="0" w:color="auto"/>
                  <w:left w:val="single" w:sz="4" w:space="0" w:color="auto"/>
                  <w:bottom w:val="single" w:sz="4" w:space="0" w:color="auto"/>
                  <w:right w:val="single" w:sz="4" w:space="0" w:color="auto"/>
                </w:tcBorders>
                <w:vAlign w:val="center"/>
              </w:tcPr>
              <w:p w14:paraId="2F43341F" w14:textId="77777777" w:rsidR="007E7472" w:rsidRDefault="00C8327E">
                <w:pPr>
                  <w:jc w:val="right"/>
                </w:pPr>
              </w:p>
            </w:tc>
            <w:tc>
              <w:tcPr>
                <w:tcW w:w="553" w:type="pct"/>
                <w:tcBorders>
                  <w:top w:val="single" w:sz="4" w:space="0" w:color="auto"/>
                  <w:left w:val="single" w:sz="4" w:space="0" w:color="auto"/>
                  <w:bottom w:val="single" w:sz="4" w:space="0" w:color="auto"/>
                  <w:right w:val="single" w:sz="4" w:space="0" w:color="auto"/>
                </w:tcBorders>
                <w:vAlign w:val="center"/>
              </w:tcPr>
              <w:p w14:paraId="40335E88" w14:textId="77777777" w:rsidR="007E7472" w:rsidRDefault="00C8327E">
                <w:pPr>
                  <w:jc w:val="right"/>
                </w:pPr>
              </w:p>
            </w:tc>
            <w:tc>
              <w:tcPr>
                <w:tcW w:w="592" w:type="pct"/>
                <w:tcBorders>
                  <w:top w:val="single" w:sz="4" w:space="0" w:color="auto"/>
                  <w:left w:val="single" w:sz="4" w:space="0" w:color="auto"/>
                  <w:bottom w:val="single" w:sz="4" w:space="0" w:color="auto"/>
                  <w:right w:val="single" w:sz="4" w:space="0" w:color="auto"/>
                </w:tcBorders>
                <w:vAlign w:val="center"/>
              </w:tcPr>
              <w:p w14:paraId="0DBE5602" w14:textId="77777777" w:rsidR="007E7472" w:rsidRDefault="00C8327E">
                <w:pPr>
                  <w:jc w:val="right"/>
                </w:pPr>
              </w:p>
            </w:tc>
            <w:tc>
              <w:tcPr>
                <w:tcW w:w="600" w:type="pct"/>
                <w:tcBorders>
                  <w:top w:val="single" w:sz="4" w:space="0" w:color="auto"/>
                  <w:left w:val="single" w:sz="4" w:space="0" w:color="auto"/>
                  <w:bottom w:val="single" w:sz="4" w:space="0" w:color="auto"/>
                  <w:right w:val="single" w:sz="4" w:space="0" w:color="auto"/>
                </w:tcBorders>
                <w:vAlign w:val="center"/>
              </w:tcPr>
              <w:p w14:paraId="59F652F5" w14:textId="77777777" w:rsidR="007E7472" w:rsidRDefault="00C8327E">
                <w:pPr>
                  <w:jc w:val="right"/>
                </w:pPr>
              </w:p>
            </w:tc>
            <w:tc>
              <w:tcPr>
                <w:tcW w:w="585" w:type="pct"/>
                <w:tcBorders>
                  <w:top w:val="single" w:sz="4" w:space="0" w:color="auto"/>
                  <w:left w:val="single" w:sz="4" w:space="0" w:color="auto"/>
                  <w:bottom w:val="single" w:sz="4" w:space="0" w:color="auto"/>
                  <w:right w:val="single" w:sz="4" w:space="0" w:color="auto"/>
                </w:tcBorders>
                <w:vAlign w:val="center"/>
              </w:tcPr>
              <w:p w14:paraId="59D95EBD" w14:textId="77777777" w:rsidR="007E7472" w:rsidRDefault="00C8327E">
                <w:pPr>
                  <w:jc w:val="right"/>
                </w:pPr>
              </w:p>
            </w:tc>
            <w:tc>
              <w:tcPr>
                <w:tcW w:w="750" w:type="pct"/>
                <w:tcBorders>
                  <w:top w:val="single" w:sz="4" w:space="0" w:color="auto"/>
                  <w:left w:val="single" w:sz="4" w:space="0" w:color="auto"/>
                  <w:bottom w:val="single" w:sz="4" w:space="0" w:color="auto"/>
                  <w:right w:val="single" w:sz="4" w:space="0" w:color="auto"/>
                </w:tcBorders>
                <w:vAlign w:val="center"/>
              </w:tcPr>
              <w:p w14:paraId="03145B6B" w14:textId="77777777" w:rsidR="007E7472" w:rsidRDefault="00EC1269">
                <w:pPr>
                  <w:jc w:val="right"/>
                </w:pPr>
                <w:r>
                  <w:t>61,740</w:t>
                </w:r>
              </w:p>
            </w:tc>
          </w:tr>
          <w:tr w:rsidR="007E7472" w14:paraId="22F64055" w14:textId="77777777">
            <w:trPr>
              <w:cantSplit/>
            </w:trPr>
            <w:tc>
              <w:tcPr>
                <w:tcW w:w="640" w:type="pct"/>
                <w:tcBorders>
                  <w:top w:val="single" w:sz="4" w:space="0" w:color="auto"/>
                  <w:left w:val="single" w:sz="4" w:space="0" w:color="auto"/>
                  <w:bottom w:val="single" w:sz="4" w:space="0" w:color="auto"/>
                  <w:right w:val="single" w:sz="4" w:space="0" w:color="auto"/>
                </w:tcBorders>
                <w:vAlign w:val="center"/>
              </w:tcPr>
              <w:p w14:paraId="11ED0C5E" w14:textId="77777777" w:rsidR="007E7472" w:rsidRDefault="00EC1269">
                <w:pPr>
                  <w:jc w:val="both"/>
                </w:pPr>
                <w:r>
                  <w:rPr>
                    <w:rFonts w:hint="eastAsia"/>
                  </w:rPr>
                  <w:t>无限售条件股份</w:t>
                </w:r>
              </w:p>
            </w:tc>
            <w:tc>
              <w:tcPr>
                <w:tcW w:w="727" w:type="pct"/>
                <w:tcBorders>
                  <w:top w:val="single" w:sz="4" w:space="0" w:color="auto"/>
                  <w:left w:val="single" w:sz="4" w:space="0" w:color="auto"/>
                  <w:bottom w:val="single" w:sz="4" w:space="0" w:color="auto"/>
                  <w:right w:val="single" w:sz="4" w:space="0" w:color="auto"/>
                </w:tcBorders>
                <w:vAlign w:val="center"/>
              </w:tcPr>
              <w:p w14:paraId="4E00373B" w14:textId="77777777" w:rsidR="007E7472" w:rsidRDefault="00C8327E">
                <w:pPr>
                  <w:jc w:val="right"/>
                </w:pPr>
              </w:p>
            </w:tc>
            <w:tc>
              <w:tcPr>
                <w:tcW w:w="553" w:type="pct"/>
                <w:tcBorders>
                  <w:top w:val="single" w:sz="4" w:space="0" w:color="auto"/>
                  <w:left w:val="single" w:sz="4" w:space="0" w:color="auto"/>
                  <w:bottom w:val="single" w:sz="4" w:space="0" w:color="auto"/>
                  <w:right w:val="single" w:sz="4" w:space="0" w:color="auto"/>
                </w:tcBorders>
                <w:vAlign w:val="center"/>
              </w:tcPr>
              <w:p w14:paraId="7953BE67" w14:textId="77777777" w:rsidR="007E7472" w:rsidRDefault="00C8327E">
                <w:pPr>
                  <w:jc w:val="right"/>
                </w:pPr>
              </w:p>
            </w:tc>
            <w:tc>
              <w:tcPr>
                <w:tcW w:w="553" w:type="pct"/>
                <w:tcBorders>
                  <w:top w:val="single" w:sz="4" w:space="0" w:color="auto"/>
                  <w:left w:val="single" w:sz="4" w:space="0" w:color="auto"/>
                  <w:bottom w:val="single" w:sz="4" w:space="0" w:color="auto"/>
                  <w:right w:val="single" w:sz="4" w:space="0" w:color="auto"/>
                </w:tcBorders>
                <w:vAlign w:val="center"/>
              </w:tcPr>
              <w:p w14:paraId="1CBC6BCF" w14:textId="77777777" w:rsidR="007E7472" w:rsidRDefault="00C8327E">
                <w:pPr>
                  <w:jc w:val="right"/>
                </w:pPr>
              </w:p>
            </w:tc>
            <w:tc>
              <w:tcPr>
                <w:tcW w:w="592" w:type="pct"/>
                <w:tcBorders>
                  <w:top w:val="single" w:sz="4" w:space="0" w:color="auto"/>
                  <w:left w:val="single" w:sz="4" w:space="0" w:color="auto"/>
                  <w:bottom w:val="single" w:sz="4" w:space="0" w:color="auto"/>
                  <w:right w:val="single" w:sz="4" w:space="0" w:color="auto"/>
                </w:tcBorders>
                <w:vAlign w:val="center"/>
              </w:tcPr>
              <w:p w14:paraId="03809761" w14:textId="77777777" w:rsidR="007E7472" w:rsidRDefault="00C8327E">
                <w:pPr>
                  <w:jc w:val="right"/>
                </w:pPr>
              </w:p>
            </w:tc>
            <w:tc>
              <w:tcPr>
                <w:tcW w:w="600" w:type="pct"/>
                <w:tcBorders>
                  <w:top w:val="single" w:sz="4" w:space="0" w:color="auto"/>
                  <w:left w:val="single" w:sz="4" w:space="0" w:color="auto"/>
                  <w:bottom w:val="single" w:sz="4" w:space="0" w:color="auto"/>
                  <w:right w:val="single" w:sz="4" w:space="0" w:color="auto"/>
                </w:tcBorders>
                <w:vAlign w:val="center"/>
              </w:tcPr>
              <w:p w14:paraId="773C1A09" w14:textId="77777777" w:rsidR="007E7472" w:rsidRDefault="00C8327E">
                <w:pPr>
                  <w:jc w:val="right"/>
                </w:pPr>
              </w:p>
            </w:tc>
            <w:tc>
              <w:tcPr>
                <w:tcW w:w="585" w:type="pct"/>
                <w:tcBorders>
                  <w:top w:val="single" w:sz="4" w:space="0" w:color="auto"/>
                  <w:left w:val="single" w:sz="4" w:space="0" w:color="auto"/>
                  <w:bottom w:val="single" w:sz="4" w:space="0" w:color="auto"/>
                  <w:right w:val="single" w:sz="4" w:space="0" w:color="auto"/>
                </w:tcBorders>
                <w:vAlign w:val="center"/>
              </w:tcPr>
              <w:p w14:paraId="57BFB524" w14:textId="77777777" w:rsidR="007E7472" w:rsidRDefault="00C8327E">
                <w:pPr>
                  <w:jc w:val="right"/>
                </w:pPr>
              </w:p>
            </w:tc>
            <w:tc>
              <w:tcPr>
                <w:tcW w:w="750" w:type="pct"/>
                <w:tcBorders>
                  <w:top w:val="single" w:sz="4" w:space="0" w:color="auto"/>
                  <w:left w:val="single" w:sz="4" w:space="0" w:color="auto"/>
                  <w:bottom w:val="single" w:sz="4" w:space="0" w:color="auto"/>
                  <w:right w:val="single" w:sz="4" w:space="0" w:color="auto"/>
                </w:tcBorders>
                <w:vAlign w:val="center"/>
              </w:tcPr>
              <w:p w14:paraId="7095193E" w14:textId="77777777" w:rsidR="007E7472" w:rsidRDefault="00C8327E">
                <w:pPr>
                  <w:jc w:val="right"/>
                </w:pPr>
              </w:p>
            </w:tc>
          </w:tr>
          <w:tr w:rsidR="007E7472" w14:paraId="078CAB16" w14:textId="77777777">
            <w:trPr>
              <w:cantSplit/>
            </w:trPr>
            <w:tc>
              <w:tcPr>
                <w:tcW w:w="640" w:type="pct"/>
                <w:tcBorders>
                  <w:top w:val="single" w:sz="4" w:space="0" w:color="auto"/>
                  <w:left w:val="single" w:sz="4" w:space="0" w:color="auto"/>
                  <w:bottom w:val="single" w:sz="4" w:space="0" w:color="auto"/>
                  <w:right w:val="single" w:sz="4" w:space="0" w:color="auto"/>
                </w:tcBorders>
                <w:vAlign w:val="center"/>
              </w:tcPr>
              <w:p w14:paraId="5C0ECA6E" w14:textId="77777777" w:rsidR="007E7472" w:rsidRDefault="00EC1269">
                <w:pPr>
                  <w:jc w:val="both"/>
                </w:pPr>
                <w:r>
                  <w:rPr>
                    <w:rFonts w:hint="eastAsia"/>
                  </w:rPr>
                  <w:t>人民币普通股</w:t>
                </w:r>
              </w:p>
            </w:tc>
            <w:tc>
              <w:tcPr>
                <w:tcW w:w="727" w:type="pct"/>
                <w:tcBorders>
                  <w:top w:val="single" w:sz="4" w:space="0" w:color="auto"/>
                  <w:left w:val="single" w:sz="4" w:space="0" w:color="auto"/>
                  <w:bottom w:val="single" w:sz="4" w:space="0" w:color="auto"/>
                  <w:right w:val="single" w:sz="4" w:space="0" w:color="auto"/>
                </w:tcBorders>
                <w:vAlign w:val="center"/>
              </w:tcPr>
              <w:p w14:paraId="3E78B7BA" w14:textId="77777777" w:rsidR="007E7472" w:rsidRDefault="00EC1269">
                <w:pPr>
                  <w:jc w:val="right"/>
                </w:pPr>
                <w:r>
                  <w:t>2,986,964</w:t>
                </w:r>
              </w:p>
            </w:tc>
            <w:tc>
              <w:tcPr>
                <w:tcW w:w="553" w:type="pct"/>
                <w:tcBorders>
                  <w:top w:val="single" w:sz="4" w:space="0" w:color="auto"/>
                  <w:left w:val="single" w:sz="4" w:space="0" w:color="auto"/>
                  <w:bottom w:val="single" w:sz="4" w:space="0" w:color="auto"/>
                  <w:right w:val="single" w:sz="4" w:space="0" w:color="auto"/>
                </w:tcBorders>
                <w:vAlign w:val="center"/>
              </w:tcPr>
              <w:p w14:paraId="382D2546" w14:textId="77777777" w:rsidR="007E7472" w:rsidRDefault="00C8327E">
                <w:pPr>
                  <w:jc w:val="right"/>
                </w:pPr>
              </w:p>
            </w:tc>
            <w:tc>
              <w:tcPr>
                <w:tcW w:w="553" w:type="pct"/>
                <w:tcBorders>
                  <w:top w:val="single" w:sz="4" w:space="0" w:color="auto"/>
                  <w:left w:val="single" w:sz="4" w:space="0" w:color="auto"/>
                  <w:bottom w:val="single" w:sz="4" w:space="0" w:color="auto"/>
                  <w:right w:val="single" w:sz="4" w:space="0" w:color="auto"/>
                </w:tcBorders>
                <w:vAlign w:val="center"/>
              </w:tcPr>
              <w:p w14:paraId="36FBCBF1" w14:textId="77777777" w:rsidR="007E7472" w:rsidRDefault="00C8327E">
                <w:pPr>
                  <w:jc w:val="right"/>
                </w:pPr>
              </w:p>
            </w:tc>
            <w:tc>
              <w:tcPr>
                <w:tcW w:w="592" w:type="pct"/>
                <w:tcBorders>
                  <w:top w:val="single" w:sz="4" w:space="0" w:color="auto"/>
                  <w:left w:val="single" w:sz="4" w:space="0" w:color="auto"/>
                  <w:bottom w:val="single" w:sz="4" w:space="0" w:color="auto"/>
                  <w:right w:val="single" w:sz="4" w:space="0" w:color="auto"/>
                </w:tcBorders>
                <w:vAlign w:val="center"/>
              </w:tcPr>
              <w:p w14:paraId="74CBAA66" w14:textId="77777777" w:rsidR="007E7472" w:rsidRDefault="00C8327E">
                <w:pPr>
                  <w:jc w:val="right"/>
                </w:pPr>
              </w:p>
            </w:tc>
            <w:tc>
              <w:tcPr>
                <w:tcW w:w="600" w:type="pct"/>
                <w:tcBorders>
                  <w:top w:val="single" w:sz="4" w:space="0" w:color="auto"/>
                  <w:left w:val="single" w:sz="4" w:space="0" w:color="auto"/>
                  <w:bottom w:val="single" w:sz="4" w:space="0" w:color="auto"/>
                  <w:right w:val="single" w:sz="4" w:space="0" w:color="auto"/>
                </w:tcBorders>
                <w:vAlign w:val="center"/>
              </w:tcPr>
              <w:p w14:paraId="445500B1" w14:textId="77777777" w:rsidR="007E7472" w:rsidRDefault="00EC1269">
                <w:pPr>
                  <w:jc w:val="right"/>
                </w:pPr>
                <w:r>
                  <w:t>12,657</w:t>
                </w:r>
              </w:p>
            </w:tc>
            <w:tc>
              <w:tcPr>
                <w:tcW w:w="585" w:type="pct"/>
                <w:tcBorders>
                  <w:top w:val="single" w:sz="4" w:space="0" w:color="auto"/>
                  <w:left w:val="single" w:sz="4" w:space="0" w:color="auto"/>
                  <w:bottom w:val="single" w:sz="4" w:space="0" w:color="auto"/>
                  <w:right w:val="single" w:sz="4" w:space="0" w:color="auto"/>
                </w:tcBorders>
                <w:vAlign w:val="center"/>
              </w:tcPr>
              <w:p w14:paraId="0C086709" w14:textId="77777777" w:rsidR="007E7472" w:rsidRDefault="00EC1269">
                <w:pPr>
                  <w:jc w:val="right"/>
                </w:pPr>
                <w:r>
                  <w:t>12,657</w:t>
                </w:r>
              </w:p>
            </w:tc>
            <w:tc>
              <w:tcPr>
                <w:tcW w:w="750" w:type="pct"/>
                <w:tcBorders>
                  <w:top w:val="single" w:sz="4" w:space="0" w:color="auto"/>
                  <w:left w:val="single" w:sz="4" w:space="0" w:color="auto"/>
                  <w:bottom w:val="single" w:sz="4" w:space="0" w:color="auto"/>
                  <w:right w:val="single" w:sz="4" w:space="0" w:color="auto"/>
                </w:tcBorders>
                <w:vAlign w:val="center"/>
              </w:tcPr>
              <w:p w14:paraId="39658ADA" w14:textId="77777777" w:rsidR="007E7472" w:rsidRDefault="00EC1269">
                <w:pPr>
                  <w:jc w:val="right"/>
                </w:pPr>
                <w:r>
                  <w:t>2,999,621</w:t>
                </w:r>
              </w:p>
            </w:tc>
          </w:tr>
          <w:tr w:rsidR="007E7472" w14:paraId="66795DBE" w14:textId="77777777">
            <w:trPr>
              <w:cantSplit/>
            </w:trPr>
            <w:tc>
              <w:tcPr>
                <w:tcW w:w="640" w:type="pct"/>
                <w:tcBorders>
                  <w:top w:val="single" w:sz="4" w:space="0" w:color="auto"/>
                  <w:left w:val="single" w:sz="4" w:space="0" w:color="auto"/>
                  <w:bottom w:val="single" w:sz="4" w:space="0" w:color="auto"/>
                  <w:right w:val="single" w:sz="4" w:space="0" w:color="auto"/>
                </w:tcBorders>
                <w:vAlign w:val="center"/>
              </w:tcPr>
              <w:p w14:paraId="3A8C0EF5" w14:textId="77777777" w:rsidR="007E7472" w:rsidRDefault="00EC1269">
                <w:pPr>
                  <w:jc w:val="both"/>
                </w:pPr>
                <w:r>
                  <w:rPr>
                    <w:rFonts w:hint="eastAsia"/>
                  </w:rPr>
                  <w:t>境外上市外资股</w:t>
                </w:r>
              </w:p>
            </w:tc>
            <w:tc>
              <w:tcPr>
                <w:tcW w:w="727" w:type="pct"/>
                <w:tcBorders>
                  <w:top w:val="single" w:sz="4" w:space="0" w:color="auto"/>
                  <w:left w:val="single" w:sz="4" w:space="0" w:color="auto"/>
                  <w:bottom w:val="single" w:sz="4" w:space="0" w:color="auto"/>
                  <w:right w:val="single" w:sz="4" w:space="0" w:color="auto"/>
                </w:tcBorders>
                <w:vAlign w:val="center"/>
              </w:tcPr>
              <w:p w14:paraId="2A26AE0A" w14:textId="77777777" w:rsidR="007E7472" w:rsidRDefault="00EC1269">
                <w:pPr>
                  <w:jc w:val="right"/>
                </w:pPr>
                <w:r>
                  <w:t>1,900,000</w:t>
                </w:r>
              </w:p>
            </w:tc>
            <w:tc>
              <w:tcPr>
                <w:tcW w:w="553" w:type="pct"/>
                <w:tcBorders>
                  <w:top w:val="single" w:sz="4" w:space="0" w:color="auto"/>
                  <w:left w:val="single" w:sz="4" w:space="0" w:color="auto"/>
                  <w:bottom w:val="single" w:sz="4" w:space="0" w:color="auto"/>
                  <w:right w:val="single" w:sz="4" w:space="0" w:color="auto"/>
                </w:tcBorders>
                <w:vAlign w:val="center"/>
              </w:tcPr>
              <w:p w14:paraId="28EF71BA" w14:textId="77777777" w:rsidR="007E7472" w:rsidRDefault="00C8327E">
                <w:pPr>
                  <w:jc w:val="right"/>
                </w:pPr>
              </w:p>
            </w:tc>
            <w:tc>
              <w:tcPr>
                <w:tcW w:w="553" w:type="pct"/>
                <w:tcBorders>
                  <w:top w:val="single" w:sz="4" w:space="0" w:color="auto"/>
                  <w:left w:val="single" w:sz="4" w:space="0" w:color="auto"/>
                  <w:bottom w:val="single" w:sz="4" w:space="0" w:color="auto"/>
                  <w:right w:val="single" w:sz="4" w:space="0" w:color="auto"/>
                </w:tcBorders>
                <w:vAlign w:val="center"/>
              </w:tcPr>
              <w:p w14:paraId="04EAB9FA" w14:textId="77777777" w:rsidR="007E7472" w:rsidRDefault="00C8327E">
                <w:pPr>
                  <w:jc w:val="right"/>
                </w:pPr>
              </w:p>
            </w:tc>
            <w:tc>
              <w:tcPr>
                <w:tcW w:w="592" w:type="pct"/>
                <w:tcBorders>
                  <w:top w:val="single" w:sz="4" w:space="0" w:color="auto"/>
                  <w:left w:val="single" w:sz="4" w:space="0" w:color="auto"/>
                  <w:bottom w:val="single" w:sz="4" w:space="0" w:color="auto"/>
                  <w:right w:val="single" w:sz="4" w:space="0" w:color="auto"/>
                </w:tcBorders>
                <w:vAlign w:val="center"/>
              </w:tcPr>
              <w:p w14:paraId="3BED5149" w14:textId="77777777" w:rsidR="007E7472" w:rsidRDefault="00C8327E">
                <w:pPr>
                  <w:jc w:val="right"/>
                </w:pPr>
              </w:p>
            </w:tc>
            <w:tc>
              <w:tcPr>
                <w:tcW w:w="600" w:type="pct"/>
                <w:tcBorders>
                  <w:top w:val="single" w:sz="4" w:space="0" w:color="auto"/>
                  <w:left w:val="single" w:sz="4" w:space="0" w:color="auto"/>
                  <w:bottom w:val="single" w:sz="4" w:space="0" w:color="auto"/>
                  <w:right w:val="single" w:sz="4" w:space="0" w:color="auto"/>
                </w:tcBorders>
                <w:vAlign w:val="center"/>
              </w:tcPr>
              <w:p w14:paraId="1A543078" w14:textId="77777777" w:rsidR="007E7472" w:rsidRDefault="00C8327E">
                <w:pPr>
                  <w:jc w:val="right"/>
                </w:pPr>
              </w:p>
            </w:tc>
            <w:tc>
              <w:tcPr>
                <w:tcW w:w="585" w:type="pct"/>
                <w:tcBorders>
                  <w:top w:val="single" w:sz="4" w:space="0" w:color="auto"/>
                  <w:left w:val="single" w:sz="4" w:space="0" w:color="auto"/>
                  <w:bottom w:val="single" w:sz="4" w:space="0" w:color="auto"/>
                  <w:right w:val="single" w:sz="4" w:space="0" w:color="auto"/>
                </w:tcBorders>
                <w:vAlign w:val="center"/>
              </w:tcPr>
              <w:p w14:paraId="2AD421FE" w14:textId="77777777" w:rsidR="007E7472" w:rsidRDefault="00C8327E">
                <w:pPr>
                  <w:jc w:val="right"/>
                </w:pPr>
              </w:p>
            </w:tc>
            <w:tc>
              <w:tcPr>
                <w:tcW w:w="750" w:type="pct"/>
                <w:tcBorders>
                  <w:top w:val="single" w:sz="4" w:space="0" w:color="auto"/>
                  <w:left w:val="single" w:sz="4" w:space="0" w:color="auto"/>
                  <w:bottom w:val="single" w:sz="4" w:space="0" w:color="auto"/>
                  <w:right w:val="single" w:sz="4" w:space="0" w:color="auto"/>
                </w:tcBorders>
                <w:vAlign w:val="center"/>
              </w:tcPr>
              <w:p w14:paraId="2728E22B" w14:textId="77777777" w:rsidR="007E7472" w:rsidRDefault="00EC1269">
                <w:pPr>
                  <w:jc w:val="right"/>
                </w:pPr>
                <w:r>
                  <w:t>1,900,000</w:t>
                </w:r>
              </w:p>
            </w:tc>
          </w:tr>
          <w:tr w:rsidR="007E7472" w14:paraId="0D49D894" w14:textId="77777777">
            <w:trPr>
              <w:cantSplit/>
            </w:trPr>
            <w:tc>
              <w:tcPr>
                <w:tcW w:w="640" w:type="pct"/>
                <w:tcBorders>
                  <w:top w:val="single" w:sz="4" w:space="0" w:color="auto"/>
                  <w:left w:val="single" w:sz="4" w:space="0" w:color="auto"/>
                  <w:bottom w:val="single" w:sz="4" w:space="0" w:color="auto"/>
                  <w:right w:val="single" w:sz="4" w:space="0" w:color="auto"/>
                </w:tcBorders>
                <w:vAlign w:val="center"/>
              </w:tcPr>
              <w:p w14:paraId="590E1EDC" w14:textId="77777777" w:rsidR="007E7472" w:rsidRDefault="00EC1269">
                <w:pPr>
                  <w:jc w:val="both"/>
                </w:pPr>
                <w:r>
                  <w:rPr>
                    <w:rFonts w:hint="eastAsia"/>
                  </w:rPr>
                  <w:t>无限售条件股份合计</w:t>
                </w:r>
              </w:p>
            </w:tc>
            <w:tc>
              <w:tcPr>
                <w:tcW w:w="727" w:type="pct"/>
                <w:tcBorders>
                  <w:top w:val="single" w:sz="4" w:space="0" w:color="auto"/>
                  <w:left w:val="single" w:sz="4" w:space="0" w:color="auto"/>
                  <w:bottom w:val="single" w:sz="4" w:space="0" w:color="auto"/>
                  <w:right w:val="single" w:sz="4" w:space="0" w:color="auto"/>
                </w:tcBorders>
                <w:vAlign w:val="center"/>
              </w:tcPr>
              <w:p w14:paraId="0DC2B9CA" w14:textId="77777777" w:rsidR="007E7472" w:rsidRDefault="00EC1269">
                <w:pPr>
                  <w:jc w:val="right"/>
                </w:pPr>
                <w:r>
                  <w:t>4,886,964</w:t>
                </w:r>
              </w:p>
            </w:tc>
            <w:tc>
              <w:tcPr>
                <w:tcW w:w="553" w:type="pct"/>
                <w:tcBorders>
                  <w:top w:val="single" w:sz="4" w:space="0" w:color="auto"/>
                  <w:left w:val="single" w:sz="4" w:space="0" w:color="auto"/>
                  <w:bottom w:val="single" w:sz="4" w:space="0" w:color="auto"/>
                  <w:right w:val="single" w:sz="4" w:space="0" w:color="auto"/>
                </w:tcBorders>
                <w:vAlign w:val="center"/>
              </w:tcPr>
              <w:p w14:paraId="025E2206" w14:textId="77777777" w:rsidR="007E7472" w:rsidRDefault="00C8327E">
                <w:pPr>
                  <w:jc w:val="right"/>
                </w:pPr>
              </w:p>
            </w:tc>
            <w:tc>
              <w:tcPr>
                <w:tcW w:w="553" w:type="pct"/>
                <w:tcBorders>
                  <w:top w:val="single" w:sz="4" w:space="0" w:color="auto"/>
                  <w:left w:val="single" w:sz="4" w:space="0" w:color="auto"/>
                  <w:bottom w:val="single" w:sz="4" w:space="0" w:color="auto"/>
                  <w:right w:val="single" w:sz="4" w:space="0" w:color="auto"/>
                </w:tcBorders>
                <w:vAlign w:val="center"/>
              </w:tcPr>
              <w:p w14:paraId="704BF706" w14:textId="77777777" w:rsidR="007E7472" w:rsidRDefault="00C8327E">
                <w:pPr>
                  <w:jc w:val="right"/>
                </w:pPr>
              </w:p>
            </w:tc>
            <w:tc>
              <w:tcPr>
                <w:tcW w:w="592" w:type="pct"/>
                <w:tcBorders>
                  <w:top w:val="single" w:sz="4" w:space="0" w:color="auto"/>
                  <w:left w:val="single" w:sz="4" w:space="0" w:color="auto"/>
                  <w:bottom w:val="single" w:sz="4" w:space="0" w:color="auto"/>
                  <w:right w:val="single" w:sz="4" w:space="0" w:color="auto"/>
                </w:tcBorders>
                <w:vAlign w:val="center"/>
              </w:tcPr>
              <w:p w14:paraId="2D509FE3" w14:textId="77777777" w:rsidR="007E7472" w:rsidRDefault="00C8327E">
                <w:pPr>
                  <w:jc w:val="right"/>
                </w:pPr>
              </w:p>
            </w:tc>
            <w:tc>
              <w:tcPr>
                <w:tcW w:w="600" w:type="pct"/>
                <w:tcBorders>
                  <w:top w:val="single" w:sz="4" w:space="0" w:color="auto"/>
                  <w:left w:val="single" w:sz="4" w:space="0" w:color="auto"/>
                  <w:bottom w:val="single" w:sz="4" w:space="0" w:color="auto"/>
                  <w:right w:val="single" w:sz="4" w:space="0" w:color="auto"/>
                </w:tcBorders>
                <w:vAlign w:val="center"/>
              </w:tcPr>
              <w:p w14:paraId="091297DE" w14:textId="77777777" w:rsidR="007E7472" w:rsidRDefault="00EC1269">
                <w:pPr>
                  <w:jc w:val="right"/>
                </w:pPr>
                <w:r>
                  <w:t>12,657</w:t>
                </w:r>
              </w:p>
            </w:tc>
            <w:tc>
              <w:tcPr>
                <w:tcW w:w="585" w:type="pct"/>
                <w:tcBorders>
                  <w:top w:val="single" w:sz="4" w:space="0" w:color="auto"/>
                  <w:left w:val="single" w:sz="4" w:space="0" w:color="auto"/>
                  <w:bottom w:val="single" w:sz="4" w:space="0" w:color="auto"/>
                  <w:right w:val="single" w:sz="4" w:space="0" w:color="auto"/>
                </w:tcBorders>
                <w:vAlign w:val="center"/>
              </w:tcPr>
              <w:p w14:paraId="2958CF4E" w14:textId="77777777" w:rsidR="007E7472" w:rsidRDefault="00EC1269">
                <w:pPr>
                  <w:jc w:val="right"/>
                </w:pPr>
                <w:r>
                  <w:t>12,657</w:t>
                </w:r>
              </w:p>
            </w:tc>
            <w:tc>
              <w:tcPr>
                <w:tcW w:w="750" w:type="pct"/>
                <w:tcBorders>
                  <w:top w:val="single" w:sz="4" w:space="0" w:color="auto"/>
                  <w:left w:val="single" w:sz="4" w:space="0" w:color="auto"/>
                  <w:bottom w:val="single" w:sz="4" w:space="0" w:color="auto"/>
                  <w:right w:val="single" w:sz="4" w:space="0" w:color="auto"/>
                </w:tcBorders>
                <w:vAlign w:val="center"/>
              </w:tcPr>
              <w:p w14:paraId="4F15AAE4" w14:textId="77777777" w:rsidR="007E7472" w:rsidRDefault="00EC1269">
                <w:pPr>
                  <w:jc w:val="right"/>
                </w:pPr>
                <w:r>
                  <w:t>4,899,621</w:t>
                </w:r>
              </w:p>
            </w:tc>
          </w:tr>
          <w:tr w:rsidR="007E7472" w14:paraId="0FE6C3CD" w14:textId="77777777" w:rsidTr="007E7472">
            <w:trPr>
              <w:cantSplit/>
              <w:trHeight w:val="379"/>
            </w:trPr>
            <w:sdt>
              <w:sdtPr>
                <w:tag w:val="_PLD_0c4dca616a0e4126a03d9e8b2ef3c6bc"/>
                <w:id w:val="995454785"/>
                <w:lock w:val="sdtLocked"/>
              </w:sdtPr>
              <w:sdtEndPr/>
              <w:sdtContent>
                <w:tc>
                  <w:tcPr>
                    <w:tcW w:w="640" w:type="pct"/>
                    <w:tcBorders>
                      <w:top w:val="single" w:sz="4" w:space="0" w:color="auto"/>
                      <w:left w:val="single" w:sz="4" w:space="0" w:color="auto"/>
                      <w:bottom w:val="single" w:sz="4" w:space="0" w:color="auto"/>
                      <w:right w:val="single" w:sz="4" w:space="0" w:color="auto"/>
                    </w:tcBorders>
                    <w:vAlign w:val="center"/>
                  </w:tcPr>
                  <w:p w14:paraId="650660E2" w14:textId="77777777" w:rsidR="007E7472" w:rsidRDefault="00EC1269">
                    <w:pPr>
                      <w:jc w:val="both"/>
                    </w:pPr>
                    <w:r>
                      <w:rPr>
                        <w:rFonts w:hint="eastAsia"/>
                      </w:rPr>
                      <w:t>股份总数</w:t>
                    </w:r>
                  </w:p>
                </w:tc>
              </w:sdtContent>
            </w:sdt>
            <w:tc>
              <w:tcPr>
                <w:tcW w:w="727" w:type="pct"/>
                <w:tcBorders>
                  <w:top w:val="single" w:sz="4" w:space="0" w:color="auto"/>
                  <w:left w:val="single" w:sz="4" w:space="0" w:color="auto"/>
                  <w:bottom w:val="single" w:sz="4" w:space="0" w:color="auto"/>
                  <w:right w:val="single" w:sz="4" w:space="0" w:color="auto"/>
                </w:tcBorders>
                <w:vAlign w:val="center"/>
              </w:tcPr>
              <w:p w14:paraId="40BFA401" w14:textId="77777777" w:rsidR="007E7472" w:rsidRDefault="00EC1269">
                <w:pPr>
                  <w:jc w:val="right"/>
                </w:pPr>
                <w:r>
                  <w:t>4,948,704</w:t>
                </w:r>
              </w:p>
            </w:tc>
            <w:tc>
              <w:tcPr>
                <w:tcW w:w="553" w:type="pct"/>
                <w:tcBorders>
                  <w:top w:val="single" w:sz="4" w:space="0" w:color="auto"/>
                  <w:left w:val="single" w:sz="4" w:space="0" w:color="auto"/>
                  <w:bottom w:val="single" w:sz="4" w:space="0" w:color="auto"/>
                  <w:right w:val="single" w:sz="4" w:space="0" w:color="auto"/>
                </w:tcBorders>
                <w:vAlign w:val="center"/>
              </w:tcPr>
              <w:p w14:paraId="13039567" w14:textId="77777777" w:rsidR="007E7472" w:rsidRDefault="00C8327E">
                <w:pPr>
                  <w:jc w:val="right"/>
                </w:pPr>
              </w:p>
            </w:tc>
            <w:tc>
              <w:tcPr>
                <w:tcW w:w="553" w:type="pct"/>
                <w:tcBorders>
                  <w:top w:val="single" w:sz="4" w:space="0" w:color="auto"/>
                  <w:left w:val="single" w:sz="4" w:space="0" w:color="auto"/>
                  <w:bottom w:val="single" w:sz="4" w:space="0" w:color="auto"/>
                  <w:right w:val="single" w:sz="4" w:space="0" w:color="auto"/>
                </w:tcBorders>
                <w:vAlign w:val="center"/>
              </w:tcPr>
              <w:p w14:paraId="0B875E7F" w14:textId="77777777" w:rsidR="007E7472" w:rsidRDefault="00C8327E">
                <w:pPr>
                  <w:jc w:val="right"/>
                </w:pPr>
              </w:p>
            </w:tc>
            <w:tc>
              <w:tcPr>
                <w:tcW w:w="592" w:type="pct"/>
                <w:tcBorders>
                  <w:top w:val="single" w:sz="4" w:space="0" w:color="auto"/>
                  <w:left w:val="single" w:sz="4" w:space="0" w:color="auto"/>
                  <w:bottom w:val="single" w:sz="4" w:space="0" w:color="auto"/>
                  <w:right w:val="single" w:sz="4" w:space="0" w:color="auto"/>
                </w:tcBorders>
                <w:vAlign w:val="center"/>
              </w:tcPr>
              <w:p w14:paraId="6340EBF3" w14:textId="77777777" w:rsidR="007E7472" w:rsidRDefault="00C8327E">
                <w:pPr>
                  <w:jc w:val="right"/>
                </w:pPr>
              </w:p>
            </w:tc>
            <w:tc>
              <w:tcPr>
                <w:tcW w:w="600" w:type="pct"/>
                <w:tcBorders>
                  <w:top w:val="single" w:sz="4" w:space="0" w:color="auto"/>
                  <w:left w:val="single" w:sz="4" w:space="0" w:color="auto"/>
                  <w:bottom w:val="single" w:sz="4" w:space="0" w:color="auto"/>
                  <w:right w:val="single" w:sz="4" w:space="0" w:color="auto"/>
                </w:tcBorders>
                <w:vAlign w:val="center"/>
              </w:tcPr>
              <w:p w14:paraId="4CA8C3DC" w14:textId="77777777" w:rsidR="007E7472" w:rsidRDefault="00EC1269">
                <w:pPr>
                  <w:jc w:val="right"/>
                </w:pPr>
                <w:r>
                  <w:t>12,657</w:t>
                </w:r>
              </w:p>
            </w:tc>
            <w:tc>
              <w:tcPr>
                <w:tcW w:w="585" w:type="pct"/>
                <w:tcBorders>
                  <w:top w:val="single" w:sz="4" w:space="0" w:color="auto"/>
                  <w:left w:val="single" w:sz="4" w:space="0" w:color="auto"/>
                  <w:bottom w:val="single" w:sz="4" w:space="0" w:color="auto"/>
                  <w:right w:val="single" w:sz="4" w:space="0" w:color="auto"/>
                </w:tcBorders>
                <w:vAlign w:val="center"/>
              </w:tcPr>
              <w:p w14:paraId="016EAF0F" w14:textId="77777777" w:rsidR="007E7472" w:rsidRDefault="00EC1269">
                <w:pPr>
                  <w:jc w:val="right"/>
                </w:pPr>
                <w:r>
                  <w:t>12,657</w:t>
                </w:r>
              </w:p>
            </w:tc>
            <w:tc>
              <w:tcPr>
                <w:tcW w:w="750" w:type="pct"/>
                <w:tcBorders>
                  <w:top w:val="single" w:sz="4" w:space="0" w:color="auto"/>
                  <w:left w:val="single" w:sz="4" w:space="0" w:color="auto"/>
                  <w:bottom w:val="single" w:sz="4" w:space="0" w:color="auto"/>
                  <w:right w:val="single" w:sz="4" w:space="0" w:color="auto"/>
                </w:tcBorders>
                <w:vAlign w:val="center"/>
              </w:tcPr>
              <w:p w14:paraId="0E3E87A7" w14:textId="77777777" w:rsidR="007E7472" w:rsidRDefault="00EC1269">
                <w:pPr>
                  <w:jc w:val="right"/>
                </w:pPr>
                <w:r>
                  <w:t>4,961,361</w:t>
                </w:r>
              </w:p>
            </w:tc>
          </w:tr>
        </w:tbl>
        <w:p w14:paraId="22F23BF2" w14:textId="77777777" w:rsidR="007E7472" w:rsidRDefault="00EC1269">
          <w:pPr>
            <w:spacing w:before="60" w:after="60"/>
          </w:pPr>
          <w:r>
            <w:rPr>
              <w:rFonts w:hint="eastAsia"/>
            </w:rPr>
            <w:t>其他说明：</w:t>
          </w:r>
        </w:p>
        <w:p w14:paraId="41F2720B" w14:textId="77777777" w:rsidR="007E7472" w:rsidRDefault="00EC1269">
          <w:pPr>
            <w:spacing w:before="10" w:after="10" w:line="360" w:lineRule="exact"/>
            <w:ind w:firstLineChars="200" w:firstLine="420"/>
            <w:jc w:val="both"/>
            <w:rPr>
              <w:bCs/>
            </w:rPr>
          </w:pPr>
          <w:r>
            <w:rPr>
              <w:rFonts w:hint="eastAsia"/>
              <w:bCs/>
            </w:rPr>
            <w:t>注：经</w:t>
          </w:r>
          <w:r>
            <w:rPr>
              <w:bCs/>
            </w:rPr>
            <w:t>2023年4月24日召开的公司第八届董事会第二十八次会议审议批准，确认公司2018年A股股票期权激励计划第三个行权期行权条件已成就，截至2023年6月30日，第三个行权期可行权股票期权已全部行权完毕，共行权12,656,840份。本公司总股本由4,948,703,640股增加至4,961,360,480股</w:t>
          </w:r>
          <w:r>
            <w:rPr>
              <w:rFonts w:hint="eastAsia"/>
              <w:bCs/>
            </w:rPr>
            <w:t>。</w:t>
          </w:r>
        </w:p>
      </w:sdtContent>
    </w:sdt>
    <w:p w14:paraId="0D0DD7E5" w14:textId="77777777" w:rsidR="007E7472" w:rsidRDefault="00C8327E"/>
    <w:p w14:paraId="67201759" w14:textId="77777777" w:rsidR="007E7472" w:rsidRDefault="00EC1269" w:rsidP="00162493">
      <w:pPr>
        <w:pStyle w:val="3"/>
        <w:numPr>
          <w:ilvl w:val="0"/>
          <w:numId w:val="62"/>
        </w:numPr>
      </w:pPr>
      <w:r>
        <w:rPr>
          <w:rFonts w:hint="eastAsia"/>
        </w:rPr>
        <w:t>其他权益工具</w:t>
      </w:r>
    </w:p>
    <w:sdt>
      <w:sdtPr>
        <w:rPr>
          <w:rFonts w:ascii="宋体" w:hAnsi="宋体" w:cs="宋体" w:hint="eastAsia"/>
          <w:b w:val="0"/>
          <w:bCs w:val="0"/>
          <w:kern w:val="0"/>
          <w:sz w:val="20"/>
          <w:szCs w:val="24"/>
        </w:rPr>
        <w:alias w:val="模块:其他权益工具"/>
        <w:tag w:val="_GBC_4f862512b6914630932c1857df6db6e4"/>
        <w:id w:val="-1641421906"/>
        <w:lock w:val="sdtLocked"/>
        <w:placeholder>
          <w:docPart w:val="GBC22222222222222222222222222222"/>
        </w:placeholder>
      </w:sdtPr>
      <w:sdtEndPr>
        <w:rPr>
          <w:szCs w:val="21"/>
        </w:rPr>
      </w:sdtEndPr>
      <w:sdtContent>
        <w:p w14:paraId="552CA326" w14:textId="77777777" w:rsidR="007E7472" w:rsidRDefault="00EC1269" w:rsidP="00162493">
          <w:pPr>
            <w:pStyle w:val="4"/>
            <w:numPr>
              <w:ilvl w:val="0"/>
              <w:numId w:val="93"/>
            </w:numPr>
          </w:pPr>
          <w:r>
            <w:rPr>
              <w:rFonts w:hint="eastAsia"/>
            </w:rPr>
            <w:t>期末发行在外的优先股、永续债等其他金融工具基本情况</w:t>
          </w:r>
        </w:p>
        <w:sdt>
          <w:sdtPr>
            <w:alias w:val="是否适用：期末发行在外的优先股、永续债等其他金融工具基本情况[双击切换]"/>
            <w:tag w:val="_GBC_54d54ac45fe745e1aad9be61a846261f"/>
            <w:id w:val="313462527"/>
            <w:lock w:val="sdtLocked"/>
            <w:placeholder>
              <w:docPart w:val="GBC22222222222222222222222222222"/>
            </w:placeholder>
          </w:sdtPr>
          <w:sdtEndPr/>
          <w:sdtContent>
            <w:p w14:paraId="2C7BBF46" w14:textId="77777777" w:rsidR="007E7472" w:rsidRDefault="00EC1269">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2265AB6F" w14:textId="77777777" w:rsidR="007E7472" w:rsidRDefault="00C8327E"/>
        <w:p w14:paraId="316E9459" w14:textId="77777777" w:rsidR="007E7472" w:rsidRDefault="00EC1269" w:rsidP="00162493">
          <w:pPr>
            <w:pStyle w:val="4"/>
            <w:numPr>
              <w:ilvl w:val="0"/>
              <w:numId w:val="93"/>
            </w:numPr>
          </w:pPr>
          <w:r>
            <w:rPr>
              <w:rFonts w:hint="eastAsia"/>
            </w:rPr>
            <w:t>期末发行在外的优先股、永续债等金融工具变动情况表</w:t>
          </w:r>
        </w:p>
        <w:sdt>
          <w:sdtPr>
            <w:alias w:val="是否适用：期末发行在外的优先股、永续债等金融工具变动情况表_其他权益工具[双击切换]"/>
            <w:tag w:val="_GBC_e8c53693e19e485cba80f7cd2a15ab4c"/>
            <w:id w:val="-2012906777"/>
            <w:lock w:val="sdtLocked"/>
            <w:placeholder>
              <w:docPart w:val="GBC22222222222222222222222222222"/>
            </w:placeholder>
          </w:sdtPr>
          <w:sdtEndPr/>
          <w:sdtContent>
            <w:p w14:paraId="7A3DD7B2" w14:textId="77777777" w:rsidR="007E7472" w:rsidRDefault="00EC1269">
              <w:r>
                <w:rPr>
                  <w:rFonts w:hint="eastAsia"/>
                </w:rPr>
                <w:fldChar w:fldCharType="begin"/>
              </w:r>
              <w:r>
                <w:rPr>
                  <w:rFonts w:hint="eastAsia"/>
                </w:rPr>
                <w:instrText xml:space="preserve"> MACROBUTTON  SnrToggleCheckbox √适用 </w:instrText>
              </w:r>
              <w:r>
                <w:rPr>
                  <w:rFonts w:hint="eastAsia"/>
                </w:rPr>
                <w:fldChar w:fldCharType="end"/>
              </w:r>
              <w:r>
                <w:rPr>
                  <w:rFonts w:hint="eastAsia"/>
                </w:rPr>
                <w:fldChar w:fldCharType="begin"/>
              </w:r>
              <w:r>
                <w:rPr>
                  <w:rFonts w:hint="eastAsia"/>
                </w:rPr>
                <w:instrText xml:space="preserve"> MACROBUTTON  SnrToggleCheckbox □不适用 </w:instrText>
              </w:r>
              <w:r>
                <w:rPr>
                  <w:rFonts w:hint="eastAsia"/>
                </w:rPr>
                <w:fldChar w:fldCharType="end"/>
              </w:r>
            </w:p>
          </w:sdtContent>
        </w:sdt>
        <w:p w14:paraId="3188BECD" w14:textId="6E74A90D" w:rsidR="007E7472" w:rsidRDefault="00EC1269">
          <w:pPr>
            <w:jc w:val="right"/>
          </w:pPr>
          <w:r>
            <w:rPr>
              <w:rFonts w:hint="eastAsia"/>
            </w:rPr>
            <w:t>单位：</w:t>
          </w:r>
          <w:sdt>
            <w:sdtPr>
              <w:rPr>
                <w:rFonts w:hint="eastAsia"/>
              </w:rPr>
              <w:alias w:val="单位：财务附注：期末发行在外的优先股、永续债等金融工具变动情况表（其他权益工具）"/>
              <w:tag w:val="_GBC_51d3c8d018b845ab94e8869d86fc9e62"/>
              <w:id w:val="12016627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期末发行在外的优先股、永续债等金融工具变动情况表（其他权益工具）"/>
              <w:tag w:val="_GBC_d1b7e1db232f48c18444ea05ff987879"/>
              <w:id w:val="532765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pPr w:leftFromText="180" w:rightFromText="180" w:vertAnchor="text" w:horzAnchor="margin" w:tblpY="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993"/>
            <w:gridCol w:w="1276"/>
            <w:gridCol w:w="513"/>
            <w:gridCol w:w="545"/>
            <w:gridCol w:w="847"/>
            <w:gridCol w:w="1161"/>
            <w:gridCol w:w="985"/>
            <w:gridCol w:w="1232"/>
          </w:tblGrid>
          <w:tr w:rsidR="007E7472" w14:paraId="46E6A00C" w14:textId="77777777" w:rsidTr="007E7472">
            <w:trPr>
              <w:trHeight w:val="416"/>
            </w:trPr>
            <w:sdt>
              <w:sdtPr>
                <w:rPr>
                  <w:w w:val="92"/>
                </w:rPr>
                <w:tag w:val="_PLD_3e0e6f84e37d485086b05b3ef0c4d78f"/>
                <w:id w:val="1032767984"/>
                <w:lock w:val="sdtLocked"/>
              </w:sdtPr>
              <w:sdtEndPr/>
              <w:sdtContent>
                <w:tc>
                  <w:tcPr>
                    <w:tcW w:w="720" w:type="pct"/>
                    <w:vMerge w:val="restart"/>
                    <w:shd w:val="clear" w:color="auto" w:fill="auto"/>
                    <w:vAlign w:val="center"/>
                  </w:tcPr>
                  <w:p w14:paraId="660C911E" w14:textId="07230157" w:rsidR="007E7472" w:rsidRDefault="00EC1269">
                    <w:pPr>
                      <w:jc w:val="center"/>
                      <w:rPr>
                        <w:w w:val="92"/>
                      </w:rPr>
                    </w:pPr>
                    <w:r>
                      <w:rPr>
                        <w:rFonts w:hint="eastAsia"/>
                        <w:w w:val="92"/>
                      </w:rPr>
                      <w:t>发行在外的金融工具</w:t>
                    </w:r>
                  </w:p>
                </w:tc>
              </w:sdtContent>
            </w:sdt>
            <w:sdt>
              <w:sdtPr>
                <w:rPr>
                  <w:w w:val="92"/>
                </w:rPr>
                <w:tag w:val="_PLD_903b0562622c4a3698e9b65b1f69abae"/>
                <w:id w:val="1747846676"/>
                <w:lock w:val="sdtLocked"/>
              </w:sdtPr>
              <w:sdtEndPr/>
              <w:sdtContent>
                <w:tc>
                  <w:tcPr>
                    <w:tcW w:w="1285" w:type="pct"/>
                    <w:gridSpan w:val="2"/>
                    <w:shd w:val="clear" w:color="auto" w:fill="auto"/>
                    <w:vAlign w:val="center"/>
                  </w:tcPr>
                  <w:p w14:paraId="0B281327" w14:textId="77777777" w:rsidR="007E7472" w:rsidRDefault="00EC1269">
                    <w:pPr>
                      <w:jc w:val="center"/>
                      <w:rPr>
                        <w:w w:val="92"/>
                      </w:rPr>
                    </w:pPr>
                    <w:r>
                      <w:rPr>
                        <w:rFonts w:hint="eastAsia"/>
                        <w:w w:val="92"/>
                      </w:rPr>
                      <w:t>期初</w:t>
                    </w:r>
                  </w:p>
                </w:tc>
              </w:sdtContent>
            </w:sdt>
            <w:sdt>
              <w:sdtPr>
                <w:rPr>
                  <w:w w:val="92"/>
                </w:rPr>
                <w:tag w:val="_PLD_fd88122bcaa44cf58030ce837d1651d5"/>
                <w:id w:val="2025981460"/>
                <w:lock w:val="sdtLocked"/>
              </w:sdtPr>
              <w:sdtEndPr/>
              <w:sdtContent>
                <w:tc>
                  <w:tcPr>
                    <w:tcW w:w="600" w:type="pct"/>
                    <w:gridSpan w:val="2"/>
                    <w:shd w:val="clear" w:color="auto" w:fill="auto"/>
                    <w:vAlign w:val="center"/>
                  </w:tcPr>
                  <w:p w14:paraId="1B737E2F" w14:textId="77777777" w:rsidR="007E7472" w:rsidRDefault="00EC1269">
                    <w:pPr>
                      <w:jc w:val="center"/>
                      <w:rPr>
                        <w:w w:val="92"/>
                      </w:rPr>
                    </w:pPr>
                    <w:r>
                      <w:rPr>
                        <w:rFonts w:hint="eastAsia"/>
                        <w:w w:val="92"/>
                      </w:rPr>
                      <w:t>本期增加</w:t>
                    </w:r>
                  </w:p>
                </w:tc>
              </w:sdtContent>
            </w:sdt>
            <w:sdt>
              <w:sdtPr>
                <w:rPr>
                  <w:w w:val="92"/>
                </w:rPr>
                <w:tag w:val="_PLD_74b91cad66b54154ad74ec67fd76efbe"/>
                <w:id w:val="1820453630"/>
                <w:lock w:val="sdtLocked"/>
              </w:sdtPr>
              <w:sdtEndPr/>
              <w:sdtContent>
                <w:tc>
                  <w:tcPr>
                    <w:tcW w:w="1138" w:type="pct"/>
                    <w:gridSpan w:val="2"/>
                    <w:shd w:val="clear" w:color="auto" w:fill="auto"/>
                    <w:vAlign w:val="center"/>
                  </w:tcPr>
                  <w:p w14:paraId="38BCA1B3" w14:textId="77777777" w:rsidR="007E7472" w:rsidRDefault="00EC1269">
                    <w:pPr>
                      <w:jc w:val="center"/>
                      <w:rPr>
                        <w:w w:val="92"/>
                      </w:rPr>
                    </w:pPr>
                    <w:r>
                      <w:rPr>
                        <w:rFonts w:hint="eastAsia"/>
                        <w:w w:val="92"/>
                      </w:rPr>
                      <w:t>本期减少</w:t>
                    </w:r>
                  </w:p>
                </w:tc>
              </w:sdtContent>
            </w:sdt>
            <w:sdt>
              <w:sdtPr>
                <w:rPr>
                  <w:w w:val="92"/>
                </w:rPr>
                <w:tag w:val="_PLD_35d10d2bfc784a68a424614d2047ccd4"/>
                <w:id w:val="745378028"/>
                <w:lock w:val="sdtLocked"/>
              </w:sdtPr>
              <w:sdtEndPr/>
              <w:sdtContent>
                <w:tc>
                  <w:tcPr>
                    <w:tcW w:w="1256" w:type="pct"/>
                    <w:gridSpan w:val="2"/>
                    <w:shd w:val="clear" w:color="auto" w:fill="auto"/>
                    <w:vAlign w:val="center"/>
                  </w:tcPr>
                  <w:p w14:paraId="37941496" w14:textId="77777777" w:rsidR="007E7472" w:rsidRDefault="00EC1269">
                    <w:pPr>
                      <w:jc w:val="center"/>
                      <w:rPr>
                        <w:w w:val="92"/>
                      </w:rPr>
                    </w:pPr>
                    <w:r>
                      <w:rPr>
                        <w:rFonts w:hint="eastAsia"/>
                        <w:w w:val="92"/>
                      </w:rPr>
                      <w:t>期末</w:t>
                    </w:r>
                  </w:p>
                </w:tc>
              </w:sdtContent>
            </w:sdt>
          </w:tr>
          <w:tr w:rsidR="007E7472" w14:paraId="4A06047D" w14:textId="77777777" w:rsidTr="007E7472">
            <w:trPr>
              <w:trHeight w:val="340"/>
            </w:trPr>
            <w:tc>
              <w:tcPr>
                <w:tcW w:w="720" w:type="pct"/>
                <w:vMerge/>
                <w:shd w:val="clear" w:color="auto" w:fill="auto"/>
                <w:vAlign w:val="center"/>
              </w:tcPr>
              <w:p w14:paraId="1896D93C" w14:textId="77777777" w:rsidR="007E7472" w:rsidRDefault="00C8327E">
                <w:pPr>
                  <w:jc w:val="center"/>
                  <w:rPr>
                    <w:w w:val="92"/>
                  </w:rPr>
                </w:pPr>
              </w:p>
            </w:tc>
            <w:sdt>
              <w:sdtPr>
                <w:rPr>
                  <w:w w:val="92"/>
                </w:rPr>
                <w:tag w:val="_PLD_67ee2e5b20fe47e2920574240ec4bae0"/>
                <w:id w:val="447130690"/>
                <w:lock w:val="sdtLocked"/>
              </w:sdtPr>
              <w:sdtEndPr/>
              <w:sdtContent>
                <w:tc>
                  <w:tcPr>
                    <w:tcW w:w="563" w:type="pct"/>
                    <w:shd w:val="clear" w:color="auto" w:fill="auto"/>
                    <w:vAlign w:val="center"/>
                  </w:tcPr>
                  <w:p w14:paraId="6E188359" w14:textId="77777777" w:rsidR="007E7472" w:rsidRDefault="00EC1269">
                    <w:pPr>
                      <w:jc w:val="center"/>
                      <w:rPr>
                        <w:w w:val="92"/>
                      </w:rPr>
                    </w:pPr>
                    <w:r>
                      <w:rPr>
                        <w:rFonts w:hint="eastAsia"/>
                        <w:w w:val="92"/>
                      </w:rPr>
                      <w:t>数量</w:t>
                    </w:r>
                  </w:p>
                </w:tc>
              </w:sdtContent>
            </w:sdt>
            <w:sdt>
              <w:sdtPr>
                <w:rPr>
                  <w:w w:val="92"/>
                </w:rPr>
                <w:tag w:val="_PLD_6d0220433d65493a85d718d809113628"/>
                <w:id w:val="-1168015939"/>
                <w:lock w:val="sdtLocked"/>
              </w:sdtPr>
              <w:sdtEndPr/>
              <w:sdtContent>
                <w:tc>
                  <w:tcPr>
                    <w:tcW w:w="723" w:type="pct"/>
                    <w:shd w:val="clear" w:color="auto" w:fill="auto"/>
                    <w:vAlign w:val="center"/>
                  </w:tcPr>
                  <w:p w14:paraId="3D73E225" w14:textId="77777777" w:rsidR="007E7472" w:rsidRDefault="00EC1269">
                    <w:pPr>
                      <w:jc w:val="center"/>
                      <w:rPr>
                        <w:w w:val="92"/>
                      </w:rPr>
                    </w:pPr>
                    <w:r>
                      <w:rPr>
                        <w:rFonts w:hint="eastAsia"/>
                        <w:w w:val="92"/>
                      </w:rPr>
                      <w:t>账面价值</w:t>
                    </w:r>
                  </w:p>
                </w:tc>
              </w:sdtContent>
            </w:sdt>
            <w:sdt>
              <w:sdtPr>
                <w:rPr>
                  <w:w w:val="92"/>
                </w:rPr>
                <w:tag w:val="_PLD_e5f9ce4cefe7442e9151ec0470a684ce"/>
                <w:id w:val="117498365"/>
                <w:lock w:val="sdtLocked"/>
              </w:sdtPr>
              <w:sdtEndPr/>
              <w:sdtContent>
                <w:tc>
                  <w:tcPr>
                    <w:tcW w:w="291" w:type="pct"/>
                    <w:shd w:val="clear" w:color="auto" w:fill="auto"/>
                    <w:vAlign w:val="center"/>
                  </w:tcPr>
                  <w:p w14:paraId="21B7862D" w14:textId="77777777" w:rsidR="007E7472" w:rsidRDefault="00EC1269">
                    <w:pPr>
                      <w:jc w:val="center"/>
                      <w:rPr>
                        <w:w w:val="92"/>
                      </w:rPr>
                    </w:pPr>
                    <w:r>
                      <w:rPr>
                        <w:rFonts w:hint="eastAsia"/>
                        <w:w w:val="92"/>
                      </w:rPr>
                      <w:t>数量</w:t>
                    </w:r>
                  </w:p>
                </w:tc>
              </w:sdtContent>
            </w:sdt>
            <w:sdt>
              <w:sdtPr>
                <w:rPr>
                  <w:w w:val="92"/>
                </w:rPr>
                <w:tag w:val="_PLD_18daed53b0344e2abbe426fced4e46e3"/>
                <w:id w:val="62759624"/>
                <w:lock w:val="sdtLocked"/>
              </w:sdtPr>
              <w:sdtEndPr/>
              <w:sdtContent>
                <w:tc>
                  <w:tcPr>
                    <w:tcW w:w="309" w:type="pct"/>
                    <w:shd w:val="clear" w:color="auto" w:fill="auto"/>
                    <w:vAlign w:val="center"/>
                  </w:tcPr>
                  <w:p w14:paraId="18A332EF" w14:textId="77777777" w:rsidR="007E7472" w:rsidRDefault="00EC1269">
                    <w:pPr>
                      <w:jc w:val="center"/>
                      <w:rPr>
                        <w:w w:val="92"/>
                      </w:rPr>
                    </w:pPr>
                    <w:r>
                      <w:rPr>
                        <w:rFonts w:hint="eastAsia"/>
                        <w:w w:val="92"/>
                      </w:rPr>
                      <w:t>账面价值</w:t>
                    </w:r>
                  </w:p>
                </w:tc>
              </w:sdtContent>
            </w:sdt>
            <w:sdt>
              <w:sdtPr>
                <w:rPr>
                  <w:w w:val="92"/>
                </w:rPr>
                <w:tag w:val="_PLD_80d1bf173c3d424ca6a5e203df652bfe"/>
                <w:id w:val="1159185821"/>
                <w:lock w:val="sdtLocked"/>
              </w:sdtPr>
              <w:sdtEndPr/>
              <w:sdtContent>
                <w:tc>
                  <w:tcPr>
                    <w:tcW w:w="480" w:type="pct"/>
                    <w:shd w:val="clear" w:color="auto" w:fill="auto"/>
                    <w:vAlign w:val="center"/>
                  </w:tcPr>
                  <w:p w14:paraId="47E5B259" w14:textId="77777777" w:rsidR="007E7472" w:rsidRDefault="00EC1269">
                    <w:pPr>
                      <w:jc w:val="center"/>
                      <w:rPr>
                        <w:w w:val="92"/>
                      </w:rPr>
                    </w:pPr>
                    <w:r>
                      <w:rPr>
                        <w:rFonts w:hint="eastAsia"/>
                        <w:w w:val="92"/>
                      </w:rPr>
                      <w:t>数量</w:t>
                    </w:r>
                  </w:p>
                </w:tc>
              </w:sdtContent>
            </w:sdt>
            <w:sdt>
              <w:sdtPr>
                <w:rPr>
                  <w:w w:val="92"/>
                </w:rPr>
                <w:tag w:val="_PLD_bbc352b5fb614d588d39ec42b9facf67"/>
                <w:id w:val="2025818800"/>
                <w:lock w:val="sdtLocked"/>
              </w:sdtPr>
              <w:sdtEndPr/>
              <w:sdtContent>
                <w:tc>
                  <w:tcPr>
                    <w:tcW w:w="658" w:type="pct"/>
                    <w:shd w:val="clear" w:color="auto" w:fill="auto"/>
                    <w:vAlign w:val="center"/>
                  </w:tcPr>
                  <w:p w14:paraId="51F7CAA9" w14:textId="77777777" w:rsidR="007E7472" w:rsidRDefault="00EC1269">
                    <w:pPr>
                      <w:jc w:val="center"/>
                      <w:rPr>
                        <w:w w:val="92"/>
                      </w:rPr>
                    </w:pPr>
                    <w:r>
                      <w:rPr>
                        <w:rFonts w:hint="eastAsia"/>
                        <w:w w:val="92"/>
                      </w:rPr>
                      <w:t>账面价值</w:t>
                    </w:r>
                  </w:p>
                </w:tc>
              </w:sdtContent>
            </w:sdt>
            <w:sdt>
              <w:sdtPr>
                <w:rPr>
                  <w:w w:val="92"/>
                </w:rPr>
                <w:tag w:val="_PLD_c397d08facdc4b048a485e1790f164a9"/>
                <w:id w:val="-721368274"/>
                <w:lock w:val="sdtLocked"/>
              </w:sdtPr>
              <w:sdtEndPr/>
              <w:sdtContent>
                <w:tc>
                  <w:tcPr>
                    <w:tcW w:w="558" w:type="pct"/>
                    <w:shd w:val="clear" w:color="auto" w:fill="auto"/>
                    <w:vAlign w:val="center"/>
                  </w:tcPr>
                  <w:p w14:paraId="2A26966E" w14:textId="77777777" w:rsidR="007E7472" w:rsidRDefault="00EC1269">
                    <w:pPr>
                      <w:jc w:val="center"/>
                      <w:rPr>
                        <w:w w:val="92"/>
                      </w:rPr>
                    </w:pPr>
                    <w:r>
                      <w:rPr>
                        <w:rFonts w:hint="eastAsia"/>
                        <w:w w:val="92"/>
                      </w:rPr>
                      <w:t>数量</w:t>
                    </w:r>
                  </w:p>
                </w:tc>
              </w:sdtContent>
            </w:sdt>
            <w:sdt>
              <w:sdtPr>
                <w:rPr>
                  <w:w w:val="92"/>
                </w:rPr>
                <w:tag w:val="_PLD_fa9501b27ffb47a2974cdc54edda39da"/>
                <w:id w:val="-91547796"/>
                <w:lock w:val="sdtLocked"/>
              </w:sdtPr>
              <w:sdtEndPr/>
              <w:sdtContent>
                <w:tc>
                  <w:tcPr>
                    <w:tcW w:w="698" w:type="pct"/>
                    <w:shd w:val="clear" w:color="auto" w:fill="auto"/>
                    <w:vAlign w:val="center"/>
                  </w:tcPr>
                  <w:p w14:paraId="2565B60E" w14:textId="77777777" w:rsidR="007E7472" w:rsidRDefault="00EC1269">
                    <w:pPr>
                      <w:jc w:val="center"/>
                      <w:rPr>
                        <w:w w:val="92"/>
                      </w:rPr>
                    </w:pPr>
                    <w:r>
                      <w:rPr>
                        <w:rFonts w:hint="eastAsia"/>
                        <w:w w:val="92"/>
                      </w:rPr>
                      <w:t>账面价值</w:t>
                    </w:r>
                  </w:p>
                </w:tc>
              </w:sdtContent>
            </w:sdt>
          </w:tr>
          <w:sdt>
            <w:sdtPr>
              <w:rPr>
                <w:rFonts w:hint="eastAsia"/>
                <w:w w:val="92"/>
              </w:rPr>
              <w:alias w:val="其他权益工具下发行在外的优先股、永续债等金融工具变动情况表明细"/>
              <w:tag w:val="_GBC_20f230eab0284a7693900d7a33813e89"/>
              <w:id w:val="-769239837"/>
              <w:lock w:val="sdtLocked"/>
            </w:sdtPr>
            <w:sdtEndPr>
              <w:rPr>
                <w:rFonts w:hint="default"/>
              </w:rPr>
            </w:sdtEndPr>
            <w:sdtContent>
              <w:tr w:rsidR="007E7472" w14:paraId="56A7762B" w14:textId="77777777" w:rsidTr="007E7472">
                <w:trPr>
                  <w:trHeight w:val="340"/>
                </w:trPr>
                <w:tc>
                  <w:tcPr>
                    <w:tcW w:w="720" w:type="pct"/>
                    <w:shd w:val="clear" w:color="auto" w:fill="auto"/>
                  </w:tcPr>
                  <w:p w14:paraId="63E6FB3C" w14:textId="77777777" w:rsidR="007E7472" w:rsidRDefault="00EC1269">
                    <w:pPr>
                      <w:rPr>
                        <w:w w:val="92"/>
                      </w:rPr>
                    </w:pPr>
                    <w:r>
                      <w:rPr>
                        <w:rFonts w:hint="eastAsia"/>
                        <w:w w:val="92"/>
                      </w:rPr>
                      <w:t>招商银行永续债（</w:t>
                    </w:r>
                    <w:r>
                      <w:rPr>
                        <w:w w:val="92"/>
                      </w:rPr>
                      <w:t>2021第二期中期票据）（注1）</w:t>
                    </w:r>
                  </w:p>
                </w:tc>
                <w:tc>
                  <w:tcPr>
                    <w:tcW w:w="563" w:type="pct"/>
                    <w:shd w:val="clear" w:color="auto" w:fill="auto"/>
                    <w:vAlign w:val="center"/>
                  </w:tcPr>
                  <w:p w14:paraId="2F41261B" w14:textId="77777777" w:rsidR="007E7472" w:rsidRDefault="00EC1269">
                    <w:pPr>
                      <w:jc w:val="right"/>
                      <w:rPr>
                        <w:w w:val="92"/>
                      </w:rPr>
                    </w:pPr>
                    <w:r>
                      <w:rPr>
                        <w:w w:val="92"/>
                      </w:rPr>
                      <w:t>20,000</w:t>
                    </w:r>
                  </w:p>
                </w:tc>
                <w:tc>
                  <w:tcPr>
                    <w:tcW w:w="723" w:type="pct"/>
                    <w:shd w:val="clear" w:color="auto" w:fill="auto"/>
                    <w:vAlign w:val="center"/>
                  </w:tcPr>
                  <w:p w14:paraId="715FB691" w14:textId="77777777" w:rsidR="007E7472" w:rsidRDefault="00EC1269">
                    <w:pPr>
                      <w:jc w:val="right"/>
                      <w:rPr>
                        <w:w w:val="92"/>
                      </w:rPr>
                    </w:pPr>
                    <w:r>
                      <w:rPr>
                        <w:w w:val="92"/>
                      </w:rPr>
                      <w:t>1,996,400</w:t>
                    </w:r>
                  </w:p>
                </w:tc>
                <w:tc>
                  <w:tcPr>
                    <w:tcW w:w="291" w:type="pct"/>
                    <w:shd w:val="clear" w:color="auto" w:fill="auto"/>
                    <w:vAlign w:val="center"/>
                  </w:tcPr>
                  <w:p w14:paraId="7FEBD3EE" w14:textId="77777777" w:rsidR="007E7472" w:rsidRDefault="00C8327E">
                    <w:pPr>
                      <w:jc w:val="right"/>
                      <w:rPr>
                        <w:w w:val="92"/>
                      </w:rPr>
                    </w:pPr>
                  </w:p>
                </w:tc>
                <w:tc>
                  <w:tcPr>
                    <w:tcW w:w="309" w:type="pct"/>
                    <w:shd w:val="clear" w:color="auto" w:fill="auto"/>
                    <w:vAlign w:val="center"/>
                  </w:tcPr>
                  <w:p w14:paraId="152E4A06" w14:textId="77777777" w:rsidR="007E7472" w:rsidRDefault="00C8327E">
                    <w:pPr>
                      <w:jc w:val="right"/>
                      <w:rPr>
                        <w:w w:val="92"/>
                      </w:rPr>
                    </w:pPr>
                  </w:p>
                </w:tc>
                <w:tc>
                  <w:tcPr>
                    <w:tcW w:w="480" w:type="pct"/>
                    <w:shd w:val="clear" w:color="auto" w:fill="auto"/>
                    <w:vAlign w:val="center"/>
                  </w:tcPr>
                  <w:p w14:paraId="2BDA85B3" w14:textId="77777777" w:rsidR="007E7472" w:rsidRDefault="00C8327E">
                    <w:pPr>
                      <w:jc w:val="right"/>
                      <w:rPr>
                        <w:w w:val="92"/>
                      </w:rPr>
                    </w:pPr>
                  </w:p>
                </w:tc>
                <w:tc>
                  <w:tcPr>
                    <w:tcW w:w="658" w:type="pct"/>
                    <w:shd w:val="clear" w:color="auto" w:fill="auto"/>
                    <w:vAlign w:val="center"/>
                  </w:tcPr>
                  <w:p w14:paraId="7947DC5F" w14:textId="77777777" w:rsidR="007E7472" w:rsidRDefault="00C8327E">
                    <w:pPr>
                      <w:jc w:val="right"/>
                      <w:rPr>
                        <w:w w:val="92"/>
                      </w:rPr>
                    </w:pPr>
                  </w:p>
                </w:tc>
                <w:tc>
                  <w:tcPr>
                    <w:tcW w:w="558" w:type="pct"/>
                    <w:shd w:val="clear" w:color="auto" w:fill="auto"/>
                    <w:vAlign w:val="center"/>
                  </w:tcPr>
                  <w:p w14:paraId="54DE1921" w14:textId="77777777" w:rsidR="007E7472" w:rsidRDefault="00EC1269">
                    <w:pPr>
                      <w:jc w:val="right"/>
                      <w:rPr>
                        <w:w w:val="92"/>
                      </w:rPr>
                    </w:pPr>
                    <w:r>
                      <w:rPr>
                        <w:w w:val="92"/>
                      </w:rPr>
                      <w:t>20,000</w:t>
                    </w:r>
                  </w:p>
                </w:tc>
                <w:tc>
                  <w:tcPr>
                    <w:tcW w:w="698" w:type="pct"/>
                    <w:shd w:val="clear" w:color="auto" w:fill="auto"/>
                    <w:vAlign w:val="center"/>
                  </w:tcPr>
                  <w:p w14:paraId="6776E120" w14:textId="77777777" w:rsidR="007E7472" w:rsidRDefault="00EC1269">
                    <w:pPr>
                      <w:jc w:val="right"/>
                      <w:rPr>
                        <w:w w:val="92"/>
                      </w:rPr>
                    </w:pPr>
                    <w:r>
                      <w:rPr>
                        <w:w w:val="92"/>
                      </w:rPr>
                      <w:t>1,996,400</w:t>
                    </w:r>
                  </w:p>
                </w:tc>
              </w:tr>
            </w:sdtContent>
          </w:sdt>
          <w:sdt>
            <w:sdtPr>
              <w:rPr>
                <w:rFonts w:hint="eastAsia"/>
                <w:w w:val="92"/>
              </w:rPr>
              <w:alias w:val="其他权益工具下发行在外的优先股、永续债等金融工具变动情况表明细"/>
              <w:tag w:val="_GBC_20f230eab0284a7693900d7a33813e89"/>
              <w:id w:val="-381404061"/>
              <w:lock w:val="sdtLocked"/>
            </w:sdtPr>
            <w:sdtEndPr>
              <w:rPr>
                <w:rFonts w:hint="default"/>
              </w:rPr>
            </w:sdtEndPr>
            <w:sdtContent>
              <w:tr w:rsidR="007E7472" w14:paraId="3A5B3E4D" w14:textId="77777777" w:rsidTr="007E7472">
                <w:trPr>
                  <w:trHeight w:val="340"/>
                </w:trPr>
                <w:tc>
                  <w:tcPr>
                    <w:tcW w:w="720" w:type="pct"/>
                    <w:shd w:val="clear" w:color="auto" w:fill="auto"/>
                  </w:tcPr>
                  <w:p w14:paraId="716D3EE3" w14:textId="77777777" w:rsidR="007E7472" w:rsidRDefault="00EC1269">
                    <w:pPr>
                      <w:rPr>
                        <w:w w:val="92"/>
                      </w:rPr>
                    </w:pPr>
                    <w:r>
                      <w:rPr>
                        <w:w w:val="92"/>
                      </w:rPr>
                      <w:t>中信银行永续债（21兖</w:t>
                    </w:r>
                  </w:p>
                  <w:p w14:paraId="0712808E" w14:textId="77777777" w:rsidR="007E7472" w:rsidRDefault="00EC1269">
                    <w:pPr>
                      <w:rPr>
                        <w:w w:val="92"/>
                      </w:rPr>
                    </w:pPr>
                    <w:r>
                      <w:rPr>
                        <w:rFonts w:hint="eastAsia"/>
                        <w:w w:val="92"/>
                      </w:rPr>
                      <w:t>煤</w:t>
                    </w:r>
                    <w:r>
                      <w:rPr>
                        <w:w w:val="92"/>
                      </w:rPr>
                      <w:t>Y1）（注2）</w:t>
                    </w:r>
                  </w:p>
                </w:tc>
                <w:tc>
                  <w:tcPr>
                    <w:tcW w:w="563" w:type="pct"/>
                    <w:shd w:val="clear" w:color="auto" w:fill="auto"/>
                    <w:vAlign w:val="center"/>
                  </w:tcPr>
                  <w:p w14:paraId="6BDA8540" w14:textId="77777777" w:rsidR="007E7472" w:rsidRDefault="00EC1269">
                    <w:pPr>
                      <w:jc w:val="right"/>
                      <w:rPr>
                        <w:w w:val="92"/>
                      </w:rPr>
                    </w:pPr>
                    <w:r>
                      <w:rPr>
                        <w:w w:val="92"/>
                      </w:rPr>
                      <w:t>17,000</w:t>
                    </w:r>
                  </w:p>
                </w:tc>
                <w:tc>
                  <w:tcPr>
                    <w:tcW w:w="723" w:type="pct"/>
                    <w:shd w:val="clear" w:color="auto" w:fill="auto"/>
                    <w:vAlign w:val="center"/>
                  </w:tcPr>
                  <w:p w14:paraId="3936D4E6" w14:textId="77777777" w:rsidR="007E7472" w:rsidRDefault="00EC1269">
                    <w:pPr>
                      <w:jc w:val="right"/>
                      <w:rPr>
                        <w:w w:val="92"/>
                      </w:rPr>
                    </w:pPr>
                    <w:r>
                      <w:rPr>
                        <w:w w:val="92"/>
                      </w:rPr>
                      <w:t>1,696,600</w:t>
                    </w:r>
                  </w:p>
                </w:tc>
                <w:tc>
                  <w:tcPr>
                    <w:tcW w:w="291" w:type="pct"/>
                    <w:shd w:val="clear" w:color="auto" w:fill="auto"/>
                    <w:vAlign w:val="center"/>
                  </w:tcPr>
                  <w:p w14:paraId="07923DB8" w14:textId="77777777" w:rsidR="007E7472" w:rsidRDefault="00C8327E">
                    <w:pPr>
                      <w:jc w:val="right"/>
                      <w:rPr>
                        <w:w w:val="92"/>
                      </w:rPr>
                    </w:pPr>
                  </w:p>
                </w:tc>
                <w:tc>
                  <w:tcPr>
                    <w:tcW w:w="309" w:type="pct"/>
                    <w:shd w:val="clear" w:color="auto" w:fill="auto"/>
                    <w:vAlign w:val="center"/>
                  </w:tcPr>
                  <w:p w14:paraId="10567E3C" w14:textId="77777777" w:rsidR="007E7472" w:rsidRDefault="00C8327E">
                    <w:pPr>
                      <w:jc w:val="right"/>
                      <w:rPr>
                        <w:w w:val="92"/>
                      </w:rPr>
                    </w:pPr>
                  </w:p>
                </w:tc>
                <w:tc>
                  <w:tcPr>
                    <w:tcW w:w="480" w:type="pct"/>
                    <w:shd w:val="clear" w:color="auto" w:fill="auto"/>
                    <w:vAlign w:val="center"/>
                  </w:tcPr>
                  <w:p w14:paraId="613574B9" w14:textId="77777777" w:rsidR="007E7472" w:rsidRDefault="00EC1269">
                    <w:pPr>
                      <w:jc w:val="right"/>
                      <w:rPr>
                        <w:w w:val="92"/>
                      </w:rPr>
                    </w:pPr>
                    <w:r>
                      <w:rPr>
                        <w:w w:val="92"/>
                      </w:rPr>
                      <w:t>17,000</w:t>
                    </w:r>
                  </w:p>
                </w:tc>
                <w:tc>
                  <w:tcPr>
                    <w:tcW w:w="658" w:type="pct"/>
                    <w:shd w:val="clear" w:color="auto" w:fill="auto"/>
                    <w:vAlign w:val="center"/>
                  </w:tcPr>
                  <w:p w14:paraId="5ACBCE7F" w14:textId="77777777" w:rsidR="007E7472" w:rsidRDefault="00EC1269">
                    <w:pPr>
                      <w:jc w:val="right"/>
                      <w:rPr>
                        <w:w w:val="92"/>
                      </w:rPr>
                    </w:pPr>
                    <w:r>
                      <w:rPr>
                        <w:w w:val="92"/>
                      </w:rPr>
                      <w:t>1,696,600</w:t>
                    </w:r>
                  </w:p>
                </w:tc>
                <w:tc>
                  <w:tcPr>
                    <w:tcW w:w="558" w:type="pct"/>
                    <w:shd w:val="clear" w:color="auto" w:fill="auto"/>
                    <w:vAlign w:val="center"/>
                  </w:tcPr>
                  <w:p w14:paraId="57BDD08D" w14:textId="77777777" w:rsidR="007E7472" w:rsidRDefault="00C8327E">
                    <w:pPr>
                      <w:jc w:val="right"/>
                      <w:rPr>
                        <w:w w:val="92"/>
                      </w:rPr>
                    </w:pPr>
                  </w:p>
                </w:tc>
                <w:tc>
                  <w:tcPr>
                    <w:tcW w:w="698" w:type="pct"/>
                    <w:shd w:val="clear" w:color="auto" w:fill="auto"/>
                    <w:vAlign w:val="center"/>
                  </w:tcPr>
                  <w:p w14:paraId="27F69913" w14:textId="77777777" w:rsidR="007E7472" w:rsidRDefault="00C8327E">
                    <w:pPr>
                      <w:jc w:val="right"/>
                      <w:rPr>
                        <w:w w:val="92"/>
                      </w:rPr>
                    </w:pPr>
                  </w:p>
                </w:tc>
              </w:tr>
            </w:sdtContent>
          </w:sdt>
          <w:sdt>
            <w:sdtPr>
              <w:rPr>
                <w:rFonts w:hint="eastAsia"/>
                <w:w w:val="92"/>
              </w:rPr>
              <w:alias w:val="其他权益工具下发行在外的优先股、永续债等金融工具变动情况表明细"/>
              <w:tag w:val="_GBC_20f230eab0284a7693900d7a33813e89"/>
              <w:id w:val="-229077748"/>
              <w:lock w:val="sdtLocked"/>
            </w:sdtPr>
            <w:sdtEndPr>
              <w:rPr>
                <w:rFonts w:hint="default"/>
              </w:rPr>
            </w:sdtEndPr>
            <w:sdtContent>
              <w:tr w:rsidR="007E7472" w14:paraId="0A4FFC18" w14:textId="77777777" w:rsidTr="007E7472">
                <w:trPr>
                  <w:trHeight w:val="340"/>
                </w:trPr>
                <w:tc>
                  <w:tcPr>
                    <w:tcW w:w="720" w:type="pct"/>
                    <w:shd w:val="clear" w:color="auto" w:fill="auto"/>
                  </w:tcPr>
                  <w:p w14:paraId="5971E5FD" w14:textId="77777777" w:rsidR="007E7472" w:rsidRDefault="00EC1269">
                    <w:pPr>
                      <w:rPr>
                        <w:w w:val="92"/>
                      </w:rPr>
                    </w:pPr>
                    <w:r>
                      <w:rPr>
                        <w:w w:val="92"/>
                      </w:rPr>
                      <w:t>中信银行永续债（21兖</w:t>
                    </w:r>
                  </w:p>
                  <w:p w14:paraId="019108D6" w14:textId="77777777" w:rsidR="007E7472" w:rsidRDefault="00EC1269">
                    <w:pPr>
                      <w:rPr>
                        <w:w w:val="92"/>
                      </w:rPr>
                    </w:pPr>
                    <w:r>
                      <w:rPr>
                        <w:rFonts w:hint="eastAsia"/>
                        <w:w w:val="92"/>
                      </w:rPr>
                      <w:t>煤</w:t>
                    </w:r>
                    <w:r>
                      <w:rPr>
                        <w:w w:val="92"/>
                      </w:rPr>
                      <w:t>Y2）（注3）</w:t>
                    </w:r>
                  </w:p>
                </w:tc>
                <w:tc>
                  <w:tcPr>
                    <w:tcW w:w="563" w:type="pct"/>
                    <w:shd w:val="clear" w:color="auto" w:fill="auto"/>
                    <w:vAlign w:val="center"/>
                  </w:tcPr>
                  <w:p w14:paraId="340C98C3" w14:textId="77777777" w:rsidR="007E7472" w:rsidRDefault="00EC1269">
                    <w:pPr>
                      <w:jc w:val="right"/>
                      <w:rPr>
                        <w:w w:val="92"/>
                      </w:rPr>
                    </w:pPr>
                    <w:r>
                      <w:rPr>
                        <w:w w:val="92"/>
                      </w:rPr>
                      <w:t>33,000</w:t>
                    </w:r>
                  </w:p>
                </w:tc>
                <w:tc>
                  <w:tcPr>
                    <w:tcW w:w="723" w:type="pct"/>
                    <w:shd w:val="clear" w:color="auto" w:fill="auto"/>
                    <w:vAlign w:val="center"/>
                  </w:tcPr>
                  <w:p w14:paraId="624D5252" w14:textId="77777777" w:rsidR="007E7472" w:rsidRDefault="00EC1269">
                    <w:pPr>
                      <w:jc w:val="right"/>
                      <w:rPr>
                        <w:w w:val="92"/>
                      </w:rPr>
                    </w:pPr>
                    <w:r>
                      <w:rPr>
                        <w:w w:val="92"/>
                      </w:rPr>
                      <w:t>3,293,070</w:t>
                    </w:r>
                  </w:p>
                </w:tc>
                <w:tc>
                  <w:tcPr>
                    <w:tcW w:w="291" w:type="pct"/>
                    <w:shd w:val="clear" w:color="auto" w:fill="auto"/>
                    <w:vAlign w:val="center"/>
                  </w:tcPr>
                  <w:p w14:paraId="4B5C0531" w14:textId="77777777" w:rsidR="007E7472" w:rsidRDefault="00C8327E">
                    <w:pPr>
                      <w:jc w:val="right"/>
                      <w:rPr>
                        <w:w w:val="92"/>
                      </w:rPr>
                    </w:pPr>
                  </w:p>
                </w:tc>
                <w:tc>
                  <w:tcPr>
                    <w:tcW w:w="309" w:type="pct"/>
                    <w:shd w:val="clear" w:color="auto" w:fill="auto"/>
                    <w:vAlign w:val="center"/>
                  </w:tcPr>
                  <w:p w14:paraId="24401274" w14:textId="77777777" w:rsidR="007E7472" w:rsidRDefault="00C8327E">
                    <w:pPr>
                      <w:jc w:val="right"/>
                      <w:rPr>
                        <w:w w:val="92"/>
                      </w:rPr>
                    </w:pPr>
                  </w:p>
                </w:tc>
                <w:tc>
                  <w:tcPr>
                    <w:tcW w:w="480" w:type="pct"/>
                    <w:shd w:val="clear" w:color="auto" w:fill="auto"/>
                    <w:vAlign w:val="center"/>
                  </w:tcPr>
                  <w:p w14:paraId="4910A3F6" w14:textId="77777777" w:rsidR="007E7472" w:rsidRDefault="00C8327E">
                    <w:pPr>
                      <w:jc w:val="right"/>
                      <w:rPr>
                        <w:w w:val="92"/>
                      </w:rPr>
                    </w:pPr>
                  </w:p>
                </w:tc>
                <w:tc>
                  <w:tcPr>
                    <w:tcW w:w="658" w:type="pct"/>
                    <w:shd w:val="clear" w:color="auto" w:fill="auto"/>
                    <w:vAlign w:val="center"/>
                  </w:tcPr>
                  <w:p w14:paraId="1E6EFA92" w14:textId="77777777" w:rsidR="007E7472" w:rsidRDefault="00C8327E">
                    <w:pPr>
                      <w:jc w:val="right"/>
                      <w:rPr>
                        <w:w w:val="92"/>
                      </w:rPr>
                    </w:pPr>
                  </w:p>
                </w:tc>
                <w:tc>
                  <w:tcPr>
                    <w:tcW w:w="558" w:type="pct"/>
                    <w:shd w:val="clear" w:color="auto" w:fill="auto"/>
                    <w:vAlign w:val="center"/>
                  </w:tcPr>
                  <w:p w14:paraId="228F8397" w14:textId="77777777" w:rsidR="007E7472" w:rsidRDefault="00EC1269">
                    <w:pPr>
                      <w:jc w:val="right"/>
                      <w:rPr>
                        <w:w w:val="92"/>
                      </w:rPr>
                    </w:pPr>
                    <w:r>
                      <w:rPr>
                        <w:w w:val="92"/>
                      </w:rPr>
                      <w:t>33,000</w:t>
                    </w:r>
                  </w:p>
                </w:tc>
                <w:tc>
                  <w:tcPr>
                    <w:tcW w:w="698" w:type="pct"/>
                    <w:shd w:val="clear" w:color="auto" w:fill="auto"/>
                    <w:vAlign w:val="center"/>
                  </w:tcPr>
                  <w:p w14:paraId="76B7F572" w14:textId="77777777" w:rsidR="007E7472" w:rsidRDefault="00EC1269">
                    <w:pPr>
                      <w:jc w:val="right"/>
                      <w:rPr>
                        <w:w w:val="92"/>
                      </w:rPr>
                    </w:pPr>
                    <w:r>
                      <w:rPr>
                        <w:w w:val="92"/>
                      </w:rPr>
                      <w:t>3,293,070</w:t>
                    </w:r>
                  </w:p>
                </w:tc>
              </w:tr>
            </w:sdtContent>
          </w:sdt>
          <w:sdt>
            <w:sdtPr>
              <w:rPr>
                <w:rFonts w:hint="eastAsia"/>
                <w:w w:val="92"/>
              </w:rPr>
              <w:alias w:val="其他权益工具下发行在外的优先股、永续债等金融工具变动情况表明细"/>
              <w:tag w:val="_GBC_20f230eab0284a7693900d7a33813e89"/>
              <w:id w:val="1455744257"/>
              <w:lock w:val="sdtLocked"/>
            </w:sdtPr>
            <w:sdtEndPr>
              <w:rPr>
                <w:rFonts w:hint="default"/>
              </w:rPr>
            </w:sdtEndPr>
            <w:sdtContent>
              <w:tr w:rsidR="007E7472" w14:paraId="5B4AA915" w14:textId="77777777" w:rsidTr="007E7472">
                <w:trPr>
                  <w:trHeight w:val="340"/>
                </w:trPr>
                <w:tc>
                  <w:tcPr>
                    <w:tcW w:w="720" w:type="pct"/>
                    <w:shd w:val="clear" w:color="auto" w:fill="auto"/>
                  </w:tcPr>
                  <w:p w14:paraId="3986EAED" w14:textId="77777777" w:rsidR="007E7472" w:rsidRDefault="00EC1269">
                    <w:pPr>
                      <w:rPr>
                        <w:w w:val="92"/>
                      </w:rPr>
                    </w:pPr>
                    <w:r>
                      <w:rPr>
                        <w:w w:val="92"/>
                      </w:rPr>
                      <w:t>中信银行永续债（21兖</w:t>
                    </w:r>
                  </w:p>
                  <w:p w14:paraId="07EF6782" w14:textId="77777777" w:rsidR="007E7472" w:rsidRDefault="00EC1269">
                    <w:pPr>
                      <w:rPr>
                        <w:w w:val="92"/>
                      </w:rPr>
                    </w:pPr>
                    <w:r>
                      <w:rPr>
                        <w:rFonts w:hint="eastAsia"/>
                        <w:w w:val="92"/>
                      </w:rPr>
                      <w:t>煤</w:t>
                    </w:r>
                    <w:r>
                      <w:rPr>
                        <w:w w:val="92"/>
                      </w:rPr>
                      <w:t>Y4）（注4）</w:t>
                    </w:r>
                  </w:p>
                </w:tc>
                <w:tc>
                  <w:tcPr>
                    <w:tcW w:w="563" w:type="pct"/>
                    <w:shd w:val="clear" w:color="auto" w:fill="auto"/>
                    <w:vAlign w:val="center"/>
                  </w:tcPr>
                  <w:p w14:paraId="06629ECD" w14:textId="77777777" w:rsidR="007E7472" w:rsidRDefault="00EC1269">
                    <w:pPr>
                      <w:jc w:val="right"/>
                      <w:rPr>
                        <w:w w:val="92"/>
                      </w:rPr>
                    </w:pPr>
                    <w:r>
                      <w:rPr>
                        <w:w w:val="92"/>
                      </w:rPr>
                      <w:t>10,000</w:t>
                    </w:r>
                  </w:p>
                </w:tc>
                <w:tc>
                  <w:tcPr>
                    <w:tcW w:w="723" w:type="pct"/>
                    <w:shd w:val="clear" w:color="auto" w:fill="auto"/>
                    <w:vAlign w:val="center"/>
                  </w:tcPr>
                  <w:p w14:paraId="1072D746" w14:textId="77777777" w:rsidR="007E7472" w:rsidRDefault="00EC1269">
                    <w:pPr>
                      <w:jc w:val="right"/>
                      <w:rPr>
                        <w:w w:val="92"/>
                      </w:rPr>
                    </w:pPr>
                    <w:r>
                      <w:rPr>
                        <w:w w:val="92"/>
                      </w:rPr>
                      <w:t>998,200</w:t>
                    </w:r>
                  </w:p>
                </w:tc>
                <w:tc>
                  <w:tcPr>
                    <w:tcW w:w="291" w:type="pct"/>
                    <w:shd w:val="clear" w:color="auto" w:fill="auto"/>
                    <w:vAlign w:val="center"/>
                  </w:tcPr>
                  <w:p w14:paraId="20B93FC5" w14:textId="77777777" w:rsidR="007E7472" w:rsidRDefault="00C8327E">
                    <w:pPr>
                      <w:jc w:val="right"/>
                      <w:rPr>
                        <w:w w:val="92"/>
                      </w:rPr>
                    </w:pPr>
                  </w:p>
                </w:tc>
                <w:tc>
                  <w:tcPr>
                    <w:tcW w:w="309" w:type="pct"/>
                    <w:shd w:val="clear" w:color="auto" w:fill="auto"/>
                    <w:vAlign w:val="center"/>
                  </w:tcPr>
                  <w:p w14:paraId="7DD029E7" w14:textId="77777777" w:rsidR="007E7472" w:rsidRDefault="00C8327E">
                    <w:pPr>
                      <w:jc w:val="right"/>
                      <w:rPr>
                        <w:w w:val="92"/>
                      </w:rPr>
                    </w:pPr>
                  </w:p>
                </w:tc>
                <w:tc>
                  <w:tcPr>
                    <w:tcW w:w="480" w:type="pct"/>
                    <w:shd w:val="clear" w:color="auto" w:fill="auto"/>
                    <w:vAlign w:val="center"/>
                  </w:tcPr>
                  <w:p w14:paraId="35E46BBE" w14:textId="77777777" w:rsidR="007E7472" w:rsidRDefault="00C8327E">
                    <w:pPr>
                      <w:jc w:val="right"/>
                      <w:rPr>
                        <w:w w:val="92"/>
                      </w:rPr>
                    </w:pPr>
                  </w:p>
                </w:tc>
                <w:tc>
                  <w:tcPr>
                    <w:tcW w:w="658" w:type="pct"/>
                    <w:shd w:val="clear" w:color="auto" w:fill="auto"/>
                    <w:vAlign w:val="center"/>
                  </w:tcPr>
                  <w:p w14:paraId="1706365C" w14:textId="77777777" w:rsidR="007E7472" w:rsidRDefault="00C8327E">
                    <w:pPr>
                      <w:jc w:val="right"/>
                      <w:rPr>
                        <w:w w:val="92"/>
                      </w:rPr>
                    </w:pPr>
                  </w:p>
                </w:tc>
                <w:tc>
                  <w:tcPr>
                    <w:tcW w:w="558" w:type="pct"/>
                    <w:shd w:val="clear" w:color="auto" w:fill="auto"/>
                    <w:vAlign w:val="center"/>
                  </w:tcPr>
                  <w:p w14:paraId="64603532" w14:textId="77777777" w:rsidR="007E7472" w:rsidRDefault="00EC1269">
                    <w:pPr>
                      <w:jc w:val="right"/>
                      <w:rPr>
                        <w:w w:val="92"/>
                      </w:rPr>
                    </w:pPr>
                    <w:r>
                      <w:rPr>
                        <w:w w:val="92"/>
                      </w:rPr>
                      <w:t>10,000</w:t>
                    </w:r>
                  </w:p>
                </w:tc>
                <w:tc>
                  <w:tcPr>
                    <w:tcW w:w="698" w:type="pct"/>
                    <w:shd w:val="clear" w:color="auto" w:fill="auto"/>
                    <w:vAlign w:val="center"/>
                  </w:tcPr>
                  <w:p w14:paraId="59E5ADD5" w14:textId="77777777" w:rsidR="007E7472" w:rsidRDefault="00EC1269">
                    <w:pPr>
                      <w:jc w:val="right"/>
                      <w:rPr>
                        <w:w w:val="92"/>
                      </w:rPr>
                    </w:pPr>
                    <w:r>
                      <w:rPr>
                        <w:w w:val="92"/>
                      </w:rPr>
                      <w:t>998,200</w:t>
                    </w:r>
                  </w:p>
                </w:tc>
              </w:tr>
            </w:sdtContent>
          </w:sdt>
          <w:sdt>
            <w:sdtPr>
              <w:rPr>
                <w:rFonts w:hint="eastAsia"/>
                <w:w w:val="92"/>
              </w:rPr>
              <w:alias w:val="其他权益工具下发行在外的优先股、永续债等金融工具变动情况表明细"/>
              <w:tag w:val="_GBC_20f230eab0284a7693900d7a33813e89"/>
              <w:id w:val="-813334911"/>
              <w:lock w:val="sdtLocked"/>
            </w:sdtPr>
            <w:sdtEndPr>
              <w:rPr>
                <w:rFonts w:hint="default"/>
              </w:rPr>
            </w:sdtEndPr>
            <w:sdtContent>
              <w:tr w:rsidR="007E7472" w14:paraId="566121D7" w14:textId="77777777" w:rsidTr="007E7472">
                <w:trPr>
                  <w:trHeight w:val="340"/>
                </w:trPr>
                <w:tc>
                  <w:tcPr>
                    <w:tcW w:w="720" w:type="pct"/>
                    <w:shd w:val="clear" w:color="auto" w:fill="auto"/>
                  </w:tcPr>
                  <w:p w14:paraId="5A456943" w14:textId="77777777" w:rsidR="007E7472" w:rsidRDefault="00EC1269">
                    <w:pPr>
                      <w:rPr>
                        <w:w w:val="92"/>
                      </w:rPr>
                    </w:pPr>
                    <w:r>
                      <w:rPr>
                        <w:w w:val="92"/>
                      </w:rPr>
                      <w:t>22兖矿能源MIN001A（注5）</w:t>
                    </w:r>
                  </w:p>
                </w:tc>
                <w:tc>
                  <w:tcPr>
                    <w:tcW w:w="563" w:type="pct"/>
                    <w:shd w:val="clear" w:color="auto" w:fill="auto"/>
                    <w:vAlign w:val="center"/>
                  </w:tcPr>
                  <w:p w14:paraId="33E418FD" w14:textId="77777777" w:rsidR="007E7472" w:rsidRDefault="00EC1269">
                    <w:pPr>
                      <w:jc w:val="right"/>
                      <w:rPr>
                        <w:w w:val="92"/>
                      </w:rPr>
                    </w:pPr>
                    <w:r>
                      <w:rPr>
                        <w:w w:val="92"/>
                      </w:rPr>
                      <w:t>25,000</w:t>
                    </w:r>
                  </w:p>
                </w:tc>
                <w:tc>
                  <w:tcPr>
                    <w:tcW w:w="723" w:type="pct"/>
                    <w:shd w:val="clear" w:color="auto" w:fill="auto"/>
                    <w:vAlign w:val="center"/>
                  </w:tcPr>
                  <w:p w14:paraId="509F8018" w14:textId="77777777" w:rsidR="007E7472" w:rsidRDefault="00EC1269">
                    <w:pPr>
                      <w:jc w:val="right"/>
                      <w:rPr>
                        <w:w w:val="92"/>
                      </w:rPr>
                    </w:pPr>
                    <w:r>
                      <w:rPr>
                        <w:w w:val="92"/>
                      </w:rPr>
                      <w:t>2,495,500</w:t>
                    </w:r>
                  </w:p>
                </w:tc>
                <w:tc>
                  <w:tcPr>
                    <w:tcW w:w="291" w:type="pct"/>
                    <w:shd w:val="clear" w:color="auto" w:fill="auto"/>
                    <w:vAlign w:val="center"/>
                  </w:tcPr>
                  <w:p w14:paraId="1201FEED" w14:textId="77777777" w:rsidR="007E7472" w:rsidRDefault="00C8327E">
                    <w:pPr>
                      <w:jc w:val="right"/>
                      <w:rPr>
                        <w:w w:val="92"/>
                      </w:rPr>
                    </w:pPr>
                  </w:p>
                </w:tc>
                <w:tc>
                  <w:tcPr>
                    <w:tcW w:w="309" w:type="pct"/>
                    <w:shd w:val="clear" w:color="auto" w:fill="auto"/>
                    <w:vAlign w:val="center"/>
                  </w:tcPr>
                  <w:p w14:paraId="719D7448" w14:textId="77777777" w:rsidR="007E7472" w:rsidRDefault="00C8327E">
                    <w:pPr>
                      <w:jc w:val="right"/>
                      <w:rPr>
                        <w:w w:val="92"/>
                      </w:rPr>
                    </w:pPr>
                  </w:p>
                </w:tc>
                <w:tc>
                  <w:tcPr>
                    <w:tcW w:w="480" w:type="pct"/>
                    <w:shd w:val="clear" w:color="auto" w:fill="auto"/>
                    <w:vAlign w:val="center"/>
                  </w:tcPr>
                  <w:p w14:paraId="4082D21C" w14:textId="77777777" w:rsidR="007E7472" w:rsidRDefault="00C8327E">
                    <w:pPr>
                      <w:jc w:val="right"/>
                      <w:rPr>
                        <w:w w:val="92"/>
                      </w:rPr>
                    </w:pPr>
                  </w:p>
                </w:tc>
                <w:tc>
                  <w:tcPr>
                    <w:tcW w:w="658" w:type="pct"/>
                    <w:shd w:val="clear" w:color="auto" w:fill="auto"/>
                    <w:vAlign w:val="center"/>
                  </w:tcPr>
                  <w:p w14:paraId="75C361FF" w14:textId="77777777" w:rsidR="007E7472" w:rsidRDefault="00C8327E">
                    <w:pPr>
                      <w:jc w:val="right"/>
                      <w:rPr>
                        <w:w w:val="92"/>
                      </w:rPr>
                    </w:pPr>
                  </w:p>
                </w:tc>
                <w:tc>
                  <w:tcPr>
                    <w:tcW w:w="558" w:type="pct"/>
                    <w:shd w:val="clear" w:color="auto" w:fill="auto"/>
                    <w:vAlign w:val="center"/>
                  </w:tcPr>
                  <w:p w14:paraId="63936E11" w14:textId="77777777" w:rsidR="007E7472" w:rsidRDefault="00EC1269">
                    <w:pPr>
                      <w:jc w:val="right"/>
                      <w:rPr>
                        <w:w w:val="92"/>
                      </w:rPr>
                    </w:pPr>
                    <w:r>
                      <w:rPr>
                        <w:w w:val="92"/>
                      </w:rPr>
                      <w:t>25,000</w:t>
                    </w:r>
                  </w:p>
                </w:tc>
                <w:tc>
                  <w:tcPr>
                    <w:tcW w:w="698" w:type="pct"/>
                    <w:shd w:val="clear" w:color="auto" w:fill="auto"/>
                    <w:vAlign w:val="center"/>
                  </w:tcPr>
                  <w:p w14:paraId="29F27AE3" w14:textId="77777777" w:rsidR="007E7472" w:rsidRDefault="00EC1269">
                    <w:pPr>
                      <w:jc w:val="right"/>
                      <w:rPr>
                        <w:w w:val="92"/>
                      </w:rPr>
                    </w:pPr>
                    <w:r>
                      <w:rPr>
                        <w:w w:val="92"/>
                      </w:rPr>
                      <w:t>2,495,500</w:t>
                    </w:r>
                  </w:p>
                </w:tc>
              </w:tr>
            </w:sdtContent>
          </w:sdt>
          <w:sdt>
            <w:sdtPr>
              <w:rPr>
                <w:rFonts w:hint="eastAsia"/>
                <w:w w:val="92"/>
              </w:rPr>
              <w:alias w:val="其他权益工具下发行在外的优先股、永续债等金融工具变动情况表明细"/>
              <w:tag w:val="_GBC_20f230eab0284a7693900d7a33813e89"/>
              <w:id w:val="-2044045670"/>
              <w:lock w:val="sdtLocked"/>
            </w:sdtPr>
            <w:sdtEndPr>
              <w:rPr>
                <w:rFonts w:hint="default"/>
              </w:rPr>
            </w:sdtEndPr>
            <w:sdtContent>
              <w:tr w:rsidR="007E7472" w14:paraId="7EC09074" w14:textId="77777777" w:rsidTr="007E7472">
                <w:trPr>
                  <w:trHeight w:val="340"/>
                </w:trPr>
                <w:tc>
                  <w:tcPr>
                    <w:tcW w:w="720" w:type="pct"/>
                    <w:shd w:val="clear" w:color="auto" w:fill="auto"/>
                  </w:tcPr>
                  <w:p w14:paraId="675C2AF7" w14:textId="77777777" w:rsidR="007E7472" w:rsidRDefault="00EC1269">
                    <w:pPr>
                      <w:rPr>
                        <w:w w:val="92"/>
                      </w:rPr>
                    </w:pPr>
                    <w:r>
                      <w:rPr>
                        <w:w w:val="92"/>
                      </w:rPr>
                      <w:t>22兖矿能源MIN001B(注6）</w:t>
                    </w:r>
                  </w:p>
                </w:tc>
                <w:tc>
                  <w:tcPr>
                    <w:tcW w:w="563" w:type="pct"/>
                    <w:shd w:val="clear" w:color="auto" w:fill="auto"/>
                    <w:vAlign w:val="center"/>
                  </w:tcPr>
                  <w:p w14:paraId="55E93B38" w14:textId="77777777" w:rsidR="007E7472" w:rsidRDefault="00EC1269">
                    <w:pPr>
                      <w:jc w:val="right"/>
                      <w:rPr>
                        <w:w w:val="92"/>
                      </w:rPr>
                    </w:pPr>
                    <w:r>
                      <w:rPr>
                        <w:w w:val="92"/>
                      </w:rPr>
                      <w:t>5,000</w:t>
                    </w:r>
                  </w:p>
                </w:tc>
                <w:tc>
                  <w:tcPr>
                    <w:tcW w:w="723" w:type="pct"/>
                    <w:shd w:val="clear" w:color="auto" w:fill="auto"/>
                    <w:vAlign w:val="center"/>
                  </w:tcPr>
                  <w:p w14:paraId="6F91A5FD" w14:textId="77777777" w:rsidR="007E7472" w:rsidRDefault="00EC1269">
                    <w:pPr>
                      <w:jc w:val="right"/>
                      <w:rPr>
                        <w:w w:val="92"/>
                      </w:rPr>
                    </w:pPr>
                    <w:r>
                      <w:rPr>
                        <w:w w:val="92"/>
                      </w:rPr>
                      <w:t>498,500</w:t>
                    </w:r>
                  </w:p>
                </w:tc>
                <w:tc>
                  <w:tcPr>
                    <w:tcW w:w="291" w:type="pct"/>
                    <w:shd w:val="clear" w:color="auto" w:fill="auto"/>
                    <w:vAlign w:val="center"/>
                  </w:tcPr>
                  <w:p w14:paraId="4199C229" w14:textId="77777777" w:rsidR="007E7472" w:rsidRDefault="00C8327E">
                    <w:pPr>
                      <w:jc w:val="right"/>
                      <w:rPr>
                        <w:w w:val="92"/>
                      </w:rPr>
                    </w:pPr>
                  </w:p>
                </w:tc>
                <w:tc>
                  <w:tcPr>
                    <w:tcW w:w="309" w:type="pct"/>
                    <w:shd w:val="clear" w:color="auto" w:fill="auto"/>
                    <w:vAlign w:val="center"/>
                  </w:tcPr>
                  <w:p w14:paraId="42BA846C" w14:textId="77777777" w:rsidR="007E7472" w:rsidRDefault="00C8327E">
                    <w:pPr>
                      <w:jc w:val="right"/>
                      <w:rPr>
                        <w:w w:val="92"/>
                      </w:rPr>
                    </w:pPr>
                  </w:p>
                </w:tc>
                <w:tc>
                  <w:tcPr>
                    <w:tcW w:w="480" w:type="pct"/>
                    <w:shd w:val="clear" w:color="auto" w:fill="auto"/>
                    <w:vAlign w:val="center"/>
                  </w:tcPr>
                  <w:p w14:paraId="087701CC" w14:textId="77777777" w:rsidR="007E7472" w:rsidRDefault="00C8327E">
                    <w:pPr>
                      <w:jc w:val="right"/>
                      <w:rPr>
                        <w:w w:val="92"/>
                      </w:rPr>
                    </w:pPr>
                  </w:p>
                </w:tc>
                <w:tc>
                  <w:tcPr>
                    <w:tcW w:w="658" w:type="pct"/>
                    <w:shd w:val="clear" w:color="auto" w:fill="auto"/>
                    <w:vAlign w:val="center"/>
                  </w:tcPr>
                  <w:p w14:paraId="588CAB6D" w14:textId="77777777" w:rsidR="007E7472" w:rsidRDefault="00C8327E">
                    <w:pPr>
                      <w:jc w:val="right"/>
                      <w:rPr>
                        <w:w w:val="92"/>
                      </w:rPr>
                    </w:pPr>
                  </w:p>
                </w:tc>
                <w:tc>
                  <w:tcPr>
                    <w:tcW w:w="558" w:type="pct"/>
                    <w:shd w:val="clear" w:color="auto" w:fill="auto"/>
                    <w:vAlign w:val="center"/>
                  </w:tcPr>
                  <w:p w14:paraId="279956E8" w14:textId="77777777" w:rsidR="007E7472" w:rsidRDefault="00EC1269">
                    <w:pPr>
                      <w:jc w:val="right"/>
                      <w:rPr>
                        <w:w w:val="92"/>
                      </w:rPr>
                    </w:pPr>
                    <w:r>
                      <w:rPr>
                        <w:w w:val="92"/>
                      </w:rPr>
                      <w:t>5,000</w:t>
                    </w:r>
                  </w:p>
                </w:tc>
                <w:tc>
                  <w:tcPr>
                    <w:tcW w:w="698" w:type="pct"/>
                    <w:shd w:val="clear" w:color="auto" w:fill="auto"/>
                    <w:vAlign w:val="center"/>
                  </w:tcPr>
                  <w:p w14:paraId="40A7C1BF" w14:textId="77777777" w:rsidR="007E7472" w:rsidRDefault="00EC1269">
                    <w:pPr>
                      <w:jc w:val="right"/>
                      <w:rPr>
                        <w:w w:val="92"/>
                      </w:rPr>
                    </w:pPr>
                    <w:r>
                      <w:rPr>
                        <w:w w:val="92"/>
                      </w:rPr>
                      <w:t>498,500</w:t>
                    </w:r>
                  </w:p>
                </w:tc>
              </w:tr>
            </w:sdtContent>
          </w:sdt>
          <w:sdt>
            <w:sdtPr>
              <w:rPr>
                <w:rFonts w:hint="eastAsia"/>
                <w:w w:val="92"/>
              </w:rPr>
              <w:alias w:val="其他权益工具下发行在外的优先股、永续债等金融工具变动情况表明细"/>
              <w:tag w:val="_GBC_20f230eab0284a7693900d7a33813e89"/>
              <w:id w:val="-1446223536"/>
              <w:lock w:val="sdtLocked"/>
            </w:sdtPr>
            <w:sdtEndPr>
              <w:rPr>
                <w:rFonts w:hint="default"/>
              </w:rPr>
            </w:sdtEndPr>
            <w:sdtContent>
              <w:tr w:rsidR="007E7472" w14:paraId="1E9516F4" w14:textId="77777777" w:rsidTr="007E7472">
                <w:trPr>
                  <w:trHeight w:val="340"/>
                </w:trPr>
                <w:tc>
                  <w:tcPr>
                    <w:tcW w:w="720" w:type="pct"/>
                    <w:shd w:val="clear" w:color="auto" w:fill="auto"/>
                  </w:tcPr>
                  <w:p w14:paraId="3C72AAB3" w14:textId="77777777" w:rsidR="007E7472" w:rsidRDefault="00EC1269">
                    <w:pPr>
                      <w:rPr>
                        <w:w w:val="92"/>
                      </w:rPr>
                    </w:pPr>
                    <w:r>
                      <w:rPr>
                        <w:w w:val="92"/>
                      </w:rPr>
                      <w:t>22兖矿能源MIN002（注7）</w:t>
                    </w:r>
                  </w:p>
                </w:tc>
                <w:tc>
                  <w:tcPr>
                    <w:tcW w:w="563" w:type="pct"/>
                    <w:shd w:val="clear" w:color="auto" w:fill="auto"/>
                    <w:vAlign w:val="center"/>
                  </w:tcPr>
                  <w:p w14:paraId="160B78E9" w14:textId="77777777" w:rsidR="007E7472" w:rsidRDefault="00EC1269">
                    <w:pPr>
                      <w:jc w:val="right"/>
                      <w:rPr>
                        <w:w w:val="92"/>
                      </w:rPr>
                    </w:pPr>
                    <w:r>
                      <w:rPr>
                        <w:w w:val="92"/>
                      </w:rPr>
                      <w:t>20,000</w:t>
                    </w:r>
                  </w:p>
                </w:tc>
                <w:tc>
                  <w:tcPr>
                    <w:tcW w:w="723" w:type="pct"/>
                    <w:shd w:val="clear" w:color="auto" w:fill="auto"/>
                    <w:vAlign w:val="center"/>
                  </w:tcPr>
                  <w:p w14:paraId="512A3AFD" w14:textId="77777777" w:rsidR="007E7472" w:rsidRDefault="00EC1269">
                    <w:pPr>
                      <w:jc w:val="right"/>
                      <w:rPr>
                        <w:w w:val="92"/>
                      </w:rPr>
                    </w:pPr>
                    <w:r>
                      <w:rPr>
                        <w:w w:val="92"/>
                      </w:rPr>
                      <w:t>1,996,400</w:t>
                    </w:r>
                  </w:p>
                </w:tc>
                <w:tc>
                  <w:tcPr>
                    <w:tcW w:w="291" w:type="pct"/>
                    <w:shd w:val="clear" w:color="auto" w:fill="auto"/>
                    <w:vAlign w:val="center"/>
                  </w:tcPr>
                  <w:p w14:paraId="5C25EC87" w14:textId="77777777" w:rsidR="007E7472" w:rsidRDefault="00C8327E">
                    <w:pPr>
                      <w:jc w:val="right"/>
                      <w:rPr>
                        <w:w w:val="92"/>
                      </w:rPr>
                    </w:pPr>
                  </w:p>
                </w:tc>
                <w:tc>
                  <w:tcPr>
                    <w:tcW w:w="309" w:type="pct"/>
                    <w:shd w:val="clear" w:color="auto" w:fill="auto"/>
                    <w:vAlign w:val="center"/>
                  </w:tcPr>
                  <w:p w14:paraId="35EFD11C" w14:textId="77777777" w:rsidR="007E7472" w:rsidRDefault="00C8327E">
                    <w:pPr>
                      <w:jc w:val="right"/>
                      <w:rPr>
                        <w:w w:val="92"/>
                      </w:rPr>
                    </w:pPr>
                  </w:p>
                </w:tc>
                <w:tc>
                  <w:tcPr>
                    <w:tcW w:w="480" w:type="pct"/>
                    <w:shd w:val="clear" w:color="auto" w:fill="auto"/>
                    <w:vAlign w:val="center"/>
                  </w:tcPr>
                  <w:p w14:paraId="4C35DF63" w14:textId="77777777" w:rsidR="007E7472" w:rsidRDefault="00C8327E">
                    <w:pPr>
                      <w:jc w:val="right"/>
                      <w:rPr>
                        <w:w w:val="92"/>
                      </w:rPr>
                    </w:pPr>
                  </w:p>
                </w:tc>
                <w:tc>
                  <w:tcPr>
                    <w:tcW w:w="658" w:type="pct"/>
                    <w:shd w:val="clear" w:color="auto" w:fill="auto"/>
                    <w:vAlign w:val="center"/>
                  </w:tcPr>
                  <w:p w14:paraId="49C7A5FE" w14:textId="77777777" w:rsidR="007E7472" w:rsidRDefault="00C8327E">
                    <w:pPr>
                      <w:jc w:val="right"/>
                      <w:rPr>
                        <w:w w:val="92"/>
                      </w:rPr>
                    </w:pPr>
                  </w:p>
                </w:tc>
                <w:tc>
                  <w:tcPr>
                    <w:tcW w:w="558" w:type="pct"/>
                    <w:shd w:val="clear" w:color="auto" w:fill="auto"/>
                    <w:vAlign w:val="center"/>
                  </w:tcPr>
                  <w:p w14:paraId="0B37D0A0" w14:textId="77777777" w:rsidR="007E7472" w:rsidRDefault="00EC1269">
                    <w:pPr>
                      <w:jc w:val="right"/>
                      <w:rPr>
                        <w:w w:val="92"/>
                      </w:rPr>
                    </w:pPr>
                    <w:r>
                      <w:rPr>
                        <w:w w:val="92"/>
                      </w:rPr>
                      <w:t>20,000</w:t>
                    </w:r>
                  </w:p>
                </w:tc>
                <w:tc>
                  <w:tcPr>
                    <w:tcW w:w="698" w:type="pct"/>
                    <w:shd w:val="clear" w:color="auto" w:fill="auto"/>
                    <w:vAlign w:val="center"/>
                  </w:tcPr>
                  <w:p w14:paraId="774B4B4F" w14:textId="77777777" w:rsidR="007E7472" w:rsidRDefault="00EC1269">
                    <w:pPr>
                      <w:jc w:val="right"/>
                      <w:rPr>
                        <w:w w:val="92"/>
                      </w:rPr>
                    </w:pPr>
                    <w:r>
                      <w:rPr>
                        <w:w w:val="92"/>
                      </w:rPr>
                      <w:t>1,996,400</w:t>
                    </w:r>
                  </w:p>
                </w:tc>
              </w:tr>
            </w:sdtContent>
          </w:sdt>
          <w:tr w:rsidR="007E7472" w14:paraId="56663625" w14:textId="77777777" w:rsidTr="007E7472">
            <w:trPr>
              <w:trHeight w:val="340"/>
            </w:trPr>
            <w:sdt>
              <w:sdtPr>
                <w:rPr>
                  <w:w w:val="92"/>
                </w:rPr>
                <w:tag w:val="_PLD_67617dc816b24eba9c28348f2efa0cc1"/>
                <w:id w:val="-2070789123"/>
                <w:lock w:val="sdtLocked"/>
              </w:sdtPr>
              <w:sdtEndPr/>
              <w:sdtContent>
                <w:tc>
                  <w:tcPr>
                    <w:tcW w:w="720" w:type="pct"/>
                    <w:shd w:val="clear" w:color="auto" w:fill="auto"/>
                    <w:vAlign w:val="center"/>
                  </w:tcPr>
                  <w:p w14:paraId="589E4EDA" w14:textId="77777777" w:rsidR="007E7472" w:rsidRDefault="00EC1269">
                    <w:pPr>
                      <w:jc w:val="center"/>
                      <w:rPr>
                        <w:w w:val="92"/>
                      </w:rPr>
                    </w:pPr>
                    <w:r>
                      <w:rPr>
                        <w:rFonts w:hint="eastAsia"/>
                        <w:w w:val="92"/>
                      </w:rPr>
                      <w:t>合计</w:t>
                    </w:r>
                  </w:p>
                </w:tc>
              </w:sdtContent>
            </w:sdt>
            <w:tc>
              <w:tcPr>
                <w:tcW w:w="563" w:type="pct"/>
                <w:shd w:val="clear" w:color="auto" w:fill="auto"/>
                <w:vAlign w:val="center"/>
              </w:tcPr>
              <w:p w14:paraId="4C43F496" w14:textId="77777777" w:rsidR="007E7472" w:rsidRDefault="00EC1269">
                <w:pPr>
                  <w:jc w:val="right"/>
                  <w:rPr>
                    <w:w w:val="92"/>
                  </w:rPr>
                </w:pPr>
                <w:r>
                  <w:rPr>
                    <w:w w:val="92"/>
                  </w:rPr>
                  <w:t>130,000</w:t>
                </w:r>
              </w:p>
            </w:tc>
            <w:tc>
              <w:tcPr>
                <w:tcW w:w="723" w:type="pct"/>
                <w:shd w:val="clear" w:color="auto" w:fill="auto"/>
                <w:vAlign w:val="center"/>
              </w:tcPr>
              <w:p w14:paraId="660AEDD7" w14:textId="77777777" w:rsidR="007E7472" w:rsidRDefault="00EC1269">
                <w:pPr>
                  <w:jc w:val="right"/>
                  <w:rPr>
                    <w:w w:val="92"/>
                  </w:rPr>
                </w:pPr>
                <w:r>
                  <w:rPr>
                    <w:w w:val="92"/>
                  </w:rPr>
                  <w:t>12,974,670</w:t>
                </w:r>
              </w:p>
            </w:tc>
            <w:tc>
              <w:tcPr>
                <w:tcW w:w="291" w:type="pct"/>
                <w:shd w:val="clear" w:color="auto" w:fill="auto"/>
                <w:vAlign w:val="center"/>
              </w:tcPr>
              <w:p w14:paraId="4C5338A8" w14:textId="77777777" w:rsidR="007E7472" w:rsidRDefault="00C8327E">
                <w:pPr>
                  <w:jc w:val="right"/>
                  <w:rPr>
                    <w:w w:val="92"/>
                  </w:rPr>
                </w:pPr>
              </w:p>
            </w:tc>
            <w:tc>
              <w:tcPr>
                <w:tcW w:w="309" w:type="pct"/>
                <w:shd w:val="clear" w:color="auto" w:fill="auto"/>
                <w:vAlign w:val="center"/>
              </w:tcPr>
              <w:p w14:paraId="2FB15FEC" w14:textId="77777777" w:rsidR="007E7472" w:rsidRDefault="00C8327E">
                <w:pPr>
                  <w:jc w:val="right"/>
                  <w:rPr>
                    <w:w w:val="92"/>
                  </w:rPr>
                </w:pPr>
              </w:p>
            </w:tc>
            <w:tc>
              <w:tcPr>
                <w:tcW w:w="480" w:type="pct"/>
                <w:shd w:val="clear" w:color="auto" w:fill="auto"/>
                <w:vAlign w:val="center"/>
              </w:tcPr>
              <w:p w14:paraId="42B9A0E0" w14:textId="77777777" w:rsidR="007E7472" w:rsidRDefault="00EC1269">
                <w:pPr>
                  <w:jc w:val="right"/>
                  <w:rPr>
                    <w:w w:val="92"/>
                  </w:rPr>
                </w:pPr>
                <w:r>
                  <w:rPr>
                    <w:w w:val="92"/>
                  </w:rPr>
                  <w:t>17,000</w:t>
                </w:r>
              </w:p>
            </w:tc>
            <w:tc>
              <w:tcPr>
                <w:tcW w:w="658" w:type="pct"/>
                <w:shd w:val="clear" w:color="auto" w:fill="auto"/>
                <w:vAlign w:val="center"/>
              </w:tcPr>
              <w:p w14:paraId="665D776E" w14:textId="77777777" w:rsidR="007E7472" w:rsidRDefault="00EC1269">
                <w:pPr>
                  <w:jc w:val="right"/>
                  <w:rPr>
                    <w:w w:val="92"/>
                  </w:rPr>
                </w:pPr>
                <w:r>
                  <w:rPr>
                    <w:w w:val="92"/>
                  </w:rPr>
                  <w:t>1,696,600</w:t>
                </w:r>
              </w:p>
            </w:tc>
            <w:tc>
              <w:tcPr>
                <w:tcW w:w="558" w:type="pct"/>
                <w:shd w:val="clear" w:color="auto" w:fill="auto"/>
                <w:vAlign w:val="center"/>
              </w:tcPr>
              <w:p w14:paraId="2ABBB0CC" w14:textId="77777777" w:rsidR="007E7472" w:rsidRDefault="00EC1269">
                <w:pPr>
                  <w:jc w:val="right"/>
                  <w:rPr>
                    <w:w w:val="92"/>
                  </w:rPr>
                </w:pPr>
                <w:r>
                  <w:rPr>
                    <w:w w:val="92"/>
                  </w:rPr>
                  <w:t>113,000</w:t>
                </w:r>
              </w:p>
            </w:tc>
            <w:tc>
              <w:tcPr>
                <w:tcW w:w="698" w:type="pct"/>
                <w:shd w:val="clear" w:color="auto" w:fill="auto"/>
                <w:vAlign w:val="center"/>
              </w:tcPr>
              <w:p w14:paraId="7D7A42EB" w14:textId="77777777" w:rsidR="007E7472" w:rsidRDefault="00EC1269">
                <w:pPr>
                  <w:jc w:val="right"/>
                  <w:rPr>
                    <w:w w:val="92"/>
                  </w:rPr>
                </w:pPr>
                <w:r>
                  <w:rPr>
                    <w:w w:val="92"/>
                  </w:rPr>
                  <w:t>11,278,070</w:t>
                </w:r>
              </w:p>
            </w:tc>
          </w:tr>
        </w:tbl>
        <w:p w14:paraId="2A37FE30" w14:textId="77777777" w:rsidR="007E7472" w:rsidRDefault="00EC1269">
          <w:pPr>
            <w:spacing w:beforeLines="50" w:before="156" w:afterLines="50" w:after="156" w:line="360" w:lineRule="exact"/>
            <w:ind w:firstLineChars="200" w:firstLine="420"/>
            <w:rPr>
              <w:bCs/>
            </w:rPr>
          </w:pPr>
          <w:r>
            <w:rPr>
              <w:rFonts w:hint="eastAsia"/>
              <w:bCs/>
            </w:rPr>
            <w:t>注</w:t>
          </w:r>
          <w:r>
            <w:rPr>
              <w:bCs/>
            </w:rPr>
            <w:t>1：本公司于2021年11月24日发行2021年度第二期中期票据，总金额为2,000,000千元人民币，扣除发行费用，实际募集资金1,996,400千元，此工具无固定偿还期限。本公司本年按照3.67％的利率向债券购买人支付利息。</w:t>
          </w:r>
        </w:p>
        <w:p w14:paraId="411F3B9F" w14:textId="77777777" w:rsidR="007E7472" w:rsidRDefault="00EC1269">
          <w:pPr>
            <w:spacing w:beforeLines="50" w:before="156" w:afterLines="50" w:after="156" w:line="360" w:lineRule="exact"/>
            <w:ind w:firstLineChars="200" w:firstLine="420"/>
            <w:rPr>
              <w:bCs/>
            </w:rPr>
          </w:pPr>
          <w:r>
            <w:rPr>
              <w:rFonts w:hint="eastAsia"/>
              <w:bCs/>
            </w:rPr>
            <w:t>注</w:t>
          </w:r>
          <w:r>
            <w:rPr>
              <w:bCs/>
            </w:rPr>
            <w:t>2：本公司于2021年6月21日发行2021年可续期公司债券品种一（债券简称：21兖煤Y1)，总金额为1,700,000千元，扣除发行费用，实际募集资金1,696,600千元，此工具无固定偿还期限。本公司于2023年6月19日兑付中信银行永续债（21兖煤Y1）本息。</w:t>
          </w:r>
        </w:p>
        <w:p w14:paraId="663F27D7" w14:textId="77777777" w:rsidR="007E7472" w:rsidRDefault="00EC1269">
          <w:pPr>
            <w:spacing w:beforeLines="50" w:before="156" w:afterLines="50" w:after="156" w:line="360" w:lineRule="exact"/>
            <w:ind w:firstLineChars="200" w:firstLine="420"/>
            <w:rPr>
              <w:bCs/>
            </w:rPr>
          </w:pPr>
          <w:r>
            <w:rPr>
              <w:rFonts w:hint="eastAsia"/>
              <w:bCs/>
            </w:rPr>
            <w:t>注</w:t>
          </w:r>
          <w:r>
            <w:rPr>
              <w:bCs/>
            </w:rPr>
            <w:t>3：本公司于2021年6月21日发行2021年可续期公司债券品种二（债券简称：21兖煤Y2)，总金额为3,000,000千元，扣除发行费用，实际募集资金3,293,070千元，此工具无固定偿还期限。本公司本年按照4.40％的利率向债券购买人支付利息。</w:t>
          </w:r>
        </w:p>
        <w:p w14:paraId="1FE83E38" w14:textId="77777777" w:rsidR="007E7472" w:rsidRDefault="00EC1269">
          <w:pPr>
            <w:spacing w:beforeLines="50" w:before="156" w:afterLines="50" w:after="156" w:line="360" w:lineRule="exact"/>
            <w:ind w:firstLineChars="200" w:firstLine="420"/>
            <w:rPr>
              <w:bCs/>
            </w:rPr>
          </w:pPr>
          <w:r>
            <w:rPr>
              <w:rFonts w:hint="eastAsia"/>
              <w:bCs/>
            </w:rPr>
            <w:t>注</w:t>
          </w:r>
          <w:r>
            <w:rPr>
              <w:bCs/>
            </w:rPr>
            <w:t>4：本公司于2021年8月19日发行2021年可续期公司债券品种四（债券简称：21兖煤Y4)，总金额为1,000,000千元，扣除发行费用，实际募集资金998,200千元，此工具无固定偿还期限。本公司本年按照3.54％的利率向债券购买人支付利息。</w:t>
          </w:r>
        </w:p>
        <w:p w14:paraId="2BA7BF64" w14:textId="77777777" w:rsidR="007E7472" w:rsidRDefault="00EC1269">
          <w:pPr>
            <w:spacing w:beforeLines="50" w:before="156" w:afterLines="50" w:after="156" w:line="360" w:lineRule="exact"/>
            <w:ind w:firstLineChars="200" w:firstLine="420"/>
            <w:rPr>
              <w:bCs/>
            </w:rPr>
          </w:pPr>
          <w:r>
            <w:rPr>
              <w:rFonts w:hint="eastAsia"/>
              <w:bCs/>
            </w:rPr>
            <w:t>注</w:t>
          </w:r>
          <w:r>
            <w:rPr>
              <w:bCs/>
            </w:rPr>
            <w:t>5：本公司于2022年5月18日发行</w:t>
          </w:r>
          <w:r>
            <w:rPr>
              <w:rFonts w:hint="eastAsia"/>
              <w:bCs/>
            </w:rPr>
            <w:t>兖</w:t>
          </w:r>
          <w:r>
            <w:rPr>
              <w:bCs/>
            </w:rPr>
            <w:t>矿能源集团股份有限公司2022年度第一期中期票据（品种一）（债券简称：22兖矿能源MTNO01A)，总金额为2,500,000千元，扣除发行费用，实际募集资2,495,500千元，此工具无固定偿还期限。本公司本年按照3.28％的利率向债券购买人支付利息。</w:t>
          </w:r>
        </w:p>
        <w:p w14:paraId="5D661905" w14:textId="77777777" w:rsidR="007E7472" w:rsidRDefault="00EC1269">
          <w:pPr>
            <w:spacing w:beforeLines="50" w:before="156" w:afterLines="50" w:after="156" w:line="360" w:lineRule="exact"/>
            <w:ind w:firstLineChars="200" w:firstLine="420"/>
            <w:rPr>
              <w:bCs/>
            </w:rPr>
          </w:pPr>
          <w:r>
            <w:rPr>
              <w:rFonts w:hint="eastAsia"/>
              <w:bCs/>
            </w:rPr>
            <w:t>注</w:t>
          </w:r>
          <w:r>
            <w:rPr>
              <w:bCs/>
            </w:rPr>
            <w:t>6：本公司2022年5月18日发行兖矿能源集团股份有限公司2022年度第一期中期票据（品种二）（债券简称：22兖矿能源MTNO01B)，总金额为500,000千元，扣除发行费用，实际募集资金498,500千元，此工具无固定偿还期限。本公司本年按照3.71％的利率向债券购买人支付利息。</w:t>
          </w:r>
        </w:p>
        <w:p w14:paraId="30DACFC6" w14:textId="77777777" w:rsidR="007E7472" w:rsidRDefault="00EC1269">
          <w:pPr>
            <w:spacing w:beforeLines="50" w:before="156" w:afterLines="50" w:after="156" w:line="360" w:lineRule="exact"/>
            <w:ind w:firstLineChars="200" w:firstLine="420"/>
            <w:rPr>
              <w:bCs/>
            </w:rPr>
          </w:pPr>
          <w:r>
            <w:rPr>
              <w:rFonts w:hint="eastAsia"/>
              <w:bCs/>
            </w:rPr>
            <w:lastRenderedPageBreak/>
            <w:t>注</w:t>
          </w:r>
          <w:r>
            <w:rPr>
              <w:bCs/>
            </w:rPr>
            <w:t>7：本公司于2022年6月8日发行兖矿能源集团股份有限公司2022年度第二期中期票据（债券简称：22兖矿能源MTN002），总金额为2,000,000千元，扣除发行费用，实际募集资金1,996,400千元，此工具无固定偿还期限。本公司本年按照3.30%的利率向债券购买人支付利息。</w:t>
          </w:r>
        </w:p>
        <w:p w14:paraId="5561BB8A" w14:textId="77777777" w:rsidR="007E7472" w:rsidRDefault="00EC1269">
          <w:r>
            <w:rPr>
              <w:rFonts w:hint="eastAsia"/>
            </w:rPr>
            <w:t>其他权益工具本期增减变动情况、变动原因说明，以及相关会计处理的依据：</w:t>
          </w:r>
        </w:p>
        <w:sdt>
          <w:sdtPr>
            <w:alias w:val="是否适用：其他权益工具本期增减变动情况、变动原因说明，以及相关会计处理的依据[双击切换]"/>
            <w:tag w:val="_GBC_6229f0070f0a4c838e1e39f678f8a7bb"/>
            <w:id w:val="-1771536458"/>
            <w:lock w:val="sdtLocked"/>
            <w:placeholder>
              <w:docPart w:val="GBC22222222222222222222222222222"/>
            </w:placeholder>
          </w:sdtPr>
          <w:sdtEndPr/>
          <w:sdtContent>
            <w:p w14:paraId="21648A75" w14:textId="77777777" w:rsidR="007E7472" w:rsidRDefault="00EC1269">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29205E82" w14:textId="77777777" w:rsidR="007E7472" w:rsidRDefault="00C8327E"/>
        <w:p w14:paraId="59D656F3" w14:textId="77777777" w:rsidR="007E7472" w:rsidRDefault="00EC1269">
          <w:r>
            <w:rPr>
              <w:rFonts w:hint="eastAsia"/>
            </w:rPr>
            <w:t>其他说明：</w:t>
          </w:r>
        </w:p>
        <w:sdt>
          <w:sdtPr>
            <w:alias w:val="是否适用：其他权益工具的其他说明[双击切换]"/>
            <w:tag w:val="_GBC_297d299126b041159b18d012f9a18c2e"/>
            <w:id w:val="-832451944"/>
            <w:lock w:val="sdtLocked"/>
            <w:placeholder>
              <w:docPart w:val="GBC22222222222222222222222222222"/>
            </w:placeholder>
          </w:sdtPr>
          <w:sdtEndPr/>
          <w:sdtContent>
            <w:p w14:paraId="0ED28B30" w14:textId="77777777" w:rsidR="007E7472" w:rsidRDefault="00EC1269">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3E325AEC" w14:textId="77777777" w:rsidR="007E7472" w:rsidRDefault="00C8327E"/>
      </w:sdtContent>
    </w:sdt>
    <w:sdt>
      <w:sdtPr>
        <w:rPr>
          <w:rFonts w:ascii="宋体" w:hAnsi="宋体" w:cs="宋体" w:hint="eastAsia"/>
          <w:b w:val="0"/>
          <w:bCs w:val="0"/>
          <w:kern w:val="0"/>
          <w:sz w:val="20"/>
          <w:szCs w:val="21"/>
        </w:rPr>
        <w:alias w:val="模块:资本公积"/>
        <w:tag w:val="_GBC_23fef1c643714b9f82710e33a1bef935"/>
        <w:id w:val="805357183"/>
        <w:lock w:val="sdtLocked"/>
        <w:placeholder>
          <w:docPart w:val="GBC22222222222222222222222222222"/>
        </w:placeholder>
      </w:sdtPr>
      <w:sdtEndPr>
        <w:rPr>
          <w:sz w:val="21"/>
        </w:rPr>
      </w:sdtEndPr>
      <w:sdtContent>
        <w:p w14:paraId="2CD6E933" w14:textId="77777777" w:rsidR="007E7472" w:rsidRDefault="00EC1269" w:rsidP="00162493">
          <w:pPr>
            <w:pStyle w:val="3"/>
            <w:numPr>
              <w:ilvl w:val="0"/>
              <w:numId w:val="62"/>
            </w:numPr>
          </w:pPr>
          <w:r>
            <w:rPr>
              <w:rFonts w:hint="eastAsia"/>
            </w:rPr>
            <w:t>资本公积</w:t>
          </w:r>
        </w:p>
        <w:sdt>
          <w:sdtPr>
            <w:alias w:val="是否适用：资本公积[双击切换]"/>
            <w:tag w:val="_GBC_70f32b67ce344a03adfc93d4ed72949a"/>
            <w:id w:val="108320715"/>
            <w:lock w:val="sdtLocked"/>
            <w:placeholder>
              <w:docPart w:val="GBC22222222222222222222222222222"/>
            </w:placeholder>
          </w:sdtPr>
          <w:sdtEndPr/>
          <w:sdtContent>
            <w:p w14:paraId="4BBD1EB8" w14:textId="77777777" w:rsidR="007E7472" w:rsidRDefault="00EC1269">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315066D7" w14:textId="6B73FC28" w:rsidR="007E7472" w:rsidRDefault="00EC1269">
          <w:pPr>
            <w:jc w:val="right"/>
          </w:pPr>
          <w:r>
            <w:rPr>
              <w:rFonts w:hint="eastAsia"/>
            </w:rPr>
            <w:t>单位：</w:t>
          </w:r>
          <w:sdt>
            <w:sdtPr>
              <w:rPr>
                <w:rFonts w:hint="eastAsia"/>
              </w:rPr>
              <w:alias w:val="单位：财务附注：资本公积"/>
              <w:tag w:val="_GBC_88633009fdc64f4e8238c38541b33615"/>
              <w:id w:val="-3452566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资本公积"/>
              <w:tag w:val="_GBC_636aa96d47cb426abc64fc00b61c9353"/>
              <w:id w:val="-8375336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599"/>
            <w:gridCol w:w="1807"/>
            <w:gridCol w:w="1791"/>
            <w:gridCol w:w="1788"/>
          </w:tblGrid>
          <w:tr w:rsidR="007E7472" w14:paraId="042AD54B" w14:textId="77777777" w:rsidTr="007E7472">
            <w:trPr>
              <w:trHeight w:val="437"/>
            </w:trPr>
            <w:sdt>
              <w:sdtPr>
                <w:tag w:val="_PLD_177c011500e64862903c4c16dbb2f31f"/>
                <w:id w:val="1550582979"/>
                <w:lock w:val="sdtLocked"/>
              </w:sdtPr>
              <w:sdtEndPr/>
              <w:sdtContent>
                <w:tc>
                  <w:tcPr>
                    <w:tcW w:w="1042" w:type="pct"/>
                    <w:vAlign w:val="center"/>
                  </w:tcPr>
                  <w:p w14:paraId="74861274" w14:textId="77777777" w:rsidR="007E7472" w:rsidRDefault="00EC1269">
                    <w:pPr>
                      <w:autoSpaceDE w:val="0"/>
                      <w:autoSpaceDN w:val="0"/>
                      <w:adjustRightInd w:val="0"/>
                      <w:snapToGrid w:val="0"/>
                      <w:jc w:val="center"/>
                    </w:pPr>
                    <w:r>
                      <w:rPr>
                        <w:rFonts w:hint="eastAsia"/>
                      </w:rPr>
                      <w:t>项目</w:t>
                    </w:r>
                  </w:p>
                </w:tc>
              </w:sdtContent>
            </w:sdt>
            <w:sdt>
              <w:sdtPr>
                <w:tag w:val="_PLD_1519f0add67f49df9173f37c00215eef"/>
                <w:id w:val="45187746"/>
                <w:lock w:val="sdtLocked"/>
              </w:sdtPr>
              <w:sdtEndPr/>
              <w:sdtContent>
                <w:tc>
                  <w:tcPr>
                    <w:tcW w:w="906" w:type="pct"/>
                    <w:vAlign w:val="center"/>
                  </w:tcPr>
                  <w:p w14:paraId="567EEFDD" w14:textId="77777777" w:rsidR="007E7472" w:rsidRDefault="00EC1269">
                    <w:pPr>
                      <w:autoSpaceDE w:val="0"/>
                      <w:autoSpaceDN w:val="0"/>
                      <w:adjustRightInd w:val="0"/>
                      <w:snapToGrid w:val="0"/>
                      <w:jc w:val="center"/>
                    </w:pPr>
                    <w:r>
                      <w:rPr>
                        <w:rFonts w:hint="eastAsia"/>
                      </w:rPr>
                      <w:t>期初余额</w:t>
                    </w:r>
                  </w:p>
                </w:tc>
              </w:sdtContent>
            </w:sdt>
            <w:sdt>
              <w:sdtPr>
                <w:tag w:val="_PLD_dcbf1fd9bcaa41fc8ff4def2d0e55143"/>
                <w:id w:val="-398284576"/>
                <w:lock w:val="sdtLocked"/>
              </w:sdtPr>
              <w:sdtEndPr/>
              <w:sdtContent>
                <w:tc>
                  <w:tcPr>
                    <w:tcW w:w="1024" w:type="pct"/>
                    <w:vAlign w:val="center"/>
                  </w:tcPr>
                  <w:p w14:paraId="5EC4D7B6" w14:textId="77777777" w:rsidR="007E7472" w:rsidRDefault="00EC1269">
                    <w:pPr>
                      <w:autoSpaceDE w:val="0"/>
                      <w:autoSpaceDN w:val="0"/>
                      <w:adjustRightInd w:val="0"/>
                      <w:snapToGrid w:val="0"/>
                      <w:jc w:val="center"/>
                    </w:pPr>
                    <w:r>
                      <w:rPr>
                        <w:rFonts w:hint="eastAsia"/>
                      </w:rPr>
                      <w:t>本期增加</w:t>
                    </w:r>
                  </w:p>
                </w:tc>
              </w:sdtContent>
            </w:sdt>
            <w:sdt>
              <w:sdtPr>
                <w:tag w:val="_PLD_9d88d0ce99474d389c660c414306497d"/>
                <w:id w:val="40944175"/>
                <w:lock w:val="sdtLocked"/>
              </w:sdtPr>
              <w:sdtEndPr/>
              <w:sdtContent>
                <w:tc>
                  <w:tcPr>
                    <w:tcW w:w="1015" w:type="pct"/>
                    <w:vAlign w:val="center"/>
                  </w:tcPr>
                  <w:p w14:paraId="40944692" w14:textId="77777777" w:rsidR="007E7472" w:rsidRDefault="00EC1269">
                    <w:pPr>
                      <w:autoSpaceDE w:val="0"/>
                      <w:autoSpaceDN w:val="0"/>
                      <w:adjustRightInd w:val="0"/>
                      <w:snapToGrid w:val="0"/>
                      <w:jc w:val="center"/>
                    </w:pPr>
                    <w:r>
                      <w:rPr>
                        <w:rFonts w:hint="eastAsia"/>
                      </w:rPr>
                      <w:t>本期减少</w:t>
                    </w:r>
                  </w:p>
                </w:tc>
              </w:sdtContent>
            </w:sdt>
            <w:sdt>
              <w:sdtPr>
                <w:tag w:val="_PLD_4c3f2255a4a24c1cae63eb0cc7781f12"/>
                <w:id w:val="-209953810"/>
                <w:lock w:val="sdtLocked"/>
              </w:sdtPr>
              <w:sdtEndPr/>
              <w:sdtContent>
                <w:tc>
                  <w:tcPr>
                    <w:tcW w:w="1014" w:type="pct"/>
                    <w:vAlign w:val="center"/>
                  </w:tcPr>
                  <w:p w14:paraId="136426A2" w14:textId="77777777" w:rsidR="007E7472" w:rsidRDefault="00EC1269">
                    <w:pPr>
                      <w:autoSpaceDE w:val="0"/>
                      <w:autoSpaceDN w:val="0"/>
                      <w:adjustRightInd w:val="0"/>
                      <w:snapToGrid w:val="0"/>
                      <w:jc w:val="center"/>
                    </w:pPr>
                    <w:r>
                      <w:rPr>
                        <w:rFonts w:hint="eastAsia"/>
                      </w:rPr>
                      <w:t>期末余额</w:t>
                    </w:r>
                  </w:p>
                </w:tc>
              </w:sdtContent>
            </w:sdt>
          </w:tr>
          <w:tr w:rsidR="007E7472" w14:paraId="0E075394" w14:textId="77777777">
            <w:sdt>
              <w:sdtPr>
                <w:tag w:val="_PLD_6f0c6094ea774cff87e6eacd4eb8ba12"/>
                <w:id w:val="543648043"/>
                <w:lock w:val="sdtLocked"/>
              </w:sdtPr>
              <w:sdtEndPr/>
              <w:sdtContent>
                <w:tc>
                  <w:tcPr>
                    <w:tcW w:w="1042" w:type="pct"/>
                    <w:shd w:val="clear" w:color="auto" w:fill="auto"/>
                  </w:tcPr>
                  <w:p w14:paraId="7A4559D0" w14:textId="77777777" w:rsidR="007E7472" w:rsidRDefault="00EC1269">
                    <w:pPr>
                      <w:autoSpaceDE w:val="0"/>
                      <w:autoSpaceDN w:val="0"/>
                      <w:adjustRightInd w:val="0"/>
                      <w:snapToGrid w:val="0"/>
                    </w:pPr>
                    <w:r>
                      <w:rPr>
                        <w:rFonts w:hint="eastAsia"/>
                      </w:rPr>
                      <w:t>资本溢价（股本溢价）</w:t>
                    </w:r>
                    <w:r>
                      <w:rPr>
                        <w:rFonts w:asciiTheme="minorHAnsi" w:eastAsiaTheme="minorEastAsia" w:hAnsiTheme="minorHAnsi" w:cstheme="minorBidi" w:hint="eastAsia"/>
                        <w:kern w:val="2"/>
                      </w:rPr>
                      <w:t>（注</w:t>
                    </w:r>
                    <w:r>
                      <w:rPr>
                        <w:rFonts w:asciiTheme="minorEastAsia" w:eastAsiaTheme="minorEastAsia" w:hAnsiTheme="minorEastAsia" w:cstheme="minorBidi"/>
                        <w:kern w:val="2"/>
                      </w:rPr>
                      <w:t>1</w:t>
                    </w:r>
                    <w:r>
                      <w:rPr>
                        <w:rFonts w:asciiTheme="minorHAnsi" w:eastAsiaTheme="minorEastAsia" w:hAnsiTheme="minorHAnsi" w:cstheme="minorBidi"/>
                        <w:kern w:val="2"/>
                      </w:rPr>
                      <w:t>）</w:t>
                    </w:r>
                  </w:p>
                </w:tc>
              </w:sdtContent>
            </w:sdt>
            <w:tc>
              <w:tcPr>
                <w:tcW w:w="906" w:type="pct"/>
                <w:shd w:val="clear" w:color="auto" w:fill="auto"/>
                <w:vAlign w:val="center"/>
              </w:tcPr>
              <w:p w14:paraId="519369E9" w14:textId="77777777" w:rsidR="007E7472" w:rsidRDefault="00EC1269">
                <w:pPr>
                  <w:autoSpaceDE w:val="0"/>
                  <w:autoSpaceDN w:val="0"/>
                  <w:adjustRightInd w:val="0"/>
                  <w:snapToGrid w:val="0"/>
                  <w:jc w:val="right"/>
                </w:pPr>
                <w:r>
                  <w:t>1,596,539</w:t>
                </w:r>
              </w:p>
            </w:tc>
            <w:tc>
              <w:tcPr>
                <w:tcW w:w="1024" w:type="pct"/>
                <w:shd w:val="clear" w:color="auto" w:fill="auto"/>
                <w:vAlign w:val="center"/>
              </w:tcPr>
              <w:p w14:paraId="1F52F879" w14:textId="77777777" w:rsidR="007E7472" w:rsidRDefault="00EC1269">
                <w:pPr>
                  <w:autoSpaceDE w:val="0"/>
                  <w:autoSpaceDN w:val="0"/>
                  <w:adjustRightInd w:val="0"/>
                  <w:snapToGrid w:val="0"/>
                  <w:jc w:val="right"/>
                </w:pPr>
                <w:r>
                  <w:t>86,664</w:t>
                </w:r>
              </w:p>
            </w:tc>
            <w:tc>
              <w:tcPr>
                <w:tcW w:w="1015" w:type="pct"/>
                <w:shd w:val="clear" w:color="auto" w:fill="auto"/>
                <w:vAlign w:val="center"/>
              </w:tcPr>
              <w:p w14:paraId="4D12F1DA" w14:textId="77777777" w:rsidR="007E7472" w:rsidRDefault="00EC1269">
                <w:pPr>
                  <w:autoSpaceDE w:val="0"/>
                  <w:autoSpaceDN w:val="0"/>
                  <w:adjustRightInd w:val="0"/>
                  <w:snapToGrid w:val="0"/>
                  <w:jc w:val="right"/>
                </w:pPr>
                <w:r>
                  <w:t>218,650</w:t>
                </w:r>
              </w:p>
            </w:tc>
            <w:tc>
              <w:tcPr>
                <w:tcW w:w="1014" w:type="pct"/>
                <w:shd w:val="clear" w:color="auto" w:fill="auto"/>
                <w:vAlign w:val="center"/>
              </w:tcPr>
              <w:p w14:paraId="6AD5255D" w14:textId="77777777" w:rsidR="007E7472" w:rsidRDefault="00EC1269">
                <w:pPr>
                  <w:autoSpaceDE w:val="0"/>
                  <w:autoSpaceDN w:val="0"/>
                  <w:adjustRightInd w:val="0"/>
                  <w:snapToGrid w:val="0"/>
                  <w:jc w:val="right"/>
                </w:pPr>
                <w:r>
                  <w:t>1,464,553</w:t>
                </w:r>
              </w:p>
            </w:tc>
          </w:tr>
          <w:tr w:rsidR="007E7472" w14:paraId="678E1F31" w14:textId="77777777">
            <w:sdt>
              <w:sdtPr>
                <w:tag w:val="_PLD_0d65c4a2c84c464d8e7b1cc66155d272"/>
                <w:id w:val="-215272383"/>
                <w:lock w:val="sdtLocked"/>
              </w:sdtPr>
              <w:sdtEndPr/>
              <w:sdtContent>
                <w:tc>
                  <w:tcPr>
                    <w:tcW w:w="1042" w:type="pct"/>
                    <w:shd w:val="clear" w:color="auto" w:fill="auto"/>
                  </w:tcPr>
                  <w:p w14:paraId="4A1E12BB" w14:textId="77777777" w:rsidR="007E7472" w:rsidRDefault="00EC1269">
                    <w:pPr>
                      <w:autoSpaceDE w:val="0"/>
                      <w:autoSpaceDN w:val="0"/>
                      <w:adjustRightInd w:val="0"/>
                      <w:snapToGrid w:val="0"/>
                    </w:pPr>
                    <w:r>
                      <w:rPr>
                        <w:rFonts w:hint="eastAsia"/>
                      </w:rPr>
                      <w:t>其他资本公积</w:t>
                    </w:r>
                    <w:r>
                      <w:rPr>
                        <w:rFonts w:asciiTheme="minorHAnsi" w:eastAsiaTheme="minorEastAsia" w:hAnsiTheme="minorHAnsi" w:cstheme="minorBidi" w:hint="eastAsia"/>
                        <w:kern w:val="2"/>
                      </w:rPr>
                      <w:t>（注</w:t>
                    </w:r>
                    <w:r>
                      <w:rPr>
                        <w:rFonts w:asciiTheme="minorEastAsia" w:eastAsiaTheme="minorEastAsia" w:hAnsiTheme="minorEastAsia" w:cstheme="minorBidi"/>
                        <w:kern w:val="2"/>
                      </w:rPr>
                      <w:t>2</w:t>
                    </w:r>
                    <w:r>
                      <w:rPr>
                        <w:rFonts w:asciiTheme="minorHAnsi" w:eastAsiaTheme="minorEastAsia" w:hAnsiTheme="minorHAnsi" w:cstheme="minorBidi"/>
                        <w:kern w:val="2"/>
                      </w:rPr>
                      <w:t>）</w:t>
                    </w:r>
                  </w:p>
                </w:tc>
              </w:sdtContent>
            </w:sdt>
            <w:tc>
              <w:tcPr>
                <w:tcW w:w="906" w:type="pct"/>
                <w:shd w:val="clear" w:color="auto" w:fill="auto"/>
                <w:vAlign w:val="center"/>
              </w:tcPr>
              <w:p w14:paraId="7EC17216" w14:textId="77777777" w:rsidR="007E7472" w:rsidRDefault="00EC1269">
                <w:pPr>
                  <w:autoSpaceDE w:val="0"/>
                  <w:autoSpaceDN w:val="0"/>
                  <w:adjustRightInd w:val="0"/>
                  <w:snapToGrid w:val="0"/>
                  <w:jc w:val="right"/>
                </w:pPr>
                <w:r>
                  <w:t>191,814</w:t>
                </w:r>
              </w:p>
            </w:tc>
            <w:tc>
              <w:tcPr>
                <w:tcW w:w="1024" w:type="pct"/>
                <w:shd w:val="clear" w:color="auto" w:fill="auto"/>
                <w:vAlign w:val="center"/>
              </w:tcPr>
              <w:p w14:paraId="5E42B43F" w14:textId="77777777" w:rsidR="007E7472" w:rsidRDefault="00EC1269">
                <w:pPr>
                  <w:autoSpaceDE w:val="0"/>
                  <w:autoSpaceDN w:val="0"/>
                  <w:adjustRightInd w:val="0"/>
                  <w:snapToGrid w:val="0"/>
                  <w:jc w:val="right"/>
                </w:pPr>
                <w:r>
                  <w:t>167,334</w:t>
                </w:r>
              </w:p>
            </w:tc>
            <w:tc>
              <w:tcPr>
                <w:tcW w:w="1015" w:type="pct"/>
                <w:shd w:val="clear" w:color="auto" w:fill="auto"/>
                <w:vAlign w:val="center"/>
              </w:tcPr>
              <w:p w14:paraId="4009B146" w14:textId="77777777" w:rsidR="007E7472" w:rsidRDefault="00EC1269">
                <w:pPr>
                  <w:autoSpaceDE w:val="0"/>
                  <w:autoSpaceDN w:val="0"/>
                  <w:adjustRightInd w:val="0"/>
                  <w:snapToGrid w:val="0"/>
                  <w:jc w:val="right"/>
                </w:pPr>
                <w:r>
                  <w:t>42,111</w:t>
                </w:r>
              </w:p>
            </w:tc>
            <w:tc>
              <w:tcPr>
                <w:tcW w:w="1014" w:type="pct"/>
                <w:shd w:val="clear" w:color="auto" w:fill="auto"/>
                <w:vAlign w:val="center"/>
              </w:tcPr>
              <w:p w14:paraId="4EE2A2D8" w14:textId="77777777" w:rsidR="007E7472" w:rsidRDefault="00EC1269">
                <w:pPr>
                  <w:autoSpaceDE w:val="0"/>
                  <w:autoSpaceDN w:val="0"/>
                  <w:adjustRightInd w:val="0"/>
                  <w:snapToGrid w:val="0"/>
                  <w:jc w:val="right"/>
                </w:pPr>
                <w:r>
                  <w:t>317,037</w:t>
                </w:r>
              </w:p>
            </w:tc>
          </w:tr>
          <w:tr w:rsidR="007E7472" w14:paraId="608F1C86" w14:textId="77777777" w:rsidTr="007E7472">
            <w:trPr>
              <w:trHeight w:val="431"/>
            </w:trPr>
            <w:sdt>
              <w:sdtPr>
                <w:tag w:val="_PLD_2d6988ed902d4f2a9c423d885cfc336e"/>
                <w:id w:val="-127868291"/>
                <w:lock w:val="sdtLocked"/>
              </w:sdtPr>
              <w:sdtEndPr/>
              <w:sdtContent>
                <w:tc>
                  <w:tcPr>
                    <w:tcW w:w="1042" w:type="pct"/>
                    <w:vAlign w:val="center"/>
                  </w:tcPr>
                  <w:p w14:paraId="524F9C20" w14:textId="77777777" w:rsidR="007E7472" w:rsidRDefault="00EC1269">
                    <w:pPr>
                      <w:autoSpaceDE w:val="0"/>
                      <w:autoSpaceDN w:val="0"/>
                      <w:adjustRightInd w:val="0"/>
                      <w:snapToGrid w:val="0"/>
                      <w:jc w:val="center"/>
                    </w:pPr>
                    <w:r>
                      <w:rPr>
                        <w:rFonts w:hint="eastAsia"/>
                      </w:rPr>
                      <w:t>合计</w:t>
                    </w:r>
                  </w:p>
                </w:tc>
              </w:sdtContent>
            </w:sdt>
            <w:tc>
              <w:tcPr>
                <w:tcW w:w="906" w:type="pct"/>
                <w:vAlign w:val="center"/>
              </w:tcPr>
              <w:p w14:paraId="53256518" w14:textId="77777777" w:rsidR="007E7472" w:rsidRDefault="00EC1269">
                <w:pPr>
                  <w:autoSpaceDE w:val="0"/>
                  <w:autoSpaceDN w:val="0"/>
                  <w:adjustRightInd w:val="0"/>
                  <w:snapToGrid w:val="0"/>
                  <w:jc w:val="right"/>
                </w:pPr>
                <w:r>
                  <w:t>1,788,353</w:t>
                </w:r>
              </w:p>
            </w:tc>
            <w:tc>
              <w:tcPr>
                <w:tcW w:w="1024" w:type="pct"/>
                <w:vAlign w:val="center"/>
              </w:tcPr>
              <w:p w14:paraId="5CA43204" w14:textId="77777777" w:rsidR="007E7472" w:rsidRDefault="00EC1269">
                <w:pPr>
                  <w:autoSpaceDE w:val="0"/>
                  <w:autoSpaceDN w:val="0"/>
                  <w:adjustRightInd w:val="0"/>
                  <w:snapToGrid w:val="0"/>
                  <w:jc w:val="right"/>
                </w:pPr>
                <w:r>
                  <w:t>253,998</w:t>
                </w:r>
              </w:p>
            </w:tc>
            <w:tc>
              <w:tcPr>
                <w:tcW w:w="1015" w:type="pct"/>
                <w:vAlign w:val="center"/>
              </w:tcPr>
              <w:p w14:paraId="221FBDAA" w14:textId="77777777" w:rsidR="007E7472" w:rsidRDefault="00EC1269">
                <w:pPr>
                  <w:autoSpaceDE w:val="0"/>
                  <w:autoSpaceDN w:val="0"/>
                  <w:adjustRightInd w:val="0"/>
                  <w:snapToGrid w:val="0"/>
                  <w:jc w:val="right"/>
                </w:pPr>
                <w:r>
                  <w:t>260,76</w:t>
                </w:r>
                <w:r>
                  <w:rPr>
                    <w:rFonts w:hint="eastAsia"/>
                  </w:rPr>
                  <w:t>1</w:t>
                </w:r>
              </w:p>
            </w:tc>
            <w:tc>
              <w:tcPr>
                <w:tcW w:w="1014" w:type="pct"/>
                <w:vAlign w:val="center"/>
              </w:tcPr>
              <w:p w14:paraId="36BBE00D" w14:textId="77777777" w:rsidR="007E7472" w:rsidRDefault="00EC1269">
                <w:pPr>
                  <w:autoSpaceDE w:val="0"/>
                  <w:autoSpaceDN w:val="0"/>
                  <w:adjustRightInd w:val="0"/>
                  <w:snapToGrid w:val="0"/>
                  <w:jc w:val="right"/>
                </w:pPr>
                <w:r>
                  <w:t>1,781,590</w:t>
                </w:r>
              </w:p>
            </w:tc>
          </w:tr>
        </w:tbl>
        <w:p w14:paraId="6D463DA8" w14:textId="77777777" w:rsidR="007E7472" w:rsidRDefault="00EC1269">
          <w:pPr>
            <w:spacing w:beforeLines="50" w:before="156" w:afterLines="50" w:after="156" w:line="360" w:lineRule="exact"/>
            <w:ind w:firstLineChars="200" w:firstLine="420"/>
            <w:jc w:val="both"/>
          </w:pPr>
          <w:r>
            <w:rPr>
              <w:rFonts w:hint="eastAsia"/>
            </w:rPr>
            <w:t>注1：股本溢价本年变动系本公司股票期权第三批次行权增加86,6</w:t>
          </w:r>
          <w:r>
            <w:t>64</w:t>
          </w:r>
          <w:r>
            <w:rPr>
              <w:rFonts w:hint="eastAsia"/>
            </w:rPr>
            <w:t>千元；同一控制下企业合并减少215,250千元，偿还永续债减少3,400千元。</w:t>
          </w:r>
        </w:p>
        <w:p w14:paraId="3AB85556" w14:textId="77777777" w:rsidR="007E7472" w:rsidRDefault="00EC1269">
          <w:pPr>
            <w:spacing w:beforeLines="50" w:before="156" w:afterLines="50" w:after="156" w:line="360" w:lineRule="exact"/>
            <w:ind w:firstLineChars="200" w:firstLine="420"/>
            <w:jc w:val="both"/>
          </w:pPr>
          <w:r>
            <w:rPr>
              <w:rFonts w:hint="eastAsia"/>
            </w:rPr>
            <w:t>注2：其他资本公积本年变动系计提股权激励费用增加142,954千元，联营企业股权变动增加24,380千元，期权行权减少42,111千元。</w:t>
          </w:r>
        </w:p>
      </w:sdtContent>
    </w:sdt>
    <w:sdt>
      <w:sdtPr>
        <w:rPr>
          <w:rFonts w:ascii="宋体" w:hAnsi="宋体" w:cs="宋体" w:hint="eastAsia"/>
          <w:b w:val="0"/>
          <w:bCs w:val="0"/>
          <w:kern w:val="0"/>
          <w:sz w:val="20"/>
          <w:szCs w:val="21"/>
        </w:rPr>
        <w:alias w:val="模块:库存股"/>
        <w:tag w:val="_GBC_02198eb4b89045c5af2f3bcd240e18af"/>
        <w:id w:val="521663703"/>
        <w:lock w:val="sdtLocked"/>
        <w:placeholder>
          <w:docPart w:val="GBC22222222222222222222222222222"/>
        </w:placeholder>
      </w:sdtPr>
      <w:sdtEndPr>
        <w:rPr>
          <w:rFonts w:cstheme="minorBidi" w:hint="default"/>
          <w:color w:val="000000" w:themeColor="text1"/>
        </w:rPr>
      </w:sdtEndPr>
      <w:sdtContent>
        <w:p w14:paraId="4CAE8F18" w14:textId="77777777" w:rsidR="007E7472" w:rsidRDefault="00EC1269" w:rsidP="00162493">
          <w:pPr>
            <w:pStyle w:val="3"/>
            <w:numPr>
              <w:ilvl w:val="0"/>
              <w:numId w:val="62"/>
            </w:numPr>
          </w:pPr>
          <w:r>
            <w:rPr>
              <w:rFonts w:hint="eastAsia"/>
            </w:rPr>
            <w:t>库存股</w:t>
          </w:r>
        </w:p>
        <w:sdt>
          <w:sdtPr>
            <w:alias w:val="是否适用：库存股[双击切换]"/>
            <w:tag w:val="_GBC_4aa47a6d9b1044aa8a049146d42c3e9c"/>
            <w:id w:val="1544473177"/>
            <w:lock w:val="sdtLocked"/>
            <w:placeholder>
              <w:docPart w:val="GBC22222222222222222222222222222"/>
            </w:placeholder>
          </w:sdtPr>
          <w:sdtEndPr/>
          <w:sdtContent>
            <w:p w14:paraId="5FB4772A" w14:textId="77777777" w:rsidR="007E7472" w:rsidRDefault="00EC1269">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294C723B" w14:textId="55445482" w:rsidR="007E7472" w:rsidRDefault="00EC1269">
          <w:pPr>
            <w:jc w:val="right"/>
          </w:pPr>
          <w:r>
            <w:rPr>
              <w:rFonts w:hint="eastAsia"/>
            </w:rPr>
            <w:t>单位：</w:t>
          </w:r>
          <w:sdt>
            <w:sdtPr>
              <w:rPr>
                <w:rFonts w:hint="eastAsia"/>
              </w:rPr>
              <w:alias w:val="单位：财务附注：库存股"/>
              <w:tag w:val="_GBC_2ec7280618184a6dbf8764020927134a"/>
              <w:id w:val="2748351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库存股"/>
              <w:tag w:val="_GBC_bcf1b0dc9f44435981af64b6d69d6045"/>
              <w:id w:val="-4669740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761"/>
            <w:gridCol w:w="1789"/>
            <w:gridCol w:w="1802"/>
            <w:gridCol w:w="1803"/>
          </w:tblGrid>
          <w:tr w:rsidR="007E7472" w14:paraId="7843B044" w14:textId="77777777" w:rsidTr="007E7472">
            <w:trPr>
              <w:trHeight w:val="340"/>
            </w:trPr>
            <w:sdt>
              <w:sdtPr>
                <w:tag w:val="_PLD_b46e14f0143b428d91ebe5e1885be6ac"/>
                <w:id w:val="-138727257"/>
                <w:lock w:val="sdtLocked"/>
              </w:sdtPr>
              <w:sdtEndPr/>
              <w:sdtContent>
                <w:tc>
                  <w:tcPr>
                    <w:tcW w:w="945" w:type="pct"/>
                    <w:shd w:val="clear" w:color="auto" w:fill="auto"/>
                    <w:vAlign w:val="center"/>
                  </w:tcPr>
                  <w:p w14:paraId="74C71174" w14:textId="77777777" w:rsidR="007E7472" w:rsidRDefault="00EC1269">
                    <w:pPr>
                      <w:jc w:val="center"/>
                    </w:pPr>
                    <w:r>
                      <w:rPr>
                        <w:rFonts w:hint="eastAsia"/>
                      </w:rPr>
                      <w:t>项目</w:t>
                    </w:r>
                  </w:p>
                </w:tc>
              </w:sdtContent>
            </w:sdt>
            <w:sdt>
              <w:sdtPr>
                <w:tag w:val="_PLD_6db0262d3f8842b4a7eba04e09be9d8a"/>
                <w:id w:val="-1097949121"/>
                <w:lock w:val="sdtLocked"/>
              </w:sdtPr>
              <w:sdtEndPr/>
              <w:sdtContent>
                <w:tc>
                  <w:tcPr>
                    <w:tcW w:w="998" w:type="pct"/>
                    <w:shd w:val="clear" w:color="auto" w:fill="auto"/>
                    <w:vAlign w:val="center"/>
                  </w:tcPr>
                  <w:p w14:paraId="13F58F0C" w14:textId="77777777" w:rsidR="007E7472" w:rsidRDefault="00EC1269">
                    <w:pPr>
                      <w:jc w:val="center"/>
                    </w:pPr>
                    <w:r>
                      <w:rPr>
                        <w:rFonts w:hint="eastAsia"/>
                      </w:rPr>
                      <w:t>期初余额</w:t>
                    </w:r>
                  </w:p>
                </w:tc>
              </w:sdtContent>
            </w:sdt>
            <w:sdt>
              <w:sdtPr>
                <w:tag w:val="_PLD_6f585f2d8d254ed6a108b145b56ff7cc"/>
                <w:id w:val="-1435978"/>
                <w:lock w:val="sdtLocked"/>
              </w:sdtPr>
              <w:sdtEndPr/>
              <w:sdtContent>
                <w:tc>
                  <w:tcPr>
                    <w:tcW w:w="1014" w:type="pct"/>
                    <w:shd w:val="clear" w:color="auto" w:fill="auto"/>
                    <w:vAlign w:val="center"/>
                  </w:tcPr>
                  <w:p w14:paraId="4E7D753B" w14:textId="77777777" w:rsidR="007E7472" w:rsidRDefault="00EC1269">
                    <w:pPr>
                      <w:jc w:val="center"/>
                    </w:pPr>
                    <w:r>
                      <w:rPr>
                        <w:rFonts w:hint="eastAsia"/>
                      </w:rPr>
                      <w:t>本期增加</w:t>
                    </w:r>
                  </w:p>
                </w:tc>
              </w:sdtContent>
            </w:sdt>
            <w:sdt>
              <w:sdtPr>
                <w:tag w:val="_PLD_20354e1f567449a9b9021901b2252d15"/>
                <w:id w:val="-1736540705"/>
                <w:lock w:val="sdtLocked"/>
              </w:sdtPr>
              <w:sdtEndPr/>
              <w:sdtContent>
                <w:tc>
                  <w:tcPr>
                    <w:tcW w:w="1021" w:type="pct"/>
                    <w:shd w:val="clear" w:color="auto" w:fill="auto"/>
                    <w:vAlign w:val="center"/>
                  </w:tcPr>
                  <w:p w14:paraId="3E074947" w14:textId="77777777" w:rsidR="007E7472" w:rsidRDefault="00EC1269">
                    <w:pPr>
                      <w:jc w:val="center"/>
                    </w:pPr>
                    <w:r>
                      <w:rPr>
                        <w:rFonts w:hint="eastAsia"/>
                      </w:rPr>
                      <w:t>本期减少</w:t>
                    </w:r>
                  </w:p>
                </w:tc>
              </w:sdtContent>
            </w:sdt>
            <w:sdt>
              <w:sdtPr>
                <w:tag w:val="_PLD_94daf05bbefc4d829f1bc3b83d11b6ca"/>
                <w:id w:val="615413660"/>
                <w:lock w:val="sdtLocked"/>
              </w:sdtPr>
              <w:sdtEndPr/>
              <w:sdtContent>
                <w:tc>
                  <w:tcPr>
                    <w:tcW w:w="1022" w:type="pct"/>
                    <w:shd w:val="clear" w:color="auto" w:fill="auto"/>
                    <w:vAlign w:val="center"/>
                  </w:tcPr>
                  <w:p w14:paraId="3892F166" w14:textId="77777777" w:rsidR="007E7472" w:rsidRDefault="00EC1269">
                    <w:pPr>
                      <w:jc w:val="center"/>
                    </w:pPr>
                    <w:r>
                      <w:rPr>
                        <w:rFonts w:hint="eastAsia"/>
                      </w:rPr>
                      <w:t>期末余额</w:t>
                    </w:r>
                  </w:p>
                </w:tc>
              </w:sdtContent>
            </w:sdt>
          </w:tr>
          <w:sdt>
            <w:sdtPr>
              <w:alias w:val="库存股明细"/>
              <w:tag w:val="_GBC_a5ebfe7fe0f34697935e4de42efcb598"/>
              <w:id w:val="-100879772"/>
              <w:lock w:val="sdtLocked"/>
              <w:placeholder>
                <w:docPart w:val="GBC11111111111111111111111111111"/>
              </w:placeholder>
            </w:sdtPr>
            <w:sdtEndPr>
              <w:rPr>
                <w:rFonts w:hint="eastAsia"/>
              </w:rPr>
            </w:sdtEndPr>
            <w:sdtContent>
              <w:tr w:rsidR="007E7472" w14:paraId="355ADDC1" w14:textId="77777777" w:rsidTr="007E7472">
                <w:trPr>
                  <w:trHeight w:val="340"/>
                </w:trPr>
                <w:tc>
                  <w:tcPr>
                    <w:tcW w:w="945" w:type="pct"/>
                    <w:shd w:val="clear" w:color="auto" w:fill="auto"/>
                    <w:vAlign w:val="center"/>
                  </w:tcPr>
                  <w:p w14:paraId="57CE1537" w14:textId="77777777" w:rsidR="007E7472" w:rsidRDefault="00EC1269">
                    <w:r>
                      <w:rPr>
                        <w:rFonts w:hint="eastAsia"/>
                      </w:rPr>
                      <w:t>限制性股票</w:t>
                    </w:r>
                  </w:p>
                </w:tc>
                <w:tc>
                  <w:tcPr>
                    <w:tcW w:w="998" w:type="pct"/>
                    <w:shd w:val="clear" w:color="auto" w:fill="auto"/>
                    <w:vAlign w:val="center"/>
                  </w:tcPr>
                  <w:p w14:paraId="1810CA35" w14:textId="77777777" w:rsidR="007E7472" w:rsidRDefault="00EC1269">
                    <w:pPr>
                      <w:jc w:val="right"/>
                    </w:pPr>
                    <w:r>
                      <w:t>723,593</w:t>
                    </w:r>
                  </w:p>
                </w:tc>
                <w:tc>
                  <w:tcPr>
                    <w:tcW w:w="1014" w:type="pct"/>
                    <w:shd w:val="clear" w:color="auto" w:fill="auto"/>
                    <w:vAlign w:val="center"/>
                  </w:tcPr>
                  <w:p w14:paraId="572A03F5" w14:textId="77777777" w:rsidR="007E7472" w:rsidRDefault="00C8327E">
                    <w:pPr>
                      <w:jc w:val="right"/>
                    </w:pPr>
                  </w:p>
                </w:tc>
                <w:tc>
                  <w:tcPr>
                    <w:tcW w:w="1021" w:type="pct"/>
                    <w:shd w:val="clear" w:color="auto" w:fill="auto"/>
                    <w:vAlign w:val="center"/>
                  </w:tcPr>
                  <w:p w14:paraId="01E6AA65" w14:textId="77777777" w:rsidR="007E7472" w:rsidRDefault="00C8327E">
                    <w:pPr>
                      <w:jc w:val="right"/>
                    </w:pPr>
                  </w:p>
                </w:tc>
                <w:tc>
                  <w:tcPr>
                    <w:tcW w:w="1022" w:type="pct"/>
                    <w:shd w:val="clear" w:color="auto" w:fill="auto"/>
                    <w:vAlign w:val="center"/>
                  </w:tcPr>
                  <w:p w14:paraId="092396BF" w14:textId="77777777" w:rsidR="007E7472" w:rsidRDefault="00EC1269">
                    <w:pPr>
                      <w:jc w:val="right"/>
                    </w:pPr>
                    <w:r>
                      <w:t>723,593</w:t>
                    </w:r>
                  </w:p>
                </w:tc>
              </w:tr>
            </w:sdtContent>
          </w:sdt>
          <w:tr w:rsidR="007E7472" w14:paraId="4B831F88" w14:textId="77777777" w:rsidTr="007E7472">
            <w:trPr>
              <w:trHeight w:val="340"/>
            </w:trPr>
            <w:sdt>
              <w:sdtPr>
                <w:tag w:val="_PLD_a82f645de2dc45b39a10692d00c40095"/>
                <w:id w:val="-93477066"/>
                <w:lock w:val="sdtLocked"/>
              </w:sdtPr>
              <w:sdtEndPr/>
              <w:sdtContent>
                <w:tc>
                  <w:tcPr>
                    <w:tcW w:w="945" w:type="pct"/>
                    <w:shd w:val="clear" w:color="auto" w:fill="auto"/>
                    <w:vAlign w:val="center"/>
                  </w:tcPr>
                  <w:p w14:paraId="79FA00B4" w14:textId="77777777" w:rsidR="007E7472" w:rsidRDefault="00EC1269">
                    <w:pPr>
                      <w:jc w:val="center"/>
                    </w:pPr>
                    <w:r>
                      <w:rPr>
                        <w:rFonts w:hint="eastAsia"/>
                      </w:rPr>
                      <w:t>合计</w:t>
                    </w:r>
                  </w:p>
                </w:tc>
              </w:sdtContent>
            </w:sdt>
            <w:tc>
              <w:tcPr>
                <w:tcW w:w="998" w:type="pct"/>
                <w:shd w:val="clear" w:color="auto" w:fill="auto"/>
                <w:vAlign w:val="center"/>
              </w:tcPr>
              <w:p w14:paraId="06F9F4EA" w14:textId="77777777" w:rsidR="007E7472" w:rsidRDefault="00EC1269">
                <w:pPr>
                  <w:jc w:val="right"/>
                </w:pPr>
                <w:r>
                  <w:t>723,593</w:t>
                </w:r>
              </w:p>
            </w:tc>
            <w:tc>
              <w:tcPr>
                <w:tcW w:w="1014" w:type="pct"/>
                <w:shd w:val="clear" w:color="auto" w:fill="auto"/>
                <w:vAlign w:val="center"/>
              </w:tcPr>
              <w:p w14:paraId="3E356616" w14:textId="77777777" w:rsidR="007E7472" w:rsidRDefault="00C8327E">
                <w:pPr>
                  <w:jc w:val="right"/>
                </w:pPr>
              </w:p>
            </w:tc>
            <w:tc>
              <w:tcPr>
                <w:tcW w:w="1021" w:type="pct"/>
                <w:shd w:val="clear" w:color="auto" w:fill="auto"/>
                <w:vAlign w:val="center"/>
              </w:tcPr>
              <w:p w14:paraId="219A32DC" w14:textId="77777777" w:rsidR="007E7472" w:rsidRDefault="00C8327E">
                <w:pPr>
                  <w:jc w:val="right"/>
                </w:pPr>
              </w:p>
            </w:tc>
            <w:tc>
              <w:tcPr>
                <w:tcW w:w="1022" w:type="pct"/>
                <w:shd w:val="clear" w:color="auto" w:fill="auto"/>
                <w:vAlign w:val="center"/>
              </w:tcPr>
              <w:p w14:paraId="339DE5BC" w14:textId="77777777" w:rsidR="007E7472" w:rsidRDefault="00EC1269">
                <w:pPr>
                  <w:jc w:val="right"/>
                </w:pPr>
                <w:r>
                  <w:t>723,593</w:t>
                </w:r>
              </w:p>
            </w:tc>
          </w:tr>
        </w:tbl>
        <w:p w14:paraId="005D9421" w14:textId="77777777" w:rsidR="007E7472" w:rsidRDefault="00C8327E"/>
      </w:sdtContent>
    </w:sdt>
    <w:p w14:paraId="210862CC" w14:textId="77777777" w:rsidR="007E7472" w:rsidRDefault="00C8327E">
      <w:pPr>
        <w:sectPr w:rsidR="007E7472">
          <w:pgSz w:w="11906" w:h="16838"/>
          <w:pgMar w:top="1440" w:right="1797" w:bottom="1525" w:left="1276" w:header="856" w:footer="992" w:gutter="0"/>
          <w:cols w:space="425"/>
          <w:docGrid w:type="lines" w:linePitch="312"/>
        </w:sectPr>
      </w:pPr>
    </w:p>
    <w:bookmarkStart w:id="255" w:name="_Hlk10537776" w:displacedByCustomXml="next"/>
    <w:sdt>
      <w:sdtPr>
        <w:rPr>
          <w:rFonts w:ascii="宋体" w:hAnsi="宋体" w:cs="宋体" w:hint="eastAsia"/>
          <w:b w:val="0"/>
          <w:bCs w:val="0"/>
          <w:kern w:val="0"/>
          <w:sz w:val="20"/>
          <w:szCs w:val="21"/>
        </w:rPr>
        <w:alias w:val="模块:其他综合收益"/>
        <w:tag w:val="_GBC_de162f89125c4dc8abd2331e6cce7184"/>
        <w:id w:val="287551459"/>
        <w:placeholder>
          <w:docPart w:val="GBC22222222222222222222222222222"/>
        </w:placeholder>
      </w:sdtPr>
      <w:sdtEndPr>
        <w:rPr>
          <w:sz w:val="21"/>
        </w:rPr>
      </w:sdtEndPr>
      <w:sdtContent>
        <w:p w14:paraId="59C2F76A" w14:textId="77777777" w:rsidR="007E7472" w:rsidRDefault="00EC1269" w:rsidP="00162493">
          <w:pPr>
            <w:pStyle w:val="3"/>
            <w:numPr>
              <w:ilvl w:val="0"/>
              <w:numId w:val="62"/>
            </w:numPr>
          </w:pPr>
          <w:r>
            <w:rPr>
              <w:rFonts w:hint="eastAsia"/>
            </w:rPr>
            <w:t>其他综合收益</w:t>
          </w:r>
          <w:r>
            <w:tab/>
          </w:r>
        </w:p>
        <w:sdt>
          <w:sdtPr>
            <w:alias w:val="是否适用：其他综合收益[双击切换]"/>
            <w:tag w:val="_GBC_a53cc67f2be24dfbbe3af1b633d9bd6d"/>
            <w:id w:val="1175298669"/>
            <w:lock w:val="sdtLocked"/>
            <w:placeholder>
              <w:docPart w:val="GBC22222222222222222222222222222"/>
            </w:placeholder>
          </w:sdtPr>
          <w:sdtEndPr/>
          <w:sdtContent>
            <w:p w14:paraId="279A746D" w14:textId="77777777" w:rsidR="007E7472" w:rsidRDefault="00EC1269">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6B71480C" w14:textId="1B4E35CB" w:rsidR="007E7472" w:rsidRDefault="00EC1269">
          <w:pPr>
            <w:jc w:val="right"/>
          </w:pPr>
          <w:r>
            <w:rPr>
              <w:rFonts w:hint="eastAsia"/>
            </w:rPr>
            <w:t>单位：</w:t>
          </w:r>
          <w:sdt>
            <w:sdtPr>
              <w:rPr>
                <w:rFonts w:hint="eastAsia"/>
              </w:rPr>
              <w:alias w:val="单位：财务附注：其他综合收益情况"/>
              <w:tag w:val="_GBC_3fcad98da74248809a759048ca194814"/>
              <w:id w:val="-20774302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其他综合收益情况"/>
              <w:tag w:val="_GBC_3909f37aa0cc4eda82ff1503a6abe503"/>
              <w:id w:val="12562458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385"/>
            <w:gridCol w:w="1542"/>
            <w:gridCol w:w="1542"/>
            <w:gridCol w:w="1542"/>
            <w:gridCol w:w="1542"/>
            <w:gridCol w:w="1542"/>
            <w:gridCol w:w="1544"/>
            <w:gridCol w:w="1528"/>
          </w:tblGrid>
          <w:tr w:rsidR="007E7472" w14:paraId="48DFE1E9" w14:textId="77777777" w:rsidTr="0095518A">
            <w:trPr>
              <w:trHeight w:val="215"/>
            </w:trPr>
            <w:sdt>
              <w:sdtPr>
                <w:tag w:val="_PLD_965475dfd86e41c29d1b9f1fdff70ee0"/>
                <w:id w:val="-893276241"/>
                <w:lock w:val="sdtLocked"/>
              </w:sdtPr>
              <w:sdtEndPr/>
              <w:sdtContent>
                <w:tc>
                  <w:tcPr>
                    <w:tcW w:w="612" w:type="pct"/>
                    <w:vMerge w:val="restart"/>
                    <w:shd w:val="clear" w:color="auto" w:fill="auto"/>
                    <w:vAlign w:val="center"/>
                  </w:tcPr>
                  <w:p w14:paraId="4A6EA6E0" w14:textId="77777777" w:rsidR="007E7472" w:rsidRDefault="00913748" w:rsidP="007E7472">
                    <w:pPr>
                      <w:jc w:val="center"/>
                    </w:pPr>
                    <w:r>
                      <w:rPr>
                        <w:rFonts w:hint="eastAsia"/>
                      </w:rPr>
                      <w:t>项目</w:t>
                    </w:r>
                  </w:p>
                </w:tc>
              </w:sdtContent>
            </w:sdt>
            <w:sdt>
              <w:sdtPr>
                <w:tag w:val="_PLD_8a675a3cac5041d29cfb92203b87e9a6"/>
                <w:id w:val="848292026"/>
                <w:lock w:val="sdtLocked"/>
              </w:sdtPr>
              <w:sdtEndPr/>
              <w:sdtContent>
                <w:tc>
                  <w:tcPr>
                    <w:tcW w:w="500" w:type="pct"/>
                    <w:vMerge w:val="restart"/>
                    <w:shd w:val="clear" w:color="auto" w:fill="auto"/>
                    <w:vAlign w:val="center"/>
                  </w:tcPr>
                  <w:p w14:paraId="1204C2BC" w14:textId="77777777" w:rsidR="007E7472" w:rsidRDefault="00913748" w:rsidP="007E7472">
                    <w:pPr>
                      <w:jc w:val="center"/>
                    </w:pPr>
                    <w:r>
                      <w:rPr>
                        <w:rFonts w:hint="eastAsia"/>
                      </w:rPr>
                      <w:t>期初</w:t>
                    </w:r>
                  </w:p>
                  <w:p w14:paraId="5BAF543A" w14:textId="77777777" w:rsidR="007E7472" w:rsidRDefault="00913748" w:rsidP="007E7472">
                    <w:pPr>
                      <w:jc w:val="center"/>
                    </w:pPr>
                    <w:r>
                      <w:rPr>
                        <w:rFonts w:hint="eastAsia"/>
                      </w:rPr>
                      <w:t>余额</w:t>
                    </w:r>
                  </w:p>
                </w:tc>
              </w:sdtContent>
            </w:sdt>
            <w:sdt>
              <w:sdtPr>
                <w:tag w:val="_PLD_5ff455f3c2164019b5e694c1e00e4104"/>
                <w:id w:val="-1742022919"/>
                <w:lock w:val="sdtLocked"/>
              </w:sdtPr>
              <w:sdtEndPr/>
              <w:sdtContent>
                <w:tc>
                  <w:tcPr>
                    <w:tcW w:w="3337" w:type="pct"/>
                    <w:gridSpan w:val="6"/>
                    <w:shd w:val="clear" w:color="auto" w:fill="auto"/>
                    <w:vAlign w:val="center"/>
                  </w:tcPr>
                  <w:p w14:paraId="703F1C2B" w14:textId="77777777" w:rsidR="007E7472" w:rsidRDefault="00913748" w:rsidP="007E7472">
                    <w:pPr>
                      <w:jc w:val="center"/>
                    </w:pPr>
                    <w:r>
                      <w:rPr>
                        <w:rFonts w:hint="eastAsia"/>
                      </w:rPr>
                      <w:t>本期发生金额</w:t>
                    </w:r>
                  </w:p>
                </w:tc>
              </w:sdtContent>
            </w:sdt>
            <w:sdt>
              <w:sdtPr>
                <w:tag w:val="_PLD_e74e1b8e6f7d453b8d88ebfc65c302f4"/>
                <w:id w:val="1852138693"/>
                <w:lock w:val="sdtLocked"/>
              </w:sdtPr>
              <w:sdtEndPr/>
              <w:sdtContent>
                <w:tc>
                  <w:tcPr>
                    <w:tcW w:w="551" w:type="pct"/>
                    <w:vMerge w:val="restart"/>
                    <w:shd w:val="clear" w:color="auto" w:fill="auto"/>
                    <w:vAlign w:val="center"/>
                  </w:tcPr>
                  <w:p w14:paraId="40289B6D" w14:textId="77777777" w:rsidR="007E7472" w:rsidRDefault="00913748" w:rsidP="007E7472">
                    <w:pPr>
                      <w:jc w:val="center"/>
                    </w:pPr>
                    <w:r>
                      <w:rPr>
                        <w:rFonts w:hint="eastAsia"/>
                      </w:rPr>
                      <w:t>期末</w:t>
                    </w:r>
                  </w:p>
                  <w:p w14:paraId="70DF7D89" w14:textId="77777777" w:rsidR="007E7472" w:rsidRDefault="00913748" w:rsidP="007E7472">
                    <w:pPr>
                      <w:jc w:val="center"/>
                    </w:pPr>
                    <w:r>
                      <w:rPr>
                        <w:rFonts w:hint="eastAsia"/>
                      </w:rPr>
                      <w:t>余额</w:t>
                    </w:r>
                  </w:p>
                </w:tc>
              </w:sdtContent>
            </w:sdt>
          </w:tr>
          <w:tr w:rsidR="007E7472" w14:paraId="48A23C1C" w14:textId="77777777" w:rsidTr="0095518A">
            <w:tc>
              <w:tcPr>
                <w:tcW w:w="612" w:type="pct"/>
                <w:vMerge/>
                <w:shd w:val="clear" w:color="auto" w:fill="auto"/>
              </w:tcPr>
              <w:p w14:paraId="4FEA8C46" w14:textId="77777777" w:rsidR="007E7472" w:rsidRDefault="00C8327E" w:rsidP="007E7472">
                <w:pPr>
                  <w:jc w:val="center"/>
                </w:pPr>
              </w:p>
            </w:tc>
            <w:tc>
              <w:tcPr>
                <w:tcW w:w="500" w:type="pct"/>
                <w:vMerge/>
                <w:shd w:val="clear" w:color="auto" w:fill="auto"/>
              </w:tcPr>
              <w:p w14:paraId="74143118" w14:textId="77777777" w:rsidR="007E7472" w:rsidRDefault="00C8327E" w:rsidP="007E7472">
                <w:pPr>
                  <w:jc w:val="center"/>
                </w:pPr>
              </w:p>
            </w:tc>
            <w:sdt>
              <w:sdtPr>
                <w:tag w:val="_PLD_17c016c4311444368218ab16d2bc7a4c"/>
                <w:id w:val="956766912"/>
                <w:lock w:val="sdtLocked"/>
              </w:sdtPr>
              <w:sdtEndPr/>
              <w:sdtContent>
                <w:tc>
                  <w:tcPr>
                    <w:tcW w:w="556" w:type="pct"/>
                    <w:shd w:val="clear" w:color="auto" w:fill="auto"/>
                    <w:vAlign w:val="center"/>
                  </w:tcPr>
                  <w:p w14:paraId="45AC537D" w14:textId="77777777" w:rsidR="007E7472" w:rsidRDefault="00913748" w:rsidP="007E7472">
                    <w:pPr>
                      <w:jc w:val="center"/>
                    </w:pPr>
                    <w:r>
                      <w:rPr>
                        <w:rFonts w:hint="eastAsia"/>
                      </w:rPr>
                      <w:t>本期所得税前发生额</w:t>
                    </w:r>
                  </w:p>
                </w:tc>
              </w:sdtContent>
            </w:sdt>
            <w:sdt>
              <w:sdtPr>
                <w:tag w:val="_PLD_8f95da21a802457ea1d7d10d5c90efb0"/>
                <w:id w:val="-1771225435"/>
                <w:lock w:val="sdtLocked"/>
              </w:sdtPr>
              <w:sdtEndPr/>
              <w:sdtContent>
                <w:tc>
                  <w:tcPr>
                    <w:tcW w:w="556" w:type="pct"/>
                    <w:shd w:val="clear" w:color="auto" w:fill="auto"/>
                    <w:vAlign w:val="center"/>
                  </w:tcPr>
                  <w:p w14:paraId="7F0BC04B" w14:textId="77777777" w:rsidR="007E7472" w:rsidRDefault="00913748" w:rsidP="007E7472">
                    <w:pPr>
                      <w:jc w:val="center"/>
                    </w:pPr>
                    <w:r>
                      <w:rPr>
                        <w:rFonts w:hint="eastAsia"/>
                      </w:rPr>
                      <w:t>减：前期计入其他综合收益当期转入损益</w:t>
                    </w:r>
                  </w:p>
                </w:tc>
              </w:sdtContent>
            </w:sdt>
            <w:tc>
              <w:tcPr>
                <w:tcW w:w="556" w:type="pct"/>
              </w:tcPr>
              <w:sdt>
                <w:sdtPr>
                  <w:rPr>
                    <w:rFonts w:hint="eastAsia"/>
                  </w:rPr>
                  <w:tag w:val="_PLD_7f99e647a5874f909c48e6c0bbc8d50a"/>
                  <w:id w:val="-1876695100"/>
                  <w:lock w:val="sdtLocked"/>
                </w:sdtPr>
                <w:sdtEndPr/>
                <w:sdtContent>
                  <w:p w14:paraId="00DCEDF1" w14:textId="77777777" w:rsidR="007E7472" w:rsidRDefault="00913748" w:rsidP="007E7472">
                    <w:pPr>
                      <w:jc w:val="center"/>
                    </w:pPr>
                    <w:r>
                      <w:rPr>
                        <w:rFonts w:hint="eastAsia"/>
                      </w:rPr>
                      <w:t>减：前期计入其他综合收益当期转入留存收益</w:t>
                    </w:r>
                  </w:p>
                </w:sdtContent>
              </w:sdt>
            </w:tc>
            <w:sdt>
              <w:sdtPr>
                <w:tag w:val="_PLD_6ee499a1144a462687fb064cc4588343"/>
                <w:id w:val="-1334991579"/>
                <w:lock w:val="sdtLocked"/>
              </w:sdtPr>
              <w:sdtEndPr/>
              <w:sdtContent>
                <w:tc>
                  <w:tcPr>
                    <w:tcW w:w="556" w:type="pct"/>
                    <w:shd w:val="clear" w:color="auto" w:fill="auto"/>
                    <w:vAlign w:val="center"/>
                  </w:tcPr>
                  <w:p w14:paraId="36A0F138" w14:textId="77777777" w:rsidR="007E7472" w:rsidRDefault="00913748" w:rsidP="007E7472">
                    <w:pPr>
                      <w:jc w:val="center"/>
                    </w:pPr>
                    <w:r>
                      <w:rPr>
                        <w:rFonts w:hint="eastAsia"/>
                      </w:rPr>
                      <w:t>减：所得税费用</w:t>
                    </w:r>
                  </w:p>
                </w:tc>
              </w:sdtContent>
            </w:sdt>
            <w:sdt>
              <w:sdtPr>
                <w:tag w:val="_PLD_97d686c5a0f042d49d097afc52b9ab56"/>
                <w:id w:val="-286192951"/>
                <w:lock w:val="sdtLocked"/>
              </w:sdtPr>
              <w:sdtEndPr/>
              <w:sdtContent>
                <w:tc>
                  <w:tcPr>
                    <w:tcW w:w="556" w:type="pct"/>
                    <w:shd w:val="clear" w:color="auto" w:fill="auto"/>
                    <w:vAlign w:val="center"/>
                  </w:tcPr>
                  <w:p w14:paraId="5752D3CD" w14:textId="77777777" w:rsidR="007E7472" w:rsidRDefault="00913748" w:rsidP="007E7472">
                    <w:pPr>
                      <w:jc w:val="center"/>
                    </w:pPr>
                    <w:r>
                      <w:rPr>
                        <w:rFonts w:hint="eastAsia"/>
                      </w:rPr>
                      <w:t>税后归属于母公司</w:t>
                    </w:r>
                  </w:p>
                </w:tc>
              </w:sdtContent>
            </w:sdt>
            <w:sdt>
              <w:sdtPr>
                <w:tag w:val="_PLD_dc8c642f883f4ca1b1bbacf56198209b"/>
                <w:id w:val="-16550053"/>
                <w:lock w:val="sdtLocked"/>
              </w:sdtPr>
              <w:sdtEndPr/>
              <w:sdtContent>
                <w:tc>
                  <w:tcPr>
                    <w:tcW w:w="557" w:type="pct"/>
                    <w:shd w:val="clear" w:color="auto" w:fill="auto"/>
                    <w:vAlign w:val="center"/>
                  </w:tcPr>
                  <w:p w14:paraId="1F943857" w14:textId="77777777" w:rsidR="007E7472" w:rsidRDefault="00913748" w:rsidP="007E7472">
                    <w:pPr>
                      <w:jc w:val="center"/>
                    </w:pPr>
                    <w:r>
                      <w:rPr>
                        <w:rFonts w:hint="eastAsia"/>
                      </w:rPr>
                      <w:t>税后归属于少数股东</w:t>
                    </w:r>
                  </w:p>
                </w:tc>
              </w:sdtContent>
            </w:sdt>
            <w:tc>
              <w:tcPr>
                <w:tcW w:w="551" w:type="pct"/>
                <w:vMerge/>
                <w:shd w:val="clear" w:color="auto" w:fill="auto"/>
              </w:tcPr>
              <w:p w14:paraId="1442256B" w14:textId="77777777" w:rsidR="007E7472" w:rsidRDefault="00C8327E" w:rsidP="007E7472">
                <w:pPr>
                  <w:jc w:val="center"/>
                </w:pPr>
              </w:p>
            </w:tc>
          </w:tr>
          <w:tr w:rsidR="007E7472" w14:paraId="552FB4EB" w14:textId="77777777" w:rsidTr="0095518A">
            <w:sdt>
              <w:sdtPr>
                <w:tag w:val="_PLD_3f00f48c9230468fa9ebc3f871b6cb34"/>
                <w:id w:val="1157575956"/>
                <w:lock w:val="sdtLocked"/>
              </w:sdtPr>
              <w:sdtEndPr/>
              <w:sdtContent>
                <w:tc>
                  <w:tcPr>
                    <w:tcW w:w="612" w:type="pct"/>
                    <w:shd w:val="clear" w:color="auto" w:fill="auto"/>
                    <w:vAlign w:val="center"/>
                  </w:tcPr>
                  <w:p w14:paraId="12E8C788" w14:textId="77777777" w:rsidR="007E7472" w:rsidRDefault="00913748" w:rsidP="007E7472">
                    <w:r>
                      <w:rPr>
                        <w:rFonts w:hint="eastAsia"/>
                      </w:rPr>
                      <w:t>一、不能重分类进损益的其他综合收益</w:t>
                    </w:r>
                  </w:p>
                </w:tc>
              </w:sdtContent>
            </w:sdt>
            <w:tc>
              <w:tcPr>
                <w:tcW w:w="500" w:type="pct"/>
                <w:shd w:val="clear" w:color="auto" w:fill="auto"/>
                <w:vAlign w:val="center"/>
              </w:tcPr>
              <w:p w14:paraId="073B5938" w14:textId="77777777" w:rsidR="007E7472" w:rsidRDefault="00913748" w:rsidP="007E7472">
                <w:pPr>
                  <w:jc w:val="right"/>
                </w:pPr>
                <w:r>
                  <w:t>-532</w:t>
                </w:r>
              </w:p>
            </w:tc>
            <w:tc>
              <w:tcPr>
                <w:tcW w:w="556" w:type="pct"/>
                <w:shd w:val="clear" w:color="auto" w:fill="auto"/>
                <w:vAlign w:val="center"/>
              </w:tcPr>
              <w:p w14:paraId="0ADA5E49" w14:textId="77777777" w:rsidR="007E7472" w:rsidRDefault="00913748" w:rsidP="007E7472">
                <w:pPr>
                  <w:jc w:val="right"/>
                </w:pPr>
                <w:r w:rsidRPr="009E5E8C">
                  <w:t>5,926</w:t>
                </w:r>
              </w:p>
            </w:tc>
            <w:tc>
              <w:tcPr>
                <w:tcW w:w="556" w:type="pct"/>
                <w:shd w:val="clear" w:color="auto" w:fill="auto"/>
                <w:vAlign w:val="center"/>
              </w:tcPr>
              <w:p w14:paraId="765FDF0C" w14:textId="77777777" w:rsidR="007E7472" w:rsidRDefault="00C8327E" w:rsidP="007E7472">
                <w:pPr>
                  <w:jc w:val="right"/>
                </w:pPr>
              </w:p>
            </w:tc>
            <w:tc>
              <w:tcPr>
                <w:tcW w:w="556" w:type="pct"/>
                <w:vAlign w:val="center"/>
              </w:tcPr>
              <w:p w14:paraId="56FCC8F8" w14:textId="77777777" w:rsidR="007E7472" w:rsidRDefault="00C8327E" w:rsidP="007E7472">
                <w:pPr>
                  <w:jc w:val="right"/>
                </w:pPr>
              </w:p>
            </w:tc>
            <w:tc>
              <w:tcPr>
                <w:tcW w:w="556" w:type="pct"/>
                <w:shd w:val="clear" w:color="auto" w:fill="auto"/>
                <w:vAlign w:val="center"/>
              </w:tcPr>
              <w:p w14:paraId="3AB6A471" w14:textId="77777777" w:rsidR="007E7472" w:rsidRDefault="00913748" w:rsidP="007E7472">
                <w:pPr>
                  <w:jc w:val="right"/>
                </w:pPr>
                <w:r>
                  <w:rPr>
                    <w:rFonts w:hint="eastAsia"/>
                  </w:rPr>
                  <w:t>-</w:t>
                </w:r>
                <w:r>
                  <w:t>14</w:t>
                </w:r>
              </w:p>
            </w:tc>
            <w:tc>
              <w:tcPr>
                <w:tcW w:w="556" w:type="pct"/>
                <w:shd w:val="clear" w:color="auto" w:fill="auto"/>
                <w:vAlign w:val="center"/>
              </w:tcPr>
              <w:p w14:paraId="0BCF4E6F" w14:textId="77777777" w:rsidR="007E7472" w:rsidRDefault="00913748" w:rsidP="007E7472">
                <w:pPr>
                  <w:jc w:val="right"/>
                </w:pPr>
                <w:r>
                  <w:t>5,940</w:t>
                </w:r>
              </w:p>
            </w:tc>
            <w:tc>
              <w:tcPr>
                <w:tcW w:w="557" w:type="pct"/>
                <w:shd w:val="clear" w:color="auto" w:fill="auto"/>
                <w:vAlign w:val="center"/>
              </w:tcPr>
              <w:p w14:paraId="2B00A176" w14:textId="77777777" w:rsidR="007E7472" w:rsidRDefault="00C8327E" w:rsidP="007E7472">
                <w:pPr>
                  <w:jc w:val="right"/>
                </w:pPr>
              </w:p>
            </w:tc>
            <w:tc>
              <w:tcPr>
                <w:tcW w:w="551" w:type="pct"/>
                <w:shd w:val="clear" w:color="auto" w:fill="auto"/>
                <w:vAlign w:val="center"/>
              </w:tcPr>
              <w:p w14:paraId="523EFAFE" w14:textId="77777777" w:rsidR="007E7472" w:rsidRDefault="00913748" w:rsidP="007E7472">
                <w:pPr>
                  <w:jc w:val="right"/>
                </w:pPr>
                <w:r>
                  <w:t>5,408</w:t>
                </w:r>
              </w:p>
            </w:tc>
          </w:tr>
          <w:sdt>
            <w:sdtPr>
              <w:rPr>
                <w:rFonts w:hint="eastAsia"/>
              </w:rPr>
              <w:alias w:val="以后不能重分类进损益的其他综合收益明细"/>
              <w:tag w:val="_TUP_6bc82a2204c3421d8f43f9411fd8c0fe"/>
              <w:id w:val="-1718821292"/>
              <w:lock w:val="sdtLocked"/>
            </w:sdtPr>
            <w:sdtEndPr/>
            <w:sdtContent>
              <w:tr w:rsidR="007E7472" w14:paraId="11D962B3" w14:textId="77777777" w:rsidTr="0095518A">
                <w:tc>
                  <w:tcPr>
                    <w:tcW w:w="612" w:type="pct"/>
                    <w:shd w:val="clear" w:color="auto" w:fill="auto"/>
                  </w:tcPr>
                  <w:p w14:paraId="6409EC71" w14:textId="71FC952E" w:rsidR="007E7472" w:rsidRDefault="00913748" w:rsidP="007E7472">
                    <w:r w:rsidRPr="00485E18">
                      <w:rPr>
                        <w:rFonts w:hint="eastAsia"/>
                      </w:rPr>
                      <w:t>其中：</w:t>
                    </w:r>
                    <w:r>
                      <w:t>权益法下不能转损益的其他综合收益</w:t>
                    </w:r>
                  </w:p>
                </w:tc>
                <w:tc>
                  <w:tcPr>
                    <w:tcW w:w="500" w:type="pct"/>
                    <w:shd w:val="clear" w:color="auto" w:fill="auto"/>
                    <w:vAlign w:val="center"/>
                  </w:tcPr>
                  <w:p w14:paraId="6BC0863C" w14:textId="77777777" w:rsidR="007E7472" w:rsidRDefault="00C8327E" w:rsidP="007E7472">
                    <w:pPr>
                      <w:jc w:val="right"/>
                    </w:pPr>
                  </w:p>
                </w:tc>
                <w:tc>
                  <w:tcPr>
                    <w:tcW w:w="556" w:type="pct"/>
                    <w:shd w:val="clear" w:color="auto" w:fill="auto"/>
                    <w:vAlign w:val="center"/>
                  </w:tcPr>
                  <w:p w14:paraId="53EAAE2C" w14:textId="79464C66" w:rsidR="007E7472" w:rsidRDefault="00913748" w:rsidP="007E7472">
                    <w:pPr>
                      <w:jc w:val="right"/>
                    </w:pPr>
                    <w:r>
                      <w:t>5,983</w:t>
                    </w:r>
                  </w:p>
                </w:tc>
                <w:tc>
                  <w:tcPr>
                    <w:tcW w:w="556" w:type="pct"/>
                    <w:shd w:val="clear" w:color="auto" w:fill="auto"/>
                    <w:vAlign w:val="center"/>
                  </w:tcPr>
                  <w:p w14:paraId="6D28A9EB" w14:textId="77777777" w:rsidR="007E7472" w:rsidRDefault="00C8327E" w:rsidP="007E7472">
                    <w:pPr>
                      <w:jc w:val="right"/>
                    </w:pPr>
                  </w:p>
                </w:tc>
                <w:tc>
                  <w:tcPr>
                    <w:tcW w:w="556" w:type="pct"/>
                    <w:vAlign w:val="center"/>
                  </w:tcPr>
                  <w:p w14:paraId="4C0B97B4" w14:textId="77777777" w:rsidR="007E7472" w:rsidRDefault="00C8327E" w:rsidP="007E7472">
                    <w:pPr>
                      <w:jc w:val="right"/>
                    </w:pPr>
                  </w:p>
                </w:tc>
                <w:tc>
                  <w:tcPr>
                    <w:tcW w:w="556" w:type="pct"/>
                    <w:shd w:val="clear" w:color="auto" w:fill="auto"/>
                    <w:vAlign w:val="center"/>
                  </w:tcPr>
                  <w:p w14:paraId="73C7ADA1" w14:textId="77777777" w:rsidR="007E7472" w:rsidRDefault="00C8327E" w:rsidP="007E7472">
                    <w:pPr>
                      <w:jc w:val="right"/>
                    </w:pPr>
                  </w:p>
                </w:tc>
                <w:tc>
                  <w:tcPr>
                    <w:tcW w:w="556" w:type="pct"/>
                    <w:shd w:val="clear" w:color="auto" w:fill="auto"/>
                    <w:vAlign w:val="center"/>
                  </w:tcPr>
                  <w:p w14:paraId="4E5CE024" w14:textId="77777777" w:rsidR="007E7472" w:rsidRDefault="00913748" w:rsidP="007E7472">
                    <w:pPr>
                      <w:jc w:val="right"/>
                    </w:pPr>
                    <w:r>
                      <w:t>5,983</w:t>
                    </w:r>
                  </w:p>
                </w:tc>
                <w:tc>
                  <w:tcPr>
                    <w:tcW w:w="557" w:type="pct"/>
                    <w:shd w:val="clear" w:color="auto" w:fill="auto"/>
                    <w:vAlign w:val="center"/>
                  </w:tcPr>
                  <w:p w14:paraId="5C0F9939" w14:textId="77777777" w:rsidR="007E7472" w:rsidRDefault="00C8327E" w:rsidP="007E7472">
                    <w:pPr>
                      <w:jc w:val="right"/>
                    </w:pPr>
                  </w:p>
                </w:tc>
                <w:tc>
                  <w:tcPr>
                    <w:tcW w:w="551" w:type="pct"/>
                    <w:shd w:val="clear" w:color="auto" w:fill="auto"/>
                    <w:vAlign w:val="center"/>
                  </w:tcPr>
                  <w:p w14:paraId="5D75F8DF" w14:textId="77777777" w:rsidR="007E7472" w:rsidRDefault="00913748" w:rsidP="007E7472">
                    <w:pPr>
                      <w:jc w:val="right"/>
                    </w:pPr>
                    <w:r>
                      <w:t>5,983</w:t>
                    </w:r>
                  </w:p>
                </w:tc>
              </w:tr>
            </w:sdtContent>
          </w:sdt>
          <w:tr w:rsidR="007E7472" w14:paraId="0B83C0A5" w14:textId="77777777" w:rsidTr="0095518A">
            <w:sdt>
              <w:sdtPr>
                <w:tag w:val="_PLD_296624bab915467fb3ca81e8914cb225"/>
                <w:id w:val="-1525396819"/>
                <w:lock w:val="sdtLocked"/>
              </w:sdtPr>
              <w:sdtEndPr/>
              <w:sdtContent>
                <w:tc>
                  <w:tcPr>
                    <w:tcW w:w="612" w:type="pct"/>
                    <w:shd w:val="clear" w:color="auto" w:fill="auto"/>
                    <w:vAlign w:val="center"/>
                  </w:tcPr>
                  <w:p w14:paraId="6D316D73" w14:textId="77777777" w:rsidR="007E7472" w:rsidRDefault="00913748" w:rsidP="007E7472">
                    <w:pPr>
                      <w:ind w:firstLineChars="100" w:firstLine="210"/>
                    </w:pPr>
                    <w:r>
                      <w:rPr>
                        <w:rFonts w:hint="eastAsia"/>
                      </w:rPr>
                      <w:t>其他权益工具投资公允价值变动</w:t>
                    </w:r>
                  </w:p>
                </w:tc>
              </w:sdtContent>
            </w:sdt>
            <w:tc>
              <w:tcPr>
                <w:tcW w:w="500" w:type="pct"/>
                <w:shd w:val="clear" w:color="auto" w:fill="auto"/>
                <w:vAlign w:val="center"/>
              </w:tcPr>
              <w:p w14:paraId="1C40C64C" w14:textId="77777777" w:rsidR="007E7472" w:rsidRDefault="00913748" w:rsidP="007E7472">
                <w:pPr>
                  <w:jc w:val="right"/>
                </w:pPr>
                <w:r>
                  <w:t>-532</w:t>
                </w:r>
              </w:p>
            </w:tc>
            <w:tc>
              <w:tcPr>
                <w:tcW w:w="556" w:type="pct"/>
                <w:shd w:val="clear" w:color="auto" w:fill="auto"/>
                <w:vAlign w:val="center"/>
              </w:tcPr>
              <w:p w14:paraId="7C040C46" w14:textId="77777777" w:rsidR="007E7472" w:rsidRDefault="00913748" w:rsidP="007E7472">
                <w:pPr>
                  <w:jc w:val="right"/>
                </w:pPr>
                <w:r>
                  <w:t>-57</w:t>
                </w:r>
              </w:p>
            </w:tc>
            <w:tc>
              <w:tcPr>
                <w:tcW w:w="556" w:type="pct"/>
                <w:shd w:val="clear" w:color="auto" w:fill="auto"/>
                <w:vAlign w:val="center"/>
              </w:tcPr>
              <w:p w14:paraId="4257E240" w14:textId="77777777" w:rsidR="007E7472" w:rsidRDefault="00C8327E" w:rsidP="007E7472">
                <w:pPr>
                  <w:jc w:val="right"/>
                </w:pPr>
              </w:p>
            </w:tc>
            <w:tc>
              <w:tcPr>
                <w:tcW w:w="556" w:type="pct"/>
                <w:vAlign w:val="center"/>
              </w:tcPr>
              <w:p w14:paraId="408F7ECD" w14:textId="77777777" w:rsidR="007E7472" w:rsidRDefault="00C8327E" w:rsidP="007E7472">
                <w:pPr>
                  <w:jc w:val="right"/>
                </w:pPr>
              </w:p>
            </w:tc>
            <w:tc>
              <w:tcPr>
                <w:tcW w:w="556" w:type="pct"/>
                <w:shd w:val="clear" w:color="auto" w:fill="auto"/>
                <w:vAlign w:val="center"/>
              </w:tcPr>
              <w:p w14:paraId="5C00583C" w14:textId="77777777" w:rsidR="007E7472" w:rsidRDefault="00913748" w:rsidP="007E7472">
                <w:pPr>
                  <w:jc w:val="right"/>
                </w:pPr>
                <w:r>
                  <w:t>-14</w:t>
                </w:r>
              </w:p>
            </w:tc>
            <w:tc>
              <w:tcPr>
                <w:tcW w:w="556" w:type="pct"/>
                <w:shd w:val="clear" w:color="auto" w:fill="auto"/>
                <w:vAlign w:val="center"/>
              </w:tcPr>
              <w:p w14:paraId="1445E6DE" w14:textId="77777777" w:rsidR="007E7472" w:rsidRDefault="00913748" w:rsidP="007E7472">
                <w:pPr>
                  <w:jc w:val="right"/>
                </w:pPr>
                <w:r>
                  <w:t>-43</w:t>
                </w:r>
              </w:p>
            </w:tc>
            <w:tc>
              <w:tcPr>
                <w:tcW w:w="557" w:type="pct"/>
                <w:shd w:val="clear" w:color="auto" w:fill="auto"/>
                <w:vAlign w:val="center"/>
              </w:tcPr>
              <w:p w14:paraId="58B689CB" w14:textId="77777777" w:rsidR="007E7472" w:rsidRDefault="00C8327E" w:rsidP="007E7472">
                <w:pPr>
                  <w:jc w:val="right"/>
                </w:pPr>
              </w:p>
            </w:tc>
            <w:tc>
              <w:tcPr>
                <w:tcW w:w="551" w:type="pct"/>
                <w:shd w:val="clear" w:color="auto" w:fill="auto"/>
                <w:vAlign w:val="center"/>
              </w:tcPr>
              <w:p w14:paraId="6DD124F5" w14:textId="77777777" w:rsidR="007E7472" w:rsidRDefault="00913748" w:rsidP="007E7472">
                <w:pPr>
                  <w:jc w:val="right"/>
                </w:pPr>
                <w:r>
                  <w:t>-575</w:t>
                </w:r>
              </w:p>
            </w:tc>
          </w:tr>
          <w:tr w:rsidR="007E7472" w14:paraId="58C2EF8D" w14:textId="77777777" w:rsidTr="0095518A">
            <w:sdt>
              <w:sdtPr>
                <w:tag w:val="_PLD_4316f8eb3def474d974d5bd228f05848"/>
                <w:id w:val="845759660"/>
                <w:lock w:val="sdtLocked"/>
              </w:sdtPr>
              <w:sdtEndPr/>
              <w:sdtContent>
                <w:tc>
                  <w:tcPr>
                    <w:tcW w:w="612" w:type="pct"/>
                    <w:shd w:val="clear" w:color="auto" w:fill="auto"/>
                  </w:tcPr>
                  <w:p w14:paraId="5882344F" w14:textId="77777777" w:rsidR="007E7472" w:rsidRDefault="00913748" w:rsidP="007E7472">
                    <w:r>
                      <w:rPr>
                        <w:rFonts w:hint="eastAsia"/>
                      </w:rPr>
                      <w:t>二、将重分类进损益的其他综合收益</w:t>
                    </w:r>
                  </w:p>
                </w:tc>
              </w:sdtContent>
            </w:sdt>
            <w:tc>
              <w:tcPr>
                <w:tcW w:w="500" w:type="pct"/>
                <w:shd w:val="clear" w:color="auto" w:fill="auto"/>
                <w:vAlign w:val="center"/>
              </w:tcPr>
              <w:p w14:paraId="161DA7A6" w14:textId="77777777" w:rsidR="007E7472" w:rsidRDefault="00913748" w:rsidP="007E7472">
                <w:pPr>
                  <w:jc w:val="right"/>
                </w:pPr>
                <w:r>
                  <w:t>-7,151,413</w:t>
                </w:r>
              </w:p>
            </w:tc>
            <w:tc>
              <w:tcPr>
                <w:tcW w:w="556" w:type="pct"/>
                <w:shd w:val="clear" w:color="auto" w:fill="auto"/>
                <w:vAlign w:val="center"/>
              </w:tcPr>
              <w:p w14:paraId="0AB542D5" w14:textId="77777777" w:rsidR="007E7472" w:rsidRDefault="00913748" w:rsidP="007E7472">
                <w:pPr>
                  <w:jc w:val="right"/>
                </w:pPr>
                <w:r>
                  <w:t>883,459</w:t>
                </w:r>
              </w:p>
            </w:tc>
            <w:tc>
              <w:tcPr>
                <w:tcW w:w="556" w:type="pct"/>
                <w:shd w:val="clear" w:color="auto" w:fill="auto"/>
                <w:vAlign w:val="center"/>
              </w:tcPr>
              <w:p w14:paraId="66D18958" w14:textId="77777777" w:rsidR="007E7472" w:rsidRDefault="00C8327E" w:rsidP="007E7472">
                <w:pPr>
                  <w:jc w:val="right"/>
                </w:pPr>
              </w:p>
            </w:tc>
            <w:tc>
              <w:tcPr>
                <w:tcW w:w="556" w:type="pct"/>
                <w:vAlign w:val="center"/>
              </w:tcPr>
              <w:p w14:paraId="0F8ED601" w14:textId="77777777" w:rsidR="007E7472" w:rsidRDefault="00C8327E" w:rsidP="007E7472">
                <w:pPr>
                  <w:jc w:val="right"/>
                </w:pPr>
              </w:p>
            </w:tc>
            <w:tc>
              <w:tcPr>
                <w:tcW w:w="556" w:type="pct"/>
                <w:shd w:val="clear" w:color="auto" w:fill="auto"/>
                <w:vAlign w:val="center"/>
              </w:tcPr>
              <w:p w14:paraId="75B4A074" w14:textId="77777777" w:rsidR="007E7472" w:rsidRDefault="00913748" w:rsidP="007E7472">
                <w:pPr>
                  <w:jc w:val="right"/>
                </w:pPr>
                <w:r>
                  <w:t>-12,136</w:t>
                </w:r>
              </w:p>
            </w:tc>
            <w:tc>
              <w:tcPr>
                <w:tcW w:w="556" w:type="pct"/>
                <w:shd w:val="clear" w:color="auto" w:fill="auto"/>
                <w:vAlign w:val="center"/>
              </w:tcPr>
              <w:p w14:paraId="2D7C75E8" w14:textId="77777777" w:rsidR="007E7472" w:rsidRDefault="00913748" w:rsidP="007E7472">
                <w:pPr>
                  <w:jc w:val="right"/>
                </w:pPr>
                <w:r>
                  <w:t>699,079</w:t>
                </w:r>
              </w:p>
            </w:tc>
            <w:tc>
              <w:tcPr>
                <w:tcW w:w="557" w:type="pct"/>
                <w:shd w:val="clear" w:color="auto" w:fill="auto"/>
                <w:vAlign w:val="center"/>
              </w:tcPr>
              <w:p w14:paraId="1AC41130" w14:textId="77777777" w:rsidR="007E7472" w:rsidRDefault="00913748" w:rsidP="007E7472">
                <w:pPr>
                  <w:jc w:val="right"/>
                </w:pPr>
                <w:r>
                  <w:t>196,516</w:t>
                </w:r>
              </w:p>
            </w:tc>
            <w:tc>
              <w:tcPr>
                <w:tcW w:w="551" w:type="pct"/>
                <w:shd w:val="clear" w:color="auto" w:fill="auto"/>
                <w:vAlign w:val="center"/>
              </w:tcPr>
              <w:p w14:paraId="6ED411FC" w14:textId="77777777" w:rsidR="007E7472" w:rsidRDefault="00913748" w:rsidP="007E7472">
                <w:pPr>
                  <w:jc w:val="right"/>
                </w:pPr>
                <w:r>
                  <w:t>-6,452,334</w:t>
                </w:r>
              </w:p>
            </w:tc>
          </w:tr>
          <w:tr w:rsidR="007E7472" w14:paraId="2CD9461F" w14:textId="77777777" w:rsidTr="0095518A">
            <w:sdt>
              <w:sdtPr>
                <w:tag w:val="_PLD_c943cf2f4cb34d3c9fb95405c1a3062c"/>
                <w:id w:val="-995494166"/>
                <w:lock w:val="sdtLocked"/>
              </w:sdtPr>
              <w:sdtEndPr/>
              <w:sdtContent>
                <w:tc>
                  <w:tcPr>
                    <w:tcW w:w="612" w:type="pct"/>
                    <w:shd w:val="clear" w:color="auto" w:fill="auto"/>
                  </w:tcPr>
                  <w:p w14:paraId="496CC991" w14:textId="77777777" w:rsidR="007E7472" w:rsidRDefault="00913748" w:rsidP="007E7472">
                    <w:r>
                      <w:rPr>
                        <w:rFonts w:hint="eastAsia"/>
                      </w:rPr>
                      <w:t>其中：权益法下可转损益的其他综合收益</w:t>
                    </w:r>
                  </w:p>
                </w:tc>
              </w:sdtContent>
            </w:sdt>
            <w:tc>
              <w:tcPr>
                <w:tcW w:w="500" w:type="pct"/>
                <w:shd w:val="clear" w:color="auto" w:fill="auto"/>
                <w:vAlign w:val="center"/>
              </w:tcPr>
              <w:p w14:paraId="6D7D953E" w14:textId="77777777" w:rsidR="007E7472" w:rsidRDefault="00913748" w:rsidP="007E7472">
                <w:pPr>
                  <w:jc w:val="right"/>
                </w:pPr>
                <w:r>
                  <w:t>-19,014</w:t>
                </w:r>
              </w:p>
            </w:tc>
            <w:tc>
              <w:tcPr>
                <w:tcW w:w="556" w:type="pct"/>
                <w:shd w:val="clear" w:color="auto" w:fill="auto"/>
                <w:vAlign w:val="center"/>
              </w:tcPr>
              <w:p w14:paraId="05D35600" w14:textId="77777777" w:rsidR="007E7472" w:rsidRDefault="00913748" w:rsidP="007E7472">
                <w:pPr>
                  <w:jc w:val="right"/>
                </w:pPr>
                <w:r>
                  <w:t>128,773</w:t>
                </w:r>
              </w:p>
            </w:tc>
            <w:tc>
              <w:tcPr>
                <w:tcW w:w="556" w:type="pct"/>
                <w:shd w:val="clear" w:color="auto" w:fill="auto"/>
                <w:vAlign w:val="center"/>
              </w:tcPr>
              <w:p w14:paraId="1796F5D3" w14:textId="77777777" w:rsidR="007E7472" w:rsidRDefault="00C8327E" w:rsidP="007E7472">
                <w:pPr>
                  <w:jc w:val="right"/>
                </w:pPr>
              </w:p>
            </w:tc>
            <w:tc>
              <w:tcPr>
                <w:tcW w:w="556" w:type="pct"/>
                <w:vAlign w:val="center"/>
              </w:tcPr>
              <w:p w14:paraId="15615F7F" w14:textId="77777777" w:rsidR="007E7472" w:rsidRDefault="00C8327E" w:rsidP="007E7472">
                <w:pPr>
                  <w:jc w:val="right"/>
                </w:pPr>
              </w:p>
            </w:tc>
            <w:tc>
              <w:tcPr>
                <w:tcW w:w="556" w:type="pct"/>
                <w:shd w:val="clear" w:color="auto" w:fill="auto"/>
                <w:vAlign w:val="center"/>
              </w:tcPr>
              <w:p w14:paraId="53993552" w14:textId="77777777" w:rsidR="007E7472" w:rsidRDefault="00C8327E" w:rsidP="007E7472">
                <w:pPr>
                  <w:jc w:val="right"/>
                </w:pPr>
              </w:p>
            </w:tc>
            <w:tc>
              <w:tcPr>
                <w:tcW w:w="556" w:type="pct"/>
                <w:shd w:val="clear" w:color="auto" w:fill="auto"/>
                <w:vAlign w:val="center"/>
              </w:tcPr>
              <w:p w14:paraId="379F6EBF" w14:textId="77777777" w:rsidR="007E7472" w:rsidRDefault="00913748" w:rsidP="007E7472">
                <w:pPr>
                  <w:jc w:val="right"/>
                </w:pPr>
                <w:r>
                  <w:t>128,773</w:t>
                </w:r>
              </w:p>
            </w:tc>
            <w:tc>
              <w:tcPr>
                <w:tcW w:w="557" w:type="pct"/>
                <w:shd w:val="clear" w:color="auto" w:fill="auto"/>
                <w:vAlign w:val="center"/>
              </w:tcPr>
              <w:p w14:paraId="7A6854B3" w14:textId="77777777" w:rsidR="007E7472" w:rsidRDefault="00C8327E" w:rsidP="007E7472">
                <w:pPr>
                  <w:jc w:val="right"/>
                </w:pPr>
              </w:p>
            </w:tc>
            <w:tc>
              <w:tcPr>
                <w:tcW w:w="551" w:type="pct"/>
                <w:shd w:val="clear" w:color="auto" w:fill="auto"/>
                <w:vAlign w:val="center"/>
              </w:tcPr>
              <w:p w14:paraId="0F864387" w14:textId="77777777" w:rsidR="007E7472" w:rsidRDefault="00913748" w:rsidP="007E7472">
                <w:pPr>
                  <w:jc w:val="right"/>
                </w:pPr>
                <w:r>
                  <w:t>109,759</w:t>
                </w:r>
              </w:p>
            </w:tc>
          </w:tr>
          <w:tr w:rsidR="007E7472" w14:paraId="1253B563" w14:textId="77777777" w:rsidTr="0095518A">
            <w:sdt>
              <w:sdtPr>
                <w:tag w:val="_PLD_87be35a6f331456eb4e213fe998f1437"/>
                <w:id w:val="-558015013"/>
                <w:lock w:val="sdtLocked"/>
              </w:sdtPr>
              <w:sdtEndPr/>
              <w:sdtContent>
                <w:tc>
                  <w:tcPr>
                    <w:tcW w:w="612" w:type="pct"/>
                    <w:shd w:val="clear" w:color="auto" w:fill="auto"/>
                  </w:tcPr>
                  <w:p w14:paraId="2663CFF5" w14:textId="77777777" w:rsidR="007E7472" w:rsidRDefault="00913748" w:rsidP="007E7472">
                    <w:r>
                      <w:t>现金流量套期储备</w:t>
                    </w:r>
                  </w:p>
                </w:tc>
              </w:sdtContent>
            </w:sdt>
            <w:tc>
              <w:tcPr>
                <w:tcW w:w="500" w:type="pct"/>
                <w:shd w:val="clear" w:color="auto" w:fill="auto"/>
                <w:vAlign w:val="center"/>
              </w:tcPr>
              <w:p w14:paraId="5E2DA26C" w14:textId="77777777" w:rsidR="007E7472" w:rsidRDefault="00913748" w:rsidP="007E7472">
                <w:pPr>
                  <w:jc w:val="right"/>
                </w:pPr>
                <w:r>
                  <w:t>-497,899</w:t>
                </w:r>
              </w:p>
            </w:tc>
            <w:tc>
              <w:tcPr>
                <w:tcW w:w="556" w:type="pct"/>
                <w:shd w:val="clear" w:color="auto" w:fill="auto"/>
                <w:vAlign w:val="center"/>
              </w:tcPr>
              <w:p w14:paraId="17BD00D3" w14:textId="77777777" w:rsidR="007E7472" w:rsidRDefault="00913748" w:rsidP="007E7472">
                <w:pPr>
                  <w:jc w:val="right"/>
                </w:pPr>
                <w:r>
                  <w:t>-40,453</w:t>
                </w:r>
              </w:p>
            </w:tc>
            <w:tc>
              <w:tcPr>
                <w:tcW w:w="556" w:type="pct"/>
                <w:shd w:val="clear" w:color="auto" w:fill="auto"/>
                <w:vAlign w:val="center"/>
              </w:tcPr>
              <w:p w14:paraId="48D54E3B" w14:textId="77777777" w:rsidR="007E7472" w:rsidRDefault="00C8327E" w:rsidP="007E7472">
                <w:pPr>
                  <w:jc w:val="right"/>
                </w:pPr>
              </w:p>
            </w:tc>
            <w:tc>
              <w:tcPr>
                <w:tcW w:w="556" w:type="pct"/>
                <w:vAlign w:val="center"/>
              </w:tcPr>
              <w:p w14:paraId="3A271463" w14:textId="77777777" w:rsidR="007E7472" w:rsidRDefault="00C8327E" w:rsidP="007E7472">
                <w:pPr>
                  <w:jc w:val="right"/>
                </w:pPr>
              </w:p>
            </w:tc>
            <w:tc>
              <w:tcPr>
                <w:tcW w:w="556" w:type="pct"/>
                <w:shd w:val="clear" w:color="auto" w:fill="auto"/>
                <w:vAlign w:val="center"/>
              </w:tcPr>
              <w:p w14:paraId="0845E379" w14:textId="77777777" w:rsidR="007E7472" w:rsidRDefault="00913748" w:rsidP="007E7472">
                <w:pPr>
                  <w:jc w:val="right"/>
                </w:pPr>
                <w:r>
                  <w:t>-12,136</w:t>
                </w:r>
              </w:p>
            </w:tc>
            <w:tc>
              <w:tcPr>
                <w:tcW w:w="556" w:type="pct"/>
                <w:shd w:val="clear" w:color="auto" w:fill="auto"/>
                <w:vAlign w:val="center"/>
              </w:tcPr>
              <w:p w14:paraId="7C3453B3" w14:textId="77777777" w:rsidR="007E7472" w:rsidRDefault="00913748" w:rsidP="007E7472">
                <w:pPr>
                  <w:jc w:val="right"/>
                </w:pPr>
                <w:r>
                  <w:t>-34,114</w:t>
                </w:r>
              </w:p>
            </w:tc>
            <w:tc>
              <w:tcPr>
                <w:tcW w:w="557" w:type="pct"/>
                <w:shd w:val="clear" w:color="auto" w:fill="auto"/>
                <w:vAlign w:val="center"/>
              </w:tcPr>
              <w:p w14:paraId="7E7BE373" w14:textId="77777777" w:rsidR="007E7472" w:rsidRDefault="00913748" w:rsidP="007E7472">
                <w:pPr>
                  <w:jc w:val="right"/>
                </w:pPr>
                <w:r>
                  <w:t>5,797</w:t>
                </w:r>
              </w:p>
            </w:tc>
            <w:tc>
              <w:tcPr>
                <w:tcW w:w="551" w:type="pct"/>
                <w:shd w:val="clear" w:color="auto" w:fill="auto"/>
                <w:vAlign w:val="center"/>
              </w:tcPr>
              <w:p w14:paraId="71D1A27E" w14:textId="77777777" w:rsidR="007E7472" w:rsidRDefault="00913748" w:rsidP="007E7472">
                <w:pPr>
                  <w:jc w:val="right"/>
                </w:pPr>
                <w:r>
                  <w:t>-532,013</w:t>
                </w:r>
              </w:p>
            </w:tc>
          </w:tr>
          <w:tr w:rsidR="007E7472" w14:paraId="5FAFBDAE" w14:textId="77777777" w:rsidTr="0095518A">
            <w:sdt>
              <w:sdtPr>
                <w:tag w:val="_PLD_7096ad729dde4fc1a4c67915bc5f19df"/>
                <w:id w:val="-312105739"/>
                <w:lock w:val="sdtLocked"/>
              </w:sdtPr>
              <w:sdtEndPr/>
              <w:sdtContent>
                <w:tc>
                  <w:tcPr>
                    <w:tcW w:w="612" w:type="pct"/>
                    <w:shd w:val="clear" w:color="auto" w:fill="auto"/>
                  </w:tcPr>
                  <w:p w14:paraId="306242F3" w14:textId="77777777" w:rsidR="007E7472" w:rsidRDefault="00913748" w:rsidP="007E7472">
                    <w:r>
                      <w:rPr>
                        <w:rFonts w:hint="eastAsia"/>
                      </w:rPr>
                      <w:t>外币财务报表折算差额</w:t>
                    </w:r>
                  </w:p>
                </w:tc>
              </w:sdtContent>
            </w:sdt>
            <w:tc>
              <w:tcPr>
                <w:tcW w:w="500" w:type="pct"/>
                <w:shd w:val="clear" w:color="auto" w:fill="auto"/>
                <w:vAlign w:val="center"/>
              </w:tcPr>
              <w:p w14:paraId="44AF2FA8" w14:textId="77777777" w:rsidR="007E7472" w:rsidRDefault="00913748" w:rsidP="007E7472">
                <w:pPr>
                  <w:jc w:val="right"/>
                </w:pPr>
                <w:r>
                  <w:t>-6,901,651</w:t>
                </w:r>
              </w:p>
            </w:tc>
            <w:tc>
              <w:tcPr>
                <w:tcW w:w="556" w:type="pct"/>
                <w:shd w:val="clear" w:color="auto" w:fill="auto"/>
                <w:vAlign w:val="center"/>
              </w:tcPr>
              <w:p w14:paraId="0FC40F89" w14:textId="77777777" w:rsidR="007E7472" w:rsidRDefault="00913748" w:rsidP="007E7472">
                <w:pPr>
                  <w:jc w:val="right"/>
                </w:pPr>
                <w:r>
                  <w:t>795,139</w:t>
                </w:r>
              </w:p>
            </w:tc>
            <w:tc>
              <w:tcPr>
                <w:tcW w:w="556" w:type="pct"/>
                <w:shd w:val="clear" w:color="auto" w:fill="auto"/>
                <w:vAlign w:val="center"/>
              </w:tcPr>
              <w:p w14:paraId="6F94A387" w14:textId="77777777" w:rsidR="007E7472" w:rsidRDefault="00C8327E" w:rsidP="007E7472">
                <w:pPr>
                  <w:jc w:val="right"/>
                </w:pPr>
              </w:p>
            </w:tc>
            <w:tc>
              <w:tcPr>
                <w:tcW w:w="556" w:type="pct"/>
                <w:vAlign w:val="center"/>
              </w:tcPr>
              <w:p w14:paraId="34526B0E" w14:textId="77777777" w:rsidR="007E7472" w:rsidRDefault="00C8327E" w:rsidP="007E7472">
                <w:pPr>
                  <w:jc w:val="right"/>
                </w:pPr>
              </w:p>
            </w:tc>
            <w:tc>
              <w:tcPr>
                <w:tcW w:w="556" w:type="pct"/>
                <w:shd w:val="clear" w:color="auto" w:fill="auto"/>
                <w:vAlign w:val="center"/>
              </w:tcPr>
              <w:p w14:paraId="58E1B90C" w14:textId="77777777" w:rsidR="007E7472" w:rsidRDefault="00C8327E" w:rsidP="007E7472">
                <w:pPr>
                  <w:jc w:val="right"/>
                </w:pPr>
              </w:p>
            </w:tc>
            <w:tc>
              <w:tcPr>
                <w:tcW w:w="556" w:type="pct"/>
                <w:shd w:val="clear" w:color="auto" w:fill="auto"/>
                <w:vAlign w:val="center"/>
              </w:tcPr>
              <w:p w14:paraId="6684EDB4" w14:textId="77777777" w:rsidR="007E7472" w:rsidRDefault="00913748" w:rsidP="007E7472">
                <w:pPr>
                  <w:jc w:val="right"/>
                </w:pPr>
                <w:r>
                  <w:t>604,420</w:t>
                </w:r>
              </w:p>
            </w:tc>
            <w:tc>
              <w:tcPr>
                <w:tcW w:w="557" w:type="pct"/>
                <w:shd w:val="clear" w:color="auto" w:fill="auto"/>
                <w:vAlign w:val="center"/>
              </w:tcPr>
              <w:p w14:paraId="14A00542" w14:textId="77777777" w:rsidR="007E7472" w:rsidRDefault="00913748" w:rsidP="007E7472">
                <w:pPr>
                  <w:jc w:val="right"/>
                </w:pPr>
                <w:r>
                  <w:t>190,719</w:t>
                </w:r>
              </w:p>
            </w:tc>
            <w:tc>
              <w:tcPr>
                <w:tcW w:w="551" w:type="pct"/>
                <w:shd w:val="clear" w:color="auto" w:fill="auto"/>
                <w:vAlign w:val="center"/>
              </w:tcPr>
              <w:p w14:paraId="59F679E9" w14:textId="77777777" w:rsidR="007E7472" w:rsidRDefault="00913748" w:rsidP="007E7472">
                <w:pPr>
                  <w:jc w:val="right"/>
                </w:pPr>
                <w:r>
                  <w:t>-6,297,231</w:t>
                </w:r>
              </w:p>
            </w:tc>
          </w:tr>
          <w:sdt>
            <w:sdtPr>
              <w:rPr>
                <w:rFonts w:hint="eastAsia"/>
              </w:rPr>
              <w:alias w:val="以后将重分类进损益的其他综合收益明细"/>
              <w:tag w:val="_TUP_56d4648d761a4a9a9f94fac2aeb735b6"/>
              <w:id w:val="-1162164667"/>
              <w:lock w:val="sdtLocked"/>
            </w:sdtPr>
            <w:sdtEndPr/>
            <w:sdtContent>
              <w:tr w:rsidR="007E7472" w14:paraId="1355EF48" w14:textId="77777777" w:rsidTr="0095518A">
                <w:tc>
                  <w:tcPr>
                    <w:tcW w:w="612" w:type="pct"/>
                    <w:tcBorders>
                      <w:bottom w:val="single" w:sz="4" w:space="0" w:color="auto"/>
                    </w:tcBorders>
                    <w:shd w:val="clear" w:color="auto" w:fill="auto"/>
                  </w:tcPr>
                  <w:p w14:paraId="740C9479" w14:textId="77777777" w:rsidR="007E7472" w:rsidRDefault="00913748" w:rsidP="007E7472">
                    <w:r>
                      <w:rPr>
                        <w:rFonts w:hint="eastAsia"/>
                      </w:rPr>
                      <w:t>投资性房地产公允价值变动</w:t>
                    </w:r>
                  </w:p>
                </w:tc>
                <w:tc>
                  <w:tcPr>
                    <w:tcW w:w="500" w:type="pct"/>
                    <w:shd w:val="clear" w:color="auto" w:fill="auto"/>
                    <w:vAlign w:val="center"/>
                  </w:tcPr>
                  <w:p w14:paraId="21A8E51D" w14:textId="77777777" w:rsidR="007E7472" w:rsidRDefault="00913748" w:rsidP="007E7472">
                    <w:pPr>
                      <w:jc w:val="right"/>
                    </w:pPr>
                    <w:r>
                      <w:t>267,151</w:t>
                    </w:r>
                  </w:p>
                </w:tc>
                <w:tc>
                  <w:tcPr>
                    <w:tcW w:w="556" w:type="pct"/>
                    <w:shd w:val="clear" w:color="auto" w:fill="auto"/>
                    <w:vAlign w:val="center"/>
                  </w:tcPr>
                  <w:p w14:paraId="676A4673" w14:textId="77777777" w:rsidR="007E7472" w:rsidRDefault="00C8327E" w:rsidP="007E7472">
                    <w:pPr>
                      <w:jc w:val="right"/>
                    </w:pPr>
                  </w:p>
                </w:tc>
                <w:tc>
                  <w:tcPr>
                    <w:tcW w:w="556" w:type="pct"/>
                    <w:shd w:val="clear" w:color="auto" w:fill="auto"/>
                    <w:vAlign w:val="center"/>
                  </w:tcPr>
                  <w:p w14:paraId="731D9D77" w14:textId="77777777" w:rsidR="007E7472" w:rsidRDefault="00C8327E" w:rsidP="007E7472">
                    <w:pPr>
                      <w:jc w:val="right"/>
                    </w:pPr>
                  </w:p>
                </w:tc>
                <w:tc>
                  <w:tcPr>
                    <w:tcW w:w="556" w:type="pct"/>
                    <w:vAlign w:val="center"/>
                  </w:tcPr>
                  <w:p w14:paraId="522EC974" w14:textId="77777777" w:rsidR="007E7472" w:rsidRDefault="00C8327E" w:rsidP="007E7472">
                    <w:pPr>
                      <w:jc w:val="right"/>
                    </w:pPr>
                  </w:p>
                </w:tc>
                <w:tc>
                  <w:tcPr>
                    <w:tcW w:w="556" w:type="pct"/>
                    <w:shd w:val="clear" w:color="auto" w:fill="auto"/>
                    <w:vAlign w:val="center"/>
                  </w:tcPr>
                  <w:p w14:paraId="67F33E48" w14:textId="77777777" w:rsidR="007E7472" w:rsidRDefault="00C8327E" w:rsidP="007E7472">
                    <w:pPr>
                      <w:jc w:val="right"/>
                    </w:pPr>
                  </w:p>
                </w:tc>
                <w:tc>
                  <w:tcPr>
                    <w:tcW w:w="556" w:type="pct"/>
                    <w:shd w:val="clear" w:color="auto" w:fill="auto"/>
                    <w:vAlign w:val="center"/>
                  </w:tcPr>
                  <w:p w14:paraId="79A93382" w14:textId="77777777" w:rsidR="007E7472" w:rsidRDefault="00C8327E" w:rsidP="007E7472">
                    <w:pPr>
                      <w:jc w:val="right"/>
                    </w:pPr>
                  </w:p>
                </w:tc>
                <w:tc>
                  <w:tcPr>
                    <w:tcW w:w="557" w:type="pct"/>
                    <w:shd w:val="clear" w:color="auto" w:fill="auto"/>
                    <w:vAlign w:val="center"/>
                  </w:tcPr>
                  <w:p w14:paraId="6B29FCE2" w14:textId="77777777" w:rsidR="007E7472" w:rsidRDefault="00C8327E" w:rsidP="007E7472">
                    <w:pPr>
                      <w:jc w:val="right"/>
                    </w:pPr>
                  </w:p>
                </w:tc>
                <w:tc>
                  <w:tcPr>
                    <w:tcW w:w="551" w:type="pct"/>
                    <w:shd w:val="clear" w:color="auto" w:fill="auto"/>
                    <w:vAlign w:val="center"/>
                  </w:tcPr>
                  <w:p w14:paraId="44D75147" w14:textId="77777777" w:rsidR="007E7472" w:rsidRDefault="00913748" w:rsidP="007E7472">
                    <w:pPr>
                      <w:jc w:val="right"/>
                    </w:pPr>
                    <w:r>
                      <w:t>267,151</w:t>
                    </w:r>
                  </w:p>
                </w:tc>
              </w:tr>
            </w:sdtContent>
          </w:sdt>
          <w:tr w:rsidR="007E7472" w14:paraId="1471C9D1" w14:textId="77777777" w:rsidTr="0095518A">
            <w:sdt>
              <w:sdtPr>
                <w:tag w:val="_PLD_da397a12577f4c5f8c92faa7b167ad8e"/>
                <w:id w:val="-1139574016"/>
                <w:lock w:val="sdtLocked"/>
              </w:sdtPr>
              <w:sdtEndPr/>
              <w:sdtContent>
                <w:tc>
                  <w:tcPr>
                    <w:tcW w:w="612" w:type="pct"/>
                    <w:shd w:val="clear" w:color="auto" w:fill="auto"/>
                    <w:vAlign w:val="center"/>
                  </w:tcPr>
                  <w:p w14:paraId="62C95281" w14:textId="77777777" w:rsidR="007E7472" w:rsidRDefault="00913748" w:rsidP="007E7472">
                    <w:r>
                      <w:rPr>
                        <w:rFonts w:hint="eastAsia"/>
                      </w:rPr>
                      <w:t>其他综合收益合计</w:t>
                    </w:r>
                  </w:p>
                </w:tc>
              </w:sdtContent>
            </w:sdt>
            <w:tc>
              <w:tcPr>
                <w:tcW w:w="500" w:type="pct"/>
                <w:shd w:val="clear" w:color="auto" w:fill="auto"/>
                <w:vAlign w:val="center"/>
              </w:tcPr>
              <w:p w14:paraId="606F054A" w14:textId="77777777" w:rsidR="007E7472" w:rsidRDefault="00913748" w:rsidP="007E7472">
                <w:pPr>
                  <w:jc w:val="right"/>
                </w:pPr>
                <w:r>
                  <w:t>-7,151,945</w:t>
                </w:r>
              </w:p>
            </w:tc>
            <w:tc>
              <w:tcPr>
                <w:tcW w:w="556" w:type="pct"/>
                <w:shd w:val="clear" w:color="auto" w:fill="auto"/>
                <w:vAlign w:val="center"/>
              </w:tcPr>
              <w:p w14:paraId="1E2ACD57" w14:textId="77777777" w:rsidR="007E7472" w:rsidRDefault="00913748" w:rsidP="007E7472">
                <w:pPr>
                  <w:jc w:val="right"/>
                </w:pPr>
                <w:r w:rsidRPr="009E5E8C">
                  <w:t>889</w:t>
                </w:r>
                <w:r>
                  <w:rPr>
                    <w:rFonts w:hint="eastAsia"/>
                  </w:rPr>
                  <w:t>,</w:t>
                </w:r>
                <w:r w:rsidRPr="009E5E8C">
                  <w:t>385</w:t>
                </w:r>
              </w:p>
            </w:tc>
            <w:tc>
              <w:tcPr>
                <w:tcW w:w="556" w:type="pct"/>
                <w:shd w:val="clear" w:color="auto" w:fill="auto"/>
                <w:vAlign w:val="center"/>
              </w:tcPr>
              <w:p w14:paraId="6B1433D5" w14:textId="77777777" w:rsidR="007E7472" w:rsidRDefault="00C8327E" w:rsidP="007E7472">
                <w:pPr>
                  <w:jc w:val="right"/>
                </w:pPr>
              </w:p>
            </w:tc>
            <w:tc>
              <w:tcPr>
                <w:tcW w:w="556" w:type="pct"/>
                <w:vAlign w:val="center"/>
              </w:tcPr>
              <w:p w14:paraId="0115592F" w14:textId="77777777" w:rsidR="007E7472" w:rsidRDefault="00C8327E" w:rsidP="007E7472">
                <w:pPr>
                  <w:jc w:val="right"/>
                </w:pPr>
              </w:p>
            </w:tc>
            <w:tc>
              <w:tcPr>
                <w:tcW w:w="556" w:type="pct"/>
                <w:shd w:val="clear" w:color="auto" w:fill="auto"/>
                <w:vAlign w:val="center"/>
              </w:tcPr>
              <w:p w14:paraId="2B0B1BA5" w14:textId="77777777" w:rsidR="007E7472" w:rsidRDefault="00913748" w:rsidP="007E7472">
                <w:pPr>
                  <w:jc w:val="right"/>
                </w:pPr>
                <w:r w:rsidRPr="009E5E8C">
                  <w:t>-12,150</w:t>
                </w:r>
              </w:p>
            </w:tc>
            <w:tc>
              <w:tcPr>
                <w:tcW w:w="556" w:type="pct"/>
                <w:shd w:val="clear" w:color="auto" w:fill="auto"/>
                <w:vAlign w:val="center"/>
              </w:tcPr>
              <w:p w14:paraId="64304BED" w14:textId="77777777" w:rsidR="007E7472" w:rsidRDefault="00913748" w:rsidP="007E7472">
                <w:pPr>
                  <w:jc w:val="right"/>
                </w:pPr>
                <w:r>
                  <w:t>705,019</w:t>
                </w:r>
              </w:p>
            </w:tc>
            <w:tc>
              <w:tcPr>
                <w:tcW w:w="557" w:type="pct"/>
                <w:shd w:val="clear" w:color="auto" w:fill="auto"/>
                <w:vAlign w:val="center"/>
              </w:tcPr>
              <w:p w14:paraId="2BDDB747" w14:textId="77777777" w:rsidR="007E7472" w:rsidRDefault="00913748" w:rsidP="007E7472">
                <w:pPr>
                  <w:jc w:val="right"/>
                </w:pPr>
                <w:r>
                  <w:t>196,516</w:t>
                </w:r>
              </w:p>
            </w:tc>
            <w:tc>
              <w:tcPr>
                <w:tcW w:w="551" w:type="pct"/>
                <w:shd w:val="clear" w:color="auto" w:fill="auto"/>
                <w:vAlign w:val="center"/>
              </w:tcPr>
              <w:p w14:paraId="73CCD770" w14:textId="77777777" w:rsidR="007E7472" w:rsidRDefault="00913748" w:rsidP="007E7472">
                <w:pPr>
                  <w:jc w:val="right"/>
                </w:pPr>
                <w:r>
                  <w:t>-6,446,926</w:t>
                </w:r>
              </w:p>
            </w:tc>
          </w:tr>
        </w:tbl>
        <w:p w14:paraId="78906BA9" w14:textId="77777777" w:rsidR="007E7472" w:rsidRDefault="00C8327E">
          <w:pPr>
            <w:spacing w:before="60" w:after="60"/>
            <w:rPr>
              <w:b/>
            </w:rPr>
            <w:sectPr w:rsidR="007E7472">
              <w:pgSz w:w="16838" w:h="11906" w:orient="landscape"/>
              <w:pgMar w:top="1276" w:right="1440" w:bottom="1797" w:left="1525" w:header="856" w:footer="992" w:gutter="0"/>
              <w:cols w:space="425"/>
              <w:docGrid w:type="lines" w:linePitch="312"/>
            </w:sectPr>
          </w:pPr>
        </w:p>
      </w:sdtContent>
    </w:sdt>
    <w:bookmarkEnd w:id="255" w:displacedByCustomXml="next"/>
    <w:sdt>
      <w:sdtPr>
        <w:rPr>
          <w:rFonts w:ascii="宋体" w:hAnsi="宋体" w:cs="宋体" w:hint="eastAsia"/>
          <w:b w:val="0"/>
          <w:bCs w:val="0"/>
          <w:kern w:val="0"/>
          <w:sz w:val="20"/>
          <w:szCs w:val="21"/>
        </w:rPr>
        <w:alias w:val="模块:专项储备"/>
        <w:tag w:val="_GBC_8a08fa7a416e4e52a104ea9b06479f9e"/>
        <w:id w:val="-552928501"/>
        <w:lock w:val="sdtLocked"/>
        <w:placeholder>
          <w:docPart w:val="GBC22222222222222222222222222222"/>
        </w:placeholder>
      </w:sdtPr>
      <w:sdtEndPr>
        <w:rPr>
          <w:rFonts w:cstheme="minorBidi" w:hint="default"/>
          <w:color w:val="000000" w:themeColor="text1"/>
          <w:sz w:val="21"/>
        </w:rPr>
      </w:sdtEndPr>
      <w:sdtContent>
        <w:p w14:paraId="577F196B" w14:textId="77777777" w:rsidR="007E7472" w:rsidRDefault="00EC1269" w:rsidP="00162493">
          <w:pPr>
            <w:pStyle w:val="3"/>
            <w:numPr>
              <w:ilvl w:val="0"/>
              <w:numId w:val="62"/>
            </w:numPr>
          </w:pPr>
          <w:r>
            <w:rPr>
              <w:rFonts w:hint="eastAsia"/>
            </w:rPr>
            <w:t>专项储备</w:t>
          </w:r>
        </w:p>
        <w:sdt>
          <w:sdtPr>
            <w:alias w:val="是否适用：专项储备[双击切换]"/>
            <w:tag w:val="_GBC_291ec3c1c38144a3ac0bde67edb318cc"/>
            <w:id w:val="85358401"/>
            <w:lock w:val="sdtLocked"/>
            <w:placeholder>
              <w:docPart w:val="GBC22222222222222222222222222222"/>
            </w:placeholder>
          </w:sdtPr>
          <w:sdtEndPr/>
          <w:sdtContent>
            <w:p w14:paraId="41FF14C8" w14:textId="77777777" w:rsidR="007E7472" w:rsidRDefault="00EC1269">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71CD209C" w14:textId="6495B394" w:rsidR="007E7472" w:rsidRDefault="00EC1269">
          <w:pPr>
            <w:jc w:val="right"/>
          </w:pPr>
          <w:r>
            <w:rPr>
              <w:rFonts w:hint="eastAsia"/>
            </w:rPr>
            <w:t>单位：</w:t>
          </w:r>
          <w:sdt>
            <w:sdtPr>
              <w:rPr>
                <w:rFonts w:hint="eastAsia"/>
              </w:rPr>
              <w:alias w:val="单位：财务附注：专项储备"/>
              <w:tag w:val="_GBC_98a0a00169d7461b91b431ef8a517eb1"/>
              <w:id w:val="11231908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专项储备"/>
              <w:tag w:val="_GBC_95059903151b47a0a2c8b7569f80df5e"/>
              <w:id w:val="16927997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775"/>
            <w:gridCol w:w="1775"/>
            <w:gridCol w:w="1816"/>
            <w:gridCol w:w="1789"/>
          </w:tblGrid>
          <w:tr w:rsidR="007E7472" w14:paraId="3DAE9705" w14:textId="77777777" w:rsidTr="007E7472">
            <w:trPr>
              <w:trHeight w:val="340"/>
            </w:trPr>
            <w:sdt>
              <w:sdtPr>
                <w:tag w:val="_PLD_10185f3f00484e34ab2fc5b633938a01"/>
                <w:id w:val="-1068722705"/>
                <w:lock w:val="sdtLocked"/>
              </w:sdtPr>
              <w:sdtEndPr/>
              <w:sdtContent>
                <w:tc>
                  <w:tcPr>
                    <w:tcW w:w="945" w:type="pct"/>
                    <w:shd w:val="clear" w:color="auto" w:fill="auto"/>
                    <w:vAlign w:val="center"/>
                  </w:tcPr>
                  <w:p w14:paraId="6568E659" w14:textId="77777777" w:rsidR="007E7472" w:rsidRDefault="00EC1269">
                    <w:pPr>
                      <w:jc w:val="center"/>
                    </w:pPr>
                    <w:r>
                      <w:rPr>
                        <w:rFonts w:hint="eastAsia"/>
                      </w:rPr>
                      <w:t>项目</w:t>
                    </w:r>
                  </w:p>
                </w:tc>
              </w:sdtContent>
            </w:sdt>
            <w:sdt>
              <w:sdtPr>
                <w:tag w:val="_PLD_3a7d7c052d7c403a8ae004d68db8fa4c"/>
                <w:id w:val="1382983661"/>
                <w:lock w:val="sdtLocked"/>
              </w:sdtPr>
              <w:sdtEndPr/>
              <w:sdtContent>
                <w:tc>
                  <w:tcPr>
                    <w:tcW w:w="1006" w:type="pct"/>
                    <w:shd w:val="clear" w:color="auto" w:fill="auto"/>
                    <w:vAlign w:val="center"/>
                  </w:tcPr>
                  <w:p w14:paraId="0459D0E8" w14:textId="77777777" w:rsidR="007E7472" w:rsidRDefault="00EC1269">
                    <w:pPr>
                      <w:jc w:val="center"/>
                    </w:pPr>
                    <w:r>
                      <w:rPr>
                        <w:rFonts w:hint="eastAsia"/>
                      </w:rPr>
                      <w:t>期初余额</w:t>
                    </w:r>
                  </w:p>
                </w:tc>
              </w:sdtContent>
            </w:sdt>
            <w:sdt>
              <w:sdtPr>
                <w:tag w:val="_PLD_e06fab4ca3b8451eb31df81e9b4922ec"/>
                <w:id w:val="-1665844115"/>
                <w:lock w:val="sdtLocked"/>
              </w:sdtPr>
              <w:sdtEndPr/>
              <w:sdtContent>
                <w:tc>
                  <w:tcPr>
                    <w:tcW w:w="1006" w:type="pct"/>
                    <w:shd w:val="clear" w:color="auto" w:fill="auto"/>
                    <w:vAlign w:val="center"/>
                  </w:tcPr>
                  <w:p w14:paraId="04B00F54" w14:textId="77777777" w:rsidR="007E7472" w:rsidRDefault="00EC1269">
                    <w:pPr>
                      <w:jc w:val="center"/>
                    </w:pPr>
                    <w:r>
                      <w:rPr>
                        <w:rFonts w:hint="eastAsia"/>
                      </w:rPr>
                      <w:t>本期增加</w:t>
                    </w:r>
                  </w:p>
                </w:tc>
              </w:sdtContent>
            </w:sdt>
            <w:sdt>
              <w:sdtPr>
                <w:tag w:val="_PLD_2900f17d2ba041e9a7331e5ca367f7b9"/>
                <w:id w:val="1759098849"/>
                <w:lock w:val="sdtLocked"/>
              </w:sdtPr>
              <w:sdtEndPr/>
              <w:sdtContent>
                <w:tc>
                  <w:tcPr>
                    <w:tcW w:w="1029" w:type="pct"/>
                    <w:shd w:val="clear" w:color="auto" w:fill="auto"/>
                    <w:vAlign w:val="center"/>
                  </w:tcPr>
                  <w:p w14:paraId="7148C215" w14:textId="77777777" w:rsidR="007E7472" w:rsidRDefault="00EC1269">
                    <w:pPr>
                      <w:jc w:val="center"/>
                    </w:pPr>
                    <w:r>
                      <w:rPr>
                        <w:rFonts w:hint="eastAsia"/>
                      </w:rPr>
                      <w:t>本期减少</w:t>
                    </w:r>
                  </w:p>
                </w:tc>
              </w:sdtContent>
            </w:sdt>
            <w:sdt>
              <w:sdtPr>
                <w:tag w:val="_PLD_7fcbcb783b95484a87e1a335f06dfcc3"/>
                <w:id w:val="-1587372590"/>
                <w:lock w:val="sdtLocked"/>
              </w:sdtPr>
              <w:sdtEndPr/>
              <w:sdtContent>
                <w:tc>
                  <w:tcPr>
                    <w:tcW w:w="1014" w:type="pct"/>
                    <w:shd w:val="clear" w:color="auto" w:fill="auto"/>
                    <w:vAlign w:val="center"/>
                  </w:tcPr>
                  <w:p w14:paraId="0F4AA528" w14:textId="77777777" w:rsidR="007E7472" w:rsidRDefault="00EC1269">
                    <w:pPr>
                      <w:jc w:val="center"/>
                    </w:pPr>
                    <w:r>
                      <w:rPr>
                        <w:rFonts w:hint="eastAsia"/>
                      </w:rPr>
                      <w:t>期末余额</w:t>
                    </w:r>
                  </w:p>
                </w:tc>
              </w:sdtContent>
            </w:sdt>
          </w:tr>
          <w:tr w:rsidR="007E7472" w14:paraId="62F734D2" w14:textId="77777777" w:rsidTr="007E7472">
            <w:trPr>
              <w:trHeight w:val="340"/>
            </w:trPr>
            <w:tc>
              <w:tcPr>
                <w:tcW w:w="945" w:type="pct"/>
                <w:vAlign w:val="center"/>
              </w:tcPr>
              <w:p w14:paraId="6DE46A17" w14:textId="77777777" w:rsidR="007E7472" w:rsidRDefault="00EC1269">
                <w:r>
                  <w:t>安全生产费用</w:t>
                </w:r>
              </w:p>
            </w:tc>
            <w:tc>
              <w:tcPr>
                <w:tcW w:w="1006" w:type="pct"/>
                <w:vAlign w:val="center"/>
              </w:tcPr>
              <w:p w14:paraId="6EC6D4EF" w14:textId="77777777" w:rsidR="007E7472" w:rsidRDefault="00EC1269">
                <w:pPr>
                  <w:jc w:val="right"/>
                </w:pPr>
                <w:r>
                  <w:t>1,783,353</w:t>
                </w:r>
              </w:p>
            </w:tc>
            <w:tc>
              <w:tcPr>
                <w:tcW w:w="1006" w:type="pct"/>
                <w:shd w:val="clear" w:color="auto" w:fill="auto"/>
                <w:vAlign w:val="center"/>
              </w:tcPr>
              <w:p w14:paraId="5CE3DA45" w14:textId="77777777" w:rsidR="007E7472" w:rsidRDefault="00EC1269">
                <w:pPr>
                  <w:jc w:val="right"/>
                </w:pPr>
                <w:r>
                  <w:t>1,260,846</w:t>
                </w:r>
              </w:p>
            </w:tc>
            <w:tc>
              <w:tcPr>
                <w:tcW w:w="1029" w:type="pct"/>
                <w:shd w:val="clear" w:color="auto" w:fill="auto"/>
                <w:vAlign w:val="center"/>
              </w:tcPr>
              <w:p w14:paraId="2C39763D" w14:textId="77777777" w:rsidR="007E7472" w:rsidRDefault="00EC1269">
                <w:pPr>
                  <w:jc w:val="right"/>
                </w:pPr>
                <w:r>
                  <w:t>955,355</w:t>
                </w:r>
              </w:p>
            </w:tc>
            <w:tc>
              <w:tcPr>
                <w:tcW w:w="1014" w:type="pct"/>
                <w:shd w:val="clear" w:color="auto" w:fill="auto"/>
                <w:vAlign w:val="center"/>
              </w:tcPr>
              <w:p w14:paraId="3379CE97" w14:textId="77777777" w:rsidR="007E7472" w:rsidRDefault="00EC1269">
                <w:pPr>
                  <w:jc w:val="right"/>
                </w:pPr>
                <w:r>
                  <w:t>2,088,844</w:t>
                </w:r>
              </w:p>
            </w:tc>
          </w:tr>
          <w:tr w:rsidR="007E7472" w14:paraId="31DD5052" w14:textId="77777777" w:rsidTr="007E7472">
            <w:trPr>
              <w:trHeight w:val="340"/>
            </w:trPr>
            <w:tc>
              <w:tcPr>
                <w:tcW w:w="945" w:type="pct"/>
                <w:vAlign w:val="center"/>
              </w:tcPr>
              <w:p w14:paraId="40B23E72" w14:textId="77777777" w:rsidR="007E7472" w:rsidRDefault="00EC1269">
                <w:r>
                  <w:t>维简费</w:t>
                </w:r>
              </w:p>
            </w:tc>
            <w:tc>
              <w:tcPr>
                <w:tcW w:w="1006" w:type="pct"/>
                <w:vAlign w:val="center"/>
              </w:tcPr>
              <w:p w14:paraId="1112734F" w14:textId="77777777" w:rsidR="007E7472" w:rsidRDefault="00EC1269">
                <w:pPr>
                  <w:jc w:val="right"/>
                </w:pPr>
                <w:r>
                  <w:t>1,745,227</w:t>
                </w:r>
              </w:p>
            </w:tc>
            <w:tc>
              <w:tcPr>
                <w:tcW w:w="1006" w:type="pct"/>
                <w:shd w:val="clear" w:color="auto" w:fill="auto"/>
                <w:vAlign w:val="center"/>
              </w:tcPr>
              <w:p w14:paraId="0BDE53A7" w14:textId="77777777" w:rsidR="007E7472" w:rsidRDefault="00EC1269">
                <w:pPr>
                  <w:jc w:val="right"/>
                </w:pPr>
                <w:r>
                  <w:t>218,886</w:t>
                </w:r>
              </w:p>
            </w:tc>
            <w:tc>
              <w:tcPr>
                <w:tcW w:w="1029" w:type="pct"/>
                <w:shd w:val="clear" w:color="auto" w:fill="auto"/>
                <w:vAlign w:val="center"/>
              </w:tcPr>
              <w:p w14:paraId="6B3BD8C0" w14:textId="77777777" w:rsidR="007E7472" w:rsidRDefault="00EC1269">
                <w:pPr>
                  <w:jc w:val="right"/>
                </w:pPr>
                <w:r>
                  <w:t>206,847</w:t>
                </w:r>
              </w:p>
            </w:tc>
            <w:tc>
              <w:tcPr>
                <w:tcW w:w="1014" w:type="pct"/>
                <w:shd w:val="clear" w:color="auto" w:fill="auto"/>
                <w:vAlign w:val="center"/>
              </w:tcPr>
              <w:p w14:paraId="71F72898" w14:textId="77777777" w:rsidR="007E7472" w:rsidRDefault="00EC1269">
                <w:pPr>
                  <w:jc w:val="right"/>
                </w:pPr>
                <w:r>
                  <w:t>1,757,266</w:t>
                </w:r>
              </w:p>
            </w:tc>
          </w:tr>
          <w:tr w:rsidR="007E7472" w14:paraId="3B72CEA1" w14:textId="77777777" w:rsidTr="007E7472">
            <w:trPr>
              <w:trHeight w:val="340"/>
            </w:trPr>
            <w:tc>
              <w:tcPr>
                <w:tcW w:w="945" w:type="pct"/>
                <w:vAlign w:val="center"/>
              </w:tcPr>
              <w:p w14:paraId="125F326F" w14:textId="77777777" w:rsidR="007E7472" w:rsidRDefault="00EC1269">
                <w:r>
                  <w:t>改革专项发展基金</w:t>
                </w:r>
              </w:p>
            </w:tc>
            <w:tc>
              <w:tcPr>
                <w:tcW w:w="1006" w:type="pct"/>
                <w:vAlign w:val="center"/>
              </w:tcPr>
              <w:p w14:paraId="691E7B3A" w14:textId="77777777" w:rsidR="007E7472" w:rsidRDefault="00EC1269">
                <w:pPr>
                  <w:jc w:val="right"/>
                </w:pPr>
                <w:r>
                  <w:t>611,513</w:t>
                </w:r>
              </w:p>
            </w:tc>
            <w:tc>
              <w:tcPr>
                <w:tcW w:w="1006" w:type="pct"/>
                <w:shd w:val="clear" w:color="auto" w:fill="auto"/>
                <w:vAlign w:val="center"/>
              </w:tcPr>
              <w:p w14:paraId="516A5508" w14:textId="77777777" w:rsidR="007E7472" w:rsidRDefault="00C8327E">
                <w:pPr>
                  <w:jc w:val="right"/>
                </w:pPr>
              </w:p>
            </w:tc>
            <w:tc>
              <w:tcPr>
                <w:tcW w:w="1029" w:type="pct"/>
                <w:shd w:val="clear" w:color="auto" w:fill="auto"/>
                <w:vAlign w:val="center"/>
              </w:tcPr>
              <w:p w14:paraId="774D027F" w14:textId="77777777" w:rsidR="007E7472" w:rsidRDefault="00C8327E">
                <w:pPr>
                  <w:jc w:val="right"/>
                </w:pPr>
              </w:p>
            </w:tc>
            <w:tc>
              <w:tcPr>
                <w:tcW w:w="1014" w:type="pct"/>
                <w:shd w:val="clear" w:color="auto" w:fill="auto"/>
                <w:vAlign w:val="center"/>
              </w:tcPr>
              <w:p w14:paraId="6065C63C" w14:textId="77777777" w:rsidR="007E7472" w:rsidRDefault="00EC1269">
                <w:pPr>
                  <w:jc w:val="right"/>
                </w:pPr>
                <w:r>
                  <w:t>611,513</w:t>
                </w:r>
              </w:p>
            </w:tc>
          </w:tr>
          <w:tr w:rsidR="007E7472" w14:paraId="7E05D7B2" w14:textId="77777777" w:rsidTr="007E7472">
            <w:trPr>
              <w:trHeight w:val="340"/>
            </w:trPr>
            <w:tc>
              <w:tcPr>
                <w:tcW w:w="945" w:type="pct"/>
                <w:vAlign w:val="center"/>
              </w:tcPr>
              <w:p w14:paraId="3E6DC05E" w14:textId="77777777" w:rsidR="007E7472" w:rsidRDefault="00EC1269">
                <w:r>
                  <w:t>环境治理保证金</w:t>
                </w:r>
              </w:p>
            </w:tc>
            <w:tc>
              <w:tcPr>
                <w:tcW w:w="1006" w:type="pct"/>
                <w:vAlign w:val="center"/>
              </w:tcPr>
              <w:p w14:paraId="1379B3BD" w14:textId="77777777" w:rsidR="007E7472" w:rsidRDefault="00EC1269">
                <w:pPr>
                  <w:jc w:val="right"/>
                </w:pPr>
                <w:r>
                  <w:t>24,560</w:t>
                </w:r>
              </w:p>
            </w:tc>
            <w:tc>
              <w:tcPr>
                <w:tcW w:w="1006" w:type="pct"/>
                <w:shd w:val="clear" w:color="auto" w:fill="auto"/>
                <w:vAlign w:val="center"/>
              </w:tcPr>
              <w:p w14:paraId="3EF1081E" w14:textId="77777777" w:rsidR="007E7472" w:rsidRDefault="00C8327E">
                <w:pPr>
                  <w:jc w:val="right"/>
                </w:pPr>
              </w:p>
            </w:tc>
            <w:tc>
              <w:tcPr>
                <w:tcW w:w="1029" w:type="pct"/>
                <w:shd w:val="clear" w:color="auto" w:fill="auto"/>
                <w:vAlign w:val="center"/>
              </w:tcPr>
              <w:p w14:paraId="3FD1320D" w14:textId="77777777" w:rsidR="007E7472" w:rsidRDefault="00C8327E">
                <w:pPr>
                  <w:jc w:val="right"/>
                </w:pPr>
              </w:p>
            </w:tc>
            <w:tc>
              <w:tcPr>
                <w:tcW w:w="1014" w:type="pct"/>
                <w:shd w:val="clear" w:color="auto" w:fill="auto"/>
                <w:vAlign w:val="center"/>
              </w:tcPr>
              <w:p w14:paraId="5779FDAE" w14:textId="77777777" w:rsidR="007E7472" w:rsidRDefault="00EC1269">
                <w:pPr>
                  <w:jc w:val="right"/>
                </w:pPr>
                <w:r>
                  <w:t>24,560</w:t>
                </w:r>
              </w:p>
            </w:tc>
          </w:tr>
          <w:tr w:rsidR="007E7472" w14:paraId="5CD902E9" w14:textId="77777777" w:rsidTr="007E7472">
            <w:trPr>
              <w:trHeight w:val="340"/>
            </w:trPr>
            <w:tc>
              <w:tcPr>
                <w:tcW w:w="945" w:type="pct"/>
                <w:vAlign w:val="center"/>
              </w:tcPr>
              <w:p w14:paraId="4130BF8D" w14:textId="77777777" w:rsidR="007E7472" w:rsidRDefault="00EC1269">
                <w:r>
                  <w:t>转产基金</w:t>
                </w:r>
              </w:p>
            </w:tc>
            <w:tc>
              <w:tcPr>
                <w:tcW w:w="1006" w:type="pct"/>
                <w:vAlign w:val="center"/>
              </w:tcPr>
              <w:p w14:paraId="06314FAE" w14:textId="77777777" w:rsidR="007E7472" w:rsidRDefault="00EC1269">
                <w:pPr>
                  <w:jc w:val="right"/>
                </w:pPr>
                <w:r>
                  <w:rPr>
                    <w:rFonts w:hint="eastAsia"/>
                  </w:rPr>
                  <w:t>2</w:t>
                </w:r>
                <w:r>
                  <w:t>6,875</w:t>
                </w:r>
              </w:p>
            </w:tc>
            <w:tc>
              <w:tcPr>
                <w:tcW w:w="1006" w:type="pct"/>
                <w:shd w:val="clear" w:color="auto" w:fill="auto"/>
                <w:vAlign w:val="center"/>
              </w:tcPr>
              <w:p w14:paraId="2CCA7651" w14:textId="77777777" w:rsidR="007E7472" w:rsidRDefault="00C8327E">
                <w:pPr>
                  <w:jc w:val="right"/>
                </w:pPr>
              </w:p>
            </w:tc>
            <w:tc>
              <w:tcPr>
                <w:tcW w:w="1029" w:type="pct"/>
                <w:shd w:val="clear" w:color="auto" w:fill="auto"/>
                <w:vAlign w:val="center"/>
              </w:tcPr>
              <w:p w14:paraId="6E29CC6D" w14:textId="77777777" w:rsidR="007E7472" w:rsidRDefault="00C8327E">
                <w:pPr>
                  <w:jc w:val="right"/>
                </w:pPr>
              </w:p>
            </w:tc>
            <w:tc>
              <w:tcPr>
                <w:tcW w:w="1014" w:type="pct"/>
                <w:shd w:val="clear" w:color="auto" w:fill="auto"/>
                <w:vAlign w:val="center"/>
              </w:tcPr>
              <w:p w14:paraId="54946AFB" w14:textId="77777777" w:rsidR="007E7472" w:rsidRDefault="00EC1269">
                <w:pPr>
                  <w:jc w:val="right"/>
                </w:pPr>
                <w:r>
                  <w:t>26,875</w:t>
                </w:r>
              </w:p>
            </w:tc>
          </w:tr>
          <w:tr w:rsidR="007E7472" w14:paraId="26294E39" w14:textId="77777777" w:rsidTr="007E7472">
            <w:trPr>
              <w:trHeight w:val="340"/>
            </w:trPr>
            <w:tc>
              <w:tcPr>
                <w:tcW w:w="945" w:type="pct"/>
                <w:vAlign w:val="center"/>
              </w:tcPr>
              <w:p w14:paraId="0C519BC9" w14:textId="77777777" w:rsidR="007E7472" w:rsidRDefault="00EC1269">
                <w:r>
                  <w:rPr>
                    <w:rFonts w:hint="eastAsia"/>
                  </w:rPr>
                  <w:t>一般风险准备</w:t>
                </w:r>
              </w:p>
            </w:tc>
            <w:tc>
              <w:tcPr>
                <w:tcW w:w="1006" w:type="pct"/>
                <w:vAlign w:val="center"/>
              </w:tcPr>
              <w:p w14:paraId="31D21A27" w14:textId="77777777" w:rsidR="007E7472" w:rsidRDefault="00EC1269">
                <w:pPr>
                  <w:jc w:val="right"/>
                </w:pPr>
                <w:r>
                  <w:rPr>
                    <w:rFonts w:hint="eastAsia"/>
                  </w:rPr>
                  <w:t>3</w:t>
                </w:r>
                <w:r>
                  <w:t>30,7</w:t>
                </w:r>
                <w:r>
                  <w:rPr>
                    <w:rFonts w:hint="eastAsia"/>
                  </w:rPr>
                  <w:t>09</w:t>
                </w:r>
              </w:p>
            </w:tc>
            <w:tc>
              <w:tcPr>
                <w:tcW w:w="1006" w:type="pct"/>
                <w:shd w:val="clear" w:color="auto" w:fill="auto"/>
                <w:vAlign w:val="center"/>
              </w:tcPr>
              <w:p w14:paraId="6442237B" w14:textId="77777777" w:rsidR="007E7472" w:rsidRDefault="00C8327E">
                <w:pPr>
                  <w:jc w:val="right"/>
                </w:pPr>
              </w:p>
            </w:tc>
            <w:tc>
              <w:tcPr>
                <w:tcW w:w="1029" w:type="pct"/>
                <w:shd w:val="clear" w:color="auto" w:fill="auto"/>
                <w:vAlign w:val="center"/>
              </w:tcPr>
              <w:p w14:paraId="5858134D" w14:textId="77777777" w:rsidR="007E7472" w:rsidRDefault="00EC1269">
                <w:pPr>
                  <w:jc w:val="right"/>
                </w:pPr>
                <w:r>
                  <w:t>169,131</w:t>
                </w:r>
              </w:p>
            </w:tc>
            <w:tc>
              <w:tcPr>
                <w:tcW w:w="1014" w:type="pct"/>
                <w:shd w:val="clear" w:color="auto" w:fill="auto"/>
                <w:vAlign w:val="center"/>
              </w:tcPr>
              <w:p w14:paraId="45E96736" w14:textId="77777777" w:rsidR="007E7472" w:rsidRDefault="00EC1269">
                <w:pPr>
                  <w:jc w:val="right"/>
                </w:pPr>
                <w:r>
                  <w:t>161,578</w:t>
                </w:r>
              </w:p>
            </w:tc>
          </w:tr>
          <w:tr w:rsidR="007E7472" w14:paraId="6C5E8252" w14:textId="77777777" w:rsidTr="007E7472">
            <w:trPr>
              <w:trHeight w:val="340"/>
            </w:trPr>
            <w:tc>
              <w:tcPr>
                <w:tcW w:w="945" w:type="pct"/>
                <w:shd w:val="clear" w:color="auto" w:fill="auto"/>
                <w:vAlign w:val="center"/>
              </w:tcPr>
              <w:p w14:paraId="19AA9EC0" w14:textId="77777777" w:rsidR="007E7472" w:rsidRDefault="00EC1269">
                <w:pPr>
                  <w:jc w:val="center"/>
                </w:pPr>
                <w:r>
                  <w:rPr>
                    <w:rFonts w:hint="eastAsia"/>
                  </w:rPr>
                  <w:t>合计</w:t>
                </w:r>
              </w:p>
            </w:tc>
            <w:tc>
              <w:tcPr>
                <w:tcW w:w="1006" w:type="pct"/>
                <w:vAlign w:val="center"/>
              </w:tcPr>
              <w:p w14:paraId="4198EE83" w14:textId="77777777" w:rsidR="007E7472" w:rsidRDefault="00EC1269">
                <w:pPr>
                  <w:jc w:val="right"/>
                  <w:rPr>
                    <w:bCs/>
                  </w:rPr>
                </w:pPr>
                <w:r>
                  <w:rPr>
                    <w:bCs/>
                  </w:rPr>
                  <w:t>4,522,237</w:t>
                </w:r>
              </w:p>
            </w:tc>
            <w:tc>
              <w:tcPr>
                <w:tcW w:w="1006" w:type="pct"/>
                <w:shd w:val="clear" w:color="auto" w:fill="auto"/>
                <w:vAlign w:val="center"/>
              </w:tcPr>
              <w:p w14:paraId="2302EB5D" w14:textId="77777777" w:rsidR="007E7472" w:rsidRDefault="00EC1269">
                <w:pPr>
                  <w:jc w:val="right"/>
                  <w:rPr>
                    <w:bCs/>
                  </w:rPr>
                </w:pPr>
                <w:r>
                  <w:rPr>
                    <w:bCs/>
                  </w:rPr>
                  <w:t>1,479,732</w:t>
                </w:r>
              </w:p>
            </w:tc>
            <w:tc>
              <w:tcPr>
                <w:tcW w:w="1029" w:type="pct"/>
                <w:shd w:val="clear" w:color="auto" w:fill="auto"/>
                <w:vAlign w:val="center"/>
              </w:tcPr>
              <w:p w14:paraId="420C051C" w14:textId="77777777" w:rsidR="007E7472" w:rsidRDefault="00EC1269">
                <w:pPr>
                  <w:jc w:val="right"/>
                  <w:rPr>
                    <w:bCs/>
                  </w:rPr>
                </w:pPr>
                <w:r>
                  <w:rPr>
                    <w:bCs/>
                  </w:rPr>
                  <w:t>1,331,333</w:t>
                </w:r>
              </w:p>
            </w:tc>
            <w:tc>
              <w:tcPr>
                <w:tcW w:w="1014" w:type="pct"/>
                <w:shd w:val="clear" w:color="auto" w:fill="auto"/>
                <w:vAlign w:val="center"/>
              </w:tcPr>
              <w:p w14:paraId="622CD118" w14:textId="77777777" w:rsidR="007E7472" w:rsidRDefault="00EC1269">
                <w:pPr>
                  <w:jc w:val="right"/>
                  <w:rPr>
                    <w:bCs/>
                  </w:rPr>
                </w:pPr>
                <w:r>
                  <w:rPr>
                    <w:bCs/>
                  </w:rPr>
                  <w:t>4,670,636</w:t>
                </w:r>
              </w:p>
            </w:tc>
          </w:tr>
        </w:tbl>
        <w:p w14:paraId="00BA869E" w14:textId="77777777" w:rsidR="007E7472" w:rsidRDefault="00C8327E"/>
      </w:sdtContent>
    </w:sdt>
    <w:sdt>
      <w:sdtPr>
        <w:rPr>
          <w:rFonts w:ascii="宋体" w:hAnsi="宋体" w:cs="宋体" w:hint="eastAsia"/>
          <w:b w:val="0"/>
          <w:bCs w:val="0"/>
          <w:kern w:val="0"/>
          <w:szCs w:val="21"/>
        </w:rPr>
        <w:alias w:val="模块:盈余公积"/>
        <w:tag w:val="_GBC_fc97b66d150f4d31ba9096ec58341715"/>
        <w:id w:val="1317223200"/>
        <w:lock w:val="sdtLocked"/>
        <w:placeholder>
          <w:docPart w:val="GBC22222222222222222222222222222"/>
        </w:placeholder>
      </w:sdtPr>
      <w:sdtEndPr>
        <w:rPr>
          <w:rFonts w:cstheme="minorBidi" w:hint="default"/>
        </w:rPr>
      </w:sdtEndPr>
      <w:sdtContent>
        <w:p w14:paraId="0ECB1492" w14:textId="77777777" w:rsidR="007E7472" w:rsidRDefault="00EC1269" w:rsidP="00162493">
          <w:pPr>
            <w:pStyle w:val="3"/>
            <w:numPr>
              <w:ilvl w:val="0"/>
              <w:numId w:val="62"/>
            </w:numPr>
          </w:pPr>
          <w:r>
            <w:rPr>
              <w:rFonts w:hint="eastAsia"/>
            </w:rPr>
            <w:t>盈余公积</w:t>
          </w:r>
        </w:p>
        <w:sdt>
          <w:sdtPr>
            <w:alias w:val="是否适用：盈余公积[双击切换]"/>
            <w:tag w:val="_GBC_52b9917fb423490bb32a9d6648a07db9"/>
            <w:id w:val="919831934"/>
            <w:lock w:val="sdtLocked"/>
            <w:placeholder>
              <w:docPart w:val="GBC22222222222222222222222222222"/>
            </w:placeholder>
          </w:sdtPr>
          <w:sdtEndPr/>
          <w:sdtContent>
            <w:p w14:paraId="1FE0EF39"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hint="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hint="eastAsia"/>
                </w:rPr>
                <w:instrText xml:space="preserve"> MACROBUTTON  SnrToggleCheckbox □不适用 </w:instrText>
              </w:r>
              <w:r>
                <w:rPr>
                  <w:rFonts w:asciiTheme="minorEastAsia" w:eastAsiaTheme="minorEastAsia" w:hAnsiTheme="minorEastAsia"/>
                </w:rPr>
                <w:fldChar w:fldCharType="end"/>
              </w:r>
            </w:p>
          </w:sdtContent>
        </w:sdt>
        <w:p w14:paraId="134615F2" w14:textId="43D70398" w:rsidR="007E7472" w:rsidRDefault="00EC1269">
          <w:pPr>
            <w:jc w:val="right"/>
          </w:pPr>
          <w:r>
            <w:rPr>
              <w:rFonts w:hint="eastAsia"/>
            </w:rPr>
            <w:t>单位：</w:t>
          </w:r>
          <w:sdt>
            <w:sdtPr>
              <w:rPr>
                <w:rFonts w:hint="eastAsia"/>
              </w:rPr>
              <w:alias w:val="单位：财务附注：盈余公积"/>
              <w:tag w:val="_GBC_ea3204141ce3498eaccd14c833f64973"/>
              <w:id w:val="21402955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盈余公积"/>
              <w:tag w:val="_GBC_f5c6664d47b9454d919a38095dd3c48d"/>
              <w:id w:val="7900206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1659"/>
            <w:gridCol w:w="1784"/>
            <w:gridCol w:w="1789"/>
            <w:gridCol w:w="1802"/>
            <w:gridCol w:w="1789"/>
          </w:tblGrid>
          <w:tr w:rsidR="007E7472" w14:paraId="6BFF5721" w14:textId="77777777" w:rsidTr="007E7472">
            <w:trPr>
              <w:trHeight w:val="340"/>
            </w:trPr>
            <w:sdt>
              <w:sdtPr>
                <w:tag w:val="_PLD_70f0cea3df9b4646bf8f9454719b4599"/>
                <w:id w:val="405339438"/>
                <w:lock w:val="sdtLocked"/>
              </w:sdtPr>
              <w:sdtEndPr/>
              <w:sdtContent>
                <w:tc>
                  <w:tcPr>
                    <w:tcW w:w="940" w:type="pct"/>
                    <w:vAlign w:val="center"/>
                  </w:tcPr>
                  <w:p w14:paraId="02C4918A" w14:textId="77777777" w:rsidR="007E7472" w:rsidRDefault="00EC1269">
                    <w:pPr>
                      <w:autoSpaceDE w:val="0"/>
                      <w:autoSpaceDN w:val="0"/>
                      <w:adjustRightInd w:val="0"/>
                      <w:snapToGrid w:val="0"/>
                      <w:jc w:val="center"/>
                    </w:pPr>
                    <w:r>
                      <w:rPr>
                        <w:rFonts w:hint="eastAsia"/>
                      </w:rPr>
                      <w:t>项目</w:t>
                    </w:r>
                  </w:p>
                </w:tc>
              </w:sdtContent>
            </w:sdt>
            <w:sdt>
              <w:sdtPr>
                <w:tag w:val="_PLD_5466d5e3c2b64aeb9abc2e1a21f2e6c0"/>
                <w:id w:val="933942312"/>
                <w:lock w:val="sdtLocked"/>
              </w:sdtPr>
              <w:sdtEndPr/>
              <w:sdtContent>
                <w:tc>
                  <w:tcPr>
                    <w:tcW w:w="1011" w:type="pct"/>
                    <w:vAlign w:val="center"/>
                  </w:tcPr>
                  <w:p w14:paraId="4A1001D5" w14:textId="77777777" w:rsidR="007E7472" w:rsidRDefault="00EC1269">
                    <w:pPr>
                      <w:autoSpaceDE w:val="0"/>
                      <w:autoSpaceDN w:val="0"/>
                      <w:adjustRightInd w:val="0"/>
                      <w:snapToGrid w:val="0"/>
                      <w:jc w:val="center"/>
                    </w:pPr>
                    <w:r>
                      <w:rPr>
                        <w:rFonts w:hint="eastAsia"/>
                      </w:rPr>
                      <w:t>期初余额</w:t>
                    </w:r>
                  </w:p>
                </w:tc>
              </w:sdtContent>
            </w:sdt>
            <w:sdt>
              <w:sdtPr>
                <w:tag w:val="_PLD_44b0c825c55949b98cff671f8777dd39"/>
                <w:id w:val="1758395648"/>
                <w:lock w:val="sdtLocked"/>
              </w:sdtPr>
              <w:sdtEndPr/>
              <w:sdtContent>
                <w:tc>
                  <w:tcPr>
                    <w:tcW w:w="1014" w:type="pct"/>
                    <w:vAlign w:val="center"/>
                  </w:tcPr>
                  <w:p w14:paraId="63232E65" w14:textId="77777777" w:rsidR="007E7472" w:rsidRDefault="00EC1269">
                    <w:pPr>
                      <w:autoSpaceDE w:val="0"/>
                      <w:autoSpaceDN w:val="0"/>
                      <w:adjustRightInd w:val="0"/>
                      <w:snapToGrid w:val="0"/>
                      <w:jc w:val="center"/>
                    </w:pPr>
                    <w:r>
                      <w:rPr>
                        <w:rFonts w:hint="eastAsia"/>
                      </w:rPr>
                      <w:t>本期增加</w:t>
                    </w:r>
                  </w:p>
                </w:tc>
              </w:sdtContent>
            </w:sdt>
            <w:sdt>
              <w:sdtPr>
                <w:tag w:val="_PLD_111b02bee52f4f1a879468aa2243106f"/>
                <w:id w:val="1203287953"/>
                <w:lock w:val="sdtLocked"/>
              </w:sdtPr>
              <w:sdtEndPr/>
              <w:sdtContent>
                <w:tc>
                  <w:tcPr>
                    <w:tcW w:w="1021" w:type="pct"/>
                    <w:vAlign w:val="center"/>
                  </w:tcPr>
                  <w:p w14:paraId="57B7C1F7" w14:textId="77777777" w:rsidR="007E7472" w:rsidRDefault="00EC1269">
                    <w:pPr>
                      <w:autoSpaceDE w:val="0"/>
                      <w:autoSpaceDN w:val="0"/>
                      <w:adjustRightInd w:val="0"/>
                      <w:snapToGrid w:val="0"/>
                      <w:jc w:val="center"/>
                    </w:pPr>
                    <w:r>
                      <w:rPr>
                        <w:rFonts w:hint="eastAsia"/>
                      </w:rPr>
                      <w:t>本期减少</w:t>
                    </w:r>
                  </w:p>
                </w:tc>
              </w:sdtContent>
            </w:sdt>
            <w:sdt>
              <w:sdtPr>
                <w:tag w:val="_PLD_e6d9dff1341d44c99d9c3f51d8fd2c2f"/>
                <w:id w:val="-1538347649"/>
                <w:lock w:val="sdtLocked"/>
              </w:sdtPr>
              <w:sdtEndPr/>
              <w:sdtContent>
                <w:tc>
                  <w:tcPr>
                    <w:tcW w:w="1014" w:type="pct"/>
                    <w:vAlign w:val="center"/>
                  </w:tcPr>
                  <w:p w14:paraId="3F990270" w14:textId="77777777" w:rsidR="007E7472" w:rsidRDefault="00EC1269">
                    <w:pPr>
                      <w:autoSpaceDE w:val="0"/>
                      <w:autoSpaceDN w:val="0"/>
                      <w:adjustRightInd w:val="0"/>
                      <w:snapToGrid w:val="0"/>
                      <w:jc w:val="center"/>
                    </w:pPr>
                    <w:r>
                      <w:rPr>
                        <w:rFonts w:hint="eastAsia"/>
                      </w:rPr>
                      <w:t>期末余额</w:t>
                    </w:r>
                  </w:p>
                </w:tc>
              </w:sdtContent>
            </w:sdt>
          </w:tr>
          <w:tr w:rsidR="007E7472" w14:paraId="487F650C" w14:textId="77777777" w:rsidTr="007E7472">
            <w:trPr>
              <w:trHeight w:val="340"/>
            </w:trPr>
            <w:sdt>
              <w:sdtPr>
                <w:tag w:val="_PLD_fc05a7682db944fc88b1d5bf0888fab6"/>
                <w:id w:val="1226652129"/>
                <w:lock w:val="sdtLocked"/>
              </w:sdtPr>
              <w:sdtEndPr/>
              <w:sdtContent>
                <w:tc>
                  <w:tcPr>
                    <w:tcW w:w="940" w:type="pct"/>
                    <w:shd w:val="clear" w:color="auto" w:fill="auto"/>
                    <w:vAlign w:val="center"/>
                  </w:tcPr>
                  <w:p w14:paraId="3DBE8207" w14:textId="77777777" w:rsidR="007E7472" w:rsidRDefault="00EC1269">
                    <w:pPr>
                      <w:autoSpaceDE w:val="0"/>
                      <w:autoSpaceDN w:val="0"/>
                      <w:adjustRightInd w:val="0"/>
                      <w:snapToGrid w:val="0"/>
                      <w:jc w:val="both"/>
                    </w:pPr>
                    <w:r>
                      <w:rPr>
                        <w:rFonts w:hint="eastAsia"/>
                      </w:rPr>
                      <w:t>法定盈余公积</w:t>
                    </w:r>
                  </w:p>
                </w:tc>
              </w:sdtContent>
            </w:sdt>
            <w:tc>
              <w:tcPr>
                <w:tcW w:w="1011" w:type="pct"/>
                <w:shd w:val="clear" w:color="auto" w:fill="auto"/>
                <w:vAlign w:val="center"/>
              </w:tcPr>
              <w:p w14:paraId="508F15E4" w14:textId="77777777" w:rsidR="007E7472" w:rsidRDefault="00EC1269">
                <w:pPr>
                  <w:autoSpaceDE w:val="0"/>
                  <w:autoSpaceDN w:val="0"/>
                  <w:adjustRightInd w:val="0"/>
                  <w:snapToGrid w:val="0"/>
                  <w:ind w:right="180"/>
                  <w:jc w:val="right"/>
                </w:pPr>
                <w:r>
                  <w:t>912,700</w:t>
                </w:r>
              </w:p>
            </w:tc>
            <w:tc>
              <w:tcPr>
                <w:tcW w:w="1014" w:type="pct"/>
                <w:shd w:val="clear" w:color="auto" w:fill="auto"/>
                <w:vAlign w:val="center"/>
              </w:tcPr>
              <w:p w14:paraId="1C47B362" w14:textId="77777777" w:rsidR="007E7472" w:rsidRDefault="00C8327E">
                <w:pPr>
                  <w:autoSpaceDE w:val="0"/>
                  <w:autoSpaceDN w:val="0"/>
                  <w:adjustRightInd w:val="0"/>
                  <w:snapToGrid w:val="0"/>
                  <w:ind w:right="180"/>
                  <w:jc w:val="right"/>
                </w:pPr>
              </w:p>
            </w:tc>
            <w:tc>
              <w:tcPr>
                <w:tcW w:w="1021" w:type="pct"/>
                <w:shd w:val="clear" w:color="auto" w:fill="auto"/>
                <w:vAlign w:val="center"/>
              </w:tcPr>
              <w:p w14:paraId="05B96B21" w14:textId="77777777" w:rsidR="007E7472" w:rsidRDefault="00C8327E">
                <w:pPr>
                  <w:autoSpaceDE w:val="0"/>
                  <w:autoSpaceDN w:val="0"/>
                  <w:adjustRightInd w:val="0"/>
                  <w:snapToGrid w:val="0"/>
                  <w:ind w:right="180"/>
                  <w:jc w:val="right"/>
                </w:pPr>
              </w:p>
            </w:tc>
            <w:tc>
              <w:tcPr>
                <w:tcW w:w="1014" w:type="pct"/>
                <w:shd w:val="clear" w:color="auto" w:fill="auto"/>
                <w:vAlign w:val="center"/>
              </w:tcPr>
              <w:p w14:paraId="354F9121" w14:textId="77777777" w:rsidR="007E7472" w:rsidRDefault="00EC1269">
                <w:pPr>
                  <w:autoSpaceDE w:val="0"/>
                  <w:autoSpaceDN w:val="0"/>
                  <w:adjustRightInd w:val="0"/>
                  <w:snapToGrid w:val="0"/>
                  <w:ind w:right="180"/>
                  <w:jc w:val="right"/>
                </w:pPr>
                <w:r>
                  <w:t>912,700</w:t>
                </w:r>
              </w:p>
            </w:tc>
          </w:tr>
          <w:tr w:rsidR="007E7472" w14:paraId="1B32CC0C" w14:textId="77777777" w:rsidTr="007E7472">
            <w:trPr>
              <w:trHeight w:val="340"/>
            </w:trPr>
            <w:sdt>
              <w:sdtPr>
                <w:tag w:val="_PLD_f8e1917adbcf4318b4ab05bf11aaef0c"/>
                <w:id w:val="-1082291240"/>
                <w:lock w:val="sdtLocked"/>
              </w:sdtPr>
              <w:sdtEndPr/>
              <w:sdtContent>
                <w:tc>
                  <w:tcPr>
                    <w:tcW w:w="940" w:type="pct"/>
                    <w:vAlign w:val="center"/>
                  </w:tcPr>
                  <w:p w14:paraId="5A5450D4" w14:textId="77777777" w:rsidR="007E7472" w:rsidRDefault="00EC1269">
                    <w:pPr>
                      <w:autoSpaceDE w:val="0"/>
                      <w:autoSpaceDN w:val="0"/>
                      <w:adjustRightInd w:val="0"/>
                      <w:snapToGrid w:val="0"/>
                      <w:jc w:val="center"/>
                    </w:pPr>
                    <w:r>
                      <w:rPr>
                        <w:rFonts w:hint="eastAsia"/>
                      </w:rPr>
                      <w:t>合计</w:t>
                    </w:r>
                  </w:p>
                </w:tc>
              </w:sdtContent>
            </w:sdt>
            <w:tc>
              <w:tcPr>
                <w:tcW w:w="1011" w:type="pct"/>
                <w:vAlign w:val="center"/>
              </w:tcPr>
              <w:p w14:paraId="6FADBC30" w14:textId="77777777" w:rsidR="007E7472" w:rsidRDefault="00EC1269">
                <w:pPr>
                  <w:autoSpaceDE w:val="0"/>
                  <w:autoSpaceDN w:val="0"/>
                  <w:adjustRightInd w:val="0"/>
                  <w:snapToGrid w:val="0"/>
                  <w:ind w:right="180"/>
                  <w:jc w:val="right"/>
                </w:pPr>
                <w:r>
                  <w:t>912,700</w:t>
                </w:r>
              </w:p>
            </w:tc>
            <w:tc>
              <w:tcPr>
                <w:tcW w:w="1014" w:type="pct"/>
                <w:vAlign w:val="center"/>
              </w:tcPr>
              <w:p w14:paraId="77198235" w14:textId="77777777" w:rsidR="007E7472" w:rsidRDefault="00C8327E">
                <w:pPr>
                  <w:autoSpaceDE w:val="0"/>
                  <w:autoSpaceDN w:val="0"/>
                  <w:adjustRightInd w:val="0"/>
                  <w:snapToGrid w:val="0"/>
                  <w:ind w:right="180"/>
                  <w:jc w:val="right"/>
                </w:pPr>
              </w:p>
            </w:tc>
            <w:tc>
              <w:tcPr>
                <w:tcW w:w="1021" w:type="pct"/>
                <w:vAlign w:val="center"/>
              </w:tcPr>
              <w:p w14:paraId="28A5265D" w14:textId="77777777" w:rsidR="007E7472" w:rsidRDefault="00C8327E">
                <w:pPr>
                  <w:autoSpaceDE w:val="0"/>
                  <w:autoSpaceDN w:val="0"/>
                  <w:adjustRightInd w:val="0"/>
                  <w:snapToGrid w:val="0"/>
                  <w:ind w:right="180"/>
                  <w:jc w:val="right"/>
                </w:pPr>
              </w:p>
            </w:tc>
            <w:tc>
              <w:tcPr>
                <w:tcW w:w="1014" w:type="pct"/>
                <w:vAlign w:val="center"/>
              </w:tcPr>
              <w:p w14:paraId="62BD820B" w14:textId="77777777" w:rsidR="007E7472" w:rsidRDefault="00EC1269">
                <w:pPr>
                  <w:autoSpaceDE w:val="0"/>
                  <w:autoSpaceDN w:val="0"/>
                  <w:adjustRightInd w:val="0"/>
                  <w:snapToGrid w:val="0"/>
                  <w:ind w:right="180"/>
                  <w:jc w:val="right"/>
                </w:pPr>
                <w:r>
                  <w:t>912,700</w:t>
                </w:r>
              </w:p>
            </w:tc>
          </w:tr>
        </w:tbl>
      </w:sdtContent>
    </w:sdt>
    <w:p w14:paraId="06CA98FE" w14:textId="77777777" w:rsidR="007E7472" w:rsidRDefault="00EC1269" w:rsidP="00162493">
      <w:pPr>
        <w:pStyle w:val="3"/>
        <w:numPr>
          <w:ilvl w:val="0"/>
          <w:numId w:val="62"/>
        </w:numPr>
      </w:pPr>
      <w:r>
        <w:rPr>
          <w:rFonts w:hint="eastAsia"/>
        </w:rPr>
        <w:t>未分配利润</w:t>
      </w:r>
    </w:p>
    <w:p w14:paraId="255BF755" w14:textId="77777777" w:rsidR="007E7472" w:rsidRDefault="00C8327E">
      <w:sdt>
        <w:sdtPr>
          <w:alias w:val="是否适用：未分配利润[双击切换]"/>
          <w:tag w:val="_GBC_32c558bdbb77445cabeee783e5ff910e"/>
          <w:id w:val="-1870903987"/>
          <w:lock w:val="contentLocked"/>
          <w:placeholder>
            <w:docPart w:val="GBC22222222222222222222222222222"/>
          </w:placeholder>
        </w:sdtPr>
        <w:sdtEndPr/>
        <w:sdtContent>
          <w:r w:rsidR="00EC1269">
            <w:fldChar w:fldCharType="begin"/>
          </w:r>
          <w:r w:rsidR="00EC1269">
            <w:rPr>
              <w:rFonts w:hint="eastAsia"/>
            </w:rPr>
            <w:instrText xml:space="preserve"> MACROBUTTON  SnrToggleCheckbox √适用 </w:instrText>
          </w:r>
          <w:r w:rsidR="00EC1269">
            <w:fldChar w:fldCharType="end"/>
          </w:r>
          <w:r w:rsidR="00EC1269">
            <w:fldChar w:fldCharType="begin"/>
          </w:r>
          <w:r w:rsidR="00EC1269">
            <w:instrText xml:space="preserve"> MACROBUTTON  SnrToggleCheckbox □不适用 </w:instrText>
          </w:r>
          <w:r w:rsidR="00EC1269">
            <w:fldChar w:fldCharType="end"/>
          </w:r>
        </w:sdtContent>
      </w:sdt>
    </w:p>
    <w:sdt>
      <w:sdtPr>
        <w:rPr>
          <w:rFonts w:ascii="Times New Roman" w:hAnsi="Times New Roman" w:cs="Times New Roman" w:hint="eastAsia"/>
          <w:b/>
          <w:bCs/>
          <w:sz w:val="20"/>
          <w:szCs w:val="20"/>
        </w:rPr>
        <w:alias w:val="模块:未分配利润"/>
        <w:tag w:val="_GBC_2cdd2861806d471aa767f92841b30fbf"/>
        <w:id w:val="-1733695550"/>
        <w:placeholder>
          <w:docPart w:val="GBC22222222222222222222222222222"/>
        </w:placeholder>
      </w:sdtPr>
      <w:sdtEndPr>
        <w:rPr>
          <w:rFonts w:ascii="宋体" w:hAnsi="宋体" w:cs="宋体"/>
          <w:b w:val="0"/>
          <w:bCs w:val="0"/>
          <w:sz w:val="21"/>
          <w:szCs w:val="21"/>
          <w:highlight w:val="yellow"/>
        </w:rPr>
      </w:sdtEndPr>
      <w:sdtContent>
        <w:p w14:paraId="542C2E0D" w14:textId="333903AB" w:rsidR="007E7472" w:rsidRDefault="00EC1269">
          <w:pPr>
            <w:jc w:val="right"/>
          </w:pPr>
          <w:r>
            <w:rPr>
              <w:rFonts w:hint="eastAsia"/>
            </w:rPr>
            <w:t>单位：</w:t>
          </w:r>
          <w:sdt>
            <w:sdtPr>
              <w:rPr>
                <w:rFonts w:hint="eastAsia"/>
              </w:rPr>
              <w:alias w:val="单位：财务附注：未分配利润"/>
              <w:tag w:val="_GBC_cfb07ff3eded4b49916cfc42d821bab6"/>
              <w:id w:val="903072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未分配利润"/>
              <w:tag w:val="_GBC_55c70fe731be4b84be72ea88afd989b8"/>
              <w:id w:val="57616900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0"/>
            <w:gridCol w:w="2755"/>
            <w:gridCol w:w="2668"/>
          </w:tblGrid>
          <w:tr w:rsidR="007E7472" w14:paraId="2D539A47" w14:textId="77777777">
            <w:trPr>
              <w:cantSplit/>
            </w:trPr>
            <w:sdt>
              <w:sdtPr>
                <w:tag w:val="_PLD_b6dc2bd7eebb4e6d9f1ccea8d86e6f47"/>
                <w:id w:val="-994486539"/>
              </w:sdtPr>
              <w:sdtEndPr/>
              <w:sdtContent>
                <w:tc>
                  <w:tcPr>
                    <w:tcW w:w="1927" w:type="pct"/>
                    <w:vAlign w:val="center"/>
                  </w:tcPr>
                  <w:p w14:paraId="3DEF8F13" w14:textId="77777777" w:rsidR="007E7472" w:rsidRDefault="00EC1269">
                    <w:pPr>
                      <w:jc w:val="center"/>
                    </w:pPr>
                    <w:r>
                      <w:rPr>
                        <w:rFonts w:hint="eastAsia"/>
                      </w:rPr>
                      <w:t>项目</w:t>
                    </w:r>
                  </w:p>
                </w:tc>
              </w:sdtContent>
            </w:sdt>
            <w:sdt>
              <w:sdtPr>
                <w:tag w:val="_PLD_6e60054e3c3747d1a0ffc87edacae2b6"/>
                <w:id w:val="1073472360"/>
              </w:sdtPr>
              <w:sdtEndPr/>
              <w:sdtContent>
                <w:tc>
                  <w:tcPr>
                    <w:tcW w:w="1561" w:type="pct"/>
                    <w:vAlign w:val="center"/>
                  </w:tcPr>
                  <w:p w14:paraId="2A50AA63" w14:textId="77777777" w:rsidR="007E7472" w:rsidRDefault="00EC1269">
                    <w:pPr>
                      <w:jc w:val="center"/>
                    </w:pPr>
                    <w:r>
                      <w:rPr>
                        <w:rFonts w:hint="eastAsia"/>
                      </w:rPr>
                      <w:t>本期</w:t>
                    </w:r>
                  </w:p>
                </w:tc>
              </w:sdtContent>
            </w:sdt>
            <w:sdt>
              <w:sdtPr>
                <w:tag w:val="_PLD_9afd54e9959d4b22b00bfe92596a2a16"/>
                <w:id w:val="-2061632173"/>
              </w:sdtPr>
              <w:sdtEndPr/>
              <w:sdtContent>
                <w:tc>
                  <w:tcPr>
                    <w:tcW w:w="1512" w:type="pct"/>
                    <w:vAlign w:val="center"/>
                  </w:tcPr>
                  <w:p w14:paraId="73A573AD" w14:textId="77777777" w:rsidR="007E7472" w:rsidRDefault="00EC1269">
                    <w:pPr>
                      <w:jc w:val="center"/>
                    </w:pPr>
                    <w:r>
                      <w:rPr>
                        <w:rFonts w:hint="eastAsia"/>
                      </w:rPr>
                      <w:t>上年度</w:t>
                    </w:r>
                  </w:p>
                </w:tc>
              </w:sdtContent>
            </w:sdt>
          </w:tr>
          <w:tr w:rsidR="007E7472" w14:paraId="2A6C3153" w14:textId="77777777">
            <w:trPr>
              <w:cantSplit/>
            </w:trPr>
            <w:sdt>
              <w:sdtPr>
                <w:tag w:val="_PLD_3790b8d7d129484381d1c2fa2fa8d23c"/>
                <w:id w:val="-997419667"/>
              </w:sdtPr>
              <w:sdtEndPr/>
              <w:sdtContent>
                <w:tc>
                  <w:tcPr>
                    <w:tcW w:w="1927" w:type="pct"/>
                  </w:tcPr>
                  <w:p w14:paraId="7B5254F4" w14:textId="77777777" w:rsidR="007E7472" w:rsidRDefault="00EC1269">
                    <w:r>
                      <w:rPr>
                        <w:rFonts w:hint="eastAsia"/>
                      </w:rPr>
                      <w:t>调整前上期末未分配利润</w:t>
                    </w:r>
                  </w:p>
                </w:tc>
              </w:sdtContent>
            </w:sdt>
            <w:tc>
              <w:tcPr>
                <w:tcW w:w="1561" w:type="pct"/>
                <w:vAlign w:val="center"/>
              </w:tcPr>
              <w:p w14:paraId="20921991" w14:textId="77777777" w:rsidR="007E7472" w:rsidRDefault="00EC1269">
                <w:pPr>
                  <w:ind w:right="6"/>
                  <w:jc w:val="right"/>
                </w:pPr>
                <w:r>
                  <w:t>77,265,236</w:t>
                </w:r>
              </w:p>
            </w:tc>
            <w:tc>
              <w:tcPr>
                <w:tcW w:w="1512" w:type="pct"/>
                <w:vAlign w:val="center"/>
              </w:tcPr>
              <w:p w14:paraId="1FEB8C25" w14:textId="77777777" w:rsidR="007E7472" w:rsidRDefault="00EC1269">
                <w:pPr>
                  <w:jc w:val="right"/>
                </w:pPr>
                <w:r>
                  <w:t>56,366,083</w:t>
                </w:r>
              </w:p>
            </w:tc>
          </w:tr>
          <w:tr w:rsidR="007E7472" w14:paraId="5A2660F5" w14:textId="77777777">
            <w:trPr>
              <w:cantSplit/>
            </w:trPr>
            <w:sdt>
              <w:sdtPr>
                <w:tag w:val="_PLD_99b1e9805f3e4b93aa362504b83793b1"/>
                <w:id w:val="-405070234"/>
              </w:sdtPr>
              <w:sdtEndPr/>
              <w:sdtContent>
                <w:tc>
                  <w:tcPr>
                    <w:tcW w:w="1927" w:type="pct"/>
                  </w:tcPr>
                  <w:p w14:paraId="13ACF461" w14:textId="77777777" w:rsidR="007E7472" w:rsidRDefault="00EC1269">
                    <w:r>
                      <w:rPr>
                        <w:rFonts w:hint="eastAsia"/>
                      </w:rPr>
                      <w:t>调整期初未分配利润合计数（调增</w:t>
                    </w:r>
                    <w:r>
                      <w:t>+</w:t>
                    </w:r>
                    <w:r>
                      <w:rPr>
                        <w:rFonts w:hint="eastAsia"/>
                      </w:rPr>
                      <w:t>，调减－）</w:t>
                    </w:r>
                  </w:p>
                </w:tc>
              </w:sdtContent>
            </w:sdt>
            <w:tc>
              <w:tcPr>
                <w:tcW w:w="1561" w:type="pct"/>
                <w:vAlign w:val="center"/>
              </w:tcPr>
              <w:p w14:paraId="6D27DBB1" w14:textId="77777777" w:rsidR="007E7472" w:rsidRDefault="00EC1269">
                <w:pPr>
                  <w:ind w:right="6"/>
                  <w:jc w:val="right"/>
                </w:pPr>
                <w:r>
                  <w:t>-33,821</w:t>
                </w:r>
              </w:p>
            </w:tc>
            <w:tc>
              <w:tcPr>
                <w:tcW w:w="1512" w:type="pct"/>
                <w:vAlign w:val="center"/>
              </w:tcPr>
              <w:p w14:paraId="2D2406D2" w14:textId="77777777" w:rsidR="007E7472" w:rsidRDefault="00EC1269">
                <w:pPr>
                  <w:ind w:right="6"/>
                  <w:jc w:val="right"/>
                </w:pPr>
                <w:r>
                  <w:t>-33,821</w:t>
                </w:r>
              </w:p>
            </w:tc>
          </w:tr>
          <w:tr w:rsidR="007E7472" w14:paraId="1E923724" w14:textId="77777777">
            <w:trPr>
              <w:cantSplit/>
            </w:trPr>
            <w:sdt>
              <w:sdtPr>
                <w:tag w:val="_PLD_7a98e2bc7c1b48d785851921473e7f5f"/>
                <w:id w:val="-1931887571"/>
              </w:sdtPr>
              <w:sdtEndPr/>
              <w:sdtContent>
                <w:tc>
                  <w:tcPr>
                    <w:tcW w:w="1927" w:type="pct"/>
                  </w:tcPr>
                  <w:p w14:paraId="0D627977" w14:textId="77777777" w:rsidR="007E7472" w:rsidRDefault="00EC1269">
                    <w:r>
                      <w:rPr>
                        <w:rFonts w:hint="eastAsia"/>
                      </w:rPr>
                      <w:t>调整后期初未分配利润</w:t>
                    </w:r>
                  </w:p>
                </w:tc>
              </w:sdtContent>
            </w:sdt>
            <w:tc>
              <w:tcPr>
                <w:tcW w:w="1561" w:type="pct"/>
                <w:vAlign w:val="center"/>
              </w:tcPr>
              <w:p w14:paraId="15DA7145" w14:textId="77777777" w:rsidR="007E7472" w:rsidRDefault="00EC1269">
                <w:pPr>
                  <w:ind w:right="6"/>
                  <w:jc w:val="right"/>
                </w:pPr>
                <w:r>
                  <w:t>77,231,415</w:t>
                </w:r>
              </w:p>
            </w:tc>
            <w:tc>
              <w:tcPr>
                <w:tcW w:w="1512" w:type="pct"/>
                <w:vAlign w:val="center"/>
              </w:tcPr>
              <w:p w14:paraId="78382FE4" w14:textId="77777777" w:rsidR="007E7472" w:rsidRDefault="00EC1269">
                <w:pPr>
                  <w:ind w:right="6"/>
                  <w:jc w:val="right"/>
                </w:pPr>
                <w:r>
                  <w:t>56</w:t>
                </w:r>
                <w:r>
                  <w:rPr>
                    <w:rFonts w:hint="eastAsia"/>
                  </w:rPr>
                  <w:t>,</w:t>
                </w:r>
                <w:r>
                  <w:t>332,262</w:t>
                </w:r>
              </w:p>
            </w:tc>
          </w:tr>
          <w:tr w:rsidR="007E7472" w14:paraId="132D157D" w14:textId="77777777">
            <w:trPr>
              <w:cantSplit/>
            </w:trPr>
            <w:sdt>
              <w:sdtPr>
                <w:tag w:val="_PLD_2a8ba0dc26a946cbb60b0ff473f157c1"/>
                <w:id w:val="1861083127"/>
              </w:sdtPr>
              <w:sdtEndPr/>
              <w:sdtContent>
                <w:tc>
                  <w:tcPr>
                    <w:tcW w:w="1927" w:type="pct"/>
                  </w:tcPr>
                  <w:p w14:paraId="6A5A168C" w14:textId="77777777" w:rsidR="007E7472" w:rsidRDefault="00EC1269">
                    <w:pPr>
                      <w:ind w:right="6"/>
                    </w:pPr>
                    <w:r>
                      <w:rPr>
                        <w:rFonts w:hint="eastAsia"/>
                      </w:rPr>
                      <w:t>加：本期归属于母公司所有者的净利润</w:t>
                    </w:r>
                  </w:p>
                </w:tc>
              </w:sdtContent>
            </w:sdt>
            <w:tc>
              <w:tcPr>
                <w:tcW w:w="1561" w:type="pct"/>
                <w:vAlign w:val="center"/>
              </w:tcPr>
              <w:p w14:paraId="1D1FFB16" w14:textId="77777777" w:rsidR="007E7472" w:rsidRDefault="00EC1269">
                <w:pPr>
                  <w:ind w:right="6"/>
                  <w:jc w:val="right"/>
                </w:pPr>
                <w:r>
                  <w:t>10,210,068</w:t>
                </w:r>
              </w:p>
            </w:tc>
            <w:tc>
              <w:tcPr>
                <w:tcW w:w="1512" w:type="pct"/>
                <w:vAlign w:val="center"/>
              </w:tcPr>
              <w:p w14:paraId="6EF048FD" w14:textId="77777777" w:rsidR="007E7472" w:rsidRDefault="00EC1269">
                <w:pPr>
                  <w:ind w:right="6"/>
                  <w:jc w:val="right"/>
                </w:pPr>
                <w:r>
                  <w:rPr>
                    <w:rFonts w:hint="eastAsia"/>
                  </w:rPr>
                  <w:t>18,037,071</w:t>
                </w:r>
              </w:p>
            </w:tc>
          </w:tr>
          <w:tr w:rsidR="007E7472" w14:paraId="1ECF9EFB" w14:textId="77777777">
            <w:trPr>
              <w:cantSplit/>
            </w:trPr>
            <w:sdt>
              <w:sdtPr>
                <w:tag w:val="_PLD_97aab68ad9b74921a7946fa4d2999e51"/>
                <w:id w:val="1782835021"/>
              </w:sdtPr>
              <w:sdtEndPr/>
              <w:sdtContent>
                <w:tc>
                  <w:tcPr>
                    <w:tcW w:w="1927" w:type="pct"/>
                  </w:tcPr>
                  <w:p w14:paraId="439E0E63" w14:textId="77777777" w:rsidR="007E7472" w:rsidRDefault="00EC1269">
                    <w:pPr>
                      <w:autoSpaceDE w:val="0"/>
                      <w:autoSpaceDN w:val="0"/>
                      <w:adjustRightInd w:val="0"/>
                    </w:pPr>
                    <w:r>
                      <w:rPr>
                        <w:rFonts w:hint="eastAsia"/>
                      </w:rPr>
                      <w:t>减：提取法定盈余公积</w:t>
                    </w:r>
                  </w:p>
                </w:tc>
              </w:sdtContent>
            </w:sdt>
            <w:tc>
              <w:tcPr>
                <w:tcW w:w="1561" w:type="pct"/>
                <w:vAlign w:val="center"/>
              </w:tcPr>
              <w:p w14:paraId="219ACBBA" w14:textId="77777777" w:rsidR="007E7472" w:rsidRDefault="00C8327E">
                <w:pPr>
                  <w:jc w:val="right"/>
                </w:pPr>
              </w:p>
            </w:tc>
            <w:tc>
              <w:tcPr>
                <w:tcW w:w="1512" w:type="pct"/>
                <w:vAlign w:val="center"/>
              </w:tcPr>
              <w:p w14:paraId="4A86574A" w14:textId="77777777" w:rsidR="007E7472" w:rsidRDefault="00C8327E">
                <w:pPr>
                  <w:ind w:right="6"/>
                  <w:jc w:val="right"/>
                </w:pPr>
              </w:p>
            </w:tc>
          </w:tr>
          <w:tr w:rsidR="007E7472" w14:paraId="1C150591" w14:textId="77777777">
            <w:trPr>
              <w:cantSplit/>
            </w:trPr>
            <w:sdt>
              <w:sdtPr>
                <w:tag w:val="_PLD_76ebcf558d244f77a28b1f8b843a2b3a"/>
                <w:id w:val="-303545741"/>
              </w:sdtPr>
              <w:sdtEndPr/>
              <w:sdtContent>
                <w:tc>
                  <w:tcPr>
                    <w:tcW w:w="1927" w:type="pct"/>
                  </w:tcPr>
                  <w:p w14:paraId="1E12C8A5" w14:textId="77777777" w:rsidR="007E7472" w:rsidRDefault="00EC1269">
                    <w:pPr>
                      <w:autoSpaceDE w:val="0"/>
                      <w:autoSpaceDN w:val="0"/>
                      <w:adjustRightInd w:val="0"/>
                      <w:ind w:firstLine="420"/>
                    </w:pPr>
                    <w:r>
                      <w:rPr>
                        <w:rFonts w:hint="eastAsia"/>
                      </w:rPr>
                      <w:t>提取任意盈余公积</w:t>
                    </w:r>
                  </w:p>
                </w:tc>
              </w:sdtContent>
            </w:sdt>
            <w:tc>
              <w:tcPr>
                <w:tcW w:w="1561" w:type="pct"/>
                <w:vAlign w:val="center"/>
              </w:tcPr>
              <w:p w14:paraId="51A82407" w14:textId="77777777" w:rsidR="007E7472" w:rsidRDefault="00C8327E">
                <w:pPr>
                  <w:jc w:val="right"/>
                </w:pPr>
              </w:p>
            </w:tc>
            <w:tc>
              <w:tcPr>
                <w:tcW w:w="1512" w:type="pct"/>
                <w:vAlign w:val="center"/>
              </w:tcPr>
              <w:p w14:paraId="3A7B0253" w14:textId="77777777" w:rsidR="007E7472" w:rsidRDefault="00C8327E">
                <w:pPr>
                  <w:ind w:right="6"/>
                  <w:jc w:val="right"/>
                </w:pPr>
              </w:p>
            </w:tc>
          </w:tr>
          <w:tr w:rsidR="007E7472" w14:paraId="5C0F2D8E" w14:textId="77777777">
            <w:trPr>
              <w:cantSplit/>
              <w:trHeight w:val="292"/>
            </w:trPr>
            <w:sdt>
              <w:sdtPr>
                <w:tag w:val="_PLD_c773909db1b34f04acac84ec73864a3f"/>
                <w:id w:val="-1967494570"/>
              </w:sdtPr>
              <w:sdtEndPr/>
              <w:sdtContent>
                <w:tc>
                  <w:tcPr>
                    <w:tcW w:w="1927" w:type="pct"/>
                  </w:tcPr>
                  <w:p w14:paraId="6D83563A" w14:textId="77777777" w:rsidR="007E7472" w:rsidRDefault="00EC1269">
                    <w:pPr>
                      <w:autoSpaceDE w:val="0"/>
                      <w:autoSpaceDN w:val="0"/>
                      <w:adjustRightInd w:val="0"/>
                      <w:ind w:firstLine="420"/>
                    </w:pPr>
                    <w:r>
                      <w:rPr>
                        <w:rFonts w:hint="eastAsia"/>
                      </w:rPr>
                      <w:t>提取一般风险准备</w:t>
                    </w:r>
                  </w:p>
                </w:tc>
              </w:sdtContent>
            </w:sdt>
            <w:tc>
              <w:tcPr>
                <w:tcW w:w="1561" w:type="pct"/>
                <w:vAlign w:val="center"/>
              </w:tcPr>
              <w:p w14:paraId="628FE501" w14:textId="77777777" w:rsidR="007E7472" w:rsidRDefault="00EC1269">
                <w:pPr>
                  <w:jc w:val="right"/>
                </w:pPr>
                <w:r>
                  <w:t>-169,131</w:t>
                </w:r>
              </w:p>
            </w:tc>
            <w:tc>
              <w:tcPr>
                <w:tcW w:w="1512" w:type="pct"/>
                <w:vAlign w:val="center"/>
              </w:tcPr>
              <w:p w14:paraId="455153F8" w14:textId="77777777" w:rsidR="007E7472" w:rsidRDefault="00EC1269">
                <w:pPr>
                  <w:ind w:right="6"/>
                  <w:jc w:val="right"/>
                </w:pPr>
                <w:r>
                  <w:rPr>
                    <w:rFonts w:hint="eastAsia"/>
                  </w:rPr>
                  <w:t>-196,875</w:t>
                </w:r>
              </w:p>
            </w:tc>
          </w:tr>
          <w:tr w:rsidR="007E7472" w14:paraId="0859F6BD" w14:textId="77777777">
            <w:trPr>
              <w:cantSplit/>
            </w:trPr>
            <w:sdt>
              <w:sdtPr>
                <w:tag w:val="_PLD_d2ba40ebcadd4931bdef6468fc324069"/>
                <w:id w:val="-1198847728"/>
              </w:sdtPr>
              <w:sdtEndPr/>
              <w:sdtContent>
                <w:tc>
                  <w:tcPr>
                    <w:tcW w:w="1927" w:type="pct"/>
                  </w:tcPr>
                  <w:p w14:paraId="4D537FF8" w14:textId="77777777" w:rsidR="007E7472" w:rsidRDefault="00EC1269">
                    <w:pPr>
                      <w:autoSpaceDE w:val="0"/>
                      <w:autoSpaceDN w:val="0"/>
                      <w:adjustRightInd w:val="0"/>
                      <w:ind w:firstLine="420"/>
                    </w:pPr>
                    <w:r>
                      <w:rPr>
                        <w:rFonts w:hint="eastAsia"/>
                      </w:rPr>
                      <w:t>应付普通股股利</w:t>
                    </w:r>
                  </w:p>
                </w:tc>
              </w:sdtContent>
            </w:sdt>
            <w:tc>
              <w:tcPr>
                <w:tcW w:w="1561" w:type="pct"/>
                <w:vAlign w:val="center"/>
              </w:tcPr>
              <w:p w14:paraId="17612FB4" w14:textId="77777777" w:rsidR="007E7472" w:rsidRDefault="00EC1269">
                <w:pPr>
                  <w:jc w:val="right"/>
                </w:pPr>
                <w:r>
                  <w:t>21,333,850</w:t>
                </w:r>
              </w:p>
            </w:tc>
            <w:tc>
              <w:tcPr>
                <w:tcW w:w="1512" w:type="pct"/>
                <w:vAlign w:val="center"/>
              </w:tcPr>
              <w:p w14:paraId="066FC15E" w14:textId="77777777" w:rsidR="007E7472" w:rsidRDefault="00EC1269">
                <w:pPr>
                  <w:ind w:right="6"/>
                  <w:jc w:val="right"/>
                </w:pPr>
                <w:r>
                  <w:t>9,897,407</w:t>
                </w:r>
              </w:p>
            </w:tc>
          </w:tr>
          <w:tr w:rsidR="007E7472" w14:paraId="5298D7A8" w14:textId="77777777">
            <w:trPr>
              <w:cantSplit/>
            </w:trPr>
            <w:sdt>
              <w:sdtPr>
                <w:tag w:val="_PLD_d8041f36a4744fe893cd617b9149d704"/>
                <w:id w:val="-1054698016"/>
              </w:sdtPr>
              <w:sdtEndPr/>
              <w:sdtContent>
                <w:tc>
                  <w:tcPr>
                    <w:tcW w:w="1927" w:type="pct"/>
                  </w:tcPr>
                  <w:p w14:paraId="7E5B5DFD" w14:textId="77777777" w:rsidR="007E7472" w:rsidRDefault="00EC1269">
                    <w:pPr>
                      <w:autoSpaceDE w:val="0"/>
                      <w:autoSpaceDN w:val="0"/>
                      <w:adjustRightInd w:val="0"/>
                      <w:ind w:firstLine="420"/>
                    </w:pPr>
                    <w:r>
                      <w:rPr>
                        <w:rFonts w:hint="eastAsia"/>
                      </w:rPr>
                      <w:t>转作股本的普通股股利</w:t>
                    </w:r>
                  </w:p>
                </w:tc>
              </w:sdtContent>
            </w:sdt>
            <w:tc>
              <w:tcPr>
                <w:tcW w:w="1561" w:type="pct"/>
                <w:vAlign w:val="center"/>
              </w:tcPr>
              <w:p w14:paraId="1231AEFF" w14:textId="77777777" w:rsidR="007E7472" w:rsidRDefault="00C8327E">
                <w:pPr>
                  <w:jc w:val="right"/>
                </w:pPr>
              </w:p>
            </w:tc>
            <w:tc>
              <w:tcPr>
                <w:tcW w:w="1512" w:type="pct"/>
                <w:vAlign w:val="center"/>
              </w:tcPr>
              <w:p w14:paraId="17131853" w14:textId="77777777" w:rsidR="007E7472" w:rsidRDefault="00C8327E">
                <w:pPr>
                  <w:ind w:right="6"/>
                  <w:jc w:val="right"/>
                </w:pPr>
              </w:p>
            </w:tc>
          </w:tr>
          <w:sdt>
            <w:sdtPr>
              <w:rPr>
                <w:rFonts w:hint="eastAsia"/>
              </w:rPr>
              <w:alias w:val="本期其他利润分配"/>
              <w:tag w:val="_GBC_7def170558744ebdb1f4975e27e4042b"/>
              <w:id w:val="406203598"/>
              <w:lock w:val="sdtLocked"/>
            </w:sdtPr>
            <w:sdtEndPr/>
            <w:sdtContent>
              <w:tr w:rsidR="007E7472" w14:paraId="0CD0CD96" w14:textId="77777777">
                <w:trPr>
                  <w:cantSplit/>
                </w:trPr>
                <w:tc>
                  <w:tcPr>
                    <w:tcW w:w="1927" w:type="pct"/>
                  </w:tcPr>
                  <w:p w14:paraId="4C962804" w14:textId="77777777" w:rsidR="007E7472" w:rsidRDefault="00EC1269">
                    <w:pPr>
                      <w:ind w:firstLineChars="200" w:firstLine="420"/>
                    </w:pPr>
                    <w:r>
                      <w:rPr>
                        <w:rFonts w:hint="eastAsia"/>
                      </w:rPr>
                      <w:t>其他调整因素</w:t>
                    </w:r>
                  </w:p>
                </w:tc>
                <w:tc>
                  <w:tcPr>
                    <w:tcW w:w="1561" w:type="pct"/>
                    <w:vAlign w:val="center"/>
                  </w:tcPr>
                  <w:p w14:paraId="3789EF14" w14:textId="77777777" w:rsidR="007E7472" w:rsidRDefault="00C8327E">
                    <w:pPr>
                      <w:ind w:right="6"/>
                      <w:jc w:val="right"/>
                    </w:pPr>
                  </w:p>
                </w:tc>
                <w:tc>
                  <w:tcPr>
                    <w:tcW w:w="1512" w:type="pct"/>
                    <w:vAlign w:val="center"/>
                  </w:tcPr>
                  <w:p w14:paraId="41A5B300" w14:textId="77777777" w:rsidR="007E7472" w:rsidRDefault="00EC1269">
                    <w:pPr>
                      <w:ind w:right="6"/>
                      <w:jc w:val="right"/>
                    </w:pPr>
                    <w:r>
                      <w:t>-22,950</w:t>
                    </w:r>
                  </w:p>
                </w:tc>
              </w:tr>
            </w:sdtContent>
          </w:sdt>
          <w:tr w:rsidR="007E7472" w14:paraId="283A2965" w14:textId="77777777">
            <w:trPr>
              <w:cantSplit/>
            </w:trPr>
            <w:sdt>
              <w:sdtPr>
                <w:tag w:val="_PLD_0654c3e21e6d4aa0a63a12e93a24988a"/>
                <w:id w:val="480122090"/>
              </w:sdtPr>
              <w:sdtEndPr/>
              <w:sdtContent>
                <w:tc>
                  <w:tcPr>
                    <w:tcW w:w="1927" w:type="pct"/>
                  </w:tcPr>
                  <w:p w14:paraId="416BAB04" w14:textId="77777777" w:rsidR="007E7472" w:rsidRDefault="00EC1269">
                    <w:pPr>
                      <w:autoSpaceDE w:val="0"/>
                      <w:autoSpaceDN w:val="0"/>
                      <w:adjustRightInd w:val="0"/>
                    </w:pPr>
                    <w:r>
                      <w:rPr>
                        <w:rFonts w:hint="eastAsia"/>
                      </w:rPr>
                      <w:t>期末未分配利润</w:t>
                    </w:r>
                  </w:p>
                </w:tc>
              </w:sdtContent>
            </w:sdt>
            <w:tc>
              <w:tcPr>
                <w:tcW w:w="1561" w:type="pct"/>
                <w:vAlign w:val="center"/>
              </w:tcPr>
              <w:p w14:paraId="5A8C82C8" w14:textId="77777777" w:rsidR="007E7472" w:rsidRDefault="00EC1269">
                <w:pPr>
                  <w:jc w:val="right"/>
                </w:pPr>
                <w:r>
                  <w:t>66,276,764</w:t>
                </w:r>
              </w:p>
            </w:tc>
            <w:tc>
              <w:tcPr>
                <w:tcW w:w="1512" w:type="pct"/>
                <w:vAlign w:val="center"/>
              </w:tcPr>
              <w:p w14:paraId="5B8213B0" w14:textId="77777777" w:rsidR="007E7472" w:rsidRDefault="00EC1269">
                <w:pPr>
                  <w:jc w:val="right"/>
                </w:pPr>
                <w:r>
                  <w:rPr>
                    <w:rFonts w:hint="eastAsia"/>
                  </w:rPr>
                  <w:t>64,</w:t>
                </w:r>
                <w:r>
                  <w:t>691</w:t>
                </w:r>
                <w:r>
                  <w:rPr>
                    <w:rFonts w:hint="eastAsia"/>
                  </w:rPr>
                  <w:t>,</w:t>
                </w:r>
                <w:r>
                  <w:t>751</w:t>
                </w:r>
              </w:p>
            </w:tc>
          </w:tr>
        </w:tbl>
        <w:p w14:paraId="5A52D517" w14:textId="77777777" w:rsidR="007E7472" w:rsidRDefault="00EC1269">
          <w:pPr>
            <w:spacing w:beforeLines="10" w:before="31" w:afterLines="10" w:after="31" w:line="360" w:lineRule="exact"/>
            <w:ind w:firstLineChars="200" w:firstLine="420"/>
            <w:rPr>
              <w:color w:val="000000" w:themeColor="text1"/>
            </w:rPr>
          </w:pPr>
          <w:r>
            <w:rPr>
              <w:rFonts w:hint="eastAsia"/>
              <w:color w:val="000000" w:themeColor="text1"/>
            </w:rPr>
            <w:t>调整期初未分配利润明细：</w:t>
          </w:r>
          <w:r>
            <w:rPr>
              <w:rFonts w:hint="eastAsia"/>
            </w:rPr>
            <w:t>由于同一控制导致的合并范围变更，影响期初未分配利润</w:t>
          </w:r>
          <w:sdt>
            <w:sdtPr>
              <w:rPr>
                <w:rFonts w:hint="eastAsia"/>
              </w:rPr>
              <w:alias w:val="同一控制导致的合并范围变更影响年初未分配利润"/>
              <w:tag w:val="_GBC_4d9b7a873cb94aba9044210a45f81108"/>
              <w:id w:val="-1796216379"/>
              <w:placeholder>
                <w:docPart w:val="GBC22222222222222222222222222222"/>
              </w:placeholder>
            </w:sdtPr>
            <w:sdtEndPr/>
            <w:sdtContent>
              <w:r>
                <w:rPr>
                  <w:rFonts w:hint="eastAsia"/>
                </w:rPr>
                <w:t>-33,821千</w:t>
              </w:r>
            </w:sdtContent>
          </w:sdt>
          <w:r>
            <w:rPr>
              <w:rFonts w:hint="eastAsia"/>
            </w:rPr>
            <w:t>元。</w:t>
          </w:r>
        </w:p>
      </w:sdtContent>
    </w:sdt>
    <w:p w14:paraId="36C5C58C" w14:textId="77777777" w:rsidR="007E7472" w:rsidRDefault="00C8327E"/>
    <w:sdt>
      <w:sdtPr>
        <w:rPr>
          <w:rFonts w:ascii="宋体" w:hAnsi="宋体" w:cs="宋体" w:hint="eastAsia"/>
          <w:b w:val="0"/>
          <w:bCs w:val="0"/>
          <w:kern w:val="0"/>
          <w:sz w:val="20"/>
          <w:szCs w:val="21"/>
        </w:rPr>
        <w:alias w:val="模块:营业收入和营业成本"/>
        <w:tag w:val="_GBC_a3a22662ec3d4fb69e12845051ced996"/>
        <w:id w:val="-843775669"/>
        <w:lock w:val="sdtLocked"/>
        <w:placeholder>
          <w:docPart w:val="GBC22222222222222222222222222222"/>
        </w:placeholder>
      </w:sdtPr>
      <w:sdtEndPr>
        <w:rPr>
          <w:rFonts w:asciiTheme="minorEastAsia" w:eastAsiaTheme="minorEastAsia" w:hAnsiTheme="minorEastAsia" w:hint="default"/>
          <w:sz w:val="21"/>
        </w:rPr>
      </w:sdtEndPr>
      <w:sdtContent>
        <w:p w14:paraId="5C385ECE" w14:textId="77777777" w:rsidR="007E7472" w:rsidRDefault="00EC1269" w:rsidP="00162493">
          <w:pPr>
            <w:pStyle w:val="3"/>
            <w:numPr>
              <w:ilvl w:val="0"/>
              <w:numId w:val="62"/>
            </w:numPr>
            <w:rPr>
              <w:rFonts w:asciiTheme="minorEastAsia" w:eastAsiaTheme="minorEastAsia" w:hAnsiTheme="minorEastAsia"/>
            </w:rPr>
          </w:pPr>
          <w:r>
            <w:t>营</w:t>
          </w:r>
          <w:r>
            <w:rPr>
              <w:rFonts w:asciiTheme="minorEastAsia" w:eastAsiaTheme="minorEastAsia" w:hAnsiTheme="minorEastAsia"/>
            </w:rPr>
            <w:t>业收入和营业成本</w:t>
          </w:r>
        </w:p>
        <w:p w14:paraId="7999E198" w14:textId="77777777" w:rsidR="007E7472" w:rsidRDefault="00EC1269" w:rsidP="00162493">
          <w:pPr>
            <w:pStyle w:val="4"/>
            <w:numPr>
              <w:ilvl w:val="0"/>
              <w:numId w:val="94"/>
            </w:numPr>
            <w:rPr>
              <w:rFonts w:asciiTheme="minorEastAsia" w:eastAsiaTheme="minorEastAsia" w:hAnsiTheme="minorEastAsia"/>
            </w:rPr>
          </w:pPr>
          <w:r>
            <w:rPr>
              <w:rFonts w:asciiTheme="minorEastAsia" w:eastAsiaTheme="minorEastAsia" w:hAnsiTheme="minorEastAsia" w:hint="eastAsia"/>
            </w:rPr>
            <w:t>营业收入和营业成本情况</w:t>
          </w:r>
        </w:p>
        <w:sdt>
          <w:sdtPr>
            <w:rPr>
              <w:rFonts w:asciiTheme="minorEastAsia" w:eastAsiaTheme="minorEastAsia" w:hAnsiTheme="minorEastAsia"/>
            </w:rPr>
            <w:alias w:val="是否适用：营业收入和营业成本[双击切换]"/>
            <w:tag w:val="_GBC_876680c4ba6b433896b625efff84d599"/>
            <w:id w:val="1565459649"/>
            <w:lock w:val="sdtLocked"/>
            <w:placeholder>
              <w:docPart w:val="GBC22222222222222222222222222222"/>
            </w:placeholder>
          </w:sdtPr>
          <w:sdtEndPr/>
          <w:sdtContent>
            <w:p w14:paraId="1F707F7A" w14:textId="77777777" w:rsidR="007E7472" w:rsidRDefault="00EC1269">
              <w:pPr>
                <w:rPr>
                  <w:rFonts w:asciiTheme="minorEastAsia" w:eastAsiaTheme="minorEastAsia" w:hAnsiTheme="minorEastAsia"/>
                </w:rPr>
              </w:pP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39D73D84" w14:textId="4FDEDFC2" w:rsidR="007E7472" w:rsidRDefault="00EC1269">
          <w:pPr>
            <w:jc w:val="right"/>
            <w:rPr>
              <w:rFonts w:asciiTheme="minorEastAsia" w:eastAsiaTheme="minorEastAsia" w:hAnsiTheme="minorEastAsia"/>
            </w:rPr>
          </w:pPr>
          <w:r>
            <w:rPr>
              <w:rFonts w:asciiTheme="minorEastAsia" w:eastAsiaTheme="minorEastAsia" w:hAnsiTheme="minorEastAsia" w:hint="eastAsia"/>
            </w:rPr>
            <w:lastRenderedPageBreak/>
            <w:t>单位：</w:t>
          </w:r>
          <w:sdt>
            <w:sdtPr>
              <w:rPr>
                <w:rFonts w:asciiTheme="minorEastAsia" w:eastAsiaTheme="minorEastAsia" w:hAnsiTheme="minorEastAsia" w:hint="eastAsia"/>
              </w:rPr>
              <w:alias w:val="单位：财务附注：营业收入"/>
              <w:tag w:val="_GBC_611ed6dd25a247cf86a0fb98cd86e68f"/>
              <w:id w:val="-14166339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asciiTheme="minorEastAsia" w:eastAsiaTheme="minorEastAsia" w:hAnsiTheme="minorEastAsia" w:hint="eastAsia"/>
                </w:rPr>
                <w:t>千元</w:t>
              </w:r>
            </w:sdtContent>
          </w:sdt>
          <w:r>
            <w:rPr>
              <w:rFonts w:asciiTheme="minorEastAsia" w:eastAsiaTheme="minorEastAsia" w:hAnsiTheme="minorEastAsia" w:hint="eastAsia"/>
            </w:rPr>
            <w:t>币种：</w:t>
          </w:r>
          <w:sdt>
            <w:sdtPr>
              <w:rPr>
                <w:rFonts w:asciiTheme="minorEastAsia" w:eastAsiaTheme="minorEastAsia" w:hAnsiTheme="minorEastAsia" w:hint="eastAsia"/>
              </w:rPr>
              <w:alias w:val="币种：财务附注：营业收入"/>
              <w:tag w:val="_GBC_ba5cd3776b804cc291ae4c216c605f02"/>
              <w:id w:val="-6095830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asciiTheme="minorEastAsia" w:eastAsiaTheme="minorEastAsia" w:hAnsiTheme="minorEastAsia" w:hint="eastAsia"/>
                </w:rPr>
                <w:t>人民币</w:t>
              </w:r>
            </w:sdtContent>
          </w:sdt>
        </w:p>
        <w:tbl>
          <w:tblPr>
            <w:tblStyle w:val="g4"/>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1"/>
            <w:gridCol w:w="1818"/>
            <w:gridCol w:w="1830"/>
            <w:gridCol w:w="1828"/>
            <w:gridCol w:w="1828"/>
          </w:tblGrid>
          <w:tr w:rsidR="007E7472" w14:paraId="63717488" w14:textId="77777777">
            <w:sdt>
              <w:sdtPr>
                <w:rPr>
                  <w:rFonts w:asciiTheme="minorEastAsia" w:eastAsiaTheme="minorEastAsia" w:hAnsiTheme="minorEastAsia"/>
                </w:rPr>
                <w:tag w:val="_PLD_d41752618c6a4ee08ca01f5944b34b81"/>
                <w:id w:val="997462887"/>
                <w:lock w:val="sdtLocked"/>
              </w:sdtPr>
              <w:sdtEndPr/>
              <w:sdtContent>
                <w:tc>
                  <w:tcPr>
                    <w:tcW w:w="805" w:type="pct"/>
                    <w:vMerge w:val="restart"/>
                    <w:tcBorders>
                      <w:top w:val="single" w:sz="4" w:space="0" w:color="auto"/>
                      <w:left w:val="single" w:sz="4" w:space="0" w:color="auto"/>
                      <w:right w:val="single" w:sz="4" w:space="0" w:color="auto"/>
                    </w:tcBorders>
                    <w:shd w:val="clear" w:color="auto" w:fill="auto"/>
                    <w:vAlign w:val="center"/>
                  </w:tcPr>
                  <w:p w14:paraId="115FD4C3" w14:textId="77777777" w:rsidR="007E7472" w:rsidRDefault="00EC1269">
                    <w:pPr>
                      <w:jc w:val="center"/>
                      <w:rPr>
                        <w:rFonts w:asciiTheme="minorEastAsia" w:eastAsiaTheme="minorEastAsia" w:hAnsiTheme="minorEastAsia"/>
                      </w:rPr>
                    </w:pPr>
                    <w:r>
                      <w:rPr>
                        <w:rFonts w:asciiTheme="minorEastAsia" w:eastAsiaTheme="minorEastAsia" w:hAnsiTheme="minorEastAsia" w:hint="eastAsia"/>
                      </w:rPr>
                      <w:t>项目</w:t>
                    </w:r>
                  </w:p>
                </w:tc>
              </w:sdtContent>
            </w:sdt>
            <w:sdt>
              <w:sdtPr>
                <w:rPr>
                  <w:rFonts w:asciiTheme="minorEastAsia" w:eastAsiaTheme="minorEastAsia" w:hAnsiTheme="minorEastAsia"/>
                </w:rPr>
                <w:tag w:val="_PLD_f88658ae6cb94ea390736e112b0d5ffc"/>
                <w:id w:val="-1485691363"/>
                <w:lock w:val="sdtLocked"/>
              </w:sdtPr>
              <w:sdtEndPr/>
              <w:sdtContent>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71EE38" w14:textId="77777777" w:rsidR="007E7472" w:rsidRDefault="00EC1269">
                    <w:pPr>
                      <w:jc w:val="center"/>
                      <w:rPr>
                        <w:rFonts w:asciiTheme="minorEastAsia" w:eastAsiaTheme="minorEastAsia" w:hAnsiTheme="minorEastAsia"/>
                      </w:rPr>
                    </w:pPr>
                    <w:r>
                      <w:rPr>
                        <w:rFonts w:asciiTheme="minorEastAsia" w:eastAsiaTheme="minorEastAsia" w:hAnsiTheme="minorEastAsia" w:hint="eastAsia"/>
                      </w:rPr>
                      <w:t>本期发生额</w:t>
                    </w:r>
                  </w:p>
                </w:tc>
              </w:sdtContent>
            </w:sdt>
            <w:sdt>
              <w:sdtPr>
                <w:rPr>
                  <w:rFonts w:asciiTheme="minorEastAsia" w:eastAsiaTheme="minorEastAsia" w:hAnsiTheme="minorEastAsia"/>
                </w:rPr>
                <w:tag w:val="_PLD_0840d72efce94f22bdf4d566046b2e87"/>
                <w:id w:val="1746303082"/>
                <w:lock w:val="sdtLocked"/>
              </w:sdtPr>
              <w:sdtEndPr/>
              <w:sdtContent>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CCA8B8" w14:textId="77777777" w:rsidR="007E7472" w:rsidRDefault="00EC1269">
                    <w:pPr>
                      <w:jc w:val="center"/>
                      <w:rPr>
                        <w:rFonts w:asciiTheme="minorEastAsia" w:eastAsiaTheme="minorEastAsia" w:hAnsiTheme="minorEastAsia"/>
                      </w:rPr>
                    </w:pPr>
                    <w:r>
                      <w:rPr>
                        <w:rFonts w:asciiTheme="minorEastAsia" w:eastAsiaTheme="minorEastAsia" w:hAnsiTheme="minorEastAsia" w:hint="eastAsia"/>
                      </w:rPr>
                      <w:t>上期发生额</w:t>
                    </w:r>
                  </w:p>
                </w:tc>
              </w:sdtContent>
            </w:sdt>
          </w:tr>
          <w:tr w:rsidR="007E7472" w14:paraId="2D771D07" w14:textId="77777777">
            <w:tc>
              <w:tcPr>
                <w:tcW w:w="805" w:type="pct"/>
                <w:vMerge/>
                <w:tcBorders>
                  <w:left w:val="single" w:sz="4" w:space="0" w:color="auto"/>
                  <w:bottom w:val="single" w:sz="4" w:space="0" w:color="auto"/>
                  <w:right w:val="single" w:sz="4" w:space="0" w:color="auto"/>
                </w:tcBorders>
                <w:shd w:val="clear" w:color="auto" w:fill="auto"/>
              </w:tcPr>
              <w:p w14:paraId="12906F82" w14:textId="77777777" w:rsidR="007E7472" w:rsidRDefault="00C8327E">
                <w:pPr>
                  <w:jc w:val="center"/>
                  <w:rPr>
                    <w:rFonts w:asciiTheme="minorEastAsia" w:eastAsiaTheme="minorEastAsia" w:hAnsiTheme="minorEastAsia"/>
                  </w:rPr>
                </w:pPr>
              </w:p>
            </w:tc>
            <w:sdt>
              <w:sdtPr>
                <w:rPr>
                  <w:rFonts w:asciiTheme="minorEastAsia" w:eastAsiaTheme="minorEastAsia" w:hAnsiTheme="minorEastAsia"/>
                </w:rPr>
                <w:tag w:val="_PLD_39942ac1f2654fa6bda80d7116d83859"/>
                <w:id w:val="-527945783"/>
                <w:lock w:val="sdtLocked"/>
              </w:sdtPr>
              <w:sdtEndPr/>
              <w:sdtConten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14:paraId="4A12897F" w14:textId="77777777" w:rsidR="007E7472" w:rsidRDefault="00EC1269">
                    <w:pPr>
                      <w:jc w:val="center"/>
                      <w:rPr>
                        <w:rFonts w:asciiTheme="minorEastAsia" w:eastAsiaTheme="minorEastAsia" w:hAnsiTheme="minorEastAsia"/>
                      </w:rPr>
                    </w:pPr>
                    <w:r>
                      <w:rPr>
                        <w:rFonts w:asciiTheme="minorEastAsia" w:eastAsiaTheme="minorEastAsia" w:hAnsiTheme="minorEastAsia" w:hint="eastAsia"/>
                      </w:rPr>
                      <w:t>收入</w:t>
                    </w:r>
                  </w:p>
                </w:tc>
              </w:sdtContent>
            </w:sdt>
            <w:sdt>
              <w:sdtPr>
                <w:rPr>
                  <w:rFonts w:asciiTheme="minorEastAsia" w:eastAsiaTheme="minorEastAsia" w:hAnsiTheme="minorEastAsia"/>
                </w:rPr>
                <w:tag w:val="_PLD_5075262c52564bf09f90a67ee6a84b17"/>
                <w:id w:val="-2108484282"/>
                <w:lock w:val="sdtLocked"/>
              </w:sdtPr>
              <w:sdtEndPr/>
              <w:sdtContent>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14:paraId="44319A9D" w14:textId="77777777" w:rsidR="007E7472" w:rsidRDefault="00EC1269">
                    <w:pPr>
                      <w:jc w:val="center"/>
                      <w:rPr>
                        <w:rFonts w:asciiTheme="minorEastAsia" w:eastAsiaTheme="minorEastAsia" w:hAnsiTheme="minorEastAsia"/>
                      </w:rPr>
                    </w:pPr>
                    <w:r>
                      <w:rPr>
                        <w:rFonts w:asciiTheme="minorEastAsia" w:eastAsiaTheme="minorEastAsia" w:hAnsiTheme="minorEastAsia" w:hint="eastAsia"/>
                      </w:rPr>
                      <w:t>成本</w:t>
                    </w:r>
                  </w:p>
                </w:tc>
              </w:sdtContent>
            </w:sdt>
            <w:sdt>
              <w:sdtPr>
                <w:rPr>
                  <w:rFonts w:asciiTheme="minorEastAsia" w:eastAsiaTheme="minorEastAsia" w:hAnsiTheme="minorEastAsia"/>
                </w:rPr>
                <w:tag w:val="_PLD_33a1015c666d49cba108bce6aafea1f7"/>
                <w:id w:val="1974022861"/>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3E054BD5" w14:textId="77777777" w:rsidR="007E7472" w:rsidRDefault="00EC1269">
                    <w:pPr>
                      <w:jc w:val="center"/>
                      <w:rPr>
                        <w:rFonts w:asciiTheme="minorEastAsia" w:eastAsiaTheme="minorEastAsia" w:hAnsiTheme="minorEastAsia"/>
                      </w:rPr>
                    </w:pPr>
                    <w:r>
                      <w:rPr>
                        <w:rFonts w:asciiTheme="minorEastAsia" w:eastAsiaTheme="minorEastAsia" w:hAnsiTheme="minorEastAsia" w:hint="eastAsia"/>
                      </w:rPr>
                      <w:t>收入</w:t>
                    </w:r>
                  </w:p>
                </w:tc>
              </w:sdtContent>
            </w:sdt>
            <w:sdt>
              <w:sdtPr>
                <w:rPr>
                  <w:rFonts w:asciiTheme="minorEastAsia" w:eastAsiaTheme="minorEastAsia" w:hAnsiTheme="minorEastAsia"/>
                </w:rPr>
                <w:tag w:val="_PLD_d09deaa2e4d443459a3584a1d7e92203"/>
                <w:id w:val="892465207"/>
                <w:lock w:val="sdtLocked"/>
              </w:sdtPr>
              <w:sdtEnd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6C3AF933" w14:textId="77777777" w:rsidR="007E7472" w:rsidRDefault="00EC1269">
                    <w:pPr>
                      <w:jc w:val="center"/>
                      <w:rPr>
                        <w:rFonts w:asciiTheme="minorEastAsia" w:eastAsiaTheme="minorEastAsia" w:hAnsiTheme="minorEastAsia"/>
                      </w:rPr>
                    </w:pPr>
                    <w:r>
                      <w:rPr>
                        <w:rFonts w:asciiTheme="minorEastAsia" w:eastAsiaTheme="minorEastAsia" w:hAnsiTheme="minorEastAsia" w:hint="eastAsia"/>
                      </w:rPr>
                      <w:t>成本</w:t>
                    </w:r>
                  </w:p>
                </w:tc>
              </w:sdtContent>
            </w:sdt>
          </w:tr>
          <w:tr w:rsidR="007E7472" w14:paraId="337AC549" w14:textId="77777777">
            <w:tc>
              <w:tcPr>
                <w:tcW w:w="805" w:type="pct"/>
                <w:tcBorders>
                  <w:top w:val="single" w:sz="4" w:space="0" w:color="auto"/>
                  <w:left w:val="single" w:sz="4" w:space="0" w:color="auto"/>
                  <w:bottom w:val="single" w:sz="4" w:space="0" w:color="auto"/>
                  <w:right w:val="single" w:sz="4" w:space="0" w:color="auto"/>
                </w:tcBorders>
                <w:shd w:val="clear" w:color="auto" w:fill="auto"/>
              </w:tcPr>
              <w:p w14:paraId="4DA166FD" w14:textId="77777777" w:rsidR="007E7472" w:rsidRDefault="00EC1269">
                <w:pPr>
                  <w:rPr>
                    <w:rFonts w:asciiTheme="minorEastAsia" w:eastAsiaTheme="minorEastAsia" w:hAnsiTheme="minorEastAsia"/>
                  </w:rPr>
                </w:pPr>
                <w:r>
                  <w:rPr>
                    <w:rFonts w:asciiTheme="minorEastAsia" w:eastAsiaTheme="minorEastAsia" w:hAnsiTheme="minorEastAsia" w:hint="eastAsia"/>
                  </w:rPr>
                  <w:t>主营业务</w:t>
                </w:r>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43F8E2C2" w14:textId="77777777" w:rsidR="007E7472" w:rsidRDefault="00EC1269">
                <w:pPr>
                  <w:jc w:val="right"/>
                  <w:rPr>
                    <w:rFonts w:asciiTheme="minorEastAsia" w:eastAsiaTheme="minorEastAsia" w:hAnsiTheme="minorEastAsia"/>
                  </w:rPr>
                </w:pPr>
                <w:r>
                  <w:rPr>
                    <w:rFonts w:asciiTheme="minorEastAsia" w:eastAsiaTheme="minorEastAsia" w:hAnsiTheme="minorEastAsia"/>
                  </w:rPr>
                  <w:t>65,400,607</w:t>
                </w:r>
              </w:p>
            </w:tc>
            <w:tc>
              <w:tcPr>
                <w:tcW w:w="1051" w:type="pct"/>
                <w:tcBorders>
                  <w:top w:val="single" w:sz="4" w:space="0" w:color="auto"/>
                  <w:left w:val="single" w:sz="4" w:space="0" w:color="auto"/>
                  <w:bottom w:val="single" w:sz="4" w:space="0" w:color="auto"/>
                  <w:right w:val="single" w:sz="4" w:space="0" w:color="auto"/>
                </w:tcBorders>
                <w:shd w:val="clear" w:color="auto" w:fill="auto"/>
              </w:tcPr>
              <w:p w14:paraId="3E200711" w14:textId="77777777" w:rsidR="007E7472" w:rsidRDefault="00EC1269">
                <w:pPr>
                  <w:jc w:val="right"/>
                  <w:rPr>
                    <w:rFonts w:asciiTheme="minorEastAsia" w:eastAsiaTheme="minorEastAsia" w:hAnsiTheme="minorEastAsia"/>
                  </w:rPr>
                </w:pPr>
                <w:r>
                  <w:rPr>
                    <w:rFonts w:asciiTheme="minorEastAsia" w:eastAsiaTheme="minorEastAsia" w:hAnsiTheme="minorEastAsia"/>
                  </w:rPr>
                  <w:t>39,321,483</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6DBBE1CD" w14:textId="77777777" w:rsidR="007E7472" w:rsidRDefault="00EC1269">
                <w:pPr>
                  <w:jc w:val="right"/>
                  <w:rPr>
                    <w:rFonts w:asciiTheme="minorEastAsia" w:eastAsiaTheme="minorEastAsia" w:hAnsiTheme="minorEastAsia"/>
                  </w:rPr>
                </w:pPr>
                <w:r>
                  <w:rPr>
                    <w:rFonts w:asciiTheme="minorEastAsia" w:eastAsiaTheme="minorEastAsia" w:hAnsiTheme="minorEastAsia"/>
                  </w:rPr>
                  <w:t>75,275,358</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5BD27260" w14:textId="77777777" w:rsidR="007E7472" w:rsidRDefault="00EC1269">
                <w:pPr>
                  <w:jc w:val="right"/>
                  <w:rPr>
                    <w:rFonts w:asciiTheme="minorEastAsia" w:eastAsiaTheme="minorEastAsia" w:hAnsiTheme="minorEastAsia"/>
                  </w:rPr>
                </w:pPr>
                <w:r>
                  <w:rPr>
                    <w:rFonts w:asciiTheme="minorEastAsia" w:eastAsiaTheme="minorEastAsia" w:hAnsiTheme="minorEastAsia"/>
                  </w:rPr>
                  <w:t>36,663,049</w:t>
                </w:r>
              </w:p>
            </w:tc>
          </w:tr>
          <w:tr w:rsidR="007E7472" w14:paraId="74673F48" w14:textId="77777777">
            <w:tc>
              <w:tcPr>
                <w:tcW w:w="805" w:type="pct"/>
                <w:tcBorders>
                  <w:top w:val="single" w:sz="4" w:space="0" w:color="auto"/>
                  <w:left w:val="single" w:sz="4" w:space="0" w:color="auto"/>
                  <w:bottom w:val="single" w:sz="4" w:space="0" w:color="auto"/>
                  <w:right w:val="single" w:sz="4" w:space="0" w:color="auto"/>
                </w:tcBorders>
                <w:shd w:val="clear" w:color="auto" w:fill="auto"/>
              </w:tcPr>
              <w:p w14:paraId="07EF5764" w14:textId="77777777" w:rsidR="007E7472" w:rsidRDefault="00EC1269">
                <w:pPr>
                  <w:rPr>
                    <w:rFonts w:asciiTheme="minorEastAsia" w:eastAsiaTheme="minorEastAsia" w:hAnsiTheme="minorEastAsia"/>
                  </w:rPr>
                </w:pPr>
                <w:r>
                  <w:rPr>
                    <w:rFonts w:asciiTheme="minorEastAsia" w:eastAsiaTheme="minorEastAsia" w:hAnsiTheme="minorEastAsia" w:hint="eastAsia"/>
                  </w:rPr>
                  <w:t>其他业务</w:t>
                </w:r>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03F850F4" w14:textId="77777777" w:rsidR="007E7472" w:rsidRDefault="00EC1269">
                <w:pPr>
                  <w:jc w:val="right"/>
                  <w:rPr>
                    <w:rFonts w:asciiTheme="minorEastAsia" w:eastAsiaTheme="minorEastAsia" w:hAnsiTheme="minorEastAsia"/>
                  </w:rPr>
                </w:pPr>
                <w:r>
                  <w:rPr>
                    <w:rFonts w:asciiTheme="minorEastAsia" w:eastAsiaTheme="minorEastAsia" w:hAnsiTheme="minorEastAsia"/>
                  </w:rPr>
                  <w:t>19,000,735</w:t>
                </w:r>
              </w:p>
            </w:tc>
            <w:tc>
              <w:tcPr>
                <w:tcW w:w="1051" w:type="pct"/>
                <w:tcBorders>
                  <w:top w:val="single" w:sz="4" w:space="0" w:color="auto"/>
                  <w:left w:val="single" w:sz="4" w:space="0" w:color="auto"/>
                  <w:bottom w:val="single" w:sz="4" w:space="0" w:color="auto"/>
                  <w:right w:val="single" w:sz="4" w:space="0" w:color="auto"/>
                </w:tcBorders>
                <w:shd w:val="clear" w:color="auto" w:fill="auto"/>
              </w:tcPr>
              <w:p w14:paraId="684647E7" w14:textId="77777777" w:rsidR="007E7472" w:rsidRDefault="00EC1269">
                <w:pPr>
                  <w:jc w:val="right"/>
                  <w:rPr>
                    <w:rFonts w:asciiTheme="minorEastAsia" w:eastAsiaTheme="minorEastAsia" w:hAnsiTheme="minorEastAsia"/>
                  </w:rPr>
                </w:pPr>
                <w:r>
                  <w:rPr>
                    <w:rFonts w:asciiTheme="minorEastAsia" w:eastAsiaTheme="minorEastAsia" w:hAnsiTheme="minorEastAsia"/>
                  </w:rPr>
                  <w:t>18,741,994</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6B4149A6" w14:textId="77777777" w:rsidR="007E7472" w:rsidRDefault="00EC1269">
                <w:pPr>
                  <w:jc w:val="right"/>
                  <w:rPr>
                    <w:rFonts w:asciiTheme="minorEastAsia" w:eastAsiaTheme="minorEastAsia" w:hAnsiTheme="minorEastAsia"/>
                  </w:rPr>
                </w:pPr>
                <w:r>
                  <w:rPr>
                    <w:rFonts w:asciiTheme="minorEastAsia" w:eastAsiaTheme="minorEastAsia" w:hAnsiTheme="minorEastAsia"/>
                  </w:rPr>
                  <w:t>25,009,840</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42B35240" w14:textId="77777777" w:rsidR="007E7472" w:rsidRDefault="00EC1269">
                <w:pPr>
                  <w:jc w:val="right"/>
                  <w:rPr>
                    <w:rFonts w:asciiTheme="minorEastAsia" w:eastAsiaTheme="minorEastAsia" w:hAnsiTheme="minorEastAsia"/>
                  </w:rPr>
                </w:pPr>
                <w:r>
                  <w:rPr>
                    <w:rFonts w:asciiTheme="minorEastAsia" w:eastAsiaTheme="minorEastAsia" w:hAnsiTheme="minorEastAsia"/>
                  </w:rPr>
                  <w:t>24,206,487</w:t>
                </w:r>
              </w:p>
            </w:tc>
          </w:tr>
          <w:tr w:rsidR="007E7472" w14:paraId="6AA934E1" w14:textId="77777777">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14:paraId="37F3ABC9" w14:textId="77777777" w:rsidR="007E7472" w:rsidRDefault="00EC1269">
                <w:pPr>
                  <w:jc w:val="center"/>
                  <w:rPr>
                    <w:rFonts w:asciiTheme="minorEastAsia" w:eastAsiaTheme="minorEastAsia" w:hAnsiTheme="minorEastAsia"/>
                  </w:rPr>
                </w:pPr>
                <w:r>
                  <w:rPr>
                    <w:rFonts w:asciiTheme="minorEastAsia" w:eastAsiaTheme="minorEastAsia" w:hAnsiTheme="minorEastAsia" w:hint="eastAsia"/>
                  </w:rPr>
                  <w:t>合计</w:t>
                </w:r>
              </w:p>
            </w:tc>
            <w:tc>
              <w:tcPr>
                <w:tcW w:w="1044" w:type="pct"/>
                <w:tcBorders>
                  <w:top w:val="single" w:sz="4" w:space="0" w:color="auto"/>
                  <w:left w:val="single" w:sz="4" w:space="0" w:color="auto"/>
                  <w:bottom w:val="single" w:sz="4" w:space="0" w:color="auto"/>
                  <w:right w:val="single" w:sz="4" w:space="0" w:color="auto"/>
                </w:tcBorders>
                <w:shd w:val="clear" w:color="auto" w:fill="auto"/>
              </w:tcPr>
              <w:p w14:paraId="1A1216F6" w14:textId="77777777" w:rsidR="007E7472" w:rsidRDefault="00EC1269">
                <w:pPr>
                  <w:jc w:val="right"/>
                  <w:rPr>
                    <w:rFonts w:asciiTheme="minorEastAsia" w:eastAsiaTheme="minorEastAsia" w:hAnsiTheme="minorEastAsia"/>
                  </w:rPr>
                </w:pPr>
                <w:r>
                  <w:rPr>
                    <w:rFonts w:asciiTheme="minorEastAsia" w:eastAsiaTheme="minorEastAsia" w:hAnsiTheme="minorEastAsia"/>
                  </w:rPr>
                  <w:t>84,401,342</w:t>
                </w:r>
              </w:p>
            </w:tc>
            <w:tc>
              <w:tcPr>
                <w:tcW w:w="1051" w:type="pct"/>
                <w:tcBorders>
                  <w:top w:val="single" w:sz="4" w:space="0" w:color="auto"/>
                  <w:left w:val="single" w:sz="4" w:space="0" w:color="auto"/>
                  <w:bottom w:val="single" w:sz="4" w:space="0" w:color="auto"/>
                  <w:right w:val="single" w:sz="4" w:space="0" w:color="auto"/>
                </w:tcBorders>
                <w:shd w:val="clear" w:color="auto" w:fill="auto"/>
              </w:tcPr>
              <w:p w14:paraId="4307A625" w14:textId="77777777" w:rsidR="007E7472" w:rsidRDefault="00EC1269">
                <w:pPr>
                  <w:jc w:val="right"/>
                  <w:rPr>
                    <w:rFonts w:asciiTheme="minorEastAsia" w:eastAsiaTheme="minorEastAsia" w:hAnsiTheme="minorEastAsia"/>
                  </w:rPr>
                </w:pPr>
                <w:r>
                  <w:rPr>
                    <w:rFonts w:asciiTheme="minorEastAsia" w:eastAsiaTheme="minorEastAsia" w:hAnsiTheme="minorEastAsia"/>
                  </w:rPr>
                  <w:t>58,063,477</w:t>
                </w:r>
              </w:p>
            </w:tc>
            <w:tc>
              <w:tcPr>
                <w:tcW w:w="1050" w:type="pct"/>
                <w:tcBorders>
                  <w:top w:val="single" w:sz="4" w:space="0" w:color="auto"/>
                  <w:left w:val="single" w:sz="4" w:space="0" w:color="auto"/>
                  <w:bottom w:val="single" w:sz="4" w:space="0" w:color="auto"/>
                  <w:right w:val="single" w:sz="4" w:space="0" w:color="auto"/>
                </w:tcBorders>
                <w:shd w:val="clear" w:color="auto" w:fill="auto"/>
              </w:tcPr>
              <w:p w14:paraId="177DBDEC" w14:textId="77777777" w:rsidR="007E7472" w:rsidRDefault="00EC1269">
                <w:pPr>
                  <w:jc w:val="right"/>
                  <w:rPr>
                    <w:rFonts w:asciiTheme="minorEastAsia" w:eastAsiaTheme="minorEastAsia" w:hAnsiTheme="minorEastAsia"/>
                  </w:rPr>
                </w:pPr>
                <w:r>
                  <w:rPr>
                    <w:rFonts w:asciiTheme="minorEastAsia" w:eastAsiaTheme="minorEastAsia" w:hAnsiTheme="minorEastAsia"/>
                  </w:rPr>
                  <w:t>100,285,198</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4DEBD077" w14:textId="77777777" w:rsidR="007E7472" w:rsidRDefault="00EC1269">
                <w:pPr>
                  <w:jc w:val="right"/>
                  <w:rPr>
                    <w:rFonts w:asciiTheme="minorEastAsia" w:eastAsiaTheme="minorEastAsia" w:hAnsiTheme="minorEastAsia"/>
                  </w:rPr>
                </w:pPr>
                <w:r>
                  <w:rPr>
                    <w:rFonts w:asciiTheme="minorEastAsia" w:eastAsiaTheme="minorEastAsia" w:hAnsiTheme="minorEastAsia"/>
                  </w:rPr>
                  <w:t>60,869,536</w:t>
                </w:r>
              </w:p>
            </w:tc>
          </w:tr>
        </w:tbl>
        <w:p w14:paraId="785E78CC" w14:textId="77777777" w:rsidR="007E7472" w:rsidRDefault="00C8327E">
          <w:pPr>
            <w:rPr>
              <w:rFonts w:asciiTheme="minorEastAsia" w:eastAsiaTheme="minorEastAsia" w:hAnsiTheme="minorEastAsia"/>
            </w:rPr>
          </w:pPr>
        </w:p>
      </w:sdtContent>
    </w:sdt>
    <w:bookmarkStart w:id="256" w:name="_Hlk10538044" w:displacedByCustomXml="next"/>
    <w:bookmarkStart w:id="257" w:name="_Hlk10538056" w:displacedByCustomXml="next"/>
    <w:sdt>
      <w:sdtPr>
        <w:rPr>
          <w:rFonts w:asciiTheme="minorEastAsia" w:eastAsiaTheme="minorEastAsia" w:hAnsiTheme="minorEastAsia" w:cs="宋体" w:hint="eastAsia"/>
          <w:b w:val="0"/>
          <w:bCs w:val="0"/>
          <w:kern w:val="0"/>
          <w:sz w:val="20"/>
          <w:szCs w:val="21"/>
        </w:rPr>
        <w:alias w:val="模块:合同产生的收入的情况"/>
        <w:tag w:val="_SEC_a8e15093e1ef4b64a05aa66b1647502c"/>
        <w:id w:val="-9921713"/>
        <w:lock w:val="sdtLocked"/>
        <w:placeholder>
          <w:docPart w:val="GBC22222222222222222222222222222"/>
        </w:placeholder>
      </w:sdtPr>
      <w:sdtEndPr>
        <w:rPr>
          <w:rFonts w:ascii="宋体" w:eastAsia="宋体" w:hAnsi="宋体"/>
          <w:sz w:val="21"/>
        </w:rPr>
      </w:sdtEndPr>
      <w:sdtContent>
        <w:p w14:paraId="5B4D1AE0" w14:textId="77777777" w:rsidR="007E7472" w:rsidRDefault="00EC1269" w:rsidP="00162493">
          <w:pPr>
            <w:pStyle w:val="4"/>
            <w:numPr>
              <w:ilvl w:val="0"/>
              <w:numId w:val="94"/>
            </w:numPr>
            <w:rPr>
              <w:rFonts w:asciiTheme="minorEastAsia" w:eastAsiaTheme="minorEastAsia" w:hAnsiTheme="minorEastAsia"/>
            </w:rPr>
          </w:pPr>
          <w:r>
            <w:rPr>
              <w:rFonts w:asciiTheme="minorEastAsia" w:eastAsiaTheme="minorEastAsia" w:hAnsiTheme="minorEastAsia" w:hint="eastAsia"/>
            </w:rPr>
            <w:t>合同产生的收入的情况</w:t>
          </w:r>
          <w:bookmarkEnd w:id="256"/>
        </w:p>
        <w:sdt>
          <w:sdtPr>
            <w:rPr>
              <w:rFonts w:asciiTheme="minorEastAsia" w:eastAsiaTheme="minorEastAsia" w:hAnsiTheme="minorEastAsia"/>
            </w:rPr>
            <w:alias w:val="是否适用：合同产生的收入[双击切换]"/>
            <w:tag w:val="_GBC_c21770085a2f4dd3922bd8eb4c58558c"/>
            <w:id w:val="-637957334"/>
            <w:lock w:val="sdtLocked"/>
            <w:placeholder>
              <w:docPart w:val="GBC22222222222222222222222222222"/>
            </w:placeholder>
          </w:sdtPr>
          <w:sdtEndPr/>
          <w:sdtContent>
            <w:p w14:paraId="380CEB74" w14:textId="77777777" w:rsidR="007E7472" w:rsidRDefault="00EC1269">
              <w:pPr>
                <w:rPr>
                  <w:rFonts w:asciiTheme="minorEastAsia" w:eastAsiaTheme="minorEastAsia" w:hAnsiTheme="minorEastAsia"/>
                </w:rPr>
              </w:pP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62B18014" w14:textId="4C729630" w:rsidR="007E7472" w:rsidRDefault="00EC1269">
          <w:pPr>
            <w:jc w:val="right"/>
            <w:rPr>
              <w:rFonts w:asciiTheme="minorEastAsia" w:eastAsiaTheme="minorEastAsia" w:hAnsiTheme="minorEastAsia"/>
            </w:rPr>
          </w:pPr>
          <w:r>
            <w:rPr>
              <w:rFonts w:asciiTheme="minorEastAsia" w:eastAsiaTheme="minorEastAsia" w:hAnsiTheme="minorEastAsia" w:hint="eastAsia"/>
            </w:rPr>
            <w:t>单位：</w:t>
          </w:r>
          <w:sdt>
            <w:sdtPr>
              <w:rPr>
                <w:rFonts w:asciiTheme="minorEastAsia" w:eastAsiaTheme="minorEastAsia" w:hAnsiTheme="minorEastAsia" w:hint="eastAsia"/>
              </w:rPr>
              <w:alias w:val="单位：合同产生的收入"/>
              <w:tag w:val="_GBC_ad3fa206b47145cea9728c5ff60d9346"/>
              <w:id w:val="6376196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asciiTheme="minorEastAsia" w:eastAsiaTheme="minorEastAsia" w:hAnsiTheme="minorEastAsia" w:hint="eastAsia"/>
                </w:rPr>
                <w:t>千元</w:t>
              </w:r>
            </w:sdtContent>
          </w:sdt>
          <w:r>
            <w:rPr>
              <w:rFonts w:asciiTheme="minorEastAsia" w:eastAsiaTheme="minorEastAsia" w:hAnsiTheme="minorEastAsia" w:hint="eastAsia"/>
            </w:rPr>
            <w:t>币种：</w:t>
          </w:r>
          <w:sdt>
            <w:sdtPr>
              <w:rPr>
                <w:rFonts w:asciiTheme="minorEastAsia" w:eastAsiaTheme="minorEastAsia" w:hAnsiTheme="minorEastAsia" w:hint="eastAsia"/>
              </w:rPr>
              <w:alias w:val="币种：合同产生的收入"/>
              <w:tag w:val="_GBC_bbe175f0f61a42949a1146ca1734e362"/>
              <w:id w:val="2917939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asciiTheme="minorEastAsia" w:eastAsiaTheme="minorEastAsia" w:hAnsiTheme="minorEastAsia"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2"/>
            <w:gridCol w:w="2582"/>
            <w:gridCol w:w="2449"/>
          </w:tblGrid>
          <w:tr w:rsidR="007E7472" w14:paraId="6934553D" w14:textId="77777777" w:rsidTr="007E7472">
            <w:sdt>
              <w:sdtPr>
                <w:rPr>
                  <w:rFonts w:asciiTheme="minorEastAsia" w:hAnsiTheme="minorEastAsia" w:hint="eastAsia"/>
                </w:rPr>
                <w:tag w:val="_PLD_bf90fdfeb0c2419ba1ce17d060f1056f"/>
                <w:id w:val="1706520614"/>
                <w:lock w:val="sdtLocked"/>
              </w:sdtPr>
              <w:sdtEndPr/>
              <w:sdtContent>
                <w:tc>
                  <w:tcPr>
                    <w:tcW w:w="2149" w:type="pct"/>
                    <w:tcBorders>
                      <w:top w:val="single" w:sz="4" w:space="0" w:color="auto"/>
                      <w:left w:val="single" w:sz="4" w:space="0" w:color="auto"/>
                      <w:bottom w:val="single" w:sz="4" w:space="0" w:color="auto"/>
                      <w:right w:val="single" w:sz="4" w:space="0" w:color="auto"/>
                    </w:tcBorders>
                    <w:shd w:val="clear" w:color="auto" w:fill="auto"/>
                  </w:tcPr>
                  <w:p w14:paraId="4F8C3F7E" w14:textId="77777777" w:rsidR="007E7472" w:rsidRDefault="00EC1269" w:rsidP="007E7472">
                    <w:pPr>
                      <w:jc w:val="center"/>
                      <w:rPr>
                        <w:rFonts w:asciiTheme="minorEastAsia" w:eastAsiaTheme="minorEastAsia" w:hAnsiTheme="minorEastAsia"/>
                      </w:rPr>
                    </w:pPr>
                    <w:r>
                      <w:rPr>
                        <w:rFonts w:asciiTheme="minorEastAsia" w:eastAsiaTheme="minorEastAsia" w:hAnsiTheme="minorEastAsia" w:hint="eastAsia"/>
                      </w:rPr>
                      <w:t>合同分类</w:t>
                    </w:r>
                  </w:p>
                </w:tc>
              </w:sdtContent>
            </w:sdt>
            <w:sdt>
              <w:sdtPr>
                <w:rPr>
                  <w:rFonts w:asciiTheme="minorEastAsia" w:hAnsiTheme="minorEastAsia" w:hint="eastAsia"/>
                </w:rPr>
                <w:alias w:val="合同产生的收入分部名称"/>
                <w:tag w:val="_GBC_6b75b59ddb224134b8ea11484825b0a5"/>
                <w:id w:val="-1158530593"/>
                <w:lock w:val="sdtLocked"/>
              </w:sdtPr>
              <w:sdtEndPr/>
              <w:sdtContent>
                <w:tc>
                  <w:tcPr>
                    <w:tcW w:w="1463" w:type="pct"/>
                    <w:tcBorders>
                      <w:top w:val="single" w:sz="4" w:space="0" w:color="auto"/>
                      <w:left w:val="single" w:sz="4" w:space="0" w:color="auto"/>
                      <w:bottom w:val="single" w:sz="4" w:space="0" w:color="auto"/>
                      <w:right w:val="single" w:sz="4" w:space="0" w:color="auto"/>
                    </w:tcBorders>
                    <w:shd w:val="clear" w:color="auto" w:fill="auto"/>
                    <w:vAlign w:val="center"/>
                  </w:tcPr>
                  <w:p w14:paraId="526CA2A8" w14:textId="77777777" w:rsidR="007E7472" w:rsidRDefault="00EC1269" w:rsidP="007E7472">
                    <w:pPr>
                      <w:jc w:val="center"/>
                      <w:rPr>
                        <w:rFonts w:asciiTheme="minorEastAsia" w:eastAsiaTheme="minorEastAsia" w:hAnsiTheme="minorEastAsia"/>
                      </w:rPr>
                    </w:pPr>
                    <w:r>
                      <w:rPr>
                        <w:rFonts w:asciiTheme="minorEastAsia" w:eastAsiaTheme="minorEastAsia" w:hAnsiTheme="minorEastAsia" w:hint="eastAsia"/>
                      </w:rPr>
                      <w:t>本期发生额</w:t>
                    </w:r>
                  </w:p>
                </w:tc>
              </w:sdtContent>
            </w:sdt>
            <w:sdt>
              <w:sdtPr>
                <w:rPr>
                  <w:rFonts w:asciiTheme="minorEastAsia" w:hAnsiTheme="minorEastAsia" w:hint="eastAsia"/>
                </w:rPr>
                <w:alias w:val="合同产生的收入分部名称"/>
                <w:tag w:val="_GBC_6b75b59ddb224134b8ea11484825b0a5"/>
                <w:id w:val="2078396256"/>
                <w:lock w:val="sdtLocked"/>
              </w:sdtPr>
              <w:sdtEndPr/>
              <w:sdtContent>
                <w:tc>
                  <w:tcPr>
                    <w:tcW w:w="1388" w:type="pct"/>
                    <w:tcBorders>
                      <w:top w:val="single" w:sz="4" w:space="0" w:color="auto"/>
                      <w:left w:val="single" w:sz="4" w:space="0" w:color="auto"/>
                      <w:bottom w:val="single" w:sz="4" w:space="0" w:color="auto"/>
                      <w:right w:val="single" w:sz="4" w:space="0" w:color="auto"/>
                    </w:tcBorders>
                    <w:shd w:val="clear" w:color="auto" w:fill="auto"/>
                    <w:vAlign w:val="center"/>
                  </w:tcPr>
                  <w:p w14:paraId="2CA8F7BA" w14:textId="77777777" w:rsidR="007E7472" w:rsidRDefault="00EC1269" w:rsidP="007E7472">
                    <w:pPr>
                      <w:jc w:val="center"/>
                      <w:rPr>
                        <w:rFonts w:asciiTheme="minorEastAsia" w:eastAsiaTheme="minorEastAsia" w:hAnsiTheme="minorEastAsia"/>
                      </w:rPr>
                    </w:pPr>
                    <w:r>
                      <w:rPr>
                        <w:rFonts w:asciiTheme="minorEastAsia" w:eastAsiaTheme="minorEastAsia" w:hAnsiTheme="minorEastAsia" w:hint="eastAsia"/>
                      </w:rPr>
                      <w:t>上期发生额</w:t>
                    </w:r>
                  </w:p>
                </w:tc>
              </w:sdtContent>
            </w:sdt>
          </w:tr>
          <w:tr w:rsidR="007E7472" w14:paraId="733F9DEA" w14:textId="77777777" w:rsidTr="007E7472">
            <w:tc>
              <w:tcPr>
                <w:tcW w:w="2149" w:type="pct"/>
                <w:tcBorders>
                  <w:top w:val="single" w:sz="4" w:space="0" w:color="auto"/>
                  <w:left w:val="single" w:sz="4" w:space="0" w:color="auto"/>
                  <w:bottom w:val="single" w:sz="4" w:space="0" w:color="auto"/>
                  <w:right w:val="single" w:sz="4" w:space="0" w:color="auto"/>
                </w:tcBorders>
                <w:shd w:val="clear" w:color="auto" w:fill="auto"/>
              </w:tcPr>
              <w:sdt>
                <w:sdtPr>
                  <w:rPr>
                    <w:rFonts w:asciiTheme="minorEastAsia" w:eastAsiaTheme="minorEastAsia" w:hAnsiTheme="minorEastAsia" w:hint="eastAsia"/>
                  </w:rPr>
                  <w:tag w:val="_PLD_b01740e1773145b8849df786a44184de"/>
                  <w:id w:val="111475931"/>
                  <w:lock w:val="sdtLocked"/>
                </w:sdtPr>
                <w:sdtEndPr/>
                <w:sdtContent>
                  <w:p w14:paraId="17B6E79E" w14:textId="77777777" w:rsidR="007E7472" w:rsidRDefault="00EC1269" w:rsidP="007E7472">
                    <w:pPr>
                      <w:rPr>
                        <w:rFonts w:asciiTheme="minorEastAsia" w:eastAsiaTheme="minorEastAsia" w:hAnsiTheme="minorEastAsia"/>
                      </w:rPr>
                    </w:pPr>
                    <w:r>
                      <w:rPr>
                        <w:rFonts w:asciiTheme="minorEastAsia" w:eastAsiaTheme="minorEastAsia" w:hAnsiTheme="minorEastAsia" w:hint="eastAsia"/>
                      </w:rPr>
                      <w:t>商品类型</w:t>
                    </w:r>
                  </w:p>
                </w:sdtContent>
              </w:sdt>
            </w:tc>
            <w:sdt>
              <w:sdtPr>
                <w:rPr>
                  <w:rFonts w:asciiTheme="minorEastAsia" w:hAnsiTheme="minorEastAsia"/>
                </w:rPr>
                <w:alias w:val="分部商品类型合同产生的收入"/>
                <w:tag w:val="_GBC_2b2f7aef2e674442b228005d07274e05"/>
                <w:id w:val="-1177193031"/>
                <w:lock w:val="sdtLocked"/>
                <w:showingPlcHdr/>
              </w:sdtPr>
              <w:sdtEndPr/>
              <w:sdtContent>
                <w:tc>
                  <w:tcPr>
                    <w:tcW w:w="1463" w:type="pct"/>
                    <w:tcBorders>
                      <w:top w:val="single" w:sz="4" w:space="0" w:color="auto"/>
                      <w:left w:val="single" w:sz="4" w:space="0" w:color="auto"/>
                      <w:bottom w:val="single" w:sz="4" w:space="0" w:color="auto"/>
                      <w:right w:val="single" w:sz="4" w:space="0" w:color="auto"/>
                    </w:tcBorders>
                    <w:shd w:val="clear" w:color="auto" w:fill="auto"/>
                  </w:tcPr>
                  <w:p w14:paraId="5EE065CC" w14:textId="77777777" w:rsidR="007E7472" w:rsidRDefault="00EC1269" w:rsidP="007E7472">
                    <w:pPr>
                      <w:jc w:val="right"/>
                      <w:rPr>
                        <w:rFonts w:asciiTheme="minorEastAsia" w:eastAsiaTheme="minorEastAsia" w:hAnsiTheme="minorEastAsia"/>
                      </w:rPr>
                    </w:pPr>
                    <w:r>
                      <w:rPr>
                        <w:rFonts w:asciiTheme="minorEastAsia" w:eastAsiaTheme="minorEastAsia" w:hAnsiTheme="minorEastAsia" w:hint="eastAsia"/>
                      </w:rPr>
                      <w:t xml:space="preserve">　</w:t>
                    </w:r>
                  </w:p>
                </w:tc>
              </w:sdtContent>
            </w:sdt>
            <w:sdt>
              <w:sdtPr>
                <w:rPr>
                  <w:rFonts w:asciiTheme="minorEastAsia" w:hAnsiTheme="minorEastAsia"/>
                </w:rPr>
                <w:alias w:val="分部商品类型合同产生的收入"/>
                <w:tag w:val="_GBC_2b2f7aef2e674442b228005d07274e05"/>
                <w:id w:val="-1719818345"/>
                <w:lock w:val="sdtLocked"/>
                <w:showingPlcHdr/>
              </w:sdtPr>
              <w:sdtEndPr/>
              <w:sdtContent>
                <w:tc>
                  <w:tcPr>
                    <w:tcW w:w="1388" w:type="pct"/>
                    <w:tcBorders>
                      <w:top w:val="single" w:sz="4" w:space="0" w:color="auto"/>
                      <w:left w:val="single" w:sz="4" w:space="0" w:color="auto"/>
                      <w:bottom w:val="single" w:sz="4" w:space="0" w:color="auto"/>
                      <w:right w:val="single" w:sz="4" w:space="0" w:color="auto"/>
                    </w:tcBorders>
                    <w:shd w:val="clear" w:color="auto" w:fill="auto"/>
                  </w:tcPr>
                  <w:p w14:paraId="61AE354C" w14:textId="77777777" w:rsidR="007E7472" w:rsidRDefault="00C8327E" w:rsidP="007E7472">
                    <w:pPr>
                      <w:jc w:val="right"/>
                      <w:rPr>
                        <w:rFonts w:asciiTheme="minorEastAsia" w:eastAsiaTheme="minorEastAsia" w:hAnsiTheme="minorEastAsia"/>
                      </w:rPr>
                    </w:pPr>
                  </w:p>
                </w:tc>
              </w:sdtContent>
            </w:sdt>
          </w:tr>
          <w:tr w:rsidR="007E7472" w14:paraId="4D37D625" w14:textId="77777777" w:rsidTr="007E7472">
            <w:sdt>
              <w:sdtPr>
                <w:rPr>
                  <w:rFonts w:asciiTheme="minorEastAsia" w:hAnsiTheme="minorEastAsia" w:hint="eastAsia"/>
                </w:rPr>
                <w:alias w:val="分部商品类型明细名称"/>
                <w:tag w:val="_GBC_9b24d072ad6f4b69a94ec304db6192c3"/>
                <w:id w:val="-1120523830"/>
                <w:lock w:val="sdtLocked"/>
              </w:sdtPr>
              <w:sdtEndPr/>
              <w:sdtContent>
                <w:tc>
                  <w:tcPr>
                    <w:tcW w:w="2149" w:type="pct"/>
                    <w:tcBorders>
                      <w:top w:val="single" w:sz="4" w:space="0" w:color="auto"/>
                      <w:left w:val="single" w:sz="4" w:space="0" w:color="auto"/>
                      <w:bottom w:val="single" w:sz="4" w:space="0" w:color="auto"/>
                      <w:right w:val="single" w:sz="4" w:space="0" w:color="auto"/>
                    </w:tcBorders>
                    <w:shd w:val="clear" w:color="auto" w:fill="auto"/>
                  </w:tcPr>
                  <w:p w14:paraId="2388DE95" w14:textId="14E0EE93" w:rsidR="007E7472" w:rsidRDefault="00EC1269" w:rsidP="007E7472">
                    <w:pPr>
                      <w:ind w:firstLineChars="218" w:firstLine="458"/>
                      <w:rPr>
                        <w:rFonts w:asciiTheme="minorEastAsia" w:eastAsiaTheme="minorEastAsia" w:hAnsiTheme="minorEastAsia"/>
                      </w:rPr>
                    </w:pPr>
                    <w:r>
                      <w:rPr>
                        <w:rFonts w:asciiTheme="minorEastAsia" w:hAnsiTheme="minorEastAsia" w:hint="eastAsia"/>
                      </w:rPr>
                      <w:t>其中：</w:t>
                    </w:r>
                    <w:r>
                      <w:rPr>
                        <w:rFonts w:asciiTheme="minorEastAsia" w:eastAsiaTheme="minorEastAsia" w:hAnsiTheme="minorEastAsia" w:hint="eastAsia"/>
                      </w:rPr>
                      <w:t>煤炭业务</w:t>
                    </w:r>
                  </w:p>
                </w:tc>
              </w:sdtContent>
            </w:sdt>
            <w:sdt>
              <w:sdtPr>
                <w:rPr>
                  <w:rFonts w:asciiTheme="minorEastAsia" w:hAnsiTheme="minorEastAsia"/>
                </w:rPr>
                <w:alias w:val="分部商品类型明细合同产生的收入"/>
                <w:tag w:val="_GBC_5d3d3176f1784cb08da754a9734f9bb2"/>
                <w:id w:val="-1997255882"/>
                <w:lock w:val="sdtLocked"/>
              </w:sdtPr>
              <w:sdtEndPr/>
              <w:sdtContent>
                <w:tc>
                  <w:tcPr>
                    <w:tcW w:w="1463" w:type="pct"/>
                    <w:tcBorders>
                      <w:top w:val="single" w:sz="4" w:space="0" w:color="auto"/>
                      <w:left w:val="single" w:sz="4" w:space="0" w:color="auto"/>
                      <w:bottom w:val="single" w:sz="4" w:space="0" w:color="auto"/>
                      <w:right w:val="single" w:sz="4" w:space="0" w:color="auto"/>
                    </w:tcBorders>
                    <w:shd w:val="clear" w:color="auto" w:fill="auto"/>
                  </w:tcPr>
                  <w:p w14:paraId="54CFC116" w14:textId="77777777" w:rsidR="007E7472" w:rsidRDefault="00EC1269" w:rsidP="007E7472">
                    <w:pPr>
                      <w:jc w:val="right"/>
                      <w:rPr>
                        <w:rFonts w:asciiTheme="minorEastAsia" w:eastAsiaTheme="minorEastAsia" w:hAnsiTheme="minorEastAsia"/>
                      </w:rPr>
                    </w:pPr>
                    <w:r>
                      <w:rPr>
                        <w:rFonts w:asciiTheme="minorEastAsia" w:eastAsiaTheme="minorEastAsia" w:hAnsiTheme="minorEastAsia"/>
                      </w:rPr>
                      <w:t>51,467,448</w:t>
                    </w:r>
                  </w:p>
                </w:tc>
              </w:sdtContent>
            </w:sdt>
            <w:sdt>
              <w:sdtPr>
                <w:rPr>
                  <w:rFonts w:asciiTheme="minorEastAsia" w:hAnsiTheme="minorEastAsia"/>
                </w:rPr>
                <w:alias w:val="分部商品类型明细合同产生的收入"/>
                <w:tag w:val="_GBC_5d3d3176f1784cb08da754a9734f9bb2"/>
                <w:id w:val="-1365595121"/>
                <w:lock w:val="sdtLocked"/>
              </w:sdtPr>
              <w:sdtEndPr/>
              <w:sdtContent>
                <w:tc>
                  <w:tcPr>
                    <w:tcW w:w="1388" w:type="pct"/>
                    <w:tcBorders>
                      <w:top w:val="single" w:sz="4" w:space="0" w:color="auto"/>
                      <w:left w:val="single" w:sz="4" w:space="0" w:color="auto"/>
                      <w:bottom w:val="single" w:sz="4" w:space="0" w:color="auto"/>
                      <w:right w:val="single" w:sz="4" w:space="0" w:color="auto"/>
                    </w:tcBorders>
                    <w:shd w:val="clear" w:color="auto" w:fill="auto"/>
                  </w:tcPr>
                  <w:p w14:paraId="412F435B" w14:textId="77777777" w:rsidR="007E7472" w:rsidRDefault="00EC1269" w:rsidP="007E7472">
                    <w:pPr>
                      <w:jc w:val="right"/>
                      <w:rPr>
                        <w:rFonts w:asciiTheme="minorEastAsia" w:eastAsiaTheme="minorEastAsia" w:hAnsiTheme="minorEastAsia"/>
                      </w:rPr>
                    </w:pPr>
                    <w:r>
                      <w:rPr>
                        <w:rFonts w:asciiTheme="minorEastAsia" w:hAnsiTheme="minorEastAsia"/>
                      </w:rPr>
                      <w:t>61,281,948</w:t>
                    </w:r>
                  </w:p>
                </w:tc>
              </w:sdtContent>
            </w:sdt>
          </w:tr>
          <w:tr w:rsidR="007E7472" w14:paraId="67C5F469" w14:textId="77777777" w:rsidTr="007E7472">
            <w:sdt>
              <w:sdtPr>
                <w:rPr>
                  <w:rFonts w:asciiTheme="minorEastAsia" w:hAnsiTheme="minorEastAsia" w:hint="eastAsia"/>
                </w:rPr>
                <w:alias w:val="分部商品类型明细名称"/>
                <w:tag w:val="_GBC_9b24d072ad6f4b69a94ec304db6192c3"/>
                <w:id w:val="215942417"/>
                <w:lock w:val="sdtLocked"/>
              </w:sdtPr>
              <w:sdtEndPr/>
              <w:sdtContent>
                <w:tc>
                  <w:tcPr>
                    <w:tcW w:w="2149" w:type="pct"/>
                    <w:tcBorders>
                      <w:top w:val="single" w:sz="4" w:space="0" w:color="auto"/>
                      <w:left w:val="single" w:sz="4" w:space="0" w:color="auto"/>
                      <w:bottom w:val="single" w:sz="4" w:space="0" w:color="auto"/>
                      <w:right w:val="single" w:sz="4" w:space="0" w:color="auto"/>
                    </w:tcBorders>
                    <w:shd w:val="clear" w:color="auto" w:fill="auto"/>
                  </w:tcPr>
                  <w:p w14:paraId="721F2C58" w14:textId="282543DD" w:rsidR="007E7472" w:rsidRDefault="00EC1269" w:rsidP="007E7472">
                    <w:pPr>
                      <w:ind w:firstLineChars="500" w:firstLine="1050"/>
                      <w:rPr>
                        <w:rFonts w:asciiTheme="minorEastAsia" w:eastAsiaTheme="minorEastAsia" w:hAnsiTheme="minorEastAsia"/>
                      </w:rPr>
                    </w:pPr>
                    <w:r>
                      <w:rPr>
                        <w:rFonts w:asciiTheme="minorEastAsia" w:hAnsiTheme="minorEastAsia" w:hint="eastAsia"/>
                      </w:rPr>
                      <w:t>非煤炭贸易</w:t>
                    </w:r>
                  </w:p>
                </w:tc>
              </w:sdtContent>
            </w:sdt>
            <w:sdt>
              <w:sdtPr>
                <w:rPr>
                  <w:rFonts w:asciiTheme="minorEastAsia" w:hAnsiTheme="minorEastAsia"/>
                </w:rPr>
                <w:alias w:val="分部商品类型明细合同产生的收入"/>
                <w:tag w:val="_GBC_5d3d3176f1784cb08da754a9734f9bb2"/>
                <w:id w:val="-1497963003"/>
                <w:lock w:val="sdtLocked"/>
              </w:sdtPr>
              <w:sdtEndPr/>
              <w:sdtContent>
                <w:tc>
                  <w:tcPr>
                    <w:tcW w:w="1463" w:type="pct"/>
                    <w:tcBorders>
                      <w:top w:val="single" w:sz="4" w:space="0" w:color="auto"/>
                      <w:left w:val="single" w:sz="4" w:space="0" w:color="auto"/>
                      <w:bottom w:val="single" w:sz="4" w:space="0" w:color="auto"/>
                      <w:right w:val="single" w:sz="4" w:space="0" w:color="auto"/>
                    </w:tcBorders>
                    <w:shd w:val="clear" w:color="auto" w:fill="auto"/>
                  </w:tcPr>
                  <w:p w14:paraId="30F5232E" w14:textId="6D2F67BE" w:rsidR="007E7472" w:rsidRDefault="00EC1269" w:rsidP="007E7472">
                    <w:pPr>
                      <w:jc w:val="right"/>
                      <w:rPr>
                        <w:rFonts w:asciiTheme="minorEastAsia" w:eastAsiaTheme="minorEastAsia" w:hAnsiTheme="minorEastAsia"/>
                      </w:rPr>
                    </w:pPr>
                    <w:r w:rsidRPr="00622569">
                      <w:rPr>
                        <w:rFonts w:asciiTheme="minorEastAsia" w:hAnsiTheme="minorEastAsia"/>
                      </w:rPr>
                      <w:t>16,111,381</w:t>
                    </w:r>
                  </w:p>
                </w:tc>
              </w:sdtContent>
            </w:sdt>
            <w:sdt>
              <w:sdtPr>
                <w:rPr>
                  <w:rFonts w:asciiTheme="minorEastAsia" w:hAnsiTheme="minorEastAsia"/>
                </w:rPr>
                <w:alias w:val="分部商品类型明细合同产生的收入"/>
                <w:tag w:val="_GBC_5d3d3176f1784cb08da754a9734f9bb2"/>
                <w:id w:val="-860200830"/>
                <w:lock w:val="sdtLocked"/>
              </w:sdtPr>
              <w:sdtEndPr/>
              <w:sdtContent>
                <w:tc>
                  <w:tcPr>
                    <w:tcW w:w="1388" w:type="pct"/>
                    <w:tcBorders>
                      <w:top w:val="single" w:sz="4" w:space="0" w:color="auto"/>
                      <w:left w:val="single" w:sz="4" w:space="0" w:color="auto"/>
                      <w:bottom w:val="single" w:sz="4" w:space="0" w:color="auto"/>
                      <w:right w:val="single" w:sz="4" w:space="0" w:color="auto"/>
                    </w:tcBorders>
                    <w:shd w:val="clear" w:color="auto" w:fill="auto"/>
                  </w:tcPr>
                  <w:p w14:paraId="47537540" w14:textId="25B90F80" w:rsidR="007E7472" w:rsidRPr="00622569" w:rsidRDefault="00EC1269" w:rsidP="007E7472">
                    <w:pPr>
                      <w:jc w:val="right"/>
                      <w:rPr>
                        <w:rFonts w:asciiTheme="minorEastAsia" w:hAnsiTheme="minorEastAsia"/>
                      </w:rPr>
                    </w:pPr>
                    <w:r w:rsidRPr="00622569">
                      <w:rPr>
                        <w:rFonts w:asciiTheme="minorEastAsia" w:hAnsiTheme="minorEastAsia"/>
                      </w:rPr>
                      <w:t>22,265,916</w:t>
                    </w:r>
                  </w:p>
                </w:tc>
              </w:sdtContent>
            </w:sdt>
          </w:tr>
          <w:tr w:rsidR="007E7472" w14:paraId="413048EA" w14:textId="77777777" w:rsidTr="007E7472">
            <w:sdt>
              <w:sdtPr>
                <w:rPr>
                  <w:rFonts w:asciiTheme="minorEastAsia" w:hAnsiTheme="minorEastAsia" w:hint="eastAsia"/>
                </w:rPr>
                <w:alias w:val="分部商品类型明细名称"/>
                <w:tag w:val="_GBC_9b24d072ad6f4b69a94ec304db6192c3"/>
                <w:id w:val="-1346855891"/>
                <w:lock w:val="sdtLocked"/>
              </w:sdtPr>
              <w:sdtEndPr/>
              <w:sdtContent>
                <w:tc>
                  <w:tcPr>
                    <w:tcW w:w="2149" w:type="pct"/>
                    <w:tcBorders>
                      <w:top w:val="single" w:sz="4" w:space="0" w:color="auto"/>
                      <w:left w:val="single" w:sz="4" w:space="0" w:color="auto"/>
                      <w:bottom w:val="single" w:sz="4" w:space="0" w:color="auto"/>
                      <w:right w:val="single" w:sz="4" w:space="0" w:color="auto"/>
                    </w:tcBorders>
                    <w:shd w:val="clear" w:color="auto" w:fill="auto"/>
                  </w:tcPr>
                  <w:p w14:paraId="303E4A05" w14:textId="77777777" w:rsidR="007E7472" w:rsidRDefault="00EC1269" w:rsidP="007E7472">
                    <w:pPr>
                      <w:ind w:firstLineChars="495" w:firstLine="1039"/>
                      <w:rPr>
                        <w:rFonts w:asciiTheme="minorEastAsia" w:eastAsiaTheme="minorEastAsia" w:hAnsiTheme="minorEastAsia"/>
                      </w:rPr>
                    </w:pPr>
                    <w:r>
                      <w:rPr>
                        <w:rFonts w:asciiTheme="minorEastAsia" w:eastAsiaTheme="minorEastAsia" w:hAnsiTheme="minorEastAsia" w:hint="eastAsia"/>
                      </w:rPr>
                      <w:t>煤化工、电力及热力</w:t>
                    </w:r>
                  </w:p>
                </w:tc>
              </w:sdtContent>
            </w:sdt>
            <w:sdt>
              <w:sdtPr>
                <w:rPr>
                  <w:rFonts w:asciiTheme="minorEastAsia" w:hAnsiTheme="minorEastAsia"/>
                </w:rPr>
                <w:alias w:val="分部商品类型明细合同产生的收入"/>
                <w:tag w:val="_GBC_5d3d3176f1784cb08da754a9734f9bb2"/>
                <w:id w:val="-1061013555"/>
                <w:lock w:val="sdtLocked"/>
              </w:sdtPr>
              <w:sdtEndPr/>
              <w:sdtContent>
                <w:tc>
                  <w:tcPr>
                    <w:tcW w:w="1463" w:type="pct"/>
                    <w:tcBorders>
                      <w:top w:val="single" w:sz="4" w:space="0" w:color="auto"/>
                      <w:left w:val="single" w:sz="4" w:space="0" w:color="auto"/>
                      <w:bottom w:val="single" w:sz="4" w:space="0" w:color="auto"/>
                      <w:right w:val="single" w:sz="4" w:space="0" w:color="auto"/>
                    </w:tcBorders>
                    <w:shd w:val="clear" w:color="auto" w:fill="auto"/>
                  </w:tcPr>
                  <w:p w14:paraId="60AA6E8B" w14:textId="77777777" w:rsidR="007E7472" w:rsidRDefault="00EC1269" w:rsidP="007E7472">
                    <w:pPr>
                      <w:jc w:val="right"/>
                      <w:rPr>
                        <w:rFonts w:asciiTheme="minorEastAsia" w:eastAsiaTheme="minorEastAsia" w:hAnsiTheme="minorEastAsia"/>
                      </w:rPr>
                    </w:pPr>
                    <w:r>
                      <w:rPr>
                        <w:rFonts w:asciiTheme="minorEastAsia" w:eastAsiaTheme="minorEastAsia" w:hAnsiTheme="minorEastAsia"/>
                      </w:rPr>
                      <w:t>13,547,693</w:t>
                    </w:r>
                  </w:p>
                </w:tc>
              </w:sdtContent>
            </w:sdt>
            <w:tc>
              <w:tcPr>
                <w:tcW w:w="1388" w:type="pct"/>
                <w:tcBorders>
                  <w:top w:val="single" w:sz="4" w:space="0" w:color="auto"/>
                  <w:left w:val="single" w:sz="4" w:space="0" w:color="auto"/>
                  <w:bottom w:val="single" w:sz="4" w:space="0" w:color="auto"/>
                  <w:right w:val="single" w:sz="4" w:space="0" w:color="auto"/>
                </w:tcBorders>
                <w:shd w:val="clear" w:color="auto" w:fill="auto"/>
              </w:tcPr>
              <w:sdt>
                <w:sdtPr>
                  <w:rPr>
                    <w:rFonts w:asciiTheme="minorEastAsia" w:hAnsiTheme="minorEastAsia"/>
                  </w:rPr>
                  <w:alias w:val="分部商品类型明细合同产生的收入"/>
                  <w:tag w:val="_GBC_5d3d3176f1784cb08da754a9734f9bb2"/>
                  <w:id w:val="38170552"/>
                  <w:lock w:val="sdtLocked"/>
                </w:sdtPr>
                <w:sdtEndPr/>
                <w:sdtContent>
                  <w:p w14:paraId="055FA457" w14:textId="77777777" w:rsidR="007E7472" w:rsidRDefault="00EC1269" w:rsidP="007E7472">
                    <w:pPr>
                      <w:jc w:val="right"/>
                      <w:rPr>
                        <w:rFonts w:asciiTheme="minorEastAsia" w:hAnsiTheme="minorEastAsia"/>
                      </w:rPr>
                    </w:pPr>
                    <w:r>
                      <w:rPr>
                        <w:rFonts w:asciiTheme="minorEastAsia" w:hAnsiTheme="minorEastAsia"/>
                      </w:rPr>
                      <w:t>13,395,535</w:t>
                    </w:r>
                  </w:p>
                </w:sdtContent>
              </w:sdt>
            </w:tc>
          </w:tr>
          <w:tr w:rsidR="007E7472" w14:paraId="1C0A40A0" w14:textId="77777777" w:rsidTr="007E7472">
            <w:sdt>
              <w:sdtPr>
                <w:rPr>
                  <w:rFonts w:asciiTheme="minorEastAsia" w:hAnsiTheme="minorEastAsia" w:hint="eastAsia"/>
                </w:rPr>
                <w:alias w:val="分部商品类型明细名称"/>
                <w:tag w:val="_GBC_9b24d072ad6f4b69a94ec304db6192c3"/>
                <w:id w:val="1375507993"/>
                <w:lock w:val="sdtLocked"/>
              </w:sdtPr>
              <w:sdtEndPr/>
              <w:sdtContent>
                <w:tc>
                  <w:tcPr>
                    <w:tcW w:w="2149" w:type="pct"/>
                    <w:tcBorders>
                      <w:top w:val="single" w:sz="4" w:space="0" w:color="auto"/>
                      <w:left w:val="single" w:sz="4" w:space="0" w:color="auto"/>
                      <w:bottom w:val="single" w:sz="4" w:space="0" w:color="auto"/>
                      <w:right w:val="single" w:sz="4" w:space="0" w:color="auto"/>
                    </w:tcBorders>
                    <w:shd w:val="clear" w:color="auto" w:fill="auto"/>
                  </w:tcPr>
                  <w:p w14:paraId="746A1265" w14:textId="77777777" w:rsidR="007E7472" w:rsidRDefault="00EC1269" w:rsidP="007E7472">
                    <w:pPr>
                      <w:ind w:firstLineChars="488" w:firstLine="1025"/>
                      <w:rPr>
                        <w:rFonts w:asciiTheme="minorEastAsia" w:eastAsiaTheme="minorEastAsia" w:hAnsiTheme="minorEastAsia"/>
                      </w:rPr>
                    </w:pPr>
                    <w:r>
                      <w:rPr>
                        <w:rFonts w:asciiTheme="minorEastAsia" w:eastAsiaTheme="minorEastAsia" w:hAnsiTheme="minorEastAsia" w:hint="eastAsia"/>
                      </w:rPr>
                      <w:t>贷款和融资租赁</w:t>
                    </w:r>
                  </w:p>
                </w:tc>
              </w:sdtContent>
            </w:sdt>
            <w:sdt>
              <w:sdtPr>
                <w:rPr>
                  <w:rFonts w:asciiTheme="minorEastAsia" w:hAnsiTheme="minorEastAsia"/>
                </w:rPr>
                <w:alias w:val="分部商品类型明细合同产生的收入"/>
                <w:tag w:val="_GBC_5d3d3176f1784cb08da754a9734f9bb2"/>
                <w:id w:val="-1711717267"/>
                <w:lock w:val="sdtLocked"/>
              </w:sdtPr>
              <w:sdtEndPr/>
              <w:sdtContent>
                <w:tc>
                  <w:tcPr>
                    <w:tcW w:w="1463" w:type="pct"/>
                    <w:tcBorders>
                      <w:top w:val="single" w:sz="4" w:space="0" w:color="auto"/>
                      <w:left w:val="single" w:sz="4" w:space="0" w:color="auto"/>
                      <w:bottom w:val="single" w:sz="4" w:space="0" w:color="auto"/>
                      <w:right w:val="single" w:sz="4" w:space="0" w:color="auto"/>
                    </w:tcBorders>
                    <w:shd w:val="clear" w:color="auto" w:fill="auto"/>
                  </w:tcPr>
                  <w:p w14:paraId="2450A148" w14:textId="77777777" w:rsidR="007E7472" w:rsidRDefault="00EC1269" w:rsidP="007E7472">
                    <w:pPr>
                      <w:jc w:val="right"/>
                      <w:rPr>
                        <w:rFonts w:asciiTheme="minorEastAsia" w:eastAsiaTheme="minorEastAsia" w:hAnsiTheme="minorEastAsia"/>
                      </w:rPr>
                    </w:pPr>
                    <w:r>
                      <w:rPr>
                        <w:rFonts w:asciiTheme="minorEastAsia" w:eastAsiaTheme="minorEastAsia" w:hAnsiTheme="minorEastAsia"/>
                      </w:rPr>
                      <w:t>445,531</w:t>
                    </w:r>
                  </w:p>
                </w:tc>
              </w:sdtContent>
            </w:sdt>
            <w:sdt>
              <w:sdtPr>
                <w:rPr>
                  <w:rFonts w:asciiTheme="minorEastAsia" w:hAnsiTheme="minorEastAsia"/>
                </w:rPr>
                <w:alias w:val="分部商品类型明细合同产生的收入"/>
                <w:tag w:val="_GBC_5d3d3176f1784cb08da754a9734f9bb2"/>
                <w:id w:val="1553655906"/>
                <w:lock w:val="sdtLocked"/>
              </w:sdtPr>
              <w:sdtEndPr/>
              <w:sdtContent>
                <w:tc>
                  <w:tcPr>
                    <w:tcW w:w="1388" w:type="pct"/>
                    <w:tcBorders>
                      <w:top w:val="single" w:sz="4" w:space="0" w:color="auto"/>
                      <w:left w:val="single" w:sz="4" w:space="0" w:color="auto"/>
                      <w:bottom w:val="single" w:sz="4" w:space="0" w:color="auto"/>
                      <w:right w:val="single" w:sz="4" w:space="0" w:color="auto"/>
                    </w:tcBorders>
                    <w:shd w:val="clear" w:color="auto" w:fill="auto"/>
                  </w:tcPr>
                  <w:p w14:paraId="444812E9" w14:textId="77777777" w:rsidR="007E7472" w:rsidRDefault="00EC1269" w:rsidP="007E7472">
                    <w:pPr>
                      <w:jc w:val="right"/>
                      <w:rPr>
                        <w:rFonts w:asciiTheme="minorEastAsia" w:eastAsiaTheme="minorEastAsia" w:hAnsiTheme="minorEastAsia"/>
                      </w:rPr>
                    </w:pPr>
                    <w:r>
                      <w:rPr>
                        <w:rFonts w:asciiTheme="minorEastAsia" w:hAnsiTheme="minorEastAsia"/>
                      </w:rPr>
                      <w:t>490,126</w:t>
                    </w:r>
                  </w:p>
                </w:tc>
              </w:sdtContent>
            </w:sdt>
          </w:tr>
          <w:tr w:rsidR="007E7472" w14:paraId="0D96A2AC" w14:textId="77777777" w:rsidTr="007E7472">
            <w:sdt>
              <w:sdtPr>
                <w:rPr>
                  <w:rFonts w:asciiTheme="minorEastAsia" w:hAnsiTheme="minorEastAsia" w:hint="eastAsia"/>
                </w:rPr>
                <w:alias w:val="分部商品类型明细名称"/>
                <w:tag w:val="_GBC_9b24d072ad6f4b69a94ec304db6192c3"/>
                <w:id w:val="1617331776"/>
                <w:lock w:val="sdtLocked"/>
              </w:sdtPr>
              <w:sdtEndPr/>
              <w:sdtContent>
                <w:tc>
                  <w:tcPr>
                    <w:tcW w:w="2149" w:type="pct"/>
                    <w:tcBorders>
                      <w:top w:val="single" w:sz="4" w:space="0" w:color="auto"/>
                      <w:left w:val="single" w:sz="4" w:space="0" w:color="auto"/>
                      <w:bottom w:val="single" w:sz="4" w:space="0" w:color="auto"/>
                      <w:right w:val="single" w:sz="4" w:space="0" w:color="auto"/>
                    </w:tcBorders>
                    <w:shd w:val="clear" w:color="auto" w:fill="auto"/>
                  </w:tcPr>
                  <w:p w14:paraId="505DF4A5" w14:textId="77777777" w:rsidR="007E7472" w:rsidRDefault="00EC1269" w:rsidP="007E7472">
                    <w:pPr>
                      <w:ind w:firstLineChars="488" w:firstLine="1025"/>
                      <w:rPr>
                        <w:rFonts w:asciiTheme="minorEastAsia" w:eastAsiaTheme="minorEastAsia" w:hAnsiTheme="minorEastAsia"/>
                      </w:rPr>
                    </w:pPr>
                    <w:r>
                      <w:rPr>
                        <w:rFonts w:asciiTheme="minorEastAsia" w:eastAsiaTheme="minorEastAsia" w:hAnsiTheme="minorEastAsia" w:hint="eastAsia"/>
                      </w:rPr>
                      <w:t>矿用设备制造</w:t>
                    </w:r>
                  </w:p>
                </w:tc>
              </w:sdtContent>
            </w:sdt>
            <w:sdt>
              <w:sdtPr>
                <w:rPr>
                  <w:rFonts w:asciiTheme="minorEastAsia" w:hAnsiTheme="minorEastAsia"/>
                </w:rPr>
                <w:alias w:val="分部商品类型明细合同产生的收入"/>
                <w:tag w:val="_GBC_5d3d3176f1784cb08da754a9734f9bb2"/>
                <w:id w:val="-1581822185"/>
                <w:lock w:val="sdtLocked"/>
              </w:sdtPr>
              <w:sdtEndPr/>
              <w:sdtContent>
                <w:tc>
                  <w:tcPr>
                    <w:tcW w:w="1463" w:type="pct"/>
                    <w:tcBorders>
                      <w:top w:val="single" w:sz="4" w:space="0" w:color="auto"/>
                      <w:left w:val="single" w:sz="4" w:space="0" w:color="auto"/>
                      <w:bottom w:val="single" w:sz="4" w:space="0" w:color="auto"/>
                      <w:right w:val="single" w:sz="4" w:space="0" w:color="auto"/>
                    </w:tcBorders>
                    <w:shd w:val="clear" w:color="auto" w:fill="auto"/>
                  </w:tcPr>
                  <w:p w14:paraId="3F7F3276" w14:textId="77777777" w:rsidR="007E7472" w:rsidRDefault="00EC1269" w:rsidP="007E7472">
                    <w:pPr>
                      <w:jc w:val="right"/>
                      <w:rPr>
                        <w:rFonts w:asciiTheme="minorEastAsia" w:eastAsiaTheme="minorEastAsia" w:hAnsiTheme="minorEastAsia"/>
                      </w:rPr>
                    </w:pPr>
                    <w:r>
                      <w:rPr>
                        <w:rFonts w:asciiTheme="minorEastAsia" w:eastAsiaTheme="minorEastAsia" w:hAnsiTheme="minorEastAsia"/>
                      </w:rPr>
                      <w:t>375,024</w:t>
                    </w:r>
                  </w:p>
                </w:tc>
              </w:sdtContent>
            </w:sdt>
            <w:sdt>
              <w:sdtPr>
                <w:rPr>
                  <w:rFonts w:asciiTheme="minorEastAsia" w:hAnsiTheme="minorEastAsia"/>
                </w:rPr>
                <w:alias w:val="分部商品类型明细合同产生的收入"/>
                <w:tag w:val="_GBC_5d3d3176f1784cb08da754a9734f9bb2"/>
                <w:id w:val="2073851066"/>
                <w:lock w:val="sdtLocked"/>
              </w:sdtPr>
              <w:sdtEndPr/>
              <w:sdtContent>
                <w:tc>
                  <w:tcPr>
                    <w:tcW w:w="1388" w:type="pct"/>
                    <w:tcBorders>
                      <w:top w:val="single" w:sz="4" w:space="0" w:color="auto"/>
                      <w:left w:val="single" w:sz="4" w:space="0" w:color="auto"/>
                      <w:bottom w:val="single" w:sz="4" w:space="0" w:color="auto"/>
                      <w:right w:val="single" w:sz="4" w:space="0" w:color="auto"/>
                    </w:tcBorders>
                    <w:shd w:val="clear" w:color="auto" w:fill="auto"/>
                  </w:tcPr>
                  <w:p w14:paraId="0DBFAE83" w14:textId="77777777" w:rsidR="007E7472" w:rsidRDefault="00EC1269" w:rsidP="007E7472">
                    <w:pPr>
                      <w:jc w:val="right"/>
                      <w:rPr>
                        <w:rFonts w:asciiTheme="minorEastAsia" w:eastAsiaTheme="minorEastAsia" w:hAnsiTheme="minorEastAsia"/>
                      </w:rPr>
                    </w:pPr>
                    <w:r>
                      <w:rPr>
                        <w:rFonts w:asciiTheme="minorEastAsia" w:hAnsiTheme="minorEastAsia"/>
                      </w:rPr>
                      <w:t>325,806</w:t>
                    </w:r>
                  </w:p>
                </w:tc>
              </w:sdtContent>
            </w:sdt>
          </w:tr>
          <w:tr w:rsidR="007E7472" w14:paraId="74B8AFE2" w14:textId="77777777" w:rsidTr="007E7472">
            <w:sdt>
              <w:sdtPr>
                <w:rPr>
                  <w:rFonts w:asciiTheme="minorEastAsia" w:hAnsiTheme="minorEastAsia" w:hint="eastAsia"/>
                </w:rPr>
                <w:alias w:val="分部商品类型明细名称"/>
                <w:tag w:val="_GBC_9b24d072ad6f4b69a94ec304db6192c3"/>
                <w:id w:val="1415359547"/>
                <w:lock w:val="sdtLocked"/>
              </w:sdtPr>
              <w:sdtEndPr/>
              <w:sdtContent>
                <w:tc>
                  <w:tcPr>
                    <w:tcW w:w="2149" w:type="pct"/>
                    <w:tcBorders>
                      <w:top w:val="single" w:sz="4" w:space="0" w:color="auto"/>
                      <w:left w:val="single" w:sz="4" w:space="0" w:color="auto"/>
                      <w:bottom w:val="single" w:sz="4" w:space="0" w:color="auto"/>
                      <w:right w:val="single" w:sz="4" w:space="0" w:color="auto"/>
                    </w:tcBorders>
                    <w:shd w:val="clear" w:color="auto" w:fill="auto"/>
                  </w:tcPr>
                  <w:p w14:paraId="66EB541C" w14:textId="77777777" w:rsidR="007E7472" w:rsidRDefault="00EC1269" w:rsidP="007E7472">
                    <w:pPr>
                      <w:ind w:firstLineChars="488" w:firstLine="1025"/>
                      <w:rPr>
                        <w:rFonts w:asciiTheme="minorEastAsia" w:eastAsiaTheme="minorEastAsia" w:hAnsiTheme="minorEastAsia"/>
                      </w:rPr>
                    </w:pPr>
                    <w:r>
                      <w:rPr>
                        <w:rFonts w:asciiTheme="minorEastAsia" w:eastAsiaTheme="minorEastAsia" w:hAnsiTheme="minorEastAsia" w:hint="eastAsia"/>
                      </w:rPr>
                      <w:t>铁运业务</w:t>
                    </w:r>
                  </w:p>
                </w:tc>
              </w:sdtContent>
            </w:sdt>
            <w:sdt>
              <w:sdtPr>
                <w:rPr>
                  <w:rFonts w:asciiTheme="minorEastAsia" w:hAnsiTheme="minorEastAsia"/>
                </w:rPr>
                <w:alias w:val="分部商品类型明细合同产生的收入"/>
                <w:tag w:val="_GBC_5d3d3176f1784cb08da754a9734f9bb2"/>
                <w:id w:val="-1251187257"/>
                <w:lock w:val="sdtLocked"/>
              </w:sdtPr>
              <w:sdtEndPr/>
              <w:sdtContent>
                <w:tc>
                  <w:tcPr>
                    <w:tcW w:w="1463" w:type="pct"/>
                    <w:tcBorders>
                      <w:top w:val="single" w:sz="4" w:space="0" w:color="auto"/>
                      <w:left w:val="single" w:sz="4" w:space="0" w:color="auto"/>
                      <w:bottom w:val="single" w:sz="4" w:space="0" w:color="auto"/>
                      <w:right w:val="single" w:sz="4" w:space="0" w:color="auto"/>
                    </w:tcBorders>
                    <w:shd w:val="clear" w:color="auto" w:fill="auto"/>
                  </w:tcPr>
                  <w:p w14:paraId="6D0695C7" w14:textId="77777777" w:rsidR="007E7472" w:rsidRDefault="00EC1269" w:rsidP="007E7472">
                    <w:pPr>
                      <w:jc w:val="right"/>
                      <w:rPr>
                        <w:rFonts w:asciiTheme="minorEastAsia" w:eastAsiaTheme="minorEastAsia" w:hAnsiTheme="minorEastAsia"/>
                      </w:rPr>
                    </w:pPr>
                    <w:r>
                      <w:rPr>
                        <w:rFonts w:asciiTheme="minorEastAsia" w:eastAsiaTheme="minorEastAsia" w:hAnsiTheme="minorEastAsia"/>
                      </w:rPr>
                      <w:t>231,484</w:t>
                    </w:r>
                  </w:p>
                </w:tc>
              </w:sdtContent>
            </w:sdt>
            <w:sdt>
              <w:sdtPr>
                <w:rPr>
                  <w:rFonts w:asciiTheme="minorEastAsia" w:hAnsiTheme="minorEastAsia"/>
                </w:rPr>
                <w:alias w:val="分部商品类型明细合同产生的收入"/>
                <w:tag w:val="_GBC_5d3d3176f1784cb08da754a9734f9bb2"/>
                <w:id w:val="-499816526"/>
                <w:lock w:val="sdtLocked"/>
              </w:sdtPr>
              <w:sdtEndPr/>
              <w:sdtContent>
                <w:tc>
                  <w:tcPr>
                    <w:tcW w:w="1388" w:type="pct"/>
                    <w:tcBorders>
                      <w:top w:val="single" w:sz="4" w:space="0" w:color="auto"/>
                      <w:left w:val="single" w:sz="4" w:space="0" w:color="auto"/>
                      <w:bottom w:val="single" w:sz="4" w:space="0" w:color="auto"/>
                      <w:right w:val="single" w:sz="4" w:space="0" w:color="auto"/>
                    </w:tcBorders>
                    <w:shd w:val="clear" w:color="auto" w:fill="auto"/>
                  </w:tcPr>
                  <w:p w14:paraId="30ACEACE" w14:textId="77777777" w:rsidR="007E7472" w:rsidRDefault="00EC1269" w:rsidP="007E7472">
                    <w:pPr>
                      <w:jc w:val="right"/>
                      <w:rPr>
                        <w:rFonts w:asciiTheme="minorEastAsia" w:eastAsiaTheme="minorEastAsia" w:hAnsiTheme="minorEastAsia"/>
                      </w:rPr>
                    </w:pPr>
                    <w:r>
                      <w:rPr>
                        <w:rFonts w:asciiTheme="minorEastAsia" w:hAnsiTheme="minorEastAsia"/>
                      </w:rPr>
                      <w:t>189,189</w:t>
                    </w:r>
                  </w:p>
                </w:tc>
              </w:sdtContent>
            </w:sdt>
          </w:tr>
          <w:tr w:rsidR="007E7472" w14:paraId="4476DF87" w14:textId="77777777" w:rsidTr="007E7472">
            <w:sdt>
              <w:sdtPr>
                <w:rPr>
                  <w:rFonts w:asciiTheme="minorEastAsia" w:hAnsiTheme="minorEastAsia" w:hint="eastAsia"/>
                </w:rPr>
                <w:alias w:val="分部商品类型明细名称"/>
                <w:tag w:val="_GBC_9b24d072ad6f4b69a94ec304db6192c3"/>
                <w:id w:val="1981496664"/>
                <w:lock w:val="sdtLocked"/>
              </w:sdtPr>
              <w:sdtEndPr/>
              <w:sdtContent>
                <w:tc>
                  <w:tcPr>
                    <w:tcW w:w="2149" w:type="pct"/>
                    <w:tcBorders>
                      <w:top w:val="single" w:sz="4" w:space="0" w:color="auto"/>
                      <w:left w:val="single" w:sz="4" w:space="0" w:color="auto"/>
                      <w:bottom w:val="single" w:sz="4" w:space="0" w:color="auto"/>
                      <w:right w:val="single" w:sz="4" w:space="0" w:color="auto"/>
                    </w:tcBorders>
                    <w:shd w:val="clear" w:color="auto" w:fill="auto"/>
                  </w:tcPr>
                  <w:p w14:paraId="6C406324" w14:textId="77777777" w:rsidR="007E7472" w:rsidRDefault="00EC1269" w:rsidP="007E7472">
                    <w:pPr>
                      <w:ind w:firstLineChars="475" w:firstLine="998"/>
                      <w:rPr>
                        <w:rFonts w:asciiTheme="minorEastAsia" w:eastAsiaTheme="minorEastAsia" w:hAnsiTheme="minorEastAsia"/>
                      </w:rPr>
                    </w:pPr>
                    <w:r>
                      <w:rPr>
                        <w:rFonts w:asciiTheme="minorEastAsia" w:eastAsiaTheme="minorEastAsia" w:hAnsiTheme="minorEastAsia" w:hint="eastAsia"/>
                      </w:rPr>
                      <w:t>未分配项目</w:t>
                    </w:r>
                  </w:p>
                </w:tc>
              </w:sdtContent>
            </w:sdt>
            <w:sdt>
              <w:sdtPr>
                <w:rPr>
                  <w:rFonts w:asciiTheme="minorEastAsia" w:hAnsiTheme="minorEastAsia"/>
                </w:rPr>
                <w:alias w:val="分部商品类型明细合同产生的收入"/>
                <w:tag w:val="_GBC_5d3d3176f1784cb08da754a9734f9bb2"/>
                <w:id w:val="-1542120433"/>
                <w:lock w:val="sdtLocked"/>
              </w:sdtPr>
              <w:sdtEndPr/>
              <w:sdtContent>
                <w:tc>
                  <w:tcPr>
                    <w:tcW w:w="1463" w:type="pct"/>
                    <w:tcBorders>
                      <w:top w:val="single" w:sz="4" w:space="0" w:color="auto"/>
                      <w:left w:val="single" w:sz="4" w:space="0" w:color="auto"/>
                      <w:bottom w:val="single" w:sz="4" w:space="0" w:color="auto"/>
                      <w:right w:val="single" w:sz="4" w:space="0" w:color="auto"/>
                    </w:tcBorders>
                    <w:shd w:val="clear" w:color="auto" w:fill="auto"/>
                  </w:tcPr>
                  <w:p w14:paraId="7D284799" w14:textId="77777777" w:rsidR="007E7472" w:rsidRDefault="00EC1269" w:rsidP="007E7472">
                    <w:pPr>
                      <w:jc w:val="right"/>
                      <w:rPr>
                        <w:rFonts w:asciiTheme="minorEastAsia" w:eastAsiaTheme="minorEastAsia" w:hAnsiTheme="minorEastAsia"/>
                      </w:rPr>
                    </w:pPr>
                    <w:r>
                      <w:rPr>
                        <w:rFonts w:asciiTheme="minorEastAsia" w:eastAsiaTheme="minorEastAsia" w:hAnsiTheme="minorEastAsia"/>
                      </w:rPr>
                      <w:t>2,222,781</w:t>
                    </w:r>
                  </w:p>
                </w:tc>
              </w:sdtContent>
            </w:sdt>
            <w:sdt>
              <w:sdtPr>
                <w:rPr>
                  <w:rFonts w:asciiTheme="minorEastAsia" w:hAnsiTheme="minorEastAsia"/>
                </w:rPr>
                <w:alias w:val="分部商品类型明细合同产生的收入"/>
                <w:tag w:val="_GBC_5d3d3176f1784cb08da754a9734f9bb2"/>
                <w:id w:val="-1196845840"/>
                <w:lock w:val="sdtLocked"/>
              </w:sdtPr>
              <w:sdtEndPr/>
              <w:sdtContent>
                <w:tc>
                  <w:tcPr>
                    <w:tcW w:w="1388" w:type="pct"/>
                    <w:tcBorders>
                      <w:top w:val="single" w:sz="4" w:space="0" w:color="auto"/>
                      <w:left w:val="single" w:sz="4" w:space="0" w:color="auto"/>
                      <w:bottom w:val="single" w:sz="4" w:space="0" w:color="auto"/>
                      <w:right w:val="single" w:sz="4" w:space="0" w:color="auto"/>
                    </w:tcBorders>
                    <w:shd w:val="clear" w:color="auto" w:fill="auto"/>
                  </w:tcPr>
                  <w:p w14:paraId="0D4FAB9A" w14:textId="77777777" w:rsidR="007E7472" w:rsidRDefault="00EC1269" w:rsidP="007E7472">
                    <w:pPr>
                      <w:jc w:val="right"/>
                      <w:rPr>
                        <w:rFonts w:asciiTheme="minorEastAsia" w:eastAsiaTheme="minorEastAsia" w:hAnsiTheme="minorEastAsia"/>
                      </w:rPr>
                    </w:pPr>
                    <w:r>
                      <w:rPr>
                        <w:rFonts w:asciiTheme="minorEastAsia" w:hAnsiTheme="minorEastAsia"/>
                      </w:rPr>
                      <w:t>2,336,678</w:t>
                    </w:r>
                  </w:p>
                </w:tc>
              </w:sdtContent>
            </w:sdt>
          </w:tr>
          <w:tr w:rsidR="007E7472" w14:paraId="1DCE7AED" w14:textId="77777777" w:rsidTr="007E7472">
            <w:tc>
              <w:tcPr>
                <w:tcW w:w="2149" w:type="pct"/>
                <w:tcBorders>
                  <w:top w:val="single" w:sz="4" w:space="0" w:color="auto"/>
                  <w:left w:val="single" w:sz="4" w:space="0" w:color="auto"/>
                  <w:bottom w:val="single" w:sz="4" w:space="0" w:color="auto"/>
                  <w:right w:val="single" w:sz="4" w:space="0" w:color="auto"/>
                </w:tcBorders>
                <w:shd w:val="clear" w:color="auto" w:fill="auto"/>
              </w:tcPr>
              <w:sdt>
                <w:sdtPr>
                  <w:rPr>
                    <w:rFonts w:asciiTheme="minorEastAsia" w:eastAsiaTheme="minorEastAsia" w:hAnsiTheme="minorEastAsia" w:hint="eastAsia"/>
                  </w:rPr>
                  <w:tag w:val="_PLD_0753f1e3ffaa40ba888fec6a046a67fa"/>
                  <w:id w:val="347222111"/>
                  <w:lock w:val="sdtLocked"/>
                </w:sdtPr>
                <w:sdtEndPr/>
                <w:sdtContent>
                  <w:p w14:paraId="1F6A1ACE" w14:textId="77777777" w:rsidR="007E7472" w:rsidRDefault="00EC1269" w:rsidP="007E7472">
                    <w:pPr>
                      <w:rPr>
                        <w:rFonts w:asciiTheme="minorEastAsia" w:eastAsiaTheme="minorEastAsia" w:hAnsiTheme="minorEastAsia"/>
                      </w:rPr>
                    </w:pPr>
                    <w:r>
                      <w:rPr>
                        <w:rFonts w:asciiTheme="minorEastAsia" w:eastAsiaTheme="minorEastAsia" w:hAnsiTheme="minorEastAsia" w:hint="eastAsia"/>
                      </w:rPr>
                      <w:t>按经营地区分类</w:t>
                    </w:r>
                  </w:p>
                </w:sdtContent>
              </w:sdt>
            </w:tc>
            <w:sdt>
              <w:sdtPr>
                <w:rPr>
                  <w:rFonts w:asciiTheme="minorEastAsia" w:hAnsiTheme="minorEastAsia"/>
                </w:rPr>
                <w:alias w:val="分部按经营地区分类合同产生的收入"/>
                <w:tag w:val="_GBC_92d84352ddd14bdf9016c5678cbbdb22"/>
                <w:id w:val="68163952"/>
                <w:lock w:val="sdtLocked"/>
                <w:showingPlcHdr/>
              </w:sdtPr>
              <w:sdtEndPr/>
              <w:sdtContent>
                <w:tc>
                  <w:tcPr>
                    <w:tcW w:w="1463" w:type="pct"/>
                    <w:tcBorders>
                      <w:top w:val="single" w:sz="4" w:space="0" w:color="auto"/>
                      <w:left w:val="single" w:sz="4" w:space="0" w:color="auto"/>
                      <w:bottom w:val="single" w:sz="4" w:space="0" w:color="auto"/>
                      <w:right w:val="single" w:sz="4" w:space="0" w:color="auto"/>
                    </w:tcBorders>
                    <w:shd w:val="clear" w:color="auto" w:fill="auto"/>
                  </w:tcPr>
                  <w:p w14:paraId="449325BB" w14:textId="77777777" w:rsidR="007E7472" w:rsidRDefault="00EC1269" w:rsidP="007E7472">
                    <w:pPr>
                      <w:jc w:val="right"/>
                      <w:rPr>
                        <w:rFonts w:asciiTheme="minorEastAsia" w:eastAsiaTheme="minorEastAsia" w:hAnsiTheme="minorEastAsia"/>
                      </w:rPr>
                    </w:pPr>
                    <w:r>
                      <w:rPr>
                        <w:rFonts w:asciiTheme="minorEastAsia" w:eastAsiaTheme="minorEastAsia" w:hAnsiTheme="minorEastAsia"/>
                      </w:rPr>
                      <w:t xml:space="preserve">     </w:t>
                    </w:r>
                  </w:p>
                </w:tc>
              </w:sdtContent>
            </w:sdt>
            <w:sdt>
              <w:sdtPr>
                <w:rPr>
                  <w:rFonts w:asciiTheme="minorEastAsia" w:hAnsiTheme="minorEastAsia"/>
                </w:rPr>
                <w:alias w:val="分部按经营地区分类合同产生的收入"/>
                <w:tag w:val="_GBC_92d84352ddd14bdf9016c5678cbbdb22"/>
                <w:id w:val="1039478066"/>
                <w:lock w:val="sdtLocked"/>
                <w:showingPlcHdr/>
              </w:sdtPr>
              <w:sdtEndPr/>
              <w:sdtContent>
                <w:tc>
                  <w:tcPr>
                    <w:tcW w:w="1388" w:type="pct"/>
                    <w:tcBorders>
                      <w:top w:val="single" w:sz="4" w:space="0" w:color="auto"/>
                      <w:left w:val="single" w:sz="4" w:space="0" w:color="auto"/>
                      <w:bottom w:val="single" w:sz="4" w:space="0" w:color="auto"/>
                      <w:right w:val="single" w:sz="4" w:space="0" w:color="auto"/>
                    </w:tcBorders>
                    <w:shd w:val="clear" w:color="auto" w:fill="auto"/>
                  </w:tcPr>
                  <w:p w14:paraId="5C1B490E" w14:textId="77777777" w:rsidR="007E7472" w:rsidRDefault="00C8327E" w:rsidP="007E7472">
                    <w:pPr>
                      <w:jc w:val="right"/>
                      <w:rPr>
                        <w:rFonts w:asciiTheme="minorEastAsia" w:eastAsiaTheme="minorEastAsia" w:hAnsiTheme="minorEastAsia"/>
                      </w:rPr>
                    </w:pPr>
                  </w:p>
                </w:tc>
              </w:sdtContent>
            </w:sdt>
          </w:tr>
          <w:tr w:rsidR="007E7472" w14:paraId="3D6638F3" w14:textId="77777777" w:rsidTr="007E7472">
            <w:sdt>
              <w:sdtPr>
                <w:rPr>
                  <w:rFonts w:asciiTheme="minorEastAsia" w:hAnsiTheme="minorEastAsia" w:hint="eastAsia"/>
                </w:rPr>
                <w:alias w:val="分部按经营地区分类明细名称"/>
                <w:tag w:val="_GBC_2164a57364264b61b1897be5a1ac0855"/>
                <w:id w:val="703371725"/>
                <w:lock w:val="sdtLocked"/>
              </w:sdtPr>
              <w:sdtEndPr/>
              <w:sdtContent>
                <w:tc>
                  <w:tcPr>
                    <w:tcW w:w="2149" w:type="pct"/>
                    <w:tcBorders>
                      <w:top w:val="single" w:sz="4" w:space="0" w:color="auto"/>
                      <w:left w:val="single" w:sz="4" w:space="0" w:color="auto"/>
                      <w:bottom w:val="single" w:sz="4" w:space="0" w:color="auto"/>
                      <w:right w:val="single" w:sz="4" w:space="0" w:color="auto"/>
                    </w:tcBorders>
                    <w:shd w:val="clear" w:color="auto" w:fill="auto"/>
                  </w:tcPr>
                  <w:p w14:paraId="154E8B99" w14:textId="77777777" w:rsidR="007E7472" w:rsidRDefault="00EC1269" w:rsidP="007E7472">
                    <w:pPr>
                      <w:ind w:firstLineChars="175" w:firstLine="368"/>
                      <w:rPr>
                        <w:rFonts w:asciiTheme="minorEastAsia" w:eastAsiaTheme="minorEastAsia" w:hAnsiTheme="minorEastAsia"/>
                      </w:rPr>
                    </w:pPr>
                    <w:r>
                      <w:rPr>
                        <w:rFonts w:asciiTheme="minorEastAsia" w:eastAsiaTheme="minorEastAsia" w:hAnsiTheme="minorEastAsia" w:hint="eastAsia"/>
                      </w:rPr>
                      <w:t>其中：中国</w:t>
                    </w:r>
                  </w:p>
                </w:tc>
              </w:sdtContent>
            </w:sdt>
            <w:sdt>
              <w:sdtPr>
                <w:rPr>
                  <w:rFonts w:asciiTheme="minorEastAsia" w:hAnsiTheme="minorEastAsia"/>
                </w:rPr>
                <w:alias w:val="分部按经营地区分类明细合同产生的收入"/>
                <w:tag w:val="_GBC_541813ff577a4b7299e84962610e8d5e"/>
                <w:id w:val="-1465887398"/>
                <w:lock w:val="sdtLocked"/>
              </w:sdtPr>
              <w:sdtEndPr/>
              <w:sdtContent>
                <w:tc>
                  <w:tcPr>
                    <w:tcW w:w="1463" w:type="pct"/>
                    <w:tcBorders>
                      <w:top w:val="single" w:sz="4" w:space="0" w:color="auto"/>
                      <w:left w:val="single" w:sz="4" w:space="0" w:color="auto"/>
                      <w:bottom w:val="single" w:sz="4" w:space="0" w:color="auto"/>
                      <w:right w:val="single" w:sz="4" w:space="0" w:color="auto"/>
                    </w:tcBorders>
                    <w:shd w:val="clear" w:color="auto" w:fill="auto"/>
                  </w:tcPr>
                  <w:p w14:paraId="014E3A96" w14:textId="77777777" w:rsidR="007E7472" w:rsidRDefault="00EC1269" w:rsidP="007E7472">
                    <w:pPr>
                      <w:jc w:val="right"/>
                      <w:rPr>
                        <w:rFonts w:asciiTheme="minorEastAsia" w:eastAsiaTheme="minorEastAsia" w:hAnsiTheme="minorEastAsia"/>
                      </w:rPr>
                    </w:pPr>
                    <w:r>
                      <w:rPr>
                        <w:rFonts w:asciiTheme="minorEastAsia" w:eastAsiaTheme="minorEastAsia" w:hAnsiTheme="minorEastAsia"/>
                      </w:rPr>
                      <w:t>63,164,055</w:t>
                    </w:r>
                  </w:p>
                </w:tc>
              </w:sdtContent>
            </w:sdt>
            <w:sdt>
              <w:sdtPr>
                <w:rPr>
                  <w:rFonts w:asciiTheme="minorEastAsia" w:hAnsiTheme="minorEastAsia"/>
                </w:rPr>
                <w:alias w:val="分部按经营地区分类明细合同产生的收入"/>
                <w:tag w:val="_GBC_541813ff577a4b7299e84962610e8d5e"/>
                <w:id w:val="-1509663676"/>
                <w:lock w:val="sdtLocked"/>
              </w:sdtPr>
              <w:sdtEndPr/>
              <w:sdtContent>
                <w:tc>
                  <w:tcPr>
                    <w:tcW w:w="1388" w:type="pct"/>
                    <w:tcBorders>
                      <w:top w:val="single" w:sz="4" w:space="0" w:color="auto"/>
                      <w:left w:val="single" w:sz="4" w:space="0" w:color="auto"/>
                      <w:bottom w:val="single" w:sz="4" w:space="0" w:color="auto"/>
                      <w:right w:val="single" w:sz="4" w:space="0" w:color="auto"/>
                    </w:tcBorders>
                    <w:shd w:val="clear" w:color="auto" w:fill="auto"/>
                  </w:tcPr>
                  <w:p w14:paraId="312A4357" w14:textId="77777777" w:rsidR="007E7472" w:rsidRDefault="00EC1269" w:rsidP="007E7472">
                    <w:pPr>
                      <w:jc w:val="right"/>
                      <w:rPr>
                        <w:rFonts w:asciiTheme="minorEastAsia" w:eastAsiaTheme="minorEastAsia" w:hAnsiTheme="minorEastAsia"/>
                      </w:rPr>
                    </w:pPr>
                    <w:r>
                      <w:rPr>
                        <w:rFonts w:asciiTheme="minorEastAsia" w:hAnsiTheme="minorEastAsia"/>
                      </w:rPr>
                      <w:t>75,507,251</w:t>
                    </w:r>
                  </w:p>
                </w:tc>
              </w:sdtContent>
            </w:sdt>
          </w:tr>
          <w:tr w:rsidR="007E7472" w14:paraId="181BF292" w14:textId="77777777" w:rsidTr="007E7472">
            <w:sdt>
              <w:sdtPr>
                <w:rPr>
                  <w:rFonts w:asciiTheme="minorEastAsia" w:hAnsiTheme="minorEastAsia" w:hint="eastAsia"/>
                </w:rPr>
                <w:alias w:val="分部按经营地区分类明细名称"/>
                <w:tag w:val="_GBC_2164a57364264b61b1897be5a1ac0855"/>
                <w:id w:val="-203482048"/>
                <w:lock w:val="sdtLocked"/>
              </w:sdtPr>
              <w:sdtEndPr/>
              <w:sdtContent>
                <w:tc>
                  <w:tcPr>
                    <w:tcW w:w="2149" w:type="pct"/>
                    <w:tcBorders>
                      <w:top w:val="single" w:sz="4" w:space="0" w:color="auto"/>
                      <w:left w:val="single" w:sz="4" w:space="0" w:color="auto"/>
                      <w:bottom w:val="single" w:sz="4" w:space="0" w:color="auto"/>
                      <w:right w:val="single" w:sz="4" w:space="0" w:color="auto"/>
                    </w:tcBorders>
                    <w:shd w:val="clear" w:color="auto" w:fill="auto"/>
                  </w:tcPr>
                  <w:p w14:paraId="15A3872D" w14:textId="77777777" w:rsidR="007E7472" w:rsidRDefault="00EC1269" w:rsidP="007E7472">
                    <w:pPr>
                      <w:ind w:firstLineChars="475" w:firstLine="998"/>
                      <w:rPr>
                        <w:rFonts w:asciiTheme="minorEastAsia" w:eastAsiaTheme="minorEastAsia" w:hAnsiTheme="minorEastAsia"/>
                      </w:rPr>
                    </w:pPr>
                    <w:r>
                      <w:rPr>
                        <w:rFonts w:asciiTheme="minorEastAsia" w:eastAsiaTheme="minorEastAsia" w:hAnsiTheme="minorEastAsia" w:hint="eastAsia"/>
                      </w:rPr>
                      <w:t>澳洲</w:t>
                    </w:r>
                  </w:p>
                </w:tc>
              </w:sdtContent>
            </w:sdt>
            <w:sdt>
              <w:sdtPr>
                <w:rPr>
                  <w:rFonts w:asciiTheme="minorEastAsia" w:hAnsiTheme="minorEastAsia"/>
                </w:rPr>
                <w:alias w:val="分部按经营地区分类明细合同产生的收入"/>
                <w:tag w:val="_GBC_541813ff577a4b7299e84962610e8d5e"/>
                <w:id w:val="100689396"/>
                <w:lock w:val="sdtLocked"/>
              </w:sdtPr>
              <w:sdtEndPr/>
              <w:sdtContent>
                <w:tc>
                  <w:tcPr>
                    <w:tcW w:w="1463" w:type="pct"/>
                    <w:tcBorders>
                      <w:top w:val="single" w:sz="4" w:space="0" w:color="auto"/>
                      <w:left w:val="single" w:sz="4" w:space="0" w:color="auto"/>
                      <w:bottom w:val="single" w:sz="4" w:space="0" w:color="auto"/>
                      <w:right w:val="single" w:sz="4" w:space="0" w:color="auto"/>
                    </w:tcBorders>
                    <w:shd w:val="clear" w:color="auto" w:fill="auto"/>
                  </w:tcPr>
                  <w:p w14:paraId="3D8590AE" w14:textId="77777777" w:rsidR="007E7472" w:rsidRDefault="00EC1269" w:rsidP="007E7472">
                    <w:pPr>
                      <w:jc w:val="right"/>
                      <w:rPr>
                        <w:rFonts w:asciiTheme="minorEastAsia" w:eastAsiaTheme="minorEastAsia" w:hAnsiTheme="minorEastAsia"/>
                      </w:rPr>
                    </w:pPr>
                    <w:r>
                      <w:rPr>
                        <w:rFonts w:asciiTheme="minorEastAsia" w:eastAsiaTheme="minorEastAsia" w:hAnsiTheme="minorEastAsia"/>
                      </w:rPr>
                      <w:t>21,237,287</w:t>
                    </w:r>
                  </w:p>
                </w:tc>
              </w:sdtContent>
            </w:sdt>
            <w:sdt>
              <w:sdtPr>
                <w:rPr>
                  <w:rFonts w:asciiTheme="minorEastAsia" w:hAnsiTheme="minorEastAsia"/>
                </w:rPr>
                <w:alias w:val="分部按经营地区分类明细合同产生的收入"/>
                <w:tag w:val="_GBC_541813ff577a4b7299e84962610e8d5e"/>
                <w:id w:val="-1404676730"/>
                <w:lock w:val="sdtLocked"/>
              </w:sdtPr>
              <w:sdtEndPr/>
              <w:sdtContent>
                <w:tc>
                  <w:tcPr>
                    <w:tcW w:w="1388" w:type="pct"/>
                    <w:tcBorders>
                      <w:top w:val="single" w:sz="4" w:space="0" w:color="auto"/>
                      <w:left w:val="single" w:sz="4" w:space="0" w:color="auto"/>
                      <w:bottom w:val="single" w:sz="4" w:space="0" w:color="auto"/>
                      <w:right w:val="single" w:sz="4" w:space="0" w:color="auto"/>
                    </w:tcBorders>
                    <w:shd w:val="clear" w:color="auto" w:fill="auto"/>
                  </w:tcPr>
                  <w:p w14:paraId="480C3A0D" w14:textId="77777777" w:rsidR="007E7472" w:rsidRDefault="00EC1269" w:rsidP="007E7472">
                    <w:pPr>
                      <w:jc w:val="right"/>
                      <w:rPr>
                        <w:rFonts w:asciiTheme="minorEastAsia" w:eastAsiaTheme="minorEastAsia" w:hAnsiTheme="minorEastAsia"/>
                      </w:rPr>
                    </w:pPr>
                    <w:r>
                      <w:rPr>
                        <w:rFonts w:asciiTheme="minorEastAsia" w:hAnsiTheme="minorEastAsia"/>
                      </w:rPr>
                      <w:t>24,777,947</w:t>
                    </w:r>
                  </w:p>
                </w:tc>
              </w:sdtContent>
            </w:sdt>
          </w:tr>
          <w:tr w:rsidR="007E7472" w:rsidRPr="00622569" w14:paraId="0961A8CA" w14:textId="77777777" w:rsidTr="007E7472">
            <w:tc>
              <w:tcPr>
                <w:tcW w:w="2149" w:type="pct"/>
                <w:tcBorders>
                  <w:top w:val="single" w:sz="4" w:space="0" w:color="auto"/>
                  <w:left w:val="single" w:sz="4" w:space="0" w:color="auto"/>
                  <w:bottom w:val="single" w:sz="4" w:space="0" w:color="auto"/>
                  <w:right w:val="single" w:sz="4" w:space="0" w:color="auto"/>
                </w:tcBorders>
                <w:shd w:val="clear" w:color="auto" w:fill="auto"/>
              </w:tcPr>
              <w:sdt>
                <w:sdtPr>
                  <w:rPr>
                    <w:rFonts w:asciiTheme="minorEastAsia" w:hAnsiTheme="minorEastAsia" w:hint="eastAsia"/>
                  </w:rPr>
                  <w:tag w:val="_PLD_61453ad2ba3743f2bbbec0bd3c2e2bce"/>
                  <w:id w:val="1385286668"/>
                  <w:lock w:val="sdtLocked"/>
                </w:sdtPr>
                <w:sdtEndPr/>
                <w:sdtContent>
                  <w:p w14:paraId="03358975" w14:textId="77777777" w:rsidR="007E7472" w:rsidRDefault="00EC1269" w:rsidP="007E7472">
                    <w:pPr>
                      <w:jc w:val="center"/>
                      <w:rPr>
                        <w:rFonts w:asciiTheme="minorEastAsia" w:eastAsiaTheme="minorEastAsia" w:hAnsiTheme="minorEastAsia"/>
                      </w:rPr>
                    </w:pPr>
                    <w:r>
                      <w:rPr>
                        <w:rFonts w:asciiTheme="minorEastAsia" w:eastAsiaTheme="minorEastAsia" w:hAnsiTheme="minorEastAsia" w:hint="eastAsia"/>
                      </w:rPr>
                      <w:t>合计</w:t>
                    </w:r>
                  </w:p>
                </w:sdtContent>
              </w:sdt>
            </w:tc>
            <w:sdt>
              <w:sdtPr>
                <w:rPr>
                  <w:rFonts w:asciiTheme="minorEastAsia" w:hAnsiTheme="minorEastAsia"/>
                </w:rPr>
                <w:alias w:val="分部合同产生的收入"/>
                <w:tag w:val="_GBC_fdd22a21fd224e86b18a5661ccb86b4e"/>
                <w:id w:val="1342043254"/>
                <w:lock w:val="sdtLocked"/>
              </w:sdtPr>
              <w:sdtEndPr/>
              <w:sdtContent>
                <w:tc>
                  <w:tcPr>
                    <w:tcW w:w="1463" w:type="pct"/>
                    <w:tcBorders>
                      <w:top w:val="single" w:sz="4" w:space="0" w:color="auto"/>
                      <w:left w:val="single" w:sz="4" w:space="0" w:color="auto"/>
                      <w:bottom w:val="single" w:sz="4" w:space="0" w:color="auto"/>
                      <w:right w:val="single" w:sz="4" w:space="0" w:color="auto"/>
                    </w:tcBorders>
                    <w:shd w:val="clear" w:color="auto" w:fill="auto"/>
                  </w:tcPr>
                  <w:p w14:paraId="37E70CBF" w14:textId="77777777" w:rsidR="007E7472" w:rsidRDefault="00EC1269" w:rsidP="007E7472">
                    <w:pPr>
                      <w:jc w:val="right"/>
                      <w:rPr>
                        <w:rFonts w:asciiTheme="minorEastAsia" w:eastAsiaTheme="minorEastAsia" w:hAnsiTheme="minorEastAsia"/>
                      </w:rPr>
                    </w:pPr>
                    <w:r>
                      <w:rPr>
                        <w:rFonts w:asciiTheme="minorEastAsia" w:eastAsiaTheme="minorEastAsia" w:hAnsiTheme="minorEastAsia"/>
                      </w:rPr>
                      <w:t>84,401,342</w:t>
                    </w:r>
                  </w:p>
                </w:tc>
              </w:sdtContent>
            </w:sdt>
            <w:tc>
              <w:tcPr>
                <w:tcW w:w="1388" w:type="pct"/>
                <w:tcBorders>
                  <w:top w:val="single" w:sz="4" w:space="0" w:color="auto"/>
                  <w:left w:val="single" w:sz="4" w:space="0" w:color="auto"/>
                  <w:bottom w:val="single" w:sz="4" w:space="0" w:color="auto"/>
                  <w:right w:val="single" w:sz="4" w:space="0" w:color="auto"/>
                </w:tcBorders>
                <w:shd w:val="clear" w:color="auto" w:fill="auto"/>
              </w:tcPr>
              <w:p w14:paraId="35E0BA8E" w14:textId="77777777" w:rsidR="007E7472" w:rsidRDefault="00C8327E" w:rsidP="007E7472">
                <w:pPr>
                  <w:jc w:val="right"/>
                  <w:rPr>
                    <w:rFonts w:asciiTheme="minorEastAsia" w:eastAsiaTheme="minorEastAsia" w:hAnsiTheme="minorEastAsia"/>
                  </w:rPr>
                </w:pPr>
                <w:sdt>
                  <w:sdtPr>
                    <w:rPr>
                      <w:rFonts w:asciiTheme="minorEastAsia" w:hAnsiTheme="minorEastAsia"/>
                    </w:rPr>
                    <w:alias w:val="分部合同产生的收入"/>
                    <w:tag w:val="_GBC_fdd22a21fd224e86b18a5661ccb86b4e"/>
                    <w:id w:val="-982697041"/>
                    <w:lock w:val="sdtLocked"/>
                  </w:sdtPr>
                  <w:sdtEndPr/>
                  <w:sdtContent>
                    <w:r w:rsidR="00EC1269">
                      <w:rPr>
                        <w:rFonts w:asciiTheme="minorEastAsia" w:hAnsiTheme="minorEastAsia"/>
                      </w:rPr>
                      <w:t>100,285,198</w:t>
                    </w:r>
                  </w:sdtContent>
                </w:sdt>
              </w:p>
            </w:tc>
          </w:tr>
        </w:tbl>
        <w:p w14:paraId="06772DED" w14:textId="77777777" w:rsidR="007E7472" w:rsidRPr="00622569" w:rsidRDefault="00C8327E" w:rsidP="007E7472"/>
      </w:sdtContent>
    </w:sdt>
    <w:bookmarkEnd w:id="257" w:displacedByCustomXml="next"/>
    <w:bookmarkStart w:id="258" w:name="_Hlk10538083" w:displacedByCustomXml="next"/>
    <w:bookmarkStart w:id="259" w:name="_Hlk10538092" w:displacedByCustomXml="next"/>
    <w:sdt>
      <w:sdtPr>
        <w:rPr>
          <w:rFonts w:asciiTheme="minorEastAsia" w:eastAsiaTheme="minorEastAsia" w:hAnsiTheme="minorEastAsia" w:cs="宋体" w:hint="eastAsia"/>
          <w:b w:val="0"/>
          <w:bCs w:val="0"/>
          <w:kern w:val="0"/>
          <w:sz w:val="20"/>
          <w:szCs w:val="21"/>
        </w:rPr>
        <w:alias w:val="模块:履约义务的说明"/>
        <w:tag w:val="_SEC_c2d2612c37d449d6b1ff5194855fc52c"/>
        <w:id w:val="-1095863736"/>
        <w:lock w:val="sdtLocked"/>
        <w:placeholder>
          <w:docPart w:val="GBC22222222222222222222222222222"/>
        </w:placeholder>
      </w:sdtPr>
      <w:sdtEndPr>
        <w:rPr>
          <w:rFonts w:hint="default"/>
          <w:bCs/>
        </w:rPr>
      </w:sdtEndPr>
      <w:sdtContent>
        <w:p w14:paraId="6C60E731" w14:textId="77777777" w:rsidR="007E7472" w:rsidRDefault="00EC1269" w:rsidP="00162493">
          <w:pPr>
            <w:pStyle w:val="4"/>
            <w:numPr>
              <w:ilvl w:val="0"/>
              <w:numId w:val="94"/>
            </w:numPr>
            <w:rPr>
              <w:rFonts w:asciiTheme="minorEastAsia" w:eastAsiaTheme="minorEastAsia" w:hAnsiTheme="minorEastAsia"/>
            </w:rPr>
          </w:pPr>
          <w:r>
            <w:rPr>
              <w:rFonts w:asciiTheme="minorEastAsia" w:eastAsiaTheme="minorEastAsia" w:hAnsiTheme="minorEastAsia" w:hint="eastAsia"/>
            </w:rPr>
            <w:t>履约义务的说明</w:t>
          </w:r>
          <w:bookmarkEnd w:id="258"/>
        </w:p>
        <w:sdt>
          <w:sdtPr>
            <w:rPr>
              <w:rFonts w:asciiTheme="minorEastAsia" w:eastAsiaTheme="minorEastAsia" w:hAnsiTheme="minorEastAsia"/>
            </w:rPr>
            <w:alias w:val="是否适用：履约义务的说明[双击切换]"/>
            <w:tag w:val="_GBC_cb7f024e61b74dffae341dc41978348f"/>
            <w:id w:val="-1878159099"/>
            <w:lock w:val="sdtLocked"/>
            <w:placeholder>
              <w:docPart w:val="GBC22222222222222222222222222222"/>
            </w:placeholder>
          </w:sdtPr>
          <w:sdtEndPr/>
          <w:sdtContent>
            <w:p w14:paraId="5C9241BA" w14:textId="77777777" w:rsidR="007E7472" w:rsidRDefault="00EC1269">
              <w:pPr>
                <w:rPr>
                  <w:rFonts w:asciiTheme="minorEastAsia" w:eastAsiaTheme="minorEastAsia" w:hAnsiTheme="minorEastAsia"/>
                </w:rPr>
              </w:pP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71F07161" w14:textId="77777777" w:rsidR="007E7472" w:rsidRDefault="00C8327E">
          <w:pPr>
            <w:rPr>
              <w:rFonts w:asciiTheme="minorEastAsia" w:eastAsiaTheme="minorEastAsia" w:hAnsiTheme="minorEastAsia"/>
            </w:rPr>
          </w:pPr>
        </w:p>
      </w:sdtContent>
    </w:sdt>
    <w:bookmarkEnd w:id="259" w:displacedByCustomXml="next"/>
    <w:bookmarkStart w:id="260" w:name="_Hlk10538107" w:displacedByCustomXml="next"/>
    <w:bookmarkStart w:id="261" w:name="_Hlk10538117" w:displacedByCustomXml="next"/>
    <w:sdt>
      <w:sdtPr>
        <w:rPr>
          <w:rFonts w:asciiTheme="minorEastAsia" w:eastAsiaTheme="minorEastAsia" w:hAnsiTheme="minorEastAsia" w:cs="宋体" w:hint="eastAsia"/>
          <w:b w:val="0"/>
          <w:bCs w:val="0"/>
          <w:kern w:val="0"/>
          <w:sz w:val="20"/>
          <w:szCs w:val="21"/>
        </w:rPr>
        <w:alias w:val="模块:分摊至剩余履约义务的说明"/>
        <w:tag w:val="_SEC_52c497559d5c4501875a7b175ab4b1eb"/>
        <w:id w:val="-429894646"/>
        <w:lock w:val="sdtLocked"/>
        <w:placeholder>
          <w:docPart w:val="GBC22222222222222222222222222222"/>
        </w:placeholder>
      </w:sdtPr>
      <w:sdtEndPr>
        <w:rPr>
          <w:rFonts w:ascii="宋体" w:eastAsia="宋体" w:hAnsi="宋体" w:hint="default"/>
          <w:bCs/>
        </w:rPr>
      </w:sdtEndPr>
      <w:sdtContent>
        <w:p w14:paraId="303A9D43" w14:textId="77777777" w:rsidR="007E7472" w:rsidRDefault="00EC1269" w:rsidP="00162493">
          <w:pPr>
            <w:pStyle w:val="4"/>
            <w:numPr>
              <w:ilvl w:val="0"/>
              <w:numId w:val="94"/>
            </w:numPr>
            <w:rPr>
              <w:rFonts w:asciiTheme="minorEastAsia" w:eastAsiaTheme="minorEastAsia" w:hAnsiTheme="minorEastAsia"/>
            </w:rPr>
          </w:pPr>
          <w:r>
            <w:rPr>
              <w:rFonts w:asciiTheme="minorEastAsia" w:eastAsiaTheme="minorEastAsia" w:hAnsiTheme="minorEastAsia" w:hint="eastAsia"/>
            </w:rPr>
            <w:t>分摊至剩余履约义务的说明</w:t>
          </w:r>
          <w:bookmarkEnd w:id="260"/>
        </w:p>
        <w:sdt>
          <w:sdtPr>
            <w:rPr>
              <w:rFonts w:asciiTheme="minorEastAsia" w:eastAsiaTheme="minorEastAsia" w:hAnsiTheme="minorEastAsia"/>
            </w:rPr>
            <w:alias w:val="是否适用：分摊至剩余履约义务的说明[双击切换]"/>
            <w:tag w:val="_GBC_3e12eb65fc9e4c7b80815a7392be58f2"/>
            <w:id w:val="-1866288928"/>
            <w:lock w:val="sdtLocked"/>
            <w:placeholder>
              <w:docPart w:val="GBC22222222222222222222222222222"/>
            </w:placeholder>
          </w:sdtPr>
          <w:sdtEndPr/>
          <w:sdtContent>
            <w:p w14:paraId="53AFD31A" w14:textId="77777777" w:rsidR="007E7472" w:rsidRDefault="00EC1269">
              <w:pPr>
                <w:rPr>
                  <w:rFonts w:asciiTheme="minorEastAsia" w:eastAsiaTheme="minorEastAsia" w:hAnsiTheme="minorEastAsia"/>
                </w:rPr>
              </w:pP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p w14:paraId="1B427C64" w14:textId="77777777" w:rsidR="007E7472" w:rsidRDefault="00C8327E">
              <w:pPr>
                <w:rPr>
                  <w:rFonts w:asciiTheme="minorEastAsia" w:eastAsiaTheme="minorEastAsia" w:hAnsiTheme="minorEastAsia"/>
                </w:rPr>
              </w:pPr>
            </w:p>
          </w:sdtContent>
        </w:sdt>
      </w:sdtContent>
    </w:sdt>
    <w:bookmarkStart w:id="262" w:name="_Hlk26364697" w:displacedByCustomXml="next"/>
    <w:bookmarkEnd w:id="262" w:displacedByCustomXml="next"/>
    <w:bookmarkEnd w:id="261" w:displacedByCustomXml="next"/>
    <w:sdt>
      <w:sdtPr>
        <w:rPr>
          <w:rFonts w:ascii="宋体" w:hAnsi="宋体" w:cs="宋体" w:hint="eastAsia"/>
          <w:b w:val="0"/>
          <w:bCs w:val="0"/>
          <w:kern w:val="0"/>
          <w:sz w:val="20"/>
          <w:szCs w:val="21"/>
        </w:rPr>
        <w:alias w:val="模块:税金及附加"/>
        <w:tag w:val="_GBC_38185835049143dd873ff3e7d0941647"/>
        <w:id w:val="-1112211608"/>
        <w:lock w:val="sdtLocked"/>
        <w:placeholder>
          <w:docPart w:val="GBC22222222222222222222222222222"/>
        </w:placeholder>
      </w:sdtPr>
      <w:sdtEndPr>
        <w:rPr>
          <w:rFonts w:cstheme="minorBidi"/>
          <w:sz w:val="21"/>
        </w:rPr>
      </w:sdtEndPr>
      <w:sdtContent>
        <w:p w14:paraId="60AACA0A" w14:textId="77777777" w:rsidR="007E7472" w:rsidRDefault="00EC1269" w:rsidP="00162493">
          <w:pPr>
            <w:pStyle w:val="3"/>
            <w:numPr>
              <w:ilvl w:val="0"/>
              <w:numId w:val="62"/>
            </w:numPr>
          </w:pPr>
          <w:r>
            <w:rPr>
              <w:rFonts w:hint="eastAsia"/>
            </w:rPr>
            <w:t>税金及附加</w:t>
          </w:r>
        </w:p>
        <w:sdt>
          <w:sdtPr>
            <w:alias w:val="是否适用：税金及附加[双击切换]"/>
            <w:tag w:val="_GBC_e6e37ca7fd2a435e8e042586945bb4d2"/>
            <w:id w:val="1546872579"/>
            <w:lock w:val="sdtLocked"/>
            <w:placeholder>
              <w:docPart w:val="GBC22222222222222222222222222222"/>
            </w:placeholder>
          </w:sdtPr>
          <w:sdtEndPr/>
          <w:sdtContent>
            <w:p w14:paraId="1315C6F0"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457DAED8" w14:textId="1FB0E3F2" w:rsidR="007E7472" w:rsidRDefault="00EC1269">
          <w:pPr>
            <w:jc w:val="right"/>
            <w:rPr>
              <w:b/>
            </w:rPr>
          </w:pPr>
          <w:r>
            <w:rPr>
              <w:rFonts w:hint="eastAsia"/>
            </w:rPr>
            <w:t>单位：</w:t>
          </w:r>
          <w:sdt>
            <w:sdtPr>
              <w:rPr>
                <w:rFonts w:hint="eastAsia"/>
              </w:rPr>
              <w:alias w:val="单位：财务附注：税金及附加"/>
              <w:tag w:val="_GBC_bdd382ceb0b74413bcc8ce354afae4a8"/>
              <w:id w:val="118316586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税金及附加"/>
              <w:tag w:val="_GBC_ecf8b53c11ec4336b91007df3f6b5f78"/>
              <w:id w:val="-21428022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834"/>
            <w:gridCol w:w="2992"/>
            <w:gridCol w:w="2991"/>
          </w:tblGrid>
          <w:tr w:rsidR="007E7472" w14:paraId="6883682C" w14:textId="77777777" w:rsidTr="007E7472">
            <w:trPr>
              <w:trHeight w:val="284"/>
            </w:trPr>
            <w:sdt>
              <w:sdtPr>
                <w:tag w:val="_PLD_444bcf5500dc4f7f9041afd20c147408"/>
                <w:id w:val="808291661"/>
                <w:lock w:val="sdtLocked"/>
              </w:sdtPr>
              <w:sdtEndPr/>
              <w:sdtContent>
                <w:tc>
                  <w:tcPr>
                    <w:tcW w:w="1607" w:type="pct"/>
                    <w:tcBorders>
                      <w:top w:val="single" w:sz="6" w:space="0" w:color="auto"/>
                      <w:left w:val="single" w:sz="6" w:space="0" w:color="auto"/>
                      <w:bottom w:val="single" w:sz="6" w:space="0" w:color="auto"/>
                      <w:right w:val="single" w:sz="6" w:space="0" w:color="auto"/>
                    </w:tcBorders>
                    <w:vAlign w:val="center"/>
                  </w:tcPr>
                  <w:p w14:paraId="01A95D27" w14:textId="77777777" w:rsidR="007E7472" w:rsidRDefault="00EC1269">
                    <w:pPr>
                      <w:autoSpaceDE w:val="0"/>
                      <w:autoSpaceDN w:val="0"/>
                      <w:adjustRightInd w:val="0"/>
                      <w:snapToGrid w:val="0"/>
                      <w:spacing w:line="240" w:lineRule="atLeast"/>
                      <w:jc w:val="center"/>
                    </w:pPr>
                    <w:r>
                      <w:rPr>
                        <w:rFonts w:hint="eastAsia"/>
                      </w:rPr>
                      <w:t>项目</w:t>
                    </w:r>
                  </w:p>
                </w:tc>
              </w:sdtContent>
            </w:sdt>
            <w:sdt>
              <w:sdtPr>
                <w:tag w:val="_PLD_986496e04f5841889074687e953bf8a9"/>
                <w:id w:val="400942919"/>
                <w:lock w:val="sdtLocked"/>
              </w:sdtPr>
              <w:sdtEndPr/>
              <w:sdtContent>
                <w:tc>
                  <w:tcPr>
                    <w:tcW w:w="1697" w:type="pct"/>
                    <w:tcBorders>
                      <w:top w:val="single" w:sz="6" w:space="0" w:color="auto"/>
                      <w:left w:val="single" w:sz="6" w:space="0" w:color="auto"/>
                      <w:bottom w:val="single" w:sz="6" w:space="0" w:color="auto"/>
                      <w:right w:val="single" w:sz="6" w:space="0" w:color="auto"/>
                    </w:tcBorders>
                    <w:vAlign w:val="center"/>
                  </w:tcPr>
                  <w:p w14:paraId="59675BFC" w14:textId="77777777" w:rsidR="007E7472" w:rsidRDefault="00EC1269">
                    <w:pPr>
                      <w:jc w:val="center"/>
                    </w:pPr>
                    <w:r>
                      <w:rPr>
                        <w:rFonts w:hint="eastAsia"/>
                      </w:rPr>
                      <w:t>本期发生额</w:t>
                    </w:r>
                  </w:p>
                </w:tc>
              </w:sdtContent>
            </w:sdt>
            <w:sdt>
              <w:sdtPr>
                <w:tag w:val="_PLD_4ab1376344dc484195a5459c78069a64"/>
                <w:id w:val="230053130"/>
                <w:lock w:val="sdtLocked"/>
              </w:sdtPr>
              <w:sdtEndPr/>
              <w:sdtContent>
                <w:tc>
                  <w:tcPr>
                    <w:tcW w:w="1696" w:type="pct"/>
                    <w:tcBorders>
                      <w:top w:val="single" w:sz="6" w:space="0" w:color="auto"/>
                      <w:left w:val="single" w:sz="6" w:space="0" w:color="auto"/>
                      <w:bottom w:val="single" w:sz="6" w:space="0" w:color="auto"/>
                      <w:right w:val="single" w:sz="6" w:space="0" w:color="auto"/>
                    </w:tcBorders>
                    <w:vAlign w:val="center"/>
                  </w:tcPr>
                  <w:p w14:paraId="6D40C2F0" w14:textId="77777777" w:rsidR="007E7472" w:rsidRDefault="00EC1269">
                    <w:pPr>
                      <w:jc w:val="center"/>
                    </w:pPr>
                    <w:r>
                      <w:rPr>
                        <w:rFonts w:hint="eastAsia"/>
                      </w:rPr>
                      <w:t>上期发生额</w:t>
                    </w:r>
                  </w:p>
                </w:tc>
              </w:sdtContent>
            </w:sdt>
          </w:tr>
          <w:tr w:rsidR="007E7472" w14:paraId="657BA2F4" w14:textId="77777777" w:rsidTr="007E7472">
            <w:trPr>
              <w:trHeight w:val="284"/>
            </w:trPr>
            <w:tc>
              <w:tcPr>
                <w:tcW w:w="1607" w:type="pct"/>
                <w:tcBorders>
                  <w:top w:val="single" w:sz="6" w:space="0" w:color="auto"/>
                  <w:left w:val="single" w:sz="6" w:space="0" w:color="auto"/>
                  <w:bottom w:val="single" w:sz="6" w:space="0" w:color="auto"/>
                  <w:right w:val="single" w:sz="6" w:space="0" w:color="auto"/>
                </w:tcBorders>
                <w:vAlign w:val="center"/>
              </w:tcPr>
              <w:p w14:paraId="14404AE9" w14:textId="77777777" w:rsidR="007E7472" w:rsidRDefault="00EC1269">
                <w:pPr>
                  <w:autoSpaceDE w:val="0"/>
                  <w:autoSpaceDN w:val="0"/>
                  <w:adjustRightInd w:val="0"/>
                  <w:snapToGrid w:val="0"/>
                  <w:spacing w:line="240" w:lineRule="atLeast"/>
                </w:pPr>
                <w:r>
                  <w:rPr>
                    <w:rFonts w:hint="eastAsia"/>
                  </w:rPr>
                  <w:t>资源税</w:t>
                </w:r>
              </w:p>
            </w:tc>
            <w:tc>
              <w:tcPr>
                <w:tcW w:w="1697" w:type="pct"/>
                <w:tcBorders>
                  <w:top w:val="single" w:sz="6" w:space="0" w:color="auto"/>
                  <w:left w:val="single" w:sz="6" w:space="0" w:color="auto"/>
                  <w:bottom w:val="single" w:sz="6" w:space="0" w:color="auto"/>
                  <w:right w:val="single" w:sz="6" w:space="0" w:color="auto"/>
                </w:tcBorders>
                <w:vAlign w:val="center"/>
              </w:tcPr>
              <w:p w14:paraId="018687D8" w14:textId="77777777" w:rsidR="007E7472" w:rsidRDefault="00EC1269">
                <w:pPr>
                  <w:autoSpaceDE w:val="0"/>
                  <w:autoSpaceDN w:val="0"/>
                  <w:adjustRightInd w:val="0"/>
                  <w:snapToGrid w:val="0"/>
                  <w:spacing w:line="240" w:lineRule="atLeast"/>
                  <w:jc w:val="right"/>
                </w:pPr>
                <w:r>
                  <w:t>1,511,248</w:t>
                </w:r>
              </w:p>
            </w:tc>
            <w:tc>
              <w:tcPr>
                <w:tcW w:w="1696" w:type="pct"/>
                <w:tcBorders>
                  <w:top w:val="single" w:sz="6" w:space="0" w:color="auto"/>
                  <w:left w:val="single" w:sz="6" w:space="0" w:color="auto"/>
                  <w:bottom w:val="single" w:sz="6" w:space="0" w:color="auto"/>
                  <w:right w:val="single" w:sz="6" w:space="0" w:color="auto"/>
                </w:tcBorders>
                <w:vAlign w:val="center"/>
              </w:tcPr>
              <w:p w14:paraId="2116099D" w14:textId="77777777" w:rsidR="007E7472" w:rsidRDefault="00EC1269">
                <w:pPr>
                  <w:jc w:val="right"/>
                </w:pPr>
                <w:r>
                  <w:t>1,725,516</w:t>
                </w:r>
              </w:p>
            </w:tc>
          </w:tr>
          <w:tr w:rsidR="007E7472" w14:paraId="54E85740" w14:textId="77777777" w:rsidTr="007E7472">
            <w:trPr>
              <w:trHeight w:val="284"/>
            </w:trPr>
            <w:tc>
              <w:tcPr>
                <w:tcW w:w="1607" w:type="pct"/>
                <w:tcBorders>
                  <w:top w:val="single" w:sz="6" w:space="0" w:color="auto"/>
                  <w:left w:val="single" w:sz="6" w:space="0" w:color="auto"/>
                  <w:bottom w:val="single" w:sz="6" w:space="0" w:color="auto"/>
                  <w:right w:val="single" w:sz="6" w:space="0" w:color="auto"/>
                </w:tcBorders>
                <w:vAlign w:val="center"/>
              </w:tcPr>
              <w:p w14:paraId="53274497" w14:textId="77777777" w:rsidR="007E7472" w:rsidRDefault="00EC1269">
                <w:pPr>
                  <w:autoSpaceDE w:val="0"/>
                  <w:autoSpaceDN w:val="0"/>
                  <w:adjustRightInd w:val="0"/>
                  <w:snapToGrid w:val="0"/>
                  <w:spacing w:line="240" w:lineRule="atLeast"/>
                </w:pPr>
                <w:r>
                  <w:rPr>
                    <w:rFonts w:hint="eastAsia"/>
                  </w:rPr>
                  <w:t>消费税</w:t>
                </w:r>
              </w:p>
            </w:tc>
            <w:tc>
              <w:tcPr>
                <w:tcW w:w="1697" w:type="pct"/>
                <w:tcBorders>
                  <w:top w:val="single" w:sz="6" w:space="0" w:color="auto"/>
                  <w:left w:val="single" w:sz="6" w:space="0" w:color="auto"/>
                  <w:bottom w:val="single" w:sz="6" w:space="0" w:color="auto"/>
                  <w:right w:val="single" w:sz="6" w:space="0" w:color="auto"/>
                </w:tcBorders>
                <w:vAlign w:val="center"/>
              </w:tcPr>
              <w:p w14:paraId="247F4433" w14:textId="77777777" w:rsidR="007E7472" w:rsidRDefault="00EC1269">
                <w:pPr>
                  <w:autoSpaceDE w:val="0"/>
                  <w:autoSpaceDN w:val="0"/>
                  <w:adjustRightInd w:val="0"/>
                  <w:snapToGrid w:val="0"/>
                  <w:spacing w:line="240" w:lineRule="atLeast"/>
                  <w:jc w:val="right"/>
                </w:pPr>
                <w:r>
                  <w:t>571,529</w:t>
                </w:r>
              </w:p>
            </w:tc>
            <w:tc>
              <w:tcPr>
                <w:tcW w:w="1696" w:type="pct"/>
                <w:tcBorders>
                  <w:top w:val="single" w:sz="6" w:space="0" w:color="auto"/>
                  <w:left w:val="single" w:sz="6" w:space="0" w:color="auto"/>
                  <w:bottom w:val="single" w:sz="6" w:space="0" w:color="auto"/>
                  <w:right w:val="single" w:sz="6" w:space="0" w:color="auto"/>
                </w:tcBorders>
                <w:vAlign w:val="center"/>
              </w:tcPr>
              <w:p w14:paraId="41682F38" w14:textId="77777777" w:rsidR="007E7472" w:rsidRDefault="00EC1269">
                <w:pPr>
                  <w:jc w:val="right"/>
                </w:pPr>
                <w:r>
                  <w:t>499,027</w:t>
                </w:r>
              </w:p>
            </w:tc>
          </w:tr>
          <w:tr w:rsidR="007E7472" w14:paraId="28F263B3" w14:textId="77777777" w:rsidTr="007E7472">
            <w:trPr>
              <w:trHeight w:val="284"/>
            </w:trPr>
            <w:tc>
              <w:tcPr>
                <w:tcW w:w="1607" w:type="pct"/>
                <w:tcBorders>
                  <w:top w:val="single" w:sz="6" w:space="0" w:color="auto"/>
                  <w:left w:val="single" w:sz="6" w:space="0" w:color="auto"/>
                  <w:bottom w:val="single" w:sz="6" w:space="0" w:color="auto"/>
                  <w:right w:val="single" w:sz="6" w:space="0" w:color="auto"/>
                </w:tcBorders>
                <w:vAlign w:val="center"/>
              </w:tcPr>
              <w:p w14:paraId="70681F45" w14:textId="77777777" w:rsidR="007E7472" w:rsidRDefault="00EC1269">
                <w:pPr>
                  <w:autoSpaceDE w:val="0"/>
                  <w:autoSpaceDN w:val="0"/>
                  <w:adjustRightInd w:val="0"/>
                  <w:snapToGrid w:val="0"/>
                  <w:spacing w:line="240" w:lineRule="atLeast"/>
                </w:pPr>
                <w:r>
                  <w:rPr>
                    <w:rFonts w:hint="eastAsia"/>
                  </w:rPr>
                  <w:t>城市维护建设税</w:t>
                </w:r>
              </w:p>
            </w:tc>
            <w:tc>
              <w:tcPr>
                <w:tcW w:w="1697" w:type="pct"/>
                <w:tcBorders>
                  <w:top w:val="single" w:sz="6" w:space="0" w:color="auto"/>
                  <w:left w:val="single" w:sz="6" w:space="0" w:color="auto"/>
                  <w:bottom w:val="single" w:sz="6" w:space="0" w:color="auto"/>
                  <w:right w:val="single" w:sz="6" w:space="0" w:color="auto"/>
                </w:tcBorders>
                <w:vAlign w:val="center"/>
              </w:tcPr>
              <w:p w14:paraId="65847EEB" w14:textId="77777777" w:rsidR="007E7472" w:rsidRDefault="00EC1269">
                <w:pPr>
                  <w:autoSpaceDE w:val="0"/>
                  <w:autoSpaceDN w:val="0"/>
                  <w:adjustRightInd w:val="0"/>
                  <w:snapToGrid w:val="0"/>
                  <w:spacing w:line="240" w:lineRule="atLeast"/>
                  <w:jc w:val="right"/>
                </w:pPr>
                <w:r>
                  <w:t>195,833</w:t>
                </w:r>
              </w:p>
            </w:tc>
            <w:tc>
              <w:tcPr>
                <w:tcW w:w="1696" w:type="pct"/>
                <w:tcBorders>
                  <w:top w:val="single" w:sz="6" w:space="0" w:color="auto"/>
                  <w:left w:val="single" w:sz="6" w:space="0" w:color="auto"/>
                  <w:bottom w:val="single" w:sz="6" w:space="0" w:color="auto"/>
                  <w:right w:val="single" w:sz="6" w:space="0" w:color="auto"/>
                </w:tcBorders>
                <w:vAlign w:val="center"/>
              </w:tcPr>
              <w:p w14:paraId="2705EA18" w14:textId="77777777" w:rsidR="007E7472" w:rsidRDefault="00EC1269">
                <w:pPr>
                  <w:jc w:val="right"/>
                </w:pPr>
                <w:r>
                  <w:t>260,099</w:t>
                </w:r>
              </w:p>
            </w:tc>
          </w:tr>
          <w:tr w:rsidR="007E7472" w14:paraId="092DB66C" w14:textId="77777777" w:rsidTr="007E7472">
            <w:trPr>
              <w:trHeight w:val="284"/>
            </w:trPr>
            <w:tc>
              <w:tcPr>
                <w:tcW w:w="1607" w:type="pct"/>
                <w:tcBorders>
                  <w:top w:val="single" w:sz="6" w:space="0" w:color="auto"/>
                  <w:left w:val="single" w:sz="6" w:space="0" w:color="auto"/>
                  <w:bottom w:val="single" w:sz="6" w:space="0" w:color="auto"/>
                  <w:right w:val="single" w:sz="6" w:space="0" w:color="auto"/>
                </w:tcBorders>
                <w:vAlign w:val="center"/>
              </w:tcPr>
              <w:p w14:paraId="75E7A0B7" w14:textId="77777777" w:rsidR="007E7472" w:rsidRDefault="00EC1269">
                <w:pPr>
                  <w:autoSpaceDE w:val="0"/>
                  <w:autoSpaceDN w:val="0"/>
                  <w:adjustRightInd w:val="0"/>
                  <w:snapToGrid w:val="0"/>
                  <w:spacing w:line="240" w:lineRule="atLeast"/>
                </w:pPr>
                <w:r>
                  <w:rPr>
                    <w:rFonts w:hint="eastAsia"/>
                  </w:rPr>
                  <w:t>土地使用税</w:t>
                </w:r>
              </w:p>
            </w:tc>
            <w:tc>
              <w:tcPr>
                <w:tcW w:w="1697" w:type="pct"/>
                <w:tcBorders>
                  <w:top w:val="single" w:sz="6" w:space="0" w:color="auto"/>
                  <w:left w:val="single" w:sz="6" w:space="0" w:color="auto"/>
                  <w:bottom w:val="single" w:sz="6" w:space="0" w:color="auto"/>
                  <w:right w:val="single" w:sz="6" w:space="0" w:color="auto"/>
                </w:tcBorders>
                <w:vAlign w:val="center"/>
              </w:tcPr>
              <w:p w14:paraId="520D92C0" w14:textId="77777777" w:rsidR="007E7472" w:rsidRDefault="00EC1269">
                <w:pPr>
                  <w:autoSpaceDE w:val="0"/>
                  <w:autoSpaceDN w:val="0"/>
                  <w:adjustRightInd w:val="0"/>
                  <w:snapToGrid w:val="0"/>
                  <w:spacing w:line="240" w:lineRule="atLeast"/>
                  <w:jc w:val="right"/>
                </w:pPr>
                <w:r>
                  <w:t>166,935</w:t>
                </w:r>
              </w:p>
            </w:tc>
            <w:tc>
              <w:tcPr>
                <w:tcW w:w="1696" w:type="pct"/>
                <w:tcBorders>
                  <w:top w:val="single" w:sz="6" w:space="0" w:color="auto"/>
                  <w:left w:val="single" w:sz="6" w:space="0" w:color="auto"/>
                  <w:bottom w:val="single" w:sz="6" w:space="0" w:color="auto"/>
                  <w:right w:val="single" w:sz="6" w:space="0" w:color="auto"/>
                </w:tcBorders>
                <w:vAlign w:val="center"/>
              </w:tcPr>
              <w:p w14:paraId="6DC3BCC5" w14:textId="77777777" w:rsidR="007E7472" w:rsidRDefault="00EC1269">
                <w:pPr>
                  <w:jc w:val="right"/>
                </w:pPr>
                <w:r>
                  <w:t>165,089</w:t>
                </w:r>
              </w:p>
            </w:tc>
          </w:tr>
          <w:tr w:rsidR="007E7472" w14:paraId="34886254" w14:textId="77777777" w:rsidTr="007E7472">
            <w:trPr>
              <w:trHeight w:val="284"/>
            </w:trPr>
            <w:tc>
              <w:tcPr>
                <w:tcW w:w="1607" w:type="pct"/>
                <w:tcBorders>
                  <w:top w:val="single" w:sz="6" w:space="0" w:color="auto"/>
                  <w:left w:val="single" w:sz="6" w:space="0" w:color="auto"/>
                  <w:bottom w:val="single" w:sz="6" w:space="0" w:color="auto"/>
                  <w:right w:val="single" w:sz="6" w:space="0" w:color="auto"/>
                </w:tcBorders>
                <w:vAlign w:val="center"/>
              </w:tcPr>
              <w:p w14:paraId="39BC1398" w14:textId="77777777" w:rsidR="007E7472" w:rsidRDefault="00EC1269">
                <w:pPr>
                  <w:autoSpaceDE w:val="0"/>
                  <w:autoSpaceDN w:val="0"/>
                  <w:adjustRightInd w:val="0"/>
                  <w:snapToGrid w:val="0"/>
                  <w:spacing w:line="240" w:lineRule="atLeast"/>
                </w:pPr>
                <w:r>
                  <w:rPr>
                    <w:rFonts w:hint="eastAsia"/>
                  </w:rPr>
                  <w:t>水资源税</w:t>
                </w:r>
              </w:p>
            </w:tc>
            <w:tc>
              <w:tcPr>
                <w:tcW w:w="1697" w:type="pct"/>
                <w:tcBorders>
                  <w:top w:val="single" w:sz="6" w:space="0" w:color="auto"/>
                  <w:left w:val="single" w:sz="6" w:space="0" w:color="auto"/>
                  <w:bottom w:val="single" w:sz="6" w:space="0" w:color="auto"/>
                  <w:right w:val="single" w:sz="6" w:space="0" w:color="auto"/>
                </w:tcBorders>
                <w:vAlign w:val="center"/>
              </w:tcPr>
              <w:p w14:paraId="7F487732" w14:textId="77777777" w:rsidR="007E7472" w:rsidRDefault="00EC1269">
                <w:pPr>
                  <w:autoSpaceDE w:val="0"/>
                  <w:autoSpaceDN w:val="0"/>
                  <w:adjustRightInd w:val="0"/>
                  <w:snapToGrid w:val="0"/>
                  <w:spacing w:line="240" w:lineRule="atLeast"/>
                  <w:jc w:val="right"/>
                </w:pPr>
                <w:r>
                  <w:t>106,984</w:t>
                </w:r>
              </w:p>
            </w:tc>
            <w:tc>
              <w:tcPr>
                <w:tcW w:w="1696" w:type="pct"/>
                <w:tcBorders>
                  <w:top w:val="single" w:sz="6" w:space="0" w:color="auto"/>
                  <w:left w:val="single" w:sz="6" w:space="0" w:color="auto"/>
                  <w:bottom w:val="single" w:sz="6" w:space="0" w:color="auto"/>
                  <w:right w:val="single" w:sz="6" w:space="0" w:color="auto"/>
                </w:tcBorders>
                <w:vAlign w:val="center"/>
              </w:tcPr>
              <w:p w14:paraId="1A11B639" w14:textId="77777777" w:rsidR="007E7472" w:rsidRDefault="00EC1269">
                <w:pPr>
                  <w:jc w:val="right"/>
                </w:pPr>
                <w:r>
                  <w:t>62,692</w:t>
                </w:r>
              </w:p>
            </w:tc>
          </w:tr>
          <w:tr w:rsidR="007E7472" w14:paraId="05A65633" w14:textId="77777777" w:rsidTr="007E7472">
            <w:trPr>
              <w:trHeight w:val="284"/>
            </w:trPr>
            <w:tc>
              <w:tcPr>
                <w:tcW w:w="1607" w:type="pct"/>
                <w:tcBorders>
                  <w:top w:val="single" w:sz="6" w:space="0" w:color="auto"/>
                  <w:left w:val="single" w:sz="6" w:space="0" w:color="auto"/>
                  <w:bottom w:val="single" w:sz="6" w:space="0" w:color="auto"/>
                  <w:right w:val="single" w:sz="6" w:space="0" w:color="auto"/>
                </w:tcBorders>
                <w:vAlign w:val="center"/>
              </w:tcPr>
              <w:p w14:paraId="6F30FE24" w14:textId="77777777" w:rsidR="007E7472" w:rsidRDefault="00EC1269">
                <w:pPr>
                  <w:autoSpaceDE w:val="0"/>
                  <w:autoSpaceDN w:val="0"/>
                  <w:adjustRightInd w:val="0"/>
                  <w:snapToGrid w:val="0"/>
                  <w:spacing w:line="240" w:lineRule="atLeast"/>
                </w:pPr>
                <w:r>
                  <w:rPr>
                    <w:rFonts w:hint="eastAsia"/>
                  </w:rPr>
                  <w:t>房产税</w:t>
                </w:r>
              </w:p>
            </w:tc>
            <w:tc>
              <w:tcPr>
                <w:tcW w:w="1697" w:type="pct"/>
                <w:tcBorders>
                  <w:top w:val="single" w:sz="6" w:space="0" w:color="auto"/>
                  <w:left w:val="single" w:sz="6" w:space="0" w:color="auto"/>
                  <w:bottom w:val="single" w:sz="6" w:space="0" w:color="auto"/>
                  <w:right w:val="single" w:sz="6" w:space="0" w:color="auto"/>
                </w:tcBorders>
                <w:vAlign w:val="center"/>
              </w:tcPr>
              <w:p w14:paraId="45928BCF" w14:textId="77777777" w:rsidR="007E7472" w:rsidRDefault="00EC1269">
                <w:pPr>
                  <w:autoSpaceDE w:val="0"/>
                  <w:autoSpaceDN w:val="0"/>
                  <w:adjustRightInd w:val="0"/>
                  <w:snapToGrid w:val="0"/>
                  <w:spacing w:line="240" w:lineRule="atLeast"/>
                  <w:jc w:val="right"/>
                </w:pPr>
                <w:r>
                  <w:t>104,603</w:t>
                </w:r>
              </w:p>
            </w:tc>
            <w:tc>
              <w:tcPr>
                <w:tcW w:w="1696" w:type="pct"/>
                <w:tcBorders>
                  <w:top w:val="single" w:sz="6" w:space="0" w:color="auto"/>
                  <w:left w:val="single" w:sz="6" w:space="0" w:color="auto"/>
                  <w:bottom w:val="single" w:sz="6" w:space="0" w:color="auto"/>
                  <w:right w:val="single" w:sz="6" w:space="0" w:color="auto"/>
                </w:tcBorders>
                <w:vAlign w:val="center"/>
              </w:tcPr>
              <w:p w14:paraId="220A7139" w14:textId="77777777" w:rsidR="007E7472" w:rsidRDefault="00EC1269">
                <w:pPr>
                  <w:jc w:val="right"/>
                </w:pPr>
                <w:r>
                  <w:t>54,864</w:t>
                </w:r>
              </w:p>
            </w:tc>
          </w:tr>
          <w:tr w:rsidR="007E7472" w14:paraId="5913444F" w14:textId="77777777" w:rsidTr="007E7472">
            <w:trPr>
              <w:trHeight w:val="284"/>
            </w:trPr>
            <w:tc>
              <w:tcPr>
                <w:tcW w:w="1607" w:type="pct"/>
                <w:tcBorders>
                  <w:top w:val="single" w:sz="6" w:space="0" w:color="auto"/>
                  <w:left w:val="single" w:sz="6" w:space="0" w:color="auto"/>
                  <w:bottom w:val="single" w:sz="6" w:space="0" w:color="auto"/>
                  <w:right w:val="single" w:sz="6" w:space="0" w:color="auto"/>
                </w:tcBorders>
                <w:vAlign w:val="center"/>
              </w:tcPr>
              <w:p w14:paraId="5945A8BC" w14:textId="77777777" w:rsidR="007E7472" w:rsidRDefault="00EC1269">
                <w:pPr>
                  <w:autoSpaceDE w:val="0"/>
                  <w:autoSpaceDN w:val="0"/>
                  <w:adjustRightInd w:val="0"/>
                  <w:snapToGrid w:val="0"/>
                  <w:spacing w:line="240" w:lineRule="atLeast"/>
                </w:pPr>
                <w:r>
                  <w:rPr>
                    <w:rFonts w:hint="eastAsia"/>
                  </w:rPr>
                  <w:t>教育费附加</w:t>
                </w:r>
              </w:p>
            </w:tc>
            <w:tc>
              <w:tcPr>
                <w:tcW w:w="1697" w:type="pct"/>
                <w:tcBorders>
                  <w:top w:val="single" w:sz="6" w:space="0" w:color="auto"/>
                  <w:left w:val="single" w:sz="6" w:space="0" w:color="auto"/>
                  <w:bottom w:val="single" w:sz="6" w:space="0" w:color="auto"/>
                  <w:right w:val="single" w:sz="6" w:space="0" w:color="auto"/>
                </w:tcBorders>
                <w:vAlign w:val="center"/>
              </w:tcPr>
              <w:p w14:paraId="606715B4" w14:textId="77777777" w:rsidR="007E7472" w:rsidRDefault="00EC1269">
                <w:pPr>
                  <w:autoSpaceDE w:val="0"/>
                  <w:autoSpaceDN w:val="0"/>
                  <w:adjustRightInd w:val="0"/>
                  <w:snapToGrid w:val="0"/>
                  <w:spacing w:line="240" w:lineRule="atLeast"/>
                  <w:jc w:val="right"/>
                </w:pPr>
                <w:r>
                  <w:t>103,497</w:t>
                </w:r>
              </w:p>
            </w:tc>
            <w:tc>
              <w:tcPr>
                <w:tcW w:w="1696" w:type="pct"/>
                <w:tcBorders>
                  <w:top w:val="single" w:sz="6" w:space="0" w:color="auto"/>
                  <w:left w:val="single" w:sz="6" w:space="0" w:color="auto"/>
                  <w:bottom w:val="single" w:sz="6" w:space="0" w:color="auto"/>
                  <w:right w:val="single" w:sz="6" w:space="0" w:color="auto"/>
                </w:tcBorders>
                <w:vAlign w:val="center"/>
              </w:tcPr>
              <w:p w14:paraId="6DB87953" w14:textId="77777777" w:rsidR="007E7472" w:rsidRDefault="00EC1269">
                <w:pPr>
                  <w:jc w:val="right"/>
                </w:pPr>
                <w:r>
                  <w:t>131,483</w:t>
                </w:r>
              </w:p>
            </w:tc>
          </w:tr>
          <w:tr w:rsidR="007E7472" w14:paraId="235749AC" w14:textId="77777777" w:rsidTr="007E7472">
            <w:trPr>
              <w:trHeight w:val="284"/>
            </w:trPr>
            <w:tc>
              <w:tcPr>
                <w:tcW w:w="1607" w:type="pct"/>
                <w:tcBorders>
                  <w:top w:val="single" w:sz="6" w:space="0" w:color="auto"/>
                  <w:left w:val="single" w:sz="6" w:space="0" w:color="auto"/>
                  <w:bottom w:val="single" w:sz="6" w:space="0" w:color="auto"/>
                  <w:right w:val="single" w:sz="6" w:space="0" w:color="auto"/>
                </w:tcBorders>
                <w:vAlign w:val="center"/>
              </w:tcPr>
              <w:p w14:paraId="53307EEA" w14:textId="77777777" w:rsidR="007E7472" w:rsidRDefault="00EC1269">
                <w:pPr>
                  <w:autoSpaceDE w:val="0"/>
                  <w:autoSpaceDN w:val="0"/>
                  <w:adjustRightInd w:val="0"/>
                  <w:snapToGrid w:val="0"/>
                  <w:spacing w:line="240" w:lineRule="atLeast"/>
                </w:pPr>
                <w:r>
                  <w:rPr>
                    <w:rFonts w:hint="eastAsia"/>
                  </w:rPr>
                  <w:t>地方教育经费</w:t>
                </w:r>
              </w:p>
            </w:tc>
            <w:tc>
              <w:tcPr>
                <w:tcW w:w="1697" w:type="pct"/>
                <w:tcBorders>
                  <w:top w:val="single" w:sz="6" w:space="0" w:color="auto"/>
                  <w:left w:val="single" w:sz="6" w:space="0" w:color="auto"/>
                  <w:bottom w:val="single" w:sz="6" w:space="0" w:color="auto"/>
                  <w:right w:val="single" w:sz="6" w:space="0" w:color="auto"/>
                </w:tcBorders>
                <w:vAlign w:val="center"/>
              </w:tcPr>
              <w:p w14:paraId="0681A649" w14:textId="77777777" w:rsidR="007E7472" w:rsidRDefault="00EC1269">
                <w:pPr>
                  <w:autoSpaceDE w:val="0"/>
                  <w:autoSpaceDN w:val="0"/>
                  <w:adjustRightInd w:val="0"/>
                  <w:snapToGrid w:val="0"/>
                  <w:spacing w:line="240" w:lineRule="atLeast"/>
                  <w:jc w:val="right"/>
                </w:pPr>
                <w:r>
                  <w:t>68,592</w:t>
                </w:r>
              </w:p>
            </w:tc>
            <w:tc>
              <w:tcPr>
                <w:tcW w:w="1696" w:type="pct"/>
                <w:tcBorders>
                  <w:top w:val="single" w:sz="6" w:space="0" w:color="auto"/>
                  <w:left w:val="single" w:sz="6" w:space="0" w:color="auto"/>
                  <w:bottom w:val="single" w:sz="6" w:space="0" w:color="auto"/>
                  <w:right w:val="single" w:sz="6" w:space="0" w:color="auto"/>
                </w:tcBorders>
                <w:vAlign w:val="center"/>
              </w:tcPr>
              <w:p w14:paraId="36D4F8BD" w14:textId="77777777" w:rsidR="007E7472" w:rsidRDefault="00EC1269">
                <w:pPr>
                  <w:jc w:val="right"/>
                </w:pPr>
                <w:r>
                  <w:t>87,215</w:t>
                </w:r>
              </w:p>
            </w:tc>
          </w:tr>
          <w:tr w:rsidR="007E7472" w14:paraId="307CC7A9" w14:textId="77777777" w:rsidTr="007E7472">
            <w:trPr>
              <w:trHeight w:val="284"/>
            </w:trPr>
            <w:tc>
              <w:tcPr>
                <w:tcW w:w="1607" w:type="pct"/>
                <w:tcBorders>
                  <w:top w:val="single" w:sz="6" w:space="0" w:color="auto"/>
                  <w:left w:val="single" w:sz="6" w:space="0" w:color="auto"/>
                  <w:bottom w:val="single" w:sz="6" w:space="0" w:color="auto"/>
                  <w:right w:val="single" w:sz="6" w:space="0" w:color="auto"/>
                </w:tcBorders>
                <w:vAlign w:val="center"/>
              </w:tcPr>
              <w:p w14:paraId="66B20B3F" w14:textId="77777777" w:rsidR="007E7472" w:rsidRDefault="00EC1269">
                <w:pPr>
                  <w:autoSpaceDE w:val="0"/>
                  <w:autoSpaceDN w:val="0"/>
                  <w:adjustRightInd w:val="0"/>
                  <w:snapToGrid w:val="0"/>
                  <w:spacing w:line="240" w:lineRule="atLeast"/>
                </w:pPr>
                <w:r>
                  <w:rPr>
                    <w:rFonts w:hint="eastAsia"/>
                  </w:rPr>
                  <w:t>印花税</w:t>
                </w:r>
              </w:p>
            </w:tc>
            <w:tc>
              <w:tcPr>
                <w:tcW w:w="1697" w:type="pct"/>
                <w:tcBorders>
                  <w:top w:val="single" w:sz="6" w:space="0" w:color="auto"/>
                  <w:left w:val="single" w:sz="6" w:space="0" w:color="auto"/>
                  <w:bottom w:val="single" w:sz="6" w:space="0" w:color="auto"/>
                  <w:right w:val="single" w:sz="6" w:space="0" w:color="auto"/>
                </w:tcBorders>
                <w:vAlign w:val="center"/>
              </w:tcPr>
              <w:p w14:paraId="57665FD4" w14:textId="77777777" w:rsidR="007E7472" w:rsidRDefault="00EC1269">
                <w:pPr>
                  <w:autoSpaceDE w:val="0"/>
                  <w:autoSpaceDN w:val="0"/>
                  <w:adjustRightInd w:val="0"/>
                  <w:snapToGrid w:val="0"/>
                  <w:spacing w:line="240" w:lineRule="atLeast"/>
                  <w:jc w:val="right"/>
                </w:pPr>
                <w:r>
                  <w:t>48,937</w:t>
                </w:r>
              </w:p>
            </w:tc>
            <w:tc>
              <w:tcPr>
                <w:tcW w:w="1696" w:type="pct"/>
                <w:tcBorders>
                  <w:top w:val="single" w:sz="6" w:space="0" w:color="auto"/>
                  <w:left w:val="single" w:sz="6" w:space="0" w:color="auto"/>
                  <w:bottom w:val="single" w:sz="6" w:space="0" w:color="auto"/>
                  <w:right w:val="single" w:sz="6" w:space="0" w:color="auto"/>
                </w:tcBorders>
                <w:vAlign w:val="center"/>
              </w:tcPr>
              <w:p w14:paraId="0D773018" w14:textId="77777777" w:rsidR="007E7472" w:rsidRDefault="00EC1269">
                <w:pPr>
                  <w:jc w:val="right"/>
                </w:pPr>
                <w:r>
                  <w:t>40,247</w:t>
                </w:r>
              </w:p>
            </w:tc>
          </w:tr>
          <w:tr w:rsidR="007E7472" w14:paraId="2B42C8FA" w14:textId="77777777" w:rsidTr="007E7472">
            <w:trPr>
              <w:trHeight w:val="284"/>
            </w:trPr>
            <w:tc>
              <w:tcPr>
                <w:tcW w:w="1607" w:type="pct"/>
                <w:tcBorders>
                  <w:top w:val="single" w:sz="6" w:space="0" w:color="auto"/>
                  <w:left w:val="single" w:sz="6" w:space="0" w:color="auto"/>
                  <w:bottom w:val="single" w:sz="6" w:space="0" w:color="auto"/>
                  <w:right w:val="single" w:sz="6" w:space="0" w:color="auto"/>
                </w:tcBorders>
                <w:vAlign w:val="center"/>
              </w:tcPr>
              <w:p w14:paraId="3E04680D" w14:textId="77777777" w:rsidR="007E7472" w:rsidRDefault="00EC1269">
                <w:pPr>
                  <w:autoSpaceDE w:val="0"/>
                  <w:autoSpaceDN w:val="0"/>
                  <w:adjustRightInd w:val="0"/>
                  <w:snapToGrid w:val="0"/>
                  <w:spacing w:line="240" w:lineRule="atLeast"/>
                </w:pPr>
                <w:r>
                  <w:rPr>
                    <w:rFonts w:hint="eastAsia"/>
                  </w:rPr>
                  <w:t>环境保护税</w:t>
                </w:r>
              </w:p>
            </w:tc>
            <w:tc>
              <w:tcPr>
                <w:tcW w:w="1697" w:type="pct"/>
                <w:tcBorders>
                  <w:top w:val="single" w:sz="6" w:space="0" w:color="auto"/>
                  <w:left w:val="single" w:sz="6" w:space="0" w:color="auto"/>
                  <w:bottom w:val="single" w:sz="6" w:space="0" w:color="auto"/>
                  <w:right w:val="single" w:sz="6" w:space="0" w:color="auto"/>
                </w:tcBorders>
                <w:vAlign w:val="center"/>
              </w:tcPr>
              <w:p w14:paraId="4A188367" w14:textId="77777777" w:rsidR="007E7472" w:rsidRDefault="00EC1269">
                <w:pPr>
                  <w:autoSpaceDE w:val="0"/>
                  <w:autoSpaceDN w:val="0"/>
                  <w:adjustRightInd w:val="0"/>
                  <w:snapToGrid w:val="0"/>
                  <w:spacing w:line="240" w:lineRule="atLeast"/>
                  <w:jc w:val="right"/>
                </w:pPr>
                <w:r>
                  <w:t>9,513</w:t>
                </w:r>
              </w:p>
            </w:tc>
            <w:tc>
              <w:tcPr>
                <w:tcW w:w="1696" w:type="pct"/>
                <w:tcBorders>
                  <w:top w:val="single" w:sz="6" w:space="0" w:color="auto"/>
                  <w:left w:val="single" w:sz="6" w:space="0" w:color="auto"/>
                  <w:bottom w:val="single" w:sz="6" w:space="0" w:color="auto"/>
                  <w:right w:val="single" w:sz="6" w:space="0" w:color="auto"/>
                </w:tcBorders>
                <w:vAlign w:val="center"/>
              </w:tcPr>
              <w:p w14:paraId="2975E79A" w14:textId="77777777" w:rsidR="007E7472" w:rsidRDefault="00EC1269">
                <w:pPr>
                  <w:jc w:val="right"/>
                </w:pPr>
                <w:r>
                  <w:t>9,277</w:t>
                </w:r>
              </w:p>
            </w:tc>
          </w:tr>
          <w:tr w:rsidR="007E7472" w14:paraId="362EA703" w14:textId="77777777" w:rsidTr="007E7472">
            <w:trPr>
              <w:trHeight w:val="284"/>
            </w:trPr>
            <w:tc>
              <w:tcPr>
                <w:tcW w:w="1607" w:type="pct"/>
                <w:tcBorders>
                  <w:top w:val="single" w:sz="6" w:space="0" w:color="auto"/>
                  <w:left w:val="single" w:sz="6" w:space="0" w:color="auto"/>
                  <w:bottom w:val="single" w:sz="6" w:space="0" w:color="auto"/>
                  <w:right w:val="single" w:sz="6" w:space="0" w:color="auto"/>
                </w:tcBorders>
                <w:vAlign w:val="center"/>
              </w:tcPr>
              <w:p w14:paraId="3C24E3FB" w14:textId="77777777" w:rsidR="007E7472" w:rsidRDefault="00EC1269">
                <w:pPr>
                  <w:autoSpaceDE w:val="0"/>
                  <w:autoSpaceDN w:val="0"/>
                  <w:adjustRightInd w:val="0"/>
                  <w:snapToGrid w:val="0"/>
                  <w:spacing w:line="240" w:lineRule="atLeast"/>
                </w:pPr>
                <w:r>
                  <w:rPr>
                    <w:rFonts w:hint="eastAsia"/>
                  </w:rPr>
                  <w:t>水利建设基金</w:t>
                </w:r>
              </w:p>
            </w:tc>
            <w:tc>
              <w:tcPr>
                <w:tcW w:w="1697" w:type="pct"/>
                <w:tcBorders>
                  <w:top w:val="single" w:sz="6" w:space="0" w:color="auto"/>
                  <w:left w:val="single" w:sz="6" w:space="0" w:color="auto"/>
                  <w:bottom w:val="single" w:sz="6" w:space="0" w:color="auto"/>
                  <w:right w:val="single" w:sz="6" w:space="0" w:color="auto"/>
                </w:tcBorders>
                <w:vAlign w:val="center"/>
              </w:tcPr>
              <w:p w14:paraId="6E4AE0C2" w14:textId="77777777" w:rsidR="007E7472" w:rsidRDefault="00EC1269">
                <w:pPr>
                  <w:autoSpaceDE w:val="0"/>
                  <w:autoSpaceDN w:val="0"/>
                  <w:adjustRightInd w:val="0"/>
                  <w:snapToGrid w:val="0"/>
                  <w:spacing w:line="240" w:lineRule="atLeast"/>
                  <w:jc w:val="right"/>
                </w:pPr>
                <w:r>
                  <w:t>7,868</w:t>
                </w:r>
              </w:p>
            </w:tc>
            <w:tc>
              <w:tcPr>
                <w:tcW w:w="1696" w:type="pct"/>
                <w:tcBorders>
                  <w:top w:val="single" w:sz="6" w:space="0" w:color="auto"/>
                  <w:left w:val="single" w:sz="6" w:space="0" w:color="auto"/>
                  <w:bottom w:val="single" w:sz="6" w:space="0" w:color="auto"/>
                  <w:right w:val="single" w:sz="6" w:space="0" w:color="auto"/>
                </w:tcBorders>
                <w:vAlign w:val="center"/>
              </w:tcPr>
              <w:p w14:paraId="499D64BE" w14:textId="77777777" w:rsidR="007E7472" w:rsidRDefault="00EC1269">
                <w:pPr>
                  <w:jc w:val="right"/>
                </w:pPr>
                <w:r>
                  <w:t>10,812</w:t>
                </w:r>
              </w:p>
            </w:tc>
          </w:tr>
          <w:tr w:rsidR="007E7472" w14:paraId="30EF2303" w14:textId="77777777" w:rsidTr="007E7472">
            <w:trPr>
              <w:trHeight w:val="284"/>
            </w:trPr>
            <w:tc>
              <w:tcPr>
                <w:tcW w:w="1607" w:type="pct"/>
                <w:tcBorders>
                  <w:top w:val="single" w:sz="6" w:space="0" w:color="auto"/>
                  <w:left w:val="single" w:sz="6" w:space="0" w:color="auto"/>
                  <w:bottom w:val="single" w:sz="6" w:space="0" w:color="auto"/>
                  <w:right w:val="single" w:sz="6" w:space="0" w:color="auto"/>
                </w:tcBorders>
                <w:vAlign w:val="center"/>
              </w:tcPr>
              <w:p w14:paraId="36C9FDB3" w14:textId="77777777" w:rsidR="007E7472" w:rsidRDefault="00EC1269">
                <w:pPr>
                  <w:autoSpaceDE w:val="0"/>
                  <w:autoSpaceDN w:val="0"/>
                  <w:adjustRightInd w:val="0"/>
                  <w:snapToGrid w:val="0"/>
                  <w:spacing w:line="240" w:lineRule="atLeast"/>
                </w:pPr>
                <w:r>
                  <w:rPr>
                    <w:rFonts w:hint="eastAsia"/>
                  </w:rPr>
                  <w:lastRenderedPageBreak/>
                  <w:t>车船使用税</w:t>
                </w:r>
              </w:p>
            </w:tc>
            <w:tc>
              <w:tcPr>
                <w:tcW w:w="1697" w:type="pct"/>
                <w:tcBorders>
                  <w:top w:val="single" w:sz="6" w:space="0" w:color="auto"/>
                  <w:left w:val="single" w:sz="6" w:space="0" w:color="auto"/>
                  <w:bottom w:val="single" w:sz="6" w:space="0" w:color="auto"/>
                  <w:right w:val="single" w:sz="6" w:space="0" w:color="auto"/>
                </w:tcBorders>
                <w:vAlign w:val="center"/>
              </w:tcPr>
              <w:p w14:paraId="7E168D2C" w14:textId="77777777" w:rsidR="007E7472" w:rsidRDefault="00EC1269">
                <w:pPr>
                  <w:autoSpaceDE w:val="0"/>
                  <w:autoSpaceDN w:val="0"/>
                  <w:adjustRightInd w:val="0"/>
                  <w:snapToGrid w:val="0"/>
                  <w:spacing w:line="240" w:lineRule="atLeast"/>
                  <w:jc w:val="right"/>
                </w:pPr>
                <w:r>
                  <w:t>291</w:t>
                </w:r>
              </w:p>
            </w:tc>
            <w:tc>
              <w:tcPr>
                <w:tcW w:w="1696" w:type="pct"/>
                <w:tcBorders>
                  <w:top w:val="single" w:sz="6" w:space="0" w:color="auto"/>
                  <w:left w:val="single" w:sz="6" w:space="0" w:color="auto"/>
                  <w:bottom w:val="single" w:sz="6" w:space="0" w:color="auto"/>
                  <w:right w:val="single" w:sz="6" w:space="0" w:color="auto"/>
                </w:tcBorders>
                <w:vAlign w:val="center"/>
              </w:tcPr>
              <w:p w14:paraId="4232C653" w14:textId="77777777" w:rsidR="007E7472" w:rsidRDefault="00EC1269">
                <w:pPr>
                  <w:jc w:val="right"/>
                </w:pPr>
                <w:r>
                  <w:t>308</w:t>
                </w:r>
              </w:p>
            </w:tc>
          </w:tr>
          <w:tr w:rsidR="007E7472" w14:paraId="61FCA7BF" w14:textId="77777777" w:rsidTr="007E7472">
            <w:trPr>
              <w:trHeight w:val="284"/>
            </w:trPr>
            <w:tc>
              <w:tcPr>
                <w:tcW w:w="1607" w:type="pct"/>
                <w:tcBorders>
                  <w:top w:val="single" w:sz="6" w:space="0" w:color="auto"/>
                  <w:left w:val="single" w:sz="6" w:space="0" w:color="auto"/>
                  <w:bottom w:val="single" w:sz="6" w:space="0" w:color="auto"/>
                  <w:right w:val="single" w:sz="6" w:space="0" w:color="auto"/>
                </w:tcBorders>
                <w:vAlign w:val="center"/>
              </w:tcPr>
              <w:p w14:paraId="611F0128" w14:textId="77777777" w:rsidR="007E7472" w:rsidRDefault="00EC1269">
                <w:pPr>
                  <w:autoSpaceDE w:val="0"/>
                  <w:autoSpaceDN w:val="0"/>
                  <w:adjustRightInd w:val="0"/>
                  <w:snapToGrid w:val="0"/>
                  <w:spacing w:line="240" w:lineRule="atLeast"/>
                </w:pPr>
                <w:r>
                  <w:rPr>
                    <w:rFonts w:hint="eastAsia"/>
                  </w:rPr>
                  <w:t>其他</w:t>
                </w:r>
              </w:p>
            </w:tc>
            <w:tc>
              <w:tcPr>
                <w:tcW w:w="1697" w:type="pct"/>
                <w:tcBorders>
                  <w:top w:val="single" w:sz="6" w:space="0" w:color="auto"/>
                  <w:left w:val="single" w:sz="6" w:space="0" w:color="auto"/>
                  <w:bottom w:val="single" w:sz="6" w:space="0" w:color="auto"/>
                  <w:right w:val="single" w:sz="6" w:space="0" w:color="auto"/>
                </w:tcBorders>
                <w:vAlign w:val="center"/>
              </w:tcPr>
              <w:p w14:paraId="7D7C37EA" w14:textId="77777777" w:rsidR="007E7472" w:rsidRDefault="00EC1269">
                <w:pPr>
                  <w:autoSpaceDE w:val="0"/>
                  <w:autoSpaceDN w:val="0"/>
                  <w:adjustRightInd w:val="0"/>
                  <w:snapToGrid w:val="0"/>
                  <w:spacing w:line="240" w:lineRule="atLeast"/>
                  <w:jc w:val="right"/>
                </w:pPr>
                <w:r>
                  <w:t>100,022</w:t>
                </w:r>
              </w:p>
            </w:tc>
            <w:tc>
              <w:tcPr>
                <w:tcW w:w="1696" w:type="pct"/>
                <w:tcBorders>
                  <w:top w:val="single" w:sz="6" w:space="0" w:color="auto"/>
                  <w:left w:val="single" w:sz="6" w:space="0" w:color="auto"/>
                  <w:bottom w:val="single" w:sz="6" w:space="0" w:color="auto"/>
                  <w:right w:val="single" w:sz="6" w:space="0" w:color="auto"/>
                </w:tcBorders>
                <w:vAlign w:val="center"/>
              </w:tcPr>
              <w:p w14:paraId="217A0ACA" w14:textId="77777777" w:rsidR="007E7472" w:rsidRDefault="00EC1269">
                <w:pPr>
                  <w:jc w:val="right"/>
                </w:pPr>
                <w:r>
                  <w:t>29,186</w:t>
                </w:r>
              </w:p>
            </w:tc>
          </w:tr>
          <w:tr w:rsidR="007E7472" w14:paraId="1F6DF3C7" w14:textId="77777777" w:rsidTr="007E7472">
            <w:trPr>
              <w:trHeight w:val="284"/>
            </w:trPr>
            <w:tc>
              <w:tcPr>
                <w:tcW w:w="1607" w:type="pct"/>
                <w:tcBorders>
                  <w:top w:val="single" w:sz="6" w:space="0" w:color="auto"/>
                  <w:left w:val="single" w:sz="6" w:space="0" w:color="auto"/>
                  <w:bottom w:val="single" w:sz="6" w:space="0" w:color="auto"/>
                  <w:right w:val="single" w:sz="6" w:space="0" w:color="auto"/>
                </w:tcBorders>
                <w:vAlign w:val="center"/>
              </w:tcPr>
              <w:p w14:paraId="34BC255A" w14:textId="77777777" w:rsidR="007E7472" w:rsidRDefault="00EC1269">
                <w:pPr>
                  <w:autoSpaceDE w:val="0"/>
                  <w:autoSpaceDN w:val="0"/>
                  <w:adjustRightInd w:val="0"/>
                  <w:snapToGrid w:val="0"/>
                  <w:spacing w:line="240" w:lineRule="atLeast"/>
                  <w:jc w:val="center"/>
                </w:pPr>
                <w:r>
                  <w:rPr>
                    <w:rFonts w:hint="eastAsia"/>
                  </w:rPr>
                  <w:t>合计</w:t>
                </w:r>
              </w:p>
            </w:tc>
            <w:tc>
              <w:tcPr>
                <w:tcW w:w="1697" w:type="pct"/>
                <w:tcBorders>
                  <w:top w:val="single" w:sz="6" w:space="0" w:color="auto"/>
                  <w:left w:val="single" w:sz="6" w:space="0" w:color="auto"/>
                  <w:bottom w:val="single" w:sz="6" w:space="0" w:color="auto"/>
                  <w:right w:val="single" w:sz="6" w:space="0" w:color="auto"/>
                </w:tcBorders>
                <w:vAlign w:val="center"/>
              </w:tcPr>
              <w:p w14:paraId="30F1B4CE" w14:textId="77777777" w:rsidR="007E7472" w:rsidRDefault="00EC1269">
                <w:pPr>
                  <w:autoSpaceDE w:val="0"/>
                  <w:autoSpaceDN w:val="0"/>
                  <w:adjustRightInd w:val="0"/>
                  <w:snapToGrid w:val="0"/>
                  <w:spacing w:line="240" w:lineRule="atLeast"/>
                  <w:jc w:val="right"/>
                </w:pPr>
                <w:r>
                  <w:t>2,995,852</w:t>
                </w:r>
              </w:p>
            </w:tc>
            <w:tc>
              <w:tcPr>
                <w:tcW w:w="1696" w:type="pct"/>
                <w:tcBorders>
                  <w:top w:val="single" w:sz="6" w:space="0" w:color="auto"/>
                  <w:left w:val="single" w:sz="6" w:space="0" w:color="auto"/>
                  <w:bottom w:val="single" w:sz="6" w:space="0" w:color="auto"/>
                  <w:right w:val="single" w:sz="6" w:space="0" w:color="auto"/>
                </w:tcBorders>
                <w:vAlign w:val="center"/>
              </w:tcPr>
              <w:p w14:paraId="43B204C6" w14:textId="77777777" w:rsidR="007E7472" w:rsidRDefault="00EC1269">
                <w:pPr>
                  <w:jc w:val="right"/>
                </w:pPr>
                <w:r>
                  <w:t>3,075,815</w:t>
                </w:r>
              </w:p>
            </w:tc>
          </w:tr>
        </w:tbl>
      </w:sdtContent>
    </w:sdt>
    <w:p w14:paraId="582DD695" w14:textId="77777777" w:rsidR="007E7472" w:rsidRDefault="00C8327E"/>
    <w:sdt>
      <w:sdtPr>
        <w:rPr>
          <w:rFonts w:ascii="宋体" w:hAnsi="宋体" w:cs="宋体" w:hint="eastAsia"/>
          <w:b w:val="0"/>
          <w:bCs w:val="0"/>
          <w:kern w:val="0"/>
          <w:sz w:val="20"/>
          <w:szCs w:val="21"/>
        </w:rPr>
        <w:alias w:val="模块:成本费用"/>
        <w:tag w:val="_GBC_3faa14b862dd44e8a54b6137b70adace"/>
        <w:id w:val="1086885228"/>
        <w:lock w:val="sdtLocked"/>
        <w:placeholder>
          <w:docPart w:val="GBC22222222222222222222222222222"/>
        </w:placeholder>
      </w:sdtPr>
      <w:sdtEndPr>
        <w:rPr>
          <w:rFonts w:cstheme="minorBidi"/>
          <w:sz w:val="21"/>
        </w:rPr>
      </w:sdtEndPr>
      <w:sdtContent>
        <w:p w14:paraId="718E024B" w14:textId="77777777" w:rsidR="007E7472" w:rsidRDefault="00EC1269" w:rsidP="00162493">
          <w:pPr>
            <w:pStyle w:val="3"/>
            <w:numPr>
              <w:ilvl w:val="0"/>
              <w:numId w:val="62"/>
            </w:numPr>
          </w:pPr>
          <w:r>
            <w:rPr>
              <w:rFonts w:hint="eastAsia"/>
            </w:rPr>
            <w:t>销售费用</w:t>
          </w:r>
        </w:p>
        <w:sdt>
          <w:sdtPr>
            <w:alias w:val="是否适用：销售费用[双击切换]"/>
            <w:tag w:val="_GBC_5302d6af48674660a2279c7c8a87bb8c"/>
            <w:id w:val="-1343468885"/>
            <w:lock w:val="sdtLocked"/>
            <w:placeholder>
              <w:docPart w:val="GBC22222222222222222222222222222"/>
            </w:placeholder>
          </w:sdtPr>
          <w:sdtEndPr/>
          <w:sdtContent>
            <w:p w14:paraId="6FFAF439"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09782E04" w14:textId="71E58654" w:rsidR="007E7472" w:rsidRDefault="00EC1269">
          <w:pPr>
            <w:jc w:val="right"/>
          </w:pPr>
          <w:r>
            <w:rPr>
              <w:rFonts w:hint="eastAsia"/>
            </w:rPr>
            <w:t>单位：</w:t>
          </w:r>
          <w:sdt>
            <w:sdtPr>
              <w:rPr>
                <w:rFonts w:hint="eastAsia"/>
              </w:rPr>
              <w:alias w:val="单位：销售费用"/>
              <w:tag w:val="_GBC_893203a5a3df44649aef388407d22c68"/>
              <w:id w:val="-5332592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销售费用"/>
              <w:tag w:val="_GBC_4954a9fca98d4f279270fb28f987aa6f"/>
              <w:id w:val="9194499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8"/>
            <w:gridCol w:w="2626"/>
            <w:gridCol w:w="2359"/>
          </w:tblGrid>
          <w:tr w:rsidR="007E7472" w14:paraId="13B491B3" w14:textId="77777777" w:rsidTr="007E7472">
            <w:trPr>
              <w:trHeight w:val="340"/>
            </w:trPr>
            <w:sdt>
              <w:sdtPr>
                <w:tag w:val="_PLD_16c47970a3b145c98f438f3cb34ff636"/>
                <w:id w:val="530148888"/>
                <w:lock w:val="sdtLocked"/>
              </w:sdtPr>
              <w:sdtEndPr/>
              <w:sdtContent>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14:paraId="6289F3F1" w14:textId="77777777" w:rsidR="007E7472" w:rsidRDefault="00EC1269">
                    <w:pPr>
                      <w:jc w:val="center"/>
                    </w:pPr>
                    <w:r>
                      <w:rPr>
                        <w:rFonts w:hint="eastAsia"/>
                      </w:rPr>
                      <w:t>项目</w:t>
                    </w:r>
                  </w:p>
                </w:tc>
              </w:sdtContent>
            </w:sdt>
            <w:sdt>
              <w:sdtPr>
                <w:tag w:val="_PLD_b3ce435531054240b373e649bc9ae7a1"/>
                <w:id w:val="-613057197"/>
                <w:lock w:val="sdtLocked"/>
              </w:sdtPr>
              <w:sdtEndPr/>
              <w:sdtContent>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61604FFF" w14:textId="77777777" w:rsidR="007E7472" w:rsidRDefault="00EC1269">
                    <w:pPr>
                      <w:jc w:val="center"/>
                    </w:pPr>
                    <w:r>
                      <w:rPr>
                        <w:rFonts w:hint="eastAsia"/>
                      </w:rPr>
                      <w:t>本期发生额</w:t>
                    </w:r>
                  </w:p>
                </w:tc>
              </w:sdtContent>
            </w:sdt>
            <w:sdt>
              <w:sdtPr>
                <w:tag w:val="_PLD_9480cd5806624557b975b5d0ce06575b"/>
                <w:id w:val="1180007762"/>
                <w:lock w:val="sdtLocked"/>
              </w:sdtPr>
              <w:sdtEndPr/>
              <w:sdtContent>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14:paraId="46E9D59C" w14:textId="77777777" w:rsidR="007E7472" w:rsidRDefault="00EC1269">
                    <w:pPr>
                      <w:jc w:val="center"/>
                    </w:pPr>
                    <w:r>
                      <w:rPr>
                        <w:rFonts w:hint="eastAsia"/>
                      </w:rPr>
                      <w:t>上期发生额</w:t>
                    </w:r>
                  </w:p>
                </w:tc>
              </w:sdtContent>
            </w:sdt>
          </w:tr>
          <w:sdt>
            <w:sdtPr>
              <w:alias w:val="销售费用明细"/>
              <w:tag w:val="_GBC_8b0e6f0534ed42879aaed18b46dbec7d"/>
              <w:id w:val="523990117"/>
              <w:lock w:val="sdtLocked"/>
            </w:sdtPr>
            <w:sdtEndPr/>
            <w:sdtContent>
              <w:tr w:rsidR="007E7472" w14:paraId="76EAC44E" w14:textId="77777777" w:rsidTr="007E7472">
                <w:trPr>
                  <w:trHeight w:val="340"/>
                </w:trPr>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14:paraId="11463335" w14:textId="77777777" w:rsidR="007E7472" w:rsidRDefault="00EC1269">
                    <w:r>
                      <w:rPr>
                        <w:rFonts w:hint="eastAsia"/>
                      </w:rPr>
                      <w:t>开采权使用费</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4D272E0D" w14:textId="77777777" w:rsidR="007E7472" w:rsidRDefault="00EC1269">
                    <w:pPr>
                      <w:jc w:val="right"/>
                    </w:pPr>
                    <w:r>
                      <w:t>2,224,426</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14:paraId="731E9298" w14:textId="77777777" w:rsidR="007E7472" w:rsidRDefault="00EC1269">
                    <w:pPr>
                      <w:jc w:val="right"/>
                    </w:pPr>
                    <w:r>
                      <w:t>2,158,717</w:t>
                    </w:r>
                  </w:p>
                </w:tc>
              </w:tr>
            </w:sdtContent>
          </w:sdt>
          <w:sdt>
            <w:sdtPr>
              <w:alias w:val="销售费用明细"/>
              <w:tag w:val="_GBC_8b0e6f0534ed42879aaed18b46dbec7d"/>
              <w:id w:val="-1691909483"/>
              <w:lock w:val="sdtLocked"/>
              <w:placeholder>
                <w:docPart w:val="GBC11111111111111111111111111111"/>
              </w:placeholder>
            </w:sdtPr>
            <w:sdtEndPr/>
            <w:sdtContent>
              <w:tr w:rsidR="007E7472" w14:paraId="1A1EEC30" w14:textId="77777777" w:rsidTr="007E7472">
                <w:trPr>
                  <w:trHeight w:val="340"/>
                </w:trPr>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14:paraId="2779E48A" w14:textId="77777777" w:rsidR="007E7472" w:rsidRDefault="00EC1269">
                    <w:r>
                      <w:rPr>
                        <w:rFonts w:hint="eastAsia"/>
                      </w:rPr>
                      <w:t>职工薪酬社保及福利费</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0A4153E2" w14:textId="77777777" w:rsidR="007E7472" w:rsidRDefault="00EC1269">
                    <w:pPr>
                      <w:jc w:val="right"/>
                    </w:pPr>
                    <w:r>
                      <w:t>85,674</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14:paraId="073BBF1A" w14:textId="77777777" w:rsidR="007E7472" w:rsidRDefault="00EC1269">
                    <w:pPr>
                      <w:jc w:val="right"/>
                    </w:pPr>
                    <w:r>
                      <w:t>73,890</w:t>
                    </w:r>
                  </w:p>
                </w:tc>
              </w:tr>
            </w:sdtContent>
          </w:sdt>
          <w:sdt>
            <w:sdtPr>
              <w:alias w:val="销售费用明细"/>
              <w:tag w:val="_GBC_8b0e6f0534ed42879aaed18b46dbec7d"/>
              <w:id w:val="-287587163"/>
              <w:lock w:val="sdtLocked"/>
              <w:placeholder>
                <w:docPart w:val="GBC11111111111111111111111111111"/>
              </w:placeholder>
            </w:sdtPr>
            <w:sdtEndPr/>
            <w:sdtContent>
              <w:tr w:rsidR="007E7472" w14:paraId="0E8B42E2" w14:textId="77777777" w:rsidTr="007E7472">
                <w:trPr>
                  <w:trHeight w:val="340"/>
                </w:trPr>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14:paraId="2F57B991" w14:textId="77777777" w:rsidR="007E7472" w:rsidRDefault="00EC1269">
                    <w:r>
                      <w:rPr>
                        <w:rFonts w:hint="eastAsia"/>
                      </w:rPr>
                      <w:t>其他</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5376B821" w14:textId="77777777" w:rsidR="007E7472" w:rsidRDefault="00EC1269">
                    <w:pPr>
                      <w:jc w:val="right"/>
                    </w:pPr>
                    <w:r>
                      <w:t>151,538</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14:paraId="0C82BCA2" w14:textId="77777777" w:rsidR="007E7472" w:rsidRDefault="00EC1269">
                    <w:pPr>
                      <w:jc w:val="right"/>
                    </w:pPr>
                    <w:r>
                      <w:t>237,729</w:t>
                    </w:r>
                  </w:p>
                </w:tc>
              </w:tr>
            </w:sdtContent>
          </w:sdt>
          <w:tr w:rsidR="007E7472" w14:paraId="2CEDD24E" w14:textId="77777777" w:rsidTr="007E7472">
            <w:trPr>
              <w:trHeight w:val="340"/>
            </w:trPr>
            <w:sdt>
              <w:sdtPr>
                <w:tag w:val="_PLD_bb83cc20a1fb4ed7973343e471dad9ef"/>
                <w:id w:val="1551490301"/>
                <w:lock w:val="sdtLocked"/>
              </w:sdtPr>
              <w:sdtEndPr/>
              <w:sdtContent>
                <w:tc>
                  <w:tcPr>
                    <w:tcW w:w="2175" w:type="pct"/>
                    <w:tcBorders>
                      <w:top w:val="single" w:sz="4" w:space="0" w:color="auto"/>
                      <w:left w:val="single" w:sz="4" w:space="0" w:color="auto"/>
                      <w:bottom w:val="single" w:sz="4" w:space="0" w:color="auto"/>
                      <w:right w:val="single" w:sz="4" w:space="0" w:color="auto"/>
                    </w:tcBorders>
                    <w:shd w:val="clear" w:color="auto" w:fill="auto"/>
                    <w:vAlign w:val="center"/>
                  </w:tcPr>
                  <w:p w14:paraId="0F919C24" w14:textId="77777777" w:rsidR="007E7472" w:rsidRDefault="00EC1269">
                    <w:pPr>
                      <w:jc w:val="center"/>
                    </w:pPr>
                    <w:r>
                      <w:rPr>
                        <w:rFonts w:hint="eastAsia"/>
                      </w:rPr>
                      <w:t>合计</w:t>
                    </w:r>
                  </w:p>
                </w:tc>
              </w:sdtContent>
            </w:sdt>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601FC1DB" w14:textId="77777777" w:rsidR="007E7472" w:rsidRDefault="00EC1269">
                <w:pPr>
                  <w:jc w:val="right"/>
                </w:pPr>
                <w:r>
                  <w:t>2,461,638</w:t>
                </w:r>
              </w:p>
            </w:tc>
            <w:tc>
              <w:tcPr>
                <w:tcW w:w="1337" w:type="pct"/>
                <w:tcBorders>
                  <w:top w:val="single" w:sz="4" w:space="0" w:color="auto"/>
                  <w:left w:val="single" w:sz="4" w:space="0" w:color="auto"/>
                  <w:bottom w:val="single" w:sz="4" w:space="0" w:color="auto"/>
                  <w:right w:val="single" w:sz="4" w:space="0" w:color="auto"/>
                </w:tcBorders>
                <w:shd w:val="clear" w:color="auto" w:fill="auto"/>
                <w:vAlign w:val="center"/>
              </w:tcPr>
              <w:p w14:paraId="3D5CD1EA" w14:textId="77777777" w:rsidR="007E7472" w:rsidRDefault="00EC1269">
                <w:pPr>
                  <w:jc w:val="right"/>
                </w:pPr>
                <w:r>
                  <w:t>2,470,336</w:t>
                </w:r>
              </w:p>
            </w:tc>
          </w:tr>
        </w:tbl>
      </w:sdtContent>
    </w:sdt>
    <w:p w14:paraId="3AA9BB13" w14:textId="77777777" w:rsidR="007E7472" w:rsidRDefault="00C8327E"/>
    <w:sdt>
      <w:sdtPr>
        <w:rPr>
          <w:rFonts w:ascii="宋体" w:hAnsi="宋体" w:cs="宋体" w:hint="eastAsia"/>
          <w:b w:val="0"/>
          <w:bCs w:val="0"/>
          <w:kern w:val="0"/>
          <w:sz w:val="20"/>
          <w:szCs w:val="21"/>
        </w:rPr>
        <w:alias w:val="模块:管理费用"/>
        <w:tag w:val="_GBC_d5a6283bdea64513980a0cc618e2ec60"/>
        <w:id w:val="1855461433"/>
        <w:lock w:val="sdtLocked"/>
        <w:placeholder>
          <w:docPart w:val="GBC22222222222222222222222222222"/>
        </w:placeholder>
      </w:sdtPr>
      <w:sdtEndPr/>
      <w:sdtContent>
        <w:p w14:paraId="1C7A9F59" w14:textId="77777777" w:rsidR="007E7472" w:rsidRDefault="00EC1269" w:rsidP="00162493">
          <w:pPr>
            <w:pStyle w:val="3"/>
            <w:numPr>
              <w:ilvl w:val="0"/>
              <w:numId w:val="62"/>
            </w:numPr>
          </w:pPr>
          <w:r>
            <w:rPr>
              <w:rFonts w:hint="eastAsia"/>
            </w:rPr>
            <w:t>管理费用</w:t>
          </w:r>
        </w:p>
        <w:sdt>
          <w:sdtPr>
            <w:alias w:val="是否适用：管理费用[双击切换]"/>
            <w:tag w:val="_GBC_864c9dd9adce435698261f1da02ab8fb"/>
            <w:id w:val="-1074817518"/>
            <w:lock w:val="sdtLocked"/>
            <w:placeholder>
              <w:docPart w:val="GBC22222222222222222222222222222"/>
            </w:placeholder>
          </w:sdtPr>
          <w:sdtEndPr/>
          <w:sdtContent>
            <w:p w14:paraId="273FCBD6"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557B948D" w14:textId="487C2AA3" w:rsidR="007E7472" w:rsidRDefault="00EC1269">
          <w:pPr>
            <w:jc w:val="right"/>
          </w:pPr>
          <w:r>
            <w:rPr>
              <w:rFonts w:hint="eastAsia"/>
            </w:rPr>
            <w:t>单位：</w:t>
          </w:r>
          <w:sdt>
            <w:sdtPr>
              <w:rPr>
                <w:rFonts w:hint="eastAsia"/>
              </w:rPr>
              <w:alias w:val="单位：管理费用"/>
              <w:tag w:val="_GBC_b8198aec3f7748d28785c1eebbf02df7"/>
              <w:id w:val="-211991057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管理费用"/>
              <w:tag w:val="_GBC_f92af61f8b3b45ba9ec818ede9725428"/>
              <w:id w:val="8742718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5"/>
            <w:gridCol w:w="2539"/>
            <w:gridCol w:w="2379"/>
          </w:tblGrid>
          <w:tr w:rsidR="007E7472" w14:paraId="24553A53" w14:textId="77777777" w:rsidTr="007E7472">
            <w:trPr>
              <w:trHeight w:val="340"/>
            </w:trPr>
            <w:sdt>
              <w:sdtPr>
                <w:tag w:val="_PLD_249fd0c096ba421285089a0fada9d43a"/>
                <w:id w:val="92831290"/>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0FECDD4" w14:textId="77777777" w:rsidR="007E7472" w:rsidRDefault="00EC1269">
                    <w:pPr>
                      <w:jc w:val="center"/>
                    </w:pPr>
                    <w:r>
                      <w:rPr>
                        <w:rFonts w:hint="eastAsia"/>
                      </w:rPr>
                      <w:t>项目</w:t>
                    </w:r>
                  </w:p>
                </w:tc>
              </w:sdtContent>
            </w:sdt>
            <w:sdt>
              <w:sdtPr>
                <w:tag w:val="_PLD_acf5bcbf929244268be56ad5d0f3ea18"/>
                <w:id w:val="-796056398"/>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4A2AE102" w14:textId="77777777" w:rsidR="007E7472" w:rsidRDefault="00EC1269">
                    <w:pPr>
                      <w:jc w:val="center"/>
                    </w:pPr>
                    <w:r>
                      <w:rPr>
                        <w:rFonts w:hint="eastAsia"/>
                      </w:rPr>
                      <w:t>本期发生额</w:t>
                    </w:r>
                  </w:p>
                </w:tc>
              </w:sdtContent>
            </w:sdt>
            <w:sdt>
              <w:sdtPr>
                <w:tag w:val="_PLD_d37d8a59d4d74c26ac22dc33983efa29"/>
                <w:id w:val="523835556"/>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6A06DCE5" w14:textId="77777777" w:rsidR="007E7472" w:rsidRDefault="00EC1269">
                    <w:pPr>
                      <w:jc w:val="center"/>
                    </w:pPr>
                    <w:r>
                      <w:rPr>
                        <w:rFonts w:hint="eastAsia"/>
                      </w:rPr>
                      <w:t>上期发生额</w:t>
                    </w:r>
                  </w:p>
                </w:tc>
              </w:sdtContent>
            </w:sdt>
          </w:tr>
          <w:sdt>
            <w:sdtPr>
              <w:rPr>
                <w:rFonts w:hint="eastAsia"/>
              </w:rPr>
              <w:alias w:val="管理费用明细"/>
              <w:tag w:val="_GBC_1330575ab4a44e46920401d3d7599402"/>
              <w:id w:val="-1697838273"/>
              <w:lock w:val="sdtLocked"/>
              <w:placeholder>
                <w:docPart w:val="GBC11111111111111111111111111111"/>
              </w:placeholder>
            </w:sdtPr>
            <w:sdtEndPr/>
            <w:sdtContent>
              <w:tr w:rsidR="007E7472" w14:paraId="5CFC9306" w14:textId="77777777" w:rsidTr="007E7472">
                <w:trPr>
                  <w:trHeight w:val="340"/>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4AB42AA" w14:textId="77777777" w:rsidR="007E7472" w:rsidRDefault="00EC1269">
                    <w:r>
                      <w:rPr>
                        <w:rFonts w:hint="eastAsia"/>
                      </w:rPr>
                      <w:t>职工薪酬社保及福利费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69295CA8" w14:textId="77777777" w:rsidR="007E7472" w:rsidRDefault="00EC1269">
                    <w:pPr>
                      <w:jc w:val="right"/>
                    </w:pPr>
                    <w:r>
                      <w:t>1,727,434</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72D47E42" w14:textId="77777777" w:rsidR="007E7472" w:rsidRDefault="00EC1269">
                    <w:pPr>
                      <w:jc w:val="right"/>
                    </w:pPr>
                    <w:r>
                      <w:t>1,980,156</w:t>
                    </w:r>
                  </w:p>
                </w:tc>
              </w:tr>
            </w:sdtContent>
          </w:sdt>
          <w:sdt>
            <w:sdtPr>
              <w:rPr>
                <w:rFonts w:hint="eastAsia"/>
              </w:rPr>
              <w:alias w:val="管理费用明细"/>
              <w:tag w:val="_GBC_1330575ab4a44e46920401d3d7599402"/>
              <w:id w:val="-1233393756"/>
              <w:lock w:val="sdtLocked"/>
              <w:placeholder>
                <w:docPart w:val="GBC11111111111111111111111111111"/>
              </w:placeholder>
            </w:sdtPr>
            <w:sdtEndPr/>
            <w:sdtContent>
              <w:tr w:rsidR="007E7472" w14:paraId="66486BA3" w14:textId="77777777" w:rsidTr="007E7472">
                <w:trPr>
                  <w:trHeight w:val="340"/>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60A1407E" w14:textId="77777777" w:rsidR="007E7472" w:rsidRDefault="00EC1269">
                    <w:r>
                      <w:rPr>
                        <w:rFonts w:hint="eastAsia"/>
                      </w:rPr>
                      <w:t>折旧费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25341085" w14:textId="77777777" w:rsidR="007E7472" w:rsidRDefault="00EC1269">
                    <w:pPr>
                      <w:jc w:val="right"/>
                    </w:pPr>
                    <w:r>
                      <w:t>260,136</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596A83A0" w14:textId="77777777" w:rsidR="007E7472" w:rsidRDefault="00EC1269">
                    <w:pPr>
                      <w:jc w:val="right"/>
                    </w:pPr>
                    <w:r>
                      <w:t>314,190</w:t>
                    </w:r>
                  </w:p>
                </w:tc>
              </w:tr>
            </w:sdtContent>
          </w:sdt>
          <w:sdt>
            <w:sdtPr>
              <w:rPr>
                <w:rFonts w:hint="eastAsia"/>
              </w:rPr>
              <w:alias w:val="管理费用明细"/>
              <w:tag w:val="_GBC_1330575ab4a44e46920401d3d7599402"/>
              <w:id w:val="-674648407"/>
              <w:lock w:val="sdtLocked"/>
            </w:sdtPr>
            <w:sdtEndPr>
              <w:rPr>
                <w:rFonts w:hint="default"/>
              </w:rPr>
            </w:sdtEndPr>
            <w:sdtContent>
              <w:tr w:rsidR="007E7472" w14:paraId="028495AD" w14:textId="77777777" w:rsidTr="007E7472">
                <w:trPr>
                  <w:trHeight w:val="340"/>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356363E" w14:textId="77777777" w:rsidR="007E7472" w:rsidRDefault="00EC1269">
                    <w:r>
                      <w:rPr>
                        <w:rFonts w:hint="eastAsia"/>
                      </w:rPr>
                      <w:t>中介、咨询及服务费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1D6B9CD3" w14:textId="77777777" w:rsidR="007E7472" w:rsidRDefault="00EC1269">
                    <w:pPr>
                      <w:jc w:val="right"/>
                    </w:pPr>
                    <w:r>
                      <w:t>239,343</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446C1C40" w14:textId="77777777" w:rsidR="007E7472" w:rsidRDefault="00EC1269">
                    <w:pPr>
                      <w:jc w:val="right"/>
                    </w:pPr>
                    <w:r>
                      <w:t>83,792</w:t>
                    </w:r>
                  </w:p>
                </w:tc>
              </w:tr>
            </w:sdtContent>
          </w:sdt>
          <w:sdt>
            <w:sdtPr>
              <w:rPr>
                <w:rFonts w:hint="eastAsia"/>
              </w:rPr>
              <w:alias w:val="管理费用明细"/>
              <w:tag w:val="_GBC_1330575ab4a44e46920401d3d7599402"/>
              <w:id w:val="-507750153"/>
              <w:lock w:val="sdtLocked"/>
            </w:sdtPr>
            <w:sdtEndPr/>
            <w:sdtContent>
              <w:tr w:rsidR="007E7472" w14:paraId="536BFE3E" w14:textId="77777777" w:rsidTr="007E7472">
                <w:trPr>
                  <w:trHeight w:val="340"/>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336EB9D5" w14:textId="77777777" w:rsidR="007E7472" w:rsidRDefault="00EC1269">
                    <w:r>
                      <w:rPr>
                        <w:rFonts w:hint="eastAsia"/>
                      </w:rPr>
                      <w:t>股份支付</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39DBEBC3" w14:textId="77777777" w:rsidR="007E7472" w:rsidRDefault="00EC1269">
                    <w:pPr>
                      <w:jc w:val="right"/>
                    </w:pPr>
                    <w:r>
                      <w:t>189,412</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44F057FA" w14:textId="77777777" w:rsidR="007E7472" w:rsidRDefault="00EC1269">
                    <w:pPr>
                      <w:jc w:val="right"/>
                    </w:pPr>
                    <w:r>
                      <w:t>123,231</w:t>
                    </w:r>
                  </w:p>
                </w:tc>
              </w:tr>
            </w:sdtContent>
          </w:sdt>
          <w:sdt>
            <w:sdtPr>
              <w:rPr>
                <w:rFonts w:hint="eastAsia"/>
              </w:rPr>
              <w:alias w:val="管理费用明细"/>
              <w:tag w:val="_GBC_1330575ab4a44e46920401d3d7599402"/>
              <w:id w:val="1664126719"/>
              <w:lock w:val="sdtLocked"/>
            </w:sdtPr>
            <w:sdtEndPr/>
            <w:sdtContent>
              <w:tr w:rsidR="007E7472" w14:paraId="34B43621" w14:textId="77777777" w:rsidTr="007E7472">
                <w:trPr>
                  <w:trHeight w:val="340"/>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10563FE" w14:textId="77777777" w:rsidR="007E7472" w:rsidRDefault="00EC1269">
                    <w:r>
                      <w:rPr>
                        <w:rFonts w:hint="eastAsia"/>
                      </w:rPr>
                      <w:t>摊销、租赁费等</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76D9EE72" w14:textId="77777777" w:rsidR="007E7472" w:rsidRDefault="00EC1269">
                    <w:pPr>
                      <w:jc w:val="right"/>
                    </w:pPr>
                    <w:r>
                      <w:t>112,843</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219D9044" w14:textId="77777777" w:rsidR="007E7472" w:rsidRDefault="00EC1269">
                    <w:pPr>
                      <w:jc w:val="right"/>
                    </w:pPr>
                    <w:r>
                      <w:t>94,886</w:t>
                    </w:r>
                  </w:p>
                </w:tc>
              </w:tr>
            </w:sdtContent>
          </w:sdt>
          <w:sdt>
            <w:sdtPr>
              <w:rPr>
                <w:rFonts w:hint="eastAsia"/>
              </w:rPr>
              <w:alias w:val="管理费用明细"/>
              <w:tag w:val="_GBC_1330575ab4a44e46920401d3d7599402"/>
              <w:id w:val="750473115"/>
              <w:lock w:val="sdtLocked"/>
            </w:sdtPr>
            <w:sdtEndPr/>
            <w:sdtContent>
              <w:tr w:rsidR="007E7472" w14:paraId="41875550" w14:textId="77777777" w:rsidTr="007E7472">
                <w:trPr>
                  <w:trHeight w:val="340"/>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08D5706" w14:textId="77777777" w:rsidR="007E7472" w:rsidRDefault="00EC1269">
                    <w:r>
                      <w:rPr>
                        <w:rFonts w:hint="eastAsia"/>
                      </w:rPr>
                      <w:t>差旅、办公、会议及招待费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49503C26" w14:textId="77777777" w:rsidR="007E7472" w:rsidRDefault="00EC1269">
                    <w:pPr>
                      <w:jc w:val="right"/>
                    </w:pPr>
                    <w:r>
                      <w:t>102,598</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262055C6" w14:textId="77777777" w:rsidR="007E7472" w:rsidRDefault="00EC1269">
                    <w:pPr>
                      <w:jc w:val="right"/>
                    </w:pPr>
                    <w:r>
                      <w:t>37,711</w:t>
                    </w:r>
                  </w:p>
                </w:tc>
              </w:tr>
            </w:sdtContent>
          </w:sdt>
          <w:sdt>
            <w:sdtPr>
              <w:rPr>
                <w:rFonts w:hint="eastAsia"/>
              </w:rPr>
              <w:alias w:val="管理费用明细"/>
              <w:tag w:val="_GBC_1330575ab4a44e46920401d3d7599402"/>
              <w:id w:val="1376356417"/>
              <w:lock w:val="sdtLocked"/>
            </w:sdtPr>
            <w:sdtEndPr>
              <w:rPr>
                <w:rFonts w:hint="default"/>
              </w:rPr>
            </w:sdtEndPr>
            <w:sdtContent>
              <w:tr w:rsidR="007E7472" w14:paraId="44F4738E" w14:textId="77777777" w:rsidTr="007E7472">
                <w:trPr>
                  <w:trHeight w:val="340"/>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FE0A35E" w14:textId="77777777" w:rsidR="007E7472" w:rsidRDefault="00EC1269">
                    <w:r>
                      <w:rPr>
                        <w:rFonts w:hint="eastAsia"/>
                      </w:rPr>
                      <w:t>物业费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67E84E06" w14:textId="77777777" w:rsidR="007E7472" w:rsidRDefault="00EC1269">
                    <w:pPr>
                      <w:jc w:val="right"/>
                    </w:pPr>
                    <w:r>
                      <w:t>55,490</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56062634" w14:textId="77777777" w:rsidR="007E7472" w:rsidRDefault="00EC1269">
                    <w:pPr>
                      <w:jc w:val="right"/>
                    </w:pPr>
                    <w:r>
                      <w:t>52,641</w:t>
                    </w:r>
                  </w:p>
                </w:tc>
              </w:tr>
            </w:sdtContent>
          </w:sdt>
          <w:sdt>
            <w:sdtPr>
              <w:rPr>
                <w:rFonts w:hint="eastAsia"/>
              </w:rPr>
              <w:alias w:val="管理费用明细"/>
              <w:tag w:val="_GBC_1330575ab4a44e46920401d3d7599402"/>
              <w:id w:val="1948198150"/>
              <w:lock w:val="sdtLocked"/>
            </w:sdtPr>
            <w:sdtEndPr/>
            <w:sdtContent>
              <w:tr w:rsidR="007E7472" w14:paraId="4BD87780" w14:textId="77777777" w:rsidTr="007E7472">
                <w:trPr>
                  <w:trHeight w:val="340"/>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101E02E" w14:textId="77777777" w:rsidR="007E7472" w:rsidRDefault="00EC1269">
                    <w:r>
                      <w:rPr>
                        <w:rFonts w:hint="eastAsia"/>
                      </w:rPr>
                      <w:t>材料及修理费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70023D7E" w14:textId="77777777" w:rsidR="007E7472" w:rsidRDefault="00EC1269">
                    <w:pPr>
                      <w:jc w:val="right"/>
                    </w:pPr>
                    <w:r>
                      <w:t>51,868</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20FE037C" w14:textId="77777777" w:rsidR="007E7472" w:rsidRDefault="00EC1269">
                    <w:pPr>
                      <w:jc w:val="right"/>
                    </w:pPr>
                    <w:r>
                      <w:t>55,094</w:t>
                    </w:r>
                  </w:p>
                </w:tc>
              </w:tr>
            </w:sdtContent>
          </w:sdt>
          <w:sdt>
            <w:sdtPr>
              <w:rPr>
                <w:rFonts w:hint="eastAsia"/>
              </w:rPr>
              <w:alias w:val="管理费用明细"/>
              <w:tag w:val="_GBC_1330575ab4a44e46920401d3d7599402"/>
              <w:id w:val="-1273011669"/>
              <w:lock w:val="sdtLocked"/>
            </w:sdtPr>
            <w:sdtEndPr/>
            <w:sdtContent>
              <w:tr w:rsidR="007E7472" w14:paraId="27366B2D" w14:textId="77777777" w:rsidTr="007E7472">
                <w:trPr>
                  <w:trHeight w:val="340"/>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A6D3FF8" w14:textId="77777777" w:rsidR="007E7472" w:rsidRDefault="00EC1269">
                    <w:r>
                      <w:rPr>
                        <w:rFonts w:hint="eastAsia"/>
                      </w:rPr>
                      <w:t>党建工作经费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5C3BD818" w14:textId="77777777" w:rsidR="007E7472" w:rsidRDefault="00EC1269">
                    <w:pPr>
                      <w:jc w:val="right"/>
                    </w:pPr>
                    <w:r>
                      <w:t>29,836</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7EDE0A19" w14:textId="77777777" w:rsidR="007E7472" w:rsidRDefault="00EC1269">
                    <w:pPr>
                      <w:jc w:val="right"/>
                    </w:pPr>
                    <w:r>
                      <w:t>28,245</w:t>
                    </w:r>
                  </w:p>
                </w:tc>
              </w:tr>
            </w:sdtContent>
          </w:sdt>
          <w:sdt>
            <w:sdtPr>
              <w:rPr>
                <w:rFonts w:hint="eastAsia"/>
              </w:rPr>
              <w:alias w:val="管理费用明细"/>
              <w:tag w:val="_GBC_1330575ab4a44e46920401d3d7599402"/>
              <w:id w:val="1803040322"/>
              <w:lock w:val="sdtLocked"/>
            </w:sdtPr>
            <w:sdtEndPr/>
            <w:sdtContent>
              <w:tr w:rsidR="007E7472" w14:paraId="18BF36F3" w14:textId="77777777" w:rsidTr="007E7472">
                <w:trPr>
                  <w:trHeight w:val="340"/>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6DBA6E31" w14:textId="77777777" w:rsidR="007E7472" w:rsidRDefault="00EC1269">
                    <w:r>
                      <w:rPr>
                        <w:rFonts w:hint="eastAsia"/>
                      </w:rPr>
                      <w:t>其他</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24224DA1" w14:textId="77777777" w:rsidR="007E7472" w:rsidRDefault="00EC1269">
                    <w:pPr>
                      <w:jc w:val="right"/>
                    </w:pPr>
                    <w:r>
                      <w:t>127,652</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5308EED5" w14:textId="77777777" w:rsidR="007E7472" w:rsidRDefault="00EC1269">
                    <w:pPr>
                      <w:jc w:val="right"/>
                    </w:pPr>
                    <w:r>
                      <w:t>121,516</w:t>
                    </w:r>
                  </w:p>
                </w:tc>
              </w:tr>
            </w:sdtContent>
          </w:sdt>
          <w:tr w:rsidR="007E7472" w14:paraId="0E773B63" w14:textId="77777777" w:rsidTr="007E7472">
            <w:trPr>
              <w:trHeight w:val="340"/>
            </w:trPr>
            <w:sdt>
              <w:sdtPr>
                <w:tag w:val="_PLD_a1574943c0c74f868555494c72b6afa6"/>
                <w:id w:val="-998268408"/>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AABCC62" w14:textId="77777777" w:rsidR="007E7472" w:rsidRDefault="00EC1269">
                    <w:pPr>
                      <w:jc w:val="center"/>
                    </w:pPr>
                    <w:r>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2BCCD014" w14:textId="77777777" w:rsidR="007E7472" w:rsidRDefault="00EC1269">
                <w:pPr>
                  <w:jc w:val="right"/>
                </w:pPr>
                <w:r>
                  <w:t>2,896,612</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6B574822" w14:textId="77777777" w:rsidR="007E7472" w:rsidRDefault="00EC1269">
                <w:pPr>
                  <w:jc w:val="right"/>
                </w:pPr>
                <w:r>
                  <w:t>2,891,462</w:t>
                </w:r>
              </w:p>
            </w:tc>
          </w:tr>
        </w:tbl>
      </w:sdtContent>
    </w:sdt>
    <w:bookmarkStart w:id="263" w:name="_Hlk10538261" w:displacedByCustomXml="next"/>
    <w:sdt>
      <w:sdtPr>
        <w:rPr>
          <w:rFonts w:ascii="宋体" w:hAnsi="宋体" w:cs="宋体" w:hint="eastAsia"/>
          <w:b w:val="0"/>
          <w:bCs w:val="0"/>
          <w:kern w:val="0"/>
          <w:sz w:val="20"/>
          <w:szCs w:val="21"/>
        </w:rPr>
        <w:alias w:val="模块:研发费用"/>
        <w:tag w:val="_SEC_5070ecc0a0324b189a4ec7d6e218c5d7"/>
        <w:id w:val="1454207575"/>
        <w:lock w:val="sdtLocked"/>
        <w:placeholder>
          <w:docPart w:val="GBC22222222222222222222222222222"/>
        </w:placeholder>
      </w:sdtPr>
      <w:sdtEndPr>
        <w:rPr>
          <w:rFonts w:hint="default"/>
        </w:rPr>
      </w:sdtEndPr>
      <w:sdtContent>
        <w:p w14:paraId="0F2E0256" w14:textId="77777777" w:rsidR="007E7472" w:rsidRDefault="00EC1269" w:rsidP="00162493">
          <w:pPr>
            <w:pStyle w:val="3"/>
            <w:numPr>
              <w:ilvl w:val="0"/>
              <w:numId w:val="62"/>
            </w:numPr>
          </w:pPr>
          <w:r>
            <w:rPr>
              <w:rFonts w:hint="eastAsia"/>
            </w:rPr>
            <w:t>研发费用</w:t>
          </w:r>
        </w:p>
        <w:sdt>
          <w:sdtPr>
            <w:alias w:val="是否适用：研发费用[双击切换]"/>
            <w:tag w:val="_GBC_48b4a6beb6f54c3ba7c01af3727337bb"/>
            <w:id w:val="-2004430562"/>
            <w:lock w:val="sdtLocked"/>
            <w:placeholder>
              <w:docPart w:val="GBC22222222222222222222222222222"/>
            </w:placeholder>
          </w:sdtPr>
          <w:sdtEndPr/>
          <w:sdtContent>
            <w:p w14:paraId="731C47A6"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1EF5A42B" w14:textId="3207293E" w:rsidR="007E7472" w:rsidRDefault="00EC1269">
          <w:pPr>
            <w:ind w:left="420"/>
            <w:jc w:val="right"/>
          </w:pPr>
          <w:r>
            <w:rPr>
              <w:rFonts w:hint="eastAsia"/>
            </w:rPr>
            <w:t>单位：</w:t>
          </w:r>
          <w:sdt>
            <w:sdtPr>
              <w:rPr>
                <w:rFonts w:hint="eastAsia"/>
              </w:rPr>
              <w:alias w:val="单位：研发费用"/>
              <w:tag w:val="_GBC_a0292321d82f46b8823ab163b1084fea"/>
              <w:id w:val="-8136402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研发费用"/>
              <w:tag w:val="_GBC_a0b2b92cacc24641a2d69fc025b920ea"/>
              <w:id w:val="373298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5"/>
            <w:gridCol w:w="2539"/>
            <w:gridCol w:w="2379"/>
          </w:tblGrid>
          <w:tr w:rsidR="007E7472" w14:paraId="19E07FE0" w14:textId="77777777" w:rsidTr="007E7472">
            <w:trPr>
              <w:trHeight w:val="340"/>
            </w:trPr>
            <w:sdt>
              <w:sdtPr>
                <w:tag w:val="_PLD_878c2bf88dff43e8bf48fe187921cf85"/>
                <w:id w:val="-857351095"/>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50A7B8A6" w14:textId="77777777" w:rsidR="007E7472" w:rsidRDefault="00EC1269">
                    <w:pPr>
                      <w:jc w:val="center"/>
                    </w:pPr>
                    <w:r>
                      <w:rPr>
                        <w:rFonts w:hint="eastAsia"/>
                      </w:rPr>
                      <w:t>项目</w:t>
                    </w:r>
                  </w:p>
                </w:tc>
              </w:sdtContent>
            </w:sdt>
            <w:sdt>
              <w:sdtPr>
                <w:tag w:val="_PLD_043e1c3ae76a497c9be9c1eef3db33c6"/>
                <w:id w:val="1004171485"/>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4D638688" w14:textId="77777777" w:rsidR="007E7472" w:rsidRDefault="00EC1269">
                    <w:pPr>
                      <w:jc w:val="center"/>
                    </w:pPr>
                    <w:r>
                      <w:rPr>
                        <w:rFonts w:hint="eastAsia"/>
                      </w:rPr>
                      <w:t>本期发生额</w:t>
                    </w:r>
                  </w:p>
                </w:tc>
              </w:sdtContent>
            </w:sdt>
            <w:sdt>
              <w:sdtPr>
                <w:tag w:val="_PLD_d0588c88282b4dae9e42d7ffd38d27c6"/>
                <w:id w:val="640242316"/>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7E2CDB28" w14:textId="77777777" w:rsidR="007E7472" w:rsidRDefault="00EC1269">
                    <w:pPr>
                      <w:jc w:val="center"/>
                    </w:pPr>
                    <w:r>
                      <w:rPr>
                        <w:rFonts w:hint="eastAsia"/>
                      </w:rPr>
                      <w:t>上期发生额</w:t>
                    </w:r>
                  </w:p>
                </w:tc>
              </w:sdtContent>
            </w:sdt>
          </w:tr>
          <w:sdt>
            <w:sdtPr>
              <w:alias w:val="研发费用明细"/>
              <w:tag w:val="_TUP_78c47ce77ce942a2a4c5b824fc4daeaa"/>
              <w:id w:val="334342272"/>
              <w:lock w:val="sdtLocked"/>
              <w:placeholder>
                <w:docPart w:val="GBC11111111111111111111111111111"/>
              </w:placeholder>
            </w:sdtPr>
            <w:sdtEndPr/>
            <w:sdtContent>
              <w:tr w:rsidR="007E7472" w14:paraId="0B8BA654" w14:textId="77777777" w:rsidTr="007E7472">
                <w:trPr>
                  <w:trHeight w:val="340"/>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54966F0B" w14:textId="77777777" w:rsidR="007E7472" w:rsidRDefault="00EC1269">
                    <w:r>
                      <w:rPr>
                        <w:rFonts w:hint="eastAsia"/>
                      </w:rPr>
                      <w:t>设备材料费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2A2EDB74" w14:textId="77777777" w:rsidR="007E7472" w:rsidRDefault="00EC1269">
                    <w:pPr>
                      <w:jc w:val="right"/>
                    </w:pPr>
                    <w:r>
                      <w:t>155,689</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62A5BE8A" w14:textId="77777777" w:rsidR="007E7472" w:rsidRDefault="00EC1269">
                    <w:pPr>
                      <w:jc w:val="right"/>
                    </w:pPr>
                    <w:r>
                      <w:t>84,895</w:t>
                    </w:r>
                  </w:p>
                </w:tc>
              </w:tr>
            </w:sdtContent>
          </w:sdt>
          <w:sdt>
            <w:sdtPr>
              <w:alias w:val="研发费用明细"/>
              <w:tag w:val="_TUP_78c47ce77ce942a2a4c5b824fc4daeaa"/>
              <w:id w:val="-1950923350"/>
              <w:lock w:val="sdtLocked"/>
            </w:sdtPr>
            <w:sdtEndPr/>
            <w:sdtContent>
              <w:tr w:rsidR="007E7472" w14:paraId="3133D0E8" w14:textId="77777777" w:rsidTr="007E7472">
                <w:trPr>
                  <w:trHeight w:val="340"/>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778911A" w14:textId="77777777" w:rsidR="007E7472" w:rsidRDefault="00EC1269">
                    <w:r>
                      <w:rPr>
                        <w:rFonts w:hint="eastAsia"/>
                      </w:rPr>
                      <w:t>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376348D8" w14:textId="77777777" w:rsidR="007E7472" w:rsidRDefault="00EC1269">
                    <w:pPr>
                      <w:jc w:val="right"/>
                    </w:pPr>
                    <w:r>
                      <w:t>144,528</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76EE5B5C" w14:textId="77777777" w:rsidR="007E7472" w:rsidRDefault="00EC1269">
                    <w:pPr>
                      <w:jc w:val="right"/>
                    </w:pPr>
                    <w:r>
                      <w:t>157,082</w:t>
                    </w:r>
                  </w:p>
                </w:tc>
              </w:tr>
            </w:sdtContent>
          </w:sdt>
          <w:sdt>
            <w:sdtPr>
              <w:alias w:val="研发费用明细"/>
              <w:tag w:val="_TUP_78c47ce77ce942a2a4c5b824fc4daeaa"/>
              <w:id w:val="-866452368"/>
              <w:lock w:val="sdtLocked"/>
            </w:sdtPr>
            <w:sdtEndPr/>
            <w:sdtContent>
              <w:tr w:rsidR="007E7472" w14:paraId="6119E251" w14:textId="77777777" w:rsidTr="007E7472">
                <w:trPr>
                  <w:trHeight w:val="340"/>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2BE2311E" w14:textId="77777777" w:rsidR="007E7472" w:rsidRDefault="00EC1269">
                    <w:r>
                      <w:rPr>
                        <w:rFonts w:hint="eastAsia"/>
                      </w:rPr>
                      <w:t>委外技术服务费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1F8327C3" w14:textId="77777777" w:rsidR="007E7472" w:rsidRDefault="00EC1269">
                    <w:pPr>
                      <w:jc w:val="right"/>
                    </w:pPr>
                    <w:r>
                      <w:t>21,028</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059931D8" w14:textId="77777777" w:rsidR="007E7472" w:rsidRDefault="00EC1269">
                    <w:pPr>
                      <w:jc w:val="right"/>
                    </w:pPr>
                    <w:r>
                      <w:t>9,688</w:t>
                    </w:r>
                  </w:p>
                </w:tc>
              </w:tr>
            </w:sdtContent>
          </w:sdt>
          <w:sdt>
            <w:sdtPr>
              <w:alias w:val="研发费用明细"/>
              <w:tag w:val="_TUP_78c47ce77ce942a2a4c5b824fc4daeaa"/>
              <w:id w:val="-1294592983"/>
              <w:lock w:val="sdtLocked"/>
            </w:sdtPr>
            <w:sdtEndPr/>
            <w:sdtContent>
              <w:tr w:rsidR="007E7472" w14:paraId="00AC8BE1" w14:textId="77777777" w:rsidTr="007E7472">
                <w:trPr>
                  <w:trHeight w:val="340"/>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390C15C4" w14:textId="77777777" w:rsidR="007E7472" w:rsidRDefault="00EC1269">
                    <w:r>
                      <w:rPr>
                        <w:rFonts w:hint="eastAsia"/>
                      </w:rPr>
                      <w:t>折旧及摊销费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1FABDFF7" w14:textId="77777777" w:rsidR="007E7472" w:rsidRDefault="00EC1269">
                    <w:pPr>
                      <w:jc w:val="right"/>
                    </w:pPr>
                    <w:r>
                      <w:t>14,617</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1FBBBF74" w14:textId="77777777" w:rsidR="007E7472" w:rsidRDefault="00EC1269">
                    <w:pPr>
                      <w:jc w:val="right"/>
                    </w:pPr>
                    <w:r>
                      <w:t>15,655</w:t>
                    </w:r>
                  </w:p>
                </w:tc>
              </w:tr>
            </w:sdtContent>
          </w:sdt>
          <w:sdt>
            <w:sdtPr>
              <w:alias w:val="研发费用明细"/>
              <w:tag w:val="_TUP_78c47ce77ce942a2a4c5b824fc4daeaa"/>
              <w:id w:val="-965341281"/>
              <w:lock w:val="sdtLocked"/>
              <w:placeholder>
                <w:docPart w:val="GBC11111111111111111111111111111"/>
              </w:placeholder>
            </w:sdtPr>
            <w:sdtEndPr/>
            <w:sdtContent>
              <w:tr w:rsidR="007E7472" w14:paraId="6D9D3BAE" w14:textId="77777777" w:rsidTr="007E7472">
                <w:trPr>
                  <w:trHeight w:val="340"/>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67ED5D5" w14:textId="77777777" w:rsidR="007E7472" w:rsidRDefault="00EC1269">
                    <w:r>
                      <w:rPr>
                        <w:rFonts w:hint="eastAsia"/>
                      </w:rPr>
                      <w:t>其他</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7ADE34D4" w14:textId="77777777" w:rsidR="007E7472" w:rsidRDefault="00EC1269">
                    <w:pPr>
                      <w:jc w:val="right"/>
                    </w:pPr>
                    <w:r>
                      <w:t>25,030</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399D9656" w14:textId="77777777" w:rsidR="007E7472" w:rsidRDefault="00EC1269">
                    <w:pPr>
                      <w:jc w:val="right"/>
                    </w:pPr>
                    <w:r>
                      <w:t>15,874</w:t>
                    </w:r>
                  </w:p>
                </w:tc>
              </w:tr>
            </w:sdtContent>
          </w:sdt>
          <w:tr w:rsidR="007E7472" w14:paraId="572A8C93" w14:textId="77777777" w:rsidTr="007E7472">
            <w:trPr>
              <w:trHeight w:val="340"/>
            </w:trPr>
            <w:sdt>
              <w:sdtPr>
                <w:tag w:val="_PLD_5a23b545f4d04be78e814a8fcf71e521"/>
                <w:id w:val="-1546134388"/>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44076544" w14:textId="77777777" w:rsidR="007E7472" w:rsidRDefault="00EC1269">
                    <w:pPr>
                      <w:jc w:val="center"/>
                    </w:pPr>
                    <w:r>
                      <w:rPr>
                        <w:rFonts w:hint="eastAsia"/>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6AC4C0A3" w14:textId="77777777" w:rsidR="007E7472" w:rsidRDefault="00EC1269">
                <w:pPr>
                  <w:jc w:val="right"/>
                </w:pPr>
                <w:r>
                  <w:t>360,892</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191F0C60" w14:textId="77777777" w:rsidR="007E7472" w:rsidRDefault="00EC1269">
                <w:pPr>
                  <w:jc w:val="right"/>
                </w:pPr>
                <w:r>
                  <w:t>283,194</w:t>
                </w:r>
              </w:p>
            </w:tc>
          </w:tr>
        </w:tbl>
      </w:sdtContent>
    </w:sdt>
    <w:bookmarkEnd w:id="263" w:displacedByCustomXml="next"/>
    <w:sdt>
      <w:sdtPr>
        <w:rPr>
          <w:rFonts w:ascii="宋体" w:hAnsi="宋体" w:cs="宋体" w:hint="eastAsia"/>
          <w:b w:val="0"/>
          <w:bCs w:val="0"/>
          <w:kern w:val="0"/>
          <w:sz w:val="20"/>
          <w:szCs w:val="21"/>
        </w:rPr>
        <w:alias w:val="模块:财务费用"/>
        <w:tag w:val="_GBC_aeeadad5456b4097a79668e5a1cadb17"/>
        <w:id w:val="-1287271959"/>
        <w:lock w:val="sdtLocked"/>
        <w:placeholder>
          <w:docPart w:val="GBC22222222222222222222222222222"/>
        </w:placeholder>
      </w:sdtPr>
      <w:sdtEndPr/>
      <w:sdtContent>
        <w:p w14:paraId="165FCB1B" w14:textId="77777777" w:rsidR="007E7472" w:rsidRDefault="00EC1269" w:rsidP="00162493">
          <w:pPr>
            <w:pStyle w:val="3"/>
            <w:numPr>
              <w:ilvl w:val="0"/>
              <w:numId w:val="62"/>
            </w:numPr>
          </w:pPr>
          <w:r>
            <w:rPr>
              <w:rFonts w:hint="eastAsia"/>
            </w:rPr>
            <w:t>财务费用</w:t>
          </w:r>
        </w:p>
        <w:sdt>
          <w:sdtPr>
            <w:alias w:val="是否适用：财务费用[双击切换]"/>
            <w:tag w:val="_GBC_699d8bdb2f1f4504a0ea4ccbc8889cfa"/>
            <w:id w:val="-731081134"/>
            <w:lock w:val="sdtLocked"/>
            <w:placeholder>
              <w:docPart w:val="GBC22222222222222222222222222222"/>
            </w:placeholder>
          </w:sdtPr>
          <w:sdtEndPr/>
          <w:sdtContent>
            <w:p w14:paraId="73FF8D44"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2DDB6E54" w14:textId="07ACB5A6" w:rsidR="007E7472" w:rsidRDefault="00EC1269">
          <w:pPr>
            <w:jc w:val="right"/>
          </w:pPr>
          <w:r>
            <w:rPr>
              <w:rFonts w:hint="eastAsia"/>
            </w:rPr>
            <w:lastRenderedPageBreak/>
            <w:t>单位：</w:t>
          </w:r>
          <w:sdt>
            <w:sdtPr>
              <w:rPr>
                <w:rFonts w:hint="eastAsia"/>
              </w:rPr>
              <w:alias w:val="单位：财务费用"/>
              <w:tag w:val="_GBC_eb9e02dce68144759561a3427fb3099a"/>
              <w:id w:val="4105966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费用"/>
              <w:tag w:val="_GBC_8e992a76854b4bd0a3f5cd49b31a4604"/>
              <w:id w:val="14808126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5"/>
            <w:gridCol w:w="2539"/>
            <w:gridCol w:w="2379"/>
          </w:tblGrid>
          <w:tr w:rsidR="007E7472" w14:paraId="56BC6047" w14:textId="77777777" w:rsidTr="007E7472">
            <w:trPr>
              <w:trHeight w:val="340"/>
            </w:trPr>
            <w:sdt>
              <w:sdtPr>
                <w:tag w:val="_PLD_c57c227174f044c4bfa2c0fda1e37156"/>
                <w:id w:val="-591790471"/>
                <w:lock w:val="sdtLocked"/>
              </w:sdtPr>
              <w:sdtEnd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56245379" w14:textId="77777777" w:rsidR="007E7472" w:rsidRDefault="00EC1269">
                    <w:pPr>
                      <w:jc w:val="center"/>
                    </w:pPr>
                    <w:r>
                      <w:rPr>
                        <w:rFonts w:hint="eastAsia"/>
                      </w:rPr>
                      <w:t>项目</w:t>
                    </w:r>
                  </w:p>
                </w:tc>
              </w:sdtContent>
            </w:sdt>
            <w:sdt>
              <w:sdtPr>
                <w:tag w:val="_PLD_d7b23aa0bcb6433894875c858270ab7f"/>
                <w:id w:val="-934678073"/>
                <w:lock w:val="sdtLocked"/>
              </w:sdt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4AA32352" w14:textId="77777777" w:rsidR="007E7472" w:rsidRDefault="00EC1269">
                    <w:pPr>
                      <w:jc w:val="center"/>
                    </w:pPr>
                    <w:r>
                      <w:rPr>
                        <w:rFonts w:hint="eastAsia"/>
                      </w:rPr>
                      <w:t>本期发生额</w:t>
                    </w:r>
                  </w:p>
                </w:tc>
              </w:sdtContent>
            </w:sdt>
            <w:sdt>
              <w:sdtPr>
                <w:tag w:val="_PLD_d79245f93e3d475b953b3e44bb1c6425"/>
                <w:id w:val="-736245222"/>
                <w:lock w:val="sdtLocked"/>
              </w:sdtPr>
              <w:sdtEndPr/>
              <w:sdtContent>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6F8EDCE0" w14:textId="77777777" w:rsidR="007E7472" w:rsidRDefault="00EC1269">
                    <w:pPr>
                      <w:jc w:val="center"/>
                    </w:pPr>
                    <w:r>
                      <w:rPr>
                        <w:rFonts w:hint="eastAsia"/>
                      </w:rPr>
                      <w:t>上期发生额</w:t>
                    </w:r>
                  </w:p>
                </w:tc>
              </w:sdtContent>
            </w:sdt>
          </w:tr>
          <w:tr w:rsidR="007E7472" w14:paraId="03946F41" w14:textId="77777777" w:rsidTr="007E7472">
            <w:trPr>
              <w:trHeight w:val="340"/>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3C67B02" w14:textId="77777777" w:rsidR="007E7472" w:rsidRDefault="00EC1269">
                <w:r>
                  <w:t>利息支出</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4069AED4" w14:textId="77777777" w:rsidR="007E7472" w:rsidRDefault="00EC1269">
                <w:pPr>
                  <w:jc w:val="right"/>
                </w:pPr>
                <w:r>
                  <w:t>1,646,990</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3164D036" w14:textId="77777777" w:rsidR="007E7472" w:rsidRDefault="00EC1269">
                <w:pPr>
                  <w:jc w:val="right"/>
                </w:pPr>
                <w:r>
                  <w:t>2,341,181</w:t>
                </w:r>
              </w:p>
            </w:tc>
          </w:tr>
          <w:tr w:rsidR="007E7472" w14:paraId="6321635E" w14:textId="77777777" w:rsidTr="007E7472">
            <w:trPr>
              <w:trHeight w:val="340"/>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707CB699" w14:textId="77777777" w:rsidR="007E7472" w:rsidRDefault="00EC1269">
                <w:r>
                  <w:t>减：利息收入</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7B760F4D" w14:textId="77777777" w:rsidR="007E7472" w:rsidRDefault="00EC1269">
                <w:pPr>
                  <w:jc w:val="right"/>
                </w:pPr>
                <w:r>
                  <w:t>407,917</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7B3609C2" w14:textId="77777777" w:rsidR="007E7472" w:rsidRDefault="00EC1269">
                <w:pPr>
                  <w:jc w:val="right"/>
                </w:pPr>
                <w:r>
                  <w:t>465,606</w:t>
                </w:r>
              </w:p>
            </w:tc>
          </w:tr>
          <w:tr w:rsidR="007E7472" w14:paraId="22E37385" w14:textId="77777777" w:rsidTr="007E7472">
            <w:trPr>
              <w:trHeight w:val="340"/>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2EDEBC9" w14:textId="77777777" w:rsidR="007E7472" w:rsidRDefault="00EC1269">
                <w:r>
                  <w:t>加：汇兑损失</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4C7B414E" w14:textId="77777777" w:rsidR="007E7472" w:rsidRDefault="00EC1269">
                <w:pPr>
                  <w:jc w:val="right"/>
                </w:pPr>
                <w:r>
                  <w:t>-178,144</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2F852B86" w14:textId="77777777" w:rsidR="007E7472" w:rsidRDefault="00EC1269">
                <w:pPr>
                  <w:jc w:val="right"/>
                </w:pPr>
                <w:r>
                  <w:t>-243,849</w:t>
                </w:r>
              </w:p>
            </w:tc>
          </w:tr>
          <w:tr w:rsidR="007E7472" w14:paraId="19276E51" w14:textId="77777777" w:rsidTr="007E7472">
            <w:trPr>
              <w:trHeight w:val="340"/>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0AD385DE" w14:textId="77777777" w:rsidR="007E7472" w:rsidRDefault="00EC1269">
                <w:r>
                  <w:t>加：担保支出</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6FC3533D" w14:textId="77777777" w:rsidR="007E7472" w:rsidRDefault="00EC1269">
                <w:pPr>
                  <w:jc w:val="right"/>
                </w:pPr>
                <w:r>
                  <w:t>75,335</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335D30D7" w14:textId="77777777" w:rsidR="007E7472" w:rsidRDefault="00EC1269">
                <w:pPr>
                  <w:jc w:val="right"/>
                </w:pPr>
                <w:r>
                  <w:t>130</w:t>
                </w:r>
                <w:r>
                  <w:rPr>
                    <w:rFonts w:hint="eastAsia"/>
                  </w:rPr>
                  <w:t>,</w:t>
                </w:r>
                <w:r>
                  <w:t>663</w:t>
                </w:r>
              </w:p>
            </w:tc>
          </w:tr>
          <w:tr w:rsidR="007E7472" w14:paraId="2D815898" w14:textId="77777777" w:rsidTr="007E7472">
            <w:trPr>
              <w:trHeight w:val="340"/>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18BFD479" w14:textId="77777777" w:rsidR="007E7472" w:rsidRDefault="00EC1269">
                <w:r>
                  <w:t>加：其他支出</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1246DE88" w14:textId="77777777" w:rsidR="007E7472" w:rsidRDefault="00EC1269">
                <w:pPr>
                  <w:jc w:val="right"/>
                </w:pPr>
                <w:r>
                  <w:t>113,351</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43D3C034" w14:textId="77777777" w:rsidR="007E7472" w:rsidRDefault="00EC1269">
                <w:pPr>
                  <w:jc w:val="right"/>
                </w:pPr>
                <w:r>
                  <w:t>120</w:t>
                </w:r>
                <w:r>
                  <w:rPr>
                    <w:rFonts w:hint="eastAsia"/>
                  </w:rPr>
                  <w:t>,</w:t>
                </w:r>
                <w:r>
                  <w:t>201</w:t>
                </w:r>
              </w:p>
            </w:tc>
          </w:tr>
          <w:tr w:rsidR="007E7472" w14:paraId="21967E97" w14:textId="77777777" w:rsidTr="007E7472">
            <w:trPr>
              <w:trHeight w:val="340"/>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14:paraId="5630808E" w14:textId="77777777" w:rsidR="007E7472" w:rsidRDefault="00EC1269">
                <w:pPr>
                  <w:jc w:val="center"/>
                </w:pPr>
                <w:r>
                  <w:rPr>
                    <w:rFonts w:hint="eastAsia"/>
                  </w:rPr>
                  <w:t>合计</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14:paraId="1DC0B06A" w14:textId="77777777" w:rsidR="007E7472" w:rsidRDefault="00EC1269">
                <w:pPr>
                  <w:jc w:val="right"/>
                </w:pPr>
                <w:r>
                  <w:t>1,249,615</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043C8A69" w14:textId="77777777" w:rsidR="007E7472" w:rsidRDefault="00EC1269">
                <w:pPr>
                  <w:jc w:val="right"/>
                </w:pPr>
                <w:r>
                  <w:t>1,882,590</w:t>
                </w:r>
              </w:p>
            </w:tc>
          </w:tr>
        </w:tbl>
      </w:sdtContent>
    </w:sdt>
    <w:p w14:paraId="25833349" w14:textId="77777777" w:rsidR="007E7472" w:rsidRDefault="00C8327E"/>
    <w:sdt>
      <w:sdtPr>
        <w:rPr>
          <w:rFonts w:ascii="宋体" w:hAnsi="宋体" w:cs="宋体" w:hint="eastAsia"/>
          <w:b w:val="0"/>
          <w:bCs w:val="0"/>
          <w:kern w:val="0"/>
          <w:sz w:val="20"/>
          <w:szCs w:val="24"/>
        </w:rPr>
        <w:alias w:val="模块:其他收益"/>
        <w:tag w:val="_SEC_b7dd1353107541ffa3a1d66fbb85a037"/>
        <w:id w:val="1356070335"/>
        <w:lock w:val="sdtLocked"/>
        <w:placeholder>
          <w:docPart w:val="GBC22222222222222222222222222222"/>
        </w:placeholder>
      </w:sdtPr>
      <w:sdtEndPr>
        <w:rPr>
          <w:rFonts w:hint="default"/>
          <w:sz w:val="21"/>
          <w:szCs w:val="21"/>
        </w:rPr>
      </w:sdtEndPr>
      <w:sdtContent>
        <w:p w14:paraId="3553357C" w14:textId="77777777" w:rsidR="007E7472" w:rsidRDefault="00EC1269" w:rsidP="00162493">
          <w:pPr>
            <w:pStyle w:val="3"/>
            <w:numPr>
              <w:ilvl w:val="0"/>
              <w:numId w:val="62"/>
            </w:numPr>
          </w:pPr>
          <w:r>
            <w:rPr>
              <w:rFonts w:hint="eastAsia"/>
            </w:rPr>
            <w:t>其他收益</w:t>
          </w:r>
        </w:p>
        <w:sdt>
          <w:sdtPr>
            <w:alias w:val="是否适用：财务报表其他收益[双击切换]"/>
            <w:tag w:val="_GBC_86fde94b0d4e4b1f997adc6f063babf7"/>
            <w:id w:val="1562675750"/>
            <w:lock w:val="sdtLocked"/>
            <w:placeholder>
              <w:docPart w:val="GBC22222222222222222222222222222"/>
            </w:placeholder>
          </w:sdtPr>
          <w:sdtEndPr/>
          <w:sdtContent>
            <w:p w14:paraId="5437B834"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67E1951D" w14:textId="77777777" w:rsidR="007E7472" w:rsidRDefault="00EC1269">
          <w:pPr>
            <w:jc w:val="right"/>
            <w:rPr>
              <w:rFonts w:cstheme="minorBidi"/>
            </w:rPr>
          </w:pPr>
          <w:r>
            <w:rPr>
              <w:rFonts w:cstheme="minorBidi"/>
            </w:rPr>
            <w:t>单位：</w:t>
          </w:r>
          <w:sdt>
            <w:sdtPr>
              <w:rPr>
                <w:rFonts w:cstheme="minorBidi"/>
              </w:rPr>
              <w:alias w:val="单位：财务报表其他收益明细"/>
              <w:tag w:val="_GBC_12755937dc3b48a489abda6cc5cda8d6"/>
              <w:id w:val="76334583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6F3F93">
                <w:rPr>
                  <w:rFonts w:cstheme="minorBidi"/>
                </w:rPr>
                <w:t>千元</w:t>
              </w:r>
            </w:sdtContent>
          </w:sdt>
          <w:r>
            <w:rPr>
              <w:rFonts w:cstheme="minorBidi"/>
            </w:rPr>
            <w:t>币种：</w:t>
          </w:r>
          <w:sdt>
            <w:sdtPr>
              <w:rPr>
                <w:rFonts w:cstheme="minorBidi"/>
              </w:rPr>
              <w:alias w:val="币种：财务报表其他收益明细"/>
              <w:tag w:val="_GBC_3daaaf66c73e4201b067378f3d17e13f"/>
              <w:id w:val="11332873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cstheme="minorBidi"/>
                </w:rPr>
                <w:t>人民币</w:t>
              </w:r>
            </w:sdtContent>
          </w:sdt>
        </w:p>
        <w:tbl>
          <w:tblPr>
            <w:tblStyle w:val="g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1"/>
            <w:gridCol w:w="2495"/>
            <w:gridCol w:w="2367"/>
          </w:tblGrid>
          <w:tr w:rsidR="007E7472" w14:paraId="41DF12A1" w14:textId="77777777" w:rsidTr="007E7472">
            <w:trPr>
              <w:trHeight w:val="340"/>
            </w:trPr>
            <w:tc>
              <w:tcPr>
                <w:tcW w:w="4077" w:type="dxa"/>
                <w:vAlign w:val="center"/>
              </w:tcPr>
              <w:sdt>
                <w:sdtPr>
                  <w:rPr>
                    <w:rFonts w:ascii="Times New Roman" w:hAnsi="Times New Roman" w:hint="eastAsia"/>
                  </w:rPr>
                  <w:tag w:val="_PLD_92b33ced889140b7b84894c5f486f4e6"/>
                  <w:id w:val="2093194036"/>
                  <w:lock w:val="sdtLocked"/>
                </w:sdtPr>
                <w:sdtEndPr/>
                <w:sdtContent>
                  <w:p w14:paraId="4095A8E8" w14:textId="77777777" w:rsidR="007E7472" w:rsidRDefault="00913748" w:rsidP="007E7472">
                    <w:pPr>
                      <w:jc w:val="center"/>
                      <w:rPr>
                        <w:rFonts w:ascii="Times New Roman" w:hAnsi="Times New Roman"/>
                      </w:rPr>
                    </w:pPr>
                    <w:r>
                      <w:rPr>
                        <w:rFonts w:ascii="Times New Roman" w:hAnsi="Times New Roman" w:hint="eastAsia"/>
                      </w:rPr>
                      <w:t>项目</w:t>
                    </w:r>
                  </w:p>
                </w:sdtContent>
              </w:sdt>
            </w:tc>
            <w:tc>
              <w:tcPr>
                <w:tcW w:w="2552" w:type="dxa"/>
                <w:vAlign w:val="center"/>
              </w:tcPr>
              <w:sdt>
                <w:sdtPr>
                  <w:rPr>
                    <w:rFonts w:ascii="Times New Roman" w:hAnsi="Times New Roman" w:hint="eastAsia"/>
                  </w:rPr>
                  <w:tag w:val="_PLD_73b3023fbaed423bbb8ca1ec42a2eaf9"/>
                  <w:id w:val="-2108483461"/>
                  <w:lock w:val="sdtLocked"/>
                </w:sdtPr>
                <w:sdtEndPr/>
                <w:sdtContent>
                  <w:p w14:paraId="487D96C3" w14:textId="77777777" w:rsidR="007E7472" w:rsidRDefault="00913748" w:rsidP="007E7472">
                    <w:pPr>
                      <w:jc w:val="center"/>
                      <w:rPr>
                        <w:rFonts w:ascii="Times New Roman" w:hAnsi="Times New Roman"/>
                      </w:rPr>
                    </w:pPr>
                    <w:r>
                      <w:rPr>
                        <w:rFonts w:ascii="Times New Roman" w:hAnsi="Times New Roman" w:hint="eastAsia"/>
                      </w:rPr>
                      <w:t>本期发生额</w:t>
                    </w:r>
                  </w:p>
                </w:sdtContent>
              </w:sdt>
            </w:tc>
            <w:tc>
              <w:tcPr>
                <w:tcW w:w="2420" w:type="dxa"/>
                <w:vAlign w:val="center"/>
              </w:tcPr>
              <w:sdt>
                <w:sdtPr>
                  <w:rPr>
                    <w:rFonts w:ascii="Times New Roman" w:hAnsi="Times New Roman" w:hint="eastAsia"/>
                  </w:rPr>
                  <w:tag w:val="_PLD_9f39351a333c497da22a0955aff07b4c"/>
                  <w:id w:val="-2097084472"/>
                  <w:lock w:val="sdtLocked"/>
                </w:sdtPr>
                <w:sdtEndPr/>
                <w:sdtContent>
                  <w:p w14:paraId="150D7F73" w14:textId="77777777" w:rsidR="007E7472" w:rsidRDefault="00913748" w:rsidP="007E7472">
                    <w:pPr>
                      <w:jc w:val="center"/>
                      <w:rPr>
                        <w:rFonts w:ascii="Times New Roman" w:hAnsi="Times New Roman"/>
                      </w:rPr>
                    </w:pPr>
                    <w:r>
                      <w:rPr>
                        <w:rFonts w:ascii="Times New Roman" w:hAnsi="Times New Roman" w:hint="eastAsia"/>
                      </w:rPr>
                      <w:t>上期发生额</w:t>
                    </w:r>
                  </w:p>
                </w:sdtContent>
              </w:sdt>
            </w:tc>
          </w:tr>
          <w:sdt>
            <w:sdtPr>
              <w:alias w:val="财务报表其他收益明细"/>
              <w:tag w:val="_TUP_6fbc2b9298bf4c818dfcc7c62d7fcd6c"/>
              <w:id w:val="-905919991"/>
              <w:lock w:val="sdtLocked"/>
            </w:sdtPr>
            <w:sdtEndPr>
              <w:rPr>
                <w:rFonts w:asciiTheme="majorEastAsia" w:eastAsiaTheme="majorEastAsia" w:hAnsiTheme="majorEastAsia"/>
              </w:rPr>
            </w:sdtEndPr>
            <w:sdtContent>
              <w:tr w:rsidR="007E7472" w14:paraId="498E919C" w14:textId="77777777" w:rsidTr="007E7472">
                <w:trPr>
                  <w:trHeight w:val="340"/>
                </w:trPr>
                <w:tc>
                  <w:tcPr>
                    <w:tcW w:w="4077" w:type="dxa"/>
                    <w:vAlign w:val="center"/>
                  </w:tcPr>
                  <w:p w14:paraId="25DA78A4" w14:textId="77777777" w:rsidR="007E7472" w:rsidRDefault="00913748" w:rsidP="007E7472">
                    <w:r>
                      <w:rPr>
                        <w:rFonts w:hint="eastAsia"/>
                      </w:rPr>
                      <w:t>与日常经营相关的政府补助</w:t>
                    </w:r>
                  </w:p>
                </w:tc>
                <w:tc>
                  <w:tcPr>
                    <w:tcW w:w="2552" w:type="dxa"/>
                    <w:vAlign w:val="center"/>
                  </w:tcPr>
                  <w:p w14:paraId="4952F05D" w14:textId="77777777" w:rsidR="007E7472" w:rsidRDefault="00913748" w:rsidP="007E7472">
                    <w:pPr>
                      <w:jc w:val="right"/>
                      <w:rPr>
                        <w:rFonts w:asciiTheme="majorEastAsia" w:eastAsiaTheme="majorEastAsia" w:hAnsiTheme="majorEastAsia"/>
                      </w:rPr>
                    </w:pPr>
                    <w:r>
                      <w:rPr>
                        <w:rFonts w:asciiTheme="majorEastAsia" w:eastAsiaTheme="majorEastAsia" w:hAnsiTheme="majorEastAsia"/>
                      </w:rPr>
                      <w:t>34,213</w:t>
                    </w:r>
                  </w:p>
                </w:tc>
                <w:tc>
                  <w:tcPr>
                    <w:tcW w:w="2420" w:type="dxa"/>
                    <w:vAlign w:val="center"/>
                  </w:tcPr>
                  <w:p w14:paraId="0DDBEFE3" w14:textId="77777777" w:rsidR="007E7472" w:rsidRDefault="00913748" w:rsidP="007E7472">
                    <w:pPr>
                      <w:jc w:val="right"/>
                      <w:rPr>
                        <w:rFonts w:asciiTheme="majorEastAsia" w:eastAsiaTheme="majorEastAsia" w:hAnsiTheme="majorEastAsia"/>
                      </w:rPr>
                    </w:pPr>
                    <w:r>
                      <w:rPr>
                        <w:rFonts w:asciiTheme="majorEastAsia" w:eastAsiaTheme="majorEastAsia" w:hAnsiTheme="majorEastAsia"/>
                      </w:rPr>
                      <w:t>46,205</w:t>
                    </w:r>
                  </w:p>
                </w:tc>
              </w:tr>
            </w:sdtContent>
          </w:sdt>
          <w:sdt>
            <w:sdtPr>
              <w:alias w:val="财务报表其他收益明细"/>
              <w:tag w:val="_TUP_6fbc2b9298bf4c818dfcc7c62d7fcd6c"/>
              <w:id w:val="1058585438"/>
              <w:lock w:val="sdtLocked"/>
            </w:sdtPr>
            <w:sdtEndPr>
              <w:rPr>
                <w:rFonts w:asciiTheme="majorEastAsia" w:eastAsiaTheme="majorEastAsia" w:hAnsiTheme="majorEastAsia"/>
              </w:rPr>
            </w:sdtEndPr>
            <w:sdtContent>
              <w:tr w:rsidR="007E7472" w14:paraId="442B5409" w14:textId="77777777" w:rsidTr="007E7472">
                <w:trPr>
                  <w:trHeight w:val="340"/>
                </w:trPr>
                <w:tc>
                  <w:tcPr>
                    <w:tcW w:w="4077" w:type="dxa"/>
                    <w:vAlign w:val="center"/>
                  </w:tcPr>
                  <w:p w14:paraId="7D74E5B6" w14:textId="77777777" w:rsidR="007E7472" w:rsidRDefault="00913748" w:rsidP="007E7472">
                    <w:pPr>
                      <w:rPr>
                        <w:rFonts w:ascii="Times New Roman" w:hAnsi="Times New Roman"/>
                      </w:rPr>
                    </w:pPr>
                    <w:r>
                      <w:rPr>
                        <w:rFonts w:hint="eastAsia"/>
                      </w:rPr>
                      <w:t>增值税即征即退、加计扣除</w:t>
                    </w:r>
                  </w:p>
                </w:tc>
                <w:tc>
                  <w:tcPr>
                    <w:tcW w:w="2552" w:type="dxa"/>
                    <w:vAlign w:val="center"/>
                  </w:tcPr>
                  <w:p w14:paraId="089D615F" w14:textId="77777777" w:rsidR="007E7472" w:rsidRDefault="00913748" w:rsidP="007E7472">
                    <w:pPr>
                      <w:jc w:val="right"/>
                      <w:rPr>
                        <w:rFonts w:asciiTheme="majorEastAsia" w:eastAsiaTheme="majorEastAsia" w:hAnsiTheme="majorEastAsia"/>
                      </w:rPr>
                    </w:pPr>
                    <w:r>
                      <w:rPr>
                        <w:rFonts w:asciiTheme="majorEastAsia" w:eastAsiaTheme="majorEastAsia" w:hAnsiTheme="majorEastAsia"/>
                      </w:rPr>
                      <w:t>7,522</w:t>
                    </w:r>
                  </w:p>
                </w:tc>
                <w:tc>
                  <w:tcPr>
                    <w:tcW w:w="2420" w:type="dxa"/>
                    <w:vAlign w:val="center"/>
                  </w:tcPr>
                  <w:p w14:paraId="18AD1C82" w14:textId="77777777" w:rsidR="007E7472" w:rsidRDefault="00913748" w:rsidP="007E7472">
                    <w:pPr>
                      <w:jc w:val="right"/>
                      <w:rPr>
                        <w:rFonts w:asciiTheme="majorEastAsia" w:eastAsiaTheme="majorEastAsia" w:hAnsiTheme="majorEastAsia"/>
                      </w:rPr>
                    </w:pPr>
                    <w:r>
                      <w:rPr>
                        <w:rFonts w:asciiTheme="majorEastAsia" w:eastAsiaTheme="majorEastAsia" w:hAnsiTheme="majorEastAsia"/>
                      </w:rPr>
                      <w:t>6,200</w:t>
                    </w:r>
                  </w:p>
                </w:tc>
              </w:tr>
            </w:sdtContent>
          </w:sdt>
          <w:tr w:rsidR="007E7472" w:rsidRPr="00AE2D83" w14:paraId="7BCCE7CF" w14:textId="77777777" w:rsidTr="007E7472">
            <w:trPr>
              <w:trHeight w:val="340"/>
            </w:trPr>
            <w:tc>
              <w:tcPr>
                <w:tcW w:w="4077" w:type="dxa"/>
                <w:vAlign w:val="center"/>
              </w:tcPr>
              <w:sdt>
                <w:sdtPr>
                  <w:rPr>
                    <w:rFonts w:ascii="Times New Roman" w:hAnsi="Times New Roman" w:hint="eastAsia"/>
                  </w:rPr>
                  <w:tag w:val="_PLD_895bf64d897b4d94b2d45a7ce9849ec7"/>
                  <w:id w:val="1915971572"/>
                  <w:lock w:val="sdtLocked"/>
                </w:sdtPr>
                <w:sdtEndPr/>
                <w:sdtContent>
                  <w:p w14:paraId="4D43A892" w14:textId="77777777" w:rsidR="007E7472" w:rsidRDefault="00913748" w:rsidP="007E7472">
                    <w:pPr>
                      <w:jc w:val="center"/>
                      <w:rPr>
                        <w:rFonts w:ascii="Times New Roman" w:hAnsi="Times New Roman"/>
                      </w:rPr>
                    </w:pPr>
                    <w:r>
                      <w:rPr>
                        <w:rFonts w:ascii="Times New Roman" w:hAnsi="Times New Roman" w:hint="eastAsia"/>
                      </w:rPr>
                      <w:t>合计</w:t>
                    </w:r>
                  </w:p>
                </w:sdtContent>
              </w:sdt>
            </w:tc>
            <w:tc>
              <w:tcPr>
                <w:tcW w:w="2552" w:type="dxa"/>
                <w:vAlign w:val="center"/>
              </w:tcPr>
              <w:p w14:paraId="37A6D7EF" w14:textId="77777777" w:rsidR="007E7472" w:rsidRDefault="00913748" w:rsidP="007E7472">
                <w:pPr>
                  <w:jc w:val="right"/>
                  <w:rPr>
                    <w:rFonts w:asciiTheme="majorEastAsia" w:eastAsiaTheme="majorEastAsia" w:hAnsiTheme="majorEastAsia"/>
                  </w:rPr>
                </w:pPr>
                <w:r>
                  <w:rPr>
                    <w:rFonts w:asciiTheme="majorEastAsia" w:eastAsiaTheme="majorEastAsia" w:hAnsiTheme="majorEastAsia"/>
                  </w:rPr>
                  <w:t>41,735</w:t>
                </w:r>
              </w:p>
            </w:tc>
            <w:tc>
              <w:tcPr>
                <w:tcW w:w="2420" w:type="dxa"/>
                <w:vAlign w:val="center"/>
              </w:tcPr>
              <w:p w14:paraId="16B6BF13" w14:textId="77777777" w:rsidR="007E7472" w:rsidRDefault="00913748" w:rsidP="007E7472">
                <w:pPr>
                  <w:jc w:val="right"/>
                  <w:rPr>
                    <w:rFonts w:asciiTheme="majorEastAsia" w:eastAsiaTheme="majorEastAsia" w:hAnsiTheme="majorEastAsia"/>
                  </w:rPr>
                </w:pPr>
                <w:r>
                  <w:rPr>
                    <w:rFonts w:asciiTheme="majorEastAsia" w:eastAsiaTheme="majorEastAsia" w:hAnsiTheme="majorEastAsia"/>
                  </w:rPr>
                  <w:t>52,405</w:t>
                </w:r>
              </w:p>
            </w:tc>
          </w:tr>
        </w:tbl>
        <w:p w14:paraId="78A27AC7" w14:textId="1781C14E" w:rsidR="007E7472" w:rsidRPr="00AE2D83" w:rsidRDefault="00C8327E" w:rsidP="007E7472"/>
      </w:sdtContent>
    </w:sdt>
    <w:p w14:paraId="39DBEDBE" w14:textId="77777777" w:rsidR="007E7472" w:rsidRDefault="00C8327E"/>
    <w:bookmarkStart w:id="264" w:name="_Hlk11857276" w:displacedByCustomXml="next"/>
    <w:sdt>
      <w:sdtPr>
        <w:rPr>
          <w:rFonts w:ascii="宋体" w:hAnsi="宋体" w:cs="宋体" w:hint="eastAsia"/>
          <w:b w:val="0"/>
          <w:bCs w:val="0"/>
          <w:kern w:val="0"/>
          <w:szCs w:val="21"/>
        </w:rPr>
        <w:alias w:val="模块:投资收益"/>
        <w:tag w:val="_SEC_56e74a133dff4dcebe7ed76c1a92a2e5"/>
        <w:id w:val="1165131489"/>
        <w:lock w:val="sdtLocked"/>
        <w:placeholder>
          <w:docPart w:val="GBC22222222222222222222222222222"/>
        </w:placeholder>
      </w:sdtPr>
      <w:sdtEndPr/>
      <w:sdtContent>
        <w:p w14:paraId="453C5CA7" w14:textId="77777777" w:rsidR="007E7472" w:rsidRDefault="00EC1269" w:rsidP="00162493">
          <w:pPr>
            <w:pStyle w:val="3"/>
            <w:numPr>
              <w:ilvl w:val="0"/>
              <w:numId w:val="62"/>
            </w:numPr>
          </w:pPr>
          <w:r>
            <w:rPr>
              <w:rFonts w:hint="eastAsia"/>
            </w:rPr>
            <w:t>投资收益</w:t>
          </w:r>
        </w:p>
        <w:sdt>
          <w:sdtPr>
            <w:alias w:val="是否适用：投资收益[双击切换]"/>
            <w:tag w:val="_GBC_39356fd9dd9e4f5497d61d781210b2fe"/>
            <w:id w:val="-65266692"/>
            <w:lock w:val="sdtLocked"/>
            <w:placeholder>
              <w:docPart w:val="GBC22222222222222222222222222222"/>
            </w:placeholder>
          </w:sdtPr>
          <w:sdtEndPr/>
          <w:sdtContent>
            <w:p w14:paraId="37BB4936"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26F46E97" w14:textId="5559AA85" w:rsidR="007E7472" w:rsidRDefault="00EC1269">
          <w:pPr>
            <w:jc w:val="right"/>
          </w:pPr>
          <w:bookmarkStart w:id="265" w:name="_Hlk10538462"/>
          <w:r>
            <w:t>单位</w:t>
          </w:r>
          <w:r>
            <w:rPr>
              <w:rFonts w:hint="eastAsia"/>
            </w:rPr>
            <w:t>：</w:t>
          </w:r>
          <w:sdt>
            <w:sdtPr>
              <w:rPr>
                <w:rFonts w:hint="eastAsia"/>
              </w:rPr>
              <w:alias w:val="单位：财务附注：会计报表中的投资收益项目增加"/>
              <w:tag w:val="_GBC_8785b82a02ca4b0db1de3227128775b4"/>
              <w:id w:val="-5341947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t>币种</w:t>
          </w:r>
          <w:r>
            <w:rPr>
              <w:rFonts w:hint="eastAsia"/>
            </w:rPr>
            <w:t>：</w:t>
          </w:r>
          <w:sdt>
            <w:sdtPr>
              <w:rPr>
                <w:rFonts w:hint="eastAsia"/>
              </w:rPr>
              <w:alias w:val="币种：财务附注：会计报表中的投资收益项目增加"/>
              <w:tag w:val="_GBC_c4394dc445a94e9a8a4b83889c79fcb1"/>
              <w:id w:val="12742817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2626"/>
            <w:gridCol w:w="2516"/>
          </w:tblGrid>
          <w:tr w:rsidR="007E7472" w14:paraId="12B9C17A" w14:textId="77777777" w:rsidTr="007E7472">
            <w:trPr>
              <w:trHeight w:val="340"/>
            </w:trPr>
            <w:sdt>
              <w:sdtPr>
                <w:tag w:val="_PLD_2fef67a5db2c453288257a2dfe03fd6e"/>
                <w:id w:val="-1814166548"/>
              </w:sdtPr>
              <w:sdtEndPr/>
              <w:sdtContent>
                <w:tc>
                  <w:tcPr>
                    <w:tcW w:w="2086" w:type="pct"/>
                    <w:vAlign w:val="center"/>
                  </w:tcPr>
                  <w:p w14:paraId="0A4365C2" w14:textId="77777777" w:rsidR="007E7472" w:rsidRDefault="00EC1269">
                    <w:pPr>
                      <w:ind w:left="420" w:hanging="420"/>
                      <w:jc w:val="center"/>
                    </w:pPr>
                    <w:r>
                      <w:rPr>
                        <w:rFonts w:hint="eastAsia"/>
                      </w:rPr>
                      <w:t>项目</w:t>
                    </w:r>
                  </w:p>
                </w:tc>
              </w:sdtContent>
            </w:sdt>
            <w:sdt>
              <w:sdtPr>
                <w:tag w:val="_PLD_3f927d0ff25c47abb0f9b18794554af6"/>
                <w:id w:val="-1009602720"/>
              </w:sdtPr>
              <w:sdtEndPr/>
              <w:sdtContent>
                <w:tc>
                  <w:tcPr>
                    <w:tcW w:w="1420" w:type="pct"/>
                    <w:vAlign w:val="center"/>
                  </w:tcPr>
                  <w:p w14:paraId="56A38137" w14:textId="77777777" w:rsidR="007E7472" w:rsidRDefault="00EC1269">
                    <w:pPr>
                      <w:jc w:val="center"/>
                    </w:pPr>
                    <w:r>
                      <w:rPr>
                        <w:rFonts w:hint="eastAsia"/>
                      </w:rPr>
                      <w:t>本期发生额</w:t>
                    </w:r>
                  </w:p>
                </w:tc>
              </w:sdtContent>
            </w:sdt>
            <w:sdt>
              <w:sdtPr>
                <w:tag w:val="_PLD_a6cbfed1438f48b7947079a5821a9eba"/>
                <w:id w:val="1459068206"/>
              </w:sdtPr>
              <w:sdtEndPr/>
              <w:sdtContent>
                <w:tc>
                  <w:tcPr>
                    <w:tcW w:w="1494" w:type="pct"/>
                    <w:vAlign w:val="center"/>
                  </w:tcPr>
                  <w:p w14:paraId="59A10E98" w14:textId="77777777" w:rsidR="007E7472" w:rsidRDefault="00EC1269">
                    <w:pPr>
                      <w:jc w:val="center"/>
                    </w:pPr>
                    <w:r>
                      <w:rPr>
                        <w:rFonts w:hint="eastAsia"/>
                      </w:rPr>
                      <w:t>上期发生额</w:t>
                    </w:r>
                  </w:p>
                </w:tc>
              </w:sdtContent>
            </w:sdt>
          </w:tr>
          <w:tr w:rsidR="007E7472" w14:paraId="0D4EBB3D" w14:textId="77777777" w:rsidTr="007E7472">
            <w:trPr>
              <w:trHeight w:val="340"/>
            </w:trPr>
            <w:sdt>
              <w:sdtPr>
                <w:tag w:val="_PLD_095c5821555f4f22a6901c43ff8cf9ed"/>
                <w:id w:val="1223102905"/>
              </w:sdtPr>
              <w:sdtEndPr/>
              <w:sdtContent>
                <w:tc>
                  <w:tcPr>
                    <w:tcW w:w="2086" w:type="pct"/>
                    <w:vAlign w:val="center"/>
                  </w:tcPr>
                  <w:p w14:paraId="7B401A24" w14:textId="77777777" w:rsidR="007E7472" w:rsidRDefault="00EC1269">
                    <w:r>
                      <w:rPr>
                        <w:rFonts w:hint="eastAsia"/>
                      </w:rPr>
                      <w:t>权益法核算的长期股权投资收益</w:t>
                    </w:r>
                  </w:p>
                </w:tc>
              </w:sdtContent>
            </w:sdt>
            <w:tc>
              <w:tcPr>
                <w:tcW w:w="1420" w:type="pct"/>
                <w:vAlign w:val="center"/>
              </w:tcPr>
              <w:p w14:paraId="6537D974" w14:textId="77777777" w:rsidR="007E7472" w:rsidRDefault="00EC1269">
                <w:pPr>
                  <w:jc w:val="right"/>
                </w:pPr>
                <w:r>
                  <w:t>642,511</w:t>
                </w:r>
              </w:p>
            </w:tc>
            <w:tc>
              <w:tcPr>
                <w:tcW w:w="1494" w:type="pct"/>
                <w:vAlign w:val="center"/>
              </w:tcPr>
              <w:p w14:paraId="2A9E1314" w14:textId="77777777" w:rsidR="007E7472" w:rsidRDefault="00EC1269">
                <w:pPr>
                  <w:jc w:val="right"/>
                </w:pPr>
                <w:r>
                  <w:t>1,481,576</w:t>
                </w:r>
              </w:p>
            </w:tc>
          </w:tr>
          <w:sdt>
            <w:sdtPr>
              <w:rPr>
                <w:rFonts w:asciiTheme="minorHAnsi" w:eastAsiaTheme="minorEastAsia" w:hAnsiTheme="minorHAnsi" w:cstheme="minorBidi" w:hint="eastAsia"/>
                <w:kern w:val="2"/>
                <w:szCs w:val="22"/>
              </w:rPr>
              <w:alias w:val="其他投资收益"/>
              <w:tag w:val="_TUP_1e4670059c8948749cda0c0baf7948f3"/>
              <w:id w:val="747691515"/>
              <w:lock w:val="sdtLocked"/>
            </w:sdtPr>
            <w:sdtEndPr>
              <w:rPr>
                <w:rFonts w:ascii="宋体" w:eastAsia="宋体" w:hAnsi="宋体" w:cs="宋体" w:hint="default"/>
                <w:kern w:val="0"/>
                <w:szCs w:val="21"/>
              </w:rPr>
            </w:sdtEndPr>
            <w:sdtContent>
              <w:tr w:rsidR="007E7472" w14:paraId="16F352C2" w14:textId="77777777" w:rsidTr="007E7472">
                <w:trPr>
                  <w:trHeight w:val="340"/>
                </w:trPr>
                <w:tc>
                  <w:tcPr>
                    <w:tcW w:w="2018" w:type="pct"/>
                    <w:vAlign w:val="center"/>
                  </w:tcPr>
                  <w:p w14:paraId="2071C5E4" w14:textId="77777777" w:rsidR="007E7472" w:rsidRDefault="00EC1269">
                    <w:pPr>
                      <w:rPr>
                        <w:rFonts w:asciiTheme="minorHAnsi" w:eastAsiaTheme="minorEastAsia" w:hAnsiTheme="minorHAnsi" w:cstheme="minorBidi"/>
                        <w:kern w:val="2"/>
                        <w:szCs w:val="22"/>
                      </w:rPr>
                    </w:pPr>
                    <w:r>
                      <w:rPr>
                        <w:rFonts w:asciiTheme="minorHAnsi" w:eastAsiaTheme="minorEastAsia" w:hAnsiTheme="minorHAnsi" w:cstheme="minorBidi" w:hint="eastAsia"/>
                        <w:kern w:val="2"/>
                        <w:szCs w:val="22"/>
                      </w:rPr>
                      <w:t>处置交易性金融资产取得的投资收益</w:t>
                    </w:r>
                  </w:p>
                </w:tc>
                <w:tc>
                  <w:tcPr>
                    <w:tcW w:w="1488" w:type="pct"/>
                    <w:vAlign w:val="center"/>
                  </w:tcPr>
                  <w:p w14:paraId="47C16E2E" w14:textId="77777777" w:rsidR="007E7472" w:rsidRDefault="00EC1269">
                    <w:pPr>
                      <w:jc w:val="right"/>
                    </w:pPr>
                    <w:r>
                      <w:t>8,931</w:t>
                    </w:r>
                  </w:p>
                </w:tc>
                <w:tc>
                  <w:tcPr>
                    <w:tcW w:w="1494" w:type="pct"/>
                    <w:vAlign w:val="center"/>
                  </w:tcPr>
                  <w:p w14:paraId="62ACB6F2" w14:textId="77777777" w:rsidR="007E7472" w:rsidRDefault="00EC1269">
                    <w:pPr>
                      <w:jc w:val="right"/>
                    </w:pPr>
                    <w:r>
                      <w:t>26,206</w:t>
                    </w:r>
                  </w:p>
                </w:tc>
              </w:tr>
            </w:sdtContent>
          </w:sdt>
          <w:sdt>
            <w:sdtPr>
              <w:rPr>
                <w:rFonts w:asciiTheme="minorHAnsi" w:eastAsiaTheme="minorEastAsia" w:hAnsiTheme="minorHAnsi" w:cstheme="minorBidi" w:hint="eastAsia"/>
                <w:kern w:val="2"/>
                <w:szCs w:val="22"/>
              </w:rPr>
              <w:alias w:val="其他投资收益"/>
              <w:tag w:val="_TUP_1e4670059c8948749cda0c0baf7948f3"/>
              <w:id w:val="1310444018"/>
              <w:lock w:val="sdtLocked"/>
            </w:sdtPr>
            <w:sdtEndPr>
              <w:rPr>
                <w:rFonts w:hint="default"/>
              </w:rPr>
            </w:sdtEndPr>
            <w:sdtContent>
              <w:tr w:rsidR="007E7472" w14:paraId="1D75048C" w14:textId="77777777" w:rsidTr="007E7472">
                <w:trPr>
                  <w:trHeight w:val="340"/>
                </w:trPr>
                <w:tc>
                  <w:tcPr>
                    <w:tcW w:w="2018" w:type="pct"/>
                    <w:vAlign w:val="center"/>
                  </w:tcPr>
                  <w:p w14:paraId="0FBAA516" w14:textId="77777777" w:rsidR="007E7472" w:rsidRDefault="00EC1269">
                    <w:r>
                      <w:rPr>
                        <w:rFonts w:asciiTheme="minorHAnsi" w:eastAsiaTheme="minorEastAsia" w:hAnsiTheme="minorHAnsi" w:cstheme="minorBidi" w:hint="eastAsia"/>
                        <w:kern w:val="2"/>
                        <w:szCs w:val="22"/>
                      </w:rPr>
                      <w:t>债务重组收益</w:t>
                    </w:r>
                  </w:p>
                </w:tc>
                <w:tc>
                  <w:tcPr>
                    <w:tcW w:w="1488" w:type="pct"/>
                    <w:vAlign w:val="center"/>
                  </w:tcPr>
                  <w:p w14:paraId="065BF0D9" w14:textId="77777777" w:rsidR="007E7472" w:rsidRDefault="00C8327E">
                    <w:pPr>
                      <w:jc w:val="right"/>
                    </w:pPr>
                  </w:p>
                </w:tc>
                <w:tc>
                  <w:tcPr>
                    <w:tcW w:w="1494" w:type="pct"/>
                    <w:vAlign w:val="center"/>
                  </w:tcPr>
                  <w:p w14:paraId="10335C9F" w14:textId="77777777" w:rsidR="007E7472" w:rsidRDefault="00EC1269">
                    <w:pPr>
                      <w:jc w:val="right"/>
                    </w:pPr>
                    <w:r>
                      <w:t>15,971</w:t>
                    </w:r>
                  </w:p>
                </w:tc>
              </w:tr>
            </w:sdtContent>
          </w:sdt>
          <w:sdt>
            <w:sdtPr>
              <w:rPr>
                <w:rFonts w:eastAsiaTheme="minorEastAsia" w:hint="eastAsia"/>
                <w:kern w:val="2"/>
              </w:rPr>
              <w:alias w:val="其他投资收益"/>
              <w:tag w:val="_TUP_1e4670059c8948749cda0c0baf7948f3"/>
              <w:id w:val="-1436275207"/>
              <w:lock w:val="sdtLocked"/>
            </w:sdtPr>
            <w:sdtEndPr>
              <w:rPr>
                <w:rFonts w:hint="default"/>
              </w:rPr>
            </w:sdtEndPr>
            <w:sdtContent>
              <w:tr w:rsidR="007E7472" w14:paraId="73EEC4CF" w14:textId="77777777" w:rsidTr="007E7472">
                <w:trPr>
                  <w:trHeight w:val="340"/>
                </w:trPr>
                <w:tc>
                  <w:tcPr>
                    <w:tcW w:w="2086" w:type="pct"/>
                    <w:vAlign w:val="center"/>
                  </w:tcPr>
                  <w:p w14:paraId="2D3C3EF6" w14:textId="77777777" w:rsidR="007E7472" w:rsidRDefault="00EC1269">
                    <w:r>
                      <w:rPr>
                        <w:rFonts w:hint="eastAsia"/>
                      </w:rPr>
                      <w:t>债权投资在持有期间取得的投资收益</w:t>
                    </w:r>
                  </w:p>
                </w:tc>
                <w:tc>
                  <w:tcPr>
                    <w:tcW w:w="1420" w:type="pct"/>
                    <w:vAlign w:val="center"/>
                  </w:tcPr>
                  <w:p w14:paraId="7B481D82" w14:textId="77777777" w:rsidR="007E7472" w:rsidRDefault="00EC1269">
                    <w:pPr>
                      <w:jc w:val="right"/>
                    </w:pPr>
                    <w:r>
                      <w:t>5,109</w:t>
                    </w:r>
                  </w:p>
                </w:tc>
                <w:tc>
                  <w:tcPr>
                    <w:tcW w:w="1494" w:type="pct"/>
                    <w:vAlign w:val="center"/>
                  </w:tcPr>
                  <w:p w14:paraId="18A102A2" w14:textId="77777777" w:rsidR="007E7472" w:rsidRDefault="00C8327E">
                    <w:pPr>
                      <w:jc w:val="right"/>
                    </w:pPr>
                  </w:p>
                </w:tc>
              </w:tr>
            </w:sdtContent>
          </w:sdt>
          <w:tr w:rsidR="007E7472" w14:paraId="74093C3C" w14:textId="77777777" w:rsidTr="007E7472">
            <w:trPr>
              <w:trHeight w:val="340"/>
            </w:trPr>
            <w:sdt>
              <w:sdtPr>
                <w:tag w:val="_PLD_11e45f17edee4a0fa17110849cf94fad"/>
                <w:id w:val="57300231"/>
              </w:sdtPr>
              <w:sdtEndPr/>
              <w:sdtContent>
                <w:tc>
                  <w:tcPr>
                    <w:tcW w:w="2086" w:type="pct"/>
                    <w:vAlign w:val="center"/>
                  </w:tcPr>
                  <w:p w14:paraId="2A012FBD" w14:textId="77777777" w:rsidR="007E7472" w:rsidRDefault="00EC1269">
                    <w:pPr>
                      <w:jc w:val="center"/>
                    </w:pPr>
                    <w:r>
                      <w:rPr>
                        <w:rFonts w:hint="eastAsia"/>
                      </w:rPr>
                      <w:t>合计</w:t>
                    </w:r>
                  </w:p>
                </w:tc>
              </w:sdtContent>
            </w:sdt>
            <w:tc>
              <w:tcPr>
                <w:tcW w:w="1420" w:type="pct"/>
                <w:vAlign w:val="center"/>
              </w:tcPr>
              <w:p w14:paraId="0A9126ED" w14:textId="77777777" w:rsidR="007E7472" w:rsidRDefault="00EC1269">
                <w:pPr>
                  <w:jc w:val="right"/>
                </w:pPr>
                <w:r>
                  <w:t>656,551</w:t>
                </w:r>
              </w:p>
            </w:tc>
            <w:tc>
              <w:tcPr>
                <w:tcW w:w="1494" w:type="pct"/>
                <w:vAlign w:val="center"/>
              </w:tcPr>
              <w:p w14:paraId="7D8F0D96" w14:textId="77777777" w:rsidR="007E7472" w:rsidRDefault="00EC1269">
                <w:pPr>
                  <w:jc w:val="right"/>
                </w:pPr>
                <w:r>
                  <w:t>1,523,753</w:t>
                </w:r>
              </w:p>
            </w:tc>
          </w:tr>
        </w:tbl>
        <w:p w14:paraId="2158B6AB" w14:textId="77777777" w:rsidR="007E7472" w:rsidRDefault="00C8327E"/>
      </w:sdtContent>
    </w:sdt>
    <w:bookmarkEnd w:id="264"/>
    <w:bookmarkEnd w:id="265"/>
    <w:p w14:paraId="6364951C" w14:textId="77777777" w:rsidR="007E7472" w:rsidRDefault="00C8327E">
      <w:pPr>
        <w:autoSpaceDE w:val="0"/>
        <w:autoSpaceDN w:val="0"/>
        <w:adjustRightInd w:val="0"/>
      </w:pPr>
    </w:p>
    <w:bookmarkStart w:id="266" w:name="_Hlk10538831" w:displacedByCustomXml="next"/>
    <w:sdt>
      <w:sdtPr>
        <w:rPr>
          <w:rFonts w:ascii="宋体" w:hAnsi="宋体" w:cs="宋体" w:hint="eastAsia"/>
          <w:b w:val="0"/>
          <w:bCs w:val="0"/>
          <w:kern w:val="0"/>
          <w:szCs w:val="21"/>
        </w:rPr>
        <w:alias w:val="模块:净敞口套期收益"/>
        <w:tag w:val="_SEC_cbd8186e9cf3452cab63fa24a69149bc"/>
        <w:id w:val="1013196203"/>
        <w:lock w:val="sdtLocked"/>
        <w:placeholder>
          <w:docPart w:val="GBC22222222222222222222222222222"/>
        </w:placeholder>
      </w:sdtPr>
      <w:sdtEndPr>
        <w:rPr>
          <w:rFonts w:hint="default"/>
        </w:rPr>
      </w:sdtEndPr>
      <w:sdtContent>
        <w:p w14:paraId="24B94EF5" w14:textId="77777777" w:rsidR="007E7472" w:rsidRDefault="00EC1269" w:rsidP="00162493">
          <w:pPr>
            <w:pStyle w:val="3"/>
            <w:numPr>
              <w:ilvl w:val="0"/>
              <w:numId w:val="62"/>
            </w:numPr>
          </w:pPr>
          <w:r>
            <w:rPr>
              <w:rFonts w:hint="eastAsia"/>
            </w:rPr>
            <w:t>净敞口套期收益</w:t>
          </w:r>
        </w:p>
        <w:sdt>
          <w:sdtPr>
            <w:alias w:val="是否适用：净敞口套期收益[双击切换]"/>
            <w:tag w:val="_GBC_33e106b71ec640cd9126570421557bda"/>
            <w:id w:val="-909692872"/>
            <w:lock w:val="sdtLocked"/>
            <w:placeholder>
              <w:docPart w:val="GBC22222222222222222222222222222"/>
            </w:placeholder>
          </w:sdtPr>
          <w:sdtEndPr/>
          <w:sdtContent>
            <w:p w14:paraId="7416C32D"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284A7BB4" w14:textId="0C8B4FC1" w:rsidR="007E7472" w:rsidRDefault="00EC1269">
          <w:pPr>
            <w:ind w:left="420"/>
            <w:jc w:val="right"/>
          </w:pPr>
          <w:r>
            <w:rPr>
              <w:rFonts w:hint="eastAsia"/>
            </w:rPr>
            <w:t>单位：</w:t>
          </w:r>
          <w:sdt>
            <w:sdtPr>
              <w:rPr>
                <w:rFonts w:hint="eastAsia"/>
              </w:rPr>
              <w:alias w:val="单位：净敞口套期收益"/>
              <w:tag w:val="_GBC_2da41f74f3384a2cbb420c44f3789bf2"/>
              <w:id w:val="7989671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净敞口套期收益"/>
              <w:tag w:val="_GBC_5c2a5fb8565c4407a283c6073b989a3e"/>
              <w:id w:val="-5075220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6"/>
            <w:gridCol w:w="2763"/>
            <w:gridCol w:w="2774"/>
          </w:tblGrid>
          <w:tr w:rsidR="007E7472" w14:paraId="4F5A83EA" w14:textId="77777777" w:rsidTr="0095518A">
            <w:trPr>
              <w:trHeight w:val="340"/>
            </w:trPr>
            <w:sdt>
              <w:sdtPr>
                <w:tag w:val="_PLD_21405f5115ce4df7ae312068797d44de"/>
                <w:id w:val="828328630"/>
                <w:lock w:val="sdtLocked"/>
              </w:sdtPr>
              <w:sdtEndPr/>
              <w:sdtContent>
                <w:tc>
                  <w:tcPr>
                    <w:tcW w:w="1862" w:type="pct"/>
                    <w:shd w:val="clear" w:color="auto" w:fill="auto"/>
                    <w:vAlign w:val="center"/>
                  </w:tcPr>
                  <w:p w14:paraId="4C7860A9" w14:textId="77777777" w:rsidR="007E7472" w:rsidRDefault="00EC1269">
                    <w:pPr>
                      <w:jc w:val="center"/>
                    </w:pPr>
                    <w:r>
                      <w:rPr>
                        <w:rFonts w:hint="eastAsia"/>
                      </w:rPr>
                      <w:t>项目</w:t>
                    </w:r>
                  </w:p>
                </w:tc>
              </w:sdtContent>
            </w:sdt>
            <w:sdt>
              <w:sdtPr>
                <w:tag w:val="_PLD_1d3cd0bf88524496a6fefc70ebdcce18"/>
                <w:id w:val="1883907984"/>
                <w:lock w:val="sdtLocked"/>
              </w:sdtPr>
              <w:sdtEndPr/>
              <w:sdtContent>
                <w:tc>
                  <w:tcPr>
                    <w:tcW w:w="1566" w:type="pct"/>
                    <w:shd w:val="clear" w:color="auto" w:fill="auto"/>
                    <w:vAlign w:val="center"/>
                  </w:tcPr>
                  <w:p w14:paraId="41211D0B" w14:textId="77777777" w:rsidR="007E7472" w:rsidRDefault="00EC1269">
                    <w:pPr>
                      <w:jc w:val="center"/>
                    </w:pPr>
                    <w:r>
                      <w:rPr>
                        <w:rFonts w:hint="eastAsia"/>
                      </w:rPr>
                      <w:t>本期发生额</w:t>
                    </w:r>
                  </w:p>
                </w:tc>
              </w:sdtContent>
            </w:sdt>
            <w:sdt>
              <w:sdtPr>
                <w:tag w:val="_PLD_61c9557f73574a508c07a2ccfeab8719"/>
                <w:id w:val="51426150"/>
                <w:lock w:val="sdtLocked"/>
              </w:sdtPr>
              <w:sdtEndPr/>
              <w:sdtContent>
                <w:tc>
                  <w:tcPr>
                    <w:tcW w:w="1572" w:type="pct"/>
                    <w:shd w:val="clear" w:color="auto" w:fill="auto"/>
                    <w:vAlign w:val="center"/>
                  </w:tcPr>
                  <w:p w14:paraId="2E640D2F" w14:textId="77777777" w:rsidR="007E7472" w:rsidRDefault="00EC1269">
                    <w:pPr>
                      <w:jc w:val="center"/>
                    </w:pPr>
                    <w:r>
                      <w:rPr>
                        <w:rFonts w:hint="eastAsia"/>
                      </w:rPr>
                      <w:t>上期发生额</w:t>
                    </w:r>
                  </w:p>
                </w:tc>
              </w:sdtContent>
            </w:sdt>
          </w:tr>
          <w:sdt>
            <w:sdtPr>
              <w:alias w:val="净敞口套期收益明细"/>
              <w:tag w:val="_TUP_deed899ed483409dbb174289697098e2"/>
              <w:id w:val="-1029867115"/>
              <w:lock w:val="sdtLocked"/>
              <w:placeholder>
                <w:docPart w:val="GBC11111111111111111111111111111"/>
              </w:placeholder>
            </w:sdtPr>
            <w:sdtEndPr/>
            <w:sdtContent>
              <w:tr w:rsidR="007E7472" w14:paraId="051473C6" w14:textId="77777777" w:rsidTr="0095518A">
                <w:trPr>
                  <w:trHeight w:val="340"/>
                </w:trPr>
                <w:tc>
                  <w:tcPr>
                    <w:tcW w:w="1862" w:type="pct"/>
                    <w:shd w:val="clear" w:color="auto" w:fill="auto"/>
                    <w:vAlign w:val="center"/>
                  </w:tcPr>
                  <w:p w14:paraId="5E83788E" w14:textId="77777777" w:rsidR="007E7472" w:rsidRDefault="00EC1269">
                    <w:r>
                      <w:rPr>
                        <w:rFonts w:hint="eastAsia"/>
                      </w:rPr>
                      <w:t>套期保值</w:t>
                    </w:r>
                  </w:p>
                </w:tc>
                <w:tc>
                  <w:tcPr>
                    <w:tcW w:w="1566" w:type="pct"/>
                    <w:shd w:val="clear" w:color="auto" w:fill="auto"/>
                    <w:vAlign w:val="center"/>
                  </w:tcPr>
                  <w:p w14:paraId="74B4C38A" w14:textId="77777777" w:rsidR="007E7472" w:rsidRDefault="00EC1269">
                    <w:pPr>
                      <w:jc w:val="right"/>
                    </w:pPr>
                    <w:r>
                      <w:t>57,658</w:t>
                    </w:r>
                  </w:p>
                </w:tc>
                <w:tc>
                  <w:tcPr>
                    <w:tcW w:w="1572" w:type="pct"/>
                    <w:shd w:val="clear" w:color="auto" w:fill="auto"/>
                    <w:vAlign w:val="center"/>
                  </w:tcPr>
                  <w:p w14:paraId="55BE6ACF" w14:textId="77777777" w:rsidR="007E7472" w:rsidRDefault="00EC1269">
                    <w:pPr>
                      <w:jc w:val="right"/>
                    </w:pPr>
                    <w:r>
                      <w:t>-812,574</w:t>
                    </w:r>
                  </w:p>
                </w:tc>
              </w:tr>
            </w:sdtContent>
          </w:sdt>
          <w:tr w:rsidR="007E7472" w14:paraId="0857BFFC" w14:textId="77777777" w:rsidTr="0095518A">
            <w:trPr>
              <w:trHeight w:val="340"/>
            </w:trPr>
            <w:sdt>
              <w:sdtPr>
                <w:tag w:val="_PLD_3e47f8605726453da6e6239d56f7e5e5"/>
                <w:id w:val="-1776626763"/>
                <w:lock w:val="sdtLocked"/>
              </w:sdtPr>
              <w:sdtEndPr/>
              <w:sdtContent>
                <w:tc>
                  <w:tcPr>
                    <w:tcW w:w="1862" w:type="pct"/>
                    <w:shd w:val="clear" w:color="auto" w:fill="auto"/>
                    <w:vAlign w:val="center"/>
                  </w:tcPr>
                  <w:p w14:paraId="7CAA2DF8" w14:textId="77777777" w:rsidR="007E7472" w:rsidRDefault="00EC1269">
                    <w:pPr>
                      <w:jc w:val="center"/>
                    </w:pPr>
                    <w:r>
                      <w:rPr>
                        <w:rFonts w:hint="eastAsia"/>
                      </w:rPr>
                      <w:t>合计</w:t>
                    </w:r>
                  </w:p>
                </w:tc>
              </w:sdtContent>
            </w:sdt>
            <w:tc>
              <w:tcPr>
                <w:tcW w:w="1566" w:type="pct"/>
                <w:shd w:val="clear" w:color="auto" w:fill="auto"/>
                <w:vAlign w:val="center"/>
              </w:tcPr>
              <w:p w14:paraId="27B28865" w14:textId="77777777" w:rsidR="007E7472" w:rsidRDefault="00EC1269">
                <w:pPr>
                  <w:jc w:val="right"/>
                </w:pPr>
                <w:r>
                  <w:t>57,658</w:t>
                </w:r>
              </w:p>
            </w:tc>
            <w:tc>
              <w:tcPr>
                <w:tcW w:w="1572" w:type="pct"/>
                <w:shd w:val="clear" w:color="auto" w:fill="auto"/>
                <w:vAlign w:val="center"/>
              </w:tcPr>
              <w:p w14:paraId="07274391" w14:textId="77777777" w:rsidR="007E7472" w:rsidRDefault="00EC1269">
                <w:pPr>
                  <w:jc w:val="right"/>
                </w:pPr>
                <w:r>
                  <w:t>-812,574</w:t>
                </w:r>
              </w:p>
            </w:tc>
          </w:tr>
          <w:bookmarkEnd w:id="266"/>
        </w:tbl>
      </w:sdtContent>
    </w:sdt>
    <w:p w14:paraId="296CE3C4" w14:textId="77777777" w:rsidR="007E7472" w:rsidRDefault="00C8327E"/>
    <w:bookmarkStart w:id="267" w:name="_Hlk10538896" w:displacedByCustomXml="next"/>
    <w:sdt>
      <w:sdtPr>
        <w:rPr>
          <w:rFonts w:ascii="宋体" w:hAnsi="宋体" w:cs="宋体" w:hint="eastAsia"/>
          <w:b w:val="0"/>
          <w:bCs w:val="0"/>
          <w:kern w:val="0"/>
          <w:sz w:val="20"/>
          <w:szCs w:val="21"/>
        </w:rPr>
        <w:alias w:val="模块:公允价值变动收益"/>
        <w:tag w:val="_GBC_66e6cb51ec7740408a31ff233ae3330d"/>
        <w:id w:val="182173403"/>
        <w:lock w:val="sdtLocked"/>
        <w:placeholder>
          <w:docPart w:val="GBC22222222222222222222222222222"/>
        </w:placeholder>
      </w:sdtPr>
      <w:sdtEndPr>
        <w:rPr>
          <w:rFonts w:cstheme="minorBidi"/>
        </w:rPr>
      </w:sdtEndPr>
      <w:sdtContent>
        <w:p w14:paraId="516A990A" w14:textId="77777777" w:rsidR="007E7472" w:rsidRDefault="00EC1269" w:rsidP="00162493">
          <w:pPr>
            <w:pStyle w:val="3"/>
            <w:numPr>
              <w:ilvl w:val="0"/>
              <w:numId w:val="62"/>
            </w:numPr>
          </w:pPr>
          <w:r>
            <w:rPr>
              <w:rFonts w:hint="eastAsia"/>
            </w:rPr>
            <w:t>公允价值变动收益</w:t>
          </w:r>
        </w:p>
        <w:sdt>
          <w:sdtPr>
            <w:alias w:val="是否适用：公允价值变动收益[双击切换]"/>
            <w:tag w:val="_GBC_21669fdeb74c4273a55facece1a56109"/>
            <w:id w:val="1450124922"/>
            <w:lock w:val="sdtLocked"/>
            <w:placeholder>
              <w:docPart w:val="GBC22222222222222222222222222222"/>
            </w:placeholder>
          </w:sdtPr>
          <w:sdtEndPr/>
          <w:sdtContent>
            <w:p w14:paraId="017DEF60"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5754E813" w14:textId="52C9DAA6" w:rsidR="007E7472" w:rsidRDefault="00EC1269">
          <w:pPr>
            <w:jc w:val="right"/>
          </w:pPr>
          <w:r>
            <w:rPr>
              <w:rFonts w:hint="eastAsia"/>
            </w:rPr>
            <w:t>单位：</w:t>
          </w:r>
          <w:sdt>
            <w:sdtPr>
              <w:rPr>
                <w:rFonts w:hint="eastAsia"/>
              </w:rPr>
              <w:alias w:val="单位：财务附注：公允价值变动收益"/>
              <w:tag w:val="_GBC_a2b6fb2423244bbaa3600e1be3b4d548"/>
              <w:id w:val="14287727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公允价值变动收益"/>
              <w:tag w:val="_GBC_0343c5436a0742acbf5d87cc18c51638"/>
              <w:id w:val="9667035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3"/>
            <w:gridCol w:w="2755"/>
            <w:gridCol w:w="2755"/>
          </w:tblGrid>
          <w:tr w:rsidR="007E7472" w14:paraId="5633E30B" w14:textId="77777777" w:rsidTr="007E7472">
            <w:trPr>
              <w:trHeight w:val="340"/>
            </w:trPr>
            <w:sdt>
              <w:sdtPr>
                <w:tag w:val="_PLD_a07c0df95be549039f5bf24c4a595cbd"/>
                <w:id w:val="1586030037"/>
              </w:sdtPr>
              <w:sdtEndPr/>
              <w:sdtContent>
                <w:tc>
                  <w:tcPr>
                    <w:tcW w:w="1878" w:type="pct"/>
                    <w:tcBorders>
                      <w:top w:val="single" w:sz="4" w:space="0" w:color="auto"/>
                      <w:left w:val="single" w:sz="4" w:space="0" w:color="auto"/>
                      <w:bottom w:val="single" w:sz="4" w:space="0" w:color="auto"/>
                      <w:right w:val="single" w:sz="4" w:space="0" w:color="auto"/>
                    </w:tcBorders>
                    <w:vAlign w:val="center"/>
                  </w:tcPr>
                  <w:p w14:paraId="6F581590" w14:textId="77777777" w:rsidR="007E7472" w:rsidRDefault="00EC1269">
                    <w:pPr>
                      <w:autoSpaceDE w:val="0"/>
                      <w:autoSpaceDN w:val="0"/>
                      <w:adjustRightInd w:val="0"/>
                      <w:jc w:val="center"/>
                    </w:pPr>
                    <w:r>
                      <w:rPr>
                        <w:rFonts w:hint="eastAsia"/>
                      </w:rPr>
                      <w:t>产生公允价值变动收益的来源</w:t>
                    </w:r>
                  </w:p>
                </w:tc>
              </w:sdtContent>
            </w:sdt>
            <w:sdt>
              <w:sdtPr>
                <w:tag w:val="_PLD_b9803e3282e549d5b5e179588ec75dc3"/>
                <w:id w:val="-2036343926"/>
              </w:sdtPr>
              <w:sdtEndPr/>
              <w:sdtContent>
                <w:tc>
                  <w:tcPr>
                    <w:tcW w:w="1561" w:type="pct"/>
                    <w:tcBorders>
                      <w:top w:val="single" w:sz="4" w:space="0" w:color="auto"/>
                      <w:left w:val="single" w:sz="4" w:space="0" w:color="auto"/>
                      <w:bottom w:val="single" w:sz="4" w:space="0" w:color="auto"/>
                      <w:right w:val="single" w:sz="4" w:space="0" w:color="auto"/>
                    </w:tcBorders>
                    <w:vAlign w:val="center"/>
                  </w:tcPr>
                  <w:p w14:paraId="214039DD" w14:textId="77777777" w:rsidR="007E7472" w:rsidRDefault="00EC1269">
                    <w:pPr>
                      <w:autoSpaceDE w:val="0"/>
                      <w:autoSpaceDN w:val="0"/>
                      <w:adjustRightInd w:val="0"/>
                      <w:jc w:val="center"/>
                    </w:pPr>
                    <w:r>
                      <w:rPr>
                        <w:rFonts w:hint="eastAsia"/>
                      </w:rPr>
                      <w:t>本期发生额</w:t>
                    </w:r>
                  </w:p>
                </w:tc>
              </w:sdtContent>
            </w:sdt>
            <w:sdt>
              <w:sdtPr>
                <w:tag w:val="_PLD_943dd94af7be43cd9f57756acf9a8c19"/>
                <w:id w:val="-1212880637"/>
              </w:sdtPr>
              <w:sdtEndPr/>
              <w:sdtContent>
                <w:tc>
                  <w:tcPr>
                    <w:tcW w:w="1561" w:type="pct"/>
                    <w:tcBorders>
                      <w:top w:val="single" w:sz="4" w:space="0" w:color="auto"/>
                      <w:left w:val="single" w:sz="4" w:space="0" w:color="auto"/>
                      <w:bottom w:val="single" w:sz="4" w:space="0" w:color="auto"/>
                      <w:right w:val="single" w:sz="4" w:space="0" w:color="auto"/>
                    </w:tcBorders>
                    <w:vAlign w:val="center"/>
                  </w:tcPr>
                  <w:p w14:paraId="37F89333" w14:textId="77777777" w:rsidR="007E7472" w:rsidRDefault="00EC1269">
                    <w:pPr>
                      <w:autoSpaceDE w:val="0"/>
                      <w:autoSpaceDN w:val="0"/>
                      <w:adjustRightInd w:val="0"/>
                      <w:jc w:val="center"/>
                    </w:pPr>
                    <w:r>
                      <w:rPr>
                        <w:rFonts w:hint="eastAsia"/>
                      </w:rPr>
                      <w:t>上期发生额</w:t>
                    </w:r>
                  </w:p>
                </w:tc>
              </w:sdtContent>
            </w:sdt>
          </w:tr>
          <w:tr w:rsidR="007E7472" w14:paraId="3F414E14" w14:textId="77777777" w:rsidTr="007E7472">
            <w:trPr>
              <w:trHeight w:val="340"/>
            </w:trPr>
            <w:sdt>
              <w:sdtPr>
                <w:tag w:val="_PLD_402b5413aaec4e358e056ca8d9f87b4c"/>
                <w:id w:val="-2070490235"/>
              </w:sdtPr>
              <w:sdtEndPr/>
              <w:sdtContent>
                <w:tc>
                  <w:tcPr>
                    <w:tcW w:w="1878" w:type="pct"/>
                    <w:tcBorders>
                      <w:top w:val="single" w:sz="4" w:space="0" w:color="auto"/>
                      <w:left w:val="single" w:sz="4" w:space="0" w:color="auto"/>
                      <w:bottom w:val="single" w:sz="4" w:space="0" w:color="auto"/>
                      <w:right w:val="single" w:sz="4" w:space="0" w:color="auto"/>
                    </w:tcBorders>
                    <w:vAlign w:val="center"/>
                  </w:tcPr>
                  <w:p w14:paraId="1F99FCD5" w14:textId="77777777" w:rsidR="007E7472" w:rsidRDefault="00EC1269">
                    <w:r>
                      <w:rPr>
                        <w:rFonts w:hint="eastAsia"/>
                      </w:rPr>
                      <w:t>交易性金融资产</w:t>
                    </w:r>
                  </w:p>
                </w:tc>
              </w:sdtContent>
            </w:sdt>
            <w:tc>
              <w:tcPr>
                <w:tcW w:w="1561" w:type="pct"/>
                <w:tcBorders>
                  <w:top w:val="single" w:sz="4" w:space="0" w:color="auto"/>
                  <w:left w:val="single" w:sz="4" w:space="0" w:color="auto"/>
                  <w:bottom w:val="single" w:sz="4" w:space="0" w:color="auto"/>
                  <w:right w:val="single" w:sz="4" w:space="0" w:color="auto"/>
                </w:tcBorders>
                <w:vAlign w:val="center"/>
              </w:tcPr>
              <w:p w14:paraId="71853711" w14:textId="77777777" w:rsidR="007E7472" w:rsidRDefault="00EC1269">
                <w:pPr>
                  <w:autoSpaceDE w:val="0"/>
                  <w:autoSpaceDN w:val="0"/>
                  <w:adjustRightInd w:val="0"/>
                  <w:jc w:val="right"/>
                </w:pPr>
                <w:r>
                  <w:t>-48,532</w:t>
                </w:r>
              </w:p>
            </w:tc>
            <w:tc>
              <w:tcPr>
                <w:tcW w:w="1561" w:type="pct"/>
                <w:tcBorders>
                  <w:top w:val="single" w:sz="4" w:space="0" w:color="auto"/>
                  <w:left w:val="single" w:sz="4" w:space="0" w:color="auto"/>
                  <w:bottom w:val="single" w:sz="4" w:space="0" w:color="auto"/>
                  <w:right w:val="single" w:sz="4" w:space="0" w:color="auto"/>
                </w:tcBorders>
                <w:vAlign w:val="center"/>
              </w:tcPr>
              <w:p w14:paraId="1E9E7027" w14:textId="77777777" w:rsidR="007E7472" w:rsidRDefault="00EC1269">
                <w:pPr>
                  <w:autoSpaceDE w:val="0"/>
                  <w:autoSpaceDN w:val="0"/>
                  <w:adjustRightInd w:val="0"/>
                  <w:jc w:val="right"/>
                </w:pPr>
                <w:r>
                  <w:t>69,812</w:t>
                </w:r>
              </w:p>
            </w:tc>
          </w:tr>
          <w:tr w:rsidR="007E7472" w14:paraId="2144582E" w14:textId="77777777" w:rsidTr="007E7472">
            <w:trPr>
              <w:trHeight w:val="340"/>
            </w:trPr>
            <w:sdt>
              <w:sdtPr>
                <w:tag w:val="_PLD_3d96c34a09624753b34e51d2472f2a1b"/>
                <w:id w:val="-315339578"/>
                <w:lock w:val="sdtLocked"/>
              </w:sdtPr>
              <w:sdtEndPr/>
              <w:sdtContent>
                <w:tc>
                  <w:tcPr>
                    <w:tcW w:w="1878" w:type="pct"/>
                    <w:tcBorders>
                      <w:top w:val="single" w:sz="4" w:space="0" w:color="auto"/>
                      <w:left w:val="single" w:sz="4" w:space="0" w:color="auto"/>
                      <w:bottom w:val="single" w:sz="4" w:space="0" w:color="auto"/>
                      <w:right w:val="single" w:sz="4" w:space="0" w:color="auto"/>
                    </w:tcBorders>
                    <w:vAlign w:val="center"/>
                  </w:tcPr>
                  <w:p w14:paraId="475D1ACD" w14:textId="77777777" w:rsidR="007E7472" w:rsidRDefault="00EC1269">
                    <w:r>
                      <w:rPr>
                        <w:rFonts w:hint="eastAsia"/>
                      </w:rPr>
                      <w:t>交易性金融负债</w:t>
                    </w:r>
                  </w:p>
                </w:tc>
              </w:sdtContent>
            </w:sdt>
            <w:tc>
              <w:tcPr>
                <w:tcW w:w="1561" w:type="pct"/>
                <w:tcBorders>
                  <w:top w:val="single" w:sz="4" w:space="0" w:color="auto"/>
                  <w:left w:val="single" w:sz="4" w:space="0" w:color="auto"/>
                  <w:bottom w:val="single" w:sz="4" w:space="0" w:color="auto"/>
                  <w:right w:val="single" w:sz="4" w:space="0" w:color="auto"/>
                </w:tcBorders>
                <w:vAlign w:val="center"/>
              </w:tcPr>
              <w:p w14:paraId="59D9F387" w14:textId="77777777" w:rsidR="007E7472" w:rsidRDefault="00EC1269">
                <w:pPr>
                  <w:autoSpaceDE w:val="0"/>
                  <w:autoSpaceDN w:val="0"/>
                  <w:adjustRightInd w:val="0"/>
                  <w:jc w:val="right"/>
                </w:pPr>
                <w:r>
                  <w:t>-36,243</w:t>
                </w:r>
              </w:p>
            </w:tc>
            <w:tc>
              <w:tcPr>
                <w:tcW w:w="1561" w:type="pct"/>
                <w:tcBorders>
                  <w:top w:val="single" w:sz="4" w:space="0" w:color="auto"/>
                  <w:left w:val="single" w:sz="4" w:space="0" w:color="auto"/>
                  <w:bottom w:val="single" w:sz="4" w:space="0" w:color="auto"/>
                  <w:right w:val="single" w:sz="4" w:space="0" w:color="auto"/>
                </w:tcBorders>
                <w:vAlign w:val="center"/>
              </w:tcPr>
              <w:p w14:paraId="19605FB5" w14:textId="77777777" w:rsidR="007E7472" w:rsidRDefault="00EC1269">
                <w:pPr>
                  <w:autoSpaceDE w:val="0"/>
                  <w:autoSpaceDN w:val="0"/>
                  <w:adjustRightInd w:val="0"/>
                  <w:jc w:val="right"/>
                </w:pPr>
                <w:r>
                  <w:t>-220,933</w:t>
                </w:r>
              </w:p>
            </w:tc>
          </w:tr>
          <w:sdt>
            <w:sdtPr>
              <w:rPr>
                <w:rFonts w:hint="eastAsia"/>
              </w:rPr>
              <w:alias w:val="产生公允价值变动收益的来源的明细"/>
              <w:tag w:val="_TUP_901043d70806435fbba28aa3c0d298b6"/>
              <w:id w:val="-1499959238"/>
            </w:sdtPr>
            <w:sdtEndPr/>
            <w:sdtContent>
              <w:tr w:rsidR="007E7472" w14:paraId="61065175" w14:textId="77777777" w:rsidTr="007E7472">
                <w:trPr>
                  <w:trHeight w:val="340"/>
                </w:trPr>
                <w:tc>
                  <w:tcPr>
                    <w:tcW w:w="1878" w:type="pct"/>
                    <w:tcBorders>
                      <w:top w:val="single" w:sz="4" w:space="0" w:color="auto"/>
                      <w:left w:val="single" w:sz="4" w:space="0" w:color="auto"/>
                      <w:bottom w:val="single" w:sz="4" w:space="0" w:color="auto"/>
                      <w:right w:val="single" w:sz="4" w:space="0" w:color="auto"/>
                    </w:tcBorders>
                    <w:vAlign w:val="center"/>
                  </w:tcPr>
                  <w:p w14:paraId="55F7A3BE" w14:textId="77777777" w:rsidR="007E7472" w:rsidRDefault="00EC1269">
                    <w:r>
                      <w:rPr>
                        <w:rFonts w:hint="eastAsia"/>
                      </w:rPr>
                      <w:t>其他非流动金融资产</w:t>
                    </w:r>
                  </w:p>
                </w:tc>
                <w:tc>
                  <w:tcPr>
                    <w:tcW w:w="1561" w:type="pct"/>
                    <w:tcBorders>
                      <w:top w:val="single" w:sz="4" w:space="0" w:color="auto"/>
                      <w:left w:val="single" w:sz="4" w:space="0" w:color="auto"/>
                      <w:bottom w:val="single" w:sz="4" w:space="0" w:color="auto"/>
                      <w:right w:val="single" w:sz="4" w:space="0" w:color="auto"/>
                    </w:tcBorders>
                    <w:vAlign w:val="center"/>
                  </w:tcPr>
                  <w:p w14:paraId="1851915C" w14:textId="77777777" w:rsidR="007E7472" w:rsidRDefault="00EC1269">
                    <w:pPr>
                      <w:jc w:val="right"/>
                    </w:pPr>
                    <w:r>
                      <w:t>16,721</w:t>
                    </w:r>
                  </w:p>
                </w:tc>
                <w:tc>
                  <w:tcPr>
                    <w:tcW w:w="1561" w:type="pct"/>
                    <w:tcBorders>
                      <w:top w:val="single" w:sz="4" w:space="0" w:color="auto"/>
                      <w:left w:val="single" w:sz="4" w:space="0" w:color="auto"/>
                      <w:bottom w:val="single" w:sz="4" w:space="0" w:color="auto"/>
                      <w:right w:val="single" w:sz="4" w:space="0" w:color="auto"/>
                    </w:tcBorders>
                    <w:vAlign w:val="center"/>
                  </w:tcPr>
                  <w:p w14:paraId="0C422807" w14:textId="77777777" w:rsidR="007E7472" w:rsidRDefault="00EC1269">
                    <w:pPr>
                      <w:autoSpaceDE w:val="0"/>
                      <w:autoSpaceDN w:val="0"/>
                      <w:adjustRightInd w:val="0"/>
                      <w:jc w:val="right"/>
                    </w:pPr>
                    <w:r>
                      <w:t>110,385</w:t>
                    </w:r>
                  </w:p>
                </w:tc>
              </w:tr>
            </w:sdtContent>
          </w:sdt>
          <w:tr w:rsidR="007E7472" w14:paraId="1BB91E47" w14:textId="77777777" w:rsidTr="007E7472">
            <w:trPr>
              <w:trHeight w:val="340"/>
            </w:trPr>
            <w:sdt>
              <w:sdtPr>
                <w:tag w:val="_PLD_5eb386e2c7144b76b7f1061a9d9942d9"/>
                <w:id w:val="-902908553"/>
              </w:sdtPr>
              <w:sdtEndPr/>
              <w:sdtContent>
                <w:tc>
                  <w:tcPr>
                    <w:tcW w:w="1878" w:type="pct"/>
                    <w:tcBorders>
                      <w:top w:val="single" w:sz="4" w:space="0" w:color="auto"/>
                      <w:left w:val="single" w:sz="4" w:space="0" w:color="auto"/>
                      <w:bottom w:val="single" w:sz="4" w:space="0" w:color="auto"/>
                      <w:right w:val="single" w:sz="4" w:space="0" w:color="auto"/>
                    </w:tcBorders>
                    <w:vAlign w:val="center"/>
                  </w:tcPr>
                  <w:p w14:paraId="4A6FE931" w14:textId="77777777" w:rsidR="007E7472" w:rsidRDefault="00EC1269">
                    <w:pPr>
                      <w:autoSpaceDE w:val="0"/>
                      <w:autoSpaceDN w:val="0"/>
                      <w:adjustRightInd w:val="0"/>
                      <w:jc w:val="center"/>
                    </w:pPr>
                    <w:r>
                      <w:rPr>
                        <w:rFonts w:hint="eastAsia"/>
                      </w:rPr>
                      <w:t>合计</w:t>
                    </w:r>
                  </w:p>
                </w:tc>
              </w:sdtContent>
            </w:sdt>
            <w:tc>
              <w:tcPr>
                <w:tcW w:w="1561" w:type="pct"/>
                <w:tcBorders>
                  <w:top w:val="single" w:sz="4" w:space="0" w:color="auto"/>
                  <w:left w:val="single" w:sz="4" w:space="0" w:color="auto"/>
                  <w:bottom w:val="single" w:sz="4" w:space="0" w:color="auto"/>
                  <w:right w:val="single" w:sz="4" w:space="0" w:color="auto"/>
                </w:tcBorders>
                <w:vAlign w:val="center"/>
              </w:tcPr>
              <w:p w14:paraId="4251E806" w14:textId="77777777" w:rsidR="007E7472" w:rsidRDefault="00EC1269">
                <w:pPr>
                  <w:jc w:val="right"/>
                </w:pPr>
                <w:r>
                  <w:t>-68,054</w:t>
                </w:r>
              </w:p>
            </w:tc>
            <w:tc>
              <w:tcPr>
                <w:tcW w:w="1561" w:type="pct"/>
                <w:tcBorders>
                  <w:top w:val="single" w:sz="4" w:space="0" w:color="auto"/>
                  <w:left w:val="single" w:sz="4" w:space="0" w:color="auto"/>
                  <w:bottom w:val="single" w:sz="4" w:space="0" w:color="auto"/>
                  <w:right w:val="single" w:sz="4" w:space="0" w:color="auto"/>
                </w:tcBorders>
                <w:vAlign w:val="center"/>
              </w:tcPr>
              <w:p w14:paraId="5B3F053F" w14:textId="77777777" w:rsidR="007E7472" w:rsidRDefault="00EC1269">
                <w:pPr>
                  <w:autoSpaceDE w:val="0"/>
                  <w:autoSpaceDN w:val="0"/>
                  <w:adjustRightInd w:val="0"/>
                  <w:jc w:val="right"/>
                </w:pPr>
                <w:r>
                  <w:t>-40,736</w:t>
                </w:r>
              </w:p>
            </w:tc>
          </w:tr>
          <w:bookmarkEnd w:id="267"/>
        </w:tbl>
      </w:sdtContent>
    </w:sdt>
    <w:p w14:paraId="27CB3BD9" w14:textId="77777777" w:rsidR="007E7472" w:rsidRDefault="00C8327E"/>
    <w:bookmarkStart w:id="268" w:name="_Hlk72829754" w:displacedByCustomXml="next"/>
    <w:sdt>
      <w:sdtPr>
        <w:rPr>
          <w:rFonts w:ascii="宋体" w:hAnsi="宋体" w:cs="宋体"/>
          <w:b w:val="0"/>
          <w:bCs w:val="0"/>
          <w:kern w:val="0"/>
          <w:sz w:val="20"/>
          <w:szCs w:val="21"/>
        </w:rPr>
        <w:alias w:val="模块:"/>
        <w:tag w:val="_SEC_87edd713957c4f11900f8738aeba1216"/>
        <w:id w:val="382076935"/>
        <w:lock w:val="sdtLocked"/>
        <w:placeholder>
          <w:docPart w:val="GBC22222222222222222222222222222"/>
        </w:placeholder>
      </w:sdtPr>
      <w:sdtEndPr>
        <w:rPr>
          <w:sz w:val="21"/>
        </w:rPr>
      </w:sdtEndPr>
      <w:sdtContent>
        <w:p w14:paraId="3AC3B432" w14:textId="77777777" w:rsidR="007E7472" w:rsidRDefault="00EC1269" w:rsidP="00162493">
          <w:pPr>
            <w:pStyle w:val="3"/>
            <w:numPr>
              <w:ilvl w:val="0"/>
              <w:numId w:val="62"/>
            </w:numPr>
          </w:pPr>
          <w:r>
            <w:rPr>
              <w:rFonts w:hint="eastAsia"/>
            </w:rPr>
            <w:t>信用减值损失</w:t>
          </w:r>
        </w:p>
        <w:sdt>
          <w:sdtPr>
            <w:alias w:val="是否适用：信用减值损失[双击切换]"/>
            <w:tag w:val="_GBC_091d631028b64a0dbabe3c252fdf5712"/>
            <w:id w:val="1188723580"/>
            <w:lock w:val="sdtLocked"/>
            <w:placeholder>
              <w:docPart w:val="GBC22222222222222222222222222222"/>
            </w:placeholder>
          </w:sdtPr>
          <w:sdtEndPr/>
          <w:sdtContent>
            <w:p w14:paraId="00E4BD22"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62386218" w14:textId="0B4CE06E" w:rsidR="007E7472" w:rsidRDefault="00EC1269">
          <w:pPr>
            <w:ind w:left="420"/>
            <w:jc w:val="right"/>
          </w:pPr>
          <w:r>
            <w:rPr>
              <w:rFonts w:hint="eastAsia"/>
            </w:rPr>
            <w:t>单位：</w:t>
          </w:r>
          <w:sdt>
            <w:sdtPr>
              <w:rPr>
                <w:rFonts w:hint="eastAsia"/>
              </w:rPr>
              <w:alias w:val="单位：信用减值损失"/>
              <w:tag w:val="_GBC_be6f29e88d6d4a459d7640ec9d687c98"/>
              <w:id w:val="-16405685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信用减值损失"/>
              <w:tag w:val="_GBC_7bb1c4130f5c47cdbfa091247dbf05dc"/>
              <w:id w:val="20968109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0"/>
            <w:gridCol w:w="2620"/>
            <w:gridCol w:w="2643"/>
          </w:tblGrid>
          <w:tr w:rsidR="007E7472" w14:paraId="5AEFF2CC" w14:textId="77777777" w:rsidTr="0095518A">
            <w:trPr>
              <w:trHeight w:val="340"/>
            </w:trPr>
            <w:sdt>
              <w:sdtPr>
                <w:tag w:val="_PLD_64ee29c5c67448b288248caa86e974a6"/>
                <w:id w:val="968248022"/>
              </w:sdtPr>
              <w:sdtEndPr/>
              <w:sdtContent>
                <w:tc>
                  <w:tcPr>
                    <w:tcW w:w="2017" w:type="pct"/>
                    <w:shd w:val="clear" w:color="auto" w:fill="auto"/>
                    <w:vAlign w:val="center"/>
                  </w:tcPr>
                  <w:p w14:paraId="28181B06" w14:textId="77777777" w:rsidR="007E7472" w:rsidRDefault="00EC1269">
                    <w:pPr>
                      <w:jc w:val="center"/>
                    </w:pPr>
                    <w:r>
                      <w:rPr>
                        <w:rFonts w:hint="eastAsia"/>
                      </w:rPr>
                      <w:t>项目</w:t>
                    </w:r>
                  </w:p>
                </w:tc>
              </w:sdtContent>
            </w:sdt>
            <w:sdt>
              <w:sdtPr>
                <w:tag w:val="_PLD_560d3fc458c74be7aaa6d31bdfb4da69"/>
                <w:id w:val="967251384"/>
              </w:sdtPr>
              <w:sdtEndPr/>
              <w:sdtContent>
                <w:tc>
                  <w:tcPr>
                    <w:tcW w:w="1485" w:type="pct"/>
                    <w:shd w:val="clear" w:color="auto" w:fill="auto"/>
                    <w:vAlign w:val="center"/>
                  </w:tcPr>
                  <w:p w14:paraId="3FD16E20" w14:textId="77777777" w:rsidR="007E7472" w:rsidRDefault="00EC1269">
                    <w:pPr>
                      <w:jc w:val="center"/>
                    </w:pPr>
                    <w:r>
                      <w:rPr>
                        <w:rFonts w:hint="eastAsia"/>
                      </w:rPr>
                      <w:t>本期发生额</w:t>
                    </w:r>
                  </w:p>
                </w:tc>
              </w:sdtContent>
            </w:sdt>
            <w:sdt>
              <w:sdtPr>
                <w:tag w:val="_PLD_4dbd931f6768425793e565db22a0fbd4"/>
                <w:id w:val="1941725448"/>
              </w:sdtPr>
              <w:sdtEndPr/>
              <w:sdtContent>
                <w:tc>
                  <w:tcPr>
                    <w:tcW w:w="1498" w:type="pct"/>
                    <w:shd w:val="clear" w:color="auto" w:fill="auto"/>
                    <w:vAlign w:val="center"/>
                  </w:tcPr>
                  <w:p w14:paraId="607A9D43" w14:textId="77777777" w:rsidR="007E7472" w:rsidRDefault="00EC1269">
                    <w:pPr>
                      <w:jc w:val="center"/>
                    </w:pPr>
                    <w:r>
                      <w:rPr>
                        <w:rFonts w:hint="eastAsia"/>
                      </w:rPr>
                      <w:t>上期发生额</w:t>
                    </w:r>
                  </w:p>
                </w:tc>
              </w:sdtContent>
            </w:sdt>
          </w:tr>
          <w:tr w:rsidR="007E7472" w14:paraId="64818BED" w14:textId="77777777" w:rsidTr="0095518A">
            <w:trPr>
              <w:trHeight w:val="340"/>
            </w:trPr>
            <w:tc>
              <w:tcPr>
                <w:tcW w:w="2017" w:type="pct"/>
                <w:shd w:val="clear" w:color="auto" w:fill="auto"/>
                <w:vAlign w:val="center"/>
              </w:tcPr>
              <w:sdt>
                <w:sdtPr>
                  <w:rPr>
                    <w:rFonts w:hint="eastAsia"/>
                  </w:rPr>
                  <w:tag w:val="_PLD_18ea6a1502d94e719ef09009f3e7b0cc"/>
                  <w:id w:val="-1105347686"/>
                </w:sdtPr>
                <w:sdtEndPr/>
                <w:sdtContent>
                  <w:p w14:paraId="424265AF" w14:textId="77777777" w:rsidR="007E7472" w:rsidRDefault="00EC1269">
                    <w:r>
                      <w:rPr>
                        <w:rFonts w:hint="eastAsia"/>
                      </w:rPr>
                      <w:t>应收账款坏账损失</w:t>
                    </w:r>
                  </w:p>
                </w:sdtContent>
              </w:sdt>
            </w:tc>
            <w:tc>
              <w:tcPr>
                <w:tcW w:w="1485" w:type="pct"/>
                <w:shd w:val="clear" w:color="auto" w:fill="auto"/>
                <w:vAlign w:val="center"/>
              </w:tcPr>
              <w:p w14:paraId="0843C1CB" w14:textId="77777777" w:rsidR="007E7472" w:rsidRDefault="00EC1269">
                <w:pPr>
                  <w:jc w:val="right"/>
                </w:pPr>
                <w:r>
                  <w:t>-10,344</w:t>
                </w:r>
              </w:p>
            </w:tc>
            <w:tc>
              <w:tcPr>
                <w:tcW w:w="1498" w:type="pct"/>
                <w:shd w:val="clear" w:color="auto" w:fill="auto"/>
                <w:vAlign w:val="center"/>
              </w:tcPr>
              <w:p w14:paraId="2A6E4CB5" w14:textId="77777777" w:rsidR="007E7472" w:rsidRDefault="00EC1269">
                <w:pPr>
                  <w:jc w:val="right"/>
                </w:pPr>
                <w:r>
                  <w:t>10,949</w:t>
                </w:r>
              </w:p>
            </w:tc>
          </w:tr>
          <w:sdt>
            <w:sdtPr>
              <w:alias w:val="信用减值损失明细"/>
              <w:tag w:val="_TUP_5de7ab4c13e84bbeb2f7ffab8e8e017a"/>
              <w:id w:val="1668588282"/>
            </w:sdtPr>
            <w:sdtEndPr/>
            <w:sdtContent>
              <w:tr w:rsidR="007E7472" w14:paraId="39431144" w14:textId="77777777" w:rsidTr="0095518A">
                <w:trPr>
                  <w:trHeight w:val="340"/>
                </w:trPr>
                <w:tc>
                  <w:tcPr>
                    <w:tcW w:w="2017" w:type="pct"/>
                    <w:shd w:val="clear" w:color="auto" w:fill="auto"/>
                    <w:vAlign w:val="center"/>
                  </w:tcPr>
                  <w:p w14:paraId="58E1EA93" w14:textId="77777777" w:rsidR="007E7472" w:rsidRDefault="00EC1269">
                    <w:r>
                      <w:rPr>
                        <w:rFonts w:hint="eastAsia"/>
                      </w:rPr>
                      <w:t>应收款项融资坏账损失</w:t>
                    </w:r>
                  </w:p>
                </w:tc>
                <w:tc>
                  <w:tcPr>
                    <w:tcW w:w="1485" w:type="pct"/>
                    <w:shd w:val="clear" w:color="auto" w:fill="auto"/>
                    <w:vAlign w:val="center"/>
                  </w:tcPr>
                  <w:p w14:paraId="6DF0DD52" w14:textId="77777777" w:rsidR="007E7472" w:rsidRDefault="00EC1269">
                    <w:pPr>
                      <w:jc w:val="right"/>
                    </w:pPr>
                    <w:r>
                      <w:t>14</w:t>
                    </w:r>
                  </w:p>
                </w:tc>
                <w:tc>
                  <w:tcPr>
                    <w:tcW w:w="1498" w:type="pct"/>
                    <w:shd w:val="clear" w:color="auto" w:fill="auto"/>
                    <w:vAlign w:val="center"/>
                  </w:tcPr>
                  <w:p w14:paraId="4C677D69" w14:textId="77777777" w:rsidR="007E7472" w:rsidRDefault="00EC1269">
                    <w:pPr>
                      <w:jc w:val="right"/>
                    </w:pPr>
                    <w:r>
                      <w:rPr>
                        <w:rFonts w:hint="eastAsia"/>
                      </w:rPr>
                      <w:t>5</w:t>
                    </w:r>
                    <w:r>
                      <w:t>7</w:t>
                    </w:r>
                  </w:p>
                </w:tc>
              </w:tr>
            </w:sdtContent>
          </w:sdt>
          <w:tr w:rsidR="007E7472" w14:paraId="236B2478" w14:textId="77777777" w:rsidTr="0095518A">
            <w:trPr>
              <w:trHeight w:val="340"/>
            </w:trPr>
            <w:tc>
              <w:tcPr>
                <w:tcW w:w="2017" w:type="pct"/>
                <w:shd w:val="clear" w:color="auto" w:fill="auto"/>
                <w:vAlign w:val="center"/>
              </w:tcPr>
              <w:sdt>
                <w:sdtPr>
                  <w:rPr>
                    <w:rFonts w:hint="eastAsia"/>
                  </w:rPr>
                  <w:tag w:val="_PLD_183b461709384c1dad0a5ada5156e0c2"/>
                  <w:id w:val="-1270239410"/>
                  <w:lock w:val="sdtLocked"/>
                </w:sdtPr>
                <w:sdtEndPr/>
                <w:sdtContent>
                  <w:p w14:paraId="5CFA3BA9" w14:textId="77777777" w:rsidR="007E7472" w:rsidRDefault="00EC1269">
                    <w:r>
                      <w:rPr>
                        <w:rFonts w:hint="eastAsia"/>
                      </w:rPr>
                      <w:t>其他应收款坏账损失</w:t>
                    </w:r>
                  </w:p>
                </w:sdtContent>
              </w:sdt>
            </w:tc>
            <w:tc>
              <w:tcPr>
                <w:tcW w:w="1485" w:type="pct"/>
                <w:shd w:val="clear" w:color="auto" w:fill="auto"/>
                <w:vAlign w:val="center"/>
              </w:tcPr>
              <w:p w14:paraId="06CFBA0F" w14:textId="77777777" w:rsidR="007E7472" w:rsidRDefault="00EC1269">
                <w:pPr>
                  <w:jc w:val="right"/>
                </w:pPr>
                <w:r>
                  <w:t>72,041</w:t>
                </w:r>
              </w:p>
            </w:tc>
            <w:tc>
              <w:tcPr>
                <w:tcW w:w="1498" w:type="pct"/>
                <w:shd w:val="clear" w:color="auto" w:fill="auto"/>
                <w:vAlign w:val="center"/>
              </w:tcPr>
              <w:p w14:paraId="6A2187FF" w14:textId="77777777" w:rsidR="007E7472" w:rsidRDefault="00EC1269">
                <w:pPr>
                  <w:jc w:val="right"/>
                </w:pPr>
                <w:r>
                  <w:t>-4,661</w:t>
                </w:r>
              </w:p>
            </w:tc>
          </w:tr>
          <w:tr w:rsidR="007E7472" w14:paraId="5A78C794" w14:textId="77777777" w:rsidTr="0095518A">
            <w:trPr>
              <w:trHeight w:val="340"/>
            </w:trPr>
            <w:tc>
              <w:tcPr>
                <w:tcW w:w="2017" w:type="pct"/>
                <w:shd w:val="clear" w:color="auto" w:fill="auto"/>
                <w:vAlign w:val="center"/>
              </w:tcPr>
              <w:sdt>
                <w:sdtPr>
                  <w:rPr>
                    <w:rFonts w:hint="eastAsia"/>
                  </w:rPr>
                  <w:tag w:val="_PLD_2cfae99c64b44f6089efa40a283c1bfc"/>
                  <w:id w:val="-1394191512"/>
                </w:sdtPr>
                <w:sdtEndPr/>
                <w:sdtContent>
                  <w:p w14:paraId="6062D979" w14:textId="77777777" w:rsidR="007E7472" w:rsidRDefault="00EC1269">
                    <w:r>
                      <w:rPr>
                        <w:rFonts w:hint="eastAsia"/>
                      </w:rPr>
                      <w:t>长期应收款坏账损失</w:t>
                    </w:r>
                  </w:p>
                </w:sdtContent>
              </w:sdt>
            </w:tc>
            <w:tc>
              <w:tcPr>
                <w:tcW w:w="1485" w:type="pct"/>
                <w:shd w:val="clear" w:color="auto" w:fill="auto"/>
                <w:vAlign w:val="center"/>
              </w:tcPr>
              <w:p w14:paraId="4B3DD48B" w14:textId="77777777" w:rsidR="007E7472" w:rsidRDefault="00EC1269">
                <w:pPr>
                  <w:jc w:val="right"/>
                </w:pPr>
                <w:r>
                  <w:t>-15,550</w:t>
                </w:r>
              </w:p>
            </w:tc>
            <w:tc>
              <w:tcPr>
                <w:tcW w:w="1498" w:type="pct"/>
                <w:shd w:val="clear" w:color="auto" w:fill="auto"/>
                <w:vAlign w:val="center"/>
              </w:tcPr>
              <w:p w14:paraId="1E0FAD51" w14:textId="77777777" w:rsidR="007E7472" w:rsidRDefault="00EC1269">
                <w:pPr>
                  <w:jc w:val="right"/>
                </w:pPr>
                <w:r>
                  <w:t>-53,489</w:t>
                </w:r>
              </w:p>
            </w:tc>
          </w:tr>
          <w:sdt>
            <w:sdtPr>
              <w:alias w:val="信用减值损失明细"/>
              <w:tag w:val="_TUP_5de7ab4c13e84bbeb2f7ffab8e8e017a"/>
              <w:id w:val="-4513634"/>
            </w:sdtPr>
            <w:sdtEndPr/>
            <w:sdtContent>
              <w:tr w:rsidR="007E7472" w14:paraId="528BB3E4" w14:textId="77777777" w:rsidTr="0095518A">
                <w:trPr>
                  <w:trHeight w:val="340"/>
                </w:trPr>
                <w:tc>
                  <w:tcPr>
                    <w:tcW w:w="2017" w:type="pct"/>
                    <w:shd w:val="clear" w:color="auto" w:fill="auto"/>
                    <w:vAlign w:val="center"/>
                  </w:tcPr>
                  <w:p w14:paraId="668D59B9" w14:textId="77777777" w:rsidR="007E7472" w:rsidRDefault="00EC1269">
                    <w:r>
                      <w:rPr>
                        <w:rFonts w:hint="eastAsia"/>
                      </w:rPr>
                      <w:t>其他</w:t>
                    </w:r>
                  </w:p>
                </w:tc>
                <w:tc>
                  <w:tcPr>
                    <w:tcW w:w="1485" w:type="pct"/>
                    <w:shd w:val="clear" w:color="auto" w:fill="auto"/>
                    <w:vAlign w:val="center"/>
                  </w:tcPr>
                  <w:p w14:paraId="57B7E9B1" w14:textId="77777777" w:rsidR="007E7472" w:rsidRDefault="00EC1269">
                    <w:pPr>
                      <w:jc w:val="right"/>
                    </w:pPr>
                    <w:r>
                      <w:t>-9,976</w:t>
                    </w:r>
                  </w:p>
                </w:tc>
                <w:tc>
                  <w:tcPr>
                    <w:tcW w:w="1498" w:type="pct"/>
                    <w:shd w:val="clear" w:color="auto" w:fill="auto"/>
                    <w:vAlign w:val="center"/>
                  </w:tcPr>
                  <w:p w14:paraId="458D2330" w14:textId="77777777" w:rsidR="007E7472" w:rsidRDefault="00EC1269">
                    <w:pPr>
                      <w:jc w:val="right"/>
                    </w:pPr>
                    <w:r>
                      <w:t>48,631</w:t>
                    </w:r>
                  </w:p>
                </w:tc>
              </w:tr>
            </w:sdtContent>
          </w:sdt>
          <w:tr w:rsidR="007E7472" w14:paraId="5B56F4D0" w14:textId="77777777" w:rsidTr="0095518A">
            <w:trPr>
              <w:trHeight w:val="340"/>
            </w:trPr>
            <w:sdt>
              <w:sdtPr>
                <w:tag w:val="_PLD_a280344d67cd4d1392e8972abbb82e72"/>
                <w:id w:val="-1942983236"/>
              </w:sdtPr>
              <w:sdtEndPr/>
              <w:sdtContent>
                <w:tc>
                  <w:tcPr>
                    <w:tcW w:w="2017" w:type="pct"/>
                    <w:shd w:val="clear" w:color="auto" w:fill="auto"/>
                    <w:vAlign w:val="center"/>
                  </w:tcPr>
                  <w:p w14:paraId="5481084B" w14:textId="77777777" w:rsidR="007E7472" w:rsidRDefault="00EC1269">
                    <w:pPr>
                      <w:jc w:val="center"/>
                    </w:pPr>
                    <w:r>
                      <w:rPr>
                        <w:rFonts w:hint="eastAsia"/>
                      </w:rPr>
                      <w:t>合计</w:t>
                    </w:r>
                  </w:p>
                </w:tc>
              </w:sdtContent>
            </w:sdt>
            <w:tc>
              <w:tcPr>
                <w:tcW w:w="1485" w:type="pct"/>
                <w:shd w:val="clear" w:color="auto" w:fill="auto"/>
                <w:vAlign w:val="center"/>
              </w:tcPr>
              <w:p w14:paraId="7528169C" w14:textId="77777777" w:rsidR="007E7472" w:rsidRDefault="00EC1269">
                <w:pPr>
                  <w:jc w:val="right"/>
                </w:pPr>
                <w:r>
                  <w:t>36,185</w:t>
                </w:r>
              </w:p>
            </w:tc>
            <w:tc>
              <w:tcPr>
                <w:tcW w:w="1498" w:type="pct"/>
                <w:shd w:val="clear" w:color="auto" w:fill="auto"/>
                <w:vAlign w:val="center"/>
              </w:tcPr>
              <w:p w14:paraId="1DF8580F" w14:textId="77777777" w:rsidR="007E7472" w:rsidRDefault="00EC1269">
                <w:pPr>
                  <w:jc w:val="right"/>
                </w:pPr>
                <w:r>
                  <w:t>1,487</w:t>
                </w:r>
              </w:p>
            </w:tc>
          </w:tr>
          <w:bookmarkEnd w:id="268"/>
        </w:tbl>
      </w:sdtContent>
    </w:sdt>
    <w:p w14:paraId="31FAC6B3" w14:textId="77777777" w:rsidR="007E7472" w:rsidRDefault="00C8327E"/>
    <w:sdt>
      <w:sdtPr>
        <w:rPr>
          <w:rFonts w:ascii="宋体" w:hAnsi="宋体" w:cs="宋体" w:hint="eastAsia"/>
          <w:b w:val="0"/>
          <w:bCs w:val="0"/>
          <w:kern w:val="0"/>
          <w:sz w:val="20"/>
          <w:szCs w:val="21"/>
        </w:rPr>
        <w:alias w:val="模块:资产减值损失"/>
        <w:tag w:val="_GBC_e0187e33fb024605af673daabe2f7861"/>
        <w:id w:val="1382665297"/>
        <w:lock w:val="sdtLocked"/>
        <w:placeholder>
          <w:docPart w:val="GBC22222222222222222222222222222"/>
        </w:placeholder>
      </w:sdtPr>
      <w:sdtEndPr>
        <w:rPr>
          <w:rFonts w:hint="default"/>
        </w:rPr>
      </w:sdtEndPr>
      <w:sdtContent>
        <w:p w14:paraId="7CA59385" w14:textId="77777777" w:rsidR="007E7472" w:rsidRDefault="00EC1269" w:rsidP="00162493">
          <w:pPr>
            <w:pStyle w:val="3"/>
            <w:numPr>
              <w:ilvl w:val="0"/>
              <w:numId w:val="62"/>
            </w:numPr>
          </w:pPr>
          <w:r>
            <w:rPr>
              <w:rFonts w:hint="eastAsia"/>
            </w:rPr>
            <w:t>资产减值损失</w:t>
          </w:r>
        </w:p>
        <w:sdt>
          <w:sdtPr>
            <w:alias w:val="是否适用：资产减值损失[双击切换]"/>
            <w:tag w:val="_GBC_7fdc5881d69a48d59383942dbd2c2a3e"/>
            <w:id w:val="812752562"/>
            <w:lock w:val="sdtLocked"/>
            <w:placeholder>
              <w:docPart w:val="GBC22222222222222222222222222222"/>
            </w:placeholder>
          </w:sdtPr>
          <w:sdtEndPr/>
          <w:sdtContent>
            <w:p w14:paraId="771954FE"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21DE81E5" w14:textId="3F90066C" w:rsidR="007E7472" w:rsidRDefault="00EC1269">
          <w:pPr>
            <w:jc w:val="right"/>
          </w:pPr>
          <w:r>
            <w:rPr>
              <w:rFonts w:hint="eastAsia"/>
            </w:rPr>
            <w:t>单位：</w:t>
          </w:r>
          <w:sdt>
            <w:sdtPr>
              <w:rPr>
                <w:rFonts w:hint="eastAsia"/>
              </w:rPr>
              <w:alias w:val="单位：财务附注：资产减值损失"/>
              <w:tag w:val="_GBC_40ad6c56ceff460ca35db2135628d01d"/>
              <w:id w:val="21341374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资产减值损失"/>
              <w:tag w:val="_GBC_5e13b42cdca649359964ad50033ab01e"/>
              <w:id w:val="-18880168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4"/>
            <w:gridCol w:w="2509"/>
            <w:gridCol w:w="3000"/>
          </w:tblGrid>
          <w:tr w:rsidR="007E7472" w14:paraId="288A08BC" w14:textId="77777777">
            <w:sdt>
              <w:sdtPr>
                <w:tag w:val="_PLD_1c1b3ab4db9e4468a28086960eda425b"/>
                <w:id w:val="-958339926"/>
                <w:lock w:val="sdtLocked"/>
              </w:sdtPr>
              <w:sdtEndPr/>
              <w:sdtContent>
                <w:tc>
                  <w:tcPr>
                    <w:tcW w:w="1878" w:type="pct"/>
                    <w:tcBorders>
                      <w:top w:val="single" w:sz="4" w:space="0" w:color="auto"/>
                      <w:left w:val="single" w:sz="4" w:space="0" w:color="auto"/>
                      <w:bottom w:val="single" w:sz="4" w:space="0" w:color="auto"/>
                      <w:right w:val="single" w:sz="4" w:space="0" w:color="auto"/>
                    </w:tcBorders>
                    <w:vAlign w:val="center"/>
                  </w:tcPr>
                  <w:p w14:paraId="7029FE23" w14:textId="77777777" w:rsidR="007E7472" w:rsidRDefault="00EC1269">
                    <w:pPr>
                      <w:autoSpaceDE w:val="0"/>
                      <w:autoSpaceDN w:val="0"/>
                      <w:adjustRightInd w:val="0"/>
                      <w:jc w:val="center"/>
                    </w:pPr>
                    <w:r>
                      <w:rPr>
                        <w:rFonts w:hint="eastAsia"/>
                      </w:rPr>
                      <w:t>项目</w:t>
                    </w:r>
                  </w:p>
                </w:tc>
              </w:sdtContent>
            </w:sdt>
            <w:sdt>
              <w:sdtPr>
                <w:tag w:val="_PLD_ab926936cf9d4fc39ab4c469d2ff3166"/>
                <w:id w:val="-1423634947"/>
                <w:lock w:val="sdtLocked"/>
              </w:sdtPr>
              <w:sdtEndPr/>
              <w:sdtContent>
                <w:tc>
                  <w:tcPr>
                    <w:tcW w:w="1422" w:type="pct"/>
                    <w:tcBorders>
                      <w:top w:val="single" w:sz="4" w:space="0" w:color="auto"/>
                      <w:left w:val="single" w:sz="4" w:space="0" w:color="auto"/>
                      <w:bottom w:val="single" w:sz="4" w:space="0" w:color="auto"/>
                      <w:right w:val="single" w:sz="4" w:space="0" w:color="auto"/>
                    </w:tcBorders>
                    <w:vAlign w:val="center"/>
                  </w:tcPr>
                  <w:p w14:paraId="16077DA7" w14:textId="77777777" w:rsidR="007E7472" w:rsidRDefault="00EC1269">
                    <w:pPr>
                      <w:autoSpaceDE w:val="0"/>
                      <w:autoSpaceDN w:val="0"/>
                      <w:adjustRightInd w:val="0"/>
                      <w:jc w:val="center"/>
                    </w:pPr>
                    <w:r>
                      <w:rPr>
                        <w:rFonts w:hint="eastAsia"/>
                      </w:rPr>
                      <w:t>本期发生额</w:t>
                    </w:r>
                  </w:p>
                </w:tc>
              </w:sdtContent>
            </w:sdt>
            <w:sdt>
              <w:sdtPr>
                <w:tag w:val="_PLD_8d4d7dadcc9944098ada8da3daaa7668"/>
                <w:id w:val="-109207196"/>
                <w:lock w:val="sdtLocked"/>
              </w:sdtPr>
              <w:sdtEndPr/>
              <w:sdtContent>
                <w:tc>
                  <w:tcPr>
                    <w:tcW w:w="1700" w:type="pct"/>
                    <w:tcBorders>
                      <w:top w:val="single" w:sz="4" w:space="0" w:color="auto"/>
                      <w:left w:val="single" w:sz="4" w:space="0" w:color="auto"/>
                      <w:bottom w:val="single" w:sz="4" w:space="0" w:color="auto"/>
                      <w:right w:val="single" w:sz="4" w:space="0" w:color="auto"/>
                    </w:tcBorders>
                    <w:vAlign w:val="center"/>
                  </w:tcPr>
                  <w:p w14:paraId="386C29BD" w14:textId="77777777" w:rsidR="007E7472" w:rsidRDefault="00EC1269">
                    <w:pPr>
                      <w:autoSpaceDE w:val="0"/>
                      <w:autoSpaceDN w:val="0"/>
                      <w:adjustRightInd w:val="0"/>
                      <w:jc w:val="center"/>
                    </w:pPr>
                    <w:r>
                      <w:rPr>
                        <w:rFonts w:hint="eastAsia"/>
                      </w:rPr>
                      <w:t>上期发生额</w:t>
                    </w:r>
                  </w:p>
                </w:tc>
              </w:sdtContent>
            </w:sdt>
          </w:tr>
          <w:tr w:rsidR="007E7472" w14:paraId="2E94AA07" w14:textId="77777777">
            <w:sdt>
              <w:sdtPr>
                <w:tag w:val="_PLD_48506e29da6e4911867af71e75a78a82"/>
                <w:id w:val="-771546401"/>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527DDC4D" w14:textId="77777777" w:rsidR="007E7472" w:rsidRDefault="00EC1269">
                    <w:pPr>
                      <w:autoSpaceDE w:val="0"/>
                      <w:autoSpaceDN w:val="0"/>
                      <w:adjustRightInd w:val="0"/>
                    </w:pPr>
                    <w:r>
                      <w:rPr>
                        <w:rFonts w:hint="eastAsia"/>
                      </w:rPr>
                      <w:t>存货跌价损失</w:t>
                    </w:r>
                  </w:p>
                </w:tc>
              </w:sdtContent>
            </w:sdt>
            <w:tc>
              <w:tcPr>
                <w:tcW w:w="1422" w:type="pct"/>
                <w:tcBorders>
                  <w:top w:val="single" w:sz="4" w:space="0" w:color="auto"/>
                  <w:left w:val="single" w:sz="4" w:space="0" w:color="auto"/>
                  <w:bottom w:val="single" w:sz="4" w:space="0" w:color="auto"/>
                  <w:right w:val="single" w:sz="4" w:space="0" w:color="auto"/>
                </w:tcBorders>
              </w:tcPr>
              <w:p w14:paraId="4179652B" w14:textId="77777777" w:rsidR="007E7472" w:rsidRDefault="00EC1269">
                <w:pPr>
                  <w:jc w:val="right"/>
                </w:pPr>
                <w:r>
                  <w:t>-2,007</w:t>
                </w:r>
              </w:p>
            </w:tc>
            <w:tc>
              <w:tcPr>
                <w:tcW w:w="1700" w:type="pct"/>
                <w:tcBorders>
                  <w:top w:val="single" w:sz="4" w:space="0" w:color="auto"/>
                  <w:left w:val="single" w:sz="4" w:space="0" w:color="auto"/>
                  <w:bottom w:val="single" w:sz="4" w:space="0" w:color="auto"/>
                  <w:right w:val="single" w:sz="4" w:space="0" w:color="auto"/>
                </w:tcBorders>
              </w:tcPr>
              <w:p w14:paraId="692AEB60" w14:textId="77777777" w:rsidR="007E7472" w:rsidRDefault="00EC1269">
                <w:pPr>
                  <w:jc w:val="right"/>
                </w:pPr>
                <w:r>
                  <w:t>295</w:t>
                </w:r>
              </w:p>
            </w:tc>
          </w:tr>
          <w:tr w:rsidR="007E7472" w14:paraId="5EAEBF94" w14:textId="77777777">
            <w:sdt>
              <w:sdtPr>
                <w:tag w:val="_PLD_28808946bb58470a9d59a4302a9117d5"/>
                <w:id w:val="139400878"/>
                <w:lock w:val="sdtLocked"/>
              </w:sdtPr>
              <w:sdtEndPr/>
              <w:sdtContent>
                <w:tc>
                  <w:tcPr>
                    <w:tcW w:w="1878" w:type="pct"/>
                    <w:tcBorders>
                      <w:top w:val="single" w:sz="4" w:space="0" w:color="auto"/>
                      <w:left w:val="single" w:sz="4" w:space="0" w:color="auto"/>
                      <w:bottom w:val="single" w:sz="4" w:space="0" w:color="auto"/>
                      <w:right w:val="single" w:sz="4" w:space="0" w:color="auto"/>
                    </w:tcBorders>
                  </w:tcPr>
                  <w:p w14:paraId="184B9474" w14:textId="77777777" w:rsidR="007E7472" w:rsidRDefault="00EC1269">
                    <w:pPr>
                      <w:autoSpaceDE w:val="0"/>
                      <w:autoSpaceDN w:val="0"/>
                      <w:adjustRightInd w:val="0"/>
                      <w:jc w:val="center"/>
                    </w:pPr>
                    <w:r>
                      <w:rPr>
                        <w:rFonts w:hint="eastAsia"/>
                      </w:rPr>
                      <w:t>合计</w:t>
                    </w:r>
                  </w:p>
                </w:tc>
              </w:sdtContent>
            </w:sdt>
            <w:tc>
              <w:tcPr>
                <w:tcW w:w="1422" w:type="pct"/>
                <w:tcBorders>
                  <w:top w:val="single" w:sz="4" w:space="0" w:color="auto"/>
                  <w:left w:val="single" w:sz="4" w:space="0" w:color="auto"/>
                  <w:bottom w:val="single" w:sz="4" w:space="0" w:color="auto"/>
                  <w:right w:val="single" w:sz="4" w:space="0" w:color="auto"/>
                </w:tcBorders>
              </w:tcPr>
              <w:p w14:paraId="268AEBAD" w14:textId="77777777" w:rsidR="007E7472" w:rsidRDefault="00EC1269">
                <w:pPr>
                  <w:jc w:val="right"/>
                </w:pPr>
                <w:r>
                  <w:t>-2,007</w:t>
                </w:r>
              </w:p>
            </w:tc>
            <w:tc>
              <w:tcPr>
                <w:tcW w:w="1700" w:type="pct"/>
                <w:tcBorders>
                  <w:top w:val="single" w:sz="4" w:space="0" w:color="auto"/>
                  <w:left w:val="single" w:sz="4" w:space="0" w:color="auto"/>
                  <w:bottom w:val="single" w:sz="4" w:space="0" w:color="auto"/>
                  <w:right w:val="single" w:sz="4" w:space="0" w:color="auto"/>
                </w:tcBorders>
              </w:tcPr>
              <w:p w14:paraId="3A8014E7" w14:textId="77777777" w:rsidR="007E7472" w:rsidRDefault="00EC1269">
                <w:pPr>
                  <w:jc w:val="right"/>
                </w:pPr>
                <w:r>
                  <w:t>295</w:t>
                </w:r>
              </w:p>
            </w:tc>
          </w:tr>
        </w:tbl>
      </w:sdtContent>
    </w:sdt>
    <w:p w14:paraId="70F86C8D" w14:textId="77777777" w:rsidR="007E7472" w:rsidRDefault="00C8327E"/>
    <w:sdt>
      <w:sdtPr>
        <w:rPr>
          <w:rFonts w:ascii="宋体" w:hAnsi="宋体" w:cs="宋体" w:hint="eastAsia"/>
          <w:b w:val="0"/>
          <w:bCs w:val="0"/>
          <w:kern w:val="0"/>
          <w:sz w:val="20"/>
          <w:szCs w:val="21"/>
        </w:rPr>
        <w:alias w:val="模块:资产处置收益"/>
        <w:tag w:val="_SEC_32e84127ca0a46b8896ad8e149c91048"/>
        <w:id w:val="1325777553"/>
        <w:lock w:val="sdtLocked"/>
        <w:placeholder>
          <w:docPart w:val="GBC22222222222222222222222222222"/>
        </w:placeholder>
      </w:sdtPr>
      <w:sdtEndPr>
        <w:rPr>
          <w:rFonts w:hint="default"/>
        </w:rPr>
      </w:sdtEndPr>
      <w:sdtContent>
        <w:p w14:paraId="05694A9F" w14:textId="77777777" w:rsidR="007E7472" w:rsidRDefault="00EC1269" w:rsidP="00162493">
          <w:pPr>
            <w:pStyle w:val="3"/>
            <w:numPr>
              <w:ilvl w:val="0"/>
              <w:numId w:val="62"/>
            </w:numPr>
          </w:pPr>
          <w:r>
            <w:rPr>
              <w:rFonts w:hint="eastAsia"/>
            </w:rPr>
            <w:t>资产处置收益</w:t>
          </w:r>
        </w:p>
        <w:sdt>
          <w:sdtPr>
            <w:rPr>
              <w:rFonts w:hint="eastAsia"/>
            </w:rPr>
            <w:alias w:val="是否适用：资产处置收益[双击切换]"/>
            <w:tag w:val="_GBC_9e584d6f46c648d195946caa434a4619"/>
            <w:id w:val="-1390037378"/>
            <w:lock w:val="sdtLocked"/>
            <w:placeholder>
              <w:docPart w:val="GBC22222222222222222222222222222"/>
            </w:placeholder>
          </w:sdtPr>
          <w:sdtEndPr/>
          <w:sdtContent>
            <w:p w14:paraId="336070BB"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15D18DE7" w14:textId="0F3E79BF" w:rsidR="007E7472" w:rsidRDefault="00EC1269">
          <w:pPr>
            <w:jc w:val="right"/>
          </w:pPr>
          <w:r>
            <w:t>单位：</w:t>
          </w:r>
          <w:sdt>
            <w:sdtPr>
              <w:alias w:val="单位：资产处置收益明细"/>
              <w:tag w:val="_GBC_72dc168499e249b988d6753a6df1ce44"/>
              <w:id w:val="170629535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sdtContent>
              <w:r w:rsidR="006F3F93">
                <w:t>千元</w:t>
              </w:r>
            </w:sdtContent>
          </w:sdt>
          <w:r>
            <w:t>币种：</w:t>
          </w:r>
          <w:sdt>
            <w:sdtPr>
              <w:alias w:val="币种：资产处置收益明细"/>
              <w:tag w:val="_GBC_d68880ec5b074fdc8846b703ead631e2"/>
              <w:id w:val="3629548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t>人民币</w:t>
              </w:r>
            </w:sdtContent>
          </w:sdt>
        </w:p>
        <w:tbl>
          <w:tblPr>
            <w:tblStyle w:val="g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985"/>
            <w:gridCol w:w="1984"/>
            <w:gridCol w:w="1882"/>
          </w:tblGrid>
          <w:tr w:rsidR="007E7472" w14:paraId="628AEECC" w14:textId="77777777" w:rsidTr="007E7472">
            <w:tc>
              <w:tcPr>
                <w:tcW w:w="2972" w:type="dxa"/>
                <w:vAlign w:val="center"/>
              </w:tcPr>
              <w:sdt>
                <w:sdtPr>
                  <w:rPr>
                    <w:rFonts w:hint="eastAsia"/>
                  </w:rPr>
                  <w:tag w:val="_PLD_5ae5d7d7d48342e7bc1da8d90a245459"/>
                  <w:id w:val="-226071794"/>
                  <w:lock w:val="sdtLocked"/>
                </w:sdtPr>
                <w:sdtEndPr/>
                <w:sdtContent>
                  <w:p w14:paraId="233D93D6" w14:textId="77777777" w:rsidR="007E7472" w:rsidRDefault="00EC1269">
                    <w:pPr>
                      <w:jc w:val="center"/>
                    </w:pPr>
                    <w:r>
                      <w:rPr>
                        <w:rFonts w:hint="eastAsia"/>
                      </w:rPr>
                      <w:t>项目</w:t>
                    </w:r>
                  </w:p>
                </w:sdtContent>
              </w:sdt>
            </w:tc>
            <w:tc>
              <w:tcPr>
                <w:tcW w:w="1985" w:type="dxa"/>
                <w:vAlign w:val="center"/>
              </w:tcPr>
              <w:sdt>
                <w:sdtPr>
                  <w:rPr>
                    <w:rFonts w:hint="eastAsia"/>
                  </w:rPr>
                  <w:tag w:val="_PLD_879cf215b86c45c790218e646c831e7d"/>
                  <w:id w:val="1462689089"/>
                  <w:lock w:val="sdtLocked"/>
                </w:sdtPr>
                <w:sdtEndPr/>
                <w:sdtContent>
                  <w:p w14:paraId="0C5D4612" w14:textId="77777777" w:rsidR="007E7472" w:rsidRDefault="00EC1269">
                    <w:pPr>
                      <w:jc w:val="center"/>
                    </w:pPr>
                    <w:r>
                      <w:rPr>
                        <w:rFonts w:hint="eastAsia"/>
                      </w:rPr>
                      <w:t>本期发生额</w:t>
                    </w:r>
                  </w:p>
                </w:sdtContent>
              </w:sdt>
            </w:tc>
            <w:tc>
              <w:tcPr>
                <w:tcW w:w="1984" w:type="dxa"/>
                <w:vAlign w:val="center"/>
              </w:tcPr>
              <w:sdt>
                <w:sdtPr>
                  <w:rPr>
                    <w:rFonts w:hint="eastAsia"/>
                  </w:rPr>
                  <w:tag w:val="_PLD_8860a002ccc44e14bf36aa3e10fb5d70"/>
                  <w:id w:val="-2081741082"/>
                  <w:lock w:val="sdtLocked"/>
                </w:sdtPr>
                <w:sdtEndPr/>
                <w:sdtContent>
                  <w:p w14:paraId="7155E565" w14:textId="77777777" w:rsidR="007E7472" w:rsidRDefault="00EC1269">
                    <w:pPr>
                      <w:jc w:val="center"/>
                    </w:pPr>
                    <w:r>
                      <w:rPr>
                        <w:rFonts w:hint="eastAsia"/>
                      </w:rPr>
                      <w:t>上期发生额</w:t>
                    </w:r>
                  </w:p>
                </w:sdtContent>
              </w:sdt>
            </w:tc>
            <w:tc>
              <w:tcPr>
                <w:tcW w:w="1882" w:type="dxa"/>
                <w:vAlign w:val="center"/>
              </w:tcPr>
              <w:p w14:paraId="074E5120" w14:textId="77777777" w:rsidR="007E7472" w:rsidRDefault="00EC1269">
                <w:pPr>
                  <w:jc w:val="center"/>
                </w:pPr>
                <w:r>
                  <w:rPr>
                    <w:rFonts w:hint="eastAsia"/>
                  </w:rPr>
                  <w:t>计入当期非经常性损益的金额</w:t>
                </w:r>
              </w:p>
            </w:tc>
          </w:tr>
          <w:tr w:rsidR="007E7472" w14:paraId="5F6909B5" w14:textId="77777777" w:rsidTr="007E7472">
            <w:tc>
              <w:tcPr>
                <w:tcW w:w="2972" w:type="dxa"/>
                <w:vAlign w:val="center"/>
              </w:tcPr>
              <w:p w14:paraId="06F7EE77" w14:textId="77777777" w:rsidR="007E7472" w:rsidRDefault="00EC1269">
                <w:r>
                  <w:t>非流动资产处置收益</w:t>
                </w:r>
              </w:p>
            </w:tc>
            <w:tc>
              <w:tcPr>
                <w:tcW w:w="1985" w:type="dxa"/>
                <w:vAlign w:val="center"/>
              </w:tcPr>
              <w:p w14:paraId="70840359" w14:textId="77777777" w:rsidR="007E7472" w:rsidRDefault="00EC1269">
                <w:pPr>
                  <w:jc w:val="right"/>
                </w:pPr>
                <w:r>
                  <w:t>5,190</w:t>
                </w:r>
              </w:p>
            </w:tc>
            <w:tc>
              <w:tcPr>
                <w:tcW w:w="1984" w:type="dxa"/>
                <w:vAlign w:val="center"/>
              </w:tcPr>
              <w:p w14:paraId="13816F69" w14:textId="77777777" w:rsidR="007E7472" w:rsidRDefault="00EC1269">
                <w:pPr>
                  <w:jc w:val="right"/>
                </w:pPr>
                <w:r>
                  <w:t>18,263</w:t>
                </w:r>
              </w:p>
            </w:tc>
            <w:tc>
              <w:tcPr>
                <w:tcW w:w="1882" w:type="dxa"/>
                <w:vAlign w:val="center"/>
              </w:tcPr>
              <w:p w14:paraId="679BCF35" w14:textId="77777777" w:rsidR="007E7472" w:rsidRDefault="00EC1269">
                <w:pPr>
                  <w:jc w:val="right"/>
                </w:pPr>
                <w:r>
                  <w:t>5,190</w:t>
                </w:r>
              </w:p>
            </w:tc>
          </w:tr>
          <w:tr w:rsidR="007E7472" w14:paraId="6E6353B8" w14:textId="77777777" w:rsidTr="007E7472">
            <w:tc>
              <w:tcPr>
                <w:tcW w:w="2972" w:type="dxa"/>
                <w:vAlign w:val="center"/>
              </w:tcPr>
              <w:p w14:paraId="5BA63C58" w14:textId="77777777" w:rsidR="007E7472" w:rsidRDefault="00EC1269">
                <w:r>
                  <w:t>其中：未划分为持有待售的非流动资产处置收益</w:t>
                </w:r>
              </w:p>
            </w:tc>
            <w:tc>
              <w:tcPr>
                <w:tcW w:w="1985" w:type="dxa"/>
                <w:vAlign w:val="center"/>
              </w:tcPr>
              <w:p w14:paraId="1365E2C6" w14:textId="77777777" w:rsidR="007E7472" w:rsidRDefault="00EC1269">
                <w:pPr>
                  <w:jc w:val="right"/>
                </w:pPr>
                <w:r>
                  <w:t>5,190</w:t>
                </w:r>
              </w:p>
            </w:tc>
            <w:tc>
              <w:tcPr>
                <w:tcW w:w="1984" w:type="dxa"/>
                <w:vAlign w:val="center"/>
              </w:tcPr>
              <w:p w14:paraId="46B9817F" w14:textId="77777777" w:rsidR="007E7472" w:rsidRDefault="00EC1269">
                <w:pPr>
                  <w:jc w:val="right"/>
                </w:pPr>
                <w:r>
                  <w:t>18,263</w:t>
                </w:r>
              </w:p>
            </w:tc>
            <w:tc>
              <w:tcPr>
                <w:tcW w:w="1882" w:type="dxa"/>
                <w:vAlign w:val="center"/>
              </w:tcPr>
              <w:p w14:paraId="55A9CE7C" w14:textId="77777777" w:rsidR="007E7472" w:rsidRDefault="00EC1269">
                <w:pPr>
                  <w:jc w:val="right"/>
                </w:pPr>
                <w:r>
                  <w:t>5,190</w:t>
                </w:r>
              </w:p>
            </w:tc>
          </w:tr>
          <w:tr w:rsidR="007E7472" w14:paraId="58819886" w14:textId="77777777" w:rsidTr="007E7472">
            <w:tc>
              <w:tcPr>
                <w:tcW w:w="2972" w:type="dxa"/>
                <w:vAlign w:val="center"/>
              </w:tcPr>
              <w:p w14:paraId="738FB087" w14:textId="77777777" w:rsidR="007E7472" w:rsidRDefault="00EC1269">
                <w:r>
                  <w:t>其中:固定资产处置收益</w:t>
                </w:r>
              </w:p>
            </w:tc>
            <w:tc>
              <w:tcPr>
                <w:tcW w:w="1985" w:type="dxa"/>
                <w:vAlign w:val="center"/>
              </w:tcPr>
              <w:p w14:paraId="6A742074" w14:textId="77777777" w:rsidR="007E7472" w:rsidRDefault="00EC1269">
                <w:pPr>
                  <w:jc w:val="right"/>
                </w:pPr>
                <w:r>
                  <w:t>5,190</w:t>
                </w:r>
              </w:p>
            </w:tc>
            <w:tc>
              <w:tcPr>
                <w:tcW w:w="1984" w:type="dxa"/>
                <w:vAlign w:val="center"/>
              </w:tcPr>
              <w:p w14:paraId="040DF443" w14:textId="77777777" w:rsidR="007E7472" w:rsidRDefault="00EC1269">
                <w:pPr>
                  <w:jc w:val="right"/>
                </w:pPr>
                <w:r>
                  <w:rPr>
                    <w:rFonts w:asciiTheme="majorEastAsia" w:eastAsiaTheme="majorEastAsia" w:hAnsiTheme="majorEastAsia"/>
                  </w:rPr>
                  <w:t>18,263</w:t>
                </w:r>
              </w:p>
            </w:tc>
            <w:tc>
              <w:tcPr>
                <w:tcW w:w="1882" w:type="dxa"/>
                <w:vAlign w:val="center"/>
              </w:tcPr>
              <w:p w14:paraId="266053F5" w14:textId="77777777" w:rsidR="007E7472" w:rsidRDefault="00EC1269">
                <w:pPr>
                  <w:jc w:val="right"/>
                </w:pPr>
                <w:r>
                  <w:t>5,190</w:t>
                </w:r>
              </w:p>
            </w:tc>
          </w:tr>
          <w:tr w:rsidR="007E7472" w14:paraId="1495D2D8" w14:textId="77777777" w:rsidTr="007E7472">
            <w:tc>
              <w:tcPr>
                <w:tcW w:w="2972" w:type="dxa"/>
                <w:vAlign w:val="center"/>
              </w:tcPr>
              <w:p w14:paraId="7EC52132" w14:textId="77777777" w:rsidR="007E7472" w:rsidRDefault="00EC1269">
                <w:r>
                  <w:rPr>
                    <w:rFonts w:asciiTheme="minorHAnsi" w:eastAsiaTheme="minorEastAsia" w:hAnsiTheme="minorHAnsi" w:cstheme="minorBidi" w:hint="eastAsia"/>
                    <w:kern w:val="2"/>
                  </w:rPr>
                  <w:t>其中</w:t>
                </w:r>
                <w:r>
                  <w:rPr>
                    <w:rFonts w:asciiTheme="minorHAnsi" w:eastAsiaTheme="minorEastAsia" w:hAnsiTheme="minorHAnsi" w:cstheme="minorBidi"/>
                    <w:kern w:val="2"/>
                  </w:rPr>
                  <w:t>:</w:t>
                </w:r>
                <w:r>
                  <w:rPr>
                    <w:rFonts w:asciiTheme="minorHAnsi" w:eastAsiaTheme="minorEastAsia" w:hAnsiTheme="minorHAnsi" w:cstheme="minorBidi" w:hint="eastAsia"/>
                    <w:kern w:val="2"/>
                  </w:rPr>
                  <w:t>无形</w:t>
                </w:r>
                <w:r>
                  <w:rPr>
                    <w:rFonts w:asciiTheme="minorHAnsi" w:eastAsiaTheme="minorEastAsia" w:hAnsiTheme="minorHAnsi" w:cstheme="minorBidi"/>
                    <w:kern w:val="2"/>
                  </w:rPr>
                  <w:t>资产处置收益</w:t>
                </w:r>
              </w:p>
            </w:tc>
            <w:tc>
              <w:tcPr>
                <w:tcW w:w="1985" w:type="dxa"/>
                <w:vAlign w:val="center"/>
              </w:tcPr>
              <w:p w14:paraId="6B97772B" w14:textId="77777777" w:rsidR="007E7472" w:rsidRDefault="00C8327E">
                <w:pPr>
                  <w:jc w:val="right"/>
                </w:pPr>
              </w:p>
            </w:tc>
            <w:tc>
              <w:tcPr>
                <w:tcW w:w="1984" w:type="dxa"/>
                <w:vAlign w:val="center"/>
              </w:tcPr>
              <w:p w14:paraId="2CC39E24" w14:textId="77777777" w:rsidR="007E7472" w:rsidRDefault="00C8327E">
                <w:pPr>
                  <w:jc w:val="right"/>
                </w:pPr>
              </w:p>
            </w:tc>
            <w:tc>
              <w:tcPr>
                <w:tcW w:w="1882" w:type="dxa"/>
                <w:vAlign w:val="center"/>
              </w:tcPr>
              <w:p w14:paraId="679685BF" w14:textId="77777777" w:rsidR="007E7472" w:rsidRDefault="00C8327E">
                <w:pPr>
                  <w:jc w:val="right"/>
                </w:pPr>
              </w:p>
            </w:tc>
          </w:tr>
          <w:tr w:rsidR="007E7472" w14:paraId="1FE6D2F1" w14:textId="77777777" w:rsidTr="007E7472">
            <w:tc>
              <w:tcPr>
                <w:tcW w:w="2972" w:type="dxa"/>
                <w:vAlign w:val="center"/>
              </w:tcPr>
              <w:p w14:paraId="52C675DE" w14:textId="77777777" w:rsidR="007E7472" w:rsidRDefault="00EC1269">
                <w:pPr>
                  <w:jc w:val="center"/>
                </w:pPr>
                <w:r>
                  <w:rPr>
                    <w:rFonts w:hint="eastAsia"/>
                  </w:rPr>
                  <w:t>合计</w:t>
                </w:r>
              </w:p>
            </w:tc>
            <w:tc>
              <w:tcPr>
                <w:tcW w:w="1985" w:type="dxa"/>
                <w:vAlign w:val="center"/>
              </w:tcPr>
              <w:p w14:paraId="22A4B7D7" w14:textId="77777777" w:rsidR="007E7472" w:rsidRDefault="00EC1269">
                <w:pPr>
                  <w:jc w:val="right"/>
                </w:pPr>
                <w:r>
                  <w:t>5,190</w:t>
                </w:r>
              </w:p>
            </w:tc>
            <w:tc>
              <w:tcPr>
                <w:tcW w:w="1984" w:type="dxa"/>
                <w:vAlign w:val="center"/>
              </w:tcPr>
              <w:p w14:paraId="242D860E" w14:textId="77777777" w:rsidR="007E7472" w:rsidRDefault="00EC1269">
                <w:pPr>
                  <w:jc w:val="right"/>
                </w:pPr>
                <w:r>
                  <w:t>18,263</w:t>
                </w:r>
              </w:p>
            </w:tc>
            <w:tc>
              <w:tcPr>
                <w:tcW w:w="1882" w:type="dxa"/>
                <w:vAlign w:val="center"/>
              </w:tcPr>
              <w:p w14:paraId="017C7D7D" w14:textId="77777777" w:rsidR="007E7472" w:rsidRDefault="00EC1269">
                <w:pPr>
                  <w:jc w:val="right"/>
                </w:pPr>
                <w:r>
                  <w:t>5,190</w:t>
                </w:r>
              </w:p>
            </w:tc>
          </w:tr>
        </w:tbl>
        <w:p w14:paraId="753739AC" w14:textId="77777777" w:rsidR="007E7472" w:rsidRDefault="00C8327E"/>
        <w:p w14:paraId="62AC63D2" w14:textId="77777777" w:rsidR="007E7472" w:rsidRDefault="00EC1269">
          <w:r>
            <w:rPr>
              <w:rFonts w:hint="eastAsia"/>
            </w:rPr>
            <w:t>其他</w:t>
          </w:r>
          <w:r>
            <w:t>说明：</w:t>
          </w:r>
        </w:p>
        <w:sdt>
          <w:sdtPr>
            <w:rPr>
              <w:rFonts w:hint="eastAsia"/>
            </w:rPr>
            <w:alias w:val="是否适用：资产处置收益其他说明[双击切换]"/>
            <w:tag w:val="_GBC_15965d17bc0a4e6788b5c6faf8c51b58"/>
            <w:id w:val="-1747486317"/>
            <w:lock w:val="sdtLocked"/>
            <w:placeholder>
              <w:docPart w:val="GBC22222222222222222222222222222"/>
            </w:placeholder>
          </w:sdtPr>
          <w:sdtEndPr/>
          <w:sdtContent>
            <w:p w14:paraId="0A7E59EA" w14:textId="77777777" w:rsidR="007E7472" w:rsidRDefault="00EC1269">
              <w:r>
                <w:rPr>
                  <w:rFonts w:hint="eastAsia"/>
                </w:rPr>
                <w:fldChar w:fldCharType="begin"/>
              </w:r>
              <w:r>
                <w:rPr>
                  <w:rFonts w:hint="eastAsia"/>
                </w:rPr>
                <w:instrText xml:space="preserve"> MACROBUTTON  SnrToggleCheckbox □适用 </w:instrText>
              </w:r>
              <w:r>
                <w:rPr>
                  <w:rFonts w:hint="eastAsia"/>
                </w:rPr>
                <w:fldChar w:fldCharType="end"/>
              </w:r>
              <w:r>
                <w:fldChar w:fldCharType="begin"/>
              </w:r>
              <w:r>
                <w:instrText xml:space="preserve"> MACROBUTTON  SnrToggleCheckbox √不适用 </w:instrText>
              </w:r>
              <w:r>
                <w:fldChar w:fldCharType="end"/>
              </w:r>
            </w:p>
          </w:sdtContent>
        </w:sdt>
      </w:sdtContent>
    </w:sdt>
    <w:p w14:paraId="2C4C2BB1" w14:textId="77777777" w:rsidR="007E7472" w:rsidRDefault="00C8327E">
      <w:bookmarkStart w:id="269" w:name="_Hlk142401179"/>
      <w:bookmarkEnd w:id="269"/>
    </w:p>
    <w:p w14:paraId="0134FC4C" w14:textId="77777777" w:rsidR="007E7472" w:rsidRDefault="00EC1269" w:rsidP="00162493">
      <w:pPr>
        <w:pStyle w:val="3"/>
        <w:numPr>
          <w:ilvl w:val="0"/>
          <w:numId w:val="62"/>
        </w:numPr>
      </w:pPr>
      <w:r>
        <w:rPr>
          <w:rFonts w:hint="eastAsia"/>
        </w:rPr>
        <w:t>营业外收入</w:t>
      </w:r>
    </w:p>
    <w:sdt>
      <w:sdtPr>
        <w:rPr>
          <w:rFonts w:cstheme="minorBidi" w:hint="eastAsia"/>
          <w:szCs w:val="22"/>
        </w:rPr>
        <w:alias w:val="是否适用：营业外收入情况 [双击切换]"/>
        <w:tag w:val="_GBC_b6e9df1124844122abb2dde58392c605"/>
        <w:id w:val="-1502267155"/>
        <w:lock w:val="sdtContentLocked"/>
        <w:placeholder>
          <w:docPart w:val="GBC22222222222222222222222222222"/>
        </w:placeholder>
      </w:sdtPr>
      <w:sdtEndPr/>
      <w:sdtContent>
        <w:p w14:paraId="68BF9EAA" w14:textId="77777777" w:rsidR="007E7472" w:rsidRDefault="00EC1269">
          <w:pPr>
            <w:rPr>
              <w:rFonts w:cstheme="minorBidi"/>
              <w:szCs w:val="22"/>
            </w:rPr>
          </w:pPr>
          <w:r>
            <w:rPr>
              <w:rFonts w:cstheme="minorBidi"/>
              <w:szCs w:val="22"/>
            </w:rPr>
            <w:fldChar w:fldCharType="begin"/>
          </w:r>
          <w:r>
            <w:rPr>
              <w:rFonts w:cstheme="minorBidi"/>
              <w:szCs w:val="22"/>
            </w:rPr>
            <w:instrText xml:space="preserve"> MACROBUTTON  SnrToggleCheckbox √适用 </w:instrText>
          </w:r>
          <w:r>
            <w:rPr>
              <w:rFonts w:cstheme="minorBidi"/>
              <w:szCs w:val="22"/>
            </w:rPr>
            <w:fldChar w:fldCharType="end"/>
          </w:r>
          <w:r>
            <w:rPr>
              <w:rFonts w:cstheme="minorBidi"/>
              <w:szCs w:val="22"/>
            </w:rPr>
            <w:fldChar w:fldCharType="begin"/>
          </w:r>
          <w:r>
            <w:rPr>
              <w:rFonts w:cstheme="minorBidi"/>
              <w:szCs w:val="22"/>
            </w:rPr>
            <w:instrText xml:space="preserve"> MACROBUTTON  SnrToggleCheckbox □不适用 </w:instrText>
          </w:r>
          <w:r>
            <w:rPr>
              <w:rFonts w:cstheme="minorBidi"/>
              <w:szCs w:val="22"/>
            </w:rPr>
            <w:fldChar w:fldCharType="end"/>
          </w:r>
        </w:p>
      </w:sdtContent>
    </w:sdt>
    <w:sdt>
      <w:sdtPr>
        <w:rPr>
          <w:rFonts w:ascii="Times New Roman" w:hAnsi="Times New Roman" w:cs="Times New Roman" w:hint="eastAsia"/>
          <w:sz w:val="20"/>
          <w:szCs w:val="20"/>
        </w:rPr>
        <w:alias w:val="模块:营业外收入"/>
        <w:tag w:val="_SEC_62e5cfd7609742dd8d0ae51a88918288"/>
        <w:id w:val="-1210261671"/>
        <w:lock w:val="sdtLocked"/>
        <w:placeholder>
          <w:docPart w:val="GBC22222222222222222222222222222"/>
        </w:placeholder>
      </w:sdtPr>
      <w:sdtEndPr>
        <w:rPr>
          <w:rFonts w:hint="default"/>
        </w:rPr>
      </w:sdtEndPr>
      <w:sdtContent>
        <w:p w14:paraId="1A36BC4C" w14:textId="700C497A" w:rsidR="007E7472" w:rsidRDefault="00EC1269">
          <w:pPr>
            <w:jc w:val="right"/>
          </w:pPr>
          <w:r>
            <w:rPr>
              <w:rFonts w:hint="eastAsia"/>
            </w:rPr>
            <w:t>单位：</w:t>
          </w:r>
          <w:sdt>
            <w:sdtPr>
              <w:rPr>
                <w:rFonts w:hint="eastAsia"/>
              </w:rPr>
              <w:alias w:val="单位：财务附注：营业外收入"/>
              <w:tag w:val="_GBC_dd93a692e0c045038f9ddf46f86e7289"/>
              <w:id w:val="45036206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营业外收入"/>
              <w:tag w:val="_GBC_598cac7504eb4ef39ddc19fb969bdd53"/>
              <w:id w:val="3208609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9"/>
            <w:gridCol w:w="2248"/>
            <w:gridCol w:w="2257"/>
            <w:gridCol w:w="2259"/>
          </w:tblGrid>
          <w:tr w:rsidR="007E7472" w14:paraId="75D243BC" w14:textId="77777777">
            <w:sdt>
              <w:sdtPr>
                <w:tag w:val="_PLD_d649e0d07dd047a497e69591bf3e322c"/>
                <w:id w:val="1124727543"/>
                <w:lock w:val="sdtLocked"/>
              </w:sdtPr>
              <w:sdtEndPr/>
              <w:sdtContent>
                <w:tc>
                  <w:tcPr>
                    <w:tcW w:w="1167" w:type="pct"/>
                    <w:tcBorders>
                      <w:top w:val="single" w:sz="4" w:space="0" w:color="auto"/>
                      <w:left w:val="single" w:sz="4" w:space="0" w:color="auto"/>
                      <w:bottom w:val="single" w:sz="4" w:space="0" w:color="auto"/>
                      <w:right w:val="single" w:sz="4" w:space="0" w:color="auto"/>
                    </w:tcBorders>
                    <w:vAlign w:val="center"/>
                  </w:tcPr>
                  <w:p w14:paraId="40E27B10" w14:textId="77777777" w:rsidR="007E7472" w:rsidRDefault="00EC1269">
                    <w:pPr>
                      <w:autoSpaceDE w:val="0"/>
                      <w:autoSpaceDN w:val="0"/>
                      <w:adjustRightInd w:val="0"/>
                      <w:jc w:val="center"/>
                    </w:pPr>
                    <w:r>
                      <w:rPr>
                        <w:rFonts w:hint="eastAsia"/>
                      </w:rPr>
                      <w:t>项目</w:t>
                    </w:r>
                  </w:p>
                </w:tc>
              </w:sdtContent>
            </w:sdt>
            <w:sdt>
              <w:sdtPr>
                <w:tag w:val="_PLD_eabf358cb2c947a9b4e7bacb394074db"/>
                <w:id w:val="1349530346"/>
                <w:lock w:val="sdtLocked"/>
              </w:sdtPr>
              <w:sdtEndPr/>
              <w:sdtContent>
                <w:tc>
                  <w:tcPr>
                    <w:tcW w:w="1274" w:type="pct"/>
                    <w:tcBorders>
                      <w:top w:val="single" w:sz="4" w:space="0" w:color="auto"/>
                      <w:left w:val="single" w:sz="4" w:space="0" w:color="auto"/>
                      <w:bottom w:val="single" w:sz="4" w:space="0" w:color="auto"/>
                      <w:right w:val="single" w:sz="4" w:space="0" w:color="auto"/>
                    </w:tcBorders>
                    <w:vAlign w:val="center"/>
                  </w:tcPr>
                  <w:p w14:paraId="4B97EB48" w14:textId="77777777" w:rsidR="007E7472" w:rsidRDefault="00EC1269">
                    <w:pPr>
                      <w:autoSpaceDE w:val="0"/>
                      <w:autoSpaceDN w:val="0"/>
                      <w:adjustRightInd w:val="0"/>
                      <w:jc w:val="center"/>
                    </w:pPr>
                    <w:r>
                      <w:rPr>
                        <w:rFonts w:hint="eastAsia"/>
                      </w:rPr>
                      <w:t>本期发生额</w:t>
                    </w:r>
                  </w:p>
                </w:tc>
              </w:sdtContent>
            </w:sdt>
            <w:sdt>
              <w:sdtPr>
                <w:tag w:val="_PLD_0469d808d7334ff0ab3460273b0c8f8f"/>
                <w:id w:val="-2110732780"/>
                <w:lock w:val="sdtLocked"/>
              </w:sdtPr>
              <w:sdtEndPr/>
              <w:sdtContent>
                <w:tc>
                  <w:tcPr>
                    <w:tcW w:w="1279" w:type="pct"/>
                    <w:tcBorders>
                      <w:top w:val="single" w:sz="4" w:space="0" w:color="auto"/>
                      <w:left w:val="single" w:sz="4" w:space="0" w:color="auto"/>
                      <w:bottom w:val="single" w:sz="4" w:space="0" w:color="auto"/>
                      <w:right w:val="single" w:sz="4" w:space="0" w:color="auto"/>
                    </w:tcBorders>
                    <w:vAlign w:val="center"/>
                  </w:tcPr>
                  <w:p w14:paraId="1E29F429" w14:textId="77777777" w:rsidR="007E7472" w:rsidRDefault="00EC1269">
                    <w:pPr>
                      <w:autoSpaceDE w:val="0"/>
                      <w:autoSpaceDN w:val="0"/>
                      <w:adjustRightInd w:val="0"/>
                      <w:jc w:val="center"/>
                    </w:pPr>
                    <w:r>
                      <w:rPr>
                        <w:rFonts w:hint="eastAsia"/>
                      </w:rPr>
                      <w:t>上期发生额</w:t>
                    </w:r>
                  </w:p>
                </w:tc>
              </w:sdtContent>
            </w:sdt>
            <w:sdt>
              <w:sdtPr>
                <w:tag w:val="_PLD_121bda757dda46918753fabf9329298f"/>
                <w:id w:val="1417217171"/>
                <w:lock w:val="sdtLocked"/>
              </w:sdtPr>
              <w:sdtEndPr/>
              <w:sdtContent>
                <w:tc>
                  <w:tcPr>
                    <w:tcW w:w="1280" w:type="pct"/>
                    <w:tcBorders>
                      <w:top w:val="single" w:sz="4" w:space="0" w:color="auto"/>
                      <w:left w:val="single" w:sz="4" w:space="0" w:color="auto"/>
                      <w:bottom w:val="single" w:sz="4" w:space="0" w:color="auto"/>
                      <w:right w:val="single" w:sz="4" w:space="0" w:color="auto"/>
                    </w:tcBorders>
                    <w:vAlign w:val="center"/>
                  </w:tcPr>
                  <w:p w14:paraId="4A889BEA" w14:textId="77777777" w:rsidR="007E7472" w:rsidRDefault="00EC1269">
                    <w:pPr>
                      <w:autoSpaceDE w:val="0"/>
                      <w:autoSpaceDN w:val="0"/>
                      <w:adjustRightInd w:val="0"/>
                      <w:jc w:val="center"/>
                      <w:rPr>
                        <w:color w:val="FF0000"/>
                      </w:rPr>
                    </w:pPr>
                    <w:r>
                      <w:rPr>
                        <w:rFonts w:hint="eastAsia"/>
                      </w:rPr>
                      <w:t>计入当期非经常性损益的金额</w:t>
                    </w:r>
                  </w:p>
                </w:tc>
              </w:sdtContent>
            </w:sdt>
          </w:tr>
          <w:tr w:rsidR="007E7472" w14:paraId="1947FF08" w14:textId="77777777">
            <w:tc>
              <w:tcPr>
                <w:tcW w:w="1167" w:type="pct"/>
                <w:tcBorders>
                  <w:top w:val="single" w:sz="4" w:space="0" w:color="auto"/>
                  <w:left w:val="single" w:sz="4" w:space="0" w:color="auto"/>
                  <w:bottom w:val="single" w:sz="4" w:space="0" w:color="auto"/>
                  <w:right w:val="single" w:sz="4" w:space="0" w:color="auto"/>
                </w:tcBorders>
              </w:tcPr>
              <w:p w14:paraId="1E7D7A6F" w14:textId="77777777" w:rsidR="007E7472" w:rsidRDefault="00EC1269">
                <w:pPr>
                  <w:ind w:right="6"/>
                </w:pPr>
                <w:r>
                  <w:rPr>
                    <w:rFonts w:hint="eastAsia"/>
                  </w:rPr>
                  <w:t>政府补助</w:t>
                </w:r>
              </w:p>
            </w:tc>
            <w:tc>
              <w:tcPr>
                <w:tcW w:w="1274" w:type="pct"/>
                <w:tcBorders>
                  <w:top w:val="single" w:sz="4" w:space="0" w:color="auto"/>
                  <w:left w:val="single" w:sz="4" w:space="0" w:color="auto"/>
                  <w:bottom w:val="single" w:sz="4" w:space="0" w:color="auto"/>
                  <w:right w:val="single" w:sz="4" w:space="0" w:color="auto"/>
                </w:tcBorders>
              </w:tcPr>
              <w:p w14:paraId="4ECEC6F8" w14:textId="77777777" w:rsidR="007E7472" w:rsidRDefault="00EC1269">
                <w:pPr>
                  <w:jc w:val="right"/>
                </w:pPr>
                <w:r>
                  <w:t>26,546</w:t>
                </w:r>
              </w:p>
            </w:tc>
            <w:tc>
              <w:tcPr>
                <w:tcW w:w="1279" w:type="pct"/>
                <w:tcBorders>
                  <w:top w:val="single" w:sz="4" w:space="0" w:color="auto"/>
                  <w:left w:val="single" w:sz="4" w:space="0" w:color="auto"/>
                  <w:bottom w:val="single" w:sz="4" w:space="0" w:color="auto"/>
                  <w:right w:val="single" w:sz="4" w:space="0" w:color="auto"/>
                </w:tcBorders>
              </w:tcPr>
              <w:p w14:paraId="6DB3FF58" w14:textId="77777777" w:rsidR="007E7472" w:rsidRDefault="00EC1269">
                <w:pPr>
                  <w:jc w:val="right"/>
                </w:pPr>
                <w:r>
                  <w:t>36,444</w:t>
                </w:r>
              </w:p>
            </w:tc>
            <w:tc>
              <w:tcPr>
                <w:tcW w:w="1280" w:type="pct"/>
                <w:tcBorders>
                  <w:top w:val="single" w:sz="4" w:space="0" w:color="auto"/>
                  <w:left w:val="single" w:sz="4" w:space="0" w:color="auto"/>
                  <w:bottom w:val="single" w:sz="4" w:space="0" w:color="auto"/>
                  <w:right w:val="single" w:sz="4" w:space="0" w:color="auto"/>
                </w:tcBorders>
              </w:tcPr>
              <w:p w14:paraId="2D57B859" w14:textId="77777777" w:rsidR="007E7472" w:rsidRDefault="00EC1269">
                <w:pPr>
                  <w:autoSpaceDE w:val="0"/>
                  <w:autoSpaceDN w:val="0"/>
                  <w:adjustRightInd w:val="0"/>
                  <w:jc w:val="right"/>
                </w:pPr>
                <w:r>
                  <w:t>26,546</w:t>
                </w:r>
              </w:p>
            </w:tc>
          </w:tr>
          <w:tr w:rsidR="007E7472" w14:paraId="527E5D0B" w14:textId="77777777">
            <w:tc>
              <w:tcPr>
                <w:tcW w:w="1167" w:type="pct"/>
                <w:tcBorders>
                  <w:top w:val="single" w:sz="4" w:space="0" w:color="auto"/>
                  <w:left w:val="single" w:sz="4" w:space="0" w:color="auto"/>
                  <w:bottom w:val="single" w:sz="4" w:space="0" w:color="auto"/>
                  <w:right w:val="single" w:sz="4" w:space="0" w:color="auto"/>
                </w:tcBorders>
              </w:tcPr>
              <w:p w14:paraId="7A0FA16E" w14:textId="77777777" w:rsidR="007E7472" w:rsidRDefault="00EC1269">
                <w:r>
                  <w:rPr>
                    <w:rFonts w:hint="eastAsia"/>
                  </w:rPr>
                  <w:t>其他</w:t>
                </w:r>
              </w:p>
            </w:tc>
            <w:tc>
              <w:tcPr>
                <w:tcW w:w="1274" w:type="pct"/>
                <w:tcBorders>
                  <w:top w:val="single" w:sz="4" w:space="0" w:color="auto"/>
                  <w:left w:val="single" w:sz="4" w:space="0" w:color="auto"/>
                  <w:bottom w:val="single" w:sz="4" w:space="0" w:color="auto"/>
                  <w:right w:val="single" w:sz="4" w:space="0" w:color="auto"/>
                </w:tcBorders>
              </w:tcPr>
              <w:p w14:paraId="44B0FCC3" w14:textId="77777777" w:rsidR="007E7472" w:rsidRDefault="00EC1269">
                <w:pPr>
                  <w:jc w:val="right"/>
                </w:pPr>
                <w:r>
                  <w:t>142,203</w:t>
                </w:r>
              </w:p>
            </w:tc>
            <w:tc>
              <w:tcPr>
                <w:tcW w:w="1279" w:type="pct"/>
                <w:tcBorders>
                  <w:top w:val="single" w:sz="4" w:space="0" w:color="auto"/>
                  <w:left w:val="single" w:sz="4" w:space="0" w:color="auto"/>
                  <w:bottom w:val="single" w:sz="4" w:space="0" w:color="auto"/>
                  <w:right w:val="single" w:sz="4" w:space="0" w:color="auto"/>
                </w:tcBorders>
              </w:tcPr>
              <w:p w14:paraId="54DD8BCC" w14:textId="77777777" w:rsidR="007E7472" w:rsidRDefault="00EC1269">
                <w:pPr>
                  <w:jc w:val="right"/>
                </w:pPr>
                <w:r>
                  <w:t>157,455</w:t>
                </w:r>
              </w:p>
            </w:tc>
            <w:tc>
              <w:tcPr>
                <w:tcW w:w="1280" w:type="pct"/>
                <w:tcBorders>
                  <w:top w:val="single" w:sz="4" w:space="0" w:color="auto"/>
                  <w:left w:val="single" w:sz="4" w:space="0" w:color="auto"/>
                  <w:bottom w:val="single" w:sz="4" w:space="0" w:color="auto"/>
                  <w:right w:val="single" w:sz="4" w:space="0" w:color="auto"/>
                </w:tcBorders>
              </w:tcPr>
              <w:p w14:paraId="5248EB79" w14:textId="77777777" w:rsidR="007E7472" w:rsidRDefault="00EC1269">
                <w:pPr>
                  <w:jc w:val="right"/>
                </w:pPr>
                <w:r>
                  <w:t>142,203</w:t>
                </w:r>
              </w:p>
            </w:tc>
          </w:tr>
          <w:tr w:rsidR="007E7472" w14:paraId="05A7AB23" w14:textId="77777777">
            <w:tc>
              <w:tcPr>
                <w:tcW w:w="1167" w:type="pct"/>
                <w:tcBorders>
                  <w:top w:val="single" w:sz="4" w:space="0" w:color="auto"/>
                  <w:left w:val="single" w:sz="4" w:space="0" w:color="auto"/>
                  <w:bottom w:val="single" w:sz="4" w:space="0" w:color="auto"/>
                  <w:right w:val="single" w:sz="4" w:space="0" w:color="auto"/>
                </w:tcBorders>
                <w:vAlign w:val="center"/>
              </w:tcPr>
              <w:p w14:paraId="54C451E7" w14:textId="77777777" w:rsidR="007E7472" w:rsidRDefault="00EC1269">
                <w:pPr>
                  <w:jc w:val="center"/>
                </w:pPr>
                <w:r>
                  <w:rPr>
                    <w:rFonts w:hint="eastAsia"/>
                  </w:rPr>
                  <w:t>合计</w:t>
                </w:r>
              </w:p>
            </w:tc>
            <w:tc>
              <w:tcPr>
                <w:tcW w:w="1274" w:type="pct"/>
                <w:tcBorders>
                  <w:top w:val="single" w:sz="4" w:space="0" w:color="auto"/>
                  <w:left w:val="single" w:sz="4" w:space="0" w:color="auto"/>
                  <w:bottom w:val="single" w:sz="4" w:space="0" w:color="auto"/>
                  <w:right w:val="single" w:sz="4" w:space="0" w:color="auto"/>
                </w:tcBorders>
              </w:tcPr>
              <w:p w14:paraId="0A86DBC5" w14:textId="77777777" w:rsidR="007E7472" w:rsidRDefault="00EC1269">
                <w:pPr>
                  <w:jc w:val="right"/>
                </w:pPr>
                <w:r>
                  <w:t>168,749</w:t>
                </w:r>
              </w:p>
            </w:tc>
            <w:tc>
              <w:tcPr>
                <w:tcW w:w="1279" w:type="pct"/>
                <w:tcBorders>
                  <w:top w:val="single" w:sz="4" w:space="0" w:color="auto"/>
                  <w:left w:val="single" w:sz="4" w:space="0" w:color="auto"/>
                  <w:bottom w:val="single" w:sz="4" w:space="0" w:color="auto"/>
                  <w:right w:val="single" w:sz="4" w:space="0" w:color="auto"/>
                </w:tcBorders>
              </w:tcPr>
              <w:p w14:paraId="72A9C7AA" w14:textId="77777777" w:rsidR="007E7472" w:rsidRDefault="00EC1269">
                <w:pPr>
                  <w:jc w:val="right"/>
                </w:pPr>
                <w:r>
                  <w:t>193,899</w:t>
                </w:r>
              </w:p>
            </w:tc>
            <w:tc>
              <w:tcPr>
                <w:tcW w:w="1280" w:type="pct"/>
                <w:tcBorders>
                  <w:top w:val="single" w:sz="4" w:space="0" w:color="auto"/>
                  <w:left w:val="single" w:sz="4" w:space="0" w:color="auto"/>
                  <w:bottom w:val="single" w:sz="4" w:space="0" w:color="auto"/>
                  <w:right w:val="single" w:sz="4" w:space="0" w:color="auto"/>
                </w:tcBorders>
              </w:tcPr>
              <w:p w14:paraId="765DC050" w14:textId="77777777" w:rsidR="007E7472" w:rsidRDefault="00EC1269">
                <w:pPr>
                  <w:autoSpaceDE w:val="0"/>
                  <w:autoSpaceDN w:val="0"/>
                  <w:adjustRightInd w:val="0"/>
                  <w:jc w:val="right"/>
                </w:pPr>
                <w:r>
                  <w:t>168,749</w:t>
                </w:r>
              </w:p>
            </w:tc>
          </w:tr>
        </w:tbl>
        <w:p w14:paraId="0C5D0AC0" w14:textId="77777777" w:rsidR="007E7472" w:rsidRDefault="00C8327E"/>
      </w:sdtContent>
    </w:sdt>
    <w:sdt>
      <w:sdtPr>
        <w:rPr>
          <w:rFonts w:ascii="Times New Roman" w:hAnsi="Times New Roman" w:cs="Times New Roman" w:hint="eastAsia"/>
          <w:b/>
          <w:sz w:val="20"/>
          <w:szCs w:val="20"/>
        </w:rPr>
        <w:alias w:val="模块:计入当期损益的政府补助"/>
        <w:tag w:val="_GBC_941e4c9023f94b758b05afb87d550363"/>
        <w:id w:val="-1434746655"/>
        <w:lock w:val="sdtLocked"/>
        <w:placeholder>
          <w:docPart w:val="GBC22222222222222222222222222222"/>
        </w:placeholder>
      </w:sdtPr>
      <w:sdtEndPr>
        <w:rPr>
          <w:rFonts w:hint="default"/>
          <w:b w:val="0"/>
        </w:rPr>
      </w:sdtEndPr>
      <w:sdtContent>
        <w:p w14:paraId="68722198" w14:textId="77777777" w:rsidR="007E7472" w:rsidRDefault="00EC1269">
          <w:r>
            <w:rPr>
              <w:rFonts w:hint="eastAsia"/>
            </w:rPr>
            <w:t>计入当期损益的政府补助</w:t>
          </w:r>
        </w:p>
        <w:sdt>
          <w:sdtPr>
            <w:alias w:val="是否适用：计入当期损益的政府补助[双击切换]"/>
            <w:tag w:val="_GBC_c8882fe165a24797aca3c402f799f006"/>
            <w:id w:val="-1028019767"/>
            <w:lock w:val="sdtLocked"/>
            <w:placeholder>
              <w:docPart w:val="GBC22222222222222222222222222222"/>
            </w:placeholder>
          </w:sdtPr>
          <w:sdtEndPr/>
          <w:sdtContent>
            <w:p w14:paraId="7D7FA6BF"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52CE81F" w14:textId="28384E56" w:rsidR="007E7472" w:rsidRDefault="00EC1269">
          <w:pPr>
            <w:jc w:val="right"/>
          </w:pPr>
          <w:r>
            <w:rPr>
              <w:rFonts w:hint="eastAsia"/>
            </w:rPr>
            <w:t>单位：</w:t>
          </w:r>
          <w:sdt>
            <w:sdtPr>
              <w:rPr>
                <w:rFonts w:hint="eastAsia"/>
              </w:rPr>
              <w:alias w:val="单位：财务附注：计入当期损益的政府补助"/>
              <w:tag w:val="_GBC_bd00bad38c644e6fa63419d4034ebfd1"/>
              <w:id w:val="-281161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计入当期损益的政府补助"/>
              <w:tag w:val="_GBC_23bf9a9e0ac34ffd9e7e1d78597a87d0"/>
              <w:id w:val="7222548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565"/>
            <w:gridCol w:w="1560"/>
            <w:gridCol w:w="2410"/>
            <w:gridCol w:w="1597"/>
          </w:tblGrid>
          <w:tr w:rsidR="007E7472" w14:paraId="77DEF04A" w14:textId="77777777" w:rsidTr="007E7472">
            <w:trPr>
              <w:trHeight w:val="340"/>
              <w:jc w:val="center"/>
            </w:trPr>
            <w:sdt>
              <w:sdtPr>
                <w:tag w:val="_PLD_921b2aed22db42759d12f127db945afe"/>
                <w:id w:val="1757472882"/>
                <w:lock w:val="sdtLocked"/>
              </w:sdtPr>
              <w:sdtEndPr/>
              <w:sdtContent>
                <w:tc>
                  <w:tcPr>
                    <w:tcW w:w="958" w:type="pct"/>
                    <w:tcBorders>
                      <w:top w:val="single" w:sz="4" w:space="0" w:color="auto"/>
                      <w:left w:val="single" w:sz="4" w:space="0" w:color="auto"/>
                      <w:bottom w:val="single" w:sz="4" w:space="0" w:color="auto"/>
                      <w:right w:val="single" w:sz="4" w:space="0" w:color="auto"/>
                    </w:tcBorders>
                    <w:vAlign w:val="center"/>
                  </w:tcPr>
                  <w:p w14:paraId="46D1B51E" w14:textId="77777777" w:rsidR="007E7472" w:rsidRDefault="00EC1269">
                    <w:pPr>
                      <w:jc w:val="center"/>
                    </w:pPr>
                    <w:r>
                      <w:t>补助项目</w:t>
                    </w:r>
                  </w:p>
                </w:tc>
              </w:sdtContent>
            </w:sdt>
            <w:sdt>
              <w:sdtPr>
                <w:tag w:val="_PLD_b153949e35ca47018467de6ef3800cf5"/>
                <w:id w:val="-829750047"/>
                <w:lock w:val="sdtLocked"/>
              </w:sdtPr>
              <w:sdtEndPr/>
              <w:sdtContent>
                <w:tc>
                  <w:tcPr>
                    <w:tcW w:w="887" w:type="pct"/>
                    <w:tcBorders>
                      <w:top w:val="single" w:sz="4" w:space="0" w:color="auto"/>
                      <w:left w:val="single" w:sz="4" w:space="0" w:color="auto"/>
                      <w:bottom w:val="single" w:sz="4" w:space="0" w:color="auto"/>
                      <w:right w:val="single" w:sz="4" w:space="0" w:color="auto"/>
                    </w:tcBorders>
                    <w:vAlign w:val="center"/>
                  </w:tcPr>
                  <w:p w14:paraId="761E2127" w14:textId="77777777" w:rsidR="007E7472" w:rsidRDefault="00EC1269">
                    <w:pPr>
                      <w:jc w:val="center"/>
                    </w:pPr>
                    <w:r>
                      <w:t>本期发生</w:t>
                    </w:r>
                    <w:r>
                      <w:rPr>
                        <w:rFonts w:hint="eastAsia"/>
                      </w:rPr>
                      <w:t>金</w:t>
                    </w:r>
                    <w:r>
                      <w:t>额</w:t>
                    </w:r>
                  </w:p>
                </w:tc>
              </w:sdtContent>
            </w:sdt>
            <w:sdt>
              <w:sdtPr>
                <w:tag w:val="_PLD_bf693dd17f244c38afd88855e4186d7d"/>
                <w:id w:val="-2120521151"/>
                <w:lock w:val="sdtLocked"/>
              </w:sdtPr>
              <w:sdtEndPr/>
              <w:sdtContent>
                <w:tc>
                  <w:tcPr>
                    <w:tcW w:w="884" w:type="pct"/>
                    <w:tcBorders>
                      <w:top w:val="single" w:sz="4" w:space="0" w:color="auto"/>
                      <w:left w:val="single" w:sz="4" w:space="0" w:color="auto"/>
                      <w:bottom w:val="single" w:sz="4" w:space="0" w:color="auto"/>
                      <w:right w:val="single" w:sz="4" w:space="0" w:color="auto"/>
                    </w:tcBorders>
                    <w:vAlign w:val="center"/>
                  </w:tcPr>
                  <w:p w14:paraId="7CEACC86" w14:textId="77777777" w:rsidR="007E7472" w:rsidRDefault="00EC1269">
                    <w:pPr>
                      <w:jc w:val="center"/>
                    </w:pPr>
                    <w:r>
                      <w:t>上期发生</w:t>
                    </w:r>
                    <w:r>
                      <w:rPr>
                        <w:rFonts w:hint="eastAsia"/>
                      </w:rPr>
                      <w:t>金</w:t>
                    </w:r>
                    <w:r>
                      <w:t>额</w:t>
                    </w:r>
                  </w:p>
                </w:tc>
              </w:sdtContent>
            </w:sdt>
            <w:tc>
              <w:tcPr>
                <w:tcW w:w="1366" w:type="pct"/>
                <w:tcBorders>
                  <w:top w:val="single" w:sz="4" w:space="0" w:color="auto"/>
                  <w:left w:val="single" w:sz="4" w:space="0" w:color="auto"/>
                  <w:bottom w:val="single" w:sz="4" w:space="0" w:color="auto"/>
                  <w:right w:val="single" w:sz="4" w:space="0" w:color="auto"/>
                </w:tcBorders>
                <w:vAlign w:val="center"/>
              </w:tcPr>
              <w:p w14:paraId="56B53E85" w14:textId="77777777" w:rsidR="007E7472" w:rsidRDefault="00EC1269">
                <w:pPr>
                  <w:jc w:val="center"/>
                </w:pPr>
                <w:r>
                  <w:t>依据</w:t>
                </w:r>
              </w:p>
            </w:tc>
            <w:sdt>
              <w:sdtPr>
                <w:tag w:val="_PLD_532c78ae9a7849fe9994cace73120659"/>
                <w:id w:val="-1429277601"/>
                <w:lock w:val="sdtLocked"/>
              </w:sdtPr>
              <w:sdtEndPr/>
              <w:sdtContent>
                <w:tc>
                  <w:tcPr>
                    <w:tcW w:w="905" w:type="pct"/>
                    <w:tcBorders>
                      <w:top w:val="single" w:sz="4" w:space="0" w:color="auto"/>
                      <w:left w:val="single" w:sz="4" w:space="0" w:color="auto"/>
                      <w:bottom w:val="single" w:sz="4" w:space="0" w:color="auto"/>
                      <w:right w:val="single" w:sz="4" w:space="0" w:color="auto"/>
                    </w:tcBorders>
                    <w:vAlign w:val="center"/>
                  </w:tcPr>
                  <w:p w14:paraId="022C4851" w14:textId="77777777" w:rsidR="007E7472" w:rsidRDefault="00EC1269">
                    <w:pPr>
                      <w:jc w:val="center"/>
                    </w:pPr>
                    <w:r>
                      <w:t>与资产相关/与收益相关</w:t>
                    </w:r>
                  </w:p>
                </w:tc>
              </w:sdtContent>
            </w:sdt>
          </w:tr>
          <w:sdt>
            <w:sdtPr>
              <w:rPr>
                <w:rFonts w:ascii="Times New Roman" w:hAnsi="Times New Roman" w:cs="Times New Roman"/>
                <w:sz w:val="20"/>
                <w:szCs w:val="20"/>
              </w:rPr>
              <w:alias w:val="计入当期损益的政府补助明细"/>
              <w:tag w:val="_GBC_8d8ea3026a664e94a38609c0bcec2101"/>
              <w:id w:val="1004090207"/>
              <w:lock w:val="sdtLocked"/>
            </w:sdtPr>
            <w:sdtEndPr/>
            <w:sdtContent>
              <w:tr w:rsidR="007E7472" w14:paraId="43CC84F7" w14:textId="77777777" w:rsidTr="007E7472">
                <w:trPr>
                  <w:trHeight w:val="340"/>
                  <w:jc w:val="center"/>
                </w:trPr>
                <w:tc>
                  <w:tcPr>
                    <w:tcW w:w="958" w:type="pct"/>
                    <w:tcBorders>
                      <w:top w:val="single" w:sz="4" w:space="0" w:color="auto"/>
                      <w:left w:val="single" w:sz="4" w:space="0" w:color="auto"/>
                      <w:bottom w:val="single" w:sz="4" w:space="0" w:color="auto"/>
                      <w:right w:val="single" w:sz="4" w:space="0" w:color="auto"/>
                    </w:tcBorders>
                    <w:vAlign w:val="center"/>
                  </w:tcPr>
                  <w:p w14:paraId="3EB52ED0" w14:textId="77777777" w:rsidR="007E7472" w:rsidRDefault="00EC1269">
                    <w:pPr>
                      <w:jc w:val="both"/>
                    </w:pPr>
                    <w:r>
                      <w:rPr>
                        <w:rFonts w:ascii="Times New Roman" w:hAnsi="Times New Roman" w:cs="Times New Roman" w:hint="eastAsia"/>
                      </w:rPr>
                      <w:t>上海企业扶持资金</w:t>
                    </w:r>
                  </w:p>
                </w:tc>
                <w:tc>
                  <w:tcPr>
                    <w:tcW w:w="887" w:type="pct"/>
                    <w:tcBorders>
                      <w:top w:val="single" w:sz="4" w:space="0" w:color="auto"/>
                      <w:left w:val="single" w:sz="4" w:space="0" w:color="auto"/>
                      <w:bottom w:val="single" w:sz="4" w:space="0" w:color="auto"/>
                      <w:right w:val="single" w:sz="4" w:space="0" w:color="auto"/>
                    </w:tcBorders>
                    <w:vAlign w:val="center"/>
                  </w:tcPr>
                  <w:p w14:paraId="47D1A992" w14:textId="77777777" w:rsidR="007E7472" w:rsidRDefault="00EC1269">
                    <w:pPr>
                      <w:jc w:val="right"/>
                    </w:pPr>
                    <w:r>
                      <w:t>17,950</w:t>
                    </w:r>
                  </w:p>
                </w:tc>
                <w:tc>
                  <w:tcPr>
                    <w:tcW w:w="884" w:type="pct"/>
                    <w:tcBorders>
                      <w:top w:val="single" w:sz="4" w:space="0" w:color="auto"/>
                      <w:left w:val="single" w:sz="4" w:space="0" w:color="auto"/>
                      <w:bottom w:val="single" w:sz="4" w:space="0" w:color="auto"/>
                      <w:right w:val="single" w:sz="4" w:space="0" w:color="auto"/>
                    </w:tcBorders>
                    <w:vAlign w:val="center"/>
                  </w:tcPr>
                  <w:p w14:paraId="51630EDE" w14:textId="77777777" w:rsidR="007E7472" w:rsidRDefault="00EC1269">
                    <w:pPr>
                      <w:jc w:val="right"/>
                    </w:pPr>
                    <w:r>
                      <w:t>620</w:t>
                    </w:r>
                  </w:p>
                </w:tc>
                <w:sdt>
                  <w:sdtPr>
                    <w:alias w:val="依据"/>
                    <w:tag w:val="_GBC_13fac3cfa72b44019b34fff05896723a"/>
                    <w:id w:val="1601528115"/>
                    <w:lock w:val="sdtLocked"/>
                  </w:sdtPr>
                  <w:sdtEndPr/>
                  <w:sdtContent>
                    <w:tc>
                      <w:tcPr>
                        <w:tcW w:w="1366" w:type="pct"/>
                        <w:tcBorders>
                          <w:top w:val="single" w:sz="4" w:space="0" w:color="auto"/>
                          <w:left w:val="single" w:sz="4" w:space="0" w:color="auto"/>
                          <w:bottom w:val="single" w:sz="4" w:space="0" w:color="auto"/>
                          <w:right w:val="single" w:sz="4" w:space="0" w:color="auto"/>
                        </w:tcBorders>
                        <w:vAlign w:val="center"/>
                      </w:tcPr>
                      <w:p w14:paraId="603E49C4" w14:textId="77777777" w:rsidR="007E7472" w:rsidRDefault="00EC1269">
                        <w:pPr>
                          <w:jc w:val="both"/>
                        </w:pPr>
                        <w:r>
                          <w:rPr>
                            <w:rFonts w:hint="eastAsia"/>
                          </w:rPr>
                          <w:t>浦府〔</w:t>
                        </w:r>
                        <w:r>
                          <w:t>2017〕131号</w:t>
                        </w:r>
                      </w:p>
                    </w:tc>
                  </w:sdtContent>
                </w:sdt>
                <w:tc>
                  <w:tcPr>
                    <w:tcW w:w="905" w:type="pct"/>
                    <w:tcBorders>
                      <w:top w:val="single" w:sz="4" w:space="0" w:color="auto"/>
                      <w:left w:val="single" w:sz="4" w:space="0" w:color="auto"/>
                      <w:bottom w:val="single" w:sz="4" w:space="0" w:color="auto"/>
                      <w:right w:val="single" w:sz="4" w:space="0" w:color="auto"/>
                    </w:tcBorders>
                    <w:vAlign w:val="center"/>
                  </w:tcPr>
                  <w:p w14:paraId="50A0CC5A" w14:textId="77777777" w:rsidR="007E7472" w:rsidRDefault="00EC1269">
                    <w:pPr>
                      <w:jc w:val="center"/>
                    </w:pPr>
                    <w:r>
                      <w:rPr>
                        <w:rFonts w:hint="eastAsia"/>
                      </w:rPr>
                      <w:t>与收益相关</w:t>
                    </w:r>
                  </w:p>
                </w:tc>
              </w:tr>
            </w:sdtContent>
          </w:sdt>
          <w:sdt>
            <w:sdtPr>
              <w:rPr>
                <w:rFonts w:ascii="Times New Roman" w:hAnsi="Times New Roman" w:cs="Times New Roman"/>
                <w:sz w:val="20"/>
                <w:szCs w:val="20"/>
              </w:rPr>
              <w:alias w:val="计入当期损益的政府补助明细"/>
              <w:tag w:val="_GBC_8d8ea3026a664e94a38609c0bcec2101"/>
              <w:id w:val="873815568"/>
              <w:lock w:val="sdtLocked"/>
            </w:sdtPr>
            <w:sdtEndPr/>
            <w:sdtContent>
              <w:tr w:rsidR="007E7472" w14:paraId="5AF72D9F" w14:textId="77777777" w:rsidTr="007E7472">
                <w:trPr>
                  <w:trHeight w:val="340"/>
                  <w:jc w:val="center"/>
                </w:trPr>
                <w:tc>
                  <w:tcPr>
                    <w:tcW w:w="958" w:type="pct"/>
                    <w:tcBorders>
                      <w:top w:val="single" w:sz="4" w:space="0" w:color="auto"/>
                      <w:left w:val="single" w:sz="4" w:space="0" w:color="auto"/>
                      <w:bottom w:val="single" w:sz="4" w:space="0" w:color="auto"/>
                      <w:right w:val="single" w:sz="4" w:space="0" w:color="auto"/>
                    </w:tcBorders>
                    <w:vAlign w:val="center"/>
                  </w:tcPr>
                  <w:p w14:paraId="1815E3A1" w14:textId="77777777" w:rsidR="007E7472" w:rsidRDefault="00EC1269">
                    <w:pPr>
                      <w:jc w:val="both"/>
                    </w:pPr>
                    <w:r>
                      <w:rPr>
                        <w:rFonts w:hint="eastAsia"/>
                      </w:rPr>
                      <w:t>智能工厂项目补贴</w:t>
                    </w:r>
                  </w:p>
                </w:tc>
                <w:tc>
                  <w:tcPr>
                    <w:tcW w:w="887" w:type="pct"/>
                    <w:tcBorders>
                      <w:top w:val="single" w:sz="4" w:space="0" w:color="auto"/>
                      <w:left w:val="single" w:sz="4" w:space="0" w:color="auto"/>
                      <w:bottom w:val="single" w:sz="4" w:space="0" w:color="auto"/>
                      <w:right w:val="single" w:sz="4" w:space="0" w:color="auto"/>
                    </w:tcBorders>
                    <w:vAlign w:val="center"/>
                  </w:tcPr>
                  <w:p w14:paraId="1ACA608C" w14:textId="77777777" w:rsidR="007E7472" w:rsidRDefault="00EC1269">
                    <w:pPr>
                      <w:jc w:val="right"/>
                    </w:pPr>
                    <w:r>
                      <w:t>3,000</w:t>
                    </w:r>
                  </w:p>
                </w:tc>
                <w:tc>
                  <w:tcPr>
                    <w:tcW w:w="884" w:type="pct"/>
                    <w:tcBorders>
                      <w:top w:val="single" w:sz="4" w:space="0" w:color="auto"/>
                      <w:left w:val="single" w:sz="4" w:space="0" w:color="auto"/>
                      <w:bottom w:val="single" w:sz="4" w:space="0" w:color="auto"/>
                      <w:right w:val="single" w:sz="4" w:space="0" w:color="auto"/>
                    </w:tcBorders>
                    <w:vAlign w:val="center"/>
                  </w:tcPr>
                  <w:p w14:paraId="60E69228" w14:textId="77777777" w:rsidR="007E7472" w:rsidRDefault="00C8327E">
                    <w:pPr>
                      <w:jc w:val="right"/>
                    </w:pPr>
                  </w:p>
                </w:tc>
                <w:sdt>
                  <w:sdtPr>
                    <w:alias w:val="依据"/>
                    <w:tag w:val="_GBC_13fac3cfa72b44019b34fff05896723a"/>
                    <w:id w:val="615259001"/>
                    <w:lock w:val="sdtLocked"/>
                  </w:sdtPr>
                  <w:sdtEndPr/>
                  <w:sdtContent>
                    <w:tc>
                      <w:tcPr>
                        <w:tcW w:w="1366" w:type="pct"/>
                        <w:tcBorders>
                          <w:top w:val="single" w:sz="4" w:space="0" w:color="auto"/>
                          <w:left w:val="single" w:sz="4" w:space="0" w:color="auto"/>
                          <w:bottom w:val="single" w:sz="4" w:space="0" w:color="auto"/>
                          <w:right w:val="single" w:sz="4" w:space="0" w:color="auto"/>
                        </w:tcBorders>
                        <w:vAlign w:val="center"/>
                      </w:tcPr>
                      <w:p w14:paraId="0881E452" w14:textId="77777777" w:rsidR="007E7472" w:rsidRDefault="00EC1269">
                        <w:pPr>
                          <w:jc w:val="both"/>
                        </w:pPr>
                        <w:r>
                          <w:t>鄂财工指[2021]480号</w:t>
                        </w:r>
                      </w:p>
                    </w:tc>
                  </w:sdtContent>
                </w:sdt>
                <w:tc>
                  <w:tcPr>
                    <w:tcW w:w="905" w:type="pct"/>
                    <w:tcBorders>
                      <w:top w:val="single" w:sz="4" w:space="0" w:color="auto"/>
                      <w:left w:val="single" w:sz="4" w:space="0" w:color="auto"/>
                      <w:bottom w:val="single" w:sz="4" w:space="0" w:color="auto"/>
                      <w:right w:val="single" w:sz="4" w:space="0" w:color="auto"/>
                    </w:tcBorders>
                    <w:vAlign w:val="center"/>
                  </w:tcPr>
                  <w:p w14:paraId="7A20E4D1" w14:textId="77777777" w:rsidR="007E7472" w:rsidRDefault="00EC1269">
                    <w:pPr>
                      <w:jc w:val="center"/>
                    </w:pPr>
                    <w:r>
                      <w:rPr>
                        <w:rFonts w:hint="eastAsia"/>
                      </w:rPr>
                      <w:t>与收益相关</w:t>
                    </w:r>
                  </w:p>
                </w:tc>
              </w:tr>
            </w:sdtContent>
          </w:sdt>
          <w:sdt>
            <w:sdtPr>
              <w:alias w:val="计入当期损益的政府补助明细"/>
              <w:tag w:val="_GBC_8d8ea3026a664e94a38609c0bcec2101"/>
              <w:id w:val="-306320729"/>
              <w:lock w:val="sdtLocked"/>
            </w:sdtPr>
            <w:sdtEndPr>
              <w:rPr>
                <w:rFonts w:hint="eastAsia"/>
              </w:rPr>
            </w:sdtEndPr>
            <w:sdtContent>
              <w:tr w:rsidR="007E7472" w14:paraId="5496E3D2" w14:textId="77777777" w:rsidTr="007E7472">
                <w:trPr>
                  <w:trHeight w:val="340"/>
                  <w:jc w:val="center"/>
                </w:trPr>
                <w:tc>
                  <w:tcPr>
                    <w:tcW w:w="958" w:type="pct"/>
                    <w:tcBorders>
                      <w:top w:val="single" w:sz="4" w:space="0" w:color="auto"/>
                      <w:left w:val="single" w:sz="4" w:space="0" w:color="auto"/>
                      <w:bottom w:val="single" w:sz="4" w:space="0" w:color="auto"/>
                      <w:right w:val="single" w:sz="4" w:space="0" w:color="auto"/>
                    </w:tcBorders>
                    <w:vAlign w:val="center"/>
                  </w:tcPr>
                  <w:p w14:paraId="579E04CD" w14:textId="77777777" w:rsidR="007E7472" w:rsidRDefault="00EC1269">
                    <w:pPr>
                      <w:jc w:val="both"/>
                    </w:pPr>
                    <w:r>
                      <w:rPr>
                        <w:rFonts w:hint="eastAsia"/>
                      </w:rPr>
                      <w:t>金融发展资金</w:t>
                    </w:r>
                  </w:p>
                </w:tc>
                <w:tc>
                  <w:tcPr>
                    <w:tcW w:w="887" w:type="pct"/>
                    <w:tcBorders>
                      <w:top w:val="single" w:sz="4" w:space="0" w:color="auto"/>
                      <w:left w:val="single" w:sz="4" w:space="0" w:color="auto"/>
                      <w:bottom w:val="single" w:sz="4" w:space="0" w:color="auto"/>
                      <w:right w:val="single" w:sz="4" w:space="0" w:color="auto"/>
                    </w:tcBorders>
                    <w:vAlign w:val="center"/>
                  </w:tcPr>
                  <w:p w14:paraId="642B16B8" w14:textId="77777777" w:rsidR="007E7472" w:rsidRDefault="00EC1269">
                    <w:pPr>
                      <w:jc w:val="right"/>
                    </w:pPr>
                    <w:r>
                      <w:t>2,171</w:t>
                    </w:r>
                  </w:p>
                </w:tc>
                <w:tc>
                  <w:tcPr>
                    <w:tcW w:w="884" w:type="pct"/>
                    <w:tcBorders>
                      <w:top w:val="single" w:sz="4" w:space="0" w:color="auto"/>
                      <w:left w:val="single" w:sz="4" w:space="0" w:color="auto"/>
                      <w:bottom w:val="single" w:sz="4" w:space="0" w:color="auto"/>
                      <w:right w:val="single" w:sz="4" w:space="0" w:color="auto"/>
                    </w:tcBorders>
                    <w:vAlign w:val="center"/>
                  </w:tcPr>
                  <w:p w14:paraId="64138069" w14:textId="77777777" w:rsidR="007E7472" w:rsidRDefault="00C8327E">
                    <w:pPr>
                      <w:jc w:val="right"/>
                    </w:pPr>
                  </w:p>
                </w:tc>
                <w:tc>
                  <w:tcPr>
                    <w:tcW w:w="1366" w:type="pct"/>
                    <w:tcBorders>
                      <w:top w:val="single" w:sz="4" w:space="0" w:color="auto"/>
                      <w:left w:val="single" w:sz="4" w:space="0" w:color="auto"/>
                      <w:bottom w:val="single" w:sz="4" w:space="0" w:color="auto"/>
                      <w:right w:val="single" w:sz="4" w:space="0" w:color="auto"/>
                    </w:tcBorders>
                    <w:vAlign w:val="center"/>
                  </w:tcPr>
                  <w:p w14:paraId="5B3227BD" w14:textId="77777777" w:rsidR="007E7472" w:rsidRDefault="00EC1269">
                    <w:pPr>
                      <w:jc w:val="both"/>
                    </w:pPr>
                    <w:r>
                      <w:rPr>
                        <w:rFonts w:hint="eastAsia"/>
                      </w:rPr>
                      <w:t>济财金指</w:t>
                    </w:r>
                    <w:r>
                      <w:t>[2022]18号</w:t>
                    </w:r>
                  </w:p>
                </w:tc>
                <w:tc>
                  <w:tcPr>
                    <w:tcW w:w="905" w:type="pct"/>
                    <w:tcBorders>
                      <w:top w:val="single" w:sz="4" w:space="0" w:color="auto"/>
                      <w:left w:val="single" w:sz="4" w:space="0" w:color="auto"/>
                      <w:bottom w:val="single" w:sz="4" w:space="0" w:color="auto"/>
                      <w:right w:val="single" w:sz="4" w:space="0" w:color="auto"/>
                    </w:tcBorders>
                    <w:vAlign w:val="center"/>
                  </w:tcPr>
                  <w:p w14:paraId="2E2B7792" w14:textId="77777777" w:rsidR="007E7472" w:rsidRDefault="00EC1269">
                    <w:pPr>
                      <w:jc w:val="center"/>
                    </w:pPr>
                    <w:r>
                      <w:rPr>
                        <w:rFonts w:hint="eastAsia"/>
                      </w:rPr>
                      <w:t>与收益相关</w:t>
                    </w:r>
                  </w:p>
                </w:tc>
              </w:tr>
            </w:sdtContent>
          </w:sdt>
          <w:sdt>
            <w:sdtPr>
              <w:alias w:val="计入当期损益的政府补助明细"/>
              <w:tag w:val="_GBC_8d8ea3026a664e94a38609c0bcec2101"/>
              <w:id w:val="1860689086"/>
              <w:lock w:val="sdtLocked"/>
            </w:sdtPr>
            <w:sdtEndPr>
              <w:rPr>
                <w:rFonts w:hint="eastAsia"/>
              </w:rPr>
            </w:sdtEndPr>
            <w:sdtContent>
              <w:tr w:rsidR="007E7472" w14:paraId="41B3F612" w14:textId="77777777" w:rsidTr="007E7472">
                <w:trPr>
                  <w:trHeight w:val="340"/>
                  <w:jc w:val="center"/>
                </w:trPr>
                <w:tc>
                  <w:tcPr>
                    <w:tcW w:w="958" w:type="pct"/>
                    <w:tcBorders>
                      <w:top w:val="single" w:sz="4" w:space="0" w:color="auto"/>
                      <w:left w:val="single" w:sz="4" w:space="0" w:color="auto"/>
                      <w:bottom w:val="single" w:sz="4" w:space="0" w:color="auto"/>
                      <w:right w:val="single" w:sz="4" w:space="0" w:color="auto"/>
                    </w:tcBorders>
                    <w:vAlign w:val="center"/>
                  </w:tcPr>
                  <w:p w14:paraId="3BAEC994" w14:textId="77777777" w:rsidR="007E7472" w:rsidRDefault="00EC1269">
                    <w:pPr>
                      <w:jc w:val="both"/>
                    </w:pPr>
                    <w:r>
                      <w:rPr>
                        <w:rFonts w:hint="eastAsia"/>
                      </w:rPr>
                      <w:t>失业保险基金稳定岗位补贴</w:t>
                    </w:r>
                  </w:p>
                </w:tc>
                <w:tc>
                  <w:tcPr>
                    <w:tcW w:w="887" w:type="pct"/>
                    <w:tcBorders>
                      <w:top w:val="single" w:sz="4" w:space="0" w:color="auto"/>
                      <w:left w:val="single" w:sz="4" w:space="0" w:color="auto"/>
                      <w:bottom w:val="single" w:sz="4" w:space="0" w:color="auto"/>
                      <w:right w:val="single" w:sz="4" w:space="0" w:color="auto"/>
                    </w:tcBorders>
                    <w:vAlign w:val="center"/>
                  </w:tcPr>
                  <w:p w14:paraId="3B7807E3" w14:textId="77777777" w:rsidR="007E7472" w:rsidRDefault="00EC1269">
                    <w:pPr>
                      <w:jc w:val="right"/>
                    </w:pPr>
                    <w:r>
                      <w:t>132</w:t>
                    </w:r>
                  </w:p>
                </w:tc>
                <w:tc>
                  <w:tcPr>
                    <w:tcW w:w="884" w:type="pct"/>
                    <w:tcBorders>
                      <w:top w:val="single" w:sz="4" w:space="0" w:color="auto"/>
                      <w:left w:val="single" w:sz="4" w:space="0" w:color="auto"/>
                      <w:bottom w:val="single" w:sz="4" w:space="0" w:color="auto"/>
                      <w:right w:val="single" w:sz="4" w:space="0" w:color="auto"/>
                    </w:tcBorders>
                    <w:vAlign w:val="center"/>
                  </w:tcPr>
                  <w:p w14:paraId="06D35022" w14:textId="77777777" w:rsidR="007E7472" w:rsidRDefault="00EC1269">
                    <w:pPr>
                      <w:jc w:val="right"/>
                    </w:pPr>
                    <w:r>
                      <w:t>5,352</w:t>
                    </w:r>
                  </w:p>
                </w:tc>
                <w:tc>
                  <w:tcPr>
                    <w:tcW w:w="1366" w:type="pct"/>
                    <w:tcBorders>
                      <w:top w:val="single" w:sz="4" w:space="0" w:color="auto"/>
                      <w:left w:val="single" w:sz="4" w:space="0" w:color="auto"/>
                      <w:bottom w:val="single" w:sz="4" w:space="0" w:color="auto"/>
                      <w:right w:val="single" w:sz="4" w:space="0" w:color="auto"/>
                    </w:tcBorders>
                    <w:vAlign w:val="center"/>
                  </w:tcPr>
                  <w:p w14:paraId="73B5D275" w14:textId="77777777" w:rsidR="007E7472" w:rsidRDefault="00EC1269">
                    <w:pPr>
                      <w:jc w:val="both"/>
                    </w:pPr>
                    <w:r>
                      <w:rPr>
                        <w:rFonts w:hint="eastAsia"/>
                      </w:rPr>
                      <w:t>人社部发〔</w:t>
                    </w:r>
                    <w:r>
                      <w:t>2020〕30号</w:t>
                    </w:r>
                  </w:p>
                </w:tc>
                <w:tc>
                  <w:tcPr>
                    <w:tcW w:w="905" w:type="pct"/>
                    <w:tcBorders>
                      <w:top w:val="single" w:sz="4" w:space="0" w:color="auto"/>
                      <w:left w:val="single" w:sz="4" w:space="0" w:color="auto"/>
                      <w:bottom w:val="single" w:sz="4" w:space="0" w:color="auto"/>
                      <w:right w:val="single" w:sz="4" w:space="0" w:color="auto"/>
                    </w:tcBorders>
                    <w:vAlign w:val="center"/>
                  </w:tcPr>
                  <w:p w14:paraId="2157D5DB" w14:textId="77777777" w:rsidR="007E7472" w:rsidRDefault="00EC1269">
                    <w:pPr>
                      <w:jc w:val="center"/>
                    </w:pPr>
                    <w:r>
                      <w:rPr>
                        <w:rFonts w:hint="eastAsia"/>
                      </w:rPr>
                      <w:t>与收益相关</w:t>
                    </w:r>
                  </w:p>
                </w:tc>
              </w:tr>
            </w:sdtContent>
          </w:sdt>
          <w:sdt>
            <w:sdtPr>
              <w:alias w:val="计入当期损益的政府补助明细"/>
              <w:tag w:val="_GBC_8d8ea3026a664e94a38609c0bcec2101"/>
              <w:id w:val="-939683375"/>
              <w:lock w:val="sdtLocked"/>
            </w:sdtPr>
            <w:sdtEndPr>
              <w:rPr>
                <w:rFonts w:hint="eastAsia"/>
              </w:rPr>
            </w:sdtEndPr>
            <w:sdtContent>
              <w:tr w:rsidR="007E7472" w14:paraId="5354500C" w14:textId="77777777" w:rsidTr="007E7472">
                <w:trPr>
                  <w:trHeight w:val="340"/>
                  <w:jc w:val="center"/>
                </w:trPr>
                <w:tc>
                  <w:tcPr>
                    <w:tcW w:w="958" w:type="pct"/>
                    <w:tcBorders>
                      <w:top w:val="single" w:sz="4" w:space="0" w:color="auto"/>
                      <w:left w:val="single" w:sz="4" w:space="0" w:color="auto"/>
                      <w:bottom w:val="single" w:sz="4" w:space="0" w:color="auto"/>
                      <w:right w:val="single" w:sz="4" w:space="0" w:color="auto"/>
                    </w:tcBorders>
                    <w:vAlign w:val="center"/>
                  </w:tcPr>
                  <w:p w14:paraId="2FF3DD44" w14:textId="77777777" w:rsidR="007E7472" w:rsidRDefault="00EC1269">
                    <w:pPr>
                      <w:jc w:val="both"/>
                    </w:pPr>
                    <w:r>
                      <w:rPr>
                        <w:rFonts w:hint="eastAsia"/>
                      </w:rPr>
                      <w:t>工业高质量发展基金</w:t>
                    </w:r>
                  </w:p>
                </w:tc>
                <w:tc>
                  <w:tcPr>
                    <w:tcW w:w="887" w:type="pct"/>
                    <w:tcBorders>
                      <w:top w:val="single" w:sz="4" w:space="0" w:color="auto"/>
                      <w:left w:val="single" w:sz="4" w:space="0" w:color="auto"/>
                      <w:bottom w:val="single" w:sz="4" w:space="0" w:color="auto"/>
                      <w:right w:val="single" w:sz="4" w:space="0" w:color="auto"/>
                    </w:tcBorders>
                    <w:vAlign w:val="center"/>
                  </w:tcPr>
                  <w:p w14:paraId="397C538B" w14:textId="77777777" w:rsidR="007E7472" w:rsidRDefault="00C8327E">
                    <w:pPr>
                      <w:jc w:val="right"/>
                    </w:pPr>
                  </w:p>
                </w:tc>
                <w:tc>
                  <w:tcPr>
                    <w:tcW w:w="884" w:type="pct"/>
                    <w:tcBorders>
                      <w:top w:val="single" w:sz="4" w:space="0" w:color="auto"/>
                      <w:left w:val="single" w:sz="4" w:space="0" w:color="auto"/>
                      <w:bottom w:val="single" w:sz="4" w:space="0" w:color="auto"/>
                      <w:right w:val="single" w:sz="4" w:space="0" w:color="auto"/>
                    </w:tcBorders>
                    <w:vAlign w:val="center"/>
                  </w:tcPr>
                  <w:p w14:paraId="719DCD2A" w14:textId="77777777" w:rsidR="007E7472" w:rsidRDefault="00EC1269">
                    <w:pPr>
                      <w:jc w:val="right"/>
                    </w:pPr>
                    <w:r>
                      <w:t>20,000</w:t>
                    </w:r>
                  </w:p>
                </w:tc>
                <w:tc>
                  <w:tcPr>
                    <w:tcW w:w="1366" w:type="pct"/>
                    <w:tcBorders>
                      <w:top w:val="single" w:sz="4" w:space="0" w:color="auto"/>
                      <w:left w:val="single" w:sz="4" w:space="0" w:color="auto"/>
                      <w:bottom w:val="single" w:sz="4" w:space="0" w:color="auto"/>
                      <w:right w:val="single" w:sz="4" w:space="0" w:color="auto"/>
                    </w:tcBorders>
                    <w:vAlign w:val="center"/>
                  </w:tcPr>
                  <w:p w14:paraId="4DD4C403" w14:textId="77777777" w:rsidR="007E7472" w:rsidRDefault="00C8327E">
                    <w:pPr>
                      <w:jc w:val="both"/>
                    </w:pPr>
                  </w:p>
                </w:tc>
                <w:tc>
                  <w:tcPr>
                    <w:tcW w:w="905" w:type="pct"/>
                    <w:tcBorders>
                      <w:top w:val="single" w:sz="4" w:space="0" w:color="auto"/>
                      <w:left w:val="single" w:sz="4" w:space="0" w:color="auto"/>
                      <w:bottom w:val="single" w:sz="4" w:space="0" w:color="auto"/>
                      <w:right w:val="single" w:sz="4" w:space="0" w:color="auto"/>
                    </w:tcBorders>
                    <w:vAlign w:val="center"/>
                  </w:tcPr>
                  <w:p w14:paraId="76707563" w14:textId="77777777" w:rsidR="007E7472" w:rsidRDefault="00EC1269">
                    <w:pPr>
                      <w:jc w:val="center"/>
                    </w:pPr>
                    <w:r>
                      <w:rPr>
                        <w:rFonts w:hint="eastAsia"/>
                      </w:rPr>
                      <w:t>与收益相关</w:t>
                    </w:r>
                  </w:p>
                </w:tc>
              </w:tr>
            </w:sdtContent>
          </w:sdt>
          <w:sdt>
            <w:sdtPr>
              <w:alias w:val="计入当期损益的政府补助明细"/>
              <w:tag w:val="_GBC_8d8ea3026a664e94a38609c0bcec2101"/>
              <w:id w:val="1644929716"/>
              <w:lock w:val="sdtLocked"/>
            </w:sdtPr>
            <w:sdtEndPr>
              <w:rPr>
                <w:rFonts w:hint="eastAsia"/>
              </w:rPr>
            </w:sdtEndPr>
            <w:sdtContent>
              <w:tr w:rsidR="007E7472" w14:paraId="24CF7689" w14:textId="77777777" w:rsidTr="007E7472">
                <w:trPr>
                  <w:trHeight w:val="340"/>
                  <w:jc w:val="center"/>
                </w:trPr>
                <w:tc>
                  <w:tcPr>
                    <w:tcW w:w="958" w:type="pct"/>
                    <w:tcBorders>
                      <w:top w:val="single" w:sz="4" w:space="0" w:color="auto"/>
                      <w:left w:val="single" w:sz="4" w:space="0" w:color="auto"/>
                      <w:bottom w:val="single" w:sz="4" w:space="0" w:color="auto"/>
                      <w:right w:val="single" w:sz="4" w:space="0" w:color="auto"/>
                    </w:tcBorders>
                    <w:vAlign w:val="center"/>
                  </w:tcPr>
                  <w:p w14:paraId="648FCA94" w14:textId="77777777" w:rsidR="007E7472" w:rsidRDefault="00EC1269">
                    <w:pPr>
                      <w:jc w:val="both"/>
                    </w:pPr>
                    <w:r>
                      <w:rPr>
                        <w:rFonts w:hint="eastAsia"/>
                      </w:rPr>
                      <w:t>工业企业结构调整专项奖补资金</w:t>
                    </w:r>
                  </w:p>
                </w:tc>
                <w:tc>
                  <w:tcPr>
                    <w:tcW w:w="887" w:type="pct"/>
                    <w:tcBorders>
                      <w:top w:val="single" w:sz="4" w:space="0" w:color="auto"/>
                      <w:left w:val="single" w:sz="4" w:space="0" w:color="auto"/>
                      <w:bottom w:val="single" w:sz="4" w:space="0" w:color="auto"/>
                      <w:right w:val="single" w:sz="4" w:space="0" w:color="auto"/>
                    </w:tcBorders>
                    <w:vAlign w:val="center"/>
                  </w:tcPr>
                  <w:p w14:paraId="7B5B7105" w14:textId="77777777" w:rsidR="007E7472" w:rsidRDefault="00C8327E">
                    <w:pPr>
                      <w:jc w:val="right"/>
                    </w:pPr>
                  </w:p>
                </w:tc>
                <w:tc>
                  <w:tcPr>
                    <w:tcW w:w="884" w:type="pct"/>
                    <w:tcBorders>
                      <w:top w:val="single" w:sz="4" w:space="0" w:color="auto"/>
                      <w:left w:val="single" w:sz="4" w:space="0" w:color="auto"/>
                      <w:bottom w:val="single" w:sz="4" w:space="0" w:color="auto"/>
                      <w:right w:val="single" w:sz="4" w:space="0" w:color="auto"/>
                    </w:tcBorders>
                    <w:vAlign w:val="center"/>
                  </w:tcPr>
                  <w:p w14:paraId="7E0BC42C" w14:textId="77777777" w:rsidR="007E7472" w:rsidRDefault="00EC1269">
                    <w:pPr>
                      <w:jc w:val="right"/>
                    </w:pPr>
                    <w:r>
                      <w:t>4,690</w:t>
                    </w:r>
                  </w:p>
                </w:tc>
                <w:tc>
                  <w:tcPr>
                    <w:tcW w:w="1366" w:type="pct"/>
                    <w:tcBorders>
                      <w:top w:val="single" w:sz="4" w:space="0" w:color="auto"/>
                      <w:left w:val="single" w:sz="4" w:space="0" w:color="auto"/>
                      <w:bottom w:val="single" w:sz="4" w:space="0" w:color="auto"/>
                      <w:right w:val="single" w:sz="4" w:space="0" w:color="auto"/>
                    </w:tcBorders>
                    <w:vAlign w:val="center"/>
                  </w:tcPr>
                  <w:p w14:paraId="2471D9D3" w14:textId="77777777" w:rsidR="007E7472" w:rsidRDefault="00EC1269">
                    <w:pPr>
                      <w:jc w:val="both"/>
                    </w:pPr>
                    <w:r>
                      <w:rPr>
                        <w:rFonts w:hint="eastAsia"/>
                      </w:rPr>
                      <w:t>鲁财工指〔</w:t>
                    </w:r>
                    <w:r>
                      <w:t>2016〕4号</w:t>
                    </w:r>
                  </w:p>
                </w:tc>
                <w:tc>
                  <w:tcPr>
                    <w:tcW w:w="905" w:type="pct"/>
                    <w:tcBorders>
                      <w:top w:val="single" w:sz="4" w:space="0" w:color="auto"/>
                      <w:left w:val="single" w:sz="4" w:space="0" w:color="auto"/>
                      <w:bottom w:val="single" w:sz="4" w:space="0" w:color="auto"/>
                      <w:right w:val="single" w:sz="4" w:space="0" w:color="auto"/>
                    </w:tcBorders>
                    <w:vAlign w:val="center"/>
                  </w:tcPr>
                  <w:p w14:paraId="3EBE47A6" w14:textId="77777777" w:rsidR="007E7472" w:rsidRDefault="00EC1269">
                    <w:pPr>
                      <w:jc w:val="center"/>
                    </w:pPr>
                    <w:r>
                      <w:rPr>
                        <w:rFonts w:hint="eastAsia"/>
                      </w:rPr>
                      <w:t>与收益相关</w:t>
                    </w:r>
                  </w:p>
                </w:tc>
              </w:tr>
            </w:sdtContent>
          </w:sdt>
          <w:sdt>
            <w:sdtPr>
              <w:alias w:val="计入当期损益的政府补助明细"/>
              <w:tag w:val="_GBC_8d8ea3026a664e94a38609c0bcec2101"/>
              <w:id w:val="866413338"/>
              <w:lock w:val="sdtLocked"/>
            </w:sdtPr>
            <w:sdtEndPr>
              <w:rPr>
                <w:rFonts w:hint="eastAsia"/>
              </w:rPr>
            </w:sdtEndPr>
            <w:sdtContent>
              <w:tr w:rsidR="007E7472" w14:paraId="4B223309" w14:textId="77777777" w:rsidTr="007E7472">
                <w:trPr>
                  <w:trHeight w:val="340"/>
                  <w:jc w:val="center"/>
                </w:trPr>
                <w:tc>
                  <w:tcPr>
                    <w:tcW w:w="958" w:type="pct"/>
                    <w:tcBorders>
                      <w:top w:val="single" w:sz="4" w:space="0" w:color="auto"/>
                      <w:left w:val="single" w:sz="4" w:space="0" w:color="auto"/>
                      <w:bottom w:val="single" w:sz="4" w:space="0" w:color="auto"/>
                      <w:right w:val="single" w:sz="4" w:space="0" w:color="auto"/>
                    </w:tcBorders>
                    <w:vAlign w:val="center"/>
                  </w:tcPr>
                  <w:p w14:paraId="46032755" w14:textId="77777777" w:rsidR="007E7472" w:rsidRDefault="00EC1269">
                    <w:pPr>
                      <w:jc w:val="both"/>
                    </w:pPr>
                    <w:r>
                      <w:rPr>
                        <w:rFonts w:hint="eastAsia"/>
                      </w:rPr>
                      <w:t>退休教师待遇补助资金</w:t>
                    </w:r>
                  </w:p>
                </w:tc>
                <w:tc>
                  <w:tcPr>
                    <w:tcW w:w="887" w:type="pct"/>
                    <w:tcBorders>
                      <w:top w:val="single" w:sz="4" w:space="0" w:color="auto"/>
                      <w:left w:val="single" w:sz="4" w:space="0" w:color="auto"/>
                      <w:bottom w:val="single" w:sz="4" w:space="0" w:color="auto"/>
                      <w:right w:val="single" w:sz="4" w:space="0" w:color="auto"/>
                    </w:tcBorders>
                    <w:vAlign w:val="center"/>
                  </w:tcPr>
                  <w:p w14:paraId="0208BF40" w14:textId="77777777" w:rsidR="007E7472" w:rsidRDefault="00C8327E">
                    <w:pPr>
                      <w:jc w:val="right"/>
                    </w:pPr>
                  </w:p>
                </w:tc>
                <w:tc>
                  <w:tcPr>
                    <w:tcW w:w="884" w:type="pct"/>
                    <w:tcBorders>
                      <w:top w:val="single" w:sz="4" w:space="0" w:color="auto"/>
                      <w:left w:val="single" w:sz="4" w:space="0" w:color="auto"/>
                      <w:bottom w:val="single" w:sz="4" w:space="0" w:color="auto"/>
                      <w:right w:val="single" w:sz="4" w:space="0" w:color="auto"/>
                    </w:tcBorders>
                    <w:vAlign w:val="center"/>
                  </w:tcPr>
                  <w:p w14:paraId="249DA5C9" w14:textId="77777777" w:rsidR="007E7472" w:rsidRDefault="00EC1269">
                    <w:pPr>
                      <w:jc w:val="right"/>
                    </w:pPr>
                    <w:r>
                      <w:t>26</w:t>
                    </w:r>
                  </w:p>
                </w:tc>
                <w:tc>
                  <w:tcPr>
                    <w:tcW w:w="1366" w:type="pct"/>
                    <w:tcBorders>
                      <w:top w:val="single" w:sz="4" w:space="0" w:color="auto"/>
                      <w:left w:val="single" w:sz="4" w:space="0" w:color="auto"/>
                      <w:bottom w:val="single" w:sz="4" w:space="0" w:color="auto"/>
                      <w:right w:val="single" w:sz="4" w:space="0" w:color="auto"/>
                    </w:tcBorders>
                    <w:vAlign w:val="center"/>
                  </w:tcPr>
                  <w:p w14:paraId="4EEDD7F4" w14:textId="77777777" w:rsidR="007E7472" w:rsidRDefault="00EC1269">
                    <w:pPr>
                      <w:jc w:val="both"/>
                    </w:pPr>
                    <w:r>
                      <w:rPr>
                        <w:rFonts w:hint="eastAsia"/>
                      </w:rPr>
                      <w:t>枣财资指</w:t>
                    </w:r>
                    <w:r>
                      <w:t>[2022]3号</w:t>
                    </w:r>
                  </w:p>
                </w:tc>
                <w:tc>
                  <w:tcPr>
                    <w:tcW w:w="905" w:type="pct"/>
                    <w:tcBorders>
                      <w:top w:val="single" w:sz="4" w:space="0" w:color="auto"/>
                      <w:left w:val="single" w:sz="4" w:space="0" w:color="auto"/>
                      <w:bottom w:val="single" w:sz="4" w:space="0" w:color="auto"/>
                      <w:right w:val="single" w:sz="4" w:space="0" w:color="auto"/>
                    </w:tcBorders>
                    <w:vAlign w:val="center"/>
                  </w:tcPr>
                  <w:p w14:paraId="15828482" w14:textId="77777777" w:rsidR="007E7472" w:rsidRDefault="00EC1269">
                    <w:pPr>
                      <w:jc w:val="center"/>
                    </w:pPr>
                    <w:r>
                      <w:rPr>
                        <w:rFonts w:hint="eastAsia"/>
                      </w:rPr>
                      <w:t>与收益相关</w:t>
                    </w:r>
                  </w:p>
                </w:tc>
              </w:tr>
            </w:sdtContent>
          </w:sdt>
          <w:sdt>
            <w:sdtPr>
              <w:rPr>
                <w:rFonts w:ascii="Times New Roman" w:hAnsi="Times New Roman" w:cs="Times New Roman"/>
                <w:sz w:val="20"/>
                <w:szCs w:val="20"/>
              </w:rPr>
              <w:alias w:val="计入当期损益的政府补助明细"/>
              <w:tag w:val="_GBC_8d8ea3026a664e94a38609c0bcec2101"/>
              <w:id w:val="-1436289345"/>
              <w:lock w:val="sdtLocked"/>
            </w:sdtPr>
            <w:sdtEndPr/>
            <w:sdtContent>
              <w:tr w:rsidR="007E7472" w14:paraId="08D69DB4" w14:textId="77777777" w:rsidTr="007E7472">
                <w:trPr>
                  <w:trHeight w:val="340"/>
                  <w:jc w:val="center"/>
                </w:trPr>
                <w:tc>
                  <w:tcPr>
                    <w:tcW w:w="958" w:type="pct"/>
                    <w:tcBorders>
                      <w:top w:val="single" w:sz="4" w:space="0" w:color="auto"/>
                      <w:left w:val="single" w:sz="4" w:space="0" w:color="auto"/>
                      <w:bottom w:val="single" w:sz="4" w:space="0" w:color="auto"/>
                      <w:right w:val="single" w:sz="4" w:space="0" w:color="auto"/>
                    </w:tcBorders>
                    <w:vAlign w:val="center"/>
                  </w:tcPr>
                  <w:p w14:paraId="7A0CC8DE" w14:textId="77777777" w:rsidR="007E7472" w:rsidRDefault="00EC1269">
                    <w:pPr>
                      <w:jc w:val="both"/>
                    </w:pPr>
                    <w:r>
                      <w:rPr>
                        <w:rFonts w:hint="eastAsia"/>
                      </w:rPr>
                      <w:t>其他</w:t>
                    </w:r>
                  </w:p>
                </w:tc>
                <w:tc>
                  <w:tcPr>
                    <w:tcW w:w="887" w:type="pct"/>
                    <w:tcBorders>
                      <w:top w:val="single" w:sz="4" w:space="0" w:color="auto"/>
                      <w:left w:val="single" w:sz="4" w:space="0" w:color="auto"/>
                      <w:bottom w:val="single" w:sz="4" w:space="0" w:color="auto"/>
                      <w:right w:val="single" w:sz="4" w:space="0" w:color="auto"/>
                    </w:tcBorders>
                    <w:vAlign w:val="center"/>
                  </w:tcPr>
                  <w:p w14:paraId="5782DC5E" w14:textId="77777777" w:rsidR="007E7472" w:rsidRDefault="00EC1269">
                    <w:pPr>
                      <w:jc w:val="right"/>
                    </w:pPr>
                    <w:r>
                      <w:t>3,293</w:t>
                    </w:r>
                  </w:p>
                </w:tc>
                <w:tc>
                  <w:tcPr>
                    <w:tcW w:w="884" w:type="pct"/>
                    <w:tcBorders>
                      <w:top w:val="single" w:sz="4" w:space="0" w:color="auto"/>
                      <w:left w:val="single" w:sz="4" w:space="0" w:color="auto"/>
                      <w:bottom w:val="single" w:sz="4" w:space="0" w:color="auto"/>
                      <w:right w:val="single" w:sz="4" w:space="0" w:color="auto"/>
                    </w:tcBorders>
                    <w:vAlign w:val="center"/>
                  </w:tcPr>
                  <w:p w14:paraId="524CD565" w14:textId="77777777" w:rsidR="007E7472" w:rsidRDefault="00EC1269">
                    <w:pPr>
                      <w:jc w:val="right"/>
                    </w:pPr>
                    <w:r>
                      <w:t>5,756</w:t>
                    </w:r>
                  </w:p>
                </w:tc>
                <w:sdt>
                  <w:sdtPr>
                    <w:alias w:val="依据"/>
                    <w:tag w:val="_GBC_13fac3cfa72b44019b34fff05896723a"/>
                    <w:id w:val="743531293"/>
                    <w:lock w:val="sdtLocked"/>
                    <w:showingPlcHdr/>
                  </w:sdtPr>
                  <w:sdtEndPr/>
                  <w:sdtContent>
                    <w:tc>
                      <w:tcPr>
                        <w:tcW w:w="1366" w:type="pct"/>
                        <w:tcBorders>
                          <w:top w:val="single" w:sz="4" w:space="0" w:color="auto"/>
                          <w:left w:val="single" w:sz="4" w:space="0" w:color="auto"/>
                          <w:bottom w:val="single" w:sz="4" w:space="0" w:color="auto"/>
                          <w:right w:val="single" w:sz="4" w:space="0" w:color="auto"/>
                        </w:tcBorders>
                        <w:vAlign w:val="center"/>
                      </w:tcPr>
                      <w:p w14:paraId="68A355F6" w14:textId="77777777" w:rsidR="007E7472" w:rsidRDefault="00EC1269">
                        <w:pPr>
                          <w:jc w:val="right"/>
                        </w:pPr>
                        <w:r>
                          <w:t xml:space="preserve">　</w:t>
                        </w:r>
                      </w:p>
                    </w:tc>
                  </w:sdtContent>
                </w:sdt>
                <w:tc>
                  <w:tcPr>
                    <w:tcW w:w="905" w:type="pct"/>
                    <w:tcBorders>
                      <w:top w:val="single" w:sz="4" w:space="0" w:color="auto"/>
                      <w:left w:val="single" w:sz="4" w:space="0" w:color="auto"/>
                      <w:bottom w:val="single" w:sz="4" w:space="0" w:color="auto"/>
                      <w:right w:val="single" w:sz="4" w:space="0" w:color="auto"/>
                    </w:tcBorders>
                    <w:vAlign w:val="center"/>
                  </w:tcPr>
                  <w:p w14:paraId="5D25A923" w14:textId="77777777" w:rsidR="007E7472" w:rsidRDefault="00EC1269">
                    <w:pPr>
                      <w:jc w:val="center"/>
                    </w:pPr>
                    <w:r>
                      <w:rPr>
                        <w:rFonts w:hint="eastAsia"/>
                      </w:rPr>
                      <w:t>与收益相关</w:t>
                    </w:r>
                  </w:p>
                </w:tc>
              </w:tr>
            </w:sdtContent>
          </w:sdt>
          <w:sdt>
            <w:sdtPr>
              <w:rPr>
                <w:rFonts w:ascii="Times New Roman" w:hAnsi="Times New Roman" w:cs="Times New Roman"/>
                <w:sz w:val="20"/>
                <w:szCs w:val="20"/>
              </w:rPr>
              <w:alias w:val="计入当期损益的政府补助明细"/>
              <w:tag w:val="_GBC_8d8ea3026a664e94a38609c0bcec2101"/>
              <w:id w:val="-1478211109"/>
              <w:lock w:val="sdtLocked"/>
            </w:sdtPr>
            <w:sdtEndPr/>
            <w:sdtContent>
              <w:tr w:rsidR="007E7472" w14:paraId="7354AD5F" w14:textId="77777777" w:rsidTr="007E7472">
                <w:trPr>
                  <w:trHeight w:val="340"/>
                  <w:jc w:val="center"/>
                </w:trPr>
                <w:tc>
                  <w:tcPr>
                    <w:tcW w:w="958" w:type="pct"/>
                    <w:tcBorders>
                      <w:top w:val="single" w:sz="4" w:space="0" w:color="auto"/>
                      <w:left w:val="single" w:sz="4" w:space="0" w:color="auto"/>
                      <w:bottom w:val="single" w:sz="4" w:space="0" w:color="auto"/>
                      <w:right w:val="single" w:sz="4" w:space="0" w:color="auto"/>
                    </w:tcBorders>
                    <w:vAlign w:val="center"/>
                  </w:tcPr>
                  <w:p w14:paraId="2C6CAAC7" w14:textId="77777777" w:rsidR="007E7472" w:rsidRDefault="00EC1269">
                    <w:pPr>
                      <w:jc w:val="both"/>
                    </w:pPr>
                    <w:r>
                      <w:rPr>
                        <w:rFonts w:hint="eastAsia"/>
                      </w:rPr>
                      <w:t>合计</w:t>
                    </w:r>
                  </w:p>
                </w:tc>
                <w:tc>
                  <w:tcPr>
                    <w:tcW w:w="887" w:type="pct"/>
                    <w:tcBorders>
                      <w:top w:val="single" w:sz="4" w:space="0" w:color="auto"/>
                      <w:left w:val="single" w:sz="4" w:space="0" w:color="auto"/>
                      <w:bottom w:val="single" w:sz="4" w:space="0" w:color="auto"/>
                      <w:right w:val="single" w:sz="4" w:space="0" w:color="auto"/>
                    </w:tcBorders>
                    <w:vAlign w:val="center"/>
                  </w:tcPr>
                  <w:p w14:paraId="5FE06A75" w14:textId="77777777" w:rsidR="007E7472" w:rsidRDefault="00EC1269">
                    <w:pPr>
                      <w:jc w:val="right"/>
                    </w:pPr>
                    <w:r>
                      <w:t>26,546</w:t>
                    </w:r>
                  </w:p>
                </w:tc>
                <w:tc>
                  <w:tcPr>
                    <w:tcW w:w="884" w:type="pct"/>
                    <w:tcBorders>
                      <w:top w:val="single" w:sz="4" w:space="0" w:color="auto"/>
                      <w:left w:val="single" w:sz="4" w:space="0" w:color="auto"/>
                      <w:bottom w:val="single" w:sz="4" w:space="0" w:color="auto"/>
                      <w:right w:val="single" w:sz="4" w:space="0" w:color="auto"/>
                    </w:tcBorders>
                    <w:vAlign w:val="center"/>
                  </w:tcPr>
                  <w:p w14:paraId="3F61065C" w14:textId="77777777" w:rsidR="007E7472" w:rsidRDefault="00EC1269">
                    <w:pPr>
                      <w:jc w:val="right"/>
                    </w:pPr>
                    <w:r>
                      <w:t>36,444</w:t>
                    </w:r>
                  </w:p>
                </w:tc>
                <w:sdt>
                  <w:sdtPr>
                    <w:alias w:val="依据"/>
                    <w:tag w:val="_GBC_13fac3cfa72b44019b34fff05896723a"/>
                    <w:id w:val="1495527631"/>
                    <w:lock w:val="sdtLocked"/>
                    <w:showingPlcHdr/>
                  </w:sdtPr>
                  <w:sdtEndPr/>
                  <w:sdtContent>
                    <w:tc>
                      <w:tcPr>
                        <w:tcW w:w="1366" w:type="pct"/>
                        <w:tcBorders>
                          <w:top w:val="single" w:sz="4" w:space="0" w:color="auto"/>
                          <w:left w:val="single" w:sz="4" w:space="0" w:color="auto"/>
                          <w:bottom w:val="single" w:sz="4" w:space="0" w:color="auto"/>
                          <w:right w:val="single" w:sz="4" w:space="0" w:color="auto"/>
                        </w:tcBorders>
                        <w:vAlign w:val="center"/>
                      </w:tcPr>
                      <w:p w14:paraId="083DDAEE" w14:textId="77777777" w:rsidR="007E7472" w:rsidRDefault="00EC1269">
                        <w:pPr>
                          <w:jc w:val="right"/>
                        </w:pPr>
                        <w:r>
                          <w:t xml:space="preserve">　</w:t>
                        </w:r>
                      </w:p>
                    </w:tc>
                  </w:sdtContent>
                </w:sdt>
                <w:tc>
                  <w:tcPr>
                    <w:tcW w:w="905" w:type="pct"/>
                    <w:tcBorders>
                      <w:top w:val="single" w:sz="4" w:space="0" w:color="auto"/>
                      <w:left w:val="single" w:sz="4" w:space="0" w:color="auto"/>
                      <w:bottom w:val="single" w:sz="4" w:space="0" w:color="auto"/>
                      <w:right w:val="single" w:sz="4" w:space="0" w:color="auto"/>
                    </w:tcBorders>
                    <w:vAlign w:val="center"/>
                  </w:tcPr>
                  <w:p w14:paraId="48049854" w14:textId="77777777" w:rsidR="007E7472" w:rsidRDefault="00C8327E"/>
                </w:tc>
              </w:tr>
            </w:sdtContent>
          </w:sdt>
        </w:tbl>
        <w:p w14:paraId="128C1412" w14:textId="77777777" w:rsidR="007E7472" w:rsidRDefault="00C8327E"/>
      </w:sdtContent>
    </w:sdt>
    <w:sdt>
      <w:sdtPr>
        <w:rPr>
          <w:rFonts w:ascii="Times New Roman" w:hAnsi="Times New Roman" w:cs="Times New Roman" w:hint="eastAsia"/>
          <w:sz w:val="20"/>
          <w:szCs w:val="20"/>
        </w:rPr>
        <w:alias w:val="模块:营业外收入说明"/>
        <w:tag w:val="_GBC_613f834d57f34b828d1fb937ee139a13"/>
        <w:id w:val="196903273"/>
        <w:lock w:val="sdtLocked"/>
        <w:placeholder>
          <w:docPart w:val="GBC22222222222222222222222222222"/>
        </w:placeholder>
      </w:sdtPr>
      <w:sdtEndPr/>
      <w:sdtContent>
        <w:p w14:paraId="22EAA213" w14:textId="77777777" w:rsidR="007E7472" w:rsidRDefault="00EC1269">
          <w:pPr>
            <w:spacing w:line="360" w:lineRule="exact"/>
          </w:pPr>
          <w:r>
            <w:rPr>
              <w:rFonts w:hint="eastAsia"/>
            </w:rPr>
            <w:t>其他说明：</w:t>
          </w:r>
        </w:p>
        <w:sdt>
          <w:sdtPr>
            <w:alias w:val="是否适用：营业外收入说明[双击切换]"/>
            <w:tag w:val="_GBC_9bd4fc9f0fcc4e85bee85b3ce60c8b2c"/>
            <w:id w:val="-1774234296"/>
            <w:lock w:val="sdtLocked"/>
            <w:placeholder>
              <w:docPart w:val="GBC22222222222222222222222222222"/>
            </w:placeholder>
          </w:sdtPr>
          <w:sdtEndPr/>
          <w:sdtContent>
            <w:p w14:paraId="1E587AD6"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p w14:paraId="436D259B" w14:textId="77777777" w:rsidR="007E7472" w:rsidRDefault="00C8327E">
      <w:bookmarkStart w:id="270" w:name="_Hlk142401901"/>
      <w:bookmarkEnd w:id="270"/>
    </w:p>
    <w:sdt>
      <w:sdtPr>
        <w:rPr>
          <w:rFonts w:ascii="宋体" w:hAnsi="宋体" w:cs="宋体" w:hint="eastAsia"/>
          <w:b w:val="0"/>
          <w:bCs w:val="0"/>
          <w:kern w:val="0"/>
          <w:sz w:val="20"/>
          <w:szCs w:val="21"/>
        </w:rPr>
        <w:alias w:val="模块:营业外支出"/>
        <w:tag w:val="_GBC_7c51aa70be1f405d954dc316ed26b5b4"/>
        <w:id w:val="1366181423"/>
        <w:lock w:val="sdtLocked"/>
        <w:placeholder>
          <w:docPart w:val="GBC22222222222222222222222222222"/>
        </w:placeholder>
      </w:sdtPr>
      <w:sdtEndPr>
        <w:rPr>
          <w:rFonts w:cstheme="minorBidi"/>
          <w:sz w:val="21"/>
        </w:rPr>
      </w:sdtEndPr>
      <w:sdtContent>
        <w:p w14:paraId="4D48782F" w14:textId="77777777" w:rsidR="007E7472" w:rsidRDefault="00EC1269" w:rsidP="00162493">
          <w:pPr>
            <w:pStyle w:val="3"/>
            <w:numPr>
              <w:ilvl w:val="0"/>
              <w:numId w:val="62"/>
            </w:numPr>
          </w:pPr>
          <w:r>
            <w:rPr>
              <w:rFonts w:hint="eastAsia"/>
            </w:rPr>
            <w:t>营业外支出</w:t>
          </w:r>
        </w:p>
        <w:sdt>
          <w:sdtPr>
            <w:alias w:val="是否适用：营业外支出[双击切换]"/>
            <w:tag w:val="_GBC_6d4b8ac674ce425b8c798e92aa1fe455"/>
            <w:id w:val="-456029450"/>
            <w:lock w:val="sdtLocked"/>
            <w:placeholder>
              <w:docPart w:val="GBC22222222222222222222222222222"/>
            </w:placeholder>
          </w:sdtPr>
          <w:sdtEndPr/>
          <w:sdtContent>
            <w:p w14:paraId="70378AD9"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1DD696A1" w14:textId="45B56615" w:rsidR="007E7472" w:rsidRDefault="00EC1269">
          <w:pPr>
            <w:jc w:val="right"/>
          </w:pPr>
          <w:r>
            <w:rPr>
              <w:rFonts w:hint="eastAsia"/>
            </w:rPr>
            <w:t>单位：</w:t>
          </w:r>
          <w:sdt>
            <w:sdtPr>
              <w:rPr>
                <w:rFonts w:hint="eastAsia"/>
              </w:rPr>
              <w:alias w:val="单位：财务附注：营业外支出"/>
              <w:tag w:val="_GBC_f8678a9a1bbf4b0697744c5d21146839"/>
              <w:id w:val="14878229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营业外支出"/>
              <w:tag w:val="_GBC_61e3e82ad5404a9987623525ac03d95e"/>
              <w:id w:val="20649139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3"/>
            <w:gridCol w:w="1842"/>
            <w:gridCol w:w="1749"/>
            <w:gridCol w:w="2259"/>
          </w:tblGrid>
          <w:tr w:rsidR="007E7472" w14:paraId="0161F7D5" w14:textId="77777777" w:rsidTr="007E7472">
            <w:trPr>
              <w:trHeight w:val="340"/>
            </w:trPr>
            <w:sdt>
              <w:sdtPr>
                <w:tag w:val="_PLD_6abf292cb0a7463788e39d1bdabb85fc"/>
                <w:id w:val="-1394500181"/>
                <w:lock w:val="sdtLocked"/>
              </w:sdtPr>
              <w:sdtEndPr/>
              <w:sdtContent>
                <w:tc>
                  <w:tcPr>
                    <w:tcW w:w="1684" w:type="pct"/>
                    <w:tcBorders>
                      <w:top w:val="single" w:sz="4" w:space="0" w:color="auto"/>
                      <w:left w:val="single" w:sz="4" w:space="0" w:color="auto"/>
                      <w:bottom w:val="single" w:sz="4" w:space="0" w:color="auto"/>
                      <w:right w:val="single" w:sz="4" w:space="0" w:color="auto"/>
                    </w:tcBorders>
                    <w:vAlign w:val="center"/>
                  </w:tcPr>
                  <w:p w14:paraId="4C5D5243" w14:textId="77777777" w:rsidR="007E7472" w:rsidRPr="00AF7983" w:rsidRDefault="00EC1269">
                    <w:pPr>
                      <w:autoSpaceDE w:val="0"/>
                      <w:autoSpaceDN w:val="0"/>
                      <w:adjustRightInd w:val="0"/>
                      <w:jc w:val="center"/>
                    </w:pPr>
                    <w:r w:rsidRPr="00AF7983">
                      <w:rPr>
                        <w:rFonts w:hint="eastAsia"/>
                      </w:rPr>
                      <w:t>项目</w:t>
                    </w:r>
                  </w:p>
                </w:tc>
              </w:sdtContent>
            </w:sdt>
            <w:sdt>
              <w:sdtPr>
                <w:tag w:val="_PLD_36a30142728e41bb9c215b73cfe3204c"/>
                <w:id w:val="-83220827"/>
                <w:lock w:val="sdtLocked"/>
              </w:sdtPr>
              <w:sdtEndPr/>
              <w:sdtContent>
                <w:tc>
                  <w:tcPr>
                    <w:tcW w:w="1044" w:type="pct"/>
                    <w:tcBorders>
                      <w:top w:val="single" w:sz="4" w:space="0" w:color="auto"/>
                      <w:left w:val="single" w:sz="4" w:space="0" w:color="auto"/>
                      <w:bottom w:val="single" w:sz="4" w:space="0" w:color="auto"/>
                      <w:right w:val="single" w:sz="4" w:space="0" w:color="auto"/>
                    </w:tcBorders>
                    <w:vAlign w:val="center"/>
                  </w:tcPr>
                  <w:p w14:paraId="3329C1E3" w14:textId="77777777" w:rsidR="007E7472" w:rsidRPr="00AF7983" w:rsidRDefault="00EC1269">
                    <w:pPr>
                      <w:autoSpaceDE w:val="0"/>
                      <w:autoSpaceDN w:val="0"/>
                      <w:adjustRightInd w:val="0"/>
                      <w:jc w:val="center"/>
                    </w:pPr>
                    <w:r w:rsidRPr="00AF7983">
                      <w:rPr>
                        <w:rFonts w:hint="eastAsia"/>
                      </w:rPr>
                      <w:t>本期发生额</w:t>
                    </w:r>
                  </w:p>
                </w:tc>
              </w:sdtContent>
            </w:sdt>
            <w:sdt>
              <w:sdtPr>
                <w:tag w:val="_PLD_16b0936bf8024bdf99cf883b1827419f"/>
                <w:id w:val="-496727393"/>
                <w:lock w:val="sdtLocked"/>
              </w:sdtPr>
              <w:sdtEndPr/>
              <w:sdtContent>
                <w:tc>
                  <w:tcPr>
                    <w:tcW w:w="991" w:type="pct"/>
                    <w:tcBorders>
                      <w:top w:val="single" w:sz="4" w:space="0" w:color="auto"/>
                      <w:left w:val="single" w:sz="4" w:space="0" w:color="auto"/>
                      <w:bottom w:val="single" w:sz="4" w:space="0" w:color="auto"/>
                      <w:right w:val="single" w:sz="4" w:space="0" w:color="auto"/>
                    </w:tcBorders>
                    <w:vAlign w:val="center"/>
                  </w:tcPr>
                  <w:p w14:paraId="63FFEA5E" w14:textId="77777777" w:rsidR="007E7472" w:rsidRPr="00AF7983" w:rsidRDefault="00EC1269">
                    <w:pPr>
                      <w:autoSpaceDE w:val="0"/>
                      <w:autoSpaceDN w:val="0"/>
                      <w:adjustRightInd w:val="0"/>
                      <w:jc w:val="center"/>
                    </w:pPr>
                    <w:r w:rsidRPr="00AF7983">
                      <w:rPr>
                        <w:rFonts w:hint="eastAsia"/>
                      </w:rPr>
                      <w:t>上期发生额</w:t>
                    </w:r>
                  </w:p>
                </w:tc>
              </w:sdtContent>
            </w:sdt>
            <w:sdt>
              <w:sdtPr>
                <w:tag w:val="_PLD_92014506c2824f6fbe79731f91aa61bc"/>
                <w:id w:val="1405960217"/>
                <w:lock w:val="sdtLocked"/>
              </w:sdtPr>
              <w:sdtEndPr/>
              <w:sdtContent>
                <w:tc>
                  <w:tcPr>
                    <w:tcW w:w="1280" w:type="pct"/>
                    <w:tcBorders>
                      <w:top w:val="single" w:sz="4" w:space="0" w:color="auto"/>
                      <w:left w:val="single" w:sz="4" w:space="0" w:color="auto"/>
                      <w:bottom w:val="single" w:sz="4" w:space="0" w:color="auto"/>
                      <w:right w:val="single" w:sz="4" w:space="0" w:color="auto"/>
                    </w:tcBorders>
                    <w:vAlign w:val="center"/>
                  </w:tcPr>
                  <w:p w14:paraId="6BCF0E3C" w14:textId="77777777" w:rsidR="007E7472" w:rsidRPr="00AF7983" w:rsidRDefault="00EC1269">
                    <w:pPr>
                      <w:autoSpaceDE w:val="0"/>
                      <w:autoSpaceDN w:val="0"/>
                      <w:adjustRightInd w:val="0"/>
                      <w:jc w:val="center"/>
                    </w:pPr>
                    <w:r w:rsidRPr="00AF7983">
                      <w:rPr>
                        <w:rFonts w:hint="eastAsia"/>
                      </w:rPr>
                      <w:t>计入当期非经常性损益的金额</w:t>
                    </w:r>
                  </w:p>
                </w:tc>
              </w:sdtContent>
            </w:sdt>
          </w:tr>
          <w:tr w:rsidR="007E7472" w14:paraId="1380F9B5" w14:textId="77777777" w:rsidTr="007E7472">
            <w:trPr>
              <w:trHeight w:val="340"/>
            </w:trPr>
            <w:tc>
              <w:tcPr>
                <w:tcW w:w="1684" w:type="pct"/>
                <w:tcBorders>
                  <w:top w:val="single" w:sz="4" w:space="0" w:color="auto"/>
                  <w:left w:val="single" w:sz="4" w:space="0" w:color="auto"/>
                  <w:bottom w:val="single" w:sz="4" w:space="0" w:color="auto"/>
                  <w:right w:val="single" w:sz="4" w:space="0" w:color="auto"/>
                </w:tcBorders>
                <w:vAlign w:val="center"/>
              </w:tcPr>
              <w:p w14:paraId="266D4660" w14:textId="77777777" w:rsidR="007E7472" w:rsidRPr="00AF7983" w:rsidRDefault="00EC1269">
                <w:pPr>
                  <w:autoSpaceDE w:val="0"/>
                  <w:autoSpaceDN w:val="0"/>
                  <w:adjustRightInd w:val="0"/>
                </w:pPr>
                <w:r w:rsidRPr="00AF7983">
                  <w:rPr>
                    <w:rFonts w:hint="eastAsia"/>
                  </w:rPr>
                  <w:t>罚款、补缴款及滞纳金</w:t>
                </w:r>
              </w:p>
            </w:tc>
            <w:tc>
              <w:tcPr>
                <w:tcW w:w="1044" w:type="pct"/>
                <w:tcBorders>
                  <w:top w:val="single" w:sz="4" w:space="0" w:color="auto"/>
                  <w:left w:val="single" w:sz="4" w:space="0" w:color="auto"/>
                  <w:bottom w:val="single" w:sz="4" w:space="0" w:color="auto"/>
                  <w:right w:val="single" w:sz="4" w:space="0" w:color="auto"/>
                </w:tcBorders>
                <w:vAlign w:val="center"/>
              </w:tcPr>
              <w:p w14:paraId="493199DB" w14:textId="77777777" w:rsidR="007E7472" w:rsidRPr="00AF7983" w:rsidRDefault="00EC1269">
                <w:pPr>
                  <w:jc w:val="right"/>
                </w:pPr>
                <w:r w:rsidRPr="00AF7983">
                  <w:t>31,892</w:t>
                </w:r>
              </w:p>
            </w:tc>
            <w:tc>
              <w:tcPr>
                <w:tcW w:w="991" w:type="pct"/>
                <w:tcBorders>
                  <w:top w:val="single" w:sz="4" w:space="0" w:color="auto"/>
                  <w:left w:val="single" w:sz="4" w:space="0" w:color="auto"/>
                  <w:bottom w:val="single" w:sz="4" w:space="0" w:color="auto"/>
                  <w:right w:val="single" w:sz="4" w:space="0" w:color="auto"/>
                </w:tcBorders>
                <w:vAlign w:val="center"/>
              </w:tcPr>
              <w:p w14:paraId="0EE848C1" w14:textId="77777777" w:rsidR="007E7472" w:rsidRPr="00AF7983" w:rsidRDefault="00EC1269">
                <w:pPr>
                  <w:jc w:val="right"/>
                </w:pPr>
                <w:r w:rsidRPr="00AF7983">
                  <w:t>32,937</w:t>
                </w:r>
              </w:p>
            </w:tc>
            <w:tc>
              <w:tcPr>
                <w:tcW w:w="1280" w:type="pct"/>
                <w:tcBorders>
                  <w:top w:val="single" w:sz="4" w:space="0" w:color="auto"/>
                  <w:left w:val="single" w:sz="4" w:space="0" w:color="auto"/>
                  <w:bottom w:val="single" w:sz="4" w:space="0" w:color="auto"/>
                  <w:right w:val="single" w:sz="4" w:space="0" w:color="auto"/>
                </w:tcBorders>
                <w:vAlign w:val="center"/>
              </w:tcPr>
              <w:p w14:paraId="003BDC59" w14:textId="77777777" w:rsidR="007E7472" w:rsidRPr="00AF7983" w:rsidRDefault="00EC1269">
                <w:pPr>
                  <w:autoSpaceDE w:val="0"/>
                  <w:autoSpaceDN w:val="0"/>
                  <w:adjustRightInd w:val="0"/>
                  <w:jc w:val="right"/>
                </w:pPr>
                <w:r w:rsidRPr="00AF7983">
                  <w:t>31,892</w:t>
                </w:r>
              </w:p>
            </w:tc>
          </w:tr>
          <w:tr w:rsidR="007E7472" w14:paraId="6AB5CE21" w14:textId="77777777" w:rsidTr="007E7472">
            <w:trPr>
              <w:trHeight w:val="340"/>
            </w:trPr>
            <w:tc>
              <w:tcPr>
                <w:tcW w:w="1684" w:type="pct"/>
                <w:tcBorders>
                  <w:top w:val="single" w:sz="4" w:space="0" w:color="auto"/>
                  <w:left w:val="single" w:sz="4" w:space="0" w:color="auto"/>
                  <w:bottom w:val="single" w:sz="4" w:space="0" w:color="auto"/>
                  <w:right w:val="single" w:sz="4" w:space="0" w:color="auto"/>
                </w:tcBorders>
                <w:vAlign w:val="center"/>
              </w:tcPr>
              <w:p w14:paraId="55F85126" w14:textId="77777777" w:rsidR="007E7472" w:rsidRPr="00AF7983" w:rsidRDefault="00EC1269">
                <w:r w:rsidRPr="00AF7983">
                  <w:rPr>
                    <w:rFonts w:hint="eastAsia"/>
                  </w:rPr>
                  <w:t>对外捐赠</w:t>
                </w:r>
              </w:p>
            </w:tc>
            <w:tc>
              <w:tcPr>
                <w:tcW w:w="1044" w:type="pct"/>
                <w:tcBorders>
                  <w:top w:val="single" w:sz="4" w:space="0" w:color="auto"/>
                  <w:left w:val="single" w:sz="4" w:space="0" w:color="auto"/>
                  <w:bottom w:val="single" w:sz="4" w:space="0" w:color="auto"/>
                  <w:right w:val="single" w:sz="4" w:space="0" w:color="auto"/>
                </w:tcBorders>
                <w:vAlign w:val="center"/>
              </w:tcPr>
              <w:p w14:paraId="324DF016" w14:textId="77777777" w:rsidR="007E7472" w:rsidRPr="00AF7983" w:rsidRDefault="00EC1269">
                <w:pPr>
                  <w:jc w:val="right"/>
                </w:pPr>
                <w:r w:rsidRPr="00AF7983">
                  <w:t>20,623</w:t>
                </w:r>
              </w:p>
            </w:tc>
            <w:tc>
              <w:tcPr>
                <w:tcW w:w="991" w:type="pct"/>
                <w:tcBorders>
                  <w:top w:val="single" w:sz="4" w:space="0" w:color="auto"/>
                  <w:left w:val="single" w:sz="4" w:space="0" w:color="auto"/>
                  <w:bottom w:val="single" w:sz="4" w:space="0" w:color="auto"/>
                  <w:right w:val="single" w:sz="4" w:space="0" w:color="auto"/>
                </w:tcBorders>
                <w:vAlign w:val="center"/>
              </w:tcPr>
              <w:p w14:paraId="73003A68" w14:textId="77777777" w:rsidR="007E7472" w:rsidRPr="00AF7983" w:rsidRDefault="00EC1269">
                <w:pPr>
                  <w:jc w:val="right"/>
                </w:pPr>
                <w:r w:rsidRPr="00AF7983">
                  <w:t>27,127</w:t>
                </w:r>
              </w:p>
            </w:tc>
            <w:tc>
              <w:tcPr>
                <w:tcW w:w="1280" w:type="pct"/>
                <w:tcBorders>
                  <w:top w:val="single" w:sz="4" w:space="0" w:color="auto"/>
                  <w:left w:val="single" w:sz="4" w:space="0" w:color="auto"/>
                  <w:bottom w:val="single" w:sz="4" w:space="0" w:color="auto"/>
                  <w:right w:val="single" w:sz="4" w:space="0" w:color="auto"/>
                </w:tcBorders>
                <w:vAlign w:val="center"/>
              </w:tcPr>
              <w:p w14:paraId="6ACD8D62" w14:textId="77777777" w:rsidR="007E7472" w:rsidRPr="00AF7983" w:rsidRDefault="00EC1269">
                <w:pPr>
                  <w:jc w:val="right"/>
                </w:pPr>
                <w:r w:rsidRPr="00AF7983">
                  <w:t>20,623</w:t>
                </w:r>
              </w:p>
            </w:tc>
          </w:tr>
          <w:tr w:rsidR="007E7472" w14:paraId="212B9065" w14:textId="77777777" w:rsidTr="007E7472">
            <w:trPr>
              <w:trHeight w:val="340"/>
            </w:trPr>
            <w:tc>
              <w:tcPr>
                <w:tcW w:w="1684" w:type="pct"/>
                <w:tcBorders>
                  <w:top w:val="single" w:sz="4" w:space="0" w:color="auto"/>
                  <w:left w:val="single" w:sz="4" w:space="0" w:color="auto"/>
                  <w:bottom w:val="single" w:sz="4" w:space="0" w:color="auto"/>
                  <w:right w:val="single" w:sz="4" w:space="0" w:color="auto"/>
                </w:tcBorders>
                <w:vAlign w:val="center"/>
              </w:tcPr>
              <w:p w14:paraId="5BB1A69F" w14:textId="77777777" w:rsidR="007E7472" w:rsidRPr="00AF7983" w:rsidRDefault="00EC1269">
                <w:r w:rsidRPr="00AF7983">
                  <w:rPr>
                    <w:rFonts w:hint="eastAsia"/>
                  </w:rPr>
                  <w:t>非常损失</w:t>
                </w:r>
              </w:p>
            </w:tc>
            <w:tc>
              <w:tcPr>
                <w:tcW w:w="1044" w:type="pct"/>
                <w:tcBorders>
                  <w:top w:val="single" w:sz="4" w:space="0" w:color="auto"/>
                  <w:left w:val="single" w:sz="4" w:space="0" w:color="auto"/>
                  <w:bottom w:val="single" w:sz="4" w:space="0" w:color="auto"/>
                  <w:right w:val="single" w:sz="4" w:space="0" w:color="auto"/>
                </w:tcBorders>
                <w:vAlign w:val="center"/>
              </w:tcPr>
              <w:p w14:paraId="49520B69" w14:textId="77777777" w:rsidR="007E7472" w:rsidRPr="00AF7983" w:rsidRDefault="00EC1269">
                <w:pPr>
                  <w:jc w:val="right"/>
                </w:pPr>
                <w:r w:rsidRPr="00AF7983">
                  <w:t>1,155</w:t>
                </w:r>
              </w:p>
            </w:tc>
            <w:tc>
              <w:tcPr>
                <w:tcW w:w="991" w:type="pct"/>
                <w:tcBorders>
                  <w:top w:val="single" w:sz="4" w:space="0" w:color="auto"/>
                  <w:left w:val="single" w:sz="4" w:space="0" w:color="auto"/>
                  <w:bottom w:val="single" w:sz="4" w:space="0" w:color="auto"/>
                  <w:right w:val="single" w:sz="4" w:space="0" w:color="auto"/>
                </w:tcBorders>
                <w:vAlign w:val="center"/>
              </w:tcPr>
              <w:p w14:paraId="6B8C9954" w14:textId="77777777" w:rsidR="007E7472" w:rsidRPr="00AF7983" w:rsidRDefault="00C8327E">
                <w:pPr>
                  <w:jc w:val="right"/>
                </w:pPr>
              </w:p>
            </w:tc>
            <w:tc>
              <w:tcPr>
                <w:tcW w:w="1280" w:type="pct"/>
                <w:tcBorders>
                  <w:top w:val="single" w:sz="4" w:space="0" w:color="auto"/>
                  <w:left w:val="single" w:sz="4" w:space="0" w:color="auto"/>
                  <w:bottom w:val="single" w:sz="4" w:space="0" w:color="auto"/>
                  <w:right w:val="single" w:sz="4" w:space="0" w:color="auto"/>
                </w:tcBorders>
                <w:vAlign w:val="center"/>
              </w:tcPr>
              <w:p w14:paraId="0BE311B9" w14:textId="77777777" w:rsidR="007E7472" w:rsidRPr="00AF7983" w:rsidRDefault="00EC1269">
                <w:pPr>
                  <w:jc w:val="right"/>
                </w:pPr>
                <w:r w:rsidRPr="00AF7983">
                  <w:t>1,155</w:t>
                </w:r>
              </w:p>
            </w:tc>
          </w:tr>
          <w:tr w:rsidR="007E7472" w14:paraId="69FF579E" w14:textId="77777777" w:rsidTr="007E7472">
            <w:trPr>
              <w:trHeight w:val="340"/>
            </w:trPr>
            <w:tc>
              <w:tcPr>
                <w:tcW w:w="1684" w:type="pct"/>
                <w:tcBorders>
                  <w:top w:val="single" w:sz="4" w:space="0" w:color="auto"/>
                  <w:left w:val="single" w:sz="4" w:space="0" w:color="auto"/>
                  <w:bottom w:val="single" w:sz="4" w:space="0" w:color="auto"/>
                  <w:right w:val="single" w:sz="4" w:space="0" w:color="auto"/>
                </w:tcBorders>
                <w:vAlign w:val="center"/>
              </w:tcPr>
              <w:p w14:paraId="1F4F3049" w14:textId="77777777" w:rsidR="007E7472" w:rsidRPr="00AF7983" w:rsidRDefault="00EC1269">
                <w:r w:rsidRPr="00AF7983">
                  <w:rPr>
                    <w:rFonts w:hint="eastAsia"/>
                  </w:rPr>
                  <w:t>非流动资产毁损报废损失</w:t>
                </w:r>
              </w:p>
            </w:tc>
            <w:tc>
              <w:tcPr>
                <w:tcW w:w="1044" w:type="pct"/>
                <w:tcBorders>
                  <w:top w:val="single" w:sz="4" w:space="0" w:color="auto"/>
                  <w:left w:val="single" w:sz="4" w:space="0" w:color="auto"/>
                  <w:bottom w:val="single" w:sz="4" w:space="0" w:color="auto"/>
                  <w:right w:val="single" w:sz="4" w:space="0" w:color="auto"/>
                </w:tcBorders>
                <w:vAlign w:val="center"/>
              </w:tcPr>
              <w:p w14:paraId="3BFC1FD6" w14:textId="77777777" w:rsidR="007E7472" w:rsidRPr="00AF7983" w:rsidRDefault="00C8327E">
                <w:pPr>
                  <w:jc w:val="right"/>
                </w:pPr>
              </w:p>
            </w:tc>
            <w:tc>
              <w:tcPr>
                <w:tcW w:w="991" w:type="pct"/>
                <w:tcBorders>
                  <w:top w:val="single" w:sz="4" w:space="0" w:color="auto"/>
                  <w:left w:val="single" w:sz="4" w:space="0" w:color="auto"/>
                  <w:bottom w:val="single" w:sz="4" w:space="0" w:color="auto"/>
                  <w:right w:val="single" w:sz="4" w:space="0" w:color="auto"/>
                </w:tcBorders>
                <w:vAlign w:val="center"/>
              </w:tcPr>
              <w:p w14:paraId="525E1AE0" w14:textId="77777777" w:rsidR="007E7472" w:rsidRPr="00AF7983" w:rsidRDefault="00EC1269">
                <w:pPr>
                  <w:jc w:val="right"/>
                </w:pPr>
                <w:r w:rsidRPr="00AF7983">
                  <w:t>4</w:t>
                </w:r>
              </w:p>
            </w:tc>
            <w:tc>
              <w:tcPr>
                <w:tcW w:w="1280" w:type="pct"/>
                <w:tcBorders>
                  <w:top w:val="single" w:sz="4" w:space="0" w:color="auto"/>
                  <w:left w:val="single" w:sz="4" w:space="0" w:color="auto"/>
                  <w:bottom w:val="single" w:sz="4" w:space="0" w:color="auto"/>
                  <w:right w:val="single" w:sz="4" w:space="0" w:color="auto"/>
                </w:tcBorders>
                <w:vAlign w:val="center"/>
              </w:tcPr>
              <w:p w14:paraId="7F39DDCF" w14:textId="77777777" w:rsidR="007E7472" w:rsidRPr="00AF7983" w:rsidRDefault="00C8327E">
                <w:pPr>
                  <w:jc w:val="right"/>
                </w:pPr>
              </w:p>
            </w:tc>
          </w:tr>
          <w:tr w:rsidR="007E7472" w14:paraId="43B10297" w14:textId="77777777" w:rsidTr="007E7472">
            <w:trPr>
              <w:trHeight w:val="340"/>
            </w:trPr>
            <w:tc>
              <w:tcPr>
                <w:tcW w:w="1684" w:type="pct"/>
                <w:tcBorders>
                  <w:top w:val="single" w:sz="4" w:space="0" w:color="auto"/>
                  <w:left w:val="single" w:sz="4" w:space="0" w:color="auto"/>
                  <w:bottom w:val="single" w:sz="4" w:space="0" w:color="auto"/>
                  <w:right w:val="single" w:sz="4" w:space="0" w:color="auto"/>
                </w:tcBorders>
                <w:vAlign w:val="center"/>
              </w:tcPr>
              <w:p w14:paraId="03D12756" w14:textId="77777777" w:rsidR="007E7472" w:rsidRPr="00AF7983" w:rsidRDefault="00EC1269">
                <w:r w:rsidRPr="00AF7983">
                  <w:rPr>
                    <w:rFonts w:hint="eastAsia"/>
                  </w:rPr>
                  <w:t>其他</w:t>
                </w:r>
              </w:p>
            </w:tc>
            <w:tc>
              <w:tcPr>
                <w:tcW w:w="1044" w:type="pct"/>
                <w:tcBorders>
                  <w:top w:val="single" w:sz="4" w:space="0" w:color="auto"/>
                  <w:left w:val="single" w:sz="4" w:space="0" w:color="auto"/>
                  <w:bottom w:val="single" w:sz="4" w:space="0" w:color="auto"/>
                  <w:right w:val="single" w:sz="4" w:space="0" w:color="auto"/>
                </w:tcBorders>
                <w:vAlign w:val="center"/>
              </w:tcPr>
              <w:p w14:paraId="09DEC70B" w14:textId="77777777" w:rsidR="007E7472" w:rsidRPr="00AF7983" w:rsidRDefault="00EC1269">
                <w:pPr>
                  <w:jc w:val="right"/>
                </w:pPr>
                <w:r w:rsidRPr="00AF7983">
                  <w:t>5,670</w:t>
                </w:r>
              </w:p>
            </w:tc>
            <w:tc>
              <w:tcPr>
                <w:tcW w:w="991" w:type="pct"/>
                <w:tcBorders>
                  <w:top w:val="single" w:sz="4" w:space="0" w:color="auto"/>
                  <w:left w:val="single" w:sz="4" w:space="0" w:color="auto"/>
                  <w:bottom w:val="single" w:sz="4" w:space="0" w:color="auto"/>
                  <w:right w:val="single" w:sz="4" w:space="0" w:color="auto"/>
                </w:tcBorders>
                <w:vAlign w:val="center"/>
              </w:tcPr>
              <w:p w14:paraId="42869855" w14:textId="77777777" w:rsidR="007E7472" w:rsidRPr="00AF7983" w:rsidRDefault="00EC1269">
                <w:pPr>
                  <w:jc w:val="right"/>
                </w:pPr>
                <w:r w:rsidRPr="00AF7983">
                  <w:rPr>
                    <w:color w:val="000000"/>
                  </w:rPr>
                  <w:t>1,718</w:t>
                </w:r>
              </w:p>
            </w:tc>
            <w:tc>
              <w:tcPr>
                <w:tcW w:w="1280" w:type="pct"/>
                <w:tcBorders>
                  <w:top w:val="single" w:sz="4" w:space="0" w:color="auto"/>
                  <w:left w:val="single" w:sz="4" w:space="0" w:color="auto"/>
                  <w:bottom w:val="single" w:sz="4" w:space="0" w:color="auto"/>
                  <w:right w:val="single" w:sz="4" w:space="0" w:color="auto"/>
                </w:tcBorders>
                <w:vAlign w:val="center"/>
              </w:tcPr>
              <w:p w14:paraId="408EDC94" w14:textId="77777777" w:rsidR="007E7472" w:rsidRPr="00AF7983" w:rsidRDefault="00EC1269">
                <w:pPr>
                  <w:jc w:val="right"/>
                </w:pPr>
                <w:r w:rsidRPr="00AF7983">
                  <w:t>5,670</w:t>
                </w:r>
              </w:p>
            </w:tc>
          </w:tr>
          <w:tr w:rsidR="007E7472" w14:paraId="6797FEAD" w14:textId="77777777" w:rsidTr="007E7472">
            <w:trPr>
              <w:trHeight w:val="340"/>
            </w:trPr>
            <w:tc>
              <w:tcPr>
                <w:tcW w:w="1684" w:type="pct"/>
                <w:tcBorders>
                  <w:top w:val="single" w:sz="4" w:space="0" w:color="auto"/>
                  <w:left w:val="single" w:sz="4" w:space="0" w:color="auto"/>
                  <w:bottom w:val="single" w:sz="4" w:space="0" w:color="auto"/>
                  <w:right w:val="single" w:sz="4" w:space="0" w:color="auto"/>
                </w:tcBorders>
                <w:vAlign w:val="center"/>
              </w:tcPr>
              <w:p w14:paraId="78BD391D" w14:textId="77777777" w:rsidR="007E7472" w:rsidRPr="00AF7983" w:rsidRDefault="00EC1269">
                <w:pPr>
                  <w:ind w:right="6"/>
                  <w:jc w:val="center"/>
                </w:pPr>
                <w:r w:rsidRPr="00AF7983">
                  <w:rPr>
                    <w:rFonts w:hint="eastAsia"/>
                  </w:rPr>
                  <w:t>合计</w:t>
                </w:r>
              </w:p>
            </w:tc>
            <w:tc>
              <w:tcPr>
                <w:tcW w:w="1044" w:type="pct"/>
                <w:tcBorders>
                  <w:top w:val="single" w:sz="4" w:space="0" w:color="auto"/>
                  <w:left w:val="single" w:sz="4" w:space="0" w:color="auto"/>
                  <w:bottom w:val="single" w:sz="4" w:space="0" w:color="auto"/>
                  <w:right w:val="single" w:sz="4" w:space="0" w:color="auto"/>
                </w:tcBorders>
                <w:vAlign w:val="center"/>
              </w:tcPr>
              <w:p w14:paraId="0E44FAB6" w14:textId="77777777" w:rsidR="007E7472" w:rsidRPr="00AF7983" w:rsidRDefault="00EC1269">
                <w:pPr>
                  <w:jc w:val="right"/>
                </w:pPr>
                <w:r w:rsidRPr="00AF7983">
                  <w:t>59,340</w:t>
                </w:r>
              </w:p>
            </w:tc>
            <w:tc>
              <w:tcPr>
                <w:tcW w:w="991" w:type="pct"/>
                <w:tcBorders>
                  <w:top w:val="single" w:sz="4" w:space="0" w:color="auto"/>
                  <w:left w:val="single" w:sz="4" w:space="0" w:color="auto"/>
                  <w:bottom w:val="single" w:sz="4" w:space="0" w:color="auto"/>
                  <w:right w:val="single" w:sz="4" w:space="0" w:color="auto"/>
                </w:tcBorders>
                <w:vAlign w:val="center"/>
              </w:tcPr>
              <w:p w14:paraId="0752BE42" w14:textId="77777777" w:rsidR="007E7472" w:rsidRPr="00AF7983" w:rsidRDefault="00EC1269">
                <w:pPr>
                  <w:jc w:val="right"/>
                </w:pPr>
                <w:r w:rsidRPr="00AF7983">
                  <w:t>61,786</w:t>
                </w:r>
              </w:p>
            </w:tc>
            <w:tc>
              <w:tcPr>
                <w:tcW w:w="1280" w:type="pct"/>
                <w:tcBorders>
                  <w:top w:val="single" w:sz="4" w:space="0" w:color="auto"/>
                  <w:left w:val="single" w:sz="4" w:space="0" w:color="auto"/>
                  <w:bottom w:val="single" w:sz="4" w:space="0" w:color="auto"/>
                  <w:right w:val="single" w:sz="4" w:space="0" w:color="auto"/>
                </w:tcBorders>
                <w:vAlign w:val="center"/>
              </w:tcPr>
              <w:p w14:paraId="0C59AEEA" w14:textId="77777777" w:rsidR="007E7472" w:rsidRPr="00AF7983" w:rsidRDefault="00EC1269">
                <w:pPr>
                  <w:autoSpaceDE w:val="0"/>
                  <w:autoSpaceDN w:val="0"/>
                  <w:adjustRightInd w:val="0"/>
                  <w:jc w:val="right"/>
                </w:pPr>
                <w:r w:rsidRPr="00AF7983">
                  <w:t>59,340</w:t>
                </w:r>
              </w:p>
            </w:tc>
          </w:tr>
        </w:tbl>
      </w:sdtContent>
    </w:sdt>
    <w:p w14:paraId="4D12317A" w14:textId="77777777" w:rsidR="007E7472" w:rsidRDefault="00C8327E"/>
    <w:sdt>
      <w:sdtPr>
        <w:rPr>
          <w:rFonts w:ascii="宋体" w:hAnsi="宋体" w:cs="宋体" w:hint="eastAsia"/>
          <w:b w:val="0"/>
          <w:bCs w:val="0"/>
          <w:kern w:val="0"/>
          <w:szCs w:val="21"/>
        </w:rPr>
        <w:alias w:val="模块:所得税费用"/>
        <w:tag w:val="_GBC_c8eb4731730a4ca395e992a85b3eafe1"/>
        <w:id w:val="1155716983"/>
        <w:lock w:val="sdtLocked"/>
        <w:placeholder>
          <w:docPart w:val="GBC22222222222222222222222222222"/>
        </w:placeholder>
      </w:sdtPr>
      <w:sdtEndPr>
        <w:rPr>
          <w:rFonts w:cstheme="minorBidi" w:hint="default"/>
        </w:rPr>
      </w:sdtEndPr>
      <w:sdtContent>
        <w:p w14:paraId="4E00EE1C" w14:textId="77777777" w:rsidR="007E7472" w:rsidRDefault="00EC1269" w:rsidP="00162493">
          <w:pPr>
            <w:pStyle w:val="3"/>
            <w:numPr>
              <w:ilvl w:val="0"/>
              <w:numId w:val="62"/>
            </w:numPr>
          </w:pPr>
          <w:r>
            <w:rPr>
              <w:rFonts w:hint="eastAsia"/>
            </w:rPr>
            <w:t>所得税费用</w:t>
          </w:r>
        </w:p>
        <w:p w14:paraId="14BB8B61" w14:textId="77777777" w:rsidR="007E7472" w:rsidRDefault="00EC1269" w:rsidP="00162493">
          <w:pPr>
            <w:pStyle w:val="4"/>
            <w:numPr>
              <w:ilvl w:val="0"/>
              <w:numId w:val="95"/>
            </w:numPr>
          </w:pPr>
          <w:r>
            <w:rPr>
              <w:rFonts w:hint="eastAsia"/>
            </w:rPr>
            <w:t>所得税费用表</w:t>
          </w:r>
        </w:p>
        <w:sdt>
          <w:sdtPr>
            <w:alias w:val="是否适用：所得税费用表[双击切换]"/>
            <w:tag w:val="_GBC_61ff35087b014685a6e03347957ab922"/>
            <w:id w:val="-1167162767"/>
            <w:lock w:val="sdtLocked"/>
            <w:placeholder>
              <w:docPart w:val="GBC22222222222222222222222222222"/>
            </w:placeholder>
          </w:sdtPr>
          <w:sdtEndPr/>
          <w:sdtContent>
            <w:p w14:paraId="79DECE98"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73A88C8F" w14:textId="2B7DA99F" w:rsidR="007E7472" w:rsidRDefault="00EC1269">
          <w:pPr>
            <w:wordWrap w:val="0"/>
            <w:jc w:val="right"/>
          </w:pPr>
          <w:r>
            <w:rPr>
              <w:rFonts w:hint="eastAsia"/>
            </w:rPr>
            <w:t>单位：</w:t>
          </w:r>
          <w:sdt>
            <w:sdtPr>
              <w:rPr>
                <w:rFonts w:hint="eastAsia"/>
              </w:rPr>
              <w:alias w:val="单位：财务附注：所得税费用"/>
              <w:tag w:val="_GBC_18ed8ed511fe4791a90ee25fc956bd2b"/>
              <w:id w:val="21284256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所得税费用"/>
              <w:tag w:val="_GBC_ecc6df02f1744ff084d6c0d30045219a"/>
              <w:id w:val="15317572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3131"/>
            <w:gridCol w:w="2854"/>
            <w:gridCol w:w="2838"/>
          </w:tblGrid>
          <w:tr w:rsidR="007E7472" w14:paraId="09550825" w14:textId="77777777" w:rsidTr="007E7472">
            <w:trPr>
              <w:trHeight w:val="340"/>
            </w:trPr>
            <w:sdt>
              <w:sdtPr>
                <w:tag w:val="_PLD_951f380ec376457cb80126c7d6018f65"/>
                <w:id w:val="-1710022307"/>
                <w:lock w:val="sdtLocked"/>
              </w:sdtPr>
              <w:sdtEndPr/>
              <w:sdtContent>
                <w:tc>
                  <w:tcPr>
                    <w:tcW w:w="1774" w:type="pct"/>
                    <w:vAlign w:val="center"/>
                  </w:tcPr>
                  <w:p w14:paraId="24254728" w14:textId="77777777" w:rsidR="007E7472" w:rsidRDefault="00EC1269">
                    <w:pPr>
                      <w:ind w:right="6"/>
                      <w:jc w:val="center"/>
                    </w:pPr>
                    <w:r>
                      <w:rPr>
                        <w:rFonts w:hint="eastAsia"/>
                      </w:rPr>
                      <w:t>项目</w:t>
                    </w:r>
                  </w:p>
                </w:tc>
              </w:sdtContent>
            </w:sdt>
            <w:sdt>
              <w:sdtPr>
                <w:tag w:val="_PLD_1e59791ce9d340b7b60e63b833f13708"/>
                <w:id w:val="769581223"/>
                <w:lock w:val="sdtLocked"/>
              </w:sdtPr>
              <w:sdtEndPr/>
              <w:sdtContent>
                <w:tc>
                  <w:tcPr>
                    <w:tcW w:w="1617" w:type="pct"/>
                    <w:vAlign w:val="center"/>
                  </w:tcPr>
                  <w:p w14:paraId="45279116" w14:textId="77777777" w:rsidR="007E7472" w:rsidRDefault="00EC1269">
                    <w:pPr>
                      <w:ind w:right="6"/>
                      <w:jc w:val="center"/>
                    </w:pPr>
                    <w:r>
                      <w:rPr>
                        <w:rFonts w:hint="eastAsia"/>
                      </w:rPr>
                      <w:t>本期发生额</w:t>
                    </w:r>
                  </w:p>
                </w:tc>
              </w:sdtContent>
            </w:sdt>
            <w:sdt>
              <w:sdtPr>
                <w:tag w:val="_PLD_23c0825dcbc74481a17a7811dee40e02"/>
                <w:id w:val="-459885115"/>
                <w:lock w:val="sdtLocked"/>
              </w:sdtPr>
              <w:sdtEndPr/>
              <w:sdtContent>
                <w:tc>
                  <w:tcPr>
                    <w:tcW w:w="1608" w:type="pct"/>
                    <w:vAlign w:val="center"/>
                  </w:tcPr>
                  <w:p w14:paraId="19F5E4BE" w14:textId="77777777" w:rsidR="007E7472" w:rsidRDefault="00EC1269">
                    <w:pPr>
                      <w:ind w:right="6"/>
                      <w:jc w:val="center"/>
                    </w:pPr>
                    <w:r>
                      <w:rPr>
                        <w:rFonts w:hint="eastAsia"/>
                      </w:rPr>
                      <w:t>上期发生额</w:t>
                    </w:r>
                  </w:p>
                </w:tc>
              </w:sdtContent>
            </w:sdt>
          </w:tr>
          <w:tr w:rsidR="007E7472" w14:paraId="660306D5" w14:textId="77777777" w:rsidTr="007E7472">
            <w:trPr>
              <w:trHeight w:val="340"/>
            </w:trPr>
            <w:tc>
              <w:tcPr>
                <w:tcW w:w="1774" w:type="pct"/>
                <w:vAlign w:val="center"/>
              </w:tcPr>
              <w:p w14:paraId="1E2632FC" w14:textId="77777777" w:rsidR="007E7472" w:rsidRDefault="00EC1269">
                <w:pPr>
                  <w:ind w:right="6"/>
                  <w:rPr>
                    <w:b/>
                  </w:rPr>
                </w:pPr>
                <w:r>
                  <w:rPr>
                    <w:rFonts w:hint="eastAsia"/>
                  </w:rPr>
                  <w:t>当期所得税费用</w:t>
                </w:r>
              </w:p>
            </w:tc>
            <w:tc>
              <w:tcPr>
                <w:tcW w:w="1617" w:type="pct"/>
                <w:vAlign w:val="center"/>
              </w:tcPr>
              <w:p w14:paraId="3A7EA239" w14:textId="77777777" w:rsidR="007E7472" w:rsidRDefault="00EC1269">
                <w:pPr>
                  <w:jc w:val="right"/>
                </w:pPr>
                <w:r>
                  <w:t>4,773,015</w:t>
                </w:r>
              </w:p>
            </w:tc>
            <w:tc>
              <w:tcPr>
                <w:tcW w:w="1608" w:type="pct"/>
                <w:vAlign w:val="center"/>
              </w:tcPr>
              <w:p w14:paraId="272232C9" w14:textId="77777777" w:rsidR="007E7472" w:rsidRDefault="00EC1269">
                <w:pPr>
                  <w:ind w:right="6"/>
                  <w:jc w:val="right"/>
                </w:pPr>
                <w:r>
                  <w:t>7,135,151</w:t>
                </w:r>
              </w:p>
            </w:tc>
          </w:tr>
          <w:tr w:rsidR="007E7472" w14:paraId="666FA473" w14:textId="77777777" w:rsidTr="007E7472">
            <w:trPr>
              <w:trHeight w:val="340"/>
            </w:trPr>
            <w:tc>
              <w:tcPr>
                <w:tcW w:w="1774" w:type="pct"/>
                <w:vAlign w:val="center"/>
              </w:tcPr>
              <w:p w14:paraId="1D2A13F7" w14:textId="77777777" w:rsidR="007E7472" w:rsidRDefault="00EC1269">
                <w:pPr>
                  <w:ind w:right="6"/>
                </w:pPr>
                <w:r>
                  <w:rPr>
                    <w:rFonts w:hint="eastAsia"/>
                  </w:rPr>
                  <w:t>递延所得税费用</w:t>
                </w:r>
              </w:p>
            </w:tc>
            <w:tc>
              <w:tcPr>
                <w:tcW w:w="1617" w:type="pct"/>
                <w:vAlign w:val="center"/>
              </w:tcPr>
              <w:p w14:paraId="724CA47F" w14:textId="77777777" w:rsidR="007E7472" w:rsidRDefault="00EC1269">
                <w:pPr>
                  <w:jc w:val="right"/>
                </w:pPr>
                <w:r>
                  <w:t>-326,992</w:t>
                </w:r>
              </w:p>
            </w:tc>
            <w:tc>
              <w:tcPr>
                <w:tcW w:w="1608" w:type="pct"/>
                <w:vAlign w:val="center"/>
              </w:tcPr>
              <w:p w14:paraId="014F9E11" w14:textId="77777777" w:rsidR="007E7472" w:rsidRDefault="00EC1269">
                <w:pPr>
                  <w:ind w:right="6"/>
                  <w:jc w:val="right"/>
                </w:pPr>
                <w:r>
                  <w:t>335,937</w:t>
                </w:r>
              </w:p>
            </w:tc>
          </w:tr>
          <w:tr w:rsidR="007E7472" w14:paraId="5B889067" w14:textId="77777777" w:rsidTr="007E7472">
            <w:trPr>
              <w:trHeight w:val="340"/>
            </w:trPr>
            <w:tc>
              <w:tcPr>
                <w:tcW w:w="1774" w:type="pct"/>
                <w:vAlign w:val="center"/>
              </w:tcPr>
              <w:p w14:paraId="6404CB69" w14:textId="77777777" w:rsidR="007E7472" w:rsidRDefault="00EC1269">
                <w:pPr>
                  <w:ind w:right="6"/>
                  <w:jc w:val="center"/>
                </w:pPr>
                <w:r>
                  <w:rPr>
                    <w:rFonts w:hint="eastAsia"/>
                  </w:rPr>
                  <w:t>合计</w:t>
                </w:r>
              </w:p>
            </w:tc>
            <w:tc>
              <w:tcPr>
                <w:tcW w:w="1617" w:type="pct"/>
                <w:vAlign w:val="center"/>
              </w:tcPr>
              <w:p w14:paraId="26FC5536" w14:textId="77777777" w:rsidR="007E7472" w:rsidRDefault="00EC1269">
                <w:pPr>
                  <w:ind w:right="6"/>
                  <w:jc w:val="right"/>
                </w:pPr>
                <w:r>
                  <w:t>4,446,023</w:t>
                </w:r>
              </w:p>
            </w:tc>
            <w:tc>
              <w:tcPr>
                <w:tcW w:w="1608" w:type="pct"/>
                <w:vAlign w:val="center"/>
              </w:tcPr>
              <w:p w14:paraId="395DB8D5" w14:textId="77777777" w:rsidR="007E7472" w:rsidRDefault="00EC1269">
                <w:pPr>
                  <w:ind w:right="6"/>
                  <w:jc w:val="right"/>
                </w:pPr>
                <w:r>
                  <w:t>7,471,088</w:t>
                </w:r>
              </w:p>
            </w:tc>
          </w:tr>
        </w:tbl>
        <w:p w14:paraId="2118B522" w14:textId="77777777" w:rsidR="007E7472" w:rsidRDefault="00C8327E"/>
        <w:p w14:paraId="4BE99A8A" w14:textId="77777777" w:rsidR="007E7472" w:rsidRDefault="00EC1269" w:rsidP="00162493">
          <w:pPr>
            <w:pStyle w:val="4"/>
            <w:numPr>
              <w:ilvl w:val="0"/>
              <w:numId w:val="95"/>
            </w:numPr>
          </w:pPr>
          <w:r>
            <w:rPr>
              <w:rFonts w:hint="eastAsia"/>
            </w:rPr>
            <w:t>会计利润与所得税费用调整过程</w:t>
          </w:r>
        </w:p>
        <w:sdt>
          <w:sdtPr>
            <w:alias w:val="是否适用：会计利润与所得税费用调整过程[双击切换]"/>
            <w:tag w:val="_GBC_92a49ce6320645cc9101c809f426c9db"/>
            <w:id w:val="-1501964402"/>
            <w:lock w:val="sdtLocked"/>
            <w:placeholder>
              <w:docPart w:val="GBC22222222222222222222222222222"/>
            </w:placeholder>
          </w:sdtPr>
          <w:sdtEndPr/>
          <w:sdtContent>
            <w:p w14:paraId="5BDA7B05"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67AE5551" w14:textId="7AD8B208" w:rsidR="007E7472" w:rsidRDefault="00EC1269">
          <w:pPr>
            <w:jc w:val="right"/>
          </w:pPr>
          <w:r>
            <w:rPr>
              <w:rFonts w:hint="eastAsia"/>
            </w:rPr>
            <w:t>单位：</w:t>
          </w:r>
          <w:sdt>
            <w:sdtPr>
              <w:rPr>
                <w:rFonts w:hint="eastAsia"/>
              </w:rPr>
              <w:alias w:val="单位：会计利润与所得税费用调整过程"/>
              <w:tag w:val="_GBC_8b3d0d6296b944dcbc6077158d5eb7ca"/>
              <w:id w:val="-11560686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会计利润与所得税费用调整过程"/>
              <w:tag w:val="_GBC_f07b399def8f4b49bdebcbb56994fb61"/>
              <w:id w:val="15955146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4A0" w:firstRow="1" w:lastRow="0" w:firstColumn="1" w:lastColumn="0" w:noHBand="0" w:noVBand="1"/>
          </w:tblPr>
          <w:tblGrid>
            <w:gridCol w:w="4267"/>
            <w:gridCol w:w="4552"/>
          </w:tblGrid>
          <w:tr w:rsidR="007E7472" w14:paraId="7530D925" w14:textId="77777777" w:rsidTr="007E7472">
            <w:trPr>
              <w:trHeight w:val="340"/>
            </w:trPr>
            <w:sdt>
              <w:sdtPr>
                <w:tag w:val="_PLD_762c770e68ab4734ab4b1455db567f92"/>
                <w:id w:val="-922571415"/>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vAlign w:val="center"/>
                  </w:tcPr>
                  <w:p w14:paraId="260BF0D9" w14:textId="77777777" w:rsidR="007E7472" w:rsidRDefault="00EC1269">
                    <w:pPr>
                      <w:jc w:val="center"/>
                    </w:pPr>
                    <w:r>
                      <w:rPr>
                        <w:rFonts w:hint="eastAsia"/>
                      </w:rPr>
                      <w:t>项目</w:t>
                    </w:r>
                  </w:p>
                </w:tc>
              </w:sdtContent>
            </w:sdt>
            <w:sdt>
              <w:sdtPr>
                <w:tag w:val="_PLD_dbffde77b3344828a64e53b9962d0e3a"/>
                <w:id w:val="157349407"/>
                <w:lock w:val="sdtLocked"/>
              </w:sdtPr>
              <w:sdtEndPr/>
              <w:sdtContent>
                <w:tc>
                  <w:tcPr>
                    <w:tcW w:w="2581" w:type="pct"/>
                    <w:tcBorders>
                      <w:top w:val="single" w:sz="4" w:space="0" w:color="auto"/>
                      <w:left w:val="single" w:sz="4" w:space="0" w:color="auto"/>
                      <w:bottom w:val="single" w:sz="4" w:space="0" w:color="auto"/>
                      <w:right w:val="single" w:sz="4" w:space="0" w:color="auto"/>
                    </w:tcBorders>
                    <w:shd w:val="clear" w:color="auto" w:fill="auto"/>
                    <w:vAlign w:val="center"/>
                  </w:tcPr>
                  <w:p w14:paraId="3323884E" w14:textId="77777777" w:rsidR="007E7472" w:rsidRDefault="00EC1269">
                    <w:pPr>
                      <w:jc w:val="center"/>
                    </w:pPr>
                    <w:r>
                      <w:rPr>
                        <w:rFonts w:hint="eastAsia"/>
                      </w:rPr>
                      <w:t>本期发生额</w:t>
                    </w:r>
                  </w:p>
                </w:tc>
              </w:sdtContent>
            </w:sdt>
          </w:tr>
          <w:tr w:rsidR="007E7472" w14:paraId="46DB7AD4" w14:textId="77777777" w:rsidTr="007E7472">
            <w:trPr>
              <w:trHeight w:val="340"/>
            </w:trPr>
            <w:sdt>
              <w:sdtPr>
                <w:tag w:val="_PLD_e49aa9df3fa0441889c07b63b32585c5"/>
                <w:id w:val="1885206378"/>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vAlign w:val="center"/>
                  </w:tcPr>
                  <w:p w14:paraId="6E076536" w14:textId="77777777" w:rsidR="007E7472" w:rsidRDefault="00EC1269">
                    <w:pPr>
                      <w:ind w:right="6"/>
                      <w:rPr>
                        <w:b/>
                      </w:rPr>
                    </w:pPr>
                    <w:r>
                      <w:rPr>
                        <w:rFonts w:hint="eastAsia"/>
                      </w:rPr>
                      <w:t>利润总额</w:t>
                    </w:r>
                  </w:p>
                </w:tc>
              </w:sdtContent>
            </w:sdt>
            <w:tc>
              <w:tcPr>
                <w:tcW w:w="2581" w:type="pct"/>
                <w:tcBorders>
                  <w:top w:val="single" w:sz="4" w:space="0" w:color="auto"/>
                  <w:left w:val="single" w:sz="4" w:space="0" w:color="auto"/>
                  <w:bottom w:val="single" w:sz="6" w:space="0" w:color="auto"/>
                  <w:right w:val="single" w:sz="6" w:space="0" w:color="auto"/>
                </w:tcBorders>
                <w:shd w:val="clear" w:color="auto" w:fill="auto"/>
                <w:vAlign w:val="center"/>
              </w:tcPr>
              <w:p w14:paraId="2CC2C3BA" w14:textId="77777777" w:rsidR="007E7472" w:rsidRDefault="00EC1269">
                <w:pPr>
                  <w:jc w:val="right"/>
                </w:pPr>
                <w:r>
                  <w:t>17,209,923</w:t>
                </w:r>
              </w:p>
            </w:tc>
          </w:tr>
          <w:tr w:rsidR="007E7472" w14:paraId="7DF9DB53" w14:textId="77777777" w:rsidTr="007E7472">
            <w:trPr>
              <w:trHeight w:val="340"/>
            </w:trPr>
            <w:sdt>
              <w:sdtPr>
                <w:tag w:val="_PLD_bcfd0d413e444c6f881fc95e048d73ce"/>
                <w:id w:val="190498041"/>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vAlign w:val="center"/>
                  </w:tcPr>
                  <w:p w14:paraId="6D04030F" w14:textId="77777777" w:rsidR="007E7472" w:rsidRDefault="00EC1269">
                    <w:pPr>
                      <w:ind w:right="6"/>
                    </w:pPr>
                    <w:r>
                      <w:rPr>
                        <w:rFonts w:hint="eastAsia"/>
                      </w:rPr>
                      <w:t>按法定</w:t>
                    </w:r>
                    <w:r>
                      <w:t>/</w:t>
                    </w:r>
                    <w:r>
                      <w:rPr>
                        <w:rFonts w:hint="eastAsia"/>
                      </w:rPr>
                      <w:t>适用税率计算的所得税费用</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14:paraId="4DF653CE" w14:textId="77777777" w:rsidR="007E7472" w:rsidRDefault="00EC1269">
                <w:pPr>
                  <w:jc w:val="right"/>
                </w:pPr>
                <w:r>
                  <w:t>4,302,481</w:t>
                </w:r>
              </w:p>
            </w:tc>
          </w:tr>
          <w:tr w:rsidR="007E7472" w14:paraId="3B1A964B" w14:textId="77777777" w:rsidTr="007E7472">
            <w:trPr>
              <w:trHeight w:val="340"/>
            </w:trPr>
            <w:sdt>
              <w:sdtPr>
                <w:tag w:val="_PLD_dc5f6e856113456cb1312b5cf234201d"/>
                <w:id w:val="-96178083"/>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vAlign w:val="center"/>
                  </w:tcPr>
                  <w:p w14:paraId="75600904" w14:textId="77777777" w:rsidR="007E7472" w:rsidRDefault="00EC1269">
                    <w:pPr>
                      <w:ind w:right="6"/>
                    </w:pPr>
                    <w:r>
                      <w:rPr>
                        <w:rFonts w:hint="eastAsia"/>
                      </w:rPr>
                      <w:t>子公司适用不同税率的影响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14:paraId="0046E70D" w14:textId="77777777" w:rsidR="007E7472" w:rsidRDefault="00EC1269">
                <w:pPr>
                  <w:jc w:val="right"/>
                </w:pPr>
                <w:r>
                  <w:t>-55,543</w:t>
                </w:r>
              </w:p>
            </w:tc>
          </w:tr>
          <w:tr w:rsidR="007E7472" w14:paraId="32981E8E" w14:textId="77777777" w:rsidTr="007E7472">
            <w:trPr>
              <w:trHeight w:val="340"/>
            </w:trPr>
            <w:sdt>
              <w:sdtPr>
                <w:tag w:val="_PLD_a18b0f1e64674563b277a2e43b991ab6"/>
                <w:id w:val="-244190813"/>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vAlign w:val="center"/>
                  </w:tcPr>
                  <w:p w14:paraId="06049A69" w14:textId="77777777" w:rsidR="007E7472" w:rsidRDefault="00EC1269">
                    <w:pPr>
                      <w:ind w:right="6"/>
                    </w:pPr>
                    <w:r>
                      <w:rPr>
                        <w:rFonts w:hint="eastAsia"/>
                      </w:rPr>
                      <w:t>调整以前期间所得税的影响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14:paraId="79A463DD" w14:textId="77777777" w:rsidR="007E7472" w:rsidRDefault="00EC1269">
                <w:pPr>
                  <w:jc w:val="right"/>
                </w:pPr>
                <w:r>
                  <w:t>97,284</w:t>
                </w:r>
              </w:p>
            </w:tc>
          </w:tr>
          <w:tr w:rsidR="007E7472" w14:paraId="45083794" w14:textId="77777777" w:rsidTr="007E7472">
            <w:trPr>
              <w:trHeight w:val="340"/>
            </w:trPr>
            <w:sdt>
              <w:sdtPr>
                <w:tag w:val="_PLD_451dd13012144866aaf62c35812344d7"/>
                <w:id w:val="1903641897"/>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vAlign w:val="center"/>
                  </w:tcPr>
                  <w:p w14:paraId="10D8FE70" w14:textId="77777777" w:rsidR="007E7472" w:rsidRDefault="00EC1269">
                    <w:pPr>
                      <w:ind w:right="6"/>
                    </w:pPr>
                    <w:r>
                      <w:rPr>
                        <w:rFonts w:hint="eastAsia"/>
                      </w:rPr>
                      <w:t>非应税收入的影响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14:paraId="6FA5C1C9" w14:textId="77777777" w:rsidR="007E7472" w:rsidRDefault="00EC1269">
                <w:pPr>
                  <w:jc w:val="right"/>
                </w:pPr>
                <w:r>
                  <w:t>-89,385</w:t>
                </w:r>
              </w:p>
            </w:tc>
          </w:tr>
          <w:tr w:rsidR="007E7472" w14:paraId="0F28EE09" w14:textId="77777777" w:rsidTr="007E7472">
            <w:trPr>
              <w:trHeight w:val="340"/>
            </w:trPr>
            <w:sdt>
              <w:sdtPr>
                <w:tag w:val="_PLD_0906044dc7ff47d6ba8d4be46514c623"/>
                <w:id w:val="-1801221919"/>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vAlign w:val="center"/>
                  </w:tcPr>
                  <w:p w14:paraId="6748F078" w14:textId="77777777" w:rsidR="007E7472" w:rsidRDefault="00EC1269">
                    <w:pPr>
                      <w:ind w:right="6"/>
                    </w:pPr>
                    <w:r>
                      <w:rPr>
                        <w:rFonts w:hint="eastAsia"/>
                      </w:rPr>
                      <w:t>不可抵扣的成本、费用和损失的影响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14:paraId="743E2546" w14:textId="77777777" w:rsidR="007E7472" w:rsidRDefault="00EC1269">
                <w:pPr>
                  <w:jc w:val="right"/>
                </w:pPr>
                <w:r>
                  <w:t>247,794</w:t>
                </w:r>
              </w:p>
            </w:tc>
          </w:tr>
          <w:tr w:rsidR="007E7472" w14:paraId="37D25D09" w14:textId="77777777" w:rsidTr="007E7472">
            <w:trPr>
              <w:trHeight w:val="340"/>
            </w:trPr>
            <w:sdt>
              <w:sdtPr>
                <w:tag w:val="_PLD_958280e6456341698f323fb9f71bf973"/>
                <w:id w:val="1897386533"/>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vAlign w:val="center"/>
                  </w:tcPr>
                  <w:p w14:paraId="30408FA2" w14:textId="77777777" w:rsidR="007E7472" w:rsidRDefault="00EC1269">
                    <w:pPr>
                      <w:ind w:right="6"/>
                    </w:pPr>
                    <w:r>
                      <w:rPr>
                        <w:rFonts w:hint="eastAsia"/>
                      </w:rPr>
                      <w:t>使用前期未确认递延所得税资产的可抵扣亏损的影响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14:paraId="37D314D1" w14:textId="77777777" w:rsidR="007E7472" w:rsidRDefault="00EC1269">
                <w:pPr>
                  <w:jc w:val="right"/>
                </w:pPr>
                <w:r>
                  <w:t>-9,652</w:t>
                </w:r>
              </w:p>
            </w:tc>
          </w:tr>
          <w:tr w:rsidR="007E7472" w14:paraId="6AA037BC" w14:textId="77777777" w:rsidTr="007E7472">
            <w:trPr>
              <w:trHeight w:val="340"/>
            </w:trPr>
            <w:sdt>
              <w:sdtPr>
                <w:tag w:val="_PLD_ba3d89f087964402b8cb1b2a58f5d0ba"/>
                <w:id w:val="928393544"/>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vAlign w:val="center"/>
                  </w:tcPr>
                  <w:p w14:paraId="1C47E435" w14:textId="77777777" w:rsidR="007E7472" w:rsidRDefault="00EC1269">
                    <w:pPr>
                      <w:ind w:right="6"/>
                    </w:pPr>
                    <w:r>
                      <w:rPr>
                        <w:rFonts w:hint="eastAsia"/>
                      </w:rPr>
                      <w:t>本期未确认递延所得税资产的可抵扣暂时性差异或可抵扣亏损的影响</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14:paraId="0D0A991A" w14:textId="77777777" w:rsidR="007E7472" w:rsidRDefault="00EC1269">
                <w:pPr>
                  <w:jc w:val="right"/>
                </w:pPr>
                <w:r>
                  <w:t>125,904</w:t>
                </w:r>
              </w:p>
            </w:tc>
          </w:tr>
          <w:tr w:rsidR="007E7472" w14:paraId="28BF8BC6" w14:textId="77777777" w:rsidTr="007E7472">
            <w:trPr>
              <w:trHeight w:val="340"/>
            </w:trPr>
            <w:tc>
              <w:tcPr>
                <w:tcW w:w="2419" w:type="pct"/>
                <w:tcBorders>
                  <w:top w:val="single" w:sz="4" w:space="0" w:color="auto"/>
                  <w:left w:val="single" w:sz="6" w:space="0" w:color="auto"/>
                  <w:bottom w:val="single" w:sz="6" w:space="0" w:color="auto"/>
                  <w:right w:val="single" w:sz="6" w:space="0" w:color="auto"/>
                </w:tcBorders>
                <w:shd w:val="clear" w:color="auto" w:fill="auto"/>
                <w:vAlign w:val="center"/>
              </w:tcPr>
              <w:p w14:paraId="1F871778" w14:textId="77777777" w:rsidR="007E7472" w:rsidRDefault="00EC1269">
                <w:r>
                  <w:rPr>
                    <w:rFonts w:hint="eastAsia"/>
                  </w:rPr>
                  <w:t>免税的投资收益</w:t>
                </w:r>
              </w:p>
            </w:tc>
            <w:tc>
              <w:tcPr>
                <w:tcW w:w="2581" w:type="pct"/>
                <w:tcBorders>
                  <w:top w:val="single" w:sz="6" w:space="0" w:color="auto"/>
                  <w:left w:val="single" w:sz="6" w:space="0" w:color="auto"/>
                  <w:bottom w:val="single" w:sz="6" w:space="0" w:color="auto"/>
                  <w:right w:val="single" w:sz="6" w:space="0" w:color="auto"/>
                </w:tcBorders>
                <w:shd w:val="clear" w:color="auto" w:fill="auto"/>
                <w:vAlign w:val="center"/>
              </w:tcPr>
              <w:p w14:paraId="1C9C06DA" w14:textId="77777777" w:rsidR="007E7472" w:rsidRDefault="00EC1269">
                <w:pPr>
                  <w:jc w:val="right"/>
                </w:pPr>
                <w:r>
                  <w:t>-123,519</w:t>
                </w:r>
              </w:p>
            </w:tc>
          </w:tr>
          <w:tr w:rsidR="007E7472" w14:paraId="22019887" w14:textId="77777777" w:rsidTr="007E7472">
            <w:trPr>
              <w:trHeight w:val="340"/>
            </w:trPr>
            <w:tc>
              <w:tcPr>
                <w:tcW w:w="2419" w:type="pct"/>
                <w:tcBorders>
                  <w:top w:val="single" w:sz="4" w:space="0" w:color="auto"/>
                  <w:left w:val="single" w:sz="6" w:space="0" w:color="auto"/>
                  <w:bottom w:val="single" w:sz="6" w:space="0" w:color="auto"/>
                  <w:right w:val="single" w:sz="6" w:space="0" w:color="auto"/>
                </w:tcBorders>
                <w:shd w:val="clear" w:color="auto" w:fill="auto"/>
                <w:vAlign w:val="center"/>
              </w:tcPr>
              <w:p w14:paraId="5761F5B5" w14:textId="77777777" w:rsidR="007E7472" w:rsidRDefault="00EC1269">
                <w:r>
                  <w:rPr>
                    <w:rFonts w:hint="eastAsia"/>
                  </w:rPr>
                  <w:t>资产税基变动</w:t>
                </w:r>
              </w:p>
            </w:tc>
            <w:tc>
              <w:tcPr>
                <w:tcW w:w="2581" w:type="pct"/>
                <w:tcBorders>
                  <w:top w:val="single" w:sz="6" w:space="0" w:color="auto"/>
                  <w:left w:val="single" w:sz="6" w:space="0" w:color="auto"/>
                  <w:bottom w:val="single" w:sz="6" w:space="0" w:color="auto"/>
                  <w:right w:val="single" w:sz="6" w:space="0" w:color="auto"/>
                </w:tcBorders>
                <w:shd w:val="clear" w:color="auto" w:fill="auto"/>
                <w:vAlign w:val="center"/>
              </w:tcPr>
              <w:p w14:paraId="641C053B" w14:textId="77777777" w:rsidR="007E7472" w:rsidRDefault="00EC1269">
                <w:pPr>
                  <w:jc w:val="right"/>
                </w:pPr>
                <w:r>
                  <w:t>-10,995</w:t>
                </w:r>
              </w:p>
            </w:tc>
          </w:tr>
          <w:tr w:rsidR="007E7472" w14:paraId="29368331" w14:textId="77777777" w:rsidTr="007E7472">
            <w:trPr>
              <w:trHeight w:val="340"/>
            </w:trPr>
            <w:tc>
              <w:tcPr>
                <w:tcW w:w="2419" w:type="pct"/>
                <w:tcBorders>
                  <w:top w:val="single" w:sz="4" w:space="0" w:color="auto"/>
                  <w:left w:val="single" w:sz="6" w:space="0" w:color="auto"/>
                  <w:bottom w:val="single" w:sz="6" w:space="0" w:color="auto"/>
                  <w:right w:val="single" w:sz="6" w:space="0" w:color="auto"/>
                </w:tcBorders>
                <w:shd w:val="clear" w:color="auto" w:fill="auto"/>
                <w:vAlign w:val="center"/>
              </w:tcPr>
              <w:p w14:paraId="324542B1" w14:textId="77777777" w:rsidR="007E7472" w:rsidRDefault="00EC1269">
                <w:r>
                  <w:rPr>
                    <w:rFonts w:hint="eastAsia"/>
                  </w:rPr>
                  <w:t>其他</w:t>
                </w:r>
              </w:p>
            </w:tc>
            <w:tc>
              <w:tcPr>
                <w:tcW w:w="2581" w:type="pct"/>
                <w:tcBorders>
                  <w:top w:val="single" w:sz="6" w:space="0" w:color="auto"/>
                  <w:left w:val="single" w:sz="6" w:space="0" w:color="auto"/>
                  <w:bottom w:val="single" w:sz="6" w:space="0" w:color="auto"/>
                  <w:right w:val="single" w:sz="6" w:space="0" w:color="auto"/>
                </w:tcBorders>
                <w:shd w:val="clear" w:color="auto" w:fill="auto"/>
                <w:vAlign w:val="center"/>
              </w:tcPr>
              <w:p w14:paraId="261C5D5D" w14:textId="77777777" w:rsidR="007E7472" w:rsidRDefault="00EC1269">
                <w:pPr>
                  <w:jc w:val="right"/>
                </w:pPr>
                <w:r>
                  <w:t>-38,346</w:t>
                </w:r>
              </w:p>
            </w:tc>
          </w:tr>
          <w:tr w:rsidR="007E7472" w14:paraId="79428EF4" w14:textId="77777777" w:rsidTr="007E7472">
            <w:trPr>
              <w:trHeight w:val="340"/>
            </w:trPr>
            <w:sdt>
              <w:sdtPr>
                <w:tag w:val="_PLD_2fe3b63863164c92a5502c41abff42f1"/>
                <w:id w:val="-191146591"/>
                <w:lock w:val="sdtLocked"/>
              </w:sdtPr>
              <w:sdtEndPr/>
              <w:sdtContent>
                <w:tc>
                  <w:tcPr>
                    <w:tcW w:w="2419" w:type="pct"/>
                    <w:tcBorders>
                      <w:top w:val="single" w:sz="4" w:space="0" w:color="auto"/>
                      <w:left w:val="single" w:sz="4" w:space="0" w:color="auto"/>
                      <w:bottom w:val="single" w:sz="4" w:space="0" w:color="auto"/>
                      <w:right w:val="single" w:sz="4" w:space="0" w:color="auto"/>
                    </w:tcBorders>
                    <w:shd w:val="clear" w:color="auto" w:fill="auto"/>
                    <w:vAlign w:val="center"/>
                  </w:tcPr>
                  <w:p w14:paraId="2B53B071" w14:textId="77777777" w:rsidR="007E7472" w:rsidRDefault="00EC1269">
                    <w:r>
                      <w:rPr>
                        <w:rFonts w:hint="eastAsia"/>
                      </w:rPr>
                      <w:t>所得税费用</w:t>
                    </w:r>
                  </w:p>
                </w:tc>
              </w:sdtContent>
            </w:sdt>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14:paraId="44A49706" w14:textId="77777777" w:rsidR="007E7472" w:rsidRDefault="00EC1269">
                <w:pPr>
                  <w:jc w:val="right"/>
                </w:pPr>
                <w:r>
                  <w:t>4,446,023</w:t>
                </w:r>
              </w:p>
            </w:tc>
          </w:tr>
        </w:tbl>
        <w:p w14:paraId="09731550" w14:textId="77777777" w:rsidR="007E7472" w:rsidRDefault="00C8327E"/>
        <w:p w14:paraId="1F055C7B" w14:textId="77777777" w:rsidR="007E7472" w:rsidRDefault="00EC1269">
          <w:pPr>
            <w:spacing w:before="60" w:after="60"/>
          </w:pPr>
          <w:r>
            <w:rPr>
              <w:rFonts w:hint="eastAsia"/>
            </w:rPr>
            <w:t>其他说明：</w:t>
          </w:r>
        </w:p>
        <w:sdt>
          <w:sdtPr>
            <w:alias w:val="是否适用：所得税费用的说明[双击切换]"/>
            <w:tag w:val="_GBC_0363d79a647b4d96aa5d7b72c93b1e45"/>
            <w:id w:val="1322546702"/>
            <w:lock w:val="sdtLocked"/>
            <w:placeholder>
              <w:docPart w:val="GBC22222222222222222222222222222"/>
            </w:placeholder>
          </w:sdtPr>
          <w:sdtEndPr/>
          <w:sdtContent>
            <w:p w14:paraId="2BB999ED" w14:textId="77777777" w:rsidR="007E7472" w:rsidRDefault="00EC1269">
              <w:pPr>
                <w:spacing w:before="60" w:after="6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0A52D844" w14:textId="77777777" w:rsidR="007E7472" w:rsidRDefault="00C8327E">
      <w:pPr>
        <w:rPr>
          <w:b/>
        </w:rPr>
      </w:pPr>
      <w:bookmarkStart w:id="271" w:name="_Hlk142402035"/>
      <w:bookmarkEnd w:id="271"/>
    </w:p>
    <w:sdt>
      <w:sdtPr>
        <w:rPr>
          <w:rFonts w:ascii="宋体" w:hAnsi="宋体" w:cs="宋体" w:hint="eastAsia"/>
          <w:b w:val="0"/>
          <w:bCs w:val="0"/>
          <w:kern w:val="0"/>
          <w:sz w:val="20"/>
          <w:szCs w:val="21"/>
        </w:rPr>
        <w:alias w:val="模块:其他综合收益"/>
        <w:tag w:val="_GBC_a490950b62a146d9901e0aeb01787f97"/>
        <w:id w:val="-214276225"/>
        <w:lock w:val="sdtLocked"/>
        <w:placeholder>
          <w:docPart w:val="GBC22222222222222222222222222222"/>
        </w:placeholder>
      </w:sdtPr>
      <w:sdtEndPr/>
      <w:sdtContent>
        <w:p w14:paraId="273F60E7" w14:textId="77777777" w:rsidR="007E7472" w:rsidRDefault="00EC1269" w:rsidP="00162493">
          <w:pPr>
            <w:pStyle w:val="3"/>
            <w:numPr>
              <w:ilvl w:val="0"/>
              <w:numId w:val="62"/>
            </w:numPr>
          </w:pPr>
          <w:r>
            <w:rPr>
              <w:rFonts w:hint="eastAsia"/>
            </w:rPr>
            <w:t>其他综合收益</w:t>
          </w:r>
        </w:p>
        <w:sdt>
          <w:sdtPr>
            <w:alias w:val="是否适用：其他综合收益[双击切换]"/>
            <w:tag w:val="_GBC_bef6c47936994e5e94c77d5dd812be30"/>
            <w:id w:val="1384137404"/>
            <w:lock w:val="sdtLocked"/>
            <w:placeholder>
              <w:docPart w:val="GBC22222222222222222222222222222"/>
            </w:placeholder>
          </w:sdtPr>
          <w:sdtEndPr/>
          <w:sdtContent>
            <w:p w14:paraId="45753A3C" w14:textId="77777777" w:rsidR="007E7472" w:rsidRDefault="00EC1269">
              <w:r>
                <w:rPr>
                  <w:rFonts w:hint="eastAsia"/>
                </w:rPr>
                <w:fldChar w:fldCharType="begin"/>
              </w:r>
              <w:r>
                <w:rPr>
                  <w:rFonts w:hint="eastAsia"/>
                </w:rPr>
                <w:instrText xml:space="preserve"> MACROBUTTON  SnrToggleCheckbox √适用 </w:instrText>
              </w:r>
              <w:r>
                <w:rPr>
                  <w:rFonts w:hint="eastAsia"/>
                </w:rPr>
                <w:fldChar w:fldCharType="end"/>
              </w:r>
              <w:r>
                <w:rPr>
                  <w:rFonts w:hint="eastAsia"/>
                </w:rPr>
                <w:fldChar w:fldCharType="begin"/>
              </w:r>
              <w:r>
                <w:rPr>
                  <w:rFonts w:hint="eastAsia"/>
                </w:rPr>
                <w:instrText xml:space="preserve"> MACROBUTTON  SnrToggleCheckbox □不适用 </w:instrText>
              </w:r>
              <w:r>
                <w:rPr>
                  <w:rFonts w:hint="eastAsia"/>
                </w:rPr>
                <w:fldChar w:fldCharType="end"/>
              </w:r>
            </w:p>
          </w:sdtContent>
        </w:sdt>
        <w:p w14:paraId="3D47F21A" w14:textId="77777777" w:rsidR="007E7472" w:rsidRDefault="00C8327E">
          <w:pPr>
            <w:spacing w:beforeLines="50" w:before="156" w:afterLines="50" w:after="156" w:line="360" w:lineRule="exact"/>
            <w:ind w:firstLineChars="200" w:firstLine="420"/>
          </w:pPr>
          <w:sdt>
            <w:sdtPr>
              <w:rPr>
                <w:rFonts w:hint="eastAsia"/>
              </w:rPr>
              <w:alias w:val="其他综合收益详见附注"/>
              <w:tag w:val="_GBC_6f59ae7e2b78472ea4fa736cbb8f062d"/>
              <w:id w:val="1866479431"/>
              <w:lock w:val="sdtLocked"/>
              <w:placeholder>
                <w:docPart w:val="GBC22222222222222222222222222222"/>
              </w:placeholder>
            </w:sdtPr>
            <w:sdtEndPr/>
            <w:sdtContent>
              <w:r w:rsidR="00EC1269">
                <w:rPr>
                  <w:rFonts w:hint="eastAsia"/>
                </w:rPr>
                <w:t>详见本附注“七、57其他综合收益”相关内容。</w:t>
              </w:r>
            </w:sdtContent>
          </w:sdt>
        </w:p>
      </w:sdtContent>
    </w:sdt>
    <w:p w14:paraId="0C1FB547" w14:textId="77777777" w:rsidR="007E7472" w:rsidRDefault="00C8327E"/>
    <w:p w14:paraId="377A1280" w14:textId="77777777" w:rsidR="007E7472" w:rsidRDefault="00EC1269" w:rsidP="00162493">
      <w:pPr>
        <w:pStyle w:val="3"/>
        <w:numPr>
          <w:ilvl w:val="0"/>
          <w:numId w:val="62"/>
        </w:numPr>
      </w:pPr>
      <w:r>
        <w:rPr>
          <w:rFonts w:hint="eastAsia"/>
        </w:rPr>
        <w:t>现金流量表项目</w:t>
      </w:r>
    </w:p>
    <w:sdt>
      <w:sdtPr>
        <w:rPr>
          <w:rFonts w:ascii="宋体" w:hAnsi="宋体" w:cs="宋体" w:hint="eastAsia"/>
          <w:b w:val="0"/>
          <w:bCs w:val="0"/>
          <w:kern w:val="0"/>
          <w:sz w:val="24"/>
          <w:szCs w:val="21"/>
        </w:rPr>
        <w:alias w:val="模块:收到的其他与经营活动有关的现金"/>
        <w:tag w:val="_GBC_aebbed0d25f14d50b64339a751dec4bd"/>
        <w:id w:val="-1746566134"/>
        <w:lock w:val="sdtLocked"/>
        <w:placeholder>
          <w:docPart w:val="GBC22222222222222222222222222222"/>
        </w:placeholder>
      </w:sdtPr>
      <w:sdtEndPr>
        <w:rPr>
          <w:rFonts w:cstheme="minorBidi" w:hint="default"/>
          <w:sz w:val="21"/>
        </w:rPr>
      </w:sdtEndPr>
      <w:sdtContent>
        <w:p w14:paraId="61248AB2" w14:textId="77777777" w:rsidR="007E7472" w:rsidRDefault="00EC1269" w:rsidP="00162493">
          <w:pPr>
            <w:pStyle w:val="4"/>
            <w:numPr>
              <w:ilvl w:val="0"/>
              <w:numId w:val="96"/>
            </w:numPr>
          </w:pPr>
          <w:r>
            <w:rPr>
              <w:rFonts w:hint="eastAsia"/>
            </w:rPr>
            <w:t>收到的其他与经营活动有关的现金</w:t>
          </w:r>
        </w:p>
        <w:sdt>
          <w:sdtPr>
            <w:alias w:val="是否适用：收到的其他与经营活动有关的现金[双击切换]"/>
            <w:tag w:val="_GBC_c5c1fd7856fd40f88e814da378eb1220"/>
            <w:id w:val="-784423665"/>
            <w:lock w:val="sdtLocked"/>
            <w:placeholder>
              <w:docPart w:val="GBC22222222222222222222222222222"/>
            </w:placeholder>
          </w:sdtPr>
          <w:sdtEndPr/>
          <w:sdtContent>
            <w:p w14:paraId="51E9B278"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0D707D57" w14:textId="2F3378C7" w:rsidR="007E7472" w:rsidRDefault="00EC1269">
          <w:pPr>
            <w:jc w:val="right"/>
          </w:pPr>
          <w:r>
            <w:rPr>
              <w:rFonts w:hint="eastAsia"/>
            </w:rPr>
            <w:t>单位：</w:t>
          </w:r>
          <w:sdt>
            <w:sdtPr>
              <w:rPr>
                <w:rFonts w:hint="eastAsia"/>
              </w:rPr>
              <w:alias w:val="单位：财务附注：收到的其他与经营活动有关的现金"/>
              <w:tag w:val="_GBC_5ccae82b68484e708f12fda90762616a"/>
              <w:id w:val="-20508298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收到的其他与经营活动有关的现金"/>
              <w:tag w:val="_GBC_fab1e143b1314991a3aebb857ed68a09"/>
              <w:id w:val="14170524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3321"/>
            <w:gridCol w:w="2756"/>
            <w:gridCol w:w="2746"/>
          </w:tblGrid>
          <w:tr w:rsidR="007E7472" w14:paraId="303A72FD" w14:textId="77777777" w:rsidTr="007E7472">
            <w:trPr>
              <w:trHeight w:val="340"/>
            </w:trPr>
            <w:sdt>
              <w:sdtPr>
                <w:tag w:val="_PLD_37a08d49f8e14506929ae8c9544c259e"/>
                <w:id w:val="-1637325227"/>
                <w:lock w:val="sdtLocked"/>
              </w:sdtPr>
              <w:sdtEndPr/>
              <w:sdtContent>
                <w:tc>
                  <w:tcPr>
                    <w:tcW w:w="1882" w:type="pct"/>
                    <w:vAlign w:val="center"/>
                  </w:tcPr>
                  <w:p w14:paraId="2F851A9E" w14:textId="77777777" w:rsidR="007E7472" w:rsidRDefault="00EC1269">
                    <w:pPr>
                      <w:autoSpaceDE w:val="0"/>
                      <w:autoSpaceDN w:val="0"/>
                      <w:adjustRightInd w:val="0"/>
                      <w:snapToGrid w:val="0"/>
                      <w:spacing w:line="240" w:lineRule="atLeast"/>
                      <w:jc w:val="center"/>
                    </w:pPr>
                    <w:r>
                      <w:rPr>
                        <w:rFonts w:hint="eastAsia"/>
                      </w:rPr>
                      <w:t>项目</w:t>
                    </w:r>
                  </w:p>
                </w:tc>
              </w:sdtContent>
            </w:sdt>
            <w:sdt>
              <w:sdtPr>
                <w:tag w:val="_PLD_f6cb8d17057e4de79000a7b7c263b07e"/>
                <w:id w:val="719176341"/>
                <w:lock w:val="sdtLocked"/>
              </w:sdtPr>
              <w:sdtEndPr/>
              <w:sdtContent>
                <w:tc>
                  <w:tcPr>
                    <w:tcW w:w="1562" w:type="pct"/>
                    <w:vAlign w:val="center"/>
                  </w:tcPr>
                  <w:p w14:paraId="205AF917" w14:textId="77777777" w:rsidR="007E7472" w:rsidRDefault="00EC1269">
                    <w:pPr>
                      <w:autoSpaceDE w:val="0"/>
                      <w:autoSpaceDN w:val="0"/>
                      <w:adjustRightInd w:val="0"/>
                      <w:snapToGrid w:val="0"/>
                      <w:spacing w:line="240" w:lineRule="atLeast"/>
                      <w:jc w:val="center"/>
                    </w:pPr>
                    <w:r>
                      <w:rPr>
                        <w:rFonts w:hint="eastAsia"/>
                      </w:rPr>
                      <w:t>本期发生额</w:t>
                    </w:r>
                  </w:p>
                </w:tc>
              </w:sdtContent>
            </w:sdt>
            <w:sdt>
              <w:sdtPr>
                <w:tag w:val="_PLD_28d6db3ec51c43eb8751b53e93c8f270"/>
                <w:id w:val="788865395"/>
                <w:lock w:val="sdtLocked"/>
              </w:sdtPr>
              <w:sdtEndPr/>
              <w:sdtContent>
                <w:tc>
                  <w:tcPr>
                    <w:tcW w:w="1556" w:type="pct"/>
                    <w:vAlign w:val="center"/>
                  </w:tcPr>
                  <w:p w14:paraId="5D12AB17" w14:textId="77777777" w:rsidR="007E7472" w:rsidRDefault="00EC1269">
                    <w:pPr>
                      <w:autoSpaceDE w:val="0"/>
                      <w:autoSpaceDN w:val="0"/>
                      <w:adjustRightInd w:val="0"/>
                      <w:snapToGrid w:val="0"/>
                      <w:spacing w:line="240" w:lineRule="atLeast"/>
                      <w:jc w:val="center"/>
                    </w:pPr>
                    <w:r>
                      <w:rPr>
                        <w:rFonts w:hint="eastAsia"/>
                      </w:rPr>
                      <w:t>上期发生额</w:t>
                    </w:r>
                  </w:p>
                </w:tc>
              </w:sdtContent>
            </w:sdt>
          </w:tr>
          <w:tr w:rsidR="007E7472" w14:paraId="61BE6EE4" w14:textId="77777777" w:rsidTr="007E7472">
            <w:trPr>
              <w:trHeight w:val="340"/>
            </w:trPr>
            <w:tc>
              <w:tcPr>
                <w:tcW w:w="1882" w:type="pct"/>
                <w:vAlign w:val="center"/>
              </w:tcPr>
              <w:p w14:paraId="4D5A2163" w14:textId="77777777" w:rsidR="007E7472" w:rsidRDefault="00EC1269">
                <w:pPr>
                  <w:autoSpaceDE w:val="0"/>
                  <w:autoSpaceDN w:val="0"/>
                  <w:adjustRightInd w:val="0"/>
                  <w:snapToGrid w:val="0"/>
                  <w:spacing w:line="240" w:lineRule="atLeast"/>
                </w:pPr>
                <w:r>
                  <w:rPr>
                    <w:rFonts w:hint="eastAsia"/>
                  </w:rPr>
                  <w:t>收回票据保证金</w:t>
                </w:r>
              </w:p>
            </w:tc>
            <w:tc>
              <w:tcPr>
                <w:tcW w:w="1562" w:type="pct"/>
                <w:vAlign w:val="center"/>
              </w:tcPr>
              <w:p w14:paraId="15BFA5C3" w14:textId="77777777" w:rsidR="007E7472" w:rsidRDefault="00EC1269">
                <w:pPr>
                  <w:jc w:val="right"/>
                </w:pPr>
                <w:r>
                  <w:t>641,594</w:t>
                </w:r>
              </w:p>
            </w:tc>
            <w:tc>
              <w:tcPr>
                <w:tcW w:w="1556" w:type="pct"/>
                <w:vAlign w:val="center"/>
              </w:tcPr>
              <w:p w14:paraId="7446F8A9" w14:textId="77777777" w:rsidR="007E7472" w:rsidRDefault="00EC1269">
                <w:pPr>
                  <w:jc w:val="right"/>
                </w:pPr>
                <w:r>
                  <w:t>63,251</w:t>
                </w:r>
              </w:p>
            </w:tc>
          </w:tr>
          <w:tr w:rsidR="007E7472" w14:paraId="48A60A0C" w14:textId="77777777" w:rsidTr="007E7472">
            <w:trPr>
              <w:trHeight w:val="340"/>
            </w:trPr>
            <w:tc>
              <w:tcPr>
                <w:tcW w:w="1882" w:type="pct"/>
                <w:vAlign w:val="center"/>
              </w:tcPr>
              <w:p w14:paraId="61B118A3" w14:textId="77777777" w:rsidR="007E7472" w:rsidRDefault="00EC1269">
                <w:pPr>
                  <w:autoSpaceDE w:val="0"/>
                  <w:autoSpaceDN w:val="0"/>
                  <w:adjustRightInd w:val="0"/>
                  <w:snapToGrid w:val="0"/>
                  <w:spacing w:line="240" w:lineRule="atLeast"/>
                </w:pPr>
                <w:r>
                  <w:t>利息收入</w:t>
                </w:r>
              </w:p>
            </w:tc>
            <w:tc>
              <w:tcPr>
                <w:tcW w:w="1562" w:type="pct"/>
                <w:vAlign w:val="center"/>
              </w:tcPr>
              <w:p w14:paraId="620B1010" w14:textId="77777777" w:rsidR="007E7472" w:rsidRDefault="00EC1269">
                <w:pPr>
                  <w:jc w:val="right"/>
                </w:pPr>
                <w:r>
                  <w:t>400,621</w:t>
                </w:r>
              </w:p>
            </w:tc>
            <w:tc>
              <w:tcPr>
                <w:tcW w:w="1556" w:type="pct"/>
                <w:vAlign w:val="center"/>
              </w:tcPr>
              <w:p w14:paraId="5D741066" w14:textId="77777777" w:rsidR="007E7472" w:rsidRDefault="00EC1269">
                <w:pPr>
                  <w:jc w:val="right"/>
                </w:pPr>
                <w:r>
                  <w:t>63,877</w:t>
                </w:r>
              </w:p>
            </w:tc>
          </w:tr>
          <w:tr w:rsidR="007E7472" w14:paraId="7BCDB3AC" w14:textId="77777777" w:rsidTr="007E7472">
            <w:trPr>
              <w:trHeight w:val="340"/>
            </w:trPr>
            <w:tc>
              <w:tcPr>
                <w:tcW w:w="1882" w:type="pct"/>
                <w:vAlign w:val="center"/>
              </w:tcPr>
              <w:p w14:paraId="24DC44E7" w14:textId="77777777" w:rsidR="007E7472" w:rsidRDefault="00EC1269">
                <w:pPr>
                  <w:autoSpaceDE w:val="0"/>
                  <w:autoSpaceDN w:val="0"/>
                  <w:adjustRightInd w:val="0"/>
                  <w:snapToGrid w:val="0"/>
                  <w:spacing w:line="240" w:lineRule="atLeast"/>
                </w:pPr>
                <w:r>
                  <w:rPr>
                    <w:rFonts w:hint="eastAsia"/>
                  </w:rPr>
                  <w:t>贷款利息收入</w:t>
                </w:r>
              </w:p>
            </w:tc>
            <w:tc>
              <w:tcPr>
                <w:tcW w:w="1562" w:type="pct"/>
                <w:vAlign w:val="center"/>
              </w:tcPr>
              <w:p w14:paraId="314C23E4" w14:textId="77777777" w:rsidR="007E7472" w:rsidRDefault="00EC1269">
                <w:pPr>
                  <w:jc w:val="right"/>
                </w:pPr>
                <w:r>
                  <w:t>337,229</w:t>
                </w:r>
              </w:p>
            </w:tc>
            <w:tc>
              <w:tcPr>
                <w:tcW w:w="1556" w:type="pct"/>
                <w:vAlign w:val="center"/>
              </w:tcPr>
              <w:p w14:paraId="5109B0BA" w14:textId="77777777" w:rsidR="007E7472" w:rsidRDefault="00EC1269">
                <w:pPr>
                  <w:jc w:val="right"/>
                </w:pPr>
                <w:r>
                  <w:t>367,036</w:t>
                </w:r>
              </w:p>
            </w:tc>
          </w:tr>
          <w:tr w:rsidR="007E7472" w14:paraId="265E87DE" w14:textId="77777777" w:rsidTr="007E7472">
            <w:trPr>
              <w:trHeight w:val="340"/>
            </w:trPr>
            <w:tc>
              <w:tcPr>
                <w:tcW w:w="1882" w:type="pct"/>
                <w:vAlign w:val="center"/>
              </w:tcPr>
              <w:p w14:paraId="1D72C11A" w14:textId="77777777" w:rsidR="007E7472" w:rsidRDefault="00EC1269">
                <w:pPr>
                  <w:autoSpaceDE w:val="0"/>
                  <w:autoSpaceDN w:val="0"/>
                  <w:adjustRightInd w:val="0"/>
                  <w:snapToGrid w:val="0"/>
                  <w:spacing w:line="240" w:lineRule="atLeast"/>
                </w:pPr>
                <w:r>
                  <w:rPr>
                    <w:rFonts w:hint="eastAsia"/>
                  </w:rPr>
                  <w:t>往来款</w:t>
                </w:r>
              </w:p>
            </w:tc>
            <w:tc>
              <w:tcPr>
                <w:tcW w:w="1562" w:type="pct"/>
                <w:vAlign w:val="center"/>
              </w:tcPr>
              <w:p w14:paraId="5666C069" w14:textId="77777777" w:rsidR="007E7472" w:rsidRDefault="00EC1269">
                <w:pPr>
                  <w:jc w:val="right"/>
                </w:pPr>
                <w:r>
                  <w:t>305,599</w:t>
                </w:r>
              </w:p>
            </w:tc>
            <w:tc>
              <w:tcPr>
                <w:tcW w:w="1556" w:type="pct"/>
                <w:vAlign w:val="center"/>
              </w:tcPr>
              <w:p w14:paraId="3EF05E4D" w14:textId="77777777" w:rsidR="007E7472" w:rsidRDefault="00EC1269">
                <w:pPr>
                  <w:jc w:val="right"/>
                </w:pPr>
                <w:r>
                  <w:t>405,241</w:t>
                </w:r>
              </w:p>
            </w:tc>
          </w:tr>
          <w:tr w:rsidR="007E7472" w14:paraId="729FA210" w14:textId="77777777" w:rsidTr="007E7472">
            <w:trPr>
              <w:trHeight w:val="340"/>
            </w:trPr>
            <w:tc>
              <w:tcPr>
                <w:tcW w:w="1882" w:type="pct"/>
                <w:vAlign w:val="center"/>
              </w:tcPr>
              <w:p w14:paraId="138F059A" w14:textId="77777777" w:rsidR="007E7472" w:rsidRDefault="00EC1269">
                <w:pPr>
                  <w:autoSpaceDE w:val="0"/>
                  <w:autoSpaceDN w:val="0"/>
                  <w:adjustRightInd w:val="0"/>
                  <w:snapToGrid w:val="0"/>
                  <w:spacing w:line="240" w:lineRule="atLeast"/>
                </w:pPr>
                <w:r>
                  <w:rPr>
                    <w:rFonts w:hint="eastAsia"/>
                  </w:rPr>
                  <w:t>城镇建设资金</w:t>
                </w:r>
              </w:p>
            </w:tc>
            <w:tc>
              <w:tcPr>
                <w:tcW w:w="1562" w:type="pct"/>
                <w:vAlign w:val="center"/>
              </w:tcPr>
              <w:p w14:paraId="70D69007" w14:textId="77777777" w:rsidR="007E7472" w:rsidRDefault="00EC1269">
                <w:pPr>
                  <w:jc w:val="right"/>
                </w:pPr>
                <w:r>
                  <w:t>96,800</w:t>
                </w:r>
              </w:p>
            </w:tc>
            <w:tc>
              <w:tcPr>
                <w:tcW w:w="1556" w:type="pct"/>
                <w:vAlign w:val="center"/>
              </w:tcPr>
              <w:p w14:paraId="72604763" w14:textId="77777777" w:rsidR="007E7472" w:rsidRDefault="00EC1269">
                <w:pPr>
                  <w:jc w:val="right"/>
                </w:pPr>
                <w:r>
                  <w:t>96,800</w:t>
                </w:r>
              </w:p>
            </w:tc>
          </w:tr>
          <w:tr w:rsidR="007E7472" w14:paraId="727EE244" w14:textId="77777777" w:rsidTr="007E7472">
            <w:trPr>
              <w:trHeight w:val="340"/>
            </w:trPr>
            <w:tc>
              <w:tcPr>
                <w:tcW w:w="1882" w:type="pct"/>
                <w:vAlign w:val="center"/>
              </w:tcPr>
              <w:p w14:paraId="71193ED0" w14:textId="77777777" w:rsidR="007E7472" w:rsidRDefault="00EC1269">
                <w:pPr>
                  <w:autoSpaceDE w:val="0"/>
                  <w:autoSpaceDN w:val="0"/>
                  <w:adjustRightInd w:val="0"/>
                  <w:snapToGrid w:val="0"/>
                  <w:spacing w:line="240" w:lineRule="atLeast"/>
                </w:pPr>
                <w:r>
                  <w:rPr>
                    <w:rFonts w:hint="eastAsia"/>
                  </w:rPr>
                  <w:t>政府补助及扶持基金收入</w:t>
                </w:r>
              </w:p>
            </w:tc>
            <w:tc>
              <w:tcPr>
                <w:tcW w:w="1562" w:type="pct"/>
                <w:vAlign w:val="center"/>
              </w:tcPr>
              <w:p w14:paraId="708BAD44" w14:textId="77777777" w:rsidR="007E7472" w:rsidRDefault="00EC1269">
                <w:pPr>
                  <w:jc w:val="right"/>
                </w:pPr>
                <w:r>
                  <w:t>52,156</w:t>
                </w:r>
              </w:p>
            </w:tc>
            <w:tc>
              <w:tcPr>
                <w:tcW w:w="1556" w:type="pct"/>
                <w:vAlign w:val="center"/>
              </w:tcPr>
              <w:p w14:paraId="398305B6" w14:textId="77777777" w:rsidR="007E7472" w:rsidRDefault="00EC1269">
                <w:pPr>
                  <w:jc w:val="right"/>
                </w:pPr>
                <w:r>
                  <w:t>45,124</w:t>
                </w:r>
              </w:p>
            </w:tc>
          </w:tr>
          <w:tr w:rsidR="007E7472" w14:paraId="0771892E" w14:textId="77777777" w:rsidTr="007E7472">
            <w:trPr>
              <w:trHeight w:val="340"/>
            </w:trPr>
            <w:tc>
              <w:tcPr>
                <w:tcW w:w="1882" w:type="pct"/>
                <w:vAlign w:val="center"/>
              </w:tcPr>
              <w:p w14:paraId="08BB5207" w14:textId="77777777" w:rsidR="007E7472" w:rsidRDefault="00EC1269">
                <w:pPr>
                  <w:autoSpaceDE w:val="0"/>
                  <w:autoSpaceDN w:val="0"/>
                  <w:adjustRightInd w:val="0"/>
                  <w:snapToGrid w:val="0"/>
                  <w:spacing w:line="240" w:lineRule="atLeast"/>
                </w:pPr>
                <w:r>
                  <w:rPr>
                    <w:rFonts w:hint="eastAsia"/>
                  </w:rPr>
                  <w:t>收回环境治理保证金</w:t>
                </w:r>
              </w:p>
            </w:tc>
            <w:tc>
              <w:tcPr>
                <w:tcW w:w="1562" w:type="pct"/>
                <w:vAlign w:val="center"/>
              </w:tcPr>
              <w:p w14:paraId="15468BD2" w14:textId="77777777" w:rsidR="007E7472" w:rsidRDefault="00EC1269">
                <w:pPr>
                  <w:jc w:val="right"/>
                </w:pPr>
                <w:r>
                  <w:t>31,897</w:t>
                </w:r>
              </w:p>
            </w:tc>
            <w:tc>
              <w:tcPr>
                <w:tcW w:w="1556" w:type="pct"/>
                <w:vAlign w:val="center"/>
              </w:tcPr>
              <w:p w14:paraId="4E6EB062" w14:textId="77777777" w:rsidR="007E7472" w:rsidRDefault="00EC1269">
                <w:pPr>
                  <w:jc w:val="right"/>
                </w:pPr>
                <w:r>
                  <w:t>637,988</w:t>
                </w:r>
              </w:p>
            </w:tc>
          </w:tr>
          <w:tr w:rsidR="007E7472" w14:paraId="4A659671" w14:textId="77777777" w:rsidTr="007E7472">
            <w:trPr>
              <w:trHeight w:val="340"/>
            </w:trPr>
            <w:tc>
              <w:tcPr>
                <w:tcW w:w="1882" w:type="pct"/>
                <w:vAlign w:val="center"/>
              </w:tcPr>
              <w:p w14:paraId="29A85A91" w14:textId="77777777" w:rsidR="007E7472" w:rsidRDefault="00EC1269">
                <w:pPr>
                  <w:autoSpaceDE w:val="0"/>
                  <w:autoSpaceDN w:val="0"/>
                  <w:adjustRightInd w:val="0"/>
                  <w:snapToGrid w:val="0"/>
                  <w:spacing w:line="240" w:lineRule="atLeast"/>
                </w:pPr>
                <w:r>
                  <w:rPr>
                    <w:rFonts w:hint="eastAsia"/>
                  </w:rPr>
                  <w:t>涉诉资金解冻</w:t>
                </w:r>
              </w:p>
            </w:tc>
            <w:tc>
              <w:tcPr>
                <w:tcW w:w="1562" w:type="pct"/>
                <w:vAlign w:val="center"/>
              </w:tcPr>
              <w:p w14:paraId="3AA730A3" w14:textId="77777777" w:rsidR="007E7472" w:rsidRDefault="00EC1269">
                <w:pPr>
                  <w:jc w:val="right"/>
                </w:pPr>
                <w:r>
                  <w:t>11,000</w:t>
                </w:r>
              </w:p>
            </w:tc>
            <w:tc>
              <w:tcPr>
                <w:tcW w:w="1556" w:type="pct"/>
                <w:vAlign w:val="center"/>
              </w:tcPr>
              <w:p w14:paraId="3B01AD64" w14:textId="77777777" w:rsidR="007E7472" w:rsidRDefault="00C8327E">
                <w:pPr>
                  <w:jc w:val="right"/>
                </w:pPr>
              </w:p>
            </w:tc>
          </w:tr>
          <w:tr w:rsidR="007E7472" w14:paraId="3E5CFE09" w14:textId="77777777" w:rsidTr="007E7472">
            <w:trPr>
              <w:trHeight w:val="340"/>
            </w:trPr>
            <w:tc>
              <w:tcPr>
                <w:tcW w:w="1882" w:type="pct"/>
                <w:vAlign w:val="center"/>
              </w:tcPr>
              <w:p w14:paraId="364940F9" w14:textId="77777777" w:rsidR="007E7472" w:rsidRDefault="00EC1269">
                <w:pPr>
                  <w:autoSpaceDE w:val="0"/>
                  <w:autoSpaceDN w:val="0"/>
                  <w:adjustRightInd w:val="0"/>
                  <w:snapToGrid w:val="0"/>
                  <w:spacing w:line="240" w:lineRule="atLeast"/>
                </w:pPr>
                <w:r>
                  <w:rPr>
                    <w:rFonts w:hint="eastAsia"/>
                  </w:rPr>
                  <w:t>其他</w:t>
                </w:r>
              </w:p>
            </w:tc>
            <w:tc>
              <w:tcPr>
                <w:tcW w:w="1562" w:type="pct"/>
                <w:vAlign w:val="center"/>
              </w:tcPr>
              <w:p w14:paraId="334E54B8" w14:textId="77777777" w:rsidR="007E7472" w:rsidRDefault="00EC1269">
                <w:pPr>
                  <w:jc w:val="right"/>
                </w:pPr>
                <w:r>
                  <w:t>104,990</w:t>
                </w:r>
              </w:p>
            </w:tc>
            <w:tc>
              <w:tcPr>
                <w:tcW w:w="1556" w:type="pct"/>
                <w:vAlign w:val="center"/>
              </w:tcPr>
              <w:p w14:paraId="5F14DC87" w14:textId="77777777" w:rsidR="007E7472" w:rsidRDefault="00EC1269">
                <w:pPr>
                  <w:jc w:val="right"/>
                </w:pPr>
                <w:r>
                  <w:t>65,138</w:t>
                </w:r>
              </w:p>
            </w:tc>
          </w:tr>
          <w:tr w:rsidR="007E7472" w14:paraId="36FCFD2F" w14:textId="77777777" w:rsidTr="007E7472">
            <w:trPr>
              <w:trHeight w:val="340"/>
            </w:trPr>
            <w:tc>
              <w:tcPr>
                <w:tcW w:w="1882" w:type="pct"/>
                <w:vAlign w:val="center"/>
              </w:tcPr>
              <w:p w14:paraId="108A74B1" w14:textId="77777777" w:rsidR="007E7472" w:rsidRDefault="00EC1269">
                <w:pPr>
                  <w:autoSpaceDE w:val="0"/>
                  <w:autoSpaceDN w:val="0"/>
                  <w:adjustRightInd w:val="0"/>
                  <w:snapToGrid w:val="0"/>
                  <w:spacing w:line="240" w:lineRule="atLeast"/>
                  <w:jc w:val="center"/>
                </w:pPr>
                <w:r>
                  <w:rPr>
                    <w:rFonts w:hint="eastAsia"/>
                  </w:rPr>
                  <w:t>合计</w:t>
                </w:r>
              </w:p>
            </w:tc>
            <w:tc>
              <w:tcPr>
                <w:tcW w:w="1562" w:type="pct"/>
                <w:vAlign w:val="center"/>
              </w:tcPr>
              <w:p w14:paraId="2AAB607A" w14:textId="77777777" w:rsidR="007E7472" w:rsidRDefault="00EC1269">
                <w:pPr>
                  <w:jc w:val="right"/>
                </w:pPr>
                <w:r>
                  <w:t>1,981,886</w:t>
                </w:r>
              </w:p>
            </w:tc>
            <w:tc>
              <w:tcPr>
                <w:tcW w:w="1556" w:type="pct"/>
                <w:vAlign w:val="center"/>
              </w:tcPr>
              <w:p w14:paraId="0BA0E850" w14:textId="77777777" w:rsidR="007E7472" w:rsidRDefault="00EC1269">
                <w:pPr>
                  <w:jc w:val="right"/>
                </w:pPr>
                <w:r>
                  <w:t>1,744,455</w:t>
                </w:r>
              </w:p>
            </w:tc>
          </w:tr>
        </w:tbl>
        <w:p w14:paraId="2289CFCA" w14:textId="77777777" w:rsidR="007E7472" w:rsidRDefault="00C8327E">
          <w:pPr>
            <w:snapToGrid w:val="0"/>
            <w:spacing w:before="60" w:after="60" w:line="240" w:lineRule="atLeast"/>
          </w:pPr>
        </w:p>
      </w:sdtContent>
    </w:sdt>
    <w:sdt>
      <w:sdtPr>
        <w:rPr>
          <w:rFonts w:ascii="宋体" w:hAnsi="宋体" w:cs="宋体" w:hint="eastAsia"/>
          <w:b w:val="0"/>
          <w:bCs w:val="0"/>
          <w:kern w:val="0"/>
          <w:sz w:val="24"/>
          <w:szCs w:val="21"/>
        </w:rPr>
        <w:alias w:val="模块:支付的其他与经营活动有关的现金"/>
        <w:tag w:val="_GBC_3c8453861c4b4e94956633ec6c228388"/>
        <w:id w:val="-2101782012"/>
        <w:lock w:val="sdtLocked"/>
        <w:placeholder>
          <w:docPart w:val="GBC22222222222222222222222222222"/>
        </w:placeholder>
      </w:sdtPr>
      <w:sdtEndPr>
        <w:rPr>
          <w:rFonts w:cstheme="minorBidi"/>
          <w:sz w:val="21"/>
        </w:rPr>
      </w:sdtEndPr>
      <w:sdtContent>
        <w:p w14:paraId="1BF53873" w14:textId="77777777" w:rsidR="007E7472" w:rsidRDefault="00EC1269" w:rsidP="00162493">
          <w:pPr>
            <w:pStyle w:val="4"/>
            <w:numPr>
              <w:ilvl w:val="0"/>
              <w:numId w:val="96"/>
            </w:numPr>
          </w:pPr>
          <w:r>
            <w:rPr>
              <w:rFonts w:hint="eastAsia"/>
            </w:rPr>
            <w:t>支付的其他与经营活动有关的现金</w:t>
          </w:r>
        </w:p>
        <w:sdt>
          <w:sdtPr>
            <w:alias w:val="是否适用：支付的其他与经营活动有关的现金[双击切换]"/>
            <w:tag w:val="_GBC_73331002c48743d9a4438c6eb4a07c95"/>
            <w:id w:val="-960413198"/>
            <w:lock w:val="sdtLocked"/>
            <w:placeholder>
              <w:docPart w:val="GBC22222222222222222222222222222"/>
            </w:placeholder>
          </w:sdtPr>
          <w:sdtEndPr/>
          <w:sdtContent>
            <w:p w14:paraId="298352DE"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2E0EE63E" w14:textId="4DAD9A82" w:rsidR="007E7472" w:rsidRDefault="00EC1269">
          <w:pPr>
            <w:jc w:val="right"/>
          </w:pPr>
          <w:r>
            <w:rPr>
              <w:rFonts w:hint="eastAsia"/>
            </w:rPr>
            <w:t>单位：</w:t>
          </w:r>
          <w:sdt>
            <w:sdtPr>
              <w:rPr>
                <w:rFonts w:hint="eastAsia"/>
              </w:rPr>
              <w:alias w:val="单位：财务附注：支付的其他与经营活动有关的现金"/>
              <w:tag w:val="_GBC_8252d4ac9be64f04b08b1dc08e270310"/>
              <w:id w:val="10741634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支付的其他与经营活动有关的现金"/>
              <w:tag w:val="_GBC_37de812db19b41c8a01d10d8b0365268"/>
              <w:id w:val="11777768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3321"/>
            <w:gridCol w:w="2737"/>
            <w:gridCol w:w="2765"/>
          </w:tblGrid>
          <w:tr w:rsidR="007E7472" w14:paraId="79512AD3" w14:textId="77777777" w:rsidTr="007E7472">
            <w:trPr>
              <w:trHeight w:val="340"/>
            </w:trPr>
            <w:sdt>
              <w:sdtPr>
                <w:tag w:val="_PLD_164da6d2b96e42688b06fe557d996ac2"/>
                <w:id w:val="-1280096744"/>
              </w:sdtPr>
              <w:sdtEndPr/>
              <w:sdtContent>
                <w:tc>
                  <w:tcPr>
                    <w:tcW w:w="1882" w:type="pct"/>
                    <w:vAlign w:val="center"/>
                  </w:tcPr>
                  <w:p w14:paraId="0CA398F7" w14:textId="77777777" w:rsidR="007E7472" w:rsidRDefault="00EC1269">
                    <w:pPr>
                      <w:autoSpaceDE w:val="0"/>
                      <w:autoSpaceDN w:val="0"/>
                      <w:adjustRightInd w:val="0"/>
                      <w:snapToGrid w:val="0"/>
                      <w:jc w:val="center"/>
                    </w:pPr>
                    <w:r>
                      <w:rPr>
                        <w:rFonts w:hint="eastAsia"/>
                      </w:rPr>
                      <w:t>项目</w:t>
                    </w:r>
                  </w:p>
                </w:tc>
              </w:sdtContent>
            </w:sdt>
            <w:sdt>
              <w:sdtPr>
                <w:tag w:val="_PLD_69d21b5f023448adbd8c69a7e96e585d"/>
                <w:id w:val="1648324028"/>
              </w:sdtPr>
              <w:sdtEndPr/>
              <w:sdtContent>
                <w:tc>
                  <w:tcPr>
                    <w:tcW w:w="1551" w:type="pct"/>
                    <w:vAlign w:val="center"/>
                  </w:tcPr>
                  <w:p w14:paraId="7B2FF74C" w14:textId="77777777" w:rsidR="007E7472" w:rsidRDefault="00EC1269">
                    <w:pPr>
                      <w:autoSpaceDE w:val="0"/>
                      <w:autoSpaceDN w:val="0"/>
                      <w:adjustRightInd w:val="0"/>
                      <w:snapToGrid w:val="0"/>
                      <w:jc w:val="center"/>
                    </w:pPr>
                    <w:r>
                      <w:rPr>
                        <w:rFonts w:hint="eastAsia"/>
                      </w:rPr>
                      <w:t>本期发生额</w:t>
                    </w:r>
                  </w:p>
                </w:tc>
              </w:sdtContent>
            </w:sdt>
            <w:sdt>
              <w:sdtPr>
                <w:tag w:val="_PLD_fccf4811cdbb443297a0ce875715525f"/>
                <w:id w:val="535088254"/>
              </w:sdtPr>
              <w:sdtEndPr/>
              <w:sdtContent>
                <w:tc>
                  <w:tcPr>
                    <w:tcW w:w="1567" w:type="pct"/>
                    <w:vAlign w:val="center"/>
                  </w:tcPr>
                  <w:p w14:paraId="7A2F07F5" w14:textId="77777777" w:rsidR="007E7472" w:rsidRDefault="00EC1269">
                    <w:pPr>
                      <w:autoSpaceDE w:val="0"/>
                      <w:autoSpaceDN w:val="0"/>
                      <w:adjustRightInd w:val="0"/>
                      <w:snapToGrid w:val="0"/>
                      <w:jc w:val="center"/>
                    </w:pPr>
                    <w:r>
                      <w:rPr>
                        <w:rFonts w:hint="eastAsia"/>
                      </w:rPr>
                      <w:t>上期发生额</w:t>
                    </w:r>
                  </w:p>
                </w:tc>
              </w:sdtContent>
            </w:sdt>
          </w:tr>
          <w:tr w:rsidR="007E7472" w14:paraId="13FAEDF0" w14:textId="77777777" w:rsidTr="007E7472">
            <w:trPr>
              <w:trHeight w:val="340"/>
            </w:trPr>
            <w:tc>
              <w:tcPr>
                <w:tcW w:w="1882" w:type="pct"/>
                <w:vAlign w:val="center"/>
              </w:tcPr>
              <w:p w14:paraId="39E4E55A" w14:textId="77777777" w:rsidR="007E7472" w:rsidRDefault="00EC1269">
                <w:pPr>
                  <w:autoSpaceDE w:val="0"/>
                  <w:autoSpaceDN w:val="0"/>
                  <w:adjustRightInd w:val="0"/>
                  <w:snapToGrid w:val="0"/>
                </w:pPr>
                <w:r>
                  <w:rPr>
                    <w:rFonts w:hint="eastAsia"/>
                  </w:rPr>
                  <w:t>销售及管理费用支付额</w:t>
                </w:r>
              </w:p>
            </w:tc>
            <w:tc>
              <w:tcPr>
                <w:tcW w:w="1551" w:type="pct"/>
                <w:vAlign w:val="center"/>
              </w:tcPr>
              <w:p w14:paraId="1D3F7B8C" w14:textId="77777777" w:rsidR="007E7472" w:rsidRDefault="00EC1269">
                <w:pPr>
                  <w:jc w:val="right"/>
                </w:pPr>
                <w:r>
                  <w:t>3,142,686</w:t>
                </w:r>
              </w:p>
            </w:tc>
            <w:tc>
              <w:tcPr>
                <w:tcW w:w="1567" w:type="pct"/>
                <w:vAlign w:val="center"/>
              </w:tcPr>
              <w:p w14:paraId="27737923" w14:textId="77777777" w:rsidR="007E7472" w:rsidRDefault="00EC1269">
                <w:pPr>
                  <w:jc w:val="right"/>
                </w:pPr>
                <w:r>
                  <w:t>2,858,190</w:t>
                </w:r>
              </w:p>
            </w:tc>
          </w:tr>
          <w:tr w:rsidR="007E7472" w14:paraId="4E5B7C10" w14:textId="77777777" w:rsidTr="007E7472">
            <w:trPr>
              <w:trHeight w:val="340"/>
            </w:trPr>
            <w:tc>
              <w:tcPr>
                <w:tcW w:w="1882" w:type="pct"/>
                <w:vAlign w:val="center"/>
              </w:tcPr>
              <w:p w14:paraId="1C86C8D6" w14:textId="77777777" w:rsidR="007E7472" w:rsidRDefault="00EC1269">
                <w:pPr>
                  <w:autoSpaceDE w:val="0"/>
                  <w:autoSpaceDN w:val="0"/>
                  <w:adjustRightInd w:val="0"/>
                  <w:snapToGrid w:val="0"/>
                  <w:rPr>
                    <w:rFonts w:asciiTheme="minorHAnsi" w:eastAsiaTheme="minorEastAsia" w:hAnsiTheme="minorHAnsi" w:cstheme="minorBidi"/>
                    <w:kern w:val="2"/>
                    <w:szCs w:val="22"/>
                  </w:rPr>
                </w:pPr>
                <w:r>
                  <w:rPr>
                    <w:rFonts w:hint="eastAsia"/>
                  </w:rPr>
                  <w:t>环境治理支出</w:t>
                </w:r>
              </w:p>
            </w:tc>
            <w:tc>
              <w:tcPr>
                <w:tcW w:w="1551" w:type="pct"/>
                <w:vAlign w:val="center"/>
              </w:tcPr>
              <w:p w14:paraId="79D37981" w14:textId="77777777" w:rsidR="007E7472" w:rsidRDefault="00EC1269">
                <w:pPr>
                  <w:jc w:val="right"/>
                </w:pPr>
                <w:r>
                  <w:t>1,075,548</w:t>
                </w:r>
              </w:p>
            </w:tc>
            <w:tc>
              <w:tcPr>
                <w:tcW w:w="1567" w:type="pct"/>
                <w:vAlign w:val="center"/>
              </w:tcPr>
              <w:p w14:paraId="40E939CE" w14:textId="77777777" w:rsidR="007E7472" w:rsidRDefault="00EC1269">
                <w:pPr>
                  <w:jc w:val="right"/>
                  <w:rPr>
                    <w:rFonts w:asciiTheme="minorHAnsi" w:eastAsiaTheme="minorEastAsia" w:hAnsiTheme="minorHAnsi" w:cstheme="minorBidi"/>
                    <w:kern w:val="2"/>
                    <w:szCs w:val="22"/>
                  </w:rPr>
                </w:pPr>
                <w:r>
                  <w:t>1,606,606</w:t>
                </w:r>
              </w:p>
            </w:tc>
          </w:tr>
          <w:tr w:rsidR="007E7472" w14:paraId="1EDAFAC9" w14:textId="77777777" w:rsidTr="007E7472">
            <w:trPr>
              <w:trHeight w:val="340"/>
            </w:trPr>
            <w:tc>
              <w:tcPr>
                <w:tcW w:w="1882" w:type="pct"/>
                <w:vAlign w:val="center"/>
              </w:tcPr>
              <w:p w14:paraId="26B33EB1" w14:textId="77777777" w:rsidR="007E7472" w:rsidRDefault="00EC1269">
                <w:pPr>
                  <w:autoSpaceDE w:val="0"/>
                  <w:autoSpaceDN w:val="0"/>
                  <w:adjustRightInd w:val="0"/>
                  <w:snapToGrid w:val="0"/>
                  <w:rPr>
                    <w:rFonts w:asciiTheme="minorHAnsi" w:eastAsiaTheme="minorEastAsia" w:hAnsiTheme="minorHAnsi" w:cstheme="minorBidi"/>
                    <w:kern w:val="2"/>
                    <w:szCs w:val="22"/>
                  </w:rPr>
                </w:pPr>
                <w:r>
                  <w:rPr>
                    <w:rFonts w:hint="eastAsia"/>
                  </w:rPr>
                  <w:t>支付环境恢复治理基金</w:t>
                </w:r>
              </w:p>
            </w:tc>
            <w:tc>
              <w:tcPr>
                <w:tcW w:w="1551" w:type="pct"/>
                <w:vAlign w:val="center"/>
              </w:tcPr>
              <w:p w14:paraId="4578CDB7" w14:textId="77777777" w:rsidR="007E7472" w:rsidRDefault="00EC1269">
                <w:pPr>
                  <w:jc w:val="right"/>
                </w:pPr>
                <w:r>
                  <w:t>275,128</w:t>
                </w:r>
              </w:p>
            </w:tc>
            <w:tc>
              <w:tcPr>
                <w:tcW w:w="1567" w:type="pct"/>
                <w:vAlign w:val="center"/>
              </w:tcPr>
              <w:p w14:paraId="4678AEE9" w14:textId="77777777" w:rsidR="007E7472" w:rsidRDefault="00EC1269">
                <w:pPr>
                  <w:jc w:val="right"/>
                  <w:rPr>
                    <w:rFonts w:asciiTheme="minorHAnsi" w:eastAsiaTheme="minorEastAsia" w:hAnsiTheme="minorHAnsi" w:cstheme="minorBidi"/>
                    <w:kern w:val="2"/>
                    <w:szCs w:val="22"/>
                  </w:rPr>
                </w:pPr>
                <w:r>
                  <w:t>1,219,863</w:t>
                </w:r>
              </w:p>
            </w:tc>
          </w:tr>
          <w:tr w:rsidR="007E7472" w14:paraId="33E60F69" w14:textId="77777777" w:rsidTr="007E7472">
            <w:trPr>
              <w:trHeight w:val="340"/>
            </w:trPr>
            <w:tc>
              <w:tcPr>
                <w:tcW w:w="1882" w:type="pct"/>
                <w:vAlign w:val="center"/>
              </w:tcPr>
              <w:p w14:paraId="51D3B833" w14:textId="77777777" w:rsidR="007E7472" w:rsidRDefault="00EC1269">
                <w:pPr>
                  <w:autoSpaceDE w:val="0"/>
                  <w:autoSpaceDN w:val="0"/>
                  <w:adjustRightInd w:val="0"/>
                  <w:snapToGrid w:val="0"/>
                  <w:rPr>
                    <w:rFonts w:asciiTheme="minorHAnsi" w:eastAsiaTheme="minorEastAsia" w:hAnsiTheme="minorHAnsi" w:cstheme="minorBidi"/>
                    <w:kern w:val="2"/>
                    <w:szCs w:val="22"/>
                  </w:rPr>
                </w:pPr>
                <w:r>
                  <w:rPr>
                    <w:rFonts w:hint="eastAsia"/>
                  </w:rPr>
                  <w:t>往来款</w:t>
                </w:r>
              </w:p>
            </w:tc>
            <w:tc>
              <w:tcPr>
                <w:tcW w:w="1551" w:type="pct"/>
                <w:vAlign w:val="center"/>
              </w:tcPr>
              <w:p w14:paraId="424E6BCC" w14:textId="77777777" w:rsidR="007E7472" w:rsidRDefault="00EC1269">
                <w:pPr>
                  <w:jc w:val="right"/>
                </w:pPr>
                <w:r>
                  <w:t>219,391</w:t>
                </w:r>
              </w:p>
            </w:tc>
            <w:tc>
              <w:tcPr>
                <w:tcW w:w="1567" w:type="pct"/>
                <w:vAlign w:val="center"/>
              </w:tcPr>
              <w:p w14:paraId="558A40D5" w14:textId="77777777" w:rsidR="007E7472" w:rsidRDefault="00EC1269">
                <w:pPr>
                  <w:jc w:val="right"/>
                  <w:rPr>
                    <w:rFonts w:asciiTheme="minorHAnsi" w:eastAsiaTheme="minorEastAsia" w:hAnsiTheme="minorHAnsi" w:cstheme="minorBidi"/>
                    <w:kern w:val="2"/>
                    <w:szCs w:val="22"/>
                  </w:rPr>
                </w:pPr>
                <w:r>
                  <w:t>34,469</w:t>
                </w:r>
              </w:p>
            </w:tc>
          </w:tr>
          <w:tr w:rsidR="007E7472" w14:paraId="13AA839A" w14:textId="77777777" w:rsidTr="007E7472">
            <w:trPr>
              <w:trHeight w:val="340"/>
            </w:trPr>
            <w:tc>
              <w:tcPr>
                <w:tcW w:w="1882" w:type="pct"/>
                <w:vAlign w:val="center"/>
              </w:tcPr>
              <w:p w14:paraId="1BE9F56E" w14:textId="77777777" w:rsidR="007E7472" w:rsidRDefault="00EC1269">
                <w:pPr>
                  <w:autoSpaceDE w:val="0"/>
                  <w:autoSpaceDN w:val="0"/>
                  <w:adjustRightInd w:val="0"/>
                  <w:snapToGrid w:val="0"/>
                </w:pPr>
                <w:r>
                  <w:rPr>
                    <w:rFonts w:hint="eastAsia"/>
                  </w:rPr>
                  <w:t>存款利息支出</w:t>
                </w:r>
              </w:p>
            </w:tc>
            <w:tc>
              <w:tcPr>
                <w:tcW w:w="1551" w:type="pct"/>
                <w:vAlign w:val="center"/>
              </w:tcPr>
              <w:p w14:paraId="79793EF8" w14:textId="77777777" w:rsidR="007E7472" w:rsidRDefault="00EC1269">
                <w:pPr>
                  <w:jc w:val="right"/>
                </w:pPr>
                <w:r>
                  <w:t xml:space="preserve">77,401 </w:t>
                </w:r>
              </w:p>
            </w:tc>
            <w:tc>
              <w:tcPr>
                <w:tcW w:w="1567" w:type="pct"/>
                <w:vAlign w:val="center"/>
              </w:tcPr>
              <w:p w14:paraId="3B71B145" w14:textId="77777777" w:rsidR="007E7472" w:rsidRDefault="00EC1269">
                <w:pPr>
                  <w:jc w:val="right"/>
                </w:pPr>
                <w:r>
                  <w:t xml:space="preserve">107,645 </w:t>
                </w:r>
              </w:p>
            </w:tc>
          </w:tr>
          <w:tr w:rsidR="007E7472" w14:paraId="2FED6126" w14:textId="77777777" w:rsidTr="007E7472">
            <w:trPr>
              <w:trHeight w:val="340"/>
            </w:trPr>
            <w:tc>
              <w:tcPr>
                <w:tcW w:w="1882" w:type="pct"/>
                <w:vAlign w:val="center"/>
              </w:tcPr>
              <w:p w14:paraId="0F877521" w14:textId="77777777" w:rsidR="007E7472" w:rsidRDefault="00EC1269">
                <w:pPr>
                  <w:autoSpaceDE w:val="0"/>
                  <w:autoSpaceDN w:val="0"/>
                  <w:adjustRightInd w:val="0"/>
                  <w:snapToGrid w:val="0"/>
                  <w:rPr>
                    <w:rFonts w:asciiTheme="minorHAnsi" w:eastAsiaTheme="minorEastAsia" w:hAnsiTheme="minorHAnsi" w:cstheme="minorBidi"/>
                    <w:kern w:val="2"/>
                    <w:szCs w:val="22"/>
                  </w:rPr>
                </w:pPr>
                <w:r>
                  <w:rPr>
                    <w:rFonts w:hint="eastAsia"/>
                  </w:rPr>
                  <w:t>支付票据保证金</w:t>
                </w:r>
              </w:p>
            </w:tc>
            <w:tc>
              <w:tcPr>
                <w:tcW w:w="1551" w:type="pct"/>
                <w:vAlign w:val="center"/>
              </w:tcPr>
              <w:p w14:paraId="5AA51FB8" w14:textId="77777777" w:rsidR="007E7472" w:rsidRDefault="00EC1269">
                <w:pPr>
                  <w:jc w:val="right"/>
                </w:pPr>
                <w:r>
                  <w:t>46,903</w:t>
                </w:r>
              </w:p>
            </w:tc>
            <w:tc>
              <w:tcPr>
                <w:tcW w:w="1567" w:type="pct"/>
                <w:vAlign w:val="center"/>
              </w:tcPr>
              <w:p w14:paraId="0BBEC08C" w14:textId="77777777" w:rsidR="007E7472" w:rsidRDefault="00EC1269">
                <w:pPr>
                  <w:jc w:val="right"/>
                  <w:rPr>
                    <w:rFonts w:asciiTheme="minorHAnsi" w:eastAsiaTheme="minorEastAsia" w:hAnsiTheme="minorHAnsi" w:cstheme="minorBidi"/>
                    <w:kern w:val="2"/>
                    <w:szCs w:val="22"/>
                  </w:rPr>
                </w:pPr>
                <w:r>
                  <w:t>790,213</w:t>
                </w:r>
              </w:p>
            </w:tc>
          </w:tr>
          <w:tr w:rsidR="007E7472" w14:paraId="3FBBEBF7" w14:textId="77777777" w:rsidTr="007E7472">
            <w:trPr>
              <w:trHeight w:val="340"/>
            </w:trPr>
            <w:tc>
              <w:tcPr>
                <w:tcW w:w="1882" w:type="pct"/>
                <w:vAlign w:val="center"/>
              </w:tcPr>
              <w:p w14:paraId="40B4C1AD" w14:textId="77777777" w:rsidR="007E7472" w:rsidRDefault="00EC1269">
                <w:pPr>
                  <w:autoSpaceDE w:val="0"/>
                  <w:autoSpaceDN w:val="0"/>
                  <w:adjustRightInd w:val="0"/>
                  <w:snapToGrid w:val="0"/>
                  <w:rPr>
                    <w:rFonts w:asciiTheme="minorHAnsi" w:eastAsiaTheme="minorEastAsia" w:hAnsiTheme="minorHAnsi" w:cstheme="minorBidi"/>
                    <w:kern w:val="2"/>
                    <w:szCs w:val="22"/>
                  </w:rPr>
                </w:pPr>
                <w:r>
                  <w:rPr>
                    <w:rFonts w:hint="eastAsia"/>
                  </w:rPr>
                  <w:t>罚款及滞纳金</w:t>
                </w:r>
              </w:p>
            </w:tc>
            <w:tc>
              <w:tcPr>
                <w:tcW w:w="1551" w:type="pct"/>
                <w:vAlign w:val="center"/>
              </w:tcPr>
              <w:p w14:paraId="7176DFA3" w14:textId="77777777" w:rsidR="007E7472" w:rsidRDefault="00EC1269">
                <w:pPr>
                  <w:jc w:val="right"/>
                </w:pPr>
                <w:r>
                  <w:t>31,892</w:t>
                </w:r>
              </w:p>
            </w:tc>
            <w:tc>
              <w:tcPr>
                <w:tcW w:w="1567" w:type="pct"/>
                <w:vAlign w:val="center"/>
              </w:tcPr>
              <w:p w14:paraId="786E6F97" w14:textId="77777777" w:rsidR="007E7472" w:rsidRDefault="00EC1269">
                <w:pPr>
                  <w:jc w:val="right"/>
                  <w:rPr>
                    <w:rFonts w:asciiTheme="minorHAnsi" w:eastAsiaTheme="minorEastAsia" w:hAnsiTheme="minorHAnsi" w:cstheme="minorBidi"/>
                    <w:kern w:val="2"/>
                    <w:szCs w:val="22"/>
                  </w:rPr>
                </w:pPr>
                <w:r>
                  <w:t>20,926</w:t>
                </w:r>
              </w:p>
            </w:tc>
          </w:tr>
          <w:tr w:rsidR="007E7472" w14:paraId="70CA0C4B" w14:textId="77777777" w:rsidTr="007E7472">
            <w:trPr>
              <w:trHeight w:val="340"/>
            </w:trPr>
            <w:tc>
              <w:tcPr>
                <w:tcW w:w="1882" w:type="pct"/>
                <w:vAlign w:val="center"/>
              </w:tcPr>
              <w:p w14:paraId="2758432A" w14:textId="77777777" w:rsidR="007E7472" w:rsidRDefault="00EC1269">
                <w:pPr>
                  <w:autoSpaceDE w:val="0"/>
                  <w:autoSpaceDN w:val="0"/>
                  <w:adjustRightInd w:val="0"/>
                  <w:snapToGrid w:val="0"/>
                  <w:rPr>
                    <w:rFonts w:asciiTheme="minorHAnsi" w:eastAsiaTheme="minorEastAsia" w:hAnsiTheme="minorHAnsi" w:cstheme="minorBidi"/>
                    <w:kern w:val="2"/>
                    <w:szCs w:val="22"/>
                  </w:rPr>
                </w:pPr>
                <w:r>
                  <w:rPr>
                    <w:rFonts w:hint="eastAsia"/>
                  </w:rPr>
                  <w:t>捐赠支出</w:t>
                </w:r>
              </w:p>
            </w:tc>
            <w:tc>
              <w:tcPr>
                <w:tcW w:w="1551" w:type="pct"/>
                <w:vAlign w:val="center"/>
              </w:tcPr>
              <w:p w14:paraId="00157356" w14:textId="3CD5FBD4" w:rsidR="007E7472" w:rsidRDefault="00EC1269">
                <w:pPr>
                  <w:jc w:val="right"/>
                </w:pPr>
                <w:r>
                  <w:t>20,62</w:t>
                </w:r>
                <w:r w:rsidR="00913748">
                  <w:t>3</w:t>
                </w:r>
              </w:p>
            </w:tc>
            <w:tc>
              <w:tcPr>
                <w:tcW w:w="1567" w:type="pct"/>
                <w:vAlign w:val="center"/>
              </w:tcPr>
              <w:p w14:paraId="51F64BE2" w14:textId="77777777" w:rsidR="007E7472" w:rsidRDefault="00EC1269">
                <w:pPr>
                  <w:jc w:val="right"/>
                  <w:rPr>
                    <w:rFonts w:asciiTheme="minorHAnsi" w:eastAsiaTheme="minorEastAsia" w:hAnsiTheme="minorHAnsi" w:cstheme="minorBidi"/>
                    <w:kern w:val="2"/>
                    <w:szCs w:val="22"/>
                  </w:rPr>
                </w:pPr>
                <w:r>
                  <w:t>27,127</w:t>
                </w:r>
              </w:p>
            </w:tc>
          </w:tr>
          <w:tr w:rsidR="007E7472" w14:paraId="0DC9136A" w14:textId="77777777" w:rsidTr="007E7472">
            <w:trPr>
              <w:trHeight w:val="340"/>
            </w:trPr>
            <w:tc>
              <w:tcPr>
                <w:tcW w:w="1882" w:type="pct"/>
                <w:vAlign w:val="center"/>
              </w:tcPr>
              <w:p w14:paraId="12469601" w14:textId="77777777" w:rsidR="007E7472" w:rsidRDefault="00EC1269">
                <w:pPr>
                  <w:autoSpaceDE w:val="0"/>
                  <w:autoSpaceDN w:val="0"/>
                  <w:adjustRightInd w:val="0"/>
                  <w:snapToGrid w:val="0"/>
                </w:pPr>
                <w:r>
                  <w:rPr>
                    <w:rFonts w:hint="eastAsia"/>
                  </w:rPr>
                  <w:t>冻结资金</w:t>
                </w:r>
              </w:p>
            </w:tc>
            <w:tc>
              <w:tcPr>
                <w:tcW w:w="1551" w:type="pct"/>
                <w:vAlign w:val="center"/>
              </w:tcPr>
              <w:p w14:paraId="38F56879" w14:textId="77777777" w:rsidR="007E7472" w:rsidRDefault="00EC1269">
                <w:pPr>
                  <w:jc w:val="right"/>
                </w:pPr>
                <w:r>
                  <w:t>457</w:t>
                </w:r>
              </w:p>
            </w:tc>
            <w:tc>
              <w:tcPr>
                <w:tcW w:w="1567" w:type="pct"/>
                <w:vAlign w:val="center"/>
              </w:tcPr>
              <w:p w14:paraId="39B5C811" w14:textId="77777777" w:rsidR="007E7472" w:rsidRDefault="00C8327E">
                <w:pPr>
                  <w:jc w:val="right"/>
                </w:pPr>
              </w:p>
            </w:tc>
          </w:tr>
          <w:tr w:rsidR="007E7472" w14:paraId="45DBCE67" w14:textId="77777777" w:rsidTr="007E7472">
            <w:trPr>
              <w:trHeight w:val="340"/>
            </w:trPr>
            <w:tc>
              <w:tcPr>
                <w:tcW w:w="1882" w:type="pct"/>
                <w:vAlign w:val="center"/>
              </w:tcPr>
              <w:p w14:paraId="75FA77CF" w14:textId="77777777" w:rsidR="007E7472" w:rsidRDefault="00EC1269">
                <w:pPr>
                  <w:autoSpaceDE w:val="0"/>
                  <w:autoSpaceDN w:val="0"/>
                  <w:adjustRightInd w:val="0"/>
                  <w:snapToGrid w:val="0"/>
                </w:pPr>
                <w:r>
                  <w:rPr>
                    <w:rFonts w:hint="eastAsia"/>
                  </w:rPr>
                  <w:t>其他</w:t>
                </w:r>
              </w:p>
            </w:tc>
            <w:tc>
              <w:tcPr>
                <w:tcW w:w="1551" w:type="pct"/>
                <w:vAlign w:val="center"/>
              </w:tcPr>
              <w:p w14:paraId="24D34A25" w14:textId="1D47BACF" w:rsidR="007E7472" w:rsidRDefault="00EC1269">
                <w:pPr>
                  <w:jc w:val="right"/>
                </w:pPr>
                <w:r>
                  <w:t>210,03</w:t>
                </w:r>
                <w:r w:rsidR="00913748">
                  <w:t>9</w:t>
                </w:r>
                <w:r>
                  <w:t xml:space="preserve"> </w:t>
                </w:r>
              </w:p>
            </w:tc>
            <w:tc>
              <w:tcPr>
                <w:tcW w:w="1567" w:type="pct"/>
                <w:vAlign w:val="center"/>
              </w:tcPr>
              <w:p w14:paraId="58D0305A" w14:textId="77777777" w:rsidR="007E7472" w:rsidRDefault="00EC1269">
                <w:pPr>
                  <w:jc w:val="right"/>
                </w:pPr>
                <w:r>
                  <w:t xml:space="preserve">643,288 </w:t>
                </w:r>
              </w:p>
            </w:tc>
          </w:tr>
          <w:tr w:rsidR="007E7472" w14:paraId="3B3AD95E" w14:textId="77777777" w:rsidTr="007E7472">
            <w:trPr>
              <w:trHeight w:val="340"/>
            </w:trPr>
            <w:sdt>
              <w:sdtPr>
                <w:tag w:val="_PLD_4b68c0729f8e49a4ac82fb1d64daa6dc"/>
                <w:id w:val="1612011661"/>
                <w:lock w:val="sdtLocked"/>
              </w:sdtPr>
              <w:sdtEndPr/>
              <w:sdtContent>
                <w:tc>
                  <w:tcPr>
                    <w:tcW w:w="1882" w:type="pct"/>
                    <w:vAlign w:val="center"/>
                  </w:tcPr>
                  <w:p w14:paraId="1C8A19DD" w14:textId="77777777" w:rsidR="007E7472" w:rsidRDefault="00EC1269">
                    <w:pPr>
                      <w:autoSpaceDE w:val="0"/>
                      <w:autoSpaceDN w:val="0"/>
                      <w:adjustRightInd w:val="0"/>
                      <w:snapToGrid w:val="0"/>
                      <w:jc w:val="center"/>
                    </w:pPr>
                    <w:r>
                      <w:rPr>
                        <w:rFonts w:hint="eastAsia"/>
                      </w:rPr>
                      <w:t>合计</w:t>
                    </w:r>
                  </w:p>
                </w:tc>
              </w:sdtContent>
            </w:sdt>
            <w:tc>
              <w:tcPr>
                <w:tcW w:w="1551" w:type="pct"/>
                <w:vAlign w:val="center"/>
              </w:tcPr>
              <w:p w14:paraId="790F01F5" w14:textId="77777777" w:rsidR="007E7472" w:rsidRDefault="00EC1269">
                <w:pPr>
                  <w:jc w:val="right"/>
                </w:pPr>
                <w:r>
                  <w:t>5,100,068</w:t>
                </w:r>
              </w:p>
            </w:tc>
            <w:tc>
              <w:tcPr>
                <w:tcW w:w="1567" w:type="pct"/>
                <w:vAlign w:val="center"/>
              </w:tcPr>
              <w:p w14:paraId="4FCB0991" w14:textId="77777777" w:rsidR="007E7472" w:rsidRDefault="00EC1269">
                <w:pPr>
                  <w:jc w:val="right"/>
                </w:pPr>
                <w:r>
                  <w:t>7,308,327</w:t>
                </w:r>
              </w:p>
            </w:tc>
          </w:tr>
        </w:tbl>
        <w:p w14:paraId="5BB1AEE2" w14:textId="77777777" w:rsidR="007E7472" w:rsidRDefault="00C8327E">
          <w:pPr>
            <w:ind w:right="5"/>
          </w:pPr>
        </w:p>
      </w:sdtContent>
    </w:sdt>
    <w:p w14:paraId="4A8EF5BC" w14:textId="77777777" w:rsidR="007E7472" w:rsidRDefault="00C8327E">
      <w:pPr>
        <w:spacing w:line="360" w:lineRule="exact"/>
        <w:ind w:right="5"/>
      </w:pPr>
    </w:p>
    <w:sdt>
      <w:sdtPr>
        <w:rPr>
          <w:rFonts w:ascii="宋体" w:hAnsi="宋体" w:cs="宋体" w:hint="eastAsia"/>
          <w:b w:val="0"/>
          <w:bCs w:val="0"/>
          <w:kern w:val="0"/>
          <w:sz w:val="24"/>
          <w:szCs w:val="21"/>
        </w:rPr>
        <w:alias w:val="模块:收到的其他与投资活动有关的现金"/>
        <w:tag w:val="_GBC_7d29c8348da547cab82786074f1b3249"/>
        <w:id w:val="-104736148"/>
        <w:lock w:val="sdtLocked"/>
        <w:placeholder>
          <w:docPart w:val="GBC22222222222222222222222222222"/>
        </w:placeholder>
      </w:sdtPr>
      <w:sdtEndPr>
        <w:rPr>
          <w:rFonts w:cstheme="minorBidi" w:hint="default"/>
          <w:sz w:val="21"/>
        </w:rPr>
      </w:sdtEndPr>
      <w:sdtContent>
        <w:p w14:paraId="6975FAC5" w14:textId="77777777" w:rsidR="007E7472" w:rsidRDefault="00EC1269" w:rsidP="00162493">
          <w:pPr>
            <w:pStyle w:val="4"/>
            <w:numPr>
              <w:ilvl w:val="0"/>
              <w:numId w:val="96"/>
            </w:numPr>
          </w:pPr>
          <w:r>
            <w:rPr>
              <w:rFonts w:hint="eastAsia"/>
            </w:rPr>
            <w:t>收到的其他与投资活动有关的现金</w:t>
          </w:r>
        </w:p>
        <w:sdt>
          <w:sdtPr>
            <w:alias w:val="是否适用：收到的其他与投资活动有关的现金[双击切换]"/>
            <w:tag w:val="_GBC_ae3b1cf9e3aa408a8867e76d71769712"/>
            <w:id w:val="-1871749888"/>
            <w:lock w:val="sdtLocked"/>
            <w:placeholder>
              <w:docPart w:val="GBC22222222222222222222222222222"/>
            </w:placeholder>
          </w:sdtPr>
          <w:sdtEndPr/>
          <w:sdtContent>
            <w:p w14:paraId="6E2250B9" w14:textId="77777777" w:rsidR="007E7472" w:rsidRDefault="00EC1269">
              <w:r>
                <w:rPr>
                  <w:rFonts w:hint="eastAsia"/>
                </w:rPr>
                <w:fldChar w:fldCharType="begin"/>
              </w:r>
              <w:r>
                <w:rPr>
                  <w:rFonts w:hint="eastAsia"/>
                </w:rPr>
                <w:instrText xml:space="preserve"> MACROBUTTON  SnrToggleCheckbox √适用 </w:instrText>
              </w:r>
              <w:r>
                <w:rPr>
                  <w:rFonts w:hint="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357FBE65" w14:textId="568B4669" w:rsidR="007E7472" w:rsidRDefault="00EC1269">
          <w:pPr>
            <w:jc w:val="right"/>
          </w:pPr>
          <w:r>
            <w:rPr>
              <w:rFonts w:hint="eastAsia"/>
            </w:rPr>
            <w:t>单位：</w:t>
          </w:r>
          <w:sdt>
            <w:sdtPr>
              <w:rPr>
                <w:rFonts w:hint="eastAsia"/>
              </w:rPr>
              <w:alias w:val="单位：财务附注：收到的其他与投资活动有关的现金"/>
              <w:tag w:val="_GBC_864c08420ed74aa18dcf838d10153475"/>
              <w:id w:val="6568918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收到的其他与投资活动有关的现金"/>
              <w:tag w:val="_GBC_557bfe9cc4b045ff8684fc828911efc1"/>
              <w:id w:val="1105517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3321"/>
            <w:gridCol w:w="2839"/>
            <w:gridCol w:w="2663"/>
          </w:tblGrid>
          <w:tr w:rsidR="007E7472" w14:paraId="22F55CAF" w14:textId="77777777" w:rsidTr="007E7472">
            <w:trPr>
              <w:trHeight w:val="340"/>
            </w:trPr>
            <w:sdt>
              <w:sdtPr>
                <w:tag w:val="_PLD_fe329b3300fe449c869fda5c957ed9e6"/>
                <w:id w:val="-1029183374"/>
                <w:lock w:val="sdtLocked"/>
              </w:sdtPr>
              <w:sdtEndPr/>
              <w:sdtContent>
                <w:tc>
                  <w:tcPr>
                    <w:tcW w:w="1882" w:type="pct"/>
                    <w:vAlign w:val="center"/>
                  </w:tcPr>
                  <w:p w14:paraId="00B805D5" w14:textId="77777777" w:rsidR="007E7472" w:rsidRDefault="00EC1269">
                    <w:pPr>
                      <w:autoSpaceDE w:val="0"/>
                      <w:autoSpaceDN w:val="0"/>
                      <w:adjustRightInd w:val="0"/>
                      <w:snapToGrid w:val="0"/>
                      <w:spacing w:line="240" w:lineRule="atLeast"/>
                      <w:jc w:val="center"/>
                    </w:pPr>
                    <w:r>
                      <w:rPr>
                        <w:rFonts w:hint="eastAsia"/>
                      </w:rPr>
                      <w:t>项目</w:t>
                    </w:r>
                  </w:p>
                </w:tc>
              </w:sdtContent>
            </w:sdt>
            <w:sdt>
              <w:sdtPr>
                <w:tag w:val="_PLD_e828a524680d4faeb14e148b152d9982"/>
                <w:id w:val="-659926198"/>
                <w:lock w:val="sdtLocked"/>
              </w:sdtPr>
              <w:sdtEndPr/>
              <w:sdtContent>
                <w:tc>
                  <w:tcPr>
                    <w:tcW w:w="1609" w:type="pct"/>
                    <w:vAlign w:val="center"/>
                  </w:tcPr>
                  <w:p w14:paraId="2EC46764" w14:textId="77777777" w:rsidR="007E7472" w:rsidRDefault="00EC1269">
                    <w:pPr>
                      <w:autoSpaceDE w:val="0"/>
                      <w:autoSpaceDN w:val="0"/>
                      <w:adjustRightInd w:val="0"/>
                      <w:snapToGrid w:val="0"/>
                      <w:spacing w:line="240" w:lineRule="atLeast"/>
                      <w:jc w:val="center"/>
                    </w:pPr>
                    <w:r>
                      <w:rPr>
                        <w:rFonts w:hint="eastAsia"/>
                      </w:rPr>
                      <w:t>本期发生额</w:t>
                    </w:r>
                  </w:p>
                </w:tc>
              </w:sdtContent>
            </w:sdt>
            <w:sdt>
              <w:sdtPr>
                <w:tag w:val="_PLD_a8eb20dbb1b143d399d3bde1f6e00fa3"/>
                <w:id w:val="-2057700036"/>
                <w:lock w:val="sdtLocked"/>
              </w:sdtPr>
              <w:sdtEndPr/>
              <w:sdtContent>
                <w:tc>
                  <w:tcPr>
                    <w:tcW w:w="1509" w:type="pct"/>
                    <w:vAlign w:val="center"/>
                  </w:tcPr>
                  <w:p w14:paraId="3FBF24D9" w14:textId="77777777" w:rsidR="007E7472" w:rsidRDefault="00EC1269">
                    <w:pPr>
                      <w:autoSpaceDE w:val="0"/>
                      <w:autoSpaceDN w:val="0"/>
                      <w:adjustRightInd w:val="0"/>
                      <w:snapToGrid w:val="0"/>
                      <w:spacing w:line="240" w:lineRule="atLeast"/>
                      <w:jc w:val="center"/>
                    </w:pPr>
                    <w:r>
                      <w:rPr>
                        <w:rFonts w:hint="eastAsia"/>
                      </w:rPr>
                      <w:t>上期发生额</w:t>
                    </w:r>
                  </w:p>
                </w:tc>
              </w:sdtContent>
            </w:sdt>
          </w:tr>
          <w:tr w:rsidR="007E7472" w14:paraId="5C4D0E37" w14:textId="77777777" w:rsidTr="007E7472">
            <w:trPr>
              <w:trHeight w:val="340"/>
            </w:trPr>
            <w:tc>
              <w:tcPr>
                <w:tcW w:w="1882" w:type="pct"/>
                <w:vAlign w:val="center"/>
              </w:tcPr>
              <w:p w14:paraId="39F15814" w14:textId="77777777" w:rsidR="007E7472" w:rsidRDefault="00EC1269">
                <w:pPr>
                  <w:autoSpaceDE w:val="0"/>
                  <w:autoSpaceDN w:val="0"/>
                  <w:adjustRightInd w:val="0"/>
                  <w:snapToGrid w:val="0"/>
                  <w:spacing w:line="240" w:lineRule="atLeast"/>
                </w:pPr>
                <w:r>
                  <w:rPr>
                    <w:rFonts w:hint="eastAsia"/>
                  </w:rPr>
                  <w:t>利率互换</w:t>
                </w:r>
              </w:p>
            </w:tc>
            <w:tc>
              <w:tcPr>
                <w:tcW w:w="1609" w:type="pct"/>
                <w:vAlign w:val="center"/>
              </w:tcPr>
              <w:p w14:paraId="7ACCBB13" w14:textId="77777777" w:rsidR="007E7472" w:rsidRDefault="00EC1269">
                <w:pPr>
                  <w:jc w:val="right"/>
                </w:pPr>
                <w:r>
                  <w:t>22,586</w:t>
                </w:r>
              </w:p>
            </w:tc>
            <w:tc>
              <w:tcPr>
                <w:tcW w:w="1509" w:type="pct"/>
                <w:vAlign w:val="center"/>
              </w:tcPr>
              <w:p w14:paraId="1B31B081" w14:textId="77777777" w:rsidR="007E7472" w:rsidRDefault="00C8327E">
                <w:pPr>
                  <w:jc w:val="right"/>
                </w:pPr>
              </w:p>
            </w:tc>
          </w:tr>
          <w:tr w:rsidR="007E7472" w14:paraId="60EBB678" w14:textId="77777777" w:rsidTr="007E7472">
            <w:trPr>
              <w:trHeight w:val="340"/>
            </w:trPr>
            <w:tc>
              <w:tcPr>
                <w:tcW w:w="1882" w:type="pct"/>
                <w:vAlign w:val="center"/>
              </w:tcPr>
              <w:p w14:paraId="13274D84" w14:textId="77777777" w:rsidR="007E7472" w:rsidRDefault="00EC1269">
                <w:pPr>
                  <w:autoSpaceDE w:val="0"/>
                  <w:autoSpaceDN w:val="0"/>
                  <w:adjustRightInd w:val="0"/>
                  <w:snapToGrid w:val="0"/>
                  <w:spacing w:line="240" w:lineRule="atLeast"/>
                </w:pPr>
                <w:r>
                  <w:rPr>
                    <w:rFonts w:hint="eastAsia"/>
                  </w:rPr>
                  <w:t>期货投资</w:t>
                </w:r>
              </w:p>
            </w:tc>
            <w:tc>
              <w:tcPr>
                <w:tcW w:w="1609" w:type="pct"/>
                <w:vAlign w:val="center"/>
              </w:tcPr>
              <w:p w14:paraId="65D58C41" w14:textId="77777777" w:rsidR="007E7472" w:rsidRDefault="00EC1269">
                <w:pPr>
                  <w:jc w:val="right"/>
                </w:pPr>
                <w:r>
                  <w:t>9,042</w:t>
                </w:r>
              </w:p>
            </w:tc>
            <w:tc>
              <w:tcPr>
                <w:tcW w:w="1509" w:type="pct"/>
                <w:vAlign w:val="center"/>
              </w:tcPr>
              <w:p w14:paraId="4C728882" w14:textId="77777777" w:rsidR="007E7472" w:rsidRDefault="00EC1269">
                <w:pPr>
                  <w:jc w:val="right"/>
                </w:pPr>
                <w:r>
                  <w:t>24,911</w:t>
                </w:r>
              </w:p>
            </w:tc>
          </w:tr>
          <w:tr w:rsidR="007E7472" w14:paraId="1531781C" w14:textId="77777777" w:rsidTr="007E7472">
            <w:trPr>
              <w:trHeight w:val="340"/>
            </w:trPr>
            <w:tc>
              <w:tcPr>
                <w:tcW w:w="1882" w:type="pct"/>
                <w:vAlign w:val="center"/>
              </w:tcPr>
              <w:p w14:paraId="4DC4123A" w14:textId="77777777" w:rsidR="007E7472" w:rsidRDefault="00EC1269">
                <w:pPr>
                  <w:autoSpaceDE w:val="0"/>
                  <w:autoSpaceDN w:val="0"/>
                  <w:adjustRightInd w:val="0"/>
                  <w:snapToGrid w:val="0"/>
                  <w:spacing w:line="240" w:lineRule="atLeast"/>
                </w:pPr>
                <w:r>
                  <w:rPr>
                    <w:rFonts w:hint="eastAsia"/>
                  </w:rPr>
                  <w:t>收回中山矿贷款</w:t>
                </w:r>
              </w:p>
            </w:tc>
            <w:tc>
              <w:tcPr>
                <w:tcW w:w="1609" w:type="pct"/>
                <w:vAlign w:val="center"/>
              </w:tcPr>
              <w:p w14:paraId="75FC25D7" w14:textId="77777777" w:rsidR="007E7472" w:rsidRDefault="00C8327E">
                <w:pPr>
                  <w:jc w:val="right"/>
                </w:pPr>
              </w:p>
            </w:tc>
            <w:tc>
              <w:tcPr>
                <w:tcW w:w="1509" w:type="pct"/>
                <w:vAlign w:val="center"/>
              </w:tcPr>
              <w:p w14:paraId="6544A316" w14:textId="77777777" w:rsidR="007E7472" w:rsidRDefault="00EC1269">
                <w:pPr>
                  <w:jc w:val="right"/>
                </w:pPr>
                <w:r>
                  <w:t>923,660</w:t>
                </w:r>
              </w:p>
            </w:tc>
          </w:tr>
          <w:tr w:rsidR="007E7472" w14:paraId="33CD05E8" w14:textId="77777777" w:rsidTr="007E7472">
            <w:trPr>
              <w:trHeight w:val="340"/>
            </w:trPr>
            <w:tc>
              <w:tcPr>
                <w:tcW w:w="1882" w:type="pct"/>
                <w:vAlign w:val="center"/>
              </w:tcPr>
              <w:p w14:paraId="25D979FA" w14:textId="77777777" w:rsidR="007E7472" w:rsidRDefault="00EC1269">
                <w:pPr>
                  <w:autoSpaceDE w:val="0"/>
                  <w:autoSpaceDN w:val="0"/>
                  <w:adjustRightInd w:val="0"/>
                  <w:snapToGrid w:val="0"/>
                  <w:spacing w:line="240" w:lineRule="atLeast"/>
                </w:pPr>
                <w:r>
                  <w:rPr>
                    <w:rFonts w:hint="eastAsia"/>
                  </w:rPr>
                  <w:t>国债投资</w:t>
                </w:r>
              </w:p>
            </w:tc>
            <w:tc>
              <w:tcPr>
                <w:tcW w:w="1609" w:type="pct"/>
                <w:vAlign w:val="center"/>
              </w:tcPr>
              <w:p w14:paraId="23294151" w14:textId="77777777" w:rsidR="007E7472" w:rsidRDefault="00C8327E">
                <w:pPr>
                  <w:jc w:val="right"/>
                </w:pPr>
              </w:p>
            </w:tc>
            <w:tc>
              <w:tcPr>
                <w:tcW w:w="1509" w:type="pct"/>
                <w:vAlign w:val="center"/>
              </w:tcPr>
              <w:p w14:paraId="00BB7D92" w14:textId="77777777" w:rsidR="007E7472" w:rsidRDefault="00EC1269">
                <w:pPr>
                  <w:jc w:val="right"/>
                </w:pPr>
                <w:r>
                  <w:t>101,110</w:t>
                </w:r>
              </w:p>
            </w:tc>
          </w:tr>
          <w:tr w:rsidR="007E7472" w14:paraId="3CC78AF2" w14:textId="77777777" w:rsidTr="007E7472">
            <w:trPr>
              <w:trHeight w:val="340"/>
            </w:trPr>
            <w:sdt>
              <w:sdtPr>
                <w:tag w:val="_PLD_7a5b8e3355174a5f94c83cb81ed0821b"/>
                <w:id w:val="1608309904"/>
                <w:lock w:val="sdtLocked"/>
              </w:sdtPr>
              <w:sdtEndPr/>
              <w:sdtContent>
                <w:tc>
                  <w:tcPr>
                    <w:tcW w:w="1882" w:type="pct"/>
                    <w:vAlign w:val="center"/>
                  </w:tcPr>
                  <w:p w14:paraId="5B687424" w14:textId="77777777" w:rsidR="007E7472" w:rsidRDefault="00EC1269">
                    <w:pPr>
                      <w:autoSpaceDE w:val="0"/>
                      <w:autoSpaceDN w:val="0"/>
                      <w:adjustRightInd w:val="0"/>
                      <w:snapToGrid w:val="0"/>
                      <w:spacing w:line="240" w:lineRule="atLeast"/>
                      <w:jc w:val="center"/>
                    </w:pPr>
                    <w:r>
                      <w:rPr>
                        <w:rFonts w:hint="eastAsia"/>
                      </w:rPr>
                      <w:t>合计</w:t>
                    </w:r>
                  </w:p>
                </w:tc>
              </w:sdtContent>
            </w:sdt>
            <w:tc>
              <w:tcPr>
                <w:tcW w:w="1609" w:type="pct"/>
                <w:vAlign w:val="center"/>
              </w:tcPr>
              <w:p w14:paraId="513C6CC5" w14:textId="77777777" w:rsidR="007E7472" w:rsidRDefault="00EC1269">
                <w:pPr>
                  <w:jc w:val="right"/>
                </w:pPr>
                <w:r>
                  <w:t>31,628</w:t>
                </w:r>
              </w:p>
            </w:tc>
            <w:tc>
              <w:tcPr>
                <w:tcW w:w="1509" w:type="pct"/>
                <w:vAlign w:val="center"/>
              </w:tcPr>
              <w:p w14:paraId="1625A214" w14:textId="191B7599" w:rsidR="007E7472" w:rsidRDefault="00EC1269">
                <w:pPr>
                  <w:jc w:val="right"/>
                </w:pPr>
                <w:r>
                  <w:t>1,049,681</w:t>
                </w:r>
              </w:p>
            </w:tc>
          </w:tr>
        </w:tbl>
        <w:p w14:paraId="4E2A29CC" w14:textId="77777777" w:rsidR="007E7472" w:rsidRDefault="00C8327E">
          <w:pPr>
            <w:snapToGrid w:val="0"/>
            <w:spacing w:before="60" w:after="60"/>
          </w:pPr>
        </w:p>
      </w:sdtContent>
    </w:sdt>
    <w:sdt>
      <w:sdtPr>
        <w:rPr>
          <w:rFonts w:ascii="宋体" w:hAnsi="宋体" w:cs="宋体" w:hint="eastAsia"/>
          <w:b w:val="0"/>
          <w:bCs w:val="0"/>
          <w:kern w:val="0"/>
          <w:sz w:val="24"/>
          <w:szCs w:val="21"/>
        </w:rPr>
        <w:alias w:val="模块:支付的其他与投资活动有关的现金"/>
        <w:tag w:val="_GBC_fa501b3ede254af6bdfad826e328392a"/>
        <w:id w:val="532466739"/>
        <w:placeholder>
          <w:docPart w:val="GBC22222222222222222222222222222"/>
        </w:placeholder>
      </w:sdtPr>
      <w:sdtEndPr>
        <w:rPr>
          <w:rFonts w:cstheme="minorBidi"/>
          <w:sz w:val="21"/>
        </w:rPr>
      </w:sdtEndPr>
      <w:sdtContent>
        <w:p w14:paraId="429266AE" w14:textId="77777777" w:rsidR="007E7472" w:rsidRDefault="00EC1269" w:rsidP="00162493">
          <w:pPr>
            <w:pStyle w:val="4"/>
            <w:numPr>
              <w:ilvl w:val="0"/>
              <w:numId w:val="96"/>
            </w:numPr>
          </w:pPr>
          <w:r>
            <w:rPr>
              <w:rFonts w:hint="eastAsia"/>
            </w:rPr>
            <w:t>支付的其他与投资活动有关的现金</w:t>
          </w:r>
        </w:p>
        <w:sdt>
          <w:sdtPr>
            <w:alias w:val="是否适用：支付的其他与投资活动有关的现金[双击切换]"/>
            <w:tag w:val="_GBC_8862c0a38548482cb3b55a82757e3e33"/>
            <w:id w:val="-778574646"/>
            <w:lock w:val="sdtLocked"/>
            <w:placeholder>
              <w:docPart w:val="GBC22222222222222222222222222222"/>
            </w:placeholder>
          </w:sdtPr>
          <w:sdtEndPr/>
          <w:sdtContent>
            <w:p w14:paraId="0579E673"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308A76F6" w14:textId="2551124B" w:rsidR="007E7472" w:rsidRDefault="00EC1269">
          <w:pPr>
            <w:jc w:val="right"/>
          </w:pPr>
          <w:r>
            <w:rPr>
              <w:rFonts w:hint="eastAsia"/>
            </w:rPr>
            <w:t>单位：</w:t>
          </w:r>
          <w:sdt>
            <w:sdtPr>
              <w:rPr>
                <w:rFonts w:hint="eastAsia"/>
              </w:rPr>
              <w:alias w:val="单位：财务附注：支付的其他与投资活动有关的现金"/>
              <w:tag w:val="_GBC_d10892949aa14ffe8488e5fb3e554708"/>
              <w:id w:val="19648441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支付的其他与投资活动有关的现金"/>
              <w:tag w:val="_GBC_699764a41036486da9355782e929009a"/>
              <w:id w:val="-3101762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3321"/>
            <w:gridCol w:w="2841"/>
            <w:gridCol w:w="2661"/>
          </w:tblGrid>
          <w:tr w:rsidR="007E7472" w14:paraId="2DA30CC5" w14:textId="77777777" w:rsidTr="007E7472">
            <w:trPr>
              <w:trHeight w:val="340"/>
            </w:trPr>
            <w:sdt>
              <w:sdtPr>
                <w:tag w:val="_PLD_9d1eae9c142b4411afe63077d56be240"/>
                <w:id w:val="-685357208"/>
                <w:lock w:val="sdtLocked"/>
              </w:sdtPr>
              <w:sdtEndPr/>
              <w:sdtContent>
                <w:tc>
                  <w:tcPr>
                    <w:tcW w:w="1882" w:type="pct"/>
                    <w:vAlign w:val="center"/>
                  </w:tcPr>
                  <w:p w14:paraId="4B028326" w14:textId="77777777" w:rsidR="007E7472" w:rsidRDefault="00EC1269">
                    <w:pPr>
                      <w:autoSpaceDE w:val="0"/>
                      <w:autoSpaceDN w:val="0"/>
                      <w:adjustRightInd w:val="0"/>
                      <w:snapToGrid w:val="0"/>
                      <w:jc w:val="center"/>
                    </w:pPr>
                    <w:r>
                      <w:rPr>
                        <w:rFonts w:hint="eastAsia"/>
                      </w:rPr>
                      <w:t>项目</w:t>
                    </w:r>
                  </w:p>
                </w:tc>
              </w:sdtContent>
            </w:sdt>
            <w:sdt>
              <w:sdtPr>
                <w:tag w:val="_PLD_c15b0147904647a286b23a6481ce17ad"/>
                <w:id w:val="-1251339009"/>
                <w:lock w:val="sdtLocked"/>
              </w:sdtPr>
              <w:sdtEndPr/>
              <w:sdtContent>
                <w:tc>
                  <w:tcPr>
                    <w:tcW w:w="1610" w:type="pct"/>
                    <w:vAlign w:val="center"/>
                  </w:tcPr>
                  <w:p w14:paraId="3A6E2318" w14:textId="77777777" w:rsidR="007E7472" w:rsidRDefault="00EC1269">
                    <w:pPr>
                      <w:autoSpaceDE w:val="0"/>
                      <w:autoSpaceDN w:val="0"/>
                      <w:adjustRightInd w:val="0"/>
                      <w:snapToGrid w:val="0"/>
                      <w:jc w:val="center"/>
                    </w:pPr>
                    <w:r>
                      <w:rPr>
                        <w:rFonts w:hint="eastAsia"/>
                      </w:rPr>
                      <w:t>本期发生额</w:t>
                    </w:r>
                  </w:p>
                </w:tc>
              </w:sdtContent>
            </w:sdt>
            <w:sdt>
              <w:sdtPr>
                <w:tag w:val="_PLD_be0073208a034a9ea119993745bed906"/>
                <w:id w:val="-1217507750"/>
                <w:lock w:val="sdtLocked"/>
              </w:sdtPr>
              <w:sdtEndPr/>
              <w:sdtContent>
                <w:tc>
                  <w:tcPr>
                    <w:tcW w:w="1508" w:type="pct"/>
                    <w:vAlign w:val="center"/>
                  </w:tcPr>
                  <w:p w14:paraId="2E4524D7" w14:textId="77777777" w:rsidR="007E7472" w:rsidRDefault="00EC1269">
                    <w:pPr>
                      <w:autoSpaceDE w:val="0"/>
                      <w:autoSpaceDN w:val="0"/>
                      <w:adjustRightInd w:val="0"/>
                      <w:snapToGrid w:val="0"/>
                      <w:jc w:val="center"/>
                    </w:pPr>
                    <w:r>
                      <w:rPr>
                        <w:rFonts w:hint="eastAsia"/>
                      </w:rPr>
                      <w:t>上期发生额</w:t>
                    </w:r>
                  </w:p>
                </w:tc>
              </w:sdtContent>
            </w:sdt>
          </w:tr>
          <w:tr w:rsidR="007E7472" w14:paraId="3AEFFB49" w14:textId="77777777" w:rsidTr="007E7472">
            <w:trPr>
              <w:trHeight w:val="340"/>
            </w:trPr>
            <w:tc>
              <w:tcPr>
                <w:tcW w:w="1882" w:type="pct"/>
                <w:vAlign w:val="center"/>
              </w:tcPr>
              <w:p w14:paraId="632DB20A" w14:textId="77777777" w:rsidR="007E7472" w:rsidRDefault="00EC1269">
                <w:pPr>
                  <w:autoSpaceDE w:val="0"/>
                  <w:autoSpaceDN w:val="0"/>
                  <w:adjustRightInd w:val="0"/>
                  <w:snapToGrid w:val="0"/>
                </w:pPr>
                <w:r>
                  <w:rPr>
                    <w:rFonts w:hint="eastAsia"/>
                  </w:rPr>
                  <w:t>支付受限的定期存款</w:t>
                </w:r>
              </w:p>
            </w:tc>
            <w:tc>
              <w:tcPr>
                <w:tcW w:w="1610" w:type="pct"/>
                <w:vAlign w:val="center"/>
              </w:tcPr>
              <w:p w14:paraId="6B14069E" w14:textId="77777777" w:rsidR="007E7472" w:rsidRDefault="00EC1269">
                <w:pPr>
                  <w:jc w:val="right"/>
                </w:pPr>
                <w:r>
                  <w:t>51,815</w:t>
                </w:r>
              </w:p>
            </w:tc>
            <w:tc>
              <w:tcPr>
                <w:tcW w:w="1508" w:type="pct"/>
                <w:vAlign w:val="center"/>
              </w:tcPr>
              <w:p w14:paraId="7A4EC532" w14:textId="77777777" w:rsidR="007E7472" w:rsidRDefault="00C8327E">
                <w:pPr>
                  <w:jc w:val="right"/>
                </w:pPr>
              </w:p>
            </w:tc>
          </w:tr>
          <w:tr w:rsidR="007E7472" w14:paraId="522A85C0" w14:textId="77777777" w:rsidTr="007E7472">
            <w:trPr>
              <w:trHeight w:val="340"/>
            </w:trPr>
            <w:tc>
              <w:tcPr>
                <w:tcW w:w="1882" w:type="pct"/>
                <w:vAlign w:val="center"/>
              </w:tcPr>
              <w:p w14:paraId="2387FD8E" w14:textId="77777777" w:rsidR="007E7472" w:rsidRDefault="00EC1269">
                <w:pPr>
                  <w:autoSpaceDE w:val="0"/>
                  <w:autoSpaceDN w:val="0"/>
                  <w:adjustRightInd w:val="0"/>
                  <w:snapToGrid w:val="0"/>
                </w:pPr>
                <w:r>
                  <w:rPr>
                    <w:rFonts w:hint="eastAsia"/>
                  </w:rPr>
                  <w:t>支付保证金</w:t>
                </w:r>
              </w:p>
            </w:tc>
            <w:tc>
              <w:tcPr>
                <w:tcW w:w="1610" w:type="pct"/>
                <w:vAlign w:val="center"/>
              </w:tcPr>
              <w:p w14:paraId="331708DA" w14:textId="77777777" w:rsidR="007E7472" w:rsidRDefault="00EC1269">
                <w:pPr>
                  <w:jc w:val="right"/>
                </w:pPr>
                <w:r>
                  <w:t>18,400</w:t>
                </w:r>
              </w:p>
            </w:tc>
            <w:tc>
              <w:tcPr>
                <w:tcW w:w="1508" w:type="pct"/>
                <w:vAlign w:val="center"/>
              </w:tcPr>
              <w:p w14:paraId="15BB6BFD" w14:textId="77777777" w:rsidR="007E7472" w:rsidRDefault="00C8327E">
                <w:pPr>
                  <w:jc w:val="right"/>
                </w:pPr>
              </w:p>
            </w:tc>
          </w:tr>
          <w:tr w:rsidR="007E7472" w14:paraId="0F78D9A6" w14:textId="77777777" w:rsidTr="007E7472">
            <w:trPr>
              <w:trHeight w:val="340"/>
            </w:trPr>
            <w:tc>
              <w:tcPr>
                <w:tcW w:w="1882" w:type="pct"/>
                <w:vAlign w:val="center"/>
              </w:tcPr>
              <w:p w14:paraId="445A0379" w14:textId="77777777" w:rsidR="007E7472" w:rsidRDefault="00EC1269">
                <w:pPr>
                  <w:autoSpaceDE w:val="0"/>
                  <w:autoSpaceDN w:val="0"/>
                  <w:adjustRightInd w:val="0"/>
                  <w:snapToGrid w:val="0"/>
                </w:pPr>
                <w:r>
                  <w:rPr>
                    <w:rFonts w:hint="eastAsia"/>
                  </w:rPr>
                  <w:t>期货投资</w:t>
                </w:r>
              </w:p>
            </w:tc>
            <w:tc>
              <w:tcPr>
                <w:tcW w:w="1610" w:type="pct"/>
                <w:vAlign w:val="center"/>
              </w:tcPr>
              <w:p w14:paraId="4C4401F0" w14:textId="77777777" w:rsidR="007E7472" w:rsidRDefault="00EC1269">
                <w:pPr>
                  <w:jc w:val="right"/>
                </w:pPr>
                <w:r>
                  <w:t>110</w:t>
                </w:r>
              </w:p>
            </w:tc>
            <w:tc>
              <w:tcPr>
                <w:tcW w:w="1508" w:type="pct"/>
                <w:vAlign w:val="center"/>
              </w:tcPr>
              <w:p w14:paraId="680B2AE1" w14:textId="77777777" w:rsidR="007E7472" w:rsidRDefault="00EC1269">
                <w:pPr>
                  <w:jc w:val="right"/>
                </w:pPr>
                <w:r>
                  <w:t>160</w:t>
                </w:r>
              </w:p>
            </w:tc>
          </w:tr>
          <w:tr w:rsidR="007E7472" w14:paraId="147DBB6B" w14:textId="77777777" w:rsidTr="007E7472">
            <w:trPr>
              <w:trHeight w:val="340"/>
            </w:trPr>
            <w:tc>
              <w:tcPr>
                <w:tcW w:w="1882" w:type="pct"/>
                <w:vAlign w:val="center"/>
              </w:tcPr>
              <w:p w14:paraId="2A427BF7" w14:textId="77777777" w:rsidR="007E7472" w:rsidRDefault="00EC1269">
                <w:pPr>
                  <w:autoSpaceDE w:val="0"/>
                  <w:autoSpaceDN w:val="0"/>
                  <w:adjustRightInd w:val="0"/>
                  <w:snapToGrid w:val="0"/>
                </w:pPr>
                <w:r>
                  <w:rPr>
                    <w:rFonts w:hint="eastAsia"/>
                  </w:rPr>
                  <w:t>利率互换</w:t>
                </w:r>
              </w:p>
            </w:tc>
            <w:tc>
              <w:tcPr>
                <w:tcW w:w="1610" w:type="pct"/>
                <w:vAlign w:val="center"/>
              </w:tcPr>
              <w:p w14:paraId="539A7138" w14:textId="77777777" w:rsidR="007E7472" w:rsidRDefault="00C8327E">
                <w:pPr>
                  <w:jc w:val="right"/>
                </w:pPr>
              </w:p>
            </w:tc>
            <w:tc>
              <w:tcPr>
                <w:tcW w:w="1508" w:type="pct"/>
                <w:vAlign w:val="center"/>
              </w:tcPr>
              <w:p w14:paraId="66F65DEA" w14:textId="77777777" w:rsidR="007E7472" w:rsidRDefault="00EC1269">
                <w:pPr>
                  <w:jc w:val="right"/>
                </w:pPr>
                <w:r>
                  <w:t>25,380</w:t>
                </w:r>
              </w:p>
            </w:tc>
          </w:tr>
          <w:tr w:rsidR="007E7472" w14:paraId="4B656A20" w14:textId="77777777" w:rsidTr="007E7472">
            <w:trPr>
              <w:trHeight w:val="340"/>
            </w:trPr>
            <w:tc>
              <w:tcPr>
                <w:tcW w:w="1882" w:type="pct"/>
                <w:vAlign w:val="center"/>
              </w:tcPr>
              <w:p w14:paraId="368BB071" w14:textId="77777777" w:rsidR="007E7472" w:rsidRDefault="00EC1269">
                <w:pPr>
                  <w:autoSpaceDE w:val="0"/>
                  <w:autoSpaceDN w:val="0"/>
                  <w:adjustRightInd w:val="0"/>
                  <w:snapToGrid w:val="0"/>
                  <w:jc w:val="center"/>
                </w:pPr>
                <w:r>
                  <w:rPr>
                    <w:rFonts w:hint="eastAsia"/>
                  </w:rPr>
                  <w:t>合计</w:t>
                </w:r>
              </w:p>
            </w:tc>
            <w:tc>
              <w:tcPr>
                <w:tcW w:w="1610" w:type="pct"/>
                <w:vAlign w:val="center"/>
              </w:tcPr>
              <w:p w14:paraId="27FCBE36" w14:textId="77777777" w:rsidR="007E7472" w:rsidRDefault="00EC1269">
                <w:pPr>
                  <w:jc w:val="right"/>
                </w:pPr>
                <w:r>
                  <w:t>70,325</w:t>
                </w:r>
              </w:p>
            </w:tc>
            <w:tc>
              <w:tcPr>
                <w:tcW w:w="1508" w:type="pct"/>
                <w:vAlign w:val="center"/>
              </w:tcPr>
              <w:p w14:paraId="2619EB52" w14:textId="77777777" w:rsidR="007E7472" w:rsidRDefault="00EC1269">
                <w:pPr>
                  <w:jc w:val="right"/>
                </w:pPr>
                <w:r>
                  <w:t>25,540</w:t>
                </w:r>
              </w:p>
            </w:tc>
          </w:tr>
        </w:tbl>
        <w:p w14:paraId="0CA53674" w14:textId="77777777" w:rsidR="007E7472" w:rsidRDefault="00C8327E">
          <w:pPr>
            <w:spacing w:before="60" w:after="60"/>
          </w:pPr>
        </w:p>
      </w:sdtContent>
    </w:sdt>
    <w:sdt>
      <w:sdtPr>
        <w:rPr>
          <w:rFonts w:ascii="宋体" w:hAnsi="宋体" w:cs="宋体" w:hint="eastAsia"/>
          <w:b w:val="0"/>
          <w:bCs w:val="0"/>
          <w:kern w:val="0"/>
          <w:sz w:val="24"/>
          <w:szCs w:val="21"/>
        </w:rPr>
        <w:alias w:val="模块:收到的其他与筹资活动有关的现金"/>
        <w:tag w:val="_GBC_6e57c618c25c498db37f205341e0c66a"/>
        <w:id w:val="-684515311"/>
        <w:lock w:val="sdtLocked"/>
        <w:placeholder>
          <w:docPart w:val="GBC22222222222222222222222222222"/>
        </w:placeholder>
      </w:sdtPr>
      <w:sdtEndPr>
        <w:rPr>
          <w:rFonts w:cstheme="minorBidi"/>
          <w:sz w:val="21"/>
          <w:szCs w:val="22"/>
        </w:rPr>
      </w:sdtEndPr>
      <w:sdtContent>
        <w:p w14:paraId="3926B80A" w14:textId="77777777" w:rsidR="007E7472" w:rsidRDefault="00EC1269" w:rsidP="00162493">
          <w:pPr>
            <w:pStyle w:val="4"/>
            <w:numPr>
              <w:ilvl w:val="0"/>
              <w:numId w:val="96"/>
            </w:numPr>
          </w:pPr>
          <w:r>
            <w:rPr>
              <w:rFonts w:hint="eastAsia"/>
            </w:rPr>
            <w:t>收到的其他与筹资活动有关的现金</w:t>
          </w:r>
        </w:p>
        <w:sdt>
          <w:sdtPr>
            <w:alias w:val="是否适用：收到的其他与筹资活动有关的现金[双击切换]"/>
            <w:tag w:val="_GBC_6e82da4b55134cf6aacd6132e71f2c27"/>
            <w:id w:val="766586816"/>
            <w:lock w:val="sdtLocked"/>
            <w:placeholder>
              <w:docPart w:val="GBC22222222222222222222222222222"/>
            </w:placeholder>
          </w:sdtPr>
          <w:sdtEndPr/>
          <w:sdtContent>
            <w:p w14:paraId="1D6F1E71"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4AEFA17A" w14:textId="01CD33C9" w:rsidR="007E7472" w:rsidRDefault="00EC1269">
          <w:pPr>
            <w:jc w:val="right"/>
          </w:pPr>
          <w:r>
            <w:rPr>
              <w:rFonts w:hint="eastAsia"/>
            </w:rPr>
            <w:t>单位：</w:t>
          </w:r>
          <w:sdt>
            <w:sdtPr>
              <w:rPr>
                <w:rFonts w:hint="eastAsia"/>
              </w:rPr>
              <w:alias w:val="单位：财务附注：收到的其他与筹资活动有关的现金"/>
              <w:tag w:val="_GBC_54c629439974499c9df52a114b0272b9"/>
              <w:id w:val="8350347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收到的其他与筹资活动有关的现金"/>
              <w:tag w:val="_GBC_0d3b28d58a83411db264b55c970f7fc6"/>
              <w:id w:val="-13667542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3321"/>
            <w:gridCol w:w="2841"/>
            <w:gridCol w:w="2661"/>
          </w:tblGrid>
          <w:tr w:rsidR="007E7472" w14:paraId="49693BDD" w14:textId="77777777" w:rsidTr="007E7472">
            <w:trPr>
              <w:trHeight w:val="340"/>
            </w:trPr>
            <w:sdt>
              <w:sdtPr>
                <w:tag w:val="_PLD_45e71f75634d40e399bff943b12676a7"/>
                <w:id w:val="-1995164718"/>
                <w:lock w:val="sdtLocked"/>
              </w:sdtPr>
              <w:sdtEndPr/>
              <w:sdtContent>
                <w:tc>
                  <w:tcPr>
                    <w:tcW w:w="1882" w:type="pct"/>
                    <w:vAlign w:val="center"/>
                  </w:tcPr>
                  <w:p w14:paraId="6612A9A6" w14:textId="77777777" w:rsidR="007E7472" w:rsidRDefault="00EC1269">
                    <w:pPr>
                      <w:autoSpaceDE w:val="0"/>
                      <w:autoSpaceDN w:val="0"/>
                      <w:adjustRightInd w:val="0"/>
                      <w:snapToGrid w:val="0"/>
                      <w:jc w:val="center"/>
                    </w:pPr>
                    <w:r>
                      <w:rPr>
                        <w:rFonts w:hint="eastAsia"/>
                      </w:rPr>
                      <w:t>项目</w:t>
                    </w:r>
                  </w:p>
                </w:tc>
              </w:sdtContent>
            </w:sdt>
            <w:sdt>
              <w:sdtPr>
                <w:tag w:val="_PLD_f7b1d7d1151a486eb8533f96d22cda73"/>
                <w:id w:val="1612941597"/>
                <w:lock w:val="sdtLocked"/>
              </w:sdtPr>
              <w:sdtEndPr/>
              <w:sdtContent>
                <w:tc>
                  <w:tcPr>
                    <w:tcW w:w="1610" w:type="pct"/>
                    <w:vAlign w:val="center"/>
                  </w:tcPr>
                  <w:p w14:paraId="75032775" w14:textId="77777777" w:rsidR="007E7472" w:rsidRDefault="00EC1269">
                    <w:pPr>
                      <w:autoSpaceDE w:val="0"/>
                      <w:autoSpaceDN w:val="0"/>
                      <w:adjustRightInd w:val="0"/>
                      <w:snapToGrid w:val="0"/>
                      <w:jc w:val="center"/>
                    </w:pPr>
                    <w:r>
                      <w:rPr>
                        <w:rFonts w:hint="eastAsia"/>
                      </w:rPr>
                      <w:t>本期发生额</w:t>
                    </w:r>
                  </w:p>
                </w:tc>
              </w:sdtContent>
            </w:sdt>
            <w:sdt>
              <w:sdtPr>
                <w:tag w:val="_PLD_fcd73629839441d485ad661b0568d6af"/>
                <w:id w:val="1761029527"/>
                <w:lock w:val="sdtLocked"/>
              </w:sdtPr>
              <w:sdtEndPr/>
              <w:sdtContent>
                <w:tc>
                  <w:tcPr>
                    <w:tcW w:w="1508" w:type="pct"/>
                    <w:vAlign w:val="center"/>
                  </w:tcPr>
                  <w:p w14:paraId="150DB1C3" w14:textId="77777777" w:rsidR="007E7472" w:rsidRDefault="00EC1269">
                    <w:pPr>
                      <w:autoSpaceDE w:val="0"/>
                      <w:autoSpaceDN w:val="0"/>
                      <w:adjustRightInd w:val="0"/>
                      <w:snapToGrid w:val="0"/>
                      <w:jc w:val="center"/>
                    </w:pPr>
                    <w:r>
                      <w:rPr>
                        <w:rFonts w:hint="eastAsia"/>
                      </w:rPr>
                      <w:t>上期发生额</w:t>
                    </w:r>
                  </w:p>
                </w:tc>
              </w:sdtContent>
            </w:sdt>
          </w:tr>
          <w:sdt>
            <w:sdtPr>
              <w:rPr>
                <w:rFonts w:hint="eastAsia"/>
              </w:rPr>
              <w:alias w:val="收到的其他与筹资活动有关的现金明细"/>
              <w:tag w:val="_GBC_c32e781f55dd414ab2ff5887b711a905"/>
              <w:id w:val="1494837227"/>
              <w:lock w:val="sdtLocked"/>
            </w:sdtPr>
            <w:sdtEndPr>
              <w:rPr>
                <w:rFonts w:hint="default"/>
              </w:rPr>
            </w:sdtEndPr>
            <w:sdtContent>
              <w:tr w:rsidR="007E7472" w14:paraId="31484B60" w14:textId="77777777" w:rsidTr="007E7472">
                <w:trPr>
                  <w:trHeight w:val="340"/>
                </w:trPr>
                <w:tc>
                  <w:tcPr>
                    <w:tcW w:w="1882" w:type="pct"/>
                    <w:vAlign w:val="center"/>
                  </w:tcPr>
                  <w:p w14:paraId="652A65B3" w14:textId="77777777" w:rsidR="007E7472" w:rsidRDefault="00EC1269">
                    <w:pPr>
                      <w:autoSpaceDE w:val="0"/>
                      <w:autoSpaceDN w:val="0"/>
                      <w:adjustRightInd w:val="0"/>
                      <w:snapToGrid w:val="0"/>
                    </w:pPr>
                    <w:r>
                      <w:rPr>
                        <w:rFonts w:hint="eastAsia"/>
                      </w:rPr>
                      <w:t>售后回租</w:t>
                    </w:r>
                  </w:p>
                </w:tc>
                <w:tc>
                  <w:tcPr>
                    <w:tcW w:w="1610" w:type="pct"/>
                    <w:vAlign w:val="center"/>
                  </w:tcPr>
                  <w:p w14:paraId="268C6AC2" w14:textId="77777777" w:rsidR="007E7472" w:rsidRDefault="00EC1269">
                    <w:pPr>
                      <w:jc w:val="right"/>
                    </w:pPr>
                    <w:r>
                      <w:t>1,500,000</w:t>
                    </w:r>
                  </w:p>
                </w:tc>
                <w:tc>
                  <w:tcPr>
                    <w:tcW w:w="1508" w:type="pct"/>
                    <w:vAlign w:val="center"/>
                  </w:tcPr>
                  <w:p w14:paraId="73E84913" w14:textId="77777777" w:rsidR="007E7472" w:rsidRDefault="00C8327E">
                    <w:pPr>
                      <w:jc w:val="right"/>
                    </w:pPr>
                  </w:p>
                </w:tc>
              </w:tr>
            </w:sdtContent>
          </w:sdt>
          <w:sdt>
            <w:sdtPr>
              <w:rPr>
                <w:rFonts w:hint="eastAsia"/>
              </w:rPr>
              <w:alias w:val="收到的其他与筹资活动有关的现金明细"/>
              <w:tag w:val="_GBC_c32e781f55dd414ab2ff5887b711a905"/>
              <w:id w:val="-48458149"/>
              <w:lock w:val="sdtLocked"/>
              <w:placeholder>
                <w:docPart w:val="GBC11111111111111111111111111111"/>
              </w:placeholder>
            </w:sdtPr>
            <w:sdtEndPr/>
            <w:sdtContent>
              <w:tr w:rsidR="007E7472" w14:paraId="5D5FFDB2" w14:textId="77777777" w:rsidTr="007E7472">
                <w:trPr>
                  <w:trHeight w:val="340"/>
                </w:trPr>
                <w:tc>
                  <w:tcPr>
                    <w:tcW w:w="1882" w:type="pct"/>
                    <w:vAlign w:val="center"/>
                  </w:tcPr>
                  <w:p w14:paraId="3D8063E3" w14:textId="77777777" w:rsidR="007E7472" w:rsidRDefault="00EC1269">
                    <w:pPr>
                      <w:autoSpaceDE w:val="0"/>
                      <w:autoSpaceDN w:val="0"/>
                      <w:adjustRightInd w:val="0"/>
                      <w:snapToGrid w:val="0"/>
                    </w:pPr>
                    <w:r>
                      <w:rPr>
                        <w:rFonts w:hint="eastAsia"/>
                      </w:rPr>
                      <w:t>地方政府专项债券</w:t>
                    </w:r>
                  </w:p>
                </w:tc>
                <w:tc>
                  <w:tcPr>
                    <w:tcW w:w="1610" w:type="pct"/>
                    <w:vAlign w:val="center"/>
                  </w:tcPr>
                  <w:p w14:paraId="0184D648" w14:textId="77777777" w:rsidR="007E7472" w:rsidRDefault="00C8327E">
                    <w:pPr>
                      <w:jc w:val="right"/>
                    </w:pPr>
                  </w:p>
                </w:tc>
                <w:tc>
                  <w:tcPr>
                    <w:tcW w:w="1508" w:type="pct"/>
                    <w:vAlign w:val="center"/>
                  </w:tcPr>
                  <w:p w14:paraId="601D4153" w14:textId="77777777" w:rsidR="007E7472" w:rsidRDefault="00EC1269">
                    <w:pPr>
                      <w:jc w:val="right"/>
                    </w:pPr>
                    <w:r>
                      <w:t>1,500,000</w:t>
                    </w:r>
                  </w:p>
                </w:tc>
              </w:tr>
            </w:sdtContent>
          </w:sdt>
          <w:sdt>
            <w:sdtPr>
              <w:rPr>
                <w:rFonts w:hint="eastAsia"/>
              </w:rPr>
              <w:alias w:val="收到的其他与筹资活动有关的现金明细"/>
              <w:tag w:val="_GBC_c32e781f55dd414ab2ff5887b711a905"/>
              <w:id w:val="1949882618"/>
              <w:lock w:val="sdtLocked"/>
              <w:placeholder>
                <w:docPart w:val="GBC11111111111111111111111111111"/>
              </w:placeholder>
            </w:sdtPr>
            <w:sdtEndPr/>
            <w:sdtContent>
              <w:tr w:rsidR="007E7472" w14:paraId="714AEDE4" w14:textId="77777777" w:rsidTr="007E7472">
                <w:trPr>
                  <w:trHeight w:val="340"/>
                </w:trPr>
                <w:tc>
                  <w:tcPr>
                    <w:tcW w:w="1882" w:type="pct"/>
                    <w:vAlign w:val="center"/>
                  </w:tcPr>
                  <w:p w14:paraId="46947439" w14:textId="77777777" w:rsidR="007E7472" w:rsidRDefault="00EC1269">
                    <w:pPr>
                      <w:autoSpaceDE w:val="0"/>
                      <w:autoSpaceDN w:val="0"/>
                      <w:adjustRightInd w:val="0"/>
                      <w:snapToGrid w:val="0"/>
                    </w:pPr>
                    <w:r>
                      <w:rPr>
                        <w:rFonts w:hint="eastAsia"/>
                      </w:rPr>
                      <w:t>收回贷款保证金</w:t>
                    </w:r>
                  </w:p>
                </w:tc>
                <w:tc>
                  <w:tcPr>
                    <w:tcW w:w="1610" w:type="pct"/>
                    <w:vAlign w:val="center"/>
                  </w:tcPr>
                  <w:p w14:paraId="483B9163" w14:textId="77777777" w:rsidR="007E7472" w:rsidRDefault="00C8327E">
                    <w:pPr>
                      <w:jc w:val="right"/>
                    </w:pPr>
                  </w:p>
                </w:tc>
                <w:tc>
                  <w:tcPr>
                    <w:tcW w:w="1508" w:type="pct"/>
                    <w:vAlign w:val="center"/>
                  </w:tcPr>
                  <w:p w14:paraId="30456546" w14:textId="77777777" w:rsidR="007E7472" w:rsidRDefault="00EC1269">
                    <w:pPr>
                      <w:jc w:val="right"/>
                    </w:pPr>
                    <w:r>
                      <w:t>1,741</w:t>
                    </w:r>
                  </w:p>
                </w:tc>
              </w:tr>
            </w:sdtContent>
          </w:sdt>
          <w:tr w:rsidR="007E7472" w14:paraId="316E83ED" w14:textId="77777777" w:rsidTr="007E7472">
            <w:trPr>
              <w:trHeight w:val="340"/>
            </w:trPr>
            <w:sdt>
              <w:sdtPr>
                <w:tag w:val="_PLD_1959febe6b254266b4985c8aadec7ed6"/>
                <w:id w:val="1490061046"/>
                <w:lock w:val="sdtLocked"/>
              </w:sdtPr>
              <w:sdtEndPr/>
              <w:sdtContent>
                <w:tc>
                  <w:tcPr>
                    <w:tcW w:w="1882" w:type="pct"/>
                    <w:vAlign w:val="center"/>
                  </w:tcPr>
                  <w:p w14:paraId="62953E42" w14:textId="77777777" w:rsidR="007E7472" w:rsidRDefault="00EC1269">
                    <w:pPr>
                      <w:autoSpaceDE w:val="0"/>
                      <w:autoSpaceDN w:val="0"/>
                      <w:adjustRightInd w:val="0"/>
                      <w:snapToGrid w:val="0"/>
                      <w:jc w:val="center"/>
                    </w:pPr>
                    <w:r>
                      <w:rPr>
                        <w:rFonts w:hint="eastAsia"/>
                      </w:rPr>
                      <w:t>合计</w:t>
                    </w:r>
                  </w:p>
                </w:tc>
              </w:sdtContent>
            </w:sdt>
            <w:tc>
              <w:tcPr>
                <w:tcW w:w="1610" w:type="pct"/>
                <w:vAlign w:val="center"/>
              </w:tcPr>
              <w:p w14:paraId="128262B0" w14:textId="77777777" w:rsidR="007E7472" w:rsidRDefault="00EC1269">
                <w:pPr>
                  <w:jc w:val="right"/>
                </w:pPr>
                <w:r>
                  <w:t>1,500,000</w:t>
                </w:r>
              </w:p>
            </w:tc>
            <w:tc>
              <w:tcPr>
                <w:tcW w:w="1508" w:type="pct"/>
                <w:vAlign w:val="center"/>
              </w:tcPr>
              <w:p w14:paraId="2F10C551" w14:textId="77777777" w:rsidR="007E7472" w:rsidRDefault="00EC1269">
                <w:pPr>
                  <w:jc w:val="right"/>
                </w:pPr>
                <w:r>
                  <w:t>1,501,741</w:t>
                </w:r>
              </w:p>
            </w:tc>
          </w:tr>
        </w:tbl>
        <w:p w14:paraId="77C7EA38" w14:textId="77777777" w:rsidR="007E7472" w:rsidRDefault="00C8327E"/>
      </w:sdtContent>
    </w:sdt>
    <w:sdt>
      <w:sdtPr>
        <w:rPr>
          <w:rFonts w:ascii="宋体" w:hAnsi="宋体" w:cs="宋体" w:hint="eastAsia"/>
          <w:b w:val="0"/>
          <w:bCs w:val="0"/>
          <w:kern w:val="0"/>
          <w:sz w:val="24"/>
          <w:szCs w:val="22"/>
        </w:rPr>
        <w:alias w:val="模块:支付的其他与筹资活动有关的现金"/>
        <w:tag w:val="_GBC_96162aa406234e2485524876a03968e7"/>
        <w:id w:val="822396198"/>
        <w:lock w:val="sdtLocked"/>
        <w:placeholder>
          <w:docPart w:val="GBC22222222222222222222222222222"/>
        </w:placeholder>
      </w:sdtPr>
      <w:sdtEndPr>
        <w:rPr>
          <w:rFonts w:cstheme="minorBidi"/>
          <w:sz w:val="21"/>
        </w:rPr>
      </w:sdtEndPr>
      <w:sdtContent>
        <w:p w14:paraId="4B715F5A" w14:textId="77777777" w:rsidR="007E7472" w:rsidRDefault="00EC1269" w:rsidP="00162493">
          <w:pPr>
            <w:pStyle w:val="4"/>
            <w:numPr>
              <w:ilvl w:val="0"/>
              <w:numId w:val="96"/>
            </w:numPr>
          </w:pPr>
          <w:r>
            <w:rPr>
              <w:rFonts w:hint="eastAsia"/>
            </w:rPr>
            <w:t>支付的其他与筹资活动有关的现金</w:t>
          </w:r>
        </w:p>
        <w:sdt>
          <w:sdtPr>
            <w:alias w:val="是否适用：支付的其他与筹资活动有关的现金[双击切换]"/>
            <w:tag w:val="_GBC_cf7fd4869f8d4d98a07243e22bf22793"/>
            <w:id w:val="1876896224"/>
            <w:lock w:val="sdtLocked"/>
            <w:placeholder>
              <w:docPart w:val="GBC22222222222222222222222222222"/>
            </w:placeholder>
          </w:sdtPr>
          <w:sdtEndPr/>
          <w:sdtContent>
            <w:p w14:paraId="5763E705"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2EA2972A" w14:textId="7A756C45" w:rsidR="007E7472" w:rsidRDefault="00EC1269">
          <w:pPr>
            <w:jc w:val="right"/>
          </w:pPr>
          <w:r>
            <w:rPr>
              <w:rFonts w:hint="eastAsia"/>
            </w:rPr>
            <w:t>单位：</w:t>
          </w:r>
          <w:sdt>
            <w:sdtPr>
              <w:rPr>
                <w:rFonts w:hint="eastAsia"/>
              </w:rPr>
              <w:alias w:val="单位：财务附注：支付的其他与筹资活动有关的现金"/>
              <w:tag w:val="_GBC_323ca3d874214911880818d387e0c63b"/>
              <w:id w:val="-11804248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支付的其他与筹资活动有关的现金"/>
              <w:tag w:val="_GBC_d6726952256941209f32bac8fffa568d"/>
              <w:id w:val="-10990150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3321"/>
            <w:gridCol w:w="2841"/>
            <w:gridCol w:w="2661"/>
          </w:tblGrid>
          <w:tr w:rsidR="007E7472" w14:paraId="2491FFFF" w14:textId="77777777" w:rsidTr="007E7472">
            <w:trPr>
              <w:trHeight w:val="340"/>
            </w:trPr>
            <w:sdt>
              <w:sdtPr>
                <w:tag w:val="_PLD_2b9da6111f3f4cacb3afcfc0de00e1e9"/>
                <w:id w:val="1747688489"/>
                <w:lock w:val="sdtLocked"/>
              </w:sdtPr>
              <w:sdtEndPr/>
              <w:sdtContent>
                <w:tc>
                  <w:tcPr>
                    <w:tcW w:w="1882" w:type="pct"/>
                    <w:vAlign w:val="center"/>
                  </w:tcPr>
                  <w:p w14:paraId="2E8DF2C3" w14:textId="77777777" w:rsidR="007E7472" w:rsidRDefault="00EC1269">
                    <w:pPr>
                      <w:autoSpaceDE w:val="0"/>
                      <w:autoSpaceDN w:val="0"/>
                      <w:adjustRightInd w:val="0"/>
                      <w:snapToGrid w:val="0"/>
                      <w:jc w:val="center"/>
                    </w:pPr>
                    <w:r>
                      <w:rPr>
                        <w:rFonts w:hint="eastAsia"/>
                      </w:rPr>
                      <w:t>项目</w:t>
                    </w:r>
                  </w:p>
                </w:tc>
              </w:sdtContent>
            </w:sdt>
            <w:sdt>
              <w:sdtPr>
                <w:tag w:val="_PLD_b6791a7f5c234d80be8964d8fb7b3ce6"/>
                <w:id w:val="-1083212720"/>
                <w:lock w:val="sdtLocked"/>
              </w:sdtPr>
              <w:sdtEndPr/>
              <w:sdtContent>
                <w:tc>
                  <w:tcPr>
                    <w:tcW w:w="1610" w:type="pct"/>
                    <w:vAlign w:val="center"/>
                  </w:tcPr>
                  <w:p w14:paraId="16A6E7C7" w14:textId="77777777" w:rsidR="007E7472" w:rsidRDefault="00EC1269">
                    <w:pPr>
                      <w:autoSpaceDE w:val="0"/>
                      <w:autoSpaceDN w:val="0"/>
                      <w:adjustRightInd w:val="0"/>
                      <w:snapToGrid w:val="0"/>
                      <w:jc w:val="center"/>
                    </w:pPr>
                    <w:r>
                      <w:rPr>
                        <w:rFonts w:hint="eastAsia"/>
                      </w:rPr>
                      <w:t>本期发生额</w:t>
                    </w:r>
                  </w:p>
                </w:tc>
              </w:sdtContent>
            </w:sdt>
            <w:sdt>
              <w:sdtPr>
                <w:tag w:val="_PLD_b4a33da4012d47bd8013a6c570bcad87"/>
                <w:id w:val="1600525823"/>
                <w:lock w:val="sdtLocked"/>
              </w:sdtPr>
              <w:sdtEndPr/>
              <w:sdtContent>
                <w:tc>
                  <w:tcPr>
                    <w:tcW w:w="1508" w:type="pct"/>
                    <w:vAlign w:val="center"/>
                  </w:tcPr>
                  <w:p w14:paraId="1C1674F8" w14:textId="77777777" w:rsidR="007E7472" w:rsidRDefault="00EC1269">
                    <w:pPr>
                      <w:autoSpaceDE w:val="0"/>
                      <w:autoSpaceDN w:val="0"/>
                      <w:adjustRightInd w:val="0"/>
                      <w:snapToGrid w:val="0"/>
                      <w:jc w:val="center"/>
                    </w:pPr>
                    <w:r>
                      <w:rPr>
                        <w:rFonts w:hint="eastAsia"/>
                      </w:rPr>
                      <w:t>上期发生额</w:t>
                    </w:r>
                  </w:p>
                </w:tc>
              </w:sdtContent>
            </w:sdt>
          </w:tr>
          <w:tr w:rsidR="007E7472" w14:paraId="5A37AA25" w14:textId="77777777" w:rsidTr="007E7472">
            <w:trPr>
              <w:trHeight w:val="340"/>
            </w:trPr>
            <w:tc>
              <w:tcPr>
                <w:tcW w:w="1882" w:type="pct"/>
                <w:vAlign w:val="center"/>
              </w:tcPr>
              <w:p w14:paraId="1016B26E" w14:textId="77777777" w:rsidR="007E7472" w:rsidRDefault="00EC1269">
                <w:pPr>
                  <w:autoSpaceDE w:val="0"/>
                  <w:autoSpaceDN w:val="0"/>
                  <w:adjustRightInd w:val="0"/>
                  <w:snapToGrid w:val="0"/>
                </w:pPr>
                <w:r>
                  <w:rPr>
                    <w:rFonts w:hint="eastAsia"/>
                  </w:rPr>
                  <w:t>支付融资租赁款</w:t>
                </w:r>
              </w:p>
            </w:tc>
            <w:tc>
              <w:tcPr>
                <w:tcW w:w="1610" w:type="pct"/>
                <w:vAlign w:val="center"/>
              </w:tcPr>
              <w:p w14:paraId="51C7E2CD" w14:textId="77777777" w:rsidR="007E7472" w:rsidRDefault="00EC1269">
                <w:pPr>
                  <w:jc w:val="right"/>
                </w:pPr>
                <w:r>
                  <w:t>284,475</w:t>
                </w:r>
              </w:p>
            </w:tc>
            <w:tc>
              <w:tcPr>
                <w:tcW w:w="1508" w:type="pct"/>
                <w:vAlign w:val="center"/>
              </w:tcPr>
              <w:p w14:paraId="7C54BF31" w14:textId="77777777" w:rsidR="007E7472" w:rsidRDefault="00EC1269">
                <w:pPr>
                  <w:jc w:val="right"/>
                </w:pPr>
                <w:r>
                  <w:t>689,659</w:t>
                </w:r>
              </w:p>
            </w:tc>
          </w:tr>
          <w:tr w:rsidR="007E7472" w14:paraId="5FECB7F8" w14:textId="77777777" w:rsidTr="007E7472">
            <w:trPr>
              <w:trHeight w:val="340"/>
            </w:trPr>
            <w:tc>
              <w:tcPr>
                <w:tcW w:w="1882" w:type="pct"/>
                <w:vAlign w:val="center"/>
              </w:tcPr>
              <w:p w14:paraId="24872449" w14:textId="77777777" w:rsidR="007E7472" w:rsidRDefault="00EC1269">
                <w:pPr>
                  <w:autoSpaceDE w:val="0"/>
                  <w:autoSpaceDN w:val="0"/>
                  <w:adjustRightInd w:val="0"/>
                  <w:snapToGrid w:val="0"/>
                </w:pPr>
                <w:r>
                  <w:rPr>
                    <w:rFonts w:hint="eastAsia"/>
                  </w:rPr>
                  <w:t>支付法定存款保证金</w:t>
                </w:r>
              </w:p>
            </w:tc>
            <w:tc>
              <w:tcPr>
                <w:tcW w:w="1610" w:type="pct"/>
                <w:vAlign w:val="center"/>
              </w:tcPr>
              <w:p w14:paraId="6F87CC00" w14:textId="77777777" w:rsidR="007E7472" w:rsidRDefault="00EC1269">
                <w:pPr>
                  <w:jc w:val="right"/>
                </w:pPr>
                <w:r>
                  <w:t>207,152</w:t>
                </w:r>
              </w:p>
            </w:tc>
            <w:tc>
              <w:tcPr>
                <w:tcW w:w="1508" w:type="pct"/>
                <w:vAlign w:val="center"/>
              </w:tcPr>
              <w:p w14:paraId="47AA00C7" w14:textId="77777777" w:rsidR="007E7472" w:rsidRDefault="00EC1269">
                <w:pPr>
                  <w:jc w:val="right"/>
                </w:pPr>
                <w:r>
                  <w:t>21,863</w:t>
                </w:r>
              </w:p>
            </w:tc>
          </w:tr>
          <w:tr w:rsidR="007E7472" w14:paraId="065370C3" w14:textId="77777777" w:rsidTr="007E7472">
            <w:trPr>
              <w:trHeight w:val="340"/>
            </w:trPr>
            <w:tc>
              <w:tcPr>
                <w:tcW w:w="1882" w:type="pct"/>
                <w:vAlign w:val="center"/>
              </w:tcPr>
              <w:p w14:paraId="175A9198" w14:textId="77777777" w:rsidR="007E7472" w:rsidRDefault="00EC1269">
                <w:pPr>
                  <w:autoSpaceDE w:val="0"/>
                  <w:autoSpaceDN w:val="0"/>
                  <w:adjustRightInd w:val="0"/>
                  <w:snapToGrid w:val="0"/>
                </w:pPr>
                <w:r>
                  <w:rPr>
                    <w:rFonts w:hint="eastAsia"/>
                  </w:rPr>
                  <w:t>股票回购</w:t>
                </w:r>
              </w:p>
            </w:tc>
            <w:tc>
              <w:tcPr>
                <w:tcW w:w="1610" w:type="pct"/>
                <w:vAlign w:val="center"/>
              </w:tcPr>
              <w:p w14:paraId="0890284C" w14:textId="77777777" w:rsidR="007E7472" w:rsidRDefault="00EC1269">
                <w:pPr>
                  <w:jc w:val="right"/>
                </w:pPr>
                <w:r>
                  <w:t>3,268</w:t>
                </w:r>
              </w:p>
            </w:tc>
            <w:tc>
              <w:tcPr>
                <w:tcW w:w="1508" w:type="pct"/>
                <w:vAlign w:val="center"/>
              </w:tcPr>
              <w:p w14:paraId="1D66A84E" w14:textId="77777777" w:rsidR="007E7472" w:rsidRDefault="00C8327E">
                <w:pPr>
                  <w:jc w:val="right"/>
                </w:pPr>
              </w:p>
            </w:tc>
          </w:tr>
          <w:tr w:rsidR="007E7472" w14:paraId="724789DC" w14:textId="77777777" w:rsidTr="007E7472">
            <w:trPr>
              <w:trHeight w:val="340"/>
            </w:trPr>
            <w:tc>
              <w:tcPr>
                <w:tcW w:w="1882" w:type="pct"/>
                <w:vAlign w:val="center"/>
              </w:tcPr>
              <w:p w14:paraId="4A1993B3" w14:textId="77777777" w:rsidR="007E7472" w:rsidRDefault="00EC1269">
                <w:pPr>
                  <w:autoSpaceDE w:val="0"/>
                  <w:autoSpaceDN w:val="0"/>
                  <w:adjustRightInd w:val="0"/>
                  <w:snapToGrid w:val="0"/>
                </w:pPr>
                <w:r>
                  <w:rPr>
                    <w:rFonts w:hint="eastAsia"/>
                  </w:rPr>
                  <w:t>债券、保函等费用</w:t>
                </w:r>
              </w:p>
            </w:tc>
            <w:tc>
              <w:tcPr>
                <w:tcW w:w="1610" w:type="pct"/>
                <w:vAlign w:val="center"/>
              </w:tcPr>
              <w:p w14:paraId="52440FF8" w14:textId="77777777" w:rsidR="007E7472" w:rsidRDefault="00EC1269">
                <w:pPr>
                  <w:jc w:val="right"/>
                </w:pPr>
                <w:r>
                  <w:t>1,354</w:t>
                </w:r>
              </w:p>
            </w:tc>
            <w:tc>
              <w:tcPr>
                <w:tcW w:w="1508" w:type="pct"/>
                <w:vAlign w:val="center"/>
              </w:tcPr>
              <w:p w14:paraId="1825840C" w14:textId="77777777" w:rsidR="007E7472" w:rsidRDefault="00EC1269">
                <w:pPr>
                  <w:jc w:val="right"/>
                </w:pPr>
                <w:r>
                  <w:t>150,754</w:t>
                </w:r>
              </w:p>
            </w:tc>
          </w:tr>
          <w:tr w:rsidR="007E7472" w14:paraId="3EBC50E5" w14:textId="77777777" w:rsidTr="007E7472">
            <w:trPr>
              <w:trHeight w:val="340"/>
            </w:trPr>
            <w:tc>
              <w:tcPr>
                <w:tcW w:w="1882" w:type="pct"/>
                <w:vAlign w:val="center"/>
              </w:tcPr>
              <w:p w14:paraId="3D80C465" w14:textId="77777777" w:rsidR="007E7472" w:rsidRDefault="00EC1269">
                <w:pPr>
                  <w:autoSpaceDE w:val="0"/>
                  <w:autoSpaceDN w:val="0"/>
                  <w:adjustRightInd w:val="0"/>
                  <w:snapToGrid w:val="0"/>
                  <w:jc w:val="center"/>
                </w:pPr>
                <w:r>
                  <w:rPr>
                    <w:rFonts w:hint="eastAsia"/>
                  </w:rPr>
                  <w:t>合计</w:t>
                </w:r>
              </w:p>
            </w:tc>
            <w:tc>
              <w:tcPr>
                <w:tcW w:w="1610" w:type="pct"/>
                <w:vAlign w:val="center"/>
              </w:tcPr>
              <w:p w14:paraId="0FFB19C1" w14:textId="77777777" w:rsidR="007E7472" w:rsidRDefault="00EC1269">
                <w:pPr>
                  <w:jc w:val="right"/>
                </w:pPr>
                <w:r>
                  <w:t>496,249</w:t>
                </w:r>
              </w:p>
            </w:tc>
            <w:tc>
              <w:tcPr>
                <w:tcW w:w="1508" w:type="pct"/>
                <w:vAlign w:val="center"/>
              </w:tcPr>
              <w:p w14:paraId="2F17CA65" w14:textId="77777777" w:rsidR="007E7472" w:rsidRDefault="00EC1269">
                <w:pPr>
                  <w:jc w:val="right"/>
                </w:pPr>
                <w:r>
                  <w:t>862,276</w:t>
                </w:r>
              </w:p>
            </w:tc>
          </w:tr>
        </w:tbl>
        <w:p w14:paraId="5978309D" w14:textId="77777777" w:rsidR="007E7472" w:rsidRDefault="00C8327E">
          <w:pPr>
            <w:ind w:right="5"/>
          </w:pPr>
        </w:p>
      </w:sdtContent>
    </w:sdt>
    <w:p w14:paraId="72EDE58D" w14:textId="77777777" w:rsidR="007E7472" w:rsidRDefault="00EC1269" w:rsidP="00162493">
      <w:pPr>
        <w:pStyle w:val="3"/>
        <w:numPr>
          <w:ilvl w:val="0"/>
          <w:numId w:val="62"/>
        </w:numPr>
      </w:pPr>
      <w:r>
        <w:rPr>
          <w:rFonts w:hint="eastAsia"/>
        </w:rPr>
        <w:t>现金流量表补充资料</w:t>
      </w:r>
    </w:p>
    <w:sdt>
      <w:sdtPr>
        <w:rPr>
          <w:rFonts w:ascii="宋体" w:hAnsi="宋体" w:cs="宋体" w:hint="eastAsia"/>
          <w:b w:val="0"/>
          <w:bCs w:val="0"/>
          <w:kern w:val="0"/>
          <w:sz w:val="20"/>
          <w:szCs w:val="24"/>
        </w:rPr>
        <w:alias w:val="模块:现金流量表补充资料"/>
        <w:tag w:val="_GBC_7c9a174810ac4558be4e54f8019d5a1a"/>
        <w:id w:val="-1955398830"/>
        <w:lock w:val="sdtLocked"/>
        <w:placeholder>
          <w:docPart w:val="GBC22222222222222222222222222222"/>
        </w:placeholder>
      </w:sdtPr>
      <w:sdtEndPr>
        <w:rPr>
          <w:szCs w:val="21"/>
        </w:rPr>
      </w:sdtEndPr>
      <w:sdtContent>
        <w:p w14:paraId="2B8C4F5B" w14:textId="77777777" w:rsidR="007E7472" w:rsidRDefault="00EC1269" w:rsidP="00162493">
          <w:pPr>
            <w:pStyle w:val="4"/>
            <w:numPr>
              <w:ilvl w:val="0"/>
              <w:numId w:val="97"/>
            </w:numPr>
          </w:pPr>
          <w:r>
            <w:rPr>
              <w:rFonts w:hint="eastAsia"/>
            </w:rPr>
            <w:t>现金流量表补充资料</w:t>
          </w:r>
        </w:p>
        <w:sdt>
          <w:sdtPr>
            <w:alias w:val="是否适用：现金流量表补充资料[双击切换]"/>
            <w:tag w:val="_GBC_3ee8e178479245ea907bff86e4dcd54a"/>
            <w:id w:val="-1664384923"/>
            <w:lock w:val="sdtLocked"/>
            <w:placeholder>
              <w:docPart w:val="GBC22222222222222222222222222222"/>
            </w:placeholder>
          </w:sdtPr>
          <w:sdtEndPr/>
          <w:sdtContent>
            <w:p w14:paraId="40CD16B9"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hint="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hint="eastAsia"/>
                </w:rPr>
                <w:instrText xml:space="preserve"> MACROBUTTON  SnrToggleCheckbox □不适用 </w:instrText>
              </w:r>
              <w:r>
                <w:rPr>
                  <w:rFonts w:asciiTheme="minorEastAsia" w:eastAsiaTheme="minorEastAsia" w:hAnsiTheme="minorEastAsia"/>
                </w:rPr>
                <w:fldChar w:fldCharType="end"/>
              </w:r>
            </w:p>
          </w:sdtContent>
        </w:sdt>
        <w:p w14:paraId="16ED87AF" w14:textId="76EE726F" w:rsidR="007E7472" w:rsidRDefault="00EC1269">
          <w:pPr>
            <w:jc w:val="right"/>
          </w:pPr>
          <w:r>
            <w:rPr>
              <w:rFonts w:hint="eastAsia"/>
            </w:rPr>
            <w:t>单位：</w:t>
          </w:r>
          <w:sdt>
            <w:sdtPr>
              <w:rPr>
                <w:rFonts w:hint="eastAsia"/>
              </w:rPr>
              <w:alias w:val="单位：财务附注：现金流量表补充资料"/>
              <w:tag w:val="_GBC_ba7cd13a54fa44929e0fd4c276876d0e"/>
              <w:id w:val="-1863700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现金流量表补充资料"/>
              <w:tag w:val="_GBC_715164ef2f2b4f258a0908b254229361"/>
              <w:id w:val="-115830370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395"/>
            <w:gridCol w:w="2730"/>
            <w:gridCol w:w="2698"/>
          </w:tblGrid>
          <w:tr w:rsidR="007E7472" w14:paraId="789A645E" w14:textId="77777777">
            <w:sdt>
              <w:sdtPr>
                <w:tag w:val="_PLD_a6ea455751354381bc869d5865ef3d8f"/>
                <w:id w:val="-1582597301"/>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14:paraId="317AFB33" w14:textId="77777777" w:rsidR="007E7472" w:rsidRDefault="00EC1269">
                    <w:pPr>
                      <w:jc w:val="center"/>
                      <w:rPr>
                        <w:bCs/>
                      </w:rPr>
                    </w:pPr>
                    <w:r>
                      <w:rPr>
                        <w:rFonts w:hint="eastAsia"/>
                      </w:rPr>
                      <w:t>补充资料</w:t>
                    </w:r>
                  </w:p>
                </w:tc>
              </w:sdtContent>
            </w:sdt>
            <w:sdt>
              <w:sdtPr>
                <w:tag w:val="_PLD_0687e3743a4e4e2db7b08855f23641e8"/>
                <w:id w:val="1456591782"/>
                <w:lock w:val="sdtLocked"/>
              </w:sdtPr>
              <w:sdtEndPr/>
              <w:sdtContent>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14:paraId="560396F6" w14:textId="77777777" w:rsidR="007E7472" w:rsidRDefault="00EC1269">
                    <w:pPr>
                      <w:jc w:val="center"/>
                    </w:pPr>
                    <w:r>
                      <w:rPr>
                        <w:rFonts w:hint="eastAsia"/>
                      </w:rPr>
                      <w:t>本期金额</w:t>
                    </w:r>
                  </w:p>
                </w:tc>
              </w:sdtContent>
            </w:sdt>
            <w:sdt>
              <w:sdtPr>
                <w:tag w:val="_PLD_f90342638d124edea40aa264bbe65e8e"/>
                <w:id w:val="-445546125"/>
                <w:lock w:val="sdtLocked"/>
              </w:sdtPr>
              <w:sdtEndPr/>
              <w:sdtContent>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14:paraId="62C3477D" w14:textId="77777777" w:rsidR="007E7472" w:rsidRDefault="00EC1269">
                    <w:pPr>
                      <w:jc w:val="center"/>
                    </w:pPr>
                    <w:r>
                      <w:rPr>
                        <w:rFonts w:hint="eastAsia"/>
                      </w:rPr>
                      <w:t>上期金额</w:t>
                    </w:r>
                  </w:p>
                </w:tc>
              </w:sdtContent>
            </w:sdt>
          </w:tr>
          <w:tr w:rsidR="007E7472" w14:paraId="40FA1F2F" w14:textId="77777777">
            <w:sdt>
              <w:sdtPr>
                <w:rPr>
                  <w:rFonts w:asciiTheme="minorEastAsia" w:eastAsiaTheme="minorEastAsia" w:hAnsiTheme="minorEastAsia"/>
                </w:rPr>
                <w:tag w:val="_PLD_0a799a1250f946df9181881c4b1f3829"/>
                <w:id w:val="2000159891"/>
                <w:lock w:val="sdtLocked"/>
              </w:sdtPr>
              <w:sdtEndPr/>
              <w:sdtContent>
                <w:tc>
                  <w:tcPr>
                    <w:tcW w:w="5000" w:type="pct"/>
                    <w:gridSpan w:val="3"/>
                    <w:tcBorders>
                      <w:top w:val="single" w:sz="4" w:space="0" w:color="auto"/>
                      <w:left w:val="single" w:sz="4" w:space="0" w:color="auto"/>
                      <w:bottom w:val="single" w:sz="4" w:space="0" w:color="auto"/>
                      <w:right w:val="outset" w:sz="6" w:space="0" w:color="auto"/>
                    </w:tcBorders>
                    <w:shd w:val="clear" w:color="auto" w:fill="auto"/>
                  </w:tcPr>
                  <w:p w14:paraId="560961CF" w14:textId="77777777" w:rsidR="007E7472" w:rsidRDefault="00EC1269">
                    <w:pPr>
                      <w:jc w:val="both"/>
                      <w:rPr>
                        <w:rFonts w:asciiTheme="minorEastAsia" w:eastAsiaTheme="minorEastAsia" w:hAnsiTheme="minorEastAsia"/>
                        <w:b/>
                      </w:rPr>
                    </w:pPr>
                    <w:r>
                      <w:rPr>
                        <w:rFonts w:asciiTheme="minorEastAsia" w:eastAsiaTheme="minorEastAsia" w:hAnsiTheme="minorEastAsia"/>
                        <w:b/>
                      </w:rPr>
                      <w:t>1</w:t>
                    </w:r>
                    <w:r>
                      <w:rPr>
                        <w:rFonts w:asciiTheme="minorEastAsia" w:eastAsiaTheme="minorEastAsia" w:hAnsiTheme="minorEastAsia" w:hint="eastAsia"/>
                        <w:b/>
                      </w:rPr>
                      <w:t>．将净利润调节为经营活动现金流量：</w:t>
                    </w:r>
                  </w:p>
                </w:tc>
              </w:sdtContent>
            </w:sdt>
          </w:tr>
          <w:tr w:rsidR="007E7472" w14:paraId="5A708E5C" w14:textId="77777777">
            <w:tc>
              <w:tcPr>
                <w:tcW w:w="1924" w:type="pct"/>
                <w:tcBorders>
                  <w:top w:val="single" w:sz="4" w:space="0" w:color="auto"/>
                  <w:left w:val="single" w:sz="4" w:space="0" w:color="auto"/>
                  <w:bottom w:val="single" w:sz="4" w:space="0" w:color="auto"/>
                  <w:right w:val="single" w:sz="4" w:space="0" w:color="auto"/>
                </w:tcBorders>
                <w:shd w:val="clear" w:color="auto" w:fill="auto"/>
              </w:tcPr>
              <w:p w14:paraId="568B37DF" w14:textId="77777777" w:rsidR="007E7472" w:rsidRDefault="00EC1269">
                <w:pPr>
                  <w:rPr>
                    <w:rFonts w:asciiTheme="minorEastAsia" w:eastAsiaTheme="minorEastAsia" w:hAnsiTheme="minorEastAsia"/>
                  </w:rPr>
                </w:pPr>
                <w:r>
                  <w:rPr>
                    <w:rFonts w:asciiTheme="minorEastAsia" w:eastAsiaTheme="minorEastAsia" w:hAnsiTheme="minorEastAsia" w:hint="eastAsia"/>
                  </w:rPr>
                  <w:t>净利润</w:t>
                </w:r>
              </w:p>
            </w:tc>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35EB5222" w14:textId="77777777" w:rsidR="007E7472" w:rsidRDefault="00EC1269">
                <w:pPr>
                  <w:jc w:val="right"/>
                  <w:rPr>
                    <w:rFonts w:asciiTheme="minorEastAsia" w:eastAsiaTheme="minorEastAsia" w:hAnsiTheme="minorEastAsia"/>
                  </w:rPr>
                </w:pPr>
                <w:r>
                  <w:rPr>
                    <w:rFonts w:asciiTheme="minorEastAsia" w:eastAsiaTheme="minorEastAsia" w:hAnsiTheme="minorEastAsia"/>
                  </w:rPr>
                  <w:t>12,763,900</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1FBAC050" w14:textId="77777777" w:rsidR="007E7472" w:rsidRDefault="00EC1269">
                <w:pPr>
                  <w:jc w:val="right"/>
                  <w:rPr>
                    <w:rFonts w:asciiTheme="minorEastAsia" w:eastAsiaTheme="minorEastAsia" w:hAnsiTheme="minorEastAsia"/>
                  </w:rPr>
                </w:pPr>
                <w:r>
                  <w:rPr>
                    <w:rFonts w:asciiTheme="minorEastAsia" w:eastAsiaTheme="minorEastAsia" w:hAnsiTheme="minorEastAsia"/>
                  </w:rPr>
                  <w:t>22,216,184</w:t>
                </w:r>
              </w:p>
            </w:tc>
          </w:tr>
          <w:tr w:rsidR="007E7472" w14:paraId="47B68A5F" w14:textId="77777777">
            <w:tc>
              <w:tcPr>
                <w:tcW w:w="1924" w:type="pct"/>
                <w:tcBorders>
                  <w:top w:val="single" w:sz="4" w:space="0" w:color="auto"/>
                  <w:left w:val="single" w:sz="4" w:space="0" w:color="auto"/>
                  <w:bottom w:val="single" w:sz="4" w:space="0" w:color="auto"/>
                  <w:right w:val="single" w:sz="4" w:space="0" w:color="auto"/>
                </w:tcBorders>
                <w:shd w:val="clear" w:color="auto" w:fill="auto"/>
              </w:tcPr>
              <w:p w14:paraId="2B123C56" w14:textId="77777777" w:rsidR="007E7472" w:rsidRDefault="00EC1269">
                <w:pPr>
                  <w:rPr>
                    <w:rFonts w:asciiTheme="minorEastAsia" w:eastAsiaTheme="minorEastAsia" w:hAnsiTheme="minorEastAsia"/>
                  </w:rPr>
                </w:pPr>
                <w:r>
                  <w:rPr>
                    <w:rFonts w:asciiTheme="minorEastAsia" w:eastAsiaTheme="minorEastAsia" w:hAnsiTheme="minorEastAsia" w:hint="eastAsia"/>
                  </w:rPr>
                  <w:t>加：资产减值准备</w:t>
                </w:r>
              </w:p>
            </w:tc>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75A16BB5" w14:textId="77777777" w:rsidR="007E7472" w:rsidRDefault="00EC1269">
                <w:pPr>
                  <w:jc w:val="right"/>
                  <w:rPr>
                    <w:rFonts w:asciiTheme="minorEastAsia" w:eastAsiaTheme="minorEastAsia" w:hAnsiTheme="minorEastAsia"/>
                  </w:rPr>
                </w:pPr>
                <w:r>
                  <w:rPr>
                    <w:rFonts w:asciiTheme="minorEastAsia" w:eastAsiaTheme="minorEastAsia" w:hAnsiTheme="minorEastAsia"/>
                  </w:rPr>
                  <w:t>2,007</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4CADEEFF" w14:textId="77777777" w:rsidR="007E7472" w:rsidRDefault="00EC1269">
                <w:pPr>
                  <w:jc w:val="right"/>
                  <w:rPr>
                    <w:rFonts w:asciiTheme="minorEastAsia" w:eastAsiaTheme="minorEastAsia" w:hAnsiTheme="minorEastAsia"/>
                  </w:rPr>
                </w:pPr>
                <w:r>
                  <w:rPr>
                    <w:rFonts w:asciiTheme="minorEastAsia" w:eastAsiaTheme="minorEastAsia" w:hAnsiTheme="minorEastAsia"/>
                  </w:rPr>
                  <w:t>-295</w:t>
                </w:r>
              </w:p>
            </w:tc>
          </w:tr>
          <w:tr w:rsidR="007E7472" w14:paraId="715EED7D" w14:textId="77777777">
            <w:tc>
              <w:tcPr>
                <w:tcW w:w="1924" w:type="pct"/>
                <w:tcBorders>
                  <w:top w:val="single" w:sz="4" w:space="0" w:color="auto"/>
                  <w:left w:val="single" w:sz="4" w:space="0" w:color="auto"/>
                  <w:bottom w:val="single" w:sz="4" w:space="0" w:color="auto"/>
                  <w:right w:val="single" w:sz="4" w:space="0" w:color="auto"/>
                </w:tcBorders>
                <w:shd w:val="clear" w:color="auto" w:fill="auto"/>
              </w:tcPr>
              <w:p w14:paraId="40E74144" w14:textId="77777777" w:rsidR="007E7472" w:rsidRDefault="00EC1269">
                <w:pPr>
                  <w:rPr>
                    <w:rFonts w:asciiTheme="minorEastAsia" w:eastAsiaTheme="minorEastAsia" w:hAnsiTheme="minorEastAsia"/>
                  </w:rPr>
                </w:pPr>
                <w:r>
                  <w:rPr>
                    <w:rFonts w:asciiTheme="minorEastAsia" w:eastAsiaTheme="minorEastAsia" w:hAnsiTheme="minorEastAsia" w:hint="eastAsia"/>
                  </w:rPr>
                  <w:t>信用减值损失</w:t>
                </w:r>
              </w:p>
            </w:tc>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02BFB6FB" w14:textId="77777777" w:rsidR="007E7472" w:rsidRDefault="00EC1269">
                <w:pPr>
                  <w:jc w:val="right"/>
                  <w:rPr>
                    <w:rFonts w:asciiTheme="minorEastAsia" w:eastAsiaTheme="minorEastAsia" w:hAnsiTheme="minorEastAsia"/>
                  </w:rPr>
                </w:pPr>
                <w:r>
                  <w:rPr>
                    <w:rFonts w:asciiTheme="minorEastAsia" w:eastAsiaTheme="minorEastAsia" w:hAnsiTheme="minorEastAsia"/>
                  </w:rPr>
                  <w:t>-36,185</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0FDB7688" w14:textId="77777777" w:rsidR="007E7472" w:rsidRDefault="00EC1269">
                <w:pPr>
                  <w:jc w:val="right"/>
                  <w:rPr>
                    <w:rFonts w:asciiTheme="minorEastAsia" w:eastAsiaTheme="minorEastAsia" w:hAnsiTheme="minorEastAsia"/>
                  </w:rPr>
                </w:pPr>
                <w:r>
                  <w:rPr>
                    <w:rFonts w:asciiTheme="minorEastAsia" w:eastAsiaTheme="minorEastAsia" w:hAnsiTheme="minorEastAsia"/>
                  </w:rPr>
                  <w:t>-1,487</w:t>
                </w:r>
              </w:p>
            </w:tc>
          </w:tr>
          <w:tr w:rsidR="007E7472" w14:paraId="655F8CC7" w14:textId="77777777">
            <w:tc>
              <w:tcPr>
                <w:tcW w:w="1924" w:type="pct"/>
                <w:tcBorders>
                  <w:top w:val="single" w:sz="4" w:space="0" w:color="auto"/>
                  <w:left w:val="single" w:sz="4" w:space="0" w:color="auto"/>
                  <w:bottom w:val="single" w:sz="4" w:space="0" w:color="auto"/>
                  <w:right w:val="single" w:sz="4" w:space="0" w:color="auto"/>
                </w:tcBorders>
                <w:shd w:val="clear" w:color="auto" w:fill="auto"/>
              </w:tcPr>
              <w:p w14:paraId="61C9BA16" w14:textId="77777777" w:rsidR="007E7472" w:rsidRDefault="00EC1269">
                <w:pPr>
                  <w:rPr>
                    <w:rFonts w:asciiTheme="minorEastAsia" w:eastAsiaTheme="minorEastAsia" w:hAnsiTheme="minorEastAsia"/>
                  </w:rPr>
                </w:pPr>
                <w:r>
                  <w:rPr>
                    <w:rFonts w:asciiTheme="minorEastAsia" w:eastAsiaTheme="minorEastAsia" w:hAnsiTheme="minorEastAsia" w:hint="eastAsia"/>
                  </w:rPr>
                  <w:t>固定资产折旧、油气资产折耗、生产性生物资产折旧</w:t>
                </w:r>
              </w:p>
            </w:tc>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12F4CA91" w14:textId="77777777" w:rsidR="007E7472" w:rsidRDefault="00EC1269">
                <w:pPr>
                  <w:jc w:val="right"/>
                  <w:rPr>
                    <w:rFonts w:asciiTheme="minorEastAsia" w:eastAsiaTheme="minorEastAsia" w:hAnsiTheme="minorEastAsia"/>
                  </w:rPr>
                </w:pPr>
                <w:r>
                  <w:rPr>
                    <w:rFonts w:asciiTheme="minorEastAsia" w:eastAsiaTheme="minorEastAsia" w:hAnsiTheme="minorEastAsia"/>
                  </w:rPr>
                  <w:t>4,401,577</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540BD7B8" w14:textId="77777777" w:rsidR="007E7472" w:rsidRDefault="00EC1269">
                <w:pPr>
                  <w:jc w:val="right"/>
                  <w:rPr>
                    <w:rFonts w:asciiTheme="minorEastAsia" w:eastAsiaTheme="minorEastAsia" w:hAnsiTheme="minorEastAsia"/>
                  </w:rPr>
                </w:pPr>
                <w:r>
                  <w:rPr>
                    <w:rFonts w:asciiTheme="minorEastAsia" w:eastAsiaTheme="minorEastAsia" w:hAnsiTheme="minorEastAsia"/>
                  </w:rPr>
                  <w:t>4,009,125</w:t>
                </w:r>
              </w:p>
            </w:tc>
          </w:tr>
          <w:tr w:rsidR="007E7472" w14:paraId="4B02B2A9" w14:textId="77777777">
            <w:tc>
              <w:tcPr>
                <w:tcW w:w="1924" w:type="pct"/>
                <w:tcBorders>
                  <w:top w:val="single" w:sz="4" w:space="0" w:color="auto"/>
                  <w:left w:val="single" w:sz="4" w:space="0" w:color="auto"/>
                  <w:bottom w:val="single" w:sz="4" w:space="0" w:color="auto"/>
                  <w:right w:val="single" w:sz="4" w:space="0" w:color="auto"/>
                </w:tcBorders>
                <w:shd w:val="clear" w:color="auto" w:fill="auto"/>
              </w:tcPr>
              <w:p w14:paraId="1DA88D74" w14:textId="77777777" w:rsidR="007E7472" w:rsidRDefault="00EC1269">
                <w:pPr>
                  <w:rPr>
                    <w:rFonts w:asciiTheme="minorEastAsia" w:eastAsiaTheme="minorEastAsia" w:hAnsiTheme="minorEastAsia"/>
                  </w:rPr>
                </w:pPr>
                <w:r>
                  <w:rPr>
                    <w:rFonts w:asciiTheme="minorEastAsia" w:eastAsiaTheme="minorEastAsia" w:hAnsiTheme="minorEastAsia" w:hint="eastAsia"/>
                  </w:rPr>
                  <w:t>使用权资产摊销</w:t>
                </w:r>
              </w:p>
            </w:tc>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664768D7" w14:textId="77777777" w:rsidR="007E7472" w:rsidRDefault="00EC1269">
                <w:pPr>
                  <w:jc w:val="right"/>
                  <w:rPr>
                    <w:rFonts w:asciiTheme="minorEastAsia" w:eastAsiaTheme="minorEastAsia" w:hAnsiTheme="minorEastAsia"/>
                  </w:rPr>
                </w:pPr>
                <w:r>
                  <w:rPr>
                    <w:rFonts w:asciiTheme="minorEastAsia" w:eastAsiaTheme="minorEastAsia" w:hAnsiTheme="minorEastAsia"/>
                  </w:rPr>
                  <w:t>122,805</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5C8DE7CE" w14:textId="77777777" w:rsidR="007E7472" w:rsidRDefault="00EC1269">
                <w:pPr>
                  <w:jc w:val="right"/>
                  <w:rPr>
                    <w:rFonts w:asciiTheme="minorEastAsia" w:eastAsiaTheme="minorEastAsia" w:hAnsiTheme="minorEastAsia"/>
                  </w:rPr>
                </w:pPr>
                <w:r>
                  <w:rPr>
                    <w:rFonts w:asciiTheme="minorEastAsia" w:eastAsiaTheme="minorEastAsia" w:hAnsiTheme="minorEastAsia"/>
                  </w:rPr>
                  <w:t>120,536</w:t>
                </w:r>
              </w:p>
            </w:tc>
          </w:tr>
          <w:tr w:rsidR="007E7472" w14:paraId="1F1ECBBD" w14:textId="77777777">
            <w:tc>
              <w:tcPr>
                <w:tcW w:w="1924" w:type="pct"/>
                <w:tcBorders>
                  <w:top w:val="single" w:sz="4" w:space="0" w:color="auto"/>
                  <w:left w:val="single" w:sz="4" w:space="0" w:color="auto"/>
                  <w:bottom w:val="single" w:sz="4" w:space="0" w:color="auto"/>
                  <w:right w:val="single" w:sz="4" w:space="0" w:color="auto"/>
                </w:tcBorders>
                <w:shd w:val="clear" w:color="auto" w:fill="auto"/>
              </w:tcPr>
              <w:p w14:paraId="418CDBA8" w14:textId="77777777" w:rsidR="007E7472" w:rsidRDefault="00EC1269">
                <w:pPr>
                  <w:rPr>
                    <w:rFonts w:asciiTheme="minorEastAsia" w:eastAsiaTheme="minorEastAsia" w:hAnsiTheme="minorEastAsia"/>
                  </w:rPr>
                </w:pPr>
                <w:r>
                  <w:rPr>
                    <w:rFonts w:asciiTheme="minorEastAsia" w:eastAsiaTheme="minorEastAsia" w:hAnsiTheme="minorEastAsia" w:hint="eastAsia"/>
                  </w:rPr>
                  <w:lastRenderedPageBreak/>
                  <w:t>无形资产摊销</w:t>
                </w:r>
              </w:p>
            </w:tc>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53D382D6" w14:textId="77777777" w:rsidR="007E7472" w:rsidRDefault="00EC1269">
                <w:pPr>
                  <w:jc w:val="right"/>
                  <w:rPr>
                    <w:rFonts w:asciiTheme="minorEastAsia" w:eastAsiaTheme="minorEastAsia" w:hAnsiTheme="minorEastAsia"/>
                  </w:rPr>
                </w:pPr>
                <w:r>
                  <w:rPr>
                    <w:rFonts w:asciiTheme="minorEastAsia" w:eastAsiaTheme="minorEastAsia" w:hAnsiTheme="minorEastAsia"/>
                  </w:rPr>
                  <w:t>1,326,642</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744F3E88" w14:textId="77777777" w:rsidR="007E7472" w:rsidRDefault="00EC1269">
                <w:pPr>
                  <w:jc w:val="right"/>
                  <w:rPr>
                    <w:rFonts w:asciiTheme="minorEastAsia" w:eastAsiaTheme="minorEastAsia" w:hAnsiTheme="minorEastAsia"/>
                  </w:rPr>
                </w:pPr>
                <w:r>
                  <w:rPr>
                    <w:rFonts w:asciiTheme="minorEastAsia" w:eastAsiaTheme="minorEastAsia" w:hAnsiTheme="minorEastAsia"/>
                  </w:rPr>
                  <w:t>1,241,939</w:t>
                </w:r>
              </w:p>
            </w:tc>
          </w:tr>
          <w:tr w:rsidR="007E7472" w14:paraId="3AD843BC" w14:textId="77777777">
            <w:tc>
              <w:tcPr>
                <w:tcW w:w="1924" w:type="pct"/>
                <w:tcBorders>
                  <w:top w:val="single" w:sz="4" w:space="0" w:color="auto"/>
                  <w:left w:val="single" w:sz="4" w:space="0" w:color="auto"/>
                  <w:bottom w:val="single" w:sz="4" w:space="0" w:color="auto"/>
                  <w:right w:val="single" w:sz="4" w:space="0" w:color="auto"/>
                </w:tcBorders>
                <w:shd w:val="clear" w:color="auto" w:fill="auto"/>
              </w:tcPr>
              <w:p w14:paraId="7B7ACD86" w14:textId="77777777" w:rsidR="007E7472" w:rsidRDefault="00EC1269">
                <w:pPr>
                  <w:rPr>
                    <w:rFonts w:asciiTheme="minorEastAsia" w:eastAsiaTheme="minorEastAsia" w:hAnsiTheme="minorEastAsia"/>
                  </w:rPr>
                </w:pPr>
                <w:r>
                  <w:rPr>
                    <w:rFonts w:asciiTheme="minorEastAsia" w:eastAsiaTheme="minorEastAsia" w:hAnsiTheme="minorEastAsia" w:hint="eastAsia"/>
                  </w:rPr>
                  <w:t>长期待摊费用摊销</w:t>
                </w:r>
              </w:p>
            </w:tc>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312B92E7" w14:textId="77777777" w:rsidR="007E7472" w:rsidRDefault="00EC1269">
                <w:pPr>
                  <w:jc w:val="right"/>
                  <w:rPr>
                    <w:rFonts w:asciiTheme="minorEastAsia" w:eastAsiaTheme="minorEastAsia" w:hAnsiTheme="minorEastAsia"/>
                  </w:rPr>
                </w:pPr>
                <w:r>
                  <w:rPr>
                    <w:rFonts w:asciiTheme="minorEastAsia" w:eastAsiaTheme="minorEastAsia" w:hAnsiTheme="minorEastAsia"/>
                  </w:rPr>
                  <w:t>73,610</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6FAF8041" w14:textId="77777777" w:rsidR="007E7472" w:rsidRDefault="00EC1269">
                <w:pPr>
                  <w:jc w:val="right"/>
                  <w:rPr>
                    <w:rFonts w:asciiTheme="minorEastAsia" w:eastAsiaTheme="minorEastAsia" w:hAnsiTheme="minorEastAsia"/>
                  </w:rPr>
                </w:pPr>
                <w:r>
                  <w:rPr>
                    <w:rFonts w:asciiTheme="minorEastAsia" w:eastAsiaTheme="minorEastAsia" w:hAnsiTheme="minorEastAsia"/>
                  </w:rPr>
                  <w:t>21,281</w:t>
                </w:r>
              </w:p>
            </w:tc>
          </w:tr>
          <w:tr w:rsidR="007E7472" w14:paraId="7898F3F4" w14:textId="77777777">
            <w:tc>
              <w:tcPr>
                <w:tcW w:w="1924" w:type="pct"/>
                <w:tcBorders>
                  <w:top w:val="single" w:sz="4" w:space="0" w:color="auto"/>
                  <w:left w:val="single" w:sz="4" w:space="0" w:color="auto"/>
                  <w:bottom w:val="single" w:sz="4" w:space="0" w:color="auto"/>
                  <w:right w:val="single" w:sz="4" w:space="0" w:color="auto"/>
                </w:tcBorders>
                <w:shd w:val="clear" w:color="auto" w:fill="auto"/>
              </w:tcPr>
              <w:p w14:paraId="15AB6289" w14:textId="77777777" w:rsidR="007E7472" w:rsidRDefault="00EC1269">
                <w:pPr>
                  <w:rPr>
                    <w:rFonts w:asciiTheme="minorEastAsia" w:eastAsiaTheme="minorEastAsia" w:hAnsiTheme="minorEastAsia"/>
                  </w:rPr>
                </w:pPr>
                <w:r>
                  <w:rPr>
                    <w:rFonts w:asciiTheme="minorEastAsia" w:eastAsiaTheme="minorEastAsia" w:hAnsiTheme="minorEastAsia" w:hint="eastAsia"/>
                  </w:rPr>
                  <w:t>计提专项储备</w:t>
                </w:r>
              </w:p>
            </w:tc>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6AEFD013" w14:textId="77777777" w:rsidR="007E7472" w:rsidRDefault="00EC1269">
                <w:pPr>
                  <w:jc w:val="right"/>
                  <w:rPr>
                    <w:rFonts w:asciiTheme="minorEastAsia" w:eastAsiaTheme="minorEastAsia" w:hAnsiTheme="minorEastAsia"/>
                  </w:rPr>
                </w:pPr>
                <w:r>
                  <w:rPr>
                    <w:rFonts w:asciiTheme="minorEastAsia" w:eastAsiaTheme="minorEastAsia" w:hAnsiTheme="minorEastAsia"/>
                  </w:rPr>
                  <w:t>236,883</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0D0E4C7C" w14:textId="77777777" w:rsidR="007E7472" w:rsidRDefault="00EC1269">
                <w:pPr>
                  <w:jc w:val="right"/>
                  <w:rPr>
                    <w:rFonts w:asciiTheme="minorEastAsia" w:eastAsiaTheme="minorEastAsia" w:hAnsiTheme="minorEastAsia"/>
                  </w:rPr>
                </w:pPr>
                <w:r>
                  <w:rPr>
                    <w:rFonts w:asciiTheme="minorEastAsia" w:eastAsiaTheme="minorEastAsia" w:hAnsiTheme="minorEastAsia"/>
                  </w:rPr>
                  <w:t>1,025,016</w:t>
                </w:r>
              </w:p>
            </w:tc>
          </w:tr>
          <w:tr w:rsidR="007E7472" w14:paraId="5246181C" w14:textId="77777777">
            <w:tc>
              <w:tcPr>
                <w:tcW w:w="1924" w:type="pct"/>
                <w:tcBorders>
                  <w:top w:val="single" w:sz="4" w:space="0" w:color="auto"/>
                  <w:left w:val="single" w:sz="4" w:space="0" w:color="auto"/>
                  <w:bottom w:val="single" w:sz="4" w:space="0" w:color="auto"/>
                  <w:right w:val="single" w:sz="4" w:space="0" w:color="auto"/>
                </w:tcBorders>
                <w:shd w:val="clear" w:color="auto" w:fill="auto"/>
              </w:tcPr>
              <w:p w14:paraId="1ED3DFB6" w14:textId="77777777" w:rsidR="007E7472" w:rsidRDefault="00EC1269">
                <w:pPr>
                  <w:rPr>
                    <w:rFonts w:asciiTheme="minorEastAsia" w:eastAsiaTheme="minorEastAsia" w:hAnsiTheme="minorEastAsia"/>
                  </w:rPr>
                </w:pPr>
                <w:r>
                  <w:rPr>
                    <w:rFonts w:asciiTheme="minorEastAsia" w:eastAsiaTheme="minorEastAsia" w:hAnsiTheme="minorEastAsia" w:hint="eastAsia"/>
                  </w:rPr>
                  <w:t>处置固定资产、无形资产和其他长期资产的损失（收益以</w:t>
                </w:r>
                <w:r>
                  <w:rPr>
                    <w:rFonts w:asciiTheme="minorEastAsia" w:eastAsiaTheme="minorEastAsia" w:hAnsiTheme="minorEastAsia"/>
                  </w:rPr>
                  <w:t>“</w:t>
                </w:r>
                <w:r>
                  <w:rPr>
                    <w:rFonts w:asciiTheme="minorEastAsia" w:eastAsiaTheme="minorEastAsia" w:hAnsiTheme="minorEastAsia" w:hint="eastAsia"/>
                  </w:rPr>
                  <w:t>－</w:t>
                </w:r>
                <w:r>
                  <w:rPr>
                    <w:rFonts w:asciiTheme="minorEastAsia" w:eastAsiaTheme="minorEastAsia" w:hAnsiTheme="minorEastAsia"/>
                  </w:rPr>
                  <w:t>”</w:t>
                </w:r>
                <w:r>
                  <w:rPr>
                    <w:rFonts w:asciiTheme="minorEastAsia" w:eastAsiaTheme="minorEastAsia" w:hAnsiTheme="minorEastAsia" w:hint="eastAsia"/>
                  </w:rPr>
                  <w:t>号填列）</w:t>
                </w:r>
              </w:p>
            </w:tc>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413A1D90" w14:textId="77777777" w:rsidR="007E7472" w:rsidRDefault="00EC1269">
                <w:pPr>
                  <w:jc w:val="right"/>
                  <w:rPr>
                    <w:rFonts w:asciiTheme="minorEastAsia" w:eastAsiaTheme="minorEastAsia" w:hAnsiTheme="minorEastAsia"/>
                  </w:rPr>
                </w:pPr>
                <w:r>
                  <w:rPr>
                    <w:rFonts w:asciiTheme="minorEastAsia" w:eastAsiaTheme="minorEastAsia" w:hAnsiTheme="minorEastAsia"/>
                  </w:rPr>
                  <w:t>-5,190</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6D8CEBFC" w14:textId="77777777" w:rsidR="007E7472" w:rsidRDefault="00EC1269">
                <w:pPr>
                  <w:jc w:val="right"/>
                  <w:rPr>
                    <w:rFonts w:asciiTheme="minorEastAsia" w:eastAsiaTheme="minorEastAsia" w:hAnsiTheme="minorEastAsia"/>
                  </w:rPr>
                </w:pPr>
                <w:r>
                  <w:rPr>
                    <w:rFonts w:asciiTheme="minorEastAsia" w:eastAsiaTheme="minorEastAsia" w:hAnsiTheme="minorEastAsia"/>
                  </w:rPr>
                  <w:t>-18,263</w:t>
                </w:r>
              </w:p>
            </w:tc>
          </w:tr>
          <w:tr w:rsidR="007E7472" w14:paraId="11A6C742" w14:textId="77777777">
            <w:sdt>
              <w:sdtPr>
                <w:rPr>
                  <w:rFonts w:asciiTheme="minorEastAsia" w:eastAsiaTheme="minorEastAsia" w:hAnsiTheme="minorEastAsia"/>
                </w:rPr>
                <w:tag w:val="_PLD_b85deb2045874a498f408bd31aa1c639"/>
                <w:id w:val="-833218706"/>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6617C3DC" w14:textId="77777777" w:rsidR="007E7472" w:rsidRDefault="00EC1269">
                    <w:pPr>
                      <w:rPr>
                        <w:rFonts w:asciiTheme="minorEastAsia" w:eastAsiaTheme="minorEastAsia" w:hAnsiTheme="minorEastAsia"/>
                      </w:rPr>
                    </w:pPr>
                    <w:r>
                      <w:rPr>
                        <w:rFonts w:asciiTheme="minorEastAsia" w:eastAsiaTheme="minorEastAsia" w:hAnsiTheme="minorEastAsia" w:hint="eastAsia"/>
                      </w:rPr>
                      <w:t>固定资产报废损失（收益以</w:t>
                    </w:r>
                    <w:r>
                      <w:rPr>
                        <w:rFonts w:asciiTheme="minorEastAsia" w:eastAsiaTheme="minorEastAsia" w:hAnsiTheme="minorEastAsia"/>
                      </w:rPr>
                      <w:t>“</w:t>
                    </w:r>
                    <w:r>
                      <w:rPr>
                        <w:rFonts w:asciiTheme="minorEastAsia" w:eastAsiaTheme="minorEastAsia" w:hAnsiTheme="minorEastAsia" w:hint="eastAsia"/>
                      </w:rPr>
                      <w:t>－</w:t>
                    </w:r>
                    <w:r>
                      <w:rPr>
                        <w:rFonts w:asciiTheme="minorEastAsia" w:eastAsiaTheme="minorEastAsia" w:hAnsiTheme="minorEastAsia"/>
                      </w:rPr>
                      <w:t>”</w:t>
                    </w:r>
                    <w:r>
                      <w:rPr>
                        <w:rFonts w:asciiTheme="minorEastAsia" w:eastAsiaTheme="minorEastAsia" w:hAnsiTheme="minorEastAsia" w:hint="eastAsia"/>
                      </w:rPr>
                      <w:t>号填列）</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14:paraId="38C1B905" w14:textId="77777777" w:rsidR="007E7472" w:rsidRDefault="00C8327E">
                <w:pPr>
                  <w:jc w:val="right"/>
                  <w:rPr>
                    <w:rFonts w:asciiTheme="minorEastAsia" w:eastAsiaTheme="minorEastAsia" w:hAnsiTheme="minorEastAsia"/>
                  </w:rPr>
                </w:pPr>
              </w:p>
            </w:tc>
            <w:tc>
              <w:tcPr>
                <w:tcW w:w="1529" w:type="pct"/>
                <w:tcBorders>
                  <w:top w:val="outset" w:sz="6" w:space="0" w:color="auto"/>
                  <w:left w:val="outset" w:sz="6" w:space="0" w:color="auto"/>
                  <w:bottom w:val="outset" w:sz="6" w:space="0" w:color="auto"/>
                  <w:right w:val="outset" w:sz="6" w:space="0" w:color="auto"/>
                </w:tcBorders>
                <w:shd w:val="clear" w:color="auto" w:fill="auto"/>
              </w:tcPr>
              <w:p w14:paraId="7AE3D672" w14:textId="77777777" w:rsidR="007E7472" w:rsidRDefault="00EC1269">
                <w:pPr>
                  <w:jc w:val="right"/>
                  <w:rPr>
                    <w:rFonts w:asciiTheme="minorEastAsia" w:eastAsiaTheme="minorEastAsia" w:hAnsiTheme="minorEastAsia"/>
                  </w:rPr>
                </w:pPr>
                <w:r>
                  <w:rPr>
                    <w:rFonts w:asciiTheme="minorEastAsia" w:eastAsiaTheme="minorEastAsia" w:hAnsiTheme="minorEastAsia" w:hint="eastAsia"/>
                  </w:rPr>
                  <w:t>4</w:t>
                </w:r>
              </w:p>
            </w:tc>
          </w:tr>
          <w:tr w:rsidR="007E7472" w14:paraId="7C597535" w14:textId="77777777">
            <w:tc>
              <w:tcPr>
                <w:tcW w:w="1924" w:type="pct"/>
                <w:tcBorders>
                  <w:top w:val="single" w:sz="4" w:space="0" w:color="auto"/>
                  <w:left w:val="single" w:sz="4" w:space="0" w:color="auto"/>
                  <w:bottom w:val="single" w:sz="4" w:space="0" w:color="auto"/>
                  <w:right w:val="single" w:sz="4" w:space="0" w:color="auto"/>
                </w:tcBorders>
                <w:shd w:val="clear" w:color="auto" w:fill="auto"/>
              </w:tcPr>
              <w:p w14:paraId="4636DB8F" w14:textId="77777777" w:rsidR="007E7472" w:rsidRDefault="00EC1269">
                <w:r>
                  <w:rPr>
                    <w:rFonts w:hint="eastAsia"/>
                  </w:rPr>
                  <w:t>公允价值变动损失（收益以</w:t>
                </w:r>
                <w:r>
                  <w:t>“</w:t>
                </w:r>
                <w:r>
                  <w:rPr>
                    <w:rFonts w:hint="eastAsia"/>
                  </w:rPr>
                  <w:t>－</w:t>
                </w:r>
                <w:r>
                  <w:t>”</w:t>
                </w:r>
                <w:r>
                  <w:rPr>
                    <w:rFonts w:hint="eastAsia"/>
                  </w:rPr>
                  <w:t>号填列）</w:t>
                </w:r>
              </w:p>
            </w:tc>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4191D9B6" w14:textId="77777777" w:rsidR="007E7472" w:rsidRDefault="00EC1269">
                <w:pPr>
                  <w:jc w:val="right"/>
                </w:pPr>
                <w:r>
                  <w:t>68,054</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1359F004" w14:textId="77777777" w:rsidR="007E7472" w:rsidRDefault="00EC1269">
                <w:pPr>
                  <w:jc w:val="right"/>
                </w:pPr>
                <w:r>
                  <w:t>40,736</w:t>
                </w:r>
              </w:p>
            </w:tc>
          </w:tr>
          <w:tr w:rsidR="007E7472" w14:paraId="4EF6D1E3" w14:textId="77777777">
            <w:tc>
              <w:tcPr>
                <w:tcW w:w="1924" w:type="pct"/>
                <w:tcBorders>
                  <w:top w:val="single" w:sz="4" w:space="0" w:color="auto"/>
                  <w:left w:val="single" w:sz="4" w:space="0" w:color="auto"/>
                  <w:bottom w:val="single" w:sz="4" w:space="0" w:color="auto"/>
                  <w:right w:val="single" w:sz="4" w:space="0" w:color="auto"/>
                </w:tcBorders>
                <w:shd w:val="clear" w:color="auto" w:fill="auto"/>
              </w:tcPr>
              <w:p w14:paraId="0EF27575" w14:textId="77777777" w:rsidR="007E7472" w:rsidRDefault="00EC1269">
                <w:r>
                  <w:rPr>
                    <w:rFonts w:hint="eastAsia"/>
                  </w:rPr>
                  <w:t>净敞口套期收益（收益以“</w:t>
                </w:r>
                <w:r>
                  <w:t>-”填列）</w:t>
                </w:r>
              </w:p>
            </w:tc>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0690BF15" w14:textId="77777777" w:rsidR="007E7472" w:rsidRDefault="00EC1269">
                <w:pPr>
                  <w:jc w:val="right"/>
                </w:pPr>
                <w:r>
                  <w:t>-57,658</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79FF373B" w14:textId="77777777" w:rsidR="007E7472" w:rsidRDefault="00EC1269">
                <w:pPr>
                  <w:jc w:val="right"/>
                </w:pPr>
                <w:r>
                  <w:t>812,574</w:t>
                </w:r>
              </w:p>
            </w:tc>
          </w:tr>
          <w:tr w:rsidR="007E7472" w14:paraId="1579C14A" w14:textId="77777777">
            <w:tc>
              <w:tcPr>
                <w:tcW w:w="1924" w:type="pct"/>
                <w:tcBorders>
                  <w:top w:val="single" w:sz="4" w:space="0" w:color="auto"/>
                  <w:left w:val="single" w:sz="4" w:space="0" w:color="auto"/>
                  <w:bottom w:val="single" w:sz="4" w:space="0" w:color="auto"/>
                  <w:right w:val="single" w:sz="4" w:space="0" w:color="auto"/>
                </w:tcBorders>
                <w:shd w:val="clear" w:color="auto" w:fill="auto"/>
              </w:tcPr>
              <w:p w14:paraId="6DDECA41" w14:textId="77777777" w:rsidR="007E7472" w:rsidRDefault="00EC1269">
                <w:r>
                  <w:rPr>
                    <w:rFonts w:hint="eastAsia"/>
                  </w:rPr>
                  <w:t>财务费用（收益以</w:t>
                </w:r>
                <w:r>
                  <w:t>“</w:t>
                </w:r>
                <w:r>
                  <w:rPr>
                    <w:rFonts w:hint="eastAsia"/>
                  </w:rPr>
                  <w:t>－</w:t>
                </w:r>
                <w:r>
                  <w:t>”</w:t>
                </w:r>
                <w:r>
                  <w:rPr>
                    <w:rFonts w:hint="eastAsia"/>
                  </w:rPr>
                  <w:t>号填列）</w:t>
                </w:r>
              </w:p>
            </w:tc>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170202D2" w14:textId="77777777" w:rsidR="007E7472" w:rsidRDefault="00EC1269">
                <w:pPr>
                  <w:jc w:val="right"/>
                </w:pPr>
                <w:r>
                  <w:t>1,536,884</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4332F8A6" w14:textId="77777777" w:rsidR="007E7472" w:rsidRDefault="00EC1269">
                <w:pPr>
                  <w:jc w:val="right"/>
                </w:pPr>
                <w:r>
                  <w:t>1,826,266</w:t>
                </w:r>
              </w:p>
            </w:tc>
          </w:tr>
          <w:tr w:rsidR="007E7472" w14:paraId="281877E2" w14:textId="77777777">
            <w:tc>
              <w:tcPr>
                <w:tcW w:w="1924" w:type="pct"/>
                <w:tcBorders>
                  <w:top w:val="single" w:sz="4" w:space="0" w:color="auto"/>
                  <w:left w:val="single" w:sz="4" w:space="0" w:color="auto"/>
                  <w:bottom w:val="single" w:sz="4" w:space="0" w:color="auto"/>
                  <w:right w:val="single" w:sz="4" w:space="0" w:color="auto"/>
                </w:tcBorders>
                <w:shd w:val="clear" w:color="auto" w:fill="auto"/>
              </w:tcPr>
              <w:p w14:paraId="7AF8E435" w14:textId="77777777" w:rsidR="007E7472" w:rsidRDefault="00EC1269">
                <w:r>
                  <w:rPr>
                    <w:rFonts w:hint="eastAsia"/>
                  </w:rPr>
                  <w:t>投资损失（收益以</w:t>
                </w:r>
                <w:r>
                  <w:t>“</w:t>
                </w:r>
                <w:r>
                  <w:rPr>
                    <w:rFonts w:hint="eastAsia"/>
                  </w:rPr>
                  <w:t>－</w:t>
                </w:r>
                <w:r>
                  <w:t>”</w:t>
                </w:r>
                <w:r>
                  <w:rPr>
                    <w:rFonts w:hint="eastAsia"/>
                  </w:rPr>
                  <w:t>号填列）</w:t>
                </w:r>
              </w:p>
            </w:tc>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3957CB87" w14:textId="77777777" w:rsidR="007E7472" w:rsidRDefault="00EC1269">
                <w:pPr>
                  <w:jc w:val="right"/>
                </w:pPr>
                <w:r>
                  <w:t>-656,551</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7827C0B2" w14:textId="77777777" w:rsidR="007E7472" w:rsidRDefault="00EC1269">
                <w:pPr>
                  <w:jc w:val="right"/>
                </w:pPr>
                <w:r>
                  <w:t>-1,523,753</w:t>
                </w:r>
              </w:p>
            </w:tc>
          </w:tr>
          <w:tr w:rsidR="007E7472" w14:paraId="5FC6CD96" w14:textId="77777777">
            <w:tc>
              <w:tcPr>
                <w:tcW w:w="1924" w:type="pct"/>
                <w:tcBorders>
                  <w:top w:val="single" w:sz="4" w:space="0" w:color="auto"/>
                  <w:left w:val="single" w:sz="4" w:space="0" w:color="auto"/>
                  <w:bottom w:val="single" w:sz="4" w:space="0" w:color="auto"/>
                  <w:right w:val="single" w:sz="4" w:space="0" w:color="auto"/>
                </w:tcBorders>
                <w:shd w:val="clear" w:color="auto" w:fill="auto"/>
              </w:tcPr>
              <w:p w14:paraId="4DBBDF75" w14:textId="77777777" w:rsidR="007E7472" w:rsidRDefault="00EC1269">
                <w:r>
                  <w:rPr>
                    <w:rFonts w:hint="eastAsia"/>
                  </w:rPr>
                  <w:t>递延所得税资产减少（增加以</w:t>
                </w:r>
                <w:r>
                  <w:t>“</w:t>
                </w:r>
                <w:r>
                  <w:rPr>
                    <w:rFonts w:hint="eastAsia"/>
                  </w:rPr>
                  <w:t>－</w:t>
                </w:r>
                <w:r>
                  <w:t>”</w:t>
                </w:r>
                <w:r>
                  <w:rPr>
                    <w:rFonts w:hint="eastAsia"/>
                  </w:rPr>
                  <w:t>号填列）</w:t>
                </w:r>
              </w:p>
            </w:tc>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3B787AD9" w14:textId="77777777" w:rsidR="007E7472" w:rsidRDefault="00EC1269">
                <w:pPr>
                  <w:jc w:val="right"/>
                </w:pPr>
                <w:r>
                  <w:t>-253,962</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180DAD87" w14:textId="77777777" w:rsidR="007E7472" w:rsidRDefault="00EC1269">
                <w:pPr>
                  <w:jc w:val="right"/>
                </w:pPr>
                <w:r>
                  <w:t>247,744</w:t>
                </w:r>
              </w:p>
            </w:tc>
          </w:tr>
          <w:tr w:rsidR="007E7472" w14:paraId="0FE7DA2C" w14:textId="77777777">
            <w:tc>
              <w:tcPr>
                <w:tcW w:w="1924" w:type="pct"/>
                <w:tcBorders>
                  <w:top w:val="single" w:sz="4" w:space="0" w:color="auto"/>
                  <w:left w:val="single" w:sz="4" w:space="0" w:color="auto"/>
                  <w:bottom w:val="single" w:sz="4" w:space="0" w:color="auto"/>
                  <w:right w:val="single" w:sz="4" w:space="0" w:color="auto"/>
                </w:tcBorders>
                <w:shd w:val="clear" w:color="auto" w:fill="auto"/>
              </w:tcPr>
              <w:p w14:paraId="68C9E083" w14:textId="77777777" w:rsidR="007E7472" w:rsidRDefault="00EC1269">
                <w:r>
                  <w:rPr>
                    <w:rFonts w:hint="eastAsia"/>
                  </w:rPr>
                  <w:t>递延所得税负债增加（减少以</w:t>
                </w:r>
                <w:r>
                  <w:t>“</w:t>
                </w:r>
                <w:r>
                  <w:rPr>
                    <w:rFonts w:hint="eastAsia"/>
                  </w:rPr>
                  <w:t>－</w:t>
                </w:r>
                <w:r>
                  <w:t>”</w:t>
                </w:r>
                <w:r>
                  <w:rPr>
                    <w:rFonts w:hint="eastAsia"/>
                  </w:rPr>
                  <w:t>号填列）</w:t>
                </w:r>
              </w:p>
            </w:tc>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23B6E672" w14:textId="77777777" w:rsidR="007E7472" w:rsidRDefault="00EC1269">
                <w:pPr>
                  <w:jc w:val="right"/>
                </w:pPr>
                <w:r>
                  <w:t>-73,030</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3AB3699F" w14:textId="77777777" w:rsidR="007E7472" w:rsidRDefault="00EC1269">
                <w:pPr>
                  <w:jc w:val="right"/>
                </w:pPr>
                <w:r>
                  <w:t>88,193</w:t>
                </w:r>
              </w:p>
            </w:tc>
          </w:tr>
          <w:tr w:rsidR="007E7472" w14:paraId="10082CB2" w14:textId="77777777">
            <w:tc>
              <w:tcPr>
                <w:tcW w:w="1924" w:type="pct"/>
                <w:tcBorders>
                  <w:top w:val="single" w:sz="4" w:space="0" w:color="auto"/>
                  <w:left w:val="single" w:sz="4" w:space="0" w:color="auto"/>
                  <w:bottom w:val="single" w:sz="4" w:space="0" w:color="auto"/>
                  <w:right w:val="single" w:sz="4" w:space="0" w:color="auto"/>
                </w:tcBorders>
                <w:shd w:val="clear" w:color="auto" w:fill="auto"/>
              </w:tcPr>
              <w:p w14:paraId="4CA9828E" w14:textId="77777777" w:rsidR="007E7472" w:rsidRDefault="00EC1269">
                <w:r>
                  <w:rPr>
                    <w:rFonts w:hint="eastAsia"/>
                  </w:rPr>
                  <w:t>存货的减少（增加以</w:t>
                </w:r>
                <w:r>
                  <w:t>“</w:t>
                </w:r>
                <w:r>
                  <w:rPr>
                    <w:rFonts w:hint="eastAsia"/>
                  </w:rPr>
                  <w:t>－</w:t>
                </w:r>
                <w:r>
                  <w:t>”</w:t>
                </w:r>
                <w:r>
                  <w:rPr>
                    <w:rFonts w:hint="eastAsia"/>
                  </w:rPr>
                  <w:t>号填列）</w:t>
                </w:r>
              </w:p>
            </w:tc>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1E0260BF" w14:textId="77777777" w:rsidR="007E7472" w:rsidRDefault="00EC1269">
                <w:pPr>
                  <w:jc w:val="right"/>
                </w:pPr>
                <w:r>
                  <w:t>2,004,351</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5C464D16" w14:textId="77777777" w:rsidR="007E7472" w:rsidRDefault="00EC1269">
                <w:pPr>
                  <w:jc w:val="right"/>
                </w:pPr>
                <w:r>
                  <w:t>-718,146</w:t>
                </w:r>
              </w:p>
            </w:tc>
          </w:tr>
          <w:tr w:rsidR="007E7472" w14:paraId="02B8D0DC" w14:textId="77777777">
            <w:tc>
              <w:tcPr>
                <w:tcW w:w="1924" w:type="pct"/>
                <w:tcBorders>
                  <w:top w:val="single" w:sz="4" w:space="0" w:color="auto"/>
                  <w:left w:val="single" w:sz="4" w:space="0" w:color="auto"/>
                  <w:bottom w:val="single" w:sz="4" w:space="0" w:color="auto"/>
                  <w:right w:val="single" w:sz="4" w:space="0" w:color="auto"/>
                </w:tcBorders>
                <w:shd w:val="clear" w:color="auto" w:fill="auto"/>
              </w:tcPr>
              <w:p w14:paraId="24A76B21" w14:textId="77777777" w:rsidR="007E7472" w:rsidRDefault="00EC1269">
                <w:r>
                  <w:rPr>
                    <w:rFonts w:hint="eastAsia"/>
                  </w:rPr>
                  <w:t>经营性应收项目的减少（增加以</w:t>
                </w:r>
                <w:r>
                  <w:t>“</w:t>
                </w:r>
                <w:r>
                  <w:rPr>
                    <w:rFonts w:hint="eastAsia"/>
                  </w:rPr>
                  <w:t>－</w:t>
                </w:r>
                <w:r>
                  <w:t>”</w:t>
                </w:r>
                <w:r>
                  <w:rPr>
                    <w:rFonts w:hint="eastAsia"/>
                  </w:rPr>
                  <w:t>号填列）</w:t>
                </w:r>
              </w:p>
            </w:tc>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45C588E2" w14:textId="77777777" w:rsidR="007E7472" w:rsidRDefault="00EC1269">
                <w:pPr>
                  <w:jc w:val="right"/>
                </w:pPr>
                <w:r>
                  <w:t>-1,599,251</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46213346" w14:textId="77777777" w:rsidR="007E7472" w:rsidRDefault="00EC1269">
                <w:pPr>
                  <w:jc w:val="right"/>
                  <w:rPr>
                    <w:b/>
                  </w:rPr>
                </w:pPr>
                <w:r>
                  <w:t>-2,773,229</w:t>
                </w:r>
              </w:p>
            </w:tc>
          </w:tr>
          <w:tr w:rsidR="007E7472" w14:paraId="7ECB0D4A" w14:textId="77777777">
            <w:tc>
              <w:tcPr>
                <w:tcW w:w="1924" w:type="pct"/>
                <w:tcBorders>
                  <w:top w:val="single" w:sz="4" w:space="0" w:color="auto"/>
                  <w:left w:val="single" w:sz="4" w:space="0" w:color="auto"/>
                  <w:bottom w:val="single" w:sz="4" w:space="0" w:color="auto"/>
                  <w:right w:val="single" w:sz="4" w:space="0" w:color="auto"/>
                </w:tcBorders>
                <w:shd w:val="clear" w:color="auto" w:fill="auto"/>
              </w:tcPr>
              <w:p w14:paraId="073145E4" w14:textId="77777777" w:rsidR="007E7472" w:rsidRDefault="00EC1269">
                <w:r>
                  <w:rPr>
                    <w:rFonts w:hint="eastAsia"/>
                  </w:rPr>
                  <w:t>经营性应付项目的增加（减少以</w:t>
                </w:r>
                <w:r>
                  <w:t>“</w:t>
                </w:r>
                <w:r>
                  <w:rPr>
                    <w:rFonts w:hint="eastAsia"/>
                  </w:rPr>
                  <w:t>－</w:t>
                </w:r>
                <w:r>
                  <w:t>”</w:t>
                </w:r>
                <w:r>
                  <w:rPr>
                    <w:rFonts w:hint="eastAsia"/>
                  </w:rPr>
                  <w:t>号填列）</w:t>
                </w:r>
              </w:p>
            </w:tc>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0852F7A1" w14:textId="77777777" w:rsidR="007E7472" w:rsidRDefault="00EC1269">
                <w:pPr>
                  <w:jc w:val="right"/>
                </w:pPr>
                <w:r>
                  <w:t>-11,383,178</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71F27DA5" w14:textId="77777777" w:rsidR="007E7472" w:rsidRDefault="00EC1269">
                <w:pPr>
                  <w:jc w:val="right"/>
                  <w:rPr>
                    <w:b/>
                  </w:rPr>
                </w:pPr>
                <w:r>
                  <w:t>-13,339,051</w:t>
                </w:r>
              </w:p>
            </w:tc>
          </w:tr>
          <w:tr w:rsidR="007E7472" w14:paraId="20267FD7" w14:textId="77777777">
            <w:tc>
              <w:tcPr>
                <w:tcW w:w="1924" w:type="pct"/>
                <w:tcBorders>
                  <w:top w:val="single" w:sz="4" w:space="0" w:color="auto"/>
                  <w:left w:val="single" w:sz="4" w:space="0" w:color="auto"/>
                  <w:bottom w:val="single" w:sz="4" w:space="0" w:color="auto"/>
                  <w:right w:val="single" w:sz="4" w:space="0" w:color="auto"/>
                </w:tcBorders>
                <w:shd w:val="clear" w:color="auto" w:fill="auto"/>
              </w:tcPr>
              <w:p w14:paraId="4EC9CDD6" w14:textId="77777777" w:rsidR="007E7472" w:rsidRDefault="00EC1269">
                <w:r>
                  <w:rPr>
                    <w:rFonts w:hint="eastAsia"/>
                  </w:rPr>
                  <w:t>其他</w:t>
                </w:r>
              </w:p>
            </w:tc>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2EEA719F" w14:textId="77777777" w:rsidR="007E7472" w:rsidRDefault="00EC1269">
                <w:pPr>
                  <w:jc w:val="right"/>
                </w:pPr>
                <w:r>
                  <w:t>189,412</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7315A34C" w14:textId="77777777" w:rsidR="007E7472" w:rsidRDefault="00EC1269">
                <w:pPr>
                  <w:jc w:val="right"/>
                </w:pPr>
                <w:r>
                  <w:rPr>
                    <w:rFonts w:hint="eastAsia"/>
                  </w:rPr>
                  <w:t>1</w:t>
                </w:r>
                <w:r>
                  <w:t>23,231</w:t>
                </w:r>
              </w:p>
            </w:tc>
          </w:tr>
          <w:tr w:rsidR="007E7472" w14:paraId="5B3FE3B3" w14:textId="77777777">
            <w:tc>
              <w:tcPr>
                <w:tcW w:w="1924" w:type="pct"/>
                <w:tcBorders>
                  <w:top w:val="single" w:sz="4" w:space="0" w:color="auto"/>
                  <w:left w:val="single" w:sz="4" w:space="0" w:color="auto"/>
                  <w:bottom w:val="single" w:sz="4" w:space="0" w:color="auto"/>
                  <w:right w:val="single" w:sz="4" w:space="0" w:color="auto"/>
                </w:tcBorders>
                <w:shd w:val="clear" w:color="auto" w:fill="auto"/>
              </w:tcPr>
              <w:p w14:paraId="00031DDF" w14:textId="77777777" w:rsidR="007E7472" w:rsidRDefault="00EC1269">
                <w:r>
                  <w:rPr>
                    <w:rFonts w:hint="eastAsia"/>
                  </w:rPr>
                  <w:t>经营活动产生的现金流量净额</w:t>
                </w:r>
              </w:p>
            </w:tc>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129DA16C" w14:textId="77777777" w:rsidR="007E7472" w:rsidRDefault="00EC1269">
                <w:pPr>
                  <w:jc w:val="right"/>
                </w:pPr>
                <w:r>
                  <w:t>8,661,120</w:t>
                </w: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4446628F" w14:textId="77777777" w:rsidR="007E7472" w:rsidRDefault="00EC1269">
                <w:pPr>
                  <w:jc w:val="right"/>
                </w:pPr>
                <w:r>
                  <w:t>13,398,605</w:t>
                </w:r>
              </w:p>
            </w:tc>
          </w:tr>
          <w:tr w:rsidR="007E7472" w14:paraId="0869F2A0" w14:textId="77777777">
            <w:sdt>
              <w:sdtPr>
                <w:tag w:val="_PLD_db693429a97d44a2848da029ca6a724c"/>
                <w:id w:val="444966202"/>
                <w:lock w:val="sdtLocked"/>
              </w:sdtPr>
              <w:sdtEndPr/>
              <w:sdtContent>
                <w:tc>
                  <w:tcPr>
                    <w:tcW w:w="5000" w:type="pct"/>
                    <w:gridSpan w:val="3"/>
                    <w:tcBorders>
                      <w:top w:val="single" w:sz="4" w:space="0" w:color="auto"/>
                      <w:left w:val="single" w:sz="4" w:space="0" w:color="auto"/>
                      <w:bottom w:val="single" w:sz="4" w:space="0" w:color="auto"/>
                      <w:right w:val="outset" w:sz="6" w:space="0" w:color="auto"/>
                    </w:tcBorders>
                    <w:shd w:val="clear" w:color="auto" w:fill="auto"/>
                  </w:tcPr>
                  <w:p w14:paraId="3D0F20CB" w14:textId="77777777" w:rsidR="007E7472" w:rsidRDefault="00EC1269">
                    <w:r>
                      <w:rPr>
                        <w:b/>
                      </w:rPr>
                      <w:t>2</w:t>
                    </w:r>
                    <w:r>
                      <w:rPr>
                        <w:rFonts w:hint="eastAsia"/>
                        <w:b/>
                      </w:rPr>
                      <w:t>．不涉及现金收支的重大投资和筹资活动：</w:t>
                    </w:r>
                  </w:p>
                </w:tc>
              </w:sdtContent>
            </w:sdt>
          </w:tr>
          <w:tr w:rsidR="007E7472" w14:paraId="293A7A5E" w14:textId="77777777">
            <w:sdt>
              <w:sdtPr>
                <w:tag w:val="_PLD_e0d4eb4cfadc41e79028384d476793f6"/>
                <w:id w:val="-181978039"/>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638DA6A9" w14:textId="77777777" w:rsidR="007E7472" w:rsidRDefault="00EC1269">
                    <w:r>
                      <w:rPr>
                        <w:rFonts w:hint="eastAsia"/>
                      </w:rPr>
                      <w:t>债务转为资本</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14:paraId="4C3F869F" w14:textId="77777777" w:rsidR="007E7472" w:rsidRDefault="00C8327E">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tcPr>
              <w:p w14:paraId="3C1C6AD0" w14:textId="77777777" w:rsidR="007E7472" w:rsidRDefault="00C8327E">
                <w:pPr>
                  <w:jc w:val="right"/>
                </w:pPr>
              </w:p>
            </w:tc>
          </w:tr>
          <w:tr w:rsidR="007E7472" w14:paraId="1CA4E8BC" w14:textId="77777777">
            <w:sdt>
              <w:sdtPr>
                <w:tag w:val="_PLD_4a6d0c6705c84302bf83bbc5e9c2e85e"/>
                <w:id w:val="284705542"/>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43752298" w14:textId="77777777" w:rsidR="007E7472" w:rsidRDefault="00EC1269">
                    <w:r>
                      <w:rPr>
                        <w:rFonts w:hint="eastAsia"/>
                      </w:rPr>
                      <w:t>一年内到期的可转换公司债券</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14:paraId="7FBCEEC4" w14:textId="77777777" w:rsidR="007E7472" w:rsidRDefault="00C8327E">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tcPr>
              <w:p w14:paraId="0E20D555" w14:textId="77777777" w:rsidR="007E7472" w:rsidRDefault="00C8327E">
                <w:pPr>
                  <w:jc w:val="right"/>
                </w:pPr>
              </w:p>
            </w:tc>
          </w:tr>
          <w:tr w:rsidR="007E7472" w14:paraId="480831FD" w14:textId="77777777">
            <w:sdt>
              <w:sdtPr>
                <w:tag w:val="_PLD_4eb4a0a5a3e944b293d87cc004adc11f"/>
                <w:id w:val="-1639485541"/>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7D813961" w14:textId="77777777" w:rsidR="007E7472" w:rsidRDefault="00EC1269">
                    <w:r>
                      <w:rPr>
                        <w:rFonts w:hint="eastAsia"/>
                      </w:rPr>
                      <w:t>融资租入固定资产</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14:paraId="61832A35" w14:textId="77777777" w:rsidR="007E7472" w:rsidRDefault="00C8327E">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tcPr>
              <w:p w14:paraId="7FF729B6" w14:textId="77777777" w:rsidR="007E7472" w:rsidRDefault="00C8327E">
                <w:pPr>
                  <w:jc w:val="right"/>
                </w:pPr>
              </w:p>
            </w:tc>
          </w:tr>
          <w:tr w:rsidR="007E7472" w14:paraId="2EE2EA87" w14:textId="77777777">
            <w:sdt>
              <w:sdtPr>
                <w:tag w:val="_PLD_1294459fe7ee46638b8d4b78b8d8c436"/>
                <w:id w:val="-663465396"/>
                <w:lock w:val="sdtLocked"/>
              </w:sdtPr>
              <w:sdtEndPr/>
              <w:sdtContent>
                <w:tc>
                  <w:tcPr>
                    <w:tcW w:w="5000" w:type="pct"/>
                    <w:gridSpan w:val="3"/>
                    <w:tcBorders>
                      <w:top w:val="single" w:sz="4" w:space="0" w:color="auto"/>
                      <w:left w:val="single" w:sz="4" w:space="0" w:color="auto"/>
                      <w:bottom w:val="single" w:sz="4" w:space="0" w:color="auto"/>
                      <w:right w:val="outset" w:sz="6" w:space="0" w:color="auto"/>
                    </w:tcBorders>
                    <w:shd w:val="clear" w:color="auto" w:fill="auto"/>
                  </w:tcPr>
                  <w:p w14:paraId="7D728EF3" w14:textId="77777777" w:rsidR="007E7472" w:rsidRDefault="00EC1269">
                    <w:r>
                      <w:rPr>
                        <w:b/>
                      </w:rPr>
                      <w:t>3</w:t>
                    </w:r>
                    <w:r>
                      <w:rPr>
                        <w:rFonts w:hint="eastAsia"/>
                        <w:b/>
                      </w:rPr>
                      <w:t>．现金及现金等价物净变动情况：</w:t>
                    </w:r>
                  </w:p>
                </w:tc>
              </w:sdtContent>
            </w:sdt>
          </w:tr>
          <w:tr w:rsidR="007E7472" w14:paraId="023B5169" w14:textId="77777777">
            <w:tc>
              <w:tcPr>
                <w:tcW w:w="1924" w:type="pct"/>
                <w:tcBorders>
                  <w:top w:val="single" w:sz="4" w:space="0" w:color="auto"/>
                  <w:left w:val="single" w:sz="4" w:space="0" w:color="auto"/>
                  <w:bottom w:val="single" w:sz="4" w:space="0" w:color="auto"/>
                  <w:right w:val="single" w:sz="4" w:space="0" w:color="auto"/>
                </w:tcBorders>
                <w:shd w:val="clear" w:color="auto" w:fill="auto"/>
              </w:tcPr>
              <w:p w14:paraId="524C0666" w14:textId="77777777" w:rsidR="007E7472" w:rsidRDefault="00EC1269">
                <w:r>
                  <w:rPr>
                    <w:rFonts w:hint="eastAsia"/>
                  </w:rPr>
                  <w:t>现金的期末余额</w:t>
                </w:r>
              </w:p>
            </w:tc>
            <w:tc>
              <w:tcPr>
                <w:tcW w:w="1547" w:type="pct"/>
                <w:tcBorders>
                  <w:top w:val="outset" w:sz="6" w:space="0" w:color="auto"/>
                  <w:left w:val="single" w:sz="4" w:space="0" w:color="auto"/>
                  <w:bottom w:val="outset" w:sz="6" w:space="0" w:color="auto"/>
                  <w:right w:val="outset" w:sz="6" w:space="0" w:color="auto"/>
                </w:tcBorders>
                <w:shd w:val="clear" w:color="auto" w:fill="auto"/>
              </w:tcPr>
              <w:p w14:paraId="499E4A3A" w14:textId="77777777" w:rsidR="007E7472" w:rsidRDefault="00EC1269">
                <w:pPr>
                  <w:jc w:val="right"/>
                </w:pPr>
                <w:r>
                  <w:t>47,073,537</w:t>
                </w:r>
              </w:p>
            </w:tc>
            <w:tc>
              <w:tcPr>
                <w:tcW w:w="1529" w:type="pct"/>
                <w:tcBorders>
                  <w:top w:val="outset" w:sz="6" w:space="0" w:color="auto"/>
                  <w:left w:val="outset" w:sz="6" w:space="0" w:color="auto"/>
                  <w:bottom w:val="outset" w:sz="6" w:space="0" w:color="auto"/>
                  <w:right w:val="outset" w:sz="6" w:space="0" w:color="auto"/>
                </w:tcBorders>
                <w:shd w:val="clear" w:color="auto" w:fill="auto"/>
              </w:tcPr>
              <w:p w14:paraId="58925E5F" w14:textId="77777777" w:rsidR="007E7472" w:rsidRDefault="00EC1269">
                <w:pPr>
                  <w:jc w:val="right"/>
                </w:pPr>
                <w:r>
                  <w:t>49,997,408</w:t>
                </w:r>
              </w:p>
            </w:tc>
          </w:tr>
          <w:tr w:rsidR="007E7472" w14:paraId="3A37A929" w14:textId="77777777">
            <w:tc>
              <w:tcPr>
                <w:tcW w:w="1924" w:type="pct"/>
                <w:tcBorders>
                  <w:top w:val="single" w:sz="4" w:space="0" w:color="auto"/>
                  <w:left w:val="single" w:sz="4" w:space="0" w:color="auto"/>
                  <w:bottom w:val="single" w:sz="4" w:space="0" w:color="auto"/>
                  <w:right w:val="single" w:sz="4" w:space="0" w:color="auto"/>
                </w:tcBorders>
                <w:shd w:val="clear" w:color="auto" w:fill="auto"/>
              </w:tcPr>
              <w:p w14:paraId="38AED607" w14:textId="77777777" w:rsidR="007E7472" w:rsidRDefault="00EC1269">
                <w:r>
                  <w:rPr>
                    <w:rFonts w:hint="eastAsia"/>
                  </w:rPr>
                  <w:t>减：现金的期初余额</w:t>
                </w:r>
              </w:p>
            </w:tc>
            <w:tc>
              <w:tcPr>
                <w:tcW w:w="1547" w:type="pct"/>
                <w:tcBorders>
                  <w:top w:val="outset" w:sz="6" w:space="0" w:color="auto"/>
                  <w:left w:val="single" w:sz="4" w:space="0" w:color="auto"/>
                  <w:bottom w:val="outset" w:sz="6" w:space="0" w:color="auto"/>
                  <w:right w:val="outset" w:sz="6" w:space="0" w:color="auto"/>
                </w:tcBorders>
                <w:shd w:val="clear" w:color="auto" w:fill="auto"/>
              </w:tcPr>
              <w:p w14:paraId="26559CD2" w14:textId="77777777" w:rsidR="007E7472" w:rsidRDefault="00EC1269">
                <w:pPr>
                  <w:jc w:val="right"/>
                  <w:rPr>
                    <w:bCs/>
                  </w:rPr>
                </w:pPr>
                <w:r>
                  <w:t>38,626,792</w:t>
                </w:r>
              </w:p>
            </w:tc>
            <w:tc>
              <w:tcPr>
                <w:tcW w:w="1529" w:type="pct"/>
                <w:tcBorders>
                  <w:top w:val="outset" w:sz="6" w:space="0" w:color="auto"/>
                  <w:left w:val="outset" w:sz="6" w:space="0" w:color="auto"/>
                  <w:bottom w:val="outset" w:sz="6" w:space="0" w:color="auto"/>
                  <w:right w:val="outset" w:sz="6" w:space="0" w:color="auto"/>
                </w:tcBorders>
                <w:shd w:val="clear" w:color="auto" w:fill="auto"/>
              </w:tcPr>
              <w:p w14:paraId="3D6DD957" w14:textId="77777777" w:rsidR="007E7472" w:rsidRDefault="00EC1269">
                <w:pPr>
                  <w:jc w:val="right"/>
                  <w:rPr>
                    <w:bCs/>
                  </w:rPr>
                </w:pPr>
                <w:r>
                  <w:t>40,045,060</w:t>
                </w:r>
              </w:p>
            </w:tc>
          </w:tr>
          <w:tr w:rsidR="007E7472" w14:paraId="421C227E" w14:textId="77777777">
            <w:sdt>
              <w:sdtPr>
                <w:tag w:val="_PLD_2b870bd2bf7a4a1c8f0ef717c730f23e"/>
                <w:id w:val="-1774476432"/>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04615979" w14:textId="77777777" w:rsidR="007E7472" w:rsidRDefault="00EC1269">
                    <w:r>
                      <w:rPr>
                        <w:rFonts w:hint="eastAsia"/>
                      </w:rPr>
                      <w:t>加：现金等价物的期末余额</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tcPr>
              <w:p w14:paraId="25B226B0" w14:textId="77777777" w:rsidR="007E7472" w:rsidRDefault="00C8327E">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tcPr>
              <w:p w14:paraId="3E82FC76" w14:textId="77777777" w:rsidR="007E7472" w:rsidRDefault="00C8327E">
                <w:pPr>
                  <w:jc w:val="right"/>
                </w:pPr>
              </w:p>
            </w:tc>
          </w:tr>
          <w:tr w:rsidR="007E7472" w14:paraId="1250D55E" w14:textId="77777777">
            <w:sdt>
              <w:sdtPr>
                <w:tag w:val="_PLD_ad568407cb3c454d95c72fc52ac36fe9"/>
                <w:id w:val="1451352436"/>
                <w:lock w:val="sdtLocked"/>
              </w:sdtPr>
              <w:sdtEndPr/>
              <w:sdtContent>
                <w:tc>
                  <w:tcPr>
                    <w:tcW w:w="1924" w:type="pct"/>
                    <w:tcBorders>
                      <w:top w:val="single" w:sz="4" w:space="0" w:color="auto"/>
                      <w:left w:val="single" w:sz="4" w:space="0" w:color="auto"/>
                      <w:bottom w:val="single" w:sz="4" w:space="0" w:color="auto"/>
                      <w:right w:val="single" w:sz="4" w:space="0" w:color="auto"/>
                    </w:tcBorders>
                    <w:shd w:val="clear" w:color="auto" w:fill="auto"/>
                  </w:tcPr>
                  <w:p w14:paraId="4C641DA1" w14:textId="77777777" w:rsidR="007E7472" w:rsidRDefault="00EC1269">
                    <w:r>
                      <w:rPr>
                        <w:rFonts w:hint="eastAsia"/>
                      </w:rPr>
                      <w:t>减：现金等价物的期初余额</w:t>
                    </w:r>
                  </w:p>
                </w:tc>
              </w:sdtContent>
            </w:sd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14:paraId="37D18BDF" w14:textId="77777777" w:rsidR="007E7472" w:rsidRDefault="00C8327E">
                <w:pPr>
                  <w:jc w:val="right"/>
                  <w:rPr>
                    <w:bCs/>
                  </w:rPr>
                </w:pP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14:paraId="7CEFB071" w14:textId="77777777" w:rsidR="007E7472" w:rsidRDefault="00C8327E">
                <w:pPr>
                  <w:jc w:val="right"/>
                  <w:rPr>
                    <w:bCs/>
                  </w:rPr>
                </w:pPr>
              </w:p>
            </w:tc>
          </w:tr>
          <w:tr w:rsidR="007E7472" w14:paraId="572AFD42" w14:textId="77777777">
            <w:tc>
              <w:tcPr>
                <w:tcW w:w="1924" w:type="pct"/>
                <w:tcBorders>
                  <w:top w:val="single" w:sz="4" w:space="0" w:color="auto"/>
                  <w:left w:val="single" w:sz="4" w:space="0" w:color="auto"/>
                  <w:bottom w:val="single" w:sz="4" w:space="0" w:color="auto"/>
                  <w:right w:val="single" w:sz="4" w:space="0" w:color="auto"/>
                </w:tcBorders>
                <w:shd w:val="clear" w:color="auto" w:fill="auto"/>
              </w:tcPr>
              <w:p w14:paraId="4216236E" w14:textId="77777777" w:rsidR="007E7472" w:rsidRDefault="00EC1269">
                <w:r>
                  <w:rPr>
                    <w:rFonts w:hint="eastAsia"/>
                  </w:rPr>
                  <w:t>现金及现金等价物净增加额</w:t>
                </w:r>
              </w:p>
            </w:tc>
            <w:tc>
              <w:tcPr>
                <w:tcW w:w="1547" w:type="pct"/>
                <w:tcBorders>
                  <w:top w:val="outset" w:sz="6" w:space="0" w:color="auto"/>
                  <w:left w:val="single" w:sz="4" w:space="0" w:color="auto"/>
                  <w:bottom w:val="outset" w:sz="6" w:space="0" w:color="auto"/>
                  <w:right w:val="outset" w:sz="6" w:space="0" w:color="auto"/>
                </w:tcBorders>
                <w:shd w:val="clear" w:color="auto" w:fill="auto"/>
              </w:tcPr>
              <w:p w14:paraId="665A1A36" w14:textId="77777777" w:rsidR="007E7472" w:rsidRDefault="00EC1269">
                <w:pPr>
                  <w:jc w:val="right"/>
                </w:pPr>
                <w:r>
                  <w:t>8,446,745</w:t>
                </w:r>
              </w:p>
            </w:tc>
            <w:tc>
              <w:tcPr>
                <w:tcW w:w="1529" w:type="pct"/>
                <w:tcBorders>
                  <w:top w:val="outset" w:sz="6" w:space="0" w:color="auto"/>
                  <w:left w:val="outset" w:sz="6" w:space="0" w:color="auto"/>
                  <w:bottom w:val="outset" w:sz="6" w:space="0" w:color="auto"/>
                  <w:right w:val="outset" w:sz="6" w:space="0" w:color="auto"/>
                </w:tcBorders>
                <w:shd w:val="clear" w:color="auto" w:fill="auto"/>
              </w:tcPr>
              <w:p w14:paraId="29AC6EFF" w14:textId="77777777" w:rsidR="007E7472" w:rsidRDefault="00EC1269">
                <w:pPr>
                  <w:jc w:val="right"/>
                  <w:rPr>
                    <w:bCs/>
                  </w:rPr>
                </w:pPr>
                <w:r>
                  <w:t>9,952,348</w:t>
                </w:r>
              </w:p>
            </w:tc>
          </w:tr>
        </w:tbl>
        <w:p w14:paraId="2742B7E7" w14:textId="77777777" w:rsidR="007E7472" w:rsidRDefault="00C8327E"/>
      </w:sdtContent>
    </w:sdt>
    <w:sdt>
      <w:sdtPr>
        <w:rPr>
          <w:rFonts w:ascii="宋体" w:hAnsi="宋体" w:cs="宋体" w:hint="eastAsia"/>
          <w:b w:val="0"/>
          <w:bCs w:val="0"/>
          <w:kern w:val="0"/>
          <w:sz w:val="20"/>
          <w:szCs w:val="21"/>
        </w:rPr>
        <w:alias w:val="模块:取得子公司支付的现金净额"/>
        <w:tag w:val="_GBC_4161b069f3a54b4a9ab95be67b841c16"/>
        <w:id w:val="1380599625"/>
        <w:lock w:val="sdtLocked"/>
        <w:placeholder>
          <w:docPart w:val="GBC22222222222222222222222222222"/>
        </w:placeholder>
      </w:sdtPr>
      <w:sdtEndPr/>
      <w:sdtContent>
        <w:p w14:paraId="4595D41C" w14:textId="77777777" w:rsidR="007E7472" w:rsidRDefault="00EC1269" w:rsidP="00162493">
          <w:pPr>
            <w:pStyle w:val="4"/>
            <w:numPr>
              <w:ilvl w:val="0"/>
              <w:numId w:val="97"/>
            </w:numPr>
          </w:pPr>
          <w:r>
            <w:rPr>
              <w:rFonts w:hint="eastAsia"/>
            </w:rPr>
            <w:t>本期支付的取得子公司的现金净额</w:t>
          </w:r>
        </w:p>
        <w:sdt>
          <w:sdtPr>
            <w:alias w:val="是否适用：本期支付的取得子公司的现金净额[双击切换]"/>
            <w:tag w:val="_GBC_903abae67cad448caac446eb8c11fd79"/>
            <w:id w:val="-640413274"/>
            <w:lock w:val="sdtLocked"/>
            <w:placeholder>
              <w:docPart w:val="GBC22222222222222222222222222222"/>
            </w:placeholder>
          </w:sdtPr>
          <w:sdtEndPr/>
          <w:sdtContent>
            <w:p w14:paraId="1FF7230C"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sdt>
      <w:sdtPr>
        <w:rPr>
          <w:rFonts w:ascii="宋体" w:hAnsi="宋体" w:cs="宋体" w:hint="eastAsia"/>
          <w:b w:val="0"/>
          <w:bCs w:val="0"/>
          <w:kern w:val="0"/>
          <w:sz w:val="20"/>
          <w:szCs w:val="24"/>
        </w:rPr>
        <w:alias w:val="模块:处置子公司收到的现金净额"/>
        <w:tag w:val="_GBC_2b15b115b2104b8ba327581d943203fc"/>
        <w:id w:val="-1693905341"/>
        <w:lock w:val="sdtLocked"/>
        <w:placeholder>
          <w:docPart w:val="GBC22222222222222222222222222222"/>
        </w:placeholder>
      </w:sdtPr>
      <w:sdtEndPr>
        <w:rPr>
          <w:szCs w:val="21"/>
        </w:rPr>
      </w:sdtEndPr>
      <w:sdtContent>
        <w:p w14:paraId="670833E9" w14:textId="77777777" w:rsidR="007E7472" w:rsidRDefault="00EC1269" w:rsidP="00162493">
          <w:pPr>
            <w:pStyle w:val="4"/>
            <w:numPr>
              <w:ilvl w:val="0"/>
              <w:numId w:val="97"/>
            </w:numPr>
          </w:pPr>
          <w:r>
            <w:rPr>
              <w:rFonts w:hint="eastAsia"/>
              <w:szCs w:val="24"/>
            </w:rPr>
            <w:t>本期收到的</w:t>
          </w:r>
          <w:r>
            <w:rPr>
              <w:rFonts w:hint="eastAsia"/>
            </w:rPr>
            <w:t>处置子公司的现金净额</w:t>
          </w:r>
        </w:p>
        <w:sdt>
          <w:sdtPr>
            <w:alias w:val="是否适用：本期收到的处置子公司的现金净额[双击切换]"/>
            <w:tag w:val="_GBC_2b4b13c85bb94d13bb7b7edebe0a9f5a"/>
            <w:id w:val="409048581"/>
            <w:lock w:val="sdtLocked"/>
            <w:placeholder>
              <w:docPart w:val="GBC22222222222222222222222222222"/>
            </w:placeholder>
          </w:sdtPr>
          <w:sdtEndPr/>
          <w:sdtContent>
            <w:p w14:paraId="40BC6675"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16B3772A" w14:textId="77777777" w:rsidR="007E7472" w:rsidRDefault="00C8327E"/>
      </w:sdtContent>
    </w:sdt>
    <w:sdt>
      <w:sdtPr>
        <w:rPr>
          <w:rFonts w:ascii="宋体" w:hAnsi="宋体" w:cs="宋体" w:hint="eastAsia"/>
          <w:b w:val="0"/>
          <w:bCs w:val="0"/>
          <w:kern w:val="0"/>
          <w:szCs w:val="21"/>
        </w:rPr>
        <w:alias w:val="模块:现金和现金等价物的构成"/>
        <w:tag w:val="_GBC_b19766ead83d4bb4825af61147af6138"/>
        <w:id w:val="-2900422"/>
        <w:lock w:val="sdtLocked"/>
        <w:placeholder>
          <w:docPart w:val="GBC22222222222222222222222222222"/>
        </w:placeholder>
      </w:sdtPr>
      <w:sdtEndPr>
        <w:rPr>
          <w:rFonts w:hint="default"/>
          <w:szCs w:val="22"/>
        </w:rPr>
      </w:sdtEndPr>
      <w:sdtContent>
        <w:p w14:paraId="7DEF45DE" w14:textId="77777777" w:rsidR="007E7472" w:rsidRDefault="00EC1269" w:rsidP="00162493">
          <w:pPr>
            <w:pStyle w:val="4"/>
            <w:numPr>
              <w:ilvl w:val="0"/>
              <w:numId w:val="97"/>
            </w:numPr>
          </w:pPr>
          <w:r>
            <w:rPr>
              <w:rFonts w:hint="eastAsia"/>
            </w:rPr>
            <w:t>现金和现金等价物的构成</w:t>
          </w:r>
        </w:p>
        <w:sdt>
          <w:sdtPr>
            <w:alias w:val="是否适用：现金和现金等价物的构成[双击切换]"/>
            <w:tag w:val="_GBC_4f1d477972634410a6ea7bdfaf766947"/>
            <w:id w:val="2064139068"/>
            <w:lock w:val="sdtLocked"/>
            <w:placeholder>
              <w:docPart w:val="GBC22222222222222222222222222222"/>
            </w:placeholder>
          </w:sdtPr>
          <w:sdtEndPr/>
          <w:sdtContent>
            <w:p w14:paraId="5F585E04"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5C1BAFC5" w14:textId="636CCF96" w:rsidR="007E7472" w:rsidRDefault="00EC1269">
          <w:pPr>
            <w:jc w:val="right"/>
            <w:rPr>
              <w:b/>
            </w:rPr>
          </w:pPr>
          <w:r>
            <w:rPr>
              <w:rFonts w:hint="eastAsia"/>
            </w:rPr>
            <w:t>单位：</w:t>
          </w:r>
          <w:sdt>
            <w:sdtPr>
              <w:rPr>
                <w:rFonts w:hint="eastAsia"/>
              </w:rPr>
              <w:alias w:val="单位：财务附注：现金和现金等价物的构成"/>
              <w:tag w:val="_GBC_b65333ba6aec402382c4acbbb6696560"/>
              <w:id w:val="-17183414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现金和现金等价物的构成"/>
              <w:tag w:val="_GBC_15cada3a52264083942ef83a40fa25a0"/>
              <w:id w:val="-2401900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2476"/>
            <w:gridCol w:w="2666"/>
          </w:tblGrid>
          <w:tr w:rsidR="007E7472" w14:paraId="08E604A1" w14:textId="77777777">
            <w:trPr>
              <w:trHeight w:val="285"/>
            </w:trPr>
            <w:sdt>
              <w:sdtPr>
                <w:tag w:val="_PLD_d5bf85e9303e4843a7623f09eae933c6"/>
                <w:id w:val="-1623911788"/>
                <w:lock w:val="sdtLocked"/>
              </w:sdtPr>
              <w:sdtEndPr/>
              <w:sdtContent>
                <w:tc>
                  <w:tcPr>
                    <w:tcW w:w="2086" w:type="pct"/>
                    <w:tcBorders>
                      <w:bottom w:val="single" w:sz="4" w:space="0" w:color="auto"/>
                    </w:tcBorders>
                    <w:shd w:val="clear" w:color="auto" w:fill="auto"/>
                    <w:vAlign w:val="center"/>
                  </w:tcPr>
                  <w:p w14:paraId="2D32FD1F" w14:textId="77777777" w:rsidR="007E7472" w:rsidRDefault="00EC1269">
                    <w:pPr>
                      <w:ind w:leftChars="-51" w:left="-107"/>
                      <w:jc w:val="center"/>
                    </w:pPr>
                    <w:r>
                      <w:rPr>
                        <w:rFonts w:hint="eastAsia"/>
                      </w:rPr>
                      <w:t>项目</w:t>
                    </w:r>
                  </w:p>
                </w:tc>
              </w:sdtContent>
            </w:sdt>
            <w:sdt>
              <w:sdtPr>
                <w:tag w:val="_PLD_e3a960d2f6474687b9cbaec3f1075e19"/>
                <w:id w:val="-90326912"/>
                <w:lock w:val="sdtLocked"/>
              </w:sdtPr>
              <w:sdtEndPr/>
              <w:sdtContent>
                <w:tc>
                  <w:tcPr>
                    <w:tcW w:w="1403" w:type="pct"/>
                    <w:shd w:val="clear" w:color="auto" w:fill="auto"/>
                    <w:vAlign w:val="center"/>
                  </w:tcPr>
                  <w:p w14:paraId="18255EF6" w14:textId="77777777" w:rsidR="007E7472" w:rsidRDefault="00EC1269">
                    <w:pPr>
                      <w:jc w:val="center"/>
                    </w:pPr>
                    <w:r>
                      <w:rPr>
                        <w:rFonts w:hint="eastAsia"/>
                      </w:rPr>
                      <w:t>期末余额</w:t>
                    </w:r>
                  </w:p>
                </w:tc>
              </w:sdtContent>
            </w:sdt>
            <w:sdt>
              <w:sdtPr>
                <w:tag w:val="_PLD_0d0909eba9344c8ab96c7fb88f0b117a"/>
                <w:id w:val="2105605437"/>
                <w:lock w:val="sdtLocked"/>
              </w:sdtPr>
              <w:sdtEndPr/>
              <w:sdtContent>
                <w:tc>
                  <w:tcPr>
                    <w:tcW w:w="1511" w:type="pct"/>
                    <w:shd w:val="clear" w:color="auto" w:fill="auto"/>
                  </w:tcPr>
                  <w:p w14:paraId="6CB8CEE4" w14:textId="77777777" w:rsidR="007E7472" w:rsidRDefault="00EC1269">
                    <w:pPr>
                      <w:jc w:val="center"/>
                    </w:pPr>
                    <w:r>
                      <w:rPr>
                        <w:rFonts w:hint="eastAsia"/>
                      </w:rPr>
                      <w:t>期初余额</w:t>
                    </w:r>
                  </w:p>
                </w:tc>
              </w:sdtContent>
            </w:sdt>
          </w:tr>
          <w:tr w:rsidR="007E7472" w14:paraId="14FFCFE3" w14:textId="77777777">
            <w:trPr>
              <w:trHeight w:val="285"/>
            </w:trPr>
            <w:tc>
              <w:tcPr>
                <w:tcW w:w="2086" w:type="pct"/>
                <w:shd w:val="clear" w:color="auto" w:fill="auto"/>
                <w:vAlign w:val="center"/>
              </w:tcPr>
              <w:p w14:paraId="7B4C5B71" w14:textId="77777777" w:rsidR="007E7472" w:rsidRDefault="00EC1269">
                <w:r>
                  <w:rPr>
                    <w:rFonts w:hint="eastAsia"/>
                  </w:rPr>
                  <w:lastRenderedPageBreak/>
                  <w:t>一、现金</w:t>
                </w:r>
              </w:p>
            </w:tc>
            <w:tc>
              <w:tcPr>
                <w:tcW w:w="1403" w:type="pct"/>
                <w:shd w:val="clear" w:color="auto" w:fill="auto"/>
                <w:vAlign w:val="center"/>
              </w:tcPr>
              <w:p w14:paraId="3B5CFEC7" w14:textId="77777777" w:rsidR="007E7472" w:rsidRDefault="00EC1269">
                <w:pPr>
                  <w:jc w:val="right"/>
                </w:pPr>
                <w:r>
                  <w:t>47,073,537</w:t>
                </w:r>
              </w:p>
            </w:tc>
            <w:tc>
              <w:tcPr>
                <w:tcW w:w="1511" w:type="pct"/>
                <w:shd w:val="clear" w:color="auto" w:fill="auto"/>
                <w:vAlign w:val="center"/>
              </w:tcPr>
              <w:p w14:paraId="79A6F487" w14:textId="77777777" w:rsidR="007E7472" w:rsidRDefault="00EC1269">
                <w:pPr>
                  <w:jc w:val="right"/>
                </w:pPr>
                <w:r>
                  <w:t>38,626,792</w:t>
                </w:r>
              </w:p>
            </w:tc>
          </w:tr>
          <w:tr w:rsidR="007E7472" w14:paraId="5F3813E4" w14:textId="77777777">
            <w:trPr>
              <w:trHeight w:val="285"/>
            </w:trPr>
            <w:tc>
              <w:tcPr>
                <w:tcW w:w="2086" w:type="pct"/>
                <w:shd w:val="clear" w:color="auto" w:fill="auto"/>
                <w:vAlign w:val="center"/>
              </w:tcPr>
              <w:p w14:paraId="34D70039" w14:textId="77777777" w:rsidR="007E7472" w:rsidRDefault="00EC1269">
                <w:r>
                  <w:rPr>
                    <w:rFonts w:hint="eastAsia"/>
                  </w:rPr>
                  <w:t>其中：库存现金</w:t>
                </w:r>
              </w:p>
            </w:tc>
            <w:tc>
              <w:tcPr>
                <w:tcW w:w="1403" w:type="pct"/>
                <w:shd w:val="clear" w:color="auto" w:fill="auto"/>
                <w:vAlign w:val="center"/>
              </w:tcPr>
              <w:p w14:paraId="37304C7F" w14:textId="77777777" w:rsidR="007E7472" w:rsidRDefault="00EC1269">
                <w:pPr>
                  <w:jc w:val="right"/>
                </w:pPr>
                <w:r>
                  <w:t>149</w:t>
                </w:r>
              </w:p>
            </w:tc>
            <w:tc>
              <w:tcPr>
                <w:tcW w:w="1511" w:type="pct"/>
                <w:shd w:val="clear" w:color="auto" w:fill="auto"/>
                <w:vAlign w:val="center"/>
              </w:tcPr>
              <w:p w14:paraId="52F36A0B" w14:textId="77777777" w:rsidR="007E7472" w:rsidRDefault="00EC1269">
                <w:pPr>
                  <w:jc w:val="right"/>
                </w:pPr>
                <w:r>
                  <w:t>149</w:t>
                </w:r>
              </w:p>
            </w:tc>
          </w:tr>
          <w:tr w:rsidR="007E7472" w14:paraId="58F5A856" w14:textId="77777777">
            <w:trPr>
              <w:trHeight w:val="285"/>
            </w:trPr>
            <w:tc>
              <w:tcPr>
                <w:tcW w:w="2086" w:type="pct"/>
                <w:shd w:val="clear" w:color="auto" w:fill="auto"/>
                <w:vAlign w:val="center"/>
              </w:tcPr>
              <w:p w14:paraId="05600140" w14:textId="77777777" w:rsidR="007E7472" w:rsidRDefault="00EC1269">
                <w:r>
                  <w:rPr>
                    <w:rFonts w:hint="eastAsia"/>
                  </w:rPr>
                  <w:t xml:space="preserve">　　可随时用于支付的银行存款</w:t>
                </w:r>
              </w:p>
            </w:tc>
            <w:tc>
              <w:tcPr>
                <w:tcW w:w="1403" w:type="pct"/>
                <w:shd w:val="clear" w:color="auto" w:fill="auto"/>
                <w:vAlign w:val="center"/>
              </w:tcPr>
              <w:p w14:paraId="4F1CAB8C" w14:textId="77777777" w:rsidR="007E7472" w:rsidRDefault="00EC1269">
                <w:pPr>
                  <w:jc w:val="right"/>
                </w:pPr>
                <w:r>
                  <w:t>47,073,262</w:t>
                </w:r>
              </w:p>
            </w:tc>
            <w:tc>
              <w:tcPr>
                <w:tcW w:w="1511" w:type="pct"/>
                <w:shd w:val="clear" w:color="auto" w:fill="auto"/>
                <w:vAlign w:val="center"/>
              </w:tcPr>
              <w:p w14:paraId="19EDF5A6" w14:textId="77777777" w:rsidR="007E7472" w:rsidRDefault="00EC1269">
                <w:pPr>
                  <w:jc w:val="right"/>
                </w:pPr>
                <w:r>
                  <w:t>38,626,503</w:t>
                </w:r>
              </w:p>
            </w:tc>
          </w:tr>
          <w:tr w:rsidR="007E7472" w14:paraId="0EAAD14A" w14:textId="77777777">
            <w:trPr>
              <w:trHeight w:val="285"/>
            </w:trPr>
            <w:tc>
              <w:tcPr>
                <w:tcW w:w="2086" w:type="pct"/>
                <w:shd w:val="clear" w:color="auto" w:fill="auto"/>
                <w:vAlign w:val="center"/>
              </w:tcPr>
              <w:p w14:paraId="6347CC92" w14:textId="77777777" w:rsidR="007E7472" w:rsidRDefault="00EC1269">
                <w:r>
                  <w:rPr>
                    <w:rFonts w:hint="eastAsia"/>
                  </w:rPr>
                  <w:t xml:space="preserve">　　可随时用于支付的其他货币资金</w:t>
                </w:r>
              </w:p>
            </w:tc>
            <w:tc>
              <w:tcPr>
                <w:tcW w:w="1403" w:type="pct"/>
                <w:shd w:val="clear" w:color="auto" w:fill="auto"/>
                <w:vAlign w:val="center"/>
              </w:tcPr>
              <w:p w14:paraId="547FFB5E" w14:textId="77777777" w:rsidR="007E7472" w:rsidRDefault="00EC1269">
                <w:pPr>
                  <w:jc w:val="right"/>
                </w:pPr>
                <w:r>
                  <w:t>126</w:t>
                </w:r>
              </w:p>
            </w:tc>
            <w:tc>
              <w:tcPr>
                <w:tcW w:w="1511" w:type="pct"/>
                <w:shd w:val="clear" w:color="auto" w:fill="auto"/>
                <w:vAlign w:val="center"/>
              </w:tcPr>
              <w:p w14:paraId="4CDB286E" w14:textId="77777777" w:rsidR="007E7472" w:rsidRDefault="00EC1269">
                <w:pPr>
                  <w:jc w:val="right"/>
                </w:pPr>
                <w:r>
                  <w:t>140</w:t>
                </w:r>
              </w:p>
            </w:tc>
          </w:tr>
          <w:tr w:rsidR="007E7472" w14:paraId="5E445F70" w14:textId="77777777">
            <w:trPr>
              <w:trHeight w:val="285"/>
            </w:trPr>
            <w:tc>
              <w:tcPr>
                <w:tcW w:w="2086" w:type="pct"/>
                <w:shd w:val="clear" w:color="auto" w:fill="auto"/>
                <w:vAlign w:val="center"/>
              </w:tcPr>
              <w:p w14:paraId="4A2BC8BE" w14:textId="77777777" w:rsidR="007E7472" w:rsidRDefault="00EC1269">
                <w:r>
                  <w:rPr>
                    <w:rFonts w:hint="eastAsia"/>
                  </w:rPr>
                  <w:t xml:space="preserve">　　可用于支付的存放中央银行款项</w:t>
                </w:r>
              </w:p>
            </w:tc>
            <w:tc>
              <w:tcPr>
                <w:tcW w:w="1403" w:type="pct"/>
                <w:shd w:val="clear" w:color="auto" w:fill="auto"/>
                <w:vAlign w:val="center"/>
              </w:tcPr>
              <w:p w14:paraId="0CC0F818" w14:textId="77777777" w:rsidR="007E7472" w:rsidRDefault="00C8327E">
                <w:pPr>
                  <w:jc w:val="right"/>
                </w:pPr>
              </w:p>
            </w:tc>
            <w:tc>
              <w:tcPr>
                <w:tcW w:w="1511" w:type="pct"/>
                <w:shd w:val="clear" w:color="auto" w:fill="auto"/>
                <w:vAlign w:val="center"/>
              </w:tcPr>
              <w:p w14:paraId="61FA66BE" w14:textId="77777777" w:rsidR="007E7472" w:rsidRDefault="00C8327E">
                <w:pPr>
                  <w:jc w:val="right"/>
                </w:pPr>
              </w:p>
            </w:tc>
          </w:tr>
          <w:tr w:rsidR="007E7472" w14:paraId="5D505FC0" w14:textId="77777777">
            <w:trPr>
              <w:trHeight w:val="285"/>
            </w:trPr>
            <w:sdt>
              <w:sdtPr>
                <w:tag w:val="_PLD_8fe90894e50c435a91887b8f6baf82f7"/>
                <w:id w:val="-1946216089"/>
                <w:lock w:val="sdtLocked"/>
              </w:sdtPr>
              <w:sdtEndPr/>
              <w:sdtContent>
                <w:tc>
                  <w:tcPr>
                    <w:tcW w:w="2086" w:type="pct"/>
                    <w:shd w:val="clear" w:color="auto" w:fill="auto"/>
                    <w:vAlign w:val="center"/>
                  </w:tcPr>
                  <w:p w14:paraId="000E326B" w14:textId="77777777" w:rsidR="007E7472" w:rsidRDefault="00EC1269">
                    <w:r>
                      <w:rPr>
                        <w:rFonts w:hint="eastAsia"/>
                      </w:rPr>
                      <w:t xml:space="preserve">　　存放同业款项</w:t>
                    </w:r>
                  </w:p>
                </w:tc>
              </w:sdtContent>
            </w:sdt>
            <w:tc>
              <w:tcPr>
                <w:tcW w:w="1403" w:type="pct"/>
                <w:shd w:val="clear" w:color="auto" w:fill="auto"/>
                <w:vAlign w:val="center"/>
              </w:tcPr>
              <w:p w14:paraId="3BB0E779" w14:textId="77777777" w:rsidR="007E7472" w:rsidRDefault="00C8327E">
                <w:pPr>
                  <w:jc w:val="right"/>
                </w:pPr>
              </w:p>
            </w:tc>
            <w:tc>
              <w:tcPr>
                <w:tcW w:w="1511" w:type="pct"/>
                <w:shd w:val="clear" w:color="auto" w:fill="auto"/>
                <w:vAlign w:val="center"/>
              </w:tcPr>
              <w:p w14:paraId="0CACD412" w14:textId="77777777" w:rsidR="007E7472" w:rsidRDefault="00C8327E">
                <w:pPr>
                  <w:jc w:val="right"/>
                </w:pPr>
              </w:p>
            </w:tc>
          </w:tr>
          <w:tr w:rsidR="007E7472" w14:paraId="400F3669" w14:textId="77777777">
            <w:trPr>
              <w:trHeight w:val="285"/>
            </w:trPr>
            <w:sdt>
              <w:sdtPr>
                <w:tag w:val="_PLD_5808644810d54676897d0089359a83b2"/>
                <w:id w:val="-1076203901"/>
                <w:lock w:val="sdtLocked"/>
              </w:sdtPr>
              <w:sdtEndPr/>
              <w:sdtContent>
                <w:tc>
                  <w:tcPr>
                    <w:tcW w:w="2086" w:type="pct"/>
                    <w:shd w:val="clear" w:color="auto" w:fill="auto"/>
                    <w:vAlign w:val="center"/>
                  </w:tcPr>
                  <w:p w14:paraId="6F761ED7" w14:textId="77777777" w:rsidR="007E7472" w:rsidRDefault="00EC1269">
                    <w:r>
                      <w:rPr>
                        <w:rFonts w:hint="eastAsia"/>
                      </w:rPr>
                      <w:t xml:space="preserve">　　拆放同业款项</w:t>
                    </w:r>
                  </w:p>
                </w:tc>
              </w:sdtContent>
            </w:sdt>
            <w:tc>
              <w:tcPr>
                <w:tcW w:w="1403" w:type="pct"/>
                <w:shd w:val="clear" w:color="auto" w:fill="auto"/>
                <w:vAlign w:val="center"/>
              </w:tcPr>
              <w:p w14:paraId="218A12FF" w14:textId="77777777" w:rsidR="007E7472" w:rsidRDefault="00C8327E">
                <w:pPr>
                  <w:jc w:val="right"/>
                </w:pPr>
              </w:p>
            </w:tc>
            <w:tc>
              <w:tcPr>
                <w:tcW w:w="1511" w:type="pct"/>
                <w:shd w:val="clear" w:color="auto" w:fill="auto"/>
                <w:vAlign w:val="center"/>
              </w:tcPr>
              <w:p w14:paraId="490781E6" w14:textId="77777777" w:rsidR="007E7472" w:rsidRDefault="00C8327E">
                <w:pPr>
                  <w:jc w:val="right"/>
                </w:pPr>
              </w:p>
            </w:tc>
          </w:tr>
          <w:tr w:rsidR="007E7472" w14:paraId="44BDD6A3" w14:textId="77777777">
            <w:trPr>
              <w:trHeight w:val="285"/>
            </w:trPr>
            <w:sdt>
              <w:sdtPr>
                <w:tag w:val="_PLD_908c5e073add4fa8a13ed054455379d9"/>
                <w:id w:val="-462575749"/>
                <w:lock w:val="sdtLocked"/>
              </w:sdtPr>
              <w:sdtEndPr/>
              <w:sdtContent>
                <w:tc>
                  <w:tcPr>
                    <w:tcW w:w="2086" w:type="pct"/>
                    <w:shd w:val="clear" w:color="auto" w:fill="auto"/>
                    <w:vAlign w:val="center"/>
                  </w:tcPr>
                  <w:p w14:paraId="22A73C87" w14:textId="77777777" w:rsidR="007E7472" w:rsidRDefault="00EC1269">
                    <w:r>
                      <w:rPr>
                        <w:rFonts w:hint="eastAsia"/>
                      </w:rPr>
                      <w:t>二、现金等价物</w:t>
                    </w:r>
                  </w:p>
                </w:tc>
              </w:sdtContent>
            </w:sdt>
            <w:tc>
              <w:tcPr>
                <w:tcW w:w="1403" w:type="pct"/>
                <w:shd w:val="clear" w:color="auto" w:fill="auto"/>
                <w:vAlign w:val="center"/>
              </w:tcPr>
              <w:p w14:paraId="04C9CD7B" w14:textId="77777777" w:rsidR="007E7472" w:rsidRDefault="00C8327E">
                <w:pPr>
                  <w:jc w:val="right"/>
                </w:pPr>
              </w:p>
            </w:tc>
            <w:tc>
              <w:tcPr>
                <w:tcW w:w="1511" w:type="pct"/>
                <w:shd w:val="clear" w:color="auto" w:fill="auto"/>
                <w:vAlign w:val="center"/>
              </w:tcPr>
              <w:p w14:paraId="4CDC9145" w14:textId="77777777" w:rsidR="007E7472" w:rsidRDefault="00C8327E">
                <w:pPr>
                  <w:jc w:val="right"/>
                </w:pPr>
              </w:p>
            </w:tc>
          </w:tr>
          <w:tr w:rsidR="007E7472" w14:paraId="11AD3651" w14:textId="77777777">
            <w:trPr>
              <w:trHeight w:val="285"/>
            </w:trPr>
            <w:sdt>
              <w:sdtPr>
                <w:tag w:val="_PLD_652a861f17ac4cdd9702ff63844d42cc"/>
                <w:id w:val="-2021005150"/>
                <w:lock w:val="sdtLocked"/>
              </w:sdtPr>
              <w:sdtEndPr/>
              <w:sdtContent>
                <w:tc>
                  <w:tcPr>
                    <w:tcW w:w="2086" w:type="pct"/>
                    <w:tcBorders>
                      <w:bottom w:val="single" w:sz="4" w:space="0" w:color="auto"/>
                    </w:tcBorders>
                    <w:shd w:val="clear" w:color="auto" w:fill="auto"/>
                    <w:vAlign w:val="center"/>
                  </w:tcPr>
                  <w:p w14:paraId="41E00B7F" w14:textId="77777777" w:rsidR="007E7472" w:rsidRDefault="00EC1269">
                    <w:r>
                      <w:rPr>
                        <w:rFonts w:hint="eastAsia"/>
                      </w:rPr>
                      <w:t>其中：三个月内到期的债券投资</w:t>
                    </w:r>
                  </w:p>
                </w:tc>
              </w:sdtContent>
            </w:sdt>
            <w:tc>
              <w:tcPr>
                <w:tcW w:w="1403" w:type="pct"/>
                <w:tcBorders>
                  <w:bottom w:val="single" w:sz="4" w:space="0" w:color="auto"/>
                </w:tcBorders>
                <w:shd w:val="clear" w:color="auto" w:fill="auto"/>
                <w:vAlign w:val="center"/>
              </w:tcPr>
              <w:p w14:paraId="4B25F0A3" w14:textId="77777777" w:rsidR="007E7472" w:rsidRDefault="00C8327E">
                <w:pPr>
                  <w:jc w:val="right"/>
                </w:pPr>
              </w:p>
            </w:tc>
            <w:tc>
              <w:tcPr>
                <w:tcW w:w="1511" w:type="pct"/>
                <w:tcBorders>
                  <w:bottom w:val="single" w:sz="4" w:space="0" w:color="auto"/>
                </w:tcBorders>
                <w:shd w:val="clear" w:color="auto" w:fill="auto"/>
                <w:vAlign w:val="center"/>
              </w:tcPr>
              <w:p w14:paraId="098D6D77" w14:textId="77777777" w:rsidR="007E7472" w:rsidRDefault="00C8327E">
                <w:pPr>
                  <w:jc w:val="right"/>
                </w:pPr>
              </w:p>
            </w:tc>
          </w:tr>
          <w:tr w:rsidR="007E7472" w14:paraId="5F2400F1" w14:textId="77777777">
            <w:trPr>
              <w:trHeight w:val="285"/>
            </w:trPr>
            <w:sdt>
              <w:sdtPr>
                <w:tag w:val="_PLD_4d07bfc591df4d5483e486621c246fa5"/>
                <w:id w:val="-95107784"/>
                <w:lock w:val="sdtLocked"/>
              </w:sdtPr>
              <w:sdtEndPr/>
              <w:sdtContent>
                <w:tc>
                  <w:tcPr>
                    <w:tcW w:w="2086" w:type="pct"/>
                    <w:shd w:val="clear" w:color="auto" w:fill="auto"/>
                    <w:vAlign w:val="center"/>
                  </w:tcPr>
                  <w:p w14:paraId="3D096ADD" w14:textId="77777777" w:rsidR="007E7472" w:rsidRDefault="00EC1269">
                    <w:r>
                      <w:rPr>
                        <w:rFonts w:hint="eastAsia"/>
                      </w:rPr>
                      <w:t>三、期末现金及现金等价物余额</w:t>
                    </w:r>
                  </w:p>
                </w:tc>
              </w:sdtContent>
            </w:sdt>
            <w:tc>
              <w:tcPr>
                <w:tcW w:w="1403" w:type="pct"/>
                <w:shd w:val="clear" w:color="auto" w:fill="auto"/>
                <w:vAlign w:val="center"/>
              </w:tcPr>
              <w:p w14:paraId="2D5564EC" w14:textId="77777777" w:rsidR="007E7472" w:rsidRDefault="00EC1269">
                <w:pPr>
                  <w:jc w:val="right"/>
                </w:pPr>
                <w:r>
                  <w:t>47,073,537</w:t>
                </w:r>
              </w:p>
            </w:tc>
            <w:tc>
              <w:tcPr>
                <w:tcW w:w="1511" w:type="pct"/>
                <w:shd w:val="clear" w:color="auto" w:fill="auto"/>
                <w:vAlign w:val="center"/>
              </w:tcPr>
              <w:p w14:paraId="400D73E5" w14:textId="77777777" w:rsidR="007E7472" w:rsidRDefault="00EC1269">
                <w:pPr>
                  <w:jc w:val="right"/>
                </w:pPr>
                <w:r>
                  <w:t>38,626,792</w:t>
                </w:r>
              </w:p>
            </w:tc>
          </w:tr>
          <w:tr w:rsidR="007E7472" w14:paraId="6F15A0A6" w14:textId="77777777">
            <w:trPr>
              <w:trHeight w:val="285"/>
            </w:trPr>
            <w:sdt>
              <w:sdtPr>
                <w:tag w:val="_PLD_a7dfcdf890714f1c879ddf8d09d45801"/>
                <w:id w:val="1365716641"/>
                <w:lock w:val="sdtLocked"/>
              </w:sdtPr>
              <w:sdtEndPr/>
              <w:sdtContent>
                <w:tc>
                  <w:tcPr>
                    <w:tcW w:w="2086" w:type="pct"/>
                    <w:shd w:val="clear" w:color="auto" w:fill="auto"/>
                    <w:vAlign w:val="center"/>
                  </w:tcPr>
                  <w:p w14:paraId="0344F4D9" w14:textId="77777777" w:rsidR="007E7472" w:rsidRDefault="00EC1269">
                    <w:r>
                      <w:rPr>
                        <w:rFonts w:hint="eastAsia"/>
                      </w:rPr>
                      <w:t>其中：母公司或集团内子公司使用受限制的现金和现金等价物</w:t>
                    </w:r>
                  </w:p>
                </w:tc>
              </w:sdtContent>
            </w:sdt>
            <w:tc>
              <w:tcPr>
                <w:tcW w:w="1403" w:type="pct"/>
                <w:shd w:val="clear" w:color="auto" w:fill="auto"/>
              </w:tcPr>
              <w:p w14:paraId="0771CD67" w14:textId="77777777" w:rsidR="007E7472" w:rsidRDefault="00C8327E">
                <w:pPr>
                  <w:jc w:val="right"/>
                </w:pPr>
              </w:p>
            </w:tc>
            <w:tc>
              <w:tcPr>
                <w:tcW w:w="1511" w:type="pct"/>
                <w:shd w:val="clear" w:color="auto" w:fill="auto"/>
              </w:tcPr>
              <w:p w14:paraId="33E18E1C" w14:textId="77777777" w:rsidR="007E7472" w:rsidRDefault="00C8327E">
                <w:pPr>
                  <w:jc w:val="right"/>
                </w:pPr>
              </w:p>
            </w:tc>
          </w:tr>
        </w:tbl>
        <w:p w14:paraId="2BC1051E" w14:textId="77777777" w:rsidR="007E7472" w:rsidRDefault="00EC1269">
          <w:pPr>
            <w:spacing w:before="60" w:after="60"/>
          </w:pPr>
          <w:r>
            <w:rPr>
              <w:rFonts w:hint="eastAsia"/>
            </w:rPr>
            <w:t>其他说明：</w:t>
          </w:r>
        </w:p>
        <w:sdt>
          <w:sdtPr>
            <w:alias w:val="是否适用：现金流量表补充资料的说明[双击切换]"/>
            <w:tag w:val="_GBC_2212775a699e4804b260767f3ce34d12"/>
            <w:id w:val="831956435"/>
            <w:lock w:val="sdtLocked"/>
            <w:placeholder>
              <w:docPart w:val="GBC22222222222222222222222222222"/>
            </w:placeholder>
          </w:sdtPr>
          <w:sdtEndPr/>
          <w:sdtContent>
            <w:p w14:paraId="26EE150F" w14:textId="77777777" w:rsidR="007E7472" w:rsidRDefault="00EC1269">
              <w:pPr>
                <w:spacing w:before="60" w:after="60"/>
              </w:pPr>
              <w:r>
                <w:rPr>
                  <w:rFonts w:hint="eastAsia"/>
                </w:rPr>
                <w:fldChar w:fldCharType="begin"/>
              </w:r>
              <w:r>
                <w:rPr>
                  <w:rFonts w:hint="eastAsia"/>
                </w:rPr>
                <w:instrText xml:space="preserve"> MACROBUTTON  SnrToggleCheckbox □适用 </w:instrText>
              </w:r>
              <w:r>
                <w:rPr>
                  <w:rFonts w:hint="eastAsia"/>
                </w:rPr>
                <w:fldChar w:fldCharType="end"/>
              </w:r>
              <w:r>
                <w:fldChar w:fldCharType="begin"/>
              </w:r>
              <w:r>
                <w:instrText xml:space="preserve"> MACROBUTTON  SnrToggleCheckbox √不适用 </w:instrText>
              </w:r>
              <w:r>
                <w:fldChar w:fldCharType="end"/>
              </w:r>
            </w:p>
          </w:sdtContent>
        </w:sdt>
      </w:sdtContent>
    </w:sdt>
    <w:p w14:paraId="16AAAD07" w14:textId="77777777" w:rsidR="007E7472" w:rsidRDefault="00C8327E"/>
    <w:sdt>
      <w:sdtPr>
        <w:rPr>
          <w:rFonts w:ascii="宋体" w:hAnsi="宋体" w:cs="宋体" w:hint="eastAsia"/>
          <w:b w:val="0"/>
          <w:bCs w:val="0"/>
          <w:kern w:val="0"/>
          <w:sz w:val="20"/>
          <w:szCs w:val="21"/>
        </w:rPr>
        <w:alias w:val="模块:所有者权益变动表项目注释"/>
        <w:tag w:val="_GBC_f67b410d6123403caa2cee84fe191372"/>
        <w:id w:val="-251124006"/>
        <w:lock w:val="sdtLocked"/>
        <w:placeholder>
          <w:docPart w:val="GBC22222222222222222222222222222"/>
        </w:placeholder>
      </w:sdtPr>
      <w:sdtEndPr>
        <w:rPr>
          <w:rFonts w:ascii="Times New Roman" w:hAnsi="Times New Roman" w:cstheme="minorBidi" w:hint="default"/>
          <w:color w:val="FF00FF"/>
          <w:szCs w:val="20"/>
        </w:rPr>
      </w:sdtEndPr>
      <w:sdtContent>
        <w:p w14:paraId="2CBCB172" w14:textId="77777777" w:rsidR="007E7472" w:rsidRDefault="00EC1269" w:rsidP="00162493">
          <w:pPr>
            <w:pStyle w:val="3"/>
            <w:numPr>
              <w:ilvl w:val="0"/>
              <w:numId w:val="62"/>
            </w:numPr>
          </w:pPr>
          <w:r>
            <w:rPr>
              <w:rFonts w:hint="eastAsia"/>
            </w:rPr>
            <w:t>所有者权益变动表项目注释</w:t>
          </w:r>
        </w:p>
        <w:p w14:paraId="5DF03C54" w14:textId="77777777" w:rsidR="007E7472" w:rsidRDefault="00EC1269">
          <w:r>
            <w:rPr>
              <w:rFonts w:hint="eastAsia"/>
            </w:rPr>
            <w:t>说明对上年期末余额进行调整的“其他”项目名称及调整金额等事项：</w:t>
          </w:r>
        </w:p>
        <w:sdt>
          <w:sdtPr>
            <w:alias w:val="是否适用：所有者权益变动表项目注释[双击切换]"/>
            <w:tag w:val="_GBC_61e84760a3fd4a58bb2421e95114d9b8"/>
            <w:id w:val="268906110"/>
            <w:lock w:val="sdtLocked"/>
            <w:placeholder>
              <w:docPart w:val="GBC22222222222222222222222222222"/>
            </w:placeholder>
          </w:sdtPr>
          <w:sdtEndPr/>
          <w:sdtContent>
            <w:p w14:paraId="64473B27" w14:textId="77777777" w:rsidR="007E7472" w:rsidRDefault="00EC1269">
              <w:pPr>
                <w:rPr>
                  <w:color w:val="FF00FF"/>
                </w:rPr>
              </w:pPr>
              <w:r>
                <w:rPr>
                  <w:rFonts w:hint="eastAsia"/>
                </w:rPr>
                <w:fldChar w:fldCharType="begin"/>
              </w:r>
              <w:r>
                <w:rPr>
                  <w:rFonts w:hint="eastAsia"/>
                </w:rPr>
                <w:instrText xml:space="preserve"> MACROBUTTON  SnrToggleCheckbox □适用 </w:instrText>
              </w:r>
              <w:r>
                <w:rPr>
                  <w:rFonts w:hint="eastAsia"/>
                </w:rPr>
                <w:fldChar w:fldCharType="end"/>
              </w:r>
              <w:r>
                <w:rPr>
                  <w:rFonts w:hint="eastAsia"/>
                </w:rPr>
                <w:fldChar w:fldCharType="begin"/>
              </w:r>
              <w:r>
                <w:rPr>
                  <w:rFonts w:hint="eastAsia"/>
                </w:rPr>
                <w:instrText xml:space="preserve"> MACROBUTTON  SnrToggleCheckbox √不适用 </w:instrText>
              </w:r>
              <w:r>
                <w:rPr>
                  <w:rFonts w:hint="eastAsia"/>
                </w:rPr>
                <w:fldChar w:fldCharType="end"/>
              </w:r>
            </w:p>
          </w:sdtContent>
        </w:sdt>
      </w:sdtContent>
    </w:sdt>
    <w:p w14:paraId="1BB542CD" w14:textId="77777777" w:rsidR="007E7472" w:rsidRDefault="00C8327E"/>
    <w:sdt>
      <w:sdtPr>
        <w:rPr>
          <w:rFonts w:ascii="宋体" w:hAnsi="宋体" w:cs="宋体" w:hint="eastAsia"/>
          <w:b w:val="0"/>
          <w:bCs w:val="0"/>
          <w:kern w:val="0"/>
          <w:sz w:val="20"/>
          <w:szCs w:val="21"/>
        </w:rPr>
        <w:alias w:val="模块:所有权或使用权受到限制的资产"/>
        <w:tag w:val="_GBC_5707fab016f94974bd447e81a88f0183"/>
        <w:id w:val="838426644"/>
        <w:lock w:val="sdtLocked"/>
        <w:placeholder>
          <w:docPart w:val="GBC22222222222222222222222222222"/>
        </w:placeholder>
      </w:sdtPr>
      <w:sdtEndPr/>
      <w:sdtContent>
        <w:p w14:paraId="13D08113" w14:textId="77777777" w:rsidR="007E7472" w:rsidRDefault="00EC1269" w:rsidP="00162493">
          <w:pPr>
            <w:pStyle w:val="3"/>
            <w:numPr>
              <w:ilvl w:val="0"/>
              <w:numId w:val="62"/>
            </w:numPr>
          </w:pPr>
          <w:r>
            <w:rPr>
              <w:rFonts w:hint="eastAsia"/>
            </w:rPr>
            <w:t>所有权或使用权受到限制的资产</w:t>
          </w:r>
        </w:p>
        <w:sdt>
          <w:sdtPr>
            <w:alias w:val="是否适用：所有权或使用权受到限制的资产[双击切换]"/>
            <w:tag w:val="_GBC_52ae2d0e78d54772b7a0dc510205909b"/>
            <w:id w:val="-986936564"/>
            <w:lock w:val="sdtLocked"/>
            <w:placeholder>
              <w:docPart w:val="GBC22222222222222222222222222222"/>
            </w:placeholder>
          </w:sdtPr>
          <w:sdtEndPr/>
          <w:sdtContent>
            <w:p w14:paraId="40F47E22" w14:textId="77777777" w:rsidR="007E7472" w:rsidRDefault="00EC1269">
              <w:r>
                <w:rPr>
                  <w:rFonts w:hint="eastAsia"/>
                </w:rPr>
                <w:fldChar w:fldCharType="begin"/>
              </w:r>
              <w:r>
                <w:rPr>
                  <w:rFonts w:hint="eastAsia"/>
                </w:rPr>
                <w:instrText xml:space="preserve"> MACROBUTTON  SnrToggleCheckbox √适用 </w:instrText>
              </w:r>
              <w:r>
                <w:rPr>
                  <w:rFonts w:hint="eastAsia"/>
                </w:rPr>
                <w:fldChar w:fldCharType="end"/>
              </w:r>
              <w:r>
                <w:rPr>
                  <w:rFonts w:hint="eastAsia"/>
                </w:rPr>
                <w:fldChar w:fldCharType="begin"/>
              </w:r>
              <w:r>
                <w:rPr>
                  <w:rFonts w:hint="eastAsia"/>
                </w:rPr>
                <w:instrText xml:space="preserve"> MACROBUTTON  SnrToggleCheckbox □不适用 </w:instrText>
              </w:r>
              <w:r>
                <w:rPr>
                  <w:rFonts w:hint="eastAsia"/>
                </w:rPr>
                <w:fldChar w:fldCharType="end"/>
              </w:r>
            </w:p>
          </w:sdtContent>
        </w:sdt>
        <w:p w14:paraId="7E97BC15" w14:textId="0F688A46" w:rsidR="007E7472" w:rsidRDefault="00EC1269">
          <w:pPr>
            <w:jc w:val="right"/>
          </w:pPr>
          <w:r>
            <w:rPr>
              <w:rFonts w:hint="eastAsia"/>
            </w:rPr>
            <w:t>单位：</w:t>
          </w:r>
          <w:sdt>
            <w:sdtPr>
              <w:rPr>
                <w:rFonts w:hint="eastAsia"/>
              </w:rPr>
              <w:alias w:val="单位：财务附注：所有权或使用权受到限制的资产"/>
              <w:tag w:val="_GBC_41b1006bd71a4064aa99aa2d8750f726"/>
              <w:id w:val="-16891378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所有权或使用权受到限制的资产"/>
              <w:tag w:val="_GBC_065bcf44f5b34330834a869f23aa83bc"/>
              <w:id w:val="-3221986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4A0" w:firstRow="1" w:lastRow="0" w:firstColumn="1" w:lastColumn="0" w:noHBand="0" w:noVBand="1"/>
          </w:tblPr>
          <w:tblGrid>
            <w:gridCol w:w="3327"/>
            <w:gridCol w:w="2764"/>
            <w:gridCol w:w="2732"/>
          </w:tblGrid>
          <w:tr w:rsidR="007E7472" w14:paraId="7125F8AB" w14:textId="77777777" w:rsidTr="007E7472">
            <w:trPr>
              <w:trHeight w:val="340"/>
            </w:trPr>
            <w:sdt>
              <w:sdtPr>
                <w:tag w:val="_PLD_e7174293a57c4a70b40b8a0fb698e34e"/>
                <w:id w:val="-1900662562"/>
                <w:lock w:val="sdtLocked"/>
              </w:sdtPr>
              <w:sdtEndPr/>
              <w:sdtContent>
                <w:tc>
                  <w:tcPr>
                    <w:tcW w:w="1885" w:type="pct"/>
                    <w:tcBorders>
                      <w:top w:val="single" w:sz="4" w:space="0" w:color="auto"/>
                      <w:left w:val="single" w:sz="4" w:space="0" w:color="auto"/>
                      <w:bottom w:val="single" w:sz="4" w:space="0" w:color="auto"/>
                      <w:right w:val="single" w:sz="4" w:space="0" w:color="auto"/>
                    </w:tcBorders>
                    <w:shd w:val="clear" w:color="auto" w:fill="auto"/>
                    <w:vAlign w:val="center"/>
                  </w:tcPr>
                  <w:p w14:paraId="1E177AC0" w14:textId="77777777" w:rsidR="007E7472" w:rsidRDefault="00EC1269">
                    <w:pPr>
                      <w:jc w:val="center"/>
                    </w:pPr>
                    <w:r>
                      <w:rPr>
                        <w:rFonts w:hint="eastAsia"/>
                      </w:rPr>
                      <w:t>项目</w:t>
                    </w:r>
                  </w:p>
                </w:tc>
              </w:sdtContent>
            </w:sdt>
            <w:sdt>
              <w:sdtPr>
                <w:tag w:val="_PLD_67814dca9df1416c87e0ce7ca03c3bf6"/>
                <w:id w:val="269829161"/>
                <w:lock w:val="sdtLocked"/>
              </w:sdtPr>
              <w:sdtEndPr/>
              <w:sdtContent>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05CCDAD1" w14:textId="77777777" w:rsidR="007E7472" w:rsidRDefault="00EC1269">
                    <w:pPr>
                      <w:jc w:val="center"/>
                    </w:pPr>
                    <w:r>
                      <w:rPr>
                        <w:rFonts w:hint="eastAsia"/>
                      </w:rPr>
                      <w:t>期末账面价值</w:t>
                    </w:r>
                  </w:p>
                </w:tc>
              </w:sdtContent>
            </w:sdt>
            <w:sdt>
              <w:sdtPr>
                <w:tag w:val="_PLD_874205b57d36493284671995a440c448"/>
                <w:id w:val="437807892"/>
                <w:lock w:val="sdtLocked"/>
              </w:sdtPr>
              <w:sdtEndPr/>
              <w:sdtContent>
                <w:tc>
                  <w:tcPr>
                    <w:tcW w:w="1548" w:type="pct"/>
                    <w:tcBorders>
                      <w:top w:val="single" w:sz="4" w:space="0" w:color="auto"/>
                      <w:left w:val="single" w:sz="4" w:space="0" w:color="auto"/>
                      <w:bottom w:val="single" w:sz="4" w:space="0" w:color="auto"/>
                      <w:right w:val="single" w:sz="4" w:space="0" w:color="auto"/>
                    </w:tcBorders>
                    <w:shd w:val="clear" w:color="auto" w:fill="auto"/>
                    <w:vAlign w:val="center"/>
                  </w:tcPr>
                  <w:p w14:paraId="1EF326D8" w14:textId="77777777" w:rsidR="007E7472" w:rsidRDefault="00EC1269">
                    <w:pPr>
                      <w:jc w:val="center"/>
                    </w:pPr>
                    <w:r>
                      <w:rPr>
                        <w:rFonts w:hint="eastAsia"/>
                      </w:rPr>
                      <w:t>受限原因</w:t>
                    </w:r>
                  </w:p>
                </w:tc>
              </w:sdtContent>
            </w:sdt>
          </w:tr>
          <w:tr w:rsidR="007E7472" w14:paraId="6FF02109" w14:textId="77777777" w:rsidTr="007E7472">
            <w:trPr>
              <w:trHeight w:val="340"/>
            </w:trPr>
            <w:tc>
              <w:tcPr>
                <w:tcW w:w="1885" w:type="pct"/>
                <w:tcBorders>
                  <w:top w:val="single" w:sz="4" w:space="0" w:color="auto"/>
                  <w:left w:val="single" w:sz="4" w:space="0" w:color="auto"/>
                  <w:bottom w:val="single" w:sz="4" w:space="0" w:color="auto"/>
                  <w:right w:val="single" w:sz="4" w:space="0" w:color="auto"/>
                </w:tcBorders>
                <w:shd w:val="clear" w:color="auto" w:fill="auto"/>
                <w:vAlign w:val="center"/>
              </w:tcPr>
              <w:p w14:paraId="58C1ADE8" w14:textId="77777777" w:rsidR="007E7472" w:rsidRDefault="00EC1269">
                <w:r>
                  <w:t>货币资金</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19398BCE" w14:textId="77777777" w:rsidR="007E7472" w:rsidRDefault="00EC1269">
                <w:pPr>
                  <w:jc w:val="right"/>
                </w:pPr>
                <w:r>
                  <w:t>6,450,550</w:t>
                </w:r>
              </w:p>
            </w:tc>
            <w:tc>
              <w:tcPr>
                <w:tcW w:w="1548" w:type="pct"/>
                <w:tcBorders>
                  <w:top w:val="single" w:sz="4" w:space="0" w:color="auto"/>
                  <w:left w:val="single" w:sz="4" w:space="0" w:color="auto"/>
                  <w:bottom w:val="single" w:sz="4" w:space="0" w:color="auto"/>
                  <w:right w:val="single" w:sz="4" w:space="0" w:color="auto"/>
                </w:tcBorders>
                <w:shd w:val="clear" w:color="auto" w:fill="auto"/>
                <w:vAlign w:val="center"/>
              </w:tcPr>
              <w:p w14:paraId="4FB50E3D" w14:textId="77777777" w:rsidR="007E7472" w:rsidRDefault="00EC1269">
                <w:pPr>
                  <w:jc w:val="both"/>
                </w:pPr>
                <w:r>
                  <w:t>附注七、1</w:t>
                </w:r>
              </w:p>
            </w:tc>
          </w:tr>
          <w:tr w:rsidR="007E7472" w14:paraId="1CB304E8" w14:textId="77777777" w:rsidTr="007E7472">
            <w:trPr>
              <w:trHeight w:val="340"/>
            </w:trPr>
            <w:tc>
              <w:tcPr>
                <w:tcW w:w="1885" w:type="pct"/>
                <w:tcBorders>
                  <w:top w:val="single" w:sz="4" w:space="0" w:color="auto"/>
                  <w:left w:val="single" w:sz="4" w:space="0" w:color="auto"/>
                  <w:bottom w:val="single" w:sz="4" w:space="0" w:color="auto"/>
                  <w:right w:val="single" w:sz="4" w:space="0" w:color="auto"/>
                </w:tcBorders>
                <w:shd w:val="clear" w:color="auto" w:fill="auto"/>
                <w:vAlign w:val="center"/>
              </w:tcPr>
              <w:p w14:paraId="6A303F2B" w14:textId="77777777" w:rsidR="007E7472" w:rsidRDefault="00EC1269">
                <w:r>
                  <w:rPr>
                    <w:rFonts w:hint="eastAsia"/>
                  </w:rPr>
                  <w:t>应收款项融资</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57F439D9" w14:textId="77777777" w:rsidR="007E7472" w:rsidRDefault="00EC1269">
                <w:pPr>
                  <w:jc w:val="right"/>
                </w:pPr>
                <w:r>
                  <w:t>1,805,959</w:t>
                </w:r>
              </w:p>
            </w:tc>
            <w:tc>
              <w:tcPr>
                <w:tcW w:w="1548" w:type="pct"/>
                <w:tcBorders>
                  <w:top w:val="single" w:sz="4" w:space="0" w:color="auto"/>
                  <w:left w:val="single" w:sz="4" w:space="0" w:color="auto"/>
                  <w:bottom w:val="single" w:sz="4" w:space="0" w:color="auto"/>
                  <w:right w:val="single" w:sz="4" w:space="0" w:color="auto"/>
                </w:tcBorders>
                <w:shd w:val="clear" w:color="auto" w:fill="auto"/>
                <w:vAlign w:val="center"/>
              </w:tcPr>
              <w:p w14:paraId="4F5C22E2" w14:textId="77777777" w:rsidR="007E7472" w:rsidRDefault="00EC1269">
                <w:pPr>
                  <w:jc w:val="both"/>
                </w:pPr>
                <w:r>
                  <w:t>附注七、6</w:t>
                </w:r>
              </w:p>
            </w:tc>
          </w:tr>
          <w:tr w:rsidR="007E7472" w14:paraId="680B893F" w14:textId="77777777" w:rsidTr="007E7472">
            <w:trPr>
              <w:trHeight w:val="340"/>
            </w:trPr>
            <w:tc>
              <w:tcPr>
                <w:tcW w:w="1885" w:type="pct"/>
                <w:tcBorders>
                  <w:top w:val="single" w:sz="4" w:space="0" w:color="auto"/>
                  <w:left w:val="single" w:sz="4" w:space="0" w:color="auto"/>
                  <w:bottom w:val="single" w:sz="4" w:space="0" w:color="auto"/>
                  <w:right w:val="single" w:sz="4" w:space="0" w:color="auto"/>
                </w:tcBorders>
                <w:shd w:val="clear" w:color="auto" w:fill="auto"/>
                <w:vAlign w:val="center"/>
              </w:tcPr>
              <w:p w14:paraId="1ACFF2BA" w14:textId="77777777" w:rsidR="007E7472" w:rsidRDefault="00EC1269">
                <w:r>
                  <w:rPr>
                    <w:rFonts w:hint="eastAsia"/>
                  </w:rPr>
                  <w:t>长期股权投资</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369F971F" w14:textId="77777777" w:rsidR="007E7472" w:rsidRDefault="00EC1269">
                <w:pPr>
                  <w:jc w:val="right"/>
                </w:pPr>
                <w:r>
                  <w:t>7,064,298</w:t>
                </w:r>
              </w:p>
            </w:tc>
            <w:tc>
              <w:tcPr>
                <w:tcW w:w="1548" w:type="pct"/>
                <w:tcBorders>
                  <w:top w:val="single" w:sz="4" w:space="0" w:color="auto"/>
                  <w:left w:val="single" w:sz="4" w:space="0" w:color="auto"/>
                  <w:bottom w:val="single" w:sz="4" w:space="0" w:color="auto"/>
                  <w:right w:val="single" w:sz="4" w:space="0" w:color="auto"/>
                </w:tcBorders>
                <w:shd w:val="clear" w:color="auto" w:fill="auto"/>
                <w:vAlign w:val="center"/>
              </w:tcPr>
              <w:p w14:paraId="23755A07" w14:textId="77777777" w:rsidR="007E7472" w:rsidRDefault="00EC1269">
                <w:pPr>
                  <w:jc w:val="both"/>
                </w:pPr>
                <w:r>
                  <w:t>附注七、43</w:t>
                </w:r>
              </w:p>
            </w:tc>
          </w:tr>
          <w:tr w:rsidR="007E7472" w14:paraId="6E71342A" w14:textId="77777777" w:rsidTr="007E7472">
            <w:trPr>
              <w:trHeight w:val="340"/>
            </w:trPr>
            <w:tc>
              <w:tcPr>
                <w:tcW w:w="1885" w:type="pct"/>
                <w:tcBorders>
                  <w:top w:val="single" w:sz="4" w:space="0" w:color="auto"/>
                  <w:left w:val="single" w:sz="4" w:space="0" w:color="auto"/>
                  <w:bottom w:val="single" w:sz="4" w:space="0" w:color="auto"/>
                  <w:right w:val="single" w:sz="4" w:space="0" w:color="auto"/>
                </w:tcBorders>
                <w:shd w:val="clear" w:color="auto" w:fill="auto"/>
                <w:vAlign w:val="center"/>
              </w:tcPr>
              <w:p w14:paraId="1D9D1366" w14:textId="77777777" w:rsidR="007E7472" w:rsidRDefault="00EC1269">
                <w:r>
                  <w:t>固定资产</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2DFDFDE8" w14:textId="77777777" w:rsidR="007E7472" w:rsidRDefault="00EC1269">
                <w:pPr>
                  <w:jc w:val="right"/>
                </w:pPr>
                <w:r>
                  <w:t>3,525,529</w:t>
                </w:r>
              </w:p>
            </w:tc>
            <w:tc>
              <w:tcPr>
                <w:tcW w:w="1548" w:type="pct"/>
                <w:tcBorders>
                  <w:top w:val="single" w:sz="4" w:space="0" w:color="auto"/>
                  <w:left w:val="single" w:sz="4" w:space="0" w:color="auto"/>
                  <w:bottom w:val="single" w:sz="4" w:space="0" w:color="auto"/>
                  <w:right w:val="single" w:sz="4" w:space="0" w:color="auto"/>
                </w:tcBorders>
                <w:shd w:val="clear" w:color="auto" w:fill="auto"/>
                <w:vAlign w:val="center"/>
              </w:tcPr>
              <w:p w14:paraId="04027C8F" w14:textId="77777777" w:rsidR="007E7472" w:rsidRDefault="00EC1269">
                <w:pPr>
                  <w:jc w:val="both"/>
                </w:pPr>
                <w:r>
                  <w:t>附注七、48</w:t>
                </w:r>
              </w:p>
            </w:tc>
          </w:tr>
          <w:tr w:rsidR="007E7472" w14:paraId="44ACF6E5" w14:textId="77777777" w:rsidTr="007E7472">
            <w:trPr>
              <w:trHeight w:val="340"/>
            </w:trPr>
            <w:tc>
              <w:tcPr>
                <w:tcW w:w="1885" w:type="pct"/>
                <w:tcBorders>
                  <w:top w:val="single" w:sz="4" w:space="0" w:color="auto"/>
                  <w:left w:val="single" w:sz="4" w:space="0" w:color="auto"/>
                  <w:bottom w:val="single" w:sz="4" w:space="0" w:color="auto"/>
                  <w:right w:val="single" w:sz="4" w:space="0" w:color="auto"/>
                </w:tcBorders>
                <w:shd w:val="clear" w:color="auto" w:fill="auto"/>
                <w:vAlign w:val="center"/>
              </w:tcPr>
              <w:p w14:paraId="07EB34A2" w14:textId="77777777" w:rsidR="007E7472" w:rsidRDefault="00EC1269">
                <w:r>
                  <w:t>固定资产</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654EEA9D" w14:textId="77777777" w:rsidR="007E7472" w:rsidRDefault="00EC1269">
                <w:pPr>
                  <w:jc w:val="right"/>
                </w:pPr>
                <w:r>
                  <w:t>20</w:t>
                </w:r>
              </w:p>
            </w:tc>
            <w:tc>
              <w:tcPr>
                <w:tcW w:w="1548" w:type="pct"/>
                <w:tcBorders>
                  <w:top w:val="single" w:sz="4" w:space="0" w:color="auto"/>
                  <w:left w:val="single" w:sz="4" w:space="0" w:color="auto"/>
                  <w:bottom w:val="single" w:sz="4" w:space="0" w:color="auto"/>
                  <w:right w:val="single" w:sz="4" w:space="0" w:color="auto"/>
                </w:tcBorders>
                <w:shd w:val="clear" w:color="auto" w:fill="auto"/>
                <w:vAlign w:val="center"/>
              </w:tcPr>
              <w:p w14:paraId="1F8B78FB" w14:textId="77777777" w:rsidR="007E7472" w:rsidRDefault="00EC1269">
                <w:pPr>
                  <w:jc w:val="both"/>
                </w:pPr>
                <w:r>
                  <w:t>诉讼冻结</w:t>
                </w:r>
              </w:p>
            </w:tc>
          </w:tr>
          <w:tr w:rsidR="007E7472" w14:paraId="701A17C7" w14:textId="77777777" w:rsidTr="007E7472">
            <w:trPr>
              <w:trHeight w:val="340"/>
            </w:trPr>
            <w:tc>
              <w:tcPr>
                <w:tcW w:w="1885" w:type="pct"/>
                <w:tcBorders>
                  <w:top w:val="single" w:sz="4" w:space="0" w:color="auto"/>
                  <w:left w:val="single" w:sz="4" w:space="0" w:color="auto"/>
                  <w:bottom w:val="single" w:sz="4" w:space="0" w:color="auto"/>
                  <w:right w:val="single" w:sz="4" w:space="0" w:color="auto"/>
                </w:tcBorders>
                <w:shd w:val="clear" w:color="auto" w:fill="auto"/>
                <w:vAlign w:val="center"/>
              </w:tcPr>
              <w:p w14:paraId="3A88947F" w14:textId="77777777" w:rsidR="007E7472" w:rsidRDefault="00EC1269">
                <w:r>
                  <w:rPr>
                    <w:rFonts w:hint="eastAsia"/>
                  </w:rPr>
                  <w:t>无形资产</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24B595CB" w14:textId="77777777" w:rsidR="007E7472" w:rsidRDefault="00EC1269">
                <w:pPr>
                  <w:jc w:val="right"/>
                </w:pPr>
                <w:r>
                  <w:t>4,209</w:t>
                </w:r>
              </w:p>
            </w:tc>
            <w:tc>
              <w:tcPr>
                <w:tcW w:w="1548" w:type="pct"/>
                <w:tcBorders>
                  <w:top w:val="single" w:sz="4" w:space="0" w:color="auto"/>
                  <w:left w:val="single" w:sz="4" w:space="0" w:color="auto"/>
                  <w:bottom w:val="single" w:sz="4" w:space="0" w:color="auto"/>
                  <w:right w:val="single" w:sz="4" w:space="0" w:color="auto"/>
                </w:tcBorders>
                <w:shd w:val="clear" w:color="auto" w:fill="auto"/>
                <w:vAlign w:val="center"/>
              </w:tcPr>
              <w:p w14:paraId="6540556D" w14:textId="77777777" w:rsidR="007E7472" w:rsidRDefault="00EC1269">
                <w:pPr>
                  <w:jc w:val="both"/>
                </w:pPr>
                <w:r>
                  <w:t>诉讼冻结</w:t>
                </w:r>
              </w:p>
            </w:tc>
          </w:tr>
          <w:tr w:rsidR="007E7472" w14:paraId="71CB3C4B" w14:textId="77777777" w:rsidTr="007E7472">
            <w:trPr>
              <w:trHeight w:val="340"/>
            </w:trPr>
            <w:tc>
              <w:tcPr>
                <w:tcW w:w="1885" w:type="pct"/>
                <w:tcBorders>
                  <w:top w:val="single" w:sz="4" w:space="0" w:color="auto"/>
                  <w:left w:val="single" w:sz="4" w:space="0" w:color="auto"/>
                  <w:bottom w:val="single" w:sz="4" w:space="0" w:color="auto"/>
                  <w:right w:val="single" w:sz="4" w:space="0" w:color="auto"/>
                </w:tcBorders>
                <w:shd w:val="clear" w:color="auto" w:fill="auto"/>
                <w:vAlign w:val="center"/>
              </w:tcPr>
              <w:p w14:paraId="340F1DB0" w14:textId="77777777" w:rsidR="007E7472" w:rsidRDefault="00EC1269">
                <w:r>
                  <w:rPr>
                    <w:rFonts w:hint="eastAsia"/>
                  </w:rPr>
                  <w:t>长期应收款</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42F2AE19" w14:textId="77777777" w:rsidR="007E7472" w:rsidRDefault="00EC1269">
                <w:pPr>
                  <w:jc w:val="right"/>
                </w:pPr>
                <w:r>
                  <w:t>7,593,414</w:t>
                </w:r>
              </w:p>
            </w:tc>
            <w:tc>
              <w:tcPr>
                <w:tcW w:w="1548" w:type="pct"/>
                <w:tcBorders>
                  <w:top w:val="single" w:sz="4" w:space="0" w:color="auto"/>
                  <w:left w:val="single" w:sz="4" w:space="0" w:color="auto"/>
                  <w:bottom w:val="single" w:sz="4" w:space="0" w:color="auto"/>
                  <w:right w:val="single" w:sz="4" w:space="0" w:color="auto"/>
                </w:tcBorders>
                <w:shd w:val="clear" w:color="auto" w:fill="auto"/>
                <w:vAlign w:val="center"/>
              </w:tcPr>
              <w:p w14:paraId="730DC1A8" w14:textId="77777777" w:rsidR="007E7472" w:rsidRDefault="00EC1269">
                <w:pPr>
                  <w:jc w:val="both"/>
                </w:pPr>
                <w:r>
                  <w:t>附注</w:t>
                </w:r>
                <w:r>
                  <w:rPr>
                    <w:rFonts w:hint="eastAsia"/>
                  </w:rPr>
                  <w:t>七</w:t>
                </w:r>
                <w:r>
                  <w:t>、</w:t>
                </w:r>
                <w:r>
                  <w:rPr>
                    <w:rFonts w:hint="eastAsia"/>
                  </w:rPr>
                  <w:t>4</w:t>
                </w:r>
                <w:r>
                  <w:t>3</w:t>
                </w:r>
                <w:r>
                  <w:rPr>
                    <w:rFonts w:hint="eastAsia"/>
                  </w:rPr>
                  <w:t>、附注七、4</w:t>
                </w:r>
                <w:r>
                  <w:t>5</w:t>
                </w:r>
                <w:r>
                  <w:rPr>
                    <w:rFonts w:hint="eastAsia"/>
                  </w:rPr>
                  <w:t>及附注七、4</w:t>
                </w:r>
                <w:r>
                  <w:t>8</w:t>
                </w:r>
              </w:p>
            </w:tc>
          </w:tr>
          <w:tr w:rsidR="007E7472" w14:paraId="78604D24" w14:textId="77777777" w:rsidTr="007E7472">
            <w:trPr>
              <w:trHeight w:val="340"/>
            </w:trPr>
            <w:tc>
              <w:tcPr>
                <w:tcW w:w="1885" w:type="pct"/>
                <w:tcBorders>
                  <w:top w:val="single" w:sz="4" w:space="0" w:color="auto"/>
                  <w:left w:val="single" w:sz="4" w:space="0" w:color="auto"/>
                  <w:bottom w:val="single" w:sz="4" w:space="0" w:color="auto"/>
                  <w:right w:val="single" w:sz="4" w:space="0" w:color="auto"/>
                </w:tcBorders>
                <w:shd w:val="clear" w:color="auto" w:fill="auto"/>
                <w:vAlign w:val="center"/>
              </w:tcPr>
              <w:p w14:paraId="1CD5099A" w14:textId="77777777" w:rsidR="007E7472" w:rsidRDefault="00EC1269">
                <w:r>
                  <w:t>对陕西未来能源的股权</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33DE1244" w14:textId="77777777" w:rsidR="007E7472" w:rsidRDefault="00EC1269">
                <w:pPr>
                  <w:jc w:val="right"/>
                </w:pPr>
                <w:r>
                  <w:t>4,734,713</w:t>
                </w:r>
              </w:p>
            </w:tc>
            <w:tc>
              <w:tcPr>
                <w:tcW w:w="1548" w:type="pct"/>
                <w:tcBorders>
                  <w:top w:val="single" w:sz="4" w:space="0" w:color="auto"/>
                  <w:left w:val="single" w:sz="4" w:space="0" w:color="auto"/>
                  <w:bottom w:val="single" w:sz="4" w:space="0" w:color="auto"/>
                  <w:right w:val="single" w:sz="4" w:space="0" w:color="auto"/>
                </w:tcBorders>
                <w:shd w:val="clear" w:color="auto" w:fill="auto"/>
                <w:vAlign w:val="center"/>
              </w:tcPr>
              <w:p w14:paraId="696F92D1" w14:textId="77777777" w:rsidR="007E7472" w:rsidRDefault="00EC1269">
                <w:pPr>
                  <w:jc w:val="both"/>
                </w:pPr>
                <w:r>
                  <w:t>附注七、45</w:t>
                </w:r>
              </w:p>
            </w:tc>
          </w:tr>
          <w:tr w:rsidR="007E7472" w14:paraId="07955EA0" w14:textId="77777777" w:rsidTr="007E7472">
            <w:trPr>
              <w:trHeight w:val="340"/>
            </w:trPr>
            <w:tc>
              <w:tcPr>
                <w:tcW w:w="1885" w:type="pct"/>
                <w:tcBorders>
                  <w:top w:val="single" w:sz="4" w:space="0" w:color="auto"/>
                  <w:left w:val="single" w:sz="4" w:space="0" w:color="auto"/>
                  <w:bottom w:val="single" w:sz="4" w:space="0" w:color="auto"/>
                  <w:right w:val="single" w:sz="4" w:space="0" w:color="auto"/>
                </w:tcBorders>
                <w:shd w:val="clear" w:color="auto" w:fill="auto"/>
                <w:vAlign w:val="center"/>
              </w:tcPr>
              <w:p w14:paraId="217C4987" w14:textId="77777777" w:rsidR="007E7472" w:rsidRDefault="00EC1269">
                <w:r>
                  <w:rPr>
                    <w:rFonts w:hint="eastAsia"/>
                  </w:rPr>
                  <w:t>兖煤澳大利亚有限公司净资产</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tcPr>
              <w:p w14:paraId="381D85CD" w14:textId="77777777" w:rsidR="007E7472" w:rsidRDefault="00EC1269">
                <w:pPr>
                  <w:jc w:val="right"/>
                </w:pPr>
                <w:r>
                  <w:t>8,406,533</w:t>
                </w:r>
              </w:p>
            </w:tc>
            <w:tc>
              <w:tcPr>
                <w:tcW w:w="1548" w:type="pct"/>
                <w:tcBorders>
                  <w:top w:val="single" w:sz="4" w:space="0" w:color="auto"/>
                  <w:left w:val="single" w:sz="4" w:space="0" w:color="auto"/>
                  <w:bottom w:val="single" w:sz="4" w:space="0" w:color="auto"/>
                  <w:right w:val="single" w:sz="4" w:space="0" w:color="auto"/>
                </w:tcBorders>
                <w:shd w:val="clear" w:color="auto" w:fill="auto"/>
                <w:vAlign w:val="center"/>
              </w:tcPr>
              <w:p w14:paraId="5FA2E76E" w14:textId="77777777" w:rsidR="007E7472" w:rsidRDefault="00EC1269">
                <w:pPr>
                  <w:jc w:val="both"/>
                </w:pPr>
                <w:r>
                  <w:t>附注</w:t>
                </w:r>
                <w:r>
                  <w:rPr>
                    <w:rFonts w:hint="eastAsia"/>
                  </w:rPr>
                  <w:t>七</w:t>
                </w:r>
                <w:r>
                  <w:t>、</w:t>
                </w:r>
                <w:r>
                  <w:rPr>
                    <w:rFonts w:hint="eastAsia"/>
                  </w:rPr>
                  <w:t>4</w:t>
                </w:r>
                <w:r>
                  <w:t>5</w:t>
                </w:r>
              </w:p>
            </w:tc>
          </w:tr>
          <w:tr w:rsidR="007E7472" w14:paraId="646F85EB" w14:textId="77777777" w:rsidTr="007E7472">
            <w:trPr>
              <w:trHeight w:val="340"/>
            </w:trPr>
            <w:tc>
              <w:tcPr>
                <w:tcW w:w="1885" w:type="pct"/>
                <w:tcBorders>
                  <w:top w:val="single" w:sz="6" w:space="0" w:color="auto"/>
                  <w:left w:val="single" w:sz="6" w:space="0" w:color="auto"/>
                  <w:bottom w:val="single" w:sz="4" w:space="0" w:color="auto"/>
                  <w:right w:val="single" w:sz="6" w:space="0" w:color="auto"/>
                </w:tcBorders>
                <w:shd w:val="clear" w:color="auto" w:fill="auto"/>
                <w:vAlign w:val="center"/>
              </w:tcPr>
              <w:p w14:paraId="085BD6AD" w14:textId="77777777" w:rsidR="007E7472" w:rsidRDefault="00EC1269">
                <w:r>
                  <w:t>普力马煤矿总资产</w:t>
                </w:r>
              </w:p>
            </w:tc>
            <w:tc>
              <w:tcPr>
                <w:tcW w:w="1566" w:type="pct"/>
                <w:tcBorders>
                  <w:top w:val="single" w:sz="6" w:space="0" w:color="auto"/>
                  <w:left w:val="single" w:sz="6" w:space="0" w:color="auto"/>
                  <w:bottom w:val="single" w:sz="6" w:space="0" w:color="auto"/>
                  <w:right w:val="single" w:sz="6" w:space="0" w:color="auto"/>
                </w:tcBorders>
                <w:shd w:val="clear" w:color="auto" w:fill="auto"/>
                <w:vAlign w:val="center"/>
              </w:tcPr>
              <w:p w14:paraId="46476751" w14:textId="48F86681" w:rsidR="007E7472" w:rsidRDefault="00913748">
                <w:pPr>
                  <w:jc w:val="right"/>
                </w:pPr>
                <w:r w:rsidRPr="00CB3C4F">
                  <w:t>8,478,306</w:t>
                </w:r>
              </w:p>
            </w:tc>
            <w:tc>
              <w:tcPr>
                <w:tcW w:w="1548" w:type="pct"/>
                <w:tcBorders>
                  <w:top w:val="single" w:sz="6" w:space="0" w:color="auto"/>
                  <w:left w:val="single" w:sz="6" w:space="0" w:color="auto"/>
                  <w:bottom w:val="single" w:sz="6" w:space="0" w:color="auto"/>
                  <w:right w:val="single" w:sz="6" w:space="0" w:color="auto"/>
                </w:tcBorders>
                <w:shd w:val="clear" w:color="auto" w:fill="auto"/>
                <w:vAlign w:val="center"/>
              </w:tcPr>
              <w:p w14:paraId="3C53584E" w14:textId="77777777" w:rsidR="007E7472" w:rsidRDefault="00EC1269">
                <w:pPr>
                  <w:jc w:val="both"/>
                </w:pPr>
                <w:r>
                  <w:t>附注</w:t>
                </w:r>
                <w:r>
                  <w:rPr>
                    <w:rFonts w:hint="eastAsia"/>
                  </w:rPr>
                  <w:t>七</w:t>
                </w:r>
                <w:r>
                  <w:t>、</w:t>
                </w:r>
                <w:r>
                  <w:rPr>
                    <w:rFonts w:hint="eastAsia"/>
                  </w:rPr>
                  <w:t>4</w:t>
                </w:r>
                <w:r>
                  <w:t>5</w:t>
                </w:r>
              </w:p>
            </w:tc>
          </w:tr>
          <w:tr w:rsidR="007E7472" w14:paraId="5C47C0E2" w14:textId="77777777" w:rsidTr="007E7472">
            <w:trPr>
              <w:trHeight w:val="340"/>
            </w:trPr>
            <w:tc>
              <w:tcPr>
                <w:tcW w:w="1885" w:type="pct"/>
                <w:tcBorders>
                  <w:top w:val="single" w:sz="6" w:space="0" w:color="auto"/>
                  <w:left w:val="single" w:sz="6" w:space="0" w:color="auto"/>
                  <w:bottom w:val="single" w:sz="4" w:space="0" w:color="auto"/>
                  <w:right w:val="single" w:sz="6" w:space="0" w:color="auto"/>
                </w:tcBorders>
                <w:shd w:val="clear" w:color="auto" w:fill="auto"/>
                <w:vAlign w:val="center"/>
              </w:tcPr>
              <w:p w14:paraId="2571838E" w14:textId="77777777" w:rsidR="007E7472" w:rsidRDefault="00EC1269">
                <w:r>
                  <w:t>兖煤澳大利亚资源有限公司与联合煤炭工业有限公司总资产</w:t>
                </w:r>
              </w:p>
            </w:tc>
            <w:tc>
              <w:tcPr>
                <w:tcW w:w="1566" w:type="pct"/>
                <w:tcBorders>
                  <w:top w:val="single" w:sz="6" w:space="0" w:color="auto"/>
                  <w:left w:val="single" w:sz="6" w:space="0" w:color="auto"/>
                  <w:bottom w:val="single" w:sz="6" w:space="0" w:color="auto"/>
                  <w:right w:val="single" w:sz="6" w:space="0" w:color="auto"/>
                </w:tcBorders>
                <w:shd w:val="clear" w:color="auto" w:fill="auto"/>
                <w:vAlign w:val="center"/>
              </w:tcPr>
              <w:p w14:paraId="0ED0A9BE" w14:textId="77777777" w:rsidR="007E7472" w:rsidRDefault="00EC1269">
                <w:pPr>
                  <w:jc w:val="right"/>
                </w:pPr>
                <w:r>
                  <w:t>56,392,887</w:t>
                </w:r>
              </w:p>
            </w:tc>
            <w:tc>
              <w:tcPr>
                <w:tcW w:w="1548" w:type="pct"/>
                <w:tcBorders>
                  <w:top w:val="single" w:sz="6" w:space="0" w:color="auto"/>
                  <w:left w:val="single" w:sz="6" w:space="0" w:color="auto"/>
                  <w:bottom w:val="single" w:sz="6" w:space="0" w:color="auto"/>
                  <w:right w:val="single" w:sz="6" w:space="0" w:color="auto"/>
                </w:tcBorders>
                <w:shd w:val="clear" w:color="auto" w:fill="auto"/>
                <w:vAlign w:val="center"/>
              </w:tcPr>
              <w:p w14:paraId="760C989D" w14:textId="77777777" w:rsidR="007E7472" w:rsidRDefault="00EC1269">
                <w:pPr>
                  <w:jc w:val="both"/>
                </w:pPr>
                <w:r>
                  <w:rPr>
                    <w:rFonts w:hint="eastAsia"/>
                  </w:rPr>
                  <w:t>授信额度的质押</w:t>
                </w:r>
              </w:p>
            </w:tc>
          </w:tr>
          <w:tr w:rsidR="007E7472" w14:paraId="2817CCD2" w14:textId="77777777" w:rsidTr="007E7472">
            <w:trPr>
              <w:trHeight w:val="340"/>
            </w:trPr>
            <w:tc>
              <w:tcPr>
                <w:tcW w:w="1885" w:type="pct"/>
                <w:tcBorders>
                  <w:top w:val="single" w:sz="4" w:space="0" w:color="auto"/>
                  <w:left w:val="single" w:sz="4" w:space="0" w:color="auto"/>
                  <w:bottom w:val="single" w:sz="4" w:space="0" w:color="auto"/>
                  <w:right w:val="single" w:sz="4" w:space="0" w:color="auto"/>
                </w:tcBorders>
                <w:shd w:val="clear" w:color="auto" w:fill="auto"/>
                <w:vAlign w:val="center"/>
              </w:tcPr>
              <w:p w14:paraId="47BF9610" w14:textId="77777777" w:rsidR="007E7472" w:rsidRDefault="00EC1269">
                <w:pPr>
                  <w:jc w:val="center"/>
                </w:pPr>
                <w:r>
                  <w:rPr>
                    <w:rFonts w:hint="eastAsia"/>
                  </w:rPr>
                  <w:t>合计</w:t>
                </w:r>
              </w:p>
            </w:tc>
            <w:tc>
              <w:tcPr>
                <w:tcW w:w="1566" w:type="pct"/>
                <w:tcBorders>
                  <w:top w:val="single" w:sz="6" w:space="0" w:color="auto"/>
                  <w:left w:val="single" w:sz="4" w:space="0" w:color="auto"/>
                  <w:bottom w:val="single" w:sz="6" w:space="0" w:color="auto"/>
                  <w:right w:val="single" w:sz="4" w:space="0" w:color="auto"/>
                </w:tcBorders>
                <w:shd w:val="clear" w:color="auto" w:fill="auto"/>
                <w:vAlign w:val="center"/>
              </w:tcPr>
              <w:p w14:paraId="1BECB63C" w14:textId="378C700F" w:rsidR="007E7472" w:rsidRDefault="00913748">
                <w:pPr>
                  <w:jc w:val="right"/>
                </w:pPr>
                <w:r>
                  <w:t>104,456,418</w:t>
                </w:r>
              </w:p>
            </w:tc>
            <w:tc>
              <w:tcPr>
                <w:tcW w:w="1548" w:type="pct"/>
                <w:tcBorders>
                  <w:top w:val="single" w:sz="6" w:space="0" w:color="auto"/>
                  <w:left w:val="single" w:sz="4" w:space="0" w:color="auto"/>
                  <w:bottom w:val="single" w:sz="6" w:space="0" w:color="auto"/>
                  <w:right w:val="single" w:sz="4" w:space="0" w:color="auto"/>
                </w:tcBorders>
                <w:shd w:val="clear" w:color="auto" w:fill="auto"/>
                <w:vAlign w:val="center"/>
              </w:tcPr>
              <w:p w14:paraId="6317EE24" w14:textId="77777777" w:rsidR="007E7472" w:rsidRDefault="00EC1269">
                <w:pPr>
                  <w:jc w:val="center"/>
                </w:pPr>
                <w:r>
                  <w:t>-</w:t>
                </w:r>
              </w:p>
            </w:tc>
          </w:tr>
        </w:tbl>
        <w:p w14:paraId="341963CA" w14:textId="77777777" w:rsidR="007E7472" w:rsidRDefault="00C8327E"/>
      </w:sdtContent>
    </w:sdt>
    <w:p w14:paraId="4D160B82" w14:textId="77777777" w:rsidR="007E7472" w:rsidRDefault="00C8327E"/>
    <w:bookmarkStart w:id="272" w:name="_Hlk42158948" w:displacedByCustomXml="next"/>
    <w:sdt>
      <w:sdtPr>
        <w:rPr>
          <w:rFonts w:ascii="宋体" w:hAnsi="宋体" w:cs="宋体" w:hint="eastAsia"/>
          <w:b w:val="0"/>
          <w:bCs w:val="0"/>
          <w:kern w:val="0"/>
          <w:sz w:val="20"/>
          <w:szCs w:val="21"/>
        </w:rPr>
        <w:alias w:val="模块:外币货币性项目"/>
        <w:tag w:val="_GBC_7a80c9b78caf4e6686905c555fe61f9a"/>
        <w:id w:val="801426371"/>
        <w:lock w:val="sdtLocked"/>
        <w:placeholder>
          <w:docPart w:val="GBC22222222222222222222222222222"/>
        </w:placeholder>
      </w:sdtPr>
      <w:sdtEndPr>
        <w:rPr>
          <w:rFonts w:hint="default"/>
          <w:sz w:val="21"/>
        </w:rPr>
      </w:sdtEndPr>
      <w:sdtContent>
        <w:p w14:paraId="61C44CDF" w14:textId="77777777" w:rsidR="007E7472" w:rsidRDefault="00EC1269" w:rsidP="00162493">
          <w:pPr>
            <w:pStyle w:val="3"/>
            <w:numPr>
              <w:ilvl w:val="0"/>
              <w:numId w:val="62"/>
            </w:numPr>
          </w:pPr>
          <w:r>
            <w:rPr>
              <w:rFonts w:hint="eastAsia"/>
            </w:rPr>
            <w:t>外币货币性项目</w:t>
          </w:r>
        </w:p>
        <w:p w14:paraId="42C5EE43" w14:textId="77777777" w:rsidR="007E7472" w:rsidRDefault="00EC1269" w:rsidP="00162493">
          <w:pPr>
            <w:numPr>
              <w:ilvl w:val="0"/>
              <w:numId w:val="98"/>
            </w:numPr>
            <w:tabs>
              <w:tab w:val="left" w:pos="700"/>
            </w:tabs>
            <w:spacing w:before="60" w:after="60"/>
          </w:pPr>
          <w:r>
            <w:rPr>
              <w:rFonts w:hint="eastAsia"/>
              <w:bCs/>
            </w:rPr>
            <w:t>外币货币性项目</w:t>
          </w:r>
        </w:p>
        <w:sdt>
          <w:sdtPr>
            <w:alias w:val="是否适用：外币货币性项目[双击切换]"/>
            <w:tag w:val="_GBC_7b0870ec262840d78495babcff3639aa"/>
            <w:id w:val="901637318"/>
            <w:lock w:val="sdtLocked"/>
            <w:placeholder>
              <w:docPart w:val="GBC22222222222222222222222222222"/>
            </w:placeholder>
          </w:sdtPr>
          <w:sdtEndPr/>
          <w:sdtContent>
            <w:p w14:paraId="3E5265B8" w14:textId="77777777" w:rsidR="007E7472" w:rsidRDefault="00EC1269">
              <w:r>
                <w:rPr>
                  <w:rFonts w:hint="eastAsia"/>
                </w:rPr>
                <w:fldChar w:fldCharType="begin"/>
              </w:r>
              <w:r>
                <w:rPr>
                  <w:rFonts w:hint="eastAsia"/>
                </w:rPr>
                <w:instrText xml:space="preserve"> MACROBUTTON  SnrToggleCheckbox √适用 </w:instrText>
              </w:r>
              <w:r>
                <w:rPr>
                  <w:rFonts w:hint="eastAsia"/>
                </w:rPr>
                <w:fldChar w:fldCharType="end"/>
              </w:r>
              <w:r>
                <w:rPr>
                  <w:rFonts w:hint="eastAsia"/>
                </w:rPr>
                <w:fldChar w:fldCharType="begin"/>
              </w:r>
              <w:r>
                <w:rPr>
                  <w:rFonts w:hint="eastAsia"/>
                </w:rPr>
                <w:instrText xml:space="preserve"> MACROBUTTON  SnrToggleCheckbox □不适用 </w:instrText>
              </w:r>
              <w:r>
                <w:rPr>
                  <w:rFonts w:hint="eastAsia"/>
                </w:rPr>
                <w:fldChar w:fldCharType="end"/>
              </w:r>
            </w:p>
          </w:sdtContent>
        </w:sdt>
        <w:p w14:paraId="7A151477" w14:textId="62C352FE" w:rsidR="007E7472" w:rsidRDefault="00EC1269">
          <w:pPr>
            <w:jc w:val="right"/>
          </w:pPr>
          <w:r>
            <w:rPr>
              <w:rFonts w:hint="eastAsia"/>
            </w:rPr>
            <w:lastRenderedPageBreak/>
            <w:t>单位：</w:t>
          </w:r>
          <w:sdt>
            <w:sdtPr>
              <w:rPr>
                <w:rFonts w:hint="eastAsia"/>
              </w:rPr>
              <w:alias w:val="单位：财务附注：外币货币性项目"/>
              <w:tag w:val="_GBC_52ed5330bd884651892991446f0f1ae0"/>
              <w:id w:val="-15522877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5"/>
            <w:gridCol w:w="1998"/>
            <w:gridCol w:w="2006"/>
            <w:gridCol w:w="1994"/>
          </w:tblGrid>
          <w:tr w:rsidR="007E7472" w14:paraId="0394A2B6" w14:textId="77777777">
            <w:sdt>
              <w:sdtPr>
                <w:tag w:val="_PLD_28ce5153e9cf4914a550a6d253e7c465"/>
                <w:id w:val="500781567"/>
                <w:lock w:val="sdtLocked"/>
              </w:sdtPr>
              <w:sdtEndPr/>
              <w:sdtContent>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14:paraId="15BF0428" w14:textId="77777777" w:rsidR="007E7472" w:rsidRDefault="00EC1269">
                    <w:pPr>
                      <w:jc w:val="center"/>
                    </w:pPr>
                    <w:r>
                      <w:rPr>
                        <w:rFonts w:hint="eastAsia"/>
                      </w:rPr>
                      <w:t>项目</w:t>
                    </w:r>
                  </w:p>
                </w:tc>
              </w:sdtContent>
            </w:sdt>
            <w:sdt>
              <w:sdtPr>
                <w:tag w:val="_PLD_295b6f310e534b62bde0e2c632482ed9"/>
                <w:id w:val="130834304"/>
                <w:lock w:val="sdtLocked"/>
              </w:sdtPr>
              <w:sdtEndPr/>
              <w:sdtContent>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14:paraId="5C0F2DCC" w14:textId="77777777" w:rsidR="007E7472" w:rsidRDefault="00EC1269">
                    <w:pPr>
                      <w:jc w:val="center"/>
                    </w:pPr>
                    <w:r>
                      <w:rPr>
                        <w:rFonts w:hint="eastAsia"/>
                      </w:rPr>
                      <w:t>期末外币余额</w:t>
                    </w:r>
                  </w:p>
                </w:tc>
              </w:sdtContent>
            </w:sdt>
            <w:sdt>
              <w:sdtPr>
                <w:tag w:val="_PLD_aa43af2545cb40668f2670b6f1569a92"/>
                <w:id w:val="-112052738"/>
                <w:lock w:val="sdtLocked"/>
              </w:sdtPr>
              <w:sdtEndPr/>
              <w:sdtContent>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14:paraId="4D5CDEF3" w14:textId="77777777" w:rsidR="007E7472" w:rsidRDefault="00EC1269">
                    <w:pPr>
                      <w:jc w:val="center"/>
                    </w:pPr>
                    <w:r>
                      <w:rPr>
                        <w:rFonts w:hint="eastAsia"/>
                      </w:rPr>
                      <w:t>折算汇率</w:t>
                    </w:r>
                  </w:p>
                </w:tc>
              </w:sdtContent>
            </w:sdt>
            <w:sdt>
              <w:sdtPr>
                <w:tag w:val="_PLD_8cdd9579b3964f01966c0b0c4cbacb2f"/>
                <w:id w:val="-1584904010"/>
                <w:lock w:val="sdtLocked"/>
              </w:sdtPr>
              <w:sdtEndPr/>
              <w:sdtContent>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14:paraId="7EE1E312" w14:textId="77777777" w:rsidR="007E7472" w:rsidRDefault="00EC1269">
                    <w:pPr>
                      <w:jc w:val="center"/>
                    </w:pPr>
                    <w:r>
                      <w:rPr>
                        <w:rFonts w:hint="eastAsia"/>
                      </w:rPr>
                      <w:t>期末折算人民币</w:t>
                    </w:r>
                  </w:p>
                  <w:p w14:paraId="3AD11EBA" w14:textId="77777777" w:rsidR="007E7472" w:rsidRDefault="00EC1269">
                    <w:pPr>
                      <w:jc w:val="center"/>
                    </w:pPr>
                    <w:r>
                      <w:rPr>
                        <w:rFonts w:hint="eastAsia"/>
                      </w:rPr>
                      <w:t>余额</w:t>
                    </w:r>
                  </w:p>
                </w:tc>
              </w:sdtContent>
            </w:sdt>
          </w:tr>
          <w:tr w:rsidR="007E7472" w14:paraId="353C8EFD"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7832CB1F" w14:textId="77777777" w:rsidR="007E7472" w:rsidRDefault="00EC1269">
                <w:r>
                  <w:t>货币资金</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4FA76E81" w14:textId="77777777" w:rsidR="007E7472" w:rsidRDefault="00C8327E">
                <w:pPr>
                  <w:jc w:val="right"/>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654729A5" w14:textId="77777777" w:rsidR="007E7472" w:rsidRDefault="00C8327E">
                <w:pPr>
                  <w:jc w:val="right"/>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76159686" w14:textId="77777777" w:rsidR="007E7472" w:rsidRDefault="00C8327E">
                <w:pPr>
                  <w:jc w:val="right"/>
                </w:pPr>
              </w:p>
            </w:tc>
          </w:tr>
          <w:tr w:rsidR="007E7472" w14:paraId="0854DC1F"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6F464092" w14:textId="77777777" w:rsidR="007E7472" w:rsidRDefault="00EC1269">
                <w:r>
                  <w:rPr>
                    <w:rFonts w:hint="eastAsia"/>
                  </w:rPr>
                  <w:t>其中：</w:t>
                </w:r>
                <w:r>
                  <w:t>美元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752817DF" w14:textId="77777777" w:rsidR="007E7472" w:rsidRDefault="00EC1269">
                <w:pPr>
                  <w:jc w:val="right"/>
                </w:pPr>
                <w:r>
                  <w:t>709,893</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1E28C983" w14:textId="77777777" w:rsidR="007E7472" w:rsidRDefault="00EC1269">
                <w:pPr>
                  <w:jc w:val="right"/>
                </w:pPr>
                <w:r>
                  <w:t>7.2258</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1DC7780A" w14:textId="77777777" w:rsidR="007E7472" w:rsidRDefault="00EC1269">
                <w:pPr>
                  <w:jc w:val="right"/>
                </w:pPr>
                <w:r>
                  <w:t>5,129,545</w:t>
                </w:r>
              </w:p>
            </w:tc>
          </w:tr>
          <w:tr w:rsidR="007E7472" w14:paraId="34B9E1B1"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3A8D457D" w14:textId="77777777" w:rsidR="007E7472" w:rsidRDefault="00EC1269">
                <w:r>
                  <w:t xml:space="preserve">　　　欧元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58AF970A" w14:textId="77777777" w:rsidR="007E7472" w:rsidRDefault="00EC1269">
                <w:pPr>
                  <w:jc w:val="right"/>
                </w:pPr>
                <w:r>
                  <w:t>1,932</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6342312C" w14:textId="77777777" w:rsidR="007E7472" w:rsidRDefault="00EC1269">
                <w:pPr>
                  <w:jc w:val="right"/>
                </w:pPr>
                <w:r>
                  <w:t>7.8771</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7D655D51" w14:textId="77777777" w:rsidR="007E7472" w:rsidRDefault="00EC1269">
                <w:pPr>
                  <w:jc w:val="right"/>
                </w:pPr>
                <w:r>
                  <w:t>15,219</w:t>
                </w:r>
              </w:p>
            </w:tc>
          </w:tr>
          <w:tr w:rsidR="007E7472" w14:paraId="29FEF116"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5A14011E" w14:textId="77777777" w:rsidR="007E7472" w:rsidRDefault="00EC1269">
                <w:r>
                  <w:t xml:space="preserve">　　　港币</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4C7BB01E" w14:textId="77777777" w:rsidR="007E7472" w:rsidRDefault="00EC1269">
                <w:pPr>
                  <w:jc w:val="right"/>
                </w:pPr>
                <w:r>
                  <w:t>203,496</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40204F08" w14:textId="77777777" w:rsidR="007E7472" w:rsidRDefault="00EC1269">
                <w:pPr>
                  <w:jc w:val="right"/>
                </w:pPr>
                <w:r>
                  <w:t>0.9220</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3284C178" w14:textId="77777777" w:rsidR="007E7472" w:rsidRDefault="00EC1269">
                <w:pPr>
                  <w:jc w:val="right"/>
                </w:pPr>
                <w:r>
                  <w:t>187,623</w:t>
                </w:r>
              </w:p>
            </w:tc>
          </w:tr>
          <w:tr w:rsidR="007E7472" w14:paraId="57AD3573"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3473A053" w14:textId="77777777" w:rsidR="007E7472" w:rsidRDefault="00EC1269">
                <w:pPr>
                  <w:ind w:firstLineChars="300" w:firstLine="630"/>
                </w:pPr>
                <w:r>
                  <w:rPr>
                    <w:rFonts w:hint="eastAsia"/>
                  </w:rPr>
                  <w:t>加拿大元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52DA66FE" w14:textId="77777777" w:rsidR="007E7472" w:rsidRDefault="00EC1269">
                <w:pPr>
                  <w:jc w:val="right"/>
                </w:pPr>
                <w:r>
                  <w:rPr>
                    <w:rFonts w:hint="eastAsia"/>
                  </w:rPr>
                  <w:t>5</w:t>
                </w:r>
                <w:r>
                  <w:t>2</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1FAE0C1F" w14:textId="77777777" w:rsidR="007E7472" w:rsidRDefault="00EC1269">
                <w:pPr>
                  <w:jc w:val="right"/>
                </w:pPr>
                <w:r>
                  <w:rPr>
                    <w:rFonts w:hint="eastAsia"/>
                  </w:rPr>
                  <w:t>5</w:t>
                </w:r>
                <w:r>
                  <w:t>.4721</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7313BFAD" w14:textId="77777777" w:rsidR="007E7472" w:rsidRDefault="00EC1269">
                <w:pPr>
                  <w:jc w:val="right"/>
                </w:pPr>
                <w:r>
                  <w:rPr>
                    <w:rFonts w:hint="eastAsia"/>
                  </w:rPr>
                  <w:t>2</w:t>
                </w:r>
                <w:r>
                  <w:t>85</w:t>
                </w:r>
              </w:p>
            </w:tc>
          </w:tr>
          <w:tr w:rsidR="007E7472" w14:paraId="1F9FD541"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2AE8624F" w14:textId="77777777" w:rsidR="007E7472" w:rsidRDefault="00EC1269">
                <w:pPr>
                  <w:ind w:firstLineChars="300" w:firstLine="630"/>
                </w:pPr>
                <w:r>
                  <w:rPr>
                    <w:rFonts w:hint="eastAsia"/>
                  </w:rPr>
                  <w:t>澳元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301028E6" w14:textId="77777777" w:rsidR="007E7472" w:rsidRDefault="00EC1269">
                <w:pPr>
                  <w:jc w:val="right"/>
                </w:pPr>
                <w:r>
                  <w:t>1,728,449</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76FDBBDE" w14:textId="77777777" w:rsidR="007E7472" w:rsidRDefault="00EC1269">
                <w:pPr>
                  <w:jc w:val="right"/>
                </w:pPr>
                <w:r>
                  <w:t>4.7992</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7F1D3C50" w14:textId="77777777" w:rsidR="007E7472" w:rsidRDefault="00EC1269">
                <w:pPr>
                  <w:jc w:val="right"/>
                </w:pPr>
                <w:r>
                  <w:t>8,295,172</w:t>
                </w:r>
              </w:p>
            </w:tc>
          </w:tr>
          <w:tr w:rsidR="007E7472" w14:paraId="52D9E15B"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51C4F2C2" w14:textId="77777777" w:rsidR="007E7472" w:rsidRDefault="00EC1269">
                <w:r>
                  <w:t>应收账款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0BA1D5A5" w14:textId="77777777" w:rsidR="007E7472" w:rsidRDefault="00C8327E">
                <w:pPr>
                  <w:jc w:val="right"/>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5A8DD443" w14:textId="77777777" w:rsidR="007E7472" w:rsidRDefault="00C8327E">
                <w:pPr>
                  <w:jc w:val="right"/>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0E14E675" w14:textId="77777777" w:rsidR="007E7472" w:rsidRDefault="00C8327E">
                <w:pPr>
                  <w:jc w:val="right"/>
                </w:pPr>
              </w:p>
            </w:tc>
          </w:tr>
          <w:tr w:rsidR="007E7472" w14:paraId="418BD12F"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0BA74B82" w14:textId="77777777" w:rsidR="007E7472" w:rsidRDefault="00EC1269">
                <w:r>
                  <w:rPr>
                    <w:rFonts w:hint="eastAsia"/>
                  </w:rPr>
                  <w:t>其中：</w:t>
                </w:r>
                <w:r>
                  <w:t>美元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2C087FD6" w14:textId="77777777" w:rsidR="007E7472" w:rsidRDefault="00EC1269">
                <w:pPr>
                  <w:jc w:val="right"/>
                </w:pPr>
                <w:r>
                  <w:t>339,541</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5D1D04C4" w14:textId="77777777" w:rsidR="007E7472" w:rsidRDefault="00EC1269">
                <w:pPr>
                  <w:jc w:val="right"/>
                </w:pPr>
                <w:r>
                  <w:t>7.2258</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3D4CACBE" w14:textId="77777777" w:rsidR="007E7472" w:rsidRDefault="00EC1269">
                <w:pPr>
                  <w:jc w:val="right"/>
                </w:pPr>
                <w:r>
                  <w:t>2,453,455</w:t>
                </w:r>
              </w:p>
            </w:tc>
          </w:tr>
          <w:tr w:rsidR="007E7472" w14:paraId="334CDDB4"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2BE4E1F3" w14:textId="77777777" w:rsidR="007E7472" w:rsidRDefault="00EC1269">
                <w:r>
                  <w:t xml:space="preserve">　　　欧元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06BCF402" w14:textId="77777777" w:rsidR="007E7472" w:rsidRDefault="00EC1269">
                <w:pPr>
                  <w:jc w:val="right"/>
                </w:pPr>
                <w:r>
                  <w:t>40</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19E9A434" w14:textId="77777777" w:rsidR="007E7472" w:rsidRDefault="00EC1269">
                <w:pPr>
                  <w:jc w:val="right"/>
                </w:pPr>
                <w:r>
                  <w:t>7.8771</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334D3090" w14:textId="77777777" w:rsidR="007E7472" w:rsidRDefault="00EC1269">
                <w:pPr>
                  <w:jc w:val="right"/>
                </w:pPr>
                <w:r>
                  <w:t>315</w:t>
                </w:r>
              </w:p>
            </w:tc>
          </w:tr>
          <w:tr w:rsidR="007E7472" w14:paraId="01C6B1AD"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26E2109E" w14:textId="77777777" w:rsidR="007E7472" w:rsidRDefault="00EC1269">
                <w:pPr>
                  <w:ind w:firstLineChars="300" w:firstLine="630"/>
                </w:pPr>
                <w:r>
                  <w:rPr>
                    <w:rFonts w:hint="eastAsia"/>
                  </w:rPr>
                  <w:t>澳元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49A44927" w14:textId="77777777" w:rsidR="007E7472" w:rsidRDefault="00EC1269">
                <w:pPr>
                  <w:jc w:val="right"/>
                </w:pPr>
                <w:r>
                  <w:t>25,127</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3E972925" w14:textId="77777777" w:rsidR="007E7472" w:rsidRDefault="00EC1269">
                <w:pPr>
                  <w:jc w:val="right"/>
                </w:pPr>
                <w:r>
                  <w:t>4.7992</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48125153" w14:textId="77777777" w:rsidR="007E7472" w:rsidRDefault="00EC1269">
                <w:pPr>
                  <w:jc w:val="right"/>
                </w:pPr>
                <w:r>
                  <w:t>120,589</w:t>
                </w:r>
              </w:p>
            </w:tc>
          </w:tr>
          <w:tr w:rsidR="007E7472" w14:paraId="796E544D"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3E9AE921" w14:textId="77777777" w:rsidR="007E7472" w:rsidRDefault="00EC1269">
                <w:r>
                  <w:rPr>
                    <w:rFonts w:hint="eastAsia"/>
                  </w:rPr>
                  <w:t>其他应收款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57EE6211" w14:textId="77777777" w:rsidR="007E7472" w:rsidRDefault="00C8327E">
                <w:pPr>
                  <w:jc w:val="right"/>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6F35172A" w14:textId="77777777" w:rsidR="007E7472" w:rsidRDefault="00C8327E">
                <w:pPr>
                  <w:jc w:val="right"/>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62C6A329" w14:textId="77777777" w:rsidR="007E7472" w:rsidRDefault="00C8327E">
                <w:pPr>
                  <w:jc w:val="right"/>
                </w:pPr>
              </w:p>
            </w:tc>
          </w:tr>
          <w:tr w:rsidR="007E7472" w14:paraId="63350648"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18A50A35" w14:textId="77777777" w:rsidR="007E7472" w:rsidRDefault="00EC1269">
                <w:r>
                  <w:rPr>
                    <w:rFonts w:hint="eastAsia"/>
                  </w:rPr>
                  <w:t>其中：美元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0E854D07" w14:textId="77777777" w:rsidR="007E7472" w:rsidRDefault="00EC1269">
                <w:pPr>
                  <w:jc w:val="right"/>
                </w:pPr>
                <w:r>
                  <w:t>156,082</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2AE8BABE" w14:textId="77777777" w:rsidR="007E7472" w:rsidRDefault="00EC1269">
                <w:pPr>
                  <w:jc w:val="right"/>
                </w:pPr>
                <w:r>
                  <w:t>7.2258</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3D50E384" w14:textId="77777777" w:rsidR="007E7472" w:rsidRDefault="00EC1269">
                <w:pPr>
                  <w:jc w:val="right"/>
                </w:pPr>
                <w:r>
                  <w:t>1,127,817</w:t>
                </w:r>
              </w:p>
            </w:tc>
          </w:tr>
          <w:tr w:rsidR="007E7472" w14:paraId="3E0B4EEB"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043EF55E" w14:textId="77777777" w:rsidR="007E7472" w:rsidRDefault="00EC1269">
                <w:pPr>
                  <w:ind w:firstLineChars="300" w:firstLine="630"/>
                </w:pPr>
                <w:r>
                  <w:t>澳元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7E57B843" w14:textId="77777777" w:rsidR="007E7472" w:rsidRDefault="00EC1269">
                <w:pPr>
                  <w:jc w:val="right"/>
                </w:pPr>
                <w:r>
                  <w:t>31,295</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0644ED7C" w14:textId="77777777" w:rsidR="007E7472" w:rsidRDefault="00EC1269">
                <w:pPr>
                  <w:jc w:val="right"/>
                </w:pPr>
                <w:r>
                  <w:t>4.7992</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1D576D5D" w14:textId="77777777" w:rsidR="007E7472" w:rsidRDefault="00EC1269">
                <w:pPr>
                  <w:jc w:val="right"/>
                </w:pPr>
                <w:r>
                  <w:t>150,191</w:t>
                </w:r>
              </w:p>
            </w:tc>
          </w:tr>
          <w:tr w:rsidR="007E7472" w14:paraId="720506BC"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52DF67CF" w14:textId="4C51EBEC" w:rsidR="007E7472" w:rsidRDefault="00EC1269">
                <w:r>
                  <w:t xml:space="preserve">　　　</w:t>
                </w:r>
                <w:sdt>
                  <w:sdtPr>
                    <w:alias w:val="以外币核算的币种明细-币种名称"/>
                    <w:tag w:val="_GBC_21765b5e64364f62971250478e4ff572"/>
                    <w:id w:val="-1145736306"/>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6F3F93">
                      <w:t>加拿大元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5F9E5341" w14:textId="77777777" w:rsidR="007E7472" w:rsidRDefault="00EC1269">
                <w:pPr>
                  <w:jc w:val="right"/>
                </w:pPr>
                <w:r>
                  <w:t>14</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57ECC365" w14:textId="77777777" w:rsidR="007E7472" w:rsidRDefault="00EC1269">
                <w:pPr>
                  <w:jc w:val="right"/>
                </w:pPr>
                <w:r>
                  <w:t>5.4721</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3110F147" w14:textId="77777777" w:rsidR="007E7472" w:rsidRDefault="00EC1269">
                <w:pPr>
                  <w:jc w:val="right"/>
                </w:pPr>
                <w:r>
                  <w:t>77</w:t>
                </w:r>
              </w:p>
            </w:tc>
          </w:tr>
          <w:tr w:rsidR="007E7472" w14:paraId="4DC4CE40"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45E04140" w14:textId="77777777" w:rsidR="007E7472" w:rsidRDefault="00EC1269">
                <w:pPr>
                  <w:ind w:firstLineChars="300" w:firstLine="630"/>
                </w:pPr>
                <w:r>
                  <w:t>港币</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4733FDE8" w14:textId="77777777" w:rsidR="007E7472" w:rsidRDefault="00EC1269">
                <w:pPr>
                  <w:jc w:val="right"/>
                </w:pPr>
                <w:r>
                  <w:t>267</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30A075F7" w14:textId="77777777" w:rsidR="007E7472" w:rsidRDefault="00EC1269">
                <w:pPr>
                  <w:jc w:val="right"/>
                </w:pPr>
                <w:r>
                  <w:t>0.9220</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16DA3F8D" w14:textId="77777777" w:rsidR="007E7472" w:rsidRDefault="00EC1269">
                <w:pPr>
                  <w:jc w:val="right"/>
                </w:pPr>
                <w:r>
                  <w:t>246</w:t>
                </w:r>
              </w:p>
            </w:tc>
          </w:tr>
          <w:tr w:rsidR="007E7472" w14:paraId="4248248F"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122958C6" w14:textId="77777777" w:rsidR="007E7472" w:rsidRDefault="00EC1269">
                <w:pPr>
                  <w:ind w:firstLineChars="300" w:firstLine="630"/>
                </w:pPr>
                <w:r>
                  <w:t>欧元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573F7081" w14:textId="77777777" w:rsidR="007E7472" w:rsidRDefault="00EC1269">
                <w:pPr>
                  <w:jc w:val="right"/>
                </w:pPr>
                <w:r>
                  <w:t>134</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37CBF721" w14:textId="77777777" w:rsidR="007E7472" w:rsidRDefault="00EC1269">
                <w:pPr>
                  <w:jc w:val="right"/>
                </w:pPr>
                <w:r>
                  <w:t>7.8771</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26D486E7" w14:textId="77777777" w:rsidR="007E7472" w:rsidRDefault="00EC1269">
                <w:pPr>
                  <w:jc w:val="right"/>
                </w:pPr>
                <w:r>
                  <w:t>1,056</w:t>
                </w:r>
              </w:p>
            </w:tc>
          </w:tr>
          <w:tr w:rsidR="007E7472" w14:paraId="1B59331B"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64AF5737" w14:textId="77777777" w:rsidR="007E7472" w:rsidRDefault="00EC1269">
                <w:r>
                  <w:rPr>
                    <w:rFonts w:hint="eastAsia"/>
                  </w:rPr>
                  <w:t>一年内到期的非流动资产</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35B1CDF2" w14:textId="77777777" w:rsidR="007E7472" w:rsidRDefault="00C8327E">
                <w:pPr>
                  <w:jc w:val="right"/>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01368526" w14:textId="77777777" w:rsidR="007E7472" w:rsidRDefault="00C8327E">
                <w:pPr>
                  <w:jc w:val="right"/>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239EBA2E" w14:textId="77777777" w:rsidR="007E7472" w:rsidRDefault="00C8327E">
                <w:pPr>
                  <w:jc w:val="right"/>
                </w:pPr>
              </w:p>
            </w:tc>
          </w:tr>
          <w:tr w:rsidR="007E7472" w14:paraId="705A4B80"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480A6139" w14:textId="77777777" w:rsidR="007E7472" w:rsidRDefault="00EC1269">
                <w:r>
                  <w:rPr>
                    <w:rFonts w:hint="eastAsia"/>
                  </w:rPr>
                  <w:t>其中：美元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514091B3" w14:textId="77777777" w:rsidR="007E7472" w:rsidRDefault="00EC1269">
                <w:pPr>
                  <w:jc w:val="right"/>
                </w:pPr>
                <w:r>
                  <w:t>2,455</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352254D9" w14:textId="77777777" w:rsidR="007E7472" w:rsidRDefault="00EC1269">
                <w:pPr>
                  <w:jc w:val="right"/>
                </w:pPr>
                <w:r>
                  <w:t>7.2258</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011DD3FD" w14:textId="77777777" w:rsidR="007E7472" w:rsidRDefault="00EC1269">
                <w:pPr>
                  <w:jc w:val="right"/>
                </w:pPr>
                <w:r>
                  <w:t>17,739</w:t>
                </w:r>
              </w:p>
            </w:tc>
          </w:tr>
          <w:tr w:rsidR="007E7472" w14:paraId="26975C33"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530F6F5A" w14:textId="77777777" w:rsidR="007E7472" w:rsidRDefault="00EC1269">
                <w:r>
                  <w:rPr>
                    <w:rFonts w:hint="eastAsia"/>
                  </w:rPr>
                  <w:t>长期应收款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122FACD6" w14:textId="77777777" w:rsidR="007E7472" w:rsidRDefault="00C8327E">
                <w:pPr>
                  <w:jc w:val="right"/>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4A0638C0" w14:textId="77777777" w:rsidR="007E7472" w:rsidRDefault="00C8327E">
                <w:pPr>
                  <w:jc w:val="right"/>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6BBC01A1" w14:textId="77777777" w:rsidR="007E7472" w:rsidRDefault="00C8327E">
                <w:pPr>
                  <w:jc w:val="right"/>
                </w:pPr>
              </w:p>
            </w:tc>
          </w:tr>
          <w:tr w:rsidR="007E7472" w14:paraId="4CA87AB0"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17B8DAC9" w14:textId="77777777" w:rsidR="007E7472" w:rsidRDefault="00EC1269">
                <w:r>
                  <w:rPr>
                    <w:rFonts w:hint="eastAsia"/>
                  </w:rPr>
                  <w:t>其中：美元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29AE04B9" w14:textId="77777777" w:rsidR="007E7472" w:rsidRDefault="00EC1269">
                <w:pPr>
                  <w:jc w:val="right"/>
                </w:pPr>
                <w:r>
                  <w:t>41,056</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13F7ED6C" w14:textId="77777777" w:rsidR="007E7472" w:rsidRDefault="00EC1269">
                <w:pPr>
                  <w:jc w:val="right"/>
                </w:pPr>
                <w:r>
                  <w:t>7.2258</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295C1543" w14:textId="77777777" w:rsidR="007E7472" w:rsidRDefault="00EC1269">
                <w:pPr>
                  <w:jc w:val="right"/>
                </w:pPr>
                <w:r>
                  <w:t>296,662</w:t>
                </w:r>
              </w:p>
            </w:tc>
          </w:tr>
          <w:tr w:rsidR="007E7472" w14:paraId="20CADB95"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7677997C" w14:textId="68DECF1E" w:rsidR="007E7472" w:rsidRDefault="00EC1269">
                <w:r>
                  <w:t xml:space="preserve">　　　</w:t>
                </w:r>
                <w:sdt>
                  <w:sdtPr>
                    <w:rPr>
                      <w:rFonts w:hint="eastAsia"/>
                    </w:rPr>
                    <w:alias w:val="以外币核算的币种明细-币种名称"/>
                    <w:tag w:val="_GBC_21765b5e64364f62971250478e4ff572"/>
                    <w:id w:val="1934165206"/>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6F3F93">
                      <w:rPr>
                        <w:rFonts w:hint="eastAsia"/>
                      </w:rPr>
                      <w:t>澳元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65482B4C" w14:textId="77777777" w:rsidR="007E7472" w:rsidRDefault="00EC1269">
                <w:pPr>
                  <w:jc w:val="right"/>
                </w:pPr>
                <w:r>
                  <w:t>6,930</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1CB1E930" w14:textId="77777777" w:rsidR="007E7472" w:rsidRDefault="00EC1269">
                <w:pPr>
                  <w:jc w:val="right"/>
                </w:pPr>
                <w:r>
                  <w:t>4.7992</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704BA376" w14:textId="77777777" w:rsidR="007E7472" w:rsidRDefault="00EC1269">
                <w:pPr>
                  <w:jc w:val="right"/>
                </w:pPr>
                <w:r>
                  <w:t>33,258</w:t>
                </w:r>
              </w:p>
            </w:tc>
          </w:tr>
          <w:tr w:rsidR="007E7472" w14:paraId="1B186C23"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2156A465" w14:textId="77777777" w:rsidR="007E7472" w:rsidRDefault="00EC1269">
                <w:r>
                  <w:rPr>
                    <w:rFonts w:hint="eastAsia"/>
                  </w:rPr>
                  <w:t>其他流动资产</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13ED7230" w14:textId="77777777" w:rsidR="007E7472" w:rsidRDefault="00C8327E">
                <w:pPr>
                  <w:jc w:val="right"/>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17425775" w14:textId="77777777" w:rsidR="007E7472" w:rsidRDefault="00C8327E">
                <w:pPr>
                  <w:jc w:val="right"/>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6721E9EF" w14:textId="77777777" w:rsidR="007E7472" w:rsidRDefault="00C8327E">
                <w:pPr>
                  <w:jc w:val="right"/>
                </w:pPr>
              </w:p>
            </w:tc>
          </w:tr>
          <w:tr w:rsidR="007E7472" w14:paraId="14B5E94D"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12F94D4A" w14:textId="77777777" w:rsidR="007E7472" w:rsidRDefault="00EC1269">
                <w:r>
                  <w:rPr>
                    <w:rFonts w:hint="eastAsia"/>
                  </w:rPr>
                  <w:t>其中：澳元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0116C9CE" w14:textId="77777777" w:rsidR="007E7472" w:rsidRDefault="00EC1269">
                <w:pPr>
                  <w:jc w:val="right"/>
                </w:pPr>
                <w:r>
                  <w:t>32,040</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6248A6F8" w14:textId="77777777" w:rsidR="007E7472" w:rsidRDefault="00EC1269">
                <w:pPr>
                  <w:jc w:val="right"/>
                </w:pPr>
                <w:r>
                  <w:t>4.7992</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183A6EB6" w14:textId="77777777" w:rsidR="007E7472" w:rsidRDefault="00EC1269">
                <w:pPr>
                  <w:jc w:val="right"/>
                </w:pPr>
                <w:r>
                  <w:t>153,766</w:t>
                </w:r>
              </w:p>
            </w:tc>
          </w:tr>
          <w:tr w:rsidR="007E7472" w14:paraId="55807095"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21C3F6C2" w14:textId="77777777" w:rsidR="007E7472" w:rsidRDefault="00EC1269">
                <w:r>
                  <w:rPr>
                    <w:rFonts w:hint="eastAsia"/>
                  </w:rPr>
                  <w:t>其他非流动资产</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75DE2466" w14:textId="77777777" w:rsidR="007E7472" w:rsidRDefault="00C8327E">
                <w:pPr>
                  <w:jc w:val="right"/>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66275889" w14:textId="77777777" w:rsidR="007E7472" w:rsidRDefault="00C8327E">
                <w:pPr>
                  <w:jc w:val="right"/>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0E7C66CD" w14:textId="77777777" w:rsidR="007E7472" w:rsidRDefault="00C8327E">
                <w:pPr>
                  <w:jc w:val="right"/>
                </w:pPr>
              </w:p>
            </w:tc>
          </w:tr>
          <w:tr w:rsidR="007E7472" w14:paraId="1B16A3AB"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3B6BE11E" w14:textId="77777777" w:rsidR="007E7472" w:rsidRDefault="00EC1269">
                <w:r>
                  <w:rPr>
                    <w:rFonts w:hint="eastAsia"/>
                  </w:rPr>
                  <w:t>其中：澳元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34A7FF56" w14:textId="77777777" w:rsidR="007E7472" w:rsidRDefault="00EC1269">
                <w:pPr>
                  <w:jc w:val="right"/>
                </w:pPr>
                <w:r>
                  <w:t>90,175</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2BFB4C01" w14:textId="77777777" w:rsidR="007E7472" w:rsidRDefault="00EC1269">
                <w:pPr>
                  <w:jc w:val="right"/>
                </w:pPr>
                <w:r>
                  <w:t>4.7992</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629F79F5" w14:textId="77777777" w:rsidR="007E7472" w:rsidRDefault="00EC1269">
                <w:pPr>
                  <w:jc w:val="right"/>
                </w:pPr>
                <w:r>
                  <w:t>432,768</w:t>
                </w:r>
              </w:p>
            </w:tc>
          </w:tr>
          <w:tr w:rsidR="007E7472" w14:paraId="5B4C82BC"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4E918DAB" w14:textId="77777777" w:rsidR="007E7472" w:rsidRDefault="00EC1269">
                <w:r>
                  <w:rPr>
                    <w:rFonts w:hint="eastAsia"/>
                  </w:rPr>
                  <w:t>应付账款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40F4BBF4" w14:textId="77777777" w:rsidR="007E7472" w:rsidRDefault="00C8327E">
                <w:pPr>
                  <w:jc w:val="right"/>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07DB4986" w14:textId="77777777" w:rsidR="007E7472" w:rsidRDefault="00C8327E">
                <w:pPr>
                  <w:jc w:val="right"/>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02A050E8" w14:textId="77777777" w:rsidR="007E7472" w:rsidRDefault="00C8327E">
                <w:pPr>
                  <w:jc w:val="right"/>
                </w:pPr>
              </w:p>
            </w:tc>
          </w:tr>
          <w:tr w:rsidR="007E7472" w14:paraId="2084C720"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214057D1" w14:textId="77777777" w:rsidR="007E7472" w:rsidRDefault="00EC1269">
                <w:r>
                  <w:rPr>
                    <w:rFonts w:hint="eastAsia"/>
                  </w:rPr>
                  <w:t>其中：美元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3C75BE86" w14:textId="77777777" w:rsidR="007E7472" w:rsidRDefault="00EC1269">
                <w:pPr>
                  <w:jc w:val="right"/>
                </w:pPr>
                <w:r>
                  <w:t>34,899</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0C1AED1B" w14:textId="77777777" w:rsidR="007E7472" w:rsidRDefault="00EC1269">
                <w:pPr>
                  <w:jc w:val="right"/>
                </w:pPr>
                <w:r>
                  <w:t>7.2258</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0006D0CC" w14:textId="77777777" w:rsidR="007E7472" w:rsidRDefault="00EC1269">
                <w:pPr>
                  <w:jc w:val="right"/>
                </w:pPr>
                <w:r>
                  <w:t>252,173</w:t>
                </w:r>
              </w:p>
            </w:tc>
          </w:tr>
          <w:tr w:rsidR="007E7472" w14:paraId="0A4C6CD6"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20D7E621" w14:textId="63E0227D" w:rsidR="007E7472" w:rsidRDefault="00EC1269">
                <w:r>
                  <w:t xml:space="preserve">　　　</w:t>
                </w:r>
                <w:sdt>
                  <w:sdtPr>
                    <w:rPr>
                      <w:rFonts w:hint="eastAsia"/>
                    </w:rPr>
                    <w:alias w:val="以外币核算的币种明细-币种名称"/>
                    <w:tag w:val="_GBC_21765b5e64364f62971250478e4ff572"/>
                    <w:id w:val="-639500881"/>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6F3F93">
                      <w:rPr>
                        <w:rFonts w:hint="eastAsia"/>
                      </w:rPr>
                      <w:t>澳元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15A43664" w14:textId="77777777" w:rsidR="007E7472" w:rsidRDefault="00EC1269">
                <w:pPr>
                  <w:jc w:val="right"/>
                </w:pPr>
                <w:r>
                  <w:t>578,951</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57C748DC" w14:textId="77777777" w:rsidR="007E7472" w:rsidRDefault="00EC1269">
                <w:pPr>
                  <w:jc w:val="right"/>
                </w:pPr>
                <w:r>
                  <w:t>4.7992</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1342F20C" w14:textId="77777777" w:rsidR="007E7472" w:rsidRDefault="00EC1269">
                <w:pPr>
                  <w:jc w:val="right"/>
                </w:pPr>
                <w:r>
                  <w:t>2,778,502</w:t>
                </w:r>
              </w:p>
            </w:tc>
          </w:tr>
          <w:tr w:rsidR="007E7472" w14:paraId="19418C62"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30F8033E" w14:textId="77777777" w:rsidR="007E7472" w:rsidRDefault="00EC1269">
                <w:r>
                  <w:rPr>
                    <w:rFonts w:hint="eastAsia"/>
                  </w:rPr>
                  <w:t>其他应付款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35A12F86" w14:textId="77777777" w:rsidR="007E7472" w:rsidRDefault="00C8327E">
                <w:pPr>
                  <w:jc w:val="right"/>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03A904E5" w14:textId="77777777" w:rsidR="007E7472" w:rsidRDefault="00C8327E">
                <w:pPr>
                  <w:jc w:val="right"/>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062D772C" w14:textId="77777777" w:rsidR="007E7472" w:rsidRDefault="00C8327E">
                <w:pPr>
                  <w:jc w:val="right"/>
                </w:pPr>
              </w:p>
            </w:tc>
          </w:tr>
          <w:tr w:rsidR="007E7472" w14:paraId="12F93628"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02B34454" w14:textId="77777777" w:rsidR="007E7472" w:rsidRDefault="00EC1269">
                <w:r>
                  <w:rPr>
                    <w:rFonts w:hint="eastAsia"/>
                  </w:rPr>
                  <w:t>其中：美元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3250EAE3" w14:textId="77777777" w:rsidR="007E7472" w:rsidRDefault="00EC1269">
                <w:pPr>
                  <w:jc w:val="right"/>
                </w:pPr>
                <w:r>
                  <w:t>2,929</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654FCBEC" w14:textId="77777777" w:rsidR="007E7472" w:rsidRDefault="00EC1269">
                <w:pPr>
                  <w:jc w:val="right"/>
                </w:pPr>
                <w:r>
                  <w:t>7.2258</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414F1C30" w14:textId="77777777" w:rsidR="007E7472" w:rsidRDefault="00EC1269">
                <w:pPr>
                  <w:jc w:val="right"/>
                </w:pPr>
                <w:r>
                  <w:t>21,164</w:t>
                </w:r>
              </w:p>
            </w:tc>
          </w:tr>
          <w:tr w:rsidR="007E7472" w14:paraId="2A7D2DEC"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7D9F5267" w14:textId="77777777" w:rsidR="007E7472" w:rsidRDefault="00EC1269">
                <w:pPr>
                  <w:ind w:firstLineChars="300" w:firstLine="630"/>
                </w:pPr>
                <w:r>
                  <w:rPr>
                    <w:rFonts w:hint="eastAsia"/>
                  </w:rPr>
                  <w:t>澳元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64292A42" w14:textId="77777777" w:rsidR="007E7472" w:rsidRDefault="00EC1269">
                <w:pPr>
                  <w:jc w:val="right"/>
                </w:pPr>
                <w:r>
                  <w:t>7,014</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1A471519" w14:textId="77777777" w:rsidR="007E7472" w:rsidRDefault="00EC1269">
                <w:pPr>
                  <w:jc w:val="right"/>
                </w:pPr>
                <w:r>
                  <w:t>4.7992</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340121DF" w14:textId="77777777" w:rsidR="007E7472" w:rsidRDefault="00EC1269">
                <w:pPr>
                  <w:jc w:val="right"/>
                </w:pPr>
                <w:r>
                  <w:t>33,662</w:t>
                </w:r>
              </w:p>
            </w:tc>
          </w:tr>
          <w:tr w:rsidR="007E7472" w14:paraId="119E3E75"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1F577C45" w14:textId="77777777" w:rsidR="007E7472" w:rsidRDefault="00EC1269">
                <w:pPr>
                  <w:ind w:firstLineChars="300" w:firstLine="630"/>
                </w:pPr>
                <w:r>
                  <w:rPr>
                    <w:rFonts w:hint="eastAsia"/>
                  </w:rPr>
                  <w:t>港币</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7A472C1E" w14:textId="77777777" w:rsidR="007E7472" w:rsidRDefault="00EC1269">
                <w:pPr>
                  <w:jc w:val="right"/>
                </w:pPr>
                <w:r>
                  <w:t>929</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17747EED" w14:textId="77777777" w:rsidR="007E7472" w:rsidRDefault="00EC1269">
                <w:pPr>
                  <w:jc w:val="right"/>
                </w:pPr>
                <w:r>
                  <w:t>0.9220</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6B35FFAB" w14:textId="77777777" w:rsidR="007E7472" w:rsidRDefault="00EC1269">
                <w:pPr>
                  <w:jc w:val="right"/>
                </w:pPr>
                <w:r>
                  <w:t>857</w:t>
                </w:r>
              </w:p>
            </w:tc>
          </w:tr>
          <w:tr w:rsidR="007E7472" w14:paraId="4392C272"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7ECEC160" w14:textId="77777777" w:rsidR="007E7472" w:rsidRDefault="00EC1269">
                <w:r>
                  <w:rPr>
                    <w:rFonts w:hint="eastAsia"/>
                  </w:rPr>
                  <w:t>一年内到期的非流动负债</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5CDD8CE3" w14:textId="77777777" w:rsidR="007E7472" w:rsidRDefault="00C8327E">
                <w:pPr>
                  <w:jc w:val="right"/>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3A72DAF9" w14:textId="77777777" w:rsidR="007E7472" w:rsidRDefault="00C8327E">
                <w:pPr>
                  <w:jc w:val="right"/>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63475B9F" w14:textId="77777777" w:rsidR="007E7472" w:rsidRDefault="00C8327E">
                <w:pPr>
                  <w:jc w:val="right"/>
                </w:pPr>
              </w:p>
            </w:tc>
          </w:tr>
          <w:tr w:rsidR="007E7472" w14:paraId="76D07451"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703A6787" w14:textId="77777777" w:rsidR="007E7472" w:rsidRDefault="00EC1269">
                <w:r>
                  <w:rPr>
                    <w:rFonts w:hint="eastAsia"/>
                  </w:rPr>
                  <w:t>其中：美元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0BA29743" w14:textId="77777777" w:rsidR="007E7472" w:rsidRDefault="00EC1269">
                <w:pPr>
                  <w:jc w:val="right"/>
                </w:pPr>
                <w:r>
                  <w:t>904,630</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7791AA7F" w14:textId="77777777" w:rsidR="007E7472" w:rsidRDefault="00EC1269">
                <w:pPr>
                  <w:jc w:val="right"/>
                </w:pPr>
                <w:r>
                  <w:t>7.2258</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2A46BD14" w14:textId="77777777" w:rsidR="007E7472" w:rsidRDefault="00EC1269">
                <w:pPr>
                  <w:jc w:val="right"/>
                </w:pPr>
                <w:r>
                  <w:t>6,536,675</w:t>
                </w:r>
              </w:p>
            </w:tc>
          </w:tr>
          <w:tr w:rsidR="007E7472" w14:paraId="4262C59F"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360B2F47" w14:textId="77777777" w:rsidR="007E7472" w:rsidRDefault="00EC1269">
                <w:pPr>
                  <w:ind w:firstLineChars="300" w:firstLine="630"/>
                </w:pPr>
                <w:r>
                  <w:rPr>
                    <w:rFonts w:hint="eastAsia"/>
                  </w:rPr>
                  <w:t>澳元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66218757" w14:textId="77777777" w:rsidR="007E7472" w:rsidRDefault="00EC1269">
                <w:pPr>
                  <w:jc w:val="right"/>
                </w:pPr>
                <w:r>
                  <w:t>83,855</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2F51F890" w14:textId="77777777" w:rsidR="007E7472" w:rsidRDefault="00EC1269">
                <w:pPr>
                  <w:jc w:val="right"/>
                </w:pPr>
                <w:r>
                  <w:t>4.7992</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76B96BA0" w14:textId="77777777" w:rsidR="007E7472" w:rsidRDefault="00EC1269">
                <w:pPr>
                  <w:jc w:val="right"/>
                </w:pPr>
                <w:r>
                  <w:t>402,437</w:t>
                </w:r>
              </w:p>
            </w:tc>
          </w:tr>
          <w:tr w:rsidR="007E7472" w14:paraId="1484FB40"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62443F33" w14:textId="77777777" w:rsidR="007E7472" w:rsidRDefault="00EC1269">
                <w:r>
                  <w:rPr>
                    <w:rFonts w:hint="eastAsia"/>
                  </w:rPr>
                  <w:t>短期借款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6F396A94" w14:textId="77777777" w:rsidR="007E7472" w:rsidRDefault="00C8327E">
                <w:pPr>
                  <w:jc w:val="right"/>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08BAB4EB" w14:textId="77777777" w:rsidR="007E7472" w:rsidRDefault="00C8327E">
                <w:pPr>
                  <w:jc w:val="right"/>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7DBB464D" w14:textId="77777777" w:rsidR="007E7472" w:rsidRDefault="00C8327E">
                <w:pPr>
                  <w:jc w:val="right"/>
                </w:pPr>
              </w:p>
            </w:tc>
          </w:tr>
          <w:tr w:rsidR="007E7472" w14:paraId="36AD79D4"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4CA782B7" w14:textId="77777777" w:rsidR="007E7472" w:rsidRDefault="00EC1269">
                <w:r>
                  <w:rPr>
                    <w:rFonts w:hint="eastAsia"/>
                  </w:rPr>
                  <w:t>其中：美元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514E96B9" w14:textId="77777777" w:rsidR="007E7472" w:rsidRDefault="00EC1269">
                <w:pPr>
                  <w:jc w:val="right"/>
                </w:pPr>
                <w:r>
                  <w:t>94,859</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4EF914CB" w14:textId="77777777" w:rsidR="007E7472" w:rsidRDefault="00EC1269">
                <w:pPr>
                  <w:jc w:val="right"/>
                </w:pPr>
                <w:r>
                  <w:t>7.2258</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449F8491" w14:textId="77777777" w:rsidR="007E7472" w:rsidRDefault="00EC1269">
                <w:pPr>
                  <w:jc w:val="right"/>
                </w:pPr>
                <w:r>
                  <w:t>685,432</w:t>
                </w:r>
              </w:p>
            </w:tc>
          </w:tr>
          <w:tr w:rsidR="007E7472" w14:paraId="4BB10D8C"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38279AF9" w14:textId="77777777" w:rsidR="007E7472" w:rsidRDefault="00EC1269">
                <w:r>
                  <w:t>长期借款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62711DF1" w14:textId="77777777" w:rsidR="007E7472" w:rsidRDefault="00C8327E">
                <w:pPr>
                  <w:jc w:val="right"/>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28969E70" w14:textId="77777777" w:rsidR="007E7472" w:rsidRDefault="00C8327E">
                <w:pPr>
                  <w:jc w:val="right"/>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3548FA24" w14:textId="77777777" w:rsidR="007E7472" w:rsidRDefault="00C8327E">
                <w:pPr>
                  <w:jc w:val="right"/>
                </w:pPr>
              </w:p>
            </w:tc>
          </w:tr>
          <w:tr w:rsidR="007E7472" w14:paraId="69756FC5"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62617EDC" w14:textId="7ACAECA6" w:rsidR="007E7472" w:rsidRDefault="00EC1269">
                <w:r>
                  <w:rPr>
                    <w:rFonts w:hint="eastAsia"/>
                  </w:rPr>
                  <w:t>其中：</w:t>
                </w:r>
                <w:sdt>
                  <w:sdtPr>
                    <w:alias w:val="以外币核算的币种明细-币种名称"/>
                    <w:tag w:val="_GBC_21765b5e64364f62971250478e4ff572"/>
                    <w:id w:val="-1584365489"/>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6F3F93">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514CB74E" w14:textId="77777777" w:rsidR="007E7472" w:rsidRDefault="00EC1269">
                <w:pPr>
                  <w:jc w:val="right"/>
                </w:pPr>
                <w:r>
                  <w:t>250,000</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07210F12" w14:textId="77777777" w:rsidR="007E7472" w:rsidRDefault="00EC1269">
                <w:pPr>
                  <w:jc w:val="right"/>
                </w:pPr>
                <w:r>
                  <w:t>7.2258</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1A4BCFF3" w14:textId="77777777" w:rsidR="007E7472" w:rsidRDefault="00EC1269">
                <w:pPr>
                  <w:jc w:val="right"/>
                </w:pPr>
                <w:r>
                  <w:t>1,806,450</w:t>
                </w:r>
              </w:p>
            </w:tc>
          </w:tr>
          <w:tr w:rsidR="007E7472" w14:paraId="1FD3A706"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594DD83E" w14:textId="53D808EE" w:rsidR="007E7472" w:rsidRDefault="00EC1269">
                <w:r>
                  <w:t xml:space="preserve">　　　</w:t>
                </w:r>
                <w:sdt>
                  <w:sdtPr>
                    <w:rPr>
                      <w:rFonts w:hint="eastAsia"/>
                    </w:rPr>
                    <w:alias w:val="以外币核算的币种明细-币种名称"/>
                    <w:tag w:val="_GBC_21765b5e64364f62971250478e4ff572"/>
                    <w:id w:val="-1083296576"/>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6F3F93">
                      <w:rPr>
                        <w:rFonts w:hint="eastAsia"/>
                      </w:rPr>
                      <w:t>澳元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1A6DB025" w14:textId="77777777" w:rsidR="007E7472" w:rsidRDefault="00EC1269">
                <w:pPr>
                  <w:jc w:val="right"/>
                </w:pPr>
                <w:r>
                  <w:t>32</w:t>
                </w:r>
                <w:r>
                  <w:rPr>
                    <w:rFonts w:hint="eastAsia"/>
                  </w:rPr>
                  <w:t>,</w:t>
                </w:r>
                <w:r>
                  <w:t>492</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7D0B4B50" w14:textId="77777777" w:rsidR="007E7472" w:rsidRDefault="00EC1269">
                <w:pPr>
                  <w:jc w:val="right"/>
                </w:pPr>
                <w:r>
                  <w:t>4.7992</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35552E08" w14:textId="77777777" w:rsidR="007E7472" w:rsidRDefault="00EC1269">
                <w:pPr>
                  <w:jc w:val="right"/>
                </w:pPr>
                <w:r>
                  <w:t>155,938</w:t>
                </w:r>
              </w:p>
            </w:tc>
          </w:tr>
          <w:tr w:rsidR="007E7472" w14:paraId="1070D073"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15BB5AE9" w14:textId="77777777" w:rsidR="007E7472" w:rsidRDefault="00EC1269">
                <w:r>
                  <w:rPr>
                    <w:rFonts w:hint="eastAsia"/>
                  </w:rPr>
                  <w:t>应付债券</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4F9B6C4B" w14:textId="77777777" w:rsidR="007E7472" w:rsidRDefault="00C8327E">
                <w:pPr>
                  <w:jc w:val="right"/>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1896564F" w14:textId="77777777" w:rsidR="007E7472" w:rsidRDefault="00C8327E">
                <w:pPr>
                  <w:jc w:val="right"/>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5A79DF1A" w14:textId="77777777" w:rsidR="007E7472" w:rsidRDefault="00C8327E">
                <w:pPr>
                  <w:jc w:val="right"/>
                </w:pPr>
              </w:p>
            </w:tc>
          </w:tr>
          <w:tr w:rsidR="007E7472" w14:paraId="6E8AD3E7"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52F983BF" w14:textId="1EC32977" w:rsidR="007E7472" w:rsidRDefault="00EC1269">
                <w:r>
                  <w:rPr>
                    <w:rFonts w:hint="eastAsia"/>
                  </w:rPr>
                  <w:t>其中：</w:t>
                </w:r>
                <w:sdt>
                  <w:sdtPr>
                    <w:alias w:val="以外币核算的币种明细-币种名称"/>
                    <w:tag w:val="_GBC_21765b5e64364f62971250478e4ff572"/>
                    <w:id w:val="-266072804"/>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6F3F93">
                      <w:t>美元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49402A86" w14:textId="04788002" w:rsidR="007E7472" w:rsidRDefault="00EC1269">
                <w:pPr>
                  <w:jc w:val="right"/>
                </w:pPr>
                <w:r>
                  <w:t>2</w:t>
                </w:r>
                <w:r w:rsidR="00913748">
                  <w:t>98</w:t>
                </w:r>
                <w:r>
                  <w:t>,342</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3DAC4559" w14:textId="77777777" w:rsidR="007E7472" w:rsidRDefault="00EC1269">
                <w:pPr>
                  <w:jc w:val="right"/>
                </w:pPr>
                <w:r>
                  <w:t>7.2258</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14ED4C0A" w14:textId="77777777" w:rsidR="007E7472" w:rsidRDefault="00EC1269">
                <w:pPr>
                  <w:jc w:val="right"/>
                </w:pPr>
                <w:r>
                  <w:t>2,155,760</w:t>
                </w:r>
              </w:p>
            </w:tc>
          </w:tr>
          <w:tr w:rsidR="007E7472" w14:paraId="25279C59"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5EF02E91" w14:textId="77777777" w:rsidR="007E7472" w:rsidRDefault="00EC1269">
                <w:r>
                  <w:rPr>
                    <w:rFonts w:hint="eastAsia"/>
                  </w:rPr>
                  <w:t>租赁负债</w:t>
                </w:r>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3F374F03" w14:textId="77777777" w:rsidR="007E7472" w:rsidRDefault="00C8327E">
                <w:pPr>
                  <w:jc w:val="right"/>
                </w:pP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47DEF3DE" w14:textId="77777777" w:rsidR="007E7472" w:rsidRDefault="00C8327E">
                <w:pPr>
                  <w:jc w:val="right"/>
                </w:pP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4F3E53F4" w14:textId="77777777" w:rsidR="007E7472" w:rsidRDefault="00C8327E">
                <w:pPr>
                  <w:jc w:val="right"/>
                </w:pPr>
              </w:p>
            </w:tc>
          </w:tr>
          <w:tr w:rsidR="007E7472" w14:paraId="4CE6B117" w14:textId="77777777">
            <w:tc>
              <w:tcPr>
                <w:tcW w:w="1601" w:type="pct"/>
                <w:tcBorders>
                  <w:top w:val="single" w:sz="4" w:space="0" w:color="auto"/>
                  <w:left w:val="single" w:sz="4" w:space="0" w:color="auto"/>
                  <w:bottom w:val="single" w:sz="4" w:space="0" w:color="auto"/>
                  <w:right w:val="single" w:sz="4" w:space="0" w:color="auto"/>
                </w:tcBorders>
                <w:shd w:val="clear" w:color="auto" w:fill="auto"/>
              </w:tcPr>
              <w:p w14:paraId="7BA5BA9A" w14:textId="38112185" w:rsidR="007E7472" w:rsidRDefault="00EC1269">
                <w:r>
                  <w:rPr>
                    <w:rFonts w:hint="eastAsia"/>
                  </w:rPr>
                  <w:t>其中：</w:t>
                </w:r>
                <w:sdt>
                  <w:sdtPr>
                    <w:rPr>
                      <w:rFonts w:hint="eastAsia"/>
                    </w:rPr>
                    <w:alias w:val="以外币核算的币种明细-币种名称"/>
                    <w:tag w:val="_GBC_21765b5e64364f62971250478e4ff572"/>
                    <w:id w:val="950203558"/>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sdtContent>
                    <w:r w:rsidR="006F3F93">
                      <w:rPr>
                        <w:rFonts w:hint="eastAsia"/>
                      </w:rPr>
                      <w:t>澳元</w:t>
                    </w:r>
                  </w:sdtContent>
                </w:sdt>
              </w:p>
            </w:tc>
            <w:tc>
              <w:tcPr>
                <w:tcW w:w="1132" w:type="pct"/>
                <w:tcBorders>
                  <w:top w:val="single" w:sz="4" w:space="0" w:color="auto"/>
                  <w:left w:val="single" w:sz="4" w:space="0" w:color="auto"/>
                  <w:bottom w:val="single" w:sz="4" w:space="0" w:color="auto"/>
                  <w:right w:val="single" w:sz="4" w:space="0" w:color="auto"/>
                </w:tcBorders>
                <w:shd w:val="clear" w:color="auto" w:fill="auto"/>
              </w:tcPr>
              <w:p w14:paraId="1FF48F99" w14:textId="77777777" w:rsidR="007E7472" w:rsidRDefault="00EC1269">
                <w:pPr>
                  <w:jc w:val="right"/>
                </w:pPr>
                <w:r>
                  <w:t>64,274</w:t>
                </w:r>
              </w:p>
            </w:tc>
            <w:tc>
              <w:tcPr>
                <w:tcW w:w="1137" w:type="pct"/>
                <w:tcBorders>
                  <w:top w:val="single" w:sz="4" w:space="0" w:color="auto"/>
                  <w:left w:val="single" w:sz="4" w:space="0" w:color="auto"/>
                  <w:bottom w:val="single" w:sz="4" w:space="0" w:color="auto"/>
                  <w:right w:val="single" w:sz="4" w:space="0" w:color="auto"/>
                </w:tcBorders>
                <w:shd w:val="clear" w:color="auto" w:fill="auto"/>
              </w:tcPr>
              <w:p w14:paraId="0435988F" w14:textId="77777777" w:rsidR="007E7472" w:rsidRDefault="00EC1269">
                <w:pPr>
                  <w:jc w:val="right"/>
                </w:pPr>
                <w:r>
                  <w:t>4.7992</w:t>
                </w:r>
              </w:p>
            </w:tc>
            <w:tc>
              <w:tcPr>
                <w:tcW w:w="1130" w:type="pct"/>
                <w:tcBorders>
                  <w:top w:val="single" w:sz="4" w:space="0" w:color="auto"/>
                  <w:left w:val="single" w:sz="4" w:space="0" w:color="auto"/>
                  <w:bottom w:val="single" w:sz="4" w:space="0" w:color="auto"/>
                  <w:right w:val="single" w:sz="4" w:space="0" w:color="auto"/>
                </w:tcBorders>
                <w:shd w:val="clear" w:color="auto" w:fill="auto"/>
              </w:tcPr>
              <w:p w14:paraId="172A4D5D" w14:textId="77777777" w:rsidR="007E7472" w:rsidRDefault="00EC1269">
                <w:pPr>
                  <w:jc w:val="right"/>
                </w:pPr>
                <w:r>
                  <w:t>308,464</w:t>
                </w:r>
              </w:p>
            </w:tc>
          </w:tr>
        </w:tbl>
        <w:p w14:paraId="4924A40F" w14:textId="77777777" w:rsidR="007E7472" w:rsidRDefault="00C8327E"/>
        <w:p w14:paraId="1DB6B216" w14:textId="77777777" w:rsidR="007E7472" w:rsidRDefault="00EC1269" w:rsidP="00162493">
          <w:pPr>
            <w:numPr>
              <w:ilvl w:val="0"/>
              <w:numId w:val="98"/>
            </w:numPr>
            <w:tabs>
              <w:tab w:val="left" w:pos="700"/>
            </w:tabs>
            <w:spacing w:before="60" w:after="60"/>
            <w:rPr>
              <w:b/>
            </w:rPr>
          </w:pPr>
          <w:r w:rsidRPr="00A23CC7">
            <w:rPr>
              <w:rFonts w:hint="eastAsia"/>
              <w:b/>
            </w:rPr>
            <w:lastRenderedPageBreak/>
            <w:t>境外</w:t>
          </w:r>
          <w:r>
            <w:rPr>
              <w:rFonts w:hint="eastAsia"/>
              <w:b/>
            </w:rPr>
            <w:t>经营实体说明，包括对于重要的境外经营实体，应披露其境外主要经营地、记账本位币及选择依据，记账本位币发生变化的还应披露原因</w:t>
          </w:r>
        </w:p>
        <w:p w14:paraId="04DAB948" w14:textId="77777777" w:rsidR="007E7472" w:rsidRDefault="00C8327E">
          <w:sdt>
            <w:sdtPr>
              <w:alias w:val="是否适用：境外经营实体主要报表项目的折算汇率[双击切换]"/>
              <w:tag w:val="_GBC_4ad16f5c306d4c6ead144dfd007fb925"/>
              <w:id w:val="-300310066"/>
              <w:lock w:val="sdtLocked"/>
              <w:placeholder>
                <w:docPart w:val="GBC22222222222222222222222222222"/>
              </w:placeholder>
            </w:sdtPr>
            <w:sdtEndPr/>
            <w:sdtContent>
              <w:r w:rsidR="00EC1269">
                <w:rPr>
                  <w:rFonts w:asciiTheme="minorEastAsia" w:eastAsiaTheme="minorEastAsia" w:hAnsiTheme="minorEastAsia"/>
                </w:rPr>
                <w:fldChar w:fldCharType="begin"/>
              </w:r>
              <w:r w:rsidR="00EC1269">
                <w:rPr>
                  <w:rFonts w:asciiTheme="minorEastAsia" w:eastAsiaTheme="minorEastAsia" w:hAnsiTheme="minorEastAsia"/>
                </w:rPr>
                <w:instrText xml:space="preserve"> MACROBUTTON  SnrToggleCheckbox √适用 </w:instrText>
              </w:r>
              <w:r w:rsidR="00EC1269">
                <w:rPr>
                  <w:rFonts w:asciiTheme="minorEastAsia" w:eastAsiaTheme="minorEastAsia" w:hAnsiTheme="minorEastAsia"/>
                </w:rPr>
                <w:fldChar w:fldCharType="end"/>
              </w:r>
              <w:r w:rsidR="00EC1269">
                <w:rPr>
                  <w:rFonts w:asciiTheme="minorEastAsia" w:eastAsiaTheme="minorEastAsia" w:hAnsiTheme="minorEastAsia"/>
                </w:rPr>
                <w:fldChar w:fldCharType="begin"/>
              </w:r>
              <w:r w:rsidR="00EC1269">
                <w:rPr>
                  <w:rFonts w:asciiTheme="minorEastAsia" w:eastAsiaTheme="minorEastAsia" w:hAnsiTheme="minorEastAsia"/>
                </w:rPr>
                <w:instrText xml:space="preserve"> MACROBUTTON  SnrToggleCheckbox □不适用 </w:instrText>
              </w:r>
              <w:r w:rsidR="00EC1269">
                <w:rPr>
                  <w:rFonts w:asciiTheme="minorEastAsia" w:eastAsiaTheme="minorEastAsia" w:hAnsiTheme="minorEastAsia"/>
                </w:rPr>
                <w:fldChar w:fldCharType="end"/>
              </w:r>
            </w:sdtContent>
          </w:sdt>
        </w:p>
        <w:sdt>
          <w:sdtPr>
            <w:alias w:val="境外经营实体主要报表项目的折算汇率"/>
            <w:tag w:val="_GBC_4148864437ea4c5bb9934a188232a73c"/>
            <w:id w:val="-1091779480"/>
            <w:lock w:val="sdtLocked"/>
          </w:sdtPr>
          <w:sdtEndPr/>
          <w:sdtContent>
            <w:p w14:paraId="5602B6FA" w14:textId="77777777" w:rsidR="007E7472" w:rsidRDefault="00C8327E"/>
            <w:tbl>
              <w:tblPr>
                <w:tblStyle w:val="g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1"/>
                <w:gridCol w:w="4412"/>
              </w:tblGrid>
              <w:tr w:rsidR="007E7472" w14:paraId="32997487" w14:textId="77777777" w:rsidTr="007E7472">
                <w:tc>
                  <w:tcPr>
                    <w:tcW w:w="4411" w:type="dxa"/>
                    <w:vAlign w:val="center"/>
                  </w:tcPr>
                  <w:p w14:paraId="41327B06" w14:textId="77777777" w:rsidR="007E7472" w:rsidRDefault="00EC1269">
                    <w:pPr>
                      <w:jc w:val="center"/>
                      <w:rPr>
                        <w:b/>
                      </w:rPr>
                    </w:pPr>
                    <w:r>
                      <w:rPr>
                        <w:rFonts w:hint="eastAsia"/>
                        <w:b/>
                      </w:rPr>
                      <w:t>子公司名称</w:t>
                    </w:r>
                  </w:p>
                </w:tc>
                <w:tc>
                  <w:tcPr>
                    <w:tcW w:w="4412" w:type="dxa"/>
                    <w:vAlign w:val="center"/>
                  </w:tcPr>
                  <w:p w14:paraId="48A665BA" w14:textId="77777777" w:rsidR="007E7472" w:rsidRDefault="00EC1269">
                    <w:pPr>
                      <w:jc w:val="center"/>
                      <w:rPr>
                        <w:b/>
                      </w:rPr>
                    </w:pPr>
                    <w:r>
                      <w:rPr>
                        <w:b/>
                      </w:rPr>
                      <w:t>记账本位币</w:t>
                    </w:r>
                  </w:p>
                </w:tc>
              </w:tr>
              <w:tr w:rsidR="007E7472" w14:paraId="0C17A307" w14:textId="77777777" w:rsidTr="007E7472">
                <w:tc>
                  <w:tcPr>
                    <w:tcW w:w="4411" w:type="dxa"/>
                  </w:tcPr>
                  <w:p w14:paraId="44181E5C" w14:textId="77777777" w:rsidR="007E7472" w:rsidRDefault="00EC1269">
                    <w:r>
                      <w:rPr>
                        <w:rFonts w:hint="eastAsia"/>
                      </w:rPr>
                      <w:t>兖煤澳大利亚有限公司</w:t>
                    </w:r>
                  </w:p>
                </w:tc>
                <w:tc>
                  <w:tcPr>
                    <w:tcW w:w="4412" w:type="dxa"/>
                    <w:vAlign w:val="center"/>
                  </w:tcPr>
                  <w:p w14:paraId="6C51758D" w14:textId="77777777" w:rsidR="007E7472" w:rsidRDefault="00EC1269">
                    <w:pPr>
                      <w:jc w:val="center"/>
                    </w:pPr>
                    <w:r>
                      <w:t>澳元</w:t>
                    </w:r>
                  </w:p>
                </w:tc>
              </w:tr>
              <w:tr w:rsidR="007E7472" w14:paraId="0E087B3F" w14:textId="77777777" w:rsidTr="007E7472">
                <w:tc>
                  <w:tcPr>
                    <w:tcW w:w="4411" w:type="dxa"/>
                  </w:tcPr>
                  <w:p w14:paraId="01D60050" w14:textId="77777777" w:rsidR="007E7472" w:rsidRDefault="00EC1269">
                    <w:r>
                      <w:rPr>
                        <w:rFonts w:hint="eastAsia"/>
                      </w:rPr>
                      <w:t>格罗斯特煤炭有限公司</w:t>
                    </w:r>
                  </w:p>
                </w:tc>
                <w:tc>
                  <w:tcPr>
                    <w:tcW w:w="4412" w:type="dxa"/>
                    <w:vAlign w:val="center"/>
                  </w:tcPr>
                  <w:p w14:paraId="09D6BC75" w14:textId="77777777" w:rsidR="007E7472" w:rsidRDefault="00EC1269">
                    <w:pPr>
                      <w:jc w:val="center"/>
                    </w:pPr>
                    <w:r>
                      <w:t>澳元</w:t>
                    </w:r>
                  </w:p>
                </w:tc>
              </w:tr>
              <w:tr w:rsidR="007E7472" w14:paraId="1E704454" w14:textId="77777777" w:rsidTr="007E7472">
                <w:tc>
                  <w:tcPr>
                    <w:tcW w:w="4411" w:type="dxa"/>
                  </w:tcPr>
                  <w:p w14:paraId="766CE6D5" w14:textId="77777777" w:rsidR="007E7472" w:rsidRDefault="00EC1269">
                    <w:r>
                      <w:rPr>
                        <w:rFonts w:hint="eastAsia"/>
                      </w:rPr>
                      <w:t>兖煤澳大利亚资源有限公司</w:t>
                    </w:r>
                  </w:p>
                </w:tc>
                <w:tc>
                  <w:tcPr>
                    <w:tcW w:w="4412" w:type="dxa"/>
                    <w:vAlign w:val="center"/>
                  </w:tcPr>
                  <w:p w14:paraId="4AE06ADC" w14:textId="77777777" w:rsidR="007E7472" w:rsidRDefault="00EC1269">
                    <w:pPr>
                      <w:jc w:val="center"/>
                    </w:pPr>
                    <w:r>
                      <w:t>澳元</w:t>
                    </w:r>
                  </w:p>
                </w:tc>
              </w:tr>
              <w:tr w:rsidR="007E7472" w14:paraId="361FACA4" w14:textId="77777777" w:rsidTr="007E7472">
                <w:tc>
                  <w:tcPr>
                    <w:tcW w:w="4411" w:type="dxa"/>
                  </w:tcPr>
                  <w:p w14:paraId="53FA0C27" w14:textId="77777777" w:rsidR="007E7472" w:rsidRDefault="00EC1269">
                    <w:r>
                      <w:rPr>
                        <w:rFonts w:hint="eastAsia"/>
                      </w:rPr>
                      <w:t>兖煤澳大利亚配煤销售有限公司</w:t>
                    </w:r>
                  </w:p>
                </w:tc>
                <w:tc>
                  <w:tcPr>
                    <w:tcW w:w="4412" w:type="dxa"/>
                    <w:vAlign w:val="center"/>
                  </w:tcPr>
                  <w:p w14:paraId="3AB11281" w14:textId="77777777" w:rsidR="007E7472" w:rsidRDefault="00EC1269">
                    <w:pPr>
                      <w:jc w:val="center"/>
                    </w:pPr>
                    <w:r>
                      <w:t>澳元</w:t>
                    </w:r>
                  </w:p>
                </w:tc>
              </w:tr>
              <w:tr w:rsidR="007E7472" w14:paraId="46760678" w14:textId="77777777" w:rsidTr="007E7472">
                <w:tc>
                  <w:tcPr>
                    <w:tcW w:w="4411" w:type="dxa"/>
                  </w:tcPr>
                  <w:p w14:paraId="782ED7E1" w14:textId="77777777" w:rsidR="007E7472" w:rsidRDefault="00EC1269">
                    <w:r>
                      <w:rPr>
                        <w:rFonts w:hint="eastAsia"/>
                      </w:rPr>
                      <w:t>兖煤矿业服务有限公司</w:t>
                    </w:r>
                  </w:p>
                </w:tc>
                <w:tc>
                  <w:tcPr>
                    <w:tcW w:w="4412" w:type="dxa"/>
                    <w:vAlign w:val="center"/>
                  </w:tcPr>
                  <w:p w14:paraId="381CDDCE" w14:textId="77777777" w:rsidR="007E7472" w:rsidRDefault="00EC1269">
                    <w:pPr>
                      <w:jc w:val="center"/>
                    </w:pPr>
                    <w:r>
                      <w:t>澳元</w:t>
                    </w:r>
                  </w:p>
                </w:tc>
              </w:tr>
              <w:tr w:rsidR="007E7472" w14:paraId="387578F5" w14:textId="77777777" w:rsidTr="007E7472">
                <w:tc>
                  <w:tcPr>
                    <w:tcW w:w="4411" w:type="dxa"/>
                  </w:tcPr>
                  <w:p w14:paraId="38E3133E" w14:textId="77777777" w:rsidR="007E7472" w:rsidRDefault="00EC1269">
                    <w:r>
                      <w:rPr>
                        <w:rFonts w:hint="eastAsia"/>
                      </w:rPr>
                      <w:t>联合煤炭工业有限公司</w:t>
                    </w:r>
                  </w:p>
                </w:tc>
                <w:tc>
                  <w:tcPr>
                    <w:tcW w:w="4412" w:type="dxa"/>
                    <w:vAlign w:val="center"/>
                  </w:tcPr>
                  <w:p w14:paraId="7A660FB4" w14:textId="77777777" w:rsidR="007E7472" w:rsidRDefault="00EC1269">
                    <w:pPr>
                      <w:jc w:val="center"/>
                    </w:pPr>
                    <w:r>
                      <w:t>澳元</w:t>
                    </w:r>
                  </w:p>
                </w:tc>
              </w:tr>
              <w:tr w:rsidR="007E7472" w14:paraId="6EC6CC06" w14:textId="77777777" w:rsidTr="007E7472">
                <w:tc>
                  <w:tcPr>
                    <w:tcW w:w="4411" w:type="dxa"/>
                  </w:tcPr>
                  <w:p w14:paraId="0DAE1F8E" w14:textId="77777777" w:rsidR="007E7472" w:rsidRDefault="00EC1269">
                    <w:r>
                      <w:rPr>
                        <w:rFonts w:hint="eastAsia"/>
                      </w:rPr>
                      <w:t>兖煤澳洲莫拉本私有有限公司</w:t>
                    </w:r>
                  </w:p>
                </w:tc>
                <w:tc>
                  <w:tcPr>
                    <w:tcW w:w="4412" w:type="dxa"/>
                    <w:vAlign w:val="center"/>
                  </w:tcPr>
                  <w:p w14:paraId="6BFD482D" w14:textId="77777777" w:rsidR="007E7472" w:rsidRDefault="00EC1269">
                    <w:pPr>
                      <w:jc w:val="center"/>
                    </w:pPr>
                    <w:r>
                      <w:t>澳元</w:t>
                    </w:r>
                  </w:p>
                </w:tc>
              </w:tr>
              <w:tr w:rsidR="007E7472" w14:paraId="65274656" w14:textId="77777777" w:rsidTr="007E7472">
                <w:tc>
                  <w:tcPr>
                    <w:tcW w:w="4411" w:type="dxa"/>
                  </w:tcPr>
                  <w:p w14:paraId="5B8DEEC0" w14:textId="77777777" w:rsidR="007E7472" w:rsidRDefault="00EC1269">
                    <w:r>
                      <w:rPr>
                        <w:rFonts w:hint="eastAsia"/>
                      </w:rPr>
                      <w:t>沃特岗矿业有限公司</w:t>
                    </w:r>
                  </w:p>
                </w:tc>
                <w:tc>
                  <w:tcPr>
                    <w:tcW w:w="4412" w:type="dxa"/>
                    <w:vAlign w:val="center"/>
                  </w:tcPr>
                  <w:p w14:paraId="6F0D1D3B" w14:textId="77777777" w:rsidR="007E7472" w:rsidRDefault="00EC1269">
                    <w:pPr>
                      <w:jc w:val="center"/>
                    </w:pPr>
                    <w:r>
                      <w:t>澳元</w:t>
                    </w:r>
                  </w:p>
                </w:tc>
              </w:tr>
              <w:tr w:rsidR="007E7472" w14:paraId="58287F9D" w14:textId="77777777" w:rsidTr="007E7472">
                <w:tc>
                  <w:tcPr>
                    <w:tcW w:w="4411" w:type="dxa"/>
                  </w:tcPr>
                  <w:p w14:paraId="2EC22C48" w14:textId="77777777" w:rsidR="007E7472" w:rsidRDefault="00EC1269">
                    <w:r>
                      <w:rPr>
                        <w:rFonts w:hint="eastAsia"/>
                      </w:rPr>
                      <w:t>兖煤保险股份有限公司</w:t>
                    </w:r>
                  </w:p>
                </w:tc>
                <w:tc>
                  <w:tcPr>
                    <w:tcW w:w="4412" w:type="dxa"/>
                    <w:vAlign w:val="center"/>
                  </w:tcPr>
                  <w:p w14:paraId="6A29943B" w14:textId="77777777" w:rsidR="007E7472" w:rsidRDefault="00EC1269">
                    <w:pPr>
                      <w:jc w:val="center"/>
                    </w:pPr>
                    <w:r>
                      <w:t>澳元</w:t>
                    </w:r>
                  </w:p>
                </w:tc>
              </w:tr>
              <w:tr w:rsidR="007E7472" w14:paraId="626B71F3" w14:textId="77777777" w:rsidTr="007E7472">
                <w:tc>
                  <w:tcPr>
                    <w:tcW w:w="4411" w:type="dxa"/>
                  </w:tcPr>
                  <w:p w14:paraId="24B47E42" w14:textId="77777777" w:rsidR="007E7472" w:rsidRDefault="00EC1269">
                    <w:r>
                      <w:rPr>
                        <w:rFonts w:hint="eastAsia"/>
                      </w:rPr>
                      <w:t>亚森纳（控股）有限公司</w:t>
                    </w:r>
                  </w:p>
                </w:tc>
                <w:tc>
                  <w:tcPr>
                    <w:tcW w:w="4412" w:type="dxa"/>
                    <w:vAlign w:val="center"/>
                  </w:tcPr>
                  <w:p w14:paraId="3B5C63BF" w14:textId="77777777" w:rsidR="007E7472" w:rsidRDefault="00EC1269">
                    <w:pPr>
                      <w:jc w:val="center"/>
                    </w:pPr>
                    <w:r>
                      <w:t>澳元</w:t>
                    </w:r>
                  </w:p>
                </w:tc>
              </w:tr>
              <w:tr w:rsidR="007E7472" w14:paraId="359CF166" w14:textId="77777777" w:rsidTr="007E7472">
                <w:tc>
                  <w:tcPr>
                    <w:tcW w:w="4411" w:type="dxa"/>
                  </w:tcPr>
                  <w:p w14:paraId="4EFF4FC4" w14:textId="77777777" w:rsidR="007E7472" w:rsidRDefault="00EC1269">
                    <w:r>
                      <w:rPr>
                        <w:rFonts w:hint="eastAsia"/>
                      </w:rPr>
                      <w:t>汤佛（控股）有限公司</w:t>
                    </w:r>
                  </w:p>
                </w:tc>
                <w:tc>
                  <w:tcPr>
                    <w:tcW w:w="4412" w:type="dxa"/>
                    <w:vAlign w:val="center"/>
                  </w:tcPr>
                  <w:p w14:paraId="33A3FFE6" w14:textId="77777777" w:rsidR="007E7472" w:rsidRDefault="00EC1269">
                    <w:pPr>
                      <w:jc w:val="center"/>
                    </w:pPr>
                    <w:r>
                      <w:t>澳元</w:t>
                    </w:r>
                  </w:p>
                </w:tc>
              </w:tr>
              <w:tr w:rsidR="007E7472" w14:paraId="287F6177" w14:textId="77777777" w:rsidTr="007E7472">
                <w:tc>
                  <w:tcPr>
                    <w:tcW w:w="4411" w:type="dxa"/>
                  </w:tcPr>
                  <w:p w14:paraId="60E59D89" w14:textId="77777777" w:rsidR="007E7472" w:rsidRDefault="00EC1269">
                    <w:r>
                      <w:rPr>
                        <w:rFonts w:hint="eastAsia"/>
                      </w:rPr>
                      <w:t>维尔皮纳（控股）有限公司</w:t>
                    </w:r>
                  </w:p>
                </w:tc>
                <w:tc>
                  <w:tcPr>
                    <w:tcW w:w="4412" w:type="dxa"/>
                    <w:vAlign w:val="center"/>
                  </w:tcPr>
                  <w:p w14:paraId="63D9758C" w14:textId="77777777" w:rsidR="007E7472" w:rsidRDefault="00EC1269">
                    <w:pPr>
                      <w:jc w:val="center"/>
                    </w:pPr>
                    <w:r>
                      <w:t>澳元</w:t>
                    </w:r>
                  </w:p>
                </w:tc>
              </w:tr>
              <w:tr w:rsidR="007E7472" w14:paraId="27F3EFEF" w14:textId="77777777" w:rsidTr="007E7472">
                <w:tc>
                  <w:tcPr>
                    <w:tcW w:w="4411" w:type="dxa"/>
                  </w:tcPr>
                  <w:p w14:paraId="39CAD165" w14:textId="77777777" w:rsidR="007E7472" w:rsidRDefault="00EC1269">
                    <w:r>
                      <w:rPr>
                        <w:rFonts w:hint="eastAsia"/>
                      </w:rPr>
                      <w:t>普力马（控股）有限公司</w:t>
                    </w:r>
                  </w:p>
                </w:tc>
                <w:tc>
                  <w:tcPr>
                    <w:tcW w:w="4412" w:type="dxa"/>
                    <w:vAlign w:val="center"/>
                  </w:tcPr>
                  <w:p w14:paraId="34CFEE40" w14:textId="77777777" w:rsidR="007E7472" w:rsidRDefault="00EC1269">
                    <w:pPr>
                      <w:jc w:val="center"/>
                    </w:pPr>
                    <w:r>
                      <w:t>澳元</w:t>
                    </w:r>
                  </w:p>
                </w:tc>
              </w:tr>
              <w:tr w:rsidR="007E7472" w14:paraId="3B9CAEFA" w14:textId="77777777" w:rsidTr="007E7472">
                <w:tc>
                  <w:tcPr>
                    <w:tcW w:w="4411" w:type="dxa"/>
                  </w:tcPr>
                  <w:p w14:paraId="54485FC4" w14:textId="77777777" w:rsidR="007E7472" w:rsidRDefault="00EC1269">
                    <w:r>
                      <w:rPr>
                        <w:rFonts w:hint="eastAsia"/>
                      </w:rPr>
                      <w:t>兖煤能源有限公司</w:t>
                    </w:r>
                  </w:p>
                </w:tc>
                <w:tc>
                  <w:tcPr>
                    <w:tcW w:w="4412" w:type="dxa"/>
                    <w:vAlign w:val="center"/>
                  </w:tcPr>
                  <w:p w14:paraId="778EC807" w14:textId="77777777" w:rsidR="007E7472" w:rsidRDefault="00EC1269">
                    <w:pPr>
                      <w:jc w:val="center"/>
                    </w:pPr>
                    <w:r>
                      <w:t>澳元</w:t>
                    </w:r>
                  </w:p>
                </w:tc>
              </w:tr>
              <w:tr w:rsidR="007E7472" w14:paraId="3977AF80" w14:textId="77777777" w:rsidTr="007E7472">
                <w:tc>
                  <w:tcPr>
                    <w:tcW w:w="4411" w:type="dxa"/>
                  </w:tcPr>
                  <w:p w14:paraId="04F17F2C" w14:textId="77777777" w:rsidR="007E7472" w:rsidRDefault="00EC1269">
                    <w:r>
                      <w:rPr>
                        <w:rFonts w:hint="eastAsia"/>
                      </w:rPr>
                      <w:t>兖煤技术发展（控股）有限公司</w:t>
                    </w:r>
                  </w:p>
                </w:tc>
                <w:tc>
                  <w:tcPr>
                    <w:tcW w:w="4412" w:type="dxa"/>
                    <w:vAlign w:val="center"/>
                  </w:tcPr>
                  <w:p w14:paraId="3FA86000" w14:textId="77777777" w:rsidR="007E7472" w:rsidRDefault="00EC1269">
                    <w:pPr>
                      <w:jc w:val="center"/>
                    </w:pPr>
                    <w:r>
                      <w:t>澳元</w:t>
                    </w:r>
                  </w:p>
                </w:tc>
              </w:tr>
              <w:tr w:rsidR="007E7472" w14:paraId="77C598D1" w14:textId="77777777" w:rsidTr="007E7472">
                <w:tc>
                  <w:tcPr>
                    <w:tcW w:w="4411" w:type="dxa"/>
                  </w:tcPr>
                  <w:p w14:paraId="3F9490A0" w14:textId="77777777" w:rsidR="007E7472" w:rsidRDefault="00EC1269">
                    <w:r>
                      <w:rPr>
                        <w:rFonts w:hint="eastAsia"/>
                      </w:rPr>
                      <w:t>兖煤国际（控股）有限公司</w:t>
                    </w:r>
                  </w:p>
                </w:tc>
                <w:tc>
                  <w:tcPr>
                    <w:tcW w:w="4412" w:type="dxa"/>
                    <w:vAlign w:val="center"/>
                  </w:tcPr>
                  <w:p w14:paraId="417D1CC5" w14:textId="77777777" w:rsidR="007E7472" w:rsidRDefault="00EC1269">
                    <w:pPr>
                      <w:jc w:val="center"/>
                    </w:pPr>
                    <w:r>
                      <w:t>港币</w:t>
                    </w:r>
                  </w:p>
                </w:tc>
              </w:tr>
              <w:tr w:rsidR="007E7472" w14:paraId="170928E0" w14:textId="77777777" w:rsidTr="007E7472">
                <w:tc>
                  <w:tcPr>
                    <w:tcW w:w="4411" w:type="dxa"/>
                  </w:tcPr>
                  <w:p w14:paraId="72846F4D" w14:textId="77777777" w:rsidR="007E7472" w:rsidRDefault="00EC1269">
                    <w:r>
                      <w:rPr>
                        <w:rFonts w:hint="eastAsia"/>
                      </w:rPr>
                      <w:t>兖煤国际技术开发有限公司</w:t>
                    </w:r>
                  </w:p>
                </w:tc>
                <w:tc>
                  <w:tcPr>
                    <w:tcW w:w="4412" w:type="dxa"/>
                    <w:vAlign w:val="center"/>
                  </w:tcPr>
                  <w:p w14:paraId="5DAED408" w14:textId="77777777" w:rsidR="007E7472" w:rsidRDefault="00EC1269">
                    <w:pPr>
                      <w:jc w:val="center"/>
                    </w:pPr>
                    <w:r>
                      <w:t>港币</w:t>
                    </w:r>
                  </w:p>
                </w:tc>
              </w:tr>
              <w:tr w:rsidR="007E7472" w14:paraId="45D9A89F" w14:textId="77777777" w:rsidTr="007E7472">
                <w:tc>
                  <w:tcPr>
                    <w:tcW w:w="4411" w:type="dxa"/>
                  </w:tcPr>
                  <w:p w14:paraId="5571D76A" w14:textId="77777777" w:rsidR="007E7472" w:rsidRDefault="00EC1269">
                    <w:r>
                      <w:rPr>
                        <w:rFonts w:hint="eastAsia"/>
                      </w:rPr>
                      <w:t>兖煤国际资源开发有限公司</w:t>
                    </w:r>
                  </w:p>
                </w:tc>
                <w:tc>
                  <w:tcPr>
                    <w:tcW w:w="4412" w:type="dxa"/>
                    <w:vAlign w:val="center"/>
                  </w:tcPr>
                  <w:p w14:paraId="0B61E6A3" w14:textId="77777777" w:rsidR="007E7472" w:rsidRDefault="00EC1269">
                    <w:pPr>
                      <w:jc w:val="center"/>
                    </w:pPr>
                    <w:r>
                      <w:t>港币</w:t>
                    </w:r>
                  </w:p>
                </w:tc>
              </w:tr>
              <w:tr w:rsidR="007E7472" w14:paraId="00A58CA3" w14:textId="77777777" w:rsidTr="007E7472">
                <w:tc>
                  <w:tcPr>
                    <w:tcW w:w="4411" w:type="dxa"/>
                  </w:tcPr>
                  <w:p w14:paraId="4A26B873" w14:textId="77777777" w:rsidR="007E7472" w:rsidRDefault="00EC1269">
                    <w:r>
                      <w:rPr>
                        <w:rFonts w:hint="eastAsia"/>
                      </w:rPr>
                      <w:t>兖煤卢森堡资源有限公司</w:t>
                    </w:r>
                  </w:p>
                </w:tc>
                <w:tc>
                  <w:tcPr>
                    <w:tcW w:w="4412" w:type="dxa"/>
                    <w:vAlign w:val="center"/>
                  </w:tcPr>
                  <w:p w14:paraId="4A7EE1B4" w14:textId="77777777" w:rsidR="007E7472" w:rsidRDefault="00EC1269">
                    <w:pPr>
                      <w:jc w:val="center"/>
                    </w:pPr>
                    <w:r>
                      <w:t>美元</w:t>
                    </w:r>
                  </w:p>
                </w:tc>
              </w:tr>
              <w:tr w:rsidR="007E7472" w14:paraId="3869267C" w14:textId="77777777" w:rsidTr="007E7472">
                <w:tc>
                  <w:tcPr>
                    <w:tcW w:w="4411" w:type="dxa"/>
                  </w:tcPr>
                  <w:p w14:paraId="6A10FF50" w14:textId="77777777" w:rsidR="007E7472" w:rsidRDefault="00EC1269">
                    <w:r>
                      <w:rPr>
                        <w:rFonts w:hint="eastAsia"/>
                      </w:rPr>
                      <w:t>兖煤加拿大资源有限公司</w:t>
                    </w:r>
                  </w:p>
                </w:tc>
                <w:tc>
                  <w:tcPr>
                    <w:tcW w:w="4412" w:type="dxa"/>
                    <w:vAlign w:val="center"/>
                  </w:tcPr>
                  <w:p w14:paraId="291F7F73" w14:textId="77777777" w:rsidR="007E7472" w:rsidRDefault="00EC1269">
                    <w:pPr>
                      <w:jc w:val="center"/>
                    </w:pPr>
                    <w:r>
                      <w:t>加币</w:t>
                    </w:r>
                  </w:p>
                </w:tc>
              </w:tr>
              <w:tr w:rsidR="007E7472" w14:paraId="188CF59F" w14:textId="77777777" w:rsidTr="007E7472">
                <w:tc>
                  <w:tcPr>
                    <w:tcW w:w="4411" w:type="dxa"/>
                  </w:tcPr>
                  <w:p w14:paraId="34F6365E" w14:textId="77777777" w:rsidR="007E7472" w:rsidRDefault="00EC1269">
                    <w:r>
                      <w:rPr>
                        <w:rFonts w:hint="eastAsia"/>
                      </w:rPr>
                      <w:t>中垠瑞丰（香港）有限公司</w:t>
                    </w:r>
                  </w:p>
                </w:tc>
                <w:tc>
                  <w:tcPr>
                    <w:tcW w:w="4412" w:type="dxa"/>
                    <w:vAlign w:val="center"/>
                  </w:tcPr>
                  <w:p w14:paraId="64908D63" w14:textId="77777777" w:rsidR="007E7472" w:rsidRDefault="00EC1269">
                    <w:pPr>
                      <w:jc w:val="center"/>
                    </w:pPr>
                    <w:r>
                      <w:t>美元</w:t>
                    </w:r>
                  </w:p>
                </w:tc>
              </w:tr>
              <w:tr w:rsidR="007E7472" w14:paraId="24924A4C" w14:textId="77777777" w:rsidTr="007E7472">
                <w:tc>
                  <w:tcPr>
                    <w:tcW w:w="4411" w:type="dxa"/>
                  </w:tcPr>
                  <w:p w14:paraId="72B78264" w14:textId="77777777" w:rsidR="007E7472" w:rsidRDefault="00EC1269">
                    <w:r>
                      <w:rPr>
                        <w:rFonts w:hint="eastAsia"/>
                      </w:rPr>
                      <w:t>中垠（香港）有限公司</w:t>
                    </w:r>
                  </w:p>
                </w:tc>
                <w:tc>
                  <w:tcPr>
                    <w:tcW w:w="4412" w:type="dxa"/>
                    <w:vAlign w:val="center"/>
                  </w:tcPr>
                  <w:p w14:paraId="051227EC" w14:textId="77777777" w:rsidR="007E7472" w:rsidRDefault="00EC1269">
                    <w:pPr>
                      <w:jc w:val="center"/>
                    </w:pPr>
                    <w:r>
                      <w:t>美元</w:t>
                    </w:r>
                  </w:p>
                </w:tc>
              </w:tr>
            </w:tbl>
            <w:p w14:paraId="1B391CFA" w14:textId="77777777" w:rsidR="007E7472" w:rsidRDefault="00C8327E"/>
          </w:sdtContent>
        </w:sdt>
      </w:sdtContent>
    </w:sdt>
    <w:bookmarkEnd w:id="272" w:displacedByCustomXml="next"/>
    <w:sdt>
      <w:sdtPr>
        <w:rPr>
          <w:rFonts w:ascii="宋体" w:hAnsi="宋体" w:cs="宋体" w:hint="eastAsia"/>
          <w:b w:val="0"/>
          <w:bCs w:val="0"/>
          <w:kern w:val="0"/>
          <w:sz w:val="20"/>
          <w:szCs w:val="24"/>
        </w:rPr>
        <w:alias w:val="模块:按照套期类别披露套期及相关套期工具、被套期风险的相关的定性定"/>
        <w:tag w:val="_GBC_e37f7bfcfa2f4a9e92bdd5e8593a6fd8"/>
        <w:id w:val="-1192220131"/>
        <w:lock w:val="sdtLocked"/>
        <w:placeholder>
          <w:docPart w:val="GBC22222222222222222222222222222"/>
        </w:placeholder>
      </w:sdtPr>
      <w:sdtEndPr>
        <w:rPr>
          <w:rFonts w:hint="default"/>
          <w:szCs w:val="21"/>
        </w:rPr>
      </w:sdtEndPr>
      <w:sdtContent>
        <w:p w14:paraId="791974B7" w14:textId="77777777" w:rsidR="007E7472" w:rsidRDefault="00EC1269" w:rsidP="00162493">
          <w:pPr>
            <w:pStyle w:val="3"/>
            <w:numPr>
              <w:ilvl w:val="0"/>
              <w:numId w:val="62"/>
            </w:numPr>
            <w:rPr>
              <w:szCs w:val="24"/>
            </w:rPr>
          </w:pPr>
          <w:r>
            <w:rPr>
              <w:rFonts w:hint="eastAsia"/>
              <w:szCs w:val="24"/>
            </w:rPr>
            <w:t>套期</w:t>
          </w:r>
        </w:p>
        <w:sdt>
          <w:sdtPr>
            <w:alias w:val="是否适用：套期[双击切换]"/>
            <w:tag w:val="_GBC_bca8fe779ada470c87241e7b3e12387a"/>
            <w:id w:val="1658733599"/>
            <w:lock w:val="sdtLocked"/>
            <w:placeholder>
              <w:docPart w:val="GBC22222222222222222222222222222"/>
            </w:placeholder>
          </w:sdtPr>
          <w:sdtEndPr/>
          <w:sdtContent>
            <w:p w14:paraId="609F7EC6"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sdt>
      <w:sdtPr>
        <w:rPr>
          <w:rFonts w:ascii="宋体" w:hAnsi="宋体" w:cs="宋体" w:hint="eastAsia"/>
          <w:b w:val="0"/>
          <w:bCs w:val="0"/>
          <w:kern w:val="0"/>
          <w:sz w:val="20"/>
          <w:szCs w:val="24"/>
        </w:rPr>
        <w:alias w:val="模块:政府补助"/>
        <w:tag w:val="_SEC_8b247fe8025b433290c47017eb23d965"/>
        <w:id w:val="719486585"/>
        <w:lock w:val="sdtLocked"/>
        <w:placeholder>
          <w:docPart w:val="GBC22222222222222222222222222222"/>
        </w:placeholder>
      </w:sdtPr>
      <w:sdtEndPr>
        <w:rPr>
          <w:szCs w:val="21"/>
        </w:rPr>
      </w:sdtEndPr>
      <w:sdtContent>
        <w:p w14:paraId="61CF5A27" w14:textId="77777777" w:rsidR="007E7472" w:rsidRDefault="00EC1269" w:rsidP="00162493">
          <w:pPr>
            <w:pStyle w:val="3"/>
            <w:numPr>
              <w:ilvl w:val="0"/>
              <w:numId w:val="62"/>
            </w:numPr>
          </w:pPr>
          <w:r>
            <w:rPr>
              <w:rFonts w:hint="eastAsia"/>
            </w:rPr>
            <w:t>政府</w:t>
          </w:r>
          <w:r>
            <w:rPr>
              <w:rFonts w:hint="eastAsia"/>
              <w:szCs w:val="24"/>
            </w:rPr>
            <w:t>补助</w:t>
          </w:r>
        </w:p>
        <w:p w14:paraId="6AC27D68" w14:textId="77777777" w:rsidR="007E7472" w:rsidRDefault="00EC1269" w:rsidP="00162493">
          <w:pPr>
            <w:pStyle w:val="4"/>
            <w:numPr>
              <w:ilvl w:val="0"/>
              <w:numId w:val="99"/>
            </w:numPr>
          </w:pPr>
          <w:r>
            <w:rPr>
              <w:rFonts w:hint="eastAsia"/>
            </w:rPr>
            <w:t>政府补助基本情况</w:t>
          </w:r>
        </w:p>
        <w:sdt>
          <w:sdtPr>
            <w:rPr>
              <w:rFonts w:hint="eastAsia"/>
            </w:rPr>
            <w:alias w:val="是否适用：政府补助基本情况[双击切换]"/>
            <w:tag w:val="_GBC_8a025998848a4a4d930f199d57736e15"/>
            <w:id w:val="-279269026"/>
            <w:lock w:val="sdtLocked"/>
            <w:placeholder>
              <w:docPart w:val="GBC22222222222222222222222222222"/>
            </w:placeholder>
          </w:sdtPr>
          <w:sdtEndPr/>
          <w:sdtContent>
            <w:p w14:paraId="4251E68F"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5B06C561" w14:textId="77777777" w:rsidR="007E7472" w:rsidRDefault="00EC1269" w:rsidP="00162493">
          <w:pPr>
            <w:pStyle w:val="4"/>
            <w:numPr>
              <w:ilvl w:val="0"/>
              <w:numId w:val="99"/>
            </w:numPr>
          </w:pPr>
          <w:r>
            <w:rPr>
              <w:rFonts w:hint="eastAsia"/>
            </w:rPr>
            <w:t>政府补助退回情况</w:t>
          </w:r>
        </w:p>
        <w:sdt>
          <w:sdtPr>
            <w:alias w:val="是否适用：政府补助退回情况[双击切换]"/>
            <w:tag w:val="_GBC_d6d1c427ffcb427184f1234527bb5b16"/>
            <w:id w:val="-910238694"/>
            <w:lock w:val="sdtLocked"/>
            <w:placeholder>
              <w:docPart w:val="GBC22222222222222222222222222222"/>
            </w:placeholder>
          </w:sdtPr>
          <w:sdtEndPr/>
          <w:sdtContent>
            <w:p w14:paraId="2DCEF461"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7781F46B" w14:textId="77777777" w:rsidR="007E7472" w:rsidRDefault="00EC1269">
          <w:r>
            <w:rPr>
              <w:rFonts w:hint="eastAsia"/>
            </w:rPr>
            <w:t>其他说明</w:t>
          </w:r>
        </w:p>
      </w:sdtContent>
    </w:sdt>
    <w:sdt>
      <w:sdtPr>
        <w:rPr>
          <w:rFonts w:ascii="宋体" w:hAnsi="宋体" w:cs="宋体"/>
          <w:b w:val="0"/>
          <w:bCs w:val="0"/>
          <w:kern w:val="0"/>
          <w:sz w:val="20"/>
          <w:szCs w:val="24"/>
        </w:rPr>
        <w:alias w:val="模块:合并财务报表项目注释其他需要说明的事项"/>
        <w:tag w:val="_GBC_f027b70d30154df58ffdc310123f3e1f"/>
        <w:id w:val="1666128430"/>
        <w:lock w:val="sdtLocked"/>
        <w:placeholder>
          <w:docPart w:val="GBC22222222222222222222222222222"/>
        </w:placeholder>
      </w:sdtPr>
      <w:sdtEndPr>
        <w:rPr>
          <w:szCs w:val="21"/>
        </w:rPr>
      </w:sdtEndPr>
      <w:sdtContent>
        <w:p w14:paraId="4F8A9C24" w14:textId="77777777" w:rsidR="007E7472" w:rsidRDefault="00EC1269" w:rsidP="00162493">
          <w:pPr>
            <w:pStyle w:val="3"/>
            <w:numPr>
              <w:ilvl w:val="0"/>
              <w:numId w:val="62"/>
            </w:numPr>
          </w:pPr>
          <w:r>
            <w:rPr>
              <w:rFonts w:hint="eastAsia"/>
            </w:rPr>
            <w:t>其他</w:t>
          </w:r>
        </w:p>
        <w:sdt>
          <w:sdtPr>
            <w:alias w:val="是否适用：合并财务报表项目注释其他需要说明的事项[双击切换]"/>
            <w:tag w:val="_GBC_d9335575f6594653aa8718dc633c644c"/>
            <w:id w:val="865326747"/>
            <w:lock w:val="sdtLocked"/>
            <w:placeholder>
              <w:docPart w:val="GBC22222222222222222222222222222"/>
            </w:placeholder>
          </w:sdtPr>
          <w:sdtEndPr/>
          <w:sdtContent>
            <w:p w14:paraId="1394E0E1" w14:textId="77777777" w:rsidR="007E7472" w:rsidRDefault="00EC1269">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Content>
    </w:sdt>
    <w:p w14:paraId="5183DC5F" w14:textId="77777777" w:rsidR="007E7472" w:rsidRPr="00C847B1" w:rsidRDefault="00EC1269" w:rsidP="00162493">
      <w:pPr>
        <w:pStyle w:val="2"/>
        <w:numPr>
          <w:ilvl w:val="0"/>
          <w:numId w:val="43"/>
        </w:numPr>
        <w:ind w:firstLineChars="0"/>
        <w:rPr>
          <w:szCs w:val="24"/>
        </w:rPr>
      </w:pPr>
      <w:r w:rsidRPr="00C847B1">
        <w:rPr>
          <w:rFonts w:hint="eastAsia"/>
          <w:szCs w:val="24"/>
        </w:rPr>
        <w:t>合并范围的变更</w:t>
      </w:r>
    </w:p>
    <w:p w14:paraId="4AAA1109" w14:textId="77777777" w:rsidR="007E7472" w:rsidRPr="00951C25" w:rsidRDefault="00EC1269" w:rsidP="00162493">
      <w:pPr>
        <w:numPr>
          <w:ilvl w:val="0"/>
          <w:numId w:val="100"/>
        </w:numPr>
        <w:outlineLvl w:val="2"/>
        <w:rPr>
          <w:rFonts w:cs="Arial"/>
          <w:b/>
        </w:rPr>
      </w:pPr>
      <w:r w:rsidRPr="00951C25">
        <w:rPr>
          <w:rFonts w:cs="Arial" w:hint="eastAsia"/>
          <w:b/>
        </w:rPr>
        <w:t>非同一控制下企业合并</w:t>
      </w:r>
    </w:p>
    <w:sdt>
      <w:sdtPr>
        <w:alias w:val="是否适用：非同一控制下企业合并[双击切换]"/>
        <w:tag w:val="_GBC_2f9a65b0b4644b14ab5af1407e6467f1"/>
        <w:id w:val="-1262298456"/>
        <w:lock w:val="sdtLocked"/>
        <w:placeholder>
          <w:docPart w:val="GBC22222222222222222222222222222"/>
        </w:placeholder>
      </w:sdtPr>
      <w:sdtEndPr/>
      <w:sdtContent>
        <w:p w14:paraId="795C6F04" w14:textId="77777777" w:rsidR="007E7472" w:rsidRDefault="00EC1269">
          <w:pPr>
            <w:rPr>
              <w:rFonts w:cstheme="minorBidi"/>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A1BEA1B" w14:textId="77777777" w:rsidR="007E7472" w:rsidRDefault="00C8327E">
      <w:pPr>
        <w:rPr>
          <w:rFonts w:cstheme="minorBidi"/>
        </w:rPr>
      </w:pPr>
    </w:p>
    <w:p w14:paraId="4BF0FF2D" w14:textId="77777777" w:rsidR="007E7472" w:rsidRDefault="00C8327E"/>
    <w:p w14:paraId="777A345D" w14:textId="77777777" w:rsidR="007E7472" w:rsidRPr="00951C25" w:rsidRDefault="00EC1269" w:rsidP="00162493">
      <w:pPr>
        <w:numPr>
          <w:ilvl w:val="0"/>
          <w:numId w:val="100"/>
        </w:numPr>
        <w:outlineLvl w:val="2"/>
        <w:rPr>
          <w:rFonts w:cs="Arial"/>
          <w:b/>
        </w:rPr>
      </w:pPr>
      <w:r w:rsidRPr="00951C25">
        <w:rPr>
          <w:rFonts w:cs="Arial" w:hint="eastAsia"/>
          <w:b/>
        </w:rPr>
        <w:t>同一控制下企业合并</w:t>
      </w:r>
    </w:p>
    <w:sdt>
      <w:sdtPr>
        <w:alias w:val="是否适用：同一控制下企业合并[双击切换]"/>
        <w:tag w:val="_GBC_cde296136a1d4f2094eb79d21291eae2"/>
        <w:id w:val="-908451754"/>
        <w:lock w:val="sdtLocked"/>
        <w:placeholder>
          <w:docPart w:val="GBC22222222222222222222222222222"/>
        </w:placeholder>
      </w:sdtPr>
      <w:sdtEndPr/>
      <w:sdtContent>
        <w:p w14:paraId="2637DDE1" w14:textId="77777777" w:rsidR="007E7472" w:rsidRDefault="00EC1269">
          <w:r>
            <w:rPr>
              <w:rFonts w:hint="eastAsia"/>
            </w:rPr>
            <w:fldChar w:fldCharType="begin"/>
          </w:r>
          <w:r>
            <w:rPr>
              <w:rFonts w:hint="eastAsia"/>
            </w:rPr>
            <w:instrText xml:space="preserve"> MACROBUTTON  SnrToggleCheckbox √适用 </w:instrText>
          </w:r>
          <w:r>
            <w:rPr>
              <w:rFonts w:hint="eastAsia"/>
            </w:rPr>
            <w:fldChar w:fldCharType="end"/>
          </w:r>
          <w:r>
            <w:rPr>
              <w:rFonts w:hint="eastAsia"/>
            </w:rPr>
            <w:fldChar w:fldCharType="begin"/>
          </w:r>
          <w:r>
            <w:rPr>
              <w:rFonts w:hint="eastAsia"/>
            </w:rPr>
            <w:instrText xml:space="preserve"> MACROBUTTON  SnrToggleCheckbox □不适用 </w:instrText>
          </w:r>
          <w:r>
            <w:rPr>
              <w:rFonts w:hint="eastAsia"/>
            </w:rPr>
            <w:fldChar w:fldCharType="end"/>
          </w:r>
        </w:p>
      </w:sdtContent>
    </w:sdt>
    <w:sdt>
      <w:sdtPr>
        <w:rPr>
          <w:rFonts w:ascii="宋体" w:hAnsi="宋体" w:cs="宋体" w:hint="eastAsia"/>
          <w:b w:val="0"/>
          <w:bCs w:val="0"/>
          <w:kern w:val="0"/>
          <w:szCs w:val="24"/>
        </w:rPr>
        <w:alias w:val="模块:本期发生的同一控制下企业合并"/>
        <w:tag w:val="_GBC_66fabe3cff6241b1aebface99383f449"/>
        <w:id w:val="2553629"/>
        <w:lock w:val="sdtLocked"/>
        <w:placeholder>
          <w:docPart w:val="GBC22222222222222222222222222222"/>
        </w:placeholder>
      </w:sdtPr>
      <w:sdtEndPr>
        <w:rPr>
          <w:rFonts w:cstheme="minorBidi" w:hint="default"/>
          <w:szCs w:val="21"/>
        </w:rPr>
      </w:sdtEndPr>
      <w:sdtContent>
        <w:p w14:paraId="4847D196" w14:textId="77777777" w:rsidR="007E7472" w:rsidRDefault="00EC1269" w:rsidP="00162493">
          <w:pPr>
            <w:pStyle w:val="4"/>
            <w:numPr>
              <w:ilvl w:val="0"/>
              <w:numId w:val="101"/>
            </w:numPr>
          </w:pPr>
          <w:r>
            <w:rPr>
              <w:rFonts w:hint="eastAsia"/>
            </w:rPr>
            <w:t>本期发生的同一控制下企业合并</w:t>
          </w:r>
        </w:p>
        <w:sdt>
          <w:sdtPr>
            <w:alias w:val="是否适用：本期发生的同一控制下企业合并[双击切换]"/>
            <w:tag w:val="_GBC_ab717a33fda94a748576343d4e39503a"/>
            <w:id w:val="-971911288"/>
            <w:lock w:val="sdtLocked"/>
            <w:placeholder>
              <w:docPart w:val="GBC22222222222222222222222222222"/>
            </w:placeholder>
          </w:sdtPr>
          <w:sdtEndPr/>
          <w:sdtContent>
            <w:p w14:paraId="064040F6" w14:textId="77777777" w:rsidR="007E7472" w:rsidRDefault="00EC1269">
              <w:r>
                <w:rPr>
                  <w:rFonts w:hint="eastAsia"/>
                </w:rPr>
                <w:fldChar w:fldCharType="begin"/>
              </w:r>
              <w:r>
                <w:rPr>
                  <w:rFonts w:hint="eastAsia"/>
                </w:rPr>
                <w:instrText xml:space="preserve"> MACROBUTTON  SnrToggleCheckbox √适用 </w:instrText>
              </w:r>
              <w:r>
                <w:rPr>
                  <w:rFonts w:hint="eastAsia"/>
                </w:rPr>
                <w:fldChar w:fldCharType="end"/>
              </w:r>
              <w:r>
                <w:rPr>
                  <w:rFonts w:hint="eastAsia"/>
                </w:rPr>
                <w:fldChar w:fldCharType="begin"/>
              </w:r>
              <w:r>
                <w:rPr>
                  <w:rFonts w:hint="eastAsia"/>
                </w:rPr>
                <w:instrText xml:space="preserve"> MACROBUTTON  SnrToggleCheckbox □不适用 </w:instrText>
              </w:r>
              <w:r>
                <w:rPr>
                  <w:rFonts w:hint="eastAsia"/>
                </w:rPr>
                <w:fldChar w:fldCharType="end"/>
              </w:r>
            </w:p>
          </w:sdtContent>
        </w:sdt>
        <w:p w14:paraId="6A08CC32" w14:textId="4408033A" w:rsidR="007E7472" w:rsidRDefault="00EC1269">
          <w:pPr>
            <w:jc w:val="right"/>
            <w:rPr>
              <w:b/>
            </w:rPr>
          </w:pPr>
          <w:r>
            <w:rPr>
              <w:rFonts w:hint="eastAsia"/>
            </w:rPr>
            <w:t>单位：</w:t>
          </w:r>
          <w:sdt>
            <w:sdtPr>
              <w:rPr>
                <w:rFonts w:hint="eastAsia"/>
              </w:rPr>
              <w:alias w:val="单位：发生的同一控制下企业合并"/>
              <w:tag w:val="_GBC_7ef60e31a04244d2a76ac88954f51f4f"/>
              <w:id w:val="6970247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发生的同一控制下企业合并"/>
              <w:tag w:val="_GBC_50b99d3e8cf64b3692d016bffc27b738"/>
              <w:id w:val="-8266776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993"/>
            <w:gridCol w:w="1064"/>
            <w:gridCol w:w="919"/>
            <w:gridCol w:w="778"/>
            <w:gridCol w:w="999"/>
            <w:gridCol w:w="1027"/>
            <w:gridCol w:w="1027"/>
            <w:gridCol w:w="1027"/>
          </w:tblGrid>
          <w:tr w:rsidR="007E7472" w14:paraId="6872DA20" w14:textId="77777777">
            <w:trPr>
              <w:trHeight w:val="1113"/>
            </w:trPr>
            <w:sdt>
              <w:sdtPr>
                <w:tag w:val="_PLD_9a84fe6700be4529b42f0630c100bad5"/>
                <w:id w:val="-373150034"/>
                <w:lock w:val="sdtLocked"/>
              </w:sdtPr>
              <w:sdtEndPr/>
              <w:sdtContent>
                <w:tc>
                  <w:tcPr>
                    <w:tcW w:w="560" w:type="pct"/>
                    <w:shd w:val="clear" w:color="auto" w:fill="auto"/>
                    <w:vAlign w:val="center"/>
                  </w:tcPr>
                  <w:p w14:paraId="6E8E8828" w14:textId="77777777" w:rsidR="007E7472" w:rsidRDefault="00EC1269">
                    <w:pPr>
                      <w:jc w:val="center"/>
                    </w:pPr>
                    <w:r>
                      <w:rPr>
                        <w:rFonts w:hint="eastAsia"/>
                      </w:rPr>
                      <w:t>被合并方名称</w:t>
                    </w:r>
                  </w:p>
                </w:tc>
              </w:sdtContent>
            </w:sdt>
            <w:sdt>
              <w:sdtPr>
                <w:tag w:val="_PLD_772aef6b3bd84e969cbfe004eb90ca3b"/>
                <w:id w:val="583729975"/>
                <w:lock w:val="sdtLocked"/>
              </w:sdtPr>
              <w:sdtEndPr/>
              <w:sdtContent>
                <w:tc>
                  <w:tcPr>
                    <w:tcW w:w="562" w:type="pct"/>
                    <w:shd w:val="clear" w:color="auto" w:fill="auto"/>
                    <w:vAlign w:val="center"/>
                  </w:tcPr>
                  <w:p w14:paraId="6D0A593E" w14:textId="77777777" w:rsidR="007E7472" w:rsidRDefault="00EC1269">
                    <w:pPr>
                      <w:jc w:val="center"/>
                    </w:pPr>
                    <w:r>
                      <w:rPr>
                        <w:rFonts w:hint="eastAsia"/>
                      </w:rPr>
                      <w:t>企业合并中取得的权益比例</w:t>
                    </w:r>
                  </w:p>
                </w:tc>
              </w:sdtContent>
            </w:sdt>
            <w:sdt>
              <w:sdtPr>
                <w:tag w:val="_PLD_3a04f8c07ff744338399a3511fdf71fa"/>
                <w:id w:val="-1524707503"/>
                <w:lock w:val="sdtLocked"/>
              </w:sdtPr>
              <w:sdtEndPr/>
              <w:sdtContent>
                <w:tc>
                  <w:tcPr>
                    <w:tcW w:w="603" w:type="pct"/>
                    <w:shd w:val="clear" w:color="auto" w:fill="auto"/>
                    <w:vAlign w:val="center"/>
                  </w:tcPr>
                  <w:p w14:paraId="410EA353" w14:textId="77777777" w:rsidR="007E7472" w:rsidRDefault="00EC1269">
                    <w:pPr>
                      <w:jc w:val="center"/>
                    </w:pPr>
                    <w:r>
                      <w:rPr>
                        <w:rFonts w:hint="eastAsia"/>
                      </w:rPr>
                      <w:t>构成同一控制下企业合并的依据</w:t>
                    </w:r>
                  </w:p>
                </w:tc>
              </w:sdtContent>
            </w:sdt>
            <w:sdt>
              <w:sdtPr>
                <w:tag w:val="_PLD_bb612cba2f114eeda591ffa8ae7dada7"/>
                <w:id w:val="-1224216696"/>
                <w:lock w:val="sdtLocked"/>
              </w:sdtPr>
              <w:sdtEndPr/>
              <w:sdtContent>
                <w:tc>
                  <w:tcPr>
                    <w:tcW w:w="521" w:type="pct"/>
                    <w:shd w:val="clear" w:color="auto" w:fill="auto"/>
                    <w:vAlign w:val="center"/>
                  </w:tcPr>
                  <w:p w14:paraId="699C6E1B" w14:textId="77777777" w:rsidR="007E7472" w:rsidRDefault="00EC1269">
                    <w:pPr>
                      <w:jc w:val="center"/>
                    </w:pPr>
                    <w:r>
                      <w:rPr>
                        <w:rFonts w:hint="eastAsia"/>
                      </w:rPr>
                      <w:t>合并日</w:t>
                    </w:r>
                  </w:p>
                </w:tc>
              </w:sdtContent>
            </w:sdt>
            <w:sdt>
              <w:sdtPr>
                <w:tag w:val="_PLD_4518c5d955a84fd8a528d31cc027d2e6"/>
                <w:id w:val="-1283954456"/>
                <w:lock w:val="sdtLocked"/>
              </w:sdtPr>
              <w:sdtEndPr/>
              <w:sdtContent>
                <w:tc>
                  <w:tcPr>
                    <w:tcW w:w="441" w:type="pct"/>
                    <w:shd w:val="clear" w:color="auto" w:fill="auto"/>
                    <w:vAlign w:val="center"/>
                  </w:tcPr>
                  <w:p w14:paraId="31390289" w14:textId="77777777" w:rsidR="007E7472" w:rsidRDefault="00EC1269">
                    <w:pPr>
                      <w:jc w:val="center"/>
                    </w:pPr>
                    <w:r>
                      <w:rPr>
                        <w:rFonts w:hint="eastAsia"/>
                      </w:rPr>
                      <w:t>合并日的确定依据</w:t>
                    </w:r>
                  </w:p>
                </w:tc>
              </w:sdtContent>
            </w:sdt>
            <w:sdt>
              <w:sdtPr>
                <w:tag w:val="_PLD_7b627338651f44ef90f335007680658b"/>
                <w:id w:val="-282579683"/>
                <w:lock w:val="sdtLocked"/>
              </w:sdtPr>
              <w:sdtEndPr/>
              <w:sdtContent>
                <w:tc>
                  <w:tcPr>
                    <w:tcW w:w="566" w:type="pct"/>
                    <w:shd w:val="clear" w:color="auto" w:fill="auto"/>
                    <w:vAlign w:val="center"/>
                  </w:tcPr>
                  <w:p w14:paraId="73231DDB" w14:textId="77777777" w:rsidR="007E7472" w:rsidRDefault="00EC1269">
                    <w:pPr>
                      <w:jc w:val="center"/>
                    </w:pPr>
                    <w:r>
                      <w:rPr>
                        <w:rFonts w:hint="eastAsia"/>
                      </w:rPr>
                      <w:t>合并当期期初至合并日被合并方的收入</w:t>
                    </w:r>
                  </w:p>
                </w:tc>
              </w:sdtContent>
            </w:sdt>
            <w:sdt>
              <w:sdtPr>
                <w:tag w:val="_PLD_ea59e2277ab54ec7b1674071fa42bb90"/>
                <w:id w:val="-131330396"/>
                <w:lock w:val="sdtLocked"/>
              </w:sdtPr>
              <w:sdtEndPr/>
              <w:sdtContent>
                <w:tc>
                  <w:tcPr>
                    <w:tcW w:w="582" w:type="pct"/>
                    <w:shd w:val="clear" w:color="auto" w:fill="auto"/>
                    <w:vAlign w:val="center"/>
                  </w:tcPr>
                  <w:p w14:paraId="253D3D77" w14:textId="77777777" w:rsidR="007E7472" w:rsidRDefault="00EC1269">
                    <w:pPr>
                      <w:jc w:val="center"/>
                    </w:pPr>
                    <w:r>
                      <w:rPr>
                        <w:rFonts w:hint="eastAsia"/>
                      </w:rPr>
                      <w:t>合并当期期初至合并日被合并方的净利润</w:t>
                    </w:r>
                  </w:p>
                </w:tc>
              </w:sdtContent>
            </w:sdt>
            <w:sdt>
              <w:sdtPr>
                <w:tag w:val="_PLD_a9cadced78ac49dfab0e472f98b845d8"/>
                <w:id w:val="-51309459"/>
                <w:lock w:val="sdtLocked"/>
              </w:sdtPr>
              <w:sdtEndPr/>
              <w:sdtContent>
                <w:tc>
                  <w:tcPr>
                    <w:tcW w:w="582" w:type="pct"/>
                    <w:vAlign w:val="center"/>
                  </w:tcPr>
                  <w:p w14:paraId="396BCF14" w14:textId="77777777" w:rsidR="007E7472" w:rsidRDefault="00EC1269">
                    <w:pPr>
                      <w:jc w:val="center"/>
                    </w:pPr>
                    <w:r>
                      <w:rPr>
                        <w:rFonts w:hint="eastAsia"/>
                      </w:rPr>
                      <w:t>比较期间被合并方的收入</w:t>
                    </w:r>
                  </w:p>
                </w:tc>
              </w:sdtContent>
            </w:sdt>
            <w:sdt>
              <w:sdtPr>
                <w:tag w:val="_PLD_758fb76e2b7c4a3cbe8ac72cc1402762"/>
                <w:id w:val="-539815069"/>
                <w:lock w:val="sdtLocked"/>
              </w:sdtPr>
              <w:sdtEndPr/>
              <w:sdtContent>
                <w:tc>
                  <w:tcPr>
                    <w:tcW w:w="582" w:type="pct"/>
                    <w:vAlign w:val="center"/>
                  </w:tcPr>
                  <w:p w14:paraId="77F40BBA" w14:textId="77777777" w:rsidR="007E7472" w:rsidRDefault="00EC1269">
                    <w:pPr>
                      <w:jc w:val="center"/>
                    </w:pPr>
                    <w:r>
                      <w:rPr>
                        <w:rFonts w:hint="eastAsia"/>
                      </w:rPr>
                      <w:t>比较期间被合并方的净利润</w:t>
                    </w:r>
                  </w:p>
                </w:tc>
              </w:sdtContent>
            </w:sdt>
          </w:tr>
          <w:sdt>
            <w:sdtPr>
              <w:alias w:val="同一控制下企业合并明细"/>
              <w:tag w:val="_GBC_3f64a9f2034f48e58accc710fc184e52"/>
              <w:id w:val="191118949"/>
              <w:lock w:val="sdtLocked"/>
              <w:placeholder>
                <w:docPart w:val="GBC11111111111111111111111111111"/>
              </w:placeholder>
            </w:sdtPr>
            <w:sdtEndPr/>
            <w:sdtContent>
              <w:tr w:rsidR="007E7472" w14:paraId="3232DA25" w14:textId="77777777">
                <w:trPr>
                  <w:trHeight w:val="301"/>
                </w:trPr>
                <w:tc>
                  <w:tcPr>
                    <w:tcW w:w="560" w:type="pct"/>
                    <w:shd w:val="clear" w:color="auto" w:fill="auto"/>
                  </w:tcPr>
                  <w:p w14:paraId="1926EBB3" w14:textId="77777777" w:rsidR="007E7472" w:rsidRDefault="00EC1269">
                    <w:r>
                      <w:rPr>
                        <w:rFonts w:hint="eastAsia"/>
                      </w:rPr>
                      <w:t>山东能源大厦上海有限公司</w:t>
                    </w:r>
                  </w:p>
                </w:tc>
                <w:tc>
                  <w:tcPr>
                    <w:tcW w:w="562" w:type="pct"/>
                    <w:shd w:val="clear" w:color="auto" w:fill="auto"/>
                    <w:vAlign w:val="center"/>
                  </w:tcPr>
                  <w:p w14:paraId="052CDEFD" w14:textId="77777777" w:rsidR="007E7472" w:rsidRDefault="00EC1269">
                    <w:pPr>
                      <w:jc w:val="right"/>
                    </w:pPr>
                    <w:r>
                      <w:t>75</w:t>
                    </w:r>
                    <w:r>
                      <w:rPr>
                        <w:rFonts w:hint="eastAsia"/>
                      </w:rPr>
                      <w:t>%</w:t>
                    </w:r>
                  </w:p>
                </w:tc>
                <w:tc>
                  <w:tcPr>
                    <w:tcW w:w="603" w:type="pct"/>
                    <w:shd w:val="clear" w:color="auto" w:fill="auto"/>
                    <w:vAlign w:val="center"/>
                  </w:tcPr>
                  <w:p w14:paraId="257342CA" w14:textId="77777777" w:rsidR="007E7472" w:rsidRDefault="00EC1269">
                    <w:pPr>
                      <w:jc w:val="both"/>
                    </w:pPr>
                    <w:r>
                      <w:rPr>
                        <w:rFonts w:hint="eastAsia"/>
                        <w:color w:val="000000"/>
                        <w:szCs w:val="22"/>
                      </w:rPr>
                      <w:t>最</w:t>
                    </w:r>
                    <w:r>
                      <w:rPr>
                        <w:rFonts w:hint="eastAsia"/>
                      </w:rPr>
                      <w:t>终控制人为山东能源</w:t>
                    </w:r>
                  </w:p>
                </w:tc>
                <w:tc>
                  <w:tcPr>
                    <w:tcW w:w="521" w:type="pct"/>
                    <w:shd w:val="clear" w:color="auto" w:fill="auto"/>
                    <w:vAlign w:val="center"/>
                  </w:tcPr>
                  <w:p w14:paraId="51D5FFAC" w14:textId="77777777" w:rsidR="007E7472" w:rsidRDefault="00EC1269">
                    <w:pPr>
                      <w:jc w:val="both"/>
                    </w:pPr>
                    <w:r>
                      <w:rPr>
                        <w:rFonts w:hint="eastAsia"/>
                      </w:rPr>
                      <w:t>2</w:t>
                    </w:r>
                    <w:r>
                      <w:t>023</w:t>
                    </w:r>
                    <w:r>
                      <w:rPr>
                        <w:rFonts w:hint="eastAsia"/>
                      </w:rPr>
                      <w:t>年3月3</w:t>
                    </w:r>
                    <w:r>
                      <w:t>1</w:t>
                    </w:r>
                    <w:r>
                      <w:rPr>
                        <w:rFonts w:hint="eastAsia"/>
                      </w:rPr>
                      <w:t>日</w:t>
                    </w:r>
                  </w:p>
                </w:tc>
                <w:tc>
                  <w:tcPr>
                    <w:tcW w:w="441" w:type="pct"/>
                    <w:shd w:val="clear" w:color="auto" w:fill="auto"/>
                    <w:vAlign w:val="center"/>
                  </w:tcPr>
                  <w:p w14:paraId="19BE3D7B" w14:textId="77777777" w:rsidR="007E7472" w:rsidRDefault="00EC1269">
                    <w:pPr>
                      <w:jc w:val="both"/>
                    </w:pPr>
                    <w:r>
                      <w:rPr>
                        <w:rFonts w:hint="eastAsia"/>
                      </w:rPr>
                      <w:t>控制权的转移</w:t>
                    </w:r>
                  </w:p>
                </w:tc>
                <w:tc>
                  <w:tcPr>
                    <w:tcW w:w="566" w:type="pct"/>
                    <w:shd w:val="clear" w:color="auto" w:fill="auto"/>
                    <w:vAlign w:val="center"/>
                  </w:tcPr>
                  <w:p w14:paraId="324962EA" w14:textId="77777777" w:rsidR="007E7472" w:rsidRDefault="00C8327E">
                    <w:pPr>
                      <w:jc w:val="right"/>
                    </w:pPr>
                  </w:p>
                </w:tc>
                <w:tc>
                  <w:tcPr>
                    <w:tcW w:w="582" w:type="pct"/>
                    <w:shd w:val="clear" w:color="auto" w:fill="auto"/>
                    <w:vAlign w:val="center"/>
                  </w:tcPr>
                  <w:p w14:paraId="44646C92" w14:textId="140B51E7" w:rsidR="007E7472" w:rsidRDefault="00EC1269">
                    <w:pPr>
                      <w:jc w:val="right"/>
                    </w:pPr>
                    <w:r>
                      <w:t>2</w:t>
                    </w:r>
                  </w:p>
                </w:tc>
                <w:tc>
                  <w:tcPr>
                    <w:tcW w:w="582" w:type="pct"/>
                    <w:vAlign w:val="center"/>
                  </w:tcPr>
                  <w:p w14:paraId="5BA5F467" w14:textId="77777777" w:rsidR="007E7472" w:rsidRDefault="00C8327E">
                    <w:pPr>
                      <w:jc w:val="right"/>
                    </w:pPr>
                  </w:p>
                </w:tc>
                <w:tc>
                  <w:tcPr>
                    <w:tcW w:w="582" w:type="pct"/>
                    <w:vAlign w:val="center"/>
                  </w:tcPr>
                  <w:p w14:paraId="089E0BAE" w14:textId="77777777" w:rsidR="007E7472" w:rsidRDefault="00C8327E">
                    <w:pPr>
                      <w:jc w:val="right"/>
                    </w:pPr>
                  </w:p>
                </w:tc>
              </w:tr>
            </w:sdtContent>
          </w:sdt>
        </w:tbl>
        <w:p w14:paraId="63E77F4D" w14:textId="77777777" w:rsidR="007E7472" w:rsidRDefault="00C8327E">
          <w:pPr>
            <w:rPr>
              <w:rFonts w:cs="Arial"/>
            </w:rPr>
          </w:pPr>
        </w:p>
      </w:sdtContent>
    </w:sdt>
    <w:p w14:paraId="430BA036" w14:textId="77777777" w:rsidR="007E7472" w:rsidRDefault="00EC1269" w:rsidP="00162493">
      <w:pPr>
        <w:pStyle w:val="4"/>
        <w:numPr>
          <w:ilvl w:val="0"/>
          <w:numId w:val="101"/>
        </w:numPr>
        <w:rPr>
          <w:rFonts w:cs="Arial"/>
        </w:rPr>
      </w:pPr>
      <w:r>
        <w:rPr>
          <w:rFonts w:cs="Arial" w:hint="eastAsia"/>
        </w:rPr>
        <w:t>合并成本</w:t>
      </w:r>
    </w:p>
    <w:p w14:paraId="300E1F65" w14:textId="77777777" w:rsidR="007E7472" w:rsidRDefault="00C8327E">
      <w:sdt>
        <w:sdtPr>
          <w:alias w:val="是否适用：合并成本[双击切换]"/>
          <w:tag w:val="_GBC_1e3feddd46da4a95805d8f480f4c84d9"/>
          <w:id w:val="-1922094739"/>
          <w:lock w:val="sdtContentLocked"/>
          <w:placeholder>
            <w:docPart w:val="GBC22222222222222222222222222222"/>
          </w:placeholder>
        </w:sdtPr>
        <w:sdtEndPr/>
        <w:sdtContent>
          <w:r w:rsidR="00EC1269">
            <w:fldChar w:fldCharType="begin"/>
          </w:r>
          <w:r w:rsidR="00EC1269">
            <w:instrText xml:space="preserve"> MACROBUTTON  SnrToggleCheckbox √适用 </w:instrText>
          </w:r>
          <w:r w:rsidR="00EC1269">
            <w:fldChar w:fldCharType="end"/>
          </w:r>
          <w:r w:rsidR="00EC1269">
            <w:fldChar w:fldCharType="begin"/>
          </w:r>
          <w:r w:rsidR="00EC1269">
            <w:instrText xml:space="preserve"> MACROBUTTON  SnrToggleCheckbox □不适用 </w:instrText>
          </w:r>
          <w:r w:rsidR="00EC1269">
            <w:fldChar w:fldCharType="end"/>
          </w:r>
        </w:sdtContent>
      </w:sdt>
    </w:p>
    <w:p w14:paraId="28D72F1F" w14:textId="3B5428DB" w:rsidR="007E7472" w:rsidRDefault="00EC1269">
      <w:pPr>
        <w:jc w:val="right"/>
      </w:pPr>
      <w:r>
        <w:rPr>
          <w:rFonts w:hint="eastAsia"/>
        </w:rPr>
        <w:t>单位：</w:t>
      </w:r>
      <w:sdt>
        <w:sdtPr>
          <w:rPr>
            <w:rFonts w:hint="eastAsia"/>
          </w:rPr>
          <w:alias w:val="单位：合并成本"/>
          <w:tag w:val="_GBC_b32867fe2f6f4a26bbf31a8eed01cc85"/>
          <w:id w:val="-183891786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合并成本"/>
          <w:tag w:val="_GBC_f6f12759e0c84fb0a180a147cec7432e"/>
          <w:id w:val="-75590395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sdt>
      <w:sdtPr>
        <w:rPr>
          <w:rFonts w:cs="Arial" w:hint="eastAsia"/>
          <w:b/>
          <w:bCs/>
        </w:rPr>
        <w:alias w:val="模块:合并成本"/>
        <w:tag w:val="_GBC_e51629db13fd46dd9d30ae3e3729cd68"/>
        <w:id w:val="-1236854658"/>
        <w:placeholder>
          <w:docPart w:val="GBC22222222222222222222222222222"/>
        </w:placeholder>
      </w:sdtPr>
      <w:sdtEndPr>
        <w:rPr>
          <w:rFonts w:cstheme="minorBidi" w:hint="default"/>
          <w:b w:val="0"/>
          <w:bCs w:val="0"/>
        </w:rPr>
      </w:sdtEndPr>
      <w:sdtContent>
        <w:tbl>
          <w:tblPr>
            <w:tblStyle w:val="g4"/>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6"/>
            <w:gridCol w:w="4487"/>
          </w:tblGrid>
          <w:tr w:rsidR="007E7472" w14:paraId="36D31CDA" w14:textId="77777777">
            <w:trPr>
              <w:jc w:val="center"/>
            </w:trPr>
            <w:sdt>
              <w:sdtPr>
                <w:rPr>
                  <w:rFonts w:cs="Arial" w:hint="eastAsia"/>
                  <w:b/>
                  <w:bCs/>
                </w:rPr>
                <w:tag w:val="_PLD_c2594d5f6b59411381c833ffaa91415b"/>
                <w:id w:val="409117927"/>
              </w:sdtPr>
              <w:sdtEndPr>
                <w:rPr>
                  <w:rFonts w:cs="宋体" w:hint="default"/>
                  <w:b w:val="0"/>
                  <w:bCs w:val="0"/>
                </w:rPr>
              </w:sdtEndPr>
              <w:sdtContent>
                <w:tc>
                  <w:tcPr>
                    <w:tcW w:w="2457" w:type="pct"/>
                    <w:shd w:val="clear" w:color="auto" w:fill="FFFFFF" w:themeFill="background1"/>
                  </w:tcPr>
                  <w:p w14:paraId="62379266" w14:textId="77777777" w:rsidR="007E7472" w:rsidRDefault="00EC1269">
                    <w:pPr>
                      <w:rPr>
                        <w:rFonts w:cs="Arial"/>
                      </w:rPr>
                    </w:pPr>
                    <w:r>
                      <w:rPr>
                        <w:rFonts w:cs="Arial" w:hint="eastAsia"/>
                        <w:lang w:val="en-GB"/>
                      </w:rPr>
                      <w:t>合并成本</w:t>
                    </w:r>
                  </w:p>
                </w:tc>
              </w:sdtContent>
            </w:sdt>
            <w:sdt>
              <w:sdtPr>
                <w:alias w:val="同一控制下企业合并成本明细-公司名称"/>
                <w:tag w:val="_GBC_caee3afd0e4e48af9069011dfbbfced0"/>
                <w:id w:val="-2133387165"/>
              </w:sdtPr>
              <w:sdtEndPr/>
              <w:sdtContent>
                <w:tc>
                  <w:tcPr>
                    <w:tcW w:w="2543" w:type="pct"/>
                  </w:tcPr>
                  <w:p w14:paraId="08F8409B" w14:textId="77777777" w:rsidR="007E7472" w:rsidRDefault="00EC1269" w:rsidP="007E7472">
                    <w:pPr>
                      <w:jc w:val="center"/>
                    </w:pPr>
                    <w:r>
                      <w:rPr>
                        <w:rFonts w:hint="eastAsia"/>
                      </w:rPr>
                      <w:t>山东能源大厦上海有限公司</w:t>
                    </w:r>
                  </w:p>
                </w:tc>
              </w:sdtContent>
            </w:sdt>
          </w:tr>
          <w:tr w:rsidR="007E7472" w14:paraId="235E5AB4" w14:textId="77777777">
            <w:trPr>
              <w:jc w:val="center"/>
            </w:trPr>
            <w:sdt>
              <w:sdtPr>
                <w:tag w:val="_PLD_0abf838490f54a93b897f4416517f03b"/>
                <w:id w:val="-616987395"/>
              </w:sdtPr>
              <w:sdtEndPr/>
              <w:sdtContent>
                <w:tc>
                  <w:tcPr>
                    <w:tcW w:w="2457" w:type="pct"/>
                    <w:shd w:val="clear" w:color="auto" w:fill="FFFFFF"/>
                    <w:vAlign w:val="center"/>
                  </w:tcPr>
                  <w:p w14:paraId="5C06A6EB" w14:textId="77777777" w:rsidR="007E7472" w:rsidRDefault="00EC1269">
                    <w:pPr>
                      <w:rPr>
                        <w:rFonts w:cs="Arial"/>
                        <w:color w:val="000000"/>
                      </w:rPr>
                    </w:pPr>
                    <w:r>
                      <w:rPr>
                        <w:rFonts w:cs="Arial"/>
                        <w:color w:val="000000"/>
                      </w:rPr>
                      <w:t>--</w:t>
                    </w:r>
                    <w:r>
                      <w:rPr>
                        <w:rFonts w:cs="Arial" w:hint="eastAsia"/>
                        <w:color w:val="000000"/>
                        <w:lang w:val="en-GB"/>
                      </w:rPr>
                      <w:t>现金</w:t>
                    </w:r>
                  </w:p>
                </w:tc>
              </w:sdtContent>
            </w:sdt>
            <w:tc>
              <w:tcPr>
                <w:tcW w:w="2543" w:type="pct"/>
              </w:tcPr>
              <w:p w14:paraId="063E6967" w14:textId="77777777" w:rsidR="007E7472" w:rsidRDefault="00EC1269">
                <w:pPr>
                  <w:jc w:val="right"/>
                </w:pPr>
                <w:r>
                  <w:t>861,000</w:t>
                </w:r>
              </w:p>
            </w:tc>
          </w:tr>
          <w:tr w:rsidR="007E7472" w14:paraId="68C12DF7" w14:textId="77777777">
            <w:trPr>
              <w:jc w:val="center"/>
            </w:trPr>
            <w:sdt>
              <w:sdtPr>
                <w:tag w:val="_PLD_1e1cd0fab2b44be4a2af6a95aeb5c48d"/>
                <w:id w:val="903884526"/>
              </w:sdtPr>
              <w:sdtEndPr/>
              <w:sdtContent>
                <w:tc>
                  <w:tcPr>
                    <w:tcW w:w="2457" w:type="pct"/>
                    <w:shd w:val="clear" w:color="auto" w:fill="FFFFFF"/>
                    <w:vAlign w:val="center"/>
                  </w:tcPr>
                  <w:p w14:paraId="75CA6D66" w14:textId="77777777" w:rsidR="007E7472" w:rsidRDefault="00EC1269">
                    <w:pPr>
                      <w:rPr>
                        <w:rFonts w:cs="Arial"/>
                        <w:color w:val="000000"/>
                      </w:rPr>
                    </w:pPr>
                    <w:r>
                      <w:rPr>
                        <w:rFonts w:cs="Arial"/>
                        <w:color w:val="000000"/>
                      </w:rPr>
                      <w:t>--</w:t>
                    </w:r>
                    <w:r>
                      <w:rPr>
                        <w:rFonts w:cs="Arial" w:hint="eastAsia"/>
                        <w:color w:val="000000"/>
                        <w:lang w:val="en-GB"/>
                      </w:rPr>
                      <w:t>非现金资产的账面价值</w:t>
                    </w:r>
                  </w:p>
                </w:tc>
              </w:sdtContent>
            </w:sdt>
            <w:tc>
              <w:tcPr>
                <w:tcW w:w="2543" w:type="pct"/>
              </w:tcPr>
              <w:p w14:paraId="71D3E33A" w14:textId="77777777" w:rsidR="007E7472" w:rsidRDefault="00C8327E">
                <w:pPr>
                  <w:jc w:val="right"/>
                </w:pPr>
              </w:p>
            </w:tc>
          </w:tr>
          <w:tr w:rsidR="007E7472" w14:paraId="2C09EE45" w14:textId="77777777">
            <w:trPr>
              <w:jc w:val="center"/>
            </w:trPr>
            <w:sdt>
              <w:sdtPr>
                <w:tag w:val="_PLD_9fe47a30767c4fb682f4e4915db10915"/>
                <w:id w:val="-1226912884"/>
              </w:sdtPr>
              <w:sdtEndPr/>
              <w:sdtContent>
                <w:tc>
                  <w:tcPr>
                    <w:tcW w:w="2457" w:type="pct"/>
                    <w:shd w:val="clear" w:color="auto" w:fill="FFFFFF"/>
                    <w:vAlign w:val="center"/>
                  </w:tcPr>
                  <w:p w14:paraId="560D4D59" w14:textId="77777777" w:rsidR="007E7472" w:rsidRDefault="00EC1269">
                    <w:pPr>
                      <w:rPr>
                        <w:rFonts w:cs="Arial"/>
                        <w:color w:val="000000"/>
                      </w:rPr>
                    </w:pPr>
                    <w:r>
                      <w:rPr>
                        <w:rFonts w:cs="Arial"/>
                        <w:color w:val="000000"/>
                      </w:rPr>
                      <w:t>--</w:t>
                    </w:r>
                    <w:r>
                      <w:rPr>
                        <w:rFonts w:cs="Arial" w:hint="eastAsia"/>
                        <w:color w:val="000000"/>
                        <w:lang w:val="en-GB"/>
                      </w:rPr>
                      <w:t>发行或承担的债务的账面价值</w:t>
                    </w:r>
                  </w:p>
                </w:tc>
              </w:sdtContent>
            </w:sdt>
            <w:tc>
              <w:tcPr>
                <w:tcW w:w="2543" w:type="pct"/>
              </w:tcPr>
              <w:p w14:paraId="575D2965" w14:textId="77777777" w:rsidR="007E7472" w:rsidRDefault="00C8327E">
                <w:pPr>
                  <w:jc w:val="right"/>
                </w:pPr>
              </w:p>
            </w:tc>
          </w:tr>
          <w:tr w:rsidR="007E7472" w14:paraId="5E5625BA" w14:textId="77777777">
            <w:trPr>
              <w:jc w:val="center"/>
            </w:trPr>
            <w:sdt>
              <w:sdtPr>
                <w:tag w:val="_PLD_a71f6c3158ec4043ad076b10227cdc82"/>
                <w:id w:val="669908166"/>
              </w:sdtPr>
              <w:sdtEndPr/>
              <w:sdtContent>
                <w:tc>
                  <w:tcPr>
                    <w:tcW w:w="2457" w:type="pct"/>
                    <w:shd w:val="clear" w:color="auto" w:fill="FFFFFF"/>
                    <w:vAlign w:val="center"/>
                  </w:tcPr>
                  <w:p w14:paraId="14069A18" w14:textId="77777777" w:rsidR="007E7472" w:rsidRDefault="00EC1269">
                    <w:pPr>
                      <w:rPr>
                        <w:rFonts w:cs="Arial"/>
                        <w:color w:val="000000"/>
                      </w:rPr>
                    </w:pPr>
                    <w:r>
                      <w:rPr>
                        <w:rFonts w:cs="Arial"/>
                        <w:color w:val="000000"/>
                      </w:rPr>
                      <w:t>--</w:t>
                    </w:r>
                    <w:r>
                      <w:rPr>
                        <w:rFonts w:cs="Arial" w:hint="eastAsia"/>
                        <w:color w:val="000000"/>
                        <w:lang w:val="en-GB"/>
                      </w:rPr>
                      <w:t>发行的权益性证券的面值</w:t>
                    </w:r>
                  </w:p>
                </w:tc>
              </w:sdtContent>
            </w:sdt>
            <w:tc>
              <w:tcPr>
                <w:tcW w:w="2543" w:type="pct"/>
              </w:tcPr>
              <w:p w14:paraId="5C525A11" w14:textId="77777777" w:rsidR="007E7472" w:rsidRDefault="00C8327E">
                <w:pPr>
                  <w:jc w:val="right"/>
                </w:pPr>
              </w:p>
            </w:tc>
          </w:tr>
          <w:tr w:rsidR="007E7472" w14:paraId="477828C9" w14:textId="77777777">
            <w:trPr>
              <w:jc w:val="center"/>
            </w:trPr>
            <w:sdt>
              <w:sdtPr>
                <w:tag w:val="_PLD_910fbb0b17e94a0ab3339b75b5766890"/>
                <w:id w:val="-1271163540"/>
              </w:sdtPr>
              <w:sdtEndPr/>
              <w:sdtContent>
                <w:tc>
                  <w:tcPr>
                    <w:tcW w:w="2457" w:type="pct"/>
                    <w:shd w:val="clear" w:color="auto" w:fill="FFFFFF"/>
                    <w:vAlign w:val="center"/>
                  </w:tcPr>
                  <w:p w14:paraId="29F22B76" w14:textId="77777777" w:rsidR="007E7472" w:rsidRDefault="00EC1269">
                    <w:pPr>
                      <w:rPr>
                        <w:rFonts w:cs="Arial"/>
                        <w:color w:val="000000"/>
                      </w:rPr>
                    </w:pPr>
                    <w:r>
                      <w:rPr>
                        <w:rFonts w:cs="Arial"/>
                        <w:color w:val="000000"/>
                      </w:rPr>
                      <w:t>--</w:t>
                    </w:r>
                    <w:r>
                      <w:rPr>
                        <w:rFonts w:cs="Arial" w:hint="eastAsia"/>
                        <w:color w:val="000000"/>
                        <w:lang w:val="en-GB"/>
                      </w:rPr>
                      <w:t>或有对价</w:t>
                    </w:r>
                  </w:p>
                </w:tc>
              </w:sdtContent>
            </w:sdt>
            <w:tc>
              <w:tcPr>
                <w:tcW w:w="2543" w:type="pct"/>
              </w:tcPr>
              <w:p w14:paraId="4A7A0E01" w14:textId="77777777" w:rsidR="007E7472" w:rsidRDefault="00C8327E">
                <w:pPr>
                  <w:jc w:val="right"/>
                </w:pPr>
              </w:p>
            </w:tc>
          </w:tr>
        </w:tbl>
      </w:sdtContent>
    </w:sdt>
    <w:p w14:paraId="67C17A7D" w14:textId="77777777" w:rsidR="007E7472" w:rsidRDefault="00EC1269" w:rsidP="00162493">
      <w:pPr>
        <w:pStyle w:val="4"/>
        <w:numPr>
          <w:ilvl w:val="0"/>
          <w:numId w:val="101"/>
        </w:numPr>
        <w:rPr>
          <w:rFonts w:cs="Arial"/>
        </w:rPr>
      </w:pPr>
      <w:r>
        <w:rPr>
          <w:rFonts w:cs="Arial" w:hint="eastAsia"/>
        </w:rPr>
        <w:t>合并日被合并方资产、负债的账面价值</w:t>
      </w:r>
    </w:p>
    <w:p w14:paraId="0484F497" w14:textId="77777777" w:rsidR="007E7472" w:rsidRDefault="00C8327E">
      <w:sdt>
        <w:sdtPr>
          <w:alias w:val="是否适用：合并日被合并方资产、负债的账面价值[双击切换]"/>
          <w:tag w:val="_GBC_b46a615b0ac64c019a83debe19fe4c1c"/>
          <w:id w:val="-570197085"/>
          <w:lock w:val="contentLocked"/>
          <w:placeholder>
            <w:docPart w:val="GBC22222222222222222222222222222"/>
          </w:placeholder>
        </w:sdtPr>
        <w:sdtEndPr/>
        <w:sdtContent>
          <w:r w:rsidR="00EC1269">
            <w:fldChar w:fldCharType="begin"/>
          </w:r>
          <w:r w:rsidR="00EC1269">
            <w:instrText xml:space="preserve"> MACROBUTTON  SnrToggleCheckbox √适用 </w:instrText>
          </w:r>
          <w:r w:rsidR="00EC1269">
            <w:fldChar w:fldCharType="end"/>
          </w:r>
          <w:r w:rsidR="00EC1269">
            <w:fldChar w:fldCharType="begin"/>
          </w:r>
          <w:r w:rsidR="00EC1269">
            <w:instrText xml:space="preserve"> MACROBUTTON  SnrToggleCheckbox □不适用 </w:instrText>
          </w:r>
          <w:r w:rsidR="00EC1269">
            <w:fldChar w:fldCharType="end"/>
          </w:r>
        </w:sdtContent>
      </w:sdt>
    </w:p>
    <w:p w14:paraId="7BA7FCE6" w14:textId="47EDCA24" w:rsidR="007E7472" w:rsidRDefault="00EC1269">
      <w:pPr>
        <w:jc w:val="right"/>
      </w:pPr>
      <w:r>
        <w:rPr>
          <w:rFonts w:hint="eastAsia"/>
        </w:rPr>
        <w:t>单位：</w:t>
      </w:r>
      <w:sdt>
        <w:sdtPr>
          <w:rPr>
            <w:rFonts w:hint="eastAsia"/>
          </w:rPr>
          <w:alias w:val="单位：财务附注：合并日被合并方资产、负债的账面价值"/>
          <w:tag w:val="_GBC_1e8d25398f6745efac6012e964de837a"/>
          <w:id w:val="208826918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合并日被合并方资产、负债的账面价值"/>
          <w:tag w:val="_GBC_80b9c60fc85e443f9c97e5d91db031a4"/>
          <w:id w:val="148736511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sdt>
      <w:sdtPr>
        <w:alias w:val="模块:被合并方的资产、负债"/>
        <w:tag w:val="_GBC_fd7a9ab8dc354763b98a4d577428c932"/>
        <w:id w:val="-397664315"/>
        <w:lock w:val="sdtLocked"/>
        <w:placeholder>
          <w:docPart w:val="GBC22222222222222222222222222222"/>
        </w:placeholder>
      </w:sdtPr>
      <w:sdtEndPr/>
      <w:sdtContent>
        <w:tbl>
          <w:tblPr>
            <w:tblStyle w:val="g4"/>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7"/>
            <w:gridCol w:w="2850"/>
            <w:gridCol w:w="2816"/>
          </w:tblGrid>
          <w:tr w:rsidR="007E7472" w14:paraId="6DB87992" w14:textId="77777777" w:rsidTr="007E7472">
            <w:trPr>
              <w:jc w:val="center"/>
            </w:trPr>
            <w:tc>
              <w:tcPr>
                <w:tcW w:w="1789" w:type="pct"/>
                <w:vMerge w:val="restart"/>
                <w:shd w:val="clear" w:color="auto" w:fill="auto"/>
                <w:vAlign w:val="center"/>
              </w:tcPr>
              <w:p w14:paraId="769DFEA9" w14:textId="1DE41B73" w:rsidR="007E7472" w:rsidRDefault="00C8327E" w:rsidP="007E7472">
                <w:pPr>
                  <w:rPr>
                    <w:rFonts w:cs="Arial"/>
                  </w:rPr>
                </w:pPr>
                <w:sdt>
                  <w:sdtPr>
                    <w:rPr>
                      <w:rFonts w:cs="Arial" w:hint="eastAsia"/>
                      <w:b/>
                      <w:bCs/>
                    </w:rPr>
                    <w:tag w:val="_PLD_58114727e83841f2bafd80742d24a9c1"/>
                    <w:id w:val="1052495979"/>
                    <w:lock w:val="sdtLocked"/>
                  </w:sdtPr>
                  <w:sdtEndPr/>
                  <w:sdtContent>
                    <w:r w:rsidR="00913748" w:rsidRPr="00C27647">
                      <w:rPr>
                        <w:rFonts w:cs="Arial" w:hint="eastAsia"/>
                        <w:bCs/>
                      </w:rPr>
                      <w:t>报表科目</w:t>
                    </w:r>
                  </w:sdtContent>
                </w:sdt>
              </w:p>
            </w:tc>
            <w:sdt>
              <w:sdtPr>
                <w:rPr>
                  <w:rFonts w:cs="Arial" w:hint="eastAsia"/>
                  <w:lang w:val="en-GB"/>
                </w:rPr>
                <w:alias w:val="被合并方的资产、负债明细-公司名称"/>
                <w:tag w:val="_GBC_6ca427c99fac4bb4bd87047863e2e941"/>
                <w:id w:val="-1302306669"/>
                <w:lock w:val="sdtLocked"/>
              </w:sdtPr>
              <w:sdtEndPr/>
              <w:sdtContent>
                <w:tc>
                  <w:tcPr>
                    <w:tcW w:w="3211" w:type="pct"/>
                    <w:gridSpan w:val="2"/>
                    <w:shd w:val="clear" w:color="auto" w:fill="auto"/>
                  </w:tcPr>
                  <w:p w14:paraId="263F8405" w14:textId="77777777" w:rsidR="007E7472" w:rsidRDefault="00EC1269">
                    <w:pPr>
                      <w:jc w:val="center"/>
                      <w:rPr>
                        <w:rFonts w:cs="Arial"/>
                        <w:lang w:val="en-GB"/>
                      </w:rPr>
                    </w:pPr>
                    <w:r>
                      <w:rPr>
                        <w:rFonts w:cs="Arial" w:hint="eastAsia"/>
                        <w:lang w:val="en-GB"/>
                      </w:rPr>
                      <w:t>山东能源大厦上海有限公司</w:t>
                    </w:r>
                  </w:p>
                </w:tc>
              </w:sdtContent>
            </w:sdt>
          </w:tr>
          <w:tr w:rsidR="007E7472" w14:paraId="2A29E9BF" w14:textId="77777777">
            <w:trPr>
              <w:jc w:val="center"/>
            </w:trPr>
            <w:tc>
              <w:tcPr>
                <w:tcW w:w="1789" w:type="pct"/>
                <w:vMerge/>
                <w:shd w:val="clear" w:color="auto" w:fill="auto"/>
              </w:tcPr>
              <w:p w14:paraId="591CDA5C" w14:textId="77777777" w:rsidR="007E7472" w:rsidRDefault="00C8327E">
                <w:pPr>
                  <w:rPr>
                    <w:rFonts w:cs="Arial"/>
                  </w:rPr>
                </w:pPr>
              </w:p>
            </w:tc>
            <w:sdt>
              <w:sdtPr>
                <w:tag w:val="_PLD_bd87a9dc13f44667ad89e5ec106dd289"/>
                <w:id w:val="969470126"/>
                <w:lock w:val="sdtLocked"/>
              </w:sdtPr>
              <w:sdtEndPr/>
              <w:sdtContent>
                <w:tc>
                  <w:tcPr>
                    <w:tcW w:w="1615" w:type="pct"/>
                    <w:shd w:val="clear" w:color="auto" w:fill="auto"/>
                  </w:tcPr>
                  <w:p w14:paraId="42F1F33B" w14:textId="77777777" w:rsidR="007E7472" w:rsidRDefault="00EC1269">
                    <w:pPr>
                      <w:jc w:val="center"/>
                      <w:rPr>
                        <w:rFonts w:cs="Arial"/>
                      </w:rPr>
                    </w:pPr>
                    <w:r>
                      <w:rPr>
                        <w:rFonts w:cs="Arial" w:hint="eastAsia"/>
                        <w:lang w:val="en-GB"/>
                      </w:rPr>
                      <w:t>合并日</w:t>
                    </w:r>
                  </w:p>
                </w:tc>
              </w:sdtContent>
            </w:sdt>
            <w:sdt>
              <w:sdtPr>
                <w:tag w:val="_PLD_cedec14f78fa454eb6bbd2c6d79b0750"/>
                <w:id w:val="-1188745085"/>
                <w:lock w:val="sdtLocked"/>
              </w:sdtPr>
              <w:sdtEndPr/>
              <w:sdtContent>
                <w:tc>
                  <w:tcPr>
                    <w:tcW w:w="1596" w:type="pct"/>
                    <w:shd w:val="clear" w:color="auto" w:fill="auto"/>
                  </w:tcPr>
                  <w:p w14:paraId="570D0948" w14:textId="77777777" w:rsidR="007E7472" w:rsidRDefault="00EC1269">
                    <w:pPr>
                      <w:jc w:val="center"/>
                      <w:rPr>
                        <w:rFonts w:cs="Arial"/>
                        <w:lang w:val="en-GB"/>
                      </w:rPr>
                    </w:pPr>
                    <w:r>
                      <w:rPr>
                        <w:rFonts w:cs="Arial" w:hint="eastAsia"/>
                        <w:lang w:val="en-GB"/>
                      </w:rPr>
                      <w:t>上期期末</w:t>
                    </w:r>
                  </w:p>
                </w:tc>
              </w:sdtContent>
            </w:sdt>
          </w:tr>
          <w:tr w:rsidR="007E7472" w14:paraId="32F28993" w14:textId="77777777">
            <w:trPr>
              <w:jc w:val="center"/>
            </w:trPr>
            <w:sdt>
              <w:sdtPr>
                <w:rPr>
                  <w:b/>
                </w:rPr>
                <w:tag w:val="_PLD_08138cc5241b466a9f983bdc31dd6bee"/>
                <w:id w:val="1929223544"/>
                <w:lock w:val="sdtLocked"/>
              </w:sdtPr>
              <w:sdtEndPr/>
              <w:sdtContent>
                <w:tc>
                  <w:tcPr>
                    <w:tcW w:w="1789" w:type="pct"/>
                    <w:shd w:val="clear" w:color="auto" w:fill="FFFFFF"/>
                    <w:vAlign w:val="center"/>
                  </w:tcPr>
                  <w:p w14:paraId="24F90F04" w14:textId="77777777" w:rsidR="007E7472" w:rsidRDefault="00EC1269">
                    <w:pPr>
                      <w:rPr>
                        <w:rFonts w:cs="Arial"/>
                        <w:b/>
                        <w:color w:val="000000"/>
                      </w:rPr>
                    </w:pPr>
                    <w:r>
                      <w:rPr>
                        <w:rFonts w:cs="Arial" w:hint="eastAsia"/>
                        <w:b/>
                        <w:color w:val="000000"/>
                        <w:lang w:val="en-GB"/>
                      </w:rPr>
                      <w:t>资产：</w:t>
                    </w:r>
                  </w:p>
                </w:tc>
              </w:sdtContent>
            </w:sdt>
            <w:tc>
              <w:tcPr>
                <w:tcW w:w="1615" w:type="pct"/>
              </w:tcPr>
              <w:p w14:paraId="01C1E300" w14:textId="77777777" w:rsidR="007E7472" w:rsidRDefault="00EC1269">
                <w:pPr>
                  <w:jc w:val="right"/>
                  <w:rPr>
                    <w:rFonts w:cs="Arial"/>
                    <w:b/>
                  </w:rPr>
                </w:pPr>
                <w:r>
                  <w:rPr>
                    <w:rFonts w:cs="Arial"/>
                    <w:b/>
                  </w:rPr>
                  <w:t>1,313,427</w:t>
                </w:r>
              </w:p>
            </w:tc>
            <w:tc>
              <w:tcPr>
                <w:tcW w:w="1596" w:type="pct"/>
              </w:tcPr>
              <w:p w14:paraId="062E229D" w14:textId="77777777" w:rsidR="007E7472" w:rsidRDefault="00EC1269">
                <w:pPr>
                  <w:jc w:val="right"/>
                  <w:rPr>
                    <w:rFonts w:cs="Arial"/>
                    <w:b/>
                  </w:rPr>
                </w:pPr>
                <w:r>
                  <w:rPr>
                    <w:rFonts w:cs="Arial"/>
                    <w:b/>
                  </w:rPr>
                  <w:t>453,191</w:t>
                </w:r>
              </w:p>
            </w:tc>
          </w:tr>
          <w:tr w:rsidR="007E7472" w14:paraId="5628E032" w14:textId="77777777">
            <w:trPr>
              <w:jc w:val="center"/>
            </w:trPr>
            <w:sdt>
              <w:sdtPr>
                <w:tag w:val="_PLD_1ed0e6b6efe74f0398dcf9daf06840d7"/>
                <w:id w:val="1414815633"/>
                <w:lock w:val="sdtLocked"/>
              </w:sdtPr>
              <w:sdtEndPr/>
              <w:sdtContent>
                <w:tc>
                  <w:tcPr>
                    <w:tcW w:w="1789" w:type="pct"/>
                    <w:shd w:val="clear" w:color="auto" w:fill="FFFFFF"/>
                  </w:tcPr>
                  <w:p w14:paraId="1D94A124" w14:textId="77777777" w:rsidR="007E7472" w:rsidRDefault="00EC1269">
                    <w:pPr>
                      <w:rPr>
                        <w:rFonts w:cs="Arial"/>
                      </w:rPr>
                    </w:pPr>
                    <w:r>
                      <w:rPr>
                        <w:rFonts w:cs="Arial" w:hint="eastAsia"/>
                      </w:rPr>
                      <w:t>货币资金</w:t>
                    </w:r>
                  </w:p>
                </w:tc>
              </w:sdtContent>
            </w:sdt>
            <w:tc>
              <w:tcPr>
                <w:tcW w:w="1615" w:type="pct"/>
              </w:tcPr>
              <w:p w14:paraId="69F69703" w14:textId="77777777" w:rsidR="007E7472" w:rsidRDefault="00EC1269">
                <w:pPr>
                  <w:spacing w:line="276" w:lineRule="auto"/>
                  <w:jc w:val="right"/>
                  <w:rPr>
                    <w:rFonts w:cs="Arial"/>
                  </w:rPr>
                </w:pPr>
                <w:r>
                  <w:rPr>
                    <w:rFonts w:cs="Arial"/>
                  </w:rPr>
                  <w:t>861,003</w:t>
                </w:r>
              </w:p>
            </w:tc>
            <w:tc>
              <w:tcPr>
                <w:tcW w:w="1596" w:type="pct"/>
              </w:tcPr>
              <w:p w14:paraId="340C47BD" w14:textId="77777777" w:rsidR="007E7472" w:rsidRDefault="00EC1269">
                <w:pPr>
                  <w:spacing w:line="276" w:lineRule="auto"/>
                  <w:jc w:val="right"/>
                  <w:rPr>
                    <w:rFonts w:cs="Arial"/>
                  </w:rPr>
                </w:pPr>
                <w:r>
                  <w:rPr>
                    <w:rFonts w:cs="Arial"/>
                  </w:rPr>
                  <w:t>2,502</w:t>
                </w:r>
              </w:p>
            </w:tc>
          </w:tr>
          <w:tr w:rsidR="007E7472" w14:paraId="15FAFA42" w14:textId="77777777">
            <w:trPr>
              <w:jc w:val="center"/>
            </w:trPr>
            <w:sdt>
              <w:sdtPr>
                <w:tag w:val="_PLD_145083bcdf6248e49370adfdaef1e0ae"/>
                <w:id w:val="-1501951927"/>
                <w:lock w:val="sdtLocked"/>
              </w:sdtPr>
              <w:sdtEndPr/>
              <w:sdtContent>
                <w:tc>
                  <w:tcPr>
                    <w:tcW w:w="1789" w:type="pct"/>
                    <w:shd w:val="clear" w:color="auto" w:fill="FFFFFF"/>
                  </w:tcPr>
                  <w:p w14:paraId="792DC364" w14:textId="77777777" w:rsidR="007E7472" w:rsidRDefault="00EC1269">
                    <w:pPr>
                      <w:rPr>
                        <w:rFonts w:cs="Arial"/>
                      </w:rPr>
                    </w:pPr>
                    <w:r>
                      <w:rPr>
                        <w:rFonts w:cs="Arial" w:hint="eastAsia"/>
                      </w:rPr>
                      <w:t>应收款项</w:t>
                    </w:r>
                  </w:p>
                </w:tc>
              </w:sdtContent>
            </w:sdt>
            <w:tc>
              <w:tcPr>
                <w:tcW w:w="1615" w:type="pct"/>
              </w:tcPr>
              <w:p w14:paraId="6BADBC60" w14:textId="77777777" w:rsidR="007E7472" w:rsidRDefault="00C8327E">
                <w:pPr>
                  <w:spacing w:line="276" w:lineRule="auto"/>
                  <w:jc w:val="right"/>
                  <w:rPr>
                    <w:rFonts w:cs="Arial"/>
                  </w:rPr>
                </w:pPr>
              </w:p>
            </w:tc>
            <w:tc>
              <w:tcPr>
                <w:tcW w:w="1596" w:type="pct"/>
              </w:tcPr>
              <w:p w14:paraId="0320A232" w14:textId="77777777" w:rsidR="007E7472" w:rsidRDefault="00EC1269">
                <w:pPr>
                  <w:spacing w:line="276" w:lineRule="auto"/>
                  <w:jc w:val="right"/>
                  <w:rPr>
                    <w:rFonts w:cs="Arial"/>
                  </w:rPr>
                </w:pPr>
                <w:r>
                  <w:rPr>
                    <w:rFonts w:cs="Arial" w:hint="eastAsia"/>
                  </w:rPr>
                  <w:t>4</w:t>
                </w:r>
                <w:r>
                  <w:rPr>
                    <w:rFonts w:cs="Arial"/>
                  </w:rPr>
                  <w:t>64</w:t>
                </w:r>
              </w:p>
            </w:tc>
          </w:tr>
          <w:tr w:rsidR="007E7472" w14:paraId="77259A69" w14:textId="77777777">
            <w:trPr>
              <w:jc w:val="center"/>
            </w:trPr>
            <w:sdt>
              <w:sdtPr>
                <w:rPr>
                  <w:rFonts w:cs="Arial"/>
                </w:rPr>
                <w:alias w:val="被合并方的资产科目名称"/>
                <w:tag w:val="_GBC_eed5db0f5ff44906bbb063643961683a"/>
                <w:id w:val="302743731"/>
                <w:lock w:val="sdtLocked"/>
              </w:sdtPr>
              <w:sdtEndPr/>
              <w:sdtContent>
                <w:tc>
                  <w:tcPr>
                    <w:tcW w:w="1789" w:type="pct"/>
                    <w:shd w:val="clear" w:color="auto" w:fill="FFFFFF"/>
                  </w:tcPr>
                  <w:p w14:paraId="585F8241" w14:textId="77777777" w:rsidR="007E7472" w:rsidRDefault="00EC1269">
                    <w:pPr>
                      <w:rPr>
                        <w:rFonts w:cs="Arial"/>
                      </w:rPr>
                    </w:pPr>
                    <w:r>
                      <w:rPr>
                        <w:rFonts w:cs="Arial" w:hint="eastAsia"/>
                      </w:rPr>
                      <w:t>预付账款</w:t>
                    </w:r>
                  </w:p>
                </w:tc>
              </w:sdtContent>
            </w:sdt>
            <w:tc>
              <w:tcPr>
                <w:tcW w:w="1615" w:type="pct"/>
              </w:tcPr>
              <w:p w14:paraId="6314E502" w14:textId="77777777" w:rsidR="007E7472" w:rsidRDefault="00EC1269">
                <w:pPr>
                  <w:jc w:val="right"/>
                  <w:rPr>
                    <w:rFonts w:cs="Arial"/>
                  </w:rPr>
                </w:pPr>
                <w:r>
                  <w:rPr>
                    <w:rFonts w:cs="Arial" w:hint="eastAsia"/>
                  </w:rPr>
                  <w:t>7</w:t>
                </w:r>
                <w:r>
                  <w:rPr>
                    <w:rFonts w:cs="Arial"/>
                  </w:rPr>
                  <w:t>49</w:t>
                </w:r>
              </w:p>
            </w:tc>
            <w:tc>
              <w:tcPr>
                <w:tcW w:w="1596" w:type="pct"/>
              </w:tcPr>
              <w:p w14:paraId="33A25F0F" w14:textId="77777777" w:rsidR="007E7472" w:rsidRDefault="00C8327E">
                <w:pPr>
                  <w:jc w:val="right"/>
                  <w:rPr>
                    <w:rFonts w:cs="Arial"/>
                  </w:rPr>
                </w:pPr>
              </w:p>
            </w:tc>
          </w:tr>
          <w:tr w:rsidR="007E7472" w14:paraId="6EBEEEB9" w14:textId="77777777">
            <w:trPr>
              <w:jc w:val="center"/>
            </w:trPr>
            <w:sdt>
              <w:sdtPr>
                <w:rPr>
                  <w:rFonts w:cs="Arial"/>
                </w:rPr>
                <w:alias w:val="被合并方的资产科目名称"/>
                <w:tag w:val="_GBC_eed5db0f5ff44906bbb063643961683a"/>
                <w:id w:val="-1474985317"/>
                <w:lock w:val="sdtLocked"/>
              </w:sdtPr>
              <w:sdtEndPr/>
              <w:sdtContent>
                <w:tc>
                  <w:tcPr>
                    <w:tcW w:w="1789" w:type="pct"/>
                    <w:shd w:val="clear" w:color="auto" w:fill="FFFFFF"/>
                  </w:tcPr>
                  <w:p w14:paraId="78A1B7C9" w14:textId="77777777" w:rsidR="007E7472" w:rsidRDefault="00EC1269">
                    <w:pPr>
                      <w:rPr>
                        <w:rFonts w:cs="Arial"/>
                      </w:rPr>
                    </w:pPr>
                    <w:r>
                      <w:rPr>
                        <w:rFonts w:cs="Arial" w:hint="eastAsia"/>
                      </w:rPr>
                      <w:t>其他应收款</w:t>
                    </w:r>
                  </w:p>
                </w:tc>
              </w:sdtContent>
            </w:sdt>
            <w:tc>
              <w:tcPr>
                <w:tcW w:w="1615" w:type="pct"/>
              </w:tcPr>
              <w:p w14:paraId="6F148DC8" w14:textId="77777777" w:rsidR="007E7472" w:rsidRDefault="00EC1269">
                <w:pPr>
                  <w:jc w:val="right"/>
                  <w:rPr>
                    <w:rFonts w:cs="Arial"/>
                  </w:rPr>
                </w:pPr>
                <w:r>
                  <w:rPr>
                    <w:rFonts w:cs="Arial"/>
                  </w:rPr>
                  <w:t>35,010</w:t>
                </w:r>
              </w:p>
            </w:tc>
            <w:tc>
              <w:tcPr>
                <w:tcW w:w="1596" w:type="pct"/>
              </w:tcPr>
              <w:p w14:paraId="029023ED" w14:textId="77777777" w:rsidR="007E7472" w:rsidRDefault="00EC1269">
                <w:pPr>
                  <w:jc w:val="right"/>
                  <w:rPr>
                    <w:rFonts w:cs="Arial"/>
                  </w:rPr>
                </w:pPr>
                <w:r>
                  <w:rPr>
                    <w:rFonts w:cs="Arial"/>
                  </w:rPr>
                  <w:t>33,947</w:t>
                </w:r>
              </w:p>
            </w:tc>
          </w:tr>
          <w:tr w:rsidR="007E7472" w14:paraId="7A0B4EEB" w14:textId="77777777">
            <w:trPr>
              <w:jc w:val="center"/>
            </w:trPr>
            <w:sdt>
              <w:sdtPr>
                <w:rPr>
                  <w:rFonts w:cs="Arial"/>
                </w:rPr>
                <w:alias w:val="被合并方的资产科目名称"/>
                <w:tag w:val="_GBC_eed5db0f5ff44906bbb063643961683a"/>
                <w:id w:val="-599565548"/>
                <w:lock w:val="sdtLocked"/>
              </w:sdtPr>
              <w:sdtEndPr/>
              <w:sdtContent>
                <w:tc>
                  <w:tcPr>
                    <w:tcW w:w="1789" w:type="pct"/>
                    <w:shd w:val="clear" w:color="auto" w:fill="FFFFFF"/>
                  </w:tcPr>
                  <w:p w14:paraId="2DD90ED2" w14:textId="77777777" w:rsidR="007E7472" w:rsidRDefault="00EC1269">
                    <w:pPr>
                      <w:rPr>
                        <w:rFonts w:cs="Arial"/>
                      </w:rPr>
                    </w:pPr>
                    <w:r>
                      <w:rPr>
                        <w:rFonts w:cs="Arial" w:hint="eastAsia"/>
                      </w:rPr>
                      <w:t>其他流动资产</w:t>
                    </w:r>
                  </w:p>
                </w:tc>
              </w:sdtContent>
            </w:sdt>
            <w:tc>
              <w:tcPr>
                <w:tcW w:w="1615" w:type="pct"/>
              </w:tcPr>
              <w:p w14:paraId="7B1A5026" w14:textId="77777777" w:rsidR="007E7472" w:rsidRDefault="00EC1269">
                <w:pPr>
                  <w:jc w:val="right"/>
                  <w:rPr>
                    <w:rFonts w:cs="Arial"/>
                  </w:rPr>
                </w:pPr>
                <w:r>
                  <w:rPr>
                    <w:rFonts w:cs="Arial" w:hint="eastAsia"/>
                  </w:rPr>
                  <w:t>1</w:t>
                </w:r>
                <w:r>
                  <w:rPr>
                    <w:rFonts w:cs="Arial"/>
                  </w:rPr>
                  <w:t>93</w:t>
                </w:r>
              </w:p>
            </w:tc>
            <w:tc>
              <w:tcPr>
                <w:tcW w:w="1596" w:type="pct"/>
              </w:tcPr>
              <w:p w14:paraId="3B81B50C" w14:textId="77777777" w:rsidR="007E7472" w:rsidRDefault="00EC1269">
                <w:pPr>
                  <w:jc w:val="right"/>
                  <w:rPr>
                    <w:rFonts w:cs="Arial"/>
                  </w:rPr>
                </w:pPr>
                <w:r>
                  <w:rPr>
                    <w:rFonts w:cs="Arial" w:hint="eastAsia"/>
                  </w:rPr>
                  <w:t>1</w:t>
                </w:r>
                <w:r>
                  <w:rPr>
                    <w:rFonts w:cs="Arial"/>
                  </w:rPr>
                  <w:t>64</w:t>
                </w:r>
              </w:p>
            </w:tc>
          </w:tr>
          <w:tr w:rsidR="007E7472" w14:paraId="1B055491" w14:textId="77777777">
            <w:trPr>
              <w:jc w:val="center"/>
            </w:trPr>
            <w:sdt>
              <w:sdtPr>
                <w:rPr>
                  <w:rFonts w:cs="Arial"/>
                </w:rPr>
                <w:alias w:val="被合并方的资产科目名称"/>
                <w:tag w:val="_GBC_eed5db0f5ff44906bbb063643961683a"/>
                <w:id w:val="1613714350"/>
                <w:lock w:val="sdtLocked"/>
              </w:sdtPr>
              <w:sdtEndPr/>
              <w:sdtContent>
                <w:tc>
                  <w:tcPr>
                    <w:tcW w:w="1789" w:type="pct"/>
                    <w:shd w:val="clear" w:color="auto" w:fill="FFFFFF"/>
                  </w:tcPr>
                  <w:p w14:paraId="1EDF8B1A" w14:textId="77777777" w:rsidR="007E7472" w:rsidRDefault="00EC1269">
                    <w:pPr>
                      <w:rPr>
                        <w:rFonts w:cs="Arial"/>
                      </w:rPr>
                    </w:pPr>
                    <w:r>
                      <w:rPr>
                        <w:rFonts w:cs="Arial" w:hint="eastAsia"/>
                      </w:rPr>
                      <w:t>固定资产</w:t>
                    </w:r>
                  </w:p>
                </w:tc>
              </w:sdtContent>
            </w:sdt>
            <w:tc>
              <w:tcPr>
                <w:tcW w:w="1615" w:type="pct"/>
              </w:tcPr>
              <w:p w14:paraId="00E8367F" w14:textId="77777777" w:rsidR="007E7472" w:rsidRDefault="00EC1269">
                <w:pPr>
                  <w:jc w:val="right"/>
                  <w:rPr>
                    <w:rFonts w:cs="Arial"/>
                  </w:rPr>
                </w:pPr>
                <w:r>
                  <w:rPr>
                    <w:rFonts w:cs="Arial" w:hint="eastAsia"/>
                  </w:rPr>
                  <w:t>6</w:t>
                </w:r>
                <w:r>
                  <w:rPr>
                    <w:rFonts w:cs="Arial"/>
                  </w:rPr>
                  <w:t>39</w:t>
                </w:r>
              </w:p>
            </w:tc>
            <w:tc>
              <w:tcPr>
                <w:tcW w:w="1596" w:type="pct"/>
              </w:tcPr>
              <w:p w14:paraId="677F55A4" w14:textId="77777777" w:rsidR="007E7472" w:rsidRDefault="00EC1269">
                <w:pPr>
                  <w:jc w:val="right"/>
                  <w:rPr>
                    <w:rFonts w:cs="Arial"/>
                  </w:rPr>
                </w:pPr>
                <w:r>
                  <w:rPr>
                    <w:rFonts w:cs="Arial" w:hint="eastAsia"/>
                  </w:rPr>
                  <w:t>6</w:t>
                </w:r>
                <w:r>
                  <w:rPr>
                    <w:rFonts w:cs="Arial"/>
                  </w:rPr>
                  <w:t>70</w:t>
                </w:r>
              </w:p>
            </w:tc>
          </w:tr>
          <w:tr w:rsidR="007E7472" w14:paraId="75374C55" w14:textId="77777777">
            <w:trPr>
              <w:jc w:val="center"/>
            </w:trPr>
            <w:sdt>
              <w:sdtPr>
                <w:rPr>
                  <w:rFonts w:cs="Arial"/>
                </w:rPr>
                <w:alias w:val="被合并方的资产科目名称"/>
                <w:tag w:val="_GBC_eed5db0f5ff44906bbb063643961683a"/>
                <w:id w:val="-1676492966"/>
                <w:lock w:val="sdtLocked"/>
              </w:sdtPr>
              <w:sdtEndPr/>
              <w:sdtContent>
                <w:tc>
                  <w:tcPr>
                    <w:tcW w:w="1789" w:type="pct"/>
                    <w:shd w:val="clear" w:color="auto" w:fill="FFFFFF"/>
                  </w:tcPr>
                  <w:p w14:paraId="3689F167" w14:textId="77777777" w:rsidR="007E7472" w:rsidRDefault="00EC1269">
                    <w:pPr>
                      <w:rPr>
                        <w:rFonts w:cs="Arial"/>
                        <w:color w:val="000000"/>
                      </w:rPr>
                    </w:pPr>
                    <w:r>
                      <w:rPr>
                        <w:rFonts w:cs="Arial" w:hint="eastAsia"/>
                      </w:rPr>
                      <w:t>在建工程</w:t>
                    </w:r>
                  </w:p>
                </w:tc>
              </w:sdtContent>
            </w:sdt>
            <w:tc>
              <w:tcPr>
                <w:tcW w:w="1615" w:type="pct"/>
              </w:tcPr>
              <w:p w14:paraId="64FED522" w14:textId="77777777" w:rsidR="007E7472" w:rsidRDefault="00EC1269">
                <w:pPr>
                  <w:jc w:val="right"/>
                  <w:rPr>
                    <w:rFonts w:cs="Arial"/>
                  </w:rPr>
                </w:pPr>
                <w:r>
                  <w:rPr>
                    <w:rFonts w:cs="Arial"/>
                  </w:rPr>
                  <w:t>415,833</w:t>
                </w:r>
              </w:p>
            </w:tc>
            <w:tc>
              <w:tcPr>
                <w:tcW w:w="1596" w:type="pct"/>
              </w:tcPr>
              <w:p w14:paraId="1F435597" w14:textId="77777777" w:rsidR="007E7472" w:rsidRDefault="00EC1269">
                <w:pPr>
                  <w:jc w:val="right"/>
                  <w:rPr>
                    <w:rFonts w:cs="Arial"/>
                  </w:rPr>
                </w:pPr>
                <w:r>
                  <w:t>415,444</w:t>
                </w:r>
              </w:p>
            </w:tc>
          </w:tr>
          <w:tr w:rsidR="007E7472" w14:paraId="3724BC44" w14:textId="77777777">
            <w:trPr>
              <w:jc w:val="center"/>
            </w:trPr>
            <w:sdt>
              <w:sdtPr>
                <w:tag w:val="_PLD_01d16f9d1fe143b7ba2cb96741725061"/>
                <w:id w:val="1140853568"/>
                <w:lock w:val="sdtLocked"/>
              </w:sdtPr>
              <w:sdtEndPr/>
              <w:sdtContent>
                <w:tc>
                  <w:tcPr>
                    <w:tcW w:w="1789" w:type="pct"/>
                    <w:shd w:val="clear" w:color="auto" w:fill="FFFFFF"/>
                  </w:tcPr>
                  <w:p w14:paraId="657847D9" w14:textId="77777777" w:rsidR="007E7472" w:rsidRDefault="00EC1269">
                    <w:pPr>
                      <w:rPr>
                        <w:rFonts w:cs="Arial"/>
                        <w:color w:val="000000"/>
                      </w:rPr>
                    </w:pPr>
                    <w:r>
                      <w:rPr>
                        <w:rFonts w:cs="Arial" w:hint="eastAsia"/>
                        <w:b/>
                        <w:color w:val="000000"/>
                        <w:lang w:val="en-GB"/>
                      </w:rPr>
                      <w:t>负债：</w:t>
                    </w:r>
                  </w:p>
                </w:tc>
              </w:sdtContent>
            </w:sdt>
            <w:tc>
              <w:tcPr>
                <w:tcW w:w="1615" w:type="pct"/>
              </w:tcPr>
              <w:p w14:paraId="52692A1F" w14:textId="77777777" w:rsidR="007E7472" w:rsidRDefault="00EC1269">
                <w:pPr>
                  <w:jc w:val="right"/>
                  <w:rPr>
                    <w:rFonts w:cs="Arial"/>
                    <w:b/>
                  </w:rPr>
                </w:pPr>
                <w:r>
                  <w:rPr>
                    <w:rFonts w:cs="Arial"/>
                    <w:b/>
                  </w:rPr>
                  <w:t>397,521</w:t>
                </w:r>
              </w:p>
            </w:tc>
            <w:tc>
              <w:tcPr>
                <w:tcW w:w="1596" w:type="pct"/>
              </w:tcPr>
              <w:p w14:paraId="2781BC62" w14:textId="77777777" w:rsidR="007E7472" w:rsidRDefault="00EC1269">
                <w:pPr>
                  <w:jc w:val="right"/>
                  <w:rPr>
                    <w:rFonts w:cs="Arial"/>
                    <w:b/>
                  </w:rPr>
                </w:pPr>
                <w:r>
                  <w:rPr>
                    <w:rFonts w:cs="Arial"/>
                    <w:b/>
                  </w:rPr>
                  <w:t>398,286</w:t>
                </w:r>
              </w:p>
            </w:tc>
          </w:tr>
          <w:tr w:rsidR="007E7472" w14:paraId="42CC5AF8" w14:textId="77777777">
            <w:trPr>
              <w:jc w:val="center"/>
            </w:trPr>
            <w:sdt>
              <w:sdtPr>
                <w:rPr>
                  <w:rFonts w:cs="Arial"/>
                </w:rPr>
                <w:alias w:val="被合并方的负债科目名称"/>
                <w:tag w:val="_GBC_1292b33d606d4ad3b2ce579b199b2150"/>
                <w:id w:val="-440686589"/>
                <w:lock w:val="sdtLocked"/>
              </w:sdtPr>
              <w:sdtEndPr/>
              <w:sdtContent>
                <w:tc>
                  <w:tcPr>
                    <w:tcW w:w="1789" w:type="pct"/>
                    <w:shd w:val="clear" w:color="auto" w:fill="FFFFFF"/>
                  </w:tcPr>
                  <w:p w14:paraId="17574D2E" w14:textId="77777777" w:rsidR="007E7472" w:rsidRDefault="00EC1269">
                    <w:pPr>
                      <w:rPr>
                        <w:rFonts w:cs="Arial"/>
                      </w:rPr>
                    </w:pPr>
                    <w:r>
                      <w:rPr>
                        <w:rFonts w:cs="Arial" w:hint="eastAsia"/>
                      </w:rPr>
                      <w:t>应付账款</w:t>
                    </w:r>
                  </w:p>
                </w:tc>
              </w:sdtContent>
            </w:sdt>
            <w:sdt>
              <w:sdtPr>
                <w:rPr>
                  <w:rFonts w:cs="Arial"/>
                </w:rPr>
                <w:alias w:val="被合并方的负债科目名称金额"/>
                <w:tag w:val="_GBC_b1a42e64883b4803a5a890b24fa205f7"/>
                <w:id w:val="-498037267"/>
                <w:lock w:val="sdtLocked"/>
              </w:sdtPr>
              <w:sdtEndPr/>
              <w:sdtContent>
                <w:tc>
                  <w:tcPr>
                    <w:tcW w:w="1615" w:type="pct"/>
                  </w:tcPr>
                  <w:p w14:paraId="0B389456" w14:textId="77777777" w:rsidR="007E7472" w:rsidRDefault="00EC1269">
                    <w:pPr>
                      <w:jc w:val="right"/>
                      <w:rPr>
                        <w:rFonts w:cs="Arial"/>
                      </w:rPr>
                    </w:pPr>
                    <w:r>
                      <w:rPr>
                        <w:rFonts w:cs="Arial"/>
                      </w:rPr>
                      <w:t>1,774</w:t>
                    </w:r>
                  </w:p>
                </w:tc>
              </w:sdtContent>
            </w:sdt>
            <w:tc>
              <w:tcPr>
                <w:tcW w:w="1596" w:type="pct"/>
              </w:tcPr>
              <w:p w14:paraId="149F6AAE" w14:textId="77777777" w:rsidR="007E7472" w:rsidRDefault="00EC1269">
                <w:pPr>
                  <w:jc w:val="right"/>
                  <w:rPr>
                    <w:rFonts w:cs="Arial"/>
                  </w:rPr>
                </w:pPr>
                <w:r>
                  <w:rPr>
                    <w:rFonts w:cs="Arial"/>
                  </w:rPr>
                  <w:t>1,779</w:t>
                </w:r>
              </w:p>
            </w:tc>
          </w:tr>
          <w:tr w:rsidR="007E7472" w14:paraId="19A7BC6C" w14:textId="77777777">
            <w:trPr>
              <w:jc w:val="center"/>
            </w:trPr>
            <w:sdt>
              <w:sdtPr>
                <w:rPr>
                  <w:rFonts w:cs="Arial"/>
                </w:rPr>
                <w:alias w:val="被合并方的负债科目名称"/>
                <w:tag w:val="_GBC_1292b33d606d4ad3b2ce579b199b2150"/>
                <w:id w:val="377905210"/>
                <w:lock w:val="sdtLocked"/>
              </w:sdtPr>
              <w:sdtEndPr/>
              <w:sdtContent>
                <w:tc>
                  <w:tcPr>
                    <w:tcW w:w="1789" w:type="pct"/>
                    <w:shd w:val="clear" w:color="auto" w:fill="FFFFFF"/>
                  </w:tcPr>
                  <w:p w14:paraId="34CABA0E" w14:textId="77777777" w:rsidR="007E7472" w:rsidRDefault="00EC1269">
                    <w:pPr>
                      <w:rPr>
                        <w:rFonts w:cs="Arial"/>
                      </w:rPr>
                    </w:pPr>
                    <w:r>
                      <w:rPr>
                        <w:rFonts w:cs="Arial" w:hint="eastAsia"/>
                      </w:rPr>
                      <w:t>应付职工薪酬</w:t>
                    </w:r>
                  </w:p>
                </w:tc>
              </w:sdtContent>
            </w:sdt>
            <w:sdt>
              <w:sdtPr>
                <w:rPr>
                  <w:rFonts w:cs="Arial"/>
                </w:rPr>
                <w:alias w:val="被合并方的负债科目名称金额"/>
                <w:tag w:val="_GBC_b1a42e64883b4803a5a890b24fa205f7"/>
                <w:id w:val="-312954303"/>
                <w:lock w:val="sdtLocked"/>
              </w:sdtPr>
              <w:sdtEndPr/>
              <w:sdtContent>
                <w:tc>
                  <w:tcPr>
                    <w:tcW w:w="1615" w:type="pct"/>
                  </w:tcPr>
                  <w:p w14:paraId="60507C62" w14:textId="77777777" w:rsidR="007E7472" w:rsidRDefault="00EC1269">
                    <w:pPr>
                      <w:jc w:val="right"/>
                      <w:rPr>
                        <w:rFonts w:cs="Arial"/>
                      </w:rPr>
                    </w:pPr>
                    <w:r>
                      <w:rPr>
                        <w:rFonts w:cs="Arial"/>
                      </w:rPr>
                      <w:t>380</w:t>
                    </w:r>
                  </w:p>
                </w:tc>
              </w:sdtContent>
            </w:sdt>
            <w:tc>
              <w:tcPr>
                <w:tcW w:w="1596" w:type="pct"/>
              </w:tcPr>
              <w:p w14:paraId="0AC09884" w14:textId="77777777" w:rsidR="007E7472" w:rsidRDefault="00EC1269">
                <w:pPr>
                  <w:jc w:val="right"/>
                  <w:rPr>
                    <w:rFonts w:cs="Arial"/>
                  </w:rPr>
                </w:pPr>
                <w:r>
                  <w:rPr>
                    <w:rFonts w:cs="Arial" w:hint="eastAsia"/>
                  </w:rPr>
                  <w:t>3</w:t>
                </w:r>
                <w:r>
                  <w:rPr>
                    <w:rFonts w:cs="Arial"/>
                  </w:rPr>
                  <w:t>70</w:t>
                </w:r>
              </w:p>
            </w:tc>
          </w:tr>
          <w:tr w:rsidR="007E7472" w14:paraId="1B9401C9" w14:textId="77777777">
            <w:trPr>
              <w:jc w:val="center"/>
            </w:trPr>
            <w:sdt>
              <w:sdtPr>
                <w:rPr>
                  <w:rFonts w:cs="Arial"/>
                </w:rPr>
                <w:alias w:val="被合并方的负债科目名称"/>
                <w:tag w:val="_GBC_1292b33d606d4ad3b2ce579b199b2150"/>
                <w:id w:val="-1007589967"/>
                <w:lock w:val="sdtLocked"/>
              </w:sdtPr>
              <w:sdtEndPr/>
              <w:sdtContent>
                <w:tc>
                  <w:tcPr>
                    <w:tcW w:w="1789" w:type="pct"/>
                    <w:shd w:val="clear" w:color="auto" w:fill="FFFFFF"/>
                  </w:tcPr>
                  <w:p w14:paraId="52F4451D" w14:textId="77777777" w:rsidR="007E7472" w:rsidRDefault="00EC1269">
                    <w:pPr>
                      <w:rPr>
                        <w:rFonts w:cs="Arial"/>
                      </w:rPr>
                    </w:pPr>
                    <w:r>
                      <w:rPr>
                        <w:rFonts w:cs="Arial" w:hint="eastAsia"/>
                      </w:rPr>
                      <w:t>应交税费</w:t>
                    </w:r>
                  </w:p>
                </w:tc>
              </w:sdtContent>
            </w:sdt>
            <w:sdt>
              <w:sdtPr>
                <w:rPr>
                  <w:rFonts w:cs="Arial"/>
                </w:rPr>
                <w:alias w:val="被合并方的负债科目名称金额"/>
                <w:tag w:val="_GBC_b1a42e64883b4803a5a890b24fa205f7"/>
                <w:id w:val="-1829278275"/>
                <w:lock w:val="sdtLocked"/>
              </w:sdtPr>
              <w:sdtEndPr/>
              <w:sdtContent>
                <w:tc>
                  <w:tcPr>
                    <w:tcW w:w="1615" w:type="pct"/>
                  </w:tcPr>
                  <w:p w14:paraId="000C4720" w14:textId="77777777" w:rsidR="007E7472" w:rsidRDefault="00EC1269">
                    <w:pPr>
                      <w:jc w:val="right"/>
                      <w:rPr>
                        <w:rFonts w:cs="Arial"/>
                      </w:rPr>
                    </w:pPr>
                    <w:r>
                      <w:rPr>
                        <w:rFonts w:cs="Arial"/>
                      </w:rPr>
                      <w:t>11</w:t>
                    </w:r>
                  </w:p>
                </w:tc>
              </w:sdtContent>
            </w:sdt>
            <w:tc>
              <w:tcPr>
                <w:tcW w:w="1596" w:type="pct"/>
              </w:tcPr>
              <w:p w14:paraId="72114514" w14:textId="77777777" w:rsidR="007E7472" w:rsidRDefault="00EC1269">
                <w:pPr>
                  <w:jc w:val="right"/>
                  <w:rPr>
                    <w:rFonts w:cs="Arial"/>
                  </w:rPr>
                </w:pPr>
                <w:r>
                  <w:rPr>
                    <w:rFonts w:hint="eastAsia"/>
                  </w:rPr>
                  <w:t>2</w:t>
                </w:r>
                <w:r>
                  <w:t>6</w:t>
                </w:r>
              </w:p>
            </w:tc>
          </w:tr>
          <w:tr w:rsidR="007E7472" w14:paraId="0A3E7975" w14:textId="77777777">
            <w:trPr>
              <w:jc w:val="center"/>
            </w:trPr>
            <w:sdt>
              <w:sdtPr>
                <w:rPr>
                  <w:rFonts w:cs="Arial"/>
                </w:rPr>
                <w:alias w:val="被合并方的负债科目名称"/>
                <w:tag w:val="_GBC_1292b33d606d4ad3b2ce579b199b2150"/>
                <w:id w:val="997227248"/>
                <w:lock w:val="sdtLocked"/>
              </w:sdtPr>
              <w:sdtEndPr/>
              <w:sdtContent>
                <w:tc>
                  <w:tcPr>
                    <w:tcW w:w="1789" w:type="pct"/>
                    <w:shd w:val="clear" w:color="auto" w:fill="FFFFFF"/>
                  </w:tcPr>
                  <w:p w14:paraId="18154454" w14:textId="77777777" w:rsidR="007E7472" w:rsidRDefault="00EC1269">
                    <w:pPr>
                      <w:rPr>
                        <w:rFonts w:cs="Arial"/>
                        <w:color w:val="000000"/>
                      </w:rPr>
                    </w:pPr>
                    <w:r>
                      <w:rPr>
                        <w:rFonts w:cs="Arial" w:hint="eastAsia"/>
                      </w:rPr>
                      <w:t>其他应付款</w:t>
                    </w:r>
                  </w:p>
                </w:tc>
              </w:sdtContent>
            </w:sdt>
            <w:tc>
              <w:tcPr>
                <w:tcW w:w="1615" w:type="pct"/>
              </w:tcPr>
              <w:p w14:paraId="02EB08DC" w14:textId="77777777" w:rsidR="007E7472" w:rsidRDefault="00EC1269">
                <w:pPr>
                  <w:jc w:val="right"/>
                  <w:rPr>
                    <w:rFonts w:cs="Arial"/>
                  </w:rPr>
                </w:pPr>
                <w:r>
                  <w:rPr>
                    <w:rFonts w:cs="Arial"/>
                  </w:rPr>
                  <w:t>395,356</w:t>
                </w:r>
              </w:p>
            </w:tc>
            <w:tc>
              <w:tcPr>
                <w:tcW w:w="1596" w:type="pct"/>
              </w:tcPr>
              <w:p w14:paraId="0DBF9832" w14:textId="77777777" w:rsidR="007E7472" w:rsidRDefault="00EC1269">
                <w:pPr>
                  <w:jc w:val="right"/>
                  <w:rPr>
                    <w:rFonts w:cs="Arial"/>
                  </w:rPr>
                </w:pPr>
                <w:r>
                  <w:rPr>
                    <w:rFonts w:cs="Arial"/>
                  </w:rPr>
                  <w:t>396,111</w:t>
                </w:r>
              </w:p>
            </w:tc>
          </w:tr>
          <w:tr w:rsidR="007E7472" w14:paraId="6B5F3AB2" w14:textId="77777777">
            <w:trPr>
              <w:jc w:val="center"/>
            </w:trPr>
            <w:sdt>
              <w:sdtPr>
                <w:tag w:val="_PLD_406360920d3744b0aed296189e0211d1"/>
                <w:id w:val="-1730154223"/>
                <w:lock w:val="sdtLocked"/>
              </w:sdtPr>
              <w:sdtEndPr/>
              <w:sdtContent>
                <w:tc>
                  <w:tcPr>
                    <w:tcW w:w="1789" w:type="pct"/>
                    <w:shd w:val="clear" w:color="auto" w:fill="FFFFFF"/>
                  </w:tcPr>
                  <w:p w14:paraId="19C625F8" w14:textId="77777777" w:rsidR="007E7472" w:rsidRDefault="00EC1269">
                    <w:pPr>
                      <w:rPr>
                        <w:rFonts w:cs="Arial"/>
                        <w:color w:val="000000"/>
                      </w:rPr>
                    </w:pPr>
                    <w:r>
                      <w:rPr>
                        <w:rFonts w:cs="Arial" w:hint="eastAsia"/>
                        <w:color w:val="000000"/>
                        <w:lang w:val="en-GB"/>
                      </w:rPr>
                      <w:t>净资产</w:t>
                    </w:r>
                  </w:p>
                </w:tc>
              </w:sdtContent>
            </w:sdt>
            <w:tc>
              <w:tcPr>
                <w:tcW w:w="1615" w:type="pct"/>
              </w:tcPr>
              <w:p w14:paraId="61AB51DD" w14:textId="77777777" w:rsidR="007E7472" w:rsidRDefault="00EC1269">
                <w:pPr>
                  <w:jc w:val="right"/>
                  <w:rPr>
                    <w:rFonts w:cs="Arial"/>
                    <w:b/>
                  </w:rPr>
                </w:pPr>
                <w:r>
                  <w:rPr>
                    <w:rFonts w:cs="Arial"/>
                    <w:b/>
                  </w:rPr>
                  <w:t>915,906</w:t>
                </w:r>
              </w:p>
            </w:tc>
            <w:tc>
              <w:tcPr>
                <w:tcW w:w="1596" w:type="pct"/>
              </w:tcPr>
              <w:p w14:paraId="04708306" w14:textId="77777777" w:rsidR="007E7472" w:rsidRDefault="00EC1269">
                <w:pPr>
                  <w:jc w:val="right"/>
                  <w:rPr>
                    <w:rFonts w:cs="Arial"/>
                    <w:b/>
                  </w:rPr>
                </w:pPr>
                <w:r>
                  <w:rPr>
                    <w:rFonts w:cs="Arial"/>
                    <w:b/>
                  </w:rPr>
                  <w:t>54,905</w:t>
                </w:r>
              </w:p>
            </w:tc>
          </w:tr>
          <w:tr w:rsidR="007E7472" w14:paraId="36CF5B4D" w14:textId="77777777">
            <w:trPr>
              <w:jc w:val="center"/>
            </w:trPr>
            <w:sdt>
              <w:sdtPr>
                <w:tag w:val="_PLD_ecf6de7ef31148af86f6fcb22f19e442"/>
                <w:id w:val="2040937464"/>
                <w:lock w:val="sdtLocked"/>
              </w:sdtPr>
              <w:sdtEndPr/>
              <w:sdtContent>
                <w:tc>
                  <w:tcPr>
                    <w:tcW w:w="1789" w:type="pct"/>
                    <w:shd w:val="clear" w:color="auto" w:fill="FFFFFF"/>
                  </w:tcPr>
                  <w:p w14:paraId="3F5B9D60" w14:textId="77777777" w:rsidR="007E7472" w:rsidRDefault="00EC1269">
                    <w:pPr>
                      <w:rPr>
                        <w:rFonts w:cs="Arial"/>
                        <w:color w:val="000000"/>
                      </w:rPr>
                    </w:pPr>
                    <w:r>
                      <w:rPr>
                        <w:rFonts w:cs="Arial" w:hint="eastAsia"/>
                        <w:color w:val="000000"/>
                        <w:lang w:val="en-GB"/>
                      </w:rPr>
                      <w:t>减：少数股东权益</w:t>
                    </w:r>
                  </w:p>
                </w:tc>
              </w:sdtContent>
            </w:sdt>
            <w:tc>
              <w:tcPr>
                <w:tcW w:w="1615" w:type="pct"/>
                <w:vAlign w:val="center"/>
              </w:tcPr>
              <w:p w14:paraId="38B13621" w14:textId="77777777" w:rsidR="007E7472" w:rsidRDefault="00EC1269">
                <w:pPr>
                  <w:jc w:val="right"/>
                  <w:rPr>
                    <w:rFonts w:cs="Arial"/>
                  </w:rPr>
                </w:pPr>
                <w:r>
                  <w:rPr>
                    <w:rFonts w:cs="Arial"/>
                  </w:rPr>
                  <w:t>228,977</w:t>
                </w:r>
              </w:p>
            </w:tc>
            <w:tc>
              <w:tcPr>
                <w:tcW w:w="1596" w:type="pct"/>
                <w:vAlign w:val="center"/>
              </w:tcPr>
              <w:p w14:paraId="01766A0E" w14:textId="77777777" w:rsidR="007E7472" w:rsidRDefault="00EC1269">
                <w:pPr>
                  <w:jc w:val="right"/>
                  <w:rPr>
                    <w:rFonts w:cs="Arial"/>
                  </w:rPr>
                </w:pPr>
                <w:r>
                  <w:rPr>
                    <w:rFonts w:cs="Arial"/>
                  </w:rPr>
                  <w:t>13,726</w:t>
                </w:r>
              </w:p>
            </w:tc>
          </w:tr>
          <w:tr w:rsidR="007E7472" w14:paraId="3113B043" w14:textId="77777777">
            <w:trPr>
              <w:jc w:val="center"/>
            </w:trPr>
            <w:sdt>
              <w:sdtPr>
                <w:tag w:val="_PLD_4003e9198b9349ec895edb1af9372138"/>
                <w:id w:val="-65732612"/>
                <w:lock w:val="sdtLocked"/>
              </w:sdtPr>
              <w:sdtEndPr/>
              <w:sdtContent>
                <w:tc>
                  <w:tcPr>
                    <w:tcW w:w="1789" w:type="pct"/>
                    <w:shd w:val="clear" w:color="auto" w:fill="FFFFFF"/>
                  </w:tcPr>
                  <w:p w14:paraId="4BEE6600" w14:textId="77777777" w:rsidR="007E7472" w:rsidRDefault="00EC1269">
                    <w:pPr>
                      <w:rPr>
                        <w:rFonts w:cs="Arial"/>
                        <w:color w:val="000000"/>
                      </w:rPr>
                    </w:pPr>
                    <w:r>
                      <w:rPr>
                        <w:rFonts w:cs="Arial" w:hint="eastAsia"/>
                        <w:color w:val="000000"/>
                        <w:lang w:val="en-GB"/>
                      </w:rPr>
                      <w:t>取得的净资产</w:t>
                    </w:r>
                  </w:p>
                </w:tc>
              </w:sdtContent>
            </w:sdt>
            <w:tc>
              <w:tcPr>
                <w:tcW w:w="1615" w:type="pct"/>
              </w:tcPr>
              <w:p w14:paraId="13CBE8D1" w14:textId="77777777" w:rsidR="007E7472" w:rsidRDefault="00EC1269">
                <w:pPr>
                  <w:jc w:val="right"/>
                  <w:rPr>
                    <w:rFonts w:cs="Arial"/>
                  </w:rPr>
                </w:pPr>
                <w:r>
                  <w:rPr>
                    <w:rFonts w:cs="Arial"/>
                  </w:rPr>
                  <w:t>686,929</w:t>
                </w:r>
              </w:p>
            </w:tc>
            <w:tc>
              <w:tcPr>
                <w:tcW w:w="1596" w:type="pct"/>
              </w:tcPr>
              <w:p w14:paraId="10AF5319" w14:textId="77777777" w:rsidR="007E7472" w:rsidRDefault="00EC1269">
                <w:pPr>
                  <w:jc w:val="right"/>
                  <w:rPr>
                    <w:rFonts w:cs="Arial"/>
                  </w:rPr>
                </w:pPr>
                <w:r>
                  <w:rPr>
                    <w:rFonts w:cs="Arial"/>
                  </w:rPr>
                  <w:t>41,179</w:t>
                </w:r>
              </w:p>
            </w:tc>
          </w:tr>
        </w:tbl>
        <w:p w14:paraId="5B5DCD6F" w14:textId="77777777" w:rsidR="007E7472" w:rsidRDefault="00C8327E"/>
      </w:sdtContent>
    </w:sdt>
    <w:sdt>
      <w:sdtPr>
        <w:rPr>
          <w:rFonts w:hint="eastAsia"/>
        </w:rPr>
        <w:alias w:val="模块:被合并方的资产、负债的说明"/>
        <w:tag w:val="_GBC_487797176f3744a7a99d390be05f0a8a"/>
        <w:id w:val="-753361114"/>
        <w:lock w:val="sdtLocked"/>
        <w:placeholder>
          <w:docPart w:val="GBC22222222222222222222222222222"/>
        </w:placeholder>
      </w:sdtPr>
      <w:sdtEndPr/>
      <w:sdtContent>
        <w:p w14:paraId="389F0606" w14:textId="77777777" w:rsidR="007E7472" w:rsidRDefault="00EC1269">
          <w:pPr>
            <w:rPr>
              <w:rFonts w:cs="Arial"/>
            </w:rPr>
          </w:pPr>
          <w:r>
            <w:rPr>
              <w:rFonts w:cs="Arial" w:hint="eastAsia"/>
            </w:rPr>
            <w:t>其他说明：</w:t>
          </w:r>
        </w:p>
        <w:sdt>
          <w:sdtPr>
            <w:rPr>
              <w:rFonts w:cs="Arial"/>
            </w:rPr>
            <w:alias w:val="是否适用：被合并方的资产、负债的说明[双击切换]"/>
            <w:tag w:val="_GBC_8f372a5c0c69446aabb6ef4fb8f7c20e"/>
            <w:id w:val="176542242"/>
            <w:lock w:val="sdtLocked"/>
            <w:placeholder>
              <w:docPart w:val="GBC22222222222222222222222222222"/>
            </w:placeholder>
          </w:sdtPr>
          <w:sdtEndPr/>
          <w:sdtContent>
            <w:p w14:paraId="47B6E0D5" w14:textId="77777777" w:rsidR="007E7472" w:rsidRDefault="00EC1269">
              <w:pPr>
                <w:rPr>
                  <w:rFonts w:cs="Arial"/>
                </w:rPr>
              </w:pPr>
              <w:r>
                <w:rPr>
                  <w:rFonts w:cs="Arial"/>
                </w:rPr>
                <w:fldChar w:fldCharType="begin"/>
              </w:r>
              <w:r>
                <w:rPr>
                  <w:rFonts w:cs="Arial"/>
                </w:rPr>
                <w:instrText xml:space="preserve"> MACROBUTTON  SnrToggleCheckbox □适用 </w:instrText>
              </w:r>
              <w:r>
                <w:rPr>
                  <w:rFonts w:cs="Arial"/>
                </w:rPr>
                <w:fldChar w:fldCharType="end"/>
              </w:r>
              <w:r>
                <w:rPr>
                  <w:rFonts w:cs="Arial"/>
                </w:rPr>
                <w:fldChar w:fldCharType="begin"/>
              </w:r>
              <w:r>
                <w:rPr>
                  <w:rFonts w:cs="Arial"/>
                </w:rPr>
                <w:instrText xml:space="preserve"> MACROBUTTON  SnrToggleCheckbox √不适用 </w:instrText>
              </w:r>
              <w:r>
                <w:rPr>
                  <w:rFonts w:cs="Arial"/>
                </w:rPr>
                <w:fldChar w:fldCharType="end"/>
              </w:r>
            </w:p>
          </w:sdtContent>
        </w:sdt>
      </w:sdtContent>
    </w:sdt>
    <w:p w14:paraId="4DDC1E40" w14:textId="77777777" w:rsidR="007E7472" w:rsidRDefault="00C8327E"/>
    <w:sdt>
      <w:sdtPr>
        <w:rPr>
          <w:rFonts w:cs="Arial" w:hint="eastAsia"/>
        </w:rPr>
        <w:alias w:val="模块:反向购买"/>
        <w:tag w:val="_SEC_e0818786830d42ce99957d3ef113691a"/>
        <w:id w:val="795416836"/>
        <w:lock w:val="sdtLocked"/>
        <w:placeholder>
          <w:docPart w:val="GBC22222222222222222222222222222"/>
        </w:placeholder>
      </w:sdtPr>
      <w:sdtEndPr>
        <w:rPr>
          <w:rFonts w:hint="default"/>
        </w:rPr>
      </w:sdtEndPr>
      <w:sdtContent>
        <w:p w14:paraId="1081530C" w14:textId="77777777" w:rsidR="007E7472" w:rsidRPr="00951C25" w:rsidRDefault="00EC1269" w:rsidP="00162493">
          <w:pPr>
            <w:numPr>
              <w:ilvl w:val="0"/>
              <w:numId w:val="100"/>
            </w:numPr>
            <w:outlineLvl w:val="2"/>
            <w:rPr>
              <w:rFonts w:cs="Arial"/>
              <w:b/>
            </w:rPr>
          </w:pPr>
          <w:r w:rsidRPr="00951C25">
            <w:rPr>
              <w:rFonts w:cs="Arial" w:hint="eastAsia"/>
              <w:b/>
            </w:rPr>
            <w:t>反向购买</w:t>
          </w:r>
        </w:p>
        <w:sdt>
          <w:sdtPr>
            <w:alias w:val="是否适用：反向购买[双击切换]"/>
            <w:tag w:val="_GBC_973cde3cea5d460790de47cc49169bde"/>
            <w:id w:val="-961338122"/>
            <w:lock w:val="sdtLocked"/>
            <w:placeholder>
              <w:docPart w:val="GBC22222222222222222222222222222"/>
            </w:placeholder>
          </w:sdtPr>
          <w:sdtEndPr/>
          <w:sdtContent>
            <w:p w14:paraId="4C5BA603"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E99FC19" w14:textId="61F61500" w:rsidR="007E7472" w:rsidRPr="00951C25" w:rsidRDefault="00C8327E">
          <w:pPr>
            <w:rPr>
              <w:rFonts w:cs="Arial"/>
            </w:rPr>
            <w:sectPr w:rsidR="007E7472" w:rsidRPr="00951C25">
              <w:pgSz w:w="11906" w:h="16838"/>
              <w:pgMar w:top="1440" w:right="1797" w:bottom="1525" w:left="1276" w:header="856" w:footer="992" w:gutter="0"/>
              <w:cols w:space="425"/>
              <w:docGrid w:type="lines" w:linePitch="312"/>
            </w:sectPr>
          </w:pPr>
        </w:p>
      </w:sdtContent>
    </w:sdt>
    <w:sdt>
      <w:sdtPr>
        <w:rPr>
          <w:rFonts w:cs="Arial" w:hint="eastAsia"/>
        </w:rPr>
        <w:alias w:val="模块:处置子公司"/>
        <w:tag w:val="_GBC_cc6d41993eca4369a3cdb3c33d4f3299"/>
        <w:id w:val="1226099996"/>
        <w:lock w:val="sdtLocked"/>
        <w:placeholder>
          <w:docPart w:val="GBC22222222222222222222222222222"/>
        </w:placeholder>
      </w:sdtPr>
      <w:sdtEndPr>
        <w:rPr>
          <w:rFonts w:cs="宋体"/>
          <w:color w:val="000000"/>
        </w:rPr>
      </w:sdtEndPr>
      <w:sdtContent>
        <w:p w14:paraId="54693BB3" w14:textId="77777777" w:rsidR="007E7472" w:rsidRPr="00951C25" w:rsidRDefault="00EC1269" w:rsidP="00162493">
          <w:pPr>
            <w:numPr>
              <w:ilvl w:val="0"/>
              <w:numId w:val="100"/>
            </w:numPr>
            <w:outlineLvl w:val="2"/>
            <w:rPr>
              <w:rFonts w:cs="Arial"/>
              <w:b/>
            </w:rPr>
          </w:pPr>
          <w:r w:rsidRPr="00951C25">
            <w:rPr>
              <w:rFonts w:cs="Arial" w:hint="eastAsia"/>
              <w:b/>
            </w:rPr>
            <w:t>处置子公司</w:t>
          </w:r>
        </w:p>
        <w:p w14:paraId="64241C17" w14:textId="77777777" w:rsidR="007E7472" w:rsidRDefault="00EC1269">
          <w:r>
            <w:rPr>
              <w:rFonts w:hint="eastAsia"/>
            </w:rPr>
            <w:t>是否存在单次处置</w:t>
          </w:r>
          <w:r>
            <w:t>对子公司投资即丧失控制权的情形</w:t>
          </w:r>
        </w:p>
        <w:sdt>
          <w:sdtPr>
            <w:rPr>
              <w:rFonts w:cs="Arial" w:hint="eastAsia"/>
            </w:rPr>
            <w:alias w:val="是否存在单次交易处置对子公司投资即丧失控制权的情形[双击切换]"/>
            <w:tag w:val="_GBC_a2b81d1c138141d5bea164d8b7f9ce19"/>
            <w:id w:val="-210956816"/>
            <w:lock w:val="sdtLocked"/>
            <w:placeholder>
              <w:docPart w:val="GBC22222222222222222222222222222"/>
            </w:placeholder>
          </w:sdtPr>
          <w:sdtEndPr/>
          <w:sdtContent>
            <w:p w14:paraId="585684EE" w14:textId="77777777" w:rsidR="007E7472" w:rsidRDefault="00EC1269">
              <w:pPr>
                <w:rPr>
                  <w:rFonts w:cs="Arial"/>
                  <w:color w:val="000000"/>
                </w:rPr>
              </w:pPr>
              <w:r>
                <w:rPr>
                  <w:rFonts w:cs="Arial"/>
                </w:rPr>
                <w:fldChar w:fldCharType="begin"/>
              </w:r>
              <w:r>
                <w:rPr>
                  <w:rFonts w:cs="Arial"/>
                </w:rPr>
                <w:instrText>MACROBUTTON  SnrToggleCheckbox □适用</w:instrText>
              </w:r>
              <w:r>
                <w:rPr>
                  <w:rFonts w:cs="Arial"/>
                </w:rPr>
                <w:fldChar w:fldCharType="end"/>
              </w:r>
              <w:r>
                <w:rPr>
                  <w:rFonts w:cs="Arial"/>
                </w:rPr>
                <w:fldChar w:fldCharType="begin"/>
              </w:r>
              <w:r>
                <w:rPr>
                  <w:rFonts w:cs="Arial"/>
                </w:rPr>
                <w:instrText xml:space="preserve"> MACROBUTTON  SnrToggleCheckbox √不适用 </w:instrText>
              </w:r>
              <w:r>
                <w:rPr>
                  <w:rFonts w:cs="Arial"/>
                </w:rPr>
                <w:fldChar w:fldCharType="end"/>
              </w:r>
            </w:p>
          </w:sdtContent>
        </w:sdt>
        <w:p w14:paraId="0A3691DB" w14:textId="77777777" w:rsidR="007E7472" w:rsidRDefault="00EC1269">
          <w:pPr>
            <w:rPr>
              <w:rFonts w:cs="Arial"/>
              <w:color w:val="000000"/>
            </w:rPr>
          </w:pPr>
          <w:r>
            <w:rPr>
              <w:rFonts w:cs="Arial" w:hint="eastAsia"/>
              <w:color w:val="000000"/>
            </w:rPr>
            <w:t>其他说明：</w:t>
          </w:r>
        </w:p>
        <w:sdt>
          <w:sdtPr>
            <w:rPr>
              <w:rFonts w:cs="Arial"/>
              <w:color w:val="000000"/>
            </w:rPr>
            <w:alias w:val="是否适用：单次交易处置对子公司投资即丧失控制权的情形的说明[双击切换]"/>
            <w:tag w:val="_GBC_28bcdbd3ff45497eb8fc02428c0c76e4"/>
            <w:id w:val="-305010023"/>
            <w:lock w:val="sdtLocked"/>
            <w:placeholder>
              <w:docPart w:val="GBC22222222222222222222222222222"/>
            </w:placeholder>
          </w:sdtPr>
          <w:sdtEndPr/>
          <w:sdtContent>
            <w:p w14:paraId="6A86278B" w14:textId="77777777" w:rsidR="007E7472" w:rsidRDefault="00EC1269">
              <w:pPr>
                <w:rPr>
                  <w:color w:val="000000"/>
                </w:rPr>
              </w:pPr>
              <w:r>
                <w:rPr>
                  <w:rFonts w:cs="Arial"/>
                  <w:color w:val="000000"/>
                </w:rPr>
                <w:fldChar w:fldCharType="begin"/>
              </w:r>
              <w:r>
                <w:rPr>
                  <w:rFonts w:cs="Arial"/>
                  <w:color w:val="000000"/>
                </w:rPr>
                <w:instrText xml:space="preserve"> MACROBUTTON  SnrToggleCheckbox □适用 </w:instrText>
              </w:r>
              <w:r>
                <w:rPr>
                  <w:rFonts w:cs="Arial"/>
                  <w:color w:val="000000"/>
                </w:rPr>
                <w:fldChar w:fldCharType="end"/>
              </w:r>
              <w:r>
                <w:rPr>
                  <w:rFonts w:cs="Arial"/>
                  <w:color w:val="000000"/>
                </w:rPr>
                <w:fldChar w:fldCharType="begin"/>
              </w:r>
              <w:r>
                <w:rPr>
                  <w:rFonts w:cs="Arial"/>
                  <w:color w:val="000000"/>
                </w:rPr>
                <w:instrText xml:space="preserve"> MACROBUTTON  SnrToggleCheckbox √不适用 </w:instrText>
              </w:r>
              <w:r>
                <w:rPr>
                  <w:rFonts w:cs="Arial"/>
                  <w:color w:val="000000"/>
                </w:rPr>
                <w:fldChar w:fldCharType="end"/>
              </w:r>
            </w:p>
          </w:sdtContent>
        </w:sdt>
      </w:sdtContent>
    </w:sdt>
    <w:p w14:paraId="37A7E70C" w14:textId="77777777" w:rsidR="007E7472" w:rsidRDefault="00C8327E">
      <w:pPr>
        <w:rPr>
          <w:rFonts w:cs="Arial"/>
          <w:color w:val="000000"/>
        </w:rPr>
      </w:pPr>
    </w:p>
    <w:sdt>
      <w:sdtPr>
        <w:rPr>
          <w:rFonts w:cs="Arial" w:hint="eastAsia"/>
          <w:color w:val="000000"/>
          <w:szCs w:val="24"/>
        </w:rPr>
        <w:alias w:val="模块:其他原因的合并范围变动"/>
        <w:tag w:val="_GBC_c61d869cb31c439992bb2118c8eaac1e"/>
        <w:id w:val="819458084"/>
        <w:lock w:val="sdtLocked"/>
        <w:placeholder>
          <w:docPart w:val="GBC22222222222222222222222222222"/>
        </w:placeholder>
      </w:sdtPr>
      <w:sdtEndPr>
        <w:rPr>
          <w:szCs w:val="21"/>
        </w:rPr>
      </w:sdtEndPr>
      <w:sdtContent>
        <w:p w14:paraId="3F57923F" w14:textId="77777777" w:rsidR="007E7472" w:rsidRPr="00951C25" w:rsidRDefault="00EC1269" w:rsidP="00162493">
          <w:pPr>
            <w:numPr>
              <w:ilvl w:val="0"/>
              <w:numId w:val="100"/>
            </w:numPr>
            <w:outlineLvl w:val="2"/>
            <w:rPr>
              <w:rFonts w:cs="Arial"/>
              <w:b/>
              <w:color w:val="000000"/>
            </w:rPr>
          </w:pPr>
          <w:r w:rsidRPr="00951C25">
            <w:rPr>
              <w:rFonts w:cs="Arial" w:hint="eastAsia"/>
              <w:b/>
              <w:color w:val="000000"/>
            </w:rPr>
            <w:t>其他原因的合并范围变动</w:t>
          </w:r>
        </w:p>
        <w:p w14:paraId="1D926164" w14:textId="77777777" w:rsidR="007E7472" w:rsidRDefault="00EC1269">
          <w:r>
            <w:rPr>
              <w:rFonts w:hint="eastAsia"/>
            </w:rPr>
            <w:t>说明其他原因导致的合并范围变动（如，新设子公司、清算子公司等）及其相关情况：</w:t>
          </w:r>
        </w:p>
        <w:sdt>
          <w:sdtPr>
            <w:alias w:val="是否适用：其他原因导致的合并范围变动及其相关情况[双击切换]"/>
            <w:tag w:val="_GBC_55cbf4f78793498cb1532f08bfbb61f4"/>
            <w:id w:val="217797402"/>
            <w:lock w:val="sdtLocked"/>
          </w:sdtPr>
          <w:sdtEndPr/>
          <w:sdtContent>
            <w:p w14:paraId="13AEFF64" w14:textId="77777777" w:rsidR="007E7472" w:rsidRDefault="00EC1269">
              <w:r>
                <w:fldChar w:fldCharType="begin"/>
              </w:r>
              <w:r>
                <w:instrText xml:space="preserve"> MACROBUTTON SnrToggleCheckbox √适用 </w:instrText>
              </w:r>
              <w:r>
                <w:fldChar w:fldCharType="end"/>
              </w:r>
              <w:r>
                <w:fldChar w:fldCharType="begin"/>
              </w:r>
              <w:r>
                <w:instrText xml:space="preserve">MACROBUTTON  SnrToggleCheckbox □不适用 </w:instrText>
              </w:r>
              <w:r>
                <w:fldChar w:fldCharType="end"/>
              </w:r>
            </w:p>
          </w:sdtContent>
        </w:sdt>
        <w:sdt>
          <w:sdtPr>
            <w:rPr>
              <w:rFonts w:cs="Arial"/>
              <w:color w:val="000000"/>
            </w:rPr>
            <w:alias w:val="其他原因的合并范围变动"/>
            <w:tag w:val="_GBC_c83a0d19a27e42c0927cf85c8c6221e2"/>
            <w:id w:val="1568689834"/>
            <w:lock w:val="sdtLocked"/>
          </w:sdtPr>
          <w:sdtEndPr/>
          <w:sdtContent>
            <w:p w14:paraId="3B884C70" w14:textId="77777777" w:rsidR="007E7472" w:rsidRDefault="00C8327E">
              <w:pPr>
                <w:rPr>
                  <w:rFonts w:cs="Arial"/>
                  <w:color w:val="000000"/>
                </w:rPr>
              </w:pPr>
            </w:p>
            <w:tbl>
              <w:tblPr>
                <w:tblStyle w:val="g4"/>
                <w:tblW w:w="0" w:type="auto"/>
                <w:tblLook w:val="04A0" w:firstRow="1" w:lastRow="0" w:firstColumn="1" w:lastColumn="0" w:noHBand="0" w:noVBand="1"/>
              </w:tblPr>
              <w:tblGrid>
                <w:gridCol w:w="4622"/>
                <w:gridCol w:w="4617"/>
                <w:gridCol w:w="4624"/>
              </w:tblGrid>
              <w:tr w:rsidR="007E7472" w14:paraId="71494883" w14:textId="77777777">
                <w:tc>
                  <w:tcPr>
                    <w:tcW w:w="4696" w:type="dxa"/>
                    <w:tcBorders>
                      <w:top w:val="single" w:sz="4" w:space="0" w:color="auto"/>
                      <w:left w:val="single" w:sz="4" w:space="0" w:color="auto"/>
                      <w:bottom w:val="single" w:sz="4" w:space="0" w:color="auto"/>
                      <w:right w:val="single" w:sz="4" w:space="0" w:color="auto"/>
                    </w:tcBorders>
                  </w:tcPr>
                  <w:p w14:paraId="76E9257F" w14:textId="77777777" w:rsidR="007E7472" w:rsidRDefault="00EC1269">
                    <w:pPr>
                      <w:jc w:val="center"/>
                    </w:pPr>
                    <w:r>
                      <w:rPr>
                        <w:rFonts w:hint="eastAsia"/>
                      </w:rPr>
                      <w:t>公司名称</w:t>
                    </w:r>
                  </w:p>
                </w:tc>
                <w:tc>
                  <w:tcPr>
                    <w:tcW w:w="4696" w:type="dxa"/>
                    <w:tcBorders>
                      <w:top w:val="single" w:sz="4" w:space="0" w:color="auto"/>
                      <w:left w:val="single" w:sz="4" w:space="0" w:color="auto"/>
                      <w:bottom w:val="single" w:sz="4" w:space="0" w:color="auto"/>
                      <w:right w:val="single" w:sz="4" w:space="0" w:color="auto"/>
                    </w:tcBorders>
                  </w:tcPr>
                  <w:p w14:paraId="69507DE8" w14:textId="77777777" w:rsidR="007E7472" w:rsidRDefault="00EC1269">
                    <w:pPr>
                      <w:jc w:val="center"/>
                    </w:pPr>
                    <w:r>
                      <w:rPr>
                        <w:rFonts w:hint="eastAsia"/>
                      </w:rPr>
                      <w:t>新纳入合并范围的原因</w:t>
                    </w:r>
                  </w:p>
                </w:tc>
                <w:tc>
                  <w:tcPr>
                    <w:tcW w:w="4697" w:type="dxa"/>
                    <w:tcBorders>
                      <w:top w:val="single" w:sz="4" w:space="0" w:color="auto"/>
                      <w:left w:val="single" w:sz="4" w:space="0" w:color="auto"/>
                      <w:bottom w:val="single" w:sz="4" w:space="0" w:color="auto"/>
                      <w:right w:val="single" w:sz="4" w:space="0" w:color="auto"/>
                    </w:tcBorders>
                  </w:tcPr>
                  <w:p w14:paraId="4FFB2863" w14:textId="77777777" w:rsidR="007E7472" w:rsidRDefault="00EC1269">
                    <w:pPr>
                      <w:jc w:val="center"/>
                    </w:pPr>
                    <w:r>
                      <w:rPr>
                        <w:rFonts w:hint="eastAsia"/>
                      </w:rPr>
                      <w:t>持股比例（%）</w:t>
                    </w:r>
                  </w:p>
                </w:tc>
              </w:tr>
              <w:tr w:rsidR="007E7472" w14:paraId="77B0C50D" w14:textId="77777777">
                <w:tc>
                  <w:tcPr>
                    <w:tcW w:w="4696" w:type="dxa"/>
                    <w:tcBorders>
                      <w:top w:val="single" w:sz="4" w:space="0" w:color="auto"/>
                      <w:left w:val="single" w:sz="4" w:space="0" w:color="auto"/>
                      <w:bottom w:val="single" w:sz="4" w:space="0" w:color="auto"/>
                      <w:right w:val="single" w:sz="4" w:space="0" w:color="auto"/>
                    </w:tcBorders>
                  </w:tcPr>
                  <w:p w14:paraId="236FAEAC" w14:textId="77777777" w:rsidR="007E7472" w:rsidRDefault="00EC1269">
                    <w:r>
                      <w:rPr>
                        <w:rFonts w:hint="eastAsia"/>
                      </w:rPr>
                      <w:t>兖矿商业保理（上海）有限公司</w:t>
                    </w:r>
                  </w:p>
                </w:tc>
                <w:tc>
                  <w:tcPr>
                    <w:tcW w:w="4696" w:type="dxa"/>
                    <w:tcBorders>
                      <w:top w:val="single" w:sz="4" w:space="0" w:color="auto"/>
                      <w:left w:val="single" w:sz="4" w:space="0" w:color="auto"/>
                      <w:bottom w:val="single" w:sz="4" w:space="0" w:color="auto"/>
                      <w:right w:val="single" w:sz="4" w:space="0" w:color="auto"/>
                    </w:tcBorders>
                  </w:tcPr>
                  <w:p w14:paraId="0E8CB150" w14:textId="77777777" w:rsidR="007E7472" w:rsidRDefault="00EC1269">
                    <w:pPr>
                      <w:jc w:val="center"/>
                    </w:pPr>
                    <w:r>
                      <w:rPr>
                        <w:rFonts w:hint="eastAsia"/>
                      </w:rPr>
                      <w:t>新设</w:t>
                    </w:r>
                  </w:p>
                </w:tc>
                <w:tc>
                  <w:tcPr>
                    <w:tcW w:w="4697" w:type="dxa"/>
                    <w:tcBorders>
                      <w:top w:val="single" w:sz="4" w:space="0" w:color="auto"/>
                      <w:left w:val="single" w:sz="4" w:space="0" w:color="auto"/>
                      <w:bottom w:val="single" w:sz="4" w:space="0" w:color="auto"/>
                      <w:right w:val="single" w:sz="4" w:space="0" w:color="auto"/>
                    </w:tcBorders>
                  </w:tcPr>
                  <w:p w14:paraId="467AFFB6" w14:textId="77777777" w:rsidR="007E7472" w:rsidRDefault="00EC1269">
                    <w:pPr>
                      <w:jc w:val="center"/>
                    </w:pPr>
                    <w:r>
                      <w:rPr>
                        <w:rFonts w:hint="eastAsia"/>
                      </w:rPr>
                      <w:t>100</w:t>
                    </w:r>
                  </w:p>
                </w:tc>
              </w:tr>
            </w:tbl>
            <w:p w14:paraId="53847F0E" w14:textId="77777777" w:rsidR="007E7472" w:rsidRDefault="00C8327E">
              <w:pPr>
                <w:rPr>
                  <w:rFonts w:cs="Arial"/>
                  <w:color w:val="000000"/>
                </w:rPr>
              </w:pPr>
            </w:p>
          </w:sdtContent>
        </w:sdt>
      </w:sdtContent>
    </w:sdt>
    <w:sdt>
      <w:sdtPr>
        <w:rPr>
          <w:rFonts w:cs="Arial" w:hint="eastAsia"/>
          <w:color w:val="000000"/>
          <w:szCs w:val="24"/>
        </w:rPr>
        <w:alias w:val="模块:同一控制下企业合并其他"/>
        <w:tag w:val="_GBC_8ddcb59af8af49d295c61727d65b8301"/>
        <w:id w:val="1286545420"/>
        <w:lock w:val="sdtLocked"/>
        <w:placeholder>
          <w:docPart w:val="GBC22222222222222222222222222222"/>
        </w:placeholder>
      </w:sdtPr>
      <w:sdtEndPr>
        <w:rPr>
          <w:szCs w:val="21"/>
        </w:rPr>
      </w:sdtEndPr>
      <w:sdtContent>
        <w:p w14:paraId="1D0B1554" w14:textId="77777777" w:rsidR="007E7472" w:rsidRPr="00132B90" w:rsidRDefault="00EC1269" w:rsidP="00162493">
          <w:pPr>
            <w:numPr>
              <w:ilvl w:val="0"/>
              <w:numId w:val="100"/>
            </w:numPr>
            <w:outlineLvl w:val="2"/>
            <w:rPr>
              <w:rFonts w:cs="Arial"/>
              <w:b/>
              <w:color w:val="000000"/>
            </w:rPr>
          </w:pPr>
          <w:r w:rsidRPr="00132B90">
            <w:rPr>
              <w:rFonts w:cs="Arial" w:hint="eastAsia"/>
              <w:b/>
              <w:color w:val="000000"/>
            </w:rPr>
            <w:t>其他</w:t>
          </w:r>
        </w:p>
        <w:sdt>
          <w:sdtPr>
            <w:alias w:val="是否适用：合并范围的变更-其他说明[双击切换]"/>
            <w:tag w:val="_GBC_cca0ea12df6c44878cdcbeced06ed993"/>
            <w:id w:val="106403024"/>
            <w:lock w:val="sdtLocked"/>
            <w:placeholder>
              <w:docPart w:val="GBC22222222222222222222222222222"/>
            </w:placeholder>
          </w:sdtPr>
          <w:sdtEndPr/>
          <w:sdtContent>
            <w:p w14:paraId="4D3DF7CE" w14:textId="77777777" w:rsidR="007E7472" w:rsidRDefault="00EC1269">
              <w:pPr>
                <w:rPr>
                  <w:rFonts w:cs="Arial"/>
                  <w:color w:val="000000"/>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5D586DD4" w14:textId="77777777" w:rsidR="007E7472" w:rsidRDefault="00C8327E">
      <w:pPr>
        <w:sectPr w:rsidR="007E7472">
          <w:pgSz w:w="16838" w:h="11906" w:orient="landscape"/>
          <w:pgMar w:top="1797" w:right="1525" w:bottom="1276" w:left="1440" w:header="856" w:footer="992" w:gutter="0"/>
          <w:cols w:space="425"/>
          <w:docGrid w:linePitch="312"/>
        </w:sectPr>
      </w:pPr>
    </w:p>
    <w:p w14:paraId="247A4F9C" w14:textId="77777777" w:rsidR="007E7472" w:rsidRPr="00C847B1" w:rsidRDefault="00EC1269" w:rsidP="00162493">
      <w:pPr>
        <w:pStyle w:val="2"/>
        <w:numPr>
          <w:ilvl w:val="0"/>
          <w:numId w:val="43"/>
        </w:numPr>
        <w:ind w:firstLineChars="0"/>
        <w:rPr>
          <w:szCs w:val="24"/>
        </w:rPr>
      </w:pPr>
      <w:r w:rsidRPr="00C847B1">
        <w:rPr>
          <w:rFonts w:hint="eastAsia"/>
          <w:szCs w:val="24"/>
        </w:rPr>
        <w:lastRenderedPageBreak/>
        <w:t>在其他主体中的权益</w:t>
      </w:r>
    </w:p>
    <w:p w14:paraId="034CD53D" w14:textId="77777777" w:rsidR="007E7472" w:rsidRPr="00951C25" w:rsidRDefault="00EC1269" w:rsidP="00162493">
      <w:pPr>
        <w:numPr>
          <w:ilvl w:val="2"/>
          <w:numId w:val="102"/>
        </w:numPr>
        <w:outlineLvl w:val="2"/>
        <w:rPr>
          <w:b/>
        </w:rPr>
      </w:pPr>
      <w:r w:rsidRPr="00951C25">
        <w:rPr>
          <w:rFonts w:hint="eastAsia"/>
          <w:b/>
        </w:rPr>
        <w:t>在子公司中的权益</w:t>
      </w:r>
    </w:p>
    <w:sdt>
      <w:sdtPr>
        <w:rPr>
          <w:rFonts w:ascii="宋体" w:hAnsi="宋体" w:cs="宋体" w:hint="eastAsia"/>
          <w:b w:val="0"/>
          <w:bCs w:val="0"/>
          <w:kern w:val="0"/>
          <w:szCs w:val="24"/>
        </w:rPr>
        <w:alias w:val="模块:企业集团的构成"/>
        <w:tag w:val="_GBC_47f8b786d9024ebb977349f022d18c1c"/>
        <w:id w:val="848306614"/>
        <w:lock w:val="sdtLocked"/>
        <w:placeholder>
          <w:docPart w:val="GBC22222222222222222222222222222"/>
        </w:placeholder>
      </w:sdtPr>
      <w:sdtEndPr>
        <w:rPr>
          <w:rFonts w:cstheme="minorBidi" w:hint="default"/>
          <w:szCs w:val="21"/>
        </w:rPr>
      </w:sdtEndPr>
      <w:sdtContent>
        <w:p w14:paraId="359D362A" w14:textId="77777777" w:rsidR="007E7472" w:rsidRDefault="00EC1269" w:rsidP="00162493">
          <w:pPr>
            <w:pStyle w:val="4"/>
            <w:numPr>
              <w:ilvl w:val="0"/>
              <w:numId w:val="103"/>
            </w:numPr>
          </w:pPr>
          <w:r>
            <w:rPr>
              <w:rFonts w:hint="eastAsia"/>
            </w:rPr>
            <w:t>企业集团的构成</w:t>
          </w:r>
        </w:p>
        <w:sdt>
          <w:sdtPr>
            <w:alias w:val="是否适用：企业集团的构成[双击切换]"/>
            <w:tag w:val="_GBC_34a27c9c622e483cb4651d6ff3bc0d5a"/>
            <w:id w:val="-1072729575"/>
            <w:lock w:val="sdtLocked"/>
            <w:placeholder>
              <w:docPart w:val="GBC22222222222222222222222222222"/>
            </w:placeholder>
          </w:sdtPr>
          <w:sdtEndPr/>
          <w:sdtContent>
            <w:p w14:paraId="6B33BB28" w14:textId="77777777" w:rsidR="007E7472" w:rsidRDefault="00EC1269">
              <w:r>
                <w:fldChar w:fldCharType="begin"/>
              </w:r>
              <w:r>
                <w:instrText xml:space="preserve"> MACROBUTTON  SnrToggleCheckbox √适用 </w:instrText>
              </w:r>
              <w:r>
                <w:fldChar w:fldCharType="end"/>
              </w:r>
              <w:r>
                <w:rPr>
                  <w:rFonts w:hint="eastAsia"/>
                </w:rPr>
                <w:fldChar w:fldCharType="begin"/>
              </w:r>
              <w:r>
                <w:rPr>
                  <w:rFonts w:hint="eastAsia"/>
                </w:rPr>
                <w:instrText xml:space="preserve"> MACROBUTTON  SnrToggleCheckbox □不适用 </w:instrText>
              </w:r>
              <w:r>
                <w:rPr>
                  <w:rFonts w:hint="eastAsia"/>
                </w:rPr>
                <w:fldChar w:fldCharType="end"/>
              </w:r>
            </w:p>
          </w:sdtContent>
        </w:sdt>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135"/>
            <w:gridCol w:w="1115"/>
            <w:gridCol w:w="1269"/>
            <w:gridCol w:w="1255"/>
            <w:gridCol w:w="1255"/>
            <w:gridCol w:w="1382"/>
          </w:tblGrid>
          <w:tr w:rsidR="007E7472" w14:paraId="3183066C" w14:textId="77777777">
            <w:trPr>
              <w:trHeight w:val="247"/>
              <w:tblHeader/>
            </w:trPr>
            <w:sdt>
              <w:sdtPr>
                <w:tag w:val="_PLD_e6e24505838941c88a7f70e573a1261c"/>
                <w:id w:val="2005630286"/>
                <w:lock w:val="sdtLocked"/>
              </w:sdtPr>
              <w:sdtEndPr/>
              <w:sdtContent>
                <w:tc>
                  <w:tcPr>
                    <w:tcW w:w="800" w:type="pct"/>
                    <w:vMerge w:val="restart"/>
                    <w:shd w:val="clear" w:color="auto" w:fill="auto"/>
                    <w:vAlign w:val="center"/>
                  </w:tcPr>
                  <w:p w14:paraId="3A9FCC77" w14:textId="77777777" w:rsidR="007E7472" w:rsidRDefault="00EC1269">
                    <w:pPr>
                      <w:jc w:val="center"/>
                      <w:rPr>
                        <w:rFonts w:cs="Arial"/>
                        <w:lang w:val="en-GB"/>
                      </w:rPr>
                    </w:pPr>
                    <w:r>
                      <w:rPr>
                        <w:rFonts w:cs="Arial" w:hint="eastAsia"/>
                        <w:lang w:val="en-GB"/>
                      </w:rPr>
                      <w:t>子公司</w:t>
                    </w:r>
                  </w:p>
                  <w:p w14:paraId="1F73D077" w14:textId="77777777" w:rsidR="007E7472" w:rsidRDefault="00EC1269">
                    <w:pPr>
                      <w:jc w:val="center"/>
                      <w:rPr>
                        <w:rFonts w:cs="Arial"/>
                      </w:rPr>
                    </w:pPr>
                    <w:r>
                      <w:rPr>
                        <w:rFonts w:cs="Arial" w:hint="eastAsia"/>
                        <w:lang w:val="en-GB"/>
                      </w:rPr>
                      <w:t>名称</w:t>
                    </w:r>
                  </w:p>
                </w:tc>
              </w:sdtContent>
            </w:sdt>
            <w:sdt>
              <w:sdtPr>
                <w:tag w:val="_PLD_056e18f052024978add90fe8aacf887d"/>
                <w:id w:val="1920054478"/>
                <w:lock w:val="sdtLocked"/>
              </w:sdtPr>
              <w:sdtEndPr/>
              <w:sdtContent>
                <w:tc>
                  <w:tcPr>
                    <w:tcW w:w="643" w:type="pct"/>
                    <w:vMerge w:val="restart"/>
                    <w:shd w:val="clear" w:color="auto" w:fill="auto"/>
                    <w:vAlign w:val="center"/>
                  </w:tcPr>
                  <w:p w14:paraId="391139E6" w14:textId="77777777" w:rsidR="007E7472" w:rsidRDefault="00EC1269">
                    <w:pPr>
                      <w:jc w:val="center"/>
                      <w:rPr>
                        <w:rFonts w:cs="Arial"/>
                      </w:rPr>
                    </w:pPr>
                    <w:r>
                      <w:rPr>
                        <w:rFonts w:cs="Arial" w:hint="eastAsia"/>
                        <w:lang w:val="en-GB"/>
                      </w:rPr>
                      <w:t>主要经营地</w:t>
                    </w:r>
                  </w:p>
                </w:tc>
              </w:sdtContent>
            </w:sdt>
            <w:sdt>
              <w:sdtPr>
                <w:tag w:val="_PLD_591af8ff23104790a7ac5dbb3278e185"/>
                <w:id w:val="-1694755613"/>
                <w:lock w:val="sdtLocked"/>
              </w:sdtPr>
              <w:sdtEndPr/>
              <w:sdtContent>
                <w:tc>
                  <w:tcPr>
                    <w:tcW w:w="632" w:type="pct"/>
                    <w:vMerge w:val="restart"/>
                    <w:shd w:val="clear" w:color="auto" w:fill="auto"/>
                    <w:vAlign w:val="center"/>
                  </w:tcPr>
                  <w:p w14:paraId="64E71022" w14:textId="77777777" w:rsidR="007E7472" w:rsidRDefault="00EC1269">
                    <w:pPr>
                      <w:jc w:val="center"/>
                      <w:rPr>
                        <w:rFonts w:cs="Arial"/>
                      </w:rPr>
                    </w:pPr>
                    <w:r>
                      <w:rPr>
                        <w:rFonts w:cs="Arial" w:hint="eastAsia"/>
                        <w:lang w:val="en-GB"/>
                      </w:rPr>
                      <w:t>注册地</w:t>
                    </w:r>
                  </w:p>
                </w:tc>
              </w:sdtContent>
            </w:sdt>
            <w:sdt>
              <w:sdtPr>
                <w:tag w:val="_PLD_00f166f7d07d4fab80fa91c95fb5d089"/>
                <w:id w:val="-2110265649"/>
                <w:lock w:val="sdtLocked"/>
              </w:sdtPr>
              <w:sdtEndPr/>
              <w:sdtContent>
                <w:tc>
                  <w:tcPr>
                    <w:tcW w:w="719" w:type="pct"/>
                    <w:vMerge w:val="restart"/>
                    <w:shd w:val="clear" w:color="auto" w:fill="auto"/>
                    <w:vAlign w:val="center"/>
                  </w:tcPr>
                  <w:p w14:paraId="0F62D18E" w14:textId="77777777" w:rsidR="007E7472" w:rsidRDefault="00EC1269">
                    <w:pPr>
                      <w:jc w:val="center"/>
                      <w:rPr>
                        <w:rFonts w:cs="Arial"/>
                      </w:rPr>
                    </w:pPr>
                    <w:r>
                      <w:rPr>
                        <w:rFonts w:cs="Arial" w:hint="eastAsia"/>
                        <w:lang w:val="en-GB"/>
                      </w:rPr>
                      <w:t>业务性质</w:t>
                    </w:r>
                  </w:p>
                </w:tc>
              </w:sdtContent>
            </w:sdt>
            <w:sdt>
              <w:sdtPr>
                <w:tag w:val="_PLD_312b40f444994b628fc2b8c3e4c90fdc"/>
                <w:id w:val="108022857"/>
                <w:lock w:val="sdtLocked"/>
              </w:sdtPr>
              <w:sdtEndPr/>
              <w:sdtContent>
                <w:tc>
                  <w:tcPr>
                    <w:tcW w:w="1422" w:type="pct"/>
                    <w:gridSpan w:val="2"/>
                    <w:shd w:val="clear" w:color="auto" w:fill="auto"/>
                    <w:vAlign w:val="center"/>
                  </w:tcPr>
                  <w:p w14:paraId="5D0DE8F6" w14:textId="77777777" w:rsidR="007E7472" w:rsidRDefault="00EC1269">
                    <w:pPr>
                      <w:jc w:val="center"/>
                      <w:rPr>
                        <w:rFonts w:cs="Arial"/>
                      </w:rPr>
                    </w:pPr>
                    <w:r>
                      <w:rPr>
                        <w:rFonts w:cs="Arial" w:hint="eastAsia"/>
                        <w:lang w:val="en-GB"/>
                      </w:rPr>
                      <w:t>持股比例</w:t>
                    </w:r>
                    <w:r>
                      <w:rPr>
                        <w:rFonts w:cs="Arial"/>
                      </w:rPr>
                      <w:t>(%)</w:t>
                    </w:r>
                  </w:p>
                </w:tc>
              </w:sdtContent>
            </w:sdt>
            <w:sdt>
              <w:sdtPr>
                <w:tag w:val="_PLD_7955b51c085a48948cb5518baa55ee50"/>
                <w:id w:val="-542906294"/>
                <w:lock w:val="sdtLocked"/>
              </w:sdtPr>
              <w:sdtEndPr/>
              <w:sdtContent>
                <w:tc>
                  <w:tcPr>
                    <w:tcW w:w="783" w:type="pct"/>
                    <w:vMerge w:val="restart"/>
                    <w:shd w:val="clear" w:color="auto" w:fill="auto"/>
                    <w:vAlign w:val="center"/>
                  </w:tcPr>
                  <w:p w14:paraId="79AEFDEE" w14:textId="77777777" w:rsidR="007E7472" w:rsidRDefault="00EC1269">
                    <w:pPr>
                      <w:jc w:val="center"/>
                      <w:rPr>
                        <w:rFonts w:cs="Arial"/>
                        <w:lang w:val="en-GB"/>
                      </w:rPr>
                    </w:pPr>
                    <w:r>
                      <w:rPr>
                        <w:rFonts w:cs="Arial" w:hint="eastAsia"/>
                        <w:lang w:val="en-GB"/>
                      </w:rPr>
                      <w:t>取得</w:t>
                    </w:r>
                  </w:p>
                  <w:p w14:paraId="49508820" w14:textId="77777777" w:rsidR="007E7472" w:rsidRDefault="00EC1269">
                    <w:pPr>
                      <w:jc w:val="center"/>
                      <w:rPr>
                        <w:rFonts w:cs="Arial"/>
                        <w:lang w:val="en-GB"/>
                      </w:rPr>
                    </w:pPr>
                    <w:r>
                      <w:rPr>
                        <w:rFonts w:cs="Arial" w:hint="eastAsia"/>
                        <w:lang w:val="en-GB"/>
                      </w:rPr>
                      <w:t>方式</w:t>
                    </w:r>
                  </w:p>
                </w:tc>
              </w:sdtContent>
            </w:sdt>
          </w:tr>
          <w:tr w:rsidR="007E7472" w14:paraId="4A154345" w14:textId="77777777">
            <w:trPr>
              <w:trHeight w:val="278"/>
              <w:tblHeader/>
            </w:trPr>
            <w:tc>
              <w:tcPr>
                <w:tcW w:w="800" w:type="pct"/>
                <w:vMerge/>
                <w:shd w:val="clear" w:color="auto" w:fill="auto"/>
                <w:vAlign w:val="center"/>
              </w:tcPr>
              <w:p w14:paraId="0A9A2C10" w14:textId="77777777" w:rsidR="007E7472" w:rsidRDefault="00C8327E">
                <w:pPr>
                  <w:rPr>
                    <w:rFonts w:cs="Arial"/>
                  </w:rPr>
                </w:pPr>
              </w:p>
            </w:tc>
            <w:tc>
              <w:tcPr>
                <w:tcW w:w="643" w:type="pct"/>
                <w:vMerge/>
                <w:shd w:val="clear" w:color="auto" w:fill="auto"/>
                <w:vAlign w:val="center"/>
              </w:tcPr>
              <w:p w14:paraId="57991895" w14:textId="77777777" w:rsidR="007E7472" w:rsidRDefault="00C8327E">
                <w:pPr>
                  <w:rPr>
                    <w:rFonts w:cs="Arial"/>
                  </w:rPr>
                </w:pPr>
              </w:p>
            </w:tc>
            <w:tc>
              <w:tcPr>
                <w:tcW w:w="632" w:type="pct"/>
                <w:vMerge/>
                <w:shd w:val="clear" w:color="auto" w:fill="auto"/>
                <w:vAlign w:val="center"/>
              </w:tcPr>
              <w:p w14:paraId="275103DE" w14:textId="77777777" w:rsidR="007E7472" w:rsidRDefault="00C8327E">
                <w:pPr>
                  <w:rPr>
                    <w:rFonts w:cs="Arial"/>
                  </w:rPr>
                </w:pPr>
              </w:p>
            </w:tc>
            <w:tc>
              <w:tcPr>
                <w:tcW w:w="719" w:type="pct"/>
                <w:vMerge/>
                <w:shd w:val="clear" w:color="auto" w:fill="auto"/>
                <w:vAlign w:val="center"/>
              </w:tcPr>
              <w:p w14:paraId="6A0E192A" w14:textId="77777777" w:rsidR="007E7472" w:rsidRDefault="00C8327E">
                <w:pPr>
                  <w:rPr>
                    <w:rFonts w:cs="Arial"/>
                  </w:rPr>
                </w:pPr>
              </w:p>
            </w:tc>
            <w:sdt>
              <w:sdtPr>
                <w:tag w:val="_PLD_ab045acafe9d4890848568705ddd5475"/>
                <w:id w:val="-833986825"/>
                <w:lock w:val="sdtLocked"/>
              </w:sdtPr>
              <w:sdtEndPr/>
              <w:sdtContent>
                <w:tc>
                  <w:tcPr>
                    <w:tcW w:w="711" w:type="pct"/>
                    <w:shd w:val="clear" w:color="auto" w:fill="auto"/>
                    <w:vAlign w:val="center"/>
                  </w:tcPr>
                  <w:p w14:paraId="39E83EF8" w14:textId="77777777" w:rsidR="007E7472" w:rsidRDefault="00EC1269">
                    <w:pPr>
                      <w:jc w:val="center"/>
                      <w:rPr>
                        <w:rFonts w:cs="Arial"/>
                      </w:rPr>
                    </w:pPr>
                    <w:r>
                      <w:rPr>
                        <w:rFonts w:cs="Arial" w:hint="eastAsia"/>
                        <w:lang w:val="en-GB"/>
                      </w:rPr>
                      <w:t>直接</w:t>
                    </w:r>
                  </w:p>
                </w:tc>
              </w:sdtContent>
            </w:sdt>
            <w:sdt>
              <w:sdtPr>
                <w:tag w:val="_PLD_78e5db032e5044cba22bc40c16ee940a"/>
                <w:id w:val="-1930109513"/>
                <w:lock w:val="sdtLocked"/>
              </w:sdtPr>
              <w:sdtEndPr/>
              <w:sdtContent>
                <w:tc>
                  <w:tcPr>
                    <w:tcW w:w="711" w:type="pct"/>
                    <w:shd w:val="clear" w:color="auto" w:fill="auto"/>
                    <w:vAlign w:val="center"/>
                  </w:tcPr>
                  <w:p w14:paraId="1DC47A5A" w14:textId="77777777" w:rsidR="007E7472" w:rsidRDefault="00EC1269">
                    <w:pPr>
                      <w:jc w:val="center"/>
                      <w:rPr>
                        <w:rFonts w:cs="Arial"/>
                      </w:rPr>
                    </w:pPr>
                    <w:r>
                      <w:rPr>
                        <w:rFonts w:cs="Arial" w:hint="eastAsia"/>
                        <w:lang w:val="en-GB"/>
                      </w:rPr>
                      <w:t>间接</w:t>
                    </w:r>
                  </w:p>
                </w:tc>
              </w:sdtContent>
            </w:sdt>
            <w:tc>
              <w:tcPr>
                <w:tcW w:w="783" w:type="pct"/>
                <w:vMerge/>
              </w:tcPr>
              <w:p w14:paraId="15968266" w14:textId="77777777" w:rsidR="007E7472" w:rsidRDefault="00C8327E">
                <w:pPr>
                  <w:rPr>
                    <w:rFonts w:cs="Arial"/>
                  </w:rPr>
                </w:pPr>
              </w:p>
            </w:tc>
          </w:tr>
          <w:tr w:rsidR="007E7472" w14:paraId="065D6997" w14:textId="77777777">
            <w:tc>
              <w:tcPr>
                <w:tcW w:w="800" w:type="pct"/>
                <w:vAlign w:val="center"/>
              </w:tcPr>
              <w:p w14:paraId="2CC27B18" w14:textId="77777777" w:rsidR="007E7472" w:rsidRDefault="00EC1269">
                <w:r>
                  <w:rPr>
                    <w:rFonts w:hint="eastAsia"/>
                  </w:rPr>
                  <w:t>兖煤澳大利亚有限公司</w:t>
                </w:r>
              </w:p>
            </w:tc>
            <w:tc>
              <w:tcPr>
                <w:tcW w:w="643" w:type="pct"/>
                <w:vAlign w:val="center"/>
              </w:tcPr>
              <w:p w14:paraId="3BF91712" w14:textId="77777777" w:rsidR="007E7472" w:rsidRDefault="00EC1269">
                <w:pPr>
                  <w:jc w:val="center"/>
                </w:pPr>
                <w:r>
                  <w:t>澳大利亚</w:t>
                </w:r>
              </w:p>
            </w:tc>
            <w:tc>
              <w:tcPr>
                <w:tcW w:w="632" w:type="pct"/>
                <w:vAlign w:val="center"/>
              </w:tcPr>
              <w:p w14:paraId="5DF6CEBA" w14:textId="77777777" w:rsidR="007E7472" w:rsidRDefault="00EC1269">
                <w:pPr>
                  <w:jc w:val="center"/>
                </w:pPr>
                <w:r>
                  <w:t>澳大利亚</w:t>
                </w:r>
              </w:p>
            </w:tc>
            <w:tc>
              <w:tcPr>
                <w:tcW w:w="719" w:type="pct"/>
                <w:vAlign w:val="center"/>
              </w:tcPr>
              <w:p w14:paraId="60659075" w14:textId="77777777" w:rsidR="007E7472" w:rsidRDefault="00EC1269">
                <w:r>
                  <w:t>投资控股</w:t>
                </w:r>
              </w:p>
            </w:tc>
            <w:tc>
              <w:tcPr>
                <w:tcW w:w="711" w:type="pct"/>
                <w:vAlign w:val="center"/>
              </w:tcPr>
              <w:p w14:paraId="3363BF02" w14:textId="77777777" w:rsidR="007E7472" w:rsidRDefault="00EC1269">
                <w:pPr>
                  <w:jc w:val="right"/>
                </w:pPr>
                <w:r>
                  <w:t>62.26</w:t>
                </w:r>
              </w:p>
            </w:tc>
            <w:tc>
              <w:tcPr>
                <w:tcW w:w="711" w:type="pct"/>
                <w:vAlign w:val="center"/>
              </w:tcPr>
              <w:p w14:paraId="14A375CA" w14:textId="77777777" w:rsidR="007E7472" w:rsidRDefault="00C8327E">
                <w:pPr>
                  <w:jc w:val="right"/>
                </w:pPr>
              </w:p>
            </w:tc>
            <w:tc>
              <w:tcPr>
                <w:tcW w:w="783" w:type="pct"/>
                <w:vAlign w:val="center"/>
              </w:tcPr>
              <w:p w14:paraId="5DEA737D" w14:textId="77777777" w:rsidR="007E7472" w:rsidRDefault="00EC1269">
                <w:pPr>
                  <w:jc w:val="right"/>
                </w:pPr>
                <w:r>
                  <w:t>投资设立</w:t>
                </w:r>
              </w:p>
            </w:tc>
          </w:tr>
          <w:tr w:rsidR="007E7472" w14:paraId="6BF3BEEF" w14:textId="77777777">
            <w:tc>
              <w:tcPr>
                <w:tcW w:w="800" w:type="pct"/>
                <w:vAlign w:val="center"/>
              </w:tcPr>
              <w:p w14:paraId="48A87DE7" w14:textId="77777777" w:rsidR="007E7472" w:rsidRDefault="00EC1269">
                <w:r>
                  <w:rPr>
                    <w:rFonts w:hint="eastAsia"/>
                  </w:rPr>
                  <w:t>格罗斯特煤炭有限公司</w:t>
                </w:r>
              </w:p>
            </w:tc>
            <w:tc>
              <w:tcPr>
                <w:tcW w:w="643" w:type="pct"/>
                <w:vAlign w:val="center"/>
              </w:tcPr>
              <w:p w14:paraId="02F2DBAA" w14:textId="77777777" w:rsidR="007E7472" w:rsidRDefault="00EC1269">
                <w:pPr>
                  <w:jc w:val="center"/>
                </w:pPr>
                <w:r>
                  <w:t>澳大利亚</w:t>
                </w:r>
              </w:p>
            </w:tc>
            <w:tc>
              <w:tcPr>
                <w:tcW w:w="632" w:type="pct"/>
                <w:vAlign w:val="center"/>
              </w:tcPr>
              <w:p w14:paraId="39E1CCF1" w14:textId="77777777" w:rsidR="007E7472" w:rsidRDefault="00EC1269">
                <w:pPr>
                  <w:jc w:val="center"/>
                </w:pPr>
                <w:r>
                  <w:t>澳大利亚</w:t>
                </w:r>
              </w:p>
            </w:tc>
            <w:tc>
              <w:tcPr>
                <w:tcW w:w="719" w:type="pct"/>
                <w:vAlign w:val="center"/>
              </w:tcPr>
              <w:p w14:paraId="26801EA2" w14:textId="77777777" w:rsidR="007E7472" w:rsidRDefault="00EC1269">
                <w:r>
                  <w:t>煤炭及煤炭相关资源的开发和运营</w:t>
                </w:r>
              </w:p>
            </w:tc>
            <w:tc>
              <w:tcPr>
                <w:tcW w:w="711" w:type="pct"/>
                <w:vAlign w:val="center"/>
              </w:tcPr>
              <w:p w14:paraId="1C23F89B" w14:textId="77777777" w:rsidR="007E7472" w:rsidRDefault="00C8327E">
                <w:pPr>
                  <w:jc w:val="right"/>
                </w:pPr>
              </w:p>
            </w:tc>
            <w:tc>
              <w:tcPr>
                <w:tcW w:w="711" w:type="pct"/>
                <w:vAlign w:val="center"/>
              </w:tcPr>
              <w:p w14:paraId="2B051E4A" w14:textId="77777777" w:rsidR="007E7472" w:rsidRDefault="00EC1269">
                <w:pPr>
                  <w:jc w:val="right"/>
                </w:pPr>
                <w:r>
                  <w:t>100</w:t>
                </w:r>
              </w:p>
            </w:tc>
            <w:tc>
              <w:tcPr>
                <w:tcW w:w="783" w:type="pct"/>
                <w:vAlign w:val="center"/>
              </w:tcPr>
              <w:p w14:paraId="7E67B766" w14:textId="77777777" w:rsidR="007E7472" w:rsidRDefault="00EC1269">
                <w:pPr>
                  <w:jc w:val="right"/>
                </w:pPr>
                <w:r>
                  <w:t>非同一控制下企业合并</w:t>
                </w:r>
              </w:p>
            </w:tc>
          </w:tr>
          <w:tr w:rsidR="007E7472" w14:paraId="2D4B31AF" w14:textId="77777777">
            <w:tc>
              <w:tcPr>
                <w:tcW w:w="800" w:type="pct"/>
                <w:vAlign w:val="center"/>
              </w:tcPr>
              <w:p w14:paraId="00F0D2D6" w14:textId="77777777" w:rsidR="007E7472" w:rsidRDefault="00EC1269">
                <w:r>
                  <w:rPr>
                    <w:rFonts w:hint="eastAsia"/>
                  </w:rPr>
                  <w:t>兖煤澳大利亚资源有限公司</w:t>
                </w:r>
              </w:p>
            </w:tc>
            <w:tc>
              <w:tcPr>
                <w:tcW w:w="643" w:type="pct"/>
                <w:vAlign w:val="center"/>
              </w:tcPr>
              <w:p w14:paraId="31D50088" w14:textId="77777777" w:rsidR="007E7472" w:rsidRDefault="00EC1269">
                <w:pPr>
                  <w:jc w:val="center"/>
                </w:pPr>
                <w:r>
                  <w:t>澳大利亚</w:t>
                </w:r>
              </w:p>
            </w:tc>
            <w:tc>
              <w:tcPr>
                <w:tcW w:w="632" w:type="pct"/>
                <w:vAlign w:val="center"/>
              </w:tcPr>
              <w:p w14:paraId="5382425D" w14:textId="77777777" w:rsidR="007E7472" w:rsidRDefault="00EC1269">
                <w:pPr>
                  <w:jc w:val="center"/>
                </w:pPr>
                <w:r>
                  <w:t>澳大利亚</w:t>
                </w:r>
              </w:p>
            </w:tc>
            <w:tc>
              <w:tcPr>
                <w:tcW w:w="719" w:type="pct"/>
                <w:vAlign w:val="center"/>
              </w:tcPr>
              <w:p w14:paraId="4738D0C6" w14:textId="77777777" w:rsidR="007E7472" w:rsidRDefault="00EC1269">
                <w:r>
                  <w:t>煤炭开采与勘探</w:t>
                </w:r>
              </w:p>
            </w:tc>
            <w:tc>
              <w:tcPr>
                <w:tcW w:w="711" w:type="pct"/>
                <w:vAlign w:val="center"/>
              </w:tcPr>
              <w:p w14:paraId="69AE1C23" w14:textId="77777777" w:rsidR="007E7472" w:rsidRDefault="00C8327E">
                <w:pPr>
                  <w:jc w:val="right"/>
                </w:pPr>
              </w:p>
            </w:tc>
            <w:tc>
              <w:tcPr>
                <w:tcW w:w="711" w:type="pct"/>
                <w:vAlign w:val="center"/>
              </w:tcPr>
              <w:p w14:paraId="577A4D3F" w14:textId="77777777" w:rsidR="007E7472" w:rsidRDefault="00EC1269">
                <w:pPr>
                  <w:jc w:val="right"/>
                </w:pPr>
                <w:r>
                  <w:t>100</w:t>
                </w:r>
              </w:p>
            </w:tc>
            <w:tc>
              <w:tcPr>
                <w:tcW w:w="783" w:type="pct"/>
                <w:vAlign w:val="center"/>
              </w:tcPr>
              <w:p w14:paraId="09F23E42" w14:textId="77777777" w:rsidR="007E7472" w:rsidRDefault="00EC1269">
                <w:pPr>
                  <w:jc w:val="right"/>
                </w:pPr>
                <w:r>
                  <w:t>非同一控制下企业合并</w:t>
                </w:r>
              </w:p>
            </w:tc>
          </w:tr>
          <w:tr w:rsidR="007E7472" w14:paraId="467087CB" w14:textId="77777777">
            <w:tc>
              <w:tcPr>
                <w:tcW w:w="800" w:type="pct"/>
                <w:vAlign w:val="center"/>
              </w:tcPr>
              <w:p w14:paraId="38BDD9E5" w14:textId="77777777" w:rsidR="007E7472" w:rsidRDefault="00EC1269">
                <w:r>
                  <w:rPr>
                    <w:rFonts w:hint="eastAsia"/>
                  </w:rPr>
                  <w:t>兖煤澳大利亚配煤销售有限公司</w:t>
                </w:r>
              </w:p>
            </w:tc>
            <w:tc>
              <w:tcPr>
                <w:tcW w:w="643" w:type="pct"/>
                <w:vAlign w:val="center"/>
              </w:tcPr>
              <w:p w14:paraId="665CFF6E" w14:textId="77777777" w:rsidR="007E7472" w:rsidRDefault="00EC1269">
                <w:pPr>
                  <w:jc w:val="center"/>
                </w:pPr>
                <w:r>
                  <w:t>澳大利亚</w:t>
                </w:r>
              </w:p>
            </w:tc>
            <w:tc>
              <w:tcPr>
                <w:tcW w:w="632" w:type="pct"/>
                <w:vAlign w:val="center"/>
              </w:tcPr>
              <w:p w14:paraId="18C0059E" w14:textId="77777777" w:rsidR="007E7472" w:rsidRDefault="00EC1269">
                <w:pPr>
                  <w:jc w:val="center"/>
                </w:pPr>
                <w:r>
                  <w:t>澳大利亚</w:t>
                </w:r>
              </w:p>
            </w:tc>
            <w:tc>
              <w:tcPr>
                <w:tcW w:w="719" w:type="pct"/>
                <w:vAlign w:val="center"/>
              </w:tcPr>
              <w:p w14:paraId="19A42C08" w14:textId="77777777" w:rsidR="007E7472" w:rsidRDefault="00EC1269">
                <w:r>
                  <w:t>煤炭销售</w:t>
                </w:r>
              </w:p>
            </w:tc>
            <w:tc>
              <w:tcPr>
                <w:tcW w:w="711" w:type="pct"/>
                <w:vAlign w:val="center"/>
              </w:tcPr>
              <w:p w14:paraId="4A39FA22" w14:textId="77777777" w:rsidR="007E7472" w:rsidRDefault="00C8327E">
                <w:pPr>
                  <w:jc w:val="right"/>
                </w:pPr>
              </w:p>
            </w:tc>
            <w:tc>
              <w:tcPr>
                <w:tcW w:w="711" w:type="pct"/>
                <w:vAlign w:val="center"/>
              </w:tcPr>
              <w:p w14:paraId="2D3DD247" w14:textId="77777777" w:rsidR="007E7472" w:rsidRDefault="00EC1269">
                <w:pPr>
                  <w:jc w:val="right"/>
                </w:pPr>
                <w:r>
                  <w:t>100</w:t>
                </w:r>
              </w:p>
            </w:tc>
            <w:tc>
              <w:tcPr>
                <w:tcW w:w="783" w:type="pct"/>
                <w:vAlign w:val="center"/>
              </w:tcPr>
              <w:p w14:paraId="37B8C529" w14:textId="77777777" w:rsidR="007E7472" w:rsidRDefault="00EC1269">
                <w:pPr>
                  <w:jc w:val="right"/>
                </w:pPr>
                <w:r>
                  <w:t>投资设立</w:t>
                </w:r>
              </w:p>
            </w:tc>
          </w:tr>
          <w:tr w:rsidR="007E7472" w14:paraId="674251D3" w14:textId="77777777">
            <w:tc>
              <w:tcPr>
                <w:tcW w:w="800" w:type="pct"/>
                <w:vAlign w:val="center"/>
              </w:tcPr>
              <w:p w14:paraId="66163EAD" w14:textId="77777777" w:rsidR="007E7472" w:rsidRDefault="00EC1269">
                <w:r>
                  <w:rPr>
                    <w:rFonts w:hint="eastAsia"/>
                  </w:rPr>
                  <w:t>兖煤矿业服务有限公司</w:t>
                </w:r>
              </w:p>
            </w:tc>
            <w:tc>
              <w:tcPr>
                <w:tcW w:w="643" w:type="pct"/>
                <w:vAlign w:val="center"/>
              </w:tcPr>
              <w:p w14:paraId="7E6F5B12" w14:textId="77777777" w:rsidR="007E7472" w:rsidRDefault="00EC1269">
                <w:pPr>
                  <w:jc w:val="center"/>
                </w:pPr>
                <w:r>
                  <w:t>澳大利亚</w:t>
                </w:r>
              </w:p>
            </w:tc>
            <w:tc>
              <w:tcPr>
                <w:tcW w:w="632" w:type="pct"/>
                <w:vAlign w:val="center"/>
              </w:tcPr>
              <w:p w14:paraId="1105B4C8" w14:textId="77777777" w:rsidR="007E7472" w:rsidRDefault="00EC1269">
                <w:pPr>
                  <w:jc w:val="center"/>
                </w:pPr>
                <w:r>
                  <w:t>澳大利亚</w:t>
                </w:r>
              </w:p>
            </w:tc>
            <w:tc>
              <w:tcPr>
                <w:tcW w:w="719" w:type="pct"/>
                <w:vAlign w:val="center"/>
              </w:tcPr>
              <w:p w14:paraId="22F51E38" w14:textId="77777777" w:rsidR="007E7472" w:rsidRDefault="00EC1269">
                <w:r>
                  <w:t>矿业服务</w:t>
                </w:r>
              </w:p>
            </w:tc>
            <w:tc>
              <w:tcPr>
                <w:tcW w:w="711" w:type="pct"/>
                <w:vAlign w:val="center"/>
              </w:tcPr>
              <w:p w14:paraId="309521B6" w14:textId="77777777" w:rsidR="007E7472" w:rsidRDefault="00C8327E">
                <w:pPr>
                  <w:jc w:val="right"/>
                </w:pPr>
              </w:p>
            </w:tc>
            <w:tc>
              <w:tcPr>
                <w:tcW w:w="711" w:type="pct"/>
                <w:vAlign w:val="center"/>
              </w:tcPr>
              <w:p w14:paraId="643B1503" w14:textId="77777777" w:rsidR="007E7472" w:rsidRDefault="00EC1269">
                <w:pPr>
                  <w:jc w:val="right"/>
                </w:pPr>
                <w:r>
                  <w:t>100</w:t>
                </w:r>
              </w:p>
            </w:tc>
            <w:tc>
              <w:tcPr>
                <w:tcW w:w="783" w:type="pct"/>
                <w:vAlign w:val="center"/>
              </w:tcPr>
              <w:p w14:paraId="49A20262" w14:textId="77777777" w:rsidR="007E7472" w:rsidRDefault="00EC1269">
                <w:pPr>
                  <w:jc w:val="right"/>
                </w:pPr>
                <w:r>
                  <w:t>投资设立</w:t>
                </w:r>
              </w:p>
            </w:tc>
          </w:tr>
          <w:tr w:rsidR="007E7472" w14:paraId="76FA2294" w14:textId="77777777">
            <w:tc>
              <w:tcPr>
                <w:tcW w:w="800" w:type="pct"/>
                <w:vAlign w:val="center"/>
              </w:tcPr>
              <w:p w14:paraId="7649FEE4" w14:textId="77777777" w:rsidR="007E7472" w:rsidRDefault="00EC1269">
                <w:r>
                  <w:rPr>
                    <w:rFonts w:hint="eastAsia"/>
                  </w:rPr>
                  <w:t>联合煤炭工业有限公司</w:t>
                </w:r>
              </w:p>
            </w:tc>
            <w:tc>
              <w:tcPr>
                <w:tcW w:w="643" w:type="pct"/>
                <w:vAlign w:val="center"/>
              </w:tcPr>
              <w:p w14:paraId="0FC4589B" w14:textId="77777777" w:rsidR="007E7472" w:rsidRDefault="00EC1269">
                <w:pPr>
                  <w:jc w:val="center"/>
                </w:pPr>
                <w:r>
                  <w:t>澳大利亚</w:t>
                </w:r>
              </w:p>
            </w:tc>
            <w:tc>
              <w:tcPr>
                <w:tcW w:w="632" w:type="pct"/>
                <w:vAlign w:val="center"/>
              </w:tcPr>
              <w:p w14:paraId="7A87FBCF" w14:textId="77777777" w:rsidR="007E7472" w:rsidRDefault="00EC1269">
                <w:pPr>
                  <w:jc w:val="center"/>
                </w:pPr>
                <w:r>
                  <w:t>澳大利亚</w:t>
                </w:r>
              </w:p>
            </w:tc>
            <w:tc>
              <w:tcPr>
                <w:tcW w:w="719" w:type="pct"/>
                <w:vAlign w:val="center"/>
              </w:tcPr>
              <w:p w14:paraId="4DD43BAB" w14:textId="77777777" w:rsidR="007E7472" w:rsidRDefault="00EC1269">
                <w:r>
                  <w:t>煤炭开采和煤矿经营</w:t>
                </w:r>
              </w:p>
            </w:tc>
            <w:tc>
              <w:tcPr>
                <w:tcW w:w="711" w:type="pct"/>
                <w:vAlign w:val="center"/>
              </w:tcPr>
              <w:p w14:paraId="6201F88B" w14:textId="77777777" w:rsidR="007E7472" w:rsidRDefault="00C8327E">
                <w:pPr>
                  <w:jc w:val="right"/>
                </w:pPr>
              </w:p>
            </w:tc>
            <w:tc>
              <w:tcPr>
                <w:tcW w:w="711" w:type="pct"/>
                <w:vAlign w:val="center"/>
              </w:tcPr>
              <w:p w14:paraId="00A8DC25" w14:textId="77777777" w:rsidR="007E7472" w:rsidRDefault="00EC1269">
                <w:pPr>
                  <w:jc w:val="right"/>
                </w:pPr>
                <w:r>
                  <w:t>100</w:t>
                </w:r>
              </w:p>
            </w:tc>
            <w:tc>
              <w:tcPr>
                <w:tcW w:w="783" w:type="pct"/>
                <w:vAlign w:val="center"/>
              </w:tcPr>
              <w:p w14:paraId="69121D47" w14:textId="77777777" w:rsidR="007E7472" w:rsidRDefault="00EC1269">
                <w:pPr>
                  <w:jc w:val="right"/>
                </w:pPr>
                <w:r>
                  <w:t>非同一控制下企业合并</w:t>
                </w:r>
              </w:p>
            </w:tc>
          </w:tr>
          <w:tr w:rsidR="007E7472" w14:paraId="47530F0A" w14:textId="77777777">
            <w:tc>
              <w:tcPr>
                <w:tcW w:w="800" w:type="pct"/>
                <w:vAlign w:val="center"/>
              </w:tcPr>
              <w:p w14:paraId="750D81BF" w14:textId="77777777" w:rsidR="007E7472" w:rsidRDefault="00EC1269">
                <w:r>
                  <w:rPr>
                    <w:rFonts w:hint="eastAsia"/>
                  </w:rPr>
                  <w:t>兖煤澳洲莫拉本私有有限公司</w:t>
                </w:r>
              </w:p>
            </w:tc>
            <w:tc>
              <w:tcPr>
                <w:tcW w:w="643" w:type="pct"/>
                <w:vAlign w:val="center"/>
              </w:tcPr>
              <w:p w14:paraId="22377180" w14:textId="77777777" w:rsidR="007E7472" w:rsidRDefault="00EC1269">
                <w:pPr>
                  <w:jc w:val="center"/>
                </w:pPr>
                <w:r>
                  <w:t>澳大利亚</w:t>
                </w:r>
              </w:p>
            </w:tc>
            <w:tc>
              <w:tcPr>
                <w:tcW w:w="632" w:type="pct"/>
                <w:vAlign w:val="center"/>
              </w:tcPr>
              <w:p w14:paraId="440A11BE" w14:textId="77777777" w:rsidR="007E7472" w:rsidRDefault="00EC1269">
                <w:pPr>
                  <w:jc w:val="center"/>
                </w:pPr>
                <w:r>
                  <w:t>澳大利亚</w:t>
                </w:r>
              </w:p>
            </w:tc>
            <w:tc>
              <w:tcPr>
                <w:tcW w:w="719" w:type="pct"/>
                <w:vAlign w:val="center"/>
              </w:tcPr>
              <w:p w14:paraId="5157827C" w14:textId="77777777" w:rsidR="007E7472" w:rsidRDefault="00EC1269">
                <w:r>
                  <w:t>煤炭开采和煤矿经营</w:t>
                </w:r>
              </w:p>
            </w:tc>
            <w:tc>
              <w:tcPr>
                <w:tcW w:w="711" w:type="pct"/>
                <w:vAlign w:val="center"/>
              </w:tcPr>
              <w:p w14:paraId="2535AE6F" w14:textId="77777777" w:rsidR="007E7472" w:rsidRDefault="00C8327E">
                <w:pPr>
                  <w:jc w:val="right"/>
                </w:pPr>
              </w:p>
            </w:tc>
            <w:tc>
              <w:tcPr>
                <w:tcW w:w="711" w:type="pct"/>
                <w:vAlign w:val="center"/>
              </w:tcPr>
              <w:p w14:paraId="17719492" w14:textId="77777777" w:rsidR="007E7472" w:rsidRDefault="00EC1269">
                <w:pPr>
                  <w:jc w:val="right"/>
                </w:pPr>
                <w:r>
                  <w:t>100</w:t>
                </w:r>
              </w:p>
            </w:tc>
            <w:tc>
              <w:tcPr>
                <w:tcW w:w="783" w:type="pct"/>
                <w:vAlign w:val="center"/>
              </w:tcPr>
              <w:p w14:paraId="7B5D5A03" w14:textId="77777777" w:rsidR="007E7472" w:rsidRDefault="00EC1269">
                <w:pPr>
                  <w:jc w:val="right"/>
                </w:pPr>
                <w:r>
                  <w:t>投资设立</w:t>
                </w:r>
              </w:p>
            </w:tc>
          </w:tr>
          <w:tr w:rsidR="007E7472" w14:paraId="3D7EAA60" w14:textId="77777777">
            <w:tc>
              <w:tcPr>
                <w:tcW w:w="800" w:type="pct"/>
                <w:vAlign w:val="center"/>
              </w:tcPr>
              <w:p w14:paraId="5874C67A" w14:textId="77777777" w:rsidR="007E7472" w:rsidRDefault="00EC1269">
                <w:r>
                  <w:rPr>
                    <w:rFonts w:hint="eastAsia"/>
                  </w:rPr>
                  <w:t>沃特岗矿业有限公司</w:t>
                </w:r>
              </w:p>
            </w:tc>
            <w:tc>
              <w:tcPr>
                <w:tcW w:w="643" w:type="pct"/>
                <w:vAlign w:val="center"/>
              </w:tcPr>
              <w:p w14:paraId="12EF19FA" w14:textId="77777777" w:rsidR="007E7472" w:rsidRDefault="00EC1269">
                <w:pPr>
                  <w:jc w:val="center"/>
                </w:pPr>
                <w:r>
                  <w:t>澳大利亚</w:t>
                </w:r>
              </w:p>
            </w:tc>
            <w:tc>
              <w:tcPr>
                <w:tcW w:w="632" w:type="pct"/>
                <w:vAlign w:val="center"/>
              </w:tcPr>
              <w:p w14:paraId="79C4559F" w14:textId="77777777" w:rsidR="007E7472" w:rsidRDefault="00EC1269">
                <w:pPr>
                  <w:jc w:val="center"/>
                </w:pPr>
                <w:r>
                  <w:t>澳大利亚</w:t>
                </w:r>
              </w:p>
            </w:tc>
            <w:tc>
              <w:tcPr>
                <w:tcW w:w="719" w:type="pct"/>
                <w:vAlign w:val="center"/>
              </w:tcPr>
              <w:p w14:paraId="7C15B1BD" w14:textId="77777777" w:rsidR="007E7472" w:rsidRDefault="00EC1269">
                <w:r>
                  <w:t>煤炭开采和煤矿经营</w:t>
                </w:r>
              </w:p>
            </w:tc>
            <w:tc>
              <w:tcPr>
                <w:tcW w:w="711" w:type="pct"/>
                <w:vAlign w:val="center"/>
              </w:tcPr>
              <w:p w14:paraId="67509EF6" w14:textId="77777777" w:rsidR="007E7472" w:rsidRDefault="00C8327E">
                <w:pPr>
                  <w:jc w:val="right"/>
                </w:pPr>
              </w:p>
            </w:tc>
            <w:tc>
              <w:tcPr>
                <w:tcW w:w="711" w:type="pct"/>
                <w:vAlign w:val="center"/>
              </w:tcPr>
              <w:p w14:paraId="1AEF3496" w14:textId="77777777" w:rsidR="007E7472" w:rsidRDefault="00EC1269">
                <w:pPr>
                  <w:jc w:val="right"/>
                </w:pPr>
                <w:r>
                  <w:t>100</w:t>
                </w:r>
              </w:p>
            </w:tc>
            <w:tc>
              <w:tcPr>
                <w:tcW w:w="783" w:type="pct"/>
                <w:vAlign w:val="center"/>
              </w:tcPr>
              <w:p w14:paraId="65C12393" w14:textId="77777777" w:rsidR="007E7472" w:rsidRDefault="00EC1269">
                <w:pPr>
                  <w:jc w:val="right"/>
                </w:pPr>
                <w:r>
                  <w:t>非同一控制下企业合并</w:t>
                </w:r>
              </w:p>
            </w:tc>
          </w:tr>
          <w:tr w:rsidR="007E7472" w14:paraId="5411A874" w14:textId="77777777">
            <w:tc>
              <w:tcPr>
                <w:tcW w:w="800" w:type="pct"/>
                <w:vAlign w:val="center"/>
              </w:tcPr>
              <w:p w14:paraId="3F5AF4E6" w14:textId="77777777" w:rsidR="007E7472" w:rsidRDefault="00EC1269">
                <w:r>
                  <w:rPr>
                    <w:rFonts w:hint="eastAsia"/>
                  </w:rPr>
                  <w:t>兖煤保险股份有限公司</w:t>
                </w:r>
              </w:p>
            </w:tc>
            <w:tc>
              <w:tcPr>
                <w:tcW w:w="643" w:type="pct"/>
                <w:vAlign w:val="center"/>
              </w:tcPr>
              <w:p w14:paraId="1F71F519" w14:textId="77777777" w:rsidR="007E7472" w:rsidRDefault="00EC1269">
                <w:pPr>
                  <w:jc w:val="center"/>
                </w:pPr>
                <w:r>
                  <w:t>根西岛</w:t>
                </w:r>
              </w:p>
            </w:tc>
            <w:tc>
              <w:tcPr>
                <w:tcW w:w="632" w:type="pct"/>
                <w:vAlign w:val="center"/>
              </w:tcPr>
              <w:p w14:paraId="71D475E1" w14:textId="77777777" w:rsidR="007E7472" w:rsidRDefault="00EC1269">
                <w:pPr>
                  <w:jc w:val="center"/>
                </w:pPr>
                <w:r>
                  <w:t>根西岛</w:t>
                </w:r>
              </w:p>
            </w:tc>
            <w:tc>
              <w:tcPr>
                <w:tcW w:w="719" w:type="pct"/>
                <w:vAlign w:val="center"/>
              </w:tcPr>
              <w:p w14:paraId="7EBB229C" w14:textId="77777777" w:rsidR="007E7472" w:rsidRDefault="00EC1269">
                <w:r>
                  <w:t>资产保险服务</w:t>
                </w:r>
              </w:p>
            </w:tc>
            <w:tc>
              <w:tcPr>
                <w:tcW w:w="711" w:type="pct"/>
                <w:vAlign w:val="center"/>
              </w:tcPr>
              <w:p w14:paraId="6C2BADD6" w14:textId="77777777" w:rsidR="007E7472" w:rsidRDefault="00C8327E">
                <w:pPr>
                  <w:jc w:val="right"/>
                </w:pPr>
              </w:p>
            </w:tc>
            <w:tc>
              <w:tcPr>
                <w:tcW w:w="711" w:type="pct"/>
                <w:vAlign w:val="center"/>
              </w:tcPr>
              <w:p w14:paraId="62B8CB9F" w14:textId="77777777" w:rsidR="007E7472" w:rsidRDefault="00EC1269">
                <w:pPr>
                  <w:jc w:val="right"/>
                </w:pPr>
                <w:r>
                  <w:t>100</w:t>
                </w:r>
              </w:p>
            </w:tc>
            <w:tc>
              <w:tcPr>
                <w:tcW w:w="783" w:type="pct"/>
                <w:vAlign w:val="center"/>
              </w:tcPr>
              <w:p w14:paraId="66688DB8" w14:textId="77777777" w:rsidR="007E7472" w:rsidRDefault="00EC1269">
                <w:pPr>
                  <w:jc w:val="right"/>
                </w:pPr>
                <w:r>
                  <w:t>投资设立</w:t>
                </w:r>
              </w:p>
            </w:tc>
          </w:tr>
          <w:tr w:rsidR="007E7472" w14:paraId="69491F46" w14:textId="77777777">
            <w:tc>
              <w:tcPr>
                <w:tcW w:w="800" w:type="pct"/>
                <w:vAlign w:val="center"/>
              </w:tcPr>
              <w:p w14:paraId="44785776" w14:textId="77777777" w:rsidR="007E7472" w:rsidRDefault="00EC1269">
                <w:r>
                  <w:rPr>
                    <w:rFonts w:hint="eastAsia"/>
                  </w:rPr>
                  <w:t>兖煤国际（控股）有限公司</w:t>
                </w:r>
              </w:p>
            </w:tc>
            <w:tc>
              <w:tcPr>
                <w:tcW w:w="643" w:type="pct"/>
                <w:vAlign w:val="center"/>
              </w:tcPr>
              <w:p w14:paraId="57C0243B" w14:textId="77777777" w:rsidR="007E7472" w:rsidRDefault="00EC1269">
                <w:pPr>
                  <w:jc w:val="center"/>
                </w:pPr>
                <w:r>
                  <w:t>香港</w:t>
                </w:r>
              </w:p>
            </w:tc>
            <w:tc>
              <w:tcPr>
                <w:tcW w:w="632" w:type="pct"/>
                <w:vAlign w:val="center"/>
              </w:tcPr>
              <w:p w14:paraId="013AC786" w14:textId="77777777" w:rsidR="007E7472" w:rsidRDefault="00EC1269">
                <w:pPr>
                  <w:jc w:val="center"/>
                </w:pPr>
                <w:r>
                  <w:t>香港</w:t>
                </w:r>
              </w:p>
            </w:tc>
            <w:tc>
              <w:tcPr>
                <w:tcW w:w="719" w:type="pct"/>
                <w:vAlign w:val="center"/>
              </w:tcPr>
              <w:p w14:paraId="47051C39" w14:textId="77777777" w:rsidR="007E7472" w:rsidRDefault="00EC1269">
                <w:r>
                  <w:t>投资控股</w:t>
                </w:r>
              </w:p>
            </w:tc>
            <w:tc>
              <w:tcPr>
                <w:tcW w:w="711" w:type="pct"/>
                <w:vAlign w:val="center"/>
              </w:tcPr>
              <w:p w14:paraId="2A18878F" w14:textId="77777777" w:rsidR="007E7472" w:rsidRDefault="00EC1269">
                <w:pPr>
                  <w:jc w:val="right"/>
                </w:pPr>
                <w:r>
                  <w:t>100</w:t>
                </w:r>
              </w:p>
            </w:tc>
            <w:tc>
              <w:tcPr>
                <w:tcW w:w="711" w:type="pct"/>
                <w:vAlign w:val="center"/>
              </w:tcPr>
              <w:p w14:paraId="0A153785" w14:textId="77777777" w:rsidR="007E7472" w:rsidRDefault="00C8327E">
                <w:pPr>
                  <w:jc w:val="right"/>
                </w:pPr>
              </w:p>
            </w:tc>
            <w:tc>
              <w:tcPr>
                <w:tcW w:w="783" w:type="pct"/>
                <w:vAlign w:val="center"/>
              </w:tcPr>
              <w:p w14:paraId="6AFF9021" w14:textId="77777777" w:rsidR="007E7472" w:rsidRDefault="00EC1269">
                <w:pPr>
                  <w:jc w:val="right"/>
                </w:pPr>
                <w:r>
                  <w:t>投资设立</w:t>
                </w:r>
              </w:p>
            </w:tc>
          </w:tr>
          <w:tr w:rsidR="007E7472" w14:paraId="473B8644" w14:textId="77777777">
            <w:tc>
              <w:tcPr>
                <w:tcW w:w="800" w:type="pct"/>
                <w:vAlign w:val="center"/>
              </w:tcPr>
              <w:p w14:paraId="35419FD0" w14:textId="77777777" w:rsidR="007E7472" w:rsidRDefault="00EC1269">
                <w:r>
                  <w:rPr>
                    <w:rFonts w:hint="eastAsia"/>
                  </w:rPr>
                  <w:t>兖煤国际技术开发有限公司</w:t>
                </w:r>
              </w:p>
            </w:tc>
            <w:tc>
              <w:tcPr>
                <w:tcW w:w="643" w:type="pct"/>
                <w:vAlign w:val="center"/>
              </w:tcPr>
              <w:p w14:paraId="319CD12B" w14:textId="77777777" w:rsidR="007E7472" w:rsidRDefault="00EC1269">
                <w:pPr>
                  <w:jc w:val="center"/>
                </w:pPr>
                <w:r>
                  <w:t>香港</w:t>
                </w:r>
              </w:p>
            </w:tc>
            <w:tc>
              <w:tcPr>
                <w:tcW w:w="632" w:type="pct"/>
                <w:vAlign w:val="center"/>
              </w:tcPr>
              <w:p w14:paraId="681139F5" w14:textId="77777777" w:rsidR="007E7472" w:rsidRDefault="00EC1269">
                <w:pPr>
                  <w:jc w:val="center"/>
                </w:pPr>
                <w:r>
                  <w:t>香港</w:t>
                </w:r>
              </w:p>
            </w:tc>
            <w:tc>
              <w:tcPr>
                <w:tcW w:w="719" w:type="pct"/>
                <w:vAlign w:val="center"/>
              </w:tcPr>
              <w:p w14:paraId="77E955F3" w14:textId="77777777" w:rsidR="007E7472" w:rsidRDefault="00EC1269">
                <w:r>
                  <w:t>矿山开采技术的开发、转让与咨询服务</w:t>
                </w:r>
              </w:p>
            </w:tc>
            <w:tc>
              <w:tcPr>
                <w:tcW w:w="711" w:type="pct"/>
                <w:vAlign w:val="center"/>
              </w:tcPr>
              <w:p w14:paraId="4D934556" w14:textId="77777777" w:rsidR="007E7472" w:rsidRDefault="00C8327E">
                <w:pPr>
                  <w:jc w:val="right"/>
                </w:pPr>
              </w:p>
            </w:tc>
            <w:tc>
              <w:tcPr>
                <w:tcW w:w="711" w:type="pct"/>
                <w:vAlign w:val="center"/>
              </w:tcPr>
              <w:p w14:paraId="25D7CA09" w14:textId="77777777" w:rsidR="007E7472" w:rsidRDefault="00EC1269">
                <w:pPr>
                  <w:jc w:val="right"/>
                </w:pPr>
                <w:r>
                  <w:t>100</w:t>
                </w:r>
              </w:p>
            </w:tc>
            <w:tc>
              <w:tcPr>
                <w:tcW w:w="783" w:type="pct"/>
                <w:vAlign w:val="center"/>
              </w:tcPr>
              <w:p w14:paraId="626E9448" w14:textId="77777777" w:rsidR="007E7472" w:rsidRDefault="00EC1269">
                <w:pPr>
                  <w:jc w:val="right"/>
                </w:pPr>
                <w:r>
                  <w:t>投资设立</w:t>
                </w:r>
              </w:p>
            </w:tc>
          </w:tr>
          <w:tr w:rsidR="007E7472" w14:paraId="06108544" w14:textId="77777777">
            <w:tc>
              <w:tcPr>
                <w:tcW w:w="800" w:type="pct"/>
                <w:vAlign w:val="center"/>
              </w:tcPr>
              <w:p w14:paraId="519ABF0F" w14:textId="77777777" w:rsidR="007E7472" w:rsidRDefault="00EC1269">
                <w:r>
                  <w:rPr>
                    <w:rFonts w:hint="eastAsia"/>
                  </w:rPr>
                  <w:t>兖煤国际资源开发有限公司</w:t>
                </w:r>
              </w:p>
            </w:tc>
            <w:tc>
              <w:tcPr>
                <w:tcW w:w="643" w:type="pct"/>
                <w:vAlign w:val="center"/>
              </w:tcPr>
              <w:p w14:paraId="38A092EB" w14:textId="77777777" w:rsidR="007E7472" w:rsidRDefault="00EC1269">
                <w:pPr>
                  <w:jc w:val="center"/>
                </w:pPr>
                <w:r>
                  <w:t>香港</w:t>
                </w:r>
              </w:p>
            </w:tc>
            <w:tc>
              <w:tcPr>
                <w:tcW w:w="632" w:type="pct"/>
                <w:vAlign w:val="center"/>
              </w:tcPr>
              <w:p w14:paraId="03310D81" w14:textId="77777777" w:rsidR="007E7472" w:rsidRDefault="00EC1269">
                <w:pPr>
                  <w:jc w:val="center"/>
                </w:pPr>
                <w:r>
                  <w:t>香港</w:t>
                </w:r>
              </w:p>
            </w:tc>
            <w:tc>
              <w:tcPr>
                <w:tcW w:w="719" w:type="pct"/>
                <w:vAlign w:val="center"/>
              </w:tcPr>
              <w:p w14:paraId="0BDFAFF6" w14:textId="77777777" w:rsidR="007E7472" w:rsidRDefault="00EC1269">
                <w:r>
                  <w:t>矿产资源勘探开发</w:t>
                </w:r>
              </w:p>
            </w:tc>
            <w:tc>
              <w:tcPr>
                <w:tcW w:w="711" w:type="pct"/>
                <w:vAlign w:val="center"/>
              </w:tcPr>
              <w:p w14:paraId="1F6E1649" w14:textId="77777777" w:rsidR="007E7472" w:rsidRDefault="00C8327E">
                <w:pPr>
                  <w:jc w:val="right"/>
                </w:pPr>
              </w:p>
            </w:tc>
            <w:tc>
              <w:tcPr>
                <w:tcW w:w="711" w:type="pct"/>
                <w:vAlign w:val="center"/>
              </w:tcPr>
              <w:p w14:paraId="5D59B58A" w14:textId="77777777" w:rsidR="007E7472" w:rsidRDefault="00EC1269">
                <w:pPr>
                  <w:jc w:val="right"/>
                </w:pPr>
                <w:r>
                  <w:t>100</w:t>
                </w:r>
              </w:p>
            </w:tc>
            <w:tc>
              <w:tcPr>
                <w:tcW w:w="783" w:type="pct"/>
                <w:vAlign w:val="center"/>
              </w:tcPr>
              <w:p w14:paraId="55966794" w14:textId="77777777" w:rsidR="007E7472" w:rsidRDefault="00EC1269">
                <w:pPr>
                  <w:jc w:val="right"/>
                </w:pPr>
                <w:r>
                  <w:t>投资设立</w:t>
                </w:r>
              </w:p>
            </w:tc>
          </w:tr>
          <w:tr w:rsidR="007E7472" w14:paraId="6E542390" w14:textId="77777777">
            <w:tc>
              <w:tcPr>
                <w:tcW w:w="800" w:type="pct"/>
                <w:vAlign w:val="center"/>
              </w:tcPr>
              <w:p w14:paraId="42D535C7" w14:textId="77777777" w:rsidR="007E7472" w:rsidRDefault="00EC1269">
                <w:r>
                  <w:rPr>
                    <w:rFonts w:hint="eastAsia"/>
                  </w:rPr>
                  <w:t>兖煤卢森堡资源有限公司</w:t>
                </w:r>
              </w:p>
            </w:tc>
            <w:tc>
              <w:tcPr>
                <w:tcW w:w="643" w:type="pct"/>
                <w:vAlign w:val="center"/>
              </w:tcPr>
              <w:p w14:paraId="087CF65A" w14:textId="77777777" w:rsidR="007E7472" w:rsidRDefault="00EC1269">
                <w:pPr>
                  <w:jc w:val="center"/>
                </w:pPr>
                <w:r>
                  <w:t>卢森堡</w:t>
                </w:r>
              </w:p>
            </w:tc>
            <w:tc>
              <w:tcPr>
                <w:tcW w:w="632" w:type="pct"/>
                <w:vAlign w:val="center"/>
              </w:tcPr>
              <w:p w14:paraId="3D03931E" w14:textId="77777777" w:rsidR="007E7472" w:rsidRDefault="00EC1269">
                <w:pPr>
                  <w:jc w:val="center"/>
                </w:pPr>
                <w:r>
                  <w:t>卢森堡</w:t>
                </w:r>
              </w:p>
            </w:tc>
            <w:tc>
              <w:tcPr>
                <w:tcW w:w="719" w:type="pct"/>
                <w:vAlign w:val="center"/>
              </w:tcPr>
              <w:p w14:paraId="4D2FB71F" w14:textId="77777777" w:rsidR="007E7472" w:rsidRDefault="00EC1269">
                <w:r>
                  <w:t>对外投资</w:t>
                </w:r>
              </w:p>
            </w:tc>
            <w:tc>
              <w:tcPr>
                <w:tcW w:w="711" w:type="pct"/>
                <w:vAlign w:val="center"/>
              </w:tcPr>
              <w:p w14:paraId="3A90F635" w14:textId="77777777" w:rsidR="007E7472" w:rsidRDefault="00C8327E">
                <w:pPr>
                  <w:jc w:val="right"/>
                </w:pPr>
              </w:p>
            </w:tc>
            <w:tc>
              <w:tcPr>
                <w:tcW w:w="711" w:type="pct"/>
                <w:vAlign w:val="center"/>
              </w:tcPr>
              <w:p w14:paraId="66420FD7" w14:textId="77777777" w:rsidR="007E7472" w:rsidRDefault="00EC1269">
                <w:pPr>
                  <w:jc w:val="right"/>
                </w:pPr>
                <w:r>
                  <w:t>100</w:t>
                </w:r>
              </w:p>
            </w:tc>
            <w:tc>
              <w:tcPr>
                <w:tcW w:w="783" w:type="pct"/>
                <w:vAlign w:val="center"/>
              </w:tcPr>
              <w:p w14:paraId="0F669AFA" w14:textId="77777777" w:rsidR="007E7472" w:rsidRDefault="00EC1269">
                <w:pPr>
                  <w:jc w:val="right"/>
                </w:pPr>
                <w:r>
                  <w:t>投资设立</w:t>
                </w:r>
              </w:p>
            </w:tc>
          </w:tr>
          <w:tr w:rsidR="007E7472" w14:paraId="16C63181" w14:textId="77777777">
            <w:tc>
              <w:tcPr>
                <w:tcW w:w="800" w:type="pct"/>
                <w:vAlign w:val="center"/>
              </w:tcPr>
              <w:p w14:paraId="2CE534BD" w14:textId="77777777" w:rsidR="007E7472" w:rsidRDefault="00EC1269">
                <w:r>
                  <w:rPr>
                    <w:rFonts w:hint="eastAsia"/>
                  </w:rPr>
                  <w:t>亚森纳（控股）有限公司</w:t>
                </w:r>
              </w:p>
            </w:tc>
            <w:tc>
              <w:tcPr>
                <w:tcW w:w="643" w:type="pct"/>
                <w:vAlign w:val="center"/>
              </w:tcPr>
              <w:p w14:paraId="70250003" w14:textId="77777777" w:rsidR="007E7472" w:rsidRDefault="00EC1269">
                <w:pPr>
                  <w:jc w:val="center"/>
                </w:pPr>
                <w:r>
                  <w:t>澳大利亚</w:t>
                </w:r>
              </w:p>
            </w:tc>
            <w:tc>
              <w:tcPr>
                <w:tcW w:w="632" w:type="pct"/>
                <w:vAlign w:val="center"/>
              </w:tcPr>
              <w:p w14:paraId="567E6C9F" w14:textId="77777777" w:rsidR="007E7472" w:rsidRDefault="00EC1269">
                <w:pPr>
                  <w:jc w:val="center"/>
                </w:pPr>
                <w:r>
                  <w:t>澳大利亚</w:t>
                </w:r>
              </w:p>
            </w:tc>
            <w:tc>
              <w:tcPr>
                <w:tcW w:w="719" w:type="pct"/>
                <w:vAlign w:val="center"/>
              </w:tcPr>
              <w:p w14:paraId="4B1A0194" w14:textId="77777777" w:rsidR="007E7472" w:rsidRDefault="00EC1269">
                <w:r>
                  <w:t>控股公司</w:t>
                </w:r>
              </w:p>
            </w:tc>
            <w:tc>
              <w:tcPr>
                <w:tcW w:w="711" w:type="pct"/>
                <w:vAlign w:val="center"/>
              </w:tcPr>
              <w:p w14:paraId="3FBB613C" w14:textId="77777777" w:rsidR="007E7472" w:rsidRDefault="00C8327E">
                <w:pPr>
                  <w:jc w:val="right"/>
                </w:pPr>
              </w:p>
            </w:tc>
            <w:tc>
              <w:tcPr>
                <w:tcW w:w="711" w:type="pct"/>
                <w:vAlign w:val="center"/>
              </w:tcPr>
              <w:p w14:paraId="128E05CE" w14:textId="77777777" w:rsidR="007E7472" w:rsidRDefault="00EC1269">
                <w:pPr>
                  <w:jc w:val="right"/>
                </w:pPr>
                <w:r>
                  <w:t>100</w:t>
                </w:r>
              </w:p>
            </w:tc>
            <w:tc>
              <w:tcPr>
                <w:tcW w:w="783" w:type="pct"/>
                <w:vAlign w:val="center"/>
              </w:tcPr>
              <w:p w14:paraId="6D815C7E" w14:textId="77777777" w:rsidR="007E7472" w:rsidRDefault="00EC1269">
                <w:pPr>
                  <w:jc w:val="right"/>
                </w:pPr>
                <w:r>
                  <w:t>投资设立</w:t>
                </w:r>
              </w:p>
            </w:tc>
          </w:tr>
          <w:tr w:rsidR="007E7472" w14:paraId="1C4227C5" w14:textId="77777777">
            <w:tc>
              <w:tcPr>
                <w:tcW w:w="800" w:type="pct"/>
                <w:vAlign w:val="center"/>
              </w:tcPr>
              <w:p w14:paraId="4C65F2B6" w14:textId="77777777" w:rsidR="007E7472" w:rsidRDefault="00EC1269">
                <w:r>
                  <w:rPr>
                    <w:rFonts w:hint="eastAsia"/>
                  </w:rPr>
                  <w:t>汤佛（控股）有限公司</w:t>
                </w:r>
              </w:p>
            </w:tc>
            <w:tc>
              <w:tcPr>
                <w:tcW w:w="643" w:type="pct"/>
                <w:vAlign w:val="center"/>
              </w:tcPr>
              <w:p w14:paraId="7E1D0994" w14:textId="77777777" w:rsidR="007E7472" w:rsidRDefault="00EC1269">
                <w:pPr>
                  <w:jc w:val="center"/>
                </w:pPr>
                <w:r>
                  <w:t>澳大利亚</w:t>
                </w:r>
              </w:p>
            </w:tc>
            <w:tc>
              <w:tcPr>
                <w:tcW w:w="632" w:type="pct"/>
                <w:vAlign w:val="center"/>
              </w:tcPr>
              <w:p w14:paraId="3B056E53" w14:textId="77777777" w:rsidR="007E7472" w:rsidRDefault="00EC1269">
                <w:pPr>
                  <w:jc w:val="center"/>
                </w:pPr>
                <w:r>
                  <w:t>澳大利亚</w:t>
                </w:r>
              </w:p>
            </w:tc>
            <w:tc>
              <w:tcPr>
                <w:tcW w:w="719" w:type="pct"/>
                <w:vAlign w:val="center"/>
              </w:tcPr>
              <w:p w14:paraId="5A662DDC" w14:textId="77777777" w:rsidR="007E7472" w:rsidRDefault="00EC1269">
                <w:r>
                  <w:t>控股公司</w:t>
                </w:r>
              </w:p>
            </w:tc>
            <w:tc>
              <w:tcPr>
                <w:tcW w:w="711" w:type="pct"/>
                <w:vAlign w:val="center"/>
              </w:tcPr>
              <w:p w14:paraId="1CFA243F" w14:textId="77777777" w:rsidR="007E7472" w:rsidRDefault="00C8327E">
                <w:pPr>
                  <w:jc w:val="right"/>
                </w:pPr>
              </w:p>
            </w:tc>
            <w:tc>
              <w:tcPr>
                <w:tcW w:w="711" w:type="pct"/>
                <w:vAlign w:val="center"/>
              </w:tcPr>
              <w:p w14:paraId="434D37C3" w14:textId="77777777" w:rsidR="007E7472" w:rsidRDefault="00EC1269">
                <w:pPr>
                  <w:jc w:val="right"/>
                </w:pPr>
                <w:r>
                  <w:t>100</w:t>
                </w:r>
              </w:p>
            </w:tc>
            <w:tc>
              <w:tcPr>
                <w:tcW w:w="783" w:type="pct"/>
                <w:vAlign w:val="center"/>
              </w:tcPr>
              <w:p w14:paraId="04611A7F" w14:textId="77777777" w:rsidR="007E7472" w:rsidRDefault="00EC1269">
                <w:pPr>
                  <w:jc w:val="right"/>
                </w:pPr>
                <w:r>
                  <w:t>投资设立</w:t>
                </w:r>
              </w:p>
            </w:tc>
          </w:tr>
          <w:tr w:rsidR="007E7472" w14:paraId="7C6FC7CD" w14:textId="77777777">
            <w:tc>
              <w:tcPr>
                <w:tcW w:w="800" w:type="pct"/>
                <w:vAlign w:val="center"/>
              </w:tcPr>
              <w:p w14:paraId="30FC7BCC" w14:textId="77777777" w:rsidR="007E7472" w:rsidRDefault="00EC1269">
                <w:r>
                  <w:rPr>
                    <w:rFonts w:hint="eastAsia"/>
                  </w:rPr>
                  <w:lastRenderedPageBreak/>
                  <w:t>维尔皮纳（控股）有限公司</w:t>
                </w:r>
              </w:p>
            </w:tc>
            <w:tc>
              <w:tcPr>
                <w:tcW w:w="643" w:type="pct"/>
                <w:vAlign w:val="center"/>
              </w:tcPr>
              <w:p w14:paraId="612602AC" w14:textId="77777777" w:rsidR="007E7472" w:rsidRDefault="00EC1269">
                <w:pPr>
                  <w:jc w:val="center"/>
                </w:pPr>
                <w:r>
                  <w:t>澳大利亚</w:t>
                </w:r>
              </w:p>
            </w:tc>
            <w:tc>
              <w:tcPr>
                <w:tcW w:w="632" w:type="pct"/>
                <w:vAlign w:val="center"/>
              </w:tcPr>
              <w:p w14:paraId="0A4157DB" w14:textId="77777777" w:rsidR="007E7472" w:rsidRDefault="00EC1269">
                <w:pPr>
                  <w:jc w:val="center"/>
                </w:pPr>
                <w:r>
                  <w:t>澳大利亚</w:t>
                </w:r>
              </w:p>
            </w:tc>
            <w:tc>
              <w:tcPr>
                <w:tcW w:w="719" w:type="pct"/>
                <w:vAlign w:val="center"/>
              </w:tcPr>
              <w:p w14:paraId="07D41818" w14:textId="77777777" w:rsidR="007E7472" w:rsidRDefault="00EC1269">
                <w:r>
                  <w:t>控股公司</w:t>
                </w:r>
              </w:p>
            </w:tc>
            <w:tc>
              <w:tcPr>
                <w:tcW w:w="711" w:type="pct"/>
                <w:vAlign w:val="center"/>
              </w:tcPr>
              <w:p w14:paraId="6EAD18A6" w14:textId="77777777" w:rsidR="007E7472" w:rsidRDefault="00C8327E">
                <w:pPr>
                  <w:jc w:val="right"/>
                </w:pPr>
              </w:p>
            </w:tc>
            <w:tc>
              <w:tcPr>
                <w:tcW w:w="711" w:type="pct"/>
                <w:vAlign w:val="center"/>
              </w:tcPr>
              <w:p w14:paraId="01978089" w14:textId="77777777" w:rsidR="007E7472" w:rsidRDefault="00EC1269">
                <w:pPr>
                  <w:jc w:val="right"/>
                </w:pPr>
                <w:r>
                  <w:t>100</w:t>
                </w:r>
              </w:p>
            </w:tc>
            <w:tc>
              <w:tcPr>
                <w:tcW w:w="783" w:type="pct"/>
                <w:vAlign w:val="center"/>
              </w:tcPr>
              <w:p w14:paraId="2C2AAE5C" w14:textId="77777777" w:rsidR="007E7472" w:rsidRDefault="00EC1269">
                <w:pPr>
                  <w:jc w:val="right"/>
                </w:pPr>
                <w:r>
                  <w:t>投资设立</w:t>
                </w:r>
              </w:p>
            </w:tc>
          </w:tr>
          <w:tr w:rsidR="007E7472" w14:paraId="064268CD" w14:textId="77777777">
            <w:tc>
              <w:tcPr>
                <w:tcW w:w="800" w:type="pct"/>
                <w:vAlign w:val="center"/>
              </w:tcPr>
              <w:p w14:paraId="6750FAA5" w14:textId="77777777" w:rsidR="007E7472" w:rsidRDefault="00EC1269">
                <w:r>
                  <w:rPr>
                    <w:rFonts w:hint="eastAsia"/>
                  </w:rPr>
                  <w:t>普力马（控股）有限公司</w:t>
                </w:r>
              </w:p>
            </w:tc>
            <w:tc>
              <w:tcPr>
                <w:tcW w:w="643" w:type="pct"/>
                <w:vAlign w:val="center"/>
              </w:tcPr>
              <w:p w14:paraId="28AC7538" w14:textId="77777777" w:rsidR="007E7472" w:rsidRDefault="00EC1269">
                <w:pPr>
                  <w:jc w:val="center"/>
                </w:pPr>
                <w:r>
                  <w:t>澳大利亚</w:t>
                </w:r>
              </w:p>
            </w:tc>
            <w:tc>
              <w:tcPr>
                <w:tcW w:w="632" w:type="pct"/>
                <w:vAlign w:val="center"/>
              </w:tcPr>
              <w:p w14:paraId="7B19A0AF" w14:textId="77777777" w:rsidR="007E7472" w:rsidRDefault="00EC1269">
                <w:pPr>
                  <w:jc w:val="center"/>
                </w:pPr>
                <w:r>
                  <w:t>澳大利亚</w:t>
                </w:r>
              </w:p>
            </w:tc>
            <w:tc>
              <w:tcPr>
                <w:tcW w:w="719" w:type="pct"/>
                <w:vAlign w:val="center"/>
              </w:tcPr>
              <w:p w14:paraId="21365462" w14:textId="77777777" w:rsidR="007E7472" w:rsidRDefault="00EC1269">
                <w:r>
                  <w:t>控股公司</w:t>
                </w:r>
              </w:p>
            </w:tc>
            <w:tc>
              <w:tcPr>
                <w:tcW w:w="711" w:type="pct"/>
                <w:vAlign w:val="center"/>
              </w:tcPr>
              <w:p w14:paraId="3C50025A" w14:textId="77777777" w:rsidR="007E7472" w:rsidRDefault="00C8327E">
                <w:pPr>
                  <w:jc w:val="right"/>
                </w:pPr>
              </w:p>
            </w:tc>
            <w:tc>
              <w:tcPr>
                <w:tcW w:w="711" w:type="pct"/>
                <w:vAlign w:val="center"/>
              </w:tcPr>
              <w:p w14:paraId="64770CDC" w14:textId="77777777" w:rsidR="007E7472" w:rsidRDefault="00EC1269">
                <w:pPr>
                  <w:jc w:val="right"/>
                </w:pPr>
                <w:r>
                  <w:t>100</w:t>
                </w:r>
              </w:p>
            </w:tc>
            <w:tc>
              <w:tcPr>
                <w:tcW w:w="783" w:type="pct"/>
                <w:vAlign w:val="center"/>
              </w:tcPr>
              <w:p w14:paraId="46354FC7" w14:textId="77777777" w:rsidR="007E7472" w:rsidRDefault="00EC1269">
                <w:pPr>
                  <w:jc w:val="right"/>
                </w:pPr>
                <w:r>
                  <w:t>投资设立</w:t>
                </w:r>
              </w:p>
            </w:tc>
          </w:tr>
          <w:tr w:rsidR="007E7472" w14:paraId="4DE2A630" w14:textId="77777777">
            <w:tc>
              <w:tcPr>
                <w:tcW w:w="800" w:type="pct"/>
              </w:tcPr>
              <w:p w14:paraId="3CBB3C57" w14:textId="77777777" w:rsidR="007E7472" w:rsidRDefault="00EC1269">
                <w:r>
                  <w:rPr>
                    <w:rFonts w:hint="eastAsia"/>
                  </w:rPr>
                  <w:t>兖煤能源有限公司</w:t>
                </w:r>
              </w:p>
            </w:tc>
            <w:tc>
              <w:tcPr>
                <w:tcW w:w="643" w:type="pct"/>
                <w:vAlign w:val="center"/>
              </w:tcPr>
              <w:p w14:paraId="7606B476" w14:textId="77777777" w:rsidR="007E7472" w:rsidRDefault="00EC1269">
                <w:pPr>
                  <w:jc w:val="right"/>
                </w:pPr>
                <w:r>
                  <w:rPr>
                    <w:rFonts w:hint="eastAsia"/>
                  </w:rPr>
                  <w:t>澳大利亚</w:t>
                </w:r>
              </w:p>
            </w:tc>
            <w:tc>
              <w:tcPr>
                <w:tcW w:w="632" w:type="pct"/>
                <w:vAlign w:val="center"/>
              </w:tcPr>
              <w:p w14:paraId="7A46116B" w14:textId="77777777" w:rsidR="007E7472" w:rsidRDefault="00EC1269">
                <w:pPr>
                  <w:jc w:val="right"/>
                </w:pPr>
                <w:r>
                  <w:rPr>
                    <w:rFonts w:hint="eastAsia"/>
                  </w:rPr>
                  <w:t>澳大利亚</w:t>
                </w:r>
              </w:p>
            </w:tc>
            <w:tc>
              <w:tcPr>
                <w:tcW w:w="719" w:type="pct"/>
                <w:vAlign w:val="center"/>
              </w:tcPr>
              <w:p w14:paraId="6D172E21" w14:textId="77777777" w:rsidR="007E7472" w:rsidRDefault="00EC1269">
                <w:pPr>
                  <w:jc w:val="right"/>
                </w:pPr>
                <w:r>
                  <w:rPr>
                    <w:rFonts w:hint="eastAsia"/>
                  </w:rPr>
                  <w:t>控股公司</w:t>
                </w:r>
              </w:p>
            </w:tc>
            <w:tc>
              <w:tcPr>
                <w:tcW w:w="711" w:type="pct"/>
                <w:vAlign w:val="center"/>
              </w:tcPr>
              <w:p w14:paraId="2D51965C" w14:textId="77777777" w:rsidR="007E7472" w:rsidRDefault="00C8327E">
                <w:pPr>
                  <w:jc w:val="right"/>
                </w:pPr>
              </w:p>
            </w:tc>
            <w:tc>
              <w:tcPr>
                <w:tcW w:w="711" w:type="pct"/>
                <w:vAlign w:val="center"/>
              </w:tcPr>
              <w:p w14:paraId="2E021054" w14:textId="77777777" w:rsidR="007E7472" w:rsidRDefault="00EC1269">
                <w:pPr>
                  <w:jc w:val="right"/>
                </w:pPr>
                <w:r>
                  <w:rPr>
                    <w:rFonts w:hint="eastAsia"/>
                  </w:rPr>
                  <w:t>1</w:t>
                </w:r>
                <w:r>
                  <w:t>00</w:t>
                </w:r>
              </w:p>
            </w:tc>
            <w:tc>
              <w:tcPr>
                <w:tcW w:w="783" w:type="pct"/>
                <w:vAlign w:val="center"/>
              </w:tcPr>
              <w:p w14:paraId="2039363E" w14:textId="77777777" w:rsidR="007E7472" w:rsidRDefault="00EC1269">
                <w:pPr>
                  <w:jc w:val="right"/>
                </w:pPr>
                <w:r>
                  <w:rPr>
                    <w:rFonts w:hint="eastAsia"/>
                  </w:rPr>
                  <w:t>投资设立</w:t>
                </w:r>
              </w:p>
            </w:tc>
          </w:tr>
          <w:tr w:rsidR="007E7472" w14:paraId="4A88F4EE" w14:textId="77777777">
            <w:tc>
              <w:tcPr>
                <w:tcW w:w="800" w:type="pct"/>
                <w:vAlign w:val="center"/>
              </w:tcPr>
              <w:p w14:paraId="0B0E6C16" w14:textId="77777777" w:rsidR="007E7472" w:rsidRDefault="00EC1269">
                <w:r>
                  <w:rPr>
                    <w:rFonts w:hint="eastAsia"/>
                  </w:rPr>
                  <w:t>兖矿东平陆港有限公司</w:t>
                </w:r>
              </w:p>
            </w:tc>
            <w:tc>
              <w:tcPr>
                <w:tcW w:w="643" w:type="pct"/>
                <w:vAlign w:val="center"/>
              </w:tcPr>
              <w:p w14:paraId="43554A01" w14:textId="77777777" w:rsidR="007E7472" w:rsidRDefault="00EC1269">
                <w:pPr>
                  <w:jc w:val="center"/>
                </w:pPr>
                <w:r>
                  <w:t>山东泰安</w:t>
                </w:r>
              </w:p>
            </w:tc>
            <w:tc>
              <w:tcPr>
                <w:tcW w:w="632" w:type="pct"/>
                <w:vAlign w:val="center"/>
              </w:tcPr>
              <w:p w14:paraId="3A04E32D" w14:textId="77777777" w:rsidR="007E7472" w:rsidRDefault="00EC1269">
                <w:pPr>
                  <w:jc w:val="center"/>
                </w:pPr>
                <w:r>
                  <w:t>山东泰安</w:t>
                </w:r>
              </w:p>
            </w:tc>
            <w:tc>
              <w:tcPr>
                <w:tcW w:w="719" w:type="pct"/>
                <w:vAlign w:val="center"/>
              </w:tcPr>
              <w:p w14:paraId="688C14E1" w14:textId="77777777" w:rsidR="007E7472" w:rsidRDefault="00EC1269">
                <w:r>
                  <w:t>煤炭贸易，港口、铁路运输</w:t>
                </w:r>
              </w:p>
            </w:tc>
            <w:tc>
              <w:tcPr>
                <w:tcW w:w="711" w:type="pct"/>
                <w:vAlign w:val="center"/>
              </w:tcPr>
              <w:p w14:paraId="6109EC47" w14:textId="77777777" w:rsidR="007E7472" w:rsidRDefault="00EC1269">
                <w:pPr>
                  <w:jc w:val="right"/>
                </w:pPr>
                <w:r>
                  <w:t>6.52</w:t>
                </w:r>
              </w:p>
            </w:tc>
            <w:tc>
              <w:tcPr>
                <w:tcW w:w="711" w:type="pct"/>
                <w:vAlign w:val="center"/>
              </w:tcPr>
              <w:p w14:paraId="54BA5940" w14:textId="77777777" w:rsidR="007E7472" w:rsidRDefault="00EC1269">
                <w:pPr>
                  <w:jc w:val="right"/>
                </w:pPr>
                <w:r>
                  <w:t>39.78</w:t>
                </w:r>
              </w:p>
            </w:tc>
            <w:tc>
              <w:tcPr>
                <w:tcW w:w="783" w:type="pct"/>
                <w:vAlign w:val="center"/>
              </w:tcPr>
              <w:p w14:paraId="0BFED6F4" w14:textId="77777777" w:rsidR="007E7472" w:rsidRDefault="00EC1269">
                <w:pPr>
                  <w:jc w:val="right"/>
                </w:pPr>
                <w:r>
                  <w:t>投资设立</w:t>
                </w:r>
              </w:p>
            </w:tc>
          </w:tr>
          <w:tr w:rsidR="007E7472" w14:paraId="7970B327" w14:textId="77777777">
            <w:tc>
              <w:tcPr>
                <w:tcW w:w="800" w:type="pct"/>
                <w:vAlign w:val="center"/>
              </w:tcPr>
              <w:p w14:paraId="03292156" w14:textId="77777777" w:rsidR="007E7472" w:rsidRDefault="00EC1269">
                <w:r>
                  <w:rPr>
                    <w:rFonts w:hint="eastAsia"/>
                  </w:rPr>
                  <w:t>兖煤技术发展（控股）有限公司</w:t>
                </w:r>
              </w:p>
            </w:tc>
            <w:tc>
              <w:tcPr>
                <w:tcW w:w="643" w:type="pct"/>
                <w:vAlign w:val="center"/>
              </w:tcPr>
              <w:p w14:paraId="5BF08FAC" w14:textId="77777777" w:rsidR="007E7472" w:rsidRDefault="00EC1269">
                <w:pPr>
                  <w:jc w:val="center"/>
                </w:pPr>
                <w:r>
                  <w:t>澳大利亚</w:t>
                </w:r>
              </w:p>
            </w:tc>
            <w:tc>
              <w:tcPr>
                <w:tcW w:w="632" w:type="pct"/>
                <w:vAlign w:val="center"/>
              </w:tcPr>
              <w:p w14:paraId="36C49281" w14:textId="77777777" w:rsidR="007E7472" w:rsidRDefault="00EC1269">
                <w:pPr>
                  <w:jc w:val="center"/>
                </w:pPr>
                <w:r>
                  <w:t>澳大利亚</w:t>
                </w:r>
              </w:p>
            </w:tc>
            <w:tc>
              <w:tcPr>
                <w:tcW w:w="719" w:type="pct"/>
                <w:vAlign w:val="center"/>
              </w:tcPr>
              <w:p w14:paraId="2E352140" w14:textId="77777777" w:rsidR="007E7472" w:rsidRDefault="00EC1269">
                <w:r>
                  <w:t>控股公司</w:t>
                </w:r>
              </w:p>
            </w:tc>
            <w:tc>
              <w:tcPr>
                <w:tcW w:w="711" w:type="pct"/>
                <w:vAlign w:val="center"/>
              </w:tcPr>
              <w:p w14:paraId="47496B8B" w14:textId="77777777" w:rsidR="007E7472" w:rsidRDefault="00C8327E">
                <w:pPr>
                  <w:jc w:val="right"/>
                </w:pPr>
              </w:p>
            </w:tc>
            <w:tc>
              <w:tcPr>
                <w:tcW w:w="711" w:type="pct"/>
                <w:vAlign w:val="center"/>
              </w:tcPr>
              <w:p w14:paraId="66AF7E6C" w14:textId="77777777" w:rsidR="007E7472" w:rsidRDefault="00EC1269">
                <w:pPr>
                  <w:jc w:val="right"/>
                </w:pPr>
                <w:r>
                  <w:t>100</w:t>
                </w:r>
              </w:p>
            </w:tc>
            <w:tc>
              <w:tcPr>
                <w:tcW w:w="783" w:type="pct"/>
                <w:vAlign w:val="center"/>
              </w:tcPr>
              <w:p w14:paraId="7591E7A6" w14:textId="77777777" w:rsidR="007E7472" w:rsidRDefault="00EC1269">
                <w:pPr>
                  <w:jc w:val="right"/>
                </w:pPr>
                <w:r>
                  <w:t>投资设立</w:t>
                </w:r>
              </w:p>
            </w:tc>
          </w:tr>
          <w:tr w:rsidR="007E7472" w14:paraId="638D11CB" w14:textId="77777777">
            <w:tc>
              <w:tcPr>
                <w:tcW w:w="800" w:type="pct"/>
                <w:vAlign w:val="center"/>
              </w:tcPr>
              <w:p w14:paraId="7395D614" w14:textId="77777777" w:rsidR="007E7472" w:rsidRDefault="00EC1269">
                <w:r>
                  <w:rPr>
                    <w:rFonts w:hint="eastAsia"/>
                  </w:rPr>
                  <w:t>中垠（济宁）融资租赁有限公司</w:t>
                </w:r>
              </w:p>
            </w:tc>
            <w:tc>
              <w:tcPr>
                <w:tcW w:w="643" w:type="pct"/>
                <w:vAlign w:val="center"/>
              </w:tcPr>
              <w:p w14:paraId="5642A14B" w14:textId="77777777" w:rsidR="007E7472" w:rsidRDefault="00EC1269">
                <w:pPr>
                  <w:jc w:val="center"/>
                </w:pPr>
                <w:r>
                  <w:t>山东济宁</w:t>
                </w:r>
              </w:p>
            </w:tc>
            <w:tc>
              <w:tcPr>
                <w:tcW w:w="632" w:type="pct"/>
                <w:vAlign w:val="center"/>
              </w:tcPr>
              <w:p w14:paraId="5532A6F7" w14:textId="77777777" w:rsidR="007E7472" w:rsidRDefault="00EC1269">
                <w:pPr>
                  <w:jc w:val="center"/>
                </w:pPr>
                <w:r>
                  <w:t>山东济宁</w:t>
                </w:r>
              </w:p>
            </w:tc>
            <w:tc>
              <w:tcPr>
                <w:tcW w:w="719" w:type="pct"/>
                <w:vAlign w:val="center"/>
              </w:tcPr>
              <w:p w14:paraId="133C4114" w14:textId="77777777" w:rsidR="007E7472" w:rsidRDefault="00EC1269">
                <w:r>
                  <w:t>融资租赁业务</w:t>
                </w:r>
              </w:p>
            </w:tc>
            <w:tc>
              <w:tcPr>
                <w:tcW w:w="711" w:type="pct"/>
                <w:vAlign w:val="center"/>
              </w:tcPr>
              <w:p w14:paraId="09994C99" w14:textId="77777777" w:rsidR="007E7472" w:rsidRDefault="00C8327E">
                <w:pPr>
                  <w:jc w:val="right"/>
                </w:pPr>
              </w:p>
            </w:tc>
            <w:tc>
              <w:tcPr>
                <w:tcW w:w="711" w:type="pct"/>
                <w:vAlign w:val="center"/>
              </w:tcPr>
              <w:p w14:paraId="591C4320" w14:textId="77777777" w:rsidR="007E7472" w:rsidRDefault="00EC1269">
                <w:pPr>
                  <w:jc w:val="right"/>
                </w:pPr>
                <w:r>
                  <w:t>100</w:t>
                </w:r>
              </w:p>
            </w:tc>
            <w:tc>
              <w:tcPr>
                <w:tcW w:w="783" w:type="pct"/>
                <w:vAlign w:val="center"/>
              </w:tcPr>
              <w:p w14:paraId="2C480FA6" w14:textId="77777777" w:rsidR="007E7472" w:rsidRDefault="00EC1269">
                <w:pPr>
                  <w:jc w:val="right"/>
                </w:pPr>
                <w:r>
                  <w:t>投资设立</w:t>
                </w:r>
              </w:p>
            </w:tc>
          </w:tr>
          <w:tr w:rsidR="007E7472" w14:paraId="069B2661" w14:textId="77777777">
            <w:tc>
              <w:tcPr>
                <w:tcW w:w="800" w:type="pct"/>
                <w:vAlign w:val="center"/>
              </w:tcPr>
              <w:p w14:paraId="35F08551" w14:textId="77777777" w:rsidR="007E7472" w:rsidRDefault="00EC1269">
                <w:r>
                  <w:rPr>
                    <w:rFonts w:hint="eastAsia"/>
                  </w:rPr>
                  <w:t>兖矿能源（鄂尔多斯）有限公司</w:t>
                </w:r>
              </w:p>
            </w:tc>
            <w:tc>
              <w:tcPr>
                <w:tcW w:w="643" w:type="pct"/>
                <w:vAlign w:val="center"/>
              </w:tcPr>
              <w:p w14:paraId="673755D5" w14:textId="77777777" w:rsidR="007E7472" w:rsidRDefault="00EC1269">
                <w:pPr>
                  <w:jc w:val="center"/>
                </w:pPr>
                <w:r>
                  <w:t>鄂尔多斯</w:t>
                </w:r>
              </w:p>
            </w:tc>
            <w:tc>
              <w:tcPr>
                <w:tcW w:w="632" w:type="pct"/>
                <w:vAlign w:val="center"/>
              </w:tcPr>
              <w:p w14:paraId="50E4AB50" w14:textId="77777777" w:rsidR="007E7472" w:rsidRDefault="00EC1269">
                <w:pPr>
                  <w:jc w:val="center"/>
                </w:pPr>
                <w:r>
                  <w:t>鄂尔多斯</w:t>
                </w:r>
              </w:p>
            </w:tc>
            <w:tc>
              <w:tcPr>
                <w:tcW w:w="719" w:type="pct"/>
                <w:vAlign w:val="center"/>
              </w:tcPr>
              <w:p w14:paraId="6F8CFB38" w14:textId="77777777" w:rsidR="007E7472" w:rsidRDefault="00EC1269">
                <w:r>
                  <w:t>煤炭开采及销售</w:t>
                </w:r>
              </w:p>
            </w:tc>
            <w:tc>
              <w:tcPr>
                <w:tcW w:w="711" w:type="pct"/>
                <w:vAlign w:val="center"/>
              </w:tcPr>
              <w:p w14:paraId="0E8E8769" w14:textId="77777777" w:rsidR="007E7472" w:rsidRDefault="00EC1269">
                <w:pPr>
                  <w:jc w:val="right"/>
                </w:pPr>
                <w:r>
                  <w:t>100</w:t>
                </w:r>
              </w:p>
            </w:tc>
            <w:tc>
              <w:tcPr>
                <w:tcW w:w="711" w:type="pct"/>
                <w:vAlign w:val="center"/>
              </w:tcPr>
              <w:p w14:paraId="0CED888F" w14:textId="77777777" w:rsidR="007E7472" w:rsidRDefault="00C8327E">
                <w:pPr>
                  <w:jc w:val="right"/>
                </w:pPr>
              </w:p>
            </w:tc>
            <w:tc>
              <w:tcPr>
                <w:tcW w:w="783" w:type="pct"/>
                <w:vAlign w:val="center"/>
              </w:tcPr>
              <w:p w14:paraId="0F9C9F62" w14:textId="77777777" w:rsidR="007E7472" w:rsidRDefault="00EC1269">
                <w:pPr>
                  <w:jc w:val="right"/>
                </w:pPr>
                <w:r>
                  <w:t>投资设立</w:t>
                </w:r>
              </w:p>
            </w:tc>
          </w:tr>
          <w:tr w:rsidR="007E7472" w14:paraId="08264531" w14:textId="77777777">
            <w:tc>
              <w:tcPr>
                <w:tcW w:w="800" w:type="pct"/>
                <w:vAlign w:val="center"/>
              </w:tcPr>
              <w:p w14:paraId="091C1E6D" w14:textId="77777777" w:rsidR="007E7472" w:rsidRDefault="00EC1269">
                <w:r>
                  <w:rPr>
                    <w:rFonts w:hint="eastAsia"/>
                  </w:rPr>
                  <w:t>内蒙古荣信化工有限公司</w:t>
                </w:r>
              </w:p>
            </w:tc>
            <w:tc>
              <w:tcPr>
                <w:tcW w:w="643" w:type="pct"/>
                <w:vAlign w:val="center"/>
              </w:tcPr>
              <w:p w14:paraId="16C7DE24" w14:textId="77777777" w:rsidR="007E7472" w:rsidRDefault="00EC1269">
                <w:pPr>
                  <w:jc w:val="center"/>
                </w:pPr>
                <w:r>
                  <w:t>鄂尔多斯</w:t>
                </w:r>
              </w:p>
            </w:tc>
            <w:tc>
              <w:tcPr>
                <w:tcW w:w="632" w:type="pct"/>
                <w:vAlign w:val="center"/>
              </w:tcPr>
              <w:p w14:paraId="0CA1DACE" w14:textId="77777777" w:rsidR="007E7472" w:rsidRDefault="00EC1269">
                <w:pPr>
                  <w:jc w:val="center"/>
                </w:pPr>
                <w:r>
                  <w:t>鄂尔多斯</w:t>
                </w:r>
              </w:p>
            </w:tc>
            <w:tc>
              <w:tcPr>
                <w:tcW w:w="719" w:type="pct"/>
                <w:vAlign w:val="center"/>
              </w:tcPr>
              <w:p w14:paraId="3853CE81" w14:textId="77777777" w:rsidR="007E7472" w:rsidRDefault="00EC1269">
                <w:r>
                  <w:t>甲醇生产及销售</w:t>
                </w:r>
              </w:p>
            </w:tc>
            <w:tc>
              <w:tcPr>
                <w:tcW w:w="711" w:type="pct"/>
                <w:vAlign w:val="center"/>
              </w:tcPr>
              <w:p w14:paraId="0225F126" w14:textId="77777777" w:rsidR="007E7472" w:rsidRDefault="00C8327E">
                <w:pPr>
                  <w:jc w:val="right"/>
                </w:pPr>
              </w:p>
            </w:tc>
            <w:tc>
              <w:tcPr>
                <w:tcW w:w="711" w:type="pct"/>
                <w:vAlign w:val="center"/>
              </w:tcPr>
              <w:p w14:paraId="04A100D2" w14:textId="77777777" w:rsidR="007E7472" w:rsidRDefault="00EC1269">
                <w:pPr>
                  <w:jc w:val="right"/>
                </w:pPr>
                <w:r>
                  <w:t>100</w:t>
                </w:r>
              </w:p>
            </w:tc>
            <w:tc>
              <w:tcPr>
                <w:tcW w:w="783" w:type="pct"/>
                <w:vAlign w:val="center"/>
              </w:tcPr>
              <w:p w14:paraId="2FA92CBE" w14:textId="77777777" w:rsidR="007E7472" w:rsidRDefault="00EC1269">
                <w:pPr>
                  <w:jc w:val="right"/>
                </w:pPr>
                <w:r>
                  <w:t>非同一控制下企业合并</w:t>
                </w:r>
              </w:p>
            </w:tc>
          </w:tr>
          <w:tr w:rsidR="007E7472" w14:paraId="423B83D6" w14:textId="77777777">
            <w:tc>
              <w:tcPr>
                <w:tcW w:w="800" w:type="pct"/>
                <w:vAlign w:val="center"/>
              </w:tcPr>
              <w:p w14:paraId="3F391AAA" w14:textId="77777777" w:rsidR="007E7472" w:rsidRDefault="00EC1269">
                <w:r>
                  <w:rPr>
                    <w:rFonts w:hint="eastAsia"/>
                  </w:rPr>
                  <w:t>内蒙古鑫泰煤炭有限公司</w:t>
                </w:r>
              </w:p>
            </w:tc>
            <w:tc>
              <w:tcPr>
                <w:tcW w:w="643" w:type="pct"/>
                <w:vAlign w:val="center"/>
              </w:tcPr>
              <w:p w14:paraId="0CC0D440" w14:textId="77777777" w:rsidR="007E7472" w:rsidRDefault="00EC1269">
                <w:pPr>
                  <w:jc w:val="center"/>
                </w:pPr>
                <w:r>
                  <w:t>鄂尔多斯</w:t>
                </w:r>
              </w:p>
            </w:tc>
            <w:tc>
              <w:tcPr>
                <w:tcW w:w="632" w:type="pct"/>
                <w:vAlign w:val="center"/>
              </w:tcPr>
              <w:p w14:paraId="5C9B4702" w14:textId="77777777" w:rsidR="007E7472" w:rsidRDefault="00EC1269">
                <w:pPr>
                  <w:jc w:val="center"/>
                </w:pPr>
                <w:r>
                  <w:t>鄂尔多斯</w:t>
                </w:r>
              </w:p>
            </w:tc>
            <w:tc>
              <w:tcPr>
                <w:tcW w:w="719" w:type="pct"/>
                <w:vAlign w:val="center"/>
              </w:tcPr>
              <w:p w14:paraId="4BFFF490" w14:textId="77777777" w:rsidR="007E7472" w:rsidRDefault="00EC1269">
                <w:r>
                  <w:t>煤炭开采及销售</w:t>
                </w:r>
              </w:p>
            </w:tc>
            <w:tc>
              <w:tcPr>
                <w:tcW w:w="711" w:type="pct"/>
                <w:vAlign w:val="center"/>
              </w:tcPr>
              <w:p w14:paraId="3556142D" w14:textId="77777777" w:rsidR="007E7472" w:rsidRDefault="00C8327E">
                <w:pPr>
                  <w:jc w:val="right"/>
                </w:pPr>
              </w:p>
            </w:tc>
            <w:tc>
              <w:tcPr>
                <w:tcW w:w="711" w:type="pct"/>
                <w:vAlign w:val="center"/>
              </w:tcPr>
              <w:p w14:paraId="4250D059" w14:textId="77777777" w:rsidR="007E7472" w:rsidRDefault="00EC1269">
                <w:pPr>
                  <w:jc w:val="right"/>
                </w:pPr>
                <w:r>
                  <w:t>100</w:t>
                </w:r>
              </w:p>
            </w:tc>
            <w:tc>
              <w:tcPr>
                <w:tcW w:w="783" w:type="pct"/>
                <w:vAlign w:val="center"/>
              </w:tcPr>
              <w:p w14:paraId="3155C38B" w14:textId="77777777" w:rsidR="007E7472" w:rsidRDefault="00EC1269">
                <w:pPr>
                  <w:jc w:val="right"/>
                </w:pPr>
                <w:r>
                  <w:t>非同一控制下企业合并</w:t>
                </w:r>
              </w:p>
            </w:tc>
          </w:tr>
          <w:tr w:rsidR="007E7472" w14:paraId="243FC267" w14:textId="77777777">
            <w:tc>
              <w:tcPr>
                <w:tcW w:w="800" w:type="pct"/>
                <w:vAlign w:val="center"/>
              </w:tcPr>
              <w:p w14:paraId="003D8881" w14:textId="77777777" w:rsidR="007E7472" w:rsidRDefault="00EC1269">
                <w:r>
                  <w:rPr>
                    <w:rFonts w:hint="eastAsia"/>
                  </w:rPr>
                  <w:t>鄂尔多斯市转龙湾煤炭有限公司</w:t>
                </w:r>
              </w:p>
            </w:tc>
            <w:tc>
              <w:tcPr>
                <w:tcW w:w="643" w:type="pct"/>
                <w:vAlign w:val="center"/>
              </w:tcPr>
              <w:p w14:paraId="53AA7595" w14:textId="77777777" w:rsidR="007E7472" w:rsidRDefault="00EC1269">
                <w:pPr>
                  <w:jc w:val="center"/>
                </w:pPr>
                <w:r>
                  <w:t>鄂尔多斯</w:t>
                </w:r>
              </w:p>
            </w:tc>
            <w:tc>
              <w:tcPr>
                <w:tcW w:w="632" w:type="pct"/>
                <w:vAlign w:val="center"/>
              </w:tcPr>
              <w:p w14:paraId="4D6DC23A" w14:textId="77777777" w:rsidR="007E7472" w:rsidRDefault="00EC1269">
                <w:pPr>
                  <w:jc w:val="center"/>
                </w:pPr>
                <w:r>
                  <w:t>鄂尔多斯</w:t>
                </w:r>
              </w:p>
            </w:tc>
            <w:tc>
              <w:tcPr>
                <w:tcW w:w="719" w:type="pct"/>
                <w:vAlign w:val="center"/>
              </w:tcPr>
              <w:p w14:paraId="06C0FEEB" w14:textId="77777777" w:rsidR="007E7472" w:rsidRDefault="00EC1269">
                <w:r>
                  <w:t>煤炭开采及销售</w:t>
                </w:r>
              </w:p>
            </w:tc>
            <w:tc>
              <w:tcPr>
                <w:tcW w:w="711" w:type="pct"/>
                <w:vAlign w:val="center"/>
              </w:tcPr>
              <w:p w14:paraId="35003AAA" w14:textId="77777777" w:rsidR="007E7472" w:rsidRDefault="00C8327E">
                <w:pPr>
                  <w:jc w:val="right"/>
                </w:pPr>
              </w:p>
            </w:tc>
            <w:tc>
              <w:tcPr>
                <w:tcW w:w="711" w:type="pct"/>
                <w:vAlign w:val="center"/>
              </w:tcPr>
              <w:p w14:paraId="64D7558F" w14:textId="77777777" w:rsidR="007E7472" w:rsidRDefault="00EC1269">
                <w:pPr>
                  <w:jc w:val="right"/>
                </w:pPr>
                <w:r>
                  <w:t>100</w:t>
                </w:r>
              </w:p>
            </w:tc>
            <w:tc>
              <w:tcPr>
                <w:tcW w:w="783" w:type="pct"/>
                <w:vAlign w:val="center"/>
              </w:tcPr>
              <w:p w14:paraId="33FA4BEE" w14:textId="77777777" w:rsidR="007E7472" w:rsidRDefault="00EC1269">
                <w:pPr>
                  <w:jc w:val="right"/>
                </w:pPr>
                <w:r>
                  <w:t>投资设立</w:t>
                </w:r>
              </w:p>
            </w:tc>
          </w:tr>
          <w:tr w:rsidR="007E7472" w14:paraId="1B57CA47" w14:textId="77777777">
            <w:tc>
              <w:tcPr>
                <w:tcW w:w="800" w:type="pct"/>
                <w:vAlign w:val="center"/>
              </w:tcPr>
              <w:p w14:paraId="3D11B432" w14:textId="77777777" w:rsidR="007E7472" w:rsidRDefault="00EC1269">
                <w:r>
                  <w:rPr>
                    <w:rFonts w:hint="eastAsia"/>
                  </w:rPr>
                  <w:t>兖矿东华重工有限公司</w:t>
                </w:r>
              </w:p>
            </w:tc>
            <w:tc>
              <w:tcPr>
                <w:tcW w:w="643" w:type="pct"/>
                <w:vAlign w:val="center"/>
              </w:tcPr>
              <w:p w14:paraId="6B3AC6A4" w14:textId="77777777" w:rsidR="007E7472" w:rsidRDefault="00EC1269">
                <w:pPr>
                  <w:jc w:val="center"/>
                </w:pPr>
                <w:r>
                  <w:t>山东邹城</w:t>
                </w:r>
              </w:p>
            </w:tc>
            <w:tc>
              <w:tcPr>
                <w:tcW w:w="632" w:type="pct"/>
                <w:vAlign w:val="center"/>
              </w:tcPr>
              <w:p w14:paraId="48E371AC" w14:textId="77777777" w:rsidR="007E7472" w:rsidRDefault="00EC1269">
                <w:pPr>
                  <w:jc w:val="center"/>
                </w:pPr>
                <w:r>
                  <w:t>山东邹城</w:t>
                </w:r>
              </w:p>
            </w:tc>
            <w:tc>
              <w:tcPr>
                <w:tcW w:w="719" w:type="pct"/>
                <w:vAlign w:val="center"/>
              </w:tcPr>
              <w:p w14:paraId="588CA322" w14:textId="77777777" w:rsidR="007E7472" w:rsidRDefault="00EC1269">
                <w:r>
                  <w:t>矿用设备、机电设备、橡胶制品等的生产销售</w:t>
                </w:r>
              </w:p>
            </w:tc>
            <w:tc>
              <w:tcPr>
                <w:tcW w:w="711" w:type="pct"/>
                <w:vAlign w:val="center"/>
              </w:tcPr>
              <w:p w14:paraId="265B2C6A" w14:textId="77777777" w:rsidR="007E7472" w:rsidRDefault="00EC1269">
                <w:pPr>
                  <w:jc w:val="right"/>
                </w:pPr>
                <w:r>
                  <w:t>100</w:t>
                </w:r>
              </w:p>
            </w:tc>
            <w:tc>
              <w:tcPr>
                <w:tcW w:w="711" w:type="pct"/>
                <w:vAlign w:val="center"/>
              </w:tcPr>
              <w:p w14:paraId="12C3A8EA" w14:textId="77777777" w:rsidR="007E7472" w:rsidRDefault="00C8327E">
                <w:pPr>
                  <w:jc w:val="right"/>
                </w:pPr>
              </w:p>
            </w:tc>
            <w:tc>
              <w:tcPr>
                <w:tcW w:w="783" w:type="pct"/>
                <w:vAlign w:val="center"/>
              </w:tcPr>
              <w:p w14:paraId="7733DAA4" w14:textId="77777777" w:rsidR="007E7472" w:rsidRDefault="00EC1269">
                <w:pPr>
                  <w:jc w:val="right"/>
                </w:pPr>
                <w:r>
                  <w:t>同一控制下企业合并</w:t>
                </w:r>
              </w:p>
            </w:tc>
          </w:tr>
          <w:tr w:rsidR="007E7472" w14:paraId="311D475E" w14:textId="77777777">
            <w:tc>
              <w:tcPr>
                <w:tcW w:w="800" w:type="pct"/>
                <w:vAlign w:val="center"/>
              </w:tcPr>
              <w:p w14:paraId="11F7D3A6" w14:textId="77777777" w:rsidR="007E7472" w:rsidRDefault="00EC1269">
                <w:r>
                  <w:rPr>
                    <w:rFonts w:hint="eastAsia"/>
                  </w:rPr>
                  <w:t>兖矿集团唐村实业有限公司</w:t>
                </w:r>
              </w:p>
            </w:tc>
            <w:tc>
              <w:tcPr>
                <w:tcW w:w="643" w:type="pct"/>
                <w:vAlign w:val="center"/>
              </w:tcPr>
              <w:p w14:paraId="6B7F3037" w14:textId="77777777" w:rsidR="007E7472" w:rsidRDefault="00EC1269">
                <w:pPr>
                  <w:jc w:val="center"/>
                </w:pPr>
                <w:r>
                  <w:t>山东邹城</w:t>
                </w:r>
              </w:p>
            </w:tc>
            <w:tc>
              <w:tcPr>
                <w:tcW w:w="632" w:type="pct"/>
                <w:vAlign w:val="center"/>
              </w:tcPr>
              <w:p w14:paraId="09698E91" w14:textId="77777777" w:rsidR="007E7472" w:rsidRDefault="00EC1269">
                <w:pPr>
                  <w:jc w:val="center"/>
                </w:pPr>
                <w:r>
                  <w:t>山东邹城</w:t>
                </w:r>
              </w:p>
            </w:tc>
            <w:tc>
              <w:tcPr>
                <w:tcW w:w="719" w:type="pct"/>
                <w:vAlign w:val="center"/>
              </w:tcPr>
              <w:p w14:paraId="318F0966" w14:textId="77777777" w:rsidR="007E7472" w:rsidRDefault="00EC1269">
                <w:r>
                  <w:t>橡胶输送带、电缆制造</w:t>
                </w:r>
              </w:p>
            </w:tc>
            <w:tc>
              <w:tcPr>
                <w:tcW w:w="711" w:type="pct"/>
                <w:vAlign w:val="center"/>
              </w:tcPr>
              <w:p w14:paraId="576854C9" w14:textId="77777777" w:rsidR="007E7472" w:rsidRDefault="00C8327E">
                <w:pPr>
                  <w:jc w:val="right"/>
                </w:pPr>
              </w:p>
            </w:tc>
            <w:tc>
              <w:tcPr>
                <w:tcW w:w="711" w:type="pct"/>
                <w:vAlign w:val="center"/>
              </w:tcPr>
              <w:p w14:paraId="58898ED7" w14:textId="77777777" w:rsidR="007E7472" w:rsidRDefault="00EC1269">
                <w:pPr>
                  <w:jc w:val="right"/>
                </w:pPr>
                <w:r>
                  <w:t>100</w:t>
                </w:r>
              </w:p>
            </w:tc>
            <w:tc>
              <w:tcPr>
                <w:tcW w:w="783" w:type="pct"/>
                <w:vAlign w:val="center"/>
              </w:tcPr>
              <w:p w14:paraId="3039B68F" w14:textId="77777777" w:rsidR="007E7472" w:rsidRDefault="00EC1269">
                <w:pPr>
                  <w:jc w:val="right"/>
                </w:pPr>
                <w:r>
                  <w:t>同一控制下企业合并</w:t>
                </w:r>
              </w:p>
            </w:tc>
          </w:tr>
          <w:tr w:rsidR="007E7472" w14:paraId="554FC68C" w14:textId="77777777">
            <w:tc>
              <w:tcPr>
                <w:tcW w:w="800" w:type="pct"/>
                <w:vAlign w:val="center"/>
              </w:tcPr>
              <w:p w14:paraId="4B47BC90" w14:textId="77777777" w:rsidR="007E7472" w:rsidRDefault="00EC1269">
                <w:r>
                  <w:rPr>
                    <w:rFonts w:hint="eastAsia"/>
                  </w:rPr>
                  <w:t>兖州东方机电有限公司</w:t>
                </w:r>
              </w:p>
            </w:tc>
            <w:tc>
              <w:tcPr>
                <w:tcW w:w="643" w:type="pct"/>
                <w:vAlign w:val="center"/>
              </w:tcPr>
              <w:p w14:paraId="1A19AADE" w14:textId="77777777" w:rsidR="007E7472" w:rsidRDefault="00EC1269">
                <w:pPr>
                  <w:jc w:val="center"/>
                </w:pPr>
                <w:r>
                  <w:t>山东邹城</w:t>
                </w:r>
              </w:p>
            </w:tc>
            <w:tc>
              <w:tcPr>
                <w:tcW w:w="632" w:type="pct"/>
                <w:vAlign w:val="center"/>
              </w:tcPr>
              <w:p w14:paraId="65BCD638" w14:textId="77777777" w:rsidR="007E7472" w:rsidRDefault="00EC1269">
                <w:pPr>
                  <w:jc w:val="center"/>
                </w:pPr>
                <w:r>
                  <w:t>山东邹城</w:t>
                </w:r>
              </w:p>
            </w:tc>
            <w:tc>
              <w:tcPr>
                <w:tcW w:w="719" w:type="pct"/>
                <w:vAlign w:val="center"/>
              </w:tcPr>
              <w:p w14:paraId="18731ECD" w14:textId="77777777" w:rsidR="007E7472" w:rsidRDefault="00EC1269">
                <w:r>
                  <w:t>矿用电器、高低压开关设备制造</w:t>
                </w:r>
              </w:p>
            </w:tc>
            <w:tc>
              <w:tcPr>
                <w:tcW w:w="711" w:type="pct"/>
                <w:vAlign w:val="center"/>
              </w:tcPr>
              <w:p w14:paraId="13716D00" w14:textId="77777777" w:rsidR="007E7472" w:rsidRDefault="00C8327E">
                <w:pPr>
                  <w:jc w:val="right"/>
                </w:pPr>
              </w:p>
            </w:tc>
            <w:tc>
              <w:tcPr>
                <w:tcW w:w="711" w:type="pct"/>
                <w:vAlign w:val="center"/>
              </w:tcPr>
              <w:p w14:paraId="016F5A44" w14:textId="77777777" w:rsidR="007E7472" w:rsidRDefault="00EC1269">
                <w:pPr>
                  <w:jc w:val="right"/>
                </w:pPr>
                <w:r>
                  <w:t>94.34</w:t>
                </w:r>
              </w:p>
            </w:tc>
            <w:tc>
              <w:tcPr>
                <w:tcW w:w="783" w:type="pct"/>
                <w:vAlign w:val="center"/>
              </w:tcPr>
              <w:p w14:paraId="27E69E33" w14:textId="77777777" w:rsidR="007E7472" w:rsidRDefault="00EC1269">
                <w:pPr>
                  <w:jc w:val="right"/>
                </w:pPr>
                <w:r>
                  <w:t>同一控制下企业合并</w:t>
                </w:r>
              </w:p>
            </w:tc>
          </w:tr>
          <w:tr w:rsidR="007E7472" w14:paraId="7961C56F" w14:textId="77777777">
            <w:tc>
              <w:tcPr>
                <w:tcW w:w="800" w:type="pct"/>
                <w:vAlign w:val="center"/>
              </w:tcPr>
              <w:p w14:paraId="7080BACA" w14:textId="77777777" w:rsidR="007E7472" w:rsidRDefault="00EC1269">
                <w:r>
                  <w:rPr>
                    <w:rFonts w:hint="eastAsia"/>
                  </w:rPr>
                  <w:t>兖矿集团邹城金通橡胶有限公司</w:t>
                </w:r>
              </w:p>
            </w:tc>
            <w:tc>
              <w:tcPr>
                <w:tcW w:w="643" w:type="pct"/>
                <w:vAlign w:val="center"/>
              </w:tcPr>
              <w:p w14:paraId="158ADC4F" w14:textId="77777777" w:rsidR="007E7472" w:rsidRDefault="00EC1269">
                <w:pPr>
                  <w:jc w:val="center"/>
                </w:pPr>
                <w:r>
                  <w:t>山东邹城</w:t>
                </w:r>
              </w:p>
            </w:tc>
            <w:tc>
              <w:tcPr>
                <w:tcW w:w="632" w:type="pct"/>
                <w:vAlign w:val="center"/>
              </w:tcPr>
              <w:p w14:paraId="0B327F2B" w14:textId="77777777" w:rsidR="007E7472" w:rsidRDefault="00EC1269">
                <w:pPr>
                  <w:jc w:val="center"/>
                </w:pPr>
                <w:r>
                  <w:t>山东邹城</w:t>
                </w:r>
              </w:p>
            </w:tc>
            <w:tc>
              <w:tcPr>
                <w:tcW w:w="719" w:type="pct"/>
                <w:vAlign w:val="center"/>
              </w:tcPr>
              <w:p w14:paraId="2B455E81" w14:textId="77777777" w:rsidR="007E7472" w:rsidRDefault="00EC1269">
                <w:r>
                  <w:t>高、中、低压橡胶软管制造</w:t>
                </w:r>
              </w:p>
            </w:tc>
            <w:tc>
              <w:tcPr>
                <w:tcW w:w="711" w:type="pct"/>
                <w:vAlign w:val="center"/>
              </w:tcPr>
              <w:p w14:paraId="1F473216" w14:textId="77777777" w:rsidR="007E7472" w:rsidRDefault="00C8327E">
                <w:pPr>
                  <w:jc w:val="right"/>
                </w:pPr>
              </w:p>
            </w:tc>
            <w:tc>
              <w:tcPr>
                <w:tcW w:w="711" w:type="pct"/>
                <w:vAlign w:val="center"/>
              </w:tcPr>
              <w:p w14:paraId="09594AD1" w14:textId="77777777" w:rsidR="007E7472" w:rsidRDefault="00EC1269">
                <w:pPr>
                  <w:jc w:val="right"/>
                </w:pPr>
                <w:r>
                  <w:t>54.55</w:t>
                </w:r>
              </w:p>
            </w:tc>
            <w:tc>
              <w:tcPr>
                <w:tcW w:w="783" w:type="pct"/>
                <w:vAlign w:val="center"/>
              </w:tcPr>
              <w:p w14:paraId="4197D8B7" w14:textId="77777777" w:rsidR="007E7472" w:rsidRDefault="00EC1269">
                <w:pPr>
                  <w:jc w:val="right"/>
                </w:pPr>
                <w:r>
                  <w:t>同一控制下企业合并</w:t>
                </w:r>
              </w:p>
            </w:tc>
          </w:tr>
          <w:tr w:rsidR="007E7472" w14:paraId="7A612B1E" w14:textId="77777777">
            <w:tc>
              <w:tcPr>
                <w:tcW w:w="800" w:type="pct"/>
                <w:vAlign w:val="center"/>
              </w:tcPr>
              <w:p w14:paraId="36E0352D" w14:textId="77777777" w:rsidR="007E7472" w:rsidRDefault="00EC1269">
                <w:r>
                  <w:rPr>
                    <w:rFonts w:hint="eastAsia"/>
                  </w:rPr>
                  <w:t>山东兖矿智能制造有限公司</w:t>
                </w:r>
              </w:p>
            </w:tc>
            <w:tc>
              <w:tcPr>
                <w:tcW w:w="643" w:type="pct"/>
                <w:vAlign w:val="center"/>
              </w:tcPr>
              <w:p w14:paraId="5264D0F2" w14:textId="77777777" w:rsidR="007E7472" w:rsidRDefault="00EC1269">
                <w:pPr>
                  <w:jc w:val="center"/>
                </w:pPr>
                <w:r>
                  <w:t>山东邹城</w:t>
                </w:r>
              </w:p>
            </w:tc>
            <w:tc>
              <w:tcPr>
                <w:tcW w:w="632" w:type="pct"/>
                <w:vAlign w:val="center"/>
              </w:tcPr>
              <w:p w14:paraId="00B0A657" w14:textId="77777777" w:rsidR="007E7472" w:rsidRDefault="00EC1269">
                <w:pPr>
                  <w:jc w:val="center"/>
                </w:pPr>
                <w:r>
                  <w:t>山东邹城</w:t>
                </w:r>
              </w:p>
            </w:tc>
            <w:tc>
              <w:tcPr>
                <w:tcW w:w="719" w:type="pct"/>
                <w:vAlign w:val="center"/>
              </w:tcPr>
              <w:p w14:paraId="13EA0397" w14:textId="77777777" w:rsidR="007E7472" w:rsidRDefault="00EC1269">
                <w:r>
                  <w:t>设备制造、机械制造修理</w:t>
                </w:r>
              </w:p>
            </w:tc>
            <w:tc>
              <w:tcPr>
                <w:tcW w:w="711" w:type="pct"/>
                <w:vAlign w:val="center"/>
              </w:tcPr>
              <w:p w14:paraId="1398833D" w14:textId="77777777" w:rsidR="007E7472" w:rsidRDefault="00C8327E">
                <w:pPr>
                  <w:jc w:val="right"/>
                </w:pPr>
              </w:p>
            </w:tc>
            <w:tc>
              <w:tcPr>
                <w:tcW w:w="711" w:type="pct"/>
                <w:vAlign w:val="center"/>
              </w:tcPr>
              <w:p w14:paraId="5CEF6FCC" w14:textId="77777777" w:rsidR="007E7472" w:rsidRDefault="00EC1269">
                <w:pPr>
                  <w:jc w:val="right"/>
                </w:pPr>
                <w:r>
                  <w:t>100</w:t>
                </w:r>
              </w:p>
            </w:tc>
            <w:tc>
              <w:tcPr>
                <w:tcW w:w="783" w:type="pct"/>
                <w:vAlign w:val="center"/>
              </w:tcPr>
              <w:p w14:paraId="68A0C2E1" w14:textId="77777777" w:rsidR="007E7472" w:rsidRDefault="00EC1269">
                <w:pPr>
                  <w:jc w:val="right"/>
                </w:pPr>
                <w:r>
                  <w:t>投资设立</w:t>
                </w:r>
              </w:p>
            </w:tc>
          </w:tr>
          <w:tr w:rsidR="007E7472" w14:paraId="177A0006" w14:textId="77777777">
            <w:tc>
              <w:tcPr>
                <w:tcW w:w="800" w:type="pct"/>
                <w:vAlign w:val="center"/>
              </w:tcPr>
              <w:p w14:paraId="7CC027FD" w14:textId="77777777" w:rsidR="007E7472" w:rsidRDefault="00EC1269">
                <w:r>
                  <w:rPr>
                    <w:rFonts w:hint="eastAsia"/>
                  </w:rPr>
                  <w:lastRenderedPageBreak/>
                  <w:t>兖州煤业山西能化有限公司</w:t>
                </w:r>
              </w:p>
            </w:tc>
            <w:tc>
              <w:tcPr>
                <w:tcW w:w="643" w:type="pct"/>
                <w:vAlign w:val="center"/>
              </w:tcPr>
              <w:p w14:paraId="72CB0C1E" w14:textId="77777777" w:rsidR="007E7472" w:rsidRDefault="00EC1269">
                <w:pPr>
                  <w:jc w:val="center"/>
                </w:pPr>
                <w:r>
                  <w:t>山西晋中</w:t>
                </w:r>
              </w:p>
            </w:tc>
            <w:tc>
              <w:tcPr>
                <w:tcW w:w="632" w:type="pct"/>
                <w:vAlign w:val="center"/>
              </w:tcPr>
              <w:p w14:paraId="729CDACC" w14:textId="77777777" w:rsidR="007E7472" w:rsidRDefault="00EC1269">
                <w:pPr>
                  <w:jc w:val="center"/>
                </w:pPr>
                <w:r>
                  <w:t>山西晋中</w:t>
                </w:r>
              </w:p>
            </w:tc>
            <w:tc>
              <w:tcPr>
                <w:tcW w:w="719" w:type="pct"/>
                <w:vAlign w:val="center"/>
              </w:tcPr>
              <w:p w14:paraId="0682C6B7" w14:textId="77777777" w:rsidR="007E7472" w:rsidRDefault="00EC1269">
                <w:r>
                  <w:t>热电投资、煤炭技术服务</w:t>
                </w:r>
              </w:p>
            </w:tc>
            <w:tc>
              <w:tcPr>
                <w:tcW w:w="711" w:type="pct"/>
                <w:vAlign w:val="center"/>
              </w:tcPr>
              <w:p w14:paraId="620DFEAB" w14:textId="77777777" w:rsidR="007E7472" w:rsidRDefault="00EC1269">
                <w:pPr>
                  <w:jc w:val="right"/>
                </w:pPr>
                <w:r>
                  <w:t>100</w:t>
                </w:r>
              </w:p>
            </w:tc>
            <w:tc>
              <w:tcPr>
                <w:tcW w:w="711" w:type="pct"/>
                <w:vAlign w:val="center"/>
              </w:tcPr>
              <w:p w14:paraId="4DEFDC0F" w14:textId="77777777" w:rsidR="007E7472" w:rsidRDefault="00C8327E">
                <w:pPr>
                  <w:jc w:val="right"/>
                </w:pPr>
              </w:p>
            </w:tc>
            <w:tc>
              <w:tcPr>
                <w:tcW w:w="783" w:type="pct"/>
                <w:vAlign w:val="center"/>
              </w:tcPr>
              <w:p w14:paraId="05DA018C" w14:textId="77777777" w:rsidR="007E7472" w:rsidRDefault="00EC1269">
                <w:pPr>
                  <w:jc w:val="right"/>
                </w:pPr>
                <w:r>
                  <w:t>同一控制下企业合并</w:t>
                </w:r>
              </w:p>
            </w:tc>
          </w:tr>
          <w:tr w:rsidR="007E7472" w14:paraId="2E17C169" w14:textId="77777777">
            <w:tc>
              <w:tcPr>
                <w:tcW w:w="800" w:type="pct"/>
                <w:vAlign w:val="center"/>
              </w:tcPr>
              <w:p w14:paraId="3E5FA771" w14:textId="77777777" w:rsidR="007E7472" w:rsidRDefault="00EC1269">
                <w:r>
                  <w:rPr>
                    <w:rFonts w:hint="eastAsia"/>
                  </w:rPr>
                  <w:t>山西和顺天池能源有限责任公司</w:t>
                </w:r>
              </w:p>
            </w:tc>
            <w:tc>
              <w:tcPr>
                <w:tcW w:w="643" w:type="pct"/>
                <w:vAlign w:val="center"/>
              </w:tcPr>
              <w:p w14:paraId="76A77BE7" w14:textId="77777777" w:rsidR="007E7472" w:rsidRDefault="00EC1269">
                <w:pPr>
                  <w:jc w:val="center"/>
                </w:pPr>
                <w:r>
                  <w:t>山西和顺</w:t>
                </w:r>
              </w:p>
            </w:tc>
            <w:tc>
              <w:tcPr>
                <w:tcW w:w="632" w:type="pct"/>
                <w:vAlign w:val="center"/>
              </w:tcPr>
              <w:p w14:paraId="124955AA" w14:textId="77777777" w:rsidR="007E7472" w:rsidRDefault="00EC1269">
                <w:pPr>
                  <w:jc w:val="center"/>
                </w:pPr>
                <w:r>
                  <w:t>山西和顺</w:t>
                </w:r>
              </w:p>
            </w:tc>
            <w:tc>
              <w:tcPr>
                <w:tcW w:w="719" w:type="pct"/>
                <w:vAlign w:val="center"/>
              </w:tcPr>
              <w:p w14:paraId="22682144" w14:textId="77777777" w:rsidR="007E7472" w:rsidRDefault="00EC1269">
                <w:r>
                  <w:t>煤炭开采及销售</w:t>
                </w:r>
              </w:p>
            </w:tc>
            <w:tc>
              <w:tcPr>
                <w:tcW w:w="711" w:type="pct"/>
                <w:vAlign w:val="center"/>
              </w:tcPr>
              <w:p w14:paraId="0FD104A0" w14:textId="77777777" w:rsidR="007E7472" w:rsidRDefault="00C8327E">
                <w:pPr>
                  <w:jc w:val="right"/>
                </w:pPr>
              </w:p>
            </w:tc>
            <w:tc>
              <w:tcPr>
                <w:tcW w:w="711" w:type="pct"/>
                <w:vAlign w:val="center"/>
              </w:tcPr>
              <w:p w14:paraId="60AB1636" w14:textId="77777777" w:rsidR="007E7472" w:rsidRDefault="00EC1269">
                <w:pPr>
                  <w:jc w:val="right"/>
                </w:pPr>
                <w:r>
                  <w:t>81.31</w:t>
                </w:r>
              </w:p>
            </w:tc>
            <w:tc>
              <w:tcPr>
                <w:tcW w:w="783" w:type="pct"/>
                <w:vAlign w:val="center"/>
              </w:tcPr>
              <w:p w14:paraId="1E7FF647" w14:textId="77777777" w:rsidR="007E7472" w:rsidRDefault="00EC1269">
                <w:pPr>
                  <w:jc w:val="right"/>
                </w:pPr>
                <w:r>
                  <w:t>同一控制下企业合并</w:t>
                </w:r>
              </w:p>
            </w:tc>
          </w:tr>
          <w:tr w:rsidR="007E7472" w14:paraId="39F8B858" w14:textId="77777777">
            <w:tc>
              <w:tcPr>
                <w:tcW w:w="800" w:type="pct"/>
                <w:vAlign w:val="center"/>
              </w:tcPr>
              <w:p w14:paraId="606394C9" w14:textId="77777777" w:rsidR="007E7472" w:rsidRDefault="00EC1269">
                <w:r>
                  <w:rPr>
                    <w:rFonts w:hint="eastAsia"/>
                  </w:rPr>
                  <w:t>兖州煤业榆林能化有限公司</w:t>
                </w:r>
              </w:p>
            </w:tc>
            <w:tc>
              <w:tcPr>
                <w:tcW w:w="643" w:type="pct"/>
                <w:vAlign w:val="center"/>
              </w:tcPr>
              <w:p w14:paraId="674FD356" w14:textId="77777777" w:rsidR="007E7472" w:rsidRDefault="00EC1269">
                <w:pPr>
                  <w:jc w:val="center"/>
                </w:pPr>
                <w:r>
                  <w:t>陕西榆林</w:t>
                </w:r>
              </w:p>
            </w:tc>
            <w:tc>
              <w:tcPr>
                <w:tcW w:w="632" w:type="pct"/>
                <w:vAlign w:val="center"/>
              </w:tcPr>
              <w:p w14:paraId="7C6B6ECB" w14:textId="77777777" w:rsidR="007E7472" w:rsidRDefault="00EC1269">
                <w:pPr>
                  <w:jc w:val="center"/>
                </w:pPr>
                <w:r>
                  <w:t>陕西榆林</w:t>
                </w:r>
              </w:p>
            </w:tc>
            <w:tc>
              <w:tcPr>
                <w:tcW w:w="719" w:type="pct"/>
                <w:vAlign w:val="center"/>
              </w:tcPr>
              <w:p w14:paraId="408658CF" w14:textId="77777777" w:rsidR="007E7472" w:rsidRDefault="00EC1269">
                <w:r>
                  <w:t>甲醇生产及销售</w:t>
                </w:r>
              </w:p>
            </w:tc>
            <w:tc>
              <w:tcPr>
                <w:tcW w:w="711" w:type="pct"/>
                <w:vAlign w:val="center"/>
              </w:tcPr>
              <w:p w14:paraId="7D09C8CC" w14:textId="77777777" w:rsidR="007E7472" w:rsidRDefault="00EC1269">
                <w:pPr>
                  <w:jc w:val="right"/>
                </w:pPr>
                <w:r>
                  <w:t>100</w:t>
                </w:r>
              </w:p>
            </w:tc>
            <w:tc>
              <w:tcPr>
                <w:tcW w:w="711" w:type="pct"/>
                <w:vAlign w:val="center"/>
              </w:tcPr>
              <w:p w14:paraId="7B6944E0" w14:textId="77777777" w:rsidR="007E7472" w:rsidRDefault="00C8327E">
                <w:pPr>
                  <w:jc w:val="right"/>
                </w:pPr>
              </w:p>
            </w:tc>
            <w:tc>
              <w:tcPr>
                <w:tcW w:w="783" w:type="pct"/>
                <w:vAlign w:val="center"/>
              </w:tcPr>
              <w:p w14:paraId="10842E81" w14:textId="77777777" w:rsidR="007E7472" w:rsidRDefault="00EC1269">
                <w:pPr>
                  <w:jc w:val="right"/>
                </w:pPr>
                <w:r>
                  <w:t>投资设立</w:t>
                </w:r>
              </w:p>
            </w:tc>
          </w:tr>
          <w:tr w:rsidR="007E7472" w14:paraId="5C4B1150" w14:textId="77777777">
            <w:tc>
              <w:tcPr>
                <w:tcW w:w="800" w:type="pct"/>
                <w:vAlign w:val="center"/>
              </w:tcPr>
              <w:p w14:paraId="15C4EBA0" w14:textId="77777777" w:rsidR="007E7472" w:rsidRDefault="00EC1269">
                <w:r>
                  <w:rPr>
                    <w:rFonts w:hint="eastAsia"/>
                  </w:rPr>
                  <w:t>兖煤菏泽能化有限公司</w:t>
                </w:r>
              </w:p>
            </w:tc>
            <w:tc>
              <w:tcPr>
                <w:tcW w:w="643" w:type="pct"/>
                <w:vAlign w:val="center"/>
              </w:tcPr>
              <w:p w14:paraId="3E9022EE" w14:textId="77777777" w:rsidR="007E7472" w:rsidRDefault="00EC1269">
                <w:pPr>
                  <w:jc w:val="center"/>
                </w:pPr>
                <w:r>
                  <w:t>山东菏泽</w:t>
                </w:r>
              </w:p>
            </w:tc>
            <w:tc>
              <w:tcPr>
                <w:tcW w:w="632" w:type="pct"/>
                <w:vAlign w:val="center"/>
              </w:tcPr>
              <w:p w14:paraId="3A98DB14" w14:textId="77777777" w:rsidR="007E7472" w:rsidRDefault="00EC1269">
                <w:pPr>
                  <w:jc w:val="center"/>
                </w:pPr>
                <w:r>
                  <w:t>山东菏泽</w:t>
                </w:r>
              </w:p>
            </w:tc>
            <w:tc>
              <w:tcPr>
                <w:tcW w:w="719" w:type="pct"/>
                <w:vAlign w:val="center"/>
              </w:tcPr>
              <w:p w14:paraId="15196735" w14:textId="77777777" w:rsidR="007E7472" w:rsidRDefault="00EC1269">
                <w:r>
                  <w:t>煤炭开采及销售</w:t>
                </w:r>
              </w:p>
            </w:tc>
            <w:tc>
              <w:tcPr>
                <w:tcW w:w="711" w:type="pct"/>
                <w:vAlign w:val="center"/>
              </w:tcPr>
              <w:p w14:paraId="0A992709" w14:textId="77777777" w:rsidR="007E7472" w:rsidRDefault="00EC1269">
                <w:pPr>
                  <w:jc w:val="right"/>
                </w:pPr>
                <w:r>
                  <w:t>98.33</w:t>
                </w:r>
              </w:p>
            </w:tc>
            <w:tc>
              <w:tcPr>
                <w:tcW w:w="711" w:type="pct"/>
                <w:vAlign w:val="center"/>
              </w:tcPr>
              <w:p w14:paraId="307B4263" w14:textId="77777777" w:rsidR="007E7472" w:rsidRDefault="00C8327E">
                <w:pPr>
                  <w:jc w:val="right"/>
                </w:pPr>
              </w:p>
            </w:tc>
            <w:tc>
              <w:tcPr>
                <w:tcW w:w="783" w:type="pct"/>
                <w:vAlign w:val="center"/>
              </w:tcPr>
              <w:p w14:paraId="03AE99B3" w14:textId="77777777" w:rsidR="007E7472" w:rsidRDefault="00EC1269">
                <w:pPr>
                  <w:jc w:val="right"/>
                </w:pPr>
                <w:r>
                  <w:t>投资设立</w:t>
                </w:r>
              </w:p>
            </w:tc>
          </w:tr>
          <w:tr w:rsidR="007E7472" w14:paraId="728A87B3" w14:textId="77777777">
            <w:tc>
              <w:tcPr>
                <w:tcW w:w="800" w:type="pct"/>
                <w:vAlign w:val="center"/>
              </w:tcPr>
              <w:p w14:paraId="46E40720" w14:textId="77777777" w:rsidR="007E7472" w:rsidRDefault="00EC1269">
                <w:r>
                  <w:rPr>
                    <w:rFonts w:hint="eastAsia"/>
                  </w:rPr>
                  <w:t>兖煤万福能源有限公司</w:t>
                </w:r>
              </w:p>
            </w:tc>
            <w:tc>
              <w:tcPr>
                <w:tcW w:w="643" w:type="pct"/>
                <w:vAlign w:val="center"/>
              </w:tcPr>
              <w:p w14:paraId="34F22108" w14:textId="77777777" w:rsidR="007E7472" w:rsidRDefault="00EC1269">
                <w:pPr>
                  <w:jc w:val="center"/>
                </w:pPr>
                <w:r>
                  <w:t>山东菏泽</w:t>
                </w:r>
              </w:p>
            </w:tc>
            <w:tc>
              <w:tcPr>
                <w:tcW w:w="632" w:type="pct"/>
                <w:vAlign w:val="center"/>
              </w:tcPr>
              <w:p w14:paraId="47E9F18B" w14:textId="77777777" w:rsidR="007E7472" w:rsidRDefault="00EC1269">
                <w:pPr>
                  <w:jc w:val="center"/>
                </w:pPr>
                <w:r>
                  <w:t>山东菏泽</w:t>
                </w:r>
              </w:p>
            </w:tc>
            <w:tc>
              <w:tcPr>
                <w:tcW w:w="719" w:type="pct"/>
                <w:vAlign w:val="center"/>
              </w:tcPr>
              <w:p w14:paraId="74E43FD4" w14:textId="77777777" w:rsidR="007E7472" w:rsidRDefault="00EC1269">
                <w:r>
                  <w:t>煤炭开采及销售</w:t>
                </w:r>
              </w:p>
            </w:tc>
            <w:tc>
              <w:tcPr>
                <w:tcW w:w="711" w:type="pct"/>
                <w:vAlign w:val="center"/>
              </w:tcPr>
              <w:p w14:paraId="73719C27" w14:textId="77777777" w:rsidR="007E7472" w:rsidRDefault="00C8327E">
                <w:pPr>
                  <w:jc w:val="right"/>
                </w:pPr>
              </w:p>
            </w:tc>
            <w:tc>
              <w:tcPr>
                <w:tcW w:w="711" w:type="pct"/>
                <w:vAlign w:val="center"/>
              </w:tcPr>
              <w:p w14:paraId="688072FC" w14:textId="77777777" w:rsidR="007E7472" w:rsidRDefault="00EC1269">
                <w:pPr>
                  <w:jc w:val="right"/>
                </w:pPr>
                <w:r>
                  <w:t>90</w:t>
                </w:r>
              </w:p>
            </w:tc>
            <w:tc>
              <w:tcPr>
                <w:tcW w:w="783" w:type="pct"/>
                <w:vAlign w:val="center"/>
              </w:tcPr>
              <w:p w14:paraId="22C82044" w14:textId="77777777" w:rsidR="007E7472" w:rsidRDefault="00EC1269">
                <w:pPr>
                  <w:jc w:val="right"/>
                </w:pPr>
                <w:r>
                  <w:t>投资设立</w:t>
                </w:r>
              </w:p>
            </w:tc>
          </w:tr>
          <w:tr w:rsidR="007E7472" w14:paraId="42653FF8" w14:textId="77777777">
            <w:tc>
              <w:tcPr>
                <w:tcW w:w="800" w:type="pct"/>
                <w:vAlign w:val="center"/>
              </w:tcPr>
              <w:p w14:paraId="4784C44E" w14:textId="77777777" w:rsidR="007E7472" w:rsidRDefault="00EC1269">
                <w:r>
                  <w:rPr>
                    <w:rFonts w:hint="eastAsia"/>
                  </w:rPr>
                  <w:t>内蒙古昊盛煤业有限公司</w:t>
                </w:r>
              </w:p>
            </w:tc>
            <w:tc>
              <w:tcPr>
                <w:tcW w:w="643" w:type="pct"/>
                <w:vAlign w:val="center"/>
              </w:tcPr>
              <w:p w14:paraId="4B6BBBED" w14:textId="77777777" w:rsidR="007E7472" w:rsidRDefault="00EC1269">
                <w:pPr>
                  <w:jc w:val="center"/>
                </w:pPr>
                <w:r>
                  <w:t>鄂尔多斯</w:t>
                </w:r>
              </w:p>
            </w:tc>
            <w:tc>
              <w:tcPr>
                <w:tcW w:w="632" w:type="pct"/>
                <w:vAlign w:val="center"/>
              </w:tcPr>
              <w:p w14:paraId="7F1559E5" w14:textId="77777777" w:rsidR="007E7472" w:rsidRDefault="00EC1269">
                <w:pPr>
                  <w:jc w:val="center"/>
                </w:pPr>
                <w:r>
                  <w:t>鄂尔多斯</w:t>
                </w:r>
              </w:p>
            </w:tc>
            <w:tc>
              <w:tcPr>
                <w:tcW w:w="719" w:type="pct"/>
                <w:vAlign w:val="center"/>
              </w:tcPr>
              <w:p w14:paraId="7126AE7C" w14:textId="77777777" w:rsidR="007E7472" w:rsidRDefault="00EC1269">
                <w:r>
                  <w:t>煤炭开采及销售</w:t>
                </w:r>
              </w:p>
            </w:tc>
            <w:tc>
              <w:tcPr>
                <w:tcW w:w="711" w:type="pct"/>
                <w:vAlign w:val="center"/>
              </w:tcPr>
              <w:p w14:paraId="7400B478" w14:textId="77777777" w:rsidR="007E7472" w:rsidRDefault="00EC1269">
                <w:pPr>
                  <w:jc w:val="right"/>
                </w:pPr>
                <w:r>
                  <w:t>55.44</w:t>
                </w:r>
              </w:p>
            </w:tc>
            <w:tc>
              <w:tcPr>
                <w:tcW w:w="711" w:type="pct"/>
                <w:vAlign w:val="center"/>
              </w:tcPr>
              <w:p w14:paraId="5A184F50" w14:textId="77777777" w:rsidR="007E7472" w:rsidRDefault="00C8327E">
                <w:pPr>
                  <w:jc w:val="right"/>
                </w:pPr>
              </w:p>
            </w:tc>
            <w:tc>
              <w:tcPr>
                <w:tcW w:w="783" w:type="pct"/>
                <w:vAlign w:val="center"/>
              </w:tcPr>
              <w:p w14:paraId="71A7834E" w14:textId="77777777" w:rsidR="007E7472" w:rsidRDefault="00EC1269">
                <w:pPr>
                  <w:jc w:val="right"/>
                </w:pPr>
                <w:r>
                  <w:t>非同一控制下企业合并</w:t>
                </w:r>
              </w:p>
            </w:tc>
          </w:tr>
          <w:tr w:rsidR="007E7472" w14:paraId="328BE27B" w14:textId="77777777">
            <w:tc>
              <w:tcPr>
                <w:tcW w:w="800" w:type="pct"/>
                <w:vAlign w:val="center"/>
              </w:tcPr>
              <w:p w14:paraId="4153F804" w14:textId="77777777" w:rsidR="007E7472" w:rsidRDefault="00EC1269">
                <w:r>
                  <w:rPr>
                    <w:rFonts w:hint="eastAsia"/>
                  </w:rPr>
                  <w:t>兖矿能源集团国际贸易有限公司</w:t>
                </w:r>
              </w:p>
            </w:tc>
            <w:tc>
              <w:tcPr>
                <w:tcW w:w="643" w:type="pct"/>
                <w:vAlign w:val="center"/>
              </w:tcPr>
              <w:p w14:paraId="4D5E9302" w14:textId="77777777" w:rsidR="007E7472" w:rsidRDefault="00EC1269">
                <w:pPr>
                  <w:jc w:val="center"/>
                </w:pPr>
                <w:r>
                  <w:t>山东济南</w:t>
                </w:r>
              </w:p>
            </w:tc>
            <w:tc>
              <w:tcPr>
                <w:tcW w:w="632" w:type="pct"/>
                <w:vAlign w:val="center"/>
              </w:tcPr>
              <w:p w14:paraId="403AA099" w14:textId="77777777" w:rsidR="007E7472" w:rsidRDefault="00EC1269">
                <w:pPr>
                  <w:jc w:val="center"/>
                </w:pPr>
                <w:r>
                  <w:t>山东济南</w:t>
                </w:r>
              </w:p>
            </w:tc>
            <w:tc>
              <w:tcPr>
                <w:tcW w:w="719" w:type="pct"/>
                <w:vAlign w:val="center"/>
              </w:tcPr>
              <w:p w14:paraId="242FE480" w14:textId="77777777" w:rsidR="007E7472" w:rsidRDefault="00EC1269">
                <w:r>
                  <w:t>煤炭、电解铜贸易</w:t>
                </w:r>
              </w:p>
            </w:tc>
            <w:tc>
              <w:tcPr>
                <w:tcW w:w="711" w:type="pct"/>
                <w:vAlign w:val="center"/>
              </w:tcPr>
              <w:p w14:paraId="5C5DD0F3" w14:textId="77777777" w:rsidR="007E7472" w:rsidRDefault="00EC1269">
                <w:pPr>
                  <w:jc w:val="right"/>
                </w:pPr>
                <w:r>
                  <w:t>100</w:t>
                </w:r>
              </w:p>
            </w:tc>
            <w:tc>
              <w:tcPr>
                <w:tcW w:w="711" w:type="pct"/>
                <w:vAlign w:val="center"/>
              </w:tcPr>
              <w:p w14:paraId="1625DAF0" w14:textId="77777777" w:rsidR="007E7472" w:rsidRDefault="00C8327E">
                <w:pPr>
                  <w:jc w:val="right"/>
                </w:pPr>
              </w:p>
            </w:tc>
            <w:tc>
              <w:tcPr>
                <w:tcW w:w="783" w:type="pct"/>
                <w:vAlign w:val="center"/>
              </w:tcPr>
              <w:p w14:paraId="454CE8CD" w14:textId="77777777" w:rsidR="007E7472" w:rsidRDefault="00EC1269">
                <w:pPr>
                  <w:jc w:val="right"/>
                </w:pPr>
                <w:r>
                  <w:t>投资设立</w:t>
                </w:r>
              </w:p>
            </w:tc>
          </w:tr>
          <w:tr w:rsidR="007E7472" w14:paraId="1BD6D298" w14:textId="77777777">
            <w:tc>
              <w:tcPr>
                <w:tcW w:w="800" w:type="pct"/>
                <w:vAlign w:val="center"/>
              </w:tcPr>
              <w:p w14:paraId="3B7C52A3" w14:textId="77777777" w:rsidR="007E7472" w:rsidRDefault="00EC1269">
                <w:r>
                  <w:rPr>
                    <w:rFonts w:hint="eastAsia"/>
                  </w:rPr>
                  <w:t>山东中垠物流贸易有限公司</w:t>
                </w:r>
              </w:p>
            </w:tc>
            <w:tc>
              <w:tcPr>
                <w:tcW w:w="643" w:type="pct"/>
                <w:vAlign w:val="center"/>
              </w:tcPr>
              <w:p w14:paraId="2B7B1BC5" w14:textId="77777777" w:rsidR="007E7472" w:rsidRDefault="00EC1269">
                <w:pPr>
                  <w:jc w:val="center"/>
                </w:pPr>
                <w:r>
                  <w:t>山东济南</w:t>
                </w:r>
              </w:p>
            </w:tc>
            <w:tc>
              <w:tcPr>
                <w:tcW w:w="632" w:type="pct"/>
                <w:vAlign w:val="center"/>
              </w:tcPr>
              <w:p w14:paraId="2CE52544" w14:textId="77777777" w:rsidR="007E7472" w:rsidRDefault="00EC1269">
                <w:pPr>
                  <w:jc w:val="center"/>
                </w:pPr>
                <w:r>
                  <w:t>山东济南</w:t>
                </w:r>
              </w:p>
            </w:tc>
            <w:tc>
              <w:tcPr>
                <w:tcW w:w="719" w:type="pct"/>
                <w:vAlign w:val="center"/>
              </w:tcPr>
              <w:p w14:paraId="6DD36D3A" w14:textId="77777777" w:rsidR="007E7472" w:rsidRDefault="00EC1269">
                <w:r>
                  <w:t>煤炭销售</w:t>
                </w:r>
              </w:p>
            </w:tc>
            <w:tc>
              <w:tcPr>
                <w:tcW w:w="711" w:type="pct"/>
                <w:vAlign w:val="center"/>
              </w:tcPr>
              <w:p w14:paraId="63124DDE" w14:textId="77777777" w:rsidR="007E7472" w:rsidRDefault="00C8327E">
                <w:pPr>
                  <w:jc w:val="right"/>
                </w:pPr>
              </w:p>
            </w:tc>
            <w:tc>
              <w:tcPr>
                <w:tcW w:w="711" w:type="pct"/>
                <w:vAlign w:val="center"/>
              </w:tcPr>
              <w:p w14:paraId="50422AF8" w14:textId="77777777" w:rsidR="007E7472" w:rsidRDefault="00EC1269">
                <w:pPr>
                  <w:jc w:val="right"/>
                </w:pPr>
                <w:r>
                  <w:t>100</w:t>
                </w:r>
              </w:p>
            </w:tc>
            <w:tc>
              <w:tcPr>
                <w:tcW w:w="783" w:type="pct"/>
                <w:vAlign w:val="center"/>
              </w:tcPr>
              <w:p w14:paraId="15774676" w14:textId="77777777" w:rsidR="007E7472" w:rsidRDefault="00EC1269">
                <w:pPr>
                  <w:jc w:val="right"/>
                </w:pPr>
                <w:r>
                  <w:t>投资设立</w:t>
                </w:r>
              </w:p>
            </w:tc>
          </w:tr>
          <w:tr w:rsidR="007E7472" w14:paraId="24B549E8" w14:textId="77777777">
            <w:tc>
              <w:tcPr>
                <w:tcW w:w="800" w:type="pct"/>
                <w:vAlign w:val="center"/>
              </w:tcPr>
              <w:p w14:paraId="1B59CDC3" w14:textId="77777777" w:rsidR="007E7472" w:rsidRDefault="00EC1269">
                <w:r>
                  <w:rPr>
                    <w:rFonts w:hint="eastAsia"/>
                  </w:rPr>
                  <w:t>青岛中垠瑞丰国际贸易有限公司</w:t>
                </w:r>
              </w:p>
            </w:tc>
            <w:tc>
              <w:tcPr>
                <w:tcW w:w="643" w:type="pct"/>
                <w:vAlign w:val="center"/>
              </w:tcPr>
              <w:p w14:paraId="5F3782B0" w14:textId="77777777" w:rsidR="007E7472" w:rsidRDefault="00EC1269">
                <w:pPr>
                  <w:jc w:val="center"/>
                </w:pPr>
                <w:r>
                  <w:t>山东青岛</w:t>
                </w:r>
              </w:p>
            </w:tc>
            <w:tc>
              <w:tcPr>
                <w:tcW w:w="632" w:type="pct"/>
                <w:vAlign w:val="center"/>
              </w:tcPr>
              <w:p w14:paraId="6F9D7366" w14:textId="77777777" w:rsidR="007E7472" w:rsidRDefault="00EC1269">
                <w:pPr>
                  <w:jc w:val="center"/>
                </w:pPr>
                <w:r>
                  <w:t>山东青岛</w:t>
                </w:r>
              </w:p>
            </w:tc>
            <w:tc>
              <w:tcPr>
                <w:tcW w:w="719" w:type="pct"/>
                <w:vAlign w:val="center"/>
              </w:tcPr>
              <w:p w14:paraId="06610B9E" w14:textId="77777777" w:rsidR="007E7472" w:rsidRDefault="00EC1269">
                <w:r>
                  <w:t>国际贸易、转口贸易</w:t>
                </w:r>
              </w:p>
            </w:tc>
            <w:tc>
              <w:tcPr>
                <w:tcW w:w="711" w:type="pct"/>
                <w:vAlign w:val="center"/>
              </w:tcPr>
              <w:p w14:paraId="54074DBE" w14:textId="77777777" w:rsidR="007E7472" w:rsidRDefault="00EC1269">
                <w:pPr>
                  <w:jc w:val="right"/>
                </w:pPr>
                <w:r>
                  <w:t>51</w:t>
                </w:r>
              </w:p>
            </w:tc>
            <w:tc>
              <w:tcPr>
                <w:tcW w:w="711" w:type="pct"/>
                <w:vAlign w:val="center"/>
              </w:tcPr>
              <w:p w14:paraId="373E4558" w14:textId="77777777" w:rsidR="007E7472" w:rsidRDefault="00C8327E">
                <w:pPr>
                  <w:jc w:val="right"/>
                </w:pPr>
              </w:p>
            </w:tc>
            <w:tc>
              <w:tcPr>
                <w:tcW w:w="783" w:type="pct"/>
                <w:vAlign w:val="center"/>
              </w:tcPr>
              <w:p w14:paraId="6AF71A35" w14:textId="77777777" w:rsidR="007E7472" w:rsidRDefault="00EC1269">
                <w:pPr>
                  <w:jc w:val="right"/>
                </w:pPr>
                <w:r>
                  <w:t>投资设立</w:t>
                </w:r>
              </w:p>
            </w:tc>
          </w:tr>
          <w:tr w:rsidR="007E7472" w14:paraId="711D0988" w14:textId="77777777">
            <w:tc>
              <w:tcPr>
                <w:tcW w:w="800" w:type="pct"/>
                <w:vAlign w:val="center"/>
              </w:tcPr>
              <w:p w14:paraId="59E11D6D" w14:textId="77777777" w:rsidR="007E7472" w:rsidRDefault="00EC1269">
                <w:r>
                  <w:rPr>
                    <w:rFonts w:hint="eastAsia"/>
                  </w:rPr>
                  <w:t>中垠瑞丰（香港）有限公司</w:t>
                </w:r>
              </w:p>
            </w:tc>
            <w:tc>
              <w:tcPr>
                <w:tcW w:w="643" w:type="pct"/>
                <w:vAlign w:val="center"/>
              </w:tcPr>
              <w:p w14:paraId="2C32B7C4" w14:textId="77777777" w:rsidR="007E7472" w:rsidRDefault="00EC1269">
                <w:pPr>
                  <w:jc w:val="center"/>
                </w:pPr>
                <w:r>
                  <w:t>香港</w:t>
                </w:r>
              </w:p>
            </w:tc>
            <w:tc>
              <w:tcPr>
                <w:tcW w:w="632" w:type="pct"/>
                <w:vAlign w:val="center"/>
              </w:tcPr>
              <w:p w14:paraId="30C09386" w14:textId="77777777" w:rsidR="007E7472" w:rsidRDefault="00EC1269">
                <w:pPr>
                  <w:jc w:val="center"/>
                </w:pPr>
                <w:r>
                  <w:t>香港</w:t>
                </w:r>
              </w:p>
            </w:tc>
            <w:tc>
              <w:tcPr>
                <w:tcW w:w="719" w:type="pct"/>
                <w:vAlign w:val="center"/>
              </w:tcPr>
              <w:p w14:paraId="66E853CB" w14:textId="77777777" w:rsidR="007E7472" w:rsidRDefault="00EC1269">
                <w:r>
                  <w:t>国际贸易、转口贸易</w:t>
                </w:r>
              </w:p>
            </w:tc>
            <w:tc>
              <w:tcPr>
                <w:tcW w:w="711" w:type="pct"/>
                <w:vAlign w:val="center"/>
              </w:tcPr>
              <w:p w14:paraId="79E383F6" w14:textId="77777777" w:rsidR="007E7472" w:rsidRDefault="00C8327E">
                <w:pPr>
                  <w:jc w:val="right"/>
                </w:pPr>
              </w:p>
            </w:tc>
            <w:tc>
              <w:tcPr>
                <w:tcW w:w="711" w:type="pct"/>
                <w:vAlign w:val="center"/>
              </w:tcPr>
              <w:p w14:paraId="284A5FD1" w14:textId="77777777" w:rsidR="007E7472" w:rsidRDefault="00EC1269">
                <w:pPr>
                  <w:jc w:val="right"/>
                </w:pPr>
                <w:r>
                  <w:t>100</w:t>
                </w:r>
              </w:p>
            </w:tc>
            <w:tc>
              <w:tcPr>
                <w:tcW w:w="783" w:type="pct"/>
                <w:vAlign w:val="center"/>
              </w:tcPr>
              <w:p w14:paraId="484A9AAF" w14:textId="77777777" w:rsidR="007E7472" w:rsidRDefault="00EC1269">
                <w:pPr>
                  <w:jc w:val="right"/>
                </w:pPr>
                <w:r>
                  <w:t>投资设立</w:t>
                </w:r>
              </w:p>
            </w:tc>
          </w:tr>
          <w:tr w:rsidR="007E7472" w14:paraId="6FA30167" w14:textId="77777777">
            <w:tc>
              <w:tcPr>
                <w:tcW w:w="800" w:type="pct"/>
                <w:vAlign w:val="center"/>
              </w:tcPr>
              <w:p w14:paraId="02039E12" w14:textId="77777777" w:rsidR="007E7472" w:rsidRDefault="00EC1269">
                <w:r>
                  <w:rPr>
                    <w:rFonts w:hint="eastAsia"/>
                  </w:rPr>
                  <w:t>兖矿再生资源有限公司</w:t>
                </w:r>
              </w:p>
            </w:tc>
            <w:tc>
              <w:tcPr>
                <w:tcW w:w="643" w:type="pct"/>
                <w:vAlign w:val="center"/>
              </w:tcPr>
              <w:p w14:paraId="5FD3CF29" w14:textId="77777777" w:rsidR="007E7472" w:rsidRDefault="00EC1269">
                <w:pPr>
                  <w:jc w:val="center"/>
                </w:pPr>
                <w:r>
                  <w:t>山东济宁</w:t>
                </w:r>
              </w:p>
            </w:tc>
            <w:tc>
              <w:tcPr>
                <w:tcW w:w="632" w:type="pct"/>
                <w:vAlign w:val="center"/>
              </w:tcPr>
              <w:p w14:paraId="5BBF41B2" w14:textId="77777777" w:rsidR="007E7472" w:rsidRDefault="00EC1269">
                <w:pPr>
                  <w:jc w:val="center"/>
                </w:pPr>
                <w:r>
                  <w:t>山东济宁</w:t>
                </w:r>
              </w:p>
            </w:tc>
            <w:tc>
              <w:tcPr>
                <w:tcW w:w="719" w:type="pct"/>
                <w:vAlign w:val="center"/>
              </w:tcPr>
              <w:p w14:paraId="5348266D" w14:textId="77777777" w:rsidR="007E7472" w:rsidRDefault="00EC1269">
                <w:r>
                  <w:t>废弃资源综合利用</w:t>
                </w:r>
              </w:p>
            </w:tc>
            <w:tc>
              <w:tcPr>
                <w:tcW w:w="711" w:type="pct"/>
                <w:vAlign w:val="center"/>
              </w:tcPr>
              <w:p w14:paraId="11F6F87F" w14:textId="77777777" w:rsidR="007E7472" w:rsidRDefault="00C8327E">
                <w:pPr>
                  <w:jc w:val="right"/>
                </w:pPr>
              </w:p>
            </w:tc>
            <w:tc>
              <w:tcPr>
                <w:tcW w:w="711" w:type="pct"/>
                <w:vAlign w:val="center"/>
              </w:tcPr>
              <w:p w14:paraId="4AA7CBE5" w14:textId="77777777" w:rsidR="007E7472" w:rsidRDefault="00EC1269">
                <w:pPr>
                  <w:jc w:val="right"/>
                </w:pPr>
                <w:r>
                  <w:t>70</w:t>
                </w:r>
              </w:p>
            </w:tc>
            <w:tc>
              <w:tcPr>
                <w:tcW w:w="783" w:type="pct"/>
                <w:vAlign w:val="center"/>
              </w:tcPr>
              <w:p w14:paraId="2245ED08" w14:textId="77777777" w:rsidR="007E7472" w:rsidRDefault="00EC1269">
                <w:pPr>
                  <w:jc w:val="right"/>
                </w:pPr>
                <w:r>
                  <w:t>投资设立</w:t>
                </w:r>
              </w:p>
            </w:tc>
          </w:tr>
          <w:tr w:rsidR="007E7472" w14:paraId="5EFB0DC0" w14:textId="77777777">
            <w:tc>
              <w:tcPr>
                <w:tcW w:w="800" w:type="pct"/>
                <w:vAlign w:val="center"/>
              </w:tcPr>
              <w:p w14:paraId="5B79C0C8" w14:textId="77777777" w:rsidR="007E7472" w:rsidRDefault="00EC1269">
                <w:r>
                  <w:rPr>
                    <w:rFonts w:hint="eastAsia"/>
                  </w:rPr>
                  <w:t>端信投资控股（北京）有限公司</w:t>
                </w:r>
              </w:p>
            </w:tc>
            <w:tc>
              <w:tcPr>
                <w:tcW w:w="643" w:type="pct"/>
                <w:vAlign w:val="center"/>
              </w:tcPr>
              <w:p w14:paraId="68E595F1" w14:textId="77777777" w:rsidR="007E7472" w:rsidRDefault="00EC1269">
                <w:pPr>
                  <w:jc w:val="center"/>
                </w:pPr>
                <w:r>
                  <w:t>北京</w:t>
                </w:r>
              </w:p>
            </w:tc>
            <w:tc>
              <w:tcPr>
                <w:tcW w:w="632" w:type="pct"/>
                <w:vAlign w:val="center"/>
              </w:tcPr>
              <w:p w14:paraId="4AB61DDC" w14:textId="77777777" w:rsidR="007E7472" w:rsidRDefault="00EC1269">
                <w:pPr>
                  <w:jc w:val="center"/>
                </w:pPr>
                <w:r>
                  <w:t>北京</w:t>
                </w:r>
              </w:p>
            </w:tc>
            <w:tc>
              <w:tcPr>
                <w:tcW w:w="719" w:type="pct"/>
                <w:vAlign w:val="center"/>
              </w:tcPr>
              <w:p w14:paraId="47A45C8F" w14:textId="77777777" w:rsidR="007E7472" w:rsidRDefault="00EC1269">
                <w:r>
                  <w:t>投资管理</w:t>
                </w:r>
              </w:p>
            </w:tc>
            <w:tc>
              <w:tcPr>
                <w:tcW w:w="711" w:type="pct"/>
                <w:vAlign w:val="center"/>
              </w:tcPr>
              <w:p w14:paraId="077FB969" w14:textId="77777777" w:rsidR="007E7472" w:rsidRDefault="00EC1269">
                <w:pPr>
                  <w:jc w:val="right"/>
                </w:pPr>
                <w:r>
                  <w:t>100</w:t>
                </w:r>
              </w:p>
            </w:tc>
            <w:tc>
              <w:tcPr>
                <w:tcW w:w="711" w:type="pct"/>
                <w:vAlign w:val="center"/>
              </w:tcPr>
              <w:p w14:paraId="49F8B45B" w14:textId="77777777" w:rsidR="007E7472" w:rsidRDefault="00C8327E">
                <w:pPr>
                  <w:jc w:val="right"/>
                </w:pPr>
              </w:p>
            </w:tc>
            <w:tc>
              <w:tcPr>
                <w:tcW w:w="783" w:type="pct"/>
                <w:vAlign w:val="center"/>
              </w:tcPr>
              <w:p w14:paraId="652BDE46" w14:textId="77777777" w:rsidR="007E7472" w:rsidRDefault="00EC1269">
                <w:pPr>
                  <w:jc w:val="right"/>
                </w:pPr>
                <w:r>
                  <w:t>投资设立</w:t>
                </w:r>
              </w:p>
            </w:tc>
          </w:tr>
          <w:tr w:rsidR="007E7472" w14:paraId="476BA036" w14:textId="77777777">
            <w:tc>
              <w:tcPr>
                <w:tcW w:w="800" w:type="pct"/>
                <w:vAlign w:val="center"/>
              </w:tcPr>
              <w:p w14:paraId="604B7549" w14:textId="77777777" w:rsidR="007E7472" w:rsidRDefault="00EC1269">
                <w:r>
                  <w:rPr>
                    <w:rFonts w:hint="eastAsia"/>
                  </w:rPr>
                  <w:t>天津端信云链永泰投资管理合伙企业（有限合伙）</w:t>
                </w:r>
              </w:p>
            </w:tc>
            <w:tc>
              <w:tcPr>
                <w:tcW w:w="643" w:type="pct"/>
                <w:vAlign w:val="center"/>
              </w:tcPr>
              <w:p w14:paraId="49DF58FF" w14:textId="77777777" w:rsidR="007E7472" w:rsidRDefault="00EC1269">
                <w:pPr>
                  <w:jc w:val="center"/>
                </w:pPr>
                <w:r>
                  <w:t>天津</w:t>
                </w:r>
              </w:p>
            </w:tc>
            <w:tc>
              <w:tcPr>
                <w:tcW w:w="632" w:type="pct"/>
                <w:vAlign w:val="center"/>
              </w:tcPr>
              <w:p w14:paraId="1866028F" w14:textId="77777777" w:rsidR="007E7472" w:rsidRDefault="00EC1269">
                <w:pPr>
                  <w:jc w:val="center"/>
                </w:pPr>
                <w:r>
                  <w:t>天津</w:t>
                </w:r>
              </w:p>
            </w:tc>
            <w:tc>
              <w:tcPr>
                <w:tcW w:w="719" w:type="pct"/>
                <w:vAlign w:val="center"/>
              </w:tcPr>
              <w:p w14:paraId="1C7CEC36" w14:textId="77777777" w:rsidR="007E7472" w:rsidRDefault="00EC1269">
                <w:r>
                  <w:t>财务管理咨询</w:t>
                </w:r>
              </w:p>
            </w:tc>
            <w:tc>
              <w:tcPr>
                <w:tcW w:w="711" w:type="pct"/>
                <w:vAlign w:val="center"/>
              </w:tcPr>
              <w:p w14:paraId="7F7E994C" w14:textId="77777777" w:rsidR="007E7472" w:rsidRDefault="00C8327E">
                <w:pPr>
                  <w:jc w:val="right"/>
                </w:pPr>
              </w:p>
            </w:tc>
            <w:tc>
              <w:tcPr>
                <w:tcW w:w="711" w:type="pct"/>
                <w:vAlign w:val="center"/>
              </w:tcPr>
              <w:p w14:paraId="36CBF5F7" w14:textId="77777777" w:rsidR="007E7472" w:rsidRDefault="00EC1269">
                <w:pPr>
                  <w:jc w:val="right"/>
                </w:pPr>
                <w:r>
                  <w:t>13</w:t>
                </w:r>
              </w:p>
            </w:tc>
            <w:tc>
              <w:tcPr>
                <w:tcW w:w="783" w:type="pct"/>
                <w:vAlign w:val="center"/>
              </w:tcPr>
              <w:p w14:paraId="49A7DA39" w14:textId="77777777" w:rsidR="007E7472" w:rsidRDefault="00EC1269">
                <w:pPr>
                  <w:jc w:val="right"/>
                </w:pPr>
                <w:r>
                  <w:t>投资设立</w:t>
                </w:r>
              </w:p>
            </w:tc>
          </w:tr>
          <w:tr w:rsidR="007E7472" w14:paraId="37D735C3" w14:textId="77777777">
            <w:tc>
              <w:tcPr>
                <w:tcW w:w="800" w:type="pct"/>
                <w:vAlign w:val="center"/>
              </w:tcPr>
              <w:p w14:paraId="06EE19DA" w14:textId="77777777" w:rsidR="007E7472" w:rsidRDefault="00EC1269">
                <w:r>
                  <w:rPr>
                    <w:rFonts w:hint="eastAsia"/>
                  </w:rPr>
                  <w:t>天津端信云链永盛投资管理合伙企业（有限合伙）</w:t>
                </w:r>
              </w:p>
            </w:tc>
            <w:tc>
              <w:tcPr>
                <w:tcW w:w="643" w:type="pct"/>
                <w:vAlign w:val="center"/>
              </w:tcPr>
              <w:p w14:paraId="776278B0" w14:textId="77777777" w:rsidR="007E7472" w:rsidRDefault="00EC1269">
                <w:pPr>
                  <w:jc w:val="center"/>
                </w:pPr>
                <w:r>
                  <w:t>天津</w:t>
                </w:r>
              </w:p>
            </w:tc>
            <w:tc>
              <w:tcPr>
                <w:tcW w:w="632" w:type="pct"/>
                <w:vAlign w:val="center"/>
              </w:tcPr>
              <w:p w14:paraId="17BCF67F" w14:textId="77777777" w:rsidR="007E7472" w:rsidRDefault="00EC1269">
                <w:pPr>
                  <w:jc w:val="center"/>
                </w:pPr>
                <w:r>
                  <w:t>天津</w:t>
                </w:r>
              </w:p>
            </w:tc>
            <w:tc>
              <w:tcPr>
                <w:tcW w:w="719" w:type="pct"/>
                <w:vAlign w:val="center"/>
              </w:tcPr>
              <w:p w14:paraId="474911AC" w14:textId="77777777" w:rsidR="007E7472" w:rsidRDefault="00EC1269">
                <w:r>
                  <w:t>财务管理咨询</w:t>
                </w:r>
              </w:p>
            </w:tc>
            <w:tc>
              <w:tcPr>
                <w:tcW w:w="711" w:type="pct"/>
                <w:vAlign w:val="center"/>
              </w:tcPr>
              <w:p w14:paraId="5937BB6A" w14:textId="77777777" w:rsidR="007E7472" w:rsidRDefault="00C8327E">
                <w:pPr>
                  <w:jc w:val="right"/>
                </w:pPr>
              </w:p>
            </w:tc>
            <w:tc>
              <w:tcPr>
                <w:tcW w:w="711" w:type="pct"/>
                <w:vAlign w:val="center"/>
              </w:tcPr>
              <w:p w14:paraId="4A1DB9BC" w14:textId="77777777" w:rsidR="007E7472" w:rsidRDefault="00EC1269">
                <w:pPr>
                  <w:jc w:val="right"/>
                </w:pPr>
                <w:r>
                  <w:t>13</w:t>
                </w:r>
              </w:p>
            </w:tc>
            <w:tc>
              <w:tcPr>
                <w:tcW w:w="783" w:type="pct"/>
                <w:vAlign w:val="center"/>
              </w:tcPr>
              <w:p w14:paraId="716B2E2C" w14:textId="77777777" w:rsidR="007E7472" w:rsidRDefault="00EC1269">
                <w:pPr>
                  <w:jc w:val="right"/>
                </w:pPr>
                <w:r>
                  <w:t>投资设立</w:t>
                </w:r>
              </w:p>
            </w:tc>
          </w:tr>
          <w:tr w:rsidR="007E7472" w14:paraId="007F52D1" w14:textId="77777777">
            <w:tc>
              <w:tcPr>
                <w:tcW w:w="800" w:type="pct"/>
                <w:vAlign w:val="center"/>
              </w:tcPr>
              <w:p w14:paraId="56364358" w14:textId="77777777" w:rsidR="007E7472" w:rsidRDefault="00EC1269">
                <w:r>
                  <w:rPr>
                    <w:rFonts w:hint="eastAsia"/>
                  </w:rPr>
                  <w:t>端信投资控股（深圳）有限公司</w:t>
                </w:r>
              </w:p>
            </w:tc>
            <w:tc>
              <w:tcPr>
                <w:tcW w:w="643" w:type="pct"/>
                <w:vAlign w:val="center"/>
              </w:tcPr>
              <w:p w14:paraId="7AC26813" w14:textId="77777777" w:rsidR="007E7472" w:rsidRDefault="00EC1269">
                <w:pPr>
                  <w:jc w:val="center"/>
                </w:pPr>
                <w:r>
                  <w:t>广东深圳</w:t>
                </w:r>
              </w:p>
            </w:tc>
            <w:tc>
              <w:tcPr>
                <w:tcW w:w="632" w:type="pct"/>
                <w:vAlign w:val="center"/>
              </w:tcPr>
              <w:p w14:paraId="0F1F8A54" w14:textId="77777777" w:rsidR="007E7472" w:rsidRDefault="00EC1269">
                <w:pPr>
                  <w:jc w:val="center"/>
                </w:pPr>
                <w:r>
                  <w:t>广东深圳</w:t>
                </w:r>
              </w:p>
            </w:tc>
            <w:tc>
              <w:tcPr>
                <w:tcW w:w="719" w:type="pct"/>
                <w:vAlign w:val="center"/>
              </w:tcPr>
              <w:p w14:paraId="480A81DF" w14:textId="77777777" w:rsidR="007E7472" w:rsidRDefault="00EC1269">
                <w:r>
                  <w:t>投资管理</w:t>
                </w:r>
              </w:p>
            </w:tc>
            <w:tc>
              <w:tcPr>
                <w:tcW w:w="711" w:type="pct"/>
                <w:vAlign w:val="center"/>
              </w:tcPr>
              <w:p w14:paraId="56251B2E" w14:textId="77777777" w:rsidR="007E7472" w:rsidRDefault="00EC1269">
                <w:pPr>
                  <w:jc w:val="right"/>
                </w:pPr>
                <w:r>
                  <w:t>100</w:t>
                </w:r>
              </w:p>
            </w:tc>
            <w:tc>
              <w:tcPr>
                <w:tcW w:w="711" w:type="pct"/>
                <w:vAlign w:val="center"/>
              </w:tcPr>
              <w:p w14:paraId="6890A560" w14:textId="77777777" w:rsidR="007E7472" w:rsidRDefault="00C8327E">
                <w:pPr>
                  <w:jc w:val="right"/>
                </w:pPr>
              </w:p>
            </w:tc>
            <w:tc>
              <w:tcPr>
                <w:tcW w:w="783" w:type="pct"/>
                <w:vAlign w:val="center"/>
              </w:tcPr>
              <w:p w14:paraId="102542C6" w14:textId="77777777" w:rsidR="007E7472" w:rsidRDefault="00EC1269">
                <w:pPr>
                  <w:jc w:val="right"/>
                </w:pPr>
                <w:r>
                  <w:t>投资设立</w:t>
                </w:r>
              </w:p>
            </w:tc>
          </w:tr>
          <w:tr w:rsidR="007E7472" w14:paraId="29C20703" w14:textId="77777777">
            <w:tc>
              <w:tcPr>
                <w:tcW w:w="800" w:type="pct"/>
                <w:vAlign w:val="center"/>
              </w:tcPr>
              <w:p w14:paraId="2F98C7D6" w14:textId="77777777" w:rsidR="007E7472" w:rsidRDefault="00EC1269">
                <w:r>
                  <w:rPr>
                    <w:rFonts w:hint="eastAsia"/>
                  </w:rPr>
                  <w:lastRenderedPageBreak/>
                  <w:t>端信商业保理（深圳）有限公司</w:t>
                </w:r>
              </w:p>
            </w:tc>
            <w:tc>
              <w:tcPr>
                <w:tcW w:w="643" w:type="pct"/>
                <w:vAlign w:val="center"/>
              </w:tcPr>
              <w:p w14:paraId="13372128" w14:textId="77777777" w:rsidR="007E7472" w:rsidRDefault="00EC1269">
                <w:pPr>
                  <w:jc w:val="center"/>
                </w:pPr>
                <w:r>
                  <w:t>广东深圳</w:t>
                </w:r>
              </w:p>
            </w:tc>
            <w:tc>
              <w:tcPr>
                <w:tcW w:w="632" w:type="pct"/>
                <w:vAlign w:val="center"/>
              </w:tcPr>
              <w:p w14:paraId="44FFB44A" w14:textId="77777777" w:rsidR="007E7472" w:rsidRDefault="00EC1269">
                <w:pPr>
                  <w:jc w:val="center"/>
                </w:pPr>
                <w:r>
                  <w:t>广东深圳</w:t>
                </w:r>
              </w:p>
            </w:tc>
            <w:tc>
              <w:tcPr>
                <w:tcW w:w="719" w:type="pct"/>
                <w:vAlign w:val="center"/>
              </w:tcPr>
              <w:p w14:paraId="20B45848" w14:textId="77777777" w:rsidR="007E7472" w:rsidRDefault="00EC1269">
                <w:r>
                  <w:t>保理业务、投资兴办实业</w:t>
                </w:r>
              </w:p>
            </w:tc>
            <w:tc>
              <w:tcPr>
                <w:tcW w:w="711" w:type="pct"/>
                <w:vAlign w:val="center"/>
              </w:tcPr>
              <w:p w14:paraId="41AB98C6" w14:textId="77777777" w:rsidR="007E7472" w:rsidRDefault="00C8327E">
                <w:pPr>
                  <w:jc w:val="right"/>
                </w:pPr>
              </w:p>
            </w:tc>
            <w:tc>
              <w:tcPr>
                <w:tcW w:w="711" w:type="pct"/>
                <w:vAlign w:val="center"/>
              </w:tcPr>
              <w:p w14:paraId="6F10BCDE" w14:textId="77777777" w:rsidR="007E7472" w:rsidRDefault="00EC1269">
                <w:pPr>
                  <w:jc w:val="right"/>
                </w:pPr>
                <w:r>
                  <w:t>100</w:t>
                </w:r>
              </w:p>
            </w:tc>
            <w:tc>
              <w:tcPr>
                <w:tcW w:w="783" w:type="pct"/>
                <w:vAlign w:val="center"/>
              </w:tcPr>
              <w:p w14:paraId="702A81CA" w14:textId="77777777" w:rsidR="007E7472" w:rsidRDefault="00EC1269">
                <w:pPr>
                  <w:jc w:val="right"/>
                </w:pPr>
                <w:r>
                  <w:t>投资设立</w:t>
                </w:r>
              </w:p>
            </w:tc>
          </w:tr>
          <w:tr w:rsidR="007E7472" w14:paraId="6242D5F9" w14:textId="77777777">
            <w:tc>
              <w:tcPr>
                <w:tcW w:w="800" w:type="pct"/>
                <w:vAlign w:val="center"/>
              </w:tcPr>
              <w:p w14:paraId="1393D5D5" w14:textId="77777777" w:rsidR="007E7472" w:rsidRDefault="00EC1269">
                <w:r>
                  <w:rPr>
                    <w:rFonts w:hint="eastAsia"/>
                  </w:rPr>
                  <w:t>端信供应链（深圳）有限公司</w:t>
                </w:r>
              </w:p>
            </w:tc>
            <w:tc>
              <w:tcPr>
                <w:tcW w:w="643" w:type="pct"/>
                <w:vAlign w:val="center"/>
              </w:tcPr>
              <w:p w14:paraId="297F1AC1" w14:textId="77777777" w:rsidR="007E7472" w:rsidRDefault="00EC1269">
                <w:pPr>
                  <w:jc w:val="center"/>
                </w:pPr>
                <w:r>
                  <w:t>广东深圳</w:t>
                </w:r>
              </w:p>
            </w:tc>
            <w:tc>
              <w:tcPr>
                <w:tcW w:w="632" w:type="pct"/>
                <w:vAlign w:val="center"/>
              </w:tcPr>
              <w:p w14:paraId="0C3237CE" w14:textId="77777777" w:rsidR="007E7472" w:rsidRDefault="00EC1269">
                <w:pPr>
                  <w:jc w:val="center"/>
                </w:pPr>
                <w:r>
                  <w:t>广东深圳</w:t>
                </w:r>
              </w:p>
            </w:tc>
            <w:tc>
              <w:tcPr>
                <w:tcW w:w="719" w:type="pct"/>
                <w:vAlign w:val="center"/>
              </w:tcPr>
              <w:p w14:paraId="7D939D91" w14:textId="77777777" w:rsidR="007E7472" w:rsidRDefault="00EC1269">
                <w:r>
                  <w:t>普通货物运输、建筑材料销售</w:t>
                </w:r>
              </w:p>
            </w:tc>
            <w:tc>
              <w:tcPr>
                <w:tcW w:w="711" w:type="pct"/>
                <w:vAlign w:val="center"/>
              </w:tcPr>
              <w:p w14:paraId="2310CBAC" w14:textId="77777777" w:rsidR="007E7472" w:rsidRDefault="00C8327E">
                <w:pPr>
                  <w:jc w:val="right"/>
                </w:pPr>
              </w:p>
            </w:tc>
            <w:tc>
              <w:tcPr>
                <w:tcW w:w="711" w:type="pct"/>
                <w:vAlign w:val="center"/>
              </w:tcPr>
              <w:p w14:paraId="56625309" w14:textId="77777777" w:rsidR="007E7472" w:rsidRDefault="00EC1269">
                <w:pPr>
                  <w:jc w:val="right"/>
                </w:pPr>
                <w:r>
                  <w:t>100</w:t>
                </w:r>
              </w:p>
            </w:tc>
            <w:tc>
              <w:tcPr>
                <w:tcW w:w="783" w:type="pct"/>
                <w:vAlign w:val="center"/>
              </w:tcPr>
              <w:p w14:paraId="15185A09" w14:textId="77777777" w:rsidR="007E7472" w:rsidRDefault="00EC1269">
                <w:pPr>
                  <w:jc w:val="right"/>
                </w:pPr>
                <w:r>
                  <w:t>投资设立</w:t>
                </w:r>
              </w:p>
            </w:tc>
          </w:tr>
          <w:tr w:rsidR="007E7472" w14:paraId="7CDB27DE" w14:textId="77777777">
            <w:tc>
              <w:tcPr>
                <w:tcW w:w="800" w:type="pct"/>
                <w:vAlign w:val="center"/>
              </w:tcPr>
              <w:p w14:paraId="39178EF8" w14:textId="77777777" w:rsidR="007E7472" w:rsidRDefault="00EC1269">
                <w:r>
                  <w:rPr>
                    <w:rFonts w:hint="eastAsia"/>
                  </w:rPr>
                  <w:t>山东端信供应链管理有限公司</w:t>
                </w:r>
              </w:p>
            </w:tc>
            <w:tc>
              <w:tcPr>
                <w:tcW w:w="643" w:type="pct"/>
                <w:vAlign w:val="center"/>
              </w:tcPr>
              <w:p w14:paraId="57D48DF1" w14:textId="77777777" w:rsidR="007E7472" w:rsidRDefault="00EC1269">
                <w:pPr>
                  <w:jc w:val="center"/>
                </w:pPr>
                <w:r>
                  <w:t>山东济宁</w:t>
                </w:r>
              </w:p>
            </w:tc>
            <w:tc>
              <w:tcPr>
                <w:tcW w:w="632" w:type="pct"/>
                <w:vAlign w:val="center"/>
              </w:tcPr>
              <w:p w14:paraId="10564C31" w14:textId="77777777" w:rsidR="007E7472" w:rsidRDefault="00EC1269">
                <w:pPr>
                  <w:jc w:val="center"/>
                </w:pPr>
                <w:r>
                  <w:t>山东济宁</w:t>
                </w:r>
              </w:p>
            </w:tc>
            <w:tc>
              <w:tcPr>
                <w:tcW w:w="719" w:type="pct"/>
                <w:vAlign w:val="center"/>
              </w:tcPr>
              <w:p w14:paraId="59B5AE05" w14:textId="77777777" w:rsidR="007E7472" w:rsidRDefault="00EC1269">
                <w:r>
                  <w:t>普货运输、货运代理</w:t>
                </w:r>
              </w:p>
            </w:tc>
            <w:tc>
              <w:tcPr>
                <w:tcW w:w="711" w:type="pct"/>
                <w:vAlign w:val="center"/>
              </w:tcPr>
              <w:p w14:paraId="29E1D4D4" w14:textId="77777777" w:rsidR="007E7472" w:rsidRDefault="00EC1269">
                <w:pPr>
                  <w:jc w:val="right"/>
                </w:pPr>
                <w:r>
                  <w:t>100</w:t>
                </w:r>
              </w:p>
            </w:tc>
            <w:tc>
              <w:tcPr>
                <w:tcW w:w="711" w:type="pct"/>
                <w:vAlign w:val="center"/>
              </w:tcPr>
              <w:p w14:paraId="57AE88C7" w14:textId="77777777" w:rsidR="007E7472" w:rsidRDefault="00C8327E">
                <w:pPr>
                  <w:jc w:val="right"/>
                </w:pPr>
              </w:p>
            </w:tc>
            <w:tc>
              <w:tcPr>
                <w:tcW w:w="783" w:type="pct"/>
                <w:vAlign w:val="center"/>
              </w:tcPr>
              <w:p w14:paraId="5DC22A3C" w14:textId="77777777" w:rsidR="007E7472" w:rsidRDefault="00EC1269">
                <w:pPr>
                  <w:jc w:val="right"/>
                </w:pPr>
                <w:r>
                  <w:t>投资设立</w:t>
                </w:r>
              </w:p>
            </w:tc>
          </w:tr>
          <w:tr w:rsidR="007E7472" w14:paraId="43C1A652" w14:textId="77777777">
            <w:tc>
              <w:tcPr>
                <w:tcW w:w="800" w:type="pct"/>
                <w:vAlign w:val="center"/>
              </w:tcPr>
              <w:p w14:paraId="7E957B50" w14:textId="77777777" w:rsidR="007E7472" w:rsidRDefault="00EC1269">
                <w:r>
                  <w:rPr>
                    <w:rFonts w:hint="eastAsia"/>
                  </w:rPr>
                  <w:t>菏泽端信供应链管理有限公司</w:t>
                </w:r>
              </w:p>
            </w:tc>
            <w:tc>
              <w:tcPr>
                <w:tcW w:w="643" w:type="pct"/>
                <w:vAlign w:val="center"/>
              </w:tcPr>
              <w:p w14:paraId="47A89C15" w14:textId="77777777" w:rsidR="007E7472" w:rsidRDefault="00EC1269">
                <w:pPr>
                  <w:jc w:val="center"/>
                </w:pPr>
                <w:r>
                  <w:t>山东菏泽</w:t>
                </w:r>
              </w:p>
            </w:tc>
            <w:tc>
              <w:tcPr>
                <w:tcW w:w="632" w:type="pct"/>
                <w:vAlign w:val="center"/>
              </w:tcPr>
              <w:p w14:paraId="2A789A63" w14:textId="77777777" w:rsidR="007E7472" w:rsidRDefault="00EC1269">
                <w:pPr>
                  <w:jc w:val="center"/>
                </w:pPr>
                <w:r>
                  <w:t>山东菏泽</w:t>
                </w:r>
              </w:p>
            </w:tc>
            <w:tc>
              <w:tcPr>
                <w:tcW w:w="719" w:type="pct"/>
                <w:vAlign w:val="center"/>
              </w:tcPr>
              <w:p w14:paraId="6FC789C0" w14:textId="77777777" w:rsidR="007E7472" w:rsidRDefault="00EC1269">
                <w:r>
                  <w:t>普货运输、货运代理</w:t>
                </w:r>
              </w:p>
            </w:tc>
            <w:tc>
              <w:tcPr>
                <w:tcW w:w="711" w:type="pct"/>
                <w:vAlign w:val="center"/>
              </w:tcPr>
              <w:p w14:paraId="54FC7705" w14:textId="77777777" w:rsidR="007E7472" w:rsidRDefault="00C8327E">
                <w:pPr>
                  <w:jc w:val="right"/>
                </w:pPr>
              </w:p>
            </w:tc>
            <w:tc>
              <w:tcPr>
                <w:tcW w:w="711" w:type="pct"/>
                <w:vAlign w:val="center"/>
              </w:tcPr>
              <w:p w14:paraId="746EE6C9" w14:textId="77777777" w:rsidR="007E7472" w:rsidRDefault="00EC1269">
                <w:pPr>
                  <w:jc w:val="right"/>
                </w:pPr>
                <w:r>
                  <w:t>100</w:t>
                </w:r>
              </w:p>
            </w:tc>
            <w:tc>
              <w:tcPr>
                <w:tcW w:w="783" w:type="pct"/>
                <w:vAlign w:val="center"/>
              </w:tcPr>
              <w:p w14:paraId="5D98A368" w14:textId="77777777" w:rsidR="007E7472" w:rsidRDefault="00EC1269">
                <w:pPr>
                  <w:jc w:val="right"/>
                </w:pPr>
                <w:r>
                  <w:t>投资设立</w:t>
                </w:r>
              </w:p>
            </w:tc>
          </w:tr>
          <w:tr w:rsidR="007E7472" w14:paraId="04A46237" w14:textId="77777777">
            <w:tc>
              <w:tcPr>
                <w:tcW w:w="800" w:type="pct"/>
                <w:vAlign w:val="center"/>
              </w:tcPr>
              <w:p w14:paraId="771673F3" w14:textId="77777777" w:rsidR="007E7472" w:rsidRDefault="00EC1269">
                <w:r>
                  <w:rPr>
                    <w:rFonts w:hint="eastAsia"/>
                  </w:rPr>
                  <w:t>达拉特旗端信供应链管理有限公司</w:t>
                </w:r>
              </w:p>
            </w:tc>
            <w:tc>
              <w:tcPr>
                <w:tcW w:w="643" w:type="pct"/>
                <w:vAlign w:val="center"/>
              </w:tcPr>
              <w:p w14:paraId="336B1B27" w14:textId="77777777" w:rsidR="007E7472" w:rsidRDefault="00EC1269">
                <w:pPr>
                  <w:jc w:val="center"/>
                </w:pPr>
                <w:r>
                  <w:t>鄂尔多斯</w:t>
                </w:r>
              </w:p>
            </w:tc>
            <w:tc>
              <w:tcPr>
                <w:tcW w:w="632" w:type="pct"/>
                <w:vAlign w:val="center"/>
              </w:tcPr>
              <w:p w14:paraId="2EFD73F9" w14:textId="77777777" w:rsidR="007E7472" w:rsidRDefault="00EC1269">
                <w:pPr>
                  <w:jc w:val="center"/>
                </w:pPr>
                <w:r>
                  <w:t>鄂尔多斯</w:t>
                </w:r>
              </w:p>
            </w:tc>
            <w:tc>
              <w:tcPr>
                <w:tcW w:w="719" w:type="pct"/>
                <w:vAlign w:val="center"/>
              </w:tcPr>
              <w:p w14:paraId="4C56D1E7" w14:textId="77777777" w:rsidR="007E7472" w:rsidRDefault="00EC1269">
                <w:r>
                  <w:t>普货运输、货运代理</w:t>
                </w:r>
              </w:p>
            </w:tc>
            <w:tc>
              <w:tcPr>
                <w:tcW w:w="711" w:type="pct"/>
                <w:vAlign w:val="center"/>
              </w:tcPr>
              <w:p w14:paraId="39BF5878" w14:textId="77777777" w:rsidR="007E7472" w:rsidRDefault="00C8327E">
                <w:pPr>
                  <w:jc w:val="right"/>
                </w:pPr>
              </w:p>
            </w:tc>
            <w:tc>
              <w:tcPr>
                <w:tcW w:w="711" w:type="pct"/>
                <w:vAlign w:val="center"/>
              </w:tcPr>
              <w:p w14:paraId="7CB1CD5B" w14:textId="77777777" w:rsidR="007E7472" w:rsidRDefault="00EC1269">
                <w:pPr>
                  <w:jc w:val="right"/>
                </w:pPr>
                <w:r>
                  <w:t>100</w:t>
                </w:r>
              </w:p>
            </w:tc>
            <w:tc>
              <w:tcPr>
                <w:tcW w:w="783" w:type="pct"/>
                <w:vAlign w:val="center"/>
              </w:tcPr>
              <w:p w14:paraId="4C200D20" w14:textId="77777777" w:rsidR="007E7472" w:rsidRDefault="00EC1269">
                <w:pPr>
                  <w:jc w:val="right"/>
                </w:pPr>
                <w:r>
                  <w:t>投资设立</w:t>
                </w:r>
              </w:p>
            </w:tc>
          </w:tr>
          <w:tr w:rsidR="007E7472" w14:paraId="0EEEC75D" w14:textId="77777777">
            <w:tc>
              <w:tcPr>
                <w:tcW w:w="800" w:type="pct"/>
                <w:vAlign w:val="center"/>
              </w:tcPr>
              <w:p w14:paraId="31588670" w14:textId="77777777" w:rsidR="007E7472" w:rsidRDefault="00EC1269">
                <w:r>
                  <w:rPr>
                    <w:rFonts w:hint="eastAsia"/>
                  </w:rPr>
                  <w:t>伊金霍洛旗端信供应链管理有限公司</w:t>
                </w:r>
              </w:p>
            </w:tc>
            <w:tc>
              <w:tcPr>
                <w:tcW w:w="643" w:type="pct"/>
                <w:vAlign w:val="center"/>
              </w:tcPr>
              <w:p w14:paraId="2C2A41D8" w14:textId="77777777" w:rsidR="007E7472" w:rsidRDefault="00EC1269">
                <w:pPr>
                  <w:jc w:val="center"/>
                </w:pPr>
                <w:r>
                  <w:t>鄂尔多斯</w:t>
                </w:r>
              </w:p>
            </w:tc>
            <w:tc>
              <w:tcPr>
                <w:tcW w:w="632" w:type="pct"/>
                <w:vAlign w:val="center"/>
              </w:tcPr>
              <w:p w14:paraId="6C2CB60F" w14:textId="77777777" w:rsidR="007E7472" w:rsidRDefault="00EC1269">
                <w:pPr>
                  <w:jc w:val="center"/>
                </w:pPr>
                <w:r>
                  <w:t>鄂尔多斯</w:t>
                </w:r>
              </w:p>
            </w:tc>
            <w:tc>
              <w:tcPr>
                <w:tcW w:w="719" w:type="pct"/>
                <w:vAlign w:val="center"/>
              </w:tcPr>
              <w:p w14:paraId="0A515F4E" w14:textId="77777777" w:rsidR="007E7472" w:rsidRDefault="00EC1269">
                <w:r>
                  <w:t>普货运输、货运代理</w:t>
                </w:r>
              </w:p>
            </w:tc>
            <w:tc>
              <w:tcPr>
                <w:tcW w:w="711" w:type="pct"/>
                <w:vAlign w:val="center"/>
              </w:tcPr>
              <w:p w14:paraId="6EC1DE91" w14:textId="77777777" w:rsidR="007E7472" w:rsidRDefault="00C8327E">
                <w:pPr>
                  <w:jc w:val="right"/>
                </w:pPr>
              </w:p>
            </w:tc>
            <w:tc>
              <w:tcPr>
                <w:tcW w:w="711" w:type="pct"/>
                <w:vAlign w:val="center"/>
              </w:tcPr>
              <w:p w14:paraId="1E845976" w14:textId="77777777" w:rsidR="007E7472" w:rsidRDefault="00EC1269">
                <w:pPr>
                  <w:jc w:val="right"/>
                </w:pPr>
                <w:r>
                  <w:t>100</w:t>
                </w:r>
              </w:p>
            </w:tc>
            <w:tc>
              <w:tcPr>
                <w:tcW w:w="783" w:type="pct"/>
                <w:vAlign w:val="center"/>
              </w:tcPr>
              <w:p w14:paraId="5668D636" w14:textId="77777777" w:rsidR="007E7472" w:rsidRDefault="00EC1269">
                <w:pPr>
                  <w:jc w:val="right"/>
                </w:pPr>
                <w:r>
                  <w:t>投资设立</w:t>
                </w:r>
              </w:p>
            </w:tc>
          </w:tr>
          <w:tr w:rsidR="007E7472" w14:paraId="3CA12E84" w14:textId="77777777">
            <w:tc>
              <w:tcPr>
                <w:tcW w:w="800" w:type="pct"/>
                <w:vAlign w:val="center"/>
              </w:tcPr>
              <w:p w14:paraId="7962E3EB" w14:textId="77777777" w:rsidR="007E7472" w:rsidRDefault="00EC1269">
                <w:r>
                  <w:rPr>
                    <w:rFonts w:hint="eastAsia"/>
                  </w:rPr>
                  <w:t>乌审旗端信供应链管理有限公司</w:t>
                </w:r>
              </w:p>
            </w:tc>
            <w:tc>
              <w:tcPr>
                <w:tcW w:w="643" w:type="pct"/>
                <w:vAlign w:val="center"/>
              </w:tcPr>
              <w:p w14:paraId="61CEA3DB" w14:textId="77777777" w:rsidR="007E7472" w:rsidRDefault="00EC1269">
                <w:pPr>
                  <w:jc w:val="center"/>
                </w:pPr>
                <w:r>
                  <w:t>鄂尔多斯</w:t>
                </w:r>
              </w:p>
            </w:tc>
            <w:tc>
              <w:tcPr>
                <w:tcW w:w="632" w:type="pct"/>
                <w:vAlign w:val="center"/>
              </w:tcPr>
              <w:p w14:paraId="4F710191" w14:textId="77777777" w:rsidR="007E7472" w:rsidRDefault="00EC1269">
                <w:pPr>
                  <w:jc w:val="center"/>
                </w:pPr>
                <w:r>
                  <w:t>鄂尔多斯</w:t>
                </w:r>
              </w:p>
            </w:tc>
            <w:tc>
              <w:tcPr>
                <w:tcW w:w="719" w:type="pct"/>
                <w:vAlign w:val="center"/>
              </w:tcPr>
              <w:p w14:paraId="3D55FEED" w14:textId="77777777" w:rsidR="007E7472" w:rsidRDefault="00EC1269">
                <w:r>
                  <w:t>普通货物运输</w:t>
                </w:r>
              </w:p>
            </w:tc>
            <w:tc>
              <w:tcPr>
                <w:tcW w:w="711" w:type="pct"/>
                <w:vAlign w:val="center"/>
              </w:tcPr>
              <w:p w14:paraId="2721AF7A" w14:textId="77777777" w:rsidR="007E7472" w:rsidRDefault="00C8327E">
                <w:pPr>
                  <w:jc w:val="right"/>
                </w:pPr>
              </w:p>
            </w:tc>
            <w:tc>
              <w:tcPr>
                <w:tcW w:w="711" w:type="pct"/>
                <w:vAlign w:val="center"/>
              </w:tcPr>
              <w:p w14:paraId="5255ABF1" w14:textId="77777777" w:rsidR="007E7472" w:rsidRDefault="00EC1269">
                <w:pPr>
                  <w:jc w:val="right"/>
                </w:pPr>
                <w:r>
                  <w:t>100</w:t>
                </w:r>
              </w:p>
            </w:tc>
            <w:tc>
              <w:tcPr>
                <w:tcW w:w="783" w:type="pct"/>
                <w:vAlign w:val="center"/>
              </w:tcPr>
              <w:p w14:paraId="3BB22779" w14:textId="77777777" w:rsidR="007E7472" w:rsidRDefault="00EC1269">
                <w:pPr>
                  <w:jc w:val="right"/>
                </w:pPr>
                <w:r>
                  <w:t>投资设立</w:t>
                </w:r>
              </w:p>
            </w:tc>
          </w:tr>
          <w:tr w:rsidR="007E7472" w14:paraId="0825FC16" w14:textId="77777777">
            <w:tc>
              <w:tcPr>
                <w:tcW w:w="800" w:type="pct"/>
                <w:vAlign w:val="center"/>
              </w:tcPr>
              <w:p w14:paraId="0E824477" w14:textId="77777777" w:rsidR="007E7472" w:rsidRDefault="00EC1269">
                <w:r>
                  <w:rPr>
                    <w:rFonts w:hint="eastAsia"/>
                  </w:rPr>
                  <w:t>巨野县端信供应链管理有限公司</w:t>
                </w:r>
              </w:p>
            </w:tc>
            <w:tc>
              <w:tcPr>
                <w:tcW w:w="643" w:type="pct"/>
                <w:vAlign w:val="center"/>
              </w:tcPr>
              <w:p w14:paraId="368939C9" w14:textId="77777777" w:rsidR="007E7472" w:rsidRDefault="00EC1269">
                <w:pPr>
                  <w:jc w:val="center"/>
                </w:pPr>
                <w:r>
                  <w:t>山东菏泽</w:t>
                </w:r>
              </w:p>
            </w:tc>
            <w:tc>
              <w:tcPr>
                <w:tcW w:w="632" w:type="pct"/>
                <w:vAlign w:val="center"/>
              </w:tcPr>
              <w:p w14:paraId="497AA278" w14:textId="77777777" w:rsidR="007E7472" w:rsidRDefault="00EC1269">
                <w:pPr>
                  <w:jc w:val="center"/>
                </w:pPr>
                <w:r>
                  <w:t>山东菏泽</w:t>
                </w:r>
              </w:p>
            </w:tc>
            <w:tc>
              <w:tcPr>
                <w:tcW w:w="719" w:type="pct"/>
                <w:vAlign w:val="center"/>
              </w:tcPr>
              <w:p w14:paraId="00B7B641" w14:textId="77777777" w:rsidR="007E7472" w:rsidRDefault="00EC1269">
                <w:r>
                  <w:t>普通货物运输</w:t>
                </w:r>
              </w:p>
            </w:tc>
            <w:tc>
              <w:tcPr>
                <w:tcW w:w="711" w:type="pct"/>
                <w:vAlign w:val="center"/>
              </w:tcPr>
              <w:p w14:paraId="22D79B3B" w14:textId="77777777" w:rsidR="007E7472" w:rsidRDefault="00C8327E">
                <w:pPr>
                  <w:jc w:val="right"/>
                </w:pPr>
              </w:p>
            </w:tc>
            <w:tc>
              <w:tcPr>
                <w:tcW w:w="711" w:type="pct"/>
                <w:vAlign w:val="center"/>
              </w:tcPr>
              <w:p w14:paraId="446AE214" w14:textId="77777777" w:rsidR="007E7472" w:rsidRDefault="00EC1269">
                <w:pPr>
                  <w:jc w:val="right"/>
                </w:pPr>
                <w:r>
                  <w:t>100</w:t>
                </w:r>
              </w:p>
            </w:tc>
            <w:tc>
              <w:tcPr>
                <w:tcW w:w="783" w:type="pct"/>
                <w:vAlign w:val="center"/>
              </w:tcPr>
              <w:p w14:paraId="536FEEB8" w14:textId="77777777" w:rsidR="007E7472" w:rsidRDefault="00EC1269">
                <w:pPr>
                  <w:jc w:val="right"/>
                </w:pPr>
                <w:r>
                  <w:t>投资设立</w:t>
                </w:r>
              </w:p>
            </w:tc>
          </w:tr>
          <w:tr w:rsidR="007E7472" w14:paraId="7CCCB507" w14:textId="77777777">
            <w:tc>
              <w:tcPr>
                <w:tcW w:w="800" w:type="pct"/>
                <w:vAlign w:val="center"/>
              </w:tcPr>
              <w:p w14:paraId="34449968" w14:textId="77777777" w:rsidR="007E7472" w:rsidRDefault="00EC1269">
                <w:r>
                  <w:rPr>
                    <w:rFonts w:hint="eastAsia"/>
                  </w:rPr>
                  <w:t>榆林端信供应链管理有限公司</w:t>
                </w:r>
              </w:p>
            </w:tc>
            <w:tc>
              <w:tcPr>
                <w:tcW w:w="643" w:type="pct"/>
                <w:vAlign w:val="center"/>
              </w:tcPr>
              <w:p w14:paraId="46BDF436" w14:textId="77777777" w:rsidR="007E7472" w:rsidRDefault="00EC1269">
                <w:pPr>
                  <w:jc w:val="center"/>
                </w:pPr>
                <w:r>
                  <w:t>陕西榆林</w:t>
                </w:r>
              </w:p>
            </w:tc>
            <w:tc>
              <w:tcPr>
                <w:tcW w:w="632" w:type="pct"/>
                <w:vAlign w:val="center"/>
              </w:tcPr>
              <w:p w14:paraId="004E95C3" w14:textId="77777777" w:rsidR="007E7472" w:rsidRDefault="00EC1269">
                <w:pPr>
                  <w:jc w:val="center"/>
                </w:pPr>
                <w:r>
                  <w:t>陕西榆林</w:t>
                </w:r>
              </w:p>
            </w:tc>
            <w:tc>
              <w:tcPr>
                <w:tcW w:w="719" w:type="pct"/>
                <w:vAlign w:val="center"/>
              </w:tcPr>
              <w:p w14:paraId="61D3FAA8" w14:textId="77777777" w:rsidR="007E7472" w:rsidRDefault="00EC1269">
                <w:r>
                  <w:t>普通货物运输、货运场服务、煤炭销售</w:t>
                </w:r>
              </w:p>
            </w:tc>
            <w:tc>
              <w:tcPr>
                <w:tcW w:w="711" w:type="pct"/>
                <w:vAlign w:val="center"/>
              </w:tcPr>
              <w:p w14:paraId="1C43EE4E" w14:textId="77777777" w:rsidR="007E7472" w:rsidRDefault="00C8327E">
                <w:pPr>
                  <w:jc w:val="right"/>
                </w:pPr>
              </w:p>
            </w:tc>
            <w:tc>
              <w:tcPr>
                <w:tcW w:w="711" w:type="pct"/>
                <w:vAlign w:val="center"/>
              </w:tcPr>
              <w:p w14:paraId="7519DE14" w14:textId="77777777" w:rsidR="007E7472" w:rsidRDefault="00EC1269">
                <w:pPr>
                  <w:jc w:val="right"/>
                </w:pPr>
                <w:r>
                  <w:t>62</w:t>
                </w:r>
              </w:p>
            </w:tc>
            <w:tc>
              <w:tcPr>
                <w:tcW w:w="783" w:type="pct"/>
                <w:vAlign w:val="center"/>
              </w:tcPr>
              <w:p w14:paraId="7C69AADC" w14:textId="77777777" w:rsidR="007E7472" w:rsidRDefault="00EC1269">
                <w:pPr>
                  <w:jc w:val="right"/>
                </w:pPr>
                <w:r>
                  <w:t>非同一控制下企业合并</w:t>
                </w:r>
              </w:p>
            </w:tc>
          </w:tr>
          <w:tr w:rsidR="007E7472" w14:paraId="0A6E3561" w14:textId="77777777">
            <w:tc>
              <w:tcPr>
                <w:tcW w:w="800" w:type="pct"/>
                <w:vAlign w:val="center"/>
              </w:tcPr>
              <w:p w14:paraId="5449B82A" w14:textId="77777777" w:rsidR="007E7472" w:rsidRDefault="00EC1269">
                <w:r>
                  <w:rPr>
                    <w:rFonts w:hint="eastAsia"/>
                  </w:rPr>
                  <w:t>山东华聚能源股份有限公司</w:t>
                </w:r>
              </w:p>
            </w:tc>
            <w:tc>
              <w:tcPr>
                <w:tcW w:w="643" w:type="pct"/>
                <w:vAlign w:val="center"/>
              </w:tcPr>
              <w:p w14:paraId="2B2B0F62" w14:textId="77777777" w:rsidR="007E7472" w:rsidRDefault="00EC1269">
                <w:pPr>
                  <w:jc w:val="center"/>
                </w:pPr>
                <w:r>
                  <w:t>山东邹城</w:t>
                </w:r>
              </w:p>
            </w:tc>
            <w:tc>
              <w:tcPr>
                <w:tcW w:w="632" w:type="pct"/>
                <w:vAlign w:val="center"/>
              </w:tcPr>
              <w:p w14:paraId="2DF9DA33" w14:textId="77777777" w:rsidR="007E7472" w:rsidRDefault="00EC1269">
                <w:pPr>
                  <w:jc w:val="center"/>
                </w:pPr>
                <w:r>
                  <w:t>山东邹城</w:t>
                </w:r>
              </w:p>
            </w:tc>
            <w:tc>
              <w:tcPr>
                <w:tcW w:w="719" w:type="pct"/>
                <w:vAlign w:val="center"/>
              </w:tcPr>
              <w:p w14:paraId="6534A7D3" w14:textId="77777777" w:rsidR="007E7472" w:rsidRDefault="00EC1269">
                <w:r>
                  <w:t>火力发电及发电余热综合利用</w:t>
                </w:r>
              </w:p>
            </w:tc>
            <w:tc>
              <w:tcPr>
                <w:tcW w:w="711" w:type="pct"/>
                <w:vAlign w:val="center"/>
              </w:tcPr>
              <w:p w14:paraId="30172691" w14:textId="77777777" w:rsidR="007E7472" w:rsidRDefault="00EC1269">
                <w:pPr>
                  <w:jc w:val="right"/>
                </w:pPr>
                <w:r>
                  <w:t>95.14</w:t>
                </w:r>
              </w:p>
            </w:tc>
            <w:tc>
              <w:tcPr>
                <w:tcW w:w="711" w:type="pct"/>
                <w:vAlign w:val="center"/>
              </w:tcPr>
              <w:p w14:paraId="032F4526" w14:textId="77777777" w:rsidR="007E7472" w:rsidRDefault="00C8327E">
                <w:pPr>
                  <w:jc w:val="right"/>
                </w:pPr>
              </w:p>
            </w:tc>
            <w:tc>
              <w:tcPr>
                <w:tcW w:w="783" w:type="pct"/>
                <w:vAlign w:val="center"/>
              </w:tcPr>
              <w:p w14:paraId="477C6652" w14:textId="77777777" w:rsidR="007E7472" w:rsidRDefault="00EC1269">
                <w:pPr>
                  <w:jc w:val="right"/>
                </w:pPr>
                <w:r>
                  <w:t>同一控制下企业合并</w:t>
                </w:r>
              </w:p>
            </w:tc>
          </w:tr>
          <w:tr w:rsidR="007E7472" w14:paraId="7D2213F5" w14:textId="77777777">
            <w:tc>
              <w:tcPr>
                <w:tcW w:w="800" w:type="pct"/>
                <w:vAlign w:val="center"/>
              </w:tcPr>
              <w:p w14:paraId="41028FB2" w14:textId="77777777" w:rsidR="007E7472" w:rsidRDefault="00EC1269">
                <w:r>
                  <w:rPr>
                    <w:rFonts w:hint="eastAsia"/>
                  </w:rPr>
                  <w:t>青岛中兖贸易有限公司</w:t>
                </w:r>
              </w:p>
            </w:tc>
            <w:tc>
              <w:tcPr>
                <w:tcW w:w="643" w:type="pct"/>
                <w:vAlign w:val="center"/>
              </w:tcPr>
              <w:p w14:paraId="1A4F881E" w14:textId="77777777" w:rsidR="007E7472" w:rsidRDefault="00EC1269">
                <w:pPr>
                  <w:jc w:val="center"/>
                </w:pPr>
                <w:r>
                  <w:t>山东青岛</w:t>
                </w:r>
              </w:p>
            </w:tc>
            <w:tc>
              <w:tcPr>
                <w:tcW w:w="632" w:type="pct"/>
                <w:vAlign w:val="center"/>
              </w:tcPr>
              <w:p w14:paraId="7825A250" w14:textId="77777777" w:rsidR="007E7472" w:rsidRDefault="00EC1269">
                <w:pPr>
                  <w:jc w:val="center"/>
                </w:pPr>
                <w:r>
                  <w:t>山东青岛</w:t>
                </w:r>
              </w:p>
            </w:tc>
            <w:tc>
              <w:tcPr>
                <w:tcW w:w="719" w:type="pct"/>
                <w:vAlign w:val="center"/>
              </w:tcPr>
              <w:p w14:paraId="56D0D8D6" w14:textId="77777777" w:rsidR="007E7472" w:rsidRDefault="00EC1269">
                <w:r>
                  <w:t>保税区内贸易及仓储</w:t>
                </w:r>
              </w:p>
            </w:tc>
            <w:tc>
              <w:tcPr>
                <w:tcW w:w="711" w:type="pct"/>
                <w:vAlign w:val="center"/>
              </w:tcPr>
              <w:p w14:paraId="251B7AA9" w14:textId="77777777" w:rsidR="007E7472" w:rsidRDefault="00EC1269">
                <w:pPr>
                  <w:jc w:val="right"/>
                </w:pPr>
                <w:r>
                  <w:t>100</w:t>
                </w:r>
              </w:p>
            </w:tc>
            <w:tc>
              <w:tcPr>
                <w:tcW w:w="711" w:type="pct"/>
                <w:vAlign w:val="center"/>
              </w:tcPr>
              <w:p w14:paraId="2A3D74F8" w14:textId="77777777" w:rsidR="007E7472" w:rsidRDefault="00C8327E">
                <w:pPr>
                  <w:jc w:val="right"/>
                </w:pPr>
              </w:p>
            </w:tc>
            <w:tc>
              <w:tcPr>
                <w:tcW w:w="783" w:type="pct"/>
                <w:vAlign w:val="center"/>
              </w:tcPr>
              <w:p w14:paraId="12BD2430" w14:textId="77777777" w:rsidR="007E7472" w:rsidRDefault="00EC1269">
                <w:pPr>
                  <w:jc w:val="right"/>
                </w:pPr>
                <w:r>
                  <w:t>投资设立</w:t>
                </w:r>
              </w:p>
            </w:tc>
          </w:tr>
          <w:tr w:rsidR="007E7472" w14:paraId="0D1E3B80" w14:textId="77777777">
            <w:tc>
              <w:tcPr>
                <w:tcW w:w="800" w:type="pct"/>
                <w:vAlign w:val="center"/>
              </w:tcPr>
              <w:p w14:paraId="1F64ABFF" w14:textId="77777777" w:rsidR="007E7472" w:rsidRDefault="00EC1269">
                <w:r>
                  <w:rPr>
                    <w:rFonts w:hint="eastAsia"/>
                  </w:rPr>
                  <w:t>山东兖煤日照港储配煤有限公司</w:t>
                </w:r>
              </w:p>
            </w:tc>
            <w:tc>
              <w:tcPr>
                <w:tcW w:w="643" w:type="pct"/>
                <w:vAlign w:val="center"/>
              </w:tcPr>
              <w:p w14:paraId="74271134" w14:textId="77777777" w:rsidR="007E7472" w:rsidRDefault="00EC1269">
                <w:pPr>
                  <w:jc w:val="center"/>
                </w:pPr>
                <w:r>
                  <w:t>山东日照</w:t>
                </w:r>
              </w:p>
            </w:tc>
            <w:tc>
              <w:tcPr>
                <w:tcW w:w="632" w:type="pct"/>
                <w:vAlign w:val="center"/>
              </w:tcPr>
              <w:p w14:paraId="19CBE13E" w14:textId="77777777" w:rsidR="007E7472" w:rsidRDefault="00EC1269">
                <w:pPr>
                  <w:jc w:val="center"/>
                </w:pPr>
                <w:r>
                  <w:t>山东日照</w:t>
                </w:r>
              </w:p>
            </w:tc>
            <w:tc>
              <w:tcPr>
                <w:tcW w:w="719" w:type="pct"/>
                <w:vAlign w:val="center"/>
              </w:tcPr>
              <w:p w14:paraId="3D8CC9FC" w14:textId="77777777" w:rsidR="007E7472" w:rsidRDefault="00EC1269">
                <w:r>
                  <w:t>煤炭批发经营</w:t>
                </w:r>
              </w:p>
            </w:tc>
            <w:tc>
              <w:tcPr>
                <w:tcW w:w="711" w:type="pct"/>
                <w:vAlign w:val="center"/>
              </w:tcPr>
              <w:p w14:paraId="5D2DA6CE" w14:textId="77777777" w:rsidR="007E7472" w:rsidRDefault="00EC1269">
                <w:pPr>
                  <w:jc w:val="right"/>
                </w:pPr>
                <w:r>
                  <w:t>71</w:t>
                </w:r>
              </w:p>
            </w:tc>
            <w:tc>
              <w:tcPr>
                <w:tcW w:w="711" w:type="pct"/>
                <w:vAlign w:val="center"/>
              </w:tcPr>
              <w:p w14:paraId="3B651A02" w14:textId="77777777" w:rsidR="007E7472" w:rsidRDefault="00C8327E">
                <w:pPr>
                  <w:jc w:val="right"/>
                </w:pPr>
              </w:p>
            </w:tc>
            <w:tc>
              <w:tcPr>
                <w:tcW w:w="783" w:type="pct"/>
                <w:vAlign w:val="center"/>
              </w:tcPr>
              <w:p w14:paraId="30A38B28" w14:textId="77777777" w:rsidR="007E7472" w:rsidRDefault="00EC1269">
                <w:pPr>
                  <w:jc w:val="right"/>
                </w:pPr>
                <w:r>
                  <w:t>投资设立</w:t>
                </w:r>
              </w:p>
            </w:tc>
          </w:tr>
          <w:tr w:rsidR="007E7472" w14:paraId="3373AC79" w14:textId="77777777">
            <w:tc>
              <w:tcPr>
                <w:tcW w:w="800" w:type="pct"/>
                <w:vAlign w:val="center"/>
              </w:tcPr>
              <w:p w14:paraId="5BDD594B" w14:textId="77777777" w:rsidR="007E7472" w:rsidRDefault="00EC1269">
                <w:r>
                  <w:rPr>
                    <w:rFonts w:hint="eastAsia"/>
                  </w:rPr>
                  <w:t>青岛兖煤东启能源有限公司</w:t>
                </w:r>
              </w:p>
            </w:tc>
            <w:tc>
              <w:tcPr>
                <w:tcW w:w="643" w:type="pct"/>
                <w:vAlign w:val="center"/>
              </w:tcPr>
              <w:p w14:paraId="55B76A23" w14:textId="77777777" w:rsidR="007E7472" w:rsidRDefault="00EC1269">
                <w:pPr>
                  <w:jc w:val="center"/>
                </w:pPr>
                <w:r>
                  <w:t>山东青岛</w:t>
                </w:r>
              </w:p>
            </w:tc>
            <w:tc>
              <w:tcPr>
                <w:tcW w:w="632" w:type="pct"/>
                <w:vAlign w:val="center"/>
              </w:tcPr>
              <w:p w14:paraId="786F9D06" w14:textId="77777777" w:rsidR="007E7472" w:rsidRDefault="00EC1269">
                <w:pPr>
                  <w:jc w:val="center"/>
                </w:pPr>
                <w:r>
                  <w:t>山东青岛</w:t>
                </w:r>
              </w:p>
            </w:tc>
            <w:tc>
              <w:tcPr>
                <w:tcW w:w="719" w:type="pct"/>
                <w:vAlign w:val="center"/>
              </w:tcPr>
              <w:p w14:paraId="6CE7E6FD" w14:textId="77777777" w:rsidR="007E7472" w:rsidRDefault="00EC1269">
                <w:r>
                  <w:t>国际贸易、转口贸易</w:t>
                </w:r>
              </w:p>
            </w:tc>
            <w:tc>
              <w:tcPr>
                <w:tcW w:w="711" w:type="pct"/>
                <w:vAlign w:val="center"/>
              </w:tcPr>
              <w:p w14:paraId="179562D6" w14:textId="77777777" w:rsidR="007E7472" w:rsidRDefault="00C8327E">
                <w:pPr>
                  <w:jc w:val="right"/>
                </w:pPr>
              </w:p>
            </w:tc>
            <w:tc>
              <w:tcPr>
                <w:tcW w:w="711" w:type="pct"/>
                <w:vAlign w:val="center"/>
              </w:tcPr>
              <w:p w14:paraId="58FD6702" w14:textId="77777777" w:rsidR="007E7472" w:rsidRDefault="00EC1269">
                <w:pPr>
                  <w:jc w:val="right"/>
                </w:pPr>
                <w:r>
                  <w:t>100</w:t>
                </w:r>
              </w:p>
            </w:tc>
            <w:tc>
              <w:tcPr>
                <w:tcW w:w="783" w:type="pct"/>
                <w:vAlign w:val="center"/>
              </w:tcPr>
              <w:p w14:paraId="0C65AB92" w14:textId="77777777" w:rsidR="007E7472" w:rsidRDefault="00EC1269">
                <w:pPr>
                  <w:jc w:val="right"/>
                </w:pPr>
                <w:r>
                  <w:t>投资设立</w:t>
                </w:r>
              </w:p>
            </w:tc>
          </w:tr>
          <w:tr w:rsidR="007E7472" w14:paraId="2473EC6D" w14:textId="77777777">
            <w:tc>
              <w:tcPr>
                <w:tcW w:w="800" w:type="pct"/>
                <w:vAlign w:val="center"/>
              </w:tcPr>
              <w:p w14:paraId="77AC6CC7" w14:textId="77777777" w:rsidR="007E7472" w:rsidRDefault="00EC1269">
                <w:r>
                  <w:rPr>
                    <w:rFonts w:hint="eastAsia"/>
                  </w:rPr>
                  <w:t>兖矿融资租赁有限公司</w:t>
                </w:r>
              </w:p>
            </w:tc>
            <w:tc>
              <w:tcPr>
                <w:tcW w:w="643" w:type="pct"/>
                <w:vAlign w:val="center"/>
              </w:tcPr>
              <w:p w14:paraId="2CD611CB" w14:textId="77777777" w:rsidR="007E7472" w:rsidRDefault="00EC1269">
                <w:pPr>
                  <w:jc w:val="center"/>
                </w:pPr>
                <w:r>
                  <w:t>上海</w:t>
                </w:r>
              </w:p>
            </w:tc>
            <w:tc>
              <w:tcPr>
                <w:tcW w:w="632" w:type="pct"/>
                <w:vAlign w:val="center"/>
              </w:tcPr>
              <w:p w14:paraId="2B756A32" w14:textId="77777777" w:rsidR="007E7472" w:rsidRDefault="00EC1269">
                <w:pPr>
                  <w:jc w:val="center"/>
                </w:pPr>
                <w:r>
                  <w:t>上海</w:t>
                </w:r>
              </w:p>
            </w:tc>
            <w:tc>
              <w:tcPr>
                <w:tcW w:w="719" w:type="pct"/>
                <w:vAlign w:val="center"/>
              </w:tcPr>
              <w:p w14:paraId="5277C4A6" w14:textId="77777777" w:rsidR="007E7472" w:rsidRDefault="00EC1269">
                <w:r>
                  <w:t>融资租赁业务</w:t>
                </w:r>
              </w:p>
            </w:tc>
            <w:tc>
              <w:tcPr>
                <w:tcW w:w="711" w:type="pct"/>
                <w:vAlign w:val="center"/>
              </w:tcPr>
              <w:p w14:paraId="57BFEEE4" w14:textId="77777777" w:rsidR="007E7472" w:rsidRDefault="00EC1269">
                <w:pPr>
                  <w:jc w:val="right"/>
                </w:pPr>
                <w:r>
                  <w:t>100</w:t>
                </w:r>
              </w:p>
            </w:tc>
            <w:tc>
              <w:tcPr>
                <w:tcW w:w="711" w:type="pct"/>
                <w:vAlign w:val="center"/>
              </w:tcPr>
              <w:p w14:paraId="793C91D1" w14:textId="77777777" w:rsidR="007E7472" w:rsidRDefault="00C8327E">
                <w:pPr>
                  <w:jc w:val="right"/>
                </w:pPr>
              </w:p>
            </w:tc>
            <w:tc>
              <w:tcPr>
                <w:tcW w:w="783" w:type="pct"/>
                <w:vAlign w:val="center"/>
              </w:tcPr>
              <w:p w14:paraId="23B2FBD5" w14:textId="77777777" w:rsidR="007E7472" w:rsidRDefault="00EC1269">
                <w:pPr>
                  <w:jc w:val="right"/>
                </w:pPr>
                <w:r>
                  <w:t>投资设立</w:t>
                </w:r>
              </w:p>
            </w:tc>
          </w:tr>
          <w:tr w:rsidR="007E7472" w14:paraId="7AC140AA" w14:textId="77777777">
            <w:tc>
              <w:tcPr>
                <w:tcW w:w="800" w:type="pct"/>
                <w:vAlign w:val="center"/>
              </w:tcPr>
              <w:p w14:paraId="0E41E778" w14:textId="77777777" w:rsidR="007E7472" w:rsidRDefault="00EC1269">
                <w:r>
                  <w:rPr>
                    <w:rFonts w:hint="eastAsia"/>
                  </w:rPr>
                  <w:t>上海兖矿能源发展有限公司</w:t>
                </w:r>
              </w:p>
            </w:tc>
            <w:tc>
              <w:tcPr>
                <w:tcW w:w="643" w:type="pct"/>
                <w:vAlign w:val="center"/>
              </w:tcPr>
              <w:p w14:paraId="1159A037" w14:textId="77777777" w:rsidR="007E7472" w:rsidRDefault="00EC1269">
                <w:pPr>
                  <w:jc w:val="center"/>
                </w:pPr>
                <w:r>
                  <w:t>上海</w:t>
                </w:r>
              </w:p>
            </w:tc>
            <w:tc>
              <w:tcPr>
                <w:tcW w:w="632" w:type="pct"/>
                <w:vAlign w:val="center"/>
              </w:tcPr>
              <w:p w14:paraId="36642B9B" w14:textId="77777777" w:rsidR="007E7472" w:rsidRDefault="00EC1269">
                <w:pPr>
                  <w:jc w:val="center"/>
                </w:pPr>
                <w:r>
                  <w:t>上海</w:t>
                </w:r>
              </w:p>
            </w:tc>
            <w:tc>
              <w:tcPr>
                <w:tcW w:w="719" w:type="pct"/>
                <w:vAlign w:val="center"/>
              </w:tcPr>
              <w:p w14:paraId="3BE9BA0B" w14:textId="77777777" w:rsidR="007E7472" w:rsidRDefault="00EC1269">
                <w:r>
                  <w:t>房地产开发经营、物业管理</w:t>
                </w:r>
              </w:p>
            </w:tc>
            <w:tc>
              <w:tcPr>
                <w:tcW w:w="711" w:type="pct"/>
                <w:vAlign w:val="center"/>
              </w:tcPr>
              <w:p w14:paraId="1092FE95" w14:textId="77777777" w:rsidR="007E7472" w:rsidRDefault="00C8327E">
                <w:pPr>
                  <w:jc w:val="right"/>
                </w:pPr>
              </w:p>
            </w:tc>
            <w:tc>
              <w:tcPr>
                <w:tcW w:w="711" w:type="pct"/>
                <w:vAlign w:val="center"/>
              </w:tcPr>
              <w:p w14:paraId="723D51A6" w14:textId="77777777" w:rsidR="007E7472" w:rsidRDefault="00EC1269">
                <w:pPr>
                  <w:jc w:val="right"/>
                </w:pPr>
                <w:r>
                  <w:t>100</w:t>
                </w:r>
              </w:p>
            </w:tc>
            <w:tc>
              <w:tcPr>
                <w:tcW w:w="783" w:type="pct"/>
                <w:vAlign w:val="center"/>
              </w:tcPr>
              <w:p w14:paraId="35723DFF" w14:textId="77777777" w:rsidR="007E7472" w:rsidRDefault="00EC1269">
                <w:pPr>
                  <w:jc w:val="right"/>
                </w:pPr>
                <w:r>
                  <w:t>同一控制下企业合并</w:t>
                </w:r>
              </w:p>
            </w:tc>
          </w:tr>
          <w:tr w:rsidR="007E7472" w14:paraId="11BA35CB" w14:textId="77777777">
            <w:tc>
              <w:tcPr>
                <w:tcW w:w="800" w:type="pct"/>
                <w:vAlign w:val="center"/>
              </w:tcPr>
              <w:p w14:paraId="62DAC293" w14:textId="77777777" w:rsidR="007E7472" w:rsidRDefault="00EC1269">
                <w:r>
                  <w:rPr>
                    <w:rFonts w:hint="eastAsia"/>
                  </w:rPr>
                  <w:t>中垠（香港）有限公司</w:t>
                </w:r>
              </w:p>
            </w:tc>
            <w:tc>
              <w:tcPr>
                <w:tcW w:w="643" w:type="pct"/>
                <w:vAlign w:val="center"/>
              </w:tcPr>
              <w:p w14:paraId="7D677550" w14:textId="77777777" w:rsidR="007E7472" w:rsidRDefault="00EC1269">
                <w:pPr>
                  <w:jc w:val="center"/>
                </w:pPr>
                <w:r>
                  <w:t>香港</w:t>
                </w:r>
              </w:p>
            </w:tc>
            <w:tc>
              <w:tcPr>
                <w:tcW w:w="632" w:type="pct"/>
                <w:vAlign w:val="center"/>
              </w:tcPr>
              <w:p w14:paraId="050C7E32" w14:textId="77777777" w:rsidR="007E7472" w:rsidRDefault="00EC1269">
                <w:pPr>
                  <w:jc w:val="center"/>
                </w:pPr>
                <w:r>
                  <w:t>香港</w:t>
                </w:r>
              </w:p>
            </w:tc>
            <w:tc>
              <w:tcPr>
                <w:tcW w:w="719" w:type="pct"/>
                <w:vAlign w:val="center"/>
              </w:tcPr>
              <w:p w14:paraId="4B51E8A7" w14:textId="77777777" w:rsidR="007E7472" w:rsidRDefault="00EC1269">
                <w:r>
                  <w:t>融资租赁业务、租赁、贸易</w:t>
                </w:r>
              </w:p>
            </w:tc>
            <w:tc>
              <w:tcPr>
                <w:tcW w:w="711" w:type="pct"/>
                <w:vAlign w:val="center"/>
              </w:tcPr>
              <w:p w14:paraId="20573A1E" w14:textId="77777777" w:rsidR="007E7472" w:rsidRDefault="00C8327E">
                <w:pPr>
                  <w:jc w:val="right"/>
                </w:pPr>
              </w:p>
            </w:tc>
            <w:tc>
              <w:tcPr>
                <w:tcW w:w="711" w:type="pct"/>
                <w:vAlign w:val="center"/>
              </w:tcPr>
              <w:p w14:paraId="4D5D5682" w14:textId="77777777" w:rsidR="007E7472" w:rsidRDefault="00EC1269">
                <w:pPr>
                  <w:jc w:val="right"/>
                </w:pPr>
                <w:r>
                  <w:t>100</w:t>
                </w:r>
              </w:p>
            </w:tc>
            <w:tc>
              <w:tcPr>
                <w:tcW w:w="783" w:type="pct"/>
                <w:vAlign w:val="center"/>
              </w:tcPr>
              <w:p w14:paraId="10CC8941" w14:textId="77777777" w:rsidR="007E7472" w:rsidRDefault="00EC1269">
                <w:pPr>
                  <w:jc w:val="right"/>
                </w:pPr>
                <w:r>
                  <w:t>投资设立</w:t>
                </w:r>
              </w:p>
            </w:tc>
          </w:tr>
          <w:tr w:rsidR="007E7472" w14:paraId="67587991" w14:textId="77777777">
            <w:tc>
              <w:tcPr>
                <w:tcW w:w="800" w:type="pct"/>
                <w:vAlign w:val="center"/>
              </w:tcPr>
              <w:p w14:paraId="2FAE628C" w14:textId="77777777" w:rsidR="007E7472" w:rsidRDefault="00EC1269">
                <w:r>
                  <w:rPr>
                    <w:rFonts w:hint="eastAsia"/>
                  </w:rPr>
                  <w:lastRenderedPageBreak/>
                  <w:t>中垠（泰安）融资租赁有限公司</w:t>
                </w:r>
              </w:p>
            </w:tc>
            <w:tc>
              <w:tcPr>
                <w:tcW w:w="643" w:type="pct"/>
                <w:vAlign w:val="center"/>
              </w:tcPr>
              <w:p w14:paraId="5007585E" w14:textId="77777777" w:rsidR="007E7472" w:rsidRDefault="00EC1269">
                <w:pPr>
                  <w:jc w:val="center"/>
                </w:pPr>
                <w:r>
                  <w:t>山东泰安</w:t>
                </w:r>
              </w:p>
            </w:tc>
            <w:tc>
              <w:tcPr>
                <w:tcW w:w="632" w:type="pct"/>
                <w:vAlign w:val="center"/>
              </w:tcPr>
              <w:p w14:paraId="44D6013D" w14:textId="77777777" w:rsidR="007E7472" w:rsidRDefault="00EC1269">
                <w:pPr>
                  <w:jc w:val="center"/>
                </w:pPr>
                <w:r>
                  <w:t>山东泰安</w:t>
                </w:r>
              </w:p>
            </w:tc>
            <w:tc>
              <w:tcPr>
                <w:tcW w:w="719" w:type="pct"/>
                <w:vAlign w:val="center"/>
              </w:tcPr>
              <w:p w14:paraId="60FA5AFF" w14:textId="77777777" w:rsidR="007E7472" w:rsidRDefault="00EC1269">
                <w:r>
                  <w:t>融资租赁业务</w:t>
                </w:r>
              </w:p>
            </w:tc>
            <w:tc>
              <w:tcPr>
                <w:tcW w:w="711" w:type="pct"/>
                <w:vAlign w:val="center"/>
              </w:tcPr>
              <w:p w14:paraId="7F81E0AB" w14:textId="77777777" w:rsidR="007E7472" w:rsidRDefault="00C8327E">
                <w:pPr>
                  <w:jc w:val="right"/>
                </w:pPr>
              </w:p>
            </w:tc>
            <w:tc>
              <w:tcPr>
                <w:tcW w:w="711" w:type="pct"/>
                <w:vAlign w:val="center"/>
              </w:tcPr>
              <w:p w14:paraId="3494FFE0" w14:textId="77777777" w:rsidR="007E7472" w:rsidRDefault="00EC1269">
                <w:pPr>
                  <w:jc w:val="right"/>
                </w:pPr>
                <w:r>
                  <w:t>70</w:t>
                </w:r>
              </w:p>
            </w:tc>
            <w:tc>
              <w:tcPr>
                <w:tcW w:w="783" w:type="pct"/>
                <w:vAlign w:val="center"/>
              </w:tcPr>
              <w:p w14:paraId="532902AD" w14:textId="77777777" w:rsidR="007E7472" w:rsidRDefault="00EC1269">
                <w:pPr>
                  <w:jc w:val="right"/>
                </w:pPr>
                <w:r>
                  <w:t>投资设立</w:t>
                </w:r>
              </w:p>
            </w:tc>
          </w:tr>
          <w:tr w:rsidR="007E7472" w14:paraId="1BFEEC52" w14:textId="77777777">
            <w:tc>
              <w:tcPr>
                <w:tcW w:w="800" w:type="pct"/>
                <w:vAlign w:val="center"/>
              </w:tcPr>
              <w:p w14:paraId="483C9DE5" w14:textId="77777777" w:rsidR="007E7472" w:rsidRDefault="00EC1269">
                <w:r>
                  <w:t>兖矿商业保理(天津)有限公司</w:t>
                </w:r>
              </w:p>
            </w:tc>
            <w:tc>
              <w:tcPr>
                <w:tcW w:w="643" w:type="pct"/>
                <w:vAlign w:val="center"/>
              </w:tcPr>
              <w:p w14:paraId="58823B72" w14:textId="77777777" w:rsidR="007E7472" w:rsidRDefault="00EC1269">
                <w:pPr>
                  <w:jc w:val="center"/>
                </w:pPr>
                <w:r>
                  <w:rPr>
                    <w:rFonts w:hint="eastAsia"/>
                  </w:rPr>
                  <w:t>天津</w:t>
                </w:r>
              </w:p>
            </w:tc>
            <w:tc>
              <w:tcPr>
                <w:tcW w:w="632" w:type="pct"/>
                <w:vAlign w:val="center"/>
              </w:tcPr>
              <w:p w14:paraId="172F7BC7" w14:textId="77777777" w:rsidR="007E7472" w:rsidRDefault="00EC1269">
                <w:pPr>
                  <w:jc w:val="center"/>
                </w:pPr>
                <w:r>
                  <w:rPr>
                    <w:rFonts w:hint="eastAsia"/>
                  </w:rPr>
                  <w:t>天津</w:t>
                </w:r>
              </w:p>
            </w:tc>
            <w:tc>
              <w:tcPr>
                <w:tcW w:w="719" w:type="pct"/>
                <w:vAlign w:val="center"/>
              </w:tcPr>
              <w:p w14:paraId="13AC4255" w14:textId="77777777" w:rsidR="007E7472" w:rsidRDefault="00EC1269">
                <w:pPr>
                  <w:jc w:val="both"/>
                </w:pPr>
                <w:r>
                  <w:rPr>
                    <w:rFonts w:hint="eastAsia"/>
                  </w:rPr>
                  <w:t>商业保理业务、相关咨询服务</w:t>
                </w:r>
              </w:p>
            </w:tc>
            <w:tc>
              <w:tcPr>
                <w:tcW w:w="711" w:type="pct"/>
                <w:vAlign w:val="center"/>
              </w:tcPr>
              <w:p w14:paraId="527983D4" w14:textId="77777777" w:rsidR="007E7472" w:rsidRDefault="00C8327E">
                <w:pPr>
                  <w:jc w:val="right"/>
                </w:pPr>
              </w:p>
            </w:tc>
            <w:tc>
              <w:tcPr>
                <w:tcW w:w="711" w:type="pct"/>
                <w:vAlign w:val="center"/>
              </w:tcPr>
              <w:p w14:paraId="1AC34AC3" w14:textId="77777777" w:rsidR="007E7472" w:rsidRDefault="00EC1269">
                <w:pPr>
                  <w:jc w:val="right"/>
                </w:pPr>
                <w:r>
                  <w:t>76</w:t>
                </w:r>
              </w:p>
            </w:tc>
            <w:tc>
              <w:tcPr>
                <w:tcW w:w="783" w:type="pct"/>
                <w:vAlign w:val="center"/>
              </w:tcPr>
              <w:p w14:paraId="5117E026" w14:textId="77777777" w:rsidR="007E7472" w:rsidRDefault="00EC1269">
                <w:pPr>
                  <w:jc w:val="right"/>
                </w:pPr>
                <w:r>
                  <w:rPr>
                    <w:rFonts w:hint="eastAsia"/>
                  </w:rPr>
                  <w:t>非同一控制下企业合并</w:t>
                </w:r>
              </w:p>
            </w:tc>
          </w:tr>
          <w:tr w:rsidR="007E7472" w14:paraId="69721ABE" w14:textId="77777777">
            <w:tc>
              <w:tcPr>
                <w:tcW w:w="800" w:type="pct"/>
                <w:vAlign w:val="center"/>
              </w:tcPr>
              <w:p w14:paraId="1DBCC974" w14:textId="77777777" w:rsidR="007E7472" w:rsidRDefault="00EC1269">
                <w:r>
                  <w:t>兖矿商业保理（上海）有限公司</w:t>
                </w:r>
              </w:p>
            </w:tc>
            <w:tc>
              <w:tcPr>
                <w:tcW w:w="643" w:type="pct"/>
                <w:vAlign w:val="center"/>
              </w:tcPr>
              <w:p w14:paraId="6E891B70" w14:textId="77777777" w:rsidR="007E7472" w:rsidRDefault="00EC1269">
                <w:pPr>
                  <w:jc w:val="center"/>
                </w:pPr>
                <w:r>
                  <w:rPr>
                    <w:rFonts w:hint="eastAsia"/>
                  </w:rPr>
                  <w:t>上海</w:t>
                </w:r>
              </w:p>
            </w:tc>
            <w:tc>
              <w:tcPr>
                <w:tcW w:w="632" w:type="pct"/>
                <w:vAlign w:val="center"/>
              </w:tcPr>
              <w:p w14:paraId="1CEE8FA6" w14:textId="77777777" w:rsidR="007E7472" w:rsidRDefault="00EC1269">
                <w:pPr>
                  <w:jc w:val="center"/>
                </w:pPr>
                <w:r>
                  <w:rPr>
                    <w:rFonts w:hint="eastAsia"/>
                  </w:rPr>
                  <w:t>上海</w:t>
                </w:r>
              </w:p>
            </w:tc>
            <w:tc>
              <w:tcPr>
                <w:tcW w:w="719" w:type="pct"/>
                <w:vAlign w:val="center"/>
              </w:tcPr>
              <w:p w14:paraId="0709A5CE" w14:textId="77777777" w:rsidR="007E7472" w:rsidRDefault="00EC1269">
                <w:pPr>
                  <w:jc w:val="both"/>
                </w:pPr>
                <w:r>
                  <w:rPr>
                    <w:rFonts w:hint="eastAsia"/>
                  </w:rPr>
                  <w:t>商业保理业务</w:t>
                </w:r>
              </w:p>
            </w:tc>
            <w:tc>
              <w:tcPr>
                <w:tcW w:w="711" w:type="pct"/>
                <w:vAlign w:val="center"/>
              </w:tcPr>
              <w:p w14:paraId="182A82CA" w14:textId="77777777" w:rsidR="007E7472" w:rsidRDefault="00C8327E">
                <w:pPr>
                  <w:jc w:val="right"/>
                </w:pPr>
              </w:p>
            </w:tc>
            <w:tc>
              <w:tcPr>
                <w:tcW w:w="711" w:type="pct"/>
                <w:vAlign w:val="center"/>
              </w:tcPr>
              <w:p w14:paraId="31E846A4" w14:textId="77777777" w:rsidR="007E7472" w:rsidRDefault="00EC1269">
                <w:pPr>
                  <w:jc w:val="right"/>
                </w:pPr>
                <w:r>
                  <w:rPr>
                    <w:rFonts w:hint="eastAsia"/>
                  </w:rPr>
                  <w:t>1</w:t>
                </w:r>
                <w:r>
                  <w:t>00</w:t>
                </w:r>
              </w:p>
            </w:tc>
            <w:tc>
              <w:tcPr>
                <w:tcW w:w="783" w:type="pct"/>
                <w:vAlign w:val="center"/>
              </w:tcPr>
              <w:p w14:paraId="36EAD174" w14:textId="77777777" w:rsidR="007E7472" w:rsidRDefault="00EC1269">
                <w:pPr>
                  <w:jc w:val="right"/>
                </w:pPr>
                <w:r>
                  <w:rPr>
                    <w:rFonts w:hint="eastAsia"/>
                  </w:rPr>
                  <w:t>投资设立</w:t>
                </w:r>
              </w:p>
            </w:tc>
          </w:tr>
          <w:tr w:rsidR="007E7472" w14:paraId="20BAC4B2" w14:textId="77777777">
            <w:tc>
              <w:tcPr>
                <w:tcW w:w="800" w:type="pct"/>
                <w:vAlign w:val="center"/>
              </w:tcPr>
              <w:p w14:paraId="5978CF6D" w14:textId="77777777" w:rsidR="007E7472" w:rsidRDefault="00EC1269">
                <w:r>
                  <w:rPr>
                    <w:rFonts w:hint="eastAsia"/>
                  </w:rPr>
                  <w:t>山东中鼎云联科技有限公司</w:t>
                </w:r>
              </w:p>
            </w:tc>
            <w:tc>
              <w:tcPr>
                <w:tcW w:w="643" w:type="pct"/>
                <w:vAlign w:val="center"/>
              </w:tcPr>
              <w:p w14:paraId="0ABA71BA" w14:textId="77777777" w:rsidR="007E7472" w:rsidRDefault="00EC1269">
                <w:pPr>
                  <w:jc w:val="center"/>
                </w:pPr>
                <w:r>
                  <w:t>山东济宁</w:t>
                </w:r>
              </w:p>
            </w:tc>
            <w:tc>
              <w:tcPr>
                <w:tcW w:w="632" w:type="pct"/>
                <w:vAlign w:val="center"/>
              </w:tcPr>
              <w:p w14:paraId="2DA999FA" w14:textId="77777777" w:rsidR="007E7472" w:rsidRDefault="00EC1269">
                <w:pPr>
                  <w:jc w:val="center"/>
                </w:pPr>
                <w:r>
                  <w:t>山东济宁</w:t>
                </w:r>
              </w:p>
            </w:tc>
            <w:tc>
              <w:tcPr>
                <w:tcW w:w="719" w:type="pct"/>
                <w:vAlign w:val="center"/>
              </w:tcPr>
              <w:p w14:paraId="5E84E881" w14:textId="77777777" w:rsidR="007E7472" w:rsidRDefault="00EC1269">
                <w:r>
                  <w:t>房地产开发</w:t>
                </w:r>
              </w:p>
            </w:tc>
            <w:tc>
              <w:tcPr>
                <w:tcW w:w="711" w:type="pct"/>
                <w:vAlign w:val="center"/>
              </w:tcPr>
              <w:p w14:paraId="2BD89127" w14:textId="77777777" w:rsidR="007E7472" w:rsidRDefault="00EC1269">
                <w:pPr>
                  <w:jc w:val="right"/>
                </w:pPr>
                <w:r>
                  <w:t>51</w:t>
                </w:r>
              </w:p>
            </w:tc>
            <w:tc>
              <w:tcPr>
                <w:tcW w:w="711" w:type="pct"/>
                <w:vAlign w:val="center"/>
              </w:tcPr>
              <w:p w14:paraId="2E455B69" w14:textId="77777777" w:rsidR="007E7472" w:rsidRDefault="00C8327E">
                <w:pPr>
                  <w:jc w:val="right"/>
                </w:pPr>
              </w:p>
            </w:tc>
            <w:tc>
              <w:tcPr>
                <w:tcW w:w="783" w:type="pct"/>
                <w:vAlign w:val="center"/>
              </w:tcPr>
              <w:p w14:paraId="35D0A79B" w14:textId="77777777" w:rsidR="007E7472" w:rsidRDefault="00EC1269">
                <w:pPr>
                  <w:jc w:val="right"/>
                </w:pPr>
                <w:r>
                  <w:t>投资设立</w:t>
                </w:r>
              </w:p>
            </w:tc>
          </w:tr>
          <w:tr w:rsidR="007E7472" w14:paraId="2DD5785D" w14:textId="77777777">
            <w:tc>
              <w:tcPr>
                <w:tcW w:w="800" w:type="pct"/>
                <w:vAlign w:val="center"/>
              </w:tcPr>
              <w:p w14:paraId="38189CE8" w14:textId="77777777" w:rsidR="007E7472" w:rsidRDefault="00EC1269">
                <w:r>
                  <w:rPr>
                    <w:rFonts w:hint="eastAsia"/>
                  </w:rPr>
                  <w:t>山东兖煤航运有限公司</w:t>
                </w:r>
              </w:p>
            </w:tc>
            <w:tc>
              <w:tcPr>
                <w:tcW w:w="643" w:type="pct"/>
                <w:vAlign w:val="center"/>
              </w:tcPr>
              <w:p w14:paraId="23484B9F" w14:textId="77777777" w:rsidR="007E7472" w:rsidRDefault="00EC1269">
                <w:pPr>
                  <w:jc w:val="center"/>
                </w:pPr>
                <w:r>
                  <w:t>山东济宁</w:t>
                </w:r>
              </w:p>
            </w:tc>
            <w:tc>
              <w:tcPr>
                <w:tcW w:w="632" w:type="pct"/>
                <w:vAlign w:val="center"/>
              </w:tcPr>
              <w:p w14:paraId="2789D659" w14:textId="77777777" w:rsidR="007E7472" w:rsidRDefault="00EC1269">
                <w:pPr>
                  <w:jc w:val="center"/>
                </w:pPr>
                <w:r>
                  <w:t>山东济宁</w:t>
                </w:r>
              </w:p>
            </w:tc>
            <w:tc>
              <w:tcPr>
                <w:tcW w:w="719" w:type="pct"/>
                <w:vAlign w:val="center"/>
              </w:tcPr>
              <w:p w14:paraId="6DF0E806" w14:textId="77777777" w:rsidR="007E7472" w:rsidRDefault="00EC1269">
                <w:r>
                  <w:t>货物运输煤炭销售</w:t>
                </w:r>
              </w:p>
            </w:tc>
            <w:tc>
              <w:tcPr>
                <w:tcW w:w="711" w:type="pct"/>
                <w:vAlign w:val="center"/>
              </w:tcPr>
              <w:p w14:paraId="4E022A43" w14:textId="77777777" w:rsidR="007E7472" w:rsidRDefault="00EC1269">
                <w:pPr>
                  <w:jc w:val="right"/>
                </w:pPr>
                <w:r>
                  <w:t>92</w:t>
                </w:r>
              </w:p>
            </w:tc>
            <w:tc>
              <w:tcPr>
                <w:tcW w:w="711" w:type="pct"/>
                <w:vAlign w:val="center"/>
              </w:tcPr>
              <w:p w14:paraId="441C1E63" w14:textId="77777777" w:rsidR="007E7472" w:rsidRDefault="00C8327E">
                <w:pPr>
                  <w:jc w:val="right"/>
                </w:pPr>
              </w:p>
            </w:tc>
            <w:tc>
              <w:tcPr>
                <w:tcW w:w="783" w:type="pct"/>
                <w:vAlign w:val="center"/>
              </w:tcPr>
              <w:p w14:paraId="05C691D6" w14:textId="77777777" w:rsidR="007E7472" w:rsidRDefault="00EC1269">
                <w:pPr>
                  <w:jc w:val="right"/>
                </w:pPr>
                <w:r>
                  <w:t>非同一控制下企业合并</w:t>
                </w:r>
              </w:p>
            </w:tc>
          </w:tr>
          <w:tr w:rsidR="007E7472" w14:paraId="6D46B80B" w14:textId="77777777">
            <w:tc>
              <w:tcPr>
                <w:tcW w:w="800" w:type="pct"/>
                <w:vAlign w:val="center"/>
              </w:tcPr>
              <w:p w14:paraId="71775568" w14:textId="77777777" w:rsidR="007E7472" w:rsidRDefault="00EC1269">
                <w:r>
                  <w:rPr>
                    <w:rFonts w:hint="eastAsia"/>
                  </w:rPr>
                  <w:t>兖煤矿业工程有限公司</w:t>
                </w:r>
              </w:p>
            </w:tc>
            <w:tc>
              <w:tcPr>
                <w:tcW w:w="643" w:type="pct"/>
                <w:vAlign w:val="center"/>
              </w:tcPr>
              <w:p w14:paraId="0A147DE1" w14:textId="77777777" w:rsidR="007E7472" w:rsidRDefault="00EC1269">
                <w:pPr>
                  <w:jc w:val="center"/>
                </w:pPr>
                <w:r>
                  <w:t>山东济宁</w:t>
                </w:r>
              </w:p>
            </w:tc>
            <w:tc>
              <w:tcPr>
                <w:tcW w:w="632" w:type="pct"/>
                <w:vAlign w:val="center"/>
              </w:tcPr>
              <w:p w14:paraId="4F2DE765" w14:textId="77777777" w:rsidR="007E7472" w:rsidRDefault="00EC1269">
                <w:pPr>
                  <w:jc w:val="center"/>
                </w:pPr>
                <w:r>
                  <w:t>山东济宁</w:t>
                </w:r>
              </w:p>
            </w:tc>
            <w:tc>
              <w:tcPr>
                <w:tcW w:w="719" w:type="pct"/>
                <w:vAlign w:val="center"/>
              </w:tcPr>
              <w:p w14:paraId="2F12F28C" w14:textId="77777777" w:rsidR="007E7472" w:rsidRDefault="00EC1269">
                <w:r>
                  <w:t>矿业工程</w:t>
                </w:r>
              </w:p>
            </w:tc>
            <w:tc>
              <w:tcPr>
                <w:tcW w:w="711" w:type="pct"/>
                <w:vAlign w:val="center"/>
              </w:tcPr>
              <w:p w14:paraId="04EFAB12" w14:textId="77777777" w:rsidR="007E7472" w:rsidRDefault="00EC1269">
                <w:pPr>
                  <w:jc w:val="right"/>
                </w:pPr>
                <w:r>
                  <w:t>100</w:t>
                </w:r>
              </w:p>
            </w:tc>
            <w:tc>
              <w:tcPr>
                <w:tcW w:w="711" w:type="pct"/>
                <w:vAlign w:val="center"/>
              </w:tcPr>
              <w:p w14:paraId="79828C94" w14:textId="77777777" w:rsidR="007E7472" w:rsidRDefault="00C8327E">
                <w:pPr>
                  <w:jc w:val="right"/>
                </w:pPr>
              </w:p>
            </w:tc>
            <w:tc>
              <w:tcPr>
                <w:tcW w:w="783" w:type="pct"/>
                <w:vAlign w:val="center"/>
              </w:tcPr>
              <w:p w14:paraId="20580F11" w14:textId="77777777" w:rsidR="007E7472" w:rsidRDefault="00EC1269">
                <w:pPr>
                  <w:jc w:val="right"/>
                </w:pPr>
                <w:r>
                  <w:t>投资设立</w:t>
                </w:r>
              </w:p>
            </w:tc>
          </w:tr>
          <w:tr w:rsidR="007E7472" w14:paraId="73972934" w14:textId="77777777">
            <w:tc>
              <w:tcPr>
                <w:tcW w:w="800" w:type="pct"/>
                <w:vAlign w:val="center"/>
              </w:tcPr>
              <w:p w14:paraId="4D0F7907" w14:textId="77777777" w:rsidR="007E7472" w:rsidRDefault="00EC1269">
                <w:r>
                  <w:rPr>
                    <w:rFonts w:hint="eastAsia"/>
                  </w:rPr>
                  <w:t>兖煤蓝天清洁能源有限公司</w:t>
                </w:r>
              </w:p>
            </w:tc>
            <w:tc>
              <w:tcPr>
                <w:tcW w:w="643" w:type="pct"/>
                <w:vAlign w:val="center"/>
              </w:tcPr>
              <w:p w14:paraId="65A2E545" w14:textId="77777777" w:rsidR="007E7472" w:rsidRDefault="00EC1269">
                <w:pPr>
                  <w:jc w:val="center"/>
                </w:pPr>
                <w:r>
                  <w:t>山东邹城</w:t>
                </w:r>
              </w:p>
            </w:tc>
            <w:tc>
              <w:tcPr>
                <w:tcW w:w="632" w:type="pct"/>
                <w:vAlign w:val="center"/>
              </w:tcPr>
              <w:p w14:paraId="35427F34" w14:textId="77777777" w:rsidR="007E7472" w:rsidRDefault="00EC1269">
                <w:pPr>
                  <w:jc w:val="center"/>
                </w:pPr>
                <w:r>
                  <w:t>山东邹城</w:t>
                </w:r>
              </w:p>
            </w:tc>
            <w:tc>
              <w:tcPr>
                <w:tcW w:w="719" w:type="pct"/>
                <w:vAlign w:val="center"/>
              </w:tcPr>
              <w:p w14:paraId="5316C063" w14:textId="77777777" w:rsidR="007E7472" w:rsidRDefault="00EC1269">
                <w:r>
                  <w:t>洁净型煤生产、销售</w:t>
                </w:r>
              </w:p>
            </w:tc>
            <w:tc>
              <w:tcPr>
                <w:tcW w:w="711" w:type="pct"/>
                <w:vAlign w:val="center"/>
              </w:tcPr>
              <w:p w14:paraId="2ADF6F48" w14:textId="77777777" w:rsidR="007E7472" w:rsidRDefault="00EC1269">
                <w:pPr>
                  <w:jc w:val="right"/>
                </w:pPr>
                <w:r>
                  <w:t>100</w:t>
                </w:r>
              </w:p>
            </w:tc>
            <w:tc>
              <w:tcPr>
                <w:tcW w:w="711" w:type="pct"/>
                <w:vAlign w:val="center"/>
              </w:tcPr>
              <w:p w14:paraId="58BCE469" w14:textId="77777777" w:rsidR="007E7472" w:rsidRDefault="00C8327E">
                <w:pPr>
                  <w:jc w:val="right"/>
                </w:pPr>
              </w:p>
            </w:tc>
            <w:tc>
              <w:tcPr>
                <w:tcW w:w="783" w:type="pct"/>
                <w:vAlign w:val="center"/>
              </w:tcPr>
              <w:p w14:paraId="61938661" w14:textId="77777777" w:rsidR="007E7472" w:rsidRDefault="00EC1269">
                <w:pPr>
                  <w:jc w:val="right"/>
                </w:pPr>
                <w:r>
                  <w:t>投资设立</w:t>
                </w:r>
              </w:p>
            </w:tc>
          </w:tr>
          <w:tr w:rsidR="007E7472" w14:paraId="24841BA5" w14:textId="77777777">
            <w:tc>
              <w:tcPr>
                <w:tcW w:w="800" w:type="pct"/>
                <w:vAlign w:val="center"/>
              </w:tcPr>
              <w:p w14:paraId="0914944C" w14:textId="77777777" w:rsidR="007E7472" w:rsidRDefault="00EC1269">
                <w:r>
                  <w:rPr>
                    <w:rFonts w:hint="eastAsia"/>
                  </w:rPr>
                  <w:t>兖矿集团财务有限公司</w:t>
                </w:r>
              </w:p>
            </w:tc>
            <w:tc>
              <w:tcPr>
                <w:tcW w:w="643" w:type="pct"/>
                <w:vAlign w:val="center"/>
              </w:tcPr>
              <w:p w14:paraId="7589EA5E" w14:textId="77777777" w:rsidR="007E7472" w:rsidRDefault="00EC1269">
                <w:pPr>
                  <w:jc w:val="center"/>
                </w:pPr>
                <w:r>
                  <w:t>山东邹城</w:t>
                </w:r>
              </w:p>
            </w:tc>
            <w:tc>
              <w:tcPr>
                <w:tcW w:w="632" w:type="pct"/>
                <w:vAlign w:val="center"/>
              </w:tcPr>
              <w:p w14:paraId="46F11248" w14:textId="77777777" w:rsidR="007E7472" w:rsidRDefault="00EC1269">
                <w:pPr>
                  <w:jc w:val="center"/>
                </w:pPr>
                <w:r>
                  <w:t>山东邹城</w:t>
                </w:r>
              </w:p>
            </w:tc>
            <w:tc>
              <w:tcPr>
                <w:tcW w:w="719" w:type="pct"/>
                <w:vAlign w:val="center"/>
              </w:tcPr>
              <w:p w14:paraId="295730FE" w14:textId="77777777" w:rsidR="007E7472" w:rsidRDefault="00EC1269">
                <w:r>
                  <w:t>存贷款业务</w:t>
                </w:r>
              </w:p>
            </w:tc>
            <w:tc>
              <w:tcPr>
                <w:tcW w:w="711" w:type="pct"/>
                <w:vAlign w:val="center"/>
              </w:tcPr>
              <w:p w14:paraId="10FF5C24" w14:textId="77777777" w:rsidR="007E7472" w:rsidRDefault="00EC1269">
                <w:pPr>
                  <w:jc w:val="right"/>
                </w:pPr>
                <w:r>
                  <w:t>95</w:t>
                </w:r>
              </w:p>
            </w:tc>
            <w:tc>
              <w:tcPr>
                <w:tcW w:w="711" w:type="pct"/>
                <w:vAlign w:val="center"/>
              </w:tcPr>
              <w:p w14:paraId="2F7E78B7" w14:textId="77777777" w:rsidR="007E7472" w:rsidRDefault="00C8327E">
                <w:pPr>
                  <w:jc w:val="right"/>
                </w:pPr>
              </w:p>
            </w:tc>
            <w:tc>
              <w:tcPr>
                <w:tcW w:w="783" w:type="pct"/>
                <w:vAlign w:val="center"/>
              </w:tcPr>
              <w:p w14:paraId="21E9E1B2" w14:textId="77777777" w:rsidR="007E7472" w:rsidRDefault="00EC1269">
                <w:pPr>
                  <w:jc w:val="right"/>
                </w:pPr>
                <w:r>
                  <w:t>同一控制下企业合并</w:t>
                </w:r>
              </w:p>
            </w:tc>
          </w:tr>
          <w:tr w:rsidR="007E7472" w14:paraId="3C5FC704" w14:textId="77777777">
            <w:tc>
              <w:tcPr>
                <w:tcW w:w="800" w:type="pct"/>
                <w:vAlign w:val="center"/>
              </w:tcPr>
              <w:p w14:paraId="7B254255" w14:textId="77777777" w:rsidR="007E7472" w:rsidRDefault="00EC1269">
                <w:r>
                  <w:rPr>
                    <w:rFonts w:hint="eastAsia"/>
                  </w:rPr>
                  <w:t>兖矿能源（无锡）有限公司</w:t>
                </w:r>
              </w:p>
            </w:tc>
            <w:tc>
              <w:tcPr>
                <w:tcW w:w="643" w:type="pct"/>
                <w:vAlign w:val="center"/>
              </w:tcPr>
              <w:p w14:paraId="5F6EBC53" w14:textId="77777777" w:rsidR="007E7472" w:rsidRDefault="00EC1269">
                <w:pPr>
                  <w:jc w:val="center"/>
                </w:pPr>
                <w:r>
                  <w:t>江苏无锡</w:t>
                </w:r>
              </w:p>
            </w:tc>
            <w:tc>
              <w:tcPr>
                <w:tcW w:w="632" w:type="pct"/>
                <w:vAlign w:val="center"/>
              </w:tcPr>
              <w:p w14:paraId="363BA953" w14:textId="77777777" w:rsidR="007E7472" w:rsidRDefault="00EC1269">
                <w:pPr>
                  <w:jc w:val="center"/>
                </w:pPr>
                <w:r>
                  <w:t>江苏无锡</w:t>
                </w:r>
              </w:p>
            </w:tc>
            <w:tc>
              <w:tcPr>
                <w:tcW w:w="719" w:type="pct"/>
                <w:vAlign w:val="center"/>
              </w:tcPr>
              <w:p w14:paraId="29DBA195" w14:textId="77777777" w:rsidR="007E7472" w:rsidRDefault="00EC1269">
                <w:r>
                  <w:t>煤炭批发、房地产开发经营等</w:t>
                </w:r>
              </w:p>
            </w:tc>
            <w:tc>
              <w:tcPr>
                <w:tcW w:w="711" w:type="pct"/>
                <w:vAlign w:val="center"/>
              </w:tcPr>
              <w:p w14:paraId="69D28F18" w14:textId="77777777" w:rsidR="007E7472" w:rsidRDefault="00EC1269">
                <w:pPr>
                  <w:jc w:val="right"/>
                </w:pPr>
                <w:r>
                  <w:t>100</w:t>
                </w:r>
              </w:p>
            </w:tc>
            <w:tc>
              <w:tcPr>
                <w:tcW w:w="711" w:type="pct"/>
                <w:vAlign w:val="center"/>
              </w:tcPr>
              <w:p w14:paraId="4DC86DE0" w14:textId="77777777" w:rsidR="007E7472" w:rsidRDefault="00C8327E">
                <w:pPr>
                  <w:jc w:val="right"/>
                </w:pPr>
              </w:p>
            </w:tc>
            <w:tc>
              <w:tcPr>
                <w:tcW w:w="783" w:type="pct"/>
                <w:vAlign w:val="center"/>
              </w:tcPr>
              <w:p w14:paraId="1D2C0245" w14:textId="77777777" w:rsidR="007E7472" w:rsidRDefault="00EC1269">
                <w:pPr>
                  <w:jc w:val="right"/>
                </w:pPr>
                <w:r>
                  <w:t>非同一控制下企业合并</w:t>
                </w:r>
              </w:p>
            </w:tc>
          </w:tr>
          <w:tr w:rsidR="007E7472" w14:paraId="75EB756B" w14:textId="77777777">
            <w:tc>
              <w:tcPr>
                <w:tcW w:w="800" w:type="pct"/>
                <w:vAlign w:val="center"/>
              </w:tcPr>
              <w:p w14:paraId="4162B5E7" w14:textId="77777777" w:rsidR="007E7472" w:rsidRDefault="00EC1269">
                <w:r>
                  <w:rPr>
                    <w:rFonts w:hint="eastAsia"/>
                  </w:rPr>
                  <w:t>上海巨匠资产管理有限公司</w:t>
                </w:r>
              </w:p>
            </w:tc>
            <w:tc>
              <w:tcPr>
                <w:tcW w:w="643" w:type="pct"/>
                <w:vAlign w:val="center"/>
              </w:tcPr>
              <w:p w14:paraId="02E92368" w14:textId="77777777" w:rsidR="007E7472" w:rsidRDefault="00EC1269">
                <w:pPr>
                  <w:jc w:val="center"/>
                </w:pPr>
                <w:r>
                  <w:t>上海</w:t>
                </w:r>
              </w:p>
            </w:tc>
            <w:tc>
              <w:tcPr>
                <w:tcW w:w="632" w:type="pct"/>
                <w:vAlign w:val="center"/>
              </w:tcPr>
              <w:p w14:paraId="45000102" w14:textId="77777777" w:rsidR="007E7472" w:rsidRDefault="00EC1269">
                <w:pPr>
                  <w:jc w:val="center"/>
                </w:pPr>
                <w:r>
                  <w:t>上海</w:t>
                </w:r>
              </w:p>
            </w:tc>
            <w:tc>
              <w:tcPr>
                <w:tcW w:w="719" w:type="pct"/>
                <w:vAlign w:val="center"/>
              </w:tcPr>
              <w:p w14:paraId="2C33745C" w14:textId="77777777" w:rsidR="007E7472" w:rsidRDefault="00EC1269">
                <w:r>
                  <w:t>资产投资管理</w:t>
                </w:r>
              </w:p>
            </w:tc>
            <w:tc>
              <w:tcPr>
                <w:tcW w:w="711" w:type="pct"/>
                <w:vAlign w:val="center"/>
              </w:tcPr>
              <w:p w14:paraId="4D03B49A" w14:textId="77777777" w:rsidR="007E7472" w:rsidRDefault="00EC1269">
                <w:pPr>
                  <w:jc w:val="right"/>
                </w:pPr>
                <w:r>
                  <w:t>100</w:t>
                </w:r>
              </w:p>
            </w:tc>
            <w:tc>
              <w:tcPr>
                <w:tcW w:w="711" w:type="pct"/>
                <w:vAlign w:val="center"/>
              </w:tcPr>
              <w:p w14:paraId="22346737" w14:textId="77777777" w:rsidR="007E7472" w:rsidRDefault="00C8327E">
                <w:pPr>
                  <w:jc w:val="right"/>
                </w:pPr>
              </w:p>
            </w:tc>
            <w:tc>
              <w:tcPr>
                <w:tcW w:w="783" w:type="pct"/>
                <w:vAlign w:val="center"/>
              </w:tcPr>
              <w:p w14:paraId="4F6878B4" w14:textId="77777777" w:rsidR="007E7472" w:rsidRDefault="00EC1269">
                <w:pPr>
                  <w:jc w:val="right"/>
                </w:pPr>
                <w:r>
                  <w:t>投资设立</w:t>
                </w:r>
              </w:p>
            </w:tc>
          </w:tr>
          <w:tr w:rsidR="007E7472" w14:paraId="1E27905D" w14:textId="77777777">
            <w:tc>
              <w:tcPr>
                <w:tcW w:w="800" w:type="pct"/>
                <w:vAlign w:val="center"/>
              </w:tcPr>
              <w:p w14:paraId="65047684" w14:textId="77777777" w:rsidR="007E7472" w:rsidRDefault="00EC1269">
                <w:r>
                  <w:rPr>
                    <w:rFonts w:hint="eastAsia"/>
                  </w:rPr>
                  <w:t>青岛端信资产管理有限公司</w:t>
                </w:r>
              </w:p>
            </w:tc>
            <w:tc>
              <w:tcPr>
                <w:tcW w:w="643" w:type="pct"/>
                <w:vAlign w:val="center"/>
              </w:tcPr>
              <w:p w14:paraId="77438E7A" w14:textId="77777777" w:rsidR="007E7472" w:rsidRDefault="00EC1269">
                <w:pPr>
                  <w:jc w:val="center"/>
                </w:pPr>
                <w:r>
                  <w:t>山东青岛</w:t>
                </w:r>
              </w:p>
            </w:tc>
            <w:tc>
              <w:tcPr>
                <w:tcW w:w="632" w:type="pct"/>
                <w:vAlign w:val="center"/>
              </w:tcPr>
              <w:p w14:paraId="75BDC711" w14:textId="77777777" w:rsidR="007E7472" w:rsidRDefault="00EC1269">
                <w:pPr>
                  <w:jc w:val="center"/>
                </w:pPr>
                <w:r>
                  <w:t>山东青岛</w:t>
                </w:r>
              </w:p>
            </w:tc>
            <w:tc>
              <w:tcPr>
                <w:tcW w:w="719" w:type="pct"/>
                <w:vAlign w:val="center"/>
              </w:tcPr>
              <w:p w14:paraId="0C8AD4FC" w14:textId="77777777" w:rsidR="007E7472" w:rsidRDefault="00EC1269">
                <w:r>
                  <w:t>受托管理股权投资基金</w:t>
                </w:r>
              </w:p>
            </w:tc>
            <w:tc>
              <w:tcPr>
                <w:tcW w:w="711" w:type="pct"/>
                <w:vAlign w:val="center"/>
              </w:tcPr>
              <w:p w14:paraId="45197A20" w14:textId="77777777" w:rsidR="007E7472" w:rsidRDefault="00EC1269">
                <w:pPr>
                  <w:jc w:val="right"/>
                </w:pPr>
                <w:r>
                  <w:t>100</w:t>
                </w:r>
              </w:p>
            </w:tc>
            <w:tc>
              <w:tcPr>
                <w:tcW w:w="711" w:type="pct"/>
                <w:vAlign w:val="center"/>
              </w:tcPr>
              <w:p w14:paraId="7D6EE866" w14:textId="77777777" w:rsidR="007E7472" w:rsidRDefault="00C8327E">
                <w:pPr>
                  <w:jc w:val="right"/>
                </w:pPr>
              </w:p>
            </w:tc>
            <w:tc>
              <w:tcPr>
                <w:tcW w:w="783" w:type="pct"/>
                <w:vAlign w:val="center"/>
              </w:tcPr>
              <w:p w14:paraId="22D69BE6" w14:textId="77777777" w:rsidR="007E7472" w:rsidRDefault="00EC1269">
                <w:pPr>
                  <w:jc w:val="right"/>
                </w:pPr>
                <w:r>
                  <w:t>投资设立</w:t>
                </w:r>
              </w:p>
            </w:tc>
          </w:tr>
          <w:tr w:rsidR="007E7472" w14:paraId="3D27061E" w14:textId="77777777">
            <w:tc>
              <w:tcPr>
                <w:tcW w:w="800" w:type="pct"/>
                <w:vAlign w:val="center"/>
              </w:tcPr>
              <w:p w14:paraId="6ED9F009" w14:textId="77777777" w:rsidR="007E7472" w:rsidRDefault="00EC1269">
                <w:r>
                  <w:rPr>
                    <w:rFonts w:hint="eastAsia"/>
                  </w:rPr>
                  <w:t>青岛东方盛隆实业有限公司</w:t>
                </w:r>
              </w:p>
            </w:tc>
            <w:tc>
              <w:tcPr>
                <w:tcW w:w="643" w:type="pct"/>
                <w:vAlign w:val="center"/>
              </w:tcPr>
              <w:p w14:paraId="39DA8893" w14:textId="77777777" w:rsidR="007E7472" w:rsidRDefault="00EC1269">
                <w:pPr>
                  <w:jc w:val="center"/>
                </w:pPr>
                <w:r>
                  <w:t>山东青岛</w:t>
                </w:r>
              </w:p>
            </w:tc>
            <w:tc>
              <w:tcPr>
                <w:tcW w:w="632" w:type="pct"/>
                <w:vAlign w:val="center"/>
              </w:tcPr>
              <w:p w14:paraId="0FB63A42" w14:textId="77777777" w:rsidR="007E7472" w:rsidRDefault="00EC1269">
                <w:pPr>
                  <w:jc w:val="center"/>
                </w:pPr>
                <w:r>
                  <w:t>山东青岛</w:t>
                </w:r>
              </w:p>
            </w:tc>
            <w:tc>
              <w:tcPr>
                <w:tcW w:w="719" w:type="pct"/>
                <w:vAlign w:val="center"/>
              </w:tcPr>
              <w:p w14:paraId="5CE5BB0F" w14:textId="77777777" w:rsidR="007E7472" w:rsidRDefault="00EC1269">
                <w:r>
                  <w:t>煤炭批发经营，房屋租赁</w:t>
                </w:r>
              </w:p>
            </w:tc>
            <w:tc>
              <w:tcPr>
                <w:tcW w:w="711" w:type="pct"/>
                <w:vAlign w:val="center"/>
              </w:tcPr>
              <w:p w14:paraId="74461A6B" w14:textId="77777777" w:rsidR="007E7472" w:rsidRDefault="00C8327E">
                <w:pPr>
                  <w:jc w:val="right"/>
                </w:pPr>
              </w:p>
            </w:tc>
            <w:tc>
              <w:tcPr>
                <w:tcW w:w="711" w:type="pct"/>
                <w:vAlign w:val="center"/>
              </w:tcPr>
              <w:p w14:paraId="40707142" w14:textId="77777777" w:rsidR="007E7472" w:rsidRDefault="00EC1269">
                <w:pPr>
                  <w:jc w:val="right"/>
                </w:pPr>
                <w:r>
                  <w:t>100</w:t>
                </w:r>
              </w:p>
            </w:tc>
            <w:tc>
              <w:tcPr>
                <w:tcW w:w="783" w:type="pct"/>
                <w:vAlign w:val="center"/>
              </w:tcPr>
              <w:p w14:paraId="34B5CA84" w14:textId="77777777" w:rsidR="007E7472" w:rsidRDefault="00EC1269">
                <w:pPr>
                  <w:jc w:val="right"/>
                </w:pPr>
                <w:r>
                  <w:t>同一控制下企业合并</w:t>
                </w:r>
              </w:p>
            </w:tc>
          </w:tr>
          <w:tr w:rsidR="007E7472" w14:paraId="16E0ACB8" w14:textId="77777777">
            <w:tc>
              <w:tcPr>
                <w:tcW w:w="800" w:type="pct"/>
                <w:vAlign w:val="center"/>
              </w:tcPr>
              <w:p w14:paraId="1D227069" w14:textId="77777777" w:rsidR="007E7472" w:rsidRDefault="00EC1269">
                <w:r>
                  <w:rPr>
                    <w:rFonts w:hint="eastAsia"/>
                  </w:rPr>
                  <w:t>兖矿智慧生态有限责任公司</w:t>
                </w:r>
              </w:p>
            </w:tc>
            <w:tc>
              <w:tcPr>
                <w:tcW w:w="643" w:type="pct"/>
                <w:vAlign w:val="center"/>
              </w:tcPr>
              <w:p w14:paraId="4D3F38DF" w14:textId="77777777" w:rsidR="007E7472" w:rsidRDefault="00EC1269">
                <w:pPr>
                  <w:jc w:val="center"/>
                </w:pPr>
                <w:r>
                  <w:t>山东邹城</w:t>
                </w:r>
              </w:p>
            </w:tc>
            <w:tc>
              <w:tcPr>
                <w:tcW w:w="632" w:type="pct"/>
                <w:vAlign w:val="center"/>
              </w:tcPr>
              <w:p w14:paraId="0D759CDB" w14:textId="77777777" w:rsidR="007E7472" w:rsidRDefault="00EC1269">
                <w:pPr>
                  <w:jc w:val="center"/>
                </w:pPr>
                <w:r>
                  <w:t>山东邹城</w:t>
                </w:r>
              </w:p>
            </w:tc>
            <w:tc>
              <w:tcPr>
                <w:tcW w:w="719" w:type="pct"/>
                <w:vAlign w:val="center"/>
              </w:tcPr>
              <w:p w14:paraId="740F28DD" w14:textId="77777777" w:rsidR="007E7472" w:rsidRDefault="00EC1269">
                <w:r>
                  <w:t>环境污染治理、生态修复</w:t>
                </w:r>
              </w:p>
            </w:tc>
            <w:tc>
              <w:tcPr>
                <w:tcW w:w="711" w:type="pct"/>
                <w:vAlign w:val="center"/>
              </w:tcPr>
              <w:p w14:paraId="049FA60B" w14:textId="77777777" w:rsidR="007E7472" w:rsidRDefault="00EC1269">
                <w:pPr>
                  <w:jc w:val="right"/>
                </w:pPr>
                <w:r>
                  <w:t>100</w:t>
                </w:r>
              </w:p>
            </w:tc>
            <w:tc>
              <w:tcPr>
                <w:tcW w:w="711" w:type="pct"/>
                <w:vAlign w:val="center"/>
              </w:tcPr>
              <w:p w14:paraId="7BB19BEE" w14:textId="77777777" w:rsidR="007E7472" w:rsidRDefault="00C8327E">
                <w:pPr>
                  <w:jc w:val="right"/>
                </w:pPr>
              </w:p>
            </w:tc>
            <w:tc>
              <w:tcPr>
                <w:tcW w:w="783" w:type="pct"/>
                <w:vAlign w:val="center"/>
              </w:tcPr>
              <w:p w14:paraId="67B7F28B" w14:textId="77777777" w:rsidR="007E7472" w:rsidRDefault="00EC1269">
                <w:pPr>
                  <w:jc w:val="right"/>
                </w:pPr>
                <w:r>
                  <w:t>投资设立</w:t>
                </w:r>
              </w:p>
            </w:tc>
          </w:tr>
          <w:tr w:rsidR="007E7472" w14:paraId="70FA1F4C" w14:textId="77777777">
            <w:tc>
              <w:tcPr>
                <w:tcW w:w="800" w:type="pct"/>
                <w:vAlign w:val="center"/>
              </w:tcPr>
              <w:p w14:paraId="444EC9BD" w14:textId="77777777" w:rsidR="007E7472" w:rsidRDefault="00EC1269">
                <w:r>
                  <w:rPr>
                    <w:rFonts w:hint="eastAsia"/>
                  </w:rPr>
                  <w:t>内蒙古矿业（集团）有限责任公司</w:t>
                </w:r>
              </w:p>
            </w:tc>
            <w:tc>
              <w:tcPr>
                <w:tcW w:w="643" w:type="pct"/>
                <w:vAlign w:val="center"/>
              </w:tcPr>
              <w:p w14:paraId="1D9E28A9" w14:textId="77777777" w:rsidR="007E7472" w:rsidRDefault="00EC1269">
                <w:pPr>
                  <w:jc w:val="center"/>
                </w:pPr>
                <w:r>
                  <w:t>呼和浩特</w:t>
                </w:r>
              </w:p>
            </w:tc>
            <w:tc>
              <w:tcPr>
                <w:tcW w:w="632" w:type="pct"/>
                <w:vAlign w:val="center"/>
              </w:tcPr>
              <w:p w14:paraId="578A9C6E" w14:textId="77777777" w:rsidR="007E7472" w:rsidRDefault="00EC1269">
                <w:pPr>
                  <w:jc w:val="center"/>
                </w:pPr>
                <w:r>
                  <w:t>呼和浩特</w:t>
                </w:r>
              </w:p>
            </w:tc>
            <w:tc>
              <w:tcPr>
                <w:tcW w:w="719" w:type="pct"/>
                <w:vAlign w:val="center"/>
              </w:tcPr>
              <w:p w14:paraId="7BA01B46" w14:textId="77777777" w:rsidR="007E7472" w:rsidRDefault="00EC1269">
                <w:r>
                  <w:t>控股公司</w:t>
                </w:r>
              </w:p>
            </w:tc>
            <w:tc>
              <w:tcPr>
                <w:tcW w:w="711" w:type="pct"/>
                <w:vAlign w:val="center"/>
              </w:tcPr>
              <w:p w14:paraId="48433B2C" w14:textId="77777777" w:rsidR="007E7472" w:rsidRDefault="00EC1269">
                <w:pPr>
                  <w:jc w:val="right"/>
                </w:pPr>
                <w:r>
                  <w:t>51</w:t>
                </w:r>
              </w:p>
            </w:tc>
            <w:tc>
              <w:tcPr>
                <w:tcW w:w="711" w:type="pct"/>
                <w:vAlign w:val="center"/>
              </w:tcPr>
              <w:p w14:paraId="5641F2CE" w14:textId="77777777" w:rsidR="007E7472" w:rsidRDefault="00C8327E">
                <w:pPr>
                  <w:jc w:val="right"/>
                </w:pPr>
              </w:p>
            </w:tc>
            <w:tc>
              <w:tcPr>
                <w:tcW w:w="783" w:type="pct"/>
                <w:vAlign w:val="center"/>
              </w:tcPr>
              <w:p w14:paraId="3B0CB149" w14:textId="77777777" w:rsidR="007E7472" w:rsidRDefault="00EC1269">
                <w:pPr>
                  <w:jc w:val="right"/>
                </w:pPr>
                <w:r>
                  <w:t>非同一控制下企业合并</w:t>
                </w:r>
              </w:p>
            </w:tc>
          </w:tr>
          <w:tr w:rsidR="007E7472" w14:paraId="587C3BDA" w14:textId="77777777">
            <w:tc>
              <w:tcPr>
                <w:tcW w:w="800" w:type="pct"/>
                <w:vAlign w:val="center"/>
              </w:tcPr>
              <w:p w14:paraId="468FA863" w14:textId="77777777" w:rsidR="007E7472" w:rsidRDefault="00EC1269">
                <w:r>
                  <w:rPr>
                    <w:rFonts w:hint="eastAsia"/>
                  </w:rPr>
                  <w:t>乌兰察布市宏大实业有限公司</w:t>
                </w:r>
              </w:p>
            </w:tc>
            <w:tc>
              <w:tcPr>
                <w:tcW w:w="643" w:type="pct"/>
                <w:vAlign w:val="center"/>
              </w:tcPr>
              <w:p w14:paraId="103BA886" w14:textId="77777777" w:rsidR="007E7472" w:rsidRDefault="00EC1269">
                <w:pPr>
                  <w:jc w:val="center"/>
                </w:pPr>
                <w:r>
                  <w:t>乌兰察布</w:t>
                </w:r>
              </w:p>
            </w:tc>
            <w:tc>
              <w:tcPr>
                <w:tcW w:w="632" w:type="pct"/>
                <w:vAlign w:val="center"/>
              </w:tcPr>
              <w:p w14:paraId="5BBCC5E4" w14:textId="77777777" w:rsidR="007E7472" w:rsidRDefault="00EC1269">
                <w:pPr>
                  <w:jc w:val="center"/>
                </w:pPr>
                <w:r>
                  <w:t>乌兰察布</w:t>
                </w:r>
              </w:p>
            </w:tc>
            <w:tc>
              <w:tcPr>
                <w:tcW w:w="719" w:type="pct"/>
                <w:vAlign w:val="center"/>
              </w:tcPr>
              <w:p w14:paraId="740091EB" w14:textId="77777777" w:rsidR="007E7472" w:rsidRDefault="00EC1269">
                <w:r>
                  <w:t>运营电力</w:t>
                </w:r>
              </w:p>
            </w:tc>
            <w:tc>
              <w:tcPr>
                <w:tcW w:w="711" w:type="pct"/>
                <w:vAlign w:val="center"/>
              </w:tcPr>
              <w:p w14:paraId="54EAD942" w14:textId="77777777" w:rsidR="007E7472" w:rsidRDefault="00C8327E">
                <w:pPr>
                  <w:jc w:val="right"/>
                </w:pPr>
              </w:p>
            </w:tc>
            <w:tc>
              <w:tcPr>
                <w:tcW w:w="711" w:type="pct"/>
                <w:vAlign w:val="center"/>
              </w:tcPr>
              <w:p w14:paraId="509DA09A" w14:textId="77777777" w:rsidR="007E7472" w:rsidRDefault="00EC1269">
                <w:pPr>
                  <w:jc w:val="right"/>
                </w:pPr>
                <w:r>
                  <w:t>100</w:t>
                </w:r>
              </w:p>
            </w:tc>
            <w:tc>
              <w:tcPr>
                <w:tcW w:w="783" w:type="pct"/>
                <w:vAlign w:val="center"/>
              </w:tcPr>
              <w:p w14:paraId="4A2715CD" w14:textId="77777777" w:rsidR="007E7472" w:rsidRDefault="00EC1269">
                <w:pPr>
                  <w:jc w:val="right"/>
                </w:pPr>
                <w:r>
                  <w:t>非同一控制下企业合并</w:t>
                </w:r>
              </w:p>
            </w:tc>
          </w:tr>
          <w:tr w:rsidR="007E7472" w14:paraId="4CE56D4C" w14:textId="77777777">
            <w:tc>
              <w:tcPr>
                <w:tcW w:w="800" w:type="pct"/>
                <w:vAlign w:val="center"/>
              </w:tcPr>
              <w:p w14:paraId="311106FE" w14:textId="77777777" w:rsidR="007E7472" w:rsidRDefault="00EC1269">
                <w:r>
                  <w:rPr>
                    <w:rFonts w:hint="eastAsia"/>
                  </w:rPr>
                  <w:t>鄂尔多斯市锋威光电有限公司</w:t>
                </w:r>
              </w:p>
            </w:tc>
            <w:tc>
              <w:tcPr>
                <w:tcW w:w="643" w:type="pct"/>
                <w:vAlign w:val="center"/>
              </w:tcPr>
              <w:p w14:paraId="75460E38" w14:textId="77777777" w:rsidR="007E7472" w:rsidRDefault="00EC1269">
                <w:pPr>
                  <w:jc w:val="center"/>
                </w:pPr>
                <w:r>
                  <w:t>鄂尔多斯</w:t>
                </w:r>
              </w:p>
            </w:tc>
            <w:tc>
              <w:tcPr>
                <w:tcW w:w="632" w:type="pct"/>
                <w:vAlign w:val="center"/>
              </w:tcPr>
              <w:p w14:paraId="1B9C7348" w14:textId="77777777" w:rsidR="007E7472" w:rsidRDefault="00EC1269">
                <w:pPr>
                  <w:jc w:val="center"/>
                </w:pPr>
                <w:r>
                  <w:t>鄂尔多斯</w:t>
                </w:r>
              </w:p>
            </w:tc>
            <w:tc>
              <w:tcPr>
                <w:tcW w:w="719" w:type="pct"/>
                <w:vAlign w:val="center"/>
              </w:tcPr>
              <w:p w14:paraId="5BFF4B39" w14:textId="77777777" w:rsidR="007E7472" w:rsidRDefault="00EC1269">
                <w:r>
                  <w:t>太阳能、风能发电项目建设及生产运营</w:t>
                </w:r>
              </w:p>
            </w:tc>
            <w:tc>
              <w:tcPr>
                <w:tcW w:w="711" w:type="pct"/>
                <w:vAlign w:val="center"/>
              </w:tcPr>
              <w:p w14:paraId="6BF5C124" w14:textId="77777777" w:rsidR="007E7472" w:rsidRDefault="00C8327E">
                <w:pPr>
                  <w:jc w:val="right"/>
                </w:pPr>
              </w:p>
            </w:tc>
            <w:tc>
              <w:tcPr>
                <w:tcW w:w="711" w:type="pct"/>
                <w:vAlign w:val="center"/>
              </w:tcPr>
              <w:p w14:paraId="4DFF7072" w14:textId="77777777" w:rsidR="007E7472" w:rsidRDefault="00EC1269">
                <w:pPr>
                  <w:jc w:val="right"/>
                </w:pPr>
                <w:r>
                  <w:t>100</w:t>
                </w:r>
              </w:p>
            </w:tc>
            <w:tc>
              <w:tcPr>
                <w:tcW w:w="783" w:type="pct"/>
                <w:vAlign w:val="center"/>
              </w:tcPr>
              <w:p w14:paraId="5B89B4AE" w14:textId="77777777" w:rsidR="007E7472" w:rsidRDefault="00EC1269">
                <w:pPr>
                  <w:jc w:val="right"/>
                </w:pPr>
                <w:r>
                  <w:t>非同一控制下企业合并</w:t>
                </w:r>
              </w:p>
            </w:tc>
          </w:tr>
          <w:tr w:rsidR="007E7472" w14:paraId="67FEDF1F" w14:textId="77777777">
            <w:tc>
              <w:tcPr>
                <w:tcW w:w="800" w:type="pct"/>
                <w:vAlign w:val="center"/>
              </w:tcPr>
              <w:p w14:paraId="189EE0A4" w14:textId="77777777" w:rsidR="007E7472" w:rsidRDefault="00EC1269">
                <w:r>
                  <w:rPr>
                    <w:rFonts w:hint="eastAsia"/>
                  </w:rPr>
                  <w:lastRenderedPageBreak/>
                  <w:t>内蒙古矿业资源投资控股有限公司</w:t>
                </w:r>
              </w:p>
            </w:tc>
            <w:tc>
              <w:tcPr>
                <w:tcW w:w="643" w:type="pct"/>
                <w:vAlign w:val="center"/>
              </w:tcPr>
              <w:p w14:paraId="221CB9DD" w14:textId="77777777" w:rsidR="007E7472" w:rsidRDefault="00EC1269">
                <w:pPr>
                  <w:jc w:val="center"/>
                </w:pPr>
                <w:r>
                  <w:t>呼和浩特</w:t>
                </w:r>
              </w:p>
            </w:tc>
            <w:tc>
              <w:tcPr>
                <w:tcW w:w="632" w:type="pct"/>
                <w:vAlign w:val="center"/>
              </w:tcPr>
              <w:p w14:paraId="4313154C" w14:textId="77777777" w:rsidR="007E7472" w:rsidRDefault="00EC1269">
                <w:pPr>
                  <w:jc w:val="center"/>
                </w:pPr>
                <w:r>
                  <w:t>呼和浩特</w:t>
                </w:r>
              </w:p>
            </w:tc>
            <w:tc>
              <w:tcPr>
                <w:tcW w:w="719" w:type="pct"/>
                <w:vAlign w:val="center"/>
              </w:tcPr>
              <w:p w14:paraId="4E24DF6C" w14:textId="77777777" w:rsidR="007E7472" w:rsidRDefault="00EC1269">
                <w:r>
                  <w:t>投资与资产管理</w:t>
                </w:r>
              </w:p>
            </w:tc>
            <w:tc>
              <w:tcPr>
                <w:tcW w:w="711" w:type="pct"/>
                <w:vAlign w:val="center"/>
              </w:tcPr>
              <w:p w14:paraId="779C11C4" w14:textId="77777777" w:rsidR="007E7472" w:rsidRDefault="00C8327E">
                <w:pPr>
                  <w:jc w:val="right"/>
                </w:pPr>
              </w:p>
            </w:tc>
            <w:tc>
              <w:tcPr>
                <w:tcW w:w="711" w:type="pct"/>
                <w:vAlign w:val="center"/>
              </w:tcPr>
              <w:p w14:paraId="39627CBF" w14:textId="77777777" w:rsidR="007E7472" w:rsidRDefault="00EC1269">
                <w:pPr>
                  <w:jc w:val="right"/>
                </w:pPr>
                <w:r>
                  <w:t>100</w:t>
                </w:r>
              </w:p>
            </w:tc>
            <w:tc>
              <w:tcPr>
                <w:tcW w:w="783" w:type="pct"/>
                <w:vAlign w:val="center"/>
              </w:tcPr>
              <w:p w14:paraId="12587EA3" w14:textId="77777777" w:rsidR="007E7472" w:rsidRDefault="00EC1269">
                <w:pPr>
                  <w:jc w:val="right"/>
                </w:pPr>
                <w:r>
                  <w:t>非同一控制下企业合并</w:t>
                </w:r>
              </w:p>
            </w:tc>
          </w:tr>
          <w:tr w:rsidR="007E7472" w14:paraId="6DE19F29" w14:textId="77777777">
            <w:tc>
              <w:tcPr>
                <w:tcW w:w="800" w:type="pct"/>
                <w:vAlign w:val="center"/>
              </w:tcPr>
              <w:p w14:paraId="37C29309" w14:textId="77777777" w:rsidR="007E7472" w:rsidRDefault="00EC1269">
                <w:r>
                  <w:rPr>
                    <w:rFonts w:hint="eastAsia"/>
                  </w:rPr>
                  <w:t>鄂尔多斯市绿能光电有限公司</w:t>
                </w:r>
              </w:p>
            </w:tc>
            <w:tc>
              <w:tcPr>
                <w:tcW w:w="643" w:type="pct"/>
                <w:vAlign w:val="center"/>
              </w:tcPr>
              <w:p w14:paraId="3E8F93E4" w14:textId="77777777" w:rsidR="007E7472" w:rsidRDefault="00EC1269">
                <w:pPr>
                  <w:jc w:val="center"/>
                </w:pPr>
                <w:r>
                  <w:t>鄂尔多斯</w:t>
                </w:r>
              </w:p>
            </w:tc>
            <w:tc>
              <w:tcPr>
                <w:tcW w:w="632" w:type="pct"/>
                <w:vAlign w:val="center"/>
              </w:tcPr>
              <w:p w14:paraId="25296094" w14:textId="77777777" w:rsidR="007E7472" w:rsidRDefault="00EC1269">
                <w:pPr>
                  <w:jc w:val="center"/>
                </w:pPr>
                <w:r>
                  <w:t>鄂尔多斯</w:t>
                </w:r>
              </w:p>
            </w:tc>
            <w:tc>
              <w:tcPr>
                <w:tcW w:w="719" w:type="pct"/>
                <w:vAlign w:val="center"/>
              </w:tcPr>
              <w:p w14:paraId="3F6AE3EF" w14:textId="77777777" w:rsidR="007E7472" w:rsidRDefault="00EC1269">
                <w:r>
                  <w:t>光能、电能设备材料销售</w:t>
                </w:r>
              </w:p>
            </w:tc>
            <w:tc>
              <w:tcPr>
                <w:tcW w:w="711" w:type="pct"/>
                <w:vAlign w:val="center"/>
              </w:tcPr>
              <w:p w14:paraId="02B71D52" w14:textId="77777777" w:rsidR="007E7472" w:rsidRDefault="00C8327E">
                <w:pPr>
                  <w:jc w:val="right"/>
                </w:pPr>
              </w:p>
            </w:tc>
            <w:tc>
              <w:tcPr>
                <w:tcW w:w="711" w:type="pct"/>
                <w:vAlign w:val="center"/>
              </w:tcPr>
              <w:p w14:paraId="45EC8FEE" w14:textId="77777777" w:rsidR="007E7472" w:rsidRDefault="00EC1269">
                <w:pPr>
                  <w:jc w:val="right"/>
                </w:pPr>
                <w:r>
                  <w:t>90.29</w:t>
                </w:r>
              </w:p>
            </w:tc>
            <w:tc>
              <w:tcPr>
                <w:tcW w:w="783" w:type="pct"/>
                <w:vAlign w:val="center"/>
              </w:tcPr>
              <w:p w14:paraId="1F5A7FB2" w14:textId="77777777" w:rsidR="007E7472" w:rsidRDefault="00EC1269">
                <w:pPr>
                  <w:jc w:val="right"/>
                </w:pPr>
                <w:r>
                  <w:t>非同一控制下企业合并</w:t>
                </w:r>
              </w:p>
            </w:tc>
          </w:tr>
          <w:tr w:rsidR="007E7472" w14:paraId="5AC05674" w14:textId="77777777">
            <w:tc>
              <w:tcPr>
                <w:tcW w:w="800" w:type="pct"/>
                <w:vAlign w:val="center"/>
              </w:tcPr>
              <w:p w14:paraId="03A3DD63" w14:textId="77777777" w:rsidR="007E7472" w:rsidRDefault="00EC1269">
                <w:r>
                  <w:rPr>
                    <w:rFonts w:hint="eastAsia"/>
                  </w:rPr>
                  <w:t>鄂尔多斯文化产业园文化教育有限公司</w:t>
                </w:r>
              </w:p>
            </w:tc>
            <w:tc>
              <w:tcPr>
                <w:tcW w:w="643" w:type="pct"/>
                <w:vAlign w:val="center"/>
              </w:tcPr>
              <w:p w14:paraId="4070CB3F" w14:textId="77777777" w:rsidR="007E7472" w:rsidRDefault="00EC1269">
                <w:pPr>
                  <w:jc w:val="center"/>
                </w:pPr>
                <w:r>
                  <w:t>鄂尔多斯</w:t>
                </w:r>
              </w:p>
            </w:tc>
            <w:tc>
              <w:tcPr>
                <w:tcW w:w="632" w:type="pct"/>
                <w:vAlign w:val="center"/>
              </w:tcPr>
              <w:p w14:paraId="42321723" w14:textId="77777777" w:rsidR="007E7472" w:rsidRDefault="00EC1269">
                <w:pPr>
                  <w:jc w:val="center"/>
                </w:pPr>
                <w:r>
                  <w:t>鄂尔多斯</w:t>
                </w:r>
              </w:p>
            </w:tc>
            <w:tc>
              <w:tcPr>
                <w:tcW w:w="719" w:type="pct"/>
                <w:vAlign w:val="center"/>
              </w:tcPr>
              <w:p w14:paraId="16AE7F18" w14:textId="77777777" w:rsidR="007E7472" w:rsidRDefault="00EC1269">
                <w:r>
                  <w:t>教育软件研发、活动策划</w:t>
                </w:r>
              </w:p>
            </w:tc>
            <w:tc>
              <w:tcPr>
                <w:tcW w:w="711" w:type="pct"/>
                <w:vAlign w:val="center"/>
              </w:tcPr>
              <w:p w14:paraId="3F4E8C58" w14:textId="77777777" w:rsidR="007E7472" w:rsidRDefault="00C8327E">
                <w:pPr>
                  <w:jc w:val="right"/>
                </w:pPr>
              </w:p>
            </w:tc>
            <w:tc>
              <w:tcPr>
                <w:tcW w:w="711" w:type="pct"/>
                <w:vAlign w:val="center"/>
              </w:tcPr>
              <w:p w14:paraId="436AD087" w14:textId="77777777" w:rsidR="007E7472" w:rsidRDefault="00EC1269">
                <w:pPr>
                  <w:jc w:val="right"/>
                </w:pPr>
                <w:r>
                  <w:t>63.3</w:t>
                </w:r>
              </w:p>
            </w:tc>
            <w:tc>
              <w:tcPr>
                <w:tcW w:w="783" w:type="pct"/>
                <w:vAlign w:val="center"/>
              </w:tcPr>
              <w:p w14:paraId="73CEAC99" w14:textId="77777777" w:rsidR="007E7472" w:rsidRDefault="00EC1269">
                <w:pPr>
                  <w:jc w:val="right"/>
                </w:pPr>
                <w:r>
                  <w:t>非同一控制下企业合并</w:t>
                </w:r>
              </w:p>
            </w:tc>
          </w:tr>
          <w:tr w:rsidR="007E7472" w14:paraId="23E662CF" w14:textId="77777777">
            <w:tc>
              <w:tcPr>
                <w:tcW w:w="800" w:type="pct"/>
                <w:vAlign w:val="center"/>
              </w:tcPr>
              <w:p w14:paraId="1FC17722" w14:textId="77777777" w:rsidR="007E7472" w:rsidRDefault="00EC1269">
                <w:r>
                  <w:rPr>
                    <w:rFonts w:hint="eastAsia"/>
                  </w:rPr>
                  <w:t>内蒙古金控融资租赁有限公司</w:t>
                </w:r>
              </w:p>
            </w:tc>
            <w:tc>
              <w:tcPr>
                <w:tcW w:w="643" w:type="pct"/>
                <w:vAlign w:val="center"/>
              </w:tcPr>
              <w:p w14:paraId="5C0428C5" w14:textId="77777777" w:rsidR="007E7472" w:rsidRDefault="00EC1269">
                <w:pPr>
                  <w:jc w:val="center"/>
                </w:pPr>
                <w:r>
                  <w:t>呼伦贝尔</w:t>
                </w:r>
              </w:p>
            </w:tc>
            <w:tc>
              <w:tcPr>
                <w:tcW w:w="632" w:type="pct"/>
                <w:vAlign w:val="center"/>
              </w:tcPr>
              <w:p w14:paraId="269CEA1B" w14:textId="77777777" w:rsidR="007E7472" w:rsidRDefault="00EC1269">
                <w:pPr>
                  <w:jc w:val="center"/>
                </w:pPr>
                <w:r>
                  <w:t>呼伦贝尔</w:t>
                </w:r>
              </w:p>
            </w:tc>
            <w:tc>
              <w:tcPr>
                <w:tcW w:w="719" w:type="pct"/>
                <w:vAlign w:val="center"/>
              </w:tcPr>
              <w:p w14:paraId="6CCDCDCC" w14:textId="77777777" w:rsidR="007E7472" w:rsidRDefault="00EC1269">
                <w:r>
                  <w:t>租赁业务</w:t>
                </w:r>
              </w:p>
            </w:tc>
            <w:tc>
              <w:tcPr>
                <w:tcW w:w="711" w:type="pct"/>
                <w:vAlign w:val="center"/>
              </w:tcPr>
              <w:p w14:paraId="2E5CE998" w14:textId="77777777" w:rsidR="007E7472" w:rsidRDefault="00C8327E">
                <w:pPr>
                  <w:jc w:val="right"/>
                </w:pPr>
              </w:p>
            </w:tc>
            <w:tc>
              <w:tcPr>
                <w:tcW w:w="711" w:type="pct"/>
                <w:vAlign w:val="center"/>
              </w:tcPr>
              <w:p w14:paraId="3D7A4802" w14:textId="77777777" w:rsidR="007E7472" w:rsidRDefault="00EC1269">
                <w:pPr>
                  <w:jc w:val="right"/>
                </w:pPr>
                <w:r>
                  <w:t>55</w:t>
                </w:r>
              </w:p>
            </w:tc>
            <w:tc>
              <w:tcPr>
                <w:tcW w:w="783" w:type="pct"/>
                <w:vAlign w:val="center"/>
              </w:tcPr>
              <w:p w14:paraId="17293BC3" w14:textId="77777777" w:rsidR="007E7472" w:rsidRDefault="00EC1269">
                <w:pPr>
                  <w:jc w:val="right"/>
                </w:pPr>
                <w:r>
                  <w:t>非同一控制下企业合并</w:t>
                </w:r>
              </w:p>
            </w:tc>
          </w:tr>
          <w:tr w:rsidR="007E7472" w14:paraId="71694E25" w14:textId="77777777">
            <w:tc>
              <w:tcPr>
                <w:tcW w:w="800" w:type="pct"/>
                <w:vAlign w:val="center"/>
              </w:tcPr>
              <w:p w14:paraId="5869772A" w14:textId="77777777" w:rsidR="007E7472" w:rsidRDefault="00EC1269">
                <w:r>
                  <w:rPr>
                    <w:rFonts w:hint="eastAsia"/>
                  </w:rPr>
                  <w:t>内蒙古伊泰嘎鲁图矿业有限公司</w:t>
                </w:r>
              </w:p>
            </w:tc>
            <w:tc>
              <w:tcPr>
                <w:tcW w:w="643" w:type="pct"/>
                <w:vAlign w:val="center"/>
              </w:tcPr>
              <w:p w14:paraId="610D6989" w14:textId="77777777" w:rsidR="007E7472" w:rsidRDefault="00EC1269">
                <w:pPr>
                  <w:jc w:val="center"/>
                </w:pPr>
                <w:r>
                  <w:t>鄂尔多斯</w:t>
                </w:r>
              </w:p>
            </w:tc>
            <w:tc>
              <w:tcPr>
                <w:tcW w:w="632" w:type="pct"/>
                <w:vAlign w:val="center"/>
              </w:tcPr>
              <w:p w14:paraId="5A96A075" w14:textId="77777777" w:rsidR="007E7472" w:rsidRDefault="00EC1269">
                <w:pPr>
                  <w:jc w:val="center"/>
                </w:pPr>
                <w:r>
                  <w:t>鄂尔多斯</w:t>
                </w:r>
              </w:p>
            </w:tc>
            <w:tc>
              <w:tcPr>
                <w:tcW w:w="719" w:type="pct"/>
                <w:vAlign w:val="center"/>
              </w:tcPr>
              <w:p w14:paraId="5F9693BA" w14:textId="77777777" w:rsidR="007E7472" w:rsidRDefault="00EC1269">
                <w:r>
                  <w:t>煤炭开采和洗选业</w:t>
                </w:r>
              </w:p>
            </w:tc>
            <w:tc>
              <w:tcPr>
                <w:tcW w:w="711" w:type="pct"/>
                <w:vAlign w:val="center"/>
              </w:tcPr>
              <w:p w14:paraId="2EAE1DA3" w14:textId="77777777" w:rsidR="007E7472" w:rsidRDefault="00C8327E">
                <w:pPr>
                  <w:jc w:val="right"/>
                </w:pPr>
              </w:p>
            </w:tc>
            <w:tc>
              <w:tcPr>
                <w:tcW w:w="711" w:type="pct"/>
                <w:vAlign w:val="center"/>
              </w:tcPr>
              <w:p w14:paraId="68B3D299" w14:textId="77777777" w:rsidR="007E7472" w:rsidRDefault="00EC1269">
                <w:pPr>
                  <w:jc w:val="right"/>
                </w:pPr>
                <w:r>
                  <w:t>52.77</w:t>
                </w:r>
              </w:p>
            </w:tc>
            <w:tc>
              <w:tcPr>
                <w:tcW w:w="783" w:type="pct"/>
                <w:vAlign w:val="center"/>
              </w:tcPr>
              <w:p w14:paraId="55A3365C" w14:textId="77777777" w:rsidR="007E7472" w:rsidRDefault="00EC1269">
                <w:pPr>
                  <w:jc w:val="right"/>
                </w:pPr>
                <w:r>
                  <w:t>非同一控制下企业合并</w:t>
                </w:r>
              </w:p>
            </w:tc>
          </w:tr>
          <w:tr w:rsidR="007E7472" w14:paraId="6F718A4C" w14:textId="77777777">
            <w:tc>
              <w:tcPr>
                <w:tcW w:w="800" w:type="pct"/>
                <w:vAlign w:val="center"/>
              </w:tcPr>
              <w:p w14:paraId="6FE7E2C4" w14:textId="77777777" w:rsidR="007E7472" w:rsidRDefault="00EC1269">
                <w:r>
                  <w:rPr>
                    <w:rFonts w:hint="eastAsia"/>
                  </w:rPr>
                  <w:t>鄂尔多斯市营盘壕煤炭有限公司</w:t>
                </w:r>
              </w:p>
            </w:tc>
            <w:tc>
              <w:tcPr>
                <w:tcW w:w="643" w:type="pct"/>
                <w:vAlign w:val="center"/>
              </w:tcPr>
              <w:p w14:paraId="2DF366D3" w14:textId="77777777" w:rsidR="007E7472" w:rsidRDefault="00EC1269">
                <w:pPr>
                  <w:jc w:val="center"/>
                </w:pPr>
                <w:r>
                  <w:t>鄂尔多斯</w:t>
                </w:r>
              </w:p>
            </w:tc>
            <w:tc>
              <w:tcPr>
                <w:tcW w:w="632" w:type="pct"/>
                <w:vAlign w:val="center"/>
              </w:tcPr>
              <w:p w14:paraId="6DBC7C99" w14:textId="77777777" w:rsidR="007E7472" w:rsidRDefault="00EC1269">
                <w:pPr>
                  <w:jc w:val="center"/>
                </w:pPr>
                <w:r>
                  <w:t>鄂尔多斯</w:t>
                </w:r>
              </w:p>
            </w:tc>
            <w:tc>
              <w:tcPr>
                <w:tcW w:w="719" w:type="pct"/>
                <w:vAlign w:val="center"/>
              </w:tcPr>
              <w:p w14:paraId="7304F283" w14:textId="77777777" w:rsidR="007E7472" w:rsidRDefault="00EC1269">
                <w:r>
                  <w:t>煤炭开采及销售</w:t>
                </w:r>
              </w:p>
            </w:tc>
            <w:tc>
              <w:tcPr>
                <w:tcW w:w="711" w:type="pct"/>
                <w:vAlign w:val="center"/>
              </w:tcPr>
              <w:p w14:paraId="1FD89263" w14:textId="77777777" w:rsidR="007E7472" w:rsidRDefault="00C8327E">
                <w:pPr>
                  <w:jc w:val="right"/>
                </w:pPr>
              </w:p>
            </w:tc>
            <w:tc>
              <w:tcPr>
                <w:tcW w:w="711" w:type="pct"/>
                <w:vAlign w:val="center"/>
              </w:tcPr>
              <w:p w14:paraId="5274B11D" w14:textId="77777777" w:rsidR="007E7472" w:rsidRDefault="00EC1269">
                <w:pPr>
                  <w:jc w:val="right"/>
                </w:pPr>
                <w:r>
                  <w:t>71.7</w:t>
                </w:r>
              </w:p>
            </w:tc>
            <w:tc>
              <w:tcPr>
                <w:tcW w:w="783" w:type="pct"/>
                <w:vAlign w:val="center"/>
              </w:tcPr>
              <w:p w14:paraId="61BB7482" w14:textId="77777777" w:rsidR="007E7472" w:rsidRDefault="00EC1269">
                <w:pPr>
                  <w:jc w:val="right"/>
                </w:pPr>
                <w:r>
                  <w:t>同一控制下企业合并</w:t>
                </w:r>
              </w:p>
            </w:tc>
          </w:tr>
          <w:tr w:rsidR="007E7472" w14:paraId="029D424A" w14:textId="77777777">
            <w:tc>
              <w:tcPr>
                <w:tcW w:w="800" w:type="pct"/>
                <w:vAlign w:val="center"/>
              </w:tcPr>
              <w:p w14:paraId="71D3751A" w14:textId="77777777" w:rsidR="007E7472" w:rsidRDefault="00EC1269">
                <w:r>
                  <w:rPr>
                    <w:rFonts w:hint="eastAsia"/>
                  </w:rPr>
                  <w:t>内蒙古博珢泰煤炭有限公司</w:t>
                </w:r>
              </w:p>
            </w:tc>
            <w:tc>
              <w:tcPr>
                <w:tcW w:w="643" w:type="pct"/>
                <w:vAlign w:val="center"/>
              </w:tcPr>
              <w:p w14:paraId="58404B13" w14:textId="77777777" w:rsidR="007E7472" w:rsidRDefault="00EC1269">
                <w:pPr>
                  <w:jc w:val="center"/>
                </w:pPr>
                <w:r>
                  <w:t>鄂尔多斯</w:t>
                </w:r>
              </w:p>
            </w:tc>
            <w:tc>
              <w:tcPr>
                <w:tcW w:w="632" w:type="pct"/>
                <w:vAlign w:val="center"/>
              </w:tcPr>
              <w:p w14:paraId="358CEFA5" w14:textId="77777777" w:rsidR="007E7472" w:rsidRDefault="00EC1269">
                <w:pPr>
                  <w:jc w:val="center"/>
                </w:pPr>
                <w:r>
                  <w:t>鄂尔多斯</w:t>
                </w:r>
              </w:p>
            </w:tc>
            <w:tc>
              <w:tcPr>
                <w:tcW w:w="719" w:type="pct"/>
                <w:vAlign w:val="center"/>
              </w:tcPr>
              <w:p w14:paraId="7AD25B50" w14:textId="77777777" w:rsidR="007E7472" w:rsidRDefault="00EC1269">
                <w:r>
                  <w:t>煤炭开采和洗选业</w:t>
                </w:r>
              </w:p>
            </w:tc>
            <w:tc>
              <w:tcPr>
                <w:tcW w:w="711" w:type="pct"/>
                <w:vAlign w:val="center"/>
              </w:tcPr>
              <w:p w14:paraId="73060C1D" w14:textId="77777777" w:rsidR="007E7472" w:rsidRDefault="00C8327E">
                <w:pPr>
                  <w:jc w:val="right"/>
                </w:pPr>
              </w:p>
            </w:tc>
            <w:tc>
              <w:tcPr>
                <w:tcW w:w="711" w:type="pct"/>
                <w:vAlign w:val="center"/>
              </w:tcPr>
              <w:p w14:paraId="4A0B9EB5" w14:textId="77777777" w:rsidR="007E7472" w:rsidRDefault="00EC1269">
                <w:pPr>
                  <w:jc w:val="right"/>
                </w:pPr>
                <w:r>
                  <w:t>100</w:t>
                </w:r>
              </w:p>
            </w:tc>
            <w:tc>
              <w:tcPr>
                <w:tcW w:w="783" w:type="pct"/>
                <w:vAlign w:val="center"/>
              </w:tcPr>
              <w:p w14:paraId="3AD46E6E" w14:textId="77777777" w:rsidR="007E7472" w:rsidRDefault="00EC1269">
                <w:pPr>
                  <w:jc w:val="right"/>
                </w:pPr>
                <w:r>
                  <w:t>投资设立</w:t>
                </w:r>
              </w:p>
            </w:tc>
          </w:tr>
          <w:tr w:rsidR="007E7472" w14:paraId="34BDA44E" w14:textId="77777777">
            <w:tc>
              <w:tcPr>
                <w:tcW w:w="800" w:type="pct"/>
                <w:vAlign w:val="center"/>
              </w:tcPr>
              <w:p w14:paraId="6604B991" w14:textId="77777777" w:rsidR="007E7472" w:rsidRDefault="00EC1269">
                <w:r>
                  <w:rPr>
                    <w:rFonts w:hint="eastAsia"/>
                  </w:rPr>
                  <w:t>陕西未来能源化工有限公司</w:t>
                </w:r>
              </w:p>
            </w:tc>
            <w:tc>
              <w:tcPr>
                <w:tcW w:w="643" w:type="pct"/>
                <w:vAlign w:val="center"/>
              </w:tcPr>
              <w:p w14:paraId="5E4FE1B8" w14:textId="77777777" w:rsidR="007E7472" w:rsidRDefault="00EC1269">
                <w:pPr>
                  <w:jc w:val="center"/>
                </w:pPr>
                <w:r>
                  <w:t>陕西榆林</w:t>
                </w:r>
              </w:p>
            </w:tc>
            <w:tc>
              <w:tcPr>
                <w:tcW w:w="632" w:type="pct"/>
                <w:vAlign w:val="center"/>
              </w:tcPr>
              <w:p w14:paraId="39932BDB" w14:textId="77777777" w:rsidR="007E7472" w:rsidRDefault="00EC1269">
                <w:pPr>
                  <w:jc w:val="center"/>
                </w:pPr>
                <w:r>
                  <w:t>陕西榆林</w:t>
                </w:r>
              </w:p>
            </w:tc>
            <w:tc>
              <w:tcPr>
                <w:tcW w:w="719" w:type="pct"/>
                <w:vAlign w:val="center"/>
              </w:tcPr>
              <w:p w14:paraId="5E064C7E" w14:textId="77777777" w:rsidR="007E7472" w:rsidRDefault="00EC1269">
                <w:r>
                  <w:t>化工产品、油品的研发、煤炭开采</w:t>
                </w:r>
              </w:p>
            </w:tc>
            <w:tc>
              <w:tcPr>
                <w:tcW w:w="711" w:type="pct"/>
                <w:vAlign w:val="center"/>
              </w:tcPr>
              <w:p w14:paraId="32B1791B" w14:textId="77777777" w:rsidR="007E7472" w:rsidRDefault="00EC1269">
                <w:pPr>
                  <w:jc w:val="right"/>
                </w:pPr>
                <w:r>
                  <w:t>73.97</w:t>
                </w:r>
              </w:p>
            </w:tc>
            <w:tc>
              <w:tcPr>
                <w:tcW w:w="711" w:type="pct"/>
                <w:vAlign w:val="center"/>
              </w:tcPr>
              <w:p w14:paraId="5D7FD9E6" w14:textId="77777777" w:rsidR="007E7472" w:rsidRDefault="00C8327E">
                <w:pPr>
                  <w:jc w:val="right"/>
                </w:pPr>
              </w:p>
            </w:tc>
            <w:tc>
              <w:tcPr>
                <w:tcW w:w="783" w:type="pct"/>
                <w:vAlign w:val="center"/>
              </w:tcPr>
              <w:p w14:paraId="0CD72546" w14:textId="77777777" w:rsidR="007E7472" w:rsidRDefault="00EC1269">
                <w:pPr>
                  <w:jc w:val="right"/>
                </w:pPr>
                <w:r>
                  <w:t>同一控制下企业合并</w:t>
                </w:r>
              </w:p>
            </w:tc>
          </w:tr>
          <w:tr w:rsidR="007E7472" w14:paraId="0730F0BC" w14:textId="77777777">
            <w:tc>
              <w:tcPr>
                <w:tcW w:w="800" w:type="pct"/>
                <w:vAlign w:val="center"/>
              </w:tcPr>
              <w:p w14:paraId="6A550ED0" w14:textId="77777777" w:rsidR="007E7472" w:rsidRDefault="00EC1269">
                <w:r>
                  <w:rPr>
                    <w:rFonts w:hint="eastAsia"/>
                  </w:rPr>
                  <w:t>陕西未来清洁油品与化学品销售有限公司</w:t>
                </w:r>
              </w:p>
            </w:tc>
            <w:tc>
              <w:tcPr>
                <w:tcW w:w="643" w:type="pct"/>
                <w:vAlign w:val="center"/>
              </w:tcPr>
              <w:p w14:paraId="5C263088" w14:textId="77777777" w:rsidR="007E7472" w:rsidRDefault="00EC1269">
                <w:pPr>
                  <w:jc w:val="center"/>
                </w:pPr>
                <w:r>
                  <w:t>陕西榆林</w:t>
                </w:r>
              </w:p>
            </w:tc>
            <w:tc>
              <w:tcPr>
                <w:tcW w:w="632" w:type="pct"/>
                <w:vAlign w:val="center"/>
              </w:tcPr>
              <w:p w14:paraId="4020AB9F" w14:textId="77777777" w:rsidR="007E7472" w:rsidRDefault="00EC1269">
                <w:pPr>
                  <w:jc w:val="center"/>
                </w:pPr>
                <w:r>
                  <w:t>陕西榆林</w:t>
                </w:r>
              </w:p>
            </w:tc>
            <w:tc>
              <w:tcPr>
                <w:tcW w:w="719" w:type="pct"/>
                <w:vAlign w:val="center"/>
              </w:tcPr>
              <w:p w14:paraId="4064C0EA" w14:textId="77777777" w:rsidR="007E7472" w:rsidRDefault="00EC1269">
                <w:r>
                  <w:t>石油制品、化工产品、煤炭及制品销售</w:t>
                </w:r>
              </w:p>
            </w:tc>
            <w:tc>
              <w:tcPr>
                <w:tcW w:w="711" w:type="pct"/>
                <w:vAlign w:val="center"/>
              </w:tcPr>
              <w:p w14:paraId="744995CA" w14:textId="77777777" w:rsidR="007E7472" w:rsidRDefault="00C8327E">
                <w:pPr>
                  <w:jc w:val="right"/>
                </w:pPr>
              </w:p>
            </w:tc>
            <w:tc>
              <w:tcPr>
                <w:tcW w:w="711" w:type="pct"/>
                <w:vAlign w:val="center"/>
              </w:tcPr>
              <w:p w14:paraId="46045CD8" w14:textId="77777777" w:rsidR="007E7472" w:rsidRDefault="00EC1269">
                <w:pPr>
                  <w:jc w:val="right"/>
                </w:pPr>
                <w:r>
                  <w:t>100</w:t>
                </w:r>
              </w:p>
            </w:tc>
            <w:tc>
              <w:tcPr>
                <w:tcW w:w="783" w:type="pct"/>
                <w:vAlign w:val="center"/>
              </w:tcPr>
              <w:p w14:paraId="306AAB0D" w14:textId="77777777" w:rsidR="007E7472" w:rsidRDefault="00EC1269">
                <w:pPr>
                  <w:jc w:val="right"/>
                </w:pPr>
                <w:r>
                  <w:t>同一控制下企业合并</w:t>
                </w:r>
              </w:p>
            </w:tc>
          </w:tr>
          <w:tr w:rsidR="007E7472" w14:paraId="38154013" w14:textId="77777777">
            <w:tc>
              <w:tcPr>
                <w:tcW w:w="800" w:type="pct"/>
                <w:vAlign w:val="center"/>
              </w:tcPr>
              <w:p w14:paraId="7B901C0F" w14:textId="77777777" w:rsidR="007E7472" w:rsidRDefault="00EC1269">
                <w:r>
                  <w:rPr>
                    <w:rFonts w:hint="eastAsia"/>
                  </w:rPr>
                  <w:t>陕西未来清洁化学品有限公司</w:t>
                </w:r>
              </w:p>
            </w:tc>
            <w:tc>
              <w:tcPr>
                <w:tcW w:w="643" w:type="pct"/>
                <w:vAlign w:val="center"/>
              </w:tcPr>
              <w:p w14:paraId="62915B64" w14:textId="77777777" w:rsidR="007E7472" w:rsidRDefault="00EC1269">
                <w:pPr>
                  <w:jc w:val="center"/>
                </w:pPr>
                <w:r>
                  <w:t>陕西榆林</w:t>
                </w:r>
              </w:p>
            </w:tc>
            <w:tc>
              <w:tcPr>
                <w:tcW w:w="632" w:type="pct"/>
                <w:vAlign w:val="center"/>
              </w:tcPr>
              <w:p w14:paraId="7D6BF38D" w14:textId="77777777" w:rsidR="007E7472" w:rsidRDefault="00EC1269">
                <w:pPr>
                  <w:jc w:val="center"/>
                </w:pPr>
                <w:r>
                  <w:t>陕西榆林</w:t>
                </w:r>
              </w:p>
            </w:tc>
            <w:tc>
              <w:tcPr>
                <w:tcW w:w="719" w:type="pct"/>
                <w:vAlign w:val="center"/>
              </w:tcPr>
              <w:p w14:paraId="316B5B77" w14:textId="77777777" w:rsidR="007E7472" w:rsidRDefault="00EC1269">
                <w:r>
                  <w:t>石油制品、化工产品、煤炭及制品销售</w:t>
                </w:r>
              </w:p>
            </w:tc>
            <w:tc>
              <w:tcPr>
                <w:tcW w:w="711" w:type="pct"/>
                <w:vAlign w:val="center"/>
              </w:tcPr>
              <w:p w14:paraId="7EA0A5CA" w14:textId="77777777" w:rsidR="007E7472" w:rsidRDefault="00C8327E">
                <w:pPr>
                  <w:jc w:val="right"/>
                </w:pPr>
              </w:p>
            </w:tc>
            <w:tc>
              <w:tcPr>
                <w:tcW w:w="711" w:type="pct"/>
                <w:vAlign w:val="center"/>
              </w:tcPr>
              <w:p w14:paraId="7405341C" w14:textId="77777777" w:rsidR="007E7472" w:rsidRDefault="00EC1269">
                <w:pPr>
                  <w:jc w:val="right"/>
                </w:pPr>
                <w:r>
                  <w:t>51</w:t>
                </w:r>
              </w:p>
            </w:tc>
            <w:tc>
              <w:tcPr>
                <w:tcW w:w="783" w:type="pct"/>
                <w:vAlign w:val="center"/>
              </w:tcPr>
              <w:p w14:paraId="06AD0E96" w14:textId="77777777" w:rsidR="007E7472" w:rsidRDefault="00EC1269">
                <w:pPr>
                  <w:jc w:val="right"/>
                </w:pPr>
                <w:r>
                  <w:t>同一控制下企业合并</w:t>
                </w:r>
              </w:p>
            </w:tc>
          </w:tr>
          <w:tr w:rsidR="007E7472" w14:paraId="5B1D15E8" w14:textId="77777777">
            <w:tc>
              <w:tcPr>
                <w:tcW w:w="800" w:type="pct"/>
                <w:vAlign w:val="center"/>
              </w:tcPr>
              <w:p w14:paraId="2247D97E" w14:textId="77777777" w:rsidR="007E7472" w:rsidRDefault="00EC1269">
                <w:r>
                  <w:rPr>
                    <w:rFonts w:hint="eastAsia"/>
                  </w:rPr>
                  <w:t>兖矿榆林精细化工有限公司</w:t>
                </w:r>
              </w:p>
            </w:tc>
            <w:tc>
              <w:tcPr>
                <w:tcW w:w="643" w:type="pct"/>
                <w:vAlign w:val="center"/>
              </w:tcPr>
              <w:p w14:paraId="396F8047" w14:textId="77777777" w:rsidR="007E7472" w:rsidRDefault="00EC1269">
                <w:pPr>
                  <w:jc w:val="center"/>
                </w:pPr>
                <w:r>
                  <w:t>陕西榆林</w:t>
                </w:r>
              </w:p>
            </w:tc>
            <w:tc>
              <w:tcPr>
                <w:tcW w:w="632" w:type="pct"/>
                <w:vAlign w:val="center"/>
              </w:tcPr>
              <w:p w14:paraId="059904E7" w14:textId="77777777" w:rsidR="007E7472" w:rsidRDefault="00EC1269">
                <w:pPr>
                  <w:jc w:val="center"/>
                </w:pPr>
                <w:r>
                  <w:t>陕西榆林</w:t>
                </w:r>
              </w:p>
            </w:tc>
            <w:tc>
              <w:tcPr>
                <w:tcW w:w="719" w:type="pct"/>
                <w:vAlign w:val="center"/>
              </w:tcPr>
              <w:p w14:paraId="5A5DD4FA" w14:textId="77777777" w:rsidR="007E7472" w:rsidRDefault="00EC1269">
                <w:r>
                  <w:t>费托合成催化剂等生产及销售</w:t>
                </w:r>
              </w:p>
            </w:tc>
            <w:tc>
              <w:tcPr>
                <w:tcW w:w="711" w:type="pct"/>
                <w:vAlign w:val="center"/>
              </w:tcPr>
              <w:p w14:paraId="5CC06A76" w14:textId="77777777" w:rsidR="007E7472" w:rsidRDefault="00EC1269">
                <w:pPr>
                  <w:jc w:val="right"/>
                </w:pPr>
                <w:r>
                  <w:t>100</w:t>
                </w:r>
              </w:p>
            </w:tc>
            <w:tc>
              <w:tcPr>
                <w:tcW w:w="711" w:type="pct"/>
                <w:vAlign w:val="center"/>
              </w:tcPr>
              <w:p w14:paraId="5CC1236E" w14:textId="77777777" w:rsidR="007E7472" w:rsidRDefault="00C8327E">
                <w:pPr>
                  <w:jc w:val="right"/>
                </w:pPr>
              </w:p>
            </w:tc>
            <w:tc>
              <w:tcPr>
                <w:tcW w:w="783" w:type="pct"/>
                <w:vAlign w:val="center"/>
              </w:tcPr>
              <w:p w14:paraId="787928BF" w14:textId="77777777" w:rsidR="007E7472" w:rsidRDefault="00EC1269">
                <w:pPr>
                  <w:jc w:val="right"/>
                </w:pPr>
                <w:r>
                  <w:t>同一控制下企业合并</w:t>
                </w:r>
              </w:p>
            </w:tc>
          </w:tr>
          <w:tr w:rsidR="007E7472" w14:paraId="36B2E71A" w14:textId="77777777">
            <w:tc>
              <w:tcPr>
                <w:tcW w:w="800" w:type="pct"/>
                <w:vAlign w:val="center"/>
              </w:tcPr>
              <w:p w14:paraId="05DE3C21" w14:textId="77777777" w:rsidR="007E7472" w:rsidRDefault="00EC1269">
                <w:r>
                  <w:rPr>
                    <w:rFonts w:hint="eastAsia"/>
                  </w:rPr>
                  <w:t>兖矿鲁南化工有限公司</w:t>
                </w:r>
              </w:p>
            </w:tc>
            <w:tc>
              <w:tcPr>
                <w:tcW w:w="643" w:type="pct"/>
                <w:vAlign w:val="center"/>
              </w:tcPr>
              <w:p w14:paraId="39B55F1B" w14:textId="77777777" w:rsidR="007E7472" w:rsidRDefault="00EC1269">
                <w:pPr>
                  <w:jc w:val="center"/>
                </w:pPr>
                <w:r>
                  <w:t>山东滕州</w:t>
                </w:r>
              </w:p>
            </w:tc>
            <w:tc>
              <w:tcPr>
                <w:tcW w:w="632" w:type="pct"/>
                <w:vAlign w:val="center"/>
              </w:tcPr>
              <w:p w14:paraId="7E0E7395" w14:textId="77777777" w:rsidR="007E7472" w:rsidRDefault="00EC1269">
                <w:pPr>
                  <w:jc w:val="center"/>
                </w:pPr>
                <w:r>
                  <w:t>山东滕州</w:t>
                </w:r>
              </w:p>
            </w:tc>
            <w:tc>
              <w:tcPr>
                <w:tcW w:w="719" w:type="pct"/>
                <w:vAlign w:val="center"/>
              </w:tcPr>
              <w:p w14:paraId="0B752719" w14:textId="77777777" w:rsidR="007E7472" w:rsidRDefault="00EC1269">
                <w:r>
                  <w:t>化工产品生产、销售</w:t>
                </w:r>
              </w:p>
            </w:tc>
            <w:tc>
              <w:tcPr>
                <w:tcW w:w="711" w:type="pct"/>
                <w:vAlign w:val="center"/>
              </w:tcPr>
              <w:p w14:paraId="2869A940" w14:textId="77777777" w:rsidR="007E7472" w:rsidRDefault="00EC1269">
                <w:pPr>
                  <w:jc w:val="right"/>
                </w:pPr>
                <w:r>
                  <w:t>100</w:t>
                </w:r>
              </w:p>
            </w:tc>
            <w:tc>
              <w:tcPr>
                <w:tcW w:w="711" w:type="pct"/>
                <w:vAlign w:val="center"/>
              </w:tcPr>
              <w:p w14:paraId="788EB471" w14:textId="77777777" w:rsidR="007E7472" w:rsidRDefault="00C8327E">
                <w:pPr>
                  <w:jc w:val="right"/>
                </w:pPr>
              </w:p>
            </w:tc>
            <w:tc>
              <w:tcPr>
                <w:tcW w:w="783" w:type="pct"/>
                <w:vAlign w:val="center"/>
              </w:tcPr>
              <w:p w14:paraId="15AD5C19" w14:textId="77777777" w:rsidR="007E7472" w:rsidRDefault="00EC1269">
                <w:pPr>
                  <w:jc w:val="right"/>
                </w:pPr>
                <w:r>
                  <w:t>同一控制下企业合并</w:t>
                </w:r>
              </w:p>
            </w:tc>
          </w:tr>
          <w:tr w:rsidR="007E7472" w14:paraId="4A66B94F" w14:textId="77777777">
            <w:tc>
              <w:tcPr>
                <w:tcW w:w="800" w:type="pct"/>
                <w:vAlign w:val="center"/>
              </w:tcPr>
              <w:p w14:paraId="085896E2" w14:textId="77777777" w:rsidR="007E7472" w:rsidRDefault="00EC1269">
                <w:r>
                  <w:rPr>
                    <w:rFonts w:hint="eastAsia"/>
                  </w:rPr>
                  <w:t>兖矿济宁化工装备有限公司</w:t>
                </w:r>
              </w:p>
            </w:tc>
            <w:tc>
              <w:tcPr>
                <w:tcW w:w="643" w:type="pct"/>
                <w:vAlign w:val="center"/>
              </w:tcPr>
              <w:p w14:paraId="49A105B0" w14:textId="77777777" w:rsidR="007E7472" w:rsidRDefault="00EC1269">
                <w:pPr>
                  <w:jc w:val="center"/>
                </w:pPr>
                <w:r>
                  <w:t>山东济宁</w:t>
                </w:r>
              </w:p>
            </w:tc>
            <w:tc>
              <w:tcPr>
                <w:tcW w:w="632" w:type="pct"/>
                <w:vAlign w:val="center"/>
              </w:tcPr>
              <w:p w14:paraId="41640382" w14:textId="77777777" w:rsidR="007E7472" w:rsidRDefault="00EC1269">
                <w:pPr>
                  <w:jc w:val="center"/>
                </w:pPr>
                <w:r>
                  <w:t>山东济宁</w:t>
                </w:r>
              </w:p>
            </w:tc>
            <w:tc>
              <w:tcPr>
                <w:tcW w:w="719" w:type="pct"/>
                <w:vAlign w:val="center"/>
              </w:tcPr>
              <w:p w14:paraId="34E77283" w14:textId="77777777" w:rsidR="007E7472" w:rsidRDefault="00EC1269">
                <w:r>
                  <w:t>化工产品生产、销售</w:t>
                </w:r>
              </w:p>
            </w:tc>
            <w:tc>
              <w:tcPr>
                <w:tcW w:w="711" w:type="pct"/>
                <w:vAlign w:val="center"/>
              </w:tcPr>
              <w:p w14:paraId="2E20CEBA" w14:textId="77777777" w:rsidR="007E7472" w:rsidRDefault="00EC1269">
                <w:pPr>
                  <w:jc w:val="right"/>
                </w:pPr>
                <w:r>
                  <w:t>100</w:t>
                </w:r>
              </w:p>
            </w:tc>
            <w:tc>
              <w:tcPr>
                <w:tcW w:w="711" w:type="pct"/>
                <w:vAlign w:val="center"/>
              </w:tcPr>
              <w:p w14:paraId="3BA785D2" w14:textId="77777777" w:rsidR="007E7472" w:rsidRDefault="00C8327E">
                <w:pPr>
                  <w:jc w:val="right"/>
                </w:pPr>
              </w:p>
            </w:tc>
            <w:tc>
              <w:tcPr>
                <w:tcW w:w="783" w:type="pct"/>
                <w:vAlign w:val="center"/>
              </w:tcPr>
              <w:p w14:paraId="24C5915F" w14:textId="77777777" w:rsidR="007E7472" w:rsidRDefault="00EC1269">
                <w:pPr>
                  <w:jc w:val="right"/>
                </w:pPr>
                <w:r>
                  <w:t>同一控制下企业合并</w:t>
                </w:r>
              </w:p>
            </w:tc>
          </w:tr>
          <w:tr w:rsidR="007E7472" w14:paraId="7D2C26FC" w14:textId="77777777">
            <w:tc>
              <w:tcPr>
                <w:tcW w:w="800" w:type="pct"/>
                <w:vAlign w:val="center"/>
              </w:tcPr>
              <w:p w14:paraId="61DFF6B2" w14:textId="77777777" w:rsidR="007E7472" w:rsidRDefault="00EC1269">
                <w:r>
                  <w:rPr>
                    <w:rFonts w:hint="eastAsia"/>
                  </w:rPr>
                  <w:t>兖矿煤化供销有限公司</w:t>
                </w:r>
              </w:p>
            </w:tc>
            <w:tc>
              <w:tcPr>
                <w:tcW w:w="643" w:type="pct"/>
                <w:vAlign w:val="center"/>
              </w:tcPr>
              <w:p w14:paraId="6807F330" w14:textId="77777777" w:rsidR="007E7472" w:rsidRDefault="00EC1269">
                <w:pPr>
                  <w:jc w:val="center"/>
                </w:pPr>
                <w:r>
                  <w:t>山东邹城</w:t>
                </w:r>
              </w:p>
            </w:tc>
            <w:tc>
              <w:tcPr>
                <w:tcW w:w="632" w:type="pct"/>
                <w:vAlign w:val="center"/>
              </w:tcPr>
              <w:p w14:paraId="14096131" w14:textId="77777777" w:rsidR="007E7472" w:rsidRDefault="00EC1269">
                <w:pPr>
                  <w:jc w:val="center"/>
                </w:pPr>
                <w:r>
                  <w:t>山东邹城</w:t>
                </w:r>
              </w:p>
            </w:tc>
            <w:tc>
              <w:tcPr>
                <w:tcW w:w="719" w:type="pct"/>
                <w:vAlign w:val="center"/>
              </w:tcPr>
              <w:p w14:paraId="46E245BB" w14:textId="77777777" w:rsidR="007E7472" w:rsidRDefault="00EC1269">
                <w:r>
                  <w:t>化工产品销售</w:t>
                </w:r>
              </w:p>
            </w:tc>
            <w:tc>
              <w:tcPr>
                <w:tcW w:w="711" w:type="pct"/>
                <w:vAlign w:val="center"/>
              </w:tcPr>
              <w:p w14:paraId="7199E1DC" w14:textId="77777777" w:rsidR="007E7472" w:rsidRDefault="00EC1269">
                <w:pPr>
                  <w:jc w:val="right"/>
                </w:pPr>
                <w:r>
                  <w:t>100</w:t>
                </w:r>
              </w:p>
            </w:tc>
            <w:tc>
              <w:tcPr>
                <w:tcW w:w="711" w:type="pct"/>
                <w:vAlign w:val="center"/>
              </w:tcPr>
              <w:p w14:paraId="377AA757" w14:textId="77777777" w:rsidR="007E7472" w:rsidRDefault="00C8327E">
                <w:pPr>
                  <w:jc w:val="right"/>
                </w:pPr>
              </w:p>
            </w:tc>
            <w:tc>
              <w:tcPr>
                <w:tcW w:w="783" w:type="pct"/>
                <w:vAlign w:val="center"/>
              </w:tcPr>
              <w:p w14:paraId="7772762A" w14:textId="77777777" w:rsidR="007E7472" w:rsidRDefault="00EC1269">
                <w:pPr>
                  <w:jc w:val="right"/>
                </w:pPr>
                <w:r>
                  <w:t>同一控制下企业合并</w:t>
                </w:r>
              </w:p>
            </w:tc>
          </w:tr>
          <w:tr w:rsidR="007E7472" w14:paraId="0E593283" w14:textId="77777777">
            <w:tc>
              <w:tcPr>
                <w:tcW w:w="800" w:type="pct"/>
                <w:vAlign w:val="center"/>
              </w:tcPr>
              <w:p w14:paraId="21E089F5" w14:textId="77777777" w:rsidR="007E7472" w:rsidRDefault="00EC1269">
                <w:r>
                  <w:rPr>
                    <w:rFonts w:hint="eastAsia"/>
                  </w:rPr>
                  <w:t>山东兖矿济三电力有限公司</w:t>
                </w:r>
              </w:p>
            </w:tc>
            <w:tc>
              <w:tcPr>
                <w:tcW w:w="643" w:type="pct"/>
                <w:vAlign w:val="center"/>
              </w:tcPr>
              <w:p w14:paraId="3E1951F2" w14:textId="77777777" w:rsidR="007E7472" w:rsidRDefault="00EC1269">
                <w:pPr>
                  <w:jc w:val="center"/>
                </w:pPr>
                <w:r>
                  <w:t>山东济宁</w:t>
                </w:r>
              </w:p>
            </w:tc>
            <w:tc>
              <w:tcPr>
                <w:tcW w:w="632" w:type="pct"/>
                <w:vAlign w:val="center"/>
              </w:tcPr>
              <w:p w14:paraId="6C6997DD" w14:textId="77777777" w:rsidR="007E7472" w:rsidRDefault="00EC1269">
                <w:pPr>
                  <w:jc w:val="center"/>
                </w:pPr>
                <w:r>
                  <w:t>山东济宁</w:t>
                </w:r>
              </w:p>
            </w:tc>
            <w:tc>
              <w:tcPr>
                <w:tcW w:w="719" w:type="pct"/>
                <w:vAlign w:val="center"/>
              </w:tcPr>
              <w:p w14:paraId="29F3E928" w14:textId="77777777" w:rsidR="007E7472" w:rsidRDefault="00EC1269">
                <w:r>
                  <w:t>火力发电及发电余热综合利用</w:t>
                </w:r>
              </w:p>
            </w:tc>
            <w:tc>
              <w:tcPr>
                <w:tcW w:w="711" w:type="pct"/>
                <w:vAlign w:val="center"/>
              </w:tcPr>
              <w:p w14:paraId="0D445E5A" w14:textId="77777777" w:rsidR="007E7472" w:rsidRDefault="00EC1269">
                <w:pPr>
                  <w:jc w:val="right"/>
                </w:pPr>
                <w:r>
                  <w:t>99</w:t>
                </w:r>
              </w:p>
            </w:tc>
            <w:tc>
              <w:tcPr>
                <w:tcW w:w="711" w:type="pct"/>
                <w:vAlign w:val="center"/>
              </w:tcPr>
              <w:p w14:paraId="12E46CBA" w14:textId="77777777" w:rsidR="007E7472" w:rsidRDefault="00C8327E">
                <w:pPr>
                  <w:jc w:val="right"/>
                </w:pPr>
              </w:p>
            </w:tc>
            <w:tc>
              <w:tcPr>
                <w:tcW w:w="783" w:type="pct"/>
                <w:vAlign w:val="center"/>
              </w:tcPr>
              <w:p w14:paraId="602BE0BA" w14:textId="77777777" w:rsidR="007E7472" w:rsidRDefault="00EC1269">
                <w:pPr>
                  <w:jc w:val="right"/>
                </w:pPr>
                <w:r>
                  <w:t>同一控制下企业合并</w:t>
                </w:r>
              </w:p>
            </w:tc>
          </w:tr>
          <w:tr w:rsidR="007E7472" w14:paraId="0F960DBC" w14:textId="77777777">
            <w:tc>
              <w:tcPr>
                <w:tcW w:w="800" w:type="pct"/>
                <w:vAlign w:val="center"/>
              </w:tcPr>
              <w:p w14:paraId="0EF3977F" w14:textId="77777777" w:rsidR="007E7472" w:rsidRDefault="00EC1269">
                <w:r>
                  <w:rPr>
                    <w:rFonts w:hint="eastAsia"/>
                  </w:rPr>
                  <w:lastRenderedPageBreak/>
                  <w:t>兖矿物流科技有限公司</w:t>
                </w:r>
              </w:p>
            </w:tc>
            <w:tc>
              <w:tcPr>
                <w:tcW w:w="643" w:type="pct"/>
                <w:vAlign w:val="center"/>
              </w:tcPr>
              <w:p w14:paraId="320796B0" w14:textId="77777777" w:rsidR="007E7472" w:rsidRDefault="00EC1269">
                <w:pPr>
                  <w:jc w:val="center"/>
                </w:pPr>
                <w:r>
                  <w:t>山东济宁</w:t>
                </w:r>
              </w:p>
            </w:tc>
            <w:tc>
              <w:tcPr>
                <w:tcW w:w="632" w:type="pct"/>
                <w:vAlign w:val="center"/>
              </w:tcPr>
              <w:p w14:paraId="682CB693" w14:textId="77777777" w:rsidR="007E7472" w:rsidRDefault="00EC1269">
                <w:pPr>
                  <w:jc w:val="center"/>
                </w:pPr>
                <w:r>
                  <w:t>山东济宁</w:t>
                </w:r>
              </w:p>
            </w:tc>
            <w:tc>
              <w:tcPr>
                <w:tcW w:w="719" w:type="pct"/>
                <w:vAlign w:val="center"/>
              </w:tcPr>
              <w:p w14:paraId="16652109" w14:textId="77777777" w:rsidR="007E7472" w:rsidRDefault="00EC1269">
                <w:r>
                  <w:t>公共铁路运输、铁路机车车辆维修</w:t>
                </w:r>
              </w:p>
            </w:tc>
            <w:tc>
              <w:tcPr>
                <w:tcW w:w="711" w:type="pct"/>
                <w:vAlign w:val="center"/>
              </w:tcPr>
              <w:p w14:paraId="40B124DF" w14:textId="77777777" w:rsidR="007E7472" w:rsidRDefault="00EC1269">
                <w:pPr>
                  <w:jc w:val="right"/>
                </w:pPr>
                <w:r>
                  <w:t>100</w:t>
                </w:r>
              </w:p>
            </w:tc>
            <w:tc>
              <w:tcPr>
                <w:tcW w:w="711" w:type="pct"/>
                <w:vAlign w:val="center"/>
              </w:tcPr>
              <w:p w14:paraId="66E0473E" w14:textId="77777777" w:rsidR="007E7472" w:rsidRDefault="00C8327E">
                <w:pPr>
                  <w:jc w:val="right"/>
                </w:pPr>
              </w:p>
            </w:tc>
            <w:tc>
              <w:tcPr>
                <w:tcW w:w="783" w:type="pct"/>
                <w:vAlign w:val="center"/>
              </w:tcPr>
              <w:p w14:paraId="4519F342" w14:textId="77777777" w:rsidR="007E7472" w:rsidRDefault="00EC1269">
                <w:pPr>
                  <w:jc w:val="right"/>
                </w:pPr>
                <w:r>
                  <w:t>投资设立</w:t>
                </w:r>
              </w:p>
            </w:tc>
          </w:tr>
          <w:tr w:rsidR="007E7472" w14:paraId="1E4BF5CF" w14:textId="77777777">
            <w:tc>
              <w:tcPr>
                <w:tcW w:w="800" w:type="pct"/>
                <w:vAlign w:val="center"/>
              </w:tcPr>
              <w:p w14:paraId="0A99A836" w14:textId="77777777" w:rsidR="007E7472" w:rsidRDefault="00EC1269">
                <w:r>
                  <w:rPr>
                    <w:rFonts w:hint="eastAsia"/>
                  </w:rPr>
                  <w:t>兖矿铁路物流有限公司</w:t>
                </w:r>
              </w:p>
            </w:tc>
            <w:tc>
              <w:tcPr>
                <w:tcW w:w="643" w:type="pct"/>
                <w:vAlign w:val="center"/>
              </w:tcPr>
              <w:p w14:paraId="43D6DAF6" w14:textId="77777777" w:rsidR="007E7472" w:rsidRDefault="00EC1269">
                <w:pPr>
                  <w:jc w:val="center"/>
                </w:pPr>
                <w:r>
                  <w:t>山东济宁</w:t>
                </w:r>
              </w:p>
            </w:tc>
            <w:tc>
              <w:tcPr>
                <w:tcW w:w="632" w:type="pct"/>
                <w:vAlign w:val="center"/>
              </w:tcPr>
              <w:p w14:paraId="249AE3D0" w14:textId="77777777" w:rsidR="007E7472" w:rsidRDefault="00EC1269">
                <w:pPr>
                  <w:jc w:val="center"/>
                </w:pPr>
                <w:r>
                  <w:t>山东济宁</w:t>
                </w:r>
              </w:p>
            </w:tc>
            <w:tc>
              <w:tcPr>
                <w:tcW w:w="719" w:type="pct"/>
                <w:vAlign w:val="center"/>
              </w:tcPr>
              <w:p w14:paraId="6522713C" w14:textId="77777777" w:rsidR="007E7472" w:rsidRDefault="00EC1269">
                <w:r>
                  <w:t>公共铁路运输；铁路机车车辆维修</w:t>
                </w:r>
              </w:p>
            </w:tc>
            <w:tc>
              <w:tcPr>
                <w:tcW w:w="711" w:type="pct"/>
                <w:vAlign w:val="center"/>
              </w:tcPr>
              <w:p w14:paraId="755F005B" w14:textId="77777777" w:rsidR="007E7472" w:rsidRDefault="00EC1269">
                <w:pPr>
                  <w:jc w:val="right"/>
                </w:pPr>
                <w:r>
                  <w:t>100</w:t>
                </w:r>
              </w:p>
            </w:tc>
            <w:tc>
              <w:tcPr>
                <w:tcW w:w="711" w:type="pct"/>
                <w:vAlign w:val="center"/>
              </w:tcPr>
              <w:p w14:paraId="589DA309" w14:textId="77777777" w:rsidR="007E7472" w:rsidRDefault="00C8327E">
                <w:pPr>
                  <w:jc w:val="right"/>
                </w:pPr>
              </w:p>
            </w:tc>
            <w:tc>
              <w:tcPr>
                <w:tcW w:w="783" w:type="pct"/>
                <w:vAlign w:val="center"/>
              </w:tcPr>
              <w:p w14:paraId="32847367" w14:textId="77777777" w:rsidR="007E7472" w:rsidRDefault="00EC1269">
                <w:pPr>
                  <w:jc w:val="right"/>
                </w:pPr>
                <w:r>
                  <w:t>投资设立</w:t>
                </w:r>
              </w:p>
            </w:tc>
          </w:tr>
          <w:tr w:rsidR="007E7472" w14:paraId="3671CF4D" w14:textId="77777777">
            <w:tc>
              <w:tcPr>
                <w:tcW w:w="800" w:type="pct"/>
                <w:vAlign w:val="center"/>
              </w:tcPr>
              <w:p w14:paraId="6321D34C" w14:textId="77777777" w:rsidR="007E7472" w:rsidRDefault="00EC1269">
                <w:r>
                  <w:rPr>
                    <w:rFonts w:hint="eastAsia"/>
                  </w:rPr>
                  <w:t>兖矿铁路物流</w:t>
                </w:r>
                <w:r>
                  <w:t>(榆林)有限公司</w:t>
                </w:r>
              </w:p>
            </w:tc>
            <w:tc>
              <w:tcPr>
                <w:tcW w:w="643" w:type="pct"/>
                <w:vAlign w:val="center"/>
              </w:tcPr>
              <w:p w14:paraId="23B4074B" w14:textId="77777777" w:rsidR="007E7472" w:rsidRDefault="00EC1269">
                <w:pPr>
                  <w:jc w:val="center"/>
                </w:pPr>
                <w:r>
                  <w:t>陕西榆林</w:t>
                </w:r>
              </w:p>
            </w:tc>
            <w:tc>
              <w:tcPr>
                <w:tcW w:w="632" w:type="pct"/>
                <w:vAlign w:val="center"/>
              </w:tcPr>
              <w:p w14:paraId="4C888550" w14:textId="77777777" w:rsidR="007E7472" w:rsidRDefault="00EC1269">
                <w:pPr>
                  <w:jc w:val="center"/>
                </w:pPr>
                <w:r>
                  <w:t>陕西榆林</w:t>
                </w:r>
              </w:p>
            </w:tc>
            <w:tc>
              <w:tcPr>
                <w:tcW w:w="719" w:type="pct"/>
                <w:vAlign w:val="center"/>
              </w:tcPr>
              <w:p w14:paraId="2C6F2954" w14:textId="77777777" w:rsidR="007E7472" w:rsidRDefault="00EC1269">
                <w:r>
                  <w:t>公共铁路运输、铁路机车车辆维修；煤炭及制品销售</w:t>
                </w:r>
              </w:p>
            </w:tc>
            <w:tc>
              <w:tcPr>
                <w:tcW w:w="711" w:type="pct"/>
                <w:vAlign w:val="center"/>
              </w:tcPr>
              <w:p w14:paraId="3F913822" w14:textId="77777777" w:rsidR="007E7472" w:rsidRDefault="00C8327E">
                <w:pPr>
                  <w:jc w:val="right"/>
                </w:pPr>
              </w:p>
            </w:tc>
            <w:tc>
              <w:tcPr>
                <w:tcW w:w="711" w:type="pct"/>
                <w:vAlign w:val="center"/>
              </w:tcPr>
              <w:p w14:paraId="4123482B" w14:textId="77777777" w:rsidR="007E7472" w:rsidRDefault="00EC1269">
                <w:pPr>
                  <w:jc w:val="right"/>
                </w:pPr>
                <w:r>
                  <w:t>62</w:t>
                </w:r>
              </w:p>
            </w:tc>
            <w:tc>
              <w:tcPr>
                <w:tcW w:w="783" w:type="pct"/>
                <w:vAlign w:val="center"/>
              </w:tcPr>
              <w:p w14:paraId="01946EF8" w14:textId="77777777" w:rsidR="007E7472" w:rsidRDefault="00EC1269">
                <w:pPr>
                  <w:jc w:val="right"/>
                </w:pPr>
                <w:r>
                  <w:t>投资设立</w:t>
                </w:r>
              </w:p>
            </w:tc>
          </w:tr>
          <w:tr w:rsidR="007E7472" w14:paraId="149DB067" w14:textId="77777777">
            <w:tc>
              <w:tcPr>
                <w:tcW w:w="800" w:type="pct"/>
                <w:vAlign w:val="center"/>
              </w:tcPr>
              <w:p w14:paraId="472A8115" w14:textId="77777777" w:rsidR="007E7472" w:rsidRDefault="00EC1269">
                <w:r>
                  <w:rPr>
                    <w:rFonts w:hint="eastAsia"/>
                  </w:rPr>
                  <w:t>内蒙古蒙通铁路有限公司</w:t>
                </w:r>
              </w:p>
            </w:tc>
            <w:tc>
              <w:tcPr>
                <w:tcW w:w="643" w:type="pct"/>
                <w:vAlign w:val="center"/>
              </w:tcPr>
              <w:p w14:paraId="44A6EC34" w14:textId="77777777" w:rsidR="007E7472" w:rsidRDefault="00EC1269">
                <w:pPr>
                  <w:jc w:val="center"/>
                </w:pPr>
                <w:r>
                  <w:t>鄂尔多斯</w:t>
                </w:r>
              </w:p>
            </w:tc>
            <w:tc>
              <w:tcPr>
                <w:tcW w:w="632" w:type="pct"/>
                <w:vAlign w:val="center"/>
              </w:tcPr>
              <w:p w14:paraId="52C05E1B" w14:textId="77777777" w:rsidR="007E7472" w:rsidRDefault="00EC1269">
                <w:pPr>
                  <w:jc w:val="center"/>
                </w:pPr>
                <w:r>
                  <w:t>鄂尔多斯</w:t>
                </w:r>
              </w:p>
            </w:tc>
            <w:tc>
              <w:tcPr>
                <w:tcW w:w="719" w:type="pct"/>
                <w:vAlign w:val="center"/>
              </w:tcPr>
              <w:p w14:paraId="38E71C22" w14:textId="77777777" w:rsidR="007E7472" w:rsidRDefault="00EC1269">
                <w:r>
                  <w:t>煤炭加工、销售运输</w:t>
                </w:r>
              </w:p>
            </w:tc>
            <w:tc>
              <w:tcPr>
                <w:tcW w:w="711" w:type="pct"/>
                <w:vAlign w:val="center"/>
              </w:tcPr>
              <w:p w14:paraId="152F1487" w14:textId="77777777" w:rsidR="007E7472" w:rsidRDefault="00C8327E">
                <w:pPr>
                  <w:jc w:val="right"/>
                </w:pPr>
              </w:p>
            </w:tc>
            <w:tc>
              <w:tcPr>
                <w:tcW w:w="711" w:type="pct"/>
                <w:vAlign w:val="center"/>
              </w:tcPr>
              <w:p w14:paraId="4A334028" w14:textId="77777777" w:rsidR="007E7472" w:rsidRDefault="00EC1269">
                <w:pPr>
                  <w:jc w:val="right"/>
                </w:pPr>
                <w:r>
                  <w:t>51</w:t>
                </w:r>
              </w:p>
            </w:tc>
            <w:tc>
              <w:tcPr>
                <w:tcW w:w="783" w:type="pct"/>
                <w:vAlign w:val="center"/>
              </w:tcPr>
              <w:p w14:paraId="2B311274" w14:textId="77777777" w:rsidR="007E7472" w:rsidRDefault="00EC1269">
                <w:pPr>
                  <w:jc w:val="right"/>
                </w:pPr>
                <w:r>
                  <w:t>投资设立</w:t>
                </w:r>
              </w:p>
            </w:tc>
          </w:tr>
          <w:tr w:rsidR="007E7472" w14:paraId="1027D4C0" w14:textId="77777777">
            <w:tc>
              <w:tcPr>
                <w:tcW w:w="800" w:type="pct"/>
              </w:tcPr>
              <w:p w14:paraId="0085251B" w14:textId="77777777" w:rsidR="007E7472" w:rsidRDefault="00EC1269">
                <w:r>
                  <w:rPr>
                    <w:rFonts w:hint="eastAsia"/>
                  </w:rPr>
                  <w:t>内蒙古蒙达铁路有限公司</w:t>
                </w:r>
              </w:p>
            </w:tc>
            <w:tc>
              <w:tcPr>
                <w:tcW w:w="643" w:type="pct"/>
                <w:vAlign w:val="center"/>
              </w:tcPr>
              <w:p w14:paraId="0EED2D71" w14:textId="77777777" w:rsidR="007E7472" w:rsidRDefault="00EC1269">
                <w:pPr>
                  <w:jc w:val="both"/>
                </w:pPr>
                <w:r>
                  <w:t>鄂尔多斯</w:t>
                </w:r>
              </w:p>
            </w:tc>
            <w:tc>
              <w:tcPr>
                <w:tcW w:w="632" w:type="pct"/>
                <w:vAlign w:val="center"/>
              </w:tcPr>
              <w:p w14:paraId="3BF4F71C" w14:textId="77777777" w:rsidR="007E7472" w:rsidRDefault="00EC1269">
                <w:pPr>
                  <w:jc w:val="both"/>
                </w:pPr>
                <w:r>
                  <w:t>鄂尔多斯</w:t>
                </w:r>
              </w:p>
            </w:tc>
            <w:tc>
              <w:tcPr>
                <w:tcW w:w="719" w:type="pct"/>
                <w:vAlign w:val="center"/>
              </w:tcPr>
              <w:p w14:paraId="3FB8AED9" w14:textId="77777777" w:rsidR="007E7472" w:rsidRDefault="00EC1269">
                <w:pPr>
                  <w:jc w:val="both"/>
                </w:pPr>
                <w:r>
                  <w:t>煤炭加工、销售运输</w:t>
                </w:r>
              </w:p>
            </w:tc>
            <w:tc>
              <w:tcPr>
                <w:tcW w:w="711" w:type="pct"/>
                <w:vAlign w:val="center"/>
              </w:tcPr>
              <w:p w14:paraId="2B188982" w14:textId="77777777" w:rsidR="007E7472" w:rsidRDefault="00C8327E">
                <w:pPr>
                  <w:jc w:val="right"/>
                </w:pPr>
              </w:p>
            </w:tc>
            <w:tc>
              <w:tcPr>
                <w:tcW w:w="711" w:type="pct"/>
                <w:vAlign w:val="center"/>
              </w:tcPr>
              <w:p w14:paraId="67600F6C" w14:textId="77777777" w:rsidR="007E7472" w:rsidRDefault="00EC1269">
                <w:pPr>
                  <w:jc w:val="right"/>
                </w:pPr>
                <w:r>
                  <w:t>67</w:t>
                </w:r>
              </w:p>
            </w:tc>
            <w:tc>
              <w:tcPr>
                <w:tcW w:w="783" w:type="pct"/>
                <w:vAlign w:val="center"/>
              </w:tcPr>
              <w:p w14:paraId="6B3CA236" w14:textId="77777777" w:rsidR="007E7472" w:rsidRDefault="00EC1269">
                <w:pPr>
                  <w:jc w:val="right"/>
                </w:pPr>
                <w:r>
                  <w:t>投资设立</w:t>
                </w:r>
              </w:p>
            </w:tc>
          </w:tr>
        </w:tbl>
        <w:p w14:paraId="63198936" w14:textId="77777777" w:rsidR="007E7472" w:rsidRDefault="00EC1269">
          <w:pPr>
            <w:widowControl w:val="0"/>
            <w:tabs>
              <w:tab w:val="left" w:pos="426"/>
              <w:tab w:val="left" w:pos="800"/>
            </w:tabs>
            <w:spacing w:beforeLines="50" w:before="120" w:afterLines="50" w:after="120" w:line="360" w:lineRule="exact"/>
            <w:ind w:firstLineChars="200" w:firstLine="420"/>
            <w:jc w:val="both"/>
            <w:rPr>
              <w:rFonts w:cs="Times New Roman"/>
              <w:snapToGrid w:val="0"/>
              <w:color w:val="000000"/>
              <w:lang w:val="en-GB"/>
            </w:rPr>
          </w:pPr>
          <w:r>
            <w:rPr>
              <w:rFonts w:cs="Times New Roman" w:hint="eastAsia"/>
              <w:snapToGrid w:val="0"/>
              <w:color w:val="000000"/>
              <w:lang w:val="en-GB"/>
            </w:rPr>
            <w:t>主要及本年新增子公司简介如下：</w:t>
          </w:r>
        </w:p>
        <w:p w14:paraId="65B1D70C" w14:textId="77777777" w:rsidR="007E7472" w:rsidRDefault="00EC1269" w:rsidP="00162493">
          <w:pPr>
            <w:numPr>
              <w:ilvl w:val="0"/>
              <w:numId w:val="104"/>
            </w:numPr>
            <w:tabs>
              <w:tab w:val="left" w:pos="567"/>
            </w:tabs>
            <w:spacing w:beforeLines="50" w:before="120" w:afterLines="50" w:after="120" w:line="360" w:lineRule="exact"/>
            <w:ind w:left="862"/>
            <w:jc w:val="both"/>
            <w:rPr>
              <w:rFonts w:cs="Times New Roman"/>
              <w:snapToGrid w:val="0"/>
              <w:color w:val="000000"/>
            </w:rPr>
          </w:pPr>
          <w:r>
            <w:rPr>
              <w:rFonts w:cs="Times New Roman"/>
              <w:snapToGrid w:val="0"/>
              <w:color w:val="000000"/>
            </w:rPr>
            <w:t>兖煤澳大利亚有限公司</w:t>
          </w:r>
        </w:p>
        <w:p w14:paraId="7293DFEB" w14:textId="77777777" w:rsidR="007E7472" w:rsidRDefault="00EC1269">
          <w:pPr>
            <w:tabs>
              <w:tab w:val="left" w:pos="426"/>
              <w:tab w:val="left" w:pos="800"/>
            </w:tabs>
            <w:spacing w:beforeLines="50" w:before="120" w:afterLines="50" w:after="120" w:line="360" w:lineRule="exact"/>
            <w:ind w:firstLineChars="200" w:firstLine="420"/>
            <w:jc w:val="both"/>
            <w:rPr>
              <w:rFonts w:cs="Times New Roman"/>
              <w:snapToGrid w:val="0"/>
              <w:color w:val="000000"/>
              <w:lang w:val="en-GB"/>
            </w:rPr>
          </w:pPr>
          <w:r>
            <w:rPr>
              <w:rFonts w:cs="Times New Roman"/>
              <w:snapToGrid w:val="0"/>
              <w:color w:val="000000"/>
              <w:lang w:val="en-GB"/>
            </w:rPr>
            <w:t>兖煤澳大利亚有限公司系本公司</w:t>
          </w:r>
          <w:r>
            <w:rPr>
              <w:rFonts w:cs="Times New Roman" w:hint="eastAsia"/>
              <w:snapToGrid w:val="0"/>
              <w:color w:val="000000"/>
              <w:lang w:val="en-GB"/>
            </w:rPr>
            <w:t>控股</w:t>
          </w:r>
          <w:r>
            <w:rPr>
              <w:rFonts w:cs="Times New Roman"/>
              <w:snapToGrid w:val="0"/>
              <w:color w:val="000000"/>
              <w:lang w:val="en-GB"/>
            </w:rPr>
            <w:t>子公司，成立于2004年11月，实收资本6,400万澳元。2011年9月，本公司对澳洲公司增资90,900万澳元，澳洲公司注册资本增加为97,300万澳元。2012年6月，澳洲公司剥离部分资产至兖煤国际（控股）有限公司，导致注册资本减少65,314万澳元，为子公司收购格罗斯特发行股票增加注册资本33,684万澳元后，澳洲公司注册资本变更为65,670万澳元，</w:t>
          </w:r>
          <w:r>
            <w:rPr>
              <w:rFonts w:cs="Times New Roman" w:hint="eastAsia"/>
              <w:snapToGrid w:val="0"/>
              <w:color w:val="000000"/>
              <w:lang w:val="en-GB"/>
            </w:rPr>
            <w:t>2014年，澳洲公司通过发行可转换混合资本票据及实现或有期权（CVR）使注册资本增加至310,556万澳元，</w:t>
          </w:r>
          <w:r>
            <w:rPr>
              <w:rFonts w:cs="Times New Roman"/>
              <w:snapToGrid w:val="0"/>
              <w:color w:val="000000"/>
              <w:lang w:val="en-GB"/>
            </w:rPr>
            <w:t>本公司持有澳洲公司股权变更为78%。同时澳洲公司取代格罗斯特于2012年6月28日在澳大利亚证券交易所上市交易。澳洲公司注册登记号为111859119，主要负责本公司在澳大利亚的营运、预算、投融资等活动。</w:t>
          </w:r>
        </w:p>
        <w:p w14:paraId="2E021E2D" w14:textId="77777777" w:rsidR="007E7472" w:rsidRDefault="00EC1269">
          <w:pPr>
            <w:spacing w:beforeLines="50" w:before="120" w:afterLines="50" w:after="120" w:line="360" w:lineRule="exact"/>
            <w:ind w:firstLineChars="200" w:firstLine="420"/>
            <w:jc w:val="both"/>
            <w:rPr>
              <w:rFonts w:cs="Times New Roman"/>
              <w:snapToGrid w:val="0"/>
              <w:color w:val="000000"/>
              <w:lang w:val="en-GB"/>
            </w:rPr>
          </w:pPr>
          <w:r>
            <w:rPr>
              <w:rFonts w:cs="Times New Roman" w:hint="eastAsia"/>
              <w:snapToGrid w:val="0"/>
              <w:color w:val="000000"/>
              <w:lang w:val="en-GB"/>
            </w:rPr>
            <w:t>于</w:t>
          </w:r>
          <w:r>
            <w:rPr>
              <w:rFonts w:cs="Times New Roman"/>
              <w:snapToGrid w:val="0"/>
              <w:color w:val="000000"/>
              <w:lang w:val="en-GB"/>
            </w:rPr>
            <w:t>2017</w:t>
          </w:r>
          <w:r>
            <w:rPr>
              <w:rFonts w:cs="Times New Roman" w:hint="eastAsia"/>
              <w:snapToGrid w:val="0"/>
              <w:color w:val="000000"/>
              <w:lang w:val="en-GB"/>
            </w:rPr>
            <w:t>年</w:t>
          </w:r>
          <w:r>
            <w:rPr>
              <w:rFonts w:cs="Times New Roman"/>
              <w:snapToGrid w:val="0"/>
              <w:color w:val="000000"/>
              <w:lang w:val="en-GB"/>
            </w:rPr>
            <w:t>8</w:t>
          </w:r>
          <w:r>
            <w:rPr>
              <w:rFonts w:cs="Times New Roman" w:hint="eastAsia"/>
              <w:snapToGrid w:val="0"/>
              <w:color w:val="000000"/>
              <w:lang w:val="en-GB"/>
            </w:rPr>
            <w:t>月</w:t>
          </w:r>
          <w:r>
            <w:rPr>
              <w:rFonts w:cs="Times New Roman"/>
              <w:snapToGrid w:val="0"/>
              <w:color w:val="000000"/>
              <w:lang w:val="en-GB"/>
            </w:rPr>
            <w:t>31</w:t>
          </w:r>
          <w:r>
            <w:rPr>
              <w:rFonts w:cs="Times New Roman" w:hint="eastAsia"/>
              <w:snapToGrid w:val="0"/>
              <w:color w:val="000000"/>
              <w:lang w:val="en-GB"/>
            </w:rPr>
            <w:t>日，本公司将其持有的</w:t>
          </w:r>
          <w:r>
            <w:rPr>
              <w:rFonts w:cs="Times New Roman"/>
              <w:snapToGrid w:val="0"/>
              <w:color w:val="000000"/>
              <w:lang w:val="en-GB"/>
            </w:rPr>
            <w:t>1,800,003,100</w:t>
          </w:r>
          <w:r>
            <w:rPr>
              <w:rFonts w:cs="Times New Roman" w:hint="eastAsia"/>
              <w:snapToGrid w:val="0"/>
              <w:color w:val="000000"/>
              <w:lang w:val="en-GB"/>
            </w:rPr>
            <w:t>美元，折合人民币11,014,218,969元澳洲公司混合债以每股</w:t>
          </w:r>
          <w:r>
            <w:rPr>
              <w:rFonts w:cs="Times New Roman"/>
              <w:snapToGrid w:val="0"/>
              <w:color w:val="000000"/>
              <w:lang w:val="en-GB"/>
            </w:rPr>
            <w:t>0.1</w:t>
          </w:r>
          <w:r>
            <w:rPr>
              <w:rFonts w:cs="Times New Roman" w:hint="eastAsia"/>
              <w:snapToGrid w:val="0"/>
              <w:color w:val="000000"/>
              <w:lang w:val="en-GB"/>
            </w:rPr>
            <w:t>美元的价格转换为澳洲公司</w:t>
          </w:r>
          <w:r>
            <w:rPr>
              <w:rFonts w:cs="Times New Roman"/>
              <w:snapToGrid w:val="0"/>
              <w:color w:val="000000"/>
              <w:lang w:val="en-GB"/>
            </w:rPr>
            <w:t>18,000,031,000</w:t>
          </w:r>
          <w:r>
            <w:rPr>
              <w:rFonts w:cs="Times New Roman" w:hint="eastAsia"/>
              <w:snapToGrid w:val="0"/>
              <w:color w:val="000000"/>
              <w:lang w:val="en-GB"/>
            </w:rPr>
            <w:t>股股份。同时澳洲公司以每股</w:t>
          </w:r>
          <w:r>
            <w:rPr>
              <w:rFonts w:cs="Times New Roman"/>
              <w:snapToGrid w:val="0"/>
              <w:color w:val="000000"/>
              <w:lang w:val="en-GB"/>
            </w:rPr>
            <w:t>0.1</w:t>
          </w:r>
          <w:r>
            <w:rPr>
              <w:rFonts w:cs="Times New Roman" w:hint="eastAsia"/>
              <w:snapToGrid w:val="0"/>
              <w:color w:val="000000"/>
              <w:lang w:val="en-GB"/>
            </w:rPr>
            <w:t>美元的价格配股发行了</w:t>
          </w:r>
          <w:r>
            <w:rPr>
              <w:rFonts w:cs="Times New Roman"/>
              <w:snapToGrid w:val="0"/>
              <w:color w:val="000000"/>
              <w:lang w:val="en-GB"/>
            </w:rPr>
            <w:t>23,464,929,520</w:t>
          </w:r>
          <w:r>
            <w:rPr>
              <w:rFonts w:cs="Times New Roman" w:hint="eastAsia"/>
              <w:snapToGrid w:val="0"/>
              <w:color w:val="000000"/>
              <w:lang w:val="en-GB"/>
            </w:rPr>
            <w:t>股股份，并向机构投资者以每股</w:t>
          </w:r>
          <w:r>
            <w:rPr>
              <w:rFonts w:cs="Times New Roman"/>
              <w:snapToGrid w:val="0"/>
              <w:color w:val="000000"/>
              <w:lang w:val="en-GB"/>
            </w:rPr>
            <w:t>0.1</w:t>
          </w:r>
          <w:r>
            <w:rPr>
              <w:rFonts w:cs="Times New Roman" w:hint="eastAsia"/>
              <w:snapToGrid w:val="0"/>
              <w:color w:val="000000"/>
              <w:lang w:val="en-GB"/>
            </w:rPr>
            <w:t>美元定向增发了</w:t>
          </w:r>
          <w:r>
            <w:rPr>
              <w:rFonts w:cs="Times New Roman"/>
              <w:snapToGrid w:val="0"/>
              <w:color w:val="000000"/>
              <w:lang w:val="en-GB"/>
            </w:rPr>
            <w:t>1,500,000,000</w:t>
          </w:r>
          <w:r>
            <w:rPr>
              <w:rFonts w:cs="Times New Roman" w:hint="eastAsia"/>
              <w:snapToGrid w:val="0"/>
              <w:color w:val="000000"/>
              <w:lang w:val="en-GB"/>
            </w:rPr>
            <w:t>股股份，本公司以</w:t>
          </w:r>
          <w:r>
            <w:rPr>
              <w:rFonts w:cs="Times New Roman"/>
              <w:snapToGrid w:val="0"/>
              <w:color w:val="000000"/>
              <w:lang w:val="en-GB"/>
            </w:rPr>
            <w:t>10</w:t>
          </w:r>
          <w:r>
            <w:rPr>
              <w:rFonts w:cs="Times New Roman" w:hint="eastAsia"/>
              <w:snapToGrid w:val="0"/>
              <w:color w:val="000000"/>
              <w:lang w:val="en-GB"/>
            </w:rPr>
            <w:t>亿美元，折合人民币6,629,300,000元认购取得澳洲公司</w:t>
          </w:r>
          <w:r>
            <w:rPr>
              <w:rFonts w:cs="Times New Roman"/>
              <w:snapToGrid w:val="0"/>
              <w:color w:val="000000"/>
              <w:lang w:val="en-GB"/>
            </w:rPr>
            <w:t>100</w:t>
          </w:r>
          <w:r>
            <w:rPr>
              <w:rFonts w:cs="Times New Roman" w:hint="eastAsia"/>
              <w:snapToGrid w:val="0"/>
              <w:color w:val="000000"/>
              <w:lang w:val="en-GB"/>
            </w:rPr>
            <w:t>亿股股份。澳洲公司完成混合债转股、配股、定向增发后，本公司持有澳洲公司的股份由</w:t>
          </w:r>
          <w:r>
            <w:rPr>
              <w:rFonts w:cs="Times New Roman"/>
              <w:snapToGrid w:val="0"/>
              <w:color w:val="000000"/>
              <w:lang w:val="en-GB"/>
            </w:rPr>
            <w:t>77,548,899</w:t>
          </w:r>
          <w:r>
            <w:rPr>
              <w:rFonts w:cs="Times New Roman" w:hint="eastAsia"/>
              <w:snapToGrid w:val="0"/>
              <w:color w:val="000000"/>
              <w:lang w:val="en-GB"/>
            </w:rPr>
            <w:t>股增加至</w:t>
          </w:r>
          <w:r>
            <w:rPr>
              <w:rFonts w:cs="Times New Roman"/>
              <w:snapToGrid w:val="0"/>
              <w:color w:val="000000"/>
              <w:lang w:val="en-GB"/>
            </w:rPr>
            <w:t>28,775,519,994</w:t>
          </w:r>
          <w:r>
            <w:rPr>
              <w:rFonts w:cs="Times New Roman" w:hint="eastAsia"/>
              <w:snapToGrid w:val="0"/>
              <w:color w:val="000000"/>
              <w:lang w:val="en-GB"/>
            </w:rPr>
            <w:t>股，持股比例由</w:t>
          </w:r>
          <w:r>
            <w:rPr>
              <w:rFonts w:cs="Times New Roman"/>
              <w:snapToGrid w:val="0"/>
              <w:color w:val="000000"/>
              <w:lang w:val="en-GB"/>
            </w:rPr>
            <w:t>78%</w:t>
          </w:r>
          <w:r>
            <w:rPr>
              <w:rFonts w:cs="Times New Roman" w:hint="eastAsia"/>
              <w:snapToGrid w:val="0"/>
              <w:color w:val="000000"/>
              <w:lang w:val="en-GB"/>
            </w:rPr>
            <w:t>下降至</w:t>
          </w:r>
          <w:r>
            <w:rPr>
              <w:rFonts w:cs="Times New Roman"/>
              <w:snapToGrid w:val="0"/>
              <w:color w:val="000000"/>
              <w:lang w:val="en-GB"/>
            </w:rPr>
            <w:t>65.46%</w:t>
          </w:r>
          <w:r>
            <w:rPr>
              <w:rFonts w:cs="Times New Roman" w:hint="eastAsia"/>
              <w:snapToGrid w:val="0"/>
              <w:color w:val="000000"/>
              <w:lang w:val="en-GB"/>
            </w:rPr>
            <w:t>。</w:t>
          </w:r>
        </w:p>
        <w:p w14:paraId="224C7C17" w14:textId="77777777" w:rsidR="007E7472" w:rsidRDefault="00EC1269">
          <w:pPr>
            <w:tabs>
              <w:tab w:val="left" w:pos="426"/>
              <w:tab w:val="left" w:pos="800"/>
            </w:tabs>
            <w:spacing w:beforeLines="50" w:before="120" w:afterLines="50" w:after="120" w:line="360" w:lineRule="exact"/>
            <w:ind w:firstLineChars="200" w:firstLine="420"/>
            <w:jc w:val="both"/>
            <w:rPr>
              <w:rFonts w:cs="Times New Roman"/>
              <w:snapToGrid w:val="0"/>
              <w:color w:val="000000"/>
              <w:lang w:val="en-GB"/>
            </w:rPr>
          </w:pPr>
          <w:r>
            <w:rPr>
              <w:rFonts w:cs="Times New Roman" w:hint="eastAsia"/>
              <w:snapToGrid w:val="0"/>
              <w:color w:val="000000"/>
              <w:lang w:val="en-GB"/>
            </w:rPr>
            <w:t>经本公司于2018年6月29日召开的第七届董事会第十五次会议审议批准，澳洲公司于2018年6月29日向香港联交所有限公司保密递交了上市申请。于2018年12月6日，澳洲公司实现了香港联交所上市，澳洲公司为实现上市而发售澳洲公司股份，并经全球发售、配股及超额配售权部分行使全部完成后，澳洲公司已发行股份总数由1,256,071,756股增加至1,320,439,437股，本公司持有澳洲公司的股份数量仍为822,157,715股，持股比例由约65.45%稀释为约62.26%。</w:t>
          </w:r>
        </w:p>
        <w:p w14:paraId="6B414CBA" w14:textId="77777777" w:rsidR="007E7472" w:rsidRDefault="00EC1269">
          <w:pPr>
            <w:tabs>
              <w:tab w:val="left" w:pos="426"/>
              <w:tab w:val="left" w:pos="800"/>
            </w:tabs>
            <w:spacing w:beforeLines="50" w:before="120" w:afterLines="50" w:after="120" w:line="360" w:lineRule="exact"/>
            <w:ind w:firstLineChars="200" w:firstLine="420"/>
            <w:jc w:val="both"/>
            <w:rPr>
              <w:rFonts w:cs="Times New Roman"/>
              <w:snapToGrid w:val="0"/>
              <w:color w:val="000000"/>
              <w:lang w:val="en-GB"/>
            </w:rPr>
          </w:pPr>
          <w:r>
            <w:rPr>
              <w:rFonts w:cs="Times New Roman"/>
              <w:snapToGrid w:val="0"/>
              <w:color w:val="000000"/>
              <w:lang w:val="en-GB"/>
            </w:rPr>
            <w:lastRenderedPageBreak/>
            <w:t>澳洲公司主要控股子公司如下：</w:t>
          </w:r>
        </w:p>
        <w:tbl>
          <w:tblPr>
            <w:tblStyle w:val="g4"/>
            <w:tblW w:w="8723" w:type="dxa"/>
            <w:tblInd w:w="-34" w:type="dxa"/>
            <w:tblBorders>
              <w:top w:val="double" w:sz="4" w:space="0" w:color="auto"/>
              <w:bottom w:val="double" w:sz="4" w:space="0" w:color="auto"/>
              <w:insideH w:val="single" w:sz="2" w:space="0" w:color="auto"/>
              <w:insideV w:val="single" w:sz="2" w:space="0" w:color="auto"/>
            </w:tblBorders>
            <w:tblLayout w:type="fixed"/>
            <w:tblLook w:val="04A0" w:firstRow="1" w:lastRow="0" w:firstColumn="1" w:lastColumn="0" w:noHBand="0" w:noVBand="1"/>
          </w:tblPr>
          <w:tblGrid>
            <w:gridCol w:w="2975"/>
            <w:gridCol w:w="1136"/>
            <w:gridCol w:w="1560"/>
            <w:gridCol w:w="1984"/>
            <w:gridCol w:w="1068"/>
          </w:tblGrid>
          <w:tr w:rsidR="007E7472" w14:paraId="5E1144DD" w14:textId="77777777">
            <w:trPr>
              <w:trHeight w:val="397"/>
              <w:tblHeader/>
            </w:trPr>
            <w:tc>
              <w:tcPr>
                <w:tcW w:w="2975" w:type="dxa"/>
                <w:vAlign w:val="center"/>
              </w:tcPr>
              <w:p w14:paraId="43297B9F" w14:textId="77777777" w:rsidR="007E7472" w:rsidRDefault="00EC1269">
                <w:pPr>
                  <w:jc w:val="both"/>
                  <w:rPr>
                    <w:rFonts w:cs="Times New Roman"/>
                    <w:b/>
                    <w:snapToGrid w:val="0"/>
                    <w:spacing w:val="-20"/>
                  </w:rPr>
                </w:pPr>
                <w:r>
                  <w:rPr>
                    <w:rFonts w:cs="Times New Roman"/>
                    <w:b/>
                    <w:snapToGrid w:val="0"/>
                    <w:spacing w:val="-20"/>
                  </w:rPr>
                  <w:t>公司名称</w:t>
                </w:r>
              </w:p>
            </w:tc>
            <w:tc>
              <w:tcPr>
                <w:tcW w:w="1136" w:type="dxa"/>
                <w:vAlign w:val="center"/>
              </w:tcPr>
              <w:p w14:paraId="29786CF0" w14:textId="77777777" w:rsidR="007E7472" w:rsidRDefault="00EC1269">
                <w:pPr>
                  <w:jc w:val="center"/>
                  <w:rPr>
                    <w:rFonts w:cs="Times New Roman"/>
                    <w:b/>
                    <w:snapToGrid w:val="0"/>
                    <w:spacing w:val="-20"/>
                  </w:rPr>
                </w:pPr>
                <w:r>
                  <w:rPr>
                    <w:rFonts w:cs="Times New Roman"/>
                    <w:b/>
                    <w:snapToGrid w:val="0"/>
                    <w:spacing w:val="-20"/>
                  </w:rPr>
                  <w:t>注册地</w:t>
                </w:r>
              </w:p>
            </w:tc>
            <w:tc>
              <w:tcPr>
                <w:tcW w:w="1560" w:type="dxa"/>
                <w:vAlign w:val="center"/>
              </w:tcPr>
              <w:p w14:paraId="0BF7F56D" w14:textId="77777777" w:rsidR="007E7472" w:rsidRDefault="00EC1269">
                <w:pPr>
                  <w:jc w:val="center"/>
                  <w:rPr>
                    <w:rFonts w:cs="Times New Roman"/>
                    <w:b/>
                    <w:snapToGrid w:val="0"/>
                    <w:spacing w:val="-20"/>
                  </w:rPr>
                </w:pPr>
                <w:r>
                  <w:rPr>
                    <w:rFonts w:cs="Times New Roman"/>
                    <w:b/>
                    <w:snapToGrid w:val="0"/>
                    <w:spacing w:val="-20"/>
                  </w:rPr>
                  <w:t>注册资本</w:t>
                </w:r>
              </w:p>
            </w:tc>
            <w:tc>
              <w:tcPr>
                <w:tcW w:w="1984" w:type="dxa"/>
                <w:vAlign w:val="center"/>
              </w:tcPr>
              <w:p w14:paraId="428F1FF4" w14:textId="77777777" w:rsidR="007E7472" w:rsidRDefault="00EC1269">
                <w:pPr>
                  <w:jc w:val="center"/>
                  <w:rPr>
                    <w:rFonts w:cs="Times New Roman"/>
                    <w:b/>
                    <w:snapToGrid w:val="0"/>
                    <w:spacing w:val="-20"/>
                  </w:rPr>
                </w:pPr>
                <w:r>
                  <w:rPr>
                    <w:rFonts w:cs="Times New Roman"/>
                    <w:b/>
                    <w:snapToGrid w:val="0"/>
                    <w:spacing w:val="-20"/>
                  </w:rPr>
                  <w:t>经营范围</w:t>
                </w:r>
              </w:p>
            </w:tc>
            <w:tc>
              <w:tcPr>
                <w:tcW w:w="1068" w:type="dxa"/>
                <w:vAlign w:val="center"/>
              </w:tcPr>
              <w:p w14:paraId="07C9A6D1" w14:textId="77777777" w:rsidR="007E7472" w:rsidRDefault="00EC1269">
                <w:pPr>
                  <w:jc w:val="center"/>
                  <w:rPr>
                    <w:rFonts w:cs="Times New Roman"/>
                    <w:b/>
                    <w:snapToGrid w:val="0"/>
                    <w:spacing w:val="-20"/>
                  </w:rPr>
                </w:pPr>
                <w:r>
                  <w:rPr>
                    <w:rFonts w:cs="Times New Roman"/>
                    <w:b/>
                    <w:snapToGrid w:val="0"/>
                    <w:spacing w:val="-20"/>
                  </w:rPr>
                  <w:t>持股比例(%)</w:t>
                </w:r>
              </w:p>
            </w:tc>
          </w:tr>
          <w:tr w:rsidR="007E7472" w14:paraId="12113F58" w14:textId="77777777">
            <w:trPr>
              <w:trHeight w:val="397"/>
            </w:trPr>
            <w:tc>
              <w:tcPr>
                <w:tcW w:w="2975" w:type="dxa"/>
                <w:vAlign w:val="center"/>
              </w:tcPr>
              <w:p w14:paraId="578BC12E" w14:textId="77777777" w:rsidR="007E7472" w:rsidRDefault="00EC1269">
                <w:pPr>
                  <w:ind w:leftChars="-50" w:left="-105" w:rightChars="-53" w:right="-111"/>
                  <w:jc w:val="both"/>
                  <w:rPr>
                    <w:rFonts w:cs="Times New Roman"/>
                    <w:snapToGrid w:val="0"/>
                    <w:spacing w:val="-20"/>
                  </w:rPr>
                </w:pPr>
                <w:r>
                  <w:rPr>
                    <w:rFonts w:cs="Times New Roman"/>
                    <w:color w:val="000000"/>
                    <w:spacing w:val="-20"/>
                  </w:rPr>
                  <w:t>格罗斯特煤炭有限公司</w:t>
                </w:r>
              </w:p>
            </w:tc>
            <w:tc>
              <w:tcPr>
                <w:tcW w:w="1136" w:type="dxa"/>
                <w:vAlign w:val="center"/>
              </w:tcPr>
              <w:p w14:paraId="277ED4F5" w14:textId="77777777" w:rsidR="007E7472" w:rsidRDefault="00EC1269">
                <w:pPr>
                  <w:jc w:val="center"/>
                  <w:rPr>
                    <w:rFonts w:cs="Times New Roman"/>
                    <w:snapToGrid w:val="0"/>
                    <w:color w:val="000000"/>
                    <w:spacing w:val="-20"/>
                    <w:lang w:val="en-GB"/>
                  </w:rPr>
                </w:pPr>
                <w:r>
                  <w:rPr>
                    <w:rFonts w:cs="Times New Roman"/>
                    <w:snapToGrid w:val="0"/>
                    <w:color w:val="000000"/>
                    <w:spacing w:val="-20"/>
                    <w:lang w:val="en-GB"/>
                  </w:rPr>
                  <w:t>澳大利亚</w:t>
                </w:r>
              </w:p>
            </w:tc>
            <w:tc>
              <w:tcPr>
                <w:tcW w:w="1560" w:type="dxa"/>
                <w:vAlign w:val="center"/>
              </w:tcPr>
              <w:p w14:paraId="47BC8D46" w14:textId="77777777" w:rsidR="007E7472" w:rsidRDefault="00EC1269">
                <w:pPr>
                  <w:ind w:leftChars="-76" w:left="-16" w:hangingChars="76" w:hanging="144"/>
                  <w:jc w:val="right"/>
                  <w:rPr>
                    <w:rFonts w:cs="Times New Roman"/>
                    <w:snapToGrid w:val="0"/>
                    <w:spacing w:val="-20"/>
                  </w:rPr>
                </w:pPr>
                <w:r>
                  <w:rPr>
                    <w:rFonts w:cs="Times New Roman"/>
                    <w:snapToGrid w:val="0"/>
                    <w:spacing w:val="-20"/>
                  </w:rPr>
                  <w:t>71,972</w:t>
                </w:r>
                <w:r>
                  <w:rPr>
                    <w:rFonts w:cs="Times New Roman" w:hint="eastAsia"/>
                    <w:snapToGrid w:val="0"/>
                    <w:spacing w:val="-20"/>
                  </w:rPr>
                  <w:t>万</w:t>
                </w:r>
                <w:r>
                  <w:rPr>
                    <w:rFonts w:cs="Times New Roman" w:hint="eastAsia"/>
                    <w:color w:val="000000"/>
                    <w:spacing w:val="-20"/>
                  </w:rPr>
                  <w:t>澳元</w:t>
                </w:r>
              </w:p>
            </w:tc>
            <w:tc>
              <w:tcPr>
                <w:tcW w:w="1984" w:type="dxa"/>
                <w:vAlign w:val="center"/>
              </w:tcPr>
              <w:p w14:paraId="2784A134" w14:textId="77777777" w:rsidR="007E7472" w:rsidRDefault="00EC1269">
                <w:pPr>
                  <w:ind w:leftChars="-50" w:left="-105"/>
                  <w:jc w:val="both"/>
                  <w:rPr>
                    <w:rFonts w:cs="Times New Roman"/>
                    <w:color w:val="000000"/>
                    <w:spacing w:val="-20"/>
                  </w:rPr>
                </w:pPr>
                <w:r>
                  <w:rPr>
                    <w:rFonts w:cs="Times New Roman"/>
                    <w:color w:val="000000"/>
                    <w:spacing w:val="-20"/>
                  </w:rPr>
                  <w:t>煤炭及煤炭相关资源的开发和运营</w:t>
                </w:r>
              </w:p>
            </w:tc>
            <w:tc>
              <w:tcPr>
                <w:tcW w:w="1068" w:type="dxa"/>
                <w:vAlign w:val="center"/>
              </w:tcPr>
              <w:p w14:paraId="26291B83" w14:textId="77777777" w:rsidR="007E7472" w:rsidRDefault="00EC1269">
                <w:pPr>
                  <w:jc w:val="center"/>
                  <w:rPr>
                    <w:rFonts w:cs="Times New Roman"/>
                    <w:snapToGrid w:val="0"/>
                    <w:color w:val="000000"/>
                    <w:spacing w:val="-20"/>
                    <w:lang w:val="en-GB"/>
                  </w:rPr>
                </w:pPr>
                <w:r>
                  <w:rPr>
                    <w:rFonts w:cs="Times New Roman"/>
                    <w:snapToGrid w:val="0"/>
                    <w:color w:val="000000"/>
                    <w:spacing w:val="-20"/>
                    <w:lang w:val="en-GB"/>
                  </w:rPr>
                  <w:t>100</w:t>
                </w:r>
              </w:p>
            </w:tc>
          </w:tr>
          <w:tr w:rsidR="007E7472" w14:paraId="27239621" w14:textId="77777777">
            <w:trPr>
              <w:trHeight w:val="397"/>
            </w:trPr>
            <w:tc>
              <w:tcPr>
                <w:tcW w:w="2975" w:type="dxa"/>
                <w:vAlign w:val="center"/>
              </w:tcPr>
              <w:p w14:paraId="3AB7C2C6" w14:textId="77777777" w:rsidR="007E7472" w:rsidRDefault="00EC1269">
                <w:pPr>
                  <w:ind w:leftChars="-50" w:left="-105" w:rightChars="-53" w:right="-111"/>
                  <w:jc w:val="both"/>
                  <w:rPr>
                    <w:rFonts w:cs="Times New Roman"/>
                    <w:color w:val="000000"/>
                    <w:spacing w:val="-20"/>
                    <w:lang w:val="en-GB"/>
                  </w:rPr>
                </w:pPr>
                <w:r>
                  <w:rPr>
                    <w:rFonts w:cs="Times New Roman"/>
                    <w:color w:val="000000"/>
                    <w:spacing w:val="-20"/>
                  </w:rPr>
                  <w:t>兖煤澳大利亚资源有限公司</w:t>
                </w:r>
              </w:p>
            </w:tc>
            <w:tc>
              <w:tcPr>
                <w:tcW w:w="1136" w:type="dxa"/>
                <w:vAlign w:val="center"/>
              </w:tcPr>
              <w:p w14:paraId="36B7FB6C" w14:textId="77777777" w:rsidR="007E7472" w:rsidRDefault="00EC1269">
                <w:pPr>
                  <w:jc w:val="center"/>
                  <w:rPr>
                    <w:rFonts w:ascii="Times New Roman" w:hAnsi="Times New Roman" w:cs="Times New Roman"/>
                    <w:snapToGrid w:val="0"/>
                    <w:color w:val="000000"/>
                    <w:spacing w:val="-20"/>
                    <w:lang w:val="en-GB" w:eastAsia="en-US"/>
                  </w:rPr>
                </w:pPr>
                <w:r>
                  <w:rPr>
                    <w:rFonts w:cs="Times New Roman"/>
                    <w:snapToGrid w:val="0"/>
                    <w:color w:val="000000"/>
                    <w:spacing w:val="-20"/>
                    <w:lang w:val="en-GB"/>
                  </w:rPr>
                  <w:t>澳大利亚</w:t>
                </w:r>
              </w:p>
            </w:tc>
            <w:tc>
              <w:tcPr>
                <w:tcW w:w="1560" w:type="dxa"/>
                <w:vAlign w:val="center"/>
              </w:tcPr>
              <w:p w14:paraId="4B3541BD" w14:textId="77777777" w:rsidR="007E7472" w:rsidRDefault="00EC1269">
                <w:pPr>
                  <w:ind w:leftChars="-76" w:left="-16" w:hangingChars="76" w:hanging="144"/>
                  <w:jc w:val="right"/>
                  <w:rPr>
                    <w:rFonts w:cs="Times New Roman"/>
                    <w:snapToGrid w:val="0"/>
                    <w:spacing w:val="-20"/>
                  </w:rPr>
                </w:pPr>
                <w:r>
                  <w:rPr>
                    <w:rFonts w:cs="Times New Roman"/>
                    <w:snapToGrid w:val="0"/>
                    <w:spacing w:val="-20"/>
                  </w:rPr>
                  <w:t>44,641</w:t>
                </w:r>
                <w:r>
                  <w:rPr>
                    <w:rFonts w:cs="Times New Roman" w:hint="eastAsia"/>
                    <w:snapToGrid w:val="0"/>
                    <w:spacing w:val="-20"/>
                  </w:rPr>
                  <w:t>万澳元</w:t>
                </w:r>
              </w:p>
            </w:tc>
            <w:tc>
              <w:tcPr>
                <w:tcW w:w="1984" w:type="dxa"/>
                <w:vAlign w:val="center"/>
              </w:tcPr>
              <w:p w14:paraId="5527D1E4" w14:textId="77777777" w:rsidR="007E7472" w:rsidRDefault="00EC1269">
                <w:pPr>
                  <w:ind w:leftChars="-50" w:left="-105"/>
                  <w:jc w:val="both"/>
                  <w:rPr>
                    <w:rFonts w:cs="Times New Roman"/>
                    <w:color w:val="000000"/>
                    <w:spacing w:val="-20"/>
                  </w:rPr>
                </w:pPr>
                <w:r>
                  <w:rPr>
                    <w:rFonts w:cs="Times New Roman"/>
                    <w:color w:val="000000"/>
                    <w:spacing w:val="-20"/>
                  </w:rPr>
                  <w:t>煤炭开采与勘探</w:t>
                </w:r>
              </w:p>
            </w:tc>
            <w:tc>
              <w:tcPr>
                <w:tcW w:w="1068" w:type="dxa"/>
                <w:vAlign w:val="center"/>
              </w:tcPr>
              <w:p w14:paraId="73ABF6AF" w14:textId="77777777" w:rsidR="007E7472" w:rsidRDefault="00EC1269">
                <w:pPr>
                  <w:jc w:val="center"/>
                  <w:rPr>
                    <w:rFonts w:cs="Times New Roman"/>
                    <w:snapToGrid w:val="0"/>
                    <w:color w:val="000000"/>
                    <w:spacing w:val="-20"/>
                    <w:lang w:val="en-GB"/>
                  </w:rPr>
                </w:pPr>
                <w:r>
                  <w:rPr>
                    <w:rFonts w:cs="Times New Roman"/>
                    <w:snapToGrid w:val="0"/>
                    <w:color w:val="000000"/>
                    <w:spacing w:val="-20"/>
                    <w:lang w:val="en-GB"/>
                  </w:rPr>
                  <w:t>100</w:t>
                </w:r>
              </w:p>
            </w:tc>
          </w:tr>
          <w:tr w:rsidR="007E7472" w14:paraId="7AE893F2" w14:textId="77777777">
            <w:trPr>
              <w:trHeight w:val="397"/>
            </w:trPr>
            <w:tc>
              <w:tcPr>
                <w:tcW w:w="2975" w:type="dxa"/>
                <w:vAlign w:val="center"/>
              </w:tcPr>
              <w:p w14:paraId="1B4341E3" w14:textId="77777777" w:rsidR="007E7472" w:rsidRDefault="00EC1269">
                <w:pPr>
                  <w:ind w:leftChars="-50" w:left="-105" w:rightChars="-53" w:right="-111"/>
                  <w:jc w:val="both"/>
                  <w:rPr>
                    <w:rFonts w:cs="Times New Roman"/>
                    <w:color w:val="000000"/>
                    <w:spacing w:val="-20"/>
                  </w:rPr>
                </w:pPr>
                <w:r>
                  <w:rPr>
                    <w:rFonts w:cs="Times New Roman" w:hint="eastAsia"/>
                    <w:color w:val="000000"/>
                    <w:spacing w:val="-20"/>
                  </w:rPr>
                  <w:t>兖煤澳大利亚配煤销售有限公司</w:t>
                </w:r>
              </w:p>
            </w:tc>
            <w:tc>
              <w:tcPr>
                <w:tcW w:w="1136" w:type="dxa"/>
                <w:vAlign w:val="center"/>
              </w:tcPr>
              <w:p w14:paraId="7E436964" w14:textId="77777777" w:rsidR="007E7472" w:rsidRDefault="00EC1269">
                <w:pPr>
                  <w:jc w:val="center"/>
                  <w:rPr>
                    <w:rFonts w:ascii="Times New Roman" w:hAnsi="Times New Roman" w:cs="Times New Roman"/>
                    <w:snapToGrid w:val="0"/>
                    <w:color w:val="000000"/>
                    <w:spacing w:val="-20"/>
                    <w:lang w:val="en-GB" w:eastAsia="en-US"/>
                  </w:rPr>
                </w:pPr>
                <w:r>
                  <w:rPr>
                    <w:rFonts w:cs="Times New Roman"/>
                    <w:snapToGrid w:val="0"/>
                    <w:color w:val="000000"/>
                    <w:spacing w:val="-20"/>
                    <w:lang w:val="en-GB"/>
                  </w:rPr>
                  <w:t>澳大利亚</w:t>
                </w:r>
              </w:p>
            </w:tc>
            <w:tc>
              <w:tcPr>
                <w:tcW w:w="1560" w:type="dxa"/>
                <w:vAlign w:val="center"/>
              </w:tcPr>
              <w:p w14:paraId="7B2F2FEA" w14:textId="77777777" w:rsidR="007E7472" w:rsidRDefault="00EC1269">
                <w:pPr>
                  <w:ind w:leftChars="-76" w:left="-16" w:hangingChars="76" w:hanging="144"/>
                  <w:jc w:val="right"/>
                  <w:rPr>
                    <w:rFonts w:cs="Times New Roman"/>
                    <w:snapToGrid w:val="0"/>
                    <w:spacing w:val="-20"/>
                  </w:rPr>
                </w:pPr>
                <w:r>
                  <w:rPr>
                    <w:rFonts w:cs="Times New Roman" w:hint="eastAsia"/>
                    <w:snapToGrid w:val="0"/>
                    <w:spacing w:val="-20"/>
                  </w:rPr>
                  <w:t>100澳元</w:t>
                </w:r>
              </w:p>
            </w:tc>
            <w:tc>
              <w:tcPr>
                <w:tcW w:w="1984" w:type="dxa"/>
                <w:vAlign w:val="center"/>
              </w:tcPr>
              <w:p w14:paraId="5C4E1752" w14:textId="77777777" w:rsidR="007E7472" w:rsidRDefault="00EC1269">
                <w:pPr>
                  <w:ind w:leftChars="-50" w:left="-105"/>
                  <w:jc w:val="both"/>
                  <w:rPr>
                    <w:rFonts w:cs="Times New Roman"/>
                    <w:color w:val="000000"/>
                    <w:spacing w:val="-20"/>
                  </w:rPr>
                </w:pPr>
                <w:r>
                  <w:rPr>
                    <w:rFonts w:cs="Times New Roman" w:hint="eastAsia"/>
                    <w:color w:val="000000"/>
                    <w:spacing w:val="-20"/>
                  </w:rPr>
                  <w:t>混煤的销售</w:t>
                </w:r>
              </w:p>
            </w:tc>
            <w:tc>
              <w:tcPr>
                <w:tcW w:w="1068" w:type="dxa"/>
                <w:vAlign w:val="center"/>
              </w:tcPr>
              <w:p w14:paraId="3AE1939C" w14:textId="77777777" w:rsidR="007E7472" w:rsidRDefault="00EC1269">
                <w:pPr>
                  <w:jc w:val="center"/>
                  <w:rPr>
                    <w:rFonts w:cs="Times New Roman"/>
                    <w:snapToGrid w:val="0"/>
                    <w:color w:val="000000"/>
                    <w:spacing w:val="-20"/>
                    <w:lang w:val="en-GB"/>
                  </w:rPr>
                </w:pPr>
                <w:r>
                  <w:rPr>
                    <w:rFonts w:cs="Times New Roman" w:hint="eastAsia"/>
                    <w:snapToGrid w:val="0"/>
                    <w:color w:val="000000"/>
                    <w:spacing w:val="-20"/>
                    <w:lang w:val="en-GB"/>
                  </w:rPr>
                  <w:t>100</w:t>
                </w:r>
              </w:p>
            </w:tc>
          </w:tr>
          <w:tr w:rsidR="007E7472" w14:paraId="7DC93973" w14:textId="77777777">
            <w:trPr>
              <w:trHeight w:val="397"/>
            </w:trPr>
            <w:tc>
              <w:tcPr>
                <w:tcW w:w="2975" w:type="dxa"/>
                <w:vAlign w:val="center"/>
              </w:tcPr>
              <w:p w14:paraId="4780A7AB" w14:textId="77777777" w:rsidR="007E7472" w:rsidRDefault="00EC1269">
                <w:pPr>
                  <w:ind w:leftChars="-50" w:left="-105" w:rightChars="-53" w:right="-111"/>
                  <w:jc w:val="both"/>
                  <w:rPr>
                    <w:rFonts w:cs="Times New Roman"/>
                    <w:color w:val="000000"/>
                    <w:spacing w:val="-20"/>
                  </w:rPr>
                </w:pPr>
                <w:r>
                  <w:rPr>
                    <w:rFonts w:cs="Times New Roman" w:hint="eastAsia"/>
                    <w:color w:val="000000"/>
                    <w:spacing w:val="-20"/>
                  </w:rPr>
                  <w:t>兖煤矿业服务有限公司</w:t>
                </w:r>
              </w:p>
            </w:tc>
            <w:tc>
              <w:tcPr>
                <w:tcW w:w="1136" w:type="dxa"/>
                <w:vAlign w:val="center"/>
              </w:tcPr>
              <w:p w14:paraId="2DAD3598" w14:textId="77777777" w:rsidR="007E7472" w:rsidRDefault="00EC1269">
                <w:pPr>
                  <w:jc w:val="center"/>
                  <w:rPr>
                    <w:rFonts w:ascii="Times New Roman" w:hAnsi="Times New Roman" w:cs="Times New Roman"/>
                    <w:snapToGrid w:val="0"/>
                    <w:color w:val="000000"/>
                    <w:spacing w:val="-20"/>
                    <w:lang w:val="en-GB" w:eastAsia="en-US"/>
                  </w:rPr>
                </w:pPr>
                <w:r>
                  <w:rPr>
                    <w:rFonts w:cs="Times New Roman"/>
                    <w:snapToGrid w:val="0"/>
                    <w:color w:val="000000"/>
                    <w:spacing w:val="-20"/>
                    <w:lang w:val="en-GB"/>
                  </w:rPr>
                  <w:t>澳大利亚</w:t>
                </w:r>
              </w:p>
            </w:tc>
            <w:tc>
              <w:tcPr>
                <w:tcW w:w="1560" w:type="dxa"/>
                <w:vAlign w:val="center"/>
              </w:tcPr>
              <w:p w14:paraId="68EDE654" w14:textId="77777777" w:rsidR="007E7472" w:rsidRDefault="00EC1269">
                <w:pPr>
                  <w:ind w:leftChars="-76" w:left="-16" w:hangingChars="76" w:hanging="144"/>
                  <w:jc w:val="right"/>
                  <w:rPr>
                    <w:rFonts w:cs="Times New Roman"/>
                    <w:snapToGrid w:val="0"/>
                    <w:spacing w:val="-20"/>
                  </w:rPr>
                </w:pPr>
                <w:r>
                  <w:rPr>
                    <w:rFonts w:cs="Times New Roman" w:hint="eastAsia"/>
                    <w:snapToGrid w:val="0"/>
                    <w:spacing w:val="-20"/>
                  </w:rPr>
                  <w:t>100澳元</w:t>
                </w:r>
              </w:p>
            </w:tc>
            <w:tc>
              <w:tcPr>
                <w:tcW w:w="1984" w:type="dxa"/>
                <w:vAlign w:val="center"/>
              </w:tcPr>
              <w:p w14:paraId="09AA03C1" w14:textId="77777777" w:rsidR="007E7472" w:rsidRDefault="00EC1269">
                <w:pPr>
                  <w:ind w:leftChars="-50" w:left="-105" w:rightChars="-53" w:right="-111"/>
                  <w:jc w:val="both"/>
                  <w:rPr>
                    <w:rFonts w:cs="Times New Roman"/>
                    <w:color w:val="000000"/>
                    <w:spacing w:val="-20"/>
                  </w:rPr>
                </w:pPr>
                <w:r>
                  <w:rPr>
                    <w:rFonts w:cs="Times New Roman" w:hint="eastAsia"/>
                    <w:color w:val="000000"/>
                    <w:spacing w:val="-20"/>
                  </w:rPr>
                  <w:t>矿业服务</w:t>
                </w:r>
              </w:p>
            </w:tc>
            <w:tc>
              <w:tcPr>
                <w:tcW w:w="1068" w:type="dxa"/>
                <w:vAlign w:val="center"/>
              </w:tcPr>
              <w:p w14:paraId="5A5EB16B" w14:textId="77777777" w:rsidR="007E7472" w:rsidRDefault="00EC1269">
                <w:pPr>
                  <w:jc w:val="center"/>
                  <w:rPr>
                    <w:rFonts w:cs="Times New Roman"/>
                    <w:snapToGrid w:val="0"/>
                    <w:color w:val="000000"/>
                    <w:spacing w:val="-20"/>
                    <w:lang w:val="en-GB"/>
                  </w:rPr>
                </w:pPr>
                <w:r>
                  <w:rPr>
                    <w:rFonts w:cs="Times New Roman" w:hint="eastAsia"/>
                    <w:snapToGrid w:val="0"/>
                    <w:color w:val="000000"/>
                    <w:spacing w:val="-20"/>
                    <w:lang w:val="en-GB"/>
                  </w:rPr>
                  <w:t>100</w:t>
                </w:r>
              </w:p>
            </w:tc>
          </w:tr>
          <w:tr w:rsidR="007E7472" w14:paraId="3D543379" w14:textId="77777777">
            <w:trPr>
              <w:trHeight w:val="397"/>
            </w:trPr>
            <w:tc>
              <w:tcPr>
                <w:tcW w:w="2975" w:type="dxa"/>
                <w:vAlign w:val="center"/>
              </w:tcPr>
              <w:p w14:paraId="2BADD9FA" w14:textId="77777777" w:rsidR="007E7472" w:rsidRDefault="00EC1269">
                <w:pPr>
                  <w:ind w:leftChars="-50" w:left="-105" w:rightChars="-53" w:right="-111"/>
                  <w:jc w:val="both"/>
                  <w:rPr>
                    <w:rFonts w:cs="Times New Roman"/>
                    <w:color w:val="000000"/>
                    <w:spacing w:val="-20"/>
                  </w:rPr>
                </w:pPr>
                <w:r>
                  <w:rPr>
                    <w:rFonts w:cs="Times New Roman" w:hint="eastAsia"/>
                    <w:color w:val="000000"/>
                    <w:spacing w:val="-20"/>
                  </w:rPr>
                  <w:t>联合煤炭工业有限公司</w:t>
                </w:r>
              </w:p>
            </w:tc>
            <w:tc>
              <w:tcPr>
                <w:tcW w:w="1136" w:type="dxa"/>
                <w:vAlign w:val="center"/>
              </w:tcPr>
              <w:p w14:paraId="4790268F" w14:textId="77777777" w:rsidR="007E7472" w:rsidRDefault="00EC1269">
                <w:pPr>
                  <w:jc w:val="center"/>
                  <w:rPr>
                    <w:rFonts w:ascii="Times New Roman" w:hAnsi="Times New Roman" w:cs="Times New Roman"/>
                    <w:color w:val="000000"/>
                    <w:spacing w:val="-20"/>
                  </w:rPr>
                </w:pPr>
                <w:r>
                  <w:rPr>
                    <w:rFonts w:ascii="Times New Roman" w:hAnsi="Times New Roman" w:cs="Times New Roman" w:hint="eastAsia"/>
                    <w:color w:val="000000"/>
                    <w:spacing w:val="-20"/>
                  </w:rPr>
                  <w:t>澳大利亚</w:t>
                </w:r>
              </w:p>
            </w:tc>
            <w:tc>
              <w:tcPr>
                <w:tcW w:w="1560" w:type="dxa"/>
                <w:vAlign w:val="center"/>
              </w:tcPr>
              <w:p w14:paraId="00241485" w14:textId="77777777" w:rsidR="007E7472" w:rsidRDefault="00EC1269">
                <w:pPr>
                  <w:ind w:leftChars="-76" w:left="-16" w:hangingChars="76" w:hanging="144"/>
                  <w:jc w:val="right"/>
                  <w:rPr>
                    <w:rFonts w:cs="Times New Roman"/>
                    <w:snapToGrid w:val="0"/>
                    <w:spacing w:val="-20"/>
                  </w:rPr>
                </w:pPr>
                <w:r>
                  <w:rPr>
                    <w:rFonts w:cs="Times New Roman" w:hint="eastAsia"/>
                    <w:snapToGrid w:val="0"/>
                    <w:spacing w:val="-20"/>
                  </w:rPr>
                  <w:t>86,584,735澳元</w:t>
                </w:r>
              </w:p>
            </w:tc>
            <w:tc>
              <w:tcPr>
                <w:tcW w:w="1984" w:type="dxa"/>
                <w:vAlign w:val="center"/>
              </w:tcPr>
              <w:p w14:paraId="0333DA42" w14:textId="77777777" w:rsidR="007E7472" w:rsidRDefault="00EC1269">
                <w:pPr>
                  <w:ind w:leftChars="-50" w:left="-105" w:rightChars="-53" w:right="-111"/>
                  <w:jc w:val="both"/>
                  <w:rPr>
                    <w:rFonts w:cs="Times New Roman"/>
                    <w:color w:val="000000"/>
                    <w:spacing w:val="-20"/>
                  </w:rPr>
                </w:pPr>
                <w:r>
                  <w:rPr>
                    <w:rFonts w:cs="Times New Roman" w:hint="eastAsia"/>
                    <w:color w:val="000000"/>
                    <w:spacing w:val="-20"/>
                  </w:rPr>
                  <w:t>煤炭开采和煤矿经营</w:t>
                </w:r>
              </w:p>
            </w:tc>
            <w:tc>
              <w:tcPr>
                <w:tcW w:w="1068" w:type="dxa"/>
                <w:vAlign w:val="center"/>
              </w:tcPr>
              <w:p w14:paraId="7748C255" w14:textId="77777777" w:rsidR="007E7472" w:rsidRDefault="00EC1269">
                <w:pPr>
                  <w:jc w:val="center"/>
                  <w:rPr>
                    <w:rFonts w:cs="Times New Roman"/>
                    <w:color w:val="000000"/>
                    <w:spacing w:val="-20"/>
                  </w:rPr>
                </w:pPr>
                <w:r>
                  <w:rPr>
                    <w:rFonts w:cs="Times New Roman" w:hint="eastAsia"/>
                    <w:color w:val="000000"/>
                    <w:spacing w:val="-20"/>
                  </w:rPr>
                  <w:t>100</w:t>
                </w:r>
              </w:p>
            </w:tc>
          </w:tr>
          <w:tr w:rsidR="007E7472" w14:paraId="3DBA345A" w14:textId="77777777">
            <w:trPr>
              <w:trHeight w:val="397"/>
            </w:trPr>
            <w:tc>
              <w:tcPr>
                <w:tcW w:w="2975" w:type="dxa"/>
                <w:vAlign w:val="center"/>
              </w:tcPr>
              <w:p w14:paraId="624785A4" w14:textId="77777777" w:rsidR="007E7472" w:rsidRDefault="00EC1269">
                <w:pPr>
                  <w:ind w:leftChars="-50" w:left="-105" w:rightChars="-53" w:right="-111"/>
                  <w:rPr>
                    <w:rFonts w:cs="Times New Roman"/>
                    <w:color w:val="000000"/>
                    <w:spacing w:val="-20"/>
                  </w:rPr>
                </w:pPr>
                <w:r>
                  <w:rPr>
                    <w:rFonts w:cs="Times New Roman" w:hint="eastAsia"/>
                    <w:snapToGrid w:val="0"/>
                    <w:color w:val="000000"/>
                    <w:spacing w:val="-20"/>
                    <w:lang w:val="en-GB"/>
                  </w:rPr>
                  <w:t>兖煤澳洲莫拉本私有有限公司</w:t>
                </w:r>
              </w:p>
            </w:tc>
            <w:tc>
              <w:tcPr>
                <w:tcW w:w="1136" w:type="dxa"/>
                <w:vAlign w:val="center"/>
              </w:tcPr>
              <w:p w14:paraId="6CDED8DD" w14:textId="77777777" w:rsidR="007E7472" w:rsidRDefault="00EC1269">
                <w:pPr>
                  <w:jc w:val="center"/>
                  <w:rPr>
                    <w:rFonts w:ascii="Times New Roman" w:hAnsi="Times New Roman" w:cs="Times New Roman"/>
                    <w:snapToGrid w:val="0"/>
                    <w:color w:val="000000"/>
                    <w:spacing w:val="-20"/>
                    <w:lang w:val="en-GB" w:eastAsia="en-US"/>
                  </w:rPr>
                </w:pPr>
                <w:r>
                  <w:rPr>
                    <w:rFonts w:ascii="Times New Roman" w:hAnsi="Times New Roman" w:cs="Times New Roman" w:hint="eastAsia"/>
                    <w:snapToGrid w:val="0"/>
                    <w:color w:val="000000"/>
                    <w:spacing w:val="-20"/>
                    <w:lang w:val="en-GB" w:eastAsia="en-US"/>
                  </w:rPr>
                  <w:t>澳大利亚</w:t>
                </w:r>
              </w:p>
            </w:tc>
            <w:tc>
              <w:tcPr>
                <w:tcW w:w="1560" w:type="dxa"/>
                <w:vAlign w:val="center"/>
              </w:tcPr>
              <w:p w14:paraId="3C3292E4" w14:textId="77777777" w:rsidR="007E7472" w:rsidRDefault="00EC1269">
                <w:pPr>
                  <w:ind w:leftChars="-76" w:left="-16" w:hangingChars="76" w:hanging="144"/>
                  <w:jc w:val="right"/>
                  <w:rPr>
                    <w:rFonts w:cs="Times New Roman"/>
                    <w:snapToGrid w:val="0"/>
                    <w:spacing w:val="-20"/>
                    <w:lang w:val="en-GB" w:eastAsia="en-US"/>
                  </w:rPr>
                </w:pPr>
                <w:r>
                  <w:rPr>
                    <w:rFonts w:cs="Times New Roman" w:hint="eastAsia"/>
                    <w:snapToGrid w:val="0"/>
                    <w:color w:val="000000"/>
                    <w:spacing w:val="-20"/>
                    <w:lang w:val="en-GB" w:eastAsia="en-US"/>
                  </w:rPr>
                  <w:t>1</w:t>
                </w:r>
                <w:r>
                  <w:rPr>
                    <w:rFonts w:cs="Times New Roman"/>
                    <w:snapToGrid w:val="0"/>
                    <w:color w:val="000000"/>
                    <w:spacing w:val="-20"/>
                    <w:lang w:val="en-GB" w:eastAsia="en-US"/>
                  </w:rPr>
                  <w:t>00</w:t>
                </w:r>
                <w:r>
                  <w:rPr>
                    <w:rFonts w:cs="Times New Roman" w:hint="eastAsia"/>
                    <w:snapToGrid w:val="0"/>
                    <w:color w:val="000000"/>
                    <w:spacing w:val="-20"/>
                    <w:lang w:val="en-GB" w:eastAsia="en-US"/>
                  </w:rPr>
                  <w:t>澳元</w:t>
                </w:r>
              </w:p>
            </w:tc>
            <w:tc>
              <w:tcPr>
                <w:tcW w:w="1984" w:type="dxa"/>
                <w:vAlign w:val="center"/>
              </w:tcPr>
              <w:p w14:paraId="7B3A115C" w14:textId="77777777" w:rsidR="007E7472" w:rsidRDefault="00EC1269">
                <w:pPr>
                  <w:ind w:leftChars="-50" w:left="-105" w:rightChars="-53" w:right="-111"/>
                  <w:rPr>
                    <w:rFonts w:cs="Times New Roman"/>
                    <w:color w:val="000000"/>
                    <w:spacing w:val="-20"/>
                    <w:lang w:val="en-GB" w:eastAsia="en-US"/>
                  </w:rPr>
                </w:pPr>
                <w:r>
                  <w:rPr>
                    <w:rFonts w:cs="Times New Roman" w:hint="eastAsia"/>
                    <w:snapToGrid w:val="0"/>
                    <w:color w:val="000000"/>
                    <w:spacing w:val="-20"/>
                    <w:lang w:val="en-GB" w:eastAsia="en-US"/>
                  </w:rPr>
                  <w:t>煤炭开采和煤矿经营</w:t>
                </w:r>
              </w:p>
            </w:tc>
            <w:tc>
              <w:tcPr>
                <w:tcW w:w="1068" w:type="dxa"/>
                <w:vAlign w:val="center"/>
              </w:tcPr>
              <w:p w14:paraId="7DB90322" w14:textId="77777777" w:rsidR="007E7472" w:rsidRDefault="00EC1269">
                <w:pPr>
                  <w:jc w:val="center"/>
                  <w:rPr>
                    <w:rFonts w:cs="Times New Roman"/>
                    <w:snapToGrid w:val="0"/>
                    <w:color w:val="000000"/>
                    <w:spacing w:val="-20"/>
                    <w:lang w:val="en-GB" w:eastAsia="en-US"/>
                  </w:rPr>
                </w:pPr>
                <w:r>
                  <w:rPr>
                    <w:rFonts w:cs="Times New Roman" w:hint="eastAsia"/>
                    <w:snapToGrid w:val="0"/>
                    <w:color w:val="000000"/>
                    <w:spacing w:val="-20"/>
                    <w:lang w:val="en-GB" w:eastAsia="en-US"/>
                  </w:rPr>
                  <w:t>100</w:t>
                </w:r>
              </w:p>
            </w:tc>
          </w:tr>
          <w:tr w:rsidR="007E7472" w14:paraId="640159E7" w14:textId="77777777">
            <w:trPr>
              <w:trHeight w:val="397"/>
            </w:trPr>
            <w:tc>
              <w:tcPr>
                <w:tcW w:w="2975" w:type="dxa"/>
                <w:vAlign w:val="center"/>
              </w:tcPr>
              <w:p w14:paraId="2B77240F" w14:textId="77777777" w:rsidR="007E7472" w:rsidRDefault="00EC1269">
                <w:pPr>
                  <w:ind w:leftChars="-50" w:left="-105" w:rightChars="-53" w:right="-111"/>
                  <w:rPr>
                    <w:rFonts w:cs="Times New Roman"/>
                    <w:snapToGrid w:val="0"/>
                    <w:color w:val="000000"/>
                    <w:spacing w:val="-20"/>
                    <w:lang w:val="en-GB"/>
                  </w:rPr>
                </w:pPr>
                <w:r>
                  <w:rPr>
                    <w:rFonts w:cs="Times New Roman" w:hint="eastAsia"/>
                    <w:snapToGrid w:val="0"/>
                    <w:color w:val="000000"/>
                    <w:spacing w:val="-20"/>
                    <w:lang w:val="en-GB"/>
                  </w:rPr>
                  <w:t>沃特岗矿业有限公司</w:t>
                </w:r>
              </w:p>
            </w:tc>
            <w:tc>
              <w:tcPr>
                <w:tcW w:w="1136" w:type="dxa"/>
                <w:vAlign w:val="center"/>
              </w:tcPr>
              <w:p w14:paraId="14AF123E" w14:textId="77777777" w:rsidR="007E7472" w:rsidRDefault="00EC1269">
                <w:pPr>
                  <w:ind w:leftChars="-50" w:left="-105" w:rightChars="-53" w:right="-111"/>
                  <w:jc w:val="center"/>
                  <w:rPr>
                    <w:rFonts w:cs="Times New Roman"/>
                    <w:snapToGrid w:val="0"/>
                    <w:color w:val="000000"/>
                    <w:spacing w:val="-20"/>
                    <w:lang w:val="en-GB"/>
                  </w:rPr>
                </w:pPr>
                <w:r>
                  <w:rPr>
                    <w:rFonts w:cs="Times New Roman" w:hint="eastAsia"/>
                    <w:snapToGrid w:val="0"/>
                    <w:color w:val="000000"/>
                    <w:spacing w:val="-20"/>
                    <w:lang w:val="en-GB"/>
                  </w:rPr>
                  <w:t>澳大利亚</w:t>
                </w:r>
              </w:p>
            </w:tc>
            <w:tc>
              <w:tcPr>
                <w:tcW w:w="1560" w:type="dxa"/>
                <w:vAlign w:val="center"/>
              </w:tcPr>
              <w:p w14:paraId="1B5B903E" w14:textId="77777777" w:rsidR="007E7472" w:rsidRDefault="00EC1269">
                <w:pPr>
                  <w:ind w:leftChars="-76" w:left="-16" w:hangingChars="76" w:hanging="144"/>
                  <w:jc w:val="right"/>
                  <w:rPr>
                    <w:rFonts w:cs="Times New Roman"/>
                    <w:snapToGrid w:val="0"/>
                    <w:spacing w:val="-20"/>
                  </w:rPr>
                </w:pPr>
                <w:r>
                  <w:rPr>
                    <w:rFonts w:cs="Times New Roman" w:hint="eastAsia"/>
                    <w:snapToGrid w:val="0"/>
                    <w:spacing w:val="-20"/>
                  </w:rPr>
                  <w:t>100澳元</w:t>
                </w:r>
              </w:p>
            </w:tc>
            <w:tc>
              <w:tcPr>
                <w:tcW w:w="1984" w:type="dxa"/>
                <w:vAlign w:val="center"/>
              </w:tcPr>
              <w:p w14:paraId="22B96B73" w14:textId="77777777" w:rsidR="007E7472" w:rsidRDefault="00EC1269">
                <w:pPr>
                  <w:ind w:leftChars="-50" w:left="-105" w:rightChars="-53" w:right="-111"/>
                  <w:rPr>
                    <w:rFonts w:cs="Times New Roman"/>
                    <w:snapToGrid w:val="0"/>
                    <w:color w:val="000000"/>
                    <w:spacing w:val="-20"/>
                    <w:lang w:val="en-GB"/>
                  </w:rPr>
                </w:pPr>
                <w:r>
                  <w:rPr>
                    <w:rFonts w:cs="Times New Roman" w:hint="eastAsia"/>
                    <w:snapToGrid w:val="0"/>
                    <w:color w:val="000000"/>
                    <w:spacing w:val="-20"/>
                    <w:lang w:val="en-GB"/>
                  </w:rPr>
                  <w:t>煤炭开采和煤矿经营</w:t>
                </w:r>
              </w:p>
            </w:tc>
            <w:tc>
              <w:tcPr>
                <w:tcW w:w="1068" w:type="dxa"/>
                <w:vAlign w:val="center"/>
              </w:tcPr>
              <w:p w14:paraId="3E5BD4D9" w14:textId="77777777" w:rsidR="007E7472" w:rsidRDefault="00EC1269">
                <w:pPr>
                  <w:ind w:leftChars="-50" w:left="-105" w:rightChars="-53" w:right="-111"/>
                  <w:jc w:val="center"/>
                  <w:rPr>
                    <w:rFonts w:cs="Times New Roman"/>
                    <w:snapToGrid w:val="0"/>
                    <w:color w:val="000000"/>
                    <w:spacing w:val="-20"/>
                    <w:lang w:val="en-GB"/>
                  </w:rPr>
                </w:pPr>
                <w:r>
                  <w:rPr>
                    <w:rFonts w:cs="Times New Roman" w:hint="eastAsia"/>
                    <w:snapToGrid w:val="0"/>
                    <w:color w:val="000000"/>
                    <w:spacing w:val="-20"/>
                    <w:lang w:val="en-GB"/>
                  </w:rPr>
                  <w:t>100</w:t>
                </w:r>
              </w:p>
            </w:tc>
          </w:tr>
          <w:tr w:rsidR="007E7472" w14:paraId="114802DD" w14:textId="77777777">
            <w:trPr>
              <w:trHeight w:val="397"/>
            </w:trPr>
            <w:tc>
              <w:tcPr>
                <w:tcW w:w="2975" w:type="dxa"/>
                <w:vAlign w:val="center"/>
              </w:tcPr>
              <w:p w14:paraId="22E2E14A" w14:textId="77777777" w:rsidR="007E7472" w:rsidRDefault="00EC1269">
                <w:pPr>
                  <w:ind w:leftChars="-50" w:left="-105" w:rightChars="-53" w:right="-111"/>
                  <w:rPr>
                    <w:rFonts w:cs="Times New Roman"/>
                    <w:snapToGrid w:val="0"/>
                    <w:color w:val="000000"/>
                    <w:spacing w:val="-20"/>
                    <w:lang w:val="en-GB"/>
                  </w:rPr>
                </w:pPr>
                <w:r>
                  <w:rPr>
                    <w:rFonts w:ascii="Times New Roman" w:hAnsi="Times New Roman" w:cs="Times New Roman" w:hint="eastAsia"/>
                    <w:snapToGrid w:val="0"/>
                    <w:color w:val="000000"/>
                    <w:spacing w:val="-10"/>
                    <w:lang w:val="en-GB"/>
                  </w:rPr>
                  <w:t>兖煤保险股份有限公司</w:t>
                </w:r>
              </w:p>
            </w:tc>
            <w:tc>
              <w:tcPr>
                <w:tcW w:w="1136" w:type="dxa"/>
                <w:vAlign w:val="center"/>
              </w:tcPr>
              <w:p w14:paraId="74E99CB6" w14:textId="77777777" w:rsidR="007E7472" w:rsidRDefault="00EC1269">
                <w:pPr>
                  <w:ind w:leftChars="-50" w:left="-105" w:rightChars="-53" w:right="-111"/>
                  <w:jc w:val="center"/>
                  <w:rPr>
                    <w:rFonts w:cs="Times New Roman"/>
                    <w:snapToGrid w:val="0"/>
                    <w:color w:val="000000"/>
                    <w:spacing w:val="-20"/>
                    <w:lang w:val="en-GB"/>
                  </w:rPr>
                </w:pPr>
                <w:r>
                  <w:rPr>
                    <w:rFonts w:ascii="Times New Roman" w:hAnsi="Times New Roman" w:cs="Times New Roman" w:hint="eastAsia"/>
                    <w:snapToGrid w:val="0"/>
                    <w:color w:val="000000"/>
                    <w:spacing w:val="-10"/>
                    <w:lang w:val="en-GB" w:eastAsia="en-US"/>
                  </w:rPr>
                  <w:t>根西岛</w:t>
                </w:r>
              </w:p>
            </w:tc>
            <w:tc>
              <w:tcPr>
                <w:tcW w:w="1560" w:type="dxa"/>
                <w:vAlign w:val="center"/>
              </w:tcPr>
              <w:p w14:paraId="412DE13C" w14:textId="77777777" w:rsidR="007E7472" w:rsidRDefault="00EC1269">
                <w:pPr>
                  <w:ind w:leftChars="-76" w:left="-16" w:hangingChars="76" w:hanging="144"/>
                  <w:jc w:val="right"/>
                  <w:rPr>
                    <w:rFonts w:cs="Times New Roman"/>
                    <w:snapToGrid w:val="0"/>
                    <w:spacing w:val="-20"/>
                  </w:rPr>
                </w:pPr>
                <w:r>
                  <w:rPr>
                    <w:rFonts w:cs="Times New Roman" w:hint="eastAsia"/>
                    <w:snapToGrid w:val="0"/>
                    <w:spacing w:val="-20"/>
                  </w:rPr>
                  <w:t>19,000,000澳元</w:t>
                </w:r>
              </w:p>
            </w:tc>
            <w:tc>
              <w:tcPr>
                <w:tcW w:w="1984" w:type="dxa"/>
                <w:vAlign w:val="center"/>
              </w:tcPr>
              <w:p w14:paraId="1826A306" w14:textId="77777777" w:rsidR="007E7472" w:rsidRDefault="00EC1269">
                <w:pPr>
                  <w:ind w:leftChars="-50" w:left="-105" w:rightChars="-53" w:right="-111"/>
                  <w:rPr>
                    <w:rFonts w:cs="Times New Roman"/>
                    <w:snapToGrid w:val="0"/>
                    <w:color w:val="000000"/>
                    <w:spacing w:val="-20"/>
                    <w:lang w:val="en-GB"/>
                  </w:rPr>
                </w:pPr>
                <w:r>
                  <w:rPr>
                    <w:rFonts w:ascii="Times New Roman" w:hAnsi="Times New Roman" w:cs="Times New Roman" w:hint="eastAsia"/>
                    <w:snapToGrid w:val="0"/>
                    <w:color w:val="000000"/>
                    <w:spacing w:val="-10"/>
                    <w:lang w:val="en-GB"/>
                  </w:rPr>
                  <w:t>资产保险服务</w:t>
                </w:r>
              </w:p>
            </w:tc>
            <w:tc>
              <w:tcPr>
                <w:tcW w:w="1068" w:type="dxa"/>
                <w:vAlign w:val="center"/>
              </w:tcPr>
              <w:p w14:paraId="1D48EA0F" w14:textId="77777777" w:rsidR="007E7472" w:rsidRDefault="00EC1269">
                <w:pPr>
                  <w:ind w:leftChars="-50" w:left="-105" w:rightChars="-53" w:right="-111"/>
                  <w:jc w:val="center"/>
                  <w:rPr>
                    <w:rFonts w:cs="Times New Roman"/>
                    <w:snapToGrid w:val="0"/>
                    <w:color w:val="000000"/>
                    <w:spacing w:val="-20"/>
                    <w:lang w:val="en-GB"/>
                  </w:rPr>
                </w:pPr>
                <w:r>
                  <w:rPr>
                    <w:rFonts w:ascii="Times New Roman" w:hAnsi="Times New Roman" w:cs="Times New Roman"/>
                    <w:snapToGrid w:val="0"/>
                    <w:color w:val="000000"/>
                    <w:spacing w:val="-10"/>
                    <w:lang w:val="en-GB" w:eastAsia="en-US"/>
                  </w:rPr>
                  <w:t>100</w:t>
                </w:r>
              </w:p>
            </w:tc>
          </w:tr>
        </w:tbl>
        <w:p w14:paraId="12A2A1B8" w14:textId="77777777" w:rsidR="007E7472" w:rsidRDefault="00EC1269" w:rsidP="00162493">
          <w:pPr>
            <w:numPr>
              <w:ilvl w:val="0"/>
              <w:numId w:val="104"/>
            </w:numPr>
            <w:tabs>
              <w:tab w:val="left" w:pos="567"/>
            </w:tabs>
            <w:spacing w:beforeLines="50" w:before="120" w:afterLines="50" w:after="120" w:line="360" w:lineRule="exact"/>
            <w:ind w:leftChars="200" w:firstLine="0"/>
            <w:jc w:val="both"/>
            <w:rPr>
              <w:rFonts w:cs="Times New Roman"/>
              <w:snapToGrid w:val="0"/>
              <w:color w:val="000000"/>
            </w:rPr>
          </w:pPr>
          <w:r>
            <w:rPr>
              <w:rFonts w:cs="Times New Roman"/>
              <w:snapToGrid w:val="0"/>
              <w:color w:val="000000"/>
            </w:rPr>
            <w:t>格罗斯特煤炭有限公司</w:t>
          </w:r>
        </w:p>
        <w:p w14:paraId="0422C3A0" w14:textId="77777777" w:rsidR="007E7472" w:rsidRDefault="00EC1269">
          <w:pPr>
            <w:tabs>
              <w:tab w:val="left" w:pos="426"/>
              <w:tab w:val="left" w:pos="800"/>
            </w:tabs>
            <w:spacing w:beforeLines="50" w:before="120" w:afterLines="50" w:after="120" w:line="360" w:lineRule="exact"/>
            <w:ind w:firstLineChars="200" w:firstLine="420"/>
            <w:jc w:val="both"/>
            <w:rPr>
              <w:rFonts w:cs="Times New Roman"/>
              <w:snapToGrid w:val="0"/>
              <w:color w:val="000000"/>
              <w:lang w:val="en-GB"/>
            </w:rPr>
          </w:pPr>
          <w:r>
            <w:rPr>
              <w:rFonts w:cs="Times New Roman"/>
              <w:snapToGrid w:val="0"/>
              <w:color w:val="000000"/>
              <w:lang w:val="en-GB"/>
            </w:rPr>
            <w:t>格罗斯特煤炭有限公司（以下简称“格罗斯特”）是在澳大利亚悉尼市注册成立的有限责任公司，主要经营业务为煤炭及煤炭相关资源的开发和运营等，公司注册号为008881712。该公司于1985年在澳大利亚证券交易所（以下简称“澳交所”）挂牌上市交易。</w:t>
          </w:r>
        </w:p>
        <w:p w14:paraId="44B771F2" w14:textId="77777777" w:rsidR="007E7472" w:rsidRDefault="00EC1269">
          <w:pPr>
            <w:tabs>
              <w:tab w:val="left" w:pos="426"/>
              <w:tab w:val="left" w:pos="800"/>
            </w:tabs>
            <w:spacing w:beforeLines="50" w:before="120" w:afterLines="50" w:after="120" w:line="360" w:lineRule="exact"/>
            <w:ind w:firstLineChars="200" w:firstLine="420"/>
            <w:jc w:val="both"/>
            <w:rPr>
              <w:rFonts w:cs="Times New Roman"/>
              <w:snapToGrid w:val="0"/>
              <w:color w:val="000000"/>
              <w:lang w:val="en-GB"/>
            </w:rPr>
          </w:pPr>
          <w:r>
            <w:rPr>
              <w:rFonts w:cs="Times New Roman"/>
              <w:snapToGrid w:val="0"/>
              <w:color w:val="000000"/>
              <w:lang w:val="en-GB"/>
            </w:rPr>
            <w:t>经2011年12月22日召开的本公司第五届董事会第六次会议和2012年3月5日召开的第五届董事会第七次会议批准，本公司、本公司之子公司澳洲公司与格罗斯特签署了《合并提案协议》和《合并交易的调整方案》。根据协议、调整方案约定，格罗斯特将向其现有股东实施现金分配；澳洲公司将换股合并格罗斯特全部股份（扣除现金分配后的价值）；格罗斯特股东还可以选择获得本公司对其所持合并后公司股份提供一定程度的价值保障。交易完成后，本公司持有合并后澳洲公司78%的股份，格罗斯特原股东持有合并后澳洲公司22%的股份，澳洲公司取代格罗斯特在澳交所上市交易。</w:t>
          </w:r>
        </w:p>
        <w:p w14:paraId="4C9B19D2" w14:textId="77777777" w:rsidR="007E7472" w:rsidRDefault="00EC1269">
          <w:pPr>
            <w:tabs>
              <w:tab w:val="left" w:pos="426"/>
              <w:tab w:val="left" w:pos="800"/>
            </w:tabs>
            <w:spacing w:beforeLines="50" w:before="120" w:afterLines="50" w:after="120" w:line="360" w:lineRule="exact"/>
            <w:ind w:firstLineChars="200" w:firstLine="420"/>
            <w:jc w:val="both"/>
            <w:rPr>
              <w:rFonts w:cs="Times New Roman"/>
              <w:snapToGrid w:val="0"/>
              <w:color w:val="000000"/>
              <w:lang w:val="en-GB"/>
            </w:rPr>
          </w:pPr>
          <w:r>
            <w:rPr>
              <w:rFonts w:cs="Times New Roman"/>
              <w:snapToGrid w:val="0"/>
              <w:color w:val="000000"/>
              <w:lang w:val="en-GB"/>
            </w:rPr>
            <w:t>截</w:t>
          </w:r>
          <w:r>
            <w:rPr>
              <w:rFonts w:cs="Times New Roman" w:hint="eastAsia"/>
              <w:snapToGrid w:val="0"/>
              <w:color w:val="000000"/>
              <w:lang w:val="en-GB"/>
            </w:rPr>
            <w:t>至</w:t>
          </w:r>
          <w:r>
            <w:rPr>
              <w:rFonts w:cs="Times New Roman"/>
              <w:snapToGrid w:val="0"/>
              <w:color w:val="000000"/>
              <w:lang w:val="en-GB"/>
            </w:rPr>
            <w:t>2012年6月27日，格罗斯特全部股权已过户至本公司之子公司澳洲公司名下，格罗斯特股票在此交易日结束前停止交易。2012年6月28日，澳洲公司</w:t>
          </w:r>
          <w:r>
            <w:rPr>
              <w:rFonts w:cs="Times New Roman" w:hint="eastAsia"/>
              <w:snapToGrid w:val="0"/>
              <w:color w:val="000000"/>
              <w:lang w:val="en-GB"/>
            </w:rPr>
            <w:t>普通股</w:t>
          </w:r>
          <w:r>
            <w:rPr>
              <w:rFonts w:cs="Times New Roman"/>
              <w:snapToGrid w:val="0"/>
              <w:color w:val="000000"/>
              <w:lang w:val="en-GB"/>
            </w:rPr>
            <w:t>及CVR股开始分配。澳洲公司取代格罗斯特在澳交所上市。</w:t>
          </w:r>
        </w:p>
        <w:p w14:paraId="753A5D03" w14:textId="77777777" w:rsidR="007E7472" w:rsidRDefault="00EC1269">
          <w:pPr>
            <w:tabs>
              <w:tab w:val="left" w:pos="426"/>
              <w:tab w:val="left" w:pos="800"/>
            </w:tabs>
            <w:spacing w:beforeLines="50" w:before="120" w:afterLines="50" w:after="120" w:line="360" w:lineRule="exact"/>
            <w:ind w:firstLineChars="200" w:firstLine="420"/>
            <w:jc w:val="both"/>
            <w:rPr>
              <w:rFonts w:cs="Times New Roman"/>
              <w:snapToGrid w:val="0"/>
              <w:color w:val="000000"/>
              <w:lang w:val="en-GB"/>
            </w:rPr>
          </w:pPr>
          <w:r>
            <w:rPr>
              <w:rFonts w:cs="Times New Roman"/>
              <w:snapToGrid w:val="0"/>
              <w:color w:val="000000"/>
              <w:lang w:val="en-GB"/>
            </w:rPr>
            <w:t>格罗斯特</w:t>
          </w:r>
          <w:r>
            <w:rPr>
              <w:rFonts w:cs="Times New Roman" w:hint="eastAsia"/>
              <w:snapToGrid w:val="0"/>
              <w:color w:val="000000"/>
              <w:lang w:val="en-GB"/>
            </w:rPr>
            <w:t>主要</w:t>
          </w:r>
          <w:r>
            <w:rPr>
              <w:rFonts w:cs="Times New Roman"/>
              <w:snapToGrid w:val="0"/>
              <w:color w:val="000000"/>
              <w:lang w:val="en-GB"/>
            </w:rPr>
            <w:t>控股子公司如下：</w:t>
          </w:r>
        </w:p>
        <w:tbl>
          <w:tblPr>
            <w:tblStyle w:val="g4"/>
            <w:tblW w:w="0" w:type="auto"/>
            <w:tblBorders>
              <w:top w:val="double" w:sz="4" w:space="0" w:color="auto"/>
              <w:bottom w:val="double" w:sz="4" w:space="0" w:color="auto"/>
              <w:insideH w:val="single" w:sz="2" w:space="0" w:color="auto"/>
              <w:insideV w:val="single" w:sz="2" w:space="0" w:color="auto"/>
            </w:tblBorders>
            <w:tblLook w:val="04A0" w:firstRow="1" w:lastRow="0" w:firstColumn="1" w:lastColumn="0" w:noHBand="0" w:noVBand="1"/>
          </w:tblPr>
          <w:tblGrid>
            <w:gridCol w:w="3681"/>
            <w:gridCol w:w="992"/>
            <w:gridCol w:w="1106"/>
            <w:gridCol w:w="1574"/>
            <w:gridCol w:w="1265"/>
          </w:tblGrid>
          <w:tr w:rsidR="007E7472" w14:paraId="10C884CF" w14:textId="77777777">
            <w:trPr>
              <w:trHeight w:val="397"/>
              <w:tblHeader/>
            </w:trPr>
            <w:tc>
              <w:tcPr>
                <w:tcW w:w="0" w:type="auto"/>
                <w:vAlign w:val="center"/>
              </w:tcPr>
              <w:p w14:paraId="5B0F201E" w14:textId="77777777" w:rsidR="007E7472" w:rsidRDefault="00EC1269">
                <w:pPr>
                  <w:jc w:val="both"/>
                  <w:rPr>
                    <w:rFonts w:cs="Times New Roman"/>
                    <w:b/>
                    <w:snapToGrid w:val="0"/>
                    <w:spacing w:val="-16"/>
                  </w:rPr>
                </w:pPr>
                <w:r>
                  <w:rPr>
                    <w:rFonts w:cs="Times New Roman"/>
                    <w:b/>
                    <w:snapToGrid w:val="0"/>
                    <w:spacing w:val="-16"/>
                  </w:rPr>
                  <w:t>公司名称</w:t>
                </w:r>
              </w:p>
            </w:tc>
            <w:tc>
              <w:tcPr>
                <w:tcW w:w="0" w:type="auto"/>
                <w:vAlign w:val="center"/>
              </w:tcPr>
              <w:p w14:paraId="6E500B9E" w14:textId="77777777" w:rsidR="007E7472" w:rsidRDefault="00EC1269">
                <w:pPr>
                  <w:jc w:val="center"/>
                  <w:rPr>
                    <w:rFonts w:cs="Times New Roman"/>
                    <w:b/>
                    <w:snapToGrid w:val="0"/>
                    <w:spacing w:val="-16"/>
                  </w:rPr>
                </w:pPr>
                <w:r>
                  <w:rPr>
                    <w:rFonts w:cs="Times New Roman"/>
                    <w:b/>
                    <w:snapToGrid w:val="0"/>
                    <w:spacing w:val="-16"/>
                  </w:rPr>
                  <w:t>注册地</w:t>
                </w:r>
              </w:p>
            </w:tc>
            <w:tc>
              <w:tcPr>
                <w:tcW w:w="0" w:type="auto"/>
                <w:vAlign w:val="center"/>
              </w:tcPr>
              <w:p w14:paraId="0FDA9BBF" w14:textId="77777777" w:rsidR="007E7472" w:rsidRDefault="00EC1269">
                <w:pPr>
                  <w:jc w:val="center"/>
                  <w:rPr>
                    <w:rFonts w:cs="Times New Roman"/>
                    <w:b/>
                    <w:snapToGrid w:val="0"/>
                    <w:spacing w:val="-16"/>
                  </w:rPr>
                </w:pPr>
                <w:r>
                  <w:rPr>
                    <w:rFonts w:cs="Times New Roman"/>
                    <w:b/>
                    <w:snapToGrid w:val="0"/>
                    <w:spacing w:val="-16"/>
                  </w:rPr>
                  <w:t>注册资本</w:t>
                </w:r>
              </w:p>
              <w:p w14:paraId="50959EDD" w14:textId="77777777" w:rsidR="007E7472" w:rsidRDefault="00EC1269">
                <w:pPr>
                  <w:jc w:val="center"/>
                  <w:rPr>
                    <w:rFonts w:cs="Times New Roman"/>
                    <w:b/>
                    <w:snapToGrid w:val="0"/>
                    <w:spacing w:val="-16"/>
                  </w:rPr>
                </w:pPr>
                <w:r>
                  <w:rPr>
                    <w:rFonts w:cs="Times New Roman"/>
                    <w:b/>
                    <w:snapToGrid w:val="0"/>
                    <w:spacing w:val="-16"/>
                  </w:rPr>
                  <w:t>（澳元）</w:t>
                </w:r>
              </w:p>
            </w:tc>
            <w:tc>
              <w:tcPr>
                <w:tcW w:w="0" w:type="auto"/>
                <w:vAlign w:val="center"/>
              </w:tcPr>
              <w:p w14:paraId="16FC7222" w14:textId="77777777" w:rsidR="007E7472" w:rsidRDefault="00EC1269">
                <w:pPr>
                  <w:jc w:val="center"/>
                  <w:rPr>
                    <w:rFonts w:cs="Times New Roman"/>
                    <w:b/>
                    <w:snapToGrid w:val="0"/>
                    <w:spacing w:val="-16"/>
                  </w:rPr>
                </w:pPr>
                <w:r>
                  <w:rPr>
                    <w:rFonts w:cs="Times New Roman"/>
                    <w:b/>
                    <w:snapToGrid w:val="0"/>
                    <w:spacing w:val="-16"/>
                  </w:rPr>
                  <w:t>经营范围</w:t>
                </w:r>
              </w:p>
            </w:tc>
            <w:tc>
              <w:tcPr>
                <w:tcW w:w="0" w:type="auto"/>
                <w:vAlign w:val="center"/>
              </w:tcPr>
              <w:p w14:paraId="6DB340C4" w14:textId="77777777" w:rsidR="007E7472" w:rsidRDefault="00EC1269">
                <w:pPr>
                  <w:jc w:val="center"/>
                  <w:rPr>
                    <w:rFonts w:cs="Times New Roman"/>
                    <w:b/>
                    <w:snapToGrid w:val="0"/>
                    <w:spacing w:val="-16"/>
                  </w:rPr>
                </w:pPr>
                <w:r>
                  <w:rPr>
                    <w:rFonts w:cs="Times New Roman"/>
                    <w:b/>
                    <w:snapToGrid w:val="0"/>
                    <w:spacing w:val="-16"/>
                  </w:rPr>
                  <w:t>持股比例(%)</w:t>
                </w:r>
              </w:p>
            </w:tc>
          </w:tr>
          <w:tr w:rsidR="007E7472" w14:paraId="5AC942F9" w14:textId="77777777">
            <w:trPr>
              <w:trHeight w:val="397"/>
            </w:trPr>
            <w:tc>
              <w:tcPr>
                <w:tcW w:w="0" w:type="auto"/>
              </w:tcPr>
              <w:p w14:paraId="779BB85C" w14:textId="77777777" w:rsidR="007E7472" w:rsidRDefault="00EC1269">
                <w:pPr>
                  <w:jc w:val="both"/>
                  <w:rPr>
                    <w:rFonts w:cs="Times New Roman"/>
                    <w:snapToGrid w:val="0"/>
                    <w:color w:val="000000"/>
                    <w:spacing w:val="-16"/>
                    <w:lang w:val="en-GB" w:eastAsia="en-US"/>
                  </w:rPr>
                </w:pPr>
                <w:r>
                  <w:t>Westralian Prospectors NL</w:t>
                </w:r>
              </w:p>
            </w:tc>
            <w:tc>
              <w:tcPr>
                <w:tcW w:w="0" w:type="auto"/>
                <w:vAlign w:val="center"/>
              </w:tcPr>
              <w:p w14:paraId="2BFCA659" w14:textId="77777777" w:rsidR="007E7472" w:rsidRDefault="00EC1269">
                <w:pPr>
                  <w:jc w:val="center"/>
                  <w:rPr>
                    <w:rFonts w:cs="Times New Roman"/>
                    <w:snapToGrid w:val="0"/>
                    <w:color w:val="000000"/>
                    <w:spacing w:val="-16"/>
                    <w:lang w:val="en-GB" w:eastAsia="en-US"/>
                  </w:rPr>
                </w:pPr>
                <w:r>
                  <w:rPr>
                    <w:rFonts w:cs="Times New Roman"/>
                    <w:snapToGrid w:val="0"/>
                    <w:color w:val="000000"/>
                    <w:spacing w:val="-16"/>
                    <w:lang w:val="en-GB" w:eastAsia="en-US"/>
                  </w:rPr>
                  <w:t>澳大利亚</w:t>
                </w:r>
              </w:p>
            </w:tc>
            <w:tc>
              <w:tcPr>
                <w:tcW w:w="0" w:type="auto"/>
                <w:vAlign w:val="center"/>
              </w:tcPr>
              <w:p w14:paraId="168660CD" w14:textId="77777777" w:rsidR="007E7472" w:rsidRDefault="00EC1269">
                <w:pPr>
                  <w:jc w:val="right"/>
                  <w:rPr>
                    <w:rFonts w:cs="Times New Roman"/>
                    <w:snapToGrid w:val="0"/>
                    <w:color w:val="000000"/>
                    <w:spacing w:val="-16"/>
                    <w:lang w:val="en-GB" w:eastAsia="en-US"/>
                  </w:rPr>
                </w:pPr>
                <w:r>
                  <w:rPr>
                    <w:rFonts w:cs="Times New Roman"/>
                    <w:snapToGrid w:val="0"/>
                    <w:color w:val="000000"/>
                    <w:spacing w:val="-16"/>
                    <w:lang w:val="en-GB" w:eastAsia="en-US"/>
                  </w:rPr>
                  <w:t>93,001</w:t>
                </w:r>
              </w:p>
            </w:tc>
            <w:tc>
              <w:tcPr>
                <w:tcW w:w="0" w:type="auto"/>
                <w:vAlign w:val="center"/>
              </w:tcPr>
              <w:p w14:paraId="3C3C625A" w14:textId="77777777" w:rsidR="007E7472" w:rsidRDefault="00EC1269">
                <w:pPr>
                  <w:rPr>
                    <w:rFonts w:cs="Times New Roman"/>
                    <w:snapToGrid w:val="0"/>
                    <w:color w:val="000000"/>
                    <w:spacing w:val="-16"/>
                    <w:lang w:val="en-GB"/>
                  </w:rPr>
                </w:pPr>
                <w:r>
                  <w:rPr>
                    <w:rFonts w:cs="Times New Roman"/>
                    <w:snapToGrid w:val="0"/>
                    <w:color w:val="000000"/>
                    <w:spacing w:val="-16"/>
                    <w:lang w:val="en-GB"/>
                  </w:rPr>
                  <w:t>无经营</w:t>
                </w:r>
              </w:p>
            </w:tc>
            <w:tc>
              <w:tcPr>
                <w:tcW w:w="0" w:type="auto"/>
                <w:vAlign w:val="center"/>
              </w:tcPr>
              <w:p w14:paraId="7395F447" w14:textId="77777777" w:rsidR="007E7472" w:rsidRDefault="00EC1269">
                <w:pPr>
                  <w:jc w:val="center"/>
                  <w:rPr>
                    <w:rFonts w:cs="Times New Roman"/>
                    <w:snapToGrid w:val="0"/>
                    <w:color w:val="000000"/>
                    <w:spacing w:val="-16"/>
                    <w:lang w:val="en-GB"/>
                  </w:rPr>
                </w:pPr>
                <w:r>
                  <w:rPr>
                    <w:rFonts w:cs="Times New Roman"/>
                    <w:snapToGrid w:val="0"/>
                    <w:color w:val="000000"/>
                    <w:spacing w:val="-16"/>
                    <w:lang w:val="en-GB"/>
                  </w:rPr>
                  <w:t>100</w:t>
                </w:r>
              </w:p>
            </w:tc>
          </w:tr>
          <w:tr w:rsidR="007E7472" w14:paraId="7F9F9634" w14:textId="77777777">
            <w:trPr>
              <w:trHeight w:val="397"/>
            </w:trPr>
            <w:tc>
              <w:tcPr>
                <w:tcW w:w="0" w:type="auto"/>
              </w:tcPr>
              <w:p w14:paraId="761B3BF8" w14:textId="77777777" w:rsidR="007E7472" w:rsidRDefault="00EC1269">
                <w:pPr>
                  <w:jc w:val="both"/>
                  <w:rPr>
                    <w:rFonts w:cs="Times New Roman"/>
                    <w:snapToGrid w:val="0"/>
                    <w:color w:val="000000"/>
                    <w:spacing w:val="-16"/>
                    <w:lang w:val="en-GB" w:eastAsia="en-US"/>
                  </w:rPr>
                </w:pPr>
                <w:r>
                  <w:t>Eucla Mining Pty Ltd</w:t>
                </w:r>
              </w:p>
            </w:tc>
            <w:tc>
              <w:tcPr>
                <w:tcW w:w="0" w:type="auto"/>
                <w:vAlign w:val="center"/>
              </w:tcPr>
              <w:p w14:paraId="0DD8A06B" w14:textId="77777777" w:rsidR="007E7472" w:rsidRDefault="00EC1269">
                <w:pPr>
                  <w:jc w:val="center"/>
                  <w:rPr>
                    <w:rFonts w:cs="Times New Roman"/>
                    <w:snapToGrid w:val="0"/>
                    <w:color w:val="000000"/>
                    <w:spacing w:val="-16"/>
                    <w:lang w:val="en-GB" w:eastAsia="en-US"/>
                  </w:rPr>
                </w:pPr>
                <w:r>
                  <w:rPr>
                    <w:rFonts w:cs="Times New Roman"/>
                    <w:snapToGrid w:val="0"/>
                    <w:color w:val="000000"/>
                    <w:spacing w:val="-16"/>
                    <w:lang w:val="en-GB" w:eastAsia="en-US"/>
                  </w:rPr>
                  <w:t>澳大利亚</w:t>
                </w:r>
              </w:p>
            </w:tc>
            <w:tc>
              <w:tcPr>
                <w:tcW w:w="0" w:type="auto"/>
                <w:vAlign w:val="center"/>
              </w:tcPr>
              <w:p w14:paraId="4A8EDE25" w14:textId="77777777" w:rsidR="007E7472" w:rsidRDefault="00EC1269">
                <w:pPr>
                  <w:jc w:val="right"/>
                  <w:rPr>
                    <w:rFonts w:cs="Times New Roman"/>
                    <w:snapToGrid w:val="0"/>
                    <w:color w:val="000000"/>
                    <w:spacing w:val="-16"/>
                    <w:lang w:val="en-GB" w:eastAsia="en-US"/>
                  </w:rPr>
                </w:pPr>
                <w:r>
                  <w:rPr>
                    <w:rFonts w:cs="Times New Roman"/>
                    <w:snapToGrid w:val="0"/>
                    <w:color w:val="000000"/>
                    <w:spacing w:val="-16"/>
                    <w:lang w:val="en-GB" w:eastAsia="en-US"/>
                  </w:rPr>
                  <w:t>707,500</w:t>
                </w:r>
              </w:p>
            </w:tc>
            <w:tc>
              <w:tcPr>
                <w:tcW w:w="0" w:type="auto"/>
                <w:vAlign w:val="center"/>
              </w:tcPr>
              <w:p w14:paraId="65ED10E6" w14:textId="77777777" w:rsidR="007E7472" w:rsidRDefault="00EC1269">
                <w:pPr>
                  <w:rPr>
                    <w:rFonts w:cs="Times New Roman"/>
                    <w:snapToGrid w:val="0"/>
                    <w:color w:val="000000"/>
                    <w:spacing w:val="-16"/>
                    <w:lang w:val="en-GB" w:eastAsia="en-US"/>
                  </w:rPr>
                </w:pPr>
                <w:r>
                  <w:rPr>
                    <w:rFonts w:cs="Times New Roman"/>
                    <w:snapToGrid w:val="0"/>
                    <w:color w:val="000000"/>
                    <w:spacing w:val="-16"/>
                    <w:lang w:val="en-GB"/>
                  </w:rPr>
                  <w:t>无经营</w:t>
                </w:r>
              </w:p>
            </w:tc>
            <w:tc>
              <w:tcPr>
                <w:tcW w:w="0" w:type="auto"/>
                <w:vAlign w:val="center"/>
              </w:tcPr>
              <w:p w14:paraId="52AE3121" w14:textId="77777777" w:rsidR="007E7472" w:rsidRDefault="00EC1269">
                <w:pPr>
                  <w:jc w:val="center"/>
                  <w:rPr>
                    <w:rFonts w:cs="Times New Roman"/>
                    <w:snapToGrid w:val="0"/>
                    <w:color w:val="000000"/>
                    <w:spacing w:val="-16"/>
                    <w:lang w:val="en-GB"/>
                  </w:rPr>
                </w:pPr>
                <w:r>
                  <w:rPr>
                    <w:rFonts w:cs="Times New Roman"/>
                    <w:snapToGrid w:val="0"/>
                    <w:color w:val="000000"/>
                    <w:spacing w:val="-16"/>
                    <w:lang w:val="en-GB"/>
                  </w:rPr>
                  <w:t>100</w:t>
                </w:r>
              </w:p>
            </w:tc>
          </w:tr>
          <w:tr w:rsidR="007E7472" w14:paraId="34137AA4" w14:textId="77777777">
            <w:trPr>
              <w:trHeight w:val="397"/>
            </w:trPr>
            <w:tc>
              <w:tcPr>
                <w:tcW w:w="0" w:type="auto"/>
              </w:tcPr>
              <w:p w14:paraId="28523337" w14:textId="77777777" w:rsidR="007E7472" w:rsidRDefault="00EC1269">
                <w:pPr>
                  <w:jc w:val="both"/>
                  <w:rPr>
                    <w:rFonts w:cs="Times New Roman"/>
                    <w:snapToGrid w:val="0"/>
                    <w:color w:val="000000"/>
                    <w:spacing w:val="-16"/>
                    <w:lang w:val="en-GB" w:eastAsia="en-US"/>
                  </w:rPr>
                </w:pPr>
                <w:r>
                  <w:t>CIM Duralie Pty Ltd</w:t>
                </w:r>
              </w:p>
            </w:tc>
            <w:tc>
              <w:tcPr>
                <w:tcW w:w="0" w:type="auto"/>
                <w:vAlign w:val="center"/>
              </w:tcPr>
              <w:p w14:paraId="7483953A" w14:textId="77777777" w:rsidR="007E7472" w:rsidRDefault="00EC1269">
                <w:pPr>
                  <w:jc w:val="center"/>
                  <w:rPr>
                    <w:rFonts w:cs="Times New Roman"/>
                    <w:snapToGrid w:val="0"/>
                    <w:color w:val="000000"/>
                    <w:spacing w:val="-16"/>
                    <w:lang w:val="en-GB" w:eastAsia="en-US"/>
                  </w:rPr>
                </w:pPr>
                <w:r>
                  <w:rPr>
                    <w:rFonts w:cs="Times New Roman"/>
                    <w:snapToGrid w:val="0"/>
                    <w:color w:val="000000"/>
                    <w:spacing w:val="-16"/>
                    <w:lang w:val="en-GB" w:eastAsia="en-US"/>
                  </w:rPr>
                  <w:t>澳大利亚</w:t>
                </w:r>
              </w:p>
            </w:tc>
            <w:tc>
              <w:tcPr>
                <w:tcW w:w="0" w:type="auto"/>
                <w:vAlign w:val="center"/>
              </w:tcPr>
              <w:p w14:paraId="7700C083" w14:textId="77777777" w:rsidR="007E7472" w:rsidRDefault="00EC1269">
                <w:pPr>
                  <w:jc w:val="right"/>
                  <w:rPr>
                    <w:rFonts w:cs="Times New Roman"/>
                    <w:snapToGrid w:val="0"/>
                    <w:color w:val="000000"/>
                    <w:spacing w:val="-16"/>
                    <w:lang w:val="en-GB" w:eastAsia="en-US"/>
                  </w:rPr>
                </w:pPr>
                <w:r>
                  <w:rPr>
                    <w:rFonts w:cs="Times New Roman"/>
                    <w:snapToGrid w:val="0"/>
                    <w:color w:val="000000"/>
                    <w:spacing w:val="-16"/>
                    <w:lang w:val="en-GB" w:eastAsia="en-US"/>
                  </w:rPr>
                  <w:t>665</w:t>
                </w:r>
              </w:p>
            </w:tc>
            <w:tc>
              <w:tcPr>
                <w:tcW w:w="0" w:type="auto"/>
                <w:vAlign w:val="center"/>
              </w:tcPr>
              <w:p w14:paraId="72E657E6" w14:textId="77777777" w:rsidR="007E7472" w:rsidRDefault="00EC1269">
                <w:pPr>
                  <w:rPr>
                    <w:rFonts w:cs="Times New Roman"/>
                    <w:snapToGrid w:val="0"/>
                    <w:color w:val="000000"/>
                    <w:spacing w:val="-16"/>
                    <w:lang w:val="en-GB" w:eastAsia="en-US"/>
                  </w:rPr>
                </w:pPr>
                <w:r>
                  <w:rPr>
                    <w:rFonts w:cs="Times New Roman"/>
                    <w:snapToGrid w:val="0"/>
                    <w:color w:val="000000"/>
                    <w:spacing w:val="-16"/>
                    <w:lang w:val="en-GB"/>
                  </w:rPr>
                  <w:t>无经营</w:t>
                </w:r>
              </w:p>
            </w:tc>
            <w:tc>
              <w:tcPr>
                <w:tcW w:w="0" w:type="auto"/>
                <w:vAlign w:val="center"/>
              </w:tcPr>
              <w:p w14:paraId="09C70B91" w14:textId="77777777" w:rsidR="007E7472" w:rsidRDefault="00EC1269">
                <w:pPr>
                  <w:jc w:val="center"/>
                  <w:rPr>
                    <w:rFonts w:cs="Times New Roman"/>
                    <w:snapToGrid w:val="0"/>
                    <w:color w:val="000000"/>
                    <w:spacing w:val="-16"/>
                    <w:lang w:val="en-GB"/>
                  </w:rPr>
                </w:pPr>
                <w:r>
                  <w:rPr>
                    <w:rFonts w:cs="Times New Roman"/>
                    <w:snapToGrid w:val="0"/>
                    <w:color w:val="000000"/>
                    <w:spacing w:val="-16"/>
                    <w:lang w:val="en-GB"/>
                  </w:rPr>
                  <w:t>100</w:t>
                </w:r>
              </w:p>
            </w:tc>
          </w:tr>
          <w:tr w:rsidR="007E7472" w14:paraId="5E427D01" w14:textId="77777777">
            <w:trPr>
              <w:trHeight w:val="397"/>
            </w:trPr>
            <w:tc>
              <w:tcPr>
                <w:tcW w:w="0" w:type="auto"/>
              </w:tcPr>
              <w:p w14:paraId="6A54AB8F" w14:textId="77777777" w:rsidR="007E7472" w:rsidRDefault="00EC1269">
                <w:pPr>
                  <w:jc w:val="both"/>
                  <w:rPr>
                    <w:rFonts w:cs="Times New Roman"/>
                    <w:snapToGrid w:val="0"/>
                    <w:color w:val="000000"/>
                    <w:spacing w:val="-16"/>
                    <w:lang w:val="en-GB" w:eastAsia="en-US"/>
                  </w:rPr>
                </w:pPr>
                <w:r>
                  <w:t>Duralie Coal Marketing Pty Ltd</w:t>
                </w:r>
              </w:p>
            </w:tc>
            <w:tc>
              <w:tcPr>
                <w:tcW w:w="0" w:type="auto"/>
                <w:vAlign w:val="center"/>
              </w:tcPr>
              <w:p w14:paraId="4D467FD0" w14:textId="77777777" w:rsidR="007E7472" w:rsidRDefault="00EC1269">
                <w:pPr>
                  <w:jc w:val="center"/>
                  <w:rPr>
                    <w:rFonts w:cs="Times New Roman"/>
                    <w:snapToGrid w:val="0"/>
                    <w:color w:val="000000"/>
                    <w:spacing w:val="-16"/>
                    <w:lang w:val="en-GB" w:eastAsia="en-US"/>
                  </w:rPr>
                </w:pPr>
                <w:r>
                  <w:rPr>
                    <w:rFonts w:cs="Times New Roman"/>
                    <w:snapToGrid w:val="0"/>
                    <w:color w:val="000000"/>
                    <w:spacing w:val="-16"/>
                    <w:lang w:val="en-GB" w:eastAsia="en-US"/>
                  </w:rPr>
                  <w:t>澳大利亚</w:t>
                </w:r>
              </w:p>
            </w:tc>
            <w:tc>
              <w:tcPr>
                <w:tcW w:w="0" w:type="auto"/>
                <w:vAlign w:val="center"/>
              </w:tcPr>
              <w:p w14:paraId="24A239DD" w14:textId="77777777" w:rsidR="007E7472" w:rsidRDefault="00EC1269">
                <w:pPr>
                  <w:jc w:val="right"/>
                  <w:rPr>
                    <w:rFonts w:cs="Times New Roman"/>
                    <w:snapToGrid w:val="0"/>
                    <w:color w:val="000000"/>
                    <w:spacing w:val="-16"/>
                    <w:lang w:val="en-GB"/>
                  </w:rPr>
                </w:pPr>
                <w:r>
                  <w:rPr>
                    <w:rFonts w:cs="Times New Roman"/>
                    <w:snapToGrid w:val="0"/>
                    <w:color w:val="000000"/>
                    <w:spacing w:val="-16"/>
                    <w:lang w:val="en-GB"/>
                  </w:rPr>
                  <w:t>2</w:t>
                </w:r>
              </w:p>
            </w:tc>
            <w:tc>
              <w:tcPr>
                <w:tcW w:w="0" w:type="auto"/>
                <w:vAlign w:val="center"/>
              </w:tcPr>
              <w:p w14:paraId="7E928AF4" w14:textId="77777777" w:rsidR="007E7472" w:rsidRDefault="00EC1269">
                <w:pPr>
                  <w:rPr>
                    <w:rFonts w:cs="Times New Roman"/>
                    <w:snapToGrid w:val="0"/>
                    <w:color w:val="000000"/>
                    <w:spacing w:val="-16"/>
                    <w:lang w:val="en-GB" w:eastAsia="en-US"/>
                  </w:rPr>
                </w:pPr>
                <w:r>
                  <w:rPr>
                    <w:rFonts w:cs="Times New Roman"/>
                    <w:snapToGrid w:val="0"/>
                    <w:color w:val="000000"/>
                    <w:spacing w:val="-16"/>
                    <w:lang w:val="en-GB"/>
                  </w:rPr>
                  <w:t>无经营</w:t>
                </w:r>
              </w:p>
            </w:tc>
            <w:tc>
              <w:tcPr>
                <w:tcW w:w="0" w:type="auto"/>
                <w:vAlign w:val="center"/>
              </w:tcPr>
              <w:p w14:paraId="56E9B145" w14:textId="77777777" w:rsidR="007E7472" w:rsidRDefault="00EC1269">
                <w:pPr>
                  <w:jc w:val="center"/>
                  <w:rPr>
                    <w:rFonts w:cs="Times New Roman"/>
                    <w:snapToGrid w:val="0"/>
                    <w:color w:val="000000"/>
                    <w:spacing w:val="-16"/>
                    <w:lang w:val="en-GB"/>
                  </w:rPr>
                </w:pPr>
                <w:r>
                  <w:rPr>
                    <w:rFonts w:cs="Times New Roman"/>
                    <w:snapToGrid w:val="0"/>
                    <w:color w:val="000000"/>
                    <w:spacing w:val="-16"/>
                    <w:lang w:val="en-GB"/>
                  </w:rPr>
                  <w:t>100</w:t>
                </w:r>
              </w:p>
            </w:tc>
          </w:tr>
          <w:tr w:rsidR="007E7472" w14:paraId="6B2CD232" w14:textId="77777777">
            <w:trPr>
              <w:trHeight w:val="397"/>
            </w:trPr>
            <w:tc>
              <w:tcPr>
                <w:tcW w:w="0" w:type="auto"/>
              </w:tcPr>
              <w:p w14:paraId="37C28081" w14:textId="77777777" w:rsidR="007E7472" w:rsidRDefault="00EC1269">
                <w:pPr>
                  <w:jc w:val="both"/>
                  <w:rPr>
                    <w:rFonts w:cs="Times New Roman"/>
                    <w:snapToGrid w:val="0"/>
                    <w:color w:val="000000"/>
                    <w:spacing w:val="-16"/>
                    <w:lang w:val="en-GB" w:eastAsia="en-US"/>
                  </w:rPr>
                </w:pPr>
                <w:r>
                  <w:t>Duralie Coal Pty Ltd</w:t>
                </w:r>
              </w:p>
            </w:tc>
            <w:tc>
              <w:tcPr>
                <w:tcW w:w="0" w:type="auto"/>
                <w:vAlign w:val="center"/>
              </w:tcPr>
              <w:p w14:paraId="3BC8B958" w14:textId="77777777" w:rsidR="007E7472" w:rsidRDefault="00EC1269">
                <w:pPr>
                  <w:jc w:val="center"/>
                  <w:rPr>
                    <w:rFonts w:cs="Times New Roman"/>
                    <w:snapToGrid w:val="0"/>
                    <w:color w:val="000000"/>
                    <w:spacing w:val="-16"/>
                    <w:lang w:val="en-GB" w:eastAsia="en-US"/>
                  </w:rPr>
                </w:pPr>
                <w:r>
                  <w:rPr>
                    <w:rFonts w:cs="Times New Roman"/>
                    <w:snapToGrid w:val="0"/>
                    <w:color w:val="000000"/>
                    <w:spacing w:val="-16"/>
                    <w:lang w:val="en-GB" w:eastAsia="en-US"/>
                  </w:rPr>
                  <w:t>澳大利亚</w:t>
                </w:r>
              </w:p>
            </w:tc>
            <w:tc>
              <w:tcPr>
                <w:tcW w:w="0" w:type="auto"/>
                <w:vAlign w:val="center"/>
              </w:tcPr>
              <w:p w14:paraId="1E7B2EB3" w14:textId="77777777" w:rsidR="007E7472" w:rsidRDefault="00EC1269">
                <w:pPr>
                  <w:jc w:val="right"/>
                  <w:rPr>
                    <w:rFonts w:cs="Times New Roman"/>
                    <w:snapToGrid w:val="0"/>
                    <w:color w:val="000000"/>
                    <w:spacing w:val="-16"/>
                    <w:lang w:val="en-GB" w:eastAsia="en-US"/>
                  </w:rPr>
                </w:pPr>
                <w:r>
                  <w:rPr>
                    <w:rFonts w:cs="Times New Roman"/>
                    <w:snapToGrid w:val="0"/>
                    <w:color w:val="000000"/>
                    <w:spacing w:val="-16"/>
                    <w:lang w:val="en-GB" w:eastAsia="en-US"/>
                  </w:rPr>
                  <w:t>2</w:t>
                </w:r>
              </w:p>
            </w:tc>
            <w:tc>
              <w:tcPr>
                <w:tcW w:w="0" w:type="auto"/>
                <w:vAlign w:val="center"/>
              </w:tcPr>
              <w:p w14:paraId="76BB58AC" w14:textId="77777777" w:rsidR="007E7472" w:rsidRDefault="00EC1269">
                <w:pPr>
                  <w:rPr>
                    <w:rFonts w:cs="Times New Roman"/>
                    <w:snapToGrid w:val="0"/>
                    <w:color w:val="000000"/>
                    <w:spacing w:val="-16"/>
                    <w:lang w:val="en-GB" w:eastAsia="en-US"/>
                  </w:rPr>
                </w:pPr>
                <w:r>
                  <w:rPr>
                    <w:rFonts w:cs="Times New Roman"/>
                    <w:snapToGrid w:val="0"/>
                    <w:color w:val="000000"/>
                    <w:spacing w:val="-16"/>
                    <w:lang w:val="en-GB" w:eastAsia="en-US"/>
                  </w:rPr>
                  <w:t>煤炭开采</w:t>
                </w:r>
              </w:p>
            </w:tc>
            <w:tc>
              <w:tcPr>
                <w:tcW w:w="0" w:type="auto"/>
                <w:vAlign w:val="center"/>
              </w:tcPr>
              <w:p w14:paraId="0C45C1E9" w14:textId="77777777" w:rsidR="007E7472" w:rsidRDefault="00EC1269">
                <w:pPr>
                  <w:jc w:val="center"/>
                  <w:rPr>
                    <w:rFonts w:cs="Times New Roman"/>
                    <w:snapToGrid w:val="0"/>
                    <w:color w:val="000000"/>
                    <w:spacing w:val="-16"/>
                    <w:lang w:val="en-GB"/>
                  </w:rPr>
                </w:pPr>
                <w:r>
                  <w:rPr>
                    <w:rFonts w:cs="Times New Roman"/>
                    <w:snapToGrid w:val="0"/>
                    <w:color w:val="000000"/>
                    <w:spacing w:val="-16"/>
                    <w:lang w:val="en-GB"/>
                  </w:rPr>
                  <w:t>100</w:t>
                </w:r>
              </w:p>
            </w:tc>
          </w:tr>
          <w:tr w:rsidR="007E7472" w14:paraId="088E5C96" w14:textId="77777777">
            <w:trPr>
              <w:trHeight w:val="397"/>
            </w:trPr>
            <w:tc>
              <w:tcPr>
                <w:tcW w:w="0" w:type="auto"/>
              </w:tcPr>
              <w:p w14:paraId="3188BE1A" w14:textId="77777777" w:rsidR="007E7472" w:rsidRDefault="00EC1269">
                <w:pPr>
                  <w:jc w:val="both"/>
                  <w:rPr>
                    <w:rFonts w:cs="Times New Roman"/>
                    <w:snapToGrid w:val="0"/>
                    <w:color w:val="000000"/>
                    <w:spacing w:val="-16"/>
                    <w:lang w:val="en-GB" w:eastAsia="en-US"/>
                  </w:rPr>
                </w:pPr>
                <w:r>
                  <w:t>Gloucester (SPV) Pty Ltd</w:t>
                </w:r>
              </w:p>
            </w:tc>
            <w:tc>
              <w:tcPr>
                <w:tcW w:w="0" w:type="auto"/>
                <w:vAlign w:val="center"/>
              </w:tcPr>
              <w:p w14:paraId="65F1C1B0" w14:textId="77777777" w:rsidR="007E7472" w:rsidRDefault="00EC1269">
                <w:pPr>
                  <w:jc w:val="center"/>
                  <w:rPr>
                    <w:rFonts w:cs="Times New Roman"/>
                    <w:snapToGrid w:val="0"/>
                    <w:color w:val="000000"/>
                    <w:spacing w:val="-16"/>
                    <w:lang w:val="en-GB" w:eastAsia="en-US"/>
                  </w:rPr>
                </w:pPr>
                <w:r>
                  <w:rPr>
                    <w:rFonts w:cs="Times New Roman"/>
                    <w:snapToGrid w:val="0"/>
                    <w:color w:val="000000"/>
                    <w:spacing w:val="-16"/>
                    <w:lang w:val="en-GB" w:eastAsia="en-US"/>
                  </w:rPr>
                  <w:t>澳大利亚</w:t>
                </w:r>
              </w:p>
            </w:tc>
            <w:tc>
              <w:tcPr>
                <w:tcW w:w="0" w:type="auto"/>
                <w:vAlign w:val="center"/>
              </w:tcPr>
              <w:p w14:paraId="06A05967" w14:textId="77777777" w:rsidR="007E7472" w:rsidRDefault="00EC1269">
                <w:pPr>
                  <w:jc w:val="right"/>
                  <w:rPr>
                    <w:rFonts w:cs="Times New Roman"/>
                    <w:snapToGrid w:val="0"/>
                    <w:color w:val="000000"/>
                    <w:spacing w:val="-16"/>
                    <w:lang w:val="en-GB"/>
                  </w:rPr>
                </w:pPr>
                <w:r>
                  <w:rPr>
                    <w:rFonts w:cs="Times New Roman"/>
                    <w:snapToGrid w:val="0"/>
                    <w:color w:val="000000"/>
                    <w:spacing w:val="-16"/>
                    <w:lang w:val="en-GB"/>
                  </w:rPr>
                  <w:t>2</w:t>
                </w:r>
              </w:p>
            </w:tc>
            <w:tc>
              <w:tcPr>
                <w:tcW w:w="0" w:type="auto"/>
                <w:vAlign w:val="center"/>
              </w:tcPr>
              <w:p w14:paraId="50927D70" w14:textId="77777777" w:rsidR="007E7472" w:rsidRDefault="00EC1269">
                <w:pPr>
                  <w:rPr>
                    <w:rFonts w:cs="Times New Roman"/>
                    <w:snapToGrid w:val="0"/>
                    <w:color w:val="000000"/>
                    <w:spacing w:val="-16"/>
                    <w:lang w:val="en-GB" w:eastAsia="en-US"/>
                  </w:rPr>
                </w:pPr>
                <w:r>
                  <w:rPr>
                    <w:rFonts w:cs="Times New Roman"/>
                    <w:snapToGrid w:val="0"/>
                    <w:color w:val="000000"/>
                    <w:spacing w:val="-16"/>
                    <w:lang w:val="en-GB" w:eastAsia="en-US"/>
                  </w:rPr>
                  <w:t>控股公司</w:t>
                </w:r>
              </w:p>
            </w:tc>
            <w:tc>
              <w:tcPr>
                <w:tcW w:w="0" w:type="auto"/>
                <w:vAlign w:val="center"/>
              </w:tcPr>
              <w:p w14:paraId="1EE3144C" w14:textId="77777777" w:rsidR="007E7472" w:rsidRDefault="00EC1269">
                <w:pPr>
                  <w:jc w:val="center"/>
                  <w:rPr>
                    <w:rFonts w:cs="Times New Roman"/>
                    <w:snapToGrid w:val="0"/>
                    <w:color w:val="000000"/>
                    <w:spacing w:val="-16"/>
                    <w:lang w:val="en-GB"/>
                  </w:rPr>
                </w:pPr>
                <w:r>
                  <w:rPr>
                    <w:rFonts w:cs="Times New Roman"/>
                    <w:snapToGrid w:val="0"/>
                    <w:color w:val="000000"/>
                    <w:spacing w:val="-16"/>
                    <w:lang w:val="en-GB"/>
                  </w:rPr>
                  <w:t>100</w:t>
                </w:r>
              </w:p>
            </w:tc>
          </w:tr>
          <w:tr w:rsidR="007E7472" w14:paraId="23C8D07C" w14:textId="77777777">
            <w:trPr>
              <w:trHeight w:val="397"/>
            </w:trPr>
            <w:tc>
              <w:tcPr>
                <w:tcW w:w="0" w:type="auto"/>
              </w:tcPr>
              <w:p w14:paraId="5882AA14" w14:textId="77777777" w:rsidR="007E7472" w:rsidRDefault="00EC1269">
                <w:pPr>
                  <w:jc w:val="both"/>
                  <w:rPr>
                    <w:rFonts w:cs="Times New Roman"/>
                    <w:snapToGrid w:val="0"/>
                    <w:color w:val="000000"/>
                    <w:spacing w:val="-16"/>
                    <w:lang w:val="en-GB" w:eastAsia="en-US"/>
                  </w:rPr>
                </w:pPr>
                <w:r>
                  <w:lastRenderedPageBreak/>
                  <w:t>Gloucester (SubHoldings2) Pty Ltd</w:t>
                </w:r>
              </w:p>
            </w:tc>
            <w:tc>
              <w:tcPr>
                <w:tcW w:w="0" w:type="auto"/>
                <w:vAlign w:val="center"/>
              </w:tcPr>
              <w:p w14:paraId="27C394F6" w14:textId="77777777" w:rsidR="007E7472" w:rsidRDefault="00EC1269">
                <w:pPr>
                  <w:jc w:val="center"/>
                  <w:rPr>
                    <w:rFonts w:cs="Times New Roman"/>
                    <w:snapToGrid w:val="0"/>
                    <w:color w:val="000000"/>
                    <w:spacing w:val="-16"/>
                    <w:lang w:val="en-GB" w:eastAsia="en-US"/>
                  </w:rPr>
                </w:pPr>
                <w:r>
                  <w:rPr>
                    <w:rFonts w:cs="Times New Roman"/>
                    <w:snapToGrid w:val="0"/>
                    <w:color w:val="000000"/>
                    <w:spacing w:val="-16"/>
                    <w:lang w:val="en-GB" w:eastAsia="en-US"/>
                  </w:rPr>
                  <w:t>澳大利亚</w:t>
                </w:r>
              </w:p>
            </w:tc>
            <w:tc>
              <w:tcPr>
                <w:tcW w:w="0" w:type="auto"/>
                <w:vAlign w:val="center"/>
              </w:tcPr>
              <w:p w14:paraId="15367717" w14:textId="77777777" w:rsidR="007E7472" w:rsidRDefault="00EC1269">
                <w:pPr>
                  <w:jc w:val="right"/>
                  <w:rPr>
                    <w:rFonts w:cs="Times New Roman"/>
                    <w:snapToGrid w:val="0"/>
                    <w:color w:val="000000"/>
                    <w:spacing w:val="-16"/>
                    <w:lang w:val="en-GB"/>
                  </w:rPr>
                </w:pPr>
                <w:r>
                  <w:rPr>
                    <w:rFonts w:cs="Times New Roman"/>
                    <w:snapToGrid w:val="0"/>
                    <w:color w:val="000000"/>
                    <w:spacing w:val="-16"/>
                    <w:lang w:val="en-GB"/>
                  </w:rPr>
                  <w:t>2</w:t>
                </w:r>
              </w:p>
            </w:tc>
            <w:tc>
              <w:tcPr>
                <w:tcW w:w="0" w:type="auto"/>
                <w:vAlign w:val="center"/>
              </w:tcPr>
              <w:p w14:paraId="65835909" w14:textId="77777777" w:rsidR="007E7472" w:rsidRDefault="00EC1269">
                <w:pPr>
                  <w:rPr>
                    <w:rFonts w:cs="Times New Roman"/>
                    <w:snapToGrid w:val="0"/>
                    <w:color w:val="000000"/>
                    <w:spacing w:val="-16"/>
                    <w:lang w:val="en-GB" w:eastAsia="en-US"/>
                  </w:rPr>
                </w:pPr>
                <w:r>
                  <w:rPr>
                    <w:rFonts w:cs="Times New Roman"/>
                    <w:snapToGrid w:val="0"/>
                    <w:color w:val="000000"/>
                    <w:spacing w:val="-16"/>
                    <w:lang w:val="en-GB" w:eastAsia="en-US"/>
                  </w:rPr>
                  <w:t>控股公司</w:t>
                </w:r>
              </w:p>
            </w:tc>
            <w:tc>
              <w:tcPr>
                <w:tcW w:w="0" w:type="auto"/>
                <w:vAlign w:val="center"/>
              </w:tcPr>
              <w:p w14:paraId="7AFBAA7F" w14:textId="77777777" w:rsidR="007E7472" w:rsidRDefault="00EC1269">
                <w:pPr>
                  <w:jc w:val="center"/>
                  <w:rPr>
                    <w:rFonts w:cs="Times New Roman"/>
                    <w:snapToGrid w:val="0"/>
                    <w:color w:val="000000"/>
                    <w:spacing w:val="-16"/>
                    <w:lang w:val="en-GB"/>
                  </w:rPr>
                </w:pPr>
                <w:r>
                  <w:rPr>
                    <w:rFonts w:cs="Times New Roman"/>
                    <w:snapToGrid w:val="0"/>
                    <w:color w:val="000000"/>
                    <w:spacing w:val="-16"/>
                    <w:lang w:val="en-GB"/>
                  </w:rPr>
                  <w:t>100</w:t>
                </w:r>
              </w:p>
            </w:tc>
          </w:tr>
          <w:tr w:rsidR="007E7472" w14:paraId="77144A4F" w14:textId="77777777">
            <w:trPr>
              <w:trHeight w:val="397"/>
            </w:trPr>
            <w:tc>
              <w:tcPr>
                <w:tcW w:w="0" w:type="auto"/>
              </w:tcPr>
              <w:p w14:paraId="69F2F2BF" w14:textId="77777777" w:rsidR="007E7472" w:rsidRDefault="00EC1269">
                <w:pPr>
                  <w:jc w:val="both"/>
                  <w:rPr>
                    <w:rFonts w:cs="Times New Roman"/>
                    <w:snapToGrid w:val="0"/>
                    <w:color w:val="000000"/>
                    <w:spacing w:val="-16"/>
                    <w:lang w:val="en-GB" w:eastAsia="en-US"/>
                  </w:rPr>
                </w:pPr>
                <w:r>
                  <w:t>CIM Mining Pty Ltd</w:t>
                </w:r>
              </w:p>
            </w:tc>
            <w:tc>
              <w:tcPr>
                <w:tcW w:w="0" w:type="auto"/>
                <w:vAlign w:val="center"/>
              </w:tcPr>
              <w:p w14:paraId="28577117" w14:textId="77777777" w:rsidR="007E7472" w:rsidRDefault="00EC1269">
                <w:pPr>
                  <w:jc w:val="center"/>
                  <w:rPr>
                    <w:rFonts w:cs="Times New Roman"/>
                    <w:snapToGrid w:val="0"/>
                    <w:color w:val="000000"/>
                    <w:spacing w:val="-16"/>
                    <w:lang w:val="en-GB" w:eastAsia="en-US"/>
                  </w:rPr>
                </w:pPr>
                <w:r>
                  <w:rPr>
                    <w:rFonts w:cs="Times New Roman"/>
                    <w:snapToGrid w:val="0"/>
                    <w:color w:val="000000"/>
                    <w:spacing w:val="-16"/>
                    <w:lang w:val="en-GB" w:eastAsia="en-US"/>
                  </w:rPr>
                  <w:t>澳大利亚</w:t>
                </w:r>
              </w:p>
            </w:tc>
            <w:tc>
              <w:tcPr>
                <w:tcW w:w="0" w:type="auto"/>
                <w:vAlign w:val="center"/>
              </w:tcPr>
              <w:p w14:paraId="3D9A41D1" w14:textId="77777777" w:rsidR="007E7472" w:rsidRDefault="00EC1269">
                <w:pPr>
                  <w:jc w:val="right"/>
                  <w:rPr>
                    <w:rFonts w:cs="Times New Roman"/>
                    <w:snapToGrid w:val="0"/>
                    <w:color w:val="000000"/>
                    <w:spacing w:val="-16"/>
                    <w:lang w:val="en-GB" w:eastAsia="en-US"/>
                  </w:rPr>
                </w:pPr>
                <w:r>
                  <w:rPr>
                    <w:rFonts w:cs="Times New Roman"/>
                    <w:snapToGrid w:val="0"/>
                    <w:color w:val="000000"/>
                    <w:spacing w:val="-16"/>
                    <w:lang w:val="en-GB" w:eastAsia="en-US"/>
                  </w:rPr>
                  <w:t>30,180,720</w:t>
                </w:r>
              </w:p>
            </w:tc>
            <w:tc>
              <w:tcPr>
                <w:tcW w:w="0" w:type="auto"/>
                <w:vAlign w:val="center"/>
              </w:tcPr>
              <w:p w14:paraId="61DBCD2F" w14:textId="77777777" w:rsidR="007E7472" w:rsidRDefault="00EC1269">
                <w:pPr>
                  <w:rPr>
                    <w:rFonts w:cs="Times New Roman"/>
                    <w:snapToGrid w:val="0"/>
                    <w:color w:val="000000"/>
                    <w:spacing w:val="-16"/>
                    <w:lang w:val="en-GB" w:eastAsia="en-US"/>
                  </w:rPr>
                </w:pPr>
                <w:r>
                  <w:rPr>
                    <w:rFonts w:cs="Times New Roman"/>
                    <w:snapToGrid w:val="0"/>
                    <w:color w:val="000000"/>
                    <w:spacing w:val="-16"/>
                    <w:lang w:val="en-GB"/>
                  </w:rPr>
                  <w:t>无经营</w:t>
                </w:r>
              </w:p>
            </w:tc>
            <w:tc>
              <w:tcPr>
                <w:tcW w:w="0" w:type="auto"/>
                <w:vAlign w:val="center"/>
              </w:tcPr>
              <w:p w14:paraId="485B713F" w14:textId="77777777" w:rsidR="007E7472" w:rsidRDefault="00EC1269">
                <w:pPr>
                  <w:jc w:val="center"/>
                  <w:rPr>
                    <w:rFonts w:cs="Times New Roman"/>
                    <w:snapToGrid w:val="0"/>
                    <w:color w:val="000000"/>
                    <w:spacing w:val="-16"/>
                    <w:lang w:val="en-GB"/>
                  </w:rPr>
                </w:pPr>
                <w:r>
                  <w:rPr>
                    <w:rFonts w:cs="Times New Roman"/>
                    <w:snapToGrid w:val="0"/>
                    <w:color w:val="000000"/>
                    <w:spacing w:val="-16"/>
                    <w:lang w:val="en-GB"/>
                  </w:rPr>
                  <w:t>100</w:t>
                </w:r>
              </w:p>
            </w:tc>
          </w:tr>
          <w:tr w:rsidR="007E7472" w14:paraId="16D73522" w14:textId="77777777">
            <w:trPr>
              <w:trHeight w:val="397"/>
            </w:trPr>
            <w:tc>
              <w:tcPr>
                <w:tcW w:w="0" w:type="auto"/>
              </w:tcPr>
              <w:p w14:paraId="6073C364" w14:textId="77777777" w:rsidR="007E7472" w:rsidRDefault="00EC1269">
                <w:pPr>
                  <w:jc w:val="both"/>
                  <w:rPr>
                    <w:rFonts w:cs="Times New Roman"/>
                    <w:snapToGrid w:val="0"/>
                    <w:color w:val="000000"/>
                    <w:spacing w:val="-16"/>
                    <w:lang w:val="en-GB" w:eastAsia="en-US"/>
                  </w:rPr>
                </w:pPr>
                <w:r>
                  <w:t>Monash Coal Holdings Pty Ltd</w:t>
                </w:r>
              </w:p>
            </w:tc>
            <w:tc>
              <w:tcPr>
                <w:tcW w:w="0" w:type="auto"/>
                <w:vAlign w:val="center"/>
              </w:tcPr>
              <w:p w14:paraId="541BB58F" w14:textId="77777777" w:rsidR="007E7472" w:rsidRDefault="00EC1269">
                <w:pPr>
                  <w:jc w:val="center"/>
                  <w:rPr>
                    <w:rFonts w:cs="Times New Roman"/>
                    <w:snapToGrid w:val="0"/>
                    <w:color w:val="000000"/>
                    <w:spacing w:val="-16"/>
                    <w:lang w:val="en-GB" w:eastAsia="en-US"/>
                  </w:rPr>
                </w:pPr>
                <w:r>
                  <w:rPr>
                    <w:rFonts w:cs="Times New Roman"/>
                    <w:snapToGrid w:val="0"/>
                    <w:color w:val="000000"/>
                    <w:spacing w:val="-16"/>
                    <w:lang w:val="en-GB" w:eastAsia="en-US"/>
                  </w:rPr>
                  <w:t>澳大利亚</w:t>
                </w:r>
              </w:p>
            </w:tc>
            <w:tc>
              <w:tcPr>
                <w:tcW w:w="0" w:type="auto"/>
                <w:vAlign w:val="center"/>
              </w:tcPr>
              <w:p w14:paraId="46110DCF" w14:textId="77777777" w:rsidR="007E7472" w:rsidRDefault="00EC1269">
                <w:pPr>
                  <w:jc w:val="right"/>
                  <w:rPr>
                    <w:rFonts w:cs="Times New Roman"/>
                    <w:snapToGrid w:val="0"/>
                    <w:color w:val="000000"/>
                    <w:spacing w:val="-16"/>
                    <w:lang w:val="en-GB"/>
                  </w:rPr>
                </w:pPr>
                <w:r>
                  <w:rPr>
                    <w:rFonts w:cs="Times New Roman"/>
                    <w:snapToGrid w:val="0"/>
                    <w:color w:val="000000"/>
                    <w:spacing w:val="-16"/>
                    <w:lang w:val="en-GB"/>
                  </w:rPr>
                  <w:t>100</w:t>
                </w:r>
              </w:p>
            </w:tc>
            <w:tc>
              <w:tcPr>
                <w:tcW w:w="0" w:type="auto"/>
                <w:vAlign w:val="center"/>
              </w:tcPr>
              <w:p w14:paraId="174B9665" w14:textId="77777777" w:rsidR="007E7472" w:rsidRDefault="00EC1269">
                <w:pPr>
                  <w:rPr>
                    <w:rFonts w:cs="Times New Roman"/>
                    <w:snapToGrid w:val="0"/>
                    <w:color w:val="000000"/>
                    <w:spacing w:val="-16"/>
                    <w:lang w:val="en-GB" w:eastAsia="en-US"/>
                  </w:rPr>
                </w:pPr>
                <w:r>
                  <w:rPr>
                    <w:rFonts w:cs="Times New Roman"/>
                    <w:snapToGrid w:val="0"/>
                    <w:color w:val="000000"/>
                    <w:spacing w:val="-16"/>
                    <w:lang w:val="en-GB"/>
                  </w:rPr>
                  <w:t>无经营</w:t>
                </w:r>
              </w:p>
            </w:tc>
            <w:tc>
              <w:tcPr>
                <w:tcW w:w="0" w:type="auto"/>
                <w:vAlign w:val="center"/>
              </w:tcPr>
              <w:p w14:paraId="49D54C26" w14:textId="77777777" w:rsidR="007E7472" w:rsidRDefault="00EC1269">
                <w:pPr>
                  <w:jc w:val="center"/>
                  <w:rPr>
                    <w:rFonts w:cs="Times New Roman"/>
                    <w:snapToGrid w:val="0"/>
                    <w:color w:val="000000"/>
                    <w:spacing w:val="-16"/>
                    <w:lang w:val="en-GB"/>
                  </w:rPr>
                </w:pPr>
                <w:r>
                  <w:rPr>
                    <w:rFonts w:cs="Times New Roman"/>
                    <w:snapToGrid w:val="0"/>
                    <w:color w:val="000000"/>
                    <w:spacing w:val="-16"/>
                    <w:lang w:val="en-GB"/>
                  </w:rPr>
                  <w:t>100</w:t>
                </w:r>
              </w:p>
            </w:tc>
          </w:tr>
          <w:tr w:rsidR="007E7472" w14:paraId="565C1329" w14:textId="77777777">
            <w:trPr>
              <w:trHeight w:val="397"/>
            </w:trPr>
            <w:tc>
              <w:tcPr>
                <w:tcW w:w="0" w:type="auto"/>
              </w:tcPr>
              <w:p w14:paraId="591E1F55" w14:textId="77777777" w:rsidR="007E7472" w:rsidRDefault="00EC1269">
                <w:pPr>
                  <w:jc w:val="both"/>
                  <w:rPr>
                    <w:rFonts w:cs="Times New Roman"/>
                    <w:snapToGrid w:val="0"/>
                    <w:color w:val="000000"/>
                    <w:spacing w:val="-16"/>
                    <w:lang w:val="en-GB" w:eastAsia="en-US"/>
                  </w:rPr>
                </w:pPr>
                <w:r>
                  <w:t>CIM Stratford Pty Ltd</w:t>
                </w:r>
              </w:p>
            </w:tc>
            <w:tc>
              <w:tcPr>
                <w:tcW w:w="0" w:type="auto"/>
                <w:vAlign w:val="center"/>
              </w:tcPr>
              <w:p w14:paraId="73A4F2BE" w14:textId="77777777" w:rsidR="007E7472" w:rsidRDefault="00EC1269">
                <w:pPr>
                  <w:jc w:val="center"/>
                  <w:rPr>
                    <w:rFonts w:cs="Times New Roman"/>
                    <w:snapToGrid w:val="0"/>
                    <w:color w:val="000000"/>
                    <w:spacing w:val="-16"/>
                    <w:lang w:val="en-GB"/>
                  </w:rPr>
                </w:pPr>
                <w:r>
                  <w:rPr>
                    <w:rFonts w:cs="Times New Roman"/>
                    <w:snapToGrid w:val="0"/>
                    <w:color w:val="000000"/>
                    <w:spacing w:val="-16"/>
                    <w:lang w:val="en-GB" w:eastAsia="en-US"/>
                  </w:rPr>
                  <w:t>澳大利亚</w:t>
                </w:r>
              </w:p>
            </w:tc>
            <w:tc>
              <w:tcPr>
                <w:tcW w:w="0" w:type="auto"/>
                <w:vAlign w:val="center"/>
              </w:tcPr>
              <w:p w14:paraId="1A014E53" w14:textId="77777777" w:rsidR="007E7472" w:rsidRDefault="00EC1269">
                <w:pPr>
                  <w:jc w:val="right"/>
                  <w:rPr>
                    <w:rFonts w:cs="Times New Roman"/>
                    <w:snapToGrid w:val="0"/>
                    <w:color w:val="000000"/>
                    <w:spacing w:val="-16"/>
                    <w:lang w:val="en-GB" w:eastAsia="en-US"/>
                  </w:rPr>
                </w:pPr>
                <w:r>
                  <w:rPr>
                    <w:rFonts w:cs="Times New Roman"/>
                    <w:snapToGrid w:val="0"/>
                    <w:color w:val="000000"/>
                    <w:spacing w:val="-16"/>
                    <w:lang w:val="en-GB" w:eastAsia="en-US"/>
                  </w:rPr>
                  <w:t>21,558,606</w:t>
                </w:r>
              </w:p>
            </w:tc>
            <w:tc>
              <w:tcPr>
                <w:tcW w:w="0" w:type="auto"/>
                <w:vAlign w:val="center"/>
              </w:tcPr>
              <w:p w14:paraId="3F267DD3" w14:textId="77777777" w:rsidR="007E7472" w:rsidRDefault="00EC1269">
                <w:pPr>
                  <w:rPr>
                    <w:rFonts w:cs="Times New Roman"/>
                    <w:snapToGrid w:val="0"/>
                    <w:color w:val="000000"/>
                    <w:spacing w:val="-16"/>
                    <w:lang w:val="en-GB" w:eastAsia="en-US"/>
                  </w:rPr>
                </w:pPr>
                <w:r>
                  <w:rPr>
                    <w:rFonts w:cs="Times New Roman"/>
                    <w:snapToGrid w:val="0"/>
                    <w:color w:val="000000"/>
                    <w:spacing w:val="-16"/>
                    <w:lang w:val="en-GB"/>
                  </w:rPr>
                  <w:t>无经营</w:t>
                </w:r>
              </w:p>
            </w:tc>
            <w:tc>
              <w:tcPr>
                <w:tcW w:w="0" w:type="auto"/>
                <w:vAlign w:val="center"/>
              </w:tcPr>
              <w:p w14:paraId="42B5DFEB" w14:textId="77777777" w:rsidR="007E7472" w:rsidRDefault="00EC1269">
                <w:pPr>
                  <w:jc w:val="center"/>
                  <w:rPr>
                    <w:rFonts w:cs="Times New Roman"/>
                    <w:snapToGrid w:val="0"/>
                    <w:color w:val="000000"/>
                    <w:spacing w:val="-16"/>
                    <w:lang w:val="en-GB"/>
                  </w:rPr>
                </w:pPr>
                <w:r>
                  <w:rPr>
                    <w:rFonts w:cs="Times New Roman"/>
                    <w:snapToGrid w:val="0"/>
                    <w:color w:val="000000"/>
                    <w:spacing w:val="-16"/>
                    <w:lang w:val="en-GB"/>
                  </w:rPr>
                  <w:t>100</w:t>
                </w:r>
              </w:p>
            </w:tc>
          </w:tr>
          <w:tr w:rsidR="007E7472" w14:paraId="382B3F3B" w14:textId="77777777">
            <w:trPr>
              <w:trHeight w:val="397"/>
            </w:trPr>
            <w:tc>
              <w:tcPr>
                <w:tcW w:w="0" w:type="auto"/>
              </w:tcPr>
              <w:p w14:paraId="2557EF1A" w14:textId="77777777" w:rsidR="007E7472" w:rsidRDefault="00EC1269">
                <w:pPr>
                  <w:jc w:val="both"/>
                  <w:rPr>
                    <w:rFonts w:cs="Times New Roman"/>
                    <w:snapToGrid w:val="0"/>
                    <w:color w:val="000000"/>
                    <w:spacing w:val="-16"/>
                    <w:lang w:val="en-GB" w:eastAsia="en-US"/>
                  </w:rPr>
                </w:pPr>
                <w:r>
                  <w:t>CIM Services Pty Ltd</w:t>
                </w:r>
              </w:p>
            </w:tc>
            <w:tc>
              <w:tcPr>
                <w:tcW w:w="0" w:type="auto"/>
                <w:vAlign w:val="center"/>
              </w:tcPr>
              <w:p w14:paraId="397C7ECE" w14:textId="77777777" w:rsidR="007E7472" w:rsidRDefault="00EC1269">
                <w:pPr>
                  <w:jc w:val="center"/>
                  <w:rPr>
                    <w:rFonts w:cs="Times New Roman"/>
                    <w:snapToGrid w:val="0"/>
                    <w:color w:val="000000"/>
                    <w:spacing w:val="-16"/>
                    <w:lang w:val="en-GB"/>
                  </w:rPr>
                </w:pPr>
                <w:r>
                  <w:rPr>
                    <w:rFonts w:cs="Times New Roman"/>
                    <w:snapToGrid w:val="0"/>
                    <w:color w:val="000000"/>
                    <w:spacing w:val="-16"/>
                    <w:lang w:val="en-GB" w:eastAsia="en-US"/>
                  </w:rPr>
                  <w:t>澳大利亚</w:t>
                </w:r>
              </w:p>
            </w:tc>
            <w:tc>
              <w:tcPr>
                <w:tcW w:w="0" w:type="auto"/>
                <w:vAlign w:val="center"/>
              </w:tcPr>
              <w:p w14:paraId="78196DD0" w14:textId="77777777" w:rsidR="007E7472" w:rsidRDefault="00EC1269">
                <w:pPr>
                  <w:jc w:val="right"/>
                  <w:rPr>
                    <w:rFonts w:cs="Times New Roman"/>
                    <w:snapToGrid w:val="0"/>
                    <w:color w:val="000000"/>
                    <w:spacing w:val="-16"/>
                    <w:lang w:val="en-GB" w:eastAsia="en-US"/>
                  </w:rPr>
                </w:pPr>
                <w:r>
                  <w:rPr>
                    <w:rFonts w:cs="Times New Roman"/>
                    <w:snapToGrid w:val="0"/>
                    <w:color w:val="000000"/>
                    <w:spacing w:val="-16"/>
                    <w:lang w:val="en-GB" w:eastAsia="en-US"/>
                  </w:rPr>
                  <w:t>8,400,000</w:t>
                </w:r>
              </w:p>
            </w:tc>
            <w:tc>
              <w:tcPr>
                <w:tcW w:w="0" w:type="auto"/>
                <w:vAlign w:val="center"/>
              </w:tcPr>
              <w:p w14:paraId="0296C19F" w14:textId="77777777" w:rsidR="007E7472" w:rsidRDefault="00EC1269">
                <w:pPr>
                  <w:rPr>
                    <w:rFonts w:cs="Times New Roman"/>
                    <w:snapToGrid w:val="0"/>
                    <w:color w:val="000000"/>
                    <w:spacing w:val="-16"/>
                    <w:lang w:val="en-GB" w:eastAsia="en-US"/>
                  </w:rPr>
                </w:pPr>
                <w:r>
                  <w:rPr>
                    <w:rFonts w:cs="Times New Roman"/>
                    <w:snapToGrid w:val="0"/>
                    <w:color w:val="000000"/>
                    <w:spacing w:val="-16"/>
                    <w:lang w:val="en-GB"/>
                  </w:rPr>
                  <w:t>无经营</w:t>
                </w:r>
              </w:p>
            </w:tc>
            <w:tc>
              <w:tcPr>
                <w:tcW w:w="0" w:type="auto"/>
                <w:vAlign w:val="center"/>
              </w:tcPr>
              <w:p w14:paraId="6C8EAA61" w14:textId="77777777" w:rsidR="007E7472" w:rsidRDefault="00EC1269">
                <w:pPr>
                  <w:jc w:val="center"/>
                  <w:rPr>
                    <w:rFonts w:cs="Times New Roman"/>
                    <w:snapToGrid w:val="0"/>
                    <w:color w:val="000000"/>
                    <w:spacing w:val="-16"/>
                    <w:lang w:val="en-GB" w:eastAsia="en-US"/>
                  </w:rPr>
                </w:pPr>
                <w:r>
                  <w:rPr>
                    <w:rFonts w:cs="Times New Roman"/>
                    <w:snapToGrid w:val="0"/>
                    <w:color w:val="000000"/>
                    <w:spacing w:val="-16"/>
                    <w:lang w:val="en-GB"/>
                  </w:rPr>
                  <w:t>100</w:t>
                </w:r>
              </w:p>
            </w:tc>
          </w:tr>
          <w:tr w:rsidR="007E7472" w14:paraId="5678FCB1" w14:textId="77777777">
            <w:trPr>
              <w:trHeight w:val="397"/>
            </w:trPr>
            <w:tc>
              <w:tcPr>
                <w:tcW w:w="0" w:type="auto"/>
              </w:tcPr>
              <w:p w14:paraId="6E258BE1" w14:textId="77777777" w:rsidR="007E7472" w:rsidRDefault="00EC1269">
                <w:pPr>
                  <w:jc w:val="both"/>
                  <w:rPr>
                    <w:rFonts w:cs="Times New Roman"/>
                    <w:snapToGrid w:val="0"/>
                    <w:color w:val="000000"/>
                    <w:spacing w:val="-16"/>
                    <w:lang w:val="en-GB" w:eastAsia="en-US"/>
                  </w:rPr>
                </w:pPr>
                <w:r>
                  <w:t>Monash Coal Pty Ltd</w:t>
                </w:r>
              </w:p>
            </w:tc>
            <w:tc>
              <w:tcPr>
                <w:tcW w:w="0" w:type="auto"/>
                <w:vAlign w:val="center"/>
              </w:tcPr>
              <w:p w14:paraId="31742196" w14:textId="77777777" w:rsidR="007E7472" w:rsidRDefault="00EC1269">
                <w:pPr>
                  <w:jc w:val="center"/>
                  <w:rPr>
                    <w:rFonts w:cs="Times New Roman"/>
                    <w:snapToGrid w:val="0"/>
                    <w:color w:val="000000"/>
                    <w:spacing w:val="-16"/>
                    <w:lang w:val="en-GB"/>
                  </w:rPr>
                </w:pPr>
                <w:r>
                  <w:rPr>
                    <w:rFonts w:cs="Times New Roman"/>
                    <w:snapToGrid w:val="0"/>
                    <w:color w:val="000000"/>
                    <w:spacing w:val="-16"/>
                    <w:lang w:val="en-GB" w:eastAsia="en-US"/>
                  </w:rPr>
                  <w:t>澳大利亚</w:t>
                </w:r>
              </w:p>
            </w:tc>
            <w:tc>
              <w:tcPr>
                <w:tcW w:w="0" w:type="auto"/>
                <w:vAlign w:val="center"/>
              </w:tcPr>
              <w:p w14:paraId="4F39523B" w14:textId="77777777" w:rsidR="007E7472" w:rsidRDefault="00EC1269">
                <w:pPr>
                  <w:jc w:val="right"/>
                  <w:rPr>
                    <w:rFonts w:cs="Times New Roman"/>
                    <w:snapToGrid w:val="0"/>
                    <w:color w:val="000000"/>
                    <w:spacing w:val="-16"/>
                    <w:lang w:val="en-GB" w:eastAsia="en-US"/>
                  </w:rPr>
                </w:pPr>
                <w:r>
                  <w:rPr>
                    <w:rFonts w:cs="Times New Roman"/>
                    <w:snapToGrid w:val="0"/>
                    <w:color w:val="000000"/>
                    <w:spacing w:val="-16"/>
                    <w:lang w:val="en-GB" w:eastAsia="en-US"/>
                  </w:rPr>
                  <w:t>100</w:t>
                </w:r>
              </w:p>
            </w:tc>
            <w:tc>
              <w:tcPr>
                <w:tcW w:w="0" w:type="auto"/>
                <w:vAlign w:val="center"/>
              </w:tcPr>
              <w:p w14:paraId="651479FF" w14:textId="77777777" w:rsidR="007E7472" w:rsidRDefault="00EC1269">
                <w:pPr>
                  <w:rPr>
                    <w:rFonts w:cs="Times New Roman"/>
                    <w:snapToGrid w:val="0"/>
                    <w:color w:val="000000"/>
                    <w:spacing w:val="-16"/>
                    <w:lang w:val="en-GB" w:eastAsia="en-US"/>
                  </w:rPr>
                </w:pPr>
                <w:r>
                  <w:rPr>
                    <w:rFonts w:cs="Times New Roman"/>
                    <w:snapToGrid w:val="0"/>
                    <w:color w:val="000000"/>
                    <w:spacing w:val="-16"/>
                    <w:lang w:val="en-GB" w:eastAsia="en-US"/>
                  </w:rPr>
                  <w:t>煤炭开采及销售</w:t>
                </w:r>
              </w:p>
            </w:tc>
            <w:tc>
              <w:tcPr>
                <w:tcW w:w="0" w:type="auto"/>
                <w:vAlign w:val="center"/>
              </w:tcPr>
              <w:p w14:paraId="5D99204C" w14:textId="77777777" w:rsidR="007E7472" w:rsidRDefault="00EC1269">
                <w:pPr>
                  <w:jc w:val="center"/>
                  <w:rPr>
                    <w:rFonts w:cs="Times New Roman"/>
                    <w:snapToGrid w:val="0"/>
                    <w:color w:val="000000"/>
                    <w:spacing w:val="-16"/>
                    <w:lang w:val="en-GB" w:eastAsia="en-US"/>
                  </w:rPr>
                </w:pPr>
                <w:r>
                  <w:rPr>
                    <w:rFonts w:cs="Times New Roman"/>
                    <w:snapToGrid w:val="0"/>
                    <w:color w:val="000000"/>
                    <w:spacing w:val="-16"/>
                    <w:lang w:val="en-GB"/>
                  </w:rPr>
                  <w:t>100</w:t>
                </w:r>
              </w:p>
            </w:tc>
          </w:tr>
          <w:tr w:rsidR="007E7472" w14:paraId="05B2B94B" w14:textId="77777777">
            <w:trPr>
              <w:trHeight w:val="397"/>
            </w:trPr>
            <w:tc>
              <w:tcPr>
                <w:tcW w:w="0" w:type="auto"/>
              </w:tcPr>
              <w:p w14:paraId="7A830084" w14:textId="77777777" w:rsidR="007E7472" w:rsidRDefault="00EC1269">
                <w:pPr>
                  <w:jc w:val="both"/>
                  <w:rPr>
                    <w:rFonts w:cs="Times New Roman"/>
                    <w:snapToGrid w:val="0"/>
                    <w:color w:val="000000"/>
                    <w:spacing w:val="-16"/>
                    <w:lang w:val="en-GB" w:eastAsia="en-US"/>
                  </w:rPr>
                </w:pPr>
                <w:r>
                  <w:t>Stradford Coal Pty Ltd</w:t>
                </w:r>
              </w:p>
            </w:tc>
            <w:tc>
              <w:tcPr>
                <w:tcW w:w="0" w:type="auto"/>
                <w:vAlign w:val="center"/>
              </w:tcPr>
              <w:p w14:paraId="0EB7CF94" w14:textId="77777777" w:rsidR="007E7472" w:rsidRDefault="00EC1269">
                <w:pPr>
                  <w:jc w:val="center"/>
                  <w:rPr>
                    <w:rFonts w:cs="Times New Roman"/>
                    <w:snapToGrid w:val="0"/>
                    <w:color w:val="000000"/>
                    <w:spacing w:val="-16"/>
                    <w:lang w:val="en-GB"/>
                  </w:rPr>
                </w:pPr>
                <w:r>
                  <w:rPr>
                    <w:rFonts w:cs="Times New Roman"/>
                    <w:snapToGrid w:val="0"/>
                    <w:color w:val="000000"/>
                    <w:spacing w:val="-16"/>
                    <w:lang w:val="en-GB" w:eastAsia="en-US"/>
                  </w:rPr>
                  <w:t>澳大利亚</w:t>
                </w:r>
              </w:p>
            </w:tc>
            <w:tc>
              <w:tcPr>
                <w:tcW w:w="0" w:type="auto"/>
                <w:vAlign w:val="center"/>
              </w:tcPr>
              <w:p w14:paraId="3CA30B8D" w14:textId="77777777" w:rsidR="007E7472" w:rsidRDefault="00EC1269">
                <w:pPr>
                  <w:jc w:val="right"/>
                  <w:rPr>
                    <w:rFonts w:cs="Times New Roman"/>
                    <w:snapToGrid w:val="0"/>
                    <w:color w:val="000000"/>
                    <w:spacing w:val="-16"/>
                    <w:lang w:val="en-GB"/>
                  </w:rPr>
                </w:pPr>
                <w:r>
                  <w:rPr>
                    <w:rFonts w:cs="Times New Roman"/>
                    <w:snapToGrid w:val="0"/>
                    <w:color w:val="000000"/>
                    <w:spacing w:val="-16"/>
                    <w:lang w:val="en-GB"/>
                  </w:rPr>
                  <w:t>10</w:t>
                </w:r>
              </w:p>
            </w:tc>
            <w:tc>
              <w:tcPr>
                <w:tcW w:w="0" w:type="auto"/>
                <w:vAlign w:val="center"/>
              </w:tcPr>
              <w:p w14:paraId="55FEEF32" w14:textId="77777777" w:rsidR="007E7472" w:rsidRDefault="00EC1269">
                <w:pPr>
                  <w:rPr>
                    <w:rFonts w:cs="Times New Roman"/>
                    <w:snapToGrid w:val="0"/>
                    <w:color w:val="000000"/>
                    <w:spacing w:val="-16"/>
                    <w:lang w:val="en-GB" w:eastAsia="en-US"/>
                  </w:rPr>
                </w:pPr>
                <w:r>
                  <w:rPr>
                    <w:rFonts w:cs="Times New Roman"/>
                    <w:snapToGrid w:val="0"/>
                    <w:color w:val="000000"/>
                    <w:spacing w:val="-16"/>
                    <w:lang w:val="en-GB" w:eastAsia="en-US"/>
                  </w:rPr>
                  <w:t>煤炭开采</w:t>
                </w:r>
              </w:p>
            </w:tc>
            <w:tc>
              <w:tcPr>
                <w:tcW w:w="0" w:type="auto"/>
                <w:vAlign w:val="center"/>
              </w:tcPr>
              <w:p w14:paraId="302B3C3D" w14:textId="77777777" w:rsidR="007E7472" w:rsidRDefault="00EC1269">
                <w:pPr>
                  <w:jc w:val="center"/>
                  <w:rPr>
                    <w:rFonts w:cs="Times New Roman"/>
                    <w:snapToGrid w:val="0"/>
                    <w:color w:val="000000"/>
                    <w:spacing w:val="-16"/>
                    <w:lang w:val="en-GB" w:eastAsia="en-US"/>
                  </w:rPr>
                </w:pPr>
                <w:r>
                  <w:rPr>
                    <w:rFonts w:cs="Times New Roman"/>
                    <w:snapToGrid w:val="0"/>
                    <w:color w:val="000000"/>
                    <w:spacing w:val="-16"/>
                    <w:lang w:val="en-GB"/>
                  </w:rPr>
                  <w:t>100</w:t>
                </w:r>
              </w:p>
            </w:tc>
          </w:tr>
          <w:tr w:rsidR="007E7472" w14:paraId="279BC9B2" w14:textId="77777777">
            <w:trPr>
              <w:trHeight w:val="397"/>
            </w:trPr>
            <w:tc>
              <w:tcPr>
                <w:tcW w:w="0" w:type="auto"/>
              </w:tcPr>
              <w:p w14:paraId="347B3083" w14:textId="77777777" w:rsidR="007E7472" w:rsidRDefault="00EC1269">
                <w:pPr>
                  <w:jc w:val="both"/>
                  <w:rPr>
                    <w:rFonts w:cs="Times New Roman"/>
                    <w:snapToGrid w:val="0"/>
                    <w:color w:val="000000"/>
                    <w:spacing w:val="-16"/>
                    <w:lang w:val="en-GB" w:eastAsia="en-US"/>
                  </w:rPr>
                </w:pPr>
                <w:r>
                  <w:t>Stradford Coal Marketing Pty Ltd</w:t>
                </w:r>
              </w:p>
            </w:tc>
            <w:tc>
              <w:tcPr>
                <w:tcW w:w="0" w:type="auto"/>
                <w:vAlign w:val="center"/>
              </w:tcPr>
              <w:p w14:paraId="7500E941" w14:textId="77777777" w:rsidR="007E7472" w:rsidRDefault="00EC1269">
                <w:pPr>
                  <w:jc w:val="center"/>
                  <w:rPr>
                    <w:rFonts w:cs="Times New Roman"/>
                    <w:snapToGrid w:val="0"/>
                    <w:color w:val="000000"/>
                    <w:spacing w:val="-16"/>
                    <w:lang w:val="en-GB"/>
                  </w:rPr>
                </w:pPr>
                <w:r>
                  <w:rPr>
                    <w:rFonts w:cs="Times New Roman"/>
                    <w:snapToGrid w:val="0"/>
                    <w:color w:val="000000"/>
                    <w:spacing w:val="-16"/>
                    <w:lang w:val="en-GB" w:eastAsia="en-US"/>
                  </w:rPr>
                  <w:t>澳大利亚</w:t>
                </w:r>
              </w:p>
            </w:tc>
            <w:tc>
              <w:tcPr>
                <w:tcW w:w="0" w:type="auto"/>
                <w:vAlign w:val="center"/>
              </w:tcPr>
              <w:p w14:paraId="3F015062" w14:textId="77777777" w:rsidR="007E7472" w:rsidRDefault="00EC1269">
                <w:pPr>
                  <w:jc w:val="right"/>
                  <w:rPr>
                    <w:rFonts w:cs="Times New Roman"/>
                    <w:snapToGrid w:val="0"/>
                    <w:color w:val="000000"/>
                    <w:spacing w:val="-16"/>
                    <w:lang w:val="en-GB"/>
                  </w:rPr>
                </w:pPr>
                <w:r>
                  <w:rPr>
                    <w:rFonts w:cs="Times New Roman"/>
                    <w:snapToGrid w:val="0"/>
                    <w:color w:val="000000"/>
                    <w:spacing w:val="-16"/>
                    <w:lang w:val="en-GB"/>
                  </w:rPr>
                  <w:t>10</w:t>
                </w:r>
              </w:p>
            </w:tc>
            <w:tc>
              <w:tcPr>
                <w:tcW w:w="0" w:type="auto"/>
                <w:vAlign w:val="center"/>
              </w:tcPr>
              <w:p w14:paraId="30759D7D" w14:textId="77777777" w:rsidR="007E7472" w:rsidRDefault="00EC1269">
                <w:pPr>
                  <w:rPr>
                    <w:rFonts w:cs="Times New Roman"/>
                    <w:snapToGrid w:val="0"/>
                    <w:color w:val="000000"/>
                    <w:spacing w:val="-16"/>
                    <w:lang w:val="en-GB" w:eastAsia="en-US"/>
                  </w:rPr>
                </w:pPr>
                <w:r>
                  <w:rPr>
                    <w:rFonts w:cs="Times New Roman"/>
                    <w:snapToGrid w:val="0"/>
                    <w:color w:val="000000"/>
                    <w:spacing w:val="-16"/>
                    <w:lang w:val="en-GB" w:eastAsia="en-US"/>
                  </w:rPr>
                  <w:t>煤炭销售</w:t>
                </w:r>
              </w:p>
            </w:tc>
            <w:tc>
              <w:tcPr>
                <w:tcW w:w="0" w:type="auto"/>
                <w:vAlign w:val="center"/>
              </w:tcPr>
              <w:p w14:paraId="2B278EBE" w14:textId="77777777" w:rsidR="007E7472" w:rsidRDefault="00EC1269">
                <w:pPr>
                  <w:jc w:val="center"/>
                  <w:rPr>
                    <w:rFonts w:cs="Times New Roman"/>
                    <w:snapToGrid w:val="0"/>
                    <w:color w:val="000000"/>
                    <w:spacing w:val="-16"/>
                    <w:lang w:val="en-GB" w:eastAsia="en-US"/>
                  </w:rPr>
                </w:pPr>
                <w:r>
                  <w:rPr>
                    <w:rFonts w:cs="Times New Roman"/>
                    <w:snapToGrid w:val="0"/>
                    <w:color w:val="000000"/>
                    <w:spacing w:val="-16"/>
                    <w:lang w:val="en-GB"/>
                  </w:rPr>
                  <w:t>100</w:t>
                </w:r>
              </w:p>
            </w:tc>
          </w:tr>
        </w:tbl>
        <w:p w14:paraId="1E956DC2" w14:textId="77777777" w:rsidR="007E7472" w:rsidRDefault="00EC1269" w:rsidP="00162493">
          <w:pPr>
            <w:numPr>
              <w:ilvl w:val="0"/>
              <w:numId w:val="104"/>
            </w:numPr>
            <w:tabs>
              <w:tab w:val="left" w:pos="567"/>
            </w:tabs>
            <w:spacing w:beforeLines="50" w:before="120" w:afterLines="50" w:after="120" w:line="360" w:lineRule="exact"/>
            <w:ind w:leftChars="200" w:firstLine="0"/>
            <w:jc w:val="both"/>
            <w:rPr>
              <w:rFonts w:cs="Times New Roman"/>
              <w:snapToGrid w:val="0"/>
              <w:color w:val="000000"/>
            </w:rPr>
          </w:pPr>
          <w:r>
            <w:rPr>
              <w:rFonts w:cs="Times New Roman"/>
              <w:snapToGrid w:val="0"/>
              <w:color w:val="000000"/>
            </w:rPr>
            <w:t>兖煤澳大利亚资源有限公司</w:t>
          </w:r>
        </w:p>
        <w:p w14:paraId="65A078E0" w14:textId="77777777" w:rsidR="007E7472" w:rsidRDefault="00EC1269">
          <w:pPr>
            <w:tabs>
              <w:tab w:val="left" w:pos="426"/>
              <w:tab w:val="left" w:pos="800"/>
            </w:tabs>
            <w:spacing w:beforeLines="50" w:before="120" w:afterLines="50" w:after="120" w:line="360" w:lineRule="exact"/>
            <w:ind w:firstLineChars="200" w:firstLine="420"/>
            <w:jc w:val="both"/>
            <w:rPr>
              <w:rFonts w:cs="Times New Roman"/>
              <w:snapToGrid w:val="0"/>
              <w:color w:val="000000"/>
              <w:lang w:val="en-GB"/>
            </w:rPr>
          </w:pPr>
          <w:r>
            <w:rPr>
              <w:rFonts w:cs="Times New Roman"/>
              <w:snapToGrid w:val="0"/>
              <w:color w:val="000000"/>
              <w:lang w:val="en-GB"/>
            </w:rPr>
            <w:t>兖煤澳大利亚资源有限公司（原菲利克斯资源有限公司，以下简称“兖煤资源”）为于1970年1月在澳大利亚昆士兰州布里斯本市注册成立的有限责任公司，公司主要经营业务为煤炭开采和勘探等，公司注册号为000754174。</w:t>
          </w:r>
        </w:p>
        <w:p w14:paraId="584A1B91" w14:textId="77777777" w:rsidR="007E7472" w:rsidRDefault="00EC1269">
          <w:pPr>
            <w:tabs>
              <w:tab w:val="left" w:pos="567"/>
            </w:tabs>
            <w:spacing w:beforeLines="50" w:before="120" w:afterLines="50" w:after="120" w:line="360" w:lineRule="exact"/>
            <w:ind w:leftChars="200" w:left="420"/>
            <w:jc w:val="both"/>
            <w:rPr>
              <w:rFonts w:cs="Times New Roman"/>
              <w:snapToGrid w:val="0"/>
              <w:color w:val="000000"/>
            </w:rPr>
          </w:pPr>
          <w:r>
            <w:rPr>
              <w:rFonts w:cs="Times New Roman"/>
              <w:snapToGrid w:val="0"/>
              <w:color w:val="000000"/>
            </w:rPr>
            <w:t>兖煤资源</w:t>
          </w:r>
          <w:r>
            <w:rPr>
              <w:rFonts w:cs="Times New Roman" w:hint="eastAsia"/>
              <w:snapToGrid w:val="0"/>
              <w:color w:val="000000"/>
            </w:rPr>
            <w:t>主要</w:t>
          </w:r>
          <w:r>
            <w:rPr>
              <w:rFonts w:cs="Times New Roman"/>
              <w:snapToGrid w:val="0"/>
              <w:color w:val="000000"/>
            </w:rPr>
            <w:t>控股子公司如下：</w:t>
          </w:r>
        </w:p>
        <w:tbl>
          <w:tblPr>
            <w:tblStyle w:val="g4"/>
            <w:tblW w:w="0" w:type="auto"/>
            <w:tblInd w:w="-34" w:type="dxa"/>
            <w:tblBorders>
              <w:top w:val="double" w:sz="4" w:space="0" w:color="auto"/>
              <w:bottom w:val="double" w:sz="4" w:space="0" w:color="auto"/>
              <w:insideH w:val="single" w:sz="2" w:space="0" w:color="auto"/>
              <w:insideV w:val="single" w:sz="2" w:space="0" w:color="auto"/>
            </w:tblBorders>
            <w:tblLook w:val="04A0" w:firstRow="1" w:lastRow="0" w:firstColumn="1" w:lastColumn="0" w:noHBand="0" w:noVBand="1"/>
          </w:tblPr>
          <w:tblGrid>
            <w:gridCol w:w="4003"/>
            <w:gridCol w:w="993"/>
            <w:gridCol w:w="1134"/>
            <w:gridCol w:w="1344"/>
            <w:gridCol w:w="1067"/>
          </w:tblGrid>
          <w:tr w:rsidR="007E7472" w14:paraId="2466F1EE" w14:textId="77777777" w:rsidTr="004E3C40">
            <w:trPr>
              <w:trHeight w:val="397"/>
              <w:tblHeader/>
            </w:trPr>
            <w:tc>
              <w:tcPr>
                <w:tcW w:w="4003" w:type="dxa"/>
                <w:vAlign w:val="center"/>
              </w:tcPr>
              <w:p w14:paraId="2E105C9F" w14:textId="77777777" w:rsidR="007E7472" w:rsidRDefault="00EC1269">
                <w:pPr>
                  <w:jc w:val="both"/>
                  <w:rPr>
                    <w:rFonts w:cs="Times New Roman"/>
                    <w:b/>
                    <w:snapToGrid w:val="0"/>
                    <w:spacing w:val="-16"/>
                  </w:rPr>
                </w:pPr>
                <w:r>
                  <w:rPr>
                    <w:rFonts w:cs="Times New Roman"/>
                    <w:b/>
                    <w:snapToGrid w:val="0"/>
                    <w:spacing w:val="-16"/>
                  </w:rPr>
                  <w:t>公司名称</w:t>
                </w:r>
              </w:p>
            </w:tc>
            <w:tc>
              <w:tcPr>
                <w:tcW w:w="993" w:type="dxa"/>
                <w:vAlign w:val="center"/>
              </w:tcPr>
              <w:p w14:paraId="44BE1C86" w14:textId="77777777" w:rsidR="007E7472" w:rsidRDefault="00EC1269">
                <w:pPr>
                  <w:jc w:val="center"/>
                  <w:rPr>
                    <w:rFonts w:cs="Times New Roman"/>
                    <w:b/>
                    <w:snapToGrid w:val="0"/>
                    <w:spacing w:val="-16"/>
                  </w:rPr>
                </w:pPr>
                <w:r>
                  <w:rPr>
                    <w:rFonts w:cs="Times New Roman"/>
                    <w:b/>
                    <w:snapToGrid w:val="0"/>
                    <w:spacing w:val="-16"/>
                  </w:rPr>
                  <w:t>注册地</w:t>
                </w:r>
              </w:p>
            </w:tc>
            <w:tc>
              <w:tcPr>
                <w:tcW w:w="1134" w:type="dxa"/>
                <w:vAlign w:val="center"/>
              </w:tcPr>
              <w:p w14:paraId="4C591593" w14:textId="77777777" w:rsidR="007E7472" w:rsidRDefault="00EC1269">
                <w:pPr>
                  <w:jc w:val="center"/>
                  <w:rPr>
                    <w:rFonts w:cs="Times New Roman"/>
                    <w:b/>
                    <w:snapToGrid w:val="0"/>
                    <w:spacing w:val="-16"/>
                  </w:rPr>
                </w:pPr>
                <w:r>
                  <w:rPr>
                    <w:rFonts w:cs="Times New Roman"/>
                    <w:b/>
                    <w:snapToGrid w:val="0"/>
                    <w:spacing w:val="-16"/>
                  </w:rPr>
                  <w:t>注册资本</w:t>
                </w:r>
              </w:p>
              <w:p w14:paraId="109D7A87" w14:textId="77777777" w:rsidR="007E7472" w:rsidRDefault="00EC1269">
                <w:pPr>
                  <w:jc w:val="center"/>
                  <w:rPr>
                    <w:rFonts w:cs="Times New Roman"/>
                    <w:b/>
                    <w:snapToGrid w:val="0"/>
                    <w:spacing w:val="-16"/>
                  </w:rPr>
                </w:pPr>
                <w:r>
                  <w:rPr>
                    <w:rFonts w:cs="Times New Roman"/>
                    <w:b/>
                    <w:snapToGrid w:val="0"/>
                    <w:spacing w:val="-16"/>
                  </w:rPr>
                  <w:t>（澳元）</w:t>
                </w:r>
              </w:p>
            </w:tc>
            <w:tc>
              <w:tcPr>
                <w:tcW w:w="1344" w:type="dxa"/>
                <w:vAlign w:val="center"/>
              </w:tcPr>
              <w:p w14:paraId="04724385" w14:textId="77777777" w:rsidR="007E7472" w:rsidRDefault="00EC1269">
                <w:pPr>
                  <w:jc w:val="center"/>
                  <w:rPr>
                    <w:rFonts w:cs="Times New Roman"/>
                    <w:b/>
                    <w:snapToGrid w:val="0"/>
                    <w:spacing w:val="-16"/>
                  </w:rPr>
                </w:pPr>
                <w:r>
                  <w:rPr>
                    <w:rFonts w:cs="Times New Roman"/>
                    <w:b/>
                    <w:snapToGrid w:val="0"/>
                    <w:spacing w:val="-16"/>
                  </w:rPr>
                  <w:t>经营范围</w:t>
                </w:r>
              </w:p>
            </w:tc>
            <w:tc>
              <w:tcPr>
                <w:tcW w:w="1067" w:type="dxa"/>
                <w:vAlign w:val="center"/>
              </w:tcPr>
              <w:p w14:paraId="2E94FAD1" w14:textId="77777777" w:rsidR="007E7472" w:rsidRDefault="00EC1269">
                <w:pPr>
                  <w:jc w:val="center"/>
                  <w:rPr>
                    <w:rFonts w:cs="Times New Roman"/>
                    <w:b/>
                    <w:snapToGrid w:val="0"/>
                    <w:spacing w:val="-16"/>
                  </w:rPr>
                </w:pPr>
                <w:r>
                  <w:rPr>
                    <w:rFonts w:cs="Times New Roman"/>
                    <w:b/>
                    <w:snapToGrid w:val="0"/>
                    <w:spacing w:val="-16"/>
                  </w:rPr>
                  <w:t>持股比例(%)</w:t>
                </w:r>
              </w:p>
            </w:tc>
          </w:tr>
          <w:tr w:rsidR="007E7472" w14:paraId="1105C0A3" w14:textId="77777777" w:rsidTr="004E3C40">
            <w:trPr>
              <w:trHeight w:val="397"/>
            </w:trPr>
            <w:tc>
              <w:tcPr>
                <w:tcW w:w="4003" w:type="dxa"/>
              </w:tcPr>
              <w:p w14:paraId="1C5BEE50" w14:textId="77777777" w:rsidR="007E7472" w:rsidRDefault="00EC1269">
                <w:pPr>
                  <w:rPr>
                    <w:rFonts w:cs="Times New Roman"/>
                    <w:snapToGrid w:val="0"/>
                    <w:color w:val="000000"/>
                    <w:spacing w:val="-16"/>
                    <w:lang w:val="en-GB"/>
                  </w:rPr>
                </w:pPr>
                <w:r>
                  <w:rPr>
                    <w:rFonts w:cs="Times New Roman"/>
                    <w:snapToGrid w:val="0"/>
                    <w:color w:val="000000"/>
                    <w:spacing w:val="-16"/>
                    <w:lang w:val="en-GB" w:eastAsia="en-US"/>
                  </w:rPr>
                  <w:t>Yarrabee Coal Company Pty Ltd</w:t>
                </w:r>
              </w:p>
              <w:p w14:paraId="0DD2250B" w14:textId="77777777" w:rsidR="007E7472" w:rsidRDefault="00EC1269">
                <w:pPr>
                  <w:rPr>
                    <w:rFonts w:cs="Times New Roman"/>
                    <w:snapToGrid w:val="0"/>
                    <w:color w:val="000000"/>
                    <w:spacing w:val="-16"/>
                    <w:lang w:val="en-GB"/>
                  </w:rPr>
                </w:pPr>
                <w:r>
                  <w:rPr>
                    <w:rFonts w:cs="Times New Roman"/>
                    <w:snapToGrid w:val="0"/>
                    <w:color w:val="000000"/>
                    <w:spacing w:val="-16"/>
                    <w:lang w:val="en-GB"/>
                  </w:rPr>
                  <w:t>（“</w:t>
                </w:r>
                <w:r>
                  <w:rPr>
                    <w:rFonts w:cs="Times New Roman" w:hint="eastAsia"/>
                    <w:snapToGrid w:val="0"/>
                    <w:color w:val="000000"/>
                    <w:spacing w:val="-16"/>
                    <w:lang w:val="en-GB"/>
                  </w:rPr>
                  <w:t>雅若碧</w:t>
                </w:r>
                <w:r>
                  <w:rPr>
                    <w:rFonts w:cs="Times New Roman"/>
                    <w:snapToGrid w:val="0"/>
                    <w:color w:val="000000"/>
                    <w:spacing w:val="-16"/>
                    <w:lang w:val="en-GB"/>
                  </w:rPr>
                  <w:t>煤炭有限公司”）</w:t>
                </w:r>
              </w:p>
            </w:tc>
            <w:tc>
              <w:tcPr>
                <w:tcW w:w="993" w:type="dxa"/>
                <w:vAlign w:val="center"/>
              </w:tcPr>
              <w:p w14:paraId="51E3D064" w14:textId="77777777" w:rsidR="007E7472" w:rsidRDefault="00EC1269">
                <w:pPr>
                  <w:jc w:val="center"/>
                  <w:rPr>
                    <w:rFonts w:cs="Times New Roman"/>
                    <w:snapToGrid w:val="0"/>
                    <w:color w:val="000000"/>
                    <w:spacing w:val="-16"/>
                    <w:lang w:val="en-GB" w:eastAsia="en-US"/>
                  </w:rPr>
                </w:pPr>
                <w:r>
                  <w:rPr>
                    <w:rFonts w:cs="Times New Roman"/>
                    <w:snapToGrid w:val="0"/>
                    <w:color w:val="000000"/>
                    <w:spacing w:val="-16"/>
                    <w:lang w:val="en-GB" w:eastAsia="en-US"/>
                  </w:rPr>
                  <w:t>澳大利亚</w:t>
                </w:r>
              </w:p>
            </w:tc>
            <w:tc>
              <w:tcPr>
                <w:tcW w:w="1134" w:type="dxa"/>
                <w:vAlign w:val="center"/>
              </w:tcPr>
              <w:p w14:paraId="2BBE6B6A" w14:textId="77777777" w:rsidR="007E7472" w:rsidRDefault="00EC1269">
                <w:pPr>
                  <w:jc w:val="right"/>
                  <w:rPr>
                    <w:rFonts w:cs="Times New Roman"/>
                    <w:snapToGrid w:val="0"/>
                    <w:color w:val="000000"/>
                    <w:spacing w:val="-16"/>
                    <w:lang w:val="en-GB" w:eastAsia="en-US"/>
                  </w:rPr>
                </w:pPr>
                <w:r>
                  <w:rPr>
                    <w:rFonts w:cs="Times New Roman"/>
                    <w:snapToGrid w:val="0"/>
                    <w:color w:val="000000"/>
                    <w:spacing w:val="-16"/>
                    <w:lang w:val="en-GB" w:eastAsia="en-US"/>
                  </w:rPr>
                  <w:t>92,080</w:t>
                </w:r>
              </w:p>
            </w:tc>
            <w:tc>
              <w:tcPr>
                <w:tcW w:w="1344" w:type="dxa"/>
                <w:vAlign w:val="center"/>
              </w:tcPr>
              <w:p w14:paraId="432B883E" w14:textId="77777777" w:rsidR="007E7472" w:rsidRDefault="00EC1269">
                <w:pPr>
                  <w:jc w:val="both"/>
                  <w:rPr>
                    <w:rFonts w:cs="Times New Roman"/>
                    <w:snapToGrid w:val="0"/>
                    <w:color w:val="000000"/>
                    <w:spacing w:val="-16"/>
                    <w:lang w:val="en-GB" w:eastAsia="en-US"/>
                  </w:rPr>
                </w:pPr>
                <w:r>
                  <w:rPr>
                    <w:rFonts w:cs="Times New Roman"/>
                    <w:snapToGrid w:val="0"/>
                    <w:color w:val="000000"/>
                    <w:spacing w:val="-16"/>
                    <w:lang w:val="en-GB" w:eastAsia="en-US"/>
                  </w:rPr>
                  <w:t>煤炭开采和销售</w:t>
                </w:r>
              </w:p>
            </w:tc>
            <w:tc>
              <w:tcPr>
                <w:tcW w:w="1067" w:type="dxa"/>
                <w:vAlign w:val="center"/>
              </w:tcPr>
              <w:p w14:paraId="781677FB" w14:textId="77777777" w:rsidR="007E7472" w:rsidRDefault="00EC1269">
                <w:pPr>
                  <w:jc w:val="center"/>
                  <w:rPr>
                    <w:rFonts w:cs="Times New Roman"/>
                    <w:snapToGrid w:val="0"/>
                    <w:color w:val="000000"/>
                    <w:spacing w:val="-16"/>
                    <w:lang w:val="en-GB" w:eastAsia="en-US"/>
                  </w:rPr>
                </w:pPr>
                <w:r>
                  <w:rPr>
                    <w:rFonts w:cs="Times New Roman"/>
                    <w:snapToGrid w:val="0"/>
                    <w:color w:val="000000"/>
                    <w:spacing w:val="-16"/>
                    <w:lang w:val="en-GB" w:eastAsia="en-US"/>
                  </w:rPr>
                  <w:t>100</w:t>
                </w:r>
              </w:p>
            </w:tc>
          </w:tr>
          <w:tr w:rsidR="007E7472" w14:paraId="1F29A66D" w14:textId="77777777" w:rsidTr="004E3C40">
            <w:trPr>
              <w:trHeight w:val="397"/>
            </w:trPr>
            <w:tc>
              <w:tcPr>
                <w:tcW w:w="4003" w:type="dxa"/>
              </w:tcPr>
              <w:p w14:paraId="24BBE8C9" w14:textId="77777777" w:rsidR="007E7472" w:rsidRDefault="00EC1269">
                <w:r>
                  <w:t>Proserpina Coal Pty Ltd</w:t>
                </w:r>
              </w:p>
              <w:p w14:paraId="57DE2A01" w14:textId="77777777" w:rsidR="007E7472" w:rsidRDefault="00EC1269">
                <w:pPr>
                  <w:rPr>
                    <w:rFonts w:cs="Times New Roman"/>
                    <w:snapToGrid w:val="0"/>
                    <w:color w:val="000000"/>
                    <w:spacing w:val="-16"/>
                    <w:lang w:val="en-GB"/>
                  </w:rPr>
                </w:pPr>
                <w:r>
                  <w:rPr>
                    <w:rFonts w:hint="eastAsia"/>
                  </w:rPr>
                  <w:t>（“普罗瑟庀那煤炭有限公司”）</w:t>
                </w:r>
              </w:p>
            </w:tc>
            <w:tc>
              <w:tcPr>
                <w:tcW w:w="993" w:type="dxa"/>
                <w:vAlign w:val="center"/>
              </w:tcPr>
              <w:p w14:paraId="00FE510B" w14:textId="77777777" w:rsidR="007E7472" w:rsidRDefault="00EC1269">
                <w:pPr>
                  <w:jc w:val="center"/>
                  <w:rPr>
                    <w:rFonts w:cs="Times New Roman"/>
                    <w:snapToGrid w:val="0"/>
                    <w:color w:val="000000"/>
                    <w:spacing w:val="-16"/>
                    <w:lang w:val="en-GB" w:eastAsia="en-US"/>
                  </w:rPr>
                </w:pPr>
                <w:r>
                  <w:rPr>
                    <w:rFonts w:cs="Times New Roman"/>
                    <w:snapToGrid w:val="0"/>
                    <w:color w:val="000000"/>
                    <w:spacing w:val="-16"/>
                    <w:lang w:val="en-GB" w:eastAsia="en-US"/>
                  </w:rPr>
                  <w:t>澳大利亚</w:t>
                </w:r>
              </w:p>
            </w:tc>
            <w:tc>
              <w:tcPr>
                <w:tcW w:w="1134" w:type="dxa"/>
                <w:vAlign w:val="center"/>
              </w:tcPr>
              <w:p w14:paraId="3777BCF5" w14:textId="77777777" w:rsidR="007E7472" w:rsidRDefault="00EC1269">
                <w:pPr>
                  <w:jc w:val="right"/>
                  <w:rPr>
                    <w:rFonts w:cs="Times New Roman"/>
                    <w:snapToGrid w:val="0"/>
                    <w:color w:val="000000"/>
                    <w:spacing w:val="-16"/>
                    <w:lang w:val="en-GB" w:eastAsia="en-US"/>
                  </w:rPr>
                </w:pPr>
                <w:r>
                  <w:rPr>
                    <w:rFonts w:cs="Times New Roman"/>
                    <w:snapToGrid w:val="0"/>
                    <w:color w:val="000000"/>
                    <w:spacing w:val="-16"/>
                    <w:lang w:val="en-GB" w:eastAsia="en-US"/>
                  </w:rPr>
                  <w:t>1</w:t>
                </w:r>
              </w:p>
            </w:tc>
            <w:tc>
              <w:tcPr>
                <w:tcW w:w="1344" w:type="dxa"/>
                <w:vAlign w:val="center"/>
              </w:tcPr>
              <w:p w14:paraId="0798D20F" w14:textId="77777777" w:rsidR="007E7472" w:rsidRDefault="00EC1269">
                <w:pPr>
                  <w:jc w:val="both"/>
                  <w:rPr>
                    <w:rFonts w:cs="Times New Roman"/>
                    <w:snapToGrid w:val="0"/>
                    <w:color w:val="000000"/>
                    <w:spacing w:val="-16"/>
                    <w:lang w:val="en-GB" w:eastAsia="en-US"/>
                  </w:rPr>
                </w:pPr>
                <w:r>
                  <w:rPr>
                    <w:rFonts w:cs="Times New Roman"/>
                    <w:snapToGrid w:val="0"/>
                    <w:color w:val="000000"/>
                    <w:spacing w:val="-16"/>
                    <w:lang w:val="en-GB" w:eastAsia="en-US"/>
                  </w:rPr>
                  <w:t>煤炭开采和销售</w:t>
                </w:r>
              </w:p>
            </w:tc>
            <w:tc>
              <w:tcPr>
                <w:tcW w:w="1067" w:type="dxa"/>
                <w:vAlign w:val="center"/>
              </w:tcPr>
              <w:p w14:paraId="0CBF3A3B" w14:textId="77777777" w:rsidR="007E7472" w:rsidRDefault="00EC1269">
                <w:pPr>
                  <w:jc w:val="center"/>
                  <w:rPr>
                    <w:rFonts w:cs="Times New Roman"/>
                    <w:snapToGrid w:val="0"/>
                    <w:color w:val="000000"/>
                    <w:spacing w:val="-16"/>
                    <w:lang w:val="en-GB" w:eastAsia="en-US"/>
                  </w:rPr>
                </w:pPr>
                <w:r>
                  <w:rPr>
                    <w:rFonts w:cs="Times New Roman"/>
                    <w:snapToGrid w:val="0"/>
                    <w:color w:val="000000"/>
                    <w:spacing w:val="-16"/>
                    <w:lang w:val="en-GB" w:eastAsia="en-US"/>
                  </w:rPr>
                  <w:t>100</w:t>
                </w:r>
              </w:p>
            </w:tc>
          </w:tr>
          <w:tr w:rsidR="007E7472" w14:paraId="420CD3C0" w14:textId="77777777" w:rsidTr="004E3C40">
            <w:trPr>
              <w:trHeight w:val="397"/>
            </w:trPr>
            <w:tc>
              <w:tcPr>
                <w:tcW w:w="4003" w:type="dxa"/>
              </w:tcPr>
              <w:p w14:paraId="1BE277E5" w14:textId="77777777" w:rsidR="007E7472" w:rsidRDefault="00EC1269">
                <w:r>
                  <w:t>Moolarben Coal Operations Pty Ltd</w:t>
                </w:r>
              </w:p>
              <w:p w14:paraId="5A1E4CEE" w14:textId="77777777" w:rsidR="007E7472" w:rsidRDefault="00EC1269">
                <w:pPr>
                  <w:rPr>
                    <w:rFonts w:cs="Times New Roman"/>
                    <w:snapToGrid w:val="0"/>
                    <w:color w:val="000000"/>
                    <w:spacing w:val="-16"/>
                    <w:lang w:val="en-GB"/>
                  </w:rPr>
                </w:pPr>
                <w:r>
                  <w:rPr>
                    <w:rFonts w:hint="eastAsia"/>
                  </w:rPr>
                  <w:t>（“莫拉本煤炭运营有限公司”）</w:t>
                </w:r>
              </w:p>
            </w:tc>
            <w:tc>
              <w:tcPr>
                <w:tcW w:w="993" w:type="dxa"/>
                <w:vAlign w:val="center"/>
              </w:tcPr>
              <w:p w14:paraId="577A1DE7" w14:textId="77777777" w:rsidR="007E7472" w:rsidRDefault="00EC1269">
                <w:pPr>
                  <w:jc w:val="center"/>
                  <w:rPr>
                    <w:rFonts w:cs="Times New Roman"/>
                    <w:snapToGrid w:val="0"/>
                    <w:color w:val="000000"/>
                    <w:spacing w:val="-16"/>
                    <w:lang w:val="en-GB" w:eastAsia="en-US"/>
                  </w:rPr>
                </w:pPr>
                <w:r>
                  <w:rPr>
                    <w:rFonts w:cs="Times New Roman"/>
                    <w:snapToGrid w:val="0"/>
                    <w:color w:val="000000"/>
                    <w:spacing w:val="-16"/>
                    <w:lang w:val="en-GB" w:eastAsia="en-US"/>
                  </w:rPr>
                  <w:t>澳大利亚</w:t>
                </w:r>
              </w:p>
            </w:tc>
            <w:tc>
              <w:tcPr>
                <w:tcW w:w="1134" w:type="dxa"/>
                <w:vAlign w:val="center"/>
              </w:tcPr>
              <w:p w14:paraId="02D9FFC9" w14:textId="77777777" w:rsidR="007E7472" w:rsidRDefault="00EC1269">
                <w:pPr>
                  <w:jc w:val="right"/>
                  <w:rPr>
                    <w:rFonts w:cs="Times New Roman"/>
                    <w:snapToGrid w:val="0"/>
                    <w:color w:val="000000"/>
                    <w:spacing w:val="-16"/>
                    <w:lang w:val="en-GB" w:eastAsia="en-US"/>
                  </w:rPr>
                </w:pPr>
                <w:r>
                  <w:rPr>
                    <w:rFonts w:cs="Times New Roman"/>
                    <w:snapToGrid w:val="0"/>
                    <w:color w:val="000000"/>
                    <w:spacing w:val="-16"/>
                    <w:lang w:val="en-GB" w:eastAsia="en-US"/>
                  </w:rPr>
                  <w:t>2</w:t>
                </w:r>
              </w:p>
            </w:tc>
            <w:tc>
              <w:tcPr>
                <w:tcW w:w="1344" w:type="dxa"/>
                <w:vAlign w:val="center"/>
              </w:tcPr>
              <w:p w14:paraId="003685D5" w14:textId="77777777" w:rsidR="007E7472" w:rsidRDefault="00EC1269">
                <w:pPr>
                  <w:jc w:val="both"/>
                  <w:rPr>
                    <w:rFonts w:cs="Times New Roman"/>
                    <w:snapToGrid w:val="0"/>
                    <w:color w:val="000000"/>
                    <w:spacing w:val="-16"/>
                    <w:lang w:val="en-GB" w:eastAsia="en-US"/>
                  </w:rPr>
                </w:pPr>
                <w:r>
                  <w:rPr>
                    <w:rFonts w:cs="Times New Roman"/>
                    <w:snapToGrid w:val="0"/>
                    <w:color w:val="000000"/>
                    <w:spacing w:val="-16"/>
                    <w:lang w:val="en-GB" w:eastAsia="en-US"/>
                  </w:rPr>
                  <w:t>煤业管理</w:t>
                </w:r>
              </w:p>
            </w:tc>
            <w:tc>
              <w:tcPr>
                <w:tcW w:w="1067" w:type="dxa"/>
                <w:vAlign w:val="center"/>
              </w:tcPr>
              <w:p w14:paraId="46B8FE9E" w14:textId="77777777" w:rsidR="007E7472" w:rsidRDefault="00EC1269">
                <w:pPr>
                  <w:jc w:val="center"/>
                  <w:rPr>
                    <w:rFonts w:cs="Times New Roman"/>
                    <w:snapToGrid w:val="0"/>
                    <w:color w:val="000000"/>
                    <w:spacing w:val="-16"/>
                    <w:lang w:val="en-GB" w:eastAsia="en-US"/>
                  </w:rPr>
                </w:pPr>
                <w:r>
                  <w:rPr>
                    <w:rFonts w:cs="Times New Roman"/>
                    <w:snapToGrid w:val="0"/>
                    <w:color w:val="000000"/>
                    <w:spacing w:val="-16"/>
                    <w:lang w:val="en-GB" w:eastAsia="en-US"/>
                  </w:rPr>
                  <w:t>100</w:t>
                </w:r>
              </w:p>
            </w:tc>
          </w:tr>
          <w:tr w:rsidR="007E7472" w14:paraId="5373B31E" w14:textId="77777777" w:rsidTr="004E3C40">
            <w:trPr>
              <w:trHeight w:val="397"/>
            </w:trPr>
            <w:tc>
              <w:tcPr>
                <w:tcW w:w="4003" w:type="dxa"/>
              </w:tcPr>
              <w:p w14:paraId="01244CF6" w14:textId="77777777" w:rsidR="007E7472" w:rsidRDefault="00EC1269">
                <w:pPr>
                  <w:rPr>
                    <w:rFonts w:cs="Times New Roman"/>
                    <w:snapToGrid w:val="0"/>
                    <w:color w:val="000000"/>
                    <w:spacing w:val="-16"/>
                    <w:lang w:val="en-GB"/>
                  </w:rPr>
                </w:pPr>
                <w:r>
                  <w:t>Moolarben Coal Mines Pty Limited（“莫拉本煤矿有限公司”）</w:t>
                </w:r>
              </w:p>
            </w:tc>
            <w:tc>
              <w:tcPr>
                <w:tcW w:w="993" w:type="dxa"/>
                <w:vAlign w:val="center"/>
              </w:tcPr>
              <w:p w14:paraId="68A93588" w14:textId="77777777" w:rsidR="007E7472" w:rsidRDefault="00EC1269">
                <w:pPr>
                  <w:jc w:val="center"/>
                  <w:rPr>
                    <w:rFonts w:cs="Times New Roman"/>
                    <w:snapToGrid w:val="0"/>
                    <w:color w:val="000000"/>
                    <w:spacing w:val="-16"/>
                    <w:lang w:val="en-GB" w:eastAsia="en-US"/>
                  </w:rPr>
                </w:pPr>
                <w:r>
                  <w:rPr>
                    <w:rFonts w:cs="Times New Roman"/>
                    <w:snapToGrid w:val="0"/>
                    <w:color w:val="000000"/>
                    <w:spacing w:val="-16"/>
                    <w:lang w:val="en-GB" w:eastAsia="en-US"/>
                  </w:rPr>
                  <w:t>澳大利亚</w:t>
                </w:r>
              </w:p>
            </w:tc>
            <w:tc>
              <w:tcPr>
                <w:tcW w:w="1134" w:type="dxa"/>
                <w:vAlign w:val="center"/>
              </w:tcPr>
              <w:p w14:paraId="3E779D24" w14:textId="77777777" w:rsidR="007E7472" w:rsidRDefault="00EC1269">
                <w:pPr>
                  <w:jc w:val="right"/>
                  <w:rPr>
                    <w:rFonts w:cs="Times New Roman"/>
                    <w:snapToGrid w:val="0"/>
                    <w:color w:val="000000"/>
                    <w:spacing w:val="-16"/>
                    <w:lang w:val="en-GB" w:eastAsia="en-US"/>
                  </w:rPr>
                </w:pPr>
                <w:r>
                  <w:rPr>
                    <w:rFonts w:cs="Times New Roman"/>
                    <w:snapToGrid w:val="0"/>
                    <w:color w:val="000000"/>
                    <w:spacing w:val="-16"/>
                    <w:lang w:val="en-GB" w:eastAsia="en-US"/>
                  </w:rPr>
                  <w:t>1</w:t>
                </w:r>
              </w:p>
            </w:tc>
            <w:tc>
              <w:tcPr>
                <w:tcW w:w="1344" w:type="dxa"/>
                <w:vAlign w:val="center"/>
              </w:tcPr>
              <w:p w14:paraId="0DD44140" w14:textId="77777777" w:rsidR="007E7472" w:rsidRDefault="00EC1269">
                <w:pPr>
                  <w:jc w:val="both"/>
                  <w:rPr>
                    <w:rFonts w:cs="Times New Roman"/>
                    <w:snapToGrid w:val="0"/>
                    <w:color w:val="000000"/>
                    <w:spacing w:val="-16"/>
                    <w:lang w:val="en-GB" w:eastAsia="en-US"/>
                  </w:rPr>
                </w:pPr>
                <w:r>
                  <w:rPr>
                    <w:rFonts w:cs="Times New Roman"/>
                    <w:snapToGrid w:val="0"/>
                    <w:color w:val="000000"/>
                    <w:spacing w:val="-16"/>
                    <w:lang w:val="en-GB" w:eastAsia="en-US"/>
                  </w:rPr>
                  <w:t>煤业开发</w:t>
                </w:r>
              </w:p>
            </w:tc>
            <w:tc>
              <w:tcPr>
                <w:tcW w:w="1067" w:type="dxa"/>
                <w:vAlign w:val="center"/>
              </w:tcPr>
              <w:p w14:paraId="22D7FF8E" w14:textId="77777777" w:rsidR="007E7472" w:rsidRDefault="00EC1269">
                <w:pPr>
                  <w:jc w:val="center"/>
                  <w:rPr>
                    <w:rFonts w:cs="Times New Roman"/>
                    <w:snapToGrid w:val="0"/>
                    <w:color w:val="000000"/>
                    <w:spacing w:val="-16"/>
                    <w:lang w:val="en-GB" w:eastAsia="en-US"/>
                  </w:rPr>
                </w:pPr>
                <w:r>
                  <w:rPr>
                    <w:rFonts w:cs="Times New Roman"/>
                    <w:snapToGrid w:val="0"/>
                    <w:color w:val="000000"/>
                    <w:spacing w:val="-16"/>
                    <w:lang w:val="en-GB" w:eastAsia="en-US"/>
                  </w:rPr>
                  <w:t>100</w:t>
                </w:r>
              </w:p>
            </w:tc>
          </w:tr>
          <w:tr w:rsidR="007E7472" w14:paraId="32C39746" w14:textId="77777777" w:rsidTr="004E3C40">
            <w:trPr>
              <w:trHeight w:val="397"/>
            </w:trPr>
            <w:tc>
              <w:tcPr>
                <w:tcW w:w="4003" w:type="dxa"/>
              </w:tcPr>
              <w:p w14:paraId="18AB5926" w14:textId="77777777" w:rsidR="007E7472" w:rsidRDefault="00EC1269">
                <w:r>
                  <w:t>Moolarben Coal Sales Pty Ltd</w:t>
                </w:r>
              </w:p>
              <w:p w14:paraId="0087B2B8" w14:textId="77777777" w:rsidR="007E7472" w:rsidRDefault="00EC1269">
                <w:pPr>
                  <w:rPr>
                    <w:rFonts w:cs="Times New Roman"/>
                    <w:snapToGrid w:val="0"/>
                    <w:color w:val="000000"/>
                    <w:spacing w:val="-16"/>
                    <w:lang w:val="en-GB"/>
                  </w:rPr>
                </w:pPr>
                <w:r>
                  <w:rPr>
                    <w:rFonts w:hint="eastAsia"/>
                  </w:rPr>
                  <w:t>（“莫拉本煤炭销售有限公司”）</w:t>
                </w:r>
              </w:p>
            </w:tc>
            <w:tc>
              <w:tcPr>
                <w:tcW w:w="993" w:type="dxa"/>
                <w:vAlign w:val="center"/>
              </w:tcPr>
              <w:p w14:paraId="70DFDAE3" w14:textId="77777777" w:rsidR="007E7472" w:rsidRDefault="00EC1269">
                <w:pPr>
                  <w:jc w:val="center"/>
                  <w:rPr>
                    <w:rFonts w:cs="Times New Roman"/>
                    <w:snapToGrid w:val="0"/>
                    <w:color w:val="000000"/>
                    <w:spacing w:val="-16"/>
                    <w:lang w:val="en-GB" w:eastAsia="en-US"/>
                  </w:rPr>
                </w:pPr>
                <w:r>
                  <w:rPr>
                    <w:rFonts w:cs="Times New Roman"/>
                    <w:snapToGrid w:val="0"/>
                    <w:color w:val="000000"/>
                    <w:spacing w:val="-16"/>
                    <w:lang w:val="en-GB" w:eastAsia="en-US"/>
                  </w:rPr>
                  <w:t>澳大利亚</w:t>
                </w:r>
              </w:p>
            </w:tc>
            <w:tc>
              <w:tcPr>
                <w:tcW w:w="1134" w:type="dxa"/>
                <w:vAlign w:val="center"/>
              </w:tcPr>
              <w:p w14:paraId="56DD3073" w14:textId="77777777" w:rsidR="007E7472" w:rsidRDefault="00EC1269">
                <w:pPr>
                  <w:jc w:val="right"/>
                  <w:rPr>
                    <w:rFonts w:cs="Times New Roman"/>
                    <w:snapToGrid w:val="0"/>
                    <w:color w:val="000000"/>
                    <w:spacing w:val="-16"/>
                    <w:lang w:val="en-GB" w:eastAsia="en-US"/>
                  </w:rPr>
                </w:pPr>
                <w:r>
                  <w:rPr>
                    <w:rFonts w:cs="Times New Roman"/>
                    <w:snapToGrid w:val="0"/>
                    <w:color w:val="000000"/>
                    <w:spacing w:val="-16"/>
                    <w:lang w:val="en-GB" w:eastAsia="en-US"/>
                  </w:rPr>
                  <w:t>2</w:t>
                </w:r>
              </w:p>
            </w:tc>
            <w:tc>
              <w:tcPr>
                <w:tcW w:w="1344" w:type="dxa"/>
                <w:vAlign w:val="center"/>
              </w:tcPr>
              <w:p w14:paraId="7E988610" w14:textId="77777777" w:rsidR="007E7472" w:rsidRDefault="00EC1269">
                <w:pPr>
                  <w:jc w:val="both"/>
                  <w:rPr>
                    <w:rFonts w:cs="Times New Roman"/>
                    <w:snapToGrid w:val="0"/>
                    <w:color w:val="000000"/>
                    <w:spacing w:val="-16"/>
                    <w:lang w:val="en-GB"/>
                  </w:rPr>
                </w:pPr>
                <w:r>
                  <w:rPr>
                    <w:rFonts w:cs="Times New Roman"/>
                    <w:snapToGrid w:val="0"/>
                    <w:color w:val="000000"/>
                    <w:spacing w:val="-16"/>
                    <w:lang w:val="en-GB"/>
                  </w:rPr>
                  <w:t>煤炭销售</w:t>
                </w:r>
              </w:p>
            </w:tc>
            <w:tc>
              <w:tcPr>
                <w:tcW w:w="1067" w:type="dxa"/>
                <w:vAlign w:val="center"/>
              </w:tcPr>
              <w:p w14:paraId="3C5C0F4B" w14:textId="77777777" w:rsidR="007E7472" w:rsidRDefault="00EC1269">
                <w:pPr>
                  <w:jc w:val="center"/>
                  <w:rPr>
                    <w:rFonts w:cs="Times New Roman"/>
                    <w:snapToGrid w:val="0"/>
                    <w:color w:val="000000"/>
                    <w:spacing w:val="-16"/>
                    <w:lang w:val="en-GB" w:eastAsia="en-US"/>
                  </w:rPr>
                </w:pPr>
                <w:r>
                  <w:rPr>
                    <w:rFonts w:cs="Times New Roman"/>
                    <w:snapToGrid w:val="0"/>
                    <w:color w:val="000000"/>
                    <w:spacing w:val="-16"/>
                    <w:lang w:val="en-GB" w:eastAsia="en-US"/>
                  </w:rPr>
                  <w:t>100</w:t>
                </w:r>
              </w:p>
            </w:tc>
          </w:tr>
          <w:tr w:rsidR="007E7472" w14:paraId="075E2DAE" w14:textId="77777777" w:rsidTr="004E3C40">
            <w:trPr>
              <w:trHeight w:val="397"/>
            </w:trPr>
            <w:tc>
              <w:tcPr>
                <w:tcW w:w="4003" w:type="dxa"/>
              </w:tcPr>
              <w:p w14:paraId="148F28E8" w14:textId="77777777" w:rsidR="007E7472" w:rsidRDefault="00EC1269">
                <w:r>
                  <w:t>Felix NSW Pty Limited</w:t>
                </w:r>
              </w:p>
              <w:p w14:paraId="532102E7" w14:textId="77777777" w:rsidR="007E7472" w:rsidRDefault="00EC1269">
                <w:pPr>
                  <w:rPr>
                    <w:rFonts w:cs="Times New Roman"/>
                    <w:snapToGrid w:val="0"/>
                    <w:color w:val="000000"/>
                    <w:spacing w:val="-16"/>
                    <w:lang w:val="en-GB"/>
                  </w:rPr>
                </w:pPr>
                <w:r>
                  <w:rPr>
                    <w:rFonts w:hint="eastAsia"/>
                  </w:rPr>
                  <w:t>（“菲利克斯新洲有限公司”）</w:t>
                </w:r>
              </w:p>
            </w:tc>
            <w:tc>
              <w:tcPr>
                <w:tcW w:w="993" w:type="dxa"/>
                <w:vAlign w:val="center"/>
              </w:tcPr>
              <w:p w14:paraId="347941B8" w14:textId="77777777" w:rsidR="007E7472" w:rsidRDefault="00EC1269">
                <w:pPr>
                  <w:jc w:val="center"/>
                  <w:rPr>
                    <w:rFonts w:cs="Times New Roman"/>
                    <w:snapToGrid w:val="0"/>
                    <w:color w:val="000000"/>
                    <w:spacing w:val="-16"/>
                    <w:lang w:val="en-GB" w:eastAsia="en-US"/>
                  </w:rPr>
                </w:pPr>
                <w:r>
                  <w:rPr>
                    <w:rFonts w:cs="Times New Roman"/>
                    <w:snapToGrid w:val="0"/>
                    <w:color w:val="000000"/>
                    <w:spacing w:val="-16"/>
                    <w:lang w:val="en-GB" w:eastAsia="en-US"/>
                  </w:rPr>
                  <w:t>澳大利亚</w:t>
                </w:r>
              </w:p>
            </w:tc>
            <w:tc>
              <w:tcPr>
                <w:tcW w:w="1134" w:type="dxa"/>
                <w:vAlign w:val="center"/>
              </w:tcPr>
              <w:p w14:paraId="2ADAF59B" w14:textId="77777777" w:rsidR="007E7472" w:rsidRDefault="00EC1269">
                <w:pPr>
                  <w:jc w:val="right"/>
                  <w:rPr>
                    <w:rFonts w:cs="Times New Roman"/>
                    <w:snapToGrid w:val="0"/>
                    <w:color w:val="000000"/>
                    <w:spacing w:val="-16"/>
                    <w:lang w:val="en-GB" w:eastAsia="en-US"/>
                  </w:rPr>
                </w:pPr>
                <w:r>
                  <w:rPr>
                    <w:rFonts w:cs="Times New Roman"/>
                    <w:snapToGrid w:val="0"/>
                    <w:color w:val="000000"/>
                    <w:spacing w:val="-16"/>
                    <w:lang w:val="en-GB" w:eastAsia="en-US"/>
                  </w:rPr>
                  <w:t>2</w:t>
                </w:r>
              </w:p>
            </w:tc>
            <w:tc>
              <w:tcPr>
                <w:tcW w:w="1344" w:type="dxa"/>
                <w:vAlign w:val="center"/>
              </w:tcPr>
              <w:p w14:paraId="2D0CF2E8" w14:textId="77777777" w:rsidR="007E7472" w:rsidRDefault="00EC1269">
                <w:pPr>
                  <w:jc w:val="both"/>
                  <w:rPr>
                    <w:rFonts w:cs="Times New Roman"/>
                    <w:snapToGrid w:val="0"/>
                    <w:color w:val="000000"/>
                    <w:spacing w:val="-16"/>
                    <w:lang w:val="en-GB"/>
                  </w:rPr>
                </w:pPr>
                <w:r>
                  <w:rPr>
                    <w:rFonts w:cs="Times New Roman"/>
                    <w:snapToGrid w:val="0"/>
                    <w:color w:val="000000"/>
                    <w:spacing w:val="-16"/>
                    <w:lang w:val="en-GB" w:eastAsia="en-US"/>
                  </w:rPr>
                  <w:t>控股公司</w:t>
                </w:r>
              </w:p>
            </w:tc>
            <w:tc>
              <w:tcPr>
                <w:tcW w:w="1067" w:type="dxa"/>
                <w:vAlign w:val="center"/>
              </w:tcPr>
              <w:p w14:paraId="64CF7F94" w14:textId="77777777" w:rsidR="007E7472" w:rsidRDefault="00EC1269">
                <w:pPr>
                  <w:jc w:val="center"/>
                  <w:rPr>
                    <w:rFonts w:cs="Times New Roman"/>
                    <w:snapToGrid w:val="0"/>
                    <w:color w:val="000000"/>
                    <w:spacing w:val="-16"/>
                    <w:lang w:val="en-GB" w:eastAsia="en-US"/>
                  </w:rPr>
                </w:pPr>
                <w:r>
                  <w:rPr>
                    <w:rFonts w:cs="Times New Roman"/>
                    <w:snapToGrid w:val="0"/>
                    <w:color w:val="000000"/>
                    <w:spacing w:val="-16"/>
                    <w:lang w:val="en-GB" w:eastAsia="en-US"/>
                  </w:rPr>
                  <w:t>100</w:t>
                </w:r>
              </w:p>
            </w:tc>
          </w:tr>
          <w:tr w:rsidR="007E7472" w14:paraId="29D232F8" w14:textId="77777777" w:rsidTr="004E3C40">
            <w:trPr>
              <w:trHeight w:val="397"/>
            </w:trPr>
            <w:tc>
              <w:tcPr>
                <w:tcW w:w="4003" w:type="dxa"/>
              </w:tcPr>
              <w:p w14:paraId="430B28AE" w14:textId="77777777" w:rsidR="007E7472" w:rsidRDefault="00EC1269">
                <w:r>
                  <w:t>Athena Coal Operations Pty Ltd(ATC)</w:t>
                </w:r>
              </w:p>
              <w:p w14:paraId="1E246518" w14:textId="77777777" w:rsidR="007E7472" w:rsidRDefault="00EC1269">
                <w:pPr>
                  <w:rPr>
                    <w:rFonts w:cs="Times New Roman"/>
                    <w:snapToGrid w:val="0"/>
                    <w:color w:val="000000"/>
                    <w:spacing w:val="-16"/>
                    <w:lang w:val="en-GB"/>
                  </w:rPr>
                </w:pPr>
                <w:r>
                  <w:rPr>
                    <w:rFonts w:hint="eastAsia"/>
                  </w:rPr>
                  <w:t>（“亚森纳煤炭运营有限公司”）</w:t>
                </w:r>
              </w:p>
            </w:tc>
            <w:tc>
              <w:tcPr>
                <w:tcW w:w="993" w:type="dxa"/>
                <w:vAlign w:val="center"/>
              </w:tcPr>
              <w:p w14:paraId="754700F0" w14:textId="77777777" w:rsidR="007E7472" w:rsidRDefault="00EC1269">
                <w:pPr>
                  <w:jc w:val="center"/>
                  <w:rPr>
                    <w:rFonts w:cs="Times New Roman"/>
                    <w:snapToGrid w:val="0"/>
                    <w:color w:val="000000"/>
                    <w:spacing w:val="-16"/>
                    <w:lang w:val="en-GB" w:eastAsia="en-US"/>
                  </w:rPr>
                </w:pPr>
                <w:r>
                  <w:rPr>
                    <w:rFonts w:cs="Times New Roman"/>
                    <w:snapToGrid w:val="0"/>
                    <w:color w:val="000000"/>
                    <w:spacing w:val="-16"/>
                    <w:lang w:val="en-GB" w:eastAsia="en-US"/>
                  </w:rPr>
                  <w:t>澳大利亚</w:t>
                </w:r>
              </w:p>
            </w:tc>
            <w:tc>
              <w:tcPr>
                <w:tcW w:w="1134" w:type="dxa"/>
                <w:vAlign w:val="center"/>
              </w:tcPr>
              <w:p w14:paraId="3FFBF25F" w14:textId="77777777" w:rsidR="007E7472" w:rsidRDefault="00EC1269">
                <w:pPr>
                  <w:jc w:val="right"/>
                  <w:rPr>
                    <w:rFonts w:cs="Times New Roman"/>
                    <w:snapToGrid w:val="0"/>
                    <w:color w:val="000000"/>
                    <w:spacing w:val="-16"/>
                    <w:lang w:val="en-GB" w:eastAsia="en-US"/>
                  </w:rPr>
                </w:pPr>
                <w:r>
                  <w:rPr>
                    <w:rFonts w:cs="Times New Roman"/>
                    <w:snapToGrid w:val="0"/>
                    <w:color w:val="000000"/>
                    <w:spacing w:val="-16"/>
                    <w:lang w:val="en-GB" w:eastAsia="en-US"/>
                  </w:rPr>
                  <w:t>1</w:t>
                </w:r>
              </w:p>
            </w:tc>
            <w:tc>
              <w:tcPr>
                <w:tcW w:w="1344" w:type="dxa"/>
                <w:vAlign w:val="center"/>
              </w:tcPr>
              <w:p w14:paraId="3F8DF1AA" w14:textId="77777777" w:rsidR="007E7472" w:rsidRDefault="00EC1269">
                <w:pPr>
                  <w:jc w:val="both"/>
                  <w:rPr>
                    <w:rFonts w:cs="Times New Roman"/>
                    <w:snapToGrid w:val="0"/>
                    <w:color w:val="000000"/>
                    <w:spacing w:val="-16"/>
                    <w:lang w:val="en-GB"/>
                  </w:rPr>
                </w:pPr>
                <w:r>
                  <w:rPr>
                    <w:rFonts w:cs="Times New Roman" w:hint="eastAsia"/>
                    <w:snapToGrid w:val="0"/>
                    <w:color w:val="000000"/>
                    <w:spacing w:val="-16"/>
                    <w:lang w:val="en-GB"/>
                  </w:rPr>
                  <w:t>煤炭运营</w:t>
                </w:r>
              </w:p>
            </w:tc>
            <w:tc>
              <w:tcPr>
                <w:tcW w:w="1067" w:type="dxa"/>
                <w:vAlign w:val="center"/>
              </w:tcPr>
              <w:p w14:paraId="437CE7B7" w14:textId="77777777" w:rsidR="007E7472" w:rsidRDefault="00EC1269">
                <w:pPr>
                  <w:jc w:val="center"/>
                  <w:rPr>
                    <w:rFonts w:cs="Times New Roman"/>
                    <w:snapToGrid w:val="0"/>
                    <w:color w:val="000000"/>
                    <w:spacing w:val="-16"/>
                    <w:lang w:val="en-GB" w:eastAsia="en-US"/>
                  </w:rPr>
                </w:pPr>
                <w:r>
                  <w:rPr>
                    <w:rFonts w:cs="Times New Roman" w:hint="eastAsia"/>
                    <w:snapToGrid w:val="0"/>
                    <w:color w:val="000000"/>
                    <w:spacing w:val="-16"/>
                    <w:lang w:val="en-GB" w:eastAsia="en-US"/>
                  </w:rPr>
                  <w:t>100</w:t>
                </w:r>
              </w:p>
            </w:tc>
          </w:tr>
          <w:tr w:rsidR="007E7472" w14:paraId="6A631AC1" w14:textId="77777777" w:rsidTr="004E3C40">
            <w:trPr>
              <w:trHeight w:val="397"/>
            </w:trPr>
            <w:tc>
              <w:tcPr>
                <w:tcW w:w="4003" w:type="dxa"/>
              </w:tcPr>
              <w:p w14:paraId="7FFA259D" w14:textId="77777777" w:rsidR="007E7472" w:rsidRDefault="00EC1269">
                <w:pPr>
                  <w:rPr>
                    <w:rFonts w:cs="Times New Roman"/>
                    <w:snapToGrid w:val="0"/>
                    <w:color w:val="000000"/>
                    <w:spacing w:val="-16"/>
                    <w:lang w:val="en-GB" w:eastAsia="en-US"/>
                  </w:rPr>
                </w:pPr>
                <w:r>
                  <w:rPr>
                    <w:rFonts w:cs="Times New Roman"/>
                    <w:snapToGrid w:val="0"/>
                    <w:color w:val="000000"/>
                    <w:spacing w:val="-16"/>
                    <w:lang w:val="en-GB" w:eastAsia="en-US"/>
                  </w:rPr>
                  <w:t>Athena Coal Sales Pty Ltd(ACS)</w:t>
                </w:r>
              </w:p>
              <w:p w14:paraId="3A81E9DA" w14:textId="77777777" w:rsidR="007E7472" w:rsidRDefault="00EC1269">
                <w:pPr>
                  <w:rPr>
                    <w:rFonts w:cs="Times New Roman"/>
                    <w:snapToGrid w:val="0"/>
                    <w:color w:val="000000"/>
                    <w:spacing w:val="-16"/>
                    <w:lang w:val="en-GB"/>
                  </w:rPr>
                </w:pPr>
                <w:r>
                  <w:rPr>
                    <w:rFonts w:cs="Times New Roman" w:hint="eastAsia"/>
                    <w:snapToGrid w:val="0"/>
                    <w:color w:val="000000"/>
                    <w:spacing w:val="-16"/>
                    <w:lang w:val="en-GB"/>
                  </w:rPr>
                  <w:t>（“亚森纳煤炭销售有限公司”）</w:t>
                </w:r>
              </w:p>
            </w:tc>
            <w:tc>
              <w:tcPr>
                <w:tcW w:w="993" w:type="dxa"/>
                <w:vAlign w:val="center"/>
              </w:tcPr>
              <w:p w14:paraId="24F526BD" w14:textId="77777777" w:rsidR="007E7472" w:rsidRDefault="00EC1269">
                <w:pPr>
                  <w:jc w:val="center"/>
                  <w:rPr>
                    <w:rFonts w:cs="Times New Roman"/>
                    <w:snapToGrid w:val="0"/>
                    <w:color w:val="000000"/>
                    <w:spacing w:val="-16"/>
                    <w:lang w:val="en-GB" w:eastAsia="en-US"/>
                  </w:rPr>
                </w:pPr>
                <w:r>
                  <w:rPr>
                    <w:rFonts w:cs="Times New Roman"/>
                    <w:snapToGrid w:val="0"/>
                    <w:color w:val="000000"/>
                    <w:spacing w:val="-16"/>
                    <w:lang w:val="en-GB" w:eastAsia="en-US"/>
                  </w:rPr>
                  <w:t>澳大利亚</w:t>
                </w:r>
              </w:p>
            </w:tc>
            <w:tc>
              <w:tcPr>
                <w:tcW w:w="1134" w:type="dxa"/>
                <w:vAlign w:val="center"/>
              </w:tcPr>
              <w:p w14:paraId="6BDBF2A1" w14:textId="77777777" w:rsidR="007E7472" w:rsidRDefault="00EC1269">
                <w:pPr>
                  <w:jc w:val="right"/>
                  <w:rPr>
                    <w:rFonts w:cs="Times New Roman"/>
                    <w:snapToGrid w:val="0"/>
                    <w:color w:val="000000"/>
                    <w:spacing w:val="-16"/>
                    <w:lang w:val="en-GB" w:eastAsia="en-US"/>
                  </w:rPr>
                </w:pPr>
                <w:r>
                  <w:rPr>
                    <w:rFonts w:cs="Times New Roman"/>
                    <w:snapToGrid w:val="0"/>
                    <w:color w:val="000000"/>
                    <w:spacing w:val="-16"/>
                    <w:lang w:val="en-GB" w:eastAsia="en-US"/>
                  </w:rPr>
                  <w:t>1</w:t>
                </w:r>
              </w:p>
            </w:tc>
            <w:tc>
              <w:tcPr>
                <w:tcW w:w="1344" w:type="dxa"/>
                <w:vAlign w:val="center"/>
              </w:tcPr>
              <w:p w14:paraId="6FF7FFC0" w14:textId="77777777" w:rsidR="007E7472" w:rsidRDefault="00EC1269">
                <w:pPr>
                  <w:jc w:val="both"/>
                  <w:rPr>
                    <w:rFonts w:cs="Times New Roman"/>
                    <w:snapToGrid w:val="0"/>
                    <w:color w:val="000000"/>
                    <w:spacing w:val="-16"/>
                    <w:lang w:val="en-GB" w:eastAsia="en-US"/>
                  </w:rPr>
                </w:pPr>
                <w:r>
                  <w:rPr>
                    <w:rFonts w:cs="Times New Roman"/>
                    <w:snapToGrid w:val="0"/>
                    <w:color w:val="000000"/>
                    <w:spacing w:val="-16"/>
                    <w:lang w:val="en-GB"/>
                  </w:rPr>
                  <w:t>煤炭销售</w:t>
                </w:r>
              </w:p>
            </w:tc>
            <w:tc>
              <w:tcPr>
                <w:tcW w:w="1067" w:type="dxa"/>
                <w:vAlign w:val="center"/>
              </w:tcPr>
              <w:p w14:paraId="181B4CEF" w14:textId="77777777" w:rsidR="007E7472" w:rsidRDefault="00EC1269">
                <w:pPr>
                  <w:jc w:val="center"/>
                  <w:rPr>
                    <w:rFonts w:cs="Times New Roman"/>
                    <w:snapToGrid w:val="0"/>
                    <w:color w:val="000000"/>
                    <w:spacing w:val="-16"/>
                    <w:lang w:val="en-GB" w:eastAsia="en-US"/>
                  </w:rPr>
                </w:pPr>
                <w:r>
                  <w:rPr>
                    <w:rFonts w:cs="Times New Roman" w:hint="eastAsia"/>
                    <w:snapToGrid w:val="0"/>
                    <w:color w:val="000000"/>
                    <w:spacing w:val="-16"/>
                    <w:lang w:val="en-GB" w:eastAsia="en-US"/>
                  </w:rPr>
                  <w:t>100</w:t>
                </w:r>
              </w:p>
            </w:tc>
          </w:tr>
        </w:tbl>
        <w:p w14:paraId="77064536" w14:textId="77777777" w:rsidR="007E7472" w:rsidRDefault="00EC1269" w:rsidP="00162493">
          <w:pPr>
            <w:widowControl w:val="0"/>
            <w:numPr>
              <w:ilvl w:val="0"/>
              <w:numId w:val="104"/>
            </w:numPr>
            <w:tabs>
              <w:tab w:val="left" w:pos="567"/>
            </w:tabs>
            <w:spacing w:beforeLines="50" w:before="120" w:afterLines="50" w:after="120" w:line="360" w:lineRule="exact"/>
            <w:ind w:left="862"/>
            <w:jc w:val="both"/>
            <w:rPr>
              <w:rFonts w:cs="Times New Roman"/>
              <w:snapToGrid w:val="0"/>
              <w:color w:val="000000"/>
            </w:rPr>
          </w:pPr>
          <w:r>
            <w:rPr>
              <w:rFonts w:cs="Times New Roman" w:hint="eastAsia"/>
              <w:snapToGrid w:val="0"/>
              <w:color w:val="000000"/>
            </w:rPr>
            <w:t>联合煤炭工业有限公司</w:t>
          </w:r>
        </w:p>
        <w:p w14:paraId="469A266C" w14:textId="77777777" w:rsidR="007E7472" w:rsidRDefault="00EC1269">
          <w:pPr>
            <w:tabs>
              <w:tab w:val="left" w:pos="1100"/>
            </w:tabs>
            <w:spacing w:beforeLines="50" w:before="120" w:afterLines="50" w:after="120" w:line="360" w:lineRule="exact"/>
            <w:ind w:firstLineChars="200" w:firstLine="420"/>
            <w:jc w:val="both"/>
            <w:rPr>
              <w:rFonts w:cs="Times New Roman"/>
              <w:snapToGrid w:val="0"/>
              <w:color w:val="000000"/>
              <w:lang w:val="en-GB"/>
            </w:rPr>
          </w:pPr>
          <w:r>
            <w:rPr>
              <w:rFonts w:cs="Times New Roman" w:hint="eastAsia"/>
              <w:snapToGrid w:val="0"/>
              <w:color w:val="000000"/>
              <w:lang w:val="en-GB"/>
            </w:rPr>
            <w:t>联合煤炭工业</w:t>
          </w:r>
          <w:r>
            <w:rPr>
              <w:rFonts w:cs="Times New Roman"/>
              <w:snapToGrid w:val="0"/>
              <w:color w:val="000000"/>
              <w:lang w:val="en-GB"/>
            </w:rPr>
            <w:t>有限公司（以下简称“</w:t>
          </w:r>
          <w:r>
            <w:rPr>
              <w:rFonts w:cs="Times New Roman" w:hint="eastAsia"/>
              <w:snapToGrid w:val="0"/>
              <w:color w:val="000000"/>
              <w:lang w:val="en-GB"/>
            </w:rPr>
            <w:t>联合煤炭</w:t>
          </w:r>
          <w:r>
            <w:rPr>
              <w:rFonts w:cs="Times New Roman"/>
              <w:snapToGrid w:val="0"/>
              <w:color w:val="000000"/>
              <w:lang w:val="en-GB"/>
            </w:rPr>
            <w:t>”）系</w:t>
          </w:r>
          <w:r>
            <w:rPr>
              <w:rFonts w:cs="Times New Roman" w:hint="eastAsia"/>
              <w:snapToGrid w:val="0"/>
              <w:color w:val="000000"/>
              <w:lang w:val="en-GB"/>
            </w:rPr>
            <w:t>澳洲公司之全资子公司</w:t>
          </w:r>
          <w:r>
            <w:rPr>
              <w:rFonts w:cs="Times New Roman"/>
              <w:snapToGrid w:val="0"/>
              <w:color w:val="000000"/>
              <w:lang w:val="en-GB"/>
            </w:rPr>
            <w:t>，成立于</w:t>
          </w:r>
          <w:r>
            <w:rPr>
              <w:rFonts w:cs="Times New Roman" w:hint="eastAsia"/>
              <w:snapToGrid w:val="0"/>
              <w:color w:val="000000"/>
              <w:lang w:val="en-GB"/>
            </w:rPr>
            <w:t>1960年</w:t>
          </w:r>
          <w:r>
            <w:rPr>
              <w:rFonts w:cs="Times New Roman"/>
              <w:snapToGrid w:val="0"/>
              <w:color w:val="000000"/>
              <w:lang w:val="en-GB"/>
            </w:rPr>
            <w:t>，实收资本</w:t>
          </w:r>
          <w:r>
            <w:rPr>
              <w:rFonts w:cs="Times New Roman" w:hint="eastAsia"/>
              <w:snapToGrid w:val="0"/>
              <w:color w:val="000000"/>
              <w:lang w:val="en-GB"/>
            </w:rPr>
            <w:t>86,584,735澳元</w:t>
          </w:r>
          <w:r>
            <w:rPr>
              <w:rFonts w:cs="Times New Roman"/>
              <w:snapToGrid w:val="0"/>
              <w:color w:val="000000"/>
              <w:lang w:val="en-GB"/>
            </w:rPr>
            <w:t>。</w:t>
          </w:r>
          <w:r>
            <w:rPr>
              <w:rFonts w:cs="Times New Roman" w:hint="eastAsia"/>
              <w:snapToGrid w:val="0"/>
              <w:color w:val="000000"/>
              <w:lang w:val="en-GB"/>
            </w:rPr>
            <w:t>联合煤炭</w:t>
          </w:r>
          <w:r>
            <w:rPr>
              <w:rFonts w:cs="Times New Roman"/>
              <w:snapToGrid w:val="0"/>
              <w:color w:val="000000"/>
              <w:lang w:val="en-GB"/>
            </w:rPr>
            <w:t>注册登记号为008416760，</w:t>
          </w:r>
          <w:r>
            <w:rPr>
              <w:rFonts w:cs="Times New Roman" w:hint="eastAsia"/>
              <w:snapToGrid w:val="0"/>
              <w:color w:val="000000"/>
              <w:lang w:val="en-GB"/>
            </w:rPr>
            <w:t>主要从事煤炭开采和煤矿经营方面的业务，主要产品为热煤和半软焦煤。</w:t>
          </w:r>
        </w:p>
        <w:p w14:paraId="22C0D62D" w14:textId="77777777" w:rsidR="007E7472" w:rsidRDefault="00EC1269">
          <w:pPr>
            <w:tabs>
              <w:tab w:val="left" w:pos="426"/>
              <w:tab w:val="left" w:pos="800"/>
            </w:tabs>
            <w:spacing w:beforeLines="50" w:before="120" w:afterLines="50" w:after="120" w:line="360" w:lineRule="exact"/>
            <w:ind w:firstLineChars="200" w:firstLine="420"/>
            <w:jc w:val="both"/>
            <w:rPr>
              <w:rFonts w:cs="Times New Roman"/>
              <w:snapToGrid w:val="0"/>
              <w:color w:val="000000"/>
              <w:lang w:val="en-GB"/>
            </w:rPr>
          </w:pPr>
          <w:r>
            <w:rPr>
              <w:rFonts w:cs="Times New Roman" w:hint="eastAsia"/>
              <w:snapToGrid w:val="0"/>
              <w:color w:val="000000"/>
              <w:lang w:val="en-GB"/>
            </w:rPr>
            <w:t>联合煤炭主要控股子公司如下：</w:t>
          </w:r>
        </w:p>
        <w:tbl>
          <w:tblPr>
            <w:tblStyle w:val="g4"/>
            <w:tblW w:w="5000" w:type="pct"/>
            <w:tblBorders>
              <w:top w:val="double" w:sz="4" w:space="0" w:color="auto"/>
              <w:bottom w:val="double" w:sz="4" w:space="0" w:color="auto"/>
              <w:insideH w:val="single" w:sz="2" w:space="0" w:color="auto"/>
              <w:insideV w:val="single" w:sz="2" w:space="0" w:color="auto"/>
            </w:tblBorders>
            <w:tblLayout w:type="fixed"/>
            <w:tblLook w:val="04A0" w:firstRow="1" w:lastRow="0" w:firstColumn="1" w:lastColumn="0" w:noHBand="0" w:noVBand="1"/>
          </w:tblPr>
          <w:tblGrid>
            <w:gridCol w:w="3544"/>
            <w:gridCol w:w="992"/>
            <w:gridCol w:w="1204"/>
            <w:gridCol w:w="2183"/>
            <w:gridCol w:w="910"/>
          </w:tblGrid>
          <w:tr w:rsidR="007E7472" w14:paraId="45EA53A1" w14:textId="77777777">
            <w:trPr>
              <w:trHeight w:val="397"/>
              <w:tblHeader/>
            </w:trPr>
            <w:tc>
              <w:tcPr>
                <w:tcW w:w="3544" w:type="dxa"/>
                <w:vAlign w:val="center"/>
              </w:tcPr>
              <w:p w14:paraId="5AE54720" w14:textId="77777777" w:rsidR="007E7472" w:rsidRDefault="00EC1269">
                <w:pPr>
                  <w:rPr>
                    <w:rFonts w:cs="Times New Roman"/>
                    <w:b/>
                    <w:snapToGrid w:val="0"/>
                    <w:spacing w:val="-20"/>
                  </w:rPr>
                </w:pPr>
                <w:r>
                  <w:rPr>
                    <w:rFonts w:cs="Times New Roman"/>
                    <w:b/>
                    <w:snapToGrid w:val="0"/>
                    <w:spacing w:val="-20"/>
                  </w:rPr>
                  <w:lastRenderedPageBreak/>
                  <w:t>公司名称</w:t>
                </w:r>
              </w:p>
            </w:tc>
            <w:tc>
              <w:tcPr>
                <w:tcW w:w="992" w:type="dxa"/>
                <w:vAlign w:val="center"/>
              </w:tcPr>
              <w:p w14:paraId="28E67B1B" w14:textId="77777777" w:rsidR="007E7472" w:rsidRDefault="00EC1269">
                <w:pPr>
                  <w:jc w:val="center"/>
                  <w:rPr>
                    <w:rFonts w:cs="Times New Roman"/>
                    <w:b/>
                    <w:snapToGrid w:val="0"/>
                    <w:spacing w:val="-20"/>
                  </w:rPr>
                </w:pPr>
                <w:r>
                  <w:rPr>
                    <w:rFonts w:cs="Times New Roman"/>
                    <w:b/>
                    <w:snapToGrid w:val="0"/>
                    <w:spacing w:val="-20"/>
                  </w:rPr>
                  <w:t>注册地</w:t>
                </w:r>
              </w:p>
            </w:tc>
            <w:tc>
              <w:tcPr>
                <w:tcW w:w="1204" w:type="dxa"/>
                <w:vAlign w:val="center"/>
              </w:tcPr>
              <w:p w14:paraId="2D0D848A" w14:textId="77777777" w:rsidR="007E7472" w:rsidRDefault="00EC1269">
                <w:pPr>
                  <w:jc w:val="center"/>
                  <w:rPr>
                    <w:rFonts w:cs="Times New Roman"/>
                    <w:b/>
                    <w:snapToGrid w:val="0"/>
                    <w:spacing w:val="-20"/>
                  </w:rPr>
                </w:pPr>
                <w:r>
                  <w:rPr>
                    <w:rFonts w:cs="Times New Roman"/>
                    <w:b/>
                    <w:snapToGrid w:val="0"/>
                    <w:spacing w:val="-20"/>
                  </w:rPr>
                  <w:t>注册资本</w:t>
                </w:r>
              </w:p>
              <w:p w14:paraId="7AA271C7" w14:textId="77777777" w:rsidR="007E7472" w:rsidRDefault="00EC1269">
                <w:pPr>
                  <w:jc w:val="center"/>
                  <w:rPr>
                    <w:rFonts w:cs="Times New Roman"/>
                    <w:b/>
                    <w:snapToGrid w:val="0"/>
                    <w:spacing w:val="-20"/>
                  </w:rPr>
                </w:pPr>
                <w:r>
                  <w:rPr>
                    <w:rFonts w:cs="Times New Roman" w:hint="eastAsia"/>
                    <w:b/>
                    <w:snapToGrid w:val="0"/>
                    <w:spacing w:val="-20"/>
                  </w:rPr>
                  <w:t>（澳元）</w:t>
                </w:r>
              </w:p>
            </w:tc>
            <w:tc>
              <w:tcPr>
                <w:tcW w:w="2183" w:type="dxa"/>
                <w:vAlign w:val="center"/>
              </w:tcPr>
              <w:p w14:paraId="44F3E2B8" w14:textId="77777777" w:rsidR="007E7472" w:rsidRDefault="00EC1269">
                <w:pPr>
                  <w:jc w:val="center"/>
                  <w:rPr>
                    <w:rFonts w:cs="Times New Roman"/>
                    <w:b/>
                    <w:snapToGrid w:val="0"/>
                    <w:spacing w:val="-20"/>
                  </w:rPr>
                </w:pPr>
                <w:r>
                  <w:rPr>
                    <w:rFonts w:cs="Times New Roman"/>
                    <w:b/>
                    <w:snapToGrid w:val="0"/>
                    <w:spacing w:val="-20"/>
                  </w:rPr>
                  <w:t>经营范围</w:t>
                </w:r>
              </w:p>
            </w:tc>
            <w:tc>
              <w:tcPr>
                <w:tcW w:w="910" w:type="dxa"/>
                <w:vAlign w:val="center"/>
              </w:tcPr>
              <w:p w14:paraId="5B4D7765" w14:textId="77777777" w:rsidR="007E7472" w:rsidRDefault="00EC1269">
                <w:pPr>
                  <w:jc w:val="center"/>
                  <w:rPr>
                    <w:rFonts w:cs="Times New Roman"/>
                    <w:b/>
                    <w:snapToGrid w:val="0"/>
                    <w:spacing w:val="-20"/>
                  </w:rPr>
                </w:pPr>
                <w:r>
                  <w:rPr>
                    <w:rFonts w:cs="Times New Roman"/>
                    <w:b/>
                    <w:snapToGrid w:val="0"/>
                    <w:spacing w:val="-20"/>
                  </w:rPr>
                  <w:t>持股比例(%)</w:t>
                </w:r>
              </w:p>
            </w:tc>
          </w:tr>
          <w:tr w:rsidR="007E7472" w14:paraId="51DE6E73" w14:textId="77777777">
            <w:trPr>
              <w:trHeight w:val="397"/>
            </w:trPr>
            <w:tc>
              <w:tcPr>
                <w:tcW w:w="3544" w:type="dxa"/>
              </w:tcPr>
              <w:p w14:paraId="49971D95" w14:textId="77777777" w:rsidR="007E7472" w:rsidRDefault="00EC1269">
                <w:pPr>
                  <w:widowControl w:val="0"/>
                  <w:tabs>
                    <w:tab w:val="left" w:pos="122"/>
                    <w:tab w:val="left" w:pos="288"/>
                  </w:tabs>
                  <w:jc w:val="both"/>
                  <w:rPr>
                    <w:rFonts w:cs="Times New Roman"/>
                    <w:spacing w:val="-20"/>
                  </w:rPr>
                </w:pPr>
                <w:r>
                  <w:rPr>
                    <w:spacing w:val="-20"/>
                  </w:rPr>
                  <w:t>Australian Coal Resources Pty Ltd</w:t>
                </w:r>
              </w:p>
            </w:tc>
            <w:tc>
              <w:tcPr>
                <w:tcW w:w="992" w:type="dxa"/>
                <w:vAlign w:val="center"/>
              </w:tcPr>
              <w:p w14:paraId="4556ABA7" w14:textId="77777777" w:rsidR="007E7472" w:rsidRDefault="00EC1269">
                <w:pPr>
                  <w:jc w:val="center"/>
                  <w:rPr>
                    <w:rFonts w:cs="Times New Roman"/>
                    <w:snapToGrid w:val="0"/>
                    <w:color w:val="000000"/>
                    <w:spacing w:val="-20"/>
                    <w:lang w:val="en-GB" w:eastAsia="en-US"/>
                  </w:rPr>
                </w:pPr>
                <w:r>
                  <w:rPr>
                    <w:rFonts w:cs="Times New Roman"/>
                    <w:snapToGrid w:val="0"/>
                    <w:color w:val="000000"/>
                    <w:spacing w:val="-20"/>
                    <w:lang w:val="en-GB" w:eastAsia="en-US"/>
                  </w:rPr>
                  <w:t>澳大利亚</w:t>
                </w:r>
              </w:p>
            </w:tc>
            <w:tc>
              <w:tcPr>
                <w:tcW w:w="1204" w:type="dxa"/>
                <w:vAlign w:val="center"/>
              </w:tcPr>
              <w:p w14:paraId="29040D4C" w14:textId="77777777" w:rsidR="007E7472" w:rsidRDefault="00EC1269">
                <w:pPr>
                  <w:jc w:val="right"/>
                  <w:rPr>
                    <w:rFonts w:cs="Times New Roman"/>
                    <w:snapToGrid w:val="0"/>
                    <w:color w:val="000000"/>
                    <w:spacing w:val="-20"/>
                    <w:lang w:val="en-GB"/>
                  </w:rPr>
                </w:pPr>
                <w:r>
                  <w:rPr>
                    <w:rFonts w:cs="Times New Roman" w:hint="eastAsia"/>
                    <w:snapToGrid w:val="0"/>
                    <w:color w:val="000000"/>
                    <w:spacing w:val="-20"/>
                    <w:lang w:val="en-GB"/>
                  </w:rPr>
                  <w:t>5</w:t>
                </w:r>
              </w:p>
            </w:tc>
            <w:tc>
              <w:tcPr>
                <w:tcW w:w="2183" w:type="dxa"/>
                <w:vAlign w:val="center"/>
              </w:tcPr>
              <w:p w14:paraId="1B7ED81B" w14:textId="77777777" w:rsidR="007E7472" w:rsidRDefault="00EC1269">
                <w:pPr>
                  <w:widowControl w:val="0"/>
                  <w:autoSpaceDE w:val="0"/>
                  <w:autoSpaceDN w:val="0"/>
                  <w:adjustRightInd w:val="0"/>
                  <w:rPr>
                    <w:rFonts w:cs="Times New Roman"/>
                    <w:snapToGrid w:val="0"/>
                    <w:color w:val="000000"/>
                    <w:spacing w:val="-20"/>
                    <w:lang w:val="en-GB"/>
                  </w:rPr>
                </w:pPr>
                <w:r>
                  <w:rPr>
                    <w:rFonts w:cs="Times New Roman" w:hint="eastAsia"/>
                    <w:spacing w:val="-20"/>
                  </w:rPr>
                  <w:t>煤炭开采，处理和销售</w:t>
                </w:r>
              </w:p>
            </w:tc>
            <w:tc>
              <w:tcPr>
                <w:tcW w:w="910" w:type="dxa"/>
                <w:vAlign w:val="center"/>
              </w:tcPr>
              <w:p w14:paraId="6C353FD3" w14:textId="77777777" w:rsidR="007E7472" w:rsidRDefault="00EC1269">
                <w:pPr>
                  <w:jc w:val="center"/>
                  <w:rPr>
                    <w:rFonts w:cs="Times New Roman"/>
                    <w:snapToGrid w:val="0"/>
                    <w:color w:val="000000"/>
                    <w:spacing w:val="-20"/>
                    <w:lang w:val="en-GB"/>
                  </w:rPr>
                </w:pPr>
                <w:r>
                  <w:rPr>
                    <w:rFonts w:cs="Times New Roman" w:hint="eastAsia"/>
                    <w:snapToGrid w:val="0"/>
                    <w:color w:val="000000"/>
                    <w:spacing w:val="-20"/>
                    <w:lang w:val="en-GB"/>
                  </w:rPr>
                  <w:t>100</w:t>
                </w:r>
              </w:p>
            </w:tc>
          </w:tr>
          <w:tr w:rsidR="007E7472" w14:paraId="571EA884" w14:textId="77777777">
            <w:trPr>
              <w:trHeight w:val="397"/>
            </w:trPr>
            <w:tc>
              <w:tcPr>
                <w:tcW w:w="3544" w:type="dxa"/>
              </w:tcPr>
              <w:p w14:paraId="5D4001B9" w14:textId="77777777" w:rsidR="007E7472" w:rsidRDefault="00EC1269">
                <w:pPr>
                  <w:widowControl w:val="0"/>
                  <w:tabs>
                    <w:tab w:val="left" w:pos="122"/>
                    <w:tab w:val="left" w:pos="288"/>
                  </w:tabs>
                  <w:jc w:val="both"/>
                  <w:rPr>
                    <w:rFonts w:cs="Times New Roman"/>
                    <w:spacing w:val="-20"/>
                  </w:rPr>
                </w:pPr>
                <w:r>
                  <w:rPr>
                    <w:spacing w:val="-20"/>
                  </w:rPr>
                  <w:t>Kalamah Pty Ltd</w:t>
                </w:r>
              </w:p>
            </w:tc>
            <w:tc>
              <w:tcPr>
                <w:tcW w:w="992" w:type="dxa"/>
                <w:vAlign w:val="center"/>
              </w:tcPr>
              <w:p w14:paraId="7B8F0F23" w14:textId="77777777" w:rsidR="007E7472" w:rsidRDefault="00EC1269">
                <w:pPr>
                  <w:jc w:val="center"/>
                  <w:rPr>
                    <w:rFonts w:cs="Times New Roman"/>
                    <w:snapToGrid w:val="0"/>
                    <w:color w:val="000000"/>
                    <w:spacing w:val="-20"/>
                    <w:lang w:val="en-GB" w:eastAsia="en-US"/>
                  </w:rPr>
                </w:pPr>
                <w:r>
                  <w:rPr>
                    <w:rFonts w:cs="Times New Roman"/>
                    <w:snapToGrid w:val="0"/>
                    <w:color w:val="000000"/>
                    <w:spacing w:val="-20"/>
                    <w:lang w:val="en-GB" w:eastAsia="en-US"/>
                  </w:rPr>
                  <w:t>澳大利亚</w:t>
                </w:r>
              </w:p>
            </w:tc>
            <w:tc>
              <w:tcPr>
                <w:tcW w:w="1204" w:type="dxa"/>
                <w:vAlign w:val="center"/>
              </w:tcPr>
              <w:p w14:paraId="3A44B85D" w14:textId="77777777" w:rsidR="007E7472" w:rsidRDefault="00EC1269">
                <w:pPr>
                  <w:jc w:val="right"/>
                  <w:rPr>
                    <w:rFonts w:cs="Times New Roman"/>
                    <w:snapToGrid w:val="0"/>
                    <w:color w:val="000000"/>
                    <w:spacing w:val="-20"/>
                    <w:lang w:val="en-GB"/>
                  </w:rPr>
                </w:pPr>
                <w:r>
                  <w:rPr>
                    <w:rFonts w:cs="Times New Roman" w:hint="eastAsia"/>
                    <w:snapToGrid w:val="0"/>
                    <w:color w:val="000000"/>
                    <w:spacing w:val="-20"/>
                    <w:lang w:val="en-GB"/>
                  </w:rPr>
                  <w:t>1</w:t>
                </w:r>
              </w:p>
            </w:tc>
            <w:tc>
              <w:tcPr>
                <w:tcW w:w="2183" w:type="dxa"/>
                <w:vAlign w:val="center"/>
              </w:tcPr>
              <w:p w14:paraId="79618AFE" w14:textId="77777777" w:rsidR="007E7472" w:rsidRDefault="00EC1269">
                <w:pPr>
                  <w:widowControl w:val="0"/>
                  <w:autoSpaceDE w:val="0"/>
                  <w:autoSpaceDN w:val="0"/>
                  <w:adjustRightInd w:val="0"/>
                  <w:rPr>
                    <w:rFonts w:cs="Times New Roman"/>
                    <w:snapToGrid w:val="0"/>
                    <w:color w:val="000000"/>
                    <w:spacing w:val="-20"/>
                    <w:lang w:val="en-GB"/>
                  </w:rPr>
                </w:pPr>
                <w:r>
                  <w:rPr>
                    <w:rFonts w:cs="Times New Roman" w:hint="eastAsia"/>
                    <w:spacing w:val="-20"/>
                  </w:rPr>
                  <w:t>投资，控股公司</w:t>
                </w:r>
              </w:p>
            </w:tc>
            <w:tc>
              <w:tcPr>
                <w:tcW w:w="910" w:type="dxa"/>
                <w:vAlign w:val="center"/>
              </w:tcPr>
              <w:p w14:paraId="2E1E2FDB" w14:textId="77777777" w:rsidR="007E7472" w:rsidRDefault="00EC1269">
                <w:pPr>
                  <w:jc w:val="center"/>
                  <w:rPr>
                    <w:rFonts w:cs="Times New Roman"/>
                    <w:snapToGrid w:val="0"/>
                    <w:color w:val="000000"/>
                    <w:spacing w:val="-20"/>
                    <w:lang w:val="en-GB" w:eastAsia="en-US"/>
                  </w:rPr>
                </w:pPr>
                <w:r>
                  <w:rPr>
                    <w:rFonts w:cs="Times New Roman" w:hint="eastAsia"/>
                    <w:snapToGrid w:val="0"/>
                    <w:color w:val="000000"/>
                    <w:spacing w:val="-20"/>
                    <w:lang w:val="en-GB"/>
                  </w:rPr>
                  <w:t>100</w:t>
                </w:r>
              </w:p>
            </w:tc>
          </w:tr>
          <w:tr w:rsidR="007E7472" w14:paraId="77D95E9A" w14:textId="77777777">
            <w:trPr>
              <w:trHeight w:val="397"/>
            </w:trPr>
            <w:tc>
              <w:tcPr>
                <w:tcW w:w="3544" w:type="dxa"/>
              </w:tcPr>
              <w:p w14:paraId="4E33C67D" w14:textId="77777777" w:rsidR="007E7472" w:rsidRDefault="00EC1269">
                <w:pPr>
                  <w:widowControl w:val="0"/>
                  <w:tabs>
                    <w:tab w:val="left" w:pos="122"/>
                    <w:tab w:val="left" w:pos="288"/>
                  </w:tabs>
                  <w:jc w:val="both"/>
                  <w:rPr>
                    <w:rFonts w:cs="Times New Roman"/>
                    <w:color w:val="000000"/>
                    <w:spacing w:val="-20"/>
                  </w:rPr>
                </w:pPr>
                <w:r>
                  <w:rPr>
                    <w:spacing w:val="-20"/>
                  </w:rPr>
                  <w:t>Coal &amp; Allied (NSW) Pty Ltd</w:t>
                </w:r>
              </w:p>
            </w:tc>
            <w:tc>
              <w:tcPr>
                <w:tcW w:w="992" w:type="dxa"/>
                <w:vAlign w:val="center"/>
              </w:tcPr>
              <w:p w14:paraId="335290E3" w14:textId="77777777" w:rsidR="007E7472" w:rsidRDefault="00EC1269">
                <w:pPr>
                  <w:jc w:val="center"/>
                  <w:rPr>
                    <w:rFonts w:cs="Times New Roman"/>
                    <w:snapToGrid w:val="0"/>
                    <w:color w:val="000000"/>
                    <w:spacing w:val="-20"/>
                    <w:lang w:val="en-GB" w:eastAsia="en-US"/>
                  </w:rPr>
                </w:pPr>
                <w:r>
                  <w:rPr>
                    <w:rFonts w:cs="Times New Roman"/>
                    <w:snapToGrid w:val="0"/>
                    <w:color w:val="000000"/>
                    <w:spacing w:val="-20"/>
                    <w:lang w:val="en-GB" w:eastAsia="en-US"/>
                  </w:rPr>
                  <w:t>澳大利亚</w:t>
                </w:r>
              </w:p>
            </w:tc>
            <w:tc>
              <w:tcPr>
                <w:tcW w:w="1204" w:type="dxa"/>
                <w:vAlign w:val="center"/>
              </w:tcPr>
              <w:p w14:paraId="018D2863" w14:textId="77777777" w:rsidR="007E7472" w:rsidRDefault="00EC1269">
                <w:pPr>
                  <w:jc w:val="right"/>
                  <w:rPr>
                    <w:rFonts w:cs="Times New Roman"/>
                    <w:snapToGrid w:val="0"/>
                    <w:color w:val="000000"/>
                    <w:spacing w:val="-20"/>
                    <w:lang w:val="en-GB"/>
                  </w:rPr>
                </w:pPr>
                <w:r>
                  <w:rPr>
                    <w:rFonts w:cs="Times New Roman" w:hint="eastAsia"/>
                    <w:snapToGrid w:val="0"/>
                    <w:color w:val="000000"/>
                    <w:spacing w:val="-20"/>
                    <w:lang w:val="en-GB"/>
                  </w:rPr>
                  <w:t>1</w:t>
                </w:r>
                <w:r>
                  <w:rPr>
                    <w:rFonts w:cs="Times New Roman"/>
                    <w:snapToGrid w:val="0"/>
                    <w:color w:val="000000"/>
                    <w:spacing w:val="-20"/>
                    <w:lang w:val="en-GB"/>
                  </w:rPr>
                  <w:t>0,000</w:t>
                </w:r>
              </w:p>
            </w:tc>
            <w:tc>
              <w:tcPr>
                <w:tcW w:w="2183" w:type="dxa"/>
                <w:vAlign w:val="center"/>
              </w:tcPr>
              <w:p w14:paraId="1F53223A" w14:textId="77777777" w:rsidR="007E7472" w:rsidRDefault="00EC1269">
                <w:pPr>
                  <w:widowControl w:val="0"/>
                  <w:autoSpaceDE w:val="0"/>
                  <w:autoSpaceDN w:val="0"/>
                  <w:adjustRightInd w:val="0"/>
                  <w:rPr>
                    <w:rFonts w:cs="Times New Roman"/>
                    <w:snapToGrid w:val="0"/>
                    <w:color w:val="000000"/>
                    <w:spacing w:val="-20"/>
                    <w:lang w:val="en-GB"/>
                  </w:rPr>
                </w:pPr>
                <w:r>
                  <w:rPr>
                    <w:rFonts w:cs="Times New Roman" w:hint="eastAsia"/>
                    <w:spacing w:val="-20"/>
                  </w:rPr>
                  <w:t>雇用，管理公司</w:t>
                </w:r>
              </w:p>
            </w:tc>
            <w:tc>
              <w:tcPr>
                <w:tcW w:w="910" w:type="dxa"/>
                <w:vAlign w:val="center"/>
              </w:tcPr>
              <w:p w14:paraId="5354D0C1" w14:textId="77777777" w:rsidR="007E7472" w:rsidRDefault="00EC1269">
                <w:pPr>
                  <w:jc w:val="center"/>
                  <w:rPr>
                    <w:rFonts w:cs="Times New Roman"/>
                    <w:snapToGrid w:val="0"/>
                    <w:color w:val="000000"/>
                    <w:spacing w:val="-20"/>
                    <w:lang w:val="en-GB" w:eastAsia="en-US"/>
                  </w:rPr>
                </w:pPr>
                <w:r>
                  <w:rPr>
                    <w:rFonts w:cs="Times New Roman" w:hint="eastAsia"/>
                    <w:snapToGrid w:val="0"/>
                    <w:color w:val="000000"/>
                    <w:spacing w:val="-20"/>
                    <w:lang w:val="en-GB"/>
                  </w:rPr>
                  <w:t>100</w:t>
                </w:r>
              </w:p>
            </w:tc>
          </w:tr>
          <w:tr w:rsidR="007E7472" w14:paraId="39B6805E" w14:textId="77777777">
            <w:trPr>
              <w:trHeight w:val="397"/>
            </w:trPr>
            <w:tc>
              <w:tcPr>
                <w:tcW w:w="3544" w:type="dxa"/>
              </w:tcPr>
              <w:p w14:paraId="690F4469" w14:textId="77777777" w:rsidR="007E7472" w:rsidRDefault="00EC1269">
                <w:pPr>
                  <w:jc w:val="both"/>
                  <w:rPr>
                    <w:rFonts w:cs="Times New Roman"/>
                    <w:snapToGrid w:val="0"/>
                    <w:color w:val="000000"/>
                    <w:spacing w:val="-20"/>
                    <w:lang w:val="en-GB"/>
                  </w:rPr>
                </w:pPr>
                <w:r>
                  <w:rPr>
                    <w:spacing w:val="-20"/>
                  </w:rPr>
                  <w:t>Coal &amp; Allied Operations Pty Ltd</w:t>
                </w:r>
              </w:p>
            </w:tc>
            <w:tc>
              <w:tcPr>
                <w:tcW w:w="992" w:type="dxa"/>
                <w:vAlign w:val="center"/>
              </w:tcPr>
              <w:p w14:paraId="09C063C3" w14:textId="77777777" w:rsidR="007E7472" w:rsidRDefault="00EC1269">
                <w:pPr>
                  <w:jc w:val="center"/>
                  <w:rPr>
                    <w:rFonts w:cs="Times New Roman"/>
                    <w:snapToGrid w:val="0"/>
                    <w:color w:val="000000"/>
                    <w:spacing w:val="-20"/>
                    <w:lang w:val="en-GB" w:eastAsia="en-US"/>
                  </w:rPr>
                </w:pPr>
                <w:r>
                  <w:rPr>
                    <w:rFonts w:cs="Times New Roman"/>
                    <w:snapToGrid w:val="0"/>
                    <w:color w:val="000000"/>
                    <w:spacing w:val="-20"/>
                    <w:lang w:val="en-GB" w:eastAsia="en-US"/>
                  </w:rPr>
                  <w:t>澳大利亚</w:t>
                </w:r>
              </w:p>
            </w:tc>
            <w:tc>
              <w:tcPr>
                <w:tcW w:w="1204" w:type="dxa"/>
                <w:vAlign w:val="center"/>
              </w:tcPr>
              <w:p w14:paraId="34BFEDBB" w14:textId="77777777" w:rsidR="007E7472" w:rsidRDefault="00EC1269">
                <w:pPr>
                  <w:jc w:val="right"/>
                  <w:rPr>
                    <w:rFonts w:cs="Times New Roman"/>
                    <w:snapToGrid w:val="0"/>
                    <w:color w:val="000000"/>
                    <w:spacing w:val="-20"/>
                    <w:lang w:val="en-GB"/>
                  </w:rPr>
                </w:pPr>
                <w:r>
                  <w:rPr>
                    <w:rFonts w:cs="Times New Roman"/>
                    <w:spacing w:val="-20"/>
                  </w:rPr>
                  <w:t>17,147,500</w:t>
                </w:r>
              </w:p>
            </w:tc>
            <w:tc>
              <w:tcPr>
                <w:tcW w:w="2183" w:type="dxa"/>
                <w:vAlign w:val="center"/>
              </w:tcPr>
              <w:p w14:paraId="420FFA1F" w14:textId="77777777" w:rsidR="007E7472" w:rsidRDefault="00EC1269">
                <w:pPr>
                  <w:widowControl w:val="0"/>
                  <w:autoSpaceDE w:val="0"/>
                  <w:autoSpaceDN w:val="0"/>
                  <w:adjustRightInd w:val="0"/>
                  <w:rPr>
                    <w:rFonts w:cs="Times New Roman"/>
                    <w:snapToGrid w:val="0"/>
                    <w:color w:val="000000"/>
                    <w:spacing w:val="-20"/>
                    <w:lang w:val="en-GB"/>
                  </w:rPr>
                </w:pPr>
                <w:r>
                  <w:rPr>
                    <w:rFonts w:cs="Times New Roman" w:hint="eastAsia"/>
                    <w:spacing w:val="-20"/>
                  </w:rPr>
                  <w:t>煤炭开采，处理和销售</w:t>
                </w:r>
              </w:p>
            </w:tc>
            <w:tc>
              <w:tcPr>
                <w:tcW w:w="910" w:type="dxa"/>
                <w:vAlign w:val="center"/>
              </w:tcPr>
              <w:p w14:paraId="79FB5345" w14:textId="77777777" w:rsidR="007E7472" w:rsidRDefault="00EC1269">
                <w:pPr>
                  <w:jc w:val="center"/>
                  <w:rPr>
                    <w:rFonts w:cs="Times New Roman"/>
                    <w:snapToGrid w:val="0"/>
                    <w:color w:val="000000"/>
                    <w:spacing w:val="-20"/>
                    <w:lang w:val="en-GB" w:eastAsia="en-US"/>
                  </w:rPr>
                </w:pPr>
                <w:r>
                  <w:rPr>
                    <w:rFonts w:cs="Times New Roman" w:hint="eastAsia"/>
                    <w:snapToGrid w:val="0"/>
                    <w:color w:val="000000"/>
                    <w:spacing w:val="-20"/>
                    <w:lang w:val="en-GB"/>
                  </w:rPr>
                  <w:t>100</w:t>
                </w:r>
              </w:p>
            </w:tc>
          </w:tr>
          <w:tr w:rsidR="007E7472" w14:paraId="58081E1B" w14:textId="77777777">
            <w:trPr>
              <w:trHeight w:val="397"/>
            </w:trPr>
            <w:tc>
              <w:tcPr>
                <w:tcW w:w="3544" w:type="dxa"/>
              </w:tcPr>
              <w:p w14:paraId="29676B32" w14:textId="77777777" w:rsidR="007E7472" w:rsidRDefault="00EC1269">
                <w:pPr>
                  <w:ind w:rightChars="-53" w:right="-111"/>
                  <w:jc w:val="both"/>
                  <w:rPr>
                    <w:rFonts w:cs="Times New Roman"/>
                    <w:color w:val="000000"/>
                    <w:spacing w:val="-20"/>
                  </w:rPr>
                </w:pPr>
                <w:r>
                  <w:rPr>
                    <w:spacing w:val="-20"/>
                  </w:rPr>
                  <w:t>Lower Hunter Land Holdings Pty Ltd</w:t>
                </w:r>
              </w:p>
            </w:tc>
            <w:tc>
              <w:tcPr>
                <w:tcW w:w="992" w:type="dxa"/>
                <w:vAlign w:val="center"/>
              </w:tcPr>
              <w:p w14:paraId="7F8816DB" w14:textId="77777777" w:rsidR="007E7472" w:rsidRDefault="00EC1269">
                <w:pPr>
                  <w:jc w:val="center"/>
                  <w:rPr>
                    <w:rFonts w:cs="Times New Roman"/>
                    <w:snapToGrid w:val="0"/>
                    <w:color w:val="000000"/>
                    <w:spacing w:val="-20"/>
                    <w:lang w:val="en-GB" w:eastAsia="en-US"/>
                  </w:rPr>
                </w:pPr>
                <w:r>
                  <w:rPr>
                    <w:rFonts w:cs="Times New Roman"/>
                    <w:snapToGrid w:val="0"/>
                    <w:color w:val="000000"/>
                    <w:spacing w:val="-20"/>
                    <w:lang w:val="en-GB" w:eastAsia="en-US"/>
                  </w:rPr>
                  <w:t>澳大利亚</w:t>
                </w:r>
              </w:p>
            </w:tc>
            <w:tc>
              <w:tcPr>
                <w:tcW w:w="1204" w:type="dxa"/>
                <w:vAlign w:val="center"/>
              </w:tcPr>
              <w:p w14:paraId="22E1CA85" w14:textId="77777777" w:rsidR="007E7472" w:rsidRDefault="00EC1269">
                <w:pPr>
                  <w:jc w:val="right"/>
                  <w:rPr>
                    <w:rFonts w:cs="Times New Roman"/>
                    <w:bCs/>
                    <w:color w:val="000000"/>
                    <w:spacing w:val="-20"/>
                  </w:rPr>
                </w:pPr>
                <w:r>
                  <w:rPr>
                    <w:rFonts w:cs="Times New Roman"/>
                    <w:bCs/>
                    <w:color w:val="000000"/>
                    <w:spacing w:val="-20"/>
                  </w:rPr>
                  <w:t>1</w:t>
                </w:r>
              </w:p>
            </w:tc>
            <w:tc>
              <w:tcPr>
                <w:tcW w:w="2183" w:type="dxa"/>
                <w:vAlign w:val="center"/>
              </w:tcPr>
              <w:p w14:paraId="4B2306A4" w14:textId="77777777" w:rsidR="007E7472" w:rsidRDefault="00EC1269">
                <w:pPr>
                  <w:widowControl w:val="0"/>
                  <w:autoSpaceDE w:val="0"/>
                  <w:autoSpaceDN w:val="0"/>
                  <w:adjustRightInd w:val="0"/>
                  <w:rPr>
                    <w:rFonts w:cs="Times New Roman"/>
                    <w:snapToGrid w:val="0"/>
                    <w:color w:val="000000"/>
                    <w:spacing w:val="-20"/>
                    <w:lang w:val="en-GB"/>
                  </w:rPr>
                </w:pPr>
                <w:r>
                  <w:rPr>
                    <w:rFonts w:cs="Times New Roman" w:hint="eastAsia"/>
                    <w:spacing w:val="-20"/>
                  </w:rPr>
                  <w:t>管理，控股公司</w:t>
                </w:r>
              </w:p>
            </w:tc>
            <w:tc>
              <w:tcPr>
                <w:tcW w:w="910" w:type="dxa"/>
                <w:vAlign w:val="center"/>
              </w:tcPr>
              <w:p w14:paraId="19C28F82" w14:textId="77777777" w:rsidR="007E7472" w:rsidRDefault="00EC1269">
                <w:pPr>
                  <w:jc w:val="center"/>
                  <w:rPr>
                    <w:rFonts w:cs="Times New Roman"/>
                    <w:snapToGrid w:val="0"/>
                    <w:color w:val="000000"/>
                    <w:spacing w:val="-20"/>
                    <w:lang w:val="en-GB" w:eastAsia="en-US"/>
                  </w:rPr>
                </w:pPr>
                <w:r>
                  <w:rPr>
                    <w:rFonts w:cs="Times New Roman" w:hint="eastAsia"/>
                    <w:snapToGrid w:val="0"/>
                    <w:color w:val="000000"/>
                    <w:spacing w:val="-20"/>
                    <w:lang w:val="en-GB"/>
                  </w:rPr>
                  <w:t>100</w:t>
                </w:r>
              </w:p>
            </w:tc>
          </w:tr>
          <w:tr w:rsidR="007E7472" w14:paraId="3EA0A27D" w14:textId="77777777">
            <w:trPr>
              <w:trHeight w:val="397"/>
            </w:trPr>
            <w:tc>
              <w:tcPr>
                <w:tcW w:w="3544" w:type="dxa"/>
              </w:tcPr>
              <w:p w14:paraId="4A77CE45" w14:textId="77777777" w:rsidR="007E7472" w:rsidRDefault="00EC1269">
                <w:pPr>
                  <w:ind w:rightChars="-53" w:right="-111"/>
                  <w:jc w:val="both"/>
                  <w:rPr>
                    <w:rFonts w:cs="Times New Roman"/>
                    <w:color w:val="000000"/>
                    <w:spacing w:val="-20"/>
                  </w:rPr>
                </w:pPr>
                <w:r>
                  <w:rPr>
                    <w:spacing w:val="-20"/>
                  </w:rPr>
                  <w:t>Oaklands Coal Pty Ltd</w:t>
                </w:r>
              </w:p>
            </w:tc>
            <w:tc>
              <w:tcPr>
                <w:tcW w:w="992" w:type="dxa"/>
                <w:vAlign w:val="center"/>
              </w:tcPr>
              <w:p w14:paraId="71310C73" w14:textId="77777777" w:rsidR="007E7472" w:rsidRDefault="00EC1269">
                <w:pPr>
                  <w:jc w:val="center"/>
                  <w:rPr>
                    <w:rFonts w:cs="Times New Roman"/>
                    <w:snapToGrid w:val="0"/>
                    <w:color w:val="000000"/>
                    <w:spacing w:val="-20"/>
                    <w:lang w:val="en-GB" w:eastAsia="en-US"/>
                  </w:rPr>
                </w:pPr>
                <w:r>
                  <w:rPr>
                    <w:rFonts w:cs="Times New Roman"/>
                    <w:snapToGrid w:val="0"/>
                    <w:color w:val="000000"/>
                    <w:spacing w:val="-20"/>
                    <w:lang w:val="en-GB" w:eastAsia="en-US"/>
                  </w:rPr>
                  <w:t>澳大利亚</w:t>
                </w:r>
              </w:p>
            </w:tc>
            <w:tc>
              <w:tcPr>
                <w:tcW w:w="1204" w:type="dxa"/>
                <w:vAlign w:val="center"/>
              </w:tcPr>
              <w:p w14:paraId="01B77A63" w14:textId="77777777" w:rsidR="007E7472" w:rsidRDefault="00EC1269">
                <w:pPr>
                  <w:jc w:val="right"/>
                  <w:rPr>
                    <w:rFonts w:cs="Times New Roman"/>
                    <w:bCs/>
                    <w:color w:val="000000"/>
                    <w:spacing w:val="-20"/>
                  </w:rPr>
                </w:pPr>
                <w:r>
                  <w:rPr>
                    <w:rFonts w:cs="Times New Roman"/>
                    <w:spacing w:val="-20"/>
                  </w:rPr>
                  <w:t>5,005,000</w:t>
                </w:r>
              </w:p>
            </w:tc>
            <w:tc>
              <w:tcPr>
                <w:tcW w:w="2183" w:type="dxa"/>
                <w:vAlign w:val="center"/>
              </w:tcPr>
              <w:p w14:paraId="76DEDCF0" w14:textId="77777777" w:rsidR="007E7472" w:rsidRDefault="00EC1269">
                <w:pPr>
                  <w:jc w:val="both"/>
                  <w:rPr>
                    <w:rFonts w:cs="Times New Roman"/>
                    <w:snapToGrid w:val="0"/>
                    <w:color w:val="000000"/>
                    <w:spacing w:val="-20"/>
                  </w:rPr>
                </w:pPr>
                <w:r>
                  <w:rPr>
                    <w:rFonts w:cs="Times New Roman" w:hint="eastAsia"/>
                    <w:spacing w:val="-20"/>
                  </w:rPr>
                  <w:t>管理公司</w:t>
                </w:r>
              </w:p>
            </w:tc>
            <w:tc>
              <w:tcPr>
                <w:tcW w:w="910" w:type="dxa"/>
                <w:vAlign w:val="center"/>
              </w:tcPr>
              <w:p w14:paraId="5ECECD23" w14:textId="77777777" w:rsidR="007E7472" w:rsidRDefault="00EC1269">
                <w:pPr>
                  <w:jc w:val="center"/>
                  <w:rPr>
                    <w:rFonts w:cs="Times New Roman"/>
                    <w:snapToGrid w:val="0"/>
                    <w:color w:val="000000"/>
                    <w:spacing w:val="-20"/>
                    <w:lang w:val="en-GB" w:eastAsia="en-US"/>
                  </w:rPr>
                </w:pPr>
                <w:r>
                  <w:rPr>
                    <w:rFonts w:cs="Times New Roman" w:hint="eastAsia"/>
                    <w:snapToGrid w:val="0"/>
                    <w:color w:val="000000"/>
                    <w:spacing w:val="-20"/>
                    <w:lang w:val="en-GB"/>
                  </w:rPr>
                  <w:t>100</w:t>
                </w:r>
              </w:p>
            </w:tc>
          </w:tr>
          <w:tr w:rsidR="007E7472" w14:paraId="2EDC4205" w14:textId="77777777">
            <w:trPr>
              <w:trHeight w:val="397"/>
            </w:trPr>
            <w:tc>
              <w:tcPr>
                <w:tcW w:w="3544" w:type="dxa"/>
              </w:tcPr>
              <w:p w14:paraId="33866908" w14:textId="77777777" w:rsidR="007E7472" w:rsidRDefault="00EC1269">
                <w:pPr>
                  <w:ind w:rightChars="-53" w:right="-111"/>
                  <w:jc w:val="both"/>
                  <w:rPr>
                    <w:rFonts w:cs="Times New Roman"/>
                    <w:color w:val="000000"/>
                    <w:spacing w:val="-20"/>
                  </w:rPr>
                </w:pPr>
                <w:r>
                  <w:rPr>
                    <w:spacing w:val="-20"/>
                  </w:rPr>
                  <w:t>Novacoal Australia Pty Ltd</w:t>
                </w:r>
              </w:p>
            </w:tc>
            <w:tc>
              <w:tcPr>
                <w:tcW w:w="992" w:type="dxa"/>
                <w:vAlign w:val="center"/>
              </w:tcPr>
              <w:p w14:paraId="467826A8" w14:textId="77777777" w:rsidR="007E7472" w:rsidRDefault="00EC1269">
                <w:pPr>
                  <w:jc w:val="center"/>
                  <w:rPr>
                    <w:rFonts w:cs="Times New Roman"/>
                    <w:snapToGrid w:val="0"/>
                    <w:color w:val="000000"/>
                    <w:spacing w:val="-20"/>
                    <w:lang w:val="en-GB" w:eastAsia="en-US"/>
                  </w:rPr>
                </w:pPr>
                <w:r>
                  <w:rPr>
                    <w:rFonts w:cs="Times New Roman"/>
                    <w:snapToGrid w:val="0"/>
                    <w:color w:val="000000"/>
                    <w:spacing w:val="-20"/>
                    <w:lang w:val="en-GB" w:eastAsia="en-US"/>
                  </w:rPr>
                  <w:t>澳大利亚</w:t>
                </w:r>
              </w:p>
            </w:tc>
            <w:tc>
              <w:tcPr>
                <w:tcW w:w="1204" w:type="dxa"/>
                <w:vAlign w:val="center"/>
              </w:tcPr>
              <w:p w14:paraId="0A6FD134" w14:textId="77777777" w:rsidR="007E7472" w:rsidRDefault="00EC1269">
                <w:pPr>
                  <w:jc w:val="right"/>
                  <w:rPr>
                    <w:rFonts w:cs="Times New Roman"/>
                    <w:bCs/>
                    <w:color w:val="000000"/>
                    <w:spacing w:val="-20"/>
                  </w:rPr>
                </w:pPr>
                <w:r>
                  <w:rPr>
                    <w:rFonts w:cs="Times New Roman"/>
                    <w:spacing w:val="-20"/>
                  </w:rPr>
                  <w:t>530,000</w:t>
                </w:r>
              </w:p>
            </w:tc>
            <w:tc>
              <w:tcPr>
                <w:tcW w:w="2183" w:type="dxa"/>
                <w:vAlign w:val="center"/>
              </w:tcPr>
              <w:p w14:paraId="7EB96704" w14:textId="77777777" w:rsidR="007E7472" w:rsidRDefault="00EC1269">
                <w:pPr>
                  <w:jc w:val="both"/>
                  <w:rPr>
                    <w:rFonts w:cs="Times New Roman"/>
                    <w:snapToGrid w:val="0"/>
                    <w:color w:val="000000"/>
                    <w:spacing w:val="-20"/>
                  </w:rPr>
                </w:pPr>
                <w:r>
                  <w:rPr>
                    <w:rFonts w:cs="Times New Roman" w:hint="eastAsia"/>
                    <w:spacing w:val="-20"/>
                  </w:rPr>
                  <w:t>管理公司</w:t>
                </w:r>
              </w:p>
            </w:tc>
            <w:tc>
              <w:tcPr>
                <w:tcW w:w="910" w:type="dxa"/>
                <w:vAlign w:val="center"/>
              </w:tcPr>
              <w:p w14:paraId="29B20E53" w14:textId="77777777" w:rsidR="007E7472" w:rsidRDefault="00EC1269">
                <w:pPr>
                  <w:jc w:val="center"/>
                  <w:rPr>
                    <w:rFonts w:cs="Times New Roman"/>
                    <w:snapToGrid w:val="0"/>
                    <w:color w:val="000000"/>
                    <w:spacing w:val="-20"/>
                    <w:lang w:val="en-GB" w:eastAsia="en-US"/>
                  </w:rPr>
                </w:pPr>
                <w:r>
                  <w:rPr>
                    <w:rFonts w:cs="Times New Roman" w:hint="eastAsia"/>
                    <w:snapToGrid w:val="0"/>
                    <w:color w:val="000000"/>
                    <w:spacing w:val="-20"/>
                    <w:lang w:val="en-GB"/>
                  </w:rPr>
                  <w:t>100</w:t>
                </w:r>
              </w:p>
            </w:tc>
          </w:tr>
        </w:tbl>
        <w:p w14:paraId="52DD98AD" w14:textId="77777777" w:rsidR="007E7472" w:rsidRDefault="00EC1269" w:rsidP="00162493">
          <w:pPr>
            <w:widowControl w:val="0"/>
            <w:numPr>
              <w:ilvl w:val="0"/>
              <w:numId w:val="104"/>
            </w:numPr>
            <w:tabs>
              <w:tab w:val="left" w:pos="567"/>
            </w:tabs>
            <w:spacing w:beforeLines="50" w:before="120" w:afterLines="50" w:after="120" w:line="360" w:lineRule="exact"/>
            <w:ind w:left="862"/>
            <w:jc w:val="both"/>
            <w:rPr>
              <w:rFonts w:cs="Times New Roman"/>
              <w:snapToGrid w:val="0"/>
              <w:color w:val="000000"/>
            </w:rPr>
          </w:pPr>
          <w:r>
            <w:rPr>
              <w:rFonts w:cs="Times New Roman" w:hint="eastAsia"/>
              <w:snapToGrid w:val="0"/>
              <w:color w:val="000000"/>
            </w:rPr>
            <w:t>兖煤澳洲莫拉本私有有限公司</w:t>
          </w:r>
        </w:p>
        <w:p w14:paraId="1A36FD0A" w14:textId="77777777" w:rsidR="007E7472" w:rsidRDefault="00EC1269">
          <w:pPr>
            <w:tabs>
              <w:tab w:val="left" w:pos="426"/>
              <w:tab w:val="left" w:pos="800"/>
            </w:tabs>
            <w:spacing w:beforeLines="50" w:before="120" w:afterLines="50" w:after="120" w:line="360" w:lineRule="exact"/>
            <w:ind w:firstLineChars="200" w:firstLine="420"/>
            <w:jc w:val="both"/>
            <w:rPr>
              <w:rFonts w:cs="Times New Roman"/>
              <w:snapToGrid w:val="0"/>
              <w:color w:val="000000"/>
              <w:lang w:val="en-GB"/>
            </w:rPr>
          </w:pPr>
          <w:r>
            <w:rPr>
              <w:rFonts w:cs="Times New Roman" w:hint="eastAsia"/>
              <w:snapToGrid w:val="0"/>
              <w:color w:val="000000"/>
              <w:lang w:val="en-GB"/>
            </w:rPr>
            <w:t>兖煤澳洲莫拉本私有有限公司系本公司之子公司澳洲公司拥有的全资子公司，成立于2020年2月6日，注册资本1</w:t>
          </w:r>
          <w:r>
            <w:rPr>
              <w:rFonts w:cs="Times New Roman"/>
              <w:snapToGrid w:val="0"/>
              <w:color w:val="000000"/>
              <w:lang w:val="en-GB"/>
            </w:rPr>
            <w:t>00</w:t>
          </w:r>
          <w:r>
            <w:rPr>
              <w:rFonts w:cs="Times New Roman" w:hint="eastAsia"/>
              <w:snapToGrid w:val="0"/>
              <w:color w:val="000000"/>
              <w:lang w:val="en-GB"/>
            </w:rPr>
            <w:t>澳元。成立该公司的目的是将其作为主体，与双日株式会社全资附属公司双日莫拉本资源有限公司签署《莫拉本煤炭合营企业出售协议》，以3亿澳元交易对价收购双日株式会社所持有的Moolarben</w:t>
          </w:r>
          <w:r>
            <w:rPr>
              <w:rFonts w:cs="Times New Roman"/>
              <w:snapToGrid w:val="0"/>
              <w:color w:val="000000"/>
              <w:lang w:val="en-GB"/>
            </w:rPr>
            <w:t xml:space="preserve"> </w:t>
          </w:r>
          <w:r>
            <w:rPr>
              <w:rFonts w:cs="Times New Roman" w:hint="eastAsia"/>
              <w:snapToGrid w:val="0"/>
              <w:color w:val="000000"/>
              <w:lang w:val="en-GB"/>
            </w:rPr>
            <w:t>Coal</w:t>
          </w:r>
          <w:r>
            <w:rPr>
              <w:rFonts w:cs="Times New Roman"/>
              <w:snapToGrid w:val="0"/>
              <w:color w:val="000000"/>
              <w:lang w:val="en-GB"/>
            </w:rPr>
            <w:t xml:space="preserve"> </w:t>
          </w:r>
          <w:r>
            <w:rPr>
              <w:rFonts w:cs="Times New Roman" w:hint="eastAsia"/>
              <w:snapToGrid w:val="0"/>
              <w:color w:val="000000"/>
              <w:lang w:val="en-GB"/>
            </w:rPr>
            <w:t>Joint</w:t>
          </w:r>
          <w:r>
            <w:rPr>
              <w:rFonts w:cs="Times New Roman"/>
              <w:snapToGrid w:val="0"/>
              <w:color w:val="000000"/>
              <w:lang w:val="en-GB"/>
            </w:rPr>
            <w:t xml:space="preserve"> </w:t>
          </w:r>
          <w:r>
            <w:rPr>
              <w:rFonts w:cs="Times New Roman" w:hint="eastAsia"/>
              <w:snapToGrid w:val="0"/>
              <w:color w:val="000000"/>
              <w:lang w:val="en-GB"/>
            </w:rPr>
            <w:t>Venture（莫拉本煤炭合营企业）10%权益。</w:t>
          </w:r>
        </w:p>
        <w:p w14:paraId="4A963A74" w14:textId="77777777" w:rsidR="007E7472" w:rsidRDefault="00EC1269" w:rsidP="00162493">
          <w:pPr>
            <w:widowControl w:val="0"/>
            <w:numPr>
              <w:ilvl w:val="0"/>
              <w:numId w:val="104"/>
            </w:numPr>
            <w:tabs>
              <w:tab w:val="left" w:pos="567"/>
            </w:tabs>
            <w:spacing w:beforeLines="50" w:before="120" w:afterLines="50" w:after="120" w:line="360" w:lineRule="exact"/>
            <w:ind w:left="862"/>
            <w:jc w:val="both"/>
            <w:rPr>
              <w:rFonts w:cs="Times New Roman"/>
              <w:snapToGrid w:val="0"/>
              <w:color w:val="000000"/>
            </w:rPr>
          </w:pPr>
          <w:r>
            <w:rPr>
              <w:rFonts w:cs="Times New Roman" w:hint="eastAsia"/>
              <w:snapToGrid w:val="0"/>
              <w:color w:val="000000"/>
            </w:rPr>
            <w:t>沃特岗矿业有限公司</w:t>
          </w:r>
        </w:p>
        <w:p w14:paraId="004D5B79" w14:textId="77777777" w:rsidR="007E7472" w:rsidRDefault="00EC1269">
          <w:pPr>
            <w:tabs>
              <w:tab w:val="left" w:pos="426"/>
              <w:tab w:val="left" w:pos="800"/>
            </w:tabs>
            <w:spacing w:beforeLines="50" w:before="120" w:afterLines="50" w:after="120" w:line="360" w:lineRule="exact"/>
            <w:ind w:firstLineChars="200" w:firstLine="420"/>
            <w:jc w:val="both"/>
            <w:rPr>
              <w:rFonts w:cs="Times New Roman"/>
              <w:snapToGrid w:val="0"/>
              <w:color w:val="000000"/>
              <w:lang w:val="en-GB"/>
            </w:rPr>
          </w:pPr>
          <w:r>
            <w:rPr>
              <w:rFonts w:cs="Times New Roman" w:hint="eastAsia"/>
              <w:snapToGrid w:val="0"/>
              <w:color w:val="000000"/>
              <w:lang w:val="en-GB"/>
            </w:rPr>
            <w:t>沃特岗矿业有限公司（以下简称“沃特岗”）为本公司境外控股子公司澳洲公司于</w:t>
          </w:r>
          <w:r>
            <w:rPr>
              <w:rFonts w:cs="Times New Roman"/>
              <w:snapToGrid w:val="0"/>
              <w:color w:val="000000"/>
              <w:lang w:val="en-GB"/>
            </w:rPr>
            <w:t>2015年在境外实施资产证券化业务而设立的全</w:t>
          </w:r>
          <w:r>
            <w:rPr>
              <w:rFonts w:cs="Times New Roman" w:hint="eastAsia"/>
              <w:snapToGrid w:val="0"/>
              <w:color w:val="000000"/>
              <w:lang w:val="en-GB"/>
            </w:rPr>
            <w:t>资子公司。注册</w:t>
          </w:r>
          <w:r>
            <w:rPr>
              <w:rFonts w:cs="Times New Roman"/>
              <w:snapToGrid w:val="0"/>
              <w:color w:val="000000"/>
              <w:lang w:val="en-GB"/>
            </w:rPr>
            <w:t>资本</w:t>
          </w:r>
          <w:r>
            <w:rPr>
              <w:rFonts w:cs="Times New Roman" w:hint="eastAsia"/>
              <w:snapToGrid w:val="0"/>
              <w:color w:val="000000"/>
              <w:lang w:val="en-GB"/>
            </w:rPr>
            <w:t>100澳元</w:t>
          </w:r>
          <w:r>
            <w:rPr>
              <w:rFonts w:cs="Times New Roman"/>
              <w:snapToGrid w:val="0"/>
              <w:color w:val="000000"/>
              <w:lang w:val="en-GB"/>
            </w:rPr>
            <w:t>。</w:t>
          </w:r>
        </w:p>
        <w:p w14:paraId="32BAD094" w14:textId="77777777" w:rsidR="007E7472" w:rsidRDefault="00EC1269">
          <w:pPr>
            <w:widowControl w:val="0"/>
            <w:tabs>
              <w:tab w:val="left" w:pos="426"/>
              <w:tab w:val="left" w:pos="800"/>
            </w:tabs>
            <w:spacing w:beforeLines="50" w:before="120" w:afterLines="50" w:after="120" w:line="360" w:lineRule="exact"/>
            <w:ind w:firstLineChars="200" w:firstLine="420"/>
            <w:jc w:val="both"/>
            <w:rPr>
              <w:rFonts w:cs="Times New Roman"/>
              <w:snapToGrid w:val="0"/>
              <w:color w:val="000000"/>
              <w:lang w:val="en-GB"/>
            </w:rPr>
          </w:pPr>
          <w:r>
            <w:rPr>
              <w:rFonts w:cs="Times New Roman" w:hint="eastAsia"/>
              <w:snapToGrid w:val="0"/>
              <w:color w:val="000000"/>
              <w:lang w:val="en-GB"/>
            </w:rPr>
            <w:t>沃特岗主要控股子公司如下：</w:t>
          </w:r>
        </w:p>
        <w:tbl>
          <w:tblPr>
            <w:tblStyle w:val="g4"/>
            <w:tblW w:w="5000" w:type="pct"/>
            <w:tblInd w:w="108" w:type="dxa"/>
            <w:tblBorders>
              <w:top w:val="double" w:sz="4" w:space="0" w:color="auto"/>
              <w:bottom w:val="double" w:sz="4" w:space="0" w:color="auto"/>
              <w:insideH w:val="single" w:sz="2" w:space="0" w:color="auto"/>
              <w:insideV w:val="single" w:sz="2" w:space="0" w:color="auto"/>
            </w:tblBorders>
            <w:tblLayout w:type="fixed"/>
            <w:tblLook w:val="04A0" w:firstRow="1" w:lastRow="0" w:firstColumn="1" w:lastColumn="0" w:noHBand="0" w:noVBand="1"/>
          </w:tblPr>
          <w:tblGrid>
            <w:gridCol w:w="3194"/>
            <w:gridCol w:w="1108"/>
            <w:gridCol w:w="1261"/>
            <w:gridCol w:w="2360"/>
            <w:gridCol w:w="910"/>
          </w:tblGrid>
          <w:tr w:rsidR="007E7472" w14:paraId="47BB58ED" w14:textId="77777777">
            <w:trPr>
              <w:trHeight w:val="397"/>
              <w:tblHeader/>
            </w:trPr>
            <w:tc>
              <w:tcPr>
                <w:tcW w:w="3077" w:type="dxa"/>
                <w:vAlign w:val="center"/>
              </w:tcPr>
              <w:p w14:paraId="43E08A45" w14:textId="77777777" w:rsidR="007E7472" w:rsidRDefault="00EC1269">
                <w:pPr>
                  <w:rPr>
                    <w:rFonts w:cs="Times New Roman"/>
                    <w:b/>
                    <w:snapToGrid w:val="0"/>
                    <w:color w:val="000000"/>
                    <w:spacing w:val="-28"/>
                    <w:lang w:val="en-GB" w:eastAsia="en-US"/>
                  </w:rPr>
                </w:pPr>
                <w:r>
                  <w:rPr>
                    <w:rFonts w:cs="Times New Roman"/>
                    <w:b/>
                    <w:snapToGrid w:val="0"/>
                    <w:color w:val="000000"/>
                    <w:spacing w:val="-28"/>
                    <w:lang w:val="en-GB" w:eastAsia="en-US"/>
                  </w:rPr>
                  <w:t>公司名称</w:t>
                </w:r>
              </w:p>
            </w:tc>
            <w:tc>
              <w:tcPr>
                <w:tcW w:w="1067" w:type="dxa"/>
                <w:vAlign w:val="center"/>
              </w:tcPr>
              <w:p w14:paraId="18254C64" w14:textId="77777777" w:rsidR="007E7472" w:rsidRDefault="00EC1269">
                <w:pPr>
                  <w:jc w:val="center"/>
                  <w:rPr>
                    <w:rFonts w:cs="Times New Roman"/>
                    <w:b/>
                    <w:snapToGrid w:val="0"/>
                    <w:color w:val="000000"/>
                    <w:spacing w:val="-28"/>
                    <w:lang w:val="en-GB" w:eastAsia="en-US"/>
                  </w:rPr>
                </w:pPr>
                <w:r>
                  <w:rPr>
                    <w:rFonts w:cs="Times New Roman"/>
                    <w:b/>
                    <w:snapToGrid w:val="0"/>
                    <w:color w:val="000000"/>
                    <w:spacing w:val="-28"/>
                    <w:lang w:val="en-GB" w:eastAsia="en-US"/>
                  </w:rPr>
                  <w:t>注册地</w:t>
                </w:r>
              </w:p>
            </w:tc>
            <w:tc>
              <w:tcPr>
                <w:tcW w:w="1214" w:type="dxa"/>
                <w:vAlign w:val="center"/>
              </w:tcPr>
              <w:p w14:paraId="69F04B34" w14:textId="77777777" w:rsidR="007E7472" w:rsidRDefault="00EC1269">
                <w:pPr>
                  <w:jc w:val="center"/>
                  <w:rPr>
                    <w:rFonts w:cs="Times New Roman"/>
                    <w:b/>
                    <w:snapToGrid w:val="0"/>
                    <w:color w:val="000000"/>
                    <w:spacing w:val="-28"/>
                    <w:lang w:val="en-GB" w:eastAsia="en-US"/>
                  </w:rPr>
                </w:pPr>
                <w:r>
                  <w:rPr>
                    <w:rFonts w:cs="Times New Roman"/>
                    <w:b/>
                    <w:snapToGrid w:val="0"/>
                    <w:color w:val="000000"/>
                    <w:spacing w:val="-28"/>
                    <w:lang w:val="en-GB" w:eastAsia="en-US"/>
                  </w:rPr>
                  <w:t>注册资本</w:t>
                </w:r>
              </w:p>
              <w:p w14:paraId="4281F08B" w14:textId="77777777" w:rsidR="007E7472" w:rsidRDefault="00EC1269">
                <w:pPr>
                  <w:jc w:val="center"/>
                  <w:rPr>
                    <w:rFonts w:cs="Times New Roman"/>
                    <w:b/>
                    <w:snapToGrid w:val="0"/>
                    <w:color w:val="000000"/>
                    <w:spacing w:val="-28"/>
                    <w:lang w:val="en-GB" w:eastAsia="en-US"/>
                  </w:rPr>
                </w:pPr>
                <w:r>
                  <w:rPr>
                    <w:rFonts w:cs="Times New Roman" w:hint="eastAsia"/>
                    <w:b/>
                    <w:snapToGrid w:val="0"/>
                    <w:color w:val="000000"/>
                    <w:spacing w:val="-28"/>
                    <w:lang w:val="en-GB" w:eastAsia="en-US"/>
                  </w:rPr>
                  <w:t>（澳元）</w:t>
                </w:r>
              </w:p>
            </w:tc>
            <w:tc>
              <w:tcPr>
                <w:tcW w:w="2273" w:type="dxa"/>
                <w:vAlign w:val="center"/>
              </w:tcPr>
              <w:p w14:paraId="0DF5D87E" w14:textId="77777777" w:rsidR="007E7472" w:rsidRDefault="00EC1269">
                <w:pPr>
                  <w:jc w:val="center"/>
                  <w:rPr>
                    <w:rFonts w:cs="Times New Roman"/>
                    <w:b/>
                    <w:snapToGrid w:val="0"/>
                    <w:color w:val="000000"/>
                    <w:spacing w:val="-28"/>
                    <w:lang w:val="en-GB" w:eastAsia="en-US"/>
                  </w:rPr>
                </w:pPr>
                <w:r>
                  <w:rPr>
                    <w:rFonts w:cs="Times New Roman"/>
                    <w:b/>
                    <w:snapToGrid w:val="0"/>
                    <w:color w:val="000000"/>
                    <w:spacing w:val="-28"/>
                    <w:lang w:val="en-GB" w:eastAsia="en-US"/>
                  </w:rPr>
                  <w:t>经营范围</w:t>
                </w:r>
              </w:p>
            </w:tc>
            <w:tc>
              <w:tcPr>
                <w:tcW w:w="876" w:type="dxa"/>
                <w:vAlign w:val="center"/>
              </w:tcPr>
              <w:p w14:paraId="2B7F2501" w14:textId="77777777" w:rsidR="007E7472" w:rsidRDefault="00EC1269">
                <w:pPr>
                  <w:jc w:val="center"/>
                  <w:rPr>
                    <w:rFonts w:cs="Times New Roman"/>
                    <w:b/>
                    <w:snapToGrid w:val="0"/>
                    <w:color w:val="000000"/>
                    <w:spacing w:val="-28"/>
                    <w:lang w:val="en-GB" w:eastAsia="en-US"/>
                  </w:rPr>
                </w:pPr>
                <w:r>
                  <w:rPr>
                    <w:rFonts w:cs="Times New Roman"/>
                    <w:b/>
                    <w:snapToGrid w:val="0"/>
                    <w:color w:val="000000"/>
                    <w:spacing w:val="-28"/>
                    <w:lang w:val="en-GB" w:eastAsia="en-US"/>
                  </w:rPr>
                  <w:t>持股比例(%)</w:t>
                </w:r>
              </w:p>
            </w:tc>
          </w:tr>
          <w:tr w:rsidR="007E7472" w14:paraId="0C55CF29" w14:textId="77777777">
            <w:trPr>
              <w:trHeight w:val="397"/>
            </w:trPr>
            <w:tc>
              <w:tcPr>
                <w:tcW w:w="3077" w:type="dxa"/>
                <w:vAlign w:val="center"/>
              </w:tcPr>
              <w:p w14:paraId="794F5376" w14:textId="77777777" w:rsidR="007E7472" w:rsidRDefault="00EC1269">
                <w:pPr>
                  <w:tabs>
                    <w:tab w:val="left" w:pos="122"/>
                    <w:tab w:val="left" w:pos="288"/>
                  </w:tabs>
                  <w:rPr>
                    <w:rFonts w:cs="Times New Roman"/>
                    <w:snapToGrid w:val="0"/>
                    <w:color w:val="000000"/>
                    <w:spacing w:val="-28"/>
                    <w:lang w:val="en-GB" w:eastAsia="en-US"/>
                  </w:rPr>
                </w:pPr>
                <w:r>
                  <w:rPr>
                    <w:rFonts w:cs="Times New Roman"/>
                    <w:snapToGrid w:val="0"/>
                    <w:color w:val="000000"/>
                    <w:spacing w:val="-28"/>
                    <w:lang w:val="en-GB" w:eastAsia="en-US"/>
                  </w:rPr>
                  <w:t>White Mining Pty Ltd</w:t>
                </w:r>
              </w:p>
              <w:p w14:paraId="7341CE20" w14:textId="77777777" w:rsidR="007E7472" w:rsidRDefault="00EC1269">
                <w:pPr>
                  <w:tabs>
                    <w:tab w:val="left" w:pos="122"/>
                    <w:tab w:val="left" w:pos="288"/>
                  </w:tabs>
                  <w:rPr>
                    <w:rFonts w:cs="Times New Roman"/>
                    <w:snapToGrid w:val="0"/>
                    <w:color w:val="000000"/>
                    <w:spacing w:val="-28"/>
                    <w:lang w:val="en-GB" w:eastAsia="en-US"/>
                  </w:rPr>
                </w:pPr>
                <w:r>
                  <w:rPr>
                    <w:rFonts w:cs="Times New Roman" w:hint="eastAsia"/>
                    <w:snapToGrid w:val="0"/>
                    <w:color w:val="000000"/>
                    <w:spacing w:val="-28"/>
                    <w:lang w:val="en-GB" w:eastAsia="en-US"/>
                  </w:rPr>
                  <w:t>（白矿矿业有限公司）</w:t>
                </w:r>
              </w:p>
            </w:tc>
            <w:tc>
              <w:tcPr>
                <w:tcW w:w="1067" w:type="dxa"/>
                <w:vAlign w:val="center"/>
              </w:tcPr>
              <w:p w14:paraId="3E8D8FFF" w14:textId="77777777" w:rsidR="007E7472" w:rsidRDefault="00EC1269">
                <w:pPr>
                  <w:jc w:val="center"/>
                  <w:rPr>
                    <w:rFonts w:cs="Times New Roman"/>
                    <w:snapToGrid w:val="0"/>
                    <w:color w:val="000000"/>
                    <w:spacing w:val="-28"/>
                    <w:lang w:val="en-GB" w:eastAsia="en-US"/>
                  </w:rPr>
                </w:pPr>
                <w:r>
                  <w:rPr>
                    <w:rFonts w:cs="Times New Roman"/>
                    <w:snapToGrid w:val="0"/>
                    <w:color w:val="000000"/>
                    <w:spacing w:val="-28"/>
                    <w:lang w:val="en-GB" w:eastAsia="en-US"/>
                  </w:rPr>
                  <w:t>澳大利亚</w:t>
                </w:r>
              </w:p>
            </w:tc>
            <w:tc>
              <w:tcPr>
                <w:tcW w:w="1214" w:type="dxa"/>
                <w:vAlign w:val="center"/>
              </w:tcPr>
              <w:p w14:paraId="57D9F28A" w14:textId="77777777" w:rsidR="007E7472" w:rsidRDefault="00EC1269">
                <w:pPr>
                  <w:jc w:val="right"/>
                  <w:rPr>
                    <w:rFonts w:cs="Times New Roman"/>
                    <w:snapToGrid w:val="0"/>
                    <w:color w:val="000000"/>
                    <w:spacing w:val="-28"/>
                    <w:lang w:val="en-GB" w:eastAsia="en-US"/>
                  </w:rPr>
                </w:pPr>
                <w:r>
                  <w:rPr>
                    <w:rFonts w:cs="Times New Roman"/>
                    <w:snapToGrid w:val="0"/>
                    <w:color w:val="000000"/>
                    <w:spacing w:val="-28"/>
                    <w:lang w:val="en-GB" w:eastAsia="en-US"/>
                  </w:rPr>
                  <w:t>3,300,200</w:t>
                </w:r>
              </w:p>
            </w:tc>
            <w:tc>
              <w:tcPr>
                <w:tcW w:w="2273" w:type="dxa"/>
                <w:vAlign w:val="center"/>
              </w:tcPr>
              <w:p w14:paraId="5F3A8E38" w14:textId="77777777" w:rsidR="007E7472" w:rsidRDefault="00EC1269">
                <w:pPr>
                  <w:autoSpaceDE w:val="0"/>
                  <w:autoSpaceDN w:val="0"/>
                  <w:adjustRightInd w:val="0"/>
                  <w:rPr>
                    <w:rFonts w:cs="Times New Roman"/>
                    <w:snapToGrid w:val="0"/>
                    <w:color w:val="000000"/>
                    <w:spacing w:val="-28"/>
                    <w:lang w:val="en-GB"/>
                  </w:rPr>
                </w:pPr>
                <w:r>
                  <w:rPr>
                    <w:rFonts w:cs="Times New Roman" w:hint="eastAsia"/>
                    <w:snapToGrid w:val="0"/>
                    <w:color w:val="000000"/>
                    <w:spacing w:val="-28"/>
                    <w:lang w:val="en-GB"/>
                  </w:rPr>
                  <w:t>煤炭开采，处理和销售</w:t>
                </w:r>
              </w:p>
            </w:tc>
            <w:tc>
              <w:tcPr>
                <w:tcW w:w="876" w:type="dxa"/>
                <w:vAlign w:val="center"/>
              </w:tcPr>
              <w:p w14:paraId="646EDE5F" w14:textId="77777777" w:rsidR="007E7472" w:rsidRDefault="00EC1269">
                <w:pPr>
                  <w:jc w:val="center"/>
                  <w:rPr>
                    <w:rFonts w:cs="Times New Roman"/>
                    <w:snapToGrid w:val="0"/>
                    <w:color w:val="000000"/>
                    <w:spacing w:val="-28"/>
                    <w:lang w:val="en-GB"/>
                  </w:rPr>
                </w:pPr>
                <w:r>
                  <w:rPr>
                    <w:rFonts w:cs="Times New Roman" w:hint="eastAsia"/>
                    <w:snapToGrid w:val="0"/>
                    <w:color w:val="000000"/>
                    <w:spacing w:val="-28"/>
                    <w:lang w:val="en-GB"/>
                  </w:rPr>
                  <w:t>1</w:t>
                </w:r>
                <w:r>
                  <w:rPr>
                    <w:rFonts w:cs="Times New Roman"/>
                    <w:snapToGrid w:val="0"/>
                    <w:color w:val="000000"/>
                    <w:spacing w:val="-28"/>
                    <w:lang w:val="en-GB"/>
                  </w:rPr>
                  <w:t>00</w:t>
                </w:r>
              </w:p>
            </w:tc>
          </w:tr>
          <w:tr w:rsidR="007E7472" w14:paraId="0176F27E" w14:textId="77777777">
            <w:trPr>
              <w:trHeight w:val="397"/>
            </w:trPr>
            <w:tc>
              <w:tcPr>
                <w:tcW w:w="3077" w:type="dxa"/>
                <w:vAlign w:val="center"/>
              </w:tcPr>
              <w:p w14:paraId="52F919E8" w14:textId="77777777" w:rsidR="007E7472" w:rsidRDefault="00EC1269">
                <w:pPr>
                  <w:tabs>
                    <w:tab w:val="left" w:pos="122"/>
                    <w:tab w:val="left" w:pos="288"/>
                  </w:tabs>
                  <w:rPr>
                    <w:rFonts w:cs="Times New Roman"/>
                    <w:snapToGrid w:val="0"/>
                    <w:color w:val="000000"/>
                    <w:spacing w:val="-28"/>
                    <w:lang w:val="en-GB" w:eastAsia="en-US"/>
                  </w:rPr>
                </w:pPr>
                <w:r>
                  <w:rPr>
                    <w:rFonts w:cs="Times New Roman" w:hint="eastAsia"/>
                    <w:snapToGrid w:val="0"/>
                    <w:color w:val="000000"/>
                    <w:spacing w:val="-28"/>
                    <w:lang w:val="en-GB" w:eastAsia="en-US"/>
                  </w:rPr>
                  <w:t>Austar</w:t>
                </w:r>
                <w:r>
                  <w:rPr>
                    <w:rFonts w:cs="Times New Roman"/>
                    <w:snapToGrid w:val="0"/>
                    <w:color w:val="000000"/>
                    <w:spacing w:val="-28"/>
                    <w:lang w:val="en-GB" w:eastAsia="en-US"/>
                  </w:rPr>
                  <w:t xml:space="preserve"> </w:t>
                </w:r>
                <w:r>
                  <w:rPr>
                    <w:rFonts w:cs="Times New Roman" w:hint="eastAsia"/>
                    <w:snapToGrid w:val="0"/>
                    <w:color w:val="000000"/>
                    <w:spacing w:val="-28"/>
                    <w:lang w:val="en-GB" w:eastAsia="en-US"/>
                  </w:rPr>
                  <w:t>Coal</w:t>
                </w:r>
                <w:r>
                  <w:rPr>
                    <w:rFonts w:cs="Times New Roman"/>
                    <w:snapToGrid w:val="0"/>
                    <w:color w:val="000000"/>
                    <w:spacing w:val="-28"/>
                    <w:lang w:val="en-GB" w:eastAsia="en-US"/>
                  </w:rPr>
                  <w:t xml:space="preserve"> </w:t>
                </w:r>
                <w:r>
                  <w:rPr>
                    <w:rFonts w:cs="Times New Roman" w:hint="eastAsia"/>
                    <w:snapToGrid w:val="0"/>
                    <w:color w:val="000000"/>
                    <w:spacing w:val="-28"/>
                    <w:lang w:val="en-GB" w:eastAsia="en-US"/>
                  </w:rPr>
                  <w:t>Mine</w:t>
                </w:r>
                <w:r>
                  <w:rPr>
                    <w:rFonts w:cs="Times New Roman"/>
                    <w:snapToGrid w:val="0"/>
                    <w:color w:val="000000"/>
                    <w:spacing w:val="-28"/>
                    <w:lang w:val="en-GB" w:eastAsia="en-US"/>
                  </w:rPr>
                  <w:t xml:space="preserve"> </w:t>
                </w:r>
                <w:r>
                  <w:rPr>
                    <w:rFonts w:cs="Times New Roman" w:hint="eastAsia"/>
                    <w:snapToGrid w:val="0"/>
                    <w:color w:val="000000"/>
                    <w:spacing w:val="-28"/>
                    <w:lang w:val="en-GB" w:eastAsia="en-US"/>
                  </w:rPr>
                  <w:t>Pty</w:t>
                </w:r>
                <w:r>
                  <w:rPr>
                    <w:rFonts w:cs="Times New Roman"/>
                    <w:snapToGrid w:val="0"/>
                    <w:color w:val="000000"/>
                    <w:spacing w:val="-28"/>
                    <w:lang w:val="en-GB" w:eastAsia="en-US"/>
                  </w:rPr>
                  <w:t xml:space="preserve"> </w:t>
                </w:r>
                <w:r>
                  <w:rPr>
                    <w:rFonts w:cs="Times New Roman" w:hint="eastAsia"/>
                    <w:snapToGrid w:val="0"/>
                    <w:color w:val="000000"/>
                    <w:spacing w:val="-28"/>
                    <w:lang w:val="en-GB" w:eastAsia="en-US"/>
                  </w:rPr>
                  <w:t>Limited</w:t>
                </w:r>
              </w:p>
              <w:p w14:paraId="3963B418" w14:textId="77777777" w:rsidR="007E7472" w:rsidRDefault="00EC1269">
                <w:pPr>
                  <w:tabs>
                    <w:tab w:val="left" w:pos="122"/>
                    <w:tab w:val="left" w:pos="288"/>
                  </w:tabs>
                  <w:rPr>
                    <w:rFonts w:cs="Times New Roman"/>
                    <w:snapToGrid w:val="0"/>
                    <w:color w:val="000000"/>
                    <w:spacing w:val="-28"/>
                    <w:lang w:val="en-GB"/>
                  </w:rPr>
                </w:pPr>
                <w:r>
                  <w:rPr>
                    <w:rFonts w:cs="Times New Roman" w:hint="eastAsia"/>
                    <w:snapToGrid w:val="0"/>
                    <w:color w:val="000000"/>
                    <w:spacing w:val="-28"/>
                    <w:lang w:val="en-GB"/>
                  </w:rPr>
                  <w:t>（澳思达煤矿有限公司）</w:t>
                </w:r>
              </w:p>
            </w:tc>
            <w:tc>
              <w:tcPr>
                <w:tcW w:w="1067" w:type="dxa"/>
                <w:vAlign w:val="center"/>
              </w:tcPr>
              <w:p w14:paraId="4100DC41" w14:textId="77777777" w:rsidR="007E7472" w:rsidRDefault="00EC1269">
                <w:pPr>
                  <w:jc w:val="center"/>
                  <w:rPr>
                    <w:rFonts w:cs="Times New Roman"/>
                    <w:snapToGrid w:val="0"/>
                    <w:color w:val="000000"/>
                    <w:spacing w:val="-28"/>
                    <w:lang w:val="en-GB" w:eastAsia="en-US"/>
                  </w:rPr>
                </w:pPr>
                <w:r>
                  <w:rPr>
                    <w:rFonts w:cs="Times New Roman"/>
                    <w:snapToGrid w:val="0"/>
                    <w:color w:val="000000"/>
                    <w:spacing w:val="-28"/>
                    <w:lang w:val="en-GB" w:eastAsia="en-US"/>
                  </w:rPr>
                  <w:t>澳大利亚</w:t>
                </w:r>
              </w:p>
            </w:tc>
            <w:tc>
              <w:tcPr>
                <w:tcW w:w="1214" w:type="dxa"/>
                <w:vAlign w:val="center"/>
              </w:tcPr>
              <w:p w14:paraId="590E73CB" w14:textId="77777777" w:rsidR="007E7472" w:rsidRDefault="00EC1269">
                <w:pPr>
                  <w:jc w:val="right"/>
                  <w:rPr>
                    <w:rFonts w:cs="Times New Roman"/>
                    <w:snapToGrid w:val="0"/>
                    <w:color w:val="000000"/>
                    <w:spacing w:val="-28"/>
                    <w:lang w:val="en-GB" w:eastAsia="en-US"/>
                  </w:rPr>
                </w:pPr>
                <w:r>
                  <w:rPr>
                    <w:rFonts w:cs="Times New Roman"/>
                    <w:snapToGrid w:val="0"/>
                    <w:color w:val="000000"/>
                    <w:spacing w:val="-28"/>
                    <w:lang w:val="en-GB" w:eastAsia="en-US"/>
                  </w:rPr>
                  <w:t>64,000,000</w:t>
                </w:r>
              </w:p>
            </w:tc>
            <w:tc>
              <w:tcPr>
                <w:tcW w:w="2273" w:type="dxa"/>
                <w:vAlign w:val="center"/>
              </w:tcPr>
              <w:p w14:paraId="1A7D05D8" w14:textId="77777777" w:rsidR="007E7472" w:rsidRDefault="00EC1269">
                <w:pPr>
                  <w:autoSpaceDE w:val="0"/>
                  <w:autoSpaceDN w:val="0"/>
                  <w:adjustRightInd w:val="0"/>
                  <w:rPr>
                    <w:rFonts w:cs="Times New Roman"/>
                    <w:snapToGrid w:val="0"/>
                    <w:color w:val="000000"/>
                    <w:spacing w:val="-28"/>
                    <w:lang w:val="en-GB"/>
                  </w:rPr>
                </w:pPr>
                <w:r>
                  <w:rPr>
                    <w:rFonts w:cs="Times New Roman" w:hint="eastAsia"/>
                    <w:snapToGrid w:val="0"/>
                    <w:color w:val="000000"/>
                    <w:spacing w:val="-28"/>
                    <w:lang w:val="en-GB"/>
                  </w:rPr>
                  <w:t>煤炭开采，处理和销售</w:t>
                </w:r>
              </w:p>
            </w:tc>
            <w:tc>
              <w:tcPr>
                <w:tcW w:w="876" w:type="dxa"/>
                <w:vAlign w:val="center"/>
              </w:tcPr>
              <w:p w14:paraId="4955F3CE" w14:textId="77777777" w:rsidR="007E7472" w:rsidRDefault="00EC1269">
                <w:pPr>
                  <w:jc w:val="center"/>
                  <w:rPr>
                    <w:rFonts w:cs="Times New Roman"/>
                    <w:snapToGrid w:val="0"/>
                    <w:color w:val="000000"/>
                    <w:spacing w:val="-28"/>
                    <w:lang w:val="en-GB"/>
                  </w:rPr>
                </w:pPr>
                <w:r>
                  <w:rPr>
                    <w:rFonts w:cs="Times New Roman" w:hint="eastAsia"/>
                    <w:snapToGrid w:val="0"/>
                    <w:color w:val="000000"/>
                    <w:spacing w:val="-28"/>
                    <w:lang w:val="en-GB"/>
                  </w:rPr>
                  <w:t>1</w:t>
                </w:r>
                <w:r>
                  <w:rPr>
                    <w:rFonts w:cs="Times New Roman"/>
                    <w:snapToGrid w:val="0"/>
                    <w:color w:val="000000"/>
                    <w:spacing w:val="-28"/>
                    <w:lang w:val="en-GB"/>
                  </w:rPr>
                  <w:t>00</w:t>
                </w:r>
              </w:p>
            </w:tc>
          </w:tr>
          <w:tr w:rsidR="007E7472" w14:paraId="18735EBD" w14:textId="77777777">
            <w:trPr>
              <w:trHeight w:val="397"/>
            </w:trPr>
            <w:tc>
              <w:tcPr>
                <w:tcW w:w="3077" w:type="dxa"/>
                <w:vAlign w:val="center"/>
              </w:tcPr>
              <w:p w14:paraId="4B417848" w14:textId="77777777" w:rsidR="007E7472" w:rsidRDefault="00EC1269">
                <w:pPr>
                  <w:tabs>
                    <w:tab w:val="left" w:pos="122"/>
                    <w:tab w:val="left" w:pos="288"/>
                  </w:tabs>
                  <w:rPr>
                    <w:rFonts w:cs="Times New Roman"/>
                    <w:snapToGrid w:val="0"/>
                    <w:color w:val="000000"/>
                    <w:spacing w:val="-28"/>
                    <w:lang w:val="en-GB"/>
                  </w:rPr>
                </w:pPr>
                <w:r>
                  <w:rPr>
                    <w:rFonts w:cs="Times New Roman"/>
                    <w:snapToGrid w:val="0"/>
                    <w:color w:val="000000"/>
                    <w:spacing w:val="-28"/>
                    <w:lang w:val="en-GB"/>
                  </w:rPr>
                  <w:t>Gloucester (</w:t>
                </w:r>
                <w:r>
                  <w:rPr>
                    <w:rFonts w:cs="Times New Roman"/>
                    <w:snapToGrid w:val="0"/>
                    <w:color w:val="000000"/>
                    <w:spacing w:val="-28"/>
                    <w:sz w:val="22"/>
                    <w:szCs w:val="22"/>
                    <w:lang w:val="en-GB"/>
                  </w:rPr>
                  <w:t>Sub Holdings 1</w:t>
                </w:r>
                <w:r>
                  <w:rPr>
                    <w:rFonts w:cs="Times New Roman"/>
                    <w:snapToGrid w:val="0"/>
                    <w:color w:val="000000"/>
                    <w:spacing w:val="-28"/>
                    <w:lang w:val="en-GB"/>
                  </w:rPr>
                  <w:t>) Pty Ltd</w:t>
                </w:r>
              </w:p>
              <w:p w14:paraId="29B037F4" w14:textId="77777777" w:rsidR="007E7472" w:rsidRDefault="00EC1269">
                <w:pPr>
                  <w:tabs>
                    <w:tab w:val="left" w:pos="122"/>
                    <w:tab w:val="left" w:pos="288"/>
                  </w:tabs>
                  <w:rPr>
                    <w:rFonts w:cs="Times New Roman"/>
                    <w:snapToGrid w:val="0"/>
                    <w:color w:val="000000"/>
                    <w:spacing w:val="-28"/>
                    <w:lang w:val="en-GB"/>
                  </w:rPr>
                </w:pPr>
                <w:r>
                  <w:rPr>
                    <w:rFonts w:cs="Times New Roman" w:hint="eastAsia"/>
                    <w:snapToGrid w:val="0"/>
                    <w:color w:val="000000"/>
                    <w:spacing w:val="-28"/>
                    <w:lang w:val="en-GB"/>
                  </w:rPr>
                  <w:t>（格罗斯特第一控股有限公司）</w:t>
                </w:r>
              </w:p>
            </w:tc>
            <w:tc>
              <w:tcPr>
                <w:tcW w:w="1067" w:type="dxa"/>
                <w:vAlign w:val="center"/>
              </w:tcPr>
              <w:p w14:paraId="685F49C1" w14:textId="77777777" w:rsidR="007E7472" w:rsidRDefault="00EC1269">
                <w:pPr>
                  <w:jc w:val="center"/>
                  <w:rPr>
                    <w:rFonts w:cs="Times New Roman"/>
                    <w:snapToGrid w:val="0"/>
                    <w:color w:val="000000"/>
                    <w:spacing w:val="-28"/>
                    <w:lang w:val="en-GB" w:eastAsia="en-US"/>
                  </w:rPr>
                </w:pPr>
                <w:r>
                  <w:rPr>
                    <w:rFonts w:cs="Times New Roman"/>
                    <w:snapToGrid w:val="0"/>
                    <w:color w:val="000000"/>
                    <w:spacing w:val="-28"/>
                    <w:lang w:val="en-GB" w:eastAsia="en-US"/>
                  </w:rPr>
                  <w:t>澳大利亚</w:t>
                </w:r>
              </w:p>
            </w:tc>
            <w:tc>
              <w:tcPr>
                <w:tcW w:w="1214" w:type="dxa"/>
                <w:vAlign w:val="center"/>
              </w:tcPr>
              <w:p w14:paraId="2A9D6135" w14:textId="77777777" w:rsidR="007E7472" w:rsidRDefault="00EC1269">
                <w:pPr>
                  <w:jc w:val="right"/>
                  <w:rPr>
                    <w:rFonts w:cs="Times New Roman"/>
                    <w:snapToGrid w:val="0"/>
                    <w:color w:val="000000"/>
                    <w:spacing w:val="-28"/>
                    <w:lang w:val="en-GB" w:eastAsia="en-US"/>
                  </w:rPr>
                </w:pPr>
                <w:r>
                  <w:rPr>
                    <w:rFonts w:cs="Times New Roman"/>
                    <w:snapToGrid w:val="0"/>
                    <w:color w:val="000000"/>
                    <w:spacing w:val="-28"/>
                    <w:lang w:val="en-GB" w:eastAsia="en-US"/>
                  </w:rPr>
                  <w:t>2</w:t>
                </w:r>
              </w:p>
            </w:tc>
            <w:tc>
              <w:tcPr>
                <w:tcW w:w="2273" w:type="dxa"/>
                <w:vAlign w:val="center"/>
              </w:tcPr>
              <w:p w14:paraId="72A6FDE6" w14:textId="77777777" w:rsidR="007E7472" w:rsidRDefault="00EC1269">
                <w:pPr>
                  <w:autoSpaceDE w:val="0"/>
                  <w:autoSpaceDN w:val="0"/>
                  <w:adjustRightInd w:val="0"/>
                  <w:rPr>
                    <w:rFonts w:cs="Times New Roman"/>
                    <w:snapToGrid w:val="0"/>
                    <w:color w:val="000000"/>
                    <w:spacing w:val="-28"/>
                    <w:lang w:val="en-GB" w:eastAsia="en-US"/>
                  </w:rPr>
                </w:pPr>
                <w:r>
                  <w:rPr>
                    <w:rFonts w:cs="Times New Roman" w:hint="eastAsia"/>
                    <w:snapToGrid w:val="0"/>
                    <w:color w:val="000000"/>
                    <w:spacing w:val="-28"/>
                    <w:lang w:val="en-GB" w:eastAsia="en-US"/>
                  </w:rPr>
                  <w:t>控股公司</w:t>
                </w:r>
              </w:p>
            </w:tc>
            <w:tc>
              <w:tcPr>
                <w:tcW w:w="876" w:type="dxa"/>
                <w:vAlign w:val="center"/>
              </w:tcPr>
              <w:p w14:paraId="0B6763FC" w14:textId="77777777" w:rsidR="007E7472" w:rsidRDefault="00EC1269">
                <w:pPr>
                  <w:jc w:val="center"/>
                  <w:rPr>
                    <w:rFonts w:cs="Times New Roman"/>
                    <w:snapToGrid w:val="0"/>
                    <w:color w:val="000000"/>
                    <w:spacing w:val="-28"/>
                    <w:lang w:val="en-GB"/>
                  </w:rPr>
                </w:pPr>
                <w:r>
                  <w:rPr>
                    <w:rFonts w:cs="Times New Roman" w:hint="eastAsia"/>
                    <w:snapToGrid w:val="0"/>
                    <w:color w:val="000000"/>
                    <w:spacing w:val="-28"/>
                    <w:lang w:val="en-GB"/>
                  </w:rPr>
                  <w:t>1</w:t>
                </w:r>
                <w:r>
                  <w:rPr>
                    <w:rFonts w:cs="Times New Roman"/>
                    <w:snapToGrid w:val="0"/>
                    <w:color w:val="000000"/>
                    <w:spacing w:val="-28"/>
                    <w:lang w:val="en-GB"/>
                  </w:rPr>
                  <w:t>00</w:t>
                </w:r>
              </w:p>
            </w:tc>
          </w:tr>
        </w:tbl>
        <w:p w14:paraId="1D06483D" w14:textId="77777777" w:rsidR="007E7472" w:rsidRDefault="00EC1269" w:rsidP="00162493">
          <w:pPr>
            <w:widowControl w:val="0"/>
            <w:numPr>
              <w:ilvl w:val="0"/>
              <w:numId w:val="104"/>
            </w:numPr>
            <w:tabs>
              <w:tab w:val="left" w:pos="567"/>
            </w:tabs>
            <w:spacing w:beforeLines="50" w:before="120" w:afterLines="50" w:after="120" w:line="360" w:lineRule="exact"/>
            <w:ind w:left="862"/>
            <w:jc w:val="both"/>
            <w:rPr>
              <w:rFonts w:cs="Times New Roman"/>
              <w:snapToGrid w:val="0"/>
              <w:color w:val="000000"/>
            </w:rPr>
          </w:pPr>
          <w:r>
            <w:rPr>
              <w:rFonts w:cs="Times New Roman" w:hint="eastAsia"/>
              <w:snapToGrid w:val="0"/>
              <w:color w:val="000000"/>
            </w:rPr>
            <w:t>兖煤保险股份有限公司</w:t>
          </w:r>
        </w:p>
        <w:p w14:paraId="150DFBE4" w14:textId="77777777" w:rsidR="007E7472" w:rsidRDefault="00EC1269">
          <w:pPr>
            <w:tabs>
              <w:tab w:val="left" w:pos="426"/>
              <w:tab w:val="left" w:pos="800"/>
            </w:tabs>
            <w:spacing w:beforeLines="50" w:before="120" w:afterLines="50" w:after="120" w:line="340" w:lineRule="exact"/>
            <w:ind w:firstLineChars="200" w:firstLine="420"/>
            <w:jc w:val="both"/>
            <w:rPr>
              <w:rFonts w:cs="Times New Roman"/>
              <w:snapToGrid w:val="0"/>
              <w:color w:val="000000"/>
              <w:lang w:val="en-GB"/>
            </w:rPr>
          </w:pPr>
          <w:r>
            <w:rPr>
              <w:rFonts w:cs="Times New Roman" w:hint="eastAsia"/>
              <w:snapToGrid w:val="0"/>
              <w:color w:val="000000"/>
              <w:lang w:val="en-GB"/>
            </w:rPr>
            <w:t>兖煤保险股份有限公司系本公司之子公司澳洲公司拥有的全资子公司，成立于2022年11月8日，注册资本19,000,000澳元。由于难以购买保险以及集团保险单的保费增加，集团在根西岛设立了一家完全自有的专属自保险公司，自行为集团的移动厂房和设备提供保险。这将是本年内的一宗新交易。公司已在年底前支付了1,900万澳元注资。除注资外，母公司兖煤澳大利亚有限公司还向保险实体提供了740万澳元的担保。</w:t>
          </w:r>
        </w:p>
        <w:p w14:paraId="5485285A" w14:textId="77777777" w:rsidR="007E7472" w:rsidRDefault="00EC1269" w:rsidP="00162493">
          <w:pPr>
            <w:widowControl w:val="0"/>
            <w:numPr>
              <w:ilvl w:val="0"/>
              <w:numId w:val="104"/>
            </w:numPr>
            <w:tabs>
              <w:tab w:val="left" w:pos="567"/>
            </w:tabs>
            <w:spacing w:beforeLines="50" w:before="120" w:afterLines="50" w:after="120" w:line="360" w:lineRule="exact"/>
            <w:ind w:left="862"/>
            <w:jc w:val="both"/>
            <w:rPr>
              <w:rFonts w:cs="Times New Roman"/>
              <w:snapToGrid w:val="0"/>
              <w:color w:val="000000"/>
            </w:rPr>
          </w:pPr>
          <w:r>
            <w:rPr>
              <w:rFonts w:cs="Times New Roman"/>
              <w:snapToGrid w:val="0"/>
              <w:color w:val="000000"/>
            </w:rPr>
            <w:t>兖煤国际（控股）有限公司</w:t>
          </w:r>
        </w:p>
        <w:p w14:paraId="1369EC53" w14:textId="77777777" w:rsidR="007E7472" w:rsidRDefault="00EC1269">
          <w:pPr>
            <w:tabs>
              <w:tab w:val="left" w:pos="426"/>
              <w:tab w:val="left" w:pos="800"/>
            </w:tabs>
            <w:spacing w:beforeLines="50" w:before="120" w:afterLines="50" w:after="120" w:line="340" w:lineRule="exact"/>
            <w:ind w:firstLineChars="200" w:firstLine="420"/>
            <w:jc w:val="both"/>
            <w:rPr>
              <w:rFonts w:cs="Times New Roman"/>
              <w:snapToGrid w:val="0"/>
              <w:color w:val="000000"/>
              <w:lang w:val="en-GB"/>
            </w:rPr>
          </w:pPr>
          <w:r>
            <w:rPr>
              <w:rFonts w:cs="Times New Roman"/>
              <w:snapToGrid w:val="0"/>
              <w:color w:val="000000"/>
              <w:lang w:val="en-GB"/>
            </w:rPr>
            <w:t>兖煤国际（控股）有限公司（以下简称“香港公司”）系本公司全资子公司，成立于2011年7月13日，注册资本280万美元。</w:t>
          </w:r>
          <w:r>
            <w:rPr>
              <w:rFonts w:cs="Times New Roman" w:hint="eastAsia"/>
              <w:snapToGrid w:val="0"/>
              <w:color w:val="000000"/>
              <w:lang w:val="en-GB"/>
            </w:rPr>
            <w:t>2014年6月，本公司将应收香港公司款项419,460万元人</w:t>
          </w:r>
          <w:r>
            <w:rPr>
              <w:rFonts w:cs="Times New Roman" w:hint="eastAsia"/>
              <w:snapToGrid w:val="0"/>
              <w:color w:val="000000"/>
              <w:lang w:val="en-GB"/>
            </w:rPr>
            <w:lastRenderedPageBreak/>
            <w:t>民币作为对其的增资，香港公司的注册资本增加至68,931万美元。</w:t>
          </w:r>
          <w:r>
            <w:rPr>
              <w:rFonts w:cs="Times New Roman"/>
              <w:snapToGrid w:val="0"/>
              <w:color w:val="000000"/>
              <w:lang w:val="en-GB"/>
            </w:rPr>
            <w:t>香港公司注册登记号为58665579-000-07-20-9，主要从事对外投资、矿山技术开发、转让与咨询服务和进出口贸易等。</w:t>
          </w:r>
        </w:p>
        <w:p w14:paraId="619BE7A5" w14:textId="77777777" w:rsidR="007E7472" w:rsidRDefault="00EC1269">
          <w:pPr>
            <w:tabs>
              <w:tab w:val="left" w:pos="426"/>
              <w:tab w:val="left" w:pos="800"/>
            </w:tabs>
            <w:spacing w:beforeLines="50" w:before="120" w:afterLines="50" w:after="120" w:line="360" w:lineRule="exact"/>
            <w:ind w:firstLineChars="200" w:firstLine="420"/>
            <w:jc w:val="both"/>
            <w:rPr>
              <w:rFonts w:cs="Times New Roman"/>
              <w:snapToGrid w:val="0"/>
              <w:color w:val="000000"/>
              <w:lang w:val="en-GB"/>
            </w:rPr>
          </w:pPr>
          <w:r>
            <w:rPr>
              <w:rFonts w:cs="Times New Roman"/>
              <w:snapToGrid w:val="0"/>
              <w:color w:val="000000"/>
              <w:lang w:val="en-GB"/>
            </w:rPr>
            <w:t>香港公司</w:t>
          </w:r>
          <w:r>
            <w:rPr>
              <w:rFonts w:cs="Times New Roman" w:hint="eastAsia"/>
              <w:snapToGrid w:val="0"/>
              <w:color w:val="000000"/>
              <w:lang w:val="en-GB"/>
            </w:rPr>
            <w:t>主要</w:t>
          </w:r>
          <w:r>
            <w:rPr>
              <w:rFonts w:cs="Times New Roman"/>
              <w:snapToGrid w:val="0"/>
              <w:color w:val="000000"/>
              <w:lang w:val="en-GB"/>
            </w:rPr>
            <w:t>控股子公司如下：</w:t>
          </w:r>
        </w:p>
        <w:tbl>
          <w:tblPr>
            <w:tblStyle w:val="g4"/>
            <w:tblW w:w="5000" w:type="pct"/>
            <w:tblBorders>
              <w:top w:val="double" w:sz="4" w:space="0" w:color="auto"/>
              <w:bottom w:val="double" w:sz="4" w:space="0" w:color="auto"/>
              <w:insideH w:val="single" w:sz="2" w:space="0" w:color="auto"/>
              <w:insideV w:val="single" w:sz="2" w:space="0" w:color="auto"/>
            </w:tblBorders>
            <w:tblLayout w:type="fixed"/>
            <w:tblLook w:val="04A0" w:firstRow="1" w:lastRow="0" w:firstColumn="1" w:lastColumn="0" w:noHBand="0" w:noVBand="1"/>
          </w:tblPr>
          <w:tblGrid>
            <w:gridCol w:w="2983"/>
            <w:gridCol w:w="1024"/>
            <w:gridCol w:w="1546"/>
            <w:gridCol w:w="2448"/>
            <w:gridCol w:w="832"/>
          </w:tblGrid>
          <w:tr w:rsidR="007E7472" w14:paraId="460FFF7F" w14:textId="77777777">
            <w:trPr>
              <w:trHeight w:val="397"/>
              <w:tblHeader/>
            </w:trPr>
            <w:tc>
              <w:tcPr>
                <w:tcW w:w="2873" w:type="dxa"/>
                <w:vAlign w:val="center"/>
              </w:tcPr>
              <w:p w14:paraId="35128753" w14:textId="77777777" w:rsidR="007E7472" w:rsidRDefault="00EC1269">
                <w:pPr>
                  <w:rPr>
                    <w:rFonts w:cs="Times New Roman"/>
                    <w:b/>
                    <w:snapToGrid w:val="0"/>
                    <w:spacing w:val="-30"/>
                  </w:rPr>
                </w:pPr>
                <w:r>
                  <w:rPr>
                    <w:rFonts w:cs="Times New Roman"/>
                    <w:b/>
                    <w:snapToGrid w:val="0"/>
                    <w:spacing w:val="-30"/>
                  </w:rPr>
                  <w:t>公司名称</w:t>
                </w:r>
              </w:p>
            </w:tc>
            <w:tc>
              <w:tcPr>
                <w:tcW w:w="986" w:type="dxa"/>
                <w:vAlign w:val="center"/>
              </w:tcPr>
              <w:p w14:paraId="22DE4196" w14:textId="77777777" w:rsidR="007E7472" w:rsidRDefault="00EC1269">
                <w:pPr>
                  <w:jc w:val="center"/>
                  <w:rPr>
                    <w:rFonts w:cs="Times New Roman"/>
                    <w:b/>
                    <w:snapToGrid w:val="0"/>
                    <w:spacing w:val="-30"/>
                  </w:rPr>
                </w:pPr>
                <w:r>
                  <w:rPr>
                    <w:rFonts w:cs="Times New Roman"/>
                    <w:b/>
                    <w:snapToGrid w:val="0"/>
                    <w:spacing w:val="-30"/>
                  </w:rPr>
                  <w:t>注册地</w:t>
                </w:r>
              </w:p>
            </w:tc>
            <w:tc>
              <w:tcPr>
                <w:tcW w:w="1489" w:type="dxa"/>
                <w:vAlign w:val="center"/>
              </w:tcPr>
              <w:p w14:paraId="4386E771" w14:textId="77777777" w:rsidR="007E7472" w:rsidRDefault="00EC1269">
                <w:pPr>
                  <w:jc w:val="center"/>
                  <w:rPr>
                    <w:rFonts w:cs="Times New Roman"/>
                    <w:b/>
                    <w:snapToGrid w:val="0"/>
                    <w:spacing w:val="-30"/>
                  </w:rPr>
                </w:pPr>
                <w:r>
                  <w:rPr>
                    <w:rFonts w:cs="Times New Roman"/>
                    <w:b/>
                    <w:snapToGrid w:val="0"/>
                    <w:spacing w:val="-30"/>
                  </w:rPr>
                  <w:t>注册资本</w:t>
                </w:r>
              </w:p>
            </w:tc>
            <w:tc>
              <w:tcPr>
                <w:tcW w:w="2358" w:type="dxa"/>
                <w:vAlign w:val="center"/>
              </w:tcPr>
              <w:p w14:paraId="2969ACA0" w14:textId="77777777" w:rsidR="007E7472" w:rsidRDefault="00EC1269">
                <w:pPr>
                  <w:jc w:val="center"/>
                  <w:rPr>
                    <w:rFonts w:cs="Times New Roman"/>
                    <w:b/>
                    <w:snapToGrid w:val="0"/>
                    <w:spacing w:val="-30"/>
                  </w:rPr>
                </w:pPr>
                <w:r>
                  <w:rPr>
                    <w:rFonts w:cs="Times New Roman"/>
                    <w:b/>
                    <w:snapToGrid w:val="0"/>
                    <w:spacing w:val="-30"/>
                  </w:rPr>
                  <w:t>经营范围</w:t>
                </w:r>
              </w:p>
            </w:tc>
            <w:tc>
              <w:tcPr>
                <w:tcW w:w="801" w:type="dxa"/>
                <w:vAlign w:val="center"/>
              </w:tcPr>
              <w:p w14:paraId="5610300B" w14:textId="77777777" w:rsidR="007E7472" w:rsidRDefault="00EC1269">
                <w:pPr>
                  <w:jc w:val="center"/>
                  <w:rPr>
                    <w:rFonts w:cs="Times New Roman"/>
                    <w:b/>
                    <w:snapToGrid w:val="0"/>
                    <w:spacing w:val="-30"/>
                  </w:rPr>
                </w:pPr>
                <w:r>
                  <w:rPr>
                    <w:rFonts w:cs="Times New Roman"/>
                    <w:b/>
                    <w:snapToGrid w:val="0"/>
                    <w:spacing w:val="-30"/>
                  </w:rPr>
                  <w:t>持股比例(%)</w:t>
                </w:r>
              </w:p>
            </w:tc>
          </w:tr>
          <w:tr w:rsidR="007E7472" w14:paraId="1AF6D4D5" w14:textId="77777777">
            <w:trPr>
              <w:trHeight w:val="397"/>
            </w:trPr>
            <w:tc>
              <w:tcPr>
                <w:tcW w:w="2873" w:type="dxa"/>
                <w:vAlign w:val="center"/>
              </w:tcPr>
              <w:p w14:paraId="6EC97B62" w14:textId="77777777" w:rsidR="007E7472" w:rsidRDefault="00EC1269">
                <w:pPr>
                  <w:widowControl w:val="0"/>
                  <w:tabs>
                    <w:tab w:val="left" w:pos="122"/>
                    <w:tab w:val="left" w:pos="288"/>
                  </w:tabs>
                  <w:jc w:val="both"/>
                  <w:rPr>
                    <w:rFonts w:cs="Times New Roman"/>
                    <w:spacing w:val="-30"/>
                  </w:rPr>
                </w:pPr>
                <w:r>
                  <w:rPr>
                    <w:rFonts w:cs="Times New Roman"/>
                    <w:spacing w:val="-30"/>
                  </w:rPr>
                  <w:t>兖煤国际技术开发有限公司</w:t>
                </w:r>
              </w:p>
            </w:tc>
            <w:tc>
              <w:tcPr>
                <w:tcW w:w="986" w:type="dxa"/>
                <w:vAlign w:val="center"/>
              </w:tcPr>
              <w:p w14:paraId="428F4D0C" w14:textId="77777777" w:rsidR="007E7472" w:rsidRDefault="00EC1269">
                <w:pPr>
                  <w:jc w:val="center"/>
                  <w:rPr>
                    <w:rFonts w:cs="Times New Roman"/>
                    <w:snapToGrid w:val="0"/>
                    <w:color w:val="000000"/>
                    <w:spacing w:val="-30"/>
                    <w:position w:val="-6"/>
                    <w:lang w:val="en-GB"/>
                  </w:rPr>
                </w:pPr>
                <w:r>
                  <w:rPr>
                    <w:rFonts w:cs="Times New Roman"/>
                    <w:snapToGrid w:val="0"/>
                    <w:color w:val="000000"/>
                    <w:spacing w:val="-30"/>
                    <w:position w:val="-6"/>
                    <w:lang w:val="en-GB"/>
                  </w:rPr>
                  <w:t>香港</w:t>
                </w:r>
              </w:p>
            </w:tc>
            <w:tc>
              <w:tcPr>
                <w:tcW w:w="1489" w:type="dxa"/>
                <w:vAlign w:val="center"/>
              </w:tcPr>
              <w:p w14:paraId="0E8B9550" w14:textId="77777777" w:rsidR="007E7472" w:rsidRDefault="00EC1269">
                <w:pPr>
                  <w:jc w:val="right"/>
                  <w:rPr>
                    <w:rFonts w:cs="Times New Roman"/>
                    <w:snapToGrid w:val="0"/>
                    <w:color w:val="000000"/>
                    <w:spacing w:val="-30"/>
                    <w:lang w:val="en-GB"/>
                  </w:rPr>
                </w:pPr>
                <w:r>
                  <w:rPr>
                    <w:rFonts w:cs="Times New Roman"/>
                    <w:snapToGrid w:val="0"/>
                    <w:color w:val="000000"/>
                    <w:spacing w:val="-30"/>
                    <w:lang w:val="en-GB"/>
                  </w:rPr>
                  <w:t>100万美元</w:t>
                </w:r>
              </w:p>
            </w:tc>
            <w:tc>
              <w:tcPr>
                <w:tcW w:w="2358" w:type="dxa"/>
                <w:vAlign w:val="center"/>
              </w:tcPr>
              <w:p w14:paraId="1BEBCA46" w14:textId="77777777" w:rsidR="007E7472" w:rsidRDefault="00EC1269">
                <w:pPr>
                  <w:jc w:val="both"/>
                  <w:rPr>
                    <w:rFonts w:cs="Times New Roman"/>
                    <w:snapToGrid w:val="0"/>
                    <w:color w:val="000000"/>
                    <w:spacing w:val="-30"/>
                    <w:lang w:val="en-GB"/>
                  </w:rPr>
                </w:pPr>
                <w:r>
                  <w:rPr>
                    <w:rFonts w:cs="Times New Roman"/>
                    <w:snapToGrid w:val="0"/>
                    <w:color w:val="000000"/>
                    <w:spacing w:val="-30"/>
                    <w:lang w:val="en-GB"/>
                  </w:rPr>
                  <w:t>从事矿山开采技术的开发、转让与咨询服务</w:t>
                </w:r>
              </w:p>
            </w:tc>
            <w:tc>
              <w:tcPr>
                <w:tcW w:w="801" w:type="dxa"/>
                <w:vAlign w:val="center"/>
              </w:tcPr>
              <w:p w14:paraId="3FBB9959" w14:textId="77777777" w:rsidR="007E7472" w:rsidRDefault="00EC1269">
                <w:pPr>
                  <w:jc w:val="center"/>
                  <w:rPr>
                    <w:rFonts w:cs="Times New Roman"/>
                    <w:snapToGrid w:val="0"/>
                    <w:color w:val="000000"/>
                    <w:spacing w:val="-30"/>
                    <w:lang w:val="en-GB"/>
                  </w:rPr>
                </w:pPr>
                <w:r>
                  <w:rPr>
                    <w:rFonts w:cs="Times New Roman"/>
                    <w:snapToGrid w:val="0"/>
                    <w:color w:val="000000"/>
                    <w:spacing w:val="-30"/>
                    <w:lang w:val="en-GB"/>
                  </w:rPr>
                  <w:t>100</w:t>
                </w:r>
              </w:p>
            </w:tc>
          </w:tr>
          <w:tr w:rsidR="007E7472" w14:paraId="49ECE9D3" w14:textId="77777777">
            <w:trPr>
              <w:trHeight w:val="397"/>
            </w:trPr>
            <w:tc>
              <w:tcPr>
                <w:tcW w:w="2873" w:type="dxa"/>
                <w:vAlign w:val="center"/>
              </w:tcPr>
              <w:p w14:paraId="0A4FBFA1" w14:textId="77777777" w:rsidR="007E7472" w:rsidRDefault="00EC1269">
                <w:pPr>
                  <w:widowControl w:val="0"/>
                  <w:tabs>
                    <w:tab w:val="left" w:pos="122"/>
                    <w:tab w:val="left" w:pos="288"/>
                  </w:tabs>
                  <w:jc w:val="both"/>
                  <w:rPr>
                    <w:rFonts w:cs="Times New Roman"/>
                    <w:color w:val="000000"/>
                    <w:spacing w:val="-30"/>
                  </w:rPr>
                </w:pPr>
                <w:r>
                  <w:rPr>
                    <w:rFonts w:cs="Times New Roman"/>
                    <w:spacing w:val="-30"/>
                  </w:rPr>
                  <w:t>兖煤国际资源开发有限公司</w:t>
                </w:r>
              </w:p>
            </w:tc>
            <w:tc>
              <w:tcPr>
                <w:tcW w:w="986" w:type="dxa"/>
                <w:vAlign w:val="center"/>
              </w:tcPr>
              <w:p w14:paraId="30774B92" w14:textId="77777777" w:rsidR="007E7472" w:rsidRDefault="00EC1269">
                <w:pPr>
                  <w:jc w:val="center"/>
                  <w:rPr>
                    <w:rFonts w:cs="Times New Roman"/>
                    <w:snapToGrid w:val="0"/>
                    <w:color w:val="000000"/>
                    <w:spacing w:val="-30"/>
                    <w:position w:val="-6"/>
                    <w:lang w:val="en-GB"/>
                  </w:rPr>
                </w:pPr>
                <w:r>
                  <w:rPr>
                    <w:rFonts w:cs="Times New Roman"/>
                    <w:snapToGrid w:val="0"/>
                    <w:color w:val="000000"/>
                    <w:spacing w:val="-30"/>
                    <w:position w:val="-6"/>
                    <w:lang w:val="en-GB"/>
                  </w:rPr>
                  <w:t>香港</w:t>
                </w:r>
              </w:p>
            </w:tc>
            <w:tc>
              <w:tcPr>
                <w:tcW w:w="1489" w:type="dxa"/>
                <w:vAlign w:val="center"/>
              </w:tcPr>
              <w:p w14:paraId="6B9AEFD6" w14:textId="77777777" w:rsidR="007E7472" w:rsidRDefault="00EC1269">
                <w:pPr>
                  <w:jc w:val="right"/>
                  <w:rPr>
                    <w:rFonts w:cs="Times New Roman"/>
                    <w:snapToGrid w:val="0"/>
                    <w:color w:val="000000"/>
                    <w:spacing w:val="-30"/>
                    <w:lang w:val="en-GB"/>
                  </w:rPr>
                </w:pPr>
                <w:r>
                  <w:rPr>
                    <w:rFonts w:cs="Times New Roman"/>
                    <w:bCs/>
                    <w:color w:val="000000"/>
                    <w:spacing w:val="-30"/>
                  </w:rPr>
                  <w:t>60万</w:t>
                </w:r>
                <w:r>
                  <w:rPr>
                    <w:rFonts w:cs="Times New Roman"/>
                    <w:snapToGrid w:val="0"/>
                    <w:color w:val="000000"/>
                    <w:spacing w:val="-30"/>
                    <w:lang w:val="en-GB"/>
                  </w:rPr>
                  <w:t>美元</w:t>
                </w:r>
              </w:p>
            </w:tc>
            <w:tc>
              <w:tcPr>
                <w:tcW w:w="2358" w:type="dxa"/>
                <w:vAlign w:val="center"/>
              </w:tcPr>
              <w:p w14:paraId="31EFCFBE" w14:textId="77777777" w:rsidR="007E7472" w:rsidRDefault="00EC1269">
                <w:pPr>
                  <w:jc w:val="both"/>
                  <w:rPr>
                    <w:rFonts w:cs="Times New Roman"/>
                    <w:snapToGrid w:val="0"/>
                    <w:color w:val="000000"/>
                    <w:spacing w:val="-30"/>
                    <w:lang w:val="en-GB"/>
                  </w:rPr>
                </w:pPr>
                <w:r>
                  <w:rPr>
                    <w:rFonts w:cs="Times New Roman"/>
                    <w:bCs/>
                    <w:color w:val="000000"/>
                    <w:spacing w:val="-30"/>
                  </w:rPr>
                  <w:t>从事矿产资源的勘探开发</w:t>
                </w:r>
              </w:p>
            </w:tc>
            <w:tc>
              <w:tcPr>
                <w:tcW w:w="801" w:type="dxa"/>
                <w:vAlign w:val="center"/>
              </w:tcPr>
              <w:p w14:paraId="58016E2F" w14:textId="77777777" w:rsidR="007E7472" w:rsidRDefault="00EC1269">
                <w:pPr>
                  <w:jc w:val="center"/>
                  <w:rPr>
                    <w:rFonts w:cs="Times New Roman"/>
                    <w:snapToGrid w:val="0"/>
                    <w:color w:val="000000"/>
                    <w:spacing w:val="-30"/>
                    <w:lang w:val="en-GB"/>
                  </w:rPr>
                </w:pPr>
                <w:r>
                  <w:rPr>
                    <w:rFonts w:cs="Times New Roman"/>
                    <w:snapToGrid w:val="0"/>
                    <w:color w:val="000000"/>
                    <w:spacing w:val="-30"/>
                    <w:lang w:val="en-GB"/>
                  </w:rPr>
                  <w:t>100</w:t>
                </w:r>
              </w:p>
            </w:tc>
          </w:tr>
          <w:tr w:rsidR="007E7472" w14:paraId="3685E7D6" w14:textId="77777777">
            <w:trPr>
              <w:trHeight w:val="397"/>
            </w:trPr>
            <w:tc>
              <w:tcPr>
                <w:tcW w:w="2873" w:type="dxa"/>
                <w:vAlign w:val="center"/>
              </w:tcPr>
              <w:p w14:paraId="20D31AF2" w14:textId="77777777" w:rsidR="007E7472" w:rsidRDefault="00EC1269">
                <w:pPr>
                  <w:jc w:val="both"/>
                  <w:rPr>
                    <w:rFonts w:cs="Times New Roman"/>
                    <w:snapToGrid w:val="0"/>
                    <w:color w:val="000000"/>
                    <w:spacing w:val="-30"/>
                    <w:lang w:val="en-GB"/>
                  </w:rPr>
                </w:pPr>
                <w:r>
                  <w:rPr>
                    <w:rFonts w:cs="Times New Roman"/>
                    <w:snapToGrid w:val="0"/>
                    <w:color w:val="000000"/>
                    <w:spacing w:val="-30"/>
                    <w:lang w:val="en-GB"/>
                  </w:rPr>
                  <w:t>兖煤卢森堡资源有限公司</w:t>
                </w:r>
              </w:p>
            </w:tc>
            <w:tc>
              <w:tcPr>
                <w:tcW w:w="986" w:type="dxa"/>
                <w:vAlign w:val="center"/>
              </w:tcPr>
              <w:p w14:paraId="5DBD80D7" w14:textId="77777777" w:rsidR="007E7472" w:rsidRDefault="00EC1269">
                <w:pPr>
                  <w:jc w:val="center"/>
                  <w:rPr>
                    <w:rFonts w:cs="Times New Roman"/>
                    <w:snapToGrid w:val="0"/>
                    <w:color w:val="000000"/>
                    <w:spacing w:val="-30"/>
                    <w:position w:val="-6"/>
                    <w:lang w:val="en-GB"/>
                  </w:rPr>
                </w:pPr>
                <w:r>
                  <w:rPr>
                    <w:rFonts w:cs="Times New Roman"/>
                    <w:snapToGrid w:val="0"/>
                    <w:color w:val="000000"/>
                    <w:spacing w:val="-30"/>
                    <w:position w:val="-6"/>
                    <w:lang w:val="en-GB"/>
                  </w:rPr>
                  <w:t>卢森堡</w:t>
                </w:r>
              </w:p>
            </w:tc>
            <w:tc>
              <w:tcPr>
                <w:tcW w:w="1489" w:type="dxa"/>
                <w:vAlign w:val="center"/>
              </w:tcPr>
              <w:p w14:paraId="4A04AA85" w14:textId="77777777" w:rsidR="007E7472" w:rsidRDefault="00EC1269">
                <w:pPr>
                  <w:jc w:val="right"/>
                  <w:rPr>
                    <w:rFonts w:cs="Times New Roman"/>
                    <w:snapToGrid w:val="0"/>
                    <w:color w:val="000000"/>
                    <w:spacing w:val="-30"/>
                    <w:lang w:val="en-GB"/>
                  </w:rPr>
                </w:pPr>
                <w:r>
                  <w:rPr>
                    <w:rFonts w:cs="Times New Roman"/>
                    <w:bCs/>
                    <w:color w:val="000000"/>
                    <w:spacing w:val="-30"/>
                  </w:rPr>
                  <w:t>50万</w:t>
                </w:r>
                <w:r>
                  <w:rPr>
                    <w:rFonts w:cs="Times New Roman"/>
                    <w:snapToGrid w:val="0"/>
                    <w:color w:val="000000"/>
                    <w:spacing w:val="-30"/>
                    <w:lang w:val="en-GB"/>
                  </w:rPr>
                  <w:t>美元</w:t>
                </w:r>
              </w:p>
            </w:tc>
            <w:tc>
              <w:tcPr>
                <w:tcW w:w="2358" w:type="dxa"/>
                <w:vAlign w:val="center"/>
              </w:tcPr>
              <w:p w14:paraId="300E982B" w14:textId="77777777" w:rsidR="007E7472" w:rsidRDefault="00EC1269">
                <w:pPr>
                  <w:jc w:val="both"/>
                  <w:rPr>
                    <w:rFonts w:cs="Times New Roman"/>
                    <w:snapToGrid w:val="0"/>
                    <w:color w:val="000000"/>
                    <w:spacing w:val="-30"/>
                    <w:lang w:val="en-GB"/>
                  </w:rPr>
                </w:pPr>
                <w:r>
                  <w:rPr>
                    <w:rFonts w:cs="Times New Roman"/>
                    <w:bCs/>
                    <w:color w:val="000000"/>
                    <w:spacing w:val="-30"/>
                  </w:rPr>
                  <w:t>从事对外投资等</w:t>
                </w:r>
              </w:p>
            </w:tc>
            <w:tc>
              <w:tcPr>
                <w:tcW w:w="801" w:type="dxa"/>
                <w:vAlign w:val="center"/>
              </w:tcPr>
              <w:p w14:paraId="3AF07A05" w14:textId="77777777" w:rsidR="007E7472" w:rsidRDefault="00EC1269">
                <w:pPr>
                  <w:jc w:val="center"/>
                  <w:rPr>
                    <w:rFonts w:cs="Times New Roman"/>
                    <w:snapToGrid w:val="0"/>
                    <w:color w:val="000000"/>
                    <w:spacing w:val="-30"/>
                    <w:lang w:val="en-GB" w:eastAsia="en-US"/>
                  </w:rPr>
                </w:pPr>
                <w:r>
                  <w:rPr>
                    <w:rFonts w:cs="Times New Roman"/>
                    <w:snapToGrid w:val="0"/>
                    <w:color w:val="000000"/>
                    <w:spacing w:val="-30"/>
                    <w:lang w:val="en-GB"/>
                  </w:rPr>
                  <w:t>100</w:t>
                </w:r>
              </w:p>
            </w:tc>
          </w:tr>
          <w:tr w:rsidR="007E7472" w14:paraId="178543C7" w14:textId="77777777">
            <w:trPr>
              <w:trHeight w:val="397"/>
            </w:trPr>
            <w:tc>
              <w:tcPr>
                <w:tcW w:w="2873" w:type="dxa"/>
                <w:vAlign w:val="center"/>
              </w:tcPr>
              <w:p w14:paraId="4A1BC44C" w14:textId="77777777" w:rsidR="007E7472" w:rsidRDefault="00EC1269">
                <w:pPr>
                  <w:jc w:val="both"/>
                  <w:rPr>
                    <w:rFonts w:cs="Times New Roman"/>
                    <w:snapToGrid w:val="0"/>
                    <w:color w:val="000000"/>
                    <w:spacing w:val="-30"/>
                    <w:lang w:val="en-GB"/>
                  </w:rPr>
                </w:pPr>
                <w:r>
                  <w:rPr>
                    <w:rFonts w:cs="Times New Roman"/>
                    <w:snapToGrid w:val="0"/>
                    <w:color w:val="000000"/>
                    <w:spacing w:val="-30"/>
                    <w:lang w:val="en-GB"/>
                  </w:rPr>
                  <w:t>兖煤加拿大资源有限公司</w:t>
                </w:r>
              </w:p>
            </w:tc>
            <w:tc>
              <w:tcPr>
                <w:tcW w:w="986" w:type="dxa"/>
                <w:vAlign w:val="center"/>
              </w:tcPr>
              <w:p w14:paraId="2646835C" w14:textId="77777777" w:rsidR="007E7472" w:rsidRDefault="00EC1269">
                <w:pPr>
                  <w:jc w:val="center"/>
                  <w:rPr>
                    <w:rFonts w:cs="Times New Roman"/>
                    <w:snapToGrid w:val="0"/>
                    <w:color w:val="000000"/>
                    <w:spacing w:val="-30"/>
                    <w:position w:val="-6"/>
                    <w:lang w:val="en-GB"/>
                  </w:rPr>
                </w:pPr>
                <w:r>
                  <w:rPr>
                    <w:rFonts w:cs="Times New Roman"/>
                    <w:snapToGrid w:val="0"/>
                    <w:color w:val="000000"/>
                    <w:spacing w:val="-30"/>
                    <w:position w:val="-6"/>
                    <w:lang w:val="en-GB"/>
                  </w:rPr>
                  <w:t>加拿大</w:t>
                </w:r>
              </w:p>
            </w:tc>
            <w:tc>
              <w:tcPr>
                <w:tcW w:w="1489" w:type="dxa"/>
                <w:vAlign w:val="center"/>
              </w:tcPr>
              <w:p w14:paraId="7A2A1B89" w14:textId="77777777" w:rsidR="007E7472" w:rsidRDefault="00EC1269">
                <w:pPr>
                  <w:jc w:val="right"/>
                  <w:rPr>
                    <w:rFonts w:cs="Times New Roman"/>
                    <w:bCs/>
                    <w:color w:val="000000"/>
                    <w:spacing w:val="-30"/>
                  </w:rPr>
                </w:pPr>
                <w:r>
                  <w:rPr>
                    <w:rFonts w:cs="Times New Roman"/>
                    <w:bCs/>
                    <w:color w:val="000000"/>
                    <w:spacing w:val="-30"/>
                  </w:rPr>
                  <w:t>29,000万</w:t>
                </w:r>
                <w:r>
                  <w:rPr>
                    <w:rFonts w:cs="Times New Roman"/>
                    <w:snapToGrid w:val="0"/>
                    <w:color w:val="000000"/>
                    <w:spacing w:val="-30"/>
                    <w:lang w:val="en-GB"/>
                  </w:rPr>
                  <w:t>美元</w:t>
                </w:r>
              </w:p>
            </w:tc>
            <w:tc>
              <w:tcPr>
                <w:tcW w:w="2358" w:type="dxa"/>
                <w:vAlign w:val="center"/>
              </w:tcPr>
              <w:p w14:paraId="3C6F6309" w14:textId="77777777" w:rsidR="007E7472" w:rsidRDefault="00EC1269">
                <w:pPr>
                  <w:jc w:val="both"/>
                  <w:rPr>
                    <w:rFonts w:cs="Times New Roman"/>
                    <w:snapToGrid w:val="0"/>
                    <w:color w:val="000000"/>
                    <w:spacing w:val="-30"/>
                    <w:lang w:val="en-GB"/>
                  </w:rPr>
                </w:pPr>
                <w:r>
                  <w:rPr>
                    <w:rFonts w:cs="Times New Roman"/>
                    <w:snapToGrid w:val="0"/>
                    <w:color w:val="000000"/>
                    <w:spacing w:val="-30"/>
                    <w:lang w:val="en-GB"/>
                  </w:rPr>
                  <w:t>从事矿产资源开采与销售</w:t>
                </w:r>
              </w:p>
            </w:tc>
            <w:tc>
              <w:tcPr>
                <w:tcW w:w="801" w:type="dxa"/>
                <w:vAlign w:val="center"/>
              </w:tcPr>
              <w:p w14:paraId="18372B4F" w14:textId="77777777" w:rsidR="007E7472" w:rsidRDefault="00EC1269">
                <w:pPr>
                  <w:jc w:val="center"/>
                  <w:rPr>
                    <w:rFonts w:cs="Times New Roman"/>
                    <w:snapToGrid w:val="0"/>
                    <w:color w:val="000000"/>
                    <w:spacing w:val="-30"/>
                    <w:lang w:val="en-GB"/>
                  </w:rPr>
                </w:pPr>
                <w:r>
                  <w:rPr>
                    <w:rFonts w:cs="Times New Roman"/>
                    <w:snapToGrid w:val="0"/>
                    <w:color w:val="000000"/>
                    <w:spacing w:val="-30"/>
                    <w:lang w:val="en-GB"/>
                  </w:rPr>
                  <w:t>100</w:t>
                </w:r>
              </w:p>
            </w:tc>
          </w:tr>
          <w:tr w:rsidR="007E7472" w14:paraId="1775D437" w14:textId="77777777">
            <w:trPr>
              <w:trHeight w:val="397"/>
            </w:trPr>
            <w:tc>
              <w:tcPr>
                <w:tcW w:w="2873" w:type="dxa"/>
                <w:vAlign w:val="center"/>
              </w:tcPr>
              <w:p w14:paraId="6E85E71B" w14:textId="77777777" w:rsidR="007E7472" w:rsidRDefault="00EC1269">
                <w:pPr>
                  <w:ind w:rightChars="-53" w:right="-111"/>
                  <w:jc w:val="both"/>
                  <w:rPr>
                    <w:rFonts w:cs="Times New Roman"/>
                    <w:color w:val="000000"/>
                    <w:spacing w:val="-30"/>
                  </w:rPr>
                </w:pPr>
                <w:r>
                  <w:rPr>
                    <w:rFonts w:cs="Times New Roman"/>
                    <w:color w:val="000000"/>
                    <w:spacing w:val="-30"/>
                  </w:rPr>
                  <w:t>亚森纳（控股）有限公司</w:t>
                </w:r>
              </w:p>
            </w:tc>
            <w:tc>
              <w:tcPr>
                <w:tcW w:w="986" w:type="dxa"/>
                <w:vAlign w:val="center"/>
              </w:tcPr>
              <w:p w14:paraId="21FFF165" w14:textId="77777777" w:rsidR="007E7472" w:rsidRDefault="00EC1269">
                <w:pPr>
                  <w:jc w:val="center"/>
                  <w:rPr>
                    <w:rFonts w:cs="Times New Roman"/>
                    <w:snapToGrid w:val="0"/>
                    <w:color w:val="000000"/>
                    <w:spacing w:val="-30"/>
                    <w:position w:val="-6"/>
                    <w:lang w:val="en-GB"/>
                  </w:rPr>
                </w:pPr>
                <w:r>
                  <w:rPr>
                    <w:rFonts w:cs="Times New Roman" w:hint="eastAsia"/>
                    <w:snapToGrid w:val="0"/>
                    <w:color w:val="000000"/>
                    <w:spacing w:val="-30"/>
                    <w:position w:val="-6"/>
                    <w:lang w:val="en-GB"/>
                  </w:rPr>
                  <w:t>澳大利亚</w:t>
                </w:r>
              </w:p>
            </w:tc>
            <w:tc>
              <w:tcPr>
                <w:tcW w:w="1489" w:type="dxa"/>
                <w:vAlign w:val="center"/>
              </w:tcPr>
              <w:p w14:paraId="72DC6975" w14:textId="77777777" w:rsidR="007E7472" w:rsidRDefault="00EC1269">
                <w:pPr>
                  <w:jc w:val="right"/>
                  <w:rPr>
                    <w:rFonts w:cs="Times New Roman"/>
                    <w:bCs/>
                    <w:color w:val="000000"/>
                    <w:spacing w:val="-30"/>
                  </w:rPr>
                </w:pPr>
                <w:r>
                  <w:rPr>
                    <w:rFonts w:cs="Times New Roman" w:hint="eastAsia"/>
                    <w:bCs/>
                    <w:color w:val="000000"/>
                    <w:spacing w:val="-30"/>
                  </w:rPr>
                  <w:t>2,445万澳元</w:t>
                </w:r>
              </w:p>
            </w:tc>
            <w:tc>
              <w:tcPr>
                <w:tcW w:w="2358" w:type="dxa"/>
                <w:vAlign w:val="center"/>
              </w:tcPr>
              <w:p w14:paraId="0CC6AF6F" w14:textId="77777777" w:rsidR="007E7472" w:rsidRDefault="00EC1269">
                <w:pPr>
                  <w:jc w:val="both"/>
                  <w:rPr>
                    <w:rFonts w:cs="Times New Roman"/>
                    <w:snapToGrid w:val="0"/>
                    <w:color w:val="000000"/>
                    <w:spacing w:val="-30"/>
                  </w:rPr>
                </w:pPr>
                <w:r>
                  <w:rPr>
                    <w:rFonts w:cs="Times New Roman"/>
                    <w:snapToGrid w:val="0"/>
                    <w:color w:val="000000"/>
                    <w:spacing w:val="-30"/>
                    <w:lang w:eastAsia="en-US"/>
                  </w:rPr>
                  <w:t>控股公司</w:t>
                </w:r>
              </w:p>
            </w:tc>
            <w:tc>
              <w:tcPr>
                <w:tcW w:w="801" w:type="dxa"/>
                <w:vAlign w:val="center"/>
              </w:tcPr>
              <w:p w14:paraId="3D44E79A" w14:textId="77777777" w:rsidR="007E7472" w:rsidRDefault="00EC1269">
                <w:pPr>
                  <w:jc w:val="center"/>
                  <w:rPr>
                    <w:rFonts w:cs="Times New Roman"/>
                    <w:snapToGrid w:val="0"/>
                    <w:color w:val="000000"/>
                    <w:spacing w:val="-30"/>
                    <w:lang w:val="en-GB"/>
                  </w:rPr>
                </w:pPr>
                <w:r>
                  <w:rPr>
                    <w:rFonts w:cs="Times New Roman"/>
                    <w:snapToGrid w:val="0"/>
                    <w:color w:val="000000"/>
                    <w:spacing w:val="-30"/>
                    <w:lang w:val="en-GB"/>
                  </w:rPr>
                  <w:t>100</w:t>
                </w:r>
              </w:p>
            </w:tc>
          </w:tr>
          <w:tr w:rsidR="007E7472" w14:paraId="2EF3BA87" w14:textId="77777777">
            <w:trPr>
              <w:trHeight w:val="397"/>
            </w:trPr>
            <w:tc>
              <w:tcPr>
                <w:tcW w:w="2873" w:type="dxa"/>
                <w:vAlign w:val="center"/>
              </w:tcPr>
              <w:p w14:paraId="1E5B1095" w14:textId="77777777" w:rsidR="007E7472" w:rsidRDefault="00EC1269">
                <w:pPr>
                  <w:ind w:rightChars="-53" w:right="-111"/>
                  <w:jc w:val="both"/>
                  <w:rPr>
                    <w:rFonts w:cs="Times New Roman"/>
                    <w:color w:val="000000"/>
                    <w:spacing w:val="-30"/>
                  </w:rPr>
                </w:pPr>
                <w:r>
                  <w:rPr>
                    <w:rFonts w:cs="Times New Roman"/>
                    <w:color w:val="000000"/>
                    <w:spacing w:val="-30"/>
                  </w:rPr>
                  <w:t>汤佛（控股）有限公司</w:t>
                </w:r>
              </w:p>
            </w:tc>
            <w:tc>
              <w:tcPr>
                <w:tcW w:w="986" w:type="dxa"/>
                <w:vAlign w:val="center"/>
              </w:tcPr>
              <w:p w14:paraId="2697EC5D" w14:textId="77777777" w:rsidR="007E7472" w:rsidRDefault="00EC1269">
                <w:pPr>
                  <w:jc w:val="center"/>
                  <w:rPr>
                    <w:rFonts w:cs="Times New Roman"/>
                    <w:snapToGrid w:val="0"/>
                    <w:color w:val="000000"/>
                    <w:spacing w:val="-30"/>
                    <w:position w:val="-6"/>
                    <w:lang w:val="en-GB"/>
                  </w:rPr>
                </w:pPr>
                <w:r>
                  <w:rPr>
                    <w:rFonts w:cs="Times New Roman" w:hint="eastAsia"/>
                    <w:snapToGrid w:val="0"/>
                    <w:color w:val="000000"/>
                    <w:spacing w:val="-30"/>
                    <w:position w:val="-6"/>
                    <w:lang w:val="en-GB"/>
                  </w:rPr>
                  <w:t>澳大利亚</w:t>
                </w:r>
              </w:p>
            </w:tc>
            <w:tc>
              <w:tcPr>
                <w:tcW w:w="1489" w:type="dxa"/>
                <w:vAlign w:val="center"/>
              </w:tcPr>
              <w:p w14:paraId="2D536329" w14:textId="77777777" w:rsidR="007E7472" w:rsidRDefault="00EC1269">
                <w:pPr>
                  <w:jc w:val="right"/>
                  <w:rPr>
                    <w:rFonts w:cs="Times New Roman"/>
                    <w:bCs/>
                    <w:color w:val="000000"/>
                    <w:spacing w:val="-30"/>
                  </w:rPr>
                </w:pPr>
                <w:r>
                  <w:rPr>
                    <w:rFonts w:cs="Times New Roman" w:hint="eastAsia"/>
                    <w:bCs/>
                    <w:color w:val="000000"/>
                    <w:spacing w:val="-30"/>
                  </w:rPr>
                  <w:t>4,641万澳元</w:t>
                </w:r>
              </w:p>
            </w:tc>
            <w:tc>
              <w:tcPr>
                <w:tcW w:w="2358" w:type="dxa"/>
                <w:vAlign w:val="center"/>
              </w:tcPr>
              <w:p w14:paraId="730FD849" w14:textId="77777777" w:rsidR="007E7472" w:rsidRDefault="00EC1269">
                <w:pPr>
                  <w:jc w:val="both"/>
                  <w:rPr>
                    <w:rFonts w:cs="Times New Roman"/>
                    <w:snapToGrid w:val="0"/>
                    <w:color w:val="000000"/>
                    <w:spacing w:val="-30"/>
                  </w:rPr>
                </w:pPr>
                <w:r>
                  <w:rPr>
                    <w:rFonts w:cs="Times New Roman"/>
                    <w:snapToGrid w:val="0"/>
                    <w:color w:val="000000"/>
                    <w:spacing w:val="-30"/>
                    <w:lang w:eastAsia="en-US"/>
                  </w:rPr>
                  <w:t>控股公司</w:t>
                </w:r>
              </w:p>
            </w:tc>
            <w:tc>
              <w:tcPr>
                <w:tcW w:w="801" w:type="dxa"/>
                <w:vAlign w:val="center"/>
              </w:tcPr>
              <w:p w14:paraId="41E951CB" w14:textId="77777777" w:rsidR="007E7472" w:rsidRDefault="00EC1269">
                <w:pPr>
                  <w:jc w:val="center"/>
                  <w:rPr>
                    <w:rFonts w:cs="Times New Roman"/>
                    <w:snapToGrid w:val="0"/>
                    <w:color w:val="000000"/>
                    <w:spacing w:val="-30"/>
                    <w:lang w:val="en-GB"/>
                  </w:rPr>
                </w:pPr>
                <w:r>
                  <w:rPr>
                    <w:rFonts w:cs="Times New Roman"/>
                    <w:snapToGrid w:val="0"/>
                    <w:color w:val="000000"/>
                    <w:spacing w:val="-30"/>
                    <w:lang w:val="en-GB"/>
                  </w:rPr>
                  <w:t>100</w:t>
                </w:r>
              </w:p>
            </w:tc>
          </w:tr>
          <w:tr w:rsidR="007E7472" w14:paraId="65CBBD32" w14:textId="77777777">
            <w:trPr>
              <w:trHeight w:val="397"/>
            </w:trPr>
            <w:tc>
              <w:tcPr>
                <w:tcW w:w="2873" w:type="dxa"/>
                <w:vAlign w:val="center"/>
              </w:tcPr>
              <w:p w14:paraId="5747A874" w14:textId="77777777" w:rsidR="007E7472" w:rsidRDefault="00EC1269">
                <w:pPr>
                  <w:ind w:rightChars="-53" w:right="-111"/>
                  <w:jc w:val="both"/>
                  <w:rPr>
                    <w:rFonts w:cs="Times New Roman"/>
                    <w:color w:val="000000"/>
                    <w:spacing w:val="-30"/>
                  </w:rPr>
                </w:pPr>
                <w:r>
                  <w:rPr>
                    <w:rFonts w:cs="Times New Roman"/>
                    <w:color w:val="000000"/>
                    <w:spacing w:val="-30"/>
                  </w:rPr>
                  <w:t>维尔皮纳（控股）有限公司</w:t>
                </w:r>
              </w:p>
            </w:tc>
            <w:tc>
              <w:tcPr>
                <w:tcW w:w="986" w:type="dxa"/>
                <w:vAlign w:val="center"/>
              </w:tcPr>
              <w:p w14:paraId="73165B0E" w14:textId="77777777" w:rsidR="007E7472" w:rsidRDefault="00EC1269">
                <w:pPr>
                  <w:jc w:val="center"/>
                  <w:rPr>
                    <w:rFonts w:cs="Times New Roman"/>
                    <w:snapToGrid w:val="0"/>
                    <w:color w:val="000000"/>
                    <w:spacing w:val="-30"/>
                    <w:position w:val="-6"/>
                    <w:lang w:val="en-GB"/>
                  </w:rPr>
                </w:pPr>
                <w:r>
                  <w:rPr>
                    <w:rFonts w:cs="Times New Roman" w:hint="eastAsia"/>
                    <w:snapToGrid w:val="0"/>
                    <w:color w:val="000000"/>
                    <w:spacing w:val="-30"/>
                    <w:position w:val="-6"/>
                    <w:lang w:val="en-GB"/>
                  </w:rPr>
                  <w:t>澳大利亚</w:t>
                </w:r>
              </w:p>
            </w:tc>
            <w:tc>
              <w:tcPr>
                <w:tcW w:w="1489" w:type="dxa"/>
                <w:vAlign w:val="center"/>
              </w:tcPr>
              <w:p w14:paraId="3BB01E06" w14:textId="77777777" w:rsidR="007E7472" w:rsidRDefault="00EC1269">
                <w:pPr>
                  <w:jc w:val="right"/>
                  <w:rPr>
                    <w:rFonts w:cs="Times New Roman"/>
                    <w:bCs/>
                    <w:color w:val="000000"/>
                    <w:spacing w:val="-30"/>
                  </w:rPr>
                </w:pPr>
                <w:r>
                  <w:rPr>
                    <w:rFonts w:cs="Times New Roman" w:hint="eastAsia"/>
                    <w:bCs/>
                    <w:color w:val="000000"/>
                    <w:spacing w:val="-30"/>
                  </w:rPr>
                  <w:t>346</w:t>
                </w:r>
                <w:r>
                  <w:rPr>
                    <w:rFonts w:cs="Times New Roman"/>
                    <w:bCs/>
                    <w:color w:val="000000"/>
                    <w:spacing w:val="-30"/>
                  </w:rPr>
                  <w:t>万</w:t>
                </w:r>
                <w:r>
                  <w:rPr>
                    <w:rFonts w:cs="Times New Roman" w:hint="eastAsia"/>
                    <w:snapToGrid w:val="0"/>
                    <w:color w:val="000000"/>
                    <w:spacing w:val="-30"/>
                    <w:lang w:val="en-GB"/>
                  </w:rPr>
                  <w:t>澳</w:t>
                </w:r>
                <w:r>
                  <w:rPr>
                    <w:rFonts w:cs="Times New Roman"/>
                    <w:snapToGrid w:val="0"/>
                    <w:color w:val="000000"/>
                    <w:spacing w:val="-30"/>
                    <w:lang w:val="en-GB"/>
                  </w:rPr>
                  <w:t>元</w:t>
                </w:r>
              </w:p>
            </w:tc>
            <w:tc>
              <w:tcPr>
                <w:tcW w:w="2358" w:type="dxa"/>
                <w:vAlign w:val="center"/>
              </w:tcPr>
              <w:p w14:paraId="6E7CA26B" w14:textId="77777777" w:rsidR="007E7472" w:rsidRDefault="00EC1269">
                <w:pPr>
                  <w:jc w:val="both"/>
                  <w:rPr>
                    <w:rFonts w:cs="Times New Roman"/>
                    <w:snapToGrid w:val="0"/>
                    <w:color w:val="000000"/>
                    <w:spacing w:val="-30"/>
                  </w:rPr>
                </w:pPr>
                <w:r>
                  <w:rPr>
                    <w:rFonts w:cs="Times New Roman"/>
                    <w:snapToGrid w:val="0"/>
                    <w:color w:val="000000"/>
                    <w:spacing w:val="-30"/>
                    <w:lang w:eastAsia="en-US"/>
                  </w:rPr>
                  <w:t>控股公司</w:t>
                </w:r>
              </w:p>
            </w:tc>
            <w:tc>
              <w:tcPr>
                <w:tcW w:w="801" w:type="dxa"/>
                <w:vAlign w:val="center"/>
              </w:tcPr>
              <w:p w14:paraId="3E6FE5B2" w14:textId="77777777" w:rsidR="007E7472" w:rsidRDefault="00EC1269">
                <w:pPr>
                  <w:jc w:val="center"/>
                  <w:rPr>
                    <w:rFonts w:cs="Times New Roman"/>
                    <w:snapToGrid w:val="0"/>
                    <w:color w:val="000000"/>
                    <w:spacing w:val="-30"/>
                    <w:lang w:val="en-GB"/>
                  </w:rPr>
                </w:pPr>
                <w:r>
                  <w:rPr>
                    <w:rFonts w:cs="Times New Roman"/>
                    <w:snapToGrid w:val="0"/>
                    <w:color w:val="000000"/>
                    <w:spacing w:val="-30"/>
                    <w:lang w:val="en-GB"/>
                  </w:rPr>
                  <w:t>100</w:t>
                </w:r>
              </w:p>
            </w:tc>
          </w:tr>
          <w:tr w:rsidR="007E7472" w14:paraId="4DFECFBB" w14:textId="77777777">
            <w:trPr>
              <w:trHeight w:val="397"/>
            </w:trPr>
            <w:tc>
              <w:tcPr>
                <w:tcW w:w="2873" w:type="dxa"/>
                <w:vAlign w:val="center"/>
              </w:tcPr>
              <w:p w14:paraId="542617B5" w14:textId="77777777" w:rsidR="007E7472" w:rsidRDefault="00EC1269">
                <w:pPr>
                  <w:ind w:rightChars="-53" w:right="-111"/>
                  <w:jc w:val="both"/>
                  <w:rPr>
                    <w:rFonts w:cs="Times New Roman"/>
                    <w:color w:val="000000"/>
                    <w:spacing w:val="-30"/>
                  </w:rPr>
                </w:pPr>
                <w:r>
                  <w:rPr>
                    <w:rFonts w:cs="Times New Roman"/>
                    <w:color w:val="000000"/>
                    <w:spacing w:val="-30"/>
                  </w:rPr>
                  <w:t>普力马（控股）有限公司</w:t>
                </w:r>
              </w:p>
            </w:tc>
            <w:tc>
              <w:tcPr>
                <w:tcW w:w="986" w:type="dxa"/>
                <w:vAlign w:val="center"/>
              </w:tcPr>
              <w:p w14:paraId="54684DD9" w14:textId="77777777" w:rsidR="007E7472" w:rsidRDefault="00EC1269">
                <w:pPr>
                  <w:jc w:val="center"/>
                  <w:rPr>
                    <w:rFonts w:cs="Times New Roman"/>
                    <w:snapToGrid w:val="0"/>
                    <w:color w:val="000000"/>
                    <w:spacing w:val="-30"/>
                    <w:position w:val="-6"/>
                    <w:lang w:val="en-GB"/>
                  </w:rPr>
                </w:pPr>
                <w:r>
                  <w:rPr>
                    <w:rFonts w:cs="Times New Roman" w:hint="eastAsia"/>
                    <w:snapToGrid w:val="0"/>
                    <w:color w:val="000000"/>
                    <w:spacing w:val="-30"/>
                    <w:position w:val="-6"/>
                    <w:lang w:val="en-GB"/>
                  </w:rPr>
                  <w:t>澳大利亚</w:t>
                </w:r>
              </w:p>
            </w:tc>
            <w:tc>
              <w:tcPr>
                <w:tcW w:w="1489" w:type="dxa"/>
                <w:vAlign w:val="center"/>
              </w:tcPr>
              <w:p w14:paraId="407F6888" w14:textId="77777777" w:rsidR="007E7472" w:rsidRDefault="00EC1269">
                <w:pPr>
                  <w:jc w:val="right"/>
                  <w:rPr>
                    <w:rFonts w:cs="Times New Roman"/>
                    <w:bCs/>
                    <w:color w:val="000000"/>
                    <w:spacing w:val="-30"/>
                  </w:rPr>
                </w:pPr>
                <w:r>
                  <w:rPr>
                    <w:rFonts w:cs="Times New Roman" w:hint="eastAsia"/>
                    <w:bCs/>
                    <w:color w:val="000000"/>
                    <w:spacing w:val="-30"/>
                  </w:rPr>
                  <w:t>32,161</w:t>
                </w:r>
                <w:r>
                  <w:rPr>
                    <w:rFonts w:cs="Times New Roman"/>
                    <w:bCs/>
                    <w:color w:val="000000"/>
                    <w:spacing w:val="-30"/>
                  </w:rPr>
                  <w:t>万</w:t>
                </w:r>
                <w:r>
                  <w:rPr>
                    <w:rFonts w:cs="Times New Roman" w:hint="eastAsia"/>
                    <w:snapToGrid w:val="0"/>
                    <w:color w:val="000000"/>
                    <w:spacing w:val="-30"/>
                    <w:lang w:val="en-GB"/>
                  </w:rPr>
                  <w:t>澳</w:t>
                </w:r>
                <w:r>
                  <w:rPr>
                    <w:rFonts w:cs="Times New Roman"/>
                    <w:snapToGrid w:val="0"/>
                    <w:color w:val="000000"/>
                    <w:spacing w:val="-30"/>
                    <w:lang w:val="en-GB"/>
                  </w:rPr>
                  <w:t>元</w:t>
                </w:r>
              </w:p>
            </w:tc>
            <w:tc>
              <w:tcPr>
                <w:tcW w:w="2358" w:type="dxa"/>
                <w:vAlign w:val="center"/>
              </w:tcPr>
              <w:p w14:paraId="72D9F60E" w14:textId="77777777" w:rsidR="007E7472" w:rsidRDefault="00EC1269">
                <w:pPr>
                  <w:jc w:val="both"/>
                  <w:rPr>
                    <w:rFonts w:cs="Times New Roman"/>
                    <w:snapToGrid w:val="0"/>
                    <w:color w:val="000000"/>
                    <w:spacing w:val="-30"/>
                  </w:rPr>
                </w:pPr>
                <w:r>
                  <w:rPr>
                    <w:rFonts w:cs="Times New Roman"/>
                    <w:snapToGrid w:val="0"/>
                    <w:color w:val="000000"/>
                    <w:spacing w:val="-30"/>
                    <w:lang w:eastAsia="en-US"/>
                  </w:rPr>
                  <w:t>控股公司</w:t>
                </w:r>
              </w:p>
            </w:tc>
            <w:tc>
              <w:tcPr>
                <w:tcW w:w="801" w:type="dxa"/>
                <w:vAlign w:val="center"/>
              </w:tcPr>
              <w:p w14:paraId="2EC17052" w14:textId="77777777" w:rsidR="007E7472" w:rsidRDefault="00EC1269">
                <w:pPr>
                  <w:jc w:val="center"/>
                  <w:rPr>
                    <w:rFonts w:cs="Times New Roman"/>
                    <w:snapToGrid w:val="0"/>
                    <w:color w:val="000000"/>
                    <w:spacing w:val="-30"/>
                    <w:lang w:val="en-GB"/>
                  </w:rPr>
                </w:pPr>
                <w:r>
                  <w:rPr>
                    <w:rFonts w:cs="Times New Roman"/>
                    <w:snapToGrid w:val="0"/>
                    <w:color w:val="000000"/>
                    <w:spacing w:val="-30"/>
                    <w:lang w:val="en-GB"/>
                  </w:rPr>
                  <w:t>100</w:t>
                </w:r>
              </w:p>
            </w:tc>
          </w:tr>
          <w:tr w:rsidR="007E7472" w14:paraId="14167AF1" w14:textId="77777777">
            <w:trPr>
              <w:trHeight w:val="397"/>
            </w:trPr>
            <w:tc>
              <w:tcPr>
                <w:tcW w:w="2873" w:type="dxa"/>
                <w:vAlign w:val="center"/>
              </w:tcPr>
              <w:p w14:paraId="43741FE3" w14:textId="77777777" w:rsidR="007E7472" w:rsidRDefault="00EC1269">
                <w:pPr>
                  <w:ind w:rightChars="-53" w:right="-111"/>
                  <w:jc w:val="both"/>
                  <w:rPr>
                    <w:rFonts w:cs="Times New Roman"/>
                    <w:color w:val="000000"/>
                    <w:spacing w:val="-30"/>
                  </w:rPr>
                </w:pPr>
                <w:r>
                  <w:rPr>
                    <w:rFonts w:cs="Times New Roman"/>
                    <w:color w:val="000000"/>
                    <w:spacing w:val="-30"/>
                  </w:rPr>
                  <w:t>兖煤能源有限公司</w:t>
                </w:r>
              </w:p>
            </w:tc>
            <w:tc>
              <w:tcPr>
                <w:tcW w:w="986" w:type="dxa"/>
                <w:vAlign w:val="center"/>
              </w:tcPr>
              <w:p w14:paraId="58F810F8" w14:textId="77777777" w:rsidR="007E7472" w:rsidRDefault="00EC1269">
                <w:pPr>
                  <w:jc w:val="center"/>
                  <w:rPr>
                    <w:rFonts w:cs="Times New Roman"/>
                    <w:snapToGrid w:val="0"/>
                    <w:color w:val="000000"/>
                    <w:spacing w:val="-30"/>
                    <w:position w:val="-6"/>
                    <w:lang w:val="en-GB"/>
                  </w:rPr>
                </w:pPr>
                <w:r>
                  <w:rPr>
                    <w:rFonts w:cs="Times New Roman" w:hint="eastAsia"/>
                    <w:snapToGrid w:val="0"/>
                    <w:color w:val="000000"/>
                    <w:spacing w:val="-30"/>
                    <w:position w:val="-6"/>
                    <w:lang w:val="en-GB"/>
                  </w:rPr>
                  <w:t>澳大利亚</w:t>
                </w:r>
              </w:p>
            </w:tc>
            <w:tc>
              <w:tcPr>
                <w:tcW w:w="1489" w:type="dxa"/>
                <w:vAlign w:val="center"/>
              </w:tcPr>
              <w:p w14:paraId="3FAFDB33" w14:textId="77777777" w:rsidR="007E7472" w:rsidRDefault="00EC1269">
                <w:pPr>
                  <w:jc w:val="right"/>
                  <w:rPr>
                    <w:rFonts w:cs="Times New Roman"/>
                    <w:bCs/>
                    <w:color w:val="000000"/>
                    <w:spacing w:val="-30"/>
                  </w:rPr>
                </w:pPr>
                <w:r>
                  <w:rPr>
                    <w:rFonts w:cs="Times New Roman" w:hint="eastAsia"/>
                    <w:bCs/>
                    <w:color w:val="000000"/>
                    <w:spacing w:val="-30"/>
                  </w:rPr>
                  <w:t>20,298万</w:t>
                </w:r>
                <w:r>
                  <w:rPr>
                    <w:rFonts w:cs="Times New Roman" w:hint="eastAsia"/>
                    <w:snapToGrid w:val="0"/>
                    <w:color w:val="000000"/>
                    <w:spacing w:val="-30"/>
                    <w:lang w:val="en-GB"/>
                  </w:rPr>
                  <w:t>澳</w:t>
                </w:r>
                <w:r>
                  <w:rPr>
                    <w:rFonts w:cs="Times New Roman"/>
                    <w:snapToGrid w:val="0"/>
                    <w:color w:val="000000"/>
                    <w:spacing w:val="-30"/>
                    <w:lang w:val="en-GB"/>
                  </w:rPr>
                  <w:t>元</w:t>
                </w:r>
              </w:p>
            </w:tc>
            <w:tc>
              <w:tcPr>
                <w:tcW w:w="2358" w:type="dxa"/>
                <w:vAlign w:val="center"/>
              </w:tcPr>
              <w:p w14:paraId="58791CF3" w14:textId="77777777" w:rsidR="007E7472" w:rsidRDefault="00EC1269">
                <w:pPr>
                  <w:jc w:val="both"/>
                  <w:rPr>
                    <w:rFonts w:cs="Times New Roman"/>
                    <w:snapToGrid w:val="0"/>
                    <w:color w:val="000000"/>
                    <w:spacing w:val="-30"/>
                    <w:lang w:eastAsia="en-US"/>
                  </w:rPr>
                </w:pPr>
                <w:r>
                  <w:rPr>
                    <w:rFonts w:cs="Times New Roman"/>
                    <w:snapToGrid w:val="0"/>
                    <w:color w:val="000000"/>
                    <w:spacing w:val="-30"/>
                    <w:lang w:eastAsia="en-US"/>
                  </w:rPr>
                  <w:t>控股公司</w:t>
                </w:r>
              </w:p>
            </w:tc>
            <w:tc>
              <w:tcPr>
                <w:tcW w:w="801" w:type="dxa"/>
                <w:vAlign w:val="center"/>
              </w:tcPr>
              <w:p w14:paraId="395885EC" w14:textId="77777777" w:rsidR="007E7472" w:rsidRDefault="00EC1269">
                <w:pPr>
                  <w:jc w:val="center"/>
                  <w:rPr>
                    <w:rFonts w:cs="Times New Roman"/>
                    <w:snapToGrid w:val="0"/>
                    <w:color w:val="000000"/>
                    <w:spacing w:val="-30"/>
                    <w:lang w:val="en-GB"/>
                  </w:rPr>
                </w:pPr>
                <w:r>
                  <w:rPr>
                    <w:rFonts w:cs="Times New Roman"/>
                    <w:snapToGrid w:val="0"/>
                    <w:color w:val="000000"/>
                    <w:spacing w:val="-30"/>
                    <w:lang w:val="en-GB"/>
                  </w:rPr>
                  <w:t>100</w:t>
                </w:r>
              </w:p>
            </w:tc>
          </w:tr>
          <w:tr w:rsidR="007E7472" w14:paraId="089F125D" w14:textId="77777777">
            <w:trPr>
              <w:trHeight w:val="397"/>
            </w:trPr>
            <w:tc>
              <w:tcPr>
                <w:tcW w:w="2873" w:type="dxa"/>
                <w:vAlign w:val="center"/>
              </w:tcPr>
              <w:p w14:paraId="3D77189D" w14:textId="77777777" w:rsidR="007E7472" w:rsidRDefault="00EC1269">
                <w:pPr>
                  <w:ind w:rightChars="-53" w:right="-111"/>
                  <w:jc w:val="both"/>
                  <w:rPr>
                    <w:rFonts w:cs="Times New Roman"/>
                    <w:color w:val="000000"/>
                    <w:spacing w:val="-30"/>
                  </w:rPr>
                </w:pPr>
                <w:r>
                  <w:rPr>
                    <w:rFonts w:cs="Times New Roman" w:hint="eastAsia"/>
                    <w:color w:val="000000"/>
                    <w:spacing w:val="-30"/>
                  </w:rPr>
                  <w:t>兖煤技术发展（控股）有限公司</w:t>
                </w:r>
              </w:p>
            </w:tc>
            <w:tc>
              <w:tcPr>
                <w:tcW w:w="986" w:type="dxa"/>
                <w:vAlign w:val="center"/>
              </w:tcPr>
              <w:p w14:paraId="1CF80732" w14:textId="77777777" w:rsidR="007E7472" w:rsidRDefault="00EC1269">
                <w:pPr>
                  <w:ind w:rightChars="-53" w:right="-111"/>
                  <w:jc w:val="center"/>
                  <w:rPr>
                    <w:rFonts w:cs="Times New Roman"/>
                    <w:color w:val="000000"/>
                    <w:spacing w:val="-30"/>
                  </w:rPr>
                </w:pPr>
                <w:r>
                  <w:rPr>
                    <w:rFonts w:cs="Times New Roman" w:hint="eastAsia"/>
                    <w:color w:val="000000"/>
                    <w:spacing w:val="-30"/>
                  </w:rPr>
                  <w:t>澳大利亚</w:t>
                </w:r>
              </w:p>
            </w:tc>
            <w:tc>
              <w:tcPr>
                <w:tcW w:w="1489" w:type="dxa"/>
                <w:vAlign w:val="center"/>
              </w:tcPr>
              <w:p w14:paraId="7238B991" w14:textId="77777777" w:rsidR="007E7472" w:rsidRDefault="00EC1269">
                <w:pPr>
                  <w:jc w:val="right"/>
                  <w:rPr>
                    <w:rFonts w:cs="Times New Roman"/>
                    <w:bCs/>
                    <w:color w:val="000000"/>
                    <w:spacing w:val="-30"/>
                  </w:rPr>
                </w:pPr>
                <w:r>
                  <w:rPr>
                    <w:rFonts w:cs="Times New Roman" w:hint="eastAsia"/>
                    <w:bCs/>
                    <w:color w:val="000000"/>
                    <w:spacing w:val="-30"/>
                  </w:rPr>
                  <w:t>7,541万澳元</w:t>
                </w:r>
              </w:p>
            </w:tc>
            <w:tc>
              <w:tcPr>
                <w:tcW w:w="2358" w:type="dxa"/>
                <w:vAlign w:val="center"/>
              </w:tcPr>
              <w:p w14:paraId="0533D68E" w14:textId="77777777" w:rsidR="007E7472" w:rsidRDefault="00EC1269">
                <w:pPr>
                  <w:ind w:rightChars="-53" w:right="-111"/>
                  <w:jc w:val="both"/>
                  <w:rPr>
                    <w:rFonts w:cs="Times New Roman"/>
                    <w:color w:val="000000"/>
                    <w:spacing w:val="-30"/>
                  </w:rPr>
                </w:pPr>
                <w:r>
                  <w:rPr>
                    <w:rFonts w:cs="Times New Roman"/>
                    <w:color w:val="000000"/>
                    <w:spacing w:val="-30"/>
                  </w:rPr>
                  <w:t>控股公司</w:t>
                </w:r>
              </w:p>
            </w:tc>
            <w:tc>
              <w:tcPr>
                <w:tcW w:w="801" w:type="dxa"/>
                <w:vAlign w:val="center"/>
              </w:tcPr>
              <w:p w14:paraId="30BAC833" w14:textId="77777777" w:rsidR="007E7472" w:rsidRDefault="00EC1269">
                <w:pPr>
                  <w:ind w:rightChars="-53" w:right="-111"/>
                  <w:jc w:val="center"/>
                  <w:rPr>
                    <w:rFonts w:cs="Times New Roman"/>
                    <w:color w:val="000000"/>
                    <w:spacing w:val="-30"/>
                  </w:rPr>
                </w:pPr>
                <w:r>
                  <w:rPr>
                    <w:rFonts w:cs="Times New Roman"/>
                    <w:color w:val="000000"/>
                    <w:spacing w:val="-30"/>
                  </w:rPr>
                  <w:t>100</w:t>
                </w:r>
              </w:p>
            </w:tc>
          </w:tr>
          <w:tr w:rsidR="007E7472" w14:paraId="4ABBBE2F" w14:textId="77777777">
            <w:trPr>
              <w:trHeight w:val="397"/>
            </w:trPr>
            <w:tc>
              <w:tcPr>
                <w:tcW w:w="2873" w:type="dxa"/>
                <w:vAlign w:val="center"/>
              </w:tcPr>
              <w:p w14:paraId="59903859" w14:textId="77777777" w:rsidR="007E7472" w:rsidRDefault="00EC1269">
                <w:pPr>
                  <w:ind w:rightChars="-53" w:right="-111"/>
                  <w:jc w:val="both"/>
                  <w:rPr>
                    <w:rFonts w:cs="Times New Roman"/>
                    <w:color w:val="000000"/>
                    <w:spacing w:val="-30"/>
                  </w:rPr>
                </w:pPr>
                <w:r>
                  <w:rPr>
                    <w:rFonts w:cs="Times New Roman" w:hint="eastAsia"/>
                    <w:color w:val="000000"/>
                    <w:spacing w:val="-30"/>
                  </w:rPr>
                  <w:t>兖矿东平陆港有限公司</w:t>
                </w:r>
              </w:p>
            </w:tc>
            <w:tc>
              <w:tcPr>
                <w:tcW w:w="986" w:type="dxa"/>
                <w:vAlign w:val="center"/>
              </w:tcPr>
              <w:p w14:paraId="0CCEA1E0" w14:textId="77777777" w:rsidR="007E7472" w:rsidRDefault="00EC1269">
                <w:pPr>
                  <w:ind w:rightChars="-53" w:right="-111"/>
                  <w:jc w:val="center"/>
                  <w:rPr>
                    <w:rFonts w:cs="Times New Roman"/>
                    <w:color w:val="000000"/>
                    <w:spacing w:val="-30"/>
                  </w:rPr>
                </w:pPr>
                <w:r>
                  <w:rPr>
                    <w:rFonts w:cs="Times New Roman" w:hint="eastAsia"/>
                    <w:color w:val="000000"/>
                    <w:spacing w:val="-30"/>
                  </w:rPr>
                  <w:t>山东泰安</w:t>
                </w:r>
              </w:p>
            </w:tc>
            <w:tc>
              <w:tcPr>
                <w:tcW w:w="1489" w:type="dxa"/>
                <w:vAlign w:val="center"/>
              </w:tcPr>
              <w:p w14:paraId="6E24C54C" w14:textId="77777777" w:rsidR="007E7472" w:rsidRDefault="00EC1269">
                <w:pPr>
                  <w:jc w:val="right"/>
                  <w:rPr>
                    <w:rFonts w:cs="Times New Roman"/>
                    <w:bCs/>
                    <w:color w:val="000000"/>
                    <w:spacing w:val="-30"/>
                  </w:rPr>
                </w:pPr>
                <w:r>
                  <w:rPr>
                    <w:rFonts w:cs="Times New Roman" w:hint="eastAsia"/>
                    <w:bCs/>
                    <w:color w:val="000000"/>
                    <w:spacing w:val="-30"/>
                  </w:rPr>
                  <w:t>91</w:t>
                </w:r>
                <w:r>
                  <w:rPr>
                    <w:rFonts w:cs="Times New Roman"/>
                    <w:bCs/>
                    <w:color w:val="000000"/>
                    <w:spacing w:val="-30"/>
                  </w:rPr>
                  <w:t>,</w:t>
                </w:r>
                <w:r>
                  <w:rPr>
                    <w:rFonts w:cs="Times New Roman" w:hint="eastAsia"/>
                    <w:bCs/>
                    <w:color w:val="000000"/>
                    <w:spacing w:val="-30"/>
                  </w:rPr>
                  <w:t>997万人民币</w:t>
                </w:r>
              </w:p>
            </w:tc>
            <w:tc>
              <w:tcPr>
                <w:tcW w:w="2358" w:type="dxa"/>
                <w:vAlign w:val="center"/>
              </w:tcPr>
              <w:p w14:paraId="13B1D3EC" w14:textId="77777777" w:rsidR="007E7472" w:rsidRDefault="00EC1269">
                <w:pPr>
                  <w:ind w:rightChars="-53" w:right="-111"/>
                  <w:jc w:val="both"/>
                  <w:rPr>
                    <w:rFonts w:cs="Times New Roman"/>
                    <w:color w:val="000000"/>
                    <w:spacing w:val="-30"/>
                  </w:rPr>
                </w:pPr>
                <w:r>
                  <w:rPr>
                    <w:rFonts w:cs="Times New Roman" w:hint="eastAsia"/>
                    <w:color w:val="000000"/>
                    <w:spacing w:val="-30"/>
                  </w:rPr>
                  <w:t>煤炭贸易，港口、铁路运输</w:t>
                </w:r>
              </w:p>
            </w:tc>
            <w:tc>
              <w:tcPr>
                <w:tcW w:w="801" w:type="dxa"/>
                <w:vAlign w:val="center"/>
              </w:tcPr>
              <w:p w14:paraId="281BBA03" w14:textId="77777777" w:rsidR="007E7472" w:rsidRDefault="00EC1269">
                <w:pPr>
                  <w:ind w:rightChars="-53" w:right="-111"/>
                  <w:jc w:val="center"/>
                  <w:rPr>
                    <w:rFonts w:cs="Times New Roman"/>
                    <w:color w:val="000000"/>
                    <w:spacing w:val="-30"/>
                  </w:rPr>
                </w:pPr>
                <w:r>
                  <w:rPr>
                    <w:rFonts w:cs="Times New Roman"/>
                    <w:color w:val="000000"/>
                    <w:spacing w:val="-30"/>
                  </w:rPr>
                  <w:t>46.3</w:t>
                </w:r>
              </w:p>
            </w:tc>
          </w:tr>
          <w:tr w:rsidR="007E7472" w14:paraId="6ACD93E1" w14:textId="77777777">
            <w:trPr>
              <w:trHeight w:val="397"/>
            </w:trPr>
            <w:tc>
              <w:tcPr>
                <w:tcW w:w="2873" w:type="dxa"/>
                <w:vAlign w:val="center"/>
              </w:tcPr>
              <w:p w14:paraId="1F7BFAA7" w14:textId="77777777" w:rsidR="007E7472" w:rsidRDefault="00EC1269">
                <w:pPr>
                  <w:ind w:rightChars="-53" w:right="-111"/>
                  <w:jc w:val="both"/>
                  <w:rPr>
                    <w:rFonts w:cs="Times New Roman"/>
                    <w:color w:val="000000"/>
                    <w:spacing w:val="-30"/>
                  </w:rPr>
                </w:pPr>
                <w:r>
                  <w:rPr>
                    <w:rFonts w:cs="Times New Roman" w:hint="eastAsia"/>
                    <w:color w:val="000000"/>
                    <w:spacing w:val="-30"/>
                  </w:rPr>
                  <w:t>中垠（济宁）融资租赁有限公司</w:t>
                </w:r>
              </w:p>
            </w:tc>
            <w:tc>
              <w:tcPr>
                <w:tcW w:w="986" w:type="dxa"/>
                <w:vAlign w:val="center"/>
              </w:tcPr>
              <w:p w14:paraId="724B8985" w14:textId="77777777" w:rsidR="007E7472" w:rsidRDefault="00EC1269">
                <w:pPr>
                  <w:ind w:rightChars="-53" w:right="-111"/>
                  <w:jc w:val="center"/>
                  <w:rPr>
                    <w:rFonts w:cs="Times New Roman"/>
                    <w:color w:val="000000"/>
                    <w:spacing w:val="-30"/>
                  </w:rPr>
                </w:pPr>
                <w:r>
                  <w:rPr>
                    <w:rFonts w:cs="Times New Roman" w:hint="eastAsia"/>
                    <w:color w:val="000000"/>
                    <w:spacing w:val="-30"/>
                  </w:rPr>
                  <w:t>山东济宁</w:t>
                </w:r>
              </w:p>
            </w:tc>
            <w:tc>
              <w:tcPr>
                <w:tcW w:w="1489" w:type="dxa"/>
                <w:vAlign w:val="center"/>
              </w:tcPr>
              <w:p w14:paraId="56E79DA3" w14:textId="77777777" w:rsidR="007E7472" w:rsidRDefault="00EC1269">
                <w:pPr>
                  <w:jc w:val="right"/>
                  <w:rPr>
                    <w:rFonts w:cs="Times New Roman"/>
                    <w:bCs/>
                    <w:color w:val="000000"/>
                    <w:spacing w:val="-30"/>
                  </w:rPr>
                </w:pPr>
                <w:r>
                  <w:rPr>
                    <w:rFonts w:cs="Times New Roman" w:hint="eastAsia"/>
                    <w:bCs/>
                    <w:color w:val="000000"/>
                    <w:spacing w:val="-30"/>
                  </w:rPr>
                  <w:t>1,4</w:t>
                </w:r>
                <w:r>
                  <w:rPr>
                    <w:rFonts w:cs="Times New Roman"/>
                    <w:bCs/>
                    <w:color w:val="000000"/>
                    <w:spacing w:val="-30"/>
                  </w:rPr>
                  <w:t>0</w:t>
                </w:r>
                <w:r>
                  <w:rPr>
                    <w:rFonts w:cs="Times New Roman" w:hint="eastAsia"/>
                    <w:bCs/>
                    <w:color w:val="000000"/>
                    <w:spacing w:val="-30"/>
                  </w:rPr>
                  <w:t>0万美元</w:t>
                </w:r>
              </w:p>
            </w:tc>
            <w:tc>
              <w:tcPr>
                <w:tcW w:w="2358" w:type="dxa"/>
                <w:vAlign w:val="center"/>
              </w:tcPr>
              <w:p w14:paraId="0E976CD4" w14:textId="77777777" w:rsidR="007E7472" w:rsidRDefault="00EC1269">
                <w:pPr>
                  <w:ind w:rightChars="-53" w:right="-111"/>
                  <w:jc w:val="both"/>
                  <w:rPr>
                    <w:rFonts w:cs="Times New Roman"/>
                    <w:color w:val="000000"/>
                    <w:spacing w:val="-30"/>
                  </w:rPr>
                </w:pPr>
                <w:r>
                  <w:rPr>
                    <w:rFonts w:cs="Times New Roman" w:hint="eastAsia"/>
                    <w:color w:val="000000"/>
                    <w:spacing w:val="-30"/>
                  </w:rPr>
                  <w:t>融资租赁业务</w:t>
                </w:r>
              </w:p>
            </w:tc>
            <w:tc>
              <w:tcPr>
                <w:tcW w:w="801" w:type="dxa"/>
                <w:vAlign w:val="center"/>
              </w:tcPr>
              <w:p w14:paraId="6236C918" w14:textId="77777777" w:rsidR="007E7472" w:rsidRDefault="00EC1269">
                <w:pPr>
                  <w:ind w:rightChars="-53" w:right="-111"/>
                  <w:jc w:val="center"/>
                  <w:rPr>
                    <w:rFonts w:cs="Times New Roman"/>
                    <w:color w:val="000000"/>
                    <w:spacing w:val="-30"/>
                  </w:rPr>
                </w:pPr>
                <w:r>
                  <w:rPr>
                    <w:rFonts w:cs="Times New Roman" w:hint="eastAsia"/>
                    <w:color w:val="000000"/>
                    <w:spacing w:val="-30"/>
                  </w:rPr>
                  <w:t>100</w:t>
                </w:r>
              </w:p>
            </w:tc>
          </w:tr>
        </w:tbl>
        <w:p w14:paraId="6BAF09BC" w14:textId="77777777" w:rsidR="007E7472" w:rsidRDefault="00EC1269" w:rsidP="00162493">
          <w:pPr>
            <w:widowControl w:val="0"/>
            <w:numPr>
              <w:ilvl w:val="0"/>
              <w:numId w:val="104"/>
            </w:numPr>
            <w:tabs>
              <w:tab w:val="left" w:pos="567"/>
            </w:tabs>
            <w:spacing w:beforeLines="50" w:before="120" w:afterLines="50" w:after="120" w:line="360" w:lineRule="exact"/>
            <w:ind w:left="862"/>
            <w:jc w:val="both"/>
            <w:rPr>
              <w:rFonts w:cs="Times New Roman"/>
              <w:snapToGrid w:val="0"/>
              <w:color w:val="000000"/>
            </w:rPr>
          </w:pPr>
          <w:r>
            <w:rPr>
              <w:rFonts w:cs="Times New Roman" w:hint="eastAsia"/>
              <w:snapToGrid w:val="0"/>
              <w:color w:val="000000"/>
              <w:lang w:val="en-GB"/>
            </w:rPr>
            <w:t>兖矿能源（鄂尔多斯）有限公司</w:t>
          </w:r>
        </w:p>
        <w:p w14:paraId="351559D3" w14:textId="77777777" w:rsidR="007E7472" w:rsidRDefault="00EC1269">
          <w:pPr>
            <w:tabs>
              <w:tab w:val="left" w:pos="426"/>
              <w:tab w:val="left" w:pos="800"/>
            </w:tabs>
            <w:spacing w:beforeLines="50" w:before="120" w:afterLines="50" w:after="120" w:line="360" w:lineRule="exact"/>
            <w:ind w:firstLineChars="200" w:firstLine="420"/>
            <w:jc w:val="both"/>
            <w:rPr>
              <w:rFonts w:cs="Times New Roman"/>
              <w:snapToGrid w:val="0"/>
              <w:color w:val="000000"/>
              <w:lang w:val="en-GB"/>
            </w:rPr>
          </w:pPr>
          <w:r>
            <w:rPr>
              <w:rFonts w:cs="Times New Roman" w:hint="eastAsia"/>
              <w:snapToGrid w:val="0"/>
              <w:color w:val="000000"/>
              <w:lang w:val="en-GB"/>
            </w:rPr>
            <w:t>兖矿能源（鄂尔多斯）有限公司（以下简称“鄂尔多斯公司”）系本公司全资子公司，成立于2009年12月18日，注册资本人民币50,000万元。2011年1月，本公司对鄂尔多斯公司增资260,000万元，注册资本增加至310,000万元。2014年11月，本公司再次对鄂尔多斯公司增资500,000万元，注册资本增加至810,000万元。2019年9月2日，本公司再次对鄂尔多斯公司增资270,000万元，注册资本增加至1,080,000万元。公司法人营业执照统一社会信用代码：91150691695945851D，法定代表人：王九红，主要业务为煤炭、铁矿石销售，对煤炭、化工企业投资，煤矿机械设备、材料销售，煤矿器械设备维修租赁。</w:t>
          </w:r>
          <w:r>
            <w:rPr>
              <w:rFonts w:cs="Times New Roman"/>
              <w:snapToGrid w:val="0"/>
              <w:color w:val="000000"/>
              <w:lang w:val="en-GB"/>
            </w:rPr>
            <w:t>鄂尔多斯</w:t>
          </w:r>
          <w:r>
            <w:rPr>
              <w:rFonts w:cs="Times New Roman" w:hint="eastAsia"/>
              <w:snapToGrid w:val="0"/>
              <w:color w:val="000000"/>
              <w:lang w:val="en-GB"/>
            </w:rPr>
            <w:t>公司主要</w:t>
          </w:r>
          <w:r>
            <w:rPr>
              <w:rFonts w:cs="Times New Roman"/>
              <w:snapToGrid w:val="0"/>
              <w:color w:val="000000"/>
              <w:lang w:val="en-GB"/>
            </w:rPr>
            <w:t>控股子公司如下：</w:t>
          </w:r>
        </w:p>
        <w:tbl>
          <w:tblPr>
            <w:tblStyle w:val="g4"/>
            <w:tblW w:w="8723" w:type="dxa"/>
            <w:tblBorders>
              <w:top w:val="double" w:sz="4" w:space="0" w:color="auto"/>
              <w:bottom w:val="double" w:sz="4" w:space="0" w:color="auto"/>
              <w:insideH w:val="single" w:sz="2" w:space="0" w:color="auto"/>
              <w:insideV w:val="single" w:sz="2" w:space="0" w:color="auto"/>
            </w:tblBorders>
            <w:tblLayout w:type="fixed"/>
            <w:tblLook w:val="04A0" w:firstRow="1" w:lastRow="0" w:firstColumn="1" w:lastColumn="0" w:noHBand="0" w:noVBand="1"/>
          </w:tblPr>
          <w:tblGrid>
            <w:gridCol w:w="3085"/>
            <w:gridCol w:w="1083"/>
            <w:gridCol w:w="1469"/>
            <w:gridCol w:w="2182"/>
            <w:gridCol w:w="904"/>
          </w:tblGrid>
          <w:tr w:rsidR="007E7472" w14:paraId="6674495C" w14:textId="77777777">
            <w:trPr>
              <w:trHeight w:val="397"/>
              <w:tblHeader/>
            </w:trPr>
            <w:tc>
              <w:tcPr>
                <w:tcW w:w="3085" w:type="dxa"/>
                <w:vAlign w:val="center"/>
              </w:tcPr>
              <w:p w14:paraId="0F23B61E" w14:textId="77777777" w:rsidR="007E7472" w:rsidRDefault="00EC1269">
                <w:pPr>
                  <w:jc w:val="both"/>
                  <w:rPr>
                    <w:rFonts w:cs="Times New Roman"/>
                    <w:b/>
                    <w:snapToGrid w:val="0"/>
                    <w:spacing w:val="-20"/>
                  </w:rPr>
                </w:pPr>
                <w:bookmarkStart w:id="273" w:name="_Hlk142913829"/>
                <w:r>
                  <w:rPr>
                    <w:rFonts w:cs="Times New Roman"/>
                    <w:b/>
                    <w:snapToGrid w:val="0"/>
                    <w:spacing w:val="-20"/>
                  </w:rPr>
                  <w:t>公司名称</w:t>
                </w:r>
              </w:p>
            </w:tc>
            <w:tc>
              <w:tcPr>
                <w:tcW w:w="1083" w:type="dxa"/>
                <w:vAlign w:val="center"/>
              </w:tcPr>
              <w:p w14:paraId="680E54CB" w14:textId="77777777" w:rsidR="007E7472" w:rsidRDefault="00EC1269">
                <w:pPr>
                  <w:jc w:val="center"/>
                  <w:rPr>
                    <w:rFonts w:cs="Times New Roman"/>
                    <w:b/>
                    <w:snapToGrid w:val="0"/>
                    <w:spacing w:val="-20"/>
                  </w:rPr>
                </w:pPr>
                <w:r>
                  <w:rPr>
                    <w:rFonts w:cs="Times New Roman"/>
                    <w:b/>
                    <w:snapToGrid w:val="0"/>
                    <w:spacing w:val="-20"/>
                  </w:rPr>
                  <w:t>注册地</w:t>
                </w:r>
              </w:p>
            </w:tc>
            <w:tc>
              <w:tcPr>
                <w:tcW w:w="1469" w:type="dxa"/>
                <w:vAlign w:val="center"/>
              </w:tcPr>
              <w:p w14:paraId="08D7DCEC" w14:textId="77777777" w:rsidR="007E7472" w:rsidRDefault="00EC1269">
                <w:pPr>
                  <w:jc w:val="center"/>
                  <w:rPr>
                    <w:rFonts w:cs="Times New Roman"/>
                    <w:b/>
                    <w:snapToGrid w:val="0"/>
                    <w:spacing w:val="-20"/>
                  </w:rPr>
                </w:pPr>
                <w:r>
                  <w:rPr>
                    <w:rFonts w:cs="Times New Roman"/>
                    <w:b/>
                    <w:snapToGrid w:val="0"/>
                    <w:spacing w:val="-20"/>
                  </w:rPr>
                  <w:t>注册资本</w:t>
                </w:r>
              </w:p>
              <w:p w14:paraId="5C42EFCC" w14:textId="77777777" w:rsidR="007E7472" w:rsidRDefault="00EC1269">
                <w:pPr>
                  <w:jc w:val="center"/>
                  <w:rPr>
                    <w:rFonts w:cs="Times New Roman"/>
                    <w:b/>
                    <w:snapToGrid w:val="0"/>
                    <w:spacing w:val="-20"/>
                  </w:rPr>
                </w:pPr>
                <w:r>
                  <w:rPr>
                    <w:rFonts w:cs="Times New Roman"/>
                    <w:b/>
                    <w:snapToGrid w:val="0"/>
                    <w:spacing w:val="-20"/>
                  </w:rPr>
                  <w:t>（人民币）</w:t>
                </w:r>
              </w:p>
            </w:tc>
            <w:tc>
              <w:tcPr>
                <w:tcW w:w="2182" w:type="dxa"/>
                <w:vAlign w:val="center"/>
              </w:tcPr>
              <w:p w14:paraId="0EF64971" w14:textId="77777777" w:rsidR="007E7472" w:rsidRDefault="00EC1269">
                <w:pPr>
                  <w:jc w:val="center"/>
                  <w:rPr>
                    <w:rFonts w:cs="Times New Roman"/>
                    <w:b/>
                    <w:snapToGrid w:val="0"/>
                    <w:spacing w:val="-20"/>
                  </w:rPr>
                </w:pPr>
                <w:r>
                  <w:rPr>
                    <w:rFonts w:cs="Times New Roman"/>
                    <w:b/>
                    <w:snapToGrid w:val="0"/>
                    <w:spacing w:val="-20"/>
                  </w:rPr>
                  <w:t>经营范围</w:t>
                </w:r>
              </w:p>
            </w:tc>
            <w:tc>
              <w:tcPr>
                <w:tcW w:w="904" w:type="dxa"/>
                <w:vAlign w:val="center"/>
              </w:tcPr>
              <w:p w14:paraId="196C2FD9" w14:textId="77777777" w:rsidR="007E7472" w:rsidRDefault="00EC1269">
                <w:pPr>
                  <w:jc w:val="center"/>
                  <w:rPr>
                    <w:rFonts w:cs="Times New Roman"/>
                    <w:b/>
                    <w:snapToGrid w:val="0"/>
                    <w:spacing w:val="-20"/>
                  </w:rPr>
                </w:pPr>
                <w:r>
                  <w:rPr>
                    <w:rFonts w:cs="Times New Roman"/>
                    <w:b/>
                    <w:snapToGrid w:val="0"/>
                    <w:spacing w:val="-20"/>
                  </w:rPr>
                  <w:t>持股比例(%)</w:t>
                </w:r>
              </w:p>
            </w:tc>
          </w:tr>
          <w:tr w:rsidR="007E7472" w14:paraId="3E4E0EF2" w14:textId="77777777">
            <w:trPr>
              <w:trHeight w:val="397"/>
            </w:trPr>
            <w:tc>
              <w:tcPr>
                <w:tcW w:w="3085" w:type="dxa"/>
                <w:vAlign w:val="center"/>
              </w:tcPr>
              <w:p w14:paraId="162F2ABD" w14:textId="77777777" w:rsidR="007E7472" w:rsidRDefault="00EC1269">
                <w:pPr>
                  <w:widowControl w:val="0"/>
                  <w:tabs>
                    <w:tab w:val="left" w:pos="122"/>
                    <w:tab w:val="left" w:pos="288"/>
                  </w:tabs>
                  <w:rPr>
                    <w:rFonts w:cs="Times New Roman"/>
                    <w:spacing w:val="-20"/>
                  </w:rPr>
                </w:pPr>
                <w:r>
                  <w:rPr>
                    <w:rFonts w:cs="Times New Roman"/>
                    <w:spacing w:val="-20"/>
                  </w:rPr>
                  <w:t>内蒙古荣信化工有限公司</w:t>
                </w:r>
              </w:p>
            </w:tc>
            <w:tc>
              <w:tcPr>
                <w:tcW w:w="1083" w:type="dxa"/>
                <w:vAlign w:val="center"/>
              </w:tcPr>
              <w:p w14:paraId="2A873FBF" w14:textId="77777777" w:rsidR="007E7472" w:rsidRDefault="00EC1269">
                <w:pPr>
                  <w:jc w:val="center"/>
                  <w:rPr>
                    <w:rFonts w:cs="Times New Roman"/>
                    <w:snapToGrid w:val="0"/>
                    <w:color w:val="000000"/>
                    <w:spacing w:val="-20"/>
                    <w:lang w:val="en-GB"/>
                  </w:rPr>
                </w:pPr>
                <w:r>
                  <w:rPr>
                    <w:rFonts w:cs="Times New Roman" w:hint="eastAsia"/>
                    <w:snapToGrid w:val="0"/>
                    <w:color w:val="000000"/>
                    <w:spacing w:val="-20"/>
                    <w:lang w:val="en-GB"/>
                  </w:rPr>
                  <w:t>鄂尔多斯</w:t>
                </w:r>
              </w:p>
            </w:tc>
            <w:tc>
              <w:tcPr>
                <w:tcW w:w="1469" w:type="dxa"/>
                <w:vAlign w:val="center"/>
              </w:tcPr>
              <w:p w14:paraId="21A546E0" w14:textId="77777777" w:rsidR="007E7472" w:rsidRDefault="00EC1269">
                <w:pPr>
                  <w:jc w:val="right"/>
                  <w:rPr>
                    <w:rFonts w:cs="Times New Roman"/>
                    <w:snapToGrid w:val="0"/>
                    <w:color w:val="000000"/>
                    <w:spacing w:val="-20"/>
                    <w:lang w:val="en-GB"/>
                  </w:rPr>
                </w:pPr>
                <w:r>
                  <w:rPr>
                    <w:rFonts w:cs="Times New Roman" w:hint="eastAsia"/>
                    <w:snapToGrid w:val="0"/>
                    <w:color w:val="000000"/>
                    <w:spacing w:val="-20"/>
                    <w:lang w:val="en-GB"/>
                  </w:rPr>
                  <w:t>153,335</w:t>
                </w:r>
                <w:r>
                  <w:rPr>
                    <w:rFonts w:cs="Times New Roman"/>
                    <w:snapToGrid w:val="0"/>
                    <w:color w:val="000000"/>
                    <w:spacing w:val="-20"/>
                    <w:lang w:val="en-GB"/>
                  </w:rPr>
                  <w:t>万元</w:t>
                </w:r>
              </w:p>
            </w:tc>
            <w:tc>
              <w:tcPr>
                <w:tcW w:w="2182" w:type="dxa"/>
                <w:vAlign w:val="center"/>
              </w:tcPr>
              <w:p w14:paraId="5C9CB399" w14:textId="77777777" w:rsidR="007E7472" w:rsidRDefault="00EC1269">
                <w:pPr>
                  <w:jc w:val="both"/>
                  <w:rPr>
                    <w:rFonts w:cs="Times New Roman"/>
                    <w:snapToGrid w:val="0"/>
                    <w:color w:val="000000"/>
                    <w:spacing w:val="-20"/>
                    <w:lang w:val="en-GB"/>
                  </w:rPr>
                </w:pPr>
                <w:r>
                  <w:rPr>
                    <w:rFonts w:cs="Times New Roman"/>
                    <w:snapToGrid w:val="0"/>
                    <w:color w:val="000000"/>
                    <w:spacing w:val="-20"/>
                    <w:lang w:val="en-GB"/>
                  </w:rPr>
                  <w:t>从事煤制甲醇生产、销售</w:t>
                </w:r>
              </w:p>
            </w:tc>
            <w:tc>
              <w:tcPr>
                <w:tcW w:w="904" w:type="dxa"/>
                <w:vAlign w:val="center"/>
              </w:tcPr>
              <w:p w14:paraId="02A2E594" w14:textId="77777777" w:rsidR="007E7472" w:rsidRDefault="00EC1269">
                <w:pPr>
                  <w:jc w:val="center"/>
                  <w:rPr>
                    <w:rFonts w:cs="Times New Roman"/>
                    <w:snapToGrid w:val="0"/>
                    <w:color w:val="000000"/>
                    <w:spacing w:val="-20"/>
                    <w:lang w:val="en-GB"/>
                  </w:rPr>
                </w:pPr>
                <w:r>
                  <w:rPr>
                    <w:rFonts w:cs="Times New Roman"/>
                    <w:snapToGrid w:val="0"/>
                    <w:color w:val="000000"/>
                    <w:spacing w:val="-20"/>
                    <w:lang w:val="en-GB"/>
                  </w:rPr>
                  <w:t>100</w:t>
                </w:r>
              </w:p>
            </w:tc>
          </w:tr>
          <w:tr w:rsidR="007E7472" w14:paraId="5DD22F87" w14:textId="77777777">
            <w:trPr>
              <w:trHeight w:val="397"/>
            </w:trPr>
            <w:tc>
              <w:tcPr>
                <w:tcW w:w="3085" w:type="dxa"/>
                <w:vAlign w:val="center"/>
              </w:tcPr>
              <w:p w14:paraId="53A02BE3" w14:textId="77777777" w:rsidR="007E7472" w:rsidRDefault="00EC1269">
                <w:pPr>
                  <w:jc w:val="both"/>
                  <w:rPr>
                    <w:rFonts w:cs="Times New Roman"/>
                    <w:snapToGrid w:val="0"/>
                    <w:color w:val="000000"/>
                    <w:spacing w:val="-20"/>
                    <w:lang w:val="en-GB"/>
                  </w:rPr>
                </w:pPr>
                <w:r>
                  <w:rPr>
                    <w:rFonts w:cs="Times New Roman"/>
                    <w:snapToGrid w:val="0"/>
                    <w:color w:val="000000"/>
                    <w:spacing w:val="-20"/>
                    <w:lang w:val="en-GB"/>
                  </w:rPr>
                  <w:t>内蒙古鑫泰煤炭有限公司</w:t>
                </w:r>
              </w:p>
            </w:tc>
            <w:tc>
              <w:tcPr>
                <w:tcW w:w="1083" w:type="dxa"/>
                <w:vAlign w:val="center"/>
              </w:tcPr>
              <w:p w14:paraId="42C0895E" w14:textId="77777777" w:rsidR="007E7472" w:rsidRDefault="00EC1269">
                <w:pPr>
                  <w:jc w:val="center"/>
                  <w:rPr>
                    <w:rFonts w:ascii="Times New Roman" w:hAnsi="Times New Roman" w:cs="Times New Roman"/>
                    <w:snapToGrid w:val="0"/>
                    <w:color w:val="000000"/>
                    <w:spacing w:val="-10"/>
                    <w:lang w:val="en-GB" w:eastAsia="en-US"/>
                  </w:rPr>
                </w:pPr>
                <w:r>
                  <w:rPr>
                    <w:rFonts w:cs="Times New Roman" w:hint="eastAsia"/>
                    <w:snapToGrid w:val="0"/>
                    <w:color w:val="000000"/>
                    <w:spacing w:val="-20"/>
                    <w:lang w:val="en-GB"/>
                  </w:rPr>
                  <w:t>鄂尔多斯</w:t>
                </w:r>
              </w:p>
            </w:tc>
            <w:tc>
              <w:tcPr>
                <w:tcW w:w="1469" w:type="dxa"/>
                <w:vAlign w:val="center"/>
              </w:tcPr>
              <w:p w14:paraId="6F62B62F" w14:textId="77777777" w:rsidR="007E7472" w:rsidRDefault="00EC1269">
                <w:pPr>
                  <w:jc w:val="right"/>
                  <w:rPr>
                    <w:rFonts w:cs="Times New Roman"/>
                    <w:snapToGrid w:val="0"/>
                    <w:color w:val="000000"/>
                    <w:spacing w:val="-20"/>
                    <w:lang w:val="en-GB"/>
                  </w:rPr>
                </w:pPr>
                <w:r>
                  <w:rPr>
                    <w:rFonts w:cs="Times New Roman" w:hint="eastAsia"/>
                    <w:bCs/>
                    <w:color w:val="000000"/>
                    <w:spacing w:val="-20"/>
                  </w:rPr>
                  <w:t>500</w:t>
                </w:r>
                <w:r>
                  <w:rPr>
                    <w:rFonts w:cs="Times New Roman"/>
                    <w:bCs/>
                    <w:color w:val="000000"/>
                    <w:spacing w:val="-20"/>
                  </w:rPr>
                  <w:t>万元</w:t>
                </w:r>
              </w:p>
            </w:tc>
            <w:tc>
              <w:tcPr>
                <w:tcW w:w="2182" w:type="dxa"/>
                <w:vAlign w:val="center"/>
              </w:tcPr>
              <w:p w14:paraId="38F41D83" w14:textId="77777777" w:rsidR="007E7472" w:rsidRDefault="00EC1269">
                <w:pPr>
                  <w:jc w:val="both"/>
                  <w:rPr>
                    <w:rFonts w:cs="Times New Roman"/>
                    <w:snapToGrid w:val="0"/>
                    <w:color w:val="000000"/>
                    <w:spacing w:val="-20"/>
                    <w:lang w:val="en-GB"/>
                  </w:rPr>
                </w:pPr>
                <w:r>
                  <w:rPr>
                    <w:rFonts w:cs="Times New Roman"/>
                    <w:bCs/>
                    <w:color w:val="000000"/>
                    <w:spacing w:val="-20"/>
                  </w:rPr>
                  <w:t>从事煤炭采掘与销售</w:t>
                </w:r>
              </w:p>
            </w:tc>
            <w:tc>
              <w:tcPr>
                <w:tcW w:w="904" w:type="dxa"/>
                <w:vAlign w:val="center"/>
              </w:tcPr>
              <w:p w14:paraId="081D0EEC" w14:textId="77777777" w:rsidR="007E7472" w:rsidRDefault="00EC1269">
                <w:pPr>
                  <w:jc w:val="center"/>
                  <w:rPr>
                    <w:rFonts w:cs="Times New Roman"/>
                    <w:snapToGrid w:val="0"/>
                    <w:color w:val="000000"/>
                    <w:spacing w:val="-20"/>
                    <w:lang w:val="en-GB" w:eastAsia="en-US"/>
                  </w:rPr>
                </w:pPr>
                <w:r>
                  <w:rPr>
                    <w:rFonts w:cs="Times New Roman"/>
                    <w:snapToGrid w:val="0"/>
                    <w:color w:val="000000"/>
                    <w:spacing w:val="-20"/>
                    <w:lang w:val="en-GB"/>
                  </w:rPr>
                  <w:t>100</w:t>
                </w:r>
              </w:p>
            </w:tc>
          </w:tr>
          <w:tr w:rsidR="007E7472" w14:paraId="5A420DAA" w14:textId="77777777">
            <w:trPr>
              <w:trHeight w:val="397"/>
            </w:trPr>
            <w:tc>
              <w:tcPr>
                <w:tcW w:w="3085" w:type="dxa"/>
                <w:vAlign w:val="center"/>
              </w:tcPr>
              <w:p w14:paraId="637625EF" w14:textId="77777777" w:rsidR="007E7472" w:rsidRDefault="00EC1269">
                <w:pPr>
                  <w:jc w:val="both"/>
                  <w:rPr>
                    <w:rFonts w:cs="Times New Roman"/>
                    <w:snapToGrid w:val="0"/>
                    <w:color w:val="000000"/>
                    <w:spacing w:val="-20"/>
                    <w:lang w:val="en-GB"/>
                  </w:rPr>
                </w:pPr>
                <w:r>
                  <w:rPr>
                    <w:rFonts w:cs="Times New Roman" w:hint="eastAsia"/>
                    <w:snapToGrid w:val="0"/>
                    <w:color w:val="000000"/>
                    <w:spacing w:val="-20"/>
                    <w:lang w:val="en-GB"/>
                  </w:rPr>
                  <w:t>鄂尔多斯市转龙湾煤炭有限公司</w:t>
                </w:r>
              </w:p>
            </w:tc>
            <w:tc>
              <w:tcPr>
                <w:tcW w:w="1083" w:type="dxa"/>
                <w:vAlign w:val="center"/>
              </w:tcPr>
              <w:p w14:paraId="469A1E23" w14:textId="77777777" w:rsidR="007E7472" w:rsidRDefault="00EC1269">
                <w:pPr>
                  <w:jc w:val="center"/>
                  <w:rPr>
                    <w:rFonts w:ascii="Times New Roman" w:hAnsi="Times New Roman" w:cs="Times New Roman"/>
                    <w:snapToGrid w:val="0"/>
                    <w:color w:val="000000"/>
                    <w:spacing w:val="-10"/>
                    <w:lang w:val="en-GB" w:eastAsia="en-US"/>
                  </w:rPr>
                </w:pPr>
                <w:r>
                  <w:rPr>
                    <w:rFonts w:cs="Times New Roman" w:hint="eastAsia"/>
                    <w:snapToGrid w:val="0"/>
                    <w:color w:val="000000"/>
                    <w:spacing w:val="-20"/>
                    <w:lang w:val="en-GB"/>
                  </w:rPr>
                  <w:t>鄂尔多斯</w:t>
                </w:r>
              </w:p>
            </w:tc>
            <w:tc>
              <w:tcPr>
                <w:tcW w:w="1469" w:type="dxa"/>
                <w:vAlign w:val="center"/>
              </w:tcPr>
              <w:p w14:paraId="2182F62A" w14:textId="77777777" w:rsidR="007E7472" w:rsidRDefault="00EC1269">
                <w:pPr>
                  <w:jc w:val="right"/>
                  <w:rPr>
                    <w:rFonts w:cs="Times New Roman"/>
                    <w:bCs/>
                    <w:color w:val="000000"/>
                    <w:spacing w:val="-20"/>
                  </w:rPr>
                </w:pPr>
                <w:r>
                  <w:rPr>
                    <w:rFonts w:cs="Times New Roman" w:hint="eastAsia"/>
                    <w:bCs/>
                    <w:color w:val="000000"/>
                    <w:spacing w:val="-20"/>
                  </w:rPr>
                  <w:t>505,000万元</w:t>
                </w:r>
              </w:p>
            </w:tc>
            <w:tc>
              <w:tcPr>
                <w:tcW w:w="2182" w:type="dxa"/>
                <w:vAlign w:val="center"/>
              </w:tcPr>
              <w:p w14:paraId="382A6DBE" w14:textId="77777777" w:rsidR="007E7472" w:rsidRDefault="00EC1269">
                <w:pPr>
                  <w:jc w:val="both"/>
                  <w:rPr>
                    <w:rFonts w:cs="Times New Roman"/>
                    <w:bCs/>
                    <w:color w:val="000000"/>
                    <w:spacing w:val="-20"/>
                  </w:rPr>
                </w:pPr>
                <w:r>
                  <w:rPr>
                    <w:rFonts w:cs="Times New Roman" w:hint="eastAsia"/>
                    <w:bCs/>
                    <w:color w:val="000000"/>
                    <w:spacing w:val="-20"/>
                  </w:rPr>
                  <w:t>煤炭销售、煤矿机械设备生产与销售</w:t>
                </w:r>
              </w:p>
            </w:tc>
            <w:tc>
              <w:tcPr>
                <w:tcW w:w="904" w:type="dxa"/>
                <w:vAlign w:val="center"/>
              </w:tcPr>
              <w:p w14:paraId="4EC0EC9C" w14:textId="77777777" w:rsidR="007E7472" w:rsidRDefault="00EC1269">
                <w:pPr>
                  <w:jc w:val="center"/>
                  <w:rPr>
                    <w:rFonts w:cs="Times New Roman"/>
                    <w:snapToGrid w:val="0"/>
                    <w:color w:val="000000"/>
                    <w:spacing w:val="-20"/>
                    <w:lang w:val="en-GB"/>
                  </w:rPr>
                </w:pPr>
                <w:r>
                  <w:rPr>
                    <w:rFonts w:cs="Times New Roman"/>
                    <w:snapToGrid w:val="0"/>
                    <w:color w:val="000000"/>
                    <w:spacing w:val="-20"/>
                    <w:lang w:val="en-GB"/>
                  </w:rPr>
                  <w:t>100</w:t>
                </w:r>
              </w:p>
            </w:tc>
          </w:tr>
        </w:tbl>
        <w:bookmarkEnd w:id="273"/>
        <w:p w14:paraId="3313094D" w14:textId="77777777" w:rsidR="007E7472" w:rsidRDefault="00EC1269" w:rsidP="00162493">
          <w:pPr>
            <w:numPr>
              <w:ilvl w:val="0"/>
              <w:numId w:val="104"/>
            </w:numPr>
            <w:tabs>
              <w:tab w:val="left" w:pos="567"/>
            </w:tabs>
            <w:spacing w:beforeLines="50" w:before="120" w:afterLines="50" w:after="120" w:line="360" w:lineRule="exact"/>
            <w:ind w:left="862"/>
            <w:jc w:val="both"/>
            <w:rPr>
              <w:rFonts w:cs="Times New Roman"/>
              <w:snapToGrid w:val="0"/>
              <w:color w:val="000000"/>
            </w:rPr>
          </w:pPr>
          <w:r>
            <w:rPr>
              <w:rFonts w:cs="Times New Roman"/>
              <w:snapToGrid w:val="0"/>
              <w:color w:val="000000"/>
            </w:rPr>
            <w:t>兖矿东华重工有限公司</w:t>
          </w:r>
        </w:p>
        <w:p w14:paraId="7C58A0F1" w14:textId="77777777" w:rsidR="007E7472" w:rsidRDefault="00EC1269">
          <w:pPr>
            <w:tabs>
              <w:tab w:val="left" w:pos="426"/>
              <w:tab w:val="left" w:pos="800"/>
            </w:tabs>
            <w:spacing w:beforeLines="50" w:before="120" w:afterLines="50" w:after="120" w:line="360" w:lineRule="exact"/>
            <w:ind w:firstLineChars="200" w:firstLine="420"/>
            <w:jc w:val="both"/>
            <w:rPr>
              <w:rFonts w:cs="Times New Roman"/>
              <w:snapToGrid w:val="0"/>
              <w:color w:val="000000"/>
              <w:lang w:val="en-GB"/>
            </w:rPr>
          </w:pPr>
          <w:r>
            <w:rPr>
              <w:rFonts w:cs="Times New Roman"/>
              <w:snapToGrid w:val="0"/>
              <w:color w:val="000000"/>
              <w:lang w:val="en-GB"/>
            </w:rPr>
            <w:t>兖矿东华重工有限公司</w:t>
          </w:r>
          <w:r>
            <w:rPr>
              <w:rFonts w:cs="Times New Roman" w:hint="eastAsia"/>
              <w:snapToGrid w:val="0"/>
              <w:color w:val="000000"/>
              <w:lang w:val="en-GB"/>
            </w:rPr>
            <w:t>（以下简称“东华重工”）</w:t>
          </w:r>
          <w:r>
            <w:rPr>
              <w:rFonts w:cs="Times New Roman"/>
              <w:snapToGrid w:val="0"/>
              <w:color w:val="000000"/>
              <w:lang w:val="en-GB"/>
            </w:rPr>
            <w:t>成立于2013年1月，由</w:t>
          </w:r>
          <w:r>
            <w:rPr>
              <w:rFonts w:cs="Times New Roman" w:hint="eastAsia"/>
              <w:snapToGrid w:val="0"/>
              <w:color w:val="000000"/>
              <w:lang w:val="en-GB"/>
            </w:rPr>
            <w:t>兖矿东华集团有限公司</w:t>
          </w:r>
          <w:r>
            <w:rPr>
              <w:rFonts w:cs="Times New Roman"/>
              <w:snapToGrid w:val="0"/>
              <w:color w:val="000000"/>
              <w:lang w:val="en-GB"/>
            </w:rPr>
            <w:t>出资成立</w:t>
          </w:r>
          <w:r>
            <w:rPr>
              <w:rFonts w:cs="Times New Roman" w:hint="eastAsia"/>
              <w:snapToGrid w:val="0"/>
              <w:color w:val="000000"/>
              <w:lang w:val="en-GB"/>
            </w:rPr>
            <w:t>，2015年7月兖矿东华集团有限公司持有的东华重工100%股权全部转让给本公</w:t>
          </w:r>
          <w:r>
            <w:rPr>
              <w:rFonts w:cs="Times New Roman" w:hint="eastAsia"/>
              <w:snapToGrid w:val="0"/>
              <w:color w:val="000000"/>
              <w:lang w:val="en-GB"/>
            </w:rPr>
            <w:lastRenderedPageBreak/>
            <w:t>司之控股股东山东能源集团有限公司，本公司之控股股东山东能源集团有限公司持有的东华重工100%股权全部转让给本公司。</w:t>
          </w:r>
          <w:r>
            <w:rPr>
              <w:rFonts w:cs="Times New Roman"/>
              <w:snapToGrid w:val="0"/>
              <w:color w:val="000000"/>
              <w:lang w:val="en-GB"/>
            </w:rPr>
            <w:t>注册资本为</w:t>
          </w:r>
          <w:r>
            <w:rPr>
              <w:rFonts w:cs="Times New Roman" w:hint="eastAsia"/>
              <w:snapToGrid w:val="0"/>
              <w:color w:val="000000"/>
              <w:lang w:val="en-GB"/>
            </w:rPr>
            <w:t>127,789</w:t>
          </w:r>
          <w:r>
            <w:rPr>
              <w:rFonts w:cs="Times New Roman"/>
              <w:snapToGrid w:val="0"/>
              <w:color w:val="000000"/>
              <w:lang w:val="en-GB"/>
            </w:rPr>
            <w:t>万元</w:t>
          </w:r>
          <w:r>
            <w:rPr>
              <w:rFonts w:cs="Times New Roman" w:hint="eastAsia"/>
              <w:snapToGrid w:val="0"/>
              <w:color w:val="000000"/>
              <w:lang w:val="en-GB"/>
            </w:rPr>
            <w:t>，20</w:t>
          </w:r>
          <w:r>
            <w:rPr>
              <w:rFonts w:cs="Times New Roman"/>
              <w:snapToGrid w:val="0"/>
              <w:color w:val="000000"/>
              <w:lang w:val="en-GB"/>
            </w:rPr>
            <w:t>21</w:t>
          </w:r>
          <w:r>
            <w:rPr>
              <w:rFonts w:cs="Times New Roman" w:hint="eastAsia"/>
              <w:snapToGrid w:val="0"/>
              <w:color w:val="000000"/>
              <w:lang w:val="en-GB"/>
            </w:rPr>
            <w:t>年11月，本公司再次对东华重工增资</w:t>
          </w:r>
          <w:r>
            <w:rPr>
              <w:rFonts w:cs="Times New Roman"/>
              <w:snapToGrid w:val="0"/>
              <w:color w:val="000000"/>
              <w:lang w:val="en-GB"/>
            </w:rPr>
            <w:t>10</w:t>
          </w:r>
          <w:r>
            <w:rPr>
              <w:rFonts w:cs="Times New Roman" w:hint="eastAsia"/>
              <w:snapToGrid w:val="0"/>
              <w:color w:val="000000"/>
              <w:lang w:val="en-GB"/>
            </w:rPr>
            <w:t>0,000万元，注册资本增加至</w:t>
          </w:r>
          <w:r>
            <w:rPr>
              <w:rFonts w:cs="Times New Roman"/>
              <w:snapToGrid w:val="0"/>
              <w:color w:val="000000"/>
              <w:lang w:val="en-GB"/>
            </w:rPr>
            <w:t>2</w:t>
          </w:r>
          <w:r>
            <w:rPr>
              <w:rFonts w:cs="Times New Roman" w:hint="eastAsia"/>
              <w:snapToGrid w:val="0"/>
              <w:color w:val="000000"/>
              <w:lang w:val="en-GB"/>
            </w:rPr>
            <w:t>27,789万元。</w:t>
          </w:r>
          <w:r>
            <w:rPr>
              <w:rFonts w:cs="Times New Roman"/>
              <w:snapToGrid w:val="0"/>
              <w:color w:val="000000"/>
              <w:lang w:val="en-GB"/>
            </w:rPr>
            <w:t>公司法人营业执照</w:t>
          </w:r>
          <w:r>
            <w:rPr>
              <w:rFonts w:cs="Times New Roman" w:hint="eastAsia"/>
              <w:snapToGrid w:val="0"/>
              <w:color w:val="000000"/>
              <w:lang w:val="en-GB"/>
            </w:rPr>
            <w:t>统一社会信用代码</w:t>
          </w:r>
          <w:r>
            <w:rPr>
              <w:rFonts w:cs="Times New Roman"/>
              <w:snapToGrid w:val="0"/>
              <w:color w:val="000000"/>
              <w:lang w:val="en-GB"/>
            </w:rPr>
            <w:t>：91</w:t>
          </w:r>
          <w:r>
            <w:rPr>
              <w:rFonts w:cs="Times New Roman" w:hint="eastAsia"/>
              <w:snapToGrid w:val="0"/>
              <w:color w:val="000000"/>
              <w:lang w:val="en-GB"/>
            </w:rPr>
            <w:t>370883061983346A，</w:t>
          </w:r>
          <w:r>
            <w:rPr>
              <w:rFonts w:cs="Times New Roman"/>
              <w:snapToGrid w:val="0"/>
              <w:color w:val="000000"/>
              <w:lang w:val="en-GB"/>
            </w:rPr>
            <w:t>公司法定代表人：</w:t>
          </w:r>
          <w:r>
            <w:rPr>
              <w:rFonts w:cs="Times New Roman" w:hint="eastAsia"/>
              <w:snapToGrid w:val="0"/>
              <w:color w:val="000000"/>
              <w:lang w:val="en-GB"/>
            </w:rPr>
            <w:t>张立，公司注册地址：邹城市西外环路5289号。主要从事矿用设备、机电设备、橡胶制品等的生产销售。</w:t>
          </w:r>
        </w:p>
        <w:p w14:paraId="6F2332D0" w14:textId="77777777" w:rsidR="007E7472" w:rsidRDefault="00EC1269">
          <w:pPr>
            <w:widowControl w:val="0"/>
            <w:tabs>
              <w:tab w:val="left" w:pos="426"/>
              <w:tab w:val="left" w:pos="800"/>
            </w:tabs>
            <w:spacing w:beforeLines="50" w:before="120" w:afterLines="50" w:after="120" w:line="360" w:lineRule="exact"/>
            <w:ind w:firstLineChars="200" w:firstLine="420"/>
            <w:jc w:val="both"/>
            <w:rPr>
              <w:rFonts w:cs="Times New Roman"/>
              <w:snapToGrid w:val="0"/>
              <w:color w:val="000000"/>
              <w:lang w:val="en-GB"/>
            </w:rPr>
          </w:pPr>
          <w:r>
            <w:rPr>
              <w:rFonts w:cs="Times New Roman" w:hint="eastAsia"/>
              <w:snapToGrid w:val="0"/>
              <w:color w:val="000000"/>
              <w:lang w:val="en-GB"/>
            </w:rPr>
            <w:t>东华重工主要</w:t>
          </w:r>
          <w:r>
            <w:rPr>
              <w:rFonts w:cs="Times New Roman"/>
              <w:snapToGrid w:val="0"/>
              <w:color w:val="000000"/>
              <w:lang w:val="en-GB"/>
            </w:rPr>
            <w:t>控股子公司如下：</w:t>
          </w:r>
        </w:p>
        <w:tbl>
          <w:tblPr>
            <w:tblStyle w:val="g4"/>
            <w:tblW w:w="8647" w:type="dxa"/>
            <w:tblBorders>
              <w:top w:val="double" w:sz="4" w:space="0" w:color="auto"/>
              <w:bottom w:val="double" w:sz="4" w:space="0" w:color="auto"/>
              <w:insideH w:val="single" w:sz="2" w:space="0" w:color="auto"/>
              <w:insideV w:val="single" w:sz="2" w:space="0" w:color="auto"/>
            </w:tblBorders>
            <w:tblLayout w:type="fixed"/>
            <w:tblLook w:val="04A0" w:firstRow="1" w:lastRow="0" w:firstColumn="1" w:lastColumn="0" w:noHBand="0" w:noVBand="1"/>
          </w:tblPr>
          <w:tblGrid>
            <w:gridCol w:w="2822"/>
            <w:gridCol w:w="1163"/>
            <w:gridCol w:w="1510"/>
            <w:gridCol w:w="2160"/>
            <w:gridCol w:w="992"/>
          </w:tblGrid>
          <w:tr w:rsidR="007E7472" w14:paraId="15ED3187" w14:textId="77777777">
            <w:trPr>
              <w:trHeight w:val="397"/>
              <w:tblHeader/>
            </w:trPr>
            <w:tc>
              <w:tcPr>
                <w:tcW w:w="2822" w:type="dxa"/>
                <w:vAlign w:val="center"/>
              </w:tcPr>
              <w:p w14:paraId="346139BE" w14:textId="77777777" w:rsidR="007E7472" w:rsidRDefault="00EC1269">
                <w:pPr>
                  <w:jc w:val="both"/>
                  <w:rPr>
                    <w:rFonts w:cs="Times New Roman"/>
                    <w:b/>
                    <w:snapToGrid w:val="0"/>
                  </w:rPr>
                </w:pPr>
                <w:r>
                  <w:rPr>
                    <w:rFonts w:cs="Times New Roman"/>
                    <w:b/>
                    <w:snapToGrid w:val="0"/>
                  </w:rPr>
                  <w:t>公司名称</w:t>
                </w:r>
              </w:p>
            </w:tc>
            <w:tc>
              <w:tcPr>
                <w:tcW w:w="1163" w:type="dxa"/>
                <w:vAlign w:val="center"/>
              </w:tcPr>
              <w:p w14:paraId="10F10252" w14:textId="77777777" w:rsidR="007E7472" w:rsidRDefault="00EC1269">
                <w:pPr>
                  <w:jc w:val="center"/>
                  <w:rPr>
                    <w:rFonts w:cs="Times New Roman"/>
                    <w:b/>
                    <w:snapToGrid w:val="0"/>
                  </w:rPr>
                </w:pPr>
                <w:r>
                  <w:rPr>
                    <w:rFonts w:cs="Times New Roman"/>
                    <w:b/>
                    <w:snapToGrid w:val="0"/>
                  </w:rPr>
                  <w:t>注册地</w:t>
                </w:r>
              </w:p>
            </w:tc>
            <w:tc>
              <w:tcPr>
                <w:tcW w:w="1510" w:type="dxa"/>
                <w:vAlign w:val="center"/>
              </w:tcPr>
              <w:p w14:paraId="08F2C488" w14:textId="77777777" w:rsidR="007E7472" w:rsidRDefault="00EC1269">
                <w:pPr>
                  <w:jc w:val="center"/>
                  <w:rPr>
                    <w:rFonts w:cs="Times New Roman"/>
                    <w:b/>
                    <w:snapToGrid w:val="0"/>
                    <w:spacing w:val="-20"/>
                  </w:rPr>
                </w:pPr>
                <w:r>
                  <w:rPr>
                    <w:rFonts w:cs="Times New Roman"/>
                    <w:b/>
                    <w:snapToGrid w:val="0"/>
                    <w:spacing w:val="-20"/>
                  </w:rPr>
                  <w:t>注册资本</w:t>
                </w:r>
              </w:p>
              <w:p w14:paraId="646A467B" w14:textId="77777777" w:rsidR="007E7472" w:rsidRDefault="00EC1269">
                <w:pPr>
                  <w:jc w:val="center"/>
                  <w:rPr>
                    <w:rFonts w:cs="Times New Roman"/>
                    <w:b/>
                    <w:snapToGrid w:val="0"/>
                    <w:spacing w:val="-40"/>
                  </w:rPr>
                </w:pPr>
                <w:r>
                  <w:rPr>
                    <w:rFonts w:cs="Times New Roman"/>
                    <w:b/>
                    <w:snapToGrid w:val="0"/>
                    <w:spacing w:val="-20"/>
                  </w:rPr>
                  <w:t>（人民币）</w:t>
                </w:r>
              </w:p>
            </w:tc>
            <w:tc>
              <w:tcPr>
                <w:tcW w:w="2160" w:type="dxa"/>
                <w:vAlign w:val="center"/>
              </w:tcPr>
              <w:p w14:paraId="5C1EDBE9" w14:textId="77777777" w:rsidR="007E7472" w:rsidRDefault="00EC1269">
                <w:pPr>
                  <w:jc w:val="center"/>
                  <w:rPr>
                    <w:rFonts w:cs="Times New Roman"/>
                    <w:b/>
                    <w:snapToGrid w:val="0"/>
                  </w:rPr>
                </w:pPr>
                <w:r>
                  <w:rPr>
                    <w:rFonts w:cs="Times New Roman"/>
                    <w:b/>
                    <w:snapToGrid w:val="0"/>
                  </w:rPr>
                  <w:t>经营范围</w:t>
                </w:r>
              </w:p>
            </w:tc>
            <w:tc>
              <w:tcPr>
                <w:tcW w:w="992" w:type="dxa"/>
                <w:vAlign w:val="center"/>
              </w:tcPr>
              <w:p w14:paraId="26E763D2" w14:textId="77777777" w:rsidR="007E7472" w:rsidRDefault="00EC1269">
                <w:pPr>
                  <w:jc w:val="center"/>
                  <w:rPr>
                    <w:rFonts w:cs="Times New Roman"/>
                    <w:b/>
                    <w:snapToGrid w:val="0"/>
                  </w:rPr>
                </w:pPr>
                <w:r>
                  <w:rPr>
                    <w:rFonts w:cs="Times New Roman"/>
                    <w:b/>
                    <w:snapToGrid w:val="0"/>
                  </w:rPr>
                  <w:t>持股比例(%)</w:t>
                </w:r>
              </w:p>
            </w:tc>
          </w:tr>
          <w:tr w:rsidR="007E7472" w14:paraId="73068BD0" w14:textId="77777777">
            <w:trPr>
              <w:trHeight w:val="397"/>
            </w:trPr>
            <w:tc>
              <w:tcPr>
                <w:tcW w:w="2822" w:type="dxa"/>
                <w:vAlign w:val="center"/>
              </w:tcPr>
              <w:p w14:paraId="4791D166" w14:textId="77777777" w:rsidR="007E7472" w:rsidRDefault="00EC1269">
                <w:pPr>
                  <w:ind w:leftChars="-50" w:left="-105" w:rightChars="-53" w:right="-111"/>
                  <w:jc w:val="both"/>
                  <w:rPr>
                    <w:rFonts w:cs="Times New Roman"/>
                    <w:color w:val="000000"/>
                    <w:spacing w:val="-20"/>
                  </w:rPr>
                </w:pPr>
                <w:r>
                  <w:rPr>
                    <w:rFonts w:cs="Times New Roman" w:hint="eastAsia"/>
                    <w:color w:val="000000"/>
                    <w:spacing w:val="-20"/>
                  </w:rPr>
                  <w:t>兖州东方机电有限公司</w:t>
                </w:r>
              </w:p>
            </w:tc>
            <w:tc>
              <w:tcPr>
                <w:tcW w:w="1163" w:type="dxa"/>
                <w:vAlign w:val="center"/>
              </w:tcPr>
              <w:p w14:paraId="401B093A" w14:textId="77777777" w:rsidR="007E7472" w:rsidRDefault="00EC1269">
                <w:pPr>
                  <w:jc w:val="both"/>
                  <w:rPr>
                    <w:rFonts w:cs="Times New Roman"/>
                    <w:snapToGrid w:val="0"/>
                    <w:color w:val="000000"/>
                    <w:lang w:val="en-GB" w:eastAsia="en-US"/>
                  </w:rPr>
                </w:pPr>
                <w:r>
                  <w:rPr>
                    <w:rFonts w:cs="Times New Roman"/>
                    <w:snapToGrid w:val="0"/>
                    <w:color w:val="000000"/>
                    <w:lang w:val="en-GB" w:eastAsia="en-US"/>
                  </w:rPr>
                  <w:t>山东邹城</w:t>
                </w:r>
              </w:p>
            </w:tc>
            <w:tc>
              <w:tcPr>
                <w:tcW w:w="1510" w:type="dxa"/>
                <w:vAlign w:val="center"/>
              </w:tcPr>
              <w:p w14:paraId="683DC15F" w14:textId="77777777" w:rsidR="007E7472" w:rsidRDefault="00EC1269">
                <w:pPr>
                  <w:ind w:leftChars="-76" w:hangingChars="76" w:hanging="160"/>
                  <w:jc w:val="right"/>
                  <w:rPr>
                    <w:rFonts w:cs="Times New Roman"/>
                    <w:color w:val="000000"/>
                  </w:rPr>
                </w:pPr>
                <w:r>
                  <w:rPr>
                    <w:rFonts w:cs="Times New Roman" w:hint="eastAsia"/>
                    <w:color w:val="000000"/>
                  </w:rPr>
                  <w:t>5,000万元</w:t>
                </w:r>
              </w:p>
            </w:tc>
            <w:tc>
              <w:tcPr>
                <w:tcW w:w="2160" w:type="dxa"/>
                <w:vAlign w:val="center"/>
              </w:tcPr>
              <w:p w14:paraId="24304868" w14:textId="77777777" w:rsidR="007E7472" w:rsidRDefault="00EC1269">
                <w:pPr>
                  <w:jc w:val="both"/>
                  <w:rPr>
                    <w:rFonts w:cs="Times New Roman"/>
                    <w:snapToGrid w:val="0"/>
                    <w:color w:val="000000"/>
                    <w:spacing w:val="-40"/>
                    <w:lang w:val="en-GB"/>
                  </w:rPr>
                </w:pPr>
                <w:r>
                  <w:rPr>
                    <w:rFonts w:cs="Times New Roman" w:hint="eastAsia"/>
                    <w:snapToGrid w:val="0"/>
                    <w:color w:val="000000"/>
                    <w:spacing w:val="-40"/>
                    <w:lang w:val="en-GB"/>
                  </w:rPr>
                  <w:t>矿用电器、高低压开关设备制造</w:t>
                </w:r>
              </w:p>
            </w:tc>
            <w:tc>
              <w:tcPr>
                <w:tcW w:w="992" w:type="dxa"/>
                <w:vAlign w:val="center"/>
              </w:tcPr>
              <w:p w14:paraId="6B569106" w14:textId="77777777" w:rsidR="007E7472" w:rsidRDefault="00EC1269">
                <w:pPr>
                  <w:jc w:val="center"/>
                  <w:rPr>
                    <w:rFonts w:cs="Times New Roman"/>
                    <w:color w:val="000000"/>
                  </w:rPr>
                </w:pPr>
                <w:r>
                  <w:rPr>
                    <w:rFonts w:cs="Times New Roman" w:hint="eastAsia"/>
                    <w:color w:val="000000"/>
                  </w:rPr>
                  <w:t>94.34</w:t>
                </w:r>
              </w:p>
            </w:tc>
          </w:tr>
          <w:tr w:rsidR="007E7472" w14:paraId="715E9A65" w14:textId="77777777">
            <w:trPr>
              <w:trHeight w:val="397"/>
            </w:trPr>
            <w:tc>
              <w:tcPr>
                <w:tcW w:w="2822" w:type="dxa"/>
                <w:vAlign w:val="center"/>
              </w:tcPr>
              <w:p w14:paraId="5D2E957C" w14:textId="77777777" w:rsidR="007E7472" w:rsidRDefault="00EC1269">
                <w:pPr>
                  <w:ind w:leftChars="-50" w:left="-105" w:rightChars="-53" w:right="-111"/>
                  <w:jc w:val="both"/>
                  <w:rPr>
                    <w:rFonts w:cs="Times New Roman"/>
                    <w:color w:val="000000"/>
                    <w:spacing w:val="-20"/>
                  </w:rPr>
                </w:pPr>
                <w:r>
                  <w:rPr>
                    <w:rFonts w:cs="Times New Roman" w:hint="eastAsia"/>
                    <w:color w:val="000000"/>
                    <w:spacing w:val="-20"/>
                  </w:rPr>
                  <w:t>兖矿集团邹城金通橡胶有限公司</w:t>
                </w:r>
              </w:p>
            </w:tc>
            <w:tc>
              <w:tcPr>
                <w:tcW w:w="1163" w:type="dxa"/>
                <w:vAlign w:val="center"/>
              </w:tcPr>
              <w:p w14:paraId="5F2997AD" w14:textId="77777777" w:rsidR="007E7472" w:rsidRDefault="00EC1269">
                <w:pPr>
                  <w:jc w:val="both"/>
                  <w:rPr>
                    <w:rFonts w:cs="Times New Roman"/>
                    <w:snapToGrid w:val="0"/>
                    <w:color w:val="000000"/>
                    <w:lang w:val="en-GB" w:eastAsia="en-US"/>
                  </w:rPr>
                </w:pPr>
                <w:r>
                  <w:rPr>
                    <w:rFonts w:cs="Times New Roman"/>
                    <w:snapToGrid w:val="0"/>
                    <w:color w:val="000000"/>
                    <w:lang w:val="en-GB" w:eastAsia="en-US"/>
                  </w:rPr>
                  <w:t>山东邹城</w:t>
                </w:r>
              </w:p>
            </w:tc>
            <w:tc>
              <w:tcPr>
                <w:tcW w:w="1510" w:type="dxa"/>
                <w:vAlign w:val="center"/>
              </w:tcPr>
              <w:p w14:paraId="59ACBBB0" w14:textId="77777777" w:rsidR="007E7472" w:rsidRDefault="00EC1269">
                <w:pPr>
                  <w:ind w:leftChars="-76" w:hangingChars="76" w:hanging="160"/>
                  <w:jc w:val="right"/>
                  <w:rPr>
                    <w:rFonts w:cs="Times New Roman"/>
                    <w:color w:val="000000"/>
                  </w:rPr>
                </w:pPr>
                <w:r>
                  <w:rPr>
                    <w:rFonts w:cs="Times New Roman" w:hint="eastAsia"/>
                    <w:color w:val="000000"/>
                  </w:rPr>
                  <w:t>660万元</w:t>
                </w:r>
              </w:p>
            </w:tc>
            <w:tc>
              <w:tcPr>
                <w:tcW w:w="2160" w:type="dxa"/>
                <w:vAlign w:val="center"/>
              </w:tcPr>
              <w:p w14:paraId="52A921BC" w14:textId="77777777" w:rsidR="007E7472" w:rsidRDefault="00EC1269">
                <w:pPr>
                  <w:jc w:val="both"/>
                  <w:rPr>
                    <w:rFonts w:cs="Times New Roman"/>
                    <w:snapToGrid w:val="0"/>
                    <w:color w:val="000000"/>
                    <w:spacing w:val="-20"/>
                    <w:lang w:val="en-GB"/>
                  </w:rPr>
                </w:pPr>
                <w:r>
                  <w:rPr>
                    <w:rFonts w:cs="Times New Roman" w:hint="eastAsia"/>
                    <w:snapToGrid w:val="0"/>
                    <w:color w:val="000000"/>
                    <w:spacing w:val="-20"/>
                    <w:lang w:val="en-GB"/>
                  </w:rPr>
                  <w:t>高、中、低压橡胶软管制造</w:t>
                </w:r>
              </w:p>
            </w:tc>
            <w:tc>
              <w:tcPr>
                <w:tcW w:w="992" w:type="dxa"/>
                <w:vAlign w:val="center"/>
              </w:tcPr>
              <w:p w14:paraId="3D7FF81F" w14:textId="77777777" w:rsidR="007E7472" w:rsidRDefault="00EC1269">
                <w:pPr>
                  <w:jc w:val="center"/>
                  <w:rPr>
                    <w:rFonts w:cs="Times New Roman"/>
                    <w:color w:val="000000"/>
                  </w:rPr>
                </w:pPr>
                <w:r>
                  <w:rPr>
                    <w:rFonts w:cs="Times New Roman" w:hint="eastAsia"/>
                    <w:color w:val="000000"/>
                  </w:rPr>
                  <w:t>54.55</w:t>
                </w:r>
              </w:p>
            </w:tc>
          </w:tr>
          <w:tr w:rsidR="007E7472" w14:paraId="06299F53" w14:textId="77777777">
            <w:trPr>
              <w:trHeight w:val="397"/>
            </w:trPr>
            <w:tc>
              <w:tcPr>
                <w:tcW w:w="2822" w:type="dxa"/>
                <w:vAlign w:val="center"/>
              </w:tcPr>
              <w:p w14:paraId="55560C6D" w14:textId="77777777" w:rsidR="007E7472" w:rsidRDefault="00EC1269">
                <w:pPr>
                  <w:ind w:leftChars="-50" w:left="-105" w:rightChars="-53" w:right="-111"/>
                  <w:jc w:val="both"/>
                  <w:rPr>
                    <w:rFonts w:cs="Times New Roman"/>
                    <w:color w:val="000000"/>
                    <w:spacing w:val="-20"/>
                  </w:rPr>
                </w:pPr>
                <w:r>
                  <w:rPr>
                    <w:rFonts w:cs="Times New Roman" w:hint="eastAsia"/>
                    <w:color w:val="000000"/>
                    <w:spacing w:val="-20"/>
                  </w:rPr>
                  <w:t>兖矿集团唐村实业有限公司</w:t>
                </w:r>
              </w:p>
            </w:tc>
            <w:tc>
              <w:tcPr>
                <w:tcW w:w="1163" w:type="dxa"/>
                <w:vAlign w:val="center"/>
              </w:tcPr>
              <w:p w14:paraId="612795A0" w14:textId="77777777" w:rsidR="007E7472" w:rsidRDefault="00EC1269">
                <w:pPr>
                  <w:jc w:val="both"/>
                  <w:rPr>
                    <w:rFonts w:cs="Times New Roman"/>
                    <w:snapToGrid w:val="0"/>
                    <w:color w:val="000000"/>
                    <w:lang w:val="en-GB" w:eastAsia="en-US"/>
                  </w:rPr>
                </w:pPr>
                <w:r>
                  <w:rPr>
                    <w:rFonts w:cs="Times New Roman"/>
                    <w:snapToGrid w:val="0"/>
                    <w:color w:val="000000"/>
                    <w:lang w:val="en-GB" w:eastAsia="en-US"/>
                  </w:rPr>
                  <w:t>山东邹城</w:t>
                </w:r>
              </w:p>
            </w:tc>
            <w:tc>
              <w:tcPr>
                <w:tcW w:w="1510" w:type="dxa"/>
                <w:vAlign w:val="center"/>
              </w:tcPr>
              <w:p w14:paraId="46A407C5" w14:textId="77777777" w:rsidR="007E7472" w:rsidRDefault="00EC1269">
                <w:pPr>
                  <w:ind w:leftChars="-76" w:hangingChars="76" w:hanging="160"/>
                  <w:jc w:val="right"/>
                  <w:rPr>
                    <w:rFonts w:cs="Times New Roman"/>
                    <w:color w:val="000000"/>
                  </w:rPr>
                </w:pPr>
                <w:r>
                  <w:rPr>
                    <w:rFonts w:cs="Times New Roman" w:hint="eastAsia"/>
                    <w:color w:val="000000"/>
                  </w:rPr>
                  <w:t>5,100万元</w:t>
                </w:r>
              </w:p>
            </w:tc>
            <w:tc>
              <w:tcPr>
                <w:tcW w:w="2160" w:type="dxa"/>
                <w:vAlign w:val="center"/>
              </w:tcPr>
              <w:p w14:paraId="1DCAF8F2" w14:textId="77777777" w:rsidR="007E7472" w:rsidRDefault="00EC1269">
                <w:pPr>
                  <w:jc w:val="both"/>
                  <w:rPr>
                    <w:rFonts w:cs="Times New Roman"/>
                    <w:snapToGrid w:val="0"/>
                    <w:color w:val="000000"/>
                    <w:spacing w:val="-20"/>
                    <w:lang w:val="en-GB"/>
                  </w:rPr>
                </w:pPr>
                <w:r>
                  <w:rPr>
                    <w:rFonts w:cs="Times New Roman" w:hint="eastAsia"/>
                    <w:snapToGrid w:val="0"/>
                    <w:color w:val="000000"/>
                    <w:spacing w:val="-20"/>
                    <w:lang w:val="en-GB"/>
                  </w:rPr>
                  <w:t>橡胶输送带、电缆制造</w:t>
                </w:r>
              </w:p>
            </w:tc>
            <w:tc>
              <w:tcPr>
                <w:tcW w:w="992" w:type="dxa"/>
                <w:vAlign w:val="center"/>
              </w:tcPr>
              <w:p w14:paraId="0EBD105E" w14:textId="77777777" w:rsidR="007E7472" w:rsidRDefault="00EC1269">
                <w:pPr>
                  <w:jc w:val="center"/>
                  <w:rPr>
                    <w:rFonts w:cs="Times New Roman"/>
                    <w:color w:val="000000"/>
                  </w:rPr>
                </w:pPr>
                <w:r>
                  <w:rPr>
                    <w:rFonts w:cs="Times New Roman" w:hint="eastAsia"/>
                    <w:color w:val="000000"/>
                  </w:rPr>
                  <w:t>100</w:t>
                </w:r>
              </w:p>
            </w:tc>
          </w:tr>
          <w:tr w:rsidR="007E7472" w14:paraId="6CFE149B" w14:textId="77777777">
            <w:trPr>
              <w:trHeight w:val="397"/>
            </w:trPr>
            <w:tc>
              <w:tcPr>
                <w:tcW w:w="2822" w:type="dxa"/>
                <w:vAlign w:val="center"/>
              </w:tcPr>
              <w:p w14:paraId="05D1D6F9" w14:textId="77777777" w:rsidR="007E7472" w:rsidRDefault="00EC1269">
                <w:pPr>
                  <w:ind w:leftChars="-50" w:left="-105" w:rightChars="-53" w:right="-111"/>
                  <w:jc w:val="both"/>
                  <w:rPr>
                    <w:rFonts w:cs="Times New Roman"/>
                    <w:color w:val="000000"/>
                    <w:spacing w:val="-20"/>
                  </w:rPr>
                </w:pPr>
                <w:r>
                  <w:rPr>
                    <w:rFonts w:cs="Times New Roman" w:hint="eastAsia"/>
                    <w:color w:val="000000"/>
                    <w:spacing w:val="-20"/>
                  </w:rPr>
                  <w:t>山东兖矿智能制造有限公司</w:t>
                </w:r>
              </w:p>
            </w:tc>
            <w:tc>
              <w:tcPr>
                <w:tcW w:w="1163" w:type="dxa"/>
                <w:vAlign w:val="center"/>
              </w:tcPr>
              <w:p w14:paraId="5E30BB30" w14:textId="77777777" w:rsidR="007E7472" w:rsidRDefault="00EC1269">
                <w:pPr>
                  <w:jc w:val="both"/>
                  <w:rPr>
                    <w:rFonts w:cs="Times New Roman"/>
                    <w:snapToGrid w:val="0"/>
                    <w:color w:val="000000"/>
                    <w:lang w:val="en-GB" w:eastAsia="en-US"/>
                  </w:rPr>
                </w:pPr>
                <w:r>
                  <w:rPr>
                    <w:rFonts w:cs="Times New Roman"/>
                    <w:snapToGrid w:val="0"/>
                    <w:color w:val="000000"/>
                    <w:lang w:val="en-GB" w:eastAsia="en-US"/>
                  </w:rPr>
                  <w:t>山东邹城</w:t>
                </w:r>
              </w:p>
            </w:tc>
            <w:tc>
              <w:tcPr>
                <w:tcW w:w="1510" w:type="dxa"/>
                <w:vAlign w:val="center"/>
              </w:tcPr>
              <w:p w14:paraId="0E8A0B24" w14:textId="77777777" w:rsidR="007E7472" w:rsidRDefault="00EC1269">
                <w:pPr>
                  <w:ind w:leftChars="-76" w:hangingChars="76" w:hanging="160"/>
                  <w:jc w:val="right"/>
                  <w:rPr>
                    <w:rFonts w:cs="Times New Roman"/>
                    <w:color w:val="000000"/>
                  </w:rPr>
                </w:pPr>
                <w:r>
                  <w:rPr>
                    <w:rFonts w:cs="Times New Roman" w:hint="eastAsia"/>
                    <w:color w:val="000000"/>
                  </w:rPr>
                  <w:t>1</w:t>
                </w:r>
                <w:r>
                  <w:rPr>
                    <w:rFonts w:cs="Times New Roman"/>
                    <w:color w:val="000000"/>
                  </w:rPr>
                  <w:t>20,000</w:t>
                </w:r>
                <w:r>
                  <w:rPr>
                    <w:rFonts w:cs="Times New Roman" w:hint="eastAsia"/>
                    <w:color w:val="000000"/>
                  </w:rPr>
                  <w:t>万元</w:t>
                </w:r>
              </w:p>
            </w:tc>
            <w:tc>
              <w:tcPr>
                <w:tcW w:w="2160" w:type="dxa"/>
                <w:vAlign w:val="center"/>
              </w:tcPr>
              <w:p w14:paraId="60DA0A5D" w14:textId="77777777" w:rsidR="007E7472" w:rsidRDefault="00EC1269">
                <w:pPr>
                  <w:jc w:val="both"/>
                  <w:rPr>
                    <w:rFonts w:cs="Times New Roman"/>
                    <w:color w:val="000000"/>
                    <w:spacing w:val="-10"/>
                  </w:rPr>
                </w:pPr>
                <w:r>
                  <w:rPr>
                    <w:rFonts w:cs="Times New Roman" w:hint="eastAsia"/>
                    <w:snapToGrid w:val="0"/>
                    <w:color w:val="000000"/>
                    <w:spacing w:val="-20"/>
                    <w:lang w:val="en-GB"/>
                  </w:rPr>
                  <w:t>设备制造、修理</w:t>
                </w:r>
              </w:p>
            </w:tc>
            <w:tc>
              <w:tcPr>
                <w:tcW w:w="992" w:type="dxa"/>
                <w:vAlign w:val="center"/>
              </w:tcPr>
              <w:p w14:paraId="27CC8B05" w14:textId="77777777" w:rsidR="007E7472" w:rsidRDefault="00EC1269">
                <w:pPr>
                  <w:jc w:val="center"/>
                  <w:rPr>
                    <w:rFonts w:cs="Times New Roman"/>
                    <w:color w:val="000000"/>
                  </w:rPr>
                </w:pPr>
                <w:r>
                  <w:rPr>
                    <w:rFonts w:cs="Times New Roman" w:hint="eastAsia"/>
                    <w:color w:val="000000"/>
                  </w:rPr>
                  <w:t>1</w:t>
                </w:r>
                <w:r>
                  <w:rPr>
                    <w:rFonts w:cs="Times New Roman"/>
                    <w:color w:val="000000"/>
                  </w:rPr>
                  <w:t>00</w:t>
                </w:r>
              </w:p>
            </w:tc>
          </w:tr>
        </w:tbl>
        <w:p w14:paraId="6A697DAF" w14:textId="77777777" w:rsidR="007E7472" w:rsidRDefault="00EC1269" w:rsidP="00162493">
          <w:pPr>
            <w:widowControl w:val="0"/>
            <w:numPr>
              <w:ilvl w:val="0"/>
              <w:numId w:val="104"/>
            </w:numPr>
            <w:tabs>
              <w:tab w:val="left" w:pos="567"/>
            </w:tabs>
            <w:spacing w:beforeLines="50" w:before="120" w:afterLines="50" w:after="120" w:line="360" w:lineRule="exact"/>
            <w:ind w:left="862"/>
            <w:jc w:val="both"/>
            <w:rPr>
              <w:rFonts w:cs="Times New Roman"/>
              <w:snapToGrid w:val="0"/>
              <w:color w:val="000000"/>
            </w:rPr>
          </w:pPr>
          <w:r>
            <w:rPr>
              <w:rFonts w:cs="Times New Roman"/>
              <w:snapToGrid w:val="0"/>
              <w:color w:val="000000"/>
            </w:rPr>
            <w:t>兖煤菏泽能化有限公司</w:t>
          </w:r>
        </w:p>
        <w:p w14:paraId="6C079AAF" w14:textId="77777777" w:rsidR="007E7472" w:rsidRDefault="00EC1269">
          <w:pPr>
            <w:tabs>
              <w:tab w:val="left" w:pos="426"/>
              <w:tab w:val="left" w:pos="800"/>
            </w:tabs>
            <w:spacing w:beforeLines="50" w:before="120" w:afterLines="50" w:after="120" w:line="360" w:lineRule="exact"/>
            <w:ind w:firstLineChars="200" w:firstLine="420"/>
            <w:jc w:val="both"/>
            <w:rPr>
              <w:rFonts w:cs="Times New Roman"/>
              <w:snapToGrid w:val="0"/>
              <w:color w:val="000000"/>
              <w:lang w:val="en-GB"/>
            </w:rPr>
          </w:pPr>
          <w:r>
            <w:rPr>
              <w:rFonts w:cs="Times New Roman"/>
              <w:snapToGrid w:val="0"/>
              <w:color w:val="000000"/>
              <w:lang w:val="en-GB"/>
            </w:rPr>
            <w:t>兖煤菏泽能化有限公司（以下简称“菏泽能化”）系由本公司、煤炭工业济南设计研究院有限公司、山东省煤炭地质局于2002年10月共同出资设立之公司，实收资本60,000万元，本公司持有其95.67%股权；2007年7月，菏泽能化增资扩股，注册资本增加至150,000万元，本公司股权占比增加至96.67%。2010年5月，本公司对菏泽能化增资150,000万元，注册资本增加至300,000万元，本公司股权占比增加至98.33%。</w:t>
          </w:r>
          <w:r>
            <w:rPr>
              <w:rFonts w:cs="Times New Roman" w:hint="eastAsia"/>
              <w:snapToGrid w:val="0"/>
              <w:color w:val="000000"/>
              <w:lang w:val="en-GB"/>
            </w:rPr>
            <w:t>公司法人营业执照统一社会信用代码</w:t>
          </w:r>
          <w:r>
            <w:rPr>
              <w:rFonts w:cs="Times New Roman"/>
              <w:snapToGrid w:val="0"/>
              <w:color w:val="000000"/>
              <w:lang w:val="en-GB"/>
            </w:rPr>
            <w:t>：</w:t>
          </w:r>
          <w:r>
            <w:rPr>
              <w:rFonts w:cs="Times New Roman" w:hint="eastAsia"/>
              <w:snapToGrid w:val="0"/>
              <w:color w:val="000000"/>
              <w:lang w:val="en-GB"/>
            </w:rPr>
            <w:t>91370000754456581B</w:t>
          </w:r>
          <w:r>
            <w:rPr>
              <w:rFonts w:cs="Times New Roman"/>
              <w:snapToGrid w:val="0"/>
              <w:color w:val="000000"/>
              <w:lang w:val="en-GB"/>
            </w:rPr>
            <w:t>，法定代表人：</w:t>
          </w:r>
          <w:r>
            <w:rPr>
              <w:rFonts w:cs="Times New Roman" w:hint="eastAsia"/>
              <w:snapToGrid w:val="0"/>
              <w:color w:val="000000"/>
              <w:lang w:val="en-GB"/>
            </w:rPr>
            <w:t>姚刚</w:t>
          </w:r>
          <w:r>
            <w:rPr>
              <w:rFonts w:cs="Times New Roman"/>
              <w:snapToGrid w:val="0"/>
              <w:color w:val="000000"/>
              <w:lang w:val="en-GB"/>
            </w:rPr>
            <w:t>，主要从事巨野煤田煤炭开采及销售。</w:t>
          </w:r>
        </w:p>
        <w:p w14:paraId="7AC60BEE" w14:textId="77777777" w:rsidR="007E7472" w:rsidRDefault="00EC1269">
          <w:pPr>
            <w:tabs>
              <w:tab w:val="left" w:pos="426"/>
              <w:tab w:val="left" w:pos="800"/>
            </w:tabs>
            <w:spacing w:beforeLines="50" w:before="120" w:afterLines="50" w:after="120" w:line="360" w:lineRule="exact"/>
            <w:ind w:firstLineChars="200" w:firstLine="420"/>
            <w:jc w:val="both"/>
            <w:rPr>
              <w:rFonts w:cs="Times New Roman"/>
              <w:snapToGrid w:val="0"/>
              <w:color w:val="000000"/>
              <w:lang w:val="en-GB"/>
            </w:rPr>
          </w:pPr>
          <w:r>
            <w:rPr>
              <w:rFonts w:cs="Times New Roman" w:hint="eastAsia"/>
              <w:snapToGrid w:val="0"/>
              <w:color w:val="000000"/>
              <w:lang w:val="en-GB"/>
            </w:rPr>
            <w:t>菏泽能化主要控股子公司如下：</w:t>
          </w:r>
        </w:p>
        <w:tbl>
          <w:tblPr>
            <w:tblStyle w:val="g4"/>
            <w:tblW w:w="0" w:type="auto"/>
            <w:tblBorders>
              <w:top w:val="double" w:sz="4" w:space="0" w:color="auto"/>
              <w:bottom w:val="double" w:sz="4" w:space="0" w:color="auto"/>
              <w:insideH w:val="single" w:sz="2" w:space="0" w:color="auto"/>
              <w:insideV w:val="single" w:sz="2" w:space="0" w:color="auto"/>
            </w:tblBorders>
            <w:shd w:val="clear" w:color="auto" w:fill="92D050"/>
            <w:tblLayout w:type="fixed"/>
            <w:tblLook w:val="04A0" w:firstRow="1" w:lastRow="0" w:firstColumn="1" w:lastColumn="0" w:noHBand="0" w:noVBand="1"/>
          </w:tblPr>
          <w:tblGrid>
            <w:gridCol w:w="2623"/>
            <w:gridCol w:w="1119"/>
            <w:gridCol w:w="1675"/>
            <w:gridCol w:w="2291"/>
            <w:gridCol w:w="892"/>
          </w:tblGrid>
          <w:tr w:rsidR="007E7472" w14:paraId="77BDDCA0" w14:textId="77777777">
            <w:trPr>
              <w:trHeight w:val="490"/>
              <w:tblHeader/>
            </w:trPr>
            <w:tc>
              <w:tcPr>
                <w:tcW w:w="2623" w:type="dxa"/>
                <w:shd w:val="clear" w:color="auto" w:fill="auto"/>
                <w:vAlign w:val="center"/>
              </w:tcPr>
              <w:p w14:paraId="1AC49A15" w14:textId="77777777" w:rsidR="007E7472" w:rsidRDefault="00EC1269">
                <w:pPr>
                  <w:jc w:val="both"/>
                  <w:rPr>
                    <w:rFonts w:cs="Times New Roman"/>
                    <w:b/>
                    <w:snapToGrid w:val="0"/>
                  </w:rPr>
                </w:pPr>
                <w:r>
                  <w:rPr>
                    <w:rFonts w:cs="Times New Roman"/>
                    <w:b/>
                    <w:snapToGrid w:val="0"/>
                  </w:rPr>
                  <w:t>公司名称</w:t>
                </w:r>
              </w:p>
            </w:tc>
            <w:tc>
              <w:tcPr>
                <w:tcW w:w="1119" w:type="dxa"/>
                <w:shd w:val="clear" w:color="auto" w:fill="auto"/>
                <w:vAlign w:val="center"/>
              </w:tcPr>
              <w:p w14:paraId="0357CB69" w14:textId="77777777" w:rsidR="007E7472" w:rsidRDefault="00EC1269">
                <w:pPr>
                  <w:jc w:val="center"/>
                  <w:rPr>
                    <w:rFonts w:cs="Times New Roman"/>
                    <w:b/>
                    <w:snapToGrid w:val="0"/>
                  </w:rPr>
                </w:pPr>
                <w:r>
                  <w:rPr>
                    <w:rFonts w:cs="Times New Roman"/>
                    <w:b/>
                    <w:snapToGrid w:val="0"/>
                  </w:rPr>
                  <w:t>注册地</w:t>
                </w:r>
              </w:p>
            </w:tc>
            <w:tc>
              <w:tcPr>
                <w:tcW w:w="1675" w:type="dxa"/>
                <w:shd w:val="clear" w:color="auto" w:fill="auto"/>
                <w:vAlign w:val="center"/>
              </w:tcPr>
              <w:p w14:paraId="5A231BF6" w14:textId="77777777" w:rsidR="007E7472" w:rsidRDefault="00EC1269">
                <w:pPr>
                  <w:jc w:val="center"/>
                  <w:rPr>
                    <w:rFonts w:cs="Times New Roman"/>
                    <w:b/>
                    <w:snapToGrid w:val="0"/>
                  </w:rPr>
                </w:pPr>
                <w:r>
                  <w:rPr>
                    <w:rFonts w:cs="Times New Roman"/>
                    <w:b/>
                    <w:snapToGrid w:val="0"/>
                  </w:rPr>
                  <w:t>注册资本</w:t>
                </w:r>
              </w:p>
              <w:p w14:paraId="0FF49BA4" w14:textId="77777777" w:rsidR="007E7472" w:rsidRDefault="00EC1269">
                <w:pPr>
                  <w:jc w:val="center"/>
                  <w:rPr>
                    <w:rFonts w:cs="Times New Roman"/>
                    <w:b/>
                    <w:snapToGrid w:val="0"/>
                  </w:rPr>
                </w:pPr>
                <w:r>
                  <w:rPr>
                    <w:rFonts w:cs="Times New Roman"/>
                    <w:b/>
                    <w:snapToGrid w:val="0"/>
                  </w:rPr>
                  <w:t>（人民币）</w:t>
                </w:r>
              </w:p>
            </w:tc>
            <w:tc>
              <w:tcPr>
                <w:tcW w:w="2291" w:type="dxa"/>
                <w:shd w:val="clear" w:color="auto" w:fill="auto"/>
                <w:vAlign w:val="center"/>
              </w:tcPr>
              <w:p w14:paraId="36038BF1" w14:textId="77777777" w:rsidR="007E7472" w:rsidRDefault="00EC1269">
                <w:pPr>
                  <w:jc w:val="center"/>
                  <w:rPr>
                    <w:rFonts w:cs="Times New Roman"/>
                    <w:b/>
                    <w:snapToGrid w:val="0"/>
                  </w:rPr>
                </w:pPr>
                <w:r>
                  <w:rPr>
                    <w:rFonts w:cs="Times New Roman"/>
                    <w:b/>
                    <w:snapToGrid w:val="0"/>
                  </w:rPr>
                  <w:t>经营范围</w:t>
                </w:r>
              </w:p>
            </w:tc>
            <w:tc>
              <w:tcPr>
                <w:tcW w:w="892" w:type="dxa"/>
                <w:shd w:val="clear" w:color="auto" w:fill="auto"/>
                <w:vAlign w:val="center"/>
              </w:tcPr>
              <w:p w14:paraId="411C5A38" w14:textId="77777777" w:rsidR="007E7472" w:rsidRDefault="00EC1269">
                <w:pPr>
                  <w:jc w:val="center"/>
                  <w:rPr>
                    <w:rFonts w:cs="Times New Roman"/>
                    <w:b/>
                    <w:snapToGrid w:val="0"/>
                  </w:rPr>
                </w:pPr>
                <w:r>
                  <w:rPr>
                    <w:rFonts w:cs="Times New Roman"/>
                    <w:b/>
                    <w:snapToGrid w:val="0"/>
                  </w:rPr>
                  <w:t>持股比例(%)</w:t>
                </w:r>
              </w:p>
            </w:tc>
          </w:tr>
          <w:tr w:rsidR="007E7472" w14:paraId="77699C0A" w14:textId="77777777">
            <w:trPr>
              <w:trHeight w:val="490"/>
            </w:trPr>
            <w:tc>
              <w:tcPr>
                <w:tcW w:w="2623" w:type="dxa"/>
                <w:shd w:val="clear" w:color="auto" w:fill="auto"/>
                <w:vAlign w:val="center"/>
              </w:tcPr>
              <w:p w14:paraId="49C5CE80" w14:textId="77777777" w:rsidR="007E7472" w:rsidRDefault="00EC1269">
                <w:pPr>
                  <w:widowControl w:val="0"/>
                  <w:tabs>
                    <w:tab w:val="left" w:pos="122"/>
                    <w:tab w:val="left" w:pos="288"/>
                  </w:tabs>
                  <w:rPr>
                    <w:rFonts w:cs="Times New Roman"/>
                    <w:color w:val="000000"/>
                  </w:rPr>
                </w:pPr>
                <w:r>
                  <w:rPr>
                    <w:rFonts w:cs="Times New Roman" w:hint="eastAsia"/>
                    <w:color w:val="000000"/>
                  </w:rPr>
                  <w:t>兖煤万福能源有限公司</w:t>
                </w:r>
              </w:p>
            </w:tc>
            <w:tc>
              <w:tcPr>
                <w:tcW w:w="1119" w:type="dxa"/>
                <w:shd w:val="clear" w:color="auto" w:fill="auto"/>
                <w:vAlign w:val="center"/>
              </w:tcPr>
              <w:p w14:paraId="448FDF63" w14:textId="77777777" w:rsidR="007E7472" w:rsidRDefault="00EC1269">
                <w:pPr>
                  <w:jc w:val="center"/>
                  <w:rPr>
                    <w:rFonts w:cs="Times New Roman"/>
                    <w:snapToGrid w:val="0"/>
                    <w:color w:val="000000"/>
                  </w:rPr>
                </w:pPr>
                <w:r>
                  <w:rPr>
                    <w:rFonts w:cs="Times New Roman" w:hint="eastAsia"/>
                    <w:snapToGrid w:val="0"/>
                    <w:color w:val="000000"/>
                  </w:rPr>
                  <w:t>山东菏泽</w:t>
                </w:r>
              </w:p>
            </w:tc>
            <w:tc>
              <w:tcPr>
                <w:tcW w:w="1675" w:type="dxa"/>
                <w:shd w:val="clear" w:color="auto" w:fill="auto"/>
                <w:vAlign w:val="center"/>
              </w:tcPr>
              <w:p w14:paraId="5E79BF77" w14:textId="77777777" w:rsidR="007E7472" w:rsidRDefault="00EC1269">
                <w:pPr>
                  <w:jc w:val="right"/>
                  <w:rPr>
                    <w:rFonts w:cs="Times New Roman"/>
                    <w:snapToGrid w:val="0"/>
                    <w:color w:val="000000"/>
                    <w:lang w:val="en-GB"/>
                  </w:rPr>
                </w:pPr>
                <w:r>
                  <w:rPr>
                    <w:rFonts w:cs="Times New Roman" w:hint="eastAsia"/>
                    <w:snapToGrid w:val="0"/>
                    <w:color w:val="000000"/>
                    <w:lang w:val="en-GB"/>
                  </w:rPr>
                  <w:t>60,000万元</w:t>
                </w:r>
              </w:p>
            </w:tc>
            <w:tc>
              <w:tcPr>
                <w:tcW w:w="2291" w:type="dxa"/>
                <w:shd w:val="clear" w:color="auto" w:fill="auto"/>
                <w:vAlign w:val="center"/>
              </w:tcPr>
              <w:p w14:paraId="7FB324A6" w14:textId="77777777" w:rsidR="007E7472" w:rsidRDefault="00EC1269">
                <w:pPr>
                  <w:jc w:val="both"/>
                  <w:rPr>
                    <w:rFonts w:cs="Times New Roman"/>
                    <w:snapToGrid w:val="0"/>
                    <w:color w:val="000000"/>
                    <w:lang w:val="en-GB"/>
                  </w:rPr>
                </w:pPr>
                <w:r>
                  <w:rPr>
                    <w:rFonts w:cs="Times New Roman" w:hint="eastAsia"/>
                    <w:snapToGrid w:val="0"/>
                    <w:color w:val="000000"/>
                    <w:lang w:val="en-GB"/>
                  </w:rPr>
                  <w:t>煤炭开采及销售</w:t>
                </w:r>
              </w:p>
            </w:tc>
            <w:tc>
              <w:tcPr>
                <w:tcW w:w="892" w:type="dxa"/>
                <w:shd w:val="clear" w:color="auto" w:fill="auto"/>
                <w:vAlign w:val="center"/>
              </w:tcPr>
              <w:p w14:paraId="1691EE24" w14:textId="77777777" w:rsidR="007E7472" w:rsidRDefault="00EC1269">
                <w:pPr>
                  <w:jc w:val="center"/>
                  <w:rPr>
                    <w:rFonts w:cs="Times New Roman"/>
                    <w:snapToGrid w:val="0"/>
                    <w:color w:val="000000"/>
                    <w:lang w:val="en-GB"/>
                  </w:rPr>
                </w:pPr>
                <w:r>
                  <w:rPr>
                    <w:rFonts w:cs="Times New Roman"/>
                    <w:snapToGrid w:val="0"/>
                    <w:color w:val="000000"/>
                    <w:lang w:val="en-GB"/>
                  </w:rPr>
                  <w:t>90</w:t>
                </w:r>
              </w:p>
            </w:tc>
          </w:tr>
        </w:tbl>
        <w:p w14:paraId="299417FB" w14:textId="77777777" w:rsidR="007E7472" w:rsidRDefault="00EC1269" w:rsidP="00162493">
          <w:pPr>
            <w:widowControl w:val="0"/>
            <w:numPr>
              <w:ilvl w:val="0"/>
              <w:numId w:val="104"/>
            </w:numPr>
            <w:tabs>
              <w:tab w:val="left" w:pos="567"/>
            </w:tabs>
            <w:spacing w:beforeLines="50" w:before="120" w:afterLines="50" w:after="120" w:line="360" w:lineRule="exact"/>
            <w:ind w:left="862"/>
            <w:jc w:val="both"/>
            <w:rPr>
              <w:rFonts w:cs="Times New Roman"/>
              <w:snapToGrid w:val="0"/>
              <w:color w:val="000000"/>
            </w:rPr>
          </w:pPr>
          <w:r>
            <w:rPr>
              <w:rFonts w:cs="Times New Roman" w:hint="eastAsia"/>
              <w:snapToGrid w:val="0"/>
              <w:color w:val="000000"/>
            </w:rPr>
            <w:t>内蒙古昊盛煤业有限公司</w:t>
          </w:r>
        </w:p>
        <w:p w14:paraId="3168C4D6" w14:textId="77777777" w:rsidR="007E7472" w:rsidRDefault="00EC1269">
          <w:pPr>
            <w:tabs>
              <w:tab w:val="left" w:pos="426"/>
              <w:tab w:val="left" w:pos="800"/>
            </w:tabs>
            <w:spacing w:beforeLines="50" w:before="120" w:afterLines="50" w:after="120" w:line="360" w:lineRule="exact"/>
            <w:ind w:firstLineChars="200" w:firstLine="420"/>
            <w:jc w:val="both"/>
            <w:rPr>
              <w:rFonts w:cs="Times New Roman"/>
              <w:snapToGrid w:val="0"/>
              <w:color w:val="000000"/>
              <w:lang w:val="en-GB"/>
            </w:rPr>
          </w:pPr>
          <w:r>
            <w:rPr>
              <w:rFonts w:cs="Times New Roman" w:hint="eastAsia"/>
              <w:snapToGrid w:val="0"/>
              <w:color w:val="000000"/>
              <w:lang w:val="en-GB"/>
            </w:rPr>
            <w:t>内蒙古昊盛煤业有限公司（以下简称“昊盛公司”），由上海华谊（集团）公司、鄂尔多斯市久泰满来煤业有限公司、鄂尔多斯市金诚泰化工有限责任公司于2010年3月共同出资组建，初期注册资本15,000万元，后经多次股权变动及增资，截至202</w:t>
          </w:r>
          <w:r>
            <w:rPr>
              <w:rFonts w:cs="Times New Roman"/>
              <w:snapToGrid w:val="0"/>
              <w:color w:val="000000"/>
              <w:lang w:val="en-GB"/>
            </w:rPr>
            <w:t>2</w:t>
          </w:r>
          <w:r>
            <w:rPr>
              <w:rFonts w:cs="Times New Roman" w:hint="eastAsia"/>
              <w:snapToGrid w:val="0"/>
              <w:color w:val="000000"/>
              <w:lang w:val="en-GB"/>
            </w:rPr>
            <w:t>年12月31日，昊盛公司注册资本增加至118,462万元，本公司持股比例降低至</w:t>
          </w:r>
          <w:r>
            <w:rPr>
              <w:rFonts w:cs="Times New Roman"/>
              <w:snapToGrid w:val="0"/>
              <w:color w:val="000000"/>
              <w:lang w:val="en-GB"/>
            </w:rPr>
            <w:t>55.44</w:t>
          </w:r>
          <w:r>
            <w:rPr>
              <w:rFonts w:cs="Times New Roman" w:hint="eastAsia"/>
              <w:snapToGrid w:val="0"/>
              <w:color w:val="000000"/>
              <w:lang w:val="en-GB"/>
            </w:rPr>
            <w:t>%。公司法人营业执照统一社会信用代码：</w:t>
          </w:r>
          <w:r>
            <w:rPr>
              <w:rFonts w:cs="Times New Roman"/>
              <w:snapToGrid w:val="0"/>
              <w:color w:val="000000"/>
              <w:lang w:val="en-GB"/>
            </w:rPr>
            <w:t>91150627552806504A</w:t>
          </w:r>
          <w:r>
            <w:rPr>
              <w:rFonts w:cs="Times New Roman" w:hint="eastAsia"/>
              <w:snapToGrid w:val="0"/>
              <w:color w:val="000000"/>
              <w:lang w:val="en-GB"/>
            </w:rPr>
            <w:t>，2</w:t>
          </w:r>
          <w:r>
            <w:rPr>
              <w:rFonts w:cs="Times New Roman"/>
              <w:snapToGrid w:val="0"/>
              <w:color w:val="000000"/>
              <w:lang w:val="en-GB"/>
            </w:rPr>
            <w:t>022</w:t>
          </w:r>
          <w:r>
            <w:rPr>
              <w:rFonts w:cs="Times New Roman" w:hint="eastAsia"/>
              <w:snapToGrid w:val="0"/>
              <w:color w:val="000000"/>
              <w:lang w:val="en-GB"/>
            </w:rPr>
            <w:t>年变更法定代表人为轩涛，主要从事煤炭洗选、销售；煤矿机械设备及配件销售。</w:t>
          </w:r>
        </w:p>
        <w:p w14:paraId="1B54189E" w14:textId="77777777" w:rsidR="007E7472" w:rsidRDefault="00EC1269" w:rsidP="00162493">
          <w:pPr>
            <w:widowControl w:val="0"/>
            <w:numPr>
              <w:ilvl w:val="0"/>
              <w:numId w:val="104"/>
            </w:numPr>
            <w:tabs>
              <w:tab w:val="left" w:pos="567"/>
            </w:tabs>
            <w:spacing w:beforeLines="50" w:before="120" w:afterLines="50" w:after="120" w:line="360" w:lineRule="exact"/>
            <w:ind w:left="862"/>
            <w:jc w:val="both"/>
            <w:rPr>
              <w:rFonts w:cs="Times New Roman"/>
              <w:snapToGrid w:val="0"/>
              <w:color w:val="000000"/>
            </w:rPr>
          </w:pPr>
          <w:r>
            <w:rPr>
              <w:rFonts w:cs="Times New Roman" w:hint="eastAsia"/>
              <w:snapToGrid w:val="0"/>
              <w:color w:val="000000"/>
            </w:rPr>
            <w:t>兖矿能源集团国际贸易有限公司</w:t>
          </w:r>
        </w:p>
        <w:p w14:paraId="044114D5" w14:textId="77777777" w:rsidR="007E7472" w:rsidRDefault="00EC1269">
          <w:pPr>
            <w:tabs>
              <w:tab w:val="left" w:pos="426"/>
              <w:tab w:val="left" w:pos="800"/>
            </w:tabs>
            <w:spacing w:beforeLines="50" w:before="120" w:afterLines="50" w:after="120" w:line="360" w:lineRule="exact"/>
            <w:ind w:firstLineChars="200" w:firstLine="420"/>
            <w:jc w:val="both"/>
            <w:rPr>
              <w:rFonts w:cs="Times New Roman"/>
              <w:snapToGrid w:val="0"/>
              <w:color w:val="000000"/>
              <w:lang w:val="en-GB"/>
            </w:rPr>
          </w:pPr>
          <w:r>
            <w:rPr>
              <w:rFonts w:cs="Times New Roman" w:hint="eastAsia"/>
              <w:snapToGrid w:val="0"/>
              <w:color w:val="000000"/>
              <w:lang w:val="en-GB"/>
            </w:rPr>
            <w:t>兖矿能源集团国际贸易有限公司（以下简称“兖矿国贸”）系本公司全资子公司，成立于2015年9月17日，注册资本30,000万元。公司法人营业执照统一社会信用代码：</w:t>
          </w:r>
          <w:r>
            <w:rPr>
              <w:rFonts w:cs="Times New Roman" w:hint="eastAsia"/>
              <w:snapToGrid w:val="0"/>
              <w:color w:val="000000"/>
              <w:lang w:val="en-GB"/>
            </w:rPr>
            <w:lastRenderedPageBreak/>
            <w:t>91370100353493269U，2022年变更法定代表人为徐长厚，主要从事煤炭、煤矿机械设备及配件、采矿专用设备、金属材料、矿用材料等的销售。</w:t>
          </w:r>
        </w:p>
        <w:p w14:paraId="4FC8E208" w14:textId="77777777" w:rsidR="007E7472" w:rsidRDefault="00EC1269">
          <w:pPr>
            <w:tabs>
              <w:tab w:val="left" w:pos="426"/>
              <w:tab w:val="left" w:pos="800"/>
            </w:tabs>
            <w:spacing w:beforeLines="50" w:before="120" w:afterLines="50" w:after="120" w:line="360" w:lineRule="exact"/>
            <w:ind w:firstLineChars="200" w:firstLine="420"/>
            <w:jc w:val="both"/>
            <w:rPr>
              <w:rFonts w:cs="Times New Roman"/>
              <w:snapToGrid w:val="0"/>
              <w:color w:val="000000"/>
              <w:lang w:val="en-GB"/>
            </w:rPr>
          </w:pPr>
          <w:r>
            <w:rPr>
              <w:rFonts w:cs="Times New Roman" w:hint="eastAsia"/>
              <w:snapToGrid w:val="0"/>
              <w:color w:val="000000"/>
              <w:lang w:val="en-GB"/>
            </w:rPr>
            <w:t>兖矿国贸主要</w:t>
          </w:r>
          <w:r>
            <w:rPr>
              <w:rFonts w:cs="Times New Roman"/>
              <w:snapToGrid w:val="0"/>
              <w:color w:val="000000"/>
              <w:lang w:val="en-GB"/>
            </w:rPr>
            <w:t>控股子公司如下：</w:t>
          </w:r>
        </w:p>
        <w:tbl>
          <w:tblPr>
            <w:tblStyle w:val="g4"/>
            <w:tblW w:w="0" w:type="auto"/>
            <w:tblBorders>
              <w:top w:val="double" w:sz="4" w:space="0" w:color="auto"/>
              <w:bottom w:val="double" w:sz="4" w:space="0" w:color="auto"/>
              <w:insideH w:val="single" w:sz="2" w:space="0" w:color="auto"/>
              <w:insideV w:val="single" w:sz="2" w:space="0" w:color="auto"/>
            </w:tblBorders>
            <w:tblLayout w:type="fixed"/>
            <w:tblLook w:val="04A0" w:firstRow="1" w:lastRow="0" w:firstColumn="1" w:lastColumn="0" w:noHBand="0" w:noVBand="1"/>
          </w:tblPr>
          <w:tblGrid>
            <w:gridCol w:w="2943"/>
            <w:gridCol w:w="1274"/>
            <w:gridCol w:w="1455"/>
            <w:gridCol w:w="2146"/>
            <w:gridCol w:w="905"/>
          </w:tblGrid>
          <w:tr w:rsidR="007E7472" w14:paraId="2A3FF05E" w14:textId="77777777">
            <w:trPr>
              <w:trHeight w:val="397"/>
              <w:tblHeader/>
            </w:trPr>
            <w:tc>
              <w:tcPr>
                <w:tcW w:w="2943" w:type="dxa"/>
                <w:vAlign w:val="center"/>
              </w:tcPr>
              <w:p w14:paraId="68941EA7" w14:textId="77777777" w:rsidR="007E7472" w:rsidRDefault="00EC1269">
                <w:pPr>
                  <w:jc w:val="both"/>
                  <w:rPr>
                    <w:rFonts w:cs="Times New Roman"/>
                    <w:b/>
                    <w:snapToGrid w:val="0"/>
                  </w:rPr>
                </w:pPr>
                <w:r>
                  <w:rPr>
                    <w:rFonts w:cs="Times New Roman"/>
                    <w:b/>
                    <w:snapToGrid w:val="0"/>
                  </w:rPr>
                  <w:t>公司名称</w:t>
                </w:r>
              </w:p>
            </w:tc>
            <w:tc>
              <w:tcPr>
                <w:tcW w:w="1274" w:type="dxa"/>
                <w:vAlign w:val="center"/>
              </w:tcPr>
              <w:p w14:paraId="1568CD07" w14:textId="77777777" w:rsidR="007E7472" w:rsidRDefault="00EC1269">
                <w:pPr>
                  <w:jc w:val="center"/>
                  <w:rPr>
                    <w:rFonts w:cs="Times New Roman"/>
                    <w:b/>
                    <w:snapToGrid w:val="0"/>
                  </w:rPr>
                </w:pPr>
                <w:r>
                  <w:rPr>
                    <w:rFonts w:cs="Times New Roman"/>
                    <w:b/>
                    <w:snapToGrid w:val="0"/>
                  </w:rPr>
                  <w:t>注册地</w:t>
                </w:r>
              </w:p>
            </w:tc>
            <w:tc>
              <w:tcPr>
                <w:tcW w:w="1455" w:type="dxa"/>
                <w:vAlign w:val="center"/>
              </w:tcPr>
              <w:p w14:paraId="708E4FA5" w14:textId="77777777" w:rsidR="007E7472" w:rsidRDefault="00EC1269">
                <w:pPr>
                  <w:jc w:val="center"/>
                  <w:rPr>
                    <w:rFonts w:cs="Times New Roman"/>
                    <w:b/>
                    <w:snapToGrid w:val="0"/>
                  </w:rPr>
                </w:pPr>
                <w:r>
                  <w:rPr>
                    <w:rFonts w:cs="Times New Roman"/>
                    <w:b/>
                    <w:snapToGrid w:val="0"/>
                  </w:rPr>
                  <w:t>注册资本</w:t>
                </w:r>
              </w:p>
              <w:p w14:paraId="1E925F6F" w14:textId="77777777" w:rsidR="007E7472" w:rsidRDefault="00EC1269">
                <w:pPr>
                  <w:jc w:val="center"/>
                  <w:rPr>
                    <w:rFonts w:cs="Times New Roman"/>
                    <w:b/>
                    <w:snapToGrid w:val="0"/>
                  </w:rPr>
                </w:pPr>
                <w:r>
                  <w:rPr>
                    <w:rFonts w:cs="Times New Roman"/>
                    <w:b/>
                    <w:snapToGrid w:val="0"/>
                  </w:rPr>
                  <w:t>（人民币）</w:t>
                </w:r>
              </w:p>
            </w:tc>
            <w:tc>
              <w:tcPr>
                <w:tcW w:w="2146" w:type="dxa"/>
                <w:vAlign w:val="center"/>
              </w:tcPr>
              <w:p w14:paraId="7063EDC7" w14:textId="77777777" w:rsidR="007E7472" w:rsidRDefault="00EC1269">
                <w:pPr>
                  <w:jc w:val="center"/>
                  <w:rPr>
                    <w:rFonts w:cs="Times New Roman"/>
                    <w:b/>
                    <w:snapToGrid w:val="0"/>
                  </w:rPr>
                </w:pPr>
                <w:r>
                  <w:rPr>
                    <w:rFonts w:cs="Times New Roman"/>
                    <w:b/>
                    <w:snapToGrid w:val="0"/>
                  </w:rPr>
                  <w:t>经营范围</w:t>
                </w:r>
              </w:p>
            </w:tc>
            <w:tc>
              <w:tcPr>
                <w:tcW w:w="905" w:type="dxa"/>
                <w:vAlign w:val="center"/>
              </w:tcPr>
              <w:p w14:paraId="44A5DDEF" w14:textId="77777777" w:rsidR="007E7472" w:rsidRDefault="00EC1269">
                <w:pPr>
                  <w:jc w:val="center"/>
                  <w:rPr>
                    <w:rFonts w:cs="Times New Roman"/>
                    <w:b/>
                    <w:snapToGrid w:val="0"/>
                  </w:rPr>
                </w:pPr>
                <w:r>
                  <w:rPr>
                    <w:rFonts w:cs="Times New Roman"/>
                    <w:b/>
                    <w:snapToGrid w:val="0"/>
                  </w:rPr>
                  <w:t>持股比例(%)</w:t>
                </w:r>
              </w:p>
            </w:tc>
          </w:tr>
          <w:tr w:rsidR="007E7472" w14:paraId="2D193D55" w14:textId="77777777">
            <w:trPr>
              <w:trHeight w:val="397"/>
            </w:trPr>
            <w:tc>
              <w:tcPr>
                <w:tcW w:w="2943" w:type="dxa"/>
                <w:vAlign w:val="center"/>
              </w:tcPr>
              <w:p w14:paraId="71F5181E" w14:textId="77777777" w:rsidR="007E7472" w:rsidRDefault="00EC1269">
                <w:pPr>
                  <w:widowControl w:val="0"/>
                  <w:tabs>
                    <w:tab w:val="left" w:pos="122"/>
                    <w:tab w:val="left" w:pos="288"/>
                  </w:tabs>
                  <w:rPr>
                    <w:rFonts w:cs="Times New Roman"/>
                    <w:color w:val="000000"/>
                  </w:rPr>
                </w:pPr>
                <w:r>
                  <w:rPr>
                    <w:rFonts w:cs="Times New Roman" w:hint="eastAsia"/>
                  </w:rPr>
                  <w:t>山东中垠物流贸易有限公司</w:t>
                </w:r>
              </w:p>
            </w:tc>
            <w:tc>
              <w:tcPr>
                <w:tcW w:w="1274" w:type="dxa"/>
                <w:vAlign w:val="center"/>
              </w:tcPr>
              <w:p w14:paraId="62AB2C29" w14:textId="77777777" w:rsidR="007E7472" w:rsidRDefault="00EC1269">
                <w:pPr>
                  <w:jc w:val="center"/>
                  <w:rPr>
                    <w:rFonts w:cs="Times New Roman"/>
                    <w:snapToGrid w:val="0"/>
                    <w:color w:val="000000"/>
                    <w:lang w:val="en-GB"/>
                  </w:rPr>
                </w:pPr>
                <w:r>
                  <w:rPr>
                    <w:rFonts w:cs="Times New Roman" w:hint="eastAsia"/>
                    <w:snapToGrid w:val="0"/>
                    <w:color w:val="000000"/>
                    <w:lang w:val="en-GB"/>
                  </w:rPr>
                  <w:t>山东济南</w:t>
                </w:r>
              </w:p>
            </w:tc>
            <w:tc>
              <w:tcPr>
                <w:tcW w:w="1455" w:type="dxa"/>
                <w:vAlign w:val="center"/>
              </w:tcPr>
              <w:p w14:paraId="5BCA0513" w14:textId="77777777" w:rsidR="007E7472" w:rsidRDefault="00EC1269">
                <w:pPr>
                  <w:jc w:val="right"/>
                  <w:rPr>
                    <w:rFonts w:cs="Times New Roman"/>
                    <w:snapToGrid w:val="0"/>
                    <w:color w:val="000000"/>
                    <w:lang w:val="en-GB"/>
                  </w:rPr>
                </w:pPr>
                <w:r>
                  <w:rPr>
                    <w:rFonts w:cs="Times New Roman" w:hint="eastAsia"/>
                    <w:snapToGrid w:val="0"/>
                    <w:color w:val="000000"/>
                    <w:lang w:val="en-GB"/>
                  </w:rPr>
                  <w:t>30</w:t>
                </w:r>
                <w:r>
                  <w:rPr>
                    <w:rFonts w:cs="Times New Roman"/>
                    <w:snapToGrid w:val="0"/>
                    <w:color w:val="000000"/>
                    <w:lang w:val="en-GB"/>
                  </w:rPr>
                  <w:t>,000万</w:t>
                </w:r>
                <w:r>
                  <w:rPr>
                    <w:rFonts w:cs="Times New Roman" w:hint="eastAsia"/>
                    <w:snapToGrid w:val="0"/>
                    <w:color w:val="000000"/>
                    <w:lang w:val="en-GB"/>
                  </w:rPr>
                  <w:t>元</w:t>
                </w:r>
              </w:p>
            </w:tc>
            <w:tc>
              <w:tcPr>
                <w:tcW w:w="2146" w:type="dxa"/>
                <w:vAlign w:val="center"/>
              </w:tcPr>
              <w:p w14:paraId="70317E1E" w14:textId="77777777" w:rsidR="007E7472" w:rsidRDefault="00EC1269">
                <w:pPr>
                  <w:jc w:val="both"/>
                  <w:rPr>
                    <w:rFonts w:cs="Times New Roman"/>
                    <w:snapToGrid w:val="0"/>
                    <w:color w:val="000000"/>
                    <w:lang w:val="en-GB"/>
                  </w:rPr>
                </w:pPr>
                <w:r>
                  <w:rPr>
                    <w:rFonts w:cs="Times New Roman" w:hint="eastAsia"/>
                    <w:snapToGrid w:val="0"/>
                    <w:color w:val="000000"/>
                    <w:lang w:val="en-GB"/>
                  </w:rPr>
                  <w:t>从事煤炭、煤矿机械设备及配件、采矿专用设备的销售</w:t>
                </w:r>
              </w:p>
            </w:tc>
            <w:tc>
              <w:tcPr>
                <w:tcW w:w="905" w:type="dxa"/>
                <w:vAlign w:val="center"/>
              </w:tcPr>
              <w:p w14:paraId="35C04B65" w14:textId="77777777" w:rsidR="007E7472" w:rsidRDefault="00EC1269">
                <w:pPr>
                  <w:jc w:val="center"/>
                  <w:rPr>
                    <w:rFonts w:cs="Times New Roman"/>
                    <w:snapToGrid w:val="0"/>
                    <w:color w:val="000000"/>
                    <w:lang w:val="en-GB"/>
                  </w:rPr>
                </w:pPr>
                <w:r>
                  <w:rPr>
                    <w:rFonts w:cs="Times New Roman" w:hint="eastAsia"/>
                    <w:snapToGrid w:val="0"/>
                    <w:color w:val="000000"/>
                    <w:lang w:val="en-GB"/>
                  </w:rPr>
                  <w:t>100</w:t>
                </w:r>
              </w:p>
            </w:tc>
          </w:tr>
        </w:tbl>
        <w:p w14:paraId="3C529EFA" w14:textId="77777777" w:rsidR="007E7472" w:rsidRDefault="00EC1269" w:rsidP="00162493">
          <w:pPr>
            <w:widowControl w:val="0"/>
            <w:numPr>
              <w:ilvl w:val="0"/>
              <w:numId w:val="104"/>
            </w:numPr>
            <w:tabs>
              <w:tab w:val="left" w:pos="567"/>
            </w:tabs>
            <w:spacing w:beforeLines="50" w:before="120" w:afterLines="50" w:after="120" w:line="360" w:lineRule="exact"/>
            <w:ind w:left="862"/>
            <w:jc w:val="both"/>
            <w:rPr>
              <w:rFonts w:cs="Times New Roman"/>
              <w:snapToGrid w:val="0"/>
              <w:color w:val="000000"/>
            </w:rPr>
          </w:pPr>
          <w:r>
            <w:rPr>
              <w:rFonts w:cs="Times New Roman" w:hint="eastAsia"/>
              <w:snapToGrid w:val="0"/>
              <w:color w:val="000000"/>
            </w:rPr>
            <w:t>青岛中垠瑞丰国际贸易有限公司</w:t>
          </w:r>
        </w:p>
        <w:p w14:paraId="48A9A008" w14:textId="77777777" w:rsidR="007E7472" w:rsidRDefault="00EC1269">
          <w:pPr>
            <w:tabs>
              <w:tab w:val="left" w:pos="426"/>
              <w:tab w:val="left" w:pos="800"/>
            </w:tabs>
            <w:spacing w:beforeLines="50" w:before="120" w:afterLines="50" w:after="120" w:line="360" w:lineRule="exact"/>
            <w:ind w:firstLineChars="200" w:firstLine="420"/>
            <w:jc w:val="both"/>
            <w:rPr>
              <w:rFonts w:cs="Times New Roman"/>
              <w:snapToGrid w:val="0"/>
              <w:color w:val="000000"/>
              <w:lang w:val="en-GB"/>
            </w:rPr>
          </w:pPr>
          <w:r>
            <w:rPr>
              <w:rFonts w:cs="Times New Roman" w:hint="eastAsia"/>
              <w:snapToGrid w:val="0"/>
              <w:color w:val="000000"/>
              <w:lang w:val="en-GB"/>
            </w:rPr>
            <w:t>青岛中垠瑞丰国际贸易有限公司（以下简称“青岛中垠瑞丰”）系本公司和青岛世纪瑞丰集团有限公司共同出资设立，成立于2015年11月，注册资本20,000万元，其中本公司出资10,200万元，持股51%，青岛世纪瑞丰集团有限公司出资9,800万元，持股49%。公司法人营业执照统一社会信用代码：91370220MA3COK0918，法定代表人为任义飞，主要从事国际贸易、转口贸易、区内企业之间贸易及贸易项下加工整理等。</w:t>
          </w:r>
        </w:p>
        <w:p w14:paraId="2E6D2A20" w14:textId="77777777" w:rsidR="007E7472" w:rsidRDefault="00EC1269">
          <w:pPr>
            <w:tabs>
              <w:tab w:val="left" w:pos="426"/>
              <w:tab w:val="left" w:pos="800"/>
            </w:tabs>
            <w:spacing w:beforeLines="50" w:before="120" w:afterLines="50" w:after="120" w:line="360" w:lineRule="exact"/>
            <w:ind w:firstLineChars="200" w:firstLine="420"/>
            <w:jc w:val="both"/>
            <w:rPr>
              <w:rFonts w:ascii="Times New Roman" w:hAnsi="Times New Roman" w:cs="Times New Roman"/>
              <w:snapToGrid w:val="0"/>
              <w:color w:val="000000"/>
              <w:lang w:val="en-GB"/>
            </w:rPr>
          </w:pPr>
          <w:r>
            <w:rPr>
              <w:rFonts w:ascii="Times New Roman" w:hAnsi="Times New Roman" w:cs="Times New Roman" w:hint="eastAsia"/>
              <w:snapToGrid w:val="0"/>
              <w:color w:val="000000"/>
              <w:lang w:val="en-GB"/>
            </w:rPr>
            <w:t>青岛中垠瑞丰</w:t>
          </w:r>
          <w:r>
            <w:rPr>
              <w:rFonts w:ascii="Times New Roman" w:hAnsi="Times New Roman" w:cs="Times New Roman"/>
              <w:snapToGrid w:val="0"/>
              <w:color w:val="000000"/>
              <w:lang w:val="en-GB"/>
            </w:rPr>
            <w:t>主要控股子公司如下：</w:t>
          </w:r>
        </w:p>
        <w:tbl>
          <w:tblPr>
            <w:tblStyle w:val="g4"/>
            <w:tblW w:w="8723" w:type="dxa"/>
            <w:tblInd w:w="-34" w:type="dxa"/>
            <w:tblBorders>
              <w:top w:val="double" w:sz="4" w:space="0" w:color="auto"/>
              <w:bottom w:val="double" w:sz="4" w:space="0" w:color="auto"/>
              <w:insideH w:val="single" w:sz="2" w:space="0" w:color="auto"/>
              <w:insideV w:val="single" w:sz="2" w:space="0" w:color="auto"/>
            </w:tblBorders>
            <w:tblLayout w:type="fixed"/>
            <w:tblLook w:val="04A0" w:firstRow="1" w:lastRow="0" w:firstColumn="1" w:lastColumn="0" w:noHBand="0" w:noVBand="1"/>
          </w:tblPr>
          <w:tblGrid>
            <w:gridCol w:w="2870"/>
            <w:gridCol w:w="1133"/>
            <w:gridCol w:w="1673"/>
            <w:gridCol w:w="1581"/>
            <w:gridCol w:w="1466"/>
          </w:tblGrid>
          <w:tr w:rsidR="007E7472" w14:paraId="76859B53" w14:textId="77777777">
            <w:trPr>
              <w:trHeight w:val="397"/>
              <w:tblHeader/>
            </w:trPr>
            <w:tc>
              <w:tcPr>
                <w:tcW w:w="2870" w:type="dxa"/>
                <w:vAlign w:val="center"/>
              </w:tcPr>
              <w:p w14:paraId="2CF5D196" w14:textId="77777777" w:rsidR="007E7472" w:rsidRDefault="00EC1269">
                <w:pPr>
                  <w:jc w:val="both"/>
                  <w:rPr>
                    <w:rFonts w:cs="Times New Roman"/>
                    <w:b/>
                    <w:snapToGrid w:val="0"/>
                  </w:rPr>
                </w:pPr>
                <w:r>
                  <w:rPr>
                    <w:rFonts w:cs="Times New Roman"/>
                    <w:b/>
                    <w:snapToGrid w:val="0"/>
                  </w:rPr>
                  <w:t>公司名称</w:t>
                </w:r>
              </w:p>
            </w:tc>
            <w:tc>
              <w:tcPr>
                <w:tcW w:w="1133" w:type="dxa"/>
                <w:vAlign w:val="center"/>
              </w:tcPr>
              <w:p w14:paraId="6D7637AA" w14:textId="77777777" w:rsidR="007E7472" w:rsidRDefault="00EC1269">
                <w:pPr>
                  <w:jc w:val="center"/>
                  <w:rPr>
                    <w:rFonts w:cs="Times New Roman"/>
                    <w:b/>
                    <w:snapToGrid w:val="0"/>
                  </w:rPr>
                </w:pPr>
                <w:r>
                  <w:rPr>
                    <w:rFonts w:cs="Times New Roman"/>
                    <w:b/>
                    <w:snapToGrid w:val="0"/>
                  </w:rPr>
                  <w:t>注册地</w:t>
                </w:r>
              </w:p>
            </w:tc>
            <w:tc>
              <w:tcPr>
                <w:tcW w:w="1673" w:type="dxa"/>
                <w:vAlign w:val="center"/>
              </w:tcPr>
              <w:p w14:paraId="6B425C3B" w14:textId="77777777" w:rsidR="007E7472" w:rsidRDefault="00EC1269">
                <w:pPr>
                  <w:jc w:val="center"/>
                  <w:rPr>
                    <w:rFonts w:cs="Times New Roman"/>
                    <w:b/>
                    <w:snapToGrid w:val="0"/>
                  </w:rPr>
                </w:pPr>
                <w:r>
                  <w:rPr>
                    <w:rFonts w:cs="Times New Roman"/>
                    <w:b/>
                    <w:snapToGrid w:val="0"/>
                  </w:rPr>
                  <w:t>注册资本</w:t>
                </w:r>
              </w:p>
            </w:tc>
            <w:tc>
              <w:tcPr>
                <w:tcW w:w="1581" w:type="dxa"/>
                <w:vAlign w:val="center"/>
              </w:tcPr>
              <w:p w14:paraId="6BD93DCA" w14:textId="77777777" w:rsidR="007E7472" w:rsidRDefault="00EC1269">
                <w:pPr>
                  <w:jc w:val="center"/>
                  <w:rPr>
                    <w:rFonts w:cs="Times New Roman"/>
                    <w:b/>
                    <w:snapToGrid w:val="0"/>
                  </w:rPr>
                </w:pPr>
                <w:r>
                  <w:rPr>
                    <w:rFonts w:cs="Times New Roman"/>
                    <w:b/>
                    <w:snapToGrid w:val="0"/>
                  </w:rPr>
                  <w:t>经营范围</w:t>
                </w:r>
              </w:p>
            </w:tc>
            <w:tc>
              <w:tcPr>
                <w:tcW w:w="1466" w:type="dxa"/>
                <w:vAlign w:val="center"/>
              </w:tcPr>
              <w:p w14:paraId="0824600E" w14:textId="77777777" w:rsidR="007E7472" w:rsidRDefault="00EC1269">
                <w:pPr>
                  <w:jc w:val="center"/>
                  <w:rPr>
                    <w:rFonts w:cs="Times New Roman"/>
                    <w:b/>
                    <w:snapToGrid w:val="0"/>
                  </w:rPr>
                </w:pPr>
                <w:r>
                  <w:rPr>
                    <w:rFonts w:cs="Times New Roman"/>
                    <w:b/>
                    <w:snapToGrid w:val="0"/>
                  </w:rPr>
                  <w:t>持股比例(%)</w:t>
                </w:r>
              </w:p>
            </w:tc>
          </w:tr>
          <w:tr w:rsidR="007E7472" w14:paraId="308D8EFD" w14:textId="77777777">
            <w:trPr>
              <w:trHeight w:val="397"/>
            </w:trPr>
            <w:tc>
              <w:tcPr>
                <w:tcW w:w="2870" w:type="dxa"/>
                <w:vAlign w:val="center"/>
              </w:tcPr>
              <w:p w14:paraId="7EA4BFBA" w14:textId="77777777" w:rsidR="007E7472" w:rsidRDefault="00EC1269">
                <w:pPr>
                  <w:ind w:rightChars="-53" w:right="-111"/>
                  <w:jc w:val="both"/>
                  <w:rPr>
                    <w:rFonts w:cs="Times New Roman"/>
                    <w:snapToGrid w:val="0"/>
                  </w:rPr>
                </w:pPr>
                <w:r>
                  <w:rPr>
                    <w:rFonts w:cs="Times New Roman" w:hint="eastAsia"/>
                    <w:color w:val="000000"/>
                  </w:rPr>
                  <w:t>中垠瑞丰（香港）有限公司</w:t>
                </w:r>
              </w:p>
            </w:tc>
            <w:tc>
              <w:tcPr>
                <w:tcW w:w="1133" w:type="dxa"/>
                <w:vAlign w:val="center"/>
              </w:tcPr>
              <w:p w14:paraId="115C3716" w14:textId="77777777" w:rsidR="007E7472" w:rsidRDefault="00EC1269">
                <w:pPr>
                  <w:jc w:val="center"/>
                  <w:rPr>
                    <w:rFonts w:cs="Times New Roman"/>
                    <w:snapToGrid w:val="0"/>
                    <w:color w:val="000000"/>
                    <w:lang w:val="en-GB" w:eastAsia="en-US"/>
                  </w:rPr>
                </w:pPr>
                <w:r>
                  <w:rPr>
                    <w:rFonts w:cs="Times New Roman" w:hint="eastAsia"/>
                    <w:snapToGrid w:val="0"/>
                    <w:color w:val="000000"/>
                    <w:lang w:val="en-GB" w:eastAsia="en-US"/>
                  </w:rPr>
                  <w:t>香港</w:t>
                </w:r>
              </w:p>
            </w:tc>
            <w:tc>
              <w:tcPr>
                <w:tcW w:w="1673" w:type="dxa"/>
                <w:vAlign w:val="center"/>
              </w:tcPr>
              <w:p w14:paraId="19BA0BDB" w14:textId="77777777" w:rsidR="007E7472" w:rsidRDefault="00EC1269">
                <w:pPr>
                  <w:jc w:val="center"/>
                  <w:rPr>
                    <w:rFonts w:cs="Times New Roman"/>
                    <w:snapToGrid w:val="0"/>
                    <w:color w:val="000000"/>
                    <w:lang w:val="en-GB" w:eastAsia="en-US"/>
                  </w:rPr>
                </w:pPr>
                <w:r>
                  <w:rPr>
                    <w:rFonts w:cs="Times New Roman"/>
                    <w:snapToGrid w:val="0"/>
                    <w:color w:val="000000"/>
                    <w:lang w:val="en-GB" w:eastAsia="en-US"/>
                  </w:rPr>
                  <w:t>128</w:t>
                </w:r>
                <w:r>
                  <w:rPr>
                    <w:rFonts w:cs="Times New Roman" w:hint="eastAsia"/>
                    <w:snapToGrid w:val="0"/>
                    <w:color w:val="000000"/>
                    <w:lang w:val="en-GB" w:eastAsia="en-US"/>
                  </w:rPr>
                  <w:t>.</w:t>
                </w:r>
                <w:r>
                  <w:rPr>
                    <w:rFonts w:cs="Times New Roman"/>
                    <w:snapToGrid w:val="0"/>
                    <w:color w:val="000000"/>
                    <w:lang w:val="en-GB" w:eastAsia="en-US"/>
                  </w:rPr>
                  <w:t>52</w:t>
                </w:r>
                <w:r>
                  <w:rPr>
                    <w:rFonts w:cs="Times New Roman" w:hint="eastAsia"/>
                    <w:snapToGrid w:val="0"/>
                    <w:color w:val="000000"/>
                    <w:lang w:val="en-GB" w:eastAsia="en-US"/>
                  </w:rPr>
                  <w:t>万</w:t>
                </w:r>
                <w:r>
                  <w:rPr>
                    <w:rFonts w:cs="Times New Roman"/>
                    <w:snapToGrid w:val="0"/>
                    <w:color w:val="000000"/>
                    <w:lang w:val="en-GB" w:eastAsia="en-US"/>
                  </w:rPr>
                  <w:t>美元</w:t>
                </w:r>
              </w:p>
            </w:tc>
            <w:tc>
              <w:tcPr>
                <w:tcW w:w="1581" w:type="dxa"/>
                <w:vAlign w:val="center"/>
              </w:tcPr>
              <w:p w14:paraId="11658144" w14:textId="77777777" w:rsidR="007E7472" w:rsidRDefault="00EC1269">
                <w:pPr>
                  <w:jc w:val="center"/>
                  <w:rPr>
                    <w:rFonts w:cs="Times New Roman"/>
                    <w:snapToGrid w:val="0"/>
                    <w:color w:val="000000"/>
                    <w:lang w:val="en-GB" w:eastAsia="en-US"/>
                  </w:rPr>
                </w:pPr>
                <w:r>
                  <w:rPr>
                    <w:rFonts w:cs="Times New Roman" w:hint="eastAsia"/>
                    <w:snapToGrid w:val="0"/>
                    <w:color w:val="000000"/>
                    <w:lang w:val="en-GB" w:eastAsia="en-US"/>
                  </w:rPr>
                  <w:t>国际贸易</w:t>
                </w:r>
              </w:p>
            </w:tc>
            <w:tc>
              <w:tcPr>
                <w:tcW w:w="1466" w:type="dxa"/>
                <w:vAlign w:val="center"/>
              </w:tcPr>
              <w:p w14:paraId="7E1CC3B9" w14:textId="77777777" w:rsidR="007E7472" w:rsidRDefault="00EC1269">
                <w:pPr>
                  <w:jc w:val="center"/>
                  <w:rPr>
                    <w:rFonts w:cs="Times New Roman"/>
                    <w:snapToGrid w:val="0"/>
                    <w:color w:val="000000"/>
                    <w:lang w:val="en-GB" w:eastAsia="en-US"/>
                  </w:rPr>
                </w:pPr>
                <w:r>
                  <w:rPr>
                    <w:rFonts w:cs="Times New Roman" w:hint="eastAsia"/>
                    <w:snapToGrid w:val="0"/>
                    <w:color w:val="000000"/>
                    <w:lang w:val="en-GB" w:eastAsia="en-US"/>
                  </w:rPr>
                  <w:t>100</w:t>
                </w:r>
              </w:p>
            </w:tc>
          </w:tr>
          <w:tr w:rsidR="007E7472" w14:paraId="7EFE2F90" w14:textId="77777777">
            <w:trPr>
              <w:trHeight w:val="397"/>
            </w:trPr>
            <w:tc>
              <w:tcPr>
                <w:tcW w:w="2870" w:type="dxa"/>
                <w:vAlign w:val="center"/>
              </w:tcPr>
              <w:p w14:paraId="41B34046" w14:textId="77777777" w:rsidR="007E7472" w:rsidRDefault="00EC1269">
                <w:pPr>
                  <w:ind w:rightChars="-53" w:right="-111"/>
                  <w:jc w:val="both"/>
                  <w:rPr>
                    <w:rFonts w:cs="Times New Roman"/>
                    <w:color w:val="000000"/>
                  </w:rPr>
                </w:pPr>
                <w:r>
                  <w:rPr>
                    <w:rFonts w:cs="Times New Roman" w:hint="eastAsia"/>
                    <w:color w:val="000000"/>
                  </w:rPr>
                  <w:t>兖矿再生资源有限公司</w:t>
                </w:r>
              </w:p>
            </w:tc>
            <w:tc>
              <w:tcPr>
                <w:tcW w:w="1133" w:type="dxa"/>
                <w:vAlign w:val="center"/>
              </w:tcPr>
              <w:p w14:paraId="14B59865" w14:textId="77777777" w:rsidR="007E7472" w:rsidRDefault="00EC1269">
                <w:pPr>
                  <w:jc w:val="center"/>
                  <w:rPr>
                    <w:rFonts w:cs="Times New Roman"/>
                    <w:snapToGrid w:val="0"/>
                    <w:color w:val="000000"/>
                    <w:lang w:val="en-GB"/>
                  </w:rPr>
                </w:pPr>
                <w:r>
                  <w:rPr>
                    <w:rFonts w:cs="Times New Roman" w:hint="eastAsia"/>
                    <w:snapToGrid w:val="0"/>
                    <w:color w:val="000000"/>
                    <w:lang w:val="en-GB"/>
                  </w:rPr>
                  <w:t>山东邹城</w:t>
                </w:r>
              </w:p>
            </w:tc>
            <w:tc>
              <w:tcPr>
                <w:tcW w:w="1673" w:type="dxa"/>
                <w:vAlign w:val="center"/>
              </w:tcPr>
              <w:p w14:paraId="15A421CD" w14:textId="77777777" w:rsidR="007E7472" w:rsidRDefault="00EC1269">
                <w:pPr>
                  <w:jc w:val="center"/>
                  <w:rPr>
                    <w:rFonts w:cs="Times New Roman"/>
                    <w:snapToGrid w:val="0"/>
                    <w:color w:val="000000"/>
                    <w:lang w:val="en-GB"/>
                  </w:rPr>
                </w:pPr>
                <w:r>
                  <w:rPr>
                    <w:rFonts w:cs="Times New Roman"/>
                    <w:snapToGrid w:val="0"/>
                    <w:color w:val="000000"/>
                    <w:lang w:val="en-GB"/>
                  </w:rPr>
                  <w:t>10,000</w:t>
                </w:r>
                <w:r>
                  <w:rPr>
                    <w:rFonts w:cs="Times New Roman" w:hint="eastAsia"/>
                    <w:snapToGrid w:val="0"/>
                    <w:color w:val="000000"/>
                    <w:lang w:val="en-GB"/>
                  </w:rPr>
                  <w:t>万元</w:t>
                </w:r>
              </w:p>
            </w:tc>
            <w:tc>
              <w:tcPr>
                <w:tcW w:w="1581" w:type="dxa"/>
                <w:vAlign w:val="center"/>
              </w:tcPr>
              <w:p w14:paraId="54B17769" w14:textId="77777777" w:rsidR="007E7472" w:rsidRDefault="00EC1269">
                <w:pPr>
                  <w:jc w:val="center"/>
                  <w:rPr>
                    <w:rFonts w:cs="Times New Roman"/>
                    <w:snapToGrid w:val="0"/>
                    <w:color w:val="000000"/>
                    <w:lang w:val="en-GB"/>
                  </w:rPr>
                </w:pPr>
                <w:r>
                  <w:rPr>
                    <w:rFonts w:cs="Times New Roman" w:hint="eastAsia"/>
                    <w:snapToGrid w:val="0"/>
                    <w:color w:val="000000"/>
                    <w:lang w:val="en-GB"/>
                  </w:rPr>
                  <w:t>再生资源回收</w:t>
                </w:r>
              </w:p>
            </w:tc>
            <w:tc>
              <w:tcPr>
                <w:tcW w:w="1466" w:type="dxa"/>
                <w:vAlign w:val="center"/>
              </w:tcPr>
              <w:p w14:paraId="373ECAFD" w14:textId="77777777" w:rsidR="007E7472" w:rsidRDefault="00EC1269">
                <w:pPr>
                  <w:jc w:val="center"/>
                  <w:rPr>
                    <w:rFonts w:cs="Times New Roman"/>
                    <w:snapToGrid w:val="0"/>
                    <w:color w:val="000000"/>
                    <w:lang w:val="en-GB"/>
                  </w:rPr>
                </w:pPr>
                <w:r>
                  <w:rPr>
                    <w:rFonts w:cs="Times New Roman" w:hint="eastAsia"/>
                    <w:snapToGrid w:val="0"/>
                    <w:color w:val="000000"/>
                    <w:lang w:val="en-GB"/>
                  </w:rPr>
                  <w:t>7</w:t>
                </w:r>
                <w:r>
                  <w:rPr>
                    <w:rFonts w:cs="Times New Roman"/>
                    <w:snapToGrid w:val="0"/>
                    <w:color w:val="000000"/>
                    <w:lang w:val="en-GB"/>
                  </w:rPr>
                  <w:t>0</w:t>
                </w:r>
              </w:p>
            </w:tc>
          </w:tr>
        </w:tbl>
        <w:p w14:paraId="7873977A" w14:textId="77777777" w:rsidR="007E7472" w:rsidRDefault="00EC1269" w:rsidP="00162493">
          <w:pPr>
            <w:widowControl w:val="0"/>
            <w:numPr>
              <w:ilvl w:val="0"/>
              <w:numId w:val="104"/>
            </w:numPr>
            <w:tabs>
              <w:tab w:val="left" w:pos="567"/>
            </w:tabs>
            <w:spacing w:beforeLines="50" w:before="120" w:afterLines="50" w:after="120" w:line="360" w:lineRule="exact"/>
            <w:ind w:left="862"/>
            <w:jc w:val="both"/>
            <w:rPr>
              <w:rFonts w:cs="Times New Roman"/>
              <w:snapToGrid w:val="0"/>
              <w:color w:val="000000"/>
            </w:rPr>
          </w:pPr>
          <w:r>
            <w:rPr>
              <w:rFonts w:cs="Times New Roman" w:hint="eastAsia"/>
              <w:snapToGrid w:val="0"/>
              <w:color w:val="000000"/>
            </w:rPr>
            <w:t>兖矿融资租赁有限公司</w:t>
          </w:r>
        </w:p>
        <w:p w14:paraId="05872061" w14:textId="77777777" w:rsidR="007E7472" w:rsidRDefault="00EC1269">
          <w:pPr>
            <w:tabs>
              <w:tab w:val="left" w:pos="426"/>
              <w:tab w:val="left" w:pos="800"/>
            </w:tabs>
            <w:spacing w:beforeLines="50" w:before="120" w:afterLines="50" w:after="120" w:line="360" w:lineRule="exact"/>
            <w:ind w:firstLineChars="200" w:firstLine="420"/>
            <w:jc w:val="both"/>
            <w:rPr>
              <w:rFonts w:cs="Times New Roman"/>
              <w:snapToGrid w:val="0"/>
              <w:color w:val="000000"/>
              <w:lang w:val="en-GB"/>
            </w:rPr>
          </w:pPr>
          <w:r>
            <w:rPr>
              <w:rFonts w:cs="Times New Roman" w:hint="eastAsia"/>
              <w:snapToGrid w:val="0"/>
              <w:color w:val="000000"/>
              <w:lang w:val="en-GB"/>
            </w:rPr>
            <w:t>兖矿融资租赁有限公司（以下简称“兖矿融资租赁”）成立于2014年5月，由本公司及本公司之子公司香港公司共同出资设立，注册资本合计50,000万元，其中本公司以现金出资37,500万元，持股75%；香港公司以现金出资12,500万元，持股25%。</w:t>
          </w:r>
        </w:p>
        <w:p w14:paraId="2BF1E2DC" w14:textId="77777777" w:rsidR="007E7472" w:rsidRDefault="00EC1269">
          <w:pPr>
            <w:tabs>
              <w:tab w:val="left" w:pos="426"/>
              <w:tab w:val="left" w:pos="800"/>
            </w:tabs>
            <w:spacing w:beforeLines="50" w:before="120" w:afterLines="50" w:after="120" w:line="360" w:lineRule="exact"/>
            <w:ind w:firstLineChars="200" w:firstLine="420"/>
            <w:jc w:val="both"/>
            <w:rPr>
              <w:rFonts w:cs="Times New Roman"/>
              <w:snapToGrid w:val="0"/>
              <w:color w:val="000000"/>
              <w:lang w:val="en-GB"/>
            </w:rPr>
          </w:pPr>
          <w:r>
            <w:rPr>
              <w:rFonts w:cs="Times New Roman" w:hint="eastAsia"/>
              <w:snapToGrid w:val="0"/>
              <w:color w:val="000000"/>
              <w:lang w:val="en-GB"/>
            </w:rPr>
            <w:t>2015年，兖矿融资租赁增加注册资本156,000万元，增资后注册资本合计206,000万元，其中本公司增资</w:t>
          </w:r>
          <w:r>
            <w:rPr>
              <w:rFonts w:cs="Times New Roman"/>
              <w:snapToGrid w:val="0"/>
              <w:color w:val="000000"/>
              <w:lang w:val="en-GB"/>
            </w:rPr>
            <w:t>112</w:t>
          </w:r>
          <w:r>
            <w:rPr>
              <w:rFonts w:cs="Times New Roman" w:hint="eastAsia"/>
              <w:snapToGrid w:val="0"/>
              <w:color w:val="000000"/>
              <w:lang w:val="en-GB"/>
            </w:rPr>
            <w:t>,</w:t>
          </w:r>
          <w:r>
            <w:rPr>
              <w:rFonts w:cs="Times New Roman"/>
              <w:snapToGrid w:val="0"/>
              <w:color w:val="000000"/>
              <w:lang w:val="en-GB"/>
            </w:rPr>
            <w:t>500</w:t>
          </w:r>
          <w:r>
            <w:rPr>
              <w:rFonts w:cs="Times New Roman" w:hint="eastAsia"/>
              <w:snapToGrid w:val="0"/>
              <w:color w:val="000000"/>
              <w:lang w:val="en-GB"/>
            </w:rPr>
            <w:t>万元，增资后为150,000万元，持股72.82%；香港公司增资37,500万元，增资后为50,000万元，持股24.27%；第三方山东永正投资发展有限公司投资6,000万元，持股2.91%。2016年，兖矿融资租赁增加注册资本500,000万元，增资后注册资本合计706,000万元。2017年，兖矿融资租赁召开第一届董事会第四次会议，通过议案同意山东永正投资发展有限公司于2017年12月31日减资6,000万元，减资后为700,000万元，本集团持股100%。公司法人营业执照统一社会信用代码：91310000094402317P，法定代表人：吕海鹏，主要从事融资租赁业务等。</w:t>
          </w:r>
        </w:p>
        <w:p w14:paraId="7998DF8B" w14:textId="77777777" w:rsidR="007E7472" w:rsidRDefault="00EC1269">
          <w:pPr>
            <w:tabs>
              <w:tab w:val="left" w:pos="426"/>
              <w:tab w:val="left" w:pos="800"/>
            </w:tabs>
            <w:spacing w:beforeLines="50" w:before="120" w:afterLines="50" w:after="120" w:line="360" w:lineRule="exact"/>
            <w:ind w:firstLineChars="200" w:firstLine="420"/>
            <w:jc w:val="both"/>
            <w:rPr>
              <w:rFonts w:cs="Times New Roman"/>
              <w:snapToGrid w:val="0"/>
              <w:color w:val="000000"/>
              <w:lang w:val="en-GB"/>
            </w:rPr>
          </w:pPr>
          <w:r>
            <w:rPr>
              <w:rFonts w:cs="Times New Roman" w:hint="eastAsia"/>
              <w:snapToGrid w:val="0"/>
              <w:color w:val="000000"/>
              <w:lang w:val="en-GB"/>
            </w:rPr>
            <w:t>兖矿融资租赁主要控股子公司如下：</w:t>
          </w:r>
        </w:p>
        <w:tbl>
          <w:tblPr>
            <w:tblStyle w:val="g4"/>
            <w:tblW w:w="8539" w:type="dxa"/>
            <w:tblInd w:w="-34" w:type="dxa"/>
            <w:tblBorders>
              <w:top w:val="double" w:sz="4" w:space="0" w:color="auto"/>
              <w:bottom w:val="double" w:sz="4" w:space="0" w:color="auto"/>
              <w:insideH w:val="single" w:sz="2" w:space="0" w:color="auto"/>
              <w:insideV w:val="single" w:sz="2" w:space="0" w:color="auto"/>
            </w:tblBorders>
            <w:tblLayout w:type="fixed"/>
            <w:tblLook w:val="04A0" w:firstRow="1" w:lastRow="0" w:firstColumn="1" w:lastColumn="0" w:noHBand="0" w:noVBand="1"/>
          </w:tblPr>
          <w:tblGrid>
            <w:gridCol w:w="2977"/>
            <w:gridCol w:w="889"/>
            <w:gridCol w:w="1521"/>
            <w:gridCol w:w="2126"/>
            <w:gridCol w:w="1026"/>
          </w:tblGrid>
          <w:tr w:rsidR="007E7472" w14:paraId="57564CAF" w14:textId="77777777">
            <w:trPr>
              <w:trHeight w:val="397"/>
              <w:tblHeader/>
            </w:trPr>
            <w:tc>
              <w:tcPr>
                <w:tcW w:w="2977" w:type="dxa"/>
                <w:vAlign w:val="center"/>
              </w:tcPr>
              <w:p w14:paraId="78C4DE97" w14:textId="77777777" w:rsidR="007E7472" w:rsidRDefault="00EC1269">
                <w:pPr>
                  <w:jc w:val="both"/>
                  <w:rPr>
                    <w:rFonts w:cs="Times New Roman"/>
                    <w:b/>
                    <w:snapToGrid w:val="0"/>
                  </w:rPr>
                </w:pPr>
                <w:bookmarkStart w:id="274" w:name="_Hlk142480878"/>
                <w:r>
                  <w:rPr>
                    <w:rFonts w:cs="Times New Roman"/>
                    <w:b/>
                    <w:snapToGrid w:val="0"/>
                  </w:rPr>
                  <w:t>公司名称</w:t>
                </w:r>
              </w:p>
            </w:tc>
            <w:tc>
              <w:tcPr>
                <w:tcW w:w="889" w:type="dxa"/>
                <w:vAlign w:val="center"/>
              </w:tcPr>
              <w:p w14:paraId="339C33E1" w14:textId="77777777" w:rsidR="007E7472" w:rsidRDefault="00EC1269">
                <w:pPr>
                  <w:jc w:val="center"/>
                  <w:rPr>
                    <w:rFonts w:cs="Times New Roman"/>
                    <w:b/>
                    <w:snapToGrid w:val="0"/>
                  </w:rPr>
                </w:pPr>
                <w:r>
                  <w:rPr>
                    <w:rFonts w:cs="Times New Roman"/>
                    <w:b/>
                    <w:snapToGrid w:val="0"/>
                  </w:rPr>
                  <w:t>注册地</w:t>
                </w:r>
              </w:p>
            </w:tc>
            <w:tc>
              <w:tcPr>
                <w:tcW w:w="1521" w:type="dxa"/>
                <w:vAlign w:val="center"/>
              </w:tcPr>
              <w:p w14:paraId="0A7EFD4F" w14:textId="77777777" w:rsidR="007E7472" w:rsidRDefault="00EC1269">
                <w:pPr>
                  <w:jc w:val="center"/>
                  <w:rPr>
                    <w:rFonts w:cs="Times New Roman"/>
                    <w:b/>
                    <w:snapToGrid w:val="0"/>
                  </w:rPr>
                </w:pPr>
                <w:r>
                  <w:rPr>
                    <w:rFonts w:cs="Times New Roman"/>
                    <w:b/>
                    <w:snapToGrid w:val="0"/>
                  </w:rPr>
                  <w:t>注册资本</w:t>
                </w:r>
              </w:p>
            </w:tc>
            <w:tc>
              <w:tcPr>
                <w:tcW w:w="2126" w:type="dxa"/>
                <w:vAlign w:val="center"/>
              </w:tcPr>
              <w:p w14:paraId="44C86683" w14:textId="77777777" w:rsidR="007E7472" w:rsidRDefault="00EC1269">
                <w:pPr>
                  <w:jc w:val="center"/>
                  <w:rPr>
                    <w:rFonts w:cs="Times New Roman"/>
                    <w:b/>
                    <w:snapToGrid w:val="0"/>
                  </w:rPr>
                </w:pPr>
                <w:r>
                  <w:rPr>
                    <w:rFonts w:cs="Times New Roman"/>
                    <w:b/>
                    <w:snapToGrid w:val="0"/>
                  </w:rPr>
                  <w:t>经营范围</w:t>
                </w:r>
              </w:p>
            </w:tc>
            <w:tc>
              <w:tcPr>
                <w:tcW w:w="1026" w:type="dxa"/>
                <w:vAlign w:val="center"/>
              </w:tcPr>
              <w:p w14:paraId="57118CE0" w14:textId="77777777" w:rsidR="007E7472" w:rsidRDefault="00EC1269">
                <w:pPr>
                  <w:jc w:val="center"/>
                  <w:rPr>
                    <w:rFonts w:cs="Times New Roman"/>
                    <w:b/>
                    <w:snapToGrid w:val="0"/>
                  </w:rPr>
                </w:pPr>
                <w:r>
                  <w:rPr>
                    <w:rFonts w:cs="Times New Roman"/>
                    <w:b/>
                    <w:snapToGrid w:val="0"/>
                  </w:rPr>
                  <w:t>持股比例(%)</w:t>
                </w:r>
              </w:p>
            </w:tc>
          </w:tr>
          <w:tr w:rsidR="007E7472" w14:paraId="399A77E5" w14:textId="77777777">
            <w:trPr>
              <w:trHeight w:val="397"/>
            </w:trPr>
            <w:tc>
              <w:tcPr>
                <w:tcW w:w="2977" w:type="dxa"/>
                <w:vAlign w:val="center"/>
              </w:tcPr>
              <w:p w14:paraId="24C8B137" w14:textId="77777777" w:rsidR="007E7472" w:rsidRDefault="00EC1269">
                <w:pPr>
                  <w:ind w:rightChars="-53" w:right="-111"/>
                  <w:jc w:val="both"/>
                  <w:rPr>
                    <w:rFonts w:cs="Times New Roman"/>
                    <w:snapToGrid w:val="0"/>
                  </w:rPr>
                </w:pPr>
                <w:r>
                  <w:rPr>
                    <w:rFonts w:cs="Times New Roman" w:hint="eastAsia"/>
                    <w:color w:val="000000"/>
                  </w:rPr>
                  <w:t>上海兖矿能源发展有限公司</w:t>
                </w:r>
              </w:p>
            </w:tc>
            <w:tc>
              <w:tcPr>
                <w:tcW w:w="889" w:type="dxa"/>
                <w:vAlign w:val="center"/>
              </w:tcPr>
              <w:p w14:paraId="42434413" w14:textId="77777777" w:rsidR="007E7472" w:rsidRDefault="00EC1269">
                <w:pPr>
                  <w:jc w:val="center"/>
                  <w:rPr>
                    <w:rFonts w:cs="Times New Roman"/>
                    <w:snapToGrid w:val="0"/>
                    <w:color w:val="000000"/>
                    <w:lang w:val="en-GB" w:eastAsia="en-US"/>
                  </w:rPr>
                </w:pPr>
                <w:r>
                  <w:rPr>
                    <w:rFonts w:cs="Times New Roman" w:hint="eastAsia"/>
                    <w:snapToGrid w:val="0"/>
                    <w:color w:val="000000"/>
                    <w:lang w:val="en-GB" w:eastAsia="en-US"/>
                  </w:rPr>
                  <w:t>上海</w:t>
                </w:r>
              </w:p>
            </w:tc>
            <w:tc>
              <w:tcPr>
                <w:tcW w:w="1521" w:type="dxa"/>
                <w:vAlign w:val="center"/>
              </w:tcPr>
              <w:p w14:paraId="2997767A" w14:textId="77777777" w:rsidR="007E7472" w:rsidRDefault="00EC1269">
                <w:pPr>
                  <w:jc w:val="center"/>
                  <w:rPr>
                    <w:rFonts w:cs="Times New Roman"/>
                    <w:snapToGrid w:val="0"/>
                    <w:color w:val="000000"/>
                    <w:lang w:val="en-GB" w:eastAsia="en-US"/>
                  </w:rPr>
                </w:pPr>
                <w:r>
                  <w:rPr>
                    <w:rFonts w:cs="Times New Roman"/>
                    <w:snapToGrid w:val="0"/>
                    <w:color w:val="000000"/>
                    <w:lang w:val="en-GB" w:eastAsia="en-US"/>
                  </w:rPr>
                  <w:t>8</w:t>
                </w:r>
                <w:r>
                  <w:rPr>
                    <w:rFonts w:cs="Times New Roman" w:hint="eastAsia"/>
                    <w:snapToGrid w:val="0"/>
                    <w:color w:val="000000"/>
                    <w:lang w:val="en-GB" w:eastAsia="en-US"/>
                  </w:rPr>
                  <w:t>,000万元</w:t>
                </w:r>
              </w:p>
            </w:tc>
            <w:tc>
              <w:tcPr>
                <w:tcW w:w="2126" w:type="dxa"/>
                <w:vAlign w:val="center"/>
              </w:tcPr>
              <w:p w14:paraId="32A8FD8A" w14:textId="77777777" w:rsidR="007E7472" w:rsidRDefault="00EC1269">
                <w:pPr>
                  <w:jc w:val="both"/>
                  <w:rPr>
                    <w:rFonts w:cs="Times New Roman"/>
                    <w:snapToGrid w:val="0"/>
                    <w:color w:val="000000"/>
                    <w:lang w:val="en-GB"/>
                  </w:rPr>
                </w:pPr>
                <w:r>
                  <w:rPr>
                    <w:rFonts w:cs="Times New Roman" w:hint="eastAsia"/>
                    <w:snapToGrid w:val="0"/>
                    <w:color w:val="000000"/>
                    <w:lang w:val="en-GB"/>
                  </w:rPr>
                  <w:t>房地产开发经营、物业管理</w:t>
                </w:r>
              </w:p>
            </w:tc>
            <w:tc>
              <w:tcPr>
                <w:tcW w:w="1026" w:type="dxa"/>
                <w:vAlign w:val="center"/>
              </w:tcPr>
              <w:p w14:paraId="18135B18" w14:textId="77777777" w:rsidR="007E7472" w:rsidRDefault="00EC1269">
                <w:pPr>
                  <w:jc w:val="center"/>
                  <w:rPr>
                    <w:rFonts w:cs="Times New Roman"/>
                    <w:snapToGrid w:val="0"/>
                    <w:color w:val="000000"/>
                    <w:lang w:val="en-GB" w:eastAsia="en-US"/>
                  </w:rPr>
                </w:pPr>
                <w:r>
                  <w:rPr>
                    <w:rFonts w:cs="Times New Roman" w:hint="eastAsia"/>
                    <w:snapToGrid w:val="0"/>
                    <w:color w:val="000000"/>
                    <w:lang w:val="en-GB" w:eastAsia="en-US"/>
                  </w:rPr>
                  <w:t>100</w:t>
                </w:r>
              </w:p>
            </w:tc>
          </w:tr>
          <w:tr w:rsidR="007E7472" w14:paraId="1309CB08" w14:textId="77777777">
            <w:trPr>
              <w:trHeight w:val="397"/>
            </w:trPr>
            <w:tc>
              <w:tcPr>
                <w:tcW w:w="2977" w:type="dxa"/>
                <w:tcBorders>
                  <w:top w:val="single" w:sz="2" w:space="0" w:color="auto"/>
                  <w:bottom w:val="single" w:sz="2" w:space="0" w:color="auto"/>
                  <w:right w:val="single" w:sz="2" w:space="0" w:color="auto"/>
                </w:tcBorders>
                <w:vAlign w:val="center"/>
              </w:tcPr>
              <w:p w14:paraId="75F64D4D" w14:textId="77777777" w:rsidR="007E7472" w:rsidRDefault="00EC1269">
                <w:pPr>
                  <w:ind w:rightChars="-53" w:right="-111"/>
                  <w:jc w:val="both"/>
                  <w:rPr>
                    <w:rFonts w:cs="Times New Roman"/>
                    <w:color w:val="000000"/>
                  </w:rPr>
                </w:pPr>
                <w:r>
                  <w:rPr>
                    <w:rFonts w:cs="Times New Roman" w:hint="eastAsia"/>
                    <w:color w:val="000000"/>
                  </w:rPr>
                  <w:t>中垠(泰安)融资租赁有限公司</w:t>
                </w:r>
              </w:p>
            </w:tc>
            <w:tc>
              <w:tcPr>
                <w:tcW w:w="889" w:type="dxa"/>
                <w:tcBorders>
                  <w:top w:val="single" w:sz="2" w:space="0" w:color="auto"/>
                  <w:left w:val="single" w:sz="2" w:space="0" w:color="auto"/>
                  <w:bottom w:val="single" w:sz="2" w:space="0" w:color="auto"/>
                  <w:right w:val="single" w:sz="2" w:space="0" w:color="auto"/>
                </w:tcBorders>
                <w:vAlign w:val="center"/>
              </w:tcPr>
              <w:p w14:paraId="05007D42" w14:textId="77777777" w:rsidR="007E7472" w:rsidRDefault="00EC1269">
                <w:pPr>
                  <w:jc w:val="center"/>
                  <w:rPr>
                    <w:rFonts w:cs="Times New Roman"/>
                    <w:snapToGrid w:val="0"/>
                    <w:color w:val="000000"/>
                    <w:lang w:val="en-GB" w:eastAsia="en-US"/>
                  </w:rPr>
                </w:pPr>
                <w:r>
                  <w:rPr>
                    <w:rFonts w:cs="Times New Roman" w:hint="eastAsia"/>
                    <w:snapToGrid w:val="0"/>
                    <w:color w:val="000000"/>
                    <w:lang w:val="en-GB" w:eastAsia="en-US"/>
                  </w:rPr>
                  <w:t>山东</w:t>
                </w:r>
              </w:p>
            </w:tc>
            <w:tc>
              <w:tcPr>
                <w:tcW w:w="1521" w:type="dxa"/>
                <w:tcBorders>
                  <w:top w:val="single" w:sz="2" w:space="0" w:color="auto"/>
                  <w:left w:val="single" w:sz="2" w:space="0" w:color="auto"/>
                  <w:bottom w:val="single" w:sz="2" w:space="0" w:color="auto"/>
                  <w:right w:val="single" w:sz="2" w:space="0" w:color="auto"/>
                </w:tcBorders>
                <w:vAlign w:val="center"/>
              </w:tcPr>
              <w:p w14:paraId="7ED2113C" w14:textId="77777777" w:rsidR="007E7472" w:rsidRDefault="00EC1269">
                <w:pPr>
                  <w:jc w:val="center"/>
                  <w:rPr>
                    <w:rFonts w:cs="Times New Roman"/>
                    <w:snapToGrid w:val="0"/>
                    <w:color w:val="000000"/>
                    <w:lang w:val="en-GB" w:eastAsia="en-US"/>
                  </w:rPr>
                </w:pPr>
                <w:r>
                  <w:rPr>
                    <w:rFonts w:cs="Times New Roman" w:hint="eastAsia"/>
                    <w:snapToGrid w:val="0"/>
                    <w:color w:val="000000"/>
                    <w:lang w:val="en-GB" w:eastAsia="en-US"/>
                  </w:rPr>
                  <w:t>159</w:t>
                </w:r>
                <w:r>
                  <w:rPr>
                    <w:rFonts w:cs="Times New Roman"/>
                    <w:snapToGrid w:val="0"/>
                    <w:color w:val="000000"/>
                    <w:lang w:val="en-GB" w:eastAsia="en-US"/>
                  </w:rPr>
                  <w:t>,</w:t>
                </w:r>
                <w:r>
                  <w:rPr>
                    <w:rFonts w:cs="Times New Roman" w:hint="eastAsia"/>
                    <w:snapToGrid w:val="0"/>
                    <w:color w:val="000000"/>
                    <w:lang w:val="en-GB" w:eastAsia="en-US"/>
                  </w:rPr>
                  <w:t>300万</w:t>
                </w:r>
                <w:r>
                  <w:rPr>
                    <w:rFonts w:cs="Times New Roman" w:hint="eastAsia"/>
                    <w:snapToGrid w:val="0"/>
                    <w:color w:val="000000"/>
                    <w:lang w:val="en-GB"/>
                  </w:rPr>
                  <w:t>元</w:t>
                </w:r>
              </w:p>
            </w:tc>
            <w:tc>
              <w:tcPr>
                <w:tcW w:w="2126" w:type="dxa"/>
                <w:tcBorders>
                  <w:top w:val="single" w:sz="2" w:space="0" w:color="auto"/>
                  <w:left w:val="single" w:sz="2" w:space="0" w:color="auto"/>
                  <w:bottom w:val="single" w:sz="2" w:space="0" w:color="auto"/>
                  <w:right w:val="single" w:sz="2" w:space="0" w:color="auto"/>
                </w:tcBorders>
                <w:vAlign w:val="center"/>
              </w:tcPr>
              <w:p w14:paraId="5BEC16D8" w14:textId="77777777" w:rsidR="007E7472" w:rsidRDefault="00EC1269">
                <w:pPr>
                  <w:jc w:val="both"/>
                  <w:rPr>
                    <w:rFonts w:cs="Times New Roman"/>
                    <w:snapToGrid w:val="0"/>
                    <w:color w:val="000000"/>
                    <w:lang w:val="en-GB"/>
                  </w:rPr>
                </w:pPr>
                <w:r>
                  <w:rPr>
                    <w:rFonts w:cs="Times New Roman" w:hint="eastAsia"/>
                    <w:snapToGrid w:val="0"/>
                    <w:color w:val="000000"/>
                    <w:lang w:val="en-GB"/>
                  </w:rPr>
                  <w:t>商务服务业</w:t>
                </w:r>
              </w:p>
            </w:tc>
            <w:tc>
              <w:tcPr>
                <w:tcW w:w="1026" w:type="dxa"/>
                <w:tcBorders>
                  <w:top w:val="single" w:sz="2" w:space="0" w:color="auto"/>
                  <w:left w:val="single" w:sz="2" w:space="0" w:color="auto"/>
                  <w:bottom w:val="single" w:sz="2" w:space="0" w:color="auto"/>
                </w:tcBorders>
                <w:vAlign w:val="center"/>
              </w:tcPr>
              <w:p w14:paraId="0B35339D" w14:textId="77777777" w:rsidR="007E7472" w:rsidRDefault="00EC1269">
                <w:pPr>
                  <w:jc w:val="center"/>
                  <w:rPr>
                    <w:rFonts w:cs="Times New Roman"/>
                    <w:snapToGrid w:val="0"/>
                    <w:color w:val="000000"/>
                    <w:lang w:val="en-GB" w:eastAsia="en-US"/>
                  </w:rPr>
                </w:pPr>
                <w:r>
                  <w:rPr>
                    <w:rFonts w:cs="Times New Roman"/>
                    <w:snapToGrid w:val="0"/>
                    <w:color w:val="000000"/>
                    <w:lang w:val="en-GB" w:eastAsia="en-US"/>
                  </w:rPr>
                  <w:t>28.25</w:t>
                </w:r>
              </w:p>
            </w:tc>
          </w:tr>
          <w:tr w:rsidR="007E7472" w14:paraId="715BB1A7" w14:textId="77777777">
            <w:trPr>
              <w:trHeight w:val="397"/>
            </w:trPr>
            <w:tc>
              <w:tcPr>
                <w:tcW w:w="2977" w:type="dxa"/>
                <w:vAlign w:val="center"/>
              </w:tcPr>
              <w:p w14:paraId="79BE9FD6" w14:textId="77777777" w:rsidR="007E7472" w:rsidRDefault="00EC1269">
                <w:pPr>
                  <w:ind w:rightChars="-53" w:right="-111"/>
                  <w:jc w:val="both"/>
                  <w:rPr>
                    <w:rFonts w:cs="Times New Roman"/>
                    <w:color w:val="000000"/>
                  </w:rPr>
                </w:pPr>
                <w:r>
                  <w:rPr>
                    <w:rFonts w:cs="Times New Roman" w:hint="eastAsia"/>
                    <w:color w:val="000000"/>
                  </w:rPr>
                  <w:lastRenderedPageBreak/>
                  <w:t>中垠（香港）有限公司</w:t>
                </w:r>
              </w:p>
            </w:tc>
            <w:tc>
              <w:tcPr>
                <w:tcW w:w="889" w:type="dxa"/>
                <w:vAlign w:val="center"/>
              </w:tcPr>
              <w:p w14:paraId="2106BBD9" w14:textId="77777777" w:rsidR="007E7472" w:rsidRDefault="00EC1269">
                <w:pPr>
                  <w:jc w:val="center"/>
                  <w:rPr>
                    <w:rFonts w:cs="Times New Roman"/>
                    <w:snapToGrid w:val="0"/>
                    <w:color w:val="000000"/>
                    <w:lang w:val="en-GB" w:eastAsia="en-US"/>
                  </w:rPr>
                </w:pPr>
                <w:r>
                  <w:rPr>
                    <w:rFonts w:cs="Times New Roman" w:hint="eastAsia"/>
                    <w:snapToGrid w:val="0"/>
                    <w:color w:val="000000"/>
                    <w:lang w:val="en-GB" w:eastAsia="en-US"/>
                  </w:rPr>
                  <w:t>香港</w:t>
                </w:r>
              </w:p>
            </w:tc>
            <w:tc>
              <w:tcPr>
                <w:tcW w:w="1521" w:type="dxa"/>
                <w:vAlign w:val="center"/>
              </w:tcPr>
              <w:p w14:paraId="1A6124EA" w14:textId="77777777" w:rsidR="007E7472" w:rsidRDefault="00EC1269">
                <w:pPr>
                  <w:jc w:val="center"/>
                  <w:rPr>
                    <w:rFonts w:cs="Times New Roman"/>
                    <w:snapToGrid w:val="0"/>
                    <w:color w:val="000000"/>
                    <w:lang w:val="en-GB" w:eastAsia="en-US"/>
                  </w:rPr>
                </w:pPr>
                <w:r>
                  <w:rPr>
                    <w:rFonts w:cs="Times New Roman"/>
                    <w:snapToGrid w:val="0"/>
                    <w:color w:val="000000"/>
                    <w:lang w:val="en-GB" w:eastAsia="en-US"/>
                  </w:rPr>
                  <w:t>9,857</w:t>
                </w:r>
                <w:r>
                  <w:rPr>
                    <w:rFonts w:cs="Times New Roman" w:hint="eastAsia"/>
                    <w:snapToGrid w:val="0"/>
                    <w:color w:val="000000"/>
                    <w:lang w:val="en-GB"/>
                  </w:rPr>
                  <w:t>万元</w:t>
                </w:r>
              </w:p>
            </w:tc>
            <w:tc>
              <w:tcPr>
                <w:tcW w:w="2126" w:type="dxa"/>
                <w:vAlign w:val="center"/>
              </w:tcPr>
              <w:p w14:paraId="1BD1D783" w14:textId="77777777" w:rsidR="007E7472" w:rsidRDefault="00EC1269">
                <w:pPr>
                  <w:jc w:val="both"/>
                  <w:rPr>
                    <w:rFonts w:cs="Times New Roman"/>
                    <w:snapToGrid w:val="0"/>
                    <w:color w:val="000000"/>
                    <w:lang w:val="en-GB"/>
                  </w:rPr>
                </w:pPr>
                <w:r>
                  <w:rPr>
                    <w:rFonts w:cs="Times New Roman" w:hint="eastAsia"/>
                    <w:snapToGrid w:val="0"/>
                    <w:color w:val="000000"/>
                    <w:lang w:val="en-GB"/>
                  </w:rPr>
                  <w:t>融资租赁、租赁、贸易、商业保理</w:t>
                </w:r>
              </w:p>
            </w:tc>
            <w:tc>
              <w:tcPr>
                <w:tcW w:w="1026" w:type="dxa"/>
                <w:vAlign w:val="center"/>
              </w:tcPr>
              <w:p w14:paraId="5C458066" w14:textId="77777777" w:rsidR="007E7472" w:rsidRDefault="00EC1269">
                <w:pPr>
                  <w:jc w:val="center"/>
                  <w:rPr>
                    <w:rFonts w:cs="Times New Roman"/>
                    <w:snapToGrid w:val="0"/>
                    <w:color w:val="000000"/>
                    <w:lang w:val="en-GB"/>
                  </w:rPr>
                </w:pPr>
                <w:r>
                  <w:rPr>
                    <w:rFonts w:cs="Times New Roman" w:hint="eastAsia"/>
                    <w:snapToGrid w:val="0"/>
                    <w:color w:val="000000"/>
                    <w:lang w:val="en-GB"/>
                  </w:rPr>
                  <w:t>1</w:t>
                </w:r>
                <w:r>
                  <w:rPr>
                    <w:rFonts w:cs="Times New Roman"/>
                    <w:snapToGrid w:val="0"/>
                    <w:color w:val="000000"/>
                    <w:lang w:val="en-GB"/>
                  </w:rPr>
                  <w:t>00</w:t>
                </w:r>
              </w:p>
            </w:tc>
          </w:tr>
          <w:tr w:rsidR="007E7472" w14:paraId="0CB1B669" w14:textId="77777777">
            <w:trPr>
              <w:trHeight w:val="397"/>
            </w:trPr>
            <w:tc>
              <w:tcPr>
                <w:tcW w:w="2977" w:type="dxa"/>
                <w:vAlign w:val="center"/>
              </w:tcPr>
              <w:p w14:paraId="65BB4362" w14:textId="77777777" w:rsidR="007E7472" w:rsidRDefault="00EC1269">
                <w:pPr>
                  <w:ind w:rightChars="-53" w:right="-111"/>
                  <w:jc w:val="both"/>
                  <w:rPr>
                    <w:rFonts w:cs="Times New Roman"/>
                    <w:color w:val="000000"/>
                  </w:rPr>
                </w:pPr>
                <w:r>
                  <w:rPr>
                    <w:rFonts w:cs="Times New Roman" w:hint="eastAsia"/>
                    <w:color w:val="000000"/>
                  </w:rPr>
                  <w:t>兖矿商业保理（天津）有限公司</w:t>
                </w:r>
              </w:p>
            </w:tc>
            <w:tc>
              <w:tcPr>
                <w:tcW w:w="889" w:type="dxa"/>
                <w:vAlign w:val="center"/>
              </w:tcPr>
              <w:p w14:paraId="5C150035" w14:textId="77777777" w:rsidR="007E7472" w:rsidRDefault="00EC1269">
                <w:pPr>
                  <w:jc w:val="center"/>
                  <w:rPr>
                    <w:rFonts w:cs="Times New Roman"/>
                    <w:snapToGrid w:val="0"/>
                    <w:color w:val="000000"/>
                    <w:lang w:val="en-GB"/>
                  </w:rPr>
                </w:pPr>
                <w:r>
                  <w:rPr>
                    <w:rFonts w:cs="Times New Roman" w:hint="eastAsia"/>
                    <w:snapToGrid w:val="0"/>
                    <w:color w:val="000000"/>
                    <w:lang w:val="en-GB"/>
                  </w:rPr>
                  <w:t>天津</w:t>
                </w:r>
              </w:p>
            </w:tc>
            <w:tc>
              <w:tcPr>
                <w:tcW w:w="1521" w:type="dxa"/>
                <w:vAlign w:val="center"/>
              </w:tcPr>
              <w:p w14:paraId="2CB5E9E4" w14:textId="77777777" w:rsidR="007E7472" w:rsidRDefault="00EC1269">
                <w:pPr>
                  <w:jc w:val="center"/>
                  <w:rPr>
                    <w:rFonts w:cs="Times New Roman"/>
                    <w:snapToGrid w:val="0"/>
                    <w:color w:val="000000"/>
                    <w:lang w:val="en-GB"/>
                  </w:rPr>
                </w:pPr>
                <w:r>
                  <w:rPr>
                    <w:rFonts w:cs="Times New Roman" w:hint="eastAsia"/>
                    <w:snapToGrid w:val="0"/>
                    <w:color w:val="000000"/>
                    <w:lang w:val="en-GB"/>
                  </w:rPr>
                  <w:t>9</w:t>
                </w:r>
                <w:r>
                  <w:rPr>
                    <w:rFonts w:cs="Times New Roman"/>
                    <w:snapToGrid w:val="0"/>
                    <w:color w:val="000000"/>
                    <w:lang w:val="en-GB"/>
                  </w:rPr>
                  <w:t>,000</w:t>
                </w:r>
                <w:r>
                  <w:rPr>
                    <w:rFonts w:cs="Times New Roman" w:hint="eastAsia"/>
                    <w:snapToGrid w:val="0"/>
                    <w:color w:val="000000"/>
                    <w:lang w:val="en-GB"/>
                  </w:rPr>
                  <w:t>万元</w:t>
                </w:r>
              </w:p>
            </w:tc>
            <w:tc>
              <w:tcPr>
                <w:tcW w:w="2126" w:type="dxa"/>
                <w:vAlign w:val="center"/>
              </w:tcPr>
              <w:p w14:paraId="59DA943D" w14:textId="77777777" w:rsidR="007E7472" w:rsidRDefault="00EC1269">
                <w:pPr>
                  <w:jc w:val="both"/>
                  <w:rPr>
                    <w:rFonts w:cs="Times New Roman"/>
                    <w:snapToGrid w:val="0"/>
                    <w:color w:val="000000"/>
                    <w:lang w:val="en-GB"/>
                  </w:rPr>
                </w:pPr>
                <w:r>
                  <w:rPr>
                    <w:rFonts w:cs="Times New Roman" w:hint="eastAsia"/>
                    <w:snapToGrid w:val="0"/>
                    <w:color w:val="000000"/>
                    <w:lang w:val="en-GB"/>
                  </w:rPr>
                  <w:t>商业保理业务、相关咨询服务</w:t>
                </w:r>
              </w:p>
            </w:tc>
            <w:tc>
              <w:tcPr>
                <w:tcW w:w="1026" w:type="dxa"/>
                <w:vAlign w:val="center"/>
              </w:tcPr>
              <w:p w14:paraId="3175BBC8" w14:textId="77777777" w:rsidR="007E7472" w:rsidRDefault="00EC1269">
                <w:pPr>
                  <w:jc w:val="center"/>
                  <w:rPr>
                    <w:rFonts w:cs="Times New Roman"/>
                    <w:snapToGrid w:val="0"/>
                    <w:color w:val="000000"/>
                    <w:lang w:val="en-GB"/>
                  </w:rPr>
                </w:pPr>
                <w:r>
                  <w:rPr>
                    <w:rFonts w:cs="Times New Roman" w:hint="eastAsia"/>
                    <w:snapToGrid w:val="0"/>
                    <w:color w:val="000000"/>
                    <w:lang w:val="en-GB"/>
                  </w:rPr>
                  <w:t>5</w:t>
                </w:r>
                <w:r>
                  <w:rPr>
                    <w:rFonts w:cs="Times New Roman"/>
                    <w:snapToGrid w:val="0"/>
                    <w:color w:val="000000"/>
                    <w:lang w:val="en-GB"/>
                  </w:rPr>
                  <w:t>1</w:t>
                </w:r>
              </w:p>
            </w:tc>
          </w:tr>
          <w:tr w:rsidR="007E7472" w14:paraId="6964E6A8" w14:textId="77777777">
            <w:trPr>
              <w:trHeight w:val="397"/>
            </w:trPr>
            <w:tc>
              <w:tcPr>
                <w:tcW w:w="2977" w:type="dxa"/>
                <w:vAlign w:val="center"/>
              </w:tcPr>
              <w:p w14:paraId="18AF89F4" w14:textId="77777777" w:rsidR="007E7472" w:rsidRDefault="00EC1269">
                <w:pPr>
                  <w:ind w:rightChars="-53" w:right="-111"/>
                  <w:jc w:val="both"/>
                  <w:rPr>
                    <w:rFonts w:cs="Times New Roman"/>
                    <w:color w:val="000000"/>
                  </w:rPr>
                </w:pPr>
                <w:r>
                  <w:rPr>
                    <w:rFonts w:cs="Times New Roman" w:hint="eastAsia"/>
                    <w:color w:val="000000"/>
                  </w:rPr>
                  <w:t>兖矿商业保理（上海）有限公司</w:t>
                </w:r>
              </w:p>
            </w:tc>
            <w:tc>
              <w:tcPr>
                <w:tcW w:w="889" w:type="dxa"/>
                <w:vAlign w:val="center"/>
              </w:tcPr>
              <w:p w14:paraId="214C04C6" w14:textId="77777777" w:rsidR="007E7472" w:rsidRDefault="00EC1269">
                <w:pPr>
                  <w:jc w:val="center"/>
                  <w:rPr>
                    <w:rFonts w:cs="Times New Roman"/>
                    <w:snapToGrid w:val="0"/>
                    <w:color w:val="000000"/>
                    <w:lang w:val="en-GB"/>
                  </w:rPr>
                </w:pPr>
                <w:r>
                  <w:rPr>
                    <w:rFonts w:cs="Times New Roman" w:hint="eastAsia"/>
                    <w:snapToGrid w:val="0"/>
                    <w:color w:val="000000"/>
                    <w:lang w:val="en-GB"/>
                  </w:rPr>
                  <w:t>上海</w:t>
                </w:r>
              </w:p>
            </w:tc>
            <w:tc>
              <w:tcPr>
                <w:tcW w:w="1521" w:type="dxa"/>
                <w:vAlign w:val="center"/>
              </w:tcPr>
              <w:p w14:paraId="7C5FDD11" w14:textId="77777777" w:rsidR="007E7472" w:rsidRDefault="00EC1269">
                <w:pPr>
                  <w:jc w:val="center"/>
                  <w:rPr>
                    <w:rFonts w:cs="Times New Roman"/>
                    <w:snapToGrid w:val="0"/>
                    <w:color w:val="000000"/>
                    <w:lang w:val="en-GB"/>
                  </w:rPr>
                </w:pPr>
                <w:r>
                  <w:rPr>
                    <w:rFonts w:cs="Times New Roman" w:hint="eastAsia"/>
                    <w:snapToGrid w:val="0"/>
                    <w:color w:val="000000"/>
                    <w:lang w:val="en-GB"/>
                  </w:rPr>
                  <w:t>9</w:t>
                </w:r>
                <w:r>
                  <w:rPr>
                    <w:rFonts w:cs="Times New Roman"/>
                    <w:snapToGrid w:val="0"/>
                    <w:color w:val="000000"/>
                    <w:lang w:val="en-GB"/>
                  </w:rPr>
                  <w:t>,800</w:t>
                </w:r>
                <w:r>
                  <w:rPr>
                    <w:rFonts w:cs="Times New Roman" w:hint="eastAsia"/>
                    <w:snapToGrid w:val="0"/>
                    <w:color w:val="000000"/>
                    <w:lang w:val="en-GB"/>
                  </w:rPr>
                  <w:t>万元</w:t>
                </w:r>
              </w:p>
            </w:tc>
            <w:tc>
              <w:tcPr>
                <w:tcW w:w="2126" w:type="dxa"/>
                <w:vAlign w:val="center"/>
              </w:tcPr>
              <w:p w14:paraId="04B0DDC6" w14:textId="77777777" w:rsidR="007E7472" w:rsidRDefault="00EC1269">
                <w:pPr>
                  <w:jc w:val="both"/>
                  <w:rPr>
                    <w:rFonts w:cs="Times New Roman"/>
                    <w:snapToGrid w:val="0"/>
                    <w:color w:val="000000"/>
                    <w:lang w:val="en-GB"/>
                  </w:rPr>
                </w:pPr>
                <w:r>
                  <w:rPr>
                    <w:rFonts w:cs="Times New Roman" w:hint="eastAsia"/>
                    <w:snapToGrid w:val="0"/>
                    <w:color w:val="000000"/>
                    <w:lang w:val="en-GB"/>
                  </w:rPr>
                  <w:t>商业保理业务</w:t>
                </w:r>
              </w:p>
            </w:tc>
            <w:tc>
              <w:tcPr>
                <w:tcW w:w="1026" w:type="dxa"/>
                <w:vAlign w:val="center"/>
              </w:tcPr>
              <w:p w14:paraId="1038AD81" w14:textId="77777777" w:rsidR="007E7472" w:rsidRDefault="00EC1269">
                <w:pPr>
                  <w:jc w:val="center"/>
                  <w:rPr>
                    <w:rFonts w:cs="Times New Roman"/>
                    <w:snapToGrid w:val="0"/>
                    <w:color w:val="000000"/>
                    <w:lang w:val="en-GB"/>
                  </w:rPr>
                </w:pPr>
                <w:r>
                  <w:rPr>
                    <w:rFonts w:cs="Times New Roman" w:hint="eastAsia"/>
                    <w:snapToGrid w:val="0"/>
                    <w:color w:val="000000"/>
                    <w:lang w:val="en-GB"/>
                  </w:rPr>
                  <w:t>1</w:t>
                </w:r>
                <w:r>
                  <w:rPr>
                    <w:rFonts w:cs="Times New Roman"/>
                    <w:snapToGrid w:val="0"/>
                    <w:color w:val="000000"/>
                    <w:lang w:val="en-GB"/>
                  </w:rPr>
                  <w:t>00</w:t>
                </w:r>
              </w:p>
            </w:tc>
          </w:tr>
        </w:tbl>
        <w:bookmarkEnd w:id="274"/>
        <w:p w14:paraId="5EF1AF18" w14:textId="77777777" w:rsidR="007E7472" w:rsidRDefault="00EC1269" w:rsidP="00162493">
          <w:pPr>
            <w:widowControl w:val="0"/>
            <w:numPr>
              <w:ilvl w:val="0"/>
              <w:numId w:val="104"/>
            </w:numPr>
            <w:tabs>
              <w:tab w:val="left" w:pos="567"/>
            </w:tabs>
            <w:spacing w:beforeLines="50" w:before="120" w:afterLines="50" w:after="120" w:line="360" w:lineRule="exact"/>
            <w:ind w:leftChars="200" w:firstLine="0"/>
            <w:jc w:val="both"/>
            <w:rPr>
              <w:rFonts w:cs="Times New Roman"/>
              <w:snapToGrid w:val="0"/>
              <w:color w:val="000000"/>
            </w:rPr>
          </w:pPr>
          <w:r>
            <w:rPr>
              <w:rFonts w:cs="Times New Roman" w:hint="eastAsia"/>
              <w:snapToGrid w:val="0"/>
              <w:color w:val="000000"/>
            </w:rPr>
            <w:t>兖矿集团财务有限公司</w:t>
          </w:r>
        </w:p>
        <w:p w14:paraId="78D7136B" w14:textId="77777777" w:rsidR="007E7472" w:rsidRDefault="00EC1269">
          <w:pPr>
            <w:tabs>
              <w:tab w:val="left" w:pos="426"/>
              <w:tab w:val="left" w:pos="800"/>
            </w:tabs>
            <w:spacing w:beforeLines="50" w:before="120" w:afterLines="50" w:after="120" w:line="360" w:lineRule="exact"/>
            <w:ind w:firstLineChars="200" w:firstLine="420"/>
            <w:jc w:val="both"/>
            <w:rPr>
              <w:rFonts w:cs="Times New Roman"/>
              <w:snapToGrid w:val="0"/>
              <w:color w:val="000000"/>
              <w:lang w:val="en-GB"/>
            </w:rPr>
          </w:pPr>
          <w:r>
            <w:rPr>
              <w:rFonts w:cs="Times New Roman" w:hint="eastAsia"/>
              <w:snapToGrid w:val="0"/>
              <w:color w:val="000000"/>
              <w:lang w:val="en-GB"/>
            </w:rPr>
            <w:t>兖矿集团财务有限公司（以下简称“财务公司”）系本公司之子公司，成立于2010年，注册资本100,000万元。公司法人营业执照统一社会信用代码：</w:t>
          </w:r>
          <w:r>
            <w:rPr>
              <w:rFonts w:cs="Times New Roman"/>
              <w:snapToGrid w:val="0"/>
              <w:color w:val="000000"/>
              <w:lang w:val="en-GB"/>
            </w:rPr>
            <w:t>91370000562509626T</w:t>
          </w:r>
          <w:r>
            <w:rPr>
              <w:rFonts w:cs="Times New Roman" w:hint="eastAsia"/>
              <w:snapToGrid w:val="0"/>
              <w:color w:val="000000"/>
              <w:lang w:val="en-GB"/>
            </w:rPr>
            <w:t>。财务公司为同一控制下合并取得，于</w:t>
          </w:r>
          <w:r>
            <w:rPr>
              <w:rFonts w:cs="Times New Roman" w:hint="eastAsia"/>
              <w:color w:val="000000"/>
            </w:rPr>
            <w:t>2017年10月，本公司完成收购本公司之控股股东山东能源持有的兖矿集团财务有限公司65%的权益，收购价款为1,124,228千元。2019年本公司收购中诚信托有限责任公司持有的财务公司5%股权，收购价款为7,787万元，收购后本公司持有财务公司比例上升至95%。2019年12月20日，财务公司增加注册资本150,000万元，增资后注册资本为250,000万元。2021年12月，财务公司增加注册资本150,000万元，增资后注册资本为400,000万元。法定代表人：张宝才，主要</w:t>
          </w:r>
          <w:r>
            <w:rPr>
              <w:rFonts w:cs="Times New Roman" w:hint="eastAsia"/>
              <w:snapToGrid w:val="0"/>
              <w:color w:val="000000"/>
              <w:lang w:val="en-GB"/>
            </w:rPr>
            <w:t>从事许可该机构经营中国银行业监督管理委员会依照有关法律、行政法规和其他规定批准的业务，经营范围以批准文件所列的为准。</w:t>
          </w:r>
        </w:p>
        <w:p w14:paraId="6E10D8B1" w14:textId="77777777" w:rsidR="007E7472" w:rsidRDefault="00EC1269" w:rsidP="00162493">
          <w:pPr>
            <w:numPr>
              <w:ilvl w:val="0"/>
              <w:numId w:val="104"/>
            </w:numPr>
            <w:tabs>
              <w:tab w:val="left" w:pos="567"/>
            </w:tabs>
            <w:spacing w:beforeLines="50" w:before="120" w:afterLines="50" w:after="120" w:line="360" w:lineRule="exact"/>
            <w:ind w:leftChars="200" w:firstLine="0"/>
            <w:jc w:val="both"/>
            <w:rPr>
              <w:rFonts w:cs="Times New Roman"/>
              <w:snapToGrid w:val="0"/>
              <w:color w:val="000000"/>
            </w:rPr>
          </w:pPr>
          <w:r>
            <w:rPr>
              <w:rFonts w:cs="Times New Roman" w:hint="eastAsia"/>
              <w:snapToGrid w:val="0"/>
              <w:color w:val="000000"/>
            </w:rPr>
            <w:t>陕西未来能源化工有限公司</w:t>
          </w:r>
        </w:p>
        <w:p w14:paraId="17560300" w14:textId="77777777" w:rsidR="007E7472" w:rsidRDefault="00EC1269">
          <w:pPr>
            <w:tabs>
              <w:tab w:val="left" w:pos="426"/>
              <w:tab w:val="left" w:pos="800"/>
            </w:tabs>
            <w:spacing w:beforeLines="50" w:before="120" w:afterLines="50" w:after="120" w:line="360" w:lineRule="exact"/>
            <w:ind w:firstLineChars="200" w:firstLine="420"/>
            <w:jc w:val="both"/>
            <w:rPr>
              <w:rFonts w:cs="Times New Roman"/>
              <w:color w:val="000000"/>
            </w:rPr>
          </w:pPr>
          <w:r>
            <w:rPr>
              <w:rFonts w:cs="Times New Roman" w:hint="eastAsia"/>
              <w:color w:val="000000"/>
            </w:rPr>
            <w:t>陕西未来能源化工有限公司（以下简称“未来能源”）系本公司之子公司，成立于</w:t>
          </w:r>
          <w:r>
            <w:rPr>
              <w:rFonts w:cs="Times New Roman"/>
              <w:color w:val="000000"/>
            </w:rPr>
            <w:t>2011年，注册资本540,000万元。</w:t>
          </w:r>
          <w:r>
            <w:rPr>
              <w:rFonts w:cs="Times New Roman" w:hint="eastAsia"/>
              <w:snapToGrid w:val="0"/>
              <w:color w:val="000000"/>
              <w:lang w:val="en-GB"/>
            </w:rPr>
            <w:t>公司法人营业执照统一社会信用代码</w:t>
          </w:r>
          <w:r>
            <w:rPr>
              <w:rFonts w:cs="Times New Roman"/>
              <w:color w:val="000000"/>
            </w:rPr>
            <w:t>：9161000056714796XP。法定代表人：</w:t>
          </w:r>
          <w:r>
            <w:rPr>
              <w:rFonts w:cs="Times New Roman" w:hint="eastAsia"/>
              <w:color w:val="000000"/>
            </w:rPr>
            <w:t>马洪光</w:t>
          </w:r>
          <w:r>
            <w:rPr>
              <w:rFonts w:cs="Times New Roman"/>
              <w:color w:val="000000"/>
            </w:rPr>
            <w:t>，主要从事</w:t>
          </w:r>
          <w:r>
            <w:rPr>
              <w:rFonts w:cs="Times New Roman" w:hint="eastAsia"/>
              <w:color w:val="000000"/>
            </w:rPr>
            <w:t>化工产品、油品的研发，电力生产销售，煤炭开采等</w:t>
          </w:r>
          <w:r>
            <w:rPr>
              <w:rFonts w:cs="Times New Roman"/>
              <w:color w:val="000000"/>
            </w:rPr>
            <w:t>。</w:t>
          </w:r>
        </w:p>
        <w:p w14:paraId="59BDE4D9" w14:textId="77777777" w:rsidR="007E7472" w:rsidRDefault="00EC1269">
          <w:pPr>
            <w:tabs>
              <w:tab w:val="left" w:pos="426"/>
              <w:tab w:val="left" w:pos="800"/>
            </w:tabs>
            <w:spacing w:beforeLines="50" w:before="120" w:afterLines="50" w:after="120" w:line="360" w:lineRule="exact"/>
            <w:ind w:firstLineChars="200" w:firstLine="420"/>
            <w:jc w:val="both"/>
            <w:rPr>
              <w:rFonts w:cs="Times New Roman"/>
              <w:snapToGrid w:val="0"/>
              <w:color w:val="000000"/>
              <w:lang w:val="en-GB"/>
            </w:rPr>
          </w:pPr>
          <w:r>
            <w:rPr>
              <w:rFonts w:cs="Times New Roman" w:hint="eastAsia"/>
              <w:snapToGrid w:val="0"/>
              <w:color w:val="000000"/>
              <w:lang w:val="en-GB"/>
            </w:rPr>
            <w:t>未来能源主要</w:t>
          </w:r>
          <w:r>
            <w:rPr>
              <w:rFonts w:cs="Times New Roman"/>
              <w:snapToGrid w:val="0"/>
              <w:color w:val="000000"/>
              <w:lang w:val="en-GB"/>
            </w:rPr>
            <w:t>控股子公司如下：</w:t>
          </w:r>
        </w:p>
        <w:tbl>
          <w:tblPr>
            <w:tblStyle w:val="g4"/>
            <w:tblW w:w="0" w:type="auto"/>
            <w:tblInd w:w="-34" w:type="dxa"/>
            <w:tblBorders>
              <w:top w:val="double" w:sz="4" w:space="0" w:color="auto"/>
              <w:bottom w:val="double" w:sz="4" w:space="0" w:color="auto"/>
              <w:insideH w:val="single" w:sz="2" w:space="0" w:color="auto"/>
              <w:insideV w:val="single" w:sz="2" w:space="0" w:color="auto"/>
            </w:tblBorders>
            <w:tblLayout w:type="fixed"/>
            <w:tblLook w:val="04A0" w:firstRow="1" w:lastRow="0" w:firstColumn="1" w:lastColumn="0" w:noHBand="0" w:noVBand="1"/>
          </w:tblPr>
          <w:tblGrid>
            <w:gridCol w:w="2269"/>
            <w:gridCol w:w="1275"/>
            <w:gridCol w:w="1560"/>
            <w:gridCol w:w="2268"/>
            <w:gridCol w:w="1026"/>
          </w:tblGrid>
          <w:tr w:rsidR="007E7472" w14:paraId="49C92FFE" w14:textId="77777777">
            <w:trPr>
              <w:trHeight w:val="397"/>
              <w:tblHeader/>
            </w:trPr>
            <w:tc>
              <w:tcPr>
                <w:tcW w:w="2269" w:type="dxa"/>
                <w:vAlign w:val="center"/>
              </w:tcPr>
              <w:p w14:paraId="65014E78" w14:textId="77777777" w:rsidR="007E7472" w:rsidRDefault="00EC1269">
                <w:pPr>
                  <w:jc w:val="both"/>
                  <w:rPr>
                    <w:rFonts w:cs="Times New Roman"/>
                    <w:b/>
                    <w:snapToGrid w:val="0"/>
                    <w:spacing w:val="-20"/>
                  </w:rPr>
                </w:pPr>
                <w:r>
                  <w:rPr>
                    <w:rFonts w:cs="Times New Roman"/>
                    <w:b/>
                    <w:snapToGrid w:val="0"/>
                    <w:spacing w:val="-20"/>
                  </w:rPr>
                  <w:t>公司名称</w:t>
                </w:r>
              </w:p>
            </w:tc>
            <w:tc>
              <w:tcPr>
                <w:tcW w:w="1275" w:type="dxa"/>
                <w:vAlign w:val="center"/>
              </w:tcPr>
              <w:p w14:paraId="7E2C322C" w14:textId="77777777" w:rsidR="007E7472" w:rsidRDefault="00EC1269">
                <w:pPr>
                  <w:jc w:val="center"/>
                  <w:rPr>
                    <w:rFonts w:cs="Times New Roman"/>
                    <w:b/>
                    <w:snapToGrid w:val="0"/>
                    <w:spacing w:val="-20"/>
                  </w:rPr>
                </w:pPr>
                <w:r>
                  <w:rPr>
                    <w:rFonts w:cs="Times New Roman"/>
                    <w:b/>
                    <w:snapToGrid w:val="0"/>
                    <w:spacing w:val="-20"/>
                  </w:rPr>
                  <w:t>注册地</w:t>
                </w:r>
              </w:p>
            </w:tc>
            <w:tc>
              <w:tcPr>
                <w:tcW w:w="1560" w:type="dxa"/>
                <w:vAlign w:val="center"/>
              </w:tcPr>
              <w:p w14:paraId="008DC75C" w14:textId="77777777" w:rsidR="007E7472" w:rsidRDefault="00EC1269">
                <w:pPr>
                  <w:jc w:val="center"/>
                  <w:rPr>
                    <w:rFonts w:cs="Times New Roman"/>
                    <w:b/>
                    <w:snapToGrid w:val="0"/>
                    <w:spacing w:val="-20"/>
                  </w:rPr>
                </w:pPr>
                <w:r>
                  <w:rPr>
                    <w:rFonts w:cs="Times New Roman"/>
                    <w:b/>
                    <w:snapToGrid w:val="0"/>
                    <w:spacing w:val="-20"/>
                  </w:rPr>
                  <w:t>注册资本</w:t>
                </w:r>
              </w:p>
            </w:tc>
            <w:tc>
              <w:tcPr>
                <w:tcW w:w="2268" w:type="dxa"/>
                <w:vAlign w:val="center"/>
              </w:tcPr>
              <w:p w14:paraId="5A25D42F" w14:textId="77777777" w:rsidR="007E7472" w:rsidRDefault="00EC1269">
                <w:pPr>
                  <w:jc w:val="center"/>
                  <w:rPr>
                    <w:rFonts w:cs="Times New Roman"/>
                    <w:b/>
                    <w:snapToGrid w:val="0"/>
                    <w:spacing w:val="-20"/>
                  </w:rPr>
                </w:pPr>
                <w:r>
                  <w:rPr>
                    <w:rFonts w:cs="Times New Roman"/>
                    <w:b/>
                    <w:snapToGrid w:val="0"/>
                    <w:spacing w:val="-20"/>
                  </w:rPr>
                  <w:t>经营范围</w:t>
                </w:r>
              </w:p>
            </w:tc>
            <w:tc>
              <w:tcPr>
                <w:tcW w:w="1026" w:type="dxa"/>
                <w:vAlign w:val="center"/>
              </w:tcPr>
              <w:p w14:paraId="7849FF04" w14:textId="77777777" w:rsidR="007E7472" w:rsidRDefault="00EC1269">
                <w:pPr>
                  <w:jc w:val="center"/>
                  <w:rPr>
                    <w:rFonts w:cs="Times New Roman"/>
                    <w:b/>
                    <w:snapToGrid w:val="0"/>
                    <w:spacing w:val="-20"/>
                  </w:rPr>
                </w:pPr>
                <w:r>
                  <w:rPr>
                    <w:rFonts w:cs="Times New Roman"/>
                    <w:b/>
                    <w:snapToGrid w:val="0"/>
                    <w:spacing w:val="-20"/>
                  </w:rPr>
                  <w:t>持股比例(%)</w:t>
                </w:r>
              </w:p>
            </w:tc>
          </w:tr>
          <w:tr w:rsidR="007E7472" w14:paraId="1524205D" w14:textId="77777777">
            <w:trPr>
              <w:trHeight w:val="397"/>
            </w:trPr>
            <w:tc>
              <w:tcPr>
                <w:tcW w:w="2269" w:type="dxa"/>
                <w:vAlign w:val="center"/>
              </w:tcPr>
              <w:p w14:paraId="464300B5" w14:textId="77777777" w:rsidR="007E7472" w:rsidRDefault="00EC1269">
                <w:pPr>
                  <w:tabs>
                    <w:tab w:val="left" w:pos="122"/>
                    <w:tab w:val="left" w:pos="288"/>
                  </w:tabs>
                  <w:rPr>
                    <w:rFonts w:cs="Times New Roman"/>
                    <w:snapToGrid w:val="0"/>
                    <w:color w:val="000000"/>
                    <w:spacing w:val="-20"/>
                    <w:lang w:val="en-GB"/>
                  </w:rPr>
                </w:pPr>
                <w:r>
                  <w:rPr>
                    <w:rFonts w:cs="Times New Roman" w:hint="eastAsia"/>
                    <w:snapToGrid w:val="0"/>
                    <w:color w:val="000000"/>
                    <w:spacing w:val="-20"/>
                    <w:lang w:val="en-GB"/>
                  </w:rPr>
                  <w:t>陕西未来清洁油品与化学品销售有限公司</w:t>
                </w:r>
              </w:p>
            </w:tc>
            <w:tc>
              <w:tcPr>
                <w:tcW w:w="1275" w:type="dxa"/>
                <w:vAlign w:val="center"/>
              </w:tcPr>
              <w:p w14:paraId="137F0D01" w14:textId="77777777" w:rsidR="007E7472" w:rsidRDefault="00EC1269">
                <w:pPr>
                  <w:jc w:val="center"/>
                  <w:rPr>
                    <w:rFonts w:cs="Times New Roman"/>
                    <w:snapToGrid w:val="0"/>
                    <w:color w:val="000000"/>
                    <w:spacing w:val="-20"/>
                    <w:lang w:val="en-GB" w:eastAsia="en-US"/>
                  </w:rPr>
                </w:pPr>
                <w:r>
                  <w:rPr>
                    <w:rFonts w:cs="Times New Roman" w:hint="eastAsia"/>
                    <w:snapToGrid w:val="0"/>
                    <w:color w:val="000000"/>
                    <w:spacing w:val="-20"/>
                    <w:lang w:val="en-GB" w:eastAsia="en-US"/>
                  </w:rPr>
                  <w:t>陕西榆林</w:t>
                </w:r>
              </w:p>
            </w:tc>
            <w:tc>
              <w:tcPr>
                <w:tcW w:w="1560" w:type="dxa"/>
                <w:vAlign w:val="center"/>
              </w:tcPr>
              <w:p w14:paraId="0C228C66" w14:textId="77777777" w:rsidR="007E7472" w:rsidRDefault="00EC1269">
                <w:pPr>
                  <w:jc w:val="center"/>
                  <w:rPr>
                    <w:rFonts w:cs="Times New Roman"/>
                    <w:snapToGrid w:val="0"/>
                    <w:color w:val="000000"/>
                    <w:spacing w:val="-20"/>
                    <w:lang w:val="en-GB" w:eastAsia="en-US"/>
                  </w:rPr>
                </w:pPr>
                <w:r>
                  <w:rPr>
                    <w:rFonts w:cs="Times New Roman"/>
                    <w:snapToGrid w:val="0"/>
                    <w:color w:val="000000"/>
                    <w:spacing w:val="-20"/>
                    <w:lang w:val="en-GB" w:eastAsia="en-US"/>
                  </w:rPr>
                  <w:t>5,000万元</w:t>
                </w:r>
              </w:p>
            </w:tc>
            <w:tc>
              <w:tcPr>
                <w:tcW w:w="2268" w:type="dxa"/>
                <w:vAlign w:val="center"/>
              </w:tcPr>
              <w:p w14:paraId="2470DEE7" w14:textId="77777777" w:rsidR="007E7472" w:rsidRDefault="00EC1269">
                <w:pPr>
                  <w:jc w:val="both"/>
                  <w:rPr>
                    <w:rFonts w:cs="Times New Roman"/>
                    <w:snapToGrid w:val="0"/>
                    <w:color w:val="000000"/>
                    <w:spacing w:val="-20"/>
                    <w:lang w:val="en-GB"/>
                  </w:rPr>
                </w:pPr>
                <w:r>
                  <w:rPr>
                    <w:rFonts w:cs="Times New Roman" w:hint="eastAsia"/>
                    <w:snapToGrid w:val="0"/>
                    <w:color w:val="000000"/>
                    <w:spacing w:val="-20"/>
                    <w:lang w:val="en-GB"/>
                  </w:rPr>
                  <w:t>石油制品、化工产品、煤炭及制品销售</w:t>
                </w:r>
              </w:p>
            </w:tc>
            <w:tc>
              <w:tcPr>
                <w:tcW w:w="1026" w:type="dxa"/>
                <w:vAlign w:val="center"/>
              </w:tcPr>
              <w:p w14:paraId="19240017" w14:textId="77777777" w:rsidR="007E7472" w:rsidRDefault="00EC1269">
                <w:pPr>
                  <w:jc w:val="center"/>
                  <w:rPr>
                    <w:rFonts w:cs="Times New Roman"/>
                    <w:snapToGrid w:val="0"/>
                    <w:color w:val="000000"/>
                    <w:spacing w:val="-20"/>
                    <w:lang w:val="en-GB" w:eastAsia="en-US"/>
                  </w:rPr>
                </w:pPr>
                <w:r>
                  <w:rPr>
                    <w:rFonts w:cs="Times New Roman" w:hint="eastAsia"/>
                    <w:snapToGrid w:val="0"/>
                    <w:color w:val="000000"/>
                    <w:spacing w:val="-20"/>
                    <w:lang w:val="en-GB" w:eastAsia="en-US"/>
                  </w:rPr>
                  <w:t>100</w:t>
                </w:r>
              </w:p>
            </w:tc>
          </w:tr>
          <w:tr w:rsidR="007E7472" w14:paraId="65D5FEC5" w14:textId="77777777">
            <w:trPr>
              <w:trHeight w:val="397"/>
            </w:trPr>
            <w:tc>
              <w:tcPr>
                <w:tcW w:w="2269" w:type="dxa"/>
                <w:vAlign w:val="center"/>
              </w:tcPr>
              <w:p w14:paraId="25FA577E" w14:textId="77777777" w:rsidR="007E7472" w:rsidRDefault="00EC1269">
                <w:pPr>
                  <w:tabs>
                    <w:tab w:val="left" w:pos="122"/>
                    <w:tab w:val="left" w:pos="288"/>
                  </w:tabs>
                  <w:rPr>
                    <w:rFonts w:cs="Times New Roman"/>
                    <w:snapToGrid w:val="0"/>
                    <w:color w:val="000000"/>
                    <w:spacing w:val="-20"/>
                    <w:lang w:val="en-GB"/>
                  </w:rPr>
                </w:pPr>
                <w:r>
                  <w:rPr>
                    <w:rFonts w:cs="Times New Roman" w:hint="eastAsia"/>
                    <w:snapToGrid w:val="0"/>
                    <w:color w:val="000000"/>
                    <w:spacing w:val="-20"/>
                    <w:lang w:val="en-GB"/>
                  </w:rPr>
                  <w:t>陕西未来清洁化学品有限公司</w:t>
                </w:r>
              </w:p>
            </w:tc>
            <w:tc>
              <w:tcPr>
                <w:tcW w:w="1275" w:type="dxa"/>
                <w:vAlign w:val="center"/>
              </w:tcPr>
              <w:p w14:paraId="0FFB5019" w14:textId="77777777" w:rsidR="007E7472" w:rsidRDefault="00EC1269">
                <w:pPr>
                  <w:jc w:val="center"/>
                  <w:rPr>
                    <w:rFonts w:cs="Times New Roman"/>
                    <w:snapToGrid w:val="0"/>
                    <w:color w:val="000000"/>
                    <w:spacing w:val="-20"/>
                    <w:lang w:val="en-GB" w:eastAsia="en-US"/>
                  </w:rPr>
                </w:pPr>
                <w:r>
                  <w:rPr>
                    <w:rFonts w:cs="Times New Roman" w:hint="eastAsia"/>
                    <w:snapToGrid w:val="0"/>
                    <w:color w:val="000000"/>
                    <w:spacing w:val="-20"/>
                    <w:lang w:val="en-GB" w:eastAsia="en-US"/>
                  </w:rPr>
                  <w:t>陕西榆林</w:t>
                </w:r>
              </w:p>
            </w:tc>
            <w:tc>
              <w:tcPr>
                <w:tcW w:w="1560" w:type="dxa"/>
                <w:vAlign w:val="center"/>
              </w:tcPr>
              <w:p w14:paraId="373C81F6" w14:textId="77777777" w:rsidR="007E7472" w:rsidRDefault="00EC1269">
                <w:pPr>
                  <w:jc w:val="center"/>
                  <w:rPr>
                    <w:rFonts w:cs="Times New Roman"/>
                    <w:snapToGrid w:val="0"/>
                    <w:color w:val="000000"/>
                    <w:spacing w:val="-20"/>
                    <w:lang w:val="en-GB" w:eastAsia="en-US"/>
                  </w:rPr>
                </w:pPr>
                <w:r>
                  <w:rPr>
                    <w:rFonts w:cs="Times New Roman"/>
                    <w:snapToGrid w:val="0"/>
                    <w:color w:val="000000"/>
                    <w:spacing w:val="-20"/>
                    <w:lang w:val="en-GB" w:eastAsia="en-US"/>
                  </w:rPr>
                  <w:t>3,000万元</w:t>
                </w:r>
              </w:p>
            </w:tc>
            <w:tc>
              <w:tcPr>
                <w:tcW w:w="2268" w:type="dxa"/>
                <w:vAlign w:val="center"/>
              </w:tcPr>
              <w:p w14:paraId="27527AA8" w14:textId="77777777" w:rsidR="007E7472" w:rsidRDefault="00EC1269">
                <w:pPr>
                  <w:jc w:val="both"/>
                  <w:rPr>
                    <w:rFonts w:cs="Times New Roman"/>
                    <w:snapToGrid w:val="0"/>
                    <w:color w:val="000000"/>
                    <w:spacing w:val="-20"/>
                    <w:lang w:val="en-GB"/>
                  </w:rPr>
                </w:pPr>
                <w:r>
                  <w:rPr>
                    <w:rFonts w:cs="Times New Roman" w:hint="eastAsia"/>
                    <w:snapToGrid w:val="0"/>
                    <w:color w:val="000000"/>
                    <w:spacing w:val="-20"/>
                    <w:lang w:val="en-GB"/>
                  </w:rPr>
                  <w:t>石油制品、化工产品、煤炭及制品销售</w:t>
                </w:r>
              </w:p>
            </w:tc>
            <w:tc>
              <w:tcPr>
                <w:tcW w:w="1026" w:type="dxa"/>
                <w:vAlign w:val="center"/>
              </w:tcPr>
              <w:p w14:paraId="22385307" w14:textId="77777777" w:rsidR="007E7472" w:rsidRDefault="00EC1269">
                <w:pPr>
                  <w:jc w:val="center"/>
                  <w:rPr>
                    <w:rFonts w:cs="Times New Roman"/>
                    <w:snapToGrid w:val="0"/>
                    <w:spacing w:val="-20"/>
                    <w:lang w:val="en-GB"/>
                  </w:rPr>
                </w:pPr>
                <w:r>
                  <w:rPr>
                    <w:rFonts w:cs="Times New Roman" w:hint="eastAsia"/>
                    <w:snapToGrid w:val="0"/>
                    <w:spacing w:val="-20"/>
                    <w:lang w:val="en-GB"/>
                  </w:rPr>
                  <w:t>5</w:t>
                </w:r>
                <w:r>
                  <w:rPr>
                    <w:rFonts w:cs="Times New Roman"/>
                    <w:snapToGrid w:val="0"/>
                    <w:spacing w:val="-20"/>
                    <w:lang w:val="en-GB"/>
                  </w:rPr>
                  <w:t>1</w:t>
                </w:r>
              </w:p>
            </w:tc>
          </w:tr>
        </w:tbl>
        <w:p w14:paraId="5D9BB37E" w14:textId="77777777" w:rsidR="007E7472" w:rsidRDefault="00EC1269" w:rsidP="00162493">
          <w:pPr>
            <w:numPr>
              <w:ilvl w:val="0"/>
              <w:numId w:val="104"/>
            </w:numPr>
            <w:tabs>
              <w:tab w:val="left" w:pos="567"/>
            </w:tabs>
            <w:spacing w:beforeLines="50" w:before="120" w:afterLines="50" w:after="120" w:line="360" w:lineRule="exact"/>
            <w:ind w:leftChars="200" w:firstLine="0"/>
            <w:jc w:val="both"/>
            <w:rPr>
              <w:rFonts w:cs="Times New Roman"/>
              <w:snapToGrid w:val="0"/>
              <w:color w:val="000000"/>
            </w:rPr>
          </w:pPr>
          <w:r>
            <w:rPr>
              <w:rFonts w:cs="Times New Roman" w:hint="eastAsia"/>
              <w:snapToGrid w:val="0"/>
              <w:color w:val="000000"/>
            </w:rPr>
            <w:t>兖矿鲁南化工有限公司</w:t>
          </w:r>
        </w:p>
        <w:p w14:paraId="3941C024" w14:textId="77777777" w:rsidR="007E7472" w:rsidRDefault="00EC1269">
          <w:pPr>
            <w:tabs>
              <w:tab w:val="left" w:pos="426"/>
              <w:tab w:val="left" w:pos="800"/>
            </w:tabs>
            <w:spacing w:beforeLines="50" w:before="120" w:afterLines="50" w:after="120" w:line="360" w:lineRule="exact"/>
            <w:ind w:firstLineChars="200" w:firstLine="420"/>
            <w:jc w:val="both"/>
            <w:rPr>
              <w:rFonts w:cs="Times New Roman"/>
              <w:snapToGrid w:val="0"/>
              <w:color w:val="000000"/>
              <w:lang w:val="en-GB"/>
            </w:rPr>
          </w:pPr>
          <w:r>
            <w:rPr>
              <w:rFonts w:cs="Times New Roman" w:hint="eastAsia"/>
              <w:snapToGrid w:val="0"/>
              <w:color w:val="000000"/>
              <w:lang w:val="en-GB"/>
            </w:rPr>
            <w:t>兖矿鲁南化工有限公司（以下简称“鲁南化工”）系本公司之子公司，成立于</w:t>
          </w:r>
          <w:r>
            <w:rPr>
              <w:rFonts w:cs="Times New Roman"/>
              <w:snapToGrid w:val="0"/>
              <w:color w:val="000000"/>
              <w:lang w:val="en-GB"/>
            </w:rPr>
            <w:t>2007年，注册资本504,069万元。</w:t>
          </w:r>
          <w:r>
            <w:rPr>
              <w:rFonts w:cs="Times New Roman" w:hint="eastAsia"/>
              <w:snapToGrid w:val="0"/>
              <w:color w:val="000000"/>
              <w:lang w:val="en-GB"/>
            </w:rPr>
            <w:t>公司法人营业执照统一社会信用代码</w:t>
          </w:r>
          <w:r>
            <w:rPr>
              <w:rFonts w:cs="Times New Roman"/>
              <w:snapToGrid w:val="0"/>
              <w:color w:val="000000"/>
              <w:lang w:val="en-GB"/>
            </w:rPr>
            <w:t>：913704006644327461。法定代表人：</w:t>
          </w:r>
          <w:r>
            <w:rPr>
              <w:rFonts w:cs="Times New Roman" w:hint="eastAsia"/>
              <w:snapToGrid w:val="0"/>
              <w:color w:val="000000"/>
              <w:lang w:val="en-GB"/>
            </w:rPr>
            <w:t>张岭</w:t>
          </w:r>
          <w:r>
            <w:rPr>
              <w:rFonts w:cs="Times New Roman"/>
              <w:snapToGrid w:val="0"/>
              <w:color w:val="000000"/>
              <w:lang w:val="en-GB"/>
            </w:rPr>
            <w:t>，主要从事</w:t>
          </w:r>
          <w:r>
            <w:rPr>
              <w:rFonts w:cs="Times New Roman" w:hint="eastAsia"/>
              <w:snapToGrid w:val="0"/>
              <w:color w:val="000000"/>
              <w:lang w:val="en-GB"/>
            </w:rPr>
            <w:t>化工产品生产、销售等</w:t>
          </w:r>
          <w:r>
            <w:rPr>
              <w:rFonts w:cs="Times New Roman"/>
              <w:snapToGrid w:val="0"/>
              <w:color w:val="000000"/>
              <w:lang w:val="en-GB"/>
            </w:rPr>
            <w:t>。</w:t>
          </w:r>
        </w:p>
        <w:p w14:paraId="2A74F6FA" w14:textId="77777777" w:rsidR="007E7472" w:rsidRDefault="00EC1269" w:rsidP="00162493">
          <w:pPr>
            <w:numPr>
              <w:ilvl w:val="0"/>
              <w:numId w:val="104"/>
            </w:numPr>
            <w:tabs>
              <w:tab w:val="left" w:pos="567"/>
            </w:tabs>
            <w:spacing w:beforeLines="50" w:before="120" w:afterLines="50" w:after="120" w:line="360" w:lineRule="exact"/>
            <w:ind w:leftChars="200" w:firstLine="0"/>
            <w:jc w:val="both"/>
            <w:rPr>
              <w:rFonts w:cs="Times New Roman"/>
              <w:snapToGrid w:val="0"/>
              <w:color w:val="000000"/>
            </w:rPr>
          </w:pPr>
          <w:r>
            <w:rPr>
              <w:rFonts w:cs="Times New Roman" w:hint="eastAsia"/>
              <w:snapToGrid w:val="0"/>
              <w:color w:val="000000"/>
            </w:rPr>
            <w:t>内蒙古矿业（集团）有限责任公司</w:t>
          </w:r>
        </w:p>
        <w:p w14:paraId="64339CC0" w14:textId="77777777" w:rsidR="007E7472" w:rsidRDefault="00EC1269">
          <w:pPr>
            <w:tabs>
              <w:tab w:val="left" w:pos="426"/>
              <w:tab w:val="left" w:pos="800"/>
            </w:tabs>
            <w:spacing w:beforeLines="50" w:before="120" w:afterLines="50" w:after="120" w:line="360" w:lineRule="exact"/>
            <w:ind w:firstLineChars="200" w:firstLine="420"/>
            <w:jc w:val="both"/>
            <w:rPr>
              <w:rFonts w:cs="Times New Roman"/>
              <w:snapToGrid w:val="0"/>
              <w:color w:val="000000"/>
              <w:lang w:val="en-GB"/>
            </w:rPr>
          </w:pPr>
          <w:r>
            <w:rPr>
              <w:rFonts w:cs="Times New Roman"/>
              <w:snapToGrid w:val="0"/>
              <w:color w:val="000000"/>
              <w:lang w:val="en-GB"/>
            </w:rPr>
            <w:t>内蒙古矿业（集团）有限责任公司</w:t>
          </w:r>
          <w:r>
            <w:rPr>
              <w:rFonts w:cs="Times New Roman" w:hint="eastAsia"/>
              <w:snapToGrid w:val="0"/>
              <w:color w:val="000000"/>
              <w:lang w:val="en-GB"/>
            </w:rPr>
            <w:t>（以下简称“内蒙矿业”）系本公司之子公司，成立于</w:t>
          </w:r>
          <w:r>
            <w:rPr>
              <w:rFonts w:cs="Times New Roman"/>
              <w:snapToGrid w:val="0"/>
              <w:color w:val="000000"/>
              <w:lang w:val="en-GB"/>
            </w:rPr>
            <w:t>2013年，注册资本699,730万元。</w:t>
          </w:r>
          <w:r>
            <w:rPr>
              <w:rFonts w:cs="Times New Roman" w:hint="eastAsia"/>
              <w:snapToGrid w:val="0"/>
              <w:color w:val="000000"/>
              <w:lang w:val="en-GB"/>
            </w:rPr>
            <w:t>公司法人营业执照统一社会信用代码</w:t>
          </w:r>
          <w:r>
            <w:rPr>
              <w:rFonts w:cs="Times New Roman"/>
              <w:snapToGrid w:val="0"/>
              <w:color w:val="000000"/>
              <w:lang w:val="en-GB"/>
            </w:rPr>
            <w:t>：91150000065019167L。</w:t>
          </w:r>
          <w:r>
            <w:rPr>
              <w:rFonts w:cs="Times New Roman" w:hint="eastAsia"/>
              <w:snapToGrid w:val="0"/>
              <w:color w:val="000000"/>
              <w:lang w:val="en-GB"/>
            </w:rPr>
            <w:t>本公司于</w:t>
          </w:r>
          <w:r>
            <w:rPr>
              <w:rFonts w:cs="Times New Roman"/>
              <w:snapToGrid w:val="0"/>
              <w:color w:val="000000"/>
              <w:lang w:val="en-GB"/>
            </w:rPr>
            <w:t>2020年10月与内蒙古地质矿产（集团）有限责任公司（以下简称“地矿集团”）签订《增资协议》，以人民币3,962,290千元认缴</w:t>
          </w:r>
          <w:r>
            <w:rPr>
              <w:rFonts w:cs="Times New Roman" w:hint="eastAsia"/>
              <w:snapToGrid w:val="0"/>
              <w:color w:val="000000"/>
              <w:lang w:val="en-GB"/>
            </w:rPr>
            <w:t>内蒙</w:t>
          </w:r>
          <w:r>
            <w:rPr>
              <w:rFonts w:cs="Times New Roman"/>
              <w:snapToGrid w:val="0"/>
              <w:color w:val="000000"/>
              <w:lang w:val="en-GB"/>
            </w:rPr>
            <w:t>矿业新增注册资本3,568,626</w:t>
          </w:r>
          <w:r>
            <w:rPr>
              <w:rFonts w:cs="Times New Roman" w:hint="eastAsia"/>
              <w:snapToGrid w:val="0"/>
              <w:color w:val="000000"/>
              <w:lang w:val="en-GB"/>
            </w:rPr>
            <w:t>千</w:t>
          </w:r>
          <w:r>
            <w:rPr>
              <w:rFonts w:cs="Times New Roman"/>
              <w:snapToGrid w:val="0"/>
              <w:color w:val="000000"/>
              <w:lang w:val="en-GB"/>
            </w:rPr>
            <w:t>元，本次增资</w:t>
          </w:r>
          <w:r>
            <w:rPr>
              <w:rFonts w:cs="Times New Roman"/>
              <w:snapToGrid w:val="0"/>
              <w:color w:val="000000"/>
              <w:lang w:val="en-GB"/>
            </w:rPr>
            <w:lastRenderedPageBreak/>
            <w:t>后，本公司</w:t>
          </w:r>
          <w:r>
            <w:rPr>
              <w:rFonts w:cs="Times New Roman" w:hint="eastAsia"/>
              <w:snapToGrid w:val="0"/>
              <w:color w:val="000000"/>
              <w:lang w:val="en-GB"/>
            </w:rPr>
            <w:t>、</w:t>
          </w:r>
          <w:r>
            <w:rPr>
              <w:rFonts w:cs="Times New Roman"/>
              <w:snapToGrid w:val="0"/>
              <w:color w:val="000000"/>
              <w:lang w:val="en-GB"/>
            </w:rPr>
            <w:t>地矿集团持股比例分别51%、49%。法定代表人：</w:t>
          </w:r>
          <w:r>
            <w:rPr>
              <w:rFonts w:cs="Times New Roman" w:hint="eastAsia"/>
              <w:snapToGrid w:val="0"/>
              <w:color w:val="000000"/>
              <w:lang w:val="en-GB"/>
            </w:rPr>
            <w:t>王九红。内蒙矿业</w:t>
          </w:r>
          <w:r>
            <w:rPr>
              <w:rFonts w:cs="Times New Roman"/>
              <w:snapToGrid w:val="0"/>
              <w:color w:val="000000"/>
              <w:lang w:val="en-GB"/>
            </w:rPr>
            <w:t>主要从事</w:t>
          </w:r>
          <w:r>
            <w:rPr>
              <w:rFonts w:cs="Times New Roman" w:hint="eastAsia"/>
              <w:snapToGrid w:val="0"/>
              <w:color w:val="000000"/>
              <w:lang w:val="en-GB"/>
            </w:rPr>
            <w:t>对矿产资源的投资与管理、煤炭开采和洗选业等</w:t>
          </w:r>
          <w:r>
            <w:rPr>
              <w:rFonts w:cs="Times New Roman"/>
              <w:snapToGrid w:val="0"/>
              <w:color w:val="000000"/>
              <w:lang w:val="en-GB"/>
            </w:rPr>
            <w:t>。</w:t>
          </w:r>
        </w:p>
        <w:p w14:paraId="2B1159FA" w14:textId="77777777" w:rsidR="007E7472" w:rsidRDefault="00EC1269">
          <w:pPr>
            <w:tabs>
              <w:tab w:val="left" w:pos="426"/>
              <w:tab w:val="left" w:pos="800"/>
            </w:tabs>
            <w:spacing w:beforeLines="50" w:before="120" w:afterLines="50" w:after="120" w:line="360" w:lineRule="exact"/>
            <w:ind w:firstLineChars="200" w:firstLine="420"/>
            <w:jc w:val="both"/>
            <w:rPr>
              <w:rFonts w:cs="Times New Roman"/>
              <w:snapToGrid w:val="0"/>
              <w:color w:val="000000"/>
              <w:lang w:val="en-GB"/>
            </w:rPr>
          </w:pPr>
          <w:r>
            <w:rPr>
              <w:rFonts w:cs="Times New Roman" w:hint="eastAsia"/>
              <w:snapToGrid w:val="0"/>
              <w:color w:val="000000"/>
              <w:lang w:val="en-GB"/>
            </w:rPr>
            <w:t>内蒙矿业主要</w:t>
          </w:r>
          <w:r>
            <w:rPr>
              <w:rFonts w:cs="Times New Roman"/>
              <w:snapToGrid w:val="0"/>
              <w:color w:val="000000"/>
              <w:lang w:val="en-GB"/>
            </w:rPr>
            <w:t>控股子公司如下：</w:t>
          </w:r>
        </w:p>
        <w:tbl>
          <w:tblPr>
            <w:tblStyle w:val="g4"/>
            <w:tblW w:w="0" w:type="auto"/>
            <w:tblBorders>
              <w:top w:val="double" w:sz="4" w:space="0" w:color="auto"/>
              <w:bottom w:val="double" w:sz="4" w:space="0" w:color="auto"/>
              <w:insideH w:val="single" w:sz="2" w:space="0" w:color="auto"/>
              <w:insideV w:val="single" w:sz="2" w:space="0" w:color="auto"/>
            </w:tblBorders>
            <w:tblLook w:val="04A0" w:firstRow="1" w:lastRow="0" w:firstColumn="1" w:lastColumn="0" w:noHBand="0" w:noVBand="1"/>
          </w:tblPr>
          <w:tblGrid>
            <w:gridCol w:w="2835"/>
            <w:gridCol w:w="993"/>
            <w:gridCol w:w="1275"/>
            <w:gridCol w:w="2977"/>
            <w:gridCol w:w="753"/>
          </w:tblGrid>
          <w:tr w:rsidR="007E7472" w14:paraId="56F137A5" w14:textId="77777777">
            <w:trPr>
              <w:trHeight w:val="397"/>
              <w:tblHeader/>
            </w:trPr>
            <w:tc>
              <w:tcPr>
                <w:tcW w:w="2835" w:type="dxa"/>
                <w:vAlign w:val="center"/>
              </w:tcPr>
              <w:p w14:paraId="53B598B2" w14:textId="77777777" w:rsidR="007E7472" w:rsidRDefault="00EC1269">
                <w:pPr>
                  <w:jc w:val="both"/>
                  <w:rPr>
                    <w:rFonts w:cs="Times New Roman"/>
                    <w:b/>
                    <w:snapToGrid w:val="0"/>
                    <w:spacing w:val="-30"/>
                  </w:rPr>
                </w:pPr>
                <w:r>
                  <w:rPr>
                    <w:rFonts w:cs="Times New Roman"/>
                    <w:b/>
                    <w:snapToGrid w:val="0"/>
                    <w:spacing w:val="-30"/>
                  </w:rPr>
                  <w:t>公司名称</w:t>
                </w:r>
              </w:p>
            </w:tc>
            <w:tc>
              <w:tcPr>
                <w:tcW w:w="993" w:type="dxa"/>
                <w:vAlign w:val="center"/>
              </w:tcPr>
              <w:p w14:paraId="78AFCC70" w14:textId="77777777" w:rsidR="007E7472" w:rsidRDefault="00EC1269">
                <w:pPr>
                  <w:jc w:val="center"/>
                  <w:rPr>
                    <w:rFonts w:cs="Times New Roman"/>
                    <w:b/>
                    <w:snapToGrid w:val="0"/>
                    <w:spacing w:val="-30"/>
                  </w:rPr>
                </w:pPr>
                <w:r>
                  <w:rPr>
                    <w:rFonts w:cs="Times New Roman"/>
                    <w:b/>
                    <w:snapToGrid w:val="0"/>
                    <w:spacing w:val="-30"/>
                  </w:rPr>
                  <w:t>注册地</w:t>
                </w:r>
              </w:p>
            </w:tc>
            <w:tc>
              <w:tcPr>
                <w:tcW w:w="1275" w:type="dxa"/>
                <w:vAlign w:val="center"/>
              </w:tcPr>
              <w:p w14:paraId="0B42D47C" w14:textId="77777777" w:rsidR="007E7472" w:rsidRDefault="00EC1269">
                <w:pPr>
                  <w:jc w:val="center"/>
                  <w:rPr>
                    <w:rFonts w:cs="Times New Roman"/>
                    <w:b/>
                    <w:snapToGrid w:val="0"/>
                    <w:spacing w:val="-30"/>
                  </w:rPr>
                </w:pPr>
                <w:r>
                  <w:rPr>
                    <w:rFonts w:cs="Times New Roman"/>
                    <w:b/>
                    <w:snapToGrid w:val="0"/>
                    <w:spacing w:val="-30"/>
                  </w:rPr>
                  <w:t>注册资本</w:t>
                </w:r>
              </w:p>
            </w:tc>
            <w:tc>
              <w:tcPr>
                <w:tcW w:w="2977" w:type="dxa"/>
                <w:vAlign w:val="center"/>
              </w:tcPr>
              <w:p w14:paraId="1DDE4CD3" w14:textId="77777777" w:rsidR="007E7472" w:rsidRDefault="00EC1269">
                <w:pPr>
                  <w:jc w:val="center"/>
                  <w:rPr>
                    <w:rFonts w:cs="Times New Roman"/>
                    <w:b/>
                    <w:snapToGrid w:val="0"/>
                    <w:spacing w:val="-30"/>
                  </w:rPr>
                </w:pPr>
                <w:r>
                  <w:rPr>
                    <w:rFonts w:cs="Times New Roman"/>
                    <w:b/>
                    <w:snapToGrid w:val="0"/>
                    <w:spacing w:val="-30"/>
                  </w:rPr>
                  <w:t>经营范围</w:t>
                </w:r>
              </w:p>
            </w:tc>
            <w:tc>
              <w:tcPr>
                <w:tcW w:w="753" w:type="dxa"/>
                <w:vAlign w:val="center"/>
              </w:tcPr>
              <w:p w14:paraId="743601D5" w14:textId="77777777" w:rsidR="007E7472" w:rsidRDefault="00EC1269">
                <w:pPr>
                  <w:jc w:val="center"/>
                  <w:rPr>
                    <w:rFonts w:cs="Times New Roman"/>
                    <w:b/>
                    <w:snapToGrid w:val="0"/>
                    <w:spacing w:val="-30"/>
                  </w:rPr>
                </w:pPr>
                <w:r>
                  <w:rPr>
                    <w:rFonts w:cs="Times New Roman"/>
                    <w:b/>
                    <w:snapToGrid w:val="0"/>
                    <w:spacing w:val="-30"/>
                  </w:rPr>
                  <w:t>持股比例(%)</w:t>
                </w:r>
              </w:p>
            </w:tc>
          </w:tr>
          <w:tr w:rsidR="007E7472" w14:paraId="342038B0" w14:textId="77777777">
            <w:trPr>
              <w:trHeight w:val="397"/>
            </w:trPr>
            <w:tc>
              <w:tcPr>
                <w:tcW w:w="2835" w:type="dxa"/>
                <w:vAlign w:val="center"/>
              </w:tcPr>
              <w:p w14:paraId="7EF0AB1A" w14:textId="77777777" w:rsidR="007E7472" w:rsidRDefault="00EC1269">
                <w:pPr>
                  <w:tabs>
                    <w:tab w:val="left" w:pos="122"/>
                    <w:tab w:val="left" w:pos="288"/>
                  </w:tabs>
                  <w:jc w:val="both"/>
                  <w:rPr>
                    <w:rFonts w:cs="Times New Roman"/>
                    <w:snapToGrid w:val="0"/>
                    <w:color w:val="000000"/>
                    <w:spacing w:val="-30"/>
                    <w:lang w:val="en-GB"/>
                  </w:rPr>
                </w:pPr>
                <w:r>
                  <w:rPr>
                    <w:rFonts w:cs="Times New Roman" w:hint="eastAsia"/>
                    <w:snapToGrid w:val="0"/>
                    <w:color w:val="000000"/>
                    <w:spacing w:val="-30"/>
                    <w:lang w:val="en-GB"/>
                  </w:rPr>
                  <w:t>乌兰察布市宏大实业有限公司</w:t>
                </w:r>
              </w:p>
            </w:tc>
            <w:tc>
              <w:tcPr>
                <w:tcW w:w="993" w:type="dxa"/>
                <w:vAlign w:val="center"/>
              </w:tcPr>
              <w:p w14:paraId="71E0EF71" w14:textId="77777777" w:rsidR="007E7472" w:rsidRDefault="00EC1269">
                <w:pPr>
                  <w:jc w:val="center"/>
                  <w:rPr>
                    <w:rFonts w:cs="Times New Roman"/>
                    <w:snapToGrid w:val="0"/>
                    <w:color w:val="000000"/>
                    <w:spacing w:val="-30"/>
                    <w:lang w:val="en-GB" w:eastAsia="en-US"/>
                  </w:rPr>
                </w:pPr>
                <w:r>
                  <w:rPr>
                    <w:rFonts w:cs="Times New Roman" w:hint="eastAsia"/>
                    <w:snapToGrid w:val="0"/>
                    <w:color w:val="000000"/>
                    <w:spacing w:val="-30"/>
                    <w:lang w:val="en-GB" w:eastAsia="en-US"/>
                  </w:rPr>
                  <w:t>乌兰察布</w:t>
                </w:r>
              </w:p>
            </w:tc>
            <w:tc>
              <w:tcPr>
                <w:tcW w:w="1275" w:type="dxa"/>
                <w:vAlign w:val="center"/>
              </w:tcPr>
              <w:p w14:paraId="5D4EAA93" w14:textId="77777777" w:rsidR="007E7472" w:rsidRDefault="00EC1269">
                <w:pPr>
                  <w:jc w:val="center"/>
                  <w:rPr>
                    <w:rFonts w:cs="Times New Roman"/>
                    <w:snapToGrid w:val="0"/>
                    <w:color w:val="000000"/>
                    <w:spacing w:val="-30"/>
                    <w:lang w:val="en-GB" w:eastAsia="en-US"/>
                  </w:rPr>
                </w:pPr>
                <w:r>
                  <w:rPr>
                    <w:rFonts w:cs="Times New Roman"/>
                    <w:snapToGrid w:val="0"/>
                    <w:color w:val="000000"/>
                    <w:spacing w:val="-30"/>
                    <w:lang w:val="en-GB" w:eastAsia="en-US"/>
                  </w:rPr>
                  <w:t>55,000</w:t>
                </w:r>
                <w:r>
                  <w:rPr>
                    <w:rFonts w:cs="Times New Roman" w:hint="eastAsia"/>
                    <w:snapToGrid w:val="0"/>
                    <w:color w:val="000000"/>
                    <w:spacing w:val="-30"/>
                    <w:lang w:val="en-GB" w:eastAsia="en-US"/>
                  </w:rPr>
                  <w:t>万元</w:t>
                </w:r>
              </w:p>
            </w:tc>
            <w:tc>
              <w:tcPr>
                <w:tcW w:w="2977" w:type="dxa"/>
                <w:vAlign w:val="center"/>
              </w:tcPr>
              <w:p w14:paraId="2DF2B23A" w14:textId="77777777" w:rsidR="007E7472" w:rsidRDefault="00EC1269">
                <w:pPr>
                  <w:jc w:val="both"/>
                  <w:rPr>
                    <w:rFonts w:cs="Times New Roman"/>
                    <w:snapToGrid w:val="0"/>
                    <w:color w:val="000000"/>
                    <w:spacing w:val="-30"/>
                    <w:lang w:val="en-GB" w:eastAsia="en-US"/>
                  </w:rPr>
                </w:pPr>
                <w:r>
                  <w:rPr>
                    <w:rFonts w:cs="Times New Roman" w:hint="eastAsia"/>
                    <w:snapToGrid w:val="0"/>
                    <w:color w:val="000000"/>
                    <w:spacing w:val="-30"/>
                    <w:lang w:val="en-GB" w:eastAsia="en-US"/>
                  </w:rPr>
                  <w:t>运营电力</w:t>
                </w:r>
              </w:p>
            </w:tc>
            <w:tc>
              <w:tcPr>
                <w:tcW w:w="753" w:type="dxa"/>
                <w:vAlign w:val="center"/>
              </w:tcPr>
              <w:p w14:paraId="52AC3954" w14:textId="77777777" w:rsidR="007E7472" w:rsidRDefault="00EC1269">
                <w:pPr>
                  <w:jc w:val="center"/>
                  <w:rPr>
                    <w:rFonts w:cs="Times New Roman"/>
                    <w:snapToGrid w:val="0"/>
                    <w:color w:val="000000"/>
                    <w:spacing w:val="-30"/>
                    <w:lang w:val="en-GB" w:eastAsia="en-US"/>
                  </w:rPr>
                </w:pPr>
                <w:r>
                  <w:rPr>
                    <w:rFonts w:cs="Times New Roman" w:hint="eastAsia"/>
                    <w:snapToGrid w:val="0"/>
                    <w:color w:val="000000"/>
                    <w:spacing w:val="-30"/>
                    <w:lang w:val="en-GB" w:eastAsia="en-US"/>
                  </w:rPr>
                  <w:t>100</w:t>
                </w:r>
              </w:p>
            </w:tc>
          </w:tr>
          <w:tr w:rsidR="007E7472" w14:paraId="588145FB" w14:textId="77777777">
            <w:trPr>
              <w:trHeight w:val="397"/>
            </w:trPr>
            <w:tc>
              <w:tcPr>
                <w:tcW w:w="2835" w:type="dxa"/>
                <w:vAlign w:val="center"/>
              </w:tcPr>
              <w:p w14:paraId="532B845D" w14:textId="77777777" w:rsidR="007E7472" w:rsidRDefault="00EC1269">
                <w:pPr>
                  <w:tabs>
                    <w:tab w:val="left" w:pos="122"/>
                    <w:tab w:val="left" w:pos="288"/>
                  </w:tabs>
                  <w:jc w:val="both"/>
                  <w:rPr>
                    <w:rFonts w:cs="Times New Roman"/>
                    <w:snapToGrid w:val="0"/>
                    <w:color w:val="000000"/>
                    <w:spacing w:val="-30"/>
                    <w:lang w:val="en-GB"/>
                  </w:rPr>
                </w:pPr>
                <w:r>
                  <w:rPr>
                    <w:rFonts w:cs="Times New Roman" w:hint="eastAsia"/>
                    <w:snapToGrid w:val="0"/>
                    <w:color w:val="000000"/>
                    <w:spacing w:val="-30"/>
                    <w:lang w:val="en-GB"/>
                  </w:rPr>
                  <w:t>鄂尔多斯市锋威光电有限公司</w:t>
                </w:r>
              </w:p>
            </w:tc>
            <w:tc>
              <w:tcPr>
                <w:tcW w:w="993" w:type="dxa"/>
                <w:vAlign w:val="center"/>
              </w:tcPr>
              <w:p w14:paraId="4781C81D" w14:textId="77777777" w:rsidR="007E7472" w:rsidRDefault="00EC1269">
                <w:pPr>
                  <w:jc w:val="center"/>
                  <w:rPr>
                    <w:rFonts w:cs="Times New Roman"/>
                    <w:snapToGrid w:val="0"/>
                    <w:color w:val="000000"/>
                    <w:spacing w:val="-30"/>
                    <w:lang w:val="en-GB" w:eastAsia="en-US"/>
                  </w:rPr>
                </w:pPr>
                <w:r>
                  <w:rPr>
                    <w:rFonts w:cs="Times New Roman" w:hint="eastAsia"/>
                    <w:snapToGrid w:val="0"/>
                    <w:color w:val="000000"/>
                    <w:spacing w:val="-30"/>
                    <w:lang w:val="en-GB" w:eastAsia="en-US"/>
                  </w:rPr>
                  <w:t>鄂尔多斯</w:t>
                </w:r>
              </w:p>
            </w:tc>
            <w:tc>
              <w:tcPr>
                <w:tcW w:w="1275" w:type="dxa"/>
                <w:vAlign w:val="center"/>
              </w:tcPr>
              <w:p w14:paraId="58E6E2B1" w14:textId="77777777" w:rsidR="007E7472" w:rsidRDefault="00EC1269">
                <w:pPr>
                  <w:jc w:val="center"/>
                  <w:rPr>
                    <w:rFonts w:cs="Times New Roman"/>
                    <w:snapToGrid w:val="0"/>
                    <w:color w:val="000000"/>
                    <w:spacing w:val="-30"/>
                    <w:lang w:val="en-GB" w:eastAsia="en-US"/>
                  </w:rPr>
                </w:pPr>
                <w:r>
                  <w:rPr>
                    <w:rFonts w:cs="Times New Roman"/>
                    <w:snapToGrid w:val="0"/>
                    <w:color w:val="000000"/>
                    <w:spacing w:val="-30"/>
                    <w:lang w:val="en-GB" w:eastAsia="en-US"/>
                  </w:rPr>
                  <w:t>18,000</w:t>
                </w:r>
                <w:r>
                  <w:rPr>
                    <w:rFonts w:cs="Times New Roman" w:hint="eastAsia"/>
                    <w:snapToGrid w:val="0"/>
                    <w:color w:val="000000"/>
                    <w:spacing w:val="-30"/>
                    <w:lang w:val="en-GB" w:eastAsia="en-US"/>
                  </w:rPr>
                  <w:t>万元</w:t>
                </w:r>
              </w:p>
            </w:tc>
            <w:tc>
              <w:tcPr>
                <w:tcW w:w="2977" w:type="dxa"/>
                <w:vAlign w:val="center"/>
              </w:tcPr>
              <w:p w14:paraId="2C937831" w14:textId="77777777" w:rsidR="007E7472" w:rsidRDefault="00EC1269">
                <w:pPr>
                  <w:jc w:val="both"/>
                  <w:rPr>
                    <w:rFonts w:cs="Times New Roman"/>
                    <w:snapToGrid w:val="0"/>
                    <w:color w:val="000000"/>
                    <w:spacing w:val="-30"/>
                    <w:lang w:val="en-GB"/>
                  </w:rPr>
                </w:pPr>
                <w:r>
                  <w:rPr>
                    <w:rFonts w:cs="Times New Roman" w:hint="eastAsia"/>
                    <w:snapToGrid w:val="0"/>
                    <w:color w:val="000000"/>
                    <w:spacing w:val="-30"/>
                    <w:lang w:val="en-GB"/>
                  </w:rPr>
                  <w:t>太阳能、风能发电项目建设及生产运营</w:t>
                </w:r>
              </w:p>
            </w:tc>
            <w:tc>
              <w:tcPr>
                <w:tcW w:w="753" w:type="dxa"/>
                <w:vAlign w:val="center"/>
              </w:tcPr>
              <w:p w14:paraId="3076CC1D" w14:textId="77777777" w:rsidR="007E7472" w:rsidRDefault="00EC1269">
                <w:pPr>
                  <w:jc w:val="center"/>
                  <w:rPr>
                    <w:rFonts w:cs="Times New Roman"/>
                    <w:snapToGrid w:val="0"/>
                    <w:color w:val="000000"/>
                    <w:spacing w:val="-30"/>
                    <w:lang w:val="en-GB" w:eastAsia="en-US"/>
                  </w:rPr>
                </w:pPr>
                <w:r>
                  <w:rPr>
                    <w:rFonts w:cs="Times New Roman" w:hint="eastAsia"/>
                    <w:snapToGrid w:val="0"/>
                    <w:color w:val="000000"/>
                    <w:spacing w:val="-30"/>
                    <w:lang w:val="en-GB" w:eastAsia="en-US"/>
                  </w:rPr>
                  <w:t>100</w:t>
                </w:r>
              </w:p>
            </w:tc>
          </w:tr>
          <w:tr w:rsidR="007E7472" w14:paraId="4239EE99" w14:textId="77777777">
            <w:trPr>
              <w:trHeight w:val="397"/>
            </w:trPr>
            <w:tc>
              <w:tcPr>
                <w:tcW w:w="2835" w:type="dxa"/>
                <w:vAlign w:val="center"/>
              </w:tcPr>
              <w:p w14:paraId="72669907" w14:textId="77777777" w:rsidR="007E7472" w:rsidRDefault="00EC1269">
                <w:pPr>
                  <w:tabs>
                    <w:tab w:val="left" w:pos="122"/>
                    <w:tab w:val="left" w:pos="288"/>
                  </w:tabs>
                  <w:jc w:val="both"/>
                  <w:rPr>
                    <w:rFonts w:cs="Times New Roman"/>
                    <w:snapToGrid w:val="0"/>
                    <w:color w:val="000000"/>
                    <w:spacing w:val="-30"/>
                    <w:lang w:val="en-GB"/>
                  </w:rPr>
                </w:pPr>
                <w:r>
                  <w:rPr>
                    <w:rFonts w:cs="Times New Roman" w:hint="eastAsia"/>
                    <w:snapToGrid w:val="0"/>
                    <w:color w:val="000000"/>
                    <w:spacing w:val="-30"/>
                    <w:lang w:val="en-GB"/>
                  </w:rPr>
                  <w:t>内蒙古矿业资源投资控股有限公司</w:t>
                </w:r>
              </w:p>
            </w:tc>
            <w:tc>
              <w:tcPr>
                <w:tcW w:w="993" w:type="dxa"/>
                <w:vAlign w:val="center"/>
              </w:tcPr>
              <w:p w14:paraId="6509A27E" w14:textId="77777777" w:rsidR="007E7472" w:rsidRDefault="00EC1269">
                <w:pPr>
                  <w:jc w:val="center"/>
                  <w:rPr>
                    <w:rFonts w:cs="Times New Roman"/>
                    <w:snapToGrid w:val="0"/>
                    <w:color w:val="000000"/>
                    <w:spacing w:val="-30"/>
                    <w:lang w:val="en-GB" w:eastAsia="en-US"/>
                  </w:rPr>
                </w:pPr>
                <w:r>
                  <w:rPr>
                    <w:rFonts w:cs="Times New Roman" w:hint="eastAsia"/>
                    <w:snapToGrid w:val="0"/>
                    <w:color w:val="000000"/>
                    <w:spacing w:val="-30"/>
                    <w:lang w:val="en-GB" w:eastAsia="en-US"/>
                  </w:rPr>
                  <w:t>呼和浩特</w:t>
                </w:r>
              </w:p>
            </w:tc>
            <w:tc>
              <w:tcPr>
                <w:tcW w:w="1275" w:type="dxa"/>
                <w:vAlign w:val="center"/>
              </w:tcPr>
              <w:p w14:paraId="3DABACD7" w14:textId="77777777" w:rsidR="007E7472" w:rsidRDefault="00EC1269">
                <w:pPr>
                  <w:jc w:val="center"/>
                  <w:rPr>
                    <w:rFonts w:cs="Times New Roman"/>
                    <w:snapToGrid w:val="0"/>
                    <w:color w:val="000000"/>
                    <w:spacing w:val="-30"/>
                    <w:lang w:val="en-GB" w:eastAsia="en-US"/>
                  </w:rPr>
                </w:pPr>
                <w:r>
                  <w:rPr>
                    <w:rFonts w:cs="Times New Roman"/>
                    <w:snapToGrid w:val="0"/>
                    <w:color w:val="000000"/>
                    <w:spacing w:val="-30"/>
                    <w:lang w:val="en-GB" w:eastAsia="en-US"/>
                  </w:rPr>
                  <w:t>40,000</w:t>
                </w:r>
                <w:r>
                  <w:rPr>
                    <w:rFonts w:cs="Times New Roman" w:hint="eastAsia"/>
                    <w:snapToGrid w:val="0"/>
                    <w:color w:val="000000"/>
                    <w:spacing w:val="-30"/>
                    <w:lang w:val="en-GB" w:eastAsia="en-US"/>
                  </w:rPr>
                  <w:t>万元</w:t>
                </w:r>
              </w:p>
            </w:tc>
            <w:tc>
              <w:tcPr>
                <w:tcW w:w="2977" w:type="dxa"/>
                <w:vAlign w:val="center"/>
              </w:tcPr>
              <w:p w14:paraId="7E12919D" w14:textId="77777777" w:rsidR="007E7472" w:rsidRDefault="00EC1269">
                <w:pPr>
                  <w:jc w:val="both"/>
                  <w:rPr>
                    <w:rFonts w:cs="Times New Roman"/>
                    <w:snapToGrid w:val="0"/>
                    <w:color w:val="000000"/>
                    <w:spacing w:val="-30"/>
                    <w:lang w:val="en-GB" w:eastAsia="en-US"/>
                  </w:rPr>
                </w:pPr>
                <w:r>
                  <w:rPr>
                    <w:rFonts w:cs="Times New Roman" w:hint="eastAsia"/>
                    <w:snapToGrid w:val="0"/>
                    <w:color w:val="000000"/>
                    <w:spacing w:val="-30"/>
                    <w:lang w:val="en-GB" w:eastAsia="en-US"/>
                  </w:rPr>
                  <w:t>投资与资产管理</w:t>
                </w:r>
              </w:p>
            </w:tc>
            <w:tc>
              <w:tcPr>
                <w:tcW w:w="753" w:type="dxa"/>
                <w:vAlign w:val="center"/>
              </w:tcPr>
              <w:p w14:paraId="29692840" w14:textId="77777777" w:rsidR="007E7472" w:rsidRDefault="00EC1269">
                <w:pPr>
                  <w:jc w:val="center"/>
                  <w:rPr>
                    <w:rFonts w:cs="Times New Roman"/>
                    <w:snapToGrid w:val="0"/>
                    <w:color w:val="000000"/>
                    <w:spacing w:val="-30"/>
                    <w:lang w:val="en-GB" w:eastAsia="en-US"/>
                  </w:rPr>
                </w:pPr>
                <w:r>
                  <w:rPr>
                    <w:rFonts w:cs="Times New Roman" w:hint="eastAsia"/>
                    <w:snapToGrid w:val="0"/>
                    <w:color w:val="000000"/>
                    <w:spacing w:val="-30"/>
                    <w:lang w:val="en-GB" w:eastAsia="en-US"/>
                  </w:rPr>
                  <w:t>100</w:t>
                </w:r>
              </w:p>
            </w:tc>
          </w:tr>
          <w:tr w:rsidR="007E7472" w14:paraId="2B790441" w14:textId="77777777">
            <w:trPr>
              <w:trHeight w:val="397"/>
            </w:trPr>
            <w:tc>
              <w:tcPr>
                <w:tcW w:w="2835" w:type="dxa"/>
                <w:vAlign w:val="center"/>
              </w:tcPr>
              <w:p w14:paraId="43834B22" w14:textId="77777777" w:rsidR="007E7472" w:rsidRDefault="00EC1269">
                <w:pPr>
                  <w:tabs>
                    <w:tab w:val="left" w:pos="122"/>
                    <w:tab w:val="left" w:pos="288"/>
                  </w:tabs>
                  <w:jc w:val="both"/>
                  <w:rPr>
                    <w:rFonts w:cs="Times New Roman"/>
                    <w:snapToGrid w:val="0"/>
                    <w:color w:val="000000"/>
                    <w:spacing w:val="-30"/>
                    <w:lang w:val="en-GB"/>
                  </w:rPr>
                </w:pPr>
                <w:r>
                  <w:rPr>
                    <w:rFonts w:cs="Times New Roman" w:hint="eastAsia"/>
                    <w:snapToGrid w:val="0"/>
                    <w:color w:val="000000"/>
                    <w:spacing w:val="-30"/>
                    <w:lang w:val="en-GB"/>
                  </w:rPr>
                  <w:t>鄂尔多斯市绿能光电有限公司</w:t>
                </w:r>
              </w:p>
            </w:tc>
            <w:tc>
              <w:tcPr>
                <w:tcW w:w="993" w:type="dxa"/>
                <w:vAlign w:val="center"/>
              </w:tcPr>
              <w:p w14:paraId="1EE6323E" w14:textId="77777777" w:rsidR="007E7472" w:rsidRDefault="00EC1269">
                <w:pPr>
                  <w:jc w:val="center"/>
                  <w:rPr>
                    <w:rFonts w:cs="Times New Roman"/>
                    <w:snapToGrid w:val="0"/>
                    <w:color w:val="000000"/>
                    <w:spacing w:val="-30"/>
                    <w:lang w:val="en-GB" w:eastAsia="en-US"/>
                  </w:rPr>
                </w:pPr>
                <w:r>
                  <w:rPr>
                    <w:rFonts w:cs="Times New Roman" w:hint="eastAsia"/>
                    <w:snapToGrid w:val="0"/>
                    <w:color w:val="000000"/>
                    <w:spacing w:val="-30"/>
                    <w:lang w:val="en-GB" w:eastAsia="en-US"/>
                  </w:rPr>
                  <w:t>鄂尔多斯</w:t>
                </w:r>
              </w:p>
            </w:tc>
            <w:tc>
              <w:tcPr>
                <w:tcW w:w="1275" w:type="dxa"/>
                <w:vAlign w:val="center"/>
              </w:tcPr>
              <w:p w14:paraId="002234AB" w14:textId="77777777" w:rsidR="007E7472" w:rsidRDefault="00EC1269">
                <w:pPr>
                  <w:jc w:val="center"/>
                  <w:rPr>
                    <w:rFonts w:cs="Times New Roman"/>
                    <w:snapToGrid w:val="0"/>
                    <w:color w:val="000000"/>
                    <w:spacing w:val="-30"/>
                    <w:lang w:val="en-GB" w:eastAsia="en-US"/>
                  </w:rPr>
                </w:pPr>
                <w:r>
                  <w:rPr>
                    <w:rFonts w:cs="Times New Roman"/>
                    <w:snapToGrid w:val="0"/>
                    <w:color w:val="000000"/>
                    <w:spacing w:val="-30"/>
                    <w:lang w:val="en-GB" w:eastAsia="en-US"/>
                  </w:rPr>
                  <w:t>120,000</w:t>
                </w:r>
                <w:r>
                  <w:rPr>
                    <w:rFonts w:cs="Times New Roman" w:hint="eastAsia"/>
                    <w:snapToGrid w:val="0"/>
                    <w:color w:val="000000"/>
                    <w:spacing w:val="-30"/>
                    <w:lang w:val="en-GB" w:eastAsia="en-US"/>
                  </w:rPr>
                  <w:t>万元</w:t>
                </w:r>
              </w:p>
            </w:tc>
            <w:tc>
              <w:tcPr>
                <w:tcW w:w="2977" w:type="dxa"/>
                <w:vAlign w:val="center"/>
              </w:tcPr>
              <w:p w14:paraId="3B4B23D1" w14:textId="77777777" w:rsidR="007E7472" w:rsidRDefault="00EC1269">
                <w:pPr>
                  <w:jc w:val="both"/>
                  <w:rPr>
                    <w:rFonts w:cs="Times New Roman"/>
                    <w:snapToGrid w:val="0"/>
                    <w:color w:val="000000"/>
                    <w:spacing w:val="-30"/>
                    <w:lang w:val="en-GB"/>
                  </w:rPr>
                </w:pPr>
                <w:r>
                  <w:rPr>
                    <w:rFonts w:cs="Times New Roman" w:hint="eastAsia"/>
                    <w:snapToGrid w:val="0"/>
                    <w:color w:val="000000"/>
                    <w:spacing w:val="-30"/>
                    <w:lang w:val="en-GB"/>
                  </w:rPr>
                  <w:t>光能、电能设备材料销售</w:t>
                </w:r>
              </w:p>
            </w:tc>
            <w:tc>
              <w:tcPr>
                <w:tcW w:w="753" w:type="dxa"/>
                <w:vAlign w:val="center"/>
              </w:tcPr>
              <w:p w14:paraId="4CA9DC66" w14:textId="77777777" w:rsidR="007E7472" w:rsidRDefault="00EC1269">
                <w:pPr>
                  <w:jc w:val="center"/>
                  <w:rPr>
                    <w:rFonts w:cs="Times New Roman"/>
                    <w:snapToGrid w:val="0"/>
                    <w:color w:val="000000"/>
                    <w:spacing w:val="-20"/>
                    <w:lang w:val="en-GB"/>
                  </w:rPr>
                </w:pPr>
                <w:r>
                  <w:rPr>
                    <w:rFonts w:cs="Times New Roman"/>
                    <w:snapToGrid w:val="0"/>
                    <w:color w:val="000000"/>
                    <w:spacing w:val="-20"/>
                    <w:lang w:val="en-GB"/>
                  </w:rPr>
                  <w:t>90.29</w:t>
                </w:r>
              </w:p>
            </w:tc>
          </w:tr>
          <w:tr w:rsidR="007E7472" w14:paraId="3A38D69F" w14:textId="77777777">
            <w:trPr>
              <w:trHeight w:val="397"/>
            </w:trPr>
            <w:tc>
              <w:tcPr>
                <w:tcW w:w="2835" w:type="dxa"/>
                <w:vAlign w:val="center"/>
              </w:tcPr>
              <w:p w14:paraId="5CA50B3A" w14:textId="77777777" w:rsidR="007E7472" w:rsidRDefault="00EC1269">
                <w:pPr>
                  <w:tabs>
                    <w:tab w:val="left" w:pos="122"/>
                    <w:tab w:val="left" w:pos="288"/>
                  </w:tabs>
                  <w:jc w:val="both"/>
                  <w:rPr>
                    <w:rFonts w:cs="Times New Roman"/>
                    <w:snapToGrid w:val="0"/>
                    <w:color w:val="000000"/>
                    <w:spacing w:val="-30"/>
                    <w:lang w:val="en-GB"/>
                  </w:rPr>
                </w:pPr>
                <w:r>
                  <w:rPr>
                    <w:rFonts w:cs="Times New Roman" w:hint="eastAsia"/>
                    <w:snapToGrid w:val="0"/>
                    <w:color w:val="000000"/>
                    <w:spacing w:val="-30"/>
                    <w:lang w:val="en-GB"/>
                  </w:rPr>
                  <w:t>鄂尔多斯文化产业园文化教育有限公司</w:t>
                </w:r>
              </w:p>
            </w:tc>
            <w:tc>
              <w:tcPr>
                <w:tcW w:w="993" w:type="dxa"/>
                <w:vAlign w:val="center"/>
              </w:tcPr>
              <w:p w14:paraId="42AC9333" w14:textId="77777777" w:rsidR="007E7472" w:rsidRDefault="00EC1269">
                <w:pPr>
                  <w:jc w:val="center"/>
                  <w:rPr>
                    <w:rFonts w:cs="Times New Roman"/>
                    <w:snapToGrid w:val="0"/>
                    <w:color w:val="000000"/>
                    <w:spacing w:val="-30"/>
                    <w:lang w:val="en-GB" w:eastAsia="en-US"/>
                  </w:rPr>
                </w:pPr>
                <w:r>
                  <w:rPr>
                    <w:rFonts w:cs="Times New Roman" w:hint="eastAsia"/>
                    <w:snapToGrid w:val="0"/>
                    <w:color w:val="000000"/>
                    <w:spacing w:val="-30"/>
                    <w:lang w:val="en-GB" w:eastAsia="en-US"/>
                  </w:rPr>
                  <w:t>鄂尔多斯</w:t>
                </w:r>
              </w:p>
            </w:tc>
            <w:tc>
              <w:tcPr>
                <w:tcW w:w="1275" w:type="dxa"/>
                <w:vAlign w:val="center"/>
              </w:tcPr>
              <w:p w14:paraId="7197F147" w14:textId="77777777" w:rsidR="007E7472" w:rsidRDefault="00EC1269">
                <w:pPr>
                  <w:jc w:val="center"/>
                  <w:rPr>
                    <w:rFonts w:cs="Times New Roman"/>
                    <w:snapToGrid w:val="0"/>
                    <w:color w:val="000000"/>
                    <w:spacing w:val="-30"/>
                    <w:lang w:val="en-GB" w:eastAsia="en-US"/>
                  </w:rPr>
                </w:pPr>
                <w:r>
                  <w:rPr>
                    <w:rFonts w:cs="Times New Roman"/>
                    <w:snapToGrid w:val="0"/>
                    <w:color w:val="000000"/>
                    <w:spacing w:val="-30"/>
                    <w:lang w:val="en-GB" w:eastAsia="en-US"/>
                  </w:rPr>
                  <w:t>20,903</w:t>
                </w:r>
                <w:r>
                  <w:rPr>
                    <w:rFonts w:cs="Times New Roman" w:hint="eastAsia"/>
                    <w:snapToGrid w:val="0"/>
                    <w:color w:val="000000"/>
                    <w:spacing w:val="-30"/>
                    <w:lang w:val="en-GB" w:eastAsia="en-US"/>
                  </w:rPr>
                  <w:t>万元</w:t>
                </w:r>
              </w:p>
            </w:tc>
            <w:tc>
              <w:tcPr>
                <w:tcW w:w="2977" w:type="dxa"/>
                <w:vAlign w:val="center"/>
              </w:tcPr>
              <w:p w14:paraId="6D102441" w14:textId="77777777" w:rsidR="007E7472" w:rsidRDefault="00EC1269">
                <w:pPr>
                  <w:jc w:val="both"/>
                  <w:rPr>
                    <w:rFonts w:cs="Times New Roman"/>
                    <w:snapToGrid w:val="0"/>
                    <w:color w:val="000000"/>
                    <w:spacing w:val="-30"/>
                    <w:lang w:val="en-GB"/>
                  </w:rPr>
                </w:pPr>
                <w:r>
                  <w:rPr>
                    <w:rFonts w:cs="Times New Roman" w:hint="eastAsia"/>
                    <w:snapToGrid w:val="0"/>
                    <w:color w:val="000000"/>
                    <w:spacing w:val="-30"/>
                    <w:lang w:val="en-GB"/>
                  </w:rPr>
                  <w:t>教育软件研发、活动策划</w:t>
                </w:r>
              </w:p>
            </w:tc>
            <w:tc>
              <w:tcPr>
                <w:tcW w:w="753" w:type="dxa"/>
                <w:vAlign w:val="center"/>
              </w:tcPr>
              <w:p w14:paraId="1F4BCE5F" w14:textId="77777777" w:rsidR="007E7472" w:rsidRDefault="00EC1269">
                <w:pPr>
                  <w:jc w:val="center"/>
                  <w:rPr>
                    <w:rFonts w:cs="Times New Roman"/>
                    <w:snapToGrid w:val="0"/>
                    <w:color w:val="000000"/>
                    <w:spacing w:val="-30"/>
                    <w:lang w:val="en-GB" w:eastAsia="en-US"/>
                  </w:rPr>
                </w:pPr>
                <w:r>
                  <w:rPr>
                    <w:rFonts w:cs="Times New Roman"/>
                    <w:snapToGrid w:val="0"/>
                    <w:color w:val="000000"/>
                    <w:spacing w:val="-20"/>
                    <w:lang w:val="en-GB"/>
                  </w:rPr>
                  <w:t>63.3</w:t>
                </w:r>
              </w:p>
            </w:tc>
          </w:tr>
          <w:tr w:rsidR="007E7472" w14:paraId="30AB903E" w14:textId="77777777">
            <w:trPr>
              <w:trHeight w:val="397"/>
            </w:trPr>
            <w:tc>
              <w:tcPr>
                <w:tcW w:w="2835" w:type="dxa"/>
                <w:vAlign w:val="center"/>
              </w:tcPr>
              <w:p w14:paraId="318E6FDF" w14:textId="77777777" w:rsidR="007E7472" w:rsidRDefault="00EC1269">
                <w:pPr>
                  <w:tabs>
                    <w:tab w:val="left" w:pos="122"/>
                    <w:tab w:val="left" w:pos="288"/>
                  </w:tabs>
                  <w:jc w:val="both"/>
                  <w:rPr>
                    <w:rFonts w:cs="Times New Roman"/>
                    <w:snapToGrid w:val="0"/>
                    <w:color w:val="000000"/>
                    <w:spacing w:val="-30"/>
                    <w:lang w:val="en-GB"/>
                  </w:rPr>
                </w:pPr>
                <w:r>
                  <w:rPr>
                    <w:rFonts w:cs="Times New Roman" w:hint="eastAsia"/>
                    <w:snapToGrid w:val="0"/>
                    <w:color w:val="000000"/>
                    <w:spacing w:val="-30"/>
                    <w:lang w:val="en-GB"/>
                  </w:rPr>
                  <w:t>内蒙古金控融资租赁有限公司</w:t>
                </w:r>
              </w:p>
            </w:tc>
            <w:tc>
              <w:tcPr>
                <w:tcW w:w="993" w:type="dxa"/>
                <w:vAlign w:val="center"/>
              </w:tcPr>
              <w:p w14:paraId="40669D3F" w14:textId="77777777" w:rsidR="007E7472" w:rsidRDefault="00EC1269">
                <w:pPr>
                  <w:jc w:val="center"/>
                  <w:rPr>
                    <w:rFonts w:cs="Times New Roman"/>
                    <w:snapToGrid w:val="0"/>
                    <w:color w:val="000000"/>
                    <w:spacing w:val="-30"/>
                    <w:lang w:val="en-GB" w:eastAsia="en-US"/>
                  </w:rPr>
                </w:pPr>
                <w:r>
                  <w:rPr>
                    <w:rFonts w:cs="Times New Roman" w:hint="eastAsia"/>
                    <w:snapToGrid w:val="0"/>
                    <w:color w:val="000000"/>
                    <w:spacing w:val="-30"/>
                    <w:lang w:val="en-GB" w:eastAsia="en-US"/>
                  </w:rPr>
                  <w:t>呼伦贝尔</w:t>
                </w:r>
              </w:p>
            </w:tc>
            <w:tc>
              <w:tcPr>
                <w:tcW w:w="1275" w:type="dxa"/>
                <w:vAlign w:val="center"/>
              </w:tcPr>
              <w:p w14:paraId="3BAB4E8E" w14:textId="77777777" w:rsidR="007E7472" w:rsidRDefault="00EC1269">
                <w:pPr>
                  <w:jc w:val="center"/>
                  <w:rPr>
                    <w:rFonts w:cs="Times New Roman"/>
                    <w:snapToGrid w:val="0"/>
                    <w:color w:val="000000"/>
                    <w:spacing w:val="-30"/>
                    <w:lang w:val="en-GB" w:eastAsia="en-US"/>
                  </w:rPr>
                </w:pPr>
                <w:r>
                  <w:rPr>
                    <w:rFonts w:cs="Times New Roman"/>
                    <w:snapToGrid w:val="0"/>
                    <w:color w:val="000000"/>
                    <w:spacing w:val="-30"/>
                    <w:lang w:val="en-GB" w:eastAsia="en-US"/>
                  </w:rPr>
                  <w:t>120,000</w:t>
                </w:r>
                <w:r>
                  <w:rPr>
                    <w:rFonts w:cs="Times New Roman" w:hint="eastAsia"/>
                    <w:snapToGrid w:val="0"/>
                    <w:color w:val="000000"/>
                    <w:spacing w:val="-30"/>
                    <w:lang w:val="en-GB" w:eastAsia="en-US"/>
                  </w:rPr>
                  <w:t>万元</w:t>
                </w:r>
              </w:p>
            </w:tc>
            <w:tc>
              <w:tcPr>
                <w:tcW w:w="2977" w:type="dxa"/>
                <w:vAlign w:val="center"/>
              </w:tcPr>
              <w:p w14:paraId="35F1812B" w14:textId="77777777" w:rsidR="007E7472" w:rsidRDefault="00EC1269">
                <w:pPr>
                  <w:jc w:val="both"/>
                  <w:rPr>
                    <w:rFonts w:cs="Times New Roman"/>
                    <w:snapToGrid w:val="0"/>
                    <w:color w:val="000000"/>
                    <w:spacing w:val="-30"/>
                    <w:lang w:val="en-GB" w:eastAsia="en-US"/>
                  </w:rPr>
                </w:pPr>
                <w:r>
                  <w:rPr>
                    <w:rFonts w:cs="Times New Roman" w:hint="eastAsia"/>
                    <w:snapToGrid w:val="0"/>
                    <w:color w:val="000000"/>
                    <w:spacing w:val="-30"/>
                    <w:lang w:val="en-GB" w:eastAsia="en-US"/>
                  </w:rPr>
                  <w:t>租赁业务</w:t>
                </w:r>
              </w:p>
            </w:tc>
            <w:tc>
              <w:tcPr>
                <w:tcW w:w="753" w:type="dxa"/>
                <w:vAlign w:val="center"/>
              </w:tcPr>
              <w:p w14:paraId="0CF51176" w14:textId="77777777" w:rsidR="007E7472" w:rsidRDefault="00EC1269">
                <w:pPr>
                  <w:jc w:val="center"/>
                  <w:rPr>
                    <w:rFonts w:cs="Times New Roman"/>
                    <w:snapToGrid w:val="0"/>
                    <w:color w:val="000000"/>
                    <w:spacing w:val="-30"/>
                    <w:lang w:val="en-GB" w:eastAsia="en-US"/>
                  </w:rPr>
                </w:pPr>
                <w:r>
                  <w:rPr>
                    <w:rFonts w:cs="Times New Roman"/>
                    <w:snapToGrid w:val="0"/>
                    <w:color w:val="000000"/>
                    <w:spacing w:val="-30"/>
                    <w:lang w:val="en-GB" w:eastAsia="en-US"/>
                  </w:rPr>
                  <w:t>55</w:t>
                </w:r>
              </w:p>
            </w:tc>
          </w:tr>
          <w:tr w:rsidR="007E7472" w14:paraId="2EBC89B2" w14:textId="77777777">
            <w:trPr>
              <w:trHeight w:val="397"/>
            </w:trPr>
            <w:tc>
              <w:tcPr>
                <w:tcW w:w="2835" w:type="dxa"/>
                <w:vAlign w:val="center"/>
              </w:tcPr>
              <w:p w14:paraId="40C97317" w14:textId="77777777" w:rsidR="007E7472" w:rsidRDefault="00EC1269">
                <w:pPr>
                  <w:tabs>
                    <w:tab w:val="left" w:pos="122"/>
                    <w:tab w:val="left" w:pos="288"/>
                  </w:tabs>
                  <w:jc w:val="both"/>
                  <w:rPr>
                    <w:rFonts w:cs="Times New Roman"/>
                    <w:snapToGrid w:val="0"/>
                    <w:color w:val="000000"/>
                    <w:spacing w:val="-30"/>
                    <w:lang w:val="en-GB"/>
                  </w:rPr>
                </w:pPr>
                <w:r>
                  <w:rPr>
                    <w:rFonts w:cs="Times New Roman" w:hint="eastAsia"/>
                    <w:snapToGrid w:val="0"/>
                    <w:color w:val="000000"/>
                    <w:spacing w:val="-30"/>
                    <w:lang w:val="en-GB"/>
                  </w:rPr>
                  <w:t>内蒙古伊泰嘎鲁图矿业有限公司</w:t>
                </w:r>
              </w:p>
            </w:tc>
            <w:tc>
              <w:tcPr>
                <w:tcW w:w="993" w:type="dxa"/>
                <w:vAlign w:val="center"/>
              </w:tcPr>
              <w:p w14:paraId="0B5107A9" w14:textId="77777777" w:rsidR="007E7472" w:rsidRDefault="00EC1269">
                <w:pPr>
                  <w:jc w:val="center"/>
                  <w:rPr>
                    <w:rFonts w:cs="Times New Roman"/>
                    <w:snapToGrid w:val="0"/>
                    <w:color w:val="000000"/>
                    <w:spacing w:val="-30"/>
                    <w:lang w:val="en-GB" w:eastAsia="en-US"/>
                  </w:rPr>
                </w:pPr>
                <w:r>
                  <w:rPr>
                    <w:rFonts w:cs="Times New Roman" w:hint="eastAsia"/>
                    <w:snapToGrid w:val="0"/>
                    <w:color w:val="000000"/>
                    <w:spacing w:val="-30"/>
                    <w:lang w:val="en-GB" w:eastAsia="en-US"/>
                  </w:rPr>
                  <w:t>鄂尔多斯</w:t>
                </w:r>
              </w:p>
            </w:tc>
            <w:tc>
              <w:tcPr>
                <w:tcW w:w="1275" w:type="dxa"/>
                <w:vAlign w:val="center"/>
              </w:tcPr>
              <w:p w14:paraId="3E9F8AC1" w14:textId="77777777" w:rsidR="007E7472" w:rsidRDefault="00EC1269">
                <w:pPr>
                  <w:jc w:val="center"/>
                  <w:rPr>
                    <w:rFonts w:cs="Times New Roman"/>
                    <w:snapToGrid w:val="0"/>
                    <w:color w:val="000000"/>
                    <w:spacing w:val="-30"/>
                    <w:lang w:val="en-GB" w:eastAsia="en-US"/>
                  </w:rPr>
                </w:pPr>
                <w:r>
                  <w:rPr>
                    <w:rFonts w:cs="Times New Roman"/>
                    <w:snapToGrid w:val="0"/>
                    <w:color w:val="000000"/>
                    <w:spacing w:val="-30"/>
                    <w:lang w:val="en-GB" w:eastAsia="en-US"/>
                  </w:rPr>
                  <w:t>100,000</w:t>
                </w:r>
                <w:r>
                  <w:rPr>
                    <w:rFonts w:cs="Times New Roman" w:hint="eastAsia"/>
                    <w:snapToGrid w:val="0"/>
                    <w:color w:val="000000"/>
                    <w:spacing w:val="-30"/>
                    <w:lang w:val="en-GB" w:eastAsia="en-US"/>
                  </w:rPr>
                  <w:t>万元</w:t>
                </w:r>
              </w:p>
            </w:tc>
            <w:tc>
              <w:tcPr>
                <w:tcW w:w="2977" w:type="dxa"/>
                <w:vAlign w:val="center"/>
              </w:tcPr>
              <w:p w14:paraId="099AD5F9" w14:textId="77777777" w:rsidR="007E7472" w:rsidRDefault="00EC1269">
                <w:pPr>
                  <w:jc w:val="both"/>
                  <w:rPr>
                    <w:rFonts w:cs="Times New Roman"/>
                    <w:snapToGrid w:val="0"/>
                    <w:color w:val="000000"/>
                    <w:spacing w:val="-30"/>
                    <w:lang w:val="en-GB" w:eastAsia="en-US"/>
                  </w:rPr>
                </w:pPr>
                <w:r>
                  <w:rPr>
                    <w:rFonts w:cs="Times New Roman" w:hint="eastAsia"/>
                    <w:snapToGrid w:val="0"/>
                    <w:color w:val="000000"/>
                    <w:spacing w:val="-30"/>
                    <w:lang w:val="en-GB" w:eastAsia="en-US"/>
                  </w:rPr>
                  <w:t>煤炭开采和洗选业</w:t>
                </w:r>
              </w:p>
            </w:tc>
            <w:tc>
              <w:tcPr>
                <w:tcW w:w="753" w:type="dxa"/>
                <w:vAlign w:val="center"/>
              </w:tcPr>
              <w:p w14:paraId="140F6C5B" w14:textId="77777777" w:rsidR="007E7472" w:rsidRDefault="00EC1269">
                <w:pPr>
                  <w:jc w:val="center"/>
                  <w:rPr>
                    <w:rFonts w:cs="Times New Roman"/>
                    <w:snapToGrid w:val="0"/>
                    <w:color w:val="000000"/>
                    <w:spacing w:val="-30"/>
                    <w:lang w:val="en-GB" w:eastAsia="en-US"/>
                  </w:rPr>
                </w:pPr>
                <w:r>
                  <w:rPr>
                    <w:rFonts w:cs="Times New Roman"/>
                    <w:snapToGrid w:val="0"/>
                    <w:color w:val="000000"/>
                    <w:spacing w:val="-20"/>
                    <w:lang w:val="en-GB"/>
                  </w:rPr>
                  <w:t>52.77</w:t>
                </w:r>
              </w:p>
            </w:tc>
          </w:tr>
          <w:tr w:rsidR="007E7472" w14:paraId="6175E92E" w14:textId="77777777">
            <w:trPr>
              <w:trHeight w:val="397"/>
            </w:trPr>
            <w:tc>
              <w:tcPr>
                <w:tcW w:w="2835" w:type="dxa"/>
                <w:vAlign w:val="center"/>
              </w:tcPr>
              <w:p w14:paraId="11FB32B4" w14:textId="77777777" w:rsidR="007E7472" w:rsidRDefault="00EC1269">
                <w:pPr>
                  <w:jc w:val="both"/>
                  <w:rPr>
                    <w:rFonts w:cs="Times New Roman"/>
                    <w:snapToGrid w:val="0"/>
                    <w:color w:val="000000"/>
                    <w:spacing w:val="-20"/>
                    <w:lang w:val="en-GB"/>
                  </w:rPr>
                </w:pPr>
                <w:r>
                  <w:rPr>
                    <w:rFonts w:cs="Times New Roman" w:hint="eastAsia"/>
                    <w:snapToGrid w:val="0"/>
                    <w:color w:val="000000"/>
                    <w:spacing w:val="-20"/>
                    <w:lang w:val="en-GB"/>
                  </w:rPr>
                  <w:t>鄂尔多斯市营盘壕煤炭有限公司</w:t>
                </w:r>
              </w:p>
            </w:tc>
            <w:tc>
              <w:tcPr>
                <w:tcW w:w="993" w:type="dxa"/>
                <w:vAlign w:val="center"/>
              </w:tcPr>
              <w:p w14:paraId="6CD4F057" w14:textId="77777777" w:rsidR="007E7472" w:rsidRDefault="00EC1269">
                <w:pPr>
                  <w:jc w:val="center"/>
                  <w:rPr>
                    <w:rFonts w:ascii="Times New Roman" w:hAnsi="Times New Roman" w:cs="Times New Roman"/>
                    <w:snapToGrid w:val="0"/>
                    <w:color w:val="000000"/>
                    <w:spacing w:val="-10"/>
                    <w:lang w:val="en-GB" w:eastAsia="en-US"/>
                  </w:rPr>
                </w:pPr>
                <w:r>
                  <w:rPr>
                    <w:rFonts w:cs="Times New Roman" w:hint="eastAsia"/>
                    <w:snapToGrid w:val="0"/>
                    <w:color w:val="000000"/>
                    <w:spacing w:val="-20"/>
                    <w:lang w:val="en-GB"/>
                  </w:rPr>
                  <w:t>鄂尔多斯</w:t>
                </w:r>
              </w:p>
            </w:tc>
            <w:tc>
              <w:tcPr>
                <w:tcW w:w="1275" w:type="dxa"/>
                <w:vAlign w:val="center"/>
              </w:tcPr>
              <w:p w14:paraId="4015285A" w14:textId="77777777" w:rsidR="007E7472" w:rsidRDefault="00EC1269">
                <w:pPr>
                  <w:jc w:val="right"/>
                  <w:rPr>
                    <w:rFonts w:cs="Times New Roman"/>
                    <w:bCs/>
                    <w:color w:val="000000"/>
                    <w:spacing w:val="-20"/>
                  </w:rPr>
                </w:pPr>
                <w:r>
                  <w:rPr>
                    <w:rFonts w:cs="Times New Roman" w:hint="eastAsia"/>
                    <w:bCs/>
                    <w:color w:val="000000"/>
                    <w:spacing w:val="-20"/>
                  </w:rPr>
                  <w:t>300,000万元</w:t>
                </w:r>
              </w:p>
            </w:tc>
            <w:tc>
              <w:tcPr>
                <w:tcW w:w="2977" w:type="dxa"/>
                <w:vAlign w:val="center"/>
              </w:tcPr>
              <w:p w14:paraId="06B9CA28" w14:textId="77777777" w:rsidR="007E7472" w:rsidRDefault="00EC1269">
                <w:pPr>
                  <w:jc w:val="both"/>
                  <w:rPr>
                    <w:rFonts w:cs="Times New Roman"/>
                    <w:bCs/>
                    <w:color w:val="000000"/>
                    <w:spacing w:val="-20"/>
                  </w:rPr>
                </w:pPr>
                <w:r>
                  <w:rPr>
                    <w:rFonts w:cs="Times New Roman" w:hint="eastAsia"/>
                    <w:bCs/>
                    <w:color w:val="000000"/>
                    <w:spacing w:val="-20"/>
                  </w:rPr>
                  <w:t>煤炭销售、煤矿机械设备生产与销售</w:t>
                </w:r>
              </w:p>
            </w:tc>
            <w:tc>
              <w:tcPr>
                <w:tcW w:w="753" w:type="dxa"/>
                <w:vAlign w:val="center"/>
              </w:tcPr>
              <w:p w14:paraId="208D229F" w14:textId="77777777" w:rsidR="007E7472" w:rsidRDefault="00EC1269">
                <w:pPr>
                  <w:jc w:val="center"/>
                  <w:rPr>
                    <w:rFonts w:cs="Times New Roman"/>
                    <w:snapToGrid w:val="0"/>
                    <w:color w:val="000000"/>
                    <w:spacing w:val="-20"/>
                    <w:lang w:val="en-GB" w:eastAsia="en-US"/>
                  </w:rPr>
                </w:pPr>
                <w:r>
                  <w:rPr>
                    <w:rFonts w:cs="Times New Roman"/>
                    <w:snapToGrid w:val="0"/>
                    <w:color w:val="000000"/>
                    <w:spacing w:val="-20"/>
                    <w:lang w:val="en-GB"/>
                  </w:rPr>
                  <w:t>57.75</w:t>
                </w:r>
              </w:p>
            </w:tc>
          </w:tr>
          <w:tr w:rsidR="007E7472" w14:paraId="0EA02794" w14:textId="77777777">
            <w:trPr>
              <w:trHeight w:val="397"/>
            </w:trPr>
            <w:tc>
              <w:tcPr>
                <w:tcW w:w="2835" w:type="dxa"/>
                <w:vAlign w:val="center"/>
              </w:tcPr>
              <w:p w14:paraId="037F6521" w14:textId="77777777" w:rsidR="007E7472" w:rsidRDefault="00EC1269">
                <w:pPr>
                  <w:jc w:val="both"/>
                  <w:rPr>
                    <w:rFonts w:cs="Times New Roman"/>
                    <w:snapToGrid w:val="0"/>
                    <w:color w:val="000000"/>
                    <w:spacing w:val="-20"/>
                    <w:lang w:val="en-GB"/>
                  </w:rPr>
                </w:pPr>
                <w:r>
                  <w:rPr>
                    <w:rFonts w:cs="Times New Roman" w:hint="eastAsia"/>
                    <w:snapToGrid w:val="0"/>
                    <w:color w:val="000000"/>
                    <w:spacing w:val="-20"/>
                    <w:lang w:val="en-GB"/>
                  </w:rPr>
                  <w:t>内蒙古博珢泰煤炭有限公司</w:t>
                </w:r>
              </w:p>
            </w:tc>
            <w:tc>
              <w:tcPr>
                <w:tcW w:w="993" w:type="dxa"/>
                <w:vAlign w:val="center"/>
              </w:tcPr>
              <w:p w14:paraId="4957472E" w14:textId="77777777" w:rsidR="007E7472" w:rsidRDefault="00EC1269">
                <w:pPr>
                  <w:jc w:val="center"/>
                  <w:rPr>
                    <w:rFonts w:cs="Times New Roman"/>
                    <w:snapToGrid w:val="0"/>
                    <w:color w:val="000000"/>
                    <w:spacing w:val="-20"/>
                    <w:lang w:val="en-GB"/>
                  </w:rPr>
                </w:pPr>
                <w:r>
                  <w:rPr>
                    <w:rFonts w:cs="Times New Roman" w:hint="eastAsia"/>
                    <w:snapToGrid w:val="0"/>
                    <w:color w:val="000000"/>
                    <w:spacing w:val="-20"/>
                    <w:lang w:val="en-GB"/>
                  </w:rPr>
                  <w:t>鄂尔多斯</w:t>
                </w:r>
              </w:p>
            </w:tc>
            <w:tc>
              <w:tcPr>
                <w:tcW w:w="1275" w:type="dxa"/>
                <w:vAlign w:val="center"/>
              </w:tcPr>
              <w:p w14:paraId="34527F49" w14:textId="77777777" w:rsidR="007E7472" w:rsidRDefault="00EC1269">
                <w:pPr>
                  <w:jc w:val="right"/>
                  <w:rPr>
                    <w:rFonts w:cs="Times New Roman"/>
                    <w:bCs/>
                    <w:color w:val="000000"/>
                    <w:spacing w:val="-20"/>
                  </w:rPr>
                </w:pPr>
                <w:r>
                  <w:rPr>
                    <w:rFonts w:cs="Times New Roman"/>
                    <w:bCs/>
                    <w:color w:val="000000"/>
                    <w:spacing w:val="-20"/>
                  </w:rPr>
                  <w:t>300,000</w:t>
                </w:r>
                <w:r>
                  <w:rPr>
                    <w:rFonts w:cs="Times New Roman" w:hint="eastAsia"/>
                    <w:bCs/>
                    <w:color w:val="000000"/>
                    <w:spacing w:val="-20"/>
                  </w:rPr>
                  <w:t>万元</w:t>
                </w:r>
              </w:p>
            </w:tc>
            <w:tc>
              <w:tcPr>
                <w:tcW w:w="2977" w:type="dxa"/>
                <w:vAlign w:val="center"/>
              </w:tcPr>
              <w:p w14:paraId="5BE9E99C" w14:textId="77777777" w:rsidR="007E7472" w:rsidRDefault="00EC1269">
                <w:pPr>
                  <w:jc w:val="both"/>
                  <w:rPr>
                    <w:rFonts w:cs="Times New Roman"/>
                    <w:bCs/>
                    <w:color w:val="000000"/>
                    <w:spacing w:val="-20"/>
                  </w:rPr>
                </w:pPr>
                <w:r>
                  <w:rPr>
                    <w:rFonts w:cs="Times New Roman" w:hint="eastAsia"/>
                    <w:bCs/>
                    <w:color w:val="000000"/>
                    <w:spacing w:val="-20"/>
                  </w:rPr>
                  <w:t>煤炭开采和洗选业</w:t>
                </w:r>
              </w:p>
            </w:tc>
            <w:tc>
              <w:tcPr>
                <w:tcW w:w="753" w:type="dxa"/>
                <w:vAlign w:val="center"/>
              </w:tcPr>
              <w:p w14:paraId="37B3FA90" w14:textId="77777777" w:rsidR="007E7472" w:rsidRDefault="00EC1269">
                <w:pPr>
                  <w:jc w:val="center"/>
                  <w:rPr>
                    <w:rFonts w:cs="Times New Roman"/>
                    <w:snapToGrid w:val="0"/>
                    <w:color w:val="000000"/>
                    <w:spacing w:val="-20"/>
                    <w:lang w:val="en-GB"/>
                  </w:rPr>
                </w:pPr>
                <w:r>
                  <w:rPr>
                    <w:rFonts w:cs="Times New Roman" w:hint="eastAsia"/>
                    <w:snapToGrid w:val="0"/>
                    <w:color w:val="000000"/>
                    <w:spacing w:val="-20"/>
                    <w:lang w:val="en-GB"/>
                  </w:rPr>
                  <w:t>1</w:t>
                </w:r>
                <w:r>
                  <w:rPr>
                    <w:rFonts w:cs="Times New Roman"/>
                    <w:snapToGrid w:val="0"/>
                    <w:color w:val="000000"/>
                    <w:spacing w:val="-20"/>
                    <w:lang w:val="en-GB"/>
                  </w:rPr>
                  <w:t>00</w:t>
                </w:r>
              </w:p>
            </w:tc>
          </w:tr>
        </w:tbl>
        <w:p w14:paraId="311B1443" w14:textId="77777777" w:rsidR="007E7472" w:rsidRDefault="00EC1269" w:rsidP="00162493">
          <w:pPr>
            <w:numPr>
              <w:ilvl w:val="0"/>
              <w:numId w:val="104"/>
            </w:numPr>
            <w:tabs>
              <w:tab w:val="left" w:pos="567"/>
            </w:tabs>
            <w:spacing w:beforeLines="50" w:before="120" w:afterLines="50" w:after="120" w:line="360" w:lineRule="exact"/>
            <w:ind w:leftChars="200" w:firstLine="0"/>
            <w:jc w:val="both"/>
            <w:rPr>
              <w:rFonts w:cs="Times New Roman"/>
              <w:snapToGrid w:val="0"/>
              <w:color w:val="000000"/>
            </w:rPr>
          </w:pPr>
          <w:r>
            <w:rPr>
              <w:rFonts w:cs="Times New Roman" w:hint="eastAsia"/>
              <w:snapToGrid w:val="0"/>
              <w:color w:val="000000"/>
            </w:rPr>
            <w:t>兖矿铁路物流有限公司</w:t>
          </w:r>
        </w:p>
        <w:p w14:paraId="76E50A5B" w14:textId="77777777" w:rsidR="007E7472" w:rsidRDefault="00EC1269">
          <w:pPr>
            <w:tabs>
              <w:tab w:val="left" w:pos="426"/>
              <w:tab w:val="left" w:pos="800"/>
            </w:tabs>
            <w:spacing w:beforeLines="50" w:before="120" w:afterLines="50" w:after="120" w:line="360" w:lineRule="exact"/>
            <w:ind w:firstLineChars="200" w:firstLine="420"/>
            <w:jc w:val="both"/>
            <w:rPr>
              <w:rFonts w:cs="Times New Roman"/>
              <w:snapToGrid w:val="0"/>
              <w:color w:val="000000"/>
              <w:lang w:val="en-GB"/>
            </w:rPr>
          </w:pPr>
          <w:r>
            <w:rPr>
              <w:rFonts w:cs="Times New Roman" w:hint="eastAsia"/>
              <w:snapToGrid w:val="0"/>
              <w:color w:val="000000"/>
              <w:lang w:val="en-GB"/>
            </w:rPr>
            <w:t>兖矿铁路物流有限公司（以下简称“铁路物流”)系有本公司于本年出资成立，由本公司于2022年</w:t>
          </w:r>
          <w:r>
            <w:rPr>
              <w:rFonts w:cs="Times New Roman"/>
              <w:snapToGrid w:val="0"/>
              <w:color w:val="000000"/>
              <w:lang w:val="en-GB"/>
            </w:rPr>
            <w:t>4</w:t>
          </w:r>
          <w:r>
            <w:rPr>
              <w:rFonts w:cs="Times New Roman" w:hint="eastAsia"/>
              <w:snapToGrid w:val="0"/>
              <w:color w:val="000000"/>
              <w:lang w:val="en-GB"/>
            </w:rPr>
            <w:t>月出资设立，注册资本15亿元，公司法人营业执照统一社会信用代码：91370883MA7MLA028P,法定代表人:王兴文。主要从事公共铁路运输、铁路机车车辆维修、铁路机车配件销售等业务。铁路物流主要</w:t>
          </w:r>
          <w:r>
            <w:rPr>
              <w:rFonts w:cs="Times New Roman"/>
              <w:snapToGrid w:val="0"/>
              <w:color w:val="000000"/>
              <w:lang w:val="en-GB"/>
            </w:rPr>
            <w:t>控股子公司如下：</w:t>
          </w:r>
        </w:p>
        <w:tbl>
          <w:tblPr>
            <w:tblStyle w:val="g4"/>
            <w:tblW w:w="5000" w:type="pct"/>
            <w:tblBorders>
              <w:top w:val="double" w:sz="4" w:space="0" w:color="auto"/>
              <w:bottom w:val="double" w:sz="4" w:space="0" w:color="auto"/>
              <w:insideH w:val="single" w:sz="2" w:space="0" w:color="auto"/>
              <w:insideV w:val="single" w:sz="2" w:space="0" w:color="auto"/>
            </w:tblBorders>
            <w:tblLayout w:type="fixed"/>
            <w:tblLook w:val="04A0" w:firstRow="1" w:lastRow="0" w:firstColumn="1" w:lastColumn="0" w:noHBand="0" w:noVBand="1"/>
          </w:tblPr>
          <w:tblGrid>
            <w:gridCol w:w="2798"/>
            <w:gridCol w:w="1177"/>
            <w:gridCol w:w="1471"/>
            <w:gridCol w:w="2412"/>
            <w:gridCol w:w="975"/>
          </w:tblGrid>
          <w:tr w:rsidR="007E7472" w14:paraId="267C9745" w14:textId="77777777">
            <w:trPr>
              <w:trHeight w:val="397"/>
              <w:tblHeader/>
            </w:trPr>
            <w:tc>
              <w:tcPr>
                <w:tcW w:w="2694" w:type="dxa"/>
                <w:vAlign w:val="center"/>
              </w:tcPr>
              <w:p w14:paraId="4BCB31DB" w14:textId="77777777" w:rsidR="007E7472" w:rsidRDefault="00EC1269">
                <w:pPr>
                  <w:jc w:val="both"/>
                  <w:rPr>
                    <w:rFonts w:cs="Times New Roman"/>
                    <w:b/>
                    <w:snapToGrid w:val="0"/>
                    <w:spacing w:val="-30"/>
                  </w:rPr>
                </w:pPr>
                <w:r>
                  <w:rPr>
                    <w:rFonts w:cs="Times New Roman"/>
                    <w:b/>
                    <w:snapToGrid w:val="0"/>
                    <w:spacing w:val="-30"/>
                  </w:rPr>
                  <w:t>公司名称</w:t>
                </w:r>
              </w:p>
            </w:tc>
            <w:tc>
              <w:tcPr>
                <w:tcW w:w="1134" w:type="dxa"/>
                <w:vAlign w:val="center"/>
              </w:tcPr>
              <w:p w14:paraId="4D446E82" w14:textId="77777777" w:rsidR="007E7472" w:rsidRDefault="00EC1269">
                <w:pPr>
                  <w:jc w:val="center"/>
                  <w:rPr>
                    <w:rFonts w:cs="Times New Roman"/>
                    <w:b/>
                    <w:snapToGrid w:val="0"/>
                    <w:spacing w:val="-30"/>
                  </w:rPr>
                </w:pPr>
                <w:r>
                  <w:rPr>
                    <w:rFonts w:cs="Times New Roman"/>
                    <w:b/>
                    <w:snapToGrid w:val="0"/>
                    <w:spacing w:val="-30"/>
                  </w:rPr>
                  <w:t>注册地</w:t>
                </w:r>
              </w:p>
            </w:tc>
            <w:tc>
              <w:tcPr>
                <w:tcW w:w="1417" w:type="dxa"/>
                <w:vAlign w:val="center"/>
              </w:tcPr>
              <w:p w14:paraId="555043CC" w14:textId="77777777" w:rsidR="007E7472" w:rsidRDefault="00EC1269">
                <w:pPr>
                  <w:jc w:val="center"/>
                  <w:rPr>
                    <w:rFonts w:cs="Times New Roman"/>
                    <w:b/>
                    <w:snapToGrid w:val="0"/>
                    <w:spacing w:val="-30"/>
                  </w:rPr>
                </w:pPr>
                <w:r>
                  <w:rPr>
                    <w:rFonts w:cs="Times New Roman"/>
                    <w:b/>
                    <w:snapToGrid w:val="0"/>
                    <w:spacing w:val="-30"/>
                  </w:rPr>
                  <w:t>注册资本</w:t>
                </w:r>
              </w:p>
            </w:tc>
            <w:tc>
              <w:tcPr>
                <w:tcW w:w="2323" w:type="dxa"/>
                <w:vAlign w:val="center"/>
              </w:tcPr>
              <w:p w14:paraId="0345C965" w14:textId="77777777" w:rsidR="007E7472" w:rsidRDefault="00EC1269">
                <w:pPr>
                  <w:jc w:val="center"/>
                  <w:rPr>
                    <w:rFonts w:cs="Times New Roman"/>
                    <w:b/>
                    <w:snapToGrid w:val="0"/>
                    <w:spacing w:val="-30"/>
                  </w:rPr>
                </w:pPr>
                <w:r>
                  <w:rPr>
                    <w:rFonts w:cs="Times New Roman"/>
                    <w:b/>
                    <w:snapToGrid w:val="0"/>
                    <w:spacing w:val="-30"/>
                  </w:rPr>
                  <w:t>经营范围</w:t>
                </w:r>
              </w:p>
            </w:tc>
            <w:tc>
              <w:tcPr>
                <w:tcW w:w="939" w:type="dxa"/>
                <w:vAlign w:val="center"/>
              </w:tcPr>
              <w:p w14:paraId="274BEAD4" w14:textId="77777777" w:rsidR="007E7472" w:rsidRDefault="00EC1269">
                <w:pPr>
                  <w:jc w:val="center"/>
                  <w:rPr>
                    <w:rFonts w:cs="Times New Roman"/>
                    <w:b/>
                    <w:snapToGrid w:val="0"/>
                    <w:spacing w:val="-30"/>
                  </w:rPr>
                </w:pPr>
                <w:r>
                  <w:rPr>
                    <w:rFonts w:cs="Times New Roman"/>
                    <w:b/>
                    <w:snapToGrid w:val="0"/>
                    <w:spacing w:val="-30"/>
                  </w:rPr>
                  <w:t>持股比例(%)</w:t>
                </w:r>
              </w:p>
            </w:tc>
          </w:tr>
          <w:tr w:rsidR="007E7472" w14:paraId="0EB9D624" w14:textId="77777777">
            <w:trPr>
              <w:trHeight w:val="397"/>
            </w:trPr>
            <w:tc>
              <w:tcPr>
                <w:tcW w:w="2694" w:type="dxa"/>
                <w:vAlign w:val="center"/>
              </w:tcPr>
              <w:p w14:paraId="14C3EACA" w14:textId="77777777" w:rsidR="007E7472" w:rsidRDefault="00EC1269">
                <w:pPr>
                  <w:jc w:val="both"/>
                  <w:rPr>
                    <w:rFonts w:cs="Times New Roman"/>
                    <w:snapToGrid w:val="0"/>
                    <w:color w:val="000000"/>
                    <w:spacing w:val="-20"/>
                    <w:lang w:val="en-GB"/>
                  </w:rPr>
                </w:pPr>
                <w:r>
                  <w:rPr>
                    <w:rFonts w:cs="Times New Roman" w:hint="eastAsia"/>
                    <w:snapToGrid w:val="0"/>
                    <w:color w:val="000000"/>
                    <w:spacing w:val="-20"/>
                    <w:lang w:val="en-GB"/>
                  </w:rPr>
                  <w:t>内蒙古蒙通铁路有限公司</w:t>
                </w:r>
              </w:p>
            </w:tc>
            <w:tc>
              <w:tcPr>
                <w:tcW w:w="1134" w:type="dxa"/>
                <w:vAlign w:val="center"/>
              </w:tcPr>
              <w:p w14:paraId="3B130E1E" w14:textId="77777777" w:rsidR="007E7472" w:rsidRDefault="00EC1269">
                <w:pPr>
                  <w:jc w:val="center"/>
                  <w:rPr>
                    <w:rFonts w:cs="Times New Roman"/>
                    <w:snapToGrid w:val="0"/>
                    <w:color w:val="000000"/>
                    <w:spacing w:val="-20"/>
                    <w:lang w:val="en-GB"/>
                  </w:rPr>
                </w:pPr>
                <w:r>
                  <w:rPr>
                    <w:rFonts w:cs="Times New Roman" w:hint="eastAsia"/>
                    <w:snapToGrid w:val="0"/>
                    <w:color w:val="000000"/>
                    <w:spacing w:val="-20"/>
                    <w:lang w:val="en-GB"/>
                  </w:rPr>
                  <w:t>鄂尔多斯</w:t>
                </w:r>
              </w:p>
            </w:tc>
            <w:tc>
              <w:tcPr>
                <w:tcW w:w="1417" w:type="dxa"/>
                <w:vAlign w:val="center"/>
              </w:tcPr>
              <w:p w14:paraId="65115A5B" w14:textId="77777777" w:rsidR="007E7472" w:rsidRDefault="00EC1269">
                <w:pPr>
                  <w:jc w:val="right"/>
                  <w:rPr>
                    <w:rFonts w:cs="Times New Roman"/>
                    <w:bCs/>
                    <w:color w:val="000000"/>
                    <w:spacing w:val="-20"/>
                  </w:rPr>
                </w:pPr>
                <w:r>
                  <w:rPr>
                    <w:rFonts w:asciiTheme="minorEastAsia" w:eastAsiaTheme="minorEastAsia" w:hAnsiTheme="minorEastAsia" w:cs="Times New Roman"/>
                    <w:snapToGrid w:val="0"/>
                    <w:color w:val="000000"/>
                    <w:spacing w:val="-10"/>
                    <w:lang w:val="en-GB" w:eastAsia="en-US"/>
                  </w:rPr>
                  <w:t>10,000万</w:t>
                </w:r>
                <w:r>
                  <w:rPr>
                    <w:rFonts w:ascii="Times New Roman" w:hAnsi="Times New Roman" w:cs="Times New Roman"/>
                    <w:snapToGrid w:val="0"/>
                    <w:color w:val="000000"/>
                    <w:spacing w:val="-10"/>
                    <w:lang w:val="en-GB" w:eastAsia="en-US"/>
                  </w:rPr>
                  <w:t>元</w:t>
                </w:r>
              </w:p>
            </w:tc>
            <w:tc>
              <w:tcPr>
                <w:tcW w:w="2323" w:type="dxa"/>
                <w:vAlign w:val="center"/>
              </w:tcPr>
              <w:p w14:paraId="65C43D82" w14:textId="77777777" w:rsidR="007E7472" w:rsidRDefault="00EC1269">
                <w:pPr>
                  <w:jc w:val="both"/>
                  <w:rPr>
                    <w:rFonts w:cs="Times New Roman"/>
                    <w:bCs/>
                    <w:color w:val="000000"/>
                    <w:spacing w:val="-20"/>
                  </w:rPr>
                </w:pPr>
                <w:r>
                  <w:rPr>
                    <w:rFonts w:ascii="Times New Roman" w:hAnsi="Times New Roman" w:cs="Times New Roman"/>
                    <w:snapToGrid w:val="0"/>
                    <w:color w:val="000000"/>
                    <w:spacing w:val="-10"/>
                    <w:lang w:val="en-GB" w:eastAsia="en-US"/>
                  </w:rPr>
                  <w:t>煤炭加工、销售运输</w:t>
                </w:r>
              </w:p>
            </w:tc>
            <w:tc>
              <w:tcPr>
                <w:tcW w:w="939" w:type="dxa"/>
                <w:vAlign w:val="center"/>
              </w:tcPr>
              <w:p w14:paraId="34788602" w14:textId="77777777" w:rsidR="007E7472" w:rsidRDefault="00EC1269">
                <w:pPr>
                  <w:jc w:val="center"/>
                  <w:rPr>
                    <w:rFonts w:cs="Times New Roman"/>
                    <w:snapToGrid w:val="0"/>
                    <w:color w:val="000000"/>
                    <w:spacing w:val="-20"/>
                    <w:lang w:val="en-GB"/>
                  </w:rPr>
                </w:pPr>
                <w:r>
                  <w:rPr>
                    <w:rFonts w:cs="Times New Roman"/>
                    <w:snapToGrid w:val="0"/>
                    <w:color w:val="000000"/>
                    <w:spacing w:val="-10"/>
                    <w:lang w:val="en-GB" w:eastAsia="en-US"/>
                  </w:rPr>
                  <w:t>51</w:t>
                </w:r>
              </w:p>
            </w:tc>
          </w:tr>
          <w:tr w:rsidR="007E7472" w14:paraId="2CB75DA7" w14:textId="77777777">
            <w:trPr>
              <w:trHeight w:val="397"/>
            </w:trPr>
            <w:tc>
              <w:tcPr>
                <w:tcW w:w="2694" w:type="dxa"/>
                <w:vAlign w:val="center"/>
              </w:tcPr>
              <w:p w14:paraId="0A58EDA3" w14:textId="77777777" w:rsidR="007E7472" w:rsidRDefault="00EC1269">
                <w:pPr>
                  <w:jc w:val="both"/>
                  <w:rPr>
                    <w:rFonts w:cs="Times New Roman"/>
                    <w:snapToGrid w:val="0"/>
                    <w:color w:val="000000"/>
                    <w:spacing w:val="-20"/>
                    <w:lang w:val="en-GB"/>
                  </w:rPr>
                </w:pPr>
                <w:r>
                  <w:rPr>
                    <w:rFonts w:cs="Times New Roman" w:hint="eastAsia"/>
                    <w:snapToGrid w:val="0"/>
                    <w:color w:val="000000"/>
                    <w:spacing w:val="-20"/>
                    <w:lang w:val="en-GB"/>
                  </w:rPr>
                  <w:t>兖矿铁路物流(榆林)有限公司</w:t>
                </w:r>
              </w:p>
            </w:tc>
            <w:tc>
              <w:tcPr>
                <w:tcW w:w="1134" w:type="dxa"/>
                <w:vAlign w:val="center"/>
              </w:tcPr>
              <w:p w14:paraId="10A12F6E" w14:textId="77777777" w:rsidR="007E7472" w:rsidRDefault="00EC1269">
                <w:pPr>
                  <w:jc w:val="center"/>
                  <w:rPr>
                    <w:rFonts w:ascii="Times New Roman" w:hAnsi="Times New Roman" w:cs="Times New Roman"/>
                    <w:snapToGrid w:val="0"/>
                    <w:color w:val="000000"/>
                    <w:spacing w:val="-10"/>
                    <w:lang w:val="en-GB" w:eastAsia="en-US"/>
                  </w:rPr>
                </w:pPr>
                <w:r>
                  <w:rPr>
                    <w:rFonts w:cs="Times New Roman" w:hint="eastAsia"/>
                    <w:snapToGrid w:val="0"/>
                    <w:color w:val="000000"/>
                    <w:spacing w:val="-20"/>
                    <w:lang w:val="en-GB"/>
                  </w:rPr>
                  <w:t>陕西榆林</w:t>
                </w:r>
              </w:p>
            </w:tc>
            <w:tc>
              <w:tcPr>
                <w:tcW w:w="1417" w:type="dxa"/>
                <w:vAlign w:val="center"/>
              </w:tcPr>
              <w:p w14:paraId="12A53EB1" w14:textId="77777777" w:rsidR="007E7472" w:rsidRDefault="00EC1269">
                <w:pPr>
                  <w:jc w:val="right"/>
                  <w:rPr>
                    <w:rFonts w:cs="Times New Roman"/>
                    <w:bCs/>
                    <w:color w:val="000000"/>
                    <w:spacing w:val="-20"/>
                  </w:rPr>
                </w:pPr>
                <w:r>
                  <w:rPr>
                    <w:rFonts w:cs="Times New Roman" w:hint="eastAsia"/>
                    <w:bCs/>
                    <w:color w:val="000000"/>
                    <w:spacing w:val="-20"/>
                  </w:rPr>
                  <w:t>300,000万元</w:t>
                </w:r>
              </w:p>
            </w:tc>
            <w:tc>
              <w:tcPr>
                <w:tcW w:w="2323" w:type="dxa"/>
                <w:vAlign w:val="center"/>
              </w:tcPr>
              <w:p w14:paraId="6862DAD3" w14:textId="77777777" w:rsidR="007E7472" w:rsidRDefault="00EC1269">
                <w:pPr>
                  <w:jc w:val="both"/>
                  <w:rPr>
                    <w:rFonts w:cs="Times New Roman"/>
                    <w:bCs/>
                    <w:color w:val="000000"/>
                    <w:spacing w:val="-20"/>
                  </w:rPr>
                </w:pPr>
                <w:r>
                  <w:rPr>
                    <w:rFonts w:cs="Times New Roman" w:hint="eastAsia"/>
                    <w:bCs/>
                    <w:color w:val="000000"/>
                    <w:spacing w:val="-20"/>
                  </w:rPr>
                  <w:t>公共铁路运输、铁路机车车辆维修；煤炭及制品销售</w:t>
                </w:r>
              </w:p>
            </w:tc>
            <w:tc>
              <w:tcPr>
                <w:tcW w:w="939" w:type="dxa"/>
                <w:vAlign w:val="center"/>
              </w:tcPr>
              <w:p w14:paraId="3371B847" w14:textId="77777777" w:rsidR="007E7472" w:rsidRDefault="00EC1269">
                <w:pPr>
                  <w:jc w:val="center"/>
                  <w:rPr>
                    <w:rFonts w:cs="Times New Roman"/>
                    <w:snapToGrid w:val="0"/>
                    <w:color w:val="000000"/>
                    <w:spacing w:val="-20"/>
                    <w:lang w:val="en-GB" w:eastAsia="en-US"/>
                  </w:rPr>
                </w:pPr>
                <w:r>
                  <w:rPr>
                    <w:rFonts w:cs="Times New Roman"/>
                    <w:snapToGrid w:val="0"/>
                    <w:color w:val="000000"/>
                    <w:spacing w:val="-20"/>
                    <w:lang w:val="en-GB"/>
                  </w:rPr>
                  <w:t>62</w:t>
                </w:r>
              </w:p>
            </w:tc>
          </w:tr>
          <w:tr w:rsidR="007E7472" w14:paraId="746D9F5A" w14:textId="77777777">
            <w:trPr>
              <w:trHeight w:val="397"/>
            </w:trPr>
            <w:tc>
              <w:tcPr>
                <w:tcW w:w="2694" w:type="dxa"/>
                <w:vAlign w:val="center"/>
              </w:tcPr>
              <w:p w14:paraId="11908BB0" w14:textId="77777777" w:rsidR="007E7472" w:rsidRDefault="00EC1269">
                <w:pPr>
                  <w:jc w:val="both"/>
                  <w:rPr>
                    <w:rFonts w:cs="Times New Roman"/>
                    <w:snapToGrid w:val="0"/>
                    <w:color w:val="000000"/>
                    <w:spacing w:val="-20"/>
                    <w:lang w:val="en-GB"/>
                  </w:rPr>
                </w:pPr>
                <w:r>
                  <w:rPr>
                    <w:rFonts w:cs="Times New Roman" w:hint="eastAsia"/>
                    <w:snapToGrid w:val="0"/>
                    <w:color w:val="000000"/>
                    <w:spacing w:val="-20"/>
                    <w:lang w:val="en-GB"/>
                  </w:rPr>
                  <w:t>内蒙古蒙达铁路有限公司</w:t>
                </w:r>
              </w:p>
            </w:tc>
            <w:tc>
              <w:tcPr>
                <w:tcW w:w="1134" w:type="dxa"/>
                <w:vAlign w:val="center"/>
              </w:tcPr>
              <w:p w14:paraId="714BA55E" w14:textId="77777777" w:rsidR="007E7472" w:rsidRDefault="00EC1269">
                <w:pPr>
                  <w:jc w:val="center"/>
                  <w:rPr>
                    <w:rFonts w:cs="Times New Roman"/>
                    <w:snapToGrid w:val="0"/>
                    <w:color w:val="000000"/>
                    <w:spacing w:val="-20"/>
                    <w:lang w:val="en-GB"/>
                  </w:rPr>
                </w:pPr>
                <w:r>
                  <w:rPr>
                    <w:rFonts w:cs="Times New Roman" w:hint="eastAsia"/>
                    <w:snapToGrid w:val="0"/>
                    <w:color w:val="000000"/>
                    <w:spacing w:val="-20"/>
                    <w:lang w:val="en-GB"/>
                  </w:rPr>
                  <w:t>鄂尔多斯</w:t>
                </w:r>
              </w:p>
            </w:tc>
            <w:tc>
              <w:tcPr>
                <w:tcW w:w="1417" w:type="dxa"/>
                <w:vAlign w:val="center"/>
              </w:tcPr>
              <w:p w14:paraId="7E13FD75" w14:textId="77777777" w:rsidR="007E7472" w:rsidRDefault="00EC1269">
                <w:pPr>
                  <w:jc w:val="right"/>
                  <w:rPr>
                    <w:rFonts w:cs="Times New Roman"/>
                    <w:bCs/>
                    <w:color w:val="000000"/>
                    <w:spacing w:val="-20"/>
                  </w:rPr>
                </w:pPr>
                <w:r>
                  <w:rPr>
                    <w:rFonts w:cs="Times New Roman"/>
                    <w:bCs/>
                    <w:color w:val="000000"/>
                    <w:spacing w:val="-20"/>
                  </w:rPr>
                  <w:t>20,100万</w:t>
                </w:r>
                <w:r>
                  <w:rPr>
                    <w:rFonts w:cs="Times New Roman" w:hint="eastAsia"/>
                    <w:bCs/>
                    <w:color w:val="000000"/>
                    <w:spacing w:val="-20"/>
                  </w:rPr>
                  <w:t>元</w:t>
                </w:r>
              </w:p>
            </w:tc>
            <w:tc>
              <w:tcPr>
                <w:tcW w:w="2323" w:type="dxa"/>
                <w:vAlign w:val="center"/>
              </w:tcPr>
              <w:p w14:paraId="5FEF6A83" w14:textId="77777777" w:rsidR="007E7472" w:rsidRDefault="00EC1269">
                <w:pPr>
                  <w:jc w:val="both"/>
                  <w:rPr>
                    <w:rFonts w:cs="Times New Roman"/>
                    <w:bCs/>
                    <w:color w:val="000000"/>
                    <w:spacing w:val="-20"/>
                  </w:rPr>
                </w:pPr>
                <w:r>
                  <w:rPr>
                    <w:rFonts w:cs="Times New Roman" w:hint="eastAsia"/>
                    <w:bCs/>
                    <w:color w:val="000000"/>
                    <w:spacing w:val="-20"/>
                  </w:rPr>
                  <w:t>煤炭加工、销售运输</w:t>
                </w:r>
              </w:p>
            </w:tc>
            <w:tc>
              <w:tcPr>
                <w:tcW w:w="939" w:type="dxa"/>
                <w:vAlign w:val="center"/>
              </w:tcPr>
              <w:p w14:paraId="7ED60AEA" w14:textId="77777777" w:rsidR="007E7472" w:rsidRDefault="00EC1269">
                <w:pPr>
                  <w:jc w:val="center"/>
                  <w:rPr>
                    <w:rFonts w:cs="Times New Roman"/>
                    <w:snapToGrid w:val="0"/>
                    <w:color w:val="000000"/>
                    <w:spacing w:val="-20"/>
                    <w:lang w:val="en-GB"/>
                  </w:rPr>
                </w:pPr>
                <w:r>
                  <w:rPr>
                    <w:rFonts w:cs="Times New Roman" w:hint="eastAsia"/>
                    <w:snapToGrid w:val="0"/>
                    <w:color w:val="000000"/>
                    <w:spacing w:val="-20"/>
                    <w:lang w:val="en-GB"/>
                  </w:rPr>
                  <w:t>6</w:t>
                </w:r>
                <w:r>
                  <w:rPr>
                    <w:rFonts w:cs="Times New Roman"/>
                    <w:snapToGrid w:val="0"/>
                    <w:color w:val="000000"/>
                    <w:spacing w:val="-20"/>
                    <w:lang w:val="en-GB"/>
                  </w:rPr>
                  <w:t>7</w:t>
                </w:r>
              </w:p>
            </w:tc>
          </w:tr>
        </w:tbl>
        <w:p w14:paraId="2C8732B6" w14:textId="77777777" w:rsidR="007E7472" w:rsidRDefault="00EC1269" w:rsidP="00162493">
          <w:pPr>
            <w:numPr>
              <w:ilvl w:val="0"/>
              <w:numId w:val="104"/>
            </w:numPr>
            <w:tabs>
              <w:tab w:val="left" w:pos="567"/>
            </w:tabs>
            <w:spacing w:beforeLines="50" w:before="120" w:afterLines="50" w:after="120" w:line="360" w:lineRule="exact"/>
            <w:ind w:leftChars="200" w:firstLine="0"/>
            <w:jc w:val="both"/>
            <w:rPr>
              <w:rFonts w:cs="Times New Roman"/>
              <w:snapToGrid w:val="0"/>
              <w:color w:val="000000"/>
            </w:rPr>
          </w:pPr>
          <w:r>
            <w:rPr>
              <w:rFonts w:cs="Times New Roman" w:hint="eastAsia"/>
              <w:snapToGrid w:val="0"/>
              <w:color w:val="000000"/>
            </w:rPr>
            <w:t>兖矿物流科技有限公司</w:t>
          </w:r>
        </w:p>
        <w:p w14:paraId="59B14310" w14:textId="77777777" w:rsidR="007E7472" w:rsidRDefault="00EC1269">
          <w:pPr>
            <w:tabs>
              <w:tab w:val="left" w:pos="426"/>
              <w:tab w:val="left" w:pos="800"/>
            </w:tabs>
            <w:spacing w:beforeLines="50" w:before="120" w:afterLines="50" w:after="120" w:line="360" w:lineRule="exact"/>
            <w:ind w:firstLineChars="200" w:firstLine="420"/>
            <w:jc w:val="both"/>
            <w:rPr>
              <w:rFonts w:cs="Arial"/>
            </w:rPr>
          </w:pPr>
          <w:r>
            <w:rPr>
              <w:rFonts w:cs="Times New Roman" w:hint="eastAsia"/>
              <w:snapToGrid w:val="0"/>
              <w:color w:val="000000"/>
              <w:lang w:val="en-GB"/>
            </w:rPr>
            <w:t>兖矿物流科技有限公司（以下简称“兖矿物流科技”)系本公司之子公司，由本公司于2022年</w:t>
          </w:r>
          <w:r>
            <w:rPr>
              <w:rFonts w:cs="Times New Roman"/>
              <w:snapToGrid w:val="0"/>
              <w:color w:val="000000"/>
              <w:lang w:val="en-GB"/>
            </w:rPr>
            <w:t>1</w:t>
          </w:r>
          <w:r>
            <w:rPr>
              <w:rFonts w:cs="Times New Roman" w:hint="eastAsia"/>
              <w:snapToGrid w:val="0"/>
              <w:color w:val="000000"/>
              <w:lang w:val="en-GB"/>
            </w:rPr>
            <w:t>月出资设立，注册资本25亿元，公司法人营业执照统一社会信用代码：91370883MA7GW84Y4H,法定代表人:王兴文。兖矿物流科技主要从事道路货物运输、公共铁路运输、铁路机车车辆维修、港口经营等业务。</w:t>
          </w:r>
        </w:p>
      </w:sdtContent>
    </w:sdt>
    <w:p w14:paraId="00669994" w14:textId="77777777" w:rsidR="007E7472" w:rsidRDefault="00C8327E">
      <w:pPr>
        <w:rPr>
          <w:rFonts w:cs="Arial"/>
        </w:rPr>
      </w:pPr>
    </w:p>
    <w:sdt>
      <w:sdtPr>
        <w:rPr>
          <w:rFonts w:ascii="宋体" w:hAnsi="宋体" w:cs="Arial" w:hint="eastAsia"/>
          <w:b w:val="0"/>
          <w:bCs w:val="0"/>
          <w:kern w:val="0"/>
          <w:szCs w:val="21"/>
        </w:rPr>
        <w:alias w:val="模块:重要的非全资子公司"/>
        <w:tag w:val="_GBC_a2ec6e05ebd34d2fa14b1ba6b3ba8eb1"/>
        <w:id w:val="1827003967"/>
        <w:lock w:val="sdtLocked"/>
        <w:placeholder>
          <w:docPart w:val="GBC22222222222222222222222222222"/>
        </w:placeholder>
      </w:sdtPr>
      <w:sdtEndPr>
        <w:rPr>
          <w:rFonts w:hint="default"/>
        </w:rPr>
      </w:sdtEndPr>
      <w:sdtContent>
        <w:p w14:paraId="7B1E714B" w14:textId="77777777" w:rsidR="007E7472" w:rsidRDefault="00EC1269" w:rsidP="00162493">
          <w:pPr>
            <w:pStyle w:val="4"/>
            <w:numPr>
              <w:ilvl w:val="0"/>
              <w:numId w:val="103"/>
            </w:numPr>
            <w:rPr>
              <w:rFonts w:cs="Arial"/>
            </w:rPr>
          </w:pPr>
          <w:r>
            <w:rPr>
              <w:rFonts w:cs="Arial" w:hint="eastAsia"/>
            </w:rPr>
            <w:t>重要的非全资子公司</w:t>
          </w:r>
        </w:p>
        <w:sdt>
          <w:sdtPr>
            <w:alias w:val="是否适用：重要的非全资子公司[双击切换]"/>
            <w:tag w:val="_GBC_b83f349d0d754e2d93b12d2112b4c3ec"/>
            <w:id w:val="-1696924578"/>
            <w:lock w:val="sdtLocked"/>
            <w:placeholder>
              <w:docPart w:val="GBC22222222222222222222222222222"/>
            </w:placeholder>
          </w:sdtPr>
          <w:sdtEndPr/>
          <w:sdtContent>
            <w:p w14:paraId="59ED42BB"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E25EB27" w14:textId="50189F35" w:rsidR="007E7472" w:rsidRDefault="00EC1269">
          <w:pPr>
            <w:jc w:val="right"/>
          </w:pPr>
          <w:r>
            <w:rPr>
              <w:rFonts w:hint="eastAsia"/>
            </w:rPr>
            <w:t>单位：</w:t>
          </w:r>
          <w:sdt>
            <w:sdtPr>
              <w:rPr>
                <w:rFonts w:hint="eastAsia"/>
              </w:rPr>
              <w:alias w:val="单位：财务附注：重要的非全资子公司"/>
              <w:tag w:val="_GBC_e5936e9952394755bacf71d437afcd44"/>
              <w:id w:val="49677583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重要的非全资子公司"/>
              <w:tag w:val="_GBC_5ffac6aa0e464031b94de604fccc76c7"/>
              <w:id w:val="-3981400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ook w:val="04A0" w:firstRow="1" w:lastRow="0" w:firstColumn="1" w:lastColumn="0" w:noHBand="0" w:noVBand="1"/>
          </w:tblPr>
          <w:tblGrid>
            <w:gridCol w:w="1571"/>
            <w:gridCol w:w="1769"/>
            <w:gridCol w:w="1889"/>
            <w:gridCol w:w="1894"/>
            <w:gridCol w:w="1700"/>
          </w:tblGrid>
          <w:tr w:rsidR="007E7472" w14:paraId="114060A0" w14:textId="77777777" w:rsidTr="0050146C">
            <w:trPr>
              <w:trHeight w:val="241"/>
            </w:trPr>
            <w:sdt>
              <w:sdtPr>
                <w:tag w:val="_PLD_214f5d23d0ff4cd08577f444026e3bf2"/>
                <w:id w:val="1877343975"/>
                <w:lock w:val="sdtLocked"/>
              </w:sdtPr>
              <w:sdtEndPr/>
              <w:sdtContent>
                <w:tc>
                  <w:tcPr>
                    <w:tcW w:w="890" w:type="pct"/>
                    <w:shd w:val="clear" w:color="auto" w:fill="auto"/>
                    <w:vAlign w:val="center"/>
                  </w:tcPr>
                  <w:p w14:paraId="0FBB349A" w14:textId="77777777" w:rsidR="007E7472" w:rsidRDefault="00EC1269">
                    <w:pPr>
                      <w:jc w:val="center"/>
                      <w:rPr>
                        <w:rFonts w:cs="Arial"/>
                      </w:rPr>
                    </w:pPr>
                    <w:r>
                      <w:rPr>
                        <w:rFonts w:cs="Arial" w:hint="eastAsia"/>
                        <w:lang w:val="en-GB"/>
                      </w:rPr>
                      <w:t>子公司名称</w:t>
                    </w:r>
                  </w:p>
                </w:tc>
              </w:sdtContent>
            </w:sdt>
            <w:sdt>
              <w:sdtPr>
                <w:tag w:val="_PLD_8f337a5f047e4f5eb2e03caf3b5ce2bb"/>
                <w:id w:val="1483731595"/>
                <w:lock w:val="sdtLocked"/>
              </w:sdtPr>
              <w:sdtEndPr/>
              <w:sdtContent>
                <w:tc>
                  <w:tcPr>
                    <w:tcW w:w="1002" w:type="pct"/>
                    <w:shd w:val="clear" w:color="auto" w:fill="auto"/>
                    <w:vAlign w:val="center"/>
                  </w:tcPr>
                  <w:p w14:paraId="1BDDAE1F" w14:textId="77777777" w:rsidR="007E7472" w:rsidRDefault="00EC1269">
                    <w:pPr>
                      <w:jc w:val="center"/>
                      <w:rPr>
                        <w:rFonts w:cs="Arial"/>
                        <w:bCs/>
                        <w:lang w:val="en-GB"/>
                      </w:rPr>
                    </w:pPr>
                    <w:r>
                      <w:rPr>
                        <w:rFonts w:cs="Arial" w:hint="eastAsia"/>
                        <w:lang w:val="en-GB"/>
                      </w:rPr>
                      <w:t>少数股东持股</w:t>
                    </w:r>
                  </w:p>
                  <w:p w14:paraId="226D9B41" w14:textId="77777777" w:rsidR="007E7472" w:rsidRDefault="00EC1269">
                    <w:pPr>
                      <w:jc w:val="center"/>
                      <w:rPr>
                        <w:rFonts w:cs="Arial"/>
                      </w:rPr>
                    </w:pPr>
                    <w:r>
                      <w:rPr>
                        <w:rFonts w:cs="Arial" w:hint="eastAsia"/>
                        <w:lang w:val="en-GB"/>
                      </w:rPr>
                      <w:t>比例</w:t>
                    </w:r>
                    <w:r>
                      <w:rPr>
                        <w:rFonts w:hint="eastAsia"/>
                      </w:rPr>
                      <w:t>（%）</w:t>
                    </w:r>
                  </w:p>
                </w:tc>
              </w:sdtContent>
            </w:sdt>
            <w:sdt>
              <w:sdtPr>
                <w:tag w:val="_PLD_70aca7c8f09a4a579e632e06c25a6ab5"/>
                <w:id w:val="766040937"/>
                <w:lock w:val="sdtLocked"/>
              </w:sdtPr>
              <w:sdtEndPr/>
              <w:sdtContent>
                <w:tc>
                  <w:tcPr>
                    <w:tcW w:w="1070" w:type="pct"/>
                    <w:shd w:val="clear" w:color="auto" w:fill="auto"/>
                    <w:vAlign w:val="center"/>
                  </w:tcPr>
                  <w:p w14:paraId="61E9C4BC" w14:textId="77777777" w:rsidR="007E7472" w:rsidRDefault="00EC1269">
                    <w:pPr>
                      <w:jc w:val="center"/>
                      <w:rPr>
                        <w:rFonts w:cs="Arial"/>
                      </w:rPr>
                    </w:pPr>
                    <w:r>
                      <w:rPr>
                        <w:rFonts w:cs="Arial" w:hint="eastAsia"/>
                        <w:lang w:val="en-GB"/>
                      </w:rPr>
                      <w:t>本期归属于少数股东的损益</w:t>
                    </w:r>
                  </w:p>
                </w:tc>
              </w:sdtContent>
            </w:sdt>
            <w:sdt>
              <w:sdtPr>
                <w:tag w:val="_PLD_4154a89239e54416bb4c7ab182b0ae5a"/>
                <w:id w:val="-1189592110"/>
                <w:lock w:val="sdtLocked"/>
              </w:sdtPr>
              <w:sdtEndPr/>
              <w:sdtContent>
                <w:tc>
                  <w:tcPr>
                    <w:tcW w:w="1073" w:type="pct"/>
                    <w:shd w:val="clear" w:color="auto" w:fill="auto"/>
                    <w:vAlign w:val="center"/>
                  </w:tcPr>
                  <w:p w14:paraId="602D3C02" w14:textId="77777777" w:rsidR="007E7472" w:rsidRDefault="00EC1269">
                    <w:pPr>
                      <w:jc w:val="center"/>
                      <w:rPr>
                        <w:rFonts w:cs="Arial"/>
                      </w:rPr>
                    </w:pPr>
                    <w:r>
                      <w:rPr>
                        <w:rFonts w:cs="Arial" w:hint="eastAsia"/>
                        <w:lang w:val="en-GB"/>
                      </w:rPr>
                      <w:t>本期向少数股东宣告分派的股利</w:t>
                    </w:r>
                  </w:p>
                </w:tc>
              </w:sdtContent>
            </w:sdt>
            <w:sdt>
              <w:sdtPr>
                <w:tag w:val="_PLD_cea34ef7af164cc8816d90890b528f36"/>
                <w:id w:val="761269651"/>
                <w:lock w:val="sdtLocked"/>
              </w:sdtPr>
              <w:sdtEndPr/>
              <w:sdtContent>
                <w:tc>
                  <w:tcPr>
                    <w:tcW w:w="963" w:type="pct"/>
                    <w:shd w:val="clear" w:color="auto" w:fill="auto"/>
                    <w:vAlign w:val="center"/>
                  </w:tcPr>
                  <w:p w14:paraId="4263FF27" w14:textId="77777777" w:rsidR="007E7472" w:rsidRDefault="00EC1269">
                    <w:pPr>
                      <w:ind w:right="-16"/>
                      <w:jc w:val="center"/>
                      <w:rPr>
                        <w:rFonts w:cs="Arial"/>
                        <w:bCs/>
                      </w:rPr>
                    </w:pPr>
                    <w:r>
                      <w:rPr>
                        <w:rFonts w:cs="Arial" w:hint="eastAsia"/>
                        <w:lang w:val="en-GB"/>
                      </w:rPr>
                      <w:t>期末少数股东权益余额</w:t>
                    </w:r>
                  </w:p>
                </w:tc>
              </w:sdtContent>
            </w:sdt>
          </w:tr>
          <w:sdt>
            <w:sdtPr>
              <w:alias w:val="重要的非全资子公司明细"/>
              <w:tag w:val="_GBC_786318b12f804986888adc0492796ebd"/>
              <w:id w:val="449450342"/>
              <w:lock w:val="sdtLocked"/>
            </w:sdtPr>
            <w:sdtEndPr/>
            <w:sdtContent>
              <w:tr w:rsidR="007E7472" w14:paraId="67C74D74" w14:textId="77777777" w:rsidTr="0050146C">
                <w:tc>
                  <w:tcPr>
                    <w:tcW w:w="890" w:type="pct"/>
                  </w:tcPr>
                  <w:p w14:paraId="6DC78B5A" w14:textId="77777777" w:rsidR="007E7472" w:rsidRDefault="00EC1269">
                    <w:r>
                      <w:rPr>
                        <w:rFonts w:hint="eastAsia"/>
                      </w:rPr>
                      <w:t>菏泽能化</w:t>
                    </w:r>
                  </w:p>
                </w:tc>
                <w:tc>
                  <w:tcPr>
                    <w:tcW w:w="1002" w:type="pct"/>
                  </w:tcPr>
                  <w:p w14:paraId="1B39E280" w14:textId="77777777" w:rsidR="007E7472" w:rsidRDefault="00EC1269">
                    <w:pPr>
                      <w:jc w:val="right"/>
                    </w:pPr>
                    <w:r>
                      <w:rPr>
                        <w:rFonts w:hint="eastAsia"/>
                      </w:rPr>
                      <w:t>1</w:t>
                    </w:r>
                    <w:r>
                      <w:t>.67</w:t>
                    </w:r>
                  </w:p>
                </w:tc>
                <w:tc>
                  <w:tcPr>
                    <w:tcW w:w="1070" w:type="pct"/>
                  </w:tcPr>
                  <w:p w14:paraId="16B30412" w14:textId="77777777" w:rsidR="007E7472" w:rsidRDefault="00EC1269">
                    <w:pPr>
                      <w:jc w:val="right"/>
                    </w:pPr>
                    <w:r>
                      <w:t>13,526</w:t>
                    </w:r>
                  </w:p>
                </w:tc>
                <w:tc>
                  <w:tcPr>
                    <w:tcW w:w="1073" w:type="pct"/>
                  </w:tcPr>
                  <w:p w14:paraId="6CAFE986" w14:textId="77777777" w:rsidR="007E7472" w:rsidRDefault="00C8327E">
                    <w:pPr>
                      <w:jc w:val="right"/>
                    </w:pPr>
                  </w:p>
                </w:tc>
                <w:tc>
                  <w:tcPr>
                    <w:tcW w:w="963" w:type="pct"/>
                  </w:tcPr>
                  <w:p w14:paraId="339EA25B" w14:textId="77777777" w:rsidR="007E7472" w:rsidRDefault="00EC1269">
                    <w:pPr>
                      <w:jc w:val="right"/>
                    </w:pPr>
                    <w:r>
                      <w:t>219,748</w:t>
                    </w:r>
                  </w:p>
                </w:tc>
              </w:tr>
            </w:sdtContent>
          </w:sdt>
          <w:sdt>
            <w:sdtPr>
              <w:alias w:val="重要的非全资子公司明细"/>
              <w:tag w:val="_GBC_786318b12f804986888adc0492796ebd"/>
              <w:id w:val="-1027399952"/>
              <w:lock w:val="sdtLocked"/>
            </w:sdtPr>
            <w:sdtEndPr/>
            <w:sdtContent>
              <w:tr w:rsidR="007E7472" w14:paraId="1E2CD13F" w14:textId="77777777" w:rsidTr="0050146C">
                <w:tc>
                  <w:tcPr>
                    <w:tcW w:w="890" w:type="pct"/>
                  </w:tcPr>
                  <w:p w14:paraId="63F35785" w14:textId="77777777" w:rsidR="007E7472" w:rsidRDefault="00EC1269">
                    <w:r>
                      <w:rPr>
                        <w:rFonts w:hint="eastAsia"/>
                      </w:rPr>
                      <w:t>澳洲公司</w:t>
                    </w:r>
                  </w:p>
                </w:tc>
                <w:tc>
                  <w:tcPr>
                    <w:tcW w:w="1002" w:type="pct"/>
                  </w:tcPr>
                  <w:p w14:paraId="0971773D" w14:textId="77777777" w:rsidR="007E7472" w:rsidRDefault="00EC1269">
                    <w:pPr>
                      <w:jc w:val="right"/>
                    </w:pPr>
                    <w:r>
                      <w:rPr>
                        <w:rFonts w:hint="eastAsia"/>
                      </w:rPr>
                      <w:t>3</w:t>
                    </w:r>
                    <w:r>
                      <w:t>7.74</w:t>
                    </w:r>
                  </w:p>
                </w:tc>
                <w:tc>
                  <w:tcPr>
                    <w:tcW w:w="1070" w:type="pct"/>
                  </w:tcPr>
                  <w:p w14:paraId="60F8248B" w14:textId="77777777" w:rsidR="007E7472" w:rsidRDefault="00EC1269">
                    <w:pPr>
                      <w:jc w:val="right"/>
                    </w:pPr>
                    <w:r>
                      <w:t>1,746,750</w:t>
                    </w:r>
                  </w:p>
                </w:tc>
                <w:tc>
                  <w:tcPr>
                    <w:tcW w:w="1073" w:type="pct"/>
                  </w:tcPr>
                  <w:p w14:paraId="2A9EC9FB" w14:textId="77777777" w:rsidR="007E7472" w:rsidRDefault="00EC1269">
                    <w:pPr>
                      <w:jc w:val="right"/>
                    </w:pPr>
                    <w:r>
                      <w:t>1,600,770</w:t>
                    </w:r>
                  </w:p>
                </w:tc>
                <w:tc>
                  <w:tcPr>
                    <w:tcW w:w="963" w:type="pct"/>
                  </w:tcPr>
                  <w:p w14:paraId="28B761B9" w14:textId="77777777" w:rsidR="007E7472" w:rsidRDefault="00EC1269">
                    <w:pPr>
                      <w:jc w:val="right"/>
                    </w:pPr>
                    <w:r>
                      <w:t>14,136,630</w:t>
                    </w:r>
                  </w:p>
                </w:tc>
              </w:tr>
            </w:sdtContent>
          </w:sdt>
          <w:sdt>
            <w:sdtPr>
              <w:alias w:val="重要的非全资子公司明细"/>
              <w:tag w:val="_GBC_786318b12f804986888adc0492796ebd"/>
              <w:id w:val="781468341"/>
              <w:lock w:val="sdtLocked"/>
            </w:sdtPr>
            <w:sdtEndPr/>
            <w:sdtContent>
              <w:tr w:rsidR="007E7472" w14:paraId="5EC51BE3" w14:textId="77777777" w:rsidTr="0050146C">
                <w:tc>
                  <w:tcPr>
                    <w:tcW w:w="890" w:type="pct"/>
                  </w:tcPr>
                  <w:p w14:paraId="38642BF6" w14:textId="77777777" w:rsidR="007E7472" w:rsidRDefault="00EC1269">
                    <w:r>
                      <w:rPr>
                        <w:rFonts w:hint="eastAsia"/>
                      </w:rPr>
                      <w:t>昊盛公司</w:t>
                    </w:r>
                  </w:p>
                </w:tc>
                <w:tc>
                  <w:tcPr>
                    <w:tcW w:w="1002" w:type="pct"/>
                  </w:tcPr>
                  <w:p w14:paraId="75F7608B" w14:textId="77777777" w:rsidR="007E7472" w:rsidRDefault="00EC1269">
                    <w:pPr>
                      <w:jc w:val="right"/>
                    </w:pPr>
                    <w:r>
                      <w:rPr>
                        <w:rFonts w:hint="eastAsia"/>
                      </w:rPr>
                      <w:t>4</w:t>
                    </w:r>
                    <w:r>
                      <w:t>4.56</w:t>
                    </w:r>
                  </w:p>
                </w:tc>
                <w:tc>
                  <w:tcPr>
                    <w:tcW w:w="1070" w:type="pct"/>
                  </w:tcPr>
                  <w:p w14:paraId="2E3FAF15" w14:textId="77777777" w:rsidR="007E7472" w:rsidRDefault="00EC1269">
                    <w:pPr>
                      <w:jc w:val="right"/>
                    </w:pPr>
                    <w:r>
                      <w:t>-13,765</w:t>
                    </w:r>
                  </w:p>
                </w:tc>
                <w:tc>
                  <w:tcPr>
                    <w:tcW w:w="1073" w:type="pct"/>
                  </w:tcPr>
                  <w:p w14:paraId="5C2C7266" w14:textId="77777777" w:rsidR="007E7472" w:rsidRDefault="00C8327E">
                    <w:pPr>
                      <w:jc w:val="right"/>
                    </w:pPr>
                  </w:p>
                </w:tc>
                <w:tc>
                  <w:tcPr>
                    <w:tcW w:w="963" w:type="pct"/>
                  </w:tcPr>
                  <w:p w14:paraId="302D8E9E" w14:textId="77777777" w:rsidR="007E7472" w:rsidRDefault="00EC1269">
                    <w:pPr>
                      <w:jc w:val="right"/>
                    </w:pPr>
                    <w:r>
                      <w:t>5,629,865</w:t>
                    </w:r>
                  </w:p>
                </w:tc>
              </w:tr>
            </w:sdtContent>
          </w:sdt>
          <w:sdt>
            <w:sdtPr>
              <w:alias w:val="重要的非全资子公司明细"/>
              <w:tag w:val="_GBC_786318b12f804986888adc0492796ebd"/>
              <w:id w:val="1555419113"/>
              <w:lock w:val="sdtLocked"/>
            </w:sdtPr>
            <w:sdtEndPr/>
            <w:sdtContent>
              <w:tr w:rsidR="007E7472" w14:paraId="3A0FF06C" w14:textId="77777777" w:rsidTr="0050146C">
                <w:tc>
                  <w:tcPr>
                    <w:tcW w:w="890" w:type="pct"/>
                  </w:tcPr>
                  <w:p w14:paraId="4ACBC129" w14:textId="77777777" w:rsidR="007E7472" w:rsidRDefault="00EC1269">
                    <w:r>
                      <w:rPr>
                        <w:rFonts w:hint="eastAsia"/>
                      </w:rPr>
                      <w:t>未来能源</w:t>
                    </w:r>
                  </w:p>
                </w:tc>
                <w:tc>
                  <w:tcPr>
                    <w:tcW w:w="1002" w:type="pct"/>
                  </w:tcPr>
                  <w:p w14:paraId="05BE18BE" w14:textId="77777777" w:rsidR="007E7472" w:rsidRDefault="00EC1269">
                    <w:pPr>
                      <w:jc w:val="right"/>
                    </w:pPr>
                    <w:r>
                      <w:rPr>
                        <w:rFonts w:hint="eastAsia"/>
                      </w:rPr>
                      <w:t>2</w:t>
                    </w:r>
                    <w:r>
                      <w:t>6.03</w:t>
                    </w:r>
                  </w:p>
                </w:tc>
                <w:tc>
                  <w:tcPr>
                    <w:tcW w:w="1070" w:type="pct"/>
                  </w:tcPr>
                  <w:p w14:paraId="68C7D224" w14:textId="77777777" w:rsidR="007E7472" w:rsidRDefault="00EC1269">
                    <w:pPr>
                      <w:jc w:val="right"/>
                    </w:pPr>
                    <w:r>
                      <w:t>777,986</w:t>
                    </w:r>
                  </w:p>
                </w:tc>
                <w:tc>
                  <w:tcPr>
                    <w:tcW w:w="1073" w:type="pct"/>
                  </w:tcPr>
                  <w:p w14:paraId="54D593DB" w14:textId="77777777" w:rsidR="007E7472" w:rsidRDefault="00EC1269">
                    <w:pPr>
                      <w:jc w:val="right"/>
                    </w:pPr>
                    <w:r>
                      <w:t>780,825</w:t>
                    </w:r>
                  </w:p>
                </w:tc>
                <w:tc>
                  <w:tcPr>
                    <w:tcW w:w="963" w:type="pct"/>
                  </w:tcPr>
                  <w:p w14:paraId="20961E2A" w14:textId="77777777" w:rsidR="007E7472" w:rsidRDefault="00EC1269">
                    <w:pPr>
                      <w:jc w:val="right"/>
                    </w:pPr>
                    <w:r>
                      <w:t>5,887,410</w:t>
                    </w:r>
                  </w:p>
                </w:tc>
              </w:tr>
            </w:sdtContent>
          </w:sdt>
          <w:sdt>
            <w:sdtPr>
              <w:alias w:val="重要的非全资子公司明细"/>
              <w:tag w:val="_GBC_786318b12f804986888adc0492796ebd"/>
              <w:id w:val="-2041270988"/>
              <w:lock w:val="sdtLocked"/>
            </w:sdtPr>
            <w:sdtEndPr/>
            <w:sdtContent>
              <w:tr w:rsidR="007E7472" w14:paraId="678A36B3" w14:textId="77777777" w:rsidTr="0050146C">
                <w:tc>
                  <w:tcPr>
                    <w:tcW w:w="890" w:type="pct"/>
                  </w:tcPr>
                  <w:p w14:paraId="10873DCC" w14:textId="77777777" w:rsidR="007E7472" w:rsidRDefault="00EC1269">
                    <w:r>
                      <w:rPr>
                        <w:rFonts w:hint="eastAsia"/>
                      </w:rPr>
                      <w:t>内蒙古矿业</w:t>
                    </w:r>
                  </w:p>
                </w:tc>
                <w:tc>
                  <w:tcPr>
                    <w:tcW w:w="1002" w:type="pct"/>
                  </w:tcPr>
                  <w:p w14:paraId="2F5A776E" w14:textId="77777777" w:rsidR="007E7472" w:rsidRDefault="00EC1269">
                    <w:pPr>
                      <w:jc w:val="right"/>
                    </w:pPr>
                    <w:r>
                      <w:rPr>
                        <w:rFonts w:hint="eastAsia"/>
                      </w:rPr>
                      <w:t>4</w:t>
                    </w:r>
                    <w:r>
                      <w:t>9.00</w:t>
                    </w:r>
                  </w:p>
                </w:tc>
                <w:tc>
                  <w:tcPr>
                    <w:tcW w:w="1070" w:type="pct"/>
                  </w:tcPr>
                  <w:p w14:paraId="3CA472E7" w14:textId="77777777" w:rsidR="007E7472" w:rsidRDefault="00EC1269">
                    <w:pPr>
                      <w:jc w:val="right"/>
                    </w:pPr>
                    <w:r>
                      <w:t>-417,845</w:t>
                    </w:r>
                  </w:p>
                </w:tc>
                <w:tc>
                  <w:tcPr>
                    <w:tcW w:w="1073" w:type="pct"/>
                  </w:tcPr>
                  <w:p w14:paraId="0BD8EDC0" w14:textId="77777777" w:rsidR="007E7472" w:rsidRDefault="00C8327E">
                    <w:pPr>
                      <w:jc w:val="right"/>
                    </w:pPr>
                  </w:p>
                </w:tc>
                <w:tc>
                  <w:tcPr>
                    <w:tcW w:w="963" w:type="pct"/>
                  </w:tcPr>
                  <w:p w14:paraId="1C258C75" w14:textId="77777777" w:rsidR="007E7472" w:rsidRDefault="00EC1269">
                    <w:pPr>
                      <w:jc w:val="right"/>
                    </w:pPr>
                    <w:r>
                      <w:t>5,390,477</w:t>
                    </w:r>
                  </w:p>
                </w:tc>
              </w:tr>
            </w:sdtContent>
          </w:sdt>
        </w:tbl>
        <w:p w14:paraId="3C6154D5" w14:textId="77777777" w:rsidR="007E7472" w:rsidRDefault="00C8327E"/>
        <w:p w14:paraId="7D00471E" w14:textId="77777777" w:rsidR="007E7472" w:rsidRDefault="00EC1269">
          <w:pPr>
            <w:rPr>
              <w:rFonts w:cs="Arial"/>
            </w:rPr>
          </w:pPr>
          <w:r>
            <w:rPr>
              <w:rFonts w:cs="Arial" w:hint="eastAsia"/>
            </w:rPr>
            <w:t>子公司少数股东的持股比例不同于表决权比例的说明：</w:t>
          </w:r>
        </w:p>
        <w:sdt>
          <w:sdtPr>
            <w:rPr>
              <w:rFonts w:cs="Arial"/>
            </w:rPr>
            <w:alias w:val="是否适用：子公司少数股东的持股比例不同于表决权比例的说明[双击切换]"/>
            <w:tag w:val="_GBC_8bf91d6e05c644d1b37f5d88e434cb9e"/>
            <w:id w:val="-131564600"/>
            <w:lock w:val="sdtLocked"/>
            <w:placeholder>
              <w:docPart w:val="GBC22222222222222222222222222222"/>
            </w:placeholder>
          </w:sdtPr>
          <w:sdtEndPr/>
          <w:sdtContent>
            <w:p w14:paraId="0EB53EA4" w14:textId="77777777" w:rsidR="007E7472" w:rsidRDefault="00EC1269">
              <w:pPr>
                <w:rPr>
                  <w:rFonts w:cs="Arial"/>
                </w:rPr>
              </w:pPr>
              <w:r>
                <w:rPr>
                  <w:rFonts w:cs="Arial"/>
                </w:rPr>
                <w:fldChar w:fldCharType="begin"/>
              </w:r>
              <w:r>
                <w:rPr>
                  <w:rFonts w:cs="Arial"/>
                </w:rPr>
                <w:instrText xml:space="preserve"> MACROBUTTON  SnrToggleCheckbox □适用 </w:instrText>
              </w:r>
              <w:r>
                <w:rPr>
                  <w:rFonts w:cs="Arial"/>
                </w:rPr>
                <w:fldChar w:fldCharType="end"/>
              </w:r>
              <w:r>
                <w:rPr>
                  <w:rFonts w:cs="Arial"/>
                </w:rPr>
                <w:fldChar w:fldCharType="begin"/>
              </w:r>
              <w:r>
                <w:rPr>
                  <w:rFonts w:cs="Arial"/>
                </w:rPr>
                <w:instrText xml:space="preserve"> MACROBUTTON  SnrToggleCheckbox √不适用 </w:instrText>
              </w:r>
              <w:r>
                <w:rPr>
                  <w:rFonts w:cs="Arial"/>
                </w:rPr>
                <w:fldChar w:fldCharType="end"/>
              </w:r>
            </w:p>
          </w:sdtContent>
        </w:sdt>
        <w:p w14:paraId="5A30CD0D" w14:textId="77777777" w:rsidR="007E7472" w:rsidRDefault="00C8327E">
          <w:pPr>
            <w:rPr>
              <w:rFonts w:cs="Arial"/>
            </w:rPr>
          </w:pPr>
        </w:p>
        <w:p w14:paraId="1D3763C3" w14:textId="77777777" w:rsidR="007E7472" w:rsidRDefault="00EC1269">
          <w:pPr>
            <w:rPr>
              <w:rFonts w:cs="Arial"/>
            </w:rPr>
          </w:pPr>
          <w:r>
            <w:rPr>
              <w:rFonts w:cs="Arial" w:hint="eastAsia"/>
            </w:rPr>
            <w:t>其他说明：</w:t>
          </w:r>
        </w:p>
        <w:sdt>
          <w:sdtPr>
            <w:rPr>
              <w:rFonts w:cs="Arial"/>
            </w:rPr>
            <w:alias w:val="是否适用：重要的非全资子公司其他说明[双击切换]"/>
            <w:tag w:val="_GBC_c511ac7f8f1f42bfa9130e28b68d1f19"/>
            <w:id w:val="209772949"/>
            <w:lock w:val="sdtLocked"/>
            <w:placeholder>
              <w:docPart w:val="GBC22222222222222222222222222222"/>
            </w:placeholder>
          </w:sdtPr>
          <w:sdtEndPr/>
          <w:sdtContent>
            <w:p w14:paraId="70FAE2DD" w14:textId="77777777" w:rsidR="007E7472" w:rsidRDefault="00EC1269">
              <w:pPr>
                <w:rPr>
                  <w:rFonts w:cs="Arial"/>
                </w:rPr>
              </w:pPr>
              <w:r>
                <w:rPr>
                  <w:rFonts w:cs="Arial"/>
                </w:rPr>
                <w:fldChar w:fldCharType="begin"/>
              </w:r>
              <w:r>
                <w:rPr>
                  <w:rFonts w:cs="Arial"/>
                </w:rPr>
                <w:instrText xml:space="preserve"> MACROBUTTON  SnrToggleCheckbox □适用 </w:instrText>
              </w:r>
              <w:r>
                <w:rPr>
                  <w:rFonts w:cs="Arial"/>
                </w:rPr>
                <w:fldChar w:fldCharType="end"/>
              </w:r>
              <w:r>
                <w:rPr>
                  <w:rFonts w:cs="Arial"/>
                </w:rPr>
                <w:fldChar w:fldCharType="begin"/>
              </w:r>
              <w:r>
                <w:rPr>
                  <w:rFonts w:cs="Arial"/>
                </w:rPr>
                <w:instrText xml:space="preserve"> MACROBUTTON  SnrToggleCheckbox √不适用 </w:instrText>
              </w:r>
              <w:r>
                <w:rPr>
                  <w:rFonts w:cs="Arial"/>
                </w:rPr>
                <w:fldChar w:fldCharType="end"/>
              </w:r>
            </w:p>
          </w:sdtContent>
        </w:sdt>
      </w:sdtContent>
    </w:sdt>
    <w:p w14:paraId="63DE2CDF" w14:textId="77777777" w:rsidR="007E7472" w:rsidRDefault="00C8327E">
      <w:pPr>
        <w:rPr>
          <w:rFonts w:cs="Arial"/>
        </w:rPr>
        <w:sectPr w:rsidR="007E7472">
          <w:pgSz w:w="11906" w:h="16838"/>
          <w:pgMar w:top="1525" w:right="1276" w:bottom="1440" w:left="1797" w:header="856" w:footer="992" w:gutter="0"/>
          <w:cols w:space="425"/>
          <w:docGrid w:linePitch="312"/>
        </w:sectPr>
      </w:pPr>
    </w:p>
    <w:p w14:paraId="5D6C5920" w14:textId="77777777" w:rsidR="007E7472" w:rsidRDefault="00C8327E">
      <w:pPr>
        <w:rPr>
          <w:rFonts w:cs="Arial"/>
        </w:rPr>
      </w:pPr>
    </w:p>
    <w:sdt>
      <w:sdtPr>
        <w:rPr>
          <w:rFonts w:ascii="宋体" w:hAnsi="宋体" w:cs="Arial" w:hint="eastAsia"/>
          <w:b w:val="0"/>
          <w:bCs w:val="0"/>
          <w:kern w:val="0"/>
          <w:szCs w:val="21"/>
        </w:rPr>
        <w:alias w:val="模块:重要非全资子公司的主要财务信息"/>
        <w:tag w:val="_GBC_501222dd8f884fabbdeaec6fe7e79709"/>
        <w:id w:val="378216524"/>
        <w:lock w:val="sdtLocked"/>
        <w:placeholder>
          <w:docPart w:val="GBC22222222222222222222222222222"/>
        </w:placeholder>
      </w:sdtPr>
      <w:sdtEndPr>
        <w:rPr>
          <w:rFonts w:hint="default"/>
        </w:rPr>
      </w:sdtEndPr>
      <w:sdtContent>
        <w:p w14:paraId="20A412F8" w14:textId="77777777" w:rsidR="007E7472" w:rsidRDefault="00EC1269" w:rsidP="00162493">
          <w:pPr>
            <w:pStyle w:val="4"/>
            <w:numPr>
              <w:ilvl w:val="0"/>
              <w:numId w:val="103"/>
            </w:numPr>
            <w:rPr>
              <w:rFonts w:cs="Arial"/>
            </w:rPr>
          </w:pPr>
          <w:r>
            <w:rPr>
              <w:rFonts w:cs="Arial" w:hint="eastAsia"/>
            </w:rPr>
            <w:t>重要非全资子公司的主要财务信息</w:t>
          </w:r>
        </w:p>
        <w:sdt>
          <w:sdtPr>
            <w:alias w:val="是否适用：重要非全资子公司的主要财务信息[双击切换]"/>
            <w:tag w:val="_GBC_c10a7c42e39b4ac9a711e2e9d367799e"/>
            <w:id w:val="1913815110"/>
            <w:lock w:val="sdtLocked"/>
            <w:placeholder>
              <w:docPart w:val="GBC22222222222222222222222222222"/>
            </w:placeholder>
          </w:sdtPr>
          <w:sdtEndPr/>
          <w:sdtContent>
            <w:p w14:paraId="51786E9D"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438518F" w14:textId="2EB3F859" w:rsidR="007E7472" w:rsidRDefault="00EC1269">
          <w:pPr>
            <w:jc w:val="right"/>
          </w:pPr>
          <w:r>
            <w:rPr>
              <w:rFonts w:hint="eastAsia"/>
            </w:rPr>
            <w:t>单位：</w:t>
          </w:r>
          <w:sdt>
            <w:sdtPr>
              <w:rPr>
                <w:rFonts w:hint="eastAsia"/>
              </w:rPr>
              <w:alias w:val="单位：财务附注：重要非全资子公司的主要财务信息"/>
              <w:tag w:val="_GBC_ba918360b15748859fb63cacad1f617d"/>
              <w:id w:val="12187057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重要非全资子公司的主要财务信息"/>
              <w:tag w:val="_GBC_af5cc4f1e7a74e3d8f9c9fea25fdf05f"/>
              <w:id w:val="14401067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ook w:val="04A0" w:firstRow="1" w:lastRow="0" w:firstColumn="1" w:lastColumn="0" w:noHBand="0" w:noVBand="1"/>
          </w:tblPr>
          <w:tblGrid>
            <w:gridCol w:w="1066"/>
            <w:gridCol w:w="1066"/>
            <w:gridCol w:w="1066"/>
            <w:gridCol w:w="1066"/>
            <w:gridCol w:w="1066"/>
            <w:gridCol w:w="1066"/>
            <w:gridCol w:w="1066"/>
            <w:gridCol w:w="1067"/>
            <w:gridCol w:w="1067"/>
            <w:gridCol w:w="1067"/>
            <w:gridCol w:w="1067"/>
            <w:gridCol w:w="1067"/>
            <w:gridCol w:w="1066"/>
          </w:tblGrid>
          <w:tr w:rsidR="007E7472" w14:paraId="42ABA060" w14:textId="77777777" w:rsidTr="00121636">
            <w:trPr>
              <w:trHeight w:val="241"/>
            </w:trPr>
            <w:sdt>
              <w:sdtPr>
                <w:tag w:val="_PLD_e65ae60c1beb4e5aa4e9c5250ffb188a"/>
                <w:id w:val="-1170483322"/>
                <w:lock w:val="sdtLocked"/>
              </w:sdtPr>
              <w:sdtEndPr/>
              <w:sdtContent>
                <w:tc>
                  <w:tcPr>
                    <w:tcW w:w="385" w:type="pct"/>
                    <w:vMerge w:val="restart"/>
                    <w:shd w:val="clear" w:color="auto" w:fill="auto"/>
                    <w:vAlign w:val="center"/>
                  </w:tcPr>
                  <w:p w14:paraId="4F9D8A3A" w14:textId="77777777" w:rsidR="007E7472" w:rsidRDefault="00EC1269">
                    <w:pPr>
                      <w:ind w:right="-16"/>
                      <w:jc w:val="center"/>
                      <w:rPr>
                        <w:rFonts w:cs="Arial"/>
                        <w:bCs/>
                      </w:rPr>
                    </w:pPr>
                    <w:r>
                      <w:rPr>
                        <w:rFonts w:cs="Arial" w:hint="eastAsia"/>
                        <w:lang w:val="en-GB"/>
                      </w:rPr>
                      <w:t>子公司名称</w:t>
                    </w:r>
                  </w:p>
                </w:tc>
              </w:sdtContent>
            </w:sdt>
            <w:sdt>
              <w:sdtPr>
                <w:tag w:val="_PLD_878e21e6ce5e466eb427e7200cc9e5bb"/>
                <w:id w:val="-1944527588"/>
                <w:lock w:val="sdtLocked"/>
              </w:sdtPr>
              <w:sdtEndPr/>
              <w:sdtContent>
                <w:tc>
                  <w:tcPr>
                    <w:tcW w:w="2307" w:type="pct"/>
                    <w:gridSpan w:val="6"/>
                    <w:shd w:val="clear" w:color="auto" w:fill="auto"/>
                    <w:vAlign w:val="center"/>
                  </w:tcPr>
                  <w:p w14:paraId="69CCC482" w14:textId="77777777" w:rsidR="007E7472" w:rsidRDefault="00EC1269">
                    <w:pPr>
                      <w:ind w:right="-16"/>
                      <w:jc w:val="center"/>
                      <w:rPr>
                        <w:rFonts w:cs="Arial"/>
                        <w:bCs/>
                      </w:rPr>
                    </w:pPr>
                    <w:r>
                      <w:rPr>
                        <w:rFonts w:cs="Arial" w:hint="eastAsia"/>
                        <w:lang w:val="en-GB"/>
                      </w:rPr>
                      <w:t>期末余额</w:t>
                    </w:r>
                  </w:p>
                </w:tc>
              </w:sdtContent>
            </w:sdt>
            <w:sdt>
              <w:sdtPr>
                <w:tag w:val="_PLD_86b93e4e78424106874bd84d54fb24df"/>
                <w:id w:val="-580062606"/>
                <w:lock w:val="sdtLocked"/>
              </w:sdtPr>
              <w:sdtEndPr/>
              <w:sdtContent>
                <w:tc>
                  <w:tcPr>
                    <w:tcW w:w="2307" w:type="pct"/>
                    <w:gridSpan w:val="6"/>
                    <w:shd w:val="clear" w:color="auto" w:fill="auto"/>
                    <w:vAlign w:val="center"/>
                  </w:tcPr>
                  <w:p w14:paraId="6F9BAF93" w14:textId="77777777" w:rsidR="007E7472" w:rsidRDefault="00EC1269">
                    <w:pPr>
                      <w:ind w:right="-16"/>
                      <w:jc w:val="center"/>
                      <w:rPr>
                        <w:rFonts w:cs="Arial"/>
                        <w:bCs/>
                      </w:rPr>
                    </w:pPr>
                    <w:r>
                      <w:rPr>
                        <w:rFonts w:cs="Arial" w:hint="eastAsia"/>
                        <w:lang w:val="en-GB"/>
                      </w:rPr>
                      <w:t>期初余额</w:t>
                    </w:r>
                  </w:p>
                </w:tc>
              </w:sdtContent>
            </w:sdt>
          </w:tr>
          <w:tr w:rsidR="007E7472" w14:paraId="3CCC516A" w14:textId="77777777" w:rsidTr="00121636">
            <w:trPr>
              <w:trHeight w:val="241"/>
            </w:trPr>
            <w:tc>
              <w:tcPr>
                <w:tcW w:w="385" w:type="pct"/>
                <w:vMerge/>
                <w:shd w:val="clear" w:color="auto" w:fill="auto"/>
                <w:vAlign w:val="center"/>
              </w:tcPr>
              <w:p w14:paraId="4D345406" w14:textId="77777777" w:rsidR="007E7472" w:rsidRDefault="00C8327E">
                <w:pPr>
                  <w:rPr>
                    <w:rFonts w:cs="Arial"/>
                    <w:bCs/>
                  </w:rPr>
                </w:pPr>
              </w:p>
            </w:tc>
            <w:sdt>
              <w:sdtPr>
                <w:tag w:val="_PLD_0154d63f3f2c482ebe0cf00460d87fbd"/>
                <w:id w:val="1678772714"/>
                <w:lock w:val="sdtLocked"/>
              </w:sdtPr>
              <w:sdtEndPr/>
              <w:sdtContent>
                <w:tc>
                  <w:tcPr>
                    <w:tcW w:w="385" w:type="pct"/>
                    <w:shd w:val="clear" w:color="auto" w:fill="auto"/>
                    <w:vAlign w:val="center"/>
                  </w:tcPr>
                  <w:p w14:paraId="6B883927" w14:textId="77777777" w:rsidR="007E7472" w:rsidRDefault="00EC1269">
                    <w:pPr>
                      <w:jc w:val="center"/>
                      <w:rPr>
                        <w:rFonts w:cs="Arial"/>
                      </w:rPr>
                    </w:pPr>
                    <w:r>
                      <w:rPr>
                        <w:rFonts w:cs="Arial" w:hint="eastAsia"/>
                        <w:lang w:val="en-GB"/>
                      </w:rPr>
                      <w:t>流动资产</w:t>
                    </w:r>
                  </w:p>
                </w:tc>
              </w:sdtContent>
            </w:sdt>
            <w:sdt>
              <w:sdtPr>
                <w:tag w:val="_PLD_0f817c02730447aca042c6a931d447e8"/>
                <w:id w:val="-1882314764"/>
                <w:lock w:val="sdtLocked"/>
              </w:sdtPr>
              <w:sdtEndPr/>
              <w:sdtContent>
                <w:tc>
                  <w:tcPr>
                    <w:tcW w:w="385" w:type="pct"/>
                    <w:shd w:val="clear" w:color="auto" w:fill="auto"/>
                    <w:vAlign w:val="center"/>
                  </w:tcPr>
                  <w:p w14:paraId="6405783D" w14:textId="77777777" w:rsidR="007E7472" w:rsidRDefault="00EC1269">
                    <w:pPr>
                      <w:ind w:left="-40" w:right="-97"/>
                      <w:jc w:val="center"/>
                      <w:rPr>
                        <w:rFonts w:cs="Arial"/>
                      </w:rPr>
                    </w:pPr>
                    <w:r>
                      <w:rPr>
                        <w:rFonts w:cs="Arial" w:hint="eastAsia"/>
                        <w:lang w:val="en-GB"/>
                      </w:rPr>
                      <w:t>非流动资产</w:t>
                    </w:r>
                  </w:p>
                </w:tc>
              </w:sdtContent>
            </w:sdt>
            <w:sdt>
              <w:sdtPr>
                <w:tag w:val="_PLD_553e0814e94f491784b88cc5aa7d6adb"/>
                <w:id w:val="-82313310"/>
                <w:lock w:val="sdtLocked"/>
              </w:sdtPr>
              <w:sdtEndPr/>
              <w:sdtContent>
                <w:tc>
                  <w:tcPr>
                    <w:tcW w:w="385" w:type="pct"/>
                    <w:shd w:val="clear" w:color="auto" w:fill="auto"/>
                    <w:vAlign w:val="center"/>
                  </w:tcPr>
                  <w:p w14:paraId="40E2ABBB" w14:textId="77777777" w:rsidR="007E7472" w:rsidRDefault="00EC1269">
                    <w:pPr>
                      <w:jc w:val="center"/>
                      <w:rPr>
                        <w:rFonts w:cs="Arial"/>
                      </w:rPr>
                    </w:pPr>
                    <w:r>
                      <w:rPr>
                        <w:rFonts w:cs="Arial" w:hint="eastAsia"/>
                        <w:lang w:val="en-GB"/>
                      </w:rPr>
                      <w:t>资产合计</w:t>
                    </w:r>
                  </w:p>
                </w:tc>
              </w:sdtContent>
            </w:sdt>
            <w:sdt>
              <w:sdtPr>
                <w:tag w:val="_PLD_3db84901ffa544afb174531f0384a82f"/>
                <w:id w:val="1733895075"/>
                <w:lock w:val="sdtLocked"/>
              </w:sdtPr>
              <w:sdtEndPr/>
              <w:sdtContent>
                <w:tc>
                  <w:tcPr>
                    <w:tcW w:w="385" w:type="pct"/>
                    <w:shd w:val="clear" w:color="auto" w:fill="auto"/>
                    <w:vAlign w:val="center"/>
                  </w:tcPr>
                  <w:p w14:paraId="52E2EA2B" w14:textId="77777777" w:rsidR="007E7472" w:rsidRDefault="00EC1269">
                    <w:pPr>
                      <w:jc w:val="center"/>
                      <w:rPr>
                        <w:rFonts w:cs="Arial"/>
                      </w:rPr>
                    </w:pPr>
                    <w:r>
                      <w:rPr>
                        <w:rFonts w:cs="Arial" w:hint="eastAsia"/>
                        <w:lang w:val="en-GB"/>
                      </w:rPr>
                      <w:t>流动负债</w:t>
                    </w:r>
                  </w:p>
                </w:tc>
              </w:sdtContent>
            </w:sdt>
            <w:sdt>
              <w:sdtPr>
                <w:tag w:val="_PLD_50c217cc437b4c3496e1aab622fba053"/>
                <w:id w:val="1657641734"/>
                <w:lock w:val="sdtLocked"/>
              </w:sdtPr>
              <w:sdtEndPr/>
              <w:sdtContent>
                <w:tc>
                  <w:tcPr>
                    <w:tcW w:w="385" w:type="pct"/>
                    <w:shd w:val="clear" w:color="auto" w:fill="auto"/>
                    <w:vAlign w:val="center"/>
                  </w:tcPr>
                  <w:p w14:paraId="663E472A" w14:textId="77777777" w:rsidR="007E7472" w:rsidRDefault="00EC1269">
                    <w:pPr>
                      <w:ind w:left="-40" w:right="-97"/>
                      <w:jc w:val="center"/>
                      <w:rPr>
                        <w:rFonts w:cs="Arial"/>
                      </w:rPr>
                    </w:pPr>
                    <w:r>
                      <w:rPr>
                        <w:rFonts w:cs="Arial" w:hint="eastAsia"/>
                        <w:lang w:val="en-GB"/>
                      </w:rPr>
                      <w:t>非流动负债</w:t>
                    </w:r>
                  </w:p>
                </w:tc>
              </w:sdtContent>
            </w:sdt>
            <w:sdt>
              <w:sdtPr>
                <w:tag w:val="_PLD_ccd9a8d3652e4485a763cfb37eb6fa37"/>
                <w:id w:val="-1990695808"/>
                <w:lock w:val="sdtLocked"/>
              </w:sdtPr>
              <w:sdtEndPr/>
              <w:sdtContent>
                <w:tc>
                  <w:tcPr>
                    <w:tcW w:w="385" w:type="pct"/>
                    <w:shd w:val="clear" w:color="auto" w:fill="auto"/>
                    <w:vAlign w:val="center"/>
                  </w:tcPr>
                  <w:p w14:paraId="7E3D0466" w14:textId="77777777" w:rsidR="007E7472" w:rsidRDefault="00EC1269">
                    <w:pPr>
                      <w:jc w:val="center"/>
                      <w:rPr>
                        <w:rFonts w:cs="Arial"/>
                      </w:rPr>
                    </w:pPr>
                    <w:r>
                      <w:rPr>
                        <w:rFonts w:cs="Arial" w:hint="eastAsia"/>
                        <w:lang w:val="en-GB"/>
                      </w:rPr>
                      <w:t>负债合计</w:t>
                    </w:r>
                  </w:p>
                </w:tc>
              </w:sdtContent>
            </w:sdt>
            <w:sdt>
              <w:sdtPr>
                <w:tag w:val="_PLD_ec07cd6513b74d49b586125d4b66dd0a"/>
                <w:id w:val="-469441447"/>
                <w:lock w:val="sdtLocked"/>
              </w:sdtPr>
              <w:sdtEndPr/>
              <w:sdtContent>
                <w:tc>
                  <w:tcPr>
                    <w:tcW w:w="385" w:type="pct"/>
                    <w:shd w:val="clear" w:color="auto" w:fill="auto"/>
                    <w:vAlign w:val="center"/>
                  </w:tcPr>
                  <w:p w14:paraId="05DEBDB6" w14:textId="77777777" w:rsidR="007E7472" w:rsidRDefault="00EC1269">
                    <w:pPr>
                      <w:jc w:val="center"/>
                      <w:rPr>
                        <w:rFonts w:cs="Arial"/>
                      </w:rPr>
                    </w:pPr>
                    <w:r>
                      <w:rPr>
                        <w:rFonts w:cs="Arial" w:hint="eastAsia"/>
                        <w:lang w:val="en-GB"/>
                      </w:rPr>
                      <w:t>流动资产</w:t>
                    </w:r>
                  </w:p>
                </w:tc>
              </w:sdtContent>
            </w:sdt>
            <w:sdt>
              <w:sdtPr>
                <w:tag w:val="_PLD_fb97ce65ab144768b4fb9978546fce37"/>
                <w:id w:val="-1487461787"/>
                <w:lock w:val="sdtLocked"/>
              </w:sdtPr>
              <w:sdtEndPr/>
              <w:sdtContent>
                <w:tc>
                  <w:tcPr>
                    <w:tcW w:w="385" w:type="pct"/>
                    <w:shd w:val="clear" w:color="auto" w:fill="auto"/>
                    <w:vAlign w:val="center"/>
                  </w:tcPr>
                  <w:p w14:paraId="4D209DF2" w14:textId="77777777" w:rsidR="007E7472" w:rsidRDefault="00EC1269">
                    <w:pPr>
                      <w:ind w:left="-40" w:right="-97"/>
                      <w:jc w:val="center"/>
                      <w:rPr>
                        <w:rFonts w:cs="Arial"/>
                      </w:rPr>
                    </w:pPr>
                    <w:r>
                      <w:rPr>
                        <w:rFonts w:cs="Arial" w:hint="eastAsia"/>
                        <w:lang w:val="en-GB"/>
                      </w:rPr>
                      <w:t>非流动资产</w:t>
                    </w:r>
                  </w:p>
                </w:tc>
              </w:sdtContent>
            </w:sdt>
            <w:sdt>
              <w:sdtPr>
                <w:tag w:val="_PLD_412845ecfd2e45e8ae03b43cf8ca32f4"/>
                <w:id w:val="-681505833"/>
                <w:lock w:val="sdtLocked"/>
              </w:sdtPr>
              <w:sdtEndPr/>
              <w:sdtContent>
                <w:tc>
                  <w:tcPr>
                    <w:tcW w:w="385" w:type="pct"/>
                    <w:shd w:val="clear" w:color="auto" w:fill="auto"/>
                    <w:vAlign w:val="center"/>
                  </w:tcPr>
                  <w:p w14:paraId="77583AE8" w14:textId="77777777" w:rsidR="007E7472" w:rsidRDefault="00EC1269">
                    <w:pPr>
                      <w:jc w:val="center"/>
                      <w:rPr>
                        <w:rFonts w:cs="Arial"/>
                      </w:rPr>
                    </w:pPr>
                    <w:r>
                      <w:rPr>
                        <w:rFonts w:cs="Arial" w:hint="eastAsia"/>
                        <w:lang w:val="en-GB"/>
                      </w:rPr>
                      <w:t>资产合计</w:t>
                    </w:r>
                  </w:p>
                </w:tc>
              </w:sdtContent>
            </w:sdt>
            <w:sdt>
              <w:sdtPr>
                <w:tag w:val="_PLD_2a24724c66b442e994f401266a55d5df"/>
                <w:id w:val="1881439319"/>
                <w:lock w:val="sdtLocked"/>
              </w:sdtPr>
              <w:sdtEndPr/>
              <w:sdtContent>
                <w:tc>
                  <w:tcPr>
                    <w:tcW w:w="385" w:type="pct"/>
                    <w:shd w:val="clear" w:color="auto" w:fill="auto"/>
                    <w:vAlign w:val="center"/>
                  </w:tcPr>
                  <w:p w14:paraId="0ED8C900" w14:textId="77777777" w:rsidR="007E7472" w:rsidRDefault="00EC1269">
                    <w:pPr>
                      <w:jc w:val="center"/>
                      <w:rPr>
                        <w:rFonts w:cs="Arial"/>
                      </w:rPr>
                    </w:pPr>
                    <w:r>
                      <w:rPr>
                        <w:rFonts w:cs="Arial" w:hint="eastAsia"/>
                        <w:lang w:val="en-GB"/>
                      </w:rPr>
                      <w:t>流动负债</w:t>
                    </w:r>
                  </w:p>
                </w:tc>
              </w:sdtContent>
            </w:sdt>
            <w:sdt>
              <w:sdtPr>
                <w:tag w:val="_PLD_937f557a5cdb4ea99a0a914e755f781f"/>
                <w:id w:val="1779520992"/>
                <w:lock w:val="sdtLocked"/>
              </w:sdtPr>
              <w:sdtEndPr/>
              <w:sdtContent>
                <w:tc>
                  <w:tcPr>
                    <w:tcW w:w="385" w:type="pct"/>
                    <w:shd w:val="clear" w:color="auto" w:fill="auto"/>
                    <w:vAlign w:val="center"/>
                  </w:tcPr>
                  <w:p w14:paraId="2DA3BC13" w14:textId="77777777" w:rsidR="007E7472" w:rsidRDefault="00EC1269">
                    <w:pPr>
                      <w:ind w:left="-40" w:right="-97"/>
                      <w:jc w:val="center"/>
                      <w:rPr>
                        <w:rFonts w:cs="Arial"/>
                      </w:rPr>
                    </w:pPr>
                    <w:r>
                      <w:rPr>
                        <w:rFonts w:cs="Arial" w:hint="eastAsia"/>
                        <w:lang w:val="en-GB"/>
                      </w:rPr>
                      <w:t>非流动负债</w:t>
                    </w:r>
                  </w:p>
                </w:tc>
              </w:sdtContent>
            </w:sdt>
            <w:sdt>
              <w:sdtPr>
                <w:tag w:val="_PLD_c4b998a44f394e1eb0924a4f19409ff8"/>
                <w:id w:val="-1147666495"/>
                <w:lock w:val="sdtLocked"/>
              </w:sdtPr>
              <w:sdtEndPr/>
              <w:sdtContent>
                <w:tc>
                  <w:tcPr>
                    <w:tcW w:w="385" w:type="pct"/>
                    <w:shd w:val="clear" w:color="auto" w:fill="auto"/>
                    <w:vAlign w:val="center"/>
                  </w:tcPr>
                  <w:p w14:paraId="7D72EBC8" w14:textId="77777777" w:rsidR="007E7472" w:rsidRDefault="00EC1269">
                    <w:pPr>
                      <w:jc w:val="center"/>
                      <w:rPr>
                        <w:rFonts w:cs="Arial"/>
                      </w:rPr>
                    </w:pPr>
                    <w:r>
                      <w:rPr>
                        <w:rFonts w:cs="Arial" w:hint="eastAsia"/>
                        <w:lang w:val="en-GB"/>
                      </w:rPr>
                      <w:t>负债合计</w:t>
                    </w:r>
                  </w:p>
                </w:tc>
              </w:sdtContent>
            </w:sdt>
          </w:tr>
          <w:sdt>
            <w:sdtPr>
              <w:alias w:val="重要非全资子公司的主要财务信息明细"/>
              <w:tag w:val="_GBC_feef0d2d67a84217a9099e634bb2d3df"/>
              <w:id w:val="-130177492"/>
              <w:lock w:val="sdtLocked"/>
              <w:placeholder>
                <w:docPart w:val="GBC11111111111111111111111111111"/>
              </w:placeholder>
            </w:sdtPr>
            <w:sdtEndPr>
              <w:rPr>
                <w:spacing w:val="-20"/>
              </w:rPr>
            </w:sdtEndPr>
            <w:sdtContent>
              <w:tr w:rsidR="007E7472" w14:paraId="08ED4493" w14:textId="77777777" w:rsidTr="00121636">
                <w:tc>
                  <w:tcPr>
                    <w:tcW w:w="385" w:type="pct"/>
                  </w:tcPr>
                  <w:p w14:paraId="055C2FCB" w14:textId="77777777" w:rsidR="007E7472" w:rsidRDefault="00EC1269">
                    <w:r>
                      <w:rPr>
                        <w:rFonts w:hint="eastAsia"/>
                      </w:rPr>
                      <w:t>菏泽能化</w:t>
                    </w:r>
                  </w:p>
                </w:tc>
                <w:tc>
                  <w:tcPr>
                    <w:tcW w:w="385" w:type="pct"/>
                  </w:tcPr>
                  <w:p w14:paraId="3CA241E2" w14:textId="77777777" w:rsidR="007E7472" w:rsidRDefault="00EC1269">
                    <w:pPr>
                      <w:jc w:val="right"/>
                      <w:rPr>
                        <w:spacing w:val="-20"/>
                      </w:rPr>
                    </w:pPr>
                    <w:r>
                      <w:rPr>
                        <w:spacing w:val="-20"/>
                      </w:rPr>
                      <w:t>5,947,872</w:t>
                    </w:r>
                  </w:p>
                </w:tc>
                <w:tc>
                  <w:tcPr>
                    <w:tcW w:w="385" w:type="pct"/>
                  </w:tcPr>
                  <w:p w14:paraId="37C64B5A" w14:textId="77777777" w:rsidR="007E7472" w:rsidRDefault="00EC1269">
                    <w:pPr>
                      <w:jc w:val="right"/>
                      <w:rPr>
                        <w:spacing w:val="-20"/>
                      </w:rPr>
                    </w:pPr>
                    <w:r>
                      <w:rPr>
                        <w:spacing w:val="-20"/>
                      </w:rPr>
                      <w:t>9,380,700</w:t>
                    </w:r>
                  </w:p>
                </w:tc>
                <w:tc>
                  <w:tcPr>
                    <w:tcW w:w="385" w:type="pct"/>
                  </w:tcPr>
                  <w:p w14:paraId="4D4583C7" w14:textId="77777777" w:rsidR="007E7472" w:rsidRDefault="00EC1269">
                    <w:pPr>
                      <w:jc w:val="right"/>
                      <w:rPr>
                        <w:spacing w:val="-20"/>
                      </w:rPr>
                    </w:pPr>
                    <w:r>
                      <w:rPr>
                        <w:spacing w:val="-20"/>
                      </w:rPr>
                      <w:t>15,328,572</w:t>
                    </w:r>
                  </w:p>
                </w:tc>
                <w:tc>
                  <w:tcPr>
                    <w:tcW w:w="385" w:type="pct"/>
                  </w:tcPr>
                  <w:p w14:paraId="7EDD3917" w14:textId="77777777" w:rsidR="007E7472" w:rsidRDefault="00EC1269">
                    <w:pPr>
                      <w:jc w:val="right"/>
                      <w:rPr>
                        <w:spacing w:val="-20"/>
                      </w:rPr>
                    </w:pPr>
                    <w:r>
                      <w:rPr>
                        <w:spacing w:val="-20"/>
                      </w:rPr>
                      <w:t>951,511</w:t>
                    </w:r>
                  </w:p>
                </w:tc>
                <w:tc>
                  <w:tcPr>
                    <w:tcW w:w="385" w:type="pct"/>
                  </w:tcPr>
                  <w:p w14:paraId="07E4125B" w14:textId="77777777" w:rsidR="007E7472" w:rsidRDefault="00EC1269">
                    <w:pPr>
                      <w:jc w:val="right"/>
                      <w:rPr>
                        <w:spacing w:val="-20"/>
                      </w:rPr>
                    </w:pPr>
                    <w:r>
                      <w:rPr>
                        <w:spacing w:val="-20"/>
                      </w:rPr>
                      <w:t>3,855,322</w:t>
                    </w:r>
                  </w:p>
                </w:tc>
                <w:tc>
                  <w:tcPr>
                    <w:tcW w:w="385" w:type="pct"/>
                  </w:tcPr>
                  <w:p w14:paraId="53A0EF38" w14:textId="77777777" w:rsidR="007E7472" w:rsidRDefault="00EC1269">
                    <w:pPr>
                      <w:jc w:val="right"/>
                      <w:rPr>
                        <w:spacing w:val="-20"/>
                      </w:rPr>
                    </w:pPr>
                    <w:r>
                      <w:rPr>
                        <w:spacing w:val="-20"/>
                      </w:rPr>
                      <w:t>4,806,833</w:t>
                    </w:r>
                  </w:p>
                </w:tc>
                <w:tc>
                  <w:tcPr>
                    <w:tcW w:w="385" w:type="pct"/>
                  </w:tcPr>
                  <w:p w14:paraId="60062018" w14:textId="77777777" w:rsidR="007E7472" w:rsidRDefault="00EC1269">
                    <w:pPr>
                      <w:jc w:val="right"/>
                      <w:rPr>
                        <w:spacing w:val="-20"/>
                      </w:rPr>
                    </w:pPr>
                    <w:r>
                      <w:rPr>
                        <w:spacing w:val="-20"/>
                      </w:rPr>
                      <w:t>4,788,247</w:t>
                    </w:r>
                  </w:p>
                </w:tc>
                <w:tc>
                  <w:tcPr>
                    <w:tcW w:w="385" w:type="pct"/>
                  </w:tcPr>
                  <w:p w14:paraId="660A1002" w14:textId="77777777" w:rsidR="007E7472" w:rsidRDefault="00EC1269">
                    <w:pPr>
                      <w:jc w:val="right"/>
                      <w:rPr>
                        <w:spacing w:val="-20"/>
                      </w:rPr>
                    </w:pPr>
                    <w:r>
                      <w:rPr>
                        <w:spacing w:val="-20"/>
                      </w:rPr>
                      <w:t>9,363,820</w:t>
                    </w:r>
                  </w:p>
                </w:tc>
                <w:tc>
                  <w:tcPr>
                    <w:tcW w:w="385" w:type="pct"/>
                  </w:tcPr>
                  <w:p w14:paraId="2B150E05" w14:textId="77777777" w:rsidR="007E7472" w:rsidRDefault="00EC1269">
                    <w:pPr>
                      <w:jc w:val="right"/>
                      <w:rPr>
                        <w:spacing w:val="-20"/>
                      </w:rPr>
                    </w:pPr>
                    <w:r>
                      <w:rPr>
                        <w:spacing w:val="-20"/>
                      </w:rPr>
                      <w:t>14,152,067</w:t>
                    </w:r>
                  </w:p>
                </w:tc>
                <w:tc>
                  <w:tcPr>
                    <w:tcW w:w="385" w:type="pct"/>
                  </w:tcPr>
                  <w:p w14:paraId="61C7A1DE" w14:textId="77777777" w:rsidR="007E7472" w:rsidRDefault="00EC1269">
                    <w:pPr>
                      <w:jc w:val="right"/>
                      <w:rPr>
                        <w:spacing w:val="-20"/>
                      </w:rPr>
                    </w:pPr>
                    <w:r>
                      <w:rPr>
                        <w:spacing w:val="-20"/>
                      </w:rPr>
                      <w:t>872,809</w:t>
                    </w:r>
                  </w:p>
                </w:tc>
                <w:tc>
                  <w:tcPr>
                    <w:tcW w:w="385" w:type="pct"/>
                  </w:tcPr>
                  <w:p w14:paraId="4299A980" w14:textId="77777777" w:rsidR="007E7472" w:rsidRDefault="00EC1269">
                    <w:pPr>
                      <w:jc w:val="right"/>
                      <w:rPr>
                        <w:spacing w:val="-20"/>
                      </w:rPr>
                    </w:pPr>
                    <w:r>
                      <w:rPr>
                        <w:spacing w:val="-20"/>
                      </w:rPr>
                      <w:t>3,359,594</w:t>
                    </w:r>
                  </w:p>
                </w:tc>
                <w:tc>
                  <w:tcPr>
                    <w:tcW w:w="385" w:type="pct"/>
                  </w:tcPr>
                  <w:p w14:paraId="1C0863E7" w14:textId="77777777" w:rsidR="007E7472" w:rsidRDefault="00EC1269">
                    <w:pPr>
                      <w:jc w:val="right"/>
                      <w:rPr>
                        <w:spacing w:val="-20"/>
                      </w:rPr>
                    </w:pPr>
                    <w:r>
                      <w:rPr>
                        <w:spacing w:val="-20"/>
                      </w:rPr>
                      <w:t>4,232,403</w:t>
                    </w:r>
                  </w:p>
                </w:tc>
              </w:tr>
            </w:sdtContent>
          </w:sdt>
          <w:sdt>
            <w:sdtPr>
              <w:alias w:val="重要非全资子公司的主要财务信息明细"/>
              <w:tag w:val="_GBC_feef0d2d67a84217a9099e634bb2d3df"/>
              <w:id w:val="1397930410"/>
              <w:lock w:val="sdtLocked"/>
              <w:placeholder>
                <w:docPart w:val="GBC11111111111111111111111111111"/>
              </w:placeholder>
            </w:sdtPr>
            <w:sdtEndPr>
              <w:rPr>
                <w:spacing w:val="-20"/>
              </w:rPr>
            </w:sdtEndPr>
            <w:sdtContent>
              <w:tr w:rsidR="007E7472" w14:paraId="6EA4AB89" w14:textId="77777777" w:rsidTr="00121636">
                <w:tc>
                  <w:tcPr>
                    <w:tcW w:w="385" w:type="pct"/>
                  </w:tcPr>
                  <w:p w14:paraId="116C82F6" w14:textId="77777777" w:rsidR="007E7472" w:rsidRDefault="00EC1269">
                    <w:r>
                      <w:rPr>
                        <w:rFonts w:hint="eastAsia"/>
                      </w:rPr>
                      <w:t>澳洲公司</w:t>
                    </w:r>
                  </w:p>
                </w:tc>
                <w:tc>
                  <w:tcPr>
                    <w:tcW w:w="385" w:type="pct"/>
                  </w:tcPr>
                  <w:p w14:paraId="0AE8DCC1" w14:textId="77777777" w:rsidR="007E7472" w:rsidRDefault="00EC1269">
                    <w:pPr>
                      <w:jc w:val="right"/>
                      <w:rPr>
                        <w:spacing w:val="-20"/>
                      </w:rPr>
                    </w:pPr>
                    <w:r>
                      <w:rPr>
                        <w:spacing w:val="-20"/>
                      </w:rPr>
                      <w:t>9,790,308</w:t>
                    </w:r>
                  </w:p>
                </w:tc>
                <w:tc>
                  <w:tcPr>
                    <w:tcW w:w="385" w:type="pct"/>
                  </w:tcPr>
                  <w:p w14:paraId="2269933C" w14:textId="77777777" w:rsidR="007E7472" w:rsidRDefault="00EC1269">
                    <w:pPr>
                      <w:jc w:val="right"/>
                      <w:rPr>
                        <w:spacing w:val="-20"/>
                      </w:rPr>
                    </w:pPr>
                    <w:r>
                      <w:rPr>
                        <w:spacing w:val="-20"/>
                      </w:rPr>
                      <w:t>42,503,802</w:t>
                    </w:r>
                  </w:p>
                </w:tc>
                <w:tc>
                  <w:tcPr>
                    <w:tcW w:w="385" w:type="pct"/>
                  </w:tcPr>
                  <w:p w14:paraId="47422456" w14:textId="77777777" w:rsidR="007E7472" w:rsidRDefault="00EC1269">
                    <w:pPr>
                      <w:jc w:val="right"/>
                      <w:rPr>
                        <w:spacing w:val="-20"/>
                      </w:rPr>
                    </w:pPr>
                    <w:r>
                      <w:rPr>
                        <w:spacing w:val="-20"/>
                      </w:rPr>
                      <w:t>52,294,110</w:t>
                    </w:r>
                  </w:p>
                </w:tc>
                <w:tc>
                  <w:tcPr>
                    <w:tcW w:w="385" w:type="pct"/>
                  </w:tcPr>
                  <w:p w14:paraId="4F78D248" w14:textId="77777777" w:rsidR="007E7472" w:rsidRDefault="00EC1269">
                    <w:pPr>
                      <w:jc w:val="right"/>
                      <w:rPr>
                        <w:spacing w:val="-20"/>
                      </w:rPr>
                    </w:pPr>
                    <w:r>
                      <w:rPr>
                        <w:spacing w:val="-20"/>
                      </w:rPr>
                      <w:t>5,469,551</w:t>
                    </w:r>
                  </w:p>
                </w:tc>
                <w:tc>
                  <w:tcPr>
                    <w:tcW w:w="385" w:type="pct"/>
                  </w:tcPr>
                  <w:p w14:paraId="6927E23B" w14:textId="77777777" w:rsidR="007E7472" w:rsidRDefault="00EC1269">
                    <w:pPr>
                      <w:jc w:val="right"/>
                      <w:rPr>
                        <w:spacing w:val="-20"/>
                      </w:rPr>
                    </w:pPr>
                    <w:r>
                      <w:rPr>
                        <w:spacing w:val="-20"/>
                      </w:rPr>
                      <w:t>7,977,363</w:t>
                    </w:r>
                  </w:p>
                </w:tc>
                <w:tc>
                  <w:tcPr>
                    <w:tcW w:w="385" w:type="pct"/>
                  </w:tcPr>
                  <w:p w14:paraId="3A1ED59D" w14:textId="77777777" w:rsidR="007E7472" w:rsidRDefault="00EC1269">
                    <w:pPr>
                      <w:jc w:val="right"/>
                      <w:rPr>
                        <w:spacing w:val="-20"/>
                      </w:rPr>
                    </w:pPr>
                    <w:r>
                      <w:rPr>
                        <w:spacing w:val="-20"/>
                      </w:rPr>
                      <w:t>13,446,914</w:t>
                    </w:r>
                  </w:p>
                </w:tc>
                <w:tc>
                  <w:tcPr>
                    <w:tcW w:w="385" w:type="pct"/>
                  </w:tcPr>
                  <w:p w14:paraId="4BF5BC41" w14:textId="77777777" w:rsidR="007E7472" w:rsidRDefault="00EC1269">
                    <w:pPr>
                      <w:jc w:val="right"/>
                      <w:rPr>
                        <w:spacing w:val="-20"/>
                      </w:rPr>
                    </w:pPr>
                    <w:r>
                      <w:rPr>
                        <w:spacing w:val="-20"/>
                      </w:rPr>
                      <w:t>17,637,836</w:t>
                    </w:r>
                  </w:p>
                </w:tc>
                <w:tc>
                  <w:tcPr>
                    <w:tcW w:w="385" w:type="pct"/>
                  </w:tcPr>
                  <w:p w14:paraId="2D43E9BF" w14:textId="77777777" w:rsidR="007E7472" w:rsidRDefault="00EC1269">
                    <w:pPr>
                      <w:jc w:val="right"/>
                      <w:rPr>
                        <w:spacing w:val="-20"/>
                      </w:rPr>
                    </w:pPr>
                    <w:r>
                      <w:rPr>
                        <w:spacing w:val="-20"/>
                      </w:rPr>
                      <w:t>42,378,058</w:t>
                    </w:r>
                  </w:p>
                </w:tc>
                <w:tc>
                  <w:tcPr>
                    <w:tcW w:w="385" w:type="pct"/>
                  </w:tcPr>
                  <w:p w14:paraId="216B1FF4" w14:textId="77777777" w:rsidR="007E7472" w:rsidRDefault="00EC1269">
                    <w:pPr>
                      <w:jc w:val="right"/>
                      <w:rPr>
                        <w:spacing w:val="-20"/>
                      </w:rPr>
                    </w:pPr>
                    <w:r>
                      <w:rPr>
                        <w:spacing w:val="-20"/>
                      </w:rPr>
                      <w:t>60,015,894</w:t>
                    </w:r>
                  </w:p>
                </w:tc>
                <w:tc>
                  <w:tcPr>
                    <w:tcW w:w="385" w:type="pct"/>
                  </w:tcPr>
                  <w:p w14:paraId="25B585C5" w14:textId="77777777" w:rsidR="007E7472" w:rsidRDefault="00EC1269">
                    <w:pPr>
                      <w:jc w:val="right"/>
                      <w:rPr>
                        <w:spacing w:val="-20"/>
                      </w:rPr>
                    </w:pPr>
                    <w:r>
                      <w:rPr>
                        <w:spacing w:val="-20"/>
                      </w:rPr>
                      <w:t>11,947,107</w:t>
                    </w:r>
                  </w:p>
                </w:tc>
                <w:tc>
                  <w:tcPr>
                    <w:tcW w:w="385" w:type="pct"/>
                  </w:tcPr>
                  <w:p w14:paraId="3FD99DE6" w14:textId="77777777" w:rsidR="007E7472" w:rsidRDefault="00EC1269">
                    <w:pPr>
                      <w:jc w:val="right"/>
                      <w:rPr>
                        <w:spacing w:val="-20"/>
                      </w:rPr>
                    </w:pPr>
                    <w:r>
                      <w:rPr>
                        <w:spacing w:val="-20"/>
                      </w:rPr>
                      <w:t>10,210,293</w:t>
                    </w:r>
                  </w:p>
                </w:tc>
                <w:tc>
                  <w:tcPr>
                    <w:tcW w:w="385" w:type="pct"/>
                  </w:tcPr>
                  <w:p w14:paraId="1A8B5766" w14:textId="77777777" w:rsidR="007E7472" w:rsidRDefault="00EC1269">
                    <w:pPr>
                      <w:jc w:val="right"/>
                      <w:rPr>
                        <w:spacing w:val="-20"/>
                      </w:rPr>
                    </w:pPr>
                    <w:r>
                      <w:rPr>
                        <w:spacing w:val="-20"/>
                      </w:rPr>
                      <w:t>22,157,400</w:t>
                    </w:r>
                  </w:p>
                </w:tc>
              </w:tr>
            </w:sdtContent>
          </w:sdt>
          <w:sdt>
            <w:sdtPr>
              <w:alias w:val="重要非全资子公司的主要财务信息明细"/>
              <w:tag w:val="_GBC_feef0d2d67a84217a9099e634bb2d3df"/>
              <w:id w:val="385994226"/>
              <w:lock w:val="sdtLocked"/>
            </w:sdtPr>
            <w:sdtEndPr>
              <w:rPr>
                <w:spacing w:val="-20"/>
              </w:rPr>
            </w:sdtEndPr>
            <w:sdtContent>
              <w:tr w:rsidR="007E7472" w14:paraId="7355D57E" w14:textId="77777777" w:rsidTr="00121636">
                <w:tc>
                  <w:tcPr>
                    <w:tcW w:w="385" w:type="pct"/>
                  </w:tcPr>
                  <w:p w14:paraId="3E558B8C" w14:textId="77777777" w:rsidR="007E7472" w:rsidRDefault="00EC1269">
                    <w:r>
                      <w:rPr>
                        <w:rFonts w:hint="eastAsia"/>
                      </w:rPr>
                      <w:t>昊盛公司</w:t>
                    </w:r>
                  </w:p>
                </w:tc>
                <w:tc>
                  <w:tcPr>
                    <w:tcW w:w="385" w:type="pct"/>
                  </w:tcPr>
                  <w:p w14:paraId="72D75F89" w14:textId="77777777" w:rsidR="007E7472" w:rsidRDefault="00EC1269">
                    <w:pPr>
                      <w:jc w:val="right"/>
                      <w:rPr>
                        <w:spacing w:val="-20"/>
                      </w:rPr>
                    </w:pPr>
                    <w:r>
                      <w:rPr>
                        <w:spacing w:val="-20"/>
                      </w:rPr>
                      <w:t>2,874,414</w:t>
                    </w:r>
                  </w:p>
                </w:tc>
                <w:tc>
                  <w:tcPr>
                    <w:tcW w:w="385" w:type="pct"/>
                  </w:tcPr>
                  <w:p w14:paraId="4B78F744" w14:textId="77777777" w:rsidR="007E7472" w:rsidRDefault="00EC1269">
                    <w:pPr>
                      <w:jc w:val="right"/>
                      <w:rPr>
                        <w:spacing w:val="-20"/>
                      </w:rPr>
                    </w:pPr>
                    <w:r>
                      <w:rPr>
                        <w:spacing w:val="-20"/>
                      </w:rPr>
                      <w:t>22,262,349</w:t>
                    </w:r>
                  </w:p>
                </w:tc>
                <w:tc>
                  <w:tcPr>
                    <w:tcW w:w="385" w:type="pct"/>
                  </w:tcPr>
                  <w:p w14:paraId="7AB2C623" w14:textId="77777777" w:rsidR="007E7472" w:rsidRDefault="00EC1269">
                    <w:pPr>
                      <w:jc w:val="right"/>
                      <w:rPr>
                        <w:spacing w:val="-20"/>
                      </w:rPr>
                    </w:pPr>
                    <w:r>
                      <w:rPr>
                        <w:spacing w:val="-20"/>
                      </w:rPr>
                      <w:t>25,136,763</w:t>
                    </w:r>
                  </w:p>
                </w:tc>
                <w:tc>
                  <w:tcPr>
                    <w:tcW w:w="385" w:type="pct"/>
                  </w:tcPr>
                  <w:p w14:paraId="37683622" w14:textId="77777777" w:rsidR="007E7472" w:rsidRDefault="00EC1269">
                    <w:pPr>
                      <w:jc w:val="right"/>
                      <w:rPr>
                        <w:spacing w:val="-20"/>
                      </w:rPr>
                    </w:pPr>
                    <w:r>
                      <w:rPr>
                        <w:spacing w:val="-20"/>
                      </w:rPr>
                      <w:t>6,471,550</w:t>
                    </w:r>
                  </w:p>
                </w:tc>
                <w:tc>
                  <w:tcPr>
                    <w:tcW w:w="385" w:type="pct"/>
                  </w:tcPr>
                  <w:p w14:paraId="33F19549" w14:textId="77777777" w:rsidR="007E7472" w:rsidRDefault="00EC1269">
                    <w:pPr>
                      <w:jc w:val="right"/>
                      <w:rPr>
                        <w:spacing w:val="-20"/>
                      </w:rPr>
                    </w:pPr>
                    <w:r>
                      <w:rPr>
                        <w:spacing w:val="-20"/>
                      </w:rPr>
                      <w:t>6,020,751</w:t>
                    </w:r>
                  </w:p>
                </w:tc>
                <w:tc>
                  <w:tcPr>
                    <w:tcW w:w="385" w:type="pct"/>
                  </w:tcPr>
                  <w:p w14:paraId="55F8F0AD" w14:textId="77777777" w:rsidR="007E7472" w:rsidRDefault="00EC1269">
                    <w:pPr>
                      <w:jc w:val="right"/>
                      <w:rPr>
                        <w:spacing w:val="-20"/>
                      </w:rPr>
                    </w:pPr>
                    <w:r>
                      <w:rPr>
                        <w:spacing w:val="-20"/>
                      </w:rPr>
                      <w:t>12,492,301</w:t>
                    </w:r>
                  </w:p>
                </w:tc>
                <w:tc>
                  <w:tcPr>
                    <w:tcW w:w="385" w:type="pct"/>
                  </w:tcPr>
                  <w:p w14:paraId="4A3610E9" w14:textId="77777777" w:rsidR="007E7472" w:rsidRDefault="00EC1269">
                    <w:pPr>
                      <w:jc w:val="right"/>
                      <w:rPr>
                        <w:spacing w:val="-20"/>
                      </w:rPr>
                    </w:pPr>
                    <w:r>
                      <w:rPr>
                        <w:spacing w:val="-20"/>
                      </w:rPr>
                      <w:t>3,350,176</w:t>
                    </w:r>
                  </w:p>
                </w:tc>
                <w:tc>
                  <w:tcPr>
                    <w:tcW w:w="385" w:type="pct"/>
                  </w:tcPr>
                  <w:p w14:paraId="1733A259" w14:textId="77777777" w:rsidR="007E7472" w:rsidRDefault="00EC1269">
                    <w:pPr>
                      <w:jc w:val="right"/>
                      <w:rPr>
                        <w:spacing w:val="-20"/>
                      </w:rPr>
                    </w:pPr>
                    <w:r>
                      <w:rPr>
                        <w:spacing w:val="-20"/>
                      </w:rPr>
                      <w:t>22,322,376</w:t>
                    </w:r>
                  </w:p>
                </w:tc>
                <w:tc>
                  <w:tcPr>
                    <w:tcW w:w="385" w:type="pct"/>
                  </w:tcPr>
                  <w:p w14:paraId="32E7F2CB" w14:textId="77777777" w:rsidR="007E7472" w:rsidRDefault="00EC1269">
                    <w:pPr>
                      <w:jc w:val="right"/>
                      <w:rPr>
                        <w:spacing w:val="-20"/>
                      </w:rPr>
                    </w:pPr>
                    <w:r>
                      <w:rPr>
                        <w:spacing w:val="-20"/>
                      </w:rPr>
                      <w:t>25,672,552</w:t>
                    </w:r>
                  </w:p>
                </w:tc>
                <w:tc>
                  <w:tcPr>
                    <w:tcW w:w="385" w:type="pct"/>
                  </w:tcPr>
                  <w:p w14:paraId="075A3402" w14:textId="77777777" w:rsidR="007E7472" w:rsidRDefault="00EC1269">
                    <w:pPr>
                      <w:jc w:val="right"/>
                      <w:rPr>
                        <w:spacing w:val="-20"/>
                      </w:rPr>
                    </w:pPr>
                    <w:r>
                      <w:rPr>
                        <w:spacing w:val="-20"/>
                      </w:rPr>
                      <w:t>7,558,071</w:t>
                    </w:r>
                  </w:p>
                </w:tc>
                <w:tc>
                  <w:tcPr>
                    <w:tcW w:w="385" w:type="pct"/>
                  </w:tcPr>
                  <w:p w14:paraId="2A89F789" w14:textId="77777777" w:rsidR="007E7472" w:rsidRDefault="00EC1269">
                    <w:pPr>
                      <w:jc w:val="right"/>
                      <w:rPr>
                        <w:spacing w:val="-20"/>
                      </w:rPr>
                    </w:pPr>
                    <w:r>
                      <w:rPr>
                        <w:spacing w:val="-20"/>
                      </w:rPr>
                      <w:t>5,454,038</w:t>
                    </w:r>
                  </w:p>
                </w:tc>
                <w:tc>
                  <w:tcPr>
                    <w:tcW w:w="385" w:type="pct"/>
                  </w:tcPr>
                  <w:p w14:paraId="09EA0F33" w14:textId="77777777" w:rsidR="007E7472" w:rsidRDefault="00EC1269">
                    <w:pPr>
                      <w:jc w:val="right"/>
                      <w:rPr>
                        <w:spacing w:val="-20"/>
                      </w:rPr>
                    </w:pPr>
                    <w:r>
                      <w:rPr>
                        <w:spacing w:val="-20"/>
                      </w:rPr>
                      <w:t>13,012,109</w:t>
                    </w:r>
                  </w:p>
                </w:tc>
              </w:tr>
            </w:sdtContent>
          </w:sdt>
          <w:sdt>
            <w:sdtPr>
              <w:alias w:val="重要非全资子公司的主要财务信息明细"/>
              <w:tag w:val="_GBC_feef0d2d67a84217a9099e634bb2d3df"/>
              <w:id w:val="819845893"/>
              <w:lock w:val="sdtLocked"/>
            </w:sdtPr>
            <w:sdtEndPr>
              <w:rPr>
                <w:spacing w:val="-20"/>
              </w:rPr>
            </w:sdtEndPr>
            <w:sdtContent>
              <w:tr w:rsidR="007E7472" w14:paraId="6183AA38" w14:textId="77777777" w:rsidTr="00121636">
                <w:tc>
                  <w:tcPr>
                    <w:tcW w:w="385" w:type="pct"/>
                  </w:tcPr>
                  <w:p w14:paraId="3EEC24EE" w14:textId="77777777" w:rsidR="007E7472" w:rsidRDefault="00EC1269">
                    <w:r>
                      <w:rPr>
                        <w:rFonts w:hint="eastAsia"/>
                      </w:rPr>
                      <w:t>未来能源</w:t>
                    </w:r>
                  </w:p>
                </w:tc>
                <w:tc>
                  <w:tcPr>
                    <w:tcW w:w="385" w:type="pct"/>
                  </w:tcPr>
                  <w:p w14:paraId="04519681" w14:textId="77777777" w:rsidR="007E7472" w:rsidRDefault="00EC1269">
                    <w:pPr>
                      <w:jc w:val="right"/>
                      <w:rPr>
                        <w:spacing w:val="-20"/>
                      </w:rPr>
                    </w:pPr>
                    <w:r>
                      <w:rPr>
                        <w:spacing w:val="-20"/>
                      </w:rPr>
                      <w:t>14,132,588</w:t>
                    </w:r>
                  </w:p>
                </w:tc>
                <w:tc>
                  <w:tcPr>
                    <w:tcW w:w="385" w:type="pct"/>
                  </w:tcPr>
                  <w:p w14:paraId="490796C0" w14:textId="77777777" w:rsidR="007E7472" w:rsidRDefault="00EC1269">
                    <w:pPr>
                      <w:jc w:val="right"/>
                      <w:rPr>
                        <w:spacing w:val="-20"/>
                      </w:rPr>
                    </w:pPr>
                    <w:r>
                      <w:rPr>
                        <w:spacing w:val="-20"/>
                      </w:rPr>
                      <w:t>16,119,954</w:t>
                    </w:r>
                  </w:p>
                </w:tc>
                <w:tc>
                  <w:tcPr>
                    <w:tcW w:w="385" w:type="pct"/>
                  </w:tcPr>
                  <w:p w14:paraId="432F0CF4" w14:textId="77777777" w:rsidR="007E7472" w:rsidRDefault="00EC1269">
                    <w:pPr>
                      <w:jc w:val="right"/>
                      <w:rPr>
                        <w:spacing w:val="-20"/>
                      </w:rPr>
                    </w:pPr>
                    <w:r>
                      <w:rPr>
                        <w:spacing w:val="-20"/>
                      </w:rPr>
                      <w:t>30,252,542</w:t>
                    </w:r>
                  </w:p>
                </w:tc>
                <w:tc>
                  <w:tcPr>
                    <w:tcW w:w="385" w:type="pct"/>
                  </w:tcPr>
                  <w:p w14:paraId="7F10D83C" w14:textId="77777777" w:rsidR="007E7472" w:rsidRDefault="00EC1269">
                    <w:pPr>
                      <w:jc w:val="right"/>
                      <w:rPr>
                        <w:spacing w:val="-20"/>
                      </w:rPr>
                    </w:pPr>
                    <w:r>
                      <w:rPr>
                        <w:spacing w:val="-20"/>
                      </w:rPr>
                      <w:t>3,807,664</w:t>
                    </w:r>
                  </w:p>
                </w:tc>
                <w:tc>
                  <w:tcPr>
                    <w:tcW w:w="385" w:type="pct"/>
                  </w:tcPr>
                  <w:p w14:paraId="44446FB5" w14:textId="77777777" w:rsidR="007E7472" w:rsidRDefault="00EC1269">
                    <w:pPr>
                      <w:jc w:val="right"/>
                      <w:rPr>
                        <w:spacing w:val="-20"/>
                      </w:rPr>
                    </w:pPr>
                    <w:r>
                      <w:rPr>
                        <w:spacing w:val="-20"/>
                      </w:rPr>
                      <w:t>3,917,935</w:t>
                    </w:r>
                  </w:p>
                </w:tc>
                <w:tc>
                  <w:tcPr>
                    <w:tcW w:w="385" w:type="pct"/>
                  </w:tcPr>
                  <w:p w14:paraId="107E3A9D" w14:textId="77777777" w:rsidR="007E7472" w:rsidRDefault="00EC1269">
                    <w:pPr>
                      <w:jc w:val="right"/>
                      <w:rPr>
                        <w:spacing w:val="-20"/>
                      </w:rPr>
                    </w:pPr>
                    <w:r>
                      <w:rPr>
                        <w:spacing w:val="-20"/>
                      </w:rPr>
                      <w:t>7,725,599</w:t>
                    </w:r>
                  </w:p>
                </w:tc>
                <w:tc>
                  <w:tcPr>
                    <w:tcW w:w="385" w:type="pct"/>
                  </w:tcPr>
                  <w:p w14:paraId="559B53EE" w14:textId="77777777" w:rsidR="007E7472" w:rsidRDefault="00EC1269">
                    <w:pPr>
                      <w:jc w:val="right"/>
                      <w:rPr>
                        <w:spacing w:val="-20"/>
                      </w:rPr>
                    </w:pPr>
                    <w:r>
                      <w:rPr>
                        <w:spacing w:val="-20"/>
                      </w:rPr>
                      <w:t>14,270,307</w:t>
                    </w:r>
                  </w:p>
                </w:tc>
                <w:tc>
                  <w:tcPr>
                    <w:tcW w:w="385" w:type="pct"/>
                  </w:tcPr>
                  <w:p w14:paraId="42EFA275" w14:textId="77777777" w:rsidR="007E7472" w:rsidRDefault="00EC1269">
                    <w:pPr>
                      <w:jc w:val="right"/>
                      <w:rPr>
                        <w:spacing w:val="-20"/>
                      </w:rPr>
                    </w:pPr>
                    <w:r>
                      <w:rPr>
                        <w:spacing w:val="-20"/>
                      </w:rPr>
                      <w:t>16,703,677</w:t>
                    </w:r>
                  </w:p>
                </w:tc>
                <w:tc>
                  <w:tcPr>
                    <w:tcW w:w="385" w:type="pct"/>
                  </w:tcPr>
                  <w:p w14:paraId="7E3849E7" w14:textId="77777777" w:rsidR="007E7472" w:rsidRDefault="00EC1269">
                    <w:pPr>
                      <w:jc w:val="right"/>
                      <w:rPr>
                        <w:spacing w:val="-20"/>
                      </w:rPr>
                    </w:pPr>
                    <w:r>
                      <w:rPr>
                        <w:spacing w:val="-20"/>
                      </w:rPr>
                      <w:t>30,973,984</w:t>
                    </w:r>
                  </w:p>
                </w:tc>
                <w:tc>
                  <w:tcPr>
                    <w:tcW w:w="385" w:type="pct"/>
                  </w:tcPr>
                  <w:p w14:paraId="5078163B" w14:textId="77777777" w:rsidR="007E7472" w:rsidRDefault="00EC1269">
                    <w:pPr>
                      <w:jc w:val="right"/>
                      <w:rPr>
                        <w:spacing w:val="-20"/>
                      </w:rPr>
                    </w:pPr>
                    <w:r>
                      <w:rPr>
                        <w:spacing w:val="-20"/>
                      </w:rPr>
                      <w:t>4,445,938</w:t>
                    </w:r>
                  </w:p>
                </w:tc>
                <w:tc>
                  <w:tcPr>
                    <w:tcW w:w="385" w:type="pct"/>
                  </w:tcPr>
                  <w:p w14:paraId="29F9C441" w14:textId="77777777" w:rsidR="007E7472" w:rsidRDefault="00EC1269">
                    <w:pPr>
                      <w:jc w:val="right"/>
                      <w:rPr>
                        <w:spacing w:val="-20"/>
                      </w:rPr>
                    </w:pPr>
                    <w:r>
                      <w:rPr>
                        <w:spacing w:val="-20"/>
                      </w:rPr>
                      <w:t>4,235,331</w:t>
                    </w:r>
                  </w:p>
                </w:tc>
                <w:tc>
                  <w:tcPr>
                    <w:tcW w:w="385" w:type="pct"/>
                  </w:tcPr>
                  <w:p w14:paraId="6DEABDE3" w14:textId="77777777" w:rsidR="007E7472" w:rsidRDefault="00EC1269">
                    <w:pPr>
                      <w:jc w:val="right"/>
                      <w:rPr>
                        <w:spacing w:val="-20"/>
                      </w:rPr>
                    </w:pPr>
                    <w:r>
                      <w:rPr>
                        <w:spacing w:val="-20"/>
                      </w:rPr>
                      <w:t>8,681,269</w:t>
                    </w:r>
                  </w:p>
                </w:tc>
              </w:tr>
            </w:sdtContent>
          </w:sdt>
          <w:sdt>
            <w:sdtPr>
              <w:alias w:val="重要非全资子公司的主要财务信息明细"/>
              <w:tag w:val="_GBC_feef0d2d67a84217a9099e634bb2d3df"/>
              <w:id w:val="-1406225099"/>
              <w:lock w:val="sdtLocked"/>
            </w:sdtPr>
            <w:sdtEndPr>
              <w:rPr>
                <w:spacing w:val="-20"/>
              </w:rPr>
            </w:sdtEndPr>
            <w:sdtContent>
              <w:tr w:rsidR="007E7472" w14:paraId="235028FC" w14:textId="77777777" w:rsidTr="00121636">
                <w:tc>
                  <w:tcPr>
                    <w:tcW w:w="385" w:type="pct"/>
                  </w:tcPr>
                  <w:p w14:paraId="132610D2" w14:textId="77777777" w:rsidR="007E7472" w:rsidRDefault="00EC1269">
                    <w:r>
                      <w:rPr>
                        <w:rFonts w:hint="eastAsia"/>
                      </w:rPr>
                      <w:t>内蒙矿业</w:t>
                    </w:r>
                  </w:p>
                </w:tc>
                <w:tc>
                  <w:tcPr>
                    <w:tcW w:w="385" w:type="pct"/>
                  </w:tcPr>
                  <w:p w14:paraId="36600009" w14:textId="77777777" w:rsidR="007E7472" w:rsidRDefault="00EC1269">
                    <w:pPr>
                      <w:jc w:val="right"/>
                      <w:rPr>
                        <w:spacing w:val="-20"/>
                      </w:rPr>
                    </w:pPr>
                    <w:r>
                      <w:rPr>
                        <w:spacing w:val="-20"/>
                      </w:rPr>
                      <w:t>2,148,588</w:t>
                    </w:r>
                  </w:p>
                </w:tc>
                <w:tc>
                  <w:tcPr>
                    <w:tcW w:w="385" w:type="pct"/>
                  </w:tcPr>
                  <w:p w14:paraId="1BEE3882" w14:textId="77777777" w:rsidR="007E7472" w:rsidRDefault="00EC1269">
                    <w:pPr>
                      <w:jc w:val="right"/>
                      <w:rPr>
                        <w:spacing w:val="-20"/>
                      </w:rPr>
                    </w:pPr>
                    <w:r>
                      <w:rPr>
                        <w:spacing w:val="-20"/>
                      </w:rPr>
                      <w:t>36,136,459</w:t>
                    </w:r>
                  </w:p>
                </w:tc>
                <w:tc>
                  <w:tcPr>
                    <w:tcW w:w="385" w:type="pct"/>
                  </w:tcPr>
                  <w:p w14:paraId="1CFA8189" w14:textId="77777777" w:rsidR="007E7472" w:rsidRDefault="00EC1269">
                    <w:pPr>
                      <w:jc w:val="right"/>
                      <w:rPr>
                        <w:spacing w:val="-20"/>
                      </w:rPr>
                    </w:pPr>
                    <w:r>
                      <w:rPr>
                        <w:spacing w:val="-20"/>
                      </w:rPr>
                      <w:t>38,285,047</w:t>
                    </w:r>
                  </w:p>
                </w:tc>
                <w:tc>
                  <w:tcPr>
                    <w:tcW w:w="385" w:type="pct"/>
                  </w:tcPr>
                  <w:p w14:paraId="514821FC" w14:textId="77777777" w:rsidR="007E7472" w:rsidRDefault="00EC1269">
                    <w:pPr>
                      <w:jc w:val="right"/>
                      <w:rPr>
                        <w:spacing w:val="-20"/>
                      </w:rPr>
                    </w:pPr>
                    <w:r>
                      <w:rPr>
                        <w:spacing w:val="-20"/>
                      </w:rPr>
                      <w:t>16,612,748</w:t>
                    </w:r>
                  </w:p>
                </w:tc>
                <w:tc>
                  <w:tcPr>
                    <w:tcW w:w="385" w:type="pct"/>
                  </w:tcPr>
                  <w:p w14:paraId="574CA9BF" w14:textId="77777777" w:rsidR="007E7472" w:rsidRDefault="00EC1269">
                    <w:pPr>
                      <w:jc w:val="right"/>
                      <w:rPr>
                        <w:spacing w:val="-20"/>
                      </w:rPr>
                    </w:pPr>
                    <w:r>
                      <w:rPr>
                        <w:spacing w:val="-20"/>
                      </w:rPr>
                      <w:t>10,292,129</w:t>
                    </w:r>
                  </w:p>
                </w:tc>
                <w:tc>
                  <w:tcPr>
                    <w:tcW w:w="385" w:type="pct"/>
                  </w:tcPr>
                  <w:p w14:paraId="3318DF20" w14:textId="77777777" w:rsidR="007E7472" w:rsidRDefault="00EC1269">
                    <w:pPr>
                      <w:jc w:val="right"/>
                      <w:rPr>
                        <w:spacing w:val="-20"/>
                      </w:rPr>
                    </w:pPr>
                    <w:r>
                      <w:rPr>
                        <w:spacing w:val="-20"/>
                      </w:rPr>
                      <w:t>26,904,877</w:t>
                    </w:r>
                  </w:p>
                </w:tc>
                <w:tc>
                  <w:tcPr>
                    <w:tcW w:w="385" w:type="pct"/>
                  </w:tcPr>
                  <w:p w14:paraId="5C34A730" w14:textId="77777777" w:rsidR="007E7472" w:rsidRDefault="00EC1269">
                    <w:pPr>
                      <w:jc w:val="right"/>
                      <w:rPr>
                        <w:spacing w:val="-20"/>
                      </w:rPr>
                    </w:pPr>
                    <w:r>
                      <w:rPr>
                        <w:spacing w:val="-20"/>
                      </w:rPr>
                      <w:t>2,356,745</w:t>
                    </w:r>
                  </w:p>
                </w:tc>
                <w:tc>
                  <w:tcPr>
                    <w:tcW w:w="385" w:type="pct"/>
                  </w:tcPr>
                  <w:p w14:paraId="6AFED119" w14:textId="77777777" w:rsidR="007E7472" w:rsidRDefault="00EC1269">
                    <w:pPr>
                      <w:jc w:val="right"/>
                      <w:rPr>
                        <w:spacing w:val="-20"/>
                      </w:rPr>
                    </w:pPr>
                    <w:r>
                      <w:rPr>
                        <w:spacing w:val="-20"/>
                      </w:rPr>
                      <w:t>36,241,660</w:t>
                    </w:r>
                  </w:p>
                </w:tc>
                <w:tc>
                  <w:tcPr>
                    <w:tcW w:w="385" w:type="pct"/>
                  </w:tcPr>
                  <w:p w14:paraId="4CA8A52A" w14:textId="77777777" w:rsidR="007E7472" w:rsidRDefault="00EC1269">
                    <w:pPr>
                      <w:jc w:val="right"/>
                      <w:rPr>
                        <w:spacing w:val="-20"/>
                      </w:rPr>
                    </w:pPr>
                    <w:r>
                      <w:rPr>
                        <w:spacing w:val="-20"/>
                      </w:rPr>
                      <w:t>38,598,405</w:t>
                    </w:r>
                  </w:p>
                </w:tc>
                <w:tc>
                  <w:tcPr>
                    <w:tcW w:w="385" w:type="pct"/>
                  </w:tcPr>
                  <w:p w14:paraId="7CD52A79" w14:textId="77777777" w:rsidR="007E7472" w:rsidRDefault="00EC1269">
                    <w:pPr>
                      <w:jc w:val="right"/>
                      <w:rPr>
                        <w:spacing w:val="-20"/>
                      </w:rPr>
                    </w:pPr>
                    <w:r>
                      <w:rPr>
                        <w:spacing w:val="-20"/>
                      </w:rPr>
                      <w:t>16,012,080</w:t>
                    </w:r>
                  </w:p>
                </w:tc>
                <w:tc>
                  <w:tcPr>
                    <w:tcW w:w="385" w:type="pct"/>
                  </w:tcPr>
                  <w:p w14:paraId="18CB6B94" w14:textId="77777777" w:rsidR="007E7472" w:rsidRDefault="00EC1269">
                    <w:pPr>
                      <w:jc w:val="right"/>
                      <w:rPr>
                        <w:spacing w:val="-20"/>
                      </w:rPr>
                    </w:pPr>
                    <w:r>
                      <w:rPr>
                        <w:spacing w:val="-20"/>
                      </w:rPr>
                      <w:t>10,664,149</w:t>
                    </w:r>
                  </w:p>
                </w:tc>
                <w:tc>
                  <w:tcPr>
                    <w:tcW w:w="385" w:type="pct"/>
                  </w:tcPr>
                  <w:p w14:paraId="4EEADDEA" w14:textId="77777777" w:rsidR="007E7472" w:rsidRDefault="00EC1269">
                    <w:pPr>
                      <w:jc w:val="right"/>
                      <w:rPr>
                        <w:spacing w:val="-20"/>
                      </w:rPr>
                    </w:pPr>
                    <w:r>
                      <w:rPr>
                        <w:spacing w:val="-20"/>
                      </w:rPr>
                      <w:t>26,676,229</w:t>
                    </w:r>
                  </w:p>
                </w:tc>
              </w:tr>
            </w:sdtContent>
          </w:sdt>
        </w:tbl>
        <w:p w14:paraId="55411041" w14:textId="77777777" w:rsidR="007E7472" w:rsidRDefault="00C8327E">
          <w:pPr>
            <w:rPr>
              <w:rFonts w:cs="Arial"/>
            </w:rPr>
          </w:pPr>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ook w:val="04A0" w:firstRow="1" w:lastRow="0" w:firstColumn="1" w:lastColumn="0" w:noHBand="0" w:noVBand="1"/>
          </w:tblPr>
          <w:tblGrid>
            <w:gridCol w:w="1696"/>
            <w:gridCol w:w="1417"/>
            <w:gridCol w:w="1417"/>
            <w:gridCol w:w="1561"/>
            <w:gridCol w:w="1558"/>
            <w:gridCol w:w="1561"/>
            <w:gridCol w:w="1417"/>
            <w:gridCol w:w="1625"/>
            <w:gridCol w:w="1611"/>
          </w:tblGrid>
          <w:tr w:rsidR="007E7472" w14:paraId="49416B77" w14:textId="77777777" w:rsidTr="00762618">
            <w:trPr>
              <w:trHeight w:val="361"/>
            </w:trPr>
            <w:sdt>
              <w:sdtPr>
                <w:tag w:val="_PLD_87ab97227e5642b988e110c5a28abb39"/>
                <w:id w:val="169541685"/>
                <w:lock w:val="sdtLocked"/>
              </w:sdtPr>
              <w:sdtEndPr/>
              <w:sdtContent>
                <w:tc>
                  <w:tcPr>
                    <w:tcW w:w="612" w:type="pct"/>
                    <w:vMerge w:val="restart"/>
                    <w:shd w:val="clear" w:color="auto" w:fill="auto"/>
                    <w:vAlign w:val="center"/>
                  </w:tcPr>
                  <w:p w14:paraId="3C197D1B" w14:textId="77777777" w:rsidR="007E7472" w:rsidRDefault="00EC1269">
                    <w:pPr>
                      <w:spacing w:line="276" w:lineRule="auto"/>
                      <w:ind w:right="-16"/>
                      <w:jc w:val="center"/>
                      <w:rPr>
                        <w:rFonts w:cs="Arial"/>
                        <w:bCs/>
                      </w:rPr>
                    </w:pPr>
                    <w:r>
                      <w:rPr>
                        <w:rFonts w:cs="Arial" w:hint="eastAsia"/>
                        <w:lang w:val="en-GB"/>
                      </w:rPr>
                      <w:t>子公司名称</w:t>
                    </w:r>
                  </w:p>
                </w:tc>
              </w:sdtContent>
            </w:sdt>
            <w:sdt>
              <w:sdtPr>
                <w:tag w:val="_PLD_85f8737cebf641b2aa266052f4118ba8"/>
                <w:id w:val="1048415632"/>
                <w:lock w:val="sdtLocked"/>
              </w:sdtPr>
              <w:sdtEndPr/>
              <w:sdtContent>
                <w:tc>
                  <w:tcPr>
                    <w:tcW w:w="2147" w:type="pct"/>
                    <w:gridSpan w:val="4"/>
                    <w:shd w:val="clear" w:color="auto" w:fill="auto"/>
                    <w:vAlign w:val="center"/>
                  </w:tcPr>
                  <w:p w14:paraId="38E15970" w14:textId="77777777" w:rsidR="007E7472" w:rsidRDefault="00EC1269">
                    <w:pPr>
                      <w:spacing w:line="276" w:lineRule="auto"/>
                      <w:ind w:right="-16"/>
                      <w:jc w:val="center"/>
                      <w:rPr>
                        <w:rFonts w:cs="Arial"/>
                        <w:bCs/>
                      </w:rPr>
                    </w:pPr>
                    <w:r>
                      <w:rPr>
                        <w:rFonts w:cs="Arial" w:hint="eastAsia"/>
                        <w:lang w:val="en-GB"/>
                      </w:rPr>
                      <w:t>本期发生额</w:t>
                    </w:r>
                  </w:p>
                </w:tc>
              </w:sdtContent>
            </w:sdt>
            <w:sdt>
              <w:sdtPr>
                <w:tag w:val="_PLD_32dac50c80854f268b3afdebef20332e"/>
                <w:id w:val="468722255"/>
                <w:lock w:val="sdtLocked"/>
              </w:sdtPr>
              <w:sdtEndPr/>
              <w:sdtContent>
                <w:tc>
                  <w:tcPr>
                    <w:tcW w:w="2241" w:type="pct"/>
                    <w:gridSpan w:val="4"/>
                    <w:shd w:val="clear" w:color="auto" w:fill="auto"/>
                    <w:vAlign w:val="center"/>
                  </w:tcPr>
                  <w:p w14:paraId="3830F55B" w14:textId="77777777" w:rsidR="007E7472" w:rsidRDefault="00EC1269">
                    <w:pPr>
                      <w:spacing w:line="276" w:lineRule="auto"/>
                      <w:ind w:right="-16"/>
                      <w:jc w:val="center"/>
                      <w:rPr>
                        <w:rFonts w:cs="Arial"/>
                        <w:bCs/>
                      </w:rPr>
                    </w:pPr>
                    <w:r>
                      <w:rPr>
                        <w:rFonts w:cs="Arial" w:hint="eastAsia"/>
                        <w:lang w:val="en-GB"/>
                      </w:rPr>
                      <w:t>上期发生额</w:t>
                    </w:r>
                  </w:p>
                </w:tc>
              </w:sdtContent>
            </w:sdt>
          </w:tr>
          <w:tr w:rsidR="00121636" w14:paraId="4B8FCF7A" w14:textId="77777777" w:rsidTr="00121636">
            <w:trPr>
              <w:trHeight w:val="241"/>
            </w:trPr>
            <w:tc>
              <w:tcPr>
                <w:tcW w:w="612" w:type="pct"/>
                <w:vMerge/>
                <w:shd w:val="clear" w:color="auto" w:fill="auto"/>
                <w:vAlign w:val="center"/>
              </w:tcPr>
              <w:p w14:paraId="6DC4920A" w14:textId="77777777" w:rsidR="007E7472" w:rsidRDefault="00C8327E">
                <w:pPr>
                  <w:jc w:val="center"/>
                  <w:rPr>
                    <w:rFonts w:cs="Arial"/>
                    <w:bCs/>
                  </w:rPr>
                </w:pPr>
              </w:p>
            </w:tc>
            <w:sdt>
              <w:sdtPr>
                <w:tag w:val="_PLD_29407a86c6924579a6442f5b24e6decd"/>
                <w:id w:val="-1948226884"/>
                <w:lock w:val="sdtLocked"/>
              </w:sdtPr>
              <w:sdtEndPr/>
              <w:sdtContent>
                <w:tc>
                  <w:tcPr>
                    <w:tcW w:w="511" w:type="pct"/>
                    <w:shd w:val="clear" w:color="auto" w:fill="auto"/>
                    <w:vAlign w:val="center"/>
                  </w:tcPr>
                  <w:p w14:paraId="2923735C" w14:textId="77777777" w:rsidR="007E7472" w:rsidRDefault="00EC1269">
                    <w:pPr>
                      <w:spacing w:line="276" w:lineRule="auto"/>
                      <w:jc w:val="center"/>
                      <w:rPr>
                        <w:rFonts w:cs="Arial"/>
                      </w:rPr>
                    </w:pPr>
                    <w:r>
                      <w:rPr>
                        <w:rFonts w:cs="Arial" w:hint="eastAsia"/>
                        <w:lang w:val="en-GB"/>
                      </w:rPr>
                      <w:t>营业收入</w:t>
                    </w:r>
                  </w:p>
                </w:tc>
              </w:sdtContent>
            </w:sdt>
            <w:sdt>
              <w:sdtPr>
                <w:tag w:val="_PLD_bc59f1076f2243f8984efa8df921ad2c"/>
                <w:id w:val="130840433"/>
                <w:lock w:val="sdtLocked"/>
              </w:sdtPr>
              <w:sdtEndPr/>
              <w:sdtContent>
                <w:tc>
                  <w:tcPr>
                    <w:tcW w:w="511" w:type="pct"/>
                    <w:shd w:val="clear" w:color="auto" w:fill="auto"/>
                    <w:vAlign w:val="center"/>
                  </w:tcPr>
                  <w:p w14:paraId="500D4F49" w14:textId="77777777" w:rsidR="007E7472" w:rsidRDefault="00EC1269">
                    <w:pPr>
                      <w:spacing w:line="276" w:lineRule="auto"/>
                      <w:jc w:val="center"/>
                      <w:rPr>
                        <w:rFonts w:cs="Arial"/>
                      </w:rPr>
                    </w:pPr>
                    <w:r>
                      <w:rPr>
                        <w:rFonts w:cs="Arial" w:hint="eastAsia"/>
                        <w:lang w:val="en-GB"/>
                      </w:rPr>
                      <w:t>净利润</w:t>
                    </w:r>
                  </w:p>
                </w:tc>
              </w:sdtContent>
            </w:sdt>
            <w:sdt>
              <w:sdtPr>
                <w:tag w:val="_PLD_90f87c27e3fb4843892cceb85599a3b1"/>
                <w:id w:val="-2117976866"/>
                <w:lock w:val="sdtLocked"/>
              </w:sdtPr>
              <w:sdtEndPr/>
              <w:sdtContent>
                <w:tc>
                  <w:tcPr>
                    <w:tcW w:w="563" w:type="pct"/>
                    <w:shd w:val="clear" w:color="auto" w:fill="auto"/>
                    <w:vAlign w:val="center"/>
                  </w:tcPr>
                  <w:p w14:paraId="29A78C92" w14:textId="77777777" w:rsidR="007E7472" w:rsidRDefault="00EC1269">
                    <w:pPr>
                      <w:spacing w:line="276" w:lineRule="auto"/>
                      <w:jc w:val="center"/>
                      <w:rPr>
                        <w:rFonts w:cs="Arial"/>
                      </w:rPr>
                    </w:pPr>
                    <w:r>
                      <w:rPr>
                        <w:rFonts w:cs="Arial" w:hint="eastAsia"/>
                        <w:lang w:val="en-GB"/>
                      </w:rPr>
                      <w:t>综合收益总额</w:t>
                    </w:r>
                  </w:p>
                </w:tc>
              </w:sdtContent>
            </w:sdt>
            <w:sdt>
              <w:sdtPr>
                <w:tag w:val="_PLD_3126fb1798f346de95a39458603c4301"/>
                <w:id w:val="1952966587"/>
                <w:lock w:val="sdtLocked"/>
              </w:sdtPr>
              <w:sdtEndPr/>
              <w:sdtContent>
                <w:tc>
                  <w:tcPr>
                    <w:tcW w:w="562" w:type="pct"/>
                    <w:shd w:val="clear" w:color="auto" w:fill="auto"/>
                    <w:vAlign w:val="center"/>
                  </w:tcPr>
                  <w:p w14:paraId="1BC889D8" w14:textId="77777777" w:rsidR="007E7472" w:rsidRDefault="00EC1269">
                    <w:pPr>
                      <w:spacing w:line="276" w:lineRule="auto"/>
                      <w:jc w:val="center"/>
                      <w:rPr>
                        <w:rFonts w:cs="Arial"/>
                      </w:rPr>
                    </w:pPr>
                    <w:r>
                      <w:rPr>
                        <w:rFonts w:cs="Arial" w:hint="eastAsia"/>
                        <w:lang w:val="en-GB"/>
                      </w:rPr>
                      <w:t>经营活动现金流量</w:t>
                    </w:r>
                  </w:p>
                </w:tc>
              </w:sdtContent>
            </w:sdt>
            <w:sdt>
              <w:sdtPr>
                <w:tag w:val="_PLD_44ccfb27fc6943ac84654ba7c7bef20e"/>
                <w:id w:val="1561821840"/>
                <w:lock w:val="sdtLocked"/>
              </w:sdtPr>
              <w:sdtEndPr/>
              <w:sdtContent>
                <w:tc>
                  <w:tcPr>
                    <w:tcW w:w="563" w:type="pct"/>
                    <w:shd w:val="clear" w:color="auto" w:fill="auto"/>
                    <w:vAlign w:val="center"/>
                  </w:tcPr>
                  <w:p w14:paraId="775CDDE9" w14:textId="77777777" w:rsidR="007E7472" w:rsidRDefault="00EC1269">
                    <w:pPr>
                      <w:spacing w:line="276" w:lineRule="auto"/>
                      <w:jc w:val="center"/>
                      <w:rPr>
                        <w:rFonts w:cs="Arial"/>
                      </w:rPr>
                    </w:pPr>
                    <w:r>
                      <w:rPr>
                        <w:rFonts w:cs="Arial" w:hint="eastAsia"/>
                        <w:lang w:val="en-GB"/>
                      </w:rPr>
                      <w:t>营业收入</w:t>
                    </w:r>
                  </w:p>
                </w:tc>
              </w:sdtContent>
            </w:sdt>
            <w:sdt>
              <w:sdtPr>
                <w:tag w:val="_PLD_c08aebbf24fa4b1aa2c4f79232c7c630"/>
                <w:id w:val="642311184"/>
                <w:lock w:val="sdtLocked"/>
              </w:sdtPr>
              <w:sdtEndPr/>
              <w:sdtContent>
                <w:tc>
                  <w:tcPr>
                    <w:tcW w:w="511" w:type="pct"/>
                    <w:shd w:val="clear" w:color="auto" w:fill="auto"/>
                    <w:vAlign w:val="center"/>
                  </w:tcPr>
                  <w:p w14:paraId="40BA278F" w14:textId="77777777" w:rsidR="007E7472" w:rsidRDefault="00EC1269">
                    <w:pPr>
                      <w:spacing w:line="276" w:lineRule="auto"/>
                      <w:jc w:val="center"/>
                      <w:rPr>
                        <w:rFonts w:cs="Arial"/>
                      </w:rPr>
                    </w:pPr>
                    <w:r>
                      <w:rPr>
                        <w:rFonts w:cs="Arial" w:hint="eastAsia"/>
                        <w:lang w:val="en-GB"/>
                      </w:rPr>
                      <w:t>净利润</w:t>
                    </w:r>
                  </w:p>
                </w:tc>
              </w:sdtContent>
            </w:sdt>
            <w:sdt>
              <w:sdtPr>
                <w:tag w:val="_PLD_0a377a03553f4d909179190a153a31b7"/>
                <w:id w:val="-1699618795"/>
                <w:lock w:val="sdtLocked"/>
              </w:sdtPr>
              <w:sdtEndPr/>
              <w:sdtContent>
                <w:tc>
                  <w:tcPr>
                    <w:tcW w:w="586" w:type="pct"/>
                    <w:shd w:val="clear" w:color="auto" w:fill="auto"/>
                    <w:vAlign w:val="center"/>
                  </w:tcPr>
                  <w:p w14:paraId="408C72CA" w14:textId="77777777" w:rsidR="007E7472" w:rsidRDefault="00EC1269">
                    <w:pPr>
                      <w:spacing w:line="276" w:lineRule="auto"/>
                      <w:jc w:val="center"/>
                      <w:rPr>
                        <w:rFonts w:cs="Arial"/>
                      </w:rPr>
                    </w:pPr>
                    <w:r>
                      <w:rPr>
                        <w:rFonts w:cs="Arial" w:hint="eastAsia"/>
                        <w:lang w:val="en-GB"/>
                      </w:rPr>
                      <w:t>综合收益总额</w:t>
                    </w:r>
                  </w:p>
                </w:tc>
              </w:sdtContent>
            </w:sdt>
            <w:sdt>
              <w:sdtPr>
                <w:tag w:val="_PLD_400ec1e5e2cf42e5a9eea23ddbdbd572"/>
                <w:id w:val="-266459984"/>
                <w:lock w:val="sdtLocked"/>
              </w:sdtPr>
              <w:sdtEndPr/>
              <w:sdtContent>
                <w:tc>
                  <w:tcPr>
                    <w:tcW w:w="581" w:type="pct"/>
                    <w:shd w:val="clear" w:color="auto" w:fill="auto"/>
                    <w:vAlign w:val="center"/>
                  </w:tcPr>
                  <w:p w14:paraId="671C810D" w14:textId="77777777" w:rsidR="007E7472" w:rsidRDefault="00EC1269">
                    <w:pPr>
                      <w:spacing w:line="276" w:lineRule="auto"/>
                      <w:jc w:val="center"/>
                      <w:rPr>
                        <w:rFonts w:cs="Arial"/>
                      </w:rPr>
                    </w:pPr>
                    <w:r>
                      <w:rPr>
                        <w:rFonts w:cs="Arial" w:hint="eastAsia"/>
                        <w:lang w:val="en-GB"/>
                      </w:rPr>
                      <w:t>经营活动现金流量</w:t>
                    </w:r>
                  </w:p>
                </w:tc>
              </w:sdtContent>
            </w:sdt>
          </w:tr>
          <w:sdt>
            <w:sdtPr>
              <w:alias w:val="重要非全资子公司的主要财务信息明细"/>
              <w:tag w:val="_GBC_330f4405d49345f7b8f69770f6eb8b4a"/>
              <w:id w:val="-1256595349"/>
              <w:lock w:val="sdtLocked"/>
            </w:sdtPr>
            <w:sdtEndPr/>
            <w:sdtContent>
              <w:tr w:rsidR="00121636" w14:paraId="51817402" w14:textId="77777777" w:rsidTr="00121636">
                <w:tc>
                  <w:tcPr>
                    <w:tcW w:w="612" w:type="pct"/>
                  </w:tcPr>
                  <w:p w14:paraId="6717498B" w14:textId="77777777" w:rsidR="007E7472" w:rsidRDefault="00EC1269">
                    <w:pPr>
                      <w:spacing w:line="276" w:lineRule="auto"/>
                    </w:pPr>
                    <w:r>
                      <w:rPr>
                        <w:rFonts w:hint="eastAsia"/>
                      </w:rPr>
                      <w:t>菏泽能化</w:t>
                    </w:r>
                  </w:p>
                </w:tc>
                <w:tc>
                  <w:tcPr>
                    <w:tcW w:w="511" w:type="pct"/>
                  </w:tcPr>
                  <w:p w14:paraId="036D4B9E" w14:textId="77777777" w:rsidR="007E7472" w:rsidRDefault="00EC1269">
                    <w:pPr>
                      <w:spacing w:line="276" w:lineRule="auto"/>
                      <w:jc w:val="right"/>
                    </w:pPr>
                    <w:r>
                      <w:t>2,026,904</w:t>
                    </w:r>
                  </w:p>
                </w:tc>
                <w:tc>
                  <w:tcPr>
                    <w:tcW w:w="511" w:type="pct"/>
                  </w:tcPr>
                  <w:p w14:paraId="12FA9204" w14:textId="77777777" w:rsidR="007E7472" w:rsidRDefault="00EC1269">
                    <w:pPr>
                      <w:spacing w:line="276" w:lineRule="auto"/>
                      <w:jc w:val="right"/>
                    </w:pPr>
                    <w:r>
                      <w:t>625,605</w:t>
                    </w:r>
                  </w:p>
                </w:tc>
                <w:tc>
                  <w:tcPr>
                    <w:tcW w:w="563" w:type="pct"/>
                  </w:tcPr>
                  <w:p w14:paraId="31C05DF9" w14:textId="77777777" w:rsidR="007E7472" w:rsidRDefault="00EC1269">
                    <w:pPr>
                      <w:spacing w:line="276" w:lineRule="auto"/>
                      <w:jc w:val="right"/>
                    </w:pPr>
                    <w:r>
                      <w:t>625,605</w:t>
                    </w:r>
                  </w:p>
                </w:tc>
                <w:tc>
                  <w:tcPr>
                    <w:tcW w:w="562" w:type="pct"/>
                  </w:tcPr>
                  <w:p w14:paraId="3BE1EDFA" w14:textId="77777777" w:rsidR="007E7472" w:rsidRDefault="00EC1269">
                    <w:pPr>
                      <w:spacing w:line="276" w:lineRule="auto"/>
                      <w:jc w:val="right"/>
                    </w:pPr>
                    <w:r>
                      <w:t>774,770</w:t>
                    </w:r>
                  </w:p>
                </w:tc>
                <w:tc>
                  <w:tcPr>
                    <w:tcW w:w="563" w:type="pct"/>
                  </w:tcPr>
                  <w:p w14:paraId="65736576" w14:textId="77777777" w:rsidR="007E7472" w:rsidRDefault="00EC1269">
                    <w:pPr>
                      <w:spacing w:line="276" w:lineRule="auto"/>
                      <w:jc w:val="right"/>
                    </w:pPr>
                    <w:r>
                      <w:t>1,977,172</w:t>
                    </w:r>
                  </w:p>
                </w:tc>
                <w:tc>
                  <w:tcPr>
                    <w:tcW w:w="511" w:type="pct"/>
                  </w:tcPr>
                  <w:p w14:paraId="17085150" w14:textId="77777777" w:rsidR="007E7472" w:rsidRDefault="00EC1269">
                    <w:pPr>
                      <w:spacing w:line="276" w:lineRule="auto"/>
                      <w:jc w:val="right"/>
                    </w:pPr>
                    <w:r>
                      <w:t>747,872</w:t>
                    </w:r>
                  </w:p>
                </w:tc>
                <w:tc>
                  <w:tcPr>
                    <w:tcW w:w="586" w:type="pct"/>
                  </w:tcPr>
                  <w:p w14:paraId="35241DB0" w14:textId="77777777" w:rsidR="007E7472" w:rsidRDefault="00EC1269">
                    <w:pPr>
                      <w:spacing w:line="276" w:lineRule="auto"/>
                      <w:jc w:val="right"/>
                    </w:pPr>
                    <w:r>
                      <w:t>747,872</w:t>
                    </w:r>
                  </w:p>
                </w:tc>
                <w:tc>
                  <w:tcPr>
                    <w:tcW w:w="581" w:type="pct"/>
                  </w:tcPr>
                  <w:p w14:paraId="4593C88C" w14:textId="77777777" w:rsidR="007E7472" w:rsidRDefault="00EC1269">
                    <w:pPr>
                      <w:spacing w:line="276" w:lineRule="auto"/>
                      <w:jc w:val="right"/>
                    </w:pPr>
                    <w:r>
                      <w:t>110,751</w:t>
                    </w:r>
                  </w:p>
                </w:tc>
              </w:tr>
            </w:sdtContent>
          </w:sdt>
          <w:sdt>
            <w:sdtPr>
              <w:alias w:val="重要非全资子公司的主要财务信息明细"/>
              <w:tag w:val="_GBC_330f4405d49345f7b8f69770f6eb8b4a"/>
              <w:id w:val="-963195430"/>
              <w:lock w:val="sdtLocked"/>
            </w:sdtPr>
            <w:sdtEndPr/>
            <w:sdtContent>
              <w:tr w:rsidR="00121636" w14:paraId="12D24567" w14:textId="77777777" w:rsidTr="00121636">
                <w:tc>
                  <w:tcPr>
                    <w:tcW w:w="612" w:type="pct"/>
                  </w:tcPr>
                  <w:p w14:paraId="6E4C3FB3" w14:textId="77777777" w:rsidR="007E7472" w:rsidRDefault="00EC1269">
                    <w:pPr>
                      <w:spacing w:line="276" w:lineRule="auto"/>
                    </w:pPr>
                    <w:r>
                      <w:rPr>
                        <w:rFonts w:hint="eastAsia"/>
                      </w:rPr>
                      <w:t>澳洲公司</w:t>
                    </w:r>
                  </w:p>
                </w:tc>
                <w:tc>
                  <w:tcPr>
                    <w:tcW w:w="511" w:type="pct"/>
                  </w:tcPr>
                  <w:p w14:paraId="7E34A119" w14:textId="77777777" w:rsidR="007E7472" w:rsidRDefault="00EC1269">
                    <w:pPr>
                      <w:spacing w:line="276" w:lineRule="auto"/>
                      <w:jc w:val="right"/>
                    </w:pPr>
                    <w:r>
                      <w:t>18,642,544</w:t>
                    </w:r>
                  </w:p>
                </w:tc>
                <w:tc>
                  <w:tcPr>
                    <w:tcW w:w="511" w:type="pct"/>
                  </w:tcPr>
                  <w:p w14:paraId="44152BA6" w14:textId="77777777" w:rsidR="007E7472" w:rsidRDefault="00EC1269">
                    <w:pPr>
                      <w:spacing w:line="276" w:lineRule="auto"/>
                      <w:jc w:val="right"/>
                    </w:pPr>
                    <w:r>
                      <w:t>4,628,378</w:t>
                    </w:r>
                  </w:p>
                </w:tc>
                <w:tc>
                  <w:tcPr>
                    <w:tcW w:w="563" w:type="pct"/>
                  </w:tcPr>
                  <w:p w14:paraId="7B386AF9" w14:textId="77777777" w:rsidR="007E7472" w:rsidRDefault="00EC1269">
                    <w:pPr>
                      <w:spacing w:line="276" w:lineRule="auto"/>
                      <w:jc w:val="right"/>
                    </w:pPr>
                    <w:r>
                      <w:t>5,147,143</w:t>
                    </w:r>
                  </w:p>
                </w:tc>
                <w:tc>
                  <w:tcPr>
                    <w:tcW w:w="562" w:type="pct"/>
                  </w:tcPr>
                  <w:p w14:paraId="3E6CD356" w14:textId="77777777" w:rsidR="007E7472" w:rsidRDefault="00EC1269">
                    <w:pPr>
                      <w:spacing w:line="276" w:lineRule="auto"/>
                      <w:jc w:val="right"/>
                    </w:pPr>
                    <w:r>
                      <w:t>637,974</w:t>
                    </w:r>
                  </w:p>
                </w:tc>
                <w:tc>
                  <w:tcPr>
                    <w:tcW w:w="563" w:type="pct"/>
                  </w:tcPr>
                  <w:p w14:paraId="6FF44DE6" w14:textId="77777777" w:rsidR="007E7472" w:rsidRDefault="00EC1269">
                    <w:pPr>
                      <w:spacing w:line="276" w:lineRule="auto"/>
                      <w:jc w:val="right"/>
                    </w:pPr>
                    <w:r>
                      <w:t>22,534,323</w:t>
                    </w:r>
                  </w:p>
                </w:tc>
                <w:tc>
                  <w:tcPr>
                    <w:tcW w:w="511" w:type="pct"/>
                  </w:tcPr>
                  <w:p w14:paraId="0A5D7196" w14:textId="77777777" w:rsidR="007E7472" w:rsidRDefault="00EC1269">
                    <w:pPr>
                      <w:spacing w:line="276" w:lineRule="auto"/>
                      <w:jc w:val="right"/>
                    </w:pPr>
                    <w:r>
                      <w:t>8,033,490</w:t>
                    </w:r>
                  </w:p>
                </w:tc>
                <w:tc>
                  <w:tcPr>
                    <w:tcW w:w="586" w:type="pct"/>
                  </w:tcPr>
                  <w:p w14:paraId="3DDB32E0" w14:textId="77777777" w:rsidR="007E7472" w:rsidRDefault="00EC1269">
                    <w:pPr>
                      <w:spacing w:line="276" w:lineRule="auto"/>
                      <w:jc w:val="right"/>
                    </w:pPr>
                    <w:r>
                      <w:t>7,995,932</w:t>
                    </w:r>
                  </w:p>
                </w:tc>
                <w:tc>
                  <w:tcPr>
                    <w:tcW w:w="581" w:type="pct"/>
                  </w:tcPr>
                  <w:p w14:paraId="1D3B9BBC" w14:textId="77777777" w:rsidR="007E7472" w:rsidRDefault="00EC1269">
                    <w:pPr>
                      <w:spacing w:line="276" w:lineRule="auto"/>
                      <w:jc w:val="right"/>
                    </w:pPr>
                    <w:r>
                      <w:t>13,684,238</w:t>
                    </w:r>
                  </w:p>
                </w:tc>
              </w:tr>
            </w:sdtContent>
          </w:sdt>
          <w:sdt>
            <w:sdtPr>
              <w:alias w:val="重要非全资子公司的主要财务信息明细"/>
              <w:tag w:val="_GBC_330f4405d49345f7b8f69770f6eb8b4a"/>
              <w:id w:val="-1955312175"/>
              <w:lock w:val="sdtLocked"/>
            </w:sdtPr>
            <w:sdtEndPr/>
            <w:sdtContent>
              <w:tr w:rsidR="00121636" w14:paraId="25616BE7" w14:textId="77777777" w:rsidTr="00121636">
                <w:tc>
                  <w:tcPr>
                    <w:tcW w:w="612" w:type="pct"/>
                  </w:tcPr>
                  <w:p w14:paraId="27BD4C8C" w14:textId="77777777" w:rsidR="007E7472" w:rsidRDefault="00EC1269">
                    <w:pPr>
                      <w:spacing w:line="276" w:lineRule="auto"/>
                    </w:pPr>
                    <w:r>
                      <w:rPr>
                        <w:rFonts w:hint="eastAsia"/>
                      </w:rPr>
                      <w:t>昊盛公司</w:t>
                    </w:r>
                  </w:p>
                </w:tc>
                <w:tc>
                  <w:tcPr>
                    <w:tcW w:w="511" w:type="pct"/>
                  </w:tcPr>
                  <w:p w14:paraId="242E5F51" w14:textId="77777777" w:rsidR="007E7472" w:rsidRDefault="00EC1269">
                    <w:pPr>
                      <w:spacing w:line="276" w:lineRule="auto"/>
                      <w:jc w:val="right"/>
                    </w:pPr>
                    <w:r>
                      <w:t>1,247,658</w:t>
                    </w:r>
                  </w:p>
                </w:tc>
                <w:tc>
                  <w:tcPr>
                    <w:tcW w:w="511" w:type="pct"/>
                  </w:tcPr>
                  <w:p w14:paraId="220B72B4" w14:textId="77777777" w:rsidR="007E7472" w:rsidRDefault="00EC1269">
                    <w:pPr>
                      <w:spacing w:line="276" w:lineRule="auto"/>
                      <w:jc w:val="right"/>
                    </w:pPr>
                    <w:r>
                      <w:t>-13,780</w:t>
                    </w:r>
                  </w:p>
                </w:tc>
                <w:tc>
                  <w:tcPr>
                    <w:tcW w:w="563" w:type="pct"/>
                  </w:tcPr>
                  <w:p w14:paraId="2C3C39C9" w14:textId="77777777" w:rsidR="007E7472" w:rsidRDefault="00EC1269">
                    <w:pPr>
                      <w:spacing w:line="276" w:lineRule="auto"/>
                      <w:jc w:val="right"/>
                    </w:pPr>
                    <w:r>
                      <w:t>-13,780</w:t>
                    </w:r>
                  </w:p>
                </w:tc>
                <w:tc>
                  <w:tcPr>
                    <w:tcW w:w="562" w:type="pct"/>
                  </w:tcPr>
                  <w:p w14:paraId="1D81980F" w14:textId="77777777" w:rsidR="007E7472" w:rsidRDefault="00EC1269">
                    <w:pPr>
                      <w:spacing w:line="276" w:lineRule="auto"/>
                      <w:jc w:val="right"/>
                    </w:pPr>
                    <w:r>
                      <w:t>257,922</w:t>
                    </w:r>
                  </w:p>
                </w:tc>
                <w:tc>
                  <w:tcPr>
                    <w:tcW w:w="563" w:type="pct"/>
                  </w:tcPr>
                  <w:p w14:paraId="0FB3283B" w14:textId="77777777" w:rsidR="007E7472" w:rsidRDefault="00EC1269">
                    <w:pPr>
                      <w:spacing w:line="276" w:lineRule="auto"/>
                      <w:jc w:val="right"/>
                    </w:pPr>
                    <w:r>
                      <w:t>820,894</w:t>
                    </w:r>
                  </w:p>
                </w:tc>
                <w:tc>
                  <w:tcPr>
                    <w:tcW w:w="511" w:type="pct"/>
                  </w:tcPr>
                  <w:p w14:paraId="671B1C6C" w14:textId="77777777" w:rsidR="007E7472" w:rsidRDefault="00EC1269">
                    <w:pPr>
                      <w:spacing w:line="276" w:lineRule="auto"/>
                      <w:jc w:val="right"/>
                    </w:pPr>
                    <w:r>
                      <w:t>-166,252</w:t>
                    </w:r>
                  </w:p>
                </w:tc>
                <w:tc>
                  <w:tcPr>
                    <w:tcW w:w="586" w:type="pct"/>
                  </w:tcPr>
                  <w:p w14:paraId="161E55E5" w14:textId="77777777" w:rsidR="007E7472" w:rsidRDefault="00EC1269">
                    <w:pPr>
                      <w:spacing w:line="276" w:lineRule="auto"/>
                      <w:jc w:val="right"/>
                    </w:pPr>
                    <w:r>
                      <w:t>-166,252</w:t>
                    </w:r>
                  </w:p>
                </w:tc>
                <w:tc>
                  <w:tcPr>
                    <w:tcW w:w="581" w:type="pct"/>
                  </w:tcPr>
                  <w:p w14:paraId="24D1F2EE" w14:textId="77777777" w:rsidR="007E7472" w:rsidRDefault="00EC1269">
                    <w:pPr>
                      <w:spacing w:line="276" w:lineRule="auto"/>
                      <w:jc w:val="right"/>
                    </w:pPr>
                    <w:r>
                      <w:t>-306,923</w:t>
                    </w:r>
                  </w:p>
                </w:tc>
              </w:tr>
            </w:sdtContent>
          </w:sdt>
          <w:sdt>
            <w:sdtPr>
              <w:alias w:val="重要非全资子公司的主要财务信息明细"/>
              <w:tag w:val="_GBC_330f4405d49345f7b8f69770f6eb8b4a"/>
              <w:id w:val="-1747174509"/>
              <w:lock w:val="sdtLocked"/>
            </w:sdtPr>
            <w:sdtEndPr/>
            <w:sdtContent>
              <w:tr w:rsidR="00121636" w14:paraId="52E5CF6D" w14:textId="77777777" w:rsidTr="00121636">
                <w:tc>
                  <w:tcPr>
                    <w:tcW w:w="612" w:type="pct"/>
                  </w:tcPr>
                  <w:p w14:paraId="257555C9" w14:textId="77777777" w:rsidR="007E7472" w:rsidRDefault="00EC1269">
                    <w:pPr>
                      <w:spacing w:line="276" w:lineRule="auto"/>
                    </w:pPr>
                    <w:r>
                      <w:rPr>
                        <w:rFonts w:hint="eastAsia"/>
                      </w:rPr>
                      <w:t>未来能源</w:t>
                    </w:r>
                  </w:p>
                </w:tc>
                <w:tc>
                  <w:tcPr>
                    <w:tcW w:w="511" w:type="pct"/>
                  </w:tcPr>
                  <w:p w14:paraId="2168C3D5" w14:textId="77777777" w:rsidR="007E7472" w:rsidRDefault="00EC1269">
                    <w:pPr>
                      <w:spacing w:line="276" w:lineRule="auto"/>
                      <w:jc w:val="right"/>
                    </w:pPr>
                    <w:r>
                      <w:t>8,161,835</w:t>
                    </w:r>
                  </w:p>
                </w:tc>
                <w:tc>
                  <w:tcPr>
                    <w:tcW w:w="511" w:type="pct"/>
                  </w:tcPr>
                  <w:p w14:paraId="4B2D849D" w14:textId="77777777" w:rsidR="007E7472" w:rsidRDefault="00EC1269">
                    <w:pPr>
                      <w:spacing w:line="276" w:lineRule="auto"/>
                      <w:jc w:val="right"/>
                    </w:pPr>
                    <w:r>
                      <w:t>2,923,095</w:t>
                    </w:r>
                  </w:p>
                </w:tc>
                <w:tc>
                  <w:tcPr>
                    <w:tcW w:w="563" w:type="pct"/>
                  </w:tcPr>
                  <w:p w14:paraId="2C456AC1" w14:textId="77777777" w:rsidR="007E7472" w:rsidRDefault="00EC1269">
                    <w:pPr>
                      <w:spacing w:line="276" w:lineRule="auto"/>
                      <w:jc w:val="right"/>
                    </w:pPr>
                    <w:r>
                      <w:t>2,923,095</w:t>
                    </w:r>
                  </w:p>
                </w:tc>
                <w:tc>
                  <w:tcPr>
                    <w:tcW w:w="562" w:type="pct"/>
                  </w:tcPr>
                  <w:p w14:paraId="7E1D4148" w14:textId="77777777" w:rsidR="007E7472" w:rsidRDefault="00EC1269">
                    <w:pPr>
                      <w:spacing w:line="276" w:lineRule="auto"/>
                      <w:jc w:val="right"/>
                    </w:pPr>
                    <w:r>
                      <w:t>3,095,650</w:t>
                    </w:r>
                  </w:p>
                </w:tc>
                <w:tc>
                  <w:tcPr>
                    <w:tcW w:w="563" w:type="pct"/>
                  </w:tcPr>
                  <w:p w14:paraId="435E58D3" w14:textId="77777777" w:rsidR="007E7472" w:rsidRDefault="00EC1269">
                    <w:pPr>
                      <w:spacing w:line="276" w:lineRule="auto"/>
                      <w:jc w:val="right"/>
                    </w:pPr>
                    <w:r>
                      <w:t>8,344,515</w:t>
                    </w:r>
                  </w:p>
                </w:tc>
                <w:tc>
                  <w:tcPr>
                    <w:tcW w:w="511" w:type="pct"/>
                  </w:tcPr>
                  <w:p w14:paraId="15825F43" w14:textId="77777777" w:rsidR="007E7472" w:rsidRDefault="00EC1269">
                    <w:pPr>
                      <w:spacing w:line="276" w:lineRule="auto"/>
                      <w:jc w:val="right"/>
                    </w:pPr>
                    <w:r>
                      <w:t>3,373,858</w:t>
                    </w:r>
                  </w:p>
                </w:tc>
                <w:tc>
                  <w:tcPr>
                    <w:tcW w:w="586" w:type="pct"/>
                  </w:tcPr>
                  <w:p w14:paraId="458D4131" w14:textId="77777777" w:rsidR="007E7472" w:rsidRDefault="00EC1269">
                    <w:pPr>
                      <w:spacing w:line="276" w:lineRule="auto"/>
                      <w:jc w:val="right"/>
                    </w:pPr>
                    <w:r>
                      <w:t>3,373,858</w:t>
                    </w:r>
                  </w:p>
                </w:tc>
                <w:tc>
                  <w:tcPr>
                    <w:tcW w:w="581" w:type="pct"/>
                  </w:tcPr>
                  <w:p w14:paraId="570AC2F3" w14:textId="77777777" w:rsidR="007E7472" w:rsidRDefault="00EC1269">
                    <w:pPr>
                      <w:spacing w:line="276" w:lineRule="auto"/>
                      <w:jc w:val="right"/>
                    </w:pPr>
                    <w:r>
                      <w:t>3,315,878</w:t>
                    </w:r>
                  </w:p>
                </w:tc>
              </w:tr>
            </w:sdtContent>
          </w:sdt>
          <w:sdt>
            <w:sdtPr>
              <w:alias w:val="重要非全资子公司的主要财务信息明细"/>
              <w:tag w:val="_GBC_330f4405d49345f7b8f69770f6eb8b4a"/>
              <w:id w:val="-912545870"/>
              <w:lock w:val="sdtLocked"/>
            </w:sdtPr>
            <w:sdtEndPr/>
            <w:sdtContent>
              <w:tr w:rsidR="00121636" w14:paraId="21DB1FEB" w14:textId="77777777" w:rsidTr="00121636">
                <w:tc>
                  <w:tcPr>
                    <w:tcW w:w="612" w:type="pct"/>
                  </w:tcPr>
                  <w:p w14:paraId="555358B2" w14:textId="77777777" w:rsidR="007E7472" w:rsidRDefault="00EC1269">
                    <w:pPr>
                      <w:spacing w:line="276" w:lineRule="auto"/>
                    </w:pPr>
                    <w:r>
                      <w:rPr>
                        <w:rFonts w:hint="eastAsia"/>
                      </w:rPr>
                      <w:t>内蒙矿业</w:t>
                    </w:r>
                  </w:p>
                </w:tc>
                <w:tc>
                  <w:tcPr>
                    <w:tcW w:w="511" w:type="pct"/>
                  </w:tcPr>
                  <w:p w14:paraId="797E852B" w14:textId="77777777" w:rsidR="007E7472" w:rsidRDefault="00EC1269">
                    <w:pPr>
                      <w:spacing w:line="276" w:lineRule="auto"/>
                      <w:jc w:val="right"/>
                    </w:pPr>
                    <w:r>
                      <w:t>1,429,506</w:t>
                    </w:r>
                  </w:p>
                </w:tc>
                <w:tc>
                  <w:tcPr>
                    <w:tcW w:w="511" w:type="pct"/>
                  </w:tcPr>
                  <w:p w14:paraId="05C7C107" w14:textId="77777777" w:rsidR="007E7472" w:rsidRDefault="00EC1269">
                    <w:pPr>
                      <w:spacing w:line="276" w:lineRule="auto"/>
                      <w:jc w:val="right"/>
                    </w:pPr>
                    <w:r>
                      <w:t>-532,341</w:t>
                    </w:r>
                  </w:p>
                </w:tc>
                <w:tc>
                  <w:tcPr>
                    <w:tcW w:w="563" w:type="pct"/>
                  </w:tcPr>
                  <w:p w14:paraId="5B44ED80" w14:textId="77777777" w:rsidR="007E7472" w:rsidRDefault="00EC1269">
                    <w:pPr>
                      <w:spacing w:line="276" w:lineRule="auto"/>
                      <w:jc w:val="right"/>
                    </w:pPr>
                    <w:r>
                      <w:t>-532,341</w:t>
                    </w:r>
                  </w:p>
                </w:tc>
                <w:tc>
                  <w:tcPr>
                    <w:tcW w:w="562" w:type="pct"/>
                  </w:tcPr>
                  <w:p w14:paraId="7E583E08" w14:textId="77777777" w:rsidR="007E7472" w:rsidRDefault="00EC1269">
                    <w:pPr>
                      <w:spacing w:line="276" w:lineRule="auto"/>
                      <w:jc w:val="right"/>
                    </w:pPr>
                    <w:r>
                      <w:t>-8,085</w:t>
                    </w:r>
                  </w:p>
                </w:tc>
                <w:tc>
                  <w:tcPr>
                    <w:tcW w:w="563" w:type="pct"/>
                  </w:tcPr>
                  <w:p w14:paraId="1A50C6C0" w14:textId="77777777" w:rsidR="007E7472" w:rsidRDefault="00EC1269">
                    <w:pPr>
                      <w:spacing w:line="276" w:lineRule="auto"/>
                      <w:jc w:val="right"/>
                    </w:pPr>
                    <w:r>
                      <w:t>1,744,283</w:t>
                    </w:r>
                  </w:p>
                </w:tc>
                <w:tc>
                  <w:tcPr>
                    <w:tcW w:w="511" w:type="pct"/>
                  </w:tcPr>
                  <w:p w14:paraId="27E56162" w14:textId="77777777" w:rsidR="007E7472" w:rsidRDefault="00EC1269">
                    <w:pPr>
                      <w:spacing w:line="276" w:lineRule="auto"/>
                      <w:jc w:val="right"/>
                    </w:pPr>
                    <w:r>
                      <w:t>234,850</w:t>
                    </w:r>
                  </w:p>
                </w:tc>
                <w:tc>
                  <w:tcPr>
                    <w:tcW w:w="586" w:type="pct"/>
                  </w:tcPr>
                  <w:p w14:paraId="25D5B7D5" w14:textId="77777777" w:rsidR="007E7472" w:rsidRDefault="00EC1269">
                    <w:pPr>
                      <w:spacing w:line="276" w:lineRule="auto"/>
                      <w:jc w:val="right"/>
                    </w:pPr>
                    <w:r>
                      <w:t>234,850</w:t>
                    </w:r>
                  </w:p>
                </w:tc>
                <w:tc>
                  <w:tcPr>
                    <w:tcW w:w="581" w:type="pct"/>
                  </w:tcPr>
                  <w:p w14:paraId="12FA27F2" w14:textId="77777777" w:rsidR="007E7472" w:rsidRDefault="00EC1269">
                    <w:pPr>
                      <w:spacing w:line="276" w:lineRule="auto"/>
                      <w:jc w:val="right"/>
                    </w:pPr>
                    <w:r>
                      <w:t>682,869</w:t>
                    </w:r>
                  </w:p>
                </w:tc>
              </w:tr>
            </w:sdtContent>
          </w:sdt>
        </w:tbl>
        <w:p w14:paraId="6E644C44" w14:textId="77777777" w:rsidR="007E7472" w:rsidRDefault="00C8327E">
          <w:pPr>
            <w:rPr>
              <w:rFonts w:cs="Arial"/>
            </w:rPr>
          </w:pPr>
        </w:p>
      </w:sdtContent>
    </w:sdt>
    <w:p w14:paraId="18CEBB00" w14:textId="77777777" w:rsidR="007E7472" w:rsidRDefault="00C8327E">
      <w:pPr>
        <w:rPr>
          <w:rFonts w:cs="Arial"/>
        </w:rPr>
        <w:sectPr w:rsidR="007E7472">
          <w:pgSz w:w="16838" w:h="11906" w:orient="landscape"/>
          <w:pgMar w:top="1797" w:right="1525" w:bottom="1276" w:left="1440" w:header="856" w:footer="992" w:gutter="0"/>
          <w:cols w:space="425"/>
          <w:docGrid w:linePitch="312"/>
        </w:sectPr>
      </w:pPr>
    </w:p>
    <w:p w14:paraId="4DE8B0DD" w14:textId="77777777" w:rsidR="007E7472" w:rsidRDefault="00C8327E">
      <w:pPr>
        <w:rPr>
          <w:rFonts w:cs="Arial"/>
        </w:rPr>
      </w:pPr>
    </w:p>
    <w:sdt>
      <w:sdtPr>
        <w:rPr>
          <w:rFonts w:ascii="宋体" w:hAnsi="宋体" w:cs="Arial" w:hint="eastAsia"/>
          <w:b w:val="0"/>
          <w:bCs w:val="0"/>
          <w:kern w:val="0"/>
          <w:szCs w:val="21"/>
        </w:rPr>
        <w:alias w:val="模块:使用企业集团资产和清偿企业集团债务的重大限制"/>
        <w:tag w:val="_GBC_573fe5c9daf0401da00d8fc5198daf66"/>
        <w:id w:val="-1175879246"/>
        <w:lock w:val="sdtLocked"/>
        <w:placeholder>
          <w:docPart w:val="GBC22222222222222222222222222222"/>
        </w:placeholder>
      </w:sdtPr>
      <w:sdtEndPr/>
      <w:sdtContent>
        <w:p w14:paraId="72D5DB29" w14:textId="77777777" w:rsidR="007E7472" w:rsidRDefault="00EC1269" w:rsidP="00162493">
          <w:pPr>
            <w:pStyle w:val="4"/>
            <w:numPr>
              <w:ilvl w:val="0"/>
              <w:numId w:val="103"/>
            </w:numPr>
            <w:rPr>
              <w:rFonts w:cs="Arial"/>
            </w:rPr>
          </w:pPr>
          <w:r>
            <w:rPr>
              <w:rFonts w:cs="Arial" w:hint="eastAsia"/>
            </w:rPr>
            <w:t>使用企业集团资产和清偿企业集团债务的重大限制：</w:t>
          </w:r>
        </w:p>
        <w:sdt>
          <w:sdtPr>
            <w:alias w:val="是否适用：使用企业集团资产和清偿企业集团债务的重大限制[双击切换]"/>
            <w:tag w:val="_GBC_d4aaeca51c634ffea892b86812441771"/>
            <w:id w:val="1182463861"/>
            <w:lock w:val="sdtLocked"/>
            <w:placeholder>
              <w:docPart w:val="GBC22222222222222222222222222222"/>
            </w:placeholder>
          </w:sdtPr>
          <w:sdtEndPr/>
          <w:sdtContent>
            <w:p w14:paraId="11459BAC" w14:textId="77777777" w:rsidR="007E7472" w:rsidRDefault="00EC1269">
              <w:pPr>
                <w:rPr>
                  <w:rFonts w:cs="Arial"/>
                  <w:b/>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3671DEFD" w14:textId="77777777" w:rsidR="007E7472" w:rsidRDefault="00C8327E">
      <w:pPr>
        <w:rPr>
          <w:rFonts w:cs="Arial"/>
        </w:rPr>
      </w:pPr>
    </w:p>
    <w:sdt>
      <w:sdtPr>
        <w:rPr>
          <w:rFonts w:ascii="宋体" w:hAnsi="宋体" w:cs="Arial" w:hint="eastAsia"/>
          <w:b w:val="0"/>
          <w:bCs w:val="0"/>
          <w:kern w:val="0"/>
          <w:szCs w:val="21"/>
        </w:rPr>
        <w:alias w:val="模块:向纳入合并财务报表范围的结构化主体提供的财务支持或其他支持"/>
        <w:tag w:val="_GBC_114877d69a2e4b56b15fb618155127e3"/>
        <w:id w:val="1225251277"/>
        <w:lock w:val="sdtLocked"/>
        <w:placeholder>
          <w:docPart w:val="GBC22222222222222222222222222222"/>
        </w:placeholder>
      </w:sdtPr>
      <w:sdtEndPr/>
      <w:sdtContent>
        <w:p w14:paraId="49847104" w14:textId="77777777" w:rsidR="007E7472" w:rsidRDefault="00EC1269" w:rsidP="00162493">
          <w:pPr>
            <w:pStyle w:val="4"/>
            <w:numPr>
              <w:ilvl w:val="0"/>
              <w:numId w:val="103"/>
            </w:numPr>
            <w:rPr>
              <w:rFonts w:cs="Arial"/>
            </w:rPr>
          </w:pPr>
          <w:r>
            <w:rPr>
              <w:rFonts w:cs="Arial" w:hint="eastAsia"/>
            </w:rPr>
            <w:t>向纳入合并财务报表范围的结构化主体提供的财务支持或其他支持：</w:t>
          </w:r>
        </w:p>
        <w:sdt>
          <w:sdtPr>
            <w:alias w:val="是否适用：向纳入合并财务报表范围的结构化主体提供的财务支持或其他支持[双击切换]"/>
            <w:tag w:val="_GBC_3ee0b326ed544ace8060843f29d4cd3a"/>
            <w:id w:val="-489478315"/>
            <w:lock w:val="sdtLocked"/>
            <w:placeholder>
              <w:docPart w:val="GBC22222222222222222222222222222"/>
            </w:placeholder>
          </w:sdtPr>
          <w:sdtEndPr/>
          <w:sdtContent>
            <w:p w14:paraId="78F08FE0" w14:textId="77777777" w:rsidR="007E7472" w:rsidRDefault="00EC1269">
              <w:pPr>
                <w:rPr>
                  <w:rFonts w:cs="Arial"/>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3FCC7405" w14:textId="77777777" w:rsidR="007E7472" w:rsidRDefault="00C8327E">
      <w:pPr>
        <w:rPr>
          <w:rFonts w:cs="Arial"/>
          <w:b/>
        </w:rPr>
      </w:pPr>
    </w:p>
    <w:sdt>
      <w:sdtPr>
        <w:alias w:val="模块:在子公司中的权益其他说明"/>
        <w:tag w:val="_GBC_a0f68dc0a3a24efaa431a8c8d768eb0f"/>
        <w:id w:val="-743182682"/>
        <w:lock w:val="sdtLocked"/>
        <w:placeholder>
          <w:docPart w:val="GBC22222222222222222222222222222"/>
        </w:placeholder>
      </w:sdtPr>
      <w:sdtEndPr/>
      <w:sdtContent>
        <w:p w14:paraId="218BB02C" w14:textId="77777777" w:rsidR="007E7472" w:rsidRDefault="00EC1269">
          <w:r>
            <w:rPr>
              <w:rFonts w:hint="eastAsia"/>
            </w:rPr>
            <w:t>其他说明：</w:t>
          </w:r>
        </w:p>
        <w:sdt>
          <w:sdtPr>
            <w:alias w:val="是否适用：在子公司中的权益其他说明[双击切换]"/>
            <w:tag w:val="_GBC_e4c33fb40d7a42bc88681a9facbf5ba5"/>
            <w:id w:val="-86782066"/>
            <w:lock w:val="sdtLocked"/>
            <w:placeholder>
              <w:docPart w:val="GBC22222222222222222222222222222"/>
            </w:placeholder>
          </w:sdtPr>
          <w:sdtEndPr/>
          <w:sdtContent>
            <w:p w14:paraId="06F23EFC"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16670977" w14:textId="77777777" w:rsidR="007E7472" w:rsidRPr="00951C25" w:rsidRDefault="00C8327E">
      <w:pPr>
        <w:rPr>
          <w:b/>
        </w:rPr>
      </w:pPr>
    </w:p>
    <w:p w14:paraId="09E2CB63" w14:textId="77777777" w:rsidR="007E7472" w:rsidRPr="00951C25" w:rsidRDefault="00EC1269" w:rsidP="00162493">
      <w:pPr>
        <w:numPr>
          <w:ilvl w:val="2"/>
          <w:numId w:val="102"/>
        </w:numPr>
        <w:outlineLvl w:val="2"/>
        <w:rPr>
          <w:rFonts w:cs="Arial"/>
          <w:b/>
        </w:rPr>
      </w:pPr>
      <w:r w:rsidRPr="00951C25">
        <w:rPr>
          <w:rFonts w:cs="Arial" w:hint="eastAsia"/>
          <w:b/>
        </w:rPr>
        <w:t>在子公司的所有者权益份额发生变化且仍控制子公司的交易</w:t>
      </w:r>
    </w:p>
    <w:sdt>
      <w:sdtPr>
        <w:alias w:val="是否适用：在子公司的所有者权益份额发生变化且仍控制子公司的交易[双击切换]"/>
        <w:tag w:val="_GBC_51b903d8f50944dc91e91048eba723cd"/>
        <w:id w:val="-1091924907"/>
        <w:lock w:val="sdtLocked"/>
        <w:placeholder>
          <w:docPart w:val="GBC22222222222222222222222222222"/>
        </w:placeholder>
      </w:sdtPr>
      <w:sdtEndPr/>
      <w:sdtContent>
        <w:p w14:paraId="5CA14E6F"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34ADE61" w14:textId="77777777" w:rsidR="007E7472" w:rsidRDefault="00C8327E"/>
    <w:p w14:paraId="5A41F1D9" w14:textId="77777777" w:rsidR="007E7472" w:rsidRPr="00951C25" w:rsidRDefault="00EC1269" w:rsidP="00162493">
      <w:pPr>
        <w:numPr>
          <w:ilvl w:val="2"/>
          <w:numId w:val="102"/>
        </w:numPr>
        <w:outlineLvl w:val="2"/>
        <w:rPr>
          <w:rFonts w:cs="Arial"/>
          <w:b/>
        </w:rPr>
      </w:pPr>
      <w:r w:rsidRPr="00951C25">
        <w:rPr>
          <w:rFonts w:cs="Arial" w:hint="eastAsia"/>
          <w:b/>
        </w:rPr>
        <w:t>在合营企业或联营企业中的权益</w:t>
      </w:r>
    </w:p>
    <w:sdt>
      <w:sdtPr>
        <w:alias w:val="是否适用：在合营企业或联营企业中的权益[双击切换]"/>
        <w:tag w:val="_GBC_31c0fe2068fd4a898e4269df4925aa76"/>
        <w:id w:val="-331765271"/>
        <w:lock w:val="sdtLocked"/>
        <w:placeholder>
          <w:docPart w:val="GBC22222222222222222222222222222"/>
        </w:placeholder>
      </w:sdtPr>
      <w:sdtEndPr/>
      <w:sdtContent>
        <w:p w14:paraId="2EE7FE08"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hAnsi="宋体" w:cs="宋体" w:hint="eastAsia"/>
          <w:b w:val="0"/>
          <w:bCs w:val="0"/>
          <w:kern w:val="0"/>
          <w:szCs w:val="24"/>
        </w:rPr>
        <w:alias w:val="模块:重要的合营企业或联营企业"/>
        <w:tag w:val="_GBC_49e4a749316a464e89485cda5774fc07"/>
        <w:id w:val="-61104121"/>
        <w:lock w:val="sdtLocked"/>
        <w:placeholder>
          <w:docPart w:val="GBC22222222222222222222222222222"/>
        </w:placeholder>
      </w:sdtPr>
      <w:sdtEndPr>
        <w:rPr>
          <w:rFonts w:cstheme="minorBidi" w:hint="default"/>
          <w:szCs w:val="21"/>
        </w:rPr>
      </w:sdtEndPr>
      <w:sdtContent>
        <w:p w14:paraId="15093779" w14:textId="77777777" w:rsidR="007E7472" w:rsidRDefault="00EC1269" w:rsidP="00162493">
          <w:pPr>
            <w:pStyle w:val="4"/>
            <w:numPr>
              <w:ilvl w:val="0"/>
              <w:numId w:val="105"/>
            </w:numPr>
          </w:pPr>
          <w:r>
            <w:rPr>
              <w:rFonts w:hint="eastAsia"/>
            </w:rPr>
            <w:t>重要的合营企业或联营企业</w:t>
          </w:r>
        </w:p>
        <w:sdt>
          <w:sdtPr>
            <w:alias w:val="是否适用：重要的合营企业或联营企业[双击切换]"/>
            <w:tag w:val="_GBC_9973f58b324442d5879a5d16db0cd410"/>
            <w:id w:val="-1313864232"/>
            <w:lock w:val="sdtLocked"/>
            <w:placeholder>
              <w:docPart w:val="GBC22222222222222222222222222222"/>
            </w:placeholder>
          </w:sdtPr>
          <w:sdtEndPr/>
          <w:sdtContent>
            <w:p w14:paraId="1DA1EA23"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79FF7A3" w14:textId="07678985" w:rsidR="007E7472" w:rsidRDefault="00EC1269">
          <w:pPr>
            <w:jc w:val="right"/>
          </w:pPr>
          <w:r>
            <w:rPr>
              <w:rFonts w:hint="eastAsia"/>
            </w:rPr>
            <w:t>单位：</w:t>
          </w:r>
          <w:sdt>
            <w:sdtPr>
              <w:rPr>
                <w:rFonts w:hint="eastAsia"/>
              </w:rPr>
              <w:alias w:val="单位：财务附注：重要的合营企业或联营企业"/>
              <w:tag w:val="_GBC_fc95ad35f9984b0c84fb2b12ebeb41db"/>
              <w:id w:val="-19869272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重要的合营企业或联营企业"/>
              <w:tag w:val="_GBC_95704750d12047c58739551fa2558d6f"/>
              <w:id w:val="-20425844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691"/>
            <w:gridCol w:w="1131"/>
            <w:gridCol w:w="1111"/>
            <w:gridCol w:w="1715"/>
            <w:gridCol w:w="705"/>
            <w:gridCol w:w="741"/>
            <w:gridCol w:w="1729"/>
          </w:tblGrid>
          <w:tr w:rsidR="007E7472" w14:paraId="07EBF1EA" w14:textId="77777777">
            <w:trPr>
              <w:trHeight w:val="451"/>
            </w:trPr>
            <w:sdt>
              <w:sdtPr>
                <w:tag w:val="_PLD_bb6c91c88e754a5da79068d0b040e152"/>
                <w:id w:val="-1305994048"/>
                <w:lock w:val="sdtLocked"/>
              </w:sdtPr>
              <w:sdtEndPr/>
              <w:sdtContent>
                <w:tc>
                  <w:tcPr>
                    <w:tcW w:w="961"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14:paraId="7EEC0785" w14:textId="77777777" w:rsidR="007E7472" w:rsidRDefault="00EC1269">
                    <w:pPr>
                      <w:jc w:val="center"/>
                      <w:rPr>
                        <w:rFonts w:cs="Arial"/>
                      </w:rPr>
                    </w:pPr>
                    <w:r>
                      <w:rPr>
                        <w:rFonts w:cs="Arial" w:hint="eastAsia"/>
                        <w:lang w:val="en-GB"/>
                      </w:rPr>
                      <w:t>合营企业或联营企业名称</w:t>
                    </w:r>
                  </w:p>
                </w:tc>
              </w:sdtContent>
            </w:sdt>
            <w:sdt>
              <w:sdtPr>
                <w:tag w:val="_PLD_4c91d89257574ee1a96260d900b3fdde"/>
                <w:id w:val="743685863"/>
                <w:lock w:val="sdtLocked"/>
              </w:sdtPr>
              <w:sdtEndPr/>
              <w:sdtContent>
                <w:tc>
                  <w:tcPr>
                    <w:tcW w:w="643"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14:paraId="3FE97B51" w14:textId="77777777" w:rsidR="007E7472" w:rsidRDefault="00EC1269">
                    <w:pPr>
                      <w:jc w:val="center"/>
                      <w:rPr>
                        <w:rFonts w:cs="Arial"/>
                      </w:rPr>
                    </w:pPr>
                    <w:r>
                      <w:rPr>
                        <w:rFonts w:cs="Arial" w:hint="eastAsia"/>
                        <w:lang w:val="en-GB"/>
                      </w:rPr>
                      <w:t>主要经营地</w:t>
                    </w:r>
                  </w:p>
                </w:tc>
              </w:sdtContent>
            </w:sdt>
            <w:sdt>
              <w:sdtPr>
                <w:tag w:val="_PLD_4a3c73442b1947fdae2c0b554e7271a4"/>
                <w:id w:val="278066043"/>
                <w:lock w:val="sdtLocked"/>
              </w:sdtPr>
              <w:sdtEndPr/>
              <w:sdtContent>
                <w:tc>
                  <w:tcPr>
                    <w:tcW w:w="632"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14:paraId="7B2CB1F5" w14:textId="77777777" w:rsidR="007E7472" w:rsidRDefault="00EC1269">
                    <w:pPr>
                      <w:jc w:val="center"/>
                      <w:rPr>
                        <w:rFonts w:cs="Arial"/>
                      </w:rPr>
                    </w:pPr>
                    <w:r>
                      <w:rPr>
                        <w:rFonts w:cs="Arial" w:hint="eastAsia"/>
                        <w:lang w:val="en-GB"/>
                      </w:rPr>
                      <w:t>注册地</w:t>
                    </w:r>
                  </w:p>
                </w:tc>
              </w:sdtContent>
            </w:sdt>
            <w:sdt>
              <w:sdtPr>
                <w:tag w:val="_PLD_07a3d19678c44b0db85c15fb74bf76d2"/>
                <w:id w:val="559213579"/>
                <w:lock w:val="sdtLocked"/>
              </w:sdtPr>
              <w:sdtEndPr/>
              <w:sdtContent>
                <w:tc>
                  <w:tcPr>
                    <w:tcW w:w="974"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14:paraId="7CB3F48B" w14:textId="77777777" w:rsidR="007E7472" w:rsidRDefault="00EC1269">
                    <w:pPr>
                      <w:jc w:val="center"/>
                      <w:rPr>
                        <w:rFonts w:cs="Arial"/>
                      </w:rPr>
                    </w:pPr>
                    <w:r>
                      <w:rPr>
                        <w:rFonts w:cs="Arial" w:hint="eastAsia"/>
                        <w:lang w:val="en-GB"/>
                      </w:rPr>
                      <w:t>业务性质</w:t>
                    </w:r>
                  </w:p>
                </w:tc>
              </w:sdtContent>
            </w:sdt>
            <w:sdt>
              <w:sdtPr>
                <w:tag w:val="_PLD_cb67afe7283245a29754ca96c69b89fc"/>
                <w:id w:val="-965121482"/>
                <w:lock w:val="sdtLocked"/>
              </w:sdtPr>
              <w:sdtEndPr/>
              <w:sdtContent>
                <w:tc>
                  <w:tcPr>
                    <w:tcW w:w="808" w:type="pct"/>
                    <w:gridSpan w:val="2"/>
                    <w:tcBorders>
                      <w:top w:val="single" w:sz="4" w:space="0" w:color="auto"/>
                      <w:left w:val="single" w:sz="6" w:space="0" w:color="auto"/>
                      <w:bottom w:val="single" w:sz="6" w:space="0" w:color="auto"/>
                      <w:right w:val="single" w:sz="6" w:space="0" w:color="auto"/>
                    </w:tcBorders>
                    <w:shd w:val="clear" w:color="auto" w:fill="auto"/>
                    <w:vAlign w:val="center"/>
                  </w:tcPr>
                  <w:p w14:paraId="1EB9721B" w14:textId="77777777" w:rsidR="007E7472" w:rsidRDefault="00EC1269">
                    <w:pPr>
                      <w:jc w:val="center"/>
                      <w:rPr>
                        <w:rFonts w:cs="Arial"/>
                      </w:rPr>
                    </w:pPr>
                    <w:r>
                      <w:rPr>
                        <w:rFonts w:cs="Arial" w:hint="eastAsia"/>
                        <w:lang w:val="en-GB"/>
                      </w:rPr>
                      <w:t>持股比例</w:t>
                    </w:r>
                    <w:r>
                      <w:rPr>
                        <w:rFonts w:cs="Arial"/>
                      </w:rPr>
                      <w:t>(%)</w:t>
                    </w:r>
                  </w:p>
                </w:tc>
              </w:sdtContent>
            </w:sdt>
            <w:sdt>
              <w:sdtPr>
                <w:tag w:val="_PLD_0fddec4e9b2a4b3aa0f9a08859cf498e"/>
                <w:id w:val="-273398861"/>
                <w:lock w:val="sdtLocked"/>
              </w:sdtPr>
              <w:sdtEndPr/>
              <w:sdtContent>
                <w:tc>
                  <w:tcPr>
                    <w:tcW w:w="982" w:type="pct"/>
                    <w:vMerge w:val="restart"/>
                    <w:tcBorders>
                      <w:top w:val="single" w:sz="4" w:space="0" w:color="auto"/>
                      <w:left w:val="single" w:sz="6" w:space="0" w:color="auto"/>
                      <w:bottom w:val="single" w:sz="6" w:space="0" w:color="auto"/>
                      <w:right w:val="single" w:sz="4" w:space="0" w:color="auto"/>
                    </w:tcBorders>
                    <w:shd w:val="clear" w:color="auto" w:fill="auto"/>
                    <w:vAlign w:val="center"/>
                  </w:tcPr>
                  <w:p w14:paraId="4B5B4828" w14:textId="77777777" w:rsidR="007E7472" w:rsidRDefault="00EC1269">
                    <w:pPr>
                      <w:jc w:val="center"/>
                      <w:rPr>
                        <w:rFonts w:cs="Arial"/>
                      </w:rPr>
                    </w:pPr>
                    <w:r>
                      <w:rPr>
                        <w:rFonts w:cs="Arial" w:hint="eastAsia"/>
                        <w:lang w:val="en-GB"/>
                      </w:rPr>
                      <w:t>对合营企业或联营企业投资的会计处理方法</w:t>
                    </w:r>
                  </w:p>
                </w:tc>
              </w:sdtContent>
            </w:sdt>
          </w:tr>
          <w:tr w:rsidR="007E7472" w14:paraId="40A72F79" w14:textId="77777777">
            <w:trPr>
              <w:trHeight w:val="278"/>
            </w:trPr>
            <w:tc>
              <w:tcPr>
                <w:tcW w:w="961" w:type="pct"/>
                <w:vMerge/>
                <w:tcBorders>
                  <w:top w:val="single" w:sz="4" w:space="0" w:color="auto"/>
                  <w:left w:val="single" w:sz="4" w:space="0" w:color="auto"/>
                  <w:bottom w:val="single" w:sz="6" w:space="0" w:color="auto"/>
                  <w:right w:val="single" w:sz="6" w:space="0" w:color="auto"/>
                </w:tcBorders>
                <w:shd w:val="clear" w:color="auto" w:fill="auto"/>
                <w:vAlign w:val="center"/>
              </w:tcPr>
              <w:p w14:paraId="01AC4726" w14:textId="77777777" w:rsidR="007E7472" w:rsidRDefault="00C8327E">
                <w:pPr>
                  <w:rPr>
                    <w:rFonts w:cs="Arial"/>
                  </w:rPr>
                </w:pPr>
              </w:p>
            </w:tc>
            <w:tc>
              <w:tcPr>
                <w:tcW w:w="643" w:type="pct"/>
                <w:vMerge/>
                <w:tcBorders>
                  <w:top w:val="single" w:sz="4" w:space="0" w:color="auto"/>
                  <w:left w:val="single" w:sz="6" w:space="0" w:color="auto"/>
                  <w:bottom w:val="single" w:sz="6" w:space="0" w:color="auto"/>
                  <w:right w:val="single" w:sz="6" w:space="0" w:color="auto"/>
                </w:tcBorders>
                <w:shd w:val="clear" w:color="auto" w:fill="auto"/>
                <w:vAlign w:val="center"/>
              </w:tcPr>
              <w:p w14:paraId="49322591" w14:textId="77777777" w:rsidR="007E7472" w:rsidRDefault="00C8327E">
                <w:pPr>
                  <w:rPr>
                    <w:rFonts w:cs="Arial"/>
                  </w:rPr>
                </w:pPr>
              </w:p>
            </w:tc>
            <w:tc>
              <w:tcPr>
                <w:tcW w:w="632" w:type="pct"/>
                <w:vMerge/>
                <w:tcBorders>
                  <w:top w:val="single" w:sz="4" w:space="0" w:color="auto"/>
                  <w:left w:val="single" w:sz="6" w:space="0" w:color="auto"/>
                  <w:bottom w:val="single" w:sz="6" w:space="0" w:color="auto"/>
                  <w:right w:val="single" w:sz="6" w:space="0" w:color="auto"/>
                </w:tcBorders>
                <w:shd w:val="clear" w:color="auto" w:fill="auto"/>
                <w:vAlign w:val="center"/>
              </w:tcPr>
              <w:p w14:paraId="23D7FE53" w14:textId="77777777" w:rsidR="007E7472" w:rsidRDefault="00C8327E">
                <w:pPr>
                  <w:rPr>
                    <w:rFonts w:cs="Arial"/>
                  </w:rPr>
                </w:pPr>
              </w:p>
            </w:tc>
            <w:tc>
              <w:tcPr>
                <w:tcW w:w="974" w:type="pct"/>
                <w:vMerge/>
                <w:tcBorders>
                  <w:top w:val="single" w:sz="4" w:space="0" w:color="auto"/>
                  <w:left w:val="single" w:sz="6" w:space="0" w:color="auto"/>
                  <w:bottom w:val="single" w:sz="6" w:space="0" w:color="auto"/>
                  <w:right w:val="single" w:sz="6" w:space="0" w:color="auto"/>
                </w:tcBorders>
                <w:shd w:val="clear" w:color="auto" w:fill="auto"/>
                <w:vAlign w:val="center"/>
              </w:tcPr>
              <w:p w14:paraId="30448E0B" w14:textId="77777777" w:rsidR="007E7472" w:rsidRDefault="00C8327E">
                <w:pPr>
                  <w:rPr>
                    <w:rFonts w:cs="Arial"/>
                  </w:rPr>
                </w:pPr>
              </w:p>
            </w:tc>
            <w:sdt>
              <w:sdtPr>
                <w:tag w:val="_PLD_42f14f52720a4c87819c9bd5211ded18"/>
                <w:id w:val="-1979219102"/>
                <w:lock w:val="sdtLocked"/>
              </w:sdtPr>
              <w:sdtEndPr/>
              <w:sdtContent>
                <w:tc>
                  <w:tcPr>
                    <w:tcW w:w="402" w:type="pct"/>
                    <w:tcBorders>
                      <w:top w:val="single" w:sz="4" w:space="0" w:color="auto"/>
                      <w:left w:val="single" w:sz="6" w:space="0" w:color="auto"/>
                      <w:bottom w:val="single" w:sz="6" w:space="0" w:color="auto"/>
                      <w:right w:val="single" w:sz="6" w:space="0" w:color="auto"/>
                    </w:tcBorders>
                    <w:shd w:val="clear" w:color="auto" w:fill="auto"/>
                    <w:vAlign w:val="center"/>
                  </w:tcPr>
                  <w:p w14:paraId="510A184F" w14:textId="77777777" w:rsidR="007E7472" w:rsidRDefault="00EC1269">
                    <w:pPr>
                      <w:jc w:val="center"/>
                      <w:rPr>
                        <w:rFonts w:cs="Arial"/>
                      </w:rPr>
                    </w:pPr>
                    <w:r>
                      <w:rPr>
                        <w:rFonts w:cs="Arial" w:hint="eastAsia"/>
                        <w:lang w:val="en-GB"/>
                      </w:rPr>
                      <w:t>直接</w:t>
                    </w:r>
                  </w:p>
                </w:tc>
              </w:sdtContent>
            </w:sdt>
            <w:sdt>
              <w:sdtPr>
                <w:tag w:val="_PLD_e87318e11f6c4411aa17083e3a10cd90"/>
                <w:id w:val="-1355264541"/>
                <w:lock w:val="sdtLocked"/>
              </w:sdtPr>
              <w:sdtEndPr/>
              <w:sdtContent>
                <w:tc>
                  <w:tcPr>
                    <w:tcW w:w="406" w:type="pct"/>
                    <w:tcBorders>
                      <w:top w:val="single" w:sz="4" w:space="0" w:color="auto"/>
                      <w:left w:val="single" w:sz="6" w:space="0" w:color="auto"/>
                      <w:bottom w:val="single" w:sz="6" w:space="0" w:color="auto"/>
                      <w:right w:val="single" w:sz="6" w:space="0" w:color="auto"/>
                    </w:tcBorders>
                    <w:shd w:val="clear" w:color="auto" w:fill="auto"/>
                    <w:vAlign w:val="center"/>
                  </w:tcPr>
                  <w:p w14:paraId="0B536026" w14:textId="77777777" w:rsidR="007E7472" w:rsidRDefault="00EC1269">
                    <w:pPr>
                      <w:jc w:val="center"/>
                      <w:rPr>
                        <w:rFonts w:cs="Arial"/>
                      </w:rPr>
                    </w:pPr>
                    <w:r>
                      <w:rPr>
                        <w:rFonts w:cs="Arial" w:hint="eastAsia"/>
                        <w:lang w:val="en-GB"/>
                      </w:rPr>
                      <w:t>间接</w:t>
                    </w:r>
                  </w:p>
                </w:tc>
              </w:sdtContent>
            </w:sdt>
            <w:tc>
              <w:tcPr>
                <w:tcW w:w="982" w:type="pct"/>
                <w:vMerge/>
                <w:tcBorders>
                  <w:top w:val="single" w:sz="4" w:space="0" w:color="auto"/>
                  <w:left w:val="single" w:sz="6" w:space="0" w:color="auto"/>
                  <w:bottom w:val="single" w:sz="6" w:space="0" w:color="auto"/>
                  <w:right w:val="single" w:sz="4" w:space="0" w:color="auto"/>
                </w:tcBorders>
                <w:vAlign w:val="center"/>
              </w:tcPr>
              <w:p w14:paraId="189C564B" w14:textId="77777777" w:rsidR="007E7472" w:rsidRDefault="00C8327E">
                <w:pPr>
                  <w:rPr>
                    <w:rFonts w:cs="Arial"/>
                  </w:rPr>
                </w:pPr>
              </w:p>
            </w:tc>
          </w:tr>
          <w:sdt>
            <w:sdtPr>
              <w:rPr>
                <w:rFonts w:asciiTheme="minorHAnsi" w:eastAsiaTheme="minorEastAsia" w:hAnsiTheme="minorHAnsi" w:cstheme="minorBidi"/>
                <w:kern w:val="2"/>
                <w:szCs w:val="22"/>
              </w:rPr>
              <w:alias w:val="重要的合营企业或联营企业明细"/>
              <w:tag w:val="_GBC_a1baed559822472c8c78b05cadceb35a"/>
              <w:id w:val="1633982122"/>
              <w:lock w:val="sdtLocked"/>
            </w:sdtPr>
            <w:sdtEndPr/>
            <w:sdtContent>
              <w:tr w:rsidR="007E7472" w14:paraId="3F8D38C0" w14:textId="77777777" w:rsidTr="007E7472">
                <w:trPr>
                  <w:trHeight w:val="411"/>
                </w:trPr>
                <w:tc>
                  <w:tcPr>
                    <w:tcW w:w="961" w:type="pct"/>
                    <w:tcBorders>
                      <w:top w:val="single" w:sz="6" w:space="0" w:color="auto"/>
                      <w:left w:val="single" w:sz="4" w:space="0" w:color="auto"/>
                      <w:bottom w:val="single" w:sz="4" w:space="0" w:color="auto"/>
                      <w:right w:val="single" w:sz="6" w:space="0" w:color="auto"/>
                    </w:tcBorders>
                    <w:vAlign w:val="center"/>
                  </w:tcPr>
                  <w:p w14:paraId="68D4FF95" w14:textId="77777777" w:rsidR="007E7472" w:rsidRDefault="00EC1269">
                    <w:r>
                      <w:t>中山矿合营企业</w:t>
                    </w:r>
                  </w:p>
                </w:tc>
                <w:tc>
                  <w:tcPr>
                    <w:tcW w:w="643" w:type="pct"/>
                    <w:tcBorders>
                      <w:top w:val="single" w:sz="6" w:space="0" w:color="auto"/>
                      <w:left w:val="single" w:sz="6" w:space="0" w:color="auto"/>
                      <w:bottom w:val="single" w:sz="4" w:space="0" w:color="auto"/>
                      <w:right w:val="single" w:sz="6" w:space="0" w:color="auto"/>
                    </w:tcBorders>
                    <w:vAlign w:val="center"/>
                  </w:tcPr>
                  <w:p w14:paraId="4E5DF409" w14:textId="77777777" w:rsidR="007E7472" w:rsidRDefault="00EC1269">
                    <w:r>
                      <w:t>澳大利亚</w:t>
                    </w:r>
                  </w:p>
                </w:tc>
                <w:tc>
                  <w:tcPr>
                    <w:tcW w:w="632" w:type="pct"/>
                    <w:tcBorders>
                      <w:top w:val="single" w:sz="6" w:space="0" w:color="auto"/>
                      <w:left w:val="single" w:sz="6" w:space="0" w:color="auto"/>
                      <w:bottom w:val="single" w:sz="4" w:space="0" w:color="auto"/>
                      <w:right w:val="single" w:sz="6" w:space="0" w:color="auto"/>
                    </w:tcBorders>
                    <w:vAlign w:val="center"/>
                  </w:tcPr>
                  <w:p w14:paraId="0567CF3F" w14:textId="77777777" w:rsidR="007E7472" w:rsidRDefault="00EC1269">
                    <w:r>
                      <w:t>澳大利亚</w:t>
                    </w:r>
                  </w:p>
                </w:tc>
                <w:tc>
                  <w:tcPr>
                    <w:tcW w:w="974" w:type="pct"/>
                    <w:tcBorders>
                      <w:top w:val="single" w:sz="6" w:space="0" w:color="auto"/>
                      <w:left w:val="single" w:sz="6" w:space="0" w:color="auto"/>
                      <w:bottom w:val="single" w:sz="4" w:space="0" w:color="auto"/>
                      <w:right w:val="single" w:sz="6" w:space="0" w:color="auto"/>
                    </w:tcBorders>
                    <w:vAlign w:val="center"/>
                  </w:tcPr>
                  <w:p w14:paraId="7A864C6B" w14:textId="77777777" w:rsidR="007E7472" w:rsidRDefault="00EC1269">
                    <w:r>
                      <w:t>煤炭采掘及销售</w:t>
                    </w:r>
                  </w:p>
                </w:tc>
                <w:tc>
                  <w:tcPr>
                    <w:tcW w:w="402" w:type="pct"/>
                    <w:tcBorders>
                      <w:top w:val="single" w:sz="6" w:space="0" w:color="auto"/>
                      <w:left w:val="single" w:sz="6" w:space="0" w:color="auto"/>
                      <w:bottom w:val="single" w:sz="4" w:space="0" w:color="auto"/>
                      <w:right w:val="single" w:sz="6" w:space="0" w:color="auto"/>
                    </w:tcBorders>
                    <w:vAlign w:val="center"/>
                  </w:tcPr>
                  <w:p w14:paraId="0D2EAF58" w14:textId="77777777" w:rsidR="007E7472" w:rsidRDefault="00C8327E">
                    <w:pPr>
                      <w:jc w:val="right"/>
                    </w:pPr>
                  </w:p>
                </w:tc>
                <w:tc>
                  <w:tcPr>
                    <w:tcW w:w="406" w:type="pct"/>
                    <w:tcBorders>
                      <w:top w:val="single" w:sz="6" w:space="0" w:color="auto"/>
                      <w:left w:val="single" w:sz="6" w:space="0" w:color="auto"/>
                      <w:bottom w:val="single" w:sz="4" w:space="0" w:color="auto"/>
                      <w:right w:val="single" w:sz="6" w:space="0" w:color="auto"/>
                    </w:tcBorders>
                    <w:vAlign w:val="center"/>
                  </w:tcPr>
                  <w:p w14:paraId="530969DB" w14:textId="77777777" w:rsidR="007E7472" w:rsidRDefault="00EC1269">
                    <w:pPr>
                      <w:jc w:val="right"/>
                    </w:pPr>
                    <w:r>
                      <w:t>约50</w:t>
                    </w:r>
                  </w:p>
                </w:tc>
                <w:tc>
                  <w:tcPr>
                    <w:tcW w:w="982" w:type="pct"/>
                    <w:tcBorders>
                      <w:top w:val="single" w:sz="6" w:space="0" w:color="auto"/>
                      <w:left w:val="single" w:sz="6" w:space="0" w:color="auto"/>
                      <w:bottom w:val="single" w:sz="4" w:space="0" w:color="auto"/>
                      <w:right w:val="single" w:sz="4" w:space="0" w:color="auto"/>
                    </w:tcBorders>
                    <w:vAlign w:val="center"/>
                  </w:tcPr>
                  <w:p w14:paraId="2B2EDAD0" w14:textId="77777777" w:rsidR="007E7472" w:rsidRDefault="00EC1269">
                    <w:pPr>
                      <w:jc w:val="both"/>
                    </w:pPr>
                    <w:r>
                      <w:t>权益法</w:t>
                    </w:r>
                  </w:p>
                </w:tc>
              </w:tr>
            </w:sdtContent>
          </w:sdt>
          <w:sdt>
            <w:sdtPr>
              <w:rPr>
                <w:rFonts w:asciiTheme="minorHAnsi" w:eastAsiaTheme="minorEastAsia" w:hAnsiTheme="minorHAnsi" w:cstheme="minorBidi"/>
                <w:kern w:val="2"/>
                <w:szCs w:val="22"/>
              </w:rPr>
              <w:alias w:val="重要的合营企业或联营企业明细"/>
              <w:tag w:val="_GBC_a1baed559822472c8c78b05cadceb35a"/>
              <w:id w:val="1612087682"/>
              <w:lock w:val="sdtLocked"/>
            </w:sdtPr>
            <w:sdtEndPr/>
            <w:sdtContent>
              <w:tr w:rsidR="007E7472" w14:paraId="7EF0AC8F" w14:textId="77777777" w:rsidTr="007E7472">
                <w:tc>
                  <w:tcPr>
                    <w:tcW w:w="961" w:type="pct"/>
                    <w:tcBorders>
                      <w:top w:val="single" w:sz="6" w:space="0" w:color="auto"/>
                      <w:left w:val="single" w:sz="4" w:space="0" w:color="auto"/>
                      <w:bottom w:val="single" w:sz="6" w:space="0" w:color="auto"/>
                      <w:right w:val="single" w:sz="6" w:space="0" w:color="auto"/>
                    </w:tcBorders>
                    <w:vAlign w:val="center"/>
                  </w:tcPr>
                  <w:p w14:paraId="27C6F9C4" w14:textId="77777777" w:rsidR="007E7472" w:rsidRDefault="00EC1269">
                    <w:r>
                      <w:t>华电邹县发电有限公司</w:t>
                    </w:r>
                  </w:p>
                </w:tc>
                <w:tc>
                  <w:tcPr>
                    <w:tcW w:w="643" w:type="pct"/>
                    <w:tcBorders>
                      <w:top w:val="single" w:sz="6" w:space="0" w:color="auto"/>
                      <w:left w:val="single" w:sz="6" w:space="0" w:color="auto"/>
                      <w:bottom w:val="single" w:sz="6" w:space="0" w:color="auto"/>
                      <w:right w:val="single" w:sz="6" w:space="0" w:color="auto"/>
                    </w:tcBorders>
                    <w:vAlign w:val="center"/>
                  </w:tcPr>
                  <w:p w14:paraId="176889C8" w14:textId="77777777" w:rsidR="007E7472" w:rsidRDefault="00EC1269">
                    <w:pPr>
                      <w:jc w:val="both"/>
                    </w:pPr>
                    <w:r>
                      <w:t>山东</w:t>
                    </w:r>
                  </w:p>
                </w:tc>
                <w:tc>
                  <w:tcPr>
                    <w:tcW w:w="632" w:type="pct"/>
                    <w:tcBorders>
                      <w:top w:val="single" w:sz="6" w:space="0" w:color="auto"/>
                      <w:left w:val="single" w:sz="6" w:space="0" w:color="auto"/>
                      <w:bottom w:val="single" w:sz="6" w:space="0" w:color="auto"/>
                      <w:right w:val="single" w:sz="6" w:space="0" w:color="auto"/>
                    </w:tcBorders>
                    <w:vAlign w:val="center"/>
                  </w:tcPr>
                  <w:p w14:paraId="207A6C44" w14:textId="77777777" w:rsidR="007E7472" w:rsidRDefault="00EC1269">
                    <w:pPr>
                      <w:jc w:val="both"/>
                    </w:pPr>
                    <w:r>
                      <w:t>山东</w:t>
                    </w:r>
                  </w:p>
                </w:tc>
                <w:tc>
                  <w:tcPr>
                    <w:tcW w:w="974" w:type="pct"/>
                    <w:tcBorders>
                      <w:top w:val="single" w:sz="6" w:space="0" w:color="auto"/>
                      <w:left w:val="single" w:sz="6" w:space="0" w:color="auto"/>
                      <w:bottom w:val="single" w:sz="6" w:space="0" w:color="auto"/>
                      <w:right w:val="single" w:sz="6" w:space="0" w:color="auto"/>
                    </w:tcBorders>
                    <w:vAlign w:val="center"/>
                  </w:tcPr>
                  <w:p w14:paraId="13981F6F" w14:textId="77777777" w:rsidR="007E7472" w:rsidRDefault="00EC1269">
                    <w:r>
                      <w:t>火力发电及发电余热综合利用</w:t>
                    </w:r>
                  </w:p>
                </w:tc>
                <w:tc>
                  <w:tcPr>
                    <w:tcW w:w="402" w:type="pct"/>
                    <w:tcBorders>
                      <w:top w:val="single" w:sz="6" w:space="0" w:color="auto"/>
                      <w:left w:val="single" w:sz="6" w:space="0" w:color="auto"/>
                      <w:bottom w:val="single" w:sz="6" w:space="0" w:color="auto"/>
                      <w:right w:val="single" w:sz="6" w:space="0" w:color="auto"/>
                    </w:tcBorders>
                    <w:vAlign w:val="center"/>
                  </w:tcPr>
                  <w:p w14:paraId="4DFA97AD" w14:textId="77777777" w:rsidR="007E7472" w:rsidRDefault="00EC1269">
                    <w:pPr>
                      <w:jc w:val="right"/>
                    </w:pPr>
                    <w:r>
                      <w:t>30</w:t>
                    </w:r>
                  </w:p>
                </w:tc>
                <w:tc>
                  <w:tcPr>
                    <w:tcW w:w="406" w:type="pct"/>
                    <w:tcBorders>
                      <w:top w:val="single" w:sz="6" w:space="0" w:color="auto"/>
                      <w:left w:val="single" w:sz="6" w:space="0" w:color="auto"/>
                      <w:bottom w:val="single" w:sz="6" w:space="0" w:color="auto"/>
                      <w:right w:val="single" w:sz="6" w:space="0" w:color="auto"/>
                    </w:tcBorders>
                    <w:vAlign w:val="center"/>
                  </w:tcPr>
                  <w:p w14:paraId="2199A416" w14:textId="77777777" w:rsidR="007E7472" w:rsidRDefault="00C8327E">
                    <w:pPr>
                      <w:jc w:val="right"/>
                    </w:pPr>
                  </w:p>
                </w:tc>
                <w:tc>
                  <w:tcPr>
                    <w:tcW w:w="982" w:type="pct"/>
                    <w:tcBorders>
                      <w:top w:val="single" w:sz="6" w:space="0" w:color="auto"/>
                      <w:left w:val="single" w:sz="6" w:space="0" w:color="auto"/>
                      <w:bottom w:val="single" w:sz="6" w:space="0" w:color="auto"/>
                      <w:right w:val="single" w:sz="4" w:space="0" w:color="auto"/>
                    </w:tcBorders>
                    <w:vAlign w:val="center"/>
                  </w:tcPr>
                  <w:p w14:paraId="1E38AA79" w14:textId="77777777" w:rsidR="007E7472" w:rsidRDefault="00EC1269">
                    <w:pPr>
                      <w:jc w:val="both"/>
                    </w:pPr>
                    <w:r>
                      <w:t>权益法</w:t>
                    </w:r>
                  </w:p>
                </w:tc>
              </w:tr>
            </w:sdtContent>
          </w:sdt>
          <w:sdt>
            <w:sdtPr>
              <w:rPr>
                <w:rFonts w:asciiTheme="minorHAnsi" w:eastAsiaTheme="minorEastAsia" w:hAnsiTheme="minorHAnsi" w:cstheme="minorBidi"/>
                <w:kern w:val="2"/>
                <w:szCs w:val="22"/>
              </w:rPr>
              <w:alias w:val="重要的合营企业或联营企业明细"/>
              <w:tag w:val="_GBC_a1baed559822472c8c78b05cadceb35a"/>
              <w:id w:val="-1286348468"/>
              <w:lock w:val="sdtLocked"/>
            </w:sdtPr>
            <w:sdtEndPr/>
            <w:sdtContent>
              <w:tr w:rsidR="007E7472" w14:paraId="7F0AAF87" w14:textId="77777777" w:rsidTr="007E7472">
                <w:tc>
                  <w:tcPr>
                    <w:tcW w:w="961" w:type="pct"/>
                    <w:tcBorders>
                      <w:top w:val="single" w:sz="6" w:space="0" w:color="auto"/>
                      <w:left w:val="single" w:sz="4" w:space="0" w:color="auto"/>
                      <w:bottom w:val="single" w:sz="6" w:space="0" w:color="auto"/>
                      <w:right w:val="single" w:sz="6" w:space="0" w:color="auto"/>
                    </w:tcBorders>
                    <w:vAlign w:val="center"/>
                  </w:tcPr>
                  <w:p w14:paraId="7218EA86" w14:textId="77777777" w:rsidR="007E7472" w:rsidRDefault="00EC1269">
                    <w:r>
                      <w:t>内蒙古伊泰呼准铁路有限公司</w:t>
                    </w:r>
                  </w:p>
                </w:tc>
                <w:tc>
                  <w:tcPr>
                    <w:tcW w:w="643" w:type="pct"/>
                    <w:tcBorders>
                      <w:top w:val="single" w:sz="6" w:space="0" w:color="auto"/>
                      <w:left w:val="single" w:sz="6" w:space="0" w:color="auto"/>
                      <w:bottom w:val="single" w:sz="6" w:space="0" w:color="auto"/>
                      <w:right w:val="single" w:sz="6" w:space="0" w:color="auto"/>
                    </w:tcBorders>
                    <w:vAlign w:val="center"/>
                  </w:tcPr>
                  <w:p w14:paraId="40EA0B32" w14:textId="77777777" w:rsidR="007E7472" w:rsidRDefault="00EC1269">
                    <w:pPr>
                      <w:jc w:val="both"/>
                    </w:pPr>
                    <w:r>
                      <w:t>内蒙古</w:t>
                    </w:r>
                  </w:p>
                </w:tc>
                <w:tc>
                  <w:tcPr>
                    <w:tcW w:w="632" w:type="pct"/>
                    <w:tcBorders>
                      <w:top w:val="single" w:sz="6" w:space="0" w:color="auto"/>
                      <w:left w:val="single" w:sz="6" w:space="0" w:color="auto"/>
                      <w:bottom w:val="single" w:sz="6" w:space="0" w:color="auto"/>
                      <w:right w:val="single" w:sz="6" w:space="0" w:color="auto"/>
                    </w:tcBorders>
                    <w:vAlign w:val="center"/>
                  </w:tcPr>
                  <w:p w14:paraId="6DBC4205" w14:textId="77777777" w:rsidR="007E7472" w:rsidRDefault="00EC1269">
                    <w:pPr>
                      <w:jc w:val="both"/>
                    </w:pPr>
                    <w:r>
                      <w:t>内蒙古</w:t>
                    </w:r>
                  </w:p>
                </w:tc>
                <w:tc>
                  <w:tcPr>
                    <w:tcW w:w="974" w:type="pct"/>
                    <w:tcBorders>
                      <w:top w:val="single" w:sz="6" w:space="0" w:color="auto"/>
                      <w:left w:val="single" w:sz="6" w:space="0" w:color="auto"/>
                      <w:bottom w:val="single" w:sz="6" w:space="0" w:color="auto"/>
                      <w:right w:val="single" w:sz="6" w:space="0" w:color="auto"/>
                    </w:tcBorders>
                    <w:vAlign w:val="center"/>
                  </w:tcPr>
                  <w:p w14:paraId="6A3DB73E" w14:textId="77777777" w:rsidR="007E7472" w:rsidRDefault="00EC1269">
                    <w:r>
                      <w:t>铁路建设及客货运输</w:t>
                    </w:r>
                  </w:p>
                </w:tc>
                <w:tc>
                  <w:tcPr>
                    <w:tcW w:w="402" w:type="pct"/>
                    <w:tcBorders>
                      <w:top w:val="single" w:sz="6" w:space="0" w:color="auto"/>
                      <w:left w:val="single" w:sz="6" w:space="0" w:color="auto"/>
                      <w:bottom w:val="single" w:sz="6" w:space="0" w:color="auto"/>
                      <w:right w:val="single" w:sz="6" w:space="0" w:color="auto"/>
                    </w:tcBorders>
                    <w:vAlign w:val="center"/>
                  </w:tcPr>
                  <w:p w14:paraId="5CABC86C" w14:textId="77777777" w:rsidR="007E7472" w:rsidRDefault="00C8327E">
                    <w:pPr>
                      <w:jc w:val="right"/>
                    </w:pPr>
                  </w:p>
                </w:tc>
                <w:tc>
                  <w:tcPr>
                    <w:tcW w:w="406" w:type="pct"/>
                    <w:tcBorders>
                      <w:top w:val="single" w:sz="6" w:space="0" w:color="auto"/>
                      <w:left w:val="single" w:sz="6" w:space="0" w:color="auto"/>
                      <w:bottom w:val="single" w:sz="6" w:space="0" w:color="auto"/>
                      <w:right w:val="single" w:sz="6" w:space="0" w:color="auto"/>
                    </w:tcBorders>
                    <w:vAlign w:val="center"/>
                  </w:tcPr>
                  <w:p w14:paraId="4534BD96" w14:textId="77777777" w:rsidR="007E7472" w:rsidRDefault="00EC1269">
                    <w:pPr>
                      <w:jc w:val="right"/>
                    </w:pPr>
                    <w:r>
                      <w:t>18.94</w:t>
                    </w:r>
                  </w:p>
                </w:tc>
                <w:tc>
                  <w:tcPr>
                    <w:tcW w:w="982" w:type="pct"/>
                    <w:tcBorders>
                      <w:top w:val="single" w:sz="6" w:space="0" w:color="auto"/>
                      <w:left w:val="single" w:sz="6" w:space="0" w:color="auto"/>
                      <w:bottom w:val="single" w:sz="6" w:space="0" w:color="auto"/>
                      <w:right w:val="single" w:sz="4" w:space="0" w:color="auto"/>
                    </w:tcBorders>
                    <w:vAlign w:val="center"/>
                  </w:tcPr>
                  <w:p w14:paraId="135A01FB" w14:textId="77777777" w:rsidR="007E7472" w:rsidRDefault="00EC1269">
                    <w:pPr>
                      <w:jc w:val="both"/>
                    </w:pPr>
                    <w:r>
                      <w:t>权益法</w:t>
                    </w:r>
                  </w:p>
                </w:tc>
              </w:tr>
            </w:sdtContent>
          </w:sdt>
          <w:sdt>
            <w:sdtPr>
              <w:rPr>
                <w:rFonts w:asciiTheme="minorHAnsi" w:eastAsiaTheme="minorEastAsia" w:hAnsiTheme="minorHAnsi" w:cstheme="minorBidi"/>
                <w:kern w:val="2"/>
                <w:szCs w:val="22"/>
              </w:rPr>
              <w:alias w:val="重要的合营企业或联营企业明细"/>
              <w:tag w:val="_GBC_a1baed559822472c8c78b05cadceb35a"/>
              <w:id w:val="-1886094203"/>
              <w:lock w:val="sdtLocked"/>
            </w:sdtPr>
            <w:sdtEndPr/>
            <w:sdtContent>
              <w:tr w:rsidR="007E7472" w14:paraId="0930C4D0" w14:textId="77777777" w:rsidTr="007E7472">
                <w:tc>
                  <w:tcPr>
                    <w:tcW w:w="961" w:type="pct"/>
                    <w:tcBorders>
                      <w:top w:val="single" w:sz="6" w:space="0" w:color="auto"/>
                      <w:left w:val="single" w:sz="4" w:space="0" w:color="auto"/>
                      <w:bottom w:val="single" w:sz="6" w:space="0" w:color="auto"/>
                      <w:right w:val="single" w:sz="6" w:space="0" w:color="auto"/>
                    </w:tcBorders>
                    <w:vAlign w:val="center"/>
                  </w:tcPr>
                  <w:p w14:paraId="57FCDAD5" w14:textId="77777777" w:rsidR="007E7472" w:rsidRDefault="00EC1269">
                    <w:r>
                      <w:t>临商银行股份有限公司</w:t>
                    </w:r>
                  </w:p>
                </w:tc>
                <w:tc>
                  <w:tcPr>
                    <w:tcW w:w="643" w:type="pct"/>
                    <w:tcBorders>
                      <w:top w:val="single" w:sz="6" w:space="0" w:color="auto"/>
                      <w:left w:val="single" w:sz="6" w:space="0" w:color="auto"/>
                      <w:bottom w:val="single" w:sz="6" w:space="0" w:color="auto"/>
                      <w:right w:val="single" w:sz="6" w:space="0" w:color="auto"/>
                    </w:tcBorders>
                    <w:vAlign w:val="center"/>
                  </w:tcPr>
                  <w:p w14:paraId="1A6402E9" w14:textId="77777777" w:rsidR="007E7472" w:rsidRDefault="00EC1269">
                    <w:pPr>
                      <w:jc w:val="both"/>
                    </w:pPr>
                    <w:r>
                      <w:t>山东</w:t>
                    </w:r>
                  </w:p>
                </w:tc>
                <w:tc>
                  <w:tcPr>
                    <w:tcW w:w="632" w:type="pct"/>
                    <w:tcBorders>
                      <w:top w:val="single" w:sz="6" w:space="0" w:color="auto"/>
                      <w:left w:val="single" w:sz="6" w:space="0" w:color="auto"/>
                      <w:bottom w:val="single" w:sz="6" w:space="0" w:color="auto"/>
                      <w:right w:val="single" w:sz="6" w:space="0" w:color="auto"/>
                    </w:tcBorders>
                    <w:vAlign w:val="center"/>
                  </w:tcPr>
                  <w:p w14:paraId="09D05CD8" w14:textId="77777777" w:rsidR="007E7472" w:rsidRDefault="00EC1269">
                    <w:pPr>
                      <w:jc w:val="both"/>
                    </w:pPr>
                    <w:r>
                      <w:t>山东</w:t>
                    </w:r>
                  </w:p>
                </w:tc>
                <w:tc>
                  <w:tcPr>
                    <w:tcW w:w="974" w:type="pct"/>
                    <w:tcBorders>
                      <w:top w:val="single" w:sz="6" w:space="0" w:color="auto"/>
                      <w:left w:val="single" w:sz="6" w:space="0" w:color="auto"/>
                      <w:bottom w:val="single" w:sz="6" w:space="0" w:color="auto"/>
                      <w:right w:val="single" w:sz="6" w:space="0" w:color="auto"/>
                    </w:tcBorders>
                    <w:vAlign w:val="center"/>
                  </w:tcPr>
                  <w:p w14:paraId="198686CA" w14:textId="77777777" w:rsidR="007E7472" w:rsidRDefault="00EC1269">
                    <w:pPr>
                      <w:jc w:val="both"/>
                    </w:pPr>
                    <w:r>
                      <w:t>金融服务</w:t>
                    </w:r>
                  </w:p>
                </w:tc>
                <w:tc>
                  <w:tcPr>
                    <w:tcW w:w="402" w:type="pct"/>
                    <w:tcBorders>
                      <w:top w:val="single" w:sz="6" w:space="0" w:color="auto"/>
                      <w:left w:val="single" w:sz="6" w:space="0" w:color="auto"/>
                      <w:bottom w:val="single" w:sz="6" w:space="0" w:color="auto"/>
                      <w:right w:val="single" w:sz="6" w:space="0" w:color="auto"/>
                    </w:tcBorders>
                    <w:vAlign w:val="center"/>
                  </w:tcPr>
                  <w:p w14:paraId="58EDAF53" w14:textId="77777777" w:rsidR="007E7472" w:rsidRDefault="00EC1269">
                    <w:pPr>
                      <w:jc w:val="right"/>
                    </w:pPr>
                    <w:r>
                      <w:t>17</w:t>
                    </w:r>
                  </w:p>
                </w:tc>
                <w:tc>
                  <w:tcPr>
                    <w:tcW w:w="406" w:type="pct"/>
                    <w:tcBorders>
                      <w:top w:val="single" w:sz="6" w:space="0" w:color="auto"/>
                      <w:left w:val="single" w:sz="6" w:space="0" w:color="auto"/>
                      <w:bottom w:val="single" w:sz="6" w:space="0" w:color="auto"/>
                      <w:right w:val="single" w:sz="6" w:space="0" w:color="auto"/>
                    </w:tcBorders>
                    <w:vAlign w:val="center"/>
                  </w:tcPr>
                  <w:p w14:paraId="316BE8FB" w14:textId="77777777" w:rsidR="007E7472" w:rsidRDefault="00C8327E">
                    <w:pPr>
                      <w:jc w:val="right"/>
                    </w:pPr>
                  </w:p>
                </w:tc>
                <w:tc>
                  <w:tcPr>
                    <w:tcW w:w="982" w:type="pct"/>
                    <w:tcBorders>
                      <w:top w:val="single" w:sz="6" w:space="0" w:color="auto"/>
                      <w:left w:val="single" w:sz="6" w:space="0" w:color="auto"/>
                      <w:bottom w:val="single" w:sz="6" w:space="0" w:color="auto"/>
                      <w:right w:val="single" w:sz="4" w:space="0" w:color="auto"/>
                    </w:tcBorders>
                    <w:vAlign w:val="center"/>
                  </w:tcPr>
                  <w:p w14:paraId="13D5B942" w14:textId="77777777" w:rsidR="007E7472" w:rsidRDefault="00EC1269">
                    <w:pPr>
                      <w:jc w:val="both"/>
                    </w:pPr>
                    <w:r>
                      <w:t>权益法</w:t>
                    </w:r>
                  </w:p>
                </w:tc>
              </w:tr>
            </w:sdtContent>
          </w:sdt>
          <w:sdt>
            <w:sdtPr>
              <w:rPr>
                <w:rFonts w:asciiTheme="minorHAnsi" w:eastAsiaTheme="minorEastAsia" w:hAnsiTheme="minorHAnsi" w:cstheme="minorBidi"/>
                <w:kern w:val="2"/>
                <w:szCs w:val="22"/>
              </w:rPr>
              <w:alias w:val="重要的合营企业或联营企业明细"/>
              <w:tag w:val="_GBC_a1baed559822472c8c78b05cadceb35a"/>
              <w:id w:val="1129281343"/>
              <w:lock w:val="sdtLocked"/>
            </w:sdtPr>
            <w:sdtEndPr/>
            <w:sdtContent>
              <w:tr w:rsidR="007E7472" w14:paraId="5ACF58BC" w14:textId="77777777" w:rsidTr="007E7472">
                <w:tc>
                  <w:tcPr>
                    <w:tcW w:w="961" w:type="pct"/>
                    <w:tcBorders>
                      <w:top w:val="single" w:sz="6" w:space="0" w:color="auto"/>
                      <w:left w:val="single" w:sz="4" w:space="0" w:color="auto"/>
                      <w:bottom w:val="single" w:sz="4" w:space="0" w:color="auto"/>
                      <w:right w:val="single" w:sz="6" w:space="0" w:color="auto"/>
                    </w:tcBorders>
                    <w:vAlign w:val="center"/>
                  </w:tcPr>
                  <w:p w14:paraId="2EFB1D01" w14:textId="77777777" w:rsidR="007E7472" w:rsidRDefault="00EC1269">
                    <w:pPr>
                      <w:jc w:val="both"/>
                    </w:pPr>
                    <w:r>
                      <w:t>内蒙古锦联铝材有限公司</w:t>
                    </w:r>
                  </w:p>
                </w:tc>
                <w:tc>
                  <w:tcPr>
                    <w:tcW w:w="643" w:type="pct"/>
                    <w:tcBorders>
                      <w:top w:val="single" w:sz="6" w:space="0" w:color="auto"/>
                      <w:left w:val="single" w:sz="6" w:space="0" w:color="auto"/>
                      <w:bottom w:val="single" w:sz="4" w:space="0" w:color="auto"/>
                      <w:right w:val="single" w:sz="6" w:space="0" w:color="auto"/>
                    </w:tcBorders>
                    <w:vAlign w:val="center"/>
                  </w:tcPr>
                  <w:p w14:paraId="7294871A" w14:textId="77777777" w:rsidR="007E7472" w:rsidRDefault="00EC1269">
                    <w:pPr>
                      <w:jc w:val="both"/>
                    </w:pPr>
                    <w:r>
                      <w:t>内蒙古</w:t>
                    </w:r>
                  </w:p>
                </w:tc>
                <w:tc>
                  <w:tcPr>
                    <w:tcW w:w="632" w:type="pct"/>
                    <w:tcBorders>
                      <w:top w:val="single" w:sz="6" w:space="0" w:color="auto"/>
                      <w:left w:val="single" w:sz="6" w:space="0" w:color="auto"/>
                      <w:bottom w:val="single" w:sz="4" w:space="0" w:color="auto"/>
                      <w:right w:val="single" w:sz="6" w:space="0" w:color="auto"/>
                    </w:tcBorders>
                    <w:vAlign w:val="center"/>
                  </w:tcPr>
                  <w:p w14:paraId="470FE52F" w14:textId="77777777" w:rsidR="007E7472" w:rsidRDefault="00EC1269">
                    <w:pPr>
                      <w:jc w:val="both"/>
                    </w:pPr>
                    <w:r>
                      <w:t>内蒙古</w:t>
                    </w:r>
                  </w:p>
                </w:tc>
                <w:tc>
                  <w:tcPr>
                    <w:tcW w:w="974" w:type="pct"/>
                    <w:tcBorders>
                      <w:top w:val="single" w:sz="6" w:space="0" w:color="auto"/>
                      <w:left w:val="single" w:sz="6" w:space="0" w:color="auto"/>
                      <w:bottom w:val="single" w:sz="4" w:space="0" w:color="auto"/>
                      <w:right w:val="single" w:sz="6" w:space="0" w:color="auto"/>
                    </w:tcBorders>
                    <w:vAlign w:val="center"/>
                  </w:tcPr>
                  <w:p w14:paraId="47D815EA" w14:textId="77777777" w:rsidR="007E7472" w:rsidRDefault="00EC1269">
                    <w:r>
                      <w:t>铝后加工；铝锭、铝制品及衍生产品的生产销售</w:t>
                    </w:r>
                  </w:p>
                </w:tc>
                <w:tc>
                  <w:tcPr>
                    <w:tcW w:w="402" w:type="pct"/>
                    <w:tcBorders>
                      <w:top w:val="single" w:sz="6" w:space="0" w:color="auto"/>
                      <w:left w:val="single" w:sz="6" w:space="0" w:color="auto"/>
                      <w:bottom w:val="single" w:sz="4" w:space="0" w:color="auto"/>
                      <w:right w:val="single" w:sz="6" w:space="0" w:color="auto"/>
                    </w:tcBorders>
                    <w:vAlign w:val="center"/>
                  </w:tcPr>
                  <w:p w14:paraId="47CD83AE" w14:textId="77777777" w:rsidR="007E7472" w:rsidRDefault="00C8327E">
                    <w:pPr>
                      <w:jc w:val="right"/>
                    </w:pPr>
                  </w:p>
                </w:tc>
                <w:tc>
                  <w:tcPr>
                    <w:tcW w:w="406" w:type="pct"/>
                    <w:tcBorders>
                      <w:top w:val="single" w:sz="6" w:space="0" w:color="auto"/>
                      <w:left w:val="single" w:sz="6" w:space="0" w:color="auto"/>
                      <w:bottom w:val="single" w:sz="4" w:space="0" w:color="auto"/>
                      <w:right w:val="single" w:sz="6" w:space="0" w:color="auto"/>
                    </w:tcBorders>
                    <w:vAlign w:val="center"/>
                  </w:tcPr>
                  <w:p w14:paraId="3241839A" w14:textId="77777777" w:rsidR="007E7472" w:rsidRDefault="00EC1269">
                    <w:pPr>
                      <w:jc w:val="right"/>
                    </w:pPr>
                    <w:r>
                      <w:t>44.21</w:t>
                    </w:r>
                  </w:p>
                </w:tc>
                <w:tc>
                  <w:tcPr>
                    <w:tcW w:w="982" w:type="pct"/>
                    <w:tcBorders>
                      <w:top w:val="single" w:sz="6" w:space="0" w:color="auto"/>
                      <w:left w:val="single" w:sz="6" w:space="0" w:color="auto"/>
                      <w:bottom w:val="single" w:sz="4" w:space="0" w:color="auto"/>
                      <w:right w:val="single" w:sz="4" w:space="0" w:color="auto"/>
                    </w:tcBorders>
                    <w:vAlign w:val="center"/>
                  </w:tcPr>
                  <w:p w14:paraId="1662792C" w14:textId="77777777" w:rsidR="007E7472" w:rsidRDefault="00EC1269">
                    <w:pPr>
                      <w:jc w:val="both"/>
                    </w:pPr>
                    <w:r>
                      <w:t>权益法</w:t>
                    </w:r>
                  </w:p>
                </w:tc>
              </w:tr>
            </w:sdtContent>
          </w:sdt>
        </w:tbl>
        <w:p w14:paraId="5F8C16A3" w14:textId="77777777" w:rsidR="007E7472" w:rsidRDefault="00C8327E">
          <w:pPr>
            <w:rPr>
              <w:rFonts w:cs="Arial"/>
            </w:rPr>
          </w:pPr>
        </w:p>
      </w:sdtContent>
    </w:sdt>
    <w:p w14:paraId="1C4D4C1A" w14:textId="77777777" w:rsidR="007E7472" w:rsidRDefault="00EC1269" w:rsidP="00162493">
      <w:pPr>
        <w:pStyle w:val="4"/>
        <w:numPr>
          <w:ilvl w:val="0"/>
          <w:numId w:val="105"/>
        </w:numPr>
        <w:rPr>
          <w:rFonts w:cs="Arial"/>
        </w:rPr>
      </w:pPr>
      <w:r>
        <w:rPr>
          <w:rFonts w:cs="Arial" w:hint="eastAsia"/>
        </w:rPr>
        <w:t>重要合营企业的主要财务信息</w:t>
      </w:r>
    </w:p>
    <w:p w14:paraId="5C6D2F9A" w14:textId="77777777" w:rsidR="007E7472" w:rsidRDefault="00C8327E">
      <w:sdt>
        <w:sdtPr>
          <w:rPr>
            <w:rFonts w:hint="eastAsia"/>
            <w:b/>
          </w:rPr>
          <w:alias w:val="是否适用：重要合营企业的主要财务信息[双击切换]"/>
          <w:tag w:val="_GBC_6241cde567c342139ae6186afeea9fb4"/>
          <w:id w:val="-2087293504"/>
          <w:lock w:val="sdtContentLocked"/>
          <w:placeholder>
            <w:docPart w:val="GBC22222222222222222222222222222"/>
          </w:placeholder>
        </w:sdtPr>
        <w:sdtEndPr>
          <w:rPr>
            <w:b w:val="0"/>
          </w:rPr>
        </w:sdtEndPr>
        <w:sdtContent>
          <w:r w:rsidR="00EC1269">
            <w:fldChar w:fldCharType="begin"/>
          </w:r>
          <w:r w:rsidR="00EC1269">
            <w:instrText xml:space="preserve"> MACROBUTTON  SnrToggleCheckbox √适用 </w:instrText>
          </w:r>
          <w:r w:rsidR="00EC1269">
            <w:fldChar w:fldCharType="end"/>
          </w:r>
          <w:r w:rsidR="00EC1269">
            <w:fldChar w:fldCharType="begin"/>
          </w:r>
          <w:r w:rsidR="00EC1269">
            <w:instrText xml:space="preserve"> MACROBUTTON  SnrToggleCheckbox □不适用 </w:instrText>
          </w:r>
          <w:r w:rsidR="00EC1269">
            <w:fldChar w:fldCharType="end"/>
          </w:r>
        </w:sdtContent>
      </w:sdt>
    </w:p>
    <w:p w14:paraId="63C7FC96" w14:textId="7056421C" w:rsidR="007E7472" w:rsidRDefault="00EC1269">
      <w:pPr>
        <w:jc w:val="right"/>
      </w:pPr>
      <w:r>
        <w:rPr>
          <w:rFonts w:hint="eastAsia"/>
        </w:rPr>
        <w:t>单位：</w:t>
      </w:r>
      <w:sdt>
        <w:sdtPr>
          <w:rPr>
            <w:rFonts w:hint="eastAsia"/>
          </w:rPr>
          <w:alias w:val="单位：财务附注：重要合营企业的主要财务信息"/>
          <w:tag w:val="_GBC_c3e62c0d62494c0bb865a164a263a4c4"/>
          <w:id w:val="-103149707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重要合营企业的主要财务信息"/>
          <w:tag w:val="_GBC_dbf325e8ec10449ba127b878292f7bb1"/>
          <w:id w:val="-51476586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sdt>
      <w:sdtPr>
        <w:rPr>
          <w:rFonts w:ascii="Times New Roman" w:hAnsi="Times New Roman" w:cs="Times New Roman"/>
        </w:rPr>
        <w:alias w:val="模块:重要合营企业的主要财务信息"/>
        <w:tag w:val="_GBC_10d60417c84d41c1b3386073557d9d05"/>
        <w:id w:val="81808216"/>
        <w:lock w:val="sdtLocked"/>
        <w:placeholder>
          <w:docPart w:val="GBC22222222222222222222222222222"/>
        </w:placeholder>
      </w:sdtPr>
      <w:sdtEndPr/>
      <w:sdtContent>
        <w:tbl>
          <w:tblPr>
            <w:tblStyle w:val="g4"/>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934"/>
            <w:gridCol w:w="2468"/>
            <w:gridCol w:w="2418"/>
          </w:tblGrid>
          <w:tr w:rsidR="007E7472" w14:paraId="715EB521" w14:textId="77777777">
            <w:trPr>
              <w:trHeight w:val="120"/>
              <w:tblHeader/>
            </w:trPr>
            <w:tc>
              <w:tcPr>
                <w:tcW w:w="2230" w:type="pct"/>
                <w:vMerge w:val="restart"/>
                <w:tcBorders>
                  <w:top w:val="single" w:sz="4" w:space="0" w:color="auto"/>
                  <w:left w:val="single" w:sz="4" w:space="0" w:color="auto"/>
                  <w:bottom w:val="single" w:sz="6" w:space="0" w:color="auto"/>
                  <w:right w:val="single" w:sz="6" w:space="0" w:color="auto"/>
                </w:tcBorders>
                <w:shd w:val="clear" w:color="auto" w:fill="auto"/>
              </w:tcPr>
              <w:p w14:paraId="0A31F7F0" w14:textId="77777777" w:rsidR="007E7472" w:rsidRDefault="00C8327E">
                <w:pPr>
                  <w:jc w:val="center"/>
                  <w:rPr>
                    <w:rFonts w:cs="Arial"/>
                  </w:rPr>
                </w:pPr>
              </w:p>
            </w:tc>
            <w:sdt>
              <w:sdtPr>
                <w:rPr>
                  <w:rFonts w:cs="Arial" w:hint="eastAsia"/>
                  <w:lang w:val="en-GB"/>
                </w:rPr>
                <w:alias w:val="重要合营企业的主要财务信息-发生期间"/>
                <w:tag w:val="_GBC_da11830a5c6b42c39530416552c12c01"/>
                <w:id w:val="-1708093332"/>
                <w:lock w:val="sdtLocked"/>
              </w:sdtPr>
              <w:sdtEndPr/>
              <w:sdtContent>
                <w:tc>
                  <w:tcPr>
                    <w:tcW w:w="1399" w:type="pct"/>
                    <w:tcBorders>
                      <w:top w:val="single" w:sz="4" w:space="0" w:color="auto"/>
                      <w:left w:val="single" w:sz="6" w:space="0" w:color="auto"/>
                      <w:bottom w:val="single" w:sz="6" w:space="0" w:color="auto"/>
                      <w:right w:val="single" w:sz="6" w:space="0" w:color="auto"/>
                    </w:tcBorders>
                    <w:shd w:val="clear" w:color="auto" w:fill="auto"/>
                    <w:vAlign w:val="center"/>
                  </w:tcPr>
                  <w:p w14:paraId="3A0165D0" w14:textId="77777777" w:rsidR="007E7472" w:rsidRDefault="00EC1269">
                    <w:pPr>
                      <w:jc w:val="center"/>
                      <w:rPr>
                        <w:rFonts w:cs="Arial"/>
                        <w:lang w:val="en-GB"/>
                      </w:rPr>
                    </w:pPr>
                    <w:r>
                      <w:rPr>
                        <w:rFonts w:cs="Arial" w:hint="eastAsia"/>
                        <w:lang w:val="en-GB"/>
                      </w:rPr>
                      <w:t>期末余额</w:t>
                    </w:r>
                    <w:r>
                      <w:rPr>
                        <w:rFonts w:cs="Arial"/>
                      </w:rPr>
                      <w:t>/</w:t>
                    </w:r>
                    <w:r>
                      <w:rPr>
                        <w:rFonts w:cs="Arial" w:hint="eastAsia"/>
                        <w:lang w:val="en-GB"/>
                      </w:rPr>
                      <w:t>本期发生额</w:t>
                    </w:r>
                  </w:p>
                </w:tc>
              </w:sdtContent>
            </w:sdt>
            <w:sdt>
              <w:sdtPr>
                <w:rPr>
                  <w:rFonts w:cs="Arial" w:hint="eastAsia"/>
                  <w:lang w:val="en-GB"/>
                </w:rPr>
                <w:alias w:val="重要合营企业的主要财务信息-发生期间"/>
                <w:tag w:val="_GBC_8b48c7a93d07464a88248f7e552371a3"/>
                <w:id w:val="-738711473"/>
                <w:lock w:val="sdtLocked"/>
              </w:sdtPr>
              <w:sdtEndPr/>
              <w:sdtContent>
                <w:tc>
                  <w:tcPr>
                    <w:tcW w:w="1371" w:type="pct"/>
                    <w:tcBorders>
                      <w:top w:val="single" w:sz="4" w:space="0" w:color="auto"/>
                      <w:left w:val="single" w:sz="6" w:space="0" w:color="auto"/>
                      <w:bottom w:val="single" w:sz="6" w:space="0" w:color="auto"/>
                      <w:right w:val="single" w:sz="6" w:space="0" w:color="auto"/>
                    </w:tcBorders>
                    <w:shd w:val="clear" w:color="auto" w:fill="auto"/>
                    <w:vAlign w:val="center"/>
                  </w:tcPr>
                  <w:p w14:paraId="62ABBC2B" w14:textId="77777777" w:rsidR="007E7472" w:rsidRDefault="00EC1269">
                    <w:pPr>
                      <w:jc w:val="center"/>
                      <w:rPr>
                        <w:rFonts w:cs="Arial"/>
                        <w:lang w:val="en-GB"/>
                      </w:rPr>
                    </w:pPr>
                    <w:r>
                      <w:rPr>
                        <w:rFonts w:cs="Arial" w:hint="eastAsia"/>
                        <w:lang w:val="en-GB"/>
                      </w:rPr>
                      <w:t>期初余额</w:t>
                    </w:r>
                    <w:r>
                      <w:rPr>
                        <w:rFonts w:cs="Arial"/>
                      </w:rPr>
                      <w:t>/</w:t>
                    </w:r>
                    <w:r>
                      <w:rPr>
                        <w:rFonts w:cs="Arial" w:hint="eastAsia"/>
                        <w:lang w:val="en-GB"/>
                      </w:rPr>
                      <w:t>上期发生额</w:t>
                    </w:r>
                  </w:p>
                </w:tc>
              </w:sdtContent>
            </w:sdt>
          </w:tr>
          <w:tr w:rsidR="007E7472" w14:paraId="149869F1" w14:textId="77777777">
            <w:trPr>
              <w:trHeight w:val="120"/>
              <w:tblHeader/>
            </w:trPr>
            <w:tc>
              <w:tcPr>
                <w:tcW w:w="2230" w:type="pct"/>
                <w:vMerge/>
                <w:tcBorders>
                  <w:top w:val="single" w:sz="4" w:space="0" w:color="auto"/>
                  <w:left w:val="single" w:sz="4" w:space="0" w:color="auto"/>
                  <w:bottom w:val="single" w:sz="6" w:space="0" w:color="auto"/>
                  <w:right w:val="single" w:sz="6" w:space="0" w:color="auto"/>
                </w:tcBorders>
                <w:shd w:val="clear" w:color="auto" w:fill="auto"/>
                <w:vAlign w:val="center"/>
              </w:tcPr>
              <w:p w14:paraId="5957A853" w14:textId="77777777" w:rsidR="007E7472" w:rsidRDefault="00C8327E">
                <w:pPr>
                  <w:rPr>
                    <w:rFonts w:cs="Arial"/>
                  </w:rPr>
                </w:pPr>
              </w:p>
            </w:tc>
            <w:sdt>
              <w:sdtPr>
                <w:rPr>
                  <w:rFonts w:hint="eastAsia"/>
                </w:rPr>
                <w:alias w:val="重要合营企业的主要财务信息明细-企业名称"/>
                <w:tag w:val="_GBC_e077e2339b1f4658bf544e31ba3de781"/>
                <w:id w:val="-1167404601"/>
                <w:lock w:val="sdtLocked"/>
              </w:sdtPr>
              <w:sdtEndPr/>
              <w:sdtContent>
                <w:tc>
                  <w:tcPr>
                    <w:tcW w:w="1399" w:type="pct"/>
                    <w:tcBorders>
                      <w:top w:val="single" w:sz="6" w:space="0" w:color="auto"/>
                      <w:left w:val="single" w:sz="6" w:space="0" w:color="auto"/>
                      <w:bottom w:val="single" w:sz="4" w:space="0" w:color="auto"/>
                      <w:right w:val="single" w:sz="6" w:space="0" w:color="auto"/>
                    </w:tcBorders>
                  </w:tcPr>
                  <w:p w14:paraId="12E16361" w14:textId="77777777" w:rsidR="007E7472" w:rsidRDefault="00EC1269">
                    <w:pPr>
                      <w:jc w:val="center"/>
                    </w:pPr>
                    <w:r>
                      <w:rPr>
                        <w:rFonts w:hint="eastAsia"/>
                      </w:rPr>
                      <w:t>中山矿合营企业</w:t>
                    </w:r>
                  </w:p>
                </w:tc>
              </w:sdtContent>
            </w:sdt>
            <w:sdt>
              <w:sdtPr>
                <w:rPr>
                  <w:rFonts w:hint="eastAsia"/>
                </w:rPr>
                <w:alias w:val="重要合营企业的主要财务信息明细-企业名称"/>
                <w:tag w:val="_GBC_91821fbf821f4c84aab1cef27fefc9c3"/>
                <w:id w:val="372048781"/>
                <w:lock w:val="sdtLocked"/>
              </w:sdtPr>
              <w:sdtEndPr/>
              <w:sdtContent>
                <w:tc>
                  <w:tcPr>
                    <w:tcW w:w="1371" w:type="pct"/>
                    <w:tcBorders>
                      <w:top w:val="single" w:sz="6" w:space="0" w:color="auto"/>
                      <w:left w:val="single" w:sz="6" w:space="0" w:color="auto"/>
                      <w:bottom w:val="single" w:sz="6" w:space="0" w:color="auto"/>
                      <w:right w:val="single" w:sz="6" w:space="0" w:color="auto"/>
                    </w:tcBorders>
                  </w:tcPr>
                  <w:p w14:paraId="6BAE30F0" w14:textId="77777777" w:rsidR="007E7472" w:rsidRDefault="00EC1269">
                    <w:pPr>
                      <w:jc w:val="center"/>
                    </w:pPr>
                    <w:r>
                      <w:rPr>
                        <w:rFonts w:hint="eastAsia"/>
                      </w:rPr>
                      <w:t>中山矿合营企业</w:t>
                    </w:r>
                  </w:p>
                </w:tc>
              </w:sdtContent>
            </w:sdt>
          </w:tr>
          <w:tr w:rsidR="007E7472" w14:paraId="2582DE17" w14:textId="77777777">
            <w:sdt>
              <w:sdtPr>
                <w:tag w:val="_PLD_9ffd789dbb7c4e31a572484ad2a45296"/>
                <w:id w:val="2110693215"/>
                <w:lock w:val="sdtLocked"/>
              </w:sdtPr>
              <w:sdtEndPr/>
              <w:sdtContent>
                <w:tc>
                  <w:tcPr>
                    <w:tcW w:w="2230" w:type="pct"/>
                    <w:tcBorders>
                      <w:top w:val="single" w:sz="6" w:space="0" w:color="auto"/>
                      <w:left w:val="single" w:sz="4" w:space="0" w:color="auto"/>
                      <w:bottom w:val="single" w:sz="6" w:space="0" w:color="auto"/>
                      <w:right w:val="single" w:sz="6" w:space="0" w:color="auto"/>
                    </w:tcBorders>
                    <w:shd w:val="clear" w:color="auto" w:fill="auto"/>
                    <w:vAlign w:val="bottom"/>
                  </w:tcPr>
                  <w:p w14:paraId="3624F4AE" w14:textId="77777777" w:rsidR="007E7472" w:rsidRDefault="00EC1269">
                    <w:pPr>
                      <w:rPr>
                        <w:rFonts w:cs="Arial"/>
                        <w:color w:val="000000"/>
                      </w:rPr>
                    </w:pPr>
                    <w:r>
                      <w:rPr>
                        <w:rFonts w:cs="Arial" w:hint="eastAsia"/>
                        <w:color w:val="000000"/>
                        <w:lang w:val="en-GB"/>
                      </w:rPr>
                      <w:t>流动资产</w:t>
                    </w:r>
                  </w:p>
                </w:tc>
              </w:sdtContent>
            </w:sdt>
            <w:tc>
              <w:tcPr>
                <w:tcW w:w="1399" w:type="pct"/>
                <w:tcBorders>
                  <w:top w:val="single" w:sz="6" w:space="0" w:color="auto"/>
                  <w:left w:val="single" w:sz="6" w:space="0" w:color="auto"/>
                  <w:bottom w:val="single" w:sz="4" w:space="0" w:color="auto"/>
                  <w:right w:val="single" w:sz="6" w:space="0" w:color="auto"/>
                </w:tcBorders>
              </w:tcPr>
              <w:p w14:paraId="42CB7E8B" w14:textId="77777777" w:rsidR="007E7472" w:rsidRDefault="00EC1269">
                <w:pPr>
                  <w:jc w:val="right"/>
                </w:pPr>
                <w:r>
                  <w:t>790,929</w:t>
                </w:r>
              </w:p>
            </w:tc>
            <w:tc>
              <w:tcPr>
                <w:tcW w:w="1371" w:type="pct"/>
                <w:tcBorders>
                  <w:top w:val="single" w:sz="6" w:space="0" w:color="auto"/>
                  <w:left w:val="single" w:sz="6" w:space="0" w:color="auto"/>
                  <w:bottom w:val="single" w:sz="6" w:space="0" w:color="auto"/>
                  <w:right w:val="single" w:sz="6" w:space="0" w:color="auto"/>
                </w:tcBorders>
                <w:vAlign w:val="center"/>
              </w:tcPr>
              <w:p w14:paraId="13C27157" w14:textId="77777777" w:rsidR="007E7472" w:rsidRDefault="00EC1269">
                <w:pPr>
                  <w:jc w:val="right"/>
                </w:pPr>
                <w:r>
                  <w:t>1,046,614</w:t>
                </w:r>
              </w:p>
            </w:tc>
          </w:tr>
          <w:tr w:rsidR="007E7472" w14:paraId="0E4A5C5E" w14:textId="77777777">
            <w:sdt>
              <w:sdtPr>
                <w:tag w:val="_PLD_4a1cb8726d22436e8ba85b1197592f0a"/>
                <w:id w:val="1930464508"/>
                <w:lock w:val="sdtLocked"/>
              </w:sdtPr>
              <w:sdtEndPr/>
              <w:sdtContent>
                <w:tc>
                  <w:tcPr>
                    <w:tcW w:w="2230" w:type="pct"/>
                    <w:tcBorders>
                      <w:top w:val="single" w:sz="6" w:space="0" w:color="auto"/>
                      <w:left w:val="single" w:sz="4" w:space="0" w:color="auto"/>
                      <w:bottom w:val="single" w:sz="6" w:space="0" w:color="auto"/>
                      <w:right w:val="single" w:sz="6" w:space="0" w:color="auto"/>
                    </w:tcBorders>
                    <w:shd w:val="clear" w:color="auto" w:fill="auto"/>
                    <w:vAlign w:val="bottom"/>
                  </w:tcPr>
                  <w:p w14:paraId="288ED6C6" w14:textId="77777777" w:rsidR="007E7472" w:rsidRDefault="00EC1269">
                    <w:pPr>
                      <w:ind w:firstLineChars="200" w:firstLine="420"/>
                    </w:pPr>
                    <w:r>
                      <w:rPr>
                        <w:rFonts w:hint="eastAsia"/>
                      </w:rPr>
                      <w:t>其中：现金和现金等价物</w:t>
                    </w:r>
                  </w:p>
                </w:tc>
              </w:sdtContent>
            </w:sdt>
            <w:tc>
              <w:tcPr>
                <w:tcW w:w="1399" w:type="pct"/>
                <w:tcBorders>
                  <w:top w:val="single" w:sz="6" w:space="0" w:color="auto"/>
                  <w:left w:val="single" w:sz="6" w:space="0" w:color="auto"/>
                  <w:bottom w:val="single" w:sz="4" w:space="0" w:color="auto"/>
                  <w:right w:val="single" w:sz="6" w:space="0" w:color="auto"/>
                </w:tcBorders>
                <w:vAlign w:val="center"/>
              </w:tcPr>
              <w:p w14:paraId="0AD2292C" w14:textId="77777777" w:rsidR="007E7472" w:rsidRDefault="00EC1269">
                <w:pPr>
                  <w:jc w:val="right"/>
                </w:pPr>
                <w:r>
                  <w:t>75,578</w:t>
                </w:r>
              </w:p>
            </w:tc>
            <w:tc>
              <w:tcPr>
                <w:tcW w:w="1371" w:type="pct"/>
                <w:tcBorders>
                  <w:top w:val="single" w:sz="6" w:space="0" w:color="auto"/>
                  <w:left w:val="single" w:sz="6" w:space="0" w:color="auto"/>
                  <w:bottom w:val="single" w:sz="6" w:space="0" w:color="auto"/>
                  <w:right w:val="single" w:sz="6" w:space="0" w:color="auto"/>
                </w:tcBorders>
                <w:vAlign w:val="center"/>
              </w:tcPr>
              <w:p w14:paraId="3B823C26" w14:textId="77777777" w:rsidR="007E7472" w:rsidRDefault="00EC1269">
                <w:pPr>
                  <w:jc w:val="right"/>
                </w:pPr>
                <w:r>
                  <w:t>687,236</w:t>
                </w:r>
              </w:p>
            </w:tc>
          </w:tr>
          <w:tr w:rsidR="007E7472" w14:paraId="14FE3FA8" w14:textId="77777777">
            <w:sdt>
              <w:sdtPr>
                <w:tag w:val="_PLD_8daba09b5ed94a8aa6505b7dca05cf2d"/>
                <w:id w:val="222962396"/>
                <w:lock w:val="sdtLocked"/>
              </w:sdtPr>
              <w:sdtEndPr/>
              <w:sdtContent>
                <w:tc>
                  <w:tcPr>
                    <w:tcW w:w="2230" w:type="pct"/>
                    <w:tcBorders>
                      <w:top w:val="single" w:sz="6" w:space="0" w:color="auto"/>
                      <w:left w:val="single" w:sz="4" w:space="0" w:color="auto"/>
                      <w:bottom w:val="single" w:sz="6" w:space="0" w:color="auto"/>
                      <w:right w:val="single" w:sz="6" w:space="0" w:color="auto"/>
                    </w:tcBorders>
                    <w:shd w:val="clear" w:color="auto" w:fill="auto"/>
                    <w:vAlign w:val="bottom"/>
                  </w:tcPr>
                  <w:p w14:paraId="55C63E77" w14:textId="77777777" w:rsidR="007E7472" w:rsidRDefault="00EC1269">
                    <w:pPr>
                      <w:rPr>
                        <w:rFonts w:cs="Arial"/>
                        <w:color w:val="000000"/>
                      </w:rPr>
                    </w:pPr>
                    <w:r>
                      <w:rPr>
                        <w:rFonts w:cs="Arial" w:hint="eastAsia"/>
                        <w:color w:val="000000"/>
                        <w:lang w:val="en-GB"/>
                      </w:rPr>
                      <w:t>非流动资产</w:t>
                    </w:r>
                  </w:p>
                </w:tc>
              </w:sdtContent>
            </w:sdt>
            <w:tc>
              <w:tcPr>
                <w:tcW w:w="1399" w:type="pct"/>
                <w:tcBorders>
                  <w:top w:val="single" w:sz="6" w:space="0" w:color="auto"/>
                  <w:left w:val="single" w:sz="6" w:space="0" w:color="auto"/>
                  <w:bottom w:val="single" w:sz="4" w:space="0" w:color="auto"/>
                  <w:right w:val="single" w:sz="6" w:space="0" w:color="auto"/>
                </w:tcBorders>
                <w:vAlign w:val="center"/>
              </w:tcPr>
              <w:p w14:paraId="31573D8A" w14:textId="77777777" w:rsidR="007E7472" w:rsidRDefault="00EC1269">
                <w:pPr>
                  <w:jc w:val="right"/>
                </w:pPr>
                <w:r>
                  <w:t>4,229,507</w:t>
                </w:r>
              </w:p>
            </w:tc>
            <w:tc>
              <w:tcPr>
                <w:tcW w:w="1371" w:type="pct"/>
                <w:tcBorders>
                  <w:top w:val="single" w:sz="6" w:space="0" w:color="auto"/>
                  <w:left w:val="single" w:sz="6" w:space="0" w:color="auto"/>
                  <w:bottom w:val="single" w:sz="6" w:space="0" w:color="auto"/>
                  <w:right w:val="single" w:sz="6" w:space="0" w:color="auto"/>
                </w:tcBorders>
                <w:vAlign w:val="center"/>
              </w:tcPr>
              <w:p w14:paraId="7AE09698" w14:textId="77777777" w:rsidR="007E7472" w:rsidRDefault="00EC1269">
                <w:pPr>
                  <w:jc w:val="right"/>
                </w:pPr>
                <w:r>
                  <w:t>4,825,749</w:t>
                </w:r>
              </w:p>
            </w:tc>
          </w:tr>
          <w:tr w:rsidR="007E7472" w14:paraId="1D97089B" w14:textId="77777777">
            <w:sdt>
              <w:sdtPr>
                <w:tag w:val="_PLD_209fecb4fe724c6b82edb31261c6cd74"/>
                <w:id w:val="-1305460146"/>
                <w:lock w:val="sdtLocked"/>
              </w:sdtPr>
              <w:sdtEndPr/>
              <w:sdtContent>
                <w:tc>
                  <w:tcPr>
                    <w:tcW w:w="2230" w:type="pct"/>
                    <w:tcBorders>
                      <w:top w:val="single" w:sz="6" w:space="0" w:color="auto"/>
                      <w:left w:val="single" w:sz="4" w:space="0" w:color="auto"/>
                      <w:bottom w:val="single" w:sz="6" w:space="0" w:color="auto"/>
                      <w:right w:val="single" w:sz="6" w:space="0" w:color="auto"/>
                    </w:tcBorders>
                    <w:shd w:val="clear" w:color="auto" w:fill="auto"/>
                    <w:vAlign w:val="bottom"/>
                  </w:tcPr>
                  <w:p w14:paraId="78DCBC03" w14:textId="77777777" w:rsidR="007E7472" w:rsidRDefault="00EC1269">
                    <w:pPr>
                      <w:rPr>
                        <w:rFonts w:cs="Arial"/>
                        <w:color w:val="000000"/>
                      </w:rPr>
                    </w:pPr>
                    <w:r>
                      <w:rPr>
                        <w:rFonts w:cs="Arial" w:hint="eastAsia"/>
                        <w:color w:val="000000"/>
                        <w:lang w:val="en-GB"/>
                      </w:rPr>
                      <w:t>资产合计</w:t>
                    </w:r>
                  </w:p>
                </w:tc>
              </w:sdtContent>
            </w:sdt>
            <w:tc>
              <w:tcPr>
                <w:tcW w:w="1399" w:type="pct"/>
                <w:tcBorders>
                  <w:top w:val="single" w:sz="6" w:space="0" w:color="auto"/>
                  <w:left w:val="single" w:sz="6" w:space="0" w:color="auto"/>
                  <w:bottom w:val="single" w:sz="4" w:space="0" w:color="auto"/>
                  <w:right w:val="single" w:sz="6" w:space="0" w:color="auto"/>
                </w:tcBorders>
                <w:vAlign w:val="center"/>
              </w:tcPr>
              <w:p w14:paraId="4725B0D5" w14:textId="77777777" w:rsidR="007E7472" w:rsidRDefault="00EC1269">
                <w:pPr>
                  <w:jc w:val="right"/>
                </w:pPr>
                <w:r>
                  <w:t>5,020,436</w:t>
                </w:r>
              </w:p>
            </w:tc>
            <w:tc>
              <w:tcPr>
                <w:tcW w:w="1371" w:type="pct"/>
                <w:tcBorders>
                  <w:top w:val="single" w:sz="6" w:space="0" w:color="auto"/>
                  <w:left w:val="single" w:sz="6" w:space="0" w:color="auto"/>
                  <w:bottom w:val="single" w:sz="6" w:space="0" w:color="auto"/>
                  <w:right w:val="single" w:sz="6" w:space="0" w:color="auto"/>
                </w:tcBorders>
                <w:vAlign w:val="center"/>
              </w:tcPr>
              <w:p w14:paraId="0BFDAB08" w14:textId="77777777" w:rsidR="007E7472" w:rsidRDefault="00EC1269">
                <w:pPr>
                  <w:jc w:val="right"/>
                </w:pPr>
                <w:r>
                  <w:t>5,872,363</w:t>
                </w:r>
              </w:p>
            </w:tc>
          </w:tr>
          <w:tr w:rsidR="007E7472" w14:paraId="360E4E93" w14:textId="77777777">
            <w:sdt>
              <w:sdtPr>
                <w:tag w:val="_PLD_291f61d225924e5da921a8e369c7fcde"/>
                <w:id w:val="-279654706"/>
                <w:lock w:val="sdtLocked"/>
              </w:sdtPr>
              <w:sdtEndPr/>
              <w:sdtContent>
                <w:tc>
                  <w:tcPr>
                    <w:tcW w:w="2230" w:type="pct"/>
                    <w:tcBorders>
                      <w:top w:val="single" w:sz="6" w:space="0" w:color="auto"/>
                      <w:left w:val="single" w:sz="4" w:space="0" w:color="auto"/>
                      <w:bottom w:val="single" w:sz="6" w:space="0" w:color="auto"/>
                      <w:right w:val="single" w:sz="6" w:space="0" w:color="auto"/>
                    </w:tcBorders>
                    <w:shd w:val="clear" w:color="auto" w:fill="auto"/>
                    <w:vAlign w:val="bottom"/>
                  </w:tcPr>
                  <w:p w14:paraId="4631ECB6" w14:textId="77777777" w:rsidR="007E7472" w:rsidRDefault="00EC1269">
                    <w:pPr>
                      <w:rPr>
                        <w:rFonts w:cs="Arial"/>
                        <w:color w:val="000000"/>
                      </w:rPr>
                    </w:pPr>
                    <w:r>
                      <w:rPr>
                        <w:rFonts w:cs="Arial" w:hint="eastAsia"/>
                        <w:color w:val="000000"/>
                        <w:lang w:val="en-GB"/>
                      </w:rPr>
                      <w:t>流动负债</w:t>
                    </w:r>
                  </w:p>
                </w:tc>
              </w:sdtContent>
            </w:sdt>
            <w:tc>
              <w:tcPr>
                <w:tcW w:w="1399" w:type="pct"/>
                <w:tcBorders>
                  <w:top w:val="single" w:sz="6" w:space="0" w:color="auto"/>
                  <w:left w:val="single" w:sz="6" w:space="0" w:color="auto"/>
                  <w:bottom w:val="single" w:sz="4" w:space="0" w:color="auto"/>
                  <w:right w:val="single" w:sz="6" w:space="0" w:color="auto"/>
                </w:tcBorders>
                <w:vAlign w:val="center"/>
              </w:tcPr>
              <w:p w14:paraId="0452EA1F" w14:textId="77777777" w:rsidR="007E7472" w:rsidRDefault="00EC1269">
                <w:pPr>
                  <w:jc w:val="right"/>
                </w:pPr>
                <w:r>
                  <w:t>1,449,667</w:t>
                </w:r>
              </w:p>
            </w:tc>
            <w:tc>
              <w:tcPr>
                <w:tcW w:w="1371" w:type="pct"/>
                <w:tcBorders>
                  <w:top w:val="single" w:sz="6" w:space="0" w:color="auto"/>
                  <w:left w:val="single" w:sz="6" w:space="0" w:color="auto"/>
                  <w:bottom w:val="single" w:sz="6" w:space="0" w:color="auto"/>
                  <w:right w:val="single" w:sz="6" w:space="0" w:color="auto"/>
                </w:tcBorders>
                <w:vAlign w:val="center"/>
              </w:tcPr>
              <w:p w14:paraId="7BEC5F3B" w14:textId="77777777" w:rsidR="007E7472" w:rsidRDefault="00EC1269">
                <w:pPr>
                  <w:jc w:val="right"/>
                </w:pPr>
                <w:r>
                  <w:t>1,888,155</w:t>
                </w:r>
              </w:p>
            </w:tc>
          </w:tr>
          <w:tr w:rsidR="007E7472" w14:paraId="51D510C5" w14:textId="77777777">
            <w:sdt>
              <w:sdtPr>
                <w:tag w:val="_PLD_643910084d97437289ebe011c14a7740"/>
                <w:id w:val="199207064"/>
                <w:lock w:val="sdtLocked"/>
              </w:sdtPr>
              <w:sdtEndPr/>
              <w:sdtContent>
                <w:tc>
                  <w:tcPr>
                    <w:tcW w:w="2230" w:type="pct"/>
                    <w:tcBorders>
                      <w:top w:val="single" w:sz="6" w:space="0" w:color="auto"/>
                      <w:left w:val="single" w:sz="4" w:space="0" w:color="auto"/>
                      <w:bottom w:val="single" w:sz="6" w:space="0" w:color="auto"/>
                      <w:right w:val="single" w:sz="6" w:space="0" w:color="auto"/>
                    </w:tcBorders>
                    <w:shd w:val="clear" w:color="auto" w:fill="auto"/>
                    <w:vAlign w:val="bottom"/>
                  </w:tcPr>
                  <w:p w14:paraId="5DE925DB" w14:textId="77777777" w:rsidR="007E7472" w:rsidRDefault="00EC1269">
                    <w:pPr>
                      <w:rPr>
                        <w:rFonts w:cs="Arial"/>
                        <w:color w:val="000000"/>
                      </w:rPr>
                    </w:pPr>
                    <w:r>
                      <w:rPr>
                        <w:rFonts w:cs="Arial" w:hint="eastAsia"/>
                        <w:color w:val="000000"/>
                        <w:lang w:val="en-GB"/>
                      </w:rPr>
                      <w:t>非流动负债</w:t>
                    </w:r>
                  </w:p>
                </w:tc>
              </w:sdtContent>
            </w:sdt>
            <w:tc>
              <w:tcPr>
                <w:tcW w:w="1399" w:type="pct"/>
                <w:tcBorders>
                  <w:top w:val="single" w:sz="6" w:space="0" w:color="auto"/>
                  <w:left w:val="single" w:sz="6" w:space="0" w:color="auto"/>
                  <w:bottom w:val="single" w:sz="4" w:space="0" w:color="auto"/>
                  <w:right w:val="single" w:sz="6" w:space="0" w:color="auto"/>
                </w:tcBorders>
                <w:vAlign w:val="center"/>
              </w:tcPr>
              <w:p w14:paraId="545E3533" w14:textId="77777777" w:rsidR="007E7472" w:rsidRDefault="00EC1269">
                <w:pPr>
                  <w:jc w:val="right"/>
                </w:pPr>
                <w:r>
                  <w:t>1,225,941</w:t>
                </w:r>
              </w:p>
            </w:tc>
            <w:tc>
              <w:tcPr>
                <w:tcW w:w="1371" w:type="pct"/>
                <w:tcBorders>
                  <w:top w:val="single" w:sz="6" w:space="0" w:color="auto"/>
                  <w:left w:val="single" w:sz="6" w:space="0" w:color="auto"/>
                  <w:bottom w:val="single" w:sz="6" w:space="0" w:color="auto"/>
                  <w:right w:val="single" w:sz="6" w:space="0" w:color="auto"/>
                </w:tcBorders>
                <w:vAlign w:val="center"/>
              </w:tcPr>
              <w:p w14:paraId="3D2BBBEC" w14:textId="77777777" w:rsidR="007E7472" w:rsidRDefault="00EC1269">
                <w:pPr>
                  <w:jc w:val="right"/>
                </w:pPr>
                <w:r>
                  <w:t>1,737,753</w:t>
                </w:r>
              </w:p>
            </w:tc>
          </w:tr>
          <w:tr w:rsidR="007E7472" w14:paraId="0CEEE114" w14:textId="77777777">
            <w:sdt>
              <w:sdtPr>
                <w:tag w:val="_PLD_be9244ec1126466da3e10cb989b74143"/>
                <w:id w:val="1040238391"/>
                <w:lock w:val="sdtLocked"/>
              </w:sdtPr>
              <w:sdtEndPr/>
              <w:sdtContent>
                <w:tc>
                  <w:tcPr>
                    <w:tcW w:w="2230" w:type="pct"/>
                    <w:tcBorders>
                      <w:top w:val="single" w:sz="6" w:space="0" w:color="auto"/>
                      <w:left w:val="single" w:sz="4" w:space="0" w:color="auto"/>
                      <w:bottom w:val="single" w:sz="6" w:space="0" w:color="auto"/>
                      <w:right w:val="single" w:sz="6" w:space="0" w:color="auto"/>
                    </w:tcBorders>
                    <w:shd w:val="clear" w:color="auto" w:fill="auto"/>
                    <w:vAlign w:val="bottom"/>
                  </w:tcPr>
                  <w:p w14:paraId="75F12CB4" w14:textId="77777777" w:rsidR="007E7472" w:rsidRDefault="00EC1269">
                    <w:pPr>
                      <w:rPr>
                        <w:rFonts w:cs="Arial"/>
                        <w:color w:val="000000"/>
                      </w:rPr>
                    </w:pPr>
                    <w:r>
                      <w:rPr>
                        <w:rFonts w:cs="Arial" w:hint="eastAsia"/>
                        <w:color w:val="000000"/>
                        <w:lang w:val="en-GB"/>
                      </w:rPr>
                      <w:t>负债合计</w:t>
                    </w:r>
                  </w:p>
                </w:tc>
              </w:sdtContent>
            </w:sdt>
            <w:tc>
              <w:tcPr>
                <w:tcW w:w="1399" w:type="pct"/>
                <w:tcBorders>
                  <w:top w:val="single" w:sz="6" w:space="0" w:color="auto"/>
                  <w:left w:val="single" w:sz="6" w:space="0" w:color="auto"/>
                  <w:bottom w:val="single" w:sz="4" w:space="0" w:color="auto"/>
                  <w:right w:val="single" w:sz="6" w:space="0" w:color="auto"/>
                </w:tcBorders>
                <w:vAlign w:val="center"/>
              </w:tcPr>
              <w:p w14:paraId="404CFF1C" w14:textId="77777777" w:rsidR="007E7472" w:rsidRDefault="00EC1269">
                <w:pPr>
                  <w:jc w:val="right"/>
                </w:pPr>
                <w:r>
                  <w:t>2,675,608</w:t>
                </w:r>
              </w:p>
            </w:tc>
            <w:tc>
              <w:tcPr>
                <w:tcW w:w="1371" w:type="pct"/>
                <w:tcBorders>
                  <w:top w:val="single" w:sz="6" w:space="0" w:color="auto"/>
                  <w:left w:val="single" w:sz="6" w:space="0" w:color="auto"/>
                  <w:bottom w:val="single" w:sz="6" w:space="0" w:color="auto"/>
                  <w:right w:val="single" w:sz="6" w:space="0" w:color="auto"/>
                </w:tcBorders>
                <w:vAlign w:val="center"/>
              </w:tcPr>
              <w:p w14:paraId="64E3A99D" w14:textId="77777777" w:rsidR="007E7472" w:rsidRDefault="00EC1269">
                <w:pPr>
                  <w:jc w:val="right"/>
                </w:pPr>
                <w:r>
                  <w:t>3,625,908</w:t>
                </w:r>
              </w:p>
            </w:tc>
          </w:tr>
          <w:tr w:rsidR="007E7472" w14:paraId="52F25D84" w14:textId="77777777">
            <w:sdt>
              <w:sdtPr>
                <w:tag w:val="_PLD_78dbb2bbc4344f2bb85c89b981e5b2df"/>
                <w:id w:val="-102194170"/>
                <w:lock w:val="sdtLocked"/>
              </w:sdtPr>
              <w:sdtEndPr/>
              <w:sdtContent>
                <w:tc>
                  <w:tcPr>
                    <w:tcW w:w="2230" w:type="pct"/>
                    <w:tcBorders>
                      <w:top w:val="single" w:sz="6" w:space="0" w:color="auto"/>
                      <w:left w:val="single" w:sz="4" w:space="0" w:color="auto"/>
                      <w:bottom w:val="single" w:sz="6" w:space="0" w:color="auto"/>
                      <w:right w:val="single" w:sz="6" w:space="0" w:color="auto"/>
                    </w:tcBorders>
                    <w:shd w:val="clear" w:color="auto" w:fill="auto"/>
                    <w:vAlign w:val="bottom"/>
                  </w:tcPr>
                  <w:p w14:paraId="433D651A" w14:textId="77777777" w:rsidR="007E7472" w:rsidRDefault="00EC1269">
                    <w:pPr>
                      <w:rPr>
                        <w:rFonts w:cs="Arial"/>
                        <w:color w:val="000000"/>
                      </w:rPr>
                    </w:pPr>
                    <w:r>
                      <w:rPr>
                        <w:rFonts w:cs="Arial" w:hint="eastAsia"/>
                        <w:color w:val="000000"/>
                        <w:lang w:val="en-GB"/>
                      </w:rPr>
                      <w:t>归属于母公司股东权益</w:t>
                    </w:r>
                  </w:p>
                </w:tc>
              </w:sdtContent>
            </w:sdt>
            <w:tc>
              <w:tcPr>
                <w:tcW w:w="1399" w:type="pct"/>
                <w:tcBorders>
                  <w:top w:val="single" w:sz="6" w:space="0" w:color="auto"/>
                  <w:left w:val="single" w:sz="6" w:space="0" w:color="auto"/>
                  <w:bottom w:val="single" w:sz="4" w:space="0" w:color="auto"/>
                  <w:right w:val="single" w:sz="6" w:space="0" w:color="auto"/>
                </w:tcBorders>
                <w:vAlign w:val="center"/>
              </w:tcPr>
              <w:p w14:paraId="255C7010" w14:textId="77777777" w:rsidR="007E7472" w:rsidRDefault="00EC1269">
                <w:pPr>
                  <w:jc w:val="right"/>
                </w:pPr>
                <w:r>
                  <w:t>2,344,828</w:t>
                </w:r>
              </w:p>
            </w:tc>
            <w:tc>
              <w:tcPr>
                <w:tcW w:w="1371" w:type="pct"/>
                <w:tcBorders>
                  <w:top w:val="single" w:sz="6" w:space="0" w:color="auto"/>
                  <w:left w:val="single" w:sz="6" w:space="0" w:color="auto"/>
                  <w:bottom w:val="single" w:sz="6" w:space="0" w:color="auto"/>
                  <w:right w:val="single" w:sz="6" w:space="0" w:color="auto"/>
                </w:tcBorders>
                <w:vAlign w:val="center"/>
              </w:tcPr>
              <w:p w14:paraId="6643D294" w14:textId="77777777" w:rsidR="007E7472" w:rsidRDefault="00EC1269">
                <w:pPr>
                  <w:jc w:val="right"/>
                </w:pPr>
                <w:r>
                  <w:t>2,246,455</w:t>
                </w:r>
              </w:p>
            </w:tc>
          </w:tr>
          <w:tr w:rsidR="007E7472" w14:paraId="7DC40EE8" w14:textId="77777777">
            <w:sdt>
              <w:sdtPr>
                <w:tag w:val="_PLD_e5e5729910924035948ea1a5c54ad11d"/>
                <w:id w:val="-311790774"/>
                <w:lock w:val="sdtLocked"/>
              </w:sdtPr>
              <w:sdtEndPr/>
              <w:sdtContent>
                <w:tc>
                  <w:tcPr>
                    <w:tcW w:w="2230" w:type="pct"/>
                    <w:tcBorders>
                      <w:top w:val="single" w:sz="6" w:space="0" w:color="auto"/>
                      <w:left w:val="single" w:sz="4" w:space="0" w:color="auto"/>
                      <w:bottom w:val="single" w:sz="6" w:space="0" w:color="auto"/>
                      <w:right w:val="single" w:sz="6" w:space="0" w:color="auto"/>
                    </w:tcBorders>
                    <w:shd w:val="clear" w:color="auto" w:fill="auto"/>
                    <w:vAlign w:val="bottom"/>
                  </w:tcPr>
                  <w:p w14:paraId="36FA846B" w14:textId="77777777" w:rsidR="007E7472" w:rsidRDefault="00EC1269">
                    <w:pPr>
                      <w:rPr>
                        <w:rFonts w:cs="Arial"/>
                        <w:color w:val="000000"/>
                      </w:rPr>
                    </w:pPr>
                    <w:r>
                      <w:rPr>
                        <w:rFonts w:cs="Arial" w:hint="eastAsia"/>
                        <w:color w:val="000000"/>
                        <w:lang w:val="en-GB"/>
                      </w:rPr>
                      <w:t>按持股比例计算的净资产份额</w:t>
                    </w:r>
                  </w:p>
                </w:tc>
              </w:sdtContent>
            </w:sdt>
            <w:tc>
              <w:tcPr>
                <w:tcW w:w="1399" w:type="pct"/>
                <w:tcBorders>
                  <w:top w:val="single" w:sz="6" w:space="0" w:color="auto"/>
                  <w:left w:val="single" w:sz="6" w:space="0" w:color="auto"/>
                  <w:bottom w:val="single" w:sz="4" w:space="0" w:color="auto"/>
                  <w:right w:val="single" w:sz="6" w:space="0" w:color="auto"/>
                </w:tcBorders>
                <w:vAlign w:val="center"/>
              </w:tcPr>
              <w:p w14:paraId="43B6D330" w14:textId="77777777" w:rsidR="007E7472" w:rsidRDefault="00EC1269">
                <w:pPr>
                  <w:jc w:val="right"/>
                </w:pPr>
                <w:r>
                  <w:t>1,172,407</w:t>
                </w:r>
              </w:p>
            </w:tc>
            <w:tc>
              <w:tcPr>
                <w:tcW w:w="1371" w:type="pct"/>
                <w:tcBorders>
                  <w:top w:val="single" w:sz="6" w:space="0" w:color="auto"/>
                  <w:left w:val="single" w:sz="6" w:space="0" w:color="auto"/>
                  <w:bottom w:val="single" w:sz="6" w:space="0" w:color="auto"/>
                  <w:right w:val="single" w:sz="6" w:space="0" w:color="auto"/>
                </w:tcBorders>
                <w:vAlign w:val="center"/>
              </w:tcPr>
              <w:p w14:paraId="57D0BBDE" w14:textId="77777777" w:rsidR="007E7472" w:rsidRDefault="00EC1269">
                <w:pPr>
                  <w:jc w:val="right"/>
                </w:pPr>
                <w:r>
                  <w:t>1,123,221</w:t>
                </w:r>
              </w:p>
            </w:tc>
          </w:tr>
          <w:tr w:rsidR="007E7472" w14:paraId="412702A7" w14:textId="77777777">
            <w:sdt>
              <w:sdtPr>
                <w:tag w:val="_PLD_f78fb3279ec849b0916e018a989f4c0b"/>
                <w:id w:val="1264573387"/>
                <w:lock w:val="sdtLocked"/>
              </w:sdtPr>
              <w:sdtEndPr/>
              <w:sdtContent>
                <w:tc>
                  <w:tcPr>
                    <w:tcW w:w="2230" w:type="pct"/>
                    <w:tcBorders>
                      <w:top w:val="single" w:sz="6" w:space="0" w:color="auto"/>
                      <w:left w:val="single" w:sz="4" w:space="0" w:color="auto"/>
                      <w:bottom w:val="single" w:sz="6" w:space="0" w:color="auto"/>
                      <w:right w:val="single" w:sz="6" w:space="0" w:color="auto"/>
                    </w:tcBorders>
                    <w:shd w:val="clear" w:color="auto" w:fill="auto"/>
                    <w:vAlign w:val="bottom"/>
                  </w:tcPr>
                  <w:p w14:paraId="657CE39F" w14:textId="77777777" w:rsidR="007E7472" w:rsidRDefault="00EC1269">
                    <w:pPr>
                      <w:rPr>
                        <w:rFonts w:cs="Arial"/>
                        <w:color w:val="000000"/>
                      </w:rPr>
                    </w:pPr>
                    <w:r>
                      <w:rPr>
                        <w:rFonts w:cs="Arial" w:hint="eastAsia"/>
                        <w:color w:val="000000"/>
                        <w:lang w:val="en-GB"/>
                      </w:rPr>
                      <w:t>对合营企业权益投资的账面价值</w:t>
                    </w:r>
                  </w:p>
                </w:tc>
              </w:sdtContent>
            </w:sdt>
            <w:tc>
              <w:tcPr>
                <w:tcW w:w="1399" w:type="pct"/>
                <w:tcBorders>
                  <w:top w:val="single" w:sz="6" w:space="0" w:color="auto"/>
                  <w:left w:val="single" w:sz="6" w:space="0" w:color="auto"/>
                  <w:bottom w:val="single" w:sz="4" w:space="0" w:color="auto"/>
                  <w:right w:val="single" w:sz="6" w:space="0" w:color="auto"/>
                </w:tcBorders>
                <w:vAlign w:val="center"/>
              </w:tcPr>
              <w:p w14:paraId="03354905" w14:textId="77777777" w:rsidR="007E7472" w:rsidRDefault="00EC1269">
                <w:pPr>
                  <w:jc w:val="right"/>
                </w:pPr>
                <w:r>
                  <w:t>1,173,12</w:t>
                </w:r>
                <w:r>
                  <w:rPr>
                    <w:rFonts w:hint="eastAsia"/>
                  </w:rPr>
                  <w:t>2</w:t>
                </w:r>
              </w:p>
            </w:tc>
            <w:tc>
              <w:tcPr>
                <w:tcW w:w="1371" w:type="pct"/>
                <w:tcBorders>
                  <w:top w:val="single" w:sz="6" w:space="0" w:color="auto"/>
                  <w:left w:val="single" w:sz="6" w:space="0" w:color="auto"/>
                  <w:bottom w:val="single" w:sz="6" w:space="0" w:color="auto"/>
                  <w:right w:val="single" w:sz="6" w:space="0" w:color="auto"/>
                </w:tcBorders>
                <w:vAlign w:val="center"/>
              </w:tcPr>
              <w:p w14:paraId="2E3EFAC4" w14:textId="77777777" w:rsidR="007E7472" w:rsidRDefault="00EC1269">
                <w:pPr>
                  <w:jc w:val="right"/>
                </w:pPr>
                <w:r>
                  <w:t>1,123,923</w:t>
                </w:r>
              </w:p>
            </w:tc>
          </w:tr>
          <w:tr w:rsidR="007E7472" w14:paraId="03ABB49B" w14:textId="77777777">
            <w:sdt>
              <w:sdtPr>
                <w:tag w:val="_PLD_7681be0032f74e06af113991cdcbcc6f"/>
                <w:id w:val="1746524095"/>
                <w:lock w:val="sdtLocked"/>
              </w:sdtPr>
              <w:sdtEndPr/>
              <w:sdtContent>
                <w:tc>
                  <w:tcPr>
                    <w:tcW w:w="2230" w:type="pct"/>
                    <w:tcBorders>
                      <w:top w:val="single" w:sz="6" w:space="0" w:color="auto"/>
                      <w:left w:val="single" w:sz="4" w:space="0" w:color="auto"/>
                      <w:bottom w:val="single" w:sz="6" w:space="0" w:color="auto"/>
                      <w:right w:val="single" w:sz="6" w:space="0" w:color="auto"/>
                    </w:tcBorders>
                    <w:shd w:val="clear" w:color="auto" w:fill="auto"/>
                    <w:vAlign w:val="bottom"/>
                  </w:tcPr>
                  <w:p w14:paraId="109D9C29" w14:textId="77777777" w:rsidR="007E7472" w:rsidRDefault="00EC1269">
                    <w:pPr>
                      <w:rPr>
                        <w:rFonts w:cs="Arial"/>
                        <w:color w:val="000000"/>
                      </w:rPr>
                    </w:pPr>
                    <w:r>
                      <w:rPr>
                        <w:rFonts w:cs="Arial" w:hint="eastAsia"/>
                        <w:color w:val="000000"/>
                        <w:lang w:val="en-GB"/>
                      </w:rPr>
                      <w:t>营业收入</w:t>
                    </w:r>
                  </w:p>
                </w:tc>
              </w:sdtContent>
            </w:sdt>
            <w:tc>
              <w:tcPr>
                <w:tcW w:w="1399" w:type="pct"/>
                <w:tcBorders>
                  <w:top w:val="single" w:sz="6" w:space="0" w:color="auto"/>
                  <w:left w:val="single" w:sz="6" w:space="0" w:color="auto"/>
                  <w:bottom w:val="single" w:sz="4" w:space="0" w:color="auto"/>
                  <w:right w:val="single" w:sz="6" w:space="0" w:color="auto"/>
                </w:tcBorders>
                <w:vAlign w:val="center"/>
              </w:tcPr>
              <w:p w14:paraId="097C7C0F" w14:textId="77777777" w:rsidR="007E7472" w:rsidRDefault="00EC1269">
                <w:pPr>
                  <w:jc w:val="right"/>
                </w:pPr>
                <w:r>
                  <w:t>716,435</w:t>
                </w:r>
              </w:p>
            </w:tc>
            <w:tc>
              <w:tcPr>
                <w:tcW w:w="1371" w:type="pct"/>
                <w:tcBorders>
                  <w:top w:val="single" w:sz="6" w:space="0" w:color="auto"/>
                  <w:left w:val="single" w:sz="6" w:space="0" w:color="auto"/>
                  <w:bottom w:val="single" w:sz="6" w:space="0" w:color="auto"/>
                  <w:right w:val="single" w:sz="6" w:space="0" w:color="auto"/>
                </w:tcBorders>
              </w:tcPr>
              <w:p w14:paraId="07AFF08B" w14:textId="77777777" w:rsidR="007E7472" w:rsidRDefault="00EC1269">
                <w:pPr>
                  <w:jc w:val="right"/>
                </w:pPr>
                <w:r>
                  <w:t>3,155,670</w:t>
                </w:r>
              </w:p>
            </w:tc>
          </w:tr>
          <w:tr w:rsidR="007E7472" w14:paraId="5FE4D460" w14:textId="77777777">
            <w:sdt>
              <w:sdtPr>
                <w:tag w:val="_PLD_efb10239f1f246c0b37959f181152094"/>
                <w:id w:val="417753857"/>
                <w:lock w:val="sdtLocked"/>
              </w:sdtPr>
              <w:sdtEndPr/>
              <w:sdtContent>
                <w:tc>
                  <w:tcPr>
                    <w:tcW w:w="2230" w:type="pct"/>
                    <w:tcBorders>
                      <w:top w:val="single" w:sz="6" w:space="0" w:color="auto"/>
                      <w:left w:val="single" w:sz="4" w:space="0" w:color="auto"/>
                      <w:bottom w:val="single" w:sz="6" w:space="0" w:color="auto"/>
                      <w:right w:val="single" w:sz="6" w:space="0" w:color="auto"/>
                    </w:tcBorders>
                    <w:shd w:val="clear" w:color="auto" w:fill="auto"/>
                    <w:vAlign w:val="bottom"/>
                  </w:tcPr>
                  <w:p w14:paraId="6D3C42F2" w14:textId="77777777" w:rsidR="007E7472" w:rsidRDefault="00EC1269">
                    <w:pPr>
                      <w:rPr>
                        <w:rFonts w:cs="Arial"/>
                        <w:color w:val="000000"/>
                      </w:rPr>
                    </w:pPr>
                    <w:r>
                      <w:rPr>
                        <w:rFonts w:cs="Arial" w:hint="eastAsia"/>
                        <w:color w:val="000000"/>
                        <w:lang w:val="en-GB"/>
                      </w:rPr>
                      <w:t>财务费用</w:t>
                    </w:r>
                  </w:p>
                </w:tc>
              </w:sdtContent>
            </w:sdt>
            <w:tc>
              <w:tcPr>
                <w:tcW w:w="1399" w:type="pct"/>
                <w:tcBorders>
                  <w:top w:val="single" w:sz="6" w:space="0" w:color="auto"/>
                  <w:left w:val="single" w:sz="6" w:space="0" w:color="auto"/>
                  <w:bottom w:val="single" w:sz="4" w:space="0" w:color="auto"/>
                  <w:right w:val="single" w:sz="6" w:space="0" w:color="auto"/>
                </w:tcBorders>
                <w:vAlign w:val="center"/>
              </w:tcPr>
              <w:p w14:paraId="3BE1374C" w14:textId="77777777" w:rsidR="007E7472" w:rsidRDefault="00EC1269">
                <w:pPr>
                  <w:jc w:val="right"/>
                </w:pPr>
                <w:r>
                  <w:rPr>
                    <w:rFonts w:hint="eastAsia"/>
                  </w:rPr>
                  <w:t>-</w:t>
                </w:r>
                <w:r>
                  <w:t>11</w:t>
                </w:r>
              </w:p>
            </w:tc>
            <w:tc>
              <w:tcPr>
                <w:tcW w:w="1371" w:type="pct"/>
                <w:tcBorders>
                  <w:top w:val="single" w:sz="6" w:space="0" w:color="auto"/>
                  <w:left w:val="single" w:sz="6" w:space="0" w:color="auto"/>
                  <w:bottom w:val="single" w:sz="6" w:space="0" w:color="auto"/>
                  <w:right w:val="single" w:sz="6" w:space="0" w:color="auto"/>
                </w:tcBorders>
              </w:tcPr>
              <w:p w14:paraId="4A134257" w14:textId="77777777" w:rsidR="007E7472" w:rsidRDefault="00EC1269">
                <w:pPr>
                  <w:jc w:val="right"/>
                </w:pPr>
                <w:r>
                  <w:t>-614,892</w:t>
                </w:r>
              </w:p>
            </w:tc>
          </w:tr>
          <w:tr w:rsidR="007E7472" w14:paraId="74802B31" w14:textId="77777777">
            <w:sdt>
              <w:sdtPr>
                <w:tag w:val="_PLD_ec95d25137b44045a46788915c35288d"/>
                <w:id w:val="1842969863"/>
                <w:lock w:val="sdtLocked"/>
              </w:sdtPr>
              <w:sdtEndPr/>
              <w:sdtContent>
                <w:tc>
                  <w:tcPr>
                    <w:tcW w:w="2230" w:type="pct"/>
                    <w:tcBorders>
                      <w:top w:val="single" w:sz="6" w:space="0" w:color="auto"/>
                      <w:left w:val="single" w:sz="4" w:space="0" w:color="auto"/>
                      <w:bottom w:val="single" w:sz="6" w:space="0" w:color="auto"/>
                      <w:right w:val="single" w:sz="6" w:space="0" w:color="auto"/>
                    </w:tcBorders>
                    <w:shd w:val="clear" w:color="auto" w:fill="auto"/>
                    <w:vAlign w:val="bottom"/>
                  </w:tcPr>
                  <w:p w14:paraId="68B45FBB" w14:textId="77777777" w:rsidR="007E7472" w:rsidRDefault="00EC1269">
                    <w:pPr>
                      <w:rPr>
                        <w:rFonts w:cs="Arial"/>
                        <w:color w:val="000000"/>
                      </w:rPr>
                    </w:pPr>
                    <w:r>
                      <w:rPr>
                        <w:rFonts w:cs="Arial" w:hint="eastAsia"/>
                        <w:color w:val="000000"/>
                        <w:lang w:val="en-GB"/>
                      </w:rPr>
                      <w:t>所得税费用</w:t>
                    </w:r>
                  </w:p>
                </w:tc>
              </w:sdtContent>
            </w:sdt>
            <w:tc>
              <w:tcPr>
                <w:tcW w:w="1399" w:type="pct"/>
                <w:tcBorders>
                  <w:top w:val="single" w:sz="6" w:space="0" w:color="auto"/>
                  <w:left w:val="single" w:sz="6" w:space="0" w:color="auto"/>
                  <w:bottom w:val="single" w:sz="4" w:space="0" w:color="auto"/>
                  <w:right w:val="single" w:sz="6" w:space="0" w:color="auto"/>
                </w:tcBorders>
                <w:vAlign w:val="center"/>
              </w:tcPr>
              <w:p w14:paraId="6AC9889C" w14:textId="77777777" w:rsidR="007E7472" w:rsidRDefault="00EC1269">
                <w:pPr>
                  <w:jc w:val="right"/>
                </w:pPr>
                <w:r>
                  <w:rPr>
                    <w:rFonts w:hint="eastAsia"/>
                  </w:rPr>
                  <w:t>-</w:t>
                </w:r>
                <w:r>
                  <w:t>18,288</w:t>
                </w:r>
              </w:p>
            </w:tc>
            <w:tc>
              <w:tcPr>
                <w:tcW w:w="1371" w:type="pct"/>
                <w:tcBorders>
                  <w:top w:val="single" w:sz="6" w:space="0" w:color="auto"/>
                  <w:left w:val="single" w:sz="6" w:space="0" w:color="auto"/>
                  <w:bottom w:val="single" w:sz="6" w:space="0" w:color="auto"/>
                  <w:right w:val="single" w:sz="6" w:space="0" w:color="auto"/>
                </w:tcBorders>
              </w:tcPr>
              <w:p w14:paraId="508AB64B" w14:textId="77777777" w:rsidR="007E7472" w:rsidRDefault="00EC1269">
                <w:pPr>
                  <w:jc w:val="right"/>
                </w:pPr>
                <w:r>
                  <w:t>-504,466</w:t>
                </w:r>
              </w:p>
            </w:tc>
          </w:tr>
          <w:tr w:rsidR="007E7472" w14:paraId="01BC269C" w14:textId="77777777">
            <w:sdt>
              <w:sdtPr>
                <w:tag w:val="_PLD_e6233a8b7eec48fbbde96bc4d4dfb8a6"/>
                <w:id w:val="-939523158"/>
                <w:lock w:val="sdtLocked"/>
              </w:sdtPr>
              <w:sdtEndPr/>
              <w:sdtContent>
                <w:tc>
                  <w:tcPr>
                    <w:tcW w:w="2230" w:type="pct"/>
                    <w:tcBorders>
                      <w:top w:val="single" w:sz="6" w:space="0" w:color="auto"/>
                      <w:left w:val="single" w:sz="4" w:space="0" w:color="auto"/>
                      <w:bottom w:val="single" w:sz="6" w:space="0" w:color="auto"/>
                      <w:right w:val="single" w:sz="6" w:space="0" w:color="auto"/>
                    </w:tcBorders>
                    <w:shd w:val="clear" w:color="auto" w:fill="auto"/>
                    <w:vAlign w:val="bottom"/>
                  </w:tcPr>
                  <w:p w14:paraId="7405EFBB" w14:textId="77777777" w:rsidR="007E7472" w:rsidRDefault="00EC1269">
                    <w:pPr>
                      <w:rPr>
                        <w:rFonts w:cs="Arial"/>
                        <w:color w:val="000000"/>
                      </w:rPr>
                    </w:pPr>
                    <w:r>
                      <w:rPr>
                        <w:rFonts w:cs="Arial" w:hint="eastAsia"/>
                        <w:color w:val="000000"/>
                        <w:lang w:val="en-GB"/>
                      </w:rPr>
                      <w:t>净利润</w:t>
                    </w:r>
                  </w:p>
                </w:tc>
              </w:sdtContent>
            </w:sdt>
            <w:tc>
              <w:tcPr>
                <w:tcW w:w="1399" w:type="pct"/>
                <w:tcBorders>
                  <w:top w:val="single" w:sz="6" w:space="0" w:color="auto"/>
                  <w:left w:val="single" w:sz="6" w:space="0" w:color="auto"/>
                  <w:bottom w:val="single" w:sz="4" w:space="0" w:color="auto"/>
                  <w:right w:val="single" w:sz="6" w:space="0" w:color="auto"/>
                </w:tcBorders>
                <w:vAlign w:val="center"/>
              </w:tcPr>
              <w:p w14:paraId="22CADFBB" w14:textId="77777777" w:rsidR="007E7472" w:rsidRDefault="00EC1269">
                <w:pPr>
                  <w:jc w:val="right"/>
                </w:pPr>
                <w:r>
                  <w:t>28,130</w:t>
                </w:r>
              </w:p>
            </w:tc>
            <w:tc>
              <w:tcPr>
                <w:tcW w:w="1371" w:type="pct"/>
                <w:tcBorders>
                  <w:top w:val="single" w:sz="6" w:space="0" w:color="auto"/>
                  <w:left w:val="single" w:sz="6" w:space="0" w:color="auto"/>
                  <w:bottom w:val="single" w:sz="6" w:space="0" w:color="auto"/>
                  <w:right w:val="single" w:sz="6" w:space="0" w:color="auto"/>
                </w:tcBorders>
              </w:tcPr>
              <w:p w14:paraId="5BF5DA14" w14:textId="77777777" w:rsidR="007E7472" w:rsidRDefault="00EC1269">
                <w:pPr>
                  <w:jc w:val="right"/>
                </w:pPr>
                <w:r>
                  <w:t>537,430</w:t>
                </w:r>
              </w:p>
            </w:tc>
          </w:tr>
          <w:tr w:rsidR="007E7472" w14:paraId="3038759C" w14:textId="77777777">
            <w:sdt>
              <w:sdtPr>
                <w:tag w:val="_PLD_b138005ba76446bda2b20395dbec27f3"/>
                <w:id w:val="-774786834"/>
                <w:lock w:val="sdtLocked"/>
              </w:sdtPr>
              <w:sdtEndPr/>
              <w:sdtContent>
                <w:tc>
                  <w:tcPr>
                    <w:tcW w:w="2230" w:type="pct"/>
                    <w:tcBorders>
                      <w:top w:val="single" w:sz="6" w:space="0" w:color="auto"/>
                      <w:left w:val="single" w:sz="4" w:space="0" w:color="auto"/>
                      <w:bottom w:val="single" w:sz="6" w:space="0" w:color="auto"/>
                      <w:right w:val="single" w:sz="6" w:space="0" w:color="auto"/>
                    </w:tcBorders>
                    <w:shd w:val="clear" w:color="auto" w:fill="auto"/>
                    <w:vAlign w:val="bottom"/>
                  </w:tcPr>
                  <w:p w14:paraId="2A21CD05" w14:textId="77777777" w:rsidR="007E7472" w:rsidRDefault="00EC1269">
                    <w:pPr>
                      <w:rPr>
                        <w:rFonts w:cs="Arial"/>
                        <w:color w:val="000000"/>
                      </w:rPr>
                    </w:pPr>
                    <w:r>
                      <w:rPr>
                        <w:rFonts w:cs="Arial" w:hint="eastAsia"/>
                        <w:color w:val="000000"/>
                        <w:lang w:val="en-GB"/>
                      </w:rPr>
                      <w:t>综合收益总额</w:t>
                    </w:r>
                  </w:p>
                </w:tc>
              </w:sdtContent>
            </w:sdt>
            <w:tc>
              <w:tcPr>
                <w:tcW w:w="1399" w:type="pct"/>
                <w:tcBorders>
                  <w:top w:val="single" w:sz="6" w:space="0" w:color="auto"/>
                  <w:left w:val="single" w:sz="6" w:space="0" w:color="auto"/>
                  <w:bottom w:val="single" w:sz="4" w:space="0" w:color="auto"/>
                  <w:right w:val="single" w:sz="6" w:space="0" w:color="auto"/>
                </w:tcBorders>
                <w:vAlign w:val="center"/>
              </w:tcPr>
              <w:p w14:paraId="6DC301F2" w14:textId="77777777" w:rsidR="007E7472" w:rsidRDefault="00EC1269">
                <w:pPr>
                  <w:jc w:val="right"/>
                </w:pPr>
                <w:r>
                  <w:t>28,130</w:t>
                </w:r>
              </w:p>
            </w:tc>
            <w:tc>
              <w:tcPr>
                <w:tcW w:w="1371" w:type="pct"/>
                <w:tcBorders>
                  <w:top w:val="single" w:sz="6" w:space="0" w:color="auto"/>
                  <w:left w:val="single" w:sz="6" w:space="0" w:color="auto"/>
                  <w:bottom w:val="single" w:sz="6" w:space="0" w:color="auto"/>
                  <w:right w:val="single" w:sz="6" w:space="0" w:color="auto"/>
                </w:tcBorders>
              </w:tcPr>
              <w:p w14:paraId="6D2E9C8B" w14:textId="77777777" w:rsidR="007E7472" w:rsidRDefault="00EC1269">
                <w:pPr>
                  <w:jc w:val="right"/>
                </w:pPr>
                <w:r>
                  <w:t>537,430</w:t>
                </w:r>
              </w:p>
            </w:tc>
          </w:tr>
        </w:tbl>
        <w:p w14:paraId="0104B7EB" w14:textId="77777777" w:rsidR="007E7472" w:rsidRDefault="00C8327E">
          <w:pPr>
            <w:sectPr w:rsidR="007E7472">
              <w:pgSz w:w="11906" w:h="16838"/>
              <w:pgMar w:top="1525" w:right="1276" w:bottom="1440" w:left="1797" w:header="856" w:footer="992" w:gutter="0"/>
              <w:cols w:space="425"/>
              <w:docGrid w:linePitch="312"/>
            </w:sectPr>
          </w:pPr>
        </w:p>
      </w:sdtContent>
    </w:sdt>
    <w:p w14:paraId="2D106879" w14:textId="77777777" w:rsidR="007E7472" w:rsidRDefault="00EC1269" w:rsidP="00162493">
      <w:pPr>
        <w:pStyle w:val="4"/>
        <w:numPr>
          <w:ilvl w:val="0"/>
          <w:numId w:val="105"/>
        </w:numPr>
        <w:rPr>
          <w:rFonts w:cs="Arial"/>
        </w:rPr>
      </w:pPr>
      <w:r>
        <w:rPr>
          <w:rFonts w:cs="Arial" w:hint="eastAsia"/>
        </w:rPr>
        <w:lastRenderedPageBreak/>
        <w:t>重要联营企业的主要财务信息</w:t>
      </w:r>
    </w:p>
    <w:p w14:paraId="6984A2FA" w14:textId="77777777" w:rsidR="007E7472" w:rsidRDefault="00C8327E">
      <w:sdt>
        <w:sdtPr>
          <w:rPr>
            <w:rFonts w:hint="eastAsia"/>
            <w:b/>
          </w:rPr>
          <w:alias w:val="是否适用：重要联营企业的主要财务信息[双击切换]"/>
          <w:tag w:val="_GBC_e304b69adb6f449495c3916754024763"/>
          <w:id w:val="-893269819"/>
          <w:lock w:val="sdtContentLocked"/>
          <w:placeholder>
            <w:docPart w:val="GBC22222222222222222222222222222"/>
          </w:placeholder>
        </w:sdtPr>
        <w:sdtEndPr>
          <w:rPr>
            <w:b w:val="0"/>
          </w:rPr>
        </w:sdtEndPr>
        <w:sdtContent>
          <w:r w:rsidR="00EC1269">
            <w:fldChar w:fldCharType="begin"/>
          </w:r>
          <w:r w:rsidR="00EC1269">
            <w:instrText xml:space="preserve"> MACROBUTTON  SnrToggleCheckbox √适用 </w:instrText>
          </w:r>
          <w:r w:rsidR="00EC1269">
            <w:fldChar w:fldCharType="end"/>
          </w:r>
          <w:r w:rsidR="00EC1269">
            <w:fldChar w:fldCharType="begin"/>
          </w:r>
          <w:r w:rsidR="00EC1269">
            <w:instrText xml:space="preserve"> MACROBUTTON  SnrToggleCheckbox □不适用 </w:instrText>
          </w:r>
          <w:r w:rsidR="00EC1269">
            <w:fldChar w:fldCharType="end"/>
          </w:r>
        </w:sdtContent>
      </w:sdt>
    </w:p>
    <w:p w14:paraId="206D3EEE" w14:textId="102EA723" w:rsidR="007E7472" w:rsidRDefault="00EC1269">
      <w:pPr>
        <w:jc w:val="right"/>
      </w:pPr>
      <w:r>
        <w:rPr>
          <w:rFonts w:hint="eastAsia"/>
        </w:rPr>
        <w:t>单位：</w:t>
      </w:r>
      <w:sdt>
        <w:sdtPr>
          <w:rPr>
            <w:rFonts w:hint="eastAsia"/>
          </w:rPr>
          <w:alias w:val="单位：财务附注：重要联营企业的主要财务信息"/>
          <w:tag w:val="_GBC_0306b30be35040cd86d2b964142011d4"/>
          <w:id w:val="-188640494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重要联营企业的主要财务信息"/>
          <w:tag w:val="_GBC_a2e655bae21746219bfd958c6f5b8be9"/>
          <w:id w:val="-205731105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sdt>
      <w:sdtPr>
        <w:rPr>
          <w:rFonts w:asciiTheme="minorEastAsia" w:eastAsiaTheme="minorEastAsia" w:hAnsiTheme="minorEastAsia" w:cs="Times New Roman"/>
        </w:rPr>
        <w:alias w:val="模块:重要联营企业的主要财务信息"/>
        <w:tag w:val="_GBC_ac3eed998bbd4658ab651a88daefefb1"/>
        <w:id w:val="1705450274"/>
        <w:lock w:val="sdtLocked"/>
        <w:placeholder>
          <w:docPart w:val="GBC22222222222222222222222222222"/>
        </w:placeholder>
      </w:sdtPr>
      <w:sdtEndPr>
        <w:rPr>
          <w:rFonts w:ascii="Times New Roman" w:eastAsia="宋体" w:hAnsi="Times New Roman"/>
        </w:rPr>
      </w:sdtEndPr>
      <w:sdtContent>
        <w:tbl>
          <w:tblPr>
            <w:tblStyle w:val="g4"/>
            <w:tblW w:w="5000" w:type="pct"/>
            <w:tblBorders>
              <w:top w:val="single" w:sz="4" w:space="0" w:color="auto"/>
              <w:left w:val="single" w:sz="4" w:space="0" w:color="auto"/>
              <w:bottom w:val="single" w:sz="4" w:space="0" w:color="auto"/>
              <w:right w:val="single" w:sz="6" w:space="0" w:color="auto"/>
              <w:insideH w:val="single" w:sz="4" w:space="0" w:color="auto"/>
              <w:insideV w:val="single" w:sz="6" w:space="0" w:color="auto"/>
            </w:tblBorders>
            <w:tblLayout w:type="fixed"/>
            <w:tblLook w:val="04A0" w:firstRow="1" w:lastRow="0" w:firstColumn="1" w:lastColumn="0" w:noHBand="0" w:noVBand="1"/>
          </w:tblPr>
          <w:tblGrid>
            <w:gridCol w:w="1980"/>
            <w:gridCol w:w="1416"/>
            <w:gridCol w:w="1561"/>
            <w:gridCol w:w="1558"/>
            <w:gridCol w:w="1624"/>
            <w:gridCol w:w="1375"/>
            <w:gridCol w:w="1483"/>
            <w:gridCol w:w="1372"/>
            <w:gridCol w:w="1491"/>
          </w:tblGrid>
          <w:tr w:rsidR="007E7472" w14:paraId="468B8AE2" w14:textId="77777777" w:rsidTr="00147B9F">
            <w:trPr>
              <w:trHeight w:val="478"/>
            </w:trPr>
            <w:tc>
              <w:tcPr>
                <w:tcW w:w="714" w:type="pct"/>
                <w:vMerge w:val="restart"/>
                <w:shd w:val="clear" w:color="auto" w:fill="auto"/>
              </w:tcPr>
              <w:p w14:paraId="1A13F40D" w14:textId="77777777" w:rsidR="007E7472" w:rsidRPr="00147B9F" w:rsidRDefault="00C8327E">
                <w:pPr>
                  <w:jc w:val="center"/>
                  <w:rPr>
                    <w:rFonts w:asciiTheme="minorEastAsia" w:eastAsiaTheme="minorEastAsia" w:hAnsiTheme="minorEastAsia" w:cs="Arial"/>
                  </w:rPr>
                </w:pPr>
              </w:p>
            </w:tc>
            <w:sdt>
              <w:sdtPr>
                <w:rPr>
                  <w:rFonts w:asciiTheme="minorEastAsia" w:eastAsiaTheme="minorEastAsia" w:hAnsiTheme="minorEastAsia" w:cs="Arial" w:hint="eastAsia"/>
                  <w:lang w:val="en-GB"/>
                </w:rPr>
                <w:alias w:val="重要联营企业的主要财务信息-发生期间"/>
                <w:tag w:val="_GBC_3985273c74d84e5d9e0004348ff54fc3"/>
                <w:id w:val="-937448322"/>
                <w:lock w:val="sdtLocked"/>
              </w:sdtPr>
              <w:sdtEndPr/>
              <w:sdtContent>
                <w:tc>
                  <w:tcPr>
                    <w:tcW w:w="2222" w:type="pct"/>
                    <w:gridSpan w:val="4"/>
                    <w:shd w:val="clear" w:color="auto" w:fill="auto"/>
                    <w:vAlign w:val="center"/>
                  </w:tcPr>
                  <w:p w14:paraId="0A86440F" w14:textId="77777777" w:rsidR="007E7472" w:rsidRPr="00147B9F" w:rsidRDefault="00EC1269">
                    <w:pPr>
                      <w:jc w:val="center"/>
                      <w:rPr>
                        <w:rFonts w:asciiTheme="minorEastAsia" w:eastAsiaTheme="minorEastAsia" w:hAnsiTheme="minorEastAsia" w:cs="Arial"/>
                      </w:rPr>
                    </w:pPr>
                    <w:r w:rsidRPr="00147B9F">
                      <w:rPr>
                        <w:rFonts w:asciiTheme="minorEastAsia" w:eastAsiaTheme="minorEastAsia" w:hAnsiTheme="minorEastAsia" w:cs="Arial" w:hint="eastAsia"/>
                        <w:lang w:val="en-GB"/>
                      </w:rPr>
                      <w:t>期末余额</w:t>
                    </w:r>
                    <w:r w:rsidRPr="00147B9F">
                      <w:rPr>
                        <w:rFonts w:asciiTheme="minorEastAsia" w:eastAsiaTheme="minorEastAsia" w:hAnsiTheme="minorEastAsia" w:cs="Arial"/>
                      </w:rPr>
                      <w:t>/</w:t>
                    </w:r>
                    <w:r w:rsidRPr="00147B9F">
                      <w:rPr>
                        <w:rFonts w:asciiTheme="minorEastAsia" w:eastAsiaTheme="minorEastAsia" w:hAnsiTheme="minorEastAsia" w:cs="Arial" w:hint="eastAsia"/>
                        <w:lang w:val="en-GB"/>
                      </w:rPr>
                      <w:t>本期发生额</w:t>
                    </w:r>
                  </w:p>
                </w:tc>
              </w:sdtContent>
            </w:sdt>
            <w:sdt>
              <w:sdtPr>
                <w:rPr>
                  <w:rFonts w:asciiTheme="minorEastAsia" w:eastAsiaTheme="minorEastAsia" w:hAnsiTheme="minorEastAsia" w:cs="Arial" w:hint="eastAsia"/>
                  <w:lang w:val="en-GB"/>
                </w:rPr>
                <w:alias w:val="重要联营企业的主要财务信息-发生期间"/>
                <w:tag w:val="_GBC_c59f213bf9cc43468db35ae8e45286d0"/>
                <w:id w:val="-839765835"/>
                <w:lock w:val="sdtLocked"/>
              </w:sdtPr>
              <w:sdtEndPr/>
              <w:sdtContent>
                <w:tc>
                  <w:tcPr>
                    <w:tcW w:w="2064" w:type="pct"/>
                    <w:gridSpan w:val="4"/>
                    <w:shd w:val="clear" w:color="auto" w:fill="auto"/>
                    <w:vAlign w:val="center"/>
                  </w:tcPr>
                  <w:p w14:paraId="5BEDA2CD" w14:textId="77777777" w:rsidR="007E7472" w:rsidRPr="00147B9F" w:rsidRDefault="00EC1269">
                    <w:pPr>
                      <w:jc w:val="center"/>
                      <w:rPr>
                        <w:rFonts w:asciiTheme="minorEastAsia" w:eastAsiaTheme="minorEastAsia" w:hAnsiTheme="minorEastAsia" w:cs="Arial"/>
                        <w:lang w:val="en-GB"/>
                      </w:rPr>
                    </w:pPr>
                    <w:r w:rsidRPr="00147B9F">
                      <w:rPr>
                        <w:rFonts w:asciiTheme="minorEastAsia" w:eastAsiaTheme="minorEastAsia" w:hAnsiTheme="minorEastAsia" w:cs="Arial" w:hint="eastAsia"/>
                        <w:lang w:val="en-GB"/>
                      </w:rPr>
                      <w:t>期初余额</w:t>
                    </w:r>
                    <w:r w:rsidRPr="00147B9F">
                      <w:rPr>
                        <w:rFonts w:asciiTheme="minorEastAsia" w:eastAsiaTheme="minorEastAsia" w:hAnsiTheme="minorEastAsia" w:cs="Arial"/>
                      </w:rPr>
                      <w:t>/</w:t>
                    </w:r>
                    <w:r w:rsidRPr="00147B9F">
                      <w:rPr>
                        <w:rFonts w:asciiTheme="minorEastAsia" w:eastAsiaTheme="minorEastAsia" w:hAnsiTheme="minorEastAsia" w:cs="Arial" w:hint="eastAsia"/>
                        <w:lang w:val="en-GB"/>
                      </w:rPr>
                      <w:t>上期发生额</w:t>
                    </w:r>
                  </w:p>
                </w:tc>
              </w:sdtContent>
            </w:sdt>
          </w:tr>
          <w:tr w:rsidR="007E7472" w14:paraId="68082F13" w14:textId="77777777" w:rsidTr="00147B9F">
            <w:trPr>
              <w:trHeight w:val="120"/>
            </w:trPr>
            <w:tc>
              <w:tcPr>
                <w:tcW w:w="714" w:type="pct"/>
                <w:vMerge/>
                <w:shd w:val="clear" w:color="auto" w:fill="auto"/>
                <w:vAlign w:val="center"/>
              </w:tcPr>
              <w:p w14:paraId="725BD5F7" w14:textId="77777777" w:rsidR="007E7472" w:rsidRPr="00147B9F" w:rsidRDefault="00C8327E">
                <w:pPr>
                  <w:rPr>
                    <w:rFonts w:asciiTheme="minorEastAsia" w:eastAsiaTheme="minorEastAsia" w:hAnsiTheme="minorEastAsia" w:cs="Arial"/>
                  </w:rPr>
                </w:pPr>
              </w:p>
            </w:tc>
            <w:sdt>
              <w:sdtPr>
                <w:rPr>
                  <w:rFonts w:asciiTheme="minorEastAsia" w:eastAsiaTheme="minorEastAsia" w:hAnsiTheme="minorEastAsia" w:hint="eastAsia"/>
                </w:rPr>
                <w:alias w:val="重要联营企业的主要财务信息明细-企业名称"/>
                <w:tag w:val="_GBC_0cae03adb6fc417da51f1e06cc077a6b"/>
                <w:id w:val="-297379332"/>
                <w:lock w:val="sdtLocked"/>
              </w:sdtPr>
              <w:sdtEndPr/>
              <w:sdtContent>
                <w:tc>
                  <w:tcPr>
                    <w:tcW w:w="511" w:type="pct"/>
                    <w:shd w:val="clear" w:color="auto" w:fill="auto"/>
                    <w:vAlign w:val="center"/>
                  </w:tcPr>
                  <w:p w14:paraId="482C6B14" w14:textId="77777777" w:rsidR="007E7472" w:rsidRPr="00147B9F" w:rsidRDefault="00EC1269">
                    <w:pPr>
                      <w:jc w:val="center"/>
                      <w:rPr>
                        <w:rFonts w:asciiTheme="minorEastAsia" w:eastAsiaTheme="minorEastAsia" w:hAnsiTheme="minorEastAsia"/>
                      </w:rPr>
                    </w:pPr>
                    <w:r w:rsidRPr="00147B9F">
                      <w:rPr>
                        <w:rFonts w:asciiTheme="minorEastAsia" w:eastAsiaTheme="minorEastAsia" w:hAnsiTheme="minorEastAsia" w:hint="eastAsia"/>
                      </w:rPr>
                      <w:t>华电邹县发电有限公司</w:t>
                    </w:r>
                  </w:p>
                </w:tc>
              </w:sdtContent>
            </w:sdt>
            <w:sdt>
              <w:sdtPr>
                <w:rPr>
                  <w:rFonts w:asciiTheme="minorEastAsia" w:eastAsiaTheme="minorEastAsia" w:hAnsiTheme="minorEastAsia" w:hint="eastAsia"/>
                </w:rPr>
                <w:alias w:val="重要联营企业的主要财务信息明细-企业名称"/>
                <w:tag w:val="_GBC_0cae03adb6fc417da51f1e06cc077a6b"/>
                <w:id w:val="1912968498"/>
                <w:lock w:val="sdtLocked"/>
              </w:sdtPr>
              <w:sdtEndPr/>
              <w:sdtContent>
                <w:tc>
                  <w:tcPr>
                    <w:tcW w:w="563" w:type="pct"/>
                    <w:shd w:val="clear" w:color="auto" w:fill="auto"/>
                    <w:vAlign w:val="center"/>
                  </w:tcPr>
                  <w:p w14:paraId="6B14ABF7" w14:textId="77777777" w:rsidR="007E7472" w:rsidRPr="00147B9F" w:rsidRDefault="00EC1269">
                    <w:pPr>
                      <w:jc w:val="center"/>
                      <w:rPr>
                        <w:rFonts w:asciiTheme="minorEastAsia" w:eastAsiaTheme="minorEastAsia" w:hAnsiTheme="minorEastAsia"/>
                      </w:rPr>
                    </w:pPr>
                    <w:r w:rsidRPr="00147B9F">
                      <w:rPr>
                        <w:rFonts w:asciiTheme="minorEastAsia" w:eastAsiaTheme="minorEastAsia" w:hAnsiTheme="minorEastAsia" w:hint="eastAsia"/>
                      </w:rPr>
                      <w:t>内蒙古伊泰呼准铁路有限责任公司</w:t>
                    </w:r>
                  </w:p>
                </w:tc>
              </w:sdtContent>
            </w:sdt>
            <w:sdt>
              <w:sdtPr>
                <w:rPr>
                  <w:rFonts w:asciiTheme="minorEastAsia" w:eastAsiaTheme="minorEastAsia" w:hAnsiTheme="minorEastAsia" w:hint="eastAsia"/>
                </w:rPr>
                <w:alias w:val="重要联营企业的主要财务信息明细-企业名称"/>
                <w:tag w:val="_GBC_0cae03adb6fc417da51f1e06cc077a6b"/>
                <w:id w:val="-111296179"/>
                <w:lock w:val="sdtLocked"/>
              </w:sdtPr>
              <w:sdtEndPr/>
              <w:sdtContent>
                <w:tc>
                  <w:tcPr>
                    <w:tcW w:w="562" w:type="pct"/>
                    <w:shd w:val="clear" w:color="auto" w:fill="auto"/>
                    <w:vAlign w:val="center"/>
                  </w:tcPr>
                  <w:p w14:paraId="4CC2662B" w14:textId="77777777" w:rsidR="00147B9F" w:rsidRDefault="00EC1269">
                    <w:pPr>
                      <w:jc w:val="center"/>
                      <w:rPr>
                        <w:rFonts w:asciiTheme="minorEastAsia" w:eastAsiaTheme="minorEastAsia" w:hAnsiTheme="minorEastAsia"/>
                      </w:rPr>
                    </w:pPr>
                    <w:r w:rsidRPr="00147B9F">
                      <w:rPr>
                        <w:rFonts w:asciiTheme="minorEastAsia" w:eastAsiaTheme="minorEastAsia" w:hAnsiTheme="minorEastAsia" w:hint="eastAsia"/>
                      </w:rPr>
                      <w:t>临商银行股</w:t>
                    </w:r>
                  </w:p>
                  <w:p w14:paraId="13160A6F" w14:textId="6C8BDDA1" w:rsidR="007E7472" w:rsidRPr="00147B9F" w:rsidRDefault="00EC1269">
                    <w:pPr>
                      <w:jc w:val="center"/>
                      <w:rPr>
                        <w:rFonts w:asciiTheme="minorEastAsia" w:eastAsiaTheme="minorEastAsia" w:hAnsiTheme="minorEastAsia"/>
                      </w:rPr>
                    </w:pPr>
                    <w:r w:rsidRPr="00147B9F">
                      <w:rPr>
                        <w:rFonts w:asciiTheme="minorEastAsia" w:eastAsiaTheme="minorEastAsia" w:hAnsiTheme="minorEastAsia" w:hint="eastAsia"/>
                      </w:rPr>
                      <w:t>份有限公司</w:t>
                    </w:r>
                  </w:p>
                </w:tc>
              </w:sdtContent>
            </w:sdt>
            <w:sdt>
              <w:sdtPr>
                <w:rPr>
                  <w:rFonts w:asciiTheme="minorEastAsia" w:eastAsiaTheme="minorEastAsia" w:hAnsiTheme="minorEastAsia" w:hint="eastAsia"/>
                </w:rPr>
                <w:alias w:val="重要联营企业的主要财务信息明细-企业名称"/>
                <w:tag w:val="_GBC_0cae03adb6fc417da51f1e06cc077a6b"/>
                <w:id w:val="105701865"/>
                <w:lock w:val="sdtLocked"/>
              </w:sdtPr>
              <w:sdtEndPr/>
              <w:sdtContent>
                <w:tc>
                  <w:tcPr>
                    <w:tcW w:w="585" w:type="pct"/>
                    <w:shd w:val="clear" w:color="auto" w:fill="auto"/>
                    <w:vAlign w:val="center"/>
                  </w:tcPr>
                  <w:p w14:paraId="4F9B06C9" w14:textId="77777777" w:rsidR="007E7472" w:rsidRPr="00147B9F" w:rsidRDefault="00EC1269">
                    <w:pPr>
                      <w:jc w:val="center"/>
                      <w:rPr>
                        <w:rFonts w:asciiTheme="minorEastAsia" w:eastAsiaTheme="minorEastAsia" w:hAnsiTheme="minorEastAsia"/>
                      </w:rPr>
                    </w:pPr>
                    <w:r w:rsidRPr="00147B9F">
                      <w:rPr>
                        <w:rFonts w:asciiTheme="minorEastAsia" w:eastAsiaTheme="minorEastAsia" w:hAnsiTheme="minorEastAsia" w:hint="eastAsia"/>
                      </w:rPr>
                      <w:t>内蒙古锦联铝材有限公司</w:t>
                    </w:r>
                  </w:p>
                </w:tc>
              </w:sdtContent>
            </w:sdt>
            <w:sdt>
              <w:sdtPr>
                <w:rPr>
                  <w:rFonts w:asciiTheme="minorEastAsia" w:eastAsiaTheme="minorEastAsia" w:hAnsiTheme="minorEastAsia" w:hint="eastAsia"/>
                </w:rPr>
                <w:alias w:val="重要联营企业的主要财务信息明细-企业名称"/>
                <w:tag w:val="_GBC_dabfa87f0eff42149952cca99a0db3a2"/>
                <w:id w:val="466859092"/>
                <w:lock w:val="sdtLocked"/>
              </w:sdtPr>
              <w:sdtEndPr/>
              <w:sdtContent>
                <w:tc>
                  <w:tcPr>
                    <w:tcW w:w="496" w:type="pct"/>
                    <w:shd w:val="clear" w:color="auto" w:fill="auto"/>
                    <w:vAlign w:val="center"/>
                  </w:tcPr>
                  <w:p w14:paraId="09602B48" w14:textId="77777777" w:rsidR="007E7472" w:rsidRPr="00147B9F" w:rsidRDefault="00EC1269">
                    <w:pPr>
                      <w:jc w:val="center"/>
                      <w:rPr>
                        <w:rFonts w:asciiTheme="minorEastAsia" w:eastAsiaTheme="minorEastAsia" w:hAnsiTheme="minorEastAsia"/>
                      </w:rPr>
                    </w:pPr>
                    <w:r w:rsidRPr="00147B9F">
                      <w:rPr>
                        <w:rFonts w:asciiTheme="minorEastAsia" w:eastAsiaTheme="minorEastAsia" w:hAnsiTheme="minorEastAsia" w:hint="eastAsia"/>
                      </w:rPr>
                      <w:t>华电邹县发电有限公司</w:t>
                    </w:r>
                  </w:p>
                </w:tc>
              </w:sdtContent>
            </w:sdt>
            <w:sdt>
              <w:sdtPr>
                <w:rPr>
                  <w:rFonts w:asciiTheme="minorEastAsia" w:eastAsiaTheme="minorEastAsia" w:hAnsiTheme="minorEastAsia" w:hint="eastAsia"/>
                </w:rPr>
                <w:alias w:val="重要联营企业的主要财务信息明细-企业名称"/>
                <w:tag w:val="_GBC_dabfa87f0eff42149952cca99a0db3a2"/>
                <w:id w:val="1872488838"/>
                <w:lock w:val="sdtLocked"/>
              </w:sdtPr>
              <w:sdtEndPr/>
              <w:sdtContent>
                <w:tc>
                  <w:tcPr>
                    <w:tcW w:w="535" w:type="pct"/>
                    <w:shd w:val="clear" w:color="auto" w:fill="auto"/>
                    <w:vAlign w:val="center"/>
                  </w:tcPr>
                  <w:p w14:paraId="49692FF7" w14:textId="77777777" w:rsidR="007E7472" w:rsidRPr="00147B9F" w:rsidRDefault="00EC1269">
                    <w:pPr>
                      <w:jc w:val="center"/>
                      <w:rPr>
                        <w:rFonts w:asciiTheme="minorEastAsia" w:eastAsiaTheme="minorEastAsia" w:hAnsiTheme="minorEastAsia"/>
                      </w:rPr>
                    </w:pPr>
                    <w:r w:rsidRPr="00147B9F">
                      <w:rPr>
                        <w:rFonts w:asciiTheme="minorEastAsia" w:eastAsiaTheme="minorEastAsia" w:hAnsiTheme="minorEastAsia" w:hint="eastAsia"/>
                      </w:rPr>
                      <w:t>内蒙古伊泰呼准铁路有限责任公司</w:t>
                    </w:r>
                  </w:p>
                </w:tc>
              </w:sdtContent>
            </w:sdt>
            <w:sdt>
              <w:sdtPr>
                <w:rPr>
                  <w:rFonts w:asciiTheme="minorEastAsia" w:eastAsiaTheme="minorEastAsia" w:hAnsiTheme="minorEastAsia" w:hint="eastAsia"/>
                </w:rPr>
                <w:alias w:val="重要联营企业的主要财务信息明细-企业名称"/>
                <w:tag w:val="_GBC_dabfa87f0eff42149952cca99a0db3a2"/>
                <w:id w:val="427155369"/>
                <w:lock w:val="sdtLocked"/>
              </w:sdtPr>
              <w:sdtEndPr/>
              <w:sdtContent>
                <w:tc>
                  <w:tcPr>
                    <w:tcW w:w="495" w:type="pct"/>
                    <w:shd w:val="clear" w:color="auto" w:fill="auto"/>
                    <w:vAlign w:val="center"/>
                  </w:tcPr>
                  <w:p w14:paraId="6361E328" w14:textId="77777777" w:rsidR="007E7472" w:rsidRPr="00147B9F" w:rsidRDefault="00EC1269">
                    <w:pPr>
                      <w:jc w:val="center"/>
                      <w:rPr>
                        <w:rFonts w:asciiTheme="minorEastAsia" w:eastAsiaTheme="minorEastAsia" w:hAnsiTheme="minorEastAsia"/>
                      </w:rPr>
                    </w:pPr>
                    <w:r w:rsidRPr="00147B9F">
                      <w:rPr>
                        <w:rFonts w:asciiTheme="minorEastAsia" w:eastAsiaTheme="minorEastAsia" w:hAnsiTheme="minorEastAsia" w:hint="eastAsia"/>
                      </w:rPr>
                      <w:t>临商银行股份有限公司</w:t>
                    </w:r>
                  </w:p>
                </w:tc>
              </w:sdtContent>
            </w:sdt>
            <w:sdt>
              <w:sdtPr>
                <w:rPr>
                  <w:rFonts w:asciiTheme="minorEastAsia" w:eastAsiaTheme="minorEastAsia" w:hAnsiTheme="minorEastAsia" w:hint="eastAsia"/>
                </w:rPr>
                <w:alias w:val="重要联营企业的主要财务信息明细-企业名称"/>
                <w:tag w:val="_GBC_dabfa87f0eff42149952cca99a0db3a2"/>
                <w:id w:val="-786419567"/>
                <w:lock w:val="sdtLocked"/>
              </w:sdtPr>
              <w:sdtEndPr/>
              <w:sdtContent>
                <w:tc>
                  <w:tcPr>
                    <w:tcW w:w="538" w:type="pct"/>
                    <w:shd w:val="clear" w:color="auto" w:fill="auto"/>
                    <w:vAlign w:val="center"/>
                  </w:tcPr>
                  <w:p w14:paraId="3D5459DC" w14:textId="77777777" w:rsidR="007E7472" w:rsidRPr="00147B9F" w:rsidRDefault="00EC1269">
                    <w:pPr>
                      <w:jc w:val="center"/>
                      <w:rPr>
                        <w:rFonts w:asciiTheme="minorEastAsia" w:eastAsiaTheme="minorEastAsia" w:hAnsiTheme="minorEastAsia"/>
                      </w:rPr>
                    </w:pPr>
                    <w:r w:rsidRPr="00147B9F">
                      <w:rPr>
                        <w:rFonts w:asciiTheme="minorEastAsia" w:eastAsiaTheme="minorEastAsia" w:hAnsiTheme="minorEastAsia" w:hint="eastAsia"/>
                      </w:rPr>
                      <w:t>内蒙古锦联铝业有限公司</w:t>
                    </w:r>
                  </w:p>
                </w:tc>
              </w:sdtContent>
            </w:sdt>
          </w:tr>
          <w:tr w:rsidR="007E7472" w14:paraId="2CD1E180" w14:textId="77777777" w:rsidTr="00147B9F">
            <w:sdt>
              <w:sdtPr>
                <w:rPr>
                  <w:rFonts w:asciiTheme="minorEastAsia" w:eastAsiaTheme="minorEastAsia" w:hAnsiTheme="minorEastAsia"/>
                </w:rPr>
                <w:tag w:val="_PLD_fef15ffbfdea4cb5a3d708c5ea8068c9"/>
                <w:id w:val="1947346879"/>
                <w:lock w:val="sdtLocked"/>
              </w:sdtPr>
              <w:sdtEndPr/>
              <w:sdtContent>
                <w:tc>
                  <w:tcPr>
                    <w:tcW w:w="714" w:type="pct"/>
                    <w:shd w:val="clear" w:color="auto" w:fill="auto"/>
                    <w:vAlign w:val="bottom"/>
                  </w:tcPr>
                  <w:p w14:paraId="1D02EA29" w14:textId="77777777" w:rsidR="007E7472" w:rsidRPr="00147B9F" w:rsidRDefault="00EC1269">
                    <w:pPr>
                      <w:rPr>
                        <w:rFonts w:asciiTheme="minorEastAsia" w:eastAsiaTheme="minorEastAsia" w:hAnsiTheme="minorEastAsia" w:cs="Arial"/>
                        <w:color w:val="000000"/>
                      </w:rPr>
                    </w:pPr>
                    <w:r w:rsidRPr="00147B9F">
                      <w:rPr>
                        <w:rFonts w:asciiTheme="minorEastAsia" w:eastAsiaTheme="minorEastAsia" w:hAnsiTheme="minorEastAsia" w:cs="Arial" w:hint="eastAsia"/>
                        <w:color w:val="000000"/>
                        <w:lang w:val="en-GB"/>
                      </w:rPr>
                      <w:t>流动资产</w:t>
                    </w:r>
                  </w:p>
                </w:tc>
              </w:sdtContent>
            </w:sdt>
            <w:tc>
              <w:tcPr>
                <w:tcW w:w="511" w:type="pct"/>
                <w:shd w:val="clear" w:color="auto" w:fill="auto"/>
                <w:vAlign w:val="center"/>
              </w:tcPr>
              <w:p w14:paraId="13DDDCD9"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800,230</w:t>
                </w:r>
              </w:p>
            </w:tc>
            <w:tc>
              <w:tcPr>
                <w:tcW w:w="563" w:type="pct"/>
                <w:shd w:val="clear" w:color="auto" w:fill="auto"/>
                <w:vAlign w:val="center"/>
              </w:tcPr>
              <w:p w14:paraId="416E1BEB"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508,580</w:t>
                </w:r>
              </w:p>
            </w:tc>
            <w:tc>
              <w:tcPr>
                <w:tcW w:w="562" w:type="pct"/>
                <w:shd w:val="clear" w:color="auto" w:fill="auto"/>
                <w:vAlign w:val="center"/>
              </w:tcPr>
              <w:p w14:paraId="3831CADB"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148,442,978</w:t>
                </w:r>
              </w:p>
            </w:tc>
            <w:tc>
              <w:tcPr>
                <w:tcW w:w="585" w:type="pct"/>
                <w:shd w:val="clear" w:color="auto" w:fill="auto"/>
                <w:vAlign w:val="center"/>
              </w:tcPr>
              <w:p w14:paraId="69400E25"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3,453,040</w:t>
                </w:r>
              </w:p>
            </w:tc>
            <w:tc>
              <w:tcPr>
                <w:tcW w:w="496" w:type="pct"/>
                <w:vAlign w:val="center"/>
              </w:tcPr>
              <w:p w14:paraId="596B926F"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1,104,962</w:t>
                </w:r>
              </w:p>
            </w:tc>
            <w:tc>
              <w:tcPr>
                <w:tcW w:w="535" w:type="pct"/>
                <w:vAlign w:val="center"/>
              </w:tcPr>
              <w:p w14:paraId="0EDD82DF"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494,462</w:t>
                </w:r>
              </w:p>
            </w:tc>
            <w:tc>
              <w:tcPr>
                <w:tcW w:w="495" w:type="pct"/>
                <w:vAlign w:val="center"/>
              </w:tcPr>
              <w:p w14:paraId="62F2509E"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112,375,732</w:t>
                </w:r>
              </w:p>
            </w:tc>
            <w:tc>
              <w:tcPr>
                <w:tcW w:w="538" w:type="pct"/>
                <w:vAlign w:val="center"/>
              </w:tcPr>
              <w:p w14:paraId="050BB2AA"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2,401,449</w:t>
                </w:r>
              </w:p>
            </w:tc>
          </w:tr>
          <w:tr w:rsidR="007E7472" w14:paraId="181D284A" w14:textId="77777777" w:rsidTr="00147B9F">
            <w:tc>
              <w:tcPr>
                <w:tcW w:w="714" w:type="pct"/>
                <w:shd w:val="clear" w:color="auto" w:fill="auto"/>
                <w:vAlign w:val="bottom"/>
              </w:tcPr>
              <w:p w14:paraId="0AC4B8C1" w14:textId="77777777" w:rsidR="007E7472" w:rsidRPr="00147B9F" w:rsidRDefault="00EC1269">
                <w:pPr>
                  <w:rPr>
                    <w:rFonts w:asciiTheme="minorEastAsia" w:eastAsiaTheme="minorEastAsia" w:hAnsiTheme="minorEastAsia"/>
                  </w:rPr>
                </w:pPr>
                <w:r w:rsidRPr="00147B9F">
                  <w:rPr>
                    <w:rFonts w:asciiTheme="minorEastAsia" w:eastAsiaTheme="minorEastAsia" w:hAnsiTheme="minorEastAsia" w:hint="eastAsia"/>
                  </w:rPr>
                  <w:t>其中：现金和现金等价物</w:t>
                </w:r>
              </w:p>
            </w:tc>
            <w:tc>
              <w:tcPr>
                <w:tcW w:w="511" w:type="pct"/>
                <w:shd w:val="clear" w:color="auto" w:fill="auto"/>
                <w:vAlign w:val="center"/>
              </w:tcPr>
              <w:p w14:paraId="37F08201"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102,500</w:t>
                </w:r>
              </w:p>
            </w:tc>
            <w:tc>
              <w:tcPr>
                <w:tcW w:w="563" w:type="pct"/>
                <w:shd w:val="clear" w:color="auto" w:fill="auto"/>
                <w:vAlign w:val="center"/>
              </w:tcPr>
              <w:p w14:paraId="20B83B8E"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327,610</w:t>
                </w:r>
              </w:p>
            </w:tc>
            <w:tc>
              <w:tcPr>
                <w:tcW w:w="562" w:type="pct"/>
                <w:shd w:val="clear" w:color="auto" w:fill="auto"/>
                <w:vAlign w:val="center"/>
              </w:tcPr>
              <w:p w14:paraId="56D16C3C"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13,504,864</w:t>
                </w:r>
              </w:p>
            </w:tc>
            <w:tc>
              <w:tcPr>
                <w:tcW w:w="585" w:type="pct"/>
                <w:shd w:val="clear" w:color="auto" w:fill="auto"/>
                <w:vAlign w:val="center"/>
              </w:tcPr>
              <w:p w14:paraId="3B3215BC"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1,418,771</w:t>
                </w:r>
              </w:p>
            </w:tc>
            <w:tc>
              <w:tcPr>
                <w:tcW w:w="496" w:type="pct"/>
                <w:vAlign w:val="center"/>
              </w:tcPr>
              <w:p w14:paraId="0B78A245"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17,467</w:t>
                </w:r>
              </w:p>
            </w:tc>
            <w:tc>
              <w:tcPr>
                <w:tcW w:w="535" w:type="pct"/>
                <w:vAlign w:val="center"/>
              </w:tcPr>
              <w:p w14:paraId="2DF5E3CB"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327,182</w:t>
                </w:r>
              </w:p>
            </w:tc>
            <w:tc>
              <w:tcPr>
                <w:tcW w:w="495" w:type="pct"/>
                <w:vAlign w:val="center"/>
              </w:tcPr>
              <w:p w14:paraId="4D30BB76"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13,232,783</w:t>
                </w:r>
              </w:p>
            </w:tc>
            <w:tc>
              <w:tcPr>
                <w:tcW w:w="538" w:type="pct"/>
                <w:vAlign w:val="center"/>
              </w:tcPr>
              <w:p w14:paraId="61947A1A"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751,543</w:t>
                </w:r>
              </w:p>
            </w:tc>
          </w:tr>
          <w:tr w:rsidR="007E7472" w14:paraId="4CE369AA" w14:textId="77777777" w:rsidTr="00147B9F">
            <w:sdt>
              <w:sdtPr>
                <w:rPr>
                  <w:rFonts w:asciiTheme="minorEastAsia" w:eastAsiaTheme="minorEastAsia" w:hAnsiTheme="minorEastAsia"/>
                </w:rPr>
                <w:tag w:val="_PLD_f31bdbdda3c24ef0ad64c4480cfaf1eb"/>
                <w:id w:val="372045075"/>
                <w:lock w:val="sdtLocked"/>
              </w:sdtPr>
              <w:sdtEndPr/>
              <w:sdtContent>
                <w:tc>
                  <w:tcPr>
                    <w:tcW w:w="714" w:type="pct"/>
                    <w:shd w:val="clear" w:color="auto" w:fill="auto"/>
                    <w:vAlign w:val="bottom"/>
                  </w:tcPr>
                  <w:p w14:paraId="319F677D" w14:textId="77777777" w:rsidR="007E7472" w:rsidRPr="00147B9F" w:rsidRDefault="00EC1269">
                    <w:pPr>
                      <w:rPr>
                        <w:rFonts w:asciiTheme="minorEastAsia" w:eastAsiaTheme="minorEastAsia" w:hAnsiTheme="minorEastAsia" w:cs="Arial"/>
                        <w:color w:val="000000"/>
                      </w:rPr>
                    </w:pPr>
                    <w:r w:rsidRPr="00147B9F">
                      <w:rPr>
                        <w:rFonts w:asciiTheme="minorEastAsia" w:eastAsiaTheme="minorEastAsia" w:hAnsiTheme="minorEastAsia" w:cs="Arial" w:hint="eastAsia"/>
                        <w:color w:val="000000"/>
                        <w:lang w:val="en-GB"/>
                      </w:rPr>
                      <w:t>非流动资产</w:t>
                    </w:r>
                  </w:p>
                </w:tc>
              </w:sdtContent>
            </w:sdt>
            <w:tc>
              <w:tcPr>
                <w:tcW w:w="511" w:type="pct"/>
                <w:shd w:val="clear" w:color="auto" w:fill="auto"/>
                <w:vAlign w:val="center"/>
              </w:tcPr>
              <w:p w14:paraId="4B5200A0"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3,779,003</w:t>
                </w:r>
              </w:p>
            </w:tc>
            <w:tc>
              <w:tcPr>
                <w:tcW w:w="563" w:type="pct"/>
                <w:shd w:val="clear" w:color="auto" w:fill="auto"/>
                <w:vAlign w:val="center"/>
              </w:tcPr>
              <w:p w14:paraId="23EEC847"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10,779,130</w:t>
                </w:r>
              </w:p>
            </w:tc>
            <w:tc>
              <w:tcPr>
                <w:tcW w:w="562" w:type="pct"/>
                <w:shd w:val="clear" w:color="auto" w:fill="auto"/>
                <w:vAlign w:val="center"/>
              </w:tcPr>
              <w:p w14:paraId="1A861094"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5,851,568</w:t>
                </w:r>
              </w:p>
            </w:tc>
            <w:tc>
              <w:tcPr>
                <w:tcW w:w="585" w:type="pct"/>
                <w:shd w:val="clear" w:color="auto" w:fill="auto"/>
                <w:vAlign w:val="center"/>
              </w:tcPr>
              <w:p w14:paraId="2436CDDE"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13,044,721</w:t>
                </w:r>
              </w:p>
            </w:tc>
            <w:tc>
              <w:tcPr>
                <w:tcW w:w="496" w:type="pct"/>
                <w:vAlign w:val="center"/>
              </w:tcPr>
              <w:p w14:paraId="658477CA"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3,940,352</w:t>
                </w:r>
              </w:p>
            </w:tc>
            <w:tc>
              <w:tcPr>
                <w:tcW w:w="535" w:type="pct"/>
                <w:vAlign w:val="center"/>
              </w:tcPr>
              <w:p w14:paraId="25F47ECA"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11,430,673</w:t>
                </w:r>
              </w:p>
            </w:tc>
            <w:tc>
              <w:tcPr>
                <w:tcW w:w="495" w:type="pct"/>
                <w:vAlign w:val="center"/>
              </w:tcPr>
              <w:p w14:paraId="2FB0CF45"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29,806,934</w:t>
                </w:r>
              </w:p>
            </w:tc>
            <w:tc>
              <w:tcPr>
                <w:tcW w:w="538" w:type="pct"/>
                <w:vAlign w:val="center"/>
              </w:tcPr>
              <w:p w14:paraId="2D0C5346"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13,097,148</w:t>
                </w:r>
              </w:p>
            </w:tc>
          </w:tr>
          <w:tr w:rsidR="007E7472" w14:paraId="069CF774" w14:textId="77777777" w:rsidTr="00147B9F">
            <w:sdt>
              <w:sdtPr>
                <w:rPr>
                  <w:rFonts w:asciiTheme="minorEastAsia" w:eastAsiaTheme="minorEastAsia" w:hAnsiTheme="minorEastAsia"/>
                </w:rPr>
                <w:tag w:val="_PLD_d1755220e8944b638b853a5090d054ac"/>
                <w:id w:val="996765886"/>
                <w:lock w:val="sdtLocked"/>
              </w:sdtPr>
              <w:sdtEndPr/>
              <w:sdtContent>
                <w:tc>
                  <w:tcPr>
                    <w:tcW w:w="714" w:type="pct"/>
                    <w:shd w:val="clear" w:color="auto" w:fill="auto"/>
                    <w:vAlign w:val="bottom"/>
                  </w:tcPr>
                  <w:p w14:paraId="4B59724D" w14:textId="77777777" w:rsidR="007E7472" w:rsidRPr="00147B9F" w:rsidRDefault="00EC1269">
                    <w:pPr>
                      <w:rPr>
                        <w:rFonts w:asciiTheme="minorEastAsia" w:eastAsiaTheme="minorEastAsia" w:hAnsiTheme="minorEastAsia" w:cs="Arial"/>
                        <w:color w:val="000000"/>
                      </w:rPr>
                    </w:pPr>
                    <w:r w:rsidRPr="00147B9F">
                      <w:rPr>
                        <w:rFonts w:asciiTheme="minorEastAsia" w:eastAsiaTheme="minorEastAsia" w:hAnsiTheme="minorEastAsia" w:cs="Arial" w:hint="eastAsia"/>
                        <w:color w:val="000000"/>
                        <w:lang w:val="en-GB"/>
                      </w:rPr>
                      <w:t>资产合计</w:t>
                    </w:r>
                  </w:p>
                </w:tc>
              </w:sdtContent>
            </w:sdt>
            <w:tc>
              <w:tcPr>
                <w:tcW w:w="511" w:type="pct"/>
                <w:shd w:val="clear" w:color="auto" w:fill="auto"/>
                <w:vAlign w:val="center"/>
              </w:tcPr>
              <w:p w14:paraId="4182E21E"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4,579,233</w:t>
                </w:r>
              </w:p>
            </w:tc>
            <w:tc>
              <w:tcPr>
                <w:tcW w:w="563" w:type="pct"/>
                <w:shd w:val="clear" w:color="auto" w:fill="auto"/>
                <w:vAlign w:val="center"/>
              </w:tcPr>
              <w:p w14:paraId="55297330"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11,287,710</w:t>
                </w:r>
              </w:p>
            </w:tc>
            <w:tc>
              <w:tcPr>
                <w:tcW w:w="562" w:type="pct"/>
                <w:shd w:val="clear" w:color="auto" w:fill="auto"/>
                <w:vAlign w:val="center"/>
              </w:tcPr>
              <w:p w14:paraId="3234CD8F"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154,294,546</w:t>
                </w:r>
              </w:p>
            </w:tc>
            <w:tc>
              <w:tcPr>
                <w:tcW w:w="585" w:type="pct"/>
                <w:shd w:val="clear" w:color="auto" w:fill="auto"/>
                <w:vAlign w:val="center"/>
              </w:tcPr>
              <w:p w14:paraId="2EBEA79D"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16,497,761</w:t>
                </w:r>
              </w:p>
            </w:tc>
            <w:tc>
              <w:tcPr>
                <w:tcW w:w="496" w:type="pct"/>
                <w:vAlign w:val="center"/>
              </w:tcPr>
              <w:p w14:paraId="63310282"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5,045,314</w:t>
                </w:r>
              </w:p>
            </w:tc>
            <w:tc>
              <w:tcPr>
                <w:tcW w:w="535" w:type="pct"/>
                <w:vAlign w:val="center"/>
              </w:tcPr>
              <w:p w14:paraId="6A3A1236"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11,925,135</w:t>
                </w:r>
              </w:p>
            </w:tc>
            <w:tc>
              <w:tcPr>
                <w:tcW w:w="495" w:type="pct"/>
                <w:vAlign w:val="center"/>
              </w:tcPr>
              <w:p w14:paraId="50D98B6A"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142,182,666</w:t>
                </w:r>
              </w:p>
            </w:tc>
            <w:tc>
              <w:tcPr>
                <w:tcW w:w="538" w:type="pct"/>
                <w:vAlign w:val="center"/>
              </w:tcPr>
              <w:p w14:paraId="44C64DA1"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15,498,597</w:t>
                </w:r>
              </w:p>
            </w:tc>
          </w:tr>
          <w:tr w:rsidR="007E7472" w14:paraId="7FE3F3A0" w14:textId="77777777" w:rsidTr="00147B9F">
            <w:sdt>
              <w:sdtPr>
                <w:rPr>
                  <w:rFonts w:asciiTheme="minorEastAsia" w:eastAsiaTheme="minorEastAsia" w:hAnsiTheme="minorEastAsia"/>
                </w:rPr>
                <w:tag w:val="_PLD_da177c33d2a4452285f3e4329499be2b"/>
                <w:id w:val="1930391200"/>
                <w:lock w:val="sdtLocked"/>
              </w:sdtPr>
              <w:sdtEndPr/>
              <w:sdtContent>
                <w:tc>
                  <w:tcPr>
                    <w:tcW w:w="714" w:type="pct"/>
                    <w:shd w:val="clear" w:color="auto" w:fill="auto"/>
                    <w:vAlign w:val="bottom"/>
                  </w:tcPr>
                  <w:p w14:paraId="4ECDC813" w14:textId="77777777" w:rsidR="007E7472" w:rsidRPr="00147B9F" w:rsidRDefault="00EC1269">
                    <w:pPr>
                      <w:rPr>
                        <w:rFonts w:asciiTheme="minorEastAsia" w:eastAsiaTheme="minorEastAsia" w:hAnsiTheme="minorEastAsia" w:cs="Arial"/>
                        <w:color w:val="000000"/>
                      </w:rPr>
                    </w:pPr>
                    <w:r w:rsidRPr="00147B9F">
                      <w:rPr>
                        <w:rFonts w:asciiTheme="minorEastAsia" w:eastAsiaTheme="minorEastAsia" w:hAnsiTheme="minorEastAsia" w:cs="Arial" w:hint="eastAsia"/>
                        <w:color w:val="000000"/>
                        <w:lang w:val="en-GB"/>
                      </w:rPr>
                      <w:t>流动负债</w:t>
                    </w:r>
                  </w:p>
                </w:tc>
              </w:sdtContent>
            </w:sdt>
            <w:tc>
              <w:tcPr>
                <w:tcW w:w="511" w:type="pct"/>
                <w:shd w:val="clear" w:color="auto" w:fill="auto"/>
                <w:vAlign w:val="center"/>
              </w:tcPr>
              <w:p w14:paraId="47815DD0"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594,658</w:t>
                </w:r>
              </w:p>
            </w:tc>
            <w:tc>
              <w:tcPr>
                <w:tcW w:w="563" w:type="pct"/>
                <w:shd w:val="clear" w:color="auto" w:fill="auto"/>
                <w:vAlign w:val="center"/>
              </w:tcPr>
              <w:p w14:paraId="48F8D765"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660,722</w:t>
                </w:r>
              </w:p>
            </w:tc>
            <w:tc>
              <w:tcPr>
                <w:tcW w:w="562" w:type="pct"/>
                <w:shd w:val="clear" w:color="auto" w:fill="auto"/>
                <w:vAlign w:val="center"/>
              </w:tcPr>
              <w:p w14:paraId="0D6C0793"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139,049,109</w:t>
                </w:r>
              </w:p>
            </w:tc>
            <w:tc>
              <w:tcPr>
                <w:tcW w:w="585" w:type="pct"/>
                <w:shd w:val="clear" w:color="auto" w:fill="auto"/>
                <w:vAlign w:val="center"/>
              </w:tcPr>
              <w:p w14:paraId="046B49A1"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5,123,187</w:t>
                </w:r>
              </w:p>
            </w:tc>
            <w:tc>
              <w:tcPr>
                <w:tcW w:w="496" w:type="pct"/>
                <w:vAlign w:val="center"/>
              </w:tcPr>
              <w:p w14:paraId="22F453F2"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1,504,739</w:t>
                </w:r>
              </w:p>
            </w:tc>
            <w:tc>
              <w:tcPr>
                <w:tcW w:w="535" w:type="pct"/>
                <w:vAlign w:val="center"/>
              </w:tcPr>
              <w:p w14:paraId="12453612"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940,450</w:t>
                </w:r>
              </w:p>
            </w:tc>
            <w:tc>
              <w:tcPr>
                <w:tcW w:w="495" w:type="pct"/>
                <w:vAlign w:val="center"/>
              </w:tcPr>
              <w:p w14:paraId="04380B23"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129,643,563</w:t>
                </w:r>
              </w:p>
            </w:tc>
            <w:tc>
              <w:tcPr>
                <w:tcW w:w="538" w:type="pct"/>
                <w:vAlign w:val="center"/>
              </w:tcPr>
              <w:p w14:paraId="750FF2D6"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4,668,165</w:t>
                </w:r>
              </w:p>
            </w:tc>
          </w:tr>
          <w:tr w:rsidR="007E7472" w14:paraId="6ECD2488" w14:textId="77777777" w:rsidTr="00147B9F">
            <w:sdt>
              <w:sdtPr>
                <w:rPr>
                  <w:rFonts w:asciiTheme="minorEastAsia" w:eastAsiaTheme="minorEastAsia" w:hAnsiTheme="minorEastAsia"/>
                </w:rPr>
                <w:tag w:val="_PLD_69db2a7507214ff988c587702b84292a"/>
                <w:id w:val="943033866"/>
                <w:lock w:val="sdtLocked"/>
              </w:sdtPr>
              <w:sdtEndPr/>
              <w:sdtContent>
                <w:tc>
                  <w:tcPr>
                    <w:tcW w:w="714" w:type="pct"/>
                    <w:shd w:val="clear" w:color="auto" w:fill="auto"/>
                    <w:vAlign w:val="bottom"/>
                  </w:tcPr>
                  <w:p w14:paraId="670632F0" w14:textId="77777777" w:rsidR="007E7472" w:rsidRPr="00147B9F" w:rsidRDefault="00EC1269">
                    <w:pPr>
                      <w:rPr>
                        <w:rFonts w:asciiTheme="minorEastAsia" w:eastAsiaTheme="minorEastAsia" w:hAnsiTheme="minorEastAsia" w:cs="Arial"/>
                        <w:color w:val="000000"/>
                      </w:rPr>
                    </w:pPr>
                    <w:r w:rsidRPr="00147B9F">
                      <w:rPr>
                        <w:rFonts w:asciiTheme="minorEastAsia" w:eastAsiaTheme="minorEastAsia" w:hAnsiTheme="minorEastAsia" w:cs="Arial" w:hint="eastAsia"/>
                        <w:color w:val="000000"/>
                        <w:lang w:val="en-GB"/>
                      </w:rPr>
                      <w:t>非流动负债</w:t>
                    </w:r>
                  </w:p>
                </w:tc>
              </w:sdtContent>
            </w:sdt>
            <w:tc>
              <w:tcPr>
                <w:tcW w:w="511" w:type="pct"/>
                <w:shd w:val="clear" w:color="auto" w:fill="auto"/>
                <w:vAlign w:val="center"/>
              </w:tcPr>
              <w:p w14:paraId="73DD1E17"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483,530</w:t>
                </w:r>
              </w:p>
            </w:tc>
            <w:tc>
              <w:tcPr>
                <w:tcW w:w="563" w:type="pct"/>
                <w:shd w:val="clear" w:color="auto" w:fill="auto"/>
                <w:vAlign w:val="center"/>
              </w:tcPr>
              <w:p w14:paraId="04D850B2"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1,589,197</w:t>
                </w:r>
              </w:p>
            </w:tc>
            <w:tc>
              <w:tcPr>
                <w:tcW w:w="562" w:type="pct"/>
                <w:shd w:val="clear" w:color="auto" w:fill="auto"/>
                <w:vAlign w:val="center"/>
              </w:tcPr>
              <w:p w14:paraId="799C6559"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4,378,547</w:t>
                </w:r>
              </w:p>
            </w:tc>
            <w:tc>
              <w:tcPr>
                <w:tcW w:w="585" w:type="pct"/>
                <w:shd w:val="clear" w:color="auto" w:fill="auto"/>
                <w:vAlign w:val="center"/>
              </w:tcPr>
              <w:p w14:paraId="7FE8F95F"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2,288,085</w:t>
                </w:r>
              </w:p>
            </w:tc>
            <w:tc>
              <w:tcPr>
                <w:tcW w:w="496" w:type="pct"/>
                <w:vAlign w:val="center"/>
              </w:tcPr>
              <w:p w14:paraId="27B39D09"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255,960</w:t>
                </w:r>
              </w:p>
            </w:tc>
            <w:tc>
              <w:tcPr>
                <w:tcW w:w="535" w:type="pct"/>
                <w:vAlign w:val="center"/>
              </w:tcPr>
              <w:p w14:paraId="309C2EEC"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1,714,060</w:t>
                </w:r>
              </w:p>
            </w:tc>
            <w:tc>
              <w:tcPr>
                <w:tcW w:w="495" w:type="pct"/>
                <w:vAlign w:val="center"/>
              </w:tcPr>
              <w:p w14:paraId="72C0E69A"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1,841,474</w:t>
                </w:r>
              </w:p>
            </w:tc>
            <w:tc>
              <w:tcPr>
                <w:tcW w:w="538" w:type="pct"/>
                <w:vAlign w:val="center"/>
              </w:tcPr>
              <w:p w14:paraId="6D5B9E19"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1,607,476</w:t>
                </w:r>
              </w:p>
            </w:tc>
          </w:tr>
          <w:tr w:rsidR="007E7472" w14:paraId="1CFCC7BB" w14:textId="77777777" w:rsidTr="00147B9F">
            <w:sdt>
              <w:sdtPr>
                <w:rPr>
                  <w:rFonts w:asciiTheme="minorEastAsia" w:eastAsiaTheme="minorEastAsia" w:hAnsiTheme="minorEastAsia"/>
                </w:rPr>
                <w:tag w:val="_PLD_93196651961549cc968f034a6735b70d"/>
                <w:id w:val="1630128067"/>
                <w:lock w:val="sdtLocked"/>
              </w:sdtPr>
              <w:sdtEndPr/>
              <w:sdtContent>
                <w:tc>
                  <w:tcPr>
                    <w:tcW w:w="714" w:type="pct"/>
                    <w:shd w:val="clear" w:color="auto" w:fill="auto"/>
                    <w:vAlign w:val="bottom"/>
                  </w:tcPr>
                  <w:p w14:paraId="4EFF748F" w14:textId="77777777" w:rsidR="007E7472" w:rsidRPr="00147B9F" w:rsidRDefault="00EC1269">
                    <w:pPr>
                      <w:rPr>
                        <w:rFonts w:asciiTheme="minorEastAsia" w:eastAsiaTheme="minorEastAsia" w:hAnsiTheme="minorEastAsia" w:cs="Arial"/>
                        <w:color w:val="000000"/>
                      </w:rPr>
                    </w:pPr>
                    <w:r w:rsidRPr="00147B9F">
                      <w:rPr>
                        <w:rFonts w:asciiTheme="minorEastAsia" w:eastAsiaTheme="minorEastAsia" w:hAnsiTheme="minorEastAsia" w:cs="Arial" w:hint="eastAsia"/>
                        <w:color w:val="000000"/>
                        <w:lang w:val="en-GB"/>
                      </w:rPr>
                      <w:t>负债合计</w:t>
                    </w:r>
                  </w:p>
                </w:tc>
              </w:sdtContent>
            </w:sdt>
            <w:tc>
              <w:tcPr>
                <w:tcW w:w="511" w:type="pct"/>
                <w:shd w:val="clear" w:color="auto" w:fill="auto"/>
                <w:vAlign w:val="center"/>
              </w:tcPr>
              <w:p w14:paraId="3927753B"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1,078,188</w:t>
                </w:r>
              </w:p>
            </w:tc>
            <w:tc>
              <w:tcPr>
                <w:tcW w:w="563" w:type="pct"/>
                <w:shd w:val="clear" w:color="auto" w:fill="auto"/>
                <w:vAlign w:val="center"/>
              </w:tcPr>
              <w:p w14:paraId="39C925C3"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2,249,919</w:t>
                </w:r>
              </w:p>
            </w:tc>
            <w:tc>
              <w:tcPr>
                <w:tcW w:w="562" w:type="pct"/>
                <w:shd w:val="clear" w:color="auto" w:fill="auto"/>
                <w:vAlign w:val="center"/>
              </w:tcPr>
              <w:p w14:paraId="74BA6EB2"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143,427,656</w:t>
                </w:r>
              </w:p>
            </w:tc>
            <w:tc>
              <w:tcPr>
                <w:tcW w:w="585" w:type="pct"/>
                <w:shd w:val="clear" w:color="auto" w:fill="auto"/>
                <w:vAlign w:val="center"/>
              </w:tcPr>
              <w:p w14:paraId="2F35A018"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7,411,272</w:t>
                </w:r>
              </w:p>
            </w:tc>
            <w:tc>
              <w:tcPr>
                <w:tcW w:w="496" w:type="pct"/>
                <w:vAlign w:val="center"/>
              </w:tcPr>
              <w:p w14:paraId="374B9542"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1,760,699</w:t>
                </w:r>
              </w:p>
            </w:tc>
            <w:tc>
              <w:tcPr>
                <w:tcW w:w="535" w:type="pct"/>
                <w:vAlign w:val="center"/>
              </w:tcPr>
              <w:p w14:paraId="69A9C4F7"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2,654,510</w:t>
                </w:r>
              </w:p>
            </w:tc>
            <w:tc>
              <w:tcPr>
                <w:tcW w:w="495" w:type="pct"/>
                <w:vAlign w:val="center"/>
              </w:tcPr>
              <w:p w14:paraId="30F61637"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131,485,037</w:t>
                </w:r>
              </w:p>
            </w:tc>
            <w:tc>
              <w:tcPr>
                <w:tcW w:w="538" w:type="pct"/>
                <w:vAlign w:val="center"/>
              </w:tcPr>
              <w:p w14:paraId="6BBF17B1"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6,275,641</w:t>
                </w:r>
              </w:p>
            </w:tc>
          </w:tr>
          <w:tr w:rsidR="007E7472" w14:paraId="5CDD6E1C" w14:textId="77777777" w:rsidTr="00147B9F">
            <w:tc>
              <w:tcPr>
                <w:tcW w:w="714" w:type="pct"/>
                <w:shd w:val="clear" w:color="auto" w:fill="auto"/>
                <w:vAlign w:val="bottom"/>
              </w:tcPr>
              <w:p w14:paraId="2887101A" w14:textId="77777777" w:rsidR="007E7472" w:rsidRPr="00147B9F" w:rsidRDefault="00EC1269">
                <w:pPr>
                  <w:rPr>
                    <w:rFonts w:asciiTheme="minorEastAsia" w:eastAsiaTheme="minorEastAsia" w:hAnsiTheme="minorEastAsia"/>
                  </w:rPr>
                </w:pPr>
                <w:r w:rsidRPr="00147B9F">
                  <w:rPr>
                    <w:rFonts w:asciiTheme="minorEastAsia" w:eastAsiaTheme="minorEastAsia" w:hAnsiTheme="minorEastAsia" w:hint="eastAsia"/>
                  </w:rPr>
                  <w:t>其他权益工具</w:t>
                </w:r>
              </w:p>
            </w:tc>
            <w:tc>
              <w:tcPr>
                <w:tcW w:w="511" w:type="pct"/>
                <w:shd w:val="clear" w:color="auto" w:fill="auto"/>
                <w:vAlign w:val="center"/>
              </w:tcPr>
              <w:p w14:paraId="60816DA4" w14:textId="77777777" w:rsidR="007E7472" w:rsidRPr="00147B9F" w:rsidRDefault="00C8327E">
                <w:pPr>
                  <w:jc w:val="right"/>
                  <w:rPr>
                    <w:rFonts w:asciiTheme="minorEastAsia" w:eastAsiaTheme="minorEastAsia" w:hAnsiTheme="minorEastAsia"/>
                  </w:rPr>
                </w:pPr>
              </w:p>
            </w:tc>
            <w:tc>
              <w:tcPr>
                <w:tcW w:w="563" w:type="pct"/>
                <w:shd w:val="clear" w:color="auto" w:fill="auto"/>
                <w:vAlign w:val="center"/>
              </w:tcPr>
              <w:p w14:paraId="60580F42" w14:textId="77777777" w:rsidR="007E7472" w:rsidRPr="00147B9F" w:rsidRDefault="00C8327E">
                <w:pPr>
                  <w:jc w:val="right"/>
                  <w:rPr>
                    <w:rFonts w:asciiTheme="minorEastAsia" w:eastAsiaTheme="minorEastAsia" w:hAnsiTheme="minorEastAsia"/>
                  </w:rPr>
                </w:pPr>
              </w:p>
            </w:tc>
            <w:tc>
              <w:tcPr>
                <w:tcW w:w="562" w:type="pct"/>
                <w:shd w:val="clear" w:color="auto" w:fill="auto"/>
                <w:vAlign w:val="center"/>
              </w:tcPr>
              <w:p w14:paraId="2D4E3949"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1,998,493</w:t>
                </w:r>
              </w:p>
            </w:tc>
            <w:tc>
              <w:tcPr>
                <w:tcW w:w="585" w:type="pct"/>
                <w:shd w:val="clear" w:color="auto" w:fill="auto"/>
                <w:vAlign w:val="center"/>
              </w:tcPr>
              <w:p w14:paraId="2CF864FC" w14:textId="77777777" w:rsidR="007E7472" w:rsidRPr="00147B9F" w:rsidRDefault="00C8327E">
                <w:pPr>
                  <w:jc w:val="right"/>
                  <w:rPr>
                    <w:rFonts w:asciiTheme="minorEastAsia" w:eastAsiaTheme="minorEastAsia" w:hAnsiTheme="minorEastAsia"/>
                  </w:rPr>
                </w:pPr>
              </w:p>
            </w:tc>
            <w:tc>
              <w:tcPr>
                <w:tcW w:w="496" w:type="pct"/>
                <w:vAlign w:val="center"/>
              </w:tcPr>
              <w:p w14:paraId="5046EB9E" w14:textId="77777777" w:rsidR="007E7472" w:rsidRPr="00147B9F" w:rsidRDefault="00C8327E">
                <w:pPr>
                  <w:jc w:val="right"/>
                  <w:rPr>
                    <w:rFonts w:asciiTheme="minorEastAsia" w:eastAsiaTheme="minorEastAsia" w:hAnsiTheme="minorEastAsia"/>
                  </w:rPr>
                </w:pPr>
              </w:p>
            </w:tc>
            <w:tc>
              <w:tcPr>
                <w:tcW w:w="535" w:type="pct"/>
                <w:vAlign w:val="center"/>
              </w:tcPr>
              <w:p w14:paraId="4BC9DE98" w14:textId="77777777" w:rsidR="007E7472" w:rsidRPr="00147B9F" w:rsidRDefault="00C8327E">
                <w:pPr>
                  <w:jc w:val="right"/>
                  <w:rPr>
                    <w:rFonts w:asciiTheme="minorEastAsia" w:eastAsiaTheme="minorEastAsia" w:hAnsiTheme="minorEastAsia"/>
                  </w:rPr>
                </w:pPr>
              </w:p>
            </w:tc>
            <w:tc>
              <w:tcPr>
                <w:tcW w:w="495" w:type="pct"/>
                <w:vAlign w:val="center"/>
              </w:tcPr>
              <w:p w14:paraId="1A6D5107"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1,998,493</w:t>
                </w:r>
              </w:p>
            </w:tc>
            <w:tc>
              <w:tcPr>
                <w:tcW w:w="538" w:type="pct"/>
                <w:vAlign w:val="center"/>
              </w:tcPr>
              <w:p w14:paraId="6ECA2AEB" w14:textId="77777777" w:rsidR="007E7472" w:rsidRPr="00147B9F" w:rsidRDefault="00C8327E">
                <w:pPr>
                  <w:jc w:val="right"/>
                  <w:rPr>
                    <w:rFonts w:asciiTheme="minorEastAsia" w:eastAsiaTheme="minorEastAsia" w:hAnsiTheme="minorEastAsia"/>
                  </w:rPr>
                </w:pPr>
              </w:p>
            </w:tc>
          </w:tr>
          <w:tr w:rsidR="007E7472" w14:paraId="23D1AC14" w14:textId="77777777" w:rsidTr="00147B9F">
            <w:sdt>
              <w:sdtPr>
                <w:rPr>
                  <w:rFonts w:asciiTheme="minorEastAsia" w:eastAsiaTheme="minorEastAsia" w:hAnsiTheme="minorEastAsia"/>
                </w:rPr>
                <w:tag w:val="_PLD_f8ce7c22e39a4e18a87552ab1793dbb8"/>
                <w:id w:val="-375862033"/>
                <w:lock w:val="sdtLocked"/>
              </w:sdtPr>
              <w:sdtEndPr/>
              <w:sdtContent>
                <w:tc>
                  <w:tcPr>
                    <w:tcW w:w="714" w:type="pct"/>
                    <w:shd w:val="clear" w:color="auto" w:fill="auto"/>
                    <w:vAlign w:val="bottom"/>
                  </w:tcPr>
                  <w:p w14:paraId="35D60203" w14:textId="77777777" w:rsidR="007E7472" w:rsidRPr="00147B9F" w:rsidRDefault="00EC1269">
                    <w:pPr>
                      <w:rPr>
                        <w:rFonts w:asciiTheme="minorEastAsia" w:eastAsiaTheme="minorEastAsia" w:hAnsiTheme="minorEastAsia" w:cs="Arial"/>
                        <w:color w:val="000000"/>
                      </w:rPr>
                    </w:pPr>
                    <w:r w:rsidRPr="00147B9F">
                      <w:rPr>
                        <w:rFonts w:asciiTheme="minorEastAsia" w:eastAsiaTheme="minorEastAsia" w:hAnsiTheme="minorEastAsia" w:cs="Arial" w:hint="eastAsia"/>
                        <w:color w:val="000000"/>
                        <w:lang w:val="en-GB"/>
                      </w:rPr>
                      <w:t>少数股东权益</w:t>
                    </w:r>
                  </w:p>
                </w:tc>
              </w:sdtContent>
            </w:sdt>
            <w:tc>
              <w:tcPr>
                <w:tcW w:w="511" w:type="pct"/>
                <w:shd w:val="clear" w:color="auto" w:fill="auto"/>
                <w:vAlign w:val="center"/>
              </w:tcPr>
              <w:p w14:paraId="6E17FEC2" w14:textId="77777777" w:rsidR="007E7472" w:rsidRPr="00147B9F" w:rsidRDefault="00C8327E">
                <w:pPr>
                  <w:jc w:val="right"/>
                  <w:rPr>
                    <w:rFonts w:asciiTheme="minorEastAsia" w:eastAsiaTheme="minorEastAsia" w:hAnsiTheme="minorEastAsia"/>
                  </w:rPr>
                </w:pPr>
              </w:p>
            </w:tc>
            <w:tc>
              <w:tcPr>
                <w:tcW w:w="563" w:type="pct"/>
                <w:shd w:val="clear" w:color="auto" w:fill="auto"/>
                <w:vAlign w:val="center"/>
              </w:tcPr>
              <w:p w14:paraId="2995583B"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397,774</w:t>
                </w:r>
              </w:p>
            </w:tc>
            <w:tc>
              <w:tcPr>
                <w:tcW w:w="562" w:type="pct"/>
                <w:shd w:val="clear" w:color="auto" w:fill="auto"/>
                <w:vAlign w:val="center"/>
              </w:tcPr>
              <w:p w14:paraId="61669DBB" w14:textId="77777777" w:rsidR="007E7472" w:rsidRPr="00147B9F" w:rsidRDefault="00C8327E">
                <w:pPr>
                  <w:jc w:val="right"/>
                  <w:rPr>
                    <w:rFonts w:asciiTheme="minorEastAsia" w:eastAsiaTheme="minorEastAsia" w:hAnsiTheme="minorEastAsia"/>
                  </w:rPr>
                </w:pPr>
              </w:p>
            </w:tc>
            <w:tc>
              <w:tcPr>
                <w:tcW w:w="585" w:type="pct"/>
                <w:shd w:val="clear" w:color="auto" w:fill="auto"/>
                <w:vAlign w:val="center"/>
              </w:tcPr>
              <w:p w14:paraId="38BE0805" w14:textId="77777777" w:rsidR="007E7472" w:rsidRPr="00147B9F" w:rsidRDefault="00C8327E">
                <w:pPr>
                  <w:jc w:val="right"/>
                  <w:rPr>
                    <w:rFonts w:asciiTheme="minorEastAsia" w:eastAsiaTheme="minorEastAsia" w:hAnsiTheme="minorEastAsia"/>
                  </w:rPr>
                </w:pPr>
              </w:p>
            </w:tc>
            <w:tc>
              <w:tcPr>
                <w:tcW w:w="496" w:type="pct"/>
                <w:vAlign w:val="center"/>
              </w:tcPr>
              <w:p w14:paraId="6D466FAC" w14:textId="77777777" w:rsidR="007E7472" w:rsidRPr="00147B9F" w:rsidRDefault="00C8327E">
                <w:pPr>
                  <w:jc w:val="right"/>
                  <w:rPr>
                    <w:rFonts w:asciiTheme="minorEastAsia" w:eastAsiaTheme="minorEastAsia" w:hAnsiTheme="minorEastAsia"/>
                  </w:rPr>
                </w:pPr>
              </w:p>
            </w:tc>
            <w:tc>
              <w:tcPr>
                <w:tcW w:w="535" w:type="pct"/>
                <w:vAlign w:val="center"/>
              </w:tcPr>
              <w:p w14:paraId="4236FABE"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383,634</w:t>
                </w:r>
              </w:p>
            </w:tc>
            <w:tc>
              <w:tcPr>
                <w:tcW w:w="495" w:type="pct"/>
                <w:vAlign w:val="center"/>
              </w:tcPr>
              <w:p w14:paraId="523E1C2C" w14:textId="77777777" w:rsidR="007E7472" w:rsidRPr="00147B9F" w:rsidRDefault="00C8327E">
                <w:pPr>
                  <w:jc w:val="right"/>
                  <w:rPr>
                    <w:rFonts w:asciiTheme="minorEastAsia" w:eastAsiaTheme="minorEastAsia" w:hAnsiTheme="minorEastAsia"/>
                  </w:rPr>
                </w:pPr>
              </w:p>
            </w:tc>
            <w:tc>
              <w:tcPr>
                <w:tcW w:w="538" w:type="pct"/>
                <w:vAlign w:val="center"/>
              </w:tcPr>
              <w:p w14:paraId="33CB92F6"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10,862</w:t>
                </w:r>
              </w:p>
            </w:tc>
          </w:tr>
          <w:tr w:rsidR="007E7472" w14:paraId="0D6E3FCB" w14:textId="77777777" w:rsidTr="00147B9F">
            <w:sdt>
              <w:sdtPr>
                <w:rPr>
                  <w:rFonts w:asciiTheme="minorEastAsia" w:eastAsiaTheme="minorEastAsia" w:hAnsiTheme="minorEastAsia"/>
                </w:rPr>
                <w:tag w:val="_PLD_5a7b4c15f9cc46f796db15ddf6bdcb12"/>
                <w:id w:val="1642452958"/>
                <w:lock w:val="sdtLocked"/>
              </w:sdtPr>
              <w:sdtEndPr/>
              <w:sdtContent>
                <w:tc>
                  <w:tcPr>
                    <w:tcW w:w="714" w:type="pct"/>
                    <w:shd w:val="clear" w:color="auto" w:fill="auto"/>
                    <w:vAlign w:val="bottom"/>
                  </w:tcPr>
                  <w:p w14:paraId="3DC34465" w14:textId="77777777" w:rsidR="007E7472" w:rsidRPr="00147B9F" w:rsidRDefault="00EC1269">
                    <w:pPr>
                      <w:rPr>
                        <w:rFonts w:asciiTheme="minorEastAsia" w:eastAsiaTheme="minorEastAsia" w:hAnsiTheme="minorEastAsia" w:cs="Arial"/>
                        <w:color w:val="000000"/>
                      </w:rPr>
                    </w:pPr>
                    <w:r w:rsidRPr="00147B9F">
                      <w:rPr>
                        <w:rFonts w:asciiTheme="minorEastAsia" w:eastAsiaTheme="minorEastAsia" w:hAnsiTheme="minorEastAsia" w:cs="Arial" w:hint="eastAsia"/>
                        <w:color w:val="000000"/>
                        <w:lang w:val="en-GB"/>
                      </w:rPr>
                      <w:t>归属于母公司股东权益</w:t>
                    </w:r>
                  </w:p>
                </w:tc>
              </w:sdtContent>
            </w:sdt>
            <w:tc>
              <w:tcPr>
                <w:tcW w:w="511" w:type="pct"/>
                <w:shd w:val="clear" w:color="auto" w:fill="auto"/>
                <w:vAlign w:val="center"/>
              </w:tcPr>
              <w:p w14:paraId="0723BB53"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3,501,045</w:t>
                </w:r>
              </w:p>
            </w:tc>
            <w:tc>
              <w:tcPr>
                <w:tcW w:w="563" w:type="pct"/>
                <w:shd w:val="clear" w:color="auto" w:fill="auto"/>
                <w:vAlign w:val="center"/>
              </w:tcPr>
              <w:p w14:paraId="00D61076"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8,640,017</w:t>
                </w:r>
              </w:p>
            </w:tc>
            <w:tc>
              <w:tcPr>
                <w:tcW w:w="562" w:type="pct"/>
                <w:shd w:val="clear" w:color="auto" w:fill="auto"/>
                <w:vAlign w:val="center"/>
              </w:tcPr>
              <w:p w14:paraId="2F421FE9"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8,868,397</w:t>
                </w:r>
              </w:p>
            </w:tc>
            <w:tc>
              <w:tcPr>
                <w:tcW w:w="585" w:type="pct"/>
                <w:shd w:val="clear" w:color="auto" w:fill="auto"/>
                <w:vAlign w:val="center"/>
              </w:tcPr>
              <w:p w14:paraId="16CF0B75"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9,086,489</w:t>
                </w:r>
              </w:p>
            </w:tc>
            <w:tc>
              <w:tcPr>
                <w:tcW w:w="496" w:type="pct"/>
                <w:vAlign w:val="center"/>
              </w:tcPr>
              <w:p w14:paraId="1FF7565E"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3,284,615</w:t>
                </w:r>
              </w:p>
            </w:tc>
            <w:tc>
              <w:tcPr>
                <w:tcW w:w="535" w:type="pct"/>
                <w:vAlign w:val="center"/>
              </w:tcPr>
              <w:p w14:paraId="6EB92196"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8,886,991</w:t>
                </w:r>
              </w:p>
            </w:tc>
            <w:tc>
              <w:tcPr>
                <w:tcW w:w="495" w:type="pct"/>
                <w:vAlign w:val="center"/>
              </w:tcPr>
              <w:p w14:paraId="4F4A59FC"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8,699,136</w:t>
                </w:r>
              </w:p>
            </w:tc>
            <w:tc>
              <w:tcPr>
                <w:tcW w:w="538" w:type="pct"/>
                <w:vAlign w:val="center"/>
              </w:tcPr>
              <w:p w14:paraId="726AFCB9"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9,212,093</w:t>
                </w:r>
              </w:p>
            </w:tc>
          </w:tr>
          <w:tr w:rsidR="007E7472" w14:paraId="540D7172" w14:textId="77777777" w:rsidTr="00147B9F">
            <w:sdt>
              <w:sdtPr>
                <w:rPr>
                  <w:rFonts w:asciiTheme="minorEastAsia" w:eastAsiaTheme="minorEastAsia" w:hAnsiTheme="minorEastAsia"/>
                </w:rPr>
                <w:tag w:val="_PLD_8582e33fffa94878a3ba47a9591f38b8"/>
                <w:id w:val="-945620833"/>
                <w:lock w:val="sdtLocked"/>
              </w:sdtPr>
              <w:sdtEndPr/>
              <w:sdtContent>
                <w:tc>
                  <w:tcPr>
                    <w:tcW w:w="714" w:type="pct"/>
                    <w:shd w:val="clear" w:color="auto" w:fill="auto"/>
                    <w:vAlign w:val="bottom"/>
                  </w:tcPr>
                  <w:p w14:paraId="59920884" w14:textId="77777777" w:rsidR="007E7472" w:rsidRPr="00147B9F" w:rsidRDefault="00EC1269">
                    <w:pPr>
                      <w:rPr>
                        <w:rFonts w:asciiTheme="minorEastAsia" w:eastAsiaTheme="minorEastAsia" w:hAnsiTheme="minorEastAsia" w:cs="Arial"/>
                        <w:color w:val="000000"/>
                      </w:rPr>
                    </w:pPr>
                    <w:r w:rsidRPr="00147B9F">
                      <w:rPr>
                        <w:rFonts w:asciiTheme="minorEastAsia" w:eastAsiaTheme="minorEastAsia" w:hAnsiTheme="minorEastAsia" w:cs="Arial" w:hint="eastAsia"/>
                        <w:color w:val="000000"/>
                        <w:lang w:val="en-GB"/>
                      </w:rPr>
                      <w:t>按持股比例计算的净资产份额</w:t>
                    </w:r>
                  </w:p>
                </w:tc>
              </w:sdtContent>
            </w:sdt>
            <w:tc>
              <w:tcPr>
                <w:tcW w:w="511" w:type="pct"/>
                <w:shd w:val="clear" w:color="auto" w:fill="auto"/>
                <w:vAlign w:val="center"/>
              </w:tcPr>
              <w:p w14:paraId="525D8B84"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1,050,313</w:t>
                </w:r>
              </w:p>
            </w:tc>
            <w:tc>
              <w:tcPr>
                <w:tcW w:w="563" w:type="pct"/>
                <w:shd w:val="clear" w:color="auto" w:fill="auto"/>
                <w:vAlign w:val="center"/>
              </w:tcPr>
              <w:p w14:paraId="69BE1F71"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1,636,419</w:t>
                </w:r>
              </w:p>
            </w:tc>
            <w:tc>
              <w:tcPr>
                <w:tcW w:w="562" w:type="pct"/>
                <w:shd w:val="clear" w:color="auto" w:fill="auto"/>
                <w:vAlign w:val="center"/>
              </w:tcPr>
              <w:p w14:paraId="3DC91FBF"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1,507,627</w:t>
                </w:r>
              </w:p>
            </w:tc>
            <w:tc>
              <w:tcPr>
                <w:tcW w:w="585" w:type="pct"/>
                <w:shd w:val="clear" w:color="auto" w:fill="auto"/>
                <w:vAlign w:val="center"/>
              </w:tcPr>
              <w:p w14:paraId="67D3B93A"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4,017,137</w:t>
                </w:r>
              </w:p>
            </w:tc>
            <w:tc>
              <w:tcPr>
                <w:tcW w:w="496" w:type="pct"/>
                <w:vAlign w:val="center"/>
              </w:tcPr>
              <w:p w14:paraId="4075D3EA"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985,384</w:t>
                </w:r>
              </w:p>
            </w:tc>
            <w:tc>
              <w:tcPr>
                <w:tcW w:w="535" w:type="pct"/>
                <w:vAlign w:val="center"/>
              </w:tcPr>
              <w:p w14:paraId="034F9CCA"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1,683,196</w:t>
                </w:r>
              </w:p>
            </w:tc>
            <w:tc>
              <w:tcPr>
                <w:tcW w:w="495" w:type="pct"/>
                <w:vAlign w:val="center"/>
              </w:tcPr>
              <w:p w14:paraId="203EB0A0"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1,478,853</w:t>
                </w:r>
              </w:p>
            </w:tc>
            <w:tc>
              <w:tcPr>
                <w:tcW w:w="538" w:type="pct"/>
                <w:vAlign w:val="center"/>
              </w:tcPr>
              <w:p w14:paraId="200AA94B"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4,072,666</w:t>
                </w:r>
              </w:p>
            </w:tc>
          </w:tr>
          <w:tr w:rsidR="007E7472" w14:paraId="13EEF5F9" w14:textId="77777777" w:rsidTr="00147B9F">
            <w:tc>
              <w:tcPr>
                <w:tcW w:w="714" w:type="pct"/>
                <w:shd w:val="clear" w:color="auto" w:fill="auto"/>
                <w:vAlign w:val="bottom"/>
              </w:tcPr>
              <w:p w14:paraId="22C5FC08" w14:textId="77777777" w:rsidR="007E7472" w:rsidRPr="00147B9F" w:rsidRDefault="00EC1269">
                <w:pPr>
                  <w:rPr>
                    <w:rFonts w:asciiTheme="minorEastAsia" w:eastAsiaTheme="minorEastAsia" w:hAnsiTheme="minorEastAsia"/>
                  </w:rPr>
                </w:pPr>
                <w:r w:rsidRPr="00147B9F">
                  <w:rPr>
                    <w:rFonts w:asciiTheme="minorEastAsia" w:eastAsiaTheme="minorEastAsia" w:hAnsiTheme="minorEastAsia" w:hint="eastAsia"/>
                  </w:rPr>
                  <w:t>-其他</w:t>
                </w:r>
              </w:p>
            </w:tc>
            <w:tc>
              <w:tcPr>
                <w:tcW w:w="511" w:type="pct"/>
                <w:shd w:val="clear" w:color="auto" w:fill="auto"/>
                <w:vAlign w:val="center"/>
              </w:tcPr>
              <w:p w14:paraId="20627BAD" w14:textId="77777777" w:rsidR="007E7472" w:rsidRPr="00147B9F" w:rsidRDefault="00C8327E">
                <w:pPr>
                  <w:jc w:val="right"/>
                  <w:rPr>
                    <w:rFonts w:asciiTheme="minorEastAsia" w:eastAsiaTheme="minorEastAsia" w:hAnsiTheme="minorEastAsia"/>
                  </w:rPr>
                </w:pPr>
              </w:p>
            </w:tc>
            <w:tc>
              <w:tcPr>
                <w:tcW w:w="563" w:type="pct"/>
                <w:shd w:val="clear" w:color="auto" w:fill="auto"/>
                <w:vAlign w:val="center"/>
              </w:tcPr>
              <w:p w14:paraId="7D2F5B3C"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-530,106</w:t>
                </w:r>
              </w:p>
            </w:tc>
            <w:tc>
              <w:tcPr>
                <w:tcW w:w="562" w:type="pct"/>
                <w:shd w:val="clear" w:color="auto" w:fill="auto"/>
                <w:vAlign w:val="center"/>
              </w:tcPr>
              <w:p w14:paraId="1CCC0044"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-602,361</w:t>
                </w:r>
              </w:p>
            </w:tc>
            <w:tc>
              <w:tcPr>
                <w:tcW w:w="585" w:type="pct"/>
                <w:shd w:val="clear" w:color="auto" w:fill="auto"/>
                <w:vAlign w:val="center"/>
              </w:tcPr>
              <w:p w14:paraId="5932E0BB"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-663,515</w:t>
                </w:r>
              </w:p>
            </w:tc>
            <w:tc>
              <w:tcPr>
                <w:tcW w:w="496" w:type="pct"/>
                <w:vAlign w:val="center"/>
              </w:tcPr>
              <w:p w14:paraId="0FE45056"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841</w:t>
                </w:r>
              </w:p>
            </w:tc>
            <w:tc>
              <w:tcPr>
                <w:tcW w:w="535" w:type="pct"/>
                <w:vAlign w:val="center"/>
              </w:tcPr>
              <w:p w14:paraId="44EAA405"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-476,201</w:t>
                </w:r>
              </w:p>
            </w:tc>
            <w:tc>
              <w:tcPr>
                <w:tcW w:w="495" w:type="pct"/>
                <w:vAlign w:val="center"/>
              </w:tcPr>
              <w:p w14:paraId="78A3372B"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-599,802</w:t>
                </w:r>
              </w:p>
            </w:tc>
            <w:tc>
              <w:tcPr>
                <w:tcW w:w="538" w:type="pct"/>
                <w:vAlign w:val="center"/>
              </w:tcPr>
              <w:p w14:paraId="28886748"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-618,490</w:t>
                </w:r>
              </w:p>
            </w:tc>
          </w:tr>
          <w:tr w:rsidR="007E7472" w14:paraId="78F7E538" w14:textId="77777777" w:rsidTr="00147B9F">
            <w:sdt>
              <w:sdtPr>
                <w:rPr>
                  <w:rFonts w:asciiTheme="minorEastAsia" w:eastAsiaTheme="minorEastAsia" w:hAnsiTheme="minorEastAsia"/>
                </w:rPr>
                <w:tag w:val="_PLD_2be4185c2e6a44dfb7339347b64720df"/>
                <w:id w:val="1582643404"/>
                <w:lock w:val="sdtLocked"/>
              </w:sdtPr>
              <w:sdtEndPr/>
              <w:sdtContent>
                <w:tc>
                  <w:tcPr>
                    <w:tcW w:w="714" w:type="pct"/>
                    <w:shd w:val="clear" w:color="auto" w:fill="auto"/>
                    <w:vAlign w:val="bottom"/>
                  </w:tcPr>
                  <w:p w14:paraId="515F0981" w14:textId="77777777" w:rsidR="007E7472" w:rsidRPr="00147B9F" w:rsidRDefault="00EC1269">
                    <w:pPr>
                      <w:rPr>
                        <w:rFonts w:asciiTheme="minorEastAsia" w:eastAsiaTheme="minorEastAsia" w:hAnsiTheme="minorEastAsia" w:cs="Arial"/>
                        <w:color w:val="000000"/>
                      </w:rPr>
                    </w:pPr>
                    <w:r w:rsidRPr="00147B9F">
                      <w:rPr>
                        <w:rFonts w:asciiTheme="minorEastAsia" w:eastAsiaTheme="minorEastAsia" w:hAnsiTheme="minorEastAsia" w:cs="Arial" w:hint="eastAsia"/>
                        <w:color w:val="000000"/>
                        <w:lang w:val="en-GB"/>
                      </w:rPr>
                      <w:t>对联营企业权益投资的账面价值</w:t>
                    </w:r>
                  </w:p>
                </w:tc>
              </w:sdtContent>
            </w:sdt>
            <w:tc>
              <w:tcPr>
                <w:tcW w:w="511" w:type="pct"/>
                <w:shd w:val="clear" w:color="auto" w:fill="auto"/>
                <w:vAlign w:val="center"/>
              </w:tcPr>
              <w:p w14:paraId="45FC6E9B"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1,050,313</w:t>
                </w:r>
              </w:p>
            </w:tc>
            <w:tc>
              <w:tcPr>
                <w:tcW w:w="563" w:type="pct"/>
                <w:shd w:val="clear" w:color="auto" w:fill="auto"/>
                <w:vAlign w:val="center"/>
              </w:tcPr>
              <w:p w14:paraId="002C1ADC" w14:textId="557FC0AE" w:rsidR="007E7472" w:rsidRPr="00147B9F" w:rsidRDefault="00913748">
                <w:pPr>
                  <w:jc w:val="right"/>
                  <w:rPr>
                    <w:rFonts w:asciiTheme="minorEastAsia" w:eastAsiaTheme="minorEastAsia" w:hAnsiTheme="minorEastAsia"/>
                  </w:rPr>
                </w:pPr>
                <w:r w:rsidRPr="00147B9F">
                  <w:rPr>
                    <w:rFonts w:asciiTheme="minorEastAsia" w:eastAsiaTheme="minorEastAsia" w:hAnsiTheme="minorEastAsia"/>
                  </w:rPr>
                  <w:t>2,209,548</w:t>
                </w:r>
              </w:p>
            </w:tc>
            <w:tc>
              <w:tcPr>
                <w:tcW w:w="562" w:type="pct"/>
                <w:shd w:val="clear" w:color="auto" w:fill="auto"/>
                <w:vAlign w:val="center"/>
              </w:tcPr>
              <w:p w14:paraId="370F28A3"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2,109,988</w:t>
                </w:r>
              </w:p>
            </w:tc>
            <w:tc>
              <w:tcPr>
                <w:tcW w:w="585" w:type="pct"/>
                <w:shd w:val="clear" w:color="auto" w:fill="auto"/>
                <w:vAlign w:val="center"/>
              </w:tcPr>
              <w:p w14:paraId="5B96D054"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4,680,652</w:t>
                </w:r>
              </w:p>
            </w:tc>
            <w:tc>
              <w:tcPr>
                <w:tcW w:w="496" w:type="pct"/>
                <w:vAlign w:val="center"/>
              </w:tcPr>
              <w:p w14:paraId="43C309F2"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984,543</w:t>
                </w:r>
              </w:p>
            </w:tc>
            <w:tc>
              <w:tcPr>
                <w:tcW w:w="535" w:type="pct"/>
                <w:vAlign w:val="center"/>
              </w:tcPr>
              <w:p w14:paraId="2C61642E"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2,159,397</w:t>
                </w:r>
              </w:p>
            </w:tc>
            <w:tc>
              <w:tcPr>
                <w:tcW w:w="495" w:type="pct"/>
                <w:vAlign w:val="center"/>
              </w:tcPr>
              <w:p w14:paraId="2F4CF554"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2,078,655</w:t>
                </w:r>
              </w:p>
            </w:tc>
            <w:tc>
              <w:tcPr>
                <w:tcW w:w="538" w:type="pct"/>
                <w:vAlign w:val="center"/>
              </w:tcPr>
              <w:p w14:paraId="366C6F55"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4,691,156</w:t>
                </w:r>
              </w:p>
            </w:tc>
          </w:tr>
          <w:tr w:rsidR="007E7472" w14:paraId="11463ED8" w14:textId="77777777" w:rsidTr="00147B9F">
            <w:sdt>
              <w:sdtPr>
                <w:rPr>
                  <w:rFonts w:asciiTheme="minorEastAsia" w:eastAsiaTheme="minorEastAsia" w:hAnsiTheme="minorEastAsia"/>
                </w:rPr>
                <w:tag w:val="_PLD_3dda32d2f0f749c2b0d95dc4c3753c29"/>
                <w:id w:val="1271973953"/>
                <w:lock w:val="sdtLocked"/>
              </w:sdtPr>
              <w:sdtEndPr/>
              <w:sdtContent>
                <w:tc>
                  <w:tcPr>
                    <w:tcW w:w="714" w:type="pct"/>
                    <w:shd w:val="clear" w:color="auto" w:fill="auto"/>
                    <w:vAlign w:val="bottom"/>
                  </w:tcPr>
                  <w:p w14:paraId="59219146" w14:textId="77777777" w:rsidR="007E7472" w:rsidRPr="00147B9F" w:rsidRDefault="00EC1269">
                    <w:pPr>
                      <w:rPr>
                        <w:rFonts w:asciiTheme="minorEastAsia" w:eastAsiaTheme="minorEastAsia" w:hAnsiTheme="minorEastAsia" w:cs="Arial"/>
                        <w:color w:val="000000"/>
                      </w:rPr>
                    </w:pPr>
                    <w:r w:rsidRPr="00147B9F">
                      <w:rPr>
                        <w:rFonts w:asciiTheme="minorEastAsia" w:eastAsiaTheme="minorEastAsia" w:hAnsiTheme="minorEastAsia" w:cs="Arial" w:hint="eastAsia"/>
                        <w:color w:val="000000"/>
                        <w:lang w:val="en-GB"/>
                      </w:rPr>
                      <w:t>营业收入</w:t>
                    </w:r>
                  </w:p>
                </w:tc>
              </w:sdtContent>
            </w:sdt>
            <w:tc>
              <w:tcPr>
                <w:tcW w:w="511" w:type="pct"/>
                <w:shd w:val="clear" w:color="auto" w:fill="auto"/>
                <w:vAlign w:val="center"/>
              </w:tcPr>
              <w:p w14:paraId="77CF150D"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1,979,537</w:t>
                </w:r>
              </w:p>
            </w:tc>
            <w:tc>
              <w:tcPr>
                <w:tcW w:w="563" w:type="pct"/>
                <w:shd w:val="clear" w:color="auto" w:fill="auto"/>
                <w:vAlign w:val="center"/>
              </w:tcPr>
              <w:p w14:paraId="5E677FC5"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1,004,220</w:t>
                </w:r>
              </w:p>
            </w:tc>
            <w:tc>
              <w:tcPr>
                <w:tcW w:w="562" w:type="pct"/>
                <w:shd w:val="clear" w:color="auto" w:fill="auto"/>
                <w:vAlign w:val="center"/>
              </w:tcPr>
              <w:p w14:paraId="439D7FB5"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1,879,289</w:t>
                </w:r>
              </w:p>
            </w:tc>
            <w:tc>
              <w:tcPr>
                <w:tcW w:w="585" w:type="pct"/>
                <w:shd w:val="clear" w:color="auto" w:fill="auto"/>
                <w:vAlign w:val="center"/>
              </w:tcPr>
              <w:p w14:paraId="0C39261D"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2,602,321</w:t>
                </w:r>
              </w:p>
            </w:tc>
            <w:tc>
              <w:tcPr>
                <w:tcW w:w="496" w:type="pct"/>
                <w:vAlign w:val="center"/>
              </w:tcPr>
              <w:p w14:paraId="0777D478"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1,832,071</w:t>
                </w:r>
              </w:p>
            </w:tc>
            <w:tc>
              <w:tcPr>
                <w:tcW w:w="535" w:type="pct"/>
                <w:vAlign w:val="center"/>
              </w:tcPr>
              <w:p w14:paraId="1B1EC056"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923,144</w:t>
                </w:r>
              </w:p>
            </w:tc>
            <w:tc>
              <w:tcPr>
                <w:tcW w:w="495" w:type="pct"/>
                <w:vAlign w:val="center"/>
              </w:tcPr>
              <w:p w14:paraId="05C55453"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1,876,589</w:t>
                </w:r>
              </w:p>
            </w:tc>
            <w:tc>
              <w:tcPr>
                <w:tcW w:w="538" w:type="pct"/>
                <w:vAlign w:val="center"/>
              </w:tcPr>
              <w:p w14:paraId="7E40A6A7"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9,608,548</w:t>
                </w:r>
              </w:p>
            </w:tc>
          </w:tr>
          <w:tr w:rsidR="007E7472" w14:paraId="21575C0C" w14:textId="77777777" w:rsidTr="00147B9F">
            <w:tc>
              <w:tcPr>
                <w:tcW w:w="714" w:type="pct"/>
                <w:shd w:val="clear" w:color="auto" w:fill="auto"/>
                <w:vAlign w:val="bottom"/>
              </w:tcPr>
              <w:p w14:paraId="4EE5A6C8" w14:textId="77777777" w:rsidR="007E7472" w:rsidRPr="00147B9F" w:rsidRDefault="00EC1269">
                <w:pPr>
                  <w:rPr>
                    <w:rFonts w:asciiTheme="minorEastAsia" w:eastAsiaTheme="minorEastAsia" w:hAnsiTheme="minorEastAsia"/>
                  </w:rPr>
                </w:pPr>
                <w:r w:rsidRPr="00147B9F">
                  <w:rPr>
                    <w:rFonts w:asciiTheme="minorEastAsia" w:eastAsiaTheme="minorEastAsia" w:hAnsiTheme="minorEastAsia"/>
                  </w:rPr>
                  <w:t>财务费用</w:t>
                </w:r>
              </w:p>
            </w:tc>
            <w:tc>
              <w:tcPr>
                <w:tcW w:w="511" w:type="pct"/>
                <w:shd w:val="clear" w:color="auto" w:fill="auto"/>
                <w:vAlign w:val="center"/>
              </w:tcPr>
              <w:p w14:paraId="5B3C16FA"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16,296</w:t>
                </w:r>
              </w:p>
            </w:tc>
            <w:tc>
              <w:tcPr>
                <w:tcW w:w="563" w:type="pct"/>
                <w:shd w:val="clear" w:color="auto" w:fill="auto"/>
                <w:vAlign w:val="center"/>
              </w:tcPr>
              <w:p w14:paraId="2B4A6A3C"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41,573</w:t>
                </w:r>
              </w:p>
            </w:tc>
            <w:tc>
              <w:tcPr>
                <w:tcW w:w="562" w:type="pct"/>
                <w:shd w:val="clear" w:color="auto" w:fill="auto"/>
                <w:vAlign w:val="center"/>
              </w:tcPr>
              <w:p w14:paraId="60DA4B79" w14:textId="77777777" w:rsidR="007E7472" w:rsidRPr="00147B9F" w:rsidRDefault="00C8327E">
                <w:pPr>
                  <w:jc w:val="right"/>
                  <w:rPr>
                    <w:rFonts w:asciiTheme="minorEastAsia" w:eastAsiaTheme="minorEastAsia" w:hAnsiTheme="minorEastAsia"/>
                  </w:rPr>
                </w:pPr>
              </w:p>
            </w:tc>
            <w:tc>
              <w:tcPr>
                <w:tcW w:w="585" w:type="pct"/>
                <w:shd w:val="clear" w:color="auto" w:fill="auto"/>
                <w:vAlign w:val="center"/>
              </w:tcPr>
              <w:p w14:paraId="318E4C55"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46,526</w:t>
                </w:r>
              </w:p>
            </w:tc>
            <w:tc>
              <w:tcPr>
                <w:tcW w:w="496" w:type="pct"/>
                <w:vAlign w:val="center"/>
              </w:tcPr>
              <w:p w14:paraId="3B131785"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23,150</w:t>
                </w:r>
              </w:p>
            </w:tc>
            <w:tc>
              <w:tcPr>
                <w:tcW w:w="535" w:type="pct"/>
                <w:vAlign w:val="center"/>
              </w:tcPr>
              <w:p w14:paraId="667A1D75"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57,272</w:t>
                </w:r>
              </w:p>
            </w:tc>
            <w:tc>
              <w:tcPr>
                <w:tcW w:w="495" w:type="pct"/>
                <w:vAlign w:val="center"/>
              </w:tcPr>
              <w:p w14:paraId="75C91107" w14:textId="77777777" w:rsidR="007E7472" w:rsidRPr="00147B9F" w:rsidRDefault="00C8327E">
                <w:pPr>
                  <w:jc w:val="right"/>
                  <w:rPr>
                    <w:rFonts w:asciiTheme="minorEastAsia" w:eastAsiaTheme="minorEastAsia" w:hAnsiTheme="minorEastAsia"/>
                  </w:rPr>
                </w:pPr>
              </w:p>
            </w:tc>
            <w:tc>
              <w:tcPr>
                <w:tcW w:w="538" w:type="pct"/>
                <w:vAlign w:val="center"/>
              </w:tcPr>
              <w:p w14:paraId="3D9F3F97"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103,871</w:t>
                </w:r>
              </w:p>
            </w:tc>
          </w:tr>
          <w:tr w:rsidR="007E7472" w14:paraId="6EDB68E3" w14:textId="77777777" w:rsidTr="00147B9F">
            <w:tc>
              <w:tcPr>
                <w:tcW w:w="714" w:type="pct"/>
                <w:shd w:val="clear" w:color="auto" w:fill="auto"/>
                <w:vAlign w:val="bottom"/>
              </w:tcPr>
              <w:p w14:paraId="2F730A2F" w14:textId="77777777" w:rsidR="007E7472" w:rsidRPr="00147B9F" w:rsidRDefault="00EC1269">
                <w:pPr>
                  <w:rPr>
                    <w:rFonts w:asciiTheme="minorEastAsia" w:eastAsiaTheme="minorEastAsia" w:hAnsiTheme="minorEastAsia"/>
                  </w:rPr>
                </w:pPr>
                <w:r w:rsidRPr="00147B9F">
                  <w:rPr>
                    <w:rFonts w:asciiTheme="minorEastAsia" w:eastAsiaTheme="minorEastAsia" w:hAnsiTheme="minorEastAsia"/>
                  </w:rPr>
                  <w:t>所得税费用</w:t>
                </w:r>
              </w:p>
            </w:tc>
            <w:tc>
              <w:tcPr>
                <w:tcW w:w="511" w:type="pct"/>
                <w:shd w:val="clear" w:color="auto" w:fill="auto"/>
                <w:vAlign w:val="center"/>
              </w:tcPr>
              <w:p w14:paraId="6B5A6E09"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66,040</w:t>
                </w:r>
              </w:p>
            </w:tc>
            <w:tc>
              <w:tcPr>
                <w:tcW w:w="563" w:type="pct"/>
                <w:shd w:val="clear" w:color="auto" w:fill="auto"/>
                <w:vAlign w:val="center"/>
              </w:tcPr>
              <w:p w14:paraId="073C3B9F"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56,281</w:t>
                </w:r>
              </w:p>
            </w:tc>
            <w:tc>
              <w:tcPr>
                <w:tcW w:w="562" w:type="pct"/>
                <w:shd w:val="clear" w:color="auto" w:fill="auto"/>
                <w:vAlign w:val="center"/>
              </w:tcPr>
              <w:p w14:paraId="2CC7E90D"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62,082</w:t>
                </w:r>
              </w:p>
            </w:tc>
            <w:tc>
              <w:tcPr>
                <w:tcW w:w="585" w:type="pct"/>
                <w:shd w:val="clear" w:color="auto" w:fill="auto"/>
                <w:vAlign w:val="center"/>
              </w:tcPr>
              <w:p w14:paraId="0C446A99" w14:textId="77777777" w:rsidR="007E7472" w:rsidRPr="00147B9F" w:rsidRDefault="00C8327E">
                <w:pPr>
                  <w:jc w:val="right"/>
                  <w:rPr>
                    <w:rFonts w:asciiTheme="minorEastAsia" w:eastAsiaTheme="minorEastAsia" w:hAnsiTheme="minorEastAsia"/>
                  </w:rPr>
                </w:pPr>
              </w:p>
            </w:tc>
            <w:tc>
              <w:tcPr>
                <w:tcW w:w="496" w:type="pct"/>
                <w:vAlign w:val="center"/>
              </w:tcPr>
              <w:p w14:paraId="37BA1F03"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19,262</w:t>
                </w:r>
              </w:p>
            </w:tc>
            <w:tc>
              <w:tcPr>
                <w:tcW w:w="535" w:type="pct"/>
                <w:vAlign w:val="center"/>
              </w:tcPr>
              <w:p w14:paraId="7A448F1A"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35,474</w:t>
                </w:r>
              </w:p>
            </w:tc>
            <w:tc>
              <w:tcPr>
                <w:tcW w:w="495" w:type="pct"/>
                <w:vAlign w:val="center"/>
              </w:tcPr>
              <w:p w14:paraId="3332D08E"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55,769</w:t>
                </w:r>
              </w:p>
            </w:tc>
            <w:tc>
              <w:tcPr>
                <w:tcW w:w="538" w:type="pct"/>
                <w:vAlign w:val="center"/>
              </w:tcPr>
              <w:p w14:paraId="3F77B805"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355,153</w:t>
                </w:r>
              </w:p>
            </w:tc>
          </w:tr>
          <w:tr w:rsidR="007E7472" w14:paraId="2FF411F6" w14:textId="77777777" w:rsidTr="00147B9F">
            <w:sdt>
              <w:sdtPr>
                <w:rPr>
                  <w:rFonts w:asciiTheme="minorEastAsia" w:eastAsiaTheme="minorEastAsia" w:hAnsiTheme="minorEastAsia"/>
                </w:rPr>
                <w:tag w:val="_PLD_2700e40e30734ccda4fc19f6731bfd23"/>
                <w:id w:val="-952178050"/>
                <w:lock w:val="sdtLocked"/>
              </w:sdtPr>
              <w:sdtEndPr/>
              <w:sdtContent>
                <w:tc>
                  <w:tcPr>
                    <w:tcW w:w="714" w:type="pct"/>
                    <w:shd w:val="clear" w:color="auto" w:fill="auto"/>
                    <w:vAlign w:val="bottom"/>
                  </w:tcPr>
                  <w:p w14:paraId="7253BAD5" w14:textId="77777777" w:rsidR="007E7472" w:rsidRPr="00147B9F" w:rsidRDefault="00EC1269">
                    <w:pPr>
                      <w:rPr>
                        <w:rFonts w:asciiTheme="minorEastAsia" w:eastAsiaTheme="minorEastAsia" w:hAnsiTheme="minorEastAsia" w:cs="Arial"/>
                        <w:color w:val="000000"/>
                      </w:rPr>
                    </w:pPr>
                    <w:r w:rsidRPr="00147B9F">
                      <w:rPr>
                        <w:rFonts w:asciiTheme="minorEastAsia" w:eastAsiaTheme="minorEastAsia" w:hAnsiTheme="minorEastAsia" w:cs="Arial" w:hint="eastAsia"/>
                        <w:color w:val="000000"/>
                        <w:lang w:val="en-GB"/>
                      </w:rPr>
                      <w:t>净利润</w:t>
                    </w:r>
                  </w:p>
                </w:tc>
              </w:sdtContent>
            </w:sdt>
            <w:tc>
              <w:tcPr>
                <w:tcW w:w="511" w:type="pct"/>
                <w:shd w:val="clear" w:color="auto" w:fill="auto"/>
                <w:vAlign w:val="center"/>
              </w:tcPr>
              <w:p w14:paraId="11336CA7"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198,253</w:t>
                </w:r>
              </w:p>
            </w:tc>
            <w:tc>
              <w:tcPr>
                <w:tcW w:w="563" w:type="pct"/>
                <w:shd w:val="clear" w:color="auto" w:fill="auto"/>
                <w:vAlign w:val="center"/>
              </w:tcPr>
              <w:p w14:paraId="7CDBEC1A"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224,835</w:t>
                </w:r>
              </w:p>
            </w:tc>
            <w:tc>
              <w:tcPr>
                <w:tcW w:w="562" w:type="pct"/>
                <w:shd w:val="clear" w:color="auto" w:fill="auto"/>
                <w:vAlign w:val="center"/>
              </w:tcPr>
              <w:p w14:paraId="1BFD8C72"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218,245</w:t>
                </w:r>
              </w:p>
            </w:tc>
            <w:tc>
              <w:tcPr>
                <w:tcW w:w="585" w:type="pct"/>
                <w:shd w:val="clear" w:color="auto" w:fill="auto"/>
                <w:vAlign w:val="center"/>
              </w:tcPr>
              <w:p w14:paraId="6901B393"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-23,761</w:t>
                </w:r>
              </w:p>
            </w:tc>
            <w:tc>
              <w:tcPr>
                <w:tcW w:w="496" w:type="pct"/>
                <w:vAlign w:val="center"/>
              </w:tcPr>
              <w:p w14:paraId="0152F728"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57,785</w:t>
                </w:r>
              </w:p>
            </w:tc>
            <w:tc>
              <w:tcPr>
                <w:tcW w:w="535" w:type="pct"/>
                <w:vAlign w:val="center"/>
              </w:tcPr>
              <w:p w14:paraId="66E06A75"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167,678</w:t>
                </w:r>
              </w:p>
            </w:tc>
            <w:tc>
              <w:tcPr>
                <w:tcW w:w="495" w:type="pct"/>
                <w:vAlign w:val="center"/>
              </w:tcPr>
              <w:p w14:paraId="4A60FBCC"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205,635</w:t>
                </w:r>
              </w:p>
            </w:tc>
            <w:tc>
              <w:tcPr>
                <w:tcW w:w="538" w:type="pct"/>
                <w:vAlign w:val="center"/>
              </w:tcPr>
              <w:p w14:paraId="05A898A1"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1,046,104</w:t>
                </w:r>
              </w:p>
            </w:tc>
          </w:tr>
          <w:tr w:rsidR="007E7472" w14:paraId="1E17C8D7" w14:textId="77777777" w:rsidTr="00147B9F">
            <w:sdt>
              <w:sdtPr>
                <w:rPr>
                  <w:rFonts w:asciiTheme="minorEastAsia" w:eastAsiaTheme="minorEastAsia" w:hAnsiTheme="minorEastAsia"/>
                </w:rPr>
                <w:tag w:val="_PLD_46271de88b51495b853f579968062473"/>
                <w:id w:val="1606076751"/>
                <w:lock w:val="sdtLocked"/>
              </w:sdtPr>
              <w:sdtEndPr/>
              <w:sdtContent>
                <w:tc>
                  <w:tcPr>
                    <w:tcW w:w="714" w:type="pct"/>
                    <w:shd w:val="clear" w:color="auto" w:fill="auto"/>
                    <w:vAlign w:val="bottom"/>
                  </w:tcPr>
                  <w:p w14:paraId="4161CA0E" w14:textId="77777777" w:rsidR="007E7472" w:rsidRPr="00147B9F" w:rsidRDefault="00EC1269">
                    <w:pPr>
                      <w:rPr>
                        <w:rFonts w:asciiTheme="minorEastAsia" w:eastAsiaTheme="minorEastAsia" w:hAnsiTheme="minorEastAsia" w:cs="Arial"/>
                        <w:color w:val="000000"/>
                      </w:rPr>
                    </w:pPr>
                    <w:r w:rsidRPr="00147B9F">
                      <w:rPr>
                        <w:rFonts w:asciiTheme="minorEastAsia" w:eastAsiaTheme="minorEastAsia" w:hAnsiTheme="minorEastAsia" w:cs="Arial" w:hint="eastAsia"/>
                        <w:color w:val="000000"/>
                        <w:lang w:val="en-GB"/>
                      </w:rPr>
                      <w:t>综合收益总额</w:t>
                    </w:r>
                  </w:p>
                </w:tc>
              </w:sdtContent>
            </w:sdt>
            <w:tc>
              <w:tcPr>
                <w:tcW w:w="511" w:type="pct"/>
                <w:shd w:val="clear" w:color="auto" w:fill="auto"/>
                <w:vAlign w:val="center"/>
              </w:tcPr>
              <w:p w14:paraId="5F91640F"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198,253</w:t>
                </w:r>
              </w:p>
            </w:tc>
            <w:tc>
              <w:tcPr>
                <w:tcW w:w="563" w:type="pct"/>
                <w:shd w:val="clear" w:color="auto" w:fill="auto"/>
                <w:vAlign w:val="center"/>
              </w:tcPr>
              <w:p w14:paraId="67B87FA5"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238,975</w:t>
                </w:r>
              </w:p>
            </w:tc>
            <w:tc>
              <w:tcPr>
                <w:tcW w:w="562" w:type="pct"/>
                <w:shd w:val="clear" w:color="auto" w:fill="auto"/>
                <w:vAlign w:val="center"/>
              </w:tcPr>
              <w:p w14:paraId="2C05C1DF"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267,301</w:t>
                </w:r>
              </w:p>
            </w:tc>
            <w:tc>
              <w:tcPr>
                <w:tcW w:w="585" w:type="pct"/>
                <w:shd w:val="clear" w:color="auto" w:fill="auto"/>
                <w:vAlign w:val="center"/>
              </w:tcPr>
              <w:p w14:paraId="73EB552F"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-23,761</w:t>
                </w:r>
              </w:p>
            </w:tc>
            <w:tc>
              <w:tcPr>
                <w:tcW w:w="496" w:type="pct"/>
                <w:vAlign w:val="center"/>
              </w:tcPr>
              <w:p w14:paraId="262FEFBA"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57,785</w:t>
                </w:r>
              </w:p>
            </w:tc>
            <w:tc>
              <w:tcPr>
                <w:tcW w:w="535" w:type="pct"/>
                <w:vAlign w:val="center"/>
              </w:tcPr>
              <w:p w14:paraId="180C6B98"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167,678</w:t>
                </w:r>
              </w:p>
            </w:tc>
            <w:tc>
              <w:tcPr>
                <w:tcW w:w="495" w:type="pct"/>
                <w:vAlign w:val="center"/>
              </w:tcPr>
              <w:p w14:paraId="2F886276"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195,339</w:t>
                </w:r>
              </w:p>
            </w:tc>
            <w:tc>
              <w:tcPr>
                <w:tcW w:w="538" w:type="pct"/>
                <w:vAlign w:val="center"/>
              </w:tcPr>
              <w:p w14:paraId="1E362435"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1,046,104</w:t>
                </w:r>
              </w:p>
            </w:tc>
          </w:tr>
          <w:tr w:rsidR="007E7472" w14:paraId="00E5109A" w14:textId="77777777" w:rsidTr="00147B9F">
            <w:trPr>
              <w:trHeight w:val="319"/>
            </w:trPr>
            <w:sdt>
              <w:sdtPr>
                <w:rPr>
                  <w:rFonts w:asciiTheme="minorEastAsia" w:eastAsiaTheme="minorEastAsia" w:hAnsiTheme="minorEastAsia"/>
                </w:rPr>
                <w:tag w:val="_PLD_45708a7f3d4a4100b1e84bcc428b4104"/>
                <w:id w:val="968176541"/>
                <w:lock w:val="sdtLocked"/>
              </w:sdtPr>
              <w:sdtEndPr/>
              <w:sdtContent>
                <w:tc>
                  <w:tcPr>
                    <w:tcW w:w="714" w:type="pct"/>
                    <w:shd w:val="clear" w:color="auto" w:fill="auto"/>
                    <w:vAlign w:val="bottom"/>
                  </w:tcPr>
                  <w:p w14:paraId="1180B3CE" w14:textId="77777777" w:rsidR="007E7472" w:rsidRPr="00147B9F" w:rsidRDefault="00EC1269">
                    <w:pPr>
                      <w:rPr>
                        <w:rFonts w:asciiTheme="minorEastAsia" w:eastAsiaTheme="minorEastAsia" w:hAnsiTheme="minorEastAsia" w:cs="Arial"/>
                        <w:color w:val="000000"/>
                      </w:rPr>
                    </w:pPr>
                    <w:r w:rsidRPr="00147B9F">
                      <w:rPr>
                        <w:rFonts w:asciiTheme="minorEastAsia" w:eastAsiaTheme="minorEastAsia" w:hAnsiTheme="minorEastAsia" w:cs="Arial" w:hint="eastAsia"/>
                        <w:color w:val="000000"/>
                        <w:lang w:val="en-GB"/>
                      </w:rPr>
                      <w:t>本年度收到的来自联营企业的股利</w:t>
                    </w:r>
                  </w:p>
                </w:tc>
              </w:sdtContent>
            </w:sdt>
            <w:tc>
              <w:tcPr>
                <w:tcW w:w="511" w:type="pct"/>
                <w:shd w:val="clear" w:color="auto" w:fill="auto"/>
                <w:vAlign w:val="center"/>
              </w:tcPr>
              <w:p w14:paraId="117E9532" w14:textId="77777777" w:rsidR="007E7472" w:rsidRPr="00147B9F" w:rsidRDefault="00C8327E">
                <w:pPr>
                  <w:jc w:val="right"/>
                  <w:rPr>
                    <w:rFonts w:asciiTheme="minorEastAsia" w:eastAsiaTheme="minorEastAsia" w:hAnsiTheme="minorEastAsia"/>
                  </w:rPr>
                </w:pPr>
              </w:p>
            </w:tc>
            <w:tc>
              <w:tcPr>
                <w:tcW w:w="563" w:type="pct"/>
                <w:shd w:val="clear" w:color="auto" w:fill="auto"/>
                <w:vAlign w:val="center"/>
              </w:tcPr>
              <w:p w14:paraId="402E4AD9" w14:textId="77777777" w:rsidR="007E7472" w:rsidRPr="00147B9F" w:rsidRDefault="00C8327E">
                <w:pPr>
                  <w:jc w:val="right"/>
                  <w:rPr>
                    <w:rFonts w:asciiTheme="minorEastAsia" w:eastAsiaTheme="minorEastAsia" w:hAnsiTheme="minorEastAsia"/>
                  </w:rPr>
                </w:pPr>
              </w:p>
            </w:tc>
            <w:tc>
              <w:tcPr>
                <w:tcW w:w="562" w:type="pct"/>
                <w:shd w:val="clear" w:color="auto" w:fill="auto"/>
                <w:vAlign w:val="center"/>
              </w:tcPr>
              <w:p w14:paraId="4AFA3CB3" w14:textId="77777777" w:rsidR="007E7472" w:rsidRPr="00147B9F" w:rsidRDefault="00C8327E">
                <w:pPr>
                  <w:jc w:val="right"/>
                  <w:rPr>
                    <w:rFonts w:asciiTheme="minorEastAsia" w:eastAsiaTheme="minorEastAsia" w:hAnsiTheme="minorEastAsia"/>
                  </w:rPr>
                </w:pPr>
              </w:p>
            </w:tc>
            <w:tc>
              <w:tcPr>
                <w:tcW w:w="585" w:type="pct"/>
                <w:shd w:val="clear" w:color="auto" w:fill="auto"/>
                <w:vAlign w:val="center"/>
              </w:tcPr>
              <w:p w14:paraId="7CF77F02" w14:textId="77777777" w:rsidR="007E7472" w:rsidRPr="00147B9F" w:rsidRDefault="00C8327E">
                <w:pPr>
                  <w:jc w:val="right"/>
                  <w:rPr>
                    <w:rFonts w:asciiTheme="minorEastAsia" w:eastAsiaTheme="minorEastAsia" w:hAnsiTheme="minorEastAsia"/>
                  </w:rPr>
                </w:pPr>
              </w:p>
            </w:tc>
            <w:tc>
              <w:tcPr>
                <w:tcW w:w="496" w:type="pct"/>
                <w:vAlign w:val="center"/>
              </w:tcPr>
              <w:p w14:paraId="3DD063B7" w14:textId="77777777" w:rsidR="007E7472" w:rsidRPr="00147B9F" w:rsidRDefault="00C8327E">
                <w:pPr>
                  <w:jc w:val="right"/>
                  <w:rPr>
                    <w:rFonts w:asciiTheme="minorEastAsia" w:eastAsiaTheme="minorEastAsia" w:hAnsiTheme="minorEastAsia"/>
                  </w:rPr>
                </w:pPr>
              </w:p>
            </w:tc>
            <w:tc>
              <w:tcPr>
                <w:tcW w:w="535" w:type="pct"/>
                <w:vAlign w:val="center"/>
              </w:tcPr>
              <w:p w14:paraId="7E8E4436" w14:textId="77777777" w:rsidR="007E7472" w:rsidRPr="00147B9F" w:rsidRDefault="00C8327E">
                <w:pPr>
                  <w:jc w:val="right"/>
                  <w:rPr>
                    <w:rFonts w:asciiTheme="minorEastAsia" w:eastAsiaTheme="minorEastAsia" w:hAnsiTheme="minorEastAsia"/>
                  </w:rPr>
                </w:pPr>
              </w:p>
            </w:tc>
            <w:tc>
              <w:tcPr>
                <w:tcW w:w="495" w:type="pct"/>
                <w:vAlign w:val="center"/>
              </w:tcPr>
              <w:p w14:paraId="32DBB890" w14:textId="77777777" w:rsidR="007E7472" w:rsidRPr="00147B9F" w:rsidRDefault="00C8327E">
                <w:pPr>
                  <w:jc w:val="right"/>
                  <w:rPr>
                    <w:rFonts w:asciiTheme="minorEastAsia" w:eastAsiaTheme="minorEastAsia" w:hAnsiTheme="minorEastAsia"/>
                  </w:rPr>
                </w:pPr>
              </w:p>
            </w:tc>
            <w:tc>
              <w:tcPr>
                <w:tcW w:w="538" w:type="pct"/>
                <w:vAlign w:val="center"/>
              </w:tcPr>
              <w:p w14:paraId="32444A59" w14:textId="77777777" w:rsidR="007E7472" w:rsidRPr="00147B9F" w:rsidRDefault="00EC1269">
                <w:pPr>
                  <w:jc w:val="right"/>
                  <w:rPr>
                    <w:rFonts w:asciiTheme="minorEastAsia" w:eastAsiaTheme="minorEastAsia" w:hAnsiTheme="minorEastAsia"/>
                  </w:rPr>
                </w:pPr>
                <w:r w:rsidRPr="00147B9F">
                  <w:rPr>
                    <w:rFonts w:asciiTheme="minorEastAsia" w:eastAsiaTheme="minorEastAsia" w:hAnsiTheme="minorEastAsia"/>
                  </w:rPr>
                  <w:t>80,016</w:t>
                </w:r>
              </w:p>
            </w:tc>
          </w:tr>
        </w:tbl>
        <w:p w14:paraId="6EBA965F" w14:textId="77777777" w:rsidR="007E7472" w:rsidRDefault="00EC1269">
          <w:pPr>
            <w:spacing w:beforeLines="50" w:before="120" w:afterLines="50" w:after="120" w:line="360" w:lineRule="exact"/>
            <w:ind w:firstLineChars="200" w:firstLine="420"/>
          </w:pPr>
          <w:r>
            <w:rPr>
              <w:rFonts w:hint="eastAsia"/>
            </w:rPr>
            <w:t>注：浙商银行股份有限公司在本财务报告批准报出日尚未公开披露</w:t>
          </w:r>
          <w:r>
            <w:t>2023年半年度业绩，依据相关监管准则，本公司不提前披露相关信息。因此，本期末未披露浙商银行股份有限公司的主要财务信息。齐鲁银行股份有限公司的财务信息详见其2023半年度报告公告信息。</w:t>
          </w:r>
        </w:p>
      </w:sdtContent>
    </w:sdt>
    <w:sdt>
      <w:sdtPr>
        <w:rPr>
          <w:rFonts w:cs="Arial"/>
        </w:rPr>
        <w:alias w:val="模块:重要联营企业的主要财务信息其他说明的方法"/>
        <w:tag w:val="_SEC_3191928276884aa0be18ac148aa436b7"/>
        <w:id w:val="1070083205"/>
        <w:placeholder>
          <w:docPart w:val="GBC22222222222222222222222222222"/>
        </w:placeholder>
      </w:sdtPr>
      <w:sdtEndPr/>
      <w:sdtContent>
        <w:p w14:paraId="07279DB9" w14:textId="77777777" w:rsidR="007E7472" w:rsidRDefault="00C8327E">
          <w:pPr>
            <w:rPr>
              <w:rFonts w:cs="Arial"/>
            </w:rPr>
            <w:sectPr w:rsidR="007E7472">
              <w:pgSz w:w="16838" w:h="11906" w:orient="landscape"/>
              <w:pgMar w:top="1797" w:right="1525" w:bottom="1276" w:left="1440" w:header="856" w:footer="992" w:gutter="0"/>
              <w:cols w:space="425"/>
              <w:docGrid w:linePitch="312"/>
            </w:sectPr>
          </w:pPr>
        </w:p>
        <w:p w14:paraId="15DA6DBE" w14:textId="77777777" w:rsidR="007E7472" w:rsidRDefault="00C8327E">
          <w:pPr>
            <w:rPr>
              <w:rFonts w:cs="Arial"/>
            </w:rPr>
          </w:pPr>
        </w:p>
      </w:sdtContent>
    </w:sdt>
    <w:sdt>
      <w:sdtPr>
        <w:rPr>
          <w:rFonts w:ascii="宋体" w:hAnsi="宋体" w:cs="Arial" w:hint="eastAsia"/>
          <w:b w:val="0"/>
          <w:bCs w:val="0"/>
          <w:kern w:val="0"/>
          <w:szCs w:val="21"/>
        </w:rPr>
        <w:alias w:val="模块:不重要的合营企业和联营企业的汇总财务信息"/>
        <w:tag w:val="_GBC_7592afe8201c4b36a34fa177ca124037"/>
        <w:id w:val="1554885224"/>
        <w:lock w:val="sdtLocked"/>
        <w:placeholder>
          <w:docPart w:val="GBC22222222222222222222222222222"/>
        </w:placeholder>
      </w:sdtPr>
      <w:sdtEndPr>
        <w:rPr>
          <w:rFonts w:hint="default"/>
        </w:rPr>
      </w:sdtEndPr>
      <w:sdtContent>
        <w:p w14:paraId="77B0D9F4" w14:textId="77777777" w:rsidR="007E7472" w:rsidRDefault="00EC1269" w:rsidP="00162493">
          <w:pPr>
            <w:pStyle w:val="4"/>
            <w:numPr>
              <w:ilvl w:val="0"/>
              <w:numId w:val="105"/>
            </w:numPr>
            <w:rPr>
              <w:rFonts w:cs="Arial"/>
            </w:rPr>
          </w:pPr>
          <w:r>
            <w:rPr>
              <w:rFonts w:cs="Arial" w:hint="eastAsia"/>
            </w:rPr>
            <w:t>不重要的合营企业和联营企业的汇总财务信息</w:t>
          </w:r>
        </w:p>
        <w:sdt>
          <w:sdtPr>
            <w:alias w:val="是否适用：不重要的合营企业和联营企业的汇总财务信息[双击切换]"/>
            <w:tag w:val="_GBC_eb809f81680b42f794ba04df499e52dc"/>
            <w:id w:val="688641524"/>
            <w:lock w:val="sdtLocked"/>
          </w:sdtPr>
          <w:sdtEndPr/>
          <w:sdtContent>
            <w:p w14:paraId="56A64DDD" w14:textId="77777777" w:rsidR="007E7472" w:rsidRDefault="00EC1269">
              <w:r>
                <w:fldChar w:fldCharType="begin"/>
              </w:r>
              <w:r>
                <w:instrText xml:space="preserve"> MACROBUTTON SnrToggleCheckbox √适用 </w:instrText>
              </w:r>
              <w:r>
                <w:fldChar w:fldCharType="end"/>
              </w:r>
              <w:r>
                <w:fldChar w:fldCharType="begin"/>
              </w:r>
              <w:r>
                <w:instrText xml:space="preserve">MACROBUTTON  SnrToggleCheckbox □不适用 </w:instrText>
              </w:r>
              <w:r>
                <w:fldChar w:fldCharType="end"/>
              </w:r>
            </w:p>
          </w:sdtContent>
        </w:sdt>
        <w:p w14:paraId="45060A9A" w14:textId="2B6822E3" w:rsidR="007E7472" w:rsidRDefault="00EC1269">
          <w:pPr>
            <w:jc w:val="right"/>
          </w:pPr>
          <w:r>
            <w:rPr>
              <w:rFonts w:hint="eastAsia"/>
            </w:rPr>
            <w:t>单位：</w:t>
          </w:r>
          <w:sdt>
            <w:sdtPr>
              <w:rPr>
                <w:rFonts w:hint="eastAsia"/>
              </w:rPr>
              <w:alias w:val="单位：财务附注：不重要的合营企业和联营企业的汇总财务信息"/>
              <w:tag w:val="_GBC_d02efd9c85904b029b5a51b02d9519e8"/>
              <w:id w:val="1335947355"/>
              <w:lock w:val="sdtLocked"/>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 xml:space="preserve">  币种：</w:t>
          </w:r>
          <w:sdt>
            <w:sdtPr>
              <w:rPr>
                <w:rFonts w:hint="eastAsia"/>
              </w:rPr>
              <w:alias w:val="币种：财务附注：不重要的合营企业和联营企业的汇总财务信息"/>
              <w:tag w:val="_GBC_a6fa35df627e4d9584fb9c311eb6a4b5"/>
              <w:id w:val="110229851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830"/>
            <w:gridCol w:w="2995"/>
            <w:gridCol w:w="2998"/>
          </w:tblGrid>
          <w:tr w:rsidR="007E7472" w14:paraId="5FD01348" w14:textId="77777777">
            <w:trPr>
              <w:trHeight w:val="241"/>
              <w:jc w:val="center"/>
            </w:trPr>
            <w:tc>
              <w:tcPr>
                <w:tcW w:w="1604" w:type="pct"/>
                <w:tcBorders>
                  <w:top w:val="single" w:sz="4" w:space="0" w:color="auto"/>
                  <w:left w:val="single" w:sz="4" w:space="0" w:color="auto"/>
                  <w:bottom w:val="single" w:sz="6" w:space="0" w:color="auto"/>
                  <w:right w:val="single" w:sz="6" w:space="0" w:color="auto"/>
                </w:tcBorders>
                <w:shd w:val="clear" w:color="auto" w:fill="auto"/>
              </w:tcPr>
              <w:p w14:paraId="13D17E54" w14:textId="77777777" w:rsidR="007E7472" w:rsidRDefault="00C8327E">
                <w:pPr>
                  <w:jc w:val="center"/>
                  <w:rPr>
                    <w:rFonts w:cs="Arial"/>
                  </w:rPr>
                </w:pPr>
              </w:p>
            </w:tc>
            <w:sdt>
              <w:sdtPr>
                <w:tag w:val="_PLD_7dc69fc7f68243e6b4f46db3a94dd47f"/>
                <w:id w:val="-1269696339"/>
                <w:lock w:val="sdtLocked"/>
              </w:sdtPr>
              <w:sdtEndPr/>
              <w:sdtContent>
                <w:tc>
                  <w:tcPr>
                    <w:tcW w:w="1697" w:type="pct"/>
                    <w:tcBorders>
                      <w:top w:val="single" w:sz="4" w:space="0" w:color="auto"/>
                      <w:left w:val="single" w:sz="6" w:space="0" w:color="auto"/>
                      <w:bottom w:val="single" w:sz="6" w:space="0" w:color="auto"/>
                      <w:right w:val="single" w:sz="6" w:space="0" w:color="auto"/>
                    </w:tcBorders>
                    <w:shd w:val="clear" w:color="auto" w:fill="auto"/>
                  </w:tcPr>
                  <w:p w14:paraId="66E821D2" w14:textId="77777777" w:rsidR="007E7472" w:rsidRDefault="00EC1269">
                    <w:pPr>
                      <w:jc w:val="center"/>
                      <w:rPr>
                        <w:rFonts w:cs="Arial"/>
                      </w:rPr>
                    </w:pPr>
                    <w:r>
                      <w:rPr>
                        <w:rFonts w:cs="Arial" w:hint="eastAsia"/>
                        <w:lang w:val="en-GB"/>
                      </w:rPr>
                      <w:t>期末余额</w:t>
                    </w:r>
                    <w:r>
                      <w:rPr>
                        <w:rFonts w:cs="Arial"/>
                      </w:rPr>
                      <w:t xml:space="preserve">/ </w:t>
                    </w:r>
                    <w:r>
                      <w:rPr>
                        <w:rFonts w:cs="Arial" w:hint="eastAsia"/>
                        <w:lang w:val="en-GB"/>
                      </w:rPr>
                      <w:t>本期发生额</w:t>
                    </w:r>
                  </w:p>
                </w:tc>
              </w:sdtContent>
            </w:sdt>
            <w:sdt>
              <w:sdtPr>
                <w:tag w:val="_PLD_ffe9f9922ada461388adfb92ed1e3072"/>
                <w:id w:val="2001533610"/>
                <w:lock w:val="sdtLocked"/>
              </w:sdtPr>
              <w:sdtEndPr/>
              <w:sdtContent>
                <w:tc>
                  <w:tcPr>
                    <w:tcW w:w="1699" w:type="pct"/>
                    <w:tcBorders>
                      <w:top w:val="single" w:sz="4" w:space="0" w:color="auto"/>
                      <w:left w:val="single" w:sz="6" w:space="0" w:color="auto"/>
                      <w:bottom w:val="single" w:sz="6" w:space="0" w:color="auto"/>
                      <w:right w:val="single" w:sz="4" w:space="0" w:color="auto"/>
                    </w:tcBorders>
                    <w:shd w:val="clear" w:color="auto" w:fill="auto"/>
                  </w:tcPr>
                  <w:p w14:paraId="7266762A" w14:textId="77777777" w:rsidR="007E7472" w:rsidRDefault="00EC1269">
                    <w:pPr>
                      <w:jc w:val="center"/>
                      <w:rPr>
                        <w:rFonts w:cs="Arial"/>
                      </w:rPr>
                    </w:pPr>
                    <w:r>
                      <w:rPr>
                        <w:rFonts w:cs="Arial" w:hint="eastAsia"/>
                        <w:lang w:val="en-GB"/>
                      </w:rPr>
                      <w:t>期初余额</w:t>
                    </w:r>
                    <w:r>
                      <w:rPr>
                        <w:rFonts w:cs="Arial"/>
                      </w:rPr>
                      <w:t xml:space="preserve">/ </w:t>
                    </w:r>
                    <w:r>
                      <w:rPr>
                        <w:rFonts w:cs="Arial" w:hint="eastAsia"/>
                        <w:lang w:val="en-GB"/>
                      </w:rPr>
                      <w:t>上期发生额</w:t>
                    </w:r>
                  </w:p>
                </w:tc>
              </w:sdtContent>
            </w:sdt>
          </w:tr>
          <w:tr w:rsidR="007E7472" w14:paraId="7A83A8C1" w14:textId="77777777">
            <w:trPr>
              <w:jc w:val="center"/>
            </w:trPr>
            <w:sdt>
              <w:sdtPr>
                <w:tag w:val="_PLD_01c0860c93244a3f94a1c91bec25150e"/>
                <w:id w:val="-1236862052"/>
                <w:lock w:val="sdtLocked"/>
              </w:sdtPr>
              <w:sdtEndPr/>
              <w:sdtContent>
                <w:tc>
                  <w:tcPr>
                    <w:tcW w:w="5000" w:type="pct"/>
                    <w:gridSpan w:val="3"/>
                    <w:tcBorders>
                      <w:top w:val="single" w:sz="6" w:space="0" w:color="auto"/>
                      <w:left w:val="single" w:sz="4" w:space="0" w:color="auto"/>
                      <w:bottom w:val="single" w:sz="6" w:space="0" w:color="auto"/>
                      <w:right w:val="single" w:sz="4" w:space="0" w:color="auto"/>
                    </w:tcBorders>
                    <w:shd w:val="clear" w:color="auto" w:fill="auto"/>
                  </w:tcPr>
                  <w:p w14:paraId="4C808BE5" w14:textId="77777777" w:rsidR="007E7472" w:rsidRDefault="00EC1269">
                    <w:r>
                      <w:rPr>
                        <w:rFonts w:cs="Arial" w:hint="eastAsia"/>
                        <w:lang w:val="en-GB"/>
                      </w:rPr>
                      <w:t>合营企业：</w:t>
                    </w:r>
                  </w:p>
                </w:tc>
              </w:sdtContent>
            </w:sdt>
          </w:tr>
          <w:tr w:rsidR="007E7472" w14:paraId="21D373D9" w14:textId="77777777">
            <w:trPr>
              <w:jc w:val="center"/>
            </w:trPr>
            <w:sdt>
              <w:sdtPr>
                <w:tag w:val="_PLD_01912ad1144f412393cdaeb8d4f1f35b"/>
                <w:id w:val="-218441004"/>
                <w:lock w:val="sdtLocked"/>
              </w:sdtPr>
              <w:sdtEndPr/>
              <w:sdtContent>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14:paraId="27EDE8C7" w14:textId="77777777" w:rsidR="007E7472" w:rsidRDefault="00EC1269">
                    <w:pPr>
                      <w:rPr>
                        <w:rFonts w:cs="Arial"/>
                        <w:color w:val="000000"/>
                      </w:rPr>
                    </w:pPr>
                    <w:r>
                      <w:rPr>
                        <w:rFonts w:cs="Arial" w:hint="eastAsia"/>
                        <w:color w:val="000000"/>
                        <w:lang w:val="en-GB"/>
                      </w:rPr>
                      <w:t>投资账面价值合计</w:t>
                    </w:r>
                  </w:p>
                </w:tc>
              </w:sdtContent>
            </w:sdt>
            <w:tc>
              <w:tcPr>
                <w:tcW w:w="1697" w:type="pct"/>
                <w:tcBorders>
                  <w:top w:val="single" w:sz="6" w:space="0" w:color="auto"/>
                  <w:left w:val="single" w:sz="6" w:space="0" w:color="auto"/>
                  <w:bottom w:val="single" w:sz="6" w:space="0" w:color="auto"/>
                  <w:right w:val="single" w:sz="6" w:space="0" w:color="auto"/>
                </w:tcBorders>
              </w:tcPr>
              <w:p w14:paraId="6D07ED16" w14:textId="77777777" w:rsidR="007E7472" w:rsidRDefault="00EC1269">
                <w:pPr>
                  <w:jc w:val="right"/>
                </w:pPr>
                <w:r>
                  <w:rPr>
                    <w:rFonts w:hint="eastAsia"/>
                  </w:rPr>
                  <w:t>86,358</w:t>
                </w:r>
              </w:p>
            </w:tc>
            <w:tc>
              <w:tcPr>
                <w:tcW w:w="1699" w:type="pct"/>
                <w:tcBorders>
                  <w:top w:val="single" w:sz="6" w:space="0" w:color="auto"/>
                  <w:left w:val="single" w:sz="6" w:space="0" w:color="auto"/>
                  <w:bottom w:val="single" w:sz="6" w:space="0" w:color="auto"/>
                  <w:right w:val="single" w:sz="4" w:space="0" w:color="auto"/>
                </w:tcBorders>
              </w:tcPr>
              <w:p w14:paraId="641F5A2E" w14:textId="77777777" w:rsidR="007E7472" w:rsidRDefault="00EC1269">
                <w:pPr>
                  <w:jc w:val="right"/>
                </w:pPr>
                <w:r>
                  <w:rPr>
                    <w:rFonts w:hint="eastAsia"/>
                  </w:rPr>
                  <w:t>50,994</w:t>
                </w:r>
              </w:p>
            </w:tc>
          </w:tr>
          <w:tr w:rsidR="007E7472" w14:paraId="2D3D37C6" w14:textId="77777777">
            <w:trPr>
              <w:jc w:val="center"/>
            </w:trPr>
            <w:sdt>
              <w:sdtPr>
                <w:tag w:val="_PLD_d574603998c340988b76ed4abbb39d0f"/>
                <w:id w:val="1531754962"/>
                <w:lock w:val="sdtLocked"/>
              </w:sdtPr>
              <w:sdtEndPr/>
              <w:sdtContent>
                <w:tc>
                  <w:tcPr>
                    <w:tcW w:w="5000" w:type="pct"/>
                    <w:gridSpan w:val="3"/>
                    <w:tcBorders>
                      <w:top w:val="single" w:sz="6" w:space="0" w:color="auto"/>
                      <w:left w:val="single" w:sz="4" w:space="0" w:color="auto"/>
                      <w:bottom w:val="single" w:sz="6" w:space="0" w:color="auto"/>
                      <w:right w:val="single" w:sz="4" w:space="0" w:color="auto"/>
                    </w:tcBorders>
                    <w:shd w:val="clear" w:color="auto" w:fill="auto"/>
                    <w:vAlign w:val="center"/>
                  </w:tcPr>
                  <w:p w14:paraId="48101D34" w14:textId="77777777" w:rsidR="007E7472" w:rsidRDefault="00EC1269">
                    <w:r>
                      <w:rPr>
                        <w:rFonts w:cs="Arial" w:hint="eastAsia"/>
                        <w:color w:val="000000"/>
                        <w:lang w:val="en-GB"/>
                      </w:rPr>
                      <w:t>下列各项按持股比例计算的合计数</w:t>
                    </w:r>
                  </w:p>
                </w:tc>
              </w:sdtContent>
            </w:sdt>
          </w:tr>
          <w:tr w:rsidR="007E7472" w14:paraId="41BD9CD0" w14:textId="77777777">
            <w:trPr>
              <w:jc w:val="center"/>
            </w:trPr>
            <w:sdt>
              <w:sdtPr>
                <w:tag w:val="_PLD_6a9719a93a5947a99f4faab9ddfeb484"/>
                <w:id w:val="-3831692"/>
                <w:lock w:val="sdtLocked"/>
              </w:sdtPr>
              <w:sdtEndPr/>
              <w:sdtContent>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14:paraId="20915F47" w14:textId="77777777" w:rsidR="007E7472" w:rsidRDefault="00EC1269">
                    <w:pPr>
                      <w:rPr>
                        <w:rFonts w:cs="Arial"/>
                        <w:color w:val="000000"/>
                      </w:rPr>
                    </w:pPr>
                    <w:r>
                      <w:rPr>
                        <w:rFonts w:cs="Arial"/>
                        <w:color w:val="000000"/>
                      </w:rPr>
                      <w:t>--</w:t>
                    </w:r>
                    <w:r>
                      <w:rPr>
                        <w:rFonts w:cs="Arial" w:hint="eastAsia"/>
                        <w:color w:val="000000"/>
                        <w:lang w:val="en-GB"/>
                      </w:rPr>
                      <w:t>净利润</w:t>
                    </w:r>
                  </w:p>
                </w:tc>
              </w:sdtContent>
            </w:sdt>
            <w:tc>
              <w:tcPr>
                <w:tcW w:w="1697" w:type="pct"/>
                <w:tcBorders>
                  <w:top w:val="single" w:sz="6" w:space="0" w:color="auto"/>
                  <w:left w:val="single" w:sz="6" w:space="0" w:color="auto"/>
                  <w:bottom w:val="single" w:sz="6" w:space="0" w:color="auto"/>
                  <w:right w:val="single" w:sz="6" w:space="0" w:color="auto"/>
                </w:tcBorders>
              </w:tcPr>
              <w:p w14:paraId="0400F10D" w14:textId="77777777" w:rsidR="007E7472" w:rsidRDefault="00EC1269">
                <w:pPr>
                  <w:jc w:val="right"/>
                </w:pPr>
                <w:r>
                  <w:rPr>
                    <w:rFonts w:hint="eastAsia"/>
                  </w:rPr>
                  <w:t>-436</w:t>
                </w:r>
              </w:p>
            </w:tc>
            <w:tc>
              <w:tcPr>
                <w:tcW w:w="1699" w:type="pct"/>
                <w:tcBorders>
                  <w:top w:val="single" w:sz="6" w:space="0" w:color="auto"/>
                  <w:left w:val="single" w:sz="6" w:space="0" w:color="auto"/>
                  <w:bottom w:val="single" w:sz="6" w:space="0" w:color="auto"/>
                  <w:right w:val="single" w:sz="4" w:space="0" w:color="auto"/>
                </w:tcBorders>
              </w:tcPr>
              <w:p w14:paraId="332C336D" w14:textId="77777777" w:rsidR="007E7472" w:rsidRDefault="00EC1269">
                <w:pPr>
                  <w:jc w:val="right"/>
                </w:pPr>
                <w:r>
                  <w:rPr>
                    <w:rFonts w:hint="eastAsia"/>
                  </w:rPr>
                  <w:t>-291</w:t>
                </w:r>
              </w:p>
            </w:tc>
          </w:tr>
          <w:tr w:rsidR="007E7472" w14:paraId="4BBD9817" w14:textId="77777777">
            <w:trPr>
              <w:jc w:val="center"/>
            </w:trPr>
            <w:sdt>
              <w:sdtPr>
                <w:tag w:val="_PLD_cee08c7e01b746408c5d373112665e6e"/>
                <w:id w:val="801960651"/>
                <w:lock w:val="sdtLocked"/>
              </w:sdtPr>
              <w:sdtEndPr/>
              <w:sdtContent>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14:paraId="2235A497" w14:textId="77777777" w:rsidR="007E7472" w:rsidRDefault="00EC1269">
                    <w:pPr>
                      <w:rPr>
                        <w:rFonts w:cs="Arial"/>
                        <w:color w:val="000000"/>
                      </w:rPr>
                    </w:pPr>
                    <w:r>
                      <w:rPr>
                        <w:rFonts w:cs="Arial"/>
                        <w:color w:val="000000"/>
                      </w:rPr>
                      <w:t>--</w:t>
                    </w:r>
                    <w:r>
                      <w:rPr>
                        <w:rFonts w:cs="Arial" w:hint="eastAsia"/>
                        <w:color w:val="000000"/>
                        <w:lang w:val="en-GB"/>
                      </w:rPr>
                      <w:t>其他综合收益</w:t>
                    </w:r>
                  </w:p>
                </w:tc>
              </w:sdtContent>
            </w:sdt>
            <w:tc>
              <w:tcPr>
                <w:tcW w:w="1697" w:type="pct"/>
                <w:tcBorders>
                  <w:top w:val="single" w:sz="6" w:space="0" w:color="auto"/>
                  <w:left w:val="single" w:sz="6" w:space="0" w:color="auto"/>
                  <w:bottom w:val="single" w:sz="6" w:space="0" w:color="auto"/>
                  <w:right w:val="single" w:sz="6" w:space="0" w:color="auto"/>
                </w:tcBorders>
              </w:tcPr>
              <w:p w14:paraId="7EF80433" w14:textId="77777777" w:rsidR="007E7472" w:rsidRDefault="00C8327E">
                <w:pPr>
                  <w:jc w:val="right"/>
                </w:pPr>
              </w:p>
            </w:tc>
            <w:tc>
              <w:tcPr>
                <w:tcW w:w="1699" w:type="pct"/>
                <w:tcBorders>
                  <w:top w:val="single" w:sz="6" w:space="0" w:color="auto"/>
                  <w:left w:val="single" w:sz="6" w:space="0" w:color="auto"/>
                  <w:bottom w:val="single" w:sz="6" w:space="0" w:color="auto"/>
                  <w:right w:val="single" w:sz="4" w:space="0" w:color="auto"/>
                </w:tcBorders>
              </w:tcPr>
              <w:p w14:paraId="0BC62672" w14:textId="77777777" w:rsidR="007E7472" w:rsidRDefault="00C8327E">
                <w:pPr>
                  <w:jc w:val="right"/>
                </w:pPr>
              </w:p>
            </w:tc>
          </w:tr>
          <w:tr w:rsidR="007E7472" w14:paraId="565FB0BE" w14:textId="77777777">
            <w:trPr>
              <w:jc w:val="center"/>
            </w:trPr>
            <w:sdt>
              <w:sdtPr>
                <w:tag w:val="_PLD_f3f65d3b731f4b4ca71b1e3491b1154d"/>
                <w:id w:val="-1049289225"/>
                <w:lock w:val="sdtLocked"/>
              </w:sdtPr>
              <w:sdtEndPr/>
              <w:sdtContent>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14:paraId="4380786E" w14:textId="77777777" w:rsidR="007E7472" w:rsidRDefault="00EC1269">
                    <w:pPr>
                      <w:rPr>
                        <w:rFonts w:cs="Arial"/>
                        <w:color w:val="000000"/>
                      </w:rPr>
                    </w:pPr>
                    <w:r>
                      <w:rPr>
                        <w:rFonts w:cs="Arial"/>
                        <w:color w:val="000000"/>
                      </w:rPr>
                      <w:t>--</w:t>
                    </w:r>
                    <w:r>
                      <w:rPr>
                        <w:rFonts w:cs="Arial" w:hint="eastAsia"/>
                        <w:color w:val="000000"/>
                        <w:lang w:val="en-GB"/>
                      </w:rPr>
                      <w:t>综合收益总额</w:t>
                    </w:r>
                  </w:p>
                </w:tc>
              </w:sdtContent>
            </w:sdt>
            <w:tc>
              <w:tcPr>
                <w:tcW w:w="1697" w:type="pct"/>
                <w:tcBorders>
                  <w:top w:val="single" w:sz="6" w:space="0" w:color="auto"/>
                  <w:left w:val="single" w:sz="6" w:space="0" w:color="auto"/>
                  <w:bottom w:val="single" w:sz="6" w:space="0" w:color="auto"/>
                  <w:right w:val="single" w:sz="6" w:space="0" w:color="auto"/>
                </w:tcBorders>
              </w:tcPr>
              <w:p w14:paraId="3298F824" w14:textId="77777777" w:rsidR="007E7472" w:rsidRDefault="00EC1269">
                <w:pPr>
                  <w:jc w:val="right"/>
                </w:pPr>
                <w:r>
                  <w:rPr>
                    <w:rFonts w:hint="eastAsia"/>
                  </w:rPr>
                  <w:t>-436</w:t>
                </w:r>
              </w:p>
            </w:tc>
            <w:tc>
              <w:tcPr>
                <w:tcW w:w="1699" w:type="pct"/>
                <w:tcBorders>
                  <w:top w:val="single" w:sz="6" w:space="0" w:color="auto"/>
                  <w:left w:val="single" w:sz="6" w:space="0" w:color="auto"/>
                  <w:bottom w:val="single" w:sz="6" w:space="0" w:color="auto"/>
                  <w:right w:val="single" w:sz="4" w:space="0" w:color="auto"/>
                </w:tcBorders>
              </w:tcPr>
              <w:p w14:paraId="3174514C" w14:textId="77777777" w:rsidR="007E7472" w:rsidRDefault="00EC1269">
                <w:pPr>
                  <w:jc w:val="right"/>
                </w:pPr>
                <w:r>
                  <w:rPr>
                    <w:rFonts w:hint="eastAsia"/>
                  </w:rPr>
                  <w:t>-291</w:t>
                </w:r>
              </w:p>
            </w:tc>
          </w:tr>
          <w:tr w:rsidR="007E7472" w14:paraId="1EA96695" w14:textId="77777777">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tcPr>
              <w:p w14:paraId="300C4496" w14:textId="77777777" w:rsidR="007E7472" w:rsidRDefault="00C8327E">
                <w:pPr>
                  <w:rPr>
                    <w:rFonts w:cs="Arial"/>
                    <w:lang w:val="en-GB"/>
                  </w:rPr>
                </w:pPr>
              </w:p>
            </w:tc>
            <w:tc>
              <w:tcPr>
                <w:tcW w:w="1697" w:type="pct"/>
                <w:tcBorders>
                  <w:top w:val="single" w:sz="6" w:space="0" w:color="auto"/>
                  <w:left w:val="single" w:sz="6" w:space="0" w:color="auto"/>
                  <w:bottom w:val="single" w:sz="6" w:space="0" w:color="auto"/>
                  <w:right w:val="single" w:sz="6" w:space="0" w:color="auto"/>
                </w:tcBorders>
              </w:tcPr>
              <w:p w14:paraId="61B006FB" w14:textId="77777777" w:rsidR="007E7472" w:rsidRDefault="00C8327E">
                <w:pPr>
                  <w:jc w:val="right"/>
                </w:pPr>
              </w:p>
            </w:tc>
            <w:tc>
              <w:tcPr>
                <w:tcW w:w="1699" w:type="pct"/>
                <w:tcBorders>
                  <w:top w:val="single" w:sz="6" w:space="0" w:color="auto"/>
                  <w:left w:val="single" w:sz="6" w:space="0" w:color="auto"/>
                  <w:bottom w:val="single" w:sz="6" w:space="0" w:color="auto"/>
                  <w:right w:val="single" w:sz="4" w:space="0" w:color="auto"/>
                </w:tcBorders>
              </w:tcPr>
              <w:p w14:paraId="3908B8E1" w14:textId="77777777" w:rsidR="007E7472" w:rsidRDefault="00C8327E">
                <w:pPr>
                  <w:jc w:val="right"/>
                </w:pPr>
              </w:p>
            </w:tc>
          </w:tr>
          <w:tr w:rsidR="007E7472" w14:paraId="6A362A73" w14:textId="77777777">
            <w:trPr>
              <w:jc w:val="center"/>
            </w:trPr>
            <w:sdt>
              <w:sdtPr>
                <w:tag w:val="_PLD_1bd24e2b6e8f4bddad27bea53e1b1b0a"/>
                <w:id w:val="-588000502"/>
                <w:lock w:val="sdtLocked"/>
              </w:sdtPr>
              <w:sdtEndPr/>
              <w:sdtContent>
                <w:tc>
                  <w:tcPr>
                    <w:tcW w:w="5000" w:type="pct"/>
                    <w:gridSpan w:val="3"/>
                    <w:tcBorders>
                      <w:top w:val="single" w:sz="6" w:space="0" w:color="auto"/>
                      <w:left w:val="single" w:sz="4" w:space="0" w:color="auto"/>
                      <w:bottom w:val="single" w:sz="6" w:space="0" w:color="auto"/>
                      <w:right w:val="single" w:sz="4" w:space="0" w:color="auto"/>
                    </w:tcBorders>
                    <w:shd w:val="clear" w:color="auto" w:fill="auto"/>
                  </w:tcPr>
                  <w:p w14:paraId="63D1299C" w14:textId="77777777" w:rsidR="007E7472" w:rsidRDefault="00EC1269">
                    <w:r>
                      <w:rPr>
                        <w:rFonts w:cs="Arial" w:hint="eastAsia"/>
                        <w:lang w:val="en-GB"/>
                      </w:rPr>
                      <w:t>联营企业：</w:t>
                    </w:r>
                  </w:p>
                </w:tc>
              </w:sdtContent>
            </w:sdt>
          </w:tr>
          <w:tr w:rsidR="007E7472" w14:paraId="5ECC9185" w14:textId="77777777">
            <w:trPr>
              <w:jc w:val="center"/>
            </w:trPr>
            <w:sdt>
              <w:sdtPr>
                <w:tag w:val="_PLD_96f92a97765344699f3fe74a7c29502b"/>
                <w:id w:val="-1907750887"/>
                <w:lock w:val="sdtLocked"/>
              </w:sdtPr>
              <w:sdtEndPr/>
              <w:sdtContent>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14:paraId="3B076361" w14:textId="77777777" w:rsidR="007E7472" w:rsidRDefault="00EC1269">
                    <w:pPr>
                      <w:rPr>
                        <w:rFonts w:cs="Arial"/>
                        <w:color w:val="000000"/>
                      </w:rPr>
                    </w:pPr>
                    <w:r>
                      <w:rPr>
                        <w:rFonts w:cs="Arial" w:hint="eastAsia"/>
                        <w:color w:val="000000"/>
                        <w:lang w:val="en-GB"/>
                      </w:rPr>
                      <w:t>投资账面价值合计</w:t>
                    </w:r>
                  </w:p>
                </w:tc>
              </w:sdtContent>
            </w:sdt>
            <w:tc>
              <w:tcPr>
                <w:tcW w:w="1697" w:type="pct"/>
                <w:tcBorders>
                  <w:top w:val="single" w:sz="6" w:space="0" w:color="auto"/>
                  <w:left w:val="single" w:sz="6" w:space="0" w:color="auto"/>
                  <w:bottom w:val="single" w:sz="6" w:space="0" w:color="auto"/>
                  <w:right w:val="single" w:sz="6" w:space="0" w:color="auto"/>
                </w:tcBorders>
              </w:tcPr>
              <w:p w14:paraId="257C65C5" w14:textId="7970DA05" w:rsidR="007E7472" w:rsidRDefault="00913748">
                <w:pPr>
                  <w:jc w:val="right"/>
                </w:pPr>
                <w:r w:rsidRPr="00925934">
                  <w:t>2,412,296</w:t>
                </w:r>
              </w:p>
            </w:tc>
            <w:tc>
              <w:tcPr>
                <w:tcW w:w="1699" w:type="pct"/>
                <w:tcBorders>
                  <w:top w:val="single" w:sz="6" w:space="0" w:color="auto"/>
                  <w:left w:val="single" w:sz="6" w:space="0" w:color="auto"/>
                  <w:bottom w:val="single" w:sz="6" w:space="0" w:color="auto"/>
                  <w:right w:val="single" w:sz="4" w:space="0" w:color="auto"/>
                </w:tcBorders>
              </w:tcPr>
              <w:p w14:paraId="3058EEC4" w14:textId="77777777" w:rsidR="007E7472" w:rsidRDefault="00EC1269">
                <w:pPr>
                  <w:jc w:val="right"/>
                </w:pPr>
                <w:r>
                  <w:rPr>
                    <w:rFonts w:hint="eastAsia"/>
                  </w:rPr>
                  <w:t>2,318,055</w:t>
                </w:r>
              </w:p>
            </w:tc>
          </w:tr>
          <w:tr w:rsidR="007E7472" w14:paraId="799B2296" w14:textId="77777777">
            <w:trPr>
              <w:jc w:val="center"/>
            </w:trPr>
            <w:sdt>
              <w:sdtPr>
                <w:tag w:val="_PLD_31587dee61f14709a752f002668255e6"/>
                <w:id w:val="-533040240"/>
                <w:lock w:val="sdtLocked"/>
              </w:sdtPr>
              <w:sdtEndPr/>
              <w:sdtContent>
                <w:tc>
                  <w:tcPr>
                    <w:tcW w:w="5000" w:type="pct"/>
                    <w:gridSpan w:val="3"/>
                    <w:tcBorders>
                      <w:top w:val="single" w:sz="6" w:space="0" w:color="auto"/>
                      <w:left w:val="single" w:sz="4" w:space="0" w:color="auto"/>
                      <w:bottom w:val="single" w:sz="6" w:space="0" w:color="auto"/>
                      <w:right w:val="single" w:sz="4" w:space="0" w:color="auto"/>
                    </w:tcBorders>
                    <w:shd w:val="clear" w:color="auto" w:fill="auto"/>
                    <w:vAlign w:val="center"/>
                  </w:tcPr>
                  <w:p w14:paraId="68F77D9F" w14:textId="77777777" w:rsidR="007E7472" w:rsidRDefault="00EC1269">
                    <w:r>
                      <w:rPr>
                        <w:rFonts w:cs="Arial" w:hint="eastAsia"/>
                        <w:color w:val="000000"/>
                        <w:lang w:val="en-GB"/>
                      </w:rPr>
                      <w:t>下列各项按持股比例计算的合计数</w:t>
                    </w:r>
                  </w:p>
                </w:tc>
              </w:sdtContent>
            </w:sdt>
          </w:tr>
          <w:tr w:rsidR="007E7472" w14:paraId="5F5D273E" w14:textId="77777777">
            <w:trPr>
              <w:jc w:val="center"/>
            </w:trPr>
            <w:sdt>
              <w:sdtPr>
                <w:tag w:val="_PLD_4bb9c04db78d44db8ec834da9e330d51"/>
                <w:id w:val="-1418865477"/>
                <w:lock w:val="sdtLocked"/>
              </w:sdtPr>
              <w:sdtEndPr/>
              <w:sdtContent>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14:paraId="4F8ACEED" w14:textId="77777777" w:rsidR="007E7472" w:rsidRDefault="00EC1269">
                    <w:pPr>
                      <w:rPr>
                        <w:rFonts w:cs="Arial"/>
                        <w:color w:val="000000"/>
                      </w:rPr>
                    </w:pPr>
                    <w:r>
                      <w:rPr>
                        <w:rFonts w:cs="Arial"/>
                        <w:color w:val="000000"/>
                      </w:rPr>
                      <w:t>--</w:t>
                    </w:r>
                    <w:r>
                      <w:rPr>
                        <w:rFonts w:cs="Arial" w:hint="eastAsia"/>
                        <w:color w:val="000000"/>
                        <w:lang w:val="en-GB"/>
                      </w:rPr>
                      <w:t>净利润</w:t>
                    </w:r>
                  </w:p>
                </w:tc>
              </w:sdtContent>
            </w:sdt>
            <w:tc>
              <w:tcPr>
                <w:tcW w:w="1697" w:type="pct"/>
                <w:tcBorders>
                  <w:top w:val="single" w:sz="6" w:space="0" w:color="auto"/>
                  <w:left w:val="single" w:sz="6" w:space="0" w:color="auto"/>
                  <w:bottom w:val="single" w:sz="6" w:space="0" w:color="auto"/>
                  <w:right w:val="single" w:sz="6" w:space="0" w:color="auto"/>
                </w:tcBorders>
              </w:tcPr>
              <w:p w14:paraId="1B312C72" w14:textId="69058B61" w:rsidR="007E7472" w:rsidRDefault="00913748">
                <w:pPr>
                  <w:jc w:val="right"/>
                </w:pPr>
                <w:r w:rsidRPr="00462D73">
                  <w:t>52,935</w:t>
                </w:r>
              </w:p>
            </w:tc>
            <w:tc>
              <w:tcPr>
                <w:tcW w:w="1699" w:type="pct"/>
                <w:tcBorders>
                  <w:top w:val="single" w:sz="6" w:space="0" w:color="auto"/>
                  <w:left w:val="single" w:sz="6" w:space="0" w:color="auto"/>
                  <w:bottom w:val="single" w:sz="6" w:space="0" w:color="auto"/>
                  <w:right w:val="single" w:sz="4" w:space="0" w:color="auto"/>
                </w:tcBorders>
              </w:tcPr>
              <w:p w14:paraId="4882DCCB" w14:textId="77777777" w:rsidR="007E7472" w:rsidRDefault="00EC1269">
                <w:pPr>
                  <w:jc w:val="right"/>
                </w:pPr>
                <w:r>
                  <w:rPr>
                    <w:rFonts w:hint="eastAsia"/>
                  </w:rPr>
                  <w:t>77,252</w:t>
                </w:r>
              </w:p>
            </w:tc>
          </w:tr>
          <w:tr w:rsidR="007E7472" w14:paraId="75690B62" w14:textId="77777777">
            <w:trPr>
              <w:jc w:val="center"/>
            </w:trPr>
            <w:sdt>
              <w:sdtPr>
                <w:tag w:val="_PLD_861ee8b21c034bf6a2fe80950a41eead"/>
                <w:id w:val="1673997264"/>
                <w:lock w:val="sdtLocked"/>
              </w:sdtPr>
              <w:sdtEndPr/>
              <w:sdtContent>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14:paraId="13B76B04" w14:textId="77777777" w:rsidR="007E7472" w:rsidRDefault="00EC1269">
                    <w:pPr>
                      <w:rPr>
                        <w:rFonts w:cs="Arial"/>
                        <w:color w:val="000000"/>
                      </w:rPr>
                    </w:pPr>
                    <w:r>
                      <w:rPr>
                        <w:rFonts w:cs="Arial"/>
                        <w:color w:val="000000"/>
                      </w:rPr>
                      <w:t>--</w:t>
                    </w:r>
                    <w:r>
                      <w:rPr>
                        <w:rFonts w:cs="Arial" w:hint="eastAsia"/>
                        <w:color w:val="000000"/>
                        <w:lang w:val="en-GB"/>
                      </w:rPr>
                      <w:t>其他综合收益</w:t>
                    </w:r>
                  </w:p>
                </w:tc>
              </w:sdtContent>
            </w:sdt>
            <w:tc>
              <w:tcPr>
                <w:tcW w:w="1697" w:type="pct"/>
                <w:tcBorders>
                  <w:top w:val="single" w:sz="6" w:space="0" w:color="auto"/>
                  <w:left w:val="single" w:sz="6" w:space="0" w:color="auto"/>
                  <w:bottom w:val="single" w:sz="6" w:space="0" w:color="auto"/>
                  <w:right w:val="single" w:sz="6" w:space="0" w:color="auto"/>
                </w:tcBorders>
              </w:tcPr>
              <w:p w14:paraId="7E9124BB" w14:textId="77777777" w:rsidR="007E7472" w:rsidRDefault="00EC1269">
                <w:pPr>
                  <w:jc w:val="right"/>
                </w:pPr>
                <w:r>
                  <w:t>5,190</w:t>
                </w:r>
              </w:p>
            </w:tc>
            <w:tc>
              <w:tcPr>
                <w:tcW w:w="1699" w:type="pct"/>
                <w:tcBorders>
                  <w:top w:val="single" w:sz="6" w:space="0" w:color="auto"/>
                  <w:left w:val="single" w:sz="6" w:space="0" w:color="auto"/>
                  <w:bottom w:val="single" w:sz="6" w:space="0" w:color="auto"/>
                  <w:right w:val="single" w:sz="4" w:space="0" w:color="auto"/>
                </w:tcBorders>
              </w:tcPr>
              <w:p w14:paraId="213B278D" w14:textId="77777777" w:rsidR="007E7472" w:rsidRDefault="00C8327E">
                <w:pPr>
                  <w:jc w:val="right"/>
                </w:pPr>
              </w:p>
            </w:tc>
          </w:tr>
          <w:tr w:rsidR="007E7472" w14:paraId="385E262F" w14:textId="77777777">
            <w:trPr>
              <w:jc w:val="center"/>
            </w:trPr>
            <w:sdt>
              <w:sdtPr>
                <w:tag w:val="_PLD_53750ad8db9448d19b3096748652d9bc"/>
                <w:id w:val="571161869"/>
                <w:lock w:val="sdtLocked"/>
              </w:sdtPr>
              <w:sdtEndPr/>
              <w:sdtContent>
                <w:tc>
                  <w:tcPr>
                    <w:tcW w:w="1604" w:type="pct"/>
                    <w:tcBorders>
                      <w:top w:val="single" w:sz="6" w:space="0" w:color="auto"/>
                      <w:left w:val="single" w:sz="4" w:space="0" w:color="auto"/>
                      <w:bottom w:val="single" w:sz="4" w:space="0" w:color="auto"/>
                      <w:right w:val="single" w:sz="6" w:space="0" w:color="auto"/>
                    </w:tcBorders>
                    <w:shd w:val="clear" w:color="auto" w:fill="auto"/>
                    <w:vAlign w:val="center"/>
                  </w:tcPr>
                  <w:p w14:paraId="59E6B386" w14:textId="77777777" w:rsidR="007E7472" w:rsidRDefault="00EC1269">
                    <w:pPr>
                      <w:rPr>
                        <w:rFonts w:cs="Arial"/>
                        <w:color w:val="000000"/>
                      </w:rPr>
                    </w:pPr>
                    <w:r>
                      <w:rPr>
                        <w:rFonts w:cs="Arial"/>
                        <w:color w:val="000000"/>
                      </w:rPr>
                      <w:t>--</w:t>
                    </w:r>
                    <w:r>
                      <w:rPr>
                        <w:rFonts w:cs="Arial" w:hint="eastAsia"/>
                        <w:color w:val="000000"/>
                        <w:lang w:val="en-GB"/>
                      </w:rPr>
                      <w:t>综合收益总额</w:t>
                    </w:r>
                  </w:p>
                </w:tc>
              </w:sdtContent>
            </w:sdt>
            <w:tc>
              <w:tcPr>
                <w:tcW w:w="1697" w:type="pct"/>
                <w:tcBorders>
                  <w:top w:val="single" w:sz="6" w:space="0" w:color="auto"/>
                  <w:left w:val="single" w:sz="6" w:space="0" w:color="auto"/>
                  <w:bottom w:val="single" w:sz="4" w:space="0" w:color="auto"/>
                  <w:right w:val="single" w:sz="6" w:space="0" w:color="auto"/>
                </w:tcBorders>
              </w:tcPr>
              <w:p w14:paraId="0281FE84" w14:textId="5A952809" w:rsidR="007E7472" w:rsidRDefault="00913748">
                <w:pPr>
                  <w:jc w:val="right"/>
                </w:pPr>
                <w:r w:rsidRPr="00462D73">
                  <w:t>58,125</w:t>
                </w:r>
              </w:p>
            </w:tc>
            <w:tc>
              <w:tcPr>
                <w:tcW w:w="1699" w:type="pct"/>
                <w:tcBorders>
                  <w:top w:val="single" w:sz="6" w:space="0" w:color="auto"/>
                  <w:left w:val="single" w:sz="6" w:space="0" w:color="auto"/>
                  <w:bottom w:val="single" w:sz="4" w:space="0" w:color="auto"/>
                  <w:right w:val="single" w:sz="4" w:space="0" w:color="auto"/>
                </w:tcBorders>
              </w:tcPr>
              <w:p w14:paraId="500DB178" w14:textId="77777777" w:rsidR="007E7472" w:rsidRDefault="00EC1269">
                <w:pPr>
                  <w:jc w:val="right"/>
                </w:pPr>
                <w:r>
                  <w:rPr>
                    <w:rFonts w:hint="eastAsia"/>
                  </w:rPr>
                  <w:t>77,252</w:t>
                </w:r>
              </w:p>
            </w:tc>
          </w:tr>
        </w:tbl>
      </w:sdtContent>
    </w:sdt>
    <w:sdt>
      <w:sdtPr>
        <w:rPr>
          <w:rFonts w:ascii="宋体" w:hAnsi="宋体" w:cs="Arial" w:hint="eastAsia"/>
          <w:b w:val="0"/>
          <w:bCs w:val="0"/>
          <w:kern w:val="0"/>
          <w:szCs w:val="21"/>
        </w:rPr>
        <w:alias w:val="模块:合营企业或联营企业向公司转移资金的能力存在重大限制的说明"/>
        <w:tag w:val="_GBC_2874973c28b34357bf81a60947721baa"/>
        <w:id w:val="-660543813"/>
        <w:lock w:val="sdtLocked"/>
        <w:placeholder>
          <w:docPart w:val="GBC22222222222222222222222222222"/>
        </w:placeholder>
      </w:sdtPr>
      <w:sdtEndPr/>
      <w:sdtContent>
        <w:p w14:paraId="0EEB9E89" w14:textId="77777777" w:rsidR="007E7472" w:rsidRDefault="00EC1269" w:rsidP="00162493">
          <w:pPr>
            <w:pStyle w:val="4"/>
            <w:numPr>
              <w:ilvl w:val="0"/>
              <w:numId w:val="105"/>
            </w:numPr>
            <w:rPr>
              <w:rFonts w:cs="Arial"/>
            </w:rPr>
          </w:pPr>
          <w:r>
            <w:rPr>
              <w:rFonts w:cs="Arial" w:hint="eastAsia"/>
            </w:rPr>
            <w:t>合营企业或联营企业向本公司转移资金的能力存在重大限制的说明</w:t>
          </w:r>
        </w:p>
        <w:sdt>
          <w:sdtPr>
            <w:alias w:val="是否适用：合营企业或联营企业向本公司转移资金的能力存在重大限制的说明[双击切换]"/>
            <w:tag w:val="_GBC_73dfba3df3e24fc2a5b5ede5fa8d6f09"/>
            <w:id w:val="-1479916352"/>
            <w:lock w:val="sdtLocked"/>
            <w:placeholder>
              <w:docPart w:val="GBC22222222222222222222222222222"/>
            </w:placeholder>
          </w:sdtPr>
          <w:sdtEndPr/>
          <w:sdtContent>
            <w:p w14:paraId="002DAFDC"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3C04656" w14:textId="77777777" w:rsidR="007E7472" w:rsidRDefault="00C8327E">
          <w:pPr>
            <w:rPr>
              <w:rFonts w:cs="Arial"/>
            </w:rPr>
          </w:pPr>
        </w:p>
      </w:sdtContent>
    </w:sdt>
    <w:sdt>
      <w:sdtPr>
        <w:rPr>
          <w:rFonts w:ascii="宋体" w:hAnsi="宋体" w:cs="Arial" w:hint="eastAsia"/>
          <w:b w:val="0"/>
          <w:bCs w:val="0"/>
          <w:kern w:val="0"/>
          <w:szCs w:val="21"/>
        </w:rPr>
        <w:alias w:val="模块:合营企业或联营企业发生的超额亏损"/>
        <w:tag w:val="_GBC_a9980062c82d44acae24fae7368ea42f"/>
        <w:id w:val="706683927"/>
        <w:lock w:val="sdtLocked"/>
        <w:placeholder>
          <w:docPart w:val="GBC22222222222222222222222222222"/>
        </w:placeholder>
      </w:sdtPr>
      <w:sdtEndPr>
        <w:rPr>
          <w:rFonts w:cstheme="minorBidi" w:hint="default"/>
        </w:rPr>
      </w:sdtEndPr>
      <w:sdtContent>
        <w:p w14:paraId="32575305" w14:textId="77777777" w:rsidR="007E7472" w:rsidRDefault="00EC1269" w:rsidP="00162493">
          <w:pPr>
            <w:pStyle w:val="4"/>
            <w:numPr>
              <w:ilvl w:val="0"/>
              <w:numId w:val="105"/>
            </w:numPr>
            <w:rPr>
              <w:rFonts w:cs="Arial"/>
            </w:rPr>
          </w:pPr>
          <w:r>
            <w:rPr>
              <w:rFonts w:cs="Arial" w:hint="eastAsia"/>
            </w:rPr>
            <w:t>合营企业或联营企业发生的超额亏损</w:t>
          </w:r>
        </w:p>
        <w:sdt>
          <w:sdtPr>
            <w:alias w:val="是否适用：合营企业或联营企业发生的超额亏损[双击切换]"/>
            <w:tag w:val="_GBC_c30af0beca864d788c2fe12f47f13428"/>
            <w:id w:val="-278330298"/>
            <w:lock w:val="sdtLocked"/>
            <w:placeholder>
              <w:docPart w:val="GBC22222222222222222222222222222"/>
            </w:placeholder>
          </w:sdtPr>
          <w:sdtEndPr/>
          <w:sdtContent>
            <w:p w14:paraId="5B18BFC1"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F814041" w14:textId="77777777" w:rsidR="007E7472" w:rsidRDefault="00C8327E">
          <w:pPr>
            <w:rPr>
              <w:rFonts w:cs="Arial"/>
            </w:rPr>
          </w:pPr>
        </w:p>
      </w:sdtContent>
    </w:sdt>
    <w:p w14:paraId="7C8AE217" w14:textId="77777777" w:rsidR="007E7472" w:rsidRDefault="00C8327E">
      <w:pPr>
        <w:rPr>
          <w:rFonts w:cs="Arial"/>
        </w:rPr>
      </w:pPr>
    </w:p>
    <w:sdt>
      <w:sdtPr>
        <w:rPr>
          <w:rFonts w:ascii="宋体" w:hAnsi="宋体" w:cs="Arial" w:hint="eastAsia"/>
          <w:b w:val="0"/>
          <w:bCs w:val="0"/>
          <w:kern w:val="0"/>
          <w:szCs w:val="21"/>
        </w:rPr>
        <w:alias w:val="模块:与合营企业投资相关的未确认承诺"/>
        <w:tag w:val="_GBC_da055842bf8c4e9598b87bd760d969ec"/>
        <w:id w:val="-1680965908"/>
        <w:lock w:val="sdtLocked"/>
        <w:placeholder>
          <w:docPart w:val="GBC22222222222222222222222222222"/>
        </w:placeholder>
      </w:sdtPr>
      <w:sdtEndPr/>
      <w:sdtContent>
        <w:p w14:paraId="77107C72" w14:textId="77777777" w:rsidR="007E7472" w:rsidRDefault="00EC1269" w:rsidP="00162493">
          <w:pPr>
            <w:pStyle w:val="4"/>
            <w:numPr>
              <w:ilvl w:val="0"/>
              <w:numId w:val="105"/>
            </w:numPr>
            <w:rPr>
              <w:rFonts w:cs="Arial"/>
            </w:rPr>
          </w:pPr>
          <w:r>
            <w:rPr>
              <w:rFonts w:cs="Arial" w:hint="eastAsia"/>
            </w:rPr>
            <w:t>与合营企业投资相关的未确认承诺</w:t>
          </w:r>
        </w:p>
        <w:sdt>
          <w:sdtPr>
            <w:alias w:val="是否适用：与合营企业投资相关的未确认承诺[双击切换]"/>
            <w:tag w:val="_GBC_9d014d8b476148b59476808a5cda81d8"/>
            <w:id w:val="1917816605"/>
            <w:lock w:val="sdtLocked"/>
            <w:placeholder>
              <w:docPart w:val="GBC22222222222222222222222222222"/>
            </w:placeholder>
          </w:sdtPr>
          <w:sdtEndPr/>
          <w:sdtContent>
            <w:p w14:paraId="4E83176D" w14:textId="77777777" w:rsidR="007E7472" w:rsidRDefault="00EC1269">
              <w:pPr>
                <w:rPr>
                  <w:rFonts w:cs="Arial"/>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16268DBD" w14:textId="77777777" w:rsidR="007E7472" w:rsidRDefault="00C8327E">
      <w:pPr>
        <w:rPr>
          <w:rFonts w:cs="Arial"/>
        </w:rPr>
      </w:pPr>
    </w:p>
    <w:sdt>
      <w:sdtPr>
        <w:rPr>
          <w:rFonts w:ascii="宋体" w:hAnsi="宋体" w:cs="Arial" w:hint="eastAsia"/>
          <w:b w:val="0"/>
          <w:bCs w:val="0"/>
          <w:kern w:val="0"/>
          <w:szCs w:val="21"/>
        </w:rPr>
        <w:alias w:val="模块:与合营企业或联营企业投资相关的或有负债"/>
        <w:tag w:val="_GBC_1f803def681a42ba91cdde709a067b3f"/>
        <w:id w:val="-171342303"/>
        <w:lock w:val="sdtLocked"/>
        <w:placeholder>
          <w:docPart w:val="GBC22222222222222222222222222222"/>
        </w:placeholder>
      </w:sdtPr>
      <w:sdtEndPr/>
      <w:sdtContent>
        <w:p w14:paraId="601836AB" w14:textId="77777777" w:rsidR="007E7472" w:rsidRDefault="00EC1269" w:rsidP="00162493">
          <w:pPr>
            <w:pStyle w:val="4"/>
            <w:numPr>
              <w:ilvl w:val="0"/>
              <w:numId w:val="105"/>
            </w:numPr>
            <w:rPr>
              <w:rFonts w:cs="Arial"/>
            </w:rPr>
          </w:pPr>
          <w:r>
            <w:rPr>
              <w:rFonts w:cs="Arial" w:hint="eastAsia"/>
            </w:rPr>
            <w:t>与合营企业或联营企业投资相关的或有负债</w:t>
          </w:r>
        </w:p>
        <w:sdt>
          <w:sdtPr>
            <w:alias w:val="是否适用：与合营企业或联营企业投资相关的或有负债[双击切换]"/>
            <w:tag w:val="_GBC_caba618be81b4cb1acf89073549a456a"/>
            <w:id w:val="-2099786535"/>
            <w:lock w:val="sdtLocked"/>
            <w:placeholder>
              <w:docPart w:val="GBC22222222222222222222222222222"/>
            </w:placeholder>
          </w:sdtPr>
          <w:sdtEndPr/>
          <w:sdtContent>
            <w:p w14:paraId="1BF62201" w14:textId="77777777" w:rsidR="007E7472" w:rsidRDefault="00EC1269">
              <w:pPr>
                <w:rPr>
                  <w:rFonts w:cs="Arial"/>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4C8338B5" w14:textId="77777777" w:rsidR="007E7472" w:rsidRDefault="00C8327E">
      <w:pPr>
        <w:rPr>
          <w:rFonts w:cs="Arial"/>
        </w:rPr>
      </w:pPr>
    </w:p>
    <w:sdt>
      <w:sdtPr>
        <w:rPr>
          <w:rFonts w:cs="Arial" w:hint="eastAsia"/>
        </w:rPr>
        <w:alias w:val="模块:重要的共同经营"/>
        <w:tag w:val="_GBC_90d44eb1222944759107483908112493"/>
        <w:id w:val="1177851980"/>
        <w:lock w:val="sdtLocked"/>
        <w:placeholder>
          <w:docPart w:val="GBC22222222222222222222222222222"/>
        </w:placeholder>
      </w:sdtPr>
      <w:sdtEndPr>
        <w:rPr>
          <w:rFonts w:cstheme="minorBidi" w:hint="default"/>
        </w:rPr>
      </w:sdtEndPr>
      <w:sdtContent>
        <w:p w14:paraId="6123685F" w14:textId="77777777" w:rsidR="007E7472" w:rsidRPr="00951C25" w:rsidRDefault="00EC1269" w:rsidP="00162493">
          <w:pPr>
            <w:numPr>
              <w:ilvl w:val="2"/>
              <w:numId w:val="102"/>
            </w:numPr>
            <w:outlineLvl w:val="2"/>
            <w:rPr>
              <w:rFonts w:cs="Arial"/>
              <w:b/>
            </w:rPr>
          </w:pPr>
          <w:r w:rsidRPr="00951C25">
            <w:rPr>
              <w:rFonts w:cs="Arial" w:hint="eastAsia"/>
              <w:b/>
            </w:rPr>
            <w:t>重要的共同经营</w:t>
          </w:r>
        </w:p>
        <w:sdt>
          <w:sdtPr>
            <w:alias w:val="是否适用：重要的共同经营[双击切换]"/>
            <w:tag w:val="_GBC_7911b1c8195d4c20b2800b1c5ac94a93"/>
            <w:id w:val="-281802678"/>
            <w:lock w:val="sdtLocked"/>
            <w:placeholder>
              <w:docPart w:val="GBC22222222222222222222222222222"/>
            </w:placeholder>
          </w:sdtPr>
          <w:sdtEndPr/>
          <w:sdtContent>
            <w:p w14:paraId="2667DE94"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9D293FA" w14:textId="77777777" w:rsidR="007E7472" w:rsidRDefault="00C8327E">
          <w:pPr>
            <w:rPr>
              <w:rFonts w:cs="Arial"/>
            </w:rPr>
          </w:pPr>
        </w:p>
      </w:sdtContent>
    </w:sdt>
    <w:p w14:paraId="1E83D136" w14:textId="77777777" w:rsidR="007E7472" w:rsidRDefault="00C8327E">
      <w:pPr>
        <w:rPr>
          <w:rFonts w:cs="Arial"/>
        </w:rPr>
      </w:pPr>
    </w:p>
    <w:sdt>
      <w:sdtPr>
        <w:rPr>
          <w:rFonts w:cs="Arial" w:hint="eastAsia"/>
        </w:rPr>
        <w:alias w:val="模块:在未纳入合并财务报表范围的结构化主体中的权益"/>
        <w:tag w:val="_GBC_5cfea65e45c44f1b9fdec762be35880d"/>
        <w:id w:val="1578548142"/>
        <w:lock w:val="sdtLocked"/>
        <w:placeholder>
          <w:docPart w:val="GBC22222222222222222222222222222"/>
        </w:placeholder>
      </w:sdtPr>
      <w:sdtEndPr/>
      <w:sdtContent>
        <w:p w14:paraId="41FDD3F7" w14:textId="77777777" w:rsidR="007E7472" w:rsidRPr="00951C25" w:rsidRDefault="00EC1269" w:rsidP="00162493">
          <w:pPr>
            <w:numPr>
              <w:ilvl w:val="2"/>
              <w:numId w:val="102"/>
            </w:numPr>
            <w:outlineLvl w:val="2"/>
            <w:rPr>
              <w:rFonts w:cs="Arial"/>
              <w:b/>
            </w:rPr>
          </w:pPr>
          <w:r w:rsidRPr="00951C25">
            <w:rPr>
              <w:rFonts w:cs="Arial" w:hint="eastAsia"/>
              <w:b/>
            </w:rPr>
            <w:t>在未纳入合并财务报表范围的结构化主体中的权益</w:t>
          </w:r>
        </w:p>
        <w:p w14:paraId="41B99248" w14:textId="77777777" w:rsidR="007E7472" w:rsidRDefault="00EC1269">
          <w:pPr>
            <w:rPr>
              <w:rFonts w:cs="Arial"/>
            </w:rPr>
          </w:pPr>
          <w:r>
            <w:rPr>
              <w:rFonts w:cs="Arial" w:hint="eastAsia"/>
            </w:rPr>
            <w:t>未纳入合并财务报表范围的结构化主体的相关说明：</w:t>
          </w:r>
        </w:p>
        <w:sdt>
          <w:sdtPr>
            <w:rPr>
              <w:rFonts w:cs="Arial"/>
            </w:rPr>
            <w:alias w:val="是否适用：未纳入合并财务报表范围的结构化主体的相关说明[双击切换]"/>
            <w:tag w:val="_GBC_48eb6d215e5341c694f98d18f5889902"/>
            <w:id w:val="-17241627"/>
            <w:lock w:val="sdtLocked"/>
            <w:placeholder>
              <w:docPart w:val="GBC22222222222222222222222222222"/>
            </w:placeholder>
          </w:sdtPr>
          <w:sdtEndPr/>
          <w:sdtContent>
            <w:p w14:paraId="072DAF0C" w14:textId="77777777" w:rsidR="007E7472" w:rsidRDefault="00EC1269">
              <w:pPr>
                <w:rPr>
                  <w:rFonts w:cs="Arial"/>
                </w:rPr>
              </w:pPr>
              <w:r>
                <w:rPr>
                  <w:rFonts w:cs="Arial"/>
                </w:rPr>
                <w:fldChar w:fldCharType="begin"/>
              </w:r>
              <w:r>
                <w:rPr>
                  <w:rFonts w:cs="Arial"/>
                </w:rPr>
                <w:instrText xml:space="preserve"> MACROBUTTON  SnrToggleCheckbox □适用 </w:instrText>
              </w:r>
              <w:r>
                <w:rPr>
                  <w:rFonts w:cs="Arial"/>
                </w:rPr>
                <w:fldChar w:fldCharType="end"/>
              </w:r>
              <w:r>
                <w:rPr>
                  <w:rFonts w:cs="Arial"/>
                </w:rPr>
                <w:fldChar w:fldCharType="begin"/>
              </w:r>
              <w:r>
                <w:rPr>
                  <w:rFonts w:cs="Arial"/>
                </w:rPr>
                <w:instrText xml:space="preserve"> MACROBUTTON  SnrToggleCheckbox √不适用 </w:instrText>
              </w:r>
              <w:r>
                <w:rPr>
                  <w:rFonts w:cs="Arial"/>
                </w:rPr>
                <w:fldChar w:fldCharType="end"/>
              </w:r>
            </w:p>
          </w:sdtContent>
        </w:sdt>
        <w:p w14:paraId="7EA11F7F" w14:textId="77777777" w:rsidR="007E7472" w:rsidRDefault="00C8327E">
          <w:pPr>
            <w:rPr>
              <w:rFonts w:cs="Arial"/>
            </w:rPr>
          </w:pPr>
        </w:p>
      </w:sdtContent>
    </w:sdt>
    <w:sdt>
      <w:sdtPr>
        <w:rPr>
          <w:rFonts w:ascii="Times New Roman" w:hAnsi="Times New Roman" w:cs="Arial" w:hint="eastAsia"/>
        </w:rPr>
        <w:alias w:val="模块:在其他主体中的权益其他需要说明的事项"/>
        <w:tag w:val="_GBC_b24eb633f5244c748225389f3b3cedd1"/>
        <w:id w:val="1896542745"/>
        <w:lock w:val="sdtLocked"/>
        <w:placeholder>
          <w:docPart w:val="GBC22222222222222222222222222222"/>
        </w:placeholder>
      </w:sdtPr>
      <w:sdtEndPr/>
      <w:sdtContent>
        <w:p w14:paraId="06423790" w14:textId="77777777" w:rsidR="007E7472" w:rsidRPr="00951C25" w:rsidRDefault="00EC1269" w:rsidP="00162493">
          <w:pPr>
            <w:numPr>
              <w:ilvl w:val="2"/>
              <w:numId w:val="102"/>
            </w:numPr>
            <w:outlineLvl w:val="2"/>
            <w:rPr>
              <w:rFonts w:cs="Arial"/>
              <w:b/>
            </w:rPr>
          </w:pPr>
          <w:r w:rsidRPr="00951C25">
            <w:rPr>
              <w:rFonts w:cs="Arial" w:hint="eastAsia"/>
              <w:b/>
            </w:rPr>
            <w:t>其他</w:t>
          </w:r>
        </w:p>
        <w:sdt>
          <w:sdtPr>
            <w:alias w:val="是否适用：在其他主体中的权益其他需要说明的事项[双击切换]"/>
            <w:tag w:val="_GBC_ad8b7a7df0724efaa681a931c91befff"/>
            <w:id w:val="1641545789"/>
            <w:lock w:val="sdtLocked"/>
            <w:placeholder>
              <w:docPart w:val="GBC22222222222222222222222222222"/>
            </w:placeholder>
          </w:sdtPr>
          <w:sdtEndPr/>
          <w:sdtContent>
            <w:p w14:paraId="355A3C7F"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61CF9BEB" w14:textId="77777777" w:rsidR="007E7472" w:rsidRDefault="00C8327E"/>
    <w:sdt>
      <w:sdtPr>
        <w:rPr>
          <w:rFonts w:ascii="宋体" w:hAnsi="宋体" w:cs="宋体" w:hint="eastAsia"/>
          <w:b w:val="0"/>
          <w:bCs w:val="0"/>
          <w:kern w:val="0"/>
          <w:szCs w:val="24"/>
        </w:rPr>
        <w:alias w:val="模块:与金融工具相关的风险"/>
        <w:tag w:val="_GBC_815d628fea814e7191d23a3fcbe2783c"/>
        <w:id w:val="-822114975"/>
        <w:lock w:val="sdtLocked"/>
        <w:placeholder>
          <w:docPart w:val="GBC22222222222222222222222222222"/>
        </w:placeholder>
      </w:sdtPr>
      <w:sdtEndPr>
        <w:rPr>
          <w:szCs w:val="21"/>
        </w:rPr>
      </w:sdtEndPr>
      <w:sdtContent>
        <w:p w14:paraId="749D60A8" w14:textId="77777777" w:rsidR="007E7472" w:rsidRDefault="00EC1269" w:rsidP="00162493">
          <w:pPr>
            <w:pStyle w:val="2"/>
            <w:numPr>
              <w:ilvl w:val="0"/>
              <w:numId w:val="43"/>
            </w:numPr>
            <w:ind w:firstLineChars="0"/>
          </w:pPr>
          <w:r>
            <w:rPr>
              <w:rFonts w:hint="eastAsia"/>
            </w:rPr>
            <w:t>与金融工具相关的风险</w:t>
          </w:r>
        </w:p>
        <w:sdt>
          <w:sdtPr>
            <w:alias w:val="是否适用：与金融工具相关的风险[双击切换]"/>
            <w:tag w:val="_GBC_c64d1e82474c4f20aebea3bef4cc2f0f"/>
            <w:id w:val="457303771"/>
            <w:lock w:val="sdtLocked"/>
            <w:placeholder>
              <w:docPart w:val="GBC22222222222222222222222222222"/>
            </w:placeholder>
          </w:sdtPr>
          <w:sdtEndPr/>
          <w:sdtContent>
            <w:p w14:paraId="54920883" w14:textId="77777777" w:rsidR="007E7472" w:rsidRDefault="00EC1269">
              <w:pPr>
                <w:rPr>
                  <w:b/>
                </w:rPr>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015D709F" w14:textId="77777777" w:rsidR="007E7472" w:rsidRDefault="00C8327E">
          <w:pPr>
            <w:rPr>
              <w:color w:val="808080"/>
            </w:rPr>
          </w:pPr>
        </w:p>
      </w:sdtContent>
    </w:sdt>
    <w:p w14:paraId="78B62DDE" w14:textId="77777777" w:rsidR="007E7472" w:rsidRDefault="00EC1269" w:rsidP="00162493">
      <w:pPr>
        <w:pStyle w:val="2"/>
        <w:numPr>
          <w:ilvl w:val="0"/>
          <w:numId w:val="43"/>
        </w:numPr>
        <w:ind w:firstLineChars="0"/>
      </w:pPr>
      <w:r>
        <w:rPr>
          <w:rFonts w:hint="eastAsia"/>
        </w:rPr>
        <w:t>公允价值的披露</w:t>
      </w:r>
    </w:p>
    <w:bookmarkStart w:id="275" w:name="_Hlk10539195" w:displacedByCustomXml="next"/>
    <w:sdt>
      <w:sdtPr>
        <w:rPr>
          <w:rFonts w:hint="eastAsia"/>
          <w:szCs w:val="24"/>
        </w:rPr>
        <w:alias w:val="模块:以公允价值计量的资产和负债的期末公允价值"/>
        <w:tag w:val="_GBC_b5067cea5bbf475388ac2623e2c669d7"/>
        <w:id w:val="-11614674"/>
        <w:lock w:val="sdtLocked"/>
        <w:placeholder>
          <w:docPart w:val="GBC22222222222222222222222222222"/>
        </w:placeholder>
      </w:sdtPr>
      <w:sdtEndPr>
        <w:rPr>
          <w:rFonts w:cstheme="minorBidi"/>
          <w:szCs w:val="21"/>
        </w:rPr>
      </w:sdtEndPr>
      <w:sdtContent>
        <w:p w14:paraId="000AA101" w14:textId="77777777" w:rsidR="007E7472" w:rsidRPr="00925934" w:rsidRDefault="00EC1269" w:rsidP="00162493">
          <w:pPr>
            <w:numPr>
              <w:ilvl w:val="2"/>
              <w:numId w:val="106"/>
            </w:numPr>
            <w:outlineLvl w:val="2"/>
            <w:rPr>
              <w:b/>
            </w:rPr>
          </w:pPr>
          <w:r w:rsidRPr="00925934">
            <w:rPr>
              <w:rFonts w:hint="eastAsia"/>
              <w:b/>
            </w:rPr>
            <w:t>以公允价值计量的资产和负债的期末公允价值</w:t>
          </w:r>
        </w:p>
        <w:sdt>
          <w:sdtPr>
            <w:alias w:val="是否适用：以公允价值计量的资产和负债的期末公允价值[双击切换]"/>
            <w:tag w:val="_GBC_291486261b6a4e8092eea55d961b7664"/>
            <w:id w:val="1123265626"/>
            <w:lock w:val="sdtLocked"/>
            <w:placeholder>
              <w:docPart w:val="GBC22222222222222222222222222222"/>
            </w:placeholder>
          </w:sdtPr>
          <w:sdtEndPr/>
          <w:sdtContent>
            <w:p w14:paraId="32CF4C0D"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5A55A67" w14:textId="798969F1" w:rsidR="007E7472" w:rsidRDefault="00EC1269">
          <w:pPr>
            <w:jc w:val="right"/>
          </w:pPr>
          <w:r>
            <w:rPr>
              <w:rFonts w:hint="eastAsia"/>
            </w:rPr>
            <w:t>单位：</w:t>
          </w:r>
          <w:sdt>
            <w:sdtPr>
              <w:rPr>
                <w:rFonts w:hint="eastAsia"/>
              </w:rPr>
              <w:alias w:val="单位：财务附注：以公允价值计量的资产和负债的期末公允价值"/>
              <w:tag w:val="_GBC_4b785696cde44d3f8a4a7d28ab963e38"/>
              <w:id w:val="18610008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以公允价值计量的资产和负债的期末公允价值"/>
              <w:tag w:val="_GBC_3bb5670d72804a4b8298edc3e439955a"/>
              <w:id w:val="9084282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63"/>
            <w:gridCol w:w="1666"/>
            <w:gridCol w:w="1627"/>
            <w:gridCol w:w="1692"/>
            <w:gridCol w:w="1475"/>
          </w:tblGrid>
          <w:tr w:rsidR="007E7472" w14:paraId="6A5DBE8D" w14:textId="77777777" w:rsidTr="007E7472">
            <w:trPr>
              <w:trHeight w:val="437"/>
            </w:trPr>
            <w:sdt>
              <w:sdtPr>
                <w:tag w:val="_PLD_25e2bb7801744f08a089c0e6a2b31b9b"/>
                <w:id w:val="-1101325636"/>
                <w:lock w:val="sdtLocked"/>
              </w:sdtPr>
              <w:sdtEndPr/>
              <w:sdtContent>
                <w:tc>
                  <w:tcPr>
                    <w:tcW w:w="1339" w:type="pct"/>
                    <w:vMerge w:val="restart"/>
                    <w:tcBorders>
                      <w:top w:val="single" w:sz="4" w:space="0" w:color="auto"/>
                      <w:left w:val="single" w:sz="4" w:space="0" w:color="auto"/>
                      <w:right w:val="single" w:sz="4" w:space="0" w:color="auto"/>
                    </w:tcBorders>
                    <w:shd w:val="clear" w:color="auto" w:fill="auto"/>
                    <w:vAlign w:val="center"/>
                  </w:tcPr>
                  <w:p w14:paraId="65422B5F" w14:textId="77777777" w:rsidR="007E7472" w:rsidRDefault="00913748" w:rsidP="007E7472">
                    <w:pPr>
                      <w:jc w:val="center"/>
                      <w:outlineLvl w:val="2"/>
                      <w:rPr>
                        <w:rFonts w:cs="Cambria"/>
                      </w:rPr>
                    </w:pPr>
                    <w:r>
                      <w:rPr>
                        <w:rFonts w:cs="Cambria" w:hint="eastAsia"/>
                      </w:rPr>
                      <w:t>项目</w:t>
                    </w:r>
                  </w:p>
                </w:tc>
              </w:sdtContent>
            </w:sdt>
            <w:sdt>
              <w:sdtPr>
                <w:tag w:val="_PLD_ad919f08ba5040a28e31328eb66da0bf"/>
                <w:id w:val="-381641265"/>
                <w:lock w:val="sdtLocked"/>
              </w:sdtPr>
              <w:sdtEndPr/>
              <w:sdtContent>
                <w:tc>
                  <w:tcPr>
                    <w:tcW w:w="366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686BF18" w14:textId="77777777" w:rsidR="007E7472" w:rsidRDefault="00913748" w:rsidP="007E7472">
                    <w:pPr>
                      <w:jc w:val="center"/>
                      <w:outlineLvl w:val="2"/>
                      <w:rPr>
                        <w:rFonts w:cs="Cambria"/>
                      </w:rPr>
                    </w:pPr>
                    <w:r>
                      <w:rPr>
                        <w:rFonts w:cs="Cambria" w:hint="eastAsia"/>
                      </w:rPr>
                      <w:t>期末公允价值</w:t>
                    </w:r>
                  </w:p>
                </w:tc>
              </w:sdtContent>
            </w:sdt>
          </w:tr>
          <w:tr w:rsidR="007E7472" w14:paraId="1D5EFBF6" w14:textId="77777777" w:rsidTr="007E7472">
            <w:trPr>
              <w:trHeight w:val="145"/>
            </w:trPr>
            <w:tc>
              <w:tcPr>
                <w:tcW w:w="1339" w:type="pct"/>
                <w:vMerge/>
                <w:tcBorders>
                  <w:left w:val="single" w:sz="4" w:space="0" w:color="auto"/>
                  <w:bottom w:val="single" w:sz="4" w:space="0" w:color="auto"/>
                  <w:right w:val="single" w:sz="4" w:space="0" w:color="auto"/>
                </w:tcBorders>
                <w:shd w:val="clear" w:color="auto" w:fill="auto"/>
                <w:vAlign w:val="center"/>
              </w:tcPr>
              <w:p w14:paraId="29642853" w14:textId="77777777" w:rsidR="007E7472" w:rsidRDefault="00C8327E" w:rsidP="007E7472">
                <w:pPr>
                  <w:jc w:val="center"/>
                  <w:outlineLvl w:val="2"/>
                  <w:rPr>
                    <w:rFonts w:cs="Cambria"/>
                  </w:rPr>
                </w:pPr>
              </w:p>
            </w:tc>
            <w:sdt>
              <w:sdtPr>
                <w:tag w:val="_PLD_4bb34c3d92bf450fb80f7c0c95977a2b"/>
                <w:id w:val="1890836651"/>
                <w:lock w:val="sdtLocked"/>
              </w:sdtPr>
              <w:sdtEndPr/>
              <w:sdtContent>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14:paraId="026BD0B9" w14:textId="77777777" w:rsidR="007E7472" w:rsidRDefault="00913748" w:rsidP="007E7472">
                    <w:pPr>
                      <w:jc w:val="center"/>
                      <w:outlineLvl w:val="2"/>
                      <w:rPr>
                        <w:rFonts w:cs="Cambria"/>
                      </w:rPr>
                    </w:pPr>
                    <w:r>
                      <w:rPr>
                        <w:rFonts w:cs="Cambria" w:hint="eastAsia"/>
                      </w:rPr>
                      <w:t>第一层次公允价值计量</w:t>
                    </w:r>
                  </w:p>
                </w:tc>
              </w:sdtContent>
            </w:sdt>
            <w:sdt>
              <w:sdtPr>
                <w:tag w:val="_PLD_08753059c9e04a10af2918fbc1559bed"/>
                <w:id w:val="1736045168"/>
                <w:lock w:val="sdtLocked"/>
              </w:sdtPr>
              <w:sdtEndPr/>
              <w:sdtContent>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14:paraId="7D32F124" w14:textId="77777777" w:rsidR="007E7472" w:rsidRDefault="00913748" w:rsidP="007E7472">
                    <w:pPr>
                      <w:jc w:val="center"/>
                      <w:outlineLvl w:val="2"/>
                      <w:rPr>
                        <w:rFonts w:cs="Cambria"/>
                      </w:rPr>
                    </w:pPr>
                    <w:r>
                      <w:rPr>
                        <w:rFonts w:cs="Cambria" w:hint="eastAsia"/>
                      </w:rPr>
                      <w:t>第二层次公允价值计量</w:t>
                    </w:r>
                  </w:p>
                </w:tc>
              </w:sdtContent>
            </w:sdt>
            <w:sdt>
              <w:sdtPr>
                <w:tag w:val="_PLD_b263de838c9c4afa9fddb6dee6409a62"/>
                <w:id w:val="734048889"/>
                <w:lock w:val="sdtLocked"/>
              </w:sdtPr>
              <w:sdtEndPr/>
              <w:sdtContent>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14:paraId="2659EB2B" w14:textId="77777777" w:rsidR="007E7472" w:rsidRDefault="00913748" w:rsidP="007E7472">
                    <w:pPr>
                      <w:jc w:val="center"/>
                      <w:outlineLvl w:val="2"/>
                      <w:rPr>
                        <w:rFonts w:cs="Cambria"/>
                      </w:rPr>
                    </w:pPr>
                    <w:r>
                      <w:rPr>
                        <w:rFonts w:cs="Cambria" w:hint="eastAsia"/>
                      </w:rPr>
                      <w:t>第三层次公允价值计量</w:t>
                    </w:r>
                  </w:p>
                </w:tc>
              </w:sdtContent>
            </w:sdt>
            <w:sdt>
              <w:sdtPr>
                <w:tag w:val="_PLD_50eba344a451417c8072228a7a4959c5"/>
                <w:id w:val="937097113"/>
                <w:lock w:val="sdtLocked"/>
              </w:sdtPr>
              <w:sdtEndPr/>
              <w:sdtContent>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14:paraId="629F8931" w14:textId="77777777" w:rsidR="007E7472" w:rsidRDefault="00913748" w:rsidP="007E7472">
                    <w:pPr>
                      <w:jc w:val="center"/>
                      <w:outlineLvl w:val="2"/>
                      <w:rPr>
                        <w:rFonts w:cs="Cambria"/>
                      </w:rPr>
                    </w:pPr>
                    <w:r>
                      <w:rPr>
                        <w:rFonts w:cs="Cambria" w:hint="eastAsia"/>
                      </w:rPr>
                      <w:t>合计</w:t>
                    </w:r>
                  </w:p>
                </w:tc>
              </w:sdtContent>
            </w:sdt>
          </w:tr>
          <w:sdt>
            <w:sdtPr>
              <w:rPr>
                <w:rFonts w:asciiTheme="minorEastAsia" w:hAnsiTheme="minorEastAsia" w:cs="Cambria"/>
              </w:rPr>
              <w:alias w:val="持续以公允价值计量的资产总额明细"/>
              <w:tag w:val="_TUP_e78f47dfe89a44bda0f59b05bd53aa70"/>
              <w:id w:val="448753526"/>
              <w:lock w:val="sdtLocked"/>
            </w:sdtPr>
            <w:sdtEndPr/>
            <w:sdtContent>
              <w:tr w:rsidR="007E7472" w14:paraId="3D5BDC34" w14:textId="77777777" w:rsidTr="007E7472">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14:paraId="54BCCE2E" w14:textId="77777777" w:rsidR="007E7472" w:rsidRDefault="00913748" w:rsidP="007E7472">
                    <w:pPr>
                      <w:outlineLvl w:val="2"/>
                      <w:rPr>
                        <w:rFonts w:asciiTheme="minorEastAsia" w:hAnsiTheme="minorEastAsia" w:cs="Cambria"/>
                      </w:rPr>
                    </w:pPr>
                    <w:r>
                      <w:t>1.交易性金融资产</w:t>
                    </w:r>
                  </w:p>
                </w:tc>
                <w:tc>
                  <w:tcPr>
                    <w:tcW w:w="944" w:type="pct"/>
                    <w:tcBorders>
                      <w:top w:val="single" w:sz="4" w:space="0" w:color="auto"/>
                      <w:left w:val="single" w:sz="4" w:space="0" w:color="auto"/>
                      <w:bottom w:val="single" w:sz="4" w:space="0" w:color="auto"/>
                      <w:right w:val="single" w:sz="4" w:space="0" w:color="auto"/>
                    </w:tcBorders>
                  </w:tcPr>
                  <w:p w14:paraId="6A3E9D9D" w14:textId="77777777" w:rsidR="007E7472" w:rsidRPr="00471389" w:rsidRDefault="00913748" w:rsidP="007E7472">
                    <w:pPr>
                      <w:jc w:val="right"/>
                      <w:outlineLvl w:val="2"/>
                      <w:rPr>
                        <w:rFonts w:asciiTheme="minorEastAsia" w:hAnsiTheme="minorEastAsia" w:cs="Cambria"/>
                      </w:rPr>
                    </w:pPr>
                    <w:r>
                      <w:t>1,246</w:t>
                    </w:r>
                  </w:p>
                </w:tc>
                <w:tc>
                  <w:tcPr>
                    <w:tcW w:w="922" w:type="pct"/>
                    <w:tcBorders>
                      <w:top w:val="single" w:sz="4" w:space="0" w:color="auto"/>
                      <w:left w:val="single" w:sz="4" w:space="0" w:color="auto"/>
                      <w:bottom w:val="single" w:sz="4" w:space="0" w:color="auto"/>
                      <w:right w:val="single" w:sz="4" w:space="0" w:color="auto"/>
                    </w:tcBorders>
                  </w:tcPr>
                  <w:p w14:paraId="7F31873E" w14:textId="77777777" w:rsidR="007E7472" w:rsidRDefault="00C8327E" w:rsidP="007E7472">
                    <w:pPr>
                      <w:jc w:val="right"/>
                      <w:outlineLvl w:val="2"/>
                      <w:rPr>
                        <w:rFonts w:asciiTheme="minorEastAsia" w:hAnsiTheme="minorEastAsia" w:cs="Cambria"/>
                      </w:rPr>
                    </w:pPr>
                  </w:p>
                </w:tc>
                <w:tc>
                  <w:tcPr>
                    <w:tcW w:w="959" w:type="pct"/>
                    <w:tcBorders>
                      <w:top w:val="single" w:sz="4" w:space="0" w:color="auto"/>
                      <w:left w:val="single" w:sz="4" w:space="0" w:color="auto"/>
                      <w:bottom w:val="single" w:sz="4" w:space="0" w:color="auto"/>
                      <w:right w:val="single" w:sz="4" w:space="0" w:color="auto"/>
                    </w:tcBorders>
                  </w:tcPr>
                  <w:p w14:paraId="2A1E555A" w14:textId="77777777" w:rsidR="007E7472" w:rsidRPr="00471389" w:rsidRDefault="00913748" w:rsidP="007E7472">
                    <w:pPr>
                      <w:jc w:val="right"/>
                      <w:outlineLvl w:val="2"/>
                      <w:rPr>
                        <w:rFonts w:asciiTheme="minorEastAsia" w:hAnsiTheme="minorEastAsia" w:cs="Cambria"/>
                      </w:rPr>
                    </w:pPr>
                    <w:r>
                      <w:t>111,485</w:t>
                    </w:r>
                  </w:p>
                </w:tc>
                <w:tc>
                  <w:tcPr>
                    <w:tcW w:w="836" w:type="pct"/>
                    <w:tcBorders>
                      <w:top w:val="single" w:sz="4" w:space="0" w:color="auto"/>
                      <w:left w:val="single" w:sz="4" w:space="0" w:color="auto"/>
                      <w:bottom w:val="single" w:sz="4" w:space="0" w:color="auto"/>
                      <w:right w:val="single" w:sz="4" w:space="0" w:color="auto"/>
                    </w:tcBorders>
                  </w:tcPr>
                  <w:p w14:paraId="68BD3309" w14:textId="77777777" w:rsidR="007E7472" w:rsidRPr="00471389" w:rsidRDefault="00913748" w:rsidP="007E7472">
                    <w:pPr>
                      <w:jc w:val="right"/>
                      <w:outlineLvl w:val="2"/>
                      <w:rPr>
                        <w:rFonts w:asciiTheme="minorEastAsia" w:hAnsiTheme="minorEastAsia" w:cs="Cambria"/>
                      </w:rPr>
                    </w:pPr>
                    <w:r>
                      <w:t>112,731</w:t>
                    </w:r>
                  </w:p>
                </w:tc>
              </w:tr>
            </w:sdtContent>
          </w:sdt>
          <w:sdt>
            <w:sdtPr>
              <w:rPr>
                <w:rFonts w:asciiTheme="minorEastAsia" w:hAnsiTheme="minorEastAsia" w:cs="Cambria"/>
              </w:rPr>
              <w:alias w:val="持续以公允价值计量的资产总额明细"/>
              <w:tag w:val="_TUP_e78f47dfe89a44bda0f59b05bd53aa70"/>
              <w:id w:val="1758406278"/>
              <w:lock w:val="sdtLocked"/>
            </w:sdtPr>
            <w:sdtEndPr/>
            <w:sdtContent>
              <w:tr w:rsidR="007E7472" w14:paraId="736C7B41" w14:textId="77777777" w:rsidTr="007E7472">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14:paraId="081B7B01" w14:textId="77777777" w:rsidR="007E7472" w:rsidRDefault="00913748" w:rsidP="007E7472">
                    <w:pPr>
                      <w:outlineLvl w:val="2"/>
                      <w:rPr>
                        <w:rFonts w:asciiTheme="minorEastAsia" w:hAnsiTheme="minorEastAsia" w:cs="Cambria"/>
                      </w:rPr>
                    </w:pPr>
                    <w:r>
                      <w:rPr>
                        <w:rFonts w:asciiTheme="minorEastAsia" w:hAnsiTheme="minorEastAsia" w:cs="Cambria"/>
                      </w:rPr>
                      <w:t>2.</w:t>
                    </w:r>
                    <w:r>
                      <w:rPr>
                        <w:rFonts w:asciiTheme="minorEastAsia" w:hAnsiTheme="minorEastAsia" w:cs="Cambria" w:hint="eastAsia"/>
                      </w:rPr>
                      <w:t>应收款项融资</w:t>
                    </w:r>
                  </w:p>
                </w:tc>
                <w:tc>
                  <w:tcPr>
                    <w:tcW w:w="944" w:type="pct"/>
                    <w:tcBorders>
                      <w:top w:val="single" w:sz="4" w:space="0" w:color="auto"/>
                      <w:left w:val="single" w:sz="4" w:space="0" w:color="auto"/>
                      <w:bottom w:val="single" w:sz="4" w:space="0" w:color="auto"/>
                      <w:right w:val="single" w:sz="4" w:space="0" w:color="auto"/>
                    </w:tcBorders>
                  </w:tcPr>
                  <w:p w14:paraId="214A8D1D" w14:textId="77777777" w:rsidR="007E7472" w:rsidRDefault="00C8327E" w:rsidP="007E7472">
                    <w:pPr>
                      <w:jc w:val="right"/>
                      <w:outlineLvl w:val="2"/>
                      <w:rPr>
                        <w:rFonts w:asciiTheme="minorEastAsia" w:hAnsiTheme="minorEastAsia" w:cs="Cambria"/>
                      </w:rPr>
                    </w:pPr>
                  </w:p>
                </w:tc>
                <w:tc>
                  <w:tcPr>
                    <w:tcW w:w="922" w:type="pct"/>
                    <w:tcBorders>
                      <w:top w:val="single" w:sz="4" w:space="0" w:color="auto"/>
                      <w:left w:val="single" w:sz="4" w:space="0" w:color="auto"/>
                      <w:bottom w:val="single" w:sz="4" w:space="0" w:color="auto"/>
                      <w:right w:val="single" w:sz="4" w:space="0" w:color="auto"/>
                    </w:tcBorders>
                  </w:tcPr>
                  <w:p w14:paraId="44144A68" w14:textId="77777777" w:rsidR="007E7472" w:rsidRDefault="00C8327E" w:rsidP="007E7472">
                    <w:pPr>
                      <w:jc w:val="right"/>
                      <w:outlineLvl w:val="2"/>
                      <w:rPr>
                        <w:rFonts w:asciiTheme="minorEastAsia" w:hAnsiTheme="minorEastAsia" w:cs="Cambria"/>
                      </w:rPr>
                    </w:pPr>
                  </w:p>
                </w:tc>
                <w:tc>
                  <w:tcPr>
                    <w:tcW w:w="959" w:type="pct"/>
                    <w:tcBorders>
                      <w:top w:val="single" w:sz="4" w:space="0" w:color="auto"/>
                      <w:left w:val="single" w:sz="4" w:space="0" w:color="auto"/>
                      <w:bottom w:val="single" w:sz="4" w:space="0" w:color="auto"/>
                      <w:right w:val="single" w:sz="4" w:space="0" w:color="auto"/>
                    </w:tcBorders>
                  </w:tcPr>
                  <w:p w14:paraId="59774C73" w14:textId="77777777" w:rsidR="007E7472" w:rsidRDefault="00913748" w:rsidP="007E7472">
                    <w:pPr>
                      <w:jc w:val="right"/>
                      <w:outlineLvl w:val="2"/>
                      <w:rPr>
                        <w:rFonts w:asciiTheme="minorEastAsia" w:hAnsiTheme="minorEastAsia" w:cs="Cambria"/>
                      </w:rPr>
                    </w:pPr>
                    <w:r>
                      <w:rPr>
                        <w:rFonts w:asciiTheme="minorEastAsia" w:hAnsiTheme="minorEastAsia" w:cs="Cambria" w:hint="eastAsia"/>
                      </w:rPr>
                      <w:t>5</w:t>
                    </w:r>
                    <w:r>
                      <w:rPr>
                        <w:rFonts w:asciiTheme="minorEastAsia" w:hAnsiTheme="minorEastAsia" w:cs="Cambria"/>
                      </w:rPr>
                      <w:t>,289,588</w:t>
                    </w:r>
                  </w:p>
                </w:tc>
                <w:tc>
                  <w:tcPr>
                    <w:tcW w:w="836" w:type="pct"/>
                    <w:tcBorders>
                      <w:top w:val="single" w:sz="4" w:space="0" w:color="auto"/>
                      <w:left w:val="single" w:sz="4" w:space="0" w:color="auto"/>
                      <w:bottom w:val="single" w:sz="4" w:space="0" w:color="auto"/>
                      <w:right w:val="single" w:sz="4" w:space="0" w:color="auto"/>
                    </w:tcBorders>
                  </w:tcPr>
                  <w:p w14:paraId="50BCBB5B" w14:textId="77777777" w:rsidR="007E7472" w:rsidRDefault="00913748" w:rsidP="007E7472">
                    <w:pPr>
                      <w:jc w:val="right"/>
                      <w:outlineLvl w:val="2"/>
                      <w:rPr>
                        <w:rFonts w:asciiTheme="minorEastAsia" w:hAnsiTheme="minorEastAsia" w:cs="Cambria"/>
                      </w:rPr>
                    </w:pPr>
                    <w:r>
                      <w:rPr>
                        <w:rFonts w:asciiTheme="minorEastAsia" w:hAnsiTheme="minorEastAsia" w:cs="Cambria"/>
                      </w:rPr>
                      <w:t>5,289,588</w:t>
                    </w:r>
                  </w:p>
                </w:tc>
              </w:tr>
            </w:sdtContent>
          </w:sdt>
          <w:sdt>
            <w:sdtPr>
              <w:rPr>
                <w:rFonts w:asciiTheme="minorEastAsia" w:hAnsiTheme="minorEastAsia" w:cs="Cambria"/>
              </w:rPr>
              <w:alias w:val="持续以公允价值计量的资产总额明细"/>
              <w:tag w:val="_TUP_e78f47dfe89a44bda0f59b05bd53aa70"/>
              <w:id w:val="912285941"/>
              <w:lock w:val="sdtLocked"/>
            </w:sdtPr>
            <w:sdtEndPr/>
            <w:sdtContent>
              <w:tr w:rsidR="007E7472" w14:paraId="75D128BC" w14:textId="77777777" w:rsidTr="007E7472">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14:paraId="23C16DB7" w14:textId="77777777" w:rsidR="007E7472" w:rsidRDefault="00913748" w:rsidP="007E7472">
                    <w:pPr>
                      <w:outlineLvl w:val="2"/>
                      <w:rPr>
                        <w:rFonts w:asciiTheme="minorEastAsia" w:hAnsiTheme="minorEastAsia" w:cs="Cambria"/>
                      </w:rPr>
                    </w:pPr>
                    <w:r w:rsidRPr="0036730E">
                      <w:rPr>
                        <w:rFonts w:asciiTheme="minorEastAsia" w:hAnsiTheme="minorEastAsia" w:cs="Cambria"/>
                      </w:rPr>
                      <w:t>3.其他权益工具投资</w:t>
                    </w:r>
                  </w:p>
                </w:tc>
                <w:tc>
                  <w:tcPr>
                    <w:tcW w:w="944" w:type="pct"/>
                    <w:tcBorders>
                      <w:top w:val="single" w:sz="4" w:space="0" w:color="auto"/>
                      <w:left w:val="single" w:sz="4" w:space="0" w:color="auto"/>
                      <w:bottom w:val="single" w:sz="4" w:space="0" w:color="auto"/>
                      <w:right w:val="single" w:sz="4" w:space="0" w:color="auto"/>
                    </w:tcBorders>
                  </w:tcPr>
                  <w:p w14:paraId="4E9ADE1F" w14:textId="77777777" w:rsidR="007E7472" w:rsidRDefault="00913748" w:rsidP="007E7472">
                    <w:pPr>
                      <w:jc w:val="right"/>
                      <w:outlineLvl w:val="2"/>
                      <w:rPr>
                        <w:rFonts w:asciiTheme="minorEastAsia" w:hAnsiTheme="minorEastAsia" w:cs="Cambria"/>
                      </w:rPr>
                    </w:pPr>
                    <w:r w:rsidRPr="0036730E">
                      <w:rPr>
                        <w:rFonts w:asciiTheme="minorEastAsia" w:hAnsiTheme="minorEastAsia" w:cs="Cambria"/>
                      </w:rPr>
                      <w:t>384</w:t>
                    </w:r>
                  </w:p>
                </w:tc>
                <w:tc>
                  <w:tcPr>
                    <w:tcW w:w="922" w:type="pct"/>
                    <w:tcBorders>
                      <w:top w:val="single" w:sz="4" w:space="0" w:color="auto"/>
                      <w:left w:val="single" w:sz="4" w:space="0" w:color="auto"/>
                      <w:bottom w:val="single" w:sz="4" w:space="0" w:color="auto"/>
                      <w:right w:val="single" w:sz="4" w:space="0" w:color="auto"/>
                    </w:tcBorders>
                  </w:tcPr>
                  <w:p w14:paraId="26482088" w14:textId="77777777" w:rsidR="007E7472" w:rsidRDefault="00C8327E" w:rsidP="007E7472">
                    <w:pPr>
                      <w:jc w:val="right"/>
                      <w:outlineLvl w:val="2"/>
                      <w:rPr>
                        <w:rFonts w:asciiTheme="minorEastAsia" w:hAnsiTheme="minorEastAsia" w:cs="Cambria"/>
                      </w:rPr>
                    </w:pPr>
                  </w:p>
                </w:tc>
                <w:tc>
                  <w:tcPr>
                    <w:tcW w:w="959" w:type="pct"/>
                    <w:tcBorders>
                      <w:top w:val="single" w:sz="4" w:space="0" w:color="auto"/>
                      <w:left w:val="single" w:sz="4" w:space="0" w:color="auto"/>
                      <w:bottom w:val="single" w:sz="4" w:space="0" w:color="auto"/>
                      <w:right w:val="single" w:sz="4" w:space="0" w:color="auto"/>
                    </w:tcBorders>
                  </w:tcPr>
                  <w:p w14:paraId="3814D002" w14:textId="77777777" w:rsidR="007E7472" w:rsidRDefault="00913748" w:rsidP="007E7472">
                    <w:pPr>
                      <w:jc w:val="right"/>
                      <w:outlineLvl w:val="2"/>
                      <w:rPr>
                        <w:rFonts w:asciiTheme="minorEastAsia" w:hAnsiTheme="minorEastAsia" w:cs="Cambria"/>
                      </w:rPr>
                    </w:pPr>
                    <w:r w:rsidRPr="0036730E">
                      <w:rPr>
                        <w:rFonts w:asciiTheme="minorEastAsia" w:hAnsiTheme="minorEastAsia" w:cs="Cambria"/>
                      </w:rPr>
                      <w:t>126,323</w:t>
                    </w:r>
                  </w:p>
                </w:tc>
                <w:tc>
                  <w:tcPr>
                    <w:tcW w:w="836" w:type="pct"/>
                    <w:tcBorders>
                      <w:top w:val="single" w:sz="4" w:space="0" w:color="auto"/>
                      <w:left w:val="single" w:sz="4" w:space="0" w:color="auto"/>
                      <w:bottom w:val="single" w:sz="4" w:space="0" w:color="auto"/>
                      <w:right w:val="single" w:sz="4" w:space="0" w:color="auto"/>
                    </w:tcBorders>
                  </w:tcPr>
                  <w:p w14:paraId="117CA4F6" w14:textId="77777777" w:rsidR="007E7472" w:rsidRDefault="00913748" w:rsidP="007E7472">
                    <w:pPr>
                      <w:jc w:val="right"/>
                      <w:outlineLvl w:val="2"/>
                      <w:rPr>
                        <w:rFonts w:asciiTheme="minorEastAsia" w:hAnsiTheme="minorEastAsia" w:cs="Cambria"/>
                      </w:rPr>
                    </w:pPr>
                    <w:r w:rsidRPr="0036730E">
                      <w:rPr>
                        <w:rFonts w:asciiTheme="minorEastAsia" w:hAnsiTheme="minorEastAsia" w:cs="Cambria"/>
                      </w:rPr>
                      <w:t>126,707</w:t>
                    </w:r>
                  </w:p>
                </w:tc>
              </w:tr>
            </w:sdtContent>
          </w:sdt>
          <w:sdt>
            <w:sdtPr>
              <w:rPr>
                <w:rFonts w:asciiTheme="minorEastAsia" w:hAnsiTheme="minorEastAsia" w:cs="Cambria"/>
              </w:rPr>
              <w:alias w:val="持续以公允价值计量的资产总额明细"/>
              <w:tag w:val="_TUP_e78f47dfe89a44bda0f59b05bd53aa70"/>
              <w:id w:val="-244806773"/>
              <w:lock w:val="sdtLocked"/>
            </w:sdtPr>
            <w:sdtEndPr/>
            <w:sdtContent>
              <w:tr w:rsidR="007E7472" w14:paraId="702C2862" w14:textId="77777777" w:rsidTr="007E7472">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14:paraId="7414BD6A" w14:textId="77777777" w:rsidR="007E7472" w:rsidRDefault="00913748" w:rsidP="007E7472">
                    <w:pPr>
                      <w:outlineLvl w:val="2"/>
                      <w:rPr>
                        <w:rFonts w:asciiTheme="minorEastAsia" w:hAnsiTheme="minorEastAsia" w:cs="Cambria"/>
                      </w:rPr>
                    </w:pPr>
                    <w:r>
                      <w:rPr>
                        <w:rFonts w:asciiTheme="minorEastAsia" w:hAnsiTheme="minorEastAsia" w:cs="Cambria"/>
                      </w:rPr>
                      <w:t>4.</w:t>
                    </w:r>
                    <w:r>
                      <w:rPr>
                        <w:rFonts w:asciiTheme="minorEastAsia" w:hAnsiTheme="minorEastAsia" w:cs="Cambria" w:hint="eastAsia"/>
                      </w:rPr>
                      <w:t>其他非流动金融资产</w:t>
                    </w:r>
                  </w:p>
                </w:tc>
                <w:tc>
                  <w:tcPr>
                    <w:tcW w:w="944" w:type="pct"/>
                    <w:tcBorders>
                      <w:top w:val="single" w:sz="4" w:space="0" w:color="auto"/>
                      <w:left w:val="single" w:sz="4" w:space="0" w:color="auto"/>
                      <w:bottom w:val="single" w:sz="4" w:space="0" w:color="auto"/>
                      <w:right w:val="single" w:sz="4" w:space="0" w:color="auto"/>
                    </w:tcBorders>
                  </w:tcPr>
                  <w:p w14:paraId="5AB374EE" w14:textId="77777777" w:rsidR="007E7472" w:rsidRDefault="00C8327E" w:rsidP="007E7472">
                    <w:pPr>
                      <w:jc w:val="right"/>
                      <w:outlineLvl w:val="2"/>
                      <w:rPr>
                        <w:rFonts w:asciiTheme="minorEastAsia" w:hAnsiTheme="minorEastAsia" w:cs="Cambria"/>
                      </w:rPr>
                    </w:pPr>
                  </w:p>
                </w:tc>
                <w:tc>
                  <w:tcPr>
                    <w:tcW w:w="922" w:type="pct"/>
                    <w:tcBorders>
                      <w:top w:val="single" w:sz="4" w:space="0" w:color="auto"/>
                      <w:left w:val="single" w:sz="4" w:space="0" w:color="auto"/>
                      <w:bottom w:val="single" w:sz="4" w:space="0" w:color="auto"/>
                      <w:right w:val="single" w:sz="4" w:space="0" w:color="auto"/>
                    </w:tcBorders>
                  </w:tcPr>
                  <w:p w14:paraId="3199BE2E" w14:textId="77777777" w:rsidR="007E7472" w:rsidRDefault="00C8327E" w:rsidP="007E7472">
                    <w:pPr>
                      <w:jc w:val="right"/>
                      <w:outlineLvl w:val="2"/>
                      <w:rPr>
                        <w:rFonts w:asciiTheme="minorEastAsia" w:hAnsiTheme="minorEastAsia" w:cs="Cambria"/>
                      </w:rPr>
                    </w:pPr>
                  </w:p>
                </w:tc>
                <w:tc>
                  <w:tcPr>
                    <w:tcW w:w="959" w:type="pct"/>
                    <w:tcBorders>
                      <w:top w:val="single" w:sz="4" w:space="0" w:color="auto"/>
                      <w:left w:val="single" w:sz="4" w:space="0" w:color="auto"/>
                      <w:bottom w:val="single" w:sz="4" w:space="0" w:color="auto"/>
                      <w:right w:val="single" w:sz="4" w:space="0" w:color="auto"/>
                    </w:tcBorders>
                  </w:tcPr>
                  <w:p w14:paraId="7221BDE1" w14:textId="77777777" w:rsidR="007E7472" w:rsidRDefault="00913748" w:rsidP="007E7472">
                    <w:pPr>
                      <w:jc w:val="right"/>
                      <w:outlineLvl w:val="2"/>
                      <w:rPr>
                        <w:rFonts w:asciiTheme="minorEastAsia" w:hAnsiTheme="minorEastAsia" w:cs="Cambria"/>
                      </w:rPr>
                    </w:pPr>
                    <w:r>
                      <w:rPr>
                        <w:rFonts w:asciiTheme="minorEastAsia" w:hAnsiTheme="minorEastAsia" w:cs="Cambria" w:hint="eastAsia"/>
                      </w:rPr>
                      <w:t>1</w:t>
                    </w:r>
                    <w:r>
                      <w:rPr>
                        <w:rFonts w:asciiTheme="minorEastAsia" w:hAnsiTheme="minorEastAsia" w:cs="Cambria"/>
                      </w:rPr>
                      <w:t>,485,513</w:t>
                    </w:r>
                  </w:p>
                </w:tc>
                <w:tc>
                  <w:tcPr>
                    <w:tcW w:w="836" w:type="pct"/>
                    <w:tcBorders>
                      <w:top w:val="single" w:sz="4" w:space="0" w:color="auto"/>
                      <w:left w:val="single" w:sz="4" w:space="0" w:color="auto"/>
                      <w:bottom w:val="single" w:sz="4" w:space="0" w:color="auto"/>
                      <w:right w:val="single" w:sz="4" w:space="0" w:color="auto"/>
                    </w:tcBorders>
                  </w:tcPr>
                  <w:p w14:paraId="137E5268" w14:textId="77777777" w:rsidR="007E7472" w:rsidRDefault="00913748" w:rsidP="007E7472">
                    <w:pPr>
                      <w:jc w:val="right"/>
                      <w:outlineLvl w:val="2"/>
                      <w:rPr>
                        <w:rFonts w:asciiTheme="minorEastAsia" w:hAnsiTheme="minorEastAsia" w:cs="Cambria"/>
                      </w:rPr>
                    </w:pPr>
                    <w:r>
                      <w:rPr>
                        <w:rFonts w:asciiTheme="minorEastAsia" w:hAnsiTheme="minorEastAsia" w:cs="Cambria" w:hint="eastAsia"/>
                      </w:rPr>
                      <w:t>1</w:t>
                    </w:r>
                    <w:r>
                      <w:rPr>
                        <w:rFonts w:asciiTheme="minorEastAsia" w:hAnsiTheme="minorEastAsia" w:cs="Cambria"/>
                      </w:rPr>
                      <w:t>,485,513</w:t>
                    </w:r>
                  </w:p>
                </w:tc>
              </w:tr>
            </w:sdtContent>
          </w:sdt>
          <w:sdt>
            <w:sdtPr>
              <w:rPr>
                <w:rFonts w:asciiTheme="minorEastAsia" w:hAnsiTheme="minorEastAsia" w:cs="Cambria"/>
              </w:rPr>
              <w:alias w:val="持续以公允价值计量的资产总额明细"/>
              <w:tag w:val="_TUP_e78f47dfe89a44bda0f59b05bd53aa70"/>
              <w:id w:val="-1007051396"/>
              <w:lock w:val="sdtLocked"/>
            </w:sdtPr>
            <w:sdtEndPr>
              <w:rPr>
                <w:rFonts w:hint="eastAsia"/>
              </w:rPr>
            </w:sdtEndPr>
            <w:sdtContent>
              <w:tr w:rsidR="007E7472" w14:paraId="1DEC3540" w14:textId="77777777" w:rsidTr="007E7472">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14:paraId="6916382D" w14:textId="77777777" w:rsidR="007E7472" w:rsidRDefault="00913748" w:rsidP="007E7472">
                    <w:pPr>
                      <w:outlineLvl w:val="2"/>
                      <w:rPr>
                        <w:rFonts w:asciiTheme="minorEastAsia" w:hAnsiTheme="minorEastAsia" w:cs="Cambria"/>
                      </w:rPr>
                    </w:pPr>
                    <w:r>
                      <w:rPr>
                        <w:rFonts w:asciiTheme="minorEastAsia" w:hAnsiTheme="minorEastAsia" w:cs="Cambria"/>
                      </w:rPr>
                      <w:t>5.交易性金融负债</w:t>
                    </w:r>
                  </w:p>
                </w:tc>
                <w:tc>
                  <w:tcPr>
                    <w:tcW w:w="944" w:type="pct"/>
                    <w:tcBorders>
                      <w:top w:val="single" w:sz="4" w:space="0" w:color="auto"/>
                      <w:left w:val="single" w:sz="4" w:space="0" w:color="auto"/>
                      <w:bottom w:val="single" w:sz="4" w:space="0" w:color="auto"/>
                      <w:right w:val="single" w:sz="4" w:space="0" w:color="auto"/>
                    </w:tcBorders>
                  </w:tcPr>
                  <w:p w14:paraId="14760ADD" w14:textId="77777777" w:rsidR="007E7472" w:rsidRDefault="00C8327E" w:rsidP="007E7472">
                    <w:pPr>
                      <w:jc w:val="right"/>
                      <w:outlineLvl w:val="2"/>
                      <w:rPr>
                        <w:rFonts w:asciiTheme="minorEastAsia" w:hAnsiTheme="minorEastAsia" w:cs="Cambria"/>
                      </w:rPr>
                    </w:pPr>
                  </w:p>
                </w:tc>
                <w:tc>
                  <w:tcPr>
                    <w:tcW w:w="922" w:type="pct"/>
                    <w:tcBorders>
                      <w:top w:val="single" w:sz="4" w:space="0" w:color="auto"/>
                      <w:left w:val="single" w:sz="4" w:space="0" w:color="auto"/>
                      <w:bottom w:val="single" w:sz="4" w:space="0" w:color="auto"/>
                      <w:right w:val="single" w:sz="4" w:space="0" w:color="auto"/>
                    </w:tcBorders>
                  </w:tcPr>
                  <w:p w14:paraId="0F8B8513" w14:textId="77777777" w:rsidR="007E7472" w:rsidRDefault="00C8327E" w:rsidP="007E7472">
                    <w:pPr>
                      <w:jc w:val="right"/>
                      <w:outlineLvl w:val="2"/>
                      <w:rPr>
                        <w:rFonts w:asciiTheme="minorEastAsia" w:hAnsiTheme="minorEastAsia" w:cs="Cambria"/>
                      </w:rPr>
                    </w:pPr>
                  </w:p>
                </w:tc>
                <w:tc>
                  <w:tcPr>
                    <w:tcW w:w="959" w:type="pct"/>
                    <w:tcBorders>
                      <w:top w:val="single" w:sz="4" w:space="0" w:color="auto"/>
                      <w:left w:val="single" w:sz="4" w:space="0" w:color="auto"/>
                      <w:bottom w:val="single" w:sz="4" w:space="0" w:color="auto"/>
                      <w:right w:val="single" w:sz="4" w:space="0" w:color="auto"/>
                    </w:tcBorders>
                  </w:tcPr>
                  <w:p w14:paraId="767CD3A2" w14:textId="77777777" w:rsidR="007E7472" w:rsidRDefault="00913748" w:rsidP="007E7472">
                    <w:pPr>
                      <w:jc w:val="right"/>
                      <w:outlineLvl w:val="2"/>
                      <w:rPr>
                        <w:rFonts w:asciiTheme="minorEastAsia" w:hAnsiTheme="minorEastAsia" w:cs="Cambria"/>
                      </w:rPr>
                    </w:pPr>
                    <w:r>
                      <w:rPr>
                        <w:rFonts w:asciiTheme="minorEastAsia" w:hAnsiTheme="minorEastAsia" w:cs="Cambria"/>
                      </w:rPr>
                      <w:t>682,601</w:t>
                    </w:r>
                  </w:p>
                </w:tc>
                <w:tc>
                  <w:tcPr>
                    <w:tcW w:w="836" w:type="pct"/>
                    <w:tcBorders>
                      <w:top w:val="single" w:sz="4" w:space="0" w:color="auto"/>
                      <w:left w:val="single" w:sz="4" w:space="0" w:color="auto"/>
                      <w:bottom w:val="single" w:sz="4" w:space="0" w:color="auto"/>
                      <w:right w:val="single" w:sz="4" w:space="0" w:color="auto"/>
                    </w:tcBorders>
                  </w:tcPr>
                  <w:p w14:paraId="2DCFF4B9" w14:textId="77777777" w:rsidR="007E7472" w:rsidRDefault="00913748" w:rsidP="007E7472">
                    <w:pPr>
                      <w:jc w:val="right"/>
                      <w:outlineLvl w:val="2"/>
                      <w:rPr>
                        <w:rFonts w:asciiTheme="minorEastAsia" w:hAnsiTheme="minorEastAsia" w:cs="Cambria"/>
                      </w:rPr>
                    </w:pPr>
                    <w:r>
                      <w:rPr>
                        <w:rFonts w:asciiTheme="minorEastAsia" w:hAnsiTheme="minorEastAsia" w:cs="Cambria"/>
                      </w:rPr>
                      <w:t>682,601</w:t>
                    </w:r>
                  </w:p>
                </w:tc>
              </w:tr>
            </w:sdtContent>
          </w:sdt>
          <w:sdt>
            <w:sdtPr>
              <w:rPr>
                <w:rFonts w:asciiTheme="minorEastAsia" w:hAnsiTheme="minorEastAsia" w:cs="Cambria"/>
              </w:rPr>
              <w:alias w:val="持续以公允价值计量的资产总额明细"/>
              <w:tag w:val="_TUP_e78f47dfe89a44bda0f59b05bd53aa70"/>
              <w:id w:val="278302146"/>
              <w:lock w:val="sdtLocked"/>
            </w:sdtPr>
            <w:sdtEndPr/>
            <w:sdtContent>
              <w:tr w:rsidR="007E7472" w14:paraId="23E824B7" w14:textId="77777777" w:rsidTr="007E7472">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14:paraId="09C39C23" w14:textId="77777777" w:rsidR="007E7472" w:rsidRDefault="00913748" w:rsidP="007E7472">
                    <w:pPr>
                      <w:outlineLvl w:val="2"/>
                      <w:rPr>
                        <w:rFonts w:asciiTheme="minorEastAsia" w:hAnsiTheme="minorEastAsia" w:cs="Cambria"/>
                      </w:rPr>
                    </w:pPr>
                    <w:r>
                      <w:rPr>
                        <w:rFonts w:asciiTheme="minorEastAsia" w:hAnsiTheme="minorEastAsia" w:cs="Cambria"/>
                      </w:rPr>
                      <w:t>6.</w:t>
                    </w:r>
                    <w:r>
                      <w:rPr>
                        <w:rFonts w:asciiTheme="minorEastAsia" w:hAnsiTheme="minorEastAsia" w:cs="Cambria" w:hint="eastAsia"/>
                      </w:rPr>
                      <w:t>其他流动资产</w:t>
                    </w:r>
                  </w:p>
                </w:tc>
                <w:tc>
                  <w:tcPr>
                    <w:tcW w:w="944" w:type="pct"/>
                    <w:tcBorders>
                      <w:top w:val="single" w:sz="4" w:space="0" w:color="auto"/>
                      <w:left w:val="single" w:sz="4" w:space="0" w:color="auto"/>
                      <w:bottom w:val="single" w:sz="4" w:space="0" w:color="auto"/>
                      <w:right w:val="single" w:sz="4" w:space="0" w:color="auto"/>
                    </w:tcBorders>
                  </w:tcPr>
                  <w:p w14:paraId="3049B3EC" w14:textId="77777777" w:rsidR="007E7472" w:rsidRDefault="00C8327E" w:rsidP="007E7472">
                    <w:pPr>
                      <w:jc w:val="right"/>
                      <w:outlineLvl w:val="2"/>
                      <w:rPr>
                        <w:rFonts w:asciiTheme="minorEastAsia" w:hAnsiTheme="minorEastAsia" w:cs="Cambria"/>
                      </w:rPr>
                    </w:pPr>
                  </w:p>
                </w:tc>
                <w:tc>
                  <w:tcPr>
                    <w:tcW w:w="922" w:type="pct"/>
                    <w:tcBorders>
                      <w:top w:val="single" w:sz="4" w:space="0" w:color="auto"/>
                      <w:left w:val="single" w:sz="4" w:space="0" w:color="auto"/>
                      <w:bottom w:val="single" w:sz="4" w:space="0" w:color="auto"/>
                      <w:right w:val="single" w:sz="4" w:space="0" w:color="auto"/>
                    </w:tcBorders>
                  </w:tcPr>
                  <w:p w14:paraId="168829F9" w14:textId="77777777" w:rsidR="007E7472" w:rsidRDefault="00913748" w:rsidP="007E7472">
                    <w:pPr>
                      <w:jc w:val="right"/>
                      <w:outlineLvl w:val="2"/>
                      <w:rPr>
                        <w:rFonts w:asciiTheme="minorEastAsia" w:hAnsiTheme="minorEastAsia" w:cs="Cambria"/>
                      </w:rPr>
                    </w:pPr>
                    <w:r>
                      <w:rPr>
                        <w:rFonts w:asciiTheme="minorEastAsia" w:hAnsiTheme="minorEastAsia" w:cs="Cambria" w:hint="eastAsia"/>
                      </w:rPr>
                      <w:t>3</w:t>
                    </w:r>
                    <w:r>
                      <w:rPr>
                        <w:rFonts w:asciiTheme="minorEastAsia" w:hAnsiTheme="minorEastAsia" w:cs="Cambria"/>
                      </w:rPr>
                      <w:t>1,329</w:t>
                    </w:r>
                  </w:p>
                </w:tc>
                <w:tc>
                  <w:tcPr>
                    <w:tcW w:w="959" w:type="pct"/>
                    <w:tcBorders>
                      <w:top w:val="single" w:sz="4" w:space="0" w:color="auto"/>
                      <w:left w:val="single" w:sz="4" w:space="0" w:color="auto"/>
                      <w:bottom w:val="single" w:sz="4" w:space="0" w:color="auto"/>
                      <w:right w:val="single" w:sz="4" w:space="0" w:color="auto"/>
                    </w:tcBorders>
                  </w:tcPr>
                  <w:p w14:paraId="00BEE2A5" w14:textId="77777777" w:rsidR="007E7472" w:rsidRDefault="00C8327E" w:rsidP="007E7472">
                    <w:pPr>
                      <w:jc w:val="right"/>
                      <w:outlineLvl w:val="2"/>
                      <w:rPr>
                        <w:rFonts w:asciiTheme="minorEastAsia" w:hAnsiTheme="minorEastAsia" w:cs="Cambria"/>
                      </w:rPr>
                    </w:pPr>
                  </w:p>
                </w:tc>
                <w:tc>
                  <w:tcPr>
                    <w:tcW w:w="836" w:type="pct"/>
                    <w:tcBorders>
                      <w:top w:val="single" w:sz="4" w:space="0" w:color="auto"/>
                      <w:left w:val="single" w:sz="4" w:space="0" w:color="auto"/>
                      <w:bottom w:val="single" w:sz="4" w:space="0" w:color="auto"/>
                      <w:right w:val="single" w:sz="4" w:space="0" w:color="auto"/>
                    </w:tcBorders>
                  </w:tcPr>
                  <w:p w14:paraId="3609755C" w14:textId="77777777" w:rsidR="007E7472" w:rsidRDefault="00913748" w:rsidP="007E7472">
                    <w:pPr>
                      <w:jc w:val="right"/>
                      <w:outlineLvl w:val="2"/>
                      <w:rPr>
                        <w:rFonts w:asciiTheme="minorEastAsia" w:hAnsiTheme="minorEastAsia" w:cs="Cambria"/>
                      </w:rPr>
                    </w:pPr>
                    <w:r>
                      <w:rPr>
                        <w:rFonts w:asciiTheme="minorEastAsia" w:hAnsiTheme="minorEastAsia" w:cs="Cambria" w:hint="eastAsia"/>
                      </w:rPr>
                      <w:t>3</w:t>
                    </w:r>
                    <w:r>
                      <w:rPr>
                        <w:rFonts w:asciiTheme="minorEastAsia" w:hAnsiTheme="minorEastAsia" w:cs="Cambria"/>
                      </w:rPr>
                      <w:t>1,329</w:t>
                    </w:r>
                  </w:p>
                </w:tc>
              </w:tr>
            </w:sdtContent>
          </w:sdt>
          <w:sdt>
            <w:sdtPr>
              <w:rPr>
                <w:rFonts w:asciiTheme="minorEastAsia" w:hAnsiTheme="minorEastAsia" w:cs="Cambria"/>
              </w:rPr>
              <w:alias w:val="持续以公允价值计量的资产总额明细"/>
              <w:tag w:val="_TUP_e78f47dfe89a44bda0f59b05bd53aa70"/>
              <w:id w:val="-1455635814"/>
              <w:lock w:val="sdtLocked"/>
            </w:sdtPr>
            <w:sdtEndPr>
              <w:rPr>
                <w:rFonts w:hint="eastAsia"/>
              </w:rPr>
            </w:sdtEndPr>
            <w:sdtContent>
              <w:tr w:rsidR="007E7472" w14:paraId="2D5E8067" w14:textId="77777777" w:rsidTr="007E7472">
                <w:trPr>
                  <w:trHeight w:val="215"/>
                </w:trPr>
                <w:tc>
                  <w:tcPr>
                    <w:tcW w:w="1339" w:type="pct"/>
                    <w:tcBorders>
                      <w:top w:val="single" w:sz="4" w:space="0" w:color="auto"/>
                      <w:left w:val="single" w:sz="4" w:space="0" w:color="auto"/>
                      <w:bottom w:val="single" w:sz="4" w:space="0" w:color="auto"/>
                      <w:right w:val="single" w:sz="4" w:space="0" w:color="auto"/>
                    </w:tcBorders>
                    <w:shd w:val="clear" w:color="auto" w:fill="auto"/>
                  </w:tcPr>
                  <w:p w14:paraId="1BD53AB4" w14:textId="77777777" w:rsidR="007E7472" w:rsidRDefault="00913748" w:rsidP="007E7472">
                    <w:pPr>
                      <w:outlineLvl w:val="2"/>
                      <w:rPr>
                        <w:rFonts w:asciiTheme="minorEastAsia" w:hAnsiTheme="minorEastAsia" w:cs="Cambria"/>
                      </w:rPr>
                    </w:pPr>
                    <w:r>
                      <w:rPr>
                        <w:rFonts w:asciiTheme="minorEastAsia" w:hAnsiTheme="minorEastAsia" w:cs="Cambria"/>
                      </w:rPr>
                      <w:t>7.投资性房地产</w:t>
                    </w:r>
                  </w:p>
                </w:tc>
                <w:tc>
                  <w:tcPr>
                    <w:tcW w:w="944" w:type="pct"/>
                    <w:tcBorders>
                      <w:top w:val="single" w:sz="4" w:space="0" w:color="auto"/>
                      <w:left w:val="single" w:sz="4" w:space="0" w:color="auto"/>
                      <w:bottom w:val="single" w:sz="4" w:space="0" w:color="auto"/>
                      <w:right w:val="single" w:sz="4" w:space="0" w:color="auto"/>
                    </w:tcBorders>
                  </w:tcPr>
                  <w:p w14:paraId="5E39C409" w14:textId="77777777" w:rsidR="007E7472" w:rsidRDefault="00C8327E" w:rsidP="007E7472">
                    <w:pPr>
                      <w:jc w:val="right"/>
                      <w:outlineLvl w:val="2"/>
                      <w:rPr>
                        <w:rFonts w:asciiTheme="minorEastAsia" w:hAnsiTheme="minorEastAsia" w:cs="Cambria"/>
                      </w:rPr>
                    </w:pPr>
                  </w:p>
                </w:tc>
                <w:tc>
                  <w:tcPr>
                    <w:tcW w:w="922" w:type="pct"/>
                    <w:tcBorders>
                      <w:top w:val="single" w:sz="4" w:space="0" w:color="auto"/>
                      <w:left w:val="single" w:sz="4" w:space="0" w:color="auto"/>
                      <w:bottom w:val="single" w:sz="4" w:space="0" w:color="auto"/>
                      <w:right w:val="single" w:sz="4" w:space="0" w:color="auto"/>
                    </w:tcBorders>
                  </w:tcPr>
                  <w:p w14:paraId="69227365" w14:textId="77777777" w:rsidR="007E7472" w:rsidRDefault="00C8327E" w:rsidP="007E7472">
                    <w:pPr>
                      <w:jc w:val="right"/>
                      <w:outlineLvl w:val="2"/>
                      <w:rPr>
                        <w:rFonts w:asciiTheme="minorEastAsia" w:hAnsiTheme="minorEastAsia" w:cs="Cambria"/>
                      </w:rPr>
                    </w:pPr>
                  </w:p>
                </w:tc>
                <w:tc>
                  <w:tcPr>
                    <w:tcW w:w="959" w:type="pct"/>
                    <w:tcBorders>
                      <w:top w:val="single" w:sz="4" w:space="0" w:color="auto"/>
                      <w:left w:val="single" w:sz="4" w:space="0" w:color="auto"/>
                      <w:bottom w:val="single" w:sz="4" w:space="0" w:color="auto"/>
                      <w:right w:val="single" w:sz="4" w:space="0" w:color="auto"/>
                    </w:tcBorders>
                  </w:tcPr>
                  <w:p w14:paraId="69B1D9A2" w14:textId="77777777" w:rsidR="007E7472" w:rsidRDefault="00913748" w:rsidP="007E7472">
                    <w:pPr>
                      <w:jc w:val="right"/>
                      <w:outlineLvl w:val="2"/>
                      <w:rPr>
                        <w:rFonts w:asciiTheme="minorEastAsia" w:hAnsiTheme="minorEastAsia" w:cs="Cambria"/>
                      </w:rPr>
                    </w:pPr>
                    <w:r>
                      <w:rPr>
                        <w:rFonts w:asciiTheme="minorEastAsia" w:hAnsiTheme="minorEastAsia" w:cs="Cambria"/>
                      </w:rPr>
                      <w:t>1,471,730</w:t>
                    </w:r>
                  </w:p>
                </w:tc>
                <w:tc>
                  <w:tcPr>
                    <w:tcW w:w="836" w:type="pct"/>
                    <w:tcBorders>
                      <w:top w:val="single" w:sz="4" w:space="0" w:color="auto"/>
                      <w:left w:val="single" w:sz="4" w:space="0" w:color="auto"/>
                      <w:bottom w:val="single" w:sz="4" w:space="0" w:color="auto"/>
                      <w:right w:val="single" w:sz="4" w:space="0" w:color="auto"/>
                    </w:tcBorders>
                  </w:tcPr>
                  <w:p w14:paraId="66F703ED" w14:textId="77777777" w:rsidR="007E7472" w:rsidRDefault="00913748" w:rsidP="007E7472">
                    <w:pPr>
                      <w:jc w:val="right"/>
                      <w:outlineLvl w:val="2"/>
                      <w:rPr>
                        <w:rFonts w:asciiTheme="minorEastAsia" w:hAnsiTheme="minorEastAsia" w:cs="Cambria"/>
                      </w:rPr>
                    </w:pPr>
                    <w:r>
                      <w:rPr>
                        <w:rFonts w:asciiTheme="minorEastAsia" w:hAnsiTheme="minorEastAsia" w:cs="Cambria"/>
                      </w:rPr>
                      <w:t>1,471,730</w:t>
                    </w:r>
                  </w:p>
                </w:tc>
              </w:tr>
            </w:sdtContent>
          </w:sdt>
        </w:tbl>
        <w:p w14:paraId="1D70B913" w14:textId="77777777" w:rsidR="007E7472" w:rsidRDefault="00C8327E"/>
        <w:p w14:paraId="128D4230" w14:textId="77777777" w:rsidR="007E7472" w:rsidRDefault="00C8327E">
          <w:pPr>
            <w:tabs>
              <w:tab w:val="left" w:pos="1134"/>
            </w:tabs>
            <w:rPr>
              <w:rFonts w:cs="Cambria"/>
              <w:b/>
            </w:rPr>
          </w:pPr>
        </w:p>
      </w:sdtContent>
    </w:sdt>
    <w:sdt>
      <w:sdtPr>
        <w:rPr>
          <w:rFonts w:cs="Arial" w:hint="eastAsia"/>
          <w:b/>
          <w:bCs/>
        </w:rPr>
        <w:alias w:val="模块:持续和非持续第一层次公允价值计量项目市价的确定依据"/>
        <w:tag w:val="_GBC_9cf59ced96b14247921100dffef5784f"/>
        <w:id w:val="409207681"/>
        <w:lock w:val="sdtLocked"/>
        <w:placeholder>
          <w:docPart w:val="GBC22222222222222222222222222222"/>
        </w:placeholder>
      </w:sdtPr>
      <w:sdtEndPr>
        <w:rPr>
          <w:rFonts w:cs="Cambria"/>
          <w:bCs w:val="0"/>
        </w:rPr>
      </w:sdtEndPr>
      <w:sdtContent>
        <w:p w14:paraId="5030E61B" w14:textId="77777777" w:rsidR="007E7472" w:rsidRPr="00925934" w:rsidRDefault="00EC1269" w:rsidP="00162493">
          <w:pPr>
            <w:numPr>
              <w:ilvl w:val="2"/>
              <w:numId w:val="106"/>
            </w:numPr>
            <w:outlineLvl w:val="2"/>
            <w:rPr>
              <w:rFonts w:cs="Arial"/>
              <w:b/>
            </w:rPr>
          </w:pPr>
          <w:r w:rsidRPr="00925934">
            <w:rPr>
              <w:rFonts w:cs="Arial" w:hint="eastAsia"/>
              <w:b/>
            </w:rPr>
            <w:t>持续和非持续第一层次公允价值计量项目市价的确定依据</w:t>
          </w:r>
        </w:p>
        <w:sdt>
          <w:sdtPr>
            <w:alias w:val="是否适用：持续和非持续第一层次公允价值计量项目市价的确定依据[双击切换]"/>
            <w:tag w:val="_GBC_699178e78c6743f697df07ed34d59216"/>
            <w:id w:val="884058872"/>
            <w:lock w:val="sdtLocked"/>
            <w:placeholder>
              <w:docPart w:val="GBC22222222222222222222222222222"/>
            </w:placeholder>
          </w:sdtPr>
          <w:sdtEndPr/>
          <w:sdtContent>
            <w:p w14:paraId="7EF87C43"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Times New Roman" w:hAnsi="Times New Roman" w:cs="Arial" w:hint="eastAsia"/>
              <w:sz w:val="20"/>
              <w:szCs w:val="20"/>
            </w:rPr>
            <w:alias w:val="持续和非持续第一层次公允价值计量项目市价的确定依据"/>
            <w:tag w:val="_GBC_8db65a2ca59047da919942f97cfc594e"/>
            <w:id w:val="1632282989"/>
            <w:lock w:val="sdtLocked"/>
            <w:placeholder>
              <w:docPart w:val="GBC22222222222222222222222222222"/>
            </w:placeholder>
          </w:sdtPr>
          <w:sdtEndPr>
            <w:rPr>
              <w:rFonts w:cs="宋体"/>
            </w:rPr>
          </w:sdtEndPr>
          <w:sdtContent>
            <w:p w14:paraId="1DC40A1B" w14:textId="77777777" w:rsidR="007E7472" w:rsidRDefault="00C8327E">
              <w:pPr>
                <w:rPr>
                  <w:rFonts w:cs="Arial"/>
                </w:rPr>
              </w:pPr>
            </w:p>
            <w:tbl>
              <w:tblPr>
                <w:tblStyle w:val="g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2626"/>
                <w:gridCol w:w="2941"/>
              </w:tblGrid>
              <w:tr w:rsidR="007E7472" w14:paraId="285D4C21" w14:textId="77777777" w:rsidTr="007E7472">
                <w:trPr>
                  <w:trHeight w:val="340"/>
                </w:trPr>
                <w:tc>
                  <w:tcPr>
                    <w:tcW w:w="3256" w:type="dxa"/>
                    <w:vAlign w:val="center"/>
                  </w:tcPr>
                  <w:p w14:paraId="04C479B7" w14:textId="77777777" w:rsidR="007E7472" w:rsidRDefault="00EC1269">
                    <w:pPr>
                      <w:rPr>
                        <w:rFonts w:cs="Arial"/>
                        <w:b/>
                      </w:rPr>
                    </w:pPr>
                    <w:r>
                      <w:rPr>
                        <w:b/>
                      </w:rPr>
                      <w:t>项目</w:t>
                    </w:r>
                  </w:p>
                </w:tc>
                <w:tc>
                  <w:tcPr>
                    <w:tcW w:w="2626" w:type="dxa"/>
                    <w:vAlign w:val="center"/>
                  </w:tcPr>
                  <w:p w14:paraId="007E1509" w14:textId="77777777" w:rsidR="007E7472" w:rsidRDefault="00EC1269">
                    <w:pPr>
                      <w:rPr>
                        <w:rFonts w:cs="Arial"/>
                        <w:b/>
                      </w:rPr>
                    </w:pPr>
                    <w:r>
                      <w:rPr>
                        <w:b/>
                      </w:rPr>
                      <w:t>公允价值计量依据</w:t>
                    </w:r>
                  </w:p>
                </w:tc>
                <w:tc>
                  <w:tcPr>
                    <w:tcW w:w="2941" w:type="dxa"/>
                    <w:vAlign w:val="center"/>
                  </w:tcPr>
                  <w:p w14:paraId="7FF9AC8B" w14:textId="77777777" w:rsidR="007E7472" w:rsidRDefault="00EC1269">
                    <w:pPr>
                      <w:rPr>
                        <w:rFonts w:cs="Arial"/>
                        <w:b/>
                      </w:rPr>
                    </w:pPr>
                    <w:r>
                      <w:rPr>
                        <w:b/>
                      </w:rPr>
                      <w:t>科目</w:t>
                    </w:r>
                  </w:p>
                </w:tc>
              </w:tr>
              <w:tr w:rsidR="007E7472" w14:paraId="3F70238D" w14:textId="77777777" w:rsidTr="007E7472">
                <w:trPr>
                  <w:trHeight w:val="340"/>
                </w:trPr>
                <w:tc>
                  <w:tcPr>
                    <w:tcW w:w="3256" w:type="dxa"/>
                    <w:vAlign w:val="center"/>
                  </w:tcPr>
                  <w:p w14:paraId="1E3E6821" w14:textId="77777777" w:rsidR="007E7472" w:rsidRDefault="00EC1269">
                    <w:pPr>
                      <w:rPr>
                        <w:rFonts w:cs="Arial"/>
                      </w:rPr>
                    </w:pPr>
                    <w:r>
                      <w:t>江苏连云港港口股份有限公司</w:t>
                    </w:r>
                  </w:p>
                </w:tc>
                <w:tc>
                  <w:tcPr>
                    <w:tcW w:w="2626" w:type="dxa"/>
                    <w:vAlign w:val="center"/>
                  </w:tcPr>
                  <w:p w14:paraId="5B2D812B" w14:textId="77777777" w:rsidR="007E7472" w:rsidRDefault="00EC1269">
                    <w:pPr>
                      <w:rPr>
                        <w:rFonts w:cs="Arial"/>
                      </w:rPr>
                    </w:pPr>
                    <w:r>
                      <w:t>股票收盘价</w:t>
                    </w:r>
                  </w:p>
                </w:tc>
                <w:tc>
                  <w:tcPr>
                    <w:tcW w:w="2941" w:type="dxa"/>
                    <w:vAlign w:val="center"/>
                  </w:tcPr>
                  <w:p w14:paraId="7BC13DE3" w14:textId="77777777" w:rsidR="007E7472" w:rsidRDefault="00EC1269">
                    <w:pPr>
                      <w:rPr>
                        <w:rFonts w:cs="Arial"/>
                      </w:rPr>
                    </w:pPr>
                    <w:r>
                      <w:t>其他权益工具投资</w:t>
                    </w:r>
                  </w:p>
                </w:tc>
              </w:tr>
              <w:tr w:rsidR="007E7472" w14:paraId="2157D17E" w14:textId="77777777" w:rsidTr="007E7472">
                <w:trPr>
                  <w:trHeight w:val="340"/>
                </w:trPr>
                <w:tc>
                  <w:tcPr>
                    <w:tcW w:w="3256" w:type="dxa"/>
                    <w:vAlign w:val="center"/>
                  </w:tcPr>
                  <w:p w14:paraId="4C10BC40" w14:textId="77777777" w:rsidR="007E7472" w:rsidRDefault="00EC1269">
                    <w:pPr>
                      <w:rPr>
                        <w:rFonts w:cs="Arial"/>
                      </w:rPr>
                    </w:pPr>
                    <w:r>
                      <w:t>力帆科技（集团）股份有限公司</w:t>
                    </w:r>
                  </w:p>
                </w:tc>
                <w:tc>
                  <w:tcPr>
                    <w:tcW w:w="2626" w:type="dxa"/>
                    <w:vAlign w:val="center"/>
                  </w:tcPr>
                  <w:p w14:paraId="3912CFE6" w14:textId="77777777" w:rsidR="007E7472" w:rsidRDefault="00EC1269">
                    <w:pPr>
                      <w:rPr>
                        <w:rFonts w:cs="Arial"/>
                      </w:rPr>
                    </w:pPr>
                    <w:r>
                      <w:t>股票收盘价</w:t>
                    </w:r>
                  </w:p>
                </w:tc>
                <w:tc>
                  <w:tcPr>
                    <w:tcW w:w="2941" w:type="dxa"/>
                    <w:vAlign w:val="center"/>
                  </w:tcPr>
                  <w:p w14:paraId="21BE6C92" w14:textId="77777777" w:rsidR="007E7472" w:rsidRDefault="00EC1269">
                    <w:pPr>
                      <w:rPr>
                        <w:rFonts w:cs="Arial"/>
                      </w:rPr>
                    </w:pPr>
                    <w:r>
                      <w:t>交易性金融资产</w:t>
                    </w:r>
                  </w:p>
                </w:tc>
              </w:tr>
              <w:tr w:rsidR="007E7472" w14:paraId="36959643" w14:textId="77777777" w:rsidTr="007E7472">
                <w:trPr>
                  <w:trHeight w:val="340"/>
                </w:trPr>
                <w:tc>
                  <w:tcPr>
                    <w:tcW w:w="3256" w:type="dxa"/>
                    <w:vAlign w:val="center"/>
                  </w:tcPr>
                  <w:p w14:paraId="410C87F2" w14:textId="77777777" w:rsidR="007E7472" w:rsidRDefault="00EC1269">
                    <w:pPr>
                      <w:rPr>
                        <w:rFonts w:cs="Arial"/>
                      </w:rPr>
                    </w:pPr>
                    <w:r>
                      <w:t>货币基金</w:t>
                    </w:r>
                  </w:p>
                </w:tc>
                <w:tc>
                  <w:tcPr>
                    <w:tcW w:w="2626" w:type="dxa"/>
                    <w:vAlign w:val="center"/>
                  </w:tcPr>
                  <w:p w14:paraId="18C81919" w14:textId="77777777" w:rsidR="007E7472" w:rsidRDefault="00EC1269">
                    <w:pPr>
                      <w:rPr>
                        <w:rFonts w:cs="Arial"/>
                      </w:rPr>
                    </w:pPr>
                    <w:r>
                      <w:t>基金净值</w:t>
                    </w:r>
                  </w:p>
                </w:tc>
                <w:tc>
                  <w:tcPr>
                    <w:tcW w:w="2941" w:type="dxa"/>
                    <w:vAlign w:val="center"/>
                  </w:tcPr>
                  <w:p w14:paraId="4F7780D0" w14:textId="77777777" w:rsidR="007E7472" w:rsidRDefault="00EC1269">
                    <w:pPr>
                      <w:rPr>
                        <w:rFonts w:cs="Arial"/>
                      </w:rPr>
                    </w:pPr>
                    <w:r>
                      <w:t>交易性金融资产</w:t>
                    </w:r>
                  </w:p>
                </w:tc>
              </w:tr>
            </w:tbl>
            <w:p w14:paraId="0B736726" w14:textId="0A49412C" w:rsidR="007E7472" w:rsidRPr="00925934" w:rsidRDefault="00C8327E" w:rsidP="007E7472"/>
          </w:sdtContent>
        </w:sdt>
      </w:sdtContent>
    </w:sdt>
    <w:sdt>
      <w:sdtPr>
        <w:rPr>
          <w:rFonts w:cs="Arial" w:hint="eastAsia"/>
          <w:sz w:val="20"/>
        </w:rPr>
        <w:alias w:val="模块:持续和非持续第二层次公允价值计量项目，采用的估值技术和重要参数的定性及定量信息"/>
        <w:tag w:val="_GBC_8e00be36ed6245f895b032b3059a4854"/>
        <w:id w:val="-814100491"/>
        <w:lock w:val="sdtLocked"/>
        <w:placeholder>
          <w:docPart w:val="GBC22222222222222222222222222222"/>
        </w:placeholder>
      </w:sdtPr>
      <w:sdtEndPr>
        <w:rPr>
          <w:rFonts w:cs="宋体" w:hint="default"/>
        </w:rPr>
      </w:sdtEndPr>
      <w:sdtContent>
        <w:p w14:paraId="6548CC3B" w14:textId="77777777" w:rsidR="007E7472" w:rsidRPr="00925934" w:rsidRDefault="00EC1269" w:rsidP="00162493">
          <w:pPr>
            <w:numPr>
              <w:ilvl w:val="2"/>
              <w:numId w:val="106"/>
            </w:numPr>
            <w:outlineLvl w:val="2"/>
            <w:rPr>
              <w:b/>
            </w:rPr>
          </w:pPr>
          <w:r w:rsidRPr="00925934">
            <w:rPr>
              <w:rFonts w:cs="Arial" w:hint="eastAsia"/>
              <w:b/>
            </w:rPr>
            <w:t>持续和非持续第二层次公允价值计量项目，采用的估值技术和重要参数的定性及定量信息</w:t>
          </w:r>
        </w:p>
        <w:sdt>
          <w:sdtPr>
            <w:rPr>
              <w:rFonts w:cs="Cambria" w:hint="eastAsia"/>
            </w:rPr>
            <w:alias w:val="是否适用：持续和非持续第二层次公允价值计量项目，采用的估值技术和重要参数的定性及定量信息[双击切换]"/>
            <w:tag w:val="_GBC_8bee9b1c9bf241d5ae1f2c4578fc3b6c"/>
            <w:id w:val="-1410844021"/>
            <w:lock w:val="sdtLocked"/>
            <w:placeholder>
              <w:docPart w:val="GBC22222222222222222222222222222"/>
            </w:placeholder>
          </w:sdtPr>
          <w:sdtEndPr/>
          <w:sdtContent>
            <w:p w14:paraId="34CFF2D0" w14:textId="77777777" w:rsidR="007E7472" w:rsidRDefault="00EC1269">
              <w:pPr>
                <w:tabs>
                  <w:tab w:val="left" w:pos="1134"/>
                </w:tabs>
                <w:rPr>
                  <w:rFonts w:cs="Cambria"/>
                </w:rPr>
              </w:pPr>
              <w:r>
                <w:rPr>
                  <w:rFonts w:cs="Cambria"/>
                </w:rPr>
                <w:fldChar w:fldCharType="begin"/>
              </w:r>
              <w:r>
                <w:rPr>
                  <w:rFonts w:cs="Cambria"/>
                </w:rPr>
                <w:instrText xml:space="preserve"> MACROBUTTON  SnrToggleCheckbox √适用 </w:instrText>
              </w:r>
              <w:r>
                <w:rPr>
                  <w:rFonts w:cs="Cambria"/>
                </w:rPr>
                <w:fldChar w:fldCharType="end"/>
              </w:r>
              <w:r>
                <w:rPr>
                  <w:rFonts w:cs="Cambria"/>
                </w:rPr>
                <w:fldChar w:fldCharType="begin"/>
              </w:r>
              <w:r>
                <w:rPr>
                  <w:rFonts w:cs="Cambria"/>
                </w:rPr>
                <w:instrText xml:space="preserve"> MACROBUTTON  SnrToggleCheckbox □不适用 </w:instrText>
              </w:r>
              <w:r>
                <w:rPr>
                  <w:rFonts w:cs="Cambria"/>
                </w:rPr>
                <w:fldChar w:fldCharType="end"/>
              </w:r>
            </w:p>
          </w:sdtContent>
        </w:sdt>
        <w:sdt>
          <w:sdtPr>
            <w:rPr>
              <w:rFonts w:ascii="Times New Roman" w:hAnsi="Times New Roman" w:cs="Cambria"/>
              <w:sz w:val="20"/>
              <w:szCs w:val="20"/>
            </w:rPr>
            <w:alias w:val="持续和非持续第二层次公允价值计量项目，采用的估值技术和重要参数的定性及定量信息"/>
            <w:tag w:val="_GBC_406ac04d46a9411bb4890572e539e6ca"/>
            <w:id w:val="850305246"/>
            <w:lock w:val="sdtLocked"/>
            <w:placeholder>
              <w:docPart w:val="GBC22222222222222222222222222222"/>
            </w:placeholder>
          </w:sdtPr>
          <w:sdtEndPr>
            <w:rPr>
              <w:rFonts w:cs="宋体"/>
            </w:rPr>
          </w:sdtEndPr>
          <w:sdtContent>
            <w:p w14:paraId="28A2E750" w14:textId="77777777" w:rsidR="007E7472" w:rsidRDefault="00C8327E">
              <w:pPr>
                <w:tabs>
                  <w:tab w:val="left" w:pos="1134"/>
                </w:tabs>
                <w:rPr>
                  <w:rFonts w:cs="Cambria"/>
                </w:rPr>
              </w:pPr>
            </w:p>
            <w:tbl>
              <w:tblPr>
                <w:tblStyle w:val="g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1"/>
                <w:gridCol w:w="2941"/>
                <w:gridCol w:w="2941"/>
              </w:tblGrid>
              <w:tr w:rsidR="007E7472" w14:paraId="583156EF" w14:textId="77777777" w:rsidTr="007E7472">
                <w:trPr>
                  <w:trHeight w:val="392"/>
                </w:trPr>
                <w:tc>
                  <w:tcPr>
                    <w:tcW w:w="2941" w:type="dxa"/>
                    <w:vAlign w:val="center"/>
                  </w:tcPr>
                  <w:p w14:paraId="0C90A20F" w14:textId="77777777" w:rsidR="007E7472" w:rsidRDefault="00EC1269">
                    <w:pPr>
                      <w:tabs>
                        <w:tab w:val="left" w:pos="1134"/>
                      </w:tabs>
                      <w:rPr>
                        <w:rFonts w:cs="Cambria"/>
                        <w:b/>
                      </w:rPr>
                    </w:pPr>
                    <w:r>
                      <w:rPr>
                        <w:b/>
                      </w:rPr>
                      <w:t>项目</w:t>
                    </w:r>
                  </w:p>
                </w:tc>
                <w:tc>
                  <w:tcPr>
                    <w:tcW w:w="2941" w:type="dxa"/>
                    <w:vAlign w:val="center"/>
                  </w:tcPr>
                  <w:p w14:paraId="23A5E38E" w14:textId="77777777" w:rsidR="007E7472" w:rsidRDefault="00EC1269">
                    <w:pPr>
                      <w:tabs>
                        <w:tab w:val="left" w:pos="1134"/>
                      </w:tabs>
                      <w:rPr>
                        <w:rFonts w:cs="Cambria"/>
                        <w:b/>
                      </w:rPr>
                    </w:pPr>
                    <w:r>
                      <w:rPr>
                        <w:b/>
                      </w:rPr>
                      <w:t>公允价值计量依据</w:t>
                    </w:r>
                  </w:p>
                </w:tc>
                <w:tc>
                  <w:tcPr>
                    <w:tcW w:w="2941" w:type="dxa"/>
                    <w:vAlign w:val="center"/>
                  </w:tcPr>
                  <w:p w14:paraId="2E178AB7" w14:textId="77777777" w:rsidR="007E7472" w:rsidRDefault="00EC1269" w:rsidP="007E7472">
                    <w:pPr>
                      <w:tabs>
                        <w:tab w:val="left" w:pos="1134"/>
                      </w:tabs>
                      <w:rPr>
                        <w:rFonts w:cs="Cambria"/>
                        <w:b/>
                      </w:rPr>
                    </w:pPr>
                    <w:r>
                      <w:rPr>
                        <w:b/>
                      </w:rPr>
                      <w:t>科目</w:t>
                    </w:r>
                  </w:p>
                </w:tc>
              </w:tr>
              <w:tr w:rsidR="007E7472" w14:paraId="632329E8" w14:textId="77777777" w:rsidTr="007E7472">
                <w:tc>
                  <w:tcPr>
                    <w:tcW w:w="2941" w:type="dxa"/>
                    <w:vAlign w:val="center"/>
                  </w:tcPr>
                  <w:p w14:paraId="77E10176" w14:textId="77777777" w:rsidR="007E7472" w:rsidRDefault="00EC1269">
                    <w:pPr>
                      <w:tabs>
                        <w:tab w:val="left" w:pos="1134"/>
                      </w:tabs>
                      <w:rPr>
                        <w:rFonts w:cs="Cambria"/>
                      </w:rPr>
                    </w:pPr>
                    <w:r>
                      <w:t>利率互换协议</w:t>
                    </w:r>
                  </w:p>
                </w:tc>
                <w:tc>
                  <w:tcPr>
                    <w:tcW w:w="2941" w:type="dxa"/>
                    <w:vAlign w:val="center"/>
                  </w:tcPr>
                  <w:p w14:paraId="0E0208A0" w14:textId="77777777" w:rsidR="007E7472" w:rsidRDefault="00EC1269">
                    <w:pPr>
                      <w:tabs>
                        <w:tab w:val="left" w:pos="1134"/>
                      </w:tabs>
                      <w:rPr>
                        <w:rFonts w:cs="Cambria"/>
                      </w:rPr>
                    </w:pPr>
                    <w:r>
                      <w:t>贴现现金流，即未来现金流按年末可观察的远期利率计算</w:t>
                    </w:r>
                  </w:p>
                </w:tc>
                <w:tc>
                  <w:tcPr>
                    <w:tcW w:w="2941" w:type="dxa"/>
                    <w:vAlign w:val="center"/>
                  </w:tcPr>
                  <w:p w14:paraId="7F11A63B" w14:textId="77777777" w:rsidR="007E7472" w:rsidRDefault="00EC1269">
                    <w:pPr>
                      <w:tabs>
                        <w:tab w:val="left" w:pos="1134"/>
                      </w:tabs>
                      <w:rPr>
                        <w:rFonts w:cs="Cambria"/>
                      </w:rPr>
                    </w:pPr>
                    <w:r>
                      <w:t>其他流动资产</w:t>
                    </w:r>
                  </w:p>
                </w:tc>
              </w:tr>
            </w:tbl>
            <w:p w14:paraId="570B8884" w14:textId="77777777" w:rsidR="007E7472" w:rsidRDefault="00C8327E"/>
          </w:sdtContent>
        </w:sdt>
      </w:sdtContent>
    </w:sdt>
    <w:p w14:paraId="7081049F" w14:textId="77777777" w:rsidR="007E7472" w:rsidRDefault="00C8327E"/>
    <w:sdt>
      <w:sdtPr>
        <w:rPr>
          <w:rFonts w:cs="Arial" w:hint="eastAsia"/>
          <w:sz w:val="20"/>
        </w:rPr>
        <w:alias w:val="模块:持续和非持续第三层次公允价值计量项目，采用的估值技术和重要参数的定性及定量信息"/>
        <w:tag w:val="_GBC_5d389bac3ad747a292eb45fd87ce5896"/>
        <w:id w:val="2122484414"/>
        <w:lock w:val="sdtLocked"/>
        <w:placeholder>
          <w:docPart w:val="GBC22222222222222222222222222222"/>
        </w:placeholder>
      </w:sdtPr>
      <w:sdtEndPr>
        <w:rPr>
          <w:rFonts w:ascii="Times New Roman" w:hAnsi="Times New Roman" w:cs="Cambria"/>
          <w:color w:val="808080"/>
          <w:szCs w:val="20"/>
        </w:rPr>
      </w:sdtEndPr>
      <w:sdtContent>
        <w:p w14:paraId="209B2B58" w14:textId="77777777" w:rsidR="007E7472" w:rsidRPr="00925934" w:rsidRDefault="00EC1269" w:rsidP="00162493">
          <w:pPr>
            <w:numPr>
              <w:ilvl w:val="2"/>
              <w:numId w:val="106"/>
            </w:numPr>
            <w:outlineLvl w:val="2"/>
            <w:rPr>
              <w:b/>
            </w:rPr>
          </w:pPr>
          <w:r w:rsidRPr="00925934">
            <w:rPr>
              <w:rFonts w:cs="Arial" w:hint="eastAsia"/>
              <w:b/>
            </w:rPr>
            <w:t>持续和非持续第三层次公允价值计量项目，采用的估值技术和重要参数的定性及定量信息</w:t>
          </w:r>
        </w:p>
        <w:sdt>
          <w:sdtPr>
            <w:rPr>
              <w:rFonts w:hint="eastAsia"/>
            </w:rPr>
            <w:alias w:val="是否适用：持续和非持续第三层次公允价值计量项目，采用的估值技术和重要参数的定性及定量信息[双击切换]"/>
            <w:tag w:val="_GBC_4feedb18bf344f2ebff0035f82f30e3c"/>
            <w:id w:val="1257559676"/>
            <w:lock w:val="sdtLocked"/>
            <w:placeholder>
              <w:docPart w:val="GBC22222222222222222222222222222"/>
            </w:placeholder>
          </w:sdtPr>
          <w:sdtEndPr/>
          <w:sdtContent>
            <w:p w14:paraId="7BDA91E0"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持续和非持续第三层次公允价值计量项目，采用的估值技术和重要参数的定性及定量信息"/>
            <w:tag w:val="_GBC_db2fdcfb26ce4ca9ac1e8da23b16aaaa"/>
            <w:id w:val="-1366514231"/>
            <w:lock w:val="sdtLocked"/>
            <w:placeholder>
              <w:docPart w:val="GBC22222222222222222222222222222"/>
            </w:placeholder>
          </w:sdtPr>
          <w:sdtEndPr/>
          <w:sdtContent>
            <w:p w14:paraId="0B1B4673" w14:textId="77777777" w:rsidR="007E7472" w:rsidRDefault="00C8327E"/>
            <w:tbl>
              <w:tblPr>
                <w:tblStyle w:val="g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1"/>
                <w:gridCol w:w="2941"/>
                <w:gridCol w:w="2941"/>
              </w:tblGrid>
              <w:tr w:rsidR="007E7472" w14:paraId="5C384758" w14:textId="77777777" w:rsidTr="007E7472">
                <w:trPr>
                  <w:trHeight w:val="343"/>
                </w:trPr>
                <w:tc>
                  <w:tcPr>
                    <w:tcW w:w="2941" w:type="dxa"/>
                    <w:vAlign w:val="center"/>
                  </w:tcPr>
                  <w:p w14:paraId="306A57DC" w14:textId="77777777" w:rsidR="007E7472" w:rsidRDefault="00EC1269">
                    <w:pPr>
                      <w:tabs>
                        <w:tab w:val="left" w:pos="1134"/>
                      </w:tabs>
                      <w:rPr>
                        <w:rFonts w:cs="Cambria"/>
                        <w:b/>
                      </w:rPr>
                    </w:pPr>
                    <w:r>
                      <w:rPr>
                        <w:b/>
                      </w:rPr>
                      <w:t>项目</w:t>
                    </w:r>
                  </w:p>
                </w:tc>
                <w:tc>
                  <w:tcPr>
                    <w:tcW w:w="2941" w:type="dxa"/>
                    <w:vAlign w:val="center"/>
                  </w:tcPr>
                  <w:p w14:paraId="7AB96198" w14:textId="77777777" w:rsidR="007E7472" w:rsidRDefault="00EC1269">
                    <w:pPr>
                      <w:tabs>
                        <w:tab w:val="left" w:pos="1134"/>
                      </w:tabs>
                      <w:rPr>
                        <w:rFonts w:cs="Cambria"/>
                        <w:b/>
                      </w:rPr>
                    </w:pPr>
                    <w:r>
                      <w:rPr>
                        <w:b/>
                      </w:rPr>
                      <w:t>公允价值计量依据</w:t>
                    </w:r>
                  </w:p>
                </w:tc>
                <w:tc>
                  <w:tcPr>
                    <w:tcW w:w="2941" w:type="dxa"/>
                    <w:vAlign w:val="center"/>
                  </w:tcPr>
                  <w:p w14:paraId="34E1F9C8" w14:textId="77777777" w:rsidR="007E7472" w:rsidRDefault="00EC1269">
                    <w:pPr>
                      <w:tabs>
                        <w:tab w:val="left" w:pos="1134"/>
                      </w:tabs>
                      <w:rPr>
                        <w:rFonts w:cs="Cambria"/>
                        <w:b/>
                      </w:rPr>
                    </w:pPr>
                    <w:r>
                      <w:rPr>
                        <w:b/>
                      </w:rPr>
                      <w:t>科目</w:t>
                    </w:r>
                  </w:p>
                </w:tc>
              </w:tr>
              <w:tr w:rsidR="007E7472" w14:paraId="192BF784" w14:textId="77777777" w:rsidTr="007E7472">
                <w:tc>
                  <w:tcPr>
                    <w:tcW w:w="2941" w:type="dxa"/>
                    <w:vAlign w:val="center"/>
                  </w:tcPr>
                  <w:p w14:paraId="7615E510" w14:textId="77777777" w:rsidR="007E7472" w:rsidRDefault="00EC1269">
                    <w:pPr>
                      <w:tabs>
                        <w:tab w:val="left" w:pos="1134"/>
                      </w:tabs>
                      <w:rPr>
                        <w:rFonts w:cs="Cambria"/>
                        <w:b/>
                      </w:rPr>
                    </w:pPr>
                    <w:r>
                      <w:t>特别收益权</w:t>
                    </w:r>
                  </w:p>
                </w:tc>
                <w:tc>
                  <w:tcPr>
                    <w:tcW w:w="2941" w:type="dxa"/>
                    <w:vAlign w:val="center"/>
                  </w:tcPr>
                  <w:p w14:paraId="41019ECF" w14:textId="77777777" w:rsidR="007E7472" w:rsidRDefault="00EC1269">
                    <w:pPr>
                      <w:tabs>
                        <w:tab w:val="left" w:pos="1134"/>
                      </w:tabs>
                      <w:rPr>
                        <w:rFonts w:cs="Cambria"/>
                        <w:b/>
                      </w:rPr>
                    </w:pPr>
                    <w:r>
                      <w:t>按照未来现金流量折现后的现值进行估值</w:t>
                    </w:r>
                  </w:p>
                </w:tc>
                <w:tc>
                  <w:tcPr>
                    <w:tcW w:w="2941" w:type="dxa"/>
                    <w:vAlign w:val="center"/>
                  </w:tcPr>
                  <w:p w14:paraId="763638BF" w14:textId="77777777" w:rsidR="007E7472" w:rsidRDefault="00EC1269">
                    <w:pPr>
                      <w:tabs>
                        <w:tab w:val="left" w:pos="1134"/>
                      </w:tabs>
                      <w:rPr>
                        <w:rFonts w:cs="Cambria"/>
                        <w:b/>
                      </w:rPr>
                    </w:pPr>
                    <w:r>
                      <w:t>交易性金融资产、其他非流动金融资产</w:t>
                    </w:r>
                  </w:p>
                </w:tc>
              </w:tr>
              <w:tr w:rsidR="007E7472" w14:paraId="442EFB03" w14:textId="77777777" w:rsidTr="007E7472">
                <w:tc>
                  <w:tcPr>
                    <w:tcW w:w="2941" w:type="dxa"/>
                    <w:vAlign w:val="center"/>
                  </w:tcPr>
                  <w:p w14:paraId="46C34DCE" w14:textId="77777777" w:rsidR="007E7472" w:rsidRDefault="00EC1269">
                    <w:pPr>
                      <w:tabs>
                        <w:tab w:val="left" w:pos="1134"/>
                      </w:tabs>
                      <w:rPr>
                        <w:rFonts w:cs="Cambria"/>
                        <w:b/>
                      </w:rPr>
                    </w:pPr>
                    <w:r>
                      <w:t>非或然特许权使用费</w:t>
                    </w:r>
                  </w:p>
                </w:tc>
                <w:tc>
                  <w:tcPr>
                    <w:tcW w:w="2941" w:type="dxa"/>
                    <w:vAlign w:val="center"/>
                  </w:tcPr>
                  <w:p w14:paraId="4D8CC348" w14:textId="77777777" w:rsidR="007E7472" w:rsidRDefault="00EC1269">
                    <w:pPr>
                      <w:tabs>
                        <w:tab w:val="left" w:pos="1134"/>
                      </w:tabs>
                      <w:rPr>
                        <w:rFonts w:cs="Cambria"/>
                        <w:b/>
                      </w:rPr>
                    </w:pPr>
                    <w:r>
                      <w:t>按照未来现金流量折现后的现值进行估值</w:t>
                    </w:r>
                  </w:p>
                </w:tc>
                <w:tc>
                  <w:tcPr>
                    <w:tcW w:w="2941" w:type="dxa"/>
                    <w:vAlign w:val="center"/>
                  </w:tcPr>
                  <w:p w14:paraId="2C2C8D21" w14:textId="77777777" w:rsidR="007E7472" w:rsidRDefault="00EC1269">
                    <w:pPr>
                      <w:tabs>
                        <w:tab w:val="left" w:pos="1134"/>
                      </w:tabs>
                      <w:rPr>
                        <w:rFonts w:cs="Cambria"/>
                        <w:b/>
                      </w:rPr>
                    </w:pPr>
                    <w:r>
                      <w:t>交易性金融负债</w:t>
                    </w:r>
                  </w:p>
                </w:tc>
              </w:tr>
              <w:tr w:rsidR="007E7472" w14:paraId="35DA5670" w14:textId="77777777" w:rsidTr="007E7472">
                <w:tc>
                  <w:tcPr>
                    <w:tcW w:w="2941" w:type="dxa"/>
                    <w:vAlign w:val="center"/>
                  </w:tcPr>
                  <w:p w14:paraId="59607BA1" w14:textId="77777777" w:rsidR="007E7472" w:rsidRDefault="00EC1269">
                    <w:pPr>
                      <w:tabs>
                        <w:tab w:val="left" w:pos="1134"/>
                      </w:tabs>
                      <w:rPr>
                        <w:rFonts w:cs="Cambria"/>
                        <w:b/>
                      </w:rPr>
                    </w:pPr>
                    <w:r>
                      <w:t>银行承兑汇票及信用证</w:t>
                    </w:r>
                  </w:p>
                </w:tc>
                <w:tc>
                  <w:tcPr>
                    <w:tcW w:w="2941" w:type="dxa"/>
                    <w:vAlign w:val="center"/>
                  </w:tcPr>
                  <w:p w14:paraId="6573ABA6" w14:textId="77777777" w:rsidR="007E7472" w:rsidRDefault="00EC1269">
                    <w:pPr>
                      <w:tabs>
                        <w:tab w:val="left" w:pos="1134"/>
                      </w:tabs>
                      <w:rPr>
                        <w:rFonts w:cs="Cambria"/>
                        <w:b/>
                      </w:rPr>
                    </w:pPr>
                    <w:r>
                      <w:t>相当于整个存续期内预期信用损失的金额</w:t>
                    </w:r>
                  </w:p>
                </w:tc>
                <w:tc>
                  <w:tcPr>
                    <w:tcW w:w="2941" w:type="dxa"/>
                    <w:vAlign w:val="center"/>
                  </w:tcPr>
                  <w:p w14:paraId="218CE92E" w14:textId="77777777" w:rsidR="007E7472" w:rsidRDefault="00EC1269">
                    <w:pPr>
                      <w:tabs>
                        <w:tab w:val="left" w:pos="1134"/>
                      </w:tabs>
                      <w:rPr>
                        <w:rFonts w:cs="Cambria"/>
                        <w:b/>
                      </w:rPr>
                    </w:pPr>
                    <w:r>
                      <w:t>应收款项融资</w:t>
                    </w:r>
                  </w:p>
                </w:tc>
              </w:tr>
              <w:tr w:rsidR="007E7472" w14:paraId="5DDA164F" w14:textId="77777777" w:rsidTr="007E7472">
                <w:tc>
                  <w:tcPr>
                    <w:tcW w:w="2941" w:type="dxa"/>
                    <w:vAlign w:val="center"/>
                  </w:tcPr>
                  <w:p w14:paraId="1432E088" w14:textId="77777777" w:rsidR="007E7472" w:rsidRDefault="00EC1269">
                    <w:pPr>
                      <w:tabs>
                        <w:tab w:val="left" w:pos="1134"/>
                      </w:tabs>
                      <w:rPr>
                        <w:rFonts w:cs="Cambria"/>
                        <w:b/>
                      </w:rPr>
                    </w:pPr>
                    <w:r>
                      <w:t>鄂尔多斯南部铁路有限责任公司</w:t>
                    </w:r>
                  </w:p>
                </w:tc>
                <w:tc>
                  <w:tcPr>
                    <w:tcW w:w="2941" w:type="dxa"/>
                    <w:vAlign w:val="center"/>
                  </w:tcPr>
                  <w:p w14:paraId="7EDC6CB6" w14:textId="77777777" w:rsidR="007E7472" w:rsidRDefault="00EC1269">
                    <w:pPr>
                      <w:tabs>
                        <w:tab w:val="left" w:pos="1134"/>
                      </w:tabs>
                      <w:rPr>
                        <w:rFonts w:cs="Cambria"/>
                        <w:b/>
                      </w:rPr>
                    </w:pPr>
                    <w:r>
                      <w:t>按照市场法进行估值</w:t>
                    </w:r>
                  </w:p>
                </w:tc>
                <w:tc>
                  <w:tcPr>
                    <w:tcW w:w="2941" w:type="dxa"/>
                    <w:vAlign w:val="center"/>
                  </w:tcPr>
                  <w:p w14:paraId="694381DE" w14:textId="77777777" w:rsidR="007E7472" w:rsidRDefault="00EC1269">
                    <w:pPr>
                      <w:tabs>
                        <w:tab w:val="left" w:pos="1134"/>
                      </w:tabs>
                      <w:rPr>
                        <w:rFonts w:cs="Cambria"/>
                        <w:b/>
                      </w:rPr>
                    </w:pPr>
                    <w:r>
                      <w:t>其他非流动金融资产</w:t>
                    </w:r>
                  </w:p>
                </w:tc>
              </w:tr>
              <w:tr w:rsidR="007E7472" w14:paraId="1E8718DA" w14:textId="77777777" w:rsidTr="007E7472">
                <w:tc>
                  <w:tcPr>
                    <w:tcW w:w="2941" w:type="dxa"/>
                    <w:vAlign w:val="center"/>
                  </w:tcPr>
                  <w:p w14:paraId="1296CDC9" w14:textId="77777777" w:rsidR="007E7472" w:rsidRDefault="00EC1269">
                    <w:pPr>
                      <w:tabs>
                        <w:tab w:val="left" w:pos="1134"/>
                      </w:tabs>
                      <w:rPr>
                        <w:rFonts w:cs="Cambria"/>
                        <w:b/>
                      </w:rPr>
                    </w:pPr>
                    <w:r>
                      <w:t>杭州时代鼎丰创业投资合伙企业(有限合伙)</w:t>
                    </w:r>
                  </w:p>
                </w:tc>
                <w:tc>
                  <w:tcPr>
                    <w:tcW w:w="2941" w:type="dxa"/>
                    <w:vAlign w:val="center"/>
                  </w:tcPr>
                  <w:p w14:paraId="3E615FE0" w14:textId="77777777" w:rsidR="007E7472" w:rsidRDefault="00EC1269">
                    <w:pPr>
                      <w:tabs>
                        <w:tab w:val="left" w:pos="1134"/>
                      </w:tabs>
                      <w:rPr>
                        <w:rFonts w:cs="Cambria"/>
                        <w:b/>
                      </w:rPr>
                    </w:pPr>
                    <w:r>
                      <w:t>按照基金净值进行估值</w:t>
                    </w:r>
                  </w:p>
                </w:tc>
                <w:tc>
                  <w:tcPr>
                    <w:tcW w:w="2941" w:type="dxa"/>
                    <w:vAlign w:val="center"/>
                  </w:tcPr>
                  <w:p w14:paraId="38A7F5A2" w14:textId="77777777" w:rsidR="007E7472" w:rsidRDefault="00EC1269">
                    <w:pPr>
                      <w:tabs>
                        <w:tab w:val="left" w:pos="1134"/>
                      </w:tabs>
                      <w:rPr>
                        <w:rFonts w:cs="Cambria"/>
                        <w:b/>
                      </w:rPr>
                    </w:pPr>
                    <w:r>
                      <w:t>其他非流动金融资产</w:t>
                    </w:r>
                  </w:p>
                </w:tc>
              </w:tr>
              <w:tr w:rsidR="007E7472" w14:paraId="03B1C1AA" w14:textId="77777777" w:rsidTr="007E7472">
                <w:tc>
                  <w:tcPr>
                    <w:tcW w:w="2941" w:type="dxa"/>
                    <w:vAlign w:val="center"/>
                  </w:tcPr>
                  <w:p w14:paraId="3FD1243C" w14:textId="77777777" w:rsidR="007E7472" w:rsidRDefault="00EC1269">
                    <w:pPr>
                      <w:tabs>
                        <w:tab w:val="left" w:pos="1134"/>
                      </w:tabs>
                      <w:rPr>
                        <w:rFonts w:cs="Cambria"/>
                        <w:b/>
                      </w:rPr>
                    </w:pPr>
                    <w:r>
                      <w:t>上海骥琛企业管理合伙企业（有限合伙）</w:t>
                    </w:r>
                  </w:p>
                </w:tc>
                <w:tc>
                  <w:tcPr>
                    <w:tcW w:w="2941" w:type="dxa"/>
                    <w:vAlign w:val="center"/>
                  </w:tcPr>
                  <w:p w14:paraId="5567DEBF" w14:textId="77777777" w:rsidR="007E7472" w:rsidRDefault="00EC1269">
                    <w:pPr>
                      <w:tabs>
                        <w:tab w:val="left" w:pos="1134"/>
                      </w:tabs>
                      <w:rPr>
                        <w:rFonts w:cs="Cambria"/>
                        <w:b/>
                      </w:rPr>
                    </w:pPr>
                    <w:r>
                      <w:t>按照合伙企业净资产进行估值</w:t>
                    </w:r>
                  </w:p>
                </w:tc>
                <w:tc>
                  <w:tcPr>
                    <w:tcW w:w="2941" w:type="dxa"/>
                    <w:vAlign w:val="center"/>
                  </w:tcPr>
                  <w:p w14:paraId="0CD93422" w14:textId="77777777" w:rsidR="007E7472" w:rsidRDefault="00EC1269">
                    <w:pPr>
                      <w:tabs>
                        <w:tab w:val="left" w:pos="1134"/>
                      </w:tabs>
                      <w:rPr>
                        <w:rFonts w:cs="Cambria"/>
                        <w:b/>
                      </w:rPr>
                    </w:pPr>
                    <w:r>
                      <w:t>其他非流动金融资产</w:t>
                    </w:r>
                  </w:p>
                </w:tc>
              </w:tr>
              <w:tr w:rsidR="007E7472" w14:paraId="102B609A" w14:textId="77777777" w:rsidTr="007E7472">
                <w:tc>
                  <w:tcPr>
                    <w:tcW w:w="2941" w:type="dxa"/>
                    <w:vAlign w:val="center"/>
                  </w:tcPr>
                  <w:p w14:paraId="555F4AE8" w14:textId="77777777" w:rsidR="007E7472" w:rsidRDefault="00EC1269">
                    <w:pPr>
                      <w:tabs>
                        <w:tab w:val="left" w:pos="1134"/>
                      </w:tabs>
                      <w:rPr>
                        <w:rFonts w:cs="Cambria"/>
                        <w:b/>
                      </w:rPr>
                    </w:pPr>
                    <w:r>
                      <w:lastRenderedPageBreak/>
                      <w:t>陕西靖神铁路有限责任公司</w:t>
                    </w:r>
                  </w:p>
                </w:tc>
                <w:tc>
                  <w:tcPr>
                    <w:tcW w:w="2941" w:type="dxa"/>
                    <w:vAlign w:val="center"/>
                  </w:tcPr>
                  <w:p w14:paraId="43C9904E" w14:textId="77777777" w:rsidR="007E7472" w:rsidRDefault="00EC1269">
                    <w:pPr>
                      <w:tabs>
                        <w:tab w:val="left" w:pos="1134"/>
                      </w:tabs>
                      <w:rPr>
                        <w:rFonts w:cs="Cambria"/>
                        <w:b/>
                      </w:rPr>
                    </w:pPr>
                    <w:r>
                      <w:t>按照市场法进行估值</w:t>
                    </w:r>
                  </w:p>
                </w:tc>
                <w:tc>
                  <w:tcPr>
                    <w:tcW w:w="2941" w:type="dxa"/>
                    <w:vAlign w:val="center"/>
                  </w:tcPr>
                  <w:p w14:paraId="26B1DB00" w14:textId="77777777" w:rsidR="007E7472" w:rsidRDefault="00EC1269">
                    <w:pPr>
                      <w:tabs>
                        <w:tab w:val="left" w:pos="1134"/>
                      </w:tabs>
                      <w:rPr>
                        <w:rFonts w:cs="Cambria"/>
                        <w:b/>
                      </w:rPr>
                    </w:pPr>
                    <w:r>
                      <w:t>其他非流动金融资产</w:t>
                    </w:r>
                  </w:p>
                </w:tc>
              </w:tr>
              <w:tr w:rsidR="007E7472" w14:paraId="2039BC82" w14:textId="77777777" w:rsidTr="007E7472">
                <w:tc>
                  <w:tcPr>
                    <w:tcW w:w="2941" w:type="dxa"/>
                    <w:vAlign w:val="center"/>
                  </w:tcPr>
                  <w:p w14:paraId="6B25A000" w14:textId="77777777" w:rsidR="007E7472" w:rsidRDefault="00EC1269">
                    <w:pPr>
                      <w:tabs>
                        <w:tab w:val="left" w:pos="1134"/>
                      </w:tabs>
                      <w:rPr>
                        <w:rFonts w:cs="Cambria"/>
                        <w:b/>
                      </w:rPr>
                    </w:pPr>
                    <w:r>
                      <w:t>榆林市榆阳区煤矿疏干水环境治理有限公司</w:t>
                    </w:r>
                  </w:p>
                </w:tc>
                <w:tc>
                  <w:tcPr>
                    <w:tcW w:w="2941" w:type="dxa"/>
                    <w:vAlign w:val="center"/>
                  </w:tcPr>
                  <w:p w14:paraId="1D7818B6" w14:textId="77777777" w:rsidR="007E7472" w:rsidRDefault="00EC1269">
                    <w:pPr>
                      <w:tabs>
                        <w:tab w:val="left" w:pos="1134"/>
                      </w:tabs>
                      <w:rPr>
                        <w:rFonts w:cs="Cambria"/>
                        <w:b/>
                      </w:rPr>
                    </w:pPr>
                    <w:r>
                      <w:t>按照市场法进行估值</w:t>
                    </w:r>
                  </w:p>
                </w:tc>
                <w:tc>
                  <w:tcPr>
                    <w:tcW w:w="2941" w:type="dxa"/>
                    <w:vAlign w:val="center"/>
                  </w:tcPr>
                  <w:p w14:paraId="2358C992" w14:textId="77777777" w:rsidR="007E7472" w:rsidRDefault="00EC1269">
                    <w:pPr>
                      <w:tabs>
                        <w:tab w:val="left" w:pos="1134"/>
                      </w:tabs>
                      <w:rPr>
                        <w:rFonts w:cs="Cambria"/>
                        <w:b/>
                      </w:rPr>
                    </w:pPr>
                    <w:r>
                      <w:t>其他非流动金融资产</w:t>
                    </w:r>
                  </w:p>
                </w:tc>
              </w:tr>
              <w:tr w:rsidR="007E7472" w14:paraId="0607A0DD" w14:textId="77777777" w:rsidTr="007E7472">
                <w:tc>
                  <w:tcPr>
                    <w:tcW w:w="2941" w:type="dxa"/>
                    <w:vAlign w:val="center"/>
                  </w:tcPr>
                  <w:p w14:paraId="6201923A" w14:textId="77777777" w:rsidR="007E7472" w:rsidRDefault="00EC1269">
                    <w:pPr>
                      <w:tabs>
                        <w:tab w:val="left" w:pos="1134"/>
                      </w:tabs>
                      <w:rPr>
                        <w:rFonts w:cs="Cambria"/>
                        <w:b/>
                      </w:rPr>
                    </w:pPr>
                    <w:r>
                      <w:t>山东邹城建信村镇银行有限公司</w:t>
                    </w:r>
                  </w:p>
                </w:tc>
                <w:tc>
                  <w:tcPr>
                    <w:tcW w:w="2941" w:type="dxa"/>
                    <w:vAlign w:val="center"/>
                  </w:tcPr>
                  <w:p w14:paraId="7153B474" w14:textId="77777777" w:rsidR="007E7472" w:rsidRDefault="00EC1269">
                    <w:pPr>
                      <w:tabs>
                        <w:tab w:val="left" w:pos="1134"/>
                      </w:tabs>
                      <w:rPr>
                        <w:rFonts w:cs="Cambria"/>
                        <w:b/>
                      </w:rPr>
                    </w:pPr>
                    <w:r>
                      <w:t>按照市场法进行估值</w:t>
                    </w:r>
                  </w:p>
                </w:tc>
                <w:tc>
                  <w:tcPr>
                    <w:tcW w:w="2941" w:type="dxa"/>
                    <w:vAlign w:val="center"/>
                  </w:tcPr>
                  <w:p w14:paraId="333EA9DF" w14:textId="77777777" w:rsidR="007E7472" w:rsidRDefault="00EC1269">
                    <w:pPr>
                      <w:tabs>
                        <w:tab w:val="left" w:pos="1134"/>
                      </w:tabs>
                      <w:rPr>
                        <w:rFonts w:cs="Cambria"/>
                        <w:b/>
                      </w:rPr>
                    </w:pPr>
                    <w:r>
                      <w:t>其他权益工具投资</w:t>
                    </w:r>
                  </w:p>
                </w:tc>
              </w:tr>
              <w:tr w:rsidR="007E7472" w14:paraId="1ECA9B45" w14:textId="77777777" w:rsidTr="007E7472">
                <w:tc>
                  <w:tcPr>
                    <w:tcW w:w="2941" w:type="dxa"/>
                    <w:vAlign w:val="center"/>
                  </w:tcPr>
                  <w:p w14:paraId="6DB2F162" w14:textId="77777777" w:rsidR="007E7472" w:rsidRDefault="00EC1269">
                    <w:pPr>
                      <w:tabs>
                        <w:tab w:val="left" w:pos="1134"/>
                      </w:tabs>
                      <w:rPr>
                        <w:rFonts w:cs="Cambria"/>
                        <w:b/>
                      </w:rPr>
                    </w:pPr>
                    <w:r>
                      <w:t>中峰化学有限公司</w:t>
                    </w:r>
                  </w:p>
                </w:tc>
                <w:tc>
                  <w:tcPr>
                    <w:tcW w:w="2941" w:type="dxa"/>
                    <w:vAlign w:val="center"/>
                  </w:tcPr>
                  <w:p w14:paraId="04E3382A" w14:textId="77777777" w:rsidR="007E7472" w:rsidRDefault="00EC1269">
                    <w:pPr>
                      <w:tabs>
                        <w:tab w:val="left" w:pos="1134"/>
                      </w:tabs>
                      <w:rPr>
                        <w:rFonts w:cs="Cambria"/>
                        <w:b/>
                      </w:rPr>
                    </w:pPr>
                    <w:r>
                      <w:t>按照市场法进行估值</w:t>
                    </w:r>
                  </w:p>
                </w:tc>
                <w:tc>
                  <w:tcPr>
                    <w:tcW w:w="2941" w:type="dxa"/>
                    <w:vAlign w:val="center"/>
                  </w:tcPr>
                  <w:p w14:paraId="1BEE449A" w14:textId="77777777" w:rsidR="007E7472" w:rsidRDefault="00EC1269">
                    <w:pPr>
                      <w:tabs>
                        <w:tab w:val="left" w:pos="1134"/>
                      </w:tabs>
                      <w:rPr>
                        <w:rFonts w:cs="Cambria"/>
                        <w:b/>
                      </w:rPr>
                    </w:pPr>
                    <w:r>
                      <w:t>其他权益工具投资</w:t>
                    </w:r>
                  </w:p>
                </w:tc>
              </w:tr>
              <w:tr w:rsidR="007E7472" w14:paraId="7FD111B0" w14:textId="77777777" w:rsidTr="007E7472">
                <w:tc>
                  <w:tcPr>
                    <w:tcW w:w="2941" w:type="dxa"/>
                    <w:vAlign w:val="center"/>
                  </w:tcPr>
                  <w:p w14:paraId="5DB358F1" w14:textId="77777777" w:rsidR="007E7472" w:rsidRDefault="00EC1269">
                    <w:pPr>
                      <w:tabs>
                        <w:tab w:val="left" w:pos="1134"/>
                      </w:tabs>
                      <w:rPr>
                        <w:rFonts w:cs="Cambria"/>
                        <w:b/>
                      </w:rPr>
                    </w:pPr>
                    <w:r>
                      <w:t>天津物产二号企业管理合伙企业（有限合伙）</w:t>
                    </w:r>
                  </w:p>
                </w:tc>
                <w:tc>
                  <w:tcPr>
                    <w:tcW w:w="2941" w:type="dxa"/>
                    <w:vAlign w:val="center"/>
                  </w:tcPr>
                  <w:p w14:paraId="4467FC34" w14:textId="77777777" w:rsidR="007E7472" w:rsidRDefault="00EC1269">
                    <w:pPr>
                      <w:tabs>
                        <w:tab w:val="left" w:pos="1134"/>
                      </w:tabs>
                      <w:rPr>
                        <w:rFonts w:cs="Cambria"/>
                        <w:b/>
                      </w:rPr>
                    </w:pPr>
                    <w:r>
                      <w:t>按照收益法、市场法和资产基础法进行估值</w:t>
                    </w:r>
                  </w:p>
                </w:tc>
                <w:tc>
                  <w:tcPr>
                    <w:tcW w:w="2941" w:type="dxa"/>
                    <w:vAlign w:val="center"/>
                  </w:tcPr>
                  <w:p w14:paraId="64432AE2" w14:textId="77777777" w:rsidR="007E7472" w:rsidRDefault="00EC1269">
                    <w:pPr>
                      <w:tabs>
                        <w:tab w:val="left" w:pos="1134"/>
                      </w:tabs>
                      <w:rPr>
                        <w:rFonts w:cs="Cambria"/>
                        <w:b/>
                      </w:rPr>
                    </w:pPr>
                    <w:r>
                      <w:t>其他权益工具投资</w:t>
                    </w:r>
                  </w:p>
                </w:tc>
              </w:tr>
              <w:tr w:rsidR="007E7472" w14:paraId="00916D51" w14:textId="77777777" w:rsidTr="007E7472">
                <w:tc>
                  <w:tcPr>
                    <w:tcW w:w="2941" w:type="dxa"/>
                    <w:vAlign w:val="center"/>
                  </w:tcPr>
                  <w:p w14:paraId="12A09B3B" w14:textId="77777777" w:rsidR="007E7472" w:rsidRDefault="00EC1269">
                    <w:pPr>
                      <w:tabs>
                        <w:tab w:val="left" w:pos="1134"/>
                      </w:tabs>
                      <w:rPr>
                        <w:rFonts w:cs="Cambria"/>
                        <w:b/>
                      </w:rPr>
                    </w:pPr>
                    <w:r>
                      <w:t>建信信托-彩蝶6号财产权信托计划</w:t>
                    </w:r>
                  </w:p>
                </w:tc>
                <w:tc>
                  <w:tcPr>
                    <w:tcW w:w="2941" w:type="dxa"/>
                    <w:vAlign w:val="center"/>
                  </w:tcPr>
                  <w:p w14:paraId="366FD783" w14:textId="77777777" w:rsidR="007E7472" w:rsidRDefault="00EC1269">
                    <w:pPr>
                      <w:tabs>
                        <w:tab w:val="left" w:pos="1134"/>
                      </w:tabs>
                      <w:rPr>
                        <w:rFonts w:cs="Cambria"/>
                        <w:b/>
                      </w:rPr>
                    </w:pPr>
                    <w:r>
                      <w:t>按照市场法进行估值</w:t>
                    </w:r>
                  </w:p>
                </w:tc>
                <w:tc>
                  <w:tcPr>
                    <w:tcW w:w="2941" w:type="dxa"/>
                    <w:vAlign w:val="center"/>
                  </w:tcPr>
                  <w:p w14:paraId="7BAB9574" w14:textId="77777777" w:rsidR="007E7472" w:rsidRDefault="00EC1269">
                    <w:pPr>
                      <w:tabs>
                        <w:tab w:val="left" w:pos="1134"/>
                      </w:tabs>
                      <w:rPr>
                        <w:rFonts w:cs="Cambria"/>
                        <w:b/>
                      </w:rPr>
                    </w:pPr>
                    <w:r>
                      <w:t>其他权益工具投资</w:t>
                    </w:r>
                  </w:p>
                </w:tc>
              </w:tr>
              <w:tr w:rsidR="007E7472" w14:paraId="6245B779" w14:textId="77777777" w:rsidTr="007E7472">
                <w:tc>
                  <w:tcPr>
                    <w:tcW w:w="2941" w:type="dxa"/>
                    <w:vAlign w:val="center"/>
                  </w:tcPr>
                  <w:p w14:paraId="661B7EBC" w14:textId="77777777" w:rsidR="007E7472" w:rsidRDefault="00EC1269">
                    <w:pPr>
                      <w:tabs>
                        <w:tab w:val="left" w:pos="1134"/>
                      </w:tabs>
                      <w:rPr>
                        <w:rFonts w:cs="Cambria"/>
                        <w:b/>
                      </w:rPr>
                    </w:pPr>
                    <w:r>
                      <w:t>天津物产三号企业管理合伙企业（有限合伙）</w:t>
                    </w:r>
                  </w:p>
                </w:tc>
                <w:tc>
                  <w:tcPr>
                    <w:tcW w:w="2941" w:type="dxa"/>
                    <w:vAlign w:val="center"/>
                  </w:tcPr>
                  <w:p w14:paraId="47D9E8FC" w14:textId="77777777" w:rsidR="007E7472" w:rsidRDefault="00EC1269">
                    <w:pPr>
                      <w:tabs>
                        <w:tab w:val="left" w:pos="1134"/>
                      </w:tabs>
                      <w:rPr>
                        <w:rFonts w:cs="Cambria"/>
                        <w:b/>
                      </w:rPr>
                    </w:pPr>
                    <w:r>
                      <w:t>按照收益法、市场法和资产基础法进行估值</w:t>
                    </w:r>
                  </w:p>
                </w:tc>
                <w:tc>
                  <w:tcPr>
                    <w:tcW w:w="2941" w:type="dxa"/>
                    <w:vAlign w:val="center"/>
                  </w:tcPr>
                  <w:p w14:paraId="0DCBE610" w14:textId="77777777" w:rsidR="007E7472" w:rsidRDefault="00EC1269">
                    <w:pPr>
                      <w:tabs>
                        <w:tab w:val="left" w:pos="1134"/>
                      </w:tabs>
                      <w:rPr>
                        <w:rFonts w:cs="Cambria"/>
                        <w:b/>
                      </w:rPr>
                    </w:pPr>
                    <w:r>
                      <w:t>其他权益工具投资</w:t>
                    </w:r>
                  </w:p>
                </w:tc>
              </w:tr>
              <w:tr w:rsidR="007E7472" w14:paraId="77765FD0" w14:textId="77777777" w:rsidTr="007E7472">
                <w:tc>
                  <w:tcPr>
                    <w:tcW w:w="2941" w:type="dxa"/>
                    <w:vAlign w:val="center"/>
                  </w:tcPr>
                  <w:p w14:paraId="279C779F" w14:textId="77777777" w:rsidR="007E7472" w:rsidRDefault="00EC1269">
                    <w:pPr>
                      <w:tabs>
                        <w:tab w:val="left" w:pos="1134"/>
                      </w:tabs>
                      <w:rPr>
                        <w:rFonts w:cs="Cambria"/>
                        <w:b/>
                      </w:rPr>
                    </w:pPr>
                    <w:r>
                      <w:t>对外出租房屋</w:t>
                    </w:r>
                  </w:p>
                </w:tc>
                <w:tc>
                  <w:tcPr>
                    <w:tcW w:w="2941" w:type="dxa"/>
                    <w:vAlign w:val="center"/>
                  </w:tcPr>
                  <w:p w14:paraId="38A5E05C" w14:textId="77777777" w:rsidR="007E7472" w:rsidRDefault="00EC1269">
                    <w:pPr>
                      <w:tabs>
                        <w:tab w:val="left" w:pos="1134"/>
                      </w:tabs>
                      <w:rPr>
                        <w:rFonts w:cs="Cambria"/>
                        <w:b/>
                      </w:rPr>
                    </w:pPr>
                    <w:r>
                      <w:t>参照活跃市场上同类或类似房地产的现行市场价格</w:t>
                    </w:r>
                  </w:p>
                </w:tc>
                <w:tc>
                  <w:tcPr>
                    <w:tcW w:w="2941" w:type="dxa"/>
                    <w:vAlign w:val="center"/>
                  </w:tcPr>
                  <w:p w14:paraId="4E9CFBD8" w14:textId="77777777" w:rsidR="007E7472" w:rsidRDefault="00EC1269">
                    <w:pPr>
                      <w:tabs>
                        <w:tab w:val="left" w:pos="1134"/>
                      </w:tabs>
                      <w:rPr>
                        <w:rFonts w:cs="Cambria"/>
                        <w:b/>
                      </w:rPr>
                    </w:pPr>
                    <w:r>
                      <w:t>投资性房地产</w:t>
                    </w:r>
                  </w:p>
                </w:tc>
              </w:tr>
            </w:tbl>
            <w:p w14:paraId="1346A04F" w14:textId="77777777" w:rsidR="007E7472" w:rsidRDefault="00C8327E"/>
          </w:sdtContent>
        </w:sdt>
      </w:sdtContent>
    </w:sdt>
    <w:sdt>
      <w:sdtPr>
        <w:rPr>
          <w:rFonts w:hint="eastAsia"/>
          <w:szCs w:val="24"/>
        </w:rPr>
        <w:alias w:val="模块:持续的第三层次公允价值计量的项目期初与期末账面价值之间的调节信息及不可观察参数的敏感性分析"/>
        <w:tag w:val="_GBC_353ab3e0cb19455ab2c2c2a397421afe"/>
        <w:id w:val="-790741740"/>
        <w:lock w:val="sdtLocked"/>
        <w:placeholder>
          <w:docPart w:val="GBC22222222222222222222222222222"/>
        </w:placeholder>
      </w:sdtPr>
      <w:sdtEndPr>
        <w:rPr>
          <w:rFonts w:cs="Cambria"/>
          <w:color w:val="808080"/>
          <w:szCs w:val="21"/>
        </w:rPr>
      </w:sdtEndPr>
      <w:sdtContent>
        <w:p w14:paraId="17809FFD" w14:textId="77777777" w:rsidR="007E7472" w:rsidRPr="00925934" w:rsidRDefault="00EC1269" w:rsidP="00162493">
          <w:pPr>
            <w:numPr>
              <w:ilvl w:val="2"/>
              <w:numId w:val="106"/>
            </w:numPr>
            <w:outlineLvl w:val="2"/>
            <w:rPr>
              <w:b/>
            </w:rPr>
          </w:pPr>
          <w:r w:rsidRPr="00925934">
            <w:rPr>
              <w:rFonts w:hint="eastAsia"/>
              <w:b/>
            </w:rPr>
            <w:t>持续的第三层次公允价值计量项目，期初与期末账面价值间的调节信息及不可观察参数敏感性分析</w:t>
          </w:r>
        </w:p>
        <w:sdt>
          <w:sdtPr>
            <w:rPr>
              <w:rFonts w:hint="eastAsia"/>
            </w:rPr>
            <w:alias w:val="是否适用：持续的第三层次公允价值计量项目，期初与期末账面价值间的调节信息及不可观察参数敏感性分析[双击切换]"/>
            <w:tag w:val="_GBC_fbb80659fa8c4cbba85b32b2b514495c"/>
            <w:id w:val="-233090048"/>
            <w:lock w:val="sdtLocked"/>
            <w:placeholder>
              <w:docPart w:val="GBC22222222222222222222222222222"/>
            </w:placeholder>
          </w:sdtPr>
          <w:sdtEndPr/>
          <w:sdtContent>
            <w:p w14:paraId="3C86639C"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AA82214" w14:textId="77777777" w:rsidR="007E7472" w:rsidRDefault="00C8327E">
          <w:pPr>
            <w:tabs>
              <w:tab w:val="left" w:pos="1134"/>
            </w:tabs>
            <w:rPr>
              <w:rFonts w:cs="Cambria"/>
              <w:b/>
            </w:rPr>
          </w:pPr>
        </w:p>
      </w:sdtContent>
    </w:sdt>
    <w:sdt>
      <w:sdtPr>
        <w:rPr>
          <w:rFonts w:hint="eastAsia"/>
          <w:szCs w:val="24"/>
        </w:rPr>
        <w:alias w:val="模块:持续的公允价值计量项目，本期内发生各层级之间转换的，转换的原因及确定转换时点的政策"/>
        <w:tag w:val="_GBC_a9200ec73b8d485e80b76f1a9ee34c49"/>
        <w:id w:val="-1765059875"/>
        <w:lock w:val="sdtLocked"/>
        <w:placeholder>
          <w:docPart w:val="GBC22222222222222222222222222222"/>
        </w:placeholder>
      </w:sdtPr>
      <w:sdtEndPr>
        <w:rPr>
          <w:rFonts w:cs="Cambria"/>
          <w:szCs w:val="21"/>
        </w:rPr>
      </w:sdtEndPr>
      <w:sdtContent>
        <w:p w14:paraId="6F301AE6" w14:textId="77777777" w:rsidR="007E7472" w:rsidRPr="00925934" w:rsidRDefault="00EC1269" w:rsidP="00162493">
          <w:pPr>
            <w:numPr>
              <w:ilvl w:val="2"/>
              <w:numId w:val="106"/>
            </w:numPr>
            <w:outlineLvl w:val="2"/>
            <w:rPr>
              <w:b/>
            </w:rPr>
          </w:pPr>
          <w:r w:rsidRPr="00925934">
            <w:rPr>
              <w:rFonts w:hint="eastAsia"/>
              <w:b/>
            </w:rPr>
            <w:t>持续的公允价值计量项目，本期内发生各层级之间转换的，转换的原因及确定转换时点的政策</w:t>
          </w:r>
        </w:p>
        <w:sdt>
          <w:sdtPr>
            <w:rPr>
              <w:rFonts w:hint="eastAsia"/>
            </w:rPr>
            <w:alias w:val="是否适用：持续的公允价值计量项目，本期内发生各层级之间转换的，转换的原因及确定转换时点的政策[双击切换]"/>
            <w:tag w:val="_GBC_e3d16a79a58242bc9c7be1f3a6f00898"/>
            <w:id w:val="2137068271"/>
            <w:lock w:val="sdtLocked"/>
            <w:placeholder>
              <w:docPart w:val="GBC22222222222222222222222222222"/>
            </w:placeholder>
          </w:sdtPr>
          <w:sdtEndPr/>
          <w:sdtContent>
            <w:p w14:paraId="2384EE41"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DB50177" w14:textId="77777777" w:rsidR="007E7472" w:rsidRDefault="00C8327E">
          <w:pPr>
            <w:tabs>
              <w:tab w:val="left" w:pos="1134"/>
            </w:tabs>
            <w:rPr>
              <w:rFonts w:cs="Cambria"/>
              <w:b/>
            </w:rPr>
          </w:pPr>
        </w:p>
      </w:sdtContent>
    </w:sdt>
    <w:sdt>
      <w:sdtPr>
        <w:rPr>
          <w:rFonts w:hint="eastAsia"/>
          <w:szCs w:val="24"/>
        </w:rPr>
        <w:alias w:val="模块:本期内发生的估值技术变更及变更原因"/>
        <w:tag w:val="_GBC_8e563310a4b84a5d9dfe74fdbc178926"/>
        <w:id w:val="-142823382"/>
        <w:lock w:val="sdtLocked"/>
        <w:placeholder>
          <w:docPart w:val="GBC22222222222222222222222222222"/>
        </w:placeholder>
      </w:sdtPr>
      <w:sdtEndPr>
        <w:rPr>
          <w:rFonts w:cstheme="minorBidi"/>
          <w:szCs w:val="21"/>
        </w:rPr>
      </w:sdtEndPr>
      <w:sdtContent>
        <w:p w14:paraId="64060181" w14:textId="77777777" w:rsidR="007E7472" w:rsidRPr="00925934" w:rsidRDefault="00EC1269" w:rsidP="00162493">
          <w:pPr>
            <w:numPr>
              <w:ilvl w:val="2"/>
              <w:numId w:val="106"/>
            </w:numPr>
            <w:outlineLvl w:val="2"/>
            <w:rPr>
              <w:b/>
            </w:rPr>
          </w:pPr>
          <w:r w:rsidRPr="00925934">
            <w:rPr>
              <w:rFonts w:hint="eastAsia"/>
              <w:b/>
            </w:rPr>
            <w:t>本期内发生的估值技术变更及变更原因</w:t>
          </w:r>
        </w:p>
        <w:sdt>
          <w:sdtPr>
            <w:alias w:val="是否适用：本期内发生的估值技术变更及变更原因[双击切换]"/>
            <w:tag w:val="_GBC_b070160060a9485c87417fe5a8b5e02f"/>
            <w:id w:val="822246277"/>
            <w:lock w:val="sdtLocked"/>
            <w:placeholder>
              <w:docPart w:val="GBC22222222222222222222222222222"/>
            </w:placeholder>
          </w:sdtPr>
          <w:sdtEndPr/>
          <w:sdtContent>
            <w:p w14:paraId="55749272"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422FE6C" w14:textId="77777777" w:rsidR="007E7472" w:rsidRPr="00925934" w:rsidRDefault="00C8327E">
          <w:pPr>
            <w:rPr>
              <w:rFonts w:cstheme="minorBidi"/>
              <w:b/>
            </w:rPr>
          </w:pPr>
        </w:p>
      </w:sdtContent>
    </w:sdt>
    <w:sdt>
      <w:sdtPr>
        <w:rPr>
          <w:rFonts w:cstheme="minorBidi" w:hint="eastAsia"/>
          <w:b/>
        </w:rPr>
        <w:alias w:val="模块:不以公允价值计量的金融资产和金融负债的公允价值情况"/>
        <w:tag w:val="_GBC_e354e1f41f824854b8f3345d52a9cfab"/>
        <w:id w:val="-1602328203"/>
        <w:lock w:val="sdtLocked"/>
        <w:placeholder>
          <w:docPart w:val="GBC22222222222222222222222222222"/>
        </w:placeholder>
      </w:sdtPr>
      <w:sdtEndPr>
        <w:rPr>
          <w:b w:val="0"/>
        </w:rPr>
      </w:sdtEndPr>
      <w:sdtContent>
        <w:p w14:paraId="7D875B5C" w14:textId="77777777" w:rsidR="007E7472" w:rsidRPr="00925934" w:rsidRDefault="00EC1269" w:rsidP="00162493">
          <w:pPr>
            <w:numPr>
              <w:ilvl w:val="2"/>
              <w:numId w:val="106"/>
            </w:numPr>
            <w:outlineLvl w:val="2"/>
            <w:rPr>
              <w:rFonts w:cstheme="minorBidi"/>
              <w:b/>
            </w:rPr>
          </w:pPr>
          <w:r w:rsidRPr="00925934">
            <w:rPr>
              <w:rFonts w:cstheme="minorBidi" w:hint="eastAsia"/>
              <w:b/>
            </w:rPr>
            <w:t>不以公允价值计量的</w:t>
          </w:r>
          <w:r w:rsidRPr="00925934">
            <w:rPr>
              <w:rFonts w:hint="eastAsia"/>
              <w:b/>
            </w:rPr>
            <w:t>金融资产</w:t>
          </w:r>
          <w:r w:rsidRPr="00925934">
            <w:rPr>
              <w:rFonts w:cstheme="minorBidi" w:hint="eastAsia"/>
              <w:b/>
            </w:rPr>
            <w:t>和金融负债的公允价值情况</w:t>
          </w:r>
        </w:p>
        <w:sdt>
          <w:sdtPr>
            <w:rPr>
              <w:rFonts w:cstheme="minorBidi" w:hint="eastAsia"/>
            </w:rPr>
            <w:alias w:val="是否适用：不以公允价值计量的金融资产和金融负债的公允价值情况[双击切换]"/>
            <w:tag w:val="_GBC_848a058035fb408c922e66294e86defb"/>
            <w:id w:val="-1607643014"/>
            <w:lock w:val="sdtLocked"/>
            <w:placeholder>
              <w:docPart w:val="GBC22222222222222222222222222222"/>
            </w:placeholder>
          </w:sdtPr>
          <w:sdtEndPr/>
          <w:sdtContent>
            <w:p w14:paraId="4CC8C870" w14:textId="77777777" w:rsidR="007E7472" w:rsidRDefault="00EC1269">
              <w:pPr>
                <w:rPr>
                  <w:rFonts w:cstheme="minorBidi"/>
                </w:rPr>
              </w:pPr>
              <w:r>
                <w:rPr>
                  <w:rFonts w:cstheme="minorBidi"/>
                </w:rPr>
                <w:fldChar w:fldCharType="begin"/>
              </w:r>
              <w:r>
                <w:rPr>
                  <w:rFonts w:cstheme="minorBidi"/>
                </w:rPr>
                <w:instrText xml:space="preserve"> MACROBUTTON  SnrToggleCheckbox □适用 </w:instrText>
              </w:r>
              <w:r>
                <w:rPr>
                  <w:rFonts w:cstheme="minorBidi"/>
                </w:rPr>
                <w:fldChar w:fldCharType="end"/>
              </w:r>
              <w:r>
                <w:rPr>
                  <w:rFonts w:cstheme="minorBidi"/>
                </w:rPr>
                <w:fldChar w:fldCharType="begin"/>
              </w:r>
              <w:r>
                <w:rPr>
                  <w:rFonts w:cstheme="minorBidi"/>
                </w:rPr>
                <w:instrText xml:space="preserve"> MACROBUTTON  SnrToggleCheckbox √不适用 </w:instrText>
              </w:r>
              <w:r>
                <w:rPr>
                  <w:rFonts w:cstheme="minorBidi"/>
                </w:rPr>
                <w:fldChar w:fldCharType="end"/>
              </w:r>
            </w:p>
          </w:sdtContent>
        </w:sdt>
      </w:sdtContent>
    </w:sdt>
    <w:p w14:paraId="4DBE5FCE" w14:textId="77777777" w:rsidR="007E7472" w:rsidRDefault="00C8327E">
      <w:pPr>
        <w:rPr>
          <w:rFonts w:cstheme="minorBidi"/>
        </w:rPr>
      </w:pPr>
    </w:p>
    <w:sdt>
      <w:sdtPr>
        <w:rPr>
          <w:sz w:val="20"/>
        </w:rPr>
        <w:alias w:val="模块:公允价值其他需要披露的事项"/>
        <w:tag w:val="_GBC_1551c1b4fedc4ac0ae859b67b4b79904"/>
        <w:id w:val="824165115"/>
        <w:lock w:val="sdtLocked"/>
        <w:placeholder>
          <w:docPart w:val="GBC22222222222222222222222222222"/>
        </w:placeholder>
      </w:sdtPr>
      <w:sdtEndPr/>
      <w:sdtContent>
        <w:p w14:paraId="1B6E49FD" w14:textId="77777777" w:rsidR="007E7472" w:rsidRPr="00925934" w:rsidRDefault="00EC1269" w:rsidP="00162493">
          <w:pPr>
            <w:numPr>
              <w:ilvl w:val="2"/>
              <w:numId w:val="106"/>
            </w:numPr>
            <w:outlineLvl w:val="2"/>
            <w:rPr>
              <w:b/>
            </w:rPr>
          </w:pPr>
          <w:r w:rsidRPr="00925934">
            <w:rPr>
              <w:rFonts w:hint="eastAsia"/>
              <w:b/>
            </w:rPr>
            <w:t>其他</w:t>
          </w:r>
        </w:p>
        <w:sdt>
          <w:sdtPr>
            <w:rPr>
              <w:rFonts w:hint="eastAsia"/>
            </w:rPr>
            <w:alias w:val="是否适用：公允价值其他需要披露的事项[双击切换]"/>
            <w:tag w:val="_GBC_9174a0e7dec04e80924ee384dabe783a"/>
            <w:id w:val="193351278"/>
            <w:lock w:val="sdtLocked"/>
            <w:placeholder>
              <w:docPart w:val="GBC22222222222222222222222222222"/>
            </w:placeholder>
          </w:sdtPr>
          <w:sdtEndPr/>
          <w:sdtContent>
            <w:p w14:paraId="711934D1"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F0C21D2" w14:textId="77777777" w:rsidR="007E7472" w:rsidRDefault="00C8327E"/>
      </w:sdtContent>
    </w:sdt>
    <w:p w14:paraId="3F7A64B5" w14:textId="77777777" w:rsidR="007E7472" w:rsidRDefault="00EC1269" w:rsidP="00162493">
      <w:pPr>
        <w:pStyle w:val="2"/>
        <w:numPr>
          <w:ilvl w:val="0"/>
          <w:numId w:val="43"/>
        </w:numPr>
        <w:ind w:firstLineChars="0"/>
      </w:pPr>
      <w:r>
        <w:rPr>
          <w:rFonts w:hint="eastAsia"/>
        </w:rPr>
        <w:t>关联方及关联交易</w:t>
      </w:r>
    </w:p>
    <w:sdt>
      <w:sdtPr>
        <w:rPr>
          <w:rFonts w:hint="eastAsia"/>
          <w:sz w:val="20"/>
          <w:szCs w:val="24"/>
        </w:rPr>
        <w:alias w:val="模块:本企业的母公司情况"/>
        <w:tag w:val="_GBC_29e1f7491caa4c3e96eef8c84532de84"/>
        <w:id w:val="1874421081"/>
        <w:lock w:val="sdtLocked"/>
        <w:placeholder>
          <w:docPart w:val="GBC22222222222222222222222222222"/>
        </w:placeholder>
      </w:sdtPr>
      <w:sdtEndPr>
        <w:rPr>
          <w:rFonts w:asciiTheme="minorEastAsia" w:eastAsiaTheme="minorEastAsia" w:hAnsiTheme="minorEastAsia" w:cs="Cambria"/>
          <w:sz w:val="21"/>
          <w:szCs w:val="21"/>
        </w:rPr>
      </w:sdtEndPr>
      <w:sdtContent>
        <w:p w14:paraId="5576517D" w14:textId="77777777" w:rsidR="007E7472" w:rsidRPr="00925934" w:rsidRDefault="00EC1269" w:rsidP="00162493">
          <w:pPr>
            <w:numPr>
              <w:ilvl w:val="2"/>
              <w:numId w:val="107"/>
            </w:numPr>
            <w:outlineLvl w:val="2"/>
            <w:rPr>
              <w:b/>
            </w:rPr>
          </w:pPr>
          <w:r w:rsidRPr="00925934">
            <w:rPr>
              <w:rFonts w:hint="eastAsia"/>
              <w:b/>
            </w:rPr>
            <w:t>本企业的母公司情况</w:t>
          </w:r>
        </w:p>
        <w:sdt>
          <w:sdtPr>
            <w:alias w:val="是否适用：本企业的母公司情况[双击切换]"/>
            <w:tag w:val="_GBC_ead7e4ec9cc847adb62aa8efd8005802"/>
            <w:id w:val="-1974207996"/>
            <w:lock w:val="sdtLocked"/>
            <w:placeholder>
              <w:docPart w:val="GBC22222222222222222222222222222"/>
            </w:placeholder>
          </w:sdtPr>
          <w:sdtEndPr/>
          <w:sdtContent>
            <w:p w14:paraId="37210B2B"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9B63389" w14:textId="7DD5A461" w:rsidR="007E7472" w:rsidRDefault="00EC1269">
          <w:pPr>
            <w:jc w:val="right"/>
          </w:pPr>
          <w:r>
            <w:rPr>
              <w:rFonts w:hint="eastAsia"/>
            </w:rPr>
            <w:t>单位：</w:t>
          </w:r>
          <w:sdt>
            <w:sdtPr>
              <w:rPr>
                <w:rFonts w:hint="eastAsia"/>
              </w:rPr>
              <w:alias w:val="单位：本企业的母公司情况"/>
              <w:tag w:val="_GBC_6deea75122314a599b3383585a0f5cfe"/>
              <w:id w:val="-5651797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本企业的母公司情况"/>
              <w:tag w:val="_GBC_3d5eae3a190749288b0c0bc9b1b1a3a3"/>
              <w:id w:val="20587365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4"/>
            <w:gridCol w:w="1203"/>
            <w:gridCol w:w="1690"/>
            <w:gridCol w:w="1278"/>
            <w:gridCol w:w="1528"/>
            <w:gridCol w:w="1770"/>
          </w:tblGrid>
          <w:tr w:rsidR="007E7472" w14:paraId="4F22009E" w14:textId="77777777">
            <w:trPr>
              <w:trHeight w:val="842"/>
            </w:trPr>
            <w:sdt>
              <w:sdtPr>
                <w:tag w:val="_PLD_19f86fac20c44d648212d3b573ca4c90"/>
                <w:id w:val="-718899959"/>
                <w:lock w:val="sdtLocked"/>
              </w:sdtPr>
              <w:sdtEndPr/>
              <w:sdtContent>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2DE3CA1D" w14:textId="77777777" w:rsidR="007E7472" w:rsidRDefault="00EC1269">
                    <w:pPr>
                      <w:jc w:val="center"/>
                      <w:rPr>
                        <w:rFonts w:cs="Cambria"/>
                      </w:rPr>
                    </w:pPr>
                    <w:r>
                      <w:rPr>
                        <w:rFonts w:cs="Cambria" w:hint="eastAsia"/>
                      </w:rPr>
                      <w:t>母公司名称</w:t>
                    </w:r>
                  </w:p>
                </w:tc>
              </w:sdtContent>
            </w:sdt>
            <w:sdt>
              <w:sdtPr>
                <w:tag w:val="_PLD_d0e9e84346084d4db76e60afa87cf85a"/>
                <w:id w:val="813678574"/>
                <w:lock w:val="sdtLocked"/>
              </w:sdtPr>
              <w:sdtEndPr/>
              <w:sdtContent>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14:paraId="16CD8EFB" w14:textId="77777777" w:rsidR="007E7472" w:rsidRDefault="00EC1269">
                    <w:pPr>
                      <w:jc w:val="center"/>
                      <w:rPr>
                        <w:rFonts w:cs="Cambria"/>
                      </w:rPr>
                    </w:pPr>
                    <w:r>
                      <w:rPr>
                        <w:rFonts w:cs="Cambria" w:hint="eastAsia"/>
                      </w:rPr>
                      <w:t>注册地</w:t>
                    </w:r>
                  </w:p>
                </w:tc>
              </w:sdtContent>
            </w:sdt>
            <w:sdt>
              <w:sdtPr>
                <w:tag w:val="_PLD_862851f8ff08431ea28c3420f555e42d"/>
                <w:id w:val="1998607520"/>
                <w:lock w:val="sdtLocked"/>
              </w:sdtPr>
              <w:sdtEndPr/>
              <w:sdtContent>
                <w:tc>
                  <w:tcPr>
                    <w:tcW w:w="958" w:type="pct"/>
                    <w:tcBorders>
                      <w:top w:val="single" w:sz="4" w:space="0" w:color="auto"/>
                      <w:left w:val="single" w:sz="4" w:space="0" w:color="auto"/>
                      <w:bottom w:val="single" w:sz="4" w:space="0" w:color="auto"/>
                      <w:right w:val="single" w:sz="4" w:space="0" w:color="auto"/>
                    </w:tcBorders>
                    <w:shd w:val="clear" w:color="auto" w:fill="auto"/>
                    <w:vAlign w:val="center"/>
                  </w:tcPr>
                  <w:p w14:paraId="66F301DB" w14:textId="77777777" w:rsidR="007E7472" w:rsidRDefault="00EC1269">
                    <w:pPr>
                      <w:jc w:val="center"/>
                      <w:rPr>
                        <w:rFonts w:cs="Cambria"/>
                      </w:rPr>
                    </w:pPr>
                    <w:r>
                      <w:rPr>
                        <w:rFonts w:cs="Cambria" w:hint="eastAsia"/>
                      </w:rPr>
                      <w:t>业务性质</w:t>
                    </w:r>
                  </w:p>
                </w:tc>
              </w:sdtContent>
            </w:sdt>
            <w:sdt>
              <w:sdtPr>
                <w:tag w:val="_PLD_77ed8bc59084448aa6eced74a15c106f"/>
                <w:id w:val="-619837446"/>
                <w:lock w:val="sdtLocked"/>
              </w:sdtPr>
              <w:sdtEndPr/>
              <w:sdtContent>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139B2420" w14:textId="77777777" w:rsidR="007E7472" w:rsidRDefault="00EC1269">
                    <w:pPr>
                      <w:jc w:val="center"/>
                      <w:rPr>
                        <w:rFonts w:cs="Cambria"/>
                      </w:rPr>
                    </w:pPr>
                    <w:r>
                      <w:rPr>
                        <w:rFonts w:cs="Cambria" w:hint="eastAsia"/>
                      </w:rPr>
                      <w:t>注册资本</w:t>
                    </w:r>
                  </w:p>
                </w:tc>
              </w:sdtContent>
            </w:sdt>
            <w:sdt>
              <w:sdtPr>
                <w:tag w:val="_PLD_360f61c4c6c14f0abe6480ef7f30e958"/>
                <w:id w:val="1229258466"/>
                <w:lock w:val="sdtLocked"/>
              </w:sdtPr>
              <w:sdtEndPr/>
              <w:sdtContent>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14:paraId="41C592E0" w14:textId="77777777" w:rsidR="007E7472" w:rsidRDefault="00EC1269">
                    <w:pPr>
                      <w:jc w:val="center"/>
                      <w:rPr>
                        <w:rFonts w:cs="Cambria"/>
                      </w:rPr>
                    </w:pPr>
                    <w:r>
                      <w:rPr>
                        <w:rFonts w:cs="Cambria" w:hint="eastAsia"/>
                      </w:rPr>
                      <w:t>母公司对本企业的持股比例</w:t>
                    </w:r>
                    <w:r>
                      <w:rPr>
                        <w:rFonts w:cs="Cambria"/>
                      </w:rPr>
                      <w:t>(%)</w:t>
                    </w:r>
                  </w:p>
                </w:tc>
              </w:sdtContent>
            </w:sdt>
            <w:sdt>
              <w:sdtPr>
                <w:tag w:val="_PLD_3ef945e24ca64fc394d2e6b861604fcf"/>
                <w:id w:val="-1527938538"/>
                <w:lock w:val="sdtLocked"/>
              </w:sdtPr>
              <w:sdtEndPr/>
              <w:sdtContent>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14:paraId="53A07E81" w14:textId="77777777" w:rsidR="007E7472" w:rsidRDefault="00EC1269">
                    <w:pPr>
                      <w:jc w:val="center"/>
                      <w:rPr>
                        <w:rFonts w:cs="Cambria"/>
                      </w:rPr>
                    </w:pPr>
                    <w:r>
                      <w:rPr>
                        <w:rFonts w:cs="Cambria" w:hint="eastAsia"/>
                      </w:rPr>
                      <w:t>母公司对本企业的表决权比例</w:t>
                    </w:r>
                    <w:r>
                      <w:rPr>
                        <w:rFonts w:cs="Cambria"/>
                      </w:rPr>
                      <w:t>(%)</w:t>
                    </w:r>
                  </w:p>
                </w:tc>
              </w:sdtContent>
            </w:sdt>
          </w:tr>
          <w:sdt>
            <w:sdtPr>
              <w:rPr>
                <w:rFonts w:cs="Cambria"/>
              </w:rPr>
              <w:alias w:val="本企业的母公司情况明细"/>
              <w:tag w:val="_GBC_e3a0ec4880544cc4ad472a056e28a2a2"/>
              <w:id w:val="-606743789"/>
              <w:lock w:val="sdtLocked"/>
              <w:placeholder>
                <w:docPart w:val="GBC11111111111111111111111111111"/>
              </w:placeholder>
            </w:sdtPr>
            <w:sdtEndPr/>
            <w:sdtContent>
              <w:tr w:rsidR="007E7472" w14:paraId="1EF932F2" w14:textId="77777777">
                <w:trPr>
                  <w:trHeight w:val="255"/>
                </w:trPr>
                <w:tc>
                  <w:tcPr>
                    <w:tcW w:w="767" w:type="pct"/>
                    <w:tcBorders>
                      <w:top w:val="single" w:sz="4" w:space="0" w:color="auto"/>
                      <w:left w:val="single" w:sz="4" w:space="0" w:color="auto"/>
                      <w:bottom w:val="single" w:sz="4" w:space="0" w:color="auto"/>
                      <w:right w:val="single" w:sz="4" w:space="0" w:color="auto"/>
                    </w:tcBorders>
                    <w:shd w:val="clear" w:color="auto" w:fill="auto"/>
                    <w:vAlign w:val="center"/>
                  </w:tcPr>
                  <w:p w14:paraId="667E7A7F" w14:textId="77777777" w:rsidR="007E7472" w:rsidRDefault="00EC1269">
                    <w:pPr>
                      <w:jc w:val="center"/>
                      <w:rPr>
                        <w:rFonts w:cs="Cambria"/>
                      </w:rPr>
                    </w:pPr>
                    <w:r>
                      <w:rPr>
                        <w:rFonts w:cs="Cambria" w:hint="eastAsia"/>
                      </w:rPr>
                      <w:t>山东能源集团有限公司</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14:paraId="1D2E56D2" w14:textId="77777777" w:rsidR="007E7472" w:rsidRDefault="00EC1269">
                    <w:pPr>
                      <w:jc w:val="center"/>
                      <w:rPr>
                        <w:rFonts w:cs="Cambria"/>
                      </w:rPr>
                    </w:pPr>
                    <w:r>
                      <w:rPr>
                        <w:rFonts w:cs="Cambria" w:hint="eastAsia"/>
                      </w:rPr>
                      <w:t>山东济南</w:t>
                    </w:r>
                  </w:p>
                </w:tc>
                <w:tc>
                  <w:tcPr>
                    <w:tcW w:w="958" w:type="pct"/>
                    <w:tcBorders>
                      <w:top w:val="single" w:sz="4" w:space="0" w:color="auto"/>
                      <w:left w:val="single" w:sz="4" w:space="0" w:color="auto"/>
                      <w:bottom w:val="single" w:sz="4" w:space="0" w:color="auto"/>
                      <w:right w:val="single" w:sz="4" w:space="0" w:color="auto"/>
                    </w:tcBorders>
                    <w:shd w:val="clear" w:color="auto" w:fill="auto"/>
                    <w:vAlign w:val="center"/>
                  </w:tcPr>
                  <w:p w14:paraId="15C5735C" w14:textId="77777777" w:rsidR="007E7472" w:rsidRDefault="00EC1269">
                    <w:pPr>
                      <w:jc w:val="both"/>
                      <w:rPr>
                        <w:rFonts w:cs="Cambria"/>
                      </w:rPr>
                    </w:pPr>
                    <w:r>
                      <w:rPr>
                        <w:rFonts w:cs="Cambria" w:hint="eastAsia"/>
                      </w:rPr>
                      <w:t>煤炭等资源性产品、煤电、煤化工、高端装备制造等</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52E74552" w14:textId="77777777" w:rsidR="007E7472" w:rsidRDefault="00EC1269">
                    <w:pPr>
                      <w:jc w:val="center"/>
                      <w:rPr>
                        <w:rFonts w:cs="Cambria"/>
                      </w:rPr>
                    </w:pPr>
                    <w:r>
                      <w:rPr>
                        <w:rFonts w:cs="Cambria"/>
                      </w:rPr>
                      <w:t>30,200,000</w:t>
                    </w:r>
                  </w:p>
                </w:tc>
                <w:tc>
                  <w:tcPr>
                    <w:tcW w:w="866" w:type="pct"/>
                    <w:tcBorders>
                      <w:top w:val="single" w:sz="4" w:space="0" w:color="auto"/>
                      <w:left w:val="single" w:sz="4" w:space="0" w:color="auto"/>
                      <w:bottom w:val="single" w:sz="4" w:space="0" w:color="auto"/>
                      <w:right w:val="single" w:sz="4" w:space="0" w:color="auto"/>
                    </w:tcBorders>
                    <w:shd w:val="clear" w:color="auto" w:fill="auto"/>
                    <w:vAlign w:val="center"/>
                  </w:tcPr>
                  <w:p w14:paraId="0D5B3DC6" w14:textId="77777777" w:rsidR="007E7472" w:rsidRDefault="00EC1269">
                    <w:pPr>
                      <w:jc w:val="center"/>
                      <w:rPr>
                        <w:rFonts w:cs="Cambria"/>
                      </w:rPr>
                    </w:pPr>
                    <w:r>
                      <w:rPr>
                        <w:rFonts w:cs="Cambria"/>
                      </w:rPr>
                      <w:t>54.67</w:t>
                    </w:r>
                  </w:p>
                </w:tc>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14:paraId="005D8663" w14:textId="77777777" w:rsidR="007E7472" w:rsidRDefault="00EC1269">
                    <w:pPr>
                      <w:jc w:val="center"/>
                      <w:rPr>
                        <w:rFonts w:cs="Cambria"/>
                      </w:rPr>
                    </w:pPr>
                    <w:r>
                      <w:rPr>
                        <w:rFonts w:cs="Cambria"/>
                      </w:rPr>
                      <w:t>54.67</w:t>
                    </w:r>
                  </w:p>
                </w:tc>
              </w:tr>
            </w:sdtContent>
          </w:sdt>
        </w:tbl>
        <w:p w14:paraId="5924437C" w14:textId="77777777" w:rsidR="007E7472" w:rsidRDefault="00EC1269">
          <w:pPr>
            <w:tabs>
              <w:tab w:val="left" w:pos="1134"/>
            </w:tabs>
            <w:rPr>
              <w:rFonts w:cs="Cambria"/>
            </w:rPr>
          </w:pPr>
          <w:r>
            <w:rPr>
              <w:rFonts w:cs="Cambria" w:hint="eastAsia"/>
            </w:rPr>
            <w:t>本企业的母公司情况的说明</w:t>
          </w:r>
        </w:p>
        <w:sdt>
          <w:sdtPr>
            <w:rPr>
              <w:rFonts w:cs="Cambria"/>
            </w:rPr>
            <w:alias w:val="本企业的母公司情况的说明"/>
            <w:tag w:val="_GBC_23f67537c1df4d9d9ede9fbc78ad06a4"/>
            <w:id w:val="-142740463"/>
            <w:lock w:val="sdtLocked"/>
            <w:placeholder>
              <w:docPart w:val="GBC22222222222222222222222222222"/>
            </w:placeholder>
          </w:sdtPr>
          <w:sdtEndPr>
            <w:rPr>
              <w:rFonts w:asciiTheme="minorEastAsia" w:eastAsiaTheme="minorEastAsia" w:hAnsiTheme="minorEastAsia"/>
            </w:rPr>
          </w:sdtEndPr>
          <w:sdtContent>
            <w:p w14:paraId="5F3DBE8B" w14:textId="77777777" w:rsidR="007E7472" w:rsidRDefault="00EC1269">
              <w:pPr>
                <w:tabs>
                  <w:tab w:val="left" w:pos="1134"/>
                </w:tabs>
                <w:rPr>
                  <w:rFonts w:cs="Cambria"/>
                </w:rPr>
              </w:pPr>
              <w:r>
                <w:rPr>
                  <w:rFonts w:cs="Cambria" w:hint="eastAsia"/>
                </w:rPr>
                <w:t>控股股东的注册资本及其变化</w:t>
              </w:r>
            </w:p>
            <w:tbl>
              <w:tblPr>
                <w:tblStyle w:val="g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418"/>
                <w:gridCol w:w="1475"/>
                <w:gridCol w:w="1745"/>
                <w:gridCol w:w="1780"/>
              </w:tblGrid>
              <w:tr w:rsidR="007E7472" w14:paraId="3EA41C26" w14:textId="77777777" w:rsidTr="007E7472">
                <w:trPr>
                  <w:trHeight w:val="340"/>
                </w:trPr>
                <w:tc>
                  <w:tcPr>
                    <w:tcW w:w="2405" w:type="dxa"/>
                    <w:vAlign w:val="center"/>
                  </w:tcPr>
                  <w:p w14:paraId="5EC3B3CF" w14:textId="77777777" w:rsidR="007E7472" w:rsidRDefault="00EC1269">
                    <w:pPr>
                      <w:tabs>
                        <w:tab w:val="left" w:pos="1134"/>
                      </w:tabs>
                      <w:jc w:val="center"/>
                      <w:rPr>
                        <w:rFonts w:ascii="Times New Roman" w:hAnsi="Times New Roman" w:cs="Cambria"/>
                        <w:b/>
                      </w:rPr>
                    </w:pPr>
                    <w:r>
                      <w:rPr>
                        <w:rFonts w:ascii="Times New Roman" w:hAnsi="Times New Roman"/>
                        <w:b/>
                      </w:rPr>
                      <w:t>控股股东</w:t>
                    </w:r>
                  </w:p>
                </w:tc>
                <w:tc>
                  <w:tcPr>
                    <w:tcW w:w="1418" w:type="dxa"/>
                    <w:vAlign w:val="center"/>
                  </w:tcPr>
                  <w:p w14:paraId="14D5F9D3" w14:textId="77777777" w:rsidR="007E7472" w:rsidRDefault="00EC1269">
                    <w:pPr>
                      <w:tabs>
                        <w:tab w:val="left" w:pos="1134"/>
                      </w:tabs>
                      <w:jc w:val="center"/>
                      <w:rPr>
                        <w:rFonts w:ascii="Times New Roman" w:hAnsi="Times New Roman" w:cs="Cambria"/>
                        <w:b/>
                      </w:rPr>
                    </w:pPr>
                    <w:r>
                      <w:rPr>
                        <w:rFonts w:ascii="Times New Roman" w:hAnsi="Times New Roman"/>
                        <w:b/>
                      </w:rPr>
                      <w:t>年初余额</w:t>
                    </w:r>
                  </w:p>
                </w:tc>
                <w:tc>
                  <w:tcPr>
                    <w:tcW w:w="1475" w:type="dxa"/>
                    <w:vAlign w:val="center"/>
                  </w:tcPr>
                  <w:p w14:paraId="6FDDBD29" w14:textId="77777777" w:rsidR="007E7472" w:rsidRDefault="00EC1269">
                    <w:pPr>
                      <w:tabs>
                        <w:tab w:val="left" w:pos="1134"/>
                      </w:tabs>
                      <w:jc w:val="center"/>
                      <w:rPr>
                        <w:rFonts w:ascii="Times New Roman" w:hAnsi="Times New Roman" w:cs="Cambria"/>
                        <w:b/>
                      </w:rPr>
                    </w:pPr>
                    <w:r>
                      <w:rPr>
                        <w:rFonts w:ascii="Times New Roman" w:hAnsi="Times New Roman"/>
                        <w:b/>
                      </w:rPr>
                      <w:t>本年增加</w:t>
                    </w:r>
                  </w:p>
                </w:tc>
                <w:tc>
                  <w:tcPr>
                    <w:tcW w:w="1745" w:type="dxa"/>
                    <w:vAlign w:val="center"/>
                  </w:tcPr>
                  <w:p w14:paraId="28AEBFDD" w14:textId="77777777" w:rsidR="007E7472" w:rsidRDefault="00EC1269">
                    <w:pPr>
                      <w:tabs>
                        <w:tab w:val="left" w:pos="1134"/>
                      </w:tabs>
                      <w:jc w:val="center"/>
                      <w:rPr>
                        <w:rFonts w:ascii="Times New Roman" w:hAnsi="Times New Roman" w:cs="Cambria"/>
                        <w:b/>
                      </w:rPr>
                    </w:pPr>
                    <w:r>
                      <w:rPr>
                        <w:rFonts w:ascii="Times New Roman" w:hAnsi="Times New Roman"/>
                        <w:b/>
                      </w:rPr>
                      <w:t>本年减少</w:t>
                    </w:r>
                  </w:p>
                </w:tc>
                <w:tc>
                  <w:tcPr>
                    <w:tcW w:w="1780" w:type="dxa"/>
                    <w:vAlign w:val="center"/>
                  </w:tcPr>
                  <w:p w14:paraId="53033F66" w14:textId="77777777" w:rsidR="007E7472" w:rsidRDefault="00EC1269">
                    <w:pPr>
                      <w:tabs>
                        <w:tab w:val="left" w:pos="1134"/>
                      </w:tabs>
                      <w:jc w:val="center"/>
                      <w:rPr>
                        <w:rFonts w:ascii="Times New Roman" w:hAnsi="Times New Roman" w:cs="Cambria"/>
                        <w:b/>
                      </w:rPr>
                    </w:pPr>
                    <w:r>
                      <w:rPr>
                        <w:rFonts w:ascii="Times New Roman" w:hAnsi="Times New Roman"/>
                        <w:b/>
                      </w:rPr>
                      <w:t>年末余额</w:t>
                    </w:r>
                  </w:p>
                </w:tc>
              </w:tr>
              <w:tr w:rsidR="007E7472" w14:paraId="53F4035F" w14:textId="77777777" w:rsidTr="007E7472">
                <w:trPr>
                  <w:trHeight w:val="340"/>
                </w:trPr>
                <w:tc>
                  <w:tcPr>
                    <w:tcW w:w="2405" w:type="dxa"/>
                    <w:vAlign w:val="center"/>
                  </w:tcPr>
                  <w:p w14:paraId="38D8AD74" w14:textId="77777777" w:rsidR="007E7472" w:rsidRDefault="00EC1269">
                    <w:pPr>
                      <w:tabs>
                        <w:tab w:val="left" w:pos="1134"/>
                      </w:tabs>
                      <w:rPr>
                        <w:rFonts w:ascii="Times New Roman" w:hAnsi="Times New Roman" w:cs="Cambria"/>
                      </w:rPr>
                    </w:pPr>
                    <w:r>
                      <w:rPr>
                        <w:rFonts w:ascii="Times New Roman" w:hAnsi="Times New Roman"/>
                      </w:rPr>
                      <w:t>山东能源集团有限公司</w:t>
                    </w:r>
                  </w:p>
                </w:tc>
                <w:tc>
                  <w:tcPr>
                    <w:tcW w:w="1418" w:type="dxa"/>
                    <w:vAlign w:val="center"/>
                  </w:tcPr>
                  <w:p w14:paraId="6B831833" w14:textId="77777777" w:rsidR="007E7472" w:rsidRPr="00147B9F" w:rsidRDefault="00EC1269">
                    <w:pPr>
                      <w:tabs>
                        <w:tab w:val="left" w:pos="1134"/>
                      </w:tabs>
                      <w:jc w:val="right"/>
                      <w:rPr>
                        <w:rFonts w:asciiTheme="majorEastAsia" w:eastAsiaTheme="majorEastAsia" w:hAnsiTheme="majorEastAsia" w:cs="Cambria"/>
                      </w:rPr>
                    </w:pPr>
                    <w:r w:rsidRPr="00147B9F">
                      <w:rPr>
                        <w:rFonts w:asciiTheme="majorEastAsia" w:eastAsiaTheme="majorEastAsia" w:hAnsiTheme="majorEastAsia"/>
                      </w:rPr>
                      <w:t>24,700,000</w:t>
                    </w:r>
                  </w:p>
                </w:tc>
                <w:tc>
                  <w:tcPr>
                    <w:tcW w:w="1475" w:type="dxa"/>
                    <w:vAlign w:val="center"/>
                  </w:tcPr>
                  <w:p w14:paraId="1F444D4C" w14:textId="77777777" w:rsidR="007E7472" w:rsidRPr="00147B9F" w:rsidRDefault="00EC1269">
                    <w:pPr>
                      <w:tabs>
                        <w:tab w:val="left" w:pos="1134"/>
                      </w:tabs>
                      <w:jc w:val="right"/>
                      <w:rPr>
                        <w:rFonts w:asciiTheme="majorEastAsia" w:eastAsiaTheme="majorEastAsia" w:hAnsiTheme="majorEastAsia" w:cs="Cambria"/>
                      </w:rPr>
                    </w:pPr>
                    <w:r w:rsidRPr="00147B9F">
                      <w:rPr>
                        <w:rFonts w:asciiTheme="majorEastAsia" w:eastAsiaTheme="majorEastAsia" w:hAnsiTheme="majorEastAsia" w:cs="Cambria"/>
                      </w:rPr>
                      <w:t>5,500,000</w:t>
                    </w:r>
                  </w:p>
                </w:tc>
                <w:tc>
                  <w:tcPr>
                    <w:tcW w:w="1745" w:type="dxa"/>
                    <w:vAlign w:val="center"/>
                  </w:tcPr>
                  <w:p w14:paraId="1A561E53" w14:textId="77777777" w:rsidR="007E7472" w:rsidRPr="00147B9F" w:rsidRDefault="00C8327E">
                    <w:pPr>
                      <w:tabs>
                        <w:tab w:val="left" w:pos="1134"/>
                      </w:tabs>
                      <w:jc w:val="right"/>
                      <w:rPr>
                        <w:rFonts w:asciiTheme="majorEastAsia" w:eastAsiaTheme="majorEastAsia" w:hAnsiTheme="majorEastAsia" w:cs="Cambria"/>
                      </w:rPr>
                    </w:pPr>
                  </w:p>
                </w:tc>
                <w:tc>
                  <w:tcPr>
                    <w:tcW w:w="1780" w:type="dxa"/>
                    <w:vAlign w:val="center"/>
                  </w:tcPr>
                  <w:p w14:paraId="74D61517" w14:textId="77777777" w:rsidR="007E7472" w:rsidRPr="00147B9F" w:rsidRDefault="00EC1269">
                    <w:pPr>
                      <w:tabs>
                        <w:tab w:val="left" w:pos="1134"/>
                      </w:tabs>
                      <w:jc w:val="right"/>
                      <w:rPr>
                        <w:rFonts w:asciiTheme="majorEastAsia" w:eastAsiaTheme="majorEastAsia" w:hAnsiTheme="majorEastAsia" w:cs="Cambria"/>
                      </w:rPr>
                    </w:pPr>
                    <w:r w:rsidRPr="00147B9F">
                      <w:rPr>
                        <w:rFonts w:asciiTheme="majorEastAsia" w:eastAsiaTheme="majorEastAsia" w:hAnsiTheme="majorEastAsia"/>
                      </w:rPr>
                      <w:t>30,200,000</w:t>
                    </w:r>
                  </w:p>
                </w:tc>
              </w:tr>
            </w:tbl>
            <w:p w14:paraId="533242A1" w14:textId="77777777" w:rsidR="007E7472" w:rsidRDefault="00EC1269">
              <w:pPr>
                <w:tabs>
                  <w:tab w:val="left" w:pos="1134"/>
                </w:tabs>
                <w:rPr>
                  <w:rFonts w:cs="Cambria"/>
                </w:rPr>
              </w:pPr>
              <w:r>
                <w:rPr>
                  <w:rFonts w:cs="Cambria" w:hint="eastAsia"/>
                </w:rPr>
                <w:t>控股股东的所持股份或权益及其变化</w:t>
              </w:r>
            </w:p>
            <w:tbl>
              <w:tblPr>
                <w:tblStyle w:val="g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559"/>
                <w:gridCol w:w="1843"/>
                <w:gridCol w:w="1255"/>
                <w:gridCol w:w="1761"/>
              </w:tblGrid>
              <w:tr w:rsidR="007E7472" w14:paraId="5F3977F8" w14:textId="77777777" w:rsidTr="007E7472">
                <w:tc>
                  <w:tcPr>
                    <w:tcW w:w="2405" w:type="dxa"/>
                    <w:vMerge w:val="restart"/>
                    <w:vAlign w:val="center"/>
                  </w:tcPr>
                  <w:p w14:paraId="4A3302A3" w14:textId="77777777" w:rsidR="007E7472" w:rsidRDefault="00EC1269">
                    <w:pPr>
                      <w:tabs>
                        <w:tab w:val="left" w:pos="1134"/>
                      </w:tabs>
                      <w:jc w:val="center"/>
                      <w:rPr>
                        <w:rFonts w:ascii="Times New Roman" w:hAnsi="Times New Roman" w:cs="Cambria"/>
                        <w:b/>
                      </w:rPr>
                    </w:pPr>
                    <w:r>
                      <w:rPr>
                        <w:rFonts w:ascii="Times New Roman" w:hAnsi="Times New Roman" w:cs="Cambria" w:hint="eastAsia"/>
                        <w:b/>
                      </w:rPr>
                      <w:t>控股股东</w:t>
                    </w:r>
                  </w:p>
                </w:tc>
                <w:tc>
                  <w:tcPr>
                    <w:tcW w:w="3402" w:type="dxa"/>
                    <w:gridSpan w:val="2"/>
                  </w:tcPr>
                  <w:p w14:paraId="21F9137D" w14:textId="77777777" w:rsidR="007E7472" w:rsidRDefault="00EC1269">
                    <w:pPr>
                      <w:tabs>
                        <w:tab w:val="left" w:pos="1134"/>
                      </w:tabs>
                      <w:jc w:val="center"/>
                      <w:rPr>
                        <w:rFonts w:ascii="Times New Roman" w:hAnsi="Times New Roman" w:cs="Cambria"/>
                        <w:b/>
                      </w:rPr>
                    </w:pPr>
                    <w:r>
                      <w:rPr>
                        <w:rFonts w:ascii="Times New Roman" w:hAnsi="Times New Roman" w:cs="Cambria" w:hint="eastAsia"/>
                        <w:b/>
                      </w:rPr>
                      <w:t>持股数量（千股）</w:t>
                    </w:r>
                  </w:p>
                </w:tc>
                <w:tc>
                  <w:tcPr>
                    <w:tcW w:w="3016" w:type="dxa"/>
                    <w:gridSpan w:val="2"/>
                  </w:tcPr>
                  <w:p w14:paraId="6B6D67F1" w14:textId="77777777" w:rsidR="007E7472" w:rsidRDefault="00EC1269">
                    <w:pPr>
                      <w:tabs>
                        <w:tab w:val="left" w:pos="1134"/>
                      </w:tabs>
                      <w:jc w:val="center"/>
                      <w:rPr>
                        <w:rFonts w:ascii="Times New Roman" w:hAnsi="Times New Roman" w:cs="Cambria"/>
                        <w:b/>
                      </w:rPr>
                    </w:pPr>
                    <w:r>
                      <w:rPr>
                        <w:rFonts w:ascii="Times New Roman" w:hAnsi="Times New Roman" w:cs="Cambria" w:hint="eastAsia"/>
                        <w:b/>
                      </w:rPr>
                      <w:t>持股比例（</w:t>
                    </w:r>
                    <w:r>
                      <w:rPr>
                        <w:rFonts w:ascii="Times New Roman" w:hAnsi="Times New Roman" w:cs="Cambria"/>
                        <w:b/>
                      </w:rPr>
                      <w:t>%</w:t>
                    </w:r>
                    <w:r>
                      <w:rPr>
                        <w:rFonts w:ascii="Times New Roman" w:hAnsi="Times New Roman" w:cs="Cambria"/>
                        <w:b/>
                      </w:rPr>
                      <w:t>）</w:t>
                    </w:r>
                  </w:p>
                </w:tc>
              </w:tr>
              <w:tr w:rsidR="007E7472" w14:paraId="26115367" w14:textId="77777777" w:rsidTr="007E7472">
                <w:tc>
                  <w:tcPr>
                    <w:tcW w:w="2405" w:type="dxa"/>
                    <w:vMerge/>
                  </w:tcPr>
                  <w:p w14:paraId="3ABC42D4" w14:textId="77777777" w:rsidR="007E7472" w:rsidRDefault="00C8327E">
                    <w:pPr>
                      <w:tabs>
                        <w:tab w:val="left" w:pos="1134"/>
                      </w:tabs>
                      <w:rPr>
                        <w:rFonts w:ascii="Times New Roman" w:hAnsi="Times New Roman" w:cs="Cambria"/>
                        <w:b/>
                      </w:rPr>
                    </w:pPr>
                  </w:p>
                </w:tc>
                <w:tc>
                  <w:tcPr>
                    <w:tcW w:w="1559" w:type="dxa"/>
                    <w:vAlign w:val="center"/>
                  </w:tcPr>
                  <w:p w14:paraId="635CA1C5" w14:textId="77777777" w:rsidR="007E7472" w:rsidRDefault="00EC1269">
                    <w:pPr>
                      <w:tabs>
                        <w:tab w:val="left" w:pos="1134"/>
                      </w:tabs>
                      <w:jc w:val="center"/>
                      <w:rPr>
                        <w:rFonts w:ascii="Times New Roman" w:hAnsi="Times New Roman" w:cs="Cambria"/>
                        <w:b/>
                      </w:rPr>
                    </w:pPr>
                    <w:r>
                      <w:rPr>
                        <w:rFonts w:ascii="Times New Roman" w:hAnsi="Times New Roman" w:cs="Cambria" w:hint="eastAsia"/>
                        <w:b/>
                      </w:rPr>
                      <w:t>年末余额</w:t>
                    </w:r>
                  </w:p>
                </w:tc>
                <w:tc>
                  <w:tcPr>
                    <w:tcW w:w="1843" w:type="dxa"/>
                    <w:vAlign w:val="center"/>
                  </w:tcPr>
                  <w:p w14:paraId="73B6EBD6" w14:textId="77777777" w:rsidR="007E7472" w:rsidRDefault="00EC1269">
                    <w:pPr>
                      <w:tabs>
                        <w:tab w:val="left" w:pos="1134"/>
                      </w:tabs>
                      <w:jc w:val="center"/>
                      <w:rPr>
                        <w:rFonts w:ascii="Times New Roman" w:hAnsi="Times New Roman" w:cs="Cambria"/>
                        <w:b/>
                      </w:rPr>
                    </w:pPr>
                    <w:r>
                      <w:rPr>
                        <w:rFonts w:ascii="Times New Roman" w:hAnsi="Times New Roman" w:cs="Cambria" w:hint="eastAsia"/>
                        <w:b/>
                      </w:rPr>
                      <w:t>年初余额</w:t>
                    </w:r>
                  </w:p>
                </w:tc>
                <w:tc>
                  <w:tcPr>
                    <w:tcW w:w="1255" w:type="dxa"/>
                    <w:vAlign w:val="center"/>
                  </w:tcPr>
                  <w:p w14:paraId="4B8278D0" w14:textId="77777777" w:rsidR="007E7472" w:rsidRDefault="00EC1269">
                    <w:pPr>
                      <w:tabs>
                        <w:tab w:val="left" w:pos="1134"/>
                      </w:tabs>
                      <w:jc w:val="center"/>
                      <w:rPr>
                        <w:rFonts w:ascii="Times New Roman" w:hAnsi="Times New Roman" w:cs="Cambria"/>
                        <w:b/>
                      </w:rPr>
                    </w:pPr>
                    <w:r>
                      <w:rPr>
                        <w:rFonts w:ascii="Times New Roman" w:hAnsi="Times New Roman" w:cs="Cambria" w:hint="eastAsia"/>
                        <w:b/>
                      </w:rPr>
                      <w:t>年末比例</w:t>
                    </w:r>
                  </w:p>
                </w:tc>
                <w:tc>
                  <w:tcPr>
                    <w:tcW w:w="1761" w:type="dxa"/>
                    <w:vAlign w:val="center"/>
                  </w:tcPr>
                  <w:p w14:paraId="67619801" w14:textId="77777777" w:rsidR="007E7472" w:rsidRDefault="00EC1269">
                    <w:pPr>
                      <w:tabs>
                        <w:tab w:val="left" w:pos="1134"/>
                      </w:tabs>
                      <w:jc w:val="center"/>
                      <w:rPr>
                        <w:rFonts w:ascii="Times New Roman" w:hAnsi="Times New Roman" w:cs="Cambria"/>
                        <w:b/>
                      </w:rPr>
                    </w:pPr>
                    <w:r>
                      <w:rPr>
                        <w:rFonts w:ascii="Times New Roman" w:hAnsi="Times New Roman" w:cs="Cambria" w:hint="eastAsia"/>
                        <w:b/>
                      </w:rPr>
                      <w:t>年初比例</w:t>
                    </w:r>
                  </w:p>
                </w:tc>
              </w:tr>
              <w:tr w:rsidR="007E7472" w14:paraId="491019B2" w14:textId="77777777" w:rsidTr="007E7472">
                <w:tc>
                  <w:tcPr>
                    <w:tcW w:w="2405" w:type="dxa"/>
                    <w:vAlign w:val="center"/>
                  </w:tcPr>
                  <w:p w14:paraId="01B9659F" w14:textId="77777777" w:rsidR="007E7472" w:rsidRDefault="00EC1269">
                    <w:pPr>
                      <w:tabs>
                        <w:tab w:val="left" w:pos="1134"/>
                      </w:tabs>
                      <w:rPr>
                        <w:rFonts w:asciiTheme="minorEastAsia" w:eastAsiaTheme="minorEastAsia" w:hAnsiTheme="minorEastAsia" w:cs="Cambria"/>
                      </w:rPr>
                    </w:pPr>
                    <w:r>
                      <w:rPr>
                        <w:rFonts w:asciiTheme="minorEastAsia" w:eastAsiaTheme="minorEastAsia" w:hAnsiTheme="minorEastAsia" w:cs="Cambria" w:hint="eastAsia"/>
                      </w:rPr>
                      <w:t>山东能源集团有限公司</w:t>
                    </w:r>
                  </w:p>
                </w:tc>
                <w:tc>
                  <w:tcPr>
                    <w:tcW w:w="1559" w:type="dxa"/>
                    <w:vAlign w:val="center"/>
                  </w:tcPr>
                  <w:p w14:paraId="407C3803" w14:textId="77777777" w:rsidR="007E7472" w:rsidRDefault="00EC1269">
                    <w:pPr>
                      <w:jc w:val="right"/>
                      <w:rPr>
                        <w:rFonts w:asciiTheme="minorEastAsia" w:eastAsiaTheme="minorEastAsia" w:hAnsiTheme="minorEastAsia"/>
                      </w:rPr>
                    </w:pPr>
                    <w:r>
                      <w:rPr>
                        <w:rFonts w:asciiTheme="minorEastAsia" w:eastAsiaTheme="minorEastAsia" w:hAnsiTheme="minorEastAsia"/>
                      </w:rPr>
                      <w:t>2,712,313</w:t>
                    </w:r>
                  </w:p>
                </w:tc>
                <w:tc>
                  <w:tcPr>
                    <w:tcW w:w="1843" w:type="dxa"/>
                    <w:vAlign w:val="center"/>
                  </w:tcPr>
                  <w:p w14:paraId="787DAE38" w14:textId="77777777" w:rsidR="007E7472" w:rsidRDefault="00EC1269">
                    <w:pPr>
                      <w:jc w:val="right"/>
                      <w:rPr>
                        <w:rFonts w:asciiTheme="minorEastAsia" w:eastAsiaTheme="minorEastAsia" w:hAnsiTheme="minorEastAsia"/>
                      </w:rPr>
                    </w:pPr>
                    <w:r>
                      <w:rPr>
                        <w:rFonts w:asciiTheme="minorEastAsia" w:eastAsiaTheme="minorEastAsia" w:hAnsiTheme="minorEastAsia"/>
                      </w:rPr>
                      <w:t>2,712,313</w:t>
                    </w:r>
                  </w:p>
                </w:tc>
                <w:tc>
                  <w:tcPr>
                    <w:tcW w:w="1255" w:type="dxa"/>
                    <w:vAlign w:val="center"/>
                  </w:tcPr>
                  <w:p w14:paraId="0891971A" w14:textId="77777777" w:rsidR="007E7472" w:rsidRDefault="00EC1269">
                    <w:pPr>
                      <w:jc w:val="right"/>
                      <w:rPr>
                        <w:rFonts w:asciiTheme="minorEastAsia" w:eastAsiaTheme="minorEastAsia" w:hAnsiTheme="minorEastAsia"/>
                      </w:rPr>
                    </w:pPr>
                    <w:r>
                      <w:rPr>
                        <w:rFonts w:asciiTheme="minorEastAsia" w:eastAsiaTheme="minorEastAsia" w:hAnsiTheme="minorEastAsia"/>
                      </w:rPr>
                      <w:t>54.67</w:t>
                    </w:r>
                  </w:p>
                </w:tc>
                <w:tc>
                  <w:tcPr>
                    <w:tcW w:w="1761" w:type="dxa"/>
                    <w:vAlign w:val="center"/>
                  </w:tcPr>
                  <w:p w14:paraId="545E848E" w14:textId="77777777" w:rsidR="007E7472" w:rsidRDefault="00EC1269">
                    <w:pPr>
                      <w:jc w:val="right"/>
                      <w:rPr>
                        <w:rFonts w:asciiTheme="minorEastAsia" w:eastAsiaTheme="minorEastAsia" w:hAnsiTheme="minorEastAsia"/>
                      </w:rPr>
                    </w:pPr>
                    <w:r>
                      <w:rPr>
                        <w:rFonts w:asciiTheme="minorEastAsia" w:eastAsiaTheme="minorEastAsia" w:hAnsiTheme="minorEastAsia"/>
                      </w:rPr>
                      <w:t>54.81</w:t>
                    </w:r>
                  </w:p>
                </w:tc>
              </w:tr>
            </w:tbl>
            <w:p w14:paraId="09B6A0E7" w14:textId="77777777" w:rsidR="007E7472" w:rsidRDefault="00C8327E">
              <w:pPr>
                <w:tabs>
                  <w:tab w:val="left" w:pos="1134"/>
                </w:tabs>
                <w:ind w:firstLineChars="200" w:firstLine="420"/>
                <w:rPr>
                  <w:rFonts w:asciiTheme="minorEastAsia" w:eastAsiaTheme="minorEastAsia" w:hAnsiTheme="minorEastAsia" w:cs="Cambria"/>
                </w:rPr>
              </w:pPr>
            </w:p>
          </w:sdtContent>
        </w:sdt>
        <w:p w14:paraId="3E476C39" w14:textId="77777777" w:rsidR="007E7472" w:rsidRDefault="00EC1269">
          <w:pPr>
            <w:rPr>
              <w:rFonts w:asciiTheme="minorEastAsia" w:eastAsiaTheme="minorEastAsia" w:hAnsiTheme="minorEastAsia"/>
            </w:rPr>
          </w:pPr>
          <w:r>
            <w:rPr>
              <w:rFonts w:asciiTheme="minorEastAsia" w:eastAsiaTheme="minorEastAsia" w:hAnsiTheme="minorEastAsia" w:hint="eastAsia"/>
            </w:rPr>
            <w:t>本企业最终控制方是</w:t>
          </w:r>
          <w:sdt>
            <w:sdtPr>
              <w:rPr>
                <w:rFonts w:asciiTheme="minorEastAsia" w:eastAsiaTheme="minorEastAsia" w:hAnsiTheme="minorEastAsia" w:hint="eastAsia"/>
              </w:rPr>
              <w:alias w:val="本企业最终控制方"/>
              <w:tag w:val="_GBC_951a676520994ab7a3822c5f58c20b7d"/>
              <w:id w:val="-1664621553"/>
              <w:lock w:val="sdtLocked"/>
              <w:placeholder>
                <w:docPart w:val="GBC22222222222222222222222222222"/>
              </w:placeholder>
            </w:sdtPr>
            <w:sdtEndPr/>
            <w:sdtContent>
              <w:r>
                <w:rPr>
                  <w:rFonts w:asciiTheme="minorEastAsia" w:eastAsiaTheme="minorEastAsia" w:hAnsiTheme="minorEastAsia" w:hint="eastAsia"/>
                </w:rPr>
                <w:t>山东能源集团有限公司</w:t>
              </w:r>
            </w:sdtContent>
          </w:sdt>
        </w:p>
      </w:sdtContent>
    </w:sdt>
    <w:sdt>
      <w:sdtPr>
        <w:rPr>
          <w:rFonts w:asciiTheme="minorEastAsia" w:eastAsiaTheme="minorEastAsia" w:hAnsiTheme="minorEastAsia" w:cs="Arial" w:hint="eastAsia"/>
        </w:rPr>
        <w:alias w:val="模块:本企业的子公司情况"/>
        <w:tag w:val="_GBC_244a434a920446c1838410fee0ac8ba8"/>
        <w:id w:val="-1980602832"/>
        <w:lock w:val="sdtLocked"/>
        <w:placeholder>
          <w:docPart w:val="GBC22222222222222222222222222222"/>
        </w:placeholder>
      </w:sdtPr>
      <w:sdtEndPr>
        <w:rPr>
          <w:rFonts w:cs="Cambria"/>
        </w:rPr>
      </w:sdtEndPr>
      <w:sdtContent>
        <w:p w14:paraId="550FAA49" w14:textId="77777777" w:rsidR="007E7472" w:rsidRPr="00925934" w:rsidRDefault="00EC1269" w:rsidP="00162493">
          <w:pPr>
            <w:numPr>
              <w:ilvl w:val="2"/>
              <w:numId w:val="107"/>
            </w:numPr>
            <w:outlineLvl w:val="2"/>
            <w:rPr>
              <w:rFonts w:asciiTheme="minorEastAsia" w:eastAsiaTheme="minorEastAsia" w:hAnsiTheme="minorEastAsia" w:cs="Arial"/>
              <w:b/>
            </w:rPr>
          </w:pPr>
          <w:r w:rsidRPr="00925934">
            <w:rPr>
              <w:rFonts w:asciiTheme="minorEastAsia" w:eastAsiaTheme="minorEastAsia" w:hAnsiTheme="minorEastAsia" w:cs="Arial" w:hint="eastAsia"/>
              <w:b/>
            </w:rPr>
            <w:t>本企业的子公司情况</w:t>
          </w:r>
        </w:p>
        <w:p w14:paraId="55049BB8" w14:textId="77777777" w:rsidR="007E7472" w:rsidRDefault="00EC1269">
          <w:pPr>
            <w:rPr>
              <w:rFonts w:asciiTheme="minorEastAsia" w:eastAsiaTheme="minorEastAsia" w:hAnsiTheme="minorEastAsia"/>
            </w:rPr>
          </w:pPr>
          <w:r>
            <w:rPr>
              <w:rFonts w:asciiTheme="minorEastAsia" w:eastAsiaTheme="minorEastAsia" w:hAnsiTheme="minorEastAsia" w:hint="eastAsia"/>
            </w:rPr>
            <w:t>本企业子公司的情况详见附注</w:t>
          </w:r>
        </w:p>
        <w:sdt>
          <w:sdtPr>
            <w:rPr>
              <w:rFonts w:asciiTheme="minorEastAsia" w:eastAsiaTheme="minorEastAsia" w:hAnsiTheme="minorEastAsia"/>
            </w:rPr>
            <w:alias w:val="是否适用：本公司的子公司情况详见附注[双击切换]"/>
            <w:tag w:val="_GBC_a8d551b9f62149d3bf9322adae2c671f"/>
            <w:id w:val="1335880709"/>
            <w:lock w:val="sdtLocked"/>
            <w:placeholder>
              <w:docPart w:val="GBC22222222222222222222222222222"/>
            </w:placeholder>
          </w:sdtPr>
          <w:sdtEndPr/>
          <w:sdtContent>
            <w:p w14:paraId="2CD6BC95" w14:textId="77777777" w:rsidR="007E7472" w:rsidRDefault="00EC1269">
              <w:pPr>
                <w:rPr>
                  <w:rFonts w:asciiTheme="minorEastAsia" w:eastAsiaTheme="minorEastAsia" w:hAnsiTheme="minorEastAsia"/>
                </w:rPr>
              </w:pP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
          <w:sdtPr>
            <w:rPr>
              <w:rFonts w:asciiTheme="minorEastAsia" w:eastAsiaTheme="minorEastAsia" w:hAnsiTheme="minorEastAsia" w:hint="eastAsia"/>
            </w:rPr>
            <w:alias w:val="本公司的子公司情况详见附注"/>
            <w:tag w:val="_GBC_bb3e2669c3cc45d0a6637b1809087708"/>
            <w:id w:val="-589313631"/>
            <w:lock w:val="sdtLocked"/>
            <w:placeholder>
              <w:docPart w:val="GBC22222222222222222222222222222"/>
            </w:placeholder>
          </w:sdtPr>
          <w:sdtEndPr/>
          <w:sdtContent>
            <w:p w14:paraId="450D78B2" w14:textId="77777777" w:rsidR="007E7472" w:rsidRDefault="00EC1269">
              <w:pPr>
                <w:spacing w:beforeLines="50" w:before="120" w:afterLines="50" w:after="120" w:line="360" w:lineRule="exact"/>
                <w:ind w:firstLineChars="200" w:firstLine="420"/>
                <w:rPr>
                  <w:rFonts w:asciiTheme="minorEastAsia" w:eastAsiaTheme="minorEastAsia" w:hAnsiTheme="minorEastAsia"/>
                </w:rPr>
              </w:pPr>
              <w:r>
                <w:rPr>
                  <w:rFonts w:asciiTheme="minorEastAsia" w:eastAsiaTheme="minorEastAsia" w:hAnsiTheme="minorEastAsia" w:hint="eastAsia"/>
                </w:rPr>
                <w:t>子公司情况详见本附注“九、</w:t>
              </w:r>
              <w:r>
                <w:rPr>
                  <w:rFonts w:asciiTheme="minorEastAsia" w:eastAsiaTheme="minorEastAsia" w:hAnsiTheme="minorEastAsia"/>
                </w:rPr>
                <w:t>1.（1）企业集团的构成”相关内容。</w:t>
              </w:r>
            </w:p>
          </w:sdtContent>
        </w:sdt>
        <w:p w14:paraId="30DC12F7" w14:textId="77777777" w:rsidR="007E7472" w:rsidRDefault="00C8327E">
          <w:pPr>
            <w:tabs>
              <w:tab w:val="left" w:pos="1134"/>
            </w:tabs>
            <w:rPr>
              <w:rFonts w:asciiTheme="minorEastAsia" w:eastAsiaTheme="minorEastAsia" w:hAnsiTheme="minorEastAsia" w:cs="Cambria"/>
            </w:rPr>
          </w:pPr>
        </w:p>
      </w:sdtContent>
    </w:sdt>
    <w:sdt>
      <w:sdtPr>
        <w:rPr>
          <w:rFonts w:asciiTheme="minorEastAsia" w:eastAsiaTheme="minorEastAsia" w:hAnsiTheme="minorEastAsia" w:hint="eastAsia"/>
        </w:rPr>
        <w:alias w:val="模块:存在关联方交易或余额的合营和联营企业情况"/>
        <w:tag w:val="_GBC_a5638b7fd6a848a19564209060b6909a"/>
        <w:id w:val="-539199389"/>
        <w:lock w:val="sdtLocked"/>
        <w:placeholder>
          <w:docPart w:val="GBC22222222222222222222222222222"/>
        </w:placeholder>
      </w:sdtPr>
      <w:sdtEndPr>
        <w:rPr>
          <w:rFonts w:ascii="宋体" w:eastAsia="宋体" w:hAnsi="宋体" w:cs="Cambria"/>
        </w:rPr>
      </w:sdtEndPr>
      <w:sdtContent>
        <w:p w14:paraId="05D06075" w14:textId="77777777" w:rsidR="007E7472" w:rsidRPr="00925934" w:rsidRDefault="00EC1269" w:rsidP="00162493">
          <w:pPr>
            <w:numPr>
              <w:ilvl w:val="2"/>
              <w:numId w:val="107"/>
            </w:numPr>
            <w:outlineLvl w:val="2"/>
            <w:rPr>
              <w:rFonts w:asciiTheme="minorEastAsia" w:eastAsiaTheme="minorEastAsia" w:hAnsiTheme="minorEastAsia"/>
              <w:b/>
            </w:rPr>
          </w:pPr>
          <w:r w:rsidRPr="00925934">
            <w:rPr>
              <w:rFonts w:asciiTheme="minorEastAsia" w:eastAsiaTheme="minorEastAsia" w:hAnsiTheme="minorEastAsia" w:hint="eastAsia"/>
              <w:b/>
            </w:rPr>
            <w:t>本企业合营和联营企业情况</w:t>
          </w:r>
        </w:p>
        <w:p w14:paraId="26110A00" w14:textId="77777777" w:rsidR="007E7472" w:rsidRDefault="00EC1269">
          <w:pPr>
            <w:rPr>
              <w:rFonts w:asciiTheme="minorEastAsia" w:eastAsiaTheme="minorEastAsia" w:hAnsiTheme="minorEastAsia"/>
            </w:rPr>
          </w:pPr>
          <w:r>
            <w:rPr>
              <w:rFonts w:asciiTheme="minorEastAsia" w:eastAsiaTheme="minorEastAsia" w:hAnsiTheme="minorEastAsia" w:hint="eastAsia"/>
            </w:rPr>
            <w:t>本企业重要的合营或联营企业详见附注</w:t>
          </w:r>
        </w:p>
        <w:sdt>
          <w:sdtPr>
            <w:rPr>
              <w:rFonts w:asciiTheme="minorEastAsia" w:eastAsiaTheme="minorEastAsia" w:hAnsiTheme="minorEastAsia"/>
            </w:rPr>
            <w:alias w:val="是否适用：本企业重要的合营或联营企业详见附注[双击切换]"/>
            <w:tag w:val="_GBC_2a369d3377e94598b2a744dfe59973e2"/>
            <w:id w:val="-1629999660"/>
            <w:lock w:val="sdtLocked"/>
            <w:placeholder>
              <w:docPart w:val="GBC22222222222222222222222222222"/>
            </w:placeholder>
          </w:sdtPr>
          <w:sdtEndPr/>
          <w:sdtContent>
            <w:p w14:paraId="76B95CE4" w14:textId="77777777" w:rsidR="007E7472" w:rsidRDefault="00EC1269">
              <w:pPr>
                <w:rPr>
                  <w:rFonts w:asciiTheme="minorEastAsia" w:eastAsiaTheme="minorEastAsia" w:hAnsiTheme="minorEastAsia"/>
                </w:rPr>
              </w:pP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sdt>
          <w:sdtPr>
            <w:rPr>
              <w:rFonts w:asciiTheme="minorEastAsia" w:eastAsiaTheme="minorEastAsia" w:hAnsiTheme="minorEastAsia" w:hint="eastAsia"/>
            </w:rPr>
            <w:alias w:val="本企业重要的合营或联营企业详见附注"/>
            <w:tag w:val="_GBC_3c58c586b3d3412d9989e9dff0b9f4cf"/>
            <w:id w:val="1890762753"/>
            <w:lock w:val="sdtLocked"/>
            <w:placeholder>
              <w:docPart w:val="GBC22222222222222222222222222222"/>
            </w:placeholder>
          </w:sdtPr>
          <w:sdtEndPr/>
          <w:sdtContent>
            <w:p w14:paraId="402D8E30" w14:textId="77777777" w:rsidR="007E7472" w:rsidRDefault="00EC1269">
              <w:pPr>
                <w:spacing w:beforeLines="50" w:before="120" w:afterLines="50" w:after="120" w:line="360" w:lineRule="exact"/>
                <w:ind w:firstLineChars="200" w:firstLine="420"/>
                <w:jc w:val="both"/>
                <w:rPr>
                  <w:rFonts w:asciiTheme="minorEastAsia" w:eastAsiaTheme="minorEastAsia" w:hAnsiTheme="minorEastAsia"/>
                </w:rPr>
              </w:pPr>
              <w:r>
                <w:rPr>
                  <w:rFonts w:asciiTheme="minorEastAsia" w:eastAsiaTheme="minorEastAsia" w:hAnsiTheme="minorEastAsia" w:hint="eastAsia"/>
                </w:rPr>
                <w:t>本公司重要的合营或联营企业详见本附注“九、</w:t>
              </w:r>
              <w:r>
                <w:rPr>
                  <w:rFonts w:asciiTheme="minorEastAsia" w:eastAsiaTheme="minorEastAsia" w:hAnsiTheme="minorEastAsia"/>
                </w:rPr>
                <w:t>3.（1）重要的合营企业或联营企业”相关内容。</w:t>
              </w:r>
            </w:p>
          </w:sdtContent>
        </w:sdt>
        <w:p w14:paraId="2EB4AEEA" w14:textId="77777777" w:rsidR="007E7472" w:rsidRDefault="00C8327E">
          <w:pPr>
            <w:rPr>
              <w:rFonts w:asciiTheme="minorEastAsia" w:eastAsiaTheme="minorEastAsia" w:hAnsiTheme="minorEastAsia"/>
            </w:rPr>
          </w:pPr>
        </w:p>
        <w:p w14:paraId="64A71AED" w14:textId="77777777" w:rsidR="007E7472" w:rsidRDefault="00EC1269">
          <w:pPr>
            <w:rPr>
              <w:rFonts w:asciiTheme="minorEastAsia" w:eastAsiaTheme="minorEastAsia" w:hAnsiTheme="minorEastAsia"/>
            </w:rPr>
          </w:pPr>
          <w:r>
            <w:rPr>
              <w:rFonts w:asciiTheme="minorEastAsia" w:eastAsiaTheme="minorEastAsia" w:hAnsiTheme="minorEastAsia" w:hint="eastAsia"/>
            </w:rPr>
            <w:t>本期与本公司发生关联方交易，或前期与本公司发生关联方交易形成余额的其他合营或联营企业情况如下</w:t>
          </w:r>
        </w:p>
        <w:sdt>
          <w:sdtPr>
            <w:rPr>
              <w:rFonts w:asciiTheme="minorEastAsia" w:eastAsiaTheme="minorEastAsia" w:hAnsiTheme="minorEastAsia"/>
            </w:rPr>
            <w:alias w:val="是否适用：本期与本公司发生关联方交易，或前期与本公司发生关联方交易形成余额的其他合营或联营企业情况如下[双击切换]"/>
            <w:tag w:val="_GBC_cab97913a7cc4573b25c34077eadbc4c"/>
            <w:id w:val="998000318"/>
            <w:lock w:val="sdtLocked"/>
            <w:placeholder>
              <w:docPart w:val="GBC22222222222222222222222222222"/>
            </w:placeholder>
          </w:sdtPr>
          <w:sdtEndPr/>
          <w:sdtContent>
            <w:p w14:paraId="79C0E0B8" w14:textId="77777777" w:rsidR="007E7472" w:rsidRDefault="00EC1269">
              <w:pPr>
                <w:rPr>
                  <w:rFonts w:asciiTheme="minorEastAsia" w:eastAsiaTheme="minorEastAsia" w:hAnsiTheme="minorEastAsia"/>
                </w:rPr>
              </w:pP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4576"/>
          </w:tblGrid>
          <w:tr w:rsidR="007E7472" w14:paraId="5F00B886" w14:textId="77777777">
            <w:trPr>
              <w:trHeight w:val="284"/>
            </w:trPr>
            <w:sdt>
              <w:sdtPr>
                <w:tag w:val="_PLD_e5c009b9730d40bc93f36e5e672cbe84"/>
                <w:id w:val="1151711904"/>
                <w:lock w:val="sdtLocked"/>
              </w:sdtPr>
              <w:sdtEndPr/>
              <w:sdtContent>
                <w:tc>
                  <w:tcPr>
                    <w:tcW w:w="2407" w:type="pct"/>
                    <w:tcBorders>
                      <w:top w:val="single" w:sz="4" w:space="0" w:color="auto"/>
                      <w:left w:val="single" w:sz="4" w:space="0" w:color="auto"/>
                      <w:bottom w:val="single" w:sz="4" w:space="0" w:color="auto"/>
                      <w:right w:val="single" w:sz="4" w:space="0" w:color="auto"/>
                    </w:tcBorders>
                    <w:shd w:val="clear" w:color="auto" w:fill="auto"/>
                  </w:tcPr>
                  <w:p w14:paraId="7779DEE3" w14:textId="77777777" w:rsidR="007E7472" w:rsidRDefault="00EC1269">
                    <w:pPr>
                      <w:jc w:val="center"/>
                      <w:rPr>
                        <w:rFonts w:cs="Cambria"/>
                      </w:rPr>
                    </w:pPr>
                    <w:r>
                      <w:rPr>
                        <w:rFonts w:cs="Cambria" w:hint="eastAsia"/>
                      </w:rPr>
                      <w:t>合营或联营企业名称</w:t>
                    </w:r>
                  </w:p>
                </w:tc>
              </w:sdtContent>
            </w:sdt>
            <w:sdt>
              <w:sdtPr>
                <w:tag w:val="_PLD_84c60036e8b849288542661d1d1b9890"/>
                <w:id w:val="-190076595"/>
                <w:lock w:val="sdtLocked"/>
              </w:sdtPr>
              <w:sdtEndPr/>
              <w:sdtContent>
                <w:tc>
                  <w:tcPr>
                    <w:tcW w:w="2593" w:type="pct"/>
                    <w:tcBorders>
                      <w:top w:val="single" w:sz="4" w:space="0" w:color="auto"/>
                      <w:left w:val="single" w:sz="4" w:space="0" w:color="auto"/>
                      <w:bottom w:val="single" w:sz="4" w:space="0" w:color="auto"/>
                      <w:right w:val="single" w:sz="4" w:space="0" w:color="auto"/>
                    </w:tcBorders>
                    <w:shd w:val="clear" w:color="auto" w:fill="auto"/>
                  </w:tcPr>
                  <w:p w14:paraId="1968A7F9" w14:textId="77777777" w:rsidR="007E7472" w:rsidRDefault="00EC1269">
                    <w:pPr>
                      <w:jc w:val="center"/>
                      <w:rPr>
                        <w:rFonts w:cs="Cambria"/>
                      </w:rPr>
                    </w:pPr>
                    <w:r>
                      <w:rPr>
                        <w:rFonts w:cs="Cambria" w:hint="eastAsia"/>
                      </w:rPr>
                      <w:t>与本企业关系</w:t>
                    </w:r>
                  </w:p>
                </w:tc>
              </w:sdtContent>
            </w:sdt>
          </w:tr>
          <w:sdt>
            <w:sdtPr>
              <w:alias w:val="存在关联方交易或余额的合营和联营企业情况明细"/>
              <w:tag w:val="_GBC_ef970ecfd5a24d47a5d96098bbd65e25"/>
              <w:id w:val="1156193184"/>
              <w:lock w:val="sdtLocked"/>
              <w:placeholder>
                <w:docPart w:val="GBC11111111111111111111111111111"/>
              </w:placeholder>
            </w:sdtPr>
            <w:sdtEndPr/>
            <w:sdtContent>
              <w:tr w:rsidR="007E7472" w14:paraId="43007839" w14:textId="77777777">
                <w:trPr>
                  <w:trHeight w:val="250"/>
                </w:trPr>
                <w:tc>
                  <w:tcPr>
                    <w:tcW w:w="2407" w:type="pct"/>
                    <w:tcBorders>
                      <w:top w:val="single" w:sz="4" w:space="0" w:color="auto"/>
                      <w:left w:val="single" w:sz="4" w:space="0" w:color="auto"/>
                      <w:bottom w:val="single" w:sz="4" w:space="0" w:color="auto"/>
                      <w:right w:val="single" w:sz="4" w:space="0" w:color="auto"/>
                    </w:tcBorders>
                  </w:tcPr>
                  <w:p w14:paraId="39B3C7F1" w14:textId="77777777" w:rsidR="007E7472" w:rsidRDefault="00EC1269">
                    <w:r>
                      <w:rPr>
                        <w:rFonts w:hint="eastAsia"/>
                      </w:rPr>
                      <w:t>中山矿合营企业</w:t>
                    </w:r>
                  </w:p>
                </w:tc>
                <w:tc>
                  <w:tcPr>
                    <w:tcW w:w="2593" w:type="pct"/>
                    <w:tcBorders>
                      <w:top w:val="single" w:sz="4" w:space="0" w:color="auto"/>
                      <w:left w:val="single" w:sz="4" w:space="0" w:color="auto"/>
                      <w:bottom w:val="single" w:sz="4" w:space="0" w:color="auto"/>
                      <w:right w:val="single" w:sz="4" w:space="0" w:color="auto"/>
                    </w:tcBorders>
                  </w:tcPr>
                  <w:p w14:paraId="410A4B88" w14:textId="77777777" w:rsidR="007E7472" w:rsidRDefault="00EC1269">
                    <w:r>
                      <w:rPr>
                        <w:rFonts w:hint="eastAsia"/>
                      </w:rPr>
                      <w:t>本公司之合营企业</w:t>
                    </w:r>
                  </w:p>
                </w:tc>
              </w:tr>
            </w:sdtContent>
          </w:sdt>
          <w:sdt>
            <w:sdtPr>
              <w:alias w:val="存在关联方交易或余额的合营和联营企业情况明细"/>
              <w:tag w:val="_GBC_ef970ecfd5a24d47a5d96098bbd65e25"/>
              <w:id w:val="99623991"/>
              <w:lock w:val="sdtLocked"/>
            </w:sdtPr>
            <w:sdtEndPr/>
            <w:sdtContent>
              <w:tr w:rsidR="007E7472" w14:paraId="6191615B" w14:textId="77777777">
                <w:trPr>
                  <w:trHeight w:val="250"/>
                </w:trPr>
                <w:tc>
                  <w:tcPr>
                    <w:tcW w:w="2407" w:type="pct"/>
                    <w:tcBorders>
                      <w:top w:val="single" w:sz="4" w:space="0" w:color="auto"/>
                      <w:left w:val="single" w:sz="4" w:space="0" w:color="auto"/>
                      <w:bottom w:val="single" w:sz="4" w:space="0" w:color="auto"/>
                      <w:right w:val="single" w:sz="4" w:space="0" w:color="auto"/>
                    </w:tcBorders>
                  </w:tcPr>
                  <w:p w14:paraId="0410F80E" w14:textId="77777777" w:rsidR="007E7472" w:rsidRDefault="00EC1269">
                    <w:r>
                      <w:rPr>
                        <w:rFonts w:hint="eastAsia"/>
                      </w:rPr>
                      <w:t>纽卡斯尔煤炭基础建设集团</w:t>
                    </w:r>
                  </w:p>
                </w:tc>
                <w:tc>
                  <w:tcPr>
                    <w:tcW w:w="2593" w:type="pct"/>
                    <w:tcBorders>
                      <w:top w:val="single" w:sz="4" w:space="0" w:color="auto"/>
                      <w:left w:val="single" w:sz="4" w:space="0" w:color="auto"/>
                      <w:bottom w:val="single" w:sz="4" w:space="0" w:color="auto"/>
                      <w:right w:val="single" w:sz="4" w:space="0" w:color="auto"/>
                    </w:tcBorders>
                  </w:tcPr>
                  <w:p w14:paraId="1A08E04B" w14:textId="77777777" w:rsidR="007E7472" w:rsidRDefault="00EC1269">
                    <w:r>
                      <w:rPr>
                        <w:rFonts w:hint="eastAsia"/>
                      </w:rPr>
                      <w:t>本公司之合营企业</w:t>
                    </w:r>
                  </w:p>
                </w:tc>
              </w:tr>
            </w:sdtContent>
          </w:sdt>
          <w:sdt>
            <w:sdtPr>
              <w:alias w:val="存在关联方交易或余额的合营和联营企业情况明细"/>
              <w:tag w:val="_GBC_ef970ecfd5a24d47a5d96098bbd65e25"/>
              <w:id w:val="-1523162066"/>
              <w:lock w:val="sdtLocked"/>
            </w:sdtPr>
            <w:sdtEndPr/>
            <w:sdtContent>
              <w:tr w:rsidR="007E7472" w14:paraId="55BCE43A" w14:textId="77777777">
                <w:trPr>
                  <w:trHeight w:val="250"/>
                </w:trPr>
                <w:tc>
                  <w:tcPr>
                    <w:tcW w:w="2407" w:type="pct"/>
                    <w:tcBorders>
                      <w:top w:val="single" w:sz="4" w:space="0" w:color="auto"/>
                      <w:left w:val="single" w:sz="4" w:space="0" w:color="auto"/>
                      <w:bottom w:val="single" w:sz="4" w:space="0" w:color="auto"/>
                      <w:right w:val="single" w:sz="4" w:space="0" w:color="auto"/>
                    </w:tcBorders>
                  </w:tcPr>
                  <w:p w14:paraId="2150BE2C" w14:textId="77777777" w:rsidR="007E7472" w:rsidRDefault="00EC1269">
                    <w:r>
                      <w:t>WICET Holdings Pty Ltd</w:t>
                    </w:r>
                  </w:p>
                </w:tc>
                <w:tc>
                  <w:tcPr>
                    <w:tcW w:w="2593" w:type="pct"/>
                    <w:tcBorders>
                      <w:top w:val="single" w:sz="4" w:space="0" w:color="auto"/>
                      <w:left w:val="single" w:sz="4" w:space="0" w:color="auto"/>
                      <w:bottom w:val="single" w:sz="4" w:space="0" w:color="auto"/>
                      <w:right w:val="single" w:sz="4" w:space="0" w:color="auto"/>
                    </w:tcBorders>
                  </w:tcPr>
                  <w:p w14:paraId="319C56DB" w14:textId="77777777" w:rsidR="007E7472" w:rsidRDefault="00EC1269">
                    <w:r>
                      <w:rPr>
                        <w:rFonts w:hint="eastAsia"/>
                      </w:rPr>
                      <w:t>本公司之联营企业</w:t>
                    </w:r>
                  </w:p>
                </w:tc>
              </w:tr>
            </w:sdtContent>
          </w:sdt>
          <w:sdt>
            <w:sdtPr>
              <w:alias w:val="存在关联方交易或余额的合营和联营企业情况明细"/>
              <w:tag w:val="_GBC_ef970ecfd5a24d47a5d96098bbd65e25"/>
              <w:id w:val="-1809699000"/>
              <w:lock w:val="sdtLocked"/>
            </w:sdtPr>
            <w:sdtEndPr/>
            <w:sdtContent>
              <w:tr w:rsidR="007E7472" w14:paraId="5CB5DC9A" w14:textId="77777777">
                <w:trPr>
                  <w:trHeight w:val="250"/>
                </w:trPr>
                <w:tc>
                  <w:tcPr>
                    <w:tcW w:w="2407" w:type="pct"/>
                    <w:tcBorders>
                      <w:top w:val="single" w:sz="4" w:space="0" w:color="auto"/>
                      <w:left w:val="single" w:sz="4" w:space="0" w:color="auto"/>
                      <w:bottom w:val="single" w:sz="4" w:space="0" w:color="auto"/>
                      <w:right w:val="single" w:sz="4" w:space="0" w:color="auto"/>
                    </w:tcBorders>
                  </w:tcPr>
                  <w:p w14:paraId="4A8C68A6" w14:textId="77777777" w:rsidR="007E7472" w:rsidRDefault="00EC1269">
                    <w:r>
                      <w:rPr>
                        <w:rFonts w:hint="eastAsia"/>
                      </w:rPr>
                      <w:t>沃拉塔港煤炭服务公司</w:t>
                    </w:r>
                  </w:p>
                </w:tc>
                <w:tc>
                  <w:tcPr>
                    <w:tcW w:w="2593" w:type="pct"/>
                    <w:tcBorders>
                      <w:top w:val="single" w:sz="4" w:space="0" w:color="auto"/>
                      <w:left w:val="single" w:sz="4" w:space="0" w:color="auto"/>
                      <w:bottom w:val="single" w:sz="4" w:space="0" w:color="auto"/>
                      <w:right w:val="single" w:sz="4" w:space="0" w:color="auto"/>
                    </w:tcBorders>
                  </w:tcPr>
                  <w:p w14:paraId="07979182" w14:textId="77777777" w:rsidR="007E7472" w:rsidRDefault="00EC1269">
                    <w:r>
                      <w:rPr>
                        <w:rFonts w:hint="eastAsia"/>
                      </w:rPr>
                      <w:t>本公司之联营企业</w:t>
                    </w:r>
                  </w:p>
                </w:tc>
              </w:tr>
            </w:sdtContent>
          </w:sdt>
          <w:sdt>
            <w:sdtPr>
              <w:alias w:val="存在关联方交易或余额的合营和联营企业情况明细"/>
              <w:tag w:val="_GBC_ef970ecfd5a24d47a5d96098bbd65e25"/>
              <w:id w:val="657424059"/>
              <w:lock w:val="sdtLocked"/>
            </w:sdtPr>
            <w:sdtEndPr/>
            <w:sdtContent>
              <w:tr w:rsidR="007E7472" w14:paraId="664EE88C" w14:textId="77777777">
                <w:trPr>
                  <w:trHeight w:val="250"/>
                </w:trPr>
                <w:tc>
                  <w:tcPr>
                    <w:tcW w:w="2407" w:type="pct"/>
                    <w:tcBorders>
                      <w:top w:val="single" w:sz="4" w:space="0" w:color="auto"/>
                      <w:left w:val="single" w:sz="4" w:space="0" w:color="auto"/>
                      <w:bottom w:val="single" w:sz="4" w:space="0" w:color="auto"/>
                      <w:right w:val="single" w:sz="4" w:space="0" w:color="auto"/>
                    </w:tcBorders>
                  </w:tcPr>
                  <w:p w14:paraId="47DCD883" w14:textId="77777777" w:rsidR="007E7472" w:rsidRDefault="00EC1269">
                    <w:r>
                      <w:rPr>
                        <w:rFonts w:hint="eastAsia"/>
                      </w:rPr>
                      <w:t>内蒙古东能能源有限责任公司</w:t>
                    </w:r>
                  </w:p>
                </w:tc>
                <w:tc>
                  <w:tcPr>
                    <w:tcW w:w="2593" w:type="pct"/>
                    <w:tcBorders>
                      <w:top w:val="single" w:sz="4" w:space="0" w:color="auto"/>
                      <w:left w:val="single" w:sz="4" w:space="0" w:color="auto"/>
                      <w:bottom w:val="single" w:sz="4" w:space="0" w:color="auto"/>
                      <w:right w:val="single" w:sz="4" w:space="0" w:color="auto"/>
                    </w:tcBorders>
                  </w:tcPr>
                  <w:p w14:paraId="7E6AE7E3" w14:textId="77777777" w:rsidR="007E7472" w:rsidRDefault="00EC1269">
                    <w:r>
                      <w:rPr>
                        <w:rFonts w:hint="eastAsia"/>
                      </w:rPr>
                      <w:t>本公司之联营企业</w:t>
                    </w:r>
                  </w:p>
                </w:tc>
              </w:tr>
            </w:sdtContent>
          </w:sdt>
          <w:sdt>
            <w:sdtPr>
              <w:alias w:val="存在关联方交易或余额的合营和联营企业情况明细"/>
              <w:tag w:val="_GBC_ef970ecfd5a24d47a5d96098bbd65e25"/>
              <w:id w:val="895709447"/>
              <w:lock w:val="sdtLocked"/>
            </w:sdtPr>
            <w:sdtEndPr/>
            <w:sdtContent>
              <w:tr w:rsidR="007E7472" w14:paraId="5594BED3" w14:textId="77777777">
                <w:trPr>
                  <w:trHeight w:val="250"/>
                </w:trPr>
                <w:tc>
                  <w:tcPr>
                    <w:tcW w:w="2407" w:type="pct"/>
                    <w:tcBorders>
                      <w:top w:val="single" w:sz="4" w:space="0" w:color="auto"/>
                      <w:left w:val="single" w:sz="4" w:space="0" w:color="auto"/>
                      <w:bottom w:val="single" w:sz="4" w:space="0" w:color="auto"/>
                      <w:right w:val="single" w:sz="4" w:space="0" w:color="auto"/>
                    </w:tcBorders>
                  </w:tcPr>
                  <w:p w14:paraId="7C3C3113" w14:textId="77777777" w:rsidR="007E7472" w:rsidRDefault="00EC1269">
                    <w:r>
                      <w:rPr>
                        <w:rFonts w:hint="eastAsia"/>
                      </w:rPr>
                      <w:t>内蒙古锦联铝材有限公司</w:t>
                    </w:r>
                  </w:p>
                </w:tc>
                <w:tc>
                  <w:tcPr>
                    <w:tcW w:w="2593" w:type="pct"/>
                    <w:tcBorders>
                      <w:top w:val="single" w:sz="4" w:space="0" w:color="auto"/>
                      <w:left w:val="single" w:sz="4" w:space="0" w:color="auto"/>
                      <w:bottom w:val="single" w:sz="4" w:space="0" w:color="auto"/>
                      <w:right w:val="single" w:sz="4" w:space="0" w:color="auto"/>
                    </w:tcBorders>
                  </w:tcPr>
                  <w:p w14:paraId="2C33AD86" w14:textId="77777777" w:rsidR="007E7472" w:rsidRDefault="00EC1269">
                    <w:r>
                      <w:rPr>
                        <w:rFonts w:hint="eastAsia"/>
                      </w:rPr>
                      <w:t>本公司之联营企业</w:t>
                    </w:r>
                  </w:p>
                </w:tc>
              </w:tr>
            </w:sdtContent>
          </w:sdt>
          <w:sdt>
            <w:sdtPr>
              <w:alias w:val="存在关联方交易或余额的合营和联营企业情况明细"/>
              <w:tag w:val="_GBC_ef970ecfd5a24d47a5d96098bbd65e25"/>
              <w:id w:val="-2042808202"/>
              <w:lock w:val="sdtLocked"/>
            </w:sdtPr>
            <w:sdtEndPr/>
            <w:sdtContent>
              <w:tr w:rsidR="007E7472" w14:paraId="6DFFB1AD" w14:textId="77777777">
                <w:trPr>
                  <w:trHeight w:val="250"/>
                </w:trPr>
                <w:tc>
                  <w:tcPr>
                    <w:tcW w:w="2407" w:type="pct"/>
                    <w:tcBorders>
                      <w:top w:val="single" w:sz="4" w:space="0" w:color="auto"/>
                      <w:left w:val="single" w:sz="4" w:space="0" w:color="auto"/>
                      <w:bottom w:val="single" w:sz="4" w:space="0" w:color="auto"/>
                      <w:right w:val="single" w:sz="4" w:space="0" w:color="auto"/>
                    </w:tcBorders>
                  </w:tcPr>
                  <w:p w14:paraId="466999FD" w14:textId="77777777" w:rsidR="007E7472" w:rsidRDefault="00EC1269">
                    <w:r>
                      <w:rPr>
                        <w:rFonts w:hint="eastAsia"/>
                      </w:rPr>
                      <w:t>内蒙古霍煤锦联矿业有限责任公司</w:t>
                    </w:r>
                  </w:p>
                </w:tc>
                <w:tc>
                  <w:tcPr>
                    <w:tcW w:w="2593" w:type="pct"/>
                    <w:tcBorders>
                      <w:top w:val="single" w:sz="4" w:space="0" w:color="auto"/>
                      <w:left w:val="single" w:sz="4" w:space="0" w:color="auto"/>
                      <w:bottom w:val="single" w:sz="4" w:space="0" w:color="auto"/>
                      <w:right w:val="single" w:sz="4" w:space="0" w:color="auto"/>
                    </w:tcBorders>
                  </w:tcPr>
                  <w:p w14:paraId="5C4569FB" w14:textId="77777777" w:rsidR="007E7472" w:rsidRDefault="00EC1269">
                    <w:r>
                      <w:rPr>
                        <w:rFonts w:hint="eastAsia"/>
                      </w:rPr>
                      <w:t>本公司之联营企业</w:t>
                    </w:r>
                  </w:p>
                </w:tc>
              </w:tr>
            </w:sdtContent>
          </w:sdt>
          <w:sdt>
            <w:sdtPr>
              <w:alias w:val="存在关联方交易或余额的合营和联营企业情况明细"/>
              <w:tag w:val="_GBC_ef970ecfd5a24d47a5d96098bbd65e25"/>
              <w:id w:val="1535544178"/>
              <w:lock w:val="sdtLocked"/>
            </w:sdtPr>
            <w:sdtEndPr/>
            <w:sdtContent>
              <w:tr w:rsidR="007E7472" w14:paraId="482B6230" w14:textId="77777777">
                <w:trPr>
                  <w:trHeight w:val="250"/>
                </w:trPr>
                <w:tc>
                  <w:tcPr>
                    <w:tcW w:w="2407" w:type="pct"/>
                    <w:tcBorders>
                      <w:top w:val="single" w:sz="4" w:space="0" w:color="auto"/>
                      <w:left w:val="single" w:sz="4" w:space="0" w:color="auto"/>
                      <w:bottom w:val="single" w:sz="4" w:space="0" w:color="auto"/>
                      <w:right w:val="single" w:sz="4" w:space="0" w:color="auto"/>
                    </w:tcBorders>
                  </w:tcPr>
                  <w:p w14:paraId="05501E7B" w14:textId="77777777" w:rsidR="007E7472" w:rsidRDefault="00EC1269">
                    <w:r>
                      <w:rPr>
                        <w:rFonts w:hint="eastAsia"/>
                      </w:rPr>
                      <w:t>山东新宝龙工业科技有限公司</w:t>
                    </w:r>
                  </w:p>
                </w:tc>
                <w:tc>
                  <w:tcPr>
                    <w:tcW w:w="2593" w:type="pct"/>
                    <w:tcBorders>
                      <w:top w:val="single" w:sz="4" w:space="0" w:color="auto"/>
                      <w:left w:val="single" w:sz="4" w:space="0" w:color="auto"/>
                      <w:bottom w:val="single" w:sz="4" w:space="0" w:color="auto"/>
                      <w:right w:val="single" w:sz="4" w:space="0" w:color="auto"/>
                    </w:tcBorders>
                  </w:tcPr>
                  <w:p w14:paraId="6DAE060F" w14:textId="77777777" w:rsidR="007E7472" w:rsidRDefault="00EC1269">
                    <w:r>
                      <w:rPr>
                        <w:rFonts w:hint="eastAsia"/>
                      </w:rPr>
                      <w:t>本公司之联营企业</w:t>
                    </w:r>
                  </w:p>
                </w:tc>
              </w:tr>
            </w:sdtContent>
          </w:sdt>
          <w:sdt>
            <w:sdtPr>
              <w:alias w:val="存在关联方交易或余额的合营和联营企业情况明细"/>
              <w:tag w:val="_GBC_ef970ecfd5a24d47a5d96098bbd65e25"/>
              <w:id w:val="-249974873"/>
              <w:lock w:val="sdtLocked"/>
              <w:placeholder>
                <w:docPart w:val="GBC11111111111111111111111111111"/>
              </w:placeholder>
            </w:sdtPr>
            <w:sdtEndPr/>
            <w:sdtContent>
              <w:tr w:rsidR="007E7472" w14:paraId="4546BC9F" w14:textId="77777777">
                <w:trPr>
                  <w:trHeight w:val="250"/>
                </w:trPr>
                <w:tc>
                  <w:tcPr>
                    <w:tcW w:w="2407" w:type="pct"/>
                    <w:tcBorders>
                      <w:top w:val="single" w:sz="4" w:space="0" w:color="auto"/>
                      <w:left w:val="single" w:sz="4" w:space="0" w:color="auto"/>
                      <w:bottom w:val="single" w:sz="4" w:space="0" w:color="auto"/>
                      <w:right w:val="single" w:sz="4" w:space="0" w:color="auto"/>
                    </w:tcBorders>
                  </w:tcPr>
                  <w:p w14:paraId="4362A547" w14:textId="77777777" w:rsidR="007E7472" w:rsidRDefault="00EC1269">
                    <w:r>
                      <w:rPr>
                        <w:rFonts w:hint="eastAsia"/>
                      </w:rPr>
                      <w:t>兖矿清湖生态科技（山东）有限责任公司</w:t>
                    </w:r>
                  </w:p>
                </w:tc>
                <w:tc>
                  <w:tcPr>
                    <w:tcW w:w="2593" w:type="pct"/>
                    <w:tcBorders>
                      <w:top w:val="single" w:sz="4" w:space="0" w:color="auto"/>
                      <w:left w:val="single" w:sz="4" w:space="0" w:color="auto"/>
                      <w:bottom w:val="single" w:sz="4" w:space="0" w:color="auto"/>
                      <w:right w:val="single" w:sz="4" w:space="0" w:color="auto"/>
                    </w:tcBorders>
                  </w:tcPr>
                  <w:p w14:paraId="3A6B6677" w14:textId="77777777" w:rsidR="007E7472" w:rsidRDefault="00EC1269">
                    <w:r>
                      <w:rPr>
                        <w:rFonts w:hint="eastAsia"/>
                      </w:rPr>
                      <w:t>本公司之联营企业</w:t>
                    </w:r>
                  </w:p>
                </w:tc>
              </w:tr>
            </w:sdtContent>
          </w:sdt>
        </w:tbl>
        <w:p w14:paraId="45BEEDFD" w14:textId="77777777" w:rsidR="007E7472" w:rsidRDefault="00EC1269">
          <w:pPr>
            <w:tabs>
              <w:tab w:val="left" w:pos="1134"/>
            </w:tabs>
            <w:rPr>
              <w:rFonts w:cs="Cambria"/>
            </w:rPr>
          </w:pPr>
          <w:r>
            <w:rPr>
              <w:rFonts w:cs="Cambria" w:hint="eastAsia"/>
            </w:rPr>
            <w:t>其他说明</w:t>
          </w:r>
        </w:p>
        <w:sdt>
          <w:sdtPr>
            <w:rPr>
              <w:rFonts w:cs="Cambria"/>
            </w:rPr>
            <w:alias w:val="是否适用：存在关联方交易或余额的合营和联营企业情况说明[双击切换]"/>
            <w:tag w:val="_GBC_6d56e8a9eaca4f499d758b2eb96268bf"/>
            <w:id w:val="-310941297"/>
            <w:lock w:val="sdtLocked"/>
            <w:placeholder>
              <w:docPart w:val="GBC22222222222222222222222222222"/>
            </w:placeholder>
          </w:sdtPr>
          <w:sdtEndPr/>
          <w:sdtContent>
            <w:p w14:paraId="48BCCEAA" w14:textId="77777777" w:rsidR="007E7472" w:rsidRDefault="00EC1269">
              <w:pPr>
                <w:tabs>
                  <w:tab w:val="left" w:pos="1134"/>
                </w:tabs>
                <w:rPr>
                  <w:rFonts w:cs="Cambria"/>
                </w:rPr>
              </w:pPr>
              <w:r>
                <w:rPr>
                  <w:rFonts w:cs="Cambria"/>
                </w:rPr>
                <w:fldChar w:fldCharType="begin"/>
              </w:r>
              <w:r>
                <w:rPr>
                  <w:rFonts w:cs="Cambria"/>
                </w:rPr>
                <w:instrText xml:space="preserve"> MACROBUTTON  SnrToggleCheckbox □适用 </w:instrText>
              </w:r>
              <w:r>
                <w:rPr>
                  <w:rFonts w:cs="Cambria"/>
                </w:rPr>
                <w:fldChar w:fldCharType="end"/>
              </w:r>
              <w:r>
                <w:rPr>
                  <w:rFonts w:cs="Cambria"/>
                </w:rPr>
                <w:fldChar w:fldCharType="begin"/>
              </w:r>
              <w:r>
                <w:rPr>
                  <w:rFonts w:cs="Cambria"/>
                </w:rPr>
                <w:instrText xml:space="preserve"> MACROBUTTON  SnrToggleCheckbox √不适用 </w:instrText>
              </w:r>
              <w:r>
                <w:rPr>
                  <w:rFonts w:cs="Cambria"/>
                </w:rPr>
                <w:fldChar w:fldCharType="end"/>
              </w:r>
            </w:p>
          </w:sdtContent>
        </w:sdt>
        <w:p w14:paraId="0E511BBD" w14:textId="77777777" w:rsidR="007E7472" w:rsidRDefault="00C8327E">
          <w:pPr>
            <w:tabs>
              <w:tab w:val="left" w:pos="1134"/>
            </w:tabs>
            <w:rPr>
              <w:rFonts w:cs="Cambria"/>
            </w:rPr>
          </w:pPr>
        </w:p>
      </w:sdtContent>
    </w:sdt>
    <w:sdt>
      <w:sdtPr>
        <w:rPr>
          <w:rFonts w:hint="eastAsia"/>
          <w:szCs w:val="24"/>
        </w:rPr>
        <w:alias w:val="模块:其他关联方情况"/>
        <w:tag w:val="_GBC_047a0ce3dc594d779db6d4cbc1623727"/>
        <w:id w:val="-959876520"/>
        <w:lock w:val="sdtLocked"/>
        <w:placeholder>
          <w:docPart w:val="GBC22222222222222222222222222222"/>
        </w:placeholder>
      </w:sdtPr>
      <w:sdtEndPr>
        <w:rPr>
          <w:rFonts w:cs="Cambria"/>
          <w:szCs w:val="21"/>
        </w:rPr>
      </w:sdtEndPr>
      <w:sdtContent>
        <w:p w14:paraId="58A1DC2E" w14:textId="77777777" w:rsidR="007E7472" w:rsidRPr="00925934" w:rsidRDefault="00EC1269" w:rsidP="00162493">
          <w:pPr>
            <w:numPr>
              <w:ilvl w:val="2"/>
              <w:numId w:val="107"/>
            </w:numPr>
            <w:outlineLvl w:val="2"/>
            <w:rPr>
              <w:b/>
            </w:rPr>
          </w:pPr>
          <w:r w:rsidRPr="00925934">
            <w:rPr>
              <w:rFonts w:hint="eastAsia"/>
              <w:b/>
            </w:rPr>
            <w:t>其他关联方情况</w:t>
          </w:r>
        </w:p>
        <w:sdt>
          <w:sdtPr>
            <w:alias w:val="是否适用：其他关联方情况[双击切换]"/>
            <w:tag w:val="_GBC_f9c029ef57734babb6375a74af1e3736"/>
            <w:id w:val="-944994430"/>
            <w:lock w:val="sdtLocked"/>
            <w:placeholder>
              <w:docPart w:val="GBC22222222222222222222222222222"/>
            </w:placeholder>
          </w:sdtPr>
          <w:sdtEndPr/>
          <w:sdtContent>
            <w:p w14:paraId="5488A53B"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9"/>
            <w:gridCol w:w="2908"/>
            <w:gridCol w:w="3016"/>
          </w:tblGrid>
          <w:tr w:rsidR="007E7472" w14:paraId="1A0A8B9D" w14:textId="77777777">
            <w:trPr>
              <w:trHeight w:val="267"/>
            </w:trPr>
            <w:sdt>
              <w:sdtPr>
                <w:tag w:val="_PLD_8fe00abbc9b249a98b2e3ac6b12f12db"/>
                <w:id w:val="-554615795"/>
                <w:lock w:val="sdtLocked"/>
              </w:sdtPr>
              <w:sdtEndPr/>
              <w:sdtContent>
                <w:tc>
                  <w:tcPr>
                    <w:tcW w:w="1643" w:type="pct"/>
                    <w:tcBorders>
                      <w:top w:val="single" w:sz="4" w:space="0" w:color="auto"/>
                      <w:left w:val="single" w:sz="4" w:space="0" w:color="auto"/>
                      <w:bottom w:val="single" w:sz="4" w:space="0" w:color="auto"/>
                      <w:right w:val="single" w:sz="4" w:space="0" w:color="auto"/>
                    </w:tcBorders>
                    <w:shd w:val="clear" w:color="auto" w:fill="auto"/>
                  </w:tcPr>
                  <w:p w14:paraId="19379E14" w14:textId="77777777" w:rsidR="007E7472" w:rsidRDefault="00EC1269">
                    <w:pPr>
                      <w:jc w:val="center"/>
                      <w:rPr>
                        <w:rFonts w:cs="Cambria"/>
                      </w:rPr>
                    </w:pPr>
                    <w:r>
                      <w:rPr>
                        <w:rFonts w:cs="Cambria" w:hint="eastAsia"/>
                      </w:rPr>
                      <w:t>其他关联方名称</w:t>
                    </w:r>
                  </w:p>
                </w:tc>
              </w:sdtContent>
            </w:sdt>
            <w:sdt>
              <w:sdtPr>
                <w:tag w:val="_PLD_c1304840da1e482f80286e0c7ca19002"/>
                <w:id w:val="259105801"/>
                <w:lock w:val="sdtLocked"/>
              </w:sdtPr>
              <w:sdtEndPr/>
              <w:sdtContent>
                <w:tc>
                  <w:tcPr>
                    <w:tcW w:w="1648" w:type="pct"/>
                    <w:tcBorders>
                      <w:top w:val="single" w:sz="4" w:space="0" w:color="auto"/>
                      <w:left w:val="single" w:sz="4" w:space="0" w:color="auto"/>
                      <w:bottom w:val="single" w:sz="4" w:space="0" w:color="auto"/>
                      <w:right w:val="single" w:sz="4" w:space="0" w:color="auto"/>
                    </w:tcBorders>
                    <w:shd w:val="clear" w:color="auto" w:fill="auto"/>
                  </w:tcPr>
                  <w:p w14:paraId="05B83059" w14:textId="77777777" w:rsidR="007E7472" w:rsidRDefault="00EC1269">
                    <w:pPr>
                      <w:jc w:val="center"/>
                      <w:rPr>
                        <w:rFonts w:cs="Cambria"/>
                      </w:rPr>
                    </w:pPr>
                    <w:r>
                      <w:rPr>
                        <w:rFonts w:cs="Cambria" w:hint="eastAsia"/>
                      </w:rPr>
                      <w:t>其他关联方与本企业关系</w:t>
                    </w:r>
                  </w:p>
                </w:tc>
              </w:sdtContent>
            </w:sdt>
            <w:tc>
              <w:tcPr>
                <w:tcW w:w="1709" w:type="pct"/>
                <w:tcBorders>
                  <w:top w:val="single" w:sz="4" w:space="0" w:color="auto"/>
                  <w:left w:val="single" w:sz="4" w:space="0" w:color="auto"/>
                  <w:bottom w:val="single" w:sz="4" w:space="0" w:color="auto"/>
                  <w:right w:val="single" w:sz="4" w:space="0" w:color="auto"/>
                </w:tcBorders>
                <w:shd w:val="clear" w:color="auto" w:fill="auto"/>
              </w:tcPr>
              <w:p w14:paraId="062379F6" w14:textId="77777777" w:rsidR="007E7472" w:rsidRDefault="00EC1269">
                <w:pPr>
                  <w:jc w:val="center"/>
                  <w:rPr>
                    <w:rFonts w:cs="Cambria"/>
                  </w:rPr>
                </w:pPr>
                <w:r>
                  <w:rPr>
                    <w:rFonts w:cs="Cambria" w:hint="eastAsia"/>
                  </w:rPr>
                  <w:t>主要交易内容</w:t>
                </w:r>
              </w:p>
            </w:tc>
          </w:tr>
          <w:sdt>
            <w:sdtPr>
              <w:rPr>
                <w:rFonts w:cs="Cambria"/>
              </w:rPr>
              <w:alias w:val="本企业的其他关联方情况明细"/>
              <w:tag w:val="_GBC_2ec4adf7a1ce48faaeba9536b2bf6d81"/>
              <w:id w:val="1844115355"/>
              <w:lock w:val="sdtLocked"/>
            </w:sdtPr>
            <w:sdtEndPr/>
            <w:sdtContent>
              <w:tr w:rsidR="007E7472" w14:paraId="04264375" w14:textId="77777777">
                <w:trPr>
                  <w:trHeight w:val="267"/>
                </w:trPr>
                <w:tc>
                  <w:tcPr>
                    <w:tcW w:w="1643" w:type="pct"/>
                    <w:tcBorders>
                      <w:top w:val="single" w:sz="4" w:space="0" w:color="auto"/>
                      <w:left w:val="single" w:sz="4" w:space="0" w:color="auto"/>
                      <w:bottom w:val="single" w:sz="4" w:space="0" w:color="auto"/>
                      <w:right w:val="single" w:sz="4" w:space="0" w:color="auto"/>
                    </w:tcBorders>
                    <w:vAlign w:val="center"/>
                  </w:tcPr>
                  <w:p w14:paraId="219AD72F" w14:textId="77777777" w:rsidR="007E7472" w:rsidRDefault="00EC1269">
                    <w:pPr>
                      <w:rPr>
                        <w:rFonts w:cs="Cambria"/>
                      </w:rPr>
                    </w:pPr>
                    <w:r>
                      <w:rPr>
                        <w:rFonts w:cs="Cambria" w:hint="eastAsia"/>
                      </w:rPr>
                      <w:t>兖矿东华建设有限公司</w:t>
                    </w:r>
                  </w:p>
                </w:tc>
                <w:sdt>
                  <w:sdtPr>
                    <w:rPr>
                      <w:rFonts w:cs="Cambria"/>
                    </w:rPr>
                    <w:alias w:val="本企业的其他关联方情况明细－其他关联方与本公司关系"/>
                    <w:tag w:val="_GBC_2205fb8ea5f648b5a0c9e8e3f8499f9f"/>
                    <w:id w:val="108187789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48" w:type="pct"/>
                        <w:tcBorders>
                          <w:top w:val="single" w:sz="4" w:space="0" w:color="auto"/>
                          <w:left w:val="single" w:sz="4" w:space="0" w:color="auto"/>
                          <w:bottom w:val="single" w:sz="4" w:space="0" w:color="auto"/>
                          <w:right w:val="single" w:sz="4" w:space="0" w:color="auto"/>
                        </w:tcBorders>
                      </w:tcPr>
                      <w:p w14:paraId="4C3DF50C" w14:textId="346E74BA" w:rsidR="007E7472" w:rsidRDefault="006F3F93">
                        <w:pPr>
                          <w:rPr>
                            <w:rFonts w:cs="Cambria"/>
                          </w:rPr>
                        </w:pPr>
                        <w:r>
                          <w:rPr>
                            <w:rFonts w:cs="Cambria"/>
                          </w:rPr>
                          <w:t>受同一控股股东及最终控制方控制的其他企业</w:t>
                        </w:r>
                      </w:p>
                    </w:tc>
                  </w:sdtContent>
                </w:sdt>
                <w:sdt>
                  <w:sdtPr>
                    <w:alias w:val="主要交易内容"/>
                    <w:tag w:val="_GBC_5d4738d8b3dc4d0980cb436f6762b1b9"/>
                    <w:id w:val="-1774008551"/>
                    <w:lock w:val="sdtLocked"/>
                  </w:sdtPr>
                  <w:sdtEndPr/>
                  <w:sdtContent>
                    <w:tc>
                      <w:tcPr>
                        <w:tcW w:w="1709" w:type="pct"/>
                        <w:tcBorders>
                          <w:top w:val="single" w:sz="4" w:space="0" w:color="auto"/>
                          <w:left w:val="single" w:sz="4" w:space="0" w:color="auto"/>
                          <w:bottom w:val="single" w:sz="4" w:space="0" w:color="auto"/>
                          <w:right w:val="single" w:sz="4" w:space="0" w:color="auto"/>
                        </w:tcBorders>
                      </w:tcPr>
                      <w:p w14:paraId="7FEEB86E" w14:textId="77777777" w:rsidR="007E7472" w:rsidRDefault="00EC1269">
                        <w:pPr>
                          <w:rPr>
                            <w:rFonts w:cs="Cambria"/>
                          </w:rPr>
                        </w:pPr>
                        <w:r>
                          <w:rPr>
                            <w:rFonts w:hint="eastAsia"/>
                          </w:rPr>
                          <w:t>采购商品、销售商品、接受劳务、其他交易</w:t>
                        </w:r>
                      </w:p>
                    </w:tc>
                  </w:sdtContent>
                </w:sdt>
              </w:tr>
            </w:sdtContent>
          </w:sdt>
          <w:sdt>
            <w:sdtPr>
              <w:rPr>
                <w:rFonts w:cs="Cambria"/>
              </w:rPr>
              <w:alias w:val="本企业的其他关联方情况明细"/>
              <w:tag w:val="_GBC_2ec4adf7a1ce48faaeba9536b2bf6d81"/>
              <w:id w:val="-1317877259"/>
              <w:lock w:val="sdtLocked"/>
            </w:sdtPr>
            <w:sdtEndPr/>
            <w:sdtContent>
              <w:tr w:rsidR="007E7472" w14:paraId="33A04FC7" w14:textId="77777777">
                <w:trPr>
                  <w:trHeight w:val="267"/>
                </w:trPr>
                <w:tc>
                  <w:tcPr>
                    <w:tcW w:w="1643" w:type="pct"/>
                    <w:tcBorders>
                      <w:top w:val="single" w:sz="4" w:space="0" w:color="auto"/>
                      <w:left w:val="single" w:sz="4" w:space="0" w:color="auto"/>
                      <w:bottom w:val="single" w:sz="4" w:space="0" w:color="auto"/>
                      <w:right w:val="single" w:sz="4" w:space="0" w:color="auto"/>
                    </w:tcBorders>
                    <w:vAlign w:val="center"/>
                  </w:tcPr>
                  <w:p w14:paraId="4AF69DC5" w14:textId="77777777" w:rsidR="007E7472" w:rsidRDefault="00EC1269">
                    <w:pPr>
                      <w:rPr>
                        <w:rFonts w:cs="Cambria"/>
                      </w:rPr>
                    </w:pPr>
                    <w:r>
                      <w:rPr>
                        <w:rFonts w:cs="Cambria" w:hint="eastAsia"/>
                      </w:rPr>
                      <w:t>兖矿集团福兴实业公司</w:t>
                    </w:r>
                  </w:p>
                </w:tc>
                <w:sdt>
                  <w:sdtPr>
                    <w:rPr>
                      <w:rFonts w:cs="Cambria"/>
                    </w:rPr>
                    <w:alias w:val="本企业的其他关联方情况明细－其他关联方与本公司关系"/>
                    <w:tag w:val="_GBC_2205fb8ea5f648b5a0c9e8e3f8499f9f"/>
                    <w:id w:val="165594602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48" w:type="pct"/>
                        <w:tcBorders>
                          <w:top w:val="single" w:sz="4" w:space="0" w:color="auto"/>
                          <w:left w:val="single" w:sz="4" w:space="0" w:color="auto"/>
                          <w:bottom w:val="single" w:sz="4" w:space="0" w:color="auto"/>
                          <w:right w:val="single" w:sz="4" w:space="0" w:color="auto"/>
                        </w:tcBorders>
                      </w:tcPr>
                      <w:p w14:paraId="720F663B" w14:textId="7ED9EFB4" w:rsidR="007E7472" w:rsidRDefault="006F3F93">
                        <w:pPr>
                          <w:rPr>
                            <w:rFonts w:cs="Cambria"/>
                          </w:rPr>
                        </w:pPr>
                        <w:r>
                          <w:rPr>
                            <w:rFonts w:cs="Cambria"/>
                          </w:rPr>
                          <w:t>受同一控股股东及最终控制方控制的其他企业</w:t>
                        </w:r>
                      </w:p>
                    </w:tc>
                  </w:sdtContent>
                </w:sdt>
                <w:sdt>
                  <w:sdtPr>
                    <w:alias w:val="主要交易内容"/>
                    <w:tag w:val="_GBC_5d4738d8b3dc4d0980cb436f6762b1b9"/>
                    <w:id w:val="860098891"/>
                    <w:lock w:val="sdtLocked"/>
                  </w:sdtPr>
                  <w:sdtEndPr/>
                  <w:sdtContent>
                    <w:tc>
                      <w:tcPr>
                        <w:tcW w:w="1709" w:type="pct"/>
                        <w:tcBorders>
                          <w:top w:val="single" w:sz="4" w:space="0" w:color="auto"/>
                          <w:left w:val="single" w:sz="4" w:space="0" w:color="auto"/>
                          <w:bottom w:val="single" w:sz="4" w:space="0" w:color="auto"/>
                          <w:right w:val="single" w:sz="4" w:space="0" w:color="auto"/>
                        </w:tcBorders>
                      </w:tcPr>
                      <w:p w14:paraId="53D1D334" w14:textId="77777777" w:rsidR="007E7472" w:rsidRDefault="00EC1269">
                        <w:pPr>
                          <w:rPr>
                            <w:rFonts w:cs="Cambria"/>
                          </w:rPr>
                        </w:pPr>
                        <w:r>
                          <w:rPr>
                            <w:rFonts w:hint="eastAsia"/>
                          </w:rPr>
                          <w:t>采购商品、销售商品、接受劳务、其他交易</w:t>
                        </w:r>
                      </w:p>
                    </w:tc>
                  </w:sdtContent>
                </w:sdt>
              </w:tr>
            </w:sdtContent>
          </w:sdt>
          <w:sdt>
            <w:sdtPr>
              <w:rPr>
                <w:rFonts w:cs="Cambria"/>
              </w:rPr>
              <w:alias w:val="本企业的其他关联方情况明细"/>
              <w:tag w:val="_GBC_2ec4adf7a1ce48faaeba9536b2bf6d81"/>
              <w:id w:val="-1652352433"/>
              <w:lock w:val="sdtLocked"/>
            </w:sdtPr>
            <w:sdtEndPr/>
            <w:sdtContent>
              <w:tr w:rsidR="007E7472" w14:paraId="0777CD4C" w14:textId="77777777">
                <w:trPr>
                  <w:trHeight w:val="267"/>
                </w:trPr>
                <w:tc>
                  <w:tcPr>
                    <w:tcW w:w="1643" w:type="pct"/>
                    <w:tcBorders>
                      <w:top w:val="single" w:sz="4" w:space="0" w:color="auto"/>
                      <w:left w:val="single" w:sz="4" w:space="0" w:color="auto"/>
                      <w:bottom w:val="single" w:sz="4" w:space="0" w:color="auto"/>
                      <w:right w:val="single" w:sz="4" w:space="0" w:color="auto"/>
                    </w:tcBorders>
                    <w:vAlign w:val="center"/>
                  </w:tcPr>
                  <w:p w14:paraId="28214FA0" w14:textId="77777777" w:rsidR="007E7472" w:rsidRDefault="00EC1269">
                    <w:pPr>
                      <w:rPr>
                        <w:rFonts w:cs="Cambria"/>
                      </w:rPr>
                    </w:pPr>
                    <w:r>
                      <w:rPr>
                        <w:rFonts w:cs="Cambria" w:hint="eastAsia"/>
                      </w:rPr>
                      <w:t>济宁福兴机械制造有限责任公司</w:t>
                    </w:r>
                  </w:p>
                </w:tc>
                <w:sdt>
                  <w:sdtPr>
                    <w:rPr>
                      <w:rFonts w:cs="Cambria"/>
                    </w:rPr>
                    <w:alias w:val="本企业的其他关联方情况明细－其他关联方与本公司关系"/>
                    <w:tag w:val="_GBC_2205fb8ea5f648b5a0c9e8e3f8499f9f"/>
                    <w:id w:val="45537579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48" w:type="pct"/>
                        <w:tcBorders>
                          <w:top w:val="single" w:sz="4" w:space="0" w:color="auto"/>
                          <w:left w:val="single" w:sz="4" w:space="0" w:color="auto"/>
                          <w:bottom w:val="single" w:sz="4" w:space="0" w:color="auto"/>
                          <w:right w:val="single" w:sz="4" w:space="0" w:color="auto"/>
                        </w:tcBorders>
                      </w:tcPr>
                      <w:p w14:paraId="20F867CC" w14:textId="644A571B" w:rsidR="007E7472" w:rsidRDefault="006F3F93">
                        <w:pPr>
                          <w:rPr>
                            <w:rFonts w:cs="Cambria"/>
                          </w:rPr>
                        </w:pPr>
                        <w:r>
                          <w:rPr>
                            <w:rFonts w:cs="Cambria"/>
                          </w:rPr>
                          <w:t>受同一控股股东及最终控制方控制的其他企业</w:t>
                        </w:r>
                      </w:p>
                    </w:tc>
                  </w:sdtContent>
                </w:sdt>
                <w:sdt>
                  <w:sdtPr>
                    <w:alias w:val="主要交易内容"/>
                    <w:tag w:val="_GBC_5d4738d8b3dc4d0980cb436f6762b1b9"/>
                    <w:id w:val="-493643329"/>
                    <w:lock w:val="sdtLocked"/>
                  </w:sdtPr>
                  <w:sdtEndPr/>
                  <w:sdtContent>
                    <w:tc>
                      <w:tcPr>
                        <w:tcW w:w="1709" w:type="pct"/>
                        <w:tcBorders>
                          <w:top w:val="single" w:sz="4" w:space="0" w:color="auto"/>
                          <w:left w:val="single" w:sz="4" w:space="0" w:color="auto"/>
                          <w:bottom w:val="single" w:sz="4" w:space="0" w:color="auto"/>
                          <w:right w:val="single" w:sz="4" w:space="0" w:color="auto"/>
                        </w:tcBorders>
                      </w:tcPr>
                      <w:p w14:paraId="74B2B933" w14:textId="77777777" w:rsidR="007E7472" w:rsidRDefault="00EC1269">
                        <w:pPr>
                          <w:rPr>
                            <w:rFonts w:cs="Cambria"/>
                          </w:rPr>
                        </w:pPr>
                        <w:r>
                          <w:rPr>
                            <w:rFonts w:hint="eastAsia"/>
                          </w:rPr>
                          <w:t>采购商品、销售商品、接受劳务、其他交易</w:t>
                        </w:r>
                      </w:p>
                    </w:tc>
                  </w:sdtContent>
                </w:sdt>
              </w:tr>
            </w:sdtContent>
          </w:sdt>
          <w:sdt>
            <w:sdtPr>
              <w:rPr>
                <w:rFonts w:cs="Cambria"/>
              </w:rPr>
              <w:alias w:val="本企业的其他关联方情况明细"/>
              <w:tag w:val="_GBC_2ec4adf7a1ce48faaeba9536b2bf6d81"/>
              <w:id w:val="-741249048"/>
              <w:lock w:val="sdtLocked"/>
            </w:sdtPr>
            <w:sdtEndPr/>
            <w:sdtContent>
              <w:tr w:rsidR="007E7472" w14:paraId="45A7F651" w14:textId="77777777">
                <w:trPr>
                  <w:trHeight w:val="267"/>
                </w:trPr>
                <w:tc>
                  <w:tcPr>
                    <w:tcW w:w="1643" w:type="pct"/>
                    <w:tcBorders>
                      <w:top w:val="single" w:sz="4" w:space="0" w:color="auto"/>
                      <w:left w:val="single" w:sz="4" w:space="0" w:color="auto"/>
                      <w:bottom w:val="single" w:sz="4" w:space="0" w:color="auto"/>
                      <w:right w:val="single" w:sz="4" w:space="0" w:color="auto"/>
                    </w:tcBorders>
                    <w:vAlign w:val="center"/>
                  </w:tcPr>
                  <w:p w14:paraId="1A0B8227" w14:textId="77777777" w:rsidR="007E7472" w:rsidRDefault="00EC1269">
                    <w:pPr>
                      <w:rPr>
                        <w:rFonts w:cs="Cambria"/>
                      </w:rPr>
                    </w:pPr>
                    <w:r>
                      <w:rPr>
                        <w:rFonts w:cs="Cambria" w:hint="eastAsia"/>
                      </w:rPr>
                      <w:t>山东能源（海南）智慧国际科技有限公司</w:t>
                    </w:r>
                  </w:p>
                </w:tc>
                <w:sdt>
                  <w:sdtPr>
                    <w:rPr>
                      <w:rFonts w:cs="Cambria"/>
                    </w:rPr>
                    <w:alias w:val="本企业的其他关联方情况明细－其他关联方与本公司关系"/>
                    <w:tag w:val="_GBC_2205fb8ea5f648b5a0c9e8e3f8499f9f"/>
                    <w:id w:val="-172829417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48" w:type="pct"/>
                        <w:tcBorders>
                          <w:top w:val="single" w:sz="4" w:space="0" w:color="auto"/>
                          <w:left w:val="single" w:sz="4" w:space="0" w:color="auto"/>
                          <w:bottom w:val="single" w:sz="4" w:space="0" w:color="auto"/>
                          <w:right w:val="single" w:sz="4" w:space="0" w:color="auto"/>
                        </w:tcBorders>
                      </w:tcPr>
                      <w:p w14:paraId="468CC5B8" w14:textId="566D0FDE" w:rsidR="007E7472" w:rsidRDefault="006F3F93">
                        <w:pPr>
                          <w:rPr>
                            <w:rFonts w:cs="Cambria"/>
                          </w:rPr>
                        </w:pPr>
                        <w:r>
                          <w:rPr>
                            <w:rFonts w:cs="Cambria"/>
                          </w:rPr>
                          <w:t>受同一控股股东及最终控制方控制的其他企业</w:t>
                        </w:r>
                      </w:p>
                    </w:tc>
                  </w:sdtContent>
                </w:sdt>
                <w:sdt>
                  <w:sdtPr>
                    <w:alias w:val="主要交易内容"/>
                    <w:tag w:val="_GBC_5d4738d8b3dc4d0980cb436f6762b1b9"/>
                    <w:id w:val="1932381907"/>
                    <w:lock w:val="sdtLocked"/>
                  </w:sdtPr>
                  <w:sdtEndPr/>
                  <w:sdtContent>
                    <w:tc>
                      <w:tcPr>
                        <w:tcW w:w="1709" w:type="pct"/>
                        <w:tcBorders>
                          <w:top w:val="single" w:sz="4" w:space="0" w:color="auto"/>
                          <w:left w:val="single" w:sz="4" w:space="0" w:color="auto"/>
                          <w:bottom w:val="single" w:sz="4" w:space="0" w:color="auto"/>
                          <w:right w:val="single" w:sz="4" w:space="0" w:color="auto"/>
                        </w:tcBorders>
                      </w:tcPr>
                      <w:p w14:paraId="2189FC7C" w14:textId="77777777" w:rsidR="007E7472" w:rsidRDefault="00EC1269">
                        <w:pPr>
                          <w:rPr>
                            <w:rFonts w:cs="Cambria"/>
                          </w:rPr>
                        </w:pPr>
                        <w:r>
                          <w:rPr>
                            <w:rFonts w:hint="eastAsia"/>
                          </w:rPr>
                          <w:t>采购商品、销售商品、接受劳务、其他交易</w:t>
                        </w:r>
                      </w:p>
                    </w:tc>
                  </w:sdtContent>
                </w:sdt>
              </w:tr>
            </w:sdtContent>
          </w:sdt>
          <w:sdt>
            <w:sdtPr>
              <w:rPr>
                <w:rFonts w:cs="Cambria"/>
              </w:rPr>
              <w:alias w:val="本企业的其他关联方情况明细"/>
              <w:tag w:val="_GBC_2ec4adf7a1ce48faaeba9536b2bf6d81"/>
              <w:id w:val="253479072"/>
              <w:lock w:val="sdtLocked"/>
            </w:sdtPr>
            <w:sdtEndPr/>
            <w:sdtContent>
              <w:tr w:rsidR="007E7472" w14:paraId="15F62584" w14:textId="77777777">
                <w:trPr>
                  <w:trHeight w:val="267"/>
                </w:trPr>
                <w:tc>
                  <w:tcPr>
                    <w:tcW w:w="1643" w:type="pct"/>
                    <w:tcBorders>
                      <w:top w:val="single" w:sz="4" w:space="0" w:color="auto"/>
                      <w:left w:val="single" w:sz="4" w:space="0" w:color="auto"/>
                      <w:bottom w:val="single" w:sz="4" w:space="0" w:color="auto"/>
                      <w:right w:val="single" w:sz="4" w:space="0" w:color="auto"/>
                    </w:tcBorders>
                    <w:vAlign w:val="center"/>
                  </w:tcPr>
                  <w:p w14:paraId="57A15006" w14:textId="77777777" w:rsidR="007E7472" w:rsidRDefault="00EC1269">
                    <w:pPr>
                      <w:rPr>
                        <w:rFonts w:cs="Cambria"/>
                      </w:rPr>
                    </w:pPr>
                    <w:r>
                      <w:rPr>
                        <w:rFonts w:cs="Cambria" w:hint="eastAsia"/>
                      </w:rPr>
                      <w:t>山东兖矿国际焦化有限公司</w:t>
                    </w:r>
                  </w:p>
                </w:tc>
                <w:sdt>
                  <w:sdtPr>
                    <w:rPr>
                      <w:rFonts w:cs="Cambria"/>
                    </w:rPr>
                    <w:alias w:val="本企业的其他关联方情况明细－其他关联方与本公司关系"/>
                    <w:tag w:val="_GBC_2205fb8ea5f648b5a0c9e8e3f8499f9f"/>
                    <w:id w:val="203445701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48" w:type="pct"/>
                        <w:tcBorders>
                          <w:top w:val="single" w:sz="4" w:space="0" w:color="auto"/>
                          <w:left w:val="single" w:sz="4" w:space="0" w:color="auto"/>
                          <w:bottom w:val="single" w:sz="4" w:space="0" w:color="auto"/>
                          <w:right w:val="single" w:sz="4" w:space="0" w:color="auto"/>
                        </w:tcBorders>
                      </w:tcPr>
                      <w:p w14:paraId="6287E4C6" w14:textId="15DC6E45" w:rsidR="007E7472" w:rsidRDefault="006F3F93">
                        <w:pPr>
                          <w:rPr>
                            <w:rFonts w:cs="Cambria"/>
                          </w:rPr>
                        </w:pPr>
                        <w:r>
                          <w:rPr>
                            <w:rFonts w:cs="Cambria"/>
                          </w:rPr>
                          <w:t>受同一控股股东及最终控制方控制的其他企业</w:t>
                        </w:r>
                      </w:p>
                    </w:tc>
                  </w:sdtContent>
                </w:sdt>
                <w:sdt>
                  <w:sdtPr>
                    <w:alias w:val="主要交易内容"/>
                    <w:tag w:val="_GBC_5d4738d8b3dc4d0980cb436f6762b1b9"/>
                    <w:id w:val="-1757509036"/>
                    <w:lock w:val="sdtLocked"/>
                  </w:sdtPr>
                  <w:sdtEndPr/>
                  <w:sdtContent>
                    <w:tc>
                      <w:tcPr>
                        <w:tcW w:w="1709" w:type="pct"/>
                        <w:tcBorders>
                          <w:top w:val="single" w:sz="4" w:space="0" w:color="auto"/>
                          <w:left w:val="single" w:sz="4" w:space="0" w:color="auto"/>
                          <w:bottom w:val="single" w:sz="4" w:space="0" w:color="auto"/>
                          <w:right w:val="single" w:sz="4" w:space="0" w:color="auto"/>
                        </w:tcBorders>
                      </w:tcPr>
                      <w:p w14:paraId="12605DAB" w14:textId="77777777" w:rsidR="007E7472" w:rsidRDefault="00EC1269">
                        <w:pPr>
                          <w:rPr>
                            <w:rFonts w:cs="Cambria"/>
                          </w:rPr>
                        </w:pPr>
                        <w:r>
                          <w:rPr>
                            <w:rFonts w:hint="eastAsia"/>
                          </w:rPr>
                          <w:t>采购商品、销售商品、接受劳务</w:t>
                        </w:r>
                      </w:p>
                    </w:tc>
                  </w:sdtContent>
                </w:sdt>
              </w:tr>
            </w:sdtContent>
          </w:sdt>
          <w:sdt>
            <w:sdtPr>
              <w:rPr>
                <w:rFonts w:cs="Cambria"/>
              </w:rPr>
              <w:alias w:val="本企业的其他关联方情况明细"/>
              <w:tag w:val="_GBC_2ec4adf7a1ce48faaeba9536b2bf6d81"/>
              <w:id w:val="-519853109"/>
              <w:lock w:val="sdtLocked"/>
            </w:sdtPr>
            <w:sdtEndPr/>
            <w:sdtContent>
              <w:tr w:rsidR="007E7472" w14:paraId="60275384" w14:textId="77777777">
                <w:trPr>
                  <w:trHeight w:val="267"/>
                </w:trPr>
                <w:tc>
                  <w:tcPr>
                    <w:tcW w:w="1643" w:type="pct"/>
                    <w:tcBorders>
                      <w:top w:val="single" w:sz="4" w:space="0" w:color="auto"/>
                      <w:left w:val="single" w:sz="4" w:space="0" w:color="auto"/>
                      <w:bottom w:val="single" w:sz="4" w:space="0" w:color="auto"/>
                      <w:right w:val="single" w:sz="4" w:space="0" w:color="auto"/>
                    </w:tcBorders>
                    <w:vAlign w:val="center"/>
                  </w:tcPr>
                  <w:p w14:paraId="1F09FBDE" w14:textId="77777777" w:rsidR="007E7472" w:rsidRDefault="00EC1269">
                    <w:pPr>
                      <w:rPr>
                        <w:rFonts w:cs="Cambria"/>
                      </w:rPr>
                    </w:pPr>
                    <w:r>
                      <w:rPr>
                        <w:rFonts w:cs="Cambria" w:hint="eastAsia"/>
                      </w:rPr>
                      <w:t>兖矿国宏化工有限责任公司</w:t>
                    </w:r>
                  </w:p>
                </w:tc>
                <w:sdt>
                  <w:sdtPr>
                    <w:rPr>
                      <w:rFonts w:cs="Cambria"/>
                    </w:rPr>
                    <w:alias w:val="本企业的其他关联方情况明细－其他关联方与本公司关系"/>
                    <w:tag w:val="_GBC_2205fb8ea5f648b5a0c9e8e3f8499f9f"/>
                    <w:id w:val="12797660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48" w:type="pct"/>
                        <w:tcBorders>
                          <w:top w:val="single" w:sz="4" w:space="0" w:color="auto"/>
                          <w:left w:val="single" w:sz="4" w:space="0" w:color="auto"/>
                          <w:bottom w:val="single" w:sz="4" w:space="0" w:color="auto"/>
                          <w:right w:val="single" w:sz="4" w:space="0" w:color="auto"/>
                        </w:tcBorders>
                      </w:tcPr>
                      <w:p w14:paraId="5D102EFD" w14:textId="46C5ED37" w:rsidR="007E7472" w:rsidRDefault="006F3F93">
                        <w:pPr>
                          <w:rPr>
                            <w:rFonts w:cs="Cambria"/>
                          </w:rPr>
                        </w:pPr>
                        <w:r>
                          <w:rPr>
                            <w:rFonts w:cs="Cambria"/>
                          </w:rPr>
                          <w:t>受同一控股股东及最终控制方控制的其他企业</w:t>
                        </w:r>
                      </w:p>
                    </w:tc>
                  </w:sdtContent>
                </w:sdt>
                <w:sdt>
                  <w:sdtPr>
                    <w:alias w:val="主要交易内容"/>
                    <w:tag w:val="_GBC_5d4738d8b3dc4d0980cb436f6762b1b9"/>
                    <w:id w:val="1086734775"/>
                    <w:lock w:val="sdtLocked"/>
                  </w:sdtPr>
                  <w:sdtEndPr/>
                  <w:sdtContent>
                    <w:tc>
                      <w:tcPr>
                        <w:tcW w:w="1709" w:type="pct"/>
                        <w:tcBorders>
                          <w:top w:val="single" w:sz="4" w:space="0" w:color="auto"/>
                          <w:left w:val="single" w:sz="4" w:space="0" w:color="auto"/>
                          <w:bottom w:val="single" w:sz="4" w:space="0" w:color="auto"/>
                          <w:right w:val="single" w:sz="4" w:space="0" w:color="auto"/>
                        </w:tcBorders>
                      </w:tcPr>
                      <w:p w14:paraId="50E79AB8" w14:textId="77777777" w:rsidR="007E7472" w:rsidRDefault="00EC1269">
                        <w:pPr>
                          <w:rPr>
                            <w:rFonts w:cs="Cambria"/>
                          </w:rPr>
                        </w:pPr>
                        <w:r>
                          <w:rPr>
                            <w:rFonts w:hint="eastAsia"/>
                          </w:rPr>
                          <w:t>采购商品、销售商品、接受劳务</w:t>
                        </w:r>
                      </w:p>
                    </w:tc>
                  </w:sdtContent>
                </w:sdt>
              </w:tr>
            </w:sdtContent>
          </w:sdt>
          <w:sdt>
            <w:sdtPr>
              <w:rPr>
                <w:rFonts w:cs="Cambria"/>
              </w:rPr>
              <w:alias w:val="本企业的其他关联方情况明细"/>
              <w:tag w:val="_GBC_2ec4adf7a1ce48faaeba9536b2bf6d81"/>
              <w:id w:val="181018871"/>
              <w:lock w:val="sdtLocked"/>
            </w:sdtPr>
            <w:sdtEndPr/>
            <w:sdtContent>
              <w:tr w:rsidR="007E7472" w14:paraId="3153AA97" w14:textId="77777777">
                <w:trPr>
                  <w:trHeight w:val="267"/>
                </w:trPr>
                <w:tc>
                  <w:tcPr>
                    <w:tcW w:w="1643" w:type="pct"/>
                    <w:tcBorders>
                      <w:top w:val="single" w:sz="4" w:space="0" w:color="auto"/>
                      <w:left w:val="single" w:sz="4" w:space="0" w:color="auto"/>
                      <w:bottom w:val="single" w:sz="4" w:space="0" w:color="auto"/>
                      <w:right w:val="single" w:sz="4" w:space="0" w:color="auto"/>
                    </w:tcBorders>
                    <w:vAlign w:val="center"/>
                  </w:tcPr>
                  <w:p w14:paraId="5FBBE484" w14:textId="77777777" w:rsidR="007E7472" w:rsidRDefault="00EC1269">
                    <w:pPr>
                      <w:rPr>
                        <w:rFonts w:cs="Cambria"/>
                      </w:rPr>
                    </w:pPr>
                    <w:r>
                      <w:rPr>
                        <w:rFonts w:cs="Cambria" w:hint="eastAsia"/>
                      </w:rPr>
                      <w:t>兖矿煤化工程有限公司</w:t>
                    </w:r>
                  </w:p>
                </w:tc>
                <w:sdt>
                  <w:sdtPr>
                    <w:rPr>
                      <w:rFonts w:cs="Cambria"/>
                    </w:rPr>
                    <w:alias w:val="本企业的其他关联方情况明细－其他关联方与本公司关系"/>
                    <w:tag w:val="_GBC_2205fb8ea5f648b5a0c9e8e3f8499f9f"/>
                    <w:id w:val="-36142939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48" w:type="pct"/>
                        <w:tcBorders>
                          <w:top w:val="single" w:sz="4" w:space="0" w:color="auto"/>
                          <w:left w:val="single" w:sz="4" w:space="0" w:color="auto"/>
                          <w:bottom w:val="single" w:sz="4" w:space="0" w:color="auto"/>
                          <w:right w:val="single" w:sz="4" w:space="0" w:color="auto"/>
                        </w:tcBorders>
                      </w:tcPr>
                      <w:p w14:paraId="463A7591" w14:textId="7CCBB142" w:rsidR="007E7472" w:rsidRDefault="006F3F93">
                        <w:pPr>
                          <w:rPr>
                            <w:rFonts w:cs="Cambria"/>
                          </w:rPr>
                        </w:pPr>
                        <w:r>
                          <w:rPr>
                            <w:rFonts w:cs="Cambria"/>
                          </w:rPr>
                          <w:t>受同一控股股东及最终控制方控制的其他企业</w:t>
                        </w:r>
                      </w:p>
                    </w:tc>
                  </w:sdtContent>
                </w:sdt>
                <w:sdt>
                  <w:sdtPr>
                    <w:alias w:val="主要交易内容"/>
                    <w:tag w:val="_GBC_5d4738d8b3dc4d0980cb436f6762b1b9"/>
                    <w:id w:val="-676033744"/>
                    <w:lock w:val="sdtLocked"/>
                  </w:sdtPr>
                  <w:sdtEndPr/>
                  <w:sdtContent>
                    <w:tc>
                      <w:tcPr>
                        <w:tcW w:w="1709" w:type="pct"/>
                        <w:tcBorders>
                          <w:top w:val="single" w:sz="4" w:space="0" w:color="auto"/>
                          <w:left w:val="single" w:sz="4" w:space="0" w:color="auto"/>
                          <w:bottom w:val="single" w:sz="4" w:space="0" w:color="auto"/>
                          <w:right w:val="single" w:sz="4" w:space="0" w:color="auto"/>
                        </w:tcBorders>
                      </w:tcPr>
                      <w:p w14:paraId="4BBD1ECE" w14:textId="77777777" w:rsidR="007E7472" w:rsidRDefault="00EC1269">
                        <w:pPr>
                          <w:rPr>
                            <w:rFonts w:cs="Cambria"/>
                          </w:rPr>
                        </w:pPr>
                        <w:r>
                          <w:rPr>
                            <w:rFonts w:hint="eastAsia"/>
                          </w:rPr>
                          <w:t>采购商品、销售商品、其他交易</w:t>
                        </w:r>
                      </w:p>
                    </w:tc>
                  </w:sdtContent>
                </w:sdt>
              </w:tr>
            </w:sdtContent>
          </w:sdt>
          <w:sdt>
            <w:sdtPr>
              <w:rPr>
                <w:rFonts w:cs="Cambria"/>
              </w:rPr>
              <w:alias w:val="本企业的其他关联方情况明细"/>
              <w:tag w:val="_GBC_2ec4adf7a1ce48faaeba9536b2bf6d81"/>
              <w:id w:val="773285660"/>
              <w:lock w:val="sdtLocked"/>
            </w:sdtPr>
            <w:sdtEndPr/>
            <w:sdtContent>
              <w:tr w:rsidR="007E7472" w14:paraId="0C76389C" w14:textId="77777777">
                <w:trPr>
                  <w:trHeight w:val="267"/>
                </w:trPr>
                <w:tc>
                  <w:tcPr>
                    <w:tcW w:w="1643" w:type="pct"/>
                    <w:tcBorders>
                      <w:top w:val="single" w:sz="4" w:space="0" w:color="auto"/>
                      <w:left w:val="single" w:sz="4" w:space="0" w:color="auto"/>
                      <w:bottom w:val="single" w:sz="4" w:space="0" w:color="auto"/>
                      <w:right w:val="single" w:sz="4" w:space="0" w:color="auto"/>
                    </w:tcBorders>
                    <w:vAlign w:val="center"/>
                  </w:tcPr>
                  <w:p w14:paraId="71C42FF4" w14:textId="77777777" w:rsidR="007E7472" w:rsidRDefault="00EC1269">
                    <w:pPr>
                      <w:rPr>
                        <w:rFonts w:cs="Cambria"/>
                      </w:rPr>
                    </w:pPr>
                    <w:r>
                      <w:rPr>
                        <w:rFonts w:cs="Cambria" w:hint="eastAsia"/>
                      </w:rPr>
                      <w:t>山东兖矿易佳电子商务有限公司</w:t>
                    </w:r>
                  </w:p>
                </w:tc>
                <w:sdt>
                  <w:sdtPr>
                    <w:rPr>
                      <w:rFonts w:cs="Cambria"/>
                    </w:rPr>
                    <w:alias w:val="本企业的其他关联方情况明细－其他关联方与本公司关系"/>
                    <w:tag w:val="_GBC_2205fb8ea5f648b5a0c9e8e3f8499f9f"/>
                    <w:id w:val="-42634607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48" w:type="pct"/>
                        <w:tcBorders>
                          <w:top w:val="single" w:sz="4" w:space="0" w:color="auto"/>
                          <w:left w:val="single" w:sz="4" w:space="0" w:color="auto"/>
                          <w:bottom w:val="single" w:sz="4" w:space="0" w:color="auto"/>
                          <w:right w:val="single" w:sz="4" w:space="0" w:color="auto"/>
                        </w:tcBorders>
                      </w:tcPr>
                      <w:p w14:paraId="0E70A053" w14:textId="5DCC0DE5" w:rsidR="007E7472" w:rsidRDefault="006F3F93">
                        <w:pPr>
                          <w:rPr>
                            <w:rFonts w:cs="Cambria"/>
                          </w:rPr>
                        </w:pPr>
                        <w:r>
                          <w:rPr>
                            <w:rFonts w:cs="Cambria"/>
                          </w:rPr>
                          <w:t>受同一控股股东及最终控制方控制的其他企业</w:t>
                        </w:r>
                      </w:p>
                    </w:tc>
                  </w:sdtContent>
                </w:sdt>
                <w:sdt>
                  <w:sdtPr>
                    <w:alias w:val="主要交易内容"/>
                    <w:tag w:val="_GBC_5d4738d8b3dc4d0980cb436f6762b1b9"/>
                    <w:id w:val="-761075175"/>
                    <w:lock w:val="sdtLocked"/>
                  </w:sdtPr>
                  <w:sdtEndPr/>
                  <w:sdtContent>
                    <w:tc>
                      <w:tcPr>
                        <w:tcW w:w="1709" w:type="pct"/>
                        <w:tcBorders>
                          <w:top w:val="single" w:sz="4" w:space="0" w:color="auto"/>
                          <w:left w:val="single" w:sz="4" w:space="0" w:color="auto"/>
                          <w:bottom w:val="single" w:sz="4" w:space="0" w:color="auto"/>
                          <w:right w:val="single" w:sz="4" w:space="0" w:color="auto"/>
                        </w:tcBorders>
                      </w:tcPr>
                      <w:p w14:paraId="11C34D39" w14:textId="77777777" w:rsidR="007E7472" w:rsidRDefault="00EC1269">
                        <w:pPr>
                          <w:rPr>
                            <w:rFonts w:cs="Cambria"/>
                          </w:rPr>
                        </w:pPr>
                        <w:r>
                          <w:rPr>
                            <w:rFonts w:hint="eastAsia"/>
                          </w:rPr>
                          <w:t>采购商品、销售商品、其他交易</w:t>
                        </w:r>
                      </w:p>
                    </w:tc>
                  </w:sdtContent>
                </w:sdt>
              </w:tr>
            </w:sdtContent>
          </w:sdt>
          <w:sdt>
            <w:sdtPr>
              <w:rPr>
                <w:rFonts w:cs="Cambria"/>
              </w:rPr>
              <w:alias w:val="本企业的其他关联方情况明细"/>
              <w:tag w:val="_GBC_2ec4adf7a1ce48faaeba9536b2bf6d81"/>
              <w:id w:val="-1627849353"/>
              <w:lock w:val="sdtLocked"/>
            </w:sdtPr>
            <w:sdtEndPr/>
            <w:sdtContent>
              <w:tr w:rsidR="007E7472" w14:paraId="405B4115" w14:textId="77777777">
                <w:trPr>
                  <w:trHeight w:val="267"/>
                </w:trPr>
                <w:tc>
                  <w:tcPr>
                    <w:tcW w:w="1643" w:type="pct"/>
                    <w:tcBorders>
                      <w:top w:val="single" w:sz="4" w:space="0" w:color="auto"/>
                      <w:left w:val="single" w:sz="4" w:space="0" w:color="auto"/>
                      <w:bottom w:val="single" w:sz="4" w:space="0" w:color="auto"/>
                      <w:right w:val="single" w:sz="4" w:space="0" w:color="auto"/>
                    </w:tcBorders>
                    <w:vAlign w:val="center"/>
                  </w:tcPr>
                  <w:p w14:paraId="2E66754A" w14:textId="77777777" w:rsidR="007E7472" w:rsidRDefault="00EC1269">
                    <w:pPr>
                      <w:rPr>
                        <w:rFonts w:cs="Cambria"/>
                      </w:rPr>
                    </w:pPr>
                    <w:r>
                      <w:rPr>
                        <w:rFonts w:cs="Cambria" w:hint="eastAsia"/>
                      </w:rPr>
                      <w:t>北京探创资源科技有限公司</w:t>
                    </w:r>
                  </w:p>
                </w:tc>
                <w:sdt>
                  <w:sdtPr>
                    <w:rPr>
                      <w:rFonts w:cs="Cambria"/>
                    </w:rPr>
                    <w:alias w:val="本企业的其他关联方情况明细－其他关联方与本公司关系"/>
                    <w:tag w:val="_GBC_2205fb8ea5f648b5a0c9e8e3f8499f9f"/>
                    <w:id w:val="-26978187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48" w:type="pct"/>
                        <w:tcBorders>
                          <w:top w:val="single" w:sz="4" w:space="0" w:color="auto"/>
                          <w:left w:val="single" w:sz="4" w:space="0" w:color="auto"/>
                          <w:bottom w:val="single" w:sz="4" w:space="0" w:color="auto"/>
                          <w:right w:val="single" w:sz="4" w:space="0" w:color="auto"/>
                        </w:tcBorders>
                      </w:tcPr>
                      <w:p w14:paraId="2BAE6FB3" w14:textId="26ED3A5C" w:rsidR="007E7472" w:rsidRDefault="006F3F93">
                        <w:pPr>
                          <w:rPr>
                            <w:rFonts w:cs="Cambria"/>
                          </w:rPr>
                        </w:pPr>
                        <w:r>
                          <w:rPr>
                            <w:rFonts w:cs="Cambria"/>
                          </w:rPr>
                          <w:t>受同一控股股东及最终控制方控制的其他企业</w:t>
                        </w:r>
                      </w:p>
                    </w:tc>
                  </w:sdtContent>
                </w:sdt>
                <w:sdt>
                  <w:sdtPr>
                    <w:alias w:val="主要交易内容"/>
                    <w:tag w:val="_GBC_5d4738d8b3dc4d0980cb436f6762b1b9"/>
                    <w:id w:val="79962103"/>
                    <w:lock w:val="sdtLocked"/>
                  </w:sdtPr>
                  <w:sdtEndPr/>
                  <w:sdtContent>
                    <w:tc>
                      <w:tcPr>
                        <w:tcW w:w="1709" w:type="pct"/>
                        <w:tcBorders>
                          <w:top w:val="single" w:sz="4" w:space="0" w:color="auto"/>
                          <w:left w:val="single" w:sz="4" w:space="0" w:color="auto"/>
                          <w:bottom w:val="single" w:sz="4" w:space="0" w:color="auto"/>
                          <w:right w:val="single" w:sz="4" w:space="0" w:color="auto"/>
                        </w:tcBorders>
                      </w:tcPr>
                      <w:p w14:paraId="5DFFFB5F" w14:textId="77777777" w:rsidR="007E7472" w:rsidRDefault="00EC1269">
                        <w:pPr>
                          <w:rPr>
                            <w:rFonts w:cs="Cambria"/>
                          </w:rPr>
                        </w:pPr>
                        <w:r>
                          <w:rPr>
                            <w:rFonts w:hint="eastAsia"/>
                          </w:rPr>
                          <w:t>采购商品、销售商品、其他交易</w:t>
                        </w:r>
                      </w:p>
                    </w:tc>
                  </w:sdtContent>
                </w:sdt>
              </w:tr>
            </w:sdtContent>
          </w:sdt>
          <w:sdt>
            <w:sdtPr>
              <w:rPr>
                <w:rFonts w:cs="Cambria"/>
              </w:rPr>
              <w:alias w:val="本企业的其他关联方情况明细"/>
              <w:tag w:val="_GBC_2ec4adf7a1ce48faaeba9536b2bf6d81"/>
              <w:id w:val="309293109"/>
              <w:lock w:val="sdtLocked"/>
            </w:sdtPr>
            <w:sdtEndPr/>
            <w:sdtContent>
              <w:tr w:rsidR="007E7472" w14:paraId="322F2F25" w14:textId="77777777">
                <w:trPr>
                  <w:trHeight w:val="267"/>
                </w:trPr>
                <w:tc>
                  <w:tcPr>
                    <w:tcW w:w="1643" w:type="pct"/>
                    <w:tcBorders>
                      <w:top w:val="single" w:sz="4" w:space="0" w:color="auto"/>
                      <w:left w:val="single" w:sz="4" w:space="0" w:color="auto"/>
                      <w:bottom w:val="single" w:sz="4" w:space="0" w:color="auto"/>
                      <w:right w:val="single" w:sz="4" w:space="0" w:color="auto"/>
                    </w:tcBorders>
                    <w:vAlign w:val="center"/>
                  </w:tcPr>
                  <w:p w14:paraId="07DC86BE" w14:textId="77777777" w:rsidR="007E7472" w:rsidRDefault="00EC1269">
                    <w:pPr>
                      <w:rPr>
                        <w:rFonts w:cs="Cambria"/>
                      </w:rPr>
                    </w:pPr>
                    <w:r>
                      <w:rPr>
                        <w:rFonts w:cs="Cambria" w:hint="eastAsia"/>
                      </w:rPr>
                      <w:t>山东兖矿轻合金有限公司</w:t>
                    </w:r>
                  </w:p>
                </w:tc>
                <w:sdt>
                  <w:sdtPr>
                    <w:rPr>
                      <w:rFonts w:cs="Cambria"/>
                    </w:rPr>
                    <w:alias w:val="本企业的其他关联方情况明细－其他关联方与本公司关系"/>
                    <w:tag w:val="_GBC_2205fb8ea5f648b5a0c9e8e3f8499f9f"/>
                    <w:id w:val="105643135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48" w:type="pct"/>
                        <w:tcBorders>
                          <w:top w:val="single" w:sz="4" w:space="0" w:color="auto"/>
                          <w:left w:val="single" w:sz="4" w:space="0" w:color="auto"/>
                          <w:bottom w:val="single" w:sz="4" w:space="0" w:color="auto"/>
                          <w:right w:val="single" w:sz="4" w:space="0" w:color="auto"/>
                        </w:tcBorders>
                      </w:tcPr>
                      <w:p w14:paraId="3229DEC5" w14:textId="40148827" w:rsidR="007E7472" w:rsidRDefault="006F3F93">
                        <w:pPr>
                          <w:rPr>
                            <w:rFonts w:cs="Cambria"/>
                          </w:rPr>
                        </w:pPr>
                        <w:r>
                          <w:rPr>
                            <w:rFonts w:cs="Cambria"/>
                          </w:rPr>
                          <w:t>受同一控股股东及最终控制方控制的其他企业</w:t>
                        </w:r>
                      </w:p>
                    </w:tc>
                  </w:sdtContent>
                </w:sdt>
                <w:sdt>
                  <w:sdtPr>
                    <w:alias w:val="主要交易内容"/>
                    <w:tag w:val="_GBC_5d4738d8b3dc4d0980cb436f6762b1b9"/>
                    <w:id w:val="1037173689"/>
                    <w:lock w:val="sdtLocked"/>
                  </w:sdtPr>
                  <w:sdtEndPr/>
                  <w:sdtContent>
                    <w:tc>
                      <w:tcPr>
                        <w:tcW w:w="1709" w:type="pct"/>
                        <w:tcBorders>
                          <w:top w:val="single" w:sz="4" w:space="0" w:color="auto"/>
                          <w:left w:val="single" w:sz="4" w:space="0" w:color="auto"/>
                          <w:bottom w:val="single" w:sz="4" w:space="0" w:color="auto"/>
                          <w:right w:val="single" w:sz="4" w:space="0" w:color="auto"/>
                        </w:tcBorders>
                      </w:tcPr>
                      <w:p w14:paraId="0B540ACE" w14:textId="77777777" w:rsidR="007E7472" w:rsidRDefault="00EC1269">
                        <w:pPr>
                          <w:rPr>
                            <w:rFonts w:cs="Cambria"/>
                          </w:rPr>
                        </w:pPr>
                        <w:r>
                          <w:rPr>
                            <w:rFonts w:hint="eastAsia"/>
                          </w:rPr>
                          <w:t>采购商品、销售商品、其他交易</w:t>
                        </w:r>
                      </w:p>
                    </w:tc>
                  </w:sdtContent>
                </w:sdt>
              </w:tr>
            </w:sdtContent>
          </w:sdt>
          <w:sdt>
            <w:sdtPr>
              <w:rPr>
                <w:rFonts w:cs="Cambria"/>
              </w:rPr>
              <w:alias w:val="本企业的其他关联方情况明细"/>
              <w:tag w:val="_GBC_2ec4adf7a1ce48faaeba9536b2bf6d81"/>
              <w:id w:val="2126416225"/>
              <w:lock w:val="sdtLocked"/>
            </w:sdtPr>
            <w:sdtEndPr/>
            <w:sdtContent>
              <w:tr w:rsidR="007E7472" w14:paraId="7F90279F" w14:textId="77777777">
                <w:trPr>
                  <w:trHeight w:val="267"/>
                </w:trPr>
                <w:tc>
                  <w:tcPr>
                    <w:tcW w:w="1643" w:type="pct"/>
                    <w:tcBorders>
                      <w:top w:val="single" w:sz="4" w:space="0" w:color="auto"/>
                      <w:left w:val="single" w:sz="4" w:space="0" w:color="auto"/>
                      <w:bottom w:val="single" w:sz="4" w:space="0" w:color="auto"/>
                      <w:right w:val="single" w:sz="4" w:space="0" w:color="auto"/>
                    </w:tcBorders>
                    <w:vAlign w:val="center"/>
                  </w:tcPr>
                  <w:p w14:paraId="57305BA8" w14:textId="77777777" w:rsidR="007E7472" w:rsidRDefault="00EC1269">
                    <w:pPr>
                      <w:rPr>
                        <w:rFonts w:cs="Cambria"/>
                      </w:rPr>
                    </w:pPr>
                    <w:r>
                      <w:rPr>
                        <w:rFonts w:cs="Cambria" w:hint="eastAsia"/>
                      </w:rPr>
                      <w:t>邹城双叶工贸有限责任公司</w:t>
                    </w:r>
                  </w:p>
                </w:tc>
                <w:sdt>
                  <w:sdtPr>
                    <w:rPr>
                      <w:rFonts w:cs="Cambria"/>
                    </w:rPr>
                    <w:alias w:val="本企业的其他关联方情况明细－其他关联方与本公司关系"/>
                    <w:tag w:val="_GBC_2205fb8ea5f648b5a0c9e8e3f8499f9f"/>
                    <w:id w:val="19735935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48" w:type="pct"/>
                        <w:tcBorders>
                          <w:top w:val="single" w:sz="4" w:space="0" w:color="auto"/>
                          <w:left w:val="single" w:sz="4" w:space="0" w:color="auto"/>
                          <w:bottom w:val="single" w:sz="4" w:space="0" w:color="auto"/>
                          <w:right w:val="single" w:sz="4" w:space="0" w:color="auto"/>
                        </w:tcBorders>
                      </w:tcPr>
                      <w:p w14:paraId="7539253A" w14:textId="586E5295" w:rsidR="007E7472" w:rsidRDefault="006F3F93">
                        <w:pPr>
                          <w:rPr>
                            <w:rFonts w:cs="Cambria"/>
                          </w:rPr>
                        </w:pPr>
                        <w:r>
                          <w:rPr>
                            <w:rFonts w:cs="Cambria"/>
                          </w:rPr>
                          <w:t>受同一控股股东及最终控制方控制的其他企业</w:t>
                        </w:r>
                      </w:p>
                    </w:tc>
                  </w:sdtContent>
                </w:sdt>
                <w:sdt>
                  <w:sdtPr>
                    <w:alias w:val="主要交易内容"/>
                    <w:tag w:val="_GBC_5d4738d8b3dc4d0980cb436f6762b1b9"/>
                    <w:id w:val="1991517712"/>
                    <w:lock w:val="sdtLocked"/>
                  </w:sdtPr>
                  <w:sdtEndPr/>
                  <w:sdtContent>
                    <w:tc>
                      <w:tcPr>
                        <w:tcW w:w="1709" w:type="pct"/>
                        <w:tcBorders>
                          <w:top w:val="single" w:sz="4" w:space="0" w:color="auto"/>
                          <w:left w:val="single" w:sz="4" w:space="0" w:color="auto"/>
                          <w:bottom w:val="single" w:sz="4" w:space="0" w:color="auto"/>
                          <w:right w:val="single" w:sz="4" w:space="0" w:color="auto"/>
                        </w:tcBorders>
                      </w:tcPr>
                      <w:p w14:paraId="2C56232C" w14:textId="77777777" w:rsidR="007E7472" w:rsidRDefault="00EC1269">
                        <w:pPr>
                          <w:rPr>
                            <w:rFonts w:cs="Cambria"/>
                          </w:rPr>
                        </w:pPr>
                        <w:r>
                          <w:rPr>
                            <w:rFonts w:hint="eastAsia"/>
                          </w:rPr>
                          <w:t>采购商品、销售商品、其他交易</w:t>
                        </w:r>
                      </w:p>
                    </w:tc>
                  </w:sdtContent>
                </w:sdt>
              </w:tr>
            </w:sdtContent>
          </w:sdt>
          <w:sdt>
            <w:sdtPr>
              <w:rPr>
                <w:rFonts w:cs="Cambria"/>
              </w:rPr>
              <w:alias w:val="本企业的其他关联方情况明细"/>
              <w:tag w:val="_GBC_2ec4adf7a1ce48faaeba9536b2bf6d81"/>
              <w:id w:val="-1858421457"/>
              <w:lock w:val="sdtLocked"/>
            </w:sdtPr>
            <w:sdtEndPr/>
            <w:sdtContent>
              <w:tr w:rsidR="007E7472" w14:paraId="03D1E5D7" w14:textId="77777777">
                <w:trPr>
                  <w:trHeight w:val="267"/>
                </w:trPr>
                <w:tc>
                  <w:tcPr>
                    <w:tcW w:w="1643" w:type="pct"/>
                    <w:tcBorders>
                      <w:top w:val="single" w:sz="4" w:space="0" w:color="auto"/>
                      <w:left w:val="single" w:sz="4" w:space="0" w:color="auto"/>
                      <w:bottom w:val="single" w:sz="4" w:space="0" w:color="auto"/>
                      <w:right w:val="single" w:sz="4" w:space="0" w:color="auto"/>
                    </w:tcBorders>
                    <w:vAlign w:val="center"/>
                  </w:tcPr>
                  <w:p w14:paraId="584CFA64" w14:textId="77777777" w:rsidR="007E7472" w:rsidRDefault="00EC1269">
                    <w:pPr>
                      <w:rPr>
                        <w:rFonts w:cs="Cambria"/>
                      </w:rPr>
                    </w:pPr>
                    <w:r>
                      <w:rPr>
                        <w:rFonts w:cs="Cambria" w:hint="eastAsia"/>
                      </w:rPr>
                      <w:t>山东鲁西发电有限公司</w:t>
                    </w:r>
                  </w:p>
                </w:tc>
                <w:sdt>
                  <w:sdtPr>
                    <w:rPr>
                      <w:rFonts w:cs="Cambria"/>
                    </w:rPr>
                    <w:alias w:val="本企业的其他关联方情况明细－其他关联方与本公司关系"/>
                    <w:tag w:val="_GBC_2205fb8ea5f648b5a0c9e8e3f8499f9f"/>
                    <w:id w:val="-123330884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48" w:type="pct"/>
                        <w:tcBorders>
                          <w:top w:val="single" w:sz="4" w:space="0" w:color="auto"/>
                          <w:left w:val="single" w:sz="4" w:space="0" w:color="auto"/>
                          <w:bottom w:val="single" w:sz="4" w:space="0" w:color="auto"/>
                          <w:right w:val="single" w:sz="4" w:space="0" w:color="auto"/>
                        </w:tcBorders>
                      </w:tcPr>
                      <w:p w14:paraId="1C2EC372" w14:textId="4C8B6654" w:rsidR="007E7472" w:rsidRDefault="006F3F93">
                        <w:pPr>
                          <w:rPr>
                            <w:rFonts w:cs="Cambria"/>
                          </w:rPr>
                        </w:pPr>
                        <w:r>
                          <w:rPr>
                            <w:rFonts w:cs="Cambria"/>
                          </w:rPr>
                          <w:t>受同一控股股东及最终控制方控制的其他企业</w:t>
                        </w:r>
                      </w:p>
                    </w:tc>
                  </w:sdtContent>
                </w:sdt>
                <w:sdt>
                  <w:sdtPr>
                    <w:alias w:val="主要交易内容"/>
                    <w:tag w:val="_GBC_5d4738d8b3dc4d0980cb436f6762b1b9"/>
                    <w:id w:val="1908957407"/>
                    <w:lock w:val="sdtLocked"/>
                  </w:sdtPr>
                  <w:sdtEndPr/>
                  <w:sdtContent>
                    <w:tc>
                      <w:tcPr>
                        <w:tcW w:w="1709" w:type="pct"/>
                        <w:tcBorders>
                          <w:top w:val="single" w:sz="4" w:space="0" w:color="auto"/>
                          <w:left w:val="single" w:sz="4" w:space="0" w:color="auto"/>
                          <w:bottom w:val="single" w:sz="4" w:space="0" w:color="auto"/>
                          <w:right w:val="single" w:sz="4" w:space="0" w:color="auto"/>
                        </w:tcBorders>
                      </w:tcPr>
                      <w:p w14:paraId="490C9C38" w14:textId="77777777" w:rsidR="007E7472" w:rsidRDefault="00EC1269">
                        <w:pPr>
                          <w:rPr>
                            <w:rFonts w:cs="Cambria"/>
                          </w:rPr>
                        </w:pPr>
                        <w:r>
                          <w:rPr>
                            <w:rFonts w:hint="eastAsia"/>
                          </w:rPr>
                          <w:t>采购商品、销售商品、其他交易</w:t>
                        </w:r>
                      </w:p>
                    </w:tc>
                  </w:sdtContent>
                </w:sdt>
              </w:tr>
            </w:sdtContent>
          </w:sdt>
          <w:sdt>
            <w:sdtPr>
              <w:rPr>
                <w:rFonts w:cs="Cambria"/>
              </w:rPr>
              <w:alias w:val="本企业的其他关联方情况明细"/>
              <w:tag w:val="_GBC_2ec4adf7a1ce48faaeba9536b2bf6d81"/>
              <w:id w:val="-1257519522"/>
              <w:lock w:val="sdtLocked"/>
            </w:sdtPr>
            <w:sdtEndPr/>
            <w:sdtContent>
              <w:tr w:rsidR="007E7472" w14:paraId="78DC9CD0" w14:textId="77777777">
                <w:trPr>
                  <w:trHeight w:val="267"/>
                </w:trPr>
                <w:tc>
                  <w:tcPr>
                    <w:tcW w:w="1643" w:type="pct"/>
                    <w:tcBorders>
                      <w:top w:val="single" w:sz="4" w:space="0" w:color="auto"/>
                      <w:left w:val="single" w:sz="4" w:space="0" w:color="auto"/>
                      <w:bottom w:val="single" w:sz="4" w:space="0" w:color="auto"/>
                      <w:right w:val="single" w:sz="4" w:space="0" w:color="auto"/>
                    </w:tcBorders>
                    <w:vAlign w:val="center"/>
                  </w:tcPr>
                  <w:p w14:paraId="266B2640" w14:textId="77777777" w:rsidR="007E7472" w:rsidRDefault="00EC1269">
                    <w:pPr>
                      <w:rPr>
                        <w:rFonts w:cs="Cambria"/>
                      </w:rPr>
                    </w:pPr>
                    <w:r>
                      <w:rPr>
                        <w:rFonts w:cs="Cambria" w:hint="eastAsia"/>
                      </w:rPr>
                      <w:t>山东兖矿铝用阳极有限公司</w:t>
                    </w:r>
                  </w:p>
                </w:tc>
                <w:sdt>
                  <w:sdtPr>
                    <w:rPr>
                      <w:rFonts w:cs="Cambria"/>
                    </w:rPr>
                    <w:alias w:val="本企业的其他关联方情况明细－其他关联方与本公司关系"/>
                    <w:tag w:val="_GBC_2205fb8ea5f648b5a0c9e8e3f8499f9f"/>
                    <w:id w:val="37382442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48" w:type="pct"/>
                        <w:tcBorders>
                          <w:top w:val="single" w:sz="4" w:space="0" w:color="auto"/>
                          <w:left w:val="single" w:sz="4" w:space="0" w:color="auto"/>
                          <w:bottom w:val="single" w:sz="4" w:space="0" w:color="auto"/>
                          <w:right w:val="single" w:sz="4" w:space="0" w:color="auto"/>
                        </w:tcBorders>
                      </w:tcPr>
                      <w:p w14:paraId="77A7211D" w14:textId="6D1E4CA5" w:rsidR="007E7472" w:rsidRDefault="006F3F93">
                        <w:pPr>
                          <w:rPr>
                            <w:rFonts w:cs="Cambria"/>
                          </w:rPr>
                        </w:pPr>
                        <w:r>
                          <w:rPr>
                            <w:rFonts w:cs="Cambria"/>
                          </w:rPr>
                          <w:t>受同一控股股东及最终控制方控制的其他企业</w:t>
                        </w:r>
                      </w:p>
                    </w:tc>
                  </w:sdtContent>
                </w:sdt>
                <w:sdt>
                  <w:sdtPr>
                    <w:alias w:val="主要交易内容"/>
                    <w:tag w:val="_GBC_5d4738d8b3dc4d0980cb436f6762b1b9"/>
                    <w:id w:val="1928612943"/>
                    <w:lock w:val="sdtLocked"/>
                  </w:sdtPr>
                  <w:sdtEndPr/>
                  <w:sdtContent>
                    <w:tc>
                      <w:tcPr>
                        <w:tcW w:w="1709" w:type="pct"/>
                        <w:tcBorders>
                          <w:top w:val="single" w:sz="4" w:space="0" w:color="auto"/>
                          <w:left w:val="single" w:sz="4" w:space="0" w:color="auto"/>
                          <w:bottom w:val="single" w:sz="4" w:space="0" w:color="auto"/>
                          <w:right w:val="single" w:sz="4" w:space="0" w:color="auto"/>
                        </w:tcBorders>
                        <w:vAlign w:val="center"/>
                      </w:tcPr>
                      <w:p w14:paraId="61AE5AC2" w14:textId="77777777" w:rsidR="007E7472" w:rsidRDefault="00EC1269">
                        <w:pPr>
                          <w:jc w:val="both"/>
                          <w:rPr>
                            <w:rFonts w:cs="Cambria"/>
                          </w:rPr>
                        </w:pPr>
                        <w:r>
                          <w:rPr>
                            <w:rFonts w:hint="eastAsia"/>
                          </w:rPr>
                          <w:t>采购商品、销售商品</w:t>
                        </w:r>
                      </w:p>
                    </w:tc>
                  </w:sdtContent>
                </w:sdt>
              </w:tr>
            </w:sdtContent>
          </w:sdt>
          <w:sdt>
            <w:sdtPr>
              <w:rPr>
                <w:rFonts w:cs="Cambria"/>
              </w:rPr>
              <w:alias w:val="本企业的其他关联方情况明细"/>
              <w:tag w:val="_GBC_2ec4adf7a1ce48faaeba9536b2bf6d81"/>
              <w:id w:val="-66735716"/>
              <w:lock w:val="sdtLocked"/>
            </w:sdtPr>
            <w:sdtEndPr/>
            <w:sdtContent>
              <w:tr w:rsidR="007E7472" w14:paraId="72C0263A" w14:textId="77777777">
                <w:trPr>
                  <w:trHeight w:val="267"/>
                </w:trPr>
                <w:tc>
                  <w:tcPr>
                    <w:tcW w:w="1643" w:type="pct"/>
                    <w:tcBorders>
                      <w:top w:val="single" w:sz="4" w:space="0" w:color="auto"/>
                      <w:left w:val="single" w:sz="4" w:space="0" w:color="auto"/>
                      <w:bottom w:val="single" w:sz="4" w:space="0" w:color="auto"/>
                      <w:right w:val="single" w:sz="4" w:space="0" w:color="auto"/>
                    </w:tcBorders>
                    <w:vAlign w:val="center"/>
                  </w:tcPr>
                  <w:p w14:paraId="4278DDAF" w14:textId="77777777" w:rsidR="007E7472" w:rsidRDefault="00EC1269">
                    <w:pPr>
                      <w:rPr>
                        <w:rFonts w:cs="Cambria"/>
                      </w:rPr>
                    </w:pPr>
                    <w:r>
                      <w:rPr>
                        <w:rFonts w:cs="Cambria" w:hint="eastAsia"/>
                      </w:rPr>
                      <w:t>新风光电子科技股份有限公司</w:t>
                    </w:r>
                  </w:p>
                </w:tc>
                <w:sdt>
                  <w:sdtPr>
                    <w:rPr>
                      <w:rFonts w:cs="Cambria"/>
                    </w:rPr>
                    <w:alias w:val="本企业的其他关联方情况明细－其他关联方与本公司关系"/>
                    <w:tag w:val="_GBC_2205fb8ea5f648b5a0c9e8e3f8499f9f"/>
                    <w:id w:val="168493640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48" w:type="pct"/>
                        <w:tcBorders>
                          <w:top w:val="single" w:sz="4" w:space="0" w:color="auto"/>
                          <w:left w:val="single" w:sz="4" w:space="0" w:color="auto"/>
                          <w:bottom w:val="single" w:sz="4" w:space="0" w:color="auto"/>
                          <w:right w:val="single" w:sz="4" w:space="0" w:color="auto"/>
                        </w:tcBorders>
                      </w:tcPr>
                      <w:p w14:paraId="31DD61CF" w14:textId="6D89D05F" w:rsidR="007E7472" w:rsidRDefault="006F3F93">
                        <w:pPr>
                          <w:rPr>
                            <w:rFonts w:cs="Cambria"/>
                          </w:rPr>
                        </w:pPr>
                        <w:r>
                          <w:rPr>
                            <w:rFonts w:cs="Cambria"/>
                          </w:rPr>
                          <w:t>受同一控股股东及最终控制方控制的其他企业</w:t>
                        </w:r>
                      </w:p>
                    </w:tc>
                  </w:sdtContent>
                </w:sdt>
                <w:sdt>
                  <w:sdtPr>
                    <w:alias w:val="主要交易内容"/>
                    <w:tag w:val="_GBC_5d4738d8b3dc4d0980cb436f6762b1b9"/>
                    <w:id w:val="-1402603323"/>
                    <w:lock w:val="sdtLocked"/>
                  </w:sdtPr>
                  <w:sdtEndPr/>
                  <w:sdtContent>
                    <w:tc>
                      <w:tcPr>
                        <w:tcW w:w="1709" w:type="pct"/>
                        <w:tcBorders>
                          <w:top w:val="single" w:sz="4" w:space="0" w:color="auto"/>
                          <w:left w:val="single" w:sz="4" w:space="0" w:color="auto"/>
                          <w:bottom w:val="single" w:sz="4" w:space="0" w:color="auto"/>
                          <w:right w:val="single" w:sz="4" w:space="0" w:color="auto"/>
                        </w:tcBorders>
                        <w:vAlign w:val="center"/>
                      </w:tcPr>
                      <w:p w14:paraId="14FE16DF" w14:textId="77777777" w:rsidR="007E7472" w:rsidRDefault="00EC1269">
                        <w:pPr>
                          <w:jc w:val="both"/>
                          <w:rPr>
                            <w:rFonts w:cs="Cambria"/>
                          </w:rPr>
                        </w:pPr>
                        <w:r>
                          <w:rPr>
                            <w:rFonts w:hint="eastAsia"/>
                          </w:rPr>
                          <w:t>采购商品、销售商品</w:t>
                        </w:r>
                      </w:p>
                    </w:tc>
                  </w:sdtContent>
                </w:sdt>
              </w:tr>
            </w:sdtContent>
          </w:sdt>
          <w:sdt>
            <w:sdtPr>
              <w:rPr>
                <w:rFonts w:cs="Cambria"/>
              </w:rPr>
              <w:alias w:val="本企业的其他关联方情况明细"/>
              <w:tag w:val="_GBC_2ec4adf7a1ce48faaeba9536b2bf6d81"/>
              <w:id w:val="1156652922"/>
              <w:lock w:val="sdtLocked"/>
            </w:sdtPr>
            <w:sdtEndPr/>
            <w:sdtContent>
              <w:tr w:rsidR="007E7472" w14:paraId="7E6F39DD" w14:textId="77777777">
                <w:trPr>
                  <w:trHeight w:val="267"/>
                </w:trPr>
                <w:tc>
                  <w:tcPr>
                    <w:tcW w:w="1643" w:type="pct"/>
                    <w:tcBorders>
                      <w:top w:val="single" w:sz="4" w:space="0" w:color="auto"/>
                      <w:left w:val="single" w:sz="4" w:space="0" w:color="auto"/>
                      <w:bottom w:val="single" w:sz="4" w:space="0" w:color="auto"/>
                      <w:right w:val="single" w:sz="4" w:space="0" w:color="auto"/>
                    </w:tcBorders>
                    <w:vAlign w:val="center"/>
                  </w:tcPr>
                  <w:p w14:paraId="50876845" w14:textId="77777777" w:rsidR="007E7472" w:rsidRDefault="00EC1269">
                    <w:pPr>
                      <w:rPr>
                        <w:rFonts w:cs="Cambria"/>
                      </w:rPr>
                    </w:pPr>
                    <w:r>
                      <w:rPr>
                        <w:rFonts w:cs="Cambria" w:hint="eastAsia"/>
                      </w:rPr>
                      <w:t>兖矿东华集团有限公司</w:t>
                    </w:r>
                  </w:p>
                </w:tc>
                <w:sdt>
                  <w:sdtPr>
                    <w:rPr>
                      <w:rFonts w:cs="Cambria"/>
                    </w:rPr>
                    <w:alias w:val="本企业的其他关联方情况明细－其他关联方与本公司关系"/>
                    <w:tag w:val="_GBC_2205fb8ea5f648b5a0c9e8e3f8499f9f"/>
                    <w:id w:val="20152687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48" w:type="pct"/>
                        <w:tcBorders>
                          <w:top w:val="single" w:sz="4" w:space="0" w:color="auto"/>
                          <w:left w:val="single" w:sz="4" w:space="0" w:color="auto"/>
                          <w:bottom w:val="single" w:sz="4" w:space="0" w:color="auto"/>
                          <w:right w:val="single" w:sz="4" w:space="0" w:color="auto"/>
                        </w:tcBorders>
                      </w:tcPr>
                      <w:p w14:paraId="75B7F9CD" w14:textId="4E91890A" w:rsidR="007E7472" w:rsidRDefault="006F3F93">
                        <w:pPr>
                          <w:rPr>
                            <w:rFonts w:cs="Cambria"/>
                          </w:rPr>
                        </w:pPr>
                        <w:r>
                          <w:rPr>
                            <w:rFonts w:cs="Cambria"/>
                          </w:rPr>
                          <w:t>受同一控股股东及最终控制方控制的其他企业</w:t>
                        </w:r>
                      </w:p>
                    </w:tc>
                  </w:sdtContent>
                </w:sdt>
                <w:sdt>
                  <w:sdtPr>
                    <w:alias w:val="主要交易内容"/>
                    <w:tag w:val="_GBC_5d4738d8b3dc4d0980cb436f6762b1b9"/>
                    <w:id w:val="1542319005"/>
                    <w:lock w:val="sdtLocked"/>
                  </w:sdtPr>
                  <w:sdtEndPr/>
                  <w:sdtContent>
                    <w:tc>
                      <w:tcPr>
                        <w:tcW w:w="1709" w:type="pct"/>
                        <w:tcBorders>
                          <w:top w:val="single" w:sz="4" w:space="0" w:color="auto"/>
                          <w:left w:val="single" w:sz="4" w:space="0" w:color="auto"/>
                          <w:bottom w:val="single" w:sz="4" w:space="0" w:color="auto"/>
                          <w:right w:val="single" w:sz="4" w:space="0" w:color="auto"/>
                        </w:tcBorders>
                        <w:vAlign w:val="center"/>
                      </w:tcPr>
                      <w:p w14:paraId="2DF72C67" w14:textId="77777777" w:rsidR="007E7472" w:rsidRDefault="00EC1269">
                        <w:pPr>
                          <w:jc w:val="both"/>
                          <w:rPr>
                            <w:rFonts w:cs="Cambria"/>
                          </w:rPr>
                        </w:pPr>
                        <w:r>
                          <w:rPr>
                            <w:rFonts w:hint="eastAsia"/>
                          </w:rPr>
                          <w:t>采购商品、销售商品</w:t>
                        </w:r>
                      </w:p>
                    </w:tc>
                  </w:sdtContent>
                </w:sdt>
              </w:tr>
            </w:sdtContent>
          </w:sdt>
          <w:sdt>
            <w:sdtPr>
              <w:rPr>
                <w:rFonts w:cs="Cambria"/>
              </w:rPr>
              <w:alias w:val="本企业的其他关联方情况明细"/>
              <w:tag w:val="_GBC_2ec4adf7a1ce48faaeba9536b2bf6d81"/>
              <w:id w:val="1084498153"/>
              <w:lock w:val="sdtLocked"/>
            </w:sdtPr>
            <w:sdtEndPr/>
            <w:sdtContent>
              <w:tr w:rsidR="007E7472" w14:paraId="04565B47" w14:textId="77777777">
                <w:trPr>
                  <w:trHeight w:val="267"/>
                </w:trPr>
                <w:tc>
                  <w:tcPr>
                    <w:tcW w:w="1643" w:type="pct"/>
                    <w:tcBorders>
                      <w:top w:val="single" w:sz="4" w:space="0" w:color="auto"/>
                      <w:left w:val="single" w:sz="4" w:space="0" w:color="auto"/>
                      <w:bottom w:val="single" w:sz="4" w:space="0" w:color="auto"/>
                      <w:right w:val="single" w:sz="4" w:space="0" w:color="auto"/>
                    </w:tcBorders>
                    <w:vAlign w:val="center"/>
                  </w:tcPr>
                  <w:p w14:paraId="0C0BDA4F" w14:textId="77777777" w:rsidR="007E7472" w:rsidRDefault="00EC1269">
                    <w:pPr>
                      <w:rPr>
                        <w:rFonts w:cs="Cambria"/>
                      </w:rPr>
                    </w:pPr>
                    <w:r>
                      <w:rPr>
                        <w:rFonts w:cs="Cambria" w:hint="eastAsia"/>
                      </w:rPr>
                      <w:t>山东能源集团煤炭营销有限公司</w:t>
                    </w:r>
                  </w:p>
                </w:tc>
                <w:sdt>
                  <w:sdtPr>
                    <w:rPr>
                      <w:rFonts w:cs="Cambria"/>
                    </w:rPr>
                    <w:alias w:val="本企业的其他关联方情况明细－其他关联方与本公司关系"/>
                    <w:tag w:val="_GBC_2205fb8ea5f648b5a0c9e8e3f8499f9f"/>
                    <w:id w:val="-46597549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48" w:type="pct"/>
                        <w:tcBorders>
                          <w:top w:val="single" w:sz="4" w:space="0" w:color="auto"/>
                          <w:left w:val="single" w:sz="4" w:space="0" w:color="auto"/>
                          <w:bottom w:val="single" w:sz="4" w:space="0" w:color="auto"/>
                          <w:right w:val="single" w:sz="4" w:space="0" w:color="auto"/>
                        </w:tcBorders>
                      </w:tcPr>
                      <w:p w14:paraId="3DC2C877" w14:textId="6E0DF2E7" w:rsidR="007E7472" w:rsidRDefault="006F3F93">
                        <w:pPr>
                          <w:rPr>
                            <w:rFonts w:cs="Cambria"/>
                          </w:rPr>
                        </w:pPr>
                        <w:r>
                          <w:rPr>
                            <w:rFonts w:cs="Cambria"/>
                          </w:rPr>
                          <w:t>受同一控股股东及最终控制方控制的其他企业</w:t>
                        </w:r>
                      </w:p>
                    </w:tc>
                  </w:sdtContent>
                </w:sdt>
                <w:sdt>
                  <w:sdtPr>
                    <w:alias w:val="主要交易内容"/>
                    <w:tag w:val="_GBC_5d4738d8b3dc4d0980cb436f6762b1b9"/>
                    <w:id w:val="2009855651"/>
                    <w:lock w:val="sdtLocked"/>
                  </w:sdtPr>
                  <w:sdtEndPr/>
                  <w:sdtContent>
                    <w:tc>
                      <w:tcPr>
                        <w:tcW w:w="1709" w:type="pct"/>
                        <w:tcBorders>
                          <w:top w:val="single" w:sz="4" w:space="0" w:color="auto"/>
                          <w:left w:val="single" w:sz="4" w:space="0" w:color="auto"/>
                          <w:bottom w:val="single" w:sz="4" w:space="0" w:color="auto"/>
                          <w:right w:val="single" w:sz="4" w:space="0" w:color="auto"/>
                        </w:tcBorders>
                        <w:vAlign w:val="center"/>
                      </w:tcPr>
                      <w:p w14:paraId="749146CF" w14:textId="77777777" w:rsidR="007E7472" w:rsidRDefault="00EC1269">
                        <w:pPr>
                          <w:jc w:val="both"/>
                          <w:rPr>
                            <w:rFonts w:cs="Cambria"/>
                          </w:rPr>
                        </w:pPr>
                        <w:r>
                          <w:rPr>
                            <w:rFonts w:hint="eastAsia"/>
                          </w:rPr>
                          <w:t>采购商品、销售商品</w:t>
                        </w:r>
                      </w:p>
                    </w:tc>
                  </w:sdtContent>
                </w:sdt>
              </w:tr>
            </w:sdtContent>
          </w:sdt>
          <w:sdt>
            <w:sdtPr>
              <w:rPr>
                <w:rFonts w:cs="Cambria"/>
              </w:rPr>
              <w:alias w:val="本企业的其他关联方情况明细"/>
              <w:tag w:val="_GBC_2ec4adf7a1ce48faaeba9536b2bf6d81"/>
              <w:id w:val="1647621776"/>
              <w:lock w:val="sdtLocked"/>
            </w:sdtPr>
            <w:sdtEndPr/>
            <w:sdtContent>
              <w:tr w:rsidR="007E7472" w14:paraId="68B4623F" w14:textId="77777777">
                <w:trPr>
                  <w:trHeight w:val="267"/>
                </w:trPr>
                <w:tc>
                  <w:tcPr>
                    <w:tcW w:w="1643" w:type="pct"/>
                    <w:tcBorders>
                      <w:top w:val="single" w:sz="4" w:space="0" w:color="auto"/>
                      <w:left w:val="single" w:sz="4" w:space="0" w:color="auto"/>
                      <w:bottom w:val="single" w:sz="4" w:space="0" w:color="auto"/>
                      <w:right w:val="single" w:sz="4" w:space="0" w:color="auto"/>
                    </w:tcBorders>
                    <w:vAlign w:val="center"/>
                  </w:tcPr>
                  <w:p w14:paraId="7FF871CE" w14:textId="77777777" w:rsidR="007E7472" w:rsidRDefault="00EC1269">
                    <w:pPr>
                      <w:rPr>
                        <w:rFonts w:cs="Cambria"/>
                      </w:rPr>
                    </w:pPr>
                    <w:r>
                      <w:rPr>
                        <w:rFonts w:cs="Cambria" w:hint="eastAsia"/>
                      </w:rPr>
                      <w:t>北斗天地股份有限公司</w:t>
                    </w:r>
                  </w:p>
                </w:tc>
                <w:sdt>
                  <w:sdtPr>
                    <w:rPr>
                      <w:rFonts w:cs="Cambria"/>
                    </w:rPr>
                    <w:alias w:val="本企业的其他关联方情况明细－其他关联方与本公司关系"/>
                    <w:tag w:val="_GBC_2205fb8ea5f648b5a0c9e8e3f8499f9f"/>
                    <w:id w:val="-69376301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48" w:type="pct"/>
                        <w:tcBorders>
                          <w:top w:val="single" w:sz="4" w:space="0" w:color="auto"/>
                          <w:left w:val="single" w:sz="4" w:space="0" w:color="auto"/>
                          <w:bottom w:val="single" w:sz="4" w:space="0" w:color="auto"/>
                          <w:right w:val="single" w:sz="4" w:space="0" w:color="auto"/>
                        </w:tcBorders>
                      </w:tcPr>
                      <w:p w14:paraId="7932E2D2" w14:textId="6055B3CE" w:rsidR="007E7472" w:rsidRDefault="006F3F93">
                        <w:pPr>
                          <w:rPr>
                            <w:rFonts w:cs="Cambria"/>
                          </w:rPr>
                        </w:pPr>
                        <w:r>
                          <w:rPr>
                            <w:rFonts w:cs="Cambria"/>
                          </w:rPr>
                          <w:t>受同一控股股东及最终控制方控制的其他企业</w:t>
                        </w:r>
                      </w:p>
                    </w:tc>
                  </w:sdtContent>
                </w:sdt>
                <w:sdt>
                  <w:sdtPr>
                    <w:alias w:val="主要交易内容"/>
                    <w:tag w:val="_GBC_5d4738d8b3dc4d0980cb436f6762b1b9"/>
                    <w:id w:val="-1579515407"/>
                    <w:lock w:val="sdtLocked"/>
                  </w:sdtPr>
                  <w:sdtEndPr/>
                  <w:sdtContent>
                    <w:tc>
                      <w:tcPr>
                        <w:tcW w:w="1709" w:type="pct"/>
                        <w:tcBorders>
                          <w:top w:val="single" w:sz="4" w:space="0" w:color="auto"/>
                          <w:left w:val="single" w:sz="4" w:space="0" w:color="auto"/>
                          <w:bottom w:val="single" w:sz="4" w:space="0" w:color="auto"/>
                          <w:right w:val="single" w:sz="4" w:space="0" w:color="auto"/>
                        </w:tcBorders>
                        <w:vAlign w:val="center"/>
                      </w:tcPr>
                      <w:p w14:paraId="30347D37" w14:textId="77777777" w:rsidR="007E7472" w:rsidRDefault="00EC1269">
                        <w:pPr>
                          <w:jc w:val="both"/>
                          <w:rPr>
                            <w:rFonts w:cs="Cambria"/>
                          </w:rPr>
                        </w:pPr>
                        <w:r>
                          <w:rPr>
                            <w:rFonts w:hint="eastAsia"/>
                          </w:rPr>
                          <w:t>采购商品、销售商品</w:t>
                        </w:r>
                      </w:p>
                    </w:tc>
                  </w:sdtContent>
                </w:sdt>
              </w:tr>
            </w:sdtContent>
          </w:sdt>
          <w:sdt>
            <w:sdtPr>
              <w:rPr>
                <w:rFonts w:cs="Cambria"/>
              </w:rPr>
              <w:alias w:val="本企业的其他关联方情况明细"/>
              <w:tag w:val="_GBC_2ec4adf7a1ce48faaeba9536b2bf6d81"/>
              <w:id w:val="1154953902"/>
              <w:lock w:val="sdtLocked"/>
            </w:sdtPr>
            <w:sdtEndPr/>
            <w:sdtContent>
              <w:tr w:rsidR="007E7472" w14:paraId="5E719976" w14:textId="77777777">
                <w:trPr>
                  <w:trHeight w:val="267"/>
                </w:trPr>
                <w:tc>
                  <w:tcPr>
                    <w:tcW w:w="1643" w:type="pct"/>
                    <w:tcBorders>
                      <w:top w:val="single" w:sz="4" w:space="0" w:color="auto"/>
                      <w:left w:val="single" w:sz="4" w:space="0" w:color="auto"/>
                      <w:bottom w:val="single" w:sz="4" w:space="0" w:color="auto"/>
                      <w:right w:val="single" w:sz="4" w:space="0" w:color="auto"/>
                    </w:tcBorders>
                    <w:vAlign w:val="center"/>
                  </w:tcPr>
                  <w:p w14:paraId="6B29FEB9" w14:textId="77777777" w:rsidR="007E7472" w:rsidRDefault="00EC1269">
                    <w:pPr>
                      <w:rPr>
                        <w:rFonts w:cs="Cambria"/>
                      </w:rPr>
                    </w:pPr>
                    <w:r>
                      <w:rPr>
                        <w:rFonts w:cs="Cambria" w:hint="eastAsia"/>
                      </w:rPr>
                      <w:t>兖矿售电有限公司</w:t>
                    </w:r>
                  </w:p>
                </w:tc>
                <w:sdt>
                  <w:sdtPr>
                    <w:rPr>
                      <w:rFonts w:cs="Cambria"/>
                    </w:rPr>
                    <w:alias w:val="本企业的其他关联方情况明细－其他关联方与本公司关系"/>
                    <w:tag w:val="_GBC_2205fb8ea5f648b5a0c9e8e3f8499f9f"/>
                    <w:id w:val="55975768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48" w:type="pct"/>
                        <w:tcBorders>
                          <w:top w:val="single" w:sz="4" w:space="0" w:color="auto"/>
                          <w:left w:val="single" w:sz="4" w:space="0" w:color="auto"/>
                          <w:bottom w:val="single" w:sz="4" w:space="0" w:color="auto"/>
                          <w:right w:val="single" w:sz="4" w:space="0" w:color="auto"/>
                        </w:tcBorders>
                      </w:tcPr>
                      <w:p w14:paraId="451DF85E" w14:textId="0552E646" w:rsidR="007E7472" w:rsidRDefault="006F3F93">
                        <w:pPr>
                          <w:rPr>
                            <w:rFonts w:cs="Cambria"/>
                          </w:rPr>
                        </w:pPr>
                        <w:r>
                          <w:rPr>
                            <w:rFonts w:cs="Cambria"/>
                          </w:rPr>
                          <w:t>受同一控股股东及最终控制方控制的其他企业</w:t>
                        </w:r>
                      </w:p>
                    </w:tc>
                  </w:sdtContent>
                </w:sdt>
                <w:sdt>
                  <w:sdtPr>
                    <w:alias w:val="主要交易内容"/>
                    <w:tag w:val="_GBC_5d4738d8b3dc4d0980cb436f6762b1b9"/>
                    <w:id w:val="-956096216"/>
                    <w:lock w:val="sdtLocked"/>
                  </w:sdtPr>
                  <w:sdtEndPr/>
                  <w:sdtContent>
                    <w:tc>
                      <w:tcPr>
                        <w:tcW w:w="1709" w:type="pct"/>
                        <w:tcBorders>
                          <w:top w:val="single" w:sz="4" w:space="0" w:color="auto"/>
                          <w:left w:val="single" w:sz="4" w:space="0" w:color="auto"/>
                          <w:bottom w:val="single" w:sz="4" w:space="0" w:color="auto"/>
                          <w:right w:val="single" w:sz="4" w:space="0" w:color="auto"/>
                        </w:tcBorders>
                        <w:vAlign w:val="center"/>
                      </w:tcPr>
                      <w:p w14:paraId="29CDFD0D" w14:textId="77777777" w:rsidR="007E7472" w:rsidRDefault="00EC1269">
                        <w:pPr>
                          <w:jc w:val="both"/>
                          <w:rPr>
                            <w:rFonts w:cs="Cambria"/>
                          </w:rPr>
                        </w:pPr>
                        <w:r>
                          <w:rPr>
                            <w:rFonts w:hint="eastAsia"/>
                          </w:rPr>
                          <w:t>采购商品、销售商品</w:t>
                        </w:r>
                      </w:p>
                    </w:tc>
                  </w:sdtContent>
                </w:sdt>
              </w:tr>
            </w:sdtContent>
          </w:sdt>
          <w:sdt>
            <w:sdtPr>
              <w:rPr>
                <w:rFonts w:cs="Cambria"/>
              </w:rPr>
              <w:alias w:val="本企业的其他关联方情况明细"/>
              <w:tag w:val="_GBC_2ec4adf7a1ce48faaeba9536b2bf6d81"/>
              <w:id w:val="1056819192"/>
              <w:lock w:val="sdtLocked"/>
            </w:sdtPr>
            <w:sdtEndPr/>
            <w:sdtContent>
              <w:tr w:rsidR="007E7472" w14:paraId="3F9AFDE3" w14:textId="77777777">
                <w:trPr>
                  <w:trHeight w:val="267"/>
                </w:trPr>
                <w:tc>
                  <w:tcPr>
                    <w:tcW w:w="1643" w:type="pct"/>
                    <w:tcBorders>
                      <w:top w:val="single" w:sz="4" w:space="0" w:color="auto"/>
                      <w:left w:val="single" w:sz="4" w:space="0" w:color="auto"/>
                      <w:bottom w:val="single" w:sz="4" w:space="0" w:color="auto"/>
                      <w:right w:val="single" w:sz="4" w:space="0" w:color="auto"/>
                    </w:tcBorders>
                    <w:vAlign w:val="center"/>
                  </w:tcPr>
                  <w:p w14:paraId="4719377B" w14:textId="77777777" w:rsidR="007E7472" w:rsidRDefault="00EC1269">
                    <w:pPr>
                      <w:rPr>
                        <w:rFonts w:cs="Cambria"/>
                      </w:rPr>
                    </w:pPr>
                    <w:r>
                      <w:rPr>
                        <w:rFonts w:cs="Cambria" w:hint="eastAsia"/>
                      </w:rPr>
                      <w:t>山东惠济工贸有限公司</w:t>
                    </w:r>
                  </w:p>
                </w:tc>
                <w:sdt>
                  <w:sdtPr>
                    <w:rPr>
                      <w:rFonts w:cs="Cambria"/>
                    </w:rPr>
                    <w:alias w:val="本企业的其他关联方情况明细－其他关联方与本公司关系"/>
                    <w:tag w:val="_GBC_2205fb8ea5f648b5a0c9e8e3f8499f9f"/>
                    <w:id w:val="-170678260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48" w:type="pct"/>
                        <w:tcBorders>
                          <w:top w:val="single" w:sz="4" w:space="0" w:color="auto"/>
                          <w:left w:val="single" w:sz="4" w:space="0" w:color="auto"/>
                          <w:bottom w:val="single" w:sz="4" w:space="0" w:color="auto"/>
                          <w:right w:val="single" w:sz="4" w:space="0" w:color="auto"/>
                        </w:tcBorders>
                      </w:tcPr>
                      <w:p w14:paraId="2D724DF0" w14:textId="4929D36C" w:rsidR="007E7472" w:rsidRDefault="006F3F93">
                        <w:pPr>
                          <w:rPr>
                            <w:rFonts w:cs="Cambria"/>
                          </w:rPr>
                        </w:pPr>
                        <w:r>
                          <w:rPr>
                            <w:rFonts w:cs="Cambria"/>
                          </w:rPr>
                          <w:t>受同一控股股东及最终控制方控制的其他企业</w:t>
                        </w:r>
                      </w:p>
                    </w:tc>
                  </w:sdtContent>
                </w:sdt>
                <w:sdt>
                  <w:sdtPr>
                    <w:alias w:val="主要交易内容"/>
                    <w:tag w:val="_GBC_5d4738d8b3dc4d0980cb436f6762b1b9"/>
                    <w:id w:val="789863401"/>
                    <w:lock w:val="sdtLocked"/>
                  </w:sdtPr>
                  <w:sdtEndPr/>
                  <w:sdtContent>
                    <w:tc>
                      <w:tcPr>
                        <w:tcW w:w="1709" w:type="pct"/>
                        <w:tcBorders>
                          <w:top w:val="single" w:sz="4" w:space="0" w:color="auto"/>
                          <w:left w:val="single" w:sz="4" w:space="0" w:color="auto"/>
                          <w:bottom w:val="single" w:sz="4" w:space="0" w:color="auto"/>
                          <w:right w:val="single" w:sz="4" w:space="0" w:color="auto"/>
                        </w:tcBorders>
                        <w:vAlign w:val="center"/>
                      </w:tcPr>
                      <w:p w14:paraId="1524CB61" w14:textId="77777777" w:rsidR="007E7472" w:rsidRDefault="00EC1269">
                        <w:pPr>
                          <w:jc w:val="both"/>
                          <w:rPr>
                            <w:rFonts w:cs="Cambria"/>
                          </w:rPr>
                        </w:pPr>
                        <w:r>
                          <w:rPr>
                            <w:rFonts w:hint="eastAsia"/>
                          </w:rPr>
                          <w:t>采购商品、销售商品</w:t>
                        </w:r>
                      </w:p>
                    </w:tc>
                  </w:sdtContent>
                </w:sdt>
              </w:tr>
            </w:sdtContent>
          </w:sdt>
          <w:sdt>
            <w:sdtPr>
              <w:rPr>
                <w:rFonts w:cs="Cambria"/>
              </w:rPr>
              <w:alias w:val="本企业的其他关联方情况明细"/>
              <w:tag w:val="_GBC_2ec4adf7a1ce48faaeba9536b2bf6d81"/>
              <w:id w:val="-117685055"/>
              <w:lock w:val="sdtLocked"/>
            </w:sdtPr>
            <w:sdtEndPr/>
            <w:sdtContent>
              <w:tr w:rsidR="007E7472" w14:paraId="23BAD5CE" w14:textId="77777777">
                <w:trPr>
                  <w:trHeight w:val="267"/>
                </w:trPr>
                <w:tc>
                  <w:tcPr>
                    <w:tcW w:w="1643" w:type="pct"/>
                    <w:tcBorders>
                      <w:top w:val="single" w:sz="4" w:space="0" w:color="auto"/>
                      <w:left w:val="single" w:sz="4" w:space="0" w:color="auto"/>
                      <w:bottom w:val="single" w:sz="4" w:space="0" w:color="auto"/>
                      <w:right w:val="single" w:sz="4" w:space="0" w:color="auto"/>
                    </w:tcBorders>
                    <w:vAlign w:val="center"/>
                  </w:tcPr>
                  <w:p w14:paraId="380AC967" w14:textId="77777777" w:rsidR="007E7472" w:rsidRDefault="00EC1269">
                    <w:pPr>
                      <w:rPr>
                        <w:rFonts w:cs="Cambria"/>
                      </w:rPr>
                    </w:pPr>
                    <w:r>
                      <w:rPr>
                        <w:rFonts w:cs="Cambria" w:hint="eastAsia"/>
                      </w:rPr>
                      <w:t>山东兖矿工程监理有限公司</w:t>
                    </w:r>
                  </w:p>
                </w:tc>
                <w:sdt>
                  <w:sdtPr>
                    <w:rPr>
                      <w:rFonts w:cs="Cambria"/>
                    </w:rPr>
                    <w:alias w:val="本企业的其他关联方情况明细－其他关联方与本公司关系"/>
                    <w:tag w:val="_GBC_2205fb8ea5f648b5a0c9e8e3f8499f9f"/>
                    <w:id w:val="-38402418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48" w:type="pct"/>
                        <w:tcBorders>
                          <w:top w:val="single" w:sz="4" w:space="0" w:color="auto"/>
                          <w:left w:val="single" w:sz="4" w:space="0" w:color="auto"/>
                          <w:bottom w:val="single" w:sz="4" w:space="0" w:color="auto"/>
                          <w:right w:val="single" w:sz="4" w:space="0" w:color="auto"/>
                        </w:tcBorders>
                      </w:tcPr>
                      <w:p w14:paraId="10DD4964" w14:textId="57E3D045" w:rsidR="007E7472" w:rsidRDefault="006F3F93">
                        <w:pPr>
                          <w:rPr>
                            <w:rFonts w:cs="Cambria"/>
                          </w:rPr>
                        </w:pPr>
                        <w:r>
                          <w:rPr>
                            <w:rFonts w:cs="Cambria"/>
                          </w:rPr>
                          <w:t>受同一控股股东及最终控制方控制的其他企业</w:t>
                        </w:r>
                      </w:p>
                    </w:tc>
                  </w:sdtContent>
                </w:sdt>
                <w:sdt>
                  <w:sdtPr>
                    <w:alias w:val="主要交易内容"/>
                    <w:tag w:val="_GBC_5d4738d8b3dc4d0980cb436f6762b1b9"/>
                    <w:id w:val="-132871864"/>
                    <w:lock w:val="sdtLocked"/>
                  </w:sdtPr>
                  <w:sdtEndPr/>
                  <w:sdtContent>
                    <w:tc>
                      <w:tcPr>
                        <w:tcW w:w="1709" w:type="pct"/>
                        <w:tcBorders>
                          <w:top w:val="single" w:sz="4" w:space="0" w:color="auto"/>
                          <w:left w:val="single" w:sz="4" w:space="0" w:color="auto"/>
                          <w:bottom w:val="single" w:sz="4" w:space="0" w:color="auto"/>
                          <w:right w:val="single" w:sz="4" w:space="0" w:color="auto"/>
                        </w:tcBorders>
                        <w:vAlign w:val="center"/>
                      </w:tcPr>
                      <w:p w14:paraId="1455340F" w14:textId="77777777" w:rsidR="007E7472" w:rsidRDefault="00EC1269">
                        <w:pPr>
                          <w:jc w:val="both"/>
                          <w:rPr>
                            <w:rFonts w:cs="Cambria"/>
                          </w:rPr>
                        </w:pPr>
                        <w:r>
                          <w:rPr>
                            <w:rFonts w:hint="eastAsia"/>
                          </w:rPr>
                          <w:t>采购商品、销售商品</w:t>
                        </w:r>
                      </w:p>
                    </w:tc>
                  </w:sdtContent>
                </w:sdt>
              </w:tr>
            </w:sdtContent>
          </w:sdt>
          <w:sdt>
            <w:sdtPr>
              <w:rPr>
                <w:rFonts w:ascii="Times New Roman" w:hAnsi="Times New Roman" w:cs="Cambria"/>
                <w:sz w:val="20"/>
                <w:szCs w:val="20"/>
              </w:rPr>
              <w:alias w:val="本企业的其他关联方情况明细"/>
              <w:tag w:val="_GBC_2ec4adf7a1ce48faaeba9536b2bf6d81"/>
              <w:id w:val="-154916479"/>
              <w:lock w:val="sdtLocked"/>
            </w:sdtPr>
            <w:sdtEndPr>
              <w:rPr>
                <w:rFonts w:cs="宋体"/>
                <w:sz w:val="21"/>
                <w:szCs w:val="21"/>
              </w:rPr>
            </w:sdtEndPr>
            <w:sdtContent>
              <w:tr w:rsidR="007E7472" w14:paraId="210A82A7" w14:textId="77777777">
                <w:trPr>
                  <w:trHeight w:val="267"/>
                </w:trPr>
                <w:tc>
                  <w:tcPr>
                    <w:tcW w:w="1643" w:type="pct"/>
                    <w:tcBorders>
                      <w:top w:val="single" w:sz="4" w:space="0" w:color="auto"/>
                      <w:left w:val="single" w:sz="4" w:space="0" w:color="auto"/>
                      <w:bottom w:val="single" w:sz="4" w:space="0" w:color="auto"/>
                      <w:right w:val="single" w:sz="4" w:space="0" w:color="auto"/>
                    </w:tcBorders>
                    <w:vAlign w:val="center"/>
                  </w:tcPr>
                  <w:p w14:paraId="51A8F5B5" w14:textId="77777777" w:rsidR="007E7472" w:rsidRDefault="00EC1269">
                    <w:pPr>
                      <w:rPr>
                        <w:rFonts w:cs="Cambria"/>
                      </w:rPr>
                    </w:pPr>
                    <w:r>
                      <w:rPr>
                        <w:rFonts w:cs="Cambria" w:hint="eastAsia"/>
                      </w:rPr>
                      <w:t>山东兖矿信达酒店管理有限公司</w:t>
                    </w:r>
                  </w:p>
                </w:tc>
                <w:sdt>
                  <w:sdtPr>
                    <w:rPr>
                      <w:rFonts w:cs="Cambria"/>
                    </w:rPr>
                    <w:alias w:val="本企业的其他关联方情况明细－其他关联方与本公司关系"/>
                    <w:tag w:val="_GBC_2205fb8ea5f648b5a0c9e8e3f8499f9f"/>
                    <w:id w:val="-51029323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48" w:type="pct"/>
                        <w:tcBorders>
                          <w:top w:val="single" w:sz="4" w:space="0" w:color="auto"/>
                          <w:left w:val="single" w:sz="4" w:space="0" w:color="auto"/>
                          <w:bottom w:val="single" w:sz="4" w:space="0" w:color="auto"/>
                          <w:right w:val="single" w:sz="4" w:space="0" w:color="auto"/>
                        </w:tcBorders>
                      </w:tcPr>
                      <w:p w14:paraId="59E71198" w14:textId="1AB527A5" w:rsidR="007E7472" w:rsidRDefault="006F3F93">
                        <w:pPr>
                          <w:rPr>
                            <w:rFonts w:cs="Cambria"/>
                          </w:rPr>
                        </w:pPr>
                        <w:r>
                          <w:rPr>
                            <w:rFonts w:cs="Cambria"/>
                          </w:rPr>
                          <w:t>受同一控股股东及最终控制方控制的其他企业</w:t>
                        </w:r>
                      </w:p>
                    </w:tc>
                  </w:sdtContent>
                </w:sdt>
                <w:sdt>
                  <w:sdtPr>
                    <w:alias w:val="主要交易内容"/>
                    <w:tag w:val="_GBC_5d4738d8b3dc4d0980cb436f6762b1b9"/>
                    <w:id w:val="-1573419294"/>
                    <w:lock w:val="sdtLocked"/>
                  </w:sdtPr>
                  <w:sdtEndPr/>
                  <w:sdtContent>
                    <w:tc>
                      <w:tcPr>
                        <w:tcW w:w="1709" w:type="pct"/>
                        <w:tcBorders>
                          <w:top w:val="single" w:sz="4" w:space="0" w:color="auto"/>
                          <w:left w:val="single" w:sz="4" w:space="0" w:color="auto"/>
                          <w:bottom w:val="single" w:sz="4" w:space="0" w:color="auto"/>
                          <w:right w:val="single" w:sz="4" w:space="0" w:color="auto"/>
                        </w:tcBorders>
                        <w:vAlign w:val="center"/>
                      </w:tcPr>
                      <w:p w14:paraId="109AE331" w14:textId="77777777" w:rsidR="007E7472" w:rsidRDefault="00EC1269">
                        <w:pPr>
                          <w:jc w:val="both"/>
                        </w:pPr>
                        <w:r>
                          <w:rPr>
                            <w:rFonts w:hint="eastAsia"/>
                          </w:rPr>
                          <w:t>采购商品、销售商品</w:t>
                        </w:r>
                      </w:p>
                    </w:tc>
                  </w:sdtContent>
                </w:sdt>
              </w:tr>
            </w:sdtContent>
          </w:sdt>
          <w:sdt>
            <w:sdtPr>
              <w:rPr>
                <w:rFonts w:ascii="Times New Roman" w:hAnsi="Times New Roman" w:cs="Cambria"/>
                <w:sz w:val="20"/>
                <w:szCs w:val="20"/>
              </w:rPr>
              <w:alias w:val="本企业的其他关联方情况明细"/>
              <w:tag w:val="_GBC_2ec4adf7a1ce48faaeba9536b2bf6d81"/>
              <w:id w:val="1513023389"/>
              <w:lock w:val="sdtLocked"/>
            </w:sdtPr>
            <w:sdtEndPr>
              <w:rPr>
                <w:rFonts w:cs="宋体"/>
                <w:sz w:val="21"/>
                <w:szCs w:val="21"/>
              </w:rPr>
            </w:sdtEndPr>
            <w:sdtContent>
              <w:tr w:rsidR="007E7472" w14:paraId="09D77083" w14:textId="77777777">
                <w:trPr>
                  <w:trHeight w:val="267"/>
                </w:trPr>
                <w:tc>
                  <w:tcPr>
                    <w:tcW w:w="1643" w:type="pct"/>
                    <w:tcBorders>
                      <w:top w:val="single" w:sz="4" w:space="0" w:color="auto"/>
                      <w:left w:val="single" w:sz="4" w:space="0" w:color="auto"/>
                      <w:bottom w:val="single" w:sz="4" w:space="0" w:color="auto"/>
                      <w:right w:val="single" w:sz="4" w:space="0" w:color="auto"/>
                    </w:tcBorders>
                    <w:vAlign w:val="center"/>
                  </w:tcPr>
                  <w:p w14:paraId="2B430ED2" w14:textId="77777777" w:rsidR="007E7472" w:rsidRDefault="00EC1269">
                    <w:pPr>
                      <w:rPr>
                        <w:rFonts w:cs="Cambria"/>
                      </w:rPr>
                    </w:pPr>
                    <w:r>
                      <w:rPr>
                        <w:rFonts w:cs="Cambria" w:hint="eastAsia"/>
                      </w:rPr>
                      <w:t>山东国欣颐养健康产业发展集</w:t>
                    </w:r>
                    <w:r>
                      <w:rPr>
                        <w:rFonts w:cs="Cambria"/>
                      </w:rPr>
                      <w:t>团有限公司</w:t>
                    </w:r>
                  </w:p>
                </w:tc>
                <w:sdt>
                  <w:sdtPr>
                    <w:rPr>
                      <w:rFonts w:cs="Cambria"/>
                    </w:rPr>
                    <w:alias w:val="本企业的其他关联方情况明细－其他关联方与本公司关系"/>
                    <w:tag w:val="_GBC_2205fb8ea5f648b5a0c9e8e3f8499f9f"/>
                    <w:id w:val="206783630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48" w:type="pct"/>
                        <w:tcBorders>
                          <w:top w:val="single" w:sz="4" w:space="0" w:color="auto"/>
                          <w:left w:val="single" w:sz="4" w:space="0" w:color="auto"/>
                          <w:bottom w:val="single" w:sz="4" w:space="0" w:color="auto"/>
                          <w:right w:val="single" w:sz="4" w:space="0" w:color="auto"/>
                        </w:tcBorders>
                      </w:tcPr>
                      <w:p w14:paraId="469C5313" w14:textId="3411EC9F" w:rsidR="007E7472" w:rsidRDefault="006F3F93">
                        <w:pPr>
                          <w:rPr>
                            <w:rFonts w:cs="Cambria"/>
                          </w:rPr>
                        </w:pPr>
                        <w:r>
                          <w:rPr>
                            <w:rFonts w:cs="Cambria"/>
                          </w:rPr>
                          <w:t>受同一控股股东及最终控制方控制的其他企业</w:t>
                        </w:r>
                      </w:p>
                    </w:tc>
                  </w:sdtContent>
                </w:sdt>
                <w:sdt>
                  <w:sdtPr>
                    <w:alias w:val="主要交易内容"/>
                    <w:tag w:val="_GBC_5d4738d8b3dc4d0980cb436f6762b1b9"/>
                    <w:id w:val="-1160000320"/>
                    <w:lock w:val="sdtLocked"/>
                  </w:sdtPr>
                  <w:sdtEndPr/>
                  <w:sdtContent>
                    <w:tc>
                      <w:tcPr>
                        <w:tcW w:w="1709" w:type="pct"/>
                        <w:tcBorders>
                          <w:top w:val="single" w:sz="4" w:space="0" w:color="auto"/>
                          <w:left w:val="single" w:sz="4" w:space="0" w:color="auto"/>
                          <w:bottom w:val="single" w:sz="4" w:space="0" w:color="auto"/>
                          <w:right w:val="single" w:sz="4" w:space="0" w:color="auto"/>
                        </w:tcBorders>
                        <w:vAlign w:val="center"/>
                      </w:tcPr>
                      <w:p w14:paraId="762BCFFF" w14:textId="77777777" w:rsidR="007E7472" w:rsidRDefault="00EC1269">
                        <w:pPr>
                          <w:jc w:val="both"/>
                        </w:pPr>
                        <w:r>
                          <w:rPr>
                            <w:rFonts w:hint="eastAsia"/>
                          </w:rPr>
                          <w:t>接受劳务</w:t>
                        </w:r>
                      </w:p>
                    </w:tc>
                  </w:sdtContent>
                </w:sdt>
              </w:tr>
            </w:sdtContent>
          </w:sdt>
          <w:sdt>
            <w:sdtPr>
              <w:rPr>
                <w:rFonts w:cs="Cambria"/>
              </w:rPr>
              <w:alias w:val="本企业的其他关联方情况明细"/>
              <w:tag w:val="_GBC_2ec4adf7a1ce48faaeba9536b2bf6d81"/>
              <w:id w:val="1739437635"/>
              <w:lock w:val="sdtLocked"/>
            </w:sdtPr>
            <w:sdtEndPr/>
            <w:sdtContent>
              <w:tr w:rsidR="007E7472" w14:paraId="71121810" w14:textId="77777777">
                <w:trPr>
                  <w:trHeight w:val="267"/>
                </w:trPr>
                <w:tc>
                  <w:tcPr>
                    <w:tcW w:w="1643" w:type="pct"/>
                    <w:tcBorders>
                      <w:top w:val="single" w:sz="4" w:space="0" w:color="auto"/>
                      <w:left w:val="single" w:sz="4" w:space="0" w:color="auto"/>
                      <w:bottom w:val="single" w:sz="4" w:space="0" w:color="auto"/>
                      <w:right w:val="single" w:sz="4" w:space="0" w:color="auto"/>
                    </w:tcBorders>
                    <w:vAlign w:val="center"/>
                  </w:tcPr>
                  <w:p w14:paraId="29040345" w14:textId="77777777" w:rsidR="007E7472" w:rsidRDefault="00EC1269">
                    <w:pPr>
                      <w:rPr>
                        <w:rFonts w:cs="Cambria"/>
                      </w:rPr>
                    </w:pPr>
                    <w:r>
                      <w:rPr>
                        <w:rFonts w:cs="Cambria" w:hint="eastAsia"/>
                      </w:rPr>
                      <w:t>山东能源数字科技有限公司</w:t>
                    </w:r>
                  </w:p>
                </w:tc>
                <w:sdt>
                  <w:sdtPr>
                    <w:rPr>
                      <w:rFonts w:cs="Cambria"/>
                    </w:rPr>
                    <w:alias w:val="本企业的其他关联方情况明细－其他关联方与本公司关系"/>
                    <w:tag w:val="_GBC_2205fb8ea5f648b5a0c9e8e3f8499f9f"/>
                    <w:id w:val="-43197394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48" w:type="pct"/>
                        <w:tcBorders>
                          <w:top w:val="single" w:sz="4" w:space="0" w:color="auto"/>
                          <w:left w:val="single" w:sz="4" w:space="0" w:color="auto"/>
                          <w:bottom w:val="single" w:sz="4" w:space="0" w:color="auto"/>
                          <w:right w:val="single" w:sz="4" w:space="0" w:color="auto"/>
                        </w:tcBorders>
                      </w:tcPr>
                      <w:p w14:paraId="19FE31F4" w14:textId="46E4B17D" w:rsidR="007E7472" w:rsidRDefault="006F3F93">
                        <w:pPr>
                          <w:rPr>
                            <w:rFonts w:cs="Cambria"/>
                          </w:rPr>
                        </w:pPr>
                        <w:r>
                          <w:rPr>
                            <w:rFonts w:cs="Cambria"/>
                          </w:rPr>
                          <w:t>受同一控股股东及最终控制方控制的其他企业</w:t>
                        </w:r>
                      </w:p>
                    </w:tc>
                  </w:sdtContent>
                </w:sdt>
                <w:sdt>
                  <w:sdtPr>
                    <w:alias w:val="主要交易内容"/>
                    <w:tag w:val="_GBC_5d4738d8b3dc4d0980cb436f6762b1b9"/>
                    <w:id w:val="1911037068"/>
                    <w:lock w:val="sdtLocked"/>
                  </w:sdtPr>
                  <w:sdtEndPr/>
                  <w:sdtContent>
                    <w:tc>
                      <w:tcPr>
                        <w:tcW w:w="1709" w:type="pct"/>
                        <w:tcBorders>
                          <w:top w:val="single" w:sz="4" w:space="0" w:color="auto"/>
                          <w:left w:val="single" w:sz="4" w:space="0" w:color="auto"/>
                          <w:bottom w:val="single" w:sz="4" w:space="0" w:color="auto"/>
                          <w:right w:val="single" w:sz="4" w:space="0" w:color="auto"/>
                        </w:tcBorders>
                        <w:vAlign w:val="center"/>
                      </w:tcPr>
                      <w:p w14:paraId="47CF26D8" w14:textId="77777777" w:rsidR="007E7472" w:rsidRDefault="00EC1269">
                        <w:pPr>
                          <w:jc w:val="both"/>
                          <w:rPr>
                            <w:rFonts w:cs="Cambria"/>
                          </w:rPr>
                        </w:pPr>
                        <w:r>
                          <w:rPr>
                            <w:rFonts w:hint="eastAsia"/>
                          </w:rPr>
                          <w:t>接受劳务</w:t>
                        </w:r>
                      </w:p>
                    </w:tc>
                  </w:sdtContent>
                </w:sdt>
              </w:tr>
            </w:sdtContent>
          </w:sdt>
          <w:sdt>
            <w:sdtPr>
              <w:rPr>
                <w:rFonts w:cs="Cambria"/>
              </w:rPr>
              <w:alias w:val="本企业的其他关联方情况明细"/>
              <w:tag w:val="_GBC_2ec4adf7a1ce48faaeba9536b2bf6d81"/>
              <w:id w:val="700987284"/>
              <w:lock w:val="sdtLocked"/>
            </w:sdtPr>
            <w:sdtEndPr/>
            <w:sdtContent>
              <w:tr w:rsidR="007E7472" w14:paraId="1B230A8A" w14:textId="77777777">
                <w:trPr>
                  <w:trHeight w:val="267"/>
                </w:trPr>
                <w:tc>
                  <w:tcPr>
                    <w:tcW w:w="1643" w:type="pct"/>
                    <w:tcBorders>
                      <w:top w:val="single" w:sz="4" w:space="0" w:color="auto"/>
                      <w:left w:val="single" w:sz="4" w:space="0" w:color="auto"/>
                      <w:bottom w:val="single" w:sz="4" w:space="0" w:color="auto"/>
                      <w:right w:val="single" w:sz="4" w:space="0" w:color="auto"/>
                    </w:tcBorders>
                    <w:vAlign w:val="center"/>
                  </w:tcPr>
                  <w:p w14:paraId="5E3217B8" w14:textId="77777777" w:rsidR="007E7472" w:rsidRDefault="00EC1269">
                    <w:pPr>
                      <w:rPr>
                        <w:rFonts w:cs="Cambria"/>
                      </w:rPr>
                    </w:pPr>
                    <w:r>
                      <w:rPr>
                        <w:rFonts w:cs="Cambria" w:hint="eastAsia"/>
                      </w:rPr>
                      <w:t>青岛北斗天地科技有限公司</w:t>
                    </w:r>
                  </w:p>
                </w:tc>
                <w:sdt>
                  <w:sdtPr>
                    <w:rPr>
                      <w:rFonts w:cs="Cambria"/>
                    </w:rPr>
                    <w:alias w:val="本企业的其他关联方情况明细－其他关联方与本公司关系"/>
                    <w:tag w:val="_GBC_2205fb8ea5f648b5a0c9e8e3f8499f9f"/>
                    <w:id w:val="-206254929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48" w:type="pct"/>
                        <w:tcBorders>
                          <w:top w:val="single" w:sz="4" w:space="0" w:color="auto"/>
                          <w:left w:val="single" w:sz="4" w:space="0" w:color="auto"/>
                          <w:bottom w:val="single" w:sz="4" w:space="0" w:color="auto"/>
                          <w:right w:val="single" w:sz="4" w:space="0" w:color="auto"/>
                        </w:tcBorders>
                      </w:tcPr>
                      <w:p w14:paraId="42C4DC10" w14:textId="34703F28" w:rsidR="007E7472" w:rsidRDefault="006F3F93">
                        <w:pPr>
                          <w:rPr>
                            <w:rFonts w:cs="Cambria"/>
                          </w:rPr>
                        </w:pPr>
                        <w:r>
                          <w:rPr>
                            <w:rFonts w:cs="Cambria"/>
                          </w:rPr>
                          <w:t>受同一控股股东及最终控制方控制的其他企业</w:t>
                        </w:r>
                      </w:p>
                    </w:tc>
                  </w:sdtContent>
                </w:sdt>
                <w:sdt>
                  <w:sdtPr>
                    <w:alias w:val="主要交易内容"/>
                    <w:tag w:val="_GBC_5d4738d8b3dc4d0980cb436f6762b1b9"/>
                    <w:id w:val="-2122449952"/>
                    <w:lock w:val="sdtLocked"/>
                  </w:sdtPr>
                  <w:sdtEndPr/>
                  <w:sdtContent>
                    <w:tc>
                      <w:tcPr>
                        <w:tcW w:w="1709" w:type="pct"/>
                        <w:tcBorders>
                          <w:top w:val="single" w:sz="4" w:space="0" w:color="auto"/>
                          <w:left w:val="single" w:sz="4" w:space="0" w:color="auto"/>
                          <w:bottom w:val="single" w:sz="4" w:space="0" w:color="auto"/>
                          <w:right w:val="single" w:sz="4" w:space="0" w:color="auto"/>
                        </w:tcBorders>
                        <w:vAlign w:val="center"/>
                      </w:tcPr>
                      <w:p w14:paraId="153B3313" w14:textId="77777777" w:rsidR="007E7472" w:rsidRDefault="00EC1269">
                        <w:pPr>
                          <w:jc w:val="both"/>
                          <w:rPr>
                            <w:rFonts w:cs="Cambria"/>
                          </w:rPr>
                        </w:pPr>
                        <w:r>
                          <w:rPr>
                            <w:rFonts w:hint="eastAsia"/>
                          </w:rPr>
                          <w:t>采购商品</w:t>
                        </w:r>
                      </w:p>
                    </w:tc>
                  </w:sdtContent>
                </w:sdt>
              </w:tr>
            </w:sdtContent>
          </w:sdt>
          <w:sdt>
            <w:sdtPr>
              <w:rPr>
                <w:rFonts w:ascii="Times New Roman" w:hAnsi="Times New Roman" w:cs="Cambria"/>
                <w:sz w:val="20"/>
                <w:szCs w:val="20"/>
              </w:rPr>
              <w:alias w:val="本企业的其他关联方情况明细"/>
              <w:tag w:val="_GBC_2ec4adf7a1ce48faaeba9536b2bf6d81"/>
              <w:id w:val="-915702532"/>
              <w:lock w:val="sdtLocked"/>
            </w:sdtPr>
            <w:sdtEndPr>
              <w:rPr>
                <w:rFonts w:cs="宋体"/>
                <w:sz w:val="21"/>
                <w:szCs w:val="21"/>
              </w:rPr>
            </w:sdtEndPr>
            <w:sdtContent>
              <w:tr w:rsidR="007E7472" w14:paraId="0B3FE25A" w14:textId="77777777">
                <w:trPr>
                  <w:trHeight w:val="267"/>
                </w:trPr>
                <w:tc>
                  <w:tcPr>
                    <w:tcW w:w="1643" w:type="pct"/>
                    <w:tcBorders>
                      <w:top w:val="single" w:sz="4" w:space="0" w:color="auto"/>
                      <w:left w:val="single" w:sz="4" w:space="0" w:color="auto"/>
                      <w:bottom w:val="single" w:sz="4" w:space="0" w:color="auto"/>
                      <w:right w:val="single" w:sz="4" w:space="0" w:color="auto"/>
                    </w:tcBorders>
                    <w:vAlign w:val="center"/>
                  </w:tcPr>
                  <w:p w14:paraId="2A58112C" w14:textId="77777777" w:rsidR="007E7472" w:rsidRDefault="00EC1269">
                    <w:pPr>
                      <w:rPr>
                        <w:rFonts w:cs="Cambria"/>
                      </w:rPr>
                    </w:pPr>
                    <w:r>
                      <w:rPr>
                        <w:rFonts w:cs="Cambria" w:hint="eastAsia"/>
                      </w:rPr>
                      <w:t>新汶矿业集团物资供销有限责任公司</w:t>
                    </w:r>
                  </w:p>
                </w:tc>
                <w:sdt>
                  <w:sdtPr>
                    <w:rPr>
                      <w:rFonts w:cs="Cambria"/>
                    </w:rPr>
                    <w:alias w:val="本企业的其他关联方情况明细－其他关联方与本公司关系"/>
                    <w:tag w:val="_GBC_2205fb8ea5f648b5a0c9e8e3f8499f9f"/>
                    <w:id w:val="200531203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48" w:type="pct"/>
                        <w:tcBorders>
                          <w:top w:val="single" w:sz="4" w:space="0" w:color="auto"/>
                          <w:left w:val="single" w:sz="4" w:space="0" w:color="auto"/>
                          <w:bottom w:val="single" w:sz="4" w:space="0" w:color="auto"/>
                          <w:right w:val="single" w:sz="4" w:space="0" w:color="auto"/>
                        </w:tcBorders>
                      </w:tcPr>
                      <w:p w14:paraId="0F9791F0" w14:textId="7F50982B" w:rsidR="007E7472" w:rsidRDefault="006F3F93">
                        <w:pPr>
                          <w:rPr>
                            <w:rFonts w:cs="Cambria"/>
                          </w:rPr>
                        </w:pPr>
                        <w:r>
                          <w:rPr>
                            <w:rFonts w:cs="Cambria"/>
                          </w:rPr>
                          <w:t>受同一控股股东及最终控制方控制的其他企业</w:t>
                        </w:r>
                      </w:p>
                    </w:tc>
                  </w:sdtContent>
                </w:sdt>
                <w:sdt>
                  <w:sdtPr>
                    <w:alias w:val="主要交易内容"/>
                    <w:tag w:val="_GBC_5d4738d8b3dc4d0980cb436f6762b1b9"/>
                    <w:id w:val="-1867362308"/>
                    <w:lock w:val="sdtLocked"/>
                  </w:sdtPr>
                  <w:sdtEndPr/>
                  <w:sdtContent>
                    <w:tc>
                      <w:tcPr>
                        <w:tcW w:w="1709" w:type="pct"/>
                        <w:tcBorders>
                          <w:top w:val="single" w:sz="4" w:space="0" w:color="auto"/>
                          <w:left w:val="single" w:sz="4" w:space="0" w:color="auto"/>
                          <w:bottom w:val="single" w:sz="4" w:space="0" w:color="auto"/>
                          <w:right w:val="single" w:sz="4" w:space="0" w:color="auto"/>
                        </w:tcBorders>
                        <w:vAlign w:val="center"/>
                      </w:tcPr>
                      <w:p w14:paraId="44C66C91" w14:textId="77777777" w:rsidR="007E7472" w:rsidRDefault="00EC1269">
                        <w:pPr>
                          <w:jc w:val="both"/>
                        </w:pPr>
                        <w:r>
                          <w:rPr>
                            <w:rFonts w:hint="eastAsia"/>
                          </w:rPr>
                          <w:t>采购商品</w:t>
                        </w:r>
                      </w:p>
                    </w:tc>
                  </w:sdtContent>
                </w:sdt>
              </w:tr>
            </w:sdtContent>
          </w:sdt>
          <w:sdt>
            <w:sdtPr>
              <w:rPr>
                <w:rFonts w:ascii="Times New Roman" w:hAnsi="Times New Roman" w:cs="Cambria"/>
                <w:sz w:val="20"/>
                <w:szCs w:val="20"/>
              </w:rPr>
              <w:alias w:val="本企业的其他关联方情况明细"/>
              <w:tag w:val="_GBC_2ec4adf7a1ce48faaeba9536b2bf6d81"/>
              <w:id w:val="721177032"/>
              <w:lock w:val="sdtLocked"/>
            </w:sdtPr>
            <w:sdtEndPr>
              <w:rPr>
                <w:rFonts w:cs="宋体"/>
                <w:sz w:val="21"/>
                <w:szCs w:val="21"/>
              </w:rPr>
            </w:sdtEndPr>
            <w:sdtContent>
              <w:tr w:rsidR="007E7472" w14:paraId="585AE06F" w14:textId="77777777">
                <w:trPr>
                  <w:trHeight w:val="267"/>
                </w:trPr>
                <w:tc>
                  <w:tcPr>
                    <w:tcW w:w="1643" w:type="pct"/>
                    <w:tcBorders>
                      <w:top w:val="single" w:sz="4" w:space="0" w:color="auto"/>
                      <w:left w:val="single" w:sz="4" w:space="0" w:color="auto"/>
                      <w:bottom w:val="single" w:sz="4" w:space="0" w:color="auto"/>
                      <w:right w:val="single" w:sz="4" w:space="0" w:color="auto"/>
                    </w:tcBorders>
                    <w:vAlign w:val="center"/>
                  </w:tcPr>
                  <w:p w14:paraId="2CDB4AD9" w14:textId="77777777" w:rsidR="007E7472" w:rsidRDefault="00EC1269">
                    <w:pPr>
                      <w:rPr>
                        <w:rFonts w:cs="Cambria"/>
                      </w:rPr>
                    </w:pPr>
                    <w:r>
                      <w:rPr>
                        <w:rFonts w:cs="Cambria" w:hint="eastAsia"/>
                      </w:rPr>
                      <w:t>盛隆化工有限公司</w:t>
                    </w:r>
                  </w:p>
                </w:tc>
                <w:sdt>
                  <w:sdtPr>
                    <w:rPr>
                      <w:rFonts w:cs="Cambria"/>
                    </w:rPr>
                    <w:alias w:val="本企业的其他关联方情况明细－其他关联方与本公司关系"/>
                    <w:tag w:val="_GBC_2205fb8ea5f648b5a0c9e8e3f8499f9f"/>
                    <w:id w:val="70953106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48" w:type="pct"/>
                        <w:tcBorders>
                          <w:top w:val="single" w:sz="4" w:space="0" w:color="auto"/>
                          <w:left w:val="single" w:sz="4" w:space="0" w:color="auto"/>
                          <w:bottom w:val="single" w:sz="4" w:space="0" w:color="auto"/>
                          <w:right w:val="single" w:sz="4" w:space="0" w:color="auto"/>
                        </w:tcBorders>
                      </w:tcPr>
                      <w:p w14:paraId="73D32A7D" w14:textId="56ED18F3" w:rsidR="007E7472" w:rsidRDefault="006F3F93">
                        <w:pPr>
                          <w:rPr>
                            <w:rFonts w:cs="Cambria"/>
                          </w:rPr>
                        </w:pPr>
                        <w:r>
                          <w:rPr>
                            <w:rFonts w:cs="Cambria"/>
                          </w:rPr>
                          <w:t>受同一控股股东及最终控制方控制的其他企业</w:t>
                        </w:r>
                      </w:p>
                    </w:tc>
                  </w:sdtContent>
                </w:sdt>
                <w:sdt>
                  <w:sdtPr>
                    <w:alias w:val="主要交易内容"/>
                    <w:tag w:val="_GBC_5d4738d8b3dc4d0980cb436f6762b1b9"/>
                    <w:id w:val="168451609"/>
                    <w:lock w:val="sdtLocked"/>
                  </w:sdtPr>
                  <w:sdtEndPr/>
                  <w:sdtContent>
                    <w:tc>
                      <w:tcPr>
                        <w:tcW w:w="1709" w:type="pct"/>
                        <w:tcBorders>
                          <w:top w:val="single" w:sz="4" w:space="0" w:color="auto"/>
                          <w:left w:val="single" w:sz="4" w:space="0" w:color="auto"/>
                          <w:bottom w:val="single" w:sz="4" w:space="0" w:color="auto"/>
                          <w:right w:val="single" w:sz="4" w:space="0" w:color="auto"/>
                        </w:tcBorders>
                        <w:vAlign w:val="center"/>
                      </w:tcPr>
                      <w:p w14:paraId="0711FE71" w14:textId="77777777" w:rsidR="007E7472" w:rsidRDefault="00EC1269">
                        <w:pPr>
                          <w:jc w:val="both"/>
                        </w:pPr>
                        <w:r>
                          <w:rPr>
                            <w:rFonts w:hint="eastAsia"/>
                          </w:rPr>
                          <w:t>销售商品</w:t>
                        </w:r>
                      </w:p>
                    </w:tc>
                  </w:sdtContent>
                </w:sdt>
              </w:tr>
            </w:sdtContent>
          </w:sdt>
          <w:sdt>
            <w:sdtPr>
              <w:rPr>
                <w:rFonts w:ascii="Times New Roman" w:hAnsi="Times New Roman" w:cs="Cambria"/>
                <w:sz w:val="20"/>
                <w:szCs w:val="20"/>
              </w:rPr>
              <w:alias w:val="本企业的其他关联方情况明细"/>
              <w:tag w:val="_GBC_2ec4adf7a1ce48faaeba9536b2bf6d81"/>
              <w:id w:val="1167529662"/>
              <w:lock w:val="sdtLocked"/>
            </w:sdtPr>
            <w:sdtEndPr>
              <w:rPr>
                <w:rFonts w:cs="宋体"/>
                <w:sz w:val="21"/>
                <w:szCs w:val="21"/>
              </w:rPr>
            </w:sdtEndPr>
            <w:sdtContent>
              <w:tr w:rsidR="007E7472" w14:paraId="069F9A11" w14:textId="77777777">
                <w:trPr>
                  <w:trHeight w:val="267"/>
                </w:trPr>
                <w:tc>
                  <w:tcPr>
                    <w:tcW w:w="1643" w:type="pct"/>
                    <w:tcBorders>
                      <w:top w:val="single" w:sz="4" w:space="0" w:color="auto"/>
                      <w:left w:val="single" w:sz="4" w:space="0" w:color="auto"/>
                      <w:bottom w:val="single" w:sz="4" w:space="0" w:color="auto"/>
                      <w:right w:val="single" w:sz="4" w:space="0" w:color="auto"/>
                    </w:tcBorders>
                    <w:vAlign w:val="center"/>
                  </w:tcPr>
                  <w:p w14:paraId="3160E2AF" w14:textId="77777777" w:rsidR="007E7472" w:rsidRDefault="00EC1269">
                    <w:pPr>
                      <w:rPr>
                        <w:rFonts w:cs="Cambria"/>
                      </w:rPr>
                    </w:pPr>
                    <w:r>
                      <w:rPr>
                        <w:rFonts w:cs="Cambria" w:hint="eastAsia"/>
                      </w:rPr>
                      <w:t>山东淄矿物产有限公司</w:t>
                    </w:r>
                  </w:p>
                </w:tc>
                <w:sdt>
                  <w:sdtPr>
                    <w:rPr>
                      <w:rFonts w:cs="Cambria"/>
                    </w:rPr>
                    <w:alias w:val="本企业的其他关联方情况明细－其他关联方与本公司关系"/>
                    <w:tag w:val="_GBC_2205fb8ea5f648b5a0c9e8e3f8499f9f"/>
                    <w:id w:val="-83584624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48" w:type="pct"/>
                        <w:tcBorders>
                          <w:top w:val="single" w:sz="4" w:space="0" w:color="auto"/>
                          <w:left w:val="single" w:sz="4" w:space="0" w:color="auto"/>
                          <w:bottom w:val="single" w:sz="4" w:space="0" w:color="auto"/>
                          <w:right w:val="single" w:sz="4" w:space="0" w:color="auto"/>
                        </w:tcBorders>
                      </w:tcPr>
                      <w:p w14:paraId="6CE51DAD" w14:textId="26292946" w:rsidR="007E7472" w:rsidRDefault="006F3F93">
                        <w:pPr>
                          <w:rPr>
                            <w:rFonts w:cs="Cambria"/>
                          </w:rPr>
                        </w:pPr>
                        <w:r>
                          <w:rPr>
                            <w:rFonts w:cs="Cambria"/>
                          </w:rPr>
                          <w:t>受同一控股股东及最终控制方控制的其他企业</w:t>
                        </w:r>
                      </w:p>
                    </w:tc>
                  </w:sdtContent>
                </w:sdt>
                <w:sdt>
                  <w:sdtPr>
                    <w:alias w:val="主要交易内容"/>
                    <w:tag w:val="_GBC_5d4738d8b3dc4d0980cb436f6762b1b9"/>
                    <w:id w:val="-1924326528"/>
                    <w:lock w:val="sdtLocked"/>
                  </w:sdtPr>
                  <w:sdtEndPr/>
                  <w:sdtContent>
                    <w:tc>
                      <w:tcPr>
                        <w:tcW w:w="1709" w:type="pct"/>
                        <w:tcBorders>
                          <w:top w:val="single" w:sz="4" w:space="0" w:color="auto"/>
                          <w:left w:val="single" w:sz="4" w:space="0" w:color="auto"/>
                          <w:bottom w:val="single" w:sz="4" w:space="0" w:color="auto"/>
                          <w:right w:val="single" w:sz="4" w:space="0" w:color="auto"/>
                        </w:tcBorders>
                        <w:vAlign w:val="center"/>
                      </w:tcPr>
                      <w:p w14:paraId="2CB06857" w14:textId="77777777" w:rsidR="007E7472" w:rsidRDefault="00EC1269">
                        <w:pPr>
                          <w:jc w:val="both"/>
                        </w:pPr>
                        <w:r>
                          <w:rPr>
                            <w:rFonts w:hint="eastAsia"/>
                          </w:rPr>
                          <w:t>销售商品</w:t>
                        </w:r>
                      </w:p>
                    </w:tc>
                  </w:sdtContent>
                </w:sdt>
              </w:tr>
            </w:sdtContent>
          </w:sdt>
          <w:sdt>
            <w:sdtPr>
              <w:rPr>
                <w:rFonts w:ascii="Times New Roman" w:hAnsi="Times New Roman" w:cs="Cambria"/>
                <w:sz w:val="20"/>
                <w:szCs w:val="20"/>
              </w:rPr>
              <w:alias w:val="本企业的其他关联方情况明细"/>
              <w:tag w:val="_GBC_2ec4adf7a1ce48faaeba9536b2bf6d81"/>
              <w:id w:val="1978339145"/>
              <w:lock w:val="sdtLocked"/>
            </w:sdtPr>
            <w:sdtEndPr>
              <w:rPr>
                <w:rFonts w:cs="宋体"/>
                <w:sz w:val="21"/>
                <w:szCs w:val="21"/>
              </w:rPr>
            </w:sdtEndPr>
            <w:sdtContent>
              <w:tr w:rsidR="007E7472" w14:paraId="1C26F72A" w14:textId="77777777">
                <w:trPr>
                  <w:trHeight w:val="267"/>
                </w:trPr>
                <w:tc>
                  <w:tcPr>
                    <w:tcW w:w="1643" w:type="pct"/>
                    <w:tcBorders>
                      <w:top w:val="single" w:sz="4" w:space="0" w:color="auto"/>
                      <w:left w:val="single" w:sz="4" w:space="0" w:color="auto"/>
                      <w:bottom w:val="single" w:sz="4" w:space="0" w:color="auto"/>
                      <w:right w:val="single" w:sz="4" w:space="0" w:color="auto"/>
                    </w:tcBorders>
                    <w:vAlign w:val="center"/>
                  </w:tcPr>
                  <w:p w14:paraId="33E62417" w14:textId="77777777" w:rsidR="007E7472" w:rsidRDefault="00EC1269">
                    <w:pPr>
                      <w:rPr>
                        <w:rFonts w:cs="Cambria"/>
                      </w:rPr>
                    </w:pPr>
                    <w:r>
                      <w:rPr>
                        <w:rFonts w:cs="Cambria" w:hint="eastAsia"/>
                      </w:rPr>
                      <w:t>兖矿集团博洋对外经济贸易有限公司</w:t>
                    </w:r>
                  </w:p>
                </w:tc>
                <w:sdt>
                  <w:sdtPr>
                    <w:rPr>
                      <w:rFonts w:cs="Cambria"/>
                    </w:rPr>
                    <w:alias w:val="本企业的其他关联方情况明细－其他关联方与本公司关系"/>
                    <w:tag w:val="_GBC_2205fb8ea5f648b5a0c9e8e3f8499f9f"/>
                    <w:id w:val="-128588804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48" w:type="pct"/>
                        <w:tcBorders>
                          <w:top w:val="single" w:sz="4" w:space="0" w:color="auto"/>
                          <w:left w:val="single" w:sz="4" w:space="0" w:color="auto"/>
                          <w:bottom w:val="single" w:sz="4" w:space="0" w:color="auto"/>
                          <w:right w:val="single" w:sz="4" w:space="0" w:color="auto"/>
                        </w:tcBorders>
                      </w:tcPr>
                      <w:p w14:paraId="1F035CC0" w14:textId="3BEBE17A" w:rsidR="007E7472" w:rsidRDefault="006F3F93">
                        <w:pPr>
                          <w:rPr>
                            <w:rFonts w:cs="Cambria"/>
                          </w:rPr>
                        </w:pPr>
                        <w:r>
                          <w:rPr>
                            <w:rFonts w:cs="Cambria"/>
                          </w:rPr>
                          <w:t>受同一控股股东及最终控制方控制的其他企业</w:t>
                        </w:r>
                      </w:p>
                    </w:tc>
                  </w:sdtContent>
                </w:sdt>
                <w:sdt>
                  <w:sdtPr>
                    <w:alias w:val="主要交易内容"/>
                    <w:tag w:val="_GBC_5d4738d8b3dc4d0980cb436f6762b1b9"/>
                    <w:id w:val="1716694620"/>
                    <w:lock w:val="sdtLocked"/>
                  </w:sdtPr>
                  <w:sdtEndPr/>
                  <w:sdtContent>
                    <w:tc>
                      <w:tcPr>
                        <w:tcW w:w="1709" w:type="pct"/>
                        <w:tcBorders>
                          <w:top w:val="single" w:sz="4" w:space="0" w:color="auto"/>
                          <w:left w:val="single" w:sz="4" w:space="0" w:color="auto"/>
                          <w:bottom w:val="single" w:sz="4" w:space="0" w:color="auto"/>
                          <w:right w:val="single" w:sz="4" w:space="0" w:color="auto"/>
                        </w:tcBorders>
                        <w:vAlign w:val="center"/>
                      </w:tcPr>
                      <w:p w14:paraId="5F09F5C9" w14:textId="77777777" w:rsidR="007E7472" w:rsidRDefault="00EC1269">
                        <w:pPr>
                          <w:jc w:val="both"/>
                        </w:pPr>
                        <w:r>
                          <w:rPr>
                            <w:rFonts w:hint="eastAsia"/>
                          </w:rPr>
                          <w:t>销售商品</w:t>
                        </w:r>
                      </w:p>
                    </w:tc>
                  </w:sdtContent>
                </w:sdt>
              </w:tr>
            </w:sdtContent>
          </w:sdt>
          <w:sdt>
            <w:sdtPr>
              <w:rPr>
                <w:rFonts w:ascii="Times New Roman" w:hAnsi="Times New Roman" w:cs="Cambria"/>
                <w:sz w:val="20"/>
                <w:szCs w:val="20"/>
              </w:rPr>
              <w:alias w:val="本企业的其他关联方情况明细"/>
              <w:tag w:val="_GBC_2ec4adf7a1ce48faaeba9536b2bf6d81"/>
              <w:id w:val="-89865449"/>
              <w:lock w:val="sdtLocked"/>
            </w:sdtPr>
            <w:sdtEndPr>
              <w:rPr>
                <w:rFonts w:cs="宋体"/>
                <w:sz w:val="21"/>
                <w:szCs w:val="21"/>
              </w:rPr>
            </w:sdtEndPr>
            <w:sdtContent>
              <w:tr w:rsidR="007E7472" w14:paraId="258F8606" w14:textId="77777777">
                <w:trPr>
                  <w:trHeight w:val="267"/>
                </w:trPr>
                <w:tc>
                  <w:tcPr>
                    <w:tcW w:w="1643" w:type="pct"/>
                    <w:tcBorders>
                      <w:top w:val="single" w:sz="4" w:space="0" w:color="auto"/>
                      <w:left w:val="single" w:sz="4" w:space="0" w:color="auto"/>
                      <w:bottom w:val="single" w:sz="4" w:space="0" w:color="auto"/>
                      <w:right w:val="single" w:sz="4" w:space="0" w:color="auto"/>
                    </w:tcBorders>
                    <w:vAlign w:val="center"/>
                  </w:tcPr>
                  <w:p w14:paraId="1DE4C340" w14:textId="77777777" w:rsidR="007E7472" w:rsidRDefault="00EC1269">
                    <w:pPr>
                      <w:rPr>
                        <w:rFonts w:cs="Cambria"/>
                      </w:rPr>
                    </w:pPr>
                    <w:r>
                      <w:rPr>
                        <w:rFonts w:cs="Cambria" w:hint="eastAsia"/>
                      </w:rPr>
                      <w:t>济宁亿金物资有限责任公司</w:t>
                    </w:r>
                  </w:p>
                </w:tc>
                <w:sdt>
                  <w:sdtPr>
                    <w:rPr>
                      <w:rFonts w:cs="Cambria"/>
                    </w:rPr>
                    <w:alias w:val="本企业的其他关联方情况明细－其他关联方与本公司关系"/>
                    <w:tag w:val="_GBC_2205fb8ea5f648b5a0c9e8e3f8499f9f"/>
                    <w:id w:val="-109562013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48" w:type="pct"/>
                        <w:tcBorders>
                          <w:top w:val="single" w:sz="4" w:space="0" w:color="auto"/>
                          <w:left w:val="single" w:sz="4" w:space="0" w:color="auto"/>
                          <w:bottom w:val="single" w:sz="4" w:space="0" w:color="auto"/>
                          <w:right w:val="single" w:sz="4" w:space="0" w:color="auto"/>
                        </w:tcBorders>
                      </w:tcPr>
                      <w:p w14:paraId="6C23428B" w14:textId="55EF3B92" w:rsidR="007E7472" w:rsidRDefault="006F3F93">
                        <w:pPr>
                          <w:rPr>
                            <w:rFonts w:cs="Cambria"/>
                          </w:rPr>
                        </w:pPr>
                        <w:r>
                          <w:rPr>
                            <w:rFonts w:cs="Cambria"/>
                          </w:rPr>
                          <w:t>受同一控股股东及最终控制方控制的其他企业</w:t>
                        </w:r>
                      </w:p>
                    </w:tc>
                  </w:sdtContent>
                </w:sdt>
                <w:sdt>
                  <w:sdtPr>
                    <w:alias w:val="主要交易内容"/>
                    <w:tag w:val="_GBC_5d4738d8b3dc4d0980cb436f6762b1b9"/>
                    <w:id w:val="721722127"/>
                    <w:lock w:val="sdtLocked"/>
                  </w:sdtPr>
                  <w:sdtEndPr/>
                  <w:sdtContent>
                    <w:tc>
                      <w:tcPr>
                        <w:tcW w:w="1709" w:type="pct"/>
                        <w:tcBorders>
                          <w:top w:val="single" w:sz="4" w:space="0" w:color="auto"/>
                          <w:left w:val="single" w:sz="4" w:space="0" w:color="auto"/>
                          <w:bottom w:val="single" w:sz="4" w:space="0" w:color="auto"/>
                          <w:right w:val="single" w:sz="4" w:space="0" w:color="auto"/>
                        </w:tcBorders>
                        <w:vAlign w:val="center"/>
                      </w:tcPr>
                      <w:p w14:paraId="1FBCB59A" w14:textId="77777777" w:rsidR="007E7472" w:rsidRDefault="00EC1269">
                        <w:pPr>
                          <w:jc w:val="both"/>
                        </w:pPr>
                        <w:r>
                          <w:rPr>
                            <w:rFonts w:hint="eastAsia"/>
                          </w:rPr>
                          <w:t>销售商品</w:t>
                        </w:r>
                      </w:p>
                    </w:tc>
                  </w:sdtContent>
                </w:sdt>
              </w:tr>
            </w:sdtContent>
          </w:sdt>
          <w:sdt>
            <w:sdtPr>
              <w:rPr>
                <w:rFonts w:cs="Cambria"/>
              </w:rPr>
              <w:alias w:val="本企业的其他关联方情况明细"/>
              <w:tag w:val="_GBC_2ec4adf7a1ce48faaeba9536b2bf6d81"/>
              <w:id w:val="-1664700835"/>
              <w:lock w:val="sdtLocked"/>
            </w:sdtPr>
            <w:sdtEndPr/>
            <w:sdtContent>
              <w:tr w:rsidR="007E7472" w14:paraId="19CB3711" w14:textId="77777777">
                <w:trPr>
                  <w:trHeight w:val="267"/>
                </w:trPr>
                <w:tc>
                  <w:tcPr>
                    <w:tcW w:w="1643" w:type="pct"/>
                    <w:tcBorders>
                      <w:top w:val="single" w:sz="4" w:space="0" w:color="auto"/>
                      <w:left w:val="single" w:sz="4" w:space="0" w:color="auto"/>
                      <w:bottom w:val="single" w:sz="4" w:space="0" w:color="auto"/>
                      <w:right w:val="single" w:sz="4" w:space="0" w:color="auto"/>
                    </w:tcBorders>
                    <w:vAlign w:val="center"/>
                  </w:tcPr>
                  <w:p w14:paraId="0E156D0C" w14:textId="77777777" w:rsidR="007E7472" w:rsidRDefault="00EC1269">
                    <w:pPr>
                      <w:rPr>
                        <w:rFonts w:cs="Cambria"/>
                      </w:rPr>
                    </w:pPr>
                    <w:r>
                      <w:rPr>
                        <w:rFonts w:cs="Cambria" w:hint="eastAsia"/>
                      </w:rPr>
                      <w:t>同受控股股东控制的其他企业</w:t>
                    </w:r>
                  </w:p>
                </w:tc>
                <w:sdt>
                  <w:sdtPr>
                    <w:rPr>
                      <w:rFonts w:cs="Cambria"/>
                    </w:rPr>
                    <w:alias w:val="本企业的其他关联方情况明细－其他关联方与本公司关系"/>
                    <w:tag w:val="_GBC_2205fb8ea5f648b5a0c9e8e3f8499f9f"/>
                    <w:id w:val="-129074221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48" w:type="pct"/>
                        <w:tcBorders>
                          <w:top w:val="single" w:sz="4" w:space="0" w:color="auto"/>
                          <w:left w:val="single" w:sz="4" w:space="0" w:color="auto"/>
                          <w:bottom w:val="single" w:sz="4" w:space="0" w:color="auto"/>
                          <w:right w:val="single" w:sz="4" w:space="0" w:color="auto"/>
                        </w:tcBorders>
                      </w:tcPr>
                      <w:p w14:paraId="6705292B" w14:textId="0CE692E9" w:rsidR="007E7472" w:rsidRDefault="006F3F93">
                        <w:pPr>
                          <w:rPr>
                            <w:rFonts w:cs="Cambria"/>
                          </w:rPr>
                        </w:pPr>
                        <w:r>
                          <w:rPr>
                            <w:rFonts w:cs="Cambria"/>
                          </w:rPr>
                          <w:t>受同一控股股东及最终控制方控制的其他企业</w:t>
                        </w:r>
                      </w:p>
                    </w:tc>
                  </w:sdtContent>
                </w:sdt>
                <w:sdt>
                  <w:sdtPr>
                    <w:alias w:val="主要交易内容"/>
                    <w:tag w:val="_GBC_5d4738d8b3dc4d0980cb436f6762b1b9"/>
                    <w:id w:val="-1013530995"/>
                    <w:lock w:val="sdtLocked"/>
                  </w:sdtPr>
                  <w:sdtEndPr/>
                  <w:sdtContent>
                    <w:tc>
                      <w:tcPr>
                        <w:tcW w:w="1709" w:type="pct"/>
                        <w:tcBorders>
                          <w:top w:val="single" w:sz="4" w:space="0" w:color="auto"/>
                          <w:left w:val="single" w:sz="4" w:space="0" w:color="auto"/>
                          <w:bottom w:val="single" w:sz="4" w:space="0" w:color="auto"/>
                          <w:right w:val="single" w:sz="4" w:space="0" w:color="auto"/>
                        </w:tcBorders>
                        <w:vAlign w:val="center"/>
                      </w:tcPr>
                      <w:p w14:paraId="4C093F38" w14:textId="77777777" w:rsidR="007E7472" w:rsidRDefault="00EC1269">
                        <w:pPr>
                          <w:jc w:val="both"/>
                          <w:rPr>
                            <w:rFonts w:cs="Cambria"/>
                          </w:rPr>
                        </w:pPr>
                        <w:r>
                          <w:rPr>
                            <w:rFonts w:hint="eastAsia"/>
                          </w:rPr>
                          <w:t>销售商品</w:t>
                        </w:r>
                      </w:p>
                    </w:tc>
                  </w:sdtContent>
                </w:sdt>
              </w:tr>
            </w:sdtContent>
          </w:sdt>
          <w:sdt>
            <w:sdtPr>
              <w:rPr>
                <w:rFonts w:ascii="Times New Roman" w:hAnsi="Times New Roman" w:cs="Cambria"/>
                <w:sz w:val="20"/>
                <w:szCs w:val="20"/>
              </w:rPr>
              <w:alias w:val="本企业的其他关联方情况明细"/>
              <w:tag w:val="_GBC_2ec4adf7a1ce48faaeba9536b2bf6d81"/>
              <w:id w:val="987062100"/>
              <w:lock w:val="sdtLocked"/>
            </w:sdtPr>
            <w:sdtEndPr>
              <w:rPr>
                <w:rFonts w:cs="宋体"/>
                <w:sz w:val="21"/>
                <w:szCs w:val="21"/>
              </w:rPr>
            </w:sdtEndPr>
            <w:sdtContent>
              <w:tr w:rsidR="007E7472" w14:paraId="1E59F6D2" w14:textId="77777777">
                <w:trPr>
                  <w:trHeight w:val="267"/>
                </w:trPr>
                <w:tc>
                  <w:tcPr>
                    <w:tcW w:w="1643" w:type="pct"/>
                    <w:tcBorders>
                      <w:top w:val="single" w:sz="4" w:space="0" w:color="auto"/>
                      <w:left w:val="single" w:sz="4" w:space="0" w:color="auto"/>
                      <w:bottom w:val="single" w:sz="4" w:space="0" w:color="auto"/>
                      <w:right w:val="single" w:sz="4" w:space="0" w:color="auto"/>
                    </w:tcBorders>
                    <w:vAlign w:val="center"/>
                  </w:tcPr>
                  <w:p w14:paraId="240C33FC" w14:textId="77777777" w:rsidR="007E7472" w:rsidRDefault="00EC1269">
                    <w:pPr>
                      <w:rPr>
                        <w:rFonts w:cs="Cambria"/>
                      </w:rPr>
                    </w:pPr>
                    <w:r>
                      <w:rPr>
                        <w:rFonts w:cs="Cambria" w:hint="eastAsia"/>
                      </w:rPr>
                      <w:t>嘉能可有限公司</w:t>
                    </w:r>
                  </w:p>
                </w:tc>
                <w:sdt>
                  <w:sdtPr>
                    <w:rPr>
                      <w:rFonts w:cs="Cambria"/>
                    </w:rPr>
                    <w:alias w:val="本企业的其他关联方情况明细－其他关联方与本公司关系"/>
                    <w:tag w:val="_GBC_2205fb8ea5f648b5a0c9e8e3f8499f9f"/>
                    <w:id w:val="-199455567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48" w:type="pct"/>
                        <w:tcBorders>
                          <w:top w:val="single" w:sz="4" w:space="0" w:color="auto"/>
                          <w:left w:val="single" w:sz="4" w:space="0" w:color="auto"/>
                          <w:bottom w:val="single" w:sz="4" w:space="0" w:color="auto"/>
                          <w:right w:val="single" w:sz="4" w:space="0" w:color="auto"/>
                        </w:tcBorders>
                        <w:vAlign w:val="center"/>
                      </w:tcPr>
                      <w:p w14:paraId="033315DB" w14:textId="1FE3B0EB" w:rsidR="007E7472" w:rsidRDefault="006F3F93">
                        <w:pPr>
                          <w:jc w:val="both"/>
                          <w:rPr>
                            <w:rFonts w:cs="Cambria"/>
                          </w:rPr>
                        </w:pPr>
                        <w:r>
                          <w:rPr>
                            <w:rFonts w:cs="Cambria"/>
                          </w:rPr>
                          <w:t>其他关联方</w:t>
                        </w:r>
                      </w:p>
                    </w:tc>
                  </w:sdtContent>
                </w:sdt>
                <w:sdt>
                  <w:sdtPr>
                    <w:alias w:val="主要交易内容"/>
                    <w:tag w:val="_GBC_5d4738d8b3dc4d0980cb436f6762b1b9"/>
                    <w:id w:val="1268279210"/>
                    <w:lock w:val="sdtLocked"/>
                  </w:sdtPr>
                  <w:sdtEndPr/>
                  <w:sdtContent>
                    <w:tc>
                      <w:tcPr>
                        <w:tcW w:w="1709" w:type="pct"/>
                        <w:tcBorders>
                          <w:top w:val="single" w:sz="4" w:space="0" w:color="auto"/>
                          <w:left w:val="single" w:sz="4" w:space="0" w:color="auto"/>
                          <w:bottom w:val="single" w:sz="4" w:space="0" w:color="auto"/>
                          <w:right w:val="single" w:sz="4" w:space="0" w:color="auto"/>
                        </w:tcBorders>
                        <w:vAlign w:val="center"/>
                      </w:tcPr>
                      <w:p w14:paraId="59DA14BA" w14:textId="77777777" w:rsidR="007E7472" w:rsidRDefault="00EC1269">
                        <w:pPr>
                          <w:jc w:val="both"/>
                        </w:pPr>
                        <w:r>
                          <w:rPr>
                            <w:rFonts w:hint="eastAsia"/>
                          </w:rPr>
                          <w:t>采购商品、接受劳务、销售商品</w:t>
                        </w:r>
                      </w:p>
                    </w:tc>
                  </w:sdtContent>
                </w:sdt>
              </w:tr>
            </w:sdtContent>
          </w:sdt>
          <w:sdt>
            <w:sdtPr>
              <w:rPr>
                <w:rFonts w:ascii="Times New Roman" w:hAnsi="Times New Roman" w:cs="Cambria"/>
                <w:sz w:val="20"/>
                <w:szCs w:val="20"/>
              </w:rPr>
              <w:alias w:val="本企业的其他关联方情况明细"/>
              <w:tag w:val="_GBC_2ec4adf7a1ce48faaeba9536b2bf6d81"/>
              <w:id w:val="1772436410"/>
              <w:lock w:val="sdtLocked"/>
            </w:sdtPr>
            <w:sdtEndPr>
              <w:rPr>
                <w:rFonts w:cs="宋体"/>
                <w:sz w:val="21"/>
                <w:szCs w:val="21"/>
              </w:rPr>
            </w:sdtEndPr>
            <w:sdtContent>
              <w:tr w:rsidR="007E7472" w14:paraId="039B9634" w14:textId="77777777">
                <w:trPr>
                  <w:trHeight w:val="267"/>
                </w:trPr>
                <w:tc>
                  <w:tcPr>
                    <w:tcW w:w="1643" w:type="pct"/>
                    <w:tcBorders>
                      <w:top w:val="single" w:sz="4" w:space="0" w:color="auto"/>
                      <w:left w:val="single" w:sz="4" w:space="0" w:color="auto"/>
                      <w:bottom w:val="single" w:sz="4" w:space="0" w:color="auto"/>
                      <w:right w:val="single" w:sz="4" w:space="0" w:color="auto"/>
                    </w:tcBorders>
                    <w:vAlign w:val="center"/>
                  </w:tcPr>
                  <w:p w14:paraId="7C5E9932" w14:textId="77777777" w:rsidR="007E7472" w:rsidRDefault="00EC1269">
                    <w:pPr>
                      <w:rPr>
                        <w:rFonts w:cs="Cambria"/>
                      </w:rPr>
                    </w:pPr>
                    <w:r>
                      <w:rPr>
                        <w:rFonts w:cs="Cambria" w:hint="eastAsia"/>
                      </w:rPr>
                      <w:t>内蒙古矿业资产管理有限责任公司</w:t>
                    </w:r>
                  </w:p>
                </w:tc>
                <w:sdt>
                  <w:sdtPr>
                    <w:rPr>
                      <w:rFonts w:cs="Cambria"/>
                    </w:rPr>
                    <w:alias w:val="本企业的其他关联方情况明细－其他关联方与本公司关系"/>
                    <w:tag w:val="_GBC_2205fb8ea5f648b5a0c9e8e3f8499f9f"/>
                    <w:id w:val="212812097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48" w:type="pct"/>
                        <w:tcBorders>
                          <w:top w:val="single" w:sz="4" w:space="0" w:color="auto"/>
                          <w:left w:val="single" w:sz="4" w:space="0" w:color="auto"/>
                          <w:bottom w:val="single" w:sz="4" w:space="0" w:color="auto"/>
                          <w:right w:val="single" w:sz="4" w:space="0" w:color="auto"/>
                        </w:tcBorders>
                        <w:vAlign w:val="center"/>
                      </w:tcPr>
                      <w:p w14:paraId="54281B3C" w14:textId="129D2F73" w:rsidR="007E7472" w:rsidRDefault="006F3F93">
                        <w:pPr>
                          <w:jc w:val="both"/>
                          <w:rPr>
                            <w:rFonts w:cs="Cambria"/>
                          </w:rPr>
                        </w:pPr>
                        <w:r>
                          <w:rPr>
                            <w:rFonts w:cs="Cambria"/>
                          </w:rPr>
                          <w:t>其他关联方</w:t>
                        </w:r>
                      </w:p>
                    </w:tc>
                  </w:sdtContent>
                </w:sdt>
                <w:sdt>
                  <w:sdtPr>
                    <w:alias w:val="主要交易内容"/>
                    <w:tag w:val="_GBC_5d4738d8b3dc4d0980cb436f6762b1b9"/>
                    <w:id w:val="69243239"/>
                    <w:lock w:val="sdtLocked"/>
                  </w:sdtPr>
                  <w:sdtEndPr/>
                  <w:sdtContent>
                    <w:tc>
                      <w:tcPr>
                        <w:tcW w:w="1709" w:type="pct"/>
                        <w:tcBorders>
                          <w:top w:val="single" w:sz="4" w:space="0" w:color="auto"/>
                          <w:left w:val="single" w:sz="4" w:space="0" w:color="auto"/>
                          <w:bottom w:val="single" w:sz="4" w:space="0" w:color="auto"/>
                          <w:right w:val="single" w:sz="4" w:space="0" w:color="auto"/>
                        </w:tcBorders>
                        <w:vAlign w:val="center"/>
                      </w:tcPr>
                      <w:p w14:paraId="21A9A13E" w14:textId="77777777" w:rsidR="007E7472" w:rsidRDefault="00EC1269">
                        <w:pPr>
                          <w:jc w:val="both"/>
                        </w:pPr>
                        <w:r>
                          <w:rPr>
                            <w:rFonts w:hint="eastAsia"/>
                          </w:rPr>
                          <w:t>提供劳务</w:t>
                        </w:r>
                      </w:p>
                    </w:tc>
                  </w:sdtContent>
                </w:sdt>
              </w:tr>
            </w:sdtContent>
          </w:sdt>
          <w:sdt>
            <w:sdtPr>
              <w:rPr>
                <w:rFonts w:ascii="Times New Roman" w:hAnsi="Times New Roman" w:cs="Cambria"/>
                <w:sz w:val="20"/>
                <w:szCs w:val="20"/>
              </w:rPr>
              <w:alias w:val="本企业的其他关联方情况明细"/>
              <w:tag w:val="_GBC_2ec4adf7a1ce48faaeba9536b2bf6d81"/>
              <w:id w:val="-384413044"/>
              <w:lock w:val="sdtLocked"/>
            </w:sdtPr>
            <w:sdtEndPr>
              <w:rPr>
                <w:rFonts w:cs="宋体"/>
                <w:sz w:val="21"/>
                <w:szCs w:val="21"/>
              </w:rPr>
            </w:sdtEndPr>
            <w:sdtContent>
              <w:tr w:rsidR="007E7472" w14:paraId="66D233A5" w14:textId="77777777">
                <w:trPr>
                  <w:trHeight w:val="267"/>
                </w:trPr>
                <w:tc>
                  <w:tcPr>
                    <w:tcW w:w="1643" w:type="pct"/>
                    <w:tcBorders>
                      <w:top w:val="single" w:sz="4" w:space="0" w:color="auto"/>
                      <w:left w:val="single" w:sz="4" w:space="0" w:color="auto"/>
                      <w:bottom w:val="single" w:sz="4" w:space="0" w:color="auto"/>
                      <w:right w:val="single" w:sz="4" w:space="0" w:color="auto"/>
                    </w:tcBorders>
                    <w:vAlign w:val="center"/>
                  </w:tcPr>
                  <w:p w14:paraId="02DDF1BB" w14:textId="77777777" w:rsidR="007E7472" w:rsidRDefault="00EC1269">
                    <w:pPr>
                      <w:rPr>
                        <w:rFonts w:cs="Cambria"/>
                      </w:rPr>
                    </w:pPr>
                    <w:r>
                      <w:rPr>
                        <w:rFonts w:cs="Cambria" w:hint="eastAsia"/>
                      </w:rPr>
                      <w:t>陕西延长石油（集团）有限责任公司</w:t>
                    </w:r>
                  </w:p>
                </w:tc>
                <w:sdt>
                  <w:sdtPr>
                    <w:rPr>
                      <w:rFonts w:cs="Cambria"/>
                    </w:rPr>
                    <w:alias w:val="本企业的其他关联方情况明细－其他关联方与本公司关系"/>
                    <w:tag w:val="_GBC_2205fb8ea5f648b5a0c9e8e3f8499f9f"/>
                    <w:id w:val="-173268600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48" w:type="pct"/>
                        <w:tcBorders>
                          <w:top w:val="single" w:sz="4" w:space="0" w:color="auto"/>
                          <w:left w:val="single" w:sz="4" w:space="0" w:color="auto"/>
                          <w:bottom w:val="single" w:sz="4" w:space="0" w:color="auto"/>
                          <w:right w:val="single" w:sz="4" w:space="0" w:color="auto"/>
                        </w:tcBorders>
                        <w:vAlign w:val="center"/>
                      </w:tcPr>
                      <w:p w14:paraId="178F4630" w14:textId="0015E94B" w:rsidR="007E7472" w:rsidRDefault="006F3F93">
                        <w:pPr>
                          <w:jc w:val="both"/>
                          <w:rPr>
                            <w:rFonts w:cs="Cambria"/>
                          </w:rPr>
                        </w:pPr>
                        <w:r>
                          <w:rPr>
                            <w:rFonts w:cs="Cambria"/>
                          </w:rPr>
                          <w:t>其他关联方</w:t>
                        </w:r>
                      </w:p>
                    </w:tc>
                  </w:sdtContent>
                </w:sdt>
                <w:sdt>
                  <w:sdtPr>
                    <w:alias w:val="主要交易内容"/>
                    <w:tag w:val="_GBC_5d4738d8b3dc4d0980cb436f6762b1b9"/>
                    <w:id w:val="-1677880829"/>
                    <w:lock w:val="sdtLocked"/>
                  </w:sdtPr>
                  <w:sdtEndPr/>
                  <w:sdtContent>
                    <w:tc>
                      <w:tcPr>
                        <w:tcW w:w="1709" w:type="pct"/>
                        <w:tcBorders>
                          <w:top w:val="single" w:sz="4" w:space="0" w:color="auto"/>
                          <w:left w:val="single" w:sz="4" w:space="0" w:color="auto"/>
                          <w:bottom w:val="single" w:sz="4" w:space="0" w:color="auto"/>
                          <w:right w:val="single" w:sz="4" w:space="0" w:color="auto"/>
                        </w:tcBorders>
                        <w:vAlign w:val="center"/>
                      </w:tcPr>
                      <w:p w14:paraId="6E845C34" w14:textId="77777777" w:rsidR="007E7472" w:rsidRDefault="00EC1269">
                        <w:pPr>
                          <w:jc w:val="both"/>
                        </w:pPr>
                        <w:r>
                          <w:rPr>
                            <w:rFonts w:hint="eastAsia"/>
                          </w:rPr>
                          <w:t>关联担保</w:t>
                        </w:r>
                      </w:p>
                    </w:tc>
                  </w:sdtContent>
                </w:sdt>
              </w:tr>
            </w:sdtContent>
          </w:sdt>
          <w:sdt>
            <w:sdtPr>
              <w:rPr>
                <w:rFonts w:ascii="Times New Roman" w:hAnsi="Times New Roman" w:cs="Cambria"/>
                <w:sz w:val="20"/>
                <w:szCs w:val="20"/>
              </w:rPr>
              <w:alias w:val="本企业的其他关联方情况明细"/>
              <w:tag w:val="_GBC_2ec4adf7a1ce48faaeba9536b2bf6d81"/>
              <w:id w:val="-1581823951"/>
              <w:lock w:val="sdtLocked"/>
            </w:sdtPr>
            <w:sdtEndPr>
              <w:rPr>
                <w:rFonts w:cs="宋体"/>
                <w:sz w:val="21"/>
                <w:szCs w:val="21"/>
              </w:rPr>
            </w:sdtEndPr>
            <w:sdtContent>
              <w:tr w:rsidR="007E7472" w14:paraId="27838E86" w14:textId="77777777">
                <w:trPr>
                  <w:trHeight w:val="267"/>
                </w:trPr>
                <w:tc>
                  <w:tcPr>
                    <w:tcW w:w="1643" w:type="pct"/>
                    <w:tcBorders>
                      <w:top w:val="single" w:sz="4" w:space="0" w:color="auto"/>
                      <w:left w:val="single" w:sz="4" w:space="0" w:color="auto"/>
                      <w:bottom w:val="single" w:sz="4" w:space="0" w:color="auto"/>
                      <w:right w:val="single" w:sz="4" w:space="0" w:color="auto"/>
                    </w:tcBorders>
                    <w:vAlign w:val="center"/>
                  </w:tcPr>
                  <w:p w14:paraId="29142B6B" w14:textId="77777777" w:rsidR="007E7472" w:rsidRDefault="00EC1269">
                    <w:pPr>
                      <w:rPr>
                        <w:rFonts w:cs="Cambria"/>
                      </w:rPr>
                    </w:pPr>
                    <w:r>
                      <w:rPr>
                        <w:rFonts w:cs="Cambria" w:hint="eastAsia"/>
                      </w:rPr>
                      <w:t>青岛世纪瑞丰集团有限公司</w:t>
                    </w:r>
                  </w:p>
                </w:tc>
                <w:sdt>
                  <w:sdtPr>
                    <w:rPr>
                      <w:rFonts w:cs="Cambria"/>
                    </w:rPr>
                    <w:alias w:val="本企业的其他关联方情况明细－其他关联方与本公司关系"/>
                    <w:tag w:val="_GBC_2205fb8ea5f648b5a0c9e8e3f8499f9f"/>
                    <w:id w:val="69628224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48" w:type="pct"/>
                        <w:tcBorders>
                          <w:top w:val="single" w:sz="4" w:space="0" w:color="auto"/>
                          <w:left w:val="single" w:sz="4" w:space="0" w:color="auto"/>
                          <w:bottom w:val="single" w:sz="4" w:space="0" w:color="auto"/>
                          <w:right w:val="single" w:sz="4" w:space="0" w:color="auto"/>
                        </w:tcBorders>
                        <w:vAlign w:val="center"/>
                      </w:tcPr>
                      <w:p w14:paraId="05D25F9F" w14:textId="710625BE" w:rsidR="007E7472" w:rsidRDefault="006F3F93">
                        <w:pPr>
                          <w:jc w:val="both"/>
                          <w:rPr>
                            <w:rFonts w:cs="Cambria"/>
                          </w:rPr>
                        </w:pPr>
                        <w:r>
                          <w:rPr>
                            <w:rFonts w:cs="Cambria"/>
                          </w:rPr>
                          <w:t>其他关联方</w:t>
                        </w:r>
                      </w:p>
                    </w:tc>
                  </w:sdtContent>
                </w:sdt>
                <w:sdt>
                  <w:sdtPr>
                    <w:alias w:val="主要交易内容"/>
                    <w:tag w:val="_GBC_5d4738d8b3dc4d0980cb436f6762b1b9"/>
                    <w:id w:val="-218667492"/>
                    <w:lock w:val="sdtLocked"/>
                  </w:sdtPr>
                  <w:sdtEndPr/>
                  <w:sdtContent>
                    <w:tc>
                      <w:tcPr>
                        <w:tcW w:w="1709" w:type="pct"/>
                        <w:tcBorders>
                          <w:top w:val="single" w:sz="4" w:space="0" w:color="auto"/>
                          <w:left w:val="single" w:sz="4" w:space="0" w:color="auto"/>
                          <w:bottom w:val="single" w:sz="4" w:space="0" w:color="auto"/>
                          <w:right w:val="single" w:sz="4" w:space="0" w:color="auto"/>
                        </w:tcBorders>
                        <w:vAlign w:val="center"/>
                      </w:tcPr>
                      <w:p w14:paraId="72AB0FA1" w14:textId="77777777" w:rsidR="007E7472" w:rsidRDefault="00EC1269">
                        <w:pPr>
                          <w:jc w:val="both"/>
                        </w:pPr>
                        <w:r>
                          <w:rPr>
                            <w:rFonts w:hint="eastAsia"/>
                          </w:rPr>
                          <w:t>关联担保</w:t>
                        </w:r>
                      </w:p>
                    </w:tc>
                  </w:sdtContent>
                </w:sdt>
              </w:tr>
            </w:sdtContent>
          </w:sdt>
          <w:sdt>
            <w:sdtPr>
              <w:rPr>
                <w:rFonts w:ascii="Times New Roman" w:hAnsi="Times New Roman" w:cs="Cambria"/>
                <w:sz w:val="20"/>
                <w:szCs w:val="20"/>
              </w:rPr>
              <w:alias w:val="本企业的其他关联方情况明细"/>
              <w:tag w:val="_GBC_2ec4adf7a1ce48faaeba9536b2bf6d81"/>
              <w:id w:val="2081246185"/>
              <w:lock w:val="sdtLocked"/>
            </w:sdtPr>
            <w:sdtEndPr>
              <w:rPr>
                <w:rFonts w:cs="宋体"/>
                <w:sz w:val="21"/>
                <w:szCs w:val="21"/>
              </w:rPr>
            </w:sdtEndPr>
            <w:sdtContent>
              <w:tr w:rsidR="007E7472" w14:paraId="77106CF6" w14:textId="77777777">
                <w:trPr>
                  <w:trHeight w:val="267"/>
                </w:trPr>
                <w:tc>
                  <w:tcPr>
                    <w:tcW w:w="1643" w:type="pct"/>
                    <w:tcBorders>
                      <w:top w:val="single" w:sz="4" w:space="0" w:color="auto"/>
                      <w:left w:val="single" w:sz="4" w:space="0" w:color="auto"/>
                      <w:bottom w:val="single" w:sz="4" w:space="0" w:color="auto"/>
                      <w:right w:val="single" w:sz="4" w:space="0" w:color="auto"/>
                    </w:tcBorders>
                    <w:vAlign w:val="center"/>
                  </w:tcPr>
                  <w:p w14:paraId="7CFF680B" w14:textId="77777777" w:rsidR="007E7472" w:rsidRDefault="00EC1269">
                    <w:pPr>
                      <w:rPr>
                        <w:rFonts w:cs="Cambria"/>
                      </w:rPr>
                    </w:pPr>
                    <w:r>
                      <w:rPr>
                        <w:rFonts w:cs="Cambria" w:hint="eastAsia"/>
                      </w:rPr>
                      <w:t>中峰化学有限公司</w:t>
                    </w:r>
                  </w:p>
                </w:tc>
                <w:sdt>
                  <w:sdtPr>
                    <w:rPr>
                      <w:rFonts w:cs="Cambria"/>
                    </w:rPr>
                    <w:alias w:val="本企业的其他关联方情况明细－其他关联方与本公司关系"/>
                    <w:tag w:val="_GBC_2205fb8ea5f648b5a0c9e8e3f8499f9f"/>
                    <w:id w:val="-85396173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48" w:type="pct"/>
                        <w:tcBorders>
                          <w:top w:val="single" w:sz="4" w:space="0" w:color="auto"/>
                          <w:left w:val="single" w:sz="4" w:space="0" w:color="auto"/>
                          <w:bottom w:val="single" w:sz="4" w:space="0" w:color="auto"/>
                          <w:right w:val="single" w:sz="4" w:space="0" w:color="auto"/>
                        </w:tcBorders>
                        <w:vAlign w:val="center"/>
                      </w:tcPr>
                      <w:p w14:paraId="6D476521" w14:textId="59A1A7BE" w:rsidR="007E7472" w:rsidRDefault="006F3F93">
                        <w:pPr>
                          <w:jc w:val="both"/>
                          <w:rPr>
                            <w:rFonts w:cs="Cambria"/>
                          </w:rPr>
                        </w:pPr>
                        <w:r>
                          <w:rPr>
                            <w:rFonts w:cs="Cambria"/>
                          </w:rPr>
                          <w:t>其他关联方</w:t>
                        </w:r>
                      </w:p>
                    </w:tc>
                  </w:sdtContent>
                </w:sdt>
                <w:sdt>
                  <w:sdtPr>
                    <w:alias w:val="主要交易内容"/>
                    <w:tag w:val="_GBC_5d4738d8b3dc4d0980cb436f6762b1b9"/>
                    <w:id w:val="2097124848"/>
                    <w:lock w:val="sdtLocked"/>
                  </w:sdtPr>
                  <w:sdtEndPr/>
                  <w:sdtContent>
                    <w:tc>
                      <w:tcPr>
                        <w:tcW w:w="1709" w:type="pct"/>
                        <w:tcBorders>
                          <w:top w:val="single" w:sz="4" w:space="0" w:color="auto"/>
                          <w:left w:val="single" w:sz="4" w:space="0" w:color="auto"/>
                          <w:bottom w:val="single" w:sz="4" w:space="0" w:color="auto"/>
                          <w:right w:val="single" w:sz="4" w:space="0" w:color="auto"/>
                        </w:tcBorders>
                        <w:vAlign w:val="center"/>
                      </w:tcPr>
                      <w:p w14:paraId="66FF9BFF" w14:textId="77777777" w:rsidR="007E7472" w:rsidRDefault="00EC1269">
                        <w:pPr>
                          <w:jc w:val="both"/>
                        </w:pPr>
                        <w:r>
                          <w:rPr>
                            <w:rFonts w:hint="eastAsia"/>
                          </w:rPr>
                          <w:t>销售商品</w:t>
                        </w:r>
                      </w:p>
                    </w:tc>
                  </w:sdtContent>
                </w:sdt>
              </w:tr>
            </w:sdtContent>
          </w:sdt>
          <w:sdt>
            <w:sdtPr>
              <w:rPr>
                <w:rFonts w:ascii="Times New Roman" w:hAnsi="Times New Roman" w:cs="Cambria"/>
                <w:sz w:val="20"/>
                <w:szCs w:val="20"/>
              </w:rPr>
              <w:alias w:val="本企业的其他关联方情况明细"/>
              <w:tag w:val="_GBC_2ec4adf7a1ce48faaeba9536b2bf6d81"/>
              <w:id w:val="-2147114672"/>
              <w:lock w:val="sdtLocked"/>
            </w:sdtPr>
            <w:sdtEndPr>
              <w:rPr>
                <w:rFonts w:cs="宋体"/>
                <w:sz w:val="21"/>
                <w:szCs w:val="21"/>
              </w:rPr>
            </w:sdtEndPr>
            <w:sdtContent>
              <w:tr w:rsidR="007E7472" w14:paraId="0D009981" w14:textId="77777777">
                <w:trPr>
                  <w:trHeight w:val="267"/>
                </w:trPr>
                <w:tc>
                  <w:tcPr>
                    <w:tcW w:w="1643" w:type="pct"/>
                    <w:tcBorders>
                      <w:top w:val="single" w:sz="4" w:space="0" w:color="auto"/>
                      <w:left w:val="single" w:sz="4" w:space="0" w:color="auto"/>
                      <w:bottom w:val="single" w:sz="4" w:space="0" w:color="auto"/>
                      <w:right w:val="single" w:sz="4" w:space="0" w:color="auto"/>
                    </w:tcBorders>
                    <w:vAlign w:val="center"/>
                  </w:tcPr>
                  <w:p w14:paraId="4C3105B7" w14:textId="77777777" w:rsidR="007E7472" w:rsidRDefault="00EC1269">
                    <w:pPr>
                      <w:rPr>
                        <w:rFonts w:cs="Cambria"/>
                      </w:rPr>
                    </w:pPr>
                    <w:r>
                      <w:rPr>
                        <w:rFonts w:cs="Cambria" w:hint="eastAsia"/>
                      </w:rPr>
                      <w:t>贵州开磷集团股份有限公司</w:t>
                    </w:r>
                  </w:p>
                </w:tc>
                <w:sdt>
                  <w:sdtPr>
                    <w:rPr>
                      <w:rFonts w:cs="Cambria"/>
                    </w:rPr>
                    <w:alias w:val="本企业的其他关联方情况明细－其他关联方与本公司关系"/>
                    <w:tag w:val="_GBC_2205fb8ea5f648b5a0c9e8e3f8499f9f"/>
                    <w:id w:val="202589864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48" w:type="pct"/>
                        <w:tcBorders>
                          <w:top w:val="single" w:sz="4" w:space="0" w:color="auto"/>
                          <w:left w:val="single" w:sz="4" w:space="0" w:color="auto"/>
                          <w:bottom w:val="single" w:sz="4" w:space="0" w:color="auto"/>
                          <w:right w:val="single" w:sz="4" w:space="0" w:color="auto"/>
                        </w:tcBorders>
                        <w:vAlign w:val="center"/>
                      </w:tcPr>
                      <w:p w14:paraId="0FB50A23" w14:textId="132446F5" w:rsidR="007E7472" w:rsidRDefault="006F3F93">
                        <w:pPr>
                          <w:jc w:val="both"/>
                          <w:rPr>
                            <w:rFonts w:cs="Cambria"/>
                          </w:rPr>
                        </w:pPr>
                        <w:r>
                          <w:rPr>
                            <w:rFonts w:cs="Cambria"/>
                          </w:rPr>
                          <w:t>其他关联方</w:t>
                        </w:r>
                      </w:p>
                    </w:tc>
                  </w:sdtContent>
                </w:sdt>
                <w:sdt>
                  <w:sdtPr>
                    <w:alias w:val="主要交易内容"/>
                    <w:tag w:val="_GBC_5d4738d8b3dc4d0980cb436f6762b1b9"/>
                    <w:id w:val="1375579994"/>
                    <w:lock w:val="sdtLocked"/>
                  </w:sdtPr>
                  <w:sdtEndPr/>
                  <w:sdtContent>
                    <w:tc>
                      <w:tcPr>
                        <w:tcW w:w="1709" w:type="pct"/>
                        <w:tcBorders>
                          <w:top w:val="single" w:sz="4" w:space="0" w:color="auto"/>
                          <w:left w:val="single" w:sz="4" w:space="0" w:color="auto"/>
                          <w:bottom w:val="single" w:sz="4" w:space="0" w:color="auto"/>
                          <w:right w:val="single" w:sz="4" w:space="0" w:color="auto"/>
                        </w:tcBorders>
                        <w:vAlign w:val="center"/>
                      </w:tcPr>
                      <w:p w14:paraId="2F528D39" w14:textId="77777777" w:rsidR="007E7472" w:rsidRDefault="00EC1269">
                        <w:pPr>
                          <w:jc w:val="both"/>
                        </w:pPr>
                        <w:r>
                          <w:rPr>
                            <w:rFonts w:hint="eastAsia"/>
                          </w:rPr>
                          <w:t>销售商品</w:t>
                        </w:r>
                      </w:p>
                    </w:tc>
                  </w:sdtContent>
                </w:sdt>
              </w:tr>
            </w:sdtContent>
          </w:sdt>
          <w:sdt>
            <w:sdtPr>
              <w:rPr>
                <w:rFonts w:ascii="Times New Roman" w:hAnsi="Times New Roman" w:cs="Cambria"/>
                <w:sz w:val="20"/>
                <w:szCs w:val="20"/>
              </w:rPr>
              <w:alias w:val="本企业的其他关联方情况明细"/>
              <w:tag w:val="_GBC_2ec4adf7a1ce48faaeba9536b2bf6d81"/>
              <w:id w:val="1064531173"/>
              <w:lock w:val="sdtLocked"/>
            </w:sdtPr>
            <w:sdtEndPr>
              <w:rPr>
                <w:rFonts w:cs="宋体"/>
                <w:sz w:val="21"/>
                <w:szCs w:val="21"/>
              </w:rPr>
            </w:sdtEndPr>
            <w:sdtContent>
              <w:tr w:rsidR="007E7472" w14:paraId="2ECDB3F1" w14:textId="77777777">
                <w:trPr>
                  <w:trHeight w:val="267"/>
                </w:trPr>
                <w:tc>
                  <w:tcPr>
                    <w:tcW w:w="1643" w:type="pct"/>
                    <w:tcBorders>
                      <w:top w:val="single" w:sz="4" w:space="0" w:color="auto"/>
                      <w:left w:val="single" w:sz="4" w:space="0" w:color="auto"/>
                      <w:bottom w:val="single" w:sz="4" w:space="0" w:color="auto"/>
                      <w:right w:val="single" w:sz="4" w:space="0" w:color="auto"/>
                    </w:tcBorders>
                    <w:vAlign w:val="center"/>
                  </w:tcPr>
                  <w:p w14:paraId="6B0D9C83" w14:textId="77777777" w:rsidR="007E7472" w:rsidRDefault="00EC1269">
                    <w:pPr>
                      <w:rPr>
                        <w:rFonts w:cs="Cambria"/>
                      </w:rPr>
                    </w:pPr>
                    <w:r>
                      <w:rPr>
                        <w:rFonts w:cs="Cambria" w:hint="eastAsia"/>
                      </w:rPr>
                      <w:t>控股股东及其子公司的联营合营企业</w:t>
                    </w:r>
                  </w:p>
                </w:tc>
                <w:sdt>
                  <w:sdtPr>
                    <w:rPr>
                      <w:rFonts w:cs="Cambria"/>
                    </w:rPr>
                    <w:alias w:val="本企业的其他关联方情况明细－其他关联方与本公司关系"/>
                    <w:tag w:val="_GBC_2205fb8ea5f648b5a0c9e8e3f8499f9f"/>
                    <w:id w:val="-49434707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sdtContent>
                    <w:tc>
                      <w:tcPr>
                        <w:tcW w:w="1648" w:type="pct"/>
                        <w:tcBorders>
                          <w:top w:val="single" w:sz="4" w:space="0" w:color="auto"/>
                          <w:left w:val="single" w:sz="4" w:space="0" w:color="auto"/>
                          <w:bottom w:val="single" w:sz="4" w:space="0" w:color="auto"/>
                          <w:right w:val="single" w:sz="4" w:space="0" w:color="auto"/>
                        </w:tcBorders>
                        <w:vAlign w:val="center"/>
                      </w:tcPr>
                      <w:p w14:paraId="043A45B4" w14:textId="5A414814" w:rsidR="007E7472" w:rsidRDefault="006F3F93">
                        <w:pPr>
                          <w:jc w:val="both"/>
                          <w:rPr>
                            <w:rFonts w:cs="Cambria"/>
                          </w:rPr>
                        </w:pPr>
                        <w:r>
                          <w:rPr>
                            <w:rFonts w:cs="Cambria"/>
                          </w:rPr>
                          <w:t>其他关联方</w:t>
                        </w:r>
                      </w:p>
                    </w:tc>
                  </w:sdtContent>
                </w:sdt>
                <w:sdt>
                  <w:sdtPr>
                    <w:alias w:val="主要交易内容"/>
                    <w:tag w:val="_GBC_5d4738d8b3dc4d0980cb436f6762b1b9"/>
                    <w:id w:val="2038074515"/>
                    <w:lock w:val="sdtLocked"/>
                  </w:sdtPr>
                  <w:sdtEndPr/>
                  <w:sdtContent>
                    <w:tc>
                      <w:tcPr>
                        <w:tcW w:w="1709" w:type="pct"/>
                        <w:tcBorders>
                          <w:top w:val="single" w:sz="4" w:space="0" w:color="auto"/>
                          <w:left w:val="single" w:sz="4" w:space="0" w:color="auto"/>
                          <w:bottom w:val="single" w:sz="4" w:space="0" w:color="auto"/>
                          <w:right w:val="single" w:sz="4" w:space="0" w:color="auto"/>
                        </w:tcBorders>
                        <w:vAlign w:val="center"/>
                      </w:tcPr>
                      <w:p w14:paraId="4A90C476" w14:textId="77777777" w:rsidR="007E7472" w:rsidRDefault="00EC1269">
                        <w:pPr>
                          <w:jc w:val="both"/>
                        </w:pPr>
                        <w:r>
                          <w:rPr>
                            <w:rFonts w:hint="eastAsia"/>
                          </w:rPr>
                          <w:t>采购商品、接受劳务、销售商品、提供劳务</w:t>
                        </w:r>
                      </w:p>
                    </w:tc>
                  </w:sdtContent>
                </w:sdt>
              </w:tr>
            </w:sdtContent>
          </w:sdt>
        </w:tbl>
        <w:p w14:paraId="247CEC8F" w14:textId="77777777" w:rsidR="007E7472" w:rsidRDefault="00C8327E">
          <w:pPr>
            <w:tabs>
              <w:tab w:val="left" w:pos="1134"/>
            </w:tabs>
            <w:rPr>
              <w:rFonts w:cs="Cambria"/>
              <w:b/>
            </w:rPr>
          </w:pPr>
        </w:p>
      </w:sdtContent>
    </w:sdt>
    <w:p w14:paraId="678BF2C7" w14:textId="77777777" w:rsidR="007E7472" w:rsidRPr="00B113C6" w:rsidRDefault="00EC1269" w:rsidP="00162493">
      <w:pPr>
        <w:numPr>
          <w:ilvl w:val="2"/>
          <w:numId w:val="107"/>
        </w:numPr>
        <w:outlineLvl w:val="2"/>
        <w:rPr>
          <w:rFonts w:asciiTheme="minorEastAsia" w:eastAsiaTheme="minorEastAsia" w:hAnsiTheme="minorEastAsia"/>
          <w:b/>
        </w:rPr>
      </w:pPr>
      <w:r w:rsidRPr="00B113C6">
        <w:rPr>
          <w:rFonts w:hint="eastAsia"/>
          <w:b/>
        </w:rPr>
        <w:t>关联交</w:t>
      </w:r>
      <w:r w:rsidRPr="00B113C6">
        <w:rPr>
          <w:rFonts w:asciiTheme="minorEastAsia" w:eastAsiaTheme="minorEastAsia" w:hAnsiTheme="minorEastAsia" w:hint="eastAsia"/>
          <w:b/>
        </w:rPr>
        <w:t>易情况</w:t>
      </w:r>
    </w:p>
    <w:p w14:paraId="7EEDAB68" w14:textId="77777777" w:rsidR="007E7472" w:rsidRDefault="00EC1269" w:rsidP="00162493">
      <w:pPr>
        <w:pStyle w:val="4"/>
        <w:numPr>
          <w:ilvl w:val="0"/>
          <w:numId w:val="108"/>
        </w:numPr>
        <w:rPr>
          <w:rFonts w:asciiTheme="minorEastAsia" w:eastAsiaTheme="minorEastAsia" w:hAnsiTheme="minorEastAsia"/>
        </w:rPr>
      </w:pPr>
      <w:r>
        <w:rPr>
          <w:rFonts w:asciiTheme="minorEastAsia" w:eastAsiaTheme="minorEastAsia" w:hAnsiTheme="minorEastAsia" w:hint="eastAsia"/>
        </w:rPr>
        <w:t>购销商品、提供和接受劳务的关联交易</w:t>
      </w:r>
    </w:p>
    <w:sdt>
      <w:sdtPr>
        <w:rPr>
          <w:rFonts w:asciiTheme="minorEastAsia" w:eastAsiaTheme="minorEastAsia" w:hAnsiTheme="minorEastAsia" w:hint="eastAsia"/>
        </w:rPr>
        <w:alias w:val="模块:采购商品/接受劳务情况表"/>
        <w:tag w:val="_SEC_fb5c7314892940239be1e53fefbaec88"/>
        <w:id w:val="372659133"/>
        <w:lock w:val="sdtLocked"/>
        <w:placeholder>
          <w:docPart w:val="GBC22222222222222222222222222222"/>
        </w:placeholder>
      </w:sdtPr>
      <w:sdtEndPr>
        <w:rPr>
          <w:rFonts w:hint="default"/>
        </w:rPr>
      </w:sdtEndPr>
      <w:sdtContent>
        <w:p w14:paraId="7ED5C34B" w14:textId="77777777" w:rsidR="007E7472" w:rsidRDefault="00EC1269">
          <w:pPr>
            <w:rPr>
              <w:rFonts w:asciiTheme="minorEastAsia" w:eastAsiaTheme="minorEastAsia" w:hAnsiTheme="minorEastAsia"/>
            </w:rPr>
          </w:pPr>
          <w:r>
            <w:rPr>
              <w:rFonts w:asciiTheme="minorEastAsia" w:eastAsiaTheme="minorEastAsia" w:hAnsiTheme="minorEastAsia" w:hint="eastAsia"/>
            </w:rPr>
            <w:t>采购商品/接受劳务情况表</w:t>
          </w:r>
        </w:p>
        <w:sdt>
          <w:sdtPr>
            <w:rPr>
              <w:rFonts w:asciiTheme="minorEastAsia" w:eastAsiaTheme="minorEastAsia" w:hAnsiTheme="minorEastAsia"/>
            </w:rPr>
            <w:alias w:val="是否适用：采购商品或接受劳务情况表[双击切换]"/>
            <w:tag w:val="_GBC_af7e43b831354837910c4edde708e04a"/>
            <w:id w:val="29999789"/>
            <w:lock w:val="sdtLocked"/>
            <w:placeholder>
              <w:docPart w:val="GBC22222222222222222222222222222"/>
            </w:placeholder>
          </w:sdtPr>
          <w:sdtEndPr/>
          <w:sdtContent>
            <w:p w14:paraId="69B200AA" w14:textId="77777777" w:rsidR="007E7472" w:rsidRDefault="00EC1269">
              <w:pPr>
                <w:rPr>
                  <w:rFonts w:asciiTheme="minorEastAsia" w:eastAsiaTheme="minorEastAsia" w:hAnsiTheme="minorEastAsia"/>
                </w:rPr>
              </w:pPr>
              <w:r>
                <w:rPr>
                  <w:rFonts w:asciiTheme="minorEastAsia" w:eastAsiaTheme="minorEastAsia" w:hAnsiTheme="minorEastAsia"/>
                </w:rPr>
                <w:fldChar w:fldCharType="begin"/>
              </w:r>
              <w:r>
                <w:rPr>
                  <w:rFonts w:asciiTheme="minorEastAsia" w:eastAsiaTheme="minorEastAsia" w:hAnsiTheme="minorEastAsia"/>
                </w:rPr>
                <w:instrText xml:space="preserve">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6CD073AA" w14:textId="6A3F82E8" w:rsidR="007E7472" w:rsidRDefault="00EC1269">
          <w:pPr>
            <w:jc w:val="right"/>
            <w:rPr>
              <w:rFonts w:asciiTheme="minorEastAsia" w:eastAsiaTheme="minorEastAsia" w:hAnsiTheme="minorEastAsia" w:cs="Cambria"/>
              <w:b/>
              <w:bCs/>
            </w:rPr>
          </w:pPr>
          <w:r>
            <w:rPr>
              <w:rFonts w:asciiTheme="minorEastAsia" w:eastAsiaTheme="minorEastAsia" w:hAnsiTheme="minorEastAsia" w:cs="Cambria" w:hint="eastAsia"/>
            </w:rPr>
            <w:t>单位：</w:t>
          </w:r>
          <w:sdt>
            <w:sdtPr>
              <w:rPr>
                <w:rFonts w:asciiTheme="minorEastAsia" w:eastAsiaTheme="minorEastAsia" w:hAnsiTheme="minorEastAsia" w:cs="Cambria" w:hint="eastAsia"/>
              </w:rPr>
              <w:alias w:val="单位：采购商品接受劳务情况表"/>
              <w:tag w:val="_GBC_45ae86deace34388a904346eae355be1"/>
              <w:id w:val="-10256388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asciiTheme="minorEastAsia" w:eastAsiaTheme="minorEastAsia" w:hAnsiTheme="minorEastAsia" w:cs="Cambria" w:hint="eastAsia"/>
                </w:rPr>
                <w:t>千元</w:t>
              </w:r>
            </w:sdtContent>
          </w:sdt>
          <w:r>
            <w:rPr>
              <w:rFonts w:asciiTheme="minorEastAsia" w:eastAsiaTheme="minorEastAsia" w:hAnsiTheme="minorEastAsia" w:cs="Cambria" w:hint="eastAsia"/>
            </w:rPr>
            <w:t>币种：</w:t>
          </w:r>
          <w:sdt>
            <w:sdtPr>
              <w:rPr>
                <w:rFonts w:asciiTheme="minorEastAsia" w:eastAsiaTheme="minorEastAsia" w:hAnsiTheme="minorEastAsia" w:cs="Cambria" w:hint="eastAsia"/>
              </w:rPr>
              <w:alias w:val="币种：采购商品接受劳务情况表"/>
              <w:tag w:val="_GBC_ac9ca64b68bd493da1d7e7c719a6104c"/>
              <w:id w:val="-897770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asciiTheme="minorEastAsia" w:eastAsiaTheme="minorEastAsia" w:hAnsiTheme="minorEastAsia" w:cs="Cambria"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74"/>
            <w:gridCol w:w="1538"/>
            <w:gridCol w:w="1240"/>
            <w:gridCol w:w="1224"/>
            <w:gridCol w:w="1250"/>
            <w:gridCol w:w="1253"/>
            <w:gridCol w:w="644"/>
          </w:tblGrid>
          <w:tr w:rsidR="007E7472" w14:paraId="6C43216D" w14:textId="77777777">
            <w:trPr>
              <w:cantSplit/>
              <w:trHeight w:val="295"/>
            </w:trPr>
            <w:sdt>
              <w:sdtPr>
                <w:rPr>
                  <w:rFonts w:asciiTheme="minorEastAsia" w:hAnsiTheme="minorEastAsia"/>
                </w:rPr>
                <w:tag w:val="_PLD_c09a7dc97d494a8fb07056392e54876a"/>
                <w:id w:val="1400170207"/>
                <w:lock w:val="sdtLocked"/>
              </w:sdtPr>
              <w:sdtEndPr/>
              <w:sdtContent>
                <w:tc>
                  <w:tcPr>
                    <w:tcW w:w="948" w:type="pct"/>
                    <w:tcBorders>
                      <w:top w:val="single" w:sz="4" w:space="0" w:color="auto"/>
                      <w:left w:val="single" w:sz="4" w:space="0" w:color="auto"/>
                      <w:bottom w:val="single" w:sz="4" w:space="0" w:color="auto"/>
                      <w:right w:val="single" w:sz="4" w:space="0" w:color="auto"/>
                    </w:tcBorders>
                    <w:shd w:val="clear" w:color="auto" w:fill="auto"/>
                    <w:vAlign w:val="center"/>
                  </w:tcPr>
                  <w:p w14:paraId="13F22EE8" w14:textId="77777777" w:rsidR="007E7472" w:rsidRDefault="00EC1269">
                    <w:pPr>
                      <w:jc w:val="both"/>
                      <w:rPr>
                        <w:rFonts w:asciiTheme="minorEastAsia" w:eastAsiaTheme="minorEastAsia" w:hAnsiTheme="minorEastAsia" w:cs="Cambria"/>
                      </w:rPr>
                    </w:pPr>
                    <w:r>
                      <w:rPr>
                        <w:rFonts w:asciiTheme="minorEastAsia" w:eastAsiaTheme="minorEastAsia" w:hAnsiTheme="minorEastAsia" w:cs="Cambria" w:hint="eastAsia"/>
                      </w:rPr>
                      <w:t>关联方</w:t>
                    </w:r>
                  </w:p>
                </w:tc>
              </w:sdtContent>
            </w:sdt>
            <w:sdt>
              <w:sdtPr>
                <w:rPr>
                  <w:rFonts w:asciiTheme="minorEastAsia" w:hAnsiTheme="minorEastAsia"/>
                </w:rPr>
                <w:tag w:val="_PLD_6f5fdab53c694e56963e5e189cd0c28d"/>
                <w:id w:val="1985657088"/>
                <w:lock w:val="sdtLocked"/>
              </w:sdtPr>
              <w:sdtEndPr/>
              <w:sdtContent>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4CFE2E5B" w14:textId="77777777" w:rsidR="007E7472" w:rsidRDefault="00EC1269">
                    <w:pPr>
                      <w:jc w:val="both"/>
                      <w:rPr>
                        <w:rFonts w:asciiTheme="minorEastAsia" w:eastAsiaTheme="minorEastAsia" w:hAnsiTheme="minorEastAsia" w:cs="Cambria"/>
                      </w:rPr>
                    </w:pPr>
                    <w:r>
                      <w:rPr>
                        <w:rFonts w:asciiTheme="minorEastAsia" w:eastAsiaTheme="minorEastAsia" w:hAnsiTheme="minorEastAsia" w:cs="Cambria" w:hint="eastAsia"/>
                      </w:rPr>
                      <w:t>关联交易内容</w:t>
                    </w:r>
                  </w:p>
                </w:tc>
              </w:sdtContent>
            </w:sdt>
            <w:sdt>
              <w:sdtPr>
                <w:rPr>
                  <w:rFonts w:asciiTheme="minorEastAsia" w:hAnsiTheme="minorEastAsia"/>
                </w:rPr>
                <w:tag w:val="_PLD_1237b998b2a64f30a674dff433b841b0"/>
                <w:id w:val="-2117969054"/>
                <w:lock w:val="sdtLocked"/>
              </w:sdtPr>
              <w:sdtEndPr/>
              <w:sdtContent>
                <w:tc>
                  <w:tcPr>
                    <w:tcW w:w="702" w:type="pct"/>
                    <w:tcBorders>
                      <w:top w:val="single" w:sz="4" w:space="0" w:color="auto"/>
                      <w:left w:val="single" w:sz="4" w:space="0" w:color="auto"/>
                      <w:right w:val="single" w:sz="4" w:space="0" w:color="auto"/>
                    </w:tcBorders>
                    <w:shd w:val="clear" w:color="auto" w:fill="auto"/>
                    <w:vAlign w:val="center"/>
                  </w:tcPr>
                  <w:p w14:paraId="4E453C1D" w14:textId="77777777" w:rsidR="007E7472" w:rsidRDefault="00EC1269">
                    <w:pPr>
                      <w:jc w:val="center"/>
                      <w:rPr>
                        <w:rFonts w:asciiTheme="minorEastAsia" w:eastAsiaTheme="minorEastAsia" w:hAnsiTheme="minorEastAsia" w:cs="Cambria"/>
                      </w:rPr>
                    </w:pPr>
                    <w:r>
                      <w:rPr>
                        <w:rFonts w:asciiTheme="minorEastAsia" w:eastAsiaTheme="minorEastAsia" w:hAnsiTheme="minorEastAsia" w:cs="Cambria" w:hint="eastAsia"/>
                      </w:rPr>
                      <w:t>本期发生额</w:t>
                    </w:r>
                  </w:p>
                </w:tc>
              </w:sdtContent>
            </w:sdt>
            <w:sdt>
              <w:sdtPr>
                <w:rPr>
                  <w:rFonts w:asciiTheme="minorEastAsia" w:hAnsiTheme="minorEastAsia" w:hint="eastAsia"/>
                </w:rPr>
                <w:tag w:val="_PLD_b1a311757d3a457e811c8d8ffb0b6ac0"/>
                <w:id w:val="200445670"/>
                <w:lock w:val="sdtLocked"/>
              </w:sdtPr>
              <w:sdtEndPr/>
              <w:sdtContent>
                <w:tc>
                  <w:tcPr>
                    <w:tcW w:w="693" w:type="pct"/>
                    <w:tcBorders>
                      <w:top w:val="single" w:sz="4" w:space="0" w:color="auto"/>
                      <w:left w:val="single" w:sz="4" w:space="0" w:color="auto"/>
                      <w:right w:val="single" w:sz="4" w:space="0" w:color="auto"/>
                    </w:tcBorders>
                    <w:vAlign w:val="center"/>
                  </w:tcPr>
                  <w:p w14:paraId="51200352" w14:textId="77777777" w:rsidR="007E7472" w:rsidRDefault="00EC1269">
                    <w:pPr>
                      <w:jc w:val="center"/>
                      <w:rPr>
                        <w:rFonts w:asciiTheme="minorEastAsia" w:eastAsiaTheme="minorEastAsia" w:hAnsiTheme="minorEastAsia"/>
                      </w:rPr>
                    </w:pPr>
                    <w:r>
                      <w:rPr>
                        <w:rFonts w:asciiTheme="minorEastAsia" w:eastAsiaTheme="minorEastAsia" w:hAnsiTheme="minorEastAsia" w:hint="eastAsia"/>
                      </w:rPr>
                      <w:t>获批的交易额度（如适用）</w:t>
                    </w:r>
                  </w:p>
                </w:tc>
              </w:sdtContent>
            </w:sdt>
            <w:sdt>
              <w:sdtPr>
                <w:rPr>
                  <w:rFonts w:asciiTheme="minorEastAsia" w:hAnsiTheme="minorEastAsia"/>
                </w:rPr>
                <w:tag w:val="_PLD_c145e8a0e9404dc7b7dab215447b876b"/>
                <w:id w:val="1823076322"/>
                <w:lock w:val="sdtLocked"/>
              </w:sdtPr>
              <w:sdtEndPr>
                <w:rPr>
                  <w:rFonts w:hint="eastAsia"/>
                </w:rPr>
              </w:sdtEndPr>
              <w:sdtContent>
                <w:tc>
                  <w:tcPr>
                    <w:tcW w:w="708" w:type="pct"/>
                    <w:tcBorders>
                      <w:top w:val="single" w:sz="4" w:space="0" w:color="auto"/>
                      <w:left w:val="single" w:sz="4" w:space="0" w:color="auto"/>
                      <w:right w:val="single" w:sz="4" w:space="0" w:color="auto"/>
                    </w:tcBorders>
                    <w:vAlign w:val="center"/>
                  </w:tcPr>
                  <w:p w14:paraId="542C3203" w14:textId="77777777" w:rsidR="007E7472" w:rsidRDefault="00EC1269">
                    <w:pPr>
                      <w:jc w:val="center"/>
                      <w:rPr>
                        <w:rFonts w:asciiTheme="minorEastAsia" w:eastAsiaTheme="minorEastAsia" w:hAnsiTheme="minorEastAsia"/>
                      </w:rPr>
                    </w:pPr>
                    <w:r>
                      <w:rPr>
                        <w:rFonts w:asciiTheme="minorEastAsia" w:eastAsiaTheme="minorEastAsia" w:hAnsiTheme="minorEastAsia"/>
                      </w:rPr>
                      <w:t>是否超过交易额度</w:t>
                    </w:r>
                    <w:r>
                      <w:rPr>
                        <w:rFonts w:asciiTheme="minorEastAsia" w:eastAsiaTheme="minorEastAsia" w:hAnsiTheme="minorEastAsia" w:hint="eastAsia"/>
                      </w:rPr>
                      <w:t>（如适用）</w:t>
                    </w:r>
                  </w:p>
                </w:tc>
              </w:sdtContent>
            </w:sdt>
            <w:sdt>
              <w:sdtPr>
                <w:rPr>
                  <w:rFonts w:asciiTheme="minorEastAsia" w:hAnsiTheme="minorEastAsia"/>
                </w:rPr>
                <w:tag w:val="_PLD_f7d77ff6fdf642199e4c9fc12f00610d"/>
                <w:id w:val="578797531"/>
                <w:lock w:val="sdtLocked"/>
              </w:sdtPr>
              <w:sdtEndPr/>
              <w:sdtContent>
                <w:tc>
                  <w:tcPr>
                    <w:tcW w:w="709" w:type="pct"/>
                    <w:tcBorders>
                      <w:top w:val="single" w:sz="4" w:space="0" w:color="auto"/>
                      <w:left w:val="single" w:sz="4" w:space="0" w:color="auto"/>
                      <w:right w:val="single" w:sz="4" w:space="0" w:color="auto"/>
                    </w:tcBorders>
                    <w:shd w:val="clear" w:color="auto" w:fill="auto"/>
                    <w:vAlign w:val="center"/>
                  </w:tcPr>
                  <w:p w14:paraId="3E877308" w14:textId="77777777" w:rsidR="007E7472" w:rsidRDefault="00EC1269">
                    <w:pPr>
                      <w:jc w:val="center"/>
                      <w:rPr>
                        <w:rFonts w:asciiTheme="minorEastAsia" w:eastAsiaTheme="minorEastAsia" w:hAnsiTheme="minorEastAsia" w:cs="Cambria"/>
                      </w:rPr>
                    </w:pPr>
                    <w:r>
                      <w:rPr>
                        <w:rFonts w:asciiTheme="minorEastAsia" w:eastAsiaTheme="minorEastAsia" w:hAnsiTheme="minorEastAsia" w:cs="Cambria" w:hint="eastAsia"/>
                      </w:rPr>
                      <w:t>上期发生额</w:t>
                    </w:r>
                  </w:p>
                </w:tc>
              </w:sdtContent>
            </w:sdt>
            <w:tc>
              <w:tcPr>
                <w:tcW w:w="365" w:type="pct"/>
                <w:tcBorders>
                  <w:top w:val="single" w:sz="4" w:space="0" w:color="auto"/>
                  <w:left w:val="single" w:sz="4" w:space="0" w:color="auto"/>
                  <w:right w:val="single" w:sz="4" w:space="0" w:color="auto"/>
                </w:tcBorders>
                <w:shd w:val="clear" w:color="auto" w:fill="auto"/>
                <w:vAlign w:val="center"/>
              </w:tcPr>
              <w:p w14:paraId="6D54E0DB" w14:textId="77777777" w:rsidR="007E7472" w:rsidRDefault="00EC1269">
                <w:pPr>
                  <w:jc w:val="center"/>
                  <w:rPr>
                    <w:rFonts w:asciiTheme="minorEastAsia" w:eastAsiaTheme="minorEastAsia" w:hAnsiTheme="minorEastAsia" w:cs="Cambria"/>
                  </w:rPr>
                </w:pPr>
                <w:r>
                  <w:rPr>
                    <w:rFonts w:asciiTheme="minorEastAsia" w:eastAsiaTheme="minorEastAsia" w:hAnsiTheme="minorEastAsia" w:cs="Cambria" w:hint="eastAsia"/>
                  </w:rPr>
                  <w:t>备注</w:t>
                </w:r>
              </w:p>
            </w:tc>
          </w:tr>
          <w:sdt>
            <w:sdtPr>
              <w:rPr>
                <w:rFonts w:asciiTheme="minorEastAsia" w:eastAsiaTheme="minorEastAsia" w:hAnsiTheme="minorEastAsia"/>
                <w:kern w:val="2"/>
              </w:rPr>
              <w:alias w:val="采购商品接受劳务情况明细"/>
              <w:tag w:val="_TUP_6a1f8fb777604032986c4beda62c76c1"/>
              <w:id w:val="-338706154"/>
              <w:lock w:val="sdtLocked"/>
            </w:sdtPr>
            <w:sdtEndPr/>
            <w:sdtContent>
              <w:tr w:rsidR="007E7472" w14:paraId="271D5537" w14:textId="77777777">
                <w:trPr>
                  <w:cantSplit/>
                </w:trPr>
                <w:tc>
                  <w:tcPr>
                    <w:tcW w:w="948" w:type="pct"/>
                    <w:tcBorders>
                      <w:top w:val="single" w:sz="4" w:space="0" w:color="auto"/>
                      <w:left w:val="single" w:sz="4" w:space="0" w:color="auto"/>
                      <w:bottom w:val="single" w:sz="4" w:space="0" w:color="auto"/>
                      <w:right w:val="single" w:sz="4" w:space="0" w:color="auto"/>
                    </w:tcBorders>
                    <w:shd w:val="clear" w:color="auto" w:fill="auto"/>
                    <w:vAlign w:val="center"/>
                  </w:tcPr>
                  <w:p w14:paraId="666633C7" w14:textId="77777777" w:rsidR="007E7472" w:rsidRDefault="00EC1269">
                    <w:pPr>
                      <w:jc w:val="both"/>
                      <w:rPr>
                        <w:rFonts w:asciiTheme="minorEastAsia" w:eastAsiaTheme="minorEastAsia" w:hAnsiTheme="minorEastAsia"/>
                      </w:rPr>
                    </w:pPr>
                    <w:r>
                      <w:rPr>
                        <w:rFonts w:asciiTheme="minorEastAsia" w:eastAsiaTheme="minorEastAsia" w:hAnsiTheme="minorEastAsia" w:hint="eastAsia"/>
                      </w:rPr>
                      <w:t>控股股东及其控制的公司</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79DD49C2" w14:textId="77777777" w:rsidR="007E7472" w:rsidRDefault="00EC1269">
                    <w:pPr>
                      <w:jc w:val="both"/>
                      <w:rPr>
                        <w:rFonts w:asciiTheme="minorEastAsia" w:eastAsiaTheme="minorEastAsia" w:hAnsiTheme="minorEastAsia"/>
                      </w:rPr>
                    </w:pPr>
                    <w:r>
                      <w:rPr>
                        <w:rFonts w:asciiTheme="minorEastAsia" w:eastAsiaTheme="minorEastAsia" w:hAnsiTheme="minorEastAsia" w:hint="eastAsia"/>
                      </w:rPr>
                      <w:t>采购商品</w:t>
                    </w:r>
                    <w:r>
                      <w:rPr>
                        <w:rFonts w:asciiTheme="minorEastAsia" w:eastAsiaTheme="minorEastAsia" w:hAnsiTheme="minorEastAsia"/>
                      </w:rPr>
                      <w:t>-采购物资</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14:paraId="396389F8" w14:textId="77777777" w:rsidR="007E7472" w:rsidRDefault="00EC1269">
                    <w:pPr>
                      <w:jc w:val="right"/>
                      <w:rPr>
                        <w:rFonts w:asciiTheme="minorEastAsia" w:eastAsiaTheme="minorEastAsia" w:hAnsiTheme="minorEastAsia"/>
                      </w:rPr>
                    </w:pPr>
                    <w:r>
                      <w:rPr>
                        <w:rFonts w:asciiTheme="minorEastAsia" w:eastAsiaTheme="minorEastAsia" w:hAnsiTheme="minorEastAsia"/>
                      </w:rPr>
                      <w:t>623,931</w:t>
                    </w:r>
                  </w:p>
                </w:tc>
                <w:tc>
                  <w:tcPr>
                    <w:tcW w:w="693" w:type="pct"/>
                    <w:tcBorders>
                      <w:top w:val="single" w:sz="4" w:space="0" w:color="auto"/>
                      <w:left w:val="single" w:sz="4" w:space="0" w:color="auto"/>
                      <w:bottom w:val="single" w:sz="4" w:space="0" w:color="auto"/>
                      <w:right w:val="single" w:sz="4" w:space="0" w:color="auto"/>
                    </w:tcBorders>
                    <w:vAlign w:val="center"/>
                  </w:tcPr>
                  <w:p w14:paraId="3AB0B78D" w14:textId="77777777" w:rsidR="007E7472" w:rsidRDefault="00EC1269">
                    <w:pPr>
                      <w:jc w:val="right"/>
                      <w:rPr>
                        <w:rFonts w:asciiTheme="minorEastAsia" w:eastAsiaTheme="minorEastAsia" w:hAnsiTheme="minorEastAsia"/>
                      </w:rPr>
                    </w:pPr>
                    <w:r>
                      <w:rPr>
                        <w:rFonts w:asciiTheme="minorEastAsia" w:eastAsiaTheme="minorEastAsia" w:hAnsiTheme="minorEastAsia"/>
                      </w:rPr>
                      <w:t>3,850,000</w:t>
                    </w:r>
                  </w:p>
                </w:tc>
                <w:sdt>
                  <w:sdtPr>
                    <w:rPr>
                      <w:rFonts w:asciiTheme="minorEastAsia" w:hAnsiTheme="minorEastAsia" w:hint="eastAsia"/>
                    </w:rPr>
                    <w:alias w:val="采购商品接受劳务情况明细-是否超过交易额度"/>
                    <w:tag w:val="_GBC_8948407543bf4b9e8a27ff07478d8950"/>
                    <w:id w:val="-1822727994"/>
                    <w:lock w:val="sdtLocked"/>
                    <w:comboBox>
                      <w:listItem w:displayText="是" w:value="是"/>
                      <w:listItem w:displayText="否" w:value="否"/>
                    </w:comboBox>
                  </w:sdtPr>
                  <w:sdtEndPr/>
                  <w:sdtContent>
                    <w:tc>
                      <w:tcPr>
                        <w:tcW w:w="708" w:type="pct"/>
                        <w:tcBorders>
                          <w:top w:val="single" w:sz="4" w:space="0" w:color="auto"/>
                          <w:left w:val="single" w:sz="4" w:space="0" w:color="auto"/>
                          <w:bottom w:val="single" w:sz="4" w:space="0" w:color="auto"/>
                          <w:right w:val="single" w:sz="4" w:space="0" w:color="auto"/>
                        </w:tcBorders>
                        <w:vAlign w:val="center"/>
                      </w:tcPr>
                      <w:p w14:paraId="287E6880" w14:textId="42A14DE3" w:rsidR="007E7472" w:rsidRDefault="006F3F93">
                        <w:pPr>
                          <w:jc w:val="center"/>
                          <w:rPr>
                            <w:rFonts w:asciiTheme="minorEastAsia" w:eastAsiaTheme="minorEastAsia" w:hAnsiTheme="minorEastAsia"/>
                          </w:rPr>
                        </w:pPr>
                        <w:r>
                          <w:rPr>
                            <w:rFonts w:asciiTheme="minorEastAsia" w:hAnsiTheme="minorEastAsia" w:hint="eastAsia"/>
                          </w:rPr>
                          <w:t>否</w:t>
                        </w:r>
                      </w:p>
                    </w:tc>
                  </w:sdtContent>
                </w:sdt>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147BCCE5" w14:textId="77777777" w:rsidR="007E7472" w:rsidRDefault="00EC1269">
                    <w:pPr>
                      <w:jc w:val="right"/>
                      <w:rPr>
                        <w:rFonts w:asciiTheme="minorEastAsia" w:eastAsiaTheme="minorEastAsia" w:hAnsiTheme="minorEastAsia"/>
                      </w:rPr>
                    </w:pPr>
                    <w:r>
                      <w:rPr>
                        <w:rFonts w:asciiTheme="minorEastAsia" w:eastAsiaTheme="minorEastAsia" w:hAnsiTheme="minorEastAsia"/>
                      </w:rPr>
                      <w:t>991,695</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14:paraId="6C703139" w14:textId="77777777" w:rsidR="007E7472" w:rsidRDefault="00EC1269">
                    <w:pPr>
                      <w:jc w:val="right"/>
                      <w:rPr>
                        <w:rFonts w:asciiTheme="minorEastAsia" w:eastAsiaTheme="minorEastAsia" w:hAnsiTheme="minorEastAsia"/>
                      </w:rPr>
                    </w:pPr>
                    <w:r>
                      <w:t>注</w:t>
                    </w:r>
                  </w:p>
                </w:tc>
              </w:tr>
            </w:sdtContent>
          </w:sdt>
          <w:sdt>
            <w:sdtPr>
              <w:rPr>
                <w:rFonts w:asciiTheme="minorEastAsia" w:eastAsiaTheme="minorEastAsia" w:hAnsiTheme="minorEastAsia"/>
                <w:kern w:val="2"/>
              </w:rPr>
              <w:alias w:val="采购商品接受劳务情况明细"/>
              <w:tag w:val="_TUP_6a1f8fb777604032986c4beda62c76c1"/>
              <w:id w:val="1511181796"/>
              <w:lock w:val="sdtLocked"/>
            </w:sdtPr>
            <w:sdtEndPr/>
            <w:sdtContent>
              <w:tr w:rsidR="007E7472" w14:paraId="6EAC0228" w14:textId="77777777">
                <w:trPr>
                  <w:cantSplit/>
                </w:trPr>
                <w:tc>
                  <w:tcPr>
                    <w:tcW w:w="948" w:type="pct"/>
                    <w:tcBorders>
                      <w:top w:val="single" w:sz="4" w:space="0" w:color="auto"/>
                      <w:left w:val="single" w:sz="4" w:space="0" w:color="auto"/>
                      <w:bottom w:val="single" w:sz="4" w:space="0" w:color="auto"/>
                      <w:right w:val="single" w:sz="4" w:space="0" w:color="auto"/>
                    </w:tcBorders>
                    <w:shd w:val="clear" w:color="auto" w:fill="auto"/>
                    <w:vAlign w:val="center"/>
                  </w:tcPr>
                  <w:p w14:paraId="2B5ADC0C" w14:textId="77777777" w:rsidR="007E7472" w:rsidRDefault="00EC1269">
                    <w:pPr>
                      <w:jc w:val="both"/>
                      <w:rPr>
                        <w:rFonts w:asciiTheme="minorEastAsia" w:eastAsiaTheme="minorEastAsia" w:hAnsiTheme="minorEastAsia"/>
                      </w:rPr>
                    </w:pPr>
                    <w:r>
                      <w:rPr>
                        <w:rFonts w:asciiTheme="minorEastAsia" w:eastAsiaTheme="minorEastAsia" w:hAnsiTheme="minorEastAsia" w:hint="eastAsia"/>
                      </w:rPr>
                      <w:t>控股股东及其控制的公司</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57B8939F" w14:textId="77777777" w:rsidR="007E7472" w:rsidRDefault="00EC1269">
                    <w:pPr>
                      <w:jc w:val="both"/>
                      <w:rPr>
                        <w:rFonts w:asciiTheme="minorEastAsia" w:eastAsiaTheme="minorEastAsia" w:hAnsiTheme="minorEastAsia"/>
                      </w:rPr>
                    </w:pPr>
                    <w:r>
                      <w:rPr>
                        <w:rFonts w:asciiTheme="minorEastAsia" w:eastAsiaTheme="minorEastAsia" w:hAnsiTheme="minorEastAsia" w:hint="eastAsia"/>
                      </w:rPr>
                      <w:t>采购商品</w:t>
                    </w:r>
                    <w:r>
                      <w:rPr>
                        <w:rFonts w:asciiTheme="minorEastAsia" w:eastAsiaTheme="minorEastAsia" w:hAnsiTheme="minorEastAsia"/>
                      </w:rPr>
                      <w:t>-大宗贸易</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14:paraId="5F041DBE" w14:textId="77777777" w:rsidR="007E7472" w:rsidRDefault="00EC1269">
                    <w:pPr>
                      <w:jc w:val="right"/>
                      <w:rPr>
                        <w:rFonts w:asciiTheme="minorEastAsia" w:eastAsiaTheme="minorEastAsia" w:hAnsiTheme="minorEastAsia"/>
                      </w:rPr>
                    </w:pPr>
                    <w:r>
                      <w:rPr>
                        <w:rFonts w:asciiTheme="minorEastAsia" w:eastAsiaTheme="minorEastAsia" w:hAnsiTheme="minorEastAsia"/>
                      </w:rPr>
                      <w:t>373,972</w:t>
                    </w:r>
                  </w:p>
                </w:tc>
                <w:tc>
                  <w:tcPr>
                    <w:tcW w:w="693" w:type="pct"/>
                    <w:tcBorders>
                      <w:top w:val="single" w:sz="4" w:space="0" w:color="auto"/>
                      <w:left w:val="single" w:sz="4" w:space="0" w:color="auto"/>
                      <w:bottom w:val="single" w:sz="4" w:space="0" w:color="auto"/>
                      <w:right w:val="single" w:sz="4" w:space="0" w:color="auto"/>
                    </w:tcBorders>
                    <w:vAlign w:val="center"/>
                  </w:tcPr>
                  <w:p w14:paraId="3BF5D9D7" w14:textId="77777777" w:rsidR="007E7472" w:rsidRDefault="00EC1269">
                    <w:pPr>
                      <w:jc w:val="right"/>
                      <w:rPr>
                        <w:rFonts w:asciiTheme="minorEastAsia" w:eastAsiaTheme="minorEastAsia" w:hAnsiTheme="minorEastAsia"/>
                      </w:rPr>
                    </w:pPr>
                    <w:r>
                      <w:rPr>
                        <w:rFonts w:asciiTheme="minorEastAsia" w:eastAsiaTheme="minorEastAsia" w:hAnsiTheme="minorEastAsia"/>
                      </w:rPr>
                      <w:t>2,000,000</w:t>
                    </w:r>
                  </w:p>
                </w:tc>
                <w:sdt>
                  <w:sdtPr>
                    <w:rPr>
                      <w:rFonts w:asciiTheme="minorEastAsia" w:hAnsiTheme="minorEastAsia" w:hint="eastAsia"/>
                    </w:rPr>
                    <w:alias w:val="采购商品接受劳务情况明细-是否超过交易额度"/>
                    <w:tag w:val="_GBC_8948407543bf4b9e8a27ff07478d8950"/>
                    <w:id w:val="-846633466"/>
                    <w:lock w:val="sdtLocked"/>
                    <w:comboBox>
                      <w:listItem w:displayText="是" w:value="是"/>
                      <w:listItem w:displayText="否" w:value="否"/>
                    </w:comboBox>
                  </w:sdtPr>
                  <w:sdtEndPr/>
                  <w:sdtContent>
                    <w:tc>
                      <w:tcPr>
                        <w:tcW w:w="708" w:type="pct"/>
                        <w:tcBorders>
                          <w:top w:val="single" w:sz="4" w:space="0" w:color="auto"/>
                          <w:left w:val="single" w:sz="4" w:space="0" w:color="auto"/>
                          <w:bottom w:val="single" w:sz="4" w:space="0" w:color="auto"/>
                          <w:right w:val="single" w:sz="4" w:space="0" w:color="auto"/>
                        </w:tcBorders>
                        <w:vAlign w:val="center"/>
                      </w:tcPr>
                      <w:p w14:paraId="61B2E272" w14:textId="23926B03" w:rsidR="007E7472" w:rsidRDefault="006F3F93">
                        <w:pPr>
                          <w:jc w:val="center"/>
                          <w:rPr>
                            <w:rFonts w:asciiTheme="minorEastAsia" w:eastAsiaTheme="minorEastAsia" w:hAnsiTheme="minorEastAsia"/>
                          </w:rPr>
                        </w:pPr>
                        <w:r>
                          <w:rPr>
                            <w:rFonts w:asciiTheme="minorEastAsia" w:hAnsiTheme="minorEastAsia" w:hint="eastAsia"/>
                          </w:rPr>
                          <w:t>否</w:t>
                        </w:r>
                      </w:p>
                    </w:tc>
                  </w:sdtContent>
                </w:sdt>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26A62B59" w14:textId="77777777" w:rsidR="007E7472" w:rsidRDefault="00EC1269">
                    <w:pPr>
                      <w:jc w:val="right"/>
                      <w:rPr>
                        <w:rFonts w:asciiTheme="minorEastAsia" w:eastAsiaTheme="minorEastAsia" w:hAnsiTheme="minorEastAsia"/>
                      </w:rPr>
                    </w:pPr>
                    <w:r>
                      <w:rPr>
                        <w:rFonts w:asciiTheme="minorEastAsia" w:eastAsiaTheme="minorEastAsia" w:hAnsiTheme="minorEastAsia"/>
                      </w:rPr>
                      <w:t>93,514</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14:paraId="4FD9B971" w14:textId="77777777" w:rsidR="007E7472" w:rsidRDefault="00EC1269">
                    <w:pPr>
                      <w:jc w:val="right"/>
                      <w:rPr>
                        <w:rFonts w:asciiTheme="minorEastAsia" w:eastAsiaTheme="minorEastAsia" w:hAnsiTheme="minorEastAsia"/>
                      </w:rPr>
                    </w:pPr>
                    <w:r>
                      <w:t>注</w:t>
                    </w:r>
                  </w:p>
                </w:tc>
              </w:tr>
            </w:sdtContent>
          </w:sdt>
          <w:sdt>
            <w:sdtPr>
              <w:rPr>
                <w:rFonts w:asciiTheme="minorEastAsia" w:eastAsiaTheme="minorEastAsia" w:hAnsiTheme="minorEastAsia"/>
                <w:kern w:val="2"/>
              </w:rPr>
              <w:alias w:val="采购商品接受劳务情况明细"/>
              <w:tag w:val="_TUP_6a1f8fb777604032986c4beda62c76c1"/>
              <w:id w:val="-1252191900"/>
              <w:lock w:val="sdtLocked"/>
            </w:sdtPr>
            <w:sdtEndPr/>
            <w:sdtContent>
              <w:tr w:rsidR="007E7472" w14:paraId="6E75BB71" w14:textId="77777777">
                <w:trPr>
                  <w:cantSplit/>
                </w:trPr>
                <w:tc>
                  <w:tcPr>
                    <w:tcW w:w="948" w:type="pct"/>
                    <w:tcBorders>
                      <w:top w:val="single" w:sz="4" w:space="0" w:color="auto"/>
                      <w:left w:val="single" w:sz="4" w:space="0" w:color="auto"/>
                      <w:bottom w:val="single" w:sz="4" w:space="0" w:color="auto"/>
                      <w:right w:val="single" w:sz="4" w:space="0" w:color="auto"/>
                    </w:tcBorders>
                    <w:shd w:val="clear" w:color="auto" w:fill="auto"/>
                    <w:vAlign w:val="center"/>
                  </w:tcPr>
                  <w:p w14:paraId="57DBBE21" w14:textId="77777777" w:rsidR="007E7472" w:rsidRDefault="00EC1269">
                    <w:pPr>
                      <w:jc w:val="both"/>
                      <w:rPr>
                        <w:rFonts w:asciiTheme="minorEastAsia" w:eastAsiaTheme="minorEastAsia" w:hAnsiTheme="minorEastAsia"/>
                      </w:rPr>
                    </w:pPr>
                    <w:r>
                      <w:rPr>
                        <w:rFonts w:asciiTheme="minorEastAsia" w:eastAsiaTheme="minorEastAsia" w:hAnsiTheme="minorEastAsia" w:hint="eastAsia"/>
                      </w:rPr>
                      <w:t>控股股东及其控制的公司</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2419CCBC" w14:textId="77777777" w:rsidR="007E7472" w:rsidRDefault="00EC1269">
                    <w:pPr>
                      <w:jc w:val="both"/>
                      <w:rPr>
                        <w:rFonts w:asciiTheme="minorEastAsia" w:eastAsiaTheme="minorEastAsia" w:hAnsiTheme="minorEastAsia"/>
                      </w:rPr>
                    </w:pPr>
                    <w:r>
                      <w:rPr>
                        <w:rFonts w:asciiTheme="minorEastAsia" w:eastAsiaTheme="minorEastAsia" w:hAnsiTheme="minorEastAsia" w:hint="eastAsia"/>
                      </w:rPr>
                      <w:t>采购商品</w:t>
                    </w:r>
                    <w:r>
                      <w:rPr>
                        <w:rFonts w:asciiTheme="minorEastAsia" w:eastAsiaTheme="minorEastAsia" w:hAnsiTheme="minorEastAsia"/>
                      </w:rPr>
                      <w:t>-化工原料煤</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14:paraId="0CD00C7C" w14:textId="77777777" w:rsidR="007E7472" w:rsidRDefault="00EC1269">
                    <w:pPr>
                      <w:jc w:val="right"/>
                      <w:rPr>
                        <w:rFonts w:asciiTheme="minorEastAsia" w:eastAsiaTheme="minorEastAsia" w:hAnsiTheme="minorEastAsia"/>
                      </w:rPr>
                    </w:pPr>
                    <w:r>
                      <w:rPr>
                        <w:rFonts w:asciiTheme="minorEastAsia" w:eastAsiaTheme="minorEastAsia" w:hAnsiTheme="minorEastAsia"/>
                      </w:rPr>
                      <w:t>148,015</w:t>
                    </w:r>
                  </w:p>
                </w:tc>
                <w:tc>
                  <w:tcPr>
                    <w:tcW w:w="693" w:type="pct"/>
                    <w:tcBorders>
                      <w:top w:val="single" w:sz="4" w:space="0" w:color="auto"/>
                      <w:left w:val="single" w:sz="4" w:space="0" w:color="auto"/>
                      <w:bottom w:val="single" w:sz="4" w:space="0" w:color="auto"/>
                      <w:right w:val="single" w:sz="4" w:space="0" w:color="auto"/>
                    </w:tcBorders>
                    <w:vAlign w:val="center"/>
                  </w:tcPr>
                  <w:p w14:paraId="247BAFC4" w14:textId="77777777" w:rsidR="007E7472" w:rsidRDefault="00EC1269">
                    <w:pPr>
                      <w:jc w:val="right"/>
                      <w:rPr>
                        <w:rFonts w:asciiTheme="minorEastAsia" w:eastAsiaTheme="minorEastAsia" w:hAnsiTheme="minorEastAsia"/>
                      </w:rPr>
                    </w:pPr>
                    <w:r>
                      <w:rPr>
                        <w:rFonts w:asciiTheme="minorEastAsia" w:eastAsiaTheme="minorEastAsia" w:hAnsiTheme="minorEastAsia"/>
                      </w:rPr>
                      <w:t>1,500,000</w:t>
                    </w:r>
                  </w:p>
                </w:tc>
                <w:sdt>
                  <w:sdtPr>
                    <w:rPr>
                      <w:rFonts w:asciiTheme="minorEastAsia" w:hAnsiTheme="minorEastAsia" w:hint="eastAsia"/>
                    </w:rPr>
                    <w:alias w:val="采购商品接受劳务情况明细-是否超过交易额度"/>
                    <w:tag w:val="_GBC_8948407543bf4b9e8a27ff07478d8950"/>
                    <w:id w:val="64847804"/>
                    <w:lock w:val="sdtLocked"/>
                    <w:comboBox>
                      <w:listItem w:displayText="是" w:value="是"/>
                      <w:listItem w:displayText="否" w:value="否"/>
                    </w:comboBox>
                  </w:sdtPr>
                  <w:sdtEndPr/>
                  <w:sdtContent>
                    <w:tc>
                      <w:tcPr>
                        <w:tcW w:w="708" w:type="pct"/>
                        <w:tcBorders>
                          <w:top w:val="single" w:sz="4" w:space="0" w:color="auto"/>
                          <w:left w:val="single" w:sz="4" w:space="0" w:color="auto"/>
                          <w:bottom w:val="single" w:sz="4" w:space="0" w:color="auto"/>
                          <w:right w:val="single" w:sz="4" w:space="0" w:color="auto"/>
                        </w:tcBorders>
                        <w:vAlign w:val="center"/>
                      </w:tcPr>
                      <w:p w14:paraId="3812A6F4" w14:textId="7FF7C928" w:rsidR="007E7472" w:rsidRDefault="006F3F93">
                        <w:pPr>
                          <w:jc w:val="center"/>
                          <w:rPr>
                            <w:rFonts w:asciiTheme="minorEastAsia" w:eastAsiaTheme="minorEastAsia" w:hAnsiTheme="minorEastAsia"/>
                          </w:rPr>
                        </w:pPr>
                        <w:r>
                          <w:rPr>
                            <w:rFonts w:asciiTheme="minorEastAsia" w:hAnsiTheme="minorEastAsia" w:hint="eastAsia"/>
                          </w:rPr>
                          <w:t>否</w:t>
                        </w:r>
                      </w:p>
                    </w:tc>
                  </w:sdtContent>
                </w:sdt>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3E9BB3AF" w14:textId="77777777" w:rsidR="007E7472" w:rsidRDefault="00EC1269">
                    <w:pPr>
                      <w:jc w:val="right"/>
                      <w:rPr>
                        <w:rFonts w:asciiTheme="minorEastAsia" w:eastAsiaTheme="minorEastAsia" w:hAnsiTheme="minorEastAsia"/>
                      </w:rPr>
                    </w:pPr>
                    <w:r>
                      <w:rPr>
                        <w:rFonts w:asciiTheme="minorEastAsia" w:eastAsiaTheme="minorEastAsia" w:hAnsiTheme="minorEastAsia"/>
                      </w:rPr>
                      <w:t>264,859</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14:paraId="764920A1" w14:textId="77777777" w:rsidR="007E7472" w:rsidRDefault="00EC1269">
                    <w:pPr>
                      <w:jc w:val="right"/>
                      <w:rPr>
                        <w:rFonts w:asciiTheme="minorEastAsia" w:eastAsiaTheme="minorEastAsia" w:hAnsiTheme="minorEastAsia"/>
                      </w:rPr>
                    </w:pPr>
                    <w:r>
                      <w:t>注</w:t>
                    </w:r>
                  </w:p>
                </w:tc>
              </w:tr>
            </w:sdtContent>
          </w:sdt>
          <w:sdt>
            <w:sdtPr>
              <w:rPr>
                <w:rFonts w:asciiTheme="minorEastAsia" w:eastAsiaTheme="minorEastAsia" w:hAnsiTheme="minorEastAsia"/>
                <w:kern w:val="2"/>
              </w:rPr>
              <w:alias w:val="采购商品接受劳务情况明细"/>
              <w:tag w:val="_TUP_6a1f8fb777604032986c4beda62c76c1"/>
              <w:id w:val="-1349170615"/>
              <w:lock w:val="sdtLocked"/>
            </w:sdtPr>
            <w:sdtEndPr/>
            <w:sdtContent>
              <w:tr w:rsidR="007E7472" w14:paraId="49F4E2F8" w14:textId="77777777" w:rsidTr="007E7472">
                <w:trPr>
                  <w:cantSplit/>
                  <w:trHeight w:val="340"/>
                </w:trPr>
                <w:tc>
                  <w:tcPr>
                    <w:tcW w:w="948" w:type="pct"/>
                    <w:tcBorders>
                      <w:top w:val="single" w:sz="4" w:space="0" w:color="auto"/>
                      <w:left w:val="single" w:sz="4" w:space="0" w:color="auto"/>
                      <w:bottom w:val="single" w:sz="4" w:space="0" w:color="auto"/>
                      <w:right w:val="single" w:sz="4" w:space="0" w:color="auto"/>
                    </w:tcBorders>
                    <w:shd w:val="clear" w:color="auto" w:fill="auto"/>
                    <w:vAlign w:val="center"/>
                  </w:tcPr>
                  <w:p w14:paraId="35A4E11A" w14:textId="77777777" w:rsidR="007E7472" w:rsidRDefault="00EC1269">
                    <w:pPr>
                      <w:jc w:val="both"/>
                      <w:rPr>
                        <w:rFonts w:asciiTheme="minorEastAsia" w:eastAsiaTheme="minorEastAsia" w:hAnsiTheme="minorEastAsia"/>
                      </w:rPr>
                    </w:pPr>
                    <w:r>
                      <w:rPr>
                        <w:rFonts w:asciiTheme="minorEastAsia" w:eastAsiaTheme="minorEastAsia" w:hAnsiTheme="minorEastAsia" w:hint="eastAsia"/>
                      </w:rPr>
                      <w:t>合营企业</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115C7073" w14:textId="77777777" w:rsidR="007E7472" w:rsidRDefault="00EC1269">
                    <w:pPr>
                      <w:jc w:val="both"/>
                      <w:rPr>
                        <w:rFonts w:asciiTheme="minorEastAsia" w:eastAsiaTheme="minorEastAsia" w:hAnsiTheme="minorEastAsia"/>
                      </w:rPr>
                    </w:pPr>
                    <w:r>
                      <w:rPr>
                        <w:rFonts w:asciiTheme="minorEastAsia" w:eastAsiaTheme="minorEastAsia" w:hAnsiTheme="minorEastAsia" w:hint="eastAsia"/>
                      </w:rPr>
                      <w:t>采购商品</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14:paraId="2252A2A1" w14:textId="77777777" w:rsidR="007E7472" w:rsidRDefault="00C8327E">
                    <w:pPr>
                      <w:jc w:val="right"/>
                      <w:rPr>
                        <w:rFonts w:asciiTheme="minorEastAsia" w:eastAsiaTheme="minorEastAsia" w:hAnsiTheme="minorEastAsia"/>
                      </w:rPr>
                    </w:pPr>
                  </w:p>
                </w:tc>
                <w:tc>
                  <w:tcPr>
                    <w:tcW w:w="693" w:type="pct"/>
                    <w:tcBorders>
                      <w:top w:val="single" w:sz="4" w:space="0" w:color="auto"/>
                      <w:left w:val="single" w:sz="4" w:space="0" w:color="auto"/>
                      <w:bottom w:val="single" w:sz="4" w:space="0" w:color="auto"/>
                      <w:right w:val="single" w:sz="4" w:space="0" w:color="auto"/>
                    </w:tcBorders>
                    <w:vAlign w:val="center"/>
                  </w:tcPr>
                  <w:p w14:paraId="5735AC77" w14:textId="77777777" w:rsidR="007E7472" w:rsidRDefault="00C8327E">
                    <w:pPr>
                      <w:jc w:val="right"/>
                      <w:rPr>
                        <w:rFonts w:asciiTheme="minorEastAsia" w:eastAsiaTheme="minorEastAsia" w:hAnsiTheme="minorEastAsia"/>
                      </w:rPr>
                    </w:pPr>
                  </w:p>
                </w:tc>
                <w:sdt>
                  <w:sdtPr>
                    <w:rPr>
                      <w:rFonts w:asciiTheme="minorEastAsia" w:hAnsiTheme="minorEastAsia"/>
                    </w:rPr>
                    <w:alias w:val="采购商品接受劳务情况明细-是否超过交易额度"/>
                    <w:tag w:val="_GBC_8948407543bf4b9e8a27ff07478d8950"/>
                    <w:id w:val="-2052527161"/>
                    <w:lock w:val="sdtLocked"/>
                    <w:showingPlcHdr/>
                    <w:comboBox>
                      <w:listItem w:displayText="是" w:value="是"/>
                      <w:listItem w:displayText="否" w:value="否"/>
                    </w:comboBox>
                  </w:sdtPr>
                  <w:sdtEndPr/>
                  <w:sdtContent>
                    <w:tc>
                      <w:tcPr>
                        <w:tcW w:w="708" w:type="pct"/>
                        <w:tcBorders>
                          <w:top w:val="single" w:sz="4" w:space="0" w:color="auto"/>
                          <w:left w:val="single" w:sz="4" w:space="0" w:color="auto"/>
                          <w:bottom w:val="single" w:sz="4" w:space="0" w:color="auto"/>
                          <w:right w:val="single" w:sz="4" w:space="0" w:color="auto"/>
                        </w:tcBorders>
                        <w:vAlign w:val="center"/>
                      </w:tcPr>
                      <w:p w14:paraId="412630FD" w14:textId="77777777" w:rsidR="007E7472" w:rsidRDefault="00EC1269">
                        <w:pPr>
                          <w:jc w:val="center"/>
                          <w:rPr>
                            <w:rFonts w:asciiTheme="minorEastAsia" w:eastAsiaTheme="minorEastAsia" w:hAnsiTheme="minorEastAsia"/>
                          </w:rPr>
                        </w:pPr>
                        <w:r>
                          <w:rPr>
                            <w:rFonts w:asciiTheme="minorEastAsia" w:eastAsiaTheme="minorEastAsia" w:hAnsiTheme="minorEastAsia" w:hint="eastAsia"/>
                          </w:rPr>
                          <w:t xml:space="preserve">　</w:t>
                        </w:r>
                      </w:p>
                    </w:tc>
                  </w:sdtContent>
                </w:sdt>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713238FE" w14:textId="77777777" w:rsidR="007E7472" w:rsidRDefault="00EC1269">
                    <w:pPr>
                      <w:jc w:val="right"/>
                      <w:rPr>
                        <w:rFonts w:asciiTheme="minorEastAsia" w:eastAsiaTheme="minorEastAsia" w:hAnsiTheme="minorEastAsia"/>
                      </w:rPr>
                    </w:pPr>
                    <w:r>
                      <w:rPr>
                        <w:rFonts w:asciiTheme="minorEastAsia" w:eastAsiaTheme="minorEastAsia" w:hAnsiTheme="minorEastAsia"/>
                      </w:rPr>
                      <w:t>4,637</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14:paraId="2EC1555F" w14:textId="77777777" w:rsidR="007E7472" w:rsidRDefault="00C8327E">
                    <w:pPr>
                      <w:jc w:val="right"/>
                      <w:rPr>
                        <w:rFonts w:asciiTheme="minorEastAsia" w:eastAsiaTheme="minorEastAsia" w:hAnsiTheme="minorEastAsia"/>
                      </w:rPr>
                    </w:pPr>
                  </w:p>
                </w:tc>
              </w:tr>
            </w:sdtContent>
          </w:sdt>
          <w:sdt>
            <w:sdtPr>
              <w:rPr>
                <w:rFonts w:asciiTheme="minorEastAsia" w:eastAsiaTheme="minorEastAsia" w:hAnsiTheme="minorEastAsia"/>
                <w:kern w:val="2"/>
              </w:rPr>
              <w:alias w:val="采购商品接受劳务情况明细"/>
              <w:tag w:val="_TUP_6a1f8fb777604032986c4beda62c76c1"/>
              <w:id w:val="242605081"/>
              <w:lock w:val="sdtLocked"/>
            </w:sdtPr>
            <w:sdtEndPr/>
            <w:sdtContent>
              <w:tr w:rsidR="007E7472" w14:paraId="23641B05" w14:textId="77777777" w:rsidTr="007E7472">
                <w:trPr>
                  <w:cantSplit/>
                  <w:trHeight w:val="340"/>
                </w:trPr>
                <w:tc>
                  <w:tcPr>
                    <w:tcW w:w="948" w:type="pct"/>
                    <w:tcBorders>
                      <w:top w:val="single" w:sz="4" w:space="0" w:color="auto"/>
                      <w:left w:val="single" w:sz="4" w:space="0" w:color="auto"/>
                      <w:bottom w:val="single" w:sz="4" w:space="0" w:color="auto"/>
                      <w:right w:val="single" w:sz="4" w:space="0" w:color="auto"/>
                    </w:tcBorders>
                    <w:shd w:val="clear" w:color="auto" w:fill="auto"/>
                    <w:vAlign w:val="center"/>
                  </w:tcPr>
                  <w:p w14:paraId="52B42C8B" w14:textId="77777777" w:rsidR="007E7472" w:rsidRDefault="00EC1269">
                    <w:pPr>
                      <w:jc w:val="both"/>
                      <w:rPr>
                        <w:rFonts w:asciiTheme="minorEastAsia" w:eastAsiaTheme="minorEastAsia" w:hAnsiTheme="minorEastAsia"/>
                      </w:rPr>
                    </w:pPr>
                    <w:r>
                      <w:rPr>
                        <w:rFonts w:asciiTheme="minorEastAsia" w:eastAsiaTheme="minorEastAsia" w:hAnsiTheme="minorEastAsia" w:hint="eastAsia"/>
                      </w:rPr>
                      <w:t>联营企业</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651DB247" w14:textId="77777777" w:rsidR="007E7472" w:rsidRDefault="00EC1269">
                    <w:pPr>
                      <w:jc w:val="both"/>
                      <w:rPr>
                        <w:rFonts w:asciiTheme="minorEastAsia" w:eastAsiaTheme="minorEastAsia" w:hAnsiTheme="minorEastAsia"/>
                      </w:rPr>
                    </w:pPr>
                    <w:r>
                      <w:rPr>
                        <w:rFonts w:asciiTheme="minorEastAsia" w:eastAsiaTheme="minorEastAsia" w:hAnsiTheme="minorEastAsia" w:hint="eastAsia"/>
                      </w:rPr>
                      <w:t>采购商品</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14:paraId="3F4D2935" w14:textId="77777777" w:rsidR="007E7472" w:rsidRDefault="00EC1269">
                    <w:pPr>
                      <w:jc w:val="right"/>
                      <w:rPr>
                        <w:rFonts w:asciiTheme="minorEastAsia" w:eastAsiaTheme="minorEastAsia" w:hAnsiTheme="minorEastAsia"/>
                      </w:rPr>
                    </w:pPr>
                    <w:r>
                      <w:rPr>
                        <w:rFonts w:asciiTheme="minorEastAsia" w:eastAsiaTheme="minorEastAsia" w:hAnsiTheme="minorEastAsia"/>
                      </w:rPr>
                      <w:t>39,689</w:t>
                    </w:r>
                  </w:p>
                </w:tc>
                <w:tc>
                  <w:tcPr>
                    <w:tcW w:w="693" w:type="pct"/>
                    <w:tcBorders>
                      <w:top w:val="single" w:sz="4" w:space="0" w:color="auto"/>
                      <w:left w:val="single" w:sz="4" w:space="0" w:color="auto"/>
                      <w:bottom w:val="single" w:sz="4" w:space="0" w:color="auto"/>
                      <w:right w:val="single" w:sz="4" w:space="0" w:color="auto"/>
                    </w:tcBorders>
                    <w:vAlign w:val="center"/>
                  </w:tcPr>
                  <w:p w14:paraId="0E32A0D0" w14:textId="77777777" w:rsidR="007E7472" w:rsidRDefault="00C8327E">
                    <w:pPr>
                      <w:jc w:val="right"/>
                      <w:rPr>
                        <w:rFonts w:asciiTheme="minorEastAsia" w:eastAsiaTheme="minorEastAsia" w:hAnsiTheme="minorEastAsia"/>
                      </w:rPr>
                    </w:pPr>
                  </w:p>
                </w:tc>
                <w:sdt>
                  <w:sdtPr>
                    <w:rPr>
                      <w:rFonts w:asciiTheme="minorEastAsia" w:hAnsiTheme="minorEastAsia"/>
                    </w:rPr>
                    <w:alias w:val="采购商品接受劳务情况明细-是否超过交易额度"/>
                    <w:tag w:val="_GBC_8948407543bf4b9e8a27ff07478d8950"/>
                    <w:id w:val="824477137"/>
                    <w:lock w:val="sdtLocked"/>
                    <w:showingPlcHdr/>
                    <w:comboBox>
                      <w:listItem w:displayText="是" w:value="是"/>
                      <w:listItem w:displayText="否" w:value="否"/>
                    </w:comboBox>
                  </w:sdtPr>
                  <w:sdtEndPr/>
                  <w:sdtContent>
                    <w:tc>
                      <w:tcPr>
                        <w:tcW w:w="708" w:type="pct"/>
                        <w:tcBorders>
                          <w:top w:val="single" w:sz="4" w:space="0" w:color="auto"/>
                          <w:left w:val="single" w:sz="4" w:space="0" w:color="auto"/>
                          <w:bottom w:val="single" w:sz="4" w:space="0" w:color="auto"/>
                          <w:right w:val="single" w:sz="4" w:space="0" w:color="auto"/>
                        </w:tcBorders>
                        <w:vAlign w:val="center"/>
                      </w:tcPr>
                      <w:p w14:paraId="474FF4C6" w14:textId="77777777" w:rsidR="007E7472" w:rsidRDefault="00EC1269">
                        <w:pPr>
                          <w:jc w:val="center"/>
                          <w:rPr>
                            <w:rFonts w:asciiTheme="minorEastAsia" w:eastAsiaTheme="minorEastAsia" w:hAnsiTheme="minorEastAsia"/>
                          </w:rPr>
                        </w:pPr>
                        <w:r>
                          <w:rPr>
                            <w:rFonts w:asciiTheme="minorEastAsia" w:eastAsiaTheme="minorEastAsia" w:hAnsiTheme="minorEastAsia" w:hint="eastAsia"/>
                          </w:rPr>
                          <w:t xml:space="preserve">　</w:t>
                        </w:r>
                      </w:p>
                    </w:tc>
                  </w:sdtContent>
                </w:sdt>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16E2605" w14:textId="77777777" w:rsidR="007E7472" w:rsidRDefault="00EC1269">
                    <w:pPr>
                      <w:jc w:val="right"/>
                      <w:rPr>
                        <w:rFonts w:asciiTheme="minorEastAsia" w:eastAsiaTheme="minorEastAsia" w:hAnsiTheme="minorEastAsia"/>
                      </w:rPr>
                    </w:pPr>
                    <w:r>
                      <w:rPr>
                        <w:rFonts w:asciiTheme="minorEastAsia" w:eastAsiaTheme="minorEastAsia" w:hAnsiTheme="minorEastAsia"/>
                      </w:rPr>
                      <w:t>70,706</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14:paraId="59B582B4" w14:textId="77777777" w:rsidR="007E7472" w:rsidRDefault="00C8327E">
                    <w:pPr>
                      <w:jc w:val="right"/>
                      <w:rPr>
                        <w:rFonts w:asciiTheme="minorEastAsia" w:eastAsiaTheme="minorEastAsia" w:hAnsiTheme="minorEastAsia"/>
                      </w:rPr>
                    </w:pPr>
                  </w:p>
                </w:tc>
              </w:tr>
            </w:sdtContent>
          </w:sdt>
          <w:sdt>
            <w:sdtPr>
              <w:rPr>
                <w:rFonts w:asciiTheme="minorEastAsia" w:eastAsiaTheme="minorEastAsia" w:hAnsiTheme="minorEastAsia"/>
                <w:kern w:val="2"/>
              </w:rPr>
              <w:alias w:val="采购商品接受劳务情况明细"/>
              <w:tag w:val="_TUP_6a1f8fb777604032986c4beda62c76c1"/>
              <w:id w:val="316069135"/>
              <w:lock w:val="sdtLocked"/>
            </w:sdtPr>
            <w:sdtEndPr/>
            <w:sdtContent>
              <w:tr w:rsidR="007E7472" w14:paraId="5C690954" w14:textId="77777777" w:rsidTr="007E7472">
                <w:trPr>
                  <w:cantSplit/>
                  <w:trHeight w:val="340"/>
                </w:trPr>
                <w:tc>
                  <w:tcPr>
                    <w:tcW w:w="948" w:type="pct"/>
                    <w:tcBorders>
                      <w:top w:val="single" w:sz="4" w:space="0" w:color="auto"/>
                      <w:left w:val="single" w:sz="4" w:space="0" w:color="auto"/>
                      <w:bottom w:val="single" w:sz="4" w:space="0" w:color="auto"/>
                      <w:right w:val="single" w:sz="4" w:space="0" w:color="auto"/>
                    </w:tcBorders>
                    <w:shd w:val="clear" w:color="auto" w:fill="auto"/>
                    <w:vAlign w:val="center"/>
                  </w:tcPr>
                  <w:p w14:paraId="526D4A4F" w14:textId="77777777" w:rsidR="007E7472" w:rsidRDefault="00EC1269">
                    <w:pPr>
                      <w:jc w:val="both"/>
                      <w:rPr>
                        <w:rFonts w:asciiTheme="minorEastAsia" w:eastAsiaTheme="minorEastAsia" w:hAnsiTheme="minorEastAsia"/>
                      </w:rPr>
                    </w:pPr>
                    <w:r>
                      <w:rPr>
                        <w:rFonts w:asciiTheme="minorEastAsia" w:eastAsiaTheme="minorEastAsia" w:hAnsiTheme="minorEastAsia" w:hint="eastAsia"/>
                      </w:rPr>
                      <w:t>其他关联方</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45C89B14" w14:textId="77777777" w:rsidR="007E7472" w:rsidRDefault="00EC1269">
                    <w:pPr>
                      <w:jc w:val="both"/>
                      <w:rPr>
                        <w:rFonts w:asciiTheme="minorEastAsia" w:eastAsiaTheme="minorEastAsia" w:hAnsiTheme="minorEastAsia"/>
                      </w:rPr>
                    </w:pPr>
                    <w:r>
                      <w:rPr>
                        <w:rFonts w:asciiTheme="minorEastAsia" w:eastAsiaTheme="minorEastAsia" w:hAnsiTheme="minorEastAsia" w:hint="eastAsia"/>
                      </w:rPr>
                      <w:t>采购商品</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14:paraId="3BF23B10" w14:textId="77777777" w:rsidR="007E7472" w:rsidRDefault="00EC1269">
                    <w:pPr>
                      <w:jc w:val="right"/>
                      <w:rPr>
                        <w:rFonts w:asciiTheme="minorEastAsia" w:eastAsiaTheme="minorEastAsia" w:hAnsiTheme="minorEastAsia"/>
                      </w:rPr>
                    </w:pPr>
                    <w:r>
                      <w:rPr>
                        <w:rFonts w:asciiTheme="minorEastAsia" w:eastAsiaTheme="minorEastAsia" w:hAnsiTheme="minorEastAsia"/>
                      </w:rPr>
                      <w:t>3,733,331</w:t>
                    </w:r>
                  </w:p>
                </w:tc>
                <w:tc>
                  <w:tcPr>
                    <w:tcW w:w="693" w:type="pct"/>
                    <w:tcBorders>
                      <w:top w:val="single" w:sz="4" w:space="0" w:color="auto"/>
                      <w:left w:val="single" w:sz="4" w:space="0" w:color="auto"/>
                      <w:bottom w:val="single" w:sz="4" w:space="0" w:color="auto"/>
                      <w:right w:val="single" w:sz="4" w:space="0" w:color="auto"/>
                    </w:tcBorders>
                    <w:vAlign w:val="center"/>
                  </w:tcPr>
                  <w:p w14:paraId="56D0A4C3" w14:textId="77777777" w:rsidR="007E7472" w:rsidRDefault="00C8327E">
                    <w:pPr>
                      <w:jc w:val="right"/>
                      <w:rPr>
                        <w:rFonts w:asciiTheme="minorEastAsia" w:eastAsiaTheme="minorEastAsia" w:hAnsiTheme="minorEastAsia"/>
                      </w:rPr>
                    </w:pPr>
                  </w:p>
                </w:tc>
                <w:sdt>
                  <w:sdtPr>
                    <w:rPr>
                      <w:rFonts w:asciiTheme="minorEastAsia" w:hAnsiTheme="minorEastAsia"/>
                    </w:rPr>
                    <w:alias w:val="采购商品接受劳务情况明细-是否超过交易额度"/>
                    <w:tag w:val="_GBC_8948407543bf4b9e8a27ff07478d8950"/>
                    <w:id w:val="432019803"/>
                    <w:lock w:val="sdtLocked"/>
                    <w:showingPlcHdr/>
                    <w:comboBox>
                      <w:listItem w:displayText="是" w:value="是"/>
                      <w:listItem w:displayText="否" w:value="否"/>
                    </w:comboBox>
                  </w:sdtPr>
                  <w:sdtEndPr/>
                  <w:sdtContent>
                    <w:tc>
                      <w:tcPr>
                        <w:tcW w:w="708" w:type="pct"/>
                        <w:tcBorders>
                          <w:top w:val="single" w:sz="4" w:space="0" w:color="auto"/>
                          <w:left w:val="single" w:sz="4" w:space="0" w:color="auto"/>
                          <w:bottom w:val="single" w:sz="4" w:space="0" w:color="auto"/>
                          <w:right w:val="single" w:sz="4" w:space="0" w:color="auto"/>
                        </w:tcBorders>
                        <w:vAlign w:val="center"/>
                      </w:tcPr>
                      <w:p w14:paraId="1D4D9F6A" w14:textId="77777777" w:rsidR="007E7472" w:rsidRDefault="00EC1269">
                        <w:pPr>
                          <w:jc w:val="center"/>
                          <w:rPr>
                            <w:rFonts w:asciiTheme="minorEastAsia" w:eastAsiaTheme="minorEastAsia" w:hAnsiTheme="minorEastAsia"/>
                          </w:rPr>
                        </w:pPr>
                        <w:r>
                          <w:rPr>
                            <w:rFonts w:asciiTheme="minorEastAsia" w:eastAsiaTheme="minorEastAsia" w:hAnsiTheme="minorEastAsia" w:hint="eastAsia"/>
                          </w:rPr>
                          <w:t xml:space="preserve">　</w:t>
                        </w:r>
                      </w:p>
                    </w:tc>
                  </w:sdtContent>
                </w:sdt>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45E95F6D" w14:textId="77777777" w:rsidR="007E7472" w:rsidRDefault="00EC1269">
                    <w:pPr>
                      <w:jc w:val="right"/>
                      <w:rPr>
                        <w:rFonts w:asciiTheme="minorEastAsia" w:eastAsiaTheme="minorEastAsia" w:hAnsiTheme="minorEastAsia"/>
                      </w:rPr>
                    </w:pPr>
                    <w:r>
                      <w:rPr>
                        <w:rFonts w:asciiTheme="minorEastAsia" w:eastAsiaTheme="minorEastAsia" w:hAnsiTheme="minorEastAsia"/>
                      </w:rPr>
                      <w:t>512,663</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14:paraId="24FEC219" w14:textId="77777777" w:rsidR="007E7472" w:rsidRDefault="00C8327E">
                    <w:pPr>
                      <w:jc w:val="right"/>
                      <w:rPr>
                        <w:rFonts w:asciiTheme="minorEastAsia" w:eastAsiaTheme="minorEastAsia" w:hAnsiTheme="minorEastAsia"/>
                      </w:rPr>
                    </w:pPr>
                  </w:p>
                </w:tc>
              </w:tr>
            </w:sdtContent>
          </w:sdt>
          <w:sdt>
            <w:sdtPr>
              <w:rPr>
                <w:rFonts w:asciiTheme="minorEastAsia" w:eastAsiaTheme="minorEastAsia" w:hAnsiTheme="minorEastAsia"/>
                <w:kern w:val="2"/>
              </w:rPr>
              <w:alias w:val="采购商品接受劳务情况明细"/>
              <w:tag w:val="_TUP_6a1f8fb777604032986c4beda62c76c1"/>
              <w:id w:val="-1116513025"/>
              <w:lock w:val="sdtLocked"/>
            </w:sdtPr>
            <w:sdtEndPr/>
            <w:sdtContent>
              <w:tr w:rsidR="007E7472" w14:paraId="0A3CB8A9" w14:textId="77777777" w:rsidTr="007E7472">
                <w:trPr>
                  <w:cantSplit/>
                  <w:trHeight w:val="340"/>
                </w:trPr>
                <w:tc>
                  <w:tcPr>
                    <w:tcW w:w="948" w:type="pct"/>
                    <w:tcBorders>
                      <w:top w:val="single" w:sz="4" w:space="0" w:color="auto"/>
                      <w:left w:val="single" w:sz="4" w:space="0" w:color="auto"/>
                      <w:bottom w:val="single" w:sz="4" w:space="0" w:color="auto"/>
                      <w:right w:val="single" w:sz="4" w:space="0" w:color="auto"/>
                    </w:tcBorders>
                    <w:shd w:val="clear" w:color="auto" w:fill="auto"/>
                    <w:vAlign w:val="center"/>
                  </w:tcPr>
                  <w:p w14:paraId="4497C9F6" w14:textId="77777777" w:rsidR="007E7472" w:rsidRDefault="00EC1269">
                    <w:pPr>
                      <w:jc w:val="both"/>
                      <w:rPr>
                        <w:rFonts w:asciiTheme="minorEastAsia" w:eastAsiaTheme="minorEastAsia" w:hAnsiTheme="minorEastAsia"/>
                      </w:rPr>
                    </w:pPr>
                    <w:r>
                      <w:rPr>
                        <w:rFonts w:asciiTheme="minorEastAsia" w:eastAsiaTheme="minorEastAsia" w:hAnsiTheme="minorEastAsia" w:hint="eastAsia"/>
                      </w:rPr>
                      <w:t>联营企业</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0E2BB22B" w14:textId="77777777" w:rsidR="007E7472" w:rsidRDefault="00EC1269">
                    <w:pPr>
                      <w:jc w:val="both"/>
                      <w:rPr>
                        <w:rFonts w:asciiTheme="minorEastAsia" w:eastAsiaTheme="minorEastAsia" w:hAnsiTheme="minorEastAsia"/>
                      </w:rPr>
                    </w:pPr>
                    <w:r>
                      <w:rPr>
                        <w:rFonts w:asciiTheme="minorEastAsia" w:eastAsiaTheme="minorEastAsia" w:hAnsiTheme="minorEastAsia" w:hint="eastAsia"/>
                      </w:rPr>
                      <w:t>接受劳务</w:t>
                    </w:r>
                    <w:r>
                      <w:rPr>
                        <w:rFonts w:asciiTheme="minorEastAsia" w:eastAsiaTheme="minorEastAsia" w:hAnsiTheme="minorEastAsia"/>
                      </w:rPr>
                      <w:t>-港口费</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14:paraId="3D5EE042" w14:textId="77777777" w:rsidR="007E7472" w:rsidRDefault="00EC1269">
                    <w:pPr>
                      <w:jc w:val="right"/>
                      <w:rPr>
                        <w:rFonts w:asciiTheme="minorEastAsia" w:eastAsiaTheme="minorEastAsia" w:hAnsiTheme="minorEastAsia"/>
                      </w:rPr>
                    </w:pPr>
                    <w:r>
                      <w:rPr>
                        <w:rFonts w:asciiTheme="minorEastAsia" w:eastAsiaTheme="minorEastAsia" w:hAnsiTheme="minorEastAsia"/>
                      </w:rPr>
                      <w:t>941,423</w:t>
                    </w:r>
                  </w:p>
                </w:tc>
                <w:tc>
                  <w:tcPr>
                    <w:tcW w:w="693" w:type="pct"/>
                    <w:tcBorders>
                      <w:top w:val="single" w:sz="4" w:space="0" w:color="auto"/>
                      <w:left w:val="single" w:sz="4" w:space="0" w:color="auto"/>
                      <w:bottom w:val="single" w:sz="4" w:space="0" w:color="auto"/>
                      <w:right w:val="single" w:sz="4" w:space="0" w:color="auto"/>
                    </w:tcBorders>
                    <w:vAlign w:val="center"/>
                  </w:tcPr>
                  <w:p w14:paraId="7BCE0623" w14:textId="77777777" w:rsidR="007E7472" w:rsidRDefault="00C8327E">
                    <w:pPr>
                      <w:jc w:val="right"/>
                      <w:rPr>
                        <w:rFonts w:asciiTheme="minorEastAsia" w:eastAsiaTheme="minorEastAsia" w:hAnsiTheme="minorEastAsia"/>
                      </w:rPr>
                    </w:pPr>
                  </w:p>
                </w:tc>
                <w:sdt>
                  <w:sdtPr>
                    <w:rPr>
                      <w:rFonts w:asciiTheme="minorEastAsia" w:hAnsiTheme="minorEastAsia"/>
                    </w:rPr>
                    <w:alias w:val="采购商品接受劳务情况明细-是否超过交易额度"/>
                    <w:tag w:val="_GBC_8948407543bf4b9e8a27ff07478d8950"/>
                    <w:id w:val="-76980841"/>
                    <w:lock w:val="sdtLocked"/>
                    <w:showingPlcHdr/>
                    <w:comboBox>
                      <w:listItem w:displayText="是" w:value="是"/>
                      <w:listItem w:displayText="否" w:value="否"/>
                    </w:comboBox>
                  </w:sdtPr>
                  <w:sdtEndPr/>
                  <w:sdtContent>
                    <w:tc>
                      <w:tcPr>
                        <w:tcW w:w="708" w:type="pct"/>
                        <w:tcBorders>
                          <w:top w:val="single" w:sz="4" w:space="0" w:color="auto"/>
                          <w:left w:val="single" w:sz="4" w:space="0" w:color="auto"/>
                          <w:bottom w:val="single" w:sz="4" w:space="0" w:color="auto"/>
                          <w:right w:val="single" w:sz="4" w:space="0" w:color="auto"/>
                        </w:tcBorders>
                        <w:vAlign w:val="center"/>
                      </w:tcPr>
                      <w:p w14:paraId="29CE5577" w14:textId="77777777" w:rsidR="007E7472" w:rsidRDefault="00EC1269">
                        <w:pPr>
                          <w:jc w:val="center"/>
                          <w:rPr>
                            <w:rFonts w:asciiTheme="minorEastAsia" w:eastAsiaTheme="minorEastAsia" w:hAnsiTheme="minorEastAsia"/>
                          </w:rPr>
                        </w:pPr>
                        <w:r>
                          <w:rPr>
                            <w:rFonts w:asciiTheme="minorEastAsia" w:eastAsiaTheme="minorEastAsia" w:hAnsiTheme="minorEastAsia" w:hint="eastAsia"/>
                          </w:rPr>
                          <w:t xml:space="preserve">　</w:t>
                        </w:r>
                      </w:p>
                    </w:tc>
                  </w:sdtContent>
                </w:sdt>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BB18DAB" w14:textId="77777777" w:rsidR="007E7472" w:rsidRDefault="00EC1269">
                    <w:pPr>
                      <w:jc w:val="right"/>
                      <w:rPr>
                        <w:rFonts w:asciiTheme="minorEastAsia" w:eastAsiaTheme="minorEastAsia" w:hAnsiTheme="minorEastAsia"/>
                      </w:rPr>
                    </w:pPr>
                    <w:r>
                      <w:rPr>
                        <w:rFonts w:asciiTheme="minorEastAsia" w:eastAsiaTheme="minorEastAsia" w:hAnsiTheme="minorEastAsia"/>
                      </w:rPr>
                      <w:t>537,499</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14:paraId="1594D85A" w14:textId="77777777" w:rsidR="007E7472" w:rsidRDefault="00C8327E">
                    <w:pPr>
                      <w:jc w:val="right"/>
                      <w:rPr>
                        <w:rFonts w:asciiTheme="minorEastAsia" w:eastAsiaTheme="minorEastAsia" w:hAnsiTheme="minorEastAsia"/>
                      </w:rPr>
                    </w:pPr>
                  </w:p>
                </w:tc>
              </w:tr>
            </w:sdtContent>
          </w:sdt>
          <w:sdt>
            <w:sdtPr>
              <w:rPr>
                <w:rFonts w:asciiTheme="minorEastAsia" w:eastAsiaTheme="minorEastAsia" w:hAnsiTheme="minorEastAsia"/>
                <w:kern w:val="2"/>
              </w:rPr>
              <w:alias w:val="采购商品接受劳务情况明细"/>
              <w:tag w:val="_TUP_6a1f8fb777604032986c4beda62c76c1"/>
              <w:id w:val="-509985723"/>
              <w:lock w:val="sdtLocked"/>
            </w:sdtPr>
            <w:sdtEndPr/>
            <w:sdtContent>
              <w:tr w:rsidR="007E7472" w14:paraId="4A8373D2" w14:textId="77777777" w:rsidTr="007E7472">
                <w:trPr>
                  <w:cantSplit/>
                  <w:trHeight w:val="340"/>
                </w:trPr>
                <w:tc>
                  <w:tcPr>
                    <w:tcW w:w="948" w:type="pct"/>
                    <w:tcBorders>
                      <w:top w:val="single" w:sz="4" w:space="0" w:color="auto"/>
                      <w:left w:val="single" w:sz="4" w:space="0" w:color="auto"/>
                      <w:bottom w:val="single" w:sz="4" w:space="0" w:color="auto"/>
                      <w:right w:val="single" w:sz="4" w:space="0" w:color="auto"/>
                    </w:tcBorders>
                    <w:shd w:val="clear" w:color="auto" w:fill="auto"/>
                    <w:vAlign w:val="center"/>
                  </w:tcPr>
                  <w:p w14:paraId="5684D534" w14:textId="77777777" w:rsidR="007E7472" w:rsidRDefault="00EC1269">
                    <w:pPr>
                      <w:jc w:val="both"/>
                      <w:rPr>
                        <w:rFonts w:asciiTheme="minorEastAsia" w:eastAsiaTheme="minorEastAsia" w:hAnsiTheme="minorEastAsia"/>
                      </w:rPr>
                    </w:pPr>
                    <w:r>
                      <w:rPr>
                        <w:rFonts w:asciiTheme="minorEastAsia" w:eastAsiaTheme="minorEastAsia" w:hAnsiTheme="minorEastAsia" w:hint="eastAsia"/>
                      </w:rPr>
                      <w:t>其他关联方</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40F4135E" w14:textId="77777777" w:rsidR="007E7472" w:rsidRDefault="00EC1269">
                    <w:pPr>
                      <w:jc w:val="both"/>
                      <w:rPr>
                        <w:rFonts w:asciiTheme="minorEastAsia" w:eastAsiaTheme="minorEastAsia" w:hAnsiTheme="minorEastAsia"/>
                      </w:rPr>
                    </w:pPr>
                    <w:r>
                      <w:rPr>
                        <w:rFonts w:asciiTheme="minorEastAsia" w:eastAsiaTheme="minorEastAsia" w:hAnsiTheme="minorEastAsia" w:hint="eastAsia"/>
                      </w:rPr>
                      <w:t>接受劳务</w:t>
                    </w:r>
                    <w:r>
                      <w:rPr>
                        <w:rFonts w:asciiTheme="minorEastAsia" w:eastAsiaTheme="minorEastAsia" w:hAnsiTheme="minorEastAsia"/>
                      </w:rPr>
                      <w:t>-行政管理费</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14:paraId="6E97D111" w14:textId="77777777" w:rsidR="007E7472" w:rsidRDefault="00EC1269">
                    <w:pPr>
                      <w:jc w:val="right"/>
                      <w:rPr>
                        <w:rFonts w:asciiTheme="minorEastAsia" w:eastAsiaTheme="minorEastAsia" w:hAnsiTheme="minorEastAsia"/>
                      </w:rPr>
                    </w:pPr>
                    <w:r>
                      <w:rPr>
                        <w:rFonts w:asciiTheme="minorEastAsia" w:eastAsiaTheme="minorEastAsia" w:hAnsiTheme="minorEastAsia"/>
                      </w:rPr>
                      <w:t>42,713</w:t>
                    </w:r>
                  </w:p>
                </w:tc>
                <w:tc>
                  <w:tcPr>
                    <w:tcW w:w="693" w:type="pct"/>
                    <w:tcBorders>
                      <w:top w:val="single" w:sz="4" w:space="0" w:color="auto"/>
                      <w:left w:val="single" w:sz="4" w:space="0" w:color="auto"/>
                      <w:bottom w:val="single" w:sz="4" w:space="0" w:color="auto"/>
                      <w:right w:val="single" w:sz="4" w:space="0" w:color="auto"/>
                    </w:tcBorders>
                    <w:vAlign w:val="center"/>
                  </w:tcPr>
                  <w:p w14:paraId="513C63CC" w14:textId="77777777" w:rsidR="007E7472" w:rsidRDefault="00C8327E">
                    <w:pPr>
                      <w:jc w:val="right"/>
                      <w:rPr>
                        <w:rFonts w:asciiTheme="minorEastAsia" w:eastAsiaTheme="minorEastAsia" w:hAnsiTheme="minorEastAsia"/>
                      </w:rPr>
                    </w:pPr>
                  </w:p>
                </w:tc>
                <w:sdt>
                  <w:sdtPr>
                    <w:rPr>
                      <w:rFonts w:asciiTheme="minorEastAsia" w:hAnsiTheme="minorEastAsia"/>
                    </w:rPr>
                    <w:alias w:val="采购商品接受劳务情况明细-是否超过交易额度"/>
                    <w:tag w:val="_GBC_8948407543bf4b9e8a27ff07478d8950"/>
                    <w:id w:val="-23946848"/>
                    <w:lock w:val="sdtLocked"/>
                    <w:showingPlcHdr/>
                    <w:comboBox>
                      <w:listItem w:displayText="是" w:value="是"/>
                      <w:listItem w:displayText="否" w:value="否"/>
                    </w:comboBox>
                  </w:sdtPr>
                  <w:sdtEndPr/>
                  <w:sdtContent>
                    <w:tc>
                      <w:tcPr>
                        <w:tcW w:w="708" w:type="pct"/>
                        <w:tcBorders>
                          <w:top w:val="single" w:sz="4" w:space="0" w:color="auto"/>
                          <w:left w:val="single" w:sz="4" w:space="0" w:color="auto"/>
                          <w:bottom w:val="single" w:sz="4" w:space="0" w:color="auto"/>
                          <w:right w:val="single" w:sz="4" w:space="0" w:color="auto"/>
                        </w:tcBorders>
                        <w:vAlign w:val="center"/>
                      </w:tcPr>
                      <w:p w14:paraId="14CD753C" w14:textId="77777777" w:rsidR="007E7472" w:rsidRDefault="00EC1269">
                        <w:pPr>
                          <w:jc w:val="center"/>
                          <w:rPr>
                            <w:rFonts w:asciiTheme="minorEastAsia" w:eastAsiaTheme="minorEastAsia" w:hAnsiTheme="minorEastAsia"/>
                          </w:rPr>
                        </w:pPr>
                        <w:r>
                          <w:rPr>
                            <w:rFonts w:asciiTheme="minorEastAsia" w:eastAsiaTheme="minorEastAsia" w:hAnsiTheme="minorEastAsia" w:hint="eastAsia"/>
                          </w:rPr>
                          <w:t xml:space="preserve">　</w:t>
                        </w:r>
                      </w:p>
                    </w:tc>
                  </w:sdtContent>
                </w:sdt>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29173665" w14:textId="77777777" w:rsidR="007E7472" w:rsidRDefault="00EC1269">
                    <w:pPr>
                      <w:jc w:val="right"/>
                      <w:rPr>
                        <w:rFonts w:asciiTheme="minorEastAsia" w:eastAsiaTheme="minorEastAsia" w:hAnsiTheme="minorEastAsia"/>
                      </w:rPr>
                    </w:pPr>
                    <w:r>
                      <w:rPr>
                        <w:rFonts w:asciiTheme="minorEastAsia" w:eastAsiaTheme="minorEastAsia" w:hAnsiTheme="minorEastAsia"/>
                      </w:rPr>
                      <w:t>38,215</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14:paraId="7A8E91FC" w14:textId="77777777" w:rsidR="007E7472" w:rsidRDefault="00C8327E">
                    <w:pPr>
                      <w:jc w:val="right"/>
                      <w:rPr>
                        <w:rFonts w:asciiTheme="minorEastAsia" w:eastAsiaTheme="minorEastAsia" w:hAnsiTheme="minorEastAsia"/>
                      </w:rPr>
                    </w:pPr>
                  </w:p>
                </w:tc>
              </w:tr>
            </w:sdtContent>
          </w:sdt>
          <w:sdt>
            <w:sdtPr>
              <w:rPr>
                <w:rFonts w:asciiTheme="minorEastAsia" w:eastAsiaTheme="minorEastAsia" w:hAnsiTheme="minorEastAsia"/>
                <w:kern w:val="2"/>
              </w:rPr>
              <w:alias w:val="采购商品接受劳务情况明细"/>
              <w:tag w:val="_TUP_6a1f8fb777604032986c4beda62c76c1"/>
              <w:id w:val="18362823"/>
              <w:lock w:val="sdtLocked"/>
            </w:sdtPr>
            <w:sdtEndPr/>
            <w:sdtContent>
              <w:tr w:rsidR="007E7472" w14:paraId="0B777AE4" w14:textId="77777777" w:rsidTr="007E7472">
                <w:trPr>
                  <w:cantSplit/>
                  <w:trHeight w:val="340"/>
                </w:trPr>
                <w:tc>
                  <w:tcPr>
                    <w:tcW w:w="948" w:type="pct"/>
                    <w:tcBorders>
                      <w:top w:val="single" w:sz="4" w:space="0" w:color="auto"/>
                      <w:left w:val="single" w:sz="4" w:space="0" w:color="auto"/>
                      <w:bottom w:val="single" w:sz="4" w:space="0" w:color="auto"/>
                      <w:right w:val="single" w:sz="4" w:space="0" w:color="auto"/>
                    </w:tcBorders>
                    <w:shd w:val="clear" w:color="auto" w:fill="auto"/>
                    <w:vAlign w:val="center"/>
                  </w:tcPr>
                  <w:p w14:paraId="2FFF221F" w14:textId="77777777" w:rsidR="007E7472" w:rsidRDefault="00EC1269">
                    <w:pPr>
                      <w:jc w:val="both"/>
                      <w:rPr>
                        <w:rFonts w:asciiTheme="minorEastAsia" w:eastAsiaTheme="minorEastAsia" w:hAnsiTheme="minorEastAsia"/>
                      </w:rPr>
                    </w:pPr>
                    <w:r>
                      <w:rPr>
                        <w:rFonts w:asciiTheme="minorEastAsia" w:eastAsiaTheme="minorEastAsia" w:hAnsiTheme="minorEastAsia" w:hint="eastAsia"/>
                      </w:rPr>
                      <w:t>联营企业</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69CCC924" w14:textId="77777777" w:rsidR="007E7472" w:rsidRDefault="00EC1269">
                    <w:pPr>
                      <w:jc w:val="both"/>
                      <w:rPr>
                        <w:rFonts w:asciiTheme="minorEastAsia" w:eastAsiaTheme="minorEastAsia" w:hAnsiTheme="minorEastAsia"/>
                      </w:rPr>
                    </w:pPr>
                    <w:r>
                      <w:rPr>
                        <w:rFonts w:asciiTheme="minorEastAsia" w:eastAsiaTheme="minorEastAsia" w:hAnsiTheme="minorEastAsia" w:hint="eastAsia"/>
                      </w:rPr>
                      <w:t>融资服务</w:t>
                    </w:r>
                    <w:r>
                      <w:rPr>
                        <w:rFonts w:asciiTheme="minorEastAsia" w:eastAsiaTheme="minorEastAsia" w:hAnsiTheme="minorEastAsia"/>
                      </w:rPr>
                      <w:t>-利息支出</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14:paraId="704D47A9" w14:textId="77777777" w:rsidR="007E7472" w:rsidRDefault="00C8327E">
                    <w:pPr>
                      <w:jc w:val="right"/>
                      <w:rPr>
                        <w:rFonts w:asciiTheme="minorEastAsia" w:eastAsiaTheme="minorEastAsia" w:hAnsiTheme="minorEastAsia"/>
                      </w:rPr>
                    </w:pPr>
                  </w:p>
                </w:tc>
                <w:tc>
                  <w:tcPr>
                    <w:tcW w:w="693" w:type="pct"/>
                    <w:tcBorders>
                      <w:top w:val="single" w:sz="4" w:space="0" w:color="auto"/>
                      <w:left w:val="single" w:sz="4" w:space="0" w:color="auto"/>
                      <w:bottom w:val="single" w:sz="4" w:space="0" w:color="auto"/>
                      <w:right w:val="single" w:sz="4" w:space="0" w:color="auto"/>
                    </w:tcBorders>
                    <w:vAlign w:val="center"/>
                  </w:tcPr>
                  <w:p w14:paraId="5FC31993" w14:textId="77777777" w:rsidR="007E7472" w:rsidRDefault="00C8327E">
                    <w:pPr>
                      <w:jc w:val="right"/>
                      <w:rPr>
                        <w:rFonts w:asciiTheme="minorEastAsia" w:eastAsiaTheme="minorEastAsia" w:hAnsiTheme="minorEastAsia"/>
                      </w:rPr>
                    </w:pPr>
                  </w:p>
                </w:tc>
                <w:sdt>
                  <w:sdtPr>
                    <w:rPr>
                      <w:rFonts w:asciiTheme="minorEastAsia" w:hAnsiTheme="minorEastAsia"/>
                    </w:rPr>
                    <w:alias w:val="采购商品接受劳务情况明细-是否超过交易额度"/>
                    <w:tag w:val="_GBC_8948407543bf4b9e8a27ff07478d8950"/>
                    <w:id w:val="-2025937112"/>
                    <w:lock w:val="sdtLocked"/>
                    <w:showingPlcHdr/>
                    <w:comboBox>
                      <w:listItem w:displayText="是" w:value="是"/>
                      <w:listItem w:displayText="否" w:value="否"/>
                    </w:comboBox>
                  </w:sdtPr>
                  <w:sdtEndPr/>
                  <w:sdtContent>
                    <w:tc>
                      <w:tcPr>
                        <w:tcW w:w="708" w:type="pct"/>
                        <w:tcBorders>
                          <w:top w:val="single" w:sz="4" w:space="0" w:color="auto"/>
                          <w:left w:val="single" w:sz="4" w:space="0" w:color="auto"/>
                          <w:bottom w:val="single" w:sz="4" w:space="0" w:color="auto"/>
                          <w:right w:val="single" w:sz="4" w:space="0" w:color="auto"/>
                        </w:tcBorders>
                        <w:vAlign w:val="center"/>
                      </w:tcPr>
                      <w:p w14:paraId="5AB90DEB" w14:textId="77777777" w:rsidR="007E7472" w:rsidRDefault="00EC1269">
                        <w:pPr>
                          <w:jc w:val="center"/>
                          <w:rPr>
                            <w:rFonts w:asciiTheme="minorEastAsia" w:eastAsiaTheme="minorEastAsia" w:hAnsiTheme="minorEastAsia"/>
                          </w:rPr>
                        </w:pPr>
                        <w:r>
                          <w:rPr>
                            <w:rFonts w:asciiTheme="minorEastAsia" w:eastAsiaTheme="minorEastAsia" w:hAnsiTheme="minorEastAsia" w:hint="eastAsia"/>
                          </w:rPr>
                          <w:t xml:space="preserve">　</w:t>
                        </w:r>
                      </w:p>
                    </w:tc>
                  </w:sdtContent>
                </w:sdt>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0857D155" w14:textId="77777777" w:rsidR="007E7472" w:rsidRDefault="00EC1269">
                    <w:pPr>
                      <w:jc w:val="right"/>
                      <w:rPr>
                        <w:rFonts w:asciiTheme="minorEastAsia" w:eastAsiaTheme="minorEastAsia" w:hAnsiTheme="minorEastAsia"/>
                      </w:rPr>
                    </w:pPr>
                    <w:r>
                      <w:rPr>
                        <w:rFonts w:asciiTheme="minorEastAsia" w:eastAsiaTheme="minorEastAsia" w:hAnsiTheme="minorEastAsia"/>
                      </w:rPr>
                      <w:t>224</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14:paraId="2C065F01" w14:textId="77777777" w:rsidR="007E7472" w:rsidRDefault="00C8327E">
                    <w:pPr>
                      <w:jc w:val="right"/>
                      <w:rPr>
                        <w:rFonts w:asciiTheme="minorEastAsia" w:eastAsiaTheme="minorEastAsia" w:hAnsiTheme="minorEastAsia"/>
                      </w:rPr>
                    </w:pPr>
                  </w:p>
                </w:tc>
              </w:tr>
            </w:sdtContent>
          </w:sdt>
          <w:sdt>
            <w:sdtPr>
              <w:rPr>
                <w:rFonts w:asciiTheme="minorEastAsia" w:eastAsiaTheme="minorEastAsia" w:hAnsiTheme="minorEastAsia"/>
                <w:kern w:val="2"/>
              </w:rPr>
              <w:alias w:val="采购商品接受劳务情况明细"/>
              <w:tag w:val="_TUP_6a1f8fb777604032986c4beda62c76c1"/>
              <w:id w:val="-491634691"/>
              <w:lock w:val="sdtLocked"/>
            </w:sdtPr>
            <w:sdtEndPr/>
            <w:sdtContent>
              <w:tr w:rsidR="007E7472" w14:paraId="4696CADA" w14:textId="77777777" w:rsidTr="007E7472">
                <w:trPr>
                  <w:cantSplit/>
                  <w:trHeight w:val="340"/>
                </w:trPr>
                <w:tc>
                  <w:tcPr>
                    <w:tcW w:w="948" w:type="pct"/>
                    <w:tcBorders>
                      <w:top w:val="single" w:sz="4" w:space="0" w:color="auto"/>
                      <w:left w:val="single" w:sz="4" w:space="0" w:color="auto"/>
                      <w:bottom w:val="single" w:sz="4" w:space="0" w:color="auto"/>
                      <w:right w:val="single" w:sz="4" w:space="0" w:color="auto"/>
                    </w:tcBorders>
                    <w:shd w:val="clear" w:color="auto" w:fill="auto"/>
                    <w:vAlign w:val="center"/>
                  </w:tcPr>
                  <w:p w14:paraId="01B221EC" w14:textId="77777777" w:rsidR="007E7472" w:rsidRDefault="00EC1269">
                    <w:pPr>
                      <w:rPr>
                        <w:rFonts w:asciiTheme="minorEastAsia" w:eastAsiaTheme="minorEastAsia" w:hAnsiTheme="minorEastAsia"/>
                      </w:rPr>
                    </w:pPr>
                    <w:r>
                      <w:rPr>
                        <w:rFonts w:asciiTheme="minorEastAsia" w:eastAsiaTheme="minorEastAsia" w:hAnsiTheme="minorEastAsia" w:hint="eastAsia"/>
                      </w:rPr>
                      <w:t>合计</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14:paraId="29CC0AD7" w14:textId="77777777" w:rsidR="007E7472" w:rsidRDefault="00C8327E">
                    <w:pPr>
                      <w:rPr>
                        <w:rFonts w:asciiTheme="minorEastAsia" w:eastAsiaTheme="minorEastAsia" w:hAnsiTheme="minorEastAsia"/>
                      </w:rPr>
                    </w:pP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14:paraId="13C8A51D" w14:textId="77777777" w:rsidR="007E7472" w:rsidRDefault="00EC1269">
                    <w:pPr>
                      <w:jc w:val="right"/>
                      <w:rPr>
                        <w:rFonts w:asciiTheme="minorEastAsia" w:eastAsiaTheme="minorEastAsia" w:hAnsiTheme="minorEastAsia"/>
                      </w:rPr>
                    </w:pPr>
                    <w:r>
                      <w:rPr>
                        <w:rFonts w:asciiTheme="minorEastAsia" w:eastAsiaTheme="minorEastAsia" w:hAnsiTheme="minorEastAsia"/>
                      </w:rPr>
                      <w:t>5,903,074</w:t>
                    </w:r>
                  </w:p>
                </w:tc>
                <w:tc>
                  <w:tcPr>
                    <w:tcW w:w="693" w:type="pct"/>
                    <w:tcBorders>
                      <w:top w:val="single" w:sz="4" w:space="0" w:color="auto"/>
                      <w:left w:val="single" w:sz="4" w:space="0" w:color="auto"/>
                      <w:bottom w:val="single" w:sz="4" w:space="0" w:color="auto"/>
                      <w:right w:val="single" w:sz="4" w:space="0" w:color="auto"/>
                    </w:tcBorders>
                    <w:vAlign w:val="center"/>
                  </w:tcPr>
                  <w:p w14:paraId="13730D33" w14:textId="77777777" w:rsidR="007E7472" w:rsidRDefault="00EC1269">
                    <w:pPr>
                      <w:jc w:val="right"/>
                      <w:rPr>
                        <w:rFonts w:asciiTheme="minorEastAsia" w:eastAsiaTheme="minorEastAsia" w:hAnsiTheme="minorEastAsia"/>
                      </w:rPr>
                    </w:pPr>
                    <w:r>
                      <w:rPr>
                        <w:rFonts w:asciiTheme="minorEastAsia" w:eastAsiaTheme="minorEastAsia" w:hAnsiTheme="minorEastAsia"/>
                      </w:rPr>
                      <w:t>7,350,000</w:t>
                    </w:r>
                  </w:p>
                </w:tc>
                <w:sdt>
                  <w:sdtPr>
                    <w:rPr>
                      <w:rFonts w:asciiTheme="minorEastAsia" w:hAnsiTheme="minorEastAsia"/>
                    </w:rPr>
                    <w:alias w:val="采购商品接受劳务情况明细-是否超过交易额度"/>
                    <w:tag w:val="_GBC_8948407543bf4b9e8a27ff07478d8950"/>
                    <w:id w:val="-340395262"/>
                    <w:lock w:val="sdtLocked"/>
                    <w:showingPlcHdr/>
                    <w:comboBox>
                      <w:listItem w:displayText="是" w:value="是"/>
                      <w:listItem w:displayText="否" w:value="否"/>
                    </w:comboBox>
                  </w:sdtPr>
                  <w:sdtEndPr/>
                  <w:sdtContent>
                    <w:tc>
                      <w:tcPr>
                        <w:tcW w:w="708" w:type="pct"/>
                        <w:tcBorders>
                          <w:top w:val="single" w:sz="4" w:space="0" w:color="auto"/>
                          <w:left w:val="single" w:sz="4" w:space="0" w:color="auto"/>
                          <w:bottom w:val="single" w:sz="4" w:space="0" w:color="auto"/>
                          <w:right w:val="single" w:sz="4" w:space="0" w:color="auto"/>
                        </w:tcBorders>
                        <w:vAlign w:val="center"/>
                      </w:tcPr>
                      <w:p w14:paraId="3FCE11D4" w14:textId="77777777" w:rsidR="007E7472" w:rsidRDefault="00EC1269">
                        <w:pPr>
                          <w:jc w:val="center"/>
                          <w:rPr>
                            <w:rFonts w:asciiTheme="minorEastAsia" w:eastAsiaTheme="minorEastAsia" w:hAnsiTheme="minorEastAsia"/>
                          </w:rPr>
                        </w:pPr>
                        <w:r>
                          <w:rPr>
                            <w:rFonts w:asciiTheme="minorEastAsia" w:eastAsiaTheme="minorEastAsia" w:hAnsiTheme="minorEastAsia" w:hint="eastAsia"/>
                          </w:rPr>
                          <w:t xml:space="preserve">　</w:t>
                        </w:r>
                      </w:p>
                    </w:tc>
                  </w:sdtContent>
                </w:sdt>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F8EC39C" w14:textId="77777777" w:rsidR="007E7472" w:rsidRDefault="00EC1269">
                    <w:pPr>
                      <w:jc w:val="right"/>
                      <w:rPr>
                        <w:rFonts w:asciiTheme="minorEastAsia" w:eastAsiaTheme="minorEastAsia" w:hAnsiTheme="minorEastAsia"/>
                      </w:rPr>
                    </w:pPr>
                    <w:r>
                      <w:rPr>
                        <w:rFonts w:asciiTheme="minorEastAsia" w:eastAsiaTheme="minorEastAsia" w:hAnsiTheme="minorEastAsia"/>
                      </w:rPr>
                      <w:t>2,514,012</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14:paraId="02F33076" w14:textId="77777777" w:rsidR="007E7472" w:rsidRDefault="00C8327E">
                    <w:pPr>
                      <w:jc w:val="right"/>
                      <w:rPr>
                        <w:rFonts w:asciiTheme="minorEastAsia" w:eastAsiaTheme="minorEastAsia" w:hAnsiTheme="minorEastAsia"/>
                      </w:rPr>
                    </w:pPr>
                  </w:p>
                </w:tc>
              </w:tr>
            </w:sdtContent>
          </w:sdt>
        </w:tbl>
        <w:p w14:paraId="21F0D894" w14:textId="77777777" w:rsidR="007E7472" w:rsidRDefault="00C8327E"/>
        <w:p w14:paraId="2FB165E8" w14:textId="77777777" w:rsidR="007E7472" w:rsidRDefault="00EC1269">
          <w:pPr>
            <w:spacing w:beforeLines="50" w:before="120" w:afterLines="50" w:after="120" w:line="360" w:lineRule="exact"/>
            <w:ind w:firstLineChars="200" w:firstLine="420"/>
            <w:jc w:val="both"/>
            <w:rPr>
              <w:rFonts w:asciiTheme="minorEastAsia" w:eastAsiaTheme="minorEastAsia" w:hAnsiTheme="minorEastAsia"/>
            </w:rPr>
          </w:pPr>
          <w:r>
            <w:rPr>
              <w:rFonts w:asciiTheme="minorEastAsia" w:eastAsiaTheme="minorEastAsia" w:hAnsiTheme="minorEastAsia" w:hint="eastAsia"/>
            </w:rPr>
            <w:t>注：根据本公司与山东能源签订的协议，由山东能源及其附属公司向本公司供应产品、材料物资及大宗商品，交易价格以市场价格确定。</w:t>
          </w:r>
        </w:p>
        <w:p w14:paraId="439F3B57" w14:textId="77777777" w:rsidR="007E7472" w:rsidRDefault="00C8327E">
          <w:pPr>
            <w:rPr>
              <w:rFonts w:asciiTheme="minorEastAsia" w:eastAsiaTheme="minorEastAsia" w:hAnsiTheme="minorEastAsia"/>
            </w:rPr>
          </w:pPr>
        </w:p>
      </w:sdtContent>
    </w:sdt>
    <w:bookmarkEnd w:id="275" w:displacedByCustomXml="next"/>
    <w:sdt>
      <w:sdtPr>
        <w:rPr>
          <w:rFonts w:asciiTheme="minorEastAsia" w:eastAsiaTheme="minorEastAsia" w:hAnsiTheme="minorEastAsia" w:hint="eastAsia"/>
        </w:rPr>
        <w:alias w:val="模块:出售商品/提供劳务情况"/>
        <w:tag w:val="_GBC_a4e1c0efe9f741ecbb648a33c9afb8fd"/>
        <w:id w:val="1575556515"/>
        <w:lock w:val="sdtLocked"/>
        <w:placeholder>
          <w:docPart w:val="GBC22222222222222222222222222222"/>
        </w:placeholder>
      </w:sdtPr>
      <w:sdtEndPr>
        <w:rPr>
          <w:rFonts w:ascii="宋体" w:eastAsia="宋体" w:hAnsi="宋体" w:cs="Cambria"/>
        </w:rPr>
      </w:sdtEndPr>
      <w:sdtContent>
        <w:p w14:paraId="4EB44C13" w14:textId="77777777" w:rsidR="007E7472" w:rsidRDefault="00EC1269">
          <w:pPr>
            <w:ind w:rightChars="-369" w:right="-775"/>
            <w:rPr>
              <w:rFonts w:asciiTheme="minorEastAsia" w:eastAsiaTheme="minorEastAsia" w:hAnsiTheme="minorEastAsia"/>
            </w:rPr>
          </w:pPr>
          <w:r>
            <w:rPr>
              <w:rFonts w:asciiTheme="minorEastAsia" w:eastAsiaTheme="minorEastAsia" w:hAnsiTheme="minorEastAsia" w:hint="eastAsia"/>
            </w:rPr>
            <w:t>出售商品/提供劳务情况表</w:t>
          </w:r>
        </w:p>
        <w:sdt>
          <w:sdtPr>
            <w:rPr>
              <w:rFonts w:asciiTheme="minorEastAsia" w:eastAsiaTheme="minorEastAsia" w:hAnsiTheme="minorEastAsia"/>
            </w:rPr>
            <w:alias w:val="是否适用：出售商品或提供劳务情况表[双击切换]"/>
            <w:tag w:val="_GBC_18ae630e2f3641959d3a9fc1a3f3ccf3"/>
            <w:id w:val="-639650823"/>
            <w:lock w:val="sdtLocked"/>
            <w:placeholder>
              <w:docPart w:val="GBC22222222222222222222222222222"/>
            </w:placeholder>
          </w:sdtPr>
          <w:sdtEndPr/>
          <w:sdtContent>
            <w:p w14:paraId="75D75C13" w14:textId="77777777" w:rsidR="007E7472" w:rsidRDefault="00EC1269">
              <w:pPr>
                <w:ind w:rightChars="-369" w:right="-775"/>
                <w:rPr>
                  <w:rFonts w:asciiTheme="minorEastAsia" w:eastAsiaTheme="minorEastAsia" w:hAnsiTheme="minorEastAsia"/>
                </w:rPr>
              </w:pP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61F449AC" w14:textId="5EDCFDA7" w:rsidR="007E7472" w:rsidRDefault="00EC1269">
          <w:pPr>
            <w:tabs>
              <w:tab w:val="left" w:pos="3870"/>
            </w:tabs>
            <w:jc w:val="right"/>
            <w:rPr>
              <w:rFonts w:asciiTheme="minorEastAsia" w:eastAsiaTheme="minorEastAsia" w:hAnsiTheme="minorEastAsia" w:cs="Cambria"/>
            </w:rPr>
          </w:pPr>
          <w:r>
            <w:rPr>
              <w:rFonts w:asciiTheme="minorEastAsia" w:eastAsiaTheme="minorEastAsia" w:hAnsiTheme="minorEastAsia"/>
            </w:rPr>
            <w:t>单位</w:t>
          </w:r>
          <w:r>
            <w:rPr>
              <w:rFonts w:asciiTheme="minorEastAsia" w:eastAsiaTheme="minorEastAsia" w:hAnsiTheme="minorEastAsia" w:hint="eastAsia"/>
            </w:rPr>
            <w:t>：</w:t>
          </w:r>
          <w:sdt>
            <w:sdtPr>
              <w:rPr>
                <w:rFonts w:asciiTheme="minorEastAsia" w:eastAsiaTheme="minorEastAsia" w:hAnsiTheme="minorEastAsia"/>
              </w:rPr>
              <w:alias w:val="单位：出售商品提供劳务情况表"/>
              <w:tag w:val="_GBC_d53494f853ed4767a511f9c2c780c566"/>
              <w:id w:val="-113940672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asciiTheme="minorEastAsia" w:eastAsiaTheme="minorEastAsia" w:hAnsiTheme="minorEastAsia"/>
                </w:rPr>
                <w:t>千元</w:t>
              </w:r>
            </w:sdtContent>
          </w:sdt>
          <w:r>
            <w:rPr>
              <w:rFonts w:asciiTheme="minorEastAsia" w:eastAsiaTheme="minorEastAsia" w:hAnsiTheme="minorEastAsia"/>
            </w:rPr>
            <w:t>币种：</w:t>
          </w:r>
          <w:sdt>
            <w:sdtPr>
              <w:rPr>
                <w:rFonts w:asciiTheme="minorEastAsia" w:eastAsiaTheme="minorEastAsia" w:hAnsiTheme="minorEastAsia"/>
              </w:rPr>
              <w:alias w:val="币种：出售商品提供劳务情况表"/>
              <w:tag w:val="_GBC_d298f57687684d2eafef1d8c13d51722"/>
              <w:id w:val="-392123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asciiTheme="minorEastAsia" w:eastAsiaTheme="minorEastAsia" w:hAnsiTheme="minor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4A0" w:firstRow="1" w:lastRow="0" w:firstColumn="1" w:lastColumn="0" w:noHBand="0" w:noVBand="1"/>
          </w:tblPr>
          <w:tblGrid>
            <w:gridCol w:w="2486"/>
            <w:gridCol w:w="2612"/>
            <w:gridCol w:w="1828"/>
            <w:gridCol w:w="1897"/>
          </w:tblGrid>
          <w:tr w:rsidR="007E7472" w14:paraId="5F8767F2" w14:textId="77777777">
            <w:trPr>
              <w:cantSplit/>
              <w:trHeight w:val="273"/>
            </w:trPr>
            <w:sdt>
              <w:sdtPr>
                <w:rPr>
                  <w:rFonts w:asciiTheme="minorEastAsia" w:eastAsiaTheme="minorEastAsia" w:hAnsiTheme="minorEastAsia"/>
                </w:rPr>
                <w:tag w:val="_PLD_70510986aab647e99b00ba57c32e64cd"/>
                <w:id w:val="-1731223487"/>
                <w:lock w:val="sdtLocked"/>
              </w:sdtPr>
              <w:sdtEndPr/>
              <w:sdtContent>
                <w:tc>
                  <w:tcPr>
                    <w:tcW w:w="1409" w:type="pct"/>
                    <w:tcBorders>
                      <w:top w:val="single" w:sz="4" w:space="0" w:color="auto"/>
                      <w:left w:val="single" w:sz="4" w:space="0" w:color="auto"/>
                      <w:bottom w:val="single" w:sz="4" w:space="0" w:color="auto"/>
                      <w:right w:val="single" w:sz="4" w:space="0" w:color="auto"/>
                    </w:tcBorders>
                    <w:shd w:val="clear" w:color="auto" w:fill="auto"/>
                    <w:vAlign w:val="center"/>
                  </w:tcPr>
                  <w:p w14:paraId="73BB4697" w14:textId="77777777" w:rsidR="007E7472" w:rsidRDefault="00EC1269">
                    <w:pPr>
                      <w:jc w:val="center"/>
                      <w:rPr>
                        <w:rFonts w:asciiTheme="minorEastAsia" w:eastAsiaTheme="minorEastAsia" w:hAnsiTheme="minorEastAsia" w:cs="Cambria"/>
                      </w:rPr>
                    </w:pPr>
                    <w:r>
                      <w:rPr>
                        <w:rFonts w:asciiTheme="minorEastAsia" w:eastAsiaTheme="minorEastAsia" w:hAnsiTheme="minorEastAsia" w:cs="Cambria" w:hint="eastAsia"/>
                      </w:rPr>
                      <w:t>关联方</w:t>
                    </w:r>
                  </w:p>
                </w:tc>
              </w:sdtContent>
            </w:sdt>
            <w:sdt>
              <w:sdtPr>
                <w:rPr>
                  <w:rFonts w:asciiTheme="minorEastAsia" w:eastAsiaTheme="minorEastAsia" w:hAnsiTheme="minorEastAsia"/>
                </w:rPr>
                <w:tag w:val="_PLD_66da90262f3d401c8151235b4c6f5e93"/>
                <w:id w:val="949829082"/>
                <w:lock w:val="sdtLocked"/>
              </w:sdtPr>
              <w:sdtEndPr/>
              <w:sdtContent>
                <w:tc>
                  <w:tcPr>
                    <w:tcW w:w="1480" w:type="pct"/>
                    <w:tcBorders>
                      <w:top w:val="single" w:sz="4" w:space="0" w:color="auto"/>
                      <w:left w:val="single" w:sz="4" w:space="0" w:color="auto"/>
                      <w:bottom w:val="single" w:sz="4" w:space="0" w:color="auto"/>
                      <w:right w:val="single" w:sz="4" w:space="0" w:color="auto"/>
                    </w:tcBorders>
                    <w:shd w:val="clear" w:color="auto" w:fill="auto"/>
                    <w:vAlign w:val="center"/>
                  </w:tcPr>
                  <w:p w14:paraId="728FF967" w14:textId="77777777" w:rsidR="007E7472" w:rsidRDefault="00EC1269">
                    <w:pPr>
                      <w:jc w:val="center"/>
                      <w:rPr>
                        <w:rFonts w:asciiTheme="minorEastAsia" w:eastAsiaTheme="minorEastAsia" w:hAnsiTheme="minorEastAsia" w:cs="Cambria"/>
                      </w:rPr>
                    </w:pPr>
                    <w:r>
                      <w:rPr>
                        <w:rFonts w:asciiTheme="minorEastAsia" w:eastAsiaTheme="minorEastAsia" w:hAnsiTheme="minorEastAsia" w:cs="Cambria" w:hint="eastAsia"/>
                      </w:rPr>
                      <w:t>关联交易内容</w:t>
                    </w:r>
                  </w:p>
                </w:tc>
              </w:sdtContent>
            </w:sdt>
            <w:sdt>
              <w:sdtPr>
                <w:rPr>
                  <w:rFonts w:asciiTheme="minorEastAsia" w:eastAsiaTheme="minorEastAsia" w:hAnsiTheme="minorEastAsia"/>
                </w:rPr>
                <w:tag w:val="_PLD_09c424bd80324eb49dafea569ce1931b"/>
                <w:id w:val="907740304"/>
                <w:lock w:val="sdtLocked"/>
              </w:sdtPr>
              <w:sdtEndPr/>
              <w:sdtContent>
                <w:tc>
                  <w:tcPr>
                    <w:tcW w:w="1036" w:type="pct"/>
                    <w:tcBorders>
                      <w:top w:val="single" w:sz="4" w:space="0" w:color="auto"/>
                      <w:left w:val="single" w:sz="4" w:space="0" w:color="auto"/>
                      <w:right w:val="single" w:sz="4" w:space="0" w:color="auto"/>
                    </w:tcBorders>
                    <w:shd w:val="clear" w:color="auto" w:fill="auto"/>
                    <w:vAlign w:val="center"/>
                  </w:tcPr>
                  <w:p w14:paraId="185FC9A6" w14:textId="77777777" w:rsidR="007E7472" w:rsidRDefault="00EC1269">
                    <w:pPr>
                      <w:jc w:val="center"/>
                      <w:rPr>
                        <w:rFonts w:asciiTheme="minorEastAsia" w:eastAsiaTheme="minorEastAsia" w:hAnsiTheme="minorEastAsia" w:cs="Cambria"/>
                      </w:rPr>
                    </w:pPr>
                    <w:r>
                      <w:rPr>
                        <w:rFonts w:asciiTheme="minorEastAsia" w:eastAsiaTheme="minorEastAsia" w:hAnsiTheme="minorEastAsia" w:cs="Cambria" w:hint="eastAsia"/>
                      </w:rPr>
                      <w:t>本期发生额</w:t>
                    </w:r>
                  </w:p>
                </w:tc>
              </w:sdtContent>
            </w:sdt>
            <w:sdt>
              <w:sdtPr>
                <w:rPr>
                  <w:rFonts w:asciiTheme="minorEastAsia" w:eastAsiaTheme="minorEastAsia" w:hAnsiTheme="minorEastAsia"/>
                </w:rPr>
                <w:tag w:val="_PLD_fd0f9e0691744db49d5ceaf95d42197c"/>
                <w:id w:val="1394159758"/>
                <w:lock w:val="sdtLocked"/>
              </w:sdtPr>
              <w:sdtEndPr/>
              <w:sdtContent>
                <w:tc>
                  <w:tcPr>
                    <w:tcW w:w="1075" w:type="pct"/>
                    <w:tcBorders>
                      <w:top w:val="single" w:sz="4" w:space="0" w:color="auto"/>
                      <w:left w:val="single" w:sz="4" w:space="0" w:color="auto"/>
                      <w:right w:val="single" w:sz="4" w:space="0" w:color="auto"/>
                    </w:tcBorders>
                    <w:shd w:val="clear" w:color="auto" w:fill="auto"/>
                    <w:vAlign w:val="center"/>
                  </w:tcPr>
                  <w:p w14:paraId="2DC7A811" w14:textId="77777777" w:rsidR="007E7472" w:rsidRDefault="00EC1269">
                    <w:pPr>
                      <w:jc w:val="center"/>
                      <w:rPr>
                        <w:rFonts w:asciiTheme="minorEastAsia" w:eastAsiaTheme="minorEastAsia" w:hAnsiTheme="minorEastAsia" w:cs="Cambria"/>
                      </w:rPr>
                    </w:pPr>
                    <w:r>
                      <w:rPr>
                        <w:rFonts w:asciiTheme="minorEastAsia" w:eastAsiaTheme="minorEastAsia" w:hAnsiTheme="minorEastAsia" w:cs="Cambria" w:hint="eastAsia"/>
                      </w:rPr>
                      <w:t>上期发生额</w:t>
                    </w:r>
                  </w:p>
                </w:tc>
              </w:sdtContent>
            </w:sdt>
          </w:tr>
          <w:sdt>
            <w:sdtPr>
              <w:rPr>
                <w:rFonts w:asciiTheme="minorEastAsia" w:eastAsiaTheme="minorEastAsia" w:hAnsiTheme="minorEastAsia"/>
              </w:rPr>
              <w:alias w:val="出售商品提供劳务情况明细"/>
              <w:tag w:val="_GBC_d6e24b6ca62645f180ecf5d4621afdc6"/>
              <w:id w:val="120120279"/>
              <w:lock w:val="sdtLocked"/>
            </w:sdtPr>
            <w:sdtEndPr/>
            <w:sdtContent>
              <w:tr w:rsidR="007E7472" w14:paraId="24E4934A" w14:textId="77777777">
                <w:trPr>
                  <w:cantSplit/>
                </w:trPr>
                <w:tc>
                  <w:tcPr>
                    <w:tcW w:w="1409" w:type="pct"/>
                    <w:tcBorders>
                      <w:top w:val="single" w:sz="4" w:space="0" w:color="auto"/>
                      <w:left w:val="single" w:sz="4" w:space="0" w:color="auto"/>
                      <w:bottom w:val="single" w:sz="4" w:space="0" w:color="auto"/>
                      <w:right w:val="single" w:sz="4" w:space="0" w:color="auto"/>
                    </w:tcBorders>
                    <w:shd w:val="clear" w:color="auto" w:fill="auto"/>
                  </w:tcPr>
                  <w:p w14:paraId="68AB8B99" w14:textId="77777777" w:rsidR="007E7472" w:rsidRDefault="00EC1269">
                    <w:pPr>
                      <w:rPr>
                        <w:rFonts w:asciiTheme="minorEastAsia" w:eastAsiaTheme="minorEastAsia" w:hAnsiTheme="minorEastAsia"/>
                      </w:rPr>
                    </w:pPr>
                    <w:r>
                      <w:rPr>
                        <w:rFonts w:asciiTheme="minorEastAsia" w:eastAsiaTheme="minorEastAsia" w:hAnsiTheme="minorEastAsia" w:hint="eastAsia"/>
                      </w:rPr>
                      <w:t>控股股东及其控制的公司</w:t>
                    </w:r>
                  </w:p>
                </w:tc>
                <w:tc>
                  <w:tcPr>
                    <w:tcW w:w="1480" w:type="pct"/>
                    <w:tcBorders>
                      <w:top w:val="single" w:sz="4" w:space="0" w:color="auto"/>
                      <w:left w:val="single" w:sz="4" w:space="0" w:color="auto"/>
                      <w:bottom w:val="single" w:sz="4" w:space="0" w:color="auto"/>
                      <w:right w:val="single" w:sz="4" w:space="0" w:color="auto"/>
                    </w:tcBorders>
                    <w:shd w:val="clear" w:color="auto" w:fill="auto"/>
                  </w:tcPr>
                  <w:p w14:paraId="181760E0" w14:textId="77777777" w:rsidR="007E7472" w:rsidRDefault="00EC1269">
                    <w:pPr>
                      <w:rPr>
                        <w:rFonts w:asciiTheme="minorEastAsia" w:eastAsiaTheme="minorEastAsia" w:hAnsiTheme="minorEastAsia"/>
                      </w:rPr>
                    </w:pPr>
                    <w:r>
                      <w:rPr>
                        <w:rFonts w:asciiTheme="minorEastAsia" w:eastAsiaTheme="minorEastAsia" w:hAnsiTheme="minorEastAsia" w:hint="eastAsia"/>
                      </w:rPr>
                      <w:t>销售商品</w:t>
                    </w:r>
                    <w:r>
                      <w:rPr>
                        <w:rFonts w:asciiTheme="minorEastAsia" w:eastAsiaTheme="minorEastAsia" w:hAnsiTheme="minorEastAsia"/>
                      </w:rPr>
                      <w:t>-煤炭</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53EC2141" w14:textId="77777777" w:rsidR="007E7472" w:rsidRDefault="00EC1269">
                    <w:pPr>
                      <w:jc w:val="right"/>
                      <w:rPr>
                        <w:rFonts w:asciiTheme="minorEastAsia" w:eastAsiaTheme="minorEastAsia" w:hAnsiTheme="minorEastAsia"/>
                      </w:rPr>
                    </w:pPr>
                    <w:r>
                      <w:rPr>
                        <w:rFonts w:asciiTheme="minorEastAsia" w:eastAsiaTheme="minorEastAsia" w:hAnsiTheme="minorEastAsia"/>
                      </w:rPr>
                      <w:t>3,534,664</w:t>
                    </w:r>
                  </w:p>
                </w:tc>
                <w:tc>
                  <w:tcPr>
                    <w:tcW w:w="1075" w:type="pct"/>
                    <w:tcBorders>
                      <w:top w:val="single" w:sz="4" w:space="0" w:color="auto"/>
                      <w:left w:val="single" w:sz="4" w:space="0" w:color="auto"/>
                      <w:bottom w:val="single" w:sz="4" w:space="0" w:color="auto"/>
                      <w:right w:val="single" w:sz="4" w:space="0" w:color="auto"/>
                    </w:tcBorders>
                    <w:shd w:val="clear" w:color="auto" w:fill="auto"/>
                  </w:tcPr>
                  <w:p w14:paraId="24C49714" w14:textId="77777777" w:rsidR="007E7472" w:rsidRDefault="00EC1269">
                    <w:pPr>
                      <w:jc w:val="right"/>
                      <w:rPr>
                        <w:rFonts w:asciiTheme="minorEastAsia" w:eastAsiaTheme="minorEastAsia" w:hAnsiTheme="minorEastAsia"/>
                      </w:rPr>
                    </w:pPr>
                    <w:r>
                      <w:rPr>
                        <w:rFonts w:asciiTheme="minorEastAsia" w:eastAsiaTheme="minorEastAsia" w:hAnsiTheme="minorEastAsia"/>
                      </w:rPr>
                      <w:t>1,891,630</w:t>
                    </w:r>
                  </w:p>
                </w:tc>
              </w:tr>
            </w:sdtContent>
          </w:sdt>
          <w:sdt>
            <w:sdtPr>
              <w:rPr>
                <w:rFonts w:asciiTheme="minorEastAsia" w:eastAsiaTheme="minorEastAsia" w:hAnsiTheme="minorEastAsia"/>
              </w:rPr>
              <w:alias w:val="出售商品提供劳务情况明细"/>
              <w:tag w:val="_GBC_d6e24b6ca62645f180ecf5d4621afdc6"/>
              <w:id w:val="423995203"/>
              <w:lock w:val="sdtLocked"/>
            </w:sdtPr>
            <w:sdtEndPr/>
            <w:sdtContent>
              <w:tr w:rsidR="007E7472" w14:paraId="4E0476DF" w14:textId="77777777">
                <w:trPr>
                  <w:cantSplit/>
                </w:trPr>
                <w:tc>
                  <w:tcPr>
                    <w:tcW w:w="1409" w:type="pct"/>
                    <w:tcBorders>
                      <w:top w:val="single" w:sz="4" w:space="0" w:color="auto"/>
                      <w:left w:val="single" w:sz="4" w:space="0" w:color="auto"/>
                      <w:bottom w:val="single" w:sz="4" w:space="0" w:color="auto"/>
                      <w:right w:val="single" w:sz="4" w:space="0" w:color="auto"/>
                    </w:tcBorders>
                    <w:shd w:val="clear" w:color="auto" w:fill="auto"/>
                  </w:tcPr>
                  <w:p w14:paraId="6FF33A1F" w14:textId="77777777" w:rsidR="007E7472" w:rsidRDefault="00EC1269">
                    <w:pPr>
                      <w:rPr>
                        <w:rFonts w:asciiTheme="minorEastAsia" w:eastAsiaTheme="minorEastAsia" w:hAnsiTheme="minorEastAsia"/>
                      </w:rPr>
                    </w:pPr>
                    <w:r>
                      <w:rPr>
                        <w:rFonts w:asciiTheme="minorEastAsia" w:eastAsiaTheme="minorEastAsia" w:hAnsiTheme="minorEastAsia" w:hint="eastAsia"/>
                      </w:rPr>
                      <w:t>联营企业</w:t>
                    </w:r>
                  </w:p>
                </w:tc>
                <w:tc>
                  <w:tcPr>
                    <w:tcW w:w="1480" w:type="pct"/>
                    <w:tcBorders>
                      <w:top w:val="single" w:sz="4" w:space="0" w:color="auto"/>
                      <w:left w:val="single" w:sz="4" w:space="0" w:color="auto"/>
                      <w:bottom w:val="single" w:sz="4" w:space="0" w:color="auto"/>
                      <w:right w:val="single" w:sz="4" w:space="0" w:color="auto"/>
                    </w:tcBorders>
                    <w:shd w:val="clear" w:color="auto" w:fill="auto"/>
                  </w:tcPr>
                  <w:p w14:paraId="6109B8F6" w14:textId="77777777" w:rsidR="007E7472" w:rsidRDefault="00EC1269">
                    <w:pPr>
                      <w:rPr>
                        <w:rFonts w:asciiTheme="minorEastAsia" w:eastAsiaTheme="minorEastAsia" w:hAnsiTheme="minorEastAsia"/>
                      </w:rPr>
                    </w:pPr>
                    <w:r>
                      <w:rPr>
                        <w:rFonts w:asciiTheme="minorEastAsia" w:eastAsiaTheme="minorEastAsia" w:hAnsiTheme="minorEastAsia" w:hint="eastAsia"/>
                      </w:rPr>
                      <w:t>销售商品</w:t>
                    </w:r>
                    <w:r>
                      <w:rPr>
                        <w:rFonts w:asciiTheme="minorEastAsia" w:eastAsiaTheme="minorEastAsia" w:hAnsiTheme="minorEastAsia"/>
                      </w:rPr>
                      <w:t>-煤炭</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4D099F64" w14:textId="77777777" w:rsidR="007E7472" w:rsidRDefault="00C8327E">
                    <w:pPr>
                      <w:jc w:val="right"/>
                      <w:rPr>
                        <w:rFonts w:asciiTheme="minorEastAsia" w:eastAsiaTheme="minorEastAsia" w:hAnsiTheme="minorEastAsia"/>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14:paraId="053499FF" w14:textId="77777777" w:rsidR="007E7472" w:rsidRDefault="00EC1269">
                    <w:pPr>
                      <w:jc w:val="right"/>
                      <w:rPr>
                        <w:rFonts w:asciiTheme="minorEastAsia" w:eastAsiaTheme="minorEastAsia" w:hAnsiTheme="minorEastAsia"/>
                      </w:rPr>
                    </w:pPr>
                    <w:r>
                      <w:rPr>
                        <w:rFonts w:asciiTheme="minorEastAsia" w:eastAsiaTheme="minorEastAsia" w:hAnsiTheme="minorEastAsia"/>
                      </w:rPr>
                      <w:t>521,819</w:t>
                    </w:r>
                  </w:p>
                </w:tc>
              </w:tr>
            </w:sdtContent>
          </w:sdt>
          <w:sdt>
            <w:sdtPr>
              <w:rPr>
                <w:rFonts w:asciiTheme="minorEastAsia" w:eastAsiaTheme="minorEastAsia" w:hAnsiTheme="minorEastAsia"/>
              </w:rPr>
              <w:alias w:val="出售商品提供劳务情况明细"/>
              <w:tag w:val="_GBC_d6e24b6ca62645f180ecf5d4621afdc6"/>
              <w:id w:val="93366512"/>
              <w:lock w:val="sdtLocked"/>
            </w:sdtPr>
            <w:sdtEndPr/>
            <w:sdtContent>
              <w:tr w:rsidR="007E7472" w14:paraId="0BA9EEE4" w14:textId="77777777">
                <w:trPr>
                  <w:cantSplit/>
                </w:trPr>
                <w:tc>
                  <w:tcPr>
                    <w:tcW w:w="1409" w:type="pct"/>
                    <w:tcBorders>
                      <w:top w:val="single" w:sz="4" w:space="0" w:color="auto"/>
                      <w:left w:val="single" w:sz="4" w:space="0" w:color="auto"/>
                      <w:bottom w:val="single" w:sz="4" w:space="0" w:color="auto"/>
                      <w:right w:val="single" w:sz="4" w:space="0" w:color="auto"/>
                    </w:tcBorders>
                    <w:shd w:val="clear" w:color="auto" w:fill="auto"/>
                  </w:tcPr>
                  <w:p w14:paraId="1C511B6F" w14:textId="77777777" w:rsidR="007E7472" w:rsidRDefault="00EC1269">
                    <w:pPr>
                      <w:rPr>
                        <w:rFonts w:asciiTheme="minorEastAsia" w:eastAsiaTheme="minorEastAsia" w:hAnsiTheme="minorEastAsia"/>
                      </w:rPr>
                    </w:pPr>
                    <w:r>
                      <w:rPr>
                        <w:rFonts w:asciiTheme="minorEastAsia" w:eastAsiaTheme="minorEastAsia" w:hAnsiTheme="minorEastAsia" w:hint="eastAsia"/>
                      </w:rPr>
                      <w:t>其他关联方</w:t>
                    </w:r>
                  </w:p>
                </w:tc>
                <w:tc>
                  <w:tcPr>
                    <w:tcW w:w="1480" w:type="pct"/>
                    <w:tcBorders>
                      <w:top w:val="single" w:sz="4" w:space="0" w:color="auto"/>
                      <w:left w:val="single" w:sz="4" w:space="0" w:color="auto"/>
                      <w:bottom w:val="single" w:sz="4" w:space="0" w:color="auto"/>
                      <w:right w:val="single" w:sz="4" w:space="0" w:color="auto"/>
                    </w:tcBorders>
                    <w:shd w:val="clear" w:color="auto" w:fill="auto"/>
                  </w:tcPr>
                  <w:p w14:paraId="6E9643AB" w14:textId="77777777" w:rsidR="007E7472" w:rsidRDefault="00EC1269">
                    <w:pPr>
                      <w:rPr>
                        <w:rFonts w:asciiTheme="minorEastAsia" w:eastAsiaTheme="minorEastAsia" w:hAnsiTheme="minorEastAsia"/>
                      </w:rPr>
                    </w:pPr>
                    <w:r>
                      <w:rPr>
                        <w:rFonts w:asciiTheme="minorEastAsia" w:eastAsiaTheme="minorEastAsia" w:hAnsiTheme="minorEastAsia" w:hint="eastAsia"/>
                      </w:rPr>
                      <w:t>销售商品</w:t>
                    </w:r>
                    <w:r>
                      <w:rPr>
                        <w:rFonts w:asciiTheme="minorEastAsia" w:eastAsiaTheme="minorEastAsia" w:hAnsiTheme="minorEastAsia"/>
                      </w:rPr>
                      <w:t>-煤炭</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15AEE8DD" w14:textId="77777777" w:rsidR="007E7472" w:rsidRDefault="00EC1269">
                    <w:pPr>
                      <w:jc w:val="right"/>
                      <w:rPr>
                        <w:rFonts w:asciiTheme="minorEastAsia" w:eastAsiaTheme="minorEastAsia" w:hAnsiTheme="minorEastAsia"/>
                      </w:rPr>
                    </w:pPr>
                    <w:r>
                      <w:rPr>
                        <w:rFonts w:asciiTheme="minorEastAsia" w:eastAsiaTheme="minorEastAsia" w:hAnsiTheme="minorEastAsia"/>
                      </w:rPr>
                      <w:t>878,419</w:t>
                    </w:r>
                  </w:p>
                </w:tc>
                <w:tc>
                  <w:tcPr>
                    <w:tcW w:w="1075" w:type="pct"/>
                    <w:tcBorders>
                      <w:top w:val="single" w:sz="4" w:space="0" w:color="auto"/>
                      <w:left w:val="single" w:sz="4" w:space="0" w:color="auto"/>
                      <w:bottom w:val="single" w:sz="4" w:space="0" w:color="auto"/>
                      <w:right w:val="single" w:sz="4" w:space="0" w:color="auto"/>
                    </w:tcBorders>
                    <w:shd w:val="clear" w:color="auto" w:fill="auto"/>
                  </w:tcPr>
                  <w:p w14:paraId="722835EE" w14:textId="77777777" w:rsidR="007E7472" w:rsidRDefault="00EC1269">
                    <w:pPr>
                      <w:jc w:val="right"/>
                      <w:rPr>
                        <w:rFonts w:asciiTheme="minorEastAsia" w:eastAsiaTheme="minorEastAsia" w:hAnsiTheme="minorEastAsia"/>
                      </w:rPr>
                    </w:pPr>
                    <w:r>
                      <w:rPr>
                        <w:rFonts w:asciiTheme="minorEastAsia" w:eastAsiaTheme="minorEastAsia" w:hAnsiTheme="minorEastAsia"/>
                      </w:rPr>
                      <w:t>419,302</w:t>
                    </w:r>
                  </w:p>
                </w:tc>
              </w:tr>
            </w:sdtContent>
          </w:sdt>
          <w:sdt>
            <w:sdtPr>
              <w:rPr>
                <w:rFonts w:asciiTheme="minorEastAsia" w:eastAsiaTheme="minorEastAsia" w:hAnsiTheme="minorEastAsia"/>
              </w:rPr>
              <w:alias w:val="出售商品提供劳务情况明细"/>
              <w:tag w:val="_GBC_d6e24b6ca62645f180ecf5d4621afdc6"/>
              <w:id w:val="1625434291"/>
              <w:lock w:val="sdtLocked"/>
            </w:sdtPr>
            <w:sdtEndPr/>
            <w:sdtContent>
              <w:tr w:rsidR="007E7472" w14:paraId="00B6E51B" w14:textId="77777777">
                <w:trPr>
                  <w:cantSplit/>
                </w:trPr>
                <w:tc>
                  <w:tcPr>
                    <w:tcW w:w="1409" w:type="pct"/>
                    <w:tcBorders>
                      <w:top w:val="single" w:sz="4" w:space="0" w:color="auto"/>
                      <w:left w:val="single" w:sz="4" w:space="0" w:color="auto"/>
                      <w:bottom w:val="single" w:sz="4" w:space="0" w:color="auto"/>
                      <w:right w:val="single" w:sz="4" w:space="0" w:color="auto"/>
                    </w:tcBorders>
                    <w:shd w:val="clear" w:color="auto" w:fill="auto"/>
                  </w:tcPr>
                  <w:p w14:paraId="113E4506" w14:textId="77777777" w:rsidR="007E7472" w:rsidRDefault="00EC1269">
                    <w:pPr>
                      <w:rPr>
                        <w:rFonts w:asciiTheme="minorEastAsia" w:eastAsiaTheme="minorEastAsia" w:hAnsiTheme="minorEastAsia"/>
                      </w:rPr>
                    </w:pPr>
                    <w:r>
                      <w:rPr>
                        <w:rFonts w:asciiTheme="minorEastAsia" w:eastAsiaTheme="minorEastAsia" w:hAnsiTheme="minorEastAsia" w:hint="eastAsia"/>
                      </w:rPr>
                      <w:t>控股股东及其控制的公司</w:t>
                    </w:r>
                  </w:p>
                </w:tc>
                <w:tc>
                  <w:tcPr>
                    <w:tcW w:w="1480" w:type="pct"/>
                    <w:tcBorders>
                      <w:top w:val="single" w:sz="4" w:space="0" w:color="auto"/>
                      <w:left w:val="single" w:sz="4" w:space="0" w:color="auto"/>
                      <w:bottom w:val="single" w:sz="4" w:space="0" w:color="auto"/>
                      <w:right w:val="single" w:sz="4" w:space="0" w:color="auto"/>
                    </w:tcBorders>
                    <w:shd w:val="clear" w:color="auto" w:fill="auto"/>
                  </w:tcPr>
                  <w:p w14:paraId="1CEAA065" w14:textId="77777777" w:rsidR="007E7472" w:rsidRDefault="00EC1269">
                    <w:pPr>
                      <w:rPr>
                        <w:rFonts w:asciiTheme="minorEastAsia" w:eastAsiaTheme="minorEastAsia" w:hAnsiTheme="minorEastAsia"/>
                      </w:rPr>
                    </w:pPr>
                    <w:r>
                      <w:rPr>
                        <w:rFonts w:asciiTheme="minorEastAsia" w:eastAsiaTheme="minorEastAsia" w:hAnsiTheme="minorEastAsia" w:hint="eastAsia"/>
                      </w:rPr>
                      <w:t>销售商品</w:t>
                    </w:r>
                    <w:r>
                      <w:rPr>
                        <w:rFonts w:asciiTheme="minorEastAsia" w:eastAsiaTheme="minorEastAsia" w:hAnsiTheme="minorEastAsia"/>
                      </w:rPr>
                      <w:t>-煤化</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7017F26B" w14:textId="77777777" w:rsidR="007E7472" w:rsidRDefault="00EC1269">
                    <w:pPr>
                      <w:jc w:val="right"/>
                      <w:rPr>
                        <w:rFonts w:asciiTheme="minorEastAsia" w:eastAsiaTheme="minorEastAsia" w:hAnsiTheme="minorEastAsia"/>
                      </w:rPr>
                    </w:pPr>
                    <w:r>
                      <w:rPr>
                        <w:rFonts w:asciiTheme="minorEastAsia" w:eastAsiaTheme="minorEastAsia" w:hAnsiTheme="minorEastAsia"/>
                      </w:rPr>
                      <w:t>74,300</w:t>
                    </w:r>
                  </w:p>
                </w:tc>
                <w:tc>
                  <w:tcPr>
                    <w:tcW w:w="1075" w:type="pct"/>
                    <w:tcBorders>
                      <w:top w:val="single" w:sz="4" w:space="0" w:color="auto"/>
                      <w:left w:val="single" w:sz="4" w:space="0" w:color="auto"/>
                      <w:bottom w:val="single" w:sz="4" w:space="0" w:color="auto"/>
                      <w:right w:val="single" w:sz="4" w:space="0" w:color="auto"/>
                    </w:tcBorders>
                    <w:shd w:val="clear" w:color="auto" w:fill="auto"/>
                  </w:tcPr>
                  <w:p w14:paraId="61BBE7C2" w14:textId="77777777" w:rsidR="007E7472" w:rsidRDefault="00EC1269">
                    <w:pPr>
                      <w:jc w:val="right"/>
                      <w:rPr>
                        <w:rFonts w:asciiTheme="minorEastAsia" w:eastAsiaTheme="minorEastAsia" w:hAnsiTheme="minorEastAsia"/>
                      </w:rPr>
                    </w:pPr>
                    <w:r>
                      <w:rPr>
                        <w:rFonts w:asciiTheme="minorEastAsia" w:eastAsiaTheme="minorEastAsia" w:hAnsiTheme="minorEastAsia"/>
                      </w:rPr>
                      <w:t>5,717</w:t>
                    </w:r>
                  </w:p>
                </w:tc>
              </w:tr>
            </w:sdtContent>
          </w:sdt>
          <w:sdt>
            <w:sdtPr>
              <w:rPr>
                <w:rFonts w:asciiTheme="minorEastAsia" w:eastAsiaTheme="minorEastAsia" w:hAnsiTheme="minorEastAsia"/>
              </w:rPr>
              <w:alias w:val="出售商品提供劳务情况明细"/>
              <w:tag w:val="_GBC_d6e24b6ca62645f180ecf5d4621afdc6"/>
              <w:id w:val="-1418774944"/>
              <w:lock w:val="sdtLocked"/>
            </w:sdtPr>
            <w:sdtEndPr/>
            <w:sdtContent>
              <w:tr w:rsidR="007E7472" w14:paraId="58A3DB56" w14:textId="77777777">
                <w:trPr>
                  <w:cantSplit/>
                </w:trPr>
                <w:tc>
                  <w:tcPr>
                    <w:tcW w:w="1409" w:type="pct"/>
                    <w:tcBorders>
                      <w:top w:val="single" w:sz="4" w:space="0" w:color="auto"/>
                      <w:left w:val="single" w:sz="4" w:space="0" w:color="auto"/>
                      <w:bottom w:val="single" w:sz="4" w:space="0" w:color="auto"/>
                      <w:right w:val="single" w:sz="4" w:space="0" w:color="auto"/>
                    </w:tcBorders>
                    <w:shd w:val="clear" w:color="auto" w:fill="auto"/>
                  </w:tcPr>
                  <w:p w14:paraId="037FF84E" w14:textId="77777777" w:rsidR="007E7472" w:rsidRDefault="00EC1269">
                    <w:pPr>
                      <w:rPr>
                        <w:rFonts w:asciiTheme="minorEastAsia" w:eastAsiaTheme="minorEastAsia" w:hAnsiTheme="minorEastAsia"/>
                      </w:rPr>
                    </w:pPr>
                    <w:r>
                      <w:rPr>
                        <w:rFonts w:asciiTheme="minorEastAsia" w:eastAsiaTheme="minorEastAsia" w:hAnsiTheme="minorEastAsia" w:hint="eastAsia"/>
                      </w:rPr>
                      <w:t>其他关联方</w:t>
                    </w:r>
                  </w:p>
                </w:tc>
                <w:tc>
                  <w:tcPr>
                    <w:tcW w:w="1480" w:type="pct"/>
                    <w:tcBorders>
                      <w:top w:val="single" w:sz="4" w:space="0" w:color="auto"/>
                      <w:left w:val="single" w:sz="4" w:space="0" w:color="auto"/>
                      <w:bottom w:val="single" w:sz="4" w:space="0" w:color="auto"/>
                      <w:right w:val="single" w:sz="4" w:space="0" w:color="auto"/>
                    </w:tcBorders>
                    <w:shd w:val="clear" w:color="auto" w:fill="auto"/>
                  </w:tcPr>
                  <w:p w14:paraId="5F65845A" w14:textId="77777777" w:rsidR="007E7472" w:rsidRDefault="00EC1269">
                    <w:pPr>
                      <w:rPr>
                        <w:rFonts w:asciiTheme="minorEastAsia" w:eastAsiaTheme="minorEastAsia" w:hAnsiTheme="minorEastAsia"/>
                      </w:rPr>
                    </w:pPr>
                    <w:r>
                      <w:rPr>
                        <w:rFonts w:asciiTheme="minorEastAsia" w:eastAsiaTheme="minorEastAsia" w:hAnsiTheme="minorEastAsia" w:hint="eastAsia"/>
                      </w:rPr>
                      <w:t>销售商品</w:t>
                    </w:r>
                    <w:r>
                      <w:rPr>
                        <w:rFonts w:asciiTheme="minorEastAsia" w:eastAsiaTheme="minorEastAsia" w:hAnsiTheme="minorEastAsia"/>
                      </w:rPr>
                      <w:t>-煤化</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549368FD" w14:textId="77777777" w:rsidR="007E7472" w:rsidRDefault="00EC1269">
                    <w:pPr>
                      <w:jc w:val="right"/>
                      <w:rPr>
                        <w:rFonts w:asciiTheme="minorEastAsia" w:eastAsiaTheme="minorEastAsia" w:hAnsiTheme="minorEastAsia"/>
                      </w:rPr>
                    </w:pPr>
                    <w:r>
                      <w:rPr>
                        <w:rFonts w:asciiTheme="minorEastAsia" w:eastAsiaTheme="minorEastAsia" w:hAnsiTheme="minorEastAsia"/>
                      </w:rPr>
                      <w:t>68,178</w:t>
                    </w:r>
                  </w:p>
                </w:tc>
                <w:tc>
                  <w:tcPr>
                    <w:tcW w:w="1075" w:type="pct"/>
                    <w:tcBorders>
                      <w:top w:val="single" w:sz="4" w:space="0" w:color="auto"/>
                      <w:left w:val="single" w:sz="4" w:space="0" w:color="auto"/>
                      <w:bottom w:val="single" w:sz="4" w:space="0" w:color="auto"/>
                      <w:right w:val="single" w:sz="4" w:space="0" w:color="auto"/>
                    </w:tcBorders>
                    <w:shd w:val="clear" w:color="auto" w:fill="auto"/>
                  </w:tcPr>
                  <w:p w14:paraId="362F88E7" w14:textId="77777777" w:rsidR="007E7472" w:rsidRDefault="00EC1269">
                    <w:pPr>
                      <w:jc w:val="right"/>
                      <w:rPr>
                        <w:rFonts w:asciiTheme="minorEastAsia" w:eastAsiaTheme="minorEastAsia" w:hAnsiTheme="minorEastAsia"/>
                      </w:rPr>
                    </w:pPr>
                    <w:r>
                      <w:rPr>
                        <w:rFonts w:asciiTheme="minorEastAsia" w:eastAsiaTheme="minorEastAsia" w:hAnsiTheme="minorEastAsia"/>
                      </w:rPr>
                      <w:t>91,918</w:t>
                    </w:r>
                  </w:p>
                </w:tc>
              </w:tr>
            </w:sdtContent>
          </w:sdt>
          <w:sdt>
            <w:sdtPr>
              <w:rPr>
                <w:rFonts w:asciiTheme="minorEastAsia" w:eastAsiaTheme="minorEastAsia" w:hAnsiTheme="minorEastAsia"/>
              </w:rPr>
              <w:alias w:val="出售商品提供劳务情况明细"/>
              <w:tag w:val="_GBC_d6e24b6ca62645f180ecf5d4621afdc6"/>
              <w:id w:val="1592353810"/>
              <w:lock w:val="sdtLocked"/>
            </w:sdtPr>
            <w:sdtEndPr/>
            <w:sdtContent>
              <w:tr w:rsidR="007E7472" w14:paraId="6DAF2820" w14:textId="77777777">
                <w:trPr>
                  <w:cantSplit/>
                </w:trPr>
                <w:tc>
                  <w:tcPr>
                    <w:tcW w:w="1409" w:type="pct"/>
                    <w:tcBorders>
                      <w:top w:val="single" w:sz="4" w:space="0" w:color="auto"/>
                      <w:left w:val="single" w:sz="4" w:space="0" w:color="auto"/>
                      <w:bottom w:val="single" w:sz="4" w:space="0" w:color="auto"/>
                      <w:right w:val="single" w:sz="4" w:space="0" w:color="auto"/>
                    </w:tcBorders>
                    <w:shd w:val="clear" w:color="auto" w:fill="auto"/>
                  </w:tcPr>
                  <w:p w14:paraId="21224EC8" w14:textId="77777777" w:rsidR="007E7472" w:rsidRDefault="00EC1269">
                    <w:pPr>
                      <w:rPr>
                        <w:rFonts w:asciiTheme="minorEastAsia" w:eastAsiaTheme="minorEastAsia" w:hAnsiTheme="minorEastAsia"/>
                      </w:rPr>
                    </w:pPr>
                    <w:r>
                      <w:rPr>
                        <w:rFonts w:asciiTheme="minorEastAsia" w:eastAsiaTheme="minorEastAsia" w:hAnsiTheme="minorEastAsia" w:hint="eastAsia"/>
                      </w:rPr>
                      <w:t>控股股东及其控制的公司</w:t>
                    </w:r>
                  </w:p>
                </w:tc>
                <w:tc>
                  <w:tcPr>
                    <w:tcW w:w="1480" w:type="pct"/>
                    <w:tcBorders>
                      <w:top w:val="single" w:sz="4" w:space="0" w:color="auto"/>
                      <w:left w:val="single" w:sz="4" w:space="0" w:color="auto"/>
                      <w:bottom w:val="single" w:sz="4" w:space="0" w:color="auto"/>
                      <w:right w:val="single" w:sz="4" w:space="0" w:color="auto"/>
                    </w:tcBorders>
                    <w:shd w:val="clear" w:color="auto" w:fill="auto"/>
                  </w:tcPr>
                  <w:p w14:paraId="3C350EA5" w14:textId="77777777" w:rsidR="007E7472" w:rsidRDefault="00EC1269">
                    <w:pPr>
                      <w:rPr>
                        <w:rFonts w:asciiTheme="minorEastAsia" w:eastAsiaTheme="minorEastAsia" w:hAnsiTheme="minorEastAsia"/>
                      </w:rPr>
                    </w:pPr>
                    <w:r>
                      <w:rPr>
                        <w:rFonts w:asciiTheme="minorEastAsia" w:eastAsiaTheme="minorEastAsia" w:hAnsiTheme="minorEastAsia" w:hint="eastAsia"/>
                      </w:rPr>
                      <w:t>销售商品</w:t>
                    </w:r>
                    <w:r>
                      <w:rPr>
                        <w:rFonts w:asciiTheme="minorEastAsia" w:eastAsiaTheme="minorEastAsia" w:hAnsiTheme="minorEastAsia"/>
                      </w:rPr>
                      <w:t>-材料</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5A7FAE6D" w14:textId="77777777" w:rsidR="007E7472" w:rsidRDefault="00EC1269">
                    <w:pPr>
                      <w:jc w:val="right"/>
                      <w:rPr>
                        <w:rFonts w:asciiTheme="minorEastAsia" w:eastAsiaTheme="minorEastAsia" w:hAnsiTheme="minorEastAsia"/>
                      </w:rPr>
                    </w:pPr>
                    <w:r>
                      <w:rPr>
                        <w:rFonts w:asciiTheme="minorEastAsia" w:eastAsiaTheme="minorEastAsia" w:hAnsiTheme="minorEastAsia"/>
                      </w:rPr>
                      <w:t>188,692</w:t>
                    </w:r>
                  </w:p>
                </w:tc>
                <w:tc>
                  <w:tcPr>
                    <w:tcW w:w="1075" w:type="pct"/>
                    <w:tcBorders>
                      <w:top w:val="single" w:sz="4" w:space="0" w:color="auto"/>
                      <w:left w:val="single" w:sz="4" w:space="0" w:color="auto"/>
                      <w:bottom w:val="single" w:sz="4" w:space="0" w:color="auto"/>
                      <w:right w:val="single" w:sz="4" w:space="0" w:color="auto"/>
                    </w:tcBorders>
                    <w:shd w:val="clear" w:color="auto" w:fill="auto"/>
                  </w:tcPr>
                  <w:p w14:paraId="6F53674F" w14:textId="77777777" w:rsidR="007E7472" w:rsidRDefault="00EC1269">
                    <w:pPr>
                      <w:jc w:val="right"/>
                      <w:rPr>
                        <w:rFonts w:asciiTheme="minorEastAsia" w:eastAsiaTheme="minorEastAsia" w:hAnsiTheme="minorEastAsia"/>
                      </w:rPr>
                    </w:pPr>
                    <w:r>
                      <w:rPr>
                        <w:rFonts w:asciiTheme="minorEastAsia" w:eastAsiaTheme="minorEastAsia" w:hAnsiTheme="minorEastAsia"/>
                      </w:rPr>
                      <w:t>277,022</w:t>
                    </w:r>
                  </w:p>
                </w:tc>
              </w:tr>
            </w:sdtContent>
          </w:sdt>
          <w:sdt>
            <w:sdtPr>
              <w:rPr>
                <w:rFonts w:asciiTheme="minorEastAsia" w:eastAsiaTheme="minorEastAsia" w:hAnsiTheme="minorEastAsia"/>
              </w:rPr>
              <w:alias w:val="出售商品提供劳务情况明细"/>
              <w:tag w:val="_GBC_d6e24b6ca62645f180ecf5d4621afdc6"/>
              <w:id w:val="1697184992"/>
              <w:lock w:val="sdtLocked"/>
            </w:sdtPr>
            <w:sdtEndPr/>
            <w:sdtContent>
              <w:tr w:rsidR="007E7472" w14:paraId="3DCD4582" w14:textId="77777777">
                <w:trPr>
                  <w:cantSplit/>
                </w:trPr>
                <w:tc>
                  <w:tcPr>
                    <w:tcW w:w="1409" w:type="pct"/>
                    <w:tcBorders>
                      <w:top w:val="single" w:sz="4" w:space="0" w:color="auto"/>
                      <w:left w:val="single" w:sz="4" w:space="0" w:color="auto"/>
                      <w:bottom w:val="single" w:sz="4" w:space="0" w:color="auto"/>
                      <w:right w:val="single" w:sz="4" w:space="0" w:color="auto"/>
                    </w:tcBorders>
                    <w:shd w:val="clear" w:color="auto" w:fill="auto"/>
                  </w:tcPr>
                  <w:p w14:paraId="73A33926" w14:textId="77777777" w:rsidR="007E7472" w:rsidRDefault="00EC1269">
                    <w:pPr>
                      <w:rPr>
                        <w:rFonts w:asciiTheme="minorEastAsia" w:eastAsiaTheme="minorEastAsia" w:hAnsiTheme="minorEastAsia"/>
                      </w:rPr>
                    </w:pPr>
                    <w:r>
                      <w:rPr>
                        <w:rFonts w:asciiTheme="minorEastAsia" w:eastAsiaTheme="minorEastAsia" w:hAnsiTheme="minorEastAsia" w:hint="eastAsia"/>
                      </w:rPr>
                      <w:t>其他关联方</w:t>
                    </w:r>
                  </w:p>
                </w:tc>
                <w:tc>
                  <w:tcPr>
                    <w:tcW w:w="1480" w:type="pct"/>
                    <w:tcBorders>
                      <w:top w:val="single" w:sz="4" w:space="0" w:color="auto"/>
                      <w:left w:val="single" w:sz="4" w:space="0" w:color="auto"/>
                      <w:bottom w:val="single" w:sz="4" w:space="0" w:color="auto"/>
                      <w:right w:val="single" w:sz="4" w:space="0" w:color="auto"/>
                    </w:tcBorders>
                    <w:shd w:val="clear" w:color="auto" w:fill="auto"/>
                  </w:tcPr>
                  <w:p w14:paraId="57D46BCD" w14:textId="77777777" w:rsidR="007E7472" w:rsidRDefault="00EC1269">
                    <w:pPr>
                      <w:rPr>
                        <w:rFonts w:asciiTheme="minorEastAsia" w:eastAsiaTheme="minorEastAsia" w:hAnsiTheme="minorEastAsia"/>
                      </w:rPr>
                    </w:pPr>
                    <w:r>
                      <w:rPr>
                        <w:rFonts w:asciiTheme="minorEastAsia" w:eastAsiaTheme="minorEastAsia" w:hAnsiTheme="minorEastAsia" w:hint="eastAsia"/>
                      </w:rPr>
                      <w:t>销售商品</w:t>
                    </w:r>
                    <w:r>
                      <w:rPr>
                        <w:rFonts w:asciiTheme="minorEastAsia" w:eastAsiaTheme="minorEastAsia" w:hAnsiTheme="minorEastAsia"/>
                      </w:rPr>
                      <w:t>-材料</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0B388133" w14:textId="77777777" w:rsidR="007E7472" w:rsidRDefault="00C8327E">
                    <w:pPr>
                      <w:jc w:val="right"/>
                      <w:rPr>
                        <w:rFonts w:asciiTheme="minorEastAsia" w:eastAsiaTheme="minorEastAsia" w:hAnsiTheme="minorEastAsia"/>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14:paraId="11C14052" w14:textId="77777777" w:rsidR="007E7472" w:rsidRDefault="00EC1269">
                    <w:pPr>
                      <w:jc w:val="right"/>
                      <w:rPr>
                        <w:rFonts w:asciiTheme="minorEastAsia" w:eastAsiaTheme="minorEastAsia" w:hAnsiTheme="minorEastAsia"/>
                      </w:rPr>
                    </w:pPr>
                    <w:r>
                      <w:rPr>
                        <w:rFonts w:asciiTheme="minorEastAsia" w:eastAsiaTheme="minorEastAsia" w:hAnsiTheme="minorEastAsia"/>
                      </w:rPr>
                      <w:t>9,159</w:t>
                    </w:r>
                  </w:p>
                </w:tc>
              </w:tr>
            </w:sdtContent>
          </w:sdt>
          <w:sdt>
            <w:sdtPr>
              <w:rPr>
                <w:rFonts w:asciiTheme="minorEastAsia" w:eastAsiaTheme="minorEastAsia" w:hAnsiTheme="minorEastAsia"/>
              </w:rPr>
              <w:alias w:val="出售商品提供劳务情况明细"/>
              <w:tag w:val="_GBC_d6e24b6ca62645f180ecf5d4621afdc6"/>
              <w:id w:val="-1828426246"/>
              <w:lock w:val="sdtLocked"/>
            </w:sdtPr>
            <w:sdtEndPr/>
            <w:sdtContent>
              <w:tr w:rsidR="007E7472" w14:paraId="51845CBE" w14:textId="77777777">
                <w:trPr>
                  <w:cantSplit/>
                </w:trPr>
                <w:tc>
                  <w:tcPr>
                    <w:tcW w:w="1409" w:type="pct"/>
                    <w:tcBorders>
                      <w:top w:val="single" w:sz="4" w:space="0" w:color="auto"/>
                      <w:left w:val="single" w:sz="4" w:space="0" w:color="auto"/>
                      <w:bottom w:val="single" w:sz="4" w:space="0" w:color="auto"/>
                      <w:right w:val="single" w:sz="4" w:space="0" w:color="auto"/>
                    </w:tcBorders>
                    <w:shd w:val="clear" w:color="auto" w:fill="auto"/>
                  </w:tcPr>
                  <w:p w14:paraId="06F05D27" w14:textId="77777777" w:rsidR="007E7472" w:rsidRDefault="00EC1269">
                    <w:pPr>
                      <w:rPr>
                        <w:rFonts w:asciiTheme="minorEastAsia" w:eastAsiaTheme="minorEastAsia" w:hAnsiTheme="minorEastAsia"/>
                      </w:rPr>
                    </w:pPr>
                    <w:r>
                      <w:rPr>
                        <w:rFonts w:asciiTheme="minorEastAsia" w:eastAsiaTheme="minorEastAsia" w:hAnsiTheme="minorEastAsia" w:hint="eastAsia"/>
                      </w:rPr>
                      <w:t>控股股东及其控制的公司</w:t>
                    </w:r>
                  </w:p>
                </w:tc>
                <w:tc>
                  <w:tcPr>
                    <w:tcW w:w="1480" w:type="pct"/>
                    <w:tcBorders>
                      <w:top w:val="single" w:sz="4" w:space="0" w:color="auto"/>
                      <w:left w:val="single" w:sz="4" w:space="0" w:color="auto"/>
                      <w:bottom w:val="single" w:sz="4" w:space="0" w:color="auto"/>
                      <w:right w:val="single" w:sz="4" w:space="0" w:color="auto"/>
                    </w:tcBorders>
                    <w:shd w:val="clear" w:color="auto" w:fill="auto"/>
                  </w:tcPr>
                  <w:p w14:paraId="4E325B3D" w14:textId="77777777" w:rsidR="007E7472" w:rsidRDefault="00EC1269">
                    <w:pPr>
                      <w:rPr>
                        <w:rFonts w:asciiTheme="minorEastAsia" w:eastAsiaTheme="minorEastAsia" w:hAnsiTheme="minorEastAsia"/>
                      </w:rPr>
                    </w:pPr>
                    <w:r>
                      <w:rPr>
                        <w:rFonts w:asciiTheme="minorEastAsia" w:eastAsiaTheme="minorEastAsia" w:hAnsiTheme="minorEastAsia" w:hint="eastAsia"/>
                      </w:rPr>
                      <w:t>销售商品</w:t>
                    </w:r>
                    <w:r>
                      <w:rPr>
                        <w:rFonts w:asciiTheme="minorEastAsia" w:eastAsiaTheme="minorEastAsia" w:hAnsiTheme="minorEastAsia"/>
                      </w:rPr>
                      <w:t>-大宗商品</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7CE3043B" w14:textId="77777777" w:rsidR="007E7472" w:rsidRDefault="00EC1269">
                    <w:pPr>
                      <w:jc w:val="right"/>
                      <w:rPr>
                        <w:rFonts w:asciiTheme="minorEastAsia" w:eastAsiaTheme="minorEastAsia" w:hAnsiTheme="minorEastAsia"/>
                      </w:rPr>
                    </w:pPr>
                    <w:r>
                      <w:rPr>
                        <w:rFonts w:asciiTheme="minorEastAsia" w:eastAsiaTheme="minorEastAsia" w:hAnsiTheme="minorEastAsia"/>
                      </w:rPr>
                      <w:t>181,810</w:t>
                    </w:r>
                  </w:p>
                </w:tc>
                <w:tc>
                  <w:tcPr>
                    <w:tcW w:w="1075" w:type="pct"/>
                    <w:tcBorders>
                      <w:top w:val="single" w:sz="4" w:space="0" w:color="auto"/>
                      <w:left w:val="single" w:sz="4" w:space="0" w:color="auto"/>
                      <w:bottom w:val="single" w:sz="4" w:space="0" w:color="auto"/>
                      <w:right w:val="single" w:sz="4" w:space="0" w:color="auto"/>
                    </w:tcBorders>
                    <w:shd w:val="clear" w:color="auto" w:fill="auto"/>
                  </w:tcPr>
                  <w:p w14:paraId="2C2639CE" w14:textId="77777777" w:rsidR="007E7472" w:rsidRDefault="00EC1269">
                    <w:pPr>
                      <w:jc w:val="right"/>
                      <w:rPr>
                        <w:rFonts w:asciiTheme="minorEastAsia" w:eastAsiaTheme="minorEastAsia" w:hAnsiTheme="minorEastAsia"/>
                      </w:rPr>
                    </w:pPr>
                    <w:r>
                      <w:rPr>
                        <w:rFonts w:asciiTheme="minorEastAsia" w:eastAsiaTheme="minorEastAsia" w:hAnsiTheme="minorEastAsia"/>
                      </w:rPr>
                      <w:t>105,346</w:t>
                    </w:r>
                  </w:p>
                </w:tc>
              </w:tr>
            </w:sdtContent>
          </w:sdt>
          <w:sdt>
            <w:sdtPr>
              <w:rPr>
                <w:rFonts w:asciiTheme="minorEastAsia" w:eastAsiaTheme="minorEastAsia" w:hAnsiTheme="minorEastAsia"/>
              </w:rPr>
              <w:alias w:val="出售商品提供劳务情况明细"/>
              <w:tag w:val="_GBC_d6e24b6ca62645f180ecf5d4621afdc6"/>
              <w:id w:val="1619100235"/>
              <w:lock w:val="sdtLocked"/>
            </w:sdtPr>
            <w:sdtEndPr/>
            <w:sdtContent>
              <w:tr w:rsidR="007E7472" w14:paraId="23D53921" w14:textId="77777777">
                <w:trPr>
                  <w:cantSplit/>
                </w:trPr>
                <w:tc>
                  <w:tcPr>
                    <w:tcW w:w="1409" w:type="pct"/>
                    <w:tcBorders>
                      <w:top w:val="single" w:sz="4" w:space="0" w:color="auto"/>
                      <w:left w:val="single" w:sz="4" w:space="0" w:color="auto"/>
                      <w:bottom w:val="single" w:sz="4" w:space="0" w:color="auto"/>
                      <w:right w:val="single" w:sz="4" w:space="0" w:color="auto"/>
                    </w:tcBorders>
                    <w:shd w:val="clear" w:color="auto" w:fill="auto"/>
                  </w:tcPr>
                  <w:p w14:paraId="5DE6B4BF" w14:textId="77777777" w:rsidR="007E7472" w:rsidRDefault="00EC1269">
                    <w:pPr>
                      <w:rPr>
                        <w:rFonts w:asciiTheme="minorEastAsia" w:eastAsiaTheme="minorEastAsia" w:hAnsiTheme="minorEastAsia"/>
                      </w:rPr>
                    </w:pPr>
                    <w:r>
                      <w:rPr>
                        <w:rFonts w:asciiTheme="minorEastAsia" w:eastAsiaTheme="minorEastAsia" w:hAnsiTheme="minorEastAsia" w:hint="eastAsia"/>
                      </w:rPr>
                      <w:t>控股股东及其控制的公司</w:t>
                    </w:r>
                  </w:p>
                </w:tc>
                <w:tc>
                  <w:tcPr>
                    <w:tcW w:w="1480" w:type="pct"/>
                    <w:tcBorders>
                      <w:top w:val="single" w:sz="4" w:space="0" w:color="auto"/>
                      <w:left w:val="single" w:sz="4" w:space="0" w:color="auto"/>
                      <w:bottom w:val="single" w:sz="4" w:space="0" w:color="auto"/>
                      <w:right w:val="single" w:sz="4" w:space="0" w:color="auto"/>
                    </w:tcBorders>
                    <w:shd w:val="clear" w:color="auto" w:fill="auto"/>
                  </w:tcPr>
                  <w:p w14:paraId="76B0E76A" w14:textId="77777777" w:rsidR="007E7472" w:rsidRDefault="00EC1269">
                    <w:pPr>
                      <w:rPr>
                        <w:rFonts w:asciiTheme="minorEastAsia" w:eastAsiaTheme="minorEastAsia" w:hAnsiTheme="minorEastAsia"/>
                      </w:rPr>
                    </w:pPr>
                    <w:r>
                      <w:rPr>
                        <w:rFonts w:asciiTheme="minorEastAsia" w:eastAsiaTheme="minorEastAsia" w:hAnsiTheme="minorEastAsia" w:hint="eastAsia"/>
                      </w:rPr>
                      <w:t>销售商品</w:t>
                    </w:r>
                    <w:r>
                      <w:rPr>
                        <w:rFonts w:asciiTheme="minorEastAsia" w:eastAsiaTheme="minorEastAsia" w:hAnsiTheme="minorEastAsia"/>
                      </w:rPr>
                      <w:t>-电、热</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7BAABA27" w14:textId="77777777" w:rsidR="007E7472" w:rsidRDefault="00EC1269">
                    <w:pPr>
                      <w:jc w:val="right"/>
                      <w:rPr>
                        <w:rFonts w:asciiTheme="minorEastAsia" w:eastAsiaTheme="minorEastAsia" w:hAnsiTheme="minorEastAsia"/>
                      </w:rPr>
                    </w:pPr>
                    <w:r>
                      <w:rPr>
                        <w:rFonts w:asciiTheme="minorEastAsia" w:eastAsiaTheme="minorEastAsia" w:hAnsiTheme="minorEastAsia"/>
                      </w:rPr>
                      <w:t>4,464</w:t>
                    </w:r>
                  </w:p>
                </w:tc>
                <w:tc>
                  <w:tcPr>
                    <w:tcW w:w="1075" w:type="pct"/>
                    <w:tcBorders>
                      <w:top w:val="single" w:sz="4" w:space="0" w:color="auto"/>
                      <w:left w:val="single" w:sz="4" w:space="0" w:color="auto"/>
                      <w:bottom w:val="single" w:sz="4" w:space="0" w:color="auto"/>
                      <w:right w:val="single" w:sz="4" w:space="0" w:color="auto"/>
                    </w:tcBorders>
                    <w:shd w:val="clear" w:color="auto" w:fill="auto"/>
                  </w:tcPr>
                  <w:p w14:paraId="5FB452B1" w14:textId="77777777" w:rsidR="007E7472" w:rsidRDefault="00EC1269">
                    <w:pPr>
                      <w:jc w:val="right"/>
                      <w:rPr>
                        <w:rFonts w:asciiTheme="minorEastAsia" w:eastAsiaTheme="minorEastAsia" w:hAnsiTheme="minorEastAsia"/>
                      </w:rPr>
                    </w:pPr>
                    <w:r>
                      <w:rPr>
                        <w:rFonts w:asciiTheme="minorEastAsia" w:eastAsiaTheme="minorEastAsia" w:hAnsiTheme="minorEastAsia"/>
                      </w:rPr>
                      <w:t>10,732</w:t>
                    </w:r>
                  </w:p>
                </w:tc>
              </w:tr>
            </w:sdtContent>
          </w:sdt>
          <w:sdt>
            <w:sdtPr>
              <w:rPr>
                <w:rFonts w:asciiTheme="minorEastAsia" w:eastAsiaTheme="minorEastAsia" w:hAnsiTheme="minorEastAsia"/>
              </w:rPr>
              <w:alias w:val="出售商品提供劳务情况明细"/>
              <w:tag w:val="_GBC_d6e24b6ca62645f180ecf5d4621afdc6"/>
              <w:id w:val="-725139826"/>
              <w:lock w:val="sdtLocked"/>
            </w:sdtPr>
            <w:sdtEndPr/>
            <w:sdtContent>
              <w:tr w:rsidR="007E7472" w14:paraId="6D02AD9E" w14:textId="77777777">
                <w:trPr>
                  <w:cantSplit/>
                </w:trPr>
                <w:tc>
                  <w:tcPr>
                    <w:tcW w:w="1409" w:type="pct"/>
                    <w:tcBorders>
                      <w:top w:val="single" w:sz="4" w:space="0" w:color="auto"/>
                      <w:left w:val="single" w:sz="4" w:space="0" w:color="auto"/>
                      <w:bottom w:val="single" w:sz="4" w:space="0" w:color="auto"/>
                      <w:right w:val="single" w:sz="4" w:space="0" w:color="auto"/>
                    </w:tcBorders>
                    <w:shd w:val="clear" w:color="auto" w:fill="auto"/>
                  </w:tcPr>
                  <w:p w14:paraId="45FD5EE2" w14:textId="77777777" w:rsidR="007E7472" w:rsidRDefault="00EC1269">
                    <w:pPr>
                      <w:rPr>
                        <w:rFonts w:asciiTheme="minorEastAsia" w:eastAsiaTheme="minorEastAsia" w:hAnsiTheme="minorEastAsia"/>
                      </w:rPr>
                    </w:pPr>
                    <w:r>
                      <w:rPr>
                        <w:rFonts w:asciiTheme="minorEastAsia" w:eastAsiaTheme="minorEastAsia" w:hAnsiTheme="minorEastAsia" w:hint="eastAsia"/>
                      </w:rPr>
                      <w:t>联营企业</w:t>
                    </w:r>
                  </w:p>
                </w:tc>
                <w:tc>
                  <w:tcPr>
                    <w:tcW w:w="1480" w:type="pct"/>
                    <w:tcBorders>
                      <w:top w:val="single" w:sz="4" w:space="0" w:color="auto"/>
                      <w:left w:val="single" w:sz="4" w:space="0" w:color="auto"/>
                      <w:bottom w:val="single" w:sz="4" w:space="0" w:color="auto"/>
                      <w:right w:val="single" w:sz="4" w:space="0" w:color="auto"/>
                    </w:tcBorders>
                    <w:shd w:val="clear" w:color="auto" w:fill="auto"/>
                  </w:tcPr>
                  <w:p w14:paraId="242DF146" w14:textId="77777777" w:rsidR="007E7472" w:rsidRDefault="00EC1269">
                    <w:pPr>
                      <w:rPr>
                        <w:rFonts w:asciiTheme="minorEastAsia" w:eastAsiaTheme="minorEastAsia" w:hAnsiTheme="minorEastAsia"/>
                      </w:rPr>
                    </w:pPr>
                    <w:r>
                      <w:rPr>
                        <w:rFonts w:asciiTheme="minorEastAsia" w:eastAsiaTheme="minorEastAsia" w:hAnsiTheme="minorEastAsia" w:hint="eastAsia"/>
                      </w:rPr>
                      <w:t>销售商品</w:t>
                    </w:r>
                    <w:r>
                      <w:rPr>
                        <w:rFonts w:asciiTheme="minorEastAsia" w:eastAsiaTheme="minorEastAsia" w:hAnsiTheme="minorEastAsia"/>
                      </w:rPr>
                      <w:t>-电、热</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118DD6DC" w14:textId="77777777" w:rsidR="007E7472" w:rsidRDefault="00C8327E">
                    <w:pPr>
                      <w:jc w:val="right"/>
                      <w:rPr>
                        <w:rFonts w:asciiTheme="minorEastAsia" w:eastAsiaTheme="minorEastAsia" w:hAnsiTheme="minorEastAsia"/>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14:paraId="097873E4" w14:textId="77777777" w:rsidR="007E7472" w:rsidRDefault="00EC1269">
                    <w:pPr>
                      <w:jc w:val="right"/>
                      <w:rPr>
                        <w:rFonts w:asciiTheme="minorEastAsia" w:eastAsiaTheme="minorEastAsia" w:hAnsiTheme="minorEastAsia"/>
                      </w:rPr>
                    </w:pPr>
                    <w:r>
                      <w:rPr>
                        <w:rFonts w:asciiTheme="minorEastAsia" w:eastAsiaTheme="minorEastAsia" w:hAnsiTheme="minorEastAsia"/>
                      </w:rPr>
                      <w:t>1,632</w:t>
                    </w:r>
                  </w:p>
                </w:tc>
              </w:tr>
            </w:sdtContent>
          </w:sdt>
          <w:sdt>
            <w:sdtPr>
              <w:rPr>
                <w:rFonts w:asciiTheme="minorEastAsia" w:eastAsiaTheme="minorEastAsia" w:hAnsiTheme="minorEastAsia"/>
              </w:rPr>
              <w:alias w:val="出售商品提供劳务情况明细"/>
              <w:tag w:val="_GBC_d6e24b6ca62645f180ecf5d4621afdc6"/>
              <w:id w:val="397951832"/>
              <w:lock w:val="sdtLocked"/>
            </w:sdtPr>
            <w:sdtEndPr/>
            <w:sdtContent>
              <w:tr w:rsidR="007E7472" w14:paraId="4ADB9908" w14:textId="77777777">
                <w:trPr>
                  <w:cantSplit/>
                </w:trPr>
                <w:tc>
                  <w:tcPr>
                    <w:tcW w:w="1409" w:type="pct"/>
                    <w:tcBorders>
                      <w:top w:val="single" w:sz="4" w:space="0" w:color="auto"/>
                      <w:left w:val="single" w:sz="4" w:space="0" w:color="auto"/>
                      <w:bottom w:val="single" w:sz="4" w:space="0" w:color="auto"/>
                      <w:right w:val="single" w:sz="4" w:space="0" w:color="auto"/>
                    </w:tcBorders>
                    <w:shd w:val="clear" w:color="auto" w:fill="auto"/>
                  </w:tcPr>
                  <w:p w14:paraId="1ACB84A8" w14:textId="77777777" w:rsidR="007E7472" w:rsidRDefault="00EC1269">
                    <w:pPr>
                      <w:rPr>
                        <w:rFonts w:asciiTheme="minorEastAsia" w:eastAsiaTheme="minorEastAsia" w:hAnsiTheme="minorEastAsia"/>
                      </w:rPr>
                    </w:pPr>
                    <w:r>
                      <w:rPr>
                        <w:rFonts w:asciiTheme="minorEastAsia" w:eastAsiaTheme="minorEastAsia" w:hAnsiTheme="minorEastAsia" w:hint="eastAsia"/>
                      </w:rPr>
                      <w:t>控股股东及其控制的公司</w:t>
                    </w:r>
                  </w:p>
                </w:tc>
                <w:tc>
                  <w:tcPr>
                    <w:tcW w:w="1480" w:type="pct"/>
                    <w:tcBorders>
                      <w:top w:val="single" w:sz="4" w:space="0" w:color="auto"/>
                      <w:left w:val="single" w:sz="4" w:space="0" w:color="auto"/>
                      <w:bottom w:val="single" w:sz="4" w:space="0" w:color="auto"/>
                      <w:right w:val="single" w:sz="4" w:space="0" w:color="auto"/>
                    </w:tcBorders>
                    <w:shd w:val="clear" w:color="auto" w:fill="auto"/>
                  </w:tcPr>
                  <w:p w14:paraId="0CACD70F" w14:textId="77777777" w:rsidR="007E7472" w:rsidRDefault="00EC1269">
                    <w:pPr>
                      <w:rPr>
                        <w:rFonts w:asciiTheme="minorEastAsia" w:eastAsiaTheme="minorEastAsia" w:hAnsiTheme="minorEastAsia"/>
                      </w:rPr>
                    </w:pPr>
                    <w:r>
                      <w:rPr>
                        <w:rFonts w:asciiTheme="minorEastAsia" w:eastAsiaTheme="minorEastAsia" w:hAnsiTheme="minorEastAsia" w:hint="eastAsia"/>
                      </w:rPr>
                      <w:t>提供劳务</w:t>
                    </w:r>
                    <w:r>
                      <w:rPr>
                        <w:rFonts w:asciiTheme="minorEastAsia" w:eastAsiaTheme="minorEastAsia" w:hAnsiTheme="minorEastAsia"/>
                      </w:rPr>
                      <w:t>-设备租赁</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5DC30C80" w14:textId="77777777" w:rsidR="007E7472" w:rsidRDefault="00EC1269">
                    <w:pPr>
                      <w:jc w:val="right"/>
                      <w:rPr>
                        <w:rFonts w:asciiTheme="minorEastAsia" w:eastAsiaTheme="minorEastAsia" w:hAnsiTheme="minorEastAsia"/>
                      </w:rPr>
                    </w:pPr>
                    <w:r>
                      <w:rPr>
                        <w:rFonts w:asciiTheme="minorEastAsia" w:eastAsiaTheme="minorEastAsia" w:hAnsiTheme="minorEastAsia"/>
                      </w:rPr>
                      <w:t>25,817</w:t>
                    </w:r>
                  </w:p>
                </w:tc>
                <w:tc>
                  <w:tcPr>
                    <w:tcW w:w="1075" w:type="pct"/>
                    <w:tcBorders>
                      <w:top w:val="single" w:sz="4" w:space="0" w:color="auto"/>
                      <w:left w:val="single" w:sz="4" w:space="0" w:color="auto"/>
                      <w:bottom w:val="single" w:sz="4" w:space="0" w:color="auto"/>
                      <w:right w:val="single" w:sz="4" w:space="0" w:color="auto"/>
                    </w:tcBorders>
                    <w:shd w:val="clear" w:color="auto" w:fill="auto"/>
                  </w:tcPr>
                  <w:p w14:paraId="1EC3713B" w14:textId="77777777" w:rsidR="007E7472" w:rsidRDefault="00EC1269">
                    <w:pPr>
                      <w:jc w:val="right"/>
                      <w:rPr>
                        <w:rFonts w:asciiTheme="minorEastAsia" w:eastAsiaTheme="minorEastAsia" w:hAnsiTheme="minorEastAsia"/>
                      </w:rPr>
                    </w:pPr>
                    <w:r>
                      <w:rPr>
                        <w:rFonts w:asciiTheme="minorEastAsia" w:eastAsiaTheme="minorEastAsia" w:hAnsiTheme="minorEastAsia"/>
                      </w:rPr>
                      <w:t>19,135</w:t>
                    </w:r>
                  </w:p>
                </w:tc>
              </w:tr>
            </w:sdtContent>
          </w:sdt>
          <w:sdt>
            <w:sdtPr>
              <w:rPr>
                <w:rFonts w:asciiTheme="minorEastAsia" w:eastAsiaTheme="minorEastAsia" w:hAnsiTheme="minorEastAsia"/>
              </w:rPr>
              <w:alias w:val="出售商品提供劳务情况明细"/>
              <w:tag w:val="_GBC_d6e24b6ca62645f180ecf5d4621afdc6"/>
              <w:id w:val="-377011399"/>
              <w:lock w:val="sdtLocked"/>
            </w:sdtPr>
            <w:sdtEndPr/>
            <w:sdtContent>
              <w:tr w:rsidR="007E7472" w14:paraId="15929F50" w14:textId="77777777">
                <w:trPr>
                  <w:cantSplit/>
                </w:trPr>
                <w:tc>
                  <w:tcPr>
                    <w:tcW w:w="1409" w:type="pct"/>
                    <w:tcBorders>
                      <w:top w:val="single" w:sz="4" w:space="0" w:color="auto"/>
                      <w:left w:val="single" w:sz="4" w:space="0" w:color="auto"/>
                      <w:bottom w:val="single" w:sz="4" w:space="0" w:color="auto"/>
                      <w:right w:val="single" w:sz="4" w:space="0" w:color="auto"/>
                    </w:tcBorders>
                    <w:shd w:val="clear" w:color="auto" w:fill="auto"/>
                  </w:tcPr>
                  <w:p w14:paraId="658AB560" w14:textId="77777777" w:rsidR="007E7472" w:rsidRDefault="00EC1269">
                    <w:pPr>
                      <w:rPr>
                        <w:rFonts w:asciiTheme="minorEastAsia" w:eastAsiaTheme="minorEastAsia" w:hAnsiTheme="minorEastAsia"/>
                      </w:rPr>
                    </w:pPr>
                    <w:r>
                      <w:rPr>
                        <w:rFonts w:asciiTheme="minorEastAsia" w:eastAsiaTheme="minorEastAsia" w:hAnsiTheme="minorEastAsia" w:hint="eastAsia"/>
                      </w:rPr>
                      <w:t>联营企业</w:t>
                    </w:r>
                  </w:p>
                </w:tc>
                <w:tc>
                  <w:tcPr>
                    <w:tcW w:w="1480" w:type="pct"/>
                    <w:tcBorders>
                      <w:top w:val="single" w:sz="4" w:space="0" w:color="auto"/>
                      <w:left w:val="single" w:sz="4" w:space="0" w:color="auto"/>
                      <w:bottom w:val="single" w:sz="4" w:space="0" w:color="auto"/>
                      <w:right w:val="single" w:sz="4" w:space="0" w:color="auto"/>
                    </w:tcBorders>
                    <w:shd w:val="clear" w:color="auto" w:fill="auto"/>
                  </w:tcPr>
                  <w:p w14:paraId="155D0C2E" w14:textId="77777777" w:rsidR="007E7472" w:rsidRDefault="00EC1269">
                    <w:pPr>
                      <w:rPr>
                        <w:rFonts w:asciiTheme="minorEastAsia" w:eastAsiaTheme="minorEastAsia" w:hAnsiTheme="minorEastAsia"/>
                      </w:rPr>
                    </w:pPr>
                    <w:r>
                      <w:rPr>
                        <w:rFonts w:asciiTheme="minorEastAsia" w:eastAsiaTheme="minorEastAsia" w:hAnsiTheme="minorEastAsia" w:hint="eastAsia"/>
                      </w:rPr>
                      <w:t>提供劳务</w:t>
                    </w:r>
                    <w:r>
                      <w:rPr>
                        <w:rFonts w:asciiTheme="minorEastAsia" w:eastAsiaTheme="minorEastAsia" w:hAnsiTheme="minorEastAsia"/>
                      </w:rPr>
                      <w:t>-设备租赁</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2DA8EE32" w14:textId="77777777" w:rsidR="007E7472" w:rsidRDefault="00EC1269">
                    <w:pPr>
                      <w:jc w:val="right"/>
                      <w:rPr>
                        <w:rFonts w:asciiTheme="minorEastAsia" w:eastAsiaTheme="minorEastAsia" w:hAnsiTheme="minorEastAsia"/>
                      </w:rPr>
                    </w:pPr>
                    <w:r>
                      <w:rPr>
                        <w:rFonts w:asciiTheme="minorEastAsia" w:eastAsiaTheme="minorEastAsia" w:hAnsiTheme="minorEastAsia"/>
                      </w:rPr>
                      <w:t>9,983</w:t>
                    </w:r>
                  </w:p>
                </w:tc>
                <w:tc>
                  <w:tcPr>
                    <w:tcW w:w="1075" w:type="pct"/>
                    <w:tcBorders>
                      <w:top w:val="single" w:sz="4" w:space="0" w:color="auto"/>
                      <w:left w:val="single" w:sz="4" w:space="0" w:color="auto"/>
                      <w:bottom w:val="single" w:sz="4" w:space="0" w:color="auto"/>
                      <w:right w:val="single" w:sz="4" w:space="0" w:color="auto"/>
                    </w:tcBorders>
                    <w:shd w:val="clear" w:color="auto" w:fill="auto"/>
                  </w:tcPr>
                  <w:p w14:paraId="44C6B175" w14:textId="77777777" w:rsidR="007E7472" w:rsidRDefault="00C8327E">
                    <w:pPr>
                      <w:jc w:val="right"/>
                      <w:rPr>
                        <w:rFonts w:asciiTheme="minorEastAsia" w:eastAsiaTheme="minorEastAsia" w:hAnsiTheme="minorEastAsia"/>
                      </w:rPr>
                    </w:pPr>
                  </w:p>
                </w:tc>
              </w:tr>
            </w:sdtContent>
          </w:sdt>
          <w:sdt>
            <w:sdtPr>
              <w:rPr>
                <w:rFonts w:asciiTheme="minorEastAsia" w:eastAsiaTheme="minorEastAsia" w:hAnsiTheme="minorEastAsia"/>
              </w:rPr>
              <w:alias w:val="出售商品提供劳务情况明细"/>
              <w:tag w:val="_GBC_d6e24b6ca62645f180ecf5d4621afdc6"/>
              <w:id w:val="653643914"/>
              <w:lock w:val="sdtLocked"/>
            </w:sdtPr>
            <w:sdtEndPr/>
            <w:sdtContent>
              <w:tr w:rsidR="007E7472" w14:paraId="0F46BB3D" w14:textId="77777777">
                <w:trPr>
                  <w:cantSplit/>
                </w:trPr>
                <w:tc>
                  <w:tcPr>
                    <w:tcW w:w="1409" w:type="pct"/>
                    <w:tcBorders>
                      <w:top w:val="single" w:sz="4" w:space="0" w:color="auto"/>
                      <w:left w:val="single" w:sz="4" w:space="0" w:color="auto"/>
                      <w:bottom w:val="single" w:sz="4" w:space="0" w:color="auto"/>
                      <w:right w:val="single" w:sz="4" w:space="0" w:color="auto"/>
                    </w:tcBorders>
                    <w:shd w:val="clear" w:color="auto" w:fill="auto"/>
                  </w:tcPr>
                  <w:p w14:paraId="34F67051" w14:textId="77777777" w:rsidR="007E7472" w:rsidRDefault="00EC1269">
                    <w:pPr>
                      <w:rPr>
                        <w:rFonts w:asciiTheme="minorEastAsia" w:eastAsiaTheme="minorEastAsia" w:hAnsiTheme="minorEastAsia"/>
                      </w:rPr>
                    </w:pPr>
                    <w:r>
                      <w:rPr>
                        <w:rFonts w:asciiTheme="minorEastAsia" w:eastAsiaTheme="minorEastAsia" w:hAnsiTheme="minorEastAsia" w:hint="eastAsia"/>
                      </w:rPr>
                      <w:t>其他关联方</w:t>
                    </w:r>
                  </w:p>
                </w:tc>
                <w:tc>
                  <w:tcPr>
                    <w:tcW w:w="1480" w:type="pct"/>
                    <w:tcBorders>
                      <w:top w:val="single" w:sz="4" w:space="0" w:color="auto"/>
                      <w:left w:val="single" w:sz="4" w:space="0" w:color="auto"/>
                      <w:bottom w:val="single" w:sz="4" w:space="0" w:color="auto"/>
                      <w:right w:val="single" w:sz="4" w:space="0" w:color="auto"/>
                    </w:tcBorders>
                    <w:shd w:val="clear" w:color="auto" w:fill="auto"/>
                  </w:tcPr>
                  <w:p w14:paraId="6D3FAC5D" w14:textId="77777777" w:rsidR="007E7472" w:rsidRDefault="00EC1269">
                    <w:pPr>
                      <w:rPr>
                        <w:rFonts w:asciiTheme="minorEastAsia" w:eastAsiaTheme="minorEastAsia" w:hAnsiTheme="minorEastAsia"/>
                      </w:rPr>
                    </w:pPr>
                    <w:r>
                      <w:rPr>
                        <w:rFonts w:asciiTheme="minorEastAsia" w:eastAsiaTheme="minorEastAsia" w:hAnsiTheme="minorEastAsia" w:hint="eastAsia"/>
                      </w:rPr>
                      <w:t>提供劳务</w:t>
                    </w:r>
                    <w:r>
                      <w:rPr>
                        <w:rFonts w:asciiTheme="minorEastAsia" w:eastAsiaTheme="minorEastAsia" w:hAnsiTheme="minorEastAsia"/>
                      </w:rPr>
                      <w:t>-设备租赁</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3EC45CED" w14:textId="77777777" w:rsidR="007E7472" w:rsidRDefault="00C8327E">
                    <w:pPr>
                      <w:jc w:val="right"/>
                      <w:rPr>
                        <w:rFonts w:asciiTheme="minorEastAsia" w:eastAsiaTheme="minorEastAsia" w:hAnsiTheme="minorEastAsia"/>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14:paraId="0E2DD4BB" w14:textId="77777777" w:rsidR="007E7472" w:rsidRDefault="00EC1269">
                    <w:pPr>
                      <w:jc w:val="right"/>
                      <w:rPr>
                        <w:rFonts w:asciiTheme="minorEastAsia" w:eastAsiaTheme="minorEastAsia" w:hAnsiTheme="minorEastAsia"/>
                      </w:rPr>
                    </w:pPr>
                    <w:r>
                      <w:rPr>
                        <w:rFonts w:asciiTheme="minorEastAsia" w:eastAsiaTheme="minorEastAsia" w:hAnsiTheme="minorEastAsia"/>
                      </w:rPr>
                      <w:t>12,207</w:t>
                    </w:r>
                  </w:p>
                </w:tc>
              </w:tr>
            </w:sdtContent>
          </w:sdt>
          <w:sdt>
            <w:sdtPr>
              <w:rPr>
                <w:rFonts w:asciiTheme="minorEastAsia" w:eastAsiaTheme="minorEastAsia" w:hAnsiTheme="minorEastAsia"/>
              </w:rPr>
              <w:alias w:val="出售商品提供劳务情况明细"/>
              <w:tag w:val="_GBC_d6e24b6ca62645f180ecf5d4621afdc6"/>
              <w:id w:val="-1796897875"/>
              <w:lock w:val="sdtLocked"/>
            </w:sdtPr>
            <w:sdtEndPr/>
            <w:sdtContent>
              <w:tr w:rsidR="007E7472" w14:paraId="27BDB6CC" w14:textId="77777777">
                <w:trPr>
                  <w:cantSplit/>
                </w:trPr>
                <w:tc>
                  <w:tcPr>
                    <w:tcW w:w="1409" w:type="pct"/>
                    <w:tcBorders>
                      <w:top w:val="single" w:sz="4" w:space="0" w:color="auto"/>
                      <w:left w:val="single" w:sz="4" w:space="0" w:color="auto"/>
                      <w:bottom w:val="single" w:sz="4" w:space="0" w:color="auto"/>
                      <w:right w:val="single" w:sz="4" w:space="0" w:color="auto"/>
                    </w:tcBorders>
                    <w:shd w:val="clear" w:color="auto" w:fill="auto"/>
                  </w:tcPr>
                  <w:p w14:paraId="2789DA92" w14:textId="77777777" w:rsidR="007E7472" w:rsidRDefault="00EC1269">
                    <w:pPr>
                      <w:rPr>
                        <w:rFonts w:asciiTheme="minorEastAsia" w:eastAsiaTheme="minorEastAsia" w:hAnsiTheme="minorEastAsia"/>
                      </w:rPr>
                    </w:pPr>
                    <w:r>
                      <w:rPr>
                        <w:rFonts w:asciiTheme="minorEastAsia" w:eastAsiaTheme="minorEastAsia" w:hAnsiTheme="minorEastAsia" w:hint="eastAsia"/>
                      </w:rPr>
                      <w:t>控股股东及其控制的公司</w:t>
                    </w:r>
                  </w:p>
                </w:tc>
                <w:tc>
                  <w:tcPr>
                    <w:tcW w:w="1480" w:type="pct"/>
                    <w:tcBorders>
                      <w:top w:val="single" w:sz="4" w:space="0" w:color="auto"/>
                      <w:left w:val="single" w:sz="4" w:space="0" w:color="auto"/>
                      <w:bottom w:val="single" w:sz="4" w:space="0" w:color="auto"/>
                      <w:right w:val="single" w:sz="4" w:space="0" w:color="auto"/>
                    </w:tcBorders>
                    <w:shd w:val="clear" w:color="auto" w:fill="auto"/>
                  </w:tcPr>
                  <w:p w14:paraId="6E92CA7C" w14:textId="77777777" w:rsidR="007E7472" w:rsidRDefault="00EC1269">
                    <w:pPr>
                      <w:rPr>
                        <w:rFonts w:asciiTheme="minorEastAsia" w:eastAsiaTheme="minorEastAsia" w:hAnsiTheme="minorEastAsia"/>
                      </w:rPr>
                    </w:pPr>
                    <w:r>
                      <w:rPr>
                        <w:rFonts w:asciiTheme="minorEastAsia" w:eastAsiaTheme="minorEastAsia" w:hAnsiTheme="minorEastAsia" w:hint="eastAsia"/>
                      </w:rPr>
                      <w:t>提供劳务</w:t>
                    </w:r>
                    <w:r>
                      <w:rPr>
                        <w:rFonts w:asciiTheme="minorEastAsia" w:eastAsiaTheme="minorEastAsia" w:hAnsiTheme="minorEastAsia"/>
                      </w:rPr>
                      <w:t>-维修服务</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106EE0C6" w14:textId="77777777" w:rsidR="007E7472" w:rsidRDefault="00EC1269">
                    <w:pPr>
                      <w:jc w:val="right"/>
                      <w:rPr>
                        <w:rFonts w:asciiTheme="minorEastAsia" w:eastAsiaTheme="minorEastAsia" w:hAnsiTheme="minorEastAsia"/>
                      </w:rPr>
                    </w:pPr>
                    <w:r>
                      <w:rPr>
                        <w:rFonts w:asciiTheme="minorEastAsia" w:eastAsiaTheme="minorEastAsia" w:hAnsiTheme="minorEastAsia"/>
                      </w:rPr>
                      <w:t>422</w:t>
                    </w:r>
                  </w:p>
                </w:tc>
                <w:tc>
                  <w:tcPr>
                    <w:tcW w:w="1075" w:type="pct"/>
                    <w:tcBorders>
                      <w:top w:val="single" w:sz="4" w:space="0" w:color="auto"/>
                      <w:left w:val="single" w:sz="4" w:space="0" w:color="auto"/>
                      <w:bottom w:val="single" w:sz="4" w:space="0" w:color="auto"/>
                      <w:right w:val="single" w:sz="4" w:space="0" w:color="auto"/>
                    </w:tcBorders>
                    <w:shd w:val="clear" w:color="auto" w:fill="auto"/>
                  </w:tcPr>
                  <w:p w14:paraId="08B1CACC" w14:textId="77777777" w:rsidR="007E7472" w:rsidRDefault="00EC1269">
                    <w:pPr>
                      <w:jc w:val="right"/>
                      <w:rPr>
                        <w:rFonts w:asciiTheme="minorEastAsia" w:eastAsiaTheme="minorEastAsia" w:hAnsiTheme="minorEastAsia"/>
                      </w:rPr>
                    </w:pPr>
                    <w:r>
                      <w:rPr>
                        <w:rFonts w:asciiTheme="minorEastAsia" w:eastAsiaTheme="minorEastAsia" w:hAnsiTheme="minorEastAsia"/>
                      </w:rPr>
                      <w:t>6,817</w:t>
                    </w:r>
                  </w:p>
                </w:tc>
              </w:tr>
            </w:sdtContent>
          </w:sdt>
          <w:sdt>
            <w:sdtPr>
              <w:rPr>
                <w:rFonts w:asciiTheme="minorEastAsia" w:eastAsiaTheme="minorEastAsia" w:hAnsiTheme="minorEastAsia"/>
              </w:rPr>
              <w:alias w:val="出售商品提供劳务情况明细"/>
              <w:tag w:val="_GBC_d6e24b6ca62645f180ecf5d4621afdc6"/>
              <w:id w:val="-440230020"/>
              <w:lock w:val="sdtLocked"/>
            </w:sdtPr>
            <w:sdtEndPr/>
            <w:sdtContent>
              <w:tr w:rsidR="007E7472" w14:paraId="561030C0" w14:textId="77777777">
                <w:trPr>
                  <w:cantSplit/>
                </w:trPr>
                <w:tc>
                  <w:tcPr>
                    <w:tcW w:w="1409" w:type="pct"/>
                    <w:tcBorders>
                      <w:top w:val="single" w:sz="4" w:space="0" w:color="auto"/>
                      <w:left w:val="single" w:sz="4" w:space="0" w:color="auto"/>
                      <w:bottom w:val="single" w:sz="4" w:space="0" w:color="auto"/>
                      <w:right w:val="single" w:sz="4" w:space="0" w:color="auto"/>
                    </w:tcBorders>
                    <w:shd w:val="clear" w:color="auto" w:fill="auto"/>
                  </w:tcPr>
                  <w:p w14:paraId="341A7CE9" w14:textId="77777777" w:rsidR="007E7472" w:rsidRDefault="00EC1269">
                    <w:pPr>
                      <w:rPr>
                        <w:rFonts w:asciiTheme="minorEastAsia" w:eastAsiaTheme="minorEastAsia" w:hAnsiTheme="minorEastAsia"/>
                      </w:rPr>
                    </w:pPr>
                    <w:r>
                      <w:rPr>
                        <w:rFonts w:asciiTheme="minorEastAsia" w:eastAsiaTheme="minorEastAsia" w:hAnsiTheme="minorEastAsia" w:hint="eastAsia"/>
                      </w:rPr>
                      <w:t>控股股东及其控制的公司</w:t>
                    </w:r>
                  </w:p>
                </w:tc>
                <w:tc>
                  <w:tcPr>
                    <w:tcW w:w="1480" w:type="pct"/>
                    <w:tcBorders>
                      <w:top w:val="single" w:sz="4" w:space="0" w:color="auto"/>
                      <w:left w:val="single" w:sz="4" w:space="0" w:color="auto"/>
                      <w:bottom w:val="single" w:sz="4" w:space="0" w:color="auto"/>
                      <w:right w:val="single" w:sz="4" w:space="0" w:color="auto"/>
                    </w:tcBorders>
                    <w:shd w:val="clear" w:color="auto" w:fill="auto"/>
                  </w:tcPr>
                  <w:p w14:paraId="7736D773" w14:textId="77777777" w:rsidR="007E7472" w:rsidRDefault="00EC1269">
                    <w:pPr>
                      <w:rPr>
                        <w:rFonts w:asciiTheme="minorEastAsia" w:eastAsiaTheme="minorEastAsia" w:hAnsiTheme="minorEastAsia"/>
                      </w:rPr>
                    </w:pPr>
                    <w:r>
                      <w:rPr>
                        <w:rFonts w:asciiTheme="minorEastAsia" w:eastAsiaTheme="minorEastAsia" w:hAnsiTheme="minorEastAsia" w:hint="eastAsia"/>
                      </w:rPr>
                      <w:t>提供劳务</w:t>
                    </w:r>
                    <w:r>
                      <w:rPr>
                        <w:rFonts w:asciiTheme="minorEastAsia" w:eastAsiaTheme="minorEastAsia" w:hAnsiTheme="minorEastAsia"/>
                      </w:rPr>
                      <w:t>-运输服务</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0DF44AB2" w14:textId="77777777" w:rsidR="007E7472" w:rsidRDefault="00EC1269">
                    <w:pPr>
                      <w:jc w:val="right"/>
                      <w:rPr>
                        <w:rFonts w:asciiTheme="minorEastAsia" w:eastAsiaTheme="minorEastAsia" w:hAnsiTheme="minorEastAsia"/>
                      </w:rPr>
                    </w:pPr>
                    <w:r>
                      <w:rPr>
                        <w:rFonts w:asciiTheme="minorEastAsia" w:eastAsiaTheme="minorEastAsia" w:hAnsiTheme="minorEastAsia"/>
                      </w:rPr>
                      <w:t>16,120</w:t>
                    </w:r>
                  </w:p>
                </w:tc>
                <w:tc>
                  <w:tcPr>
                    <w:tcW w:w="1075" w:type="pct"/>
                    <w:tcBorders>
                      <w:top w:val="single" w:sz="4" w:space="0" w:color="auto"/>
                      <w:left w:val="single" w:sz="4" w:space="0" w:color="auto"/>
                      <w:bottom w:val="single" w:sz="4" w:space="0" w:color="auto"/>
                      <w:right w:val="single" w:sz="4" w:space="0" w:color="auto"/>
                    </w:tcBorders>
                    <w:shd w:val="clear" w:color="auto" w:fill="auto"/>
                  </w:tcPr>
                  <w:p w14:paraId="6FE24223" w14:textId="77777777" w:rsidR="007E7472" w:rsidRDefault="00EC1269">
                    <w:pPr>
                      <w:jc w:val="right"/>
                      <w:rPr>
                        <w:rFonts w:asciiTheme="minorEastAsia" w:eastAsiaTheme="minorEastAsia" w:hAnsiTheme="minorEastAsia"/>
                      </w:rPr>
                    </w:pPr>
                    <w:r>
                      <w:rPr>
                        <w:rFonts w:asciiTheme="minorEastAsia" w:eastAsiaTheme="minorEastAsia" w:hAnsiTheme="minorEastAsia"/>
                      </w:rPr>
                      <w:t>4,314</w:t>
                    </w:r>
                  </w:p>
                </w:tc>
              </w:tr>
            </w:sdtContent>
          </w:sdt>
          <w:sdt>
            <w:sdtPr>
              <w:rPr>
                <w:rFonts w:asciiTheme="minorEastAsia" w:eastAsiaTheme="minorEastAsia" w:hAnsiTheme="minorEastAsia"/>
              </w:rPr>
              <w:alias w:val="出售商品提供劳务情况明细"/>
              <w:tag w:val="_GBC_d6e24b6ca62645f180ecf5d4621afdc6"/>
              <w:id w:val="-955873217"/>
              <w:lock w:val="sdtLocked"/>
            </w:sdtPr>
            <w:sdtEndPr/>
            <w:sdtContent>
              <w:tr w:rsidR="007E7472" w14:paraId="08A14C60" w14:textId="77777777">
                <w:trPr>
                  <w:cantSplit/>
                </w:trPr>
                <w:tc>
                  <w:tcPr>
                    <w:tcW w:w="1409" w:type="pct"/>
                    <w:tcBorders>
                      <w:top w:val="single" w:sz="4" w:space="0" w:color="auto"/>
                      <w:left w:val="single" w:sz="4" w:space="0" w:color="auto"/>
                      <w:bottom w:val="single" w:sz="4" w:space="0" w:color="auto"/>
                      <w:right w:val="single" w:sz="4" w:space="0" w:color="auto"/>
                    </w:tcBorders>
                    <w:shd w:val="clear" w:color="auto" w:fill="auto"/>
                  </w:tcPr>
                  <w:p w14:paraId="462B0F4A" w14:textId="77777777" w:rsidR="007E7472" w:rsidRDefault="00EC1269">
                    <w:pPr>
                      <w:rPr>
                        <w:rFonts w:asciiTheme="minorEastAsia" w:eastAsiaTheme="minorEastAsia" w:hAnsiTheme="minorEastAsia"/>
                      </w:rPr>
                    </w:pPr>
                    <w:r>
                      <w:rPr>
                        <w:rFonts w:asciiTheme="minorEastAsia" w:eastAsiaTheme="minorEastAsia" w:hAnsiTheme="minorEastAsia" w:hint="eastAsia"/>
                      </w:rPr>
                      <w:t>联营企业</w:t>
                    </w:r>
                  </w:p>
                </w:tc>
                <w:tc>
                  <w:tcPr>
                    <w:tcW w:w="1480" w:type="pct"/>
                    <w:tcBorders>
                      <w:top w:val="single" w:sz="4" w:space="0" w:color="auto"/>
                      <w:left w:val="single" w:sz="4" w:space="0" w:color="auto"/>
                      <w:bottom w:val="single" w:sz="4" w:space="0" w:color="auto"/>
                      <w:right w:val="single" w:sz="4" w:space="0" w:color="auto"/>
                    </w:tcBorders>
                    <w:shd w:val="clear" w:color="auto" w:fill="auto"/>
                  </w:tcPr>
                  <w:p w14:paraId="7CF6660B" w14:textId="77777777" w:rsidR="007E7472" w:rsidRDefault="00EC1269">
                    <w:pPr>
                      <w:rPr>
                        <w:rFonts w:asciiTheme="minorEastAsia" w:eastAsiaTheme="minorEastAsia" w:hAnsiTheme="minorEastAsia"/>
                      </w:rPr>
                    </w:pPr>
                    <w:r>
                      <w:rPr>
                        <w:rFonts w:asciiTheme="minorEastAsia" w:eastAsiaTheme="minorEastAsia" w:hAnsiTheme="minorEastAsia" w:hint="eastAsia"/>
                      </w:rPr>
                      <w:t>提供劳务</w:t>
                    </w:r>
                    <w:r>
                      <w:rPr>
                        <w:rFonts w:asciiTheme="minorEastAsia" w:eastAsiaTheme="minorEastAsia" w:hAnsiTheme="minorEastAsia"/>
                      </w:rPr>
                      <w:t>-运输服务</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13B59DDF" w14:textId="77777777" w:rsidR="007E7472" w:rsidRDefault="00C8327E">
                    <w:pPr>
                      <w:jc w:val="right"/>
                      <w:rPr>
                        <w:rFonts w:asciiTheme="minorEastAsia" w:eastAsiaTheme="minorEastAsia" w:hAnsiTheme="minorEastAsia"/>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14:paraId="397640D0" w14:textId="77777777" w:rsidR="007E7472" w:rsidRDefault="00EC1269">
                    <w:pPr>
                      <w:jc w:val="right"/>
                      <w:rPr>
                        <w:rFonts w:asciiTheme="minorEastAsia" w:eastAsiaTheme="minorEastAsia" w:hAnsiTheme="minorEastAsia"/>
                      </w:rPr>
                    </w:pPr>
                    <w:r>
                      <w:rPr>
                        <w:rFonts w:asciiTheme="minorEastAsia" w:eastAsiaTheme="minorEastAsia" w:hAnsiTheme="minorEastAsia"/>
                      </w:rPr>
                      <w:t>24</w:t>
                    </w:r>
                  </w:p>
                </w:tc>
              </w:tr>
            </w:sdtContent>
          </w:sdt>
          <w:sdt>
            <w:sdtPr>
              <w:rPr>
                <w:rFonts w:asciiTheme="minorEastAsia" w:eastAsiaTheme="minorEastAsia" w:hAnsiTheme="minorEastAsia"/>
              </w:rPr>
              <w:alias w:val="出售商品提供劳务情况明细"/>
              <w:tag w:val="_GBC_d6e24b6ca62645f180ecf5d4621afdc6"/>
              <w:id w:val="1056430204"/>
              <w:lock w:val="sdtLocked"/>
            </w:sdtPr>
            <w:sdtEndPr/>
            <w:sdtContent>
              <w:tr w:rsidR="007E7472" w14:paraId="69C927A8" w14:textId="77777777">
                <w:trPr>
                  <w:cantSplit/>
                </w:trPr>
                <w:tc>
                  <w:tcPr>
                    <w:tcW w:w="1409" w:type="pct"/>
                    <w:tcBorders>
                      <w:top w:val="single" w:sz="4" w:space="0" w:color="auto"/>
                      <w:left w:val="single" w:sz="4" w:space="0" w:color="auto"/>
                      <w:bottom w:val="single" w:sz="4" w:space="0" w:color="auto"/>
                      <w:right w:val="single" w:sz="4" w:space="0" w:color="auto"/>
                    </w:tcBorders>
                    <w:shd w:val="clear" w:color="auto" w:fill="auto"/>
                  </w:tcPr>
                  <w:p w14:paraId="2EFBA610" w14:textId="77777777" w:rsidR="007E7472" w:rsidRDefault="00EC1269">
                    <w:pPr>
                      <w:rPr>
                        <w:rFonts w:asciiTheme="minorEastAsia" w:eastAsiaTheme="minorEastAsia" w:hAnsiTheme="minorEastAsia"/>
                      </w:rPr>
                    </w:pPr>
                    <w:r>
                      <w:rPr>
                        <w:rFonts w:asciiTheme="minorEastAsia" w:eastAsiaTheme="minorEastAsia" w:hAnsiTheme="minorEastAsia" w:hint="eastAsia"/>
                      </w:rPr>
                      <w:t>控股股东及其控制的公司</w:t>
                    </w:r>
                  </w:p>
                </w:tc>
                <w:tc>
                  <w:tcPr>
                    <w:tcW w:w="1480" w:type="pct"/>
                    <w:tcBorders>
                      <w:top w:val="single" w:sz="4" w:space="0" w:color="auto"/>
                      <w:left w:val="single" w:sz="4" w:space="0" w:color="auto"/>
                      <w:bottom w:val="single" w:sz="4" w:space="0" w:color="auto"/>
                      <w:right w:val="single" w:sz="4" w:space="0" w:color="auto"/>
                    </w:tcBorders>
                    <w:shd w:val="clear" w:color="auto" w:fill="auto"/>
                  </w:tcPr>
                  <w:p w14:paraId="071E8D95" w14:textId="77777777" w:rsidR="007E7472" w:rsidRDefault="00EC1269">
                    <w:pPr>
                      <w:rPr>
                        <w:rFonts w:asciiTheme="minorEastAsia" w:eastAsiaTheme="minorEastAsia" w:hAnsiTheme="minorEastAsia"/>
                      </w:rPr>
                    </w:pPr>
                    <w:r>
                      <w:rPr>
                        <w:rFonts w:asciiTheme="minorEastAsia" w:eastAsiaTheme="minorEastAsia" w:hAnsiTheme="minorEastAsia" w:hint="eastAsia"/>
                      </w:rPr>
                      <w:t>提供劳务</w:t>
                    </w:r>
                    <w:r>
                      <w:rPr>
                        <w:rFonts w:asciiTheme="minorEastAsia" w:eastAsiaTheme="minorEastAsia" w:hAnsiTheme="minorEastAsia"/>
                      </w:rPr>
                      <w:t>-营销服务佣金</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3A2A3178" w14:textId="77777777" w:rsidR="007E7472" w:rsidRDefault="00C8327E">
                    <w:pPr>
                      <w:jc w:val="right"/>
                      <w:rPr>
                        <w:rFonts w:asciiTheme="minorEastAsia" w:eastAsiaTheme="minorEastAsia" w:hAnsiTheme="minorEastAsia"/>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14:paraId="7FB8A61A" w14:textId="77777777" w:rsidR="007E7472" w:rsidRDefault="00EC1269">
                    <w:pPr>
                      <w:jc w:val="right"/>
                      <w:rPr>
                        <w:rFonts w:asciiTheme="minorEastAsia" w:eastAsiaTheme="minorEastAsia" w:hAnsiTheme="minorEastAsia"/>
                      </w:rPr>
                    </w:pPr>
                    <w:r>
                      <w:rPr>
                        <w:rFonts w:asciiTheme="minorEastAsia" w:eastAsiaTheme="minorEastAsia" w:hAnsiTheme="minorEastAsia"/>
                      </w:rPr>
                      <w:t>691</w:t>
                    </w:r>
                  </w:p>
                </w:tc>
              </w:tr>
            </w:sdtContent>
          </w:sdt>
          <w:sdt>
            <w:sdtPr>
              <w:rPr>
                <w:rFonts w:asciiTheme="minorEastAsia" w:eastAsiaTheme="minorEastAsia" w:hAnsiTheme="minorEastAsia"/>
              </w:rPr>
              <w:alias w:val="出售商品提供劳务情况明细"/>
              <w:tag w:val="_GBC_d6e24b6ca62645f180ecf5d4621afdc6"/>
              <w:id w:val="1732880482"/>
              <w:lock w:val="sdtLocked"/>
            </w:sdtPr>
            <w:sdtEndPr/>
            <w:sdtContent>
              <w:tr w:rsidR="007E7472" w14:paraId="1619B407" w14:textId="77777777">
                <w:trPr>
                  <w:cantSplit/>
                </w:trPr>
                <w:tc>
                  <w:tcPr>
                    <w:tcW w:w="1409" w:type="pct"/>
                    <w:tcBorders>
                      <w:top w:val="single" w:sz="4" w:space="0" w:color="auto"/>
                      <w:left w:val="single" w:sz="4" w:space="0" w:color="auto"/>
                      <w:bottom w:val="single" w:sz="4" w:space="0" w:color="auto"/>
                      <w:right w:val="single" w:sz="4" w:space="0" w:color="auto"/>
                    </w:tcBorders>
                    <w:shd w:val="clear" w:color="auto" w:fill="auto"/>
                  </w:tcPr>
                  <w:p w14:paraId="65034DBE" w14:textId="77777777" w:rsidR="007E7472" w:rsidRDefault="00EC1269">
                    <w:pPr>
                      <w:rPr>
                        <w:rFonts w:asciiTheme="minorEastAsia" w:eastAsiaTheme="minorEastAsia" w:hAnsiTheme="minorEastAsia"/>
                      </w:rPr>
                    </w:pPr>
                    <w:r>
                      <w:rPr>
                        <w:rFonts w:asciiTheme="minorEastAsia" w:eastAsiaTheme="minorEastAsia" w:hAnsiTheme="minorEastAsia" w:hint="eastAsia"/>
                      </w:rPr>
                      <w:t>控股股东及其控制的公司</w:t>
                    </w:r>
                  </w:p>
                </w:tc>
                <w:tc>
                  <w:tcPr>
                    <w:tcW w:w="1480" w:type="pct"/>
                    <w:tcBorders>
                      <w:top w:val="single" w:sz="4" w:space="0" w:color="auto"/>
                      <w:left w:val="single" w:sz="4" w:space="0" w:color="auto"/>
                      <w:bottom w:val="single" w:sz="4" w:space="0" w:color="auto"/>
                      <w:right w:val="single" w:sz="4" w:space="0" w:color="auto"/>
                    </w:tcBorders>
                    <w:shd w:val="clear" w:color="auto" w:fill="auto"/>
                  </w:tcPr>
                  <w:p w14:paraId="4ACA5993" w14:textId="77777777" w:rsidR="007E7472" w:rsidRDefault="00EC1269">
                    <w:pPr>
                      <w:rPr>
                        <w:rFonts w:asciiTheme="minorEastAsia" w:eastAsiaTheme="minorEastAsia" w:hAnsiTheme="minorEastAsia"/>
                      </w:rPr>
                    </w:pPr>
                    <w:r>
                      <w:rPr>
                        <w:rFonts w:asciiTheme="minorEastAsia" w:eastAsiaTheme="minorEastAsia" w:hAnsiTheme="minorEastAsia" w:hint="eastAsia"/>
                      </w:rPr>
                      <w:t>提供劳务</w:t>
                    </w:r>
                    <w:r>
                      <w:rPr>
                        <w:rFonts w:asciiTheme="minorEastAsia" w:eastAsiaTheme="minorEastAsia" w:hAnsiTheme="minorEastAsia"/>
                      </w:rPr>
                      <w:t>-培训</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4FDB374A" w14:textId="77777777" w:rsidR="007E7472" w:rsidRDefault="00EC1269">
                    <w:pPr>
                      <w:jc w:val="right"/>
                      <w:rPr>
                        <w:rFonts w:asciiTheme="minorEastAsia" w:eastAsiaTheme="minorEastAsia" w:hAnsiTheme="minorEastAsia"/>
                      </w:rPr>
                    </w:pPr>
                    <w:r>
                      <w:rPr>
                        <w:rFonts w:asciiTheme="minorEastAsia" w:eastAsiaTheme="minorEastAsia" w:hAnsiTheme="minorEastAsia"/>
                      </w:rPr>
                      <w:t>6,296</w:t>
                    </w:r>
                  </w:p>
                </w:tc>
                <w:tc>
                  <w:tcPr>
                    <w:tcW w:w="1075" w:type="pct"/>
                    <w:tcBorders>
                      <w:top w:val="single" w:sz="4" w:space="0" w:color="auto"/>
                      <w:left w:val="single" w:sz="4" w:space="0" w:color="auto"/>
                      <w:bottom w:val="single" w:sz="4" w:space="0" w:color="auto"/>
                      <w:right w:val="single" w:sz="4" w:space="0" w:color="auto"/>
                    </w:tcBorders>
                    <w:shd w:val="clear" w:color="auto" w:fill="auto"/>
                  </w:tcPr>
                  <w:p w14:paraId="27E4F863" w14:textId="77777777" w:rsidR="007E7472" w:rsidRDefault="00EC1269">
                    <w:pPr>
                      <w:jc w:val="right"/>
                      <w:rPr>
                        <w:rFonts w:asciiTheme="minorEastAsia" w:eastAsiaTheme="minorEastAsia" w:hAnsiTheme="minorEastAsia"/>
                      </w:rPr>
                    </w:pPr>
                    <w:r>
                      <w:rPr>
                        <w:rFonts w:asciiTheme="minorEastAsia" w:eastAsiaTheme="minorEastAsia" w:hAnsiTheme="minorEastAsia"/>
                      </w:rPr>
                      <w:t>214</w:t>
                    </w:r>
                  </w:p>
                </w:tc>
              </w:tr>
            </w:sdtContent>
          </w:sdt>
          <w:sdt>
            <w:sdtPr>
              <w:rPr>
                <w:rFonts w:asciiTheme="minorEastAsia" w:eastAsiaTheme="minorEastAsia" w:hAnsiTheme="minorEastAsia"/>
              </w:rPr>
              <w:alias w:val="出售商品提供劳务情况明细"/>
              <w:tag w:val="_GBC_d6e24b6ca62645f180ecf5d4621afdc6"/>
              <w:id w:val="349219115"/>
              <w:lock w:val="sdtLocked"/>
            </w:sdtPr>
            <w:sdtEndPr/>
            <w:sdtContent>
              <w:tr w:rsidR="007E7472" w14:paraId="22CAA14F" w14:textId="77777777">
                <w:trPr>
                  <w:cantSplit/>
                </w:trPr>
                <w:tc>
                  <w:tcPr>
                    <w:tcW w:w="1409" w:type="pct"/>
                    <w:tcBorders>
                      <w:top w:val="single" w:sz="4" w:space="0" w:color="auto"/>
                      <w:left w:val="single" w:sz="4" w:space="0" w:color="auto"/>
                      <w:bottom w:val="single" w:sz="4" w:space="0" w:color="auto"/>
                      <w:right w:val="single" w:sz="4" w:space="0" w:color="auto"/>
                    </w:tcBorders>
                    <w:shd w:val="clear" w:color="auto" w:fill="auto"/>
                  </w:tcPr>
                  <w:p w14:paraId="731C1DA6" w14:textId="77777777" w:rsidR="007E7472" w:rsidRDefault="00EC1269">
                    <w:pPr>
                      <w:rPr>
                        <w:rFonts w:asciiTheme="minorEastAsia" w:eastAsiaTheme="minorEastAsia" w:hAnsiTheme="minorEastAsia"/>
                      </w:rPr>
                    </w:pPr>
                    <w:r>
                      <w:rPr>
                        <w:rFonts w:asciiTheme="minorEastAsia" w:eastAsiaTheme="minorEastAsia" w:hAnsiTheme="minorEastAsia" w:hint="eastAsia"/>
                      </w:rPr>
                      <w:t>联营企业</w:t>
                    </w:r>
                  </w:p>
                </w:tc>
                <w:tc>
                  <w:tcPr>
                    <w:tcW w:w="1480" w:type="pct"/>
                    <w:tcBorders>
                      <w:top w:val="single" w:sz="4" w:space="0" w:color="auto"/>
                      <w:left w:val="single" w:sz="4" w:space="0" w:color="auto"/>
                      <w:bottom w:val="single" w:sz="4" w:space="0" w:color="auto"/>
                      <w:right w:val="single" w:sz="4" w:space="0" w:color="auto"/>
                    </w:tcBorders>
                    <w:shd w:val="clear" w:color="auto" w:fill="auto"/>
                  </w:tcPr>
                  <w:p w14:paraId="18AA507C" w14:textId="77777777" w:rsidR="007E7472" w:rsidRDefault="00EC1269">
                    <w:pPr>
                      <w:rPr>
                        <w:rFonts w:asciiTheme="minorEastAsia" w:eastAsiaTheme="minorEastAsia" w:hAnsiTheme="minorEastAsia"/>
                      </w:rPr>
                    </w:pPr>
                    <w:r>
                      <w:rPr>
                        <w:rFonts w:asciiTheme="minorEastAsia" w:eastAsiaTheme="minorEastAsia" w:hAnsiTheme="minorEastAsia" w:hint="eastAsia"/>
                      </w:rPr>
                      <w:t>提供劳务</w:t>
                    </w:r>
                    <w:r>
                      <w:rPr>
                        <w:rFonts w:asciiTheme="minorEastAsia" w:eastAsiaTheme="minorEastAsia" w:hAnsiTheme="minorEastAsia"/>
                      </w:rPr>
                      <w:t>-培训</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58DE5D2B" w14:textId="77777777" w:rsidR="007E7472" w:rsidRDefault="00EC1269">
                    <w:pPr>
                      <w:jc w:val="right"/>
                      <w:rPr>
                        <w:rFonts w:asciiTheme="minorEastAsia" w:eastAsiaTheme="minorEastAsia" w:hAnsiTheme="minorEastAsia"/>
                      </w:rPr>
                    </w:pPr>
                    <w:r>
                      <w:rPr>
                        <w:rFonts w:asciiTheme="minorEastAsia" w:eastAsiaTheme="minorEastAsia" w:hAnsiTheme="minorEastAsia"/>
                      </w:rPr>
                      <w:t>2</w:t>
                    </w:r>
                  </w:p>
                </w:tc>
                <w:tc>
                  <w:tcPr>
                    <w:tcW w:w="1075" w:type="pct"/>
                    <w:tcBorders>
                      <w:top w:val="single" w:sz="4" w:space="0" w:color="auto"/>
                      <w:left w:val="single" w:sz="4" w:space="0" w:color="auto"/>
                      <w:bottom w:val="single" w:sz="4" w:space="0" w:color="auto"/>
                      <w:right w:val="single" w:sz="4" w:space="0" w:color="auto"/>
                    </w:tcBorders>
                    <w:shd w:val="clear" w:color="auto" w:fill="auto"/>
                  </w:tcPr>
                  <w:p w14:paraId="65A91655" w14:textId="77777777" w:rsidR="007E7472" w:rsidRDefault="00C8327E">
                    <w:pPr>
                      <w:jc w:val="right"/>
                      <w:rPr>
                        <w:rFonts w:asciiTheme="minorEastAsia" w:eastAsiaTheme="minorEastAsia" w:hAnsiTheme="minorEastAsia"/>
                      </w:rPr>
                    </w:pPr>
                  </w:p>
                </w:tc>
              </w:tr>
            </w:sdtContent>
          </w:sdt>
          <w:sdt>
            <w:sdtPr>
              <w:rPr>
                <w:rFonts w:asciiTheme="minorEastAsia" w:eastAsiaTheme="minorEastAsia" w:hAnsiTheme="minorEastAsia"/>
              </w:rPr>
              <w:alias w:val="出售商品提供劳务情况明细"/>
              <w:tag w:val="_GBC_d6e24b6ca62645f180ecf5d4621afdc6"/>
              <w:id w:val="1277212381"/>
              <w:lock w:val="sdtLocked"/>
            </w:sdtPr>
            <w:sdtEndPr/>
            <w:sdtContent>
              <w:tr w:rsidR="007E7472" w14:paraId="284AABA2" w14:textId="77777777">
                <w:trPr>
                  <w:cantSplit/>
                </w:trPr>
                <w:tc>
                  <w:tcPr>
                    <w:tcW w:w="1409" w:type="pct"/>
                    <w:tcBorders>
                      <w:top w:val="single" w:sz="4" w:space="0" w:color="auto"/>
                      <w:left w:val="single" w:sz="4" w:space="0" w:color="auto"/>
                      <w:bottom w:val="single" w:sz="4" w:space="0" w:color="auto"/>
                      <w:right w:val="single" w:sz="4" w:space="0" w:color="auto"/>
                    </w:tcBorders>
                    <w:shd w:val="clear" w:color="auto" w:fill="auto"/>
                  </w:tcPr>
                  <w:p w14:paraId="529B12CA" w14:textId="77777777" w:rsidR="007E7472" w:rsidRDefault="00EC1269">
                    <w:pPr>
                      <w:rPr>
                        <w:rFonts w:asciiTheme="minorEastAsia" w:eastAsiaTheme="minorEastAsia" w:hAnsiTheme="minorEastAsia"/>
                      </w:rPr>
                    </w:pPr>
                    <w:r>
                      <w:rPr>
                        <w:rFonts w:asciiTheme="minorEastAsia" w:eastAsiaTheme="minorEastAsia" w:hAnsiTheme="minorEastAsia" w:hint="eastAsia"/>
                      </w:rPr>
                      <w:t>控股股东及其控制的公司</w:t>
                    </w:r>
                  </w:p>
                </w:tc>
                <w:tc>
                  <w:tcPr>
                    <w:tcW w:w="1480" w:type="pct"/>
                    <w:tcBorders>
                      <w:top w:val="single" w:sz="4" w:space="0" w:color="auto"/>
                      <w:left w:val="single" w:sz="4" w:space="0" w:color="auto"/>
                      <w:bottom w:val="single" w:sz="4" w:space="0" w:color="auto"/>
                      <w:right w:val="single" w:sz="4" w:space="0" w:color="auto"/>
                    </w:tcBorders>
                    <w:shd w:val="clear" w:color="auto" w:fill="auto"/>
                  </w:tcPr>
                  <w:p w14:paraId="222CA6FA" w14:textId="77777777" w:rsidR="007E7472" w:rsidRDefault="00EC1269">
                    <w:pPr>
                      <w:rPr>
                        <w:rFonts w:asciiTheme="minorEastAsia" w:eastAsiaTheme="minorEastAsia" w:hAnsiTheme="minorEastAsia"/>
                      </w:rPr>
                    </w:pPr>
                    <w:r>
                      <w:rPr>
                        <w:rFonts w:asciiTheme="minorEastAsia" w:eastAsiaTheme="minorEastAsia" w:hAnsiTheme="minorEastAsia" w:hint="eastAsia"/>
                      </w:rPr>
                      <w:t>提供劳务</w:t>
                    </w:r>
                    <w:r>
                      <w:rPr>
                        <w:rFonts w:asciiTheme="minorEastAsia" w:eastAsiaTheme="minorEastAsia" w:hAnsiTheme="minorEastAsia"/>
                      </w:rPr>
                      <w:t>-信息及技术服务</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260E8543" w14:textId="77777777" w:rsidR="007E7472" w:rsidRDefault="00EC1269">
                    <w:pPr>
                      <w:jc w:val="right"/>
                      <w:rPr>
                        <w:rFonts w:asciiTheme="minorEastAsia" w:eastAsiaTheme="minorEastAsia" w:hAnsiTheme="minorEastAsia"/>
                      </w:rPr>
                    </w:pPr>
                    <w:r>
                      <w:rPr>
                        <w:rFonts w:asciiTheme="minorEastAsia" w:eastAsiaTheme="minorEastAsia" w:hAnsiTheme="minorEastAsia"/>
                      </w:rPr>
                      <w:t>4,050</w:t>
                    </w:r>
                  </w:p>
                </w:tc>
                <w:tc>
                  <w:tcPr>
                    <w:tcW w:w="1075" w:type="pct"/>
                    <w:tcBorders>
                      <w:top w:val="single" w:sz="4" w:space="0" w:color="auto"/>
                      <w:left w:val="single" w:sz="4" w:space="0" w:color="auto"/>
                      <w:bottom w:val="single" w:sz="4" w:space="0" w:color="auto"/>
                      <w:right w:val="single" w:sz="4" w:space="0" w:color="auto"/>
                    </w:tcBorders>
                    <w:shd w:val="clear" w:color="auto" w:fill="auto"/>
                  </w:tcPr>
                  <w:p w14:paraId="161B16E9" w14:textId="77777777" w:rsidR="007E7472" w:rsidRDefault="00EC1269">
                    <w:pPr>
                      <w:jc w:val="right"/>
                      <w:rPr>
                        <w:rFonts w:asciiTheme="minorEastAsia" w:eastAsiaTheme="minorEastAsia" w:hAnsiTheme="minorEastAsia"/>
                      </w:rPr>
                    </w:pPr>
                    <w:r>
                      <w:rPr>
                        <w:rFonts w:asciiTheme="minorEastAsia" w:eastAsiaTheme="minorEastAsia" w:hAnsiTheme="minorEastAsia"/>
                      </w:rPr>
                      <w:t>2,196</w:t>
                    </w:r>
                  </w:p>
                </w:tc>
              </w:tr>
            </w:sdtContent>
          </w:sdt>
          <w:sdt>
            <w:sdtPr>
              <w:rPr>
                <w:rFonts w:asciiTheme="minorEastAsia" w:eastAsiaTheme="minorEastAsia" w:hAnsiTheme="minorEastAsia"/>
              </w:rPr>
              <w:alias w:val="出售商品提供劳务情况明细"/>
              <w:tag w:val="_GBC_d6e24b6ca62645f180ecf5d4621afdc6"/>
              <w:id w:val="-1594153203"/>
              <w:lock w:val="sdtLocked"/>
            </w:sdtPr>
            <w:sdtEndPr/>
            <w:sdtContent>
              <w:tr w:rsidR="007E7472" w14:paraId="7BD75B55" w14:textId="77777777">
                <w:trPr>
                  <w:cantSplit/>
                </w:trPr>
                <w:tc>
                  <w:tcPr>
                    <w:tcW w:w="1409" w:type="pct"/>
                    <w:tcBorders>
                      <w:top w:val="single" w:sz="4" w:space="0" w:color="auto"/>
                      <w:left w:val="single" w:sz="4" w:space="0" w:color="auto"/>
                      <w:bottom w:val="single" w:sz="4" w:space="0" w:color="auto"/>
                      <w:right w:val="single" w:sz="4" w:space="0" w:color="auto"/>
                    </w:tcBorders>
                    <w:shd w:val="clear" w:color="auto" w:fill="auto"/>
                  </w:tcPr>
                  <w:p w14:paraId="53A7282A" w14:textId="77777777" w:rsidR="007E7472" w:rsidRDefault="00EC1269">
                    <w:pPr>
                      <w:rPr>
                        <w:rFonts w:asciiTheme="minorEastAsia" w:eastAsiaTheme="minorEastAsia" w:hAnsiTheme="minorEastAsia"/>
                      </w:rPr>
                    </w:pPr>
                    <w:r>
                      <w:rPr>
                        <w:rFonts w:asciiTheme="minorEastAsia" w:eastAsiaTheme="minorEastAsia" w:hAnsiTheme="minorEastAsia" w:hint="eastAsia"/>
                      </w:rPr>
                      <w:t>联营企业</w:t>
                    </w:r>
                  </w:p>
                </w:tc>
                <w:tc>
                  <w:tcPr>
                    <w:tcW w:w="1480" w:type="pct"/>
                    <w:tcBorders>
                      <w:top w:val="single" w:sz="4" w:space="0" w:color="auto"/>
                      <w:left w:val="single" w:sz="4" w:space="0" w:color="auto"/>
                      <w:bottom w:val="single" w:sz="4" w:space="0" w:color="auto"/>
                      <w:right w:val="single" w:sz="4" w:space="0" w:color="auto"/>
                    </w:tcBorders>
                    <w:shd w:val="clear" w:color="auto" w:fill="auto"/>
                  </w:tcPr>
                  <w:p w14:paraId="4EBCA395" w14:textId="77777777" w:rsidR="007E7472" w:rsidRDefault="00EC1269">
                    <w:pPr>
                      <w:rPr>
                        <w:rFonts w:asciiTheme="minorEastAsia" w:eastAsiaTheme="minorEastAsia" w:hAnsiTheme="minorEastAsia"/>
                      </w:rPr>
                    </w:pPr>
                    <w:r>
                      <w:rPr>
                        <w:rFonts w:asciiTheme="minorEastAsia" w:eastAsiaTheme="minorEastAsia" w:hAnsiTheme="minorEastAsia" w:hint="eastAsia"/>
                      </w:rPr>
                      <w:t>提供劳务</w:t>
                    </w:r>
                    <w:r>
                      <w:rPr>
                        <w:rFonts w:asciiTheme="minorEastAsia" w:eastAsiaTheme="minorEastAsia" w:hAnsiTheme="minorEastAsia"/>
                      </w:rPr>
                      <w:t>-信息及技术服务</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35DC5A2E" w14:textId="77777777" w:rsidR="007E7472" w:rsidRDefault="00C8327E">
                    <w:pPr>
                      <w:jc w:val="right"/>
                      <w:rPr>
                        <w:rFonts w:asciiTheme="minorEastAsia" w:eastAsiaTheme="minorEastAsia" w:hAnsiTheme="minorEastAsia"/>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14:paraId="617C6263" w14:textId="77777777" w:rsidR="007E7472" w:rsidRDefault="00EC1269">
                    <w:pPr>
                      <w:jc w:val="right"/>
                      <w:rPr>
                        <w:rFonts w:asciiTheme="minorEastAsia" w:eastAsiaTheme="minorEastAsia" w:hAnsiTheme="minorEastAsia"/>
                      </w:rPr>
                    </w:pPr>
                    <w:r>
                      <w:rPr>
                        <w:rFonts w:asciiTheme="minorEastAsia" w:eastAsiaTheme="minorEastAsia" w:hAnsiTheme="minorEastAsia"/>
                      </w:rPr>
                      <w:t>2</w:t>
                    </w:r>
                  </w:p>
                </w:tc>
              </w:tr>
            </w:sdtContent>
          </w:sdt>
          <w:sdt>
            <w:sdtPr>
              <w:rPr>
                <w:rFonts w:asciiTheme="minorEastAsia" w:eastAsiaTheme="minorEastAsia" w:hAnsiTheme="minorEastAsia"/>
              </w:rPr>
              <w:alias w:val="出售商品提供劳务情况明细"/>
              <w:tag w:val="_GBC_d6e24b6ca62645f180ecf5d4621afdc6"/>
              <w:id w:val="1711765413"/>
              <w:lock w:val="sdtLocked"/>
            </w:sdtPr>
            <w:sdtEndPr/>
            <w:sdtContent>
              <w:tr w:rsidR="007E7472" w14:paraId="435BB8E6" w14:textId="77777777">
                <w:trPr>
                  <w:cantSplit/>
                </w:trPr>
                <w:tc>
                  <w:tcPr>
                    <w:tcW w:w="1409" w:type="pct"/>
                    <w:tcBorders>
                      <w:top w:val="single" w:sz="4" w:space="0" w:color="auto"/>
                      <w:left w:val="single" w:sz="4" w:space="0" w:color="auto"/>
                      <w:bottom w:val="single" w:sz="4" w:space="0" w:color="auto"/>
                      <w:right w:val="single" w:sz="4" w:space="0" w:color="auto"/>
                    </w:tcBorders>
                    <w:shd w:val="clear" w:color="auto" w:fill="auto"/>
                  </w:tcPr>
                  <w:p w14:paraId="0FD7D740" w14:textId="77777777" w:rsidR="007E7472" w:rsidRDefault="00EC1269">
                    <w:pPr>
                      <w:rPr>
                        <w:rFonts w:asciiTheme="minorEastAsia" w:eastAsiaTheme="minorEastAsia" w:hAnsiTheme="minorEastAsia"/>
                      </w:rPr>
                    </w:pPr>
                    <w:r>
                      <w:rPr>
                        <w:rFonts w:asciiTheme="minorEastAsia" w:eastAsiaTheme="minorEastAsia" w:hAnsiTheme="minorEastAsia" w:hint="eastAsia"/>
                      </w:rPr>
                      <w:t>合营企业</w:t>
                    </w:r>
                  </w:p>
                </w:tc>
                <w:tc>
                  <w:tcPr>
                    <w:tcW w:w="1480" w:type="pct"/>
                    <w:tcBorders>
                      <w:top w:val="single" w:sz="4" w:space="0" w:color="auto"/>
                      <w:left w:val="single" w:sz="4" w:space="0" w:color="auto"/>
                      <w:bottom w:val="single" w:sz="4" w:space="0" w:color="auto"/>
                      <w:right w:val="single" w:sz="4" w:space="0" w:color="auto"/>
                    </w:tcBorders>
                    <w:shd w:val="clear" w:color="auto" w:fill="auto"/>
                  </w:tcPr>
                  <w:p w14:paraId="66696007" w14:textId="77777777" w:rsidR="007E7472" w:rsidRDefault="00EC1269">
                    <w:pPr>
                      <w:rPr>
                        <w:rFonts w:asciiTheme="minorEastAsia" w:eastAsiaTheme="minorEastAsia" w:hAnsiTheme="minorEastAsia"/>
                      </w:rPr>
                    </w:pPr>
                    <w:r>
                      <w:rPr>
                        <w:rFonts w:asciiTheme="minorEastAsia" w:eastAsiaTheme="minorEastAsia" w:hAnsiTheme="minorEastAsia" w:hint="eastAsia"/>
                      </w:rPr>
                      <w:t>提供劳务</w:t>
                    </w:r>
                    <w:r>
                      <w:rPr>
                        <w:rFonts w:asciiTheme="minorEastAsia" w:eastAsiaTheme="minorEastAsia" w:hAnsiTheme="minorEastAsia"/>
                      </w:rPr>
                      <w:t>-利息收入</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7395EC11" w14:textId="77777777" w:rsidR="007E7472" w:rsidRDefault="00C8327E">
                    <w:pPr>
                      <w:jc w:val="right"/>
                      <w:rPr>
                        <w:rFonts w:asciiTheme="minorEastAsia" w:eastAsiaTheme="minorEastAsia" w:hAnsiTheme="minorEastAsia"/>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14:paraId="598E4E39" w14:textId="77777777" w:rsidR="007E7472" w:rsidRDefault="00EC1269">
                    <w:pPr>
                      <w:jc w:val="right"/>
                      <w:rPr>
                        <w:rFonts w:asciiTheme="minorEastAsia" w:eastAsiaTheme="minorEastAsia" w:hAnsiTheme="minorEastAsia"/>
                      </w:rPr>
                    </w:pPr>
                    <w:r>
                      <w:rPr>
                        <w:rFonts w:asciiTheme="minorEastAsia" w:eastAsiaTheme="minorEastAsia" w:hAnsiTheme="minorEastAsia"/>
                      </w:rPr>
                      <w:t>290,088</w:t>
                    </w:r>
                  </w:p>
                </w:tc>
              </w:tr>
            </w:sdtContent>
          </w:sdt>
          <w:sdt>
            <w:sdtPr>
              <w:rPr>
                <w:rFonts w:asciiTheme="minorEastAsia" w:eastAsiaTheme="minorEastAsia" w:hAnsiTheme="minorEastAsia"/>
              </w:rPr>
              <w:alias w:val="出售商品提供劳务情况明细"/>
              <w:tag w:val="_GBC_d6e24b6ca62645f180ecf5d4621afdc6"/>
              <w:id w:val="1418989308"/>
              <w:lock w:val="sdtLocked"/>
            </w:sdtPr>
            <w:sdtEndPr/>
            <w:sdtContent>
              <w:tr w:rsidR="007E7472" w14:paraId="34A4B8AC" w14:textId="77777777">
                <w:trPr>
                  <w:cantSplit/>
                </w:trPr>
                <w:tc>
                  <w:tcPr>
                    <w:tcW w:w="1409" w:type="pct"/>
                    <w:tcBorders>
                      <w:top w:val="single" w:sz="4" w:space="0" w:color="auto"/>
                      <w:left w:val="single" w:sz="4" w:space="0" w:color="auto"/>
                      <w:bottom w:val="single" w:sz="4" w:space="0" w:color="auto"/>
                      <w:right w:val="single" w:sz="4" w:space="0" w:color="auto"/>
                    </w:tcBorders>
                    <w:shd w:val="clear" w:color="auto" w:fill="auto"/>
                  </w:tcPr>
                  <w:p w14:paraId="30D12161" w14:textId="77777777" w:rsidR="007E7472" w:rsidRDefault="00EC1269">
                    <w:pPr>
                      <w:rPr>
                        <w:rFonts w:asciiTheme="minorEastAsia" w:eastAsiaTheme="minorEastAsia" w:hAnsiTheme="minorEastAsia"/>
                      </w:rPr>
                    </w:pPr>
                    <w:r>
                      <w:rPr>
                        <w:rFonts w:asciiTheme="minorEastAsia" w:eastAsiaTheme="minorEastAsia" w:hAnsiTheme="minorEastAsia" w:hint="eastAsia"/>
                      </w:rPr>
                      <w:t>联营企业</w:t>
                    </w:r>
                  </w:p>
                </w:tc>
                <w:tc>
                  <w:tcPr>
                    <w:tcW w:w="1480" w:type="pct"/>
                    <w:tcBorders>
                      <w:top w:val="single" w:sz="4" w:space="0" w:color="auto"/>
                      <w:left w:val="single" w:sz="4" w:space="0" w:color="auto"/>
                      <w:bottom w:val="single" w:sz="4" w:space="0" w:color="auto"/>
                      <w:right w:val="single" w:sz="4" w:space="0" w:color="auto"/>
                    </w:tcBorders>
                    <w:shd w:val="clear" w:color="auto" w:fill="auto"/>
                  </w:tcPr>
                  <w:p w14:paraId="61FA4733" w14:textId="77777777" w:rsidR="007E7472" w:rsidRDefault="00EC1269">
                    <w:pPr>
                      <w:rPr>
                        <w:rFonts w:asciiTheme="minorEastAsia" w:eastAsiaTheme="minorEastAsia" w:hAnsiTheme="minorEastAsia"/>
                      </w:rPr>
                    </w:pPr>
                    <w:r>
                      <w:rPr>
                        <w:rFonts w:asciiTheme="minorEastAsia" w:eastAsiaTheme="minorEastAsia" w:hAnsiTheme="minorEastAsia" w:hint="eastAsia"/>
                      </w:rPr>
                      <w:t>提供劳务</w:t>
                    </w:r>
                    <w:r>
                      <w:rPr>
                        <w:rFonts w:asciiTheme="minorEastAsia" w:eastAsiaTheme="minorEastAsia" w:hAnsiTheme="minorEastAsia"/>
                      </w:rPr>
                      <w:t>-煤炭运营</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598A5BDF" w14:textId="77777777" w:rsidR="007E7472" w:rsidRDefault="00C8327E">
                    <w:pPr>
                      <w:jc w:val="right"/>
                      <w:rPr>
                        <w:rFonts w:asciiTheme="minorEastAsia" w:eastAsiaTheme="minorEastAsia" w:hAnsiTheme="minorEastAsia"/>
                      </w:rPr>
                    </w:pPr>
                  </w:p>
                </w:tc>
                <w:tc>
                  <w:tcPr>
                    <w:tcW w:w="1075" w:type="pct"/>
                    <w:tcBorders>
                      <w:top w:val="single" w:sz="4" w:space="0" w:color="auto"/>
                      <w:left w:val="single" w:sz="4" w:space="0" w:color="auto"/>
                      <w:bottom w:val="single" w:sz="4" w:space="0" w:color="auto"/>
                      <w:right w:val="single" w:sz="4" w:space="0" w:color="auto"/>
                    </w:tcBorders>
                    <w:shd w:val="clear" w:color="auto" w:fill="auto"/>
                  </w:tcPr>
                  <w:p w14:paraId="2BF36CE1" w14:textId="77777777" w:rsidR="007E7472" w:rsidRDefault="00EC1269">
                    <w:pPr>
                      <w:jc w:val="right"/>
                      <w:rPr>
                        <w:rFonts w:asciiTheme="minorEastAsia" w:eastAsiaTheme="minorEastAsia" w:hAnsiTheme="minorEastAsia"/>
                      </w:rPr>
                    </w:pPr>
                    <w:r>
                      <w:rPr>
                        <w:rFonts w:asciiTheme="minorEastAsia" w:eastAsiaTheme="minorEastAsia" w:hAnsiTheme="minorEastAsia"/>
                      </w:rPr>
                      <w:t>29,346</w:t>
                    </w:r>
                  </w:p>
                </w:tc>
              </w:tr>
            </w:sdtContent>
          </w:sdt>
          <w:sdt>
            <w:sdtPr>
              <w:rPr>
                <w:rFonts w:asciiTheme="minorEastAsia" w:eastAsiaTheme="minorEastAsia" w:hAnsiTheme="minorEastAsia"/>
              </w:rPr>
              <w:alias w:val="出售商品提供劳务情况明细"/>
              <w:tag w:val="_GBC_d6e24b6ca62645f180ecf5d4621afdc6"/>
              <w:id w:val="396173757"/>
              <w:lock w:val="sdtLocked"/>
            </w:sdtPr>
            <w:sdtEndPr/>
            <w:sdtContent>
              <w:tr w:rsidR="007E7472" w14:paraId="080EEBFF" w14:textId="77777777">
                <w:trPr>
                  <w:cantSplit/>
                </w:trPr>
                <w:tc>
                  <w:tcPr>
                    <w:tcW w:w="1409" w:type="pct"/>
                    <w:tcBorders>
                      <w:top w:val="single" w:sz="4" w:space="0" w:color="auto"/>
                      <w:left w:val="single" w:sz="4" w:space="0" w:color="auto"/>
                      <w:bottom w:val="single" w:sz="4" w:space="0" w:color="auto"/>
                      <w:right w:val="single" w:sz="4" w:space="0" w:color="auto"/>
                    </w:tcBorders>
                    <w:shd w:val="clear" w:color="auto" w:fill="auto"/>
                  </w:tcPr>
                  <w:p w14:paraId="2E4D7C85" w14:textId="77777777" w:rsidR="007E7472" w:rsidRDefault="00EC1269">
                    <w:pPr>
                      <w:rPr>
                        <w:rFonts w:asciiTheme="minorEastAsia" w:eastAsiaTheme="minorEastAsia" w:hAnsiTheme="minorEastAsia"/>
                      </w:rPr>
                    </w:pPr>
                    <w:r>
                      <w:rPr>
                        <w:rFonts w:asciiTheme="minorEastAsia" w:eastAsiaTheme="minorEastAsia" w:hAnsiTheme="minorEastAsia" w:hint="eastAsia"/>
                      </w:rPr>
                      <w:t>合营企业</w:t>
                    </w:r>
                  </w:p>
                </w:tc>
                <w:tc>
                  <w:tcPr>
                    <w:tcW w:w="1480" w:type="pct"/>
                    <w:tcBorders>
                      <w:top w:val="single" w:sz="4" w:space="0" w:color="auto"/>
                      <w:left w:val="single" w:sz="4" w:space="0" w:color="auto"/>
                      <w:bottom w:val="single" w:sz="4" w:space="0" w:color="auto"/>
                      <w:right w:val="single" w:sz="4" w:space="0" w:color="auto"/>
                    </w:tcBorders>
                    <w:shd w:val="clear" w:color="auto" w:fill="auto"/>
                  </w:tcPr>
                  <w:p w14:paraId="6DAED294" w14:textId="77777777" w:rsidR="007E7472" w:rsidRDefault="00EC1269">
                    <w:pPr>
                      <w:rPr>
                        <w:rFonts w:asciiTheme="minorEastAsia" w:eastAsiaTheme="minorEastAsia" w:hAnsiTheme="minorEastAsia"/>
                      </w:rPr>
                    </w:pPr>
                    <w:r>
                      <w:rPr>
                        <w:rFonts w:asciiTheme="minorEastAsia" w:eastAsiaTheme="minorEastAsia" w:hAnsiTheme="minorEastAsia" w:hint="eastAsia"/>
                      </w:rPr>
                      <w:t>提供劳务</w:t>
                    </w:r>
                    <w:r>
                      <w:rPr>
                        <w:rFonts w:asciiTheme="minorEastAsia" w:eastAsiaTheme="minorEastAsia" w:hAnsiTheme="minorEastAsia"/>
                      </w:rPr>
                      <w:t>-特许权使用服务</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66D176EB" w14:textId="77777777" w:rsidR="007E7472" w:rsidRDefault="00EC1269">
                    <w:pPr>
                      <w:jc w:val="right"/>
                      <w:rPr>
                        <w:rFonts w:asciiTheme="minorEastAsia" w:eastAsiaTheme="minorEastAsia" w:hAnsiTheme="minorEastAsia"/>
                      </w:rPr>
                    </w:pPr>
                    <w:r>
                      <w:rPr>
                        <w:rFonts w:asciiTheme="minorEastAsia" w:eastAsiaTheme="minorEastAsia" w:hAnsiTheme="minorEastAsia"/>
                      </w:rPr>
                      <w:t>58,339</w:t>
                    </w:r>
                  </w:p>
                </w:tc>
                <w:tc>
                  <w:tcPr>
                    <w:tcW w:w="1075" w:type="pct"/>
                    <w:tcBorders>
                      <w:top w:val="single" w:sz="4" w:space="0" w:color="auto"/>
                      <w:left w:val="single" w:sz="4" w:space="0" w:color="auto"/>
                      <w:bottom w:val="single" w:sz="4" w:space="0" w:color="auto"/>
                      <w:right w:val="single" w:sz="4" w:space="0" w:color="auto"/>
                    </w:tcBorders>
                    <w:shd w:val="clear" w:color="auto" w:fill="auto"/>
                  </w:tcPr>
                  <w:p w14:paraId="0CCBF8A8" w14:textId="77777777" w:rsidR="007E7472" w:rsidRDefault="00EC1269">
                    <w:pPr>
                      <w:jc w:val="right"/>
                      <w:rPr>
                        <w:rFonts w:asciiTheme="minorEastAsia" w:eastAsiaTheme="minorEastAsia" w:hAnsiTheme="minorEastAsia"/>
                      </w:rPr>
                    </w:pPr>
                    <w:r>
                      <w:rPr>
                        <w:rFonts w:asciiTheme="minorEastAsia" w:eastAsiaTheme="minorEastAsia" w:hAnsiTheme="minorEastAsia"/>
                      </w:rPr>
                      <w:t>131,312</w:t>
                    </w:r>
                  </w:p>
                </w:tc>
              </w:tr>
            </w:sdtContent>
          </w:sdt>
          <w:sdt>
            <w:sdtPr>
              <w:rPr>
                <w:rFonts w:asciiTheme="minorEastAsia" w:eastAsiaTheme="minorEastAsia" w:hAnsiTheme="minorEastAsia"/>
              </w:rPr>
              <w:alias w:val="出售商品提供劳务情况明细"/>
              <w:tag w:val="_GBC_d6e24b6ca62645f180ecf5d4621afdc6"/>
              <w:id w:val="-1896811065"/>
              <w:lock w:val="sdtLocked"/>
            </w:sdtPr>
            <w:sdtEndPr/>
            <w:sdtContent>
              <w:tr w:rsidR="007E7472" w14:paraId="015DD7FC" w14:textId="77777777">
                <w:trPr>
                  <w:cantSplit/>
                </w:trPr>
                <w:tc>
                  <w:tcPr>
                    <w:tcW w:w="1409" w:type="pct"/>
                    <w:tcBorders>
                      <w:top w:val="single" w:sz="4" w:space="0" w:color="auto"/>
                      <w:left w:val="single" w:sz="4" w:space="0" w:color="auto"/>
                      <w:bottom w:val="single" w:sz="4" w:space="0" w:color="auto"/>
                      <w:right w:val="single" w:sz="4" w:space="0" w:color="auto"/>
                    </w:tcBorders>
                    <w:shd w:val="clear" w:color="auto" w:fill="auto"/>
                  </w:tcPr>
                  <w:p w14:paraId="3F805A7F" w14:textId="77777777" w:rsidR="007E7472" w:rsidRDefault="00EC1269">
                    <w:pPr>
                      <w:rPr>
                        <w:rFonts w:asciiTheme="minorEastAsia" w:eastAsiaTheme="minorEastAsia" w:hAnsiTheme="minorEastAsia"/>
                      </w:rPr>
                    </w:pPr>
                    <w:r>
                      <w:rPr>
                        <w:rFonts w:asciiTheme="minorEastAsia" w:eastAsiaTheme="minorEastAsia" w:hAnsiTheme="minorEastAsia" w:hint="eastAsia"/>
                      </w:rPr>
                      <w:t>控股股东及其控制的公司</w:t>
                    </w:r>
                  </w:p>
                </w:tc>
                <w:tc>
                  <w:tcPr>
                    <w:tcW w:w="1480" w:type="pct"/>
                    <w:tcBorders>
                      <w:top w:val="single" w:sz="4" w:space="0" w:color="auto"/>
                      <w:left w:val="single" w:sz="4" w:space="0" w:color="auto"/>
                      <w:bottom w:val="single" w:sz="4" w:space="0" w:color="auto"/>
                      <w:right w:val="single" w:sz="4" w:space="0" w:color="auto"/>
                    </w:tcBorders>
                    <w:shd w:val="clear" w:color="auto" w:fill="auto"/>
                  </w:tcPr>
                  <w:p w14:paraId="3A1C9134" w14:textId="77777777" w:rsidR="007E7472" w:rsidRDefault="00EC1269">
                    <w:pPr>
                      <w:rPr>
                        <w:rFonts w:asciiTheme="minorEastAsia" w:eastAsiaTheme="minorEastAsia" w:hAnsiTheme="minorEastAsia"/>
                      </w:rPr>
                    </w:pPr>
                    <w:r>
                      <w:rPr>
                        <w:rFonts w:asciiTheme="minorEastAsia" w:eastAsiaTheme="minorEastAsia" w:hAnsiTheme="minorEastAsia" w:hint="eastAsia"/>
                      </w:rPr>
                      <w:t>提供劳务</w:t>
                    </w:r>
                    <w:r>
                      <w:rPr>
                        <w:rFonts w:asciiTheme="minorEastAsia" w:eastAsiaTheme="minorEastAsia" w:hAnsiTheme="minorEastAsia"/>
                      </w:rPr>
                      <w:t>-项目委托管理</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74FB5446" w14:textId="77777777" w:rsidR="007E7472" w:rsidRDefault="00EC1269">
                    <w:pPr>
                      <w:jc w:val="right"/>
                      <w:rPr>
                        <w:rFonts w:asciiTheme="minorEastAsia" w:eastAsiaTheme="minorEastAsia" w:hAnsiTheme="minorEastAsia"/>
                      </w:rPr>
                    </w:pPr>
                    <w:r>
                      <w:rPr>
                        <w:rFonts w:asciiTheme="minorEastAsia" w:eastAsiaTheme="minorEastAsia" w:hAnsiTheme="minorEastAsia"/>
                      </w:rPr>
                      <w:t>2,151</w:t>
                    </w:r>
                  </w:p>
                </w:tc>
                <w:tc>
                  <w:tcPr>
                    <w:tcW w:w="1075" w:type="pct"/>
                    <w:tcBorders>
                      <w:top w:val="single" w:sz="4" w:space="0" w:color="auto"/>
                      <w:left w:val="single" w:sz="4" w:space="0" w:color="auto"/>
                      <w:bottom w:val="single" w:sz="4" w:space="0" w:color="auto"/>
                      <w:right w:val="single" w:sz="4" w:space="0" w:color="auto"/>
                    </w:tcBorders>
                    <w:shd w:val="clear" w:color="auto" w:fill="auto"/>
                  </w:tcPr>
                  <w:p w14:paraId="68DD0035" w14:textId="77777777" w:rsidR="007E7472" w:rsidRDefault="00C8327E">
                    <w:pPr>
                      <w:jc w:val="right"/>
                      <w:rPr>
                        <w:rFonts w:asciiTheme="minorEastAsia" w:eastAsiaTheme="minorEastAsia" w:hAnsiTheme="minorEastAsia"/>
                      </w:rPr>
                    </w:pPr>
                  </w:p>
                </w:tc>
              </w:tr>
            </w:sdtContent>
          </w:sdt>
          <w:sdt>
            <w:sdtPr>
              <w:rPr>
                <w:rFonts w:asciiTheme="minorEastAsia" w:eastAsiaTheme="minorEastAsia" w:hAnsiTheme="minorEastAsia"/>
              </w:rPr>
              <w:alias w:val="出售商品提供劳务情况明细"/>
              <w:tag w:val="_GBC_d6e24b6ca62645f180ecf5d4621afdc6"/>
              <w:id w:val="1342441516"/>
              <w:lock w:val="sdtLocked"/>
            </w:sdtPr>
            <w:sdtEndPr/>
            <w:sdtContent>
              <w:tr w:rsidR="007E7472" w14:paraId="68929C69" w14:textId="77777777">
                <w:trPr>
                  <w:cantSplit/>
                </w:trPr>
                <w:tc>
                  <w:tcPr>
                    <w:tcW w:w="1409" w:type="pct"/>
                    <w:tcBorders>
                      <w:top w:val="single" w:sz="4" w:space="0" w:color="auto"/>
                      <w:left w:val="single" w:sz="4" w:space="0" w:color="auto"/>
                      <w:bottom w:val="single" w:sz="4" w:space="0" w:color="auto"/>
                      <w:right w:val="single" w:sz="4" w:space="0" w:color="auto"/>
                    </w:tcBorders>
                    <w:shd w:val="clear" w:color="auto" w:fill="auto"/>
                  </w:tcPr>
                  <w:p w14:paraId="08339326" w14:textId="77777777" w:rsidR="007E7472" w:rsidRDefault="00EC1269">
                    <w:pPr>
                      <w:rPr>
                        <w:rFonts w:asciiTheme="minorEastAsia" w:eastAsiaTheme="minorEastAsia" w:hAnsiTheme="minorEastAsia"/>
                      </w:rPr>
                    </w:pPr>
                    <w:r>
                      <w:rPr>
                        <w:rFonts w:asciiTheme="minorEastAsia" w:eastAsiaTheme="minorEastAsia" w:hAnsiTheme="minorEastAsia" w:hint="eastAsia"/>
                      </w:rPr>
                      <w:t>合计</w:t>
                    </w:r>
                  </w:p>
                </w:tc>
                <w:tc>
                  <w:tcPr>
                    <w:tcW w:w="1480" w:type="pct"/>
                    <w:tcBorders>
                      <w:top w:val="single" w:sz="4" w:space="0" w:color="auto"/>
                      <w:left w:val="single" w:sz="4" w:space="0" w:color="auto"/>
                      <w:bottom w:val="single" w:sz="4" w:space="0" w:color="auto"/>
                      <w:right w:val="single" w:sz="4" w:space="0" w:color="auto"/>
                    </w:tcBorders>
                    <w:shd w:val="clear" w:color="auto" w:fill="auto"/>
                  </w:tcPr>
                  <w:p w14:paraId="3DA0DFEA" w14:textId="77777777" w:rsidR="007E7472" w:rsidRDefault="00C8327E">
                    <w:pPr>
                      <w:rPr>
                        <w:rFonts w:asciiTheme="minorEastAsia" w:eastAsiaTheme="minorEastAsia" w:hAnsiTheme="minorEastAsia"/>
                      </w:rPr>
                    </w:pP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5FBAE172" w14:textId="77777777" w:rsidR="007E7472" w:rsidRDefault="00EC1269">
                    <w:pPr>
                      <w:jc w:val="right"/>
                      <w:rPr>
                        <w:rFonts w:asciiTheme="minorEastAsia" w:eastAsiaTheme="minorEastAsia" w:hAnsiTheme="minorEastAsia"/>
                      </w:rPr>
                    </w:pPr>
                    <w:r>
                      <w:rPr>
                        <w:rFonts w:asciiTheme="minorEastAsia" w:eastAsiaTheme="minorEastAsia" w:hAnsiTheme="minorEastAsia"/>
                      </w:rPr>
                      <w:t>5,053,707</w:t>
                    </w:r>
                  </w:p>
                </w:tc>
                <w:tc>
                  <w:tcPr>
                    <w:tcW w:w="1075" w:type="pct"/>
                    <w:tcBorders>
                      <w:top w:val="single" w:sz="4" w:space="0" w:color="auto"/>
                      <w:left w:val="single" w:sz="4" w:space="0" w:color="auto"/>
                      <w:bottom w:val="single" w:sz="4" w:space="0" w:color="auto"/>
                      <w:right w:val="single" w:sz="4" w:space="0" w:color="auto"/>
                    </w:tcBorders>
                    <w:shd w:val="clear" w:color="auto" w:fill="auto"/>
                  </w:tcPr>
                  <w:p w14:paraId="1F67B4DF" w14:textId="77777777" w:rsidR="007E7472" w:rsidRDefault="00EC1269">
                    <w:pPr>
                      <w:jc w:val="right"/>
                      <w:rPr>
                        <w:rFonts w:asciiTheme="minorEastAsia" w:eastAsiaTheme="minorEastAsia" w:hAnsiTheme="minorEastAsia"/>
                      </w:rPr>
                    </w:pPr>
                    <w:r>
                      <w:rPr>
                        <w:rFonts w:asciiTheme="minorEastAsia" w:eastAsiaTheme="minorEastAsia" w:hAnsiTheme="minorEastAsia"/>
                      </w:rPr>
                      <w:t>3,830,623</w:t>
                    </w:r>
                  </w:p>
                </w:tc>
              </w:tr>
            </w:sdtContent>
          </w:sdt>
        </w:tbl>
        <w:p w14:paraId="5B875A55" w14:textId="77777777" w:rsidR="007E7472" w:rsidRDefault="00C8327E">
          <w:pPr>
            <w:rPr>
              <w:rFonts w:asciiTheme="minorEastAsia" w:eastAsiaTheme="minorEastAsia" w:hAnsiTheme="minorEastAsia"/>
            </w:rPr>
          </w:pPr>
        </w:p>
        <w:p w14:paraId="72A1682F" w14:textId="77777777" w:rsidR="007E7472" w:rsidRDefault="00EC1269">
          <w:pPr>
            <w:rPr>
              <w:rFonts w:asciiTheme="minorEastAsia" w:eastAsiaTheme="minorEastAsia" w:hAnsiTheme="minorEastAsia" w:cs="Cambria"/>
            </w:rPr>
          </w:pPr>
          <w:r>
            <w:rPr>
              <w:rFonts w:asciiTheme="minorEastAsia" w:eastAsiaTheme="minorEastAsia" w:hAnsiTheme="minorEastAsia" w:cs="Cambria" w:hint="eastAsia"/>
            </w:rPr>
            <w:t>购销商品、提供和接受劳务的关联交易说明</w:t>
          </w:r>
        </w:p>
        <w:sdt>
          <w:sdtPr>
            <w:rPr>
              <w:rFonts w:asciiTheme="minorEastAsia" w:eastAsiaTheme="minorEastAsia" w:hAnsiTheme="minorEastAsia" w:cs="Cambria"/>
            </w:rPr>
            <w:alias w:val="是否适用：购销商品、提供和接受劳务的关联交易说明[双击切换]"/>
            <w:tag w:val="_GBC_9ec9e1b38e7f48d89bb7f6441bed1bd1"/>
            <w:id w:val="-674486112"/>
            <w:lock w:val="sdtLocked"/>
            <w:placeholder>
              <w:docPart w:val="GBC22222222222222222222222222222"/>
            </w:placeholder>
          </w:sdtPr>
          <w:sdtEndPr/>
          <w:sdtContent>
            <w:p w14:paraId="3526D633" w14:textId="77777777" w:rsidR="007E7472" w:rsidRDefault="00EC1269">
              <w:pPr>
                <w:rPr>
                  <w:rFonts w:asciiTheme="minorEastAsia" w:eastAsiaTheme="minorEastAsia" w:hAnsiTheme="minorEastAsia" w:cs="Cambria"/>
                </w:rPr>
              </w:pPr>
              <w:r>
                <w:rPr>
                  <w:rFonts w:asciiTheme="minorEastAsia" w:eastAsiaTheme="minorEastAsia" w:hAnsiTheme="minorEastAsia" w:cs="Cambria"/>
                </w:rPr>
                <w:fldChar w:fldCharType="begin"/>
              </w:r>
              <w:r>
                <w:rPr>
                  <w:rFonts w:asciiTheme="minorEastAsia" w:eastAsiaTheme="minorEastAsia" w:hAnsiTheme="minorEastAsia" w:cs="Cambria"/>
                </w:rPr>
                <w:instrText xml:space="preserve"> MACROBUTTON  SnrToggleCheckbox √适用 </w:instrText>
              </w:r>
              <w:r>
                <w:rPr>
                  <w:rFonts w:asciiTheme="minorEastAsia" w:eastAsiaTheme="minorEastAsia" w:hAnsiTheme="minorEastAsia" w:cs="Cambria"/>
                </w:rPr>
                <w:fldChar w:fldCharType="end"/>
              </w:r>
              <w:r>
                <w:rPr>
                  <w:rFonts w:asciiTheme="minorEastAsia" w:eastAsiaTheme="minorEastAsia" w:hAnsiTheme="minorEastAsia" w:cs="Cambria"/>
                </w:rPr>
                <w:fldChar w:fldCharType="begin"/>
              </w:r>
              <w:r>
                <w:rPr>
                  <w:rFonts w:asciiTheme="minorEastAsia" w:eastAsiaTheme="minorEastAsia" w:hAnsiTheme="minorEastAsia" w:cs="Cambria"/>
                </w:rPr>
                <w:instrText xml:space="preserve"> MACROBUTTON  SnrToggleCheckbox □不适用 </w:instrText>
              </w:r>
              <w:r>
                <w:rPr>
                  <w:rFonts w:asciiTheme="minorEastAsia" w:eastAsiaTheme="minorEastAsia" w:hAnsiTheme="minorEastAsia" w:cs="Cambria"/>
                </w:rPr>
                <w:fldChar w:fldCharType="end"/>
              </w:r>
            </w:p>
          </w:sdtContent>
        </w:sdt>
        <w:sdt>
          <w:sdtPr>
            <w:rPr>
              <w:rFonts w:asciiTheme="minorEastAsia" w:eastAsiaTheme="minorEastAsia" w:hAnsiTheme="minorEastAsia" w:cs="Cambria"/>
            </w:rPr>
            <w:alias w:val="购销商品、提供和接受劳务的关联交易说明"/>
            <w:tag w:val="_GBC_b40d5cc82ee746028d6efa52b270cc25"/>
            <w:id w:val="-552162040"/>
            <w:lock w:val="sdtLocked"/>
            <w:placeholder>
              <w:docPart w:val="GBC22222222222222222222222222222"/>
            </w:placeholder>
          </w:sdtPr>
          <w:sdtEndPr>
            <w:rPr>
              <w:rFonts w:ascii="宋体" w:eastAsia="宋体" w:hAnsi="宋体"/>
            </w:rPr>
          </w:sdtEndPr>
          <w:sdtContent>
            <w:p w14:paraId="2DF43793" w14:textId="77777777" w:rsidR="007E7472" w:rsidRDefault="00EC1269">
              <w:pPr>
                <w:spacing w:line="360" w:lineRule="exact"/>
                <w:ind w:firstLineChars="200" w:firstLine="420"/>
                <w:rPr>
                  <w:rFonts w:cs="Cambria"/>
                </w:rPr>
              </w:pPr>
              <w:r>
                <w:rPr>
                  <w:rFonts w:asciiTheme="minorEastAsia" w:eastAsiaTheme="minorEastAsia" w:hAnsiTheme="minorEastAsia" w:hint="eastAsia"/>
                </w:rPr>
                <w:t>注：根据本公司与山东能源签订的协议，向山东能源及其附属公司供应产品、材料物资及设备租赁、提供劳务及服务，交易价格以市场价格确定</w:t>
              </w:r>
              <w:r>
                <w:rPr>
                  <w:rFonts w:hint="eastAsia"/>
                </w:rPr>
                <w:t>。</w:t>
              </w:r>
            </w:p>
          </w:sdtContent>
        </w:sdt>
        <w:p w14:paraId="0D04BC1A" w14:textId="77777777" w:rsidR="007E7472" w:rsidRDefault="00C8327E">
          <w:pPr>
            <w:rPr>
              <w:rFonts w:cs="Cambria"/>
            </w:rPr>
          </w:pPr>
        </w:p>
      </w:sdtContent>
    </w:sdt>
    <w:sdt>
      <w:sdtPr>
        <w:rPr>
          <w:rFonts w:ascii="宋体" w:hAnsi="宋体" w:cs="宋体" w:hint="eastAsia"/>
          <w:b w:val="0"/>
          <w:bCs w:val="0"/>
          <w:kern w:val="0"/>
          <w:szCs w:val="21"/>
        </w:rPr>
        <w:alias w:val="模块:关联受托管理/承包及委托管理/出包情况"/>
        <w:tag w:val="_GBC_41e9e66a2ab04304a0db7b9e032817c5"/>
        <w:id w:val="1761793626"/>
        <w:lock w:val="sdtLocked"/>
        <w:placeholder>
          <w:docPart w:val="GBC22222222222222222222222222222"/>
        </w:placeholder>
      </w:sdtPr>
      <w:sdtEndPr>
        <w:rPr>
          <w:rFonts w:cs="Cambria" w:hint="default"/>
        </w:rPr>
      </w:sdtEndPr>
      <w:sdtContent>
        <w:p w14:paraId="09B0DFAE" w14:textId="77777777" w:rsidR="007E7472" w:rsidRDefault="00EC1269" w:rsidP="00162493">
          <w:pPr>
            <w:pStyle w:val="4"/>
            <w:numPr>
              <w:ilvl w:val="0"/>
              <w:numId w:val="108"/>
            </w:numPr>
          </w:pPr>
          <w:r>
            <w:rPr>
              <w:rFonts w:hint="eastAsia"/>
            </w:rPr>
            <w:t>关联受托管理</w:t>
          </w:r>
          <w:r>
            <w:rPr>
              <w:rFonts w:hint="eastAsia"/>
            </w:rPr>
            <w:t>/</w:t>
          </w:r>
          <w:r>
            <w:rPr>
              <w:rFonts w:hint="eastAsia"/>
            </w:rPr>
            <w:t>承包及委托管理</w:t>
          </w:r>
          <w:r>
            <w:rPr>
              <w:rFonts w:hint="eastAsia"/>
            </w:rPr>
            <w:t>/</w:t>
          </w:r>
          <w:r>
            <w:rPr>
              <w:rFonts w:hint="eastAsia"/>
            </w:rPr>
            <w:t>出包情况</w:t>
          </w:r>
        </w:p>
        <w:p w14:paraId="6181CC75" w14:textId="77777777" w:rsidR="007E7472" w:rsidRDefault="00EC1269">
          <w:r>
            <w:rPr>
              <w:rFonts w:hint="eastAsia"/>
            </w:rPr>
            <w:t>本公司受托管理/承包情况表：</w:t>
          </w:r>
        </w:p>
        <w:sdt>
          <w:sdtPr>
            <w:rPr>
              <w:rFonts w:cs="Cambria"/>
            </w:rPr>
            <w:alias w:val="是否适用：本公司受托管理或承包情况表[双击切换]"/>
            <w:tag w:val="_GBC_3810b3cad54c4b2f9754e7d6be3e9480"/>
            <w:id w:val="1446419090"/>
            <w:lock w:val="sdtLocked"/>
            <w:placeholder>
              <w:docPart w:val="GBC22222222222222222222222222222"/>
            </w:placeholder>
          </w:sdtPr>
          <w:sdtEndPr/>
          <w:sdtContent>
            <w:p w14:paraId="4B8D91D3" w14:textId="77777777" w:rsidR="007E7472" w:rsidRDefault="00EC1269">
              <w:pPr>
                <w:rPr>
                  <w:rFonts w:cs="Cambria"/>
                </w:rPr>
              </w:pPr>
              <w:r>
                <w:rPr>
                  <w:rFonts w:cs="Cambria"/>
                </w:rPr>
                <w:fldChar w:fldCharType="begin"/>
              </w:r>
              <w:r>
                <w:rPr>
                  <w:rFonts w:cs="Cambria"/>
                </w:rPr>
                <w:instrText xml:space="preserve"> MACROBUTTON  SnrToggleCheckbox □适用 </w:instrText>
              </w:r>
              <w:r>
                <w:rPr>
                  <w:rFonts w:cs="Cambria"/>
                </w:rPr>
                <w:fldChar w:fldCharType="end"/>
              </w:r>
              <w:r>
                <w:rPr>
                  <w:rFonts w:cs="Cambria"/>
                </w:rPr>
                <w:fldChar w:fldCharType="begin"/>
              </w:r>
              <w:r>
                <w:rPr>
                  <w:rFonts w:cs="Cambria"/>
                </w:rPr>
                <w:instrText xml:space="preserve"> MACROBUTTON  SnrToggleCheckbox √不适用 </w:instrText>
              </w:r>
              <w:r>
                <w:rPr>
                  <w:rFonts w:cs="Cambria"/>
                </w:rPr>
                <w:fldChar w:fldCharType="end"/>
              </w:r>
            </w:p>
          </w:sdtContent>
        </w:sdt>
        <w:p w14:paraId="11202605" w14:textId="77777777" w:rsidR="007E7472" w:rsidRDefault="00EC1269">
          <w:pPr>
            <w:rPr>
              <w:rFonts w:cs="Cambria"/>
            </w:rPr>
          </w:pPr>
          <w:r>
            <w:rPr>
              <w:rFonts w:cs="Cambria" w:hint="eastAsia"/>
            </w:rPr>
            <w:t>关联托管/承包情况说明</w:t>
          </w:r>
        </w:p>
        <w:sdt>
          <w:sdtPr>
            <w:rPr>
              <w:rFonts w:cs="Cambria"/>
            </w:rPr>
            <w:alias w:val="是否适用：关联托管或承包情况说明[双击切换]"/>
            <w:tag w:val="_GBC_42ec6e3170b04610899c528ce7bda003"/>
            <w:id w:val="972565015"/>
            <w:lock w:val="sdtLocked"/>
            <w:placeholder>
              <w:docPart w:val="GBC22222222222222222222222222222"/>
            </w:placeholder>
          </w:sdtPr>
          <w:sdtEndPr/>
          <w:sdtContent>
            <w:p w14:paraId="195F438B" w14:textId="77777777" w:rsidR="007E7472" w:rsidRDefault="00EC1269">
              <w:pPr>
                <w:rPr>
                  <w:rFonts w:cs="Cambria"/>
                </w:rPr>
              </w:pPr>
              <w:r>
                <w:rPr>
                  <w:rFonts w:cs="Cambria"/>
                </w:rPr>
                <w:fldChar w:fldCharType="begin"/>
              </w:r>
              <w:r>
                <w:rPr>
                  <w:rFonts w:cs="Cambria"/>
                </w:rPr>
                <w:instrText xml:space="preserve"> MACROBUTTON  SnrToggleCheckbox □适用 </w:instrText>
              </w:r>
              <w:r>
                <w:rPr>
                  <w:rFonts w:cs="Cambria"/>
                </w:rPr>
                <w:fldChar w:fldCharType="end"/>
              </w:r>
              <w:r>
                <w:rPr>
                  <w:rFonts w:cs="Cambria"/>
                </w:rPr>
                <w:fldChar w:fldCharType="begin"/>
              </w:r>
              <w:r>
                <w:rPr>
                  <w:rFonts w:cs="Cambria"/>
                </w:rPr>
                <w:instrText xml:space="preserve"> MACROBUTTON  SnrToggleCheckbox √不适用 </w:instrText>
              </w:r>
              <w:r>
                <w:rPr>
                  <w:rFonts w:cs="Cambria"/>
                </w:rPr>
                <w:fldChar w:fldCharType="end"/>
              </w:r>
            </w:p>
          </w:sdtContent>
        </w:sdt>
        <w:p w14:paraId="76AEE809" w14:textId="77777777" w:rsidR="007E7472" w:rsidRDefault="00C8327E">
          <w:pPr>
            <w:rPr>
              <w:rFonts w:cs="Cambria"/>
            </w:rPr>
          </w:pPr>
        </w:p>
        <w:p w14:paraId="2F08987B" w14:textId="77777777" w:rsidR="007E7472" w:rsidRDefault="00EC1269">
          <w:pPr>
            <w:rPr>
              <w:rFonts w:cs="Cambria"/>
              <w:bCs/>
            </w:rPr>
          </w:pPr>
          <w:r>
            <w:rPr>
              <w:rFonts w:hint="eastAsia"/>
            </w:rPr>
            <w:t>本公司</w:t>
          </w:r>
          <w:r>
            <w:rPr>
              <w:rFonts w:cs="Cambria" w:hint="eastAsia"/>
            </w:rPr>
            <w:t>委托管理/出包情况表：</w:t>
          </w:r>
        </w:p>
        <w:sdt>
          <w:sdtPr>
            <w:rPr>
              <w:rFonts w:cs="Cambria"/>
              <w:bCs/>
            </w:rPr>
            <w:alias w:val="是否适用：本公司委托管理或出包情况表[双击切换]"/>
            <w:tag w:val="_GBC_37bf111a27194665b76f71bb5418d53c"/>
            <w:id w:val="-139962130"/>
            <w:lock w:val="sdtLocked"/>
            <w:placeholder>
              <w:docPart w:val="GBC22222222222222222222222222222"/>
            </w:placeholder>
          </w:sdtPr>
          <w:sdtEndPr/>
          <w:sdtContent>
            <w:p w14:paraId="77CE8038" w14:textId="77777777" w:rsidR="007E7472" w:rsidRDefault="00EC1269">
              <w:pPr>
                <w:rPr>
                  <w:rFonts w:cs="Cambria"/>
                  <w:bCs/>
                </w:rPr>
              </w:pPr>
              <w:r>
                <w:rPr>
                  <w:rFonts w:cs="Cambria"/>
                  <w:bCs/>
                </w:rPr>
                <w:fldChar w:fldCharType="begin"/>
              </w:r>
              <w:r>
                <w:rPr>
                  <w:rFonts w:cs="Cambria"/>
                </w:rPr>
                <w:instrText xml:space="preserve"> MACROBUTTON  SnrToggleCheckbox □适用 </w:instrText>
              </w:r>
              <w:r>
                <w:rPr>
                  <w:rFonts w:cs="Cambria"/>
                  <w:bCs/>
                </w:rPr>
                <w:fldChar w:fldCharType="end"/>
              </w:r>
              <w:r>
                <w:rPr>
                  <w:rFonts w:cs="Cambria"/>
                  <w:bCs/>
                </w:rPr>
                <w:fldChar w:fldCharType="begin"/>
              </w:r>
              <w:r>
                <w:rPr>
                  <w:rFonts w:cs="Cambria"/>
                </w:rPr>
                <w:instrText xml:space="preserve"> MACROBUTTON  SnrToggleCheckbox √不适用 </w:instrText>
              </w:r>
              <w:r>
                <w:rPr>
                  <w:rFonts w:cs="Cambria"/>
                  <w:bCs/>
                </w:rPr>
                <w:fldChar w:fldCharType="end"/>
              </w:r>
            </w:p>
          </w:sdtContent>
        </w:sdt>
        <w:p w14:paraId="4819E6DE" w14:textId="77777777" w:rsidR="007E7472" w:rsidRDefault="00EC1269">
          <w:pPr>
            <w:rPr>
              <w:rFonts w:cs="Cambria"/>
              <w:bCs/>
            </w:rPr>
          </w:pPr>
          <w:r>
            <w:rPr>
              <w:rFonts w:cs="Cambria" w:hint="eastAsia"/>
            </w:rPr>
            <w:t>关联管理/出包情况说明</w:t>
          </w:r>
        </w:p>
        <w:sdt>
          <w:sdtPr>
            <w:rPr>
              <w:rFonts w:cs="Cambria"/>
              <w:bCs/>
            </w:rPr>
            <w:alias w:val="是否适用：关联管理或出包情况说明[双击切换]"/>
            <w:tag w:val="_GBC_0b0339c118c542eb8a6e3a68fab8e375"/>
            <w:id w:val="-55323361"/>
            <w:lock w:val="sdtLocked"/>
            <w:placeholder>
              <w:docPart w:val="GBC22222222222222222222222222222"/>
            </w:placeholder>
          </w:sdtPr>
          <w:sdtEndPr/>
          <w:sdtContent>
            <w:p w14:paraId="24BABCAD" w14:textId="77777777" w:rsidR="007E7472" w:rsidRDefault="00EC1269">
              <w:pPr>
                <w:rPr>
                  <w:rFonts w:cs="Cambria"/>
                  <w:bCs/>
                </w:rPr>
              </w:pPr>
              <w:r>
                <w:rPr>
                  <w:rFonts w:cs="Cambria"/>
                  <w:bCs/>
                </w:rPr>
                <w:fldChar w:fldCharType="begin"/>
              </w:r>
              <w:r>
                <w:rPr>
                  <w:rFonts w:cs="Cambria"/>
                </w:rPr>
                <w:instrText xml:space="preserve"> MACROBUTTON  SnrToggleCheckbox □适用 </w:instrText>
              </w:r>
              <w:r>
                <w:rPr>
                  <w:rFonts w:cs="Cambria"/>
                  <w:bCs/>
                </w:rPr>
                <w:fldChar w:fldCharType="end"/>
              </w:r>
              <w:r>
                <w:rPr>
                  <w:rFonts w:cs="Cambria"/>
                  <w:bCs/>
                </w:rPr>
                <w:fldChar w:fldCharType="begin"/>
              </w:r>
              <w:r>
                <w:rPr>
                  <w:rFonts w:cs="Cambria"/>
                </w:rPr>
                <w:instrText xml:space="preserve"> MACROBUTTON  SnrToggleCheckbox √不适用 </w:instrText>
              </w:r>
              <w:r>
                <w:rPr>
                  <w:rFonts w:cs="Cambria"/>
                  <w:bCs/>
                </w:rPr>
                <w:fldChar w:fldCharType="end"/>
              </w:r>
            </w:p>
          </w:sdtContent>
        </w:sdt>
      </w:sdtContent>
    </w:sdt>
    <w:bookmarkStart w:id="276" w:name="_Hlk105747475" w:displacedByCustomXml="next"/>
    <w:sdt>
      <w:sdtPr>
        <w:rPr>
          <w:rFonts w:ascii="宋体" w:hAnsi="宋体" w:cs="宋体" w:hint="eastAsia"/>
          <w:b w:val="0"/>
          <w:bCs w:val="0"/>
          <w:kern w:val="0"/>
          <w:szCs w:val="21"/>
        </w:rPr>
        <w:alias w:val="模块:关联租赁情况"/>
        <w:tag w:val="_GBC_17f3281299e640aa88ca71463490c054"/>
        <w:id w:val="773596828"/>
        <w:lock w:val="sdtLocked"/>
        <w:placeholder>
          <w:docPart w:val="GBC22222222222222222222222222222"/>
        </w:placeholder>
      </w:sdtPr>
      <w:sdtEndPr/>
      <w:sdtContent>
        <w:p w14:paraId="2AE4ED26" w14:textId="77777777" w:rsidR="007E7472" w:rsidRDefault="00EC1269" w:rsidP="00162493">
          <w:pPr>
            <w:pStyle w:val="4"/>
            <w:numPr>
              <w:ilvl w:val="0"/>
              <w:numId w:val="108"/>
            </w:numPr>
          </w:pPr>
          <w:r>
            <w:rPr>
              <w:rFonts w:hint="eastAsia"/>
            </w:rPr>
            <w:t>关联租赁情况</w:t>
          </w:r>
        </w:p>
        <w:p w14:paraId="2B6A9C67" w14:textId="77777777" w:rsidR="007E7472" w:rsidRDefault="00EC1269">
          <w:r>
            <w:rPr>
              <w:rFonts w:hint="eastAsia"/>
            </w:rPr>
            <w:t>本公司作为出租方：</w:t>
          </w:r>
        </w:p>
        <w:p w14:paraId="33FEEDD7" w14:textId="77777777" w:rsidR="007E7472" w:rsidRDefault="00C8327E">
          <w:sdt>
            <w:sdtPr>
              <w:alias w:val="是否适用：本公司作为出租方的租赁情况表[双击切换]"/>
              <w:tag w:val="_GBC_f12cb8266cbd482b93c6a4bba1b05fb7"/>
              <w:id w:val="-1287889729"/>
              <w:lock w:val="sdtLocked"/>
              <w:placeholder>
                <w:docPart w:val="GBC22222222222222222222222222222"/>
              </w:placeholder>
            </w:sdtPr>
            <w:sdtEndPr>
              <w:rPr>
                <w:rFonts w:ascii="Times New Roman" w:hAnsi="Times New Roman" w:cs="Times New Roman"/>
                <w:sz w:val="20"/>
                <w:szCs w:val="20"/>
              </w:rPr>
            </w:sdtEndPr>
            <w:sdtContent>
              <w:r w:rsidR="00EC1269">
                <w:fldChar w:fldCharType="begin"/>
              </w:r>
              <w:r w:rsidR="00EC1269">
                <w:instrText xml:space="preserve"> MACROBUTTON  SnrToggleCheckbox □适用 </w:instrText>
              </w:r>
              <w:r w:rsidR="00EC1269">
                <w:fldChar w:fldCharType="end"/>
              </w:r>
              <w:r w:rsidR="00EC1269">
                <w:fldChar w:fldCharType="begin"/>
              </w:r>
              <w:r w:rsidR="00EC1269">
                <w:instrText xml:space="preserve"> MACROBUTTON  SnrToggleCheckbox √不适用 </w:instrText>
              </w:r>
              <w:r w:rsidR="00EC1269">
                <w:fldChar w:fldCharType="end"/>
              </w:r>
            </w:sdtContent>
          </w:sdt>
        </w:p>
        <w:p w14:paraId="55F72373" w14:textId="77777777" w:rsidR="007E7472" w:rsidRDefault="00EC1269">
          <w:r>
            <w:rPr>
              <w:rFonts w:hint="eastAsia"/>
            </w:rPr>
            <w:t>本公司作为承租方：</w:t>
          </w:r>
        </w:p>
        <w:sdt>
          <w:sdtPr>
            <w:alias w:val="是否适用：本公司作为承租方的租赁情况表[双击切换]"/>
            <w:tag w:val="_GBC_e3319fb4cbb04bb0ab5516046d7e77a4"/>
            <w:id w:val="1404489619"/>
            <w:lock w:val="sdtLocked"/>
            <w:placeholder>
              <w:docPart w:val="GBC22222222222222222222222222222"/>
            </w:placeholder>
          </w:sdtPr>
          <w:sdtEndPr/>
          <w:sdtContent>
            <w:p w14:paraId="0517E486" w14:textId="77777777" w:rsidR="007E7472" w:rsidRDefault="00EC1269">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00A691D2" w14:textId="77777777" w:rsidR="007E7472" w:rsidRDefault="00EC1269">
          <w:r>
            <w:rPr>
              <w:rFonts w:hint="eastAsia"/>
            </w:rPr>
            <w:t>关联租赁情况说明</w:t>
          </w:r>
        </w:p>
        <w:sdt>
          <w:sdtPr>
            <w:alias w:val="是否适用：关联租赁情况说明[双击切换]"/>
            <w:tag w:val="_GBC_a8d25c1a27d24bbeb9dd0063be85a310"/>
            <w:id w:val="-1627537942"/>
            <w:lock w:val="sdtLocked"/>
            <w:placeholder>
              <w:docPart w:val="GBC22222222222222222222222222222"/>
            </w:placeholder>
          </w:sdtPr>
          <w:sdtEndPr/>
          <w:sdtContent>
            <w:p w14:paraId="1134CE0E"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76" w:displacedByCustomXml="next"/>
    <w:bookmarkStart w:id="277" w:name="_Hlk105747684" w:displacedByCustomXml="next"/>
    <w:sdt>
      <w:sdtPr>
        <w:rPr>
          <w:rFonts w:ascii="宋体" w:hAnsi="宋体" w:cs="Arial" w:hint="eastAsia"/>
          <w:b w:val="0"/>
          <w:bCs w:val="0"/>
          <w:kern w:val="0"/>
          <w:szCs w:val="21"/>
        </w:rPr>
        <w:alias w:val="模块:关联担保情况"/>
        <w:tag w:val="_GBC_a87b2e666bc14a67817d2d3189396350"/>
        <w:id w:val="-543518293"/>
        <w:lock w:val="sdtLocked"/>
        <w:placeholder>
          <w:docPart w:val="GBC22222222222222222222222222222"/>
        </w:placeholder>
      </w:sdtPr>
      <w:sdtEndPr>
        <w:rPr>
          <w:rFonts w:cs="Cambria" w:hint="default"/>
          <w:sz w:val="20"/>
          <w:szCs w:val="20"/>
        </w:rPr>
      </w:sdtEndPr>
      <w:sdtContent>
        <w:p w14:paraId="31D19B5F" w14:textId="77777777" w:rsidR="007E7472" w:rsidRDefault="00EC1269" w:rsidP="00162493">
          <w:pPr>
            <w:pStyle w:val="4"/>
            <w:numPr>
              <w:ilvl w:val="0"/>
              <w:numId w:val="108"/>
            </w:numPr>
            <w:rPr>
              <w:rFonts w:cs="Arial"/>
            </w:rPr>
          </w:pPr>
          <w:r>
            <w:rPr>
              <w:rFonts w:cs="Arial" w:hint="eastAsia"/>
            </w:rPr>
            <w:t>关联</w:t>
          </w:r>
          <w:r>
            <w:rPr>
              <w:rFonts w:hint="eastAsia"/>
            </w:rPr>
            <w:t>担保</w:t>
          </w:r>
          <w:r>
            <w:rPr>
              <w:rFonts w:cs="Arial" w:hint="eastAsia"/>
            </w:rPr>
            <w:t>情况</w:t>
          </w:r>
        </w:p>
        <w:p w14:paraId="514257E6" w14:textId="77777777" w:rsidR="007E7472" w:rsidRDefault="00EC1269">
          <w:r>
            <w:rPr>
              <w:rFonts w:hint="eastAsia"/>
            </w:rPr>
            <w:t>本公司作为担保方</w:t>
          </w:r>
        </w:p>
        <w:sdt>
          <w:sdtPr>
            <w:alias w:val="是否适用：本公司作为担保方的担保情况表[双击切换]"/>
            <w:tag w:val="_GBC_f0150417f8ec4c5281b86683570391cb"/>
            <w:id w:val="2078778871"/>
            <w:lock w:val="sdtLocked"/>
            <w:placeholder>
              <w:docPart w:val="GBC22222222222222222222222222222"/>
            </w:placeholder>
          </w:sdtPr>
          <w:sdtEndPr/>
          <w:sdtContent>
            <w:p w14:paraId="79330694"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5905334" w14:textId="235DEDFE" w:rsidR="007E7472" w:rsidRDefault="00EC1269">
          <w:pPr>
            <w:jc w:val="right"/>
            <w:rPr>
              <w:rFonts w:cs="Cambria"/>
              <w:b/>
              <w:bCs/>
            </w:rPr>
          </w:pPr>
          <w:r>
            <w:rPr>
              <w:rFonts w:cs="Cambria" w:hint="eastAsia"/>
            </w:rPr>
            <w:t>单位：</w:t>
          </w:r>
          <w:sdt>
            <w:sdtPr>
              <w:rPr>
                <w:rFonts w:cs="Cambria" w:hint="eastAsia"/>
              </w:rPr>
              <w:alias w:val="单位：关联担保情况"/>
              <w:tag w:val="_GBC_379c49ecfda94d10a0dbf6a25b30832b"/>
              <w:id w:val="15457118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cs="Cambria" w:hint="eastAsia"/>
                </w:rPr>
                <w:t>千元</w:t>
              </w:r>
            </w:sdtContent>
          </w:sdt>
          <w:r>
            <w:rPr>
              <w:rFonts w:cs="Cambria" w:hint="eastAsia"/>
            </w:rPr>
            <w:t>币种：</w:t>
          </w:r>
          <w:sdt>
            <w:sdtPr>
              <w:rPr>
                <w:rFonts w:cs="Cambria" w:hint="eastAsia"/>
              </w:rPr>
              <w:alias w:val="币种：关联担保情况"/>
              <w:tag w:val="_GBC_30ef1648c7d34b02b08d4b5c5e962498"/>
              <w:id w:val="-17002336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cs="Cambria"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904"/>
            <w:gridCol w:w="1926"/>
            <w:gridCol w:w="2127"/>
            <w:gridCol w:w="1443"/>
            <w:gridCol w:w="1392"/>
            <w:gridCol w:w="1031"/>
          </w:tblGrid>
          <w:tr w:rsidR="007E7472" w14:paraId="10F73B94" w14:textId="77777777" w:rsidTr="007E7472">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7CD4BA0B" w14:textId="77777777" w:rsidR="007E7472" w:rsidRDefault="00EC1269">
                <w:pPr>
                  <w:jc w:val="center"/>
                  <w:rPr>
                    <w:rFonts w:cs="Cambria"/>
                  </w:rPr>
                </w:pPr>
                <w:r>
                  <w:rPr>
                    <w:rFonts w:cs="Cambria" w:hint="eastAsia"/>
                  </w:rPr>
                  <w:t>担保方</w:t>
                </w:r>
              </w:p>
            </w:tc>
            <w:tc>
              <w:tcPr>
                <w:tcW w:w="1091" w:type="pct"/>
                <w:tcBorders>
                  <w:top w:val="single" w:sz="4" w:space="0" w:color="auto"/>
                  <w:left w:val="single" w:sz="4" w:space="0" w:color="auto"/>
                  <w:bottom w:val="single" w:sz="4" w:space="0" w:color="auto"/>
                  <w:right w:val="single" w:sz="4" w:space="0" w:color="auto"/>
                </w:tcBorders>
                <w:shd w:val="clear" w:color="auto" w:fill="auto"/>
                <w:vAlign w:val="center"/>
              </w:tcPr>
              <w:p w14:paraId="07F23521" w14:textId="77777777" w:rsidR="007E7472" w:rsidRDefault="00EC1269">
                <w:pPr>
                  <w:jc w:val="center"/>
                  <w:rPr>
                    <w:rFonts w:cs="Cambria"/>
                  </w:rPr>
                </w:pPr>
                <w:r>
                  <w:rPr>
                    <w:rFonts w:cs="Cambria" w:hint="eastAsia"/>
                  </w:rPr>
                  <w:t>被担保方</w:t>
                </w:r>
              </w:p>
            </w:tc>
            <w:sdt>
              <w:sdtPr>
                <w:tag w:val="_PLD_cd6852cb7c5a4dea84a100ea01b8219f"/>
                <w:id w:val="-1708790285"/>
                <w:lock w:val="sdtLocked"/>
              </w:sdtPr>
              <w:sdtEndPr/>
              <w:sdtContent>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71ECF3A6" w14:textId="77777777" w:rsidR="007E7472" w:rsidRDefault="00EC1269">
                    <w:pPr>
                      <w:jc w:val="center"/>
                      <w:rPr>
                        <w:rFonts w:cs="Cambria"/>
                      </w:rPr>
                    </w:pPr>
                    <w:r>
                      <w:rPr>
                        <w:rFonts w:cs="Cambria" w:hint="eastAsia"/>
                      </w:rPr>
                      <w:t>担保金额</w:t>
                    </w:r>
                  </w:p>
                </w:tc>
              </w:sdtContent>
            </w:sdt>
            <w:sdt>
              <w:sdtPr>
                <w:tag w:val="_PLD_bb272624fc77442486c7a9b0b734043e"/>
                <w:id w:val="-202867886"/>
                <w:lock w:val="sdtLocked"/>
              </w:sdtPr>
              <w:sdtEndPr/>
              <w:sdtContent>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2A4C1E25" w14:textId="77777777" w:rsidR="007E7472" w:rsidRDefault="00EC1269">
                    <w:pPr>
                      <w:jc w:val="center"/>
                      <w:rPr>
                        <w:rFonts w:cs="Cambria"/>
                      </w:rPr>
                    </w:pPr>
                    <w:r>
                      <w:rPr>
                        <w:rFonts w:cs="Cambria" w:hint="eastAsia"/>
                      </w:rPr>
                      <w:t>担保起始日</w:t>
                    </w:r>
                  </w:p>
                </w:tc>
              </w:sdtContent>
            </w:sdt>
            <w:sdt>
              <w:sdtPr>
                <w:tag w:val="_PLD_a35eb33b3ab1461794f97ed15e18ee6a"/>
                <w:id w:val="1611939244"/>
                <w:lock w:val="sdtLocked"/>
              </w:sdtPr>
              <w:sdtEndPr/>
              <w:sdtContent>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14:paraId="452D2837" w14:textId="77777777" w:rsidR="007E7472" w:rsidRDefault="00EC1269">
                    <w:pPr>
                      <w:jc w:val="center"/>
                      <w:rPr>
                        <w:rFonts w:cs="Cambria"/>
                      </w:rPr>
                    </w:pPr>
                    <w:r>
                      <w:rPr>
                        <w:rFonts w:cs="Cambria" w:hint="eastAsia"/>
                      </w:rPr>
                      <w:t>担保到期日</w:t>
                    </w:r>
                  </w:p>
                </w:tc>
              </w:sdtContent>
            </w:sdt>
            <w:sdt>
              <w:sdtPr>
                <w:tag w:val="_PLD_4d5bb53717184afaad59a41f21a18bd1"/>
                <w:id w:val="1067836823"/>
                <w:lock w:val="sdtLocked"/>
              </w:sdtPr>
              <w:sdtEndPr/>
              <w:sdtContent>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706C975A" w14:textId="77777777" w:rsidR="007E7472" w:rsidRDefault="00EC1269">
                    <w:pPr>
                      <w:jc w:val="center"/>
                      <w:rPr>
                        <w:rFonts w:cs="Cambria"/>
                      </w:rPr>
                    </w:pPr>
                    <w:r>
                      <w:rPr>
                        <w:rFonts w:cs="Cambria" w:hint="eastAsia"/>
                      </w:rPr>
                      <w:t>担保是否已经履行完毕</w:t>
                    </w:r>
                  </w:p>
                </w:tc>
              </w:sdtContent>
            </w:sdt>
          </w:tr>
          <w:sdt>
            <w:sdtPr>
              <w:rPr>
                <w:rFonts w:asciiTheme="minorHAnsi" w:eastAsiaTheme="minorEastAsia" w:hAnsiTheme="minorHAnsi" w:cs="Cambria"/>
                <w:kern w:val="2"/>
                <w:szCs w:val="22"/>
              </w:rPr>
              <w:alias w:val="本公司作为担保方的关联担保情况明细"/>
              <w:tag w:val="_GBC_26ae64a16be64ca7926417c455e176fc"/>
              <w:id w:val="22451635"/>
              <w:lock w:val="sdtLocked"/>
            </w:sdtPr>
            <w:sdtEndPr/>
            <w:sdtContent>
              <w:tr w:rsidR="007E7472" w14:paraId="3FBAC501" w14:textId="77777777" w:rsidTr="007E7472">
                <w:sdt>
                  <w:sdtPr>
                    <w:rPr>
                      <w:rFonts w:asciiTheme="minorHAnsi" w:eastAsiaTheme="minorEastAsia" w:hAnsiTheme="minorHAnsi" w:cs="Cambria"/>
                      <w:kern w:val="2"/>
                      <w:szCs w:val="22"/>
                    </w:rPr>
                    <w:alias w:val="担保方"/>
                    <w:tag w:val="_GBC_43454b4869784e4b83765317d4a2e0e9"/>
                    <w:id w:val="1276752665"/>
                    <w:lock w:val="sdtLocked"/>
                  </w:sdtPr>
                  <w:sdtEndPr>
                    <w:rPr>
                      <w:rFonts w:ascii="宋体" w:eastAsia="宋体" w:hAnsi="宋体" w:cs="Times New Roman"/>
                      <w:kern w:val="0"/>
                      <w:szCs w:val="21"/>
                    </w:rPr>
                  </w:sdtEndPr>
                  <w:sdtContent>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77B5552F" w14:textId="77777777" w:rsidR="007E7472" w:rsidRDefault="00EC1269">
                        <w:pPr>
                          <w:jc w:val="center"/>
                          <w:rPr>
                            <w:rFonts w:cs="Cambria"/>
                          </w:rPr>
                        </w:pPr>
                        <w:r>
                          <w:rPr>
                            <w:rFonts w:hint="eastAsia"/>
                          </w:rPr>
                          <w:t>本公司</w:t>
                        </w:r>
                      </w:p>
                    </w:tc>
                  </w:sdtContent>
                </w:sdt>
                <w:tc>
                  <w:tcPr>
                    <w:tcW w:w="1091" w:type="pct"/>
                    <w:tcBorders>
                      <w:top w:val="single" w:sz="4" w:space="0" w:color="auto"/>
                      <w:left w:val="single" w:sz="4" w:space="0" w:color="auto"/>
                      <w:bottom w:val="single" w:sz="4" w:space="0" w:color="auto"/>
                      <w:right w:val="single" w:sz="4" w:space="0" w:color="auto"/>
                    </w:tcBorders>
                    <w:shd w:val="clear" w:color="auto" w:fill="auto"/>
                    <w:vAlign w:val="center"/>
                  </w:tcPr>
                  <w:p w14:paraId="0291E3AA" w14:textId="77777777" w:rsidR="007E7472" w:rsidRDefault="00EC1269">
                    <w:pPr>
                      <w:rPr>
                        <w:rFonts w:cs="Cambria"/>
                      </w:rPr>
                    </w:pPr>
                    <w:r>
                      <w:rPr>
                        <w:rFonts w:cs="Cambria" w:hint="eastAsia"/>
                      </w:rPr>
                      <w:t>兖煤国际资源</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31D7A057" w14:textId="77777777" w:rsidR="007E7472" w:rsidRDefault="00EC1269">
                    <w:pPr>
                      <w:jc w:val="right"/>
                      <w:rPr>
                        <w:rFonts w:cs="Cambria"/>
                      </w:rPr>
                    </w:pPr>
                    <w:r>
                      <w:rPr>
                        <w:rFonts w:cs="Cambria"/>
                      </w:rPr>
                      <w:t>50,000万美元</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382EEA32" w14:textId="77777777" w:rsidR="007E7472" w:rsidRDefault="00EC1269">
                    <w:pPr>
                      <w:jc w:val="center"/>
                      <w:rPr>
                        <w:rFonts w:cs="Cambria"/>
                      </w:rPr>
                    </w:pPr>
                    <w:r>
                      <w:rPr>
                        <w:rFonts w:cs="Cambria"/>
                      </w:rPr>
                      <w:t>2020-11-4</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14:paraId="7ADB60AB" w14:textId="77777777" w:rsidR="007E7472" w:rsidRDefault="00EC1269">
                    <w:pPr>
                      <w:jc w:val="center"/>
                      <w:rPr>
                        <w:rFonts w:cs="Cambria"/>
                      </w:rPr>
                    </w:pPr>
                    <w:r>
                      <w:rPr>
                        <w:rFonts w:cs="Cambria"/>
                      </w:rPr>
                      <w:t>2023-11-4</w:t>
                    </w:r>
                  </w:p>
                </w:tc>
                <w:sdt>
                  <w:sdtPr>
                    <w:rPr>
                      <w:rFonts w:cs="Cambria"/>
                    </w:rPr>
                    <w:alias w:val="本公司作为担保方的关联担保情况明细-担保是否已经履行完毕"/>
                    <w:tag w:val="_GBC_4d8807e0244c4281aa68d5aba3d78918"/>
                    <w:id w:val="861482102"/>
                    <w:lock w:val="sdtLocked"/>
                    <w:comboBox>
                      <w:listItem w:displayText="是" w:value="true"/>
                      <w:listItem w:displayText="否" w:value="false"/>
                    </w:comboBox>
                  </w:sdtPr>
                  <w:sdtEndPr/>
                  <w:sdtContent>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4D187E86" w14:textId="1A69FC8D" w:rsidR="007E7472" w:rsidRDefault="006F3F93">
                        <w:pPr>
                          <w:ind w:right="420"/>
                          <w:jc w:val="center"/>
                          <w:rPr>
                            <w:rFonts w:cs="Cambria"/>
                          </w:rPr>
                        </w:pPr>
                        <w:r>
                          <w:rPr>
                            <w:rFonts w:cs="Cambria"/>
                          </w:rPr>
                          <w:t xml:space="preserve">   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1347290624"/>
              <w:lock w:val="sdtLocked"/>
            </w:sdtPr>
            <w:sdtEndPr/>
            <w:sdtContent>
              <w:tr w:rsidR="007E7472" w14:paraId="498F79C4" w14:textId="77777777" w:rsidTr="007E7472">
                <w:sdt>
                  <w:sdtPr>
                    <w:rPr>
                      <w:rFonts w:asciiTheme="minorHAnsi" w:eastAsiaTheme="minorEastAsia" w:hAnsiTheme="minorHAnsi" w:cs="Cambria"/>
                      <w:kern w:val="2"/>
                      <w:szCs w:val="22"/>
                    </w:rPr>
                    <w:alias w:val="担保方"/>
                    <w:tag w:val="_GBC_43454b4869784e4b83765317d4a2e0e9"/>
                    <w:id w:val="1329636959"/>
                    <w:lock w:val="sdtLocked"/>
                  </w:sdtPr>
                  <w:sdtEndPr>
                    <w:rPr>
                      <w:rFonts w:ascii="宋体" w:eastAsia="宋体" w:hAnsi="宋体" w:cs="Times New Roman"/>
                      <w:kern w:val="0"/>
                      <w:szCs w:val="21"/>
                    </w:rPr>
                  </w:sdtEndPr>
                  <w:sdtContent>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7B248789" w14:textId="77777777" w:rsidR="007E7472" w:rsidRDefault="00EC1269">
                        <w:pPr>
                          <w:jc w:val="center"/>
                          <w:rPr>
                            <w:rFonts w:cs="Cambria"/>
                          </w:rPr>
                        </w:pPr>
                        <w:r>
                          <w:rPr>
                            <w:rFonts w:hint="eastAsia"/>
                          </w:rPr>
                          <w:t>本公司</w:t>
                        </w:r>
                      </w:p>
                    </w:tc>
                  </w:sdtContent>
                </w:sdt>
                <w:tc>
                  <w:tcPr>
                    <w:tcW w:w="1091" w:type="pct"/>
                    <w:tcBorders>
                      <w:top w:val="single" w:sz="4" w:space="0" w:color="auto"/>
                      <w:left w:val="single" w:sz="4" w:space="0" w:color="auto"/>
                      <w:bottom w:val="single" w:sz="4" w:space="0" w:color="auto"/>
                      <w:right w:val="single" w:sz="4" w:space="0" w:color="auto"/>
                    </w:tcBorders>
                    <w:shd w:val="clear" w:color="auto" w:fill="auto"/>
                    <w:vAlign w:val="center"/>
                  </w:tcPr>
                  <w:p w14:paraId="43707A3F" w14:textId="77777777" w:rsidR="007E7472" w:rsidRDefault="00EC1269">
                    <w:pPr>
                      <w:rPr>
                        <w:rFonts w:cs="Cambria"/>
                      </w:rPr>
                    </w:pPr>
                    <w:r>
                      <w:rPr>
                        <w:rFonts w:cs="Cambria" w:hint="eastAsia"/>
                      </w:rPr>
                      <w:t>兖煤国际资源</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4D0E96E2" w14:textId="77777777" w:rsidR="007E7472" w:rsidRDefault="00EC1269">
                    <w:pPr>
                      <w:jc w:val="right"/>
                      <w:rPr>
                        <w:rFonts w:cs="Cambria"/>
                      </w:rPr>
                    </w:pPr>
                    <w:r>
                      <w:rPr>
                        <w:rFonts w:cs="Cambria"/>
                      </w:rPr>
                      <w:t>30,000万美元</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43BF2754" w14:textId="77777777" w:rsidR="007E7472" w:rsidRDefault="00EC1269">
                    <w:pPr>
                      <w:jc w:val="center"/>
                      <w:rPr>
                        <w:rFonts w:cs="Cambria"/>
                      </w:rPr>
                    </w:pPr>
                    <w:r>
                      <w:rPr>
                        <w:rFonts w:cs="Cambria"/>
                      </w:rPr>
                      <w:t>2021-11-18</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14:paraId="1754A972" w14:textId="77777777" w:rsidR="007E7472" w:rsidRDefault="00EC1269">
                    <w:pPr>
                      <w:jc w:val="center"/>
                      <w:rPr>
                        <w:rFonts w:cs="Cambria"/>
                      </w:rPr>
                    </w:pPr>
                    <w:r>
                      <w:rPr>
                        <w:rFonts w:cs="Cambria"/>
                      </w:rPr>
                      <w:t>2024-11-18</w:t>
                    </w:r>
                  </w:p>
                </w:tc>
                <w:sdt>
                  <w:sdtPr>
                    <w:rPr>
                      <w:rFonts w:cs="Cambria"/>
                    </w:rPr>
                    <w:alias w:val="本公司作为担保方的关联担保情况明细-担保是否已经履行完毕"/>
                    <w:tag w:val="_GBC_4d8807e0244c4281aa68d5aba3d78918"/>
                    <w:id w:val="-599265075"/>
                    <w:lock w:val="sdtLocked"/>
                    <w:comboBox>
                      <w:listItem w:displayText="是" w:value="true"/>
                      <w:listItem w:displayText="否" w:value="false"/>
                    </w:comboBox>
                  </w:sdtPr>
                  <w:sdtEndPr/>
                  <w:sdtContent>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25F52B6B" w14:textId="3AA1B619" w:rsidR="007E7472" w:rsidRDefault="006F3F93">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85355068"/>
              <w:lock w:val="sdtLocked"/>
            </w:sdtPr>
            <w:sdtEndPr/>
            <w:sdtContent>
              <w:tr w:rsidR="007E7472" w14:paraId="0685CB62" w14:textId="77777777" w:rsidTr="007E7472">
                <w:sdt>
                  <w:sdtPr>
                    <w:rPr>
                      <w:rFonts w:asciiTheme="minorHAnsi" w:eastAsiaTheme="minorEastAsia" w:hAnsiTheme="minorHAnsi" w:cs="Cambria"/>
                      <w:kern w:val="2"/>
                      <w:szCs w:val="22"/>
                    </w:rPr>
                    <w:alias w:val="担保方"/>
                    <w:tag w:val="_GBC_43454b4869784e4b83765317d4a2e0e9"/>
                    <w:id w:val="-2049435378"/>
                    <w:lock w:val="sdtLocked"/>
                  </w:sdtPr>
                  <w:sdtEndPr>
                    <w:rPr>
                      <w:rFonts w:ascii="宋体" w:eastAsia="宋体" w:hAnsi="宋体" w:cs="Times New Roman"/>
                      <w:kern w:val="0"/>
                      <w:szCs w:val="21"/>
                    </w:rPr>
                  </w:sdtEndPr>
                  <w:sdtContent>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203F4280" w14:textId="77777777" w:rsidR="007E7472" w:rsidRDefault="00EC1269">
                        <w:pPr>
                          <w:jc w:val="center"/>
                          <w:rPr>
                            <w:rFonts w:cs="Cambria"/>
                          </w:rPr>
                        </w:pPr>
                        <w:r>
                          <w:rPr>
                            <w:rFonts w:hint="eastAsia"/>
                          </w:rPr>
                          <w:t>本公司</w:t>
                        </w:r>
                      </w:p>
                    </w:tc>
                  </w:sdtContent>
                </w:sdt>
                <w:tc>
                  <w:tcPr>
                    <w:tcW w:w="1091" w:type="pct"/>
                    <w:tcBorders>
                      <w:top w:val="single" w:sz="4" w:space="0" w:color="auto"/>
                      <w:left w:val="single" w:sz="4" w:space="0" w:color="auto"/>
                      <w:bottom w:val="single" w:sz="4" w:space="0" w:color="auto"/>
                      <w:right w:val="single" w:sz="4" w:space="0" w:color="auto"/>
                    </w:tcBorders>
                    <w:shd w:val="clear" w:color="auto" w:fill="auto"/>
                    <w:vAlign w:val="center"/>
                  </w:tcPr>
                  <w:p w14:paraId="35E6EA5D" w14:textId="77777777" w:rsidR="007E7472" w:rsidRDefault="00EC1269">
                    <w:pPr>
                      <w:rPr>
                        <w:rFonts w:cs="Cambria"/>
                      </w:rPr>
                    </w:pPr>
                    <w:r>
                      <w:rPr>
                        <w:rFonts w:cs="Cambria" w:hint="eastAsia"/>
                      </w:rPr>
                      <w:t>兖煤国际控股</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76B9BEA9" w14:textId="77777777" w:rsidR="007E7472" w:rsidRDefault="00EC1269">
                    <w:pPr>
                      <w:jc w:val="right"/>
                      <w:rPr>
                        <w:rFonts w:cs="Cambria"/>
                      </w:rPr>
                    </w:pPr>
                    <w:r>
                      <w:rPr>
                        <w:rFonts w:cs="Cambria"/>
                      </w:rPr>
                      <w:t>10,000万美元</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4ED4412B" w14:textId="77777777" w:rsidR="007E7472" w:rsidRDefault="00EC1269">
                    <w:pPr>
                      <w:jc w:val="center"/>
                      <w:rPr>
                        <w:rFonts w:cs="Cambria"/>
                      </w:rPr>
                    </w:pPr>
                    <w:r>
                      <w:rPr>
                        <w:rFonts w:cs="Cambria"/>
                      </w:rPr>
                      <w:t>2022-6-20</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14:paraId="3FD4FE7D" w14:textId="77777777" w:rsidR="007E7472" w:rsidRDefault="00EC1269">
                    <w:pPr>
                      <w:jc w:val="center"/>
                      <w:rPr>
                        <w:rFonts w:cs="Cambria"/>
                      </w:rPr>
                    </w:pPr>
                    <w:r>
                      <w:rPr>
                        <w:rFonts w:cs="Cambria"/>
                      </w:rPr>
                      <w:t>2025-7-20</w:t>
                    </w:r>
                  </w:p>
                </w:tc>
                <w:sdt>
                  <w:sdtPr>
                    <w:rPr>
                      <w:rFonts w:cs="Cambria"/>
                    </w:rPr>
                    <w:alias w:val="本公司作为担保方的关联担保情况明细-担保是否已经履行完毕"/>
                    <w:tag w:val="_GBC_4d8807e0244c4281aa68d5aba3d78918"/>
                    <w:id w:val="-1962948134"/>
                    <w:lock w:val="sdtLocked"/>
                    <w:comboBox>
                      <w:listItem w:displayText="是" w:value="true"/>
                      <w:listItem w:displayText="否" w:value="false"/>
                    </w:comboBox>
                  </w:sdtPr>
                  <w:sdtEndPr/>
                  <w:sdtContent>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6933E284" w14:textId="00D1F68F" w:rsidR="007E7472" w:rsidRDefault="006F3F93">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151196621"/>
              <w:lock w:val="sdtLocked"/>
            </w:sdtPr>
            <w:sdtEndPr/>
            <w:sdtContent>
              <w:tr w:rsidR="007E7472" w14:paraId="7B5F23F3" w14:textId="77777777" w:rsidTr="007E7472">
                <w:sdt>
                  <w:sdtPr>
                    <w:rPr>
                      <w:rFonts w:asciiTheme="minorHAnsi" w:eastAsiaTheme="minorEastAsia" w:hAnsiTheme="minorHAnsi" w:cs="Cambria"/>
                      <w:kern w:val="2"/>
                      <w:szCs w:val="22"/>
                    </w:rPr>
                    <w:alias w:val="担保方"/>
                    <w:tag w:val="_GBC_43454b4869784e4b83765317d4a2e0e9"/>
                    <w:id w:val="-349097665"/>
                    <w:lock w:val="sdtLocked"/>
                  </w:sdtPr>
                  <w:sdtEndPr>
                    <w:rPr>
                      <w:rFonts w:ascii="宋体" w:eastAsia="宋体" w:hAnsi="宋体" w:cs="Times New Roman"/>
                      <w:kern w:val="0"/>
                      <w:szCs w:val="21"/>
                    </w:rPr>
                  </w:sdtEndPr>
                  <w:sdtContent>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55D81184" w14:textId="77777777" w:rsidR="007E7472" w:rsidRDefault="00EC1269">
                        <w:pPr>
                          <w:jc w:val="center"/>
                          <w:rPr>
                            <w:rFonts w:cs="Cambria"/>
                          </w:rPr>
                        </w:pPr>
                        <w:r>
                          <w:rPr>
                            <w:rFonts w:hint="eastAsia"/>
                          </w:rPr>
                          <w:t>本公司</w:t>
                        </w:r>
                      </w:p>
                    </w:tc>
                  </w:sdtContent>
                </w:sdt>
                <w:tc>
                  <w:tcPr>
                    <w:tcW w:w="1091" w:type="pct"/>
                    <w:tcBorders>
                      <w:top w:val="single" w:sz="4" w:space="0" w:color="auto"/>
                      <w:left w:val="single" w:sz="4" w:space="0" w:color="auto"/>
                      <w:bottom w:val="single" w:sz="4" w:space="0" w:color="auto"/>
                      <w:right w:val="single" w:sz="4" w:space="0" w:color="auto"/>
                    </w:tcBorders>
                    <w:shd w:val="clear" w:color="auto" w:fill="auto"/>
                    <w:vAlign w:val="center"/>
                  </w:tcPr>
                  <w:p w14:paraId="5D24E784" w14:textId="77777777" w:rsidR="007E7472" w:rsidRDefault="00EC1269">
                    <w:pPr>
                      <w:rPr>
                        <w:rFonts w:cs="Cambria"/>
                      </w:rPr>
                    </w:pPr>
                    <w:r>
                      <w:rPr>
                        <w:rFonts w:cs="Cambria" w:hint="eastAsia"/>
                      </w:rPr>
                      <w:t>青岛中垠瑞丰</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6BD2A8BD" w14:textId="77777777" w:rsidR="007E7472" w:rsidRDefault="00EC1269">
                    <w:pPr>
                      <w:jc w:val="right"/>
                      <w:rPr>
                        <w:rFonts w:cs="Cambria"/>
                      </w:rPr>
                    </w:pPr>
                    <w:r>
                      <w:rPr>
                        <w:rFonts w:cs="Cambria"/>
                      </w:rPr>
                      <w:t>50,000万人民币</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0BA0492F" w14:textId="77777777" w:rsidR="007E7472" w:rsidRDefault="00EC1269">
                    <w:pPr>
                      <w:jc w:val="center"/>
                      <w:rPr>
                        <w:rFonts w:cs="Cambria"/>
                      </w:rPr>
                    </w:pPr>
                    <w:r>
                      <w:rPr>
                        <w:rFonts w:cs="Cambria"/>
                      </w:rPr>
                      <w:t>2023-1-6</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14:paraId="1F24408E" w14:textId="77777777" w:rsidR="007E7472" w:rsidRDefault="00EC1269">
                    <w:pPr>
                      <w:jc w:val="center"/>
                      <w:rPr>
                        <w:rFonts w:cs="Cambria"/>
                      </w:rPr>
                    </w:pPr>
                    <w:r>
                      <w:rPr>
                        <w:rFonts w:cs="Cambria"/>
                      </w:rPr>
                      <w:t>2024-1-5</w:t>
                    </w:r>
                  </w:p>
                </w:tc>
                <w:sdt>
                  <w:sdtPr>
                    <w:rPr>
                      <w:rFonts w:cs="Cambria"/>
                    </w:rPr>
                    <w:alias w:val="本公司作为担保方的关联担保情况明细-担保是否已经履行完毕"/>
                    <w:tag w:val="_GBC_4d8807e0244c4281aa68d5aba3d78918"/>
                    <w:id w:val="-1977984752"/>
                    <w:lock w:val="sdtLocked"/>
                    <w:comboBox>
                      <w:listItem w:displayText="是" w:value="true"/>
                      <w:listItem w:displayText="否" w:value="false"/>
                    </w:comboBox>
                  </w:sdtPr>
                  <w:sdtEndPr/>
                  <w:sdtContent>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4CCD4F11" w14:textId="0DD035E2" w:rsidR="007E7472" w:rsidRDefault="006F3F93">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467867808"/>
              <w:lock w:val="sdtLocked"/>
            </w:sdtPr>
            <w:sdtEndPr/>
            <w:sdtContent>
              <w:tr w:rsidR="007E7472" w14:paraId="46661582" w14:textId="77777777" w:rsidTr="007E7472">
                <w:sdt>
                  <w:sdtPr>
                    <w:rPr>
                      <w:rFonts w:asciiTheme="minorHAnsi" w:eastAsiaTheme="minorEastAsia" w:hAnsiTheme="minorHAnsi" w:cs="Cambria"/>
                      <w:kern w:val="2"/>
                      <w:szCs w:val="22"/>
                    </w:rPr>
                    <w:alias w:val="担保方"/>
                    <w:tag w:val="_GBC_43454b4869784e4b83765317d4a2e0e9"/>
                    <w:id w:val="-152845689"/>
                    <w:lock w:val="sdtLocked"/>
                  </w:sdtPr>
                  <w:sdtEndPr>
                    <w:rPr>
                      <w:rFonts w:ascii="宋体" w:eastAsia="宋体" w:hAnsi="宋体" w:cs="Times New Roman"/>
                      <w:kern w:val="0"/>
                      <w:szCs w:val="21"/>
                    </w:rPr>
                  </w:sdtEndPr>
                  <w:sdtContent>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0BF32D3F" w14:textId="77777777" w:rsidR="007E7472" w:rsidRDefault="00EC1269">
                        <w:pPr>
                          <w:jc w:val="center"/>
                          <w:rPr>
                            <w:rFonts w:cs="Cambria"/>
                          </w:rPr>
                        </w:pPr>
                        <w:r>
                          <w:rPr>
                            <w:rFonts w:hint="eastAsia"/>
                          </w:rPr>
                          <w:t>本公司</w:t>
                        </w:r>
                      </w:p>
                    </w:tc>
                  </w:sdtContent>
                </w:sdt>
                <w:tc>
                  <w:tcPr>
                    <w:tcW w:w="1091" w:type="pct"/>
                    <w:tcBorders>
                      <w:top w:val="single" w:sz="4" w:space="0" w:color="auto"/>
                      <w:left w:val="single" w:sz="4" w:space="0" w:color="auto"/>
                      <w:bottom w:val="single" w:sz="4" w:space="0" w:color="auto"/>
                      <w:right w:val="single" w:sz="4" w:space="0" w:color="auto"/>
                    </w:tcBorders>
                    <w:shd w:val="clear" w:color="auto" w:fill="auto"/>
                    <w:vAlign w:val="center"/>
                  </w:tcPr>
                  <w:p w14:paraId="0B1B890E" w14:textId="77777777" w:rsidR="007E7472" w:rsidRDefault="00EC1269">
                    <w:pPr>
                      <w:rPr>
                        <w:rFonts w:cs="Cambria"/>
                      </w:rPr>
                    </w:pPr>
                    <w:r>
                      <w:rPr>
                        <w:rFonts w:cs="Cambria" w:hint="eastAsia"/>
                      </w:rPr>
                      <w:t>青岛中垠瑞丰</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3A659648" w14:textId="77777777" w:rsidR="007E7472" w:rsidRDefault="00EC1269">
                    <w:pPr>
                      <w:jc w:val="right"/>
                      <w:rPr>
                        <w:rFonts w:cs="Cambria"/>
                      </w:rPr>
                    </w:pPr>
                    <w:r>
                      <w:rPr>
                        <w:rFonts w:cs="Cambria"/>
                      </w:rPr>
                      <w:t>57,000万人民币</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66432AD6" w14:textId="77777777" w:rsidR="007E7472" w:rsidRDefault="00EC1269">
                    <w:pPr>
                      <w:jc w:val="center"/>
                      <w:rPr>
                        <w:rFonts w:cs="Cambria"/>
                      </w:rPr>
                    </w:pPr>
                    <w:r>
                      <w:rPr>
                        <w:rFonts w:cs="Cambria"/>
                      </w:rPr>
                      <w:t>2023-3-15</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14:paraId="39CF360C" w14:textId="77777777" w:rsidR="007E7472" w:rsidRDefault="00EC1269">
                    <w:pPr>
                      <w:jc w:val="center"/>
                      <w:rPr>
                        <w:rFonts w:cs="Cambria"/>
                      </w:rPr>
                    </w:pPr>
                    <w:r>
                      <w:rPr>
                        <w:rFonts w:cs="Cambria"/>
                      </w:rPr>
                      <w:t>2024-3-14</w:t>
                    </w:r>
                  </w:p>
                </w:tc>
                <w:sdt>
                  <w:sdtPr>
                    <w:rPr>
                      <w:rFonts w:cs="Cambria"/>
                    </w:rPr>
                    <w:alias w:val="本公司作为担保方的关联担保情况明细-担保是否已经履行完毕"/>
                    <w:tag w:val="_GBC_4d8807e0244c4281aa68d5aba3d78918"/>
                    <w:id w:val="647478849"/>
                    <w:lock w:val="sdtLocked"/>
                    <w:comboBox>
                      <w:listItem w:displayText="是" w:value="true"/>
                      <w:listItem w:displayText="否" w:value="false"/>
                    </w:comboBox>
                  </w:sdtPr>
                  <w:sdtEndPr/>
                  <w:sdtContent>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5D59502F" w14:textId="13E7217F" w:rsidR="007E7472" w:rsidRDefault="006F3F93">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740836589"/>
              <w:lock w:val="sdtLocked"/>
            </w:sdtPr>
            <w:sdtEndPr/>
            <w:sdtContent>
              <w:tr w:rsidR="007E7472" w14:paraId="11845027" w14:textId="77777777" w:rsidTr="007E7472">
                <w:sdt>
                  <w:sdtPr>
                    <w:rPr>
                      <w:rFonts w:asciiTheme="minorHAnsi" w:eastAsiaTheme="minorEastAsia" w:hAnsiTheme="minorHAnsi" w:cs="Cambria"/>
                      <w:kern w:val="2"/>
                      <w:szCs w:val="22"/>
                    </w:rPr>
                    <w:alias w:val="担保方"/>
                    <w:tag w:val="_GBC_43454b4869784e4b83765317d4a2e0e9"/>
                    <w:id w:val="271213381"/>
                    <w:lock w:val="sdtLocked"/>
                  </w:sdtPr>
                  <w:sdtEndPr>
                    <w:rPr>
                      <w:rFonts w:ascii="宋体" w:eastAsia="宋体" w:hAnsi="宋体" w:cs="Times New Roman"/>
                      <w:kern w:val="0"/>
                      <w:szCs w:val="21"/>
                    </w:rPr>
                  </w:sdtEndPr>
                  <w:sdtContent>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5553EE6C" w14:textId="77777777" w:rsidR="007E7472" w:rsidRDefault="00EC1269">
                        <w:pPr>
                          <w:jc w:val="center"/>
                          <w:rPr>
                            <w:rFonts w:cs="Cambria"/>
                          </w:rPr>
                        </w:pPr>
                        <w:r>
                          <w:rPr>
                            <w:rFonts w:hint="eastAsia"/>
                          </w:rPr>
                          <w:t>本公司</w:t>
                        </w:r>
                      </w:p>
                    </w:tc>
                  </w:sdtContent>
                </w:sdt>
                <w:tc>
                  <w:tcPr>
                    <w:tcW w:w="1091" w:type="pct"/>
                    <w:tcBorders>
                      <w:top w:val="single" w:sz="4" w:space="0" w:color="auto"/>
                      <w:left w:val="single" w:sz="4" w:space="0" w:color="auto"/>
                      <w:bottom w:val="single" w:sz="4" w:space="0" w:color="auto"/>
                      <w:right w:val="single" w:sz="4" w:space="0" w:color="auto"/>
                    </w:tcBorders>
                    <w:shd w:val="clear" w:color="auto" w:fill="auto"/>
                    <w:vAlign w:val="center"/>
                  </w:tcPr>
                  <w:p w14:paraId="0FEE890B" w14:textId="77777777" w:rsidR="007E7472" w:rsidRDefault="00EC1269">
                    <w:pPr>
                      <w:rPr>
                        <w:rFonts w:cs="Cambria"/>
                      </w:rPr>
                    </w:pPr>
                    <w:r>
                      <w:rPr>
                        <w:rFonts w:cs="Cambria" w:hint="eastAsia"/>
                      </w:rPr>
                      <w:t>青岛中垠瑞丰</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4D0C1C60" w14:textId="77777777" w:rsidR="007E7472" w:rsidRDefault="00EC1269">
                    <w:pPr>
                      <w:jc w:val="right"/>
                      <w:rPr>
                        <w:rFonts w:cs="Cambria"/>
                      </w:rPr>
                    </w:pPr>
                    <w:r>
                      <w:rPr>
                        <w:rFonts w:cs="Cambria"/>
                      </w:rPr>
                      <w:t>30,000万人民币</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64A95D40" w14:textId="77777777" w:rsidR="007E7472" w:rsidRDefault="00EC1269">
                    <w:pPr>
                      <w:jc w:val="center"/>
                      <w:rPr>
                        <w:rFonts w:cs="Cambria"/>
                      </w:rPr>
                    </w:pPr>
                    <w:r>
                      <w:rPr>
                        <w:rFonts w:cs="Cambria"/>
                      </w:rPr>
                      <w:t>2022-9-13</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14:paraId="506B39F0" w14:textId="77777777" w:rsidR="007E7472" w:rsidRDefault="00EC1269">
                    <w:pPr>
                      <w:jc w:val="center"/>
                      <w:rPr>
                        <w:rFonts w:cs="Cambria"/>
                      </w:rPr>
                    </w:pPr>
                    <w:r>
                      <w:rPr>
                        <w:rFonts w:cs="Cambria"/>
                      </w:rPr>
                      <w:t>2023-9-12</w:t>
                    </w:r>
                  </w:p>
                </w:tc>
                <w:sdt>
                  <w:sdtPr>
                    <w:rPr>
                      <w:rFonts w:cs="Cambria"/>
                    </w:rPr>
                    <w:alias w:val="本公司作为担保方的关联担保情况明细-担保是否已经履行完毕"/>
                    <w:tag w:val="_GBC_4d8807e0244c4281aa68d5aba3d78918"/>
                    <w:id w:val="-1534566767"/>
                    <w:lock w:val="sdtLocked"/>
                    <w:comboBox>
                      <w:listItem w:displayText="是" w:value="true"/>
                      <w:listItem w:displayText="否" w:value="false"/>
                    </w:comboBox>
                  </w:sdtPr>
                  <w:sdtEndPr/>
                  <w:sdtContent>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3C9A9649" w14:textId="568E72CB" w:rsidR="007E7472" w:rsidRDefault="006F3F93">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2072922273"/>
              <w:lock w:val="sdtLocked"/>
            </w:sdtPr>
            <w:sdtEndPr/>
            <w:sdtContent>
              <w:tr w:rsidR="007E7472" w14:paraId="047CC0F6" w14:textId="77777777" w:rsidTr="007E7472">
                <w:sdt>
                  <w:sdtPr>
                    <w:rPr>
                      <w:rFonts w:asciiTheme="minorHAnsi" w:eastAsiaTheme="minorEastAsia" w:hAnsiTheme="minorHAnsi" w:cs="Cambria"/>
                      <w:kern w:val="2"/>
                      <w:szCs w:val="22"/>
                    </w:rPr>
                    <w:alias w:val="担保方"/>
                    <w:tag w:val="_GBC_43454b4869784e4b83765317d4a2e0e9"/>
                    <w:id w:val="-1840995597"/>
                    <w:lock w:val="sdtLocked"/>
                  </w:sdtPr>
                  <w:sdtEndPr>
                    <w:rPr>
                      <w:rFonts w:ascii="宋体" w:eastAsia="宋体" w:hAnsi="宋体" w:cs="Times New Roman"/>
                      <w:kern w:val="0"/>
                      <w:szCs w:val="21"/>
                    </w:rPr>
                  </w:sdtEndPr>
                  <w:sdtContent>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1C03B5A5" w14:textId="77777777" w:rsidR="007E7472" w:rsidRDefault="00EC1269">
                        <w:pPr>
                          <w:jc w:val="center"/>
                          <w:rPr>
                            <w:rFonts w:cs="Cambria"/>
                          </w:rPr>
                        </w:pPr>
                        <w:r>
                          <w:rPr>
                            <w:rFonts w:hint="eastAsia"/>
                          </w:rPr>
                          <w:t>本公司</w:t>
                        </w:r>
                      </w:p>
                    </w:tc>
                  </w:sdtContent>
                </w:sdt>
                <w:tc>
                  <w:tcPr>
                    <w:tcW w:w="1091" w:type="pct"/>
                    <w:tcBorders>
                      <w:top w:val="single" w:sz="4" w:space="0" w:color="auto"/>
                      <w:left w:val="single" w:sz="4" w:space="0" w:color="auto"/>
                      <w:bottom w:val="single" w:sz="4" w:space="0" w:color="auto"/>
                      <w:right w:val="single" w:sz="4" w:space="0" w:color="auto"/>
                    </w:tcBorders>
                    <w:shd w:val="clear" w:color="auto" w:fill="auto"/>
                    <w:vAlign w:val="center"/>
                  </w:tcPr>
                  <w:p w14:paraId="555C4DBC" w14:textId="77777777" w:rsidR="007E7472" w:rsidRDefault="00EC1269">
                    <w:pPr>
                      <w:rPr>
                        <w:rFonts w:cs="Cambria"/>
                      </w:rPr>
                    </w:pPr>
                    <w:r>
                      <w:rPr>
                        <w:rFonts w:cs="Cambria" w:hint="eastAsia"/>
                      </w:rPr>
                      <w:t>青岛中垠瑞丰</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511F1A7C" w14:textId="77777777" w:rsidR="007E7472" w:rsidRDefault="00EC1269">
                    <w:pPr>
                      <w:jc w:val="right"/>
                      <w:rPr>
                        <w:rFonts w:cs="Cambria"/>
                      </w:rPr>
                    </w:pPr>
                    <w:r>
                      <w:rPr>
                        <w:rFonts w:cs="Cambria"/>
                      </w:rPr>
                      <w:t>30,000万人民币</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3147E42F" w14:textId="77777777" w:rsidR="007E7472" w:rsidRDefault="00EC1269">
                    <w:pPr>
                      <w:jc w:val="center"/>
                      <w:rPr>
                        <w:rFonts w:cs="Cambria"/>
                      </w:rPr>
                    </w:pPr>
                    <w:r>
                      <w:rPr>
                        <w:rFonts w:cs="Cambria"/>
                      </w:rPr>
                      <w:t>2023-1-28</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14:paraId="2E09B073" w14:textId="77777777" w:rsidR="007E7472" w:rsidRDefault="00EC1269">
                    <w:pPr>
                      <w:jc w:val="center"/>
                      <w:rPr>
                        <w:rFonts w:cs="Cambria"/>
                      </w:rPr>
                    </w:pPr>
                    <w:r>
                      <w:rPr>
                        <w:rFonts w:cs="Cambria"/>
                      </w:rPr>
                      <w:t>2024-1-28</w:t>
                    </w:r>
                  </w:p>
                </w:tc>
                <w:sdt>
                  <w:sdtPr>
                    <w:rPr>
                      <w:rFonts w:cs="Cambria"/>
                    </w:rPr>
                    <w:alias w:val="本公司作为担保方的关联担保情况明细-担保是否已经履行完毕"/>
                    <w:tag w:val="_GBC_4d8807e0244c4281aa68d5aba3d78918"/>
                    <w:id w:val="-1369839064"/>
                    <w:lock w:val="sdtLocked"/>
                    <w:comboBox>
                      <w:listItem w:displayText="是" w:value="true"/>
                      <w:listItem w:displayText="否" w:value="false"/>
                    </w:comboBox>
                  </w:sdtPr>
                  <w:sdtEndPr/>
                  <w:sdtContent>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44C2E94B" w14:textId="4BF70459" w:rsidR="007E7472" w:rsidRDefault="006F3F93">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1650169960"/>
              <w:lock w:val="sdtLocked"/>
            </w:sdtPr>
            <w:sdtEndPr/>
            <w:sdtContent>
              <w:tr w:rsidR="007E7472" w14:paraId="56314D5C" w14:textId="77777777" w:rsidTr="007E7472">
                <w:sdt>
                  <w:sdtPr>
                    <w:rPr>
                      <w:rFonts w:asciiTheme="minorHAnsi" w:eastAsiaTheme="minorEastAsia" w:hAnsiTheme="minorHAnsi" w:cs="Cambria"/>
                      <w:kern w:val="2"/>
                      <w:szCs w:val="22"/>
                    </w:rPr>
                    <w:alias w:val="担保方"/>
                    <w:tag w:val="_GBC_43454b4869784e4b83765317d4a2e0e9"/>
                    <w:id w:val="-1522549729"/>
                    <w:lock w:val="sdtLocked"/>
                  </w:sdtPr>
                  <w:sdtEndPr>
                    <w:rPr>
                      <w:rFonts w:ascii="宋体" w:eastAsia="宋体" w:hAnsi="宋体"/>
                      <w:kern w:val="0"/>
                      <w:szCs w:val="21"/>
                    </w:rPr>
                  </w:sdtEndPr>
                  <w:sdtContent>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41034142" w14:textId="77777777" w:rsidR="007E7472" w:rsidRDefault="00EC1269">
                        <w:pPr>
                          <w:jc w:val="center"/>
                          <w:rPr>
                            <w:rFonts w:cs="Cambria"/>
                          </w:rPr>
                        </w:pPr>
                        <w:r>
                          <w:rPr>
                            <w:rFonts w:cs="Cambria" w:hint="eastAsia"/>
                          </w:rPr>
                          <w:t>本公司</w:t>
                        </w:r>
                      </w:p>
                    </w:tc>
                  </w:sdtContent>
                </w:sdt>
                <w:tc>
                  <w:tcPr>
                    <w:tcW w:w="1091" w:type="pct"/>
                    <w:tcBorders>
                      <w:top w:val="single" w:sz="4" w:space="0" w:color="auto"/>
                      <w:left w:val="single" w:sz="4" w:space="0" w:color="auto"/>
                      <w:bottom w:val="single" w:sz="4" w:space="0" w:color="auto"/>
                      <w:right w:val="single" w:sz="4" w:space="0" w:color="auto"/>
                    </w:tcBorders>
                    <w:shd w:val="clear" w:color="auto" w:fill="auto"/>
                    <w:vAlign w:val="center"/>
                  </w:tcPr>
                  <w:p w14:paraId="34EB5B0B" w14:textId="77777777" w:rsidR="007E7472" w:rsidRDefault="00EC1269">
                    <w:pPr>
                      <w:rPr>
                        <w:rFonts w:cs="Cambria"/>
                      </w:rPr>
                    </w:pPr>
                    <w:r>
                      <w:rPr>
                        <w:rFonts w:cs="Cambria" w:hint="eastAsia"/>
                      </w:rPr>
                      <w:t>青岛中垠瑞丰</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44107536" w14:textId="77777777" w:rsidR="007E7472" w:rsidRDefault="00EC1269">
                    <w:pPr>
                      <w:jc w:val="right"/>
                      <w:rPr>
                        <w:rFonts w:cs="Cambria"/>
                      </w:rPr>
                    </w:pPr>
                    <w:r>
                      <w:rPr>
                        <w:rFonts w:cs="Cambria"/>
                      </w:rPr>
                      <w:t>40,000万人民币</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466D65A5" w14:textId="77777777" w:rsidR="007E7472" w:rsidRDefault="00EC1269">
                    <w:pPr>
                      <w:jc w:val="center"/>
                      <w:rPr>
                        <w:rFonts w:cs="Cambria"/>
                      </w:rPr>
                    </w:pPr>
                    <w:r>
                      <w:rPr>
                        <w:rFonts w:cs="Cambria"/>
                      </w:rPr>
                      <w:t>2023-2-14</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14:paraId="6DE13A4A" w14:textId="77777777" w:rsidR="007E7472" w:rsidRDefault="00EC1269">
                    <w:pPr>
                      <w:jc w:val="center"/>
                      <w:rPr>
                        <w:rFonts w:cs="Cambria"/>
                      </w:rPr>
                    </w:pPr>
                    <w:r>
                      <w:rPr>
                        <w:rFonts w:cs="Cambria"/>
                      </w:rPr>
                      <w:t>2024-2-13</w:t>
                    </w:r>
                  </w:p>
                </w:tc>
                <w:sdt>
                  <w:sdtPr>
                    <w:rPr>
                      <w:rFonts w:cs="Cambria"/>
                    </w:rPr>
                    <w:alias w:val="本公司作为担保方的关联担保情况明细-担保是否已经履行完毕"/>
                    <w:tag w:val="_GBC_4d8807e0244c4281aa68d5aba3d78918"/>
                    <w:id w:val="1239834949"/>
                    <w:lock w:val="sdtLocked"/>
                    <w:comboBox>
                      <w:listItem w:displayText="是" w:value="true"/>
                      <w:listItem w:displayText="否" w:value="false"/>
                    </w:comboBox>
                  </w:sdtPr>
                  <w:sdtEndPr/>
                  <w:sdtContent>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7486106E" w14:textId="12A91594" w:rsidR="007E7472" w:rsidRDefault="006F3F93">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919371860"/>
              <w:lock w:val="sdtLocked"/>
            </w:sdtPr>
            <w:sdtEndPr/>
            <w:sdtContent>
              <w:tr w:rsidR="007E7472" w14:paraId="20D841FB" w14:textId="77777777" w:rsidTr="007E7472">
                <w:sdt>
                  <w:sdtPr>
                    <w:rPr>
                      <w:rFonts w:asciiTheme="minorHAnsi" w:eastAsiaTheme="minorEastAsia" w:hAnsiTheme="minorHAnsi" w:cs="Cambria"/>
                      <w:kern w:val="2"/>
                      <w:szCs w:val="22"/>
                    </w:rPr>
                    <w:alias w:val="担保方"/>
                    <w:tag w:val="_GBC_43454b4869784e4b83765317d4a2e0e9"/>
                    <w:id w:val="1038543319"/>
                    <w:lock w:val="sdtLocked"/>
                  </w:sdtPr>
                  <w:sdtEndPr>
                    <w:rPr>
                      <w:rFonts w:ascii="宋体" w:eastAsia="宋体" w:hAnsi="宋体" w:cs="Times New Roman"/>
                      <w:kern w:val="0"/>
                      <w:szCs w:val="21"/>
                    </w:rPr>
                  </w:sdtEndPr>
                  <w:sdtContent>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3C71B6F0" w14:textId="77777777" w:rsidR="007E7472" w:rsidRDefault="00EC1269">
                        <w:pPr>
                          <w:jc w:val="center"/>
                          <w:rPr>
                            <w:rFonts w:cs="Cambria"/>
                          </w:rPr>
                        </w:pPr>
                        <w:r>
                          <w:rPr>
                            <w:rFonts w:hint="eastAsia"/>
                          </w:rPr>
                          <w:t>本公司</w:t>
                        </w:r>
                      </w:p>
                    </w:tc>
                  </w:sdtContent>
                </w:sdt>
                <w:tc>
                  <w:tcPr>
                    <w:tcW w:w="1091" w:type="pct"/>
                    <w:tcBorders>
                      <w:top w:val="single" w:sz="4" w:space="0" w:color="auto"/>
                      <w:left w:val="single" w:sz="4" w:space="0" w:color="auto"/>
                      <w:bottom w:val="single" w:sz="4" w:space="0" w:color="auto"/>
                      <w:right w:val="single" w:sz="4" w:space="0" w:color="auto"/>
                    </w:tcBorders>
                    <w:shd w:val="clear" w:color="auto" w:fill="auto"/>
                    <w:vAlign w:val="center"/>
                  </w:tcPr>
                  <w:p w14:paraId="7183D9F8" w14:textId="77777777" w:rsidR="007E7472" w:rsidRDefault="00EC1269">
                    <w:pPr>
                      <w:rPr>
                        <w:rFonts w:cs="Cambria"/>
                      </w:rPr>
                    </w:pPr>
                    <w:r>
                      <w:rPr>
                        <w:rFonts w:cs="Cambria" w:hint="eastAsia"/>
                      </w:rPr>
                      <w:t>青岛中垠瑞丰</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6A4DF58E" w14:textId="77777777" w:rsidR="007E7472" w:rsidRDefault="00EC1269">
                    <w:pPr>
                      <w:jc w:val="right"/>
                      <w:rPr>
                        <w:rFonts w:cs="Cambria"/>
                      </w:rPr>
                    </w:pPr>
                    <w:r>
                      <w:rPr>
                        <w:rFonts w:cs="Cambria"/>
                      </w:rPr>
                      <w:t>25,000万人民币</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4BD2292B" w14:textId="77777777" w:rsidR="007E7472" w:rsidRDefault="00EC1269">
                    <w:pPr>
                      <w:jc w:val="center"/>
                      <w:rPr>
                        <w:rFonts w:cs="Cambria"/>
                      </w:rPr>
                    </w:pPr>
                    <w:r>
                      <w:rPr>
                        <w:rFonts w:cs="Cambria"/>
                      </w:rPr>
                      <w:t>2023-5-15</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14:paraId="588235A1" w14:textId="77777777" w:rsidR="007E7472" w:rsidRDefault="00EC1269">
                    <w:pPr>
                      <w:jc w:val="center"/>
                      <w:rPr>
                        <w:rFonts w:cs="Cambria"/>
                      </w:rPr>
                    </w:pPr>
                    <w:r>
                      <w:rPr>
                        <w:rFonts w:cs="Cambria"/>
                      </w:rPr>
                      <w:t>2023-11-30</w:t>
                    </w:r>
                  </w:p>
                </w:tc>
                <w:sdt>
                  <w:sdtPr>
                    <w:rPr>
                      <w:rFonts w:cs="Cambria"/>
                    </w:rPr>
                    <w:alias w:val="本公司作为担保方的关联担保情况明细-担保是否已经履行完毕"/>
                    <w:tag w:val="_GBC_4d8807e0244c4281aa68d5aba3d78918"/>
                    <w:id w:val="1210390723"/>
                    <w:lock w:val="sdtLocked"/>
                    <w:comboBox>
                      <w:listItem w:displayText="是" w:value="true"/>
                      <w:listItem w:displayText="否" w:value="false"/>
                    </w:comboBox>
                  </w:sdtPr>
                  <w:sdtEndPr/>
                  <w:sdtContent>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1650479E" w14:textId="1F9888EF" w:rsidR="007E7472" w:rsidRDefault="006F3F93">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1933232618"/>
              <w:lock w:val="sdtLocked"/>
            </w:sdtPr>
            <w:sdtEndPr/>
            <w:sdtContent>
              <w:tr w:rsidR="007E7472" w14:paraId="10490AF8" w14:textId="77777777" w:rsidTr="007E7472">
                <w:sdt>
                  <w:sdtPr>
                    <w:rPr>
                      <w:rFonts w:asciiTheme="minorHAnsi" w:eastAsiaTheme="minorEastAsia" w:hAnsiTheme="minorHAnsi" w:cs="Cambria"/>
                      <w:kern w:val="2"/>
                      <w:szCs w:val="22"/>
                    </w:rPr>
                    <w:alias w:val="担保方"/>
                    <w:tag w:val="_GBC_43454b4869784e4b83765317d4a2e0e9"/>
                    <w:id w:val="-2053453969"/>
                    <w:lock w:val="sdtLocked"/>
                  </w:sdtPr>
                  <w:sdtEndPr>
                    <w:rPr>
                      <w:rFonts w:ascii="宋体" w:eastAsia="宋体" w:hAnsi="宋体"/>
                      <w:kern w:val="0"/>
                      <w:szCs w:val="21"/>
                    </w:rPr>
                  </w:sdtEndPr>
                  <w:sdtContent>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2367FBE6" w14:textId="77777777" w:rsidR="007E7472" w:rsidRDefault="00EC1269">
                        <w:pPr>
                          <w:jc w:val="center"/>
                          <w:rPr>
                            <w:rFonts w:cs="Cambria"/>
                          </w:rPr>
                        </w:pPr>
                        <w:r>
                          <w:rPr>
                            <w:rFonts w:cs="Cambria" w:hint="eastAsia"/>
                          </w:rPr>
                          <w:t>本公司</w:t>
                        </w:r>
                      </w:p>
                    </w:tc>
                  </w:sdtContent>
                </w:sdt>
                <w:tc>
                  <w:tcPr>
                    <w:tcW w:w="1091" w:type="pct"/>
                    <w:tcBorders>
                      <w:top w:val="single" w:sz="4" w:space="0" w:color="auto"/>
                      <w:left w:val="single" w:sz="4" w:space="0" w:color="auto"/>
                      <w:bottom w:val="single" w:sz="4" w:space="0" w:color="auto"/>
                      <w:right w:val="single" w:sz="4" w:space="0" w:color="auto"/>
                    </w:tcBorders>
                    <w:shd w:val="clear" w:color="auto" w:fill="auto"/>
                    <w:vAlign w:val="center"/>
                  </w:tcPr>
                  <w:p w14:paraId="6737657E" w14:textId="77777777" w:rsidR="007E7472" w:rsidRDefault="00EC1269">
                    <w:pPr>
                      <w:rPr>
                        <w:rFonts w:cs="Cambria"/>
                      </w:rPr>
                    </w:pPr>
                    <w:r>
                      <w:rPr>
                        <w:rFonts w:cs="Cambria" w:hint="eastAsia"/>
                      </w:rPr>
                      <w:t>青岛中垠瑞丰</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533D82CA" w14:textId="77777777" w:rsidR="007E7472" w:rsidRDefault="00EC1269">
                    <w:pPr>
                      <w:jc w:val="right"/>
                      <w:rPr>
                        <w:rFonts w:cs="Cambria"/>
                      </w:rPr>
                    </w:pPr>
                    <w:r>
                      <w:rPr>
                        <w:rFonts w:cs="Cambria"/>
                      </w:rPr>
                      <w:t>60,000万人民币</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79CF6E6C" w14:textId="77777777" w:rsidR="007E7472" w:rsidRDefault="00EC1269">
                    <w:pPr>
                      <w:jc w:val="center"/>
                      <w:rPr>
                        <w:rFonts w:cs="Cambria"/>
                      </w:rPr>
                    </w:pPr>
                    <w:r>
                      <w:rPr>
                        <w:rFonts w:cs="Cambria"/>
                      </w:rPr>
                      <w:t>2022-8-19</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14:paraId="25CC2CC8" w14:textId="77777777" w:rsidR="007E7472" w:rsidRDefault="00EC1269">
                    <w:pPr>
                      <w:jc w:val="center"/>
                      <w:rPr>
                        <w:rFonts w:cs="Cambria"/>
                      </w:rPr>
                    </w:pPr>
                    <w:r>
                      <w:rPr>
                        <w:rFonts w:cs="Cambria"/>
                      </w:rPr>
                      <w:t>2024-8-19</w:t>
                    </w:r>
                  </w:p>
                </w:tc>
                <w:sdt>
                  <w:sdtPr>
                    <w:rPr>
                      <w:rFonts w:cs="Cambria"/>
                    </w:rPr>
                    <w:alias w:val="本公司作为担保方的关联担保情况明细-担保是否已经履行完毕"/>
                    <w:tag w:val="_GBC_4d8807e0244c4281aa68d5aba3d78918"/>
                    <w:id w:val="1340269469"/>
                    <w:lock w:val="sdtLocked"/>
                    <w:comboBox>
                      <w:listItem w:displayText="是" w:value="true"/>
                      <w:listItem w:displayText="否" w:value="false"/>
                    </w:comboBox>
                  </w:sdtPr>
                  <w:sdtEndPr/>
                  <w:sdtContent>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24DEBEC3" w14:textId="4FEA8898" w:rsidR="007E7472" w:rsidRDefault="006F3F93">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1114433954"/>
              <w:lock w:val="sdtLocked"/>
            </w:sdtPr>
            <w:sdtEndPr/>
            <w:sdtContent>
              <w:tr w:rsidR="007E7472" w14:paraId="4B5848C0" w14:textId="77777777" w:rsidTr="007E7472">
                <w:sdt>
                  <w:sdtPr>
                    <w:rPr>
                      <w:rFonts w:asciiTheme="minorHAnsi" w:eastAsiaTheme="minorEastAsia" w:hAnsiTheme="minorHAnsi" w:cs="Cambria"/>
                      <w:kern w:val="2"/>
                      <w:szCs w:val="22"/>
                    </w:rPr>
                    <w:alias w:val="担保方"/>
                    <w:tag w:val="_GBC_43454b4869784e4b83765317d4a2e0e9"/>
                    <w:id w:val="2034459272"/>
                    <w:lock w:val="sdtLocked"/>
                  </w:sdtPr>
                  <w:sdtEndPr>
                    <w:rPr>
                      <w:rFonts w:ascii="宋体" w:eastAsia="宋体" w:hAnsi="宋体"/>
                      <w:kern w:val="0"/>
                      <w:szCs w:val="21"/>
                    </w:rPr>
                  </w:sdtEndPr>
                  <w:sdtContent>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5D36948C" w14:textId="77777777" w:rsidR="007E7472" w:rsidRDefault="00EC1269">
                        <w:pPr>
                          <w:jc w:val="center"/>
                          <w:rPr>
                            <w:rFonts w:cs="Cambria"/>
                          </w:rPr>
                        </w:pPr>
                        <w:r>
                          <w:rPr>
                            <w:rFonts w:cs="Cambria" w:hint="eastAsia"/>
                          </w:rPr>
                          <w:t>本公司</w:t>
                        </w:r>
                      </w:p>
                    </w:tc>
                  </w:sdtContent>
                </w:sdt>
                <w:tc>
                  <w:tcPr>
                    <w:tcW w:w="1091" w:type="pct"/>
                    <w:tcBorders>
                      <w:top w:val="single" w:sz="4" w:space="0" w:color="auto"/>
                      <w:left w:val="single" w:sz="4" w:space="0" w:color="auto"/>
                      <w:bottom w:val="single" w:sz="4" w:space="0" w:color="auto"/>
                      <w:right w:val="single" w:sz="4" w:space="0" w:color="auto"/>
                    </w:tcBorders>
                    <w:shd w:val="clear" w:color="auto" w:fill="auto"/>
                    <w:vAlign w:val="center"/>
                  </w:tcPr>
                  <w:p w14:paraId="11EDB181" w14:textId="77777777" w:rsidR="007E7472" w:rsidRDefault="00EC1269">
                    <w:pPr>
                      <w:rPr>
                        <w:rFonts w:cs="Cambria"/>
                      </w:rPr>
                    </w:pPr>
                    <w:r>
                      <w:rPr>
                        <w:rFonts w:cs="Cambria" w:hint="eastAsia"/>
                      </w:rPr>
                      <w:t>兖矿融资租赁</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66BF51E4" w14:textId="77777777" w:rsidR="007E7472" w:rsidRDefault="00EC1269">
                    <w:pPr>
                      <w:jc w:val="right"/>
                      <w:rPr>
                        <w:rFonts w:cs="Cambria"/>
                      </w:rPr>
                    </w:pPr>
                    <w:r>
                      <w:rPr>
                        <w:rFonts w:cs="Cambria"/>
                      </w:rPr>
                      <w:t>19,261.38万人民币</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54B5823A" w14:textId="77777777" w:rsidR="007E7472" w:rsidRDefault="00EC1269">
                    <w:pPr>
                      <w:jc w:val="center"/>
                      <w:rPr>
                        <w:rFonts w:cs="Cambria"/>
                      </w:rPr>
                    </w:pPr>
                    <w:r>
                      <w:rPr>
                        <w:rFonts w:cs="Cambria"/>
                      </w:rPr>
                      <w:t>2021-6-2</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14:paraId="5251C236" w14:textId="77777777" w:rsidR="007E7472" w:rsidRDefault="00EC1269">
                    <w:pPr>
                      <w:jc w:val="center"/>
                      <w:rPr>
                        <w:rFonts w:cs="Cambria"/>
                      </w:rPr>
                    </w:pPr>
                    <w:r>
                      <w:rPr>
                        <w:rFonts w:cs="Cambria"/>
                      </w:rPr>
                      <w:t>2024-1-20</w:t>
                    </w:r>
                  </w:p>
                </w:tc>
                <w:sdt>
                  <w:sdtPr>
                    <w:rPr>
                      <w:rFonts w:cs="Cambria"/>
                    </w:rPr>
                    <w:alias w:val="本公司作为担保方的关联担保情况明细-担保是否已经履行完毕"/>
                    <w:tag w:val="_GBC_4d8807e0244c4281aa68d5aba3d78918"/>
                    <w:id w:val="1260022345"/>
                    <w:lock w:val="sdtLocked"/>
                    <w:comboBox>
                      <w:listItem w:displayText="是" w:value="true"/>
                      <w:listItem w:displayText="否" w:value="false"/>
                    </w:comboBox>
                  </w:sdtPr>
                  <w:sdtEndPr/>
                  <w:sdtContent>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259474F9" w14:textId="0D129DAB" w:rsidR="007E7472" w:rsidRDefault="006F3F93">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1069190088"/>
              <w:lock w:val="sdtLocked"/>
            </w:sdtPr>
            <w:sdtEndPr/>
            <w:sdtContent>
              <w:tr w:rsidR="007E7472" w14:paraId="56167B38" w14:textId="77777777" w:rsidTr="007E7472">
                <w:sdt>
                  <w:sdtPr>
                    <w:rPr>
                      <w:rFonts w:asciiTheme="minorHAnsi" w:eastAsiaTheme="minorEastAsia" w:hAnsiTheme="minorHAnsi" w:cs="Cambria"/>
                      <w:kern w:val="2"/>
                      <w:szCs w:val="22"/>
                    </w:rPr>
                    <w:alias w:val="担保方"/>
                    <w:tag w:val="_GBC_43454b4869784e4b83765317d4a2e0e9"/>
                    <w:id w:val="1942883156"/>
                    <w:lock w:val="sdtLocked"/>
                  </w:sdtPr>
                  <w:sdtEndPr>
                    <w:rPr>
                      <w:rFonts w:ascii="宋体" w:eastAsia="宋体" w:hAnsi="宋体"/>
                      <w:kern w:val="0"/>
                      <w:szCs w:val="21"/>
                    </w:rPr>
                  </w:sdtEndPr>
                  <w:sdtContent>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14EBD4DB" w14:textId="77777777" w:rsidR="007E7472" w:rsidRDefault="00EC1269">
                        <w:pPr>
                          <w:jc w:val="center"/>
                          <w:rPr>
                            <w:rFonts w:cs="Cambria"/>
                          </w:rPr>
                        </w:pPr>
                        <w:r>
                          <w:rPr>
                            <w:rFonts w:cs="Cambria" w:hint="eastAsia"/>
                          </w:rPr>
                          <w:t>本公司</w:t>
                        </w:r>
                      </w:p>
                    </w:tc>
                  </w:sdtContent>
                </w:sdt>
                <w:tc>
                  <w:tcPr>
                    <w:tcW w:w="1091" w:type="pct"/>
                    <w:tcBorders>
                      <w:top w:val="single" w:sz="4" w:space="0" w:color="auto"/>
                      <w:left w:val="single" w:sz="4" w:space="0" w:color="auto"/>
                      <w:bottom w:val="single" w:sz="4" w:space="0" w:color="auto"/>
                      <w:right w:val="single" w:sz="4" w:space="0" w:color="auto"/>
                    </w:tcBorders>
                    <w:shd w:val="clear" w:color="auto" w:fill="auto"/>
                    <w:vAlign w:val="center"/>
                  </w:tcPr>
                  <w:p w14:paraId="365186A3" w14:textId="77777777" w:rsidR="007E7472" w:rsidRDefault="00EC1269">
                    <w:pPr>
                      <w:rPr>
                        <w:rFonts w:cs="Cambria"/>
                      </w:rPr>
                    </w:pPr>
                    <w:r>
                      <w:rPr>
                        <w:rFonts w:cs="Cambria" w:hint="eastAsia"/>
                      </w:rPr>
                      <w:t>青岛中兖贸易</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70A6F414" w14:textId="77777777" w:rsidR="007E7472" w:rsidRDefault="00EC1269">
                    <w:pPr>
                      <w:jc w:val="right"/>
                      <w:rPr>
                        <w:rFonts w:cs="Cambria"/>
                      </w:rPr>
                    </w:pPr>
                    <w:r>
                      <w:rPr>
                        <w:rFonts w:cs="Cambria"/>
                      </w:rPr>
                      <w:t>100,000万人民币</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4FEE8D70" w14:textId="77777777" w:rsidR="007E7472" w:rsidRDefault="00EC1269">
                    <w:pPr>
                      <w:jc w:val="center"/>
                      <w:rPr>
                        <w:rFonts w:cs="Cambria"/>
                      </w:rPr>
                    </w:pPr>
                    <w:r>
                      <w:rPr>
                        <w:rFonts w:cs="Cambria"/>
                      </w:rPr>
                      <w:t>2021-10-15</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14:paraId="0DB4EA5E" w14:textId="77777777" w:rsidR="007E7472" w:rsidRDefault="00EC1269">
                    <w:pPr>
                      <w:jc w:val="center"/>
                      <w:rPr>
                        <w:rFonts w:cs="Cambria"/>
                      </w:rPr>
                    </w:pPr>
                    <w:r>
                      <w:rPr>
                        <w:rFonts w:cs="Cambria"/>
                      </w:rPr>
                      <w:t>2023-10-15</w:t>
                    </w:r>
                  </w:p>
                </w:tc>
                <w:sdt>
                  <w:sdtPr>
                    <w:rPr>
                      <w:rFonts w:cs="Cambria"/>
                    </w:rPr>
                    <w:alias w:val="本公司作为担保方的关联担保情况明细-担保是否已经履行完毕"/>
                    <w:tag w:val="_GBC_4d8807e0244c4281aa68d5aba3d78918"/>
                    <w:id w:val="-424887836"/>
                    <w:lock w:val="sdtLocked"/>
                    <w:comboBox>
                      <w:listItem w:displayText="是" w:value="true"/>
                      <w:listItem w:displayText="否" w:value="false"/>
                    </w:comboBox>
                  </w:sdtPr>
                  <w:sdtEndPr/>
                  <w:sdtContent>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708FC21B" w14:textId="5AD2E5D7" w:rsidR="007E7472" w:rsidRDefault="006F3F93">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1684315576"/>
              <w:lock w:val="sdtLocked"/>
            </w:sdtPr>
            <w:sdtEndPr/>
            <w:sdtContent>
              <w:tr w:rsidR="007E7472" w14:paraId="1BE793E2" w14:textId="77777777" w:rsidTr="007E7472">
                <w:sdt>
                  <w:sdtPr>
                    <w:rPr>
                      <w:rFonts w:asciiTheme="minorHAnsi" w:eastAsiaTheme="minorEastAsia" w:hAnsiTheme="minorHAnsi" w:cs="Cambria"/>
                      <w:kern w:val="2"/>
                      <w:szCs w:val="22"/>
                    </w:rPr>
                    <w:alias w:val="担保方"/>
                    <w:tag w:val="_GBC_43454b4869784e4b83765317d4a2e0e9"/>
                    <w:id w:val="-517083066"/>
                    <w:lock w:val="sdtLocked"/>
                  </w:sdtPr>
                  <w:sdtEndPr>
                    <w:rPr>
                      <w:rFonts w:ascii="宋体" w:eastAsia="宋体" w:hAnsi="宋体"/>
                      <w:kern w:val="0"/>
                      <w:szCs w:val="21"/>
                    </w:rPr>
                  </w:sdtEndPr>
                  <w:sdtContent>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37820576" w14:textId="77777777" w:rsidR="007E7472" w:rsidRDefault="00EC1269">
                        <w:pPr>
                          <w:jc w:val="center"/>
                          <w:rPr>
                            <w:rFonts w:cs="Cambria"/>
                          </w:rPr>
                        </w:pPr>
                        <w:r>
                          <w:rPr>
                            <w:rFonts w:cs="Cambria" w:hint="eastAsia"/>
                          </w:rPr>
                          <w:t>本公司</w:t>
                        </w:r>
                      </w:p>
                    </w:tc>
                  </w:sdtContent>
                </w:sdt>
                <w:tc>
                  <w:tcPr>
                    <w:tcW w:w="1091" w:type="pct"/>
                    <w:tcBorders>
                      <w:top w:val="single" w:sz="4" w:space="0" w:color="auto"/>
                      <w:left w:val="single" w:sz="4" w:space="0" w:color="auto"/>
                      <w:bottom w:val="single" w:sz="4" w:space="0" w:color="auto"/>
                      <w:right w:val="single" w:sz="4" w:space="0" w:color="auto"/>
                    </w:tcBorders>
                    <w:shd w:val="clear" w:color="auto" w:fill="auto"/>
                    <w:vAlign w:val="center"/>
                  </w:tcPr>
                  <w:p w14:paraId="12184BD9" w14:textId="77777777" w:rsidR="007E7472" w:rsidRDefault="00EC1269">
                    <w:pPr>
                      <w:rPr>
                        <w:rFonts w:cs="Cambria"/>
                      </w:rPr>
                    </w:pPr>
                    <w:r>
                      <w:rPr>
                        <w:rFonts w:cs="Cambria" w:hint="eastAsia"/>
                      </w:rPr>
                      <w:t>青岛中兖贸易</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49227E5A" w14:textId="77777777" w:rsidR="007E7472" w:rsidRDefault="00EC1269">
                    <w:pPr>
                      <w:jc w:val="right"/>
                      <w:rPr>
                        <w:rFonts w:cs="Cambria"/>
                      </w:rPr>
                    </w:pPr>
                    <w:r>
                      <w:rPr>
                        <w:rFonts w:cs="Cambria"/>
                      </w:rPr>
                      <w:t>30,000万人民币</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4B561737" w14:textId="77777777" w:rsidR="007E7472" w:rsidRDefault="00EC1269">
                    <w:pPr>
                      <w:jc w:val="center"/>
                      <w:rPr>
                        <w:rFonts w:cs="Cambria"/>
                      </w:rPr>
                    </w:pPr>
                    <w:r>
                      <w:rPr>
                        <w:rFonts w:cs="Cambria"/>
                      </w:rPr>
                      <w:t>2023-2-28</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14:paraId="40C56EA0" w14:textId="77777777" w:rsidR="007E7472" w:rsidRDefault="00EC1269">
                    <w:pPr>
                      <w:jc w:val="center"/>
                      <w:rPr>
                        <w:rFonts w:cs="Cambria"/>
                      </w:rPr>
                    </w:pPr>
                    <w:r>
                      <w:rPr>
                        <w:rFonts w:cs="Cambria"/>
                      </w:rPr>
                      <w:t>2024-2-27</w:t>
                    </w:r>
                  </w:p>
                </w:tc>
                <w:sdt>
                  <w:sdtPr>
                    <w:rPr>
                      <w:rFonts w:cs="Cambria"/>
                    </w:rPr>
                    <w:alias w:val="本公司作为担保方的关联担保情况明细-担保是否已经履行完毕"/>
                    <w:tag w:val="_GBC_4d8807e0244c4281aa68d5aba3d78918"/>
                    <w:id w:val="535856742"/>
                    <w:lock w:val="sdtLocked"/>
                    <w:comboBox>
                      <w:listItem w:displayText="是" w:value="true"/>
                      <w:listItem w:displayText="否" w:value="false"/>
                    </w:comboBox>
                  </w:sdtPr>
                  <w:sdtEndPr/>
                  <w:sdtContent>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7131BB33" w14:textId="6AB3B39C" w:rsidR="007E7472" w:rsidRDefault="006F3F93">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437489381"/>
              <w:lock w:val="sdtLocked"/>
            </w:sdtPr>
            <w:sdtEndPr/>
            <w:sdtContent>
              <w:tr w:rsidR="007E7472" w14:paraId="7F8681F3" w14:textId="77777777" w:rsidTr="007E7472">
                <w:sdt>
                  <w:sdtPr>
                    <w:rPr>
                      <w:rFonts w:asciiTheme="minorHAnsi" w:eastAsiaTheme="minorEastAsia" w:hAnsiTheme="minorHAnsi" w:cs="Cambria"/>
                      <w:kern w:val="2"/>
                      <w:szCs w:val="22"/>
                    </w:rPr>
                    <w:alias w:val="担保方"/>
                    <w:tag w:val="_GBC_43454b4869784e4b83765317d4a2e0e9"/>
                    <w:id w:val="-223059677"/>
                    <w:lock w:val="sdtLocked"/>
                  </w:sdtPr>
                  <w:sdtEndPr>
                    <w:rPr>
                      <w:rFonts w:ascii="宋体" w:eastAsia="宋体" w:hAnsi="宋体"/>
                      <w:kern w:val="0"/>
                      <w:szCs w:val="21"/>
                    </w:rPr>
                  </w:sdtEndPr>
                  <w:sdtContent>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1E20FE6D" w14:textId="77777777" w:rsidR="007E7472" w:rsidRDefault="00EC1269">
                        <w:pPr>
                          <w:jc w:val="center"/>
                          <w:rPr>
                            <w:rFonts w:cs="Cambria"/>
                          </w:rPr>
                        </w:pPr>
                        <w:r>
                          <w:rPr>
                            <w:rFonts w:cs="Cambria" w:hint="eastAsia"/>
                          </w:rPr>
                          <w:t>本公司</w:t>
                        </w:r>
                      </w:p>
                    </w:tc>
                  </w:sdtContent>
                </w:sdt>
                <w:tc>
                  <w:tcPr>
                    <w:tcW w:w="1091" w:type="pct"/>
                    <w:tcBorders>
                      <w:top w:val="single" w:sz="4" w:space="0" w:color="auto"/>
                      <w:left w:val="single" w:sz="4" w:space="0" w:color="auto"/>
                      <w:bottom w:val="single" w:sz="4" w:space="0" w:color="auto"/>
                      <w:right w:val="single" w:sz="4" w:space="0" w:color="auto"/>
                    </w:tcBorders>
                    <w:shd w:val="clear" w:color="auto" w:fill="auto"/>
                    <w:vAlign w:val="center"/>
                  </w:tcPr>
                  <w:p w14:paraId="72CD4D59" w14:textId="77777777" w:rsidR="007E7472" w:rsidRDefault="00EC1269">
                    <w:pPr>
                      <w:rPr>
                        <w:rFonts w:cs="Cambria"/>
                      </w:rPr>
                    </w:pPr>
                    <w:r>
                      <w:rPr>
                        <w:rFonts w:cs="Cambria" w:hint="eastAsia"/>
                      </w:rPr>
                      <w:t>青岛中兖贸易</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491D408C" w14:textId="77777777" w:rsidR="007E7472" w:rsidRDefault="00EC1269">
                    <w:pPr>
                      <w:jc w:val="right"/>
                      <w:rPr>
                        <w:rFonts w:cs="Cambria"/>
                      </w:rPr>
                    </w:pPr>
                    <w:r>
                      <w:rPr>
                        <w:rFonts w:cs="Cambria"/>
                      </w:rPr>
                      <w:t>36,000万人民币</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02422663" w14:textId="77777777" w:rsidR="007E7472" w:rsidRDefault="00EC1269">
                    <w:pPr>
                      <w:jc w:val="center"/>
                      <w:rPr>
                        <w:rFonts w:cs="Cambria"/>
                      </w:rPr>
                    </w:pPr>
                    <w:r>
                      <w:rPr>
                        <w:rFonts w:cs="Cambria"/>
                      </w:rPr>
                      <w:t>2023-3-9</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14:paraId="3EC74A2E" w14:textId="77777777" w:rsidR="007E7472" w:rsidRDefault="00EC1269">
                    <w:pPr>
                      <w:jc w:val="center"/>
                      <w:rPr>
                        <w:rFonts w:cs="Cambria"/>
                      </w:rPr>
                    </w:pPr>
                    <w:r>
                      <w:rPr>
                        <w:rFonts w:cs="Cambria"/>
                      </w:rPr>
                      <w:t>2023-11-30</w:t>
                    </w:r>
                  </w:p>
                </w:tc>
                <w:sdt>
                  <w:sdtPr>
                    <w:rPr>
                      <w:rFonts w:cs="Cambria"/>
                    </w:rPr>
                    <w:alias w:val="本公司作为担保方的关联担保情况明细-担保是否已经履行完毕"/>
                    <w:tag w:val="_GBC_4d8807e0244c4281aa68d5aba3d78918"/>
                    <w:id w:val="-954101430"/>
                    <w:lock w:val="sdtLocked"/>
                    <w:comboBox>
                      <w:listItem w:displayText="是" w:value="true"/>
                      <w:listItem w:displayText="否" w:value="false"/>
                    </w:comboBox>
                  </w:sdtPr>
                  <w:sdtEndPr/>
                  <w:sdtContent>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7E75929D" w14:textId="13B6F77A" w:rsidR="007E7472" w:rsidRDefault="006F3F93">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28466221"/>
              <w:lock w:val="sdtLocked"/>
            </w:sdtPr>
            <w:sdtEndPr/>
            <w:sdtContent>
              <w:tr w:rsidR="007E7472" w14:paraId="33E1C190" w14:textId="77777777" w:rsidTr="007E7472">
                <w:sdt>
                  <w:sdtPr>
                    <w:rPr>
                      <w:rFonts w:asciiTheme="minorHAnsi" w:eastAsiaTheme="minorEastAsia" w:hAnsiTheme="minorHAnsi" w:cs="Cambria"/>
                      <w:kern w:val="2"/>
                      <w:szCs w:val="22"/>
                    </w:rPr>
                    <w:alias w:val="担保方"/>
                    <w:tag w:val="_GBC_43454b4869784e4b83765317d4a2e0e9"/>
                    <w:id w:val="1166674278"/>
                    <w:lock w:val="sdtLocked"/>
                  </w:sdtPr>
                  <w:sdtEndPr>
                    <w:rPr>
                      <w:rFonts w:ascii="宋体" w:eastAsia="宋体" w:hAnsi="宋体"/>
                      <w:kern w:val="0"/>
                      <w:szCs w:val="21"/>
                    </w:rPr>
                  </w:sdtEndPr>
                  <w:sdtContent>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66343D4A" w14:textId="77777777" w:rsidR="007E7472" w:rsidRDefault="00EC1269">
                        <w:pPr>
                          <w:jc w:val="center"/>
                          <w:rPr>
                            <w:rFonts w:cs="Cambria"/>
                          </w:rPr>
                        </w:pPr>
                        <w:r>
                          <w:rPr>
                            <w:rFonts w:cs="Cambria" w:hint="eastAsia"/>
                          </w:rPr>
                          <w:t>本公司</w:t>
                        </w:r>
                      </w:p>
                    </w:tc>
                  </w:sdtContent>
                </w:sdt>
                <w:tc>
                  <w:tcPr>
                    <w:tcW w:w="1091" w:type="pct"/>
                    <w:tcBorders>
                      <w:top w:val="single" w:sz="4" w:space="0" w:color="auto"/>
                      <w:left w:val="single" w:sz="4" w:space="0" w:color="auto"/>
                      <w:bottom w:val="single" w:sz="4" w:space="0" w:color="auto"/>
                      <w:right w:val="single" w:sz="4" w:space="0" w:color="auto"/>
                    </w:tcBorders>
                    <w:shd w:val="clear" w:color="auto" w:fill="auto"/>
                    <w:vAlign w:val="center"/>
                  </w:tcPr>
                  <w:p w14:paraId="7D201D04" w14:textId="77777777" w:rsidR="007E7472" w:rsidRDefault="00EC1269">
                    <w:pPr>
                      <w:rPr>
                        <w:rFonts w:cs="Cambria"/>
                      </w:rPr>
                    </w:pPr>
                    <w:r>
                      <w:rPr>
                        <w:rFonts w:cs="Cambria" w:hint="eastAsia"/>
                      </w:rPr>
                      <w:t>青岛中兖贸易</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54061A30" w14:textId="77777777" w:rsidR="007E7472" w:rsidRDefault="00EC1269">
                    <w:pPr>
                      <w:jc w:val="right"/>
                      <w:rPr>
                        <w:rFonts w:cs="Cambria"/>
                      </w:rPr>
                    </w:pPr>
                    <w:r>
                      <w:rPr>
                        <w:rFonts w:cs="Cambria"/>
                      </w:rPr>
                      <w:t>20,000万人民币</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09278778" w14:textId="77777777" w:rsidR="007E7472" w:rsidRDefault="00EC1269">
                    <w:pPr>
                      <w:jc w:val="center"/>
                      <w:rPr>
                        <w:rFonts w:cs="Cambria"/>
                      </w:rPr>
                    </w:pPr>
                    <w:r>
                      <w:rPr>
                        <w:rFonts w:cs="Cambria"/>
                      </w:rPr>
                      <w:t>2022-9-19</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14:paraId="4C84CCE0" w14:textId="77777777" w:rsidR="007E7472" w:rsidRDefault="00EC1269">
                    <w:pPr>
                      <w:jc w:val="center"/>
                      <w:rPr>
                        <w:rFonts w:cs="Cambria"/>
                      </w:rPr>
                    </w:pPr>
                    <w:r>
                      <w:rPr>
                        <w:rFonts w:cs="Cambria"/>
                      </w:rPr>
                      <w:t>2023-9-18</w:t>
                    </w:r>
                  </w:p>
                </w:tc>
                <w:sdt>
                  <w:sdtPr>
                    <w:rPr>
                      <w:rFonts w:cs="Cambria"/>
                    </w:rPr>
                    <w:alias w:val="本公司作为担保方的关联担保情况明细-担保是否已经履行完毕"/>
                    <w:tag w:val="_GBC_4d8807e0244c4281aa68d5aba3d78918"/>
                    <w:id w:val="-753821707"/>
                    <w:lock w:val="sdtLocked"/>
                    <w:comboBox>
                      <w:listItem w:displayText="是" w:value="true"/>
                      <w:listItem w:displayText="否" w:value="false"/>
                    </w:comboBox>
                  </w:sdtPr>
                  <w:sdtEndPr/>
                  <w:sdtContent>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1DB495C1" w14:textId="03EE5ACB" w:rsidR="007E7472" w:rsidRDefault="006F3F93">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352498628"/>
              <w:lock w:val="sdtLocked"/>
            </w:sdtPr>
            <w:sdtEndPr/>
            <w:sdtContent>
              <w:tr w:rsidR="007E7472" w14:paraId="20BD59D0" w14:textId="77777777" w:rsidTr="007E7472">
                <w:sdt>
                  <w:sdtPr>
                    <w:rPr>
                      <w:rFonts w:asciiTheme="minorHAnsi" w:eastAsiaTheme="minorEastAsia" w:hAnsiTheme="minorHAnsi" w:cs="Cambria"/>
                      <w:kern w:val="2"/>
                      <w:szCs w:val="22"/>
                    </w:rPr>
                    <w:alias w:val="担保方"/>
                    <w:tag w:val="_GBC_43454b4869784e4b83765317d4a2e0e9"/>
                    <w:id w:val="2003318768"/>
                    <w:lock w:val="sdtLocked"/>
                  </w:sdtPr>
                  <w:sdtEndPr>
                    <w:rPr>
                      <w:rFonts w:ascii="宋体" w:eastAsia="宋体" w:hAnsi="宋体"/>
                      <w:kern w:val="0"/>
                      <w:szCs w:val="21"/>
                    </w:rPr>
                  </w:sdtEndPr>
                  <w:sdtContent>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76CB90D8" w14:textId="77777777" w:rsidR="007E7472" w:rsidRDefault="00EC1269">
                        <w:pPr>
                          <w:jc w:val="center"/>
                          <w:rPr>
                            <w:rFonts w:cs="Cambria"/>
                          </w:rPr>
                        </w:pPr>
                        <w:r>
                          <w:rPr>
                            <w:rFonts w:cs="Cambria" w:hint="eastAsia"/>
                          </w:rPr>
                          <w:t>本公司</w:t>
                        </w:r>
                      </w:p>
                    </w:tc>
                  </w:sdtContent>
                </w:sdt>
                <w:tc>
                  <w:tcPr>
                    <w:tcW w:w="1091" w:type="pct"/>
                    <w:tcBorders>
                      <w:top w:val="single" w:sz="4" w:space="0" w:color="auto"/>
                      <w:left w:val="single" w:sz="4" w:space="0" w:color="auto"/>
                      <w:bottom w:val="single" w:sz="4" w:space="0" w:color="auto"/>
                      <w:right w:val="single" w:sz="4" w:space="0" w:color="auto"/>
                    </w:tcBorders>
                    <w:shd w:val="clear" w:color="auto" w:fill="auto"/>
                    <w:vAlign w:val="center"/>
                  </w:tcPr>
                  <w:p w14:paraId="7A809F02" w14:textId="77777777" w:rsidR="007E7472" w:rsidRDefault="00EC1269">
                    <w:pPr>
                      <w:rPr>
                        <w:rFonts w:cs="Cambria"/>
                      </w:rPr>
                    </w:pPr>
                    <w:r>
                      <w:rPr>
                        <w:rFonts w:cs="Cambria" w:hint="eastAsia"/>
                      </w:rPr>
                      <w:t>青岛中兖贸易</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33610956" w14:textId="77777777" w:rsidR="007E7472" w:rsidRDefault="00EC1269">
                    <w:pPr>
                      <w:jc w:val="right"/>
                      <w:rPr>
                        <w:rFonts w:cs="Cambria"/>
                      </w:rPr>
                    </w:pPr>
                    <w:r>
                      <w:rPr>
                        <w:rFonts w:cs="Cambria"/>
                      </w:rPr>
                      <w:t>24,000万人民币</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2CAFFA97" w14:textId="77777777" w:rsidR="007E7472" w:rsidRDefault="00EC1269">
                    <w:pPr>
                      <w:jc w:val="center"/>
                      <w:rPr>
                        <w:rFonts w:cs="Cambria"/>
                      </w:rPr>
                    </w:pPr>
                    <w:r>
                      <w:rPr>
                        <w:rFonts w:cs="Cambria"/>
                      </w:rPr>
                      <w:t>2022-10-12</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14:paraId="762D3E3B" w14:textId="77777777" w:rsidR="007E7472" w:rsidRDefault="00EC1269">
                    <w:pPr>
                      <w:jc w:val="center"/>
                      <w:rPr>
                        <w:rFonts w:cs="Cambria"/>
                      </w:rPr>
                    </w:pPr>
                    <w:r>
                      <w:rPr>
                        <w:rFonts w:cs="Cambria"/>
                      </w:rPr>
                      <w:t>2023-10-12</w:t>
                    </w:r>
                  </w:p>
                </w:tc>
                <w:sdt>
                  <w:sdtPr>
                    <w:rPr>
                      <w:rFonts w:cs="Cambria"/>
                    </w:rPr>
                    <w:alias w:val="本公司作为担保方的关联担保情况明细-担保是否已经履行完毕"/>
                    <w:tag w:val="_GBC_4d8807e0244c4281aa68d5aba3d78918"/>
                    <w:id w:val="1277064455"/>
                    <w:lock w:val="sdtLocked"/>
                    <w:comboBox>
                      <w:listItem w:displayText="是" w:value="true"/>
                      <w:listItem w:displayText="否" w:value="false"/>
                    </w:comboBox>
                  </w:sdtPr>
                  <w:sdtEndPr/>
                  <w:sdtContent>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40B9534C" w14:textId="45AD76D9" w:rsidR="007E7472" w:rsidRDefault="006F3F93">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1262063380"/>
              <w:lock w:val="sdtLocked"/>
            </w:sdtPr>
            <w:sdtEndPr/>
            <w:sdtContent>
              <w:tr w:rsidR="007E7472" w14:paraId="7D46FCC1" w14:textId="77777777" w:rsidTr="007E7472">
                <w:sdt>
                  <w:sdtPr>
                    <w:rPr>
                      <w:rFonts w:asciiTheme="minorHAnsi" w:eastAsiaTheme="minorEastAsia" w:hAnsiTheme="minorHAnsi" w:cs="Cambria"/>
                      <w:kern w:val="2"/>
                      <w:szCs w:val="22"/>
                    </w:rPr>
                    <w:alias w:val="担保方"/>
                    <w:tag w:val="_GBC_43454b4869784e4b83765317d4a2e0e9"/>
                    <w:id w:val="-259221120"/>
                    <w:lock w:val="sdtLocked"/>
                  </w:sdtPr>
                  <w:sdtEndPr>
                    <w:rPr>
                      <w:rFonts w:ascii="宋体" w:eastAsia="宋体" w:hAnsi="宋体"/>
                      <w:kern w:val="0"/>
                      <w:szCs w:val="21"/>
                    </w:rPr>
                  </w:sdtEndPr>
                  <w:sdtContent>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1B2B33D1" w14:textId="77777777" w:rsidR="007E7472" w:rsidRDefault="00EC1269">
                        <w:pPr>
                          <w:jc w:val="center"/>
                          <w:rPr>
                            <w:rFonts w:cs="Cambria"/>
                          </w:rPr>
                        </w:pPr>
                        <w:r>
                          <w:rPr>
                            <w:rFonts w:cs="Cambria" w:hint="eastAsia"/>
                          </w:rPr>
                          <w:t>本公司</w:t>
                        </w:r>
                      </w:p>
                    </w:tc>
                  </w:sdtContent>
                </w:sdt>
                <w:tc>
                  <w:tcPr>
                    <w:tcW w:w="1091" w:type="pct"/>
                    <w:tcBorders>
                      <w:top w:val="single" w:sz="4" w:space="0" w:color="auto"/>
                      <w:left w:val="single" w:sz="4" w:space="0" w:color="auto"/>
                      <w:bottom w:val="single" w:sz="4" w:space="0" w:color="auto"/>
                      <w:right w:val="single" w:sz="4" w:space="0" w:color="auto"/>
                    </w:tcBorders>
                    <w:shd w:val="clear" w:color="auto" w:fill="auto"/>
                    <w:vAlign w:val="center"/>
                  </w:tcPr>
                  <w:p w14:paraId="636F95B1" w14:textId="77777777" w:rsidR="007E7472" w:rsidRDefault="00EC1269">
                    <w:pPr>
                      <w:rPr>
                        <w:rFonts w:cs="Cambria"/>
                      </w:rPr>
                    </w:pPr>
                    <w:r>
                      <w:rPr>
                        <w:rFonts w:cs="Cambria" w:hint="eastAsia"/>
                      </w:rPr>
                      <w:t>青岛中兖贸易</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4ACE8D0E" w14:textId="77777777" w:rsidR="007E7472" w:rsidRDefault="00EC1269">
                    <w:pPr>
                      <w:jc w:val="right"/>
                      <w:rPr>
                        <w:rFonts w:cs="Cambria"/>
                      </w:rPr>
                    </w:pPr>
                    <w:r>
                      <w:rPr>
                        <w:rFonts w:cs="Cambria"/>
                      </w:rPr>
                      <w:t>30,000万人民币</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71061F2F" w14:textId="77777777" w:rsidR="007E7472" w:rsidRDefault="00EC1269">
                    <w:pPr>
                      <w:jc w:val="center"/>
                      <w:rPr>
                        <w:rFonts w:cs="Cambria"/>
                      </w:rPr>
                    </w:pPr>
                    <w:r>
                      <w:rPr>
                        <w:rFonts w:cs="Cambria"/>
                      </w:rPr>
                      <w:t>2023-6-24</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14:paraId="12E74AC2" w14:textId="77777777" w:rsidR="007E7472" w:rsidRDefault="00EC1269">
                    <w:pPr>
                      <w:jc w:val="center"/>
                      <w:rPr>
                        <w:rFonts w:cs="Cambria"/>
                      </w:rPr>
                    </w:pPr>
                    <w:r>
                      <w:rPr>
                        <w:rFonts w:cs="Cambria"/>
                      </w:rPr>
                      <w:t>2024-6-24</w:t>
                    </w:r>
                  </w:p>
                </w:tc>
                <w:sdt>
                  <w:sdtPr>
                    <w:rPr>
                      <w:rFonts w:cs="Cambria"/>
                    </w:rPr>
                    <w:alias w:val="本公司作为担保方的关联担保情况明细-担保是否已经履行完毕"/>
                    <w:tag w:val="_GBC_4d8807e0244c4281aa68d5aba3d78918"/>
                    <w:id w:val="415914627"/>
                    <w:lock w:val="sdtLocked"/>
                    <w:comboBox>
                      <w:listItem w:displayText="是" w:value="true"/>
                      <w:listItem w:displayText="否" w:value="false"/>
                    </w:comboBox>
                  </w:sdtPr>
                  <w:sdtEndPr/>
                  <w:sdtContent>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4E2BB18B" w14:textId="3FBB1574" w:rsidR="007E7472" w:rsidRDefault="006F3F93">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394871331"/>
              <w:lock w:val="sdtLocked"/>
            </w:sdtPr>
            <w:sdtEndPr/>
            <w:sdtContent>
              <w:tr w:rsidR="007E7472" w14:paraId="53E26DE8" w14:textId="77777777" w:rsidTr="007E7472">
                <w:sdt>
                  <w:sdtPr>
                    <w:rPr>
                      <w:rFonts w:asciiTheme="minorHAnsi" w:eastAsiaTheme="minorEastAsia" w:hAnsiTheme="minorHAnsi" w:cs="Cambria"/>
                      <w:kern w:val="2"/>
                      <w:szCs w:val="22"/>
                    </w:rPr>
                    <w:alias w:val="担保方"/>
                    <w:tag w:val="_GBC_43454b4869784e4b83765317d4a2e0e9"/>
                    <w:id w:val="1648861455"/>
                    <w:lock w:val="sdtLocked"/>
                  </w:sdtPr>
                  <w:sdtEndPr>
                    <w:rPr>
                      <w:rFonts w:ascii="宋体" w:eastAsia="宋体" w:hAnsi="宋体"/>
                      <w:kern w:val="0"/>
                      <w:szCs w:val="21"/>
                    </w:rPr>
                  </w:sdtEndPr>
                  <w:sdtContent>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275B8175" w14:textId="77777777" w:rsidR="007E7472" w:rsidRDefault="00EC1269">
                        <w:pPr>
                          <w:jc w:val="center"/>
                          <w:rPr>
                            <w:rFonts w:cs="Cambria"/>
                          </w:rPr>
                        </w:pPr>
                        <w:r>
                          <w:rPr>
                            <w:rFonts w:cs="Cambria" w:hint="eastAsia"/>
                          </w:rPr>
                          <w:t>本公司</w:t>
                        </w:r>
                      </w:p>
                    </w:tc>
                  </w:sdtContent>
                </w:sdt>
                <w:tc>
                  <w:tcPr>
                    <w:tcW w:w="1091" w:type="pct"/>
                    <w:tcBorders>
                      <w:top w:val="single" w:sz="4" w:space="0" w:color="auto"/>
                      <w:left w:val="single" w:sz="4" w:space="0" w:color="auto"/>
                      <w:bottom w:val="single" w:sz="4" w:space="0" w:color="auto"/>
                      <w:right w:val="single" w:sz="4" w:space="0" w:color="auto"/>
                    </w:tcBorders>
                    <w:shd w:val="clear" w:color="auto" w:fill="auto"/>
                    <w:vAlign w:val="center"/>
                  </w:tcPr>
                  <w:p w14:paraId="7C823D64" w14:textId="77777777" w:rsidR="007E7472" w:rsidRDefault="00EC1269">
                    <w:pPr>
                      <w:rPr>
                        <w:rFonts w:cs="Cambria"/>
                      </w:rPr>
                    </w:pPr>
                    <w:r>
                      <w:rPr>
                        <w:rFonts w:cs="Cambria" w:hint="eastAsia"/>
                      </w:rPr>
                      <w:t>青岛中兖贸易</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2B7A2801" w14:textId="77777777" w:rsidR="007E7472" w:rsidRDefault="00EC1269">
                    <w:pPr>
                      <w:jc w:val="right"/>
                      <w:rPr>
                        <w:rFonts w:cs="Cambria"/>
                      </w:rPr>
                    </w:pPr>
                    <w:r>
                      <w:rPr>
                        <w:rFonts w:cs="Cambria"/>
                      </w:rPr>
                      <w:t>15,000万人民币</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085D7FD0" w14:textId="77777777" w:rsidR="007E7472" w:rsidRDefault="00EC1269">
                    <w:pPr>
                      <w:jc w:val="center"/>
                      <w:rPr>
                        <w:rFonts w:cs="Cambria"/>
                      </w:rPr>
                    </w:pPr>
                    <w:r>
                      <w:rPr>
                        <w:rFonts w:cs="Cambria"/>
                      </w:rPr>
                      <w:t>2023-6-26</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14:paraId="05FD130D" w14:textId="77777777" w:rsidR="007E7472" w:rsidRDefault="00EC1269">
                    <w:pPr>
                      <w:jc w:val="center"/>
                      <w:rPr>
                        <w:rFonts w:cs="Cambria"/>
                      </w:rPr>
                    </w:pPr>
                    <w:r>
                      <w:rPr>
                        <w:rFonts w:cs="Cambria"/>
                      </w:rPr>
                      <w:t>2024-6-25</w:t>
                    </w:r>
                  </w:p>
                </w:tc>
                <w:sdt>
                  <w:sdtPr>
                    <w:rPr>
                      <w:rFonts w:cs="Cambria"/>
                    </w:rPr>
                    <w:alias w:val="本公司作为担保方的关联担保情况明细-担保是否已经履行完毕"/>
                    <w:tag w:val="_GBC_4d8807e0244c4281aa68d5aba3d78918"/>
                    <w:id w:val="747543686"/>
                    <w:lock w:val="sdtLocked"/>
                    <w:comboBox>
                      <w:listItem w:displayText="是" w:value="true"/>
                      <w:listItem w:displayText="否" w:value="false"/>
                    </w:comboBox>
                  </w:sdtPr>
                  <w:sdtEndPr/>
                  <w:sdtContent>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58D08DF2" w14:textId="373BC5DC" w:rsidR="007E7472" w:rsidRDefault="006F3F93">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1391690581"/>
              <w:lock w:val="sdtLocked"/>
            </w:sdtPr>
            <w:sdtEndPr/>
            <w:sdtContent>
              <w:tr w:rsidR="007E7472" w14:paraId="77B57358" w14:textId="77777777" w:rsidTr="007E7472">
                <w:sdt>
                  <w:sdtPr>
                    <w:rPr>
                      <w:rFonts w:asciiTheme="minorHAnsi" w:eastAsiaTheme="minorEastAsia" w:hAnsiTheme="minorHAnsi" w:cs="Cambria"/>
                      <w:kern w:val="2"/>
                      <w:szCs w:val="22"/>
                    </w:rPr>
                    <w:alias w:val="担保方"/>
                    <w:tag w:val="_GBC_43454b4869784e4b83765317d4a2e0e9"/>
                    <w:id w:val="-1857643908"/>
                    <w:lock w:val="sdtLocked"/>
                  </w:sdtPr>
                  <w:sdtEndPr>
                    <w:rPr>
                      <w:rFonts w:ascii="宋体" w:eastAsia="宋体" w:hAnsi="宋体"/>
                      <w:kern w:val="0"/>
                      <w:szCs w:val="21"/>
                    </w:rPr>
                  </w:sdtEndPr>
                  <w:sdtContent>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309F33D3" w14:textId="77777777" w:rsidR="007E7472" w:rsidRDefault="00EC1269">
                        <w:pPr>
                          <w:jc w:val="center"/>
                          <w:rPr>
                            <w:rFonts w:cs="Cambria"/>
                          </w:rPr>
                        </w:pPr>
                        <w:r>
                          <w:rPr>
                            <w:rFonts w:cs="Cambria" w:hint="eastAsia"/>
                          </w:rPr>
                          <w:t>本公司</w:t>
                        </w:r>
                      </w:p>
                    </w:tc>
                  </w:sdtContent>
                </w:sdt>
                <w:tc>
                  <w:tcPr>
                    <w:tcW w:w="1091" w:type="pct"/>
                    <w:tcBorders>
                      <w:top w:val="single" w:sz="4" w:space="0" w:color="auto"/>
                      <w:left w:val="single" w:sz="4" w:space="0" w:color="auto"/>
                      <w:bottom w:val="single" w:sz="4" w:space="0" w:color="auto"/>
                      <w:right w:val="single" w:sz="4" w:space="0" w:color="auto"/>
                    </w:tcBorders>
                    <w:shd w:val="clear" w:color="auto" w:fill="auto"/>
                    <w:vAlign w:val="center"/>
                  </w:tcPr>
                  <w:p w14:paraId="6693F79F" w14:textId="77777777" w:rsidR="007E7472" w:rsidRDefault="00EC1269">
                    <w:pPr>
                      <w:rPr>
                        <w:rFonts w:cs="Cambria"/>
                      </w:rPr>
                    </w:pPr>
                    <w:r>
                      <w:rPr>
                        <w:rFonts w:cs="Cambria" w:hint="eastAsia"/>
                      </w:rPr>
                      <w:t>内蒙古荣信化工</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558F8406" w14:textId="77777777" w:rsidR="007E7472" w:rsidRDefault="00EC1269">
                    <w:pPr>
                      <w:jc w:val="right"/>
                      <w:rPr>
                        <w:rFonts w:cs="Cambria"/>
                      </w:rPr>
                    </w:pPr>
                    <w:r>
                      <w:rPr>
                        <w:rFonts w:cs="Cambria"/>
                      </w:rPr>
                      <w:t>99,990万人民币</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7DC8BE48" w14:textId="77777777" w:rsidR="007E7472" w:rsidRDefault="00EC1269">
                    <w:pPr>
                      <w:jc w:val="center"/>
                      <w:rPr>
                        <w:rFonts w:cs="Cambria"/>
                      </w:rPr>
                    </w:pPr>
                    <w:r>
                      <w:rPr>
                        <w:rFonts w:cs="Cambria"/>
                      </w:rPr>
                      <w:t>2021-2-7</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14:paraId="1938C3C6" w14:textId="77777777" w:rsidR="007E7472" w:rsidRDefault="00EC1269">
                    <w:pPr>
                      <w:jc w:val="center"/>
                      <w:rPr>
                        <w:rFonts w:cs="Cambria"/>
                      </w:rPr>
                    </w:pPr>
                    <w:r>
                      <w:rPr>
                        <w:rFonts w:cs="Cambria"/>
                      </w:rPr>
                      <w:t>2025-1-20</w:t>
                    </w:r>
                  </w:p>
                </w:tc>
                <w:sdt>
                  <w:sdtPr>
                    <w:rPr>
                      <w:rFonts w:cs="Cambria"/>
                    </w:rPr>
                    <w:alias w:val="本公司作为担保方的关联担保情况明细-担保是否已经履行完毕"/>
                    <w:tag w:val="_GBC_4d8807e0244c4281aa68d5aba3d78918"/>
                    <w:id w:val="-404919058"/>
                    <w:lock w:val="sdtLocked"/>
                    <w:comboBox>
                      <w:listItem w:displayText="是" w:value="true"/>
                      <w:listItem w:displayText="否" w:value="false"/>
                    </w:comboBox>
                  </w:sdtPr>
                  <w:sdtEndPr/>
                  <w:sdtContent>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31BB40E6" w14:textId="293F8232" w:rsidR="007E7472" w:rsidRDefault="006F3F93">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148026651"/>
              <w:lock w:val="sdtLocked"/>
            </w:sdtPr>
            <w:sdtEndPr/>
            <w:sdtContent>
              <w:tr w:rsidR="007E7472" w14:paraId="36521453" w14:textId="77777777" w:rsidTr="007E7472">
                <w:sdt>
                  <w:sdtPr>
                    <w:rPr>
                      <w:rFonts w:asciiTheme="minorHAnsi" w:eastAsiaTheme="minorEastAsia" w:hAnsiTheme="minorHAnsi" w:cs="Cambria"/>
                      <w:kern w:val="2"/>
                      <w:szCs w:val="22"/>
                    </w:rPr>
                    <w:alias w:val="担保方"/>
                    <w:tag w:val="_GBC_43454b4869784e4b83765317d4a2e0e9"/>
                    <w:id w:val="-1291283139"/>
                    <w:lock w:val="sdtLocked"/>
                  </w:sdtPr>
                  <w:sdtEndPr>
                    <w:rPr>
                      <w:rFonts w:ascii="宋体" w:eastAsia="宋体" w:hAnsi="宋体"/>
                      <w:kern w:val="0"/>
                      <w:szCs w:val="21"/>
                    </w:rPr>
                  </w:sdtEndPr>
                  <w:sdtContent>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0716F53A" w14:textId="77777777" w:rsidR="007E7472" w:rsidRDefault="00EC1269">
                        <w:pPr>
                          <w:jc w:val="center"/>
                          <w:rPr>
                            <w:rFonts w:cs="Cambria"/>
                          </w:rPr>
                        </w:pPr>
                        <w:r>
                          <w:rPr>
                            <w:rFonts w:cs="Cambria" w:hint="eastAsia"/>
                          </w:rPr>
                          <w:t>本公司</w:t>
                        </w:r>
                      </w:p>
                    </w:tc>
                  </w:sdtContent>
                </w:sdt>
                <w:tc>
                  <w:tcPr>
                    <w:tcW w:w="1091" w:type="pct"/>
                    <w:tcBorders>
                      <w:top w:val="single" w:sz="4" w:space="0" w:color="auto"/>
                      <w:left w:val="single" w:sz="4" w:space="0" w:color="auto"/>
                      <w:bottom w:val="single" w:sz="4" w:space="0" w:color="auto"/>
                      <w:right w:val="single" w:sz="4" w:space="0" w:color="auto"/>
                    </w:tcBorders>
                    <w:shd w:val="clear" w:color="auto" w:fill="auto"/>
                    <w:vAlign w:val="center"/>
                  </w:tcPr>
                  <w:p w14:paraId="16CA6819" w14:textId="77777777" w:rsidR="007E7472" w:rsidRDefault="00EC1269">
                    <w:pPr>
                      <w:rPr>
                        <w:rFonts w:cs="Cambria"/>
                      </w:rPr>
                    </w:pPr>
                    <w:r>
                      <w:rPr>
                        <w:rFonts w:cs="Cambria" w:hint="eastAsia"/>
                      </w:rPr>
                      <w:t>兖煤榆林能化</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6E083922" w14:textId="77777777" w:rsidR="007E7472" w:rsidRDefault="00EC1269">
                    <w:pPr>
                      <w:jc w:val="right"/>
                      <w:rPr>
                        <w:rFonts w:cs="Cambria"/>
                      </w:rPr>
                    </w:pPr>
                    <w:r>
                      <w:rPr>
                        <w:rFonts w:cs="Cambria"/>
                      </w:rPr>
                      <w:t>94,150万人民币</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4C84B414" w14:textId="77777777" w:rsidR="007E7472" w:rsidRDefault="00EC1269">
                    <w:pPr>
                      <w:jc w:val="center"/>
                      <w:rPr>
                        <w:rFonts w:cs="Cambria"/>
                      </w:rPr>
                    </w:pPr>
                    <w:r>
                      <w:rPr>
                        <w:rFonts w:cs="Cambria"/>
                      </w:rPr>
                      <w:t>2021-2-7</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14:paraId="19FD3E4E" w14:textId="77777777" w:rsidR="007E7472" w:rsidRDefault="00EC1269">
                    <w:pPr>
                      <w:jc w:val="center"/>
                      <w:rPr>
                        <w:rFonts w:cs="Cambria"/>
                      </w:rPr>
                    </w:pPr>
                    <w:r>
                      <w:rPr>
                        <w:rFonts w:cs="Cambria"/>
                      </w:rPr>
                      <w:t>2025-1-20</w:t>
                    </w:r>
                  </w:p>
                </w:tc>
                <w:sdt>
                  <w:sdtPr>
                    <w:rPr>
                      <w:rFonts w:cs="Cambria"/>
                    </w:rPr>
                    <w:alias w:val="本公司作为担保方的关联担保情况明细-担保是否已经履行完毕"/>
                    <w:tag w:val="_GBC_4d8807e0244c4281aa68d5aba3d78918"/>
                    <w:id w:val="-1219280793"/>
                    <w:lock w:val="sdtLocked"/>
                    <w:comboBox>
                      <w:listItem w:displayText="是" w:value="true"/>
                      <w:listItem w:displayText="否" w:value="false"/>
                    </w:comboBox>
                  </w:sdtPr>
                  <w:sdtEndPr/>
                  <w:sdtContent>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234C046A" w14:textId="6D6E3079" w:rsidR="007E7472" w:rsidRDefault="006F3F93">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1339349217"/>
              <w:lock w:val="sdtLocked"/>
            </w:sdtPr>
            <w:sdtEndPr/>
            <w:sdtContent>
              <w:tr w:rsidR="007E7472" w14:paraId="7032FA77" w14:textId="77777777" w:rsidTr="007E7472">
                <w:sdt>
                  <w:sdtPr>
                    <w:rPr>
                      <w:rFonts w:asciiTheme="minorHAnsi" w:eastAsiaTheme="minorEastAsia" w:hAnsiTheme="minorHAnsi" w:cs="Cambria"/>
                      <w:kern w:val="2"/>
                      <w:szCs w:val="22"/>
                    </w:rPr>
                    <w:alias w:val="担保方"/>
                    <w:tag w:val="_GBC_43454b4869784e4b83765317d4a2e0e9"/>
                    <w:id w:val="1029684223"/>
                    <w:lock w:val="sdtLocked"/>
                  </w:sdtPr>
                  <w:sdtEndPr>
                    <w:rPr>
                      <w:rFonts w:ascii="宋体" w:eastAsia="宋体" w:hAnsi="宋体"/>
                      <w:kern w:val="0"/>
                      <w:szCs w:val="21"/>
                    </w:rPr>
                  </w:sdtEndPr>
                  <w:sdtContent>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05E28860" w14:textId="77777777" w:rsidR="007E7472" w:rsidRDefault="00EC1269">
                        <w:pPr>
                          <w:jc w:val="center"/>
                          <w:rPr>
                            <w:rFonts w:cs="Cambria"/>
                          </w:rPr>
                        </w:pPr>
                        <w:r>
                          <w:rPr>
                            <w:rFonts w:cs="Cambria" w:hint="eastAsia"/>
                          </w:rPr>
                          <w:t>本公司</w:t>
                        </w:r>
                      </w:p>
                    </w:tc>
                  </w:sdtContent>
                </w:sdt>
                <w:tc>
                  <w:tcPr>
                    <w:tcW w:w="1091" w:type="pct"/>
                    <w:tcBorders>
                      <w:top w:val="single" w:sz="4" w:space="0" w:color="auto"/>
                      <w:left w:val="single" w:sz="4" w:space="0" w:color="auto"/>
                      <w:bottom w:val="single" w:sz="4" w:space="0" w:color="auto"/>
                      <w:right w:val="single" w:sz="4" w:space="0" w:color="auto"/>
                    </w:tcBorders>
                    <w:shd w:val="clear" w:color="auto" w:fill="auto"/>
                    <w:vAlign w:val="center"/>
                  </w:tcPr>
                  <w:p w14:paraId="5E9684A5" w14:textId="77777777" w:rsidR="007E7472" w:rsidRDefault="00EC1269">
                    <w:pPr>
                      <w:rPr>
                        <w:rFonts w:cs="Cambria"/>
                      </w:rPr>
                    </w:pPr>
                    <w:r>
                      <w:rPr>
                        <w:rFonts w:cs="Cambria" w:hint="eastAsia"/>
                      </w:rPr>
                      <w:t>鲁南化工</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4F6B8981" w14:textId="77777777" w:rsidR="007E7472" w:rsidRDefault="00EC1269">
                    <w:pPr>
                      <w:jc w:val="right"/>
                      <w:rPr>
                        <w:rFonts w:cs="Cambria"/>
                      </w:rPr>
                    </w:pPr>
                    <w:r>
                      <w:rPr>
                        <w:rFonts w:cs="Cambria"/>
                      </w:rPr>
                      <w:t>97,000万人民币</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6B86F25A" w14:textId="77777777" w:rsidR="007E7472" w:rsidRDefault="00EC1269">
                    <w:pPr>
                      <w:jc w:val="center"/>
                      <w:rPr>
                        <w:rFonts w:cs="Cambria"/>
                      </w:rPr>
                    </w:pPr>
                    <w:r>
                      <w:rPr>
                        <w:rFonts w:cs="Cambria"/>
                      </w:rPr>
                      <w:t>2021-3-17</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14:paraId="330C5464" w14:textId="77777777" w:rsidR="007E7472" w:rsidRDefault="00EC1269">
                    <w:pPr>
                      <w:jc w:val="center"/>
                      <w:rPr>
                        <w:rFonts w:cs="Cambria"/>
                      </w:rPr>
                    </w:pPr>
                    <w:r>
                      <w:rPr>
                        <w:rFonts w:cs="Cambria"/>
                      </w:rPr>
                      <w:t>2029-3-12</w:t>
                    </w:r>
                  </w:p>
                </w:tc>
                <w:sdt>
                  <w:sdtPr>
                    <w:rPr>
                      <w:rFonts w:cs="Cambria"/>
                    </w:rPr>
                    <w:alias w:val="本公司作为担保方的关联担保情况明细-担保是否已经履行完毕"/>
                    <w:tag w:val="_GBC_4d8807e0244c4281aa68d5aba3d78918"/>
                    <w:id w:val="-1775855218"/>
                    <w:lock w:val="sdtLocked"/>
                    <w:comboBox>
                      <w:listItem w:displayText="是" w:value="true"/>
                      <w:listItem w:displayText="否" w:value="false"/>
                    </w:comboBox>
                  </w:sdtPr>
                  <w:sdtEndPr/>
                  <w:sdtContent>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7B0E572B" w14:textId="3DB050D6" w:rsidR="007E7472" w:rsidRDefault="006F3F93">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227193368"/>
              <w:lock w:val="sdtLocked"/>
            </w:sdtPr>
            <w:sdtEndPr/>
            <w:sdtContent>
              <w:tr w:rsidR="007E7472" w14:paraId="72C57423" w14:textId="77777777" w:rsidTr="007E7472">
                <w:sdt>
                  <w:sdtPr>
                    <w:rPr>
                      <w:rFonts w:asciiTheme="minorHAnsi" w:eastAsiaTheme="minorEastAsia" w:hAnsiTheme="minorHAnsi" w:cs="Cambria"/>
                      <w:kern w:val="2"/>
                      <w:szCs w:val="22"/>
                    </w:rPr>
                    <w:alias w:val="担保方"/>
                    <w:tag w:val="_GBC_43454b4869784e4b83765317d4a2e0e9"/>
                    <w:id w:val="-1927953339"/>
                    <w:lock w:val="sdtLocked"/>
                  </w:sdtPr>
                  <w:sdtEndPr>
                    <w:rPr>
                      <w:rFonts w:ascii="宋体" w:eastAsia="宋体" w:hAnsi="宋体"/>
                      <w:kern w:val="0"/>
                      <w:szCs w:val="21"/>
                    </w:rPr>
                  </w:sdtEndPr>
                  <w:sdtContent>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6EBF8C28" w14:textId="77777777" w:rsidR="007E7472" w:rsidRDefault="00EC1269">
                        <w:pPr>
                          <w:jc w:val="center"/>
                          <w:rPr>
                            <w:rFonts w:cs="Cambria"/>
                          </w:rPr>
                        </w:pPr>
                        <w:r>
                          <w:rPr>
                            <w:rFonts w:cs="Cambria" w:hint="eastAsia"/>
                          </w:rPr>
                          <w:t>本公司</w:t>
                        </w:r>
                      </w:p>
                    </w:tc>
                  </w:sdtContent>
                </w:sdt>
                <w:tc>
                  <w:tcPr>
                    <w:tcW w:w="1091" w:type="pct"/>
                    <w:tcBorders>
                      <w:top w:val="single" w:sz="4" w:space="0" w:color="auto"/>
                      <w:left w:val="single" w:sz="4" w:space="0" w:color="auto"/>
                      <w:bottom w:val="single" w:sz="4" w:space="0" w:color="auto"/>
                      <w:right w:val="single" w:sz="4" w:space="0" w:color="auto"/>
                    </w:tcBorders>
                    <w:shd w:val="clear" w:color="auto" w:fill="auto"/>
                    <w:vAlign w:val="center"/>
                  </w:tcPr>
                  <w:p w14:paraId="4570CE25" w14:textId="77777777" w:rsidR="007E7472" w:rsidRDefault="00EC1269">
                    <w:pPr>
                      <w:rPr>
                        <w:rFonts w:cs="Cambria"/>
                      </w:rPr>
                    </w:pPr>
                    <w:r>
                      <w:rPr>
                        <w:rFonts w:cs="Cambria"/>
                      </w:rPr>
                      <w:t>烟台金正环保科技有限公司</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13A145C6" w14:textId="77777777" w:rsidR="007E7472" w:rsidRDefault="00EC1269">
                    <w:pPr>
                      <w:jc w:val="right"/>
                      <w:rPr>
                        <w:rFonts w:cs="Cambria"/>
                      </w:rPr>
                    </w:pPr>
                    <w:r>
                      <w:rPr>
                        <w:rFonts w:cs="Cambria"/>
                      </w:rPr>
                      <w:t>137,00万人民币</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2CFE78B9" w14:textId="77777777" w:rsidR="007E7472" w:rsidRDefault="00EC1269">
                    <w:pPr>
                      <w:jc w:val="center"/>
                      <w:rPr>
                        <w:rFonts w:cs="Cambria"/>
                      </w:rPr>
                    </w:pPr>
                    <w:r>
                      <w:rPr>
                        <w:rFonts w:cs="Cambria"/>
                      </w:rPr>
                      <w:t>2023-3-10</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14:paraId="396A2919" w14:textId="77777777" w:rsidR="007E7472" w:rsidRDefault="00EC1269">
                    <w:pPr>
                      <w:jc w:val="center"/>
                      <w:rPr>
                        <w:rFonts w:cs="Cambria"/>
                      </w:rPr>
                    </w:pPr>
                    <w:r>
                      <w:rPr>
                        <w:rFonts w:cs="Cambria"/>
                      </w:rPr>
                      <w:t>2024-3-9</w:t>
                    </w:r>
                  </w:p>
                </w:tc>
                <w:sdt>
                  <w:sdtPr>
                    <w:rPr>
                      <w:rFonts w:cs="Cambria"/>
                    </w:rPr>
                    <w:alias w:val="本公司作为担保方的关联担保情况明细-担保是否已经履行完毕"/>
                    <w:tag w:val="_GBC_4d8807e0244c4281aa68d5aba3d78918"/>
                    <w:id w:val="-257139817"/>
                    <w:lock w:val="sdtLocked"/>
                    <w:comboBox>
                      <w:listItem w:displayText="是" w:value="true"/>
                      <w:listItem w:displayText="否" w:value="false"/>
                    </w:comboBox>
                  </w:sdtPr>
                  <w:sdtEndPr/>
                  <w:sdtContent>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38B78065" w14:textId="76034EA0" w:rsidR="007E7472" w:rsidRDefault="006F3F93">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1163047573"/>
              <w:lock w:val="sdtLocked"/>
            </w:sdtPr>
            <w:sdtEndPr/>
            <w:sdtContent>
              <w:tr w:rsidR="007E7472" w14:paraId="69C8A4E0" w14:textId="77777777" w:rsidTr="007E7472">
                <w:sdt>
                  <w:sdtPr>
                    <w:rPr>
                      <w:rFonts w:asciiTheme="minorHAnsi" w:eastAsiaTheme="minorEastAsia" w:hAnsiTheme="minorHAnsi" w:cs="Cambria"/>
                      <w:kern w:val="2"/>
                      <w:szCs w:val="22"/>
                    </w:rPr>
                    <w:alias w:val="担保方"/>
                    <w:tag w:val="_GBC_43454b4869784e4b83765317d4a2e0e9"/>
                    <w:id w:val="-1768142996"/>
                    <w:lock w:val="sdtLocked"/>
                  </w:sdtPr>
                  <w:sdtEndPr>
                    <w:rPr>
                      <w:rFonts w:ascii="宋体" w:eastAsia="宋体" w:hAnsi="宋体"/>
                      <w:kern w:val="0"/>
                      <w:szCs w:val="21"/>
                    </w:rPr>
                  </w:sdtEndPr>
                  <w:sdtContent>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1C054D91" w14:textId="77777777" w:rsidR="007E7472" w:rsidRDefault="00EC1269">
                        <w:pPr>
                          <w:jc w:val="center"/>
                          <w:rPr>
                            <w:rFonts w:cs="Cambria"/>
                          </w:rPr>
                        </w:pPr>
                        <w:r>
                          <w:rPr>
                            <w:rFonts w:cs="Cambria" w:hint="eastAsia"/>
                          </w:rPr>
                          <w:t>未来能源</w:t>
                        </w:r>
                      </w:p>
                    </w:tc>
                  </w:sdtContent>
                </w:sdt>
                <w:tc>
                  <w:tcPr>
                    <w:tcW w:w="1091" w:type="pct"/>
                    <w:tcBorders>
                      <w:top w:val="single" w:sz="4" w:space="0" w:color="auto"/>
                      <w:left w:val="single" w:sz="4" w:space="0" w:color="auto"/>
                      <w:bottom w:val="single" w:sz="4" w:space="0" w:color="auto"/>
                      <w:right w:val="single" w:sz="4" w:space="0" w:color="auto"/>
                    </w:tcBorders>
                    <w:shd w:val="clear" w:color="auto" w:fill="auto"/>
                    <w:vAlign w:val="center"/>
                  </w:tcPr>
                  <w:p w14:paraId="127D680E" w14:textId="77777777" w:rsidR="007E7472" w:rsidRDefault="00EC1269">
                    <w:pPr>
                      <w:rPr>
                        <w:rFonts w:cs="Cambria"/>
                      </w:rPr>
                    </w:pPr>
                    <w:r>
                      <w:rPr>
                        <w:rFonts w:cs="Cambria" w:hint="eastAsia"/>
                      </w:rPr>
                      <w:t>陕西未来清洁化学品有限公司</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700D9349" w14:textId="77777777" w:rsidR="007E7472" w:rsidRDefault="00EC1269">
                    <w:pPr>
                      <w:jc w:val="right"/>
                      <w:rPr>
                        <w:rFonts w:cs="Cambria"/>
                      </w:rPr>
                    </w:pPr>
                    <w:r>
                      <w:rPr>
                        <w:rFonts w:cs="Cambria"/>
                      </w:rPr>
                      <w:t>611.76万人民币</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53D84C2F" w14:textId="77777777" w:rsidR="007E7472" w:rsidRDefault="00EC1269">
                    <w:pPr>
                      <w:jc w:val="center"/>
                      <w:rPr>
                        <w:rFonts w:cs="Cambria"/>
                      </w:rPr>
                    </w:pPr>
                    <w:r>
                      <w:rPr>
                        <w:rFonts w:cs="Cambria"/>
                      </w:rPr>
                      <w:t>2020-9-10</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14:paraId="2BEF79DF" w14:textId="77777777" w:rsidR="007E7472" w:rsidRDefault="00EC1269">
                    <w:pPr>
                      <w:jc w:val="center"/>
                      <w:rPr>
                        <w:rFonts w:cs="Cambria"/>
                      </w:rPr>
                    </w:pPr>
                    <w:r>
                      <w:rPr>
                        <w:rFonts w:cs="Cambria"/>
                      </w:rPr>
                      <w:t>2023-8-18</w:t>
                    </w:r>
                  </w:p>
                </w:tc>
                <w:sdt>
                  <w:sdtPr>
                    <w:rPr>
                      <w:rFonts w:cs="Cambria"/>
                    </w:rPr>
                    <w:alias w:val="本公司作为担保方的关联担保情况明细-担保是否已经履行完毕"/>
                    <w:tag w:val="_GBC_4d8807e0244c4281aa68d5aba3d78918"/>
                    <w:id w:val="1458766872"/>
                    <w:lock w:val="sdtLocked"/>
                    <w:comboBox>
                      <w:listItem w:displayText="是" w:value="true"/>
                      <w:listItem w:displayText="否" w:value="false"/>
                    </w:comboBox>
                  </w:sdtPr>
                  <w:sdtEndPr/>
                  <w:sdtContent>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1D232ED7" w14:textId="2FB5290F" w:rsidR="007E7472" w:rsidRDefault="006F3F93">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1033341418"/>
              <w:lock w:val="sdtLocked"/>
            </w:sdtPr>
            <w:sdtEndPr/>
            <w:sdtContent>
              <w:tr w:rsidR="007E7472" w14:paraId="7F74223E" w14:textId="77777777" w:rsidTr="007E7472">
                <w:sdt>
                  <w:sdtPr>
                    <w:rPr>
                      <w:rFonts w:asciiTheme="minorHAnsi" w:eastAsiaTheme="minorEastAsia" w:hAnsiTheme="minorHAnsi" w:cs="Cambria"/>
                      <w:kern w:val="2"/>
                      <w:szCs w:val="22"/>
                    </w:rPr>
                    <w:alias w:val="担保方"/>
                    <w:tag w:val="_GBC_43454b4869784e4b83765317d4a2e0e9"/>
                    <w:id w:val="1888523896"/>
                    <w:lock w:val="sdtLocked"/>
                  </w:sdtPr>
                  <w:sdtEndPr>
                    <w:rPr>
                      <w:rFonts w:ascii="宋体" w:eastAsia="宋体" w:hAnsi="宋体"/>
                      <w:kern w:val="0"/>
                      <w:szCs w:val="21"/>
                    </w:rPr>
                  </w:sdtEndPr>
                  <w:sdtContent>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516A1D1C" w14:textId="77777777" w:rsidR="007E7472" w:rsidRDefault="00EC1269">
                        <w:pPr>
                          <w:jc w:val="center"/>
                          <w:rPr>
                            <w:rFonts w:cs="Cambria"/>
                          </w:rPr>
                        </w:pPr>
                        <w:r>
                          <w:rPr>
                            <w:rFonts w:cs="Cambria" w:hint="eastAsia"/>
                          </w:rPr>
                          <w:t>未来能源</w:t>
                        </w:r>
                      </w:p>
                    </w:tc>
                  </w:sdtContent>
                </w:sdt>
                <w:tc>
                  <w:tcPr>
                    <w:tcW w:w="1091" w:type="pct"/>
                    <w:tcBorders>
                      <w:top w:val="single" w:sz="4" w:space="0" w:color="auto"/>
                      <w:left w:val="single" w:sz="4" w:space="0" w:color="auto"/>
                      <w:bottom w:val="single" w:sz="4" w:space="0" w:color="auto"/>
                      <w:right w:val="single" w:sz="4" w:space="0" w:color="auto"/>
                    </w:tcBorders>
                    <w:shd w:val="clear" w:color="auto" w:fill="auto"/>
                    <w:vAlign w:val="center"/>
                  </w:tcPr>
                  <w:p w14:paraId="6EEB9F0C" w14:textId="77777777" w:rsidR="007E7472" w:rsidRDefault="00EC1269">
                    <w:pPr>
                      <w:rPr>
                        <w:rFonts w:cs="Cambria"/>
                      </w:rPr>
                    </w:pPr>
                    <w:r>
                      <w:rPr>
                        <w:rFonts w:cs="Cambria" w:hint="eastAsia"/>
                      </w:rPr>
                      <w:t>陕西靖神铁路有限责任公司</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6041946E" w14:textId="77777777" w:rsidR="007E7472" w:rsidRDefault="00EC1269">
                    <w:pPr>
                      <w:jc w:val="right"/>
                      <w:rPr>
                        <w:rFonts w:cs="Cambria"/>
                      </w:rPr>
                    </w:pPr>
                    <w:r>
                      <w:rPr>
                        <w:rFonts w:cs="Cambria"/>
                      </w:rPr>
                      <w:t>33,420万人民币</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4EE83094" w14:textId="77777777" w:rsidR="007E7472" w:rsidRDefault="00EC1269">
                    <w:pPr>
                      <w:jc w:val="center"/>
                      <w:rPr>
                        <w:rFonts w:cs="Cambria"/>
                      </w:rPr>
                    </w:pPr>
                    <w:r>
                      <w:rPr>
                        <w:rFonts w:cs="Cambria"/>
                      </w:rPr>
                      <w:t>2018-7-26</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14:paraId="3C9C77D4" w14:textId="77777777" w:rsidR="007E7472" w:rsidRDefault="00EC1269">
                    <w:pPr>
                      <w:jc w:val="center"/>
                      <w:rPr>
                        <w:rFonts w:cs="Cambria"/>
                      </w:rPr>
                    </w:pPr>
                    <w:r>
                      <w:rPr>
                        <w:rFonts w:cs="Cambria"/>
                      </w:rPr>
                      <w:t>2043-7-25</w:t>
                    </w:r>
                  </w:p>
                </w:tc>
                <w:sdt>
                  <w:sdtPr>
                    <w:rPr>
                      <w:rFonts w:cs="Cambria"/>
                    </w:rPr>
                    <w:alias w:val="本公司作为担保方的关联担保情况明细-担保是否已经履行完毕"/>
                    <w:tag w:val="_GBC_4d8807e0244c4281aa68d5aba3d78918"/>
                    <w:id w:val="-564875962"/>
                    <w:lock w:val="sdtLocked"/>
                    <w:comboBox>
                      <w:listItem w:displayText="是" w:value="true"/>
                      <w:listItem w:displayText="否" w:value="false"/>
                    </w:comboBox>
                  </w:sdtPr>
                  <w:sdtEndPr/>
                  <w:sdtContent>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59ADE697" w14:textId="14C0C244" w:rsidR="007E7472" w:rsidRDefault="006F3F93">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1462951771"/>
              <w:lock w:val="sdtLocked"/>
            </w:sdtPr>
            <w:sdtEndPr/>
            <w:sdtContent>
              <w:tr w:rsidR="007E7472" w14:paraId="43040C19" w14:textId="77777777" w:rsidTr="007E7472">
                <w:sdt>
                  <w:sdtPr>
                    <w:rPr>
                      <w:rFonts w:asciiTheme="minorHAnsi" w:eastAsiaTheme="minorEastAsia" w:hAnsiTheme="minorHAnsi" w:cs="Cambria"/>
                      <w:kern w:val="2"/>
                      <w:szCs w:val="22"/>
                    </w:rPr>
                    <w:alias w:val="担保方"/>
                    <w:tag w:val="_GBC_43454b4869784e4b83765317d4a2e0e9"/>
                    <w:id w:val="-1955856159"/>
                    <w:lock w:val="sdtLocked"/>
                  </w:sdtPr>
                  <w:sdtEndPr>
                    <w:rPr>
                      <w:rFonts w:ascii="宋体" w:eastAsia="宋体" w:hAnsi="宋体"/>
                      <w:kern w:val="0"/>
                      <w:szCs w:val="21"/>
                    </w:rPr>
                  </w:sdtEndPr>
                  <w:sdtContent>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25529A3D" w14:textId="77777777" w:rsidR="007E7472" w:rsidRDefault="00EC1269">
                        <w:pPr>
                          <w:jc w:val="center"/>
                          <w:rPr>
                            <w:rFonts w:cs="Cambria"/>
                          </w:rPr>
                        </w:pPr>
                        <w:r>
                          <w:rPr>
                            <w:rFonts w:cs="Cambria" w:hint="eastAsia"/>
                          </w:rPr>
                          <w:t>内蒙矿业</w:t>
                        </w:r>
                      </w:p>
                    </w:tc>
                  </w:sdtContent>
                </w:sdt>
                <w:tc>
                  <w:tcPr>
                    <w:tcW w:w="1091" w:type="pct"/>
                    <w:tcBorders>
                      <w:top w:val="single" w:sz="4" w:space="0" w:color="auto"/>
                      <w:left w:val="single" w:sz="4" w:space="0" w:color="auto"/>
                      <w:bottom w:val="single" w:sz="4" w:space="0" w:color="auto"/>
                      <w:right w:val="single" w:sz="4" w:space="0" w:color="auto"/>
                    </w:tcBorders>
                    <w:shd w:val="clear" w:color="auto" w:fill="auto"/>
                    <w:vAlign w:val="center"/>
                  </w:tcPr>
                  <w:p w14:paraId="6CF3D76C" w14:textId="77777777" w:rsidR="007E7472" w:rsidRDefault="00EC1269">
                    <w:pPr>
                      <w:rPr>
                        <w:rFonts w:cs="Cambria"/>
                      </w:rPr>
                    </w:pPr>
                    <w:r>
                      <w:rPr>
                        <w:rFonts w:cs="Cambria" w:hint="eastAsia"/>
                      </w:rPr>
                      <w:t>乌兰察布市宏大实业有限公司</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619C2C17" w14:textId="77777777" w:rsidR="007E7472" w:rsidRDefault="00EC1269">
                    <w:pPr>
                      <w:jc w:val="right"/>
                      <w:rPr>
                        <w:rFonts w:cs="Cambria"/>
                      </w:rPr>
                    </w:pPr>
                    <w:r>
                      <w:rPr>
                        <w:rFonts w:cs="Cambria"/>
                      </w:rPr>
                      <w:t>118,943.89</w:t>
                    </w:r>
                    <w:r>
                      <w:rPr>
                        <w:rFonts w:cs="Cambria" w:hint="eastAsia"/>
                      </w:rPr>
                      <w:t>万人民币</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3F5450E3" w14:textId="77777777" w:rsidR="007E7472" w:rsidRDefault="00EC1269">
                    <w:pPr>
                      <w:jc w:val="center"/>
                      <w:rPr>
                        <w:rFonts w:cs="Cambria"/>
                      </w:rPr>
                    </w:pPr>
                    <w:r>
                      <w:rPr>
                        <w:rFonts w:cs="Cambria"/>
                      </w:rPr>
                      <w:t>2021-8-20</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14:paraId="20AFE8D6" w14:textId="77777777" w:rsidR="007E7472" w:rsidRDefault="00EC1269">
                    <w:pPr>
                      <w:jc w:val="center"/>
                      <w:rPr>
                        <w:rFonts w:cs="Cambria"/>
                      </w:rPr>
                    </w:pPr>
                    <w:r>
                      <w:rPr>
                        <w:rFonts w:cs="Cambria"/>
                      </w:rPr>
                      <w:t>2026-9-3</w:t>
                    </w:r>
                  </w:p>
                </w:tc>
                <w:sdt>
                  <w:sdtPr>
                    <w:rPr>
                      <w:rFonts w:cs="Cambria"/>
                    </w:rPr>
                    <w:alias w:val="本公司作为担保方的关联担保情况明细-担保是否已经履行完毕"/>
                    <w:tag w:val="_GBC_4d8807e0244c4281aa68d5aba3d78918"/>
                    <w:id w:val="146792621"/>
                    <w:lock w:val="sdtLocked"/>
                    <w:comboBox>
                      <w:listItem w:displayText="是" w:value="true"/>
                      <w:listItem w:displayText="否" w:value="false"/>
                    </w:comboBox>
                  </w:sdtPr>
                  <w:sdtEndPr/>
                  <w:sdtContent>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17842174" w14:textId="4E14FF1E" w:rsidR="007E7472" w:rsidRDefault="006F3F93">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447828308"/>
              <w:lock w:val="sdtLocked"/>
            </w:sdtPr>
            <w:sdtEndPr/>
            <w:sdtContent>
              <w:tr w:rsidR="007E7472" w14:paraId="27436C27" w14:textId="77777777" w:rsidTr="007E7472">
                <w:sdt>
                  <w:sdtPr>
                    <w:rPr>
                      <w:rFonts w:asciiTheme="minorHAnsi" w:eastAsiaTheme="minorEastAsia" w:hAnsiTheme="minorHAnsi" w:cs="Cambria"/>
                      <w:kern w:val="2"/>
                      <w:szCs w:val="22"/>
                    </w:rPr>
                    <w:alias w:val="担保方"/>
                    <w:tag w:val="_GBC_43454b4869784e4b83765317d4a2e0e9"/>
                    <w:id w:val="-1746565907"/>
                    <w:lock w:val="sdtLocked"/>
                  </w:sdtPr>
                  <w:sdtEndPr>
                    <w:rPr>
                      <w:rFonts w:ascii="宋体" w:eastAsia="宋体" w:hAnsi="宋体"/>
                      <w:kern w:val="0"/>
                      <w:szCs w:val="21"/>
                    </w:rPr>
                  </w:sdtEndPr>
                  <w:sdtContent>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0D50F453" w14:textId="77777777" w:rsidR="007E7472" w:rsidRDefault="00EC1269">
                        <w:pPr>
                          <w:jc w:val="center"/>
                          <w:rPr>
                            <w:rFonts w:cs="Cambria"/>
                          </w:rPr>
                        </w:pPr>
                        <w:r>
                          <w:rPr>
                            <w:rFonts w:cs="Cambria" w:hint="eastAsia"/>
                          </w:rPr>
                          <w:t>内蒙矿业</w:t>
                        </w:r>
                      </w:p>
                    </w:tc>
                  </w:sdtContent>
                </w:sdt>
                <w:tc>
                  <w:tcPr>
                    <w:tcW w:w="1091" w:type="pct"/>
                    <w:tcBorders>
                      <w:top w:val="single" w:sz="4" w:space="0" w:color="auto"/>
                      <w:left w:val="single" w:sz="4" w:space="0" w:color="auto"/>
                      <w:bottom w:val="single" w:sz="4" w:space="0" w:color="auto"/>
                      <w:right w:val="single" w:sz="4" w:space="0" w:color="auto"/>
                    </w:tcBorders>
                    <w:shd w:val="clear" w:color="auto" w:fill="auto"/>
                    <w:vAlign w:val="center"/>
                  </w:tcPr>
                  <w:p w14:paraId="75B9D470" w14:textId="77777777" w:rsidR="007E7472" w:rsidRDefault="00EC1269">
                    <w:pPr>
                      <w:rPr>
                        <w:rFonts w:cs="Cambria"/>
                      </w:rPr>
                    </w:pPr>
                    <w:r>
                      <w:rPr>
                        <w:rFonts w:cs="Cambria" w:hint="eastAsia"/>
                      </w:rPr>
                      <w:t>鄂尔多斯市锋威光电有限公司</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7517C70B" w14:textId="77777777" w:rsidR="007E7472" w:rsidRDefault="00EC1269">
                    <w:pPr>
                      <w:jc w:val="right"/>
                      <w:rPr>
                        <w:rFonts w:cs="Cambria"/>
                      </w:rPr>
                    </w:pPr>
                    <w:r>
                      <w:rPr>
                        <w:rFonts w:cs="Cambria"/>
                      </w:rPr>
                      <w:t>54,833.36万</w:t>
                    </w:r>
                    <w:r>
                      <w:rPr>
                        <w:rFonts w:cs="Cambria" w:hint="eastAsia"/>
                      </w:rPr>
                      <w:t>人民币</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2C3BE2AA" w14:textId="77777777" w:rsidR="007E7472" w:rsidRDefault="00EC1269">
                    <w:pPr>
                      <w:jc w:val="center"/>
                      <w:rPr>
                        <w:rFonts w:cs="Cambria"/>
                      </w:rPr>
                    </w:pPr>
                    <w:r>
                      <w:rPr>
                        <w:rFonts w:cs="Cambria"/>
                      </w:rPr>
                      <w:t>2021-10-22</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14:paraId="10735C5E" w14:textId="77777777" w:rsidR="007E7472" w:rsidRDefault="00EC1269">
                    <w:pPr>
                      <w:jc w:val="center"/>
                      <w:rPr>
                        <w:rFonts w:cs="Cambria"/>
                      </w:rPr>
                    </w:pPr>
                    <w:r>
                      <w:rPr>
                        <w:rFonts w:cs="Cambria"/>
                      </w:rPr>
                      <w:t>2029-10-22</w:t>
                    </w:r>
                  </w:p>
                </w:tc>
                <w:sdt>
                  <w:sdtPr>
                    <w:rPr>
                      <w:rFonts w:cs="Cambria"/>
                    </w:rPr>
                    <w:alias w:val="本公司作为担保方的关联担保情况明细-担保是否已经履行完毕"/>
                    <w:tag w:val="_GBC_4d8807e0244c4281aa68d5aba3d78918"/>
                    <w:id w:val="-943154102"/>
                    <w:lock w:val="sdtLocked"/>
                    <w:comboBox>
                      <w:listItem w:displayText="是" w:value="true"/>
                      <w:listItem w:displayText="否" w:value="false"/>
                    </w:comboBox>
                  </w:sdtPr>
                  <w:sdtEndPr/>
                  <w:sdtContent>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34AB3600" w14:textId="32E7A3EF" w:rsidR="007E7472" w:rsidRDefault="006F3F93">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1535388510"/>
              <w:lock w:val="sdtLocked"/>
            </w:sdtPr>
            <w:sdtEndPr/>
            <w:sdtContent>
              <w:tr w:rsidR="007E7472" w14:paraId="0166FB0B" w14:textId="77777777" w:rsidTr="007E7472">
                <w:sdt>
                  <w:sdtPr>
                    <w:rPr>
                      <w:rFonts w:asciiTheme="minorHAnsi" w:eastAsiaTheme="minorEastAsia" w:hAnsiTheme="minorHAnsi" w:cs="Cambria"/>
                      <w:kern w:val="2"/>
                      <w:szCs w:val="22"/>
                    </w:rPr>
                    <w:alias w:val="担保方"/>
                    <w:tag w:val="_GBC_43454b4869784e4b83765317d4a2e0e9"/>
                    <w:id w:val="1797264752"/>
                    <w:lock w:val="sdtLocked"/>
                  </w:sdtPr>
                  <w:sdtEndPr>
                    <w:rPr>
                      <w:rFonts w:ascii="宋体" w:eastAsia="宋体" w:hAnsi="宋体"/>
                      <w:kern w:val="0"/>
                      <w:szCs w:val="21"/>
                    </w:rPr>
                  </w:sdtEndPr>
                  <w:sdtContent>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6098D8F3" w14:textId="77777777" w:rsidR="007E7472" w:rsidRDefault="00EC1269">
                        <w:pPr>
                          <w:jc w:val="center"/>
                          <w:rPr>
                            <w:rFonts w:cs="Cambria"/>
                          </w:rPr>
                        </w:pPr>
                        <w:r>
                          <w:rPr>
                            <w:rFonts w:cs="Cambria" w:hint="eastAsia"/>
                          </w:rPr>
                          <w:t>内蒙矿业</w:t>
                        </w:r>
                      </w:p>
                    </w:tc>
                  </w:sdtContent>
                </w:sdt>
                <w:tc>
                  <w:tcPr>
                    <w:tcW w:w="1091" w:type="pct"/>
                    <w:tcBorders>
                      <w:top w:val="single" w:sz="4" w:space="0" w:color="auto"/>
                      <w:left w:val="single" w:sz="4" w:space="0" w:color="auto"/>
                      <w:bottom w:val="single" w:sz="4" w:space="0" w:color="auto"/>
                      <w:right w:val="single" w:sz="4" w:space="0" w:color="auto"/>
                    </w:tcBorders>
                    <w:shd w:val="clear" w:color="auto" w:fill="auto"/>
                    <w:vAlign w:val="center"/>
                  </w:tcPr>
                  <w:p w14:paraId="62C7D8BD" w14:textId="77777777" w:rsidR="007E7472" w:rsidRDefault="00EC1269">
                    <w:pPr>
                      <w:rPr>
                        <w:rFonts w:cs="Cambria"/>
                      </w:rPr>
                    </w:pPr>
                    <w:r>
                      <w:rPr>
                        <w:rFonts w:cs="Cambria" w:hint="eastAsia"/>
                      </w:rPr>
                      <w:t>内蒙古锦联铝材有限责任公司</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27D2AB2B" w14:textId="77777777" w:rsidR="007E7472" w:rsidRDefault="00EC1269">
                    <w:pPr>
                      <w:jc w:val="right"/>
                      <w:rPr>
                        <w:rFonts w:cs="Cambria"/>
                      </w:rPr>
                    </w:pPr>
                    <w:r>
                      <w:rPr>
                        <w:rFonts w:cs="Cambria"/>
                      </w:rPr>
                      <w:t>11,250万人民币</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57FD68A9" w14:textId="77777777" w:rsidR="007E7472" w:rsidRDefault="00EC1269">
                    <w:pPr>
                      <w:jc w:val="center"/>
                      <w:rPr>
                        <w:rFonts w:cs="Cambria"/>
                      </w:rPr>
                    </w:pPr>
                    <w:r>
                      <w:rPr>
                        <w:rFonts w:cs="Cambria"/>
                      </w:rPr>
                      <w:t>2015-12-16</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14:paraId="2FA505A5" w14:textId="77777777" w:rsidR="007E7472" w:rsidRDefault="00EC1269">
                    <w:pPr>
                      <w:jc w:val="center"/>
                      <w:rPr>
                        <w:rFonts w:cs="Cambria"/>
                      </w:rPr>
                    </w:pPr>
                    <w:r>
                      <w:rPr>
                        <w:rFonts w:cs="Cambria"/>
                      </w:rPr>
                      <w:t>2025-12-16</w:t>
                    </w:r>
                  </w:p>
                </w:tc>
                <w:sdt>
                  <w:sdtPr>
                    <w:rPr>
                      <w:rFonts w:cs="Cambria"/>
                    </w:rPr>
                    <w:alias w:val="本公司作为担保方的关联担保情况明细-担保是否已经履行完毕"/>
                    <w:tag w:val="_GBC_4d8807e0244c4281aa68d5aba3d78918"/>
                    <w:id w:val="-1395653047"/>
                    <w:lock w:val="sdtLocked"/>
                    <w:comboBox>
                      <w:listItem w:displayText="是" w:value="true"/>
                      <w:listItem w:displayText="否" w:value="false"/>
                    </w:comboBox>
                  </w:sdtPr>
                  <w:sdtEndPr/>
                  <w:sdtContent>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68D65425" w14:textId="381429EF" w:rsidR="007E7472" w:rsidRDefault="006F3F93">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368571313"/>
              <w:lock w:val="sdtLocked"/>
            </w:sdtPr>
            <w:sdtEndPr/>
            <w:sdtContent>
              <w:tr w:rsidR="007E7472" w14:paraId="4DE160D8" w14:textId="77777777" w:rsidTr="007E7472">
                <w:sdt>
                  <w:sdtPr>
                    <w:rPr>
                      <w:rFonts w:asciiTheme="minorHAnsi" w:eastAsiaTheme="minorEastAsia" w:hAnsiTheme="minorHAnsi" w:cs="Cambria"/>
                      <w:kern w:val="2"/>
                      <w:szCs w:val="22"/>
                    </w:rPr>
                    <w:alias w:val="担保方"/>
                    <w:tag w:val="_GBC_43454b4869784e4b83765317d4a2e0e9"/>
                    <w:id w:val="-200013148"/>
                    <w:lock w:val="sdtLocked"/>
                  </w:sdtPr>
                  <w:sdtEndPr>
                    <w:rPr>
                      <w:rFonts w:ascii="宋体" w:eastAsia="宋体" w:hAnsi="宋体"/>
                      <w:kern w:val="0"/>
                      <w:szCs w:val="21"/>
                    </w:rPr>
                  </w:sdtEndPr>
                  <w:sdtContent>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66B9822D" w14:textId="77777777" w:rsidR="007E7472" w:rsidRDefault="00EC1269">
                        <w:pPr>
                          <w:jc w:val="center"/>
                          <w:rPr>
                            <w:rFonts w:cs="Cambria"/>
                          </w:rPr>
                        </w:pPr>
                        <w:r>
                          <w:rPr>
                            <w:rFonts w:cs="Cambria" w:hint="eastAsia"/>
                          </w:rPr>
                          <w:t>锋威光电</w:t>
                        </w:r>
                      </w:p>
                    </w:tc>
                  </w:sdtContent>
                </w:sdt>
                <w:tc>
                  <w:tcPr>
                    <w:tcW w:w="1091" w:type="pct"/>
                    <w:tcBorders>
                      <w:top w:val="single" w:sz="4" w:space="0" w:color="auto"/>
                      <w:left w:val="single" w:sz="4" w:space="0" w:color="auto"/>
                      <w:bottom w:val="single" w:sz="4" w:space="0" w:color="auto"/>
                      <w:right w:val="single" w:sz="4" w:space="0" w:color="auto"/>
                    </w:tcBorders>
                    <w:shd w:val="clear" w:color="auto" w:fill="auto"/>
                    <w:vAlign w:val="center"/>
                  </w:tcPr>
                  <w:p w14:paraId="75C3E67E" w14:textId="77777777" w:rsidR="007E7472" w:rsidRDefault="00EC1269">
                    <w:pPr>
                      <w:rPr>
                        <w:rFonts w:cs="Cambria"/>
                      </w:rPr>
                    </w:pPr>
                    <w:r>
                      <w:rPr>
                        <w:rFonts w:cs="Cambria" w:hint="eastAsia"/>
                      </w:rPr>
                      <w:t>内蒙矿业</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776E5586" w14:textId="77777777" w:rsidR="007E7472" w:rsidRDefault="00EC1269">
                    <w:pPr>
                      <w:jc w:val="right"/>
                      <w:rPr>
                        <w:rFonts w:cs="Cambria"/>
                      </w:rPr>
                    </w:pPr>
                    <w:r>
                      <w:rPr>
                        <w:rFonts w:cs="Cambria"/>
                      </w:rPr>
                      <w:t>48,295万人民币</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5ED3E94B" w14:textId="77777777" w:rsidR="007E7472" w:rsidRDefault="00EC1269">
                    <w:pPr>
                      <w:jc w:val="center"/>
                      <w:rPr>
                        <w:rFonts w:cs="Cambria"/>
                      </w:rPr>
                    </w:pPr>
                    <w:r>
                      <w:rPr>
                        <w:rFonts w:cs="Cambria"/>
                      </w:rPr>
                      <w:t>2022-6-29</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14:paraId="02A9C694" w14:textId="77777777" w:rsidR="007E7472" w:rsidRDefault="00EC1269">
                    <w:pPr>
                      <w:jc w:val="center"/>
                      <w:rPr>
                        <w:rFonts w:cs="Cambria"/>
                      </w:rPr>
                    </w:pPr>
                    <w:r>
                      <w:rPr>
                        <w:rFonts w:cs="Cambria"/>
                      </w:rPr>
                      <w:t>2024-6-29</w:t>
                    </w:r>
                  </w:p>
                </w:tc>
                <w:sdt>
                  <w:sdtPr>
                    <w:rPr>
                      <w:rFonts w:cs="Cambria"/>
                    </w:rPr>
                    <w:alias w:val="本公司作为担保方的关联担保情况明细-担保是否已经履行完毕"/>
                    <w:tag w:val="_GBC_4d8807e0244c4281aa68d5aba3d78918"/>
                    <w:id w:val="-1999648734"/>
                    <w:lock w:val="sdtLocked"/>
                    <w:comboBox>
                      <w:listItem w:displayText="是" w:value="true"/>
                      <w:listItem w:displayText="否" w:value="false"/>
                    </w:comboBox>
                  </w:sdtPr>
                  <w:sdtEndPr/>
                  <w:sdtContent>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4633D78F" w14:textId="54E176BD" w:rsidR="007E7472" w:rsidRDefault="006F3F93">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1814362248"/>
              <w:lock w:val="sdtLocked"/>
            </w:sdtPr>
            <w:sdtEndPr/>
            <w:sdtContent>
              <w:tr w:rsidR="007E7472" w14:paraId="04347D66" w14:textId="77777777" w:rsidTr="007E7472">
                <w:sdt>
                  <w:sdtPr>
                    <w:rPr>
                      <w:rFonts w:asciiTheme="minorHAnsi" w:eastAsiaTheme="minorEastAsia" w:hAnsiTheme="minorHAnsi" w:cs="Cambria"/>
                      <w:kern w:val="2"/>
                      <w:szCs w:val="22"/>
                    </w:rPr>
                    <w:alias w:val="担保方"/>
                    <w:tag w:val="_GBC_43454b4869784e4b83765317d4a2e0e9"/>
                    <w:id w:val="702599997"/>
                    <w:lock w:val="sdtLocked"/>
                  </w:sdtPr>
                  <w:sdtEndPr>
                    <w:rPr>
                      <w:rFonts w:ascii="宋体" w:eastAsia="宋体" w:hAnsi="宋体"/>
                      <w:kern w:val="0"/>
                      <w:szCs w:val="21"/>
                    </w:rPr>
                  </w:sdtEndPr>
                  <w:sdtContent>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5A4D0B6B" w14:textId="77777777" w:rsidR="007E7472" w:rsidRDefault="00EC1269">
                        <w:pPr>
                          <w:jc w:val="center"/>
                          <w:rPr>
                            <w:rFonts w:cs="Cambria"/>
                          </w:rPr>
                        </w:pPr>
                        <w:r>
                          <w:rPr>
                            <w:rFonts w:cs="Cambria" w:hint="eastAsia"/>
                          </w:rPr>
                          <w:t>澳洲公司</w:t>
                        </w:r>
                      </w:p>
                    </w:tc>
                  </w:sdtContent>
                </w:sdt>
                <w:tc>
                  <w:tcPr>
                    <w:tcW w:w="1091" w:type="pct"/>
                    <w:tcBorders>
                      <w:top w:val="single" w:sz="4" w:space="0" w:color="auto"/>
                      <w:left w:val="single" w:sz="4" w:space="0" w:color="auto"/>
                      <w:bottom w:val="single" w:sz="4" w:space="0" w:color="auto"/>
                      <w:right w:val="single" w:sz="4" w:space="0" w:color="auto"/>
                    </w:tcBorders>
                    <w:shd w:val="clear" w:color="auto" w:fill="auto"/>
                    <w:vAlign w:val="center"/>
                  </w:tcPr>
                  <w:p w14:paraId="58BBF69D" w14:textId="77777777" w:rsidR="007E7472" w:rsidRDefault="00EC1269">
                    <w:pPr>
                      <w:rPr>
                        <w:rFonts w:cs="Cambria"/>
                      </w:rPr>
                    </w:pPr>
                    <w:r>
                      <w:rPr>
                        <w:rFonts w:cs="Cambria"/>
                      </w:rPr>
                      <w:t>Syntech Resources Pty Ltd</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3DF0D0B5" w14:textId="77777777" w:rsidR="007E7472" w:rsidRDefault="00EC1269">
                    <w:pPr>
                      <w:jc w:val="right"/>
                      <w:rPr>
                        <w:rFonts w:cs="Cambria"/>
                      </w:rPr>
                    </w:pPr>
                    <w:r>
                      <w:rPr>
                        <w:rFonts w:cs="Cambria"/>
                      </w:rPr>
                      <w:t>1,400万澳元</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5A838A44" w14:textId="77777777" w:rsidR="007E7472" w:rsidRDefault="00EC1269">
                    <w:pPr>
                      <w:jc w:val="center"/>
                      <w:rPr>
                        <w:rFonts w:cs="Cambria"/>
                      </w:rPr>
                    </w:pPr>
                    <w:r>
                      <w:rPr>
                        <w:rFonts w:cs="Cambria"/>
                      </w:rPr>
                      <w:t>2017-9-1</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14:paraId="035C3CBB" w14:textId="77777777" w:rsidR="007E7472" w:rsidRDefault="00EC1269">
                    <w:pPr>
                      <w:jc w:val="center"/>
                      <w:rPr>
                        <w:rFonts w:cs="Cambria"/>
                      </w:rPr>
                    </w:pPr>
                    <w:r>
                      <w:rPr>
                        <w:rFonts w:cs="Cambria"/>
                      </w:rPr>
                      <w:t>2027-4-1</w:t>
                    </w:r>
                  </w:p>
                </w:tc>
                <w:sdt>
                  <w:sdtPr>
                    <w:rPr>
                      <w:rFonts w:cs="Cambria"/>
                    </w:rPr>
                    <w:alias w:val="本公司作为担保方的关联担保情况明细-担保是否已经履行完毕"/>
                    <w:tag w:val="_GBC_4d8807e0244c4281aa68d5aba3d78918"/>
                    <w:id w:val="764186862"/>
                    <w:lock w:val="sdtLocked"/>
                    <w:comboBox>
                      <w:listItem w:displayText="是" w:value="true"/>
                      <w:listItem w:displayText="否" w:value="false"/>
                    </w:comboBox>
                  </w:sdtPr>
                  <w:sdtEndPr/>
                  <w:sdtContent>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0492863D" w14:textId="74B236DE" w:rsidR="007E7472" w:rsidRDefault="006F3F93">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1843121654"/>
              <w:lock w:val="sdtLocked"/>
            </w:sdtPr>
            <w:sdtEndPr/>
            <w:sdtContent>
              <w:tr w:rsidR="007E7472" w14:paraId="1D2D4ACF" w14:textId="77777777" w:rsidTr="007E7472">
                <w:sdt>
                  <w:sdtPr>
                    <w:rPr>
                      <w:rFonts w:asciiTheme="minorHAnsi" w:eastAsiaTheme="minorEastAsia" w:hAnsiTheme="minorHAnsi" w:cs="Cambria"/>
                      <w:kern w:val="2"/>
                      <w:szCs w:val="22"/>
                    </w:rPr>
                    <w:alias w:val="担保方"/>
                    <w:tag w:val="_GBC_43454b4869784e4b83765317d4a2e0e9"/>
                    <w:id w:val="-324215783"/>
                    <w:lock w:val="sdtLocked"/>
                  </w:sdtPr>
                  <w:sdtEndPr>
                    <w:rPr>
                      <w:rFonts w:ascii="宋体" w:eastAsia="宋体" w:hAnsi="宋体"/>
                      <w:kern w:val="0"/>
                      <w:szCs w:val="21"/>
                    </w:rPr>
                  </w:sdtEndPr>
                  <w:sdtContent>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6CBB5E1C" w14:textId="77777777" w:rsidR="007E7472" w:rsidRDefault="00EC1269">
                        <w:pPr>
                          <w:jc w:val="center"/>
                          <w:rPr>
                            <w:rFonts w:cs="Cambria"/>
                          </w:rPr>
                        </w:pPr>
                        <w:r>
                          <w:rPr>
                            <w:rFonts w:cs="Cambria" w:hint="eastAsia"/>
                          </w:rPr>
                          <w:t>澳洲公司</w:t>
                        </w:r>
                      </w:p>
                    </w:tc>
                  </w:sdtContent>
                </w:sdt>
                <w:tc>
                  <w:tcPr>
                    <w:tcW w:w="1091" w:type="pct"/>
                    <w:tcBorders>
                      <w:top w:val="single" w:sz="4" w:space="0" w:color="auto"/>
                      <w:left w:val="single" w:sz="4" w:space="0" w:color="auto"/>
                      <w:bottom w:val="single" w:sz="4" w:space="0" w:color="auto"/>
                      <w:right w:val="single" w:sz="4" w:space="0" w:color="auto"/>
                    </w:tcBorders>
                    <w:shd w:val="clear" w:color="auto" w:fill="auto"/>
                  </w:tcPr>
                  <w:p w14:paraId="6B1650E1" w14:textId="77777777" w:rsidR="007E7472" w:rsidRDefault="00EC1269">
                    <w:pPr>
                      <w:rPr>
                        <w:rFonts w:cs="Cambria"/>
                      </w:rPr>
                    </w:pPr>
                    <w:r>
                      <w:rPr>
                        <w:rFonts w:cs="Cambria"/>
                      </w:rPr>
                      <w:t>Syntech Resources Pty Ltd</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5229B98E" w14:textId="77777777" w:rsidR="007E7472" w:rsidRDefault="00EC1269">
                    <w:pPr>
                      <w:jc w:val="right"/>
                      <w:rPr>
                        <w:rFonts w:cs="Cambria"/>
                      </w:rPr>
                    </w:pPr>
                    <w:r>
                      <w:rPr>
                        <w:rFonts w:cs="Cambria"/>
                      </w:rPr>
                      <w:t>3,466.9万澳元</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25C05321" w14:textId="77777777" w:rsidR="007E7472" w:rsidRDefault="00EC1269">
                    <w:pPr>
                      <w:jc w:val="center"/>
                      <w:rPr>
                        <w:rFonts w:cs="Cambria"/>
                      </w:rPr>
                    </w:pPr>
                    <w:r>
                      <w:rPr>
                        <w:rFonts w:cs="Cambria"/>
                      </w:rPr>
                      <w:t>2023-2-20</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14:paraId="5E41EAF5" w14:textId="77777777" w:rsidR="007E7472" w:rsidRDefault="00EC1269">
                    <w:pPr>
                      <w:jc w:val="center"/>
                      <w:rPr>
                        <w:rFonts w:cs="Cambria"/>
                      </w:rPr>
                    </w:pPr>
                    <w:r>
                      <w:rPr>
                        <w:rFonts w:cs="Cambria"/>
                      </w:rPr>
                      <w:t>2031-4-30</w:t>
                    </w:r>
                  </w:p>
                </w:tc>
                <w:sdt>
                  <w:sdtPr>
                    <w:rPr>
                      <w:rFonts w:cs="Cambria"/>
                    </w:rPr>
                    <w:alias w:val="本公司作为担保方的关联担保情况明细-担保是否已经履行完毕"/>
                    <w:tag w:val="_GBC_4d8807e0244c4281aa68d5aba3d78918"/>
                    <w:id w:val="283862515"/>
                    <w:lock w:val="sdtLocked"/>
                    <w:comboBox>
                      <w:listItem w:displayText="是" w:value="true"/>
                      <w:listItem w:displayText="否" w:value="false"/>
                    </w:comboBox>
                  </w:sdtPr>
                  <w:sdtEndPr/>
                  <w:sdtContent>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21DFAE45" w14:textId="490CA194" w:rsidR="007E7472" w:rsidRDefault="006F3F93">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499277883"/>
              <w:lock w:val="sdtLocked"/>
            </w:sdtPr>
            <w:sdtEndPr/>
            <w:sdtContent>
              <w:tr w:rsidR="007E7472" w14:paraId="76B69702" w14:textId="77777777" w:rsidTr="007E7472">
                <w:sdt>
                  <w:sdtPr>
                    <w:rPr>
                      <w:rFonts w:asciiTheme="minorHAnsi" w:eastAsiaTheme="minorEastAsia" w:hAnsiTheme="minorHAnsi" w:cs="Cambria"/>
                      <w:kern w:val="2"/>
                      <w:szCs w:val="22"/>
                    </w:rPr>
                    <w:alias w:val="担保方"/>
                    <w:tag w:val="_GBC_43454b4869784e4b83765317d4a2e0e9"/>
                    <w:id w:val="-1338690527"/>
                    <w:lock w:val="sdtLocked"/>
                  </w:sdtPr>
                  <w:sdtEndPr>
                    <w:rPr>
                      <w:rFonts w:ascii="宋体" w:eastAsia="宋体" w:hAnsi="宋体"/>
                      <w:kern w:val="0"/>
                      <w:szCs w:val="21"/>
                    </w:rPr>
                  </w:sdtEndPr>
                  <w:sdtContent>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6D9BB473" w14:textId="77777777" w:rsidR="007E7472" w:rsidRDefault="00EC1269">
                        <w:pPr>
                          <w:jc w:val="center"/>
                          <w:rPr>
                            <w:rFonts w:cs="Cambria"/>
                          </w:rPr>
                        </w:pPr>
                        <w:r>
                          <w:rPr>
                            <w:rFonts w:cs="Cambria" w:hint="eastAsia"/>
                          </w:rPr>
                          <w:t>澳洲公司</w:t>
                        </w:r>
                      </w:p>
                    </w:tc>
                  </w:sdtContent>
                </w:sdt>
                <w:tc>
                  <w:tcPr>
                    <w:tcW w:w="1091" w:type="pct"/>
                    <w:tcBorders>
                      <w:top w:val="single" w:sz="4" w:space="0" w:color="auto"/>
                      <w:left w:val="single" w:sz="4" w:space="0" w:color="auto"/>
                      <w:bottom w:val="single" w:sz="4" w:space="0" w:color="auto"/>
                      <w:right w:val="single" w:sz="4" w:space="0" w:color="auto"/>
                    </w:tcBorders>
                    <w:shd w:val="clear" w:color="auto" w:fill="auto"/>
                  </w:tcPr>
                  <w:p w14:paraId="09668409" w14:textId="77777777" w:rsidR="007E7472" w:rsidRDefault="00EC1269">
                    <w:pPr>
                      <w:rPr>
                        <w:rFonts w:cs="Cambria"/>
                      </w:rPr>
                    </w:pPr>
                    <w:r>
                      <w:rPr>
                        <w:rFonts w:cs="Cambria"/>
                      </w:rPr>
                      <w:t>Syntech Resources Pty Ltd</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3CE4023F" w14:textId="77777777" w:rsidR="007E7472" w:rsidRDefault="00EC1269">
                    <w:pPr>
                      <w:jc w:val="right"/>
                      <w:rPr>
                        <w:rFonts w:cs="Cambria"/>
                      </w:rPr>
                    </w:pPr>
                    <w:r>
                      <w:rPr>
                        <w:rFonts w:cs="Cambria"/>
                      </w:rPr>
                      <w:t>272.79万澳元</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1236EE7A" w14:textId="77777777" w:rsidR="007E7472" w:rsidRDefault="00EC1269">
                    <w:pPr>
                      <w:jc w:val="center"/>
                      <w:rPr>
                        <w:rFonts w:cs="Cambria"/>
                      </w:rPr>
                    </w:pPr>
                    <w:r>
                      <w:rPr>
                        <w:rFonts w:cs="Cambria"/>
                      </w:rPr>
                      <w:t>2023-2-21</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14:paraId="60676BA6" w14:textId="77777777" w:rsidR="007E7472" w:rsidRDefault="00EC1269">
                    <w:pPr>
                      <w:jc w:val="center"/>
                      <w:rPr>
                        <w:rFonts w:cs="Cambria"/>
                      </w:rPr>
                    </w:pPr>
                    <w:r>
                      <w:rPr>
                        <w:rFonts w:cs="Cambria"/>
                      </w:rPr>
                      <w:t>2031-4-30</w:t>
                    </w:r>
                  </w:p>
                </w:tc>
                <w:sdt>
                  <w:sdtPr>
                    <w:rPr>
                      <w:rFonts w:cs="Cambria"/>
                    </w:rPr>
                    <w:alias w:val="本公司作为担保方的关联担保情况明细-担保是否已经履行完毕"/>
                    <w:tag w:val="_GBC_4d8807e0244c4281aa68d5aba3d78918"/>
                    <w:id w:val="556825436"/>
                    <w:lock w:val="sdtLocked"/>
                    <w:comboBox>
                      <w:listItem w:displayText="是" w:value="true"/>
                      <w:listItem w:displayText="否" w:value="false"/>
                    </w:comboBox>
                  </w:sdtPr>
                  <w:sdtEndPr/>
                  <w:sdtContent>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7A99BB62" w14:textId="6F16A127" w:rsidR="007E7472" w:rsidRDefault="006F3F93">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678171409"/>
              <w:lock w:val="sdtLocked"/>
            </w:sdtPr>
            <w:sdtEndPr/>
            <w:sdtContent>
              <w:tr w:rsidR="007E7472" w14:paraId="0A4FF342" w14:textId="77777777" w:rsidTr="007E7472">
                <w:sdt>
                  <w:sdtPr>
                    <w:rPr>
                      <w:rFonts w:asciiTheme="minorHAnsi" w:eastAsiaTheme="minorEastAsia" w:hAnsiTheme="minorHAnsi" w:cs="Cambria"/>
                      <w:kern w:val="2"/>
                      <w:szCs w:val="22"/>
                    </w:rPr>
                    <w:alias w:val="担保方"/>
                    <w:tag w:val="_GBC_43454b4869784e4b83765317d4a2e0e9"/>
                    <w:id w:val="-1161922982"/>
                    <w:lock w:val="sdtLocked"/>
                  </w:sdtPr>
                  <w:sdtEndPr>
                    <w:rPr>
                      <w:rFonts w:ascii="宋体" w:eastAsia="宋体" w:hAnsi="宋体"/>
                      <w:kern w:val="0"/>
                      <w:szCs w:val="21"/>
                    </w:rPr>
                  </w:sdtEndPr>
                  <w:sdtContent>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55CC2408" w14:textId="77777777" w:rsidR="007E7472" w:rsidRDefault="00EC1269">
                        <w:pPr>
                          <w:jc w:val="center"/>
                          <w:rPr>
                            <w:rFonts w:cs="Cambria"/>
                          </w:rPr>
                        </w:pPr>
                        <w:r>
                          <w:rPr>
                            <w:rFonts w:cs="Cambria" w:hint="eastAsia"/>
                          </w:rPr>
                          <w:t>澳洲公司</w:t>
                        </w:r>
                      </w:p>
                    </w:tc>
                  </w:sdtContent>
                </w:sdt>
                <w:tc>
                  <w:tcPr>
                    <w:tcW w:w="1091" w:type="pct"/>
                    <w:tcBorders>
                      <w:top w:val="single" w:sz="4" w:space="0" w:color="auto"/>
                      <w:left w:val="single" w:sz="4" w:space="0" w:color="auto"/>
                      <w:bottom w:val="single" w:sz="4" w:space="0" w:color="auto"/>
                      <w:right w:val="single" w:sz="4" w:space="0" w:color="auto"/>
                    </w:tcBorders>
                    <w:shd w:val="clear" w:color="auto" w:fill="auto"/>
                  </w:tcPr>
                  <w:p w14:paraId="138F2DF0" w14:textId="77777777" w:rsidR="007E7472" w:rsidRDefault="00EC1269">
                    <w:pPr>
                      <w:rPr>
                        <w:rFonts w:cs="Cambria"/>
                      </w:rPr>
                    </w:pPr>
                    <w:r>
                      <w:rPr>
                        <w:rFonts w:cs="Cambria"/>
                      </w:rPr>
                      <w:t>Syntech Resources Pty Ltd</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76E1FA4B" w14:textId="77777777" w:rsidR="007E7472" w:rsidRDefault="00EC1269">
                    <w:pPr>
                      <w:jc w:val="right"/>
                      <w:rPr>
                        <w:rFonts w:cs="Cambria"/>
                      </w:rPr>
                    </w:pPr>
                    <w:r>
                      <w:rPr>
                        <w:rFonts w:cs="Cambria"/>
                      </w:rPr>
                      <w:t>52.53万澳元</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564C1298" w14:textId="77777777" w:rsidR="007E7472" w:rsidRDefault="00EC1269">
                    <w:pPr>
                      <w:jc w:val="center"/>
                      <w:rPr>
                        <w:rFonts w:cs="Cambria"/>
                      </w:rPr>
                    </w:pPr>
                    <w:r>
                      <w:rPr>
                        <w:rFonts w:cs="Cambria"/>
                      </w:rPr>
                      <w:t>2023-5-5</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14:paraId="3F723B18" w14:textId="77777777" w:rsidR="007E7472" w:rsidRDefault="00EC1269">
                    <w:pPr>
                      <w:jc w:val="center"/>
                      <w:rPr>
                        <w:rFonts w:cs="Cambria"/>
                      </w:rPr>
                    </w:pPr>
                    <w:r>
                      <w:rPr>
                        <w:rFonts w:cs="Cambria"/>
                      </w:rPr>
                      <w:t>2031-4-30</w:t>
                    </w:r>
                  </w:p>
                </w:tc>
                <w:sdt>
                  <w:sdtPr>
                    <w:rPr>
                      <w:rFonts w:cs="Cambria"/>
                    </w:rPr>
                    <w:alias w:val="本公司作为担保方的关联担保情况明细-担保是否已经履行完毕"/>
                    <w:tag w:val="_GBC_4d8807e0244c4281aa68d5aba3d78918"/>
                    <w:id w:val="-1383635017"/>
                    <w:lock w:val="sdtLocked"/>
                    <w:comboBox>
                      <w:listItem w:displayText="是" w:value="true"/>
                      <w:listItem w:displayText="否" w:value="false"/>
                    </w:comboBox>
                  </w:sdtPr>
                  <w:sdtEndPr/>
                  <w:sdtContent>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1C51D473" w14:textId="76BE6234" w:rsidR="007E7472" w:rsidRDefault="006F3F93">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1157490491"/>
              <w:lock w:val="sdtLocked"/>
            </w:sdtPr>
            <w:sdtEndPr/>
            <w:sdtContent>
              <w:tr w:rsidR="007E7472" w14:paraId="681030D0" w14:textId="77777777" w:rsidTr="007E7472">
                <w:sdt>
                  <w:sdtPr>
                    <w:rPr>
                      <w:rFonts w:asciiTheme="minorHAnsi" w:eastAsiaTheme="minorEastAsia" w:hAnsiTheme="minorHAnsi" w:cs="Cambria"/>
                      <w:kern w:val="2"/>
                      <w:szCs w:val="22"/>
                    </w:rPr>
                    <w:alias w:val="担保方"/>
                    <w:tag w:val="_GBC_43454b4869784e4b83765317d4a2e0e9"/>
                    <w:id w:val="-1316958950"/>
                    <w:lock w:val="sdtLocked"/>
                  </w:sdtPr>
                  <w:sdtEndPr>
                    <w:rPr>
                      <w:rFonts w:ascii="宋体" w:eastAsia="宋体" w:hAnsi="宋体"/>
                      <w:kern w:val="0"/>
                      <w:szCs w:val="21"/>
                    </w:rPr>
                  </w:sdtEndPr>
                  <w:sdtContent>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3833D649" w14:textId="77777777" w:rsidR="007E7472" w:rsidRDefault="00EC1269">
                        <w:pPr>
                          <w:jc w:val="center"/>
                          <w:rPr>
                            <w:rFonts w:cs="Cambria"/>
                          </w:rPr>
                        </w:pPr>
                        <w:r>
                          <w:rPr>
                            <w:rFonts w:cs="Cambria" w:hint="eastAsia"/>
                          </w:rPr>
                          <w:t>澳洲公司</w:t>
                        </w:r>
                      </w:p>
                    </w:tc>
                  </w:sdtContent>
                </w:sdt>
                <w:tc>
                  <w:tcPr>
                    <w:tcW w:w="1091" w:type="pct"/>
                    <w:tcBorders>
                      <w:top w:val="single" w:sz="4" w:space="0" w:color="auto"/>
                      <w:left w:val="single" w:sz="4" w:space="0" w:color="auto"/>
                      <w:bottom w:val="single" w:sz="4" w:space="0" w:color="auto"/>
                      <w:right w:val="single" w:sz="4" w:space="0" w:color="auto"/>
                    </w:tcBorders>
                    <w:shd w:val="clear" w:color="auto" w:fill="auto"/>
                  </w:tcPr>
                  <w:p w14:paraId="37B087E9" w14:textId="77777777" w:rsidR="007E7472" w:rsidRDefault="00EC1269">
                    <w:pPr>
                      <w:rPr>
                        <w:rFonts w:cs="Cambria"/>
                      </w:rPr>
                    </w:pPr>
                    <w:r>
                      <w:rPr>
                        <w:rFonts w:cs="Cambria"/>
                      </w:rPr>
                      <w:t>Syntech Resources Pty Ltd</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0A5AC3E0" w14:textId="77777777" w:rsidR="007E7472" w:rsidRDefault="00EC1269">
                    <w:pPr>
                      <w:jc w:val="right"/>
                      <w:rPr>
                        <w:rFonts w:cs="Cambria"/>
                      </w:rPr>
                    </w:pPr>
                    <w:r>
                      <w:rPr>
                        <w:rFonts w:cs="Cambria"/>
                      </w:rPr>
                      <w:t>30万澳元</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57190DC3" w14:textId="77777777" w:rsidR="007E7472" w:rsidRDefault="00EC1269">
                    <w:pPr>
                      <w:jc w:val="center"/>
                      <w:rPr>
                        <w:rFonts w:cs="Cambria"/>
                      </w:rPr>
                    </w:pPr>
                    <w:r>
                      <w:rPr>
                        <w:rFonts w:cs="Cambria"/>
                      </w:rPr>
                      <w:t>2016-9-30</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14:paraId="7731E42D" w14:textId="77777777" w:rsidR="007E7472" w:rsidRDefault="00EC1269">
                    <w:pPr>
                      <w:jc w:val="center"/>
                      <w:rPr>
                        <w:rFonts w:cs="Cambria"/>
                      </w:rPr>
                    </w:pPr>
                    <w:r>
                      <w:rPr>
                        <w:rFonts w:cs="Cambria"/>
                      </w:rPr>
                      <w:t>N/A</w:t>
                    </w:r>
                  </w:p>
                </w:tc>
                <w:sdt>
                  <w:sdtPr>
                    <w:rPr>
                      <w:rFonts w:cs="Cambria"/>
                    </w:rPr>
                    <w:alias w:val="本公司作为担保方的关联担保情况明细-担保是否已经履行完毕"/>
                    <w:tag w:val="_GBC_4d8807e0244c4281aa68d5aba3d78918"/>
                    <w:id w:val="-986553554"/>
                    <w:lock w:val="sdtLocked"/>
                    <w:comboBox>
                      <w:listItem w:displayText="是" w:value="true"/>
                      <w:listItem w:displayText="否" w:value="false"/>
                    </w:comboBox>
                  </w:sdtPr>
                  <w:sdtEndPr/>
                  <w:sdtContent>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500B9998" w14:textId="3F356C85" w:rsidR="007E7472" w:rsidRDefault="006F3F93">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150957483"/>
              <w:lock w:val="sdtLocked"/>
            </w:sdtPr>
            <w:sdtEndPr/>
            <w:sdtContent>
              <w:tr w:rsidR="007E7472" w14:paraId="52C8552A" w14:textId="77777777" w:rsidTr="007E7472">
                <w:sdt>
                  <w:sdtPr>
                    <w:rPr>
                      <w:rFonts w:asciiTheme="minorHAnsi" w:eastAsiaTheme="minorEastAsia" w:hAnsiTheme="minorHAnsi" w:cs="Cambria"/>
                      <w:kern w:val="2"/>
                      <w:szCs w:val="22"/>
                    </w:rPr>
                    <w:alias w:val="担保方"/>
                    <w:tag w:val="_GBC_43454b4869784e4b83765317d4a2e0e9"/>
                    <w:id w:val="902105366"/>
                    <w:lock w:val="sdtLocked"/>
                  </w:sdtPr>
                  <w:sdtEndPr>
                    <w:rPr>
                      <w:rFonts w:ascii="宋体" w:eastAsia="宋体" w:hAnsi="宋体"/>
                      <w:kern w:val="0"/>
                      <w:szCs w:val="21"/>
                    </w:rPr>
                  </w:sdtEndPr>
                  <w:sdtContent>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502D782C" w14:textId="77777777" w:rsidR="007E7472" w:rsidRDefault="00EC1269">
                        <w:pPr>
                          <w:jc w:val="center"/>
                          <w:rPr>
                            <w:rFonts w:cs="Cambria"/>
                          </w:rPr>
                        </w:pPr>
                        <w:r>
                          <w:rPr>
                            <w:rFonts w:cs="Cambria" w:hint="eastAsia"/>
                          </w:rPr>
                          <w:t>澳洲公司</w:t>
                        </w:r>
                      </w:p>
                    </w:tc>
                  </w:sdtContent>
                </w:sdt>
                <w:tc>
                  <w:tcPr>
                    <w:tcW w:w="1091" w:type="pct"/>
                    <w:tcBorders>
                      <w:top w:val="single" w:sz="4" w:space="0" w:color="auto"/>
                      <w:left w:val="single" w:sz="4" w:space="0" w:color="auto"/>
                      <w:bottom w:val="single" w:sz="4" w:space="0" w:color="auto"/>
                      <w:right w:val="single" w:sz="4" w:space="0" w:color="auto"/>
                    </w:tcBorders>
                    <w:shd w:val="clear" w:color="auto" w:fill="auto"/>
                  </w:tcPr>
                  <w:p w14:paraId="7B681D4D" w14:textId="77777777" w:rsidR="007E7472" w:rsidRDefault="00EC1269">
                    <w:pPr>
                      <w:rPr>
                        <w:rFonts w:cs="Cambria"/>
                      </w:rPr>
                    </w:pPr>
                    <w:r>
                      <w:rPr>
                        <w:rFonts w:cs="Cambria"/>
                      </w:rPr>
                      <w:t>Syntech Resources Pty Ltd</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643913B3" w14:textId="77777777" w:rsidR="007E7472" w:rsidRDefault="00EC1269">
                    <w:pPr>
                      <w:jc w:val="right"/>
                      <w:rPr>
                        <w:rFonts w:cs="Cambria"/>
                      </w:rPr>
                    </w:pPr>
                    <w:r>
                      <w:rPr>
                        <w:rFonts w:cs="Cambria"/>
                      </w:rPr>
                      <w:t>1.01万澳元</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7CB59643" w14:textId="77777777" w:rsidR="007E7472" w:rsidRDefault="00EC1269">
                    <w:pPr>
                      <w:jc w:val="center"/>
                      <w:rPr>
                        <w:rFonts w:cs="Cambria"/>
                      </w:rPr>
                    </w:pPr>
                    <w:r>
                      <w:rPr>
                        <w:rFonts w:cs="Cambria"/>
                      </w:rPr>
                      <w:t>2020-12-7</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14:paraId="5D52792E" w14:textId="77777777" w:rsidR="007E7472" w:rsidRDefault="00EC1269">
                    <w:pPr>
                      <w:jc w:val="center"/>
                      <w:rPr>
                        <w:rFonts w:cs="Cambria"/>
                      </w:rPr>
                    </w:pPr>
                    <w:r>
                      <w:rPr>
                        <w:rFonts w:cs="Cambria"/>
                      </w:rPr>
                      <w:t>N/A</w:t>
                    </w:r>
                  </w:p>
                </w:tc>
                <w:sdt>
                  <w:sdtPr>
                    <w:rPr>
                      <w:rFonts w:cs="Cambria"/>
                    </w:rPr>
                    <w:alias w:val="本公司作为担保方的关联担保情况明细-担保是否已经履行完毕"/>
                    <w:tag w:val="_GBC_4d8807e0244c4281aa68d5aba3d78918"/>
                    <w:id w:val="-333759462"/>
                    <w:lock w:val="sdtLocked"/>
                    <w:comboBox>
                      <w:listItem w:displayText="是" w:value="true"/>
                      <w:listItem w:displayText="否" w:value="false"/>
                    </w:comboBox>
                  </w:sdtPr>
                  <w:sdtEndPr/>
                  <w:sdtContent>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3FFFC8D4" w14:textId="40C6446D" w:rsidR="007E7472" w:rsidRDefault="006F3F93">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1822031608"/>
              <w:lock w:val="sdtLocked"/>
            </w:sdtPr>
            <w:sdtEndPr/>
            <w:sdtContent>
              <w:tr w:rsidR="007E7472" w14:paraId="736D96AE" w14:textId="77777777" w:rsidTr="007E7472">
                <w:sdt>
                  <w:sdtPr>
                    <w:rPr>
                      <w:rFonts w:asciiTheme="minorHAnsi" w:eastAsiaTheme="minorEastAsia" w:hAnsiTheme="minorHAnsi" w:cs="Cambria"/>
                      <w:kern w:val="2"/>
                      <w:szCs w:val="22"/>
                    </w:rPr>
                    <w:alias w:val="担保方"/>
                    <w:tag w:val="_GBC_43454b4869784e4b83765317d4a2e0e9"/>
                    <w:id w:val="-1845777702"/>
                    <w:lock w:val="sdtLocked"/>
                  </w:sdtPr>
                  <w:sdtEndPr>
                    <w:rPr>
                      <w:rFonts w:ascii="宋体" w:eastAsia="宋体" w:hAnsi="宋体"/>
                      <w:kern w:val="0"/>
                      <w:szCs w:val="21"/>
                    </w:rPr>
                  </w:sdtEndPr>
                  <w:sdtContent>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6A781887" w14:textId="77777777" w:rsidR="007E7472" w:rsidRDefault="00EC1269">
                        <w:pPr>
                          <w:jc w:val="center"/>
                          <w:rPr>
                            <w:rFonts w:cs="Cambria"/>
                          </w:rPr>
                        </w:pPr>
                        <w:r>
                          <w:rPr>
                            <w:rFonts w:cs="Cambria" w:hint="eastAsia"/>
                          </w:rPr>
                          <w:t>澳洲公司</w:t>
                        </w:r>
                      </w:p>
                    </w:tc>
                  </w:sdtContent>
                </w:sdt>
                <w:tc>
                  <w:tcPr>
                    <w:tcW w:w="1091" w:type="pct"/>
                    <w:tcBorders>
                      <w:top w:val="single" w:sz="4" w:space="0" w:color="auto"/>
                      <w:left w:val="single" w:sz="4" w:space="0" w:color="auto"/>
                      <w:bottom w:val="single" w:sz="4" w:space="0" w:color="auto"/>
                      <w:right w:val="single" w:sz="4" w:space="0" w:color="auto"/>
                    </w:tcBorders>
                    <w:shd w:val="clear" w:color="auto" w:fill="auto"/>
                  </w:tcPr>
                  <w:p w14:paraId="1C51DEF1" w14:textId="77777777" w:rsidR="007E7472" w:rsidRDefault="00EC1269">
                    <w:pPr>
                      <w:rPr>
                        <w:rFonts w:cs="Cambria"/>
                      </w:rPr>
                    </w:pPr>
                    <w:r>
                      <w:rPr>
                        <w:rFonts w:cs="Cambria"/>
                      </w:rPr>
                      <w:t>AMH(ChinchillaCoal)Pty Ltd</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0BE28C9C" w14:textId="77777777" w:rsidR="007E7472" w:rsidRDefault="00EC1269">
                    <w:pPr>
                      <w:jc w:val="right"/>
                      <w:rPr>
                        <w:rFonts w:cs="Cambria"/>
                      </w:rPr>
                    </w:pPr>
                    <w:r>
                      <w:rPr>
                        <w:rFonts w:cs="Cambria" w:hint="eastAsia"/>
                      </w:rPr>
                      <w:t>4</w:t>
                    </w:r>
                    <w:r>
                      <w:rPr>
                        <w:rFonts w:cs="Cambria"/>
                      </w:rPr>
                      <w:t>.9万澳元</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0D38F3F9" w14:textId="77777777" w:rsidR="007E7472" w:rsidRDefault="00EC1269">
                    <w:pPr>
                      <w:jc w:val="center"/>
                      <w:rPr>
                        <w:rFonts w:cs="Cambria"/>
                      </w:rPr>
                    </w:pPr>
                    <w:r>
                      <w:rPr>
                        <w:rFonts w:cs="Cambria"/>
                      </w:rPr>
                      <w:t>2020-12-7</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14:paraId="5CF44CE1" w14:textId="77777777" w:rsidR="007E7472" w:rsidRDefault="00EC1269">
                    <w:pPr>
                      <w:jc w:val="center"/>
                      <w:rPr>
                        <w:rFonts w:cs="Cambria"/>
                      </w:rPr>
                    </w:pPr>
                    <w:r>
                      <w:rPr>
                        <w:rFonts w:cs="Cambria"/>
                      </w:rPr>
                      <w:t>N/A</w:t>
                    </w:r>
                  </w:p>
                </w:tc>
                <w:sdt>
                  <w:sdtPr>
                    <w:rPr>
                      <w:rFonts w:cs="Cambria"/>
                    </w:rPr>
                    <w:alias w:val="本公司作为担保方的关联担保情况明细-担保是否已经履行完毕"/>
                    <w:tag w:val="_GBC_4d8807e0244c4281aa68d5aba3d78918"/>
                    <w:id w:val="-651603506"/>
                    <w:lock w:val="sdtLocked"/>
                    <w:comboBox>
                      <w:listItem w:displayText="是" w:value="true"/>
                      <w:listItem w:displayText="否" w:value="false"/>
                    </w:comboBox>
                  </w:sdtPr>
                  <w:sdtEndPr/>
                  <w:sdtContent>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23364123" w14:textId="6364593D" w:rsidR="007E7472" w:rsidRDefault="006F3F93">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1282532254"/>
              <w:lock w:val="sdtLocked"/>
            </w:sdtPr>
            <w:sdtEndPr/>
            <w:sdtContent>
              <w:tr w:rsidR="007E7472" w14:paraId="75891D8C" w14:textId="77777777" w:rsidTr="007E7472">
                <w:sdt>
                  <w:sdtPr>
                    <w:rPr>
                      <w:rFonts w:asciiTheme="minorHAnsi" w:eastAsiaTheme="minorEastAsia" w:hAnsiTheme="minorHAnsi" w:cs="Cambria"/>
                      <w:kern w:val="2"/>
                      <w:szCs w:val="22"/>
                    </w:rPr>
                    <w:alias w:val="担保方"/>
                    <w:tag w:val="_GBC_43454b4869784e4b83765317d4a2e0e9"/>
                    <w:id w:val="-446855789"/>
                    <w:lock w:val="sdtLocked"/>
                  </w:sdtPr>
                  <w:sdtEndPr>
                    <w:rPr>
                      <w:rFonts w:ascii="宋体" w:eastAsia="宋体" w:hAnsi="宋体"/>
                      <w:kern w:val="0"/>
                      <w:szCs w:val="21"/>
                    </w:rPr>
                  </w:sdtEndPr>
                  <w:sdtContent>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4E3A8F8A" w14:textId="77777777" w:rsidR="007E7472" w:rsidRDefault="00EC1269">
                        <w:pPr>
                          <w:jc w:val="center"/>
                          <w:rPr>
                            <w:rFonts w:cs="Cambria"/>
                          </w:rPr>
                        </w:pPr>
                        <w:r>
                          <w:rPr>
                            <w:rFonts w:cs="Cambria" w:hint="eastAsia"/>
                          </w:rPr>
                          <w:t>澳洲公司</w:t>
                        </w:r>
                      </w:p>
                    </w:tc>
                  </w:sdtContent>
                </w:sdt>
                <w:tc>
                  <w:tcPr>
                    <w:tcW w:w="1091" w:type="pct"/>
                    <w:tcBorders>
                      <w:top w:val="single" w:sz="4" w:space="0" w:color="auto"/>
                      <w:left w:val="single" w:sz="4" w:space="0" w:color="auto"/>
                      <w:bottom w:val="single" w:sz="4" w:space="0" w:color="auto"/>
                      <w:right w:val="single" w:sz="4" w:space="0" w:color="auto"/>
                    </w:tcBorders>
                    <w:shd w:val="clear" w:color="auto" w:fill="auto"/>
                  </w:tcPr>
                  <w:p w14:paraId="37A18490" w14:textId="77777777" w:rsidR="007E7472" w:rsidRDefault="00EC1269">
                    <w:pPr>
                      <w:rPr>
                        <w:rFonts w:cs="Cambria"/>
                      </w:rPr>
                    </w:pPr>
                    <w:r>
                      <w:rPr>
                        <w:rFonts w:cs="Cambria"/>
                      </w:rPr>
                      <w:t>Athena Coal Mines Pty Ltd</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4A676393" w14:textId="77777777" w:rsidR="007E7472" w:rsidRDefault="00EC1269">
                    <w:pPr>
                      <w:jc w:val="right"/>
                      <w:rPr>
                        <w:rFonts w:cs="Cambria"/>
                      </w:rPr>
                    </w:pPr>
                    <w:r>
                      <w:rPr>
                        <w:rFonts w:cs="Cambria"/>
                      </w:rPr>
                      <w:t>0.25万澳元</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7B63E161" w14:textId="77777777" w:rsidR="007E7472" w:rsidRDefault="00EC1269">
                    <w:pPr>
                      <w:jc w:val="center"/>
                      <w:rPr>
                        <w:rFonts w:cs="Cambria"/>
                      </w:rPr>
                    </w:pPr>
                    <w:r>
                      <w:rPr>
                        <w:rFonts w:cs="Cambria"/>
                      </w:rPr>
                      <w:t>2020-12-7</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14:paraId="41CA446B" w14:textId="77777777" w:rsidR="007E7472" w:rsidRDefault="00EC1269">
                    <w:pPr>
                      <w:jc w:val="center"/>
                      <w:rPr>
                        <w:rFonts w:cs="Cambria"/>
                      </w:rPr>
                    </w:pPr>
                    <w:r>
                      <w:rPr>
                        <w:rFonts w:cs="Cambria"/>
                      </w:rPr>
                      <w:t>N/A</w:t>
                    </w:r>
                  </w:p>
                </w:tc>
                <w:sdt>
                  <w:sdtPr>
                    <w:rPr>
                      <w:rFonts w:cs="Cambria"/>
                    </w:rPr>
                    <w:alias w:val="本公司作为担保方的关联担保情况明细-担保是否已经履行完毕"/>
                    <w:tag w:val="_GBC_4d8807e0244c4281aa68d5aba3d78918"/>
                    <w:id w:val="-1221512038"/>
                    <w:lock w:val="sdtLocked"/>
                    <w:comboBox>
                      <w:listItem w:displayText="是" w:value="true"/>
                      <w:listItem w:displayText="否" w:value="false"/>
                    </w:comboBox>
                  </w:sdtPr>
                  <w:sdtEndPr/>
                  <w:sdtContent>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07AF9238" w14:textId="47313923" w:rsidR="007E7472" w:rsidRDefault="006F3F93">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1856298842"/>
              <w:lock w:val="sdtLocked"/>
            </w:sdtPr>
            <w:sdtEndPr/>
            <w:sdtContent>
              <w:tr w:rsidR="007E7472" w14:paraId="6C8883EB" w14:textId="77777777" w:rsidTr="007E7472">
                <w:sdt>
                  <w:sdtPr>
                    <w:rPr>
                      <w:rFonts w:asciiTheme="minorHAnsi" w:eastAsiaTheme="minorEastAsia" w:hAnsiTheme="minorHAnsi" w:cs="Cambria"/>
                      <w:kern w:val="2"/>
                      <w:szCs w:val="22"/>
                    </w:rPr>
                    <w:alias w:val="担保方"/>
                    <w:tag w:val="_GBC_43454b4869784e4b83765317d4a2e0e9"/>
                    <w:id w:val="-1679039044"/>
                    <w:lock w:val="sdtLocked"/>
                  </w:sdtPr>
                  <w:sdtEndPr>
                    <w:rPr>
                      <w:rFonts w:ascii="宋体" w:eastAsia="宋体" w:hAnsi="宋体" w:cs="Times New Roman"/>
                      <w:kern w:val="0"/>
                      <w:szCs w:val="21"/>
                    </w:rPr>
                  </w:sdtEndPr>
                  <w:sdtContent>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283F6E56" w14:textId="77777777" w:rsidR="007E7472" w:rsidRDefault="00EC1269">
                        <w:pPr>
                          <w:jc w:val="center"/>
                          <w:rPr>
                            <w:rFonts w:cs="Cambria"/>
                          </w:rPr>
                        </w:pPr>
                        <w:r>
                          <w:rPr>
                            <w:rFonts w:cs="Cambria" w:hint="eastAsia"/>
                          </w:rPr>
                          <w:t>澳洲公司</w:t>
                        </w:r>
                      </w:p>
                    </w:tc>
                  </w:sdtContent>
                </w:sdt>
                <w:tc>
                  <w:tcPr>
                    <w:tcW w:w="1091" w:type="pct"/>
                    <w:tcBorders>
                      <w:top w:val="single" w:sz="4" w:space="0" w:color="auto"/>
                      <w:left w:val="single" w:sz="4" w:space="0" w:color="auto"/>
                      <w:bottom w:val="single" w:sz="4" w:space="0" w:color="auto"/>
                      <w:right w:val="single" w:sz="4" w:space="0" w:color="auto"/>
                    </w:tcBorders>
                    <w:shd w:val="clear" w:color="auto" w:fill="auto"/>
                  </w:tcPr>
                  <w:p w14:paraId="24789111" w14:textId="77777777" w:rsidR="007E7472" w:rsidRDefault="00EC1269">
                    <w:pPr>
                      <w:rPr>
                        <w:rFonts w:cs="Cambria"/>
                      </w:rPr>
                    </w:pPr>
                    <w:r>
                      <w:rPr>
                        <w:rFonts w:cs="Cambria"/>
                      </w:rPr>
                      <w:t>Premier Coal Limited</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4061F904" w14:textId="77777777" w:rsidR="007E7472" w:rsidRDefault="00EC1269">
                    <w:pPr>
                      <w:jc w:val="right"/>
                      <w:rPr>
                        <w:rFonts w:cs="Cambria"/>
                      </w:rPr>
                    </w:pPr>
                    <w:r>
                      <w:rPr>
                        <w:rFonts w:cs="Cambria"/>
                      </w:rPr>
                      <w:t>400万澳元</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099ADF01" w14:textId="77777777" w:rsidR="007E7472" w:rsidRDefault="00EC1269">
                    <w:pPr>
                      <w:jc w:val="center"/>
                      <w:rPr>
                        <w:rFonts w:cs="Cambria"/>
                      </w:rPr>
                    </w:pPr>
                    <w:r>
                      <w:rPr>
                        <w:rFonts w:cs="Cambria"/>
                      </w:rPr>
                      <w:t>2017-9-1</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14:paraId="1569E6F5" w14:textId="77777777" w:rsidR="007E7472" w:rsidRDefault="00EC1269">
                    <w:pPr>
                      <w:jc w:val="center"/>
                      <w:rPr>
                        <w:rFonts w:cs="Cambria"/>
                      </w:rPr>
                    </w:pPr>
                    <w:r>
                      <w:rPr>
                        <w:rFonts w:cs="Cambria"/>
                      </w:rPr>
                      <w:t>N/A</w:t>
                    </w:r>
                  </w:p>
                </w:tc>
                <w:sdt>
                  <w:sdtPr>
                    <w:rPr>
                      <w:rFonts w:cs="Cambria"/>
                    </w:rPr>
                    <w:alias w:val="本公司作为担保方的关联担保情况明细-担保是否已经履行完毕"/>
                    <w:tag w:val="_GBC_4d8807e0244c4281aa68d5aba3d78918"/>
                    <w:id w:val="-775478118"/>
                    <w:lock w:val="sdtLocked"/>
                    <w:comboBox>
                      <w:listItem w:displayText="是" w:value="true"/>
                      <w:listItem w:displayText="否" w:value="false"/>
                    </w:comboBox>
                  </w:sdtPr>
                  <w:sdtEndPr/>
                  <w:sdtContent>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1ACE0452" w14:textId="1E4C71DB" w:rsidR="007E7472" w:rsidRDefault="006F3F93">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2028927736"/>
              <w:lock w:val="sdtLocked"/>
            </w:sdtPr>
            <w:sdtEndPr>
              <w:rPr>
                <w:rFonts w:ascii="宋体" w:eastAsia="宋体" w:hAnsi="宋体"/>
                <w:kern w:val="0"/>
                <w:szCs w:val="21"/>
              </w:rPr>
            </w:sdtEndPr>
            <w:sdtContent>
              <w:tr w:rsidR="007E7472" w14:paraId="2CBAE8BF" w14:textId="77777777" w:rsidTr="007E7472">
                <w:sdt>
                  <w:sdtPr>
                    <w:rPr>
                      <w:rFonts w:asciiTheme="minorHAnsi" w:eastAsiaTheme="minorEastAsia" w:hAnsiTheme="minorHAnsi" w:cs="Cambria"/>
                      <w:kern w:val="2"/>
                      <w:szCs w:val="22"/>
                    </w:rPr>
                    <w:alias w:val="担保方"/>
                    <w:tag w:val="_GBC_43454b4869784e4b83765317d4a2e0e9"/>
                    <w:id w:val="-586843150"/>
                    <w:lock w:val="sdtLocked"/>
                  </w:sdtPr>
                  <w:sdtEndPr/>
                  <w:sdtContent>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4C39CF2C" w14:textId="77777777" w:rsidR="007E7472" w:rsidRDefault="00EC1269">
                        <w:pPr>
                          <w:jc w:val="center"/>
                          <w:rPr>
                            <w:rFonts w:asciiTheme="minorHAnsi" w:eastAsiaTheme="minorEastAsia" w:hAnsiTheme="minorHAnsi" w:cs="Cambria"/>
                            <w:kern w:val="2"/>
                            <w:szCs w:val="22"/>
                          </w:rPr>
                        </w:pPr>
                        <w:r>
                          <w:rPr>
                            <w:rFonts w:asciiTheme="minorHAnsi" w:eastAsiaTheme="minorEastAsia" w:hAnsiTheme="minorHAnsi" w:cs="Cambria" w:hint="eastAsia"/>
                            <w:kern w:val="2"/>
                            <w:szCs w:val="22"/>
                          </w:rPr>
                          <w:t>澳洲公司</w:t>
                        </w:r>
                      </w:p>
                    </w:tc>
                  </w:sdtContent>
                </w:sdt>
                <w:tc>
                  <w:tcPr>
                    <w:tcW w:w="1091" w:type="pct"/>
                    <w:tcBorders>
                      <w:top w:val="single" w:sz="4" w:space="0" w:color="auto"/>
                      <w:left w:val="single" w:sz="4" w:space="0" w:color="auto"/>
                      <w:bottom w:val="single" w:sz="4" w:space="0" w:color="auto"/>
                      <w:right w:val="single" w:sz="4" w:space="0" w:color="auto"/>
                    </w:tcBorders>
                    <w:shd w:val="clear" w:color="auto" w:fill="auto"/>
                  </w:tcPr>
                  <w:p w14:paraId="60CDAE1D" w14:textId="77777777" w:rsidR="007E7472" w:rsidRDefault="00EC1269">
                    <w:pPr>
                      <w:rPr>
                        <w:rFonts w:cs="Cambria"/>
                      </w:rPr>
                    </w:pPr>
                    <w:r>
                      <w:rPr>
                        <w:rFonts w:cs="Cambria"/>
                      </w:rPr>
                      <w:t>Premier Coal Limited</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4D9D744A" w14:textId="77777777" w:rsidR="007E7472" w:rsidRDefault="00EC1269">
                    <w:pPr>
                      <w:jc w:val="right"/>
                      <w:rPr>
                        <w:rFonts w:cs="Cambria"/>
                      </w:rPr>
                    </w:pPr>
                    <w:r>
                      <w:rPr>
                        <w:rFonts w:cs="Cambria"/>
                      </w:rPr>
                      <w:t>2,500万澳元</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2C8307FC" w14:textId="77777777" w:rsidR="007E7472" w:rsidRDefault="00EC1269">
                    <w:pPr>
                      <w:jc w:val="center"/>
                      <w:rPr>
                        <w:rFonts w:cs="Cambria"/>
                      </w:rPr>
                    </w:pPr>
                    <w:r>
                      <w:rPr>
                        <w:rFonts w:cs="Cambria"/>
                      </w:rPr>
                      <w:t>2023-2-21</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14:paraId="39D624DD" w14:textId="77777777" w:rsidR="007E7472" w:rsidRDefault="00EC1269">
                    <w:pPr>
                      <w:jc w:val="center"/>
                      <w:rPr>
                        <w:rFonts w:cs="Cambria"/>
                      </w:rPr>
                    </w:pPr>
                    <w:r>
                      <w:rPr>
                        <w:rFonts w:cs="Cambria"/>
                      </w:rPr>
                      <w:t>2023-12-31</w:t>
                    </w:r>
                  </w:p>
                </w:tc>
                <w:sdt>
                  <w:sdtPr>
                    <w:rPr>
                      <w:rFonts w:cs="Cambria"/>
                    </w:rPr>
                    <w:alias w:val="本公司作为担保方的关联担保情况明细-担保是否已经履行完毕"/>
                    <w:tag w:val="_GBC_4d8807e0244c4281aa68d5aba3d78918"/>
                    <w:id w:val="1017043569"/>
                    <w:lock w:val="sdtLocked"/>
                    <w:comboBox>
                      <w:listItem w:displayText="是" w:value="true"/>
                      <w:listItem w:displayText="否" w:value="false"/>
                    </w:comboBox>
                  </w:sdtPr>
                  <w:sdtEndPr/>
                  <w:sdtContent>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675115B7" w14:textId="7BDE361D" w:rsidR="007E7472" w:rsidRDefault="006F3F93">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1463412599"/>
              <w:lock w:val="sdtLocked"/>
            </w:sdtPr>
            <w:sdtEndPr>
              <w:rPr>
                <w:rFonts w:ascii="宋体" w:eastAsia="宋体" w:hAnsi="宋体"/>
                <w:kern w:val="0"/>
                <w:szCs w:val="21"/>
              </w:rPr>
            </w:sdtEndPr>
            <w:sdtContent>
              <w:tr w:rsidR="007E7472" w14:paraId="6C5E1E9A" w14:textId="77777777" w:rsidTr="007E7472">
                <w:sdt>
                  <w:sdtPr>
                    <w:rPr>
                      <w:rFonts w:asciiTheme="minorHAnsi" w:eastAsiaTheme="minorEastAsia" w:hAnsiTheme="minorHAnsi" w:cs="Cambria"/>
                      <w:kern w:val="2"/>
                      <w:szCs w:val="22"/>
                    </w:rPr>
                    <w:alias w:val="担保方"/>
                    <w:tag w:val="_GBC_43454b4869784e4b83765317d4a2e0e9"/>
                    <w:id w:val="1075783583"/>
                    <w:lock w:val="sdtLocked"/>
                  </w:sdtPr>
                  <w:sdtEndPr/>
                  <w:sdtContent>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197FA402" w14:textId="77777777" w:rsidR="007E7472" w:rsidRDefault="00EC1269">
                        <w:pPr>
                          <w:jc w:val="center"/>
                          <w:rPr>
                            <w:rFonts w:asciiTheme="minorHAnsi" w:eastAsiaTheme="minorEastAsia" w:hAnsiTheme="minorHAnsi" w:cs="Cambria"/>
                            <w:kern w:val="2"/>
                            <w:szCs w:val="22"/>
                          </w:rPr>
                        </w:pPr>
                        <w:r>
                          <w:rPr>
                            <w:rFonts w:asciiTheme="minorHAnsi" w:eastAsiaTheme="minorEastAsia" w:hAnsiTheme="minorHAnsi" w:cs="Cambria" w:hint="eastAsia"/>
                            <w:kern w:val="2"/>
                            <w:szCs w:val="22"/>
                          </w:rPr>
                          <w:t>澳洲公司</w:t>
                        </w:r>
                      </w:p>
                    </w:tc>
                  </w:sdtContent>
                </w:sdt>
                <w:tc>
                  <w:tcPr>
                    <w:tcW w:w="1091" w:type="pct"/>
                    <w:tcBorders>
                      <w:top w:val="single" w:sz="4" w:space="0" w:color="auto"/>
                      <w:left w:val="single" w:sz="4" w:space="0" w:color="auto"/>
                      <w:bottom w:val="single" w:sz="4" w:space="0" w:color="auto"/>
                      <w:right w:val="single" w:sz="4" w:space="0" w:color="auto"/>
                    </w:tcBorders>
                    <w:shd w:val="clear" w:color="auto" w:fill="auto"/>
                  </w:tcPr>
                  <w:p w14:paraId="50C3922E" w14:textId="77777777" w:rsidR="007E7472" w:rsidRDefault="00EC1269">
                    <w:pPr>
                      <w:rPr>
                        <w:rFonts w:cs="Cambria"/>
                      </w:rPr>
                    </w:pPr>
                    <w:r>
                      <w:rPr>
                        <w:rFonts w:cs="Cambria"/>
                      </w:rPr>
                      <w:t>Premier Coal Limited</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79CBC40D" w14:textId="77777777" w:rsidR="007E7472" w:rsidRDefault="00EC1269">
                    <w:pPr>
                      <w:jc w:val="right"/>
                      <w:rPr>
                        <w:rFonts w:cs="Cambria"/>
                      </w:rPr>
                    </w:pPr>
                    <w:r>
                      <w:rPr>
                        <w:rFonts w:cs="Cambria"/>
                      </w:rPr>
                      <w:t>6.25万澳元</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192D22A8" w14:textId="77777777" w:rsidR="007E7472" w:rsidRDefault="00EC1269">
                    <w:pPr>
                      <w:jc w:val="center"/>
                      <w:rPr>
                        <w:rFonts w:cs="Cambria"/>
                      </w:rPr>
                    </w:pPr>
                    <w:r>
                      <w:rPr>
                        <w:rFonts w:cs="Cambria"/>
                      </w:rPr>
                      <w:t>2020-12-4</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14:paraId="73974B4A" w14:textId="77777777" w:rsidR="007E7472" w:rsidRDefault="00EC1269">
                    <w:pPr>
                      <w:jc w:val="center"/>
                      <w:rPr>
                        <w:rFonts w:cs="Cambria"/>
                      </w:rPr>
                    </w:pPr>
                    <w:r>
                      <w:rPr>
                        <w:rFonts w:cs="Cambria"/>
                      </w:rPr>
                      <w:t>2026-6-29</w:t>
                    </w:r>
                  </w:p>
                </w:tc>
                <w:sdt>
                  <w:sdtPr>
                    <w:rPr>
                      <w:rFonts w:cs="Cambria"/>
                    </w:rPr>
                    <w:alias w:val="本公司作为担保方的关联担保情况明细-担保是否已经履行完毕"/>
                    <w:tag w:val="_GBC_4d8807e0244c4281aa68d5aba3d78918"/>
                    <w:id w:val="1042402652"/>
                    <w:lock w:val="sdtLocked"/>
                    <w:comboBox>
                      <w:listItem w:displayText="是" w:value="true"/>
                      <w:listItem w:displayText="否" w:value="false"/>
                    </w:comboBox>
                  </w:sdtPr>
                  <w:sdtEndPr/>
                  <w:sdtContent>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0E3041EF" w14:textId="7F62099D" w:rsidR="007E7472" w:rsidRDefault="006F3F93">
                        <w:pPr>
                          <w:jc w:val="center"/>
                          <w:rPr>
                            <w:rFonts w:cs="Cambria"/>
                          </w:rPr>
                        </w:pPr>
                        <w:r>
                          <w:rPr>
                            <w:rFonts w:cs="Cambria"/>
                          </w:rPr>
                          <w:t>否</w:t>
                        </w:r>
                      </w:p>
                    </w:tc>
                  </w:sdtContent>
                </w:sdt>
              </w:tr>
            </w:sdtContent>
          </w:sdt>
          <w:sdt>
            <w:sdtPr>
              <w:rPr>
                <w:rFonts w:asciiTheme="minorHAnsi" w:eastAsiaTheme="minorEastAsia" w:hAnsiTheme="minorHAnsi" w:cs="Cambria"/>
                <w:kern w:val="2"/>
                <w:szCs w:val="22"/>
              </w:rPr>
              <w:alias w:val="本公司作为担保方的关联担保情况明细"/>
              <w:tag w:val="_GBC_26ae64a16be64ca7926417c455e176fc"/>
              <w:id w:val="393166081"/>
              <w:lock w:val="sdtLocked"/>
            </w:sdtPr>
            <w:sdtEndPr>
              <w:rPr>
                <w:rFonts w:ascii="宋体" w:eastAsia="宋体" w:hAnsi="宋体"/>
                <w:kern w:val="0"/>
                <w:szCs w:val="21"/>
              </w:rPr>
            </w:sdtEndPr>
            <w:sdtContent>
              <w:tr w:rsidR="007E7472" w14:paraId="4EAB978B" w14:textId="77777777" w:rsidTr="007E7472">
                <w:sdt>
                  <w:sdtPr>
                    <w:rPr>
                      <w:rFonts w:asciiTheme="minorHAnsi" w:eastAsiaTheme="minorEastAsia" w:hAnsiTheme="minorHAnsi" w:cs="Cambria"/>
                      <w:kern w:val="2"/>
                      <w:szCs w:val="22"/>
                    </w:rPr>
                    <w:alias w:val="担保方"/>
                    <w:tag w:val="_GBC_43454b4869784e4b83765317d4a2e0e9"/>
                    <w:id w:val="-1905983984"/>
                    <w:lock w:val="sdtLocked"/>
                  </w:sdtPr>
                  <w:sdtEndPr/>
                  <w:sdtContent>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14:paraId="71C8DD4C" w14:textId="77777777" w:rsidR="007E7472" w:rsidRDefault="00EC1269">
                        <w:pPr>
                          <w:jc w:val="center"/>
                          <w:rPr>
                            <w:rFonts w:asciiTheme="minorHAnsi" w:eastAsiaTheme="minorEastAsia" w:hAnsiTheme="minorHAnsi" w:cs="Cambria"/>
                            <w:kern w:val="2"/>
                            <w:szCs w:val="22"/>
                          </w:rPr>
                        </w:pPr>
                        <w:r>
                          <w:rPr>
                            <w:rFonts w:asciiTheme="minorHAnsi" w:eastAsiaTheme="minorEastAsia" w:hAnsiTheme="minorHAnsi" w:cs="Cambria" w:hint="eastAsia"/>
                            <w:kern w:val="2"/>
                            <w:szCs w:val="22"/>
                          </w:rPr>
                          <w:t>澳洲公司</w:t>
                        </w:r>
                      </w:p>
                    </w:tc>
                  </w:sdtContent>
                </w:sdt>
                <w:tc>
                  <w:tcPr>
                    <w:tcW w:w="1091" w:type="pct"/>
                    <w:tcBorders>
                      <w:top w:val="single" w:sz="4" w:space="0" w:color="auto"/>
                      <w:left w:val="single" w:sz="4" w:space="0" w:color="auto"/>
                      <w:bottom w:val="single" w:sz="4" w:space="0" w:color="auto"/>
                      <w:right w:val="single" w:sz="4" w:space="0" w:color="auto"/>
                    </w:tcBorders>
                    <w:shd w:val="clear" w:color="auto" w:fill="auto"/>
                  </w:tcPr>
                  <w:p w14:paraId="41DEA76B" w14:textId="77777777" w:rsidR="007E7472" w:rsidRDefault="00EC1269">
                    <w:pPr>
                      <w:rPr>
                        <w:rFonts w:cs="Cambria"/>
                      </w:rPr>
                    </w:pPr>
                    <w:r>
                      <w:rPr>
                        <w:rFonts w:cs="Cambria"/>
                      </w:rPr>
                      <w:t>Tonford Holdings Pty Ltd</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15C982A0" w14:textId="77777777" w:rsidR="007E7472" w:rsidRDefault="00EC1269">
                    <w:pPr>
                      <w:jc w:val="right"/>
                      <w:rPr>
                        <w:rFonts w:cs="Cambria"/>
                      </w:rPr>
                    </w:pPr>
                    <w:r>
                      <w:rPr>
                        <w:rFonts w:cs="Cambria"/>
                      </w:rPr>
                      <w:t>1万澳元</w:t>
                    </w:r>
                  </w:p>
                </w:tc>
                <w:tc>
                  <w:tcPr>
                    <w:tcW w:w="818" w:type="pct"/>
                    <w:tcBorders>
                      <w:top w:val="single" w:sz="4" w:space="0" w:color="auto"/>
                      <w:left w:val="single" w:sz="4" w:space="0" w:color="auto"/>
                      <w:bottom w:val="single" w:sz="4" w:space="0" w:color="auto"/>
                      <w:right w:val="single" w:sz="4" w:space="0" w:color="auto"/>
                    </w:tcBorders>
                    <w:shd w:val="clear" w:color="auto" w:fill="auto"/>
                    <w:vAlign w:val="center"/>
                  </w:tcPr>
                  <w:p w14:paraId="6EA4E3ED" w14:textId="77777777" w:rsidR="007E7472" w:rsidRDefault="00EC1269">
                    <w:pPr>
                      <w:jc w:val="center"/>
                      <w:rPr>
                        <w:rFonts w:cs="Cambria"/>
                      </w:rPr>
                    </w:pPr>
                    <w:r>
                      <w:rPr>
                        <w:rFonts w:cs="Cambria"/>
                      </w:rPr>
                      <w:t>2020-12-7</w:t>
                    </w:r>
                  </w:p>
                </w:tc>
                <w:tc>
                  <w:tcPr>
                    <w:tcW w:w="789" w:type="pct"/>
                    <w:tcBorders>
                      <w:top w:val="single" w:sz="4" w:space="0" w:color="auto"/>
                      <w:left w:val="single" w:sz="4" w:space="0" w:color="auto"/>
                      <w:bottom w:val="single" w:sz="4" w:space="0" w:color="auto"/>
                      <w:right w:val="single" w:sz="4" w:space="0" w:color="auto"/>
                    </w:tcBorders>
                    <w:shd w:val="clear" w:color="auto" w:fill="auto"/>
                    <w:vAlign w:val="center"/>
                  </w:tcPr>
                  <w:p w14:paraId="46C8F6F4" w14:textId="77777777" w:rsidR="007E7472" w:rsidRDefault="00EC1269">
                    <w:pPr>
                      <w:jc w:val="center"/>
                      <w:rPr>
                        <w:rFonts w:cs="Cambria"/>
                      </w:rPr>
                    </w:pPr>
                    <w:r>
                      <w:rPr>
                        <w:rFonts w:cs="Cambria"/>
                      </w:rPr>
                      <w:t>N/A</w:t>
                    </w:r>
                  </w:p>
                </w:tc>
                <w:sdt>
                  <w:sdtPr>
                    <w:rPr>
                      <w:rFonts w:cs="Cambria"/>
                    </w:rPr>
                    <w:alias w:val="本公司作为担保方的关联担保情况明细-担保是否已经履行完毕"/>
                    <w:tag w:val="_GBC_4d8807e0244c4281aa68d5aba3d78918"/>
                    <w:id w:val="293336338"/>
                    <w:lock w:val="sdtLocked"/>
                    <w:comboBox>
                      <w:listItem w:displayText="是" w:value="true"/>
                      <w:listItem w:displayText="否" w:value="false"/>
                    </w:comboBox>
                  </w:sdtPr>
                  <w:sdtEndPr/>
                  <w:sdtContent>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26B6D239" w14:textId="078F0B13" w:rsidR="007E7472" w:rsidRDefault="006F3F93">
                        <w:pPr>
                          <w:jc w:val="center"/>
                          <w:rPr>
                            <w:rFonts w:cs="Cambria"/>
                          </w:rPr>
                        </w:pPr>
                        <w:r>
                          <w:rPr>
                            <w:rFonts w:cs="Cambria"/>
                          </w:rPr>
                          <w:t>否</w:t>
                        </w:r>
                      </w:p>
                    </w:tc>
                  </w:sdtContent>
                </w:sdt>
              </w:tr>
            </w:sdtContent>
          </w:sdt>
        </w:tbl>
        <w:p w14:paraId="27E18A3C" w14:textId="77777777" w:rsidR="007E7472" w:rsidRDefault="00C8327E"/>
        <w:p w14:paraId="1280F85D" w14:textId="77777777" w:rsidR="007E7472" w:rsidRDefault="00C8327E"/>
        <w:p w14:paraId="78C4D615" w14:textId="77777777" w:rsidR="007E7472" w:rsidRDefault="00EC1269">
          <w:pPr>
            <w:rPr>
              <w:rFonts w:cs="Cambria"/>
            </w:rPr>
          </w:pPr>
          <w:r>
            <w:rPr>
              <w:rFonts w:cs="Cambria" w:hint="eastAsia"/>
            </w:rPr>
            <w:t>本公司作为被担保方</w:t>
          </w:r>
        </w:p>
        <w:sdt>
          <w:sdtPr>
            <w:rPr>
              <w:rFonts w:cs="Cambria"/>
            </w:rPr>
            <w:alias w:val="是否适用：本公司作为被担保方的担保情况表[双击切换]"/>
            <w:tag w:val="_GBC_3686094d29c941dd91bd168e3ef88833"/>
            <w:id w:val="-1281722428"/>
            <w:lock w:val="sdtLocked"/>
            <w:placeholder>
              <w:docPart w:val="GBC22222222222222222222222222222"/>
            </w:placeholder>
          </w:sdtPr>
          <w:sdtEndPr/>
          <w:sdtContent>
            <w:p w14:paraId="3255DCB7" w14:textId="77777777" w:rsidR="007E7472" w:rsidRDefault="00EC1269">
              <w:pPr>
                <w:rPr>
                  <w:rFonts w:cs="Cambria"/>
                </w:rPr>
              </w:pPr>
              <w:r>
                <w:rPr>
                  <w:rFonts w:cs="Cambria"/>
                </w:rPr>
                <w:fldChar w:fldCharType="begin"/>
              </w:r>
              <w:r>
                <w:rPr>
                  <w:rFonts w:cs="Cambria"/>
                </w:rPr>
                <w:instrText xml:space="preserve"> MACROBUTTON  SnrToggleCheckbox √适用 </w:instrText>
              </w:r>
              <w:r>
                <w:rPr>
                  <w:rFonts w:cs="Cambria"/>
                </w:rPr>
                <w:fldChar w:fldCharType="end"/>
              </w:r>
              <w:r>
                <w:rPr>
                  <w:rFonts w:cs="Cambria"/>
                </w:rPr>
                <w:fldChar w:fldCharType="begin"/>
              </w:r>
              <w:r>
                <w:rPr>
                  <w:rFonts w:cs="Cambria"/>
                </w:rPr>
                <w:instrText xml:space="preserve"> MACROBUTTON  SnrToggleCheckbox □不适用 </w:instrText>
              </w:r>
              <w:r>
                <w:rPr>
                  <w:rFonts w:cs="Cambria"/>
                </w:rPr>
                <w:fldChar w:fldCharType="end"/>
              </w:r>
            </w:p>
          </w:sdtContent>
        </w:sdt>
        <w:p w14:paraId="23012057" w14:textId="61D6046A" w:rsidR="007E7472" w:rsidRDefault="00EC1269">
          <w:pPr>
            <w:jc w:val="right"/>
            <w:rPr>
              <w:rFonts w:cs="Cambria"/>
            </w:rPr>
          </w:pPr>
          <w:r>
            <w:rPr>
              <w:rFonts w:cs="Cambria" w:hint="eastAsia"/>
            </w:rPr>
            <w:t>单位：</w:t>
          </w:r>
          <w:sdt>
            <w:sdtPr>
              <w:rPr>
                <w:rFonts w:cs="Cambria" w:hint="eastAsia"/>
              </w:rPr>
              <w:alias w:val="单位：财务附注：本公司作为被担保方"/>
              <w:tag w:val="_GBC_af3d3d55d9c648f8b2e94dcdd804c683"/>
              <w:id w:val="-15476069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cs="Cambria" w:hint="eastAsia"/>
                </w:rPr>
                <w:t>千元</w:t>
              </w:r>
            </w:sdtContent>
          </w:sdt>
          <w:r>
            <w:rPr>
              <w:rFonts w:cs="Cambria" w:hint="eastAsia"/>
            </w:rPr>
            <w:t>币种：</w:t>
          </w:r>
          <w:sdt>
            <w:sdtPr>
              <w:rPr>
                <w:rFonts w:cs="Cambria" w:hint="eastAsia"/>
              </w:rPr>
              <w:alias w:val="币种：财务附注：本公司作为被担保方"/>
              <w:tag w:val="_GBC_684efbccec674b3abab20e6aa5c20b55"/>
              <w:id w:val="-6471290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cs="Cambria"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1979"/>
            <w:gridCol w:w="1135"/>
            <w:gridCol w:w="1844"/>
            <w:gridCol w:w="1415"/>
            <w:gridCol w:w="1135"/>
            <w:gridCol w:w="1315"/>
          </w:tblGrid>
          <w:tr w:rsidR="007E7472" w14:paraId="0DCBA62A" w14:textId="77777777">
            <w:sdt>
              <w:sdtPr>
                <w:tag w:val="_PLD_6088efc2eccd46e6a311f035e3addd31"/>
                <w:id w:val="-1054383357"/>
                <w:lock w:val="sdtLocked"/>
              </w:sdtPr>
              <w:sdtEndPr/>
              <w:sdtContent>
                <w:tc>
                  <w:tcPr>
                    <w:tcW w:w="1122" w:type="pct"/>
                    <w:tcBorders>
                      <w:top w:val="single" w:sz="4" w:space="0" w:color="auto"/>
                      <w:left w:val="single" w:sz="4" w:space="0" w:color="auto"/>
                      <w:bottom w:val="single" w:sz="4" w:space="0" w:color="auto"/>
                      <w:right w:val="single" w:sz="4" w:space="0" w:color="auto"/>
                    </w:tcBorders>
                    <w:shd w:val="clear" w:color="auto" w:fill="auto"/>
                    <w:vAlign w:val="center"/>
                  </w:tcPr>
                  <w:p w14:paraId="7D42647F" w14:textId="77777777" w:rsidR="007E7472" w:rsidRDefault="00EC1269">
                    <w:pPr>
                      <w:jc w:val="center"/>
                      <w:rPr>
                        <w:rFonts w:cs="Cambria"/>
                      </w:rPr>
                    </w:pPr>
                    <w:r>
                      <w:rPr>
                        <w:rFonts w:cs="Cambria" w:hint="eastAsia"/>
                      </w:rPr>
                      <w:t>担保方</w:t>
                    </w:r>
                  </w:p>
                </w:tc>
              </w:sdtContent>
            </w:sdt>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7716537F" w14:textId="77777777" w:rsidR="007E7472" w:rsidRDefault="00EC1269">
                <w:pPr>
                  <w:jc w:val="center"/>
                  <w:rPr>
                    <w:rFonts w:cs="Cambria"/>
                  </w:rPr>
                </w:pPr>
                <w:r>
                  <w:rPr>
                    <w:rFonts w:cs="Cambria" w:hint="eastAsia"/>
                  </w:rPr>
                  <w:t>被担保方</w:t>
                </w:r>
              </w:p>
            </w:tc>
            <w:sdt>
              <w:sdtPr>
                <w:tag w:val="_PLD_e7f78a4ceee3432c87548a75d87de01f"/>
                <w:id w:val="-1297293860"/>
                <w:lock w:val="sdtLocked"/>
              </w:sdtPr>
              <w:sdtEndPr/>
              <w:sdtContent>
                <w:tc>
                  <w:tcPr>
                    <w:tcW w:w="1045" w:type="pct"/>
                    <w:tcBorders>
                      <w:top w:val="single" w:sz="4" w:space="0" w:color="auto"/>
                      <w:left w:val="single" w:sz="4" w:space="0" w:color="auto"/>
                      <w:bottom w:val="single" w:sz="4" w:space="0" w:color="auto"/>
                      <w:right w:val="single" w:sz="4" w:space="0" w:color="auto"/>
                    </w:tcBorders>
                    <w:shd w:val="clear" w:color="auto" w:fill="auto"/>
                    <w:vAlign w:val="center"/>
                  </w:tcPr>
                  <w:p w14:paraId="2E8E169D" w14:textId="77777777" w:rsidR="007E7472" w:rsidRDefault="00EC1269">
                    <w:pPr>
                      <w:jc w:val="center"/>
                      <w:rPr>
                        <w:rFonts w:cs="Cambria"/>
                      </w:rPr>
                    </w:pPr>
                    <w:r>
                      <w:rPr>
                        <w:rFonts w:cs="Cambria" w:hint="eastAsia"/>
                      </w:rPr>
                      <w:t>担保金额</w:t>
                    </w:r>
                  </w:p>
                </w:tc>
              </w:sdtContent>
            </w:sdt>
            <w:sdt>
              <w:sdtPr>
                <w:tag w:val="_PLD_258ee883a1494cba8aadfb02a67b1d9f"/>
                <w:id w:val="-1458251451"/>
                <w:lock w:val="sdtLocked"/>
              </w:sdtPr>
              <w:sdtEndPr/>
              <w:sdtContent>
                <w:tc>
                  <w:tcPr>
                    <w:tcW w:w="802" w:type="pct"/>
                    <w:tcBorders>
                      <w:top w:val="single" w:sz="4" w:space="0" w:color="auto"/>
                      <w:left w:val="single" w:sz="4" w:space="0" w:color="auto"/>
                      <w:bottom w:val="single" w:sz="4" w:space="0" w:color="auto"/>
                      <w:right w:val="single" w:sz="4" w:space="0" w:color="auto"/>
                    </w:tcBorders>
                    <w:shd w:val="clear" w:color="auto" w:fill="auto"/>
                    <w:vAlign w:val="center"/>
                  </w:tcPr>
                  <w:p w14:paraId="1C065908" w14:textId="77777777" w:rsidR="007E7472" w:rsidRDefault="00EC1269">
                    <w:pPr>
                      <w:jc w:val="center"/>
                      <w:rPr>
                        <w:rFonts w:cs="Cambria"/>
                      </w:rPr>
                    </w:pPr>
                    <w:r>
                      <w:rPr>
                        <w:rFonts w:cs="Cambria" w:hint="eastAsia"/>
                      </w:rPr>
                      <w:t>担保起始日</w:t>
                    </w:r>
                  </w:p>
                </w:tc>
              </w:sdtContent>
            </w:sdt>
            <w:sdt>
              <w:sdtPr>
                <w:tag w:val="_PLD_219bfe3bbd6a4eeab9cd5e00e9bb2477"/>
                <w:id w:val="-1848933428"/>
                <w:lock w:val="sdtLocked"/>
              </w:sdtPr>
              <w:sdtEndPr/>
              <w:sdtContent>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3A925323" w14:textId="77777777" w:rsidR="007E7472" w:rsidRDefault="00EC1269">
                    <w:pPr>
                      <w:jc w:val="center"/>
                      <w:rPr>
                        <w:rFonts w:cs="Cambria"/>
                      </w:rPr>
                    </w:pPr>
                    <w:r>
                      <w:rPr>
                        <w:rFonts w:cs="Cambria" w:hint="eastAsia"/>
                      </w:rPr>
                      <w:t>担保到期日</w:t>
                    </w:r>
                  </w:p>
                </w:tc>
              </w:sdtContent>
            </w:sdt>
            <w:sdt>
              <w:sdtPr>
                <w:tag w:val="_PLD_e2efca4906c0464cb3ccf5445b144c22"/>
                <w:id w:val="2086332159"/>
                <w:lock w:val="sdtLocked"/>
              </w:sdtPr>
              <w:sdtEndPr/>
              <w:sdtContent>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1A8C2748" w14:textId="77777777" w:rsidR="007E7472" w:rsidRDefault="00EC1269">
                    <w:pPr>
                      <w:jc w:val="center"/>
                      <w:rPr>
                        <w:rFonts w:cs="Cambria"/>
                      </w:rPr>
                    </w:pPr>
                    <w:r>
                      <w:rPr>
                        <w:rFonts w:cs="Cambria" w:hint="eastAsia"/>
                      </w:rPr>
                      <w:t>担保是否已经履行完毕</w:t>
                    </w:r>
                  </w:p>
                </w:tc>
              </w:sdtContent>
            </w:sdt>
          </w:tr>
          <w:sdt>
            <w:sdtPr>
              <w:rPr>
                <w:rFonts w:cs="Cambria"/>
              </w:rPr>
              <w:alias w:val="本公司作为被担保方的关联担保情况明细"/>
              <w:tag w:val="_TUP_133171480fbe4e9c9c7e814e81aae393"/>
              <w:id w:val="-1090472023"/>
              <w:lock w:val="sdtLocked"/>
            </w:sdtPr>
            <w:sdtEndPr/>
            <w:sdtContent>
              <w:tr w:rsidR="007E7472" w14:paraId="6AA9B63B" w14:textId="77777777">
                <w:tc>
                  <w:tcPr>
                    <w:tcW w:w="1122" w:type="pct"/>
                    <w:tcBorders>
                      <w:top w:val="single" w:sz="4" w:space="0" w:color="auto"/>
                      <w:left w:val="single" w:sz="4" w:space="0" w:color="auto"/>
                      <w:bottom w:val="single" w:sz="4" w:space="0" w:color="auto"/>
                      <w:right w:val="single" w:sz="4" w:space="0" w:color="auto"/>
                    </w:tcBorders>
                    <w:shd w:val="clear" w:color="auto" w:fill="auto"/>
                    <w:vAlign w:val="center"/>
                  </w:tcPr>
                  <w:p w14:paraId="58B244CA" w14:textId="77777777" w:rsidR="007E7472" w:rsidRDefault="00EC1269">
                    <w:pPr>
                      <w:jc w:val="both"/>
                      <w:rPr>
                        <w:rFonts w:cs="Cambria"/>
                      </w:rPr>
                    </w:pPr>
                    <w:r>
                      <w:rPr>
                        <w:rFonts w:cs="Cambria" w:hint="eastAsia"/>
                      </w:rPr>
                      <w:t>山东能源</w:t>
                    </w:r>
                  </w:p>
                </w:tc>
                <w:sdt>
                  <w:sdtPr>
                    <w:alias w:val="被担保方"/>
                    <w:tag w:val="_GBC_e7340b363bd54a239d895059620a1859"/>
                    <w:id w:val="1032839242"/>
                    <w:lock w:val="sdtLocked"/>
                  </w:sdtPr>
                  <w:sdtEndPr/>
                  <w:sdtContent>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4A05E7AD" w14:textId="77777777" w:rsidR="007E7472" w:rsidRDefault="00EC1269">
                        <w:pPr>
                          <w:jc w:val="both"/>
                          <w:rPr>
                            <w:rFonts w:cs="Cambria"/>
                          </w:rPr>
                        </w:pPr>
                        <w:r>
                          <w:rPr>
                            <w:rFonts w:hint="eastAsia"/>
                          </w:rPr>
                          <w:t>本公司</w:t>
                        </w:r>
                      </w:p>
                    </w:tc>
                  </w:sdtContent>
                </w:sdt>
                <w:tc>
                  <w:tcPr>
                    <w:tcW w:w="1045" w:type="pct"/>
                    <w:tcBorders>
                      <w:top w:val="single" w:sz="4" w:space="0" w:color="auto"/>
                      <w:left w:val="single" w:sz="4" w:space="0" w:color="auto"/>
                      <w:bottom w:val="single" w:sz="4" w:space="0" w:color="auto"/>
                      <w:right w:val="single" w:sz="4" w:space="0" w:color="auto"/>
                    </w:tcBorders>
                    <w:shd w:val="clear" w:color="auto" w:fill="auto"/>
                    <w:vAlign w:val="center"/>
                  </w:tcPr>
                  <w:p w14:paraId="5F95C012" w14:textId="77777777" w:rsidR="007E7472" w:rsidRDefault="00EC1269">
                    <w:pPr>
                      <w:jc w:val="center"/>
                      <w:rPr>
                        <w:rFonts w:cs="Cambria"/>
                      </w:rPr>
                    </w:pPr>
                    <w:r>
                      <w:rPr>
                        <w:rFonts w:cs="Cambria"/>
                      </w:rPr>
                      <w:t>305,000万人民币</w:t>
                    </w:r>
                  </w:p>
                </w:tc>
                <w:tc>
                  <w:tcPr>
                    <w:tcW w:w="802" w:type="pct"/>
                    <w:tcBorders>
                      <w:top w:val="single" w:sz="4" w:space="0" w:color="auto"/>
                      <w:left w:val="single" w:sz="4" w:space="0" w:color="auto"/>
                      <w:bottom w:val="single" w:sz="4" w:space="0" w:color="auto"/>
                      <w:right w:val="single" w:sz="4" w:space="0" w:color="auto"/>
                    </w:tcBorders>
                    <w:shd w:val="clear" w:color="auto" w:fill="auto"/>
                    <w:vAlign w:val="center"/>
                  </w:tcPr>
                  <w:p w14:paraId="0EF665C8" w14:textId="77777777" w:rsidR="007E7472" w:rsidRDefault="00EC1269">
                    <w:pPr>
                      <w:jc w:val="center"/>
                      <w:rPr>
                        <w:rFonts w:cs="Cambria"/>
                      </w:rPr>
                    </w:pPr>
                    <w:r>
                      <w:rPr>
                        <w:rFonts w:cs="Cambria"/>
                      </w:rPr>
                      <w:t>2014-3-5</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1DAB6B12" w14:textId="77777777" w:rsidR="007E7472" w:rsidRDefault="00EC1269">
                    <w:pPr>
                      <w:jc w:val="center"/>
                      <w:rPr>
                        <w:rFonts w:cs="Cambria"/>
                      </w:rPr>
                    </w:pPr>
                    <w:r>
                      <w:rPr>
                        <w:rFonts w:cs="Cambria"/>
                      </w:rPr>
                      <w:t>2024-3-4</w:t>
                    </w:r>
                  </w:p>
                </w:tc>
                <w:sdt>
                  <w:sdtPr>
                    <w:rPr>
                      <w:rFonts w:cs="Cambria"/>
                    </w:rPr>
                    <w:alias w:val="本公司作为被担保方的关联担保情况明细-担保是否已经履行完毕"/>
                    <w:tag w:val="_GBC_ece41db563d54c85904336d073d8b352"/>
                    <w:id w:val="-598487442"/>
                    <w:lock w:val="sdtLocked"/>
                    <w:comboBox>
                      <w:listItem w:displayText="是" w:value="true"/>
                      <w:listItem w:displayText="否" w:value="false"/>
                    </w:comboBox>
                  </w:sdtPr>
                  <w:sdtEndPr/>
                  <w:sdtContent>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54375AF8" w14:textId="5E870467" w:rsidR="007E7472" w:rsidRDefault="006F3F93">
                        <w:pPr>
                          <w:jc w:val="center"/>
                          <w:rPr>
                            <w:rFonts w:cs="Cambria"/>
                          </w:rPr>
                        </w:pPr>
                        <w:r>
                          <w:rPr>
                            <w:rFonts w:cs="Cambria"/>
                          </w:rPr>
                          <w:t>否</w:t>
                        </w:r>
                      </w:p>
                    </w:tc>
                  </w:sdtContent>
                </w:sdt>
              </w:tr>
            </w:sdtContent>
          </w:sdt>
          <w:sdt>
            <w:sdtPr>
              <w:rPr>
                <w:rFonts w:cs="Cambria"/>
              </w:rPr>
              <w:alias w:val="本公司作为被担保方的关联担保情况明细"/>
              <w:tag w:val="_TUP_133171480fbe4e9c9c7e814e81aae393"/>
              <w:id w:val="2034605899"/>
              <w:lock w:val="sdtLocked"/>
            </w:sdtPr>
            <w:sdtEndPr/>
            <w:sdtContent>
              <w:tr w:rsidR="007E7472" w14:paraId="22308B24" w14:textId="77777777">
                <w:tc>
                  <w:tcPr>
                    <w:tcW w:w="1122" w:type="pct"/>
                    <w:tcBorders>
                      <w:top w:val="single" w:sz="4" w:space="0" w:color="auto"/>
                      <w:left w:val="single" w:sz="4" w:space="0" w:color="auto"/>
                      <w:bottom w:val="single" w:sz="4" w:space="0" w:color="auto"/>
                      <w:right w:val="single" w:sz="4" w:space="0" w:color="auto"/>
                    </w:tcBorders>
                    <w:shd w:val="clear" w:color="auto" w:fill="auto"/>
                    <w:vAlign w:val="center"/>
                  </w:tcPr>
                  <w:p w14:paraId="0BC0E2FB" w14:textId="77777777" w:rsidR="007E7472" w:rsidRDefault="00EC1269">
                    <w:pPr>
                      <w:jc w:val="both"/>
                      <w:rPr>
                        <w:rFonts w:cs="Cambria"/>
                      </w:rPr>
                    </w:pPr>
                    <w:r>
                      <w:rPr>
                        <w:rFonts w:cs="Cambria" w:hint="eastAsia"/>
                      </w:rPr>
                      <w:t>山东能源</w:t>
                    </w:r>
                  </w:p>
                </w:tc>
                <w:sdt>
                  <w:sdtPr>
                    <w:alias w:val="被担保方"/>
                    <w:tag w:val="_GBC_e7340b363bd54a239d895059620a1859"/>
                    <w:id w:val="1010334184"/>
                    <w:lock w:val="sdtLocked"/>
                  </w:sdtPr>
                  <w:sdtEndPr/>
                  <w:sdtContent>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01D08018" w14:textId="77777777" w:rsidR="007E7472" w:rsidRDefault="00EC1269">
                        <w:pPr>
                          <w:jc w:val="both"/>
                          <w:rPr>
                            <w:rFonts w:cs="Cambria"/>
                          </w:rPr>
                        </w:pPr>
                        <w:r>
                          <w:rPr>
                            <w:rFonts w:hint="eastAsia"/>
                          </w:rPr>
                          <w:t>本公司</w:t>
                        </w:r>
                      </w:p>
                    </w:tc>
                  </w:sdtContent>
                </w:sdt>
                <w:tc>
                  <w:tcPr>
                    <w:tcW w:w="1045" w:type="pct"/>
                    <w:tcBorders>
                      <w:top w:val="single" w:sz="4" w:space="0" w:color="auto"/>
                      <w:left w:val="single" w:sz="4" w:space="0" w:color="auto"/>
                      <w:bottom w:val="single" w:sz="4" w:space="0" w:color="auto"/>
                      <w:right w:val="single" w:sz="4" w:space="0" w:color="auto"/>
                    </w:tcBorders>
                    <w:shd w:val="clear" w:color="auto" w:fill="auto"/>
                    <w:vAlign w:val="center"/>
                  </w:tcPr>
                  <w:p w14:paraId="36CEC214" w14:textId="77777777" w:rsidR="007E7472" w:rsidRDefault="00EC1269">
                    <w:pPr>
                      <w:jc w:val="center"/>
                      <w:rPr>
                        <w:rFonts w:cs="Cambria"/>
                      </w:rPr>
                    </w:pPr>
                    <w:r>
                      <w:rPr>
                        <w:rFonts w:cs="Cambria"/>
                      </w:rPr>
                      <w:t>22,500万美元</w:t>
                    </w:r>
                  </w:p>
                </w:tc>
                <w:tc>
                  <w:tcPr>
                    <w:tcW w:w="802" w:type="pct"/>
                    <w:tcBorders>
                      <w:top w:val="single" w:sz="4" w:space="0" w:color="auto"/>
                      <w:left w:val="single" w:sz="4" w:space="0" w:color="auto"/>
                      <w:bottom w:val="single" w:sz="4" w:space="0" w:color="auto"/>
                      <w:right w:val="single" w:sz="4" w:space="0" w:color="auto"/>
                    </w:tcBorders>
                    <w:shd w:val="clear" w:color="auto" w:fill="auto"/>
                    <w:vAlign w:val="center"/>
                  </w:tcPr>
                  <w:p w14:paraId="34F85D4C" w14:textId="77777777" w:rsidR="007E7472" w:rsidRDefault="00EC1269">
                    <w:pPr>
                      <w:jc w:val="center"/>
                      <w:rPr>
                        <w:rFonts w:cs="Cambria"/>
                      </w:rPr>
                    </w:pPr>
                    <w:r>
                      <w:rPr>
                        <w:rFonts w:cs="Cambria"/>
                      </w:rPr>
                      <w:t>2017-8-29</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372009E5" w14:textId="77777777" w:rsidR="007E7472" w:rsidRDefault="00EC1269">
                    <w:pPr>
                      <w:jc w:val="center"/>
                      <w:rPr>
                        <w:rFonts w:cs="Cambria"/>
                      </w:rPr>
                    </w:pPr>
                    <w:r>
                      <w:rPr>
                        <w:rFonts w:cs="Cambria"/>
                      </w:rPr>
                      <w:t>2024-8-29</w:t>
                    </w:r>
                  </w:p>
                </w:tc>
                <w:sdt>
                  <w:sdtPr>
                    <w:rPr>
                      <w:rFonts w:cs="Cambria"/>
                    </w:rPr>
                    <w:alias w:val="本公司作为被担保方的关联担保情况明细-担保是否已经履行完毕"/>
                    <w:tag w:val="_GBC_ece41db563d54c85904336d073d8b352"/>
                    <w:id w:val="60375226"/>
                    <w:lock w:val="sdtLocked"/>
                    <w:comboBox>
                      <w:listItem w:displayText="是" w:value="true"/>
                      <w:listItem w:displayText="否" w:value="false"/>
                    </w:comboBox>
                  </w:sdtPr>
                  <w:sdtEndPr/>
                  <w:sdtContent>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63287580" w14:textId="156A9727" w:rsidR="007E7472" w:rsidRDefault="006F3F93">
                        <w:pPr>
                          <w:jc w:val="center"/>
                          <w:rPr>
                            <w:rFonts w:cs="Cambria"/>
                          </w:rPr>
                        </w:pPr>
                        <w:r>
                          <w:rPr>
                            <w:rFonts w:cs="Cambria"/>
                          </w:rPr>
                          <w:t>否</w:t>
                        </w:r>
                      </w:p>
                    </w:tc>
                  </w:sdtContent>
                </w:sdt>
              </w:tr>
            </w:sdtContent>
          </w:sdt>
          <w:sdt>
            <w:sdtPr>
              <w:rPr>
                <w:rFonts w:cs="Cambria"/>
              </w:rPr>
              <w:alias w:val="本公司作为被担保方的关联担保情况明细"/>
              <w:tag w:val="_TUP_133171480fbe4e9c9c7e814e81aae393"/>
              <w:id w:val="81107934"/>
              <w:lock w:val="sdtLocked"/>
            </w:sdtPr>
            <w:sdtEndPr/>
            <w:sdtContent>
              <w:tr w:rsidR="007E7472" w14:paraId="49B7F8FE" w14:textId="77777777">
                <w:tc>
                  <w:tcPr>
                    <w:tcW w:w="1122" w:type="pct"/>
                    <w:tcBorders>
                      <w:top w:val="single" w:sz="4" w:space="0" w:color="auto"/>
                      <w:left w:val="single" w:sz="4" w:space="0" w:color="auto"/>
                      <w:bottom w:val="single" w:sz="4" w:space="0" w:color="auto"/>
                      <w:right w:val="single" w:sz="4" w:space="0" w:color="auto"/>
                    </w:tcBorders>
                    <w:shd w:val="clear" w:color="auto" w:fill="auto"/>
                    <w:vAlign w:val="center"/>
                  </w:tcPr>
                  <w:p w14:paraId="3B569D2D" w14:textId="77777777" w:rsidR="007E7472" w:rsidRDefault="00EC1269">
                    <w:pPr>
                      <w:jc w:val="both"/>
                      <w:rPr>
                        <w:rFonts w:cs="Cambria"/>
                      </w:rPr>
                    </w:pPr>
                    <w:r>
                      <w:rPr>
                        <w:rFonts w:cs="Cambria" w:hint="eastAsia"/>
                      </w:rPr>
                      <w:t>山东能源</w:t>
                    </w:r>
                  </w:p>
                </w:tc>
                <w:sdt>
                  <w:sdtPr>
                    <w:alias w:val="被担保方"/>
                    <w:tag w:val="_GBC_e7340b363bd54a239d895059620a1859"/>
                    <w:id w:val="1941263422"/>
                    <w:lock w:val="sdtLocked"/>
                  </w:sdtPr>
                  <w:sdtEndPr/>
                  <w:sdtContent>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04D88A90" w14:textId="77777777" w:rsidR="007E7472" w:rsidRDefault="00EC1269">
                        <w:pPr>
                          <w:jc w:val="both"/>
                          <w:rPr>
                            <w:rFonts w:cs="Cambria"/>
                          </w:rPr>
                        </w:pPr>
                        <w:r>
                          <w:rPr>
                            <w:rFonts w:hint="eastAsia"/>
                          </w:rPr>
                          <w:t>未来能源</w:t>
                        </w:r>
                      </w:p>
                    </w:tc>
                  </w:sdtContent>
                </w:sdt>
                <w:tc>
                  <w:tcPr>
                    <w:tcW w:w="1045" w:type="pct"/>
                    <w:tcBorders>
                      <w:top w:val="single" w:sz="4" w:space="0" w:color="auto"/>
                      <w:left w:val="single" w:sz="4" w:space="0" w:color="auto"/>
                      <w:bottom w:val="single" w:sz="4" w:space="0" w:color="auto"/>
                      <w:right w:val="single" w:sz="4" w:space="0" w:color="auto"/>
                    </w:tcBorders>
                    <w:shd w:val="clear" w:color="auto" w:fill="auto"/>
                    <w:vAlign w:val="center"/>
                  </w:tcPr>
                  <w:p w14:paraId="0248672B" w14:textId="77777777" w:rsidR="007E7472" w:rsidRDefault="00EC1269">
                    <w:pPr>
                      <w:jc w:val="center"/>
                      <w:rPr>
                        <w:rFonts w:cs="Cambria"/>
                      </w:rPr>
                    </w:pPr>
                    <w:r>
                      <w:rPr>
                        <w:rFonts w:cs="Cambria"/>
                      </w:rPr>
                      <w:t>277,500万人民币</w:t>
                    </w:r>
                  </w:p>
                </w:tc>
                <w:tc>
                  <w:tcPr>
                    <w:tcW w:w="802" w:type="pct"/>
                    <w:tcBorders>
                      <w:top w:val="single" w:sz="4" w:space="0" w:color="auto"/>
                      <w:left w:val="single" w:sz="4" w:space="0" w:color="auto"/>
                      <w:bottom w:val="single" w:sz="4" w:space="0" w:color="auto"/>
                      <w:right w:val="single" w:sz="4" w:space="0" w:color="auto"/>
                    </w:tcBorders>
                    <w:shd w:val="clear" w:color="auto" w:fill="auto"/>
                    <w:vAlign w:val="center"/>
                  </w:tcPr>
                  <w:p w14:paraId="2EAAA095" w14:textId="77777777" w:rsidR="007E7472" w:rsidRDefault="00EC1269">
                    <w:pPr>
                      <w:jc w:val="center"/>
                      <w:rPr>
                        <w:rFonts w:cs="Cambria"/>
                      </w:rPr>
                    </w:pPr>
                    <w:r>
                      <w:rPr>
                        <w:rFonts w:cs="Cambria"/>
                      </w:rPr>
                      <w:t>2016-5-30</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62DF444D" w14:textId="77777777" w:rsidR="007E7472" w:rsidRDefault="00EC1269">
                    <w:pPr>
                      <w:jc w:val="center"/>
                      <w:rPr>
                        <w:rFonts w:cs="Cambria"/>
                      </w:rPr>
                    </w:pPr>
                    <w:r>
                      <w:rPr>
                        <w:rFonts w:cs="Cambria"/>
                      </w:rPr>
                      <w:t>2032-5-29</w:t>
                    </w:r>
                  </w:p>
                </w:tc>
                <w:sdt>
                  <w:sdtPr>
                    <w:rPr>
                      <w:rFonts w:cs="Cambria"/>
                    </w:rPr>
                    <w:alias w:val="本公司作为被担保方的关联担保情况明细-担保是否已经履行完毕"/>
                    <w:tag w:val="_GBC_ece41db563d54c85904336d073d8b352"/>
                    <w:id w:val="752937696"/>
                    <w:lock w:val="sdtLocked"/>
                    <w:comboBox>
                      <w:listItem w:displayText="是" w:value="true"/>
                      <w:listItem w:displayText="否" w:value="false"/>
                    </w:comboBox>
                  </w:sdtPr>
                  <w:sdtEndPr/>
                  <w:sdtContent>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2A4C3C74" w14:textId="388CA96B" w:rsidR="007E7472" w:rsidRDefault="006F3F93">
                        <w:pPr>
                          <w:jc w:val="center"/>
                          <w:rPr>
                            <w:rFonts w:cs="Cambria"/>
                          </w:rPr>
                        </w:pPr>
                        <w:r>
                          <w:rPr>
                            <w:rFonts w:cs="Cambria"/>
                          </w:rPr>
                          <w:t>否</w:t>
                        </w:r>
                      </w:p>
                    </w:tc>
                  </w:sdtContent>
                </w:sdt>
              </w:tr>
            </w:sdtContent>
          </w:sdt>
          <w:sdt>
            <w:sdtPr>
              <w:rPr>
                <w:rFonts w:cs="Cambria"/>
              </w:rPr>
              <w:alias w:val="本公司作为被担保方的关联担保情况明细"/>
              <w:tag w:val="_TUP_133171480fbe4e9c9c7e814e81aae393"/>
              <w:id w:val="-1118369855"/>
              <w:lock w:val="sdtLocked"/>
            </w:sdtPr>
            <w:sdtEndPr/>
            <w:sdtContent>
              <w:tr w:rsidR="007E7472" w14:paraId="3CC03160" w14:textId="77777777">
                <w:tc>
                  <w:tcPr>
                    <w:tcW w:w="1122" w:type="pct"/>
                    <w:tcBorders>
                      <w:top w:val="single" w:sz="4" w:space="0" w:color="auto"/>
                      <w:left w:val="single" w:sz="4" w:space="0" w:color="auto"/>
                      <w:bottom w:val="single" w:sz="4" w:space="0" w:color="auto"/>
                      <w:right w:val="single" w:sz="4" w:space="0" w:color="auto"/>
                    </w:tcBorders>
                    <w:shd w:val="clear" w:color="auto" w:fill="auto"/>
                    <w:vAlign w:val="center"/>
                  </w:tcPr>
                  <w:p w14:paraId="31D813B9" w14:textId="77777777" w:rsidR="007E7472" w:rsidRDefault="00EC1269">
                    <w:pPr>
                      <w:jc w:val="both"/>
                      <w:rPr>
                        <w:rFonts w:cs="Cambria"/>
                      </w:rPr>
                    </w:pPr>
                    <w:r>
                      <w:rPr>
                        <w:rFonts w:cs="Cambria" w:hint="eastAsia"/>
                      </w:rPr>
                      <w:t>陕西延长石油（集团）有限责任公司</w:t>
                    </w:r>
                  </w:p>
                </w:tc>
                <w:sdt>
                  <w:sdtPr>
                    <w:alias w:val="被担保方"/>
                    <w:tag w:val="_GBC_e7340b363bd54a239d895059620a1859"/>
                    <w:id w:val="-465667024"/>
                    <w:lock w:val="sdtLocked"/>
                  </w:sdtPr>
                  <w:sdtEndPr/>
                  <w:sdtContent>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497965D1" w14:textId="77777777" w:rsidR="007E7472" w:rsidRDefault="00EC1269">
                        <w:pPr>
                          <w:jc w:val="both"/>
                          <w:rPr>
                            <w:rFonts w:cs="Cambria"/>
                          </w:rPr>
                        </w:pPr>
                        <w:r>
                          <w:rPr>
                            <w:rFonts w:hint="eastAsia"/>
                          </w:rPr>
                          <w:t>未来能源</w:t>
                        </w:r>
                      </w:p>
                    </w:tc>
                  </w:sdtContent>
                </w:sdt>
                <w:tc>
                  <w:tcPr>
                    <w:tcW w:w="1045" w:type="pct"/>
                    <w:tcBorders>
                      <w:top w:val="single" w:sz="4" w:space="0" w:color="auto"/>
                      <w:left w:val="single" w:sz="4" w:space="0" w:color="auto"/>
                      <w:bottom w:val="single" w:sz="4" w:space="0" w:color="auto"/>
                      <w:right w:val="single" w:sz="4" w:space="0" w:color="auto"/>
                    </w:tcBorders>
                    <w:shd w:val="clear" w:color="auto" w:fill="auto"/>
                    <w:vAlign w:val="center"/>
                  </w:tcPr>
                  <w:p w14:paraId="5143D2F3" w14:textId="77777777" w:rsidR="007E7472" w:rsidRDefault="00EC1269">
                    <w:pPr>
                      <w:jc w:val="center"/>
                      <w:rPr>
                        <w:rFonts w:cs="Cambria"/>
                      </w:rPr>
                    </w:pPr>
                    <w:r>
                      <w:rPr>
                        <w:rFonts w:cs="Cambria"/>
                      </w:rPr>
                      <w:t>92,500万人民币</w:t>
                    </w:r>
                  </w:p>
                </w:tc>
                <w:tc>
                  <w:tcPr>
                    <w:tcW w:w="802" w:type="pct"/>
                    <w:tcBorders>
                      <w:top w:val="single" w:sz="4" w:space="0" w:color="auto"/>
                      <w:left w:val="single" w:sz="4" w:space="0" w:color="auto"/>
                      <w:bottom w:val="single" w:sz="4" w:space="0" w:color="auto"/>
                      <w:right w:val="single" w:sz="4" w:space="0" w:color="auto"/>
                    </w:tcBorders>
                    <w:shd w:val="clear" w:color="auto" w:fill="auto"/>
                    <w:vAlign w:val="center"/>
                  </w:tcPr>
                  <w:p w14:paraId="32008DD1" w14:textId="77777777" w:rsidR="007E7472" w:rsidRDefault="00EC1269">
                    <w:pPr>
                      <w:jc w:val="center"/>
                      <w:rPr>
                        <w:rFonts w:cs="Cambria"/>
                      </w:rPr>
                    </w:pPr>
                    <w:r>
                      <w:rPr>
                        <w:rFonts w:cs="Cambria"/>
                      </w:rPr>
                      <w:t>2016-5-30</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5A4D6716" w14:textId="77777777" w:rsidR="007E7472" w:rsidRDefault="00EC1269">
                    <w:pPr>
                      <w:jc w:val="center"/>
                      <w:rPr>
                        <w:rFonts w:cs="Cambria"/>
                      </w:rPr>
                    </w:pPr>
                    <w:r>
                      <w:rPr>
                        <w:rFonts w:cs="Cambria"/>
                      </w:rPr>
                      <w:t>2032-5-29</w:t>
                    </w:r>
                  </w:p>
                </w:tc>
                <w:sdt>
                  <w:sdtPr>
                    <w:rPr>
                      <w:rFonts w:cs="Cambria"/>
                    </w:rPr>
                    <w:alias w:val="本公司作为被担保方的关联担保情况明细-担保是否已经履行完毕"/>
                    <w:tag w:val="_GBC_ece41db563d54c85904336d073d8b352"/>
                    <w:id w:val="-1600246674"/>
                    <w:lock w:val="sdtLocked"/>
                    <w:comboBox>
                      <w:listItem w:displayText="是" w:value="true"/>
                      <w:listItem w:displayText="否" w:value="false"/>
                    </w:comboBox>
                  </w:sdtPr>
                  <w:sdtEndPr/>
                  <w:sdtContent>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6678A0DD" w14:textId="2DBA03DB" w:rsidR="007E7472" w:rsidRDefault="006F3F93">
                        <w:pPr>
                          <w:jc w:val="center"/>
                          <w:rPr>
                            <w:rFonts w:cs="Cambria"/>
                          </w:rPr>
                        </w:pPr>
                        <w:r>
                          <w:rPr>
                            <w:rFonts w:cs="Cambria"/>
                          </w:rPr>
                          <w:t>否</w:t>
                        </w:r>
                      </w:p>
                    </w:tc>
                  </w:sdtContent>
                </w:sdt>
              </w:tr>
            </w:sdtContent>
          </w:sdt>
          <w:sdt>
            <w:sdtPr>
              <w:rPr>
                <w:rFonts w:cs="Cambria"/>
              </w:rPr>
              <w:alias w:val="本公司作为被担保方的关联担保情况明细"/>
              <w:tag w:val="_TUP_133171480fbe4e9c9c7e814e81aae393"/>
              <w:id w:val="1741062854"/>
              <w:lock w:val="sdtLocked"/>
            </w:sdtPr>
            <w:sdtEndPr/>
            <w:sdtContent>
              <w:tr w:rsidR="007E7472" w14:paraId="1CC6AB1F" w14:textId="77777777">
                <w:tc>
                  <w:tcPr>
                    <w:tcW w:w="1122" w:type="pct"/>
                    <w:tcBorders>
                      <w:top w:val="single" w:sz="4" w:space="0" w:color="auto"/>
                      <w:left w:val="single" w:sz="4" w:space="0" w:color="auto"/>
                      <w:bottom w:val="single" w:sz="4" w:space="0" w:color="auto"/>
                      <w:right w:val="single" w:sz="4" w:space="0" w:color="auto"/>
                    </w:tcBorders>
                    <w:shd w:val="clear" w:color="auto" w:fill="auto"/>
                    <w:vAlign w:val="center"/>
                  </w:tcPr>
                  <w:p w14:paraId="343309B7" w14:textId="77777777" w:rsidR="007E7472" w:rsidRDefault="00EC1269">
                    <w:pPr>
                      <w:jc w:val="both"/>
                      <w:rPr>
                        <w:rFonts w:cs="Cambria"/>
                      </w:rPr>
                    </w:pPr>
                    <w:r>
                      <w:rPr>
                        <w:rFonts w:cs="Cambria"/>
                      </w:rPr>
                      <w:t>青岛世纪瑞丰集团有限公司</w:t>
                    </w:r>
                  </w:p>
                </w:tc>
                <w:sdt>
                  <w:sdtPr>
                    <w:alias w:val="被担保方"/>
                    <w:tag w:val="_GBC_e7340b363bd54a239d895059620a1859"/>
                    <w:id w:val="-770322391"/>
                    <w:lock w:val="sdtLocked"/>
                  </w:sdtPr>
                  <w:sdtEndPr/>
                  <w:sdtContent>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25088327" w14:textId="77777777" w:rsidR="007E7472" w:rsidRDefault="00EC1269">
                        <w:pPr>
                          <w:jc w:val="both"/>
                          <w:rPr>
                            <w:rFonts w:cs="Cambria"/>
                          </w:rPr>
                        </w:pPr>
                        <w:r>
                          <w:t>本公司</w:t>
                        </w:r>
                      </w:p>
                    </w:tc>
                  </w:sdtContent>
                </w:sdt>
                <w:tc>
                  <w:tcPr>
                    <w:tcW w:w="1045" w:type="pct"/>
                    <w:tcBorders>
                      <w:top w:val="single" w:sz="4" w:space="0" w:color="auto"/>
                      <w:left w:val="single" w:sz="4" w:space="0" w:color="auto"/>
                      <w:bottom w:val="single" w:sz="4" w:space="0" w:color="auto"/>
                      <w:right w:val="single" w:sz="4" w:space="0" w:color="auto"/>
                    </w:tcBorders>
                    <w:shd w:val="clear" w:color="auto" w:fill="auto"/>
                    <w:vAlign w:val="center"/>
                  </w:tcPr>
                  <w:p w14:paraId="529C488E" w14:textId="77777777" w:rsidR="007E7472" w:rsidRDefault="00EC1269">
                    <w:pPr>
                      <w:jc w:val="center"/>
                      <w:rPr>
                        <w:rFonts w:cs="Cambria"/>
                      </w:rPr>
                    </w:pPr>
                    <w:r>
                      <w:rPr>
                        <w:rFonts w:cs="Cambria"/>
                      </w:rPr>
                      <w:t>60,000万人民币</w:t>
                    </w:r>
                  </w:p>
                </w:tc>
                <w:tc>
                  <w:tcPr>
                    <w:tcW w:w="802" w:type="pct"/>
                    <w:tcBorders>
                      <w:top w:val="single" w:sz="4" w:space="0" w:color="auto"/>
                      <w:left w:val="single" w:sz="4" w:space="0" w:color="auto"/>
                      <w:bottom w:val="single" w:sz="4" w:space="0" w:color="auto"/>
                      <w:right w:val="single" w:sz="4" w:space="0" w:color="auto"/>
                    </w:tcBorders>
                    <w:shd w:val="clear" w:color="auto" w:fill="auto"/>
                    <w:vAlign w:val="center"/>
                  </w:tcPr>
                  <w:p w14:paraId="5098642C" w14:textId="77777777" w:rsidR="007E7472" w:rsidRDefault="00EC1269">
                    <w:pPr>
                      <w:jc w:val="center"/>
                      <w:rPr>
                        <w:rFonts w:cs="Cambria"/>
                      </w:rPr>
                    </w:pPr>
                    <w:r>
                      <w:rPr>
                        <w:rFonts w:cs="Cambria"/>
                      </w:rPr>
                      <w:t>2022-8-19</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0147DE1B" w14:textId="77777777" w:rsidR="007E7472" w:rsidRDefault="00EC1269">
                    <w:pPr>
                      <w:jc w:val="center"/>
                      <w:rPr>
                        <w:rFonts w:cs="Cambria"/>
                      </w:rPr>
                    </w:pPr>
                    <w:r>
                      <w:rPr>
                        <w:rFonts w:cs="Cambria"/>
                      </w:rPr>
                      <w:t>2024-8-19</w:t>
                    </w:r>
                  </w:p>
                </w:tc>
                <w:sdt>
                  <w:sdtPr>
                    <w:rPr>
                      <w:rFonts w:cs="Cambria"/>
                    </w:rPr>
                    <w:alias w:val="本公司作为被担保方的关联担保情况明细-担保是否已经履行完毕"/>
                    <w:tag w:val="_GBC_ece41db563d54c85904336d073d8b352"/>
                    <w:id w:val="531225020"/>
                    <w:lock w:val="sdtLocked"/>
                    <w:comboBox>
                      <w:listItem w:displayText="是" w:value="true"/>
                      <w:listItem w:displayText="否" w:value="false"/>
                    </w:comboBox>
                  </w:sdtPr>
                  <w:sdtEndPr/>
                  <w:sdtContent>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3D20576C" w14:textId="6EF96DFF" w:rsidR="007E7472" w:rsidRDefault="006F3F93">
                        <w:pPr>
                          <w:jc w:val="center"/>
                          <w:rPr>
                            <w:rFonts w:cs="Cambria"/>
                          </w:rPr>
                        </w:pPr>
                        <w:r>
                          <w:rPr>
                            <w:rFonts w:cs="Cambria"/>
                          </w:rPr>
                          <w:t>否</w:t>
                        </w:r>
                      </w:p>
                    </w:tc>
                  </w:sdtContent>
                </w:sdt>
              </w:tr>
            </w:sdtContent>
          </w:sdt>
          <w:sdt>
            <w:sdtPr>
              <w:rPr>
                <w:rFonts w:cs="Cambria"/>
              </w:rPr>
              <w:alias w:val="本公司作为被担保方的关联担保情况明细"/>
              <w:tag w:val="_TUP_133171480fbe4e9c9c7e814e81aae393"/>
              <w:id w:val="644543764"/>
              <w:lock w:val="sdtLocked"/>
            </w:sdtPr>
            <w:sdtEndPr/>
            <w:sdtContent>
              <w:tr w:rsidR="007E7472" w14:paraId="3685D65E" w14:textId="77777777">
                <w:tc>
                  <w:tcPr>
                    <w:tcW w:w="1122" w:type="pct"/>
                    <w:tcBorders>
                      <w:top w:val="single" w:sz="4" w:space="0" w:color="auto"/>
                      <w:left w:val="single" w:sz="4" w:space="0" w:color="auto"/>
                      <w:bottom w:val="single" w:sz="4" w:space="0" w:color="auto"/>
                      <w:right w:val="single" w:sz="4" w:space="0" w:color="auto"/>
                    </w:tcBorders>
                    <w:shd w:val="clear" w:color="auto" w:fill="auto"/>
                    <w:vAlign w:val="center"/>
                  </w:tcPr>
                  <w:p w14:paraId="0C9F7DE3" w14:textId="77777777" w:rsidR="007E7472" w:rsidRDefault="00EC1269">
                    <w:pPr>
                      <w:jc w:val="both"/>
                      <w:rPr>
                        <w:rFonts w:cs="Cambria"/>
                      </w:rPr>
                    </w:pPr>
                    <w:r>
                      <w:rPr>
                        <w:rFonts w:cs="Cambria"/>
                      </w:rPr>
                      <w:t>青岛世纪瑞丰集团有限公司</w:t>
                    </w:r>
                  </w:p>
                </w:tc>
                <w:sdt>
                  <w:sdtPr>
                    <w:alias w:val="被担保方"/>
                    <w:tag w:val="_GBC_e7340b363bd54a239d895059620a1859"/>
                    <w:id w:val="1166830772"/>
                    <w:lock w:val="sdtLocked"/>
                  </w:sdtPr>
                  <w:sdtEndPr/>
                  <w:sdtContent>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5DAD14BA" w14:textId="77777777" w:rsidR="007E7472" w:rsidRDefault="00EC1269">
                        <w:pPr>
                          <w:jc w:val="both"/>
                          <w:rPr>
                            <w:rFonts w:cs="Cambria"/>
                          </w:rPr>
                        </w:pPr>
                        <w:r>
                          <w:t>本公司</w:t>
                        </w:r>
                      </w:p>
                    </w:tc>
                  </w:sdtContent>
                </w:sdt>
                <w:tc>
                  <w:tcPr>
                    <w:tcW w:w="1045" w:type="pct"/>
                    <w:tcBorders>
                      <w:top w:val="single" w:sz="4" w:space="0" w:color="auto"/>
                      <w:left w:val="single" w:sz="4" w:space="0" w:color="auto"/>
                      <w:bottom w:val="single" w:sz="4" w:space="0" w:color="auto"/>
                      <w:right w:val="single" w:sz="4" w:space="0" w:color="auto"/>
                    </w:tcBorders>
                    <w:shd w:val="clear" w:color="auto" w:fill="auto"/>
                    <w:vAlign w:val="center"/>
                  </w:tcPr>
                  <w:p w14:paraId="5401044D" w14:textId="77777777" w:rsidR="007E7472" w:rsidRDefault="00EC1269">
                    <w:pPr>
                      <w:jc w:val="center"/>
                      <w:rPr>
                        <w:rFonts w:cs="Cambria"/>
                      </w:rPr>
                    </w:pPr>
                    <w:r>
                      <w:rPr>
                        <w:rFonts w:cs="Cambria"/>
                      </w:rPr>
                      <w:t>30,000万人民币</w:t>
                    </w:r>
                  </w:p>
                </w:tc>
                <w:tc>
                  <w:tcPr>
                    <w:tcW w:w="802" w:type="pct"/>
                    <w:tcBorders>
                      <w:top w:val="single" w:sz="4" w:space="0" w:color="auto"/>
                      <w:left w:val="single" w:sz="4" w:space="0" w:color="auto"/>
                      <w:bottom w:val="single" w:sz="4" w:space="0" w:color="auto"/>
                      <w:right w:val="single" w:sz="4" w:space="0" w:color="auto"/>
                    </w:tcBorders>
                    <w:shd w:val="clear" w:color="auto" w:fill="auto"/>
                    <w:vAlign w:val="center"/>
                  </w:tcPr>
                  <w:p w14:paraId="460EEAEB" w14:textId="77777777" w:rsidR="007E7472" w:rsidRDefault="00EC1269">
                    <w:pPr>
                      <w:jc w:val="center"/>
                      <w:rPr>
                        <w:rFonts w:cs="Cambria"/>
                      </w:rPr>
                    </w:pPr>
                    <w:r>
                      <w:rPr>
                        <w:rFonts w:cs="Cambria"/>
                      </w:rPr>
                      <w:t>2022-9-13</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45571742" w14:textId="77777777" w:rsidR="007E7472" w:rsidRDefault="00EC1269">
                    <w:pPr>
                      <w:jc w:val="center"/>
                      <w:rPr>
                        <w:rFonts w:cs="Cambria"/>
                      </w:rPr>
                    </w:pPr>
                    <w:r>
                      <w:rPr>
                        <w:rFonts w:cs="Cambria"/>
                      </w:rPr>
                      <w:t>2023-9-12</w:t>
                    </w:r>
                  </w:p>
                </w:tc>
                <w:sdt>
                  <w:sdtPr>
                    <w:rPr>
                      <w:rFonts w:cs="Cambria"/>
                    </w:rPr>
                    <w:alias w:val="本公司作为被担保方的关联担保情况明细-担保是否已经履行完毕"/>
                    <w:tag w:val="_GBC_ece41db563d54c85904336d073d8b352"/>
                    <w:id w:val="-2057465206"/>
                    <w:lock w:val="sdtLocked"/>
                    <w:comboBox>
                      <w:listItem w:displayText="是" w:value="true"/>
                      <w:listItem w:displayText="否" w:value="false"/>
                    </w:comboBox>
                  </w:sdtPr>
                  <w:sdtEndPr/>
                  <w:sdtContent>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3924094E" w14:textId="701D58D3" w:rsidR="007E7472" w:rsidRDefault="006F3F93">
                        <w:pPr>
                          <w:jc w:val="center"/>
                          <w:rPr>
                            <w:rFonts w:cs="Cambria"/>
                          </w:rPr>
                        </w:pPr>
                        <w:r>
                          <w:rPr>
                            <w:rFonts w:cs="Cambria"/>
                          </w:rPr>
                          <w:t>否</w:t>
                        </w:r>
                      </w:p>
                    </w:tc>
                  </w:sdtContent>
                </w:sdt>
              </w:tr>
            </w:sdtContent>
          </w:sdt>
          <w:sdt>
            <w:sdtPr>
              <w:rPr>
                <w:rFonts w:cs="Cambria"/>
              </w:rPr>
              <w:alias w:val="本公司作为被担保方的关联担保情况明细"/>
              <w:tag w:val="_TUP_133171480fbe4e9c9c7e814e81aae393"/>
              <w:id w:val="1949347543"/>
              <w:lock w:val="sdtLocked"/>
            </w:sdtPr>
            <w:sdtEndPr/>
            <w:sdtContent>
              <w:tr w:rsidR="007E7472" w14:paraId="0F39E7CB" w14:textId="77777777">
                <w:tc>
                  <w:tcPr>
                    <w:tcW w:w="1122" w:type="pct"/>
                    <w:tcBorders>
                      <w:top w:val="single" w:sz="4" w:space="0" w:color="auto"/>
                      <w:left w:val="single" w:sz="4" w:space="0" w:color="auto"/>
                      <w:bottom w:val="single" w:sz="4" w:space="0" w:color="auto"/>
                      <w:right w:val="single" w:sz="4" w:space="0" w:color="auto"/>
                    </w:tcBorders>
                    <w:shd w:val="clear" w:color="auto" w:fill="auto"/>
                    <w:vAlign w:val="center"/>
                  </w:tcPr>
                  <w:p w14:paraId="477DB69B" w14:textId="77777777" w:rsidR="007E7472" w:rsidRDefault="00EC1269">
                    <w:pPr>
                      <w:jc w:val="both"/>
                      <w:rPr>
                        <w:rFonts w:cs="Cambria"/>
                      </w:rPr>
                    </w:pPr>
                    <w:r>
                      <w:rPr>
                        <w:rFonts w:cs="Cambria" w:hint="eastAsia"/>
                      </w:rPr>
                      <w:t>青岛世纪瑞丰集团有限公司</w:t>
                    </w:r>
                  </w:p>
                </w:tc>
                <w:sdt>
                  <w:sdtPr>
                    <w:alias w:val="被担保方"/>
                    <w:tag w:val="_GBC_e7340b363bd54a239d895059620a1859"/>
                    <w:id w:val="1916122540"/>
                    <w:lock w:val="sdtLocked"/>
                  </w:sdtPr>
                  <w:sdtEndPr/>
                  <w:sdtContent>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3CD325B6" w14:textId="77777777" w:rsidR="007E7472" w:rsidRDefault="00EC1269">
                        <w:pPr>
                          <w:jc w:val="both"/>
                          <w:rPr>
                            <w:rFonts w:cs="Cambria"/>
                          </w:rPr>
                        </w:pPr>
                        <w:r>
                          <w:t>本公司</w:t>
                        </w:r>
                      </w:p>
                    </w:tc>
                  </w:sdtContent>
                </w:sdt>
                <w:tc>
                  <w:tcPr>
                    <w:tcW w:w="1045" w:type="pct"/>
                    <w:tcBorders>
                      <w:top w:val="single" w:sz="4" w:space="0" w:color="auto"/>
                      <w:left w:val="single" w:sz="4" w:space="0" w:color="auto"/>
                      <w:bottom w:val="single" w:sz="4" w:space="0" w:color="auto"/>
                      <w:right w:val="single" w:sz="4" w:space="0" w:color="auto"/>
                    </w:tcBorders>
                    <w:shd w:val="clear" w:color="auto" w:fill="auto"/>
                    <w:vAlign w:val="center"/>
                  </w:tcPr>
                  <w:p w14:paraId="0B5A82F3" w14:textId="77777777" w:rsidR="007E7472" w:rsidRDefault="00EC1269">
                    <w:pPr>
                      <w:jc w:val="center"/>
                      <w:rPr>
                        <w:rFonts w:cs="Cambria"/>
                      </w:rPr>
                    </w:pPr>
                    <w:r>
                      <w:rPr>
                        <w:rFonts w:cs="Cambria"/>
                      </w:rPr>
                      <w:t>50,000万人民币</w:t>
                    </w:r>
                  </w:p>
                </w:tc>
                <w:tc>
                  <w:tcPr>
                    <w:tcW w:w="802" w:type="pct"/>
                    <w:tcBorders>
                      <w:top w:val="single" w:sz="4" w:space="0" w:color="auto"/>
                      <w:left w:val="single" w:sz="4" w:space="0" w:color="auto"/>
                      <w:bottom w:val="single" w:sz="4" w:space="0" w:color="auto"/>
                      <w:right w:val="single" w:sz="4" w:space="0" w:color="auto"/>
                    </w:tcBorders>
                    <w:shd w:val="clear" w:color="auto" w:fill="auto"/>
                    <w:vAlign w:val="center"/>
                  </w:tcPr>
                  <w:p w14:paraId="2A5E50DD" w14:textId="77777777" w:rsidR="007E7472" w:rsidRDefault="00EC1269">
                    <w:pPr>
                      <w:jc w:val="center"/>
                      <w:rPr>
                        <w:rFonts w:cs="Cambria"/>
                      </w:rPr>
                    </w:pPr>
                    <w:r>
                      <w:rPr>
                        <w:rFonts w:cs="Cambria"/>
                      </w:rPr>
                      <w:t>2023-1-6</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7F50E4AE" w14:textId="77777777" w:rsidR="007E7472" w:rsidRDefault="00EC1269">
                    <w:pPr>
                      <w:jc w:val="center"/>
                      <w:rPr>
                        <w:rFonts w:cs="Cambria"/>
                      </w:rPr>
                    </w:pPr>
                    <w:r>
                      <w:rPr>
                        <w:rFonts w:cs="Cambria"/>
                      </w:rPr>
                      <w:t>2024-1-5</w:t>
                    </w:r>
                  </w:p>
                </w:tc>
                <w:sdt>
                  <w:sdtPr>
                    <w:rPr>
                      <w:rFonts w:cs="Cambria"/>
                    </w:rPr>
                    <w:alias w:val="本公司作为被担保方的关联担保情况明细-担保是否已经履行完毕"/>
                    <w:tag w:val="_GBC_ece41db563d54c85904336d073d8b352"/>
                    <w:id w:val="-586846666"/>
                    <w:lock w:val="sdtLocked"/>
                    <w:comboBox>
                      <w:listItem w:displayText="是" w:value="true"/>
                      <w:listItem w:displayText="否" w:value="false"/>
                    </w:comboBox>
                  </w:sdtPr>
                  <w:sdtEndPr/>
                  <w:sdtContent>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5D61E277" w14:textId="51525893" w:rsidR="007E7472" w:rsidRDefault="006F3F93">
                        <w:pPr>
                          <w:jc w:val="center"/>
                          <w:rPr>
                            <w:rFonts w:cs="Cambria"/>
                          </w:rPr>
                        </w:pPr>
                        <w:r>
                          <w:rPr>
                            <w:rFonts w:cs="Cambria"/>
                          </w:rPr>
                          <w:t>否</w:t>
                        </w:r>
                      </w:p>
                    </w:tc>
                  </w:sdtContent>
                </w:sdt>
              </w:tr>
            </w:sdtContent>
          </w:sdt>
          <w:sdt>
            <w:sdtPr>
              <w:rPr>
                <w:rFonts w:cs="Cambria"/>
              </w:rPr>
              <w:alias w:val="本公司作为被担保方的关联担保情况明细"/>
              <w:tag w:val="_TUP_133171480fbe4e9c9c7e814e81aae393"/>
              <w:id w:val="1728730120"/>
              <w:lock w:val="sdtLocked"/>
            </w:sdtPr>
            <w:sdtEndPr/>
            <w:sdtContent>
              <w:tr w:rsidR="007E7472" w14:paraId="176DCCC3" w14:textId="77777777">
                <w:tc>
                  <w:tcPr>
                    <w:tcW w:w="1122" w:type="pct"/>
                    <w:tcBorders>
                      <w:top w:val="single" w:sz="4" w:space="0" w:color="auto"/>
                      <w:left w:val="single" w:sz="4" w:space="0" w:color="auto"/>
                      <w:bottom w:val="single" w:sz="4" w:space="0" w:color="auto"/>
                      <w:right w:val="single" w:sz="4" w:space="0" w:color="auto"/>
                    </w:tcBorders>
                    <w:shd w:val="clear" w:color="auto" w:fill="auto"/>
                    <w:vAlign w:val="center"/>
                  </w:tcPr>
                  <w:p w14:paraId="3B7E1430" w14:textId="77777777" w:rsidR="007E7472" w:rsidRDefault="00EC1269">
                    <w:pPr>
                      <w:jc w:val="both"/>
                      <w:rPr>
                        <w:rFonts w:cs="Cambria"/>
                      </w:rPr>
                    </w:pPr>
                    <w:r>
                      <w:rPr>
                        <w:rFonts w:cs="Cambria" w:hint="eastAsia"/>
                      </w:rPr>
                      <w:t>青岛世纪瑞丰集团有限公司</w:t>
                    </w:r>
                  </w:p>
                </w:tc>
                <w:sdt>
                  <w:sdtPr>
                    <w:alias w:val="被担保方"/>
                    <w:tag w:val="_GBC_e7340b363bd54a239d895059620a1859"/>
                    <w:id w:val="-904520760"/>
                    <w:lock w:val="sdtLocked"/>
                  </w:sdtPr>
                  <w:sdtEndPr/>
                  <w:sdtContent>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6ED94D2D" w14:textId="77777777" w:rsidR="007E7472" w:rsidRDefault="00EC1269">
                        <w:pPr>
                          <w:jc w:val="both"/>
                          <w:rPr>
                            <w:rFonts w:cs="Cambria"/>
                          </w:rPr>
                        </w:pPr>
                        <w:r>
                          <w:t>本公司</w:t>
                        </w:r>
                      </w:p>
                    </w:tc>
                  </w:sdtContent>
                </w:sdt>
                <w:tc>
                  <w:tcPr>
                    <w:tcW w:w="1045" w:type="pct"/>
                    <w:tcBorders>
                      <w:top w:val="single" w:sz="4" w:space="0" w:color="auto"/>
                      <w:left w:val="single" w:sz="4" w:space="0" w:color="auto"/>
                      <w:bottom w:val="single" w:sz="4" w:space="0" w:color="auto"/>
                      <w:right w:val="single" w:sz="4" w:space="0" w:color="auto"/>
                    </w:tcBorders>
                    <w:shd w:val="clear" w:color="auto" w:fill="auto"/>
                    <w:vAlign w:val="center"/>
                  </w:tcPr>
                  <w:p w14:paraId="2172AC17" w14:textId="77777777" w:rsidR="007E7472" w:rsidRDefault="00EC1269">
                    <w:pPr>
                      <w:jc w:val="center"/>
                      <w:rPr>
                        <w:rFonts w:cs="Cambria"/>
                      </w:rPr>
                    </w:pPr>
                    <w:r>
                      <w:rPr>
                        <w:rFonts w:cs="Cambria"/>
                      </w:rPr>
                      <w:t>30,000万人民币</w:t>
                    </w:r>
                  </w:p>
                </w:tc>
                <w:tc>
                  <w:tcPr>
                    <w:tcW w:w="802" w:type="pct"/>
                    <w:tcBorders>
                      <w:top w:val="single" w:sz="4" w:space="0" w:color="auto"/>
                      <w:left w:val="single" w:sz="4" w:space="0" w:color="auto"/>
                      <w:bottom w:val="single" w:sz="4" w:space="0" w:color="auto"/>
                      <w:right w:val="single" w:sz="4" w:space="0" w:color="auto"/>
                    </w:tcBorders>
                    <w:shd w:val="clear" w:color="auto" w:fill="auto"/>
                    <w:vAlign w:val="center"/>
                  </w:tcPr>
                  <w:p w14:paraId="4740A1D5" w14:textId="77777777" w:rsidR="007E7472" w:rsidRDefault="00EC1269">
                    <w:pPr>
                      <w:jc w:val="center"/>
                      <w:rPr>
                        <w:rFonts w:cs="Cambria"/>
                      </w:rPr>
                    </w:pPr>
                    <w:r>
                      <w:rPr>
                        <w:rFonts w:cs="Cambria"/>
                      </w:rPr>
                      <w:t>2023-1-28</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158D3A0E" w14:textId="77777777" w:rsidR="007E7472" w:rsidRDefault="00EC1269">
                    <w:pPr>
                      <w:jc w:val="center"/>
                      <w:rPr>
                        <w:rFonts w:cs="Cambria"/>
                      </w:rPr>
                    </w:pPr>
                    <w:r>
                      <w:rPr>
                        <w:rFonts w:cs="Cambria"/>
                      </w:rPr>
                      <w:t>2024-1-28</w:t>
                    </w:r>
                  </w:p>
                </w:tc>
                <w:sdt>
                  <w:sdtPr>
                    <w:rPr>
                      <w:rFonts w:cs="Cambria"/>
                    </w:rPr>
                    <w:alias w:val="本公司作为被担保方的关联担保情况明细-担保是否已经履行完毕"/>
                    <w:tag w:val="_GBC_ece41db563d54c85904336d073d8b352"/>
                    <w:id w:val="441034772"/>
                    <w:lock w:val="sdtLocked"/>
                    <w:comboBox>
                      <w:listItem w:displayText="是" w:value="true"/>
                      <w:listItem w:displayText="否" w:value="false"/>
                    </w:comboBox>
                  </w:sdtPr>
                  <w:sdtEndPr/>
                  <w:sdtContent>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65F8DE1C" w14:textId="50C157F1" w:rsidR="007E7472" w:rsidRDefault="006F3F93">
                        <w:pPr>
                          <w:jc w:val="center"/>
                          <w:rPr>
                            <w:rFonts w:cs="Cambria"/>
                          </w:rPr>
                        </w:pPr>
                        <w:r>
                          <w:rPr>
                            <w:rFonts w:cs="Cambria"/>
                          </w:rPr>
                          <w:t>否</w:t>
                        </w:r>
                      </w:p>
                    </w:tc>
                  </w:sdtContent>
                </w:sdt>
              </w:tr>
            </w:sdtContent>
          </w:sdt>
          <w:sdt>
            <w:sdtPr>
              <w:rPr>
                <w:rFonts w:cs="Cambria"/>
              </w:rPr>
              <w:alias w:val="本公司作为被担保方的关联担保情况明细"/>
              <w:tag w:val="_TUP_133171480fbe4e9c9c7e814e81aae393"/>
              <w:id w:val="-50774734"/>
              <w:lock w:val="sdtLocked"/>
            </w:sdtPr>
            <w:sdtEndPr/>
            <w:sdtContent>
              <w:tr w:rsidR="007E7472" w14:paraId="493ADA33" w14:textId="77777777">
                <w:tc>
                  <w:tcPr>
                    <w:tcW w:w="1122" w:type="pct"/>
                    <w:tcBorders>
                      <w:top w:val="single" w:sz="4" w:space="0" w:color="auto"/>
                      <w:left w:val="single" w:sz="4" w:space="0" w:color="auto"/>
                      <w:bottom w:val="single" w:sz="4" w:space="0" w:color="auto"/>
                      <w:right w:val="single" w:sz="4" w:space="0" w:color="auto"/>
                    </w:tcBorders>
                    <w:shd w:val="clear" w:color="auto" w:fill="auto"/>
                    <w:vAlign w:val="center"/>
                  </w:tcPr>
                  <w:p w14:paraId="6A552097" w14:textId="77777777" w:rsidR="007E7472" w:rsidRDefault="00EC1269">
                    <w:pPr>
                      <w:jc w:val="both"/>
                      <w:rPr>
                        <w:rFonts w:cs="Cambria"/>
                      </w:rPr>
                    </w:pPr>
                    <w:r>
                      <w:rPr>
                        <w:rFonts w:cs="Cambria" w:hint="eastAsia"/>
                      </w:rPr>
                      <w:t>青岛世纪瑞丰集团有限公司</w:t>
                    </w:r>
                  </w:p>
                </w:tc>
                <w:sdt>
                  <w:sdtPr>
                    <w:alias w:val="被担保方"/>
                    <w:tag w:val="_GBC_e7340b363bd54a239d895059620a1859"/>
                    <w:id w:val="324789695"/>
                    <w:lock w:val="sdtLocked"/>
                  </w:sdtPr>
                  <w:sdtEndPr/>
                  <w:sdtContent>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5ED03332" w14:textId="77777777" w:rsidR="007E7472" w:rsidRDefault="00EC1269">
                        <w:pPr>
                          <w:jc w:val="both"/>
                          <w:rPr>
                            <w:rFonts w:cs="Cambria"/>
                          </w:rPr>
                        </w:pPr>
                        <w:r>
                          <w:t>本公司</w:t>
                        </w:r>
                      </w:p>
                    </w:tc>
                  </w:sdtContent>
                </w:sdt>
                <w:tc>
                  <w:tcPr>
                    <w:tcW w:w="1045" w:type="pct"/>
                    <w:tcBorders>
                      <w:top w:val="single" w:sz="4" w:space="0" w:color="auto"/>
                      <w:left w:val="single" w:sz="4" w:space="0" w:color="auto"/>
                      <w:bottom w:val="single" w:sz="4" w:space="0" w:color="auto"/>
                      <w:right w:val="single" w:sz="4" w:space="0" w:color="auto"/>
                    </w:tcBorders>
                    <w:shd w:val="clear" w:color="auto" w:fill="auto"/>
                    <w:vAlign w:val="center"/>
                  </w:tcPr>
                  <w:p w14:paraId="7448E60B" w14:textId="77777777" w:rsidR="007E7472" w:rsidRDefault="00EC1269">
                    <w:pPr>
                      <w:jc w:val="center"/>
                      <w:rPr>
                        <w:rFonts w:cs="Cambria"/>
                      </w:rPr>
                    </w:pPr>
                    <w:r>
                      <w:rPr>
                        <w:rFonts w:cs="Cambria"/>
                      </w:rPr>
                      <w:t>40,000万人民币</w:t>
                    </w:r>
                  </w:p>
                </w:tc>
                <w:tc>
                  <w:tcPr>
                    <w:tcW w:w="802" w:type="pct"/>
                    <w:tcBorders>
                      <w:top w:val="single" w:sz="4" w:space="0" w:color="auto"/>
                      <w:left w:val="single" w:sz="4" w:space="0" w:color="auto"/>
                      <w:bottom w:val="single" w:sz="4" w:space="0" w:color="auto"/>
                      <w:right w:val="single" w:sz="4" w:space="0" w:color="auto"/>
                    </w:tcBorders>
                    <w:shd w:val="clear" w:color="auto" w:fill="auto"/>
                    <w:vAlign w:val="center"/>
                  </w:tcPr>
                  <w:p w14:paraId="2BAE2EE1" w14:textId="77777777" w:rsidR="007E7472" w:rsidRDefault="00EC1269">
                    <w:pPr>
                      <w:jc w:val="center"/>
                      <w:rPr>
                        <w:rFonts w:cs="Cambria"/>
                      </w:rPr>
                    </w:pPr>
                    <w:r>
                      <w:rPr>
                        <w:rFonts w:cs="Cambria"/>
                      </w:rPr>
                      <w:t>2023-2-14</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54494361" w14:textId="77777777" w:rsidR="007E7472" w:rsidRDefault="00EC1269">
                    <w:pPr>
                      <w:jc w:val="center"/>
                      <w:rPr>
                        <w:rFonts w:cs="Cambria"/>
                      </w:rPr>
                    </w:pPr>
                    <w:r>
                      <w:rPr>
                        <w:rFonts w:cs="Cambria"/>
                      </w:rPr>
                      <w:t>2024-2-13</w:t>
                    </w:r>
                  </w:p>
                </w:tc>
                <w:sdt>
                  <w:sdtPr>
                    <w:rPr>
                      <w:rFonts w:cs="Cambria"/>
                    </w:rPr>
                    <w:alias w:val="本公司作为被担保方的关联担保情况明细-担保是否已经履行完毕"/>
                    <w:tag w:val="_GBC_ece41db563d54c85904336d073d8b352"/>
                    <w:id w:val="712931755"/>
                    <w:lock w:val="sdtLocked"/>
                    <w:comboBox>
                      <w:listItem w:displayText="是" w:value="true"/>
                      <w:listItem w:displayText="否" w:value="false"/>
                    </w:comboBox>
                  </w:sdtPr>
                  <w:sdtEndPr/>
                  <w:sdtContent>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19AAD1AF" w14:textId="269F94DB" w:rsidR="007E7472" w:rsidRDefault="006F3F93">
                        <w:pPr>
                          <w:jc w:val="center"/>
                          <w:rPr>
                            <w:rFonts w:cs="Cambria"/>
                          </w:rPr>
                        </w:pPr>
                        <w:r>
                          <w:rPr>
                            <w:rFonts w:cs="Cambria"/>
                          </w:rPr>
                          <w:t>否</w:t>
                        </w:r>
                      </w:p>
                    </w:tc>
                  </w:sdtContent>
                </w:sdt>
              </w:tr>
            </w:sdtContent>
          </w:sdt>
          <w:sdt>
            <w:sdtPr>
              <w:rPr>
                <w:rFonts w:cs="Cambria"/>
              </w:rPr>
              <w:alias w:val="本公司作为被担保方的关联担保情况明细"/>
              <w:tag w:val="_TUP_133171480fbe4e9c9c7e814e81aae393"/>
              <w:id w:val="788482859"/>
              <w:lock w:val="sdtLocked"/>
            </w:sdtPr>
            <w:sdtEndPr/>
            <w:sdtContent>
              <w:tr w:rsidR="007E7472" w14:paraId="3D4E44B0" w14:textId="77777777">
                <w:tc>
                  <w:tcPr>
                    <w:tcW w:w="1122" w:type="pct"/>
                    <w:tcBorders>
                      <w:top w:val="single" w:sz="4" w:space="0" w:color="auto"/>
                      <w:left w:val="single" w:sz="4" w:space="0" w:color="auto"/>
                      <w:bottom w:val="single" w:sz="4" w:space="0" w:color="auto"/>
                      <w:right w:val="single" w:sz="4" w:space="0" w:color="auto"/>
                    </w:tcBorders>
                    <w:shd w:val="clear" w:color="auto" w:fill="auto"/>
                    <w:vAlign w:val="center"/>
                  </w:tcPr>
                  <w:p w14:paraId="71D1B622" w14:textId="77777777" w:rsidR="007E7472" w:rsidRDefault="00EC1269">
                    <w:pPr>
                      <w:jc w:val="both"/>
                      <w:rPr>
                        <w:rFonts w:cs="Cambria"/>
                      </w:rPr>
                    </w:pPr>
                    <w:r>
                      <w:rPr>
                        <w:rFonts w:cs="Cambria" w:hint="eastAsia"/>
                      </w:rPr>
                      <w:t>青岛世纪瑞丰集团有限公司</w:t>
                    </w:r>
                  </w:p>
                </w:tc>
                <w:sdt>
                  <w:sdtPr>
                    <w:alias w:val="被担保方"/>
                    <w:tag w:val="_GBC_e7340b363bd54a239d895059620a1859"/>
                    <w:id w:val="-401837848"/>
                    <w:lock w:val="sdtLocked"/>
                  </w:sdtPr>
                  <w:sdtEndPr/>
                  <w:sdtContent>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15452DDD" w14:textId="77777777" w:rsidR="007E7472" w:rsidRDefault="00EC1269">
                        <w:pPr>
                          <w:jc w:val="both"/>
                          <w:rPr>
                            <w:rFonts w:cs="Cambria"/>
                          </w:rPr>
                        </w:pPr>
                        <w:r>
                          <w:t>本公司</w:t>
                        </w:r>
                      </w:p>
                    </w:tc>
                  </w:sdtContent>
                </w:sdt>
                <w:tc>
                  <w:tcPr>
                    <w:tcW w:w="1045" w:type="pct"/>
                    <w:tcBorders>
                      <w:top w:val="single" w:sz="4" w:space="0" w:color="auto"/>
                      <w:left w:val="single" w:sz="4" w:space="0" w:color="auto"/>
                      <w:bottom w:val="single" w:sz="4" w:space="0" w:color="auto"/>
                      <w:right w:val="single" w:sz="4" w:space="0" w:color="auto"/>
                    </w:tcBorders>
                    <w:shd w:val="clear" w:color="auto" w:fill="auto"/>
                    <w:vAlign w:val="center"/>
                  </w:tcPr>
                  <w:p w14:paraId="19FD4656" w14:textId="77777777" w:rsidR="007E7472" w:rsidRDefault="00EC1269">
                    <w:pPr>
                      <w:jc w:val="center"/>
                      <w:rPr>
                        <w:rFonts w:cs="Cambria"/>
                      </w:rPr>
                    </w:pPr>
                    <w:r>
                      <w:rPr>
                        <w:rFonts w:cs="Cambria"/>
                      </w:rPr>
                      <w:t>57,000万人民币</w:t>
                    </w:r>
                  </w:p>
                </w:tc>
                <w:tc>
                  <w:tcPr>
                    <w:tcW w:w="802" w:type="pct"/>
                    <w:tcBorders>
                      <w:top w:val="single" w:sz="4" w:space="0" w:color="auto"/>
                      <w:left w:val="single" w:sz="4" w:space="0" w:color="auto"/>
                      <w:bottom w:val="single" w:sz="4" w:space="0" w:color="auto"/>
                      <w:right w:val="single" w:sz="4" w:space="0" w:color="auto"/>
                    </w:tcBorders>
                    <w:shd w:val="clear" w:color="auto" w:fill="auto"/>
                    <w:vAlign w:val="center"/>
                  </w:tcPr>
                  <w:p w14:paraId="24801CEC" w14:textId="77777777" w:rsidR="007E7472" w:rsidRDefault="00EC1269">
                    <w:pPr>
                      <w:jc w:val="center"/>
                      <w:rPr>
                        <w:rFonts w:cs="Cambria"/>
                      </w:rPr>
                    </w:pPr>
                    <w:r>
                      <w:rPr>
                        <w:rFonts w:cs="Cambria"/>
                      </w:rPr>
                      <w:t>2023-3-15</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61E24EBE" w14:textId="77777777" w:rsidR="007E7472" w:rsidRDefault="00EC1269">
                    <w:pPr>
                      <w:jc w:val="center"/>
                      <w:rPr>
                        <w:rFonts w:cs="Cambria"/>
                      </w:rPr>
                    </w:pPr>
                    <w:r>
                      <w:rPr>
                        <w:rFonts w:cs="Cambria"/>
                      </w:rPr>
                      <w:t>2024-3-14</w:t>
                    </w:r>
                  </w:p>
                </w:tc>
                <w:sdt>
                  <w:sdtPr>
                    <w:rPr>
                      <w:rFonts w:cs="Cambria"/>
                    </w:rPr>
                    <w:alias w:val="本公司作为被担保方的关联担保情况明细-担保是否已经履行完毕"/>
                    <w:tag w:val="_GBC_ece41db563d54c85904336d073d8b352"/>
                    <w:id w:val="-632711931"/>
                    <w:lock w:val="sdtLocked"/>
                    <w:comboBox>
                      <w:listItem w:displayText="是" w:value="true"/>
                      <w:listItem w:displayText="否" w:value="false"/>
                    </w:comboBox>
                  </w:sdtPr>
                  <w:sdtEndPr/>
                  <w:sdtContent>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41F3B407" w14:textId="055E28BE" w:rsidR="007E7472" w:rsidRDefault="006F3F93">
                        <w:pPr>
                          <w:jc w:val="center"/>
                          <w:rPr>
                            <w:rFonts w:cs="Cambria"/>
                          </w:rPr>
                        </w:pPr>
                        <w:r>
                          <w:rPr>
                            <w:rFonts w:cs="Cambria"/>
                          </w:rPr>
                          <w:t>否</w:t>
                        </w:r>
                      </w:p>
                    </w:tc>
                  </w:sdtContent>
                </w:sdt>
              </w:tr>
            </w:sdtContent>
          </w:sdt>
          <w:sdt>
            <w:sdtPr>
              <w:rPr>
                <w:rFonts w:cs="Cambria"/>
              </w:rPr>
              <w:alias w:val="本公司作为被担保方的关联担保情况明细"/>
              <w:tag w:val="_TUP_133171480fbe4e9c9c7e814e81aae393"/>
              <w:id w:val="228736780"/>
              <w:lock w:val="sdtLocked"/>
            </w:sdtPr>
            <w:sdtEndPr/>
            <w:sdtContent>
              <w:tr w:rsidR="007E7472" w14:paraId="2E9656F0" w14:textId="77777777">
                <w:tc>
                  <w:tcPr>
                    <w:tcW w:w="1122" w:type="pct"/>
                    <w:tcBorders>
                      <w:top w:val="single" w:sz="4" w:space="0" w:color="auto"/>
                      <w:left w:val="single" w:sz="4" w:space="0" w:color="auto"/>
                      <w:bottom w:val="single" w:sz="4" w:space="0" w:color="auto"/>
                      <w:right w:val="single" w:sz="4" w:space="0" w:color="auto"/>
                    </w:tcBorders>
                    <w:shd w:val="clear" w:color="auto" w:fill="auto"/>
                    <w:vAlign w:val="center"/>
                  </w:tcPr>
                  <w:p w14:paraId="7EADED19" w14:textId="77777777" w:rsidR="007E7472" w:rsidRDefault="00EC1269">
                    <w:pPr>
                      <w:jc w:val="both"/>
                      <w:rPr>
                        <w:rFonts w:cs="Cambria"/>
                      </w:rPr>
                    </w:pPr>
                    <w:r>
                      <w:rPr>
                        <w:rFonts w:cs="Cambria"/>
                      </w:rPr>
                      <w:t>青岛世纪瑞丰集团有限公司</w:t>
                    </w:r>
                  </w:p>
                </w:tc>
                <w:sdt>
                  <w:sdtPr>
                    <w:alias w:val="被担保方"/>
                    <w:tag w:val="_GBC_e7340b363bd54a239d895059620a1859"/>
                    <w:id w:val="-184979725"/>
                    <w:lock w:val="sdtLocked"/>
                  </w:sdtPr>
                  <w:sdtEndPr/>
                  <w:sdtContent>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716DDE20" w14:textId="77777777" w:rsidR="007E7472" w:rsidRDefault="00EC1269">
                        <w:pPr>
                          <w:jc w:val="both"/>
                          <w:rPr>
                            <w:rFonts w:cs="Cambria"/>
                          </w:rPr>
                        </w:pPr>
                        <w:r>
                          <w:t>本公司</w:t>
                        </w:r>
                      </w:p>
                    </w:tc>
                  </w:sdtContent>
                </w:sdt>
                <w:tc>
                  <w:tcPr>
                    <w:tcW w:w="1045" w:type="pct"/>
                    <w:tcBorders>
                      <w:top w:val="single" w:sz="4" w:space="0" w:color="auto"/>
                      <w:left w:val="single" w:sz="4" w:space="0" w:color="auto"/>
                      <w:bottom w:val="single" w:sz="4" w:space="0" w:color="auto"/>
                      <w:right w:val="single" w:sz="4" w:space="0" w:color="auto"/>
                    </w:tcBorders>
                    <w:shd w:val="clear" w:color="auto" w:fill="auto"/>
                    <w:vAlign w:val="center"/>
                  </w:tcPr>
                  <w:p w14:paraId="1EEF702E" w14:textId="77777777" w:rsidR="007E7472" w:rsidRDefault="00EC1269">
                    <w:pPr>
                      <w:jc w:val="center"/>
                      <w:rPr>
                        <w:rFonts w:cs="Cambria"/>
                      </w:rPr>
                    </w:pPr>
                    <w:r>
                      <w:rPr>
                        <w:rFonts w:cs="Cambria"/>
                      </w:rPr>
                      <w:t>25,000万人民币</w:t>
                    </w:r>
                  </w:p>
                </w:tc>
                <w:tc>
                  <w:tcPr>
                    <w:tcW w:w="802" w:type="pct"/>
                    <w:tcBorders>
                      <w:top w:val="single" w:sz="4" w:space="0" w:color="auto"/>
                      <w:left w:val="single" w:sz="4" w:space="0" w:color="auto"/>
                      <w:bottom w:val="single" w:sz="4" w:space="0" w:color="auto"/>
                      <w:right w:val="single" w:sz="4" w:space="0" w:color="auto"/>
                    </w:tcBorders>
                    <w:shd w:val="clear" w:color="auto" w:fill="auto"/>
                    <w:vAlign w:val="center"/>
                  </w:tcPr>
                  <w:p w14:paraId="62AF669B" w14:textId="77777777" w:rsidR="007E7472" w:rsidRDefault="00EC1269">
                    <w:pPr>
                      <w:jc w:val="center"/>
                      <w:rPr>
                        <w:rFonts w:cs="Cambria"/>
                      </w:rPr>
                    </w:pPr>
                    <w:r>
                      <w:rPr>
                        <w:rFonts w:cs="Cambria"/>
                      </w:rPr>
                      <w:t>2023-5-15</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7E003699" w14:textId="77777777" w:rsidR="007E7472" w:rsidRDefault="00EC1269">
                    <w:pPr>
                      <w:jc w:val="center"/>
                      <w:rPr>
                        <w:rFonts w:cs="Cambria"/>
                      </w:rPr>
                    </w:pPr>
                    <w:r>
                      <w:rPr>
                        <w:rFonts w:cs="Cambria"/>
                      </w:rPr>
                      <w:t>2023-11-30</w:t>
                    </w:r>
                  </w:p>
                </w:tc>
                <w:sdt>
                  <w:sdtPr>
                    <w:rPr>
                      <w:rFonts w:cs="Cambria"/>
                    </w:rPr>
                    <w:alias w:val="本公司作为被担保方的关联担保情况明细-担保是否已经履行完毕"/>
                    <w:tag w:val="_GBC_ece41db563d54c85904336d073d8b352"/>
                    <w:id w:val="-988322433"/>
                    <w:lock w:val="sdtLocked"/>
                    <w:comboBox>
                      <w:listItem w:displayText="是" w:value="true"/>
                      <w:listItem w:displayText="否" w:value="false"/>
                    </w:comboBox>
                  </w:sdtPr>
                  <w:sdtEndPr/>
                  <w:sdtContent>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693B9A2B" w14:textId="6D48C576" w:rsidR="007E7472" w:rsidRDefault="006F3F93">
                        <w:pPr>
                          <w:jc w:val="center"/>
                          <w:rPr>
                            <w:rFonts w:cs="Cambria"/>
                          </w:rPr>
                        </w:pPr>
                        <w:r>
                          <w:rPr>
                            <w:rFonts w:cs="Cambria"/>
                          </w:rPr>
                          <w:t>否</w:t>
                        </w:r>
                      </w:p>
                    </w:tc>
                  </w:sdtContent>
                </w:sdt>
              </w:tr>
            </w:sdtContent>
          </w:sdt>
          <w:sdt>
            <w:sdtPr>
              <w:rPr>
                <w:rFonts w:cs="Cambria"/>
              </w:rPr>
              <w:alias w:val="本公司作为被担保方的关联担保情况明细"/>
              <w:tag w:val="_TUP_133171480fbe4e9c9c7e814e81aae393"/>
              <w:id w:val="1002704249"/>
              <w:lock w:val="sdtLocked"/>
            </w:sdtPr>
            <w:sdtEndPr/>
            <w:sdtContent>
              <w:tr w:rsidR="007E7472" w14:paraId="5B0C4BF0" w14:textId="77777777">
                <w:tc>
                  <w:tcPr>
                    <w:tcW w:w="1122" w:type="pct"/>
                    <w:tcBorders>
                      <w:top w:val="single" w:sz="4" w:space="0" w:color="auto"/>
                      <w:left w:val="single" w:sz="4" w:space="0" w:color="auto"/>
                      <w:bottom w:val="single" w:sz="4" w:space="0" w:color="auto"/>
                      <w:right w:val="single" w:sz="4" w:space="0" w:color="auto"/>
                    </w:tcBorders>
                    <w:shd w:val="clear" w:color="auto" w:fill="auto"/>
                    <w:vAlign w:val="center"/>
                  </w:tcPr>
                  <w:p w14:paraId="5891FD91" w14:textId="77777777" w:rsidR="007E7472" w:rsidRDefault="00EC1269">
                    <w:pPr>
                      <w:jc w:val="both"/>
                      <w:rPr>
                        <w:rFonts w:cs="Cambria"/>
                      </w:rPr>
                    </w:pPr>
                    <w:r>
                      <w:rPr>
                        <w:rFonts w:cs="Cambria"/>
                      </w:rPr>
                      <w:t>烟台金正环保科技有限公司</w:t>
                    </w:r>
                  </w:p>
                </w:tc>
                <w:sdt>
                  <w:sdtPr>
                    <w:alias w:val="被担保方"/>
                    <w:tag w:val="_GBC_e7340b363bd54a239d895059620a1859"/>
                    <w:id w:val="-221915651"/>
                    <w:lock w:val="sdtLocked"/>
                  </w:sdtPr>
                  <w:sdtEndPr/>
                  <w:sdtContent>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73B98F58" w14:textId="77777777" w:rsidR="007E7472" w:rsidRDefault="00EC1269">
                        <w:pPr>
                          <w:jc w:val="both"/>
                          <w:rPr>
                            <w:rFonts w:cs="Cambria"/>
                          </w:rPr>
                        </w:pPr>
                        <w:r>
                          <w:t>本公司</w:t>
                        </w:r>
                      </w:p>
                    </w:tc>
                  </w:sdtContent>
                </w:sdt>
                <w:tc>
                  <w:tcPr>
                    <w:tcW w:w="1045" w:type="pct"/>
                    <w:tcBorders>
                      <w:top w:val="single" w:sz="4" w:space="0" w:color="auto"/>
                      <w:left w:val="single" w:sz="4" w:space="0" w:color="auto"/>
                      <w:bottom w:val="single" w:sz="4" w:space="0" w:color="auto"/>
                      <w:right w:val="single" w:sz="4" w:space="0" w:color="auto"/>
                    </w:tcBorders>
                    <w:shd w:val="clear" w:color="auto" w:fill="auto"/>
                    <w:vAlign w:val="center"/>
                  </w:tcPr>
                  <w:p w14:paraId="30BD23D9" w14:textId="77777777" w:rsidR="007E7472" w:rsidRDefault="00EC1269">
                    <w:pPr>
                      <w:jc w:val="center"/>
                      <w:rPr>
                        <w:rFonts w:cs="Cambria"/>
                      </w:rPr>
                    </w:pPr>
                    <w:r>
                      <w:rPr>
                        <w:rFonts w:cs="Cambria"/>
                      </w:rPr>
                      <w:t>7,535万人民币</w:t>
                    </w:r>
                  </w:p>
                </w:tc>
                <w:tc>
                  <w:tcPr>
                    <w:tcW w:w="802" w:type="pct"/>
                    <w:tcBorders>
                      <w:top w:val="single" w:sz="4" w:space="0" w:color="auto"/>
                      <w:left w:val="single" w:sz="4" w:space="0" w:color="auto"/>
                      <w:bottom w:val="single" w:sz="4" w:space="0" w:color="auto"/>
                      <w:right w:val="single" w:sz="4" w:space="0" w:color="auto"/>
                    </w:tcBorders>
                    <w:shd w:val="clear" w:color="auto" w:fill="auto"/>
                    <w:vAlign w:val="center"/>
                  </w:tcPr>
                  <w:p w14:paraId="6314FF7E" w14:textId="77777777" w:rsidR="007E7472" w:rsidRDefault="00EC1269">
                    <w:pPr>
                      <w:jc w:val="center"/>
                      <w:rPr>
                        <w:rFonts w:cs="Cambria"/>
                      </w:rPr>
                    </w:pPr>
                    <w:r>
                      <w:rPr>
                        <w:rFonts w:cs="Cambria"/>
                      </w:rPr>
                      <w:t>2023-3-10</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379A5F70" w14:textId="77777777" w:rsidR="007E7472" w:rsidRDefault="00EC1269">
                    <w:pPr>
                      <w:jc w:val="center"/>
                      <w:rPr>
                        <w:rFonts w:cs="Cambria"/>
                      </w:rPr>
                    </w:pPr>
                    <w:r>
                      <w:rPr>
                        <w:rFonts w:cs="Cambria"/>
                      </w:rPr>
                      <w:t>2024-3-9</w:t>
                    </w:r>
                  </w:p>
                </w:tc>
                <w:sdt>
                  <w:sdtPr>
                    <w:rPr>
                      <w:rFonts w:cs="Cambria"/>
                    </w:rPr>
                    <w:alias w:val="本公司作为被担保方的关联担保情况明细-担保是否已经履行完毕"/>
                    <w:tag w:val="_GBC_ece41db563d54c85904336d073d8b352"/>
                    <w:id w:val="-1110050898"/>
                    <w:lock w:val="sdtLocked"/>
                    <w:comboBox>
                      <w:listItem w:displayText="是" w:value="true"/>
                      <w:listItem w:displayText="否" w:value="false"/>
                    </w:comboBox>
                  </w:sdtPr>
                  <w:sdtEndPr/>
                  <w:sdtContent>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14:paraId="384C1D49" w14:textId="491A42CB" w:rsidR="007E7472" w:rsidRDefault="006F3F93">
                        <w:pPr>
                          <w:jc w:val="center"/>
                          <w:rPr>
                            <w:rFonts w:cs="Cambria"/>
                          </w:rPr>
                        </w:pPr>
                        <w:r>
                          <w:rPr>
                            <w:rFonts w:cs="Cambria"/>
                          </w:rPr>
                          <w:t>否</w:t>
                        </w:r>
                      </w:p>
                    </w:tc>
                  </w:sdtContent>
                </w:sdt>
              </w:tr>
            </w:sdtContent>
          </w:sdt>
        </w:tbl>
        <w:p w14:paraId="01CA2EE7" w14:textId="77777777" w:rsidR="007E7472" w:rsidRDefault="00C8327E"/>
        <w:p w14:paraId="4475F8EF" w14:textId="77777777" w:rsidR="007E7472" w:rsidRDefault="00EC1269">
          <w:pPr>
            <w:rPr>
              <w:rFonts w:cs="Cambria"/>
            </w:rPr>
          </w:pPr>
          <w:r>
            <w:rPr>
              <w:rFonts w:cs="Cambria" w:hint="eastAsia"/>
            </w:rPr>
            <w:t>关联担保情况说明</w:t>
          </w:r>
        </w:p>
        <w:sdt>
          <w:sdtPr>
            <w:rPr>
              <w:rFonts w:cs="Cambria"/>
            </w:rPr>
            <w:alias w:val="是否适用：关联担保情况说明[双击切换]"/>
            <w:tag w:val="_GBC_9a5a4769e8804b779ae17adb041890d7"/>
            <w:id w:val="823478848"/>
            <w:lock w:val="sdtLocked"/>
            <w:placeholder>
              <w:docPart w:val="GBC22222222222222222222222222222"/>
            </w:placeholder>
          </w:sdtPr>
          <w:sdtEndPr/>
          <w:sdtContent>
            <w:p w14:paraId="7CDBB852" w14:textId="77777777" w:rsidR="007E7472" w:rsidRDefault="00EC1269">
              <w:pPr>
                <w:rPr>
                  <w:rFonts w:cs="Cambria"/>
                </w:rPr>
              </w:pPr>
              <w:r>
                <w:rPr>
                  <w:rFonts w:cs="Cambria"/>
                </w:rPr>
                <w:fldChar w:fldCharType="begin"/>
              </w:r>
              <w:r>
                <w:rPr>
                  <w:rFonts w:cs="Cambria"/>
                </w:rPr>
                <w:instrText xml:space="preserve"> MACROBUTTON  SnrToggleCheckbox □适用 </w:instrText>
              </w:r>
              <w:r>
                <w:rPr>
                  <w:rFonts w:cs="Cambria"/>
                </w:rPr>
                <w:fldChar w:fldCharType="end"/>
              </w:r>
              <w:r>
                <w:rPr>
                  <w:rFonts w:cs="Cambria"/>
                </w:rPr>
                <w:fldChar w:fldCharType="begin"/>
              </w:r>
              <w:r>
                <w:rPr>
                  <w:rFonts w:cs="Cambria"/>
                </w:rPr>
                <w:instrText xml:space="preserve"> MACROBUTTON  SnrToggleCheckbox √不适用 </w:instrText>
              </w:r>
              <w:r>
                <w:rPr>
                  <w:rFonts w:cs="Cambria"/>
                </w:rPr>
                <w:fldChar w:fldCharType="end"/>
              </w:r>
            </w:p>
          </w:sdtContent>
        </w:sdt>
        <w:p w14:paraId="143B2E48" w14:textId="77777777" w:rsidR="007E7472" w:rsidRDefault="00C8327E">
          <w:pPr>
            <w:rPr>
              <w:rFonts w:cs="Cambria"/>
              <w:sz w:val="20"/>
              <w:szCs w:val="20"/>
            </w:rPr>
          </w:pPr>
        </w:p>
      </w:sdtContent>
    </w:sdt>
    <w:bookmarkEnd w:id="277" w:displacedByCustomXml="next"/>
    <w:bookmarkStart w:id="278" w:name="_Hlk72829984" w:displacedByCustomXml="next"/>
    <w:sdt>
      <w:sdtPr>
        <w:rPr>
          <w:rFonts w:ascii="宋体" w:hAnsi="宋体" w:cs="Arial"/>
          <w:b w:val="0"/>
          <w:bCs w:val="0"/>
          <w:kern w:val="0"/>
          <w:szCs w:val="21"/>
        </w:rPr>
        <w:alias w:val="模块:"/>
        <w:tag w:val="_SEC_b82cc4dd84264685b7f47657a2755690"/>
        <w:id w:val="-19558178"/>
        <w:lock w:val="sdtLocked"/>
        <w:placeholder>
          <w:docPart w:val="GBC22222222222222222222222222222"/>
        </w:placeholder>
      </w:sdtPr>
      <w:sdtEndPr>
        <w:rPr>
          <w:rFonts w:cs="Times New Roman"/>
        </w:rPr>
      </w:sdtEndPr>
      <w:sdtContent>
        <w:p w14:paraId="3D6B49D0" w14:textId="77777777" w:rsidR="007E7472" w:rsidRDefault="00EC1269" w:rsidP="00162493">
          <w:pPr>
            <w:pStyle w:val="4"/>
            <w:numPr>
              <w:ilvl w:val="0"/>
              <w:numId w:val="108"/>
            </w:numPr>
            <w:rPr>
              <w:rFonts w:cs="Arial"/>
            </w:rPr>
          </w:pPr>
          <w:r>
            <w:rPr>
              <w:rFonts w:cs="Arial" w:hint="eastAsia"/>
            </w:rPr>
            <w:t>关联方资金拆借</w:t>
          </w:r>
        </w:p>
        <w:sdt>
          <w:sdtPr>
            <w:alias w:val="是否适用：关联方资金拆借[双击切换]"/>
            <w:tag w:val="_GBC_4b2d20ddab104a06a9007945a55a3da5"/>
            <w:id w:val="-1196224132"/>
            <w:lock w:val="sdtLocked"/>
            <w:placeholder>
              <w:docPart w:val="GBC22222222222222222222222222222"/>
            </w:placeholder>
          </w:sdtPr>
          <w:sdtEndPr/>
          <w:sdtContent>
            <w:p w14:paraId="57FB793E" w14:textId="77777777" w:rsidR="007E7472" w:rsidRDefault="00EC126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656720B4" w14:textId="77777777" w:rsidR="007E7472" w:rsidRDefault="00C8327E">
          <w:pPr>
            <w:rPr>
              <w:rFonts w:cstheme="minorBidi"/>
            </w:rPr>
          </w:pPr>
        </w:p>
      </w:sdtContent>
    </w:sdt>
    <w:bookmarkEnd w:id="278" w:displacedByCustomXml="next"/>
    <w:sdt>
      <w:sdtPr>
        <w:rPr>
          <w:rFonts w:ascii="宋体" w:hAnsi="宋体" w:cs="宋体" w:hint="eastAsia"/>
          <w:b w:val="0"/>
          <w:bCs w:val="0"/>
          <w:kern w:val="0"/>
          <w:sz w:val="20"/>
          <w:szCs w:val="24"/>
        </w:rPr>
        <w:alias w:val="模块:关联方资产转让、债务重组情况"/>
        <w:tag w:val="_GBC_9319584d30f7446b9ff3e2a3d50022d5"/>
        <w:id w:val="2035605123"/>
        <w:lock w:val="sdtLocked"/>
        <w:placeholder>
          <w:docPart w:val="GBC22222222222222222222222222222"/>
        </w:placeholder>
      </w:sdtPr>
      <w:sdtEndPr>
        <w:rPr>
          <w:rFonts w:hint="default"/>
          <w:sz w:val="21"/>
          <w:szCs w:val="21"/>
        </w:rPr>
      </w:sdtEndPr>
      <w:sdtContent>
        <w:p w14:paraId="405E89C9" w14:textId="77777777" w:rsidR="007E7472" w:rsidRDefault="00EC1269" w:rsidP="00162493">
          <w:pPr>
            <w:pStyle w:val="4"/>
            <w:numPr>
              <w:ilvl w:val="0"/>
              <w:numId w:val="108"/>
            </w:numPr>
          </w:pPr>
          <w:r>
            <w:rPr>
              <w:rFonts w:hint="eastAsia"/>
            </w:rPr>
            <w:t>关联方资产转让、债务重组情况</w:t>
          </w:r>
        </w:p>
        <w:sdt>
          <w:sdtPr>
            <w:alias w:val="是否适用：关联方资产转让、债务重组情况[双击切换]"/>
            <w:tag w:val="_GBC_c590c66abdbe454e89c4c55269fb6adf"/>
            <w:id w:val="-452166842"/>
            <w:lock w:val="sdtLocked"/>
            <w:placeholder>
              <w:docPart w:val="GBC22222222222222222222222222222"/>
            </w:placeholder>
          </w:sdtPr>
          <w:sdtEndPr/>
          <w:sdtContent>
            <w:p w14:paraId="05D8A92F"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 w:val="20"/>
          <w:szCs w:val="21"/>
        </w:rPr>
        <w:alias w:val="模块:关键管理人员报酬"/>
        <w:tag w:val="_GBC_16da1beac91f4544809058bfda2ad3bf"/>
        <w:id w:val="703131120"/>
        <w:lock w:val="sdtLocked"/>
        <w:placeholder>
          <w:docPart w:val="GBC22222222222222222222222222222"/>
        </w:placeholder>
      </w:sdtPr>
      <w:sdtEndPr>
        <w:rPr>
          <w:rFonts w:hint="default"/>
        </w:rPr>
      </w:sdtEndPr>
      <w:sdtContent>
        <w:p w14:paraId="63DF1649" w14:textId="77777777" w:rsidR="007E7472" w:rsidRDefault="00EC1269" w:rsidP="00162493">
          <w:pPr>
            <w:pStyle w:val="4"/>
            <w:numPr>
              <w:ilvl w:val="0"/>
              <w:numId w:val="108"/>
            </w:numPr>
          </w:pPr>
          <w:r>
            <w:rPr>
              <w:rFonts w:hint="eastAsia"/>
            </w:rPr>
            <w:t>关键管理人员报酬</w:t>
          </w:r>
        </w:p>
        <w:sdt>
          <w:sdtPr>
            <w:alias w:val="是否适用：关键管理人员报酬[双击切换]"/>
            <w:tag w:val="_GBC_48379e9c7f5743bb916ac1cb044f4057"/>
            <w:id w:val="-1531717647"/>
            <w:lock w:val="sdtLocked"/>
            <w:placeholder>
              <w:docPart w:val="GBC22222222222222222222222222222"/>
            </w:placeholder>
          </w:sdtPr>
          <w:sdtEndPr/>
          <w:sdtContent>
            <w:p w14:paraId="0066E0CA"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5CA58F0" w14:textId="4FF6B84D" w:rsidR="007E7472" w:rsidRDefault="00EC1269">
          <w:pPr>
            <w:jc w:val="right"/>
            <w:rPr>
              <w:rFonts w:cs="Cambria"/>
            </w:rPr>
          </w:pPr>
          <w:r>
            <w:rPr>
              <w:rFonts w:cs="Cambria" w:hint="eastAsia"/>
            </w:rPr>
            <w:t>单位：</w:t>
          </w:r>
          <w:sdt>
            <w:sdtPr>
              <w:rPr>
                <w:rFonts w:cs="Cambria" w:hint="eastAsia"/>
              </w:rPr>
              <w:alias w:val="单位：财务附注：关键管理人员报酬"/>
              <w:tag w:val="_GBC_ce83ed5df8424f9a845da83f15361f10"/>
              <w:id w:val="-16077247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cs="Cambria" w:hint="eastAsia"/>
                </w:rPr>
                <w:t>万元</w:t>
              </w:r>
            </w:sdtContent>
          </w:sdt>
          <w:r>
            <w:rPr>
              <w:rFonts w:cs="Cambria" w:hint="eastAsia"/>
            </w:rPr>
            <w:t>币种：</w:t>
          </w:r>
          <w:sdt>
            <w:sdtPr>
              <w:rPr>
                <w:rFonts w:cs="Cambria" w:hint="eastAsia"/>
              </w:rPr>
              <w:alias w:val="币种：财务附注：关键管理人员报酬"/>
              <w:tag w:val="_GBC_f493c9ef199846639115d5bc3032a26e"/>
              <w:id w:val="-20276304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cs="Cambria"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2439"/>
          </w:tblGrid>
          <w:tr w:rsidR="007E7472" w14:paraId="148BAEC7" w14:textId="77777777">
            <w:sdt>
              <w:sdtPr>
                <w:tag w:val="_PLD_67f843efe3664c9fbe7a215b63622ea0"/>
                <w:id w:val="-816027443"/>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14:paraId="3EC2A177" w14:textId="77777777" w:rsidR="007E7472" w:rsidRDefault="00EC1269">
                    <w:pPr>
                      <w:jc w:val="center"/>
                      <w:rPr>
                        <w:rFonts w:cs="Cambria"/>
                      </w:rPr>
                    </w:pPr>
                    <w:r>
                      <w:rPr>
                        <w:rFonts w:cs="Cambria" w:hint="eastAsia"/>
                      </w:rPr>
                      <w:t>项目</w:t>
                    </w:r>
                  </w:p>
                </w:tc>
              </w:sdtContent>
            </w:sdt>
            <w:sdt>
              <w:sdtPr>
                <w:tag w:val="_PLD_30a169af324e457e93d304c688a55945"/>
                <w:id w:val="-790440067"/>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14:paraId="4BB935DF" w14:textId="77777777" w:rsidR="007E7472" w:rsidRDefault="00EC1269">
                    <w:pPr>
                      <w:jc w:val="center"/>
                      <w:rPr>
                        <w:rFonts w:cs="Cambria"/>
                      </w:rPr>
                    </w:pPr>
                    <w:r>
                      <w:rPr>
                        <w:rFonts w:cs="Cambria" w:hint="eastAsia"/>
                      </w:rPr>
                      <w:t>本期发生额</w:t>
                    </w:r>
                  </w:p>
                </w:tc>
              </w:sdtContent>
            </w:sdt>
            <w:sdt>
              <w:sdtPr>
                <w:tag w:val="_PLD_bf5a91780f544d6eade38e70db331a30"/>
                <w:id w:val="1233113645"/>
                <w:lock w:val="sdtLocked"/>
              </w:sdtPr>
              <w:sdtEndPr/>
              <w:sdtContent>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14:paraId="1B548554" w14:textId="77777777" w:rsidR="007E7472" w:rsidRDefault="00EC1269">
                    <w:pPr>
                      <w:jc w:val="center"/>
                      <w:rPr>
                        <w:rFonts w:cs="Cambria"/>
                      </w:rPr>
                    </w:pPr>
                    <w:r>
                      <w:rPr>
                        <w:rFonts w:cs="Cambria" w:hint="eastAsia"/>
                      </w:rPr>
                      <w:t>上期发生额</w:t>
                    </w:r>
                  </w:p>
                </w:tc>
              </w:sdtContent>
            </w:sdt>
          </w:tr>
          <w:tr w:rsidR="007E7472" w14:paraId="1648237C" w14:textId="77777777">
            <w:sdt>
              <w:sdtPr>
                <w:tag w:val="_PLD_bc4e2a2d92044454966304594fcd32da"/>
                <w:id w:val="1732961620"/>
                <w:lock w:val="sdtLocked"/>
              </w:sdtPr>
              <w:sdtEndPr/>
              <w:sdtContent>
                <w:tc>
                  <w:tcPr>
                    <w:tcW w:w="1809" w:type="pct"/>
                    <w:tcBorders>
                      <w:top w:val="single" w:sz="4" w:space="0" w:color="auto"/>
                      <w:left w:val="single" w:sz="4" w:space="0" w:color="auto"/>
                      <w:bottom w:val="single" w:sz="4" w:space="0" w:color="auto"/>
                      <w:right w:val="single" w:sz="4" w:space="0" w:color="auto"/>
                    </w:tcBorders>
                    <w:shd w:val="clear" w:color="auto" w:fill="auto"/>
                  </w:tcPr>
                  <w:p w14:paraId="4DBCB1CE" w14:textId="77777777" w:rsidR="007E7472" w:rsidRDefault="00EC1269">
                    <w:pPr>
                      <w:rPr>
                        <w:rFonts w:cs="Cambria"/>
                      </w:rPr>
                    </w:pPr>
                    <w:r>
                      <w:rPr>
                        <w:rFonts w:cs="Cambria" w:hint="eastAsia"/>
                      </w:rPr>
                      <w:t>关键管理人员报酬</w:t>
                    </w:r>
                  </w:p>
                </w:tc>
              </w:sdtContent>
            </w:sdt>
            <w:tc>
              <w:tcPr>
                <w:tcW w:w="1809" w:type="pct"/>
                <w:tcBorders>
                  <w:top w:val="single" w:sz="4" w:space="0" w:color="auto"/>
                  <w:left w:val="single" w:sz="4" w:space="0" w:color="auto"/>
                  <w:bottom w:val="single" w:sz="4" w:space="0" w:color="auto"/>
                  <w:right w:val="single" w:sz="4" w:space="0" w:color="auto"/>
                </w:tcBorders>
                <w:shd w:val="clear" w:color="auto" w:fill="auto"/>
              </w:tcPr>
              <w:p w14:paraId="5AFDF770" w14:textId="77777777" w:rsidR="007E7472" w:rsidRDefault="00EC1269">
                <w:pPr>
                  <w:jc w:val="right"/>
                  <w:rPr>
                    <w:rFonts w:cs="Cambria"/>
                  </w:rPr>
                </w:pPr>
                <w:r>
                  <w:rPr>
                    <w:rFonts w:cs="Cambria"/>
                  </w:rPr>
                  <w:t>6,1</w:t>
                </w:r>
                <w:r>
                  <w:rPr>
                    <w:rFonts w:cs="Cambria" w:hint="eastAsia"/>
                  </w:rPr>
                  <w:t>10</w:t>
                </w:r>
              </w:p>
            </w:tc>
            <w:tc>
              <w:tcPr>
                <w:tcW w:w="1382" w:type="pct"/>
                <w:tcBorders>
                  <w:top w:val="single" w:sz="4" w:space="0" w:color="auto"/>
                  <w:left w:val="single" w:sz="4" w:space="0" w:color="auto"/>
                  <w:bottom w:val="single" w:sz="4" w:space="0" w:color="auto"/>
                  <w:right w:val="single" w:sz="4" w:space="0" w:color="auto"/>
                </w:tcBorders>
                <w:shd w:val="clear" w:color="auto" w:fill="auto"/>
              </w:tcPr>
              <w:p w14:paraId="5C0A6817" w14:textId="77777777" w:rsidR="007E7472" w:rsidRDefault="00EC1269">
                <w:pPr>
                  <w:jc w:val="right"/>
                  <w:rPr>
                    <w:rFonts w:cs="Cambria"/>
                  </w:rPr>
                </w:pPr>
                <w:r>
                  <w:rPr>
                    <w:rFonts w:cs="Cambria"/>
                  </w:rPr>
                  <w:t>7,246</w:t>
                </w:r>
              </w:p>
            </w:tc>
          </w:tr>
        </w:tbl>
        <w:p w14:paraId="6885F974" w14:textId="77777777" w:rsidR="007E7472" w:rsidRDefault="00C8327E"/>
      </w:sdtContent>
    </w:sdt>
    <w:sdt>
      <w:sdtPr>
        <w:rPr>
          <w:rFonts w:ascii="宋体" w:hAnsi="宋体" w:cs="宋体" w:hint="eastAsia"/>
          <w:b w:val="0"/>
          <w:bCs w:val="0"/>
          <w:kern w:val="0"/>
          <w:sz w:val="20"/>
          <w:szCs w:val="24"/>
        </w:rPr>
        <w:alias w:val="模块:其他关联交易"/>
        <w:tag w:val="_GBC_45e2e59b0d6145b48f7cfd576edaa9e6"/>
        <w:id w:val="312761950"/>
        <w:lock w:val="sdtLocked"/>
        <w:placeholder>
          <w:docPart w:val="GBC22222222222222222222222222222"/>
        </w:placeholder>
      </w:sdtPr>
      <w:sdtEndPr>
        <w:rPr>
          <w:rFonts w:cstheme="minorBidi" w:hint="default"/>
          <w:szCs w:val="21"/>
        </w:rPr>
      </w:sdtEndPr>
      <w:sdtContent>
        <w:p w14:paraId="76BFB3D3" w14:textId="77777777" w:rsidR="007E7472" w:rsidRDefault="00EC1269" w:rsidP="00162493">
          <w:pPr>
            <w:pStyle w:val="4"/>
            <w:numPr>
              <w:ilvl w:val="0"/>
              <w:numId w:val="108"/>
            </w:numPr>
          </w:pPr>
          <w:r>
            <w:rPr>
              <w:rFonts w:hint="eastAsia"/>
            </w:rPr>
            <w:t>其他关联交易</w:t>
          </w:r>
        </w:p>
        <w:sdt>
          <w:sdtPr>
            <w:alias w:val="是否适用：其他关联交易[双击切换]"/>
            <w:tag w:val="_GBC_9768a300838a499089a7b814ff3d817d"/>
            <w:id w:val="1813820961"/>
            <w:lock w:val="sdtLocked"/>
            <w:placeholder>
              <w:docPart w:val="GBC22222222222222222222222222222"/>
            </w:placeholder>
          </w:sdtPr>
          <w:sdtEndPr/>
          <w:sdtContent>
            <w:p w14:paraId="336299F1"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其他关联交易的情况"/>
            <w:tag w:val="_GBC_6032ff15164341538a97d5ac05a80e23"/>
            <w:id w:val="-2097853432"/>
            <w:lock w:val="sdtLocked"/>
            <w:placeholder>
              <w:docPart w:val="GBC22222222222222222222222222222"/>
            </w:placeholder>
          </w:sdtPr>
          <w:sdtEndPr/>
          <w:sdtContent>
            <w:p w14:paraId="68B888CB" w14:textId="77777777" w:rsidR="007E7472" w:rsidRDefault="00C8327E"/>
            <w:tbl>
              <w:tblPr>
                <w:tblStyle w:val="g4"/>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2552"/>
                <w:gridCol w:w="1417"/>
                <w:gridCol w:w="1565"/>
                <w:gridCol w:w="884"/>
              </w:tblGrid>
              <w:tr w:rsidR="007E7472" w14:paraId="63F9F698" w14:textId="77777777" w:rsidTr="007E7472">
                <w:trPr>
                  <w:trHeight w:val="397"/>
                  <w:tblHeader/>
                  <w:jc w:val="center"/>
                </w:trPr>
                <w:tc>
                  <w:tcPr>
                    <w:tcW w:w="2405" w:type="dxa"/>
                    <w:vAlign w:val="center"/>
                  </w:tcPr>
                  <w:p w14:paraId="0A64B036" w14:textId="77777777" w:rsidR="007E7472" w:rsidRDefault="00EC1269">
                    <w:pPr>
                      <w:jc w:val="both"/>
                      <w:rPr>
                        <w:b/>
                        <w:bCs/>
                        <w:spacing w:val="-20"/>
                      </w:rPr>
                    </w:pPr>
                    <w:r>
                      <w:rPr>
                        <w:rFonts w:hint="eastAsia"/>
                        <w:b/>
                        <w:spacing w:val="-20"/>
                      </w:rPr>
                      <w:t>关联方</w:t>
                    </w:r>
                  </w:p>
                </w:tc>
                <w:tc>
                  <w:tcPr>
                    <w:tcW w:w="2552" w:type="dxa"/>
                    <w:vAlign w:val="center"/>
                  </w:tcPr>
                  <w:p w14:paraId="53C8C0A3" w14:textId="77777777" w:rsidR="007E7472" w:rsidRDefault="00EC1269">
                    <w:pPr>
                      <w:jc w:val="both"/>
                      <w:rPr>
                        <w:b/>
                        <w:bCs/>
                        <w:spacing w:val="-20"/>
                      </w:rPr>
                    </w:pPr>
                    <w:r>
                      <w:rPr>
                        <w:b/>
                        <w:spacing w:val="-20"/>
                      </w:rPr>
                      <w:t>项目</w:t>
                    </w:r>
                    <w:r>
                      <w:rPr>
                        <w:rFonts w:hint="eastAsia"/>
                        <w:b/>
                        <w:spacing w:val="-20"/>
                      </w:rPr>
                      <w:t>名称</w:t>
                    </w:r>
                  </w:p>
                </w:tc>
                <w:tc>
                  <w:tcPr>
                    <w:tcW w:w="1417" w:type="dxa"/>
                    <w:vAlign w:val="center"/>
                  </w:tcPr>
                  <w:p w14:paraId="57930FD2" w14:textId="77777777" w:rsidR="007E7472" w:rsidRDefault="00EC1269">
                    <w:pPr>
                      <w:autoSpaceDE w:val="0"/>
                      <w:autoSpaceDN w:val="0"/>
                      <w:jc w:val="center"/>
                      <w:rPr>
                        <w:b/>
                        <w:spacing w:val="-20"/>
                      </w:rPr>
                    </w:pPr>
                    <w:r>
                      <w:rPr>
                        <w:rFonts w:hint="eastAsia"/>
                        <w:b/>
                        <w:spacing w:val="-20"/>
                      </w:rPr>
                      <w:t>本年发生额</w:t>
                    </w:r>
                  </w:p>
                </w:tc>
                <w:tc>
                  <w:tcPr>
                    <w:tcW w:w="1565" w:type="dxa"/>
                    <w:vAlign w:val="center"/>
                  </w:tcPr>
                  <w:p w14:paraId="3FD2C6A1" w14:textId="77777777" w:rsidR="007E7472" w:rsidRDefault="00EC1269">
                    <w:pPr>
                      <w:autoSpaceDE w:val="0"/>
                      <w:autoSpaceDN w:val="0"/>
                      <w:jc w:val="center"/>
                      <w:rPr>
                        <w:b/>
                        <w:spacing w:val="-20"/>
                      </w:rPr>
                    </w:pPr>
                    <w:r>
                      <w:rPr>
                        <w:rFonts w:hint="eastAsia"/>
                        <w:b/>
                        <w:spacing w:val="-20"/>
                      </w:rPr>
                      <w:t>上年发生额</w:t>
                    </w:r>
                  </w:p>
                </w:tc>
                <w:tc>
                  <w:tcPr>
                    <w:tcW w:w="884" w:type="dxa"/>
                    <w:vAlign w:val="center"/>
                  </w:tcPr>
                  <w:p w14:paraId="141AD214" w14:textId="77777777" w:rsidR="007E7472" w:rsidRDefault="00EC1269">
                    <w:pPr>
                      <w:autoSpaceDE w:val="0"/>
                      <w:autoSpaceDN w:val="0"/>
                      <w:jc w:val="center"/>
                      <w:rPr>
                        <w:b/>
                        <w:spacing w:val="-20"/>
                      </w:rPr>
                    </w:pPr>
                    <w:r>
                      <w:rPr>
                        <w:rFonts w:cs="Cambria" w:hint="eastAsia"/>
                        <w:b/>
                        <w:spacing w:val="-20"/>
                      </w:rPr>
                      <w:t>关联交易内容</w:t>
                    </w:r>
                  </w:p>
                </w:tc>
              </w:tr>
              <w:tr w:rsidR="007E7472" w14:paraId="56A78A22" w14:textId="77777777" w:rsidTr="007E7472">
                <w:trPr>
                  <w:trHeight w:val="397"/>
                  <w:jc w:val="center"/>
                </w:trPr>
                <w:tc>
                  <w:tcPr>
                    <w:tcW w:w="2405" w:type="dxa"/>
                    <w:vAlign w:val="center"/>
                  </w:tcPr>
                  <w:p w14:paraId="0776214E" w14:textId="77777777" w:rsidR="007E7472" w:rsidRDefault="00EC1269">
                    <w:pPr>
                      <w:jc w:val="both"/>
                      <w:rPr>
                        <w:spacing w:val="-20"/>
                      </w:rPr>
                    </w:pPr>
                    <w:r>
                      <w:rPr>
                        <w:rFonts w:hint="eastAsia"/>
                        <w:spacing w:val="-20"/>
                      </w:rPr>
                      <w:t>控股股东及其控制的公司</w:t>
                    </w:r>
                  </w:p>
                </w:tc>
                <w:tc>
                  <w:tcPr>
                    <w:tcW w:w="2552" w:type="dxa"/>
                    <w:vAlign w:val="center"/>
                  </w:tcPr>
                  <w:p w14:paraId="59E85905" w14:textId="77777777" w:rsidR="007E7472" w:rsidRDefault="00EC1269">
                    <w:pPr>
                      <w:adjustRightInd w:val="0"/>
                      <w:snapToGrid w:val="0"/>
                      <w:jc w:val="both"/>
                      <w:textAlignment w:val="center"/>
                      <w:rPr>
                        <w:spacing w:val="-20"/>
                      </w:rPr>
                    </w:pPr>
                    <w:r>
                      <w:rPr>
                        <w:spacing w:val="-20"/>
                        <w:lang w:bidi="ar"/>
                      </w:rPr>
                      <w:t>职工社会保险</w:t>
                    </w:r>
                  </w:p>
                </w:tc>
                <w:tc>
                  <w:tcPr>
                    <w:tcW w:w="1417" w:type="dxa"/>
                    <w:vAlign w:val="center"/>
                  </w:tcPr>
                  <w:p w14:paraId="41ABEAAF" w14:textId="77777777" w:rsidR="007E7472" w:rsidRDefault="00C8327E">
                    <w:pPr>
                      <w:jc w:val="right"/>
                      <w:textAlignment w:val="center"/>
                      <w:rPr>
                        <w:spacing w:val="-20"/>
                      </w:rPr>
                    </w:pPr>
                  </w:p>
                </w:tc>
                <w:tc>
                  <w:tcPr>
                    <w:tcW w:w="1565" w:type="dxa"/>
                    <w:vAlign w:val="center"/>
                  </w:tcPr>
                  <w:p w14:paraId="7B571B8E" w14:textId="77777777" w:rsidR="007E7472" w:rsidRDefault="00EC1269">
                    <w:pPr>
                      <w:jc w:val="right"/>
                      <w:textAlignment w:val="center"/>
                      <w:rPr>
                        <w:spacing w:val="-20"/>
                      </w:rPr>
                    </w:pPr>
                    <w:r>
                      <w:t>362,988</w:t>
                    </w:r>
                  </w:p>
                </w:tc>
                <w:tc>
                  <w:tcPr>
                    <w:tcW w:w="884" w:type="dxa"/>
                    <w:vAlign w:val="center"/>
                  </w:tcPr>
                  <w:p w14:paraId="57C90A93" w14:textId="77777777" w:rsidR="007E7472" w:rsidRDefault="00EC1269">
                    <w:pPr>
                      <w:widowControl w:val="0"/>
                      <w:jc w:val="center"/>
                      <w:rPr>
                        <w:spacing w:val="-20"/>
                      </w:rPr>
                    </w:pPr>
                    <w:r>
                      <w:rPr>
                        <w:spacing w:val="-20"/>
                      </w:rPr>
                      <w:t>注1</w:t>
                    </w:r>
                  </w:p>
                </w:tc>
              </w:tr>
              <w:tr w:rsidR="007E7472" w14:paraId="12C897CB" w14:textId="77777777" w:rsidTr="007E7472">
                <w:trPr>
                  <w:trHeight w:val="397"/>
                  <w:jc w:val="center"/>
                </w:trPr>
                <w:tc>
                  <w:tcPr>
                    <w:tcW w:w="2405" w:type="dxa"/>
                    <w:vAlign w:val="center"/>
                  </w:tcPr>
                  <w:p w14:paraId="746B274B" w14:textId="77777777" w:rsidR="007E7472" w:rsidRDefault="00EC1269">
                    <w:pPr>
                      <w:jc w:val="both"/>
                      <w:rPr>
                        <w:spacing w:val="-20"/>
                      </w:rPr>
                    </w:pPr>
                    <w:r>
                      <w:rPr>
                        <w:rFonts w:hint="eastAsia"/>
                        <w:spacing w:val="-20"/>
                      </w:rPr>
                      <w:t>控股股东及其控制的公司</w:t>
                    </w:r>
                  </w:p>
                </w:tc>
                <w:tc>
                  <w:tcPr>
                    <w:tcW w:w="2552" w:type="dxa"/>
                    <w:vAlign w:val="center"/>
                  </w:tcPr>
                  <w:p w14:paraId="4DCF6C7E" w14:textId="77777777" w:rsidR="007E7472" w:rsidRDefault="00EC1269">
                    <w:pPr>
                      <w:adjustRightInd w:val="0"/>
                      <w:snapToGrid w:val="0"/>
                      <w:jc w:val="both"/>
                      <w:textAlignment w:val="center"/>
                      <w:rPr>
                        <w:spacing w:val="-20"/>
                      </w:rPr>
                    </w:pPr>
                    <w:r>
                      <w:rPr>
                        <w:rFonts w:hint="eastAsia"/>
                        <w:spacing w:val="-20"/>
                        <w:lang w:bidi="ar"/>
                      </w:rPr>
                      <w:t>离退休职工福利费</w:t>
                    </w:r>
                  </w:p>
                </w:tc>
                <w:tc>
                  <w:tcPr>
                    <w:tcW w:w="1417" w:type="dxa"/>
                    <w:vAlign w:val="center"/>
                  </w:tcPr>
                  <w:p w14:paraId="29820E8B" w14:textId="77777777" w:rsidR="007E7472" w:rsidRDefault="00C8327E">
                    <w:pPr>
                      <w:jc w:val="right"/>
                      <w:textAlignment w:val="center"/>
                      <w:rPr>
                        <w:spacing w:val="-20"/>
                      </w:rPr>
                    </w:pPr>
                  </w:p>
                </w:tc>
                <w:tc>
                  <w:tcPr>
                    <w:tcW w:w="1565" w:type="dxa"/>
                    <w:vAlign w:val="center"/>
                  </w:tcPr>
                  <w:p w14:paraId="7D74AC21" w14:textId="77777777" w:rsidR="007E7472" w:rsidRDefault="00EC1269">
                    <w:pPr>
                      <w:jc w:val="right"/>
                      <w:textAlignment w:val="center"/>
                      <w:rPr>
                        <w:spacing w:val="-20"/>
                      </w:rPr>
                    </w:pPr>
                    <w:r>
                      <w:t>370,882</w:t>
                    </w:r>
                  </w:p>
                </w:tc>
                <w:tc>
                  <w:tcPr>
                    <w:tcW w:w="884" w:type="dxa"/>
                    <w:vAlign w:val="center"/>
                  </w:tcPr>
                  <w:p w14:paraId="7FFC72AF" w14:textId="77777777" w:rsidR="007E7472" w:rsidRDefault="00EC1269">
                    <w:pPr>
                      <w:widowControl w:val="0"/>
                      <w:jc w:val="center"/>
                      <w:rPr>
                        <w:spacing w:val="-20"/>
                      </w:rPr>
                    </w:pPr>
                    <w:r>
                      <w:rPr>
                        <w:spacing w:val="-20"/>
                      </w:rPr>
                      <w:t>注2</w:t>
                    </w:r>
                  </w:p>
                </w:tc>
              </w:tr>
              <w:tr w:rsidR="007E7472" w14:paraId="0C4DE0E0" w14:textId="77777777" w:rsidTr="007E7472">
                <w:trPr>
                  <w:trHeight w:val="397"/>
                  <w:jc w:val="center"/>
                </w:trPr>
                <w:tc>
                  <w:tcPr>
                    <w:tcW w:w="2405" w:type="dxa"/>
                    <w:vAlign w:val="center"/>
                  </w:tcPr>
                  <w:p w14:paraId="3473EFBC" w14:textId="77777777" w:rsidR="007E7472" w:rsidRDefault="00EC1269">
                    <w:pPr>
                      <w:jc w:val="both"/>
                      <w:rPr>
                        <w:spacing w:val="-20"/>
                      </w:rPr>
                    </w:pPr>
                    <w:r>
                      <w:rPr>
                        <w:rFonts w:hint="eastAsia"/>
                        <w:spacing w:val="-20"/>
                      </w:rPr>
                      <w:t>控股股东及其控制的公司</w:t>
                    </w:r>
                  </w:p>
                </w:tc>
                <w:tc>
                  <w:tcPr>
                    <w:tcW w:w="2552" w:type="dxa"/>
                    <w:vAlign w:val="center"/>
                  </w:tcPr>
                  <w:p w14:paraId="5EC0C07C" w14:textId="77777777" w:rsidR="007E7472" w:rsidRDefault="00EC1269">
                    <w:pPr>
                      <w:adjustRightInd w:val="0"/>
                      <w:snapToGrid w:val="0"/>
                      <w:jc w:val="both"/>
                      <w:textAlignment w:val="center"/>
                      <w:rPr>
                        <w:spacing w:val="-20"/>
                      </w:rPr>
                    </w:pPr>
                    <w:r>
                      <w:rPr>
                        <w:spacing w:val="-20"/>
                        <w:lang w:bidi="ar"/>
                      </w:rPr>
                      <w:t>工程施工</w:t>
                    </w:r>
                  </w:p>
                </w:tc>
                <w:tc>
                  <w:tcPr>
                    <w:tcW w:w="1417" w:type="dxa"/>
                    <w:vAlign w:val="center"/>
                  </w:tcPr>
                  <w:p w14:paraId="23A52FF0" w14:textId="77777777" w:rsidR="007E7472" w:rsidRDefault="00EC1269">
                    <w:pPr>
                      <w:jc w:val="right"/>
                      <w:textAlignment w:val="center"/>
                      <w:rPr>
                        <w:spacing w:val="-20"/>
                      </w:rPr>
                    </w:pPr>
                    <w:r>
                      <w:t>253,365</w:t>
                    </w:r>
                  </w:p>
                </w:tc>
                <w:tc>
                  <w:tcPr>
                    <w:tcW w:w="1565" w:type="dxa"/>
                    <w:vAlign w:val="center"/>
                  </w:tcPr>
                  <w:p w14:paraId="132CCA54" w14:textId="77777777" w:rsidR="007E7472" w:rsidRDefault="00EC1269">
                    <w:pPr>
                      <w:jc w:val="right"/>
                      <w:textAlignment w:val="center"/>
                      <w:rPr>
                        <w:spacing w:val="-20"/>
                      </w:rPr>
                    </w:pPr>
                    <w:r>
                      <w:t>76,456</w:t>
                    </w:r>
                  </w:p>
                </w:tc>
                <w:tc>
                  <w:tcPr>
                    <w:tcW w:w="884" w:type="dxa"/>
                    <w:vAlign w:val="center"/>
                  </w:tcPr>
                  <w:p w14:paraId="385ABE93" w14:textId="77777777" w:rsidR="007E7472" w:rsidRDefault="00EC1269">
                    <w:pPr>
                      <w:widowControl w:val="0"/>
                      <w:jc w:val="center"/>
                      <w:rPr>
                        <w:spacing w:val="-20"/>
                      </w:rPr>
                    </w:pPr>
                    <w:r>
                      <w:rPr>
                        <w:spacing w:val="-20"/>
                      </w:rPr>
                      <w:t>注2</w:t>
                    </w:r>
                  </w:p>
                </w:tc>
              </w:tr>
              <w:tr w:rsidR="007E7472" w14:paraId="58A3302C" w14:textId="77777777" w:rsidTr="007E7472">
                <w:trPr>
                  <w:trHeight w:val="397"/>
                  <w:jc w:val="center"/>
                </w:trPr>
                <w:tc>
                  <w:tcPr>
                    <w:tcW w:w="2405" w:type="dxa"/>
                    <w:vAlign w:val="center"/>
                  </w:tcPr>
                  <w:p w14:paraId="22B8B231" w14:textId="77777777" w:rsidR="007E7472" w:rsidRDefault="00EC1269">
                    <w:pPr>
                      <w:jc w:val="both"/>
                      <w:rPr>
                        <w:spacing w:val="-20"/>
                      </w:rPr>
                    </w:pPr>
                    <w:r>
                      <w:rPr>
                        <w:rFonts w:hint="eastAsia"/>
                        <w:spacing w:val="-20"/>
                      </w:rPr>
                      <w:t>控股股东及其控制的公司</w:t>
                    </w:r>
                  </w:p>
                </w:tc>
                <w:tc>
                  <w:tcPr>
                    <w:tcW w:w="2552" w:type="dxa"/>
                    <w:vAlign w:val="center"/>
                  </w:tcPr>
                  <w:p w14:paraId="2298B9D9" w14:textId="77777777" w:rsidR="007E7472" w:rsidRDefault="00EC1269">
                    <w:pPr>
                      <w:adjustRightInd w:val="0"/>
                      <w:snapToGrid w:val="0"/>
                      <w:jc w:val="both"/>
                      <w:textAlignment w:val="center"/>
                      <w:rPr>
                        <w:spacing w:val="-20"/>
                      </w:rPr>
                    </w:pPr>
                    <w:r>
                      <w:rPr>
                        <w:spacing w:val="-20"/>
                        <w:lang w:bidi="ar"/>
                      </w:rPr>
                      <w:t>担保服务</w:t>
                    </w:r>
                  </w:p>
                </w:tc>
                <w:tc>
                  <w:tcPr>
                    <w:tcW w:w="1417" w:type="dxa"/>
                    <w:vAlign w:val="center"/>
                  </w:tcPr>
                  <w:p w14:paraId="581E8E93" w14:textId="77777777" w:rsidR="007E7472" w:rsidRDefault="00EC1269">
                    <w:pPr>
                      <w:jc w:val="right"/>
                      <w:textAlignment w:val="center"/>
                      <w:rPr>
                        <w:spacing w:val="-20"/>
                      </w:rPr>
                    </w:pPr>
                    <w:r>
                      <w:t>45,845</w:t>
                    </w:r>
                  </w:p>
                </w:tc>
                <w:tc>
                  <w:tcPr>
                    <w:tcW w:w="1565" w:type="dxa"/>
                    <w:vAlign w:val="center"/>
                  </w:tcPr>
                  <w:p w14:paraId="275087F4" w14:textId="77777777" w:rsidR="007E7472" w:rsidRDefault="00EC1269">
                    <w:pPr>
                      <w:jc w:val="right"/>
                      <w:textAlignment w:val="center"/>
                      <w:rPr>
                        <w:spacing w:val="-20"/>
                      </w:rPr>
                    </w:pPr>
                    <w:r>
                      <w:t>93,353</w:t>
                    </w:r>
                  </w:p>
                </w:tc>
                <w:tc>
                  <w:tcPr>
                    <w:tcW w:w="884" w:type="dxa"/>
                    <w:vAlign w:val="center"/>
                  </w:tcPr>
                  <w:p w14:paraId="577C5A5B" w14:textId="77777777" w:rsidR="007E7472" w:rsidRDefault="00EC1269">
                    <w:pPr>
                      <w:widowControl w:val="0"/>
                      <w:jc w:val="center"/>
                      <w:rPr>
                        <w:spacing w:val="-20"/>
                      </w:rPr>
                    </w:pPr>
                    <w:r>
                      <w:rPr>
                        <w:spacing w:val="-20"/>
                      </w:rPr>
                      <w:t>注2</w:t>
                    </w:r>
                  </w:p>
                </w:tc>
              </w:tr>
              <w:tr w:rsidR="007E7472" w14:paraId="3BBC3F68" w14:textId="77777777" w:rsidTr="007E7472">
                <w:trPr>
                  <w:trHeight w:val="397"/>
                  <w:jc w:val="center"/>
                </w:trPr>
                <w:tc>
                  <w:tcPr>
                    <w:tcW w:w="2405" w:type="dxa"/>
                    <w:vAlign w:val="center"/>
                  </w:tcPr>
                  <w:p w14:paraId="077BDD08" w14:textId="77777777" w:rsidR="007E7472" w:rsidRDefault="00EC1269">
                    <w:pPr>
                      <w:jc w:val="both"/>
                      <w:rPr>
                        <w:spacing w:val="-20"/>
                      </w:rPr>
                    </w:pPr>
                    <w:r>
                      <w:rPr>
                        <w:rFonts w:hint="eastAsia"/>
                        <w:spacing w:val="-20"/>
                      </w:rPr>
                      <w:t>控股股东及其控制的公司</w:t>
                    </w:r>
                  </w:p>
                </w:tc>
                <w:tc>
                  <w:tcPr>
                    <w:tcW w:w="2552" w:type="dxa"/>
                    <w:vAlign w:val="center"/>
                  </w:tcPr>
                  <w:p w14:paraId="35DB359A" w14:textId="77777777" w:rsidR="007E7472" w:rsidRDefault="00EC1269">
                    <w:pPr>
                      <w:jc w:val="both"/>
                      <w:textAlignment w:val="center"/>
                      <w:rPr>
                        <w:spacing w:val="-20"/>
                      </w:rPr>
                    </w:pPr>
                    <w:r>
                      <w:rPr>
                        <w:spacing w:val="-20"/>
                        <w:lang w:bidi="ar"/>
                      </w:rPr>
                      <w:t>保安服务</w:t>
                    </w:r>
                  </w:p>
                </w:tc>
                <w:tc>
                  <w:tcPr>
                    <w:tcW w:w="1417" w:type="dxa"/>
                    <w:vAlign w:val="center"/>
                  </w:tcPr>
                  <w:p w14:paraId="35A4298A" w14:textId="77777777" w:rsidR="007E7472" w:rsidRDefault="00EC1269">
                    <w:pPr>
                      <w:jc w:val="right"/>
                      <w:textAlignment w:val="center"/>
                      <w:rPr>
                        <w:spacing w:val="-20"/>
                      </w:rPr>
                    </w:pPr>
                    <w:r>
                      <w:t>25,694</w:t>
                    </w:r>
                  </w:p>
                </w:tc>
                <w:tc>
                  <w:tcPr>
                    <w:tcW w:w="1565" w:type="dxa"/>
                    <w:vAlign w:val="center"/>
                  </w:tcPr>
                  <w:p w14:paraId="75DA6FBE" w14:textId="77777777" w:rsidR="007E7472" w:rsidRDefault="00EC1269">
                    <w:pPr>
                      <w:jc w:val="right"/>
                      <w:textAlignment w:val="center"/>
                      <w:rPr>
                        <w:spacing w:val="-20"/>
                      </w:rPr>
                    </w:pPr>
                    <w:r>
                      <w:t>28,435</w:t>
                    </w:r>
                  </w:p>
                </w:tc>
                <w:tc>
                  <w:tcPr>
                    <w:tcW w:w="884" w:type="dxa"/>
                    <w:vAlign w:val="center"/>
                  </w:tcPr>
                  <w:p w14:paraId="57FDB958" w14:textId="77777777" w:rsidR="007E7472" w:rsidRDefault="00EC1269">
                    <w:pPr>
                      <w:widowControl w:val="0"/>
                      <w:jc w:val="center"/>
                      <w:rPr>
                        <w:spacing w:val="-20"/>
                      </w:rPr>
                    </w:pPr>
                    <w:r>
                      <w:rPr>
                        <w:spacing w:val="-20"/>
                      </w:rPr>
                      <w:t>注2</w:t>
                    </w:r>
                  </w:p>
                </w:tc>
              </w:tr>
              <w:tr w:rsidR="007E7472" w14:paraId="626E5BB2" w14:textId="77777777" w:rsidTr="007E7472">
                <w:trPr>
                  <w:trHeight w:val="397"/>
                  <w:jc w:val="center"/>
                </w:trPr>
                <w:tc>
                  <w:tcPr>
                    <w:tcW w:w="2405" w:type="dxa"/>
                    <w:vAlign w:val="center"/>
                  </w:tcPr>
                  <w:p w14:paraId="3FD95BD6" w14:textId="77777777" w:rsidR="007E7472" w:rsidRDefault="00EC1269">
                    <w:pPr>
                      <w:jc w:val="both"/>
                      <w:rPr>
                        <w:spacing w:val="-20"/>
                      </w:rPr>
                    </w:pPr>
                    <w:r>
                      <w:rPr>
                        <w:rFonts w:hint="eastAsia"/>
                        <w:spacing w:val="-20"/>
                      </w:rPr>
                      <w:t>控股股东及其控制的公司</w:t>
                    </w:r>
                  </w:p>
                </w:tc>
                <w:tc>
                  <w:tcPr>
                    <w:tcW w:w="2552" w:type="dxa"/>
                    <w:vAlign w:val="center"/>
                  </w:tcPr>
                  <w:p w14:paraId="10A4FF88" w14:textId="77777777" w:rsidR="007E7472" w:rsidRDefault="00EC1269">
                    <w:pPr>
                      <w:jc w:val="both"/>
                      <w:textAlignment w:val="center"/>
                      <w:rPr>
                        <w:bCs/>
                        <w:spacing w:val="-20"/>
                      </w:rPr>
                    </w:pPr>
                    <w:r>
                      <w:rPr>
                        <w:spacing w:val="-20"/>
                        <w:lang w:bidi="ar"/>
                      </w:rPr>
                      <w:t>食宿运营服务</w:t>
                    </w:r>
                  </w:p>
                </w:tc>
                <w:tc>
                  <w:tcPr>
                    <w:tcW w:w="1417" w:type="dxa"/>
                    <w:vAlign w:val="center"/>
                  </w:tcPr>
                  <w:p w14:paraId="24EBAF44" w14:textId="77777777" w:rsidR="007E7472" w:rsidRDefault="00EC1269">
                    <w:pPr>
                      <w:jc w:val="right"/>
                      <w:textAlignment w:val="center"/>
                      <w:rPr>
                        <w:spacing w:val="-20"/>
                      </w:rPr>
                    </w:pPr>
                    <w:r>
                      <w:t>19,845</w:t>
                    </w:r>
                  </w:p>
                </w:tc>
                <w:tc>
                  <w:tcPr>
                    <w:tcW w:w="1565" w:type="dxa"/>
                    <w:vAlign w:val="center"/>
                  </w:tcPr>
                  <w:p w14:paraId="00AF99A6" w14:textId="77777777" w:rsidR="007E7472" w:rsidRDefault="00EC1269">
                    <w:pPr>
                      <w:jc w:val="right"/>
                      <w:textAlignment w:val="center"/>
                      <w:rPr>
                        <w:spacing w:val="-20"/>
                      </w:rPr>
                    </w:pPr>
                    <w:r>
                      <w:t>12,356</w:t>
                    </w:r>
                  </w:p>
                </w:tc>
                <w:tc>
                  <w:tcPr>
                    <w:tcW w:w="884" w:type="dxa"/>
                    <w:vAlign w:val="center"/>
                  </w:tcPr>
                  <w:p w14:paraId="6BA635E4" w14:textId="77777777" w:rsidR="007E7472" w:rsidRDefault="00EC1269">
                    <w:pPr>
                      <w:widowControl w:val="0"/>
                      <w:jc w:val="center"/>
                      <w:rPr>
                        <w:spacing w:val="-20"/>
                      </w:rPr>
                    </w:pPr>
                    <w:r>
                      <w:rPr>
                        <w:spacing w:val="-20"/>
                      </w:rPr>
                      <w:t>注2</w:t>
                    </w:r>
                  </w:p>
                </w:tc>
              </w:tr>
              <w:tr w:rsidR="007E7472" w14:paraId="08D41E52" w14:textId="77777777" w:rsidTr="007E7472">
                <w:trPr>
                  <w:trHeight w:val="397"/>
                  <w:jc w:val="center"/>
                </w:trPr>
                <w:tc>
                  <w:tcPr>
                    <w:tcW w:w="2405" w:type="dxa"/>
                    <w:vAlign w:val="center"/>
                  </w:tcPr>
                  <w:p w14:paraId="3EC0A863" w14:textId="77777777" w:rsidR="007E7472" w:rsidRDefault="00EC1269">
                    <w:pPr>
                      <w:jc w:val="both"/>
                      <w:rPr>
                        <w:spacing w:val="-20"/>
                      </w:rPr>
                    </w:pPr>
                    <w:r>
                      <w:rPr>
                        <w:rFonts w:hint="eastAsia"/>
                        <w:spacing w:val="-20"/>
                      </w:rPr>
                      <w:t>控股股东及其控制的公司</w:t>
                    </w:r>
                  </w:p>
                </w:tc>
                <w:tc>
                  <w:tcPr>
                    <w:tcW w:w="2552" w:type="dxa"/>
                    <w:vAlign w:val="center"/>
                  </w:tcPr>
                  <w:p w14:paraId="0008A6F3" w14:textId="77777777" w:rsidR="007E7472" w:rsidRDefault="00EC1269">
                    <w:pPr>
                      <w:jc w:val="both"/>
                      <w:textAlignment w:val="center"/>
                      <w:rPr>
                        <w:spacing w:val="-20"/>
                      </w:rPr>
                    </w:pPr>
                    <w:r>
                      <w:rPr>
                        <w:spacing w:val="-20"/>
                        <w:lang w:bidi="ar"/>
                      </w:rPr>
                      <w:t>员工个人福利</w:t>
                    </w:r>
                  </w:p>
                </w:tc>
                <w:tc>
                  <w:tcPr>
                    <w:tcW w:w="1417" w:type="dxa"/>
                    <w:vAlign w:val="center"/>
                  </w:tcPr>
                  <w:p w14:paraId="66F9689B" w14:textId="77777777" w:rsidR="007E7472" w:rsidRDefault="00EC1269">
                    <w:pPr>
                      <w:jc w:val="right"/>
                      <w:textAlignment w:val="center"/>
                      <w:rPr>
                        <w:spacing w:val="-20"/>
                      </w:rPr>
                    </w:pPr>
                    <w:r>
                      <w:t>3,341</w:t>
                    </w:r>
                  </w:p>
                </w:tc>
                <w:tc>
                  <w:tcPr>
                    <w:tcW w:w="1565" w:type="dxa"/>
                    <w:vAlign w:val="center"/>
                  </w:tcPr>
                  <w:p w14:paraId="092EE239" w14:textId="77777777" w:rsidR="007E7472" w:rsidRDefault="00EC1269">
                    <w:pPr>
                      <w:jc w:val="right"/>
                      <w:textAlignment w:val="center"/>
                      <w:rPr>
                        <w:spacing w:val="-20"/>
                      </w:rPr>
                    </w:pPr>
                    <w:r>
                      <w:t>156</w:t>
                    </w:r>
                  </w:p>
                </w:tc>
                <w:tc>
                  <w:tcPr>
                    <w:tcW w:w="884" w:type="dxa"/>
                    <w:vAlign w:val="center"/>
                  </w:tcPr>
                  <w:p w14:paraId="66A952A3" w14:textId="77777777" w:rsidR="007E7472" w:rsidRDefault="00EC1269">
                    <w:pPr>
                      <w:widowControl w:val="0"/>
                      <w:jc w:val="center"/>
                      <w:rPr>
                        <w:spacing w:val="-20"/>
                      </w:rPr>
                    </w:pPr>
                    <w:r>
                      <w:rPr>
                        <w:spacing w:val="-20"/>
                      </w:rPr>
                      <w:t>注2</w:t>
                    </w:r>
                  </w:p>
                </w:tc>
              </w:tr>
              <w:tr w:rsidR="007E7472" w14:paraId="7402EDF3" w14:textId="77777777" w:rsidTr="007E7472">
                <w:trPr>
                  <w:trHeight w:val="397"/>
                  <w:jc w:val="center"/>
                </w:trPr>
                <w:tc>
                  <w:tcPr>
                    <w:tcW w:w="2405" w:type="dxa"/>
                    <w:vAlign w:val="center"/>
                  </w:tcPr>
                  <w:p w14:paraId="4C9BE0DE" w14:textId="77777777" w:rsidR="007E7472" w:rsidRDefault="00EC1269">
                    <w:pPr>
                      <w:jc w:val="both"/>
                      <w:rPr>
                        <w:spacing w:val="-20"/>
                      </w:rPr>
                    </w:pPr>
                    <w:r>
                      <w:rPr>
                        <w:rFonts w:hint="eastAsia"/>
                        <w:spacing w:val="-20"/>
                      </w:rPr>
                      <w:t>控股股东及其控制的公司</w:t>
                    </w:r>
                  </w:p>
                </w:tc>
                <w:tc>
                  <w:tcPr>
                    <w:tcW w:w="2552" w:type="dxa"/>
                    <w:vAlign w:val="center"/>
                  </w:tcPr>
                  <w:p w14:paraId="130E7D84" w14:textId="77777777" w:rsidR="007E7472" w:rsidRDefault="00EC1269">
                    <w:pPr>
                      <w:jc w:val="both"/>
                      <w:textAlignment w:val="center"/>
                      <w:rPr>
                        <w:spacing w:val="-20"/>
                      </w:rPr>
                    </w:pPr>
                    <w:r>
                      <w:rPr>
                        <w:spacing w:val="-20"/>
                        <w:lang w:bidi="ar"/>
                      </w:rPr>
                      <w:t>利息支出</w:t>
                    </w:r>
                  </w:p>
                </w:tc>
                <w:tc>
                  <w:tcPr>
                    <w:tcW w:w="1417" w:type="dxa"/>
                    <w:vAlign w:val="center"/>
                  </w:tcPr>
                  <w:p w14:paraId="2DF1F4C4" w14:textId="77777777" w:rsidR="007E7472" w:rsidRDefault="00C8327E">
                    <w:pPr>
                      <w:jc w:val="right"/>
                      <w:textAlignment w:val="center"/>
                      <w:rPr>
                        <w:spacing w:val="-20"/>
                      </w:rPr>
                    </w:pPr>
                  </w:p>
                </w:tc>
                <w:tc>
                  <w:tcPr>
                    <w:tcW w:w="1565" w:type="dxa"/>
                    <w:vAlign w:val="center"/>
                  </w:tcPr>
                  <w:p w14:paraId="3647C571" w14:textId="77777777" w:rsidR="007E7472" w:rsidRDefault="00EC1269">
                    <w:pPr>
                      <w:jc w:val="right"/>
                      <w:rPr>
                        <w:spacing w:val="-20"/>
                      </w:rPr>
                    </w:pPr>
                    <w:r>
                      <w:t>103,431</w:t>
                    </w:r>
                  </w:p>
                </w:tc>
                <w:tc>
                  <w:tcPr>
                    <w:tcW w:w="884" w:type="dxa"/>
                    <w:vAlign w:val="center"/>
                  </w:tcPr>
                  <w:p w14:paraId="7A6E4967" w14:textId="77777777" w:rsidR="007E7472" w:rsidRDefault="00C8327E">
                    <w:pPr>
                      <w:widowControl w:val="0"/>
                      <w:jc w:val="center"/>
                      <w:rPr>
                        <w:spacing w:val="-20"/>
                      </w:rPr>
                    </w:pPr>
                  </w:p>
                </w:tc>
              </w:tr>
              <w:tr w:rsidR="007E7472" w14:paraId="7EAFAB34" w14:textId="77777777" w:rsidTr="007E7472">
                <w:trPr>
                  <w:trHeight w:val="397"/>
                  <w:jc w:val="center"/>
                </w:trPr>
                <w:tc>
                  <w:tcPr>
                    <w:tcW w:w="2405" w:type="dxa"/>
                    <w:vAlign w:val="center"/>
                  </w:tcPr>
                  <w:p w14:paraId="2F6F7518" w14:textId="77777777" w:rsidR="007E7472" w:rsidRDefault="00EC1269">
                    <w:pPr>
                      <w:jc w:val="both"/>
                      <w:rPr>
                        <w:spacing w:val="-20"/>
                      </w:rPr>
                    </w:pPr>
                    <w:r>
                      <w:rPr>
                        <w:rFonts w:hint="eastAsia"/>
                        <w:spacing w:val="-20"/>
                      </w:rPr>
                      <w:t>控股股东及其控制的公司</w:t>
                    </w:r>
                  </w:p>
                </w:tc>
                <w:tc>
                  <w:tcPr>
                    <w:tcW w:w="2552" w:type="dxa"/>
                    <w:vAlign w:val="center"/>
                  </w:tcPr>
                  <w:p w14:paraId="61EBF042" w14:textId="77777777" w:rsidR="007E7472" w:rsidRDefault="00EC1269">
                    <w:pPr>
                      <w:jc w:val="both"/>
                      <w:textAlignment w:val="center"/>
                      <w:rPr>
                        <w:spacing w:val="-20"/>
                      </w:rPr>
                    </w:pPr>
                    <w:r>
                      <w:rPr>
                        <w:spacing w:val="-20"/>
                        <w:lang w:bidi="ar"/>
                      </w:rPr>
                      <w:t>信息及技术服务</w:t>
                    </w:r>
                  </w:p>
                </w:tc>
                <w:tc>
                  <w:tcPr>
                    <w:tcW w:w="1417" w:type="dxa"/>
                    <w:vAlign w:val="center"/>
                  </w:tcPr>
                  <w:p w14:paraId="336D0C50" w14:textId="77777777" w:rsidR="007E7472" w:rsidRDefault="00EC1269">
                    <w:pPr>
                      <w:jc w:val="right"/>
                      <w:textAlignment w:val="center"/>
                      <w:rPr>
                        <w:spacing w:val="-20"/>
                      </w:rPr>
                    </w:pPr>
                    <w:r>
                      <w:t>1,256</w:t>
                    </w:r>
                  </w:p>
                </w:tc>
                <w:tc>
                  <w:tcPr>
                    <w:tcW w:w="1565" w:type="dxa"/>
                    <w:vAlign w:val="center"/>
                  </w:tcPr>
                  <w:p w14:paraId="797E27F5" w14:textId="77777777" w:rsidR="007E7472" w:rsidRDefault="00EC1269">
                    <w:pPr>
                      <w:jc w:val="right"/>
                      <w:textAlignment w:val="center"/>
                      <w:rPr>
                        <w:spacing w:val="-20"/>
                      </w:rPr>
                    </w:pPr>
                    <w:r>
                      <w:t>15,576</w:t>
                    </w:r>
                  </w:p>
                </w:tc>
                <w:tc>
                  <w:tcPr>
                    <w:tcW w:w="884" w:type="dxa"/>
                    <w:vAlign w:val="center"/>
                  </w:tcPr>
                  <w:p w14:paraId="77CFEC78" w14:textId="77777777" w:rsidR="007E7472" w:rsidRDefault="00EC1269">
                    <w:pPr>
                      <w:widowControl w:val="0"/>
                      <w:jc w:val="center"/>
                      <w:rPr>
                        <w:spacing w:val="-20"/>
                      </w:rPr>
                    </w:pPr>
                    <w:r>
                      <w:rPr>
                        <w:spacing w:val="-20"/>
                      </w:rPr>
                      <w:t>注2</w:t>
                    </w:r>
                  </w:p>
                </w:tc>
              </w:tr>
              <w:tr w:rsidR="007E7472" w14:paraId="66B6BB7E" w14:textId="77777777" w:rsidTr="007E7472">
                <w:trPr>
                  <w:trHeight w:val="397"/>
                  <w:jc w:val="center"/>
                </w:trPr>
                <w:tc>
                  <w:tcPr>
                    <w:tcW w:w="2405" w:type="dxa"/>
                    <w:vAlign w:val="center"/>
                  </w:tcPr>
                  <w:p w14:paraId="3447F495" w14:textId="77777777" w:rsidR="007E7472" w:rsidRDefault="00EC1269">
                    <w:pPr>
                      <w:jc w:val="both"/>
                      <w:rPr>
                        <w:spacing w:val="-20"/>
                      </w:rPr>
                    </w:pPr>
                    <w:r>
                      <w:rPr>
                        <w:rFonts w:hint="eastAsia"/>
                        <w:spacing w:val="-20"/>
                      </w:rPr>
                      <w:t>控股股东及其控制的公司</w:t>
                    </w:r>
                  </w:p>
                </w:tc>
                <w:tc>
                  <w:tcPr>
                    <w:tcW w:w="2552" w:type="dxa"/>
                    <w:vAlign w:val="center"/>
                  </w:tcPr>
                  <w:p w14:paraId="477EDA5C" w14:textId="77777777" w:rsidR="007E7472" w:rsidRDefault="00EC1269">
                    <w:pPr>
                      <w:jc w:val="both"/>
                      <w:textAlignment w:val="center"/>
                      <w:rPr>
                        <w:spacing w:val="-20"/>
                      </w:rPr>
                    </w:pPr>
                    <w:r>
                      <w:rPr>
                        <w:spacing w:val="-20"/>
                        <w:lang w:bidi="ar"/>
                      </w:rPr>
                      <w:t>维修服务</w:t>
                    </w:r>
                  </w:p>
                </w:tc>
                <w:tc>
                  <w:tcPr>
                    <w:tcW w:w="1417" w:type="dxa"/>
                    <w:vAlign w:val="center"/>
                  </w:tcPr>
                  <w:p w14:paraId="688BDA47" w14:textId="77777777" w:rsidR="007E7472" w:rsidRDefault="00EC1269">
                    <w:pPr>
                      <w:jc w:val="right"/>
                      <w:textAlignment w:val="center"/>
                      <w:rPr>
                        <w:spacing w:val="-20"/>
                      </w:rPr>
                    </w:pPr>
                    <w:r>
                      <w:t>34,002</w:t>
                    </w:r>
                  </w:p>
                </w:tc>
                <w:tc>
                  <w:tcPr>
                    <w:tcW w:w="1565" w:type="dxa"/>
                    <w:vAlign w:val="center"/>
                  </w:tcPr>
                  <w:p w14:paraId="5841D458" w14:textId="77777777" w:rsidR="007E7472" w:rsidRDefault="00EC1269">
                    <w:pPr>
                      <w:jc w:val="right"/>
                      <w:textAlignment w:val="center"/>
                      <w:rPr>
                        <w:spacing w:val="-20"/>
                      </w:rPr>
                    </w:pPr>
                    <w:r>
                      <w:t>9,939</w:t>
                    </w:r>
                  </w:p>
                </w:tc>
                <w:tc>
                  <w:tcPr>
                    <w:tcW w:w="884" w:type="dxa"/>
                    <w:vAlign w:val="center"/>
                  </w:tcPr>
                  <w:p w14:paraId="707C2C27" w14:textId="77777777" w:rsidR="007E7472" w:rsidRDefault="00EC1269">
                    <w:pPr>
                      <w:widowControl w:val="0"/>
                      <w:jc w:val="center"/>
                      <w:rPr>
                        <w:spacing w:val="-20"/>
                      </w:rPr>
                    </w:pPr>
                    <w:r>
                      <w:rPr>
                        <w:spacing w:val="-20"/>
                      </w:rPr>
                      <w:t>注2</w:t>
                    </w:r>
                  </w:p>
                </w:tc>
              </w:tr>
              <w:tr w:rsidR="007E7472" w14:paraId="73130526" w14:textId="77777777" w:rsidTr="007E7472">
                <w:trPr>
                  <w:trHeight w:val="397"/>
                  <w:jc w:val="center"/>
                </w:trPr>
                <w:tc>
                  <w:tcPr>
                    <w:tcW w:w="2405" w:type="dxa"/>
                    <w:vAlign w:val="center"/>
                  </w:tcPr>
                  <w:p w14:paraId="0B43BD33" w14:textId="77777777" w:rsidR="007E7472" w:rsidRDefault="00EC1269">
                    <w:pPr>
                      <w:jc w:val="both"/>
                      <w:rPr>
                        <w:spacing w:val="-20"/>
                      </w:rPr>
                    </w:pPr>
                    <w:r>
                      <w:rPr>
                        <w:rFonts w:hint="eastAsia"/>
                        <w:spacing w:val="-20"/>
                      </w:rPr>
                      <w:t>控股股东及其控制的公司</w:t>
                    </w:r>
                  </w:p>
                </w:tc>
                <w:tc>
                  <w:tcPr>
                    <w:tcW w:w="2552" w:type="dxa"/>
                    <w:vAlign w:val="center"/>
                  </w:tcPr>
                  <w:p w14:paraId="40BDFAA2" w14:textId="77777777" w:rsidR="007E7472" w:rsidRDefault="00EC1269">
                    <w:pPr>
                      <w:jc w:val="both"/>
                      <w:textAlignment w:val="center"/>
                      <w:rPr>
                        <w:spacing w:val="-20"/>
                        <w:lang w:bidi="ar"/>
                      </w:rPr>
                    </w:pPr>
                    <w:r>
                      <w:rPr>
                        <w:rFonts w:hint="eastAsia"/>
                        <w:spacing w:val="-20"/>
                        <w:lang w:bidi="ar"/>
                      </w:rPr>
                      <w:t>医疗救护服务</w:t>
                    </w:r>
                  </w:p>
                </w:tc>
                <w:tc>
                  <w:tcPr>
                    <w:tcW w:w="1417" w:type="dxa"/>
                    <w:vAlign w:val="center"/>
                  </w:tcPr>
                  <w:p w14:paraId="53450007" w14:textId="77777777" w:rsidR="007E7472" w:rsidRDefault="00EC1269">
                    <w:pPr>
                      <w:jc w:val="right"/>
                      <w:textAlignment w:val="center"/>
                      <w:rPr>
                        <w:spacing w:val="-20"/>
                      </w:rPr>
                    </w:pPr>
                    <w:r>
                      <w:t>19,782</w:t>
                    </w:r>
                  </w:p>
                </w:tc>
                <w:tc>
                  <w:tcPr>
                    <w:tcW w:w="1565" w:type="dxa"/>
                    <w:vAlign w:val="center"/>
                  </w:tcPr>
                  <w:p w14:paraId="191EEAF5" w14:textId="77777777" w:rsidR="007E7472" w:rsidRDefault="00EC1269">
                    <w:pPr>
                      <w:jc w:val="right"/>
                      <w:textAlignment w:val="center"/>
                      <w:rPr>
                        <w:spacing w:val="-20"/>
                        <w:lang w:bidi="ar"/>
                      </w:rPr>
                    </w:pPr>
                    <w:r>
                      <w:t>10,703</w:t>
                    </w:r>
                  </w:p>
                </w:tc>
                <w:tc>
                  <w:tcPr>
                    <w:tcW w:w="884" w:type="dxa"/>
                    <w:vAlign w:val="center"/>
                  </w:tcPr>
                  <w:p w14:paraId="52286762" w14:textId="77777777" w:rsidR="007E7472" w:rsidRDefault="00EC1269">
                    <w:pPr>
                      <w:widowControl w:val="0"/>
                      <w:jc w:val="center"/>
                      <w:rPr>
                        <w:spacing w:val="-20"/>
                      </w:rPr>
                    </w:pPr>
                    <w:r>
                      <w:rPr>
                        <w:spacing w:val="-20"/>
                      </w:rPr>
                      <w:t>注2</w:t>
                    </w:r>
                  </w:p>
                </w:tc>
              </w:tr>
              <w:tr w:rsidR="007E7472" w14:paraId="17B1F119" w14:textId="77777777" w:rsidTr="007E7472">
                <w:trPr>
                  <w:trHeight w:val="397"/>
                  <w:jc w:val="center"/>
                </w:trPr>
                <w:tc>
                  <w:tcPr>
                    <w:tcW w:w="2405" w:type="dxa"/>
                    <w:vAlign w:val="center"/>
                  </w:tcPr>
                  <w:p w14:paraId="3BB967E2" w14:textId="77777777" w:rsidR="007E7472" w:rsidRDefault="00EC1269">
                    <w:pPr>
                      <w:jc w:val="both"/>
                      <w:rPr>
                        <w:spacing w:val="-20"/>
                      </w:rPr>
                    </w:pPr>
                    <w:r>
                      <w:rPr>
                        <w:rFonts w:hint="eastAsia"/>
                        <w:spacing w:val="-20"/>
                      </w:rPr>
                      <w:t>控股股东及其控制的公司</w:t>
                    </w:r>
                  </w:p>
                </w:tc>
                <w:tc>
                  <w:tcPr>
                    <w:tcW w:w="2552" w:type="dxa"/>
                    <w:vAlign w:val="center"/>
                  </w:tcPr>
                  <w:p w14:paraId="52D3244A" w14:textId="77777777" w:rsidR="007E7472" w:rsidRDefault="00EC1269">
                    <w:pPr>
                      <w:jc w:val="both"/>
                      <w:textAlignment w:val="center"/>
                      <w:rPr>
                        <w:spacing w:val="-20"/>
                        <w:lang w:bidi="ar"/>
                      </w:rPr>
                    </w:pPr>
                    <w:r>
                      <w:rPr>
                        <w:rFonts w:hint="eastAsia"/>
                        <w:spacing w:val="-20"/>
                        <w:lang w:bidi="ar"/>
                      </w:rPr>
                      <w:t>ERP运维服务</w:t>
                    </w:r>
                  </w:p>
                </w:tc>
                <w:tc>
                  <w:tcPr>
                    <w:tcW w:w="1417" w:type="dxa"/>
                    <w:vAlign w:val="center"/>
                  </w:tcPr>
                  <w:p w14:paraId="092406E6" w14:textId="77777777" w:rsidR="007E7472" w:rsidRDefault="00EC1269">
                    <w:pPr>
                      <w:jc w:val="right"/>
                      <w:textAlignment w:val="center"/>
                      <w:rPr>
                        <w:spacing w:val="-20"/>
                      </w:rPr>
                    </w:pPr>
                    <w:r>
                      <w:t>11,792</w:t>
                    </w:r>
                  </w:p>
                </w:tc>
                <w:tc>
                  <w:tcPr>
                    <w:tcW w:w="1565" w:type="dxa"/>
                    <w:vAlign w:val="center"/>
                  </w:tcPr>
                  <w:p w14:paraId="46295B21" w14:textId="77777777" w:rsidR="007E7472" w:rsidRDefault="00EC1269">
                    <w:pPr>
                      <w:jc w:val="right"/>
                      <w:textAlignment w:val="center"/>
                      <w:rPr>
                        <w:spacing w:val="-20"/>
                        <w:lang w:bidi="ar"/>
                      </w:rPr>
                    </w:pPr>
                    <w:r>
                      <w:t>11,792</w:t>
                    </w:r>
                  </w:p>
                </w:tc>
                <w:tc>
                  <w:tcPr>
                    <w:tcW w:w="884" w:type="dxa"/>
                    <w:vAlign w:val="center"/>
                  </w:tcPr>
                  <w:p w14:paraId="3B99D5F5" w14:textId="77777777" w:rsidR="007E7472" w:rsidRDefault="00EC1269">
                    <w:pPr>
                      <w:widowControl w:val="0"/>
                      <w:jc w:val="center"/>
                      <w:rPr>
                        <w:spacing w:val="-20"/>
                      </w:rPr>
                    </w:pPr>
                    <w:r>
                      <w:rPr>
                        <w:spacing w:val="-20"/>
                      </w:rPr>
                      <w:t>注2</w:t>
                    </w:r>
                  </w:p>
                </w:tc>
              </w:tr>
              <w:tr w:rsidR="007E7472" w14:paraId="071BA4CC" w14:textId="77777777" w:rsidTr="007E7472">
                <w:trPr>
                  <w:trHeight w:val="397"/>
                  <w:jc w:val="center"/>
                </w:trPr>
                <w:tc>
                  <w:tcPr>
                    <w:tcW w:w="2405" w:type="dxa"/>
                    <w:vAlign w:val="center"/>
                  </w:tcPr>
                  <w:p w14:paraId="207AFE70" w14:textId="77777777" w:rsidR="007E7472" w:rsidRDefault="00EC1269">
                    <w:pPr>
                      <w:jc w:val="both"/>
                      <w:rPr>
                        <w:spacing w:val="-20"/>
                      </w:rPr>
                    </w:pPr>
                    <w:r>
                      <w:rPr>
                        <w:rFonts w:hint="eastAsia"/>
                        <w:spacing w:val="-20"/>
                      </w:rPr>
                      <w:t>控股股东及其控制的公司</w:t>
                    </w:r>
                  </w:p>
                </w:tc>
                <w:tc>
                  <w:tcPr>
                    <w:tcW w:w="2552" w:type="dxa"/>
                    <w:vAlign w:val="center"/>
                  </w:tcPr>
                  <w:p w14:paraId="297FC490" w14:textId="77777777" w:rsidR="007E7472" w:rsidRDefault="00EC1269">
                    <w:pPr>
                      <w:jc w:val="both"/>
                      <w:textAlignment w:val="center"/>
                      <w:rPr>
                        <w:spacing w:val="-20"/>
                      </w:rPr>
                    </w:pPr>
                    <w:r>
                      <w:rPr>
                        <w:spacing w:val="-20"/>
                        <w:lang w:bidi="ar"/>
                      </w:rPr>
                      <w:t>兖矿财务公司利息收入</w:t>
                    </w:r>
                  </w:p>
                </w:tc>
                <w:tc>
                  <w:tcPr>
                    <w:tcW w:w="1417" w:type="dxa"/>
                    <w:vAlign w:val="center"/>
                  </w:tcPr>
                  <w:p w14:paraId="25A492CB" w14:textId="77777777" w:rsidR="007E7472" w:rsidRDefault="00EC1269">
                    <w:pPr>
                      <w:jc w:val="right"/>
                      <w:textAlignment w:val="center"/>
                      <w:rPr>
                        <w:spacing w:val="-20"/>
                      </w:rPr>
                    </w:pPr>
                    <w:r>
                      <w:t>119,426</w:t>
                    </w:r>
                  </w:p>
                </w:tc>
                <w:tc>
                  <w:tcPr>
                    <w:tcW w:w="1565" w:type="dxa"/>
                    <w:vAlign w:val="center"/>
                  </w:tcPr>
                  <w:p w14:paraId="35A03E5A" w14:textId="77777777" w:rsidR="007E7472" w:rsidRDefault="00EC1269">
                    <w:pPr>
                      <w:jc w:val="right"/>
                      <w:textAlignment w:val="center"/>
                      <w:rPr>
                        <w:spacing w:val="-20"/>
                      </w:rPr>
                    </w:pPr>
                    <w:r>
                      <w:t>139,907</w:t>
                    </w:r>
                  </w:p>
                </w:tc>
                <w:tc>
                  <w:tcPr>
                    <w:tcW w:w="884" w:type="dxa"/>
                    <w:vAlign w:val="center"/>
                  </w:tcPr>
                  <w:p w14:paraId="5F84DCE8" w14:textId="77777777" w:rsidR="007E7472" w:rsidRDefault="00EC1269">
                    <w:pPr>
                      <w:widowControl w:val="0"/>
                      <w:jc w:val="center"/>
                      <w:rPr>
                        <w:spacing w:val="-20"/>
                      </w:rPr>
                    </w:pPr>
                    <w:r>
                      <w:rPr>
                        <w:spacing w:val="-20"/>
                      </w:rPr>
                      <w:t>注3</w:t>
                    </w:r>
                  </w:p>
                </w:tc>
              </w:tr>
              <w:tr w:rsidR="007E7472" w14:paraId="5CB2EC68" w14:textId="77777777" w:rsidTr="007E7472">
                <w:trPr>
                  <w:trHeight w:val="397"/>
                  <w:jc w:val="center"/>
                </w:trPr>
                <w:tc>
                  <w:tcPr>
                    <w:tcW w:w="2405" w:type="dxa"/>
                    <w:vAlign w:val="center"/>
                  </w:tcPr>
                  <w:p w14:paraId="4A8DEAE5" w14:textId="77777777" w:rsidR="007E7472" w:rsidRDefault="00EC1269">
                    <w:pPr>
                      <w:jc w:val="both"/>
                      <w:rPr>
                        <w:spacing w:val="-20"/>
                      </w:rPr>
                    </w:pPr>
                    <w:r>
                      <w:rPr>
                        <w:rFonts w:hint="eastAsia"/>
                        <w:spacing w:val="-20"/>
                      </w:rPr>
                      <w:t>联营企业</w:t>
                    </w:r>
                  </w:p>
                </w:tc>
                <w:tc>
                  <w:tcPr>
                    <w:tcW w:w="2552" w:type="dxa"/>
                    <w:vAlign w:val="center"/>
                  </w:tcPr>
                  <w:p w14:paraId="4179234A" w14:textId="77777777" w:rsidR="007E7472" w:rsidRDefault="00EC1269">
                    <w:pPr>
                      <w:jc w:val="both"/>
                      <w:textAlignment w:val="center"/>
                      <w:rPr>
                        <w:spacing w:val="-20"/>
                        <w:lang w:bidi="ar"/>
                      </w:rPr>
                    </w:pPr>
                    <w:r>
                      <w:rPr>
                        <w:rFonts w:hint="eastAsia"/>
                        <w:spacing w:val="-20"/>
                        <w:lang w:bidi="ar"/>
                      </w:rPr>
                      <w:t>兖矿财务公司利息收入</w:t>
                    </w:r>
                  </w:p>
                </w:tc>
                <w:tc>
                  <w:tcPr>
                    <w:tcW w:w="1417" w:type="dxa"/>
                    <w:vAlign w:val="center"/>
                  </w:tcPr>
                  <w:p w14:paraId="5F4BAE64" w14:textId="77777777" w:rsidR="007E7472" w:rsidRDefault="00C8327E">
                    <w:pPr>
                      <w:jc w:val="right"/>
                      <w:textAlignment w:val="center"/>
                      <w:rPr>
                        <w:spacing w:val="-20"/>
                      </w:rPr>
                    </w:pPr>
                  </w:p>
                </w:tc>
                <w:tc>
                  <w:tcPr>
                    <w:tcW w:w="1565" w:type="dxa"/>
                    <w:vAlign w:val="center"/>
                  </w:tcPr>
                  <w:p w14:paraId="756E0A5E" w14:textId="77777777" w:rsidR="007E7472" w:rsidRDefault="00EC1269">
                    <w:pPr>
                      <w:jc w:val="right"/>
                      <w:textAlignment w:val="center"/>
                    </w:pPr>
                    <w:r>
                      <w:t>4,338</w:t>
                    </w:r>
                  </w:p>
                </w:tc>
                <w:tc>
                  <w:tcPr>
                    <w:tcW w:w="884" w:type="dxa"/>
                    <w:vAlign w:val="center"/>
                  </w:tcPr>
                  <w:p w14:paraId="1990A266" w14:textId="77777777" w:rsidR="007E7472" w:rsidRDefault="00C8327E">
                    <w:pPr>
                      <w:widowControl w:val="0"/>
                      <w:jc w:val="center"/>
                      <w:rPr>
                        <w:spacing w:val="-20"/>
                      </w:rPr>
                    </w:pPr>
                  </w:p>
                </w:tc>
              </w:tr>
              <w:tr w:rsidR="007E7472" w14:paraId="3FEBA8A1" w14:textId="77777777" w:rsidTr="007E7472">
                <w:trPr>
                  <w:trHeight w:val="397"/>
                  <w:jc w:val="center"/>
                </w:trPr>
                <w:tc>
                  <w:tcPr>
                    <w:tcW w:w="2405" w:type="dxa"/>
                    <w:vAlign w:val="center"/>
                  </w:tcPr>
                  <w:p w14:paraId="57244B50" w14:textId="77777777" w:rsidR="007E7472" w:rsidRDefault="00EC1269">
                    <w:pPr>
                      <w:jc w:val="both"/>
                      <w:rPr>
                        <w:spacing w:val="-20"/>
                      </w:rPr>
                    </w:pPr>
                    <w:r>
                      <w:rPr>
                        <w:rFonts w:hint="eastAsia"/>
                        <w:spacing w:val="-20"/>
                      </w:rPr>
                      <w:t>其他关联方</w:t>
                    </w:r>
                  </w:p>
                </w:tc>
                <w:tc>
                  <w:tcPr>
                    <w:tcW w:w="2552" w:type="dxa"/>
                    <w:vAlign w:val="center"/>
                  </w:tcPr>
                  <w:p w14:paraId="266A2DBB" w14:textId="77777777" w:rsidR="007E7472" w:rsidRDefault="00EC1269">
                    <w:pPr>
                      <w:jc w:val="both"/>
                      <w:textAlignment w:val="center"/>
                      <w:rPr>
                        <w:spacing w:val="-20"/>
                        <w:lang w:bidi="ar"/>
                      </w:rPr>
                    </w:pPr>
                    <w:r>
                      <w:rPr>
                        <w:spacing w:val="-20"/>
                        <w:lang w:bidi="ar"/>
                      </w:rPr>
                      <w:t>兖矿财务公司利息收入</w:t>
                    </w:r>
                  </w:p>
                </w:tc>
                <w:tc>
                  <w:tcPr>
                    <w:tcW w:w="1417" w:type="dxa"/>
                    <w:vAlign w:val="center"/>
                  </w:tcPr>
                  <w:p w14:paraId="52692777" w14:textId="77777777" w:rsidR="007E7472" w:rsidRDefault="00EC1269">
                    <w:pPr>
                      <w:jc w:val="right"/>
                      <w:textAlignment w:val="center"/>
                      <w:rPr>
                        <w:spacing w:val="-20"/>
                      </w:rPr>
                    </w:pPr>
                    <w:r>
                      <w:rPr>
                        <w:spacing w:val="-20"/>
                      </w:rPr>
                      <w:t>45</w:t>
                    </w:r>
                  </w:p>
                </w:tc>
                <w:tc>
                  <w:tcPr>
                    <w:tcW w:w="1565" w:type="dxa"/>
                    <w:vAlign w:val="center"/>
                  </w:tcPr>
                  <w:p w14:paraId="271BD37A" w14:textId="77777777" w:rsidR="007E7472" w:rsidRDefault="00C8327E">
                    <w:pPr>
                      <w:jc w:val="right"/>
                      <w:textAlignment w:val="center"/>
                      <w:rPr>
                        <w:spacing w:val="-20"/>
                        <w:lang w:bidi="ar"/>
                      </w:rPr>
                    </w:pPr>
                  </w:p>
                </w:tc>
                <w:tc>
                  <w:tcPr>
                    <w:tcW w:w="884" w:type="dxa"/>
                    <w:vAlign w:val="center"/>
                  </w:tcPr>
                  <w:p w14:paraId="718CC197" w14:textId="77777777" w:rsidR="007E7472" w:rsidRDefault="00C8327E">
                    <w:pPr>
                      <w:widowControl w:val="0"/>
                      <w:jc w:val="center"/>
                      <w:rPr>
                        <w:spacing w:val="-20"/>
                      </w:rPr>
                    </w:pPr>
                  </w:p>
                </w:tc>
              </w:tr>
              <w:tr w:rsidR="007E7472" w14:paraId="5B8DC87B" w14:textId="77777777" w:rsidTr="007E7472">
                <w:trPr>
                  <w:trHeight w:val="397"/>
                  <w:jc w:val="center"/>
                </w:trPr>
                <w:tc>
                  <w:tcPr>
                    <w:tcW w:w="2405" w:type="dxa"/>
                    <w:vAlign w:val="center"/>
                  </w:tcPr>
                  <w:p w14:paraId="4EB0FC2F" w14:textId="77777777" w:rsidR="007E7472" w:rsidRDefault="00EC1269">
                    <w:pPr>
                      <w:jc w:val="both"/>
                      <w:rPr>
                        <w:spacing w:val="-20"/>
                      </w:rPr>
                    </w:pPr>
                    <w:r>
                      <w:rPr>
                        <w:rFonts w:hint="eastAsia"/>
                        <w:spacing w:val="-20"/>
                      </w:rPr>
                      <w:t>控股股东及其控制的公司</w:t>
                    </w:r>
                  </w:p>
                </w:tc>
                <w:tc>
                  <w:tcPr>
                    <w:tcW w:w="2552" w:type="dxa"/>
                    <w:vAlign w:val="center"/>
                  </w:tcPr>
                  <w:p w14:paraId="76C76CCA" w14:textId="77777777" w:rsidR="007E7472" w:rsidRDefault="00EC1269">
                    <w:pPr>
                      <w:jc w:val="both"/>
                      <w:textAlignment w:val="center"/>
                      <w:rPr>
                        <w:spacing w:val="-20"/>
                      </w:rPr>
                    </w:pPr>
                    <w:r>
                      <w:rPr>
                        <w:spacing w:val="-20"/>
                        <w:lang w:bidi="ar"/>
                      </w:rPr>
                      <w:t>兖矿财务公司手续费收入</w:t>
                    </w:r>
                  </w:p>
                </w:tc>
                <w:tc>
                  <w:tcPr>
                    <w:tcW w:w="1417" w:type="dxa"/>
                    <w:vAlign w:val="center"/>
                  </w:tcPr>
                  <w:p w14:paraId="5BA579CB" w14:textId="77777777" w:rsidR="007E7472" w:rsidRDefault="00EC1269">
                    <w:pPr>
                      <w:jc w:val="right"/>
                      <w:textAlignment w:val="center"/>
                      <w:rPr>
                        <w:spacing w:val="-20"/>
                      </w:rPr>
                    </w:pPr>
                    <w:r>
                      <w:t>283</w:t>
                    </w:r>
                  </w:p>
                </w:tc>
                <w:tc>
                  <w:tcPr>
                    <w:tcW w:w="1565" w:type="dxa"/>
                    <w:vAlign w:val="center"/>
                  </w:tcPr>
                  <w:p w14:paraId="763E36B0" w14:textId="77777777" w:rsidR="007E7472" w:rsidRDefault="00EC1269">
                    <w:pPr>
                      <w:jc w:val="right"/>
                      <w:textAlignment w:val="center"/>
                      <w:rPr>
                        <w:spacing w:val="-20"/>
                      </w:rPr>
                    </w:pPr>
                    <w:r>
                      <w:t>617</w:t>
                    </w:r>
                  </w:p>
                </w:tc>
                <w:tc>
                  <w:tcPr>
                    <w:tcW w:w="884" w:type="dxa"/>
                    <w:vAlign w:val="center"/>
                  </w:tcPr>
                  <w:p w14:paraId="4BC4E4E3" w14:textId="77777777" w:rsidR="007E7472" w:rsidRDefault="00EC1269">
                    <w:pPr>
                      <w:widowControl w:val="0"/>
                      <w:jc w:val="center"/>
                      <w:rPr>
                        <w:spacing w:val="-20"/>
                      </w:rPr>
                    </w:pPr>
                    <w:r>
                      <w:rPr>
                        <w:spacing w:val="-20"/>
                      </w:rPr>
                      <w:t>注4</w:t>
                    </w:r>
                  </w:p>
                </w:tc>
              </w:tr>
              <w:tr w:rsidR="007E7472" w14:paraId="580CFF95" w14:textId="77777777" w:rsidTr="007E7472">
                <w:trPr>
                  <w:trHeight w:val="397"/>
                  <w:jc w:val="center"/>
                </w:trPr>
                <w:tc>
                  <w:tcPr>
                    <w:tcW w:w="2405" w:type="dxa"/>
                    <w:vAlign w:val="center"/>
                  </w:tcPr>
                  <w:p w14:paraId="695105BA" w14:textId="77777777" w:rsidR="007E7472" w:rsidRDefault="00EC1269">
                    <w:pPr>
                      <w:jc w:val="both"/>
                      <w:rPr>
                        <w:spacing w:val="-20"/>
                      </w:rPr>
                    </w:pPr>
                    <w:r>
                      <w:rPr>
                        <w:rFonts w:hint="eastAsia"/>
                        <w:spacing w:val="-20"/>
                      </w:rPr>
                      <w:t>联营企业</w:t>
                    </w:r>
                  </w:p>
                </w:tc>
                <w:tc>
                  <w:tcPr>
                    <w:tcW w:w="2552" w:type="dxa"/>
                    <w:vAlign w:val="center"/>
                  </w:tcPr>
                  <w:p w14:paraId="645591C0" w14:textId="77777777" w:rsidR="007E7472" w:rsidRDefault="00EC1269">
                    <w:pPr>
                      <w:jc w:val="both"/>
                      <w:textAlignment w:val="center"/>
                      <w:rPr>
                        <w:spacing w:val="-20"/>
                        <w:lang w:bidi="ar"/>
                      </w:rPr>
                    </w:pPr>
                    <w:r>
                      <w:rPr>
                        <w:rFonts w:hint="eastAsia"/>
                        <w:spacing w:val="-20"/>
                        <w:lang w:bidi="ar"/>
                      </w:rPr>
                      <w:t>兖矿财务公司手续费收入</w:t>
                    </w:r>
                  </w:p>
                </w:tc>
                <w:tc>
                  <w:tcPr>
                    <w:tcW w:w="1417" w:type="dxa"/>
                    <w:vAlign w:val="center"/>
                  </w:tcPr>
                  <w:p w14:paraId="41C56325" w14:textId="77777777" w:rsidR="007E7472" w:rsidRDefault="00C8327E">
                    <w:pPr>
                      <w:jc w:val="right"/>
                      <w:textAlignment w:val="center"/>
                    </w:pPr>
                  </w:p>
                </w:tc>
                <w:tc>
                  <w:tcPr>
                    <w:tcW w:w="1565" w:type="dxa"/>
                    <w:vAlign w:val="center"/>
                  </w:tcPr>
                  <w:p w14:paraId="4C79479A" w14:textId="77777777" w:rsidR="007E7472" w:rsidRDefault="00EC1269">
                    <w:pPr>
                      <w:jc w:val="right"/>
                      <w:textAlignment w:val="center"/>
                    </w:pPr>
                    <w:r>
                      <w:t>94</w:t>
                    </w:r>
                  </w:p>
                </w:tc>
                <w:tc>
                  <w:tcPr>
                    <w:tcW w:w="884" w:type="dxa"/>
                    <w:vAlign w:val="center"/>
                  </w:tcPr>
                  <w:p w14:paraId="63BCAB85" w14:textId="77777777" w:rsidR="007E7472" w:rsidRDefault="00C8327E">
                    <w:pPr>
                      <w:widowControl w:val="0"/>
                      <w:jc w:val="center"/>
                      <w:rPr>
                        <w:spacing w:val="-20"/>
                      </w:rPr>
                    </w:pPr>
                  </w:p>
                </w:tc>
              </w:tr>
              <w:tr w:rsidR="007E7472" w14:paraId="751ACD80" w14:textId="77777777" w:rsidTr="007E7472">
                <w:trPr>
                  <w:trHeight w:val="397"/>
                  <w:jc w:val="center"/>
                </w:trPr>
                <w:tc>
                  <w:tcPr>
                    <w:tcW w:w="2405" w:type="dxa"/>
                    <w:vAlign w:val="center"/>
                  </w:tcPr>
                  <w:p w14:paraId="05B5D10C" w14:textId="77777777" w:rsidR="007E7472" w:rsidRDefault="00EC1269">
                    <w:pPr>
                      <w:jc w:val="both"/>
                      <w:rPr>
                        <w:spacing w:val="-20"/>
                      </w:rPr>
                    </w:pPr>
                    <w:r>
                      <w:rPr>
                        <w:rFonts w:hint="eastAsia"/>
                        <w:spacing w:val="-20"/>
                      </w:rPr>
                      <w:t>控股股东及其控制的公司</w:t>
                    </w:r>
                  </w:p>
                </w:tc>
                <w:tc>
                  <w:tcPr>
                    <w:tcW w:w="2552" w:type="dxa"/>
                    <w:vAlign w:val="center"/>
                  </w:tcPr>
                  <w:p w14:paraId="2B216BA3" w14:textId="77777777" w:rsidR="007E7472" w:rsidRDefault="00EC1269">
                    <w:pPr>
                      <w:jc w:val="both"/>
                      <w:textAlignment w:val="center"/>
                      <w:rPr>
                        <w:spacing w:val="-20"/>
                      </w:rPr>
                    </w:pPr>
                    <w:r>
                      <w:rPr>
                        <w:spacing w:val="-20"/>
                        <w:lang w:bidi="ar"/>
                      </w:rPr>
                      <w:t>兖矿财务公司利息支出</w:t>
                    </w:r>
                  </w:p>
                </w:tc>
                <w:tc>
                  <w:tcPr>
                    <w:tcW w:w="1417" w:type="dxa"/>
                    <w:vAlign w:val="center"/>
                  </w:tcPr>
                  <w:p w14:paraId="3C2B217C" w14:textId="77777777" w:rsidR="007E7472" w:rsidRDefault="00EC1269">
                    <w:pPr>
                      <w:jc w:val="right"/>
                      <w:textAlignment w:val="center"/>
                      <w:rPr>
                        <w:spacing w:val="-20"/>
                      </w:rPr>
                    </w:pPr>
                    <w:r>
                      <w:t>72,422</w:t>
                    </w:r>
                  </w:p>
                </w:tc>
                <w:tc>
                  <w:tcPr>
                    <w:tcW w:w="1565" w:type="dxa"/>
                    <w:vAlign w:val="center"/>
                  </w:tcPr>
                  <w:p w14:paraId="5DB060A5" w14:textId="77777777" w:rsidR="007E7472" w:rsidRDefault="00EC1269">
                    <w:pPr>
                      <w:jc w:val="right"/>
                      <w:textAlignment w:val="center"/>
                      <w:rPr>
                        <w:spacing w:val="-20"/>
                      </w:rPr>
                    </w:pPr>
                    <w:r>
                      <w:t>98,124</w:t>
                    </w:r>
                  </w:p>
                </w:tc>
                <w:tc>
                  <w:tcPr>
                    <w:tcW w:w="884" w:type="dxa"/>
                    <w:vAlign w:val="center"/>
                  </w:tcPr>
                  <w:p w14:paraId="52788889" w14:textId="77777777" w:rsidR="007E7472" w:rsidRDefault="00EC1269">
                    <w:pPr>
                      <w:widowControl w:val="0"/>
                      <w:jc w:val="center"/>
                      <w:rPr>
                        <w:spacing w:val="-20"/>
                      </w:rPr>
                    </w:pPr>
                    <w:r>
                      <w:rPr>
                        <w:spacing w:val="-20"/>
                      </w:rPr>
                      <w:t>注5</w:t>
                    </w:r>
                  </w:p>
                </w:tc>
              </w:tr>
              <w:tr w:rsidR="007E7472" w14:paraId="57510308" w14:textId="77777777" w:rsidTr="007E7472">
                <w:trPr>
                  <w:trHeight w:val="397"/>
                  <w:jc w:val="center"/>
                </w:trPr>
                <w:tc>
                  <w:tcPr>
                    <w:tcW w:w="2405" w:type="dxa"/>
                    <w:vAlign w:val="center"/>
                  </w:tcPr>
                  <w:p w14:paraId="204AB09F" w14:textId="77777777" w:rsidR="007E7472" w:rsidRDefault="00EC1269">
                    <w:pPr>
                      <w:jc w:val="both"/>
                      <w:rPr>
                        <w:spacing w:val="-20"/>
                      </w:rPr>
                    </w:pPr>
                    <w:r>
                      <w:rPr>
                        <w:rFonts w:hint="eastAsia"/>
                        <w:spacing w:val="-20"/>
                      </w:rPr>
                      <w:t>联营企业</w:t>
                    </w:r>
                  </w:p>
                </w:tc>
                <w:tc>
                  <w:tcPr>
                    <w:tcW w:w="2552" w:type="dxa"/>
                    <w:vAlign w:val="center"/>
                  </w:tcPr>
                  <w:p w14:paraId="6C6686D2" w14:textId="77777777" w:rsidR="007E7472" w:rsidRDefault="00EC1269">
                    <w:pPr>
                      <w:jc w:val="both"/>
                      <w:textAlignment w:val="center"/>
                      <w:rPr>
                        <w:spacing w:val="-20"/>
                        <w:lang w:bidi="ar"/>
                      </w:rPr>
                    </w:pPr>
                    <w:r>
                      <w:rPr>
                        <w:rFonts w:hint="eastAsia"/>
                        <w:spacing w:val="-20"/>
                        <w:lang w:bidi="ar"/>
                      </w:rPr>
                      <w:t>兖矿财务公司利息支出</w:t>
                    </w:r>
                  </w:p>
                </w:tc>
                <w:tc>
                  <w:tcPr>
                    <w:tcW w:w="1417" w:type="dxa"/>
                    <w:vAlign w:val="center"/>
                  </w:tcPr>
                  <w:p w14:paraId="344F15EF" w14:textId="77777777" w:rsidR="007E7472" w:rsidRDefault="00C8327E">
                    <w:pPr>
                      <w:jc w:val="right"/>
                      <w:textAlignment w:val="center"/>
                      <w:rPr>
                        <w:spacing w:val="-20"/>
                      </w:rPr>
                    </w:pPr>
                  </w:p>
                </w:tc>
                <w:tc>
                  <w:tcPr>
                    <w:tcW w:w="1565" w:type="dxa"/>
                    <w:vAlign w:val="center"/>
                  </w:tcPr>
                  <w:p w14:paraId="59093E2D" w14:textId="77777777" w:rsidR="007E7472" w:rsidRDefault="00EC1269">
                    <w:pPr>
                      <w:jc w:val="right"/>
                      <w:textAlignment w:val="center"/>
                    </w:pPr>
                    <w:r>
                      <w:t>554</w:t>
                    </w:r>
                  </w:p>
                </w:tc>
                <w:tc>
                  <w:tcPr>
                    <w:tcW w:w="884" w:type="dxa"/>
                    <w:vAlign w:val="center"/>
                  </w:tcPr>
                  <w:p w14:paraId="52A321B5" w14:textId="77777777" w:rsidR="007E7472" w:rsidRDefault="00C8327E">
                    <w:pPr>
                      <w:widowControl w:val="0"/>
                      <w:jc w:val="center"/>
                      <w:rPr>
                        <w:spacing w:val="-20"/>
                      </w:rPr>
                    </w:pPr>
                  </w:p>
                </w:tc>
              </w:tr>
              <w:tr w:rsidR="007E7472" w14:paraId="078336BC" w14:textId="77777777" w:rsidTr="007E7472">
                <w:trPr>
                  <w:trHeight w:val="397"/>
                  <w:jc w:val="center"/>
                </w:trPr>
                <w:tc>
                  <w:tcPr>
                    <w:tcW w:w="2405" w:type="dxa"/>
                    <w:vAlign w:val="center"/>
                  </w:tcPr>
                  <w:p w14:paraId="59EE216C" w14:textId="77777777" w:rsidR="007E7472" w:rsidRDefault="00EC1269">
                    <w:pPr>
                      <w:jc w:val="both"/>
                      <w:rPr>
                        <w:spacing w:val="-20"/>
                      </w:rPr>
                    </w:pPr>
                    <w:r>
                      <w:rPr>
                        <w:rFonts w:hint="eastAsia"/>
                        <w:spacing w:val="-20"/>
                      </w:rPr>
                      <w:t>其他关联方</w:t>
                    </w:r>
                  </w:p>
                </w:tc>
                <w:tc>
                  <w:tcPr>
                    <w:tcW w:w="2552" w:type="dxa"/>
                    <w:vAlign w:val="center"/>
                  </w:tcPr>
                  <w:p w14:paraId="1F850C12" w14:textId="77777777" w:rsidR="007E7472" w:rsidRDefault="00EC1269">
                    <w:pPr>
                      <w:jc w:val="both"/>
                      <w:textAlignment w:val="center"/>
                      <w:rPr>
                        <w:spacing w:val="-20"/>
                        <w:lang w:bidi="ar"/>
                      </w:rPr>
                    </w:pPr>
                    <w:r>
                      <w:rPr>
                        <w:spacing w:val="-20"/>
                        <w:lang w:bidi="ar"/>
                      </w:rPr>
                      <w:t>兖矿财务公司利息支出</w:t>
                    </w:r>
                  </w:p>
                </w:tc>
                <w:tc>
                  <w:tcPr>
                    <w:tcW w:w="1417" w:type="dxa"/>
                    <w:vAlign w:val="center"/>
                  </w:tcPr>
                  <w:p w14:paraId="4E2CCE3A" w14:textId="77777777" w:rsidR="007E7472" w:rsidRDefault="00EC1269">
                    <w:pPr>
                      <w:jc w:val="right"/>
                      <w:textAlignment w:val="center"/>
                      <w:rPr>
                        <w:spacing w:val="-20"/>
                      </w:rPr>
                    </w:pPr>
                    <w:r>
                      <w:rPr>
                        <w:spacing w:val="-20"/>
                      </w:rPr>
                      <w:t>2</w:t>
                    </w:r>
                  </w:p>
                </w:tc>
                <w:tc>
                  <w:tcPr>
                    <w:tcW w:w="1565" w:type="dxa"/>
                    <w:vAlign w:val="center"/>
                  </w:tcPr>
                  <w:p w14:paraId="27F0700C" w14:textId="77777777" w:rsidR="007E7472" w:rsidRDefault="00C8327E">
                    <w:pPr>
                      <w:jc w:val="right"/>
                      <w:textAlignment w:val="center"/>
                      <w:rPr>
                        <w:spacing w:val="-20"/>
                        <w:lang w:bidi="ar"/>
                      </w:rPr>
                    </w:pPr>
                  </w:p>
                </w:tc>
                <w:tc>
                  <w:tcPr>
                    <w:tcW w:w="884" w:type="dxa"/>
                    <w:vAlign w:val="center"/>
                  </w:tcPr>
                  <w:p w14:paraId="4E074231" w14:textId="77777777" w:rsidR="007E7472" w:rsidRDefault="00C8327E">
                    <w:pPr>
                      <w:widowControl w:val="0"/>
                      <w:jc w:val="center"/>
                      <w:rPr>
                        <w:spacing w:val="-20"/>
                      </w:rPr>
                    </w:pPr>
                  </w:p>
                </w:tc>
              </w:tr>
              <w:tr w:rsidR="007E7472" w14:paraId="7F4AA21E" w14:textId="77777777" w:rsidTr="007E7472">
                <w:trPr>
                  <w:trHeight w:val="397"/>
                  <w:jc w:val="center"/>
                </w:trPr>
                <w:tc>
                  <w:tcPr>
                    <w:tcW w:w="2405" w:type="dxa"/>
                    <w:vAlign w:val="center"/>
                  </w:tcPr>
                  <w:p w14:paraId="4FD7711C" w14:textId="77777777" w:rsidR="007E7472" w:rsidRDefault="00EC1269">
                    <w:pPr>
                      <w:jc w:val="both"/>
                      <w:rPr>
                        <w:spacing w:val="-20"/>
                      </w:rPr>
                    </w:pPr>
                    <w:r>
                      <w:rPr>
                        <w:rFonts w:hint="eastAsia"/>
                        <w:spacing w:val="-20"/>
                      </w:rPr>
                      <w:t>控股股东及其控制的公司</w:t>
                    </w:r>
                  </w:p>
                </w:tc>
                <w:tc>
                  <w:tcPr>
                    <w:tcW w:w="2552" w:type="dxa"/>
                    <w:vAlign w:val="center"/>
                  </w:tcPr>
                  <w:p w14:paraId="171B1C76" w14:textId="77777777" w:rsidR="007E7472" w:rsidRDefault="00EC1269">
                    <w:pPr>
                      <w:jc w:val="both"/>
                      <w:textAlignment w:val="center"/>
                      <w:rPr>
                        <w:spacing w:val="-20"/>
                      </w:rPr>
                    </w:pPr>
                    <w:r>
                      <w:rPr>
                        <w:spacing w:val="-20"/>
                        <w:lang w:bidi="ar"/>
                      </w:rPr>
                      <w:t>兖矿财务公司发放贷款</w:t>
                    </w:r>
                  </w:p>
                </w:tc>
                <w:tc>
                  <w:tcPr>
                    <w:tcW w:w="1417" w:type="dxa"/>
                    <w:vAlign w:val="center"/>
                  </w:tcPr>
                  <w:p w14:paraId="061F93D1" w14:textId="77777777" w:rsidR="007E7472" w:rsidRDefault="00EC1269">
                    <w:pPr>
                      <w:jc w:val="right"/>
                      <w:textAlignment w:val="center"/>
                      <w:rPr>
                        <w:spacing w:val="-20"/>
                      </w:rPr>
                    </w:pPr>
                    <w:r>
                      <w:t>5,140,000</w:t>
                    </w:r>
                  </w:p>
                </w:tc>
                <w:tc>
                  <w:tcPr>
                    <w:tcW w:w="1565" w:type="dxa"/>
                    <w:vAlign w:val="center"/>
                  </w:tcPr>
                  <w:p w14:paraId="04766E34" w14:textId="77777777" w:rsidR="007E7472" w:rsidRDefault="00EC1269">
                    <w:pPr>
                      <w:jc w:val="right"/>
                      <w:textAlignment w:val="center"/>
                      <w:rPr>
                        <w:spacing w:val="-20"/>
                      </w:rPr>
                    </w:pPr>
                    <w:r>
                      <w:t>4,709,610</w:t>
                    </w:r>
                  </w:p>
                </w:tc>
                <w:tc>
                  <w:tcPr>
                    <w:tcW w:w="884" w:type="dxa"/>
                    <w:vAlign w:val="center"/>
                  </w:tcPr>
                  <w:p w14:paraId="4E6E79FC" w14:textId="77777777" w:rsidR="007E7472" w:rsidRDefault="00EC1269">
                    <w:pPr>
                      <w:widowControl w:val="0"/>
                      <w:jc w:val="center"/>
                      <w:rPr>
                        <w:spacing w:val="-20"/>
                      </w:rPr>
                    </w:pPr>
                    <w:r>
                      <w:rPr>
                        <w:spacing w:val="-20"/>
                      </w:rPr>
                      <w:t>注6</w:t>
                    </w:r>
                  </w:p>
                </w:tc>
              </w:tr>
              <w:tr w:rsidR="007E7472" w14:paraId="0B131E72" w14:textId="77777777" w:rsidTr="007E7472">
                <w:trPr>
                  <w:trHeight w:val="397"/>
                  <w:jc w:val="center"/>
                </w:trPr>
                <w:tc>
                  <w:tcPr>
                    <w:tcW w:w="2405" w:type="dxa"/>
                    <w:vAlign w:val="center"/>
                  </w:tcPr>
                  <w:p w14:paraId="6D3A567A" w14:textId="77777777" w:rsidR="007E7472" w:rsidRDefault="00EC1269">
                    <w:pPr>
                      <w:jc w:val="both"/>
                      <w:rPr>
                        <w:spacing w:val="-20"/>
                      </w:rPr>
                    </w:pPr>
                    <w:r>
                      <w:rPr>
                        <w:rFonts w:hint="eastAsia"/>
                        <w:spacing w:val="-20"/>
                      </w:rPr>
                      <w:t>联营企业</w:t>
                    </w:r>
                  </w:p>
                </w:tc>
                <w:tc>
                  <w:tcPr>
                    <w:tcW w:w="2552" w:type="dxa"/>
                    <w:vAlign w:val="center"/>
                  </w:tcPr>
                  <w:p w14:paraId="721470A4" w14:textId="77777777" w:rsidR="007E7472" w:rsidRDefault="00EC1269">
                    <w:pPr>
                      <w:jc w:val="both"/>
                      <w:textAlignment w:val="center"/>
                      <w:rPr>
                        <w:spacing w:val="-20"/>
                        <w:lang w:bidi="ar"/>
                      </w:rPr>
                    </w:pPr>
                    <w:r>
                      <w:rPr>
                        <w:rFonts w:hint="eastAsia"/>
                        <w:spacing w:val="-20"/>
                        <w:lang w:bidi="ar"/>
                      </w:rPr>
                      <w:t>兖矿财务公司发放贷款</w:t>
                    </w:r>
                  </w:p>
                </w:tc>
                <w:tc>
                  <w:tcPr>
                    <w:tcW w:w="1417" w:type="dxa"/>
                    <w:vAlign w:val="center"/>
                  </w:tcPr>
                  <w:p w14:paraId="15323A31" w14:textId="77777777" w:rsidR="007E7472" w:rsidRDefault="00C8327E">
                    <w:pPr>
                      <w:jc w:val="right"/>
                      <w:textAlignment w:val="center"/>
                      <w:rPr>
                        <w:spacing w:val="-20"/>
                      </w:rPr>
                    </w:pPr>
                  </w:p>
                </w:tc>
                <w:tc>
                  <w:tcPr>
                    <w:tcW w:w="1565" w:type="dxa"/>
                    <w:vAlign w:val="center"/>
                  </w:tcPr>
                  <w:p w14:paraId="42EF31F5" w14:textId="77777777" w:rsidR="007E7472" w:rsidRDefault="00EC1269">
                    <w:pPr>
                      <w:jc w:val="right"/>
                      <w:textAlignment w:val="center"/>
                    </w:pPr>
                    <w:r>
                      <w:t>420,000</w:t>
                    </w:r>
                  </w:p>
                </w:tc>
                <w:tc>
                  <w:tcPr>
                    <w:tcW w:w="884" w:type="dxa"/>
                    <w:vAlign w:val="center"/>
                  </w:tcPr>
                  <w:p w14:paraId="6D5C5AC5" w14:textId="77777777" w:rsidR="007E7472" w:rsidRDefault="00C8327E">
                    <w:pPr>
                      <w:widowControl w:val="0"/>
                      <w:jc w:val="center"/>
                      <w:rPr>
                        <w:spacing w:val="-20"/>
                      </w:rPr>
                    </w:pPr>
                  </w:p>
                </w:tc>
              </w:tr>
              <w:tr w:rsidR="007E7472" w14:paraId="1A5D1943" w14:textId="77777777" w:rsidTr="007E7472">
                <w:trPr>
                  <w:trHeight w:val="397"/>
                  <w:jc w:val="center"/>
                </w:trPr>
                <w:tc>
                  <w:tcPr>
                    <w:tcW w:w="2405" w:type="dxa"/>
                    <w:vAlign w:val="center"/>
                  </w:tcPr>
                  <w:p w14:paraId="7783BE06" w14:textId="77777777" w:rsidR="007E7472" w:rsidRDefault="00EC1269">
                    <w:pPr>
                      <w:jc w:val="both"/>
                      <w:rPr>
                        <w:spacing w:val="-20"/>
                      </w:rPr>
                    </w:pPr>
                    <w:r>
                      <w:rPr>
                        <w:rFonts w:hint="eastAsia"/>
                        <w:spacing w:val="-20"/>
                      </w:rPr>
                      <w:lastRenderedPageBreak/>
                      <w:t>控股股东及其控制的公司</w:t>
                    </w:r>
                  </w:p>
                </w:tc>
                <w:tc>
                  <w:tcPr>
                    <w:tcW w:w="2552" w:type="dxa"/>
                    <w:vAlign w:val="center"/>
                  </w:tcPr>
                  <w:p w14:paraId="141DD861" w14:textId="77777777" w:rsidR="007E7472" w:rsidRDefault="00EC1269">
                    <w:pPr>
                      <w:jc w:val="both"/>
                      <w:textAlignment w:val="center"/>
                      <w:rPr>
                        <w:spacing w:val="-20"/>
                      </w:rPr>
                    </w:pPr>
                    <w:r>
                      <w:rPr>
                        <w:spacing w:val="-20"/>
                        <w:lang w:bidi="ar"/>
                      </w:rPr>
                      <w:t>兖矿财务公司收回贷款</w:t>
                    </w:r>
                  </w:p>
                </w:tc>
                <w:tc>
                  <w:tcPr>
                    <w:tcW w:w="1417" w:type="dxa"/>
                    <w:vAlign w:val="center"/>
                  </w:tcPr>
                  <w:p w14:paraId="5802BFCD" w14:textId="77777777" w:rsidR="007E7472" w:rsidRDefault="00EC1269">
                    <w:pPr>
                      <w:jc w:val="right"/>
                      <w:textAlignment w:val="center"/>
                      <w:rPr>
                        <w:spacing w:val="-20"/>
                      </w:rPr>
                    </w:pPr>
                    <w:r>
                      <w:t>5,511,000</w:t>
                    </w:r>
                  </w:p>
                </w:tc>
                <w:tc>
                  <w:tcPr>
                    <w:tcW w:w="1565" w:type="dxa"/>
                    <w:vAlign w:val="center"/>
                  </w:tcPr>
                  <w:p w14:paraId="7C850F02" w14:textId="77777777" w:rsidR="007E7472" w:rsidRDefault="00EC1269">
                    <w:pPr>
                      <w:jc w:val="right"/>
                      <w:textAlignment w:val="center"/>
                      <w:rPr>
                        <w:spacing w:val="-20"/>
                      </w:rPr>
                    </w:pPr>
                    <w:r>
                      <w:t>4,336,228</w:t>
                    </w:r>
                  </w:p>
                </w:tc>
                <w:tc>
                  <w:tcPr>
                    <w:tcW w:w="884" w:type="dxa"/>
                    <w:vAlign w:val="center"/>
                  </w:tcPr>
                  <w:p w14:paraId="179DC361" w14:textId="77777777" w:rsidR="007E7472" w:rsidRDefault="00EC1269">
                    <w:pPr>
                      <w:widowControl w:val="0"/>
                      <w:jc w:val="center"/>
                      <w:rPr>
                        <w:spacing w:val="-20"/>
                      </w:rPr>
                    </w:pPr>
                    <w:r>
                      <w:rPr>
                        <w:rFonts w:hint="eastAsia"/>
                        <w:spacing w:val="-20"/>
                      </w:rPr>
                      <w:t>注</w:t>
                    </w:r>
                    <w:r>
                      <w:rPr>
                        <w:spacing w:val="-20"/>
                      </w:rPr>
                      <w:t>7</w:t>
                    </w:r>
                  </w:p>
                </w:tc>
              </w:tr>
              <w:tr w:rsidR="007E7472" w14:paraId="6D1679E4" w14:textId="77777777" w:rsidTr="007E7472">
                <w:trPr>
                  <w:trHeight w:val="397"/>
                  <w:jc w:val="center"/>
                </w:trPr>
                <w:tc>
                  <w:tcPr>
                    <w:tcW w:w="2405" w:type="dxa"/>
                    <w:vAlign w:val="center"/>
                  </w:tcPr>
                  <w:p w14:paraId="009EDB96" w14:textId="77777777" w:rsidR="007E7472" w:rsidRDefault="00EC1269">
                    <w:pPr>
                      <w:jc w:val="both"/>
                      <w:rPr>
                        <w:spacing w:val="-20"/>
                      </w:rPr>
                    </w:pPr>
                    <w:r>
                      <w:rPr>
                        <w:rFonts w:hint="eastAsia"/>
                        <w:spacing w:val="-20"/>
                      </w:rPr>
                      <w:t>联营企业</w:t>
                    </w:r>
                  </w:p>
                </w:tc>
                <w:tc>
                  <w:tcPr>
                    <w:tcW w:w="2552" w:type="dxa"/>
                    <w:vAlign w:val="center"/>
                  </w:tcPr>
                  <w:p w14:paraId="695ABE77" w14:textId="77777777" w:rsidR="007E7472" w:rsidRDefault="00EC1269">
                    <w:pPr>
                      <w:jc w:val="both"/>
                      <w:textAlignment w:val="center"/>
                      <w:rPr>
                        <w:spacing w:val="-20"/>
                        <w:lang w:bidi="ar"/>
                      </w:rPr>
                    </w:pPr>
                    <w:r>
                      <w:rPr>
                        <w:spacing w:val="-20"/>
                        <w:lang w:bidi="ar"/>
                      </w:rPr>
                      <w:t>兖矿财务公司收回贷款</w:t>
                    </w:r>
                  </w:p>
                </w:tc>
                <w:tc>
                  <w:tcPr>
                    <w:tcW w:w="1417" w:type="dxa"/>
                    <w:vAlign w:val="center"/>
                  </w:tcPr>
                  <w:p w14:paraId="5949C52E" w14:textId="77777777" w:rsidR="007E7472" w:rsidRDefault="00C8327E">
                    <w:pPr>
                      <w:jc w:val="right"/>
                      <w:textAlignment w:val="center"/>
                      <w:rPr>
                        <w:spacing w:val="-20"/>
                      </w:rPr>
                    </w:pPr>
                  </w:p>
                </w:tc>
                <w:tc>
                  <w:tcPr>
                    <w:tcW w:w="1565" w:type="dxa"/>
                    <w:vAlign w:val="center"/>
                  </w:tcPr>
                  <w:p w14:paraId="7E1E54DE" w14:textId="77777777" w:rsidR="007E7472" w:rsidRDefault="00EC1269">
                    <w:pPr>
                      <w:jc w:val="right"/>
                      <w:textAlignment w:val="center"/>
                      <w:rPr>
                        <w:spacing w:val="-20"/>
                        <w:lang w:bidi="ar"/>
                      </w:rPr>
                    </w:pPr>
                    <w:r>
                      <w:t>580,000</w:t>
                    </w:r>
                  </w:p>
                </w:tc>
                <w:tc>
                  <w:tcPr>
                    <w:tcW w:w="884" w:type="dxa"/>
                    <w:vAlign w:val="center"/>
                  </w:tcPr>
                  <w:p w14:paraId="6CAABCB6" w14:textId="77777777" w:rsidR="007E7472" w:rsidRDefault="00C8327E">
                    <w:pPr>
                      <w:widowControl w:val="0"/>
                      <w:jc w:val="center"/>
                      <w:rPr>
                        <w:spacing w:val="-20"/>
                      </w:rPr>
                    </w:pPr>
                  </w:p>
                </w:tc>
              </w:tr>
              <w:tr w:rsidR="007E7472" w14:paraId="191E5A2E" w14:textId="77777777" w:rsidTr="007E7472">
                <w:trPr>
                  <w:trHeight w:val="397"/>
                  <w:jc w:val="center"/>
                </w:trPr>
                <w:tc>
                  <w:tcPr>
                    <w:tcW w:w="2405" w:type="dxa"/>
                    <w:vAlign w:val="center"/>
                  </w:tcPr>
                  <w:p w14:paraId="124F0FB3" w14:textId="77777777" w:rsidR="007E7472" w:rsidRDefault="00EC1269">
                    <w:pPr>
                      <w:jc w:val="both"/>
                      <w:rPr>
                        <w:spacing w:val="-20"/>
                      </w:rPr>
                    </w:pPr>
                    <w:r>
                      <w:rPr>
                        <w:rFonts w:hint="eastAsia"/>
                        <w:spacing w:val="-20"/>
                      </w:rPr>
                      <w:t>控股股东及其控制的公司</w:t>
                    </w:r>
                  </w:p>
                </w:tc>
                <w:tc>
                  <w:tcPr>
                    <w:tcW w:w="2552" w:type="dxa"/>
                    <w:vAlign w:val="center"/>
                  </w:tcPr>
                  <w:p w14:paraId="7E1A00D8" w14:textId="77777777" w:rsidR="007E7472" w:rsidRDefault="00EC1269">
                    <w:pPr>
                      <w:jc w:val="both"/>
                      <w:textAlignment w:val="center"/>
                      <w:rPr>
                        <w:spacing w:val="-20"/>
                        <w:lang w:bidi="ar"/>
                      </w:rPr>
                    </w:pPr>
                    <w:r>
                      <w:rPr>
                        <w:rFonts w:hint="eastAsia"/>
                        <w:spacing w:val="-20"/>
                        <w:lang w:bidi="ar"/>
                      </w:rPr>
                      <w:t>兖矿财务公司收到存款净额</w:t>
                    </w:r>
                  </w:p>
                </w:tc>
                <w:tc>
                  <w:tcPr>
                    <w:tcW w:w="1417" w:type="dxa"/>
                    <w:vAlign w:val="center"/>
                  </w:tcPr>
                  <w:p w14:paraId="469F4EDC" w14:textId="77777777" w:rsidR="007E7472" w:rsidRDefault="00EC1269">
                    <w:pPr>
                      <w:jc w:val="right"/>
                      <w:textAlignment w:val="center"/>
                      <w:rPr>
                        <w:spacing w:val="-20"/>
                        <w:lang w:bidi="ar"/>
                      </w:rPr>
                    </w:pPr>
                    <w:r>
                      <w:t>-939,173</w:t>
                    </w:r>
                  </w:p>
                </w:tc>
                <w:tc>
                  <w:tcPr>
                    <w:tcW w:w="1565" w:type="dxa"/>
                    <w:vAlign w:val="center"/>
                  </w:tcPr>
                  <w:p w14:paraId="68A13971" w14:textId="77777777" w:rsidR="007E7472" w:rsidRDefault="00EC1269">
                    <w:pPr>
                      <w:jc w:val="right"/>
                      <w:textAlignment w:val="center"/>
                      <w:rPr>
                        <w:spacing w:val="-20"/>
                        <w:lang w:bidi="ar"/>
                      </w:rPr>
                    </w:pPr>
                    <w:r>
                      <w:t>-12,793,106</w:t>
                    </w:r>
                  </w:p>
                </w:tc>
                <w:tc>
                  <w:tcPr>
                    <w:tcW w:w="884" w:type="dxa"/>
                    <w:vAlign w:val="center"/>
                  </w:tcPr>
                  <w:p w14:paraId="0C2596FF" w14:textId="77777777" w:rsidR="007E7472" w:rsidRDefault="00EC1269">
                    <w:pPr>
                      <w:widowControl w:val="0"/>
                      <w:jc w:val="center"/>
                      <w:rPr>
                        <w:spacing w:val="-20"/>
                      </w:rPr>
                    </w:pPr>
                    <w:r>
                      <w:rPr>
                        <w:rFonts w:hint="eastAsia"/>
                        <w:spacing w:val="-20"/>
                      </w:rPr>
                      <w:t>注</w:t>
                    </w:r>
                    <w:r>
                      <w:rPr>
                        <w:spacing w:val="-20"/>
                      </w:rPr>
                      <w:t>8</w:t>
                    </w:r>
                  </w:p>
                </w:tc>
              </w:tr>
              <w:tr w:rsidR="007E7472" w14:paraId="1A60265A" w14:textId="77777777" w:rsidTr="007E7472">
                <w:trPr>
                  <w:trHeight w:val="397"/>
                  <w:jc w:val="center"/>
                </w:trPr>
                <w:tc>
                  <w:tcPr>
                    <w:tcW w:w="2405" w:type="dxa"/>
                    <w:vAlign w:val="center"/>
                  </w:tcPr>
                  <w:p w14:paraId="3C764A43" w14:textId="77777777" w:rsidR="007E7472" w:rsidRDefault="00EC1269">
                    <w:pPr>
                      <w:jc w:val="both"/>
                      <w:rPr>
                        <w:spacing w:val="-20"/>
                      </w:rPr>
                    </w:pPr>
                    <w:r>
                      <w:rPr>
                        <w:rFonts w:hint="eastAsia"/>
                        <w:spacing w:val="-20"/>
                      </w:rPr>
                      <w:t>其他关联方</w:t>
                    </w:r>
                  </w:p>
                </w:tc>
                <w:tc>
                  <w:tcPr>
                    <w:tcW w:w="2552" w:type="dxa"/>
                    <w:vAlign w:val="center"/>
                  </w:tcPr>
                  <w:p w14:paraId="210BC4FB" w14:textId="77777777" w:rsidR="007E7472" w:rsidRDefault="00EC1269">
                    <w:pPr>
                      <w:jc w:val="both"/>
                      <w:rPr>
                        <w:spacing w:val="-20"/>
                      </w:rPr>
                    </w:pPr>
                    <w:r>
                      <w:rPr>
                        <w:rFonts w:hint="eastAsia"/>
                        <w:spacing w:val="-20"/>
                      </w:rPr>
                      <w:t>兖矿财务公司收到存款净额</w:t>
                    </w:r>
                  </w:p>
                </w:tc>
                <w:tc>
                  <w:tcPr>
                    <w:tcW w:w="1417" w:type="dxa"/>
                    <w:vAlign w:val="center"/>
                  </w:tcPr>
                  <w:p w14:paraId="5B90A673" w14:textId="77777777" w:rsidR="007E7472" w:rsidRDefault="00C8327E">
                    <w:pPr>
                      <w:jc w:val="right"/>
                      <w:rPr>
                        <w:spacing w:val="-20"/>
                      </w:rPr>
                    </w:pPr>
                  </w:p>
                </w:tc>
                <w:tc>
                  <w:tcPr>
                    <w:tcW w:w="1565" w:type="dxa"/>
                    <w:vAlign w:val="center"/>
                  </w:tcPr>
                  <w:p w14:paraId="574E7EBD" w14:textId="77777777" w:rsidR="007E7472" w:rsidRDefault="00EC1269">
                    <w:pPr>
                      <w:jc w:val="right"/>
                      <w:rPr>
                        <w:spacing w:val="-20"/>
                      </w:rPr>
                    </w:pPr>
                    <w:r>
                      <w:t>1,183</w:t>
                    </w:r>
                  </w:p>
                </w:tc>
                <w:tc>
                  <w:tcPr>
                    <w:tcW w:w="884" w:type="dxa"/>
                    <w:vAlign w:val="center"/>
                  </w:tcPr>
                  <w:p w14:paraId="79610740" w14:textId="77777777" w:rsidR="007E7472" w:rsidRDefault="00C8327E">
                    <w:pPr>
                      <w:jc w:val="center"/>
                      <w:rPr>
                        <w:spacing w:val="-20"/>
                      </w:rPr>
                    </w:pPr>
                  </w:p>
                </w:tc>
              </w:tr>
              <w:tr w:rsidR="007E7472" w14:paraId="105F2860" w14:textId="77777777" w:rsidTr="007E7472">
                <w:trPr>
                  <w:trHeight w:val="397"/>
                  <w:jc w:val="center"/>
                </w:trPr>
                <w:tc>
                  <w:tcPr>
                    <w:tcW w:w="2405" w:type="dxa"/>
                    <w:vAlign w:val="center"/>
                  </w:tcPr>
                  <w:p w14:paraId="241CA4F6" w14:textId="4700AD5A" w:rsidR="007E7472" w:rsidRDefault="00913748">
                    <w:pPr>
                      <w:jc w:val="both"/>
                      <w:rPr>
                        <w:spacing w:val="-20"/>
                      </w:rPr>
                    </w:pPr>
                    <w:r>
                      <w:rPr>
                        <w:rFonts w:hint="eastAsia"/>
                        <w:spacing w:val="-20"/>
                      </w:rPr>
                      <w:t>合计</w:t>
                    </w:r>
                  </w:p>
                </w:tc>
                <w:tc>
                  <w:tcPr>
                    <w:tcW w:w="2552" w:type="dxa"/>
                    <w:vAlign w:val="center"/>
                  </w:tcPr>
                  <w:p w14:paraId="79F14941" w14:textId="0DC88F62" w:rsidR="007E7472" w:rsidRDefault="00913748" w:rsidP="007E7472">
                    <w:pPr>
                      <w:jc w:val="center"/>
                      <w:rPr>
                        <w:spacing w:val="-20"/>
                      </w:rPr>
                    </w:pPr>
                    <w:r w:rsidRPr="00E635C8">
                      <w:rPr>
                        <w:rFonts w:hint="eastAsia"/>
                        <w:spacing w:val="-20"/>
                      </w:rPr>
                      <w:t>—</w:t>
                    </w:r>
                  </w:p>
                </w:tc>
                <w:tc>
                  <w:tcPr>
                    <w:tcW w:w="1417" w:type="dxa"/>
                    <w:vAlign w:val="center"/>
                  </w:tcPr>
                  <w:p w14:paraId="3894454A" w14:textId="34F15645" w:rsidR="007E7472" w:rsidRDefault="00913748">
                    <w:pPr>
                      <w:jc w:val="right"/>
                      <w:rPr>
                        <w:spacing w:val="-20"/>
                      </w:rPr>
                    </w:pPr>
                    <w:r w:rsidRPr="00E635C8">
                      <w:rPr>
                        <w:spacing w:val="-20"/>
                      </w:rPr>
                      <w:t>10,318,927</w:t>
                    </w:r>
                  </w:p>
                </w:tc>
                <w:tc>
                  <w:tcPr>
                    <w:tcW w:w="1565" w:type="dxa"/>
                    <w:vAlign w:val="center"/>
                  </w:tcPr>
                  <w:p w14:paraId="2B32F955" w14:textId="1433326A" w:rsidR="007E7472" w:rsidRDefault="00913748">
                    <w:pPr>
                      <w:jc w:val="right"/>
                    </w:pPr>
                    <w:r w:rsidRPr="00E635C8">
                      <w:t>-1,406,384</w:t>
                    </w:r>
                  </w:p>
                </w:tc>
                <w:tc>
                  <w:tcPr>
                    <w:tcW w:w="884" w:type="dxa"/>
                    <w:vAlign w:val="center"/>
                  </w:tcPr>
                  <w:p w14:paraId="5D93F65D" w14:textId="77777777" w:rsidR="007E7472" w:rsidRDefault="00C8327E">
                    <w:pPr>
                      <w:jc w:val="center"/>
                      <w:rPr>
                        <w:spacing w:val="-20"/>
                      </w:rPr>
                    </w:pPr>
                  </w:p>
                </w:tc>
              </w:tr>
            </w:tbl>
            <w:p w14:paraId="75AC0729" w14:textId="77777777" w:rsidR="007E7472" w:rsidRDefault="00EC1269">
              <w:pPr>
                <w:tabs>
                  <w:tab w:val="left" w:pos="1000"/>
                </w:tabs>
                <w:autoSpaceDN w:val="0"/>
                <w:spacing w:beforeLines="50" w:before="120" w:afterLines="50" w:after="120" w:line="360" w:lineRule="exact"/>
                <w:ind w:firstLineChars="200" w:firstLine="420"/>
                <w:jc w:val="both"/>
              </w:pPr>
              <w:r>
                <w:rPr>
                  <w:rFonts w:hint="eastAsia"/>
                </w:rPr>
                <w:t>注1：根据本公司与山东能源签订的协议，由山东能源统一管理本公司在职职工社会保险，20</w:t>
              </w:r>
              <w:r>
                <w:t>2</w:t>
              </w:r>
              <w:r>
                <w:rPr>
                  <w:rFonts w:hint="eastAsia"/>
                </w:rPr>
                <w:t>2年获批准的交易上限金额为</w:t>
              </w:r>
              <w:r>
                <w:t>847,000</w:t>
              </w:r>
              <w:r>
                <w:rPr>
                  <w:rFonts w:hint="eastAsia"/>
                </w:rPr>
                <w:t>千元。</w:t>
              </w:r>
            </w:p>
            <w:p w14:paraId="639BA023" w14:textId="77777777" w:rsidR="007E7472" w:rsidRDefault="00EC1269">
              <w:pPr>
                <w:tabs>
                  <w:tab w:val="left" w:pos="1000"/>
                </w:tabs>
                <w:autoSpaceDN w:val="0"/>
                <w:spacing w:beforeLines="50" w:before="120" w:afterLines="50" w:after="120" w:line="360" w:lineRule="exact"/>
                <w:ind w:firstLineChars="200" w:firstLine="420"/>
                <w:jc w:val="both"/>
              </w:pPr>
              <w:r>
                <w:rPr>
                  <w:rFonts w:hint="eastAsia"/>
                </w:rPr>
                <w:t>注2：根据本公司与山东能源签订的协议，由山东能源下属各部门、单位向本公司提供约定服务并收取相应的费用，交易价格以市场价格、政府定价或双方协议价格确定，20</w:t>
              </w:r>
              <w:r>
                <w:t>23</w:t>
              </w:r>
              <w:r>
                <w:rPr>
                  <w:rFonts w:hint="eastAsia"/>
                </w:rPr>
                <w:t>年获批准的交易上限金额为</w:t>
              </w:r>
              <w:r>
                <w:t>4,830,000</w:t>
              </w:r>
              <w:r>
                <w:rPr>
                  <w:rFonts w:hint="eastAsia"/>
                </w:rPr>
                <w:t>千元。</w:t>
              </w:r>
            </w:p>
            <w:p w14:paraId="645B3C73" w14:textId="77777777" w:rsidR="007E7472" w:rsidRDefault="00EC1269">
              <w:pPr>
                <w:tabs>
                  <w:tab w:val="left" w:pos="1000"/>
                </w:tabs>
                <w:autoSpaceDN w:val="0"/>
                <w:spacing w:beforeLines="50" w:before="120" w:afterLines="50" w:after="120" w:line="360" w:lineRule="exact"/>
                <w:ind w:firstLineChars="200" w:firstLine="420"/>
                <w:jc w:val="both"/>
              </w:pPr>
              <w:r>
                <w:rPr>
                  <w:rFonts w:hint="eastAsia"/>
                </w:rPr>
                <w:t>注</w:t>
              </w:r>
              <w:r>
                <w:t>3</w:t>
              </w:r>
              <w:r>
                <w:rPr>
                  <w:rFonts w:hint="eastAsia"/>
                </w:rPr>
                <w:t>：兖矿财务公司利息收入是指给予关联方贷款所收到的利息收入，适用利率为现行借款利率。</w:t>
              </w:r>
            </w:p>
            <w:p w14:paraId="1B2AEA89" w14:textId="77777777" w:rsidR="007E7472" w:rsidRDefault="00EC1269">
              <w:pPr>
                <w:tabs>
                  <w:tab w:val="left" w:pos="1000"/>
                </w:tabs>
                <w:autoSpaceDN w:val="0"/>
                <w:spacing w:beforeLines="50" w:before="120" w:afterLines="50" w:after="120" w:line="360" w:lineRule="exact"/>
                <w:ind w:firstLineChars="200" w:firstLine="420"/>
                <w:jc w:val="both"/>
              </w:pPr>
              <w:r>
                <w:rPr>
                  <w:rFonts w:hint="eastAsia"/>
                </w:rPr>
                <w:t>注</w:t>
              </w:r>
              <w:r>
                <w:t>4</w:t>
              </w:r>
              <w:r>
                <w:rPr>
                  <w:rFonts w:hint="eastAsia"/>
                </w:rPr>
                <w:t>：兖矿财务公司手续费收入是指给予关联方提供的担保手续费、保函手续费、承兑手续费和委托贷款手续费等。</w:t>
              </w:r>
            </w:p>
            <w:p w14:paraId="58744CAE" w14:textId="77777777" w:rsidR="007E7472" w:rsidRDefault="00EC1269">
              <w:pPr>
                <w:tabs>
                  <w:tab w:val="left" w:pos="1000"/>
                </w:tabs>
                <w:autoSpaceDN w:val="0"/>
                <w:spacing w:beforeLines="50" w:before="120" w:afterLines="50" w:after="120" w:line="360" w:lineRule="exact"/>
                <w:ind w:firstLineChars="200" w:firstLine="420"/>
                <w:jc w:val="both"/>
              </w:pPr>
              <w:r>
                <w:rPr>
                  <w:rFonts w:hint="eastAsia"/>
                </w:rPr>
                <w:t>注</w:t>
              </w:r>
              <w:r>
                <w:t>5</w:t>
              </w:r>
              <w:r>
                <w:rPr>
                  <w:rFonts w:hint="eastAsia"/>
                </w:rPr>
                <w:t>：兖矿财务公司利息支出是指吸收关联方存款及关联方借款所发生的利息费用。适用利率为现行银行利率。</w:t>
              </w:r>
            </w:p>
            <w:p w14:paraId="00AE90EC" w14:textId="77777777" w:rsidR="007E7472" w:rsidRDefault="00EC1269">
              <w:pPr>
                <w:tabs>
                  <w:tab w:val="left" w:pos="1000"/>
                </w:tabs>
                <w:autoSpaceDN w:val="0"/>
                <w:spacing w:beforeLines="50" w:before="120" w:afterLines="50" w:after="120" w:line="360" w:lineRule="exact"/>
                <w:ind w:firstLineChars="200" w:firstLine="420"/>
                <w:jc w:val="both"/>
              </w:pPr>
              <w:r>
                <w:rPr>
                  <w:rFonts w:hint="eastAsia"/>
                </w:rPr>
                <w:t>注</w:t>
              </w:r>
              <w:r>
                <w:t>6</w:t>
              </w:r>
              <w:r>
                <w:rPr>
                  <w:rFonts w:hint="eastAsia"/>
                </w:rPr>
                <w:t>：兖矿财务公司发放贷款是指兖矿财务公司发放予关联方的贷款及贴现。</w:t>
              </w:r>
            </w:p>
            <w:p w14:paraId="43FA5BD1" w14:textId="77777777" w:rsidR="007E7472" w:rsidRDefault="00EC1269">
              <w:pPr>
                <w:tabs>
                  <w:tab w:val="left" w:pos="1000"/>
                </w:tabs>
                <w:autoSpaceDN w:val="0"/>
                <w:spacing w:beforeLines="50" w:before="120" w:afterLines="50" w:after="120" w:line="360" w:lineRule="exact"/>
                <w:ind w:firstLineChars="200" w:firstLine="420"/>
                <w:jc w:val="both"/>
              </w:pPr>
              <w:r>
                <w:rPr>
                  <w:rFonts w:hint="eastAsia"/>
                </w:rPr>
                <w:t>注</w:t>
              </w:r>
              <w:r>
                <w:t>7</w:t>
              </w:r>
              <w:r>
                <w:rPr>
                  <w:rFonts w:hint="eastAsia"/>
                </w:rPr>
                <w:t>：兖矿财务公司收回贷款是指关联方向兖矿财务公司偿还贷款及贴现。</w:t>
              </w:r>
            </w:p>
            <w:p w14:paraId="20AC019C" w14:textId="73F95740" w:rsidR="007E7472" w:rsidRDefault="00EC1269" w:rsidP="007E7472">
              <w:pPr>
                <w:spacing w:line="360" w:lineRule="exact"/>
                <w:ind w:firstLineChars="200" w:firstLine="420"/>
              </w:pPr>
              <w:r>
                <w:rPr>
                  <w:rFonts w:hint="eastAsia"/>
                </w:rPr>
                <w:t>注</w:t>
              </w:r>
              <w:r>
                <w:t>8</w:t>
              </w:r>
              <w:r>
                <w:rPr>
                  <w:rFonts w:hint="eastAsia"/>
                </w:rPr>
                <w:t>：兖矿财务公司收到存款净额是指兖矿财务公司收到（返还）山东能源及其关联方的净存款。</w:t>
              </w:r>
            </w:p>
          </w:sdtContent>
        </w:sdt>
      </w:sdtContent>
    </w:sdt>
    <w:p w14:paraId="01C68F6C" w14:textId="77777777" w:rsidR="007E7472" w:rsidRDefault="00C8327E"/>
    <w:p w14:paraId="3978DC3B" w14:textId="77777777" w:rsidR="007E7472" w:rsidRPr="00FC3C6E" w:rsidRDefault="00EC1269" w:rsidP="00162493">
      <w:pPr>
        <w:numPr>
          <w:ilvl w:val="2"/>
          <w:numId w:val="107"/>
        </w:numPr>
        <w:outlineLvl w:val="2"/>
        <w:rPr>
          <w:rFonts w:cs="Arial"/>
          <w:b/>
        </w:rPr>
      </w:pPr>
      <w:r w:rsidRPr="00FC3C6E">
        <w:rPr>
          <w:rFonts w:cs="Arial" w:hint="eastAsia"/>
          <w:b/>
        </w:rPr>
        <w:t>关联方应收应付款项</w:t>
      </w:r>
    </w:p>
    <w:sdt>
      <w:sdtPr>
        <w:rPr>
          <w:rFonts w:ascii="宋体" w:hAnsi="宋体" w:cs="Arial" w:hint="eastAsia"/>
          <w:b w:val="0"/>
          <w:bCs w:val="0"/>
          <w:kern w:val="0"/>
          <w:sz w:val="20"/>
          <w:szCs w:val="21"/>
        </w:rPr>
        <w:alias w:val="模块:上市公司应收关联方款项"/>
        <w:tag w:val="_GBC_a8ddb53cf3424889a48a1749b5a1d910"/>
        <w:id w:val="-756279331"/>
        <w:lock w:val="sdtLocked"/>
        <w:placeholder>
          <w:docPart w:val="GBC22222222222222222222222222222"/>
        </w:placeholder>
      </w:sdtPr>
      <w:sdtEndPr>
        <w:rPr>
          <w:rFonts w:cstheme="minorBidi"/>
        </w:rPr>
      </w:sdtEndPr>
      <w:sdtContent>
        <w:p w14:paraId="6CA58D8A" w14:textId="77777777" w:rsidR="007E7472" w:rsidRDefault="00EC1269" w:rsidP="00162493">
          <w:pPr>
            <w:pStyle w:val="4"/>
            <w:numPr>
              <w:ilvl w:val="0"/>
              <w:numId w:val="109"/>
            </w:numPr>
          </w:pPr>
          <w:r>
            <w:rPr>
              <w:rFonts w:hint="eastAsia"/>
            </w:rPr>
            <w:t>应收项目</w:t>
          </w:r>
        </w:p>
        <w:sdt>
          <w:sdtPr>
            <w:alias w:val="是否适用：应收项目[双击切换]"/>
            <w:tag w:val="_GBC_e5475e28b21641f6895ac4770b2631b5"/>
            <w:id w:val="-1881855384"/>
            <w:lock w:val="sdtLocked"/>
            <w:placeholder>
              <w:docPart w:val="GBC22222222222222222222222222222"/>
            </w:placeholder>
          </w:sdtPr>
          <w:sdtEndPr/>
          <w:sdtContent>
            <w:p w14:paraId="2633CA44"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BE3522B" w14:textId="7854FD1B" w:rsidR="007E7472" w:rsidRDefault="00EC1269">
          <w:pPr>
            <w:jc w:val="right"/>
          </w:pPr>
          <w:r>
            <w:rPr>
              <w:rFonts w:hint="eastAsia"/>
            </w:rPr>
            <w:t>单位：</w:t>
          </w:r>
          <w:sdt>
            <w:sdtPr>
              <w:rPr>
                <w:rFonts w:hint="eastAsia"/>
              </w:rPr>
              <w:alias w:val="单位：上市公司应收关联方款项"/>
              <w:tag w:val="_GBC_04d0c208b4494e01aba7984c41905093"/>
              <w:id w:val="5719313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上市公司应收关联方款项"/>
              <w:tag w:val="_GBC_b106fdd467084a62837eebe1d06bbbee"/>
              <w:id w:val="19611427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1696"/>
            <w:gridCol w:w="2409"/>
            <w:gridCol w:w="1276"/>
            <w:gridCol w:w="1135"/>
            <w:gridCol w:w="1135"/>
            <w:gridCol w:w="1172"/>
          </w:tblGrid>
          <w:tr w:rsidR="007E7472" w14:paraId="077B86A0" w14:textId="77777777">
            <w:sdt>
              <w:sdtPr>
                <w:tag w:val="_PLD_75750bc8ac464afa98573c85adea097c"/>
                <w:id w:val="-1254976995"/>
                <w:lock w:val="sdtLocked"/>
              </w:sdtPr>
              <w:sdtEndPr/>
              <w:sdtContent>
                <w:tc>
                  <w:tcPr>
                    <w:tcW w:w="961" w:type="pct"/>
                    <w:vMerge w:val="restart"/>
                    <w:tcBorders>
                      <w:top w:val="single" w:sz="4" w:space="0" w:color="auto"/>
                      <w:left w:val="single" w:sz="4" w:space="0" w:color="auto"/>
                      <w:right w:val="single" w:sz="4" w:space="0" w:color="auto"/>
                    </w:tcBorders>
                    <w:vAlign w:val="center"/>
                  </w:tcPr>
                  <w:p w14:paraId="4AD40FB1" w14:textId="77777777" w:rsidR="007E7472" w:rsidRDefault="00EC1269">
                    <w:pPr>
                      <w:jc w:val="center"/>
                    </w:pPr>
                    <w:r>
                      <w:rPr>
                        <w:rFonts w:hint="eastAsia"/>
                      </w:rPr>
                      <w:t>项目名称</w:t>
                    </w:r>
                  </w:p>
                </w:tc>
              </w:sdtContent>
            </w:sdt>
            <w:sdt>
              <w:sdtPr>
                <w:tag w:val="_PLD_5006be842c534839b3dabcf833329dd5"/>
                <w:id w:val="-1107340816"/>
                <w:lock w:val="sdtLocked"/>
              </w:sdtPr>
              <w:sdtEndPr/>
              <w:sdtContent>
                <w:tc>
                  <w:tcPr>
                    <w:tcW w:w="1365" w:type="pct"/>
                    <w:vMerge w:val="restart"/>
                    <w:tcBorders>
                      <w:top w:val="single" w:sz="4" w:space="0" w:color="auto"/>
                      <w:left w:val="single" w:sz="4" w:space="0" w:color="auto"/>
                      <w:right w:val="single" w:sz="4" w:space="0" w:color="auto"/>
                    </w:tcBorders>
                    <w:vAlign w:val="center"/>
                  </w:tcPr>
                  <w:p w14:paraId="446ACB7F" w14:textId="77777777" w:rsidR="007E7472" w:rsidRDefault="00EC1269">
                    <w:pPr>
                      <w:jc w:val="center"/>
                    </w:pPr>
                    <w:r>
                      <w:rPr>
                        <w:rFonts w:hint="eastAsia"/>
                      </w:rPr>
                      <w:t>关联方</w:t>
                    </w:r>
                  </w:p>
                </w:tc>
              </w:sdtContent>
            </w:sdt>
            <w:sdt>
              <w:sdtPr>
                <w:tag w:val="_PLD_f8f3c28b2f064090a27f319875eb1b52"/>
                <w:id w:val="-1160687210"/>
                <w:lock w:val="sdtLocked"/>
              </w:sdtPr>
              <w:sdtEndPr/>
              <w:sdtContent>
                <w:tc>
                  <w:tcPr>
                    <w:tcW w:w="1366" w:type="pct"/>
                    <w:gridSpan w:val="2"/>
                    <w:tcBorders>
                      <w:top w:val="single" w:sz="4" w:space="0" w:color="auto"/>
                      <w:left w:val="single" w:sz="4" w:space="0" w:color="auto"/>
                      <w:bottom w:val="single" w:sz="4" w:space="0" w:color="auto"/>
                      <w:right w:val="single" w:sz="4" w:space="0" w:color="auto"/>
                    </w:tcBorders>
                    <w:vAlign w:val="center"/>
                  </w:tcPr>
                  <w:p w14:paraId="500DAAF1" w14:textId="77777777" w:rsidR="007E7472" w:rsidRDefault="00EC1269">
                    <w:pPr>
                      <w:jc w:val="center"/>
                    </w:pPr>
                    <w:r>
                      <w:rPr>
                        <w:rFonts w:hint="eastAsia"/>
                      </w:rPr>
                      <w:t>期末余额</w:t>
                    </w:r>
                  </w:p>
                </w:tc>
              </w:sdtContent>
            </w:sdt>
            <w:sdt>
              <w:sdtPr>
                <w:tag w:val="_PLD_fdab8cbff0b74f19a916d61075f629a0"/>
                <w:id w:val="891079002"/>
                <w:lock w:val="sdtLocked"/>
              </w:sdtPr>
              <w:sdtEndPr/>
              <w:sdtContent>
                <w:tc>
                  <w:tcPr>
                    <w:tcW w:w="1307" w:type="pct"/>
                    <w:gridSpan w:val="2"/>
                    <w:tcBorders>
                      <w:top w:val="single" w:sz="4" w:space="0" w:color="auto"/>
                      <w:left w:val="single" w:sz="4" w:space="0" w:color="auto"/>
                      <w:bottom w:val="single" w:sz="4" w:space="0" w:color="auto"/>
                      <w:right w:val="single" w:sz="4" w:space="0" w:color="auto"/>
                    </w:tcBorders>
                    <w:vAlign w:val="center"/>
                  </w:tcPr>
                  <w:p w14:paraId="3763B74B" w14:textId="77777777" w:rsidR="007E7472" w:rsidRDefault="00EC1269">
                    <w:pPr>
                      <w:jc w:val="center"/>
                    </w:pPr>
                    <w:r>
                      <w:rPr>
                        <w:rFonts w:hint="eastAsia"/>
                      </w:rPr>
                      <w:t>期初余额</w:t>
                    </w:r>
                  </w:p>
                </w:tc>
              </w:sdtContent>
            </w:sdt>
          </w:tr>
          <w:tr w:rsidR="007E7472" w14:paraId="3F5C5412" w14:textId="77777777">
            <w:tc>
              <w:tcPr>
                <w:tcW w:w="961" w:type="pct"/>
                <w:vMerge/>
                <w:tcBorders>
                  <w:left w:val="single" w:sz="4" w:space="0" w:color="auto"/>
                  <w:bottom w:val="single" w:sz="4" w:space="0" w:color="auto"/>
                  <w:right w:val="single" w:sz="4" w:space="0" w:color="auto"/>
                </w:tcBorders>
                <w:vAlign w:val="center"/>
              </w:tcPr>
              <w:p w14:paraId="28E85B74" w14:textId="77777777" w:rsidR="007E7472" w:rsidRDefault="00C8327E">
                <w:pPr>
                  <w:jc w:val="center"/>
                </w:pPr>
              </w:p>
            </w:tc>
            <w:tc>
              <w:tcPr>
                <w:tcW w:w="1365" w:type="pct"/>
                <w:vMerge/>
                <w:tcBorders>
                  <w:left w:val="single" w:sz="4" w:space="0" w:color="auto"/>
                  <w:bottom w:val="single" w:sz="4" w:space="0" w:color="auto"/>
                  <w:right w:val="single" w:sz="4" w:space="0" w:color="auto"/>
                </w:tcBorders>
                <w:vAlign w:val="center"/>
              </w:tcPr>
              <w:p w14:paraId="750934DF" w14:textId="77777777" w:rsidR="007E7472" w:rsidRDefault="00C8327E">
                <w:pPr>
                  <w:jc w:val="center"/>
                </w:pPr>
              </w:p>
            </w:tc>
            <w:sdt>
              <w:sdtPr>
                <w:tag w:val="_PLD_5c085d18049644c9860a00b248b7c0ba"/>
                <w:id w:val="-541672726"/>
                <w:lock w:val="sdtLocked"/>
              </w:sdtPr>
              <w:sdtEndPr/>
              <w:sdtContent>
                <w:tc>
                  <w:tcPr>
                    <w:tcW w:w="723" w:type="pct"/>
                    <w:tcBorders>
                      <w:top w:val="single" w:sz="4" w:space="0" w:color="auto"/>
                      <w:left w:val="single" w:sz="4" w:space="0" w:color="auto"/>
                      <w:bottom w:val="single" w:sz="4" w:space="0" w:color="auto"/>
                      <w:right w:val="single" w:sz="4" w:space="0" w:color="auto"/>
                    </w:tcBorders>
                    <w:vAlign w:val="center"/>
                  </w:tcPr>
                  <w:p w14:paraId="7D3E5701" w14:textId="77777777" w:rsidR="007E7472" w:rsidRDefault="00EC1269">
                    <w:pPr>
                      <w:jc w:val="center"/>
                    </w:pPr>
                    <w:r>
                      <w:rPr>
                        <w:rFonts w:hint="eastAsia"/>
                      </w:rPr>
                      <w:t>账面余额</w:t>
                    </w:r>
                  </w:p>
                </w:tc>
              </w:sdtContent>
            </w:sdt>
            <w:sdt>
              <w:sdtPr>
                <w:tag w:val="_PLD_8262489c05a6417a883e2c877ded6170"/>
                <w:id w:val="357782768"/>
                <w:lock w:val="sdtLocked"/>
              </w:sdtPr>
              <w:sdtEndPr/>
              <w:sdtContent>
                <w:tc>
                  <w:tcPr>
                    <w:tcW w:w="643" w:type="pct"/>
                    <w:tcBorders>
                      <w:top w:val="single" w:sz="4" w:space="0" w:color="auto"/>
                      <w:left w:val="single" w:sz="4" w:space="0" w:color="auto"/>
                      <w:bottom w:val="single" w:sz="4" w:space="0" w:color="auto"/>
                      <w:right w:val="single" w:sz="4" w:space="0" w:color="auto"/>
                    </w:tcBorders>
                    <w:vAlign w:val="center"/>
                  </w:tcPr>
                  <w:p w14:paraId="5B9CB547" w14:textId="77777777" w:rsidR="007E7472" w:rsidRDefault="00EC1269">
                    <w:pPr>
                      <w:jc w:val="center"/>
                    </w:pPr>
                    <w:r>
                      <w:rPr>
                        <w:rFonts w:hint="eastAsia"/>
                      </w:rPr>
                      <w:t>坏账准备</w:t>
                    </w:r>
                  </w:p>
                </w:tc>
              </w:sdtContent>
            </w:sdt>
            <w:sdt>
              <w:sdtPr>
                <w:tag w:val="_PLD_46c6d827df3f47a3bc83a6dd8718f17e"/>
                <w:id w:val="-746344558"/>
                <w:lock w:val="sdtLocked"/>
              </w:sdtPr>
              <w:sdtEndPr/>
              <w:sdtContent>
                <w:tc>
                  <w:tcPr>
                    <w:tcW w:w="643" w:type="pct"/>
                    <w:tcBorders>
                      <w:top w:val="single" w:sz="4" w:space="0" w:color="auto"/>
                      <w:left w:val="single" w:sz="4" w:space="0" w:color="auto"/>
                      <w:bottom w:val="single" w:sz="4" w:space="0" w:color="auto"/>
                      <w:right w:val="single" w:sz="4" w:space="0" w:color="auto"/>
                    </w:tcBorders>
                    <w:vAlign w:val="center"/>
                  </w:tcPr>
                  <w:p w14:paraId="25E33EA2" w14:textId="77777777" w:rsidR="007E7472" w:rsidRDefault="00EC1269">
                    <w:pPr>
                      <w:jc w:val="center"/>
                    </w:pPr>
                    <w:r>
                      <w:rPr>
                        <w:rFonts w:hint="eastAsia"/>
                      </w:rPr>
                      <w:t>账面余额</w:t>
                    </w:r>
                  </w:p>
                </w:tc>
              </w:sdtContent>
            </w:sdt>
            <w:sdt>
              <w:sdtPr>
                <w:tag w:val="_PLD_fca2aa8baf8a48a7a4cdc730d7420d47"/>
                <w:id w:val="-422652066"/>
                <w:lock w:val="sdtLocked"/>
              </w:sdtPr>
              <w:sdtEndPr/>
              <w:sdtContent>
                <w:tc>
                  <w:tcPr>
                    <w:tcW w:w="664" w:type="pct"/>
                    <w:tcBorders>
                      <w:top w:val="single" w:sz="4" w:space="0" w:color="auto"/>
                      <w:left w:val="single" w:sz="4" w:space="0" w:color="auto"/>
                      <w:bottom w:val="single" w:sz="4" w:space="0" w:color="auto"/>
                      <w:right w:val="single" w:sz="4" w:space="0" w:color="auto"/>
                    </w:tcBorders>
                    <w:vAlign w:val="center"/>
                  </w:tcPr>
                  <w:p w14:paraId="19E69E87" w14:textId="77777777" w:rsidR="007E7472" w:rsidRDefault="00EC1269">
                    <w:pPr>
                      <w:jc w:val="center"/>
                    </w:pPr>
                    <w:r>
                      <w:rPr>
                        <w:rFonts w:hint="eastAsia"/>
                      </w:rPr>
                      <w:t>坏账准备</w:t>
                    </w:r>
                  </w:p>
                </w:tc>
              </w:sdtContent>
            </w:sdt>
          </w:tr>
          <w:sdt>
            <w:sdtPr>
              <w:rPr>
                <w:rFonts w:hint="eastAsia"/>
              </w:rPr>
              <w:alias w:val="上市公司应收关联方款项明细"/>
              <w:tag w:val="_GBC_203fd12dc6be4a978fe2a9d9f5ad1070"/>
              <w:id w:val="-1494718677"/>
              <w:lock w:val="sdtLocked"/>
              <w:placeholder>
                <w:docPart w:val="GBC11111111111111111111111111111"/>
              </w:placeholder>
            </w:sdtPr>
            <w:sdtEndPr/>
            <w:sdtContent>
              <w:tr w:rsidR="007E7472" w14:paraId="57BA19C7" w14:textId="77777777">
                <w:tc>
                  <w:tcPr>
                    <w:tcW w:w="961" w:type="pct"/>
                    <w:tcBorders>
                      <w:top w:val="single" w:sz="4" w:space="0" w:color="auto"/>
                      <w:left w:val="single" w:sz="4" w:space="0" w:color="auto"/>
                      <w:bottom w:val="single" w:sz="4" w:space="0" w:color="auto"/>
                      <w:right w:val="single" w:sz="4" w:space="0" w:color="auto"/>
                    </w:tcBorders>
                    <w:vAlign w:val="center"/>
                  </w:tcPr>
                  <w:p w14:paraId="541204C3" w14:textId="77777777" w:rsidR="007E7472" w:rsidRDefault="00EC1269">
                    <w:pPr>
                      <w:autoSpaceDE w:val="0"/>
                      <w:autoSpaceDN w:val="0"/>
                      <w:adjustRightInd w:val="0"/>
                      <w:jc w:val="both"/>
                    </w:pPr>
                    <w:r>
                      <w:rPr>
                        <w:rFonts w:hint="eastAsia"/>
                      </w:rPr>
                      <w:t>应收款项融资</w:t>
                    </w:r>
                  </w:p>
                </w:tc>
                <w:tc>
                  <w:tcPr>
                    <w:tcW w:w="1365" w:type="pct"/>
                    <w:tcBorders>
                      <w:top w:val="single" w:sz="4" w:space="0" w:color="auto"/>
                      <w:left w:val="single" w:sz="4" w:space="0" w:color="auto"/>
                      <w:bottom w:val="single" w:sz="4" w:space="0" w:color="auto"/>
                      <w:right w:val="single" w:sz="4" w:space="0" w:color="auto"/>
                    </w:tcBorders>
                    <w:vAlign w:val="center"/>
                  </w:tcPr>
                  <w:p w14:paraId="524D9EF4" w14:textId="77777777" w:rsidR="007E7472" w:rsidRDefault="00EC1269">
                    <w:pPr>
                      <w:autoSpaceDE w:val="0"/>
                      <w:autoSpaceDN w:val="0"/>
                      <w:adjustRightInd w:val="0"/>
                      <w:jc w:val="both"/>
                    </w:pPr>
                    <w:r>
                      <w:t>控股股东及其控制的公司</w:t>
                    </w:r>
                  </w:p>
                </w:tc>
                <w:tc>
                  <w:tcPr>
                    <w:tcW w:w="723" w:type="pct"/>
                    <w:tcBorders>
                      <w:top w:val="single" w:sz="4" w:space="0" w:color="auto"/>
                      <w:left w:val="single" w:sz="4" w:space="0" w:color="auto"/>
                      <w:bottom w:val="single" w:sz="4" w:space="0" w:color="auto"/>
                      <w:right w:val="single" w:sz="4" w:space="0" w:color="auto"/>
                    </w:tcBorders>
                    <w:vAlign w:val="center"/>
                  </w:tcPr>
                  <w:p w14:paraId="06D7E8FC" w14:textId="77777777" w:rsidR="007E7472" w:rsidRDefault="00EC1269">
                    <w:pPr>
                      <w:autoSpaceDE w:val="0"/>
                      <w:autoSpaceDN w:val="0"/>
                      <w:adjustRightInd w:val="0"/>
                      <w:jc w:val="right"/>
                    </w:pPr>
                    <w:r>
                      <w:t>147,165</w:t>
                    </w:r>
                  </w:p>
                </w:tc>
                <w:tc>
                  <w:tcPr>
                    <w:tcW w:w="643" w:type="pct"/>
                    <w:tcBorders>
                      <w:top w:val="single" w:sz="4" w:space="0" w:color="auto"/>
                      <w:left w:val="single" w:sz="4" w:space="0" w:color="auto"/>
                      <w:bottom w:val="single" w:sz="4" w:space="0" w:color="auto"/>
                      <w:right w:val="single" w:sz="4" w:space="0" w:color="auto"/>
                    </w:tcBorders>
                    <w:vAlign w:val="center"/>
                  </w:tcPr>
                  <w:p w14:paraId="2411C611" w14:textId="77777777" w:rsidR="007E7472" w:rsidRDefault="00C8327E">
                    <w:pPr>
                      <w:autoSpaceDE w:val="0"/>
                      <w:autoSpaceDN w:val="0"/>
                      <w:adjustRightInd w:val="0"/>
                      <w:jc w:val="right"/>
                    </w:pPr>
                  </w:p>
                </w:tc>
                <w:tc>
                  <w:tcPr>
                    <w:tcW w:w="643" w:type="pct"/>
                    <w:tcBorders>
                      <w:top w:val="single" w:sz="4" w:space="0" w:color="auto"/>
                      <w:left w:val="single" w:sz="4" w:space="0" w:color="auto"/>
                      <w:bottom w:val="single" w:sz="4" w:space="0" w:color="auto"/>
                      <w:right w:val="single" w:sz="4" w:space="0" w:color="auto"/>
                    </w:tcBorders>
                    <w:vAlign w:val="center"/>
                  </w:tcPr>
                  <w:p w14:paraId="58E84EB2" w14:textId="77777777" w:rsidR="007E7472" w:rsidRDefault="00EC1269">
                    <w:pPr>
                      <w:autoSpaceDE w:val="0"/>
                      <w:autoSpaceDN w:val="0"/>
                      <w:adjustRightInd w:val="0"/>
                      <w:jc w:val="right"/>
                    </w:pPr>
                    <w:r>
                      <w:t>136,872</w:t>
                    </w:r>
                  </w:p>
                </w:tc>
                <w:tc>
                  <w:tcPr>
                    <w:tcW w:w="664" w:type="pct"/>
                    <w:tcBorders>
                      <w:top w:val="single" w:sz="4" w:space="0" w:color="auto"/>
                      <w:left w:val="single" w:sz="4" w:space="0" w:color="auto"/>
                      <w:bottom w:val="single" w:sz="4" w:space="0" w:color="auto"/>
                      <w:right w:val="single" w:sz="4" w:space="0" w:color="auto"/>
                    </w:tcBorders>
                    <w:vAlign w:val="center"/>
                  </w:tcPr>
                  <w:p w14:paraId="631FD84E" w14:textId="77777777" w:rsidR="007E7472" w:rsidRDefault="00C8327E">
                    <w:pPr>
                      <w:autoSpaceDE w:val="0"/>
                      <w:autoSpaceDN w:val="0"/>
                      <w:adjustRightInd w:val="0"/>
                      <w:jc w:val="right"/>
                    </w:pPr>
                  </w:p>
                </w:tc>
              </w:tr>
            </w:sdtContent>
          </w:sdt>
          <w:sdt>
            <w:sdtPr>
              <w:rPr>
                <w:rFonts w:hint="eastAsia"/>
              </w:rPr>
              <w:alias w:val="上市公司应收关联方款项明细"/>
              <w:tag w:val="_GBC_203fd12dc6be4a978fe2a9d9f5ad1070"/>
              <w:id w:val="971559337"/>
              <w:lock w:val="sdtLocked"/>
            </w:sdtPr>
            <w:sdtEndPr/>
            <w:sdtContent>
              <w:tr w:rsidR="007E7472" w14:paraId="1AA804E1" w14:textId="77777777">
                <w:tc>
                  <w:tcPr>
                    <w:tcW w:w="961" w:type="pct"/>
                    <w:tcBorders>
                      <w:top w:val="single" w:sz="4" w:space="0" w:color="auto"/>
                      <w:left w:val="single" w:sz="4" w:space="0" w:color="auto"/>
                      <w:bottom w:val="single" w:sz="4" w:space="0" w:color="auto"/>
                      <w:right w:val="single" w:sz="4" w:space="0" w:color="auto"/>
                    </w:tcBorders>
                    <w:vAlign w:val="center"/>
                  </w:tcPr>
                  <w:p w14:paraId="197BC149" w14:textId="77777777" w:rsidR="007E7472" w:rsidRDefault="00EC1269">
                    <w:pPr>
                      <w:autoSpaceDE w:val="0"/>
                      <w:autoSpaceDN w:val="0"/>
                      <w:adjustRightInd w:val="0"/>
                      <w:jc w:val="both"/>
                    </w:pPr>
                    <w:r>
                      <w:rPr>
                        <w:rFonts w:hint="eastAsia"/>
                      </w:rPr>
                      <w:t>应收款项融资</w:t>
                    </w:r>
                  </w:p>
                </w:tc>
                <w:tc>
                  <w:tcPr>
                    <w:tcW w:w="1365" w:type="pct"/>
                    <w:tcBorders>
                      <w:top w:val="single" w:sz="4" w:space="0" w:color="auto"/>
                      <w:left w:val="single" w:sz="4" w:space="0" w:color="auto"/>
                      <w:bottom w:val="single" w:sz="4" w:space="0" w:color="auto"/>
                      <w:right w:val="single" w:sz="4" w:space="0" w:color="auto"/>
                    </w:tcBorders>
                    <w:vAlign w:val="center"/>
                  </w:tcPr>
                  <w:p w14:paraId="3BB2C6C4" w14:textId="77777777" w:rsidR="007E7472" w:rsidRDefault="00EC1269">
                    <w:pPr>
                      <w:autoSpaceDE w:val="0"/>
                      <w:autoSpaceDN w:val="0"/>
                      <w:adjustRightInd w:val="0"/>
                      <w:jc w:val="both"/>
                    </w:pPr>
                    <w:r>
                      <w:t>其他关联方</w:t>
                    </w:r>
                  </w:p>
                </w:tc>
                <w:tc>
                  <w:tcPr>
                    <w:tcW w:w="723" w:type="pct"/>
                    <w:tcBorders>
                      <w:top w:val="single" w:sz="4" w:space="0" w:color="auto"/>
                      <w:left w:val="single" w:sz="4" w:space="0" w:color="auto"/>
                      <w:bottom w:val="single" w:sz="4" w:space="0" w:color="auto"/>
                      <w:right w:val="single" w:sz="4" w:space="0" w:color="auto"/>
                    </w:tcBorders>
                    <w:vAlign w:val="center"/>
                  </w:tcPr>
                  <w:p w14:paraId="54801E59" w14:textId="77777777" w:rsidR="007E7472" w:rsidRDefault="00C8327E">
                    <w:pPr>
                      <w:autoSpaceDE w:val="0"/>
                      <w:autoSpaceDN w:val="0"/>
                      <w:adjustRightInd w:val="0"/>
                      <w:jc w:val="right"/>
                    </w:pPr>
                  </w:p>
                </w:tc>
                <w:tc>
                  <w:tcPr>
                    <w:tcW w:w="643" w:type="pct"/>
                    <w:tcBorders>
                      <w:top w:val="single" w:sz="4" w:space="0" w:color="auto"/>
                      <w:left w:val="single" w:sz="4" w:space="0" w:color="auto"/>
                      <w:bottom w:val="single" w:sz="4" w:space="0" w:color="auto"/>
                      <w:right w:val="single" w:sz="4" w:space="0" w:color="auto"/>
                    </w:tcBorders>
                    <w:vAlign w:val="center"/>
                  </w:tcPr>
                  <w:p w14:paraId="521931AB" w14:textId="77777777" w:rsidR="007E7472" w:rsidRDefault="00C8327E">
                    <w:pPr>
                      <w:autoSpaceDE w:val="0"/>
                      <w:autoSpaceDN w:val="0"/>
                      <w:adjustRightInd w:val="0"/>
                      <w:jc w:val="right"/>
                    </w:pPr>
                  </w:p>
                </w:tc>
                <w:tc>
                  <w:tcPr>
                    <w:tcW w:w="643" w:type="pct"/>
                    <w:tcBorders>
                      <w:top w:val="single" w:sz="4" w:space="0" w:color="auto"/>
                      <w:left w:val="single" w:sz="4" w:space="0" w:color="auto"/>
                      <w:bottom w:val="single" w:sz="4" w:space="0" w:color="auto"/>
                      <w:right w:val="single" w:sz="4" w:space="0" w:color="auto"/>
                    </w:tcBorders>
                    <w:vAlign w:val="center"/>
                  </w:tcPr>
                  <w:p w14:paraId="2B935832" w14:textId="77777777" w:rsidR="007E7472" w:rsidRDefault="00EC1269">
                    <w:pPr>
                      <w:autoSpaceDE w:val="0"/>
                      <w:autoSpaceDN w:val="0"/>
                      <w:adjustRightInd w:val="0"/>
                      <w:jc w:val="right"/>
                    </w:pPr>
                    <w:r>
                      <w:t>290</w:t>
                    </w:r>
                  </w:p>
                </w:tc>
                <w:tc>
                  <w:tcPr>
                    <w:tcW w:w="664" w:type="pct"/>
                    <w:tcBorders>
                      <w:top w:val="single" w:sz="4" w:space="0" w:color="auto"/>
                      <w:left w:val="single" w:sz="4" w:space="0" w:color="auto"/>
                      <w:bottom w:val="single" w:sz="4" w:space="0" w:color="auto"/>
                      <w:right w:val="single" w:sz="4" w:space="0" w:color="auto"/>
                    </w:tcBorders>
                    <w:vAlign w:val="center"/>
                  </w:tcPr>
                  <w:p w14:paraId="4EAB3F4B" w14:textId="77777777" w:rsidR="007E7472" w:rsidRDefault="00C8327E">
                    <w:pPr>
                      <w:autoSpaceDE w:val="0"/>
                      <w:autoSpaceDN w:val="0"/>
                      <w:adjustRightInd w:val="0"/>
                      <w:jc w:val="right"/>
                    </w:pPr>
                  </w:p>
                </w:tc>
              </w:tr>
            </w:sdtContent>
          </w:sdt>
          <w:sdt>
            <w:sdtPr>
              <w:rPr>
                <w:rFonts w:hint="eastAsia"/>
              </w:rPr>
              <w:alias w:val="上市公司应收关联方款项明细"/>
              <w:tag w:val="_GBC_203fd12dc6be4a978fe2a9d9f5ad1070"/>
              <w:id w:val="-1358039006"/>
              <w:lock w:val="sdtLocked"/>
            </w:sdtPr>
            <w:sdtEndPr/>
            <w:sdtContent>
              <w:tr w:rsidR="007E7472" w14:paraId="29B5C024" w14:textId="77777777">
                <w:tc>
                  <w:tcPr>
                    <w:tcW w:w="961" w:type="pct"/>
                    <w:tcBorders>
                      <w:top w:val="single" w:sz="4" w:space="0" w:color="auto"/>
                      <w:left w:val="single" w:sz="4" w:space="0" w:color="auto"/>
                      <w:bottom w:val="single" w:sz="4" w:space="0" w:color="auto"/>
                      <w:right w:val="single" w:sz="4" w:space="0" w:color="auto"/>
                    </w:tcBorders>
                    <w:vAlign w:val="center"/>
                  </w:tcPr>
                  <w:p w14:paraId="3ACFDD0B" w14:textId="77777777" w:rsidR="007E7472" w:rsidRDefault="00EC1269">
                    <w:pPr>
                      <w:autoSpaceDE w:val="0"/>
                      <w:autoSpaceDN w:val="0"/>
                      <w:adjustRightInd w:val="0"/>
                      <w:jc w:val="both"/>
                    </w:pPr>
                    <w:r>
                      <w:rPr>
                        <w:rFonts w:hint="eastAsia"/>
                      </w:rPr>
                      <w:t>应收账款</w:t>
                    </w:r>
                  </w:p>
                </w:tc>
                <w:tc>
                  <w:tcPr>
                    <w:tcW w:w="1365" w:type="pct"/>
                    <w:tcBorders>
                      <w:top w:val="single" w:sz="4" w:space="0" w:color="auto"/>
                      <w:left w:val="single" w:sz="4" w:space="0" w:color="auto"/>
                      <w:bottom w:val="single" w:sz="4" w:space="0" w:color="auto"/>
                      <w:right w:val="single" w:sz="4" w:space="0" w:color="auto"/>
                    </w:tcBorders>
                    <w:vAlign w:val="center"/>
                  </w:tcPr>
                  <w:p w14:paraId="535FB667" w14:textId="77777777" w:rsidR="007E7472" w:rsidRDefault="00EC1269">
                    <w:pPr>
                      <w:autoSpaceDE w:val="0"/>
                      <w:autoSpaceDN w:val="0"/>
                      <w:adjustRightInd w:val="0"/>
                      <w:jc w:val="both"/>
                    </w:pPr>
                    <w:r>
                      <w:t>控股股东及其控制的公司</w:t>
                    </w:r>
                  </w:p>
                </w:tc>
                <w:tc>
                  <w:tcPr>
                    <w:tcW w:w="723" w:type="pct"/>
                    <w:tcBorders>
                      <w:top w:val="single" w:sz="4" w:space="0" w:color="auto"/>
                      <w:left w:val="single" w:sz="4" w:space="0" w:color="auto"/>
                      <w:bottom w:val="single" w:sz="4" w:space="0" w:color="auto"/>
                      <w:right w:val="single" w:sz="4" w:space="0" w:color="auto"/>
                    </w:tcBorders>
                    <w:vAlign w:val="center"/>
                  </w:tcPr>
                  <w:p w14:paraId="19E56B3B" w14:textId="77777777" w:rsidR="007E7472" w:rsidRDefault="00EC1269">
                    <w:pPr>
                      <w:autoSpaceDE w:val="0"/>
                      <w:autoSpaceDN w:val="0"/>
                      <w:adjustRightInd w:val="0"/>
                      <w:jc w:val="right"/>
                    </w:pPr>
                    <w:r>
                      <w:t>1,027,413</w:t>
                    </w:r>
                  </w:p>
                </w:tc>
                <w:tc>
                  <w:tcPr>
                    <w:tcW w:w="643" w:type="pct"/>
                    <w:tcBorders>
                      <w:top w:val="single" w:sz="4" w:space="0" w:color="auto"/>
                      <w:left w:val="single" w:sz="4" w:space="0" w:color="auto"/>
                      <w:bottom w:val="single" w:sz="4" w:space="0" w:color="auto"/>
                      <w:right w:val="single" w:sz="4" w:space="0" w:color="auto"/>
                    </w:tcBorders>
                    <w:vAlign w:val="center"/>
                  </w:tcPr>
                  <w:p w14:paraId="114F79CC" w14:textId="77777777" w:rsidR="007E7472" w:rsidRDefault="00C8327E">
                    <w:pPr>
                      <w:autoSpaceDE w:val="0"/>
                      <w:autoSpaceDN w:val="0"/>
                      <w:adjustRightInd w:val="0"/>
                      <w:jc w:val="right"/>
                    </w:pPr>
                  </w:p>
                </w:tc>
                <w:tc>
                  <w:tcPr>
                    <w:tcW w:w="643" w:type="pct"/>
                    <w:tcBorders>
                      <w:top w:val="single" w:sz="4" w:space="0" w:color="auto"/>
                      <w:left w:val="single" w:sz="4" w:space="0" w:color="auto"/>
                      <w:bottom w:val="single" w:sz="4" w:space="0" w:color="auto"/>
                      <w:right w:val="single" w:sz="4" w:space="0" w:color="auto"/>
                    </w:tcBorders>
                    <w:vAlign w:val="center"/>
                  </w:tcPr>
                  <w:p w14:paraId="310045E7" w14:textId="77777777" w:rsidR="007E7472" w:rsidRDefault="00EC1269">
                    <w:pPr>
                      <w:autoSpaceDE w:val="0"/>
                      <w:autoSpaceDN w:val="0"/>
                      <w:adjustRightInd w:val="0"/>
                      <w:jc w:val="right"/>
                    </w:pPr>
                    <w:r>
                      <w:t>787,940</w:t>
                    </w:r>
                  </w:p>
                </w:tc>
                <w:tc>
                  <w:tcPr>
                    <w:tcW w:w="664" w:type="pct"/>
                    <w:tcBorders>
                      <w:top w:val="single" w:sz="4" w:space="0" w:color="auto"/>
                      <w:left w:val="single" w:sz="4" w:space="0" w:color="auto"/>
                      <w:bottom w:val="single" w:sz="4" w:space="0" w:color="auto"/>
                      <w:right w:val="single" w:sz="4" w:space="0" w:color="auto"/>
                    </w:tcBorders>
                    <w:vAlign w:val="center"/>
                  </w:tcPr>
                  <w:p w14:paraId="72866AA2" w14:textId="77777777" w:rsidR="007E7472" w:rsidRDefault="00C8327E">
                    <w:pPr>
                      <w:autoSpaceDE w:val="0"/>
                      <w:autoSpaceDN w:val="0"/>
                      <w:adjustRightInd w:val="0"/>
                      <w:jc w:val="right"/>
                    </w:pPr>
                  </w:p>
                </w:tc>
              </w:tr>
            </w:sdtContent>
          </w:sdt>
          <w:sdt>
            <w:sdtPr>
              <w:rPr>
                <w:rFonts w:hint="eastAsia"/>
              </w:rPr>
              <w:alias w:val="上市公司应收关联方款项明细"/>
              <w:tag w:val="_GBC_203fd12dc6be4a978fe2a9d9f5ad1070"/>
              <w:id w:val="-1738085777"/>
              <w:lock w:val="sdtLocked"/>
            </w:sdtPr>
            <w:sdtEndPr/>
            <w:sdtContent>
              <w:tr w:rsidR="007E7472" w14:paraId="430E1401" w14:textId="77777777">
                <w:tc>
                  <w:tcPr>
                    <w:tcW w:w="961" w:type="pct"/>
                    <w:tcBorders>
                      <w:top w:val="single" w:sz="4" w:space="0" w:color="auto"/>
                      <w:left w:val="single" w:sz="4" w:space="0" w:color="auto"/>
                      <w:bottom w:val="single" w:sz="4" w:space="0" w:color="auto"/>
                      <w:right w:val="single" w:sz="4" w:space="0" w:color="auto"/>
                    </w:tcBorders>
                    <w:vAlign w:val="center"/>
                  </w:tcPr>
                  <w:p w14:paraId="3C98DF26" w14:textId="77777777" w:rsidR="007E7472" w:rsidRDefault="00EC1269">
                    <w:pPr>
                      <w:autoSpaceDE w:val="0"/>
                      <w:autoSpaceDN w:val="0"/>
                      <w:adjustRightInd w:val="0"/>
                      <w:jc w:val="both"/>
                    </w:pPr>
                    <w:r>
                      <w:rPr>
                        <w:rFonts w:hint="eastAsia"/>
                      </w:rPr>
                      <w:t>应收账款</w:t>
                    </w:r>
                  </w:p>
                </w:tc>
                <w:tc>
                  <w:tcPr>
                    <w:tcW w:w="1365" w:type="pct"/>
                    <w:tcBorders>
                      <w:top w:val="single" w:sz="4" w:space="0" w:color="auto"/>
                      <w:left w:val="single" w:sz="4" w:space="0" w:color="auto"/>
                      <w:bottom w:val="single" w:sz="4" w:space="0" w:color="auto"/>
                      <w:right w:val="single" w:sz="4" w:space="0" w:color="auto"/>
                    </w:tcBorders>
                    <w:vAlign w:val="center"/>
                  </w:tcPr>
                  <w:p w14:paraId="4FB585E0" w14:textId="77777777" w:rsidR="007E7472" w:rsidRDefault="00EC1269">
                    <w:pPr>
                      <w:autoSpaceDE w:val="0"/>
                      <w:autoSpaceDN w:val="0"/>
                      <w:adjustRightInd w:val="0"/>
                      <w:jc w:val="both"/>
                    </w:pPr>
                    <w:r>
                      <w:t>合营企业</w:t>
                    </w:r>
                  </w:p>
                </w:tc>
                <w:tc>
                  <w:tcPr>
                    <w:tcW w:w="723" w:type="pct"/>
                    <w:tcBorders>
                      <w:top w:val="single" w:sz="4" w:space="0" w:color="auto"/>
                      <w:left w:val="single" w:sz="4" w:space="0" w:color="auto"/>
                      <w:bottom w:val="single" w:sz="4" w:space="0" w:color="auto"/>
                      <w:right w:val="single" w:sz="4" w:space="0" w:color="auto"/>
                    </w:tcBorders>
                    <w:vAlign w:val="center"/>
                  </w:tcPr>
                  <w:p w14:paraId="01DDD0C0" w14:textId="77777777" w:rsidR="007E7472" w:rsidRDefault="00EC1269">
                    <w:pPr>
                      <w:autoSpaceDE w:val="0"/>
                      <w:autoSpaceDN w:val="0"/>
                      <w:adjustRightInd w:val="0"/>
                      <w:jc w:val="right"/>
                    </w:pPr>
                    <w:r>
                      <w:t>42,332</w:t>
                    </w:r>
                  </w:p>
                </w:tc>
                <w:tc>
                  <w:tcPr>
                    <w:tcW w:w="643" w:type="pct"/>
                    <w:tcBorders>
                      <w:top w:val="single" w:sz="4" w:space="0" w:color="auto"/>
                      <w:left w:val="single" w:sz="4" w:space="0" w:color="auto"/>
                      <w:bottom w:val="single" w:sz="4" w:space="0" w:color="auto"/>
                      <w:right w:val="single" w:sz="4" w:space="0" w:color="auto"/>
                    </w:tcBorders>
                    <w:vAlign w:val="center"/>
                  </w:tcPr>
                  <w:p w14:paraId="359DF838" w14:textId="77777777" w:rsidR="007E7472" w:rsidRDefault="00C8327E">
                    <w:pPr>
                      <w:autoSpaceDE w:val="0"/>
                      <w:autoSpaceDN w:val="0"/>
                      <w:adjustRightInd w:val="0"/>
                      <w:jc w:val="right"/>
                    </w:pPr>
                  </w:p>
                </w:tc>
                <w:tc>
                  <w:tcPr>
                    <w:tcW w:w="643" w:type="pct"/>
                    <w:tcBorders>
                      <w:top w:val="single" w:sz="4" w:space="0" w:color="auto"/>
                      <w:left w:val="single" w:sz="4" w:space="0" w:color="auto"/>
                      <w:bottom w:val="single" w:sz="4" w:space="0" w:color="auto"/>
                      <w:right w:val="single" w:sz="4" w:space="0" w:color="auto"/>
                    </w:tcBorders>
                    <w:vAlign w:val="center"/>
                  </w:tcPr>
                  <w:p w14:paraId="0848451B" w14:textId="77777777" w:rsidR="007E7472" w:rsidRDefault="00EC1269">
                    <w:pPr>
                      <w:autoSpaceDE w:val="0"/>
                      <w:autoSpaceDN w:val="0"/>
                      <w:adjustRightInd w:val="0"/>
                      <w:jc w:val="right"/>
                    </w:pPr>
                    <w:r>
                      <w:t>33,564</w:t>
                    </w:r>
                  </w:p>
                </w:tc>
                <w:tc>
                  <w:tcPr>
                    <w:tcW w:w="664" w:type="pct"/>
                    <w:tcBorders>
                      <w:top w:val="single" w:sz="4" w:space="0" w:color="auto"/>
                      <w:left w:val="single" w:sz="4" w:space="0" w:color="auto"/>
                      <w:bottom w:val="single" w:sz="4" w:space="0" w:color="auto"/>
                      <w:right w:val="single" w:sz="4" w:space="0" w:color="auto"/>
                    </w:tcBorders>
                    <w:vAlign w:val="center"/>
                  </w:tcPr>
                  <w:p w14:paraId="578FCF3C" w14:textId="77777777" w:rsidR="007E7472" w:rsidRDefault="00C8327E">
                    <w:pPr>
                      <w:autoSpaceDE w:val="0"/>
                      <w:autoSpaceDN w:val="0"/>
                      <w:adjustRightInd w:val="0"/>
                      <w:jc w:val="right"/>
                    </w:pPr>
                  </w:p>
                </w:tc>
              </w:tr>
            </w:sdtContent>
          </w:sdt>
          <w:sdt>
            <w:sdtPr>
              <w:rPr>
                <w:rFonts w:hint="eastAsia"/>
              </w:rPr>
              <w:alias w:val="上市公司应收关联方款项明细"/>
              <w:tag w:val="_GBC_203fd12dc6be4a978fe2a9d9f5ad1070"/>
              <w:id w:val="395250661"/>
              <w:lock w:val="sdtLocked"/>
            </w:sdtPr>
            <w:sdtEndPr/>
            <w:sdtContent>
              <w:tr w:rsidR="007E7472" w14:paraId="4286C92A" w14:textId="77777777">
                <w:tc>
                  <w:tcPr>
                    <w:tcW w:w="961" w:type="pct"/>
                    <w:tcBorders>
                      <w:top w:val="single" w:sz="4" w:space="0" w:color="auto"/>
                      <w:left w:val="single" w:sz="4" w:space="0" w:color="auto"/>
                      <w:bottom w:val="single" w:sz="4" w:space="0" w:color="auto"/>
                      <w:right w:val="single" w:sz="4" w:space="0" w:color="auto"/>
                    </w:tcBorders>
                    <w:vAlign w:val="center"/>
                  </w:tcPr>
                  <w:p w14:paraId="0E2230B9" w14:textId="77777777" w:rsidR="007E7472" w:rsidRDefault="00EC1269">
                    <w:pPr>
                      <w:autoSpaceDE w:val="0"/>
                      <w:autoSpaceDN w:val="0"/>
                      <w:adjustRightInd w:val="0"/>
                      <w:jc w:val="both"/>
                    </w:pPr>
                    <w:r>
                      <w:rPr>
                        <w:rFonts w:hint="eastAsia"/>
                      </w:rPr>
                      <w:t>应收账款</w:t>
                    </w:r>
                  </w:p>
                </w:tc>
                <w:tc>
                  <w:tcPr>
                    <w:tcW w:w="1365" w:type="pct"/>
                    <w:tcBorders>
                      <w:top w:val="single" w:sz="4" w:space="0" w:color="auto"/>
                      <w:left w:val="single" w:sz="4" w:space="0" w:color="auto"/>
                      <w:bottom w:val="single" w:sz="4" w:space="0" w:color="auto"/>
                      <w:right w:val="single" w:sz="4" w:space="0" w:color="auto"/>
                    </w:tcBorders>
                    <w:vAlign w:val="center"/>
                  </w:tcPr>
                  <w:p w14:paraId="50B3F230" w14:textId="77777777" w:rsidR="007E7472" w:rsidRDefault="00EC1269">
                    <w:pPr>
                      <w:autoSpaceDE w:val="0"/>
                      <w:autoSpaceDN w:val="0"/>
                      <w:adjustRightInd w:val="0"/>
                      <w:jc w:val="both"/>
                    </w:pPr>
                    <w:r>
                      <w:t>其他关联方</w:t>
                    </w:r>
                  </w:p>
                </w:tc>
                <w:tc>
                  <w:tcPr>
                    <w:tcW w:w="723" w:type="pct"/>
                    <w:tcBorders>
                      <w:top w:val="single" w:sz="4" w:space="0" w:color="auto"/>
                      <w:left w:val="single" w:sz="4" w:space="0" w:color="auto"/>
                      <w:bottom w:val="single" w:sz="4" w:space="0" w:color="auto"/>
                      <w:right w:val="single" w:sz="4" w:space="0" w:color="auto"/>
                    </w:tcBorders>
                    <w:vAlign w:val="center"/>
                  </w:tcPr>
                  <w:p w14:paraId="225EF222" w14:textId="77777777" w:rsidR="007E7472" w:rsidRDefault="00EC1269">
                    <w:pPr>
                      <w:autoSpaceDE w:val="0"/>
                      <w:autoSpaceDN w:val="0"/>
                      <w:adjustRightInd w:val="0"/>
                      <w:jc w:val="right"/>
                    </w:pPr>
                    <w:r>
                      <w:t>193,843</w:t>
                    </w:r>
                  </w:p>
                </w:tc>
                <w:tc>
                  <w:tcPr>
                    <w:tcW w:w="643" w:type="pct"/>
                    <w:tcBorders>
                      <w:top w:val="single" w:sz="4" w:space="0" w:color="auto"/>
                      <w:left w:val="single" w:sz="4" w:space="0" w:color="auto"/>
                      <w:bottom w:val="single" w:sz="4" w:space="0" w:color="auto"/>
                      <w:right w:val="single" w:sz="4" w:space="0" w:color="auto"/>
                    </w:tcBorders>
                    <w:vAlign w:val="center"/>
                  </w:tcPr>
                  <w:p w14:paraId="2F7BBBE6" w14:textId="77777777" w:rsidR="007E7472" w:rsidRDefault="00EC1269">
                    <w:pPr>
                      <w:autoSpaceDE w:val="0"/>
                      <w:autoSpaceDN w:val="0"/>
                      <w:adjustRightInd w:val="0"/>
                      <w:jc w:val="right"/>
                    </w:pPr>
                    <w:r>
                      <w:t>40,975</w:t>
                    </w:r>
                  </w:p>
                </w:tc>
                <w:tc>
                  <w:tcPr>
                    <w:tcW w:w="643" w:type="pct"/>
                    <w:tcBorders>
                      <w:top w:val="single" w:sz="4" w:space="0" w:color="auto"/>
                      <w:left w:val="single" w:sz="4" w:space="0" w:color="auto"/>
                      <w:bottom w:val="single" w:sz="4" w:space="0" w:color="auto"/>
                      <w:right w:val="single" w:sz="4" w:space="0" w:color="auto"/>
                    </w:tcBorders>
                    <w:vAlign w:val="center"/>
                  </w:tcPr>
                  <w:p w14:paraId="38E42D36" w14:textId="77777777" w:rsidR="007E7472" w:rsidRDefault="00EC1269">
                    <w:pPr>
                      <w:autoSpaceDE w:val="0"/>
                      <w:autoSpaceDN w:val="0"/>
                      <w:adjustRightInd w:val="0"/>
                      <w:jc w:val="right"/>
                    </w:pPr>
                    <w:r>
                      <w:t>164,614</w:t>
                    </w:r>
                  </w:p>
                </w:tc>
                <w:tc>
                  <w:tcPr>
                    <w:tcW w:w="664" w:type="pct"/>
                    <w:tcBorders>
                      <w:top w:val="single" w:sz="4" w:space="0" w:color="auto"/>
                      <w:left w:val="single" w:sz="4" w:space="0" w:color="auto"/>
                      <w:bottom w:val="single" w:sz="4" w:space="0" w:color="auto"/>
                      <w:right w:val="single" w:sz="4" w:space="0" w:color="auto"/>
                    </w:tcBorders>
                    <w:vAlign w:val="center"/>
                  </w:tcPr>
                  <w:p w14:paraId="24A75579" w14:textId="77777777" w:rsidR="007E7472" w:rsidRDefault="00EC1269">
                    <w:pPr>
                      <w:autoSpaceDE w:val="0"/>
                      <w:autoSpaceDN w:val="0"/>
                      <w:adjustRightInd w:val="0"/>
                      <w:jc w:val="right"/>
                    </w:pPr>
                    <w:r>
                      <w:t>59,991</w:t>
                    </w:r>
                  </w:p>
                </w:tc>
              </w:tr>
            </w:sdtContent>
          </w:sdt>
          <w:sdt>
            <w:sdtPr>
              <w:rPr>
                <w:rFonts w:hint="eastAsia"/>
              </w:rPr>
              <w:alias w:val="上市公司应收关联方款项明细"/>
              <w:tag w:val="_GBC_203fd12dc6be4a978fe2a9d9f5ad1070"/>
              <w:id w:val="-1995329864"/>
              <w:lock w:val="sdtLocked"/>
            </w:sdtPr>
            <w:sdtEndPr/>
            <w:sdtContent>
              <w:tr w:rsidR="007E7472" w14:paraId="33B0E4B2" w14:textId="77777777">
                <w:tc>
                  <w:tcPr>
                    <w:tcW w:w="961" w:type="pct"/>
                    <w:tcBorders>
                      <w:top w:val="single" w:sz="4" w:space="0" w:color="auto"/>
                      <w:left w:val="single" w:sz="4" w:space="0" w:color="auto"/>
                      <w:bottom w:val="single" w:sz="4" w:space="0" w:color="auto"/>
                      <w:right w:val="single" w:sz="4" w:space="0" w:color="auto"/>
                    </w:tcBorders>
                    <w:vAlign w:val="center"/>
                  </w:tcPr>
                  <w:p w14:paraId="47E031AA" w14:textId="77777777" w:rsidR="007E7472" w:rsidRDefault="00EC1269">
                    <w:pPr>
                      <w:autoSpaceDE w:val="0"/>
                      <w:autoSpaceDN w:val="0"/>
                      <w:adjustRightInd w:val="0"/>
                      <w:jc w:val="both"/>
                    </w:pPr>
                    <w:r>
                      <w:rPr>
                        <w:rFonts w:hint="eastAsia"/>
                      </w:rPr>
                      <w:t>预付款项</w:t>
                    </w:r>
                  </w:p>
                </w:tc>
                <w:tc>
                  <w:tcPr>
                    <w:tcW w:w="1365" w:type="pct"/>
                    <w:tcBorders>
                      <w:top w:val="single" w:sz="4" w:space="0" w:color="auto"/>
                      <w:left w:val="single" w:sz="4" w:space="0" w:color="auto"/>
                      <w:bottom w:val="single" w:sz="4" w:space="0" w:color="auto"/>
                      <w:right w:val="single" w:sz="4" w:space="0" w:color="auto"/>
                    </w:tcBorders>
                    <w:vAlign w:val="center"/>
                  </w:tcPr>
                  <w:p w14:paraId="7EDE25B0" w14:textId="77777777" w:rsidR="007E7472" w:rsidRDefault="00EC1269">
                    <w:pPr>
                      <w:autoSpaceDE w:val="0"/>
                      <w:autoSpaceDN w:val="0"/>
                      <w:adjustRightInd w:val="0"/>
                      <w:jc w:val="both"/>
                    </w:pPr>
                    <w:r>
                      <w:t>控股股东及其控制的公司</w:t>
                    </w:r>
                  </w:p>
                </w:tc>
                <w:tc>
                  <w:tcPr>
                    <w:tcW w:w="723" w:type="pct"/>
                    <w:tcBorders>
                      <w:top w:val="single" w:sz="4" w:space="0" w:color="auto"/>
                      <w:left w:val="single" w:sz="4" w:space="0" w:color="auto"/>
                      <w:bottom w:val="single" w:sz="4" w:space="0" w:color="auto"/>
                      <w:right w:val="single" w:sz="4" w:space="0" w:color="auto"/>
                    </w:tcBorders>
                    <w:vAlign w:val="center"/>
                  </w:tcPr>
                  <w:p w14:paraId="2B58D676" w14:textId="77777777" w:rsidR="007E7472" w:rsidRDefault="00EC1269">
                    <w:pPr>
                      <w:autoSpaceDE w:val="0"/>
                      <w:autoSpaceDN w:val="0"/>
                      <w:adjustRightInd w:val="0"/>
                      <w:jc w:val="right"/>
                    </w:pPr>
                    <w:r>
                      <w:t>502,274</w:t>
                    </w:r>
                  </w:p>
                </w:tc>
                <w:tc>
                  <w:tcPr>
                    <w:tcW w:w="643" w:type="pct"/>
                    <w:tcBorders>
                      <w:top w:val="single" w:sz="4" w:space="0" w:color="auto"/>
                      <w:left w:val="single" w:sz="4" w:space="0" w:color="auto"/>
                      <w:bottom w:val="single" w:sz="4" w:space="0" w:color="auto"/>
                      <w:right w:val="single" w:sz="4" w:space="0" w:color="auto"/>
                    </w:tcBorders>
                    <w:vAlign w:val="center"/>
                  </w:tcPr>
                  <w:p w14:paraId="0A283AB9" w14:textId="77777777" w:rsidR="007E7472" w:rsidRDefault="00C8327E">
                    <w:pPr>
                      <w:autoSpaceDE w:val="0"/>
                      <w:autoSpaceDN w:val="0"/>
                      <w:adjustRightInd w:val="0"/>
                      <w:jc w:val="right"/>
                    </w:pPr>
                  </w:p>
                </w:tc>
                <w:tc>
                  <w:tcPr>
                    <w:tcW w:w="643" w:type="pct"/>
                    <w:tcBorders>
                      <w:top w:val="single" w:sz="4" w:space="0" w:color="auto"/>
                      <w:left w:val="single" w:sz="4" w:space="0" w:color="auto"/>
                      <w:bottom w:val="single" w:sz="4" w:space="0" w:color="auto"/>
                      <w:right w:val="single" w:sz="4" w:space="0" w:color="auto"/>
                    </w:tcBorders>
                    <w:vAlign w:val="center"/>
                  </w:tcPr>
                  <w:p w14:paraId="4461741E" w14:textId="77777777" w:rsidR="007E7472" w:rsidRDefault="00EC1269">
                    <w:pPr>
                      <w:autoSpaceDE w:val="0"/>
                      <w:autoSpaceDN w:val="0"/>
                      <w:adjustRightInd w:val="0"/>
                      <w:jc w:val="right"/>
                    </w:pPr>
                    <w:r>
                      <w:t>393,395</w:t>
                    </w:r>
                  </w:p>
                </w:tc>
                <w:tc>
                  <w:tcPr>
                    <w:tcW w:w="664" w:type="pct"/>
                    <w:tcBorders>
                      <w:top w:val="single" w:sz="4" w:space="0" w:color="auto"/>
                      <w:left w:val="single" w:sz="4" w:space="0" w:color="auto"/>
                      <w:bottom w:val="single" w:sz="4" w:space="0" w:color="auto"/>
                      <w:right w:val="single" w:sz="4" w:space="0" w:color="auto"/>
                    </w:tcBorders>
                    <w:vAlign w:val="center"/>
                  </w:tcPr>
                  <w:p w14:paraId="69B0837B" w14:textId="77777777" w:rsidR="007E7472" w:rsidRDefault="00C8327E">
                    <w:pPr>
                      <w:autoSpaceDE w:val="0"/>
                      <w:autoSpaceDN w:val="0"/>
                      <w:adjustRightInd w:val="0"/>
                      <w:jc w:val="right"/>
                    </w:pPr>
                  </w:p>
                </w:tc>
              </w:tr>
            </w:sdtContent>
          </w:sdt>
          <w:sdt>
            <w:sdtPr>
              <w:rPr>
                <w:rFonts w:hint="eastAsia"/>
              </w:rPr>
              <w:alias w:val="上市公司应收关联方款项明细"/>
              <w:tag w:val="_GBC_203fd12dc6be4a978fe2a9d9f5ad1070"/>
              <w:id w:val="783232377"/>
              <w:lock w:val="sdtLocked"/>
            </w:sdtPr>
            <w:sdtEndPr/>
            <w:sdtContent>
              <w:tr w:rsidR="007E7472" w14:paraId="20A67918" w14:textId="77777777">
                <w:tc>
                  <w:tcPr>
                    <w:tcW w:w="961" w:type="pct"/>
                    <w:tcBorders>
                      <w:top w:val="single" w:sz="4" w:space="0" w:color="auto"/>
                      <w:left w:val="single" w:sz="4" w:space="0" w:color="auto"/>
                      <w:bottom w:val="single" w:sz="4" w:space="0" w:color="auto"/>
                      <w:right w:val="single" w:sz="4" w:space="0" w:color="auto"/>
                    </w:tcBorders>
                    <w:vAlign w:val="center"/>
                  </w:tcPr>
                  <w:p w14:paraId="2442406E" w14:textId="77777777" w:rsidR="007E7472" w:rsidRDefault="00EC1269">
                    <w:pPr>
                      <w:autoSpaceDE w:val="0"/>
                      <w:autoSpaceDN w:val="0"/>
                      <w:adjustRightInd w:val="0"/>
                      <w:jc w:val="both"/>
                    </w:pPr>
                    <w:r>
                      <w:rPr>
                        <w:rFonts w:hint="eastAsia"/>
                      </w:rPr>
                      <w:t>预付款项</w:t>
                    </w:r>
                  </w:p>
                </w:tc>
                <w:tc>
                  <w:tcPr>
                    <w:tcW w:w="1365" w:type="pct"/>
                    <w:tcBorders>
                      <w:top w:val="single" w:sz="4" w:space="0" w:color="auto"/>
                      <w:left w:val="single" w:sz="4" w:space="0" w:color="auto"/>
                      <w:bottom w:val="single" w:sz="4" w:space="0" w:color="auto"/>
                      <w:right w:val="single" w:sz="4" w:space="0" w:color="auto"/>
                    </w:tcBorders>
                    <w:vAlign w:val="center"/>
                  </w:tcPr>
                  <w:p w14:paraId="1CAE858B" w14:textId="77777777" w:rsidR="007E7472" w:rsidRDefault="00EC1269">
                    <w:pPr>
                      <w:autoSpaceDE w:val="0"/>
                      <w:autoSpaceDN w:val="0"/>
                      <w:adjustRightInd w:val="0"/>
                      <w:jc w:val="both"/>
                    </w:pPr>
                    <w:r>
                      <w:t>其他关联方</w:t>
                    </w:r>
                  </w:p>
                </w:tc>
                <w:tc>
                  <w:tcPr>
                    <w:tcW w:w="723" w:type="pct"/>
                    <w:tcBorders>
                      <w:top w:val="single" w:sz="4" w:space="0" w:color="auto"/>
                      <w:left w:val="single" w:sz="4" w:space="0" w:color="auto"/>
                      <w:bottom w:val="single" w:sz="4" w:space="0" w:color="auto"/>
                      <w:right w:val="single" w:sz="4" w:space="0" w:color="auto"/>
                    </w:tcBorders>
                    <w:vAlign w:val="center"/>
                  </w:tcPr>
                  <w:p w14:paraId="6E45E735" w14:textId="77777777" w:rsidR="007E7472" w:rsidRDefault="00EC1269">
                    <w:pPr>
                      <w:autoSpaceDE w:val="0"/>
                      <w:autoSpaceDN w:val="0"/>
                      <w:adjustRightInd w:val="0"/>
                      <w:jc w:val="right"/>
                    </w:pPr>
                    <w:r>
                      <w:t>313</w:t>
                    </w:r>
                  </w:p>
                </w:tc>
                <w:tc>
                  <w:tcPr>
                    <w:tcW w:w="643" w:type="pct"/>
                    <w:tcBorders>
                      <w:top w:val="single" w:sz="4" w:space="0" w:color="auto"/>
                      <w:left w:val="single" w:sz="4" w:space="0" w:color="auto"/>
                      <w:bottom w:val="single" w:sz="4" w:space="0" w:color="auto"/>
                      <w:right w:val="single" w:sz="4" w:space="0" w:color="auto"/>
                    </w:tcBorders>
                    <w:vAlign w:val="center"/>
                  </w:tcPr>
                  <w:p w14:paraId="0AC3C18F" w14:textId="77777777" w:rsidR="007E7472" w:rsidRDefault="00C8327E">
                    <w:pPr>
                      <w:autoSpaceDE w:val="0"/>
                      <w:autoSpaceDN w:val="0"/>
                      <w:adjustRightInd w:val="0"/>
                      <w:jc w:val="right"/>
                    </w:pPr>
                  </w:p>
                </w:tc>
                <w:tc>
                  <w:tcPr>
                    <w:tcW w:w="643" w:type="pct"/>
                    <w:tcBorders>
                      <w:top w:val="single" w:sz="4" w:space="0" w:color="auto"/>
                      <w:left w:val="single" w:sz="4" w:space="0" w:color="auto"/>
                      <w:bottom w:val="single" w:sz="4" w:space="0" w:color="auto"/>
                      <w:right w:val="single" w:sz="4" w:space="0" w:color="auto"/>
                    </w:tcBorders>
                    <w:vAlign w:val="center"/>
                  </w:tcPr>
                  <w:p w14:paraId="12E5549B" w14:textId="77777777" w:rsidR="007E7472" w:rsidRDefault="00EC1269">
                    <w:pPr>
                      <w:autoSpaceDE w:val="0"/>
                      <w:autoSpaceDN w:val="0"/>
                      <w:adjustRightInd w:val="0"/>
                      <w:jc w:val="right"/>
                    </w:pPr>
                    <w:r>
                      <w:t>62</w:t>
                    </w:r>
                  </w:p>
                </w:tc>
                <w:tc>
                  <w:tcPr>
                    <w:tcW w:w="664" w:type="pct"/>
                    <w:tcBorders>
                      <w:top w:val="single" w:sz="4" w:space="0" w:color="auto"/>
                      <w:left w:val="single" w:sz="4" w:space="0" w:color="auto"/>
                      <w:bottom w:val="single" w:sz="4" w:space="0" w:color="auto"/>
                      <w:right w:val="single" w:sz="4" w:space="0" w:color="auto"/>
                    </w:tcBorders>
                    <w:vAlign w:val="center"/>
                  </w:tcPr>
                  <w:p w14:paraId="02EB86FE" w14:textId="77777777" w:rsidR="007E7472" w:rsidRDefault="00C8327E">
                    <w:pPr>
                      <w:autoSpaceDE w:val="0"/>
                      <w:autoSpaceDN w:val="0"/>
                      <w:adjustRightInd w:val="0"/>
                      <w:jc w:val="right"/>
                    </w:pPr>
                  </w:p>
                </w:tc>
              </w:tr>
            </w:sdtContent>
          </w:sdt>
          <w:sdt>
            <w:sdtPr>
              <w:rPr>
                <w:rFonts w:hint="eastAsia"/>
              </w:rPr>
              <w:alias w:val="上市公司应收关联方款项明细"/>
              <w:tag w:val="_GBC_203fd12dc6be4a978fe2a9d9f5ad1070"/>
              <w:id w:val="-1172413681"/>
              <w:lock w:val="sdtLocked"/>
            </w:sdtPr>
            <w:sdtEndPr/>
            <w:sdtContent>
              <w:tr w:rsidR="007E7472" w14:paraId="135430E6" w14:textId="77777777">
                <w:tc>
                  <w:tcPr>
                    <w:tcW w:w="961" w:type="pct"/>
                    <w:tcBorders>
                      <w:top w:val="single" w:sz="4" w:space="0" w:color="auto"/>
                      <w:left w:val="single" w:sz="4" w:space="0" w:color="auto"/>
                      <w:bottom w:val="single" w:sz="4" w:space="0" w:color="auto"/>
                      <w:right w:val="single" w:sz="4" w:space="0" w:color="auto"/>
                    </w:tcBorders>
                    <w:vAlign w:val="center"/>
                  </w:tcPr>
                  <w:p w14:paraId="2D8057C0" w14:textId="77777777" w:rsidR="007E7472" w:rsidRDefault="00EC1269">
                    <w:pPr>
                      <w:autoSpaceDE w:val="0"/>
                      <w:autoSpaceDN w:val="0"/>
                      <w:adjustRightInd w:val="0"/>
                      <w:jc w:val="both"/>
                    </w:pPr>
                    <w:r>
                      <w:rPr>
                        <w:rFonts w:hint="eastAsia"/>
                      </w:rPr>
                      <w:t>其他应收款</w:t>
                    </w:r>
                  </w:p>
                </w:tc>
                <w:tc>
                  <w:tcPr>
                    <w:tcW w:w="1365" w:type="pct"/>
                    <w:tcBorders>
                      <w:top w:val="single" w:sz="4" w:space="0" w:color="auto"/>
                      <w:left w:val="single" w:sz="4" w:space="0" w:color="auto"/>
                      <w:bottom w:val="single" w:sz="4" w:space="0" w:color="auto"/>
                      <w:right w:val="single" w:sz="4" w:space="0" w:color="auto"/>
                    </w:tcBorders>
                    <w:vAlign w:val="center"/>
                  </w:tcPr>
                  <w:p w14:paraId="2FB33CEA" w14:textId="77777777" w:rsidR="007E7472" w:rsidRDefault="00EC1269">
                    <w:pPr>
                      <w:autoSpaceDE w:val="0"/>
                      <w:autoSpaceDN w:val="0"/>
                      <w:adjustRightInd w:val="0"/>
                      <w:jc w:val="both"/>
                    </w:pPr>
                    <w:r>
                      <w:t>控股股东及其控制的公司</w:t>
                    </w:r>
                  </w:p>
                </w:tc>
                <w:tc>
                  <w:tcPr>
                    <w:tcW w:w="723" w:type="pct"/>
                    <w:tcBorders>
                      <w:top w:val="single" w:sz="4" w:space="0" w:color="auto"/>
                      <w:left w:val="single" w:sz="4" w:space="0" w:color="auto"/>
                      <w:bottom w:val="single" w:sz="4" w:space="0" w:color="auto"/>
                      <w:right w:val="single" w:sz="4" w:space="0" w:color="auto"/>
                    </w:tcBorders>
                    <w:vAlign w:val="center"/>
                  </w:tcPr>
                  <w:p w14:paraId="0A34A086" w14:textId="77777777" w:rsidR="007E7472" w:rsidRDefault="00EC1269">
                    <w:pPr>
                      <w:autoSpaceDE w:val="0"/>
                      <w:autoSpaceDN w:val="0"/>
                      <w:adjustRightInd w:val="0"/>
                      <w:jc w:val="right"/>
                    </w:pPr>
                    <w:r>
                      <w:t>93,819</w:t>
                    </w:r>
                  </w:p>
                </w:tc>
                <w:tc>
                  <w:tcPr>
                    <w:tcW w:w="643" w:type="pct"/>
                    <w:tcBorders>
                      <w:top w:val="single" w:sz="4" w:space="0" w:color="auto"/>
                      <w:left w:val="single" w:sz="4" w:space="0" w:color="auto"/>
                      <w:bottom w:val="single" w:sz="4" w:space="0" w:color="auto"/>
                      <w:right w:val="single" w:sz="4" w:space="0" w:color="auto"/>
                    </w:tcBorders>
                    <w:vAlign w:val="center"/>
                  </w:tcPr>
                  <w:p w14:paraId="1FFEDB0C" w14:textId="77777777" w:rsidR="007E7472" w:rsidRDefault="00C8327E">
                    <w:pPr>
                      <w:autoSpaceDE w:val="0"/>
                      <w:autoSpaceDN w:val="0"/>
                      <w:adjustRightInd w:val="0"/>
                      <w:jc w:val="right"/>
                    </w:pPr>
                  </w:p>
                </w:tc>
                <w:tc>
                  <w:tcPr>
                    <w:tcW w:w="643" w:type="pct"/>
                    <w:tcBorders>
                      <w:top w:val="single" w:sz="4" w:space="0" w:color="auto"/>
                      <w:left w:val="single" w:sz="4" w:space="0" w:color="auto"/>
                      <w:bottom w:val="single" w:sz="4" w:space="0" w:color="auto"/>
                      <w:right w:val="single" w:sz="4" w:space="0" w:color="auto"/>
                    </w:tcBorders>
                    <w:vAlign w:val="center"/>
                  </w:tcPr>
                  <w:p w14:paraId="0F260ED7" w14:textId="77777777" w:rsidR="007E7472" w:rsidRDefault="00EC1269">
                    <w:pPr>
                      <w:autoSpaceDE w:val="0"/>
                      <w:autoSpaceDN w:val="0"/>
                      <w:adjustRightInd w:val="0"/>
                      <w:jc w:val="right"/>
                    </w:pPr>
                    <w:r>
                      <w:t>97,911</w:t>
                    </w:r>
                  </w:p>
                </w:tc>
                <w:tc>
                  <w:tcPr>
                    <w:tcW w:w="664" w:type="pct"/>
                    <w:tcBorders>
                      <w:top w:val="single" w:sz="4" w:space="0" w:color="auto"/>
                      <w:left w:val="single" w:sz="4" w:space="0" w:color="auto"/>
                      <w:bottom w:val="single" w:sz="4" w:space="0" w:color="auto"/>
                      <w:right w:val="single" w:sz="4" w:space="0" w:color="auto"/>
                    </w:tcBorders>
                    <w:vAlign w:val="center"/>
                  </w:tcPr>
                  <w:p w14:paraId="4213F96A" w14:textId="77777777" w:rsidR="007E7472" w:rsidRDefault="00C8327E">
                    <w:pPr>
                      <w:autoSpaceDE w:val="0"/>
                      <w:autoSpaceDN w:val="0"/>
                      <w:adjustRightInd w:val="0"/>
                      <w:jc w:val="right"/>
                    </w:pPr>
                  </w:p>
                </w:tc>
              </w:tr>
            </w:sdtContent>
          </w:sdt>
          <w:sdt>
            <w:sdtPr>
              <w:rPr>
                <w:rFonts w:hint="eastAsia"/>
              </w:rPr>
              <w:alias w:val="上市公司应收关联方款项明细"/>
              <w:tag w:val="_GBC_203fd12dc6be4a978fe2a9d9f5ad1070"/>
              <w:id w:val="-2068249977"/>
              <w:lock w:val="sdtLocked"/>
            </w:sdtPr>
            <w:sdtEndPr/>
            <w:sdtContent>
              <w:tr w:rsidR="007E7472" w14:paraId="1634A32C" w14:textId="77777777">
                <w:tc>
                  <w:tcPr>
                    <w:tcW w:w="961" w:type="pct"/>
                    <w:tcBorders>
                      <w:top w:val="single" w:sz="4" w:space="0" w:color="auto"/>
                      <w:left w:val="single" w:sz="4" w:space="0" w:color="auto"/>
                      <w:bottom w:val="single" w:sz="4" w:space="0" w:color="auto"/>
                      <w:right w:val="single" w:sz="4" w:space="0" w:color="auto"/>
                    </w:tcBorders>
                    <w:vAlign w:val="center"/>
                  </w:tcPr>
                  <w:p w14:paraId="1FE4B5C8" w14:textId="77777777" w:rsidR="007E7472" w:rsidRDefault="00EC1269">
                    <w:pPr>
                      <w:autoSpaceDE w:val="0"/>
                      <w:autoSpaceDN w:val="0"/>
                      <w:adjustRightInd w:val="0"/>
                      <w:jc w:val="both"/>
                    </w:pPr>
                    <w:r>
                      <w:rPr>
                        <w:rFonts w:hint="eastAsia"/>
                      </w:rPr>
                      <w:t>其他应收款</w:t>
                    </w:r>
                  </w:p>
                </w:tc>
                <w:tc>
                  <w:tcPr>
                    <w:tcW w:w="1365" w:type="pct"/>
                    <w:tcBorders>
                      <w:top w:val="single" w:sz="4" w:space="0" w:color="auto"/>
                      <w:left w:val="single" w:sz="4" w:space="0" w:color="auto"/>
                      <w:bottom w:val="single" w:sz="4" w:space="0" w:color="auto"/>
                      <w:right w:val="single" w:sz="4" w:space="0" w:color="auto"/>
                    </w:tcBorders>
                    <w:vAlign w:val="center"/>
                  </w:tcPr>
                  <w:p w14:paraId="241E8569" w14:textId="77777777" w:rsidR="007E7472" w:rsidRDefault="00EC1269">
                    <w:pPr>
                      <w:autoSpaceDE w:val="0"/>
                      <w:autoSpaceDN w:val="0"/>
                      <w:adjustRightInd w:val="0"/>
                      <w:jc w:val="both"/>
                    </w:pPr>
                    <w:r>
                      <w:t>联营企业</w:t>
                    </w:r>
                  </w:p>
                </w:tc>
                <w:tc>
                  <w:tcPr>
                    <w:tcW w:w="723" w:type="pct"/>
                    <w:tcBorders>
                      <w:top w:val="single" w:sz="4" w:space="0" w:color="auto"/>
                      <w:left w:val="single" w:sz="4" w:space="0" w:color="auto"/>
                      <w:bottom w:val="single" w:sz="4" w:space="0" w:color="auto"/>
                      <w:right w:val="single" w:sz="4" w:space="0" w:color="auto"/>
                    </w:tcBorders>
                    <w:vAlign w:val="center"/>
                  </w:tcPr>
                  <w:p w14:paraId="41F0D91F" w14:textId="77777777" w:rsidR="007E7472" w:rsidRDefault="00EC1269">
                    <w:pPr>
                      <w:autoSpaceDE w:val="0"/>
                      <w:autoSpaceDN w:val="0"/>
                      <w:adjustRightInd w:val="0"/>
                      <w:jc w:val="right"/>
                    </w:pPr>
                    <w:r>
                      <w:t>22,913</w:t>
                    </w:r>
                  </w:p>
                </w:tc>
                <w:tc>
                  <w:tcPr>
                    <w:tcW w:w="643" w:type="pct"/>
                    <w:tcBorders>
                      <w:top w:val="single" w:sz="4" w:space="0" w:color="auto"/>
                      <w:left w:val="single" w:sz="4" w:space="0" w:color="auto"/>
                      <w:bottom w:val="single" w:sz="4" w:space="0" w:color="auto"/>
                      <w:right w:val="single" w:sz="4" w:space="0" w:color="auto"/>
                    </w:tcBorders>
                    <w:vAlign w:val="center"/>
                  </w:tcPr>
                  <w:p w14:paraId="4FC65B25" w14:textId="77777777" w:rsidR="007E7472" w:rsidRDefault="00C8327E">
                    <w:pPr>
                      <w:autoSpaceDE w:val="0"/>
                      <w:autoSpaceDN w:val="0"/>
                      <w:adjustRightInd w:val="0"/>
                      <w:jc w:val="right"/>
                    </w:pPr>
                  </w:p>
                </w:tc>
                <w:tc>
                  <w:tcPr>
                    <w:tcW w:w="643" w:type="pct"/>
                    <w:tcBorders>
                      <w:top w:val="single" w:sz="4" w:space="0" w:color="auto"/>
                      <w:left w:val="single" w:sz="4" w:space="0" w:color="auto"/>
                      <w:bottom w:val="single" w:sz="4" w:space="0" w:color="auto"/>
                      <w:right w:val="single" w:sz="4" w:space="0" w:color="auto"/>
                    </w:tcBorders>
                    <w:vAlign w:val="center"/>
                  </w:tcPr>
                  <w:p w14:paraId="07A36EF7" w14:textId="77777777" w:rsidR="007E7472" w:rsidRDefault="00EC1269">
                    <w:pPr>
                      <w:autoSpaceDE w:val="0"/>
                      <w:autoSpaceDN w:val="0"/>
                      <w:adjustRightInd w:val="0"/>
                      <w:jc w:val="right"/>
                    </w:pPr>
                    <w:r>
                      <w:t>22,818</w:t>
                    </w:r>
                  </w:p>
                </w:tc>
                <w:tc>
                  <w:tcPr>
                    <w:tcW w:w="664" w:type="pct"/>
                    <w:tcBorders>
                      <w:top w:val="single" w:sz="4" w:space="0" w:color="auto"/>
                      <w:left w:val="single" w:sz="4" w:space="0" w:color="auto"/>
                      <w:bottom w:val="single" w:sz="4" w:space="0" w:color="auto"/>
                      <w:right w:val="single" w:sz="4" w:space="0" w:color="auto"/>
                    </w:tcBorders>
                    <w:vAlign w:val="center"/>
                  </w:tcPr>
                  <w:p w14:paraId="23E4A903" w14:textId="77777777" w:rsidR="007E7472" w:rsidRDefault="00C8327E">
                    <w:pPr>
                      <w:autoSpaceDE w:val="0"/>
                      <w:autoSpaceDN w:val="0"/>
                      <w:adjustRightInd w:val="0"/>
                      <w:jc w:val="right"/>
                    </w:pPr>
                  </w:p>
                </w:tc>
              </w:tr>
            </w:sdtContent>
          </w:sdt>
          <w:sdt>
            <w:sdtPr>
              <w:rPr>
                <w:rFonts w:hint="eastAsia"/>
              </w:rPr>
              <w:alias w:val="上市公司应收关联方款项明细"/>
              <w:tag w:val="_GBC_203fd12dc6be4a978fe2a9d9f5ad1070"/>
              <w:id w:val="796033070"/>
              <w:lock w:val="sdtLocked"/>
            </w:sdtPr>
            <w:sdtEndPr/>
            <w:sdtContent>
              <w:tr w:rsidR="007E7472" w14:paraId="411B2614" w14:textId="77777777">
                <w:tc>
                  <w:tcPr>
                    <w:tcW w:w="961" w:type="pct"/>
                    <w:tcBorders>
                      <w:top w:val="single" w:sz="4" w:space="0" w:color="auto"/>
                      <w:left w:val="single" w:sz="4" w:space="0" w:color="auto"/>
                      <w:bottom w:val="single" w:sz="4" w:space="0" w:color="auto"/>
                      <w:right w:val="single" w:sz="4" w:space="0" w:color="auto"/>
                    </w:tcBorders>
                    <w:vAlign w:val="center"/>
                  </w:tcPr>
                  <w:p w14:paraId="7C64829B" w14:textId="77777777" w:rsidR="007E7472" w:rsidRDefault="00EC1269">
                    <w:pPr>
                      <w:autoSpaceDE w:val="0"/>
                      <w:autoSpaceDN w:val="0"/>
                      <w:adjustRightInd w:val="0"/>
                      <w:jc w:val="both"/>
                    </w:pPr>
                    <w:r>
                      <w:rPr>
                        <w:rFonts w:hint="eastAsia"/>
                      </w:rPr>
                      <w:t>其他应收款</w:t>
                    </w:r>
                  </w:p>
                </w:tc>
                <w:tc>
                  <w:tcPr>
                    <w:tcW w:w="1365" w:type="pct"/>
                    <w:tcBorders>
                      <w:top w:val="single" w:sz="4" w:space="0" w:color="auto"/>
                      <w:left w:val="single" w:sz="4" w:space="0" w:color="auto"/>
                      <w:bottom w:val="single" w:sz="4" w:space="0" w:color="auto"/>
                      <w:right w:val="single" w:sz="4" w:space="0" w:color="auto"/>
                    </w:tcBorders>
                    <w:vAlign w:val="center"/>
                  </w:tcPr>
                  <w:p w14:paraId="36F37A48" w14:textId="77777777" w:rsidR="007E7472" w:rsidRDefault="00EC1269">
                    <w:pPr>
                      <w:autoSpaceDE w:val="0"/>
                      <w:autoSpaceDN w:val="0"/>
                      <w:adjustRightInd w:val="0"/>
                      <w:jc w:val="both"/>
                    </w:pPr>
                    <w:r>
                      <w:t>其他关联方</w:t>
                    </w:r>
                  </w:p>
                </w:tc>
                <w:tc>
                  <w:tcPr>
                    <w:tcW w:w="723" w:type="pct"/>
                    <w:tcBorders>
                      <w:top w:val="single" w:sz="4" w:space="0" w:color="auto"/>
                      <w:left w:val="single" w:sz="4" w:space="0" w:color="auto"/>
                      <w:bottom w:val="single" w:sz="4" w:space="0" w:color="auto"/>
                      <w:right w:val="single" w:sz="4" w:space="0" w:color="auto"/>
                    </w:tcBorders>
                    <w:vAlign w:val="center"/>
                  </w:tcPr>
                  <w:p w14:paraId="35A6ED4E" w14:textId="77777777" w:rsidR="007E7472" w:rsidRDefault="00EC1269">
                    <w:pPr>
                      <w:autoSpaceDE w:val="0"/>
                      <w:autoSpaceDN w:val="0"/>
                      <w:adjustRightInd w:val="0"/>
                      <w:jc w:val="right"/>
                    </w:pPr>
                    <w:r>
                      <w:t>268,747</w:t>
                    </w:r>
                  </w:p>
                </w:tc>
                <w:tc>
                  <w:tcPr>
                    <w:tcW w:w="643" w:type="pct"/>
                    <w:tcBorders>
                      <w:top w:val="single" w:sz="4" w:space="0" w:color="auto"/>
                      <w:left w:val="single" w:sz="4" w:space="0" w:color="auto"/>
                      <w:bottom w:val="single" w:sz="4" w:space="0" w:color="auto"/>
                      <w:right w:val="single" w:sz="4" w:space="0" w:color="auto"/>
                    </w:tcBorders>
                    <w:vAlign w:val="center"/>
                  </w:tcPr>
                  <w:p w14:paraId="5FEA984F" w14:textId="77777777" w:rsidR="007E7472" w:rsidRDefault="00EC1269">
                    <w:pPr>
                      <w:autoSpaceDE w:val="0"/>
                      <w:autoSpaceDN w:val="0"/>
                      <w:adjustRightInd w:val="0"/>
                      <w:jc w:val="right"/>
                    </w:pPr>
                    <w:r>
                      <w:t>69,169</w:t>
                    </w:r>
                  </w:p>
                </w:tc>
                <w:tc>
                  <w:tcPr>
                    <w:tcW w:w="643" w:type="pct"/>
                    <w:tcBorders>
                      <w:top w:val="single" w:sz="4" w:space="0" w:color="auto"/>
                      <w:left w:val="single" w:sz="4" w:space="0" w:color="auto"/>
                      <w:bottom w:val="single" w:sz="4" w:space="0" w:color="auto"/>
                      <w:right w:val="single" w:sz="4" w:space="0" w:color="auto"/>
                    </w:tcBorders>
                    <w:vAlign w:val="center"/>
                  </w:tcPr>
                  <w:p w14:paraId="45E1F9C6" w14:textId="77777777" w:rsidR="007E7472" w:rsidRDefault="00EC1269">
                    <w:pPr>
                      <w:autoSpaceDE w:val="0"/>
                      <w:autoSpaceDN w:val="0"/>
                      <w:adjustRightInd w:val="0"/>
                      <w:jc w:val="right"/>
                    </w:pPr>
                    <w:r>
                      <w:t>267,886</w:t>
                    </w:r>
                  </w:p>
                </w:tc>
                <w:tc>
                  <w:tcPr>
                    <w:tcW w:w="664" w:type="pct"/>
                    <w:tcBorders>
                      <w:top w:val="single" w:sz="4" w:space="0" w:color="auto"/>
                      <w:left w:val="single" w:sz="4" w:space="0" w:color="auto"/>
                      <w:bottom w:val="single" w:sz="4" w:space="0" w:color="auto"/>
                      <w:right w:val="single" w:sz="4" w:space="0" w:color="auto"/>
                    </w:tcBorders>
                    <w:vAlign w:val="center"/>
                  </w:tcPr>
                  <w:p w14:paraId="0937EA10" w14:textId="77777777" w:rsidR="007E7472" w:rsidRDefault="00EC1269">
                    <w:pPr>
                      <w:autoSpaceDE w:val="0"/>
                      <w:autoSpaceDN w:val="0"/>
                      <w:adjustRightInd w:val="0"/>
                      <w:jc w:val="right"/>
                    </w:pPr>
                    <w:r>
                      <w:t>69,169</w:t>
                    </w:r>
                  </w:p>
                </w:tc>
              </w:tr>
            </w:sdtContent>
          </w:sdt>
          <w:sdt>
            <w:sdtPr>
              <w:rPr>
                <w:rFonts w:hint="eastAsia"/>
              </w:rPr>
              <w:alias w:val="上市公司应收关联方款项明细"/>
              <w:tag w:val="_GBC_203fd12dc6be4a978fe2a9d9f5ad1070"/>
              <w:id w:val="-1285577945"/>
              <w:lock w:val="sdtLocked"/>
            </w:sdtPr>
            <w:sdtEndPr/>
            <w:sdtContent>
              <w:tr w:rsidR="007E7472" w14:paraId="46668567" w14:textId="77777777">
                <w:tc>
                  <w:tcPr>
                    <w:tcW w:w="961" w:type="pct"/>
                    <w:tcBorders>
                      <w:top w:val="single" w:sz="4" w:space="0" w:color="auto"/>
                      <w:left w:val="single" w:sz="4" w:space="0" w:color="auto"/>
                      <w:bottom w:val="single" w:sz="4" w:space="0" w:color="auto"/>
                      <w:right w:val="single" w:sz="4" w:space="0" w:color="auto"/>
                    </w:tcBorders>
                    <w:vAlign w:val="center"/>
                  </w:tcPr>
                  <w:p w14:paraId="4990A4EE" w14:textId="77777777" w:rsidR="007E7472" w:rsidRDefault="00EC1269">
                    <w:pPr>
                      <w:autoSpaceDE w:val="0"/>
                      <w:autoSpaceDN w:val="0"/>
                      <w:adjustRightInd w:val="0"/>
                      <w:jc w:val="both"/>
                    </w:pPr>
                    <w:r>
                      <w:rPr>
                        <w:rFonts w:hint="eastAsia"/>
                      </w:rPr>
                      <w:t>其他流动资产</w:t>
                    </w:r>
                  </w:p>
                </w:tc>
                <w:tc>
                  <w:tcPr>
                    <w:tcW w:w="1365" w:type="pct"/>
                    <w:tcBorders>
                      <w:top w:val="single" w:sz="4" w:space="0" w:color="auto"/>
                      <w:left w:val="single" w:sz="4" w:space="0" w:color="auto"/>
                      <w:bottom w:val="single" w:sz="4" w:space="0" w:color="auto"/>
                      <w:right w:val="single" w:sz="4" w:space="0" w:color="auto"/>
                    </w:tcBorders>
                    <w:vAlign w:val="center"/>
                  </w:tcPr>
                  <w:p w14:paraId="4D142C3B" w14:textId="77777777" w:rsidR="007E7472" w:rsidRDefault="00EC1269">
                    <w:pPr>
                      <w:autoSpaceDE w:val="0"/>
                      <w:autoSpaceDN w:val="0"/>
                      <w:adjustRightInd w:val="0"/>
                      <w:jc w:val="both"/>
                    </w:pPr>
                    <w:r>
                      <w:t>控股股东及其控制的公司</w:t>
                    </w:r>
                  </w:p>
                </w:tc>
                <w:tc>
                  <w:tcPr>
                    <w:tcW w:w="723" w:type="pct"/>
                    <w:tcBorders>
                      <w:top w:val="single" w:sz="4" w:space="0" w:color="auto"/>
                      <w:left w:val="single" w:sz="4" w:space="0" w:color="auto"/>
                      <w:bottom w:val="single" w:sz="4" w:space="0" w:color="auto"/>
                      <w:right w:val="single" w:sz="4" w:space="0" w:color="auto"/>
                    </w:tcBorders>
                    <w:vAlign w:val="center"/>
                  </w:tcPr>
                  <w:p w14:paraId="19F1B13F" w14:textId="77777777" w:rsidR="007E7472" w:rsidRDefault="00EC1269">
                    <w:pPr>
                      <w:autoSpaceDE w:val="0"/>
                      <w:autoSpaceDN w:val="0"/>
                      <w:adjustRightInd w:val="0"/>
                      <w:jc w:val="right"/>
                    </w:pPr>
                    <w:r>
                      <w:t>6,974,000</w:t>
                    </w:r>
                  </w:p>
                </w:tc>
                <w:tc>
                  <w:tcPr>
                    <w:tcW w:w="643" w:type="pct"/>
                    <w:tcBorders>
                      <w:top w:val="single" w:sz="4" w:space="0" w:color="auto"/>
                      <w:left w:val="single" w:sz="4" w:space="0" w:color="auto"/>
                      <w:bottom w:val="single" w:sz="4" w:space="0" w:color="auto"/>
                      <w:right w:val="single" w:sz="4" w:space="0" w:color="auto"/>
                    </w:tcBorders>
                    <w:vAlign w:val="center"/>
                  </w:tcPr>
                  <w:p w14:paraId="6829813F" w14:textId="77777777" w:rsidR="007E7472" w:rsidRDefault="00EC1269">
                    <w:pPr>
                      <w:autoSpaceDE w:val="0"/>
                      <w:autoSpaceDN w:val="0"/>
                      <w:adjustRightInd w:val="0"/>
                      <w:jc w:val="right"/>
                    </w:pPr>
                    <w:r>
                      <w:t>174,350</w:t>
                    </w:r>
                  </w:p>
                </w:tc>
                <w:tc>
                  <w:tcPr>
                    <w:tcW w:w="643" w:type="pct"/>
                    <w:tcBorders>
                      <w:top w:val="single" w:sz="4" w:space="0" w:color="auto"/>
                      <w:left w:val="single" w:sz="4" w:space="0" w:color="auto"/>
                      <w:bottom w:val="single" w:sz="4" w:space="0" w:color="auto"/>
                      <w:right w:val="single" w:sz="4" w:space="0" w:color="auto"/>
                    </w:tcBorders>
                    <w:vAlign w:val="center"/>
                  </w:tcPr>
                  <w:p w14:paraId="1B50330B" w14:textId="77777777" w:rsidR="007E7472" w:rsidRDefault="00EC1269">
                    <w:pPr>
                      <w:autoSpaceDE w:val="0"/>
                      <w:autoSpaceDN w:val="0"/>
                      <w:adjustRightInd w:val="0"/>
                      <w:jc w:val="right"/>
                    </w:pPr>
                    <w:r>
                      <w:t>5,345,000</w:t>
                    </w:r>
                  </w:p>
                </w:tc>
                <w:tc>
                  <w:tcPr>
                    <w:tcW w:w="664" w:type="pct"/>
                    <w:tcBorders>
                      <w:top w:val="single" w:sz="4" w:space="0" w:color="auto"/>
                      <w:left w:val="single" w:sz="4" w:space="0" w:color="auto"/>
                      <w:bottom w:val="single" w:sz="4" w:space="0" w:color="auto"/>
                      <w:right w:val="single" w:sz="4" w:space="0" w:color="auto"/>
                    </w:tcBorders>
                    <w:vAlign w:val="center"/>
                  </w:tcPr>
                  <w:p w14:paraId="6EC2E8B6" w14:textId="77777777" w:rsidR="007E7472" w:rsidRDefault="00EC1269">
                    <w:pPr>
                      <w:autoSpaceDE w:val="0"/>
                      <w:autoSpaceDN w:val="0"/>
                      <w:adjustRightInd w:val="0"/>
                      <w:jc w:val="right"/>
                    </w:pPr>
                    <w:r>
                      <w:t>133,625</w:t>
                    </w:r>
                  </w:p>
                </w:tc>
              </w:tr>
            </w:sdtContent>
          </w:sdt>
          <w:sdt>
            <w:sdtPr>
              <w:rPr>
                <w:rFonts w:hint="eastAsia"/>
              </w:rPr>
              <w:alias w:val="上市公司应收关联方款项明细"/>
              <w:tag w:val="_GBC_203fd12dc6be4a978fe2a9d9f5ad1070"/>
              <w:id w:val="2062438987"/>
              <w:lock w:val="sdtLocked"/>
            </w:sdtPr>
            <w:sdtEndPr/>
            <w:sdtContent>
              <w:tr w:rsidR="007E7472" w14:paraId="2CFEA628" w14:textId="77777777">
                <w:tc>
                  <w:tcPr>
                    <w:tcW w:w="961" w:type="pct"/>
                    <w:tcBorders>
                      <w:top w:val="single" w:sz="4" w:space="0" w:color="auto"/>
                      <w:left w:val="single" w:sz="4" w:space="0" w:color="auto"/>
                      <w:bottom w:val="single" w:sz="4" w:space="0" w:color="auto"/>
                      <w:right w:val="single" w:sz="4" w:space="0" w:color="auto"/>
                    </w:tcBorders>
                    <w:vAlign w:val="center"/>
                  </w:tcPr>
                  <w:p w14:paraId="6618A0D9" w14:textId="77777777" w:rsidR="007E7472" w:rsidRDefault="00EC1269">
                    <w:pPr>
                      <w:autoSpaceDE w:val="0"/>
                      <w:autoSpaceDN w:val="0"/>
                      <w:adjustRightInd w:val="0"/>
                      <w:jc w:val="both"/>
                    </w:pPr>
                    <w:r>
                      <w:rPr>
                        <w:rFonts w:hint="eastAsia"/>
                      </w:rPr>
                      <w:t>其他流动资产</w:t>
                    </w:r>
                  </w:p>
                </w:tc>
                <w:tc>
                  <w:tcPr>
                    <w:tcW w:w="1365" w:type="pct"/>
                    <w:tcBorders>
                      <w:top w:val="single" w:sz="4" w:space="0" w:color="auto"/>
                      <w:left w:val="single" w:sz="4" w:space="0" w:color="auto"/>
                      <w:bottom w:val="single" w:sz="4" w:space="0" w:color="auto"/>
                      <w:right w:val="single" w:sz="4" w:space="0" w:color="auto"/>
                    </w:tcBorders>
                    <w:vAlign w:val="center"/>
                  </w:tcPr>
                  <w:p w14:paraId="59DF9C44" w14:textId="77777777" w:rsidR="007E7472" w:rsidRDefault="00EC1269">
                    <w:pPr>
                      <w:autoSpaceDE w:val="0"/>
                      <w:autoSpaceDN w:val="0"/>
                      <w:adjustRightInd w:val="0"/>
                      <w:jc w:val="both"/>
                    </w:pPr>
                    <w:r>
                      <w:t>其他关联方</w:t>
                    </w:r>
                  </w:p>
                </w:tc>
                <w:tc>
                  <w:tcPr>
                    <w:tcW w:w="723" w:type="pct"/>
                    <w:tcBorders>
                      <w:top w:val="single" w:sz="4" w:space="0" w:color="auto"/>
                      <w:left w:val="single" w:sz="4" w:space="0" w:color="auto"/>
                      <w:bottom w:val="single" w:sz="4" w:space="0" w:color="auto"/>
                      <w:right w:val="single" w:sz="4" w:space="0" w:color="auto"/>
                    </w:tcBorders>
                    <w:vAlign w:val="center"/>
                  </w:tcPr>
                  <w:p w14:paraId="727ACB12" w14:textId="77777777" w:rsidR="007E7472" w:rsidRDefault="00EC1269">
                    <w:pPr>
                      <w:autoSpaceDE w:val="0"/>
                      <w:autoSpaceDN w:val="0"/>
                      <w:adjustRightInd w:val="0"/>
                      <w:jc w:val="right"/>
                    </w:pPr>
                    <w:r>
                      <w:t>100,000</w:t>
                    </w:r>
                  </w:p>
                </w:tc>
                <w:tc>
                  <w:tcPr>
                    <w:tcW w:w="643" w:type="pct"/>
                    <w:tcBorders>
                      <w:top w:val="single" w:sz="4" w:space="0" w:color="auto"/>
                      <w:left w:val="single" w:sz="4" w:space="0" w:color="auto"/>
                      <w:bottom w:val="single" w:sz="4" w:space="0" w:color="auto"/>
                      <w:right w:val="single" w:sz="4" w:space="0" w:color="auto"/>
                    </w:tcBorders>
                    <w:vAlign w:val="center"/>
                  </w:tcPr>
                  <w:p w14:paraId="6BCD60BB" w14:textId="77777777" w:rsidR="007E7472" w:rsidRDefault="00EC1269">
                    <w:pPr>
                      <w:autoSpaceDE w:val="0"/>
                      <w:autoSpaceDN w:val="0"/>
                      <w:adjustRightInd w:val="0"/>
                      <w:jc w:val="right"/>
                    </w:pPr>
                    <w:r>
                      <w:t>2,500</w:t>
                    </w:r>
                  </w:p>
                </w:tc>
                <w:tc>
                  <w:tcPr>
                    <w:tcW w:w="643" w:type="pct"/>
                    <w:tcBorders>
                      <w:top w:val="single" w:sz="4" w:space="0" w:color="auto"/>
                      <w:left w:val="single" w:sz="4" w:space="0" w:color="auto"/>
                      <w:bottom w:val="single" w:sz="4" w:space="0" w:color="auto"/>
                      <w:right w:val="single" w:sz="4" w:space="0" w:color="auto"/>
                    </w:tcBorders>
                    <w:vAlign w:val="center"/>
                  </w:tcPr>
                  <w:p w14:paraId="4104D50D" w14:textId="77777777" w:rsidR="007E7472" w:rsidRDefault="00C8327E">
                    <w:pPr>
                      <w:autoSpaceDE w:val="0"/>
                      <w:autoSpaceDN w:val="0"/>
                      <w:adjustRightInd w:val="0"/>
                      <w:jc w:val="right"/>
                    </w:pPr>
                  </w:p>
                </w:tc>
                <w:tc>
                  <w:tcPr>
                    <w:tcW w:w="664" w:type="pct"/>
                    <w:tcBorders>
                      <w:top w:val="single" w:sz="4" w:space="0" w:color="auto"/>
                      <w:left w:val="single" w:sz="4" w:space="0" w:color="auto"/>
                      <w:bottom w:val="single" w:sz="4" w:space="0" w:color="auto"/>
                      <w:right w:val="single" w:sz="4" w:space="0" w:color="auto"/>
                    </w:tcBorders>
                    <w:vAlign w:val="center"/>
                  </w:tcPr>
                  <w:p w14:paraId="716E3BF2" w14:textId="77777777" w:rsidR="007E7472" w:rsidRDefault="00C8327E">
                    <w:pPr>
                      <w:autoSpaceDE w:val="0"/>
                      <w:autoSpaceDN w:val="0"/>
                      <w:adjustRightInd w:val="0"/>
                      <w:jc w:val="right"/>
                    </w:pPr>
                  </w:p>
                </w:tc>
              </w:tr>
            </w:sdtContent>
          </w:sdt>
          <w:sdt>
            <w:sdtPr>
              <w:rPr>
                <w:rFonts w:hint="eastAsia"/>
              </w:rPr>
              <w:alias w:val="上市公司应收关联方款项明细"/>
              <w:tag w:val="_GBC_203fd12dc6be4a978fe2a9d9f5ad1070"/>
              <w:id w:val="1866166943"/>
              <w:lock w:val="sdtLocked"/>
            </w:sdtPr>
            <w:sdtEndPr/>
            <w:sdtContent>
              <w:tr w:rsidR="007E7472" w14:paraId="3DACC57B" w14:textId="77777777">
                <w:tc>
                  <w:tcPr>
                    <w:tcW w:w="961" w:type="pct"/>
                    <w:tcBorders>
                      <w:top w:val="single" w:sz="4" w:space="0" w:color="auto"/>
                      <w:left w:val="single" w:sz="4" w:space="0" w:color="auto"/>
                      <w:bottom w:val="single" w:sz="4" w:space="0" w:color="auto"/>
                      <w:right w:val="single" w:sz="4" w:space="0" w:color="auto"/>
                    </w:tcBorders>
                    <w:vAlign w:val="center"/>
                  </w:tcPr>
                  <w:p w14:paraId="40390E18" w14:textId="77777777" w:rsidR="007E7472" w:rsidRDefault="00EC1269">
                    <w:pPr>
                      <w:autoSpaceDE w:val="0"/>
                      <w:autoSpaceDN w:val="0"/>
                      <w:adjustRightInd w:val="0"/>
                      <w:jc w:val="both"/>
                    </w:pPr>
                    <w:r>
                      <w:rPr>
                        <w:rFonts w:hint="eastAsia"/>
                      </w:rPr>
                      <w:t>长期应收款</w:t>
                    </w:r>
                  </w:p>
                </w:tc>
                <w:tc>
                  <w:tcPr>
                    <w:tcW w:w="1365" w:type="pct"/>
                    <w:tcBorders>
                      <w:top w:val="single" w:sz="4" w:space="0" w:color="auto"/>
                      <w:left w:val="single" w:sz="4" w:space="0" w:color="auto"/>
                      <w:bottom w:val="single" w:sz="4" w:space="0" w:color="auto"/>
                      <w:right w:val="single" w:sz="4" w:space="0" w:color="auto"/>
                    </w:tcBorders>
                    <w:vAlign w:val="center"/>
                  </w:tcPr>
                  <w:p w14:paraId="67DE8615" w14:textId="77777777" w:rsidR="007E7472" w:rsidRDefault="00EC1269">
                    <w:pPr>
                      <w:autoSpaceDE w:val="0"/>
                      <w:autoSpaceDN w:val="0"/>
                      <w:adjustRightInd w:val="0"/>
                      <w:jc w:val="both"/>
                    </w:pPr>
                    <w:r>
                      <w:t>控股股东及其控制的公司</w:t>
                    </w:r>
                  </w:p>
                </w:tc>
                <w:tc>
                  <w:tcPr>
                    <w:tcW w:w="723" w:type="pct"/>
                    <w:tcBorders>
                      <w:top w:val="single" w:sz="4" w:space="0" w:color="auto"/>
                      <w:left w:val="single" w:sz="4" w:space="0" w:color="auto"/>
                      <w:bottom w:val="single" w:sz="4" w:space="0" w:color="auto"/>
                      <w:right w:val="single" w:sz="4" w:space="0" w:color="auto"/>
                    </w:tcBorders>
                    <w:vAlign w:val="center"/>
                  </w:tcPr>
                  <w:p w14:paraId="5ECACBE3" w14:textId="77777777" w:rsidR="007E7472" w:rsidRDefault="00EC1269">
                    <w:pPr>
                      <w:autoSpaceDE w:val="0"/>
                      <w:autoSpaceDN w:val="0"/>
                      <w:adjustRightInd w:val="0"/>
                      <w:jc w:val="right"/>
                    </w:pPr>
                    <w:r>
                      <w:t>271</w:t>
                    </w:r>
                  </w:p>
                </w:tc>
                <w:tc>
                  <w:tcPr>
                    <w:tcW w:w="643" w:type="pct"/>
                    <w:tcBorders>
                      <w:top w:val="single" w:sz="4" w:space="0" w:color="auto"/>
                      <w:left w:val="single" w:sz="4" w:space="0" w:color="auto"/>
                      <w:bottom w:val="single" w:sz="4" w:space="0" w:color="auto"/>
                      <w:right w:val="single" w:sz="4" w:space="0" w:color="auto"/>
                    </w:tcBorders>
                    <w:vAlign w:val="center"/>
                  </w:tcPr>
                  <w:p w14:paraId="24FCB1C3" w14:textId="77777777" w:rsidR="007E7472" w:rsidRDefault="00C8327E">
                    <w:pPr>
                      <w:autoSpaceDE w:val="0"/>
                      <w:autoSpaceDN w:val="0"/>
                      <w:adjustRightInd w:val="0"/>
                      <w:jc w:val="right"/>
                    </w:pPr>
                  </w:p>
                </w:tc>
                <w:tc>
                  <w:tcPr>
                    <w:tcW w:w="643" w:type="pct"/>
                    <w:tcBorders>
                      <w:top w:val="single" w:sz="4" w:space="0" w:color="auto"/>
                      <w:left w:val="single" w:sz="4" w:space="0" w:color="auto"/>
                      <w:bottom w:val="single" w:sz="4" w:space="0" w:color="auto"/>
                      <w:right w:val="single" w:sz="4" w:space="0" w:color="auto"/>
                    </w:tcBorders>
                    <w:vAlign w:val="center"/>
                  </w:tcPr>
                  <w:p w14:paraId="0D3C47B5" w14:textId="77777777" w:rsidR="007E7472" w:rsidRDefault="00EC1269">
                    <w:pPr>
                      <w:autoSpaceDE w:val="0"/>
                      <w:autoSpaceDN w:val="0"/>
                      <w:adjustRightInd w:val="0"/>
                      <w:jc w:val="right"/>
                    </w:pPr>
                    <w:r>
                      <w:t>443</w:t>
                    </w:r>
                  </w:p>
                </w:tc>
                <w:tc>
                  <w:tcPr>
                    <w:tcW w:w="664" w:type="pct"/>
                    <w:tcBorders>
                      <w:top w:val="single" w:sz="4" w:space="0" w:color="auto"/>
                      <w:left w:val="single" w:sz="4" w:space="0" w:color="auto"/>
                      <w:bottom w:val="single" w:sz="4" w:space="0" w:color="auto"/>
                      <w:right w:val="single" w:sz="4" w:space="0" w:color="auto"/>
                    </w:tcBorders>
                    <w:vAlign w:val="center"/>
                  </w:tcPr>
                  <w:p w14:paraId="5C979144" w14:textId="77777777" w:rsidR="007E7472" w:rsidRDefault="00C8327E">
                    <w:pPr>
                      <w:autoSpaceDE w:val="0"/>
                      <w:autoSpaceDN w:val="0"/>
                      <w:adjustRightInd w:val="0"/>
                      <w:jc w:val="right"/>
                    </w:pPr>
                  </w:p>
                </w:tc>
              </w:tr>
            </w:sdtContent>
          </w:sdt>
          <w:sdt>
            <w:sdtPr>
              <w:rPr>
                <w:rFonts w:hint="eastAsia"/>
              </w:rPr>
              <w:alias w:val="上市公司应收关联方款项明细"/>
              <w:tag w:val="_GBC_203fd12dc6be4a978fe2a9d9f5ad1070"/>
              <w:id w:val="-2060381641"/>
              <w:lock w:val="sdtLocked"/>
            </w:sdtPr>
            <w:sdtEndPr/>
            <w:sdtContent>
              <w:tr w:rsidR="007E7472" w14:paraId="47A2C495" w14:textId="77777777">
                <w:tc>
                  <w:tcPr>
                    <w:tcW w:w="961" w:type="pct"/>
                    <w:tcBorders>
                      <w:top w:val="single" w:sz="4" w:space="0" w:color="auto"/>
                      <w:left w:val="single" w:sz="4" w:space="0" w:color="auto"/>
                      <w:bottom w:val="single" w:sz="4" w:space="0" w:color="auto"/>
                      <w:right w:val="single" w:sz="4" w:space="0" w:color="auto"/>
                    </w:tcBorders>
                    <w:vAlign w:val="center"/>
                  </w:tcPr>
                  <w:p w14:paraId="2820C91D" w14:textId="77777777" w:rsidR="007E7472" w:rsidRDefault="00EC1269">
                    <w:pPr>
                      <w:autoSpaceDE w:val="0"/>
                      <w:autoSpaceDN w:val="0"/>
                      <w:adjustRightInd w:val="0"/>
                      <w:jc w:val="both"/>
                    </w:pPr>
                    <w:r>
                      <w:rPr>
                        <w:rFonts w:hint="eastAsia"/>
                      </w:rPr>
                      <w:t>长期应收款</w:t>
                    </w:r>
                  </w:p>
                </w:tc>
                <w:tc>
                  <w:tcPr>
                    <w:tcW w:w="1365" w:type="pct"/>
                    <w:tcBorders>
                      <w:top w:val="single" w:sz="4" w:space="0" w:color="auto"/>
                      <w:left w:val="single" w:sz="4" w:space="0" w:color="auto"/>
                      <w:bottom w:val="single" w:sz="4" w:space="0" w:color="auto"/>
                      <w:right w:val="single" w:sz="4" w:space="0" w:color="auto"/>
                    </w:tcBorders>
                    <w:vAlign w:val="center"/>
                  </w:tcPr>
                  <w:p w14:paraId="0CD037AD" w14:textId="77777777" w:rsidR="007E7472" w:rsidRDefault="00EC1269">
                    <w:pPr>
                      <w:autoSpaceDE w:val="0"/>
                      <w:autoSpaceDN w:val="0"/>
                      <w:adjustRightInd w:val="0"/>
                      <w:jc w:val="both"/>
                    </w:pPr>
                    <w:r>
                      <w:t>联营企业</w:t>
                    </w:r>
                  </w:p>
                </w:tc>
                <w:tc>
                  <w:tcPr>
                    <w:tcW w:w="723" w:type="pct"/>
                    <w:tcBorders>
                      <w:top w:val="single" w:sz="4" w:space="0" w:color="auto"/>
                      <w:left w:val="single" w:sz="4" w:space="0" w:color="auto"/>
                      <w:bottom w:val="single" w:sz="4" w:space="0" w:color="auto"/>
                      <w:right w:val="single" w:sz="4" w:space="0" w:color="auto"/>
                    </w:tcBorders>
                    <w:vAlign w:val="center"/>
                  </w:tcPr>
                  <w:p w14:paraId="2AF4AF08" w14:textId="77777777" w:rsidR="007E7472" w:rsidRDefault="00EC1269">
                    <w:pPr>
                      <w:autoSpaceDE w:val="0"/>
                      <w:autoSpaceDN w:val="0"/>
                      <w:adjustRightInd w:val="0"/>
                      <w:jc w:val="right"/>
                    </w:pPr>
                    <w:r>
                      <w:t>645,647</w:t>
                    </w:r>
                  </w:p>
                </w:tc>
                <w:tc>
                  <w:tcPr>
                    <w:tcW w:w="643" w:type="pct"/>
                    <w:tcBorders>
                      <w:top w:val="single" w:sz="4" w:space="0" w:color="auto"/>
                      <w:left w:val="single" w:sz="4" w:space="0" w:color="auto"/>
                      <w:bottom w:val="single" w:sz="4" w:space="0" w:color="auto"/>
                      <w:right w:val="single" w:sz="4" w:space="0" w:color="auto"/>
                    </w:tcBorders>
                    <w:vAlign w:val="center"/>
                  </w:tcPr>
                  <w:p w14:paraId="07EB8ED1" w14:textId="77777777" w:rsidR="007E7472" w:rsidRDefault="00C8327E">
                    <w:pPr>
                      <w:autoSpaceDE w:val="0"/>
                      <w:autoSpaceDN w:val="0"/>
                      <w:adjustRightInd w:val="0"/>
                      <w:jc w:val="right"/>
                    </w:pPr>
                  </w:p>
                </w:tc>
                <w:tc>
                  <w:tcPr>
                    <w:tcW w:w="643" w:type="pct"/>
                    <w:tcBorders>
                      <w:top w:val="single" w:sz="4" w:space="0" w:color="auto"/>
                      <w:left w:val="single" w:sz="4" w:space="0" w:color="auto"/>
                      <w:bottom w:val="single" w:sz="4" w:space="0" w:color="auto"/>
                      <w:right w:val="single" w:sz="4" w:space="0" w:color="auto"/>
                    </w:tcBorders>
                    <w:vAlign w:val="center"/>
                  </w:tcPr>
                  <w:p w14:paraId="72D29149" w14:textId="77777777" w:rsidR="007E7472" w:rsidRDefault="00C8327E">
                    <w:pPr>
                      <w:autoSpaceDE w:val="0"/>
                      <w:autoSpaceDN w:val="0"/>
                      <w:adjustRightInd w:val="0"/>
                      <w:jc w:val="right"/>
                    </w:pPr>
                  </w:p>
                </w:tc>
                <w:tc>
                  <w:tcPr>
                    <w:tcW w:w="664" w:type="pct"/>
                    <w:tcBorders>
                      <w:top w:val="single" w:sz="4" w:space="0" w:color="auto"/>
                      <w:left w:val="single" w:sz="4" w:space="0" w:color="auto"/>
                      <w:bottom w:val="single" w:sz="4" w:space="0" w:color="auto"/>
                      <w:right w:val="single" w:sz="4" w:space="0" w:color="auto"/>
                    </w:tcBorders>
                    <w:vAlign w:val="center"/>
                  </w:tcPr>
                  <w:p w14:paraId="131C818D" w14:textId="77777777" w:rsidR="007E7472" w:rsidRDefault="00C8327E">
                    <w:pPr>
                      <w:autoSpaceDE w:val="0"/>
                      <w:autoSpaceDN w:val="0"/>
                      <w:adjustRightInd w:val="0"/>
                      <w:jc w:val="right"/>
                    </w:pPr>
                  </w:p>
                </w:tc>
              </w:tr>
            </w:sdtContent>
          </w:sdt>
          <w:sdt>
            <w:sdtPr>
              <w:rPr>
                <w:rFonts w:hint="eastAsia"/>
              </w:rPr>
              <w:alias w:val="上市公司应收关联方款项明细"/>
              <w:tag w:val="_GBC_203fd12dc6be4a978fe2a9d9f5ad1070"/>
              <w:id w:val="548265860"/>
              <w:lock w:val="sdtLocked"/>
            </w:sdtPr>
            <w:sdtEndPr/>
            <w:sdtContent>
              <w:tr w:rsidR="007E7472" w14:paraId="45568079" w14:textId="77777777">
                <w:tc>
                  <w:tcPr>
                    <w:tcW w:w="961" w:type="pct"/>
                    <w:tcBorders>
                      <w:top w:val="single" w:sz="4" w:space="0" w:color="auto"/>
                      <w:left w:val="single" w:sz="4" w:space="0" w:color="auto"/>
                      <w:bottom w:val="single" w:sz="4" w:space="0" w:color="auto"/>
                      <w:right w:val="single" w:sz="4" w:space="0" w:color="auto"/>
                    </w:tcBorders>
                    <w:vAlign w:val="center"/>
                  </w:tcPr>
                  <w:p w14:paraId="4A5C511C" w14:textId="77777777" w:rsidR="007E7472" w:rsidRDefault="00EC1269">
                    <w:pPr>
                      <w:autoSpaceDE w:val="0"/>
                      <w:autoSpaceDN w:val="0"/>
                      <w:adjustRightInd w:val="0"/>
                      <w:jc w:val="both"/>
                    </w:pPr>
                    <w:r>
                      <w:rPr>
                        <w:rFonts w:hint="eastAsia"/>
                      </w:rPr>
                      <w:t>一年内到期的非流动资产</w:t>
                    </w:r>
                  </w:p>
                </w:tc>
                <w:tc>
                  <w:tcPr>
                    <w:tcW w:w="1365" w:type="pct"/>
                    <w:tcBorders>
                      <w:top w:val="single" w:sz="4" w:space="0" w:color="auto"/>
                      <w:left w:val="single" w:sz="4" w:space="0" w:color="auto"/>
                      <w:bottom w:val="single" w:sz="4" w:space="0" w:color="auto"/>
                      <w:right w:val="single" w:sz="4" w:space="0" w:color="auto"/>
                    </w:tcBorders>
                    <w:vAlign w:val="center"/>
                  </w:tcPr>
                  <w:p w14:paraId="52A075DD" w14:textId="77777777" w:rsidR="007E7472" w:rsidRDefault="00EC1269">
                    <w:pPr>
                      <w:autoSpaceDE w:val="0"/>
                      <w:autoSpaceDN w:val="0"/>
                      <w:adjustRightInd w:val="0"/>
                      <w:jc w:val="both"/>
                    </w:pPr>
                    <w:r>
                      <w:t>控股股东及其控制的公司</w:t>
                    </w:r>
                  </w:p>
                </w:tc>
                <w:tc>
                  <w:tcPr>
                    <w:tcW w:w="723" w:type="pct"/>
                    <w:tcBorders>
                      <w:top w:val="single" w:sz="4" w:space="0" w:color="auto"/>
                      <w:left w:val="single" w:sz="4" w:space="0" w:color="auto"/>
                      <w:bottom w:val="single" w:sz="4" w:space="0" w:color="auto"/>
                      <w:right w:val="single" w:sz="4" w:space="0" w:color="auto"/>
                    </w:tcBorders>
                    <w:vAlign w:val="center"/>
                  </w:tcPr>
                  <w:p w14:paraId="70D67F31" w14:textId="77777777" w:rsidR="007E7472" w:rsidRDefault="00C8327E">
                    <w:pPr>
                      <w:autoSpaceDE w:val="0"/>
                      <w:autoSpaceDN w:val="0"/>
                      <w:adjustRightInd w:val="0"/>
                      <w:jc w:val="right"/>
                    </w:pPr>
                  </w:p>
                </w:tc>
                <w:tc>
                  <w:tcPr>
                    <w:tcW w:w="643" w:type="pct"/>
                    <w:tcBorders>
                      <w:top w:val="single" w:sz="4" w:space="0" w:color="auto"/>
                      <w:left w:val="single" w:sz="4" w:space="0" w:color="auto"/>
                      <w:bottom w:val="single" w:sz="4" w:space="0" w:color="auto"/>
                      <w:right w:val="single" w:sz="4" w:space="0" w:color="auto"/>
                    </w:tcBorders>
                    <w:vAlign w:val="center"/>
                  </w:tcPr>
                  <w:p w14:paraId="6FDA67D2" w14:textId="77777777" w:rsidR="007E7472" w:rsidRDefault="00C8327E">
                    <w:pPr>
                      <w:autoSpaceDE w:val="0"/>
                      <w:autoSpaceDN w:val="0"/>
                      <w:adjustRightInd w:val="0"/>
                      <w:jc w:val="right"/>
                    </w:pPr>
                  </w:p>
                </w:tc>
                <w:tc>
                  <w:tcPr>
                    <w:tcW w:w="643" w:type="pct"/>
                    <w:tcBorders>
                      <w:top w:val="single" w:sz="4" w:space="0" w:color="auto"/>
                      <w:left w:val="single" w:sz="4" w:space="0" w:color="auto"/>
                      <w:bottom w:val="single" w:sz="4" w:space="0" w:color="auto"/>
                      <w:right w:val="single" w:sz="4" w:space="0" w:color="auto"/>
                    </w:tcBorders>
                    <w:vAlign w:val="center"/>
                  </w:tcPr>
                  <w:p w14:paraId="28CDC838" w14:textId="77777777" w:rsidR="007E7472" w:rsidRDefault="00EC1269">
                    <w:pPr>
                      <w:autoSpaceDE w:val="0"/>
                      <w:autoSpaceDN w:val="0"/>
                      <w:adjustRightInd w:val="0"/>
                      <w:jc w:val="right"/>
                    </w:pPr>
                    <w:r>
                      <w:t>2,000,000</w:t>
                    </w:r>
                  </w:p>
                </w:tc>
                <w:tc>
                  <w:tcPr>
                    <w:tcW w:w="664" w:type="pct"/>
                    <w:tcBorders>
                      <w:top w:val="single" w:sz="4" w:space="0" w:color="auto"/>
                      <w:left w:val="single" w:sz="4" w:space="0" w:color="auto"/>
                      <w:bottom w:val="single" w:sz="4" w:space="0" w:color="auto"/>
                      <w:right w:val="single" w:sz="4" w:space="0" w:color="auto"/>
                    </w:tcBorders>
                    <w:vAlign w:val="center"/>
                  </w:tcPr>
                  <w:p w14:paraId="7986D997" w14:textId="77777777" w:rsidR="007E7472" w:rsidRDefault="00EC1269">
                    <w:pPr>
                      <w:autoSpaceDE w:val="0"/>
                      <w:autoSpaceDN w:val="0"/>
                      <w:adjustRightInd w:val="0"/>
                      <w:jc w:val="right"/>
                    </w:pPr>
                    <w:r>
                      <w:t>50,000</w:t>
                    </w:r>
                  </w:p>
                </w:tc>
              </w:tr>
            </w:sdtContent>
          </w:sdt>
          <w:sdt>
            <w:sdtPr>
              <w:rPr>
                <w:rFonts w:hint="eastAsia"/>
              </w:rPr>
              <w:alias w:val="上市公司应收关联方款项明细"/>
              <w:tag w:val="_GBC_203fd12dc6be4a978fe2a9d9f5ad1070"/>
              <w:id w:val="999700503"/>
              <w:lock w:val="sdtLocked"/>
              <w:placeholder>
                <w:docPart w:val="GBC11111111111111111111111111111"/>
              </w:placeholder>
            </w:sdtPr>
            <w:sdtEndPr/>
            <w:sdtContent>
              <w:tr w:rsidR="007E7472" w14:paraId="5EA2E268" w14:textId="77777777">
                <w:tc>
                  <w:tcPr>
                    <w:tcW w:w="961" w:type="pct"/>
                    <w:tcBorders>
                      <w:top w:val="single" w:sz="4" w:space="0" w:color="auto"/>
                      <w:left w:val="single" w:sz="4" w:space="0" w:color="auto"/>
                      <w:bottom w:val="single" w:sz="4" w:space="0" w:color="auto"/>
                      <w:right w:val="single" w:sz="4" w:space="0" w:color="auto"/>
                    </w:tcBorders>
                    <w:vAlign w:val="center"/>
                  </w:tcPr>
                  <w:p w14:paraId="228B7D4C" w14:textId="77777777" w:rsidR="007E7472" w:rsidRDefault="00EC1269">
                    <w:pPr>
                      <w:autoSpaceDE w:val="0"/>
                      <w:autoSpaceDN w:val="0"/>
                      <w:adjustRightInd w:val="0"/>
                      <w:jc w:val="both"/>
                    </w:pPr>
                    <w:r>
                      <w:rPr>
                        <w:rFonts w:hint="eastAsia"/>
                      </w:rPr>
                      <w:t>其他非流动资产</w:t>
                    </w:r>
                  </w:p>
                </w:tc>
                <w:tc>
                  <w:tcPr>
                    <w:tcW w:w="1365" w:type="pct"/>
                    <w:tcBorders>
                      <w:top w:val="single" w:sz="4" w:space="0" w:color="auto"/>
                      <w:left w:val="single" w:sz="4" w:space="0" w:color="auto"/>
                      <w:bottom w:val="single" w:sz="4" w:space="0" w:color="auto"/>
                      <w:right w:val="single" w:sz="4" w:space="0" w:color="auto"/>
                    </w:tcBorders>
                    <w:vAlign w:val="center"/>
                  </w:tcPr>
                  <w:p w14:paraId="5C529031" w14:textId="77777777" w:rsidR="007E7472" w:rsidRDefault="00EC1269">
                    <w:pPr>
                      <w:autoSpaceDE w:val="0"/>
                      <w:autoSpaceDN w:val="0"/>
                      <w:adjustRightInd w:val="0"/>
                      <w:jc w:val="both"/>
                    </w:pPr>
                    <w:r>
                      <w:t>控股股东及其控制的公司</w:t>
                    </w:r>
                  </w:p>
                </w:tc>
                <w:tc>
                  <w:tcPr>
                    <w:tcW w:w="723" w:type="pct"/>
                    <w:tcBorders>
                      <w:top w:val="single" w:sz="4" w:space="0" w:color="auto"/>
                      <w:left w:val="single" w:sz="4" w:space="0" w:color="auto"/>
                      <w:bottom w:val="single" w:sz="4" w:space="0" w:color="auto"/>
                      <w:right w:val="single" w:sz="4" w:space="0" w:color="auto"/>
                    </w:tcBorders>
                    <w:vAlign w:val="center"/>
                  </w:tcPr>
                  <w:p w14:paraId="6672A1DB" w14:textId="77777777" w:rsidR="007E7472" w:rsidRDefault="00C8327E">
                    <w:pPr>
                      <w:autoSpaceDE w:val="0"/>
                      <w:autoSpaceDN w:val="0"/>
                      <w:adjustRightInd w:val="0"/>
                      <w:jc w:val="right"/>
                    </w:pPr>
                  </w:p>
                </w:tc>
                <w:tc>
                  <w:tcPr>
                    <w:tcW w:w="643" w:type="pct"/>
                    <w:tcBorders>
                      <w:top w:val="single" w:sz="4" w:space="0" w:color="auto"/>
                      <w:left w:val="single" w:sz="4" w:space="0" w:color="auto"/>
                      <w:bottom w:val="single" w:sz="4" w:space="0" w:color="auto"/>
                      <w:right w:val="single" w:sz="4" w:space="0" w:color="auto"/>
                    </w:tcBorders>
                    <w:vAlign w:val="center"/>
                  </w:tcPr>
                  <w:p w14:paraId="56B84AA4" w14:textId="77777777" w:rsidR="007E7472" w:rsidRDefault="00C8327E">
                    <w:pPr>
                      <w:autoSpaceDE w:val="0"/>
                      <w:autoSpaceDN w:val="0"/>
                      <w:adjustRightInd w:val="0"/>
                      <w:jc w:val="right"/>
                    </w:pPr>
                  </w:p>
                </w:tc>
                <w:tc>
                  <w:tcPr>
                    <w:tcW w:w="643" w:type="pct"/>
                    <w:tcBorders>
                      <w:top w:val="single" w:sz="4" w:space="0" w:color="auto"/>
                      <w:left w:val="single" w:sz="4" w:space="0" w:color="auto"/>
                      <w:bottom w:val="single" w:sz="4" w:space="0" w:color="auto"/>
                      <w:right w:val="single" w:sz="4" w:space="0" w:color="auto"/>
                    </w:tcBorders>
                    <w:vAlign w:val="center"/>
                  </w:tcPr>
                  <w:p w14:paraId="7714479F" w14:textId="77777777" w:rsidR="007E7472" w:rsidRDefault="00EC1269">
                    <w:pPr>
                      <w:autoSpaceDE w:val="0"/>
                      <w:autoSpaceDN w:val="0"/>
                      <w:adjustRightInd w:val="0"/>
                      <w:jc w:val="right"/>
                    </w:pPr>
                    <w:r>
                      <w:t>93,033</w:t>
                    </w:r>
                  </w:p>
                </w:tc>
                <w:tc>
                  <w:tcPr>
                    <w:tcW w:w="664" w:type="pct"/>
                    <w:tcBorders>
                      <w:top w:val="single" w:sz="4" w:space="0" w:color="auto"/>
                      <w:left w:val="single" w:sz="4" w:space="0" w:color="auto"/>
                      <w:bottom w:val="single" w:sz="4" w:space="0" w:color="auto"/>
                      <w:right w:val="single" w:sz="4" w:space="0" w:color="auto"/>
                    </w:tcBorders>
                    <w:vAlign w:val="center"/>
                  </w:tcPr>
                  <w:p w14:paraId="600C9AFE" w14:textId="77777777" w:rsidR="007E7472" w:rsidRDefault="00C8327E">
                    <w:pPr>
                      <w:autoSpaceDE w:val="0"/>
                      <w:autoSpaceDN w:val="0"/>
                      <w:adjustRightInd w:val="0"/>
                      <w:jc w:val="right"/>
                    </w:pPr>
                  </w:p>
                </w:tc>
              </w:tr>
            </w:sdtContent>
          </w:sdt>
          <w:sdt>
            <w:sdtPr>
              <w:rPr>
                <w:rFonts w:hint="eastAsia"/>
              </w:rPr>
              <w:alias w:val="上市公司应收关联方款项明细"/>
              <w:tag w:val="_GBC_203fd12dc6be4a978fe2a9d9f5ad1070"/>
              <w:id w:val="207459339"/>
              <w:lock w:val="sdtLocked"/>
            </w:sdtPr>
            <w:sdtEndPr/>
            <w:sdtContent>
              <w:tr w:rsidR="007E7472" w14:paraId="33DDEC54" w14:textId="77777777">
                <w:tc>
                  <w:tcPr>
                    <w:tcW w:w="961" w:type="pct"/>
                    <w:tcBorders>
                      <w:top w:val="single" w:sz="4" w:space="0" w:color="auto"/>
                      <w:left w:val="single" w:sz="4" w:space="0" w:color="auto"/>
                      <w:bottom w:val="single" w:sz="4" w:space="0" w:color="auto"/>
                      <w:right w:val="single" w:sz="4" w:space="0" w:color="auto"/>
                    </w:tcBorders>
                    <w:vAlign w:val="center"/>
                  </w:tcPr>
                  <w:p w14:paraId="29D48B58" w14:textId="77777777" w:rsidR="007E7472" w:rsidRDefault="00EC1269">
                    <w:pPr>
                      <w:autoSpaceDE w:val="0"/>
                      <w:autoSpaceDN w:val="0"/>
                      <w:adjustRightInd w:val="0"/>
                    </w:pPr>
                    <w:r>
                      <w:rPr>
                        <w:rFonts w:hint="eastAsia"/>
                      </w:rPr>
                      <w:t>合计</w:t>
                    </w:r>
                  </w:p>
                </w:tc>
                <w:tc>
                  <w:tcPr>
                    <w:tcW w:w="1365" w:type="pct"/>
                    <w:tcBorders>
                      <w:top w:val="single" w:sz="4" w:space="0" w:color="auto"/>
                      <w:left w:val="single" w:sz="4" w:space="0" w:color="auto"/>
                      <w:bottom w:val="single" w:sz="4" w:space="0" w:color="auto"/>
                      <w:right w:val="single" w:sz="4" w:space="0" w:color="auto"/>
                    </w:tcBorders>
                  </w:tcPr>
                  <w:p w14:paraId="59F28775" w14:textId="77777777" w:rsidR="007E7472" w:rsidRDefault="00EC1269">
                    <w:pPr>
                      <w:autoSpaceDE w:val="0"/>
                      <w:autoSpaceDN w:val="0"/>
                      <w:adjustRightInd w:val="0"/>
                      <w:jc w:val="center"/>
                    </w:pPr>
                    <w:r>
                      <w:rPr>
                        <w:rFonts w:hint="eastAsia"/>
                      </w:rPr>
                      <w:t>—</w:t>
                    </w:r>
                  </w:p>
                </w:tc>
                <w:tc>
                  <w:tcPr>
                    <w:tcW w:w="723" w:type="pct"/>
                    <w:tcBorders>
                      <w:top w:val="single" w:sz="4" w:space="0" w:color="auto"/>
                      <w:left w:val="single" w:sz="4" w:space="0" w:color="auto"/>
                      <w:bottom w:val="single" w:sz="4" w:space="0" w:color="auto"/>
                      <w:right w:val="single" w:sz="4" w:space="0" w:color="auto"/>
                    </w:tcBorders>
                  </w:tcPr>
                  <w:p w14:paraId="48438133" w14:textId="77777777" w:rsidR="007E7472" w:rsidRDefault="00EC1269">
                    <w:pPr>
                      <w:autoSpaceDE w:val="0"/>
                      <w:autoSpaceDN w:val="0"/>
                      <w:adjustRightInd w:val="0"/>
                      <w:jc w:val="right"/>
                    </w:pPr>
                    <w:r>
                      <w:t>10,018,737</w:t>
                    </w:r>
                  </w:p>
                </w:tc>
                <w:tc>
                  <w:tcPr>
                    <w:tcW w:w="643" w:type="pct"/>
                    <w:tcBorders>
                      <w:top w:val="single" w:sz="4" w:space="0" w:color="auto"/>
                      <w:left w:val="single" w:sz="4" w:space="0" w:color="auto"/>
                      <w:bottom w:val="single" w:sz="4" w:space="0" w:color="auto"/>
                      <w:right w:val="single" w:sz="4" w:space="0" w:color="auto"/>
                    </w:tcBorders>
                  </w:tcPr>
                  <w:p w14:paraId="60C0585E" w14:textId="77777777" w:rsidR="007E7472" w:rsidRDefault="00EC1269">
                    <w:pPr>
                      <w:autoSpaceDE w:val="0"/>
                      <w:autoSpaceDN w:val="0"/>
                      <w:adjustRightInd w:val="0"/>
                      <w:jc w:val="right"/>
                    </w:pPr>
                    <w:r>
                      <w:t>286,994</w:t>
                    </w:r>
                  </w:p>
                </w:tc>
                <w:tc>
                  <w:tcPr>
                    <w:tcW w:w="643" w:type="pct"/>
                    <w:tcBorders>
                      <w:top w:val="single" w:sz="4" w:space="0" w:color="auto"/>
                      <w:left w:val="single" w:sz="4" w:space="0" w:color="auto"/>
                      <w:bottom w:val="single" w:sz="4" w:space="0" w:color="auto"/>
                      <w:right w:val="single" w:sz="4" w:space="0" w:color="auto"/>
                    </w:tcBorders>
                  </w:tcPr>
                  <w:p w14:paraId="4E0AFBFE" w14:textId="77777777" w:rsidR="007E7472" w:rsidRDefault="00EC1269">
                    <w:pPr>
                      <w:autoSpaceDE w:val="0"/>
                      <w:autoSpaceDN w:val="0"/>
                      <w:adjustRightInd w:val="0"/>
                      <w:jc w:val="right"/>
                    </w:pPr>
                    <w:r>
                      <w:t>9,343,828</w:t>
                    </w:r>
                  </w:p>
                </w:tc>
                <w:tc>
                  <w:tcPr>
                    <w:tcW w:w="664" w:type="pct"/>
                    <w:tcBorders>
                      <w:top w:val="single" w:sz="4" w:space="0" w:color="auto"/>
                      <w:left w:val="single" w:sz="4" w:space="0" w:color="auto"/>
                      <w:bottom w:val="single" w:sz="4" w:space="0" w:color="auto"/>
                      <w:right w:val="single" w:sz="4" w:space="0" w:color="auto"/>
                    </w:tcBorders>
                  </w:tcPr>
                  <w:p w14:paraId="1672240E" w14:textId="77777777" w:rsidR="007E7472" w:rsidRDefault="00EC1269">
                    <w:pPr>
                      <w:autoSpaceDE w:val="0"/>
                      <w:autoSpaceDN w:val="0"/>
                      <w:adjustRightInd w:val="0"/>
                      <w:jc w:val="right"/>
                    </w:pPr>
                    <w:r>
                      <w:t>312,785</w:t>
                    </w:r>
                  </w:p>
                </w:tc>
              </w:tr>
            </w:sdtContent>
          </w:sdt>
        </w:tbl>
        <w:p w14:paraId="63C011AE" w14:textId="77777777" w:rsidR="007E7472" w:rsidRDefault="00C8327E"/>
      </w:sdtContent>
    </w:sdt>
    <w:sdt>
      <w:sdtPr>
        <w:rPr>
          <w:rFonts w:ascii="宋体" w:hAnsi="宋体" w:cs="宋体" w:hint="eastAsia"/>
          <w:b w:val="0"/>
          <w:bCs w:val="0"/>
          <w:kern w:val="0"/>
          <w:sz w:val="20"/>
          <w:szCs w:val="24"/>
        </w:rPr>
        <w:alias w:val="模块:上市公司应付关联方款项"/>
        <w:tag w:val="_GBC_e7a5511f50dd4f05a897cdfaeac4023f"/>
        <w:id w:val="-1378702714"/>
        <w:lock w:val="sdtLocked"/>
        <w:placeholder>
          <w:docPart w:val="GBC22222222222222222222222222222"/>
        </w:placeholder>
      </w:sdtPr>
      <w:sdtEndPr>
        <w:rPr>
          <w:rFonts w:cstheme="minorBidi"/>
          <w:szCs w:val="21"/>
        </w:rPr>
      </w:sdtEndPr>
      <w:sdtContent>
        <w:p w14:paraId="5A731EC5" w14:textId="77777777" w:rsidR="007E7472" w:rsidRDefault="00EC1269" w:rsidP="00162493">
          <w:pPr>
            <w:pStyle w:val="4"/>
            <w:numPr>
              <w:ilvl w:val="0"/>
              <w:numId w:val="109"/>
            </w:numPr>
          </w:pPr>
          <w:r>
            <w:rPr>
              <w:rFonts w:hint="eastAsia"/>
            </w:rPr>
            <w:t>应付项目</w:t>
          </w:r>
        </w:p>
        <w:p w14:paraId="0D704E40" w14:textId="77777777" w:rsidR="007E7472" w:rsidRDefault="00C8327E">
          <w:sdt>
            <w:sdtPr>
              <w:rPr>
                <w:rFonts w:hint="eastAsia"/>
              </w:rPr>
              <w:alias w:val="是否适用：应付项目[双击切换]"/>
              <w:tag w:val="_GBC_9dbefb51b716471b878d2e2863524a53"/>
              <w:id w:val="-747578074"/>
              <w:lock w:val="sdtLocked"/>
              <w:placeholder>
                <w:docPart w:val="GBC22222222222222222222222222222"/>
              </w:placeholder>
            </w:sdtPr>
            <w:sdtEndPr/>
            <w:sdtContent>
              <w:r w:rsidR="00EC1269">
                <w:fldChar w:fldCharType="begin"/>
              </w:r>
              <w:r w:rsidR="00EC1269">
                <w:instrText xml:space="preserve"> MACROBUTTON  SnrToggleCheckbox √适用 </w:instrText>
              </w:r>
              <w:r w:rsidR="00EC1269">
                <w:fldChar w:fldCharType="end"/>
              </w:r>
              <w:r w:rsidR="00EC1269">
                <w:fldChar w:fldCharType="begin"/>
              </w:r>
              <w:r w:rsidR="00EC1269">
                <w:instrText xml:space="preserve"> MACROBUTTON  SnrToggleCheckbox □不适用 </w:instrText>
              </w:r>
              <w:r w:rsidR="00EC1269">
                <w:fldChar w:fldCharType="end"/>
              </w:r>
            </w:sdtContent>
          </w:sdt>
        </w:p>
        <w:p w14:paraId="2876A932" w14:textId="4145D9D5" w:rsidR="007E7472" w:rsidRDefault="00EC1269">
          <w:pPr>
            <w:jc w:val="right"/>
          </w:pPr>
          <w:r>
            <w:rPr>
              <w:rFonts w:hint="eastAsia"/>
            </w:rPr>
            <w:t>单位：</w:t>
          </w:r>
          <w:sdt>
            <w:sdtPr>
              <w:rPr>
                <w:rFonts w:hint="eastAsia"/>
              </w:rPr>
              <w:alias w:val="单位：上市公司应付关联方款项"/>
              <w:tag w:val="_GBC_08d04faee6a64768877db8f6ab14663e"/>
              <w:id w:val="164053672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上市公司应付关联方款项"/>
              <w:tag w:val="_GBC_124ea57c07fc4e23931a125a103e711c"/>
              <w:id w:val="8247013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1556"/>
            <w:gridCol w:w="2585"/>
            <w:gridCol w:w="2033"/>
            <w:gridCol w:w="2649"/>
          </w:tblGrid>
          <w:tr w:rsidR="007E7472" w14:paraId="3B53B58F" w14:textId="77777777">
            <w:sdt>
              <w:sdtPr>
                <w:tag w:val="_PLD_cf838d28f8e94c899328f1b9cd175b08"/>
                <w:id w:val="-1141033822"/>
                <w:lock w:val="sdtLocked"/>
              </w:sdtPr>
              <w:sdtEndPr/>
              <w:sdtContent>
                <w:tc>
                  <w:tcPr>
                    <w:tcW w:w="881" w:type="pct"/>
                    <w:tcBorders>
                      <w:top w:val="single" w:sz="4" w:space="0" w:color="auto"/>
                      <w:left w:val="single" w:sz="4" w:space="0" w:color="auto"/>
                      <w:right w:val="single" w:sz="4" w:space="0" w:color="auto"/>
                    </w:tcBorders>
                  </w:tcPr>
                  <w:p w14:paraId="6B45A2A0" w14:textId="77777777" w:rsidR="007E7472" w:rsidRDefault="00EC1269">
                    <w:pPr>
                      <w:jc w:val="center"/>
                    </w:pPr>
                    <w:r>
                      <w:rPr>
                        <w:rFonts w:hint="eastAsia"/>
                      </w:rPr>
                      <w:t>项目名称</w:t>
                    </w:r>
                  </w:p>
                </w:tc>
              </w:sdtContent>
            </w:sdt>
            <w:sdt>
              <w:sdtPr>
                <w:tag w:val="_PLD_25173a15407f4af6adbf91389dcc2257"/>
                <w:id w:val="2102679471"/>
                <w:lock w:val="sdtLocked"/>
              </w:sdtPr>
              <w:sdtEndPr/>
              <w:sdtContent>
                <w:tc>
                  <w:tcPr>
                    <w:tcW w:w="1465" w:type="pct"/>
                    <w:tcBorders>
                      <w:top w:val="single" w:sz="4" w:space="0" w:color="auto"/>
                      <w:left w:val="single" w:sz="4" w:space="0" w:color="auto"/>
                      <w:right w:val="single" w:sz="4" w:space="0" w:color="auto"/>
                    </w:tcBorders>
                  </w:tcPr>
                  <w:p w14:paraId="697CCE8E" w14:textId="77777777" w:rsidR="007E7472" w:rsidRDefault="00EC1269">
                    <w:pPr>
                      <w:jc w:val="center"/>
                    </w:pPr>
                    <w:r>
                      <w:rPr>
                        <w:rFonts w:hint="eastAsia"/>
                      </w:rPr>
                      <w:t>关联方</w:t>
                    </w:r>
                  </w:p>
                </w:tc>
              </w:sdtContent>
            </w:sdt>
            <w:sdt>
              <w:sdtPr>
                <w:tag w:val="_PLD_a8551739db0f47cab1b1a6ea0e700367"/>
                <w:id w:val="1024067376"/>
                <w:lock w:val="sdtLocked"/>
              </w:sdtPr>
              <w:sdtEndPr/>
              <w:sdtContent>
                <w:tc>
                  <w:tcPr>
                    <w:tcW w:w="1152" w:type="pct"/>
                    <w:tcBorders>
                      <w:top w:val="single" w:sz="4" w:space="0" w:color="auto"/>
                      <w:left w:val="single" w:sz="4" w:space="0" w:color="auto"/>
                      <w:bottom w:val="single" w:sz="4" w:space="0" w:color="auto"/>
                      <w:right w:val="single" w:sz="4" w:space="0" w:color="auto"/>
                    </w:tcBorders>
                  </w:tcPr>
                  <w:p w14:paraId="740D164B" w14:textId="77777777" w:rsidR="007E7472" w:rsidRDefault="00EC1269">
                    <w:pPr>
                      <w:jc w:val="center"/>
                    </w:pPr>
                    <w:r>
                      <w:rPr>
                        <w:rFonts w:hint="eastAsia"/>
                      </w:rPr>
                      <w:t>期末账面余额</w:t>
                    </w:r>
                  </w:p>
                </w:tc>
              </w:sdtContent>
            </w:sdt>
            <w:sdt>
              <w:sdtPr>
                <w:tag w:val="_PLD_83bc027cb7f1401db7a26beffe77ce00"/>
                <w:id w:val="352153166"/>
                <w:lock w:val="sdtLocked"/>
              </w:sdtPr>
              <w:sdtEndPr/>
              <w:sdtContent>
                <w:tc>
                  <w:tcPr>
                    <w:tcW w:w="1501" w:type="pct"/>
                    <w:tcBorders>
                      <w:top w:val="single" w:sz="4" w:space="0" w:color="auto"/>
                      <w:left w:val="single" w:sz="4" w:space="0" w:color="auto"/>
                      <w:bottom w:val="single" w:sz="4" w:space="0" w:color="auto"/>
                      <w:right w:val="single" w:sz="4" w:space="0" w:color="auto"/>
                    </w:tcBorders>
                  </w:tcPr>
                  <w:p w14:paraId="351D2CFD" w14:textId="77777777" w:rsidR="007E7472" w:rsidRDefault="00EC1269">
                    <w:pPr>
                      <w:jc w:val="center"/>
                    </w:pPr>
                    <w:r>
                      <w:rPr>
                        <w:rFonts w:hint="eastAsia"/>
                      </w:rPr>
                      <w:t>期初账面余额</w:t>
                    </w:r>
                  </w:p>
                </w:tc>
              </w:sdtContent>
            </w:sdt>
          </w:tr>
          <w:sdt>
            <w:sdtPr>
              <w:rPr>
                <w:rFonts w:hint="eastAsia"/>
              </w:rPr>
              <w:alias w:val="上市公司应付关联方款项明细"/>
              <w:tag w:val="_GBC_bb3d19486f2b460b856a135056bd0897"/>
              <w:id w:val="-300626124"/>
              <w:lock w:val="sdtLocked"/>
            </w:sdtPr>
            <w:sdtEndPr/>
            <w:sdtContent>
              <w:tr w:rsidR="007E7472" w14:paraId="68E1EE7A" w14:textId="77777777">
                <w:tc>
                  <w:tcPr>
                    <w:tcW w:w="881" w:type="pct"/>
                    <w:tcBorders>
                      <w:top w:val="single" w:sz="4" w:space="0" w:color="auto"/>
                      <w:left w:val="single" w:sz="4" w:space="0" w:color="auto"/>
                      <w:bottom w:val="single" w:sz="4" w:space="0" w:color="auto"/>
                      <w:right w:val="single" w:sz="4" w:space="0" w:color="auto"/>
                    </w:tcBorders>
                    <w:vAlign w:val="center"/>
                  </w:tcPr>
                  <w:p w14:paraId="15690C03" w14:textId="77777777" w:rsidR="007E7472" w:rsidRDefault="00EC1269">
                    <w:pPr>
                      <w:autoSpaceDE w:val="0"/>
                      <w:autoSpaceDN w:val="0"/>
                      <w:adjustRightInd w:val="0"/>
                      <w:jc w:val="center"/>
                    </w:pPr>
                    <w:r>
                      <w:rPr>
                        <w:rFonts w:hint="eastAsia"/>
                      </w:rPr>
                      <w:t>应付票据</w:t>
                    </w:r>
                  </w:p>
                </w:tc>
                <w:tc>
                  <w:tcPr>
                    <w:tcW w:w="1465" w:type="pct"/>
                    <w:tcBorders>
                      <w:top w:val="single" w:sz="4" w:space="0" w:color="auto"/>
                      <w:left w:val="single" w:sz="4" w:space="0" w:color="auto"/>
                      <w:bottom w:val="single" w:sz="4" w:space="0" w:color="auto"/>
                      <w:right w:val="single" w:sz="4" w:space="0" w:color="auto"/>
                    </w:tcBorders>
                    <w:vAlign w:val="center"/>
                  </w:tcPr>
                  <w:p w14:paraId="79FE997E" w14:textId="77777777" w:rsidR="007E7472" w:rsidRDefault="00EC1269">
                    <w:pPr>
                      <w:autoSpaceDE w:val="0"/>
                      <w:autoSpaceDN w:val="0"/>
                      <w:adjustRightInd w:val="0"/>
                      <w:jc w:val="both"/>
                    </w:pPr>
                    <w:r>
                      <w:rPr>
                        <w:rFonts w:hint="eastAsia"/>
                      </w:rPr>
                      <w:t>控股股东及其控制的公司</w:t>
                    </w:r>
                  </w:p>
                </w:tc>
                <w:tc>
                  <w:tcPr>
                    <w:tcW w:w="1152" w:type="pct"/>
                    <w:tcBorders>
                      <w:top w:val="single" w:sz="4" w:space="0" w:color="auto"/>
                      <w:left w:val="single" w:sz="4" w:space="0" w:color="auto"/>
                      <w:bottom w:val="single" w:sz="4" w:space="0" w:color="auto"/>
                      <w:right w:val="single" w:sz="4" w:space="0" w:color="auto"/>
                    </w:tcBorders>
                    <w:vAlign w:val="center"/>
                  </w:tcPr>
                  <w:p w14:paraId="37535EC6" w14:textId="77777777" w:rsidR="007E7472" w:rsidRDefault="00EC1269">
                    <w:pPr>
                      <w:autoSpaceDE w:val="0"/>
                      <w:autoSpaceDN w:val="0"/>
                      <w:adjustRightInd w:val="0"/>
                      <w:jc w:val="right"/>
                    </w:pPr>
                    <w:r>
                      <w:t>482,027</w:t>
                    </w:r>
                  </w:p>
                </w:tc>
                <w:tc>
                  <w:tcPr>
                    <w:tcW w:w="1501" w:type="pct"/>
                    <w:tcBorders>
                      <w:top w:val="single" w:sz="4" w:space="0" w:color="auto"/>
                      <w:left w:val="single" w:sz="4" w:space="0" w:color="auto"/>
                      <w:bottom w:val="single" w:sz="4" w:space="0" w:color="auto"/>
                      <w:right w:val="single" w:sz="4" w:space="0" w:color="auto"/>
                    </w:tcBorders>
                    <w:vAlign w:val="center"/>
                  </w:tcPr>
                  <w:p w14:paraId="1467B044" w14:textId="77777777" w:rsidR="007E7472" w:rsidRDefault="00EC1269">
                    <w:pPr>
                      <w:autoSpaceDE w:val="0"/>
                      <w:autoSpaceDN w:val="0"/>
                      <w:adjustRightInd w:val="0"/>
                      <w:jc w:val="right"/>
                    </w:pPr>
                    <w:r>
                      <w:t>348,580</w:t>
                    </w:r>
                  </w:p>
                </w:tc>
              </w:tr>
            </w:sdtContent>
          </w:sdt>
          <w:sdt>
            <w:sdtPr>
              <w:rPr>
                <w:rFonts w:hint="eastAsia"/>
              </w:rPr>
              <w:alias w:val="上市公司应付关联方款项明细"/>
              <w:tag w:val="_GBC_bb3d19486f2b460b856a135056bd0897"/>
              <w:id w:val="2010404961"/>
              <w:lock w:val="sdtLocked"/>
            </w:sdtPr>
            <w:sdtEndPr/>
            <w:sdtContent>
              <w:tr w:rsidR="007E7472" w14:paraId="77B8E7C0" w14:textId="77777777">
                <w:tc>
                  <w:tcPr>
                    <w:tcW w:w="881" w:type="pct"/>
                    <w:tcBorders>
                      <w:top w:val="single" w:sz="4" w:space="0" w:color="auto"/>
                      <w:left w:val="single" w:sz="4" w:space="0" w:color="auto"/>
                      <w:bottom w:val="single" w:sz="4" w:space="0" w:color="auto"/>
                      <w:right w:val="single" w:sz="4" w:space="0" w:color="auto"/>
                    </w:tcBorders>
                    <w:vAlign w:val="center"/>
                  </w:tcPr>
                  <w:p w14:paraId="3E86ACFD" w14:textId="77777777" w:rsidR="007E7472" w:rsidRDefault="00EC1269">
                    <w:pPr>
                      <w:autoSpaceDE w:val="0"/>
                      <w:autoSpaceDN w:val="0"/>
                      <w:adjustRightInd w:val="0"/>
                      <w:jc w:val="center"/>
                    </w:pPr>
                    <w:r>
                      <w:rPr>
                        <w:rFonts w:hint="eastAsia"/>
                      </w:rPr>
                      <w:t>应付账款</w:t>
                    </w:r>
                  </w:p>
                </w:tc>
                <w:tc>
                  <w:tcPr>
                    <w:tcW w:w="1465" w:type="pct"/>
                    <w:tcBorders>
                      <w:top w:val="single" w:sz="4" w:space="0" w:color="auto"/>
                      <w:left w:val="single" w:sz="4" w:space="0" w:color="auto"/>
                      <w:bottom w:val="single" w:sz="4" w:space="0" w:color="auto"/>
                      <w:right w:val="single" w:sz="4" w:space="0" w:color="auto"/>
                    </w:tcBorders>
                    <w:vAlign w:val="center"/>
                  </w:tcPr>
                  <w:p w14:paraId="4FA74A9D" w14:textId="77777777" w:rsidR="007E7472" w:rsidRDefault="00EC1269">
                    <w:pPr>
                      <w:autoSpaceDE w:val="0"/>
                      <w:autoSpaceDN w:val="0"/>
                      <w:adjustRightInd w:val="0"/>
                      <w:jc w:val="both"/>
                    </w:pPr>
                    <w:r>
                      <w:rPr>
                        <w:rFonts w:hint="eastAsia"/>
                      </w:rPr>
                      <w:t>控股股东及其控制的公司</w:t>
                    </w:r>
                  </w:p>
                </w:tc>
                <w:tc>
                  <w:tcPr>
                    <w:tcW w:w="1152" w:type="pct"/>
                    <w:tcBorders>
                      <w:top w:val="single" w:sz="4" w:space="0" w:color="auto"/>
                      <w:left w:val="single" w:sz="4" w:space="0" w:color="auto"/>
                      <w:bottom w:val="single" w:sz="4" w:space="0" w:color="auto"/>
                      <w:right w:val="single" w:sz="4" w:space="0" w:color="auto"/>
                    </w:tcBorders>
                    <w:vAlign w:val="center"/>
                  </w:tcPr>
                  <w:p w14:paraId="5FE647AB" w14:textId="77777777" w:rsidR="007E7472" w:rsidRDefault="00EC1269">
                    <w:pPr>
                      <w:autoSpaceDE w:val="0"/>
                      <w:autoSpaceDN w:val="0"/>
                      <w:adjustRightInd w:val="0"/>
                      <w:jc w:val="right"/>
                    </w:pPr>
                    <w:r>
                      <w:t>2,042,033</w:t>
                    </w:r>
                  </w:p>
                </w:tc>
                <w:tc>
                  <w:tcPr>
                    <w:tcW w:w="1501" w:type="pct"/>
                    <w:tcBorders>
                      <w:top w:val="single" w:sz="4" w:space="0" w:color="auto"/>
                      <w:left w:val="single" w:sz="4" w:space="0" w:color="auto"/>
                      <w:bottom w:val="single" w:sz="4" w:space="0" w:color="auto"/>
                      <w:right w:val="single" w:sz="4" w:space="0" w:color="auto"/>
                    </w:tcBorders>
                    <w:vAlign w:val="center"/>
                  </w:tcPr>
                  <w:p w14:paraId="205854C6" w14:textId="77777777" w:rsidR="007E7472" w:rsidRDefault="00EC1269">
                    <w:pPr>
                      <w:autoSpaceDE w:val="0"/>
                      <w:autoSpaceDN w:val="0"/>
                      <w:adjustRightInd w:val="0"/>
                      <w:jc w:val="right"/>
                    </w:pPr>
                    <w:r>
                      <w:t>2,981,928</w:t>
                    </w:r>
                  </w:p>
                </w:tc>
              </w:tr>
            </w:sdtContent>
          </w:sdt>
          <w:sdt>
            <w:sdtPr>
              <w:rPr>
                <w:rFonts w:hint="eastAsia"/>
              </w:rPr>
              <w:alias w:val="上市公司应付关联方款项明细"/>
              <w:tag w:val="_GBC_bb3d19486f2b460b856a135056bd0897"/>
              <w:id w:val="-543601795"/>
              <w:lock w:val="sdtLocked"/>
            </w:sdtPr>
            <w:sdtEndPr/>
            <w:sdtContent>
              <w:tr w:rsidR="007E7472" w14:paraId="5A6204DC" w14:textId="77777777">
                <w:tc>
                  <w:tcPr>
                    <w:tcW w:w="881" w:type="pct"/>
                    <w:tcBorders>
                      <w:top w:val="single" w:sz="4" w:space="0" w:color="auto"/>
                      <w:left w:val="single" w:sz="4" w:space="0" w:color="auto"/>
                      <w:bottom w:val="single" w:sz="4" w:space="0" w:color="auto"/>
                      <w:right w:val="single" w:sz="4" w:space="0" w:color="auto"/>
                    </w:tcBorders>
                    <w:vAlign w:val="center"/>
                  </w:tcPr>
                  <w:p w14:paraId="0B9F96F5" w14:textId="77777777" w:rsidR="007E7472" w:rsidRDefault="00EC1269">
                    <w:pPr>
                      <w:autoSpaceDE w:val="0"/>
                      <w:autoSpaceDN w:val="0"/>
                      <w:adjustRightInd w:val="0"/>
                      <w:jc w:val="center"/>
                    </w:pPr>
                    <w:r>
                      <w:rPr>
                        <w:rFonts w:hint="eastAsia"/>
                      </w:rPr>
                      <w:t>应付账款</w:t>
                    </w:r>
                  </w:p>
                </w:tc>
                <w:tc>
                  <w:tcPr>
                    <w:tcW w:w="1465" w:type="pct"/>
                    <w:tcBorders>
                      <w:top w:val="single" w:sz="4" w:space="0" w:color="auto"/>
                      <w:left w:val="single" w:sz="4" w:space="0" w:color="auto"/>
                      <w:bottom w:val="single" w:sz="4" w:space="0" w:color="auto"/>
                      <w:right w:val="single" w:sz="4" w:space="0" w:color="auto"/>
                    </w:tcBorders>
                    <w:vAlign w:val="center"/>
                  </w:tcPr>
                  <w:p w14:paraId="046EDF31" w14:textId="77777777" w:rsidR="007E7472" w:rsidRDefault="00EC1269">
                    <w:pPr>
                      <w:autoSpaceDE w:val="0"/>
                      <w:autoSpaceDN w:val="0"/>
                      <w:adjustRightInd w:val="0"/>
                      <w:jc w:val="both"/>
                    </w:pPr>
                    <w:r>
                      <w:rPr>
                        <w:rFonts w:hint="eastAsia"/>
                      </w:rPr>
                      <w:t>联营企业</w:t>
                    </w:r>
                  </w:p>
                </w:tc>
                <w:tc>
                  <w:tcPr>
                    <w:tcW w:w="1152" w:type="pct"/>
                    <w:tcBorders>
                      <w:top w:val="single" w:sz="4" w:space="0" w:color="auto"/>
                      <w:left w:val="single" w:sz="4" w:space="0" w:color="auto"/>
                      <w:bottom w:val="single" w:sz="4" w:space="0" w:color="auto"/>
                      <w:right w:val="single" w:sz="4" w:space="0" w:color="auto"/>
                    </w:tcBorders>
                    <w:vAlign w:val="center"/>
                  </w:tcPr>
                  <w:p w14:paraId="2C751865" w14:textId="77777777" w:rsidR="007E7472" w:rsidRDefault="00EC1269">
                    <w:pPr>
                      <w:autoSpaceDE w:val="0"/>
                      <w:autoSpaceDN w:val="0"/>
                      <w:adjustRightInd w:val="0"/>
                      <w:jc w:val="right"/>
                    </w:pPr>
                    <w:r>
                      <w:t>25</w:t>
                    </w:r>
                  </w:p>
                </w:tc>
                <w:tc>
                  <w:tcPr>
                    <w:tcW w:w="1501" w:type="pct"/>
                    <w:tcBorders>
                      <w:top w:val="single" w:sz="4" w:space="0" w:color="auto"/>
                      <w:left w:val="single" w:sz="4" w:space="0" w:color="auto"/>
                      <w:bottom w:val="single" w:sz="4" w:space="0" w:color="auto"/>
                      <w:right w:val="single" w:sz="4" w:space="0" w:color="auto"/>
                    </w:tcBorders>
                    <w:vAlign w:val="center"/>
                  </w:tcPr>
                  <w:p w14:paraId="23359A02" w14:textId="77777777" w:rsidR="007E7472" w:rsidRDefault="00EC1269">
                    <w:pPr>
                      <w:autoSpaceDE w:val="0"/>
                      <w:autoSpaceDN w:val="0"/>
                      <w:adjustRightInd w:val="0"/>
                      <w:jc w:val="right"/>
                    </w:pPr>
                    <w:r>
                      <w:t>25</w:t>
                    </w:r>
                  </w:p>
                </w:tc>
              </w:tr>
            </w:sdtContent>
          </w:sdt>
          <w:sdt>
            <w:sdtPr>
              <w:rPr>
                <w:rFonts w:hint="eastAsia"/>
              </w:rPr>
              <w:alias w:val="上市公司应付关联方款项明细"/>
              <w:tag w:val="_GBC_bb3d19486f2b460b856a135056bd0897"/>
              <w:id w:val="1433018237"/>
              <w:lock w:val="sdtLocked"/>
            </w:sdtPr>
            <w:sdtEndPr/>
            <w:sdtContent>
              <w:tr w:rsidR="007E7472" w14:paraId="134346A2" w14:textId="77777777">
                <w:tc>
                  <w:tcPr>
                    <w:tcW w:w="881" w:type="pct"/>
                    <w:tcBorders>
                      <w:top w:val="single" w:sz="4" w:space="0" w:color="auto"/>
                      <w:left w:val="single" w:sz="4" w:space="0" w:color="auto"/>
                      <w:bottom w:val="single" w:sz="4" w:space="0" w:color="auto"/>
                      <w:right w:val="single" w:sz="4" w:space="0" w:color="auto"/>
                    </w:tcBorders>
                    <w:vAlign w:val="center"/>
                  </w:tcPr>
                  <w:p w14:paraId="7D61465B" w14:textId="77777777" w:rsidR="007E7472" w:rsidRDefault="00EC1269">
                    <w:pPr>
                      <w:autoSpaceDE w:val="0"/>
                      <w:autoSpaceDN w:val="0"/>
                      <w:adjustRightInd w:val="0"/>
                      <w:jc w:val="center"/>
                    </w:pPr>
                    <w:r>
                      <w:rPr>
                        <w:rFonts w:hint="eastAsia"/>
                      </w:rPr>
                      <w:t>应付账款</w:t>
                    </w:r>
                  </w:p>
                </w:tc>
                <w:tc>
                  <w:tcPr>
                    <w:tcW w:w="1465" w:type="pct"/>
                    <w:tcBorders>
                      <w:top w:val="single" w:sz="4" w:space="0" w:color="auto"/>
                      <w:left w:val="single" w:sz="4" w:space="0" w:color="auto"/>
                      <w:bottom w:val="single" w:sz="4" w:space="0" w:color="auto"/>
                      <w:right w:val="single" w:sz="4" w:space="0" w:color="auto"/>
                    </w:tcBorders>
                    <w:vAlign w:val="center"/>
                  </w:tcPr>
                  <w:p w14:paraId="17D51A7B" w14:textId="77777777" w:rsidR="007E7472" w:rsidRDefault="00EC1269">
                    <w:pPr>
                      <w:autoSpaceDE w:val="0"/>
                      <w:autoSpaceDN w:val="0"/>
                      <w:adjustRightInd w:val="0"/>
                      <w:jc w:val="both"/>
                    </w:pPr>
                    <w:r>
                      <w:rPr>
                        <w:rFonts w:hint="eastAsia"/>
                      </w:rPr>
                      <w:t>其他关联方</w:t>
                    </w:r>
                  </w:p>
                </w:tc>
                <w:tc>
                  <w:tcPr>
                    <w:tcW w:w="1152" w:type="pct"/>
                    <w:tcBorders>
                      <w:top w:val="single" w:sz="4" w:space="0" w:color="auto"/>
                      <w:left w:val="single" w:sz="4" w:space="0" w:color="auto"/>
                      <w:bottom w:val="single" w:sz="4" w:space="0" w:color="auto"/>
                      <w:right w:val="single" w:sz="4" w:space="0" w:color="auto"/>
                    </w:tcBorders>
                    <w:vAlign w:val="center"/>
                  </w:tcPr>
                  <w:p w14:paraId="65659941" w14:textId="77777777" w:rsidR="007E7472" w:rsidRDefault="00EC1269">
                    <w:pPr>
                      <w:autoSpaceDE w:val="0"/>
                      <w:autoSpaceDN w:val="0"/>
                      <w:adjustRightInd w:val="0"/>
                      <w:jc w:val="right"/>
                    </w:pPr>
                    <w:r>
                      <w:t>10,439</w:t>
                    </w:r>
                  </w:p>
                </w:tc>
                <w:tc>
                  <w:tcPr>
                    <w:tcW w:w="1501" w:type="pct"/>
                    <w:tcBorders>
                      <w:top w:val="single" w:sz="4" w:space="0" w:color="auto"/>
                      <w:left w:val="single" w:sz="4" w:space="0" w:color="auto"/>
                      <w:bottom w:val="single" w:sz="4" w:space="0" w:color="auto"/>
                      <w:right w:val="single" w:sz="4" w:space="0" w:color="auto"/>
                    </w:tcBorders>
                    <w:vAlign w:val="center"/>
                  </w:tcPr>
                  <w:p w14:paraId="05B531C7" w14:textId="77777777" w:rsidR="007E7472" w:rsidRDefault="00EC1269">
                    <w:pPr>
                      <w:autoSpaceDE w:val="0"/>
                      <w:autoSpaceDN w:val="0"/>
                      <w:adjustRightInd w:val="0"/>
                      <w:jc w:val="right"/>
                    </w:pPr>
                    <w:r>
                      <w:t>23,308</w:t>
                    </w:r>
                  </w:p>
                </w:tc>
              </w:tr>
            </w:sdtContent>
          </w:sdt>
          <w:sdt>
            <w:sdtPr>
              <w:rPr>
                <w:rFonts w:hint="eastAsia"/>
              </w:rPr>
              <w:alias w:val="上市公司应付关联方款项明细"/>
              <w:tag w:val="_GBC_bb3d19486f2b460b856a135056bd0897"/>
              <w:id w:val="1552725947"/>
              <w:lock w:val="sdtLocked"/>
            </w:sdtPr>
            <w:sdtEndPr/>
            <w:sdtContent>
              <w:tr w:rsidR="007E7472" w14:paraId="19ADAA49" w14:textId="77777777">
                <w:tc>
                  <w:tcPr>
                    <w:tcW w:w="881" w:type="pct"/>
                    <w:tcBorders>
                      <w:top w:val="single" w:sz="4" w:space="0" w:color="auto"/>
                      <w:left w:val="single" w:sz="4" w:space="0" w:color="auto"/>
                      <w:bottom w:val="single" w:sz="4" w:space="0" w:color="auto"/>
                      <w:right w:val="single" w:sz="4" w:space="0" w:color="auto"/>
                    </w:tcBorders>
                    <w:vAlign w:val="center"/>
                  </w:tcPr>
                  <w:p w14:paraId="16F97631" w14:textId="77777777" w:rsidR="007E7472" w:rsidRDefault="00EC1269">
                    <w:pPr>
                      <w:autoSpaceDE w:val="0"/>
                      <w:autoSpaceDN w:val="0"/>
                      <w:adjustRightInd w:val="0"/>
                      <w:jc w:val="center"/>
                    </w:pPr>
                    <w:r>
                      <w:rPr>
                        <w:rFonts w:hint="eastAsia"/>
                      </w:rPr>
                      <w:t>合同负债</w:t>
                    </w:r>
                  </w:p>
                </w:tc>
                <w:tc>
                  <w:tcPr>
                    <w:tcW w:w="1465" w:type="pct"/>
                    <w:tcBorders>
                      <w:top w:val="single" w:sz="4" w:space="0" w:color="auto"/>
                      <w:left w:val="single" w:sz="4" w:space="0" w:color="auto"/>
                      <w:bottom w:val="single" w:sz="4" w:space="0" w:color="auto"/>
                      <w:right w:val="single" w:sz="4" w:space="0" w:color="auto"/>
                    </w:tcBorders>
                    <w:vAlign w:val="center"/>
                  </w:tcPr>
                  <w:p w14:paraId="7B37F842" w14:textId="77777777" w:rsidR="007E7472" w:rsidRDefault="00EC1269">
                    <w:pPr>
                      <w:autoSpaceDE w:val="0"/>
                      <w:autoSpaceDN w:val="0"/>
                      <w:adjustRightInd w:val="0"/>
                      <w:jc w:val="both"/>
                    </w:pPr>
                    <w:r>
                      <w:rPr>
                        <w:rFonts w:hint="eastAsia"/>
                      </w:rPr>
                      <w:t>控股股东及其控制的公司</w:t>
                    </w:r>
                  </w:p>
                </w:tc>
                <w:tc>
                  <w:tcPr>
                    <w:tcW w:w="1152" w:type="pct"/>
                    <w:tcBorders>
                      <w:top w:val="single" w:sz="4" w:space="0" w:color="auto"/>
                      <w:left w:val="single" w:sz="4" w:space="0" w:color="auto"/>
                      <w:bottom w:val="single" w:sz="4" w:space="0" w:color="auto"/>
                      <w:right w:val="single" w:sz="4" w:space="0" w:color="auto"/>
                    </w:tcBorders>
                    <w:vAlign w:val="center"/>
                  </w:tcPr>
                  <w:p w14:paraId="2D3C009A" w14:textId="77777777" w:rsidR="007E7472" w:rsidRDefault="00EC1269">
                    <w:pPr>
                      <w:autoSpaceDE w:val="0"/>
                      <w:autoSpaceDN w:val="0"/>
                      <w:adjustRightInd w:val="0"/>
                      <w:jc w:val="right"/>
                    </w:pPr>
                    <w:r>
                      <w:t>140,079</w:t>
                    </w:r>
                  </w:p>
                </w:tc>
                <w:tc>
                  <w:tcPr>
                    <w:tcW w:w="1501" w:type="pct"/>
                    <w:tcBorders>
                      <w:top w:val="single" w:sz="4" w:space="0" w:color="auto"/>
                      <w:left w:val="single" w:sz="4" w:space="0" w:color="auto"/>
                      <w:bottom w:val="single" w:sz="4" w:space="0" w:color="auto"/>
                      <w:right w:val="single" w:sz="4" w:space="0" w:color="auto"/>
                    </w:tcBorders>
                    <w:vAlign w:val="center"/>
                  </w:tcPr>
                  <w:p w14:paraId="71EFDAE6" w14:textId="77777777" w:rsidR="007E7472" w:rsidRDefault="00EC1269">
                    <w:pPr>
                      <w:autoSpaceDE w:val="0"/>
                      <w:autoSpaceDN w:val="0"/>
                      <w:adjustRightInd w:val="0"/>
                      <w:jc w:val="right"/>
                    </w:pPr>
                    <w:r>
                      <w:t>241,602</w:t>
                    </w:r>
                  </w:p>
                </w:tc>
              </w:tr>
            </w:sdtContent>
          </w:sdt>
          <w:sdt>
            <w:sdtPr>
              <w:rPr>
                <w:rFonts w:hint="eastAsia"/>
              </w:rPr>
              <w:alias w:val="上市公司应付关联方款项明细"/>
              <w:tag w:val="_GBC_bb3d19486f2b460b856a135056bd0897"/>
              <w:id w:val="-712345267"/>
              <w:lock w:val="sdtLocked"/>
            </w:sdtPr>
            <w:sdtEndPr/>
            <w:sdtContent>
              <w:tr w:rsidR="007E7472" w14:paraId="57B618B0" w14:textId="77777777">
                <w:tc>
                  <w:tcPr>
                    <w:tcW w:w="881" w:type="pct"/>
                    <w:tcBorders>
                      <w:top w:val="single" w:sz="4" w:space="0" w:color="auto"/>
                      <w:left w:val="single" w:sz="4" w:space="0" w:color="auto"/>
                      <w:bottom w:val="single" w:sz="4" w:space="0" w:color="auto"/>
                      <w:right w:val="single" w:sz="4" w:space="0" w:color="auto"/>
                    </w:tcBorders>
                    <w:vAlign w:val="center"/>
                  </w:tcPr>
                  <w:p w14:paraId="366A6865" w14:textId="77777777" w:rsidR="007E7472" w:rsidRDefault="00EC1269">
                    <w:pPr>
                      <w:autoSpaceDE w:val="0"/>
                      <w:autoSpaceDN w:val="0"/>
                      <w:adjustRightInd w:val="0"/>
                      <w:jc w:val="center"/>
                    </w:pPr>
                    <w:r>
                      <w:rPr>
                        <w:rFonts w:hint="eastAsia"/>
                      </w:rPr>
                      <w:t>合同负债</w:t>
                    </w:r>
                  </w:p>
                </w:tc>
                <w:tc>
                  <w:tcPr>
                    <w:tcW w:w="1465" w:type="pct"/>
                    <w:tcBorders>
                      <w:top w:val="single" w:sz="4" w:space="0" w:color="auto"/>
                      <w:left w:val="single" w:sz="4" w:space="0" w:color="auto"/>
                      <w:bottom w:val="single" w:sz="4" w:space="0" w:color="auto"/>
                      <w:right w:val="single" w:sz="4" w:space="0" w:color="auto"/>
                    </w:tcBorders>
                    <w:vAlign w:val="center"/>
                  </w:tcPr>
                  <w:p w14:paraId="2B33B52C" w14:textId="77777777" w:rsidR="007E7472" w:rsidRDefault="00EC1269">
                    <w:pPr>
                      <w:autoSpaceDE w:val="0"/>
                      <w:autoSpaceDN w:val="0"/>
                      <w:adjustRightInd w:val="0"/>
                      <w:jc w:val="both"/>
                    </w:pPr>
                    <w:r>
                      <w:rPr>
                        <w:rFonts w:hint="eastAsia"/>
                      </w:rPr>
                      <w:t>联营企业</w:t>
                    </w:r>
                  </w:p>
                </w:tc>
                <w:tc>
                  <w:tcPr>
                    <w:tcW w:w="1152" w:type="pct"/>
                    <w:tcBorders>
                      <w:top w:val="single" w:sz="4" w:space="0" w:color="auto"/>
                      <w:left w:val="single" w:sz="4" w:space="0" w:color="auto"/>
                      <w:bottom w:val="single" w:sz="4" w:space="0" w:color="auto"/>
                      <w:right w:val="single" w:sz="4" w:space="0" w:color="auto"/>
                    </w:tcBorders>
                    <w:vAlign w:val="center"/>
                  </w:tcPr>
                  <w:p w14:paraId="79BA2196" w14:textId="77777777" w:rsidR="007E7472" w:rsidRDefault="00EC1269">
                    <w:pPr>
                      <w:autoSpaceDE w:val="0"/>
                      <w:autoSpaceDN w:val="0"/>
                      <w:adjustRightInd w:val="0"/>
                      <w:jc w:val="right"/>
                    </w:pPr>
                    <w:r>
                      <w:t>14,358</w:t>
                    </w:r>
                  </w:p>
                </w:tc>
                <w:tc>
                  <w:tcPr>
                    <w:tcW w:w="1501" w:type="pct"/>
                    <w:tcBorders>
                      <w:top w:val="single" w:sz="4" w:space="0" w:color="auto"/>
                      <w:left w:val="single" w:sz="4" w:space="0" w:color="auto"/>
                      <w:bottom w:val="single" w:sz="4" w:space="0" w:color="auto"/>
                      <w:right w:val="single" w:sz="4" w:space="0" w:color="auto"/>
                    </w:tcBorders>
                    <w:vAlign w:val="center"/>
                  </w:tcPr>
                  <w:p w14:paraId="74A77811" w14:textId="77777777" w:rsidR="007E7472" w:rsidRDefault="00EC1269">
                    <w:pPr>
                      <w:autoSpaceDE w:val="0"/>
                      <w:autoSpaceDN w:val="0"/>
                      <w:adjustRightInd w:val="0"/>
                      <w:jc w:val="right"/>
                    </w:pPr>
                    <w:r>
                      <w:t>16</w:t>
                    </w:r>
                  </w:p>
                </w:tc>
              </w:tr>
            </w:sdtContent>
          </w:sdt>
          <w:sdt>
            <w:sdtPr>
              <w:rPr>
                <w:rFonts w:hint="eastAsia"/>
              </w:rPr>
              <w:alias w:val="上市公司应付关联方款项明细"/>
              <w:tag w:val="_GBC_bb3d19486f2b460b856a135056bd0897"/>
              <w:id w:val="41479867"/>
              <w:lock w:val="sdtLocked"/>
            </w:sdtPr>
            <w:sdtEndPr/>
            <w:sdtContent>
              <w:tr w:rsidR="007E7472" w14:paraId="737DDB8D" w14:textId="77777777">
                <w:tc>
                  <w:tcPr>
                    <w:tcW w:w="881" w:type="pct"/>
                    <w:tcBorders>
                      <w:top w:val="single" w:sz="4" w:space="0" w:color="auto"/>
                      <w:left w:val="single" w:sz="4" w:space="0" w:color="auto"/>
                      <w:bottom w:val="single" w:sz="4" w:space="0" w:color="auto"/>
                      <w:right w:val="single" w:sz="4" w:space="0" w:color="auto"/>
                    </w:tcBorders>
                    <w:vAlign w:val="center"/>
                  </w:tcPr>
                  <w:p w14:paraId="7FDE0328" w14:textId="77777777" w:rsidR="007E7472" w:rsidRDefault="00EC1269">
                    <w:pPr>
                      <w:autoSpaceDE w:val="0"/>
                      <w:autoSpaceDN w:val="0"/>
                      <w:adjustRightInd w:val="0"/>
                      <w:jc w:val="center"/>
                    </w:pPr>
                    <w:r>
                      <w:rPr>
                        <w:rFonts w:hint="eastAsia"/>
                      </w:rPr>
                      <w:t>合同负债</w:t>
                    </w:r>
                  </w:p>
                </w:tc>
                <w:tc>
                  <w:tcPr>
                    <w:tcW w:w="1465" w:type="pct"/>
                    <w:tcBorders>
                      <w:top w:val="single" w:sz="4" w:space="0" w:color="auto"/>
                      <w:left w:val="single" w:sz="4" w:space="0" w:color="auto"/>
                      <w:bottom w:val="single" w:sz="4" w:space="0" w:color="auto"/>
                      <w:right w:val="single" w:sz="4" w:space="0" w:color="auto"/>
                    </w:tcBorders>
                    <w:vAlign w:val="center"/>
                  </w:tcPr>
                  <w:p w14:paraId="032C12F7" w14:textId="77777777" w:rsidR="007E7472" w:rsidRDefault="00EC1269">
                    <w:pPr>
                      <w:autoSpaceDE w:val="0"/>
                      <w:autoSpaceDN w:val="0"/>
                      <w:adjustRightInd w:val="0"/>
                      <w:jc w:val="both"/>
                    </w:pPr>
                    <w:r>
                      <w:rPr>
                        <w:rFonts w:hint="eastAsia"/>
                      </w:rPr>
                      <w:t>其他关联方</w:t>
                    </w:r>
                  </w:p>
                </w:tc>
                <w:tc>
                  <w:tcPr>
                    <w:tcW w:w="1152" w:type="pct"/>
                    <w:tcBorders>
                      <w:top w:val="single" w:sz="4" w:space="0" w:color="auto"/>
                      <w:left w:val="single" w:sz="4" w:space="0" w:color="auto"/>
                      <w:bottom w:val="single" w:sz="4" w:space="0" w:color="auto"/>
                      <w:right w:val="single" w:sz="4" w:space="0" w:color="auto"/>
                    </w:tcBorders>
                    <w:vAlign w:val="center"/>
                  </w:tcPr>
                  <w:p w14:paraId="4CE043E7" w14:textId="77777777" w:rsidR="007E7472" w:rsidRDefault="00EC1269">
                    <w:pPr>
                      <w:autoSpaceDE w:val="0"/>
                      <w:autoSpaceDN w:val="0"/>
                      <w:adjustRightInd w:val="0"/>
                      <w:jc w:val="right"/>
                    </w:pPr>
                    <w:r>
                      <w:t>2,764</w:t>
                    </w:r>
                  </w:p>
                </w:tc>
                <w:tc>
                  <w:tcPr>
                    <w:tcW w:w="1501" w:type="pct"/>
                    <w:tcBorders>
                      <w:top w:val="single" w:sz="4" w:space="0" w:color="auto"/>
                      <w:left w:val="single" w:sz="4" w:space="0" w:color="auto"/>
                      <w:bottom w:val="single" w:sz="4" w:space="0" w:color="auto"/>
                      <w:right w:val="single" w:sz="4" w:space="0" w:color="auto"/>
                    </w:tcBorders>
                    <w:vAlign w:val="center"/>
                  </w:tcPr>
                  <w:p w14:paraId="5299DB46" w14:textId="77777777" w:rsidR="007E7472" w:rsidRDefault="00EC1269">
                    <w:pPr>
                      <w:autoSpaceDE w:val="0"/>
                      <w:autoSpaceDN w:val="0"/>
                      <w:adjustRightInd w:val="0"/>
                      <w:jc w:val="right"/>
                    </w:pPr>
                    <w:r>
                      <w:t>3,429</w:t>
                    </w:r>
                  </w:p>
                </w:tc>
              </w:tr>
            </w:sdtContent>
          </w:sdt>
          <w:sdt>
            <w:sdtPr>
              <w:rPr>
                <w:rFonts w:hint="eastAsia"/>
              </w:rPr>
              <w:alias w:val="上市公司应付关联方款项明细"/>
              <w:tag w:val="_GBC_bb3d19486f2b460b856a135056bd0897"/>
              <w:id w:val="-570583778"/>
              <w:lock w:val="sdtLocked"/>
            </w:sdtPr>
            <w:sdtEndPr/>
            <w:sdtContent>
              <w:tr w:rsidR="007E7472" w14:paraId="5817BF77" w14:textId="77777777">
                <w:tc>
                  <w:tcPr>
                    <w:tcW w:w="881" w:type="pct"/>
                    <w:tcBorders>
                      <w:top w:val="single" w:sz="4" w:space="0" w:color="auto"/>
                      <w:left w:val="single" w:sz="4" w:space="0" w:color="auto"/>
                      <w:bottom w:val="single" w:sz="4" w:space="0" w:color="auto"/>
                      <w:right w:val="single" w:sz="4" w:space="0" w:color="auto"/>
                    </w:tcBorders>
                    <w:vAlign w:val="center"/>
                  </w:tcPr>
                  <w:p w14:paraId="3E5CA93B" w14:textId="77777777" w:rsidR="007E7472" w:rsidRDefault="00EC1269">
                    <w:pPr>
                      <w:autoSpaceDE w:val="0"/>
                      <w:autoSpaceDN w:val="0"/>
                      <w:adjustRightInd w:val="0"/>
                      <w:jc w:val="center"/>
                    </w:pPr>
                    <w:r>
                      <w:rPr>
                        <w:rFonts w:hint="eastAsia"/>
                      </w:rPr>
                      <w:t>其他应付款</w:t>
                    </w:r>
                  </w:p>
                </w:tc>
                <w:tc>
                  <w:tcPr>
                    <w:tcW w:w="1465" w:type="pct"/>
                    <w:tcBorders>
                      <w:top w:val="single" w:sz="4" w:space="0" w:color="auto"/>
                      <w:left w:val="single" w:sz="4" w:space="0" w:color="auto"/>
                      <w:bottom w:val="single" w:sz="4" w:space="0" w:color="auto"/>
                      <w:right w:val="single" w:sz="4" w:space="0" w:color="auto"/>
                    </w:tcBorders>
                    <w:vAlign w:val="center"/>
                  </w:tcPr>
                  <w:p w14:paraId="03D523C4" w14:textId="77777777" w:rsidR="007E7472" w:rsidRDefault="00EC1269">
                    <w:pPr>
                      <w:autoSpaceDE w:val="0"/>
                      <w:autoSpaceDN w:val="0"/>
                      <w:adjustRightInd w:val="0"/>
                      <w:jc w:val="both"/>
                    </w:pPr>
                    <w:r>
                      <w:rPr>
                        <w:rFonts w:hint="eastAsia"/>
                      </w:rPr>
                      <w:t>控股股东及其控制的公司</w:t>
                    </w:r>
                  </w:p>
                </w:tc>
                <w:tc>
                  <w:tcPr>
                    <w:tcW w:w="1152" w:type="pct"/>
                    <w:tcBorders>
                      <w:top w:val="single" w:sz="4" w:space="0" w:color="auto"/>
                      <w:left w:val="single" w:sz="4" w:space="0" w:color="auto"/>
                      <w:bottom w:val="single" w:sz="4" w:space="0" w:color="auto"/>
                      <w:right w:val="single" w:sz="4" w:space="0" w:color="auto"/>
                    </w:tcBorders>
                    <w:vAlign w:val="center"/>
                  </w:tcPr>
                  <w:p w14:paraId="22C9B5D3" w14:textId="77777777" w:rsidR="007E7472" w:rsidRDefault="00EC1269">
                    <w:pPr>
                      <w:autoSpaceDE w:val="0"/>
                      <w:autoSpaceDN w:val="0"/>
                      <w:adjustRightInd w:val="0"/>
                      <w:jc w:val="right"/>
                    </w:pPr>
                    <w:r>
                      <w:t>11,372,451</w:t>
                    </w:r>
                  </w:p>
                </w:tc>
                <w:tc>
                  <w:tcPr>
                    <w:tcW w:w="1501" w:type="pct"/>
                    <w:tcBorders>
                      <w:top w:val="single" w:sz="4" w:space="0" w:color="auto"/>
                      <w:left w:val="single" w:sz="4" w:space="0" w:color="auto"/>
                      <w:bottom w:val="single" w:sz="4" w:space="0" w:color="auto"/>
                      <w:right w:val="single" w:sz="4" w:space="0" w:color="auto"/>
                    </w:tcBorders>
                    <w:vAlign w:val="center"/>
                  </w:tcPr>
                  <w:p w14:paraId="2F512C28" w14:textId="77777777" w:rsidR="007E7472" w:rsidRDefault="00EC1269">
                    <w:pPr>
                      <w:autoSpaceDE w:val="0"/>
                      <w:autoSpaceDN w:val="0"/>
                      <w:adjustRightInd w:val="0"/>
                      <w:jc w:val="right"/>
                    </w:pPr>
                    <w:r>
                      <w:t>12,391,149</w:t>
                    </w:r>
                  </w:p>
                </w:tc>
              </w:tr>
            </w:sdtContent>
          </w:sdt>
          <w:sdt>
            <w:sdtPr>
              <w:rPr>
                <w:rFonts w:hint="eastAsia"/>
              </w:rPr>
              <w:alias w:val="上市公司应付关联方款项明细"/>
              <w:tag w:val="_GBC_bb3d19486f2b460b856a135056bd0897"/>
              <w:id w:val="-265619512"/>
              <w:lock w:val="sdtLocked"/>
            </w:sdtPr>
            <w:sdtEndPr/>
            <w:sdtContent>
              <w:tr w:rsidR="007E7472" w14:paraId="7B806A0E" w14:textId="77777777">
                <w:tc>
                  <w:tcPr>
                    <w:tcW w:w="881" w:type="pct"/>
                    <w:tcBorders>
                      <w:top w:val="single" w:sz="4" w:space="0" w:color="auto"/>
                      <w:left w:val="single" w:sz="4" w:space="0" w:color="auto"/>
                      <w:bottom w:val="single" w:sz="4" w:space="0" w:color="auto"/>
                      <w:right w:val="single" w:sz="4" w:space="0" w:color="auto"/>
                    </w:tcBorders>
                    <w:vAlign w:val="center"/>
                  </w:tcPr>
                  <w:p w14:paraId="22191645" w14:textId="77777777" w:rsidR="007E7472" w:rsidRDefault="00EC1269">
                    <w:pPr>
                      <w:autoSpaceDE w:val="0"/>
                      <w:autoSpaceDN w:val="0"/>
                      <w:adjustRightInd w:val="0"/>
                      <w:jc w:val="center"/>
                    </w:pPr>
                    <w:r>
                      <w:rPr>
                        <w:rFonts w:hint="eastAsia"/>
                      </w:rPr>
                      <w:t>其他应付款</w:t>
                    </w:r>
                  </w:p>
                </w:tc>
                <w:tc>
                  <w:tcPr>
                    <w:tcW w:w="1465" w:type="pct"/>
                    <w:tcBorders>
                      <w:top w:val="single" w:sz="4" w:space="0" w:color="auto"/>
                      <w:left w:val="single" w:sz="4" w:space="0" w:color="auto"/>
                      <w:bottom w:val="single" w:sz="4" w:space="0" w:color="auto"/>
                      <w:right w:val="single" w:sz="4" w:space="0" w:color="auto"/>
                    </w:tcBorders>
                    <w:vAlign w:val="center"/>
                  </w:tcPr>
                  <w:p w14:paraId="377806F8" w14:textId="77777777" w:rsidR="007E7472" w:rsidRDefault="00EC1269">
                    <w:pPr>
                      <w:autoSpaceDE w:val="0"/>
                      <w:autoSpaceDN w:val="0"/>
                      <w:adjustRightInd w:val="0"/>
                      <w:jc w:val="both"/>
                    </w:pPr>
                    <w:r>
                      <w:rPr>
                        <w:rFonts w:hint="eastAsia"/>
                      </w:rPr>
                      <w:t>其他关联方</w:t>
                    </w:r>
                  </w:p>
                </w:tc>
                <w:tc>
                  <w:tcPr>
                    <w:tcW w:w="1152" w:type="pct"/>
                    <w:tcBorders>
                      <w:top w:val="single" w:sz="4" w:space="0" w:color="auto"/>
                      <w:left w:val="single" w:sz="4" w:space="0" w:color="auto"/>
                      <w:bottom w:val="single" w:sz="4" w:space="0" w:color="auto"/>
                      <w:right w:val="single" w:sz="4" w:space="0" w:color="auto"/>
                    </w:tcBorders>
                    <w:vAlign w:val="center"/>
                  </w:tcPr>
                  <w:p w14:paraId="12B030E3" w14:textId="77777777" w:rsidR="007E7472" w:rsidRDefault="00EC1269">
                    <w:pPr>
                      <w:autoSpaceDE w:val="0"/>
                      <w:autoSpaceDN w:val="0"/>
                      <w:adjustRightInd w:val="0"/>
                      <w:jc w:val="right"/>
                    </w:pPr>
                    <w:r>
                      <w:t>20,513</w:t>
                    </w:r>
                  </w:p>
                </w:tc>
                <w:tc>
                  <w:tcPr>
                    <w:tcW w:w="1501" w:type="pct"/>
                    <w:tcBorders>
                      <w:top w:val="single" w:sz="4" w:space="0" w:color="auto"/>
                      <w:left w:val="single" w:sz="4" w:space="0" w:color="auto"/>
                      <w:bottom w:val="single" w:sz="4" w:space="0" w:color="auto"/>
                      <w:right w:val="single" w:sz="4" w:space="0" w:color="auto"/>
                    </w:tcBorders>
                    <w:vAlign w:val="center"/>
                  </w:tcPr>
                  <w:p w14:paraId="0C50314F" w14:textId="77777777" w:rsidR="007E7472" w:rsidRDefault="00EC1269">
                    <w:pPr>
                      <w:autoSpaceDE w:val="0"/>
                      <w:autoSpaceDN w:val="0"/>
                      <w:adjustRightInd w:val="0"/>
                      <w:jc w:val="right"/>
                    </w:pPr>
                    <w:r>
                      <w:t>20,490</w:t>
                    </w:r>
                  </w:p>
                </w:tc>
              </w:tr>
            </w:sdtContent>
          </w:sdt>
          <w:sdt>
            <w:sdtPr>
              <w:rPr>
                <w:rFonts w:hint="eastAsia"/>
              </w:rPr>
              <w:alias w:val="上市公司应付关联方款项明细"/>
              <w:tag w:val="_GBC_bb3d19486f2b460b856a135056bd0897"/>
              <w:id w:val="489680242"/>
              <w:lock w:val="sdtLocked"/>
            </w:sdtPr>
            <w:sdtEndPr/>
            <w:sdtContent>
              <w:tr w:rsidR="007E7472" w14:paraId="6C0A327E" w14:textId="77777777">
                <w:tc>
                  <w:tcPr>
                    <w:tcW w:w="881" w:type="pct"/>
                    <w:tcBorders>
                      <w:top w:val="single" w:sz="4" w:space="0" w:color="auto"/>
                      <w:left w:val="single" w:sz="4" w:space="0" w:color="auto"/>
                      <w:bottom w:val="single" w:sz="4" w:space="0" w:color="auto"/>
                      <w:right w:val="single" w:sz="4" w:space="0" w:color="auto"/>
                    </w:tcBorders>
                    <w:vAlign w:val="center"/>
                  </w:tcPr>
                  <w:p w14:paraId="08718A6F" w14:textId="77777777" w:rsidR="007E7472" w:rsidRDefault="00EC1269">
                    <w:pPr>
                      <w:autoSpaceDE w:val="0"/>
                      <w:autoSpaceDN w:val="0"/>
                      <w:adjustRightInd w:val="0"/>
                      <w:jc w:val="center"/>
                    </w:pPr>
                    <w:r>
                      <w:rPr>
                        <w:rFonts w:hint="eastAsia"/>
                      </w:rPr>
                      <w:t>合计</w:t>
                    </w:r>
                  </w:p>
                </w:tc>
                <w:tc>
                  <w:tcPr>
                    <w:tcW w:w="1465" w:type="pct"/>
                    <w:tcBorders>
                      <w:top w:val="single" w:sz="4" w:space="0" w:color="auto"/>
                      <w:left w:val="single" w:sz="4" w:space="0" w:color="auto"/>
                      <w:bottom w:val="single" w:sz="4" w:space="0" w:color="auto"/>
                      <w:right w:val="single" w:sz="4" w:space="0" w:color="auto"/>
                    </w:tcBorders>
                  </w:tcPr>
                  <w:p w14:paraId="06D874CF" w14:textId="77777777" w:rsidR="007E7472" w:rsidRDefault="00EC1269">
                    <w:pPr>
                      <w:autoSpaceDE w:val="0"/>
                      <w:autoSpaceDN w:val="0"/>
                      <w:adjustRightInd w:val="0"/>
                      <w:jc w:val="center"/>
                    </w:pPr>
                    <w:r>
                      <w:rPr>
                        <w:rFonts w:hint="eastAsia"/>
                      </w:rPr>
                      <w:t>—</w:t>
                    </w:r>
                  </w:p>
                </w:tc>
                <w:tc>
                  <w:tcPr>
                    <w:tcW w:w="1152" w:type="pct"/>
                    <w:tcBorders>
                      <w:top w:val="single" w:sz="4" w:space="0" w:color="auto"/>
                      <w:left w:val="single" w:sz="4" w:space="0" w:color="auto"/>
                      <w:bottom w:val="single" w:sz="4" w:space="0" w:color="auto"/>
                      <w:right w:val="single" w:sz="4" w:space="0" w:color="auto"/>
                    </w:tcBorders>
                    <w:vAlign w:val="center"/>
                  </w:tcPr>
                  <w:p w14:paraId="3905CA51" w14:textId="77777777" w:rsidR="007E7472" w:rsidRDefault="00EC1269">
                    <w:pPr>
                      <w:autoSpaceDE w:val="0"/>
                      <w:autoSpaceDN w:val="0"/>
                      <w:adjustRightInd w:val="0"/>
                      <w:jc w:val="right"/>
                    </w:pPr>
                    <w:r>
                      <w:t>14,084,689</w:t>
                    </w:r>
                  </w:p>
                </w:tc>
                <w:tc>
                  <w:tcPr>
                    <w:tcW w:w="1501" w:type="pct"/>
                    <w:tcBorders>
                      <w:top w:val="single" w:sz="4" w:space="0" w:color="auto"/>
                      <w:left w:val="single" w:sz="4" w:space="0" w:color="auto"/>
                      <w:bottom w:val="single" w:sz="4" w:space="0" w:color="auto"/>
                      <w:right w:val="single" w:sz="4" w:space="0" w:color="auto"/>
                    </w:tcBorders>
                    <w:vAlign w:val="center"/>
                  </w:tcPr>
                  <w:p w14:paraId="2E2F6A35" w14:textId="77777777" w:rsidR="007E7472" w:rsidRDefault="00EC1269">
                    <w:pPr>
                      <w:autoSpaceDE w:val="0"/>
                      <w:autoSpaceDN w:val="0"/>
                      <w:adjustRightInd w:val="0"/>
                      <w:jc w:val="right"/>
                    </w:pPr>
                    <w:r>
                      <w:t>16,010,527</w:t>
                    </w:r>
                  </w:p>
                </w:tc>
              </w:tr>
            </w:sdtContent>
          </w:sdt>
        </w:tbl>
        <w:p w14:paraId="5E3FF14D" w14:textId="77777777" w:rsidR="007E7472" w:rsidRDefault="00C8327E"/>
      </w:sdtContent>
    </w:sdt>
    <w:sdt>
      <w:sdtPr>
        <w:rPr>
          <w:rFonts w:hint="eastAsia"/>
          <w:szCs w:val="24"/>
        </w:rPr>
        <w:alias w:val="模块:关联方承诺"/>
        <w:tag w:val="_GBC_945a5f0033de4c9786bb7245eedc88e3"/>
        <w:id w:val="1527287466"/>
        <w:lock w:val="sdtLocked"/>
        <w:placeholder>
          <w:docPart w:val="GBC22222222222222222222222222222"/>
        </w:placeholder>
      </w:sdtPr>
      <w:sdtEndPr>
        <w:rPr>
          <w:rFonts w:cs="Cambria"/>
          <w:sz w:val="20"/>
          <w:szCs w:val="20"/>
        </w:rPr>
      </w:sdtEndPr>
      <w:sdtContent>
        <w:p w14:paraId="5618F59B" w14:textId="77777777" w:rsidR="007E7472" w:rsidRPr="00FC3C6E" w:rsidRDefault="00EC1269" w:rsidP="00162493">
          <w:pPr>
            <w:numPr>
              <w:ilvl w:val="2"/>
              <w:numId w:val="107"/>
            </w:numPr>
            <w:outlineLvl w:val="2"/>
            <w:rPr>
              <w:rFonts w:cs="Arial"/>
              <w:b/>
            </w:rPr>
          </w:pPr>
          <w:r w:rsidRPr="00FC3C6E">
            <w:rPr>
              <w:rFonts w:hint="eastAsia"/>
              <w:b/>
            </w:rPr>
            <w:t>关联方</w:t>
          </w:r>
          <w:r w:rsidRPr="00FC3C6E">
            <w:rPr>
              <w:rFonts w:cs="Arial" w:hint="eastAsia"/>
              <w:b/>
            </w:rPr>
            <w:t>承诺</w:t>
          </w:r>
        </w:p>
        <w:sdt>
          <w:sdtPr>
            <w:alias w:val="是否适用：关联方承诺[双击切换]"/>
            <w:tag w:val="_GBC_b906cacab2e94825966fa70e345656b5"/>
            <w:id w:val="773068429"/>
            <w:lock w:val="sdtLocked"/>
            <w:placeholder>
              <w:docPart w:val="GBC22222222222222222222222222222"/>
            </w:placeholder>
          </w:sdtPr>
          <w:sdtEndPr/>
          <w:sdtContent>
            <w:p w14:paraId="169324F6"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5FDA931" w14:textId="77777777" w:rsidR="007E7472" w:rsidRDefault="00C8327E">
          <w:pPr>
            <w:tabs>
              <w:tab w:val="left" w:pos="1134"/>
            </w:tabs>
            <w:rPr>
              <w:rFonts w:cs="Cambria"/>
              <w:sz w:val="20"/>
              <w:szCs w:val="20"/>
            </w:rPr>
          </w:pPr>
        </w:p>
      </w:sdtContent>
    </w:sdt>
    <w:sdt>
      <w:sdtPr>
        <w:rPr>
          <w:rFonts w:cs="Arial" w:hint="eastAsia"/>
        </w:rPr>
        <w:alias w:val="模块:关联方及关联情况的其他说明"/>
        <w:tag w:val="_GBC_f467d909644e4ab6b08e0abfbea78eb8"/>
        <w:id w:val="123663725"/>
        <w:lock w:val="sdtLocked"/>
        <w:placeholder>
          <w:docPart w:val="GBC22222222222222222222222222222"/>
        </w:placeholder>
      </w:sdtPr>
      <w:sdtEndPr>
        <w:rPr>
          <w:rFonts w:cs="Cambria"/>
          <w:sz w:val="20"/>
          <w:szCs w:val="20"/>
        </w:rPr>
      </w:sdtEndPr>
      <w:sdtContent>
        <w:p w14:paraId="0F507CA5" w14:textId="77777777" w:rsidR="007E7472" w:rsidRPr="00FC3C6E" w:rsidRDefault="00EC1269" w:rsidP="00162493">
          <w:pPr>
            <w:numPr>
              <w:ilvl w:val="2"/>
              <w:numId w:val="107"/>
            </w:numPr>
            <w:outlineLvl w:val="2"/>
            <w:rPr>
              <w:rFonts w:cs="Arial"/>
              <w:b/>
            </w:rPr>
          </w:pPr>
          <w:r w:rsidRPr="00FC3C6E">
            <w:rPr>
              <w:rFonts w:cs="Arial" w:hint="eastAsia"/>
              <w:b/>
            </w:rPr>
            <w:t>其他</w:t>
          </w:r>
        </w:p>
        <w:sdt>
          <w:sdtPr>
            <w:alias w:val="是否适用：关联方及关联情况的其他说明[双击切换]"/>
            <w:tag w:val="_GBC_87161343db8b4a0b9e041c62c0df5e87"/>
            <w:id w:val="1993984213"/>
            <w:lock w:val="sdtLocked"/>
            <w:placeholder>
              <w:docPart w:val="GBC22222222222222222222222222222"/>
            </w:placeholder>
          </w:sdtPr>
          <w:sdtEndPr/>
          <w:sdtContent>
            <w:p w14:paraId="1DCA7021" w14:textId="77777777" w:rsidR="007E7472" w:rsidRDefault="00EC1269">
              <w:pPr>
                <w:rPr>
                  <w:rFonts w:cs="Cambria"/>
                  <w:b/>
                  <w:sz w:val="20"/>
                  <w:szCs w:val="20"/>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7A3C5F93" w14:textId="77777777" w:rsidR="007E7472" w:rsidRDefault="00EC1269" w:rsidP="00162493">
      <w:pPr>
        <w:pStyle w:val="2"/>
        <w:numPr>
          <w:ilvl w:val="0"/>
          <w:numId w:val="43"/>
        </w:numPr>
        <w:ind w:firstLineChars="0"/>
      </w:pPr>
      <w:r>
        <w:rPr>
          <w:rFonts w:hint="eastAsia"/>
        </w:rPr>
        <w:t>股份支付</w:t>
      </w:r>
    </w:p>
    <w:bookmarkStart w:id="279" w:name="_Hlk40787153" w:displacedByCustomXml="next"/>
    <w:sdt>
      <w:sdtPr>
        <w:rPr>
          <w:rFonts w:ascii="Times New Roman" w:hAnsi="Times New Roman" w:hint="eastAsia"/>
          <w:szCs w:val="24"/>
        </w:rPr>
        <w:alias w:val="选项模块:股份支付总体情况（单表）"/>
        <w:tag w:val="_SEC_8f29a670afb24d6483751d12de8416ae"/>
        <w:id w:val="1440179807"/>
        <w:lock w:val="sdtLocked"/>
        <w:placeholder>
          <w:docPart w:val="GBC22222222222222222222222222222"/>
        </w:placeholder>
      </w:sdtPr>
      <w:sdtEndPr>
        <w:rPr>
          <w:rFonts w:ascii="宋体" w:hAnsi="宋体" w:cstheme="minorBidi"/>
          <w:szCs w:val="21"/>
        </w:rPr>
      </w:sdtEndPr>
      <w:sdtContent>
        <w:p w14:paraId="792B9671" w14:textId="77777777" w:rsidR="007E7472" w:rsidRPr="00B47735" w:rsidRDefault="00EC1269" w:rsidP="00162493">
          <w:pPr>
            <w:numPr>
              <w:ilvl w:val="2"/>
              <w:numId w:val="110"/>
            </w:numPr>
            <w:outlineLvl w:val="2"/>
            <w:rPr>
              <w:b/>
            </w:rPr>
          </w:pPr>
          <w:r w:rsidRPr="00B47735">
            <w:rPr>
              <w:rFonts w:hint="eastAsia"/>
              <w:b/>
            </w:rPr>
            <w:t>股份支付总体情况</w:t>
          </w:r>
        </w:p>
        <w:sdt>
          <w:sdtPr>
            <w:alias w:val="是否适用：股份支付总体情况[双击切换]"/>
            <w:tag w:val="_GBC_521da934e5db4c5a89b957a4a21e4749"/>
            <w:id w:val="-856969038"/>
            <w:lock w:val="sdtLocked"/>
          </w:sdtPr>
          <w:sdtEndPr/>
          <w:sdtContent>
            <w:p w14:paraId="183759A0" w14:textId="77777777" w:rsidR="007E7472" w:rsidRDefault="00EC1269">
              <w:r>
                <w:fldChar w:fldCharType="begin"/>
              </w:r>
              <w:r>
                <w:instrText xml:space="preserve"> MACROBUTTON SnrToggleCheckbox √适用 </w:instrText>
              </w:r>
              <w:r>
                <w:fldChar w:fldCharType="end"/>
              </w:r>
              <w:r>
                <w:fldChar w:fldCharType="begin"/>
              </w:r>
              <w:r>
                <w:instrText xml:space="preserve">MACROBUTTON  SnrToggleCheckbox □不适用 </w:instrText>
              </w:r>
              <w:r>
                <w:fldChar w:fldCharType="end"/>
              </w:r>
            </w:p>
          </w:sdtContent>
        </w:sdt>
        <w:p w14:paraId="7C761E51" w14:textId="77777777" w:rsidR="007E7472" w:rsidRPr="00BB240E" w:rsidRDefault="00913748" w:rsidP="007E7472">
          <w:pPr>
            <w:ind w:firstLineChars="200" w:firstLine="420"/>
            <w:rPr>
              <w:b/>
            </w:rPr>
          </w:pPr>
          <w:r>
            <w:rPr>
              <w:rFonts w:hint="eastAsia"/>
            </w:rPr>
            <w:t>（1）本公司</w:t>
          </w:r>
        </w:p>
        <w:p w14:paraId="1E760A3F" w14:textId="4A09F435" w:rsidR="007E7472" w:rsidRDefault="00EC1269">
          <w:pPr>
            <w:jc w:val="right"/>
          </w:pPr>
          <w:r>
            <w:rPr>
              <w:rFonts w:hint="eastAsia"/>
            </w:rPr>
            <w:t>单位：</w:t>
          </w:r>
          <w:sdt>
            <w:sdtPr>
              <w:rPr>
                <w:rFonts w:hint="eastAsia"/>
              </w:rPr>
              <w:alias w:val="单位：财务附注：股份支付总体情况"/>
              <w:tag w:val="_GBC_29c15a4f4e4c42a3982b13842f764255"/>
              <w:id w:val="109402434"/>
              <w:lock w:val="sdtLocked"/>
              <w:comboBox>
                <w:listItem w:displayText="股" w:value="股"/>
                <w:listItem w:displayText="份" w:value="份"/>
              </w:comboBox>
            </w:sdtPr>
            <w:sdtEndPr/>
            <w:sdtContent>
              <w:r w:rsidR="006F3F93">
                <w:rPr>
                  <w:rFonts w:hint="eastAsia"/>
                </w:rPr>
                <w:t>股</w:t>
              </w:r>
            </w:sdtContent>
          </w:sdt>
          <w:r>
            <w:rPr>
              <w:rFonts w:hint="eastAsia"/>
            </w:rPr>
            <w:t xml:space="preserve">  币种：</w:t>
          </w:r>
          <w:sdt>
            <w:sdtPr>
              <w:rPr>
                <w:rFonts w:hint="eastAsia"/>
              </w:rPr>
              <w:alias w:val="币种：财务附注：股份支付总体情况"/>
              <w:tag w:val="_GBC_7945c8106dfc450f88d3eb429737bc75"/>
              <w:id w:val="-213786962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4295"/>
          </w:tblGrid>
          <w:tr w:rsidR="007E7472" w14:paraId="4DD98D4A" w14:textId="77777777">
            <w:sdt>
              <w:sdtPr>
                <w:tag w:val="_PLD_9f028c77af7c4d86b34a6da2dd625bc9"/>
                <w:id w:val="1854524074"/>
                <w:lock w:val="sdtLocked"/>
              </w:sdtPr>
              <w:sdtEndPr/>
              <w:sdtContent>
                <w:tc>
                  <w:tcPr>
                    <w:tcW w:w="2566" w:type="pct"/>
                    <w:tcBorders>
                      <w:top w:val="single" w:sz="4" w:space="0" w:color="auto"/>
                      <w:left w:val="single" w:sz="4" w:space="0" w:color="auto"/>
                      <w:bottom w:val="single" w:sz="4" w:space="0" w:color="auto"/>
                      <w:right w:val="single" w:sz="4" w:space="0" w:color="auto"/>
                    </w:tcBorders>
                  </w:tcPr>
                  <w:p w14:paraId="3173D26D" w14:textId="77777777" w:rsidR="007E7472" w:rsidRDefault="00EC1269">
                    <w:r>
                      <w:rPr>
                        <w:rFonts w:hint="eastAsia"/>
                      </w:rPr>
                      <w:t>公司本期授予的各项权益工具总额</w:t>
                    </w:r>
                  </w:p>
                </w:tc>
              </w:sdtContent>
            </w:sdt>
            <w:sdt>
              <w:sdtPr>
                <w:rPr>
                  <w:rFonts w:hint="eastAsia"/>
                </w:rPr>
                <w:alias w:val="公司授予的各项权益工具总额"/>
                <w:tag w:val="_GBC_888f88c34ff34d90a682cc3f8e0082df"/>
                <w:id w:val="854303538"/>
                <w:lock w:val="sdtLocked"/>
                <w:showingPlcHdr/>
              </w:sdtPr>
              <w:sdtEndPr/>
              <w:sdtContent>
                <w:tc>
                  <w:tcPr>
                    <w:tcW w:w="2434" w:type="pct"/>
                    <w:tcBorders>
                      <w:top w:val="single" w:sz="4" w:space="0" w:color="auto"/>
                      <w:left w:val="single" w:sz="4" w:space="0" w:color="auto"/>
                      <w:bottom w:val="single" w:sz="4" w:space="0" w:color="auto"/>
                      <w:right w:val="single" w:sz="4" w:space="0" w:color="auto"/>
                    </w:tcBorders>
                  </w:tcPr>
                  <w:p w14:paraId="435C7AA3" w14:textId="77777777" w:rsidR="007E7472" w:rsidRDefault="00EC1269">
                    <w:pPr>
                      <w:jc w:val="right"/>
                    </w:pPr>
                    <w:r>
                      <w:rPr>
                        <w:rFonts w:hint="eastAsia"/>
                      </w:rPr>
                      <w:t xml:space="preserve">　</w:t>
                    </w:r>
                  </w:p>
                </w:tc>
              </w:sdtContent>
            </w:sdt>
          </w:tr>
          <w:tr w:rsidR="007E7472" w14:paraId="23BCF90B" w14:textId="77777777">
            <w:sdt>
              <w:sdtPr>
                <w:tag w:val="_PLD_baf707d6fcf64a5586638912172ca11f"/>
                <w:id w:val="681716587"/>
                <w:lock w:val="sdtLocked"/>
              </w:sdtPr>
              <w:sdtEndPr/>
              <w:sdtContent>
                <w:tc>
                  <w:tcPr>
                    <w:tcW w:w="2566" w:type="pct"/>
                    <w:tcBorders>
                      <w:top w:val="single" w:sz="4" w:space="0" w:color="auto"/>
                      <w:left w:val="single" w:sz="4" w:space="0" w:color="auto"/>
                      <w:bottom w:val="single" w:sz="4" w:space="0" w:color="auto"/>
                      <w:right w:val="single" w:sz="4" w:space="0" w:color="auto"/>
                    </w:tcBorders>
                  </w:tcPr>
                  <w:p w14:paraId="2E0E3410" w14:textId="77777777" w:rsidR="007E7472" w:rsidRDefault="00EC1269">
                    <w:r>
                      <w:rPr>
                        <w:rFonts w:hint="eastAsia"/>
                      </w:rPr>
                      <w:t>公司本期行权的各项权益工具总额</w:t>
                    </w:r>
                  </w:p>
                </w:tc>
              </w:sdtContent>
            </w:sdt>
            <w:tc>
              <w:tcPr>
                <w:tcW w:w="2434" w:type="pct"/>
                <w:tcBorders>
                  <w:top w:val="single" w:sz="4" w:space="0" w:color="auto"/>
                  <w:left w:val="single" w:sz="4" w:space="0" w:color="auto"/>
                  <w:bottom w:val="single" w:sz="4" w:space="0" w:color="auto"/>
                  <w:right w:val="single" w:sz="4" w:space="0" w:color="auto"/>
                </w:tcBorders>
                <w:vAlign w:val="center"/>
              </w:tcPr>
              <w:p w14:paraId="71F01E07" w14:textId="77777777" w:rsidR="007E7472" w:rsidRDefault="00EC1269">
                <w:pPr>
                  <w:jc w:val="right"/>
                </w:pPr>
                <w:r>
                  <w:rPr>
                    <w:rFonts w:hint="eastAsia"/>
                  </w:rPr>
                  <w:t>12,656,840</w:t>
                </w:r>
              </w:p>
            </w:tc>
          </w:tr>
          <w:tr w:rsidR="007E7472" w14:paraId="3140EC41" w14:textId="77777777">
            <w:sdt>
              <w:sdtPr>
                <w:tag w:val="_PLD_8a2a5e8cb5464adead3ddff479de381d"/>
                <w:id w:val="-179132124"/>
                <w:lock w:val="sdtLocked"/>
              </w:sdtPr>
              <w:sdtEndPr/>
              <w:sdtContent>
                <w:tc>
                  <w:tcPr>
                    <w:tcW w:w="2566" w:type="pct"/>
                    <w:tcBorders>
                      <w:top w:val="single" w:sz="4" w:space="0" w:color="auto"/>
                      <w:left w:val="single" w:sz="4" w:space="0" w:color="auto"/>
                      <w:bottom w:val="single" w:sz="4" w:space="0" w:color="auto"/>
                      <w:right w:val="single" w:sz="4" w:space="0" w:color="auto"/>
                    </w:tcBorders>
                  </w:tcPr>
                  <w:p w14:paraId="23AAD046" w14:textId="77777777" w:rsidR="007E7472" w:rsidRDefault="00EC1269">
                    <w:r>
                      <w:rPr>
                        <w:rFonts w:hint="eastAsia"/>
                      </w:rPr>
                      <w:t>公司本期失效的各项权益工具总额</w:t>
                    </w:r>
                  </w:p>
                </w:tc>
              </w:sdtContent>
            </w:sdt>
            <w:tc>
              <w:tcPr>
                <w:tcW w:w="2434" w:type="pct"/>
                <w:tcBorders>
                  <w:top w:val="single" w:sz="4" w:space="0" w:color="auto"/>
                  <w:left w:val="single" w:sz="4" w:space="0" w:color="auto"/>
                  <w:bottom w:val="single" w:sz="4" w:space="0" w:color="auto"/>
                  <w:right w:val="single" w:sz="4" w:space="0" w:color="auto"/>
                </w:tcBorders>
                <w:vAlign w:val="center"/>
              </w:tcPr>
              <w:p w14:paraId="6B04C686" w14:textId="77777777" w:rsidR="007E7472" w:rsidRDefault="00EC1269">
                <w:pPr>
                  <w:wordWrap w:val="0"/>
                  <w:jc w:val="right"/>
                </w:pPr>
                <w:r>
                  <w:rPr>
                    <w:rFonts w:hint="eastAsia"/>
                  </w:rPr>
                  <w:t>358,360</w:t>
                </w:r>
              </w:p>
            </w:tc>
          </w:tr>
          <w:tr w:rsidR="007E7472" w14:paraId="1938A6AC" w14:textId="77777777">
            <w:sdt>
              <w:sdtPr>
                <w:tag w:val="_PLD_0864dd05a897463290f522a803e6218f"/>
                <w:id w:val="737209596"/>
                <w:lock w:val="sdtLocked"/>
              </w:sdtPr>
              <w:sdtEndPr/>
              <w:sdtContent>
                <w:tc>
                  <w:tcPr>
                    <w:tcW w:w="2566" w:type="pct"/>
                    <w:tcBorders>
                      <w:top w:val="single" w:sz="4" w:space="0" w:color="auto"/>
                      <w:left w:val="single" w:sz="4" w:space="0" w:color="auto"/>
                      <w:bottom w:val="single" w:sz="4" w:space="0" w:color="auto"/>
                      <w:right w:val="single" w:sz="4" w:space="0" w:color="auto"/>
                    </w:tcBorders>
                  </w:tcPr>
                  <w:p w14:paraId="22B450E8" w14:textId="77777777" w:rsidR="007E7472" w:rsidRDefault="00EC1269">
                    <w:r>
                      <w:rPr>
                        <w:rFonts w:hint="eastAsia"/>
                      </w:rPr>
                      <w:t>公司期末发行在外的股票期权行权价格的范围和合同剩余期限</w:t>
                    </w:r>
                  </w:p>
                </w:tc>
              </w:sdtContent>
            </w:sdt>
            <w:tc>
              <w:tcPr>
                <w:tcW w:w="2434" w:type="pct"/>
                <w:tcBorders>
                  <w:top w:val="single" w:sz="4" w:space="0" w:color="auto"/>
                  <w:left w:val="single" w:sz="4" w:space="0" w:color="auto"/>
                  <w:bottom w:val="single" w:sz="4" w:space="0" w:color="auto"/>
                  <w:right w:val="single" w:sz="4" w:space="0" w:color="auto"/>
                </w:tcBorders>
                <w:vAlign w:val="center"/>
              </w:tcPr>
              <w:p w14:paraId="7A909F35" w14:textId="77777777" w:rsidR="007E7472" w:rsidRDefault="00EC1269">
                <w:pPr>
                  <w:jc w:val="right"/>
                </w:pPr>
                <w:r>
                  <w:rPr>
                    <w:rFonts w:hint="eastAsia"/>
                  </w:rPr>
                  <w:t>11.72元/股</w:t>
                </w:r>
              </w:p>
            </w:tc>
          </w:tr>
          <w:tr w:rsidR="007E7472" w14:paraId="691FEE77" w14:textId="77777777">
            <w:sdt>
              <w:sdtPr>
                <w:tag w:val="_PLD_680a92fb80034bcf848b76a4f768cc40"/>
                <w:id w:val="-503984978"/>
                <w:lock w:val="sdtLocked"/>
              </w:sdtPr>
              <w:sdtEndPr/>
              <w:sdtContent>
                <w:tc>
                  <w:tcPr>
                    <w:tcW w:w="2566" w:type="pct"/>
                    <w:tcBorders>
                      <w:top w:val="single" w:sz="4" w:space="0" w:color="auto"/>
                      <w:left w:val="single" w:sz="4" w:space="0" w:color="auto"/>
                      <w:bottom w:val="single" w:sz="4" w:space="0" w:color="auto"/>
                      <w:right w:val="single" w:sz="4" w:space="0" w:color="auto"/>
                    </w:tcBorders>
                  </w:tcPr>
                  <w:p w14:paraId="2D5ED60C" w14:textId="77777777" w:rsidR="007E7472" w:rsidRDefault="00EC1269">
                    <w:r>
                      <w:rPr>
                        <w:rFonts w:hint="eastAsia"/>
                      </w:rPr>
                      <w:t>公司期末发行在外的其他权益工具行权价格的范围和合同剩余期限</w:t>
                    </w:r>
                  </w:p>
                </w:tc>
              </w:sdtContent>
            </w:sdt>
            <w:tc>
              <w:tcPr>
                <w:tcW w:w="2434" w:type="pct"/>
                <w:tcBorders>
                  <w:top w:val="single" w:sz="4" w:space="0" w:color="auto"/>
                  <w:left w:val="single" w:sz="4" w:space="0" w:color="auto"/>
                  <w:bottom w:val="single" w:sz="4" w:space="0" w:color="auto"/>
                  <w:right w:val="single" w:sz="4" w:space="0" w:color="auto"/>
                </w:tcBorders>
                <w:vAlign w:val="center"/>
              </w:tcPr>
              <w:p w14:paraId="2A4661BA" w14:textId="77777777" w:rsidR="007E7472" w:rsidRDefault="00EC1269">
                <w:pPr>
                  <w:jc w:val="right"/>
                </w:pPr>
                <w:r>
                  <w:rPr>
                    <w:rFonts w:hint="eastAsia"/>
                  </w:rPr>
                  <w:t>1-3年</w:t>
                </w:r>
              </w:p>
            </w:tc>
          </w:tr>
        </w:tbl>
        <w:p w14:paraId="090C3987" w14:textId="77777777" w:rsidR="007E7472" w:rsidRDefault="00EC1269">
          <w:pPr>
            <w:ind w:firstLineChars="200" w:firstLine="420"/>
          </w:pPr>
          <w:r>
            <w:rPr>
              <w:rFonts w:hint="eastAsia"/>
            </w:rPr>
            <w:t>其他说明</w:t>
          </w:r>
        </w:p>
        <w:sdt>
          <w:sdtPr>
            <w:alias w:val="股份支付的说明"/>
            <w:tag w:val="_GBC_03cd059188434b3e9965ccb1845ecdd5"/>
            <w:id w:val="-1819182901"/>
            <w:lock w:val="sdtLocked"/>
          </w:sdtPr>
          <w:sdtEndPr/>
          <w:sdtContent>
            <w:p w14:paraId="3507B1E8" w14:textId="77777777" w:rsidR="007E7472" w:rsidRDefault="00EC1269">
              <w:pPr>
                <w:spacing w:beforeLines="50" w:before="120" w:afterLines="50" w:after="120" w:line="360" w:lineRule="exact"/>
                <w:ind w:firstLineChars="200" w:firstLine="420"/>
              </w:pPr>
              <w:r>
                <w:t>2019年2月12日，本公司根据激励计划向管理层人员及核心骨干人员授予A股期权46,320,000份。本计划授予的期权等待期为24月，36月，48月。</w:t>
              </w:r>
            </w:p>
            <w:p w14:paraId="0340DE29" w14:textId="77777777" w:rsidR="007E7472" w:rsidRDefault="00EC1269">
              <w:pPr>
                <w:spacing w:beforeLines="50" w:before="120" w:afterLines="50" w:after="120" w:line="360" w:lineRule="exact"/>
                <w:ind w:firstLineChars="200" w:firstLine="420"/>
              </w:pPr>
              <w:r>
                <w:t>2021年1月13日，根据公司股东大会的授权，董事会同意将本次股票期权激励计划的激励对象人数由499名调整至469名，所涉及已获授但尚未行权的股票期权数量由46,320,000份调</w:t>
              </w:r>
              <w:r>
                <w:lastRenderedPageBreak/>
                <w:t>整至43,020,860份。本次股权激励计划第一个行权期行权条件已成就，符合条件的469名激励对象在第一个行权期可行权的股票期权数量为14,184,060份，第一个行权期可行权股票期权均已行权完毕，剩余已获授但尚未行权的股票期权数量为28,836,800份。</w:t>
              </w:r>
            </w:p>
            <w:p w14:paraId="6A978C4E" w14:textId="77777777" w:rsidR="007E7472" w:rsidRDefault="00EC1269">
              <w:pPr>
                <w:spacing w:beforeLines="50" w:before="120" w:afterLines="50" w:after="120" w:line="360" w:lineRule="exact"/>
                <w:ind w:firstLineChars="200" w:firstLine="420"/>
              </w:pPr>
              <w:r>
                <w:t>2022年1月27日，根据公司股东大会的授权，董事会同意将本次股票期权激励计划的激励对象人数由469名调整至436名，所涉及已获授但尚未行权的期权数量由28,836,800份调整至26,005,080份；本次股权激励计划第二个行权期行权条件已成就，符合条件的436名激励对象在第二个行权期可行权的期权数量为12,796,080份。截至2022年3月31日，符合行权条件的435名激励对象以人民币6.52元/份的价格行权12,779,580份。剩余已获授但尚未行权的股票期权数量为13,225,500份，其中：第二个行权期已获授但尚未行权的股票期权数量为16,500份。2022年4月29日，根据股东大会授权，董事会同意将本次股票期权激励计划的激励对象人数由436名调整至430名，同时相应将已获授但尚未行权的股票期权数量由13,225,500份调整至13,015,200份（其中：调减第二个行权期已获授但尚未行权的股票期权数量16,500份）。</w:t>
              </w:r>
            </w:p>
            <w:p w14:paraId="52EE7C21" w14:textId="77777777" w:rsidR="007E7472" w:rsidRDefault="00EC1269">
              <w:pPr>
                <w:spacing w:beforeLines="50" w:before="120" w:afterLines="50" w:after="120" w:line="360" w:lineRule="exact"/>
                <w:ind w:firstLineChars="200" w:firstLine="420"/>
              </w:pPr>
              <w:r>
                <w:t>2023年4月24日，公司召开第八届董事会第二十八次会议和第八届监事会第十九次会议，审议批准了《关于调整2018年A股股票期权激励计划相关事项的议案》《关于2018年A股股票期权激励计划第三个行权期行权条件成就的议案》。根据公司股东大会授权，董事会同意将本次股权激励计划的激励对象人数由430名调整至419名，所涉及已获授但尚未行权的期权数量由13,015,200份调整至12,656,840份；行权价格由人民币6.52元/份调整为人民币4.52元/份；本次股权激励计划第三个行权期行权条件已成就，符合条件的419名激励对象在第三个行权期可行权的期权数量为12,656,840份。</w:t>
              </w:r>
            </w:p>
            <w:p w14:paraId="221CEF22" w14:textId="77777777" w:rsidR="007E7472" w:rsidRDefault="00EC1269">
              <w:pPr>
                <w:spacing w:beforeLines="50" w:before="120" w:afterLines="50" w:after="120" w:line="360" w:lineRule="exact"/>
                <w:ind w:firstLineChars="200" w:firstLine="420"/>
              </w:pPr>
              <w:r>
                <w:t>截止2023年6月30日，本年已行权12,656,840份，第三个行权期可行权股票期权已全部行权，公司总股本增加至4,961,360,480份。</w:t>
              </w:r>
            </w:p>
            <w:p w14:paraId="4B0EA977" w14:textId="77777777" w:rsidR="007E7472" w:rsidRDefault="00EC1269">
              <w:pPr>
                <w:spacing w:beforeLines="50" w:before="120" w:afterLines="50" w:after="120" w:line="360" w:lineRule="exact"/>
                <w:ind w:firstLineChars="200" w:firstLine="420"/>
              </w:pPr>
              <w:r>
                <w:t>本计划授予的股票期权的行权考核年度为2019年至2021年，每个会计年度考核一次。若股票期权的行权条件达成，则激励对象按照计划规定行权。反之，若行权条件未达成，则公司按照本计划，激励对象所获期权当期可行权份额注销。</w:t>
              </w:r>
            </w:p>
            <w:p w14:paraId="0C882A54" w14:textId="77777777" w:rsidR="007E7472" w:rsidRDefault="00EC1269">
              <w:pPr>
                <w:spacing w:beforeLines="50" w:before="120" w:afterLines="50" w:after="120" w:line="360" w:lineRule="exact"/>
                <w:ind w:firstLineChars="200" w:firstLine="420"/>
              </w:pPr>
              <w:r>
                <w:t>2022年1月27日，本公司根据激励计划以2022年1月27日为授予日，以11.72元每股为授予价格，向符合条件的1,256名激励对象授予6,234万股限制性股票。本公司董事会审议授予相关事项后，在资金缴纳过程中，11名激励对象因个人原因自愿放弃公司向其授予的全部限制性股票，合计放弃60万股限制性股票，激励对象由1,256人调整为1,245人，授予的限制性股票数量由6,234万股调整为6,174万股。本激励计划限售期分别为自限制性股票授予登记完成之日起24月，36月，48月。截止2022年2月12日止，公司已收到1,245位股权激励对象缴纳的6,174万股限制性股票购股款人民币72,359.28万元。其中，计入股本6,174.00万元，计入资本公积66,185.28万元。</w:t>
              </w:r>
            </w:p>
            <w:p w14:paraId="5ECC81CD" w14:textId="77777777" w:rsidR="007E7472" w:rsidRDefault="00EC1269">
              <w:pPr>
                <w:spacing w:beforeLines="50" w:before="120" w:afterLines="50" w:after="120" w:line="360" w:lineRule="exact"/>
                <w:ind w:firstLineChars="200" w:firstLine="420"/>
              </w:pPr>
              <w:r>
                <w:t>截止2023年6月30日，公司总股本为4,961,360,480份，其中：无限售条件股4,899,620,480份，有限售条件股61,740,000份。</w:t>
              </w:r>
            </w:p>
          </w:sdtContent>
        </w:sdt>
        <w:p w14:paraId="669C7288" w14:textId="77777777" w:rsidR="007E7472" w:rsidRDefault="00C8327E"/>
      </w:sdtContent>
    </w:sdt>
    <w:p w14:paraId="1AE2BC2D" w14:textId="77777777" w:rsidR="007E7472" w:rsidRDefault="00EC1269">
      <w:r>
        <w:rPr>
          <w:rFonts w:hint="eastAsia"/>
        </w:rPr>
        <w:t>（2）澳洲公司</w:t>
      </w:r>
    </w:p>
    <w:p w14:paraId="0759CBFD" w14:textId="77777777" w:rsidR="007E7472" w:rsidRDefault="00EC1269">
      <w:pPr>
        <w:ind w:right="210"/>
        <w:jc w:val="right"/>
        <w:rPr>
          <w:bCs/>
        </w:rPr>
      </w:pPr>
      <w:r>
        <w:rPr>
          <w:rFonts w:hint="eastAsia"/>
          <w:bCs/>
        </w:rPr>
        <w:lastRenderedPageBreak/>
        <w:t>单位：股</w:t>
      </w:r>
      <w:r>
        <w:rPr>
          <w:bCs/>
        </w:rPr>
        <w:t>币种：人民币</w:t>
      </w:r>
    </w:p>
    <w:tbl>
      <w:tblPr>
        <w:tblStyle w:val="g4"/>
        <w:tblW w:w="8820" w:type="dxa"/>
        <w:jc w:val="center"/>
        <w:tblLayout w:type="fixed"/>
        <w:tblLook w:val="04A0" w:firstRow="1" w:lastRow="0" w:firstColumn="1" w:lastColumn="0" w:noHBand="0" w:noVBand="1"/>
      </w:tblPr>
      <w:tblGrid>
        <w:gridCol w:w="6423"/>
        <w:gridCol w:w="2397"/>
      </w:tblGrid>
      <w:tr w:rsidR="007E7472" w14:paraId="5F7AFF0B" w14:textId="77777777">
        <w:trPr>
          <w:trHeight w:val="397"/>
          <w:tblHeader/>
          <w:jc w:val="center"/>
        </w:trPr>
        <w:tc>
          <w:tcPr>
            <w:tcW w:w="6423" w:type="dxa"/>
            <w:tcBorders>
              <w:top w:val="single" w:sz="4" w:space="0" w:color="auto"/>
              <w:left w:val="single" w:sz="4" w:space="0" w:color="auto"/>
              <w:bottom w:val="single" w:sz="4" w:space="0" w:color="auto"/>
              <w:right w:val="single" w:sz="4" w:space="0" w:color="auto"/>
            </w:tcBorders>
            <w:vAlign w:val="center"/>
          </w:tcPr>
          <w:p w14:paraId="1AF360E2" w14:textId="77777777" w:rsidR="007E7472" w:rsidRDefault="00EC1269">
            <w:pPr>
              <w:rPr>
                <w:rFonts w:eastAsiaTheme="minorEastAsia" w:cs="Calibri"/>
                <w:szCs w:val="24"/>
              </w:rPr>
            </w:pPr>
            <w:r>
              <w:rPr>
                <w:rFonts w:eastAsiaTheme="minorEastAsia" w:cs="Calibri" w:hint="eastAsia"/>
                <w:szCs w:val="28"/>
              </w:rPr>
              <w:t>项目</w:t>
            </w:r>
          </w:p>
        </w:tc>
        <w:tc>
          <w:tcPr>
            <w:tcW w:w="2397" w:type="dxa"/>
            <w:tcBorders>
              <w:top w:val="single" w:sz="4" w:space="0" w:color="auto"/>
              <w:left w:val="nil"/>
              <w:bottom w:val="single" w:sz="4" w:space="0" w:color="auto"/>
              <w:right w:val="single" w:sz="4" w:space="0" w:color="auto"/>
            </w:tcBorders>
            <w:vAlign w:val="center"/>
          </w:tcPr>
          <w:p w14:paraId="05D88BE2" w14:textId="77777777" w:rsidR="007E7472" w:rsidRDefault="00EC1269">
            <w:pPr>
              <w:jc w:val="center"/>
              <w:rPr>
                <w:rFonts w:eastAsiaTheme="minorEastAsia" w:cs="Calibri"/>
                <w:szCs w:val="28"/>
              </w:rPr>
            </w:pPr>
            <w:r>
              <w:rPr>
                <w:rFonts w:eastAsiaTheme="minorEastAsia" w:cs="Calibri" w:hint="eastAsia"/>
                <w:szCs w:val="28"/>
              </w:rPr>
              <w:t>情况</w:t>
            </w:r>
          </w:p>
        </w:tc>
      </w:tr>
      <w:tr w:rsidR="007E7472" w14:paraId="6EC2DF0A" w14:textId="77777777">
        <w:trPr>
          <w:trHeight w:val="397"/>
          <w:jc w:val="center"/>
        </w:trPr>
        <w:tc>
          <w:tcPr>
            <w:tcW w:w="6423" w:type="dxa"/>
            <w:tcBorders>
              <w:top w:val="single" w:sz="4" w:space="0" w:color="auto"/>
              <w:left w:val="single" w:sz="4" w:space="0" w:color="auto"/>
              <w:bottom w:val="single" w:sz="4" w:space="0" w:color="auto"/>
              <w:right w:val="single" w:sz="4" w:space="0" w:color="auto"/>
            </w:tcBorders>
            <w:vAlign w:val="center"/>
          </w:tcPr>
          <w:p w14:paraId="0C972DB4" w14:textId="77777777" w:rsidR="007E7472" w:rsidRDefault="00EC1269">
            <w:pPr>
              <w:rPr>
                <w:rFonts w:eastAsiaTheme="minorEastAsia" w:cs="Calibri"/>
                <w:bCs/>
                <w:szCs w:val="28"/>
              </w:rPr>
            </w:pPr>
            <w:r>
              <w:rPr>
                <w:rFonts w:eastAsiaTheme="minorEastAsia" w:cs="Calibri" w:hint="eastAsia"/>
                <w:bCs/>
                <w:szCs w:val="28"/>
              </w:rPr>
              <w:t>本期授予的各项权益工具总额</w:t>
            </w:r>
          </w:p>
        </w:tc>
        <w:tc>
          <w:tcPr>
            <w:tcW w:w="2397" w:type="dxa"/>
            <w:tcBorders>
              <w:top w:val="single" w:sz="4" w:space="0" w:color="auto"/>
              <w:left w:val="nil"/>
              <w:bottom w:val="single" w:sz="4" w:space="0" w:color="auto"/>
              <w:right w:val="single" w:sz="4" w:space="0" w:color="auto"/>
            </w:tcBorders>
            <w:vAlign w:val="center"/>
          </w:tcPr>
          <w:p w14:paraId="1EC10AAA" w14:textId="77777777" w:rsidR="007E7472" w:rsidRDefault="00EC1269">
            <w:pPr>
              <w:jc w:val="right"/>
              <w:rPr>
                <w:rFonts w:eastAsiaTheme="minorEastAsia" w:cs="Calibri"/>
                <w:szCs w:val="28"/>
              </w:rPr>
            </w:pPr>
            <w:r>
              <w:rPr>
                <w:rFonts w:eastAsiaTheme="minorEastAsia"/>
              </w:rPr>
              <w:t>1,216,705</w:t>
            </w:r>
          </w:p>
        </w:tc>
      </w:tr>
      <w:tr w:rsidR="007E7472" w14:paraId="083F226E" w14:textId="77777777">
        <w:trPr>
          <w:trHeight w:val="397"/>
          <w:jc w:val="center"/>
        </w:trPr>
        <w:tc>
          <w:tcPr>
            <w:tcW w:w="6423" w:type="dxa"/>
            <w:tcBorders>
              <w:top w:val="single" w:sz="4" w:space="0" w:color="auto"/>
              <w:left w:val="single" w:sz="4" w:space="0" w:color="auto"/>
              <w:bottom w:val="single" w:sz="4" w:space="0" w:color="auto"/>
              <w:right w:val="single" w:sz="4" w:space="0" w:color="auto"/>
            </w:tcBorders>
            <w:vAlign w:val="center"/>
          </w:tcPr>
          <w:p w14:paraId="44F3872E" w14:textId="77777777" w:rsidR="007E7472" w:rsidRDefault="00EC1269">
            <w:pPr>
              <w:rPr>
                <w:rFonts w:eastAsiaTheme="minorEastAsia" w:cs="Calibri"/>
                <w:bCs/>
                <w:szCs w:val="28"/>
              </w:rPr>
            </w:pPr>
            <w:r>
              <w:rPr>
                <w:rFonts w:eastAsiaTheme="minorEastAsia" w:cs="Calibri" w:hint="eastAsia"/>
                <w:bCs/>
                <w:szCs w:val="28"/>
              </w:rPr>
              <w:t>本期行权的各项权益工具总额</w:t>
            </w:r>
          </w:p>
        </w:tc>
        <w:tc>
          <w:tcPr>
            <w:tcW w:w="2397" w:type="dxa"/>
            <w:tcBorders>
              <w:top w:val="single" w:sz="4" w:space="0" w:color="auto"/>
              <w:left w:val="nil"/>
              <w:bottom w:val="single" w:sz="4" w:space="0" w:color="auto"/>
              <w:right w:val="single" w:sz="4" w:space="0" w:color="auto"/>
            </w:tcBorders>
            <w:vAlign w:val="center"/>
          </w:tcPr>
          <w:p w14:paraId="4D95D5FD" w14:textId="77777777" w:rsidR="007E7472" w:rsidRDefault="00EC1269">
            <w:pPr>
              <w:jc w:val="right"/>
              <w:rPr>
                <w:rFonts w:eastAsiaTheme="minorEastAsia" w:cs="Calibri"/>
                <w:szCs w:val="28"/>
              </w:rPr>
            </w:pPr>
            <w:r>
              <w:rPr>
                <w:rFonts w:eastAsiaTheme="minorEastAsia"/>
              </w:rPr>
              <w:t>49,069</w:t>
            </w:r>
          </w:p>
        </w:tc>
      </w:tr>
      <w:tr w:rsidR="007E7472" w14:paraId="38213D37" w14:textId="77777777">
        <w:trPr>
          <w:trHeight w:val="397"/>
          <w:jc w:val="center"/>
        </w:trPr>
        <w:tc>
          <w:tcPr>
            <w:tcW w:w="6423" w:type="dxa"/>
            <w:tcBorders>
              <w:top w:val="single" w:sz="4" w:space="0" w:color="auto"/>
              <w:left w:val="single" w:sz="4" w:space="0" w:color="auto"/>
              <w:bottom w:val="single" w:sz="4" w:space="0" w:color="auto"/>
              <w:right w:val="single" w:sz="4" w:space="0" w:color="auto"/>
            </w:tcBorders>
            <w:vAlign w:val="center"/>
          </w:tcPr>
          <w:p w14:paraId="79188F6E" w14:textId="77777777" w:rsidR="007E7472" w:rsidRDefault="00EC1269">
            <w:pPr>
              <w:rPr>
                <w:rFonts w:eastAsiaTheme="minorEastAsia" w:cs="Calibri"/>
                <w:bCs/>
                <w:szCs w:val="28"/>
              </w:rPr>
            </w:pPr>
            <w:r>
              <w:rPr>
                <w:rFonts w:eastAsiaTheme="minorEastAsia" w:cs="Calibri" w:hint="eastAsia"/>
                <w:bCs/>
                <w:szCs w:val="28"/>
              </w:rPr>
              <w:t>本期失效的各项权益工具总额</w:t>
            </w:r>
          </w:p>
        </w:tc>
        <w:tc>
          <w:tcPr>
            <w:tcW w:w="2397" w:type="dxa"/>
            <w:tcBorders>
              <w:top w:val="single" w:sz="4" w:space="0" w:color="auto"/>
              <w:left w:val="nil"/>
              <w:bottom w:val="single" w:sz="4" w:space="0" w:color="auto"/>
              <w:right w:val="single" w:sz="4" w:space="0" w:color="auto"/>
            </w:tcBorders>
            <w:vAlign w:val="center"/>
          </w:tcPr>
          <w:p w14:paraId="3E435504" w14:textId="77777777" w:rsidR="007E7472" w:rsidRDefault="00EC1269">
            <w:pPr>
              <w:jc w:val="right"/>
              <w:rPr>
                <w:rFonts w:eastAsiaTheme="minorEastAsia" w:cs="Calibri"/>
                <w:szCs w:val="28"/>
              </w:rPr>
            </w:pPr>
            <w:r>
              <w:rPr>
                <w:rFonts w:eastAsiaTheme="minorEastAsia"/>
              </w:rPr>
              <w:t>50,445</w:t>
            </w:r>
          </w:p>
        </w:tc>
      </w:tr>
      <w:tr w:rsidR="007E7472" w14:paraId="7EAEFAAF" w14:textId="77777777">
        <w:trPr>
          <w:trHeight w:val="397"/>
          <w:jc w:val="center"/>
        </w:trPr>
        <w:tc>
          <w:tcPr>
            <w:tcW w:w="6423" w:type="dxa"/>
            <w:tcBorders>
              <w:top w:val="single" w:sz="4" w:space="0" w:color="auto"/>
              <w:left w:val="single" w:sz="4" w:space="0" w:color="auto"/>
              <w:bottom w:val="single" w:sz="4" w:space="0" w:color="auto"/>
              <w:right w:val="single" w:sz="4" w:space="0" w:color="auto"/>
            </w:tcBorders>
            <w:vAlign w:val="center"/>
          </w:tcPr>
          <w:p w14:paraId="6E363ABF" w14:textId="77777777" w:rsidR="007E7472" w:rsidRDefault="00EC1269">
            <w:pPr>
              <w:rPr>
                <w:rFonts w:eastAsiaTheme="minorEastAsia" w:cs="Calibri"/>
                <w:bCs/>
                <w:szCs w:val="28"/>
              </w:rPr>
            </w:pPr>
            <w:r>
              <w:rPr>
                <w:rFonts w:eastAsiaTheme="minorEastAsia" w:cs="Calibri" w:hint="eastAsia"/>
                <w:bCs/>
                <w:szCs w:val="28"/>
              </w:rPr>
              <w:t>期末发行在外的股份期权行权价格的范围</w:t>
            </w:r>
          </w:p>
        </w:tc>
        <w:tc>
          <w:tcPr>
            <w:tcW w:w="2397" w:type="dxa"/>
            <w:tcBorders>
              <w:top w:val="single" w:sz="4" w:space="0" w:color="auto"/>
              <w:left w:val="nil"/>
              <w:bottom w:val="single" w:sz="4" w:space="0" w:color="auto"/>
              <w:right w:val="single" w:sz="4" w:space="0" w:color="auto"/>
            </w:tcBorders>
            <w:vAlign w:val="center"/>
          </w:tcPr>
          <w:p w14:paraId="3178B470" w14:textId="77777777" w:rsidR="007E7472" w:rsidRDefault="00C8327E">
            <w:pPr>
              <w:jc w:val="right"/>
              <w:rPr>
                <w:rFonts w:eastAsiaTheme="minorEastAsia" w:cs="Calibri"/>
                <w:szCs w:val="28"/>
              </w:rPr>
            </w:pPr>
          </w:p>
        </w:tc>
      </w:tr>
      <w:tr w:rsidR="007E7472" w14:paraId="38DD5433" w14:textId="77777777">
        <w:trPr>
          <w:trHeight w:val="397"/>
          <w:jc w:val="center"/>
        </w:trPr>
        <w:tc>
          <w:tcPr>
            <w:tcW w:w="6423" w:type="dxa"/>
            <w:tcBorders>
              <w:top w:val="single" w:sz="4" w:space="0" w:color="auto"/>
              <w:left w:val="single" w:sz="4" w:space="0" w:color="auto"/>
              <w:bottom w:val="single" w:sz="4" w:space="0" w:color="auto"/>
              <w:right w:val="single" w:sz="4" w:space="0" w:color="auto"/>
            </w:tcBorders>
            <w:vAlign w:val="center"/>
          </w:tcPr>
          <w:p w14:paraId="19D40F27" w14:textId="77777777" w:rsidR="007E7472" w:rsidRDefault="00EC1269">
            <w:pPr>
              <w:rPr>
                <w:rFonts w:eastAsiaTheme="minorEastAsia" w:cs="Calibri"/>
                <w:bCs/>
                <w:szCs w:val="28"/>
              </w:rPr>
            </w:pPr>
            <w:r>
              <w:rPr>
                <w:rFonts w:eastAsiaTheme="minorEastAsia" w:cs="Calibri" w:hint="eastAsia"/>
                <w:bCs/>
                <w:szCs w:val="28"/>
              </w:rPr>
              <w:t>期末发行在外的股份期权合同剩余期限</w:t>
            </w:r>
          </w:p>
        </w:tc>
        <w:tc>
          <w:tcPr>
            <w:tcW w:w="2397" w:type="dxa"/>
            <w:tcBorders>
              <w:top w:val="single" w:sz="4" w:space="0" w:color="auto"/>
              <w:left w:val="nil"/>
              <w:bottom w:val="single" w:sz="4" w:space="0" w:color="auto"/>
              <w:right w:val="single" w:sz="4" w:space="0" w:color="auto"/>
            </w:tcBorders>
            <w:vAlign w:val="center"/>
          </w:tcPr>
          <w:p w14:paraId="7755FD24" w14:textId="77777777" w:rsidR="007E7472" w:rsidRDefault="00EC1269">
            <w:pPr>
              <w:jc w:val="right"/>
              <w:rPr>
                <w:rFonts w:eastAsiaTheme="minorEastAsia" w:cs="Calibri"/>
                <w:szCs w:val="28"/>
              </w:rPr>
            </w:pPr>
            <w:r>
              <w:rPr>
                <w:rFonts w:eastAsiaTheme="minorEastAsia" w:cs="Calibri" w:hint="eastAsia"/>
                <w:szCs w:val="28"/>
              </w:rPr>
              <w:t>1-</w:t>
            </w:r>
            <w:r>
              <w:rPr>
                <w:rFonts w:eastAsiaTheme="minorEastAsia" w:cs="Calibri"/>
                <w:szCs w:val="28"/>
              </w:rPr>
              <w:t>3</w:t>
            </w:r>
            <w:r>
              <w:rPr>
                <w:rFonts w:eastAsiaTheme="minorEastAsia" w:cs="Calibri" w:hint="eastAsia"/>
                <w:szCs w:val="28"/>
              </w:rPr>
              <w:t>年</w:t>
            </w:r>
          </w:p>
        </w:tc>
      </w:tr>
      <w:tr w:rsidR="007E7472" w14:paraId="1E1996CF" w14:textId="77777777">
        <w:trPr>
          <w:trHeight w:val="397"/>
          <w:jc w:val="center"/>
        </w:trPr>
        <w:tc>
          <w:tcPr>
            <w:tcW w:w="6423" w:type="dxa"/>
            <w:tcBorders>
              <w:top w:val="single" w:sz="4" w:space="0" w:color="auto"/>
              <w:left w:val="single" w:sz="4" w:space="0" w:color="auto"/>
              <w:bottom w:val="single" w:sz="4" w:space="0" w:color="auto"/>
              <w:right w:val="single" w:sz="4" w:space="0" w:color="auto"/>
            </w:tcBorders>
            <w:vAlign w:val="center"/>
          </w:tcPr>
          <w:p w14:paraId="1DF407C3" w14:textId="77777777" w:rsidR="007E7472" w:rsidRDefault="00EC1269">
            <w:pPr>
              <w:rPr>
                <w:rFonts w:eastAsiaTheme="minorEastAsia" w:cs="Calibri"/>
                <w:bCs/>
                <w:szCs w:val="28"/>
              </w:rPr>
            </w:pPr>
            <w:r>
              <w:rPr>
                <w:rFonts w:eastAsiaTheme="minorEastAsia" w:cs="Calibri" w:hint="eastAsia"/>
                <w:bCs/>
                <w:szCs w:val="28"/>
              </w:rPr>
              <w:t>期末发行在外的其他权益工具行权价格的范围和合同剩余期限</w:t>
            </w:r>
          </w:p>
        </w:tc>
        <w:tc>
          <w:tcPr>
            <w:tcW w:w="2397" w:type="dxa"/>
            <w:tcBorders>
              <w:top w:val="single" w:sz="4" w:space="0" w:color="auto"/>
              <w:left w:val="nil"/>
              <w:bottom w:val="single" w:sz="4" w:space="0" w:color="auto"/>
              <w:right w:val="single" w:sz="4" w:space="0" w:color="auto"/>
            </w:tcBorders>
            <w:vAlign w:val="center"/>
          </w:tcPr>
          <w:p w14:paraId="35DA9882" w14:textId="77777777" w:rsidR="007E7472" w:rsidRDefault="00C8327E">
            <w:pPr>
              <w:jc w:val="right"/>
              <w:rPr>
                <w:rFonts w:eastAsiaTheme="minorEastAsia" w:cs="Calibri"/>
                <w:szCs w:val="28"/>
              </w:rPr>
            </w:pPr>
          </w:p>
        </w:tc>
      </w:tr>
    </w:tbl>
    <w:p w14:paraId="56BB4609" w14:textId="77777777" w:rsidR="007E7472" w:rsidRDefault="00EC1269">
      <w:pPr>
        <w:spacing w:beforeLines="50" w:before="120" w:afterLines="50" w:after="120" w:line="360" w:lineRule="exact"/>
        <w:ind w:firstLineChars="200" w:firstLine="420"/>
        <w:jc w:val="both"/>
      </w:pPr>
      <w:r>
        <w:rPr>
          <w:rFonts w:hint="eastAsia"/>
        </w:rPr>
        <w:t>截至</w:t>
      </w:r>
      <w:r>
        <w:t>2023年06月30日，本公司之子公司澳洲公司根据激励计划向核心管理层人员授予6,561,906份期权，占截止2023年06月30日公司总股本的0.5%。</w:t>
      </w:r>
    </w:p>
    <w:bookmarkStart w:id="280" w:name="_Hlk40787204" w:displacedByCustomXml="next"/>
    <w:bookmarkEnd w:id="280" w:displacedByCustomXml="next"/>
    <w:bookmarkEnd w:id="279" w:displacedByCustomXml="next"/>
    <w:bookmarkStart w:id="281" w:name="_Hlk40787255" w:displacedByCustomXml="next"/>
    <w:sdt>
      <w:sdtPr>
        <w:rPr>
          <w:rFonts w:ascii="Times New Roman" w:hAnsi="Times New Roman" w:cs="Times New Roman" w:hint="eastAsia"/>
          <w:szCs w:val="24"/>
        </w:rPr>
        <w:alias w:val="选项模块:以权益结算的股份支付情况（单表）"/>
        <w:tag w:val="_SEC_c15ad15b52d3453a922cc481e12fae53"/>
        <w:id w:val="675920546"/>
        <w:lock w:val="sdtLocked"/>
        <w:placeholder>
          <w:docPart w:val="GBC22222222222222222222222222222"/>
        </w:placeholder>
      </w:sdtPr>
      <w:sdtEndPr>
        <w:rPr>
          <w:rFonts w:cstheme="minorBidi"/>
          <w:szCs w:val="21"/>
        </w:rPr>
      </w:sdtEndPr>
      <w:sdtContent>
        <w:p w14:paraId="697AA201" w14:textId="77777777" w:rsidR="007E7472" w:rsidRPr="00B47735" w:rsidRDefault="00EC1269" w:rsidP="00162493">
          <w:pPr>
            <w:numPr>
              <w:ilvl w:val="2"/>
              <w:numId w:val="110"/>
            </w:numPr>
            <w:outlineLvl w:val="2"/>
            <w:rPr>
              <w:b/>
            </w:rPr>
          </w:pPr>
          <w:r w:rsidRPr="00B47735">
            <w:rPr>
              <w:rFonts w:hint="eastAsia"/>
              <w:b/>
            </w:rPr>
            <w:t>以权益结算的股份支付情况</w:t>
          </w:r>
        </w:p>
        <w:sdt>
          <w:sdtPr>
            <w:alias w:val="是否适用：以权益结算的股份支付情况[双击切换]"/>
            <w:tag w:val="_GBC_a52b60a7c3f943aea4e006f13d294cf5"/>
            <w:id w:val="-1686043473"/>
            <w:lock w:val="sdtLocked"/>
            <w:placeholder>
              <w:docPart w:val="GBC22222222222222222222222222222"/>
            </w:placeholder>
          </w:sdtPr>
          <w:sdtEndPr/>
          <w:sdtContent>
            <w:p w14:paraId="20A5FF4B"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AB915C7" w14:textId="77777777" w:rsidR="007E7472" w:rsidRPr="00F93856" w:rsidRDefault="00913748" w:rsidP="007E7472">
          <w:pPr>
            <w:ind w:firstLineChars="200" w:firstLine="420"/>
            <w:rPr>
              <w:b/>
            </w:rPr>
          </w:pPr>
          <w:r>
            <w:rPr>
              <w:rFonts w:hint="eastAsia"/>
            </w:rPr>
            <w:t>（1）本公司</w:t>
          </w:r>
        </w:p>
        <w:p w14:paraId="1B3FAE8C" w14:textId="30661892" w:rsidR="007E7472" w:rsidRDefault="00EC1269">
          <w:pPr>
            <w:wordWrap w:val="0"/>
            <w:jc w:val="right"/>
          </w:pPr>
          <w:r>
            <w:rPr>
              <w:rFonts w:hint="eastAsia"/>
            </w:rPr>
            <w:t>单位：</w:t>
          </w:r>
          <w:sdt>
            <w:sdtPr>
              <w:rPr>
                <w:rFonts w:hint="eastAsia"/>
              </w:rPr>
              <w:alias w:val="单位：以权益结算的股份支付情况"/>
              <w:tag w:val="_GBC_0358bf24d6c84de2bcff63e2dd898b5e"/>
              <w:id w:val="-44176256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以权益结算的股份支付情况"/>
              <w:tag w:val="_GBC_cb4801f2a5064facad3fb275dece71f6"/>
              <w:id w:val="17389752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150"/>
          </w:tblGrid>
          <w:tr w:rsidR="007E7472" w14:paraId="1406CEE2" w14:textId="77777777">
            <w:sdt>
              <w:sdtPr>
                <w:tag w:val="_PLD_6ca0d8e4e9ac43bb8705fc771c74d480"/>
                <w:id w:val="1651182951"/>
                <w:lock w:val="sdtLocked"/>
              </w:sdtPr>
              <w:sdtEndPr/>
              <w:sdtContent>
                <w:tc>
                  <w:tcPr>
                    <w:tcW w:w="2648" w:type="pct"/>
                    <w:tcBorders>
                      <w:top w:val="single" w:sz="4" w:space="0" w:color="auto"/>
                      <w:left w:val="single" w:sz="4" w:space="0" w:color="auto"/>
                      <w:bottom w:val="single" w:sz="4" w:space="0" w:color="auto"/>
                      <w:right w:val="single" w:sz="4" w:space="0" w:color="auto"/>
                    </w:tcBorders>
                    <w:vAlign w:val="center"/>
                  </w:tcPr>
                  <w:p w14:paraId="75180394" w14:textId="77777777" w:rsidR="007E7472" w:rsidRDefault="00EC1269">
                    <w:pPr>
                      <w:jc w:val="both"/>
                    </w:pPr>
                    <w:r>
                      <w:rPr>
                        <w:rFonts w:hint="eastAsia"/>
                      </w:rPr>
                      <w:t>授予日权益工具公允价值的确定方法</w:t>
                    </w:r>
                  </w:p>
                </w:tc>
              </w:sdtContent>
            </w:sdt>
            <w:sdt>
              <w:sdtPr>
                <w:alias w:val="授予日权益工具公允价值的确定方法"/>
                <w:tag w:val="_GBC_a15937fce2ca4bb0a5c61dcd66bd7405"/>
                <w:id w:val="2008011354"/>
                <w:lock w:val="sdtLocked"/>
              </w:sdtPr>
              <w:sdtEndPr/>
              <w:sdtContent>
                <w:tc>
                  <w:tcPr>
                    <w:tcW w:w="2352" w:type="pct"/>
                    <w:tcBorders>
                      <w:top w:val="single" w:sz="4" w:space="0" w:color="auto"/>
                      <w:left w:val="single" w:sz="4" w:space="0" w:color="auto"/>
                      <w:bottom w:val="single" w:sz="4" w:space="0" w:color="auto"/>
                      <w:right w:val="single" w:sz="4" w:space="0" w:color="auto"/>
                    </w:tcBorders>
                  </w:tcPr>
                  <w:p w14:paraId="354E32FC" w14:textId="77777777" w:rsidR="007E7472" w:rsidRDefault="00EC1269">
                    <w:r>
                      <w:t>Black-Scholes期权定价模型来计算期权的公允价值（公司股票的市场价格-授予价格）</w:t>
                    </w:r>
                  </w:p>
                </w:tc>
              </w:sdtContent>
            </w:sdt>
          </w:tr>
          <w:tr w:rsidR="007E7472" w14:paraId="4A7CCCCF" w14:textId="77777777">
            <w:sdt>
              <w:sdtPr>
                <w:tag w:val="_PLD_2ee449ef994240159ea2c811f0b7d802"/>
                <w:id w:val="640610225"/>
                <w:lock w:val="sdtLocked"/>
              </w:sdtPr>
              <w:sdtEndPr/>
              <w:sdtContent>
                <w:tc>
                  <w:tcPr>
                    <w:tcW w:w="2648" w:type="pct"/>
                    <w:tcBorders>
                      <w:top w:val="single" w:sz="4" w:space="0" w:color="auto"/>
                      <w:left w:val="single" w:sz="4" w:space="0" w:color="auto"/>
                      <w:bottom w:val="single" w:sz="4" w:space="0" w:color="auto"/>
                      <w:right w:val="single" w:sz="4" w:space="0" w:color="auto"/>
                    </w:tcBorders>
                  </w:tcPr>
                  <w:p w14:paraId="643B65B4" w14:textId="77777777" w:rsidR="007E7472" w:rsidRDefault="00EC1269">
                    <w:r>
                      <w:rPr>
                        <w:rFonts w:hint="eastAsia"/>
                      </w:rPr>
                      <w:t>可行权权益工具数量的确定依据</w:t>
                    </w:r>
                  </w:p>
                </w:tc>
              </w:sdtContent>
            </w:sdt>
            <w:tc>
              <w:tcPr>
                <w:tcW w:w="2352" w:type="pct"/>
                <w:tcBorders>
                  <w:top w:val="single" w:sz="4" w:space="0" w:color="auto"/>
                  <w:left w:val="single" w:sz="4" w:space="0" w:color="auto"/>
                  <w:bottom w:val="single" w:sz="4" w:space="0" w:color="auto"/>
                  <w:right w:val="single" w:sz="4" w:space="0" w:color="auto"/>
                </w:tcBorders>
              </w:tcPr>
              <w:p w14:paraId="55B98DAB" w14:textId="77777777" w:rsidR="007E7472" w:rsidRDefault="00EC1269">
                <w:r>
                  <w:t>对可行权权益工具数量的最佳估计</w:t>
                </w:r>
              </w:p>
            </w:tc>
          </w:tr>
          <w:tr w:rsidR="007E7472" w14:paraId="3107005C" w14:textId="77777777">
            <w:sdt>
              <w:sdtPr>
                <w:tag w:val="_PLD_1fcff467449c47369e02b53372e1722b"/>
                <w:id w:val="-781033499"/>
                <w:lock w:val="sdtLocked"/>
              </w:sdtPr>
              <w:sdtEndPr/>
              <w:sdtContent>
                <w:tc>
                  <w:tcPr>
                    <w:tcW w:w="2648" w:type="pct"/>
                    <w:tcBorders>
                      <w:top w:val="single" w:sz="4" w:space="0" w:color="auto"/>
                      <w:left w:val="single" w:sz="4" w:space="0" w:color="auto"/>
                      <w:bottom w:val="single" w:sz="4" w:space="0" w:color="auto"/>
                      <w:right w:val="single" w:sz="4" w:space="0" w:color="auto"/>
                    </w:tcBorders>
                  </w:tcPr>
                  <w:p w14:paraId="30CA0C6C" w14:textId="77777777" w:rsidR="007E7472" w:rsidRDefault="00EC1269">
                    <w:r>
                      <w:rPr>
                        <w:rFonts w:hint="eastAsia"/>
                      </w:rPr>
                      <w:t>本期估计与上期估计有重大差异的原因</w:t>
                    </w:r>
                  </w:p>
                </w:tc>
              </w:sdtContent>
            </w:sdt>
            <w:tc>
              <w:tcPr>
                <w:tcW w:w="2352" w:type="pct"/>
                <w:tcBorders>
                  <w:top w:val="single" w:sz="4" w:space="0" w:color="auto"/>
                  <w:left w:val="single" w:sz="4" w:space="0" w:color="auto"/>
                  <w:bottom w:val="single" w:sz="4" w:space="0" w:color="auto"/>
                  <w:right w:val="single" w:sz="4" w:space="0" w:color="auto"/>
                </w:tcBorders>
                <w:vAlign w:val="center"/>
              </w:tcPr>
              <w:p w14:paraId="524B624D" w14:textId="77777777" w:rsidR="007E7472" w:rsidRDefault="00EC1269" w:rsidP="007E7472">
                <w:r>
                  <w:t>无</w:t>
                </w:r>
              </w:p>
            </w:tc>
          </w:tr>
          <w:tr w:rsidR="007E7472" w14:paraId="242D57A2" w14:textId="77777777">
            <w:sdt>
              <w:sdtPr>
                <w:tag w:val="_PLD_fcd003334d324be48530bf598a667da1"/>
                <w:id w:val="527771783"/>
                <w:lock w:val="sdtLocked"/>
              </w:sdtPr>
              <w:sdtEndPr/>
              <w:sdtContent>
                <w:tc>
                  <w:tcPr>
                    <w:tcW w:w="2648" w:type="pct"/>
                    <w:tcBorders>
                      <w:top w:val="single" w:sz="4" w:space="0" w:color="auto"/>
                      <w:left w:val="single" w:sz="4" w:space="0" w:color="auto"/>
                      <w:bottom w:val="single" w:sz="4" w:space="0" w:color="auto"/>
                      <w:right w:val="single" w:sz="4" w:space="0" w:color="auto"/>
                    </w:tcBorders>
                  </w:tcPr>
                  <w:p w14:paraId="74A5A1D6" w14:textId="77777777" w:rsidR="007E7472" w:rsidRDefault="00EC1269">
                    <w:r>
                      <w:rPr>
                        <w:rFonts w:hint="eastAsia"/>
                      </w:rPr>
                      <w:t>以权益结算的股份支付计入资本公积的累计金额</w:t>
                    </w:r>
                  </w:p>
                </w:tc>
              </w:sdtContent>
            </w:sdt>
            <w:tc>
              <w:tcPr>
                <w:tcW w:w="2352" w:type="pct"/>
                <w:tcBorders>
                  <w:top w:val="single" w:sz="4" w:space="0" w:color="auto"/>
                  <w:left w:val="single" w:sz="4" w:space="0" w:color="auto"/>
                  <w:bottom w:val="single" w:sz="4" w:space="0" w:color="auto"/>
                  <w:right w:val="single" w:sz="4" w:space="0" w:color="auto"/>
                </w:tcBorders>
                <w:vAlign w:val="center"/>
              </w:tcPr>
              <w:p w14:paraId="113E7579" w14:textId="77777777" w:rsidR="007E7472" w:rsidRDefault="00EC1269">
                <w:pPr>
                  <w:jc w:val="right"/>
                </w:pPr>
                <w:r>
                  <w:t>490,058</w:t>
                </w:r>
              </w:p>
            </w:tc>
          </w:tr>
          <w:tr w:rsidR="007E7472" w14:paraId="1CD8A717" w14:textId="77777777">
            <w:sdt>
              <w:sdtPr>
                <w:tag w:val="_PLD_a3083cec7ec1495f90095f078571479a"/>
                <w:id w:val="388233327"/>
                <w:lock w:val="sdtLocked"/>
              </w:sdtPr>
              <w:sdtEndPr/>
              <w:sdtContent>
                <w:tc>
                  <w:tcPr>
                    <w:tcW w:w="2648" w:type="pct"/>
                    <w:tcBorders>
                      <w:top w:val="single" w:sz="4" w:space="0" w:color="auto"/>
                      <w:left w:val="single" w:sz="4" w:space="0" w:color="auto"/>
                      <w:bottom w:val="single" w:sz="4" w:space="0" w:color="auto"/>
                      <w:right w:val="single" w:sz="4" w:space="0" w:color="auto"/>
                    </w:tcBorders>
                  </w:tcPr>
                  <w:p w14:paraId="7A87AFEC" w14:textId="77777777" w:rsidR="007E7472" w:rsidRDefault="00EC1269">
                    <w:r>
                      <w:rPr>
                        <w:rFonts w:hint="eastAsia"/>
                      </w:rPr>
                      <w:t>本期以权益结算的股份支付确认的费用总额</w:t>
                    </w:r>
                  </w:p>
                </w:tc>
              </w:sdtContent>
            </w:sdt>
            <w:tc>
              <w:tcPr>
                <w:tcW w:w="2352" w:type="pct"/>
                <w:tcBorders>
                  <w:top w:val="single" w:sz="4" w:space="0" w:color="auto"/>
                  <w:left w:val="single" w:sz="4" w:space="0" w:color="auto"/>
                  <w:bottom w:val="single" w:sz="4" w:space="0" w:color="auto"/>
                  <w:right w:val="single" w:sz="4" w:space="0" w:color="auto"/>
                </w:tcBorders>
                <w:vAlign w:val="center"/>
              </w:tcPr>
              <w:p w14:paraId="4274FB47" w14:textId="77777777" w:rsidR="007E7472" w:rsidRDefault="00EC1269">
                <w:pPr>
                  <w:jc w:val="right"/>
                </w:pPr>
                <w:r>
                  <w:t>141,952</w:t>
                </w:r>
              </w:p>
            </w:tc>
          </w:tr>
        </w:tbl>
        <w:p w14:paraId="3E8EDE18" w14:textId="77777777" w:rsidR="007E7472" w:rsidRDefault="00C8327E"/>
        <w:p w14:paraId="09EB162A" w14:textId="77777777" w:rsidR="007E7472" w:rsidRPr="00B47735" w:rsidRDefault="00EC1269" w:rsidP="007E7472">
          <w:pPr>
            <w:ind w:firstLineChars="200" w:firstLine="420"/>
          </w:pPr>
          <w:r>
            <w:rPr>
              <w:rFonts w:hint="eastAsia"/>
            </w:rPr>
            <w:t>(</w:t>
          </w:r>
          <w:r>
            <w:t>2)澳洲公司</w:t>
          </w:r>
        </w:p>
        <w:p w14:paraId="1ABDFBC3" w14:textId="77777777" w:rsidR="007E7472" w:rsidRDefault="00EC1269">
          <w:pPr>
            <w:jc w:val="right"/>
          </w:pPr>
          <w:r>
            <w:rPr>
              <w:rFonts w:hint="eastAsia"/>
            </w:rPr>
            <w:t>单位：千元</w:t>
          </w:r>
          <w:r>
            <w:t>币种：人民币</w:t>
          </w:r>
        </w:p>
        <w:tbl>
          <w:tblPr>
            <w:tblStyle w:val="g4"/>
            <w:tblW w:w="8823" w:type="dxa"/>
            <w:jc w:val="center"/>
            <w:tblLayout w:type="fixed"/>
            <w:tblLook w:val="04A0" w:firstRow="1" w:lastRow="0" w:firstColumn="1" w:lastColumn="0" w:noHBand="0" w:noVBand="1"/>
          </w:tblPr>
          <w:tblGrid>
            <w:gridCol w:w="5144"/>
            <w:gridCol w:w="3679"/>
          </w:tblGrid>
          <w:tr w:rsidR="007E7472" w14:paraId="3D69F8A3" w14:textId="77777777">
            <w:trPr>
              <w:trHeight w:val="397"/>
              <w:jc w:val="center"/>
            </w:trPr>
            <w:tc>
              <w:tcPr>
                <w:tcW w:w="5144" w:type="dxa"/>
                <w:tcBorders>
                  <w:top w:val="single" w:sz="4" w:space="0" w:color="auto"/>
                  <w:left w:val="single" w:sz="4" w:space="0" w:color="auto"/>
                  <w:bottom w:val="single" w:sz="4" w:space="0" w:color="auto"/>
                  <w:right w:val="single" w:sz="4" w:space="0" w:color="auto"/>
                </w:tcBorders>
                <w:vAlign w:val="center"/>
              </w:tcPr>
              <w:p w14:paraId="05702BA7" w14:textId="77777777" w:rsidR="007E7472" w:rsidRDefault="00EC1269">
                <w:pPr>
                  <w:rPr>
                    <w:rFonts w:eastAsiaTheme="minorEastAsia"/>
                    <w:szCs w:val="28"/>
                  </w:rPr>
                </w:pPr>
                <w:r>
                  <w:rPr>
                    <w:rFonts w:eastAsiaTheme="minorEastAsia" w:hint="eastAsia"/>
                    <w:szCs w:val="28"/>
                  </w:rPr>
                  <w:t>项目</w:t>
                </w:r>
              </w:p>
            </w:tc>
            <w:tc>
              <w:tcPr>
                <w:tcW w:w="3679" w:type="dxa"/>
                <w:tcBorders>
                  <w:top w:val="single" w:sz="4" w:space="0" w:color="auto"/>
                  <w:left w:val="nil"/>
                  <w:bottom w:val="single" w:sz="4" w:space="0" w:color="auto"/>
                  <w:right w:val="single" w:sz="4" w:space="0" w:color="auto"/>
                </w:tcBorders>
                <w:vAlign w:val="center"/>
              </w:tcPr>
              <w:p w14:paraId="3B4767E8" w14:textId="77777777" w:rsidR="007E7472" w:rsidRDefault="00EC1269">
                <w:pPr>
                  <w:jc w:val="center"/>
                  <w:rPr>
                    <w:rFonts w:eastAsiaTheme="minorEastAsia"/>
                  </w:rPr>
                </w:pPr>
                <w:r>
                  <w:rPr>
                    <w:rFonts w:eastAsiaTheme="minorEastAsia" w:hint="eastAsia"/>
                  </w:rPr>
                  <w:t>情况</w:t>
                </w:r>
              </w:p>
            </w:tc>
          </w:tr>
          <w:tr w:rsidR="007E7472" w14:paraId="0357B49A" w14:textId="77777777">
            <w:trPr>
              <w:trHeight w:val="397"/>
              <w:jc w:val="center"/>
            </w:trPr>
            <w:tc>
              <w:tcPr>
                <w:tcW w:w="5144" w:type="dxa"/>
                <w:tcBorders>
                  <w:top w:val="single" w:sz="4" w:space="0" w:color="auto"/>
                  <w:left w:val="single" w:sz="4" w:space="0" w:color="auto"/>
                  <w:bottom w:val="single" w:sz="4" w:space="0" w:color="auto"/>
                  <w:right w:val="single" w:sz="4" w:space="0" w:color="auto"/>
                </w:tcBorders>
                <w:vAlign w:val="center"/>
              </w:tcPr>
              <w:p w14:paraId="25745863" w14:textId="77777777" w:rsidR="007E7472" w:rsidRDefault="00EC1269">
                <w:pPr>
                  <w:rPr>
                    <w:rFonts w:eastAsiaTheme="minorEastAsia"/>
                  </w:rPr>
                </w:pPr>
                <w:r>
                  <w:rPr>
                    <w:rFonts w:eastAsiaTheme="minorEastAsia" w:hint="eastAsia"/>
                  </w:rPr>
                  <w:t>授予日权益工具公允价值的确定方法</w:t>
                </w:r>
              </w:p>
            </w:tc>
            <w:tc>
              <w:tcPr>
                <w:tcW w:w="3679" w:type="dxa"/>
                <w:tcBorders>
                  <w:top w:val="single" w:sz="4" w:space="0" w:color="auto"/>
                  <w:left w:val="nil"/>
                  <w:bottom w:val="single" w:sz="4" w:space="0" w:color="auto"/>
                  <w:right w:val="single" w:sz="4" w:space="0" w:color="auto"/>
                </w:tcBorders>
                <w:vAlign w:val="center"/>
              </w:tcPr>
              <w:p w14:paraId="7B6F9944" w14:textId="77777777" w:rsidR="007E7472" w:rsidRDefault="00EC1269">
                <w:pPr>
                  <w:rPr>
                    <w:rFonts w:eastAsiaTheme="minorEastAsia"/>
                  </w:rPr>
                </w:pPr>
                <w:r>
                  <w:rPr>
                    <w:rFonts w:eastAsiaTheme="minorEastAsia" w:hint="eastAsia"/>
                  </w:rPr>
                  <w:t>Black-Scholes期权定价模型来计算期权的公允价值</w:t>
                </w:r>
              </w:p>
            </w:tc>
          </w:tr>
          <w:tr w:rsidR="007E7472" w14:paraId="7DDCFA4A" w14:textId="77777777">
            <w:trPr>
              <w:trHeight w:val="397"/>
              <w:jc w:val="center"/>
            </w:trPr>
            <w:tc>
              <w:tcPr>
                <w:tcW w:w="5144" w:type="dxa"/>
                <w:tcBorders>
                  <w:top w:val="single" w:sz="4" w:space="0" w:color="auto"/>
                  <w:left w:val="single" w:sz="4" w:space="0" w:color="auto"/>
                  <w:bottom w:val="single" w:sz="4" w:space="0" w:color="auto"/>
                  <w:right w:val="single" w:sz="4" w:space="0" w:color="auto"/>
                </w:tcBorders>
                <w:vAlign w:val="center"/>
              </w:tcPr>
              <w:p w14:paraId="56B824D4" w14:textId="77777777" w:rsidR="007E7472" w:rsidRDefault="00EC1269">
                <w:pPr>
                  <w:rPr>
                    <w:rFonts w:eastAsiaTheme="minorEastAsia"/>
                  </w:rPr>
                </w:pPr>
                <w:r>
                  <w:rPr>
                    <w:rFonts w:eastAsiaTheme="minorEastAsia" w:hint="eastAsia"/>
                  </w:rPr>
                  <w:t>对可行权权益工具数量的确定依据</w:t>
                </w:r>
              </w:p>
            </w:tc>
            <w:tc>
              <w:tcPr>
                <w:tcW w:w="3679" w:type="dxa"/>
                <w:tcBorders>
                  <w:top w:val="single" w:sz="4" w:space="0" w:color="auto"/>
                  <w:left w:val="nil"/>
                  <w:bottom w:val="single" w:sz="4" w:space="0" w:color="auto"/>
                  <w:right w:val="single" w:sz="4" w:space="0" w:color="auto"/>
                </w:tcBorders>
                <w:vAlign w:val="center"/>
              </w:tcPr>
              <w:p w14:paraId="7169AB49" w14:textId="77777777" w:rsidR="007E7472" w:rsidRDefault="00EC1269">
                <w:pPr>
                  <w:rPr>
                    <w:rFonts w:eastAsiaTheme="minorEastAsia"/>
                  </w:rPr>
                </w:pPr>
                <w:r>
                  <w:rPr>
                    <w:rFonts w:eastAsiaTheme="minorEastAsia" w:hint="eastAsia"/>
                  </w:rPr>
                  <w:t>对可行权权益工具数量的最佳估计</w:t>
                </w:r>
              </w:p>
            </w:tc>
          </w:tr>
          <w:tr w:rsidR="007E7472" w14:paraId="6049C1FB" w14:textId="77777777">
            <w:trPr>
              <w:trHeight w:val="397"/>
              <w:jc w:val="center"/>
            </w:trPr>
            <w:tc>
              <w:tcPr>
                <w:tcW w:w="5144" w:type="dxa"/>
                <w:tcBorders>
                  <w:top w:val="single" w:sz="4" w:space="0" w:color="auto"/>
                  <w:left w:val="single" w:sz="4" w:space="0" w:color="auto"/>
                  <w:bottom w:val="single" w:sz="4" w:space="0" w:color="auto"/>
                  <w:right w:val="single" w:sz="4" w:space="0" w:color="auto"/>
                </w:tcBorders>
                <w:vAlign w:val="center"/>
              </w:tcPr>
              <w:p w14:paraId="217AE2F1" w14:textId="77777777" w:rsidR="007E7472" w:rsidRDefault="00EC1269">
                <w:pPr>
                  <w:rPr>
                    <w:rFonts w:eastAsiaTheme="minorEastAsia"/>
                  </w:rPr>
                </w:pPr>
                <w:r>
                  <w:rPr>
                    <w:rFonts w:eastAsiaTheme="minorEastAsia" w:hint="eastAsia"/>
                  </w:rPr>
                  <w:t>本年估计与上年估计有重大差异的原因</w:t>
                </w:r>
              </w:p>
            </w:tc>
            <w:tc>
              <w:tcPr>
                <w:tcW w:w="3679" w:type="dxa"/>
                <w:tcBorders>
                  <w:top w:val="single" w:sz="4" w:space="0" w:color="auto"/>
                  <w:left w:val="nil"/>
                  <w:bottom w:val="single" w:sz="4" w:space="0" w:color="auto"/>
                  <w:right w:val="single" w:sz="4" w:space="0" w:color="auto"/>
                </w:tcBorders>
                <w:vAlign w:val="center"/>
              </w:tcPr>
              <w:p w14:paraId="02610D59" w14:textId="77777777" w:rsidR="007E7472" w:rsidRDefault="00EC1269" w:rsidP="007E7472">
                <w:pPr>
                  <w:rPr>
                    <w:rFonts w:eastAsiaTheme="minorEastAsia"/>
                  </w:rPr>
                </w:pPr>
                <w:r>
                  <w:rPr>
                    <w:rFonts w:eastAsiaTheme="minorEastAsia" w:hint="eastAsia"/>
                  </w:rPr>
                  <w:t>无</w:t>
                </w:r>
              </w:p>
            </w:tc>
          </w:tr>
          <w:tr w:rsidR="007E7472" w14:paraId="7B97C7B5" w14:textId="77777777">
            <w:trPr>
              <w:trHeight w:val="397"/>
              <w:jc w:val="center"/>
            </w:trPr>
            <w:tc>
              <w:tcPr>
                <w:tcW w:w="5144" w:type="dxa"/>
                <w:tcBorders>
                  <w:top w:val="single" w:sz="4" w:space="0" w:color="auto"/>
                  <w:left w:val="single" w:sz="4" w:space="0" w:color="auto"/>
                  <w:bottom w:val="single" w:sz="4" w:space="0" w:color="auto"/>
                  <w:right w:val="single" w:sz="4" w:space="0" w:color="auto"/>
                </w:tcBorders>
                <w:vAlign w:val="center"/>
              </w:tcPr>
              <w:p w14:paraId="08A3B24D" w14:textId="77777777" w:rsidR="007E7472" w:rsidRDefault="00EC1269">
                <w:pPr>
                  <w:rPr>
                    <w:rFonts w:eastAsiaTheme="minorEastAsia"/>
                  </w:rPr>
                </w:pPr>
                <w:r>
                  <w:rPr>
                    <w:rFonts w:eastAsiaTheme="minorEastAsia" w:hint="eastAsia"/>
                  </w:rPr>
                  <w:t>以权益结算的股份支付计入资本公积的累计金额</w:t>
                </w:r>
              </w:p>
            </w:tc>
            <w:tc>
              <w:tcPr>
                <w:tcW w:w="3679" w:type="dxa"/>
                <w:tcBorders>
                  <w:top w:val="single" w:sz="4" w:space="0" w:color="auto"/>
                  <w:left w:val="nil"/>
                  <w:bottom w:val="single" w:sz="4" w:space="0" w:color="auto"/>
                  <w:right w:val="single" w:sz="4" w:space="0" w:color="auto"/>
                </w:tcBorders>
                <w:vAlign w:val="center"/>
              </w:tcPr>
              <w:p w14:paraId="0AFBDE9C" w14:textId="77777777" w:rsidR="007E7472" w:rsidRDefault="00EC1269">
                <w:pPr>
                  <w:jc w:val="right"/>
                  <w:rPr>
                    <w:rFonts w:eastAsiaTheme="minorEastAsia"/>
                  </w:rPr>
                </w:pPr>
                <w:r>
                  <w:rPr>
                    <w:rFonts w:eastAsiaTheme="minorEastAsia"/>
                  </w:rPr>
                  <w:t>65,680</w:t>
                </w:r>
              </w:p>
            </w:tc>
          </w:tr>
          <w:tr w:rsidR="007E7472" w14:paraId="53DB22EA" w14:textId="77777777">
            <w:trPr>
              <w:trHeight w:val="397"/>
              <w:jc w:val="center"/>
            </w:trPr>
            <w:tc>
              <w:tcPr>
                <w:tcW w:w="5144" w:type="dxa"/>
                <w:tcBorders>
                  <w:top w:val="single" w:sz="4" w:space="0" w:color="auto"/>
                  <w:left w:val="single" w:sz="4" w:space="0" w:color="auto"/>
                  <w:bottom w:val="single" w:sz="4" w:space="0" w:color="auto"/>
                  <w:right w:val="single" w:sz="4" w:space="0" w:color="auto"/>
                </w:tcBorders>
                <w:vAlign w:val="center"/>
              </w:tcPr>
              <w:p w14:paraId="08D55E12" w14:textId="77777777" w:rsidR="007E7472" w:rsidRDefault="00EC1269">
                <w:pPr>
                  <w:rPr>
                    <w:rFonts w:eastAsiaTheme="minorEastAsia"/>
                  </w:rPr>
                </w:pPr>
                <w:r>
                  <w:rPr>
                    <w:rFonts w:eastAsiaTheme="minorEastAsia" w:hint="eastAsia"/>
                  </w:rPr>
                  <w:t>本年以权益结算的股份支付确认的费用总额</w:t>
                </w:r>
              </w:p>
            </w:tc>
            <w:tc>
              <w:tcPr>
                <w:tcW w:w="3679" w:type="dxa"/>
                <w:tcBorders>
                  <w:top w:val="single" w:sz="4" w:space="0" w:color="auto"/>
                  <w:left w:val="nil"/>
                  <w:bottom w:val="single" w:sz="4" w:space="0" w:color="auto"/>
                  <w:right w:val="single" w:sz="4" w:space="0" w:color="auto"/>
                </w:tcBorders>
                <w:vAlign w:val="center"/>
              </w:tcPr>
              <w:p w14:paraId="7C86A0FE" w14:textId="77777777" w:rsidR="007E7472" w:rsidRDefault="00EC1269">
                <w:pPr>
                  <w:jc w:val="right"/>
                  <w:rPr>
                    <w:rFonts w:eastAsiaTheme="minorEastAsia"/>
                  </w:rPr>
                </w:pPr>
                <w:r>
                  <w:rPr>
                    <w:rFonts w:eastAsiaTheme="minorEastAsia"/>
                  </w:rPr>
                  <w:t>47,460</w:t>
                </w:r>
              </w:p>
            </w:tc>
          </w:tr>
        </w:tbl>
        <w:p w14:paraId="18D7418D" w14:textId="77777777" w:rsidR="007E7472" w:rsidRDefault="00C8327E"/>
      </w:sdtContent>
    </w:sdt>
    <w:p w14:paraId="14FA9032" w14:textId="77777777" w:rsidR="007E7472" w:rsidRDefault="00C8327E"/>
    <w:bookmarkEnd w:id="281" w:displacedByCustomXml="next"/>
    <w:sdt>
      <w:sdtPr>
        <w:rPr>
          <w:rFonts w:ascii="Times New Roman" w:hAnsi="Times New Roman" w:cs="Times New Roman" w:hint="eastAsia"/>
          <w:szCs w:val="24"/>
        </w:rPr>
        <w:alias w:val="模块:以现金结算的股份支付情况"/>
        <w:tag w:val="_GBC_e8a0c7296300463994744e877be96129"/>
        <w:id w:val="-685895315"/>
        <w:lock w:val="sdtLocked"/>
        <w:placeholder>
          <w:docPart w:val="GBC22222222222222222222222222222"/>
        </w:placeholder>
      </w:sdtPr>
      <w:sdtEndPr>
        <w:rPr>
          <w:rFonts w:cstheme="minorBidi"/>
          <w:szCs w:val="21"/>
        </w:rPr>
      </w:sdtEndPr>
      <w:sdtContent>
        <w:p w14:paraId="6B7A9D10" w14:textId="77777777" w:rsidR="007E7472" w:rsidRPr="00B47735" w:rsidRDefault="00EC1269" w:rsidP="00162493">
          <w:pPr>
            <w:numPr>
              <w:ilvl w:val="2"/>
              <w:numId w:val="110"/>
            </w:numPr>
            <w:outlineLvl w:val="2"/>
            <w:rPr>
              <w:b/>
            </w:rPr>
          </w:pPr>
          <w:r w:rsidRPr="00B47735">
            <w:rPr>
              <w:rFonts w:hint="eastAsia"/>
              <w:b/>
            </w:rPr>
            <w:t>以现金结算的股份支付情况</w:t>
          </w:r>
        </w:p>
        <w:sdt>
          <w:sdtPr>
            <w:alias w:val="是否适用：以现金结算的股份支付情况[双击切换]"/>
            <w:tag w:val="_GBC_aa134f611909486bb3a2d6258058f88d"/>
            <w:id w:val="1346361264"/>
            <w:lock w:val="sdtLocked"/>
            <w:placeholder>
              <w:docPart w:val="GBC22222222222222222222222222222"/>
            </w:placeholder>
          </w:sdtPr>
          <w:sdtEndPr/>
          <w:sdtContent>
            <w:p w14:paraId="59E852EA"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6208E04" w14:textId="3C1E6F81" w:rsidR="007E7472" w:rsidRDefault="00C8327E"/>
      </w:sdtContent>
    </w:sdt>
    <w:sdt>
      <w:sdtPr>
        <w:rPr>
          <w:rFonts w:hint="eastAsia"/>
          <w:szCs w:val="24"/>
        </w:rPr>
        <w:alias w:val="模块:股份支付的修改、终止情况"/>
        <w:tag w:val="_GBC_ae153862caea4ff5a57470b6f594f167"/>
        <w:id w:val="1916122784"/>
        <w:lock w:val="sdtLocked"/>
        <w:placeholder>
          <w:docPart w:val="GBC22222222222222222222222222222"/>
        </w:placeholder>
      </w:sdtPr>
      <w:sdtEndPr>
        <w:rPr>
          <w:rFonts w:cstheme="minorBidi" w:hint="default"/>
          <w:szCs w:val="21"/>
        </w:rPr>
      </w:sdtEndPr>
      <w:sdtContent>
        <w:p w14:paraId="09F50AA5" w14:textId="77777777" w:rsidR="007E7472" w:rsidRPr="00B47735" w:rsidRDefault="00EC1269" w:rsidP="00162493">
          <w:pPr>
            <w:numPr>
              <w:ilvl w:val="2"/>
              <w:numId w:val="110"/>
            </w:numPr>
            <w:outlineLvl w:val="2"/>
            <w:rPr>
              <w:b/>
            </w:rPr>
          </w:pPr>
          <w:r w:rsidRPr="00B47735">
            <w:rPr>
              <w:rFonts w:hint="eastAsia"/>
              <w:b/>
            </w:rPr>
            <w:t>股份支付的修改、终止情况</w:t>
          </w:r>
        </w:p>
        <w:sdt>
          <w:sdtPr>
            <w:alias w:val="是否适用：股份支付的修改、终止情况[双击切换]"/>
            <w:tag w:val="_GBC_794cdee9be3b4b478fa83b914d22ea66"/>
            <w:id w:val="-533571703"/>
            <w:lock w:val="sdtLocked"/>
            <w:placeholder>
              <w:docPart w:val="GBC22222222222222222222222222222"/>
            </w:placeholder>
          </w:sdtPr>
          <w:sdtEndPr/>
          <w:sdtContent>
            <w:p w14:paraId="18A61198" w14:textId="77777777" w:rsidR="007E7472" w:rsidRDefault="00EC1269">
              <w:pPr>
                <w:rPr>
                  <w:rFonts w:cstheme="minorBidi"/>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35FDA9CB" w14:textId="77777777" w:rsidR="007E7472" w:rsidRDefault="00C8327E">
      <w:pPr>
        <w:ind w:firstLineChars="100" w:firstLine="210"/>
      </w:pPr>
    </w:p>
    <w:sdt>
      <w:sdtPr>
        <w:rPr>
          <w:rFonts w:ascii="Times New Roman" w:hAnsi="Times New Roman" w:cs="Times New Roman"/>
        </w:rPr>
        <w:alias w:val="模块:股份支付的其他情况说明"/>
        <w:tag w:val="_GBC_d9554f13d811474eab6fe8ab0c5c8811"/>
        <w:id w:val="784308816"/>
        <w:lock w:val="sdtLocked"/>
        <w:placeholder>
          <w:docPart w:val="GBC22222222222222222222222222222"/>
        </w:placeholder>
      </w:sdtPr>
      <w:sdtEndPr/>
      <w:sdtContent>
        <w:p w14:paraId="5F67A5B7" w14:textId="77777777" w:rsidR="007E7472" w:rsidRPr="00B47735" w:rsidRDefault="00EC1269" w:rsidP="00162493">
          <w:pPr>
            <w:numPr>
              <w:ilvl w:val="2"/>
              <w:numId w:val="110"/>
            </w:numPr>
            <w:outlineLvl w:val="2"/>
            <w:rPr>
              <w:b/>
            </w:rPr>
          </w:pPr>
          <w:r w:rsidRPr="00B47735">
            <w:rPr>
              <w:rFonts w:hint="eastAsia"/>
              <w:b/>
            </w:rPr>
            <w:t>其他</w:t>
          </w:r>
        </w:p>
        <w:sdt>
          <w:sdtPr>
            <w:alias w:val="是否适用：股份支付的其他情况说明[双击切换]"/>
            <w:tag w:val="_GBC_b8be1a19715949cab94dc673580d61a2"/>
            <w:id w:val="1790778586"/>
            <w:lock w:val="sdtLocked"/>
            <w:placeholder>
              <w:docPart w:val="GBC22222222222222222222222222222"/>
            </w:placeholder>
          </w:sdtPr>
          <w:sdtEndPr/>
          <w:sdtContent>
            <w:p w14:paraId="264D3692"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7B3357C0" w14:textId="77777777" w:rsidR="007E7472" w:rsidRDefault="00C8327E"/>
    <w:p w14:paraId="7BBA6359" w14:textId="77777777" w:rsidR="007E7472" w:rsidRDefault="00EC1269" w:rsidP="00162493">
      <w:pPr>
        <w:pStyle w:val="2"/>
        <w:numPr>
          <w:ilvl w:val="0"/>
          <w:numId w:val="43"/>
        </w:numPr>
        <w:ind w:firstLineChars="0"/>
      </w:pPr>
      <w:r>
        <w:rPr>
          <w:rFonts w:hint="eastAsia"/>
        </w:rPr>
        <w:lastRenderedPageBreak/>
        <w:t>承诺及或有事项</w:t>
      </w:r>
    </w:p>
    <w:p w14:paraId="38823E40" w14:textId="77777777" w:rsidR="007E7472" w:rsidRPr="00FC3C6E" w:rsidRDefault="00EC1269" w:rsidP="00162493">
      <w:pPr>
        <w:numPr>
          <w:ilvl w:val="2"/>
          <w:numId w:val="111"/>
        </w:numPr>
        <w:outlineLvl w:val="2"/>
        <w:rPr>
          <w:b/>
        </w:rPr>
      </w:pPr>
      <w:r w:rsidRPr="00FC3C6E">
        <w:rPr>
          <w:rFonts w:hint="eastAsia"/>
          <w:b/>
        </w:rPr>
        <w:t>重要承诺事项</w:t>
      </w:r>
    </w:p>
    <w:sdt>
      <w:sdtPr>
        <w:alias w:val="是否适用：重要承诺事项[双击切换]"/>
        <w:tag w:val="_GBC_3ee02d2bff5e4dd69f75cc6148bdda8f"/>
        <w:id w:val="1177538384"/>
        <w:lock w:val="sdtContentLocked"/>
        <w:placeholder>
          <w:docPart w:val="GBC22222222222222222222222222222"/>
        </w:placeholder>
      </w:sdtPr>
      <w:sdtEndPr/>
      <w:sdtContent>
        <w:p w14:paraId="779AECE5"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b/>
          <w:bCs/>
        </w:rPr>
        <w:alias w:val="模块:资产负债表日存在的重大承诺"/>
        <w:tag w:val="_GBC_bd716a4e356044ddb7c8207f0edef471"/>
        <w:id w:val="-1909295444"/>
        <w:placeholder>
          <w:docPart w:val="GBC22222222222222222222222222222"/>
        </w:placeholder>
      </w:sdtPr>
      <w:sdtEndPr>
        <w:rPr>
          <w:rFonts w:cstheme="minorBidi"/>
          <w:b w:val="0"/>
          <w:bCs w:val="0"/>
        </w:rPr>
      </w:sdtEndPr>
      <w:sdtContent>
        <w:p w14:paraId="0D7F109E" w14:textId="77777777" w:rsidR="007E7472" w:rsidRDefault="00EC1269">
          <w:r>
            <w:rPr>
              <w:rFonts w:hint="eastAsia"/>
            </w:rPr>
            <w:t>资产负债表日存在的对外重要承诺、性质、金额</w:t>
          </w:r>
        </w:p>
        <w:sdt>
          <w:sdtPr>
            <w:rPr>
              <w:rFonts w:ascii="Times New Roman" w:hAnsi="Times New Roman" w:cs="Cambria"/>
              <w:bCs/>
              <w:sz w:val="20"/>
              <w:szCs w:val="20"/>
            </w:rPr>
            <w:alias w:val="资产负债表日存在的重要承诺"/>
            <w:tag w:val="_GBC_b0cd6a8a93e142e5926c06e28f794da3"/>
            <w:id w:val="-1653293814"/>
            <w:lock w:val="sdtLocked"/>
            <w:placeholder>
              <w:docPart w:val="GBC22222222222222222222222222222"/>
            </w:placeholder>
          </w:sdtPr>
          <w:sdtEndPr>
            <w:rPr>
              <w:rFonts w:cs="宋体"/>
              <w:bCs w:val="0"/>
            </w:rPr>
          </w:sdtEndPr>
          <w:sdtContent>
            <w:tbl>
              <w:tblPr>
                <w:tblStyle w:val="g4"/>
                <w:tblW w:w="0" w:type="auto"/>
                <w:tblInd w:w="135" w:type="dxa"/>
                <w:tblLook w:val="04A0" w:firstRow="1" w:lastRow="0" w:firstColumn="1" w:lastColumn="0" w:noHBand="0" w:noVBand="1"/>
              </w:tblPr>
              <w:tblGrid>
                <w:gridCol w:w="3114"/>
                <w:gridCol w:w="2758"/>
                <w:gridCol w:w="2816"/>
              </w:tblGrid>
              <w:tr w:rsidR="007E7472" w14:paraId="3E2EAE6D" w14:textId="77777777" w:rsidTr="007E7472">
                <w:trPr>
                  <w:trHeight w:val="340"/>
                </w:trPr>
                <w:tc>
                  <w:tcPr>
                    <w:tcW w:w="3114" w:type="dxa"/>
                    <w:tcBorders>
                      <w:top w:val="single" w:sz="4" w:space="0" w:color="auto"/>
                      <w:left w:val="single" w:sz="4" w:space="0" w:color="auto"/>
                      <w:bottom w:val="single" w:sz="4" w:space="0" w:color="auto"/>
                      <w:right w:val="single" w:sz="4" w:space="0" w:color="auto"/>
                    </w:tcBorders>
                    <w:vAlign w:val="center"/>
                  </w:tcPr>
                  <w:p w14:paraId="5EAD47F3" w14:textId="77777777" w:rsidR="007E7472" w:rsidRDefault="00EC1269">
                    <w:pPr>
                      <w:jc w:val="center"/>
                      <w:rPr>
                        <w:rFonts w:cs="Cambria"/>
                        <w:b/>
                        <w:bCs/>
                      </w:rPr>
                    </w:pPr>
                    <w:r>
                      <w:rPr>
                        <w:rFonts w:hint="eastAsia"/>
                        <w:b/>
                      </w:rPr>
                      <w:t>承诺事项</w:t>
                    </w:r>
                  </w:p>
                </w:tc>
                <w:tc>
                  <w:tcPr>
                    <w:tcW w:w="2758" w:type="dxa"/>
                    <w:tcBorders>
                      <w:top w:val="single" w:sz="4" w:space="0" w:color="auto"/>
                      <w:left w:val="single" w:sz="4" w:space="0" w:color="auto"/>
                      <w:bottom w:val="single" w:sz="4" w:space="0" w:color="auto"/>
                      <w:right w:val="single" w:sz="4" w:space="0" w:color="auto"/>
                    </w:tcBorders>
                    <w:vAlign w:val="center"/>
                  </w:tcPr>
                  <w:p w14:paraId="38AE2B37" w14:textId="77777777" w:rsidR="007E7472" w:rsidRDefault="00EC1269">
                    <w:pPr>
                      <w:jc w:val="center"/>
                      <w:rPr>
                        <w:rFonts w:cs="Cambria"/>
                        <w:b/>
                        <w:bCs/>
                      </w:rPr>
                    </w:pPr>
                    <w:r>
                      <w:rPr>
                        <w:rFonts w:hint="eastAsia"/>
                        <w:b/>
                      </w:rPr>
                      <w:t>年末余额</w:t>
                    </w:r>
                  </w:p>
                </w:tc>
                <w:tc>
                  <w:tcPr>
                    <w:tcW w:w="2816" w:type="dxa"/>
                    <w:tcBorders>
                      <w:top w:val="single" w:sz="4" w:space="0" w:color="auto"/>
                      <w:left w:val="single" w:sz="4" w:space="0" w:color="auto"/>
                      <w:bottom w:val="single" w:sz="4" w:space="0" w:color="auto"/>
                      <w:right w:val="single" w:sz="4" w:space="0" w:color="auto"/>
                    </w:tcBorders>
                    <w:vAlign w:val="center"/>
                  </w:tcPr>
                  <w:p w14:paraId="0CBCB314" w14:textId="77777777" w:rsidR="007E7472" w:rsidRDefault="00EC1269">
                    <w:pPr>
                      <w:jc w:val="center"/>
                      <w:rPr>
                        <w:rFonts w:cs="Cambria"/>
                        <w:b/>
                        <w:bCs/>
                      </w:rPr>
                    </w:pPr>
                    <w:r>
                      <w:rPr>
                        <w:rFonts w:hint="eastAsia"/>
                        <w:b/>
                      </w:rPr>
                      <w:t>年初余额</w:t>
                    </w:r>
                  </w:p>
                </w:tc>
              </w:tr>
              <w:tr w:rsidR="007E7472" w14:paraId="2F165C19" w14:textId="77777777" w:rsidTr="007E7472">
                <w:trPr>
                  <w:trHeight w:val="340"/>
                </w:trPr>
                <w:tc>
                  <w:tcPr>
                    <w:tcW w:w="3114" w:type="dxa"/>
                    <w:tcBorders>
                      <w:top w:val="single" w:sz="4" w:space="0" w:color="auto"/>
                      <w:left w:val="single" w:sz="4" w:space="0" w:color="auto"/>
                      <w:bottom w:val="single" w:sz="4" w:space="0" w:color="auto"/>
                      <w:right w:val="single" w:sz="4" w:space="0" w:color="auto"/>
                    </w:tcBorders>
                    <w:vAlign w:val="center"/>
                  </w:tcPr>
                  <w:p w14:paraId="1FE6733A" w14:textId="77777777" w:rsidR="007E7472" w:rsidRDefault="00EC1269">
                    <w:pPr>
                      <w:rPr>
                        <w:rFonts w:cs="Cambria"/>
                        <w:bCs/>
                      </w:rPr>
                    </w:pPr>
                    <w:r>
                      <w:rPr>
                        <w:rFonts w:hint="eastAsia"/>
                      </w:rPr>
                      <w:t>鲁南化工煤化工项目</w:t>
                    </w:r>
                  </w:p>
                </w:tc>
                <w:tc>
                  <w:tcPr>
                    <w:tcW w:w="2758" w:type="dxa"/>
                    <w:tcBorders>
                      <w:top w:val="single" w:sz="4" w:space="0" w:color="auto"/>
                      <w:left w:val="single" w:sz="4" w:space="0" w:color="auto"/>
                      <w:bottom w:val="single" w:sz="4" w:space="0" w:color="auto"/>
                      <w:right w:val="single" w:sz="4" w:space="0" w:color="auto"/>
                    </w:tcBorders>
                    <w:vAlign w:val="center"/>
                  </w:tcPr>
                  <w:p w14:paraId="66DF3390" w14:textId="77777777" w:rsidR="007E7472" w:rsidRDefault="00EC1269">
                    <w:pPr>
                      <w:jc w:val="right"/>
                      <w:rPr>
                        <w:rFonts w:cs="Cambria"/>
                        <w:bCs/>
                      </w:rPr>
                    </w:pPr>
                    <w:r>
                      <w:rPr>
                        <w:rFonts w:hint="eastAsia"/>
                      </w:rPr>
                      <w:t>770,808</w:t>
                    </w:r>
                  </w:p>
                </w:tc>
                <w:tc>
                  <w:tcPr>
                    <w:tcW w:w="2816" w:type="dxa"/>
                    <w:tcBorders>
                      <w:top w:val="single" w:sz="4" w:space="0" w:color="auto"/>
                      <w:left w:val="single" w:sz="4" w:space="0" w:color="auto"/>
                      <w:bottom w:val="single" w:sz="4" w:space="0" w:color="auto"/>
                      <w:right w:val="single" w:sz="4" w:space="0" w:color="auto"/>
                    </w:tcBorders>
                    <w:vAlign w:val="center"/>
                  </w:tcPr>
                  <w:p w14:paraId="1BC9FDB2" w14:textId="77777777" w:rsidR="007E7472" w:rsidRDefault="00EC1269">
                    <w:pPr>
                      <w:jc w:val="right"/>
                      <w:rPr>
                        <w:sz w:val="24"/>
                        <w:szCs w:val="24"/>
                      </w:rPr>
                    </w:pPr>
                    <w:r>
                      <w:t>1,326,546</w:t>
                    </w:r>
                  </w:p>
                </w:tc>
              </w:tr>
              <w:tr w:rsidR="007E7472" w14:paraId="2C685972" w14:textId="77777777" w:rsidTr="007E7472">
                <w:trPr>
                  <w:trHeight w:val="340"/>
                </w:trPr>
                <w:tc>
                  <w:tcPr>
                    <w:tcW w:w="3114" w:type="dxa"/>
                    <w:tcBorders>
                      <w:top w:val="single" w:sz="4" w:space="0" w:color="auto"/>
                      <w:left w:val="single" w:sz="4" w:space="0" w:color="auto"/>
                      <w:bottom w:val="single" w:sz="4" w:space="0" w:color="auto"/>
                      <w:right w:val="single" w:sz="4" w:space="0" w:color="auto"/>
                    </w:tcBorders>
                    <w:vAlign w:val="center"/>
                  </w:tcPr>
                  <w:p w14:paraId="07D7FB09" w14:textId="77777777" w:rsidR="007E7472" w:rsidRDefault="00EC1269">
                    <w:pPr>
                      <w:rPr>
                        <w:rFonts w:cs="Cambria"/>
                        <w:bCs/>
                      </w:rPr>
                    </w:pPr>
                    <w:r>
                      <w:rPr>
                        <w:rFonts w:hint="eastAsia"/>
                      </w:rPr>
                      <w:t>兖矿泰安港公铁水联运物流园</w:t>
                    </w:r>
                  </w:p>
                </w:tc>
                <w:tc>
                  <w:tcPr>
                    <w:tcW w:w="2758" w:type="dxa"/>
                    <w:tcBorders>
                      <w:top w:val="single" w:sz="4" w:space="0" w:color="auto"/>
                      <w:left w:val="single" w:sz="4" w:space="0" w:color="auto"/>
                      <w:bottom w:val="single" w:sz="4" w:space="0" w:color="auto"/>
                      <w:right w:val="single" w:sz="4" w:space="0" w:color="auto"/>
                    </w:tcBorders>
                    <w:vAlign w:val="center"/>
                  </w:tcPr>
                  <w:p w14:paraId="03C6347B" w14:textId="77777777" w:rsidR="007E7472" w:rsidRDefault="00EC1269">
                    <w:pPr>
                      <w:jc w:val="right"/>
                      <w:rPr>
                        <w:rFonts w:cs="Cambria"/>
                        <w:bCs/>
                      </w:rPr>
                    </w:pPr>
                    <w:r>
                      <w:rPr>
                        <w:rFonts w:hint="eastAsia"/>
                      </w:rPr>
                      <w:t>403,530</w:t>
                    </w:r>
                  </w:p>
                </w:tc>
                <w:tc>
                  <w:tcPr>
                    <w:tcW w:w="2816" w:type="dxa"/>
                    <w:tcBorders>
                      <w:top w:val="single" w:sz="4" w:space="0" w:color="auto"/>
                      <w:left w:val="single" w:sz="4" w:space="0" w:color="auto"/>
                      <w:bottom w:val="single" w:sz="4" w:space="0" w:color="auto"/>
                      <w:right w:val="single" w:sz="4" w:space="0" w:color="auto"/>
                    </w:tcBorders>
                    <w:vAlign w:val="center"/>
                  </w:tcPr>
                  <w:p w14:paraId="65D80C9A" w14:textId="77777777" w:rsidR="007E7472" w:rsidRDefault="00EC1269">
                    <w:pPr>
                      <w:jc w:val="right"/>
                    </w:pPr>
                    <w:r>
                      <w:t>448,637</w:t>
                    </w:r>
                  </w:p>
                </w:tc>
              </w:tr>
              <w:tr w:rsidR="007E7472" w14:paraId="36183EEB" w14:textId="77777777" w:rsidTr="007E7472">
                <w:trPr>
                  <w:trHeight w:val="340"/>
                </w:trPr>
                <w:tc>
                  <w:tcPr>
                    <w:tcW w:w="3114" w:type="dxa"/>
                    <w:tcBorders>
                      <w:top w:val="single" w:sz="4" w:space="0" w:color="auto"/>
                      <w:left w:val="single" w:sz="4" w:space="0" w:color="auto"/>
                      <w:bottom w:val="single" w:sz="4" w:space="0" w:color="auto"/>
                      <w:right w:val="single" w:sz="4" w:space="0" w:color="auto"/>
                    </w:tcBorders>
                    <w:vAlign w:val="center"/>
                  </w:tcPr>
                  <w:p w14:paraId="3A3C3AAA" w14:textId="77777777" w:rsidR="007E7472" w:rsidRDefault="00EC1269">
                    <w:pPr>
                      <w:rPr>
                        <w:rFonts w:cs="Cambria"/>
                        <w:bCs/>
                      </w:rPr>
                    </w:pPr>
                    <w:r>
                      <w:rPr>
                        <w:rFonts w:hint="eastAsia"/>
                      </w:rPr>
                      <w:t>万福煤矿项目</w:t>
                    </w:r>
                  </w:p>
                </w:tc>
                <w:tc>
                  <w:tcPr>
                    <w:tcW w:w="2758" w:type="dxa"/>
                    <w:tcBorders>
                      <w:top w:val="single" w:sz="4" w:space="0" w:color="auto"/>
                      <w:left w:val="single" w:sz="4" w:space="0" w:color="auto"/>
                      <w:bottom w:val="single" w:sz="4" w:space="0" w:color="auto"/>
                      <w:right w:val="single" w:sz="4" w:space="0" w:color="auto"/>
                    </w:tcBorders>
                    <w:vAlign w:val="center"/>
                  </w:tcPr>
                  <w:p w14:paraId="33A353D7" w14:textId="77777777" w:rsidR="007E7472" w:rsidRDefault="00EC1269">
                    <w:pPr>
                      <w:jc w:val="right"/>
                      <w:rPr>
                        <w:rFonts w:cs="Cambria"/>
                        <w:bCs/>
                      </w:rPr>
                    </w:pPr>
                    <w:r>
                      <w:rPr>
                        <w:rFonts w:hint="eastAsia"/>
                      </w:rPr>
                      <w:t>391,116</w:t>
                    </w:r>
                  </w:p>
                </w:tc>
                <w:tc>
                  <w:tcPr>
                    <w:tcW w:w="2816" w:type="dxa"/>
                    <w:tcBorders>
                      <w:top w:val="single" w:sz="4" w:space="0" w:color="auto"/>
                      <w:left w:val="single" w:sz="4" w:space="0" w:color="auto"/>
                      <w:bottom w:val="single" w:sz="4" w:space="0" w:color="auto"/>
                      <w:right w:val="single" w:sz="4" w:space="0" w:color="auto"/>
                    </w:tcBorders>
                    <w:vAlign w:val="center"/>
                  </w:tcPr>
                  <w:p w14:paraId="1BD42EE8" w14:textId="77777777" w:rsidR="007E7472" w:rsidRDefault="00EC1269">
                    <w:pPr>
                      <w:jc w:val="right"/>
                    </w:pPr>
                    <w:r>
                      <w:t>376,493</w:t>
                    </w:r>
                  </w:p>
                </w:tc>
              </w:tr>
              <w:tr w:rsidR="007E7472" w14:paraId="3B9B5F95" w14:textId="77777777" w:rsidTr="007E7472">
                <w:trPr>
                  <w:trHeight w:val="340"/>
                </w:trPr>
                <w:tc>
                  <w:tcPr>
                    <w:tcW w:w="3114" w:type="dxa"/>
                    <w:tcBorders>
                      <w:top w:val="single" w:sz="4" w:space="0" w:color="auto"/>
                      <w:left w:val="single" w:sz="4" w:space="0" w:color="auto"/>
                      <w:bottom w:val="single" w:sz="4" w:space="0" w:color="auto"/>
                      <w:right w:val="single" w:sz="4" w:space="0" w:color="auto"/>
                    </w:tcBorders>
                    <w:vAlign w:val="center"/>
                  </w:tcPr>
                  <w:p w14:paraId="5B327F88" w14:textId="77777777" w:rsidR="007E7472" w:rsidRDefault="00EC1269">
                    <w:pPr>
                      <w:rPr>
                        <w:rFonts w:cs="Cambria"/>
                        <w:bCs/>
                      </w:rPr>
                    </w:pPr>
                    <w:r>
                      <w:rPr>
                        <w:rFonts w:hint="eastAsia"/>
                      </w:rPr>
                      <w:t>融资租赁设备采购款</w:t>
                    </w:r>
                  </w:p>
                </w:tc>
                <w:tc>
                  <w:tcPr>
                    <w:tcW w:w="2758" w:type="dxa"/>
                    <w:tcBorders>
                      <w:top w:val="single" w:sz="4" w:space="0" w:color="auto"/>
                      <w:left w:val="single" w:sz="4" w:space="0" w:color="auto"/>
                      <w:bottom w:val="single" w:sz="4" w:space="0" w:color="auto"/>
                      <w:right w:val="single" w:sz="4" w:space="0" w:color="auto"/>
                    </w:tcBorders>
                    <w:vAlign w:val="center"/>
                  </w:tcPr>
                  <w:p w14:paraId="3B536D28" w14:textId="77777777" w:rsidR="007E7472" w:rsidRDefault="00EC1269">
                    <w:pPr>
                      <w:jc w:val="right"/>
                      <w:rPr>
                        <w:rFonts w:cs="Cambria"/>
                        <w:bCs/>
                      </w:rPr>
                    </w:pPr>
                    <w:r>
                      <w:rPr>
                        <w:rFonts w:hint="eastAsia"/>
                      </w:rPr>
                      <w:t>290,486</w:t>
                    </w:r>
                  </w:p>
                </w:tc>
                <w:tc>
                  <w:tcPr>
                    <w:tcW w:w="2816" w:type="dxa"/>
                    <w:tcBorders>
                      <w:top w:val="single" w:sz="4" w:space="0" w:color="auto"/>
                      <w:left w:val="single" w:sz="4" w:space="0" w:color="auto"/>
                      <w:bottom w:val="single" w:sz="4" w:space="0" w:color="auto"/>
                      <w:right w:val="single" w:sz="4" w:space="0" w:color="auto"/>
                    </w:tcBorders>
                    <w:vAlign w:val="center"/>
                  </w:tcPr>
                  <w:p w14:paraId="0A8F6ED4" w14:textId="77777777" w:rsidR="007E7472" w:rsidRDefault="00EC1269">
                    <w:pPr>
                      <w:jc w:val="right"/>
                    </w:pPr>
                    <w:r>
                      <w:t>123,441</w:t>
                    </w:r>
                  </w:p>
                </w:tc>
              </w:tr>
              <w:tr w:rsidR="007E7472" w14:paraId="0B66CB23" w14:textId="77777777" w:rsidTr="007E7472">
                <w:trPr>
                  <w:trHeight w:val="340"/>
                </w:trPr>
                <w:tc>
                  <w:tcPr>
                    <w:tcW w:w="3114" w:type="dxa"/>
                    <w:tcBorders>
                      <w:top w:val="single" w:sz="4" w:space="0" w:color="auto"/>
                      <w:left w:val="single" w:sz="4" w:space="0" w:color="auto"/>
                      <w:bottom w:val="single" w:sz="4" w:space="0" w:color="auto"/>
                      <w:right w:val="single" w:sz="4" w:space="0" w:color="auto"/>
                    </w:tcBorders>
                    <w:vAlign w:val="center"/>
                  </w:tcPr>
                  <w:p w14:paraId="52AEA32E" w14:textId="77777777" w:rsidR="007E7472" w:rsidRDefault="00EC1269">
                    <w:pPr>
                      <w:rPr>
                        <w:rFonts w:cs="Cambria"/>
                        <w:bCs/>
                      </w:rPr>
                    </w:pPr>
                    <w:r>
                      <w:rPr>
                        <w:rFonts w:hint="eastAsia"/>
                      </w:rPr>
                      <w:t>石拉乌素矿井及选煤厂项目</w:t>
                    </w:r>
                  </w:p>
                </w:tc>
                <w:tc>
                  <w:tcPr>
                    <w:tcW w:w="2758" w:type="dxa"/>
                    <w:tcBorders>
                      <w:top w:val="single" w:sz="4" w:space="0" w:color="auto"/>
                      <w:left w:val="single" w:sz="4" w:space="0" w:color="auto"/>
                      <w:bottom w:val="single" w:sz="4" w:space="0" w:color="auto"/>
                      <w:right w:val="single" w:sz="4" w:space="0" w:color="auto"/>
                    </w:tcBorders>
                    <w:vAlign w:val="center"/>
                  </w:tcPr>
                  <w:p w14:paraId="10B70391" w14:textId="77777777" w:rsidR="007E7472" w:rsidRDefault="00EC1269">
                    <w:pPr>
                      <w:jc w:val="right"/>
                      <w:rPr>
                        <w:rFonts w:cs="Cambria"/>
                        <w:bCs/>
                      </w:rPr>
                    </w:pPr>
                    <w:r>
                      <w:rPr>
                        <w:rFonts w:hint="eastAsia"/>
                      </w:rPr>
                      <w:t>222,567</w:t>
                    </w:r>
                  </w:p>
                </w:tc>
                <w:tc>
                  <w:tcPr>
                    <w:tcW w:w="2816" w:type="dxa"/>
                    <w:tcBorders>
                      <w:top w:val="single" w:sz="4" w:space="0" w:color="auto"/>
                      <w:left w:val="single" w:sz="4" w:space="0" w:color="auto"/>
                      <w:bottom w:val="single" w:sz="4" w:space="0" w:color="auto"/>
                      <w:right w:val="single" w:sz="4" w:space="0" w:color="auto"/>
                    </w:tcBorders>
                    <w:vAlign w:val="center"/>
                  </w:tcPr>
                  <w:p w14:paraId="58107BB6" w14:textId="77777777" w:rsidR="007E7472" w:rsidRDefault="00EC1269">
                    <w:pPr>
                      <w:jc w:val="right"/>
                    </w:pPr>
                    <w:r>
                      <w:t>222,567</w:t>
                    </w:r>
                  </w:p>
                </w:tc>
              </w:tr>
              <w:tr w:rsidR="007E7472" w14:paraId="4B9CFB5D" w14:textId="77777777" w:rsidTr="007E7472">
                <w:trPr>
                  <w:trHeight w:val="340"/>
                </w:trPr>
                <w:tc>
                  <w:tcPr>
                    <w:tcW w:w="3114" w:type="dxa"/>
                    <w:tcBorders>
                      <w:top w:val="single" w:sz="4" w:space="0" w:color="auto"/>
                      <w:left w:val="single" w:sz="4" w:space="0" w:color="auto"/>
                      <w:bottom w:val="single" w:sz="4" w:space="0" w:color="auto"/>
                      <w:right w:val="single" w:sz="4" w:space="0" w:color="auto"/>
                    </w:tcBorders>
                    <w:vAlign w:val="center"/>
                  </w:tcPr>
                  <w:p w14:paraId="018BC547" w14:textId="77777777" w:rsidR="007E7472" w:rsidRDefault="00EC1269">
                    <w:pPr>
                      <w:rPr>
                        <w:rFonts w:cs="Cambria"/>
                        <w:bCs/>
                      </w:rPr>
                    </w:pPr>
                    <w:r>
                      <w:rPr>
                        <w:rFonts w:hint="eastAsia"/>
                      </w:rPr>
                      <w:t>金鸡滩矿井和选煤厂项目</w:t>
                    </w:r>
                  </w:p>
                </w:tc>
                <w:tc>
                  <w:tcPr>
                    <w:tcW w:w="2758" w:type="dxa"/>
                    <w:tcBorders>
                      <w:top w:val="single" w:sz="4" w:space="0" w:color="auto"/>
                      <w:left w:val="single" w:sz="4" w:space="0" w:color="auto"/>
                      <w:bottom w:val="single" w:sz="4" w:space="0" w:color="auto"/>
                      <w:right w:val="single" w:sz="4" w:space="0" w:color="auto"/>
                    </w:tcBorders>
                    <w:vAlign w:val="center"/>
                  </w:tcPr>
                  <w:p w14:paraId="6A1BD3D0" w14:textId="77777777" w:rsidR="007E7472" w:rsidRDefault="00EC1269">
                    <w:pPr>
                      <w:jc w:val="right"/>
                      <w:rPr>
                        <w:rFonts w:cs="Cambria"/>
                        <w:bCs/>
                      </w:rPr>
                    </w:pPr>
                    <w:r>
                      <w:rPr>
                        <w:rFonts w:hint="eastAsia"/>
                      </w:rPr>
                      <w:t>115,167</w:t>
                    </w:r>
                  </w:p>
                </w:tc>
                <w:tc>
                  <w:tcPr>
                    <w:tcW w:w="2816" w:type="dxa"/>
                    <w:tcBorders>
                      <w:top w:val="single" w:sz="4" w:space="0" w:color="auto"/>
                      <w:left w:val="single" w:sz="4" w:space="0" w:color="auto"/>
                      <w:bottom w:val="single" w:sz="4" w:space="0" w:color="auto"/>
                      <w:right w:val="single" w:sz="4" w:space="0" w:color="auto"/>
                    </w:tcBorders>
                    <w:vAlign w:val="center"/>
                  </w:tcPr>
                  <w:p w14:paraId="4899B40C" w14:textId="77777777" w:rsidR="007E7472" w:rsidRDefault="00EC1269">
                    <w:pPr>
                      <w:jc w:val="right"/>
                    </w:pPr>
                    <w:r>
                      <w:t>126,925</w:t>
                    </w:r>
                  </w:p>
                </w:tc>
              </w:tr>
              <w:tr w:rsidR="007E7472" w14:paraId="121D946D" w14:textId="77777777" w:rsidTr="007E7472">
                <w:trPr>
                  <w:trHeight w:val="340"/>
                </w:trPr>
                <w:tc>
                  <w:tcPr>
                    <w:tcW w:w="3114" w:type="dxa"/>
                    <w:tcBorders>
                      <w:top w:val="single" w:sz="4" w:space="0" w:color="auto"/>
                      <w:left w:val="single" w:sz="4" w:space="0" w:color="auto"/>
                      <w:bottom w:val="single" w:sz="4" w:space="0" w:color="auto"/>
                      <w:right w:val="single" w:sz="4" w:space="0" w:color="auto"/>
                    </w:tcBorders>
                    <w:vAlign w:val="center"/>
                  </w:tcPr>
                  <w:p w14:paraId="6063F1CE" w14:textId="77777777" w:rsidR="007E7472" w:rsidRDefault="00EC1269">
                    <w:pPr>
                      <w:rPr>
                        <w:rFonts w:cs="Cambria"/>
                        <w:bCs/>
                      </w:rPr>
                    </w:pPr>
                    <w:r>
                      <w:rPr>
                        <w:rFonts w:hint="eastAsia"/>
                      </w:rPr>
                      <w:t>榆林甲醇厂二期项目</w:t>
                    </w:r>
                  </w:p>
                </w:tc>
                <w:tc>
                  <w:tcPr>
                    <w:tcW w:w="2758" w:type="dxa"/>
                    <w:tcBorders>
                      <w:top w:val="single" w:sz="4" w:space="0" w:color="auto"/>
                      <w:left w:val="single" w:sz="4" w:space="0" w:color="auto"/>
                      <w:bottom w:val="single" w:sz="4" w:space="0" w:color="auto"/>
                      <w:right w:val="single" w:sz="4" w:space="0" w:color="auto"/>
                    </w:tcBorders>
                    <w:vAlign w:val="center"/>
                  </w:tcPr>
                  <w:p w14:paraId="75404F90" w14:textId="77777777" w:rsidR="007E7472" w:rsidRDefault="00EC1269">
                    <w:pPr>
                      <w:jc w:val="right"/>
                      <w:rPr>
                        <w:rFonts w:cs="Cambria"/>
                        <w:bCs/>
                      </w:rPr>
                    </w:pPr>
                    <w:r>
                      <w:rPr>
                        <w:rFonts w:hint="eastAsia"/>
                      </w:rPr>
                      <w:t>7,230</w:t>
                    </w:r>
                  </w:p>
                </w:tc>
                <w:tc>
                  <w:tcPr>
                    <w:tcW w:w="2816" w:type="dxa"/>
                    <w:tcBorders>
                      <w:top w:val="single" w:sz="4" w:space="0" w:color="auto"/>
                      <w:left w:val="single" w:sz="4" w:space="0" w:color="auto"/>
                      <w:bottom w:val="single" w:sz="4" w:space="0" w:color="auto"/>
                      <w:right w:val="single" w:sz="4" w:space="0" w:color="auto"/>
                    </w:tcBorders>
                    <w:vAlign w:val="center"/>
                  </w:tcPr>
                  <w:p w14:paraId="3F393E73" w14:textId="77777777" w:rsidR="007E7472" w:rsidRDefault="00EC1269">
                    <w:pPr>
                      <w:jc w:val="right"/>
                    </w:pPr>
                    <w:r>
                      <w:t>7,230</w:t>
                    </w:r>
                  </w:p>
                </w:tc>
              </w:tr>
              <w:tr w:rsidR="007E7472" w14:paraId="6A8C2944" w14:textId="77777777" w:rsidTr="007E7472">
                <w:trPr>
                  <w:trHeight w:val="340"/>
                </w:trPr>
                <w:tc>
                  <w:tcPr>
                    <w:tcW w:w="3114" w:type="dxa"/>
                    <w:tcBorders>
                      <w:top w:val="single" w:sz="4" w:space="0" w:color="auto"/>
                      <w:left w:val="single" w:sz="4" w:space="0" w:color="auto"/>
                      <w:bottom w:val="single" w:sz="4" w:space="0" w:color="auto"/>
                      <w:right w:val="single" w:sz="4" w:space="0" w:color="auto"/>
                    </w:tcBorders>
                    <w:vAlign w:val="center"/>
                  </w:tcPr>
                  <w:p w14:paraId="13D3DA7D" w14:textId="77777777" w:rsidR="007E7472" w:rsidRDefault="00EC1269">
                    <w:pPr>
                      <w:rPr>
                        <w:rFonts w:cs="Cambria"/>
                        <w:bCs/>
                      </w:rPr>
                    </w:pPr>
                    <w:r>
                      <w:rPr>
                        <w:rFonts w:hint="eastAsia"/>
                      </w:rPr>
                      <w:t>荣信甲醇厂二期项目</w:t>
                    </w:r>
                  </w:p>
                </w:tc>
                <w:tc>
                  <w:tcPr>
                    <w:tcW w:w="2758" w:type="dxa"/>
                    <w:tcBorders>
                      <w:top w:val="single" w:sz="4" w:space="0" w:color="auto"/>
                      <w:left w:val="single" w:sz="4" w:space="0" w:color="auto"/>
                      <w:bottom w:val="single" w:sz="4" w:space="0" w:color="auto"/>
                      <w:right w:val="single" w:sz="4" w:space="0" w:color="auto"/>
                    </w:tcBorders>
                    <w:vAlign w:val="center"/>
                  </w:tcPr>
                  <w:p w14:paraId="4171AC6D" w14:textId="77777777" w:rsidR="007E7472" w:rsidRDefault="00EC1269">
                    <w:pPr>
                      <w:jc w:val="right"/>
                      <w:rPr>
                        <w:rFonts w:cs="Cambria"/>
                        <w:bCs/>
                      </w:rPr>
                    </w:pPr>
                    <w:r>
                      <w:rPr>
                        <w:rFonts w:hint="eastAsia"/>
                      </w:rPr>
                      <w:t>1,426</w:t>
                    </w:r>
                  </w:p>
                </w:tc>
                <w:tc>
                  <w:tcPr>
                    <w:tcW w:w="2816" w:type="dxa"/>
                    <w:tcBorders>
                      <w:top w:val="single" w:sz="4" w:space="0" w:color="auto"/>
                      <w:left w:val="single" w:sz="4" w:space="0" w:color="auto"/>
                      <w:bottom w:val="single" w:sz="4" w:space="0" w:color="auto"/>
                      <w:right w:val="single" w:sz="4" w:space="0" w:color="auto"/>
                    </w:tcBorders>
                    <w:vAlign w:val="center"/>
                  </w:tcPr>
                  <w:p w14:paraId="40F0A239" w14:textId="77777777" w:rsidR="007E7472" w:rsidRDefault="00EC1269">
                    <w:pPr>
                      <w:jc w:val="right"/>
                    </w:pPr>
                    <w:r>
                      <w:t>39,589</w:t>
                    </w:r>
                  </w:p>
                </w:tc>
              </w:tr>
              <w:tr w:rsidR="007E7472" w14:paraId="670EC633" w14:textId="77777777" w:rsidTr="007E7472">
                <w:trPr>
                  <w:trHeight w:val="340"/>
                </w:trPr>
                <w:tc>
                  <w:tcPr>
                    <w:tcW w:w="3114" w:type="dxa"/>
                    <w:tcBorders>
                      <w:top w:val="single" w:sz="4" w:space="0" w:color="auto"/>
                      <w:left w:val="single" w:sz="4" w:space="0" w:color="auto"/>
                      <w:bottom w:val="single" w:sz="4" w:space="0" w:color="auto"/>
                      <w:right w:val="single" w:sz="4" w:space="0" w:color="auto"/>
                    </w:tcBorders>
                    <w:vAlign w:val="center"/>
                  </w:tcPr>
                  <w:p w14:paraId="1E17F743" w14:textId="77777777" w:rsidR="007E7472" w:rsidRDefault="00EC1269">
                    <w:pPr>
                      <w:rPr>
                        <w:rFonts w:cs="Cambria"/>
                        <w:bCs/>
                      </w:rPr>
                    </w:pPr>
                    <w:r>
                      <w:rPr>
                        <w:rFonts w:hint="eastAsia"/>
                      </w:rPr>
                      <w:t>营盘壕煤矿项目</w:t>
                    </w:r>
                  </w:p>
                </w:tc>
                <w:tc>
                  <w:tcPr>
                    <w:tcW w:w="2758" w:type="dxa"/>
                    <w:tcBorders>
                      <w:top w:val="single" w:sz="4" w:space="0" w:color="auto"/>
                      <w:left w:val="single" w:sz="4" w:space="0" w:color="auto"/>
                      <w:bottom w:val="single" w:sz="4" w:space="0" w:color="auto"/>
                      <w:right w:val="single" w:sz="4" w:space="0" w:color="auto"/>
                    </w:tcBorders>
                    <w:vAlign w:val="center"/>
                  </w:tcPr>
                  <w:p w14:paraId="18758BDA" w14:textId="77777777" w:rsidR="007E7472" w:rsidRDefault="00EC1269">
                    <w:pPr>
                      <w:jc w:val="right"/>
                      <w:rPr>
                        <w:rFonts w:cs="Cambria"/>
                        <w:bCs/>
                      </w:rPr>
                    </w:pPr>
                    <w:r>
                      <w:rPr>
                        <w:rFonts w:hint="eastAsia"/>
                      </w:rPr>
                      <w:t>973</w:t>
                    </w:r>
                  </w:p>
                </w:tc>
                <w:tc>
                  <w:tcPr>
                    <w:tcW w:w="2816" w:type="dxa"/>
                    <w:tcBorders>
                      <w:top w:val="single" w:sz="4" w:space="0" w:color="auto"/>
                      <w:left w:val="single" w:sz="4" w:space="0" w:color="auto"/>
                      <w:bottom w:val="single" w:sz="4" w:space="0" w:color="auto"/>
                      <w:right w:val="single" w:sz="4" w:space="0" w:color="auto"/>
                    </w:tcBorders>
                    <w:vAlign w:val="center"/>
                  </w:tcPr>
                  <w:p w14:paraId="7082DABF" w14:textId="77777777" w:rsidR="007E7472" w:rsidRDefault="00EC1269">
                    <w:pPr>
                      <w:jc w:val="right"/>
                    </w:pPr>
                    <w:r>
                      <w:t>6,261</w:t>
                    </w:r>
                  </w:p>
                </w:tc>
              </w:tr>
              <w:tr w:rsidR="007E7472" w14:paraId="73ED9C16" w14:textId="77777777" w:rsidTr="007E7472">
                <w:trPr>
                  <w:trHeight w:val="340"/>
                </w:trPr>
                <w:tc>
                  <w:tcPr>
                    <w:tcW w:w="3114" w:type="dxa"/>
                    <w:tcBorders>
                      <w:top w:val="single" w:sz="4" w:space="0" w:color="auto"/>
                      <w:left w:val="single" w:sz="4" w:space="0" w:color="auto"/>
                      <w:bottom w:val="single" w:sz="4" w:space="0" w:color="auto"/>
                      <w:right w:val="single" w:sz="4" w:space="0" w:color="auto"/>
                    </w:tcBorders>
                    <w:vAlign w:val="center"/>
                  </w:tcPr>
                  <w:p w14:paraId="3CD67343" w14:textId="77777777" w:rsidR="007E7472" w:rsidRDefault="00EC1269">
                    <w:pPr>
                      <w:rPr>
                        <w:rFonts w:cs="Cambria"/>
                        <w:bCs/>
                      </w:rPr>
                    </w:pPr>
                    <w:r>
                      <w:rPr>
                        <w:rFonts w:hint="eastAsia"/>
                      </w:rPr>
                      <w:t>其他</w:t>
                    </w:r>
                  </w:p>
                </w:tc>
                <w:tc>
                  <w:tcPr>
                    <w:tcW w:w="2758" w:type="dxa"/>
                    <w:tcBorders>
                      <w:top w:val="single" w:sz="4" w:space="0" w:color="auto"/>
                      <w:left w:val="single" w:sz="4" w:space="0" w:color="auto"/>
                      <w:bottom w:val="single" w:sz="4" w:space="0" w:color="auto"/>
                      <w:right w:val="single" w:sz="4" w:space="0" w:color="auto"/>
                    </w:tcBorders>
                    <w:vAlign w:val="center"/>
                  </w:tcPr>
                  <w:p w14:paraId="0A1097ED" w14:textId="77777777" w:rsidR="007E7472" w:rsidRDefault="00EC1269">
                    <w:pPr>
                      <w:jc w:val="right"/>
                      <w:rPr>
                        <w:rFonts w:cs="Cambria"/>
                        <w:bCs/>
                      </w:rPr>
                    </w:pPr>
                    <w:r>
                      <w:rPr>
                        <w:rFonts w:hint="eastAsia"/>
                      </w:rPr>
                      <w:t>1,587,912</w:t>
                    </w:r>
                  </w:p>
                </w:tc>
                <w:tc>
                  <w:tcPr>
                    <w:tcW w:w="2816" w:type="dxa"/>
                    <w:tcBorders>
                      <w:top w:val="single" w:sz="4" w:space="0" w:color="auto"/>
                      <w:left w:val="single" w:sz="4" w:space="0" w:color="auto"/>
                      <w:bottom w:val="single" w:sz="4" w:space="0" w:color="auto"/>
                      <w:right w:val="single" w:sz="4" w:space="0" w:color="auto"/>
                    </w:tcBorders>
                    <w:vAlign w:val="center"/>
                  </w:tcPr>
                  <w:p w14:paraId="39A1169F" w14:textId="77777777" w:rsidR="007E7472" w:rsidRDefault="00EC1269">
                    <w:pPr>
                      <w:jc w:val="right"/>
                    </w:pPr>
                    <w:r>
                      <w:t>1,575,018</w:t>
                    </w:r>
                  </w:p>
                </w:tc>
              </w:tr>
              <w:tr w:rsidR="007E7472" w14:paraId="27E381CE" w14:textId="77777777" w:rsidTr="007E7472">
                <w:trPr>
                  <w:trHeight w:val="340"/>
                </w:trPr>
                <w:tc>
                  <w:tcPr>
                    <w:tcW w:w="3114" w:type="dxa"/>
                    <w:tcBorders>
                      <w:top w:val="single" w:sz="4" w:space="0" w:color="auto"/>
                      <w:left w:val="single" w:sz="4" w:space="0" w:color="auto"/>
                      <w:bottom w:val="single" w:sz="4" w:space="0" w:color="auto"/>
                      <w:right w:val="single" w:sz="4" w:space="0" w:color="auto"/>
                    </w:tcBorders>
                    <w:vAlign w:val="center"/>
                  </w:tcPr>
                  <w:p w14:paraId="7D89FF62" w14:textId="77777777" w:rsidR="007E7472" w:rsidRDefault="00EC1269">
                    <w:pPr>
                      <w:rPr>
                        <w:rFonts w:cs="Cambria"/>
                        <w:bCs/>
                      </w:rPr>
                    </w:pPr>
                    <w:r>
                      <w:rPr>
                        <w:rFonts w:hint="eastAsia"/>
                      </w:rPr>
                      <w:t>合计</w:t>
                    </w:r>
                  </w:p>
                </w:tc>
                <w:tc>
                  <w:tcPr>
                    <w:tcW w:w="2758" w:type="dxa"/>
                    <w:tcBorders>
                      <w:top w:val="single" w:sz="4" w:space="0" w:color="auto"/>
                      <w:left w:val="single" w:sz="4" w:space="0" w:color="auto"/>
                      <w:bottom w:val="single" w:sz="4" w:space="0" w:color="auto"/>
                      <w:right w:val="single" w:sz="4" w:space="0" w:color="auto"/>
                    </w:tcBorders>
                    <w:vAlign w:val="center"/>
                  </w:tcPr>
                  <w:p w14:paraId="32175B7F" w14:textId="77777777" w:rsidR="007E7472" w:rsidRDefault="00EC1269">
                    <w:pPr>
                      <w:jc w:val="right"/>
                      <w:rPr>
                        <w:rFonts w:cs="Cambria"/>
                        <w:bCs/>
                      </w:rPr>
                    </w:pPr>
                    <w:r>
                      <w:rPr>
                        <w:rFonts w:hint="eastAsia"/>
                      </w:rPr>
                      <w:t>3,791,21</w:t>
                    </w:r>
                    <w:r>
                      <w:t>5</w:t>
                    </w:r>
                  </w:p>
                </w:tc>
                <w:tc>
                  <w:tcPr>
                    <w:tcW w:w="2816" w:type="dxa"/>
                    <w:tcBorders>
                      <w:top w:val="single" w:sz="4" w:space="0" w:color="auto"/>
                      <w:left w:val="single" w:sz="4" w:space="0" w:color="auto"/>
                      <w:bottom w:val="single" w:sz="4" w:space="0" w:color="auto"/>
                      <w:right w:val="single" w:sz="4" w:space="0" w:color="auto"/>
                    </w:tcBorders>
                    <w:vAlign w:val="center"/>
                  </w:tcPr>
                  <w:p w14:paraId="451DEB95" w14:textId="77777777" w:rsidR="007E7472" w:rsidRDefault="00EC1269">
                    <w:pPr>
                      <w:jc w:val="right"/>
                    </w:pPr>
                    <w:r>
                      <w:t>4,252,707</w:t>
                    </w:r>
                  </w:p>
                </w:tc>
              </w:tr>
            </w:tbl>
            <w:p w14:paraId="5DF78B09" w14:textId="77777777" w:rsidR="007E7472" w:rsidRDefault="00C8327E"/>
          </w:sdtContent>
        </w:sdt>
      </w:sdtContent>
    </w:sdt>
    <w:p w14:paraId="7C9DB1E1" w14:textId="77777777" w:rsidR="007E7472" w:rsidRPr="00FC3C6E" w:rsidRDefault="00EC1269" w:rsidP="00162493">
      <w:pPr>
        <w:numPr>
          <w:ilvl w:val="2"/>
          <w:numId w:val="111"/>
        </w:numPr>
        <w:outlineLvl w:val="2"/>
        <w:rPr>
          <w:b/>
        </w:rPr>
      </w:pPr>
      <w:r w:rsidRPr="00FC3C6E">
        <w:rPr>
          <w:rFonts w:hint="eastAsia"/>
          <w:b/>
        </w:rPr>
        <w:t>或有事项</w:t>
      </w:r>
    </w:p>
    <w:sdt>
      <w:sdtPr>
        <w:rPr>
          <w:rFonts w:ascii="宋体" w:hAnsi="宋体" w:cs="宋体" w:hint="eastAsia"/>
          <w:b w:val="0"/>
          <w:bCs w:val="0"/>
          <w:kern w:val="0"/>
          <w:szCs w:val="24"/>
        </w:rPr>
        <w:alias w:val="模块:资产负债表日存在的或有事项"/>
        <w:tag w:val="_GBC_c667d796bd114ba58f4592903a5601f3"/>
        <w:id w:val="-891114627"/>
        <w:lock w:val="sdtLocked"/>
        <w:placeholder>
          <w:docPart w:val="GBC22222222222222222222222222222"/>
        </w:placeholder>
      </w:sdtPr>
      <w:sdtEndPr>
        <w:rPr>
          <w:rFonts w:cstheme="minorBidi"/>
          <w:szCs w:val="21"/>
        </w:rPr>
      </w:sdtEndPr>
      <w:sdtContent>
        <w:p w14:paraId="48BE0E3B" w14:textId="77777777" w:rsidR="007E7472" w:rsidRDefault="00EC1269" w:rsidP="00162493">
          <w:pPr>
            <w:pStyle w:val="4"/>
            <w:numPr>
              <w:ilvl w:val="0"/>
              <w:numId w:val="112"/>
            </w:numPr>
          </w:pPr>
          <w:r>
            <w:rPr>
              <w:rFonts w:hint="eastAsia"/>
            </w:rPr>
            <w:t>资产负债表日存在的重要或有事项</w:t>
          </w:r>
        </w:p>
        <w:sdt>
          <w:sdtPr>
            <w:alias w:val="是否适用：资产负债表日存在的重要或有事项[双击切换]"/>
            <w:tag w:val="_GBC_dea854a30b4642f6b78351afe6791c32"/>
            <w:id w:val="-58334312"/>
            <w:lock w:val="sdtLocked"/>
          </w:sdtPr>
          <w:sdtEndPr/>
          <w:sdtContent>
            <w:p w14:paraId="3E34D343" w14:textId="77777777" w:rsidR="007E7472" w:rsidRDefault="00EC1269">
              <w:r>
                <w:fldChar w:fldCharType="begin"/>
              </w:r>
              <w:r>
                <w:instrText xml:space="preserve"> MACROBUTTON SnrToggleCheckbox √适用 </w:instrText>
              </w:r>
              <w:r>
                <w:fldChar w:fldCharType="end"/>
              </w:r>
              <w:r>
                <w:fldChar w:fldCharType="begin"/>
              </w:r>
              <w:r>
                <w:instrText xml:space="preserve">MACROBUTTON  SnrToggleCheckbox □不适用 </w:instrText>
              </w:r>
              <w:r>
                <w:fldChar w:fldCharType="end"/>
              </w:r>
            </w:p>
          </w:sdtContent>
        </w:sdt>
        <w:sdt>
          <w:sdtPr>
            <w:alias w:val="资产负债表日存在的重要或有事项"/>
            <w:tag w:val="_GBC_9aacda4c45eb44bcb0d1f17e53741a1f"/>
            <w:id w:val="-1569953027"/>
            <w:lock w:val="sdtLocked"/>
          </w:sdtPr>
          <w:sdtEndPr/>
          <w:sdtContent>
            <w:p w14:paraId="0B99856A" w14:textId="77777777" w:rsidR="007E7472" w:rsidRDefault="00EC1269">
              <w:pPr>
                <w:spacing w:beforeLines="50" w:before="120" w:afterLines="50" w:after="120" w:line="360" w:lineRule="exact"/>
                <w:ind w:firstLineChars="200" w:firstLine="420"/>
                <w:rPr>
                  <w:b/>
                </w:rPr>
              </w:pPr>
              <w:r>
                <w:rPr>
                  <w:rFonts w:hint="eastAsia"/>
                </w:rPr>
                <w:t>1)澳洲公司及其合营公司</w:t>
              </w:r>
            </w:p>
            <w:tbl>
              <w:tblPr>
                <w:tblStyle w:val="g4"/>
                <w:tblW w:w="0" w:type="auto"/>
                <w:tblInd w:w="108" w:type="dxa"/>
                <w:tblLook w:val="04A0" w:firstRow="1" w:lastRow="0" w:firstColumn="1" w:lastColumn="0" w:noHBand="0" w:noVBand="1"/>
              </w:tblPr>
              <w:tblGrid>
                <w:gridCol w:w="3103"/>
                <w:gridCol w:w="2881"/>
                <w:gridCol w:w="2731"/>
              </w:tblGrid>
              <w:tr w:rsidR="007E7472" w14:paraId="2E0DA9D7" w14:textId="77777777">
                <w:tc>
                  <w:tcPr>
                    <w:tcW w:w="3103" w:type="dxa"/>
                    <w:tcBorders>
                      <w:top w:val="single" w:sz="4" w:space="0" w:color="auto"/>
                      <w:left w:val="single" w:sz="4" w:space="0" w:color="auto"/>
                      <w:bottom w:val="single" w:sz="4" w:space="0" w:color="auto"/>
                      <w:right w:val="single" w:sz="4" w:space="0" w:color="auto"/>
                    </w:tcBorders>
                  </w:tcPr>
                  <w:p w14:paraId="1B9FDF58" w14:textId="77777777" w:rsidR="007E7472" w:rsidRDefault="00EC1269">
                    <w:pPr>
                      <w:jc w:val="center"/>
                      <w:rPr>
                        <w:rFonts w:asciiTheme="majorEastAsia" w:eastAsiaTheme="majorEastAsia" w:hAnsiTheme="majorEastAsia"/>
                      </w:rPr>
                    </w:pPr>
                    <w:r>
                      <w:rPr>
                        <w:rFonts w:asciiTheme="majorEastAsia" w:eastAsiaTheme="majorEastAsia" w:hAnsiTheme="majorEastAsia" w:hint="eastAsia"/>
                      </w:rPr>
                      <w:t>项目</w:t>
                    </w:r>
                  </w:p>
                </w:tc>
                <w:tc>
                  <w:tcPr>
                    <w:tcW w:w="2881" w:type="dxa"/>
                    <w:tcBorders>
                      <w:top w:val="single" w:sz="4" w:space="0" w:color="auto"/>
                      <w:left w:val="single" w:sz="4" w:space="0" w:color="auto"/>
                      <w:bottom w:val="single" w:sz="4" w:space="0" w:color="auto"/>
                      <w:right w:val="single" w:sz="4" w:space="0" w:color="auto"/>
                    </w:tcBorders>
                  </w:tcPr>
                  <w:p w14:paraId="5F47F069" w14:textId="77777777" w:rsidR="007E7472" w:rsidRDefault="00EC1269">
                    <w:pPr>
                      <w:jc w:val="center"/>
                      <w:rPr>
                        <w:rFonts w:asciiTheme="majorEastAsia" w:eastAsiaTheme="majorEastAsia" w:hAnsiTheme="majorEastAsia"/>
                      </w:rPr>
                    </w:pPr>
                    <w:r>
                      <w:rPr>
                        <w:rFonts w:asciiTheme="majorEastAsia" w:eastAsiaTheme="majorEastAsia" w:hAnsiTheme="majorEastAsia" w:hint="eastAsia"/>
                      </w:rPr>
                      <w:t>年末余额</w:t>
                    </w:r>
                  </w:p>
                </w:tc>
                <w:tc>
                  <w:tcPr>
                    <w:tcW w:w="2731" w:type="dxa"/>
                    <w:tcBorders>
                      <w:top w:val="single" w:sz="4" w:space="0" w:color="auto"/>
                      <w:left w:val="single" w:sz="4" w:space="0" w:color="auto"/>
                      <w:bottom w:val="single" w:sz="4" w:space="0" w:color="auto"/>
                      <w:right w:val="single" w:sz="4" w:space="0" w:color="auto"/>
                    </w:tcBorders>
                  </w:tcPr>
                  <w:p w14:paraId="65DEC3E2" w14:textId="77777777" w:rsidR="007E7472" w:rsidRDefault="00EC1269">
                    <w:pPr>
                      <w:jc w:val="center"/>
                      <w:rPr>
                        <w:rFonts w:asciiTheme="majorEastAsia" w:eastAsiaTheme="majorEastAsia" w:hAnsiTheme="majorEastAsia"/>
                      </w:rPr>
                    </w:pPr>
                    <w:r>
                      <w:rPr>
                        <w:rFonts w:asciiTheme="majorEastAsia" w:eastAsiaTheme="majorEastAsia" w:hAnsiTheme="majorEastAsia" w:hint="eastAsia"/>
                      </w:rPr>
                      <w:t>年初余额</w:t>
                    </w:r>
                  </w:p>
                </w:tc>
              </w:tr>
              <w:tr w:rsidR="007E7472" w14:paraId="6816FDEC" w14:textId="77777777">
                <w:tc>
                  <w:tcPr>
                    <w:tcW w:w="3103" w:type="dxa"/>
                    <w:tcBorders>
                      <w:top w:val="single" w:sz="4" w:space="0" w:color="auto"/>
                      <w:left w:val="single" w:sz="4" w:space="0" w:color="auto"/>
                      <w:bottom w:val="single" w:sz="4" w:space="0" w:color="auto"/>
                      <w:right w:val="single" w:sz="4" w:space="0" w:color="auto"/>
                    </w:tcBorders>
                    <w:vAlign w:val="center"/>
                  </w:tcPr>
                  <w:p w14:paraId="5D3976CB" w14:textId="77777777" w:rsidR="007E7472" w:rsidRDefault="00EC1269">
                    <w:pPr>
                      <w:rPr>
                        <w:rFonts w:asciiTheme="majorEastAsia" w:eastAsiaTheme="majorEastAsia" w:hAnsiTheme="majorEastAsia"/>
                      </w:rPr>
                    </w:pPr>
                    <w:r>
                      <w:rPr>
                        <w:rFonts w:asciiTheme="majorEastAsia" w:eastAsiaTheme="majorEastAsia" w:hAnsiTheme="majorEastAsia" w:hint="eastAsia"/>
                      </w:rPr>
                      <w:t>对日常经营提供履约保函</w:t>
                    </w:r>
                  </w:p>
                </w:tc>
                <w:tc>
                  <w:tcPr>
                    <w:tcW w:w="2881" w:type="dxa"/>
                    <w:tcBorders>
                      <w:top w:val="single" w:sz="4" w:space="0" w:color="auto"/>
                      <w:left w:val="single" w:sz="4" w:space="0" w:color="auto"/>
                      <w:bottom w:val="single" w:sz="4" w:space="0" w:color="auto"/>
                      <w:right w:val="single" w:sz="4" w:space="0" w:color="auto"/>
                    </w:tcBorders>
                    <w:vAlign w:val="center"/>
                  </w:tcPr>
                  <w:p w14:paraId="008F33D9" w14:textId="77777777" w:rsidR="007E7472" w:rsidRDefault="00EC1269">
                    <w:pPr>
                      <w:jc w:val="right"/>
                      <w:rPr>
                        <w:rFonts w:asciiTheme="majorEastAsia" w:eastAsiaTheme="majorEastAsia" w:hAnsiTheme="majorEastAsia"/>
                      </w:rPr>
                    </w:pPr>
                    <w:r>
                      <w:rPr>
                        <w:rFonts w:eastAsia="Times New Roman" w:hint="eastAsia"/>
                      </w:rPr>
                      <w:t>1,891,313</w:t>
                    </w:r>
                  </w:p>
                </w:tc>
                <w:tc>
                  <w:tcPr>
                    <w:tcW w:w="2731" w:type="dxa"/>
                    <w:tcBorders>
                      <w:top w:val="single" w:sz="4" w:space="0" w:color="auto"/>
                      <w:left w:val="single" w:sz="4" w:space="0" w:color="auto"/>
                      <w:bottom w:val="single" w:sz="4" w:space="0" w:color="auto"/>
                      <w:right w:val="single" w:sz="4" w:space="0" w:color="auto"/>
                    </w:tcBorders>
                    <w:vAlign w:val="center"/>
                  </w:tcPr>
                  <w:p w14:paraId="10C4C71B" w14:textId="77777777" w:rsidR="007E7472" w:rsidRDefault="00EC1269">
                    <w:pPr>
                      <w:jc w:val="right"/>
                      <w:rPr>
                        <w:rFonts w:asciiTheme="majorEastAsia" w:eastAsiaTheme="majorEastAsia" w:hAnsiTheme="majorEastAsia"/>
                      </w:rPr>
                    </w:pPr>
                    <w:r>
                      <w:rPr>
                        <w:rFonts w:eastAsia="Times New Roman" w:hint="eastAsia"/>
                      </w:rPr>
                      <w:t>1,858,982</w:t>
                    </w:r>
                  </w:p>
                </w:tc>
              </w:tr>
              <w:tr w:rsidR="007E7472" w14:paraId="51A18F7B" w14:textId="77777777">
                <w:tc>
                  <w:tcPr>
                    <w:tcW w:w="3103" w:type="dxa"/>
                    <w:tcBorders>
                      <w:top w:val="single" w:sz="4" w:space="0" w:color="auto"/>
                      <w:left w:val="single" w:sz="4" w:space="0" w:color="auto"/>
                      <w:bottom w:val="single" w:sz="4" w:space="0" w:color="auto"/>
                      <w:right w:val="single" w:sz="4" w:space="0" w:color="auto"/>
                    </w:tcBorders>
                    <w:vAlign w:val="center"/>
                  </w:tcPr>
                  <w:p w14:paraId="55182508" w14:textId="77777777" w:rsidR="007E7472" w:rsidRDefault="00EC1269">
                    <w:pPr>
                      <w:rPr>
                        <w:rFonts w:asciiTheme="majorEastAsia" w:eastAsiaTheme="majorEastAsia" w:hAnsiTheme="majorEastAsia"/>
                      </w:rPr>
                    </w:pPr>
                    <w:r>
                      <w:rPr>
                        <w:rFonts w:asciiTheme="majorEastAsia" w:eastAsiaTheme="majorEastAsia" w:hAnsiTheme="majorEastAsia" w:hint="eastAsia"/>
                      </w:rPr>
                      <w:t>按照法律要求对某些采矿权的复原成本向政府部门提供履约保函</w:t>
                    </w:r>
                  </w:p>
                </w:tc>
                <w:tc>
                  <w:tcPr>
                    <w:tcW w:w="2881" w:type="dxa"/>
                    <w:tcBorders>
                      <w:top w:val="single" w:sz="4" w:space="0" w:color="auto"/>
                      <w:left w:val="single" w:sz="4" w:space="0" w:color="auto"/>
                      <w:bottom w:val="single" w:sz="4" w:space="0" w:color="auto"/>
                      <w:right w:val="single" w:sz="4" w:space="0" w:color="auto"/>
                    </w:tcBorders>
                    <w:vAlign w:val="center"/>
                  </w:tcPr>
                  <w:p w14:paraId="1A51816B" w14:textId="77777777" w:rsidR="007E7472" w:rsidRDefault="00EC1269">
                    <w:pPr>
                      <w:jc w:val="right"/>
                      <w:rPr>
                        <w:rFonts w:asciiTheme="majorEastAsia" w:eastAsiaTheme="majorEastAsia" w:hAnsiTheme="majorEastAsia"/>
                      </w:rPr>
                    </w:pPr>
                    <w:r>
                      <w:rPr>
                        <w:rFonts w:eastAsia="Times New Roman" w:hint="eastAsia"/>
                      </w:rPr>
                      <w:t>2,688,440</w:t>
                    </w:r>
                  </w:p>
                </w:tc>
                <w:tc>
                  <w:tcPr>
                    <w:tcW w:w="2731" w:type="dxa"/>
                    <w:tcBorders>
                      <w:top w:val="single" w:sz="4" w:space="0" w:color="auto"/>
                      <w:left w:val="single" w:sz="4" w:space="0" w:color="auto"/>
                      <w:bottom w:val="single" w:sz="4" w:space="0" w:color="auto"/>
                      <w:right w:val="single" w:sz="4" w:space="0" w:color="auto"/>
                    </w:tcBorders>
                    <w:vAlign w:val="center"/>
                  </w:tcPr>
                  <w:p w14:paraId="43DEB3B9" w14:textId="77777777" w:rsidR="007E7472" w:rsidRDefault="00EC1269">
                    <w:pPr>
                      <w:jc w:val="right"/>
                      <w:rPr>
                        <w:rFonts w:asciiTheme="majorEastAsia" w:eastAsiaTheme="majorEastAsia" w:hAnsiTheme="majorEastAsia"/>
                      </w:rPr>
                    </w:pPr>
                    <w:r>
                      <w:rPr>
                        <w:rFonts w:eastAsia="Times New Roman" w:hint="eastAsia"/>
                      </w:rPr>
                      <w:t>2,574,854</w:t>
                    </w:r>
                  </w:p>
                </w:tc>
              </w:tr>
              <w:tr w:rsidR="007E7472" w14:paraId="0B274778" w14:textId="77777777">
                <w:tc>
                  <w:tcPr>
                    <w:tcW w:w="3103" w:type="dxa"/>
                    <w:tcBorders>
                      <w:top w:val="single" w:sz="4" w:space="0" w:color="auto"/>
                      <w:left w:val="single" w:sz="4" w:space="0" w:color="auto"/>
                      <w:bottom w:val="single" w:sz="4" w:space="0" w:color="auto"/>
                      <w:right w:val="single" w:sz="4" w:space="0" w:color="auto"/>
                    </w:tcBorders>
                    <w:vAlign w:val="center"/>
                  </w:tcPr>
                  <w:p w14:paraId="3E0A4244" w14:textId="77777777" w:rsidR="007E7472" w:rsidRDefault="00EC1269">
                    <w:pPr>
                      <w:rPr>
                        <w:rFonts w:asciiTheme="majorEastAsia" w:eastAsiaTheme="majorEastAsia" w:hAnsiTheme="majorEastAsia"/>
                      </w:rPr>
                    </w:pPr>
                    <w:r>
                      <w:rPr>
                        <w:rFonts w:asciiTheme="majorEastAsia" w:eastAsiaTheme="majorEastAsia" w:hAnsiTheme="majorEastAsia" w:hint="eastAsia"/>
                      </w:rPr>
                      <w:t>合计</w:t>
                    </w:r>
                  </w:p>
                </w:tc>
                <w:tc>
                  <w:tcPr>
                    <w:tcW w:w="2881" w:type="dxa"/>
                    <w:tcBorders>
                      <w:top w:val="single" w:sz="4" w:space="0" w:color="auto"/>
                      <w:left w:val="single" w:sz="4" w:space="0" w:color="auto"/>
                      <w:bottom w:val="single" w:sz="4" w:space="0" w:color="auto"/>
                      <w:right w:val="single" w:sz="4" w:space="0" w:color="auto"/>
                    </w:tcBorders>
                    <w:vAlign w:val="center"/>
                  </w:tcPr>
                  <w:p w14:paraId="2A9D09B7" w14:textId="77777777" w:rsidR="007E7472" w:rsidRDefault="00EC1269">
                    <w:pPr>
                      <w:jc w:val="right"/>
                      <w:rPr>
                        <w:rFonts w:asciiTheme="majorEastAsia" w:eastAsiaTheme="majorEastAsia" w:hAnsiTheme="majorEastAsia"/>
                      </w:rPr>
                    </w:pPr>
                    <w:r>
                      <w:rPr>
                        <w:rFonts w:eastAsia="Times New Roman" w:hint="eastAsia"/>
                      </w:rPr>
                      <w:t>4,579,753</w:t>
                    </w:r>
                  </w:p>
                </w:tc>
                <w:tc>
                  <w:tcPr>
                    <w:tcW w:w="2731" w:type="dxa"/>
                    <w:tcBorders>
                      <w:top w:val="single" w:sz="4" w:space="0" w:color="auto"/>
                      <w:left w:val="single" w:sz="4" w:space="0" w:color="auto"/>
                      <w:bottom w:val="single" w:sz="4" w:space="0" w:color="auto"/>
                      <w:right w:val="single" w:sz="4" w:space="0" w:color="auto"/>
                    </w:tcBorders>
                    <w:vAlign w:val="center"/>
                  </w:tcPr>
                  <w:p w14:paraId="658A713E" w14:textId="77777777" w:rsidR="007E7472" w:rsidRDefault="00EC1269">
                    <w:pPr>
                      <w:jc w:val="right"/>
                      <w:rPr>
                        <w:rFonts w:asciiTheme="majorEastAsia" w:eastAsiaTheme="majorEastAsia" w:hAnsiTheme="majorEastAsia"/>
                      </w:rPr>
                    </w:pPr>
                    <w:r>
                      <w:rPr>
                        <w:rFonts w:eastAsia="Times New Roman" w:hint="eastAsia"/>
                      </w:rPr>
                      <w:t>4,433,836</w:t>
                    </w:r>
                  </w:p>
                </w:tc>
              </w:tr>
            </w:tbl>
            <w:p w14:paraId="7CED884D" w14:textId="77777777" w:rsidR="007E7472" w:rsidRDefault="00EC1269">
              <w:pPr>
                <w:spacing w:beforeLines="50" w:before="120" w:afterLines="50" w:after="120" w:line="360" w:lineRule="exact"/>
                <w:ind w:firstLineChars="200" w:firstLine="420"/>
              </w:pPr>
              <w:r>
                <w:rPr>
                  <w:rFonts w:hint="eastAsia"/>
                </w:rPr>
                <w:t>2)厦门信达合同诉讼案</w:t>
              </w:r>
            </w:p>
            <w:p w14:paraId="3F92FDA4" w14:textId="77777777" w:rsidR="007E7472" w:rsidRDefault="00EC1269">
              <w:pPr>
                <w:spacing w:beforeLines="50" w:before="120" w:afterLines="50" w:after="120" w:line="360" w:lineRule="exact"/>
                <w:ind w:firstLineChars="200" w:firstLine="420"/>
              </w:pPr>
              <w:r>
                <w:rPr>
                  <w:rFonts w:hint="eastAsia"/>
                </w:rPr>
                <w:t>2017年3月，厦门信达股份有限公司（“厦门信达”）以买卖合同纠纷为由，将本公司、本公司之子公司山东中垠物流贸易有限公司（“中垠物流”）诉至厦门市中级人民法院（“厦门中院”）、厦门市湖里区人民法院，要求中垠物流返还货款本金合计196,161千元及相应利息，要求本公司承担连带责任。2017年6月本公司向福建省高级人民法院（“福建高院”）就管辖权异议提起上诉，福建高院裁定将厦门中院审理的2起案件合并为1起（人民币102,500千元）由福建高院审理，剩余的案件由厦门中院审理。</w:t>
              </w:r>
            </w:p>
            <w:p w14:paraId="0519463D" w14:textId="77777777" w:rsidR="007E7472" w:rsidRDefault="00EC1269">
              <w:pPr>
                <w:spacing w:beforeLines="50" w:before="120" w:afterLines="50" w:after="120" w:line="360" w:lineRule="exact"/>
                <w:ind w:firstLineChars="200" w:firstLine="420"/>
              </w:pPr>
              <w:r>
                <w:rPr>
                  <w:rFonts w:hint="eastAsia"/>
                </w:rPr>
                <w:t>2018年7月3日，福建高院审理的案件一审开庭，双方在法庭上共同向法庭申请延缓审理，为双方的和谈争取时间。法庭同意暂缓审理，开庭时间另行通知。</w:t>
              </w:r>
            </w:p>
            <w:p w14:paraId="35A8347A" w14:textId="77777777" w:rsidR="007E7472" w:rsidRDefault="00EC1269">
              <w:pPr>
                <w:spacing w:beforeLines="50" w:before="120" w:afterLines="50" w:after="120" w:line="360" w:lineRule="exact"/>
                <w:ind w:firstLineChars="200" w:firstLine="420"/>
              </w:pPr>
              <w:r>
                <w:rPr>
                  <w:rFonts w:hint="eastAsia"/>
                </w:rPr>
                <w:t>2018年7月17日，就厦门中院审理的案件，法院组织诉讼各方参加了庭前质证，质证后厦门中院中止了本案审理。</w:t>
              </w:r>
            </w:p>
            <w:p w14:paraId="10F20D81" w14:textId="77777777" w:rsidR="007E7472" w:rsidRDefault="00EC1269">
              <w:pPr>
                <w:spacing w:beforeLines="50" w:before="120" w:afterLines="50" w:after="120" w:line="360" w:lineRule="exact"/>
                <w:ind w:firstLineChars="200" w:firstLine="420"/>
              </w:pPr>
              <w:r>
                <w:rPr>
                  <w:rFonts w:hint="eastAsia"/>
                </w:rPr>
                <w:lastRenderedPageBreak/>
                <w:t>经本公司调查核实，原告提交的相关证据中使用的本公司及中垠物流印章均涉嫌伪造，本案涉及第三方上海鲁啸矿业有限公司及相关责任人涉嫌伪造公司印章实施合同诈骗，本公司已依法向公安机关报案并获得立案。</w:t>
              </w:r>
            </w:p>
            <w:p w14:paraId="30FCD7E5" w14:textId="77777777" w:rsidR="007E7472" w:rsidRDefault="00EC1269">
              <w:pPr>
                <w:spacing w:beforeLines="50" w:before="120" w:afterLines="50" w:after="120" w:line="360" w:lineRule="exact"/>
                <w:ind w:firstLineChars="200" w:firstLine="420"/>
              </w:pPr>
              <w:r>
                <w:rPr>
                  <w:rFonts w:hint="eastAsia"/>
                </w:rPr>
                <w:t>2019年9月，厦门信达向厦门中院提出撤诉申请并获得准许。2019年10月，厦门信达向福建高院提出撤诉申请并获得准许。</w:t>
              </w:r>
            </w:p>
            <w:p w14:paraId="6EF33159" w14:textId="77777777" w:rsidR="007E7472" w:rsidRDefault="00EC1269">
              <w:pPr>
                <w:spacing w:beforeLines="50" w:before="120" w:afterLines="50" w:after="120" w:line="360" w:lineRule="exact"/>
                <w:ind w:firstLineChars="200" w:firstLine="420"/>
              </w:pPr>
              <w:r>
                <w:rPr>
                  <w:rFonts w:hint="eastAsia"/>
                </w:rPr>
                <w:t>2020年3月，厦门信达以买卖合同纠纷为由，将中垠物流、本公司诉至厦门中院，要求中垠物流返还货款本金及相应利息人民币232,661千元，要求本公司承担连带责任。2022年5月，厦门中院裁定驳回厦门信达诉讼请求，厦门信达不服一审判决，提起二审诉讼。2022年10月，福建高院判决案件发回厦门中院重审，目前，厦门中院尚未作出裁决。</w:t>
              </w:r>
            </w:p>
            <w:p w14:paraId="02B91647" w14:textId="77777777" w:rsidR="007E7472" w:rsidRDefault="00EC1269">
              <w:pPr>
                <w:spacing w:beforeLines="50" w:before="120" w:afterLines="50" w:after="120" w:line="360" w:lineRule="exact"/>
                <w:ind w:firstLineChars="200" w:firstLine="420"/>
              </w:pPr>
              <w:r>
                <w:rPr>
                  <w:rFonts w:hint="eastAsia"/>
                </w:rPr>
                <w:t>截至2023年6月30日，尚无法判断本次诉讼事项对本公司本年利润或期后利润的影响。</w:t>
              </w:r>
            </w:p>
            <w:p w14:paraId="1198477C" w14:textId="77777777" w:rsidR="007E7472" w:rsidRDefault="00EC1269">
              <w:pPr>
                <w:spacing w:beforeLines="50" w:before="120" w:afterLines="50" w:after="120" w:line="360" w:lineRule="exact"/>
                <w:ind w:firstLineChars="200" w:firstLine="420"/>
              </w:pPr>
              <w:r>
                <w:rPr>
                  <w:rFonts w:hint="eastAsia"/>
                </w:rPr>
                <w:t>3)鄂尔多斯市金诚泰化工有限责任公司仲裁案</w:t>
              </w:r>
            </w:p>
            <w:p w14:paraId="19FB218A" w14:textId="77777777" w:rsidR="007E7472" w:rsidRDefault="00EC1269">
              <w:pPr>
                <w:spacing w:beforeLines="50" w:before="120" w:afterLines="50" w:after="120" w:line="360" w:lineRule="exact"/>
                <w:ind w:firstLineChars="200" w:firstLine="420"/>
              </w:pPr>
              <w:r>
                <w:rPr>
                  <w:rFonts w:hint="eastAsia"/>
                </w:rPr>
                <w:t>2021年5月，本公司以鄂尔多斯市金诚泰化工有限责任公司（“金诚泰”）违反双方有关股权转让协议为由，向中国国际经济贸易仲裁委员会（“中国贸仲”）提出仲裁申请，要求金诚泰返还股权转让价款14,884千元，中国贸仲尚未进行开庭。</w:t>
              </w:r>
            </w:p>
            <w:p w14:paraId="52426C2B" w14:textId="77777777" w:rsidR="007E7472" w:rsidRDefault="00EC1269">
              <w:pPr>
                <w:spacing w:beforeLines="50" w:before="120" w:afterLines="50" w:after="120" w:line="360" w:lineRule="exact"/>
                <w:ind w:firstLineChars="200" w:firstLine="420"/>
              </w:pPr>
              <w:r>
                <w:rPr>
                  <w:rFonts w:hint="eastAsia"/>
                </w:rPr>
                <w:t>2022年7月，金诚泰以股权转让合同纠纷为由，向中国贸仲提出仲裁反请求申请，要求本公司给付金诚泰第三期煤矿股权转让费及滞纳金1,015,901千元，本案暂未开庭。</w:t>
              </w:r>
            </w:p>
            <w:p w14:paraId="593CA0EF" w14:textId="77777777" w:rsidR="007E7472" w:rsidRDefault="00EC1269">
              <w:pPr>
                <w:spacing w:beforeLines="50" w:before="120" w:afterLines="50" w:after="120" w:line="360" w:lineRule="exact"/>
                <w:ind w:firstLineChars="200" w:firstLine="420"/>
              </w:pPr>
              <w:r>
                <w:rPr>
                  <w:rFonts w:hint="eastAsia"/>
                </w:rPr>
                <w:t>截至2023年6月30日，尚无法判断以上仲裁事项对本公司本年利润或期后利润的影响。</w:t>
              </w:r>
            </w:p>
            <w:p w14:paraId="05F6DF92" w14:textId="77777777" w:rsidR="007E7472" w:rsidRDefault="00EC1269">
              <w:pPr>
                <w:spacing w:beforeLines="50" w:before="120" w:afterLines="50" w:after="120" w:line="360" w:lineRule="exact"/>
                <w:ind w:firstLineChars="200" w:firstLine="420"/>
              </w:pPr>
              <w:r>
                <w:rPr>
                  <w:rFonts w:hint="eastAsia"/>
                </w:rPr>
                <w:t>4)除上述及本附注“十二、5、(4)关联担保情况”外，截至2023年6月30日，本集团无其他重大或有事项。</w:t>
              </w:r>
            </w:p>
          </w:sdtContent>
        </w:sdt>
      </w:sdtContent>
    </w:sdt>
    <w:sdt>
      <w:sdtPr>
        <w:rPr>
          <w:rFonts w:ascii="宋体" w:hAnsi="宋体" w:cs="宋体" w:hint="eastAsia"/>
          <w:b w:val="0"/>
          <w:bCs w:val="0"/>
          <w:kern w:val="0"/>
          <w:szCs w:val="24"/>
        </w:rPr>
        <w:alias w:val="模块:公司没有需要披露的或有事项，也应予以说明"/>
        <w:tag w:val="_GBC_428b07d001974f7390d8bb4142377be9"/>
        <w:id w:val="-1512987838"/>
        <w:lock w:val="sdtLocked"/>
        <w:placeholder>
          <w:docPart w:val="GBC22222222222222222222222222222"/>
        </w:placeholder>
      </w:sdtPr>
      <w:sdtEndPr>
        <w:rPr>
          <w:rFonts w:cstheme="minorBidi"/>
          <w:szCs w:val="21"/>
        </w:rPr>
      </w:sdtEndPr>
      <w:sdtContent>
        <w:p w14:paraId="6AEBA958" w14:textId="77777777" w:rsidR="007E7472" w:rsidRDefault="00EC1269" w:rsidP="00162493">
          <w:pPr>
            <w:pStyle w:val="4"/>
            <w:numPr>
              <w:ilvl w:val="0"/>
              <w:numId w:val="112"/>
            </w:numPr>
          </w:pPr>
          <w:r>
            <w:rPr>
              <w:rFonts w:hint="eastAsia"/>
            </w:rPr>
            <w:t>公司没有需要披露的重要或有事项，也应予以说明：</w:t>
          </w:r>
        </w:p>
        <w:sdt>
          <w:sdtPr>
            <w:alias w:val="是否适用：公司没有需要披露的重要或有事项，也应予以说明[双击切换]"/>
            <w:tag w:val="_GBC_a0545390a9694adcaaee8509e290303c"/>
            <w:id w:val="913743473"/>
            <w:lock w:val="sdtLocked"/>
            <w:placeholder>
              <w:docPart w:val="GBC22222222222222222222222222222"/>
            </w:placeholder>
          </w:sdtPr>
          <w:sdtEndPr/>
          <w:sdtContent>
            <w:p w14:paraId="6DCC95D8"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C9D697E" w14:textId="77777777" w:rsidR="007E7472" w:rsidRDefault="00C8327E">
          <w:pPr>
            <w:rPr>
              <w:rFonts w:cstheme="minorBidi"/>
            </w:rPr>
          </w:pPr>
        </w:p>
      </w:sdtContent>
    </w:sdt>
    <w:sdt>
      <w:sdtPr>
        <w:rPr>
          <w:sz w:val="20"/>
          <w:szCs w:val="24"/>
        </w:rPr>
        <w:alias w:val="模块:承诺及或有事项的其他情况说明"/>
        <w:tag w:val="_GBC_7967de77d1eb4fa3968e072c7d0d24ca"/>
        <w:id w:val="-1573649409"/>
        <w:lock w:val="sdtLocked"/>
        <w:placeholder>
          <w:docPart w:val="GBC22222222222222222222222222222"/>
        </w:placeholder>
      </w:sdtPr>
      <w:sdtEndPr>
        <w:rPr>
          <w:szCs w:val="21"/>
        </w:rPr>
      </w:sdtEndPr>
      <w:sdtContent>
        <w:p w14:paraId="1DE4E184" w14:textId="77777777" w:rsidR="007E7472" w:rsidRPr="00FC3C6E" w:rsidRDefault="00EC1269" w:rsidP="00162493">
          <w:pPr>
            <w:numPr>
              <w:ilvl w:val="2"/>
              <w:numId w:val="111"/>
            </w:numPr>
            <w:outlineLvl w:val="2"/>
            <w:rPr>
              <w:b/>
            </w:rPr>
          </w:pPr>
          <w:r w:rsidRPr="00FC3C6E">
            <w:rPr>
              <w:rFonts w:hint="eastAsia"/>
              <w:b/>
            </w:rPr>
            <w:t>其他</w:t>
          </w:r>
        </w:p>
        <w:sdt>
          <w:sdtPr>
            <w:alias w:val="是否适用：承诺及或有事项的其他情况说明[双击切换]"/>
            <w:tag w:val="_GBC_ff33b21a56eb4d3291f2b4875be5a2b2"/>
            <w:id w:val="1959836338"/>
            <w:lock w:val="sdtLocked"/>
            <w:placeholder>
              <w:docPart w:val="GBC22222222222222222222222222222"/>
            </w:placeholder>
          </w:sdtPr>
          <w:sdtEndPr/>
          <w:sdtContent>
            <w:p w14:paraId="70AC3727"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19CCC7D5" w14:textId="77777777" w:rsidR="007E7472" w:rsidRDefault="00C8327E"/>
    <w:p w14:paraId="601B092C" w14:textId="77777777" w:rsidR="007E7472" w:rsidRDefault="00EC1269" w:rsidP="00162493">
      <w:pPr>
        <w:pStyle w:val="2"/>
        <w:numPr>
          <w:ilvl w:val="0"/>
          <w:numId w:val="43"/>
        </w:numPr>
        <w:ind w:firstLineChars="0"/>
      </w:pPr>
      <w:r>
        <w:rPr>
          <w:rFonts w:hint="eastAsia"/>
        </w:rPr>
        <w:t>资产负债表日后事项</w:t>
      </w:r>
    </w:p>
    <w:sdt>
      <w:sdtPr>
        <w:rPr>
          <w:rFonts w:hint="eastAsia"/>
          <w:sz w:val="20"/>
          <w:szCs w:val="24"/>
        </w:rPr>
        <w:alias w:val="模块:重要的非调整事项"/>
        <w:tag w:val="_GBC_5d1bcf8f61b9443ba6ffa54897c724fc"/>
        <w:id w:val="-802456291"/>
        <w:lock w:val="sdtLocked"/>
        <w:placeholder>
          <w:docPart w:val="GBC22222222222222222222222222222"/>
        </w:placeholder>
      </w:sdtPr>
      <w:sdtEndPr>
        <w:rPr>
          <w:rFonts w:cstheme="minorBidi"/>
          <w:b/>
          <w:szCs w:val="22"/>
        </w:rPr>
      </w:sdtEndPr>
      <w:sdtContent>
        <w:p w14:paraId="083BD22D" w14:textId="77777777" w:rsidR="007E7472" w:rsidRPr="00FC3C6E" w:rsidRDefault="00EC1269" w:rsidP="00162493">
          <w:pPr>
            <w:numPr>
              <w:ilvl w:val="2"/>
              <w:numId w:val="113"/>
            </w:numPr>
            <w:outlineLvl w:val="2"/>
            <w:rPr>
              <w:b/>
            </w:rPr>
          </w:pPr>
          <w:r w:rsidRPr="00FC3C6E">
            <w:rPr>
              <w:rFonts w:hint="eastAsia"/>
              <w:b/>
            </w:rPr>
            <w:t>重要的非调整事项</w:t>
          </w:r>
        </w:p>
        <w:sdt>
          <w:sdtPr>
            <w:alias w:val="是否适用：重要的非调整事项[双击切换]"/>
            <w:tag w:val="_GBC_ab366a8fb12748d6aa2a8401b360857c"/>
            <w:id w:val="-1535574407"/>
            <w:lock w:val="sdtLocked"/>
            <w:placeholder>
              <w:docPart w:val="GBC22222222222222222222222222222"/>
            </w:placeholder>
          </w:sdtPr>
          <w:sdtEndPr>
            <w:rPr>
              <w:b/>
            </w:rPr>
          </w:sdtEndPr>
          <w:sdtContent>
            <w:p w14:paraId="79FABF1E" w14:textId="77777777" w:rsidR="007E7472" w:rsidRPr="00FC3C6E" w:rsidRDefault="00EC1269">
              <w:pPr>
                <w:rPr>
                  <w:b/>
                </w:rPr>
              </w:pPr>
              <w:r w:rsidRPr="00FC3C6E">
                <w:rPr>
                  <w:b/>
                </w:rPr>
                <w:fldChar w:fldCharType="begin"/>
              </w:r>
              <w:r w:rsidRPr="00FC3C6E">
                <w:rPr>
                  <w:b/>
                </w:rPr>
                <w:instrText xml:space="preserve"> MACROBUTTON  SnrToggleCheckbox □适用 </w:instrText>
              </w:r>
              <w:r w:rsidRPr="00FC3C6E">
                <w:rPr>
                  <w:b/>
                </w:rPr>
                <w:fldChar w:fldCharType="end"/>
              </w:r>
              <w:r w:rsidRPr="00FC3C6E">
                <w:rPr>
                  <w:b/>
                </w:rPr>
                <w:fldChar w:fldCharType="begin"/>
              </w:r>
              <w:r w:rsidRPr="00FC3C6E">
                <w:rPr>
                  <w:b/>
                </w:rPr>
                <w:instrText xml:space="preserve"> MACROBUTTON  SnrToggleCheckbox √不适用 </w:instrText>
              </w:r>
              <w:r w:rsidRPr="00FC3C6E">
                <w:rPr>
                  <w:b/>
                </w:rPr>
                <w:fldChar w:fldCharType="end"/>
              </w:r>
            </w:p>
          </w:sdtContent>
        </w:sdt>
      </w:sdtContent>
    </w:sdt>
    <w:sdt>
      <w:sdtPr>
        <w:rPr>
          <w:rFonts w:hint="eastAsia"/>
          <w:b/>
          <w:sz w:val="20"/>
          <w:szCs w:val="24"/>
        </w:rPr>
        <w:alias w:val="模块:资产负债表日后利润分配情况说明"/>
        <w:tag w:val="_GBC_0fa3d44599d34674894cec144baccd50"/>
        <w:id w:val="1805112389"/>
        <w:lock w:val="sdtLocked"/>
        <w:placeholder>
          <w:docPart w:val="GBC22222222222222222222222222222"/>
        </w:placeholder>
      </w:sdtPr>
      <w:sdtEndPr>
        <w:rPr>
          <w:rFonts w:hint="default"/>
          <w:b w:val="0"/>
          <w:szCs w:val="21"/>
        </w:rPr>
      </w:sdtEndPr>
      <w:sdtContent>
        <w:p w14:paraId="2382D9A3" w14:textId="77777777" w:rsidR="007E7472" w:rsidRPr="00FC3C6E" w:rsidRDefault="00EC1269" w:rsidP="00162493">
          <w:pPr>
            <w:numPr>
              <w:ilvl w:val="2"/>
              <w:numId w:val="113"/>
            </w:numPr>
            <w:outlineLvl w:val="2"/>
            <w:rPr>
              <w:b/>
            </w:rPr>
          </w:pPr>
          <w:r w:rsidRPr="00FC3C6E">
            <w:rPr>
              <w:rFonts w:hint="eastAsia"/>
              <w:b/>
            </w:rPr>
            <w:t>利润分配情况</w:t>
          </w:r>
        </w:p>
        <w:sdt>
          <w:sdtPr>
            <w:alias w:val="是否适用：利润分配情况[双击切换]"/>
            <w:tag w:val="_GBC_a2ea8cd0604f474db0e7e62eb7fc0435"/>
            <w:id w:val="204986492"/>
            <w:lock w:val="sdtLocked"/>
            <w:placeholder>
              <w:docPart w:val="GBC22222222222222222222222222222"/>
            </w:placeholder>
          </w:sdtPr>
          <w:sdtEndPr/>
          <w:sdtContent>
            <w:p w14:paraId="6DE3FFE1" w14:textId="77777777" w:rsidR="007E7472" w:rsidRDefault="00EC1269">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Content>
    </w:sdt>
    <w:bookmarkStart w:id="282" w:name="_Toc241636515" w:displacedByCustomXml="next"/>
    <w:sdt>
      <w:sdtPr>
        <w:rPr>
          <w:sz w:val="20"/>
        </w:rPr>
        <w:alias w:val="模块:资产负债表日后事项-销售退回说明"/>
        <w:tag w:val="_GBC_189c429afb95427192d478a4da4061cd"/>
        <w:id w:val="-1848934650"/>
        <w:lock w:val="sdtLocked"/>
        <w:placeholder>
          <w:docPart w:val="GBC22222222222222222222222222222"/>
        </w:placeholder>
      </w:sdtPr>
      <w:sdtEndPr/>
      <w:sdtContent>
        <w:p w14:paraId="5EDC4762" w14:textId="77777777" w:rsidR="007E7472" w:rsidRPr="00FC3C6E" w:rsidRDefault="00EC1269" w:rsidP="00162493">
          <w:pPr>
            <w:numPr>
              <w:ilvl w:val="2"/>
              <w:numId w:val="113"/>
            </w:numPr>
            <w:outlineLvl w:val="2"/>
            <w:rPr>
              <w:b/>
            </w:rPr>
          </w:pPr>
          <w:r w:rsidRPr="00FC3C6E">
            <w:rPr>
              <w:rFonts w:hint="eastAsia"/>
              <w:b/>
            </w:rPr>
            <w:t>销售退回</w:t>
          </w:r>
        </w:p>
        <w:sdt>
          <w:sdtPr>
            <w:alias w:val="是否适用：销售退回[双击切换]"/>
            <w:tag w:val="_GBC_4175c0e820fa43cd98dd2d05c0dea8a8"/>
            <w:id w:val="-1290821111"/>
            <w:lock w:val="sdtLocked"/>
            <w:placeholder>
              <w:docPart w:val="GBC22222222222222222222222222222"/>
            </w:placeholder>
          </w:sdtPr>
          <w:sdtEndPr/>
          <w:sdtContent>
            <w:p w14:paraId="43AB6320"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2106AB61" w14:textId="77777777" w:rsidR="007E7472" w:rsidRDefault="00C8327E"/>
    <w:sdt>
      <w:sdtPr>
        <w:rPr>
          <w:rFonts w:hint="eastAsia"/>
          <w:sz w:val="20"/>
          <w:szCs w:val="24"/>
        </w:rPr>
        <w:alias w:val="模块:其他资产负债表日后事项说明"/>
        <w:tag w:val="_GBC_90d185c72bfe452398767dd3a98447a5"/>
        <w:id w:val="-1967499553"/>
        <w:lock w:val="sdtLocked"/>
        <w:placeholder>
          <w:docPart w:val="GBC22222222222222222222222222222"/>
        </w:placeholder>
      </w:sdtPr>
      <w:sdtEndPr>
        <w:rPr>
          <w:szCs w:val="21"/>
        </w:rPr>
      </w:sdtEndPr>
      <w:sdtContent>
        <w:p w14:paraId="17E9592B" w14:textId="77777777" w:rsidR="007E7472" w:rsidRPr="00FC3C6E" w:rsidRDefault="00EC1269" w:rsidP="00162493">
          <w:pPr>
            <w:numPr>
              <w:ilvl w:val="2"/>
              <w:numId w:val="113"/>
            </w:numPr>
            <w:outlineLvl w:val="2"/>
            <w:rPr>
              <w:b/>
            </w:rPr>
          </w:pPr>
          <w:r w:rsidRPr="00FC3C6E">
            <w:rPr>
              <w:rFonts w:hint="eastAsia"/>
              <w:b/>
            </w:rPr>
            <w:t>其他资产负债表日后事项说明</w:t>
          </w:r>
          <w:bookmarkEnd w:id="282"/>
        </w:p>
        <w:sdt>
          <w:sdtPr>
            <w:alias w:val="是否适用：其他资产负债表日后事项说明[双击切换]"/>
            <w:tag w:val="_GBC_3da0e7092a0048ed9e147e2e860785f5"/>
            <w:id w:val="1839569383"/>
            <w:lock w:val="sdtLocked"/>
            <w:placeholder>
              <w:docPart w:val="GBC22222222222222222222222222222"/>
            </w:placeholder>
          </w:sdtPr>
          <w:sdtEndPr/>
          <w:sdtContent>
            <w:p w14:paraId="6E0E918C"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3FF29A46" w14:textId="77777777" w:rsidR="007E7472" w:rsidRDefault="00C8327E"/>
    <w:p w14:paraId="5915575B" w14:textId="77777777" w:rsidR="007E7472" w:rsidRDefault="00EC1269" w:rsidP="00162493">
      <w:pPr>
        <w:pStyle w:val="2"/>
        <w:numPr>
          <w:ilvl w:val="0"/>
          <w:numId w:val="43"/>
        </w:numPr>
        <w:ind w:firstLineChars="0"/>
      </w:pPr>
      <w:r>
        <w:rPr>
          <w:rFonts w:hint="eastAsia"/>
        </w:rPr>
        <w:t>其他重要事项</w:t>
      </w:r>
    </w:p>
    <w:p w14:paraId="22C5156D" w14:textId="77777777" w:rsidR="007E7472" w:rsidRPr="00FC3C6E" w:rsidRDefault="00EC1269" w:rsidP="00162493">
      <w:pPr>
        <w:numPr>
          <w:ilvl w:val="2"/>
          <w:numId w:val="114"/>
        </w:numPr>
        <w:outlineLvl w:val="2"/>
        <w:rPr>
          <w:b/>
        </w:rPr>
      </w:pPr>
      <w:r w:rsidRPr="00FC3C6E">
        <w:rPr>
          <w:rFonts w:hint="eastAsia"/>
          <w:b/>
        </w:rPr>
        <w:t>前期会计差错更正</w:t>
      </w:r>
    </w:p>
    <w:sdt>
      <w:sdtPr>
        <w:rPr>
          <w:rFonts w:ascii="宋体" w:hAnsi="宋体" w:cs="宋体" w:hint="eastAsia"/>
          <w:b w:val="0"/>
          <w:bCs w:val="0"/>
          <w:kern w:val="0"/>
          <w:sz w:val="20"/>
          <w:szCs w:val="21"/>
        </w:rPr>
        <w:alias w:val="模块:会计差错更正(追溯重述)"/>
        <w:tag w:val="_GBC_cb1f61a36a2a43b0ad30697c25cce450"/>
        <w:id w:val="714241535"/>
        <w:lock w:val="sdtLocked"/>
        <w:placeholder>
          <w:docPart w:val="GBC22222222222222222222222222222"/>
        </w:placeholder>
      </w:sdtPr>
      <w:sdtEndPr>
        <w:rPr>
          <w:rFonts w:hint="default"/>
        </w:rPr>
      </w:sdtEndPr>
      <w:sdtContent>
        <w:p w14:paraId="7DD3C87E" w14:textId="77777777" w:rsidR="007E7472" w:rsidRDefault="00EC1269" w:rsidP="00162493">
          <w:pPr>
            <w:pStyle w:val="4"/>
            <w:numPr>
              <w:ilvl w:val="0"/>
              <w:numId w:val="115"/>
            </w:numPr>
          </w:pPr>
          <w:r>
            <w:rPr>
              <w:rFonts w:hint="eastAsia"/>
            </w:rPr>
            <w:t>追溯重述法</w:t>
          </w:r>
        </w:p>
        <w:sdt>
          <w:sdtPr>
            <w:rPr>
              <w:rFonts w:hint="eastAsia"/>
            </w:rPr>
            <w:alias w:val="是否适用：追溯重述法[双击切换]"/>
            <w:tag w:val="_GBC_9d59987ec8f64e568cc0874cd76bb5ce"/>
            <w:id w:val="65078949"/>
            <w:lock w:val="sdtLocked"/>
            <w:placeholder>
              <w:docPart w:val="GBC22222222222222222222222222222"/>
            </w:placeholder>
          </w:sdtPr>
          <w:sdtEndPr/>
          <w:sdtContent>
            <w:p w14:paraId="40BF7811" w14:textId="77777777" w:rsidR="007E7472" w:rsidRDefault="00EC1269">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Content>
    </w:sdt>
    <w:sdt>
      <w:sdtPr>
        <w:rPr>
          <w:rFonts w:ascii="宋体" w:hAnsi="宋体" w:cs="宋体" w:hint="eastAsia"/>
          <w:b w:val="0"/>
          <w:bCs w:val="0"/>
          <w:kern w:val="0"/>
          <w:sz w:val="20"/>
          <w:szCs w:val="24"/>
        </w:rPr>
        <w:alias w:val="模块:未来适用法本报告期是否发现采用未来适用法的前期会计差错：（..."/>
        <w:tag w:val="_GBC_6bd40de18d9047e48f182803eefc5581"/>
        <w:id w:val="-1884705459"/>
        <w:lock w:val="sdtLocked"/>
        <w:placeholder>
          <w:docPart w:val="GBC22222222222222222222222222222"/>
        </w:placeholder>
      </w:sdtPr>
      <w:sdtEndPr>
        <w:rPr>
          <w:rFonts w:hint="default"/>
          <w:szCs w:val="21"/>
        </w:rPr>
      </w:sdtEndPr>
      <w:sdtContent>
        <w:p w14:paraId="0C6E0C68" w14:textId="77777777" w:rsidR="007E7472" w:rsidRDefault="00EC1269" w:rsidP="00162493">
          <w:pPr>
            <w:pStyle w:val="4"/>
            <w:numPr>
              <w:ilvl w:val="0"/>
              <w:numId w:val="115"/>
            </w:numPr>
            <w:rPr>
              <w:rFonts w:cs="Cambria"/>
            </w:rPr>
          </w:pPr>
          <w:r>
            <w:rPr>
              <w:rFonts w:hint="eastAsia"/>
            </w:rPr>
            <w:t>未来</w:t>
          </w:r>
          <w:r>
            <w:rPr>
              <w:rFonts w:cs="Cambria" w:hint="eastAsia"/>
            </w:rPr>
            <w:t>适用法</w:t>
          </w:r>
        </w:p>
        <w:sdt>
          <w:sdtPr>
            <w:alias w:val="是否适用：未来适用法[双击切换]"/>
            <w:tag w:val="_GBC_add0977272ee43e7938e3e96c6aaa92d"/>
            <w:id w:val="73480672"/>
            <w:lock w:val="sdtLocked"/>
            <w:placeholder>
              <w:docPart w:val="GBC22222222222222222222222222222"/>
            </w:placeholder>
          </w:sdtPr>
          <w:sdtEndPr/>
          <w:sdtContent>
            <w:p w14:paraId="74DE984B" w14:textId="77777777" w:rsidR="007E7472" w:rsidRDefault="00EC1269">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Content>
    </w:sdt>
    <w:bookmarkStart w:id="283" w:name="_Toc241636518" w:displacedByCustomXml="next"/>
    <w:sdt>
      <w:sdtPr>
        <w:rPr>
          <w:rFonts w:hint="eastAsia"/>
          <w:sz w:val="20"/>
          <w:szCs w:val="24"/>
        </w:rPr>
        <w:alias w:val="模块:债务重组"/>
        <w:tag w:val="_GBC_998fd0c3432a41e5b98f1c74ffeda751"/>
        <w:id w:val="-468972240"/>
        <w:lock w:val="sdtLocked"/>
        <w:placeholder>
          <w:docPart w:val="GBC22222222222222222222222222222"/>
        </w:placeholder>
      </w:sdtPr>
      <w:sdtEndPr>
        <w:rPr>
          <w:rFonts w:cstheme="minorBidi"/>
          <w:szCs w:val="21"/>
        </w:rPr>
      </w:sdtEndPr>
      <w:sdtContent>
        <w:p w14:paraId="1A855D06" w14:textId="77777777" w:rsidR="007E7472" w:rsidRPr="00FC3C6E" w:rsidRDefault="00EC1269" w:rsidP="00162493">
          <w:pPr>
            <w:numPr>
              <w:ilvl w:val="2"/>
              <w:numId w:val="114"/>
            </w:numPr>
            <w:outlineLvl w:val="2"/>
            <w:rPr>
              <w:b/>
            </w:rPr>
          </w:pPr>
          <w:r w:rsidRPr="00FC3C6E">
            <w:rPr>
              <w:rFonts w:hint="eastAsia"/>
              <w:b/>
            </w:rPr>
            <w:t>债务重组</w:t>
          </w:r>
          <w:bookmarkEnd w:id="283"/>
        </w:p>
        <w:sdt>
          <w:sdtPr>
            <w:alias w:val="是否适用：债务重组[双击切换]"/>
            <w:tag w:val="_GBC_a39e02df9c5d42f2bd7e116f823b8615"/>
            <w:id w:val="-699317489"/>
            <w:lock w:val="sdtLocked"/>
            <w:placeholder>
              <w:docPart w:val="GBC22222222222222222222222222222"/>
            </w:placeholder>
          </w:sdtPr>
          <w:sdtEndPr/>
          <w:sdtContent>
            <w:p w14:paraId="094E78B0"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2278B2AF" w14:textId="77777777" w:rsidR="007E7472" w:rsidRDefault="00C8327E"/>
    <w:p w14:paraId="0B6BA6A3" w14:textId="77777777" w:rsidR="007E7472" w:rsidRPr="00FC3C6E" w:rsidRDefault="00EC1269" w:rsidP="00162493">
      <w:pPr>
        <w:numPr>
          <w:ilvl w:val="2"/>
          <w:numId w:val="114"/>
        </w:numPr>
        <w:outlineLvl w:val="2"/>
        <w:rPr>
          <w:b/>
        </w:rPr>
      </w:pPr>
      <w:r w:rsidRPr="00FC3C6E">
        <w:rPr>
          <w:rFonts w:hint="eastAsia"/>
          <w:b/>
        </w:rPr>
        <w:t>资产置换</w:t>
      </w:r>
    </w:p>
    <w:bookmarkStart w:id="284" w:name="_Toc241636517" w:displacedByCustomXml="next"/>
    <w:bookmarkStart w:id="285" w:name="_Toc161412438" w:displacedByCustomXml="next"/>
    <w:sdt>
      <w:sdtPr>
        <w:rPr>
          <w:rFonts w:ascii="宋体" w:hAnsi="宋体" w:cs="宋体" w:hint="eastAsia"/>
          <w:b w:val="0"/>
          <w:bCs w:val="0"/>
          <w:kern w:val="0"/>
          <w:sz w:val="20"/>
          <w:szCs w:val="24"/>
        </w:rPr>
        <w:alias w:val="模块:非货币性资产交换"/>
        <w:tag w:val="_GBC_c8e7bc701c4e40cea43130c65dd24cdf"/>
        <w:id w:val="565146799"/>
        <w:lock w:val="sdtLocked"/>
        <w:placeholder>
          <w:docPart w:val="GBC22222222222222222222222222222"/>
        </w:placeholder>
      </w:sdtPr>
      <w:sdtEndPr>
        <w:rPr>
          <w:rFonts w:cstheme="minorBidi"/>
          <w:szCs w:val="21"/>
        </w:rPr>
      </w:sdtEndPr>
      <w:sdtContent>
        <w:p w14:paraId="3BE4847F" w14:textId="77777777" w:rsidR="007E7472" w:rsidRDefault="00EC1269" w:rsidP="00162493">
          <w:pPr>
            <w:pStyle w:val="4"/>
            <w:numPr>
              <w:ilvl w:val="0"/>
              <w:numId w:val="116"/>
            </w:numPr>
          </w:pPr>
          <w:r>
            <w:rPr>
              <w:rFonts w:hint="eastAsia"/>
            </w:rPr>
            <w:t>非货币性资产交换</w:t>
          </w:r>
          <w:bookmarkEnd w:id="285"/>
          <w:bookmarkEnd w:id="284"/>
        </w:p>
        <w:sdt>
          <w:sdtPr>
            <w:alias w:val="是否适用：非货币性资产交换[双击切换]"/>
            <w:tag w:val="_GBC_1e8378570c9a4db08ad001118944af2e"/>
            <w:id w:val="1126200471"/>
            <w:lock w:val="sdtLocked"/>
            <w:placeholder>
              <w:docPart w:val="GBC22222222222222222222222222222"/>
            </w:placeholder>
          </w:sdtPr>
          <w:sdtEndPr/>
          <w:sdtContent>
            <w:p w14:paraId="48BBC857"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67018107" w14:textId="77777777" w:rsidR="007E7472" w:rsidRDefault="00C8327E"/>
    <w:sdt>
      <w:sdtPr>
        <w:rPr>
          <w:rFonts w:ascii="宋体" w:hAnsi="宋体" w:cs="宋体" w:hint="eastAsia"/>
          <w:b w:val="0"/>
          <w:bCs w:val="0"/>
          <w:kern w:val="0"/>
          <w:sz w:val="20"/>
          <w:szCs w:val="24"/>
        </w:rPr>
        <w:alias w:val="模块:其他资产置换资产说明"/>
        <w:tag w:val="_GBC_a7d8a797c78a4fb398d42fc923a0a5dc"/>
        <w:id w:val="-1161297165"/>
        <w:lock w:val="sdtLocked"/>
        <w:placeholder>
          <w:docPart w:val="GBC22222222222222222222222222222"/>
        </w:placeholder>
      </w:sdtPr>
      <w:sdtEndPr>
        <w:rPr>
          <w:rFonts w:cstheme="minorBidi"/>
          <w:szCs w:val="21"/>
        </w:rPr>
      </w:sdtEndPr>
      <w:sdtContent>
        <w:p w14:paraId="3FBFD810" w14:textId="77777777" w:rsidR="007E7472" w:rsidRDefault="00EC1269" w:rsidP="00162493">
          <w:pPr>
            <w:pStyle w:val="4"/>
            <w:numPr>
              <w:ilvl w:val="0"/>
              <w:numId w:val="116"/>
            </w:numPr>
          </w:pPr>
          <w:r>
            <w:rPr>
              <w:rFonts w:hint="eastAsia"/>
            </w:rPr>
            <w:t>其他资产置换</w:t>
          </w:r>
        </w:p>
        <w:sdt>
          <w:sdtPr>
            <w:alias w:val="是否适用：其他资产置换[双击切换]"/>
            <w:tag w:val="_GBC_e20be5fc12b94f43a4090c14cc3aec63"/>
            <w:id w:val="-1271773403"/>
            <w:lock w:val="sdtLocked"/>
            <w:placeholder>
              <w:docPart w:val="GBC22222222222222222222222222222"/>
            </w:placeholder>
          </w:sdtPr>
          <w:sdtEndPr/>
          <w:sdtContent>
            <w:p w14:paraId="3DD0B494"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AAC78A5" w14:textId="77777777" w:rsidR="007E7472" w:rsidRDefault="00C8327E"/>
      </w:sdtContent>
    </w:sdt>
    <w:bookmarkStart w:id="286" w:name="_Toc247371936" w:displacedByCustomXml="next"/>
    <w:sdt>
      <w:sdtPr>
        <w:rPr>
          <w:rFonts w:hint="eastAsia"/>
          <w:sz w:val="20"/>
          <w:szCs w:val="24"/>
        </w:rPr>
        <w:alias w:val="模块:年金计划主要内容及重大变化"/>
        <w:tag w:val="_GBC_868ef73c1ce14e36a7c8c41a6c9d1268"/>
        <w:id w:val="1717152621"/>
        <w:lock w:val="sdtLocked"/>
        <w:placeholder>
          <w:docPart w:val="GBC22222222222222222222222222222"/>
        </w:placeholder>
      </w:sdtPr>
      <w:sdtEndPr>
        <w:rPr>
          <w:rFonts w:ascii="Times New Roman" w:hAnsi="Times New Roman" w:cstheme="minorBidi"/>
          <w:szCs w:val="20"/>
        </w:rPr>
      </w:sdtEndPr>
      <w:sdtContent>
        <w:p w14:paraId="159D147B" w14:textId="77777777" w:rsidR="007E7472" w:rsidRPr="00FC3C6E" w:rsidRDefault="00EC1269" w:rsidP="00162493">
          <w:pPr>
            <w:numPr>
              <w:ilvl w:val="2"/>
              <w:numId w:val="114"/>
            </w:numPr>
            <w:outlineLvl w:val="2"/>
            <w:rPr>
              <w:b/>
            </w:rPr>
          </w:pPr>
          <w:r w:rsidRPr="00FC3C6E">
            <w:rPr>
              <w:rFonts w:hint="eastAsia"/>
              <w:b/>
            </w:rPr>
            <w:t>年金计划</w:t>
          </w:r>
          <w:bookmarkEnd w:id="286"/>
        </w:p>
        <w:sdt>
          <w:sdtPr>
            <w:alias w:val="是否适用：年金计划[双击切换]"/>
            <w:tag w:val="_GBC_f69a163f78f74a54a6443aaa7388f0dd"/>
            <w:id w:val="1607156042"/>
            <w:lock w:val="sdtLocked"/>
            <w:placeholder>
              <w:docPart w:val="GBC22222222222222222222222222222"/>
            </w:placeholder>
          </w:sdtPr>
          <w:sdtEndPr/>
          <w:sdtContent>
            <w:p w14:paraId="4627718C"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Times New Roman" w:hAnsi="Times New Roman" w:cs="Times New Roman" w:hint="eastAsia"/>
              <w:sz w:val="20"/>
              <w:szCs w:val="20"/>
            </w:rPr>
            <w:alias w:val="公司年金计划的说明"/>
            <w:tag w:val="_GBC_4896cf8afc8a41c4aa0548113ded491e"/>
            <w:id w:val="-1130936728"/>
            <w:lock w:val="sdtLocked"/>
            <w:placeholder>
              <w:docPart w:val="GBC22222222222222222222222222222"/>
            </w:placeholder>
          </w:sdtPr>
          <w:sdtEndPr/>
          <w:sdtContent>
            <w:sdt>
              <w:sdtPr>
                <w:rPr>
                  <w:rFonts w:ascii="Times New Roman" w:hAnsi="Times New Roman" w:cs="Times New Roman" w:hint="eastAsia"/>
                  <w:sz w:val="20"/>
                  <w:szCs w:val="20"/>
                </w:rPr>
                <w:alias w:val="公司年金计划的说明"/>
                <w:tag w:val="_GBC_c6d896234c45444f94531f5e749f3198"/>
                <w:id w:val="91829952"/>
                <w:lock w:val="sdtLocked"/>
              </w:sdtPr>
              <w:sdtEndPr/>
              <w:sdtContent>
                <w:p w14:paraId="723BF0E8" w14:textId="77777777" w:rsidR="007E7472" w:rsidRDefault="00EC1269">
                  <w:pPr>
                    <w:spacing w:beforeLines="50" w:before="120" w:afterLines="50" w:after="120" w:line="360" w:lineRule="exact"/>
                    <w:ind w:firstLineChars="200" w:firstLine="400"/>
                    <w:jc w:val="both"/>
                  </w:pPr>
                  <w:r>
                    <w:rPr>
                      <w:rFonts w:hint="eastAsia"/>
                    </w:rPr>
                    <w:t>为保障和提高职工退休后的待遇水平，根据《企业年金办法》(人力资源和社会保障部令第36号)、《山东省国资委关于省管企业建立企业年金制度的指导意见》(鲁国资考核〔2017〕1号)等有关规定，本集团制定了企业年金的相关管理办法。</w:t>
                  </w:r>
                </w:p>
                <w:p w14:paraId="0095E773" w14:textId="77777777" w:rsidR="007E7472" w:rsidRDefault="00EC1269">
                  <w:pPr>
                    <w:spacing w:beforeLines="50" w:before="120" w:afterLines="50" w:after="120" w:line="360" w:lineRule="exact"/>
                    <w:ind w:firstLineChars="200" w:firstLine="420"/>
                    <w:jc w:val="both"/>
                  </w:pPr>
                  <w:r>
                    <w:rPr>
                      <w:rFonts w:hint="eastAsia"/>
                    </w:rPr>
                    <w:t>集团年金缴费由单位和职工共同承担，单位缴费的列支渠道按照国家有关规定执行；职工个人缴费由单位从职工工资代扣代缴。企业缴费每年不超过本企业上年度职工工资总额的8%，企业和职工个人缴费合计不超过本企业上年度职工工资总额的12%。年金制度实施的初期，职工个人缴费部分最低不得低于企业为其缴费部分的四分之一,以后年度逐步提高,最终与企业缴费相匹配。新参加工作的职工在与企业签订劳动合同后、试用期满的次月起开始企业年金缴费，单位新调入的职工从调入单位发放工资的当月开始企业年金缴费。</w:t>
                  </w:r>
                </w:p>
                <w:p w14:paraId="11DCE14D" w14:textId="77777777" w:rsidR="007E7472" w:rsidRDefault="00EC1269">
                  <w:pPr>
                    <w:spacing w:beforeLines="50" w:before="120" w:afterLines="50" w:after="120" w:line="360" w:lineRule="exact"/>
                    <w:ind w:firstLineChars="200" w:firstLine="420"/>
                  </w:pPr>
                  <w:r>
                    <w:rPr>
                      <w:rFonts w:hint="eastAsia"/>
                    </w:rPr>
                    <w:t>本集团企业年金采用法人受托管理模式，本集团所归集的企业年金基金由本集团公司人力资源服务中心委托受托人进行管理。个人账户下设单位缴费子账户和个人缴费子账户，分别记录单位缴费分配给职工个人的部分及其投资收益、职工个人缴费及其投资收益。职工企业年金个人账户中单位缴费及其投资收益，按一定规则归属于职工个人。未归属于职工个人的部分，记入企业账户。职工企业年金个人账户中个人缴费及其投资收益自始归属于职工个人。</w:t>
                  </w:r>
                </w:p>
              </w:sdtContent>
            </w:sdt>
          </w:sdtContent>
        </w:sdt>
      </w:sdtContent>
    </w:sdt>
    <w:sdt>
      <w:sdtPr>
        <w:rPr>
          <w:rFonts w:hint="eastAsia"/>
        </w:rPr>
        <w:alias w:val="模块:终止经营"/>
        <w:tag w:val="_GBC_eb9f713a39454ce1a2b0b09086ca70cc"/>
        <w:id w:val="2011556888"/>
        <w:lock w:val="sdtLocked"/>
        <w:placeholder>
          <w:docPart w:val="GBC22222222222222222222222222222"/>
        </w:placeholder>
      </w:sdtPr>
      <w:sdtEndPr>
        <w:rPr>
          <w:rFonts w:cstheme="minorBidi"/>
          <w:kern w:val="2"/>
        </w:rPr>
      </w:sdtEndPr>
      <w:sdtContent>
        <w:p w14:paraId="61BBF521" w14:textId="77777777" w:rsidR="007E7472" w:rsidRPr="00FC3C6E" w:rsidRDefault="00EC1269" w:rsidP="00162493">
          <w:pPr>
            <w:numPr>
              <w:ilvl w:val="2"/>
              <w:numId w:val="114"/>
            </w:numPr>
            <w:outlineLvl w:val="2"/>
            <w:rPr>
              <w:b/>
            </w:rPr>
          </w:pPr>
          <w:r w:rsidRPr="00FC3C6E">
            <w:rPr>
              <w:rFonts w:hint="eastAsia"/>
              <w:b/>
            </w:rPr>
            <w:t>终止经营</w:t>
          </w:r>
        </w:p>
        <w:sdt>
          <w:sdtPr>
            <w:alias w:val="是否适用：终止经营[双击切换]"/>
            <w:tag w:val="_GBC_8e88002e405543f593111633f63e4d8b"/>
            <w:id w:val="-976449551"/>
            <w:lock w:val="sdtLocked"/>
            <w:placeholder>
              <w:docPart w:val="GBC22222222222222222222222222222"/>
            </w:placeholder>
          </w:sdtPr>
          <w:sdtEndPr/>
          <w:sdtContent>
            <w:p w14:paraId="02B7D423"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05BA79B" w14:textId="0E22986A" w:rsidR="007E7472" w:rsidRPr="00147B9F" w:rsidRDefault="00C8327E">
          <w:pPr>
            <w:rPr>
              <w:rFonts w:cstheme="minorBidi"/>
              <w:kern w:val="2"/>
            </w:rPr>
          </w:pPr>
        </w:p>
      </w:sdtContent>
    </w:sdt>
    <w:p w14:paraId="7739B375" w14:textId="77777777" w:rsidR="007E7472" w:rsidRPr="00FC3C6E" w:rsidRDefault="00EC1269" w:rsidP="00162493">
      <w:pPr>
        <w:numPr>
          <w:ilvl w:val="2"/>
          <w:numId w:val="114"/>
        </w:numPr>
        <w:outlineLvl w:val="2"/>
        <w:rPr>
          <w:b/>
        </w:rPr>
      </w:pPr>
      <w:r w:rsidRPr="00FC3C6E">
        <w:rPr>
          <w:rFonts w:hint="eastAsia"/>
          <w:b/>
        </w:rPr>
        <w:t>分部信息</w:t>
      </w:r>
    </w:p>
    <w:sdt>
      <w:sdtPr>
        <w:rPr>
          <w:rFonts w:ascii="宋体" w:hAnsi="宋体" w:cs="宋体" w:hint="eastAsia"/>
          <w:b w:val="0"/>
          <w:bCs w:val="0"/>
          <w:kern w:val="0"/>
          <w:szCs w:val="21"/>
        </w:rPr>
        <w:alias w:val="模块:分部信息报告分部的确定依据与会计政策"/>
        <w:tag w:val="_GBC_a659f5b3817d4a3394d1850cd82bbbab"/>
        <w:id w:val="330116877"/>
        <w:lock w:val="sdtLocked"/>
        <w:placeholder>
          <w:docPart w:val="GBC22222222222222222222222222222"/>
        </w:placeholder>
      </w:sdtPr>
      <w:sdtEndPr>
        <w:rPr>
          <w:rFonts w:hint="default"/>
        </w:rPr>
      </w:sdtEndPr>
      <w:sdtContent>
        <w:p w14:paraId="7BA67AA6" w14:textId="77777777" w:rsidR="007E7472" w:rsidRDefault="00EC1269" w:rsidP="00162493">
          <w:pPr>
            <w:pStyle w:val="4"/>
            <w:numPr>
              <w:ilvl w:val="0"/>
              <w:numId w:val="117"/>
            </w:numPr>
          </w:pPr>
          <w:r>
            <w:rPr>
              <w:rFonts w:hint="eastAsia"/>
            </w:rPr>
            <w:t>报告分部的确定依据与会计政策</w:t>
          </w:r>
        </w:p>
        <w:sdt>
          <w:sdtPr>
            <w:alias w:val="是否适用：报告分部的确定依据与会计政策[双击切换]"/>
            <w:tag w:val="_GBC_3684a11ce06644529eba619783a75583"/>
            <w:id w:val="-873158398"/>
            <w:lock w:val="sdtLocked"/>
            <w:placeholder>
              <w:docPart w:val="GBC22222222222222222222222222222"/>
            </w:placeholder>
          </w:sdtPr>
          <w:sdtEndPr/>
          <w:sdtContent>
            <w:p w14:paraId="3CBC28EB"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97A8788" w14:textId="77777777" w:rsidR="007E7472" w:rsidRDefault="00C8327E"/>
      </w:sdtContent>
    </w:sdt>
    <w:sdt>
      <w:sdtPr>
        <w:rPr>
          <w:rFonts w:ascii="宋体" w:hAnsi="宋体" w:cs="宋体" w:hint="eastAsia"/>
          <w:b w:val="0"/>
          <w:bCs w:val="0"/>
          <w:kern w:val="0"/>
          <w:szCs w:val="24"/>
        </w:rPr>
        <w:alias w:val="模块:报告分部的财务信息"/>
        <w:tag w:val="_GBC_7bcfc6b35dea4597b05ae9db882c542b"/>
        <w:id w:val="1113170874"/>
        <w:lock w:val="sdtLocked"/>
        <w:placeholder>
          <w:docPart w:val="GBC22222222222222222222222222222"/>
        </w:placeholder>
      </w:sdtPr>
      <w:sdtEndPr>
        <w:rPr>
          <w:rFonts w:hint="default"/>
          <w:szCs w:val="21"/>
        </w:rPr>
      </w:sdtEndPr>
      <w:sdtContent>
        <w:p w14:paraId="0CAE1CD0" w14:textId="77777777" w:rsidR="007E7472" w:rsidRDefault="00EC1269" w:rsidP="00162493">
          <w:pPr>
            <w:pStyle w:val="4"/>
            <w:numPr>
              <w:ilvl w:val="0"/>
              <w:numId w:val="117"/>
            </w:numPr>
          </w:pPr>
          <w:r>
            <w:rPr>
              <w:rFonts w:hint="eastAsia"/>
            </w:rPr>
            <w:t>报告分部的财务信息</w:t>
          </w:r>
        </w:p>
        <w:sdt>
          <w:sdtPr>
            <w:alias w:val="是否适用：报告分部的财务信息[双击切换]"/>
            <w:tag w:val="_GBC_25e6ee3686524d959ae273bb5aaa9cfb"/>
            <w:id w:val="1331327738"/>
            <w:lock w:val="sdtLocked"/>
            <w:placeholder>
              <w:docPart w:val="GBC22222222222222222222222222222"/>
            </w:placeholder>
          </w:sdtPr>
          <w:sdtEndPr/>
          <w:sdtContent>
            <w:p w14:paraId="0E941814"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公司无报告分部的，或者不能披露各报告分部的资产总额和负债总额的，应说明原因"/>
        <w:tag w:val="_GBC_0a73290869524182a42675dee97eaa48"/>
        <w:id w:val="2131509751"/>
        <w:lock w:val="sdtLocked"/>
        <w:placeholder>
          <w:docPart w:val="GBC22222222222222222222222222222"/>
        </w:placeholder>
      </w:sdtPr>
      <w:sdtEndPr/>
      <w:sdtContent>
        <w:p w14:paraId="626C79CD" w14:textId="77777777" w:rsidR="007E7472" w:rsidRDefault="00EC1269" w:rsidP="00162493">
          <w:pPr>
            <w:pStyle w:val="4"/>
            <w:numPr>
              <w:ilvl w:val="0"/>
              <w:numId w:val="117"/>
            </w:numPr>
          </w:pPr>
          <w:r>
            <w:t>公司无报告分部的，或者不能披露各报告分部的资产总额和负债总额的，应说明原因</w:t>
          </w:r>
        </w:p>
        <w:sdt>
          <w:sdtPr>
            <w:rPr>
              <w:rFonts w:hint="eastAsia"/>
            </w:rPr>
            <w:alias w:val="是否适用：公司无报告分部的，或者不能披露各报告分部的资产总额和负债总额的，应说明原因[双击切换]"/>
            <w:tag w:val="_GBC_de327191b263431db97d3ba75838aba8"/>
            <w:id w:val="2102221542"/>
            <w:lock w:val="sdtLocked"/>
            <w:placeholder>
              <w:docPart w:val="GBC22222222222222222222222222222"/>
            </w:placeholder>
          </w:sdtPr>
          <w:sdtEndPr/>
          <w:sdtContent>
            <w:p w14:paraId="768992B3"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16CDC614" w14:textId="77777777" w:rsidR="007E7472" w:rsidRDefault="00C8327E">
      <w:pPr>
        <w:sectPr w:rsidR="007E7472">
          <w:pgSz w:w="11906" w:h="16838"/>
          <w:pgMar w:top="1525" w:right="1276" w:bottom="1440" w:left="1797" w:header="856" w:footer="992" w:gutter="0"/>
          <w:cols w:space="425"/>
          <w:docGrid w:linePitch="312"/>
        </w:sectPr>
      </w:pPr>
    </w:p>
    <w:p w14:paraId="6F34BA37" w14:textId="77777777" w:rsidR="007E7472" w:rsidRDefault="00C8327E"/>
    <w:sdt>
      <w:sdtPr>
        <w:rPr>
          <w:rFonts w:ascii="宋体" w:hAnsi="宋体" w:cs="宋体" w:hint="eastAsia"/>
          <w:b w:val="0"/>
          <w:bCs w:val="0"/>
          <w:kern w:val="0"/>
          <w:szCs w:val="21"/>
        </w:rPr>
        <w:alias w:val="模块:分部信息其他说明"/>
        <w:tag w:val="_GBC_bf8b759cb5b84035861b501b67f52f53"/>
        <w:id w:val="-834600074"/>
        <w:lock w:val="sdtLocked"/>
        <w:placeholder>
          <w:docPart w:val="GBC22222222222222222222222222222"/>
        </w:placeholder>
      </w:sdtPr>
      <w:sdtEndPr/>
      <w:sdtContent>
        <w:p w14:paraId="54D8BEB9" w14:textId="77777777" w:rsidR="007E7472" w:rsidRDefault="00EC1269" w:rsidP="00162493">
          <w:pPr>
            <w:pStyle w:val="4"/>
            <w:numPr>
              <w:ilvl w:val="0"/>
              <w:numId w:val="117"/>
            </w:numPr>
          </w:pPr>
          <w:r>
            <w:rPr>
              <w:rFonts w:hint="eastAsia"/>
            </w:rPr>
            <w:t>其他说明</w:t>
          </w:r>
        </w:p>
        <w:sdt>
          <w:sdtPr>
            <w:alias w:val="是否适用：分部信息的其他说明[双击切换]"/>
            <w:tag w:val="_GBC_d4186588d0fd49e5b2642a9422c2353f"/>
            <w:id w:val="13970177"/>
            <w:lock w:val="sdtLocked"/>
            <w:placeholder>
              <w:docPart w:val="GBC22222222222222222222222222222"/>
            </w:placeholder>
          </w:sdtPr>
          <w:sdtEndPr/>
          <w:sdtContent>
            <w:p w14:paraId="1A19AB08"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分部信息的其他说明"/>
            <w:tag w:val="_GBC_333753eb3ff7499fa22dfb068e000940"/>
            <w:id w:val="339433142"/>
            <w:lock w:val="sdtLocked"/>
          </w:sdtPr>
          <w:sdtEndPr/>
          <w:sdtContent>
            <w:p w14:paraId="65C313FE" w14:textId="77777777" w:rsidR="007E7472" w:rsidRDefault="00EC1269">
              <w:r>
                <w:t>1)2023</w:t>
              </w:r>
              <w:r>
                <w:rPr>
                  <w:rFonts w:hint="eastAsia"/>
                </w:rPr>
                <w:t>年1</w:t>
              </w:r>
              <w:r>
                <w:t>-6</w:t>
              </w:r>
              <w:r>
                <w:rPr>
                  <w:rFonts w:hint="eastAsia"/>
                </w:rPr>
                <w:t>月报告分部</w:t>
              </w:r>
            </w:p>
            <w:tbl>
              <w:tblPr>
                <w:tblStyle w:val="g4"/>
                <w:tblW w:w="14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276"/>
                <w:gridCol w:w="992"/>
                <w:gridCol w:w="1446"/>
                <w:gridCol w:w="1276"/>
                <w:gridCol w:w="1418"/>
                <w:gridCol w:w="1134"/>
                <w:gridCol w:w="1417"/>
                <w:gridCol w:w="1276"/>
                <w:gridCol w:w="1336"/>
              </w:tblGrid>
              <w:tr w:rsidR="007E7472" w14:paraId="61314529" w14:textId="77777777" w:rsidTr="007E7472">
                <w:tc>
                  <w:tcPr>
                    <w:tcW w:w="2518" w:type="dxa"/>
                    <w:vAlign w:val="center"/>
                  </w:tcPr>
                  <w:p w14:paraId="07E2D90F" w14:textId="77777777" w:rsidR="007E7472" w:rsidRDefault="00EC1269">
                    <w:pPr>
                      <w:jc w:val="center"/>
                      <w:rPr>
                        <w:b/>
                        <w:spacing w:val="-20"/>
                      </w:rPr>
                    </w:pPr>
                    <w:r>
                      <w:rPr>
                        <w:rFonts w:hint="eastAsia"/>
                        <w:b/>
                        <w:spacing w:val="-20"/>
                      </w:rPr>
                      <w:t>项目</w:t>
                    </w:r>
                  </w:p>
                </w:tc>
                <w:tc>
                  <w:tcPr>
                    <w:tcW w:w="1276" w:type="dxa"/>
                    <w:vAlign w:val="center"/>
                  </w:tcPr>
                  <w:p w14:paraId="24ADC980" w14:textId="77777777" w:rsidR="007E7472" w:rsidRDefault="00EC1269">
                    <w:pPr>
                      <w:jc w:val="center"/>
                      <w:rPr>
                        <w:b/>
                        <w:spacing w:val="-20"/>
                      </w:rPr>
                    </w:pPr>
                    <w:r>
                      <w:rPr>
                        <w:rFonts w:hint="eastAsia"/>
                        <w:b/>
                        <w:spacing w:val="-20"/>
                      </w:rPr>
                      <w:t>煤炭业务</w:t>
                    </w:r>
                  </w:p>
                </w:tc>
                <w:tc>
                  <w:tcPr>
                    <w:tcW w:w="992" w:type="dxa"/>
                    <w:vAlign w:val="center"/>
                  </w:tcPr>
                  <w:p w14:paraId="3A17FE0E" w14:textId="77777777" w:rsidR="007E7472" w:rsidRDefault="00EC1269">
                    <w:pPr>
                      <w:jc w:val="center"/>
                      <w:rPr>
                        <w:b/>
                        <w:spacing w:val="-20"/>
                      </w:rPr>
                    </w:pPr>
                    <w:r>
                      <w:rPr>
                        <w:rFonts w:hint="eastAsia"/>
                        <w:b/>
                        <w:spacing w:val="-20"/>
                      </w:rPr>
                      <w:t>铁运业务</w:t>
                    </w:r>
                  </w:p>
                </w:tc>
                <w:tc>
                  <w:tcPr>
                    <w:tcW w:w="1446" w:type="dxa"/>
                    <w:vAlign w:val="center"/>
                  </w:tcPr>
                  <w:p w14:paraId="457A2EA9" w14:textId="77777777" w:rsidR="007E7472" w:rsidRDefault="00EC1269">
                    <w:pPr>
                      <w:jc w:val="center"/>
                      <w:rPr>
                        <w:b/>
                        <w:spacing w:val="-20"/>
                      </w:rPr>
                    </w:pPr>
                    <w:r>
                      <w:rPr>
                        <w:rFonts w:hint="eastAsia"/>
                        <w:b/>
                        <w:spacing w:val="-20"/>
                      </w:rPr>
                      <w:t>煤化工、电力及热力</w:t>
                    </w:r>
                  </w:p>
                </w:tc>
                <w:tc>
                  <w:tcPr>
                    <w:tcW w:w="1276" w:type="dxa"/>
                    <w:vAlign w:val="center"/>
                  </w:tcPr>
                  <w:p w14:paraId="7B5CDF7C" w14:textId="77777777" w:rsidR="007E7472" w:rsidRDefault="00EC1269">
                    <w:pPr>
                      <w:jc w:val="center"/>
                      <w:rPr>
                        <w:b/>
                        <w:spacing w:val="-20"/>
                      </w:rPr>
                    </w:pPr>
                    <w:r>
                      <w:rPr>
                        <w:rFonts w:hint="eastAsia"/>
                        <w:b/>
                        <w:spacing w:val="-20"/>
                      </w:rPr>
                      <w:t>矿用设备制造</w:t>
                    </w:r>
                  </w:p>
                </w:tc>
                <w:tc>
                  <w:tcPr>
                    <w:tcW w:w="1418" w:type="dxa"/>
                    <w:vAlign w:val="center"/>
                  </w:tcPr>
                  <w:p w14:paraId="34F68CF0" w14:textId="77777777" w:rsidR="007E7472" w:rsidRDefault="00EC1269">
                    <w:pPr>
                      <w:jc w:val="center"/>
                      <w:rPr>
                        <w:b/>
                        <w:spacing w:val="-20"/>
                      </w:rPr>
                    </w:pPr>
                    <w:r>
                      <w:rPr>
                        <w:rFonts w:hint="eastAsia"/>
                        <w:b/>
                        <w:spacing w:val="-20"/>
                      </w:rPr>
                      <w:t>非煤炭贸易</w:t>
                    </w:r>
                  </w:p>
                </w:tc>
                <w:tc>
                  <w:tcPr>
                    <w:tcW w:w="1134" w:type="dxa"/>
                    <w:vAlign w:val="center"/>
                  </w:tcPr>
                  <w:p w14:paraId="71899473" w14:textId="77777777" w:rsidR="007E7472" w:rsidRDefault="00EC1269">
                    <w:pPr>
                      <w:jc w:val="center"/>
                      <w:rPr>
                        <w:b/>
                        <w:spacing w:val="-20"/>
                      </w:rPr>
                    </w:pPr>
                    <w:r>
                      <w:rPr>
                        <w:rFonts w:hint="eastAsia"/>
                        <w:b/>
                        <w:spacing w:val="-20"/>
                      </w:rPr>
                      <w:t>贷款和融资租赁</w:t>
                    </w:r>
                  </w:p>
                </w:tc>
                <w:tc>
                  <w:tcPr>
                    <w:tcW w:w="1417" w:type="dxa"/>
                    <w:vAlign w:val="center"/>
                  </w:tcPr>
                  <w:p w14:paraId="4610E1A2" w14:textId="77777777" w:rsidR="007E7472" w:rsidRDefault="00EC1269">
                    <w:pPr>
                      <w:jc w:val="center"/>
                      <w:rPr>
                        <w:b/>
                        <w:spacing w:val="-20"/>
                      </w:rPr>
                    </w:pPr>
                    <w:r>
                      <w:rPr>
                        <w:rFonts w:hint="eastAsia"/>
                        <w:b/>
                        <w:spacing w:val="-20"/>
                      </w:rPr>
                      <w:t>未分配项目</w:t>
                    </w:r>
                  </w:p>
                </w:tc>
                <w:tc>
                  <w:tcPr>
                    <w:tcW w:w="1276" w:type="dxa"/>
                    <w:vAlign w:val="center"/>
                  </w:tcPr>
                  <w:p w14:paraId="10ACE663" w14:textId="77777777" w:rsidR="007E7472" w:rsidRDefault="00EC1269">
                    <w:pPr>
                      <w:jc w:val="center"/>
                      <w:rPr>
                        <w:b/>
                        <w:spacing w:val="-20"/>
                      </w:rPr>
                    </w:pPr>
                    <w:r>
                      <w:rPr>
                        <w:rFonts w:hint="eastAsia"/>
                        <w:b/>
                        <w:spacing w:val="-20"/>
                      </w:rPr>
                      <w:t>抵消</w:t>
                    </w:r>
                  </w:p>
                </w:tc>
                <w:tc>
                  <w:tcPr>
                    <w:tcW w:w="1336" w:type="dxa"/>
                    <w:vAlign w:val="center"/>
                  </w:tcPr>
                  <w:p w14:paraId="540F11F8" w14:textId="77777777" w:rsidR="007E7472" w:rsidRDefault="00EC1269">
                    <w:pPr>
                      <w:jc w:val="center"/>
                      <w:rPr>
                        <w:b/>
                        <w:spacing w:val="-20"/>
                      </w:rPr>
                    </w:pPr>
                    <w:r>
                      <w:rPr>
                        <w:rFonts w:hint="eastAsia"/>
                        <w:b/>
                        <w:spacing w:val="-20"/>
                      </w:rPr>
                      <w:t>合计</w:t>
                    </w:r>
                  </w:p>
                </w:tc>
              </w:tr>
              <w:tr w:rsidR="007E7472" w14:paraId="556CBA4B" w14:textId="77777777" w:rsidTr="007E7472">
                <w:tc>
                  <w:tcPr>
                    <w:tcW w:w="2518" w:type="dxa"/>
                  </w:tcPr>
                  <w:p w14:paraId="3A372F94" w14:textId="77777777" w:rsidR="007E7472" w:rsidRDefault="00EC1269">
                    <w:pPr>
                      <w:rPr>
                        <w:b/>
                        <w:spacing w:val="-20"/>
                      </w:rPr>
                    </w:pPr>
                    <w:r>
                      <w:rPr>
                        <w:rFonts w:hint="eastAsia"/>
                        <w:b/>
                        <w:spacing w:val="-20"/>
                      </w:rPr>
                      <w:t>营业收入</w:t>
                    </w:r>
                  </w:p>
                </w:tc>
                <w:tc>
                  <w:tcPr>
                    <w:tcW w:w="1276" w:type="dxa"/>
                  </w:tcPr>
                  <w:p w14:paraId="72291A01" w14:textId="77777777" w:rsidR="007E7472" w:rsidRDefault="00EC1269">
                    <w:pPr>
                      <w:jc w:val="right"/>
                      <w:rPr>
                        <w:rFonts w:asciiTheme="minorEastAsia" w:eastAsiaTheme="minorEastAsia" w:hAnsiTheme="minorEastAsia"/>
                        <w:spacing w:val="-20"/>
                      </w:rPr>
                    </w:pPr>
                    <w:r>
                      <w:rPr>
                        <w:spacing w:val="-20"/>
                      </w:rPr>
                      <w:t>56,886,235</w:t>
                    </w:r>
                  </w:p>
                </w:tc>
                <w:tc>
                  <w:tcPr>
                    <w:tcW w:w="992" w:type="dxa"/>
                  </w:tcPr>
                  <w:p w14:paraId="2DD77F04" w14:textId="77777777" w:rsidR="007E7472" w:rsidRDefault="00EC1269">
                    <w:pPr>
                      <w:jc w:val="right"/>
                      <w:rPr>
                        <w:rFonts w:asciiTheme="minorEastAsia" w:eastAsiaTheme="minorEastAsia" w:hAnsiTheme="minorEastAsia"/>
                        <w:spacing w:val="-20"/>
                      </w:rPr>
                    </w:pPr>
                    <w:r>
                      <w:rPr>
                        <w:spacing w:val="-20"/>
                      </w:rPr>
                      <w:t>282,136</w:t>
                    </w:r>
                  </w:p>
                </w:tc>
                <w:tc>
                  <w:tcPr>
                    <w:tcW w:w="1446" w:type="dxa"/>
                  </w:tcPr>
                  <w:p w14:paraId="3F309099" w14:textId="77777777" w:rsidR="007E7472" w:rsidRDefault="00EC1269">
                    <w:pPr>
                      <w:jc w:val="right"/>
                      <w:rPr>
                        <w:rFonts w:asciiTheme="minorEastAsia" w:eastAsiaTheme="minorEastAsia" w:hAnsiTheme="minorEastAsia"/>
                        <w:spacing w:val="-20"/>
                      </w:rPr>
                    </w:pPr>
                    <w:r>
                      <w:rPr>
                        <w:spacing w:val="-20"/>
                      </w:rPr>
                      <w:t>18,999,317</w:t>
                    </w:r>
                  </w:p>
                </w:tc>
                <w:tc>
                  <w:tcPr>
                    <w:tcW w:w="1276" w:type="dxa"/>
                  </w:tcPr>
                  <w:p w14:paraId="452816BF" w14:textId="77777777" w:rsidR="007E7472" w:rsidRDefault="00EC1269">
                    <w:pPr>
                      <w:jc w:val="right"/>
                      <w:rPr>
                        <w:rFonts w:asciiTheme="minorEastAsia" w:eastAsiaTheme="minorEastAsia" w:hAnsiTheme="minorEastAsia"/>
                        <w:spacing w:val="-20"/>
                      </w:rPr>
                    </w:pPr>
                    <w:r>
                      <w:rPr>
                        <w:spacing w:val="-20"/>
                      </w:rPr>
                      <w:t>1,478,434</w:t>
                    </w:r>
                  </w:p>
                </w:tc>
                <w:tc>
                  <w:tcPr>
                    <w:tcW w:w="1418" w:type="dxa"/>
                  </w:tcPr>
                  <w:p w14:paraId="2DFD7D12" w14:textId="77777777" w:rsidR="007E7472" w:rsidRDefault="00EC1269">
                    <w:pPr>
                      <w:jc w:val="right"/>
                      <w:rPr>
                        <w:rFonts w:asciiTheme="minorEastAsia" w:eastAsiaTheme="minorEastAsia" w:hAnsiTheme="minorEastAsia"/>
                        <w:spacing w:val="-20"/>
                      </w:rPr>
                    </w:pPr>
                    <w:r>
                      <w:rPr>
                        <w:spacing w:val="-20"/>
                      </w:rPr>
                      <w:t>16,111,381</w:t>
                    </w:r>
                  </w:p>
                </w:tc>
                <w:tc>
                  <w:tcPr>
                    <w:tcW w:w="1134" w:type="dxa"/>
                  </w:tcPr>
                  <w:p w14:paraId="70B3F3A7" w14:textId="77777777" w:rsidR="007E7472" w:rsidRDefault="00EC1269">
                    <w:pPr>
                      <w:jc w:val="right"/>
                      <w:rPr>
                        <w:rFonts w:asciiTheme="minorEastAsia" w:eastAsiaTheme="minorEastAsia" w:hAnsiTheme="minorEastAsia"/>
                        <w:spacing w:val="-20"/>
                      </w:rPr>
                    </w:pPr>
                    <w:r>
                      <w:rPr>
                        <w:spacing w:val="-20"/>
                      </w:rPr>
                      <w:t>899,021</w:t>
                    </w:r>
                  </w:p>
                </w:tc>
                <w:tc>
                  <w:tcPr>
                    <w:tcW w:w="1417" w:type="dxa"/>
                  </w:tcPr>
                  <w:p w14:paraId="42973EE3" w14:textId="77777777" w:rsidR="007E7472" w:rsidRDefault="00EC1269">
                    <w:pPr>
                      <w:jc w:val="right"/>
                      <w:rPr>
                        <w:rFonts w:asciiTheme="minorEastAsia" w:eastAsiaTheme="minorEastAsia" w:hAnsiTheme="minorEastAsia"/>
                        <w:spacing w:val="-20"/>
                      </w:rPr>
                    </w:pPr>
                    <w:r>
                      <w:rPr>
                        <w:spacing w:val="-20"/>
                      </w:rPr>
                      <w:t>7,158,970</w:t>
                    </w:r>
                  </w:p>
                </w:tc>
                <w:tc>
                  <w:tcPr>
                    <w:tcW w:w="1276" w:type="dxa"/>
                  </w:tcPr>
                  <w:p w14:paraId="3F544FA0" w14:textId="77777777" w:rsidR="007E7472" w:rsidRDefault="00EC1269">
                    <w:pPr>
                      <w:jc w:val="right"/>
                      <w:rPr>
                        <w:rFonts w:asciiTheme="minorEastAsia" w:eastAsiaTheme="minorEastAsia" w:hAnsiTheme="minorEastAsia"/>
                        <w:spacing w:val="-20"/>
                      </w:rPr>
                    </w:pPr>
                    <w:r>
                      <w:rPr>
                        <w:spacing w:val="-20"/>
                      </w:rPr>
                      <w:t>17,414,152</w:t>
                    </w:r>
                  </w:p>
                </w:tc>
                <w:tc>
                  <w:tcPr>
                    <w:tcW w:w="1336" w:type="dxa"/>
                  </w:tcPr>
                  <w:p w14:paraId="207F79B4" w14:textId="77777777" w:rsidR="007E7472" w:rsidRDefault="00EC1269">
                    <w:pPr>
                      <w:jc w:val="right"/>
                      <w:rPr>
                        <w:rFonts w:asciiTheme="minorEastAsia" w:eastAsiaTheme="minorEastAsia" w:hAnsiTheme="minorEastAsia"/>
                        <w:spacing w:val="-20"/>
                      </w:rPr>
                    </w:pPr>
                    <w:r>
                      <w:rPr>
                        <w:spacing w:val="-20"/>
                      </w:rPr>
                      <w:t>84,401,342</w:t>
                    </w:r>
                  </w:p>
                </w:tc>
              </w:tr>
              <w:tr w:rsidR="007E7472" w14:paraId="4EE029A0" w14:textId="77777777" w:rsidTr="007E7472">
                <w:tc>
                  <w:tcPr>
                    <w:tcW w:w="2518" w:type="dxa"/>
                  </w:tcPr>
                  <w:p w14:paraId="4733A929" w14:textId="77777777" w:rsidR="007E7472" w:rsidRDefault="00EC1269">
                    <w:pPr>
                      <w:rPr>
                        <w:spacing w:val="-20"/>
                      </w:rPr>
                    </w:pPr>
                    <w:r>
                      <w:rPr>
                        <w:rFonts w:hint="eastAsia"/>
                        <w:spacing w:val="-20"/>
                      </w:rPr>
                      <w:t>对外交易收入</w:t>
                    </w:r>
                  </w:p>
                </w:tc>
                <w:tc>
                  <w:tcPr>
                    <w:tcW w:w="1276" w:type="dxa"/>
                  </w:tcPr>
                  <w:p w14:paraId="23ED6289" w14:textId="77777777" w:rsidR="007E7472" w:rsidRDefault="00EC1269">
                    <w:pPr>
                      <w:jc w:val="right"/>
                      <w:rPr>
                        <w:rFonts w:asciiTheme="minorEastAsia" w:eastAsiaTheme="minorEastAsia" w:hAnsiTheme="minorEastAsia"/>
                        <w:spacing w:val="-20"/>
                      </w:rPr>
                    </w:pPr>
                    <w:r>
                      <w:rPr>
                        <w:spacing w:val="-20"/>
                      </w:rPr>
                      <w:t>51,467,448</w:t>
                    </w:r>
                  </w:p>
                </w:tc>
                <w:tc>
                  <w:tcPr>
                    <w:tcW w:w="992" w:type="dxa"/>
                  </w:tcPr>
                  <w:p w14:paraId="64E9F709" w14:textId="77777777" w:rsidR="007E7472" w:rsidRDefault="00EC1269">
                    <w:pPr>
                      <w:jc w:val="right"/>
                      <w:rPr>
                        <w:rFonts w:asciiTheme="minorEastAsia" w:eastAsiaTheme="minorEastAsia" w:hAnsiTheme="minorEastAsia"/>
                        <w:spacing w:val="-20"/>
                      </w:rPr>
                    </w:pPr>
                    <w:r>
                      <w:rPr>
                        <w:spacing w:val="-20"/>
                      </w:rPr>
                      <w:t>231,484</w:t>
                    </w:r>
                  </w:p>
                </w:tc>
                <w:tc>
                  <w:tcPr>
                    <w:tcW w:w="1446" w:type="dxa"/>
                  </w:tcPr>
                  <w:p w14:paraId="7EB7093B" w14:textId="77777777" w:rsidR="007E7472" w:rsidRDefault="00EC1269">
                    <w:pPr>
                      <w:jc w:val="right"/>
                      <w:rPr>
                        <w:rFonts w:asciiTheme="minorEastAsia" w:eastAsiaTheme="minorEastAsia" w:hAnsiTheme="minorEastAsia"/>
                        <w:spacing w:val="-20"/>
                      </w:rPr>
                    </w:pPr>
                    <w:r>
                      <w:rPr>
                        <w:spacing w:val="-20"/>
                      </w:rPr>
                      <w:t>13,547,693</w:t>
                    </w:r>
                  </w:p>
                </w:tc>
                <w:tc>
                  <w:tcPr>
                    <w:tcW w:w="1276" w:type="dxa"/>
                  </w:tcPr>
                  <w:p w14:paraId="4EEA0B07" w14:textId="77777777" w:rsidR="007E7472" w:rsidRDefault="00EC1269">
                    <w:pPr>
                      <w:jc w:val="right"/>
                      <w:rPr>
                        <w:rFonts w:asciiTheme="minorEastAsia" w:eastAsiaTheme="minorEastAsia" w:hAnsiTheme="minorEastAsia"/>
                        <w:spacing w:val="-20"/>
                      </w:rPr>
                    </w:pPr>
                    <w:r>
                      <w:rPr>
                        <w:spacing w:val="-20"/>
                      </w:rPr>
                      <w:t>375,024</w:t>
                    </w:r>
                  </w:p>
                </w:tc>
                <w:tc>
                  <w:tcPr>
                    <w:tcW w:w="1418" w:type="dxa"/>
                  </w:tcPr>
                  <w:p w14:paraId="03B5E948" w14:textId="77777777" w:rsidR="007E7472" w:rsidRDefault="00EC1269">
                    <w:pPr>
                      <w:jc w:val="right"/>
                      <w:rPr>
                        <w:rFonts w:asciiTheme="minorEastAsia" w:eastAsiaTheme="minorEastAsia" w:hAnsiTheme="minorEastAsia"/>
                        <w:spacing w:val="-20"/>
                      </w:rPr>
                    </w:pPr>
                    <w:r>
                      <w:rPr>
                        <w:spacing w:val="-20"/>
                      </w:rPr>
                      <w:t>16,111,381</w:t>
                    </w:r>
                  </w:p>
                </w:tc>
                <w:tc>
                  <w:tcPr>
                    <w:tcW w:w="1134" w:type="dxa"/>
                  </w:tcPr>
                  <w:p w14:paraId="74C32B8C" w14:textId="77777777" w:rsidR="007E7472" w:rsidRDefault="00EC1269">
                    <w:pPr>
                      <w:jc w:val="right"/>
                      <w:rPr>
                        <w:rFonts w:asciiTheme="minorEastAsia" w:eastAsiaTheme="minorEastAsia" w:hAnsiTheme="minorEastAsia"/>
                        <w:spacing w:val="-20"/>
                      </w:rPr>
                    </w:pPr>
                    <w:r>
                      <w:rPr>
                        <w:spacing w:val="-20"/>
                      </w:rPr>
                      <w:t>445,531</w:t>
                    </w:r>
                  </w:p>
                </w:tc>
                <w:tc>
                  <w:tcPr>
                    <w:tcW w:w="1417" w:type="dxa"/>
                  </w:tcPr>
                  <w:p w14:paraId="7E6A8321" w14:textId="77777777" w:rsidR="007E7472" w:rsidRDefault="00EC1269">
                    <w:pPr>
                      <w:jc w:val="right"/>
                      <w:rPr>
                        <w:rFonts w:asciiTheme="minorEastAsia" w:eastAsiaTheme="minorEastAsia" w:hAnsiTheme="minorEastAsia"/>
                        <w:spacing w:val="-20"/>
                      </w:rPr>
                    </w:pPr>
                    <w:r>
                      <w:rPr>
                        <w:spacing w:val="-20"/>
                      </w:rPr>
                      <w:t>2,222,781</w:t>
                    </w:r>
                  </w:p>
                </w:tc>
                <w:tc>
                  <w:tcPr>
                    <w:tcW w:w="1276" w:type="dxa"/>
                  </w:tcPr>
                  <w:p w14:paraId="57359122" w14:textId="77777777" w:rsidR="007E7472" w:rsidRDefault="00C8327E">
                    <w:pPr>
                      <w:jc w:val="right"/>
                      <w:rPr>
                        <w:rFonts w:asciiTheme="minorEastAsia" w:eastAsiaTheme="minorEastAsia" w:hAnsiTheme="minorEastAsia"/>
                        <w:spacing w:val="-20"/>
                      </w:rPr>
                    </w:pPr>
                  </w:p>
                </w:tc>
                <w:tc>
                  <w:tcPr>
                    <w:tcW w:w="1336" w:type="dxa"/>
                  </w:tcPr>
                  <w:p w14:paraId="3D0DA0D7" w14:textId="77777777" w:rsidR="007E7472" w:rsidRDefault="00EC1269">
                    <w:pPr>
                      <w:jc w:val="right"/>
                      <w:rPr>
                        <w:rFonts w:asciiTheme="minorEastAsia" w:eastAsiaTheme="minorEastAsia" w:hAnsiTheme="minorEastAsia"/>
                        <w:spacing w:val="-20"/>
                      </w:rPr>
                    </w:pPr>
                    <w:r>
                      <w:rPr>
                        <w:spacing w:val="-20"/>
                      </w:rPr>
                      <w:t>84,401,342</w:t>
                    </w:r>
                  </w:p>
                </w:tc>
              </w:tr>
              <w:tr w:rsidR="007E7472" w14:paraId="33B98C09" w14:textId="77777777" w:rsidTr="007E7472">
                <w:tc>
                  <w:tcPr>
                    <w:tcW w:w="2518" w:type="dxa"/>
                  </w:tcPr>
                  <w:p w14:paraId="08A9D0F2" w14:textId="77777777" w:rsidR="007E7472" w:rsidRDefault="00EC1269">
                    <w:pPr>
                      <w:rPr>
                        <w:spacing w:val="-20"/>
                      </w:rPr>
                    </w:pPr>
                    <w:r>
                      <w:rPr>
                        <w:rFonts w:hint="eastAsia"/>
                        <w:spacing w:val="-20"/>
                      </w:rPr>
                      <w:t>分部间交易收入</w:t>
                    </w:r>
                  </w:p>
                </w:tc>
                <w:tc>
                  <w:tcPr>
                    <w:tcW w:w="1276" w:type="dxa"/>
                  </w:tcPr>
                  <w:p w14:paraId="75C18404" w14:textId="77777777" w:rsidR="007E7472" w:rsidRDefault="00EC1269">
                    <w:pPr>
                      <w:jc w:val="right"/>
                      <w:rPr>
                        <w:rFonts w:asciiTheme="minorEastAsia" w:eastAsiaTheme="minorEastAsia" w:hAnsiTheme="minorEastAsia"/>
                        <w:spacing w:val="-20"/>
                      </w:rPr>
                    </w:pPr>
                    <w:r>
                      <w:rPr>
                        <w:spacing w:val="-20"/>
                      </w:rPr>
                      <w:t>5,418,787</w:t>
                    </w:r>
                  </w:p>
                </w:tc>
                <w:tc>
                  <w:tcPr>
                    <w:tcW w:w="992" w:type="dxa"/>
                  </w:tcPr>
                  <w:p w14:paraId="1BF27ED2" w14:textId="77777777" w:rsidR="007E7472" w:rsidRDefault="00EC1269">
                    <w:pPr>
                      <w:jc w:val="right"/>
                      <w:rPr>
                        <w:rFonts w:asciiTheme="minorEastAsia" w:eastAsiaTheme="minorEastAsia" w:hAnsiTheme="minorEastAsia"/>
                        <w:spacing w:val="-20"/>
                      </w:rPr>
                    </w:pPr>
                    <w:r>
                      <w:rPr>
                        <w:spacing w:val="-20"/>
                      </w:rPr>
                      <w:t>50,652</w:t>
                    </w:r>
                  </w:p>
                </w:tc>
                <w:tc>
                  <w:tcPr>
                    <w:tcW w:w="1446" w:type="dxa"/>
                  </w:tcPr>
                  <w:p w14:paraId="40F81163" w14:textId="77777777" w:rsidR="007E7472" w:rsidRDefault="00EC1269">
                    <w:pPr>
                      <w:jc w:val="right"/>
                      <w:rPr>
                        <w:rFonts w:asciiTheme="minorEastAsia" w:eastAsiaTheme="minorEastAsia" w:hAnsiTheme="minorEastAsia"/>
                        <w:spacing w:val="-20"/>
                      </w:rPr>
                    </w:pPr>
                    <w:r>
                      <w:rPr>
                        <w:spacing w:val="-20"/>
                      </w:rPr>
                      <w:t>5,451,624</w:t>
                    </w:r>
                  </w:p>
                </w:tc>
                <w:tc>
                  <w:tcPr>
                    <w:tcW w:w="1276" w:type="dxa"/>
                  </w:tcPr>
                  <w:p w14:paraId="07BFC74E" w14:textId="77777777" w:rsidR="007E7472" w:rsidRDefault="00EC1269">
                    <w:pPr>
                      <w:jc w:val="right"/>
                      <w:rPr>
                        <w:rFonts w:asciiTheme="minorEastAsia" w:eastAsiaTheme="minorEastAsia" w:hAnsiTheme="minorEastAsia"/>
                        <w:spacing w:val="-20"/>
                      </w:rPr>
                    </w:pPr>
                    <w:r>
                      <w:rPr>
                        <w:spacing w:val="-20"/>
                      </w:rPr>
                      <w:t>1,103,410</w:t>
                    </w:r>
                  </w:p>
                </w:tc>
                <w:tc>
                  <w:tcPr>
                    <w:tcW w:w="1418" w:type="dxa"/>
                  </w:tcPr>
                  <w:p w14:paraId="634DA19F" w14:textId="77777777" w:rsidR="007E7472" w:rsidRDefault="00C8327E">
                    <w:pPr>
                      <w:jc w:val="right"/>
                      <w:rPr>
                        <w:rFonts w:asciiTheme="minorEastAsia" w:eastAsiaTheme="minorEastAsia" w:hAnsiTheme="minorEastAsia"/>
                        <w:spacing w:val="-20"/>
                      </w:rPr>
                    </w:pPr>
                  </w:p>
                </w:tc>
                <w:tc>
                  <w:tcPr>
                    <w:tcW w:w="1134" w:type="dxa"/>
                  </w:tcPr>
                  <w:p w14:paraId="343E49FF" w14:textId="77777777" w:rsidR="007E7472" w:rsidRDefault="00EC1269">
                    <w:pPr>
                      <w:jc w:val="right"/>
                      <w:rPr>
                        <w:rFonts w:asciiTheme="minorEastAsia" w:eastAsiaTheme="minorEastAsia" w:hAnsiTheme="minorEastAsia"/>
                        <w:spacing w:val="-20"/>
                      </w:rPr>
                    </w:pPr>
                    <w:r>
                      <w:rPr>
                        <w:spacing w:val="-20"/>
                      </w:rPr>
                      <w:t>453,490</w:t>
                    </w:r>
                  </w:p>
                </w:tc>
                <w:tc>
                  <w:tcPr>
                    <w:tcW w:w="1417" w:type="dxa"/>
                  </w:tcPr>
                  <w:p w14:paraId="54A9916E" w14:textId="77777777" w:rsidR="007E7472" w:rsidRDefault="00EC1269">
                    <w:pPr>
                      <w:jc w:val="right"/>
                      <w:rPr>
                        <w:rFonts w:asciiTheme="minorEastAsia" w:eastAsiaTheme="minorEastAsia" w:hAnsiTheme="minorEastAsia"/>
                        <w:spacing w:val="-20"/>
                      </w:rPr>
                    </w:pPr>
                    <w:r>
                      <w:rPr>
                        <w:spacing w:val="-20"/>
                      </w:rPr>
                      <w:t>4,936,189</w:t>
                    </w:r>
                  </w:p>
                </w:tc>
                <w:tc>
                  <w:tcPr>
                    <w:tcW w:w="1276" w:type="dxa"/>
                  </w:tcPr>
                  <w:p w14:paraId="083D01FB" w14:textId="77777777" w:rsidR="007E7472" w:rsidRDefault="00EC1269">
                    <w:pPr>
                      <w:jc w:val="right"/>
                      <w:rPr>
                        <w:rFonts w:asciiTheme="minorEastAsia" w:eastAsiaTheme="minorEastAsia" w:hAnsiTheme="minorEastAsia"/>
                        <w:spacing w:val="-20"/>
                      </w:rPr>
                    </w:pPr>
                    <w:r>
                      <w:rPr>
                        <w:spacing w:val="-20"/>
                      </w:rPr>
                      <w:t>17,414,152</w:t>
                    </w:r>
                  </w:p>
                </w:tc>
                <w:tc>
                  <w:tcPr>
                    <w:tcW w:w="1336" w:type="dxa"/>
                  </w:tcPr>
                  <w:p w14:paraId="2781A592" w14:textId="77777777" w:rsidR="007E7472" w:rsidRDefault="00C8327E">
                    <w:pPr>
                      <w:jc w:val="right"/>
                      <w:rPr>
                        <w:rFonts w:asciiTheme="minorEastAsia" w:eastAsiaTheme="minorEastAsia" w:hAnsiTheme="minorEastAsia"/>
                        <w:spacing w:val="-20"/>
                      </w:rPr>
                    </w:pPr>
                  </w:p>
                </w:tc>
              </w:tr>
              <w:tr w:rsidR="007E7472" w14:paraId="22F00E09" w14:textId="77777777" w:rsidTr="007E7472">
                <w:tc>
                  <w:tcPr>
                    <w:tcW w:w="2518" w:type="dxa"/>
                  </w:tcPr>
                  <w:p w14:paraId="703DFF5F" w14:textId="77777777" w:rsidR="007E7472" w:rsidRDefault="00EC1269">
                    <w:pPr>
                      <w:rPr>
                        <w:b/>
                        <w:spacing w:val="-20"/>
                      </w:rPr>
                    </w:pPr>
                    <w:r>
                      <w:rPr>
                        <w:rFonts w:hint="eastAsia"/>
                        <w:b/>
                        <w:spacing w:val="-20"/>
                      </w:rPr>
                      <w:t>营业成本及费用</w:t>
                    </w:r>
                  </w:p>
                </w:tc>
                <w:tc>
                  <w:tcPr>
                    <w:tcW w:w="1276" w:type="dxa"/>
                  </w:tcPr>
                  <w:p w14:paraId="157AD201" w14:textId="77777777" w:rsidR="007E7472" w:rsidRDefault="00EC1269">
                    <w:pPr>
                      <w:jc w:val="right"/>
                      <w:rPr>
                        <w:rFonts w:asciiTheme="minorEastAsia" w:eastAsiaTheme="minorEastAsia" w:hAnsiTheme="minorEastAsia"/>
                        <w:spacing w:val="-20"/>
                      </w:rPr>
                    </w:pPr>
                    <w:r>
                      <w:rPr>
                        <w:spacing w:val="-20"/>
                      </w:rPr>
                      <w:t>35,574,339</w:t>
                    </w:r>
                  </w:p>
                </w:tc>
                <w:tc>
                  <w:tcPr>
                    <w:tcW w:w="992" w:type="dxa"/>
                  </w:tcPr>
                  <w:p w14:paraId="23D738D2" w14:textId="77777777" w:rsidR="007E7472" w:rsidRDefault="00EC1269">
                    <w:pPr>
                      <w:jc w:val="right"/>
                      <w:rPr>
                        <w:rFonts w:asciiTheme="minorEastAsia" w:eastAsiaTheme="minorEastAsia" w:hAnsiTheme="minorEastAsia"/>
                        <w:spacing w:val="-20"/>
                      </w:rPr>
                    </w:pPr>
                    <w:r>
                      <w:rPr>
                        <w:spacing w:val="-20"/>
                      </w:rPr>
                      <w:t>210,290</w:t>
                    </w:r>
                  </w:p>
                </w:tc>
                <w:tc>
                  <w:tcPr>
                    <w:tcW w:w="1446" w:type="dxa"/>
                  </w:tcPr>
                  <w:p w14:paraId="12AB9C92" w14:textId="77777777" w:rsidR="007E7472" w:rsidRDefault="00EC1269">
                    <w:pPr>
                      <w:jc w:val="right"/>
                      <w:rPr>
                        <w:rFonts w:asciiTheme="minorEastAsia" w:eastAsiaTheme="minorEastAsia" w:hAnsiTheme="minorEastAsia"/>
                        <w:spacing w:val="-20"/>
                      </w:rPr>
                    </w:pPr>
                    <w:r>
                      <w:rPr>
                        <w:spacing w:val="-20"/>
                      </w:rPr>
                      <w:t>18,692,714</w:t>
                    </w:r>
                  </w:p>
                </w:tc>
                <w:tc>
                  <w:tcPr>
                    <w:tcW w:w="1276" w:type="dxa"/>
                  </w:tcPr>
                  <w:p w14:paraId="5CA23D11" w14:textId="77777777" w:rsidR="007E7472" w:rsidRDefault="00EC1269">
                    <w:pPr>
                      <w:jc w:val="right"/>
                      <w:rPr>
                        <w:rFonts w:asciiTheme="minorEastAsia" w:eastAsiaTheme="minorEastAsia" w:hAnsiTheme="minorEastAsia"/>
                        <w:spacing w:val="-20"/>
                      </w:rPr>
                    </w:pPr>
                    <w:r>
                      <w:rPr>
                        <w:spacing w:val="-20"/>
                      </w:rPr>
                      <w:t>1,459,528</w:t>
                    </w:r>
                  </w:p>
                </w:tc>
                <w:tc>
                  <w:tcPr>
                    <w:tcW w:w="1418" w:type="dxa"/>
                  </w:tcPr>
                  <w:p w14:paraId="570D9F93" w14:textId="77777777" w:rsidR="007E7472" w:rsidRDefault="00EC1269">
                    <w:pPr>
                      <w:jc w:val="right"/>
                      <w:rPr>
                        <w:rFonts w:asciiTheme="minorEastAsia" w:eastAsiaTheme="minorEastAsia" w:hAnsiTheme="minorEastAsia"/>
                        <w:spacing w:val="-20"/>
                      </w:rPr>
                    </w:pPr>
                    <w:r>
                      <w:rPr>
                        <w:spacing w:val="-20"/>
                      </w:rPr>
                      <w:t>16,039,478</w:t>
                    </w:r>
                  </w:p>
                </w:tc>
                <w:tc>
                  <w:tcPr>
                    <w:tcW w:w="1134" w:type="dxa"/>
                  </w:tcPr>
                  <w:p w14:paraId="40AFA18B" w14:textId="77777777" w:rsidR="007E7472" w:rsidRDefault="00EC1269">
                    <w:pPr>
                      <w:jc w:val="right"/>
                      <w:rPr>
                        <w:rFonts w:asciiTheme="minorEastAsia" w:eastAsiaTheme="minorEastAsia" w:hAnsiTheme="minorEastAsia"/>
                        <w:spacing w:val="-20"/>
                      </w:rPr>
                    </w:pPr>
                    <w:r>
                      <w:rPr>
                        <w:spacing w:val="-20"/>
                      </w:rPr>
                      <w:t>398,002</w:t>
                    </w:r>
                  </w:p>
                </w:tc>
                <w:tc>
                  <w:tcPr>
                    <w:tcW w:w="1417" w:type="dxa"/>
                  </w:tcPr>
                  <w:p w14:paraId="2CD534DA" w14:textId="77777777" w:rsidR="007E7472" w:rsidRDefault="00EC1269">
                    <w:pPr>
                      <w:jc w:val="right"/>
                      <w:rPr>
                        <w:rFonts w:asciiTheme="minorEastAsia" w:eastAsiaTheme="minorEastAsia" w:hAnsiTheme="minorEastAsia"/>
                        <w:spacing w:val="-20"/>
                      </w:rPr>
                    </w:pPr>
                    <w:r>
                      <w:rPr>
                        <w:spacing w:val="-20"/>
                      </w:rPr>
                      <w:t>7,415,249</w:t>
                    </w:r>
                  </w:p>
                </w:tc>
                <w:tc>
                  <w:tcPr>
                    <w:tcW w:w="1276" w:type="dxa"/>
                  </w:tcPr>
                  <w:p w14:paraId="0A59637E" w14:textId="77777777" w:rsidR="007E7472" w:rsidRDefault="00EC1269">
                    <w:pPr>
                      <w:jc w:val="right"/>
                      <w:rPr>
                        <w:rFonts w:asciiTheme="minorEastAsia" w:eastAsiaTheme="minorEastAsia" w:hAnsiTheme="minorEastAsia"/>
                        <w:spacing w:val="-20"/>
                      </w:rPr>
                    </w:pPr>
                    <w:r>
                      <w:rPr>
                        <w:spacing w:val="-20"/>
                      </w:rPr>
                      <w:t>12,488,772</w:t>
                    </w:r>
                  </w:p>
                </w:tc>
                <w:tc>
                  <w:tcPr>
                    <w:tcW w:w="1336" w:type="dxa"/>
                  </w:tcPr>
                  <w:p w14:paraId="224A9983" w14:textId="77777777" w:rsidR="007E7472" w:rsidRDefault="00EC1269">
                    <w:pPr>
                      <w:jc w:val="right"/>
                      <w:rPr>
                        <w:rFonts w:asciiTheme="minorEastAsia" w:eastAsiaTheme="minorEastAsia" w:hAnsiTheme="minorEastAsia"/>
                        <w:spacing w:val="-20"/>
                      </w:rPr>
                    </w:pPr>
                    <w:r>
                      <w:rPr>
                        <w:spacing w:val="-20"/>
                      </w:rPr>
                      <w:t>67,300,828</w:t>
                    </w:r>
                  </w:p>
                </w:tc>
              </w:tr>
              <w:tr w:rsidR="007E7472" w14:paraId="6BD8A35F" w14:textId="77777777" w:rsidTr="007E7472">
                <w:tc>
                  <w:tcPr>
                    <w:tcW w:w="2518" w:type="dxa"/>
                  </w:tcPr>
                  <w:p w14:paraId="6E5721C5" w14:textId="77777777" w:rsidR="007E7472" w:rsidRDefault="00EC1269">
                    <w:pPr>
                      <w:rPr>
                        <w:spacing w:val="-20"/>
                      </w:rPr>
                    </w:pPr>
                    <w:r>
                      <w:rPr>
                        <w:rFonts w:hint="eastAsia"/>
                        <w:spacing w:val="-20"/>
                      </w:rPr>
                      <w:t>对外销售成本</w:t>
                    </w:r>
                  </w:p>
                </w:tc>
                <w:tc>
                  <w:tcPr>
                    <w:tcW w:w="1276" w:type="dxa"/>
                  </w:tcPr>
                  <w:p w14:paraId="1FB76CBE" w14:textId="77777777" w:rsidR="007E7472" w:rsidRDefault="00EC1269">
                    <w:pPr>
                      <w:jc w:val="right"/>
                      <w:rPr>
                        <w:rFonts w:asciiTheme="minorEastAsia" w:eastAsiaTheme="minorEastAsia" w:hAnsiTheme="minorEastAsia"/>
                        <w:spacing w:val="-20"/>
                      </w:rPr>
                    </w:pPr>
                    <w:r>
                      <w:rPr>
                        <w:spacing w:val="-20"/>
                      </w:rPr>
                      <w:t>27,360,826</w:t>
                    </w:r>
                  </w:p>
                </w:tc>
                <w:tc>
                  <w:tcPr>
                    <w:tcW w:w="992" w:type="dxa"/>
                  </w:tcPr>
                  <w:p w14:paraId="5AD37755" w14:textId="77777777" w:rsidR="007E7472" w:rsidRDefault="00EC1269">
                    <w:pPr>
                      <w:jc w:val="right"/>
                      <w:rPr>
                        <w:rFonts w:asciiTheme="minorEastAsia" w:eastAsiaTheme="minorEastAsia" w:hAnsiTheme="minorEastAsia"/>
                        <w:spacing w:val="-20"/>
                      </w:rPr>
                    </w:pPr>
                    <w:r>
                      <w:rPr>
                        <w:spacing w:val="-20"/>
                      </w:rPr>
                      <w:t>116,666</w:t>
                    </w:r>
                  </w:p>
                </w:tc>
                <w:tc>
                  <w:tcPr>
                    <w:tcW w:w="1446" w:type="dxa"/>
                  </w:tcPr>
                  <w:p w14:paraId="7D95EE90" w14:textId="77777777" w:rsidR="007E7472" w:rsidRDefault="00EC1269">
                    <w:pPr>
                      <w:jc w:val="right"/>
                      <w:rPr>
                        <w:rFonts w:asciiTheme="minorEastAsia" w:eastAsiaTheme="minorEastAsia" w:hAnsiTheme="minorEastAsia"/>
                        <w:spacing w:val="-20"/>
                      </w:rPr>
                    </w:pPr>
                    <w:r>
                      <w:rPr>
                        <w:spacing w:val="-20"/>
                      </w:rPr>
                      <w:t>11,698,786</w:t>
                    </w:r>
                  </w:p>
                </w:tc>
                <w:tc>
                  <w:tcPr>
                    <w:tcW w:w="1276" w:type="dxa"/>
                  </w:tcPr>
                  <w:p w14:paraId="7BEDFFB9" w14:textId="77777777" w:rsidR="007E7472" w:rsidRDefault="00EC1269">
                    <w:pPr>
                      <w:jc w:val="right"/>
                      <w:rPr>
                        <w:rFonts w:asciiTheme="minorEastAsia" w:eastAsiaTheme="minorEastAsia" w:hAnsiTheme="minorEastAsia"/>
                        <w:spacing w:val="-20"/>
                      </w:rPr>
                    </w:pPr>
                    <w:r>
                      <w:rPr>
                        <w:spacing w:val="-20"/>
                      </w:rPr>
                      <w:t>158,176</w:t>
                    </w:r>
                  </w:p>
                </w:tc>
                <w:tc>
                  <w:tcPr>
                    <w:tcW w:w="1418" w:type="dxa"/>
                  </w:tcPr>
                  <w:p w14:paraId="74784E52" w14:textId="77777777" w:rsidR="007E7472" w:rsidRDefault="00EC1269">
                    <w:pPr>
                      <w:jc w:val="right"/>
                      <w:rPr>
                        <w:rFonts w:asciiTheme="minorEastAsia" w:eastAsiaTheme="minorEastAsia" w:hAnsiTheme="minorEastAsia"/>
                        <w:spacing w:val="-20"/>
                      </w:rPr>
                    </w:pPr>
                    <w:r>
                      <w:rPr>
                        <w:spacing w:val="-20"/>
                      </w:rPr>
                      <w:t>15,982,275</w:t>
                    </w:r>
                  </w:p>
                </w:tc>
                <w:tc>
                  <w:tcPr>
                    <w:tcW w:w="1134" w:type="dxa"/>
                  </w:tcPr>
                  <w:p w14:paraId="46619234" w14:textId="77777777" w:rsidR="007E7472" w:rsidRDefault="00EC1269">
                    <w:pPr>
                      <w:jc w:val="right"/>
                      <w:rPr>
                        <w:rFonts w:asciiTheme="minorEastAsia" w:eastAsiaTheme="minorEastAsia" w:hAnsiTheme="minorEastAsia"/>
                        <w:spacing w:val="-20"/>
                      </w:rPr>
                    </w:pPr>
                    <w:r>
                      <w:rPr>
                        <w:spacing w:val="-20"/>
                      </w:rPr>
                      <w:t>201,893</w:t>
                    </w:r>
                  </w:p>
                </w:tc>
                <w:tc>
                  <w:tcPr>
                    <w:tcW w:w="1417" w:type="dxa"/>
                  </w:tcPr>
                  <w:p w14:paraId="2832BCD1" w14:textId="77777777" w:rsidR="007E7472" w:rsidRDefault="00EC1269">
                    <w:pPr>
                      <w:jc w:val="right"/>
                      <w:rPr>
                        <w:rFonts w:asciiTheme="minorEastAsia" w:eastAsiaTheme="minorEastAsia" w:hAnsiTheme="minorEastAsia"/>
                        <w:spacing w:val="-20"/>
                      </w:rPr>
                    </w:pPr>
                    <w:r>
                      <w:rPr>
                        <w:spacing w:val="-20"/>
                      </w:rPr>
                      <w:t>2,544,855</w:t>
                    </w:r>
                  </w:p>
                </w:tc>
                <w:tc>
                  <w:tcPr>
                    <w:tcW w:w="1276" w:type="dxa"/>
                  </w:tcPr>
                  <w:p w14:paraId="3D82754B" w14:textId="77777777" w:rsidR="007E7472" w:rsidRDefault="00C8327E">
                    <w:pPr>
                      <w:jc w:val="right"/>
                      <w:rPr>
                        <w:rFonts w:asciiTheme="minorEastAsia" w:eastAsiaTheme="minorEastAsia" w:hAnsiTheme="minorEastAsia"/>
                        <w:spacing w:val="-20"/>
                      </w:rPr>
                    </w:pPr>
                  </w:p>
                </w:tc>
                <w:tc>
                  <w:tcPr>
                    <w:tcW w:w="1336" w:type="dxa"/>
                  </w:tcPr>
                  <w:p w14:paraId="50DA9024" w14:textId="77777777" w:rsidR="007E7472" w:rsidRDefault="00EC1269">
                    <w:pPr>
                      <w:jc w:val="right"/>
                      <w:rPr>
                        <w:rFonts w:asciiTheme="minorEastAsia" w:eastAsiaTheme="minorEastAsia" w:hAnsiTheme="minorEastAsia"/>
                        <w:spacing w:val="-20"/>
                      </w:rPr>
                    </w:pPr>
                    <w:r>
                      <w:rPr>
                        <w:spacing w:val="-20"/>
                      </w:rPr>
                      <w:t>58,063,477</w:t>
                    </w:r>
                  </w:p>
                </w:tc>
              </w:tr>
              <w:tr w:rsidR="007E7472" w14:paraId="5ED0B6B7" w14:textId="77777777" w:rsidTr="007E7472">
                <w:tc>
                  <w:tcPr>
                    <w:tcW w:w="2518" w:type="dxa"/>
                  </w:tcPr>
                  <w:p w14:paraId="71005BBC" w14:textId="77777777" w:rsidR="007E7472" w:rsidRDefault="00EC1269">
                    <w:pPr>
                      <w:rPr>
                        <w:spacing w:val="-20"/>
                      </w:rPr>
                    </w:pPr>
                    <w:r>
                      <w:rPr>
                        <w:rFonts w:hint="eastAsia"/>
                        <w:spacing w:val="-20"/>
                      </w:rPr>
                      <w:t>分部间销售成本</w:t>
                    </w:r>
                  </w:p>
                </w:tc>
                <w:tc>
                  <w:tcPr>
                    <w:tcW w:w="1276" w:type="dxa"/>
                  </w:tcPr>
                  <w:p w14:paraId="35CC2E9D" w14:textId="77777777" w:rsidR="007E7472" w:rsidRDefault="00EC1269">
                    <w:pPr>
                      <w:jc w:val="right"/>
                      <w:rPr>
                        <w:rFonts w:asciiTheme="minorEastAsia" w:eastAsiaTheme="minorEastAsia" w:hAnsiTheme="minorEastAsia"/>
                        <w:spacing w:val="-20"/>
                      </w:rPr>
                    </w:pPr>
                    <w:r>
                      <w:rPr>
                        <w:spacing w:val="-20"/>
                      </w:rPr>
                      <w:t>5,405,600</w:t>
                    </w:r>
                  </w:p>
                </w:tc>
                <w:tc>
                  <w:tcPr>
                    <w:tcW w:w="992" w:type="dxa"/>
                  </w:tcPr>
                  <w:p w14:paraId="7525057D" w14:textId="77777777" w:rsidR="007E7472" w:rsidRDefault="00EC1269">
                    <w:pPr>
                      <w:jc w:val="right"/>
                      <w:rPr>
                        <w:rFonts w:asciiTheme="minorEastAsia" w:eastAsiaTheme="minorEastAsia" w:hAnsiTheme="minorEastAsia"/>
                        <w:spacing w:val="-20"/>
                      </w:rPr>
                    </w:pPr>
                    <w:r>
                      <w:rPr>
                        <w:spacing w:val="-20"/>
                      </w:rPr>
                      <w:t>58,161</w:t>
                    </w:r>
                  </w:p>
                </w:tc>
                <w:tc>
                  <w:tcPr>
                    <w:tcW w:w="1446" w:type="dxa"/>
                  </w:tcPr>
                  <w:p w14:paraId="28507F0D" w14:textId="77777777" w:rsidR="007E7472" w:rsidRDefault="00EC1269">
                    <w:pPr>
                      <w:jc w:val="right"/>
                      <w:rPr>
                        <w:rFonts w:asciiTheme="minorEastAsia" w:eastAsiaTheme="minorEastAsia" w:hAnsiTheme="minorEastAsia"/>
                        <w:spacing w:val="-20"/>
                      </w:rPr>
                    </w:pPr>
                    <w:r>
                      <w:rPr>
                        <w:spacing w:val="-20"/>
                      </w:rPr>
                      <w:t>5,436,545</w:t>
                    </w:r>
                  </w:p>
                </w:tc>
                <w:tc>
                  <w:tcPr>
                    <w:tcW w:w="1276" w:type="dxa"/>
                  </w:tcPr>
                  <w:p w14:paraId="3326EC44" w14:textId="77777777" w:rsidR="007E7472" w:rsidRDefault="00EC1269">
                    <w:pPr>
                      <w:jc w:val="right"/>
                      <w:rPr>
                        <w:rFonts w:asciiTheme="minorEastAsia" w:eastAsiaTheme="minorEastAsia" w:hAnsiTheme="minorEastAsia"/>
                        <w:spacing w:val="-20"/>
                      </w:rPr>
                    </w:pPr>
                    <w:r>
                      <w:rPr>
                        <w:spacing w:val="-20"/>
                      </w:rPr>
                      <w:t>1,099,365</w:t>
                    </w:r>
                  </w:p>
                </w:tc>
                <w:tc>
                  <w:tcPr>
                    <w:tcW w:w="1418" w:type="dxa"/>
                  </w:tcPr>
                  <w:p w14:paraId="7742BEAC" w14:textId="77777777" w:rsidR="007E7472" w:rsidRDefault="00C8327E">
                    <w:pPr>
                      <w:jc w:val="right"/>
                      <w:rPr>
                        <w:rFonts w:asciiTheme="minorEastAsia" w:eastAsiaTheme="minorEastAsia" w:hAnsiTheme="minorEastAsia"/>
                        <w:spacing w:val="-20"/>
                      </w:rPr>
                    </w:pPr>
                  </w:p>
                </w:tc>
                <w:tc>
                  <w:tcPr>
                    <w:tcW w:w="1134" w:type="dxa"/>
                  </w:tcPr>
                  <w:p w14:paraId="5699C1BF" w14:textId="77777777" w:rsidR="007E7472" w:rsidRDefault="00EC1269">
                    <w:pPr>
                      <w:jc w:val="right"/>
                      <w:rPr>
                        <w:rFonts w:asciiTheme="minorEastAsia" w:eastAsiaTheme="minorEastAsia" w:hAnsiTheme="minorEastAsia"/>
                        <w:spacing w:val="-20"/>
                      </w:rPr>
                    </w:pPr>
                    <w:r>
                      <w:rPr>
                        <w:spacing w:val="-20"/>
                      </w:rPr>
                      <w:t>113,841</w:t>
                    </w:r>
                  </w:p>
                </w:tc>
                <w:tc>
                  <w:tcPr>
                    <w:tcW w:w="1417" w:type="dxa"/>
                  </w:tcPr>
                  <w:p w14:paraId="63AAA090" w14:textId="77777777" w:rsidR="007E7472" w:rsidRDefault="00EC1269">
                    <w:pPr>
                      <w:jc w:val="right"/>
                      <w:rPr>
                        <w:rFonts w:asciiTheme="minorEastAsia" w:eastAsiaTheme="minorEastAsia" w:hAnsiTheme="minorEastAsia"/>
                        <w:spacing w:val="-20"/>
                      </w:rPr>
                    </w:pPr>
                    <w:r>
                      <w:rPr>
                        <w:spacing w:val="-20"/>
                      </w:rPr>
                      <w:t>4,964,837</w:t>
                    </w:r>
                  </w:p>
                </w:tc>
                <w:tc>
                  <w:tcPr>
                    <w:tcW w:w="1276" w:type="dxa"/>
                  </w:tcPr>
                  <w:p w14:paraId="23DEAEE6" w14:textId="77777777" w:rsidR="007E7472" w:rsidRDefault="00EC1269">
                    <w:pPr>
                      <w:jc w:val="right"/>
                      <w:rPr>
                        <w:rFonts w:asciiTheme="minorEastAsia" w:eastAsiaTheme="minorEastAsia" w:hAnsiTheme="minorEastAsia"/>
                        <w:spacing w:val="-20"/>
                      </w:rPr>
                    </w:pPr>
                    <w:r>
                      <w:rPr>
                        <w:spacing w:val="-20"/>
                      </w:rPr>
                      <w:t>17,078,349</w:t>
                    </w:r>
                  </w:p>
                </w:tc>
                <w:tc>
                  <w:tcPr>
                    <w:tcW w:w="1336" w:type="dxa"/>
                  </w:tcPr>
                  <w:p w14:paraId="30E86753" w14:textId="77777777" w:rsidR="007E7472" w:rsidRDefault="00C8327E">
                    <w:pPr>
                      <w:jc w:val="right"/>
                      <w:rPr>
                        <w:rFonts w:asciiTheme="minorEastAsia" w:eastAsiaTheme="minorEastAsia" w:hAnsiTheme="minorEastAsia"/>
                        <w:spacing w:val="-20"/>
                      </w:rPr>
                    </w:pPr>
                  </w:p>
                </w:tc>
              </w:tr>
              <w:tr w:rsidR="007E7472" w14:paraId="4CE4203E" w14:textId="77777777" w:rsidTr="007E7472">
                <w:tc>
                  <w:tcPr>
                    <w:tcW w:w="2518" w:type="dxa"/>
                  </w:tcPr>
                  <w:p w14:paraId="07FE62F9" w14:textId="77777777" w:rsidR="007E7472" w:rsidRDefault="00EC1269">
                    <w:pPr>
                      <w:rPr>
                        <w:spacing w:val="-20"/>
                      </w:rPr>
                    </w:pPr>
                    <w:r>
                      <w:rPr>
                        <w:rFonts w:hint="eastAsia"/>
                        <w:spacing w:val="-20"/>
                      </w:rPr>
                      <w:t>期间费用及减值损失</w:t>
                    </w:r>
                  </w:p>
                </w:tc>
                <w:tc>
                  <w:tcPr>
                    <w:tcW w:w="1276" w:type="dxa"/>
                  </w:tcPr>
                  <w:p w14:paraId="4527B1CA" w14:textId="77777777" w:rsidR="007E7472" w:rsidRDefault="00EC1269">
                    <w:pPr>
                      <w:jc w:val="right"/>
                      <w:rPr>
                        <w:rFonts w:asciiTheme="minorEastAsia" w:eastAsiaTheme="minorEastAsia" w:hAnsiTheme="minorEastAsia"/>
                        <w:spacing w:val="-20"/>
                      </w:rPr>
                    </w:pPr>
                    <w:r>
                      <w:rPr>
                        <w:spacing w:val="-20"/>
                      </w:rPr>
                      <w:t>2,807,913</w:t>
                    </w:r>
                  </w:p>
                </w:tc>
                <w:tc>
                  <w:tcPr>
                    <w:tcW w:w="992" w:type="dxa"/>
                  </w:tcPr>
                  <w:p w14:paraId="1EDC693A" w14:textId="77777777" w:rsidR="007E7472" w:rsidRDefault="00EC1269">
                    <w:pPr>
                      <w:jc w:val="right"/>
                      <w:rPr>
                        <w:rFonts w:asciiTheme="minorEastAsia" w:eastAsiaTheme="minorEastAsia" w:hAnsiTheme="minorEastAsia"/>
                        <w:spacing w:val="-20"/>
                      </w:rPr>
                    </w:pPr>
                    <w:r>
                      <w:rPr>
                        <w:spacing w:val="-20"/>
                      </w:rPr>
                      <w:t>35,463</w:t>
                    </w:r>
                  </w:p>
                </w:tc>
                <w:tc>
                  <w:tcPr>
                    <w:tcW w:w="1446" w:type="dxa"/>
                  </w:tcPr>
                  <w:p w14:paraId="08BD9D8E" w14:textId="77777777" w:rsidR="007E7472" w:rsidRDefault="00EC1269">
                    <w:pPr>
                      <w:jc w:val="right"/>
                      <w:rPr>
                        <w:rFonts w:asciiTheme="minorEastAsia" w:eastAsiaTheme="minorEastAsia" w:hAnsiTheme="minorEastAsia"/>
                        <w:spacing w:val="-20"/>
                      </w:rPr>
                    </w:pPr>
                    <w:r>
                      <w:rPr>
                        <w:spacing w:val="-20"/>
                      </w:rPr>
                      <w:t>1,557,383</w:t>
                    </w:r>
                  </w:p>
                </w:tc>
                <w:tc>
                  <w:tcPr>
                    <w:tcW w:w="1276" w:type="dxa"/>
                  </w:tcPr>
                  <w:p w14:paraId="6D520F00" w14:textId="77777777" w:rsidR="007E7472" w:rsidRDefault="00EC1269">
                    <w:pPr>
                      <w:jc w:val="right"/>
                      <w:rPr>
                        <w:rFonts w:asciiTheme="minorEastAsia" w:eastAsiaTheme="minorEastAsia" w:hAnsiTheme="minorEastAsia"/>
                        <w:spacing w:val="-20"/>
                      </w:rPr>
                    </w:pPr>
                    <w:r>
                      <w:rPr>
                        <w:spacing w:val="-20"/>
                      </w:rPr>
                      <w:t>201,987</w:t>
                    </w:r>
                  </w:p>
                </w:tc>
                <w:tc>
                  <w:tcPr>
                    <w:tcW w:w="1418" w:type="dxa"/>
                  </w:tcPr>
                  <w:p w14:paraId="0016589B" w14:textId="77777777" w:rsidR="007E7472" w:rsidRDefault="00EC1269">
                    <w:pPr>
                      <w:jc w:val="right"/>
                      <w:rPr>
                        <w:rFonts w:asciiTheme="minorEastAsia" w:eastAsiaTheme="minorEastAsia" w:hAnsiTheme="minorEastAsia"/>
                        <w:spacing w:val="-20"/>
                      </w:rPr>
                    </w:pPr>
                    <w:r>
                      <w:rPr>
                        <w:spacing w:val="-20"/>
                      </w:rPr>
                      <w:t>57,203</w:t>
                    </w:r>
                  </w:p>
                </w:tc>
                <w:tc>
                  <w:tcPr>
                    <w:tcW w:w="1134" w:type="dxa"/>
                  </w:tcPr>
                  <w:p w14:paraId="7451F178" w14:textId="77777777" w:rsidR="007E7472" w:rsidRDefault="00EC1269">
                    <w:pPr>
                      <w:jc w:val="right"/>
                      <w:rPr>
                        <w:rFonts w:asciiTheme="minorEastAsia" w:eastAsiaTheme="minorEastAsia" w:hAnsiTheme="minorEastAsia"/>
                        <w:spacing w:val="-20"/>
                      </w:rPr>
                    </w:pPr>
                    <w:r>
                      <w:rPr>
                        <w:spacing w:val="-20"/>
                      </w:rPr>
                      <w:t>82,268</w:t>
                    </w:r>
                  </w:p>
                </w:tc>
                <w:tc>
                  <w:tcPr>
                    <w:tcW w:w="1417" w:type="dxa"/>
                  </w:tcPr>
                  <w:p w14:paraId="06A98D86" w14:textId="77777777" w:rsidR="007E7472" w:rsidRDefault="00EC1269">
                    <w:pPr>
                      <w:jc w:val="right"/>
                      <w:rPr>
                        <w:rFonts w:asciiTheme="minorEastAsia" w:eastAsiaTheme="minorEastAsia" w:hAnsiTheme="minorEastAsia"/>
                        <w:spacing w:val="-20"/>
                      </w:rPr>
                    </w:pPr>
                    <w:r>
                      <w:rPr>
                        <w:spacing w:val="-20"/>
                      </w:rPr>
                      <w:t>-94,443</w:t>
                    </w:r>
                  </w:p>
                </w:tc>
                <w:tc>
                  <w:tcPr>
                    <w:tcW w:w="1276" w:type="dxa"/>
                  </w:tcPr>
                  <w:p w14:paraId="31A6F16C" w14:textId="77777777" w:rsidR="007E7472" w:rsidRDefault="00EC1269">
                    <w:pPr>
                      <w:jc w:val="right"/>
                      <w:rPr>
                        <w:rFonts w:asciiTheme="minorEastAsia" w:eastAsiaTheme="minorEastAsia" w:hAnsiTheme="minorEastAsia"/>
                        <w:spacing w:val="-20"/>
                      </w:rPr>
                    </w:pPr>
                    <w:r>
                      <w:rPr>
                        <w:spacing w:val="-20"/>
                      </w:rPr>
                      <w:t>-4,589,577</w:t>
                    </w:r>
                  </w:p>
                </w:tc>
                <w:tc>
                  <w:tcPr>
                    <w:tcW w:w="1336" w:type="dxa"/>
                  </w:tcPr>
                  <w:p w14:paraId="6C88885C" w14:textId="77777777" w:rsidR="007E7472" w:rsidRDefault="00EC1269">
                    <w:pPr>
                      <w:jc w:val="right"/>
                      <w:rPr>
                        <w:rFonts w:asciiTheme="minorEastAsia" w:eastAsiaTheme="minorEastAsia" w:hAnsiTheme="minorEastAsia"/>
                        <w:spacing w:val="-20"/>
                      </w:rPr>
                    </w:pPr>
                    <w:r>
                      <w:rPr>
                        <w:spacing w:val="-20"/>
                      </w:rPr>
                      <w:t>9,237,351</w:t>
                    </w:r>
                  </w:p>
                </w:tc>
              </w:tr>
              <w:tr w:rsidR="007E7472" w14:paraId="08B286E1" w14:textId="77777777" w:rsidTr="007E7472">
                <w:tc>
                  <w:tcPr>
                    <w:tcW w:w="2518" w:type="dxa"/>
                  </w:tcPr>
                  <w:p w14:paraId="66B5B6E0" w14:textId="77777777" w:rsidR="007E7472" w:rsidRDefault="00EC1269">
                    <w:pPr>
                      <w:rPr>
                        <w:b/>
                        <w:spacing w:val="-20"/>
                      </w:rPr>
                    </w:pPr>
                    <w:r>
                      <w:rPr>
                        <w:rFonts w:hint="eastAsia"/>
                        <w:b/>
                        <w:spacing w:val="-20"/>
                      </w:rPr>
                      <w:t>营业利润</w:t>
                    </w:r>
                    <w:r>
                      <w:rPr>
                        <w:b/>
                        <w:spacing w:val="-20"/>
                      </w:rPr>
                      <w:t>(亏损)</w:t>
                    </w:r>
                  </w:p>
                </w:tc>
                <w:tc>
                  <w:tcPr>
                    <w:tcW w:w="1276" w:type="dxa"/>
                  </w:tcPr>
                  <w:p w14:paraId="64358CBC" w14:textId="77777777" w:rsidR="007E7472" w:rsidRDefault="00EC1269">
                    <w:pPr>
                      <w:jc w:val="right"/>
                      <w:rPr>
                        <w:rFonts w:asciiTheme="minorEastAsia" w:eastAsiaTheme="minorEastAsia" w:hAnsiTheme="minorEastAsia"/>
                        <w:spacing w:val="-20"/>
                      </w:rPr>
                    </w:pPr>
                    <w:r>
                      <w:rPr>
                        <w:spacing w:val="-20"/>
                      </w:rPr>
                      <w:t>21,311,896</w:t>
                    </w:r>
                  </w:p>
                </w:tc>
                <w:tc>
                  <w:tcPr>
                    <w:tcW w:w="992" w:type="dxa"/>
                  </w:tcPr>
                  <w:p w14:paraId="7564EE92" w14:textId="77777777" w:rsidR="007E7472" w:rsidRDefault="00EC1269">
                    <w:pPr>
                      <w:jc w:val="right"/>
                      <w:rPr>
                        <w:rFonts w:asciiTheme="minorEastAsia" w:eastAsiaTheme="minorEastAsia" w:hAnsiTheme="minorEastAsia"/>
                        <w:spacing w:val="-20"/>
                      </w:rPr>
                    </w:pPr>
                    <w:r>
                      <w:rPr>
                        <w:spacing w:val="-20"/>
                      </w:rPr>
                      <w:t>71,846</w:t>
                    </w:r>
                  </w:p>
                </w:tc>
                <w:tc>
                  <w:tcPr>
                    <w:tcW w:w="1446" w:type="dxa"/>
                  </w:tcPr>
                  <w:p w14:paraId="3C2154EB" w14:textId="77777777" w:rsidR="007E7472" w:rsidRDefault="00EC1269">
                    <w:pPr>
                      <w:jc w:val="right"/>
                      <w:rPr>
                        <w:rFonts w:asciiTheme="minorEastAsia" w:eastAsiaTheme="minorEastAsia" w:hAnsiTheme="minorEastAsia"/>
                        <w:spacing w:val="-20"/>
                      </w:rPr>
                    </w:pPr>
                    <w:r>
                      <w:rPr>
                        <w:spacing w:val="-20"/>
                      </w:rPr>
                      <w:t>306,603</w:t>
                    </w:r>
                  </w:p>
                </w:tc>
                <w:tc>
                  <w:tcPr>
                    <w:tcW w:w="1276" w:type="dxa"/>
                  </w:tcPr>
                  <w:p w14:paraId="65C39B34" w14:textId="77777777" w:rsidR="007E7472" w:rsidRDefault="00EC1269">
                    <w:pPr>
                      <w:jc w:val="right"/>
                      <w:rPr>
                        <w:rFonts w:asciiTheme="minorEastAsia" w:eastAsiaTheme="minorEastAsia" w:hAnsiTheme="minorEastAsia"/>
                        <w:spacing w:val="-20"/>
                      </w:rPr>
                    </w:pPr>
                    <w:r>
                      <w:rPr>
                        <w:spacing w:val="-20"/>
                      </w:rPr>
                      <w:t>18,906</w:t>
                    </w:r>
                  </w:p>
                </w:tc>
                <w:tc>
                  <w:tcPr>
                    <w:tcW w:w="1418" w:type="dxa"/>
                  </w:tcPr>
                  <w:p w14:paraId="1C25FFF2" w14:textId="77777777" w:rsidR="007E7472" w:rsidRDefault="00EC1269">
                    <w:pPr>
                      <w:jc w:val="right"/>
                      <w:rPr>
                        <w:rFonts w:asciiTheme="minorEastAsia" w:eastAsiaTheme="minorEastAsia" w:hAnsiTheme="minorEastAsia"/>
                        <w:spacing w:val="-20"/>
                      </w:rPr>
                    </w:pPr>
                    <w:r>
                      <w:rPr>
                        <w:spacing w:val="-20"/>
                      </w:rPr>
                      <w:t>71,903</w:t>
                    </w:r>
                  </w:p>
                </w:tc>
                <w:tc>
                  <w:tcPr>
                    <w:tcW w:w="1134" w:type="dxa"/>
                  </w:tcPr>
                  <w:p w14:paraId="78D8A986" w14:textId="77777777" w:rsidR="007E7472" w:rsidRDefault="00EC1269">
                    <w:pPr>
                      <w:jc w:val="right"/>
                      <w:rPr>
                        <w:rFonts w:asciiTheme="minorEastAsia" w:eastAsiaTheme="minorEastAsia" w:hAnsiTheme="minorEastAsia"/>
                        <w:spacing w:val="-20"/>
                      </w:rPr>
                    </w:pPr>
                    <w:r>
                      <w:rPr>
                        <w:spacing w:val="-20"/>
                      </w:rPr>
                      <w:t>501,019</w:t>
                    </w:r>
                  </w:p>
                </w:tc>
                <w:tc>
                  <w:tcPr>
                    <w:tcW w:w="1417" w:type="dxa"/>
                  </w:tcPr>
                  <w:p w14:paraId="2AEC65E1" w14:textId="77777777" w:rsidR="007E7472" w:rsidRDefault="00EC1269">
                    <w:pPr>
                      <w:jc w:val="right"/>
                      <w:rPr>
                        <w:rFonts w:asciiTheme="minorEastAsia" w:eastAsiaTheme="minorEastAsia" w:hAnsiTheme="minorEastAsia"/>
                        <w:spacing w:val="-20"/>
                      </w:rPr>
                    </w:pPr>
                    <w:r>
                      <w:rPr>
                        <w:spacing w:val="-20"/>
                      </w:rPr>
                      <w:t>-256,279</w:t>
                    </w:r>
                  </w:p>
                </w:tc>
                <w:tc>
                  <w:tcPr>
                    <w:tcW w:w="1276" w:type="dxa"/>
                  </w:tcPr>
                  <w:p w14:paraId="4A0D274E" w14:textId="77777777" w:rsidR="007E7472" w:rsidRDefault="00EC1269">
                    <w:pPr>
                      <w:jc w:val="right"/>
                      <w:rPr>
                        <w:rFonts w:asciiTheme="minorEastAsia" w:eastAsiaTheme="minorEastAsia" w:hAnsiTheme="minorEastAsia"/>
                        <w:spacing w:val="-20"/>
                      </w:rPr>
                    </w:pPr>
                    <w:r>
                      <w:rPr>
                        <w:spacing w:val="-20"/>
                      </w:rPr>
                      <w:t>4,925,380</w:t>
                    </w:r>
                  </w:p>
                </w:tc>
                <w:tc>
                  <w:tcPr>
                    <w:tcW w:w="1336" w:type="dxa"/>
                  </w:tcPr>
                  <w:p w14:paraId="75A9A882" w14:textId="77777777" w:rsidR="007E7472" w:rsidRDefault="00EC1269">
                    <w:pPr>
                      <w:jc w:val="right"/>
                      <w:rPr>
                        <w:rFonts w:asciiTheme="minorEastAsia" w:eastAsiaTheme="minorEastAsia" w:hAnsiTheme="minorEastAsia"/>
                        <w:spacing w:val="-20"/>
                      </w:rPr>
                    </w:pPr>
                    <w:r>
                      <w:rPr>
                        <w:spacing w:val="-20"/>
                      </w:rPr>
                      <w:t>17,100,514</w:t>
                    </w:r>
                  </w:p>
                </w:tc>
              </w:tr>
              <w:tr w:rsidR="007E7472" w14:paraId="2C75FF14" w14:textId="77777777" w:rsidTr="007E7472">
                <w:tc>
                  <w:tcPr>
                    <w:tcW w:w="2518" w:type="dxa"/>
                  </w:tcPr>
                  <w:p w14:paraId="43ED1EC2" w14:textId="77777777" w:rsidR="007E7472" w:rsidRDefault="00EC1269">
                    <w:pPr>
                      <w:rPr>
                        <w:spacing w:val="-20"/>
                      </w:rPr>
                    </w:pPr>
                    <w:r>
                      <w:rPr>
                        <w:rFonts w:hint="eastAsia"/>
                        <w:spacing w:val="-20"/>
                      </w:rPr>
                      <w:t>资产总额</w:t>
                    </w:r>
                  </w:p>
                </w:tc>
                <w:tc>
                  <w:tcPr>
                    <w:tcW w:w="1276" w:type="dxa"/>
                  </w:tcPr>
                  <w:p w14:paraId="7AC1DB14" w14:textId="77777777" w:rsidR="007E7472" w:rsidRDefault="00EC1269">
                    <w:pPr>
                      <w:jc w:val="right"/>
                      <w:rPr>
                        <w:spacing w:val="-20"/>
                      </w:rPr>
                    </w:pPr>
                    <w:r>
                      <w:rPr>
                        <w:spacing w:val="-20"/>
                      </w:rPr>
                      <w:t>315,678,363</w:t>
                    </w:r>
                  </w:p>
                </w:tc>
                <w:tc>
                  <w:tcPr>
                    <w:tcW w:w="992" w:type="dxa"/>
                  </w:tcPr>
                  <w:p w14:paraId="79FE8FF7" w14:textId="77777777" w:rsidR="007E7472" w:rsidRDefault="00EC1269">
                    <w:pPr>
                      <w:jc w:val="right"/>
                      <w:rPr>
                        <w:spacing w:val="-20"/>
                      </w:rPr>
                    </w:pPr>
                    <w:r>
                      <w:rPr>
                        <w:spacing w:val="-20"/>
                      </w:rPr>
                      <w:t>3,780,620</w:t>
                    </w:r>
                  </w:p>
                </w:tc>
                <w:tc>
                  <w:tcPr>
                    <w:tcW w:w="1446" w:type="dxa"/>
                  </w:tcPr>
                  <w:p w14:paraId="35E5E0C1" w14:textId="77777777" w:rsidR="007E7472" w:rsidRDefault="00EC1269">
                    <w:pPr>
                      <w:jc w:val="right"/>
                      <w:rPr>
                        <w:spacing w:val="-20"/>
                      </w:rPr>
                    </w:pPr>
                    <w:r>
                      <w:rPr>
                        <w:spacing w:val="-20"/>
                      </w:rPr>
                      <w:t>60,692,257</w:t>
                    </w:r>
                  </w:p>
                </w:tc>
                <w:tc>
                  <w:tcPr>
                    <w:tcW w:w="1276" w:type="dxa"/>
                  </w:tcPr>
                  <w:p w14:paraId="4EEC26DA" w14:textId="77777777" w:rsidR="007E7472" w:rsidRDefault="00EC1269">
                    <w:pPr>
                      <w:jc w:val="right"/>
                      <w:rPr>
                        <w:spacing w:val="-20"/>
                      </w:rPr>
                    </w:pPr>
                    <w:r>
                      <w:rPr>
                        <w:spacing w:val="-20"/>
                      </w:rPr>
                      <w:t>4,196,665</w:t>
                    </w:r>
                  </w:p>
                </w:tc>
                <w:tc>
                  <w:tcPr>
                    <w:tcW w:w="1418" w:type="dxa"/>
                  </w:tcPr>
                  <w:p w14:paraId="549B51C2" w14:textId="77777777" w:rsidR="007E7472" w:rsidRDefault="00EC1269">
                    <w:pPr>
                      <w:jc w:val="right"/>
                      <w:rPr>
                        <w:spacing w:val="-20"/>
                      </w:rPr>
                    </w:pPr>
                    <w:r>
                      <w:rPr>
                        <w:spacing w:val="-20"/>
                      </w:rPr>
                      <w:t>7,038,858</w:t>
                    </w:r>
                  </w:p>
                </w:tc>
                <w:tc>
                  <w:tcPr>
                    <w:tcW w:w="1134" w:type="dxa"/>
                  </w:tcPr>
                  <w:p w14:paraId="659C7423" w14:textId="77777777" w:rsidR="007E7472" w:rsidRDefault="00EC1269">
                    <w:pPr>
                      <w:jc w:val="right"/>
                      <w:rPr>
                        <w:spacing w:val="-20"/>
                      </w:rPr>
                    </w:pPr>
                    <w:r>
                      <w:rPr>
                        <w:spacing w:val="-20"/>
                      </w:rPr>
                      <w:t>65,091,221</w:t>
                    </w:r>
                  </w:p>
                </w:tc>
                <w:tc>
                  <w:tcPr>
                    <w:tcW w:w="1417" w:type="dxa"/>
                  </w:tcPr>
                  <w:p w14:paraId="3E205BCD" w14:textId="77777777" w:rsidR="007E7472" w:rsidRDefault="00EC1269">
                    <w:pPr>
                      <w:jc w:val="right"/>
                      <w:rPr>
                        <w:spacing w:val="-20"/>
                      </w:rPr>
                    </w:pPr>
                    <w:r>
                      <w:rPr>
                        <w:spacing w:val="-20"/>
                      </w:rPr>
                      <w:t>34,259,384</w:t>
                    </w:r>
                  </w:p>
                </w:tc>
                <w:tc>
                  <w:tcPr>
                    <w:tcW w:w="1276" w:type="dxa"/>
                  </w:tcPr>
                  <w:p w14:paraId="7A6E8F53" w14:textId="77777777" w:rsidR="007E7472" w:rsidRDefault="00EC1269">
                    <w:pPr>
                      <w:jc w:val="right"/>
                      <w:rPr>
                        <w:spacing w:val="-20"/>
                      </w:rPr>
                    </w:pPr>
                    <w:r>
                      <w:rPr>
                        <w:spacing w:val="-20"/>
                      </w:rPr>
                      <w:t>185,596,469</w:t>
                    </w:r>
                  </w:p>
                </w:tc>
                <w:tc>
                  <w:tcPr>
                    <w:tcW w:w="1336" w:type="dxa"/>
                  </w:tcPr>
                  <w:p w14:paraId="7E7D6AC5" w14:textId="77777777" w:rsidR="007E7472" w:rsidRDefault="00EC1269">
                    <w:pPr>
                      <w:jc w:val="right"/>
                      <w:rPr>
                        <w:spacing w:val="-20"/>
                      </w:rPr>
                    </w:pPr>
                    <w:r>
                      <w:rPr>
                        <w:spacing w:val="-20"/>
                      </w:rPr>
                      <w:t>305,140,899</w:t>
                    </w:r>
                  </w:p>
                </w:tc>
              </w:tr>
              <w:tr w:rsidR="007E7472" w14:paraId="49B5123B" w14:textId="77777777" w:rsidTr="007E7472">
                <w:tc>
                  <w:tcPr>
                    <w:tcW w:w="2518" w:type="dxa"/>
                  </w:tcPr>
                  <w:p w14:paraId="45C77151" w14:textId="77777777" w:rsidR="007E7472" w:rsidRDefault="00EC1269">
                    <w:pPr>
                      <w:rPr>
                        <w:spacing w:val="-20"/>
                      </w:rPr>
                    </w:pPr>
                    <w:r>
                      <w:rPr>
                        <w:rFonts w:hint="eastAsia"/>
                        <w:spacing w:val="-20"/>
                      </w:rPr>
                      <w:t>负债总额</w:t>
                    </w:r>
                  </w:p>
                </w:tc>
                <w:tc>
                  <w:tcPr>
                    <w:tcW w:w="1276" w:type="dxa"/>
                  </w:tcPr>
                  <w:p w14:paraId="0F52FC1B" w14:textId="77777777" w:rsidR="007E7472" w:rsidRDefault="00EC1269">
                    <w:pPr>
                      <w:jc w:val="right"/>
                      <w:rPr>
                        <w:spacing w:val="-20"/>
                      </w:rPr>
                    </w:pPr>
                    <w:r>
                      <w:rPr>
                        <w:spacing w:val="-20"/>
                      </w:rPr>
                      <w:t>184,818,551</w:t>
                    </w:r>
                  </w:p>
                </w:tc>
                <w:tc>
                  <w:tcPr>
                    <w:tcW w:w="992" w:type="dxa"/>
                  </w:tcPr>
                  <w:p w14:paraId="7D9E5CD0" w14:textId="77777777" w:rsidR="007E7472" w:rsidRDefault="00EC1269">
                    <w:pPr>
                      <w:jc w:val="right"/>
                      <w:rPr>
                        <w:spacing w:val="-20"/>
                      </w:rPr>
                    </w:pPr>
                    <w:r>
                      <w:rPr>
                        <w:spacing w:val="-20"/>
                      </w:rPr>
                      <w:t>912,576</w:t>
                    </w:r>
                  </w:p>
                </w:tc>
                <w:tc>
                  <w:tcPr>
                    <w:tcW w:w="1446" w:type="dxa"/>
                  </w:tcPr>
                  <w:p w14:paraId="3F5BA2EE" w14:textId="77777777" w:rsidR="007E7472" w:rsidRDefault="00EC1269">
                    <w:pPr>
                      <w:jc w:val="right"/>
                      <w:rPr>
                        <w:spacing w:val="-20"/>
                      </w:rPr>
                    </w:pPr>
                    <w:r>
                      <w:rPr>
                        <w:spacing w:val="-20"/>
                      </w:rPr>
                      <w:t>27,640,149</w:t>
                    </w:r>
                  </w:p>
                </w:tc>
                <w:tc>
                  <w:tcPr>
                    <w:tcW w:w="1276" w:type="dxa"/>
                  </w:tcPr>
                  <w:p w14:paraId="3986589B" w14:textId="77777777" w:rsidR="007E7472" w:rsidRDefault="00EC1269">
                    <w:pPr>
                      <w:jc w:val="right"/>
                      <w:rPr>
                        <w:spacing w:val="-20"/>
                      </w:rPr>
                    </w:pPr>
                    <w:r>
                      <w:rPr>
                        <w:spacing w:val="-20"/>
                      </w:rPr>
                      <w:t>2,549,667</w:t>
                    </w:r>
                  </w:p>
                </w:tc>
                <w:tc>
                  <w:tcPr>
                    <w:tcW w:w="1418" w:type="dxa"/>
                  </w:tcPr>
                  <w:p w14:paraId="72020B78" w14:textId="77777777" w:rsidR="007E7472" w:rsidRDefault="00EC1269">
                    <w:pPr>
                      <w:jc w:val="right"/>
                      <w:rPr>
                        <w:spacing w:val="-20"/>
                      </w:rPr>
                    </w:pPr>
                    <w:r>
                      <w:rPr>
                        <w:spacing w:val="-20"/>
                      </w:rPr>
                      <w:t>5,961,141</w:t>
                    </w:r>
                  </w:p>
                </w:tc>
                <w:tc>
                  <w:tcPr>
                    <w:tcW w:w="1134" w:type="dxa"/>
                  </w:tcPr>
                  <w:p w14:paraId="537F00A4" w14:textId="77777777" w:rsidR="007E7472" w:rsidRDefault="00EC1269">
                    <w:pPr>
                      <w:jc w:val="right"/>
                      <w:rPr>
                        <w:spacing w:val="-20"/>
                      </w:rPr>
                    </w:pPr>
                    <w:r>
                      <w:rPr>
                        <w:spacing w:val="-20"/>
                      </w:rPr>
                      <w:t>43,936,371</w:t>
                    </w:r>
                  </w:p>
                </w:tc>
                <w:tc>
                  <w:tcPr>
                    <w:tcW w:w="1417" w:type="dxa"/>
                  </w:tcPr>
                  <w:p w14:paraId="4A486BC5" w14:textId="77777777" w:rsidR="007E7472" w:rsidRDefault="00EC1269">
                    <w:pPr>
                      <w:jc w:val="right"/>
                      <w:rPr>
                        <w:spacing w:val="-20"/>
                      </w:rPr>
                    </w:pPr>
                    <w:r>
                      <w:rPr>
                        <w:spacing w:val="-20"/>
                      </w:rPr>
                      <w:t>21,998,115</w:t>
                    </w:r>
                  </w:p>
                </w:tc>
                <w:tc>
                  <w:tcPr>
                    <w:tcW w:w="1276" w:type="dxa"/>
                  </w:tcPr>
                  <w:p w14:paraId="575B3663" w14:textId="77777777" w:rsidR="007E7472" w:rsidRDefault="00EC1269">
                    <w:pPr>
                      <w:jc w:val="right"/>
                      <w:rPr>
                        <w:spacing w:val="-20"/>
                      </w:rPr>
                    </w:pPr>
                    <w:r>
                      <w:rPr>
                        <w:spacing w:val="-20"/>
                      </w:rPr>
                      <w:t>99,378,245</w:t>
                    </w:r>
                  </w:p>
                </w:tc>
                <w:tc>
                  <w:tcPr>
                    <w:tcW w:w="1336" w:type="dxa"/>
                  </w:tcPr>
                  <w:p w14:paraId="61425B4A" w14:textId="77777777" w:rsidR="007E7472" w:rsidRDefault="00EC1269">
                    <w:pPr>
                      <w:jc w:val="right"/>
                      <w:rPr>
                        <w:spacing w:val="-20"/>
                      </w:rPr>
                    </w:pPr>
                    <w:r>
                      <w:rPr>
                        <w:spacing w:val="-20"/>
                      </w:rPr>
                      <w:t>188,438,325</w:t>
                    </w:r>
                  </w:p>
                </w:tc>
              </w:tr>
              <w:tr w:rsidR="007E7472" w14:paraId="675879A8" w14:textId="77777777" w:rsidTr="007E7472">
                <w:tc>
                  <w:tcPr>
                    <w:tcW w:w="2518" w:type="dxa"/>
                  </w:tcPr>
                  <w:p w14:paraId="42892DF0" w14:textId="77777777" w:rsidR="007E7472" w:rsidRDefault="00EC1269">
                    <w:pPr>
                      <w:rPr>
                        <w:b/>
                        <w:spacing w:val="-20"/>
                      </w:rPr>
                    </w:pPr>
                    <w:r>
                      <w:rPr>
                        <w:rFonts w:hint="eastAsia"/>
                        <w:b/>
                        <w:spacing w:val="-20"/>
                      </w:rPr>
                      <w:t>补充信息</w:t>
                    </w:r>
                  </w:p>
                </w:tc>
                <w:tc>
                  <w:tcPr>
                    <w:tcW w:w="1276" w:type="dxa"/>
                  </w:tcPr>
                  <w:p w14:paraId="23B41520" w14:textId="77777777" w:rsidR="007E7472" w:rsidRDefault="00C8327E">
                    <w:pPr>
                      <w:jc w:val="right"/>
                      <w:rPr>
                        <w:rFonts w:asciiTheme="minorEastAsia" w:eastAsiaTheme="minorEastAsia" w:hAnsiTheme="minorEastAsia"/>
                        <w:spacing w:val="-20"/>
                      </w:rPr>
                    </w:pPr>
                  </w:p>
                </w:tc>
                <w:tc>
                  <w:tcPr>
                    <w:tcW w:w="992" w:type="dxa"/>
                  </w:tcPr>
                  <w:p w14:paraId="4E9B244C" w14:textId="77777777" w:rsidR="007E7472" w:rsidRDefault="00C8327E">
                    <w:pPr>
                      <w:jc w:val="right"/>
                      <w:rPr>
                        <w:rFonts w:asciiTheme="minorEastAsia" w:eastAsiaTheme="minorEastAsia" w:hAnsiTheme="minorEastAsia"/>
                        <w:spacing w:val="-20"/>
                      </w:rPr>
                    </w:pPr>
                  </w:p>
                </w:tc>
                <w:tc>
                  <w:tcPr>
                    <w:tcW w:w="1446" w:type="dxa"/>
                  </w:tcPr>
                  <w:p w14:paraId="30CC4FE0" w14:textId="77777777" w:rsidR="007E7472" w:rsidRDefault="00C8327E">
                    <w:pPr>
                      <w:jc w:val="right"/>
                      <w:rPr>
                        <w:rFonts w:asciiTheme="minorEastAsia" w:eastAsiaTheme="minorEastAsia" w:hAnsiTheme="minorEastAsia"/>
                        <w:spacing w:val="-20"/>
                      </w:rPr>
                    </w:pPr>
                  </w:p>
                </w:tc>
                <w:tc>
                  <w:tcPr>
                    <w:tcW w:w="1276" w:type="dxa"/>
                  </w:tcPr>
                  <w:p w14:paraId="29211D2B" w14:textId="77777777" w:rsidR="007E7472" w:rsidRDefault="00C8327E">
                    <w:pPr>
                      <w:jc w:val="right"/>
                      <w:rPr>
                        <w:rFonts w:asciiTheme="minorEastAsia" w:eastAsiaTheme="minorEastAsia" w:hAnsiTheme="minorEastAsia"/>
                        <w:spacing w:val="-20"/>
                      </w:rPr>
                    </w:pPr>
                  </w:p>
                </w:tc>
                <w:tc>
                  <w:tcPr>
                    <w:tcW w:w="1418" w:type="dxa"/>
                  </w:tcPr>
                  <w:p w14:paraId="7668B776" w14:textId="77777777" w:rsidR="007E7472" w:rsidRDefault="00C8327E">
                    <w:pPr>
                      <w:jc w:val="right"/>
                      <w:rPr>
                        <w:rFonts w:asciiTheme="minorEastAsia" w:eastAsiaTheme="minorEastAsia" w:hAnsiTheme="minorEastAsia"/>
                        <w:spacing w:val="-20"/>
                      </w:rPr>
                    </w:pPr>
                  </w:p>
                </w:tc>
                <w:tc>
                  <w:tcPr>
                    <w:tcW w:w="1134" w:type="dxa"/>
                  </w:tcPr>
                  <w:p w14:paraId="2A531697" w14:textId="77777777" w:rsidR="007E7472" w:rsidRDefault="00C8327E">
                    <w:pPr>
                      <w:jc w:val="right"/>
                      <w:rPr>
                        <w:rFonts w:asciiTheme="minorEastAsia" w:eastAsiaTheme="minorEastAsia" w:hAnsiTheme="minorEastAsia"/>
                        <w:spacing w:val="-20"/>
                      </w:rPr>
                    </w:pPr>
                  </w:p>
                </w:tc>
                <w:tc>
                  <w:tcPr>
                    <w:tcW w:w="1417" w:type="dxa"/>
                  </w:tcPr>
                  <w:p w14:paraId="509667E9" w14:textId="77777777" w:rsidR="007E7472" w:rsidRDefault="00C8327E">
                    <w:pPr>
                      <w:jc w:val="right"/>
                      <w:rPr>
                        <w:rFonts w:asciiTheme="minorEastAsia" w:eastAsiaTheme="minorEastAsia" w:hAnsiTheme="minorEastAsia"/>
                        <w:spacing w:val="-20"/>
                      </w:rPr>
                    </w:pPr>
                  </w:p>
                </w:tc>
                <w:tc>
                  <w:tcPr>
                    <w:tcW w:w="1276" w:type="dxa"/>
                  </w:tcPr>
                  <w:p w14:paraId="351D334E" w14:textId="77777777" w:rsidR="007E7472" w:rsidRDefault="00C8327E">
                    <w:pPr>
                      <w:jc w:val="right"/>
                      <w:rPr>
                        <w:rFonts w:asciiTheme="minorEastAsia" w:eastAsiaTheme="minorEastAsia" w:hAnsiTheme="minorEastAsia"/>
                        <w:spacing w:val="-20"/>
                      </w:rPr>
                    </w:pPr>
                  </w:p>
                </w:tc>
                <w:tc>
                  <w:tcPr>
                    <w:tcW w:w="1336" w:type="dxa"/>
                  </w:tcPr>
                  <w:p w14:paraId="3C461320" w14:textId="77777777" w:rsidR="007E7472" w:rsidRDefault="00C8327E">
                    <w:pPr>
                      <w:jc w:val="right"/>
                      <w:rPr>
                        <w:rFonts w:asciiTheme="minorEastAsia" w:eastAsiaTheme="minorEastAsia" w:hAnsiTheme="minorEastAsia"/>
                        <w:spacing w:val="-20"/>
                      </w:rPr>
                    </w:pPr>
                  </w:p>
                </w:tc>
              </w:tr>
              <w:tr w:rsidR="007E7472" w14:paraId="006FEADE" w14:textId="77777777" w:rsidTr="007E7472">
                <w:tc>
                  <w:tcPr>
                    <w:tcW w:w="2518" w:type="dxa"/>
                  </w:tcPr>
                  <w:p w14:paraId="4840035D" w14:textId="77777777" w:rsidR="007E7472" w:rsidRDefault="00EC1269">
                    <w:pPr>
                      <w:rPr>
                        <w:spacing w:val="-20"/>
                      </w:rPr>
                    </w:pPr>
                    <w:r>
                      <w:rPr>
                        <w:rFonts w:hint="eastAsia"/>
                        <w:spacing w:val="-20"/>
                      </w:rPr>
                      <w:t>折旧和摊销费用</w:t>
                    </w:r>
                  </w:p>
                </w:tc>
                <w:tc>
                  <w:tcPr>
                    <w:tcW w:w="1276" w:type="dxa"/>
                  </w:tcPr>
                  <w:p w14:paraId="5ACDDEC0" w14:textId="77777777" w:rsidR="007E7472" w:rsidRDefault="00EC1269">
                    <w:pPr>
                      <w:jc w:val="right"/>
                      <w:rPr>
                        <w:rFonts w:asciiTheme="minorEastAsia" w:eastAsiaTheme="minorEastAsia" w:hAnsiTheme="minorEastAsia"/>
                        <w:spacing w:val="-20"/>
                      </w:rPr>
                    </w:pPr>
                    <w:r>
                      <w:rPr>
                        <w:spacing w:val="-20"/>
                      </w:rPr>
                      <w:t>4,316,888</w:t>
                    </w:r>
                  </w:p>
                </w:tc>
                <w:tc>
                  <w:tcPr>
                    <w:tcW w:w="992" w:type="dxa"/>
                  </w:tcPr>
                  <w:p w14:paraId="26E74F08" w14:textId="77777777" w:rsidR="007E7472" w:rsidRDefault="00EC1269">
                    <w:pPr>
                      <w:jc w:val="right"/>
                      <w:rPr>
                        <w:rFonts w:asciiTheme="minorEastAsia" w:eastAsiaTheme="minorEastAsia" w:hAnsiTheme="minorEastAsia"/>
                        <w:spacing w:val="-20"/>
                      </w:rPr>
                    </w:pPr>
                    <w:r>
                      <w:rPr>
                        <w:spacing w:val="-20"/>
                      </w:rPr>
                      <w:t>20,731</w:t>
                    </w:r>
                  </w:p>
                </w:tc>
                <w:tc>
                  <w:tcPr>
                    <w:tcW w:w="1446" w:type="dxa"/>
                  </w:tcPr>
                  <w:p w14:paraId="12CFB33C" w14:textId="77777777" w:rsidR="007E7472" w:rsidRDefault="00EC1269">
                    <w:pPr>
                      <w:jc w:val="right"/>
                      <w:rPr>
                        <w:rFonts w:asciiTheme="minorEastAsia" w:eastAsiaTheme="minorEastAsia" w:hAnsiTheme="minorEastAsia"/>
                        <w:spacing w:val="-20"/>
                      </w:rPr>
                    </w:pPr>
                    <w:r>
                      <w:rPr>
                        <w:spacing w:val="-20"/>
                      </w:rPr>
                      <w:t>1,600,961</w:t>
                    </w:r>
                  </w:p>
                </w:tc>
                <w:tc>
                  <w:tcPr>
                    <w:tcW w:w="1276" w:type="dxa"/>
                  </w:tcPr>
                  <w:p w14:paraId="451BC9A8" w14:textId="77777777" w:rsidR="007E7472" w:rsidRDefault="00EC1269">
                    <w:pPr>
                      <w:jc w:val="right"/>
                      <w:rPr>
                        <w:rFonts w:asciiTheme="minorEastAsia" w:eastAsiaTheme="minorEastAsia" w:hAnsiTheme="minorEastAsia"/>
                        <w:spacing w:val="-20"/>
                      </w:rPr>
                    </w:pPr>
                    <w:r>
                      <w:rPr>
                        <w:spacing w:val="-20"/>
                      </w:rPr>
                      <w:t>123,706</w:t>
                    </w:r>
                  </w:p>
                </w:tc>
                <w:tc>
                  <w:tcPr>
                    <w:tcW w:w="1418" w:type="dxa"/>
                  </w:tcPr>
                  <w:p w14:paraId="56140919" w14:textId="77777777" w:rsidR="007E7472" w:rsidRDefault="00EC1269">
                    <w:pPr>
                      <w:jc w:val="right"/>
                      <w:rPr>
                        <w:rFonts w:asciiTheme="minorEastAsia" w:eastAsiaTheme="minorEastAsia" w:hAnsiTheme="minorEastAsia"/>
                        <w:spacing w:val="-20"/>
                      </w:rPr>
                    </w:pPr>
                    <w:r>
                      <w:rPr>
                        <w:spacing w:val="-20"/>
                      </w:rPr>
                      <w:t>513</w:t>
                    </w:r>
                  </w:p>
                </w:tc>
                <w:tc>
                  <w:tcPr>
                    <w:tcW w:w="1134" w:type="dxa"/>
                  </w:tcPr>
                  <w:p w14:paraId="59ADE078" w14:textId="77777777" w:rsidR="007E7472" w:rsidRDefault="00EC1269">
                    <w:pPr>
                      <w:jc w:val="right"/>
                      <w:rPr>
                        <w:rFonts w:asciiTheme="minorEastAsia" w:eastAsiaTheme="minorEastAsia" w:hAnsiTheme="minorEastAsia"/>
                        <w:spacing w:val="-20"/>
                      </w:rPr>
                    </w:pPr>
                    <w:r>
                      <w:rPr>
                        <w:spacing w:val="-20"/>
                      </w:rPr>
                      <w:t>9,492</w:t>
                    </w:r>
                  </w:p>
                </w:tc>
                <w:tc>
                  <w:tcPr>
                    <w:tcW w:w="1417" w:type="dxa"/>
                  </w:tcPr>
                  <w:p w14:paraId="7E893401" w14:textId="77777777" w:rsidR="007E7472" w:rsidRDefault="00EC1269">
                    <w:pPr>
                      <w:jc w:val="right"/>
                      <w:rPr>
                        <w:rFonts w:asciiTheme="minorEastAsia" w:eastAsiaTheme="minorEastAsia" w:hAnsiTheme="minorEastAsia"/>
                        <w:spacing w:val="-20"/>
                      </w:rPr>
                    </w:pPr>
                    <w:r>
                      <w:rPr>
                        <w:spacing w:val="-20"/>
                      </w:rPr>
                      <w:t>296,749</w:t>
                    </w:r>
                  </w:p>
                </w:tc>
                <w:tc>
                  <w:tcPr>
                    <w:tcW w:w="1276" w:type="dxa"/>
                  </w:tcPr>
                  <w:p w14:paraId="709D1773" w14:textId="77777777" w:rsidR="007E7472" w:rsidRDefault="00C8327E">
                    <w:pPr>
                      <w:jc w:val="right"/>
                      <w:rPr>
                        <w:rFonts w:asciiTheme="minorEastAsia" w:eastAsiaTheme="minorEastAsia" w:hAnsiTheme="minorEastAsia"/>
                        <w:spacing w:val="-20"/>
                      </w:rPr>
                    </w:pPr>
                  </w:p>
                </w:tc>
                <w:tc>
                  <w:tcPr>
                    <w:tcW w:w="1336" w:type="dxa"/>
                  </w:tcPr>
                  <w:p w14:paraId="5599982D" w14:textId="77777777" w:rsidR="007E7472" w:rsidRDefault="00EC1269">
                    <w:pPr>
                      <w:jc w:val="right"/>
                      <w:rPr>
                        <w:rFonts w:asciiTheme="minorEastAsia" w:eastAsiaTheme="minorEastAsia" w:hAnsiTheme="minorEastAsia"/>
                        <w:spacing w:val="-20"/>
                      </w:rPr>
                    </w:pPr>
                    <w:r>
                      <w:rPr>
                        <w:spacing w:val="-20"/>
                      </w:rPr>
                      <w:t>6,369,040</w:t>
                    </w:r>
                  </w:p>
                </w:tc>
              </w:tr>
              <w:tr w:rsidR="007E7472" w14:paraId="7417E673" w14:textId="77777777" w:rsidTr="007E7472">
                <w:tc>
                  <w:tcPr>
                    <w:tcW w:w="2518" w:type="dxa"/>
                  </w:tcPr>
                  <w:p w14:paraId="6091E511" w14:textId="77777777" w:rsidR="007E7472" w:rsidRDefault="00EC1269">
                    <w:pPr>
                      <w:rPr>
                        <w:spacing w:val="-20"/>
                      </w:rPr>
                    </w:pPr>
                    <w:r>
                      <w:rPr>
                        <w:rFonts w:hint="eastAsia"/>
                        <w:spacing w:val="-20"/>
                      </w:rPr>
                      <w:t>折旧和摊销以外的非现金费用</w:t>
                    </w:r>
                  </w:p>
                </w:tc>
                <w:tc>
                  <w:tcPr>
                    <w:tcW w:w="1276" w:type="dxa"/>
                  </w:tcPr>
                  <w:p w14:paraId="580DB3A3" w14:textId="77777777" w:rsidR="007E7472" w:rsidRDefault="00EC1269">
                    <w:pPr>
                      <w:jc w:val="right"/>
                      <w:rPr>
                        <w:rFonts w:asciiTheme="minorEastAsia" w:eastAsiaTheme="minorEastAsia" w:hAnsiTheme="minorEastAsia"/>
                        <w:spacing w:val="-20"/>
                      </w:rPr>
                    </w:pPr>
                    <w:r>
                      <w:rPr>
                        <w:spacing w:val="-20"/>
                      </w:rPr>
                      <w:t>21,477</w:t>
                    </w:r>
                  </w:p>
                </w:tc>
                <w:tc>
                  <w:tcPr>
                    <w:tcW w:w="992" w:type="dxa"/>
                  </w:tcPr>
                  <w:p w14:paraId="20B16030" w14:textId="77777777" w:rsidR="007E7472" w:rsidRDefault="00C8327E">
                    <w:pPr>
                      <w:jc w:val="right"/>
                      <w:rPr>
                        <w:rFonts w:asciiTheme="minorEastAsia" w:eastAsiaTheme="minorEastAsia" w:hAnsiTheme="minorEastAsia"/>
                        <w:spacing w:val="-20"/>
                      </w:rPr>
                    </w:pPr>
                  </w:p>
                </w:tc>
                <w:tc>
                  <w:tcPr>
                    <w:tcW w:w="1446" w:type="dxa"/>
                  </w:tcPr>
                  <w:p w14:paraId="4FC3E176" w14:textId="77777777" w:rsidR="007E7472" w:rsidRDefault="00EC1269">
                    <w:pPr>
                      <w:jc w:val="right"/>
                      <w:rPr>
                        <w:rFonts w:asciiTheme="minorEastAsia" w:eastAsiaTheme="minorEastAsia" w:hAnsiTheme="minorEastAsia"/>
                        <w:spacing w:val="-20"/>
                      </w:rPr>
                    </w:pPr>
                    <w:r>
                      <w:rPr>
                        <w:spacing w:val="-20"/>
                      </w:rPr>
                      <w:t>28,944</w:t>
                    </w:r>
                  </w:p>
                </w:tc>
                <w:tc>
                  <w:tcPr>
                    <w:tcW w:w="1276" w:type="dxa"/>
                  </w:tcPr>
                  <w:p w14:paraId="28AD4569" w14:textId="77777777" w:rsidR="007E7472" w:rsidRDefault="00EC1269">
                    <w:pPr>
                      <w:jc w:val="right"/>
                      <w:rPr>
                        <w:rFonts w:asciiTheme="minorEastAsia" w:eastAsiaTheme="minorEastAsia" w:hAnsiTheme="minorEastAsia"/>
                        <w:spacing w:val="-20"/>
                      </w:rPr>
                    </w:pPr>
                    <w:r>
                      <w:rPr>
                        <w:spacing w:val="-20"/>
                      </w:rPr>
                      <w:t>-9,563</w:t>
                    </w:r>
                  </w:p>
                </w:tc>
                <w:tc>
                  <w:tcPr>
                    <w:tcW w:w="1418" w:type="dxa"/>
                  </w:tcPr>
                  <w:p w14:paraId="1A4C82F2" w14:textId="77777777" w:rsidR="007E7472" w:rsidRDefault="00EC1269">
                    <w:pPr>
                      <w:jc w:val="right"/>
                      <w:rPr>
                        <w:rFonts w:asciiTheme="minorEastAsia" w:eastAsiaTheme="minorEastAsia" w:hAnsiTheme="minorEastAsia"/>
                        <w:spacing w:val="-20"/>
                      </w:rPr>
                    </w:pPr>
                    <w:r>
                      <w:rPr>
                        <w:spacing w:val="-20"/>
                      </w:rPr>
                      <w:t>678</w:t>
                    </w:r>
                  </w:p>
                </w:tc>
                <w:tc>
                  <w:tcPr>
                    <w:tcW w:w="1134" w:type="dxa"/>
                  </w:tcPr>
                  <w:p w14:paraId="0448416E" w14:textId="77777777" w:rsidR="007E7472" w:rsidRDefault="00EC1269">
                    <w:pPr>
                      <w:jc w:val="right"/>
                      <w:rPr>
                        <w:rFonts w:asciiTheme="minorEastAsia" w:eastAsiaTheme="minorEastAsia" w:hAnsiTheme="minorEastAsia"/>
                        <w:spacing w:val="-20"/>
                      </w:rPr>
                    </w:pPr>
                    <w:r>
                      <w:rPr>
                        <w:spacing w:val="-20"/>
                      </w:rPr>
                      <w:t>-79,930</w:t>
                    </w:r>
                  </w:p>
                </w:tc>
                <w:tc>
                  <w:tcPr>
                    <w:tcW w:w="1417" w:type="dxa"/>
                  </w:tcPr>
                  <w:p w14:paraId="6302BF53" w14:textId="77777777" w:rsidR="007E7472" w:rsidRDefault="00EC1269">
                    <w:pPr>
                      <w:jc w:val="right"/>
                      <w:rPr>
                        <w:rFonts w:asciiTheme="minorEastAsia" w:eastAsiaTheme="minorEastAsia" w:hAnsiTheme="minorEastAsia"/>
                        <w:spacing w:val="-20"/>
                      </w:rPr>
                    </w:pPr>
                    <w:r>
                      <w:rPr>
                        <w:spacing w:val="-20"/>
                      </w:rPr>
                      <w:t>4,216</w:t>
                    </w:r>
                  </w:p>
                </w:tc>
                <w:tc>
                  <w:tcPr>
                    <w:tcW w:w="1276" w:type="dxa"/>
                  </w:tcPr>
                  <w:p w14:paraId="7B72ACFD" w14:textId="77777777" w:rsidR="007E7472" w:rsidRDefault="00C8327E">
                    <w:pPr>
                      <w:jc w:val="right"/>
                      <w:rPr>
                        <w:rFonts w:asciiTheme="minorEastAsia" w:eastAsiaTheme="minorEastAsia" w:hAnsiTheme="minorEastAsia"/>
                        <w:spacing w:val="-20"/>
                      </w:rPr>
                    </w:pPr>
                  </w:p>
                </w:tc>
                <w:tc>
                  <w:tcPr>
                    <w:tcW w:w="1336" w:type="dxa"/>
                  </w:tcPr>
                  <w:p w14:paraId="79635DF1" w14:textId="77777777" w:rsidR="007E7472" w:rsidRDefault="00EC1269">
                    <w:pPr>
                      <w:jc w:val="right"/>
                      <w:rPr>
                        <w:rFonts w:asciiTheme="minorEastAsia" w:eastAsiaTheme="minorEastAsia" w:hAnsiTheme="minorEastAsia"/>
                        <w:spacing w:val="-20"/>
                      </w:rPr>
                    </w:pPr>
                    <w:r>
                      <w:rPr>
                        <w:spacing w:val="-20"/>
                      </w:rPr>
                      <w:t>-34,178</w:t>
                    </w:r>
                  </w:p>
                </w:tc>
              </w:tr>
              <w:tr w:rsidR="007E7472" w14:paraId="4506F0DD" w14:textId="77777777" w:rsidTr="007E7472">
                <w:tc>
                  <w:tcPr>
                    <w:tcW w:w="2518" w:type="dxa"/>
                  </w:tcPr>
                  <w:p w14:paraId="53F0CC60" w14:textId="77777777" w:rsidR="007E7472" w:rsidRDefault="00EC1269">
                    <w:pPr>
                      <w:rPr>
                        <w:spacing w:val="-20"/>
                      </w:rPr>
                    </w:pPr>
                    <w:r>
                      <w:rPr>
                        <w:rFonts w:hint="eastAsia"/>
                        <w:spacing w:val="-20"/>
                      </w:rPr>
                      <w:t>资本性支出</w:t>
                    </w:r>
                  </w:p>
                </w:tc>
                <w:tc>
                  <w:tcPr>
                    <w:tcW w:w="1276" w:type="dxa"/>
                  </w:tcPr>
                  <w:p w14:paraId="57DD6FCA" w14:textId="77777777" w:rsidR="007E7472" w:rsidRDefault="00EC1269">
                    <w:pPr>
                      <w:jc w:val="right"/>
                      <w:rPr>
                        <w:rFonts w:asciiTheme="minorEastAsia" w:eastAsiaTheme="minorEastAsia" w:hAnsiTheme="minorEastAsia"/>
                        <w:spacing w:val="-20"/>
                      </w:rPr>
                    </w:pPr>
                    <w:r>
                      <w:rPr>
                        <w:spacing w:val="-20"/>
                      </w:rPr>
                      <w:t>4,538,079</w:t>
                    </w:r>
                  </w:p>
                </w:tc>
                <w:tc>
                  <w:tcPr>
                    <w:tcW w:w="992" w:type="dxa"/>
                  </w:tcPr>
                  <w:p w14:paraId="65168E51" w14:textId="77777777" w:rsidR="007E7472" w:rsidRDefault="00EC1269">
                    <w:pPr>
                      <w:jc w:val="right"/>
                      <w:rPr>
                        <w:rFonts w:asciiTheme="minorEastAsia" w:eastAsiaTheme="minorEastAsia" w:hAnsiTheme="minorEastAsia"/>
                        <w:spacing w:val="-20"/>
                      </w:rPr>
                    </w:pPr>
                    <w:r>
                      <w:rPr>
                        <w:spacing w:val="-20"/>
                      </w:rPr>
                      <w:t>119,934</w:t>
                    </w:r>
                  </w:p>
                </w:tc>
                <w:tc>
                  <w:tcPr>
                    <w:tcW w:w="1446" w:type="dxa"/>
                  </w:tcPr>
                  <w:p w14:paraId="2D5EB5E2" w14:textId="77777777" w:rsidR="007E7472" w:rsidRDefault="00EC1269">
                    <w:pPr>
                      <w:jc w:val="right"/>
                      <w:rPr>
                        <w:rFonts w:asciiTheme="minorEastAsia" w:eastAsiaTheme="minorEastAsia" w:hAnsiTheme="minorEastAsia"/>
                        <w:spacing w:val="-20"/>
                      </w:rPr>
                    </w:pPr>
                    <w:r>
                      <w:rPr>
                        <w:spacing w:val="-20"/>
                      </w:rPr>
                      <w:t>636,435</w:t>
                    </w:r>
                  </w:p>
                </w:tc>
                <w:tc>
                  <w:tcPr>
                    <w:tcW w:w="1276" w:type="dxa"/>
                  </w:tcPr>
                  <w:p w14:paraId="25746DA1" w14:textId="77777777" w:rsidR="007E7472" w:rsidRDefault="00EC1269">
                    <w:pPr>
                      <w:jc w:val="right"/>
                      <w:rPr>
                        <w:rFonts w:asciiTheme="minorEastAsia" w:eastAsiaTheme="minorEastAsia" w:hAnsiTheme="minorEastAsia"/>
                        <w:spacing w:val="-20"/>
                      </w:rPr>
                    </w:pPr>
                    <w:r>
                      <w:rPr>
                        <w:spacing w:val="-20"/>
                      </w:rPr>
                      <w:t>597</w:t>
                    </w:r>
                  </w:p>
                </w:tc>
                <w:tc>
                  <w:tcPr>
                    <w:tcW w:w="1418" w:type="dxa"/>
                  </w:tcPr>
                  <w:p w14:paraId="7E9E7ABF" w14:textId="77777777" w:rsidR="007E7472" w:rsidRDefault="00EC1269">
                    <w:pPr>
                      <w:jc w:val="right"/>
                      <w:rPr>
                        <w:rFonts w:asciiTheme="minorEastAsia" w:eastAsiaTheme="minorEastAsia" w:hAnsiTheme="minorEastAsia"/>
                        <w:spacing w:val="-20"/>
                      </w:rPr>
                    </w:pPr>
                    <w:r>
                      <w:rPr>
                        <w:spacing w:val="-20"/>
                      </w:rPr>
                      <w:t>14,861</w:t>
                    </w:r>
                  </w:p>
                </w:tc>
                <w:tc>
                  <w:tcPr>
                    <w:tcW w:w="1134" w:type="dxa"/>
                  </w:tcPr>
                  <w:p w14:paraId="20D7F99C" w14:textId="77777777" w:rsidR="007E7472" w:rsidRDefault="00EC1269">
                    <w:pPr>
                      <w:jc w:val="right"/>
                      <w:rPr>
                        <w:rFonts w:asciiTheme="minorEastAsia" w:eastAsiaTheme="minorEastAsia" w:hAnsiTheme="minorEastAsia"/>
                        <w:spacing w:val="-20"/>
                      </w:rPr>
                    </w:pPr>
                    <w:r>
                      <w:rPr>
                        <w:spacing w:val="-20"/>
                      </w:rPr>
                      <w:t>2,727,256</w:t>
                    </w:r>
                  </w:p>
                </w:tc>
                <w:tc>
                  <w:tcPr>
                    <w:tcW w:w="1417" w:type="dxa"/>
                  </w:tcPr>
                  <w:p w14:paraId="188F91D8" w14:textId="77777777" w:rsidR="007E7472" w:rsidRDefault="00EC1269">
                    <w:pPr>
                      <w:jc w:val="right"/>
                      <w:rPr>
                        <w:rFonts w:asciiTheme="minorEastAsia" w:eastAsiaTheme="minorEastAsia" w:hAnsiTheme="minorEastAsia"/>
                        <w:spacing w:val="-20"/>
                      </w:rPr>
                    </w:pPr>
                    <w:r>
                      <w:rPr>
                        <w:spacing w:val="-20"/>
                      </w:rPr>
                      <w:t>435,085</w:t>
                    </w:r>
                  </w:p>
                </w:tc>
                <w:tc>
                  <w:tcPr>
                    <w:tcW w:w="1276" w:type="dxa"/>
                  </w:tcPr>
                  <w:p w14:paraId="56DAB979" w14:textId="77777777" w:rsidR="007E7472" w:rsidRDefault="00C8327E">
                    <w:pPr>
                      <w:jc w:val="right"/>
                      <w:rPr>
                        <w:rFonts w:asciiTheme="minorEastAsia" w:eastAsiaTheme="minorEastAsia" w:hAnsiTheme="minorEastAsia"/>
                        <w:spacing w:val="-20"/>
                      </w:rPr>
                    </w:pPr>
                  </w:p>
                </w:tc>
                <w:tc>
                  <w:tcPr>
                    <w:tcW w:w="1336" w:type="dxa"/>
                  </w:tcPr>
                  <w:p w14:paraId="200A4507" w14:textId="77777777" w:rsidR="007E7472" w:rsidRDefault="00EC1269">
                    <w:pPr>
                      <w:jc w:val="right"/>
                      <w:rPr>
                        <w:rFonts w:asciiTheme="minorEastAsia" w:eastAsiaTheme="minorEastAsia" w:hAnsiTheme="minorEastAsia"/>
                        <w:spacing w:val="-20"/>
                      </w:rPr>
                    </w:pPr>
                    <w:r>
                      <w:rPr>
                        <w:spacing w:val="-20"/>
                      </w:rPr>
                      <w:t>8,472,247</w:t>
                    </w:r>
                  </w:p>
                </w:tc>
              </w:tr>
            </w:tbl>
            <w:p w14:paraId="36532787" w14:textId="77777777" w:rsidR="007E7472" w:rsidRDefault="00C8327E"/>
            <w:p w14:paraId="2F202655" w14:textId="77777777" w:rsidR="007E7472" w:rsidRDefault="00EC1269">
              <w:r>
                <w:t>2)2022</w:t>
              </w:r>
              <w:r>
                <w:rPr>
                  <w:rFonts w:hint="eastAsia"/>
                </w:rPr>
                <w:t>年1</w:t>
              </w:r>
              <w:r>
                <w:t>-6</w:t>
              </w:r>
              <w:r>
                <w:rPr>
                  <w:rFonts w:hint="eastAsia"/>
                </w:rPr>
                <w:t>月报告分部</w:t>
              </w:r>
            </w:p>
            <w:tbl>
              <w:tblPr>
                <w:tblStyle w:val="g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276"/>
                <w:gridCol w:w="992"/>
                <w:gridCol w:w="1701"/>
                <w:gridCol w:w="1418"/>
                <w:gridCol w:w="1134"/>
                <w:gridCol w:w="1417"/>
                <w:gridCol w:w="1134"/>
                <w:gridCol w:w="1276"/>
                <w:gridCol w:w="1223"/>
              </w:tblGrid>
              <w:tr w:rsidR="007E7472" w:rsidRPr="00A23CC7" w14:paraId="73E523D3" w14:textId="77777777" w:rsidTr="007E7472">
                <w:tc>
                  <w:tcPr>
                    <w:tcW w:w="2518" w:type="dxa"/>
                    <w:vAlign w:val="center"/>
                  </w:tcPr>
                  <w:p w14:paraId="7F6B5EDF" w14:textId="77777777" w:rsidR="007E7472" w:rsidRPr="00A23CC7" w:rsidRDefault="00EC1269">
                    <w:pPr>
                      <w:jc w:val="center"/>
                      <w:rPr>
                        <w:rFonts w:asciiTheme="minorEastAsia" w:eastAsiaTheme="minorEastAsia" w:hAnsiTheme="minorEastAsia"/>
                        <w:b/>
                        <w:spacing w:val="-20"/>
                      </w:rPr>
                    </w:pPr>
                    <w:r w:rsidRPr="00A23CC7">
                      <w:rPr>
                        <w:rFonts w:asciiTheme="minorEastAsia" w:eastAsiaTheme="minorEastAsia" w:hAnsiTheme="minorEastAsia" w:hint="eastAsia"/>
                        <w:b/>
                        <w:spacing w:val="-20"/>
                      </w:rPr>
                      <w:t>项目</w:t>
                    </w:r>
                  </w:p>
                </w:tc>
                <w:tc>
                  <w:tcPr>
                    <w:tcW w:w="1276" w:type="dxa"/>
                    <w:vAlign w:val="center"/>
                  </w:tcPr>
                  <w:p w14:paraId="5523829A" w14:textId="77777777" w:rsidR="007E7472" w:rsidRPr="00A23CC7" w:rsidRDefault="00EC1269">
                    <w:pPr>
                      <w:jc w:val="center"/>
                      <w:rPr>
                        <w:rFonts w:asciiTheme="minorEastAsia" w:eastAsiaTheme="minorEastAsia" w:hAnsiTheme="minorEastAsia"/>
                        <w:b/>
                        <w:spacing w:val="-20"/>
                      </w:rPr>
                    </w:pPr>
                    <w:r w:rsidRPr="00A23CC7">
                      <w:rPr>
                        <w:rFonts w:asciiTheme="minorEastAsia" w:eastAsiaTheme="minorEastAsia" w:hAnsiTheme="minorEastAsia" w:hint="eastAsia"/>
                        <w:b/>
                        <w:spacing w:val="-20"/>
                      </w:rPr>
                      <w:t>煤炭业务</w:t>
                    </w:r>
                  </w:p>
                </w:tc>
                <w:tc>
                  <w:tcPr>
                    <w:tcW w:w="992" w:type="dxa"/>
                    <w:vAlign w:val="center"/>
                  </w:tcPr>
                  <w:p w14:paraId="4E5635DF" w14:textId="77777777" w:rsidR="007E7472" w:rsidRPr="00A23CC7" w:rsidRDefault="00EC1269">
                    <w:pPr>
                      <w:jc w:val="center"/>
                      <w:rPr>
                        <w:rFonts w:asciiTheme="minorEastAsia" w:eastAsiaTheme="minorEastAsia" w:hAnsiTheme="minorEastAsia"/>
                        <w:b/>
                        <w:spacing w:val="-20"/>
                      </w:rPr>
                    </w:pPr>
                    <w:r w:rsidRPr="00A23CC7">
                      <w:rPr>
                        <w:rFonts w:asciiTheme="minorEastAsia" w:eastAsiaTheme="minorEastAsia" w:hAnsiTheme="minorEastAsia" w:hint="eastAsia"/>
                        <w:b/>
                        <w:spacing w:val="-20"/>
                      </w:rPr>
                      <w:t>铁运业务</w:t>
                    </w:r>
                  </w:p>
                </w:tc>
                <w:tc>
                  <w:tcPr>
                    <w:tcW w:w="1701" w:type="dxa"/>
                    <w:vAlign w:val="center"/>
                  </w:tcPr>
                  <w:p w14:paraId="5C5D8360" w14:textId="77777777" w:rsidR="007E7472" w:rsidRPr="00A23CC7" w:rsidRDefault="00EC1269">
                    <w:pPr>
                      <w:jc w:val="center"/>
                      <w:rPr>
                        <w:rFonts w:asciiTheme="minorEastAsia" w:eastAsiaTheme="minorEastAsia" w:hAnsiTheme="minorEastAsia"/>
                        <w:b/>
                        <w:spacing w:val="-20"/>
                      </w:rPr>
                    </w:pPr>
                    <w:r w:rsidRPr="00A23CC7">
                      <w:rPr>
                        <w:rFonts w:asciiTheme="minorEastAsia" w:eastAsiaTheme="minorEastAsia" w:hAnsiTheme="minorEastAsia" w:hint="eastAsia"/>
                        <w:b/>
                        <w:spacing w:val="-20"/>
                      </w:rPr>
                      <w:t>煤化工、电力及热力</w:t>
                    </w:r>
                  </w:p>
                </w:tc>
                <w:tc>
                  <w:tcPr>
                    <w:tcW w:w="1418" w:type="dxa"/>
                    <w:vAlign w:val="center"/>
                  </w:tcPr>
                  <w:p w14:paraId="0A85F223" w14:textId="77777777" w:rsidR="007E7472" w:rsidRPr="00A23CC7" w:rsidRDefault="00EC1269">
                    <w:pPr>
                      <w:jc w:val="center"/>
                      <w:rPr>
                        <w:rFonts w:asciiTheme="minorEastAsia" w:eastAsiaTheme="minorEastAsia" w:hAnsiTheme="minorEastAsia"/>
                        <w:b/>
                        <w:spacing w:val="-20"/>
                      </w:rPr>
                    </w:pPr>
                    <w:r w:rsidRPr="00A23CC7">
                      <w:rPr>
                        <w:rFonts w:asciiTheme="minorEastAsia" w:eastAsiaTheme="minorEastAsia" w:hAnsiTheme="minorEastAsia" w:hint="eastAsia"/>
                        <w:b/>
                        <w:spacing w:val="-20"/>
                      </w:rPr>
                      <w:t>矿用设备制造</w:t>
                    </w:r>
                  </w:p>
                </w:tc>
                <w:tc>
                  <w:tcPr>
                    <w:tcW w:w="1134" w:type="dxa"/>
                    <w:vAlign w:val="center"/>
                  </w:tcPr>
                  <w:p w14:paraId="4FA6F0A5" w14:textId="77777777" w:rsidR="007E7472" w:rsidRPr="00A23CC7" w:rsidRDefault="00EC1269">
                    <w:pPr>
                      <w:jc w:val="center"/>
                      <w:rPr>
                        <w:rFonts w:asciiTheme="minorEastAsia" w:eastAsiaTheme="minorEastAsia" w:hAnsiTheme="minorEastAsia"/>
                        <w:b/>
                        <w:spacing w:val="-20"/>
                      </w:rPr>
                    </w:pPr>
                    <w:r w:rsidRPr="00A23CC7">
                      <w:rPr>
                        <w:rFonts w:asciiTheme="minorEastAsia" w:eastAsiaTheme="minorEastAsia" w:hAnsiTheme="minorEastAsia" w:hint="eastAsia"/>
                        <w:b/>
                        <w:spacing w:val="-20"/>
                      </w:rPr>
                      <w:t>非煤炭贸易</w:t>
                    </w:r>
                  </w:p>
                </w:tc>
                <w:tc>
                  <w:tcPr>
                    <w:tcW w:w="1417" w:type="dxa"/>
                    <w:vAlign w:val="center"/>
                  </w:tcPr>
                  <w:p w14:paraId="526AD22A" w14:textId="77777777" w:rsidR="007E7472" w:rsidRPr="00A23CC7" w:rsidRDefault="00EC1269">
                    <w:pPr>
                      <w:jc w:val="center"/>
                      <w:rPr>
                        <w:rFonts w:asciiTheme="minorEastAsia" w:eastAsiaTheme="minorEastAsia" w:hAnsiTheme="minorEastAsia"/>
                        <w:b/>
                        <w:spacing w:val="-20"/>
                      </w:rPr>
                    </w:pPr>
                    <w:r w:rsidRPr="00A23CC7">
                      <w:rPr>
                        <w:rFonts w:asciiTheme="minorEastAsia" w:eastAsiaTheme="minorEastAsia" w:hAnsiTheme="minorEastAsia" w:hint="eastAsia"/>
                        <w:b/>
                        <w:spacing w:val="-20"/>
                      </w:rPr>
                      <w:t>贷款和融资租赁</w:t>
                    </w:r>
                  </w:p>
                </w:tc>
                <w:tc>
                  <w:tcPr>
                    <w:tcW w:w="1134" w:type="dxa"/>
                    <w:vAlign w:val="center"/>
                  </w:tcPr>
                  <w:p w14:paraId="670D887F" w14:textId="77777777" w:rsidR="007E7472" w:rsidRPr="00A23CC7" w:rsidRDefault="00EC1269">
                    <w:pPr>
                      <w:jc w:val="center"/>
                      <w:rPr>
                        <w:rFonts w:asciiTheme="minorEastAsia" w:eastAsiaTheme="minorEastAsia" w:hAnsiTheme="minorEastAsia"/>
                        <w:b/>
                        <w:spacing w:val="-20"/>
                      </w:rPr>
                    </w:pPr>
                    <w:r w:rsidRPr="00A23CC7">
                      <w:rPr>
                        <w:rFonts w:asciiTheme="minorEastAsia" w:eastAsiaTheme="minorEastAsia" w:hAnsiTheme="minorEastAsia" w:hint="eastAsia"/>
                        <w:b/>
                        <w:spacing w:val="-20"/>
                      </w:rPr>
                      <w:t>未分配项目</w:t>
                    </w:r>
                  </w:p>
                </w:tc>
                <w:tc>
                  <w:tcPr>
                    <w:tcW w:w="1276" w:type="dxa"/>
                    <w:vAlign w:val="center"/>
                  </w:tcPr>
                  <w:p w14:paraId="0D3A57EA" w14:textId="77777777" w:rsidR="007E7472" w:rsidRPr="00A23CC7" w:rsidRDefault="00EC1269">
                    <w:pPr>
                      <w:jc w:val="center"/>
                      <w:rPr>
                        <w:rFonts w:asciiTheme="minorEastAsia" w:eastAsiaTheme="minorEastAsia" w:hAnsiTheme="minorEastAsia"/>
                        <w:b/>
                        <w:spacing w:val="-20"/>
                      </w:rPr>
                    </w:pPr>
                    <w:r w:rsidRPr="00A23CC7">
                      <w:rPr>
                        <w:rFonts w:asciiTheme="minorEastAsia" w:eastAsiaTheme="minorEastAsia" w:hAnsiTheme="minorEastAsia" w:hint="eastAsia"/>
                        <w:b/>
                        <w:spacing w:val="-20"/>
                      </w:rPr>
                      <w:t>抵消</w:t>
                    </w:r>
                  </w:p>
                </w:tc>
                <w:tc>
                  <w:tcPr>
                    <w:tcW w:w="1223" w:type="dxa"/>
                    <w:vAlign w:val="center"/>
                  </w:tcPr>
                  <w:p w14:paraId="124B7571" w14:textId="77777777" w:rsidR="007E7472" w:rsidRPr="00A23CC7" w:rsidRDefault="00EC1269">
                    <w:pPr>
                      <w:jc w:val="center"/>
                      <w:rPr>
                        <w:rFonts w:asciiTheme="minorEastAsia" w:eastAsiaTheme="minorEastAsia" w:hAnsiTheme="minorEastAsia"/>
                        <w:b/>
                        <w:spacing w:val="-20"/>
                      </w:rPr>
                    </w:pPr>
                    <w:r w:rsidRPr="00A23CC7">
                      <w:rPr>
                        <w:rFonts w:asciiTheme="minorEastAsia" w:eastAsiaTheme="minorEastAsia" w:hAnsiTheme="minorEastAsia" w:hint="eastAsia"/>
                        <w:b/>
                        <w:spacing w:val="-20"/>
                      </w:rPr>
                      <w:t>合计</w:t>
                    </w:r>
                  </w:p>
                </w:tc>
              </w:tr>
              <w:tr w:rsidR="007E7472" w:rsidRPr="00A23CC7" w14:paraId="280F6916" w14:textId="77777777" w:rsidTr="007E7472">
                <w:tc>
                  <w:tcPr>
                    <w:tcW w:w="2518" w:type="dxa"/>
                  </w:tcPr>
                  <w:p w14:paraId="389C4333" w14:textId="77777777" w:rsidR="007E7472" w:rsidRPr="00A23CC7" w:rsidRDefault="00EC1269">
                    <w:pPr>
                      <w:rPr>
                        <w:rFonts w:asciiTheme="minorEastAsia" w:eastAsiaTheme="minorEastAsia" w:hAnsiTheme="minorEastAsia"/>
                        <w:b/>
                        <w:spacing w:val="-20"/>
                      </w:rPr>
                    </w:pPr>
                    <w:r w:rsidRPr="00A23CC7">
                      <w:rPr>
                        <w:rFonts w:asciiTheme="minorEastAsia" w:eastAsiaTheme="minorEastAsia" w:hAnsiTheme="minorEastAsia" w:hint="eastAsia"/>
                        <w:b/>
                        <w:spacing w:val="-20"/>
                      </w:rPr>
                      <w:t>营业收入</w:t>
                    </w:r>
                  </w:p>
                </w:tc>
                <w:tc>
                  <w:tcPr>
                    <w:tcW w:w="1276" w:type="dxa"/>
                  </w:tcPr>
                  <w:p w14:paraId="5DCAC495"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67,580,045</w:t>
                    </w:r>
                  </w:p>
                </w:tc>
                <w:tc>
                  <w:tcPr>
                    <w:tcW w:w="992" w:type="dxa"/>
                  </w:tcPr>
                  <w:p w14:paraId="46E465CA"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189,189</w:t>
                    </w:r>
                  </w:p>
                </w:tc>
                <w:tc>
                  <w:tcPr>
                    <w:tcW w:w="1701" w:type="dxa"/>
                  </w:tcPr>
                  <w:p w14:paraId="4321D22C"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14,156,608</w:t>
                    </w:r>
                  </w:p>
                </w:tc>
                <w:tc>
                  <w:tcPr>
                    <w:tcW w:w="1418" w:type="dxa"/>
                  </w:tcPr>
                  <w:p w14:paraId="0388A905"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1,523,490</w:t>
                    </w:r>
                  </w:p>
                </w:tc>
                <w:tc>
                  <w:tcPr>
                    <w:tcW w:w="1134" w:type="dxa"/>
                  </w:tcPr>
                  <w:p w14:paraId="2CC8DFC9"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22,265,916</w:t>
                    </w:r>
                  </w:p>
                </w:tc>
                <w:tc>
                  <w:tcPr>
                    <w:tcW w:w="1417" w:type="dxa"/>
                  </w:tcPr>
                  <w:p w14:paraId="313DF9FD"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900,257</w:t>
                    </w:r>
                  </w:p>
                </w:tc>
                <w:tc>
                  <w:tcPr>
                    <w:tcW w:w="1134" w:type="dxa"/>
                  </w:tcPr>
                  <w:p w14:paraId="31AC1BD4"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6,714,175</w:t>
                    </w:r>
                  </w:p>
                </w:tc>
                <w:tc>
                  <w:tcPr>
                    <w:tcW w:w="1276" w:type="dxa"/>
                  </w:tcPr>
                  <w:p w14:paraId="32B46158"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13,044,482</w:t>
                    </w:r>
                  </w:p>
                </w:tc>
                <w:tc>
                  <w:tcPr>
                    <w:tcW w:w="1223" w:type="dxa"/>
                  </w:tcPr>
                  <w:p w14:paraId="4D0731D4"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100,285,198</w:t>
                    </w:r>
                  </w:p>
                </w:tc>
              </w:tr>
              <w:tr w:rsidR="007E7472" w:rsidRPr="00A23CC7" w14:paraId="1748A731" w14:textId="77777777" w:rsidTr="007E7472">
                <w:tc>
                  <w:tcPr>
                    <w:tcW w:w="2518" w:type="dxa"/>
                  </w:tcPr>
                  <w:p w14:paraId="723F2703" w14:textId="77777777" w:rsidR="007E7472" w:rsidRPr="00A23CC7" w:rsidRDefault="00EC1269">
                    <w:pPr>
                      <w:rPr>
                        <w:rFonts w:asciiTheme="minorEastAsia" w:eastAsiaTheme="minorEastAsia" w:hAnsiTheme="minorEastAsia"/>
                        <w:spacing w:val="-20"/>
                      </w:rPr>
                    </w:pPr>
                    <w:r w:rsidRPr="00A23CC7">
                      <w:rPr>
                        <w:rFonts w:asciiTheme="minorEastAsia" w:eastAsiaTheme="minorEastAsia" w:hAnsiTheme="minorEastAsia" w:hint="eastAsia"/>
                        <w:spacing w:val="-20"/>
                      </w:rPr>
                      <w:t>对外交易收入</w:t>
                    </w:r>
                  </w:p>
                </w:tc>
                <w:tc>
                  <w:tcPr>
                    <w:tcW w:w="1276" w:type="dxa"/>
                  </w:tcPr>
                  <w:p w14:paraId="7BC89CDD"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61,281,948</w:t>
                    </w:r>
                  </w:p>
                </w:tc>
                <w:tc>
                  <w:tcPr>
                    <w:tcW w:w="992" w:type="dxa"/>
                  </w:tcPr>
                  <w:p w14:paraId="5A36D760"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189,189</w:t>
                    </w:r>
                  </w:p>
                </w:tc>
                <w:tc>
                  <w:tcPr>
                    <w:tcW w:w="1701" w:type="dxa"/>
                  </w:tcPr>
                  <w:p w14:paraId="04F158EB"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13,395,535</w:t>
                    </w:r>
                  </w:p>
                </w:tc>
                <w:tc>
                  <w:tcPr>
                    <w:tcW w:w="1418" w:type="dxa"/>
                  </w:tcPr>
                  <w:p w14:paraId="39ECD715"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325,806</w:t>
                    </w:r>
                  </w:p>
                </w:tc>
                <w:tc>
                  <w:tcPr>
                    <w:tcW w:w="1134" w:type="dxa"/>
                  </w:tcPr>
                  <w:p w14:paraId="4E0424CF"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22,265,916</w:t>
                    </w:r>
                  </w:p>
                </w:tc>
                <w:tc>
                  <w:tcPr>
                    <w:tcW w:w="1417" w:type="dxa"/>
                  </w:tcPr>
                  <w:p w14:paraId="1004ED6C"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490,126</w:t>
                    </w:r>
                  </w:p>
                </w:tc>
                <w:tc>
                  <w:tcPr>
                    <w:tcW w:w="1134" w:type="dxa"/>
                  </w:tcPr>
                  <w:p w14:paraId="28150202"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2,336,678</w:t>
                    </w:r>
                  </w:p>
                </w:tc>
                <w:tc>
                  <w:tcPr>
                    <w:tcW w:w="1276" w:type="dxa"/>
                  </w:tcPr>
                  <w:p w14:paraId="48FABBED" w14:textId="77777777" w:rsidR="007E7472" w:rsidRPr="00A23CC7" w:rsidRDefault="00C8327E">
                    <w:pPr>
                      <w:jc w:val="right"/>
                      <w:rPr>
                        <w:rFonts w:asciiTheme="minorEastAsia" w:eastAsiaTheme="minorEastAsia" w:hAnsiTheme="minorEastAsia"/>
                        <w:spacing w:val="-20"/>
                      </w:rPr>
                    </w:pPr>
                  </w:p>
                </w:tc>
                <w:tc>
                  <w:tcPr>
                    <w:tcW w:w="1223" w:type="dxa"/>
                  </w:tcPr>
                  <w:p w14:paraId="56084B96"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100,285,198</w:t>
                    </w:r>
                  </w:p>
                </w:tc>
              </w:tr>
              <w:tr w:rsidR="007E7472" w:rsidRPr="00A23CC7" w14:paraId="723737A2" w14:textId="77777777" w:rsidTr="007E7472">
                <w:tc>
                  <w:tcPr>
                    <w:tcW w:w="2518" w:type="dxa"/>
                  </w:tcPr>
                  <w:p w14:paraId="5942B347" w14:textId="77777777" w:rsidR="007E7472" w:rsidRPr="00A23CC7" w:rsidRDefault="00EC1269">
                    <w:pPr>
                      <w:rPr>
                        <w:rFonts w:asciiTheme="minorEastAsia" w:eastAsiaTheme="minorEastAsia" w:hAnsiTheme="minorEastAsia"/>
                        <w:spacing w:val="-20"/>
                      </w:rPr>
                    </w:pPr>
                    <w:r w:rsidRPr="00A23CC7">
                      <w:rPr>
                        <w:rFonts w:asciiTheme="minorEastAsia" w:eastAsiaTheme="minorEastAsia" w:hAnsiTheme="minorEastAsia" w:hint="eastAsia"/>
                        <w:spacing w:val="-20"/>
                      </w:rPr>
                      <w:t>分部间交易收入</w:t>
                    </w:r>
                  </w:p>
                </w:tc>
                <w:tc>
                  <w:tcPr>
                    <w:tcW w:w="1276" w:type="dxa"/>
                  </w:tcPr>
                  <w:p w14:paraId="6EE498A3"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6,298,097</w:t>
                    </w:r>
                  </w:p>
                </w:tc>
                <w:tc>
                  <w:tcPr>
                    <w:tcW w:w="992" w:type="dxa"/>
                  </w:tcPr>
                  <w:p w14:paraId="52C089FE" w14:textId="77777777" w:rsidR="007E7472" w:rsidRPr="00A23CC7" w:rsidRDefault="00C8327E">
                    <w:pPr>
                      <w:jc w:val="right"/>
                      <w:rPr>
                        <w:rFonts w:asciiTheme="minorEastAsia" w:eastAsiaTheme="minorEastAsia" w:hAnsiTheme="minorEastAsia"/>
                        <w:spacing w:val="-20"/>
                      </w:rPr>
                    </w:pPr>
                  </w:p>
                </w:tc>
                <w:tc>
                  <w:tcPr>
                    <w:tcW w:w="1701" w:type="dxa"/>
                  </w:tcPr>
                  <w:p w14:paraId="3F7ABAF4"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761,073</w:t>
                    </w:r>
                  </w:p>
                </w:tc>
                <w:tc>
                  <w:tcPr>
                    <w:tcW w:w="1418" w:type="dxa"/>
                  </w:tcPr>
                  <w:p w14:paraId="6262E8C6"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1,197,684</w:t>
                    </w:r>
                  </w:p>
                </w:tc>
                <w:tc>
                  <w:tcPr>
                    <w:tcW w:w="1134" w:type="dxa"/>
                  </w:tcPr>
                  <w:p w14:paraId="0788CE5F" w14:textId="77777777" w:rsidR="007E7472" w:rsidRPr="00A23CC7" w:rsidRDefault="00C8327E">
                    <w:pPr>
                      <w:jc w:val="right"/>
                      <w:rPr>
                        <w:rFonts w:asciiTheme="minorEastAsia" w:eastAsiaTheme="minorEastAsia" w:hAnsiTheme="minorEastAsia"/>
                        <w:spacing w:val="-20"/>
                      </w:rPr>
                    </w:pPr>
                  </w:p>
                </w:tc>
                <w:tc>
                  <w:tcPr>
                    <w:tcW w:w="1417" w:type="dxa"/>
                  </w:tcPr>
                  <w:p w14:paraId="2661CF35"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410,131</w:t>
                    </w:r>
                  </w:p>
                </w:tc>
                <w:tc>
                  <w:tcPr>
                    <w:tcW w:w="1134" w:type="dxa"/>
                  </w:tcPr>
                  <w:p w14:paraId="1156DCAE"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4,377,497</w:t>
                    </w:r>
                  </w:p>
                </w:tc>
                <w:tc>
                  <w:tcPr>
                    <w:tcW w:w="1276" w:type="dxa"/>
                  </w:tcPr>
                  <w:p w14:paraId="4C5CAA12"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13,044,482</w:t>
                    </w:r>
                  </w:p>
                </w:tc>
                <w:tc>
                  <w:tcPr>
                    <w:tcW w:w="1223" w:type="dxa"/>
                  </w:tcPr>
                  <w:p w14:paraId="19F54A7C" w14:textId="77777777" w:rsidR="007E7472" w:rsidRPr="00A23CC7" w:rsidRDefault="00C8327E">
                    <w:pPr>
                      <w:jc w:val="right"/>
                      <w:rPr>
                        <w:rFonts w:asciiTheme="minorEastAsia" w:eastAsiaTheme="minorEastAsia" w:hAnsiTheme="minorEastAsia"/>
                        <w:spacing w:val="-20"/>
                      </w:rPr>
                    </w:pPr>
                  </w:p>
                </w:tc>
              </w:tr>
              <w:tr w:rsidR="007E7472" w:rsidRPr="00A23CC7" w14:paraId="3B776D75" w14:textId="77777777" w:rsidTr="007E7472">
                <w:tc>
                  <w:tcPr>
                    <w:tcW w:w="2518" w:type="dxa"/>
                  </w:tcPr>
                  <w:p w14:paraId="4B5E31B8" w14:textId="77777777" w:rsidR="007E7472" w:rsidRPr="00A23CC7" w:rsidRDefault="00EC1269">
                    <w:pPr>
                      <w:rPr>
                        <w:rFonts w:asciiTheme="minorEastAsia" w:eastAsiaTheme="minorEastAsia" w:hAnsiTheme="minorEastAsia"/>
                        <w:b/>
                        <w:spacing w:val="-20"/>
                      </w:rPr>
                    </w:pPr>
                    <w:r w:rsidRPr="00A23CC7">
                      <w:rPr>
                        <w:rFonts w:asciiTheme="minorEastAsia" w:eastAsiaTheme="minorEastAsia" w:hAnsiTheme="minorEastAsia" w:hint="eastAsia"/>
                        <w:b/>
                        <w:spacing w:val="-20"/>
                      </w:rPr>
                      <w:t>营业成本及费用</w:t>
                    </w:r>
                  </w:p>
                </w:tc>
                <w:tc>
                  <w:tcPr>
                    <w:tcW w:w="1276" w:type="dxa"/>
                  </w:tcPr>
                  <w:p w14:paraId="77A64106"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36,501,643</w:t>
                    </w:r>
                  </w:p>
                </w:tc>
                <w:tc>
                  <w:tcPr>
                    <w:tcW w:w="992" w:type="dxa"/>
                  </w:tcPr>
                  <w:p w14:paraId="40197393"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121,378</w:t>
                    </w:r>
                  </w:p>
                </w:tc>
                <w:tc>
                  <w:tcPr>
                    <w:tcW w:w="1701" w:type="dxa"/>
                  </w:tcPr>
                  <w:p w14:paraId="2B739390"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12,375,656</w:t>
                    </w:r>
                  </w:p>
                </w:tc>
                <w:tc>
                  <w:tcPr>
                    <w:tcW w:w="1418" w:type="dxa"/>
                  </w:tcPr>
                  <w:p w14:paraId="0BF0C7E5"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1,547,766</w:t>
                    </w:r>
                  </w:p>
                </w:tc>
                <w:tc>
                  <w:tcPr>
                    <w:tcW w:w="1134" w:type="dxa"/>
                  </w:tcPr>
                  <w:p w14:paraId="2F3141BB"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22,237,689</w:t>
                    </w:r>
                  </w:p>
                </w:tc>
                <w:tc>
                  <w:tcPr>
                    <w:tcW w:w="1417" w:type="dxa"/>
                  </w:tcPr>
                  <w:p w14:paraId="0FB37CDA"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247,585</w:t>
                    </w:r>
                  </w:p>
                </w:tc>
                <w:tc>
                  <w:tcPr>
                    <w:tcW w:w="1134" w:type="dxa"/>
                  </w:tcPr>
                  <w:p w14:paraId="73C96978"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6,672,641</w:t>
                    </w:r>
                  </w:p>
                </w:tc>
                <w:tc>
                  <w:tcPr>
                    <w:tcW w:w="1276" w:type="dxa"/>
                  </w:tcPr>
                  <w:p w14:paraId="10E01C3B"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8,974,319</w:t>
                    </w:r>
                  </w:p>
                </w:tc>
                <w:tc>
                  <w:tcPr>
                    <w:tcW w:w="1223" w:type="dxa"/>
                  </w:tcPr>
                  <w:p w14:paraId="00A7ABD3"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70,730,039</w:t>
                    </w:r>
                  </w:p>
                </w:tc>
              </w:tr>
              <w:tr w:rsidR="007E7472" w:rsidRPr="00A23CC7" w14:paraId="59078548" w14:textId="77777777" w:rsidTr="007E7472">
                <w:tc>
                  <w:tcPr>
                    <w:tcW w:w="2518" w:type="dxa"/>
                  </w:tcPr>
                  <w:p w14:paraId="6FAEF6FF" w14:textId="77777777" w:rsidR="007E7472" w:rsidRPr="00A23CC7" w:rsidRDefault="00EC1269">
                    <w:pPr>
                      <w:rPr>
                        <w:rFonts w:asciiTheme="minorEastAsia" w:eastAsiaTheme="minorEastAsia" w:hAnsiTheme="minorEastAsia"/>
                        <w:spacing w:val="-20"/>
                      </w:rPr>
                    </w:pPr>
                    <w:r w:rsidRPr="00A23CC7">
                      <w:rPr>
                        <w:rFonts w:asciiTheme="minorEastAsia" w:eastAsiaTheme="minorEastAsia" w:hAnsiTheme="minorEastAsia" w:hint="eastAsia"/>
                        <w:spacing w:val="-20"/>
                      </w:rPr>
                      <w:t>对外销售成本</w:t>
                    </w:r>
                  </w:p>
                </w:tc>
                <w:tc>
                  <w:tcPr>
                    <w:tcW w:w="1276" w:type="dxa"/>
                  </w:tcPr>
                  <w:p w14:paraId="2646839B"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26,852,355</w:t>
                    </w:r>
                  </w:p>
                </w:tc>
                <w:tc>
                  <w:tcPr>
                    <w:tcW w:w="992" w:type="dxa"/>
                  </w:tcPr>
                  <w:p w14:paraId="7A33AB98"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126,395</w:t>
                    </w:r>
                  </w:p>
                </w:tc>
                <w:tc>
                  <w:tcPr>
                    <w:tcW w:w="1701" w:type="dxa"/>
                  </w:tcPr>
                  <w:p w14:paraId="2B4AE1B4"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9,109,051</w:t>
                    </w:r>
                  </w:p>
                </w:tc>
                <w:tc>
                  <w:tcPr>
                    <w:tcW w:w="1418" w:type="dxa"/>
                  </w:tcPr>
                  <w:p w14:paraId="72C1770D"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132,495</w:t>
                    </w:r>
                  </w:p>
                </w:tc>
                <w:tc>
                  <w:tcPr>
                    <w:tcW w:w="1134" w:type="dxa"/>
                  </w:tcPr>
                  <w:p w14:paraId="03012490"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22,198,254</w:t>
                    </w:r>
                  </w:p>
                </w:tc>
                <w:tc>
                  <w:tcPr>
                    <w:tcW w:w="1417" w:type="dxa"/>
                  </w:tcPr>
                  <w:p w14:paraId="5DE45F15"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111,731</w:t>
                    </w:r>
                  </w:p>
                </w:tc>
                <w:tc>
                  <w:tcPr>
                    <w:tcW w:w="1134" w:type="dxa"/>
                  </w:tcPr>
                  <w:p w14:paraId="1D20A05E"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2,339,255</w:t>
                    </w:r>
                  </w:p>
                </w:tc>
                <w:tc>
                  <w:tcPr>
                    <w:tcW w:w="1276" w:type="dxa"/>
                  </w:tcPr>
                  <w:p w14:paraId="07B50AAC" w14:textId="77777777" w:rsidR="007E7472" w:rsidRPr="00A23CC7" w:rsidRDefault="00C8327E">
                    <w:pPr>
                      <w:jc w:val="right"/>
                      <w:rPr>
                        <w:rFonts w:asciiTheme="minorEastAsia" w:eastAsiaTheme="minorEastAsia" w:hAnsiTheme="minorEastAsia"/>
                        <w:spacing w:val="-20"/>
                      </w:rPr>
                    </w:pPr>
                  </w:p>
                </w:tc>
                <w:tc>
                  <w:tcPr>
                    <w:tcW w:w="1223" w:type="dxa"/>
                  </w:tcPr>
                  <w:p w14:paraId="476717C4"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60,869,536</w:t>
                    </w:r>
                  </w:p>
                </w:tc>
              </w:tr>
              <w:tr w:rsidR="007E7472" w:rsidRPr="00A23CC7" w14:paraId="48EA5706" w14:textId="77777777" w:rsidTr="007E7472">
                <w:tc>
                  <w:tcPr>
                    <w:tcW w:w="2518" w:type="dxa"/>
                  </w:tcPr>
                  <w:p w14:paraId="1090F526" w14:textId="77777777" w:rsidR="007E7472" w:rsidRPr="00A23CC7" w:rsidRDefault="00EC1269">
                    <w:pPr>
                      <w:rPr>
                        <w:rFonts w:asciiTheme="minorEastAsia" w:eastAsiaTheme="minorEastAsia" w:hAnsiTheme="minorEastAsia"/>
                        <w:spacing w:val="-20"/>
                      </w:rPr>
                    </w:pPr>
                    <w:r w:rsidRPr="00A23CC7">
                      <w:rPr>
                        <w:rFonts w:asciiTheme="minorEastAsia" w:eastAsiaTheme="minorEastAsia" w:hAnsiTheme="minorEastAsia" w:hint="eastAsia"/>
                        <w:spacing w:val="-20"/>
                      </w:rPr>
                      <w:t>分部间销售成本</w:t>
                    </w:r>
                  </w:p>
                </w:tc>
                <w:tc>
                  <w:tcPr>
                    <w:tcW w:w="1276" w:type="dxa"/>
                  </w:tcPr>
                  <w:p w14:paraId="24196C0D"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5,071,095</w:t>
                    </w:r>
                  </w:p>
                </w:tc>
                <w:tc>
                  <w:tcPr>
                    <w:tcW w:w="992" w:type="dxa"/>
                  </w:tcPr>
                  <w:p w14:paraId="7E52FFDE" w14:textId="77777777" w:rsidR="007E7472" w:rsidRPr="00A23CC7" w:rsidRDefault="00C8327E">
                    <w:pPr>
                      <w:jc w:val="right"/>
                      <w:rPr>
                        <w:rFonts w:asciiTheme="minorEastAsia" w:eastAsiaTheme="minorEastAsia" w:hAnsiTheme="minorEastAsia"/>
                        <w:spacing w:val="-20"/>
                      </w:rPr>
                    </w:pPr>
                  </w:p>
                </w:tc>
                <w:tc>
                  <w:tcPr>
                    <w:tcW w:w="1701" w:type="dxa"/>
                  </w:tcPr>
                  <w:p w14:paraId="512EDCFC"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2,003,172</w:t>
                    </w:r>
                  </w:p>
                </w:tc>
                <w:tc>
                  <w:tcPr>
                    <w:tcW w:w="1418" w:type="dxa"/>
                  </w:tcPr>
                  <w:p w14:paraId="0DE09AC6"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1,193,153</w:t>
                    </w:r>
                  </w:p>
                </w:tc>
                <w:tc>
                  <w:tcPr>
                    <w:tcW w:w="1134" w:type="dxa"/>
                  </w:tcPr>
                  <w:p w14:paraId="7C9E4EA1" w14:textId="77777777" w:rsidR="007E7472" w:rsidRPr="00A23CC7" w:rsidRDefault="00C8327E">
                    <w:pPr>
                      <w:jc w:val="right"/>
                      <w:rPr>
                        <w:rFonts w:asciiTheme="minorEastAsia" w:eastAsiaTheme="minorEastAsia" w:hAnsiTheme="minorEastAsia"/>
                        <w:spacing w:val="-20"/>
                      </w:rPr>
                    </w:pPr>
                  </w:p>
                </w:tc>
                <w:tc>
                  <w:tcPr>
                    <w:tcW w:w="1417" w:type="dxa"/>
                  </w:tcPr>
                  <w:p w14:paraId="603B793D"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181,197</w:t>
                    </w:r>
                  </w:p>
                </w:tc>
                <w:tc>
                  <w:tcPr>
                    <w:tcW w:w="1134" w:type="dxa"/>
                  </w:tcPr>
                  <w:p w14:paraId="64A6F1A6"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4,184,851</w:t>
                    </w:r>
                  </w:p>
                </w:tc>
                <w:tc>
                  <w:tcPr>
                    <w:tcW w:w="1276" w:type="dxa"/>
                  </w:tcPr>
                  <w:p w14:paraId="73915AFF"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12,633,468</w:t>
                    </w:r>
                  </w:p>
                </w:tc>
                <w:tc>
                  <w:tcPr>
                    <w:tcW w:w="1223" w:type="dxa"/>
                  </w:tcPr>
                  <w:p w14:paraId="2A5CE5D8" w14:textId="77777777" w:rsidR="007E7472" w:rsidRPr="00A23CC7" w:rsidRDefault="00C8327E">
                    <w:pPr>
                      <w:jc w:val="right"/>
                      <w:rPr>
                        <w:rFonts w:asciiTheme="minorEastAsia" w:eastAsiaTheme="minorEastAsia" w:hAnsiTheme="minorEastAsia"/>
                        <w:spacing w:val="-20"/>
                      </w:rPr>
                    </w:pPr>
                  </w:p>
                </w:tc>
              </w:tr>
              <w:tr w:rsidR="007E7472" w:rsidRPr="00A23CC7" w14:paraId="669DE13E" w14:textId="77777777" w:rsidTr="007E7472">
                <w:tc>
                  <w:tcPr>
                    <w:tcW w:w="2518" w:type="dxa"/>
                  </w:tcPr>
                  <w:p w14:paraId="61196CED" w14:textId="77777777" w:rsidR="007E7472" w:rsidRPr="00A23CC7" w:rsidRDefault="00EC1269">
                    <w:pPr>
                      <w:rPr>
                        <w:rFonts w:asciiTheme="minorEastAsia" w:eastAsiaTheme="minorEastAsia" w:hAnsiTheme="minorEastAsia"/>
                        <w:spacing w:val="-20"/>
                      </w:rPr>
                    </w:pPr>
                    <w:r w:rsidRPr="00A23CC7">
                      <w:rPr>
                        <w:rFonts w:asciiTheme="minorEastAsia" w:eastAsiaTheme="minorEastAsia" w:hAnsiTheme="minorEastAsia" w:hint="eastAsia"/>
                        <w:spacing w:val="-20"/>
                      </w:rPr>
                      <w:t>期间费用及减值损失</w:t>
                    </w:r>
                  </w:p>
                </w:tc>
                <w:tc>
                  <w:tcPr>
                    <w:tcW w:w="1276" w:type="dxa"/>
                  </w:tcPr>
                  <w:p w14:paraId="2774A195"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4,578,193</w:t>
                    </w:r>
                  </w:p>
                </w:tc>
                <w:tc>
                  <w:tcPr>
                    <w:tcW w:w="992" w:type="dxa"/>
                  </w:tcPr>
                  <w:p w14:paraId="406790AB"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-5,017</w:t>
                    </w:r>
                  </w:p>
                </w:tc>
                <w:tc>
                  <w:tcPr>
                    <w:tcW w:w="1701" w:type="dxa"/>
                  </w:tcPr>
                  <w:p w14:paraId="6025CB28"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1,263,433</w:t>
                    </w:r>
                  </w:p>
                </w:tc>
                <w:tc>
                  <w:tcPr>
                    <w:tcW w:w="1418" w:type="dxa"/>
                  </w:tcPr>
                  <w:p w14:paraId="24EFB1F9"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222,118</w:t>
                    </w:r>
                  </w:p>
                </w:tc>
                <w:tc>
                  <w:tcPr>
                    <w:tcW w:w="1134" w:type="dxa"/>
                  </w:tcPr>
                  <w:p w14:paraId="1A8B5B47"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39,435</w:t>
                    </w:r>
                  </w:p>
                </w:tc>
                <w:tc>
                  <w:tcPr>
                    <w:tcW w:w="1417" w:type="dxa"/>
                  </w:tcPr>
                  <w:p w14:paraId="6F3960A6"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-45,343</w:t>
                    </w:r>
                  </w:p>
                </w:tc>
                <w:tc>
                  <w:tcPr>
                    <w:tcW w:w="1134" w:type="dxa"/>
                  </w:tcPr>
                  <w:p w14:paraId="073DA071"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148,535</w:t>
                    </w:r>
                  </w:p>
                </w:tc>
                <w:tc>
                  <w:tcPr>
                    <w:tcW w:w="1276" w:type="dxa"/>
                  </w:tcPr>
                  <w:p w14:paraId="6240C453"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-3,659,149</w:t>
                    </w:r>
                  </w:p>
                </w:tc>
                <w:tc>
                  <w:tcPr>
                    <w:tcW w:w="1223" w:type="dxa"/>
                  </w:tcPr>
                  <w:p w14:paraId="69B8839C"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9,860,503</w:t>
                    </w:r>
                  </w:p>
                </w:tc>
              </w:tr>
              <w:tr w:rsidR="007E7472" w:rsidRPr="00A23CC7" w14:paraId="3A95D8E9" w14:textId="77777777" w:rsidTr="007E7472">
                <w:tc>
                  <w:tcPr>
                    <w:tcW w:w="2518" w:type="dxa"/>
                  </w:tcPr>
                  <w:p w14:paraId="51D7051A" w14:textId="77777777" w:rsidR="007E7472" w:rsidRPr="00A23CC7" w:rsidRDefault="00EC1269">
                    <w:pPr>
                      <w:rPr>
                        <w:rFonts w:asciiTheme="minorEastAsia" w:eastAsiaTheme="minorEastAsia" w:hAnsiTheme="minorEastAsia"/>
                        <w:b/>
                        <w:spacing w:val="-20"/>
                      </w:rPr>
                    </w:pPr>
                    <w:r w:rsidRPr="00A23CC7">
                      <w:rPr>
                        <w:rFonts w:asciiTheme="minorEastAsia" w:eastAsiaTheme="minorEastAsia" w:hAnsiTheme="minorEastAsia" w:hint="eastAsia"/>
                        <w:b/>
                        <w:spacing w:val="-20"/>
                      </w:rPr>
                      <w:t>营业利润</w:t>
                    </w:r>
                    <w:r w:rsidRPr="00A23CC7">
                      <w:rPr>
                        <w:rFonts w:asciiTheme="minorEastAsia" w:eastAsiaTheme="minorEastAsia" w:hAnsiTheme="minorEastAsia"/>
                        <w:b/>
                        <w:spacing w:val="-20"/>
                      </w:rPr>
                      <w:t>(亏损)</w:t>
                    </w:r>
                  </w:p>
                </w:tc>
                <w:tc>
                  <w:tcPr>
                    <w:tcW w:w="1276" w:type="dxa"/>
                  </w:tcPr>
                  <w:p w14:paraId="40EBA0C5"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31,078,402</w:t>
                    </w:r>
                  </w:p>
                </w:tc>
                <w:tc>
                  <w:tcPr>
                    <w:tcW w:w="992" w:type="dxa"/>
                  </w:tcPr>
                  <w:p w14:paraId="2A8375BE"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67,811</w:t>
                    </w:r>
                  </w:p>
                </w:tc>
                <w:tc>
                  <w:tcPr>
                    <w:tcW w:w="1701" w:type="dxa"/>
                  </w:tcPr>
                  <w:p w14:paraId="1048BB24"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1,780,952</w:t>
                    </w:r>
                  </w:p>
                </w:tc>
                <w:tc>
                  <w:tcPr>
                    <w:tcW w:w="1418" w:type="dxa"/>
                  </w:tcPr>
                  <w:p w14:paraId="514001A2"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-24,276</w:t>
                    </w:r>
                  </w:p>
                </w:tc>
                <w:tc>
                  <w:tcPr>
                    <w:tcW w:w="1134" w:type="dxa"/>
                  </w:tcPr>
                  <w:p w14:paraId="1F8B8E7A"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28,227</w:t>
                    </w:r>
                  </w:p>
                </w:tc>
                <w:tc>
                  <w:tcPr>
                    <w:tcW w:w="1417" w:type="dxa"/>
                  </w:tcPr>
                  <w:p w14:paraId="47E5A401"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652,672</w:t>
                    </w:r>
                  </w:p>
                </w:tc>
                <w:tc>
                  <w:tcPr>
                    <w:tcW w:w="1134" w:type="dxa"/>
                  </w:tcPr>
                  <w:p w14:paraId="4FD1915B"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41,534</w:t>
                    </w:r>
                  </w:p>
                </w:tc>
                <w:tc>
                  <w:tcPr>
                    <w:tcW w:w="1276" w:type="dxa"/>
                  </w:tcPr>
                  <w:p w14:paraId="35C2257A"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4,070,163</w:t>
                    </w:r>
                  </w:p>
                </w:tc>
                <w:tc>
                  <w:tcPr>
                    <w:tcW w:w="1223" w:type="dxa"/>
                  </w:tcPr>
                  <w:p w14:paraId="742495DB"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29,555,159</w:t>
                    </w:r>
                  </w:p>
                </w:tc>
              </w:tr>
              <w:tr w:rsidR="007E7472" w:rsidRPr="00A23CC7" w14:paraId="61AF5E4A" w14:textId="77777777" w:rsidTr="007E7472">
                <w:tc>
                  <w:tcPr>
                    <w:tcW w:w="2518" w:type="dxa"/>
                  </w:tcPr>
                  <w:p w14:paraId="21AF4148" w14:textId="77777777" w:rsidR="007E7472" w:rsidRPr="00A23CC7" w:rsidRDefault="00EC1269">
                    <w:pPr>
                      <w:rPr>
                        <w:rFonts w:asciiTheme="minorEastAsia" w:eastAsiaTheme="minorEastAsia" w:hAnsiTheme="minorEastAsia"/>
                        <w:spacing w:val="-20"/>
                      </w:rPr>
                    </w:pPr>
                    <w:r w:rsidRPr="00A23CC7">
                      <w:rPr>
                        <w:rFonts w:asciiTheme="minorEastAsia" w:eastAsiaTheme="minorEastAsia" w:hAnsiTheme="minorEastAsia" w:hint="eastAsia"/>
                        <w:spacing w:val="-20"/>
                      </w:rPr>
                      <w:t>资产总额</w:t>
                    </w:r>
                  </w:p>
                </w:tc>
                <w:tc>
                  <w:tcPr>
                    <w:tcW w:w="1276" w:type="dxa"/>
                  </w:tcPr>
                  <w:p w14:paraId="5B682A71"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339,813,648</w:t>
                    </w:r>
                  </w:p>
                </w:tc>
                <w:tc>
                  <w:tcPr>
                    <w:tcW w:w="992" w:type="dxa"/>
                  </w:tcPr>
                  <w:p w14:paraId="46310F3C"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1,555,135</w:t>
                    </w:r>
                  </w:p>
                </w:tc>
                <w:tc>
                  <w:tcPr>
                    <w:tcW w:w="1701" w:type="dxa"/>
                  </w:tcPr>
                  <w:p w14:paraId="632256FF"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53,562,338</w:t>
                    </w:r>
                  </w:p>
                </w:tc>
                <w:tc>
                  <w:tcPr>
                    <w:tcW w:w="1418" w:type="dxa"/>
                  </w:tcPr>
                  <w:p w14:paraId="37706B8C"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3,964,720</w:t>
                    </w:r>
                  </w:p>
                </w:tc>
                <w:tc>
                  <w:tcPr>
                    <w:tcW w:w="1134" w:type="dxa"/>
                  </w:tcPr>
                  <w:p w14:paraId="6EDABDD0"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11,187,457</w:t>
                    </w:r>
                  </w:p>
                </w:tc>
                <w:tc>
                  <w:tcPr>
                    <w:tcW w:w="1417" w:type="dxa"/>
                  </w:tcPr>
                  <w:p w14:paraId="58B0BA3D"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62,904,022</w:t>
                    </w:r>
                  </w:p>
                </w:tc>
                <w:tc>
                  <w:tcPr>
                    <w:tcW w:w="1134" w:type="dxa"/>
                  </w:tcPr>
                  <w:p w14:paraId="0EE5A2BC"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27,861,639</w:t>
                    </w:r>
                  </w:p>
                </w:tc>
                <w:tc>
                  <w:tcPr>
                    <w:tcW w:w="1276" w:type="dxa"/>
                  </w:tcPr>
                  <w:p w14:paraId="1AA0C158"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198,553,146</w:t>
                    </w:r>
                  </w:p>
                </w:tc>
                <w:tc>
                  <w:tcPr>
                    <w:tcW w:w="1223" w:type="dxa"/>
                  </w:tcPr>
                  <w:p w14:paraId="2426058B"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302,295,813</w:t>
                    </w:r>
                  </w:p>
                </w:tc>
              </w:tr>
              <w:tr w:rsidR="007E7472" w:rsidRPr="00A23CC7" w14:paraId="03BF3826" w14:textId="77777777" w:rsidTr="007E7472">
                <w:tc>
                  <w:tcPr>
                    <w:tcW w:w="2518" w:type="dxa"/>
                  </w:tcPr>
                  <w:p w14:paraId="1FC130F3" w14:textId="77777777" w:rsidR="007E7472" w:rsidRPr="00A23CC7" w:rsidRDefault="00EC1269">
                    <w:pPr>
                      <w:rPr>
                        <w:rFonts w:asciiTheme="minorEastAsia" w:eastAsiaTheme="minorEastAsia" w:hAnsiTheme="minorEastAsia"/>
                        <w:spacing w:val="-20"/>
                      </w:rPr>
                    </w:pPr>
                    <w:r w:rsidRPr="00A23CC7">
                      <w:rPr>
                        <w:rFonts w:asciiTheme="minorEastAsia" w:eastAsiaTheme="minorEastAsia" w:hAnsiTheme="minorEastAsia" w:hint="eastAsia"/>
                        <w:spacing w:val="-20"/>
                      </w:rPr>
                      <w:t>负债总额</w:t>
                    </w:r>
                  </w:p>
                </w:tc>
                <w:tc>
                  <w:tcPr>
                    <w:tcW w:w="1276" w:type="dxa"/>
                  </w:tcPr>
                  <w:p w14:paraId="517F9B9D"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206,063,117</w:t>
                    </w:r>
                  </w:p>
                </w:tc>
                <w:tc>
                  <w:tcPr>
                    <w:tcW w:w="992" w:type="dxa"/>
                  </w:tcPr>
                  <w:p w14:paraId="2781BEDD"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1,049,389</w:t>
                    </w:r>
                  </w:p>
                </w:tc>
                <w:tc>
                  <w:tcPr>
                    <w:tcW w:w="1701" w:type="dxa"/>
                  </w:tcPr>
                  <w:p w14:paraId="3783DC2F"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24,785,104</w:t>
                    </w:r>
                  </w:p>
                </w:tc>
                <w:tc>
                  <w:tcPr>
                    <w:tcW w:w="1418" w:type="dxa"/>
                  </w:tcPr>
                  <w:p w14:paraId="58A2BDE1"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2,385,472</w:t>
                    </w:r>
                  </w:p>
                </w:tc>
                <w:tc>
                  <w:tcPr>
                    <w:tcW w:w="1134" w:type="dxa"/>
                  </w:tcPr>
                  <w:p w14:paraId="765B5387"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9,592,984</w:t>
                    </w:r>
                  </w:p>
                </w:tc>
                <w:tc>
                  <w:tcPr>
                    <w:tcW w:w="1417" w:type="dxa"/>
                  </w:tcPr>
                  <w:p w14:paraId="28A04660"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42,643,468</w:t>
                    </w:r>
                  </w:p>
                </w:tc>
                <w:tc>
                  <w:tcPr>
                    <w:tcW w:w="1134" w:type="dxa"/>
                  </w:tcPr>
                  <w:p w14:paraId="27B88CBF"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16,905,860</w:t>
                    </w:r>
                  </w:p>
                </w:tc>
                <w:tc>
                  <w:tcPr>
                    <w:tcW w:w="1276" w:type="dxa"/>
                  </w:tcPr>
                  <w:p w14:paraId="6DFC33E1"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113,282,233</w:t>
                    </w:r>
                  </w:p>
                </w:tc>
                <w:tc>
                  <w:tcPr>
                    <w:tcW w:w="1223" w:type="dxa"/>
                  </w:tcPr>
                  <w:p w14:paraId="7F5F3D4A"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190,143,161</w:t>
                    </w:r>
                  </w:p>
                </w:tc>
              </w:tr>
              <w:tr w:rsidR="007E7472" w:rsidRPr="00A23CC7" w14:paraId="4EA085E8" w14:textId="77777777" w:rsidTr="007E7472">
                <w:tc>
                  <w:tcPr>
                    <w:tcW w:w="2518" w:type="dxa"/>
                  </w:tcPr>
                  <w:p w14:paraId="59D9AB72" w14:textId="77777777" w:rsidR="007E7472" w:rsidRPr="00A23CC7" w:rsidRDefault="00EC1269">
                    <w:pPr>
                      <w:rPr>
                        <w:rFonts w:asciiTheme="minorEastAsia" w:eastAsiaTheme="minorEastAsia" w:hAnsiTheme="minorEastAsia"/>
                        <w:b/>
                        <w:spacing w:val="-20"/>
                      </w:rPr>
                    </w:pPr>
                    <w:r w:rsidRPr="00A23CC7">
                      <w:rPr>
                        <w:rFonts w:asciiTheme="minorEastAsia" w:eastAsiaTheme="minorEastAsia" w:hAnsiTheme="minorEastAsia" w:hint="eastAsia"/>
                        <w:b/>
                        <w:spacing w:val="-20"/>
                      </w:rPr>
                      <w:t>补充信息</w:t>
                    </w:r>
                  </w:p>
                </w:tc>
                <w:tc>
                  <w:tcPr>
                    <w:tcW w:w="1276" w:type="dxa"/>
                  </w:tcPr>
                  <w:p w14:paraId="0E93239C" w14:textId="77777777" w:rsidR="007E7472" w:rsidRPr="00A23CC7" w:rsidRDefault="00C8327E">
                    <w:pPr>
                      <w:jc w:val="right"/>
                      <w:rPr>
                        <w:rFonts w:asciiTheme="minorEastAsia" w:eastAsiaTheme="minorEastAsia" w:hAnsiTheme="minorEastAsia"/>
                        <w:spacing w:val="-20"/>
                      </w:rPr>
                    </w:pPr>
                  </w:p>
                </w:tc>
                <w:tc>
                  <w:tcPr>
                    <w:tcW w:w="992" w:type="dxa"/>
                  </w:tcPr>
                  <w:p w14:paraId="3DC9E06D" w14:textId="77777777" w:rsidR="007E7472" w:rsidRPr="00A23CC7" w:rsidRDefault="00C8327E">
                    <w:pPr>
                      <w:jc w:val="right"/>
                      <w:rPr>
                        <w:rFonts w:asciiTheme="minorEastAsia" w:eastAsiaTheme="minorEastAsia" w:hAnsiTheme="minorEastAsia"/>
                        <w:spacing w:val="-20"/>
                      </w:rPr>
                    </w:pPr>
                  </w:p>
                </w:tc>
                <w:tc>
                  <w:tcPr>
                    <w:tcW w:w="1701" w:type="dxa"/>
                  </w:tcPr>
                  <w:p w14:paraId="04B39DC0" w14:textId="77777777" w:rsidR="007E7472" w:rsidRPr="00A23CC7" w:rsidRDefault="00C8327E">
                    <w:pPr>
                      <w:jc w:val="right"/>
                      <w:rPr>
                        <w:rFonts w:asciiTheme="minorEastAsia" w:eastAsiaTheme="minorEastAsia" w:hAnsiTheme="minorEastAsia"/>
                        <w:spacing w:val="-20"/>
                      </w:rPr>
                    </w:pPr>
                  </w:p>
                </w:tc>
                <w:tc>
                  <w:tcPr>
                    <w:tcW w:w="1418" w:type="dxa"/>
                  </w:tcPr>
                  <w:p w14:paraId="79B794A8" w14:textId="77777777" w:rsidR="007E7472" w:rsidRPr="00A23CC7" w:rsidRDefault="00C8327E">
                    <w:pPr>
                      <w:jc w:val="right"/>
                      <w:rPr>
                        <w:rFonts w:asciiTheme="minorEastAsia" w:eastAsiaTheme="minorEastAsia" w:hAnsiTheme="minorEastAsia"/>
                        <w:spacing w:val="-20"/>
                      </w:rPr>
                    </w:pPr>
                  </w:p>
                </w:tc>
                <w:tc>
                  <w:tcPr>
                    <w:tcW w:w="1134" w:type="dxa"/>
                  </w:tcPr>
                  <w:p w14:paraId="12CEDCEE" w14:textId="77777777" w:rsidR="007E7472" w:rsidRPr="00A23CC7" w:rsidRDefault="00C8327E">
                    <w:pPr>
                      <w:jc w:val="right"/>
                      <w:rPr>
                        <w:rFonts w:asciiTheme="minorEastAsia" w:eastAsiaTheme="minorEastAsia" w:hAnsiTheme="minorEastAsia"/>
                        <w:spacing w:val="-20"/>
                      </w:rPr>
                    </w:pPr>
                  </w:p>
                </w:tc>
                <w:tc>
                  <w:tcPr>
                    <w:tcW w:w="1417" w:type="dxa"/>
                  </w:tcPr>
                  <w:p w14:paraId="24FE5F85" w14:textId="77777777" w:rsidR="007E7472" w:rsidRPr="00A23CC7" w:rsidRDefault="00C8327E">
                    <w:pPr>
                      <w:jc w:val="right"/>
                      <w:rPr>
                        <w:rFonts w:asciiTheme="minorEastAsia" w:eastAsiaTheme="minorEastAsia" w:hAnsiTheme="minorEastAsia"/>
                        <w:spacing w:val="-20"/>
                      </w:rPr>
                    </w:pPr>
                  </w:p>
                </w:tc>
                <w:tc>
                  <w:tcPr>
                    <w:tcW w:w="1134" w:type="dxa"/>
                  </w:tcPr>
                  <w:p w14:paraId="4DA3289D" w14:textId="77777777" w:rsidR="007E7472" w:rsidRPr="00A23CC7" w:rsidRDefault="00C8327E">
                    <w:pPr>
                      <w:jc w:val="right"/>
                      <w:rPr>
                        <w:rFonts w:asciiTheme="minorEastAsia" w:eastAsiaTheme="minorEastAsia" w:hAnsiTheme="minorEastAsia"/>
                        <w:spacing w:val="-20"/>
                      </w:rPr>
                    </w:pPr>
                  </w:p>
                </w:tc>
                <w:tc>
                  <w:tcPr>
                    <w:tcW w:w="1276" w:type="dxa"/>
                  </w:tcPr>
                  <w:p w14:paraId="0759EAD3" w14:textId="77777777" w:rsidR="007E7472" w:rsidRPr="00A23CC7" w:rsidRDefault="00C8327E">
                    <w:pPr>
                      <w:jc w:val="right"/>
                      <w:rPr>
                        <w:rFonts w:asciiTheme="minorEastAsia" w:eastAsiaTheme="minorEastAsia" w:hAnsiTheme="minorEastAsia"/>
                        <w:spacing w:val="-20"/>
                      </w:rPr>
                    </w:pPr>
                  </w:p>
                </w:tc>
                <w:tc>
                  <w:tcPr>
                    <w:tcW w:w="1223" w:type="dxa"/>
                  </w:tcPr>
                  <w:p w14:paraId="1F9267B0" w14:textId="77777777" w:rsidR="007E7472" w:rsidRPr="00A23CC7" w:rsidRDefault="00C8327E">
                    <w:pPr>
                      <w:jc w:val="right"/>
                      <w:rPr>
                        <w:rFonts w:asciiTheme="minorEastAsia" w:eastAsiaTheme="minorEastAsia" w:hAnsiTheme="minorEastAsia"/>
                        <w:spacing w:val="-20"/>
                      </w:rPr>
                    </w:pPr>
                  </w:p>
                </w:tc>
              </w:tr>
              <w:tr w:rsidR="007E7472" w:rsidRPr="00A23CC7" w14:paraId="0DC4E383" w14:textId="77777777" w:rsidTr="007E7472">
                <w:tc>
                  <w:tcPr>
                    <w:tcW w:w="2518" w:type="dxa"/>
                  </w:tcPr>
                  <w:p w14:paraId="7F3DED3E" w14:textId="77777777" w:rsidR="007E7472" w:rsidRPr="00A23CC7" w:rsidRDefault="00EC1269">
                    <w:pPr>
                      <w:rPr>
                        <w:rFonts w:asciiTheme="minorEastAsia" w:eastAsiaTheme="minorEastAsia" w:hAnsiTheme="minorEastAsia"/>
                        <w:spacing w:val="-20"/>
                      </w:rPr>
                    </w:pPr>
                    <w:r w:rsidRPr="00A23CC7">
                      <w:rPr>
                        <w:rFonts w:asciiTheme="minorEastAsia" w:eastAsiaTheme="minorEastAsia" w:hAnsiTheme="minorEastAsia" w:hint="eastAsia"/>
                        <w:spacing w:val="-20"/>
                      </w:rPr>
                      <w:t>折旧和摊销费用</w:t>
                    </w:r>
                  </w:p>
                </w:tc>
                <w:tc>
                  <w:tcPr>
                    <w:tcW w:w="1276" w:type="dxa"/>
                  </w:tcPr>
                  <w:p w14:paraId="05C36D2C"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4,050,362</w:t>
                    </w:r>
                  </w:p>
                </w:tc>
                <w:tc>
                  <w:tcPr>
                    <w:tcW w:w="992" w:type="dxa"/>
                  </w:tcPr>
                  <w:p w14:paraId="353FD806"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7,805</w:t>
                    </w:r>
                  </w:p>
                </w:tc>
                <w:tc>
                  <w:tcPr>
                    <w:tcW w:w="1701" w:type="dxa"/>
                  </w:tcPr>
                  <w:p w14:paraId="6D4F2A01"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958,112</w:t>
                    </w:r>
                  </w:p>
                </w:tc>
                <w:tc>
                  <w:tcPr>
                    <w:tcW w:w="1418" w:type="dxa"/>
                  </w:tcPr>
                  <w:p w14:paraId="110B61AD"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128,603</w:t>
                    </w:r>
                  </w:p>
                </w:tc>
                <w:tc>
                  <w:tcPr>
                    <w:tcW w:w="1134" w:type="dxa"/>
                  </w:tcPr>
                  <w:p w14:paraId="7CAEE051"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2,516</w:t>
                    </w:r>
                  </w:p>
                </w:tc>
                <w:tc>
                  <w:tcPr>
                    <w:tcW w:w="1417" w:type="dxa"/>
                  </w:tcPr>
                  <w:p w14:paraId="5BE085A6"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9,268</w:t>
                    </w:r>
                  </w:p>
                </w:tc>
                <w:tc>
                  <w:tcPr>
                    <w:tcW w:w="1134" w:type="dxa"/>
                  </w:tcPr>
                  <w:p w14:paraId="4F7425D1"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214,931</w:t>
                    </w:r>
                  </w:p>
                </w:tc>
                <w:tc>
                  <w:tcPr>
                    <w:tcW w:w="1276" w:type="dxa"/>
                  </w:tcPr>
                  <w:p w14:paraId="35DBAE13" w14:textId="77777777" w:rsidR="007E7472" w:rsidRPr="00A23CC7" w:rsidRDefault="00C8327E">
                    <w:pPr>
                      <w:jc w:val="right"/>
                      <w:rPr>
                        <w:rFonts w:asciiTheme="minorEastAsia" w:eastAsiaTheme="minorEastAsia" w:hAnsiTheme="minorEastAsia"/>
                        <w:spacing w:val="-20"/>
                      </w:rPr>
                    </w:pPr>
                  </w:p>
                </w:tc>
                <w:tc>
                  <w:tcPr>
                    <w:tcW w:w="1223" w:type="dxa"/>
                  </w:tcPr>
                  <w:p w14:paraId="47B1DF00"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5,371,597</w:t>
                    </w:r>
                  </w:p>
                </w:tc>
              </w:tr>
              <w:tr w:rsidR="007E7472" w:rsidRPr="00A23CC7" w14:paraId="4C0DA888" w14:textId="77777777" w:rsidTr="007E7472">
                <w:tc>
                  <w:tcPr>
                    <w:tcW w:w="2518" w:type="dxa"/>
                  </w:tcPr>
                  <w:p w14:paraId="5558CA44" w14:textId="77777777" w:rsidR="007E7472" w:rsidRPr="00A23CC7" w:rsidRDefault="00EC1269">
                    <w:pPr>
                      <w:rPr>
                        <w:rFonts w:asciiTheme="minorEastAsia" w:eastAsiaTheme="minorEastAsia" w:hAnsiTheme="minorEastAsia"/>
                        <w:spacing w:val="-20"/>
                      </w:rPr>
                    </w:pPr>
                    <w:r w:rsidRPr="00A23CC7">
                      <w:rPr>
                        <w:rFonts w:asciiTheme="minorEastAsia" w:eastAsiaTheme="minorEastAsia" w:hAnsiTheme="minorEastAsia" w:hint="eastAsia"/>
                        <w:spacing w:val="-20"/>
                      </w:rPr>
                      <w:t>折旧和摊销以外的非现金费用</w:t>
                    </w:r>
                  </w:p>
                </w:tc>
                <w:tc>
                  <w:tcPr>
                    <w:tcW w:w="1276" w:type="dxa"/>
                  </w:tcPr>
                  <w:p w14:paraId="4A547CF3"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-2,260</w:t>
                    </w:r>
                  </w:p>
                </w:tc>
                <w:tc>
                  <w:tcPr>
                    <w:tcW w:w="992" w:type="dxa"/>
                  </w:tcPr>
                  <w:p w14:paraId="264A65D9"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-8</w:t>
                    </w:r>
                  </w:p>
                </w:tc>
                <w:tc>
                  <w:tcPr>
                    <w:tcW w:w="1701" w:type="dxa"/>
                  </w:tcPr>
                  <w:p w14:paraId="0F31FB12"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-182</w:t>
                    </w:r>
                  </w:p>
                </w:tc>
                <w:tc>
                  <w:tcPr>
                    <w:tcW w:w="1418" w:type="dxa"/>
                  </w:tcPr>
                  <w:p w14:paraId="0B798EB9"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2,546</w:t>
                    </w:r>
                  </w:p>
                </w:tc>
                <w:tc>
                  <w:tcPr>
                    <w:tcW w:w="1134" w:type="dxa"/>
                  </w:tcPr>
                  <w:p w14:paraId="516516FD" w14:textId="77777777" w:rsidR="007E7472" w:rsidRPr="00A23CC7" w:rsidRDefault="00C8327E">
                    <w:pPr>
                      <w:jc w:val="right"/>
                      <w:rPr>
                        <w:rFonts w:asciiTheme="minorEastAsia" w:eastAsiaTheme="minorEastAsia" w:hAnsiTheme="minorEastAsia"/>
                        <w:spacing w:val="-20"/>
                      </w:rPr>
                    </w:pPr>
                  </w:p>
                </w:tc>
                <w:tc>
                  <w:tcPr>
                    <w:tcW w:w="1417" w:type="dxa"/>
                  </w:tcPr>
                  <w:p w14:paraId="2E2FC233"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-919</w:t>
                    </w:r>
                  </w:p>
                </w:tc>
                <w:tc>
                  <w:tcPr>
                    <w:tcW w:w="1134" w:type="dxa"/>
                  </w:tcPr>
                  <w:p w14:paraId="7939F3A5"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-959</w:t>
                    </w:r>
                  </w:p>
                </w:tc>
                <w:tc>
                  <w:tcPr>
                    <w:tcW w:w="1276" w:type="dxa"/>
                  </w:tcPr>
                  <w:p w14:paraId="3F44E7F8" w14:textId="77777777" w:rsidR="007E7472" w:rsidRPr="00A23CC7" w:rsidRDefault="00C8327E">
                    <w:pPr>
                      <w:jc w:val="right"/>
                      <w:rPr>
                        <w:rFonts w:asciiTheme="minorEastAsia" w:eastAsiaTheme="minorEastAsia" w:hAnsiTheme="minorEastAsia"/>
                        <w:spacing w:val="-20"/>
                      </w:rPr>
                    </w:pPr>
                  </w:p>
                </w:tc>
                <w:tc>
                  <w:tcPr>
                    <w:tcW w:w="1223" w:type="dxa"/>
                  </w:tcPr>
                  <w:p w14:paraId="5183E5A4"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-1,782</w:t>
                    </w:r>
                  </w:p>
                </w:tc>
              </w:tr>
              <w:tr w:rsidR="007E7472" w:rsidRPr="00A23CC7" w14:paraId="678B9BA5" w14:textId="77777777" w:rsidTr="007E7472">
                <w:tc>
                  <w:tcPr>
                    <w:tcW w:w="2518" w:type="dxa"/>
                  </w:tcPr>
                  <w:p w14:paraId="43074F16" w14:textId="77777777" w:rsidR="007E7472" w:rsidRPr="00A23CC7" w:rsidRDefault="00EC1269">
                    <w:pPr>
                      <w:rPr>
                        <w:rFonts w:asciiTheme="minorEastAsia" w:eastAsiaTheme="minorEastAsia" w:hAnsiTheme="minorEastAsia"/>
                        <w:spacing w:val="-20"/>
                      </w:rPr>
                    </w:pPr>
                    <w:r w:rsidRPr="00A23CC7">
                      <w:rPr>
                        <w:rFonts w:asciiTheme="minorEastAsia" w:eastAsiaTheme="minorEastAsia" w:hAnsiTheme="minorEastAsia" w:hint="eastAsia"/>
                        <w:spacing w:val="-20"/>
                      </w:rPr>
                      <w:t>资本性支出</w:t>
                    </w:r>
                  </w:p>
                </w:tc>
                <w:tc>
                  <w:tcPr>
                    <w:tcW w:w="1276" w:type="dxa"/>
                  </w:tcPr>
                  <w:p w14:paraId="0A71C521"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2,357,776</w:t>
                    </w:r>
                  </w:p>
                </w:tc>
                <w:tc>
                  <w:tcPr>
                    <w:tcW w:w="992" w:type="dxa"/>
                  </w:tcPr>
                  <w:p w14:paraId="49A43710"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10,287</w:t>
                    </w:r>
                  </w:p>
                </w:tc>
                <w:tc>
                  <w:tcPr>
                    <w:tcW w:w="1701" w:type="dxa"/>
                  </w:tcPr>
                  <w:p w14:paraId="3BE143DE"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236,666</w:t>
                    </w:r>
                  </w:p>
                </w:tc>
                <w:tc>
                  <w:tcPr>
                    <w:tcW w:w="1418" w:type="dxa"/>
                  </w:tcPr>
                  <w:p w14:paraId="4BF57A6F"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416</w:t>
                    </w:r>
                  </w:p>
                </w:tc>
                <w:tc>
                  <w:tcPr>
                    <w:tcW w:w="1134" w:type="dxa"/>
                  </w:tcPr>
                  <w:p w14:paraId="2366C58C"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6,414</w:t>
                    </w:r>
                  </w:p>
                </w:tc>
                <w:tc>
                  <w:tcPr>
                    <w:tcW w:w="1417" w:type="dxa"/>
                  </w:tcPr>
                  <w:p w14:paraId="38B561CE"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1,381,972</w:t>
                    </w:r>
                  </w:p>
                </w:tc>
                <w:tc>
                  <w:tcPr>
                    <w:tcW w:w="1134" w:type="dxa"/>
                  </w:tcPr>
                  <w:p w14:paraId="2175DC6D"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229,288</w:t>
                    </w:r>
                  </w:p>
                </w:tc>
                <w:tc>
                  <w:tcPr>
                    <w:tcW w:w="1276" w:type="dxa"/>
                  </w:tcPr>
                  <w:p w14:paraId="41960B1A" w14:textId="77777777" w:rsidR="007E7472" w:rsidRPr="00A23CC7" w:rsidRDefault="00C8327E">
                    <w:pPr>
                      <w:jc w:val="right"/>
                      <w:rPr>
                        <w:rFonts w:asciiTheme="minorEastAsia" w:eastAsiaTheme="minorEastAsia" w:hAnsiTheme="minorEastAsia"/>
                        <w:spacing w:val="-20"/>
                      </w:rPr>
                    </w:pPr>
                  </w:p>
                </w:tc>
                <w:tc>
                  <w:tcPr>
                    <w:tcW w:w="1223" w:type="dxa"/>
                  </w:tcPr>
                  <w:p w14:paraId="3434C58E" w14:textId="77777777" w:rsidR="007E7472" w:rsidRPr="00A23CC7" w:rsidRDefault="00EC1269">
                    <w:pPr>
                      <w:jc w:val="right"/>
                      <w:rPr>
                        <w:rFonts w:asciiTheme="minorEastAsia" w:eastAsiaTheme="minorEastAsia" w:hAnsiTheme="minorEastAsia"/>
                        <w:spacing w:val="-20"/>
                      </w:rPr>
                    </w:pPr>
                    <w:r w:rsidRPr="00A23CC7">
                      <w:rPr>
                        <w:rFonts w:asciiTheme="minorEastAsia" w:eastAsiaTheme="minorEastAsia" w:hAnsiTheme="minorEastAsia"/>
                        <w:spacing w:val="-20"/>
                      </w:rPr>
                      <w:t>4,222,819</w:t>
                    </w:r>
                  </w:p>
                </w:tc>
              </w:tr>
            </w:tbl>
            <w:p w14:paraId="71DEF895" w14:textId="77777777" w:rsidR="007E7472" w:rsidRDefault="00EC1269">
              <w:pPr>
                <w:spacing w:beforeLines="50" w:before="120" w:afterLines="50" w:after="120" w:line="360" w:lineRule="exact"/>
                <w:ind w:firstLineChars="200" w:firstLine="420"/>
                <w:sectPr w:rsidR="007E7472">
                  <w:pgSz w:w="16838" w:h="11906" w:orient="landscape"/>
                  <w:pgMar w:top="1797" w:right="1525" w:bottom="1276" w:left="1440" w:header="856" w:footer="992" w:gutter="0"/>
                  <w:cols w:space="425"/>
                  <w:docGrid w:linePitch="312"/>
                </w:sectPr>
              </w:pPr>
              <w:r>
                <w:rPr>
                  <w:rFonts w:hint="eastAsia"/>
                </w:rPr>
                <w:t>注：非煤炭贸易主要是本集团从事电解铜、石油、钢材等金属和铁矿石等大宗商品的贸易。</w:t>
              </w:r>
            </w:p>
            <w:p w14:paraId="11F35EB3" w14:textId="77777777" w:rsidR="007E7472" w:rsidRDefault="00C8327E"/>
          </w:sdtContent>
        </w:sdt>
      </w:sdtContent>
    </w:sdt>
    <w:bookmarkStart w:id="287" w:name="_Toc241636520" w:displacedByCustomXml="next"/>
    <w:bookmarkEnd w:id="287" w:displacedByCustomXml="next"/>
    <w:sdt>
      <w:sdtPr>
        <w:rPr>
          <w:rFonts w:hint="eastAsia"/>
          <w:sz w:val="20"/>
        </w:rPr>
        <w:alias w:val="模块:其他重要事项说明"/>
        <w:tag w:val="_GBC_0e2af5e32a53408bb340218a0c352be0"/>
        <w:id w:val="-1995240270"/>
        <w:lock w:val="sdtLocked"/>
        <w:placeholder>
          <w:docPart w:val="GBC22222222222222222222222222222"/>
        </w:placeholder>
      </w:sdtPr>
      <w:sdtEndPr>
        <w:rPr>
          <w:rFonts w:cstheme="minorBidi"/>
          <w:kern w:val="2"/>
        </w:rPr>
      </w:sdtEndPr>
      <w:sdtContent>
        <w:p w14:paraId="4084A22A" w14:textId="77777777" w:rsidR="007E7472" w:rsidRPr="00F72A4F" w:rsidRDefault="00EC1269" w:rsidP="00162493">
          <w:pPr>
            <w:numPr>
              <w:ilvl w:val="2"/>
              <w:numId w:val="114"/>
            </w:numPr>
            <w:outlineLvl w:val="2"/>
            <w:rPr>
              <w:b/>
            </w:rPr>
          </w:pPr>
          <w:r w:rsidRPr="00F72A4F">
            <w:rPr>
              <w:rFonts w:hint="eastAsia"/>
              <w:b/>
            </w:rPr>
            <w:t>其他对投资者决策有影响的重要交易和事项</w:t>
          </w:r>
        </w:p>
        <w:sdt>
          <w:sdtPr>
            <w:alias w:val="是否适用：其他对投资者决策有影响的重要交易和事项[双击切换]"/>
            <w:tag w:val="_GBC_6bb0ea1e73f644b99b2bccc9d2ea19e9"/>
            <w:id w:val="493998804"/>
            <w:lock w:val="sdtLocked"/>
            <w:placeholder>
              <w:docPart w:val="GBC22222222222222222222222222222"/>
            </w:placeholder>
          </w:sdtPr>
          <w:sdtEndPr/>
          <w:sdtContent>
            <w:p w14:paraId="3B4DF462"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38A52640" w14:textId="77777777" w:rsidR="007E7472" w:rsidRDefault="00C8327E"/>
    <w:sdt>
      <w:sdtPr>
        <w:rPr>
          <w:sz w:val="20"/>
        </w:rPr>
        <w:alias w:val="模块:其他重要事项的说明"/>
        <w:tag w:val="_GBC_a9d998641356411784b3ec54387f322d"/>
        <w:id w:val="942349433"/>
        <w:lock w:val="sdtLocked"/>
        <w:placeholder>
          <w:docPart w:val="GBC22222222222222222222222222222"/>
        </w:placeholder>
      </w:sdtPr>
      <w:sdtEndPr/>
      <w:sdtContent>
        <w:p w14:paraId="32B92624" w14:textId="77777777" w:rsidR="007E7472" w:rsidRPr="00F72A4F" w:rsidRDefault="00EC1269" w:rsidP="00162493">
          <w:pPr>
            <w:numPr>
              <w:ilvl w:val="2"/>
              <w:numId w:val="114"/>
            </w:numPr>
            <w:outlineLvl w:val="2"/>
            <w:rPr>
              <w:b/>
            </w:rPr>
          </w:pPr>
          <w:r w:rsidRPr="00F72A4F">
            <w:rPr>
              <w:rFonts w:hint="eastAsia"/>
              <w:b/>
            </w:rPr>
            <w:t>其他</w:t>
          </w:r>
        </w:p>
        <w:sdt>
          <w:sdtPr>
            <w:alias w:val="是否适用：其他重要事项的说明[双击切换]"/>
            <w:tag w:val="_GBC_518cb9b615c44ff597f57c3bba95c7fa"/>
            <w:id w:val="1397088653"/>
            <w:lock w:val="sdtLocked"/>
            <w:placeholder>
              <w:docPart w:val="GBC22222222222222222222222222222"/>
            </w:placeholder>
          </w:sdtPr>
          <w:sdtEndPr/>
          <w:sdtContent>
            <w:p w14:paraId="03F8F219"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006C5359" w14:textId="77777777" w:rsidR="007E7472" w:rsidRDefault="00C8327E"/>
    <w:p w14:paraId="56C61B87" w14:textId="77777777" w:rsidR="007E7472" w:rsidRDefault="00EC1269" w:rsidP="00162493">
      <w:pPr>
        <w:pStyle w:val="2"/>
        <w:numPr>
          <w:ilvl w:val="0"/>
          <w:numId w:val="43"/>
        </w:numPr>
        <w:ind w:firstLineChars="0"/>
      </w:pPr>
      <w:r>
        <w:rPr>
          <w:rFonts w:hint="eastAsia"/>
        </w:rPr>
        <w:t>母公司财务报表主要项目注释</w:t>
      </w:r>
    </w:p>
    <w:p w14:paraId="091AEB9B" w14:textId="77777777" w:rsidR="007E7472" w:rsidRPr="00F72A4F" w:rsidRDefault="00EC1269" w:rsidP="00162493">
      <w:pPr>
        <w:numPr>
          <w:ilvl w:val="2"/>
          <w:numId w:val="118"/>
        </w:numPr>
        <w:outlineLvl w:val="2"/>
        <w:rPr>
          <w:b/>
        </w:rPr>
      </w:pPr>
      <w:r w:rsidRPr="00F72A4F">
        <w:rPr>
          <w:rFonts w:hint="eastAsia"/>
          <w:b/>
        </w:rPr>
        <w:t>应收账款</w:t>
      </w:r>
    </w:p>
    <w:sdt>
      <w:sdtPr>
        <w:rPr>
          <w:rFonts w:ascii="宋体" w:hAnsi="宋体" w:cs="宋体" w:hint="eastAsia"/>
          <w:b w:val="0"/>
          <w:bCs w:val="0"/>
          <w:kern w:val="0"/>
          <w:sz w:val="20"/>
          <w:szCs w:val="21"/>
        </w:rPr>
        <w:alias w:val="模块:组合中，按账龄分析法计提坏账准备的应收账款"/>
        <w:tag w:val="_GBC_f44cec1af5094a96a29dd8e92ee27b70"/>
        <w:id w:val="-2004118723"/>
        <w:lock w:val="sdtLocked"/>
        <w:placeholder>
          <w:docPart w:val="GBC22222222222222222222222222222"/>
        </w:placeholder>
      </w:sdtPr>
      <w:sdtEndPr>
        <w:rPr>
          <w:rFonts w:hint="default"/>
        </w:rPr>
      </w:sdtEndPr>
      <w:sdtContent>
        <w:p w14:paraId="68CD44EA" w14:textId="77777777" w:rsidR="007E7472" w:rsidRDefault="00EC1269" w:rsidP="00162493">
          <w:pPr>
            <w:pStyle w:val="4"/>
            <w:numPr>
              <w:ilvl w:val="0"/>
              <w:numId w:val="119"/>
            </w:numPr>
          </w:pPr>
          <w:r>
            <w:rPr>
              <w:rFonts w:hint="eastAsia"/>
            </w:rPr>
            <w:t>按账龄披露</w:t>
          </w:r>
        </w:p>
        <w:sdt>
          <w:sdtPr>
            <w:alias w:val="是否适用：母公司组合中，按账龄分析法计提坏账准备的应收账款[双击切换]"/>
            <w:tag w:val="_GBC_0a11a3bd15dd4fa882e7b9f16b5e3b07"/>
            <w:id w:val="-1950776420"/>
            <w:lock w:val="sdtLocked"/>
            <w:placeholder>
              <w:docPart w:val="GBC22222222222222222222222222222"/>
            </w:placeholder>
          </w:sdtPr>
          <w:sdtEndPr/>
          <w:sdtContent>
            <w:p w14:paraId="25D9BA46"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CCBCD2C" w14:textId="079F74BD" w:rsidR="007E7472" w:rsidRDefault="00EC1269">
          <w:pPr>
            <w:jc w:val="right"/>
          </w:pPr>
          <w:r>
            <w:rPr>
              <w:rFonts w:hint="eastAsia"/>
            </w:rPr>
            <w:t>单位：</w:t>
          </w:r>
          <w:sdt>
            <w:sdtPr>
              <w:rPr>
                <w:rFonts w:hint="eastAsia"/>
              </w:rPr>
              <w:alias w:val="单位：母公司财务附注：单项金额不重大但按信用风险特征组合后该组合的风险较大的应收账款"/>
              <w:tag w:val="_GBC_aa1a4a5ddfb84d718faa91649e7ae14f"/>
              <w:id w:val="148520325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母公司财务附注：单项金额不重大但按信用风险特征组合后该组合的风险较大的应收账款"/>
              <w:tag w:val="_GBC_1ea3e296336a485b8444219f6e288f72"/>
              <w:id w:val="1194989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0"/>
            <w:gridCol w:w="4163"/>
          </w:tblGrid>
          <w:tr w:rsidR="007E7472" w14:paraId="2F7C35E9" w14:textId="77777777">
            <w:trPr>
              <w:trHeight w:val="298"/>
              <w:jc w:val="center"/>
            </w:trPr>
            <w:sdt>
              <w:sdtPr>
                <w:rPr>
                  <w:rFonts w:asciiTheme="minorEastAsia" w:eastAsiaTheme="minorEastAsia" w:hAnsiTheme="minorEastAsia"/>
                </w:rPr>
                <w:tag w:val="_PLD_4026a1c8ce2b4be2bd188240c5c6b81c"/>
                <w:id w:val="1915818793"/>
                <w:lock w:val="sdtLocked"/>
              </w:sdtPr>
              <w:sdtEndPr/>
              <w:sdtContent>
                <w:tc>
                  <w:tcPr>
                    <w:tcW w:w="2641" w:type="pct"/>
                    <w:tcBorders>
                      <w:bottom w:val="single" w:sz="4" w:space="0" w:color="auto"/>
                    </w:tcBorders>
                    <w:shd w:val="clear" w:color="auto" w:fill="auto"/>
                    <w:vAlign w:val="center"/>
                  </w:tcPr>
                  <w:p w14:paraId="218ADE3D" w14:textId="77777777" w:rsidR="007E7472" w:rsidRDefault="00EC1269">
                    <w:pPr>
                      <w:jc w:val="center"/>
                      <w:rPr>
                        <w:rFonts w:asciiTheme="minorEastAsia" w:eastAsiaTheme="minorEastAsia" w:hAnsiTheme="minorEastAsia"/>
                      </w:rPr>
                    </w:pPr>
                    <w:r>
                      <w:rPr>
                        <w:rFonts w:asciiTheme="minorEastAsia" w:eastAsiaTheme="minorEastAsia" w:hAnsiTheme="minorEastAsia"/>
                      </w:rPr>
                      <w:t>账龄</w:t>
                    </w:r>
                  </w:p>
                </w:tc>
              </w:sdtContent>
            </w:sdt>
            <w:sdt>
              <w:sdtPr>
                <w:rPr>
                  <w:rFonts w:asciiTheme="minorEastAsia" w:eastAsiaTheme="minorEastAsia" w:hAnsiTheme="minorEastAsia"/>
                </w:rPr>
                <w:tag w:val="_PLD_fe83f44c599f47c3bdf1b2e0ce971295"/>
                <w:id w:val="1562364698"/>
                <w:lock w:val="sdtLocked"/>
              </w:sdtPr>
              <w:sdtEndPr/>
              <w:sdtContent>
                <w:tc>
                  <w:tcPr>
                    <w:tcW w:w="2359" w:type="pct"/>
                    <w:tcBorders>
                      <w:bottom w:val="single" w:sz="4" w:space="0" w:color="auto"/>
                    </w:tcBorders>
                    <w:shd w:val="clear" w:color="auto" w:fill="auto"/>
                    <w:vAlign w:val="center"/>
                  </w:tcPr>
                  <w:p w14:paraId="677C880D" w14:textId="77777777" w:rsidR="007E7472" w:rsidRDefault="00EC1269">
                    <w:pPr>
                      <w:jc w:val="center"/>
                      <w:rPr>
                        <w:rFonts w:asciiTheme="minorEastAsia" w:eastAsiaTheme="minorEastAsia" w:hAnsiTheme="minorEastAsia"/>
                      </w:rPr>
                    </w:pPr>
                    <w:r>
                      <w:rPr>
                        <w:rFonts w:asciiTheme="minorEastAsia" w:eastAsiaTheme="minorEastAsia" w:hAnsiTheme="minorEastAsia"/>
                      </w:rPr>
                      <w:t>期末</w:t>
                    </w:r>
                    <w:r>
                      <w:rPr>
                        <w:rFonts w:asciiTheme="minorEastAsia" w:eastAsiaTheme="minorEastAsia" w:hAnsiTheme="minorEastAsia" w:hint="eastAsia"/>
                      </w:rPr>
                      <w:t>账面</w:t>
                    </w:r>
                    <w:r>
                      <w:rPr>
                        <w:rFonts w:asciiTheme="minorEastAsia" w:eastAsiaTheme="minorEastAsia" w:hAnsiTheme="minorEastAsia"/>
                      </w:rPr>
                      <w:t>余额</w:t>
                    </w:r>
                  </w:p>
                </w:tc>
              </w:sdtContent>
            </w:sdt>
          </w:tr>
          <w:sdt>
            <w:sdtPr>
              <w:rPr>
                <w:rFonts w:asciiTheme="minorEastAsia" w:eastAsiaTheme="minorEastAsia" w:hAnsiTheme="minorEastAsia" w:hint="eastAsia"/>
              </w:rPr>
              <w:alias w:val="按账龄分析法计提坏账准备的应收账款明细"/>
              <w:tag w:val="_TUP_10f7f1cf42084e9a947b1590ddb306e5"/>
              <w:id w:val="286328172"/>
              <w:lock w:val="sdtLocked"/>
            </w:sdtPr>
            <w:sdtEndPr>
              <w:rPr>
                <w:rFonts w:hint="default"/>
              </w:rPr>
            </w:sdtEndPr>
            <w:sdtContent>
              <w:tr w:rsidR="007E7472" w14:paraId="1AB86611" w14:textId="77777777">
                <w:trPr>
                  <w:jc w:val="center"/>
                </w:trPr>
                <w:tc>
                  <w:tcPr>
                    <w:tcW w:w="2641" w:type="pct"/>
                    <w:shd w:val="clear" w:color="auto" w:fill="auto"/>
                  </w:tcPr>
                  <w:p w14:paraId="4B2D07A8" w14:textId="77777777" w:rsidR="007E7472" w:rsidRDefault="00EC1269">
                    <w:pPr>
                      <w:rPr>
                        <w:rFonts w:asciiTheme="minorEastAsia" w:eastAsiaTheme="minorEastAsia" w:hAnsiTheme="minorEastAsia"/>
                      </w:rPr>
                    </w:pPr>
                    <w:r>
                      <w:rPr>
                        <w:rFonts w:asciiTheme="minorEastAsia" w:eastAsiaTheme="minorEastAsia" w:hAnsiTheme="minorEastAsia"/>
                      </w:rPr>
                      <w:t>1年以内</w:t>
                    </w:r>
                  </w:p>
                </w:tc>
                <w:tc>
                  <w:tcPr>
                    <w:tcW w:w="2359" w:type="pct"/>
                    <w:shd w:val="clear" w:color="auto" w:fill="auto"/>
                  </w:tcPr>
                  <w:p w14:paraId="198B93F9" w14:textId="77777777" w:rsidR="007E7472" w:rsidRDefault="00EC1269">
                    <w:pPr>
                      <w:jc w:val="right"/>
                      <w:rPr>
                        <w:rFonts w:asciiTheme="minorEastAsia" w:eastAsiaTheme="minorEastAsia" w:hAnsiTheme="minorEastAsia"/>
                      </w:rPr>
                    </w:pPr>
                    <w:r>
                      <w:rPr>
                        <w:rFonts w:asciiTheme="minorEastAsia" w:eastAsiaTheme="minorEastAsia" w:hAnsiTheme="minorEastAsia"/>
                      </w:rPr>
                      <w:t>2,242,681</w:t>
                    </w:r>
                  </w:p>
                </w:tc>
              </w:tr>
            </w:sdtContent>
          </w:sdt>
          <w:tr w:rsidR="007E7472" w14:paraId="6FEEAD16" w14:textId="77777777">
            <w:trPr>
              <w:jc w:val="center"/>
            </w:trPr>
            <w:sdt>
              <w:sdtPr>
                <w:rPr>
                  <w:rFonts w:asciiTheme="minorEastAsia" w:eastAsiaTheme="minorEastAsia" w:hAnsiTheme="minorEastAsia"/>
                </w:rPr>
                <w:tag w:val="_PLD_0aaa32d7ecc44007a6fdfe2ba5a15150"/>
                <w:id w:val="1080722172"/>
                <w:lock w:val="sdtLocked"/>
              </w:sdtPr>
              <w:sdtEndPr/>
              <w:sdtContent>
                <w:tc>
                  <w:tcPr>
                    <w:tcW w:w="2641" w:type="pct"/>
                    <w:shd w:val="clear" w:color="auto" w:fill="auto"/>
                  </w:tcPr>
                  <w:p w14:paraId="2F304CE7" w14:textId="77777777" w:rsidR="007E7472" w:rsidRDefault="00EC1269">
                    <w:pPr>
                      <w:rPr>
                        <w:rFonts w:asciiTheme="minorEastAsia" w:eastAsiaTheme="minorEastAsia" w:hAnsiTheme="minorEastAsia"/>
                      </w:rPr>
                    </w:pPr>
                    <w:r>
                      <w:rPr>
                        <w:rFonts w:asciiTheme="minorEastAsia" w:eastAsiaTheme="minorEastAsia" w:hAnsiTheme="minorEastAsia" w:hint="eastAsia"/>
                      </w:rPr>
                      <w:t>1</w:t>
                    </w:r>
                    <w:r>
                      <w:rPr>
                        <w:rFonts w:asciiTheme="minorEastAsia" w:eastAsiaTheme="minorEastAsia" w:hAnsiTheme="minorEastAsia"/>
                      </w:rPr>
                      <w:t>至</w:t>
                    </w:r>
                    <w:r>
                      <w:rPr>
                        <w:rFonts w:asciiTheme="minorEastAsia" w:eastAsiaTheme="minorEastAsia" w:hAnsiTheme="minorEastAsia" w:hint="eastAsia"/>
                      </w:rPr>
                      <w:t>2</w:t>
                    </w:r>
                    <w:r>
                      <w:rPr>
                        <w:rFonts w:asciiTheme="minorEastAsia" w:eastAsiaTheme="minorEastAsia" w:hAnsiTheme="minorEastAsia"/>
                      </w:rPr>
                      <w:t>年</w:t>
                    </w:r>
                  </w:p>
                </w:tc>
              </w:sdtContent>
            </w:sdt>
            <w:tc>
              <w:tcPr>
                <w:tcW w:w="2359" w:type="pct"/>
                <w:shd w:val="clear" w:color="auto" w:fill="auto"/>
              </w:tcPr>
              <w:p w14:paraId="6B0312A1" w14:textId="77777777" w:rsidR="007E7472" w:rsidRDefault="00EC1269">
                <w:pPr>
                  <w:jc w:val="right"/>
                  <w:rPr>
                    <w:rFonts w:asciiTheme="minorEastAsia" w:eastAsiaTheme="minorEastAsia" w:hAnsiTheme="minorEastAsia"/>
                  </w:rPr>
                </w:pPr>
                <w:r>
                  <w:rPr>
                    <w:rFonts w:asciiTheme="minorEastAsia" w:eastAsiaTheme="minorEastAsia" w:hAnsiTheme="minorEastAsia"/>
                  </w:rPr>
                  <w:t>73,120</w:t>
                </w:r>
              </w:p>
            </w:tc>
          </w:tr>
          <w:tr w:rsidR="007E7472" w14:paraId="4EE7294E" w14:textId="77777777">
            <w:trPr>
              <w:jc w:val="center"/>
            </w:trPr>
            <w:sdt>
              <w:sdtPr>
                <w:rPr>
                  <w:rFonts w:asciiTheme="minorEastAsia" w:eastAsiaTheme="minorEastAsia" w:hAnsiTheme="minorEastAsia"/>
                </w:rPr>
                <w:tag w:val="_PLD_461abed3956d480b918c3859e2a0e880"/>
                <w:id w:val="1832708202"/>
                <w:lock w:val="sdtLocked"/>
              </w:sdtPr>
              <w:sdtEndPr/>
              <w:sdtContent>
                <w:tc>
                  <w:tcPr>
                    <w:tcW w:w="2641" w:type="pct"/>
                    <w:shd w:val="clear" w:color="auto" w:fill="auto"/>
                  </w:tcPr>
                  <w:p w14:paraId="327315E9" w14:textId="77777777" w:rsidR="007E7472" w:rsidRDefault="00EC1269">
                    <w:pPr>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rPr>
                      <w:t>至</w:t>
                    </w:r>
                    <w:r>
                      <w:rPr>
                        <w:rFonts w:asciiTheme="minorEastAsia" w:eastAsiaTheme="minorEastAsia" w:hAnsiTheme="minorEastAsia" w:hint="eastAsia"/>
                      </w:rPr>
                      <w:t>3</w:t>
                    </w:r>
                    <w:r>
                      <w:rPr>
                        <w:rFonts w:asciiTheme="minorEastAsia" w:eastAsiaTheme="minorEastAsia" w:hAnsiTheme="minorEastAsia"/>
                      </w:rPr>
                      <w:t>年</w:t>
                    </w:r>
                  </w:p>
                </w:tc>
              </w:sdtContent>
            </w:sdt>
            <w:tc>
              <w:tcPr>
                <w:tcW w:w="2359" w:type="pct"/>
                <w:shd w:val="clear" w:color="auto" w:fill="auto"/>
              </w:tcPr>
              <w:p w14:paraId="041C5B4C" w14:textId="77777777" w:rsidR="007E7472" w:rsidRDefault="00EC1269">
                <w:pPr>
                  <w:jc w:val="right"/>
                  <w:rPr>
                    <w:rFonts w:asciiTheme="minorEastAsia" w:eastAsiaTheme="minorEastAsia" w:hAnsiTheme="minorEastAsia"/>
                  </w:rPr>
                </w:pPr>
                <w:r>
                  <w:rPr>
                    <w:rFonts w:asciiTheme="minorEastAsia" w:eastAsiaTheme="minorEastAsia" w:hAnsiTheme="minorEastAsia"/>
                  </w:rPr>
                  <w:t>28,259</w:t>
                </w:r>
              </w:p>
            </w:tc>
          </w:tr>
          <w:tr w:rsidR="007E7472" w14:paraId="7065A2BF" w14:textId="77777777">
            <w:trPr>
              <w:jc w:val="center"/>
            </w:trPr>
            <w:sdt>
              <w:sdtPr>
                <w:rPr>
                  <w:rFonts w:asciiTheme="minorEastAsia" w:eastAsiaTheme="minorEastAsia" w:hAnsiTheme="minorEastAsia"/>
                </w:rPr>
                <w:tag w:val="_PLD_3bcedd27187c4006a5bf76fe5e353650"/>
                <w:id w:val="-1795825793"/>
                <w:lock w:val="sdtLocked"/>
              </w:sdtPr>
              <w:sdtEndPr/>
              <w:sdtContent>
                <w:tc>
                  <w:tcPr>
                    <w:tcW w:w="2641" w:type="pct"/>
                    <w:shd w:val="clear" w:color="auto" w:fill="auto"/>
                  </w:tcPr>
                  <w:p w14:paraId="1528861B" w14:textId="77777777" w:rsidR="007E7472" w:rsidRDefault="00EC1269">
                    <w:pPr>
                      <w:rPr>
                        <w:rFonts w:asciiTheme="minorEastAsia" w:eastAsiaTheme="minorEastAsia" w:hAnsiTheme="minorEastAsia"/>
                      </w:rPr>
                    </w:pPr>
                    <w:r>
                      <w:rPr>
                        <w:rFonts w:asciiTheme="minorEastAsia" w:eastAsiaTheme="minorEastAsia" w:hAnsiTheme="minorEastAsia" w:hint="eastAsia"/>
                      </w:rPr>
                      <w:t>3</w:t>
                    </w:r>
                    <w:r>
                      <w:rPr>
                        <w:rFonts w:asciiTheme="minorEastAsia" w:eastAsiaTheme="minorEastAsia" w:hAnsiTheme="minorEastAsia"/>
                      </w:rPr>
                      <w:t>年以上</w:t>
                    </w:r>
                  </w:p>
                </w:tc>
              </w:sdtContent>
            </w:sdt>
            <w:tc>
              <w:tcPr>
                <w:tcW w:w="2359" w:type="pct"/>
                <w:shd w:val="clear" w:color="auto" w:fill="auto"/>
              </w:tcPr>
              <w:p w14:paraId="4EAD7B72" w14:textId="77777777" w:rsidR="007E7472" w:rsidRDefault="00EC1269">
                <w:pPr>
                  <w:jc w:val="right"/>
                  <w:rPr>
                    <w:rFonts w:asciiTheme="minorEastAsia" w:eastAsiaTheme="minorEastAsia" w:hAnsiTheme="minorEastAsia"/>
                  </w:rPr>
                </w:pPr>
                <w:r>
                  <w:rPr>
                    <w:rFonts w:asciiTheme="minorEastAsia" w:eastAsiaTheme="minorEastAsia" w:hAnsiTheme="minorEastAsia"/>
                  </w:rPr>
                  <w:t>277,929</w:t>
                </w:r>
              </w:p>
            </w:tc>
          </w:tr>
          <w:tr w:rsidR="007E7472" w14:paraId="2D47A6C7" w14:textId="77777777">
            <w:trPr>
              <w:jc w:val="center"/>
            </w:trPr>
            <w:sdt>
              <w:sdtPr>
                <w:rPr>
                  <w:rFonts w:asciiTheme="minorEastAsia" w:eastAsiaTheme="minorEastAsia" w:hAnsiTheme="minorEastAsia"/>
                </w:rPr>
                <w:tag w:val="_PLD_b8d2a9cd21d944ea8f8433cfaeb85cb3"/>
                <w:id w:val="2108621396"/>
                <w:lock w:val="sdtLocked"/>
              </w:sdtPr>
              <w:sdtEndPr/>
              <w:sdtContent>
                <w:tc>
                  <w:tcPr>
                    <w:tcW w:w="2641" w:type="pct"/>
                    <w:shd w:val="clear" w:color="auto" w:fill="auto"/>
                    <w:vAlign w:val="center"/>
                  </w:tcPr>
                  <w:p w14:paraId="06216D88" w14:textId="77777777" w:rsidR="007E7472" w:rsidRDefault="00EC1269">
                    <w:pPr>
                      <w:jc w:val="center"/>
                      <w:rPr>
                        <w:rFonts w:asciiTheme="minorEastAsia" w:eastAsiaTheme="minorEastAsia" w:hAnsiTheme="minorEastAsia"/>
                      </w:rPr>
                    </w:pPr>
                    <w:r>
                      <w:rPr>
                        <w:rFonts w:asciiTheme="minorEastAsia" w:eastAsiaTheme="minorEastAsia" w:hAnsiTheme="minorEastAsia"/>
                      </w:rPr>
                      <w:t>合计</w:t>
                    </w:r>
                  </w:p>
                </w:tc>
              </w:sdtContent>
            </w:sdt>
            <w:tc>
              <w:tcPr>
                <w:tcW w:w="2359" w:type="pct"/>
                <w:shd w:val="clear" w:color="auto" w:fill="auto"/>
              </w:tcPr>
              <w:p w14:paraId="4B739C80" w14:textId="77777777" w:rsidR="007E7472" w:rsidRDefault="00EC1269">
                <w:pPr>
                  <w:jc w:val="right"/>
                  <w:rPr>
                    <w:rFonts w:asciiTheme="minorEastAsia" w:eastAsiaTheme="minorEastAsia" w:hAnsiTheme="minorEastAsia"/>
                  </w:rPr>
                </w:pPr>
                <w:r>
                  <w:rPr>
                    <w:rFonts w:asciiTheme="minorEastAsia" w:eastAsiaTheme="minorEastAsia" w:hAnsiTheme="minorEastAsia"/>
                  </w:rPr>
                  <w:t>2,621,989</w:t>
                </w:r>
              </w:p>
            </w:tc>
          </w:tr>
        </w:tbl>
        <w:p w14:paraId="30D5F6B0" w14:textId="77777777" w:rsidR="007E7472" w:rsidRDefault="00C8327E"/>
        <w:p w14:paraId="1B6581FA" w14:textId="77777777" w:rsidR="007E7472" w:rsidRDefault="00C8327E"/>
      </w:sdtContent>
    </w:sdt>
    <w:p w14:paraId="2038049A" w14:textId="77777777" w:rsidR="007E7472" w:rsidRDefault="00EC1269" w:rsidP="00162493">
      <w:pPr>
        <w:pStyle w:val="4"/>
        <w:numPr>
          <w:ilvl w:val="0"/>
          <w:numId w:val="119"/>
        </w:numPr>
      </w:pPr>
      <w:bookmarkStart w:id="288" w:name="_Hlk10540024"/>
      <w:r>
        <w:rPr>
          <w:rFonts w:hint="eastAsia"/>
        </w:rPr>
        <w:t>按坏账计提方法分类披露</w:t>
      </w:r>
    </w:p>
    <w:sdt>
      <w:sdtPr>
        <w:alias w:val="是否适用：母公司应收账款按坏账计提方法分类披露[双击切换]"/>
        <w:tag w:val="_GBC_bd7fb52eb7f647d5aa6c10677b261ee1"/>
        <w:id w:val="-350184746"/>
        <w:lock w:val="sdtContentLocked"/>
        <w:placeholder>
          <w:docPart w:val="GBC22222222222222222222222222222"/>
        </w:placeholder>
      </w:sdtPr>
      <w:sdtEndPr/>
      <w:sdtContent>
        <w:p w14:paraId="201544F0"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 w:val="20"/>
        </w:rPr>
        <w:alias w:val="模块:(2).  按坏账计提方法分类披露"/>
        <w:tag w:val="_SEC_22b53fc701704bd9858f1a601e7a3144"/>
        <w:id w:val="404727305"/>
        <w:lock w:val="sdtLocked"/>
        <w:placeholder>
          <w:docPart w:val="GBC22222222222222222222222222222"/>
        </w:placeholder>
      </w:sdtPr>
      <w:sdtEndPr>
        <w:rPr>
          <w:rFonts w:hint="default"/>
        </w:rPr>
      </w:sdtEndPr>
      <w:sdtContent>
        <w:p w14:paraId="6B027F7B" w14:textId="0CE16EE4" w:rsidR="007E7472" w:rsidRDefault="00EC1269">
          <w:pPr>
            <w:autoSpaceDE w:val="0"/>
            <w:autoSpaceDN w:val="0"/>
            <w:adjustRightInd w:val="0"/>
            <w:ind w:left="425" w:right="105"/>
            <w:jc w:val="right"/>
          </w:pPr>
          <w:r>
            <w:rPr>
              <w:rFonts w:hint="eastAsia"/>
            </w:rPr>
            <w:t>单位：</w:t>
          </w:r>
          <w:sdt>
            <w:sdtPr>
              <w:rPr>
                <w:rFonts w:hint="eastAsia"/>
              </w:rPr>
              <w:alias w:val="单位：母公司应收账款按坏账计提方法分类披露"/>
              <w:tag w:val="_GBC_03786e76a9b246d5a93eac5a8936de3a"/>
              <w:id w:val="136911354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母公司应收账款按坏账计提方法分类披露"/>
              <w:tag w:val="_GBC_1360c31492654a38991cae4cf45e7b4a"/>
              <w:id w:val="134404855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1201"/>
            <w:gridCol w:w="1007"/>
            <w:gridCol w:w="439"/>
            <w:gridCol w:w="798"/>
            <w:gridCol w:w="461"/>
            <w:gridCol w:w="1008"/>
            <w:gridCol w:w="1008"/>
            <w:gridCol w:w="492"/>
            <w:gridCol w:w="798"/>
            <w:gridCol w:w="602"/>
            <w:gridCol w:w="1009"/>
          </w:tblGrid>
          <w:tr w:rsidR="007E7472" w14:paraId="62CA791B" w14:textId="77777777">
            <w:trPr>
              <w:cantSplit/>
              <w:trHeight w:val="259"/>
            </w:trPr>
            <w:sdt>
              <w:sdtPr>
                <w:tag w:val="_PLD_2f021e03341f49af95f8857da6272a92"/>
                <w:id w:val="2105913493"/>
              </w:sdtPr>
              <w:sdtEndPr/>
              <w:sdtContent>
                <w:tc>
                  <w:tcPr>
                    <w:tcW w:w="681" w:type="pct"/>
                    <w:vMerge w:val="restart"/>
                    <w:tcBorders>
                      <w:top w:val="single" w:sz="4" w:space="0" w:color="auto"/>
                      <w:left w:val="single" w:sz="4" w:space="0" w:color="auto"/>
                      <w:right w:val="single" w:sz="4" w:space="0" w:color="auto"/>
                    </w:tcBorders>
                    <w:vAlign w:val="center"/>
                  </w:tcPr>
                  <w:p w14:paraId="59E178C9" w14:textId="77777777" w:rsidR="007E7472" w:rsidRDefault="00EC1269">
                    <w:pPr>
                      <w:jc w:val="center"/>
                    </w:pPr>
                    <w:r>
                      <w:rPr>
                        <w:rFonts w:hint="eastAsia"/>
                      </w:rPr>
                      <w:t>类别</w:t>
                    </w:r>
                  </w:p>
                </w:tc>
              </w:sdtContent>
            </w:sdt>
            <w:sdt>
              <w:sdtPr>
                <w:tag w:val="_PLD_468e18ccdf48449f8e43799e7c3f622e"/>
                <w:id w:val="-1800295535"/>
              </w:sdtPr>
              <w:sdtEndPr/>
              <w:sdtContent>
                <w:tc>
                  <w:tcPr>
                    <w:tcW w:w="2104" w:type="pct"/>
                    <w:gridSpan w:val="5"/>
                    <w:tcBorders>
                      <w:top w:val="single" w:sz="4" w:space="0" w:color="auto"/>
                      <w:left w:val="single" w:sz="4" w:space="0" w:color="auto"/>
                      <w:right w:val="single" w:sz="4" w:space="0" w:color="auto"/>
                    </w:tcBorders>
                    <w:vAlign w:val="center"/>
                  </w:tcPr>
                  <w:p w14:paraId="39E38E76" w14:textId="77777777" w:rsidR="007E7472" w:rsidRDefault="00EC1269">
                    <w:pPr>
                      <w:autoSpaceDE w:val="0"/>
                      <w:autoSpaceDN w:val="0"/>
                      <w:adjustRightInd w:val="0"/>
                      <w:snapToGrid w:val="0"/>
                      <w:spacing w:line="240" w:lineRule="atLeast"/>
                      <w:jc w:val="center"/>
                    </w:pPr>
                    <w:r>
                      <w:rPr>
                        <w:rFonts w:hint="eastAsia"/>
                      </w:rPr>
                      <w:t>期末余额</w:t>
                    </w:r>
                  </w:p>
                </w:tc>
              </w:sdtContent>
            </w:sdt>
            <w:sdt>
              <w:sdtPr>
                <w:tag w:val="_PLD_e387c0f70bd6484cafb1ada234d075bd"/>
                <w:id w:val="999242164"/>
              </w:sdtPr>
              <w:sdtEndPr/>
              <w:sdtContent>
                <w:tc>
                  <w:tcPr>
                    <w:tcW w:w="2215" w:type="pct"/>
                    <w:gridSpan w:val="5"/>
                    <w:tcBorders>
                      <w:top w:val="single" w:sz="4" w:space="0" w:color="auto"/>
                      <w:left w:val="single" w:sz="4" w:space="0" w:color="auto"/>
                      <w:right w:val="single" w:sz="4" w:space="0" w:color="auto"/>
                    </w:tcBorders>
                    <w:vAlign w:val="center"/>
                  </w:tcPr>
                  <w:p w14:paraId="69DD1DBB" w14:textId="77777777" w:rsidR="007E7472" w:rsidRDefault="00EC1269">
                    <w:pPr>
                      <w:autoSpaceDE w:val="0"/>
                      <w:autoSpaceDN w:val="0"/>
                      <w:adjustRightInd w:val="0"/>
                      <w:snapToGrid w:val="0"/>
                      <w:spacing w:line="240" w:lineRule="atLeast"/>
                      <w:jc w:val="center"/>
                    </w:pPr>
                    <w:r>
                      <w:rPr>
                        <w:rFonts w:hint="eastAsia"/>
                      </w:rPr>
                      <w:t>期初余额</w:t>
                    </w:r>
                  </w:p>
                </w:tc>
              </w:sdtContent>
            </w:sdt>
          </w:tr>
          <w:tr w:rsidR="007E7472" w14:paraId="2468E155" w14:textId="77777777">
            <w:trPr>
              <w:cantSplit/>
              <w:trHeight w:val="227"/>
            </w:trPr>
            <w:tc>
              <w:tcPr>
                <w:tcW w:w="681" w:type="pct"/>
                <w:vMerge/>
                <w:tcBorders>
                  <w:left w:val="single" w:sz="4" w:space="0" w:color="auto"/>
                  <w:right w:val="single" w:sz="4" w:space="0" w:color="auto"/>
                </w:tcBorders>
                <w:vAlign w:val="center"/>
              </w:tcPr>
              <w:p w14:paraId="0C94E969" w14:textId="77777777" w:rsidR="007E7472" w:rsidRDefault="00C8327E"/>
            </w:tc>
            <w:sdt>
              <w:sdtPr>
                <w:tag w:val="_PLD_73365edbfe354cb683cc42de4c1c9f49"/>
                <w:id w:val="344363714"/>
              </w:sdtPr>
              <w:sdtEndPr/>
              <w:sdtContent>
                <w:tc>
                  <w:tcPr>
                    <w:tcW w:w="819" w:type="pct"/>
                    <w:gridSpan w:val="2"/>
                    <w:tcBorders>
                      <w:top w:val="single" w:sz="4" w:space="0" w:color="auto"/>
                      <w:left w:val="single" w:sz="4" w:space="0" w:color="auto"/>
                      <w:bottom w:val="single" w:sz="4" w:space="0" w:color="auto"/>
                      <w:right w:val="single" w:sz="4" w:space="0" w:color="auto"/>
                    </w:tcBorders>
                    <w:vAlign w:val="center"/>
                  </w:tcPr>
                  <w:p w14:paraId="47CB2A80" w14:textId="77777777" w:rsidR="007E7472" w:rsidRDefault="00EC1269">
                    <w:pPr>
                      <w:jc w:val="center"/>
                    </w:pPr>
                    <w:r>
                      <w:rPr>
                        <w:rFonts w:hint="eastAsia"/>
                      </w:rPr>
                      <w:t>账面余额</w:t>
                    </w:r>
                  </w:p>
                </w:tc>
              </w:sdtContent>
            </w:sdt>
            <w:sdt>
              <w:sdtPr>
                <w:tag w:val="_PLD_11f34c9ee2d5429280d0d85b2c50756a"/>
                <w:id w:val="2006770896"/>
              </w:sdtPr>
              <w:sdtEndPr/>
              <w:sdtContent>
                <w:tc>
                  <w:tcPr>
                    <w:tcW w:w="713" w:type="pct"/>
                    <w:gridSpan w:val="2"/>
                    <w:tcBorders>
                      <w:top w:val="single" w:sz="4" w:space="0" w:color="auto"/>
                      <w:left w:val="single" w:sz="4" w:space="0" w:color="auto"/>
                      <w:bottom w:val="single" w:sz="4" w:space="0" w:color="auto"/>
                      <w:right w:val="single" w:sz="4" w:space="0" w:color="auto"/>
                    </w:tcBorders>
                    <w:vAlign w:val="center"/>
                  </w:tcPr>
                  <w:p w14:paraId="582A43AB" w14:textId="77777777" w:rsidR="007E7472" w:rsidRDefault="00EC1269">
                    <w:pPr>
                      <w:jc w:val="center"/>
                    </w:pPr>
                    <w:r>
                      <w:rPr>
                        <w:rFonts w:hint="eastAsia"/>
                      </w:rPr>
                      <w:t>坏账准备</w:t>
                    </w:r>
                  </w:p>
                </w:tc>
              </w:sdtContent>
            </w:sdt>
            <w:sdt>
              <w:sdtPr>
                <w:tag w:val="_PLD_6ade046afd0c47c0aae9506cc9d47486"/>
                <w:id w:val="1661966821"/>
              </w:sdtPr>
              <w:sdtEndPr/>
              <w:sdtContent>
                <w:tc>
                  <w:tcPr>
                    <w:tcW w:w="571" w:type="pct"/>
                    <w:vMerge w:val="restart"/>
                    <w:tcBorders>
                      <w:top w:val="single" w:sz="4" w:space="0" w:color="auto"/>
                      <w:left w:val="single" w:sz="4" w:space="0" w:color="auto"/>
                      <w:right w:val="single" w:sz="4" w:space="0" w:color="auto"/>
                    </w:tcBorders>
                    <w:vAlign w:val="center"/>
                  </w:tcPr>
                  <w:p w14:paraId="6872E8C9" w14:textId="77777777" w:rsidR="007E7472" w:rsidRDefault="00EC1269">
                    <w:pPr>
                      <w:jc w:val="center"/>
                    </w:pPr>
                    <w:r>
                      <w:rPr>
                        <w:rFonts w:hint="eastAsia"/>
                      </w:rPr>
                      <w:t>账面</w:t>
                    </w:r>
                  </w:p>
                  <w:p w14:paraId="1B5955EA" w14:textId="77777777" w:rsidR="007E7472" w:rsidRDefault="00EC1269">
                    <w:pPr>
                      <w:jc w:val="center"/>
                    </w:pPr>
                    <w:r>
                      <w:rPr>
                        <w:rFonts w:hint="eastAsia"/>
                      </w:rPr>
                      <w:t>价值</w:t>
                    </w:r>
                  </w:p>
                </w:tc>
              </w:sdtContent>
            </w:sdt>
            <w:sdt>
              <w:sdtPr>
                <w:tag w:val="_PLD_abd9bd4831b9473aabae7411a299a204"/>
                <w:id w:val="1210924770"/>
              </w:sdtPr>
              <w:sdtEndPr/>
              <w:sdtContent>
                <w:tc>
                  <w:tcPr>
                    <w:tcW w:w="850" w:type="pct"/>
                    <w:gridSpan w:val="2"/>
                    <w:tcBorders>
                      <w:top w:val="single" w:sz="4" w:space="0" w:color="auto"/>
                      <w:left w:val="single" w:sz="4" w:space="0" w:color="auto"/>
                      <w:right w:val="single" w:sz="4" w:space="0" w:color="auto"/>
                    </w:tcBorders>
                    <w:vAlign w:val="center"/>
                  </w:tcPr>
                  <w:p w14:paraId="4D41C541" w14:textId="77777777" w:rsidR="007E7472" w:rsidRDefault="00EC1269">
                    <w:pPr>
                      <w:jc w:val="center"/>
                    </w:pPr>
                    <w:r>
                      <w:rPr>
                        <w:rFonts w:hint="eastAsia"/>
                      </w:rPr>
                      <w:t>账面余额</w:t>
                    </w:r>
                  </w:p>
                </w:tc>
              </w:sdtContent>
            </w:sdt>
            <w:sdt>
              <w:sdtPr>
                <w:tag w:val="_PLD_76d8f3a48cba41949b5870f6cbb124af"/>
                <w:id w:val="-1003124508"/>
              </w:sdtPr>
              <w:sdtEndPr/>
              <w:sdtContent>
                <w:tc>
                  <w:tcPr>
                    <w:tcW w:w="793" w:type="pct"/>
                    <w:gridSpan w:val="2"/>
                    <w:tcBorders>
                      <w:top w:val="single" w:sz="4" w:space="0" w:color="auto"/>
                      <w:left w:val="single" w:sz="4" w:space="0" w:color="auto"/>
                      <w:right w:val="single" w:sz="4" w:space="0" w:color="auto"/>
                    </w:tcBorders>
                    <w:vAlign w:val="center"/>
                  </w:tcPr>
                  <w:p w14:paraId="6F3920E2" w14:textId="77777777" w:rsidR="007E7472" w:rsidRDefault="00EC1269">
                    <w:pPr>
                      <w:jc w:val="center"/>
                    </w:pPr>
                    <w:r>
                      <w:rPr>
                        <w:rFonts w:hint="eastAsia"/>
                      </w:rPr>
                      <w:t>坏账准备</w:t>
                    </w:r>
                  </w:p>
                </w:tc>
              </w:sdtContent>
            </w:sdt>
            <w:sdt>
              <w:sdtPr>
                <w:tag w:val="_PLD_5062ab8e678b49c0bba488dc029ff27b"/>
                <w:id w:val="-87706069"/>
              </w:sdtPr>
              <w:sdtEndPr/>
              <w:sdtContent>
                <w:tc>
                  <w:tcPr>
                    <w:tcW w:w="571" w:type="pct"/>
                    <w:vMerge w:val="restart"/>
                    <w:tcBorders>
                      <w:top w:val="single" w:sz="4" w:space="0" w:color="auto"/>
                      <w:left w:val="single" w:sz="4" w:space="0" w:color="auto"/>
                      <w:right w:val="single" w:sz="4" w:space="0" w:color="auto"/>
                    </w:tcBorders>
                    <w:vAlign w:val="center"/>
                  </w:tcPr>
                  <w:p w14:paraId="7DAF68DF" w14:textId="77777777" w:rsidR="007E7472" w:rsidRDefault="00EC1269">
                    <w:pPr>
                      <w:jc w:val="center"/>
                    </w:pPr>
                    <w:r>
                      <w:rPr>
                        <w:rFonts w:hint="eastAsia"/>
                      </w:rPr>
                      <w:t>账面</w:t>
                    </w:r>
                  </w:p>
                  <w:p w14:paraId="4D572D12" w14:textId="77777777" w:rsidR="007E7472" w:rsidRDefault="00EC1269">
                    <w:pPr>
                      <w:jc w:val="center"/>
                    </w:pPr>
                    <w:r>
                      <w:rPr>
                        <w:rFonts w:hint="eastAsia"/>
                      </w:rPr>
                      <w:t>价值</w:t>
                    </w:r>
                  </w:p>
                </w:tc>
              </w:sdtContent>
            </w:sdt>
          </w:tr>
          <w:tr w:rsidR="007E7472" w14:paraId="354B8532" w14:textId="77777777">
            <w:trPr>
              <w:cantSplit/>
              <w:trHeight w:val="375"/>
            </w:trPr>
            <w:tc>
              <w:tcPr>
                <w:tcW w:w="681" w:type="pct"/>
                <w:vMerge/>
                <w:tcBorders>
                  <w:left w:val="single" w:sz="4" w:space="0" w:color="auto"/>
                  <w:bottom w:val="single" w:sz="4" w:space="0" w:color="auto"/>
                  <w:right w:val="single" w:sz="4" w:space="0" w:color="auto"/>
                </w:tcBorders>
                <w:vAlign w:val="center"/>
              </w:tcPr>
              <w:p w14:paraId="669952E4" w14:textId="77777777" w:rsidR="007E7472" w:rsidRDefault="00C8327E"/>
            </w:tc>
            <w:sdt>
              <w:sdtPr>
                <w:tag w:val="_PLD_f6bdd572740240b5a7a2e643c29db5eb"/>
                <w:id w:val="103005697"/>
              </w:sdtPr>
              <w:sdtEndPr/>
              <w:sdtContent>
                <w:tc>
                  <w:tcPr>
                    <w:tcW w:w="571" w:type="pct"/>
                    <w:tcBorders>
                      <w:left w:val="single" w:sz="4" w:space="0" w:color="auto"/>
                      <w:bottom w:val="single" w:sz="4" w:space="0" w:color="auto"/>
                      <w:right w:val="single" w:sz="4" w:space="0" w:color="auto"/>
                    </w:tcBorders>
                    <w:vAlign w:val="center"/>
                  </w:tcPr>
                  <w:p w14:paraId="230DECF1" w14:textId="77777777" w:rsidR="007E7472" w:rsidRDefault="00EC1269">
                    <w:pPr>
                      <w:jc w:val="center"/>
                    </w:pPr>
                    <w:r>
                      <w:rPr>
                        <w:rFonts w:hint="eastAsia"/>
                      </w:rPr>
                      <w:t>金额</w:t>
                    </w:r>
                  </w:p>
                </w:tc>
              </w:sdtContent>
            </w:sdt>
            <w:sdt>
              <w:sdtPr>
                <w:tag w:val="_PLD_0a09779b6e354e32b6df9b1e891e1509"/>
                <w:id w:val="-2102561810"/>
              </w:sdtPr>
              <w:sdtEndPr/>
              <w:sdtContent>
                <w:tc>
                  <w:tcPr>
                    <w:tcW w:w="249" w:type="pct"/>
                    <w:tcBorders>
                      <w:left w:val="single" w:sz="4" w:space="0" w:color="auto"/>
                      <w:bottom w:val="single" w:sz="4" w:space="0" w:color="auto"/>
                      <w:right w:val="single" w:sz="4" w:space="0" w:color="auto"/>
                    </w:tcBorders>
                    <w:vAlign w:val="center"/>
                  </w:tcPr>
                  <w:p w14:paraId="6847938B" w14:textId="77777777" w:rsidR="007E7472" w:rsidRDefault="00EC1269">
                    <w:pPr>
                      <w:jc w:val="center"/>
                    </w:pPr>
                    <w:r>
                      <w:rPr>
                        <w:rFonts w:hint="eastAsia"/>
                      </w:rPr>
                      <w:t>比例</w:t>
                    </w:r>
                    <w:r>
                      <w:t>(%)</w:t>
                    </w:r>
                  </w:p>
                </w:tc>
              </w:sdtContent>
            </w:sdt>
            <w:sdt>
              <w:sdtPr>
                <w:tag w:val="_PLD_dd9c9061f11b453c8775ca1a11382d92"/>
                <w:id w:val="-959800582"/>
              </w:sdtPr>
              <w:sdtEndPr/>
              <w:sdtContent>
                <w:tc>
                  <w:tcPr>
                    <w:tcW w:w="452" w:type="pct"/>
                    <w:tcBorders>
                      <w:left w:val="single" w:sz="4" w:space="0" w:color="auto"/>
                      <w:bottom w:val="single" w:sz="4" w:space="0" w:color="auto"/>
                      <w:right w:val="single" w:sz="4" w:space="0" w:color="auto"/>
                    </w:tcBorders>
                    <w:vAlign w:val="center"/>
                  </w:tcPr>
                  <w:p w14:paraId="1CF42BF7" w14:textId="77777777" w:rsidR="007E7472" w:rsidRDefault="00EC1269">
                    <w:pPr>
                      <w:jc w:val="center"/>
                    </w:pPr>
                    <w:r>
                      <w:rPr>
                        <w:rFonts w:hint="eastAsia"/>
                      </w:rPr>
                      <w:t>金额</w:t>
                    </w:r>
                  </w:p>
                </w:tc>
              </w:sdtContent>
            </w:sdt>
            <w:sdt>
              <w:sdtPr>
                <w:tag w:val="_PLD_988b69362ac14c0e94c26191e76b1e3a"/>
                <w:id w:val="-893504666"/>
              </w:sdtPr>
              <w:sdtEndPr/>
              <w:sdtContent>
                <w:tc>
                  <w:tcPr>
                    <w:tcW w:w="261" w:type="pct"/>
                    <w:tcBorders>
                      <w:left w:val="single" w:sz="4" w:space="0" w:color="auto"/>
                      <w:bottom w:val="single" w:sz="4" w:space="0" w:color="auto"/>
                      <w:right w:val="single" w:sz="4" w:space="0" w:color="auto"/>
                    </w:tcBorders>
                    <w:vAlign w:val="center"/>
                  </w:tcPr>
                  <w:p w14:paraId="5E476EDB" w14:textId="77777777" w:rsidR="007E7472" w:rsidRDefault="00EC1269">
                    <w:pPr>
                      <w:jc w:val="center"/>
                    </w:pPr>
                    <w:r>
                      <w:rPr>
                        <w:rFonts w:hint="eastAsia"/>
                      </w:rPr>
                      <w:t>计提比例</w:t>
                    </w:r>
                    <w:r>
                      <w:t>(%)</w:t>
                    </w:r>
                  </w:p>
                </w:tc>
              </w:sdtContent>
            </w:sdt>
            <w:tc>
              <w:tcPr>
                <w:tcW w:w="571" w:type="pct"/>
                <w:vMerge/>
                <w:tcBorders>
                  <w:left w:val="single" w:sz="4" w:space="0" w:color="auto"/>
                  <w:bottom w:val="single" w:sz="4" w:space="0" w:color="auto"/>
                  <w:right w:val="single" w:sz="4" w:space="0" w:color="auto"/>
                </w:tcBorders>
                <w:vAlign w:val="center"/>
              </w:tcPr>
              <w:p w14:paraId="7574B660" w14:textId="77777777" w:rsidR="007E7472" w:rsidRDefault="00C8327E">
                <w:pPr>
                  <w:jc w:val="center"/>
                </w:pPr>
              </w:p>
            </w:tc>
            <w:sdt>
              <w:sdtPr>
                <w:tag w:val="_PLD_a5c1af5c86d545b993971c3da029159d"/>
                <w:id w:val="565537279"/>
              </w:sdtPr>
              <w:sdtEndPr/>
              <w:sdtContent>
                <w:tc>
                  <w:tcPr>
                    <w:tcW w:w="571" w:type="pct"/>
                    <w:tcBorders>
                      <w:left w:val="single" w:sz="4" w:space="0" w:color="auto"/>
                      <w:bottom w:val="single" w:sz="4" w:space="0" w:color="auto"/>
                      <w:right w:val="single" w:sz="4" w:space="0" w:color="auto"/>
                    </w:tcBorders>
                    <w:vAlign w:val="center"/>
                  </w:tcPr>
                  <w:p w14:paraId="19857385" w14:textId="77777777" w:rsidR="007E7472" w:rsidRDefault="00EC1269">
                    <w:pPr>
                      <w:jc w:val="center"/>
                    </w:pPr>
                    <w:r>
                      <w:rPr>
                        <w:rFonts w:hint="eastAsia"/>
                      </w:rPr>
                      <w:t>金额</w:t>
                    </w:r>
                  </w:p>
                </w:tc>
              </w:sdtContent>
            </w:sdt>
            <w:sdt>
              <w:sdtPr>
                <w:tag w:val="_PLD_fd80073c74724a799d0de2171d95f241"/>
                <w:id w:val="-1534800170"/>
              </w:sdtPr>
              <w:sdtEndPr/>
              <w:sdtContent>
                <w:tc>
                  <w:tcPr>
                    <w:tcW w:w="279" w:type="pct"/>
                    <w:tcBorders>
                      <w:left w:val="single" w:sz="4" w:space="0" w:color="auto"/>
                      <w:bottom w:val="single" w:sz="4" w:space="0" w:color="auto"/>
                      <w:right w:val="single" w:sz="4" w:space="0" w:color="auto"/>
                    </w:tcBorders>
                    <w:vAlign w:val="center"/>
                  </w:tcPr>
                  <w:p w14:paraId="2FAD657F" w14:textId="77777777" w:rsidR="007E7472" w:rsidRDefault="00EC1269">
                    <w:pPr>
                      <w:jc w:val="center"/>
                    </w:pPr>
                    <w:r>
                      <w:rPr>
                        <w:rFonts w:hint="eastAsia"/>
                      </w:rPr>
                      <w:t>比例</w:t>
                    </w:r>
                    <w:r>
                      <w:t>(%)</w:t>
                    </w:r>
                  </w:p>
                </w:tc>
              </w:sdtContent>
            </w:sdt>
            <w:sdt>
              <w:sdtPr>
                <w:tag w:val="_PLD_917059b3ee7f4b52afe8c3fa58f3e369"/>
                <w:id w:val="1068075009"/>
              </w:sdtPr>
              <w:sdtEndPr/>
              <w:sdtContent>
                <w:tc>
                  <w:tcPr>
                    <w:tcW w:w="452" w:type="pct"/>
                    <w:tcBorders>
                      <w:left w:val="single" w:sz="4" w:space="0" w:color="auto"/>
                      <w:bottom w:val="single" w:sz="4" w:space="0" w:color="auto"/>
                      <w:right w:val="single" w:sz="4" w:space="0" w:color="auto"/>
                    </w:tcBorders>
                    <w:vAlign w:val="center"/>
                  </w:tcPr>
                  <w:p w14:paraId="2A1B8B1C" w14:textId="77777777" w:rsidR="007E7472" w:rsidRDefault="00EC1269">
                    <w:pPr>
                      <w:jc w:val="center"/>
                    </w:pPr>
                    <w:r>
                      <w:rPr>
                        <w:rFonts w:hint="eastAsia"/>
                      </w:rPr>
                      <w:t>金额</w:t>
                    </w:r>
                  </w:p>
                </w:tc>
              </w:sdtContent>
            </w:sdt>
            <w:sdt>
              <w:sdtPr>
                <w:tag w:val="_PLD_ea90ccc029834397956c79bbe869d343"/>
                <w:id w:val="-486170033"/>
              </w:sdtPr>
              <w:sdtEndPr/>
              <w:sdtContent>
                <w:tc>
                  <w:tcPr>
                    <w:tcW w:w="341" w:type="pct"/>
                    <w:tcBorders>
                      <w:left w:val="single" w:sz="4" w:space="0" w:color="auto"/>
                      <w:bottom w:val="single" w:sz="4" w:space="0" w:color="auto"/>
                      <w:right w:val="single" w:sz="4" w:space="0" w:color="auto"/>
                    </w:tcBorders>
                    <w:vAlign w:val="center"/>
                  </w:tcPr>
                  <w:p w14:paraId="7DB48011" w14:textId="77777777" w:rsidR="007E7472" w:rsidRDefault="00EC1269">
                    <w:pPr>
                      <w:jc w:val="center"/>
                    </w:pPr>
                    <w:r>
                      <w:rPr>
                        <w:rFonts w:hint="eastAsia"/>
                      </w:rPr>
                      <w:t>计提比例</w:t>
                    </w:r>
                    <w:r>
                      <w:t>(%)</w:t>
                    </w:r>
                  </w:p>
                </w:tc>
              </w:sdtContent>
            </w:sdt>
            <w:tc>
              <w:tcPr>
                <w:tcW w:w="571" w:type="pct"/>
                <w:vMerge/>
                <w:tcBorders>
                  <w:left w:val="single" w:sz="4" w:space="0" w:color="auto"/>
                  <w:bottom w:val="single" w:sz="4" w:space="0" w:color="auto"/>
                  <w:right w:val="single" w:sz="4" w:space="0" w:color="auto"/>
                </w:tcBorders>
              </w:tcPr>
              <w:p w14:paraId="10A216A5" w14:textId="77777777" w:rsidR="007E7472" w:rsidRDefault="00C8327E">
                <w:pPr>
                  <w:jc w:val="center"/>
                </w:pPr>
              </w:p>
            </w:tc>
          </w:tr>
          <w:tr w:rsidR="007E7472" w14:paraId="68D08827" w14:textId="77777777">
            <w:trPr>
              <w:cantSplit/>
            </w:trPr>
            <w:sdt>
              <w:sdtPr>
                <w:tag w:val="_PLD_d8f2e8353bc54fe8b730d8cdf873f57c"/>
                <w:id w:val="438490143"/>
              </w:sdtPr>
              <w:sdtEndPr/>
              <w:sdtContent>
                <w:tc>
                  <w:tcPr>
                    <w:tcW w:w="681" w:type="pct"/>
                    <w:tcBorders>
                      <w:top w:val="single" w:sz="4" w:space="0" w:color="auto"/>
                      <w:left w:val="single" w:sz="4" w:space="0" w:color="auto"/>
                      <w:bottom w:val="single" w:sz="4" w:space="0" w:color="auto"/>
                      <w:right w:val="single" w:sz="4" w:space="0" w:color="auto"/>
                    </w:tcBorders>
                  </w:tcPr>
                  <w:p w14:paraId="2D418D0E" w14:textId="77777777" w:rsidR="007E7472" w:rsidRDefault="00EC1269">
                    <w:pPr>
                      <w:jc w:val="both"/>
                    </w:pPr>
                    <w:r>
                      <w:rPr>
                        <w:rFonts w:hint="eastAsia"/>
                      </w:rPr>
                      <w:t>按单项计提坏账准备</w:t>
                    </w:r>
                  </w:p>
                </w:tc>
              </w:sdtContent>
            </w:sdt>
            <w:tc>
              <w:tcPr>
                <w:tcW w:w="571" w:type="pct"/>
                <w:tcBorders>
                  <w:top w:val="single" w:sz="4" w:space="0" w:color="auto"/>
                  <w:left w:val="single" w:sz="4" w:space="0" w:color="auto"/>
                  <w:bottom w:val="single" w:sz="4" w:space="0" w:color="auto"/>
                  <w:right w:val="single" w:sz="4" w:space="0" w:color="auto"/>
                </w:tcBorders>
                <w:vAlign w:val="center"/>
              </w:tcPr>
              <w:p w14:paraId="46CD2D46" w14:textId="77777777" w:rsidR="007E7472" w:rsidRDefault="00EC1269">
                <w:pPr>
                  <w:jc w:val="right"/>
                  <w:rPr>
                    <w:bCs/>
                    <w:sz w:val="24"/>
                    <w:szCs w:val="24"/>
                  </w:rPr>
                </w:pPr>
                <w:r>
                  <w:t>267,360</w:t>
                </w:r>
              </w:p>
            </w:tc>
            <w:tc>
              <w:tcPr>
                <w:tcW w:w="249" w:type="pct"/>
                <w:tcBorders>
                  <w:top w:val="single" w:sz="4" w:space="0" w:color="auto"/>
                  <w:left w:val="single" w:sz="4" w:space="0" w:color="auto"/>
                  <w:bottom w:val="single" w:sz="4" w:space="0" w:color="auto"/>
                  <w:right w:val="single" w:sz="4" w:space="0" w:color="auto"/>
                </w:tcBorders>
                <w:vAlign w:val="center"/>
              </w:tcPr>
              <w:p w14:paraId="484EB271" w14:textId="77777777" w:rsidR="007E7472" w:rsidRDefault="00EC1269">
                <w:pPr>
                  <w:jc w:val="right"/>
                </w:pPr>
                <w:r>
                  <w:t>10</w:t>
                </w:r>
              </w:p>
            </w:tc>
            <w:tc>
              <w:tcPr>
                <w:tcW w:w="452" w:type="pct"/>
                <w:tcBorders>
                  <w:top w:val="single" w:sz="4" w:space="0" w:color="auto"/>
                  <w:left w:val="single" w:sz="4" w:space="0" w:color="auto"/>
                  <w:bottom w:val="single" w:sz="4" w:space="0" w:color="auto"/>
                  <w:right w:val="single" w:sz="4" w:space="0" w:color="auto"/>
                </w:tcBorders>
                <w:vAlign w:val="center"/>
              </w:tcPr>
              <w:p w14:paraId="0E2074FE" w14:textId="77777777" w:rsidR="007E7472" w:rsidRDefault="00EC1269">
                <w:pPr>
                  <w:jc w:val="right"/>
                </w:pPr>
                <w:r>
                  <w:t>188,677</w:t>
                </w:r>
              </w:p>
            </w:tc>
            <w:tc>
              <w:tcPr>
                <w:tcW w:w="261" w:type="pct"/>
                <w:tcBorders>
                  <w:top w:val="single" w:sz="4" w:space="0" w:color="auto"/>
                  <w:left w:val="single" w:sz="4" w:space="0" w:color="auto"/>
                  <w:bottom w:val="single" w:sz="4" w:space="0" w:color="auto"/>
                  <w:right w:val="single" w:sz="4" w:space="0" w:color="auto"/>
                </w:tcBorders>
                <w:vAlign w:val="center"/>
              </w:tcPr>
              <w:p w14:paraId="0E34E2E2" w14:textId="77777777" w:rsidR="007E7472" w:rsidRDefault="00EC1269">
                <w:pPr>
                  <w:jc w:val="right"/>
                  <w:rPr>
                    <w:bCs/>
                    <w:sz w:val="24"/>
                    <w:szCs w:val="24"/>
                  </w:rPr>
                </w:pPr>
                <w:r>
                  <w:t>71</w:t>
                </w:r>
              </w:p>
            </w:tc>
            <w:tc>
              <w:tcPr>
                <w:tcW w:w="571" w:type="pct"/>
                <w:tcBorders>
                  <w:top w:val="single" w:sz="4" w:space="0" w:color="auto"/>
                  <w:left w:val="single" w:sz="4" w:space="0" w:color="auto"/>
                  <w:bottom w:val="single" w:sz="4" w:space="0" w:color="auto"/>
                  <w:right w:val="single" w:sz="4" w:space="0" w:color="auto"/>
                </w:tcBorders>
                <w:vAlign w:val="center"/>
              </w:tcPr>
              <w:p w14:paraId="1DF0AAD5" w14:textId="77777777" w:rsidR="007E7472" w:rsidRDefault="00EC1269">
                <w:pPr>
                  <w:jc w:val="right"/>
                </w:pPr>
                <w:r>
                  <w:t>78,683</w:t>
                </w:r>
              </w:p>
            </w:tc>
            <w:tc>
              <w:tcPr>
                <w:tcW w:w="571" w:type="pct"/>
                <w:tcBorders>
                  <w:top w:val="single" w:sz="4" w:space="0" w:color="auto"/>
                  <w:left w:val="single" w:sz="4" w:space="0" w:color="auto"/>
                  <w:bottom w:val="single" w:sz="4" w:space="0" w:color="auto"/>
                  <w:right w:val="single" w:sz="4" w:space="0" w:color="auto"/>
                </w:tcBorders>
                <w:vAlign w:val="center"/>
              </w:tcPr>
              <w:p w14:paraId="34D65FBB" w14:textId="77777777" w:rsidR="007E7472" w:rsidRDefault="00EC1269">
                <w:pPr>
                  <w:jc w:val="right"/>
                  <w:rPr>
                    <w:bCs/>
                    <w:sz w:val="24"/>
                    <w:szCs w:val="24"/>
                  </w:rPr>
                </w:pPr>
                <w:r>
                  <w:t>270,360</w:t>
                </w:r>
              </w:p>
            </w:tc>
            <w:tc>
              <w:tcPr>
                <w:tcW w:w="279" w:type="pct"/>
                <w:tcBorders>
                  <w:top w:val="single" w:sz="4" w:space="0" w:color="auto"/>
                  <w:left w:val="single" w:sz="4" w:space="0" w:color="auto"/>
                  <w:bottom w:val="single" w:sz="4" w:space="0" w:color="auto"/>
                  <w:right w:val="single" w:sz="4" w:space="0" w:color="auto"/>
                </w:tcBorders>
                <w:vAlign w:val="center"/>
              </w:tcPr>
              <w:p w14:paraId="1F23652C" w14:textId="77777777" w:rsidR="007E7472" w:rsidRDefault="00EC1269">
                <w:pPr>
                  <w:jc w:val="right"/>
                </w:pPr>
                <w:r>
                  <w:t>16</w:t>
                </w:r>
              </w:p>
            </w:tc>
            <w:tc>
              <w:tcPr>
                <w:tcW w:w="452" w:type="pct"/>
                <w:tcBorders>
                  <w:top w:val="single" w:sz="4" w:space="0" w:color="auto"/>
                  <w:left w:val="single" w:sz="4" w:space="0" w:color="auto"/>
                  <w:bottom w:val="single" w:sz="4" w:space="0" w:color="auto"/>
                  <w:right w:val="single" w:sz="4" w:space="0" w:color="auto"/>
                </w:tcBorders>
                <w:vAlign w:val="center"/>
              </w:tcPr>
              <w:p w14:paraId="2BED1377" w14:textId="77777777" w:rsidR="007E7472" w:rsidRDefault="00EC1269">
                <w:pPr>
                  <w:jc w:val="right"/>
                </w:pPr>
                <w:r>
                  <w:t>190,775</w:t>
                </w:r>
              </w:p>
            </w:tc>
            <w:tc>
              <w:tcPr>
                <w:tcW w:w="341" w:type="pct"/>
                <w:tcBorders>
                  <w:top w:val="single" w:sz="4" w:space="0" w:color="auto"/>
                  <w:left w:val="single" w:sz="4" w:space="0" w:color="auto"/>
                  <w:bottom w:val="single" w:sz="4" w:space="0" w:color="auto"/>
                  <w:right w:val="single" w:sz="4" w:space="0" w:color="auto"/>
                </w:tcBorders>
                <w:vAlign w:val="center"/>
              </w:tcPr>
              <w:p w14:paraId="411084D6" w14:textId="77777777" w:rsidR="007E7472" w:rsidRDefault="00EC1269">
                <w:pPr>
                  <w:jc w:val="right"/>
                </w:pPr>
                <w:r>
                  <w:t>71</w:t>
                </w:r>
              </w:p>
            </w:tc>
            <w:tc>
              <w:tcPr>
                <w:tcW w:w="571" w:type="pct"/>
                <w:tcBorders>
                  <w:top w:val="single" w:sz="4" w:space="0" w:color="auto"/>
                  <w:left w:val="single" w:sz="4" w:space="0" w:color="auto"/>
                  <w:bottom w:val="single" w:sz="4" w:space="0" w:color="auto"/>
                  <w:right w:val="single" w:sz="4" w:space="0" w:color="auto"/>
                </w:tcBorders>
                <w:vAlign w:val="center"/>
              </w:tcPr>
              <w:p w14:paraId="31C4DFF5" w14:textId="77777777" w:rsidR="007E7472" w:rsidRDefault="00EC1269">
                <w:pPr>
                  <w:jc w:val="right"/>
                </w:pPr>
                <w:r>
                  <w:t>79,585</w:t>
                </w:r>
              </w:p>
            </w:tc>
          </w:tr>
          <w:tr w:rsidR="007E7472" w14:paraId="48B2BBEE" w14:textId="77777777">
            <w:trPr>
              <w:cantSplit/>
            </w:trPr>
            <w:sdt>
              <w:sdtPr>
                <w:tag w:val="_PLD_c2fb108392ea494fbb3dda9bd8528dd0"/>
                <w:id w:val="441125204"/>
              </w:sdtPr>
              <w:sdtEndPr/>
              <w:sdtContent>
                <w:tc>
                  <w:tcPr>
                    <w:tcW w:w="681" w:type="pct"/>
                    <w:tcBorders>
                      <w:top w:val="single" w:sz="4" w:space="0" w:color="auto"/>
                      <w:left w:val="single" w:sz="4" w:space="0" w:color="auto"/>
                      <w:bottom w:val="single" w:sz="4" w:space="0" w:color="auto"/>
                      <w:right w:val="single" w:sz="4" w:space="0" w:color="auto"/>
                    </w:tcBorders>
                    <w:vAlign w:val="center"/>
                  </w:tcPr>
                  <w:p w14:paraId="23042B51" w14:textId="77777777" w:rsidR="007E7472" w:rsidRDefault="00EC1269">
                    <w:pPr>
                      <w:jc w:val="both"/>
                    </w:pPr>
                    <w:r>
                      <w:rPr>
                        <w:rFonts w:hint="eastAsia"/>
                      </w:rPr>
                      <w:t>按组合计提坏账准备</w:t>
                    </w:r>
                  </w:p>
                </w:tc>
              </w:sdtContent>
            </w:sdt>
            <w:tc>
              <w:tcPr>
                <w:tcW w:w="571" w:type="pct"/>
                <w:tcBorders>
                  <w:top w:val="single" w:sz="4" w:space="0" w:color="auto"/>
                  <w:left w:val="single" w:sz="4" w:space="0" w:color="auto"/>
                  <w:bottom w:val="single" w:sz="4" w:space="0" w:color="auto"/>
                  <w:right w:val="single" w:sz="4" w:space="0" w:color="auto"/>
                </w:tcBorders>
                <w:vAlign w:val="center"/>
              </w:tcPr>
              <w:p w14:paraId="71FE9285" w14:textId="77777777" w:rsidR="007E7472" w:rsidRDefault="00EC1269">
                <w:pPr>
                  <w:jc w:val="right"/>
                </w:pPr>
                <w:r>
                  <w:t>2,354,629</w:t>
                </w:r>
              </w:p>
            </w:tc>
            <w:tc>
              <w:tcPr>
                <w:tcW w:w="249" w:type="pct"/>
                <w:tcBorders>
                  <w:top w:val="single" w:sz="4" w:space="0" w:color="auto"/>
                  <w:left w:val="single" w:sz="4" w:space="0" w:color="auto"/>
                  <w:bottom w:val="single" w:sz="4" w:space="0" w:color="auto"/>
                  <w:right w:val="single" w:sz="4" w:space="0" w:color="auto"/>
                </w:tcBorders>
                <w:vAlign w:val="center"/>
              </w:tcPr>
              <w:p w14:paraId="4E47FF30" w14:textId="77777777" w:rsidR="007E7472" w:rsidRDefault="00EC1269">
                <w:pPr>
                  <w:jc w:val="right"/>
                </w:pPr>
                <w:r>
                  <w:t>90</w:t>
                </w:r>
              </w:p>
            </w:tc>
            <w:tc>
              <w:tcPr>
                <w:tcW w:w="452" w:type="pct"/>
                <w:tcBorders>
                  <w:top w:val="single" w:sz="4" w:space="0" w:color="auto"/>
                  <w:left w:val="single" w:sz="4" w:space="0" w:color="auto"/>
                  <w:bottom w:val="single" w:sz="4" w:space="0" w:color="auto"/>
                  <w:right w:val="single" w:sz="4" w:space="0" w:color="auto"/>
                </w:tcBorders>
                <w:vAlign w:val="center"/>
              </w:tcPr>
              <w:p w14:paraId="3B15AC7B" w14:textId="77777777" w:rsidR="007E7472" w:rsidRDefault="00EC1269">
                <w:pPr>
                  <w:jc w:val="right"/>
                </w:pPr>
                <w:r>
                  <w:t>20,622</w:t>
                </w:r>
              </w:p>
            </w:tc>
            <w:tc>
              <w:tcPr>
                <w:tcW w:w="261" w:type="pct"/>
                <w:tcBorders>
                  <w:top w:val="single" w:sz="4" w:space="0" w:color="auto"/>
                  <w:left w:val="single" w:sz="4" w:space="0" w:color="auto"/>
                  <w:bottom w:val="single" w:sz="4" w:space="0" w:color="auto"/>
                  <w:right w:val="single" w:sz="4" w:space="0" w:color="auto"/>
                </w:tcBorders>
                <w:vAlign w:val="center"/>
              </w:tcPr>
              <w:p w14:paraId="4986AE92" w14:textId="77777777" w:rsidR="007E7472" w:rsidRDefault="00EC1269">
                <w:pPr>
                  <w:jc w:val="right"/>
                </w:pPr>
                <w:r>
                  <w:t>1</w:t>
                </w:r>
              </w:p>
            </w:tc>
            <w:tc>
              <w:tcPr>
                <w:tcW w:w="571" w:type="pct"/>
                <w:tcBorders>
                  <w:top w:val="single" w:sz="4" w:space="0" w:color="auto"/>
                  <w:left w:val="single" w:sz="4" w:space="0" w:color="auto"/>
                  <w:bottom w:val="single" w:sz="4" w:space="0" w:color="auto"/>
                  <w:right w:val="single" w:sz="4" w:space="0" w:color="auto"/>
                </w:tcBorders>
                <w:vAlign w:val="center"/>
              </w:tcPr>
              <w:p w14:paraId="4EE3E03E" w14:textId="77777777" w:rsidR="007E7472" w:rsidRDefault="00EC1269">
                <w:pPr>
                  <w:jc w:val="right"/>
                </w:pPr>
                <w:r>
                  <w:t>2,334,007</w:t>
                </w:r>
              </w:p>
            </w:tc>
            <w:tc>
              <w:tcPr>
                <w:tcW w:w="571" w:type="pct"/>
                <w:tcBorders>
                  <w:top w:val="single" w:sz="4" w:space="0" w:color="auto"/>
                  <w:left w:val="single" w:sz="4" w:space="0" w:color="auto"/>
                  <w:bottom w:val="single" w:sz="4" w:space="0" w:color="auto"/>
                  <w:right w:val="single" w:sz="4" w:space="0" w:color="auto"/>
                </w:tcBorders>
                <w:vAlign w:val="center"/>
              </w:tcPr>
              <w:p w14:paraId="171E9620" w14:textId="77777777" w:rsidR="007E7472" w:rsidRDefault="00EC1269">
                <w:pPr>
                  <w:jc w:val="right"/>
                </w:pPr>
                <w:r>
                  <w:t>1,381,356</w:t>
                </w:r>
              </w:p>
            </w:tc>
            <w:tc>
              <w:tcPr>
                <w:tcW w:w="279" w:type="pct"/>
                <w:tcBorders>
                  <w:top w:val="single" w:sz="4" w:space="0" w:color="auto"/>
                  <w:left w:val="single" w:sz="4" w:space="0" w:color="auto"/>
                  <w:bottom w:val="single" w:sz="4" w:space="0" w:color="auto"/>
                  <w:right w:val="single" w:sz="4" w:space="0" w:color="auto"/>
                </w:tcBorders>
                <w:vAlign w:val="center"/>
              </w:tcPr>
              <w:p w14:paraId="0B71F6CF" w14:textId="77777777" w:rsidR="007E7472" w:rsidRDefault="00EC1269">
                <w:pPr>
                  <w:jc w:val="right"/>
                </w:pPr>
                <w:r>
                  <w:t>84</w:t>
                </w:r>
              </w:p>
            </w:tc>
            <w:tc>
              <w:tcPr>
                <w:tcW w:w="452" w:type="pct"/>
                <w:tcBorders>
                  <w:top w:val="single" w:sz="4" w:space="0" w:color="auto"/>
                  <w:left w:val="single" w:sz="4" w:space="0" w:color="auto"/>
                  <w:bottom w:val="single" w:sz="4" w:space="0" w:color="auto"/>
                  <w:right w:val="single" w:sz="4" w:space="0" w:color="auto"/>
                </w:tcBorders>
                <w:vAlign w:val="center"/>
              </w:tcPr>
              <w:p w14:paraId="2E162AFB" w14:textId="77777777" w:rsidR="007E7472" w:rsidRDefault="00EC1269">
                <w:pPr>
                  <w:jc w:val="right"/>
                </w:pPr>
                <w:r>
                  <w:t>2,651</w:t>
                </w:r>
              </w:p>
            </w:tc>
            <w:tc>
              <w:tcPr>
                <w:tcW w:w="341" w:type="pct"/>
                <w:tcBorders>
                  <w:top w:val="single" w:sz="4" w:space="0" w:color="auto"/>
                  <w:left w:val="single" w:sz="4" w:space="0" w:color="auto"/>
                  <w:bottom w:val="single" w:sz="4" w:space="0" w:color="auto"/>
                  <w:right w:val="single" w:sz="4" w:space="0" w:color="auto"/>
                </w:tcBorders>
                <w:vAlign w:val="center"/>
              </w:tcPr>
              <w:p w14:paraId="237BB979" w14:textId="77777777" w:rsidR="007E7472" w:rsidRDefault="00C8327E">
                <w:pPr>
                  <w:jc w:val="right"/>
                </w:pPr>
              </w:p>
            </w:tc>
            <w:tc>
              <w:tcPr>
                <w:tcW w:w="571" w:type="pct"/>
                <w:tcBorders>
                  <w:top w:val="single" w:sz="4" w:space="0" w:color="auto"/>
                  <w:left w:val="single" w:sz="4" w:space="0" w:color="auto"/>
                  <w:bottom w:val="single" w:sz="4" w:space="0" w:color="auto"/>
                  <w:right w:val="single" w:sz="4" w:space="0" w:color="auto"/>
                </w:tcBorders>
                <w:vAlign w:val="center"/>
              </w:tcPr>
              <w:p w14:paraId="5C872C13" w14:textId="77777777" w:rsidR="007E7472" w:rsidRDefault="00EC1269">
                <w:pPr>
                  <w:jc w:val="right"/>
                </w:pPr>
                <w:r>
                  <w:t>1,378,705</w:t>
                </w:r>
              </w:p>
            </w:tc>
          </w:tr>
          <w:tr w:rsidR="007E7472" w14:paraId="3B4CD2D0" w14:textId="77777777">
            <w:trPr>
              <w:cantSplit/>
            </w:trPr>
            <w:sdt>
              <w:sdtPr>
                <w:tag w:val="_PLD_bd68cdc38a0e426ea1ec99be844140b3"/>
                <w:id w:val="451062102"/>
              </w:sdtPr>
              <w:sdtEndPr/>
              <w:sdtContent>
                <w:tc>
                  <w:tcPr>
                    <w:tcW w:w="5000" w:type="pct"/>
                    <w:gridSpan w:val="11"/>
                    <w:tcBorders>
                      <w:top w:val="single" w:sz="4" w:space="0" w:color="auto"/>
                      <w:left w:val="single" w:sz="4" w:space="0" w:color="auto"/>
                      <w:bottom w:val="single" w:sz="4" w:space="0" w:color="auto"/>
                      <w:right w:val="single" w:sz="4" w:space="0" w:color="auto"/>
                    </w:tcBorders>
                  </w:tcPr>
                  <w:p w14:paraId="0BE069F0" w14:textId="77777777" w:rsidR="007E7472" w:rsidRDefault="00EC1269">
                    <w:r>
                      <w:rPr>
                        <w:rFonts w:hint="eastAsia"/>
                      </w:rPr>
                      <w:t>其中：</w:t>
                    </w:r>
                  </w:p>
                </w:tc>
              </w:sdtContent>
            </w:sdt>
          </w:tr>
          <w:sdt>
            <w:sdtPr>
              <w:alias w:val="按组合计提坏账准备的应收账款明细"/>
              <w:tag w:val="_TUP_d12105eecf1f43bb9d549b5dd7af65bd"/>
              <w:id w:val="1461150247"/>
            </w:sdtPr>
            <w:sdtEndPr/>
            <w:sdtContent>
              <w:tr w:rsidR="007E7472" w14:paraId="244393F9" w14:textId="77777777">
                <w:trPr>
                  <w:cantSplit/>
                </w:trPr>
                <w:sdt>
                  <w:sdtPr>
                    <w:alias w:val="按组合计提坏账准备的应收账款明细-组合名称"/>
                    <w:tag w:val="_GBC_1d1150cff5254d829cba03da56c2e941"/>
                    <w:id w:val="-1477599527"/>
                  </w:sdtPr>
                  <w:sdtEndPr/>
                  <w:sdtContent>
                    <w:tc>
                      <w:tcPr>
                        <w:tcW w:w="681" w:type="pct"/>
                        <w:tcBorders>
                          <w:top w:val="single" w:sz="4" w:space="0" w:color="auto"/>
                          <w:left w:val="single" w:sz="4" w:space="0" w:color="auto"/>
                          <w:bottom w:val="single" w:sz="4" w:space="0" w:color="auto"/>
                          <w:right w:val="single" w:sz="4" w:space="0" w:color="auto"/>
                        </w:tcBorders>
                      </w:tcPr>
                      <w:p w14:paraId="0D403900" w14:textId="77777777" w:rsidR="007E7472" w:rsidRDefault="00EC1269">
                        <w:pPr>
                          <w:jc w:val="both"/>
                          <w:rPr>
                            <w:color w:val="808080"/>
                          </w:rPr>
                        </w:pPr>
                        <w:r>
                          <w:rPr>
                            <w:rFonts w:hint="eastAsia"/>
                          </w:rPr>
                          <w:t>账龄组合</w:t>
                        </w:r>
                      </w:p>
                    </w:tc>
                  </w:sdtContent>
                </w:sdt>
                <w:tc>
                  <w:tcPr>
                    <w:tcW w:w="571" w:type="pct"/>
                    <w:tcBorders>
                      <w:top w:val="single" w:sz="4" w:space="0" w:color="auto"/>
                      <w:left w:val="single" w:sz="4" w:space="0" w:color="auto"/>
                      <w:bottom w:val="single" w:sz="4" w:space="0" w:color="auto"/>
                      <w:right w:val="single" w:sz="4" w:space="0" w:color="auto"/>
                    </w:tcBorders>
                    <w:vAlign w:val="center"/>
                  </w:tcPr>
                  <w:p w14:paraId="73D77AC1" w14:textId="77777777" w:rsidR="007E7472" w:rsidRDefault="00EC1269">
                    <w:pPr>
                      <w:jc w:val="right"/>
                      <w:rPr>
                        <w:bCs/>
                        <w:sz w:val="24"/>
                        <w:szCs w:val="24"/>
                      </w:rPr>
                    </w:pPr>
                    <w:r>
                      <w:t>477,155</w:t>
                    </w:r>
                  </w:p>
                </w:tc>
                <w:tc>
                  <w:tcPr>
                    <w:tcW w:w="249" w:type="pct"/>
                    <w:tcBorders>
                      <w:top w:val="single" w:sz="4" w:space="0" w:color="auto"/>
                      <w:left w:val="single" w:sz="4" w:space="0" w:color="auto"/>
                      <w:bottom w:val="single" w:sz="4" w:space="0" w:color="auto"/>
                      <w:right w:val="single" w:sz="4" w:space="0" w:color="auto"/>
                    </w:tcBorders>
                    <w:vAlign w:val="center"/>
                  </w:tcPr>
                  <w:p w14:paraId="2C8D4270" w14:textId="77777777" w:rsidR="007E7472" w:rsidRDefault="00EC1269">
                    <w:pPr>
                      <w:jc w:val="right"/>
                    </w:pPr>
                    <w:r>
                      <w:t>18</w:t>
                    </w:r>
                  </w:p>
                </w:tc>
                <w:tc>
                  <w:tcPr>
                    <w:tcW w:w="452" w:type="pct"/>
                    <w:tcBorders>
                      <w:top w:val="single" w:sz="4" w:space="0" w:color="auto"/>
                      <w:left w:val="single" w:sz="4" w:space="0" w:color="auto"/>
                      <w:bottom w:val="single" w:sz="4" w:space="0" w:color="auto"/>
                      <w:right w:val="single" w:sz="4" w:space="0" w:color="auto"/>
                    </w:tcBorders>
                    <w:vAlign w:val="center"/>
                  </w:tcPr>
                  <w:p w14:paraId="423A9422" w14:textId="77777777" w:rsidR="007E7472" w:rsidRDefault="00EC1269">
                    <w:pPr>
                      <w:jc w:val="right"/>
                    </w:pPr>
                    <w:r>
                      <w:t>20,622</w:t>
                    </w:r>
                  </w:p>
                </w:tc>
                <w:tc>
                  <w:tcPr>
                    <w:tcW w:w="261" w:type="pct"/>
                    <w:tcBorders>
                      <w:top w:val="single" w:sz="4" w:space="0" w:color="auto"/>
                      <w:left w:val="single" w:sz="4" w:space="0" w:color="auto"/>
                      <w:bottom w:val="single" w:sz="4" w:space="0" w:color="auto"/>
                      <w:right w:val="single" w:sz="4" w:space="0" w:color="auto"/>
                    </w:tcBorders>
                    <w:vAlign w:val="center"/>
                  </w:tcPr>
                  <w:p w14:paraId="5C51C733" w14:textId="77777777" w:rsidR="007E7472" w:rsidRDefault="00EC1269">
                    <w:pPr>
                      <w:jc w:val="right"/>
                      <w:rPr>
                        <w:bCs/>
                        <w:sz w:val="24"/>
                        <w:szCs w:val="24"/>
                      </w:rPr>
                    </w:pPr>
                    <w:r>
                      <w:t>4</w:t>
                    </w:r>
                  </w:p>
                </w:tc>
                <w:tc>
                  <w:tcPr>
                    <w:tcW w:w="571" w:type="pct"/>
                    <w:tcBorders>
                      <w:top w:val="single" w:sz="4" w:space="0" w:color="auto"/>
                      <w:left w:val="single" w:sz="4" w:space="0" w:color="auto"/>
                      <w:bottom w:val="single" w:sz="4" w:space="0" w:color="auto"/>
                      <w:right w:val="single" w:sz="4" w:space="0" w:color="auto"/>
                    </w:tcBorders>
                    <w:vAlign w:val="center"/>
                  </w:tcPr>
                  <w:p w14:paraId="4853CA1E" w14:textId="77777777" w:rsidR="007E7472" w:rsidRDefault="00EC1269">
                    <w:pPr>
                      <w:jc w:val="right"/>
                    </w:pPr>
                    <w:r>
                      <w:t>456,533</w:t>
                    </w:r>
                  </w:p>
                </w:tc>
                <w:tc>
                  <w:tcPr>
                    <w:tcW w:w="571" w:type="pct"/>
                    <w:tcBorders>
                      <w:top w:val="single" w:sz="4" w:space="0" w:color="auto"/>
                      <w:left w:val="single" w:sz="4" w:space="0" w:color="auto"/>
                      <w:bottom w:val="single" w:sz="4" w:space="0" w:color="auto"/>
                      <w:right w:val="single" w:sz="4" w:space="0" w:color="auto"/>
                    </w:tcBorders>
                    <w:vAlign w:val="center"/>
                  </w:tcPr>
                  <w:p w14:paraId="517DAB87" w14:textId="77777777" w:rsidR="007E7472" w:rsidRDefault="00EC1269">
                    <w:pPr>
                      <w:jc w:val="right"/>
                      <w:rPr>
                        <w:bCs/>
                        <w:sz w:val="24"/>
                        <w:szCs w:val="24"/>
                      </w:rPr>
                    </w:pPr>
                    <w:r>
                      <w:t>100,116</w:t>
                    </w:r>
                  </w:p>
                </w:tc>
                <w:tc>
                  <w:tcPr>
                    <w:tcW w:w="279" w:type="pct"/>
                    <w:tcBorders>
                      <w:top w:val="single" w:sz="4" w:space="0" w:color="auto"/>
                      <w:left w:val="single" w:sz="4" w:space="0" w:color="auto"/>
                      <w:bottom w:val="single" w:sz="4" w:space="0" w:color="auto"/>
                      <w:right w:val="single" w:sz="4" w:space="0" w:color="auto"/>
                    </w:tcBorders>
                    <w:vAlign w:val="center"/>
                  </w:tcPr>
                  <w:p w14:paraId="5D2A3095" w14:textId="77777777" w:rsidR="007E7472" w:rsidRDefault="00EC1269">
                    <w:pPr>
                      <w:jc w:val="right"/>
                    </w:pPr>
                    <w:r>
                      <w:t>6</w:t>
                    </w:r>
                  </w:p>
                </w:tc>
                <w:tc>
                  <w:tcPr>
                    <w:tcW w:w="452" w:type="pct"/>
                    <w:tcBorders>
                      <w:top w:val="single" w:sz="4" w:space="0" w:color="auto"/>
                      <w:left w:val="single" w:sz="4" w:space="0" w:color="auto"/>
                      <w:bottom w:val="single" w:sz="4" w:space="0" w:color="auto"/>
                      <w:right w:val="single" w:sz="4" w:space="0" w:color="auto"/>
                    </w:tcBorders>
                    <w:vAlign w:val="center"/>
                  </w:tcPr>
                  <w:p w14:paraId="3696BC77" w14:textId="77777777" w:rsidR="007E7472" w:rsidRDefault="00EC1269">
                    <w:pPr>
                      <w:jc w:val="right"/>
                    </w:pPr>
                    <w:r>
                      <w:t>2,651</w:t>
                    </w:r>
                  </w:p>
                </w:tc>
                <w:tc>
                  <w:tcPr>
                    <w:tcW w:w="341" w:type="pct"/>
                    <w:tcBorders>
                      <w:top w:val="single" w:sz="4" w:space="0" w:color="auto"/>
                      <w:left w:val="single" w:sz="4" w:space="0" w:color="auto"/>
                      <w:bottom w:val="single" w:sz="4" w:space="0" w:color="auto"/>
                      <w:right w:val="single" w:sz="4" w:space="0" w:color="auto"/>
                    </w:tcBorders>
                    <w:vAlign w:val="center"/>
                  </w:tcPr>
                  <w:p w14:paraId="4FC8F021" w14:textId="77777777" w:rsidR="007E7472" w:rsidRDefault="00EC1269">
                    <w:pPr>
                      <w:jc w:val="right"/>
                    </w:pPr>
                    <w:r>
                      <w:rPr>
                        <w:rFonts w:hint="eastAsia"/>
                      </w:rPr>
                      <w:t>3</w:t>
                    </w:r>
                  </w:p>
                </w:tc>
                <w:tc>
                  <w:tcPr>
                    <w:tcW w:w="571" w:type="pct"/>
                    <w:tcBorders>
                      <w:top w:val="single" w:sz="4" w:space="0" w:color="auto"/>
                      <w:left w:val="single" w:sz="4" w:space="0" w:color="auto"/>
                      <w:bottom w:val="single" w:sz="4" w:space="0" w:color="auto"/>
                      <w:right w:val="single" w:sz="4" w:space="0" w:color="auto"/>
                    </w:tcBorders>
                    <w:vAlign w:val="center"/>
                  </w:tcPr>
                  <w:p w14:paraId="6AB10617" w14:textId="77777777" w:rsidR="007E7472" w:rsidRDefault="00EC1269">
                    <w:pPr>
                      <w:jc w:val="right"/>
                    </w:pPr>
                    <w:r>
                      <w:t>97,465</w:t>
                    </w:r>
                  </w:p>
                </w:tc>
              </w:tr>
            </w:sdtContent>
          </w:sdt>
          <w:sdt>
            <w:sdtPr>
              <w:alias w:val="按组合计提坏账准备的应收账款明细"/>
              <w:tag w:val="_TUP_d12105eecf1f43bb9d549b5dd7af65bd"/>
              <w:id w:val="-2120289780"/>
            </w:sdtPr>
            <w:sdtEndPr/>
            <w:sdtContent>
              <w:tr w:rsidR="007E7472" w14:paraId="0DA3CFC7" w14:textId="77777777">
                <w:trPr>
                  <w:cantSplit/>
                </w:trPr>
                <w:sdt>
                  <w:sdtPr>
                    <w:alias w:val="按组合计提坏账准备的应收账款明细-组合名称"/>
                    <w:tag w:val="_GBC_1d1150cff5254d829cba03da56c2e941"/>
                    <w:id w:val="-734626568"/>
                  </w:sdtPr>
                  <w:sdtEndPr/>
                  <w:sdtContent>
                    <w:tc>
                      <w:tcPr>
                        <w:tcW w:w="681" w:type="pct"/>
                        <w:tcBorders>
                          <w:top w:val="single" w:sz="4" w:space="0" w:color="auto"/>
                          <w:left w:val="single" w:sz="4" w:space="0" w:color="auto"/>
                          <w:bottom w:val="single" w:sz="4" w:space="0" w:color="auto"/>
                          <w:right w:val="single" w:sz="4" w:space="0" w:color="auto"/>
                        </w:tcBorders>
                      </w:tcPr>
                      <w:p w14:paraId="4F907559" w14:textId="77777777" w:rsidR="007E7472" w:rsidRDefault="00EC1269">
                        <w:pPr>
                          <w:jc w:val="both"/>
                          <w:rPr>
                            <w:color w:val="808080"/>
                          </w:rPr>
                        </w:pPr>
                        <w:r>
                          <w:rPr>
                            <w:rFonts w:hint="eastAsia"/>
                          </w:rPr>
                          <w:t>关联方组合</w:t>
                        </w:r>
                      </w:p>
                    </w:tc>
                  </w:sdtContent>
                </w:sdt>
                <w:tc>
                  <w:tcPr>
                    <w:tcW w:w="571" w:type="pct"/>
                    <w:tcBorders>
                      <w:top w:val="single" w:sz="4" w:space="0" w:color="auto"/>
                      <w:left w:val="single" w:sz="4" w:space="0" w:color="auto"/>
                      <w:bottom w:val="single" w:sz="4" w:space="0" w:color="auto"/>
                      <w:right w:val="single" w:sz="4" w:space="0" w:color="auto"/>
                    </w:tcBorders>
                    <w:vAlign w:val="center"/>
                  </w:tcPr>
                  <w:p w14:paraId="73F2B284" w14:textId="77777777" w:rsidR="007E7472" w:rsidRDefault="00EC1269">
                    <w:pPr>
                      <w:jc w:val="right"/>
                    </w:pPr>
                    <w:r>
                      <w:t>1,877,474</w:t>
                    </w:r>
                  </w:p>
                </w:tc>
                <w:tc>
                  <w:tcPr>
                    <w:tcW w:w="249" w:type="pct"/>
                    <w:tcBorders>
                      <w:top w:val="single" w:sz="4" w:space="0" w:color="auto"/>
                      <w:left w:val="single" w:sz="4" w:space="0" w:color="auto"/>
                      <w:bottom w:val="single" w:sz="4" w:space="0" w:color="auto"/>
                      <w:right w:val="single" w:sz="4" w:space="0" w:color="auto"/>
                    </w:tcBorders>
                    <w:vAlign w:val="center"/>
                  </w:tcPr>
                  <w:p w14:paraId="40B77454" w14:textId="77777777" w:rsidR="007E7472" w:rsidRDefault="00EC1269">
                    <w:pPr>
                      <w:jc w:val="right"/>
                    </w:pPr>
                    <w:r>
                      <w:t>72</w:t>
                    </w:r>
                  </w:p>
                </w:tc>
                <w:tc>
                  <w:tcPr>
                    <w:tcW w:w="452" w:type="pct"/>
                    <w:tcBorders>
                      <w:top w:val="single" w:sz="4" w:space="0" w:color="auto"/>
                      <w:left w:val="single" w:sz="4" w:space="0" w:color="auto"/>
                      <w:bottom w:val="single" w:sz="4" w:space="0" w:color="auto"/>
                      <w:right w:val="single" w:sz="4" w:space="0" w:color="auto"/>
                    </w:tcBorders>
                    <w:vAlign w:val="center"/>
                  </w:tcPr>
                  <w:p w14:paraId="58F69674" w14:textId="77777777" w:rsidR="007E7472" w:rsidRDefault="00C8327E">
                    <w:pPr>
                      <w:jc w:val="right"/>
                    </w:pPr>
                  </w:p>
                </w:tc>
                <w:tc>
                  <w:tcPr>
                    <w:tcW w:w="261" w:type="pct"/>
                    <w:tcBorders>
                      <w:top w:val="single" w:sz="4" w:space="0" w:color="auto"/>
                      <w:left w:val="single" w:sz="4" w:space="0" w:color="auto"/>
                      <w:bottom w:val="single" w:sz="4" w:space="0" w:color="auto"/>
                      <w:right w:val="single" w:sz="4" w:space="0" w:color="auto"/>
                    </w:tcBorders>
                    <w:vAlign w:val="center"/>
                  </w:tcPr>
                  <w:p w14:paraId="06F6B51D" w14:textId="77777777" w:rsidR="007E7472" w:rsidRDefault="00C8327E">
                    <w:pPr>
                      <w:jc w:val="right"/>
                    </w:pPr>
                  </w:p>
                </w:tc>
                <w:tc>
                  <w:tcPr>
                    <w:tcW w:w="571" w:type="pct"/>
                    <w:tcBorders>
                      <w:top w:val="single" w:sz="4" w:space="0" w:color="auto"/>
                      <w:left w:val="single" w:sz="4" w:space="0" w:color="auto"/>
                      <w:bottom w:val="single" w:sz="4" w:space="0" w:color="auto"/>
                      <w:right w:val="single" w:sz="4" w:space="0" w:color="auto"/>
                    </w:tcBorders>
                    <w:vAlign w:val="center"/>
                  </w:tcPr>
                  <w:p w14:paraId="418ECC43" w14:textId="77777777" w:rsidR="007E7472" w:rsidRDefault="00EC1269">
                    <w:pPr>
                      <w:jc w:val="right"/>
                    </w:pPr>
                    <w:r>
                      <w:t>1,877,474</w:t>
                    </w:r>
                  </w:p>
                </w:tc>
                <w:tc>
                  <w:tcPr>
                    <w:tcW w:w="571" w:type="pct"/>
                    <w:tcBorders>
                      <w:top w:val="single" w:sz="4" w:space="0" w:color="auto"/>
                      <w:left w:val="single" w:sz="4" w:space="0" w:color="auto"/>
                      <w:bottom w:val="single" w:sz="4" w:space="0" w:color="auto"/>
                      <w:right w:val="single" w:sz="4" w:space="0" w:color="auto"/>
                    </w:tcBorders>
                    <w:vAlign w:val="center"/>
                  </w:tcPr>
                  <w:p w14:paraId="1E3EFF0F" w14:textId="77777777" w:rsidR="007E7472" w:rsidRDefault="00EC1269">
                    <w:pPr>
                      <w:jc w:val="right"/>
                    </w:pPr>
                    <w:r>
                      <w:t>1,281,240</w:t>
                    </w:r>
                  </w:p>
                </w:tc>
                <w:tc>
                  <w:tcPr>
                    <w:tcW w:w="279" w:type="pct"/>
                    <w:tcBorders>
                      <w:top w:val="single" w:sz="4" w:space="0" w:color="auto"/>
                      <w:left w:val="single" w:sz="4" w:space="0" w:color="auto"/>
                      <w:bottom w:val="single" w:sz="4" w:space="0" w:color="auto"/>
                      <w:right w:val="single" w:sz="4" w:space="0" w:color="auto"/>
                    </w:tcBorders>
                    <w:vAlign w:val="center"/>
                  </w:tcPr>
                  <w:p w14:paraId="71CB9852" w14:textId="77777777" w:rsidR="007E7472" w:rsidRDefault="00EC1269">
                    <w:pPr>
                      <w:jc w:val="right"/>
                    </w:pPr>
                    <w:r>
                      <w:t>78</w:t>
                    </w:r>
                  </w:p>
                </w:tc>
                <w:tc>
                  <w:tcPr>
                    <w:tcW w:w="452" w:type="pct"/>
                    <w:tcBorders>
                      <w:top w:val="single" w:sz="4" w:space="0" w:color="auto"/>
                      <w:left w:val="single" w:sz="4" w:space="0" w:color="auto"/>
                      <w:bottom w:val="single" w:sz="4" w:space="0" w:color="auto"/>
                      <w:right w:val="single" w:sz="4" w:space="0" w:color="auto"/>
                    </w:tcBorders>
                    <w:vAlign w:val="center"/>
                  </w:tcPr>
                  <w:p w14:paraId="2A9F72A2" w14:textId="77777777" w:rsidR="007E7472" w:rsidRDefault="00C8327E">
                    <w:pPr>
                      <w:jc w:val="right"/>
                    </w:pPr>
                  </w:p>
                </w:tc>
                <w:tc>
                  <w:tcPr>
                    <w:tcW w:w="341" w:type="pct"/>
                    <w:tcBorders>
                      <w:top w:val="single" w:sz="4" w:space="0" w:color="auto"/>
                      <w:left w:val="single" w:sz="4" w:space="0" w:color="auto"/>
                      <w:bottom w:val="single" w:sz="4" w:space="0" w:color="auto"/>
                      <w:right w:val="single" w:sz="4" w:space="0" w:color="auto"/>
                    </w:tcBorders>
                    <w:vAlign w:val="center"/>
                  </w:tcPr>
                  <w:p w14:paraId="41FD799B" w14:textId="77777777" w:rsidR="007E7472" w:rsidRDefault="00C8327E">
                    <w:pPr>
                      <w:jc w:val="right"/>
                    </w:pPr>
                  </w:p>
                </w:tc>
                <w:tc>
                  <w:tcPr>
                    <w:tcW w:w="571" w:type="pct"/>
                    <w:tcBorders>
                      <w:top w:val="single" w:sz="4" w:space="0" w:color="auto"/>
                      <w:left w:val="single" w:sz="4" w:space="0" w:color="auto"/>
                      <w:bottom w:val="single" w:sz="4" w:space="0" w:color="auto"/>
                      <w:right w:val="single" w:sz="4" w:space="0" w:color="auto"/>
                    </w:tcBorders>
                    <w:vAlign w:val="center"/>
                  </w:tcPr>
                  <w:p w14:paraId="342F1776" w14:textId="77777777" w:rsidR="007E7472" w:rsidRDefault="00EC1269">
                    <w:pPr>
                      <w:jc w:val="right"/>
                    </w:pPr>
                    <w:r>
                      <w:t>1,281,240</w:t>
                    </w:r>
                  </w:p>
                </w:tc>
              </w:tr>
            </w:sdtContent>
          </w:sdt>
          <w:tr w:rsidR="007E7472" w14:paraId="060DA44A" w14:textId="77777777">
            <w:trPr>
              <w:cantSplit/>
            </w:trPr>
            <w:tc>
              <w:tcPr>
                <w:tcW w:w="681" w:type="pct"/>
                <w:tcBorders>
                  <w:top w:val="single" w:sz="4" w:space="0" w:color="auto"/>
                  <w:left w:val="single" w:sz="4" w:space="0" w:color="auto"/>
                  <w:bottom w:val="single" w:sz="4" w:space="0" w:color="auto"/>
                  <w:right w:val="single" w:sz="4" w:space="0" w:color="auto"/>
                </w:tcBorders>
                <w:vAlign w:val="center"/>
              </w:tcPr>
              <w:p w14:paraId="6066CAD3" w14:textId="77777777" w:rsidR="007E7472" w:rsidRDefault="00EC1269">
                <w:pPr>
                  <w:autoSpaceDE w:val="0"/>
                  <w:autoSpaceDN w:val="0"/>
                  <w:adjustRightInd w:val="0"/>
                  <w:jc w:val="center"/>
                </w:pPr>
                <w:r>
                  <w:rPr>
                    <w:rFonts w:hint="eastAsia"/>
                  </w:rPr>
                  <w:t>合计</w:t>
                </w:r>
              </w:p>
            </w:tc>
            <w:tc>
              <w:tcPr>
                <w:tcW w:w="571" w:type="pct"/>
                <w:tcBorders>
                  <w:top w:val="single" w:sz="4" w:space="0" w:color="auto"/>
                  <w:left w:val="single" w:sz="4" w:space="0" w:color="auto"/>
                  <w:bottom w:val="single" w:sz="4" w:space="0" w:color="auto"/>
                  <w:right w:val="single" w:sz="4" w:space="0" w:color="auto"/>
                </w:tcBorders>
                <w:vAlign w:val="center"/>
              </w:tcPr>
              <w:p w14:paraId="627FF012" w14:textId="77777777" w:rsidR="007E7472" w:rsidRDefault="00EC1269">
                <w:pPr>
                  <w:jc w:val="right"/>
                </w:pPr>
                <w:r>
                  <w:t>2,621,989</w:t>
                </w:r>
              </w:p>
            </w:tc>
            <w:tc>
              <w:tcPr>
                <w:tcW w:w="249" w:type="pct"/>
                <w:tcBorders>
                  <w:top w:val="single" w:sz="4" w:space="0" w:color="auto"/>
                  <w:left w:val="single" w:sz="4" w:space="0" w:color="auto"/>
                  <w:bottom w:val="single" w:sz="4" w:space="0" w:color="auto"/>
                  <w:right w:val="single" w:sz="4" w:space="0" w:color="auto"/>
                </w:tcBorders>
                <w:vAlign w:val="center"/>
              </w:tcPr>
              <w:p w14:paraId="6129C033" w14:textId="77777777" w:rsidR="007E7472" w:rsidRDefault="00EC1269">
                <w:pPr>
                  <w:jc w:val="right"/>
                </w:pPr>
                <w:r>
                  <w:t>/</w:t>
                </w:r>
              </w:p>
            </w:tc>
            <w:tc>
              <w:tcPr>
                <w:tcW w:w="452" w:type="pct"/>
                <w:tcBorders>
                  <w:top w:val="single" w:sz="4" w:space="0" w:color="auto"/>
                  <w:left w:val="single" w:sz="4" w:space="0" w:color="auto"/>
                  <w:bottom w:val="single" w:sz="4" w:space="0" w:color="auto"/>
                  <w:right w:val="single" w:sz="4" w:space="0" w:color="auto"/>
                </w:tcBorders>
                <w:vAlign w:val="center"/>
              </w:tcPr>
              <w:p w14:paraId="19BF4051" w14:textId="77777777" w:rsidR="007E7472" w:rsidRDefault="00EC1269">
                <w:pPr>
                  <w:jc w:val="right"/>
                </w:pPr>
                <w:r>
                  <w:t>209,299</w:t>
                </w:r>
              </w:p>
            </w:tc>
            <w:tc>
              <w:tcPr>
                <w:tcW w:w="261" w:type="pct"/>
                <w:tcBorders>
                  <w:top w:val="single" w:sz="4" w:space="0" w:color="auto"/>
                  <w:left w:val="single" w:sz="4" w:space="0" w:color="auto"/>
                  <w:bottom w:val="single" w:sz="4" w:space="0" w:color="auto"/>
                  <w:right w:val="single" w:sz="4" w:space="0" w:color="auto"/>
                </w:tcBorders>
                <w:vAlign w:val="center"/>
              </w:tcPr>
              <w:p w14:paraId="59132A75" w14:textId="77777777" w:rsidR="007E7472" w:rsidRDefault="00EC1269">
                <w:pPr>
                  <w:jc w:val="right"/>
                </w:pPr>
                <w:r>
                  <w:t>/</w:t>
                </w:r>
              </w:p>
            </w:tc>
            <w:tc>
              <w:tcPr>
                <w:tcW w:w="571" w:type="pct"/>
                <w:tcBorders>
                  <w:top w:val="single" w:sz="4" w:space="0" w:color="auto"/>
                  <w:left w:val="single" w:sz="4" w:space="0" w:color="auto"/>
                  <w:bottom w:val="single" w:sz="4" w:space="0" w:color="auto"/>
                  <w:right w:val="single" w:sz="4" w:space="0" w:color="auto"/>
                </w:tcBorders>
                <w:vAlign w:val="center"/>
              </w:tcPr>
              <w:p w14:paraId="4F50ABD6" w14:textId="77777777" w:rsidR="007E7472" w:rsidRDefault="00EC1269">
                <w:pPr>
                  <w:jc w:val="right"/>
                </w:pPr>
                <w:r>
                  <w:t>2,412,690</w:t>
                </w:r>
              </w:p>
            </w:tc>
            <w:tc>
              <w:tcPr>
                <w:tcW w:w="571" w:type="pct"/>
                <w:tcBorders>
                  <w:top w:val="single" w:sz="4" w:space="0" w:color="auto"/>
                  <w:left w:val="single" w:sz="4" w:space="0" w:color="auto"/>
                  <w:bottom w:val="single" w:sz="4" w:space="0" w:color="auto"/>
                  <w:right w:val="single" w:sz="4" w:space="0" w:color="auto"/>
                </w:tcBorders>
                <w:vAlign w:val="center"/>
              </w:tcPr>
              <w:p w14:paraId="64DD08B5" w14:textId="77777777" w:rsidR="007E7472" w:rsidRDefault="00EC1269">
                <w:pPr>
                  <w:jc w:val="right"/>
                </w:pPr>
                <w:r>
                  <w:t>1,651,716</w:t>
                </w:r>
              </w:p>
            </w:tc>
            <w:tc>
              <w:tcPr>
                <w:tcW w:w="279" w:type="pct"/>
                <w:tcBorders>
                  <w:top w:val="single" w:sz="4" w:space="0" w:color="auto"/>
                  <w:left w:val="single" w:sz="4" w:space="0" w:color="auto"/>
                  <w:bottom w:val="single" w:sz="4" w:space="0" w:color="auto"/>
                  <w:right w:val="single" w:sz="4" w:space="0" w:color="auto"/>
                </w:tcBorders>
                <w:vAlign w:val="center"/>
              </w:tcPr>
              <w:p w14:paraId="0EA3EB0A" w14:textId="77777777" w:rsidR="007E7472" w:rsidRDefault="00EC1269">
                <w:pPr>
                  <w:jc w:val="right"/>
                </w:pPr>
                <w:r>
                  <w:t>/</w:t>
                </w:r>
              </w:p>
            </w:tc>
            <w:tc>
              <w:tcPr>
                <w:tcW w:w="452" w:type="pct"/>
                <w:tcBorders>
                  <w:top w:val="single" w:sz="4" w:space="0" w:color="auto"/>
                  <w:left w:val="single" w:sz="4" w:space="0" w:color="auto"/>
                  <w:bottom w:val="single" w:sz="4" w:space="0" w:color="auto"/>
                  <w:right w:val="single" w:sz="4" w:space="0" w:color="auto"/>
                </w:tcBorders>
                <w:vAlign w:val="center"/>
              </w:tcPr>
              <w:p w14:paraId="417C8599" w14:textId="77777777" w:rsidR="007E7472" w:rsidRDefault="00EC1269">
                <w:pPr>
                  <w:jc w:val="right"/>
                </w:pPr>
                <w:r>
                  <w:t>193,426</w:t>
                </w:r>
              </w:p>
            </w:tc>
            <w:tc>
              <w:tcPr>
                <w:tcW w:w="341" w:type="pct"/>
                <w:tcBorders>
                  <w:top w:val="single" w:sz="4" w:space="0" w:color="auto"/>
                  <w:left w:val="single" w:sz="4" w:space="0" w:color="auto"/>
                  <w:bottom w:val="single" w:sz="4" w:space="0" w:color="auto"/>
                  <w:right w:val="single" w:sz="4" w:space="0" w:color="auto"/>
                </w:tcBorders>
                <w:vAlign w:val="center"/>
              </w:tcPr>
              <w:p w14:paraId="611E0370" w14:textId="77777777" w:rsidR="007E7472" w:rsidRDefault="00EC1269">
                <w:pPr>
                  <w:jc w:val="right"/>
                </w:pPr>
                <w:r>
                  <w:t>/</w:t>
                </w:r>
              </w:p>
            </w:tc>
            <w:tc>
              <w:tcPr>
                <w:tcW w:w="571" w:type="pct"/>
                <w:tcBorders>
                  <w:top w:val="single" w:sz="4" w:space="0" w:color="auto"/>
                  <w:left w:val="single" w:sz="4" w:space="0" w:color="auto"/>
                  <w:bottom w:val="single" w:sz="4" w:space="0" w:color="auto"/>
                  <w:right w:val="single" w:sz="4" w:space="0" w:color="auto"/>
                </w:tcBorders>
                <w:vAlign w:val="center"/>
              </w:tcPr>
              <w:p w14:paraId="5776DD1E" w14:textId="77777777" w:rsidR="007E7472" w:rsidRDefault="00EC1269">
                <w:pPr>
                  <w:jc w:val="right"/>
                </w:pPr>
                <w:r>
                  <w:t>1,458,290</w:t>
                </w:r>
              </w:p>
            </w:tc>
          </w:tr>
        </w:tbl>
        <w:p w14:paraId="54645CEF" w14:textId="77777777" w:rsidR="007E7472" w:rsidRDefault="00C8327E"/>
      </w:sdtContent>
    </w:sdt>
    <w:bookmarkEnd w:id="288" w:displacedByCustomXml="next"/>
    <w:bookmarkStart w:id="289" w:name="_Hlk10540045" w:displacedByCustomXml="next"/>
    <w:bookmarkStart w:id="290" w:name="_Hlk10540056" w:displacedByCustomXml="next"/>
    <w:sdt>
      <w:sdtPr>
        <w:rPr>
          <w:rFonts w:hint="eastAsia"/>
        </w:rPr>
        <w:alias w:val="模块:按单项计提坏账准备："/>
        <w:tag w:val="_SEC_25fdb1db4e684b509f2d87c2a7766da9"/>
        <w:id w:val="-2081128447"/>
        <w:lock w:val="sdtLocked"/>
        <w:placeholder>
          <w:docPart w:val="GBC22222222222222222222222222222"/>
        </w:placeholder>
      </w:sdtPr>
      <w:sdtEndPr>
        <w:rPr>
          <w:rFonts w:hint="default"/>
        </w:rPr>
      </w:sdtEndPr>
      <w:sdtContent>
        <w:p w14:paraId="294E238D" w14:textId="77777777" w:rsidR="007E7472" w:rsidRDefault="00EC1269">
          <w:r>
            <w:rPr>
              <w:rFonts w:hint="eastAsia"/>
            </w:rPr>
            <w:t>按单项计提坏账准备：</w:t>
          </w:r>
          <w:bookmarkEnd w:id="289"/>
        </w:p>
        <w:sdt>
          <w:sdtPr>
            <w:alias w:val="是否适用：母公司应收账款按单项计提坏账准备[双击切换]"/>
            <w:tag w:val="_GBC_6aa7698e624f4481b0cf894058a63961"/>
            <w:id w:val="21759028"/>
            <w:lock w:val="sdtLocked"/>
            <w:placeholder>
              <w:docPart w:val="GBC22222222222222222222222222222"/>
            </w:placeholder>
          </w:sdtPr>
          <w:sdtEndPr/>
          <w:sdtContent>
            <w:p w14:paraId="35B6B330"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3D04FF8C" w14:textId="115923D3" w:rsidR="007E7472" w:rsidRDefault="00EC1269">
          <w:pPr>
            <w:autoSpaceDE w:val="0"/>
            <w:autoSpaceDN w:val="0"/>
            <w:adjustRightInd w:val="0"/>
            <w:ind w:left="5880" w:right="105"/>
            <w:jc w:val="right"/>
          </w:pPr>
          <w:r>
            <w:rPr>
              <w:rFonts w:hint="eastAsia"/>
            </w:rPr>
            <w:t>单位：</w:t>
          </w:r>
          <w:sdt>
            <w:sdtPr>
              <w:rPr>
                <w:rFonts w:hint="eastAsia"/>
              </w:rPr>
              <w:alias w:val="单位：母公司应收账款按单项计提坏账准备"/>
              <w:tag w:val="_GBC_78b604bf7ffb4c31ab3ee677554e3137"/>
              <w:id w:val="-175952346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母公司应收账款按单项计提坏账准备"/>
              <w:tag w:val="_GBC_4b1174efa36f426fad7996f19b12a196"/>
              <w:id w:val="-7844967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276"/>
            <w:gridCol w:w="1258"/>
            <w:gridCol w:w="1657"/>
            <w:gridCol w:w="1802"/>
          </w:tblGrid>
          <w:tr w:rsidR="007E7472" w14:paraId="298CBC4C" w14:textId="77777777">
            <w:sdt>
              <w:sdtPr>
                <w:tag w:val="_PLD_c9f375faf7b545a188ebedb1a01654f0"/>
                <w:id w:val="-1174332925"/>
                <w:lock w:val="sdtLocked"/>
              </w:sdtPr>
              <w:sdtEndPr/>
              <w:sdtContent>
                <w:tc>
                  <w:tcPr>
                    <w:tcW w:w="1604" w:type="pct"/>
                    <w:vMerge w:val="restart"/>
                    <w:vAlign w:val="center"/>
                  </w:tcPr>
                  <w:p w14:paraId="03CC5FCD" w14:textId="77777777" w:rsidR="007E7472" w:rsidRDefault="00EC1269">
                    <w:pPr>
                      <w:jc w:val="center"/>
                    </w:pPr>
                    <w:r>
                      <w:rPr>
                        <w:rFonts w:hint="eastAsia"/>
                      </w:rPr>
                      <w:t>名称</w:t>
                    </w:r>
                  </w:p>
                </w:tc>
              </w:sdtContent>
            </w:sdt>
            <w:sdt>
              <w:sdtPr>
                <w:tag w:val="_PLD_c86d7b0ec7994bbf9c32d3c6e0d2adda"/>
                <w:id w:val="928391264"/>
                <w:lock w:val="sdtLocked"/>
              </w:sdtPr>
              <w:sdtEndPr/>
              <w:sdtContent>
                <w:tc>
                  <w:tcPr>
                    <w:tcW w:w="3396" w:type="pct"/>
                    <w:gridSpan w:val="4"/>
                    <w:vAlign w:val="center"/>
                  </w:tcPr>
                  <w:p w14:paraId="5283E8F4" w14:textId="77777777" w:rsidR="007E7472" w:rsidRDefault="00EC1269">
                    <w:pPr>
                      <w:jc w:val="center"/>
                    </w:pPr>
                    <w:r>
                      <w:rPr>
                        <w:rFonts w:hint="eastAsia"/>
                      </w:rPr>
                      <w:t>期末余额</w:t>
                    </w:r>
                  </w:p>
                </w:tc>
              </w:sdtContent>
            </w:sdt>
          </w:tr>
          <w:tr w:rsidR="007E7472" w14:paraId="4519BA7E" w14:textId="77777777">
            <w:tc>
              <w:tcPr>
                <w:tcW w:w="1604" w:type="pct"/>
                <w:vMerge/>
              </w:tcPr>
              <w:p w14:paraId="1720796B" w14:textId="77777777" w:rsidR="007E7472" w:rsidRDefault="00C8327E">
                <w:pPr>
                  <w:jc w:val="center"/>
                </w:pPr>
              </w:p>
            </w:tc>
            <w:sdt>
              <w:sdtPr>
                <w:tag w:val="_PLD_7bbf6380a8804f6c8a717a338f6be3fd"/>
                <w:id w:val="1527450817"/>
                <w:lock w:val="sdtLocked"/>
              </w:sdtPr>
              <w:sdtEndPr/>
              <w:sdtContent>
                <w:tc>
                  <w:tcPr>
                    <w:tcW w:w="723" w:type="pct"/>
                    <w:vAlign w:val="center"/>
                  </w:tcPr>
                  <w:p w14:paraId="53DEAE20" w14:textId="77777777" w:rsidR="007E7472" w:rsidRDefault="00EC1269">
                    <w:pPr>
                      <w:jc w:val="center"/>
                    </w:pPr>
                    <w:r>
                      <w:rPr>
                        <w:rFonts w:hint="eastAsia"/>
                      </w:rPr>
                      <w:t>账面余额</w:t>
                    </w:r>
                  </w:p>
                </w:tc>
              </w:sdtContent>
            </w:sdt>
            <w:sdt>
              <w:sdtPr>
                <w:tag w:val="_PLD_c15d611dc2404462bf82049172a2f8e5"/>
                <w:id w:val="-1658529226"/>
                <w:lock w:val="sdtLocked"/>
              </w:sdtPr>
              <w:sdtEndPr/>
              <w:sdtContent>
                <w:tc>
                  <w:tcPr>
                    <w:tcW w:w="713" w:type="pct"/>
                    <w:vAlign w:val="center"/>
                  </w:tcPr>
                  <w:p w14:paraId="20CADA91" w14:textId="77777777" w:rsidR="007E7472" w:rsidRDefault="00EC1269">
                    <w:pPr>
                      <w:jc w:val="center"/>
                    </w:pPr>
                    <w:r>
                      <w:rPr>
                        <w:rFonts w:hint="eastAsia"/>
                      </w:rPr>
                      <w:t>坏账准备</w:t>
                    </w:r>
                  </w:p>
                </w:tc>
              </w:sdtContent>
            </w:sdt>
            <w:sdt>
              <w:sdtPr>
                <w:tag w:val="_PLD_54a8956eb15646cfa69cc0c723b11525"/>
                <w:id w:val="-1450850341"/>
                <w:lock w:val="sdtLocked"/>
              </w:sdtPr>
              <w:sdtEndPr/>
              <w:sdtContent>
                <w:tc>
                  <w:tcPr>
                    <w:tcW w:w="939" w:type="pct"/>
                    <w:vAlign w:val="center"/>
                  </w:tcPr>
                  <w:p w14:paraId="212FB775" w14:textId="77777777" w:rsidR="007E7472" w:rsidRDefault="00EC1269">
                    <w:pPr>
                      <w:jc w:val="center"/>
                    </w:pPr>
                    <w:r>
                      <w:t>计提比例</w:t>
                    </w:r>
                    <w:r>
                      <w:rPr>
                        <w:rFonts w:hint="eastAsia"/>
                      </w:rPr>
                      <w:t>（%）</w:t>
                    </w:r>
                  </w:p>
                </w:tc>
              </w:sdtContent>
            </w:sdt>
            <w:sdt>
              <w:sdtPr>
                <w:tag w:val="_PLD_b9a45c0c48a240cba3863633ee15a99c"/>
                <w:id w:val="2056958927"/>
                <w:lock w:val="sdtLocked"/>
              </w:sdtPr>
              <w:sdtEndPr/>
              <w:sdtContent>
                <w:tc>
                  <w:tcPr>
                    <w:tcW w:w="1021" w:type="pct"/>
                    <w:vAlign w:val="center"/>
                  </w:tcPr>
                  <w:p w14:paraId="3E9DC19F" w14:textId="77777777" w:rsidR="007E7472" w:rsidRDefault="00EC1269">
                    <w:pPr>
                      <w:jc w:val="center"/>
                    </w:pPr>
                    <w:r>
                      <w:rPr>
                        <w:rFonts w:hint="eastAsia"/>
                      </w:rPr>
                      <w:t>计提理由</w:t>
                    </w:r>
                  </w:p>
                </w:tc>
              </w:sdtContent>
            </w:sdt>
          </w:tr>
          <w:sdt>
            <w:sdtPr>
              <w:rPr>
                <w:color w:val="008000"/>
              </w:rPr>
              <w:alias w:val="按单项计提坏账准备的应收账款详细名称明细"/>
              <w:tag w:val="_TUP_2c953ac7b56244699de69986e4bf6b72"/>
              <w:id w:val="2144921253"/>
              <w:lock w:val="sdtLocked"/>
            </w:sdtPr>
            <w:sdtEndPr>
              <w:rPr>
                <w:color w:val="auto"/>
              </w:rPr>
            </w:sdtEndPr>
            <w:sdtContent>
              <w:tr w:rsidR="007E7472" w14:paraId="7B899013" w14:textId="77777777">
                <w:tc>
                  <w:tcPr>
                    <w:tcW w:w="1604" w:type="pct"/>
                  </w:tcPr>
                  <w:p w14:paraId="0714436D" w14:textId="52CCA115" w:rsidR="007E7472" w:rsidRDefault="00162493">
                    <w:r w:rsidRPr="007F41B1">
                      <w:rPr>
                        <w:rFonts w:hint="eastAsia"/>
                      </w:rPr>
                      <w:t>公司1</w:t>
                    </w:r>
                  </w:p>
                </w:tc>
                <w:tc>
                  <w:tcPr>
                    <w:tcW w:w="723" w:type="pct"/>
                    <w:vAlign w:val="center"/>
                  </w:tcPr>
                  <w:p w14:paraId="2F6B634C" w14:textId="77777777" w:rsidR="007E7472" w:rsidRDefault="00EC1269">
                    <w:pPr>
                      <w:jc w:val="right"/>
                      <w:rPr>
                        <w:highlight w:val="yellow"/>
                      </w:rPr>
                    </w:pPr>
                    <w:r>
                      <w:t>262,282</w:t>
                    </w:r>
                  </w:p>
                </w:tc>
                <w:tc>
                  <w:tcPr>
                    <w:tcW w:w="713" w:type="pct"/>
                    <w:vAlign w:val="center"/>
                  </w:tcPr>
                  <w:p w14:paraId="45CD2503" w14:textId="77777777" w:rsidR="007E7472" w:rsidRDefault="00EC1269">
                    <w:pPr>
                      <w:jc w:val="right"/>
                    </w:pPr>
                    <w:r>
                      <w:t>183,599</w:t>
                    </w:r>
                  </w:p>
                </w:tc>
                <w:tc>
                  <w:tcPr>
                    <w:tcW w:w="939" w:type="pct"/>
                    <w:vAlign w:val="center"/>
                  </w:tcPr>
                  <w:p w14:paraId="6A11CC17" w14:textId="77777777" w:rsidR="007E7472" w:rsidRDefault="00EC1269">
                    <w:pPr>
                      <w:jc w:val="right"/>
                    </w:pPr>
                    <w:r>
                      <w:t>70</w:t>
                    </w:r>
                  </w:p>
                </w:tc>
                <w:tc>
                  <w:tcPr>
                    <w:tcW w:w="1021" w:type="pct"/>
                    <w:vAlign w:val="center"/>
                  </w:tcPr>
                  <w:p w14:paraId="47CF6CB1" w14:textId="77777777" w:rsidR="007E7472" w:rsidRDefault="00EC1269">
                    <w:pPr>
                      <w:jc w:val="center"/>
                    </w:pPr>
                    <w:r>
                      <w:rPr>
                        <w:rFonts w:hint="eastAsia"/>
                      </w:rPr>
                      <w:t>预期不能收回</w:t>
                    </w:r>
                  </w:p>
                </w:tc>
              </w:tr>
            </w:sdtContent>
          </w:sdt>
          <w:sdt>
            <w:sdtPr>
              <w:rPr>
                <w:rFonts w:ascii="Times New Roman" w:hAnsi="Times New Roman" w:cs="Times New Roman"/>
                <w:color w:val="008000"/>
                <w:sz w:val="20"/>
                <w:szCs w:val="20"/>
              </w:rPr>
              <w:alias w:val="按单项计提坏账准备的应收账款详细名称明细"/>
              <w:tag w:val="_TUP_2c953ac7b56244699de69986e4bf6b72"/>
              <w:id w:val="-1342765374"/>
              <w:lock w:val="sdtLocked"/>
            </w:sdtPr>
            <w:sdtEndPr>
              <w:rPr>
                <w:color w:val="auto"/>
              </w:rPr>
            </w:sdtEndPr>
            <w:sdtContent>
              <w:tr w:rsidR="007E7472" w14:paraId="78688642" w14:textId="77777777">
                <w:tc>
                  <w:tcPr>
                    <w:tcW w:w="1604" w:type="pct"/>
                  </w:tcPr>
                  <w:p w14:paraId="67691792" w14:textId="2E5F8E43" w:rsidR="007E7472" w:rsidRDefault="00EC1269">
                    <w:pPr>
                      <w:rPr>
                        <w:color w:val="008000"/>
                      </w:rPr>
                    </w:pPr>
                    <w:r>
                      <w:rPr>
                        <w:rFonts w:hint="eastAsia"/>
                        <w:color w:val="000000" w:themeColor="text1"/>
                      </w:rPr>
                      <w:t>公司</w:t>
                    </w:r>
                    <w:r w:rsidR="00162493">
                      <w:rPr>
                        <w:rFonts w:hint="eastAsia"/>
                        <w:color w:val="000000" w:themeColor="text1"/>
                      </w:rPr>
                      <w:t>2</w:t>
                    </w:r>
                  </w:p>
                </w:tc>
                <w:tc>
                  <w:tcPr>
                    <w:tcW w:w="723" w:type="pct"/>
                    <w:vAlign w:val="center"/>
                  </w:tcPr>
                  <w:p w14:paraId="45BA20D1" w14:textId="77777777" w:rsidR="007E7472" w:rsidRDefault="00EC1269">
                    <w:pPr>
                      <w:jc w:val="right"/>
                      <w:rPr>
                        <w:highlight w:val="yellow"/>
                      </w:rPr>
                    </w:pPr>
                    <w:r>
                      <w:t>5,078</w:t>
                    </w:r>
                  </w:p>
                </w:tc>
                <w:tc>
                  <w:tcPr>
                    <w:tcW w:w="713" w:type="pct"/>
                    <w:vAlign w:val="center"/>
                  </w:tcPr>
                  <w:p w14:paraId="1089D788" w14:textId="77777777" w:rsidR="007E7472" w:rsidRDefault="00EC1269">
                    <w:pPr>
                      <w:jc w:val="right"/>
                    </w:pPr>
                    <w:r>
                      <w:t>5,078</w:t>
                    </w:r>
                  </w:p>
                </w:tc>
                <w:tc>
                  <w:tcPr>
                    <w:tcW w:w="939" w:type="pct"/>
                    <w:vAlign w:val="center"/>
                  </w:tcPr>
                  <w:p w14:paraId="131E3B93" w14:textId="77777777" w:rsidR="007E7472" w:rsidRDefault="00EC1269">
                    <w:pPr>
                      <w:jc w:val="right"/>
                    </w:pPr>
                    <w:r>
                      <w:t>100</w:t>
                    </w:r>
                  </w:p>
                </w:tc>
                <w:tc>
                  <w:tcPr>
                    <w:tcW w:w="1021" w:type="pct"/>
                    <w:vAlign w:val="center"/>
                  </w:tcPr>
                  <w:p w14:paraId="09E02E9A" w14:textId="77777777" w:rsidR="007E7472" w:rsidRDefault="00EC1269">
                    <w:pPr>
                      <w:jc w:val="center"/>
                    </w:pPr>
                    <w:r>
                      <w:rPr>
                        <w:rFonts w:hint="eastAsia"/>
                      </w:rPr>
                      <w:t>预期不能收回</w:t>
                    </w:r>
                  </w:p>
                </w:tc>
              </w:tr>
            </w:sdtContent>
          </w:sdt>
          <w:tr w:rsidR="007E7472" w14:paraId="489B9A05" w14:textId="77777777">
            <w:sdt>
              <w:sdtPr>
                <w:tag w:val="_PLD_ae2160629a8e476ca13f19742070e947"/>
                <w:id w:val="2085570097"/>
                <w:lock w:val="sdtLocked"/>
              </w:sdtPr>
              <w:sdtEndPr/>
              <w:sdtContent>
                <w:tc>
                  <w:tcPr>
                    <w:tcW w:w="1604" w:type="pct"/>
                    <w:vAlign w:val="center"/>
                  </w:tcPr>
                  <w:p w14:paraId="5CF39AA5" w14:textId="77777777" w:rsidR="007E7472" w:rsidRDefault="00EC1269">
                    <w:pPr>
                      <w:jc w:val="center"/>
                    </w:pPr>
                    <w:r>
                      <w:rPr>
                        <w:rFonts w:hint="eastAsia"/>
                      </w:rPr>
                      <w:t>合计</w:t>
                    </w:r>
                  </w:p>
                </w:tc>
              </w:sdtContent>
            </w:sdt>
            <w:tc>
              <w:tcPr>
                <w:tcW w:w="723" w:type="pct"/>
                <w:vAlign w:val="center"/>
              </w:tcPr>
              <w:p w14:paraId="088091C6" w14:textId="77777777" w:rsidR="007E7472" w:rsidRPr="00F72A4F" w:rsidRDefault="00EC1269">
                <w:pPr>
                  <w:jc w:val="right"/>
                  <w:rPr>
                    <w:bCs/>
                  </w:rPr>
                </w:pPr>
                <w:r w:rsidRPr="00F72A4F">
                  <w:t>267,360</w:t>
                </w:r>
              </w:p>
            </w:tc>
            <w:tc>
              <w:tcPr>
                <w:tcW w:w="713" w:type="pct"/>
                <w:vAlign w:val="center"/>
              </w:tcPr>
              <w:p w14:paraId="476506A3" w14:textId="77777777" w:rsidR="007E7472" w:rsidRPr="00F72A4F" w:rsidRDefault="00EC1269">
                <w:pPr>
                  <w:jc w:val="right"/>
                </w:pPr>
                <w:r w:rsidRPr="00F72A4F">
                  <w:t>188,677</w:t>
                </w:r>
              </w:p>
            </w:tc>
            <w:tc>
              <w:tcPr>
                <w:tcW w:w="939" w:type="pct"/>
                <w:vAlign w:val="center"/>
              </w:tcPr>
              <w:p w14:paraId="09BC6D6A" w14:textId="77777777" w:rsidR="007E7472" w:rsidRPr="00F72A4F" w:rsidRDefault="00EC1269">
                <w:pPr>
                  <w:jc w:val="right"/>
                </w:pPr>
                <w:r w:rsidRPr="00F72A4F">
                  <w:t>71</w:t>
                </w:r>
              </w:p>
            </w:tc>
            <w:tc>
              <w:tcPr>
                <w:tcW w:w="1021" w:type="pct"/>
                <w:vAlign w:val="center"/>
              </w:tcPr>
              <w:p w14:paraId="1CBE38F4" w14:textId="77777777" w:rsidR="007E7472" w:rsidRDefault="00EC1269">
                <w:pPr>
                  <w:jc w:val="center"/>
                </w:pPr>
                <w:r>
                  <w:rPr>
                    <w:rFonts w:hint="eastAsia"/>
                  </w:rPr>
                  <w:t>/</w:t>
                </w:r>
              </w:p>
            </w:tc>
          </w:tr>
        </w:tbl>
        <w:p w14:paraId="14708032" w14:textId="77777777" w:rsidR="007E7472" w:rsidRDefault="00C8327E"/>
        <w:p w14:paraId="3AF2B17E" w14:textId="77777777" w:rsidR="007E7472" w:rsidRDefault="00EC1269">
          <w:r>
            <w:rPr>
              <w:rFonts w:hint="eastAsia"/>
            </w:rPr>
            <w:t>按单项计提坏账准备的说明：</w:t>
          </w:r>
        </w:p>
        <w:sdt>
          <w:sdtPr>
            <w:alias w:val="是否适用：母公司应收账款按单项计提坏账准备的说明[双击切换]"/>
            <w:tag w:val="_GBC_4623c8695a494e53b6a615e5a9c7e0ea"/>
            <w:id w:val="187655547"/>
            <w:lock w:val="sdtLocked"/>
            <w:placeholder>
              <w:docPart w:val="GBC22222222222222222222222222222"/>
            </w:placeholder>
          </w:sdtPr>
          <w:sdtEndPr/>
          <w:sdtContent>
            <w:p w14:paraId="0B8FF283"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C5746DC" w14:textId="77777777" w:rsidR="007E7472" w:rsidRDefault="00C8327E"/>
      </w:sdtContent>
    </w:sdt>
    <w:p w14:paraId="2B463366" w14:textId="77777777" w:rsidR="007E7472" w:rsidRDefault="00EC1269">
      <w:bookmarkStart w:id="291" w:name="_Hlk10540079"/>
      <w:bookmarkEnd w:id="290"/>
      <w:r>
        <w:rPr>
          <w:rFonts w:hint="eastAsia"/>
        </w:rPr>
        <w:t>按组合计提坏账准备：</w:t>
      </w:r>
    </w:p>
    <w:sdt>
      <w:sdtPr>
        <w:alias w:val="是否适用：母公司应收账款按组合计提坏账准备[双击切换]"/>
        <w:tag w:val="_GBC_bf96e631f2cf4f6a876dff49863ee9d3"/>
        <w:id w:val="301969722"/>
        <w:lock w:val="sdtContentLocked"/>
        <w:placeholder>
          <w:docPart w:val="GBC22222222222222222222222222222"/>
        </w:placeholder>
      </w:sdtPr>
      <w:sdtEndPr/>
      <w:sdtContent>
        <w:p w14:paraId="3F2EA2DA"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Times New Roman" w:hAnsi="Times New Roman" w:cs="Times New Roman" w:hint="eastAsia"/>
          <w:sz w:val="20"/>
          <w:szCs w:val="20"/>
        </w:rPr>
        <w:alias w:val="模块:组合计提项目"/>
        <w:tag w:val="_SEC_6113a97431b44a51b796257dc3b7c6cb"/>
        <w:id w:val="-836294524"/>
        <w:lock w:val="sdtLocked"/>
        <w:placeholder>
          <w:docPart w:val="GBC22222222222222222222222222222"/>
        </w:placeholder>
      </w:sdtPr>
      <w:sdtEndPr>
        <w:rPr>
          <w:rFonts w:hint="default"/>
        </w:rPr>
      </w:sdtEndPr>
      <w:sdtContent>
        <w:p w14:paraId="7B2A5404" w14:textId="17CBB433" w:rsidR="007E7472" w:rsidRDefault="00EC1269">
          <w:pPr>
            <w:autoSpaceDE w:val="0"/>
            <w:autoSpaceDN w:val="0"/>
            <w:adjustRightInd w:val="0"/>
            <w:ind w:left="5880" w:right="105"/>
            <w:jc w:val="right"/>
          </w:pPr>
          <w:r>
            <w:rPr>
              <w:rFonts w:ascii="Times New Roman" w:hAnsi="Times New Roman" w:cs="Times New Roman" w:hint="eastAsia"/>
            </w:rPr>
            <w:t>单</w:t>
          </w:r>
          <w:r>
            <w:rPr>
              <w:rFonts w:hint="eastAsia"/>
            </w:rPr>
            <w:t>位：</w:t>
          </w:r>
          <w:sdt>
            <w:sdtPr>
              <w:rPr>
                <w:rFonts w:hint="eastAsia"/>
              </w:rPr>
              <w:alias w:val="单位：母公司应收账款按组合计提坏账准备"/>
              <w:tag w:val="_GBC_eddb8416e4854df0b69f43851a8eba2b"/>
              <w:id w:val="14410351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母公司应收账款按组合计提坏账准备"/>
              <w:tag w:val="_GBC_326d8b8532c4476aa9c90eaa469806e2"/>
              <w:id w:val="-7410237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2252"/>
            <w:gridCol w:w="2292"/>
            <w:gridCol w:w="2236"/>
          </w:tblGrid>
          <w:tr w:rsidR="007E7472" w14:paraId="33DBF0D7" w14:textId="77777777">
            <w:sdt>
              <w:sdtPr>
                <w:tag w:val="_PLD_017679ab9c8247c6b2e334fd90bf61e9"/>
                <w:id w:val="134996441"/>
                <w:lock w:val="sdtLocked"/>
              </w:sdtPr>
              <w:sdtEndPr/>
              <w:sdtContent>
                <w:tc>
                  <w:tcPr>
                    <w:tcW w:w="1158" w:type="pct"/>
                    <w:vMerge w:val="restart"/>
                    <w:vAlign w:val="center"/>
                  </w:tcPr>
                  <w:p w14:paraId="21E620F4" w14:textId="77777777" w:rsidR="007E7472" w:rsidRDefault="00EC1269">
                    <w:pPr>
                      <w:jc w:val="center"/>
                    </w:pPr>
                    <w:r>
                      <w:rPr>
                        <w:rFonts w:hint="eastAsia"/>
                      </w:rPr>
                      <w:t>名称</w:t>
                    </w:r>
                  </w:p>
                </w:tc>
              </w:sdtContent>
            </w:sdt>
            <w:sdt>
              <w:sdtPr>
                <w:tag w:val="_PLD_5135cd56467d4853affa6d0ae484f326"/>
                <w:id w:val="-1248805830"/>
                <w:lock w:val="sdtLocked"/>
              </w:sdtPr>
              <w:sdtEndPr/>
              <w:sdtContent>
                <w:tc>
                  <w:tcPr>
                    <w:tcW w:w="3842" w:type="pct"/>
                    <w:gridSpan w:val="3"/>
                    <w:vAlign w:val="center"/>
                  </w:tcPr>
                  <w:p w14:paraId="148B0217" w14:textId="77777777" w:rsidR="007E7472" w:rsidRDefault="00EC1269">
                    <w:pPr>
                      <w:jc w:val="center"/>
                    </w:pPr>
                    <w:r>
                      <w:rPr>
                        <w:rFonts w:hint="eastAsia"/>
                      </w:rPr>
                      <w:t>期末余额</w:t>
                    </w:r>
                  </w:p>
                </w:tc>
              </w:sdtContent>
            </w:sdt>
          </w:tr>
          <w:tr w:rsidR="007E7472" w14:paraId="42BDECF5" w14:textId="77777777">
            <w:trPr>
              <w:trHeight w:val="512"/>
            </w:trPr>
            <w:tc>
              <w:tcPr>
                <w:tcW w:w="1158" w:type="pct"/>
                <w:vMerge/>
              </w:tcPr>
              <w:p w14:paraId="17B342B2" w14:textId="77777777" w:rsidR="007E7472" w:rsidRDefault="00C8327E">
                <w:pPr>
                  <w:jc w:val="center"/>
                </w:pPr>
              </w:p>
            </w:tc>
            <w:sdt>
              <w:sdtPr>
                <w:tag w:val="_PLD_6853d362c1364938aec50c34a4c1b2be"/>
                <w:id w:val="1664661714"/>
                <w:lock w:val="sdtLocked"/>
              </w:sdtPr>
              <w:sdtEndPr/>
              <w:sdtContent>
                <w:tc>
                  <w:tcPr>
                    <w:tcW w:w="1276" w:type="pct"/>
                    <w:vAlign w:val="center"/>
                  </w:tcPr>
                  <w:p w14:paraId="5312714B" w14:textId="77777777" w:rsidR="007E7472" w:rsidRDefault="00EC1269">
                    <w:pPr>
                      <w:jc w:val="center"/>
                    </w:pPr>
                    <w:r>
                      <w:rPr>
                        <w:rFonts w:hint="eastAsia"/>
                      </w:rPr>
                      <w:t>应收账款</w:t>
                    </w:r>
                  </w:p>
                </w:tc>
              </w:sdtContent>
            </w:sdt>
            <w:sdt>
              <w:sdtPr>
                <w:tag w:val="_PLD_497956cded5b48c4b4741462475810da"/>
                <w:id w:val="-1421326621"/>
                <w:lock w:val="sdtLocked"/>
              </w:sdtPr>
              <w:sdtEndPr/>
              <w:sdtContent>
                <w:tc>
                  <w:tcPr>
                    <w:tcW w:w="1299" w:type="pct"/>
                    <w:vAlign w:val="center"/>
                  </w:tcPr>
                  <w:p w14:paraId="059120CB" w14:textId="77777777" w:rsidR="007E7472" w:rsidRDefault="00EC1269">
                    <w:pPr>
                      <w:jc w:val="center"/>
                    </w:pPr>
                    <w:r>
                      <w:rPr>
                        <w:rFonts w:hint="eastAsia"/>
                      </w:rPr>
                      <w:t>坏账准备</w:t>
                    </w:r>
                  </w:p>
                </w:tc>
              </w:sdtContent>
            </w:sdt>
            <w:sdt>
              <w:sdtPr>
                <w:tag w:val="_PLD_abeb28def5684beab5ea48273044d861"/>
                <w:id w:val="-892263906"/>
                <w:lock w:val="sdtLocked"/>
              </w:sdtPr>
              <w:sdtEndPr/>
              <w:sdtContent>
                <w:tc>
                  <w:tcPr>
                    <w:tcW w:w="1267" w:type="pct"/>
                    <w:vAlign w:val="center"/>
                  </w:tcPr>
                  <w:p w14:paraId="2BA3B75B" w14:textId="77777777" w:rsidR="007E7472" w:rsidRDefault="00EC1269">
                    <w:pPr>
                      <w:jc w:val="center"/>
                    </w:pPr>
                    <w:r>
                      <w:t>计提比例</w:t>
                    </w:r>
                    <w:r>
                      <w:rPr>
                        <w:rFonts w:hint="eastAsia"/>
                      </w:rPr>
                      <w:t>（%）</w:t>
                    </w:r>
                  </w:p>
                </w:tc>
              </w:sdtContent>
            </w:sdt>
          </w:tr>
          <w:sdt>
            <w:sdtPr>
              <w:rPr>
                <w:color w:val="008000"/>
              </w:rPr>
              <w:alias w:val="按组合计提坏账准备的应收账款详细名称明细"/>
              <w:tag w:val="_TUP_f0c1437e418b477abdaa018db20308d6"/>
              <w:id w:val="525370999"/>
              <w:lock w:val="sdtLocked"/>
            </w:sdtPr>
            <w:sdtEndPr>
              <w:rPr>
                <w:color w:val="auto"/>
                <w:highlight w:val="yellow"/>
              </w:rPr>
            </w:sdtEndPr>
            <w:sdtContent>
              <w:tr w:rsidR="007E7472" w14:paraId="43493498" w14:textId="77777777">
                <w:tc>
                  <w:tcPr>
                    <w:tcW w:w="1158" w:type="pct"/>
                  </w:tcPr>
                  <w:p w14:paraId="0B38571D" w14:textId="77777777" w:rsidR="007E7472" w:rsidRDefault="00EC1269">
                    <w:r>
                      <w:rPr>
                        <w:color w:val="000000" w:themeColor="text1"/>
                      </w:rPr>
                      <w:t>1年以内</w:t>
                    </w:r>
                  </w:p>
                </w:tc>
                <w:tc>
                  <w:tcPr>
                    <w:tcW w:w="1276" w:type="pct"/>
                  </w:tcPr>
                  <w:p w14:paraId="0B729A6D" w14:textId="77777777" w:rsidR="007E7472" w:rsidRDefault="00EC1269">
                    <w:pPr>
                      <w:jc w:val="right"/>
                      <w:rPr>
                        <w:highlight w:val="yellow"/>
                      </w:rPr>
                    </w:pPr>
                    <w:r>
                      <w:t>444,803</w:t>
                    </w:r>
                  </w:p>
                </w:tc>
                <w:tc>
                  <w:tcPr>
                    <w:tcW w:w="1299" w:type="pct"/>
                  </w:tcPr>
                  <w:p w14:paraId="469B057D" w14:textId="77777777" w:rsidR="007E7472" w:rsidRDefault="00EC1269">
                    <w:pPr>
                      <w:jc w:val="right"/>
                    </w:pPr>
                    <w:r>
                      <w:t>3,007</w:t>
                    </w:r>
                  </w:p>
                </w:tc>
                <w:tc>
                  <w:tcPr>
                    <w:tcW w:w="1267" w:type="pct"/>
                  </w:tcPr>
                  <w:p w14:paraId="442E6799" w14:textId="77777777" w:rsidR="007E7472" w:rsidRDefault="00EC1269">
                    <w:pPr>
                      <w:jc w:val="right"/>
                      <w:rPr>
                        <w:highlight w:val="yellow"/>
                      </w:rPr>
                    </w:pPr>
                    <w:r>
                      <w:t>1</w:t>
                    </w:r>
                  </w:p>
                </w:tc>
              </w:tr>
            </w:sdtContent>
          </w:sdt>
          <w:sdt>
            <w:sdtPr>
              <w:rPr>
                <w:color w:val="000000" w:themeColor="text1"/>
              </w:rPr>
              <w:alias w:val="按组合计提坏账准备的应收账款详细名称明细"/>
              <w:tag w:val="_TUP_f0c1437e418b477abdaa018db20308d6"/>
              <w:id w:val="-229393972"/>
              <w:lock w:val="sdtLocked"/>
            </w:sdtPr>
            <w:sdtEndPr>
              <w:rPr>
                <w:color w:val="auto"/>
                <w:highlight w:val="yellow"/>
              </w:rPr>
            </w:sdtEndPr>
            <w:sdtContent>
              <w:tr w:rsidR="007E7472" w14:paraId="4E276725" w14:textId="77777777">
                <w:tc>
                  <w:tcPr>
                    <w:tcW w:w="1158" w:type="pct"/>
                  </w:tcPr>
                  <w:p w14:paraId="6A738727" w14:textId="77777777" w:rsidR="007E7472" w:rsidRDefault="00EC1269">
                    <w:pPr>
                      <w:rPr>
                        <w:color w:val="000000" w:themeColor="text1"/>
                      </w:rPr>
                    </w:pPr>
                    <w:r>
                      <w:rPr>
                        <w:color w:val="000000" w:themeColor="text1"/>
                      </w:rPr>
                      <w:t>1-2年</w:t>
                    </w:r>
                  </w:p>
                </w:tc>
                <w:tc>
                  <w:tcPr>
                    <w:tcW w:w="1276" w:type="pct"/>
                  </w:tcPr>
                  <w:p w14:paraId="6D14DE7F" w14:textId="77777777" w:rsidR="007E7472" w:rsidRDefault="00EC1269">
                    <w:pPr>
                      <w:jc w:val="right"/>
                      <w:rPr>
                        <w:highlight w:val="yellow"/>
                      </w:rPr>
                    </w:pPr>
                    <w:r>
                      <w:t>14,078</w:t>
                    </w:r>
                  </w:p>
                </w:tc>
                <w:tc>
                  <w:tcPr>
                    <w:tcW w:w="1299" w:type="pct"/>
                  </w:tcPr>
                  <w:p w14:paraId="54A8AD97" w14:textId="77777777" w:rsidR="007E7472" w:rsidRDefault="00EC1269">
                    <w:pPr>
                      <w:jc w:val="right"/>
                    </w:pPr>
                    <w:r>
                      <w:t>4,908</w:t>
                    </w:r>
                  </w:p>
                </w:tc>
                <w:tc>
                  <w:tcPr>
                    <w:tcW w:w="1267" w:type="pct"/>
                  </w:tcPr>
                  <w:p w14:paraId="661852A5" w14:textId="77777777" w:rsidR="007E7472" w:rsidRDefault="00EC1269">
                    <w:pPr>
                      <w:jc w:val="right"/>
                      <w:rPr>
                        <w:highlight w:val="yellow"/>
                      </w:rPr>
                    </w:pPr>
                    <w:r>
                      <w:t>35</w:t>
                    </w:r>
                  </w:p>
                </w:tc>
              </w:tr>
            </w:sdtContent>
          </w:sdt>
          <w:sdt>
            <w:sdtPr>
              <w:rPr>
                <w:color w:val="000000" w:themeColor="text1"/>
              </w:rPr>
              <w:alias w:val="按组合计提坏账准备的应收账款详细名称明细"/>
              <w:tag w:val="_TUP_f0c1437e418b477abdaa018db20308d6"/>
              <w:id w:val="812368052"/>
              <w:lock w:val="sdtLocked"/>
            </w:sdtPr>
            <w:sdtEndPr>
              <w:rPr>
                <w:color w:val="auto"/>
                <w:highlight w:val="yellow"/>
              </w:rPr>
            </w:sdtEndPr>
            <w:sdtContent>
              <w:tr w:rsidR="007E7472" w14:paraId="008E3257" w14:textId="77777777">
                <w:tc>
                  <w:tcPr>
                    <w:tcW w:w="1158" w:type="pct"/>
                  </w:tcPr>
                  <w:p w14:paraId="58ACE329" w14:textId="77777777" w:rsidR="007E7472" w:rsidRDefault="00EC1269">
                    <w:pPr>
                      <w:rPr>
                        <w:color w:val="000000" w:themeColor="text1"/>
                      </w:rPr>
                    </w:pPr>
                    <w:r>
                      <w:rPr>
                        <w:color w:val="000000" w:themeColor="text1"/>
                      </w:rPr>
                      <w:t>2-3年</w:t>
                    </w:r>
                  </w:p>
                </w:tc>
                <w:tc>
                  <w:tcPr>
                    <w:tcW w:w="1276" w:type="pct"/>
                  </w:tcPr>
                  <w:p w14:paraId="7B938B3C" w14:textId="77777777" w:rsidR="007E7472" w:rsidRDefault="00EC1269">
                    <w:pPr>
                      <w:jc w:val="right"/>
                      <w:rPr>
                        <w:highlight w:val="yellow"/>
                      </w:rPr>
                    </w:pPr>
                    <w:r>
                      <w:t>13,287</w:t>
                    </w:r>
                  </w:p>
                </w:tc>
                <w:tc>
                  <w:tcPr>
                    <w:tcW w:w="1299" w:type="pct"/>
                  </w:tcPr>
                  <w:p w14:paraId="665179DA" w14:textId="77777777" w:rsidR="007E7472" w:rsidRDefault="00EC1269">
                    <w:pPr>
                      <w:jc w:val="right"/>
                    </w:pPr>
                    <w:r>
                      <w:t>7,720</w:t>
                    </w:r>
                  </w:p>
                </w:tc>
                <w:tc>
                  <w:tcPr>
                    <w:tcW w:w="1267" w:type="pct"/>
                  </w:tcPr>
                  <w:p w14:paraId="5EBC802D" w14:textId="77777777" w:rsidR="007E7472" w:rsidRDefault="00EC1269">
                    <w:pPr>
                      <w:jc w:val="right"/>
                      <w:rPr>
                        <w:highlight w:val="yellow"/>
                      </w:rPr>
                    </w:pPr>
                    <w:r>
                      <w:t>58</w:t>
                    </w:r>
                  </w:p>
                </w:tc>
              </w:tr>
            </w:sdtContent>
          </w:sdt>
          <w:sdt>
            <w:sdtPr>
              <w:rPr>
                <w:color w:val="000000" w:themeColor="text1"/>
              </w:rPr>
              <w:alias w:val="按组合计提坏账准备的应收账款详细名称明细"/>
              <w:tag w:val="_TUP_f0c1437e418b477abdaa018db20308d6"/>
              <w:id w:val="273595997"/>
              <w:lock w:val="sdtLocked"/>
            </w:sdtPr>
            <w:sdtEndPr>
              <w:rPr>
                <w:color w:val="auto"/>
                <w:highlight w:val="yellow"/>
              </w:rPr>
            </w:sdtEndPr>
            <w:sdtContent>
              <w:tr w:rsidR="007E7472" w14:paraId="76CFD8CD" w14:textId="77777777">
                <w:tc>
                  <w:tcPr>
                    <w:tcW w:w="1158" w:type="pct"/>
                  </w:tcPr>
                  <w:p w14:paraId="6A2DEDF9" w14:textId="77777777" w:rsidR="007E7472" w:rsidRDefault="00EC1269">
                    <w:pPr>
                      <w:rPr>
                        <w:color w:val="000000" w:themeColor="text1"/>
                      </w:rPr>
                    </w:pPr>
                    <w:r>
                      <w:rPr>
                        <w:color w:val="000000" w:themeColor="text1"/>
                      </w:rPr>
                      <w:t>3年以上</w:t>
                    </w:r>
                  </w:p>
                </w:tc>
                <w:tc>
                  <w:tcPr>
                    <w:tcW w:w="1276" w:type="pct"/>
                  </w:tcPr>
                  <w:p w14:paraId="7F0F5667" w14:textId="77777777" w:rsidR="007E7472" w:rsidRDefault="00EC1269">
                    <w:pPr>
                      <w:jc w:val="right"/>
                      <w:rPr>
                        <w:highlight w:val="yellow"/>
                      </w:rPr>
                    </w:pPr>
                    <w:r>
                      <w:t>4,987</w:t>
                    </w:r>
                  </w:p>
                </w:tc>
                <w:tc>
                  <w:tcPr>
                    <w:tcW w:w="1299" w:type="pct"/>
                  </w:tcPr>
                  <w:p w14:paraId="0A7296C5" w14:textId="77777777" w:rsidR="007E7472" w:rsidRDefault="00EC1269">
                    <w:pPr>
                      <w:jc w:val="right"/>
                    </w:pPr>
                    <w:r>
                      <w:t>4,987</w:t>
                    </w:r>
                  </w:p>
                </w:tc>
                <w:tc>
                  <w:tcPr>
                    <w:tcW w:w="1267" w:type="pct"/>
                  </w:tcPr>
                  <w:p w14:paraId="690EC607" w14:textId="77777777" w:rsidR="007E7472" w:rsidRDefault="00EC1269">
                    <w:pPr>
                      <w:jc w:val="right"/>
                      <w:rPr>
                        <w:highlight w:val="yellow"/>
                      </w:rPr>
                    </w:pPr>
                    <w:r>
                      <w:t>100</w:t>
                    </w:r>
                  </w:p>
                </w:tc>
              </w:tr>
            </w:sdtContent>
          </w:sdt>
          <w:tr w:rsidR="007E7472" w14:paraId="6B35477D" w14:textId="77777777">
            <w:sdt>
              <w:sdtPr>
                <w:tag w:val="_PLD_435948144728481980336a881622f9ca"/>
                <w:id w:val="1707058752"/>
                <w:lock w:val="sdtLocked"/>
              </w:sdtPr>
              <w:sdtEndPr/>
              <w:sdtContent>
                <w:tc>
                  <w:tcPr>
                    <w:tcW w:w="1158" w:type="pct"/>
                    <w:vAlign w:val="center"/>
                  </w:tcPr>
                  <w:p w14:paraId="1EBD1DA5" w14:textId="77777777" w:rsidR="007E7472" w:rsidRDefault="00EC1269">
                    <w:pPr>
                      <w:jc w:val="center"/>
                    </w:pPr>
                    <w:r>
                      <w:rPr>
                        <w:rFonts w:hint="eastAsia"/>
                      </w:rPr>
                      <w:t>合计</w:t>
                    </w:r>
                  </w:p>
                </w:tc>
              </w:sdtContent>
            </w:sdt>
            <w:tc>
              <w:tcPr>
                <w:tcW w:w="1276" w:type="pct"/>
              </w:tcPr>
              <w:p w14:paraId="58270F71" w14:textId="77777777" w:rsidR="007E7472" w:rsidRPr="00F72A4F" w:rsidRDefault="00EC1269">
                <w:pPr>
                  <w:jc w:val="right"/>
                  <w:rPr>
                    <w:highlight w:val="yellow"/>
                  </w:rPr>
                </w:pPr>
                <w:r w:rsidRPr="00F72A4F">
                  <w:t>477,155</w:t>
                </w:r>
              </w:p>
            </w:tc>
            <w:tc>
              <w:tcPr>
                <w:tcW w:w="1299" w:type="pct"/>
              </w:tcPr>
              <w:p w14:paraId="6D884D58" w14:textId="77777777" w:rsidR="007E7472" w:rsidRPr="00F72A4F" w:rsidRDefault="00EC1269">
                <w:pPr>
                  <w:jc w:val="right"/>
                </w:pPr>
                <w:r w:rsidRPr="00F72A4F">
                  <w:t>20,622</w:t>
                </w:r>
              </w:p>
            </w:tc>
            <w:tc>
              <w:tcPr>
                <w:tcW w:w="1267" w:type="pct"/>
              </w:tcPr>
              <w:p w14:paraId="210C2D5F" w14:textId="77777777" w:rsidR="007E7472" w:rsidRPr="00F72A4F" w:rsidRDefault="00EC1269">
                <w:pPr>
                  <w:jc w:val="right"/>
                  <w:rPr>
                    <w:highlight w:val="yellow"/>
                  </w:rPr>
                </w:pPr>
                <w:r w:rsidRPr="00F72A4F">
                  <w:t>4</w:t>
                </w:r>
              </w:p>
            </w:tc>
          </w:tr>
        </w:tbl>
        <w:p w14:paraId="7604662A" w14:textId="77777777" w:rsidR="007E7472" w:rsidRDefault="00C8327E"/>
        <w:p w14:paraId="21D05EDB" w14:textId="77777777" w:rsidR="007E7472" w:rsidRDefault="00EC1269">
          <w:r>
            <w:rPr>
              <w:rFonts w:hint="eastAsia"/>
            </w:rPr>
            <w:t>按组合计提坏账的确认标准及说明：</w:t>
          </w:r>
        </w:p>
        <w:sdt>
          <w:sdtPr>
            <w:alias w:val="是否适用：母公司应收账款按组合计提坏账的确认标准及说明[双击切换]"/>
            <w:tag w:val="_GBC_186c78f5430148f29cc239ac6b530e5e"/>
            <w:id w:val="1008560967"/>
            <w:lock w:val="sdtLocked"/>
            <w:placeholder>
              <w:docPart w:val="GBC22222222222222222222222222222"/>
            </w:placeholder>
          </w:sdtPr>
          <w:sdtEndPr>
            <w:rPr>
              <w:sz w:val="20"/>
              <w:szCs w:val="20"/>
            </w:rPr>
          </w:sdtEndPr>
          <w:sdtContent>
            <w:p w14:paraId="51D3CC4D"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91"/>
    <w:p w14:paraId="45519085" w14:textId="77777777" w:rsidR="007E7472" w:rsidRDefault="00C8327E"/>
    <w:bookmarkStart w:id="292" w:name="_Hlk10540115" w:displacedByCustomXml="next"/>
    <w:sdt>
      <w:sdtPr>
        <w:rPr>
          <w:rFonts w:hint="eastAsia"/>
        </w:rPr>
        <w:alias w:val="模块:如按预期信用损失一般模型计提坏账准备，请参照其他应收款披露："/>
        <w:tag w:val="_SEC_0daf1df16ecd4ddb95ab2ba88474abac"/>
        <w:id w:val="1565527394"/>
        <w:lock w:val="sdtLocked"/>
        <w:placeholder>
          <w:docPart w:val="GBC22222222222222222222222222222"/>
        </w:placeholder>
      </w:sdtPr>
      <w:sdtEndPr>
        <w:rPr>
          <w:rFonts w:hint="default"/>
          <w:sz w:val="20"/>
          <w:szCs w:val="20"/>
        </w:rPr>
      </w:sdtEndPr>
      <w:sdtContent>
        <w:p w14:paraId="65222365" w14:textId="77777777" w:rsidR="007E7472" w:rsidRDefault="00EC1269">
          <w:r>
            <w:rPr>
              <w:rFonts w:hint="eastAsia"/>
            </w:rPr>
            <w:t>如按预期信用损失一般模型计提坏账准备，请参照其他应收款披露：</w:t>
          </w:r>
          <w:bookmarkEnd w:id="292"/>
        </w:p>
        <w:sdt>
          <w:sdtPr>
            <w:alias w:val="是否适用：母公司应收账款按一般预计信用损失模型计提坏账[双击切换]"/>
            <w:tag w:val="_GBC_549d8a07d3e545ee8ada79b15a8ba3e9"/>
            <w:id w:val="-1538277995"/>
            <w:lock w:val="sdtLocked"/>
            <w:placeholder>
              <w:docPart w:val="GBC22222222222222222222222222222"/>
            </w:placeholder>
          </w:sdtPr>
          <w:sdtEndPr/>
          <w:sdtContent>
            <w:p w14:paraId="69B4B4CD"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48917E1" w14:textId="77777777" w:rsidR="007E7472" w:rsidRDefault="00C8327E"/>
      </w:sdtContent>
    </w:sdt>
    <w:p w14:paraId="2A65F2CC" w14:textId="77777777" w:rsidR="007E7472" w:rsidRDefault="00EC1269" w:rsidP="00162493">
      <w:pPr>
        <w:pStyle w:val="4"/>
        <w:numPr>
          <w:ilvl w:val="0"/>
          <w:numId w:val="119"/>
        </w:numPr>
      </w:pPr>
      <w:bookmarkStart w:id="293" w:name="_Hlk10540190"/>
      <w:r>
        <w:rPr>
          <w:rFonts w:hint="eastAsia"/>
        </w:rPr>
        <w:t>坏账准备的情况</w:t>
      </w:r>
      <w:bookmarkEnd w:id="293"/>
    </w:p>
    <w:sdt>
      <w:sdtPr>
        <w:alias w:val="是否适用：母公司应收账款坏账准备情况[双击切换]"/>
        <w:tag w:val="_GBC_f73789de2ecf49c4bad380c8767c93cf"/>
        <w:id w:val="-1115356367"/>
        <w:lock w:val="sdtContentLocked"/>
        <w:placeholder>
          <w:docPart w:val="GBC22222222222222222222222222222"/>
        </w:placeholder>
      </w:sdtPr>
      <w:sdtEndPr/>
      <w:sdtContent>
        <w:p w14:paraId="242050B5" w14:textId="77777777" w:rsidR="007E7472" w:rsidRDefault="00EC1269">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
      <w:sdtPr>
        <w:rPr>
          <w:rFonts w:hint="eastAsia"/>
        </w:rPr>
        <w:alias w:val="模块:计提坏账准备情况"/>
        <w:tag w:val="_SEC_1d771df7b6f44c3999ed9d4bceb75d3a"/>
        <w:id w:val="-1867672423"/>
        <w:placeholder>
          <w:docPart w:val="GBC22222222222222222222222222222"/>
        </w:placeholder>
      </w:sdtPr>
      <w:sdtEndPr>
        <w:rPr>
          <w:rFonts w:cs="Times New Roman" w:hint="default"/>
          <w:kern w:val="2"/>
        </w:rPr>
      </w:sdtEndPr>
      <w:sdtContent>
        <w:p w14:paraId="06C4E601" w14:textId="010F518A" w:rsidR="007E7472" w:rsidRDefault="00EC1269">
          <w:pPr>
            <w:snapToGrid w:val="0"/>
            <w:spacing w:line="240" w:lineRule="atLeast"/>
            <w:ind w:left="425"/>
            <w:jc w:val="right"/>
          </w:pPr>
          <w:r>
            <w:rPr>
              <w:rFonts w:hint="eastAsia"/>
            </w:rPr>
            <w:t>单位：</w:t>
          </w:r>
          <w:sdt>
            <w:sdtPr>
              <w:rPr>
                <w:rFonts w:hint="eastAsia"/>
              </w:rPr>
              <w:alias w:val="单位：母公司应收账款坏账准备情况"/>
              <w:tag w:val="_GBC_b1cb6a2ed32f4cbba0ff71c0724458cf"/>
              <w:id w:val="-125211089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母公司应收账款坏账准备情况"/>
              <w:tag w:val="_GBC_d354bf362fbe459f823a08ebfd7e3967"/>
              <w:id w:val="-100373835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444"/>
            <w:gridCol w:w="1213"/>
            <w:gridCol w:w="1166"/>
            <w:gridCol w:w="1362"/>
            <w:gridCol w:w="1331"/>
            <w:gridCol w:w="1098"/>
            <w:gridCol w:w="1209"/>
          </w:tblGrid>
          <w:tr w:rsidR="007E7472" w14:paraId="1C63522B" w14:textId="77777777" w:rsidTr="007E7472">
            <w:trPr>
              <w:trHeight w:val="368"/>
              <w:jc w:val="center"/>
            </w:trPr>
            <w:sdt>
              <w:sdtPr>
                <w:tag w:val="_PLD_f6bf13992bdc4b06bd6f364458e0df47"/>
                <w:id w:val="-1586525015"/>
              </w:sdtPr>
              <w:sdtEndPr/>
              <w:sdtContent>
                <w:tc>
                  <w:tcPr>
                    <w:tcW w:w="818" w:type="pct"/>
                    <w:vMerge w:val="restart"/>
                    <w:shd w:val="clear" w:color="auto" w:fill="FFFFFF"/>
                    <w:vAlign w:val="center"/>
                  </w:tcPr>
                  <w:p w14:paraId="4AB87B52" w14:textId="77777777" w:rsidR="007E7472" w:rsidRDefault="00EC1269">
                    <w:pPr>
                      <w:widowControl w:val="0"/>
                      <w:jc w:val="center"/>
                    </w:pPr>
                    <w:r>
                      <w:t>类别</w:t>
                    </w:r>
                  </w:p>
                </w:tc>
              </w:sdtContent>
            </w:sdt>
            <w:sdt>
              <w:sdtPr>
                <w:tag w:val="_PLD_579b33cd0d7e490d998a64c9f202ccfb"/>
                <w:id w:val="-1901892808"/>
              </w:sdtPr>
              <w:sdtEndPr/>
              <w:sdtContent>
                <w:tc>
                  <w:tcPr>
                    <w:tcW w:w="687" w:type="pct"/>
                    <w:vMerge w:val="restart"/>
                    <w:shd w:val="clear" w:color="auto" w:fill="FFFFFF"/>
                    <w:vAlign w:val="center"/>
                  </w:tcPr>
                  <w:p w14:paraId="225FD328" w14:textId="77777777" w:rsidR="007E7472" w:rsidRDefault="00EC1269">
                    <w:pPr>
                      <w:widowControl w:val="0"/>
                      <w:jc w:val="center"/>
                    </w:pPr>
                    <w:r>
                      <w:t>期初余额</w:t>
                    </w:r>
                  </w:p>
                </w:tc>
              </w:sdtContent>
            </w:sdt>
            <w:sdt>
              <w:sdtPr>
                <w:tag w:val="_PLD_2cbc55bce2ef44bbb40e4050dfe846f1"/>
                <w:id w:val="-1904831121"/>
              </w:sdtPr>
              <w:sdtEndPr/>
              <w:sdtContent>
                <w:tc>
                  <w:tcPr>
                    <w:tcW w:w="2809" w:type="pct"/>
                    <w:gridSpan w:val="4"/>
                    <w:shd w:val="clear" w:color="auto" w:fill="FFFFFF"/>
                    <w:vAlign w:val="center"/>
                  </w:tcPr>
                  <w:p w14:paraId="51345B41" w14:textId="77777777" w:rsidR="007E7472" w:rsidRDefault="00EC1269">
                    <w:pPr>
                      <w:widowControl w:val="0"/>
                      <w:jc w:val="center"/>
                    </w:pPr>
                    <w:r>
                      <w:rPr>
                        <w:rFonts w:hint="eastAsia"/>
                      </w:rPr>
                      <w:t>本期变动</w:t>
                    </w:r>
                    <w:r>
                      <w:t>金额</w:t>
                    </w:r>
                  </w:p>
                </w:tc>
              </w:sdtContent>
            </w:sdt>
            <w:sdt>
              <w:sdtPr>
                <w:tag w:val="_PLD_dcc9f714adf8465eb1a49da61466de1f"/>
                <w:id w:val="810135332"/>
              </w:sdtPr>
              <w:sdtEndPr/>
              <w:sdtContent>
                <w:tc>
                  <w:tcPr>
                    <w:tcW w:w="685" w:type="pct"/>
                    <w:vMerge w:val="restart"/>
                    <w:shd w:val="clear" w:color="auto" w:fill="FFFFFF"/>
                    <w:vAlign w:val="center"/>
                  </w:tcPr>
                  <w:p w14:paraId="609DAF84" w14:textId="77777777" w:rsidR="007E7472" w:rsidRDefault="00EC1269">
                    <w:pPr>
                      <w:widowControl w:val="0"/>
                      <w:jc w:val="center"/>
                    </w:pPr>
                    <w:r>
                      <w:t>期末余额</w:t>
                    </w:r>
                  </w:p>
                </w:tc>
              </w:sdtContent>
            </w:sdt>
          </w:tr>
          <w:tr w:rsidR="007E7472" w14:paraId="3E19710B" w14:textId="77777777" w:rsidTr="007E7472">
            <w:trPr>
              <w:trHeight w:val="415"/>
              <w:jc w:val="center"/>
            </w:trPr>
            <w:tc>
              <w:tcPr>
                <w:tcW w:w="818" w:type="pct"/>
                <w:vMerge/>
                <w:shd w:val="clear" w:color="auto" w:fill="FFFFFF"/>
              </w:tcPr>
              <w:p w14:paraId="2953EEB9" w14:textId="77777777" w:rsidR="007E7472" w:rsidRDefault="00C8327E">
                <w:pPr>
                  <w:widowControl w:val="0"/>
                  <w:jc w:val="center"/>
                </w:pPr>
              </w:p>
            </w:tc>
            <w:tc>
              <w:tcPr>
                <w:tcW w:w="687" w:type="pct"/>
                <w:vMerge/>
                <w:shd w:val="clear" w:color="auto" w:fill="FFFFFF"/>
              </w:tcPr>
              <w:p w14:paraId="13FA0467" w14:textId="77777777" w:rsidR="007E7472" w:rsidRDefault="00C8327E">
                <w:pPr>
                  <w:widowControl w:val="0"/>
                  <w:jc w:val="center"/>
                </w:pPr>
              </w:p>
            </w:tc>
            <w:sdt>
              <w:sdtPr>
                <w:tag w:val="_PLD_e4e43f7257b14faaaaf4b09b161bf7b7"/>
                <w:id w:val="1414665385"/>
              </w:sdtPr>
              <w:sdtEndPr/>
              <w:sdtContent>
                <w:tc>
                  <w:tcPr>
                    <w:tcW w:w="661" w:type="pct"/>
                    <w:shd w:val="clear" w:color="auto" w:fill="FFFFFF"/>
                    <w:vAlign w:val="center"/>
                  </w:tcPr>
                  <w:p w14:paraId="7987AB0C" w14:textId="77777777" w:rsidR="007E7472" w:rsidRDefault="00EC1269">
                    <w:pPr>
                      <w:widowControl w:val="0"/>
                      <w:jc w:val="center"/>
                    </w:pPr>
                    <w:r>
                      <w:t>计提</w:t>
                    </w:r>
                  </w:p>
                </w:tc>
              </w:sdtContent>
            </w:sdt>
            <w:sdt>
              <w:sdtPr>
                <w:tag w:val="_PLD_bf7fb55a6c2a4d18926896fd921fc857"/>
                <w:id w:val="-781035232"/>
              </w:sdtPr>
              <w:sdtEndPr/>
              <w:sdtContent>
                <w:tc>
                  <w:tcPr>
                    <w:tcW w:w="772" w:type="pct"/>
                    <w:shd w:val="clear" w:color="auto" w:fill="FFFFFF"/>
                    <w:vAlign w:val="center"/>
                  </w:tcPr>
                  <w:p w14:paraId="64B9DE13" w14:textId="77777777" w:rsidR="007E7472" w:rsidRDefault="00EC1269">
                    <w:pPr>
                      <w:widowControl w:val="0"/>
                      <w:jc w:val="center"/>
                    </w:pPr>
                    <w:r>
                      <w:rPr>
                        <w:rFonts w:hint="eastAsia"/>
                      </w:rPr>
                      <w:t>收回或转回</w:t>
                    </w:r>
                  </w:p>
                </w:tc>
              </w:sdtContent>
            </w:sdt>
            <w:tc>
              <w:tcPr>
                <w:tcW w:w="754" w:type="pct"/>
                <w:shd w:val="clear" w:color="auto" w:fill="FFFFFF"/>
                <w:vAlign w:val="center"/>
              </w:tcPr>
              <w:sdt>
                <w:sdtPr>
                  <w:rPr>
                    <w:rFonts w:hint="eastAsia"/>
                  </w:rPr>
                  <w:tag w:val="_PLD_536d31c824d74db3baaa7f5b6cd0a9ec"/>
                  <w:id w:val="1794401242"/>
                </w:sdtPr>
                <w:sdtEndPr/>
                <w:sdtContent>
                  <w:p w14:paraId="49895C56" w14:textId="77777777" w:rsidR="007E7472" w:rsidRDefault="00EC1269">
                    <w:pPr>
                      <w:widowControl w:val="0"/>
                      <w:jc w:val="center"/>
                    </w:pPr>
                    <w:r>
                      <w:rPr>
                        <w:rFonts w:hint="eastAsia"/>
                      </w:rPr>
                      <w:t>转销或核销</w:t>
                    </w:r>
                  </w:p>
                </w:sdtContent>
              </w:sdt>
            </w:tc>
            <w:tc>
              <w:tcPr>
                <w:tcW w:w="622" w:type="pct"/>
                <w:shd w:val="clear" w:color="auto" w:fill="FFFFFF"/>
                <w:vAlign w:val="center"/>
              </w:tcPr>
              <w:sdt>
                <w:sdtPr>
                  <w:rPr>
                    <w:rFonts w:hint="eastAsia"/>
                  </w:rPr>
                  <w:tag w:val="_PLD_32a7ce101f6b48d68c39e1edb6e78b82"/>
                  <w:id w:val="11115714"/>
                </w:sdtPr>
                <w:sdtEndPr/>
                <w:sdtContent>
                  <w:p w14:paraId="35A83C7D" w14:textId="77777777" w:rsidR="007E7472" w:rsidRDefault="00EC1269">
                    <w:pPr>
                      <w:widowControl w:val="0"/>
                      <w:jc w:val="right"/>
                    </w:pPr>
                    <w:r>
                      <w:rPr>
                        <w:rFonts w:hint="eastAsia"/>
                      </w:rPr>
                      <w:t>其他变动</w:t>
                    </w:r>
                  </w:p>
                </w:sdtContent>
              </w:sdt>
            </w:tc>
            <w:tc>
              <w:tcPr>
                <w:tcW w:w="685" w:type="pct"/>
                <w:vMerge/>
                <w:shd w:val="clear" w:color="auto" w:fill="FFFFFF"/>
              </w:tcPr>
              <w:p w14:paraId="12255ACF" w14:textId="77777777" w:rsidR="007E7472" w:rsidRDefault="00C8327E">
                <w:pPr>
                  <w:widowControl w:val="0"/>
                  <w:jc w:val="right"/>
                </w:pPr>
              </w:p>
            </w:tc>
          </w:tr>
          <w:sdt>
            <w:sdtPr>
              <w:alias w:val="应收账款坏账准备明细"/>
              <w:tag w:val="_TUP_b4b5569b724a48fcad53c89b4a37cb1c"/>
              <w:id w:val="709001129"/>
              <w:lock w:val="sdtLocked"/>
            </w:sdtPr>
            <w:sdtEndPr/>
            <w:sdtContent>
              <w:tr w:rsidR="007E7472" w14:paraId="25737D39" w14:textId="77777777" w:rsidTr="007E7472">
                <w:trPr>
                  <w:trHeight w:val="340"/>
                  <w:jc w:val="center"/>
                </w:trPr>
                <w:tc>
                  <w:tcPr>
                    <w:tcW w:w="818" w:type="pct"/>
                    <w:shd w:val="clear" w:color="auto" w:fill="auto"/>
                    <w:vAlign w:val="center"/>
                  </w:tcPr>
                  <w:p w14:paraId="71129586" w14:textId="77777777" w:rsidR="007E7472" w:rsidRDefault="00EC1269">
                    <w:pPr>
                      <w:widowControl w:val="0"/>
                      <w:jc w:val="center"/>
                    </w:pPr>
                    <w:r>
                      <w:rPr>
                        <w:rFonts w:hint="eastAsia"/>
                      </w:rPr>
                      <w:t>坏账准备</w:t>
                    </w:r>
                  </w:p>
                </w:tc>
                <w:tc>
                  <w:tcPr>
                    <w:tcW w:w="687" w:type="pct"/>
                    <w:shd w:val="clear" w:color="auto" w:fill="auto"/>
                    <w:vAlign w:val="center"/>
                  </w:tcPr>
                  <w:p w14:paraId="70FF3069" w14:textId="77777777" w:rsidR="007E7472" w:rsidRDefault="00EC1269">
                    <w:pPr>
                      <w:jc w:val="right"/>
                      <w:rPr>
                        <w:bCs/>
                      </w:rPr>
                    </w:pPr>
                    <w:r>
                      <w:t>193,426</w:t>
                    </w:r>
                  </w:p>
                </w:tc>
                <w:tc>
                  <w:tcPr>
                    <w:tcW w:w="661" w:type="pct"/>
                    <w:shd w:val="clear" w:color="auto" w:fill="auto"/>
                    <w:vAlign w:val="center"/>
                  </w:tcPr>
                  <w:p w14:paraId="08F11A5E" w14:textId="77777777" w:rsidR="007E7472" w:rsidRDefault="00EC1269">
                    <w:pPr>
                      <w:jc w:val="right"/>
                    </w:pPr>
                    <w:r>
                      <w:t>17,973</w:t>
                    </w:r>
                  </w:p>
                </w:tc>
                <w:tc>
                  <w:tcPr>
                    <w:tcW w:w="772" w:type="pct"/>
                    <w:shd w:val="clear" w:color="auto" w:fill="auto"/>
                    <w:vAlign w:val="center"/>
                  </w:tcPr>
                  <w:p w14:paraId="248D431E" w14:textId="77777777" w:rsidR="007E7472" w:rsidRDefault="00EC1269">
                    <w:pPr>
                      <w:jc w:val="right"/>
                    </w:pPr>
                    <w:r>
                      <w:t>-2,100</w:t>
                    </w:r>
                  </w:p>
                </w:tc>
                <w:tc>
                  <w:tcPr>
                    <w:tcW w:w="754" w:type="pct"/>
                    <w:vAlign w:val="center"/>
                  </w:tcPr>
                  <w:p w14:paraId="5A54ADDD" w14:textId="77777777" w:rsidR="007E7472" w:rsidRDefault="00C8327E">
                    <w:pPr>
                      <w:widowControl w:val="0"/>
                      <w:jc w:val="center"/>
                    </w:pPr>
                  </w:p>
                </w:tc>
                <w:tc>
                  <w:tcPr>
                    <w:tcW w:w="622" w:type="pct"/>
                    <w:vAlign w:val="center"/>
                  </w:tcPr>
                  <w:p w14:paraId="7D9EDA90" w14:textId="77777777" w:rsidR="007E7472" w:rsidRDefault="00C8327E">
                    <w:pPr>
                      <w:widowControl w:val="0"/>
                      <w:jc w:val="center"/>
                    </w:pPr>
                  </w:p>
                </w:tc>
                <w:tc>
                  <w:tcPr>
                    <w:tcW w:w="685" w:type="pct"/>
                    <w:shd w:val="clear" w:color="auto" w:fill="auto"/>
                    <w:vAlign w:val="center"/>
                  </w:tcPr>
                  <w:p w14:paraId="5233BA00" w14:textId="77777777" w:rsidR="007E7472" w:rsidRDefault="00EC1269">
                    <w:pPr>
                      <w:widowControl w:val="0"/>
                      <w:jc w:val="right"/>
                    </w:pPr>
                    <w:r>
                      <w:t>209,299</w:t>
                    </w:r>
                  </w:p>
                </w:tc>
              </w:tr>
            </w:sdtContent>
          </w:sdt>
          <w:tr w:rsidR="007E7472" w14:paraId="798E3FBC" w14:textId="77777777" w:rsidTr="007E7472">
            <w:trPr>
              <w:trHeight w:val="340"/>
              <w:jc w:val="center"/>
            </w:trPr>
            <w:sdt>
              <w:sdtPr>
                <w:tag w:val="_PLD_305ead24b9654c709cb715b961cef894"/>
                <w:id w:val="-526024332"/>
              </w:sdtPr>
              <w:sdtEndPr/>
              <w:sdtContent>
                <w:tc>
                  <w:tcPr>
                    <w:tcW w:w="818" w:type="pct"/>
                    <w:shd w:val="clear" w:color="auto" w:fill="auto"/>
                    <w:vAlign w:val="center"/>
                  </w:tcPr>
                  <w:p w14:paraId="5A97CAC6" w14:textId="77777777" w:rsidR="007E7472" w:rsidRDefault="00EC1269">
                    <w:pPr>
                      <w:widowControl w:val="0"/>
                      <w:jc w:val="center"/>
                    </w:pPr>
                    <w:r>
                      <w:rPr>
                        <w:rFonts w:hint="eastAsia"/>
                      </w:rPr>
                      <w:t>合计</w:t>
                    </w:r>
                  </w:p>
                </w:tc>
              </w:sdtContent>
            </w:sdt>
            <w:tc>
              <w:tcPr>
                <w:tcW w:w="687" w:type="pct"/>
                <w:shd w:val="clear" w:color="auto" w:fill="auto"/>
                <w:vAlign w:val="center"/>
              </w:tcPr>
              <w:p w14:paraId="0C4AEA52" w14:textId="77777777" w:rsidR="007E7472" w:rsidRDefault="00EC1269">
                <w:pPr>
                  <w:jc w:val="right"/>
                  <w:rPr>
                    <w:bCs/>
                  </w:rPr>
                </w:pPr>
                <w:r>
                  <w:t>193,426</w:t>
                </w:r>
              </w:p>
            </w:tc>
            <w:tc>
              <w:tcPr>
                <w:tcW w:w="661" w:type="pct"/>
                <w:shd w:val="clear" w:color="auto" w:fill="auto"/>
                <w:vAlign w:val="center"/>
              </w:tcPr>
              <w:p w14:paraId="310BFDD8" w14:textId="77777777" w:rsidR="007E7472" w:rsidRDefault="00EC1269">
                <w:pPr>
                  <w:jc w:val="right"/>
                </w:pPr>
                <w:r>
                  <w:t>17,973</w:t>
                </w:r>
              </w:p>
            </w:tc>
            <w:tc>
              <w:tcPr>
                <w:tcW w:w="772" w:type="pct"/>
                <w:shd w:val="clear" w:color="auto" w:fill="auto"/>
                <w:vAlign w:val="center"/>
              </w:tcPr>
              <w:p w14:paraId="341607D5" w14:textId="77777777" w:rsidR="007E7472" w:rsidRDefault="00EC1269">
                <w:pPr>
                  <w:jc w:val="right"/>
                </w:pPr>
                <w:r>
                  <w:t>-2,100</w:t>
                </w:r>
              </w:p>
            </w:tc>
            <w:tc>
              <w:tcPr>
                <w:tcW w:w="754" w:type="pct"/>
                <w:vAlign w:val="center"/>
              </w:tcPr>
              <w:p w14:paraId="4C375157" w14:textId="77777777" w:rsidR="007E7472" w:rsidRDefault="00C8327E">
                <w:pPr>
                  <w:widowControl w:val="0"/>
                  <w:jc w:val="center"/>
                </w:pPr>
              </w:p>
            </w:tc>
            <w:tc>
              <w:tcPr>
                <w:tcW w:w="622" w:type="pct"/>
                <w:vAlign w:val="center"/>
              </w:tcPr>
              <w:p w14:paraId="01386414" w14:textId="77777777" w:rsidR="007E7472" w:rsidRDefault="00C8327E">
                <w:pPr>
                  <w:widowControl w:val="0"/>
                  <w:jc w:val="center"/>
                </w:pPr>
              </w:p>
            </w:tc>
            <w:tc>
              <w:tcPr>
                <w:tcW w:w="685" w:type="pct"/>
                <w:shd w:val="clear" w:color="auto" w:fill="auto"/>
                <w:vAlign w:val="center"/>
              </w:tcPr>
              <w:p w14:paraId="6B641533" w14:textId="77777777" w:rsidR="007E7472" w:rsidRDefault="00EC1269">
                <w:pPr>
                  <w:widowControl w:val="0"/>
                  <w:jc w:val="right"/>
                </w:pPr>
                <w:r>
                  <w:t>209,299</w:t>
                </w:r>
              </w:p>
            </w:tc>
          </w:tr>
        </w:tbl>
        <w:p w14:paraId="612FFE90" w14:textId="77777777" w:rsidR="007E7472" w:rsidRDefault="00C8327E">
          <w:pPr>
            <w:snapToGrid w:val="0"/>
            <w:spacing w:line="240" w:lineRule="atLeast"/>
            <w:ind w:left="425"/>
            <w:jc w:val="center"/>
          </w:pPr>
        </w:p>
      </w:sdtContent>
    </w:sdt>
    <w:p w14:paraId="0945D07A" w14:textId="77777777" w:rsidR="007E7472" w:rsidRDefault="00C8327E"/>
    <w:bookmarkStart w:id="294" w:name="_Hlk10540223" w:displacedByCustomXml="next"/>
    <w:bookmarkStart w:id="295" w:name="_Hlk10540234" w:displacedByCustomXml="next"/>
    <w:sdt>
      <w:sdtPr>
        <w:rPr>
          <w:rFonts w:hint="eastAsia"/>
        </w:rPr>
        <w:alias w:val="模块:其中本期坏账准备收回或转回金额重要的："/>
        <w:tag w:val="_SEC_cfbe6c51f19042a4ad507f8066423e41"/>
        <w:id w:val="748469651"/>
        <w:lock w:val="sdtLocked"/>
        <w:placeholder>
          <w:docPart w:val="GBC22222222222222222222222222222"/>
        </w:placeholder>
      </w:sdtPr>
      <w:sdtEndPr>
        <w:rPr>
          <w:rFonts w:hint="default"/>
        </w:rPr>
      </w:sdtEndPr>
      <w:sdtContent>
        <w:p w14:paraId="565B9CF4" w14:textId="77777777" w:rsidR="007E7472" w:rsidRDefault="00EC1269">
          <w:r>
            <w:rPr>
              <w:rFonts w:hint="eastAsia"/>
            </w:rPr>
            <w:t>其中本期坏账准备收回或转回金额重要的：</w:t>
          </w:r>
          <w:bookmarkEnd w:id="294"/>
        </w:p>
        <w:sdt>
          <w:sdtPr>
            <w:alias w:val="是否适用：母公司其中本期坏账准备收回或转回金额重要的[双击切换]"/>
            <w:tag w:val="_GBC_a6aa75dceb1749caaf0ac8239ed005c1"/>
            <w:id w:val="265664705"/>
            <w:lock w:val="sdtLocked"/>
            <w:placeholder>
              <w:docPart w:val="GBC22222222222222222222222222222"/>
            </w:placeholder>
          </w:sdtPr>
          <w:sdtEndPr/>
          <w:sdtContent>
            <w:p w14:paraId="13A1252B" w14:textId="77777777" w:rsidR="007E7472" w:rsidRDefault="00EC126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14:paraId="281BA502" w14:textId="77777777" w:rsidR="007E7472" w:rsidRDefault="00C8327E">
          <w:pPr>
            <w:ind w:rightChars="-759" w:right="-1594"/>
          </w:pPr>
        </w:p>
      </w:sdtContent>
    </w:sdt>
    <w:bookmarkEnd w:id="295"/>
    <w:p w14:paraId="47961505" w14:textId="77777777" w:rsidR="007E7472" w:rsidRDefault="00C8327E"/>
    <w:bookmarkStart w:id="296" w:name="_Hlk142299563" w:displacedByCustomXml="next"/>
    <w:sdt>
      <w:sdtPr>
        <w:rPr>
          <w:rFonts w:ascii="宋体" w:hAnsi="宋体" w:cs="宋体" w:hint="eastAsia"/>
          <w:b w:val="0"/>
          <w:bCs w:val="0"/>
          <w:kern w:val="0"/>
          <w:sz w:val="20"/>
          <w:szCs w:val="24"/>
        </w:rPr>
        <w:alias w:val="模块:本报告期实际核销的应收账款情况"/>
        <w:tag w:val="_GBC_72fe1bcd09e2470f910107f1e159af49"/>
        <w:id w:val="536941529"/>
        <w:lock w:val="sdtLocked"/>
        <w:placeholder>
          <w:docPart w:val="GBC22222222222222222222222222222"/>
        </w:placeholder>
      </w:sdtPr>
      <w:sdtEndPr>
        <w:rPr>
          <w:rFonts w:asciiTheme="minorEastAsia" w:eastAsiaTheme="minorEastAsia" w:hAnsiTheme="minorEastAsia" w:hint="default"/>
          <w:sz w:val="21"/>
          <w:szCs w:val="21"/>
        </w:rPr>
      </w:sdtEndPr>
      <w:sdtContent>
        <w:p w14:paraId="63B12BBE" w14:textId="77777777" w:rsidR="007E7472" w:rsidRDefault="00EC1269" w:rsidP="00162493">
          <w:pPr>
            <w:pStyle w:val="4"/>
            <w:numPr>
              <w:ilvl w:val="0"/>
              <w:numId w:val="119"/>
            </w:numPr>
            <w:rPr>
              <w:rFonts w:asciiTheme="minorEastAsia" w:eastAsiaTheme="minorEastAsia" w:hAnsiTheme="minorEastAsia"/>
            </w:rPr>
          </w:pPr>
          <w:r>
            <w:rPr>
              <w:rFonts w:asciiTheme="minorEastAsia" w:eastAsiaTheme="minorEastAsia" w:hAnsiTheme="minorEastAsia"/>
            </w:rPr>
            <w:t>本期实际核销的应收</w:t>
          </w:r>
          <w:r>
            <w:rPr>
              <w:rFonts w:asciiTheme="minorEastAsia" w:eastAsiaTheme="minorEastAsia" w:hAnsiTheme="minorEastAsia" w:hint="eastAsia"/>
            </w:rPr>
            <w:t>账款</w:t>
          </w:r>
          <w:r>
            <w:rPr>
              <w:rFonts w:asciiTheme="minorEastAsia" w:eastAsiaTheme="minorEastAsia" w:hAnsiTheme="minorEastAsia"/>
            </w:rPr>
            <w:t>情况</w:t>
          </w:r>
        </w:p>
        <w:sdt>
          <w:sdtPr>
            <w:rPr>
              <w:rFonts w:asciiTheme="minorEastAsia" w:eastAsiaTheme="minorEastAsia" w:hAnsiTheme="minorEastAsia"/>
            </w:rPr>
            <w:alias w:val="是否适用：母公司本期实际核销的应收账款情况[双击切换]"/>
            <w:tag w:val="_GBC_a8b9861b74fa43bdb4a98d13449f8f5e"/>
            <w:id w:val="366723132"/>
            <w:lock w:val="sdtLocked"/>
            <w:placeholder>
              <w:docPart w:val="GBC22222222222222222222222222222"/>
            </w:placeholder>
          </w:sdtPr>
          <w:sdtEndPr/>
          <w:sdtContent>
            <w:p w14:paraId="1EE80A71" w14:textId="77777777" w:rsidR="007E7472" w:rsidRDefault="00EC1269">
              <w:pPr>
                <w:rPr>
                  <w:rFonts w:asciiTheme="minorEastAsia" w:eastAsiaTheme="minorEastAsia" w:hAnsiTheme="minorEastAsia"/>
                </w:rPr>
              </w:pP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46E5528A" w14:textId="77777777" w:rsidR="007E7472" w:rsidRDefault="00C8327E">
          <w:pPr>
            <w:rPr>
              <w:rFonts w:asciiTheme="minorEastAsia" w:eastAsiaTheme="minorEastAsia" w:hAnsiTheme="minorEastAsia"/>
            </w:rPr>
          </w:pPr>
        </w:p>
      </w:sdtContent>
    </w:sdt>
    <w:bookmarkEnd w:id="296"/>
    <w:p w14:paraId="669C4887" w14:textId="77777777" w:rsidR="007E7472" w:rsidRDefault="00C8327E">
      <w:pPr>
        <w:snapToGrid w:val="0"/>
        <w:spacing w:line="240" w:lineRule="atLeast"/>
        <w:ind w:leftChars="-50" w:left="-105"/>
      </w:pPr>
    </w:p>
    <w:sdt>
      <w:sdtPr>
        <w:rPr>
          <w:rFonts w:ascii="宋体" w:hAnsi="宋体" w:cs="宋体" w:hint="eastAsia"/>
          <w:b w:val="0"/>
          <w:bCs w:val="0"/>
          <w:kern w:val="0"/>
          <w:szCs w:val="24"/>
        </w:rPr>
        <w:alias w:val="模块:按欠款方归集的期末余额前五名的应收账款情况"/>
        <w:tag w:val="_GBC_60192a235b1d4a9bb5f69fafe3ab6f87"/>
        <w:id w:val="-200486606"/>
        <w:lock w:val="sdtLocked"/>
        <w:placeholder>
          <w:docPart w:val="GBC22222222222222222222222222222"/>
        </w:placeholder>
      </w:sdtPr>
      <w:sdtEndPr>
        <w:rPr>
          <w:rFonts w:hint="default"/>
          <w:szCs w:val="21"/>
        </w:rPr>
      </w:sdtEndPr>
      <w:sdtContent>
        <w:p w14:paraId="14975F6D" w14:textId="77777777" w:rsidR="007E7472" w:rsidRDefault="00EC1269" w:rsidP="00162493">
          <w:pPr>
            <w:pStyle w:val="4"/>
            <w:numPr>
              <w:ilvl w:val="0"/>
              <w:numId w:val="119"/>
            </w:numPr>
          </w:pPr>
          <w:r>
            <w:rPr>
              <w:rFonts w:hint="eastAsia"/>
            </w:rPr>
            <w:t>按欠款方归集的期末余额前五名的应收账款情况</w:t>
          </w:r>
        </w:p>
        <w:sdt>
          <w:sdtPr>
            <w:alias w:val="是否适用：母公司按欠款方归集的期末余额前五名的应收账款情况[双击切换]"/>
            <w:tag w:val="_GBC_6ebf56800d554857af86eb226ac98f28"/>
            <w:id w:val="-960029404"/>
            <w:lock w:val="sdtLocked"/>
            <w:placeholder>
              <w:docPart w:val="GBC22222222222222222222222222222"/>
            </w:placeholder>
          </w:sdtPr>
          <w:sdtEndPr/>
          <w:sdtContent>
            <w:p w14:paraId="0E34A028"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按欠款方归集的期末余额前五名的应收账款情况的说明"/>
            <w:tag w:val="_GBC_fb5c8a787a404b5f93e696afb6756e6c"/>
            <w:id w:val="860949639"/>
            <w:lock w:val="sdtLocked"/>
          </w:sdtPr>
          <w:sdtEndPr/>
          <w:sdtContent>
            <w:p w14:paraId="13F0E3EB" w14:textId="77777777" w:rsidR="007E7472" w:rsidRDefault="00C8327E"/>
            <w:tbl>
              <w:tblPr>
                <w:tblStyle w:val="g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6"/>
                <w:gridCol w:w="1169"/>
                <w:gridCol w:w="1560"/>
                <w:gridCol w:w="1598"/>
              </w:tblGrid>
              <w:tr w:rsidR="007E7472" w14:paraId="045F2F5F" w14:textId="77777777" w:rsidTr="007E7472">
                <w:tc>
                  <w:tcPr>
                    <w:tcW w:w="4496" w:type="dxa"/>
                    <w:vAlign w:val="center"/>
                  </w:tcPr>
                  <w:p w14:paraId="1B64697E" w14:textId="77777777" w:rsidR="007E7472" w:rsidRDefault="00EC1269">
                    <w:pPr>
                      <w:jc w:val="center"/>
                    </w:pPr>
                    <w:r>
                      <w:rPr>
                        <w:rFonts w:hint="eastAsia"/>
                      </w:rPr>
                      <w:t>单位名称</w:t>
                    </w:r>
                  </w:p>
                </w:tc>
                <w:tc>
                  <w:tcPr>
                    <w:tcW w:w="1169" w:type="dxa"/>
                    <w:vAlign w:val="center"/>
                  </w:tcPr>
                  <w:p w14:paraId="762FC64F" w14:textId="77777777" w:rsidR="007E7472" w:rsidRDefault="00EC1269">
                    <w:pPr>
                      <w:jc w:val="center"/>
                    </w:pPr>
                    <w:r>
                      <w:rPr>
                        <w:rFonts w:hint="eastAsia"/>
                      </w:rPr>
                      <w:t>期</w:t>
                    </w:r>
                    <w:r>
                      <w:t>末余额</w:t>
                    </w:r>
                  </w:p>
                </w:tc>
                <w:tc>
                  <w:tcPr>
                    <w:tcW w:w="1560" w:type="dxa"/>
                    <w:vAlign w:val="center"/>
                  </w:tcPr>
                  <w:p w14:paraId="21D7C61A" w14:textId="77777777" w:rsidR="007E7472" w:rsidRDefault="00EC1269">
                    <w:pPr>
                      <w:jc w:val="center"/>
                    </w:pPr>
                    <w:r>
                      <w:t>占应收账款年末余额合计数的比例(%)</w:t>
                    </w:r>
                  </w:p>
                </w:tc>
                <w:tc>
                  <w:tcPr>
                    <w:tcW w:w="1598" w:type="dxa"/>
                    <w:vAlign w:val="center"/>
                  </w:tcPr>
                  <w:p w14:paraId="6DD7A198" w14:textId="77777777" w:rsidR="007E7472" w:rsidRDefault="00EC1269">
                    <w:pPr>
                      <w:jc w:val="center"/>
                    </w:pPr>
                    <w:r>
                      <w:t>坏账准备</w:t>
                    </w:r>
                    <w:r>
                      <w:rPr>
                        <w:rFonts w:hint="eastAsia"/>
                      </w:rPr>
                      <w:t>期</w:t>
                    </w:r>
                    <w:r>
                      <w:t>末余额</w:t>
                    </w:r>
                  </w:p>
                </w:tc>
              </w:tr>
              <w:tr w:rsidR="007E7472" w14:paraId="6237DB04" w14:textId="77777777" w:rsidTr="007E7472">
                <w:tc>
                  <w:tcPr>
                    <w:tcW w:w="4496" w:type="dxa"/>
                  </w:tcPr>
                  <w:p w14:paraId="52A8F965" w14:textId="5F279283" w:rsidR="007E7472" w:rsidRDefault="00162493">
                    <w:r>
                      <w:rPr>
                        <w:rFonts w:hint="eastAsia"/>
                      </w:rPr>
                      <w:t>公司1</w:t>
                    </w:r>
                  </w:p>
                </w:tc>
                <w:tc>
                  <w:tcPr>
                    <w:tcW w:w="1169" w:type="dxa"/>
                    <w:vAlign w:val="center"/>
                  </w:tcPr>
                  <w:p w14:paraId="37748623" w14:textId="77777777" w:rsidR="007E7472" w:rsidRDefault="00EC1269">
                    <w:pPr>
                      <w:jc w:val="right"/>
                    </w:pPr>
                    <w:r>
                      <w:t>366,462</w:t>
                    </w:r>
                  </w:p>
                </w:tc>
                <w:tc>
                  <w:tcPr>
                    <w:tcW w:w="1560" w:type="dxa"/>
                    <w:vAlign w:val="center"/>
                  </w:tcPr>
                  <w:p w14:paraId="0C4ABC84" w14:textId="77777777" w:rsidR="007E7472" w:rsidRDefault="00EC1269">
                    <w:pPr>
                      <w:jc w:val="right"/>
                    </w:pPr>
                    <w:r>
                      <w:rPr>
                        <w:rFonts w:hint="eastAsia"/>
                      </w:rPr>
                      <w:t>1</w:t>
                    </w:r>
                    <w:r>
                      <w:t>4</w:t>
                    </w:r>
                  </w:p>
                </w:tc>
                <w:tc>
                  <w:tcPr>
                    <w:tcW w:w="1598" w:type="dxa"/>
                    <w:vAlign w:val="center"/>
                  </w:tcPr>
                  <w:p w14:paraId="2A2ED897" w14:textId="77777777" w:rsidR="007E7472" w:rsidRDefault="00C8327E">
                    <w:pPr>
                      <w:jc w:val="right"/>
                    </w:pPr>
                  </w:p>
                </w:tc>
              </w:tr>
              <w:tr w:rsidR="007E7472" w14:paraId="2A23C55C" w14:textId="77777777" w:rsidTr="007E7472">
                <w:tc>
                  <w:tcPr>
                    <w:tcW w:w="4496" w:type="dxa"/>
                  </w:tcPr>
                  <w:p w14:paraId="13DA1135" w14:textId="26043C3C" w:rsidR="007E7472" w:rsidRDefault="00EC1269">
                    <w:r>
                      <w:rPr>
                        <w:rFonts w:hint="eastAsia"/>
                      </w:rPr>
                      <w:t>公司</w:t>
                    </w:r>
                    <w:r w:rsidR="00162493">
                      <w:rPr>
                        <w:rFonts w:hint="eastAsia"/>
                      </w:rPr>
                      <w:t>2</w:t>
                    </w:r>
                  </w:p>
                </w:tc>
                <w:tc>
                  <w:tcPr>
                    <w:tcW w:w="1169" w:type="dxa"/>
                    <w:vAlign w:val="center"/>
                  </w:tcPr>
                  <w:p w14:paraId="2FD2CF2F" w14:textId="77777777" w:rsidR="007E7472" w:rsidRDefault="00EC1269">
                    <w:pPr>
                      <w:jc w:val="right"/>
                    </w:pPr>
                    <w:r>
                      <w:t>356,912</w:t>
                    </w:r>
                  </w:p>
                </w:tc>
                <w:tc>
                  <w:tcPr>
                    <w:tcW w:w="1560" w:type="dxa"/>
                    <w:vAlign w:val="center"/>
                  </w:tcPr>
                  <w:p w14:paraId="45630901" w14:textId="77777777" w:rsidR="007E7472" w:rsidRDefault="00EC1269">
                    <w:pPr>
                      <w:jc w:val="right"/>
                    </w:pPr>
                    <w:r>
                      <w:rPr>
                        <w:rFonts w:hint="eastAsia"/>
                      </w:rPr>
                      <w:t>1</w:t>
                    </w:r>
                    <w:r>
                      <w:t>4</w:t>
                    </w:r>
                  </w:p>
                </w:tc>
                <w:tc>
                  <w:tcPr>
                    <w:tcW w:w="1598" w:type="dxa"/>
                    <w:vAlign w:val="center"/>
                  </w:tcPr>
                  <w:p w14:paraId="035D376B" w14:textId="77777777" w:rsidR="007E7472" w:rsidRDefault="00C8327E">
                    <w:pPr>
                      <w:jc w:val="right"/>
                    </w:pPr>
                  </w:p>
                </w:tc>
              </w:tr>
              <w:tr w:rsidR="007E7472" w14:paraId="3542EDE8" w14:textId="77777777" w:rsidTr="007E7472">
                <w:tc>
                  <w:tcPr>
                    <w:tcW w:w="4496" w:type="dxa"/>
                  </w:tcPr>
                  <w:p w14:paraId="39572AD2" w14:textId="6A3F1CAF" w:rsidR="007E7472" w:rsidRDefault="00EC1269">
                    <w:r>
                      <w:rPr>
                        <w:rFonts w:hint="eastAsia"/>
                      </w:rPr>
                      <w:t>公司</w:t>
                    </w:r>
                    <w:r w:rsidR="00162493">
                      <w:rPr>
                        <w:rFonts w:hint="eastAsia"/>
                      </w:rPr>
                      <w:t>3</w:t>
                    </w:r>
                  </w:p>
                </w:tc>
                <w:tc>
                  <w:tcPr>
                    <w:tcW w:w="1169" w:type="dxa"/>
                    <w:vAlign w:val="center"/>
                  </w:tcPr>
                  <w:p w14:paraId="6012904E" w14:textId="77777777" w:rsidR="007E7472" w:rsidRDefault="00EC1269">
                    <w:pPr>
                      <w:jc w:val="right"/>
                    </w:pPr>
                    <w:r>
                      <w:t>264,508</w:t>
                    </w:r>
                  </w:p>
                </w:tc>
                <w:tc>
                  <w:tcPr>
                    <w:tcW w:w="1560" w:type="dxa"/>
                    <w:vAlign w:val="center"/>
                  </w:tcPr>
                  <w:p w14:paraId="4336EE42" w14:textId="77777777" w:rsidR="007E7472" w:rsidRDefault="00EC1269">
                    <w:pPr>
                      <w:jc w:val="right"/>
                    </w:pPr>
                    <w:r>
                      <w:rPr>
                        <w:rFonts w:hint="eastAsia"/>
                      </w:rPr>
                      <w:t>1</w:t>
                    </w:r>
                    <w:r>
                      <w:t>0</w:t>
                    </w:r>
                  </w:p>
                </w:tc>
                <w:tc>
                  <w:tcPr>
                    <w:tcW w:w="1598" w:type="dxa"/>
                    <w:vAlign w:val="center"/>
                  </w:tcPr>
                  <w:p w14:paraId="2D5F1F5D" w14:textId="77777777" w:rsidR="007E7472" w:rsidRDefault="00C8327E">
                    <w:pPr>
                      <w:jc w:val="right"/>
                    </w:pPr>
                  </w:p>
                </w:tc>
              </w:tr>
              <w:tr w:rsidR="007E7472" w14:paraId="2AACFD7E" w14:textId="77777777" w:rsidTr="007E7472">
                <w:tc>
                  <w:tcPr>
                    <w:tcW w:w="4496" w:type="dxa"/>
                  </w:tcPr>
                  <w:p w14:paraId="63AD9CD2" w14:textId="2D95C8F5" w:rsidR="007E7472" w:rsidRDefault="00EC1269">
                    <w:r>
                      <w:rPr>
                        <w:rFonts w:hint="eastAsia"/>
                      </w:rPr>
                      <w:t>公司</w:t>
                    </w:r>
                    <w:r w:rsidR="00162493">
                      <w:rPr>
                        <w:rFonts w:hint="eastAsia"/>
                      </w:rPr>
                      <w:t>4</w:t>
                    </w:r>
                  </w:p>
                </w:tc>
                <w:tc>
                  <w:tcPr>
                    <w:tcW w:w="1169" w:type="dxa"/>
                    <w:vAlign w:val="center"/>
                  </w:tcPr>
                  <w:p w14:paraId="1665FF54" w14:textId="77777777" w:rsidR="007E7472" w:rsidRDefault="00EC1269">
                    <w:pPr>
                      <w:jc w:val="right"/>
                    </w:pPr>
                    <w:r>
                      <w:t>262,282</w:t>
                    </w:r>
                  </w:p>
                </w:tc>
                <w:tc>
                  <w:tcPr>
                    <w:tcW w:w="1560" w:type="dxa"/>
                    <w:vAlign w:val="center"/>
                  </w:tcPr>
                  <w:p w14:paraId="62010797" w14:textId="77777777" w:rsidR="007E7472" w:rsidRDefault="00EC1269">
                    <w:pPr>
                      <w:jc w:val="right"/>
                    </w:pPr>
                    <w:r>
                      <w:rPr>
                        <w:rFonts w:hint="eastAsia"/>
                      </w:rPr>
                      <w:t>1</w:t>
                    </w:r>
                    <w:r>
                      <w:t>0</w:t>
                    </w:r>
                  </w:p>
                </w:tc>
                <w:tc>
                  <w:tcPr>
                    <w:tcW w:w="1598" w:type="dxa"/>
                    <w:vAlign w:val="center"/>
                  </w:tcPr>
                  <w:p w14:paraId="5C8D1008" w14:textId="77777777" w:rsidR="007E7472" w:rsidRDefault="00EC1269">
                    <w:pPr>
                      <w:jc w:val="right"/>
                    </w:pPr>
                    <w:r>
                      <w:t>183,599</w:t>
                    </w:r>
                  </w:p>
                </w:tc>
              </w:tr>
              <w:tr w:rsidR="007E7472" w14:paraId="70E2CBF1" w14:textId="77777777" w:rsidTr="007E7472">
                <w:tc>
                  <w:tcPr>
                    <w:tcW w:w="4496" w:type="dxa"/>
                  </w:tcPr>
                  <w:p w14:paraId="4985848B" w14:textId="6A0DBEF9" w:rsidR="007E7472" w:rsidRDefault="00EC1269">
                    <w:r>
                      <w:rPr>
                        <w:rFonts w:hint="eastAsia"/>
                      </w:rPr>
                      <w:t>公司</w:t>
                    </w:r>
                    <w:r w:rsidR="00162493">
                      <w:rPr>
                        <w:rFonts w:hint="eastAsia"/>
                      </w:rPr>
                      <w:t>5</w:t>
                    </w:r>
                  </w:p>
                </w:tc>
                <w:tc>
                  <w:tcPr>
                    <w:tcW w:w="1169" w:type="dxa"/>
                    <w:vAlign w:val="center"/>
                  </w:tcPr>
                  <w:p w14:paraId="223AA410" w14:textId="77777777" w:rsidR="007E7472" w:rsidRDefault="00EC1269">
                    <w:pPr>
                      <w:jc w:val="right"/>
                    </w:pPr>
                    <w:r>
                      <w:t>153,909</w:t>
                    </w:r>
                  </w:p>
                </w:tc>
                <w:tc>
                  <w:tcPr>
                    <w:tcW w:w="1560" w:type="dxa"/>
                    <w:vAlign w:val="center"/>
                  </w:tcPr>
                  <w:p w14:paraId="3EB4ABF1" w14:textId="77777777" w:rsidR="007E7472" w:rsidRDefault="00EC1269">
                    <w:pPr>
                      <w:jc w:val="right"/>
                    </w:pPr>
                    <w:r>
                      <w:rPr>
                        <w:rFonts w:hint="eastAsia"/>
                      </w:rPr>
                      <w:t>6</w:t>
                    </w:r>
                  </w:p>
                </w:tc>
                <w:tc>
                  <w:tcPr>
                    <w:tcW w:w="1598" w:type="dxa"/>
                    <w:vAlign w:val="center"/>
                  </w:tcPr>
                  <w:p w14:paraId="343503E2" w14:textId="77777777" w:rsidR="007E7472" w:rsidRDefault="00C8327E">
                    <w:pPr>
                      <w:jc w:val="right"/>
                    </w:pPr>
                  </w:p>
                </w:tc>
              </w:tr>
              <w:tr w:rsidR="007E7472" w14:paraId="7EBAB243" w14:textId="77777777" w:rsidTr="007E7472">
                <w:tc>
                  <w:tcPr>
                    <w:tcW w:w="4496" w:type="dxa"/>
                  </w:tcPr>
                  <w:p w14:paraId="47B6CA65" w14:textId="77777777" w:rsidR="007E7472" w:rsidRDefault="00EC1269">
                    <w:r>
                      <w:rPr>
                        <w:rFonts w:hint="eastAsia"/>
                      </w:rPr>
                      <w:t>合计</w:t>
                    </w:r>
                  </w:p>
                </w:tc>
                <w:tc>
                  <w:tcPr>
                    <w:tcW w:w="1169" w:type="dxa"/>
                    <w:vAlign w:val="center"/>
                  </w:tcPr>
                  <w:p w14:paraId="4A7F699F" w14:textId="77777777" w:rsidR="007E7472" w:rsidRDefault="00EC1269">
                    <w:pPr>
                      <w:jc w:val="right"/>
                    </w:pPr>
                    <w:r>
                      <w:t>1,404,073</w:t>
                    </w:r>
                  </w:p>
                </w:tc>
                <w:tc>
                  <w:tcPr>
                    <w:tcW w:w="1560" w:type="dxa"/>
                    <w:vAlign w:val="center"/>
                  </w:tcPr>
                  <w:p w14:paraId="1503C5F1" w14:textId="77777777" w:rsidR="007E7472" w:rsidRDefault="00EC1269">
                    <w:pPr>
                      <w:jc w:val="right"/>
                    </w:pPr>
                    <w:r>
                      <w:rPr>
                        <w:rFonts w:hint="eastAsia"/>
                      </w:rPr>
                      <w:t>5</w:t>
                    </w:r>
                    <w:r>
                      <w:t>4</w:t>
                    </w:r>
                  </w:p>
                </w:tc>
                <w:tc>
                  <w:tcPr>
                    <w:tcW w:w="1598" w:type="dxa"/>
                    <w:vAlign w:val="center"/>
                  </w:tcPr>
                  <w:p w14:paraId="4CCD6579" w14:textId="77777777" w:rsidR="007E7472" w:rsidRDefault="00EC1269">
                    <w:pPr>
                      <w:jc w:val="right"/>
                    </w:pPr>
                    <w:r>
                      <w:t>183,599</w:t>
                    </w:r>
                  </w:p>
                </w:tc>
              </w:tr>
            </w:tbl>
            <w:p w14:paraId="5B55B657" w14:textId="77777777" w:rsidR="007E7472" w:rsidRDefault="00C8327E"/>
          </w:sdtContent>
        </w:sdt>
      </w:sdtContent>
    </w:sdt>
    <w:sdt>
      <w:sdtPr>
        <w:rPr>
          <w:rFonts w:ascii="宋体" w:hAnsi="宋体" w:cs="宋体" w:hint="eastAsia"/>
          <w:b w:val="0"/>
          <w:bCs w:val="0"/>
          <w:kern w:val="0"/>
          <w:szCs w:val="24"/>
        </w:rPr>
        <w:alias w:val="模块:因金融资产转移而终止确认的应收账款"/>
        <w:tag w:val="_GBC_ab73666b561d47cbb383aa21715b406f"/>
        <w:id w:val="-2140875652"/>
        <w:lock w:val="sdtLocked"/>
        <w:placeholder>
          <w:docPart w:val="GBC22222222222222222222222222222"/>
        </w:placeholder>
      </w:sdtPr>
      <w:sdtEndPr>
        <w:rPr>
          <w:szCs w:val="21"/>
        </w:rPr>
      </w:sdtEndPr>
      <w:sdtContent>
        <w:p w14:paraId="02410725" w14:textId="77777777" w:rsidR="007E7472" w:rsidRDefault="00EC1269" w:rsidP="00162493">
          <w:pPr>
            <w:pStyle w:val="4"/>
            <w:numPr>
              <w:ilvl w:val="0"/>
              <w:numId w:val="119"/>
            </w:numPr>
          </w:pPr>
          <w:r>
            <w:rPr>
              <w:rFonts w:hint="eastAsia"/>
            </w:rPr>
            <w:t>因金融资产转移而终止确认的应收账款</w:t>
          </w:r>
        </w:p>
        <w:sdt>
          <w:sdtPr>
            <w:rPr>
              <w:rFonts w:hint="eastAsia"/>
            </w:rPr>
            <w:alias w:val="是否适用：母公司因金融资产转移而终止确认的应收账款[双击切换]"/>
            <w:tag w:val="_GBC_452701102453497e8ab0df8e4c523df9"/>
            <w:id w:val="-549684250"/>
            <w:lock w:val="sdtLocked"/>
            <w:placeholder>
              <w:docPart w:val="GBC22222222222222222222222222222"/>
            </w:placeholder>
          </w:sdtPr>
          <w:sdtEndPr/>
          <w:sdtContent>
            <w:p w14:paraId="13BBBA43" w14:textId="77777777" w:rsidR="007E7472" w:rsidRDefault="00EC1269">
              <w:pPr>
                <w:snapToGrid w:val="0"/>
                <w:spacing w:line="240" w:lineRule="atLeast"/>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23E54914" w14:textId="77777777" w:rsidR="007E7472" w:rsidRDefault="00C8327E">
          <w:pPr>
            <w:snapToGrid w:val="0"/>
            <w:spacing w:line="240" w:lineRule="atLeast"/>
          </w:pPr>
        </w:p>
      </w:sdtContent>
    </w:sdt>
    <w:sdt>
      <w:sdtPr>
        <w:rPr>
          <w:rFonts w:ascii="宋体" w:hAnsi="宋体" w:cs="宋体" w:hint="eastAsia"/>
          <w:b w:val="0"/>
          <w:bCs w:val="0"/>
          <w:kern w:val="0"/>
          <w:szCs w:val="24"/>
        </w:rPr>
        <w:alias w:val="模块:转移应收账款且继续涉入的，分项列示继续涉入形成的资产、负债的金额"/>
        <w:tag w:val="_GBC_0fefb2630375419f8e496c310f6ec9ee"/>
        <w:id w:val="-495029400"/>
        <w:lock w:val="sdtLocked"/>
        <w:placeholder>
          <w:docPart w:val="GBC22222222222222222222222222222"/>
        </w:placeholder>
      </w:sdtPr>
      <w:sdtEndPr>
        <w:rPr>
          <w:szCs w:val="21"/>
        </w:rPr>
      </w:sdtEndPr>
      <w:sdtContent>
        <w:p w14:paraId="2E31393E" w14:textId="77777777" w:rsidR="007E7472" w:rsidRDefault="00EC1269" w:rsidP="00162493">
          <w:pPr>
            <w:pStyle w:val="4"/>
            <w:numPr>
              <w:ilvl w:val="0"/>
              <w:numId w:val="119"/>
            </w:numPr>
          </w:pPr>
          <w:r>
            <w:rPr>
              <w:rFonts w:hint="eastAsia"/>
            </w:rPr>
            <w:t>转移应收账款且继续涉入形成的资产、负债金额</w:t>
          </w:r>
        </w:p>
        <w:sdt>
          <w:sdtPr>
            <w:rPr>
              <w:rFonts w:hint="eastAsia"/>
            </w:rPr>
            <w:alias w:val="是否适用：母公司转移应收账款且继续涉入形成的资产、负债金额[双击切换]"/>
            <w:tag w:val="_GBC_18ab0f336ea34b009b496f240cc35a39"/>
            <w:id w:val="9574426"/>
            <w:lock w:val="sdtLocked"/>
            <w:placeholder>
              <w:docPart w:val="GBC22222222222222222222222222222"/>
            </w:placeholder>
          </w:sdtPr>
          <w:sdtEndPr/>
          <w:sdtContent>
            <w:p w14:paraId="316DC31C" w14:textId="77777777" w:rsidR="007E7472" w:rsidRDefault="00EC1269">
              <w:pPr>
                <w:snapToGrid w:val="0"/>
                <w:spacing w:line="240" w:lineRule="atLeast"/>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5AE2DCDE" w14:textId="77777777" w:rsidR="007E7472" w:rsidRDefault="00C8327E">
      <w:pPr>
        <w:snapToGrid w:val="0"/>
        <w:spacing w:line="240" w:lineRule="atLeast"/>
        <w:ind w:leftChars="-50" w:left="-105"/>
      </w:pPr>
    </w:p>
    <w:sdt>
      <w:sdtPr>
        <w:rPr>
          <w:rFonts w:hint="eastAsia"/>
          <w:b/>
          <w:bCs/>
        </w:rPr>
        <w:alias w:val="模块:其他说明："/>
        <w:tag w:val="_GBC_eac4abdf299a4312a10e680c5fc79ef9"/>
        <w:id w:val="-1708704902"/>
        <w:lock w:val="sdtLocked"/>
        <w:placeholder>
          <w:docPart w:val="GBC22222222222222222222222222222"/>
        </w:placeholder>
      </w:sdtPr>
      <w:sdtEndPr>
        <w:rPr>
          <w:rFonts w:hint="default"/>
          <w:b w:val="0"/>
          <w:bCs w:val="0"/>
        </w:rPr>
      </w:sdtEndPr>
      <w:sdtContent>
        <w:p w14:paraId="4C40065E" w14:textId="77777777" w:rsidR="007E7472" w:rsidRDefault="00EC1269">
          <w:r>
            <w:rPr>
              <w:rFonts w:hint="eastAsia"/>
            </w:rPr>
            <w:t>其他</w:t>
          </w:r>
          <w:r>
            <w:t>说明：</w:t>
          </w:r>
        </w:p>
        <w:sdt>
          <w:sdtPr>
            <w:rPr>
              <w:rFonts w:hint="eastAsia"/>
            </w:rPr>
            <w:alias w:val="是否适用：母公司应收账款其他说明[双击切换]"/>
            <w:tag w:val="_GBC_22a2c0a255e04aacadf1c076323bc980"/>
            <w:id w:val="-1359815178"/>
            <w:lock w:val="sdtLocked"/>
            <w:placeholder>
              <w:docPart w:val="GBC22222222222222222222222222222"/>
            </w:placeholder>
          </w:sdtPr>
          <w:sdtEndPr/>
          <w:sdtContent>
            <w:p w14:paraId="4F411632" w14:textId="77777777" w:rsidR="007E7472" w:rsidRDefault="00EC1269">
              <w:pPr>
                <w:snapToGrid w:val="0"/>
                <w:spacing w:line="240" w:lineRule="atLeast"/>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EFD5209" w14:textId="77777777" w:rsidR="007E7472" w:rsidRDefault="00C8327E">
          <w:pPr>
            <w:snapToGrid w:val="0"/>
            <w:spacing w:line="240" w:lineRule="atLeast"/>
          </w:pPr>
        </w:p>
      </w:sdtContent>
    </w:sdt>
    <w:p w14:paraId="2740DCE4" w14:textId="77777777" w:rsidR="007E7472" w:rsidRPr="00F72A4F" w:rsidRDefault="00EC1269" w:rsidP="00162493">
      <w:pPr>
        <w:numPr>
          <w:ilvl w:val="2"/>
          <w:numId w:val="118"/>
        </w:numPr>
        <w:outlineLvl w:val="2"/>
        <w:rPr>
          <w:b/>
        </w:rPr>
      </w:pPr>
      <w:r w:rsidRPr="00F72A4F">
        <w:rPr>
          <w:rFonts w:hint="eastAsia"/>
          <w:b/>
        </w:rPr>
        <w:t>其他应收款</w:t>
      </w:r>
    </w:p>
    <w:sdt>
      <w:sdtPr>
        <w:rPr>
          <w:rFonts w:ascii="宋体" w:hAnsi="宋体" w:cs="宋体" w:hint="eastAsia"/>
          <w:b w:val="0"/>
          <w:bCs w:val="0"/>
          <w:kern w:val="0"/>
          <w:sz w:val="20"/>
          <w:szCs w:val="24"/>
        </w:rPr>
        <w:alias w:val="模块:项目列示"/>
        <w:tag w:val="_SEC_e2f0b728ae404babbb57dfbc1fafed13"/>
        <w:id w:val="1922604626"/>
        <w:lock w:val="sdtLocked"/>
        <w:placeholder>
          <w:docPart w:val="GBC22222222222222222222222222222"/>
        </w:placeholder>
      </w:sdtPr>
      <w:sdtEndPr>
        <w:rPr>
          <w:sz w:val="21"/>
          <w:szCs w:val="21"/>
        </w:rPr>
      </w:sdtEndPr>
      <w:sdtContent>
        <w:p w14:paraId="7E66E473" w14:textId="77777777" w:rsidR="007E7472" w:rsidRDefault="00EC1269" w:rsidP="007E7472">
          <w:pPr>
            <w:pStyle w:val="4"/>
          </w:pPr>
          <w:r>
            <w:rPr>
              <w:rFonts w:hint="eastAsia"/>
            </w:rPr>
            <w:t>项目列示</w:t>
          </w:r>
        </w:p>
        <w:sdt>
          <w:sdtPr>
            <w:alias w:val="是否适用：母公司其他应收款分类列示[双击切换]"/>
            <w:tag w:val="_GBC_529e259f053b47d993fd4e3216204522"/>
            <w:id w:val="248546214"/>
            <w:lock w:val="sdtLocked"/>
            <w:placeholder>
              <w:docPart w:val="GBC22222222222222222222222222222"/>
            </w:placeholder>
          </w:sdtPr>
          <w:sdtEndPr/>
          <w:sdtContent>
            <w:p w14:paraId="4C5716DF"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4155608" w14:textId="3AC1115D" w:rsidR="007E7472" w:rsidRDefault="00EC1269">
          <w:pPr>
            <w:jc w:val="right"/>
          </w:pPr>
          <w:r>
            <w:rPr>
              <w:rFonts w:hint="eastAsia"/>
            </w:rPr>
            <w:t>单位：</w:t>
          </w:r>
          <w:sdt>
            <w:sdtPr>
              <w:rPr>
                <w:rFonts w:hint="eastAsia"/>
              </w:rPr>
              <w:alias w:val="单位：母公司其他应收款分类列示"/>
              <w:tag w:val="_GBC_306e86db57e64b00a9602dc7cbf81457"/>
              <w:id w:val="-9811606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母公司其他应收款分类列示"/>
              <w:tag w:val="_GBC_cd5866350ae3491e87e9f82a7ed2a7c3"/>
              <w:id w:val="-406697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3113"/>
            <w:gridCol w:w="2862"/>
            <w:gridCol w:w="2848"/>
          </w:tblGrid>
          <w:tr w:rsidR="007E7472" w14:paraId="1CAD029B" w14:textId="77777777">
            <w:trPr>
              <w:cantSplit/>
            </w:trPr>
            <w:sdt>
              <w:sdtPr>
                <w:tag w:val="_PLD_9b14d51b79194bdea749a527966a0a2e"/>
                <w:id w:val="146402747"/>
                <w:lock w:val="sdtLocked"/>
              </w:sdtPr>
              <w:sdtEndPr/>
              <w:sdtContent>
                <w:tc>
                  <w:tcPr>
                    <w:tcW w:w="1764" w:type="pct"/>
                    <w:vAlign w:val="center"/>
                  </w:tcPr>
                  <w:p w14:paraId="019255C4" w14:textId="77777777" w:rsidR="007E7472" w:rsidRDefault="00EC1269">
                    <w:pPr>
                      <w:jc w:val="center"/>
                    </w:pPr>
                    <w:r>
                      <w:rPr>
                        <w:rFonts w:hint="eastAsia"/>
                      </w:rPr>
                      <w:t>项目</w:t>
                    </w:r>
                  </w:p>
                </w:tc>
              </w:sdtContent>
            </w:sdt>
            <w:sdt>
              <w:sdtPr>
                <w:tag w:val="_PLD_1dd12447c07a4bf5b8eef82f2f9f5577"/>
                <w:id w:val="2081707207"/>
                <w:lock w:val="sdtLocked"/>
              </w:sdtPr>
              <w:sdtEndPr/>
              <w:sdtContent>
                <w:tc>
                  <w:tcPr>
                    <w:tcW w:w="1622" w:type="pct"/>
                    <w:vAlign w:val="center"/>
                  </w:tcPr>
                  <w:p w14:paraId="65F0E00C" w14:textId="77777777" w:rsidR="007E7472" w:rsidRDefault="00EC1269">
                    <w:pPr>
                      <w:jc w:val="center"/>
                    </w:pPr>
                    <w:r>
                      <w:rPr>
                        <w:rFonts w:hint="eastAsia"/>
                      </w:rPr>
                      <w:t>期末余额</w:t>
                    </w:r>
                  </w:p>
                </w:tc>
              </w:sdtContent>
            </w:sdt>
            <w:sdt>
              <w:sdtPr>
                <w:tag w:val="_PLD_2701e42352ac4ea1ae4d64adf5d28e89"/>
                <w:id w:val="-1598556670"/>
                <w:lock w:val="sdtLocked"/>
              </w:sdtPr>
              <w:sdtEndPr/>
              <w:sdtContent>
                <w:tc>
                  <w:tcPr>
                    <w:tcW w:w="1614" w:type="pct"/>
                    <w:vAlign w:val="center"/>
                  </w:tcPr>
                  <w:p w14:paraId="64D00DC4" w14:textId="77777777" w:rsidR="007E7472" w:rsidRDefault="00EC1269">
                    <w:pPr>
                      <w:jc w:val="center"/>
                    </w:pPr>
                    <w:r>
                      <w:rPr>
                        <w:rFonts w:hint="eastAsia"/>
                      </w:rPr>
                      <w:t>期初余额</w:t>
                    </w:r>
                  </w:p>
                </w:tc>
              </w:sdtContent>
            </w:sdt>
          </w:tr>
          <w:tr w:rsidR="007E7472" w14:paraId="26A2433A" w14:textId="77777777">
            <w:trPr>
              <w:cantSplit/>
            </w:trPr>
            <w:sdt>
              <w:sdtPr>
                <w:tag w:val="_PLD_e88397c1546740a1aa89497da3258f71"/>
                <w:id w:val="142708297"/>
                <w:lock w:val="sdtLocked"/>
              </w:sdtPr>
              <w:sdtEndPr/>
              <w:sdtContent>
                <w:tc>
                  <w:tcPr>
                    <w:tcW w:w="1764" w:type="pct"/>
                  </w:tcPr>
                  <w:p w14:paraId="3449A517" w14:textId="77777777" w:rsidR="007E7472" w:rsidRDefault="00EC1269">
                    <w:pPr>
                      <w:ind w:right="5"/>
                    </w:pPr>
                    <w:r>
                      <w:rPr>
                        <w:rFonts w:hint="eastAsia"/>
                      </w:rPr>
                      <w:t>应收利息</w:t>
                    </w:r>
                  </w:p>
                </w:tc>
              </w:sdtContent>
            </w:sdt>
            <w:tc>
              <w:tcPr>
                <w:tcW w:w="1622" w:type="pct"/>
                <w:vAlign w:val="center"/>
              </w:tcPr>
              <w:p w14:paraId="084F205A" w14:textId="77777777" w:rsidR="007E7472" w:rsidRDefault="00EC1269">
                <w:pPr>
                  <w:jc w:val="right"/>
                  <w:rPr>
                    <w:bCs/>
                  </w:rPr>
                </w:pPr>
                <w:r>
                  <w:t>386,322</w:t>
                </w:r>
              </w:p>
            </w:tc>
            <w:tc>
              <w:tcPr>
                <w:tcW w:w="1614" w:type="pct"/>
                <w:vAlign w:val="center"/>
              </w:tcPr>
              <w:p w14:paraId="5E98CAA0" w14:textId="77777777" w:rsidR="007E7472" w:rsidRDefault="00EC1269">
                <w:pPr>
                  <w:jc w:val="right"/>
                </w:pPr>
                <w:r>
                  <w:t>320,837</w:t>
                </w:r>
              </w:p>
            </w:tc>
          </w:tr>
          <w:tr w:rsidR="007E7472" w14:paraId="660DA6A9" w14:textId="77777777">
            <w:trPr>
              <w:cantSplit/>
            </w:trPr>
            <w:sdt>
              <w:sdtPr>
                <w:tag w:val="_PLD_11d00ac8309b4e85ac5c0ecfc4e39fdf"/>
                <w:id w:val="-285282282"/>
                <w:lock w:val="sdtLocked"/>
              </w:sdtPr>
              <w:sdtEndPr/>
              <w:sdtContent>
                <w:tc>
                  <w:tcPr>
                    <w:tcW w:w="1764" w:type="pct"/>
                  </w:tcPr>
                  <w:p w14:paraId="39F9DF83" w14:textId="77777777" w:rsidR="007E7472" w:rsidRDefault="00EC1269">
                    <w:pPr>
                      <w:ind w:right="5"/>
                    </w:pPr>
                    <w:r>
                      <w:rPr>
                        <w:rFonts w:hint="eastAsia"/>
                      </w:rPr>
                      <w:t>应收股利</w:t>
                    </w:r>
                  </w:p>
                </w:tc>
              </w:sdtContent>
            </w:sdt>
            <w:tc>
              <w:tcPr>
                <w:tcW w:w="1622" w:type="pct"/>
                <w:vAlign w:val="center"/>
              </w:tcPr>
              <w:p w14:paraId="42007D74" w14:textId="77777777" w:rsidR="007E7472" w:rsidRDefault="00C8327E">
                <w:pPr>
                  <w:jc w:val="right"/>
                </w:pPr>
              </w:p>
            </w:tc>
            <w:tc>
              <w:tcPr>
                <w:tcW w:w="1614" w:type="pct"/>
                <w:vAlign w:val="center"/>
              </w:tcPr>
              <w:p w14:paraId="27D9B551" w14:textId="77777777" w:rsidR="007E7472" w:rsidRDefault="00EC1269">
                <w:pPr>
                  <w:jc w:val="right"/>
                </w:pPr>
                <w:r>
                  <w:t>9,999</w:t>
                </w:r>
              </w:p>
            </w:tc>
          </w:tr>
          <w:tr w:rsidR="007E7472" w14:paraId="1BB0FEFB" w14:textId="77777777">
            <w:trPr>
              <w:cantSplit/>
            </w:trPr>
            <w:sdt>
              <w:sdtPr>
                <w:tag w:val="_PLD_42c4df4453344bc0910f3b3e20b096a2"/>
                <w:id w:val="-380638220"/>
                <w:lock w:val="sdtLocked"/>
              </w:sdtPr>
              <w:sdtEndPr/>
              <w:sdtContent>
                <w:tc>
                  <w:tcPr>
                    <w:tcW w:w="1764" w:type="pct"/>
                  </w:tcPr>
                  <w:p w14:paraId="34BF911D" w14:textId="77777777" w:rsidR="007E7472" w:rsidRDefault="00EC1269">
                    <w:pPr>
                      <w:ind w:right="5"/>
                    </w:pPr>
                    <w:r>
                      <w:rPr>
                        <w:rFonts w:hint="eastAsia"/>
                      </w:rPr>
                      <w:t>其他应收款</w:t>
                    </w:r>
                  </w:p>
                </w:tc>
              </w:sdtContent>
            </w:sdt>
            <w:tc>
              <w:tcPr>
                <w:tcW w:w="1622" w:type="pct"/>
                <w:vAlign w:val="center"/>
              </w:tcPr>
              <w:p w14:paraId="342ED8B5" w14:textId="77777777" w:rsidR="007E7472" w:rsidRDefault="00EC1269">
                <w:pPr>
                  <w:jc w:val="right"/>
                </w:pPr>
                <w:r>
                  <w:t>32,970,922</w:t>
                </w:r>
              </w:p>
            </w:tc>
            <w:tc>
              <w:tcPr>
                <w:tcW w:w="1614" w:type="pct"/>
                <w:vAlign w:val="center"/>
              </w:tcPr>
              <w:p w14:paraId="043C6310" w14:textId="77777777" w:rsidR="007E7472" w:rsidRDefault="00EC1269">
                <w:pPr>
                  <w:jc w:val="right"/>
                </w:pPr>
                <w:r>
                  <w:t>35,509,246</w:t>
                </w:r>
              </w:p>
            </w:tc>
          </w:tr>
          <w:tr w:rsidR="007E7472" w14:paraId="1C93CA9E" w14:textId="77777777">
            <w:trPr>
              <w:cantSplit/>
            </w:trPr>
            <w:sdt>
              <w:sdtPr>
                <w:tag w:val="_PLD_657f57c42bdf4019ba2e4df3e8e8d440"/>
                <w:id w:val="1383678354"/>
                <w:lock w:val="sdtLocked"/>
              </w:sdtPr>
              <w:sdtEndPr/>
              <w:sdtContent>
                <w:tc>
                  <w:tcPr>
                    <w:tcW w:w="1764" w:type="pct"/>
                    <w:vAlign w:val="center"/>
                  </w:tcPr>
                  <w:p w14:paraId="7032B66D" w14:textId="77777777" w:rsidR="007E7472" w:rsidRDefault="00EC1269">
                    <w:pPr>
                      <w:autoSpaceDE w:val="0"/>
                      <w:autoSpaceDN w:val="0"/>
                      <w:adjustRightInd w:val="0"/>
                      <w:jc w:val="center"/>
                    </w:pPr>
                    <w:r>
                      <w:rPr>
                        <w:rFonts w:hint="eastAsia"/>
                      </w:rPr>
                      <w:t>合计</w:t>
                    </w:r>
                  </w:p>
                </w:tc>
              </w:sdtContent>
            </w:sdt>
            <w:tc>
              <w:tcPr>
                <w:tcW w:w="1622" w:type="pct"/>
                <w:vAlign w:val="center"/>
              </w:tcPr>
              <w:p w14:paraId="648D6C3B" w14:textId="77777777" w:rsidR="007E7472" w:rsidRDefault="00EC1269">
                <w:pPr>
                  <w:jc w:val="right"/>
                </w:pPr>
                <w:r>
                  <w:t>33,357,244</w:t>
                </w:r>
              </w:p>
            </w:tc>
            <w:tc>
              <w:tcPr>
                <w:tcW w:w="1614" w:type="pct"/>
                <w:vAlign w:val="center"/>
              </w:tcPr>
              <w:p w14:paraId="207DFE5C" w14:textId="77777777" w:rsidR="007E7472" w:rsidRDefault="00EC1269">
                <w:pPr>
                  <w:jc w:val="right"/>
                </w:pPr>
                <w:r>
                  <w:t>35,840,082</w:t>
                </w:r>
              </w:p>
            </w:tc>
          </w:tr>
        </w:tbl>
        <w:p w14:paraId="6CD0D5E7" w14:textId="77777777" w:rsidR="007E7472" w:rsidRDefault="00C8327E"/>
        <w:p w14:paraId="22AAFC33" w14:textId="77777777" w:rsidR="007E7472" w:rsidRDefault="00EC1269">
          <w:bookmarkStart w:id="297" w:name="_Hlk533797002"/>
          <w:r>
            <w:rPr>
              <w:rFonts w:hint="eastAsia"/>
            </w:rPr>
            <w:t>其他说明：</w:t>
          </w:r>
        </w:p>
        <w:sdt>
          <w:sdtPr>
            <w:alias w:val="是否适用：母公司其他应收款分类列示其他说明[双击切换]"/>
            <w:tag w:val="_GBC_87c9afe4c5c54a4b93c9b78663bd8bf3"/>
            <w:id w:val="-670256070"/>
            <w:lock w:val="sdtLocked"/>
            <w:placeholder>
              <w:docPart w:val="GBC22222222222222222222222222222"/>
            </w:placeholder>
          </w:sdtPr>
          <w:sdtEndPr/>
          <w:sdtContent>
            <w:p w14:paraId="1499FEFB"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2D79D7A" w14:textId="77777777" w:rsidR="007E7472" w:rsidRDefault="00C8327E"/>
      </w:sdtContent>
    </w:sdt>
    <w:bookmarkEnd w:id="297"/>
    <w:p w14:paraId="54C1374C" w14:textId="77777777" w:rsidR="007E7472" w:rsidRDefault="00EC1269" w:rsidP="007E7472">
      <w:pPr>
        <w:pStyle w:val="4"/>
      </w:pPr>
      <w:r>
        <w:rPr>
          <w:rFonts w:hint="eastAsia"/>
        </w:rPr>
        <w:t>应收利息</w:t>
      </w:r>
    </w:p>
    <w:bookmarkStart w:id="298" w:name="_Hlk10547023" w:displacedByCustomXml="next"/>
    <w:bookmarkStart w:id="299" w:name="_Hlk10547033" w:displacedByCustomXml="next"/>
    <w:sdt>
      <w:sdtPr>
        <w:rPr>
          <w:rFonts w:ascii="宋体" w:hAnsi="宋体" w:cs="宋体" w:hint="eastAsia"/>
          <w:b w:val="0"/>
          <w:bCs w:val="0"/>
          <w:kern w:val="0"/>
          <w:sz w:val="20"/>
          <w:szCs w:val="21"/>
        </w:rPr>
        <w:alias w:val="模块:应收利息分类"/>
        <w:tag w:val="_SEC_91e08163b2464f8cb5d135fd131f631f"/>
        <w:id w:val="-444545478"/>
        <w:lock w:val="sdtLocked"/>
        <w:placeholder>
          <w:docPart w:val="GBC22222222222222222222222222222"/>
        </w:placeholder>
      </w:sdtPr>
      <w:sdtEndPr/>
      <w:sdtContent>
        <w:p w14:paraId="137340B2" w14:textId="77777777" w:rsidR="007E7472" w:rsidRDefault="00EC1269" w:rsidP="00162493">
          <w:pPr>
            <w:pStyle w:val="4"/>
            <w:numPr>
              <w:ilvl w:val="0"/>
              <w:numId w:val="120"/>
            </w:numPr>
          </w:pPr>
          <w:r>
            <w:rPr>
              <w:rFonts w:hint="eastAsia"/>
            </w:rPr>
            <w:t>应收利息分类</w:t>
          </w:r>
          <w:bookmarkEnd w:id="298"/>
        </w:p>
        <w:sdt>
          <w:sdtPr>
            <w:alias w:val="是否适用：母公司应收利息分类[双击切换]"/>
            <w:tag w:val="_GBC_7b29d5fc39c94a909c39eedf47c8008f"/>
            <w:id w:val="209696265"/>
            <w:lock w:val="sdtLocked"/>
            <w:placeholder>
              <w:docPart w:val="GBC22222222222222222222222222222"/>
            </w:placeholder>
          </w:sdtPr>
          <w:sdtEndPr/>
          <w:sdtContent>
            <w:p w14:paraId="47859739"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99" w:displacedByCustomXml="next"/>
    <w:bookmarkStart w:id="300" w:name="_Hlk10547054" w:displacedByCustomXml="next"/>
    <w:bookmarkStart w:id="301" w:name="_Hlk10547064" w:displacedByCustomXml="next"/>
    <w:sdt>
      <w:sdtPr>
        <w:rPr>
          <w:rFonts w:ascii="宋体" w:hAnsi="宋体" w:cs="宋体" w:hint="eastAsia"/>
          <w:b w:val="0"/>
          <w:bCs w:val="0"/>
          <w:kern w:val="0"/>
          <w:sz w:val="20"/>
          <w:szCs w:val="21"/>
        </w:rPr>
        <w:alias w:val="模块:重要逾期利息"/>
        <w:tag w:val="_SEC_e80bd789f30b40de829902e04129ef49"/>
        <w:id w:val="2012947358"/>
        <w:lock w:val="sdtLocked"/>
        <w:placeholder>
          <w:docPart w:val="GBC22222222222222222222222222222"/>
        </w:placeholder>
      </w:sdtPr>
      <w:sdtEndPr>
        <w:rPr>
          <w:rFonts w:hint="default"/>
        </w:rPr>
      </w:sdtEndPr>
      <w:sdtContent>
        <w:p w14:paraId="6B074623" w14:textId="77777777" w:rsidR="007E7472" w:rsidRDefault="00EC1269" w:rsidP="00162493">
          <w:pPr>
            <w:pStyle w:val="4"/>
            <w:numPr>
              <w:ilvl w:val="0"/>
              <w:numId w:val="120"/>
            </w:numPr>
          </w:pPr>
          <w:r>
            <w:rPr>
              <w:rFonts w:hint="eastAsia"/>
            </w:rPr>
            <w:t>重要逾期利息</w:t>
          </w:r>
          <w:bookmarkEnd w:id="300"/>
        </w:p>
        <w:sdt>
          <w:sdtPr>
            <w:alias w:val="是否适用：母公司重要逾期利息[双击切换]"/>
            <w:tag w:val="_GBC_2527ddfc737d4b8c8fa3ca7d6387408d"/>
            <w:id w:val="61063644"/>
            <w:lock w:val="sdtLocked"/>
            <w:placeholder>
              <w:docPart w:val="GBC22222222222222222222222222222"/>
            </w:placeholder>
          </w:sdtPr>
          <w:sdtEndPr/>
          <w:sdtContent>
            <w:p w14:paraId="111AA427"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301" w:displacedByCustomXml="next"/>
    <w:bookmarkStart w:id="302" w:name="_Hlk10547083" w:displacedByCustomXml="next"/>
    <w:bookmarkStart w:id="303" w:name="_Hlk10547096" w:displacedByCustomXml="next"/>
    <w:sdt>
      <w:sdtPr>
        <w:rPr>
          <w:rFonts w:ascii="宋体" w:hAnsi="宋体" w:cs="宋体" w:hint="eastAsia"/>
          <w:b w:val="0"/>
          <w:bCs w:val="0"/>
          <w:kern w:val="0"/>
          <w:sz w:val="20"/>
          <w:szCs w:val="21"/>
        </w:rPr>
        <w:alias w:val="模块:坏账准备计提情况"/>
        <w:tag w:val="_SEC_ce38368754b54030878f7a4b3d48648e"/>
        <w:id w:val="168683016"/>
        <w:lock w:val="sdtLocked"/>
        <w:placeholder>
          <w:docPart w:val="GBC22222222222222222222222222222"/>
        </w:placeholder>
      </w:sdtPr>
      <w:sdtEndPr>
        <w:rPr>
          <w:rFonts w:hint="default"/>
        </w:rPr>
      </w:sdtEndPr>
      <w:sdtContent>
        <w:p w14:paraId="46183453" w14:textId="77777777" w:rsidR="007E7472" w:rsidRDefault="00EC1269" w:rsidP="00162493">
          <w:pPr>
            <w:pStyle w:val="4"/>
            <w:numPr>
              <w:ilvl w:val="0"/>
              <w:numId w:val="120"/>
            </w:numPr>
          </w:pPr>
          <w:r>
            <w:rPr>
              <w:rFonts w:hint="eastAsia"/>
            </w:rPr>
            <w:t>坏账准备计提情况</w:t>
          </w:r>
          <w:bookmarkEnd w:id="302"/>
        </w:p>
        <w:sdt>
          <w:sdtPr>
            <w:alias w:val="是否适用：母公司应收利息坏账准备调节表[双击切换]"/>
            <w:tag w:val="_GBC_051d1f4329834464b99226954bb8040d"/>
            <w:id w:val="-1403217730"/>
            <w:lock w:val="sdtLocked"/>
            <w:placeholder>
              <w:docPart w:val="GBC22222222222222222222222222222"/>
            </w:placeholder>
          </w:sdtPr>
          <w:sdtEndPr/>
          <w:sdtContent>
            <w:p w14:paraId="299C2AEC"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727603F" w14:textId="77777777" w:rsidR="007E7472" w:rsidRDefault="00C8327E"/>
      </w:sdtContent>
    </w:sdt>
    <w:bookmarkEnd w:id="303" w:displacedByCustomXml="next"/>
    <w:bookmarkStart w:id="304" w:name="_Hlk10547119" w:displacedByCustomXml="next"/>
    <w:bookmarkStart w:id="305" w:name="_Hlk10547128" w:displacedByCustomXml="next"/>
    <w:sdt>
      <w:sdtPr>
        <w:rPr>
          <w:rFonts w:hint="eastAsia"/>
        </w:rPr>
        <w:alias w:val="模块:其他说明："/>
        <w:tag w:val="_SEC_ad2b0daa52af481d8a56e5f8f2ccc52e"/>
        <w:id w:val="-661239152"/>
        <w:lock w:val="sdtLocked"/>
        <w:placeholder>
          <w:docPart w:val="GBC22222222222222222222222222222"/>
        </w:placeholder>
      </w:sdtPr>
      <w:sdtEndPr>
        <w:rPr>
          <w:rFonts w:hint="default"/>
        </w:rPr>
      </w:sdtEndPr>
      <w:sdtContent>
        <w:p w14:paraId="6CA439C9" w14:textId="77777777" w:rsidR="007E7472" w:rsidRDefault="00EC1269">
          <w:r>
            <w:rPr>
              <w:rFonts w:hint="eastAsia"/>
            </w:rPr>
            <w:t>其他说明：</w:t>
          </w:r>
          <w:bookmarkEnd w:id="304"/>
        </w:p>
        <w:sdt>
          <w:sdtPr>
            <w:alias w:val="是否适用：母公司应收利息其他说明[双击切换]"/>
            <w:tag w:val="_GBC_936c374258514f469f2c9bb36b889c43"/>
            <w:id w:val="896481895"/>
            <w:lock w:val="sdtLocked"/>
            <w:placeholder>
              <w:docPart w:val="GBC22222222222222222222222222222"/>
            </w:placeholder>
          </w:sdtPr>
          <w:sdtEndPr/>
          <w:sdtContent>
            <w:p w14:paraId="7349B93F"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E548F02" w14:textId="77777777" w:rsidR="007E7472" w:rsidRDefault="00C8327E"/>
      </w:sdtContent>
    </w:sdt>
    <w:bookmarkEnd w:id="305" w:displacedByCustomXml="next"/>
    <w:sdt>
      <w:sdtPr>
        <w:rPr>
          <w:rFonts w:ascii="宋体" w:hAnsi="宋体" w:cs="宋体" w:hint="eastAsia"/>
          <w:b w:val="0"/>
          <w:bCs w:val="0"/>
          <w:kern w:val="0"/>
          <w:sz w:val="20"/>
          <w:szCs w:val="21"/>
        </w:rPr>
        <w:alias w:val="模块:应收股利"/>
        <w:tag w:val="_SEC_18f0cc3557ff45749d07d7a27d7c9620"/>
        <w:id w:val="-340388143"/>
        <w:lock w:val="sdtLocked"/>
        <w:placeholder>
          <w:docPart w:val="GBC22222222222222222222222222222"/>
        </w:placeholder>
      </w:sdtPr>
      <w:sdtEndPr/>
      <w:sdtContent>
        <w:p w14:paraId="3CFF39EF" w14:textId="77777777" w:rsidR="007E7472" w:rsidRDefault="00EC1269" w:rsidP="00162493">
          <w:pPr>
            <w:pStyle w:val="4"/>
            <w:numPr>
              <w:ilvl w:val="0"/>
              <w:numId w:val="120"/>
            </w:numPr>
          </w:pPr>
          <w:r>
            <w:rPr>
              <w:rFonts w:hint="eastAsia"/>
            </w:rPr>
            <w:t>应收股利</w:t>
          </w:r>
        </w:p>
        <w:sdt>
          <w:sdtPr>
            <w:alias w:val="是否适用：母公司应收股利[双击切换]"/>
            <w:tag w:val="_GBC_3f36acb68ddd426b990a146c5c14da80"/>
            <w:id w:val="559449686"/>
            <w:lock w:val="sdtLocked"/>
            <w:placeholder>
              <w:docPart w:val="GBC22222222222222222222222222222"/>
            </w:placeholder>
          </w:sdtPr>
          <w:sdtEndPr/>
          <w:sdtContent>
            <w:p w14:paraId="265E698E"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Start w:id="306" w:name="_Hlk10547188" w:displacedByCustomXml="next"/>
    <w:bookmarkStart w:id="307" w:name="_Hlk10547199" w:displacedByCustomXml="next"/>
    <w:sdt>
      <w:sdtPr>
        <w:rPr>
          <w:rFonts w:ascii="宋体" w:hAnsi="宋体" w:cs="宋体" w:hint="eastAsia"/>
          <w:b w:val="0"/>
          <w:bCs w:val="0"/>
          <w:kern w:val="0"/>
          <w:sz w:val="20"/>
          <w:szCs w:val="21"/>
        </w:rPr>
        <w:alias w:val="模块:重要的账龄超过1年的应收股利"/>
        <w:tag w:val="_SEC_ccfd129beeb14f31b282a062cd845e5e"/>
        <w:id w:val="2131971315"/>
        <w:lock w:val="sdtLocked"/>
        <w:placeholder>
          <w:docPart w:val="GBC22222222222222222222222222222"/>
        </w:placeholder>
      </w:sdtPr>
      <w:sdtEndPr>
        <w:rPr>
          <w:rFonts w:hint="default"/>
        </w:rPr>
      </w:sdtEndPr>
      <w:sdtContent>
        <w:p w14:paraId="0F043D5D" w14:textId="77777777" w:rsidR="007E7472" w:rsidRDefault="00EC1269" w:rsidP="00162493">
          <w:pPr>
            <w:pStyle w:val="4"/>
            <w:numPr>
              <w:ilvl w:val="0"/>
              <w:numId w:val="120"/>
            </w:numPr>
          </w:pPr>
          <w:r>
            <w:rPr>
              <w:rFonts w:hint="eastAsia"/>
            </w:rPr>
            <w:t>重要的账龄超过</w:t>
          </w:r>
          <w:r>
            <w:rPr>
              <w:rFonts w:hint="eastAsia"/>
            </w:rPr>
            <w:t>1</w:t>
          </w:r>
          <w:r>
            <w:rPr>
              <w:rFonts w:hint="eastAsia"/>
            </w:rPr>
            <w:t>年的应收股利</w:t>
          </w:r>
          <w:bookmarkEnd w:id="306"/>
        </w:p>
        <w:sdt>
          <w:sdtPr>
            <w:alias w:val="是否适用：母公司重要的账龄超过1年的应收股利[双击切换]"/>
            <w:tag w:val="_GBC_5ce593c40926400393bed620009e5006"/>
            <w:id w:val="-1384795618"/>
            <w:lock w:val="sdtLocked"/>
            <w:placeholder>
              <w:docPart w:val="GBC22222222222222222222222222222"/>
            </w:placeholder>
          </w:sdtPr>
          <w:sdtEndPr/>
          <w:sdtContent>
            <w:p w14:paraId="30B2C4EB"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307" w:displacedByCustomXml="next"/>
    <w:bookmarkStart w:id="308" w:name="_Hlk10547212" w:displacedByCustomXml="next"/>
    <w:bookmarkStart w:id="309" w:name="_Hlk10547224" w:displacedByCustomXml="next"/>
    <w:sdt>
      <w:sdtPr>
        <w:rPr>
          <w:rFonts w:ascii="宋体" w:hAnsi="宋体" w:cs="宋体" w:hint="eastAsia"/>
          <w:b w:val="0"/>
          <w:bCs w:val="0"/>
          <w:kern w:val="0"/>
          <w:sz w:val="20"/>
          <w:szCs w:val="21"/>
        </w:rPr>
        <w:alias w:val="模块:坏账准备计提情况"/>
        <w:tag w:val="_SEC_3d41530a7b3d408cbfe627f818ea914c"/>
        <w:id w:val="658426325"/>
        <w:lock w:val="sdtLocked"/>
        <w:placeholder>
          <w:docPart w:val="GBC22222222222222222222222222222"/>
        </w:placeholder>
      </w:sdtPr>
      <w:sdtEndPr>
        <w:rPr>
          <w:rFonts w:hint="default"/>
        </w:rPr>
      </w:sdtEndPr>
      <w:sdtContent>
        <w:p w14:paraId="553944AF" w14:textId="77777777" w:rsidR="007E7472" w:rsidRDefault="00EC1269" w:rsidP="00162493">
          <w:pPr>
            <w:pStyle w:val="4"/>
            <w:numPr>
              <w:ilvl w:val="0"/>
              <w:numId w:val="120"/>
            </w:numPr>
          </w:pPr>
          <w:r>
            <w:rPr>
              <w:rFonts w:hint="eastAsia"/>
            </w:rPr>
            <w:t>坏账准备计提情况</w:t>
          </w:r>
          <w:bookmarkEnd w:id="308"/>
        </w:p>
        <w:sdt>
          <w:sdtPr>
            <w:alias w:val="是否适用：母公司应收股利坏账准备调节表[双击切换]"/>
            <w:tag w:val="_GBC_9d130aecb6cb4874ac083fcdce5ee739"/>
            <w:id w:val="1248463628"/>
            <w:lock w:val="sdtLocked"/>
            <w:placeholder>
              <w:docPart w:val="GBC22222222222222222222222222222"/>
            </w:placeholder>
          </w:sdtPr>
          <w:sdtEndPr/>
          <w:sdtContent>
            <w:p w14:paraId="110CDB33"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309" w:displacedByCustomXml="next"/>
    <w:bookmarkStart w:id="310" w:name="_Hlk10547234" w:displacedByCustomXml="next"/>
    <w:bookmarkStart w:id="311" w:name="_Hlk10547244" w:displacedByCustomXml="next"/>
    <w:sdt>
      <w:sdtPr>
        <w:rPr>
          <w:rFonts w:hint="eastAsia"/>
        </w:rPr>
        <w:alias w:val="模块:其他说明："/>
        <w:tag w:val="_SEC_2b03a6eb53a24c76a6dc28f0478009f2"/>
        <w:id w:val="1702130457"/>
        <w:lock w:val="sdtLocked"/>
        <w:placeholder>
          <w:docPart w:val="GBC22222222222222222222222222222"/>
        </w:placeholder>
      </w:sdtPr>
      <w:sdtEndPr>
        <w:rPr>
          <w:rFonts w:hint="default"/>
          <w:sz w:val="20"/>
          <w:szCs w:val="20"/>
        </w:rPr>
      </w:sdtEndPr>
      <w:sdtContent>
        <w:p w14:paraId="3541DD0A" w14:textId="77777777" w:rsidR="007E7472" w:rsidRDefault="00EC1269">
          <w:r>
            <w:rPr>
              <w:rFonts w:hint="eastAsia"/>
            </w:rPr>
            <w:t>其他说明：</w:t>
          </w:r>
          <w:bookmarkEnd w:id="310"/>
        </w:p>
        <w:sdt>
          <w:sdtPr>
            <w:alias w:val="是否适用：母公司应收股利其他说明[双击切换]"/>
            <w:tag w:val="_GBC_79a2eb8844e84fe3b78bb5ffcf2a57d5"/>
            <w:id w:val="1636604890"/>
            <w:lock w:val="sdtLocked"/>
            <w:placeholder>
              <w:docPart w:val="GBC22222222222222222222222222222"/>
            </w:placeholder>
          </w:sdtPr>
          <w:sdtEndPr/>
          <w:sdtContent>
            <w:p w14:paraId="3AC9943C"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248A633" w14:textId="77777777" w:rsidR="007E7472" w:rsidRDefault="00C8327E"/>
      </w:sdtContent>
    </w:sdt>
    <w:bookmarkEnd w:id="311"/>
    <w:p w14:paraId="181CDBA8" w14:textId="77777777" w:rsidR="007E7472" w:rsidRDefault="00EC1269" w:rsidP="007E7472">
      <w:pPr>
        <w:pStyle w:val="4"/>
      </w:pPr>
      <w:r>
        <w:rPr>
          <w:rFonts w:hint="eastAsia"/>
        </w:rPr>
        <w:t>其他应收款</w:t>
      </w:r>
    </w:p>
    <w:sdt>
      <w:sdtPr>
        <w:rPr>
          <w:rFonts w:ascii="宋体" w:hAnsi="宋体" w:cs="宋体"/>
          <w:b w:val="0"/>
          <w:bCs w:val="0"/>
          <w:kern w:val="0"/>
          <w:sz w:val="20"/>
          <w:szCs w:val="21"/>
        </w:rPr>
        <w:alias w:val="模块:组合中，按账龄分析法计提坏账准备的其他应收款"/>
        <w:tag w:val="_GBC_7633445fb4f445e9a99e716971900a22"/>
        <w:id w:val="-2114890379"/>
        <w:lock w:val="sdtLocked"/>
        <w:placeholder>
          <w:docPart w:val="GBC22222222222222222222222222222"/>
        </w:placeholder>
      </w:sdtPr>
      <w:sdtEndPr>
        <w:rPr>
          <w:sz w:val="21"/>
        </w:rPr>
      </w:sdtEndPr>
      <w:sdtContent>
        <w:p w14:paraId="26236971" w14:textId="77777777" w:rsidR="007E7472" w:rsidRDefault="00EC1269" w:rsidP="00162493">
          <w:pPr>
            <w:pStyle w:val="4"/>
            <w:numPr>
              <w:ilvl w:val="0"/>
              <w:numId w:val="120"/>
            </w:numPr>
          </w:pPr>
          <w:r>
            <w:rPr>
              <w:rFonts w:hint="eastAsia"/>
            </w:rPr>
            <w:t>按账龄披露</w:t>
          </w:r>
        </w:p>
        <w:p w14:paraId="3790CA60" w14:textId="77777777" w:rsidR="007E7472" w:rsidRDefault="00C8327E">
          <w:pPr>
            <w:tabs>
              <w:tab w:val="left" w:pos="9720"/>
            </w:tabs>
            <w:ind w:rightChars="-673" w:right="-1413"/>
            <w:rPr>
              <w:b/>
            </w:rPr>
          </w:pPr>
          <w:sdt>
            <w:sdtPr>
              <w:rPr>
                <w:rFonts w:hint="eastAsia"/>
              </w:rPr>
              <w:alias w:val="是否适用：母公司组合中，按账龄分析法计提坏账准备的其他应收账款[双击切换]"/>
              <w:tag w:val="_GBC_b8ebebf3180a48e4b61282a3ad0f26ab"/>
              <w:id w:val="-817039877"/>
              <w:lock w:val="sdtLocked"/>
              <w:placeholder>
                <w:docPart w:val="GBC22222222222222222222222222222"/>
              </w:placeholder>
            </w:sdtPr>
            <w:sdtEndPr/>
            <w:sdtContent>
              <w:r w:rsidR="00EC1269">
                <w:fldChar w:fldCharType="begin"/>
              </w:r>
              <w:r w:rsidR="00EC1269">
                <w:instrText>MACROBUTTON  SnrToggleCheckbox √适用</w:instrText>
              </w:r>
              <w:r w:rsidR="00EC1269">
                <w:fldChar w:fldCharType="end"/>
              </w:r>
              <w:r w:rsidR="00EC1269">
                <w:fldChar w:fldCharType="begin"/>
              </w:r>
              <w:r w:rsidR="00EC1269">
                <w:instrText xml:space="preserve"> MACROBUTTON  SnrToggleCheckbox □不适用 </w:instrText>
              </w:r>
              <w:r w:rsidR="00EC1269">
                <w:fldChar w:fldCharType="end"/>
              </w:r>
            </w:sdtContent>
          </w:sdt>
        </w:p>
        <w:p w14:paraId="48B092CD" w14:textId="0C58DE1A" w:rsidR="007E7472" w:rsidRDefault="00EC1269">
          <w:pPr>
            <w:jc w:val="right"/>
          </w:pPr>
          <w:r>
            <w:rPr>
              <w:rFonts w:hint="eastAsia"/>
            </w:rPr>
            <w:t>单位：</w:t>
          </w:r>
          <w:sdt>
            <w:sdtPr>
              <w:rPr>
                <w:rFonts w:hint="eastAsia"/>
              </w:rPr>
              <w:alias w:val="单位：母公司财务附注：单项金额不重大但按信用风险特征组合后该组合的风险较大的其他应收账款"/>
              <w:tag w:val="_GBC_ede5d9b4f8594f95a95f3ab6c9f60baf"/>
              <w:id w:val="-4237058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母公司财务附注：单项金额不重大但按信用风险特征组合后该组合的风险较大的其他应收账款"/>
              <w:tag w:val="_GBC_f568e72906c2467eaad01f9cc2c58e38"/>
              <w:id w:val="5411041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6"/>
            <w:gridCol w:w="3557"/>
          </w:tblGrid>
          <w:tr w:rsidR="007E7472" w14:paraId="160E7CF0" w14:textId="77777777">
            <w:trPr>
              <w:trHeight w:val="273"/>
              <w:jc w:val="center"/>
            </w:trPr>
            <w:sdt>
              <w:sdtPr>
                <w:tag w:val="_PLD_ea421152d78d40388e20d700f11c5b7c"/>
                <w:id w:val="1549642921"/>
                <w:lock w:val="sdtLocked"/>
              </w:sdtPr>
              <w:sdtEndPr/>
              <w:sdtContent>
                <w:tc>
                  <w:tcPr>
                    <w:tcW w:w="2984" w:type="pct"/>
                    <w:tcBorders>
                      <w:bottom w:val="single" w:sz="4" w:space="0" w:color="auto"/>
                    </w:tcBorders>
                    <w:shd w:val="clear" w:color="auto" w:fill="auto"/>
                    <w:vAlign w:val="center"/>
                  </w:tcPr>
                  <w:p w14:paraId="38FC98B7" w14:textId="77777777" w:rsidR="007E7472" w:rsidRDefault="00EC1269">
                    <w:pPr>
                      <w:jc w:val="center"/>
                    </w:pPr>
                    <w:r>
                      <w:t>账龄</w:t>
                    </w:r>
                  </w:p>
                </w:tc>
              </w:sdtContent>
            </w:sdt>
            <w:sdt>
              <w:sdtPr>
                <w:tag w:val="_PLD_041d6c971e464a898746e2aa12807b27"/>
                <w:id w:val="931775118"/>
                <w:lock w:val="sdtLocked"/>
              </w:sdtPr>
              <w:sdtEndPr/>
              <w:sdtContent>
                <w:tc>
                  <w:tcPr>
                    <w:tcW w:w="2016" w:type="pct"/>
                    <w:tcBorders>
                      <w:bottom w:val="single" w:sz="4" w:space="0" w:color="auto"/>
                    </w:tcBorders>
                    <w:shd w:val="clear" w:color="auto" w:fill="auto"/>
                    <w:vAlign w:val="center"/>
                  </w:tcPr>
                  <w:p w14:paraId="4D7B80F1" w14:textId="77777777" w:rsidR="007E7472" w:rsidRDefault="00EC1269">
                    <w:pPr>
                      <w:jc w:val="center"/>
                    </w:pPr>
                    <w:r>
                      <w:t>期末</w:t>
                    </w:r>
                    <w:r>
                      <w:rPr>
                        <w:rFonts w:hint="eastAsia"/>
                      </w:rPr>
                      <w:t>账面</w:t>
                    </w:r>
                    <w:r>
                      <w:t>余额</w:t>
                    </w:r>
                  </w:p>
                </w:tc>
              </w:sdtContent>
            </w:sdt>
          </w:tr>
          <w:tr w:rsidR="007E7472" w14:paraId="1D36DF8F" w14:textId="77777777">
            <w:trPr>
              <w:jc w:val="center"/>
            </w:trPr>
            <w:sdt>
              <w:sdtPr>
                <w:tag w:val="_PLD_2003791af21f466bb07049d42fca0a81"/>
                <w:id w:val="690729818"/>
                <w:lock w:val="sdtLocked"/>
              </w:sdtPr>
              <w:sdtEndPr/>
              <w:sdtContent>
                <w:tc>
                  <w:tcPr>
                    <w:tcW w:w="2984" w:type="pct"/>
                    <w:shd w:val="clear" w:color="auto" w:fill="auto"/>
                  </w:tcPr>
                  <w:p w14:paraId="44DBBF6E" w14:textId="77777777" w:rsidR="007E7472" w:rsidRDefault="00EC1269">
                    <w:r>
                      <w:rPr>
                        <w:rFonts w:hint="eastAsia"/>
                      </w:rPr>
                      <w:t>1年以内</w:t>
                    </w:r>
                  </w:p>
                </w:tc>
              </w:sdtContent>
            </w:sdt>
            <w:tc>
              <w:tcPr>
                <w:tcW w:w="2016" w:type="pct"/>
                <w:shd w:val="clear" w:color="auto" w:fill="auto"/>
                <w:vAlign w:val="center"/>
              </w:tcPr>
              <w:p w14:paraId="3D4BBA4D" w14:textId="77777777" w:rsidR="007E7472" w:rsidRDefault="00EC1269">
                <w:pPr>
                  <w:jc w:val="right"/>
                  <w:rPr>
                    <w:bCs/>
                  </w:rPr>
                </w:pPr>
                <w:r>
                  <w:t>32,930,100</w:t>
                </w:r>
              </w:p>
            </w:tc>
          </w:tr>
          <w:tr w:rsidR="007E7472" w14:paraId="5F317C70" w14:textId="77777777">
            <w:trPr>
              <w:jc w:val="center"/>
            </w:trPr>
            <w:sdt>
              <w:sdtPr>
                <w:tag w:val="_PLD_95c5c36c109842ad8ca939ca66051b89"/>
                <w:id w:val="-338000003"/>
                <w:lock w:val="sdtLocked"/>
              </w:sdtPr>
              <w:sdtEndPr/>
              <w:sdtContent>
                <w:tc>
                  <w:tcPr>
                    <w:tcW w:w="2984" w:type="pct"/>
                    <w:shd w:val="clear" w:color="auto" w:fill="auto"/>
                  </w:tcPr>
                  <w:p w14:paraId="5D2B44A5" w14:textId="77777777" w:rsidR="007E7472" w:rsidRDefault="00EC1269">
                    <w:r>
                      <w:rPr>
                        <w:rFonts w:hint="eastAsia"/>
                      </w:rPr>
                      <w:t>1</w:t>
                    </w:r>
                    <w:r>
                      <w:t>至</w:t>
                    </w:r>
                    <w:r>
                      <w:rPr>
                        <w:rFonts w:hint="eastAsia"/>
                      </w:rPr>
                      <w:t>2</w:t>
                    </w:r>
                    <w:r>
                      <w:t>年</w:t>
                    </w:r>
                  </w:p>
                </w:tc>
              </w:sdtContent>
            </w:sdt>
            <w:tc>
              <w:tcPr>
                <w:tcW w:w="2016" w:type="pct"/>
                <w:shd w:val="clear" w:color="auto" w:fill="auto"/>
                <w:vAlign w:val="center"/>
              </w:tcPr>
              <w:p w14:paraId="5FF543A8" w14:textId="77777777" w:rsidR="007E7472" w:rsidRDefault="00EC1269">
                <w:pPr>
                  <w:jc w:val="right"/>
                </w:pPr>
                <w:r>
                  <w:t>12,500</w:t>
                </w:r>
              </w:p>
            </w:tc>
          </w:tr>
          <w:tr w:rsidR="007E7472" w14:paraId="57E71BAF" w14:textId="77777777">
            <w:trPr>
              <w:jc w:val="center"/>
            </w:trPr>
            <w:sdt>
              <w:sdtPr>
                <w:tag w:val="_PLD_95bded3dfef44f398326fefdfdfa13a1"/>
                <w:id w:val="339674025"/>
                <w:lock w:val="sdtLocked"/>
              </w:sdtPr>
              <w:sdtEndPr/>
              <w:sdtContent>
                <w:tc>
                  <w:tcPr>
                    <w:tcW w:w="2984" w:type="pct"/>
                    <w:shd w:val="clear" w:color="auto" w:fill="auto"/>
                  </w:tcPr>
                  <w:p w14:paraId="087FD0EC" w14:textId="77777777" w:rsidR="007E7472" w:rsidRDefault="00EC1269">
                    <w:r>
                      <w:rPr>
                        <w:rFonts w:hint="eastAsia"/>
                      </w:rPr>
                      <w:t>2</w:t>
                    </w:r>
                    <w:r>
                      <w:t>至</w:t>
                    </w:r>
                    <w:r>
                      <w:rPr>
                        <w:rFonts w:hint="eastAsia"/>
                      </w:rPr>
                      <w:t>3</w:t>
                    </w:r>
                    <w:r>
                      <w:t>年</w:t>
                    </w:r>
                  </w:p>
                </w:tc>
              </w:sdtContent>
            </w:sdt>
            <w:tc>
              <w:tcPr>
                <w:tcW w:w="2016" w:type="pct"/>
                <w:shd w:val="clear" w:color="auto" w:fill="auto"/>
                <w:vAlign w:val="center"/>
              </w:tcPr>
              <w:p w14:paraId="2A7EA75B" w14:textId="77777777" w:rsidR="007E7472" w:rsidRDefault="00EC1269">
                <w:pPr>
                  <w:jc w:val="right"/>
                </w:pPr>
                <w:r>
                  <w:t>25,349</w:t>
                </w:r>
              </w:p>
            </w:tc>
          </w:tr>
          <w:tr w:rsidR="007E7472" w14:paraId="35D7A20B" w14:textId="77777777">
            <w:trPr>
              <w:jc w:val="center"/>
            </w:trPr>
            <w:sdt>
              <w:sdtPr>
                <w:tag w:val="_PLD_8e60c19da192420eac3e17635db6643f"/>
                <w:id w:val="-979296767"/>
                <w:lock w:val="sdtLocked"/>
              </w:sdtPr>
              <w:sdtEndPr/>
              <w:sdtContent>
                <w:tc>
                  <w:tcPr>
                    <w:tcW w:w="2984" w:type="pct"/>
                    <w:shd w:val="clear" w:color="auto" w:fill="auto"/>
                  </w:tcPr>
                  <w:p w14:paraId="581DE94E" w14:textId="77777777" w:rsidR="007E7472" w:rsidRDefault="00EC1269">
                    <w:r>
                      <w:rPr>
                        <w:rFonts w:hint="eastAsia"/>
                      </w:rPr>
                      <w:t>3</w:t>
                    </w:r>
                    <w:r>
                      <w:t>年以上</w:t>
                    </w:r>
                  </w:p>
                </w:tc>
              </w:sdtContent>
            </w:sdt>
            <w:tc>
              <w:tcPr>
                <w:tcW w:w="2016" w:type="pct"/>
                <w:shd w:val="clear" w:color="auto" w:fill="auto"/>
                <w:vAlign w:val="center"/>
              </w:tcPr>
              <w:p w14:paraId="0E8C4249" w14:textId="77777777" w:rsidR="007E7472" w:rsidRDefault="00EC1269">
                <w:pPr>
                  <w:jc w:val="right"/>
                </w:pPr>
                <w:r>
                  <w:t>258,062</w:t>
                </w:r>
              </w:p>
            </w:tc>
          </w:tr>
          <w:tr w:rsidR="007E7472" w14:paraId="36187488" w14:textId="77777777">
            <w:trPr>
              <w:jc w:val="center"/>
            </w:trPr>
            <w:sdt>
              <w:sdtPr>
                <w:tag w:val="_PLD_b07c72d6667b4b8198e844363dff5967"/>
                <w:id w:val="1736819738"/>
                <w:lock w:val="sdtLocked"/>
              </w:sdtPr>
              <w:sdtEndPr/>
              <w:sdtContent>
                <w:tc>
                  <w:tcPr>
                    <w:tcW w:w="2984" w:type="pct"/>
                    <w:shd w:val="clear" w:color="auto" w:fill="auto"/>
                    <w:vAlign w:val="center"/>
                  </w:tcPr>
                  <w:p w14:paraId="2C704A54" w14:textId="77777777" w:rsidR="007E7472" w:rsidRDefault="00EC1269">
                    <w:pPr>
                      <w:jc w:val="center"/>
                    </w:pPr>
                    <w:r>
                      <w:t>合计</w:t>
                    </w:r>
                  </w:p>
                </w:tc>
              </w:sdtContent>
            </w:sdt>
            <w:tc>
              <w:tcPr>
                <w:tcW w:w="2016" w:type="pct"/>
                <w:shd w:val="clear" w:color="auto" w:fill="auto"/>
                <w:vAlign w:val="center"/>
              </w:tcPr>
              <w:p w14:paraId="6AE0332F" w14:textId="77777777" w:rsidR="007E7472" w:rsidRDefault="00EC1269">
                <w:pPr>
                  <w:jc w:val="right"/>
                </w:pPr>
                <w:r>
                  <w:t>33,226,011</w:t>
                </w:r>
              </w:p>
            </w:tc>
          </w:tr>
        </w:tbl>
        <w:p w14:paraId="633B52F5" w14:textId="77777777" w:rsidR="007E7472" w:rsidRDefault="00C8327E"/>
      </w:sdtContent>
    </w:sdt>
    <w:bookmarkStart w:id="312" w:name="_Hlk10547648" w:displacedByCustomXml="next"/>
    <w:sdt>
      <w:sdtPr>
        <w:rPr>
          <w:rFonts w:ascii="宋体" w:hAnsi="宋体" w:cs="宋体" w:hint="eastAsia"/>
          <w:b w:val="0"/>
          <w:bCs w:val="0"/>
          <w:kern w:val="0"/>
          <w:sz w:val="20"/>
          <w:szCs w:val="21"/>
        </w:rPr>
        <w:alias w:val="模块:其他应收款按款项性质分类情况"/>
        <w:tag w:val="_GBC_c9f7dc8489b74105a28800b5cfad23af"/>
        <w:id w:val="-1220666741"/>
        <w:lock w:val="sdtLocked"/>
        <w:placeholder>
          <w:docPart w:val="GBC22222222222222222222222222222"/>
        </w:placeholder>
      </w:sdtPr>
      <w:sdtEndPr/>
      <w:sdtContent>
        <w:p w14:paraId="75EA5AC4" w14:textId="77777777" w:rsidR="007E7472" w:rsidRDefault="00EC1269" w:rsidP="00162493">
          <w:pPr>
            <w:pStyle w:val="4"/>
            <w:numPr>
              <w:ilvl w:val="0"/>
              <w:numId w:val="120"/>
            </w:numPr>
          </w:pPr>
          <w:r>
            <w:rPr>
              <w:rFonts w:hint="eastAsia"/>
            </w:rPr>
            <w:t>按款项性质分类</w:t>
          </w:r>
        </w:p>
        <w:sdt>
          <w:sdtPr>
            <w:alias w:val="是否适用：母公司其他应收款按款项性质分类情况[双击切换]"/>
            <w:tag w:val="_GBC_101fec10ac1f41f39330610cac041192"/>
            <w:id w:val="-810094155"/>
            <w:lock w:val="sdtLocked"/>
            <w:placeholder>
              <w:docPart w:val="GBC22222222222222222222222222222"/>
            </w:placeholder>
          </w:sdtPr>
          <w:sdtEndPr/>
          <w:sdtContent>
            <w:p w14:paraId="3AA90245"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0C8EEA8" w14:textId="01793505" w:rsidR="007E7472" w:rsidRDefault="00EC1269">
          <w:pPr>
            <w:jc w:val="right"/>
          </w:pPr>
          <w:r>
            <w:rPr>
              <w:rFonts w:hint="eastAsia"/>
            </w:rPr>
            <w:t>单位：</w:t>
          </w:r>
          <w:sdt>
            <w:sdtPr>
              <w:rPr>
                <w:rFonts w:hint="eastAsia"/>
              </w:rPr>
              <w:alias w:val="单位：财务附注：母公司其他应收款按款项性质分类情况"/>
              <w:tag w:val="_GBC_cdfadb9bdd864b32a99df11dec001a83"/>
              <w:id w:val="7029048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财务附注：母公司其他应收款按款项性质分类情况"/>
              <w:tag w:val="_GBC_cac854cfb75144bc86635f44f78d6611"/>
              <w:id w:val="18588481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0"/>
            <w:gridCol w:w="2906"/>
            <w:gridCol w:w="2917"/>
          </w:tblGrid>
          <w:tr w:rsidR="007E7472" w14:paraId="79014AC4" w14:textId="77777777">
            <w:sdt>
              <w:sdtPr>
                <w:tag w:val="_PLD_797d39f4d1fd488e93d36af61d0bebfd"/>
                <w:id w:val="-1006673268"/>
                <w:lock w:val="sdtLocked"/>
              </w:sdtPr>
              <w:sdtEndPr/>
              <w:sdtContent>
                <w:tc>
                  <w:tcPr>
                    <w:tcW w:w="1700" w:type="pct"/>
                    <w:shd w:val="clear" w:color="auto" w:fill="auto"/>
                    <w:vAlign w:val="center"/>
                  </w:tcPr>
                  <w:p w14:paraId="3778517D" w14:textId="77777777" w:rsidR="007E7472" w:rsidRDefault="00EC1269">
                    <w:pPr>
                      <w:jc w:val="center"/>
                    </w:pPr>
                    <w:r>
                      <w:rPr>
                        <w:rFonts w:hint="eastAsia"/>
                      </w:rPr>
                      <w:t>款项性质</w:t>
                    </w:r>
                  </w:p>
                </w:tc>
              </w:sdtContent>
            </w:sdt>
            <w:sdt>
              <w:sdtPr>
                <w:tag w:val="_PLD_7853db088d0a4b218482e741ebbac8e0"/>
                <w:id w:val="-573739185"/>
                <w:lock w:val="sdtLocked"/>
              </w:sdtPr>
              <w:sdtEndPr/>
              <w:sdtContent>
                <w:tc>
                  <w:tcPr>
                    <w:tcW w:w="1647" w:type="pct"/>
                    <w:shd w:val="clear" w:color="auto" w:fill="auto"/>
                    <w:vAlign w:val="center"/>
                  </w:tcPr>
                  <w:p w14:paraId="1DDAF391" w14:textId="77777777" w:rsidR="007E7472" w:rsidRDefault="00EC1269">
                    <w:pPr>
                      <w:jc w:val="center"/>
                    </w:pPr>
                    <w:r>
                      <w:rPr>
                        <w:rFonts w:hint="eastAsia"/>
                      </w:rPr>
                      <w:t>期末账面余额</w:t>
                    </w:r>
                  </w:p>
                </w:tc>
              </w:sdtContent>
            </w:sdt>
            <w:sdt>
              <w:sdtPr>
                <w:tag w:val="_PLD_56ab744bffee4ad28664bdf9e16551e2"/>
                <w:id w:val="1924376541"/>
                <w:lock w:val="sdtLocked"/>
              </w:sdtPr>
              <w:sdtEndPr/>
              <w:sdtContent>
                <w:tc>
                  <w:tcPr>
                    <w:tcW w:w="1653" w:type="pct"/>
                    <w:shd w:val="clear" w:color="auto" w:fill="auto"/>
                    <w:vAlign w:val="center"/>
                  </w:tcPr>
                  <w:p w14:paraId="73BEC7BB" w14:textId="77777777" w:rsidR="007E7472" w:rsidRDefault="00EC1269">
                    <w:pPr>
                      <w:jc w:val="center"/>
                    </w:pPr>
                    <w:r>
                      <w:rPr>
                        <w:rFonts w:hint="eastAsia"/>
                      </w:rPr>
                      <w:t>期初账面余额</w:t>
                    </w:r>
                  </w:p>
                </w:tc>
              </w:sdtContent>
            </w:sdt>
          </w:tr>
          <w:sdt>
            <w:sdtPr>
              <w:rPr>
                <w:rFonts w:hint="eastAsia"/>
              </w:rPr>
              <w:alias w:val="其他应收款按款项性质分类情况明细"/>
              <w:tag w:val="_GBC_2dbe9c87fcc94933b5e1adb6fa3a30df"/>
              <w:id w:val="625432503"/>
              <w:lock w:val="sdtLocked"/>
            </w:sdtPr>
            <w:sdtEndPr/>
            <w:sdtContent>
              <w:tr w:rsidR="007E7472" w14:paraId="3164295B" w14:textId="77777777">
                <w:tc>
                  <w:tcPr>
                    <w:tcW w:w="1700" w:type="pct"/>
                    <w:shd w:val="clear" w:color="auto" w:fill="auto"/>
                  </w:tcPr>
                  <w:p w14:paraId="419E2888" w14:textId="77777777" w:rsidR="007E7472" w:rsidRDefault="00EC1269">
                    <w:pPr>
                      <w:rPr>
                        <w:highlight w:val="yellow"/>
                      </w:rPr>
                    </w:pPr>
                    <w:r>
                      <w:rPr>
                        <w:rFonts w:hint="eastAsia"/>
                      </w:rPr>
                      <w:t>往来款</w:t>
                    </w:r>
                  </w:p>
                </w:tc>
                <w:tc>
                  <w:tcPr>
                    <w:tcW w:w="1647" w:type="pct"/>
                    <w:shd w:val="clear" w:color="auto" w:fill="auto"/>
                  </w:tcPr>
                  <w:p w14:paraId="6B85AF76" w14:textId="77777777" w:rsidR="007E7472" w:rsidRDefault="00EC1269">
                    <w:pPr>
                      <w:jc w:val="right"/>
                    </w:pPr>
                    <w:r>
                      <w:t>32,931,997</w:t>
                    </w:r>
                  </w:p>
                </w:tc>
                <w:tc>
                  <w:tcPr>
                    <w:tcW w:w="1653" w:type="pct"/>
                    <w:shd w:val="clear" w:color="auto" w:fill="auto"/>
                  </w:tcPr>
                  <w:p w14:paraId="02A93BB4" w14:textId="77777777" w:rsidR="007E7472" w:rsidRDefault="00EC1269">
                    <w:pPr>
                      <w:jc w:val="right"/>
                    </w:pPr>
                    <w:r>
                      <w:t>35,470,517</w:t>
                    </w:r>
                  </w:p>
                </w:tc>
              </w:tr>
            </w:sdtContent>
          </w:sdt>
          <w:sdt>
            <w:sdtPr>
              <w:rPr>
                <w:rFonts w:hint="eastAsia"/>
              </w:rPr>
              <w:alias w:val="其他应收款按款项性质分类情况明细"/>
              <w:tag w:val="_GBC_2dbe9c87fcc94933b5e1adb6fa3a30df"/>
              <w:id w:val="1351302489"/>
              <w:lock w:val="sdtLocked"/>
            </w:sdtPr>
            <w:sdtEndPr/>
            <w:sdtContent>
              <w:tr w:rsidR="007E7472" w14:paraId="5C8DCBCB" w14:textId="77777777">
                <w:tc>
                  <w:tcPr>
                    <w:tcW w:w="1700" w:type="pct"/>
                    <w:shd w:val="clear" w:color="auto" w:fill="auto"/>
                  </w:tcPr>
                  <w:p w14:paraId="6A934E0B" w14:textId="77777777" w:rsidR="007E7472" w:rsidRDefault="00EC1269">
                    <w:r>
                      <w:rPr>
                        <w:rFonts w:hint="eastAsia"/>
                      </w:rPr>
                      <w:t>预计无法收回的款项</w:t>
                    </w:r>
                  </w:p>
                </w:tc>
                <w:tc>
                  <w:tcPr>
                    <w:tcW w:w="1647" w:type="pct"/>
                    <w:shd w:val="clear" w:color="auto" w:fill="auto"/>
                  </w:tcPr>
                  <w:p w14:paraId="3025DF81" w14:textId="77777777" w:rsidR="007E7472" w:rsidRDefault="00EC1269">
                    <w:pPr>
                      <w:jc w:val="right"/>
                    </w:pPr>
                    <w:r>
                      <w:t>245,862</w:t>
                    </w:r>
                  </w:p>
                </w:tc>
                <w:tc>
                  <w:tcPr>
                    <w:tcW w:w="1653" w:type="pct"/>
                    <w:shd w:val="clear" w:color="auto" w:fill="auto"/>
                  </w:tcPr>
                  <w:p w14:paraId="37FC13BB" w14:textId="77777777" w:rsidR="007E7472" w:rsidRDefault="00EC1269">
                    <w:pPr>
                      <w:jc w:val="right"/>
                    </w:pPr>
                    <w:r>
                      <w:t>261,948</w:t>
                    </w:r>
                  </w:p>
                </w:tc>
              </w:tr>
            </w:sdtContent>
          </w:sdt>
          <w:sdt>
            <w:sdtPr>
              <w:rPr>
                <w:rFonts w:hint="eastAsia"/>
              </w:rPr>
              <w:alias w:val="其他应收款按款项性质分类情况明细"/>
              <w:tag w:val="_GBC_2dbe9c87fcc94933b5e1adb6fa3a30df"/>
              <w:id w:val="-491024657"/>
              <w:lock w:val="sdtLocked"/>
            </w:sdtPr>
            <w:sdtEndPr/>
            <w:sdtContent>
              <w:tr w:rsidR="007E7472" w14:paraId="42E59E12" w14:textId="77777777">
                <w:tc>
                  <w:tcPr>
                    <w:tcW w:w="1700" w:type="pct"/>
                    <w:shd w:val="clear" w:color="auto" w:fill="auto"/>
                  </w:tcPr>
                  <w:p w14:paraId="46D002F0" w14:textId="77777777" w:rsidR="007E7472" w:rsidRDefault="00EC1269">
                    <w:r>
                      <w:rPr>
                        <w:rFonts w:hint="eastAsia"/>
                      </w:rPr>
                      <w:t>应收代垫款</w:t>
                    </w:r>
                  </w:p>
                </w:tc>
                <w:tc>
                  <w:tcPr>
                    <w:tcW w:w="1647" w:type="pct"/>
                    <w:shd w:val="clear" w:color="auto" w:fill="auto"/>
                  </w:tcPr>
                  <w:p w14:paraId="350D8303" w14:textId="77777777" w:rsidR="007E7472" w:rsidRDefault="00EC1269">
                    <w:pPr>
                      <w:jc w:val="right"/>
                    </w:pPr>
                    <w:r>
                      <w:t>22,594</w:t>
                    </w:r>
                  </w:p>
                </w:tc>
                <w:tc>
                  <w:tcPr>
                    <w:tcW w:w="1653" w:type="pct"/>
                    <w:shd w:val="clear" w:color="auto" w:fill="auto"/>
                  </w:tcPr>
                  <w:p w14:paraId="6267CB0D" w14:textId="77777777" w:rsidR="007E7472" w:rsidRDefault="00EC1269">
                    <w:pPr>
                      <w:jc w:val="right"/>
                    </w:pPr>
                    <w:r>
                      <w:t>23,321</w:t>
                    </w:r>
                  </w:p>
                </w:tc>
              </w:tr>
            </w:sdtContent>
          </w:sdt>
          <w:sdt>
            <w:sdtPr>
              <w:rPr>
                <w:rFonts w:hint="eastAsia"/>
              </w:rPr>
              <w:alias w:val="其他应收款按款项性质分类情况明细"/>
              <w:tag w:val="_GBC_2dbe9c87fcc94933b5e1adb6fa3a30df"/>
              <w:id w:val="-1003127703"/>
              <w:lock w:val="sdtLocked"/>
            </w:sdtPr>
            <w:sdtEndPr/>
            <w:sdtContent>
              <w:tr w:rsidR="007E7472" w14:paraId="3811FB67" w14:textId="77777777">
                <w:tc>
                  <w:tcPr>
                    <w:tcW w:w="1700" w:type="pct"/>
                    <w:shd w:val="clear" w:color="auto" w:fill="auto"/>
                  </w:tcPr>
                  <w:p w14:paraId="7DEDE50A" w14:textId="77777777" w:rsidR="007E7472" w:rsidRDefault="00EC1269">
                    <w:r>
                      <w:rPr>
                        <w:rFonts w:hint="eastAsia"/>
                      </w:rPr>
                      <w:t>押金保证金</w:t>
                    </w:r>
                  </w:p>
                </w:tc>
                <w:tc>
                  <w:tcPr>
                    <w:tcW w:w="1647" w:type="pct"/>
                    <w:shd w:val="clear" w:color="auto" w:fill="auto"/>
                  </w:tcPr>
                  <w:p w14:paraId="2A789BEF" w14:textId="77777777" w:rsidR="007E7472" w:rsidRDefault="00EC1269">
                    <w:pPr>
                      <w:jc w:val="right"/>
                    </w:pPr>
                    <w:r>
                      <w:t>12,746</w:t>
                    </w:r>
                  </w:p>
                </w:tc>
                <w:tc>
                  <w:tcPr>
                    <w:tcW w:w="1653" w:type="pct"/>
                    <w:shd w:val="clear" w:color="auto" w:fill="auto"/>
                  </w:tcPr>
                  <w:p w14:paraId="7002D77E" w14:textId="77777777" w:rsidR="007E7472" w:rsidRDefault="00EC1269">
                    <w:pPr>
                      <w:jc w:val="right"/>
                    </w:pPr>
                    <w:r>
                      <w:t>13,212</w:t>
                    </w:r>
                  </w:p>
                </w:tc>
              </w:tr>
            </w:sdtContent>
          </w:sdt>
          <w:sdt>
            <w:sdtPr>
              <w:rPr>
                <w:rFonts w:hint="eastAsia"/>
              </w:rPr>
              <w:alias w:val="其他应收款按款项性质分类情况明细"/>
              <w:tag w:val="_GBC_2dbe9c87fcc94933b5e1adb6fa3a30df"/>
              <w:id w:val="697519812"/>
              <w:lock w:val="sdtLocked"/>
            </w:sdtPr>
            <w:sdtEndPr/>
            <w:sdtContent>
              <w:tr w:rsidR="007E7472" w14:paraId="2B736275" w14:textId="77777777">
                <w:tc>
                  <w:tcPr>
                    <w:tcW w:w="1700" w:type="pct"/>
                    <w:shd w:val="clear" w:color="auto" w:fill="auto"/>
                  </w:tcPr>
                  <w:p w14:paraId="24E6775C" w14:textId="77777777" w:rsidR="007E7472" w:rsidRDefault="00EC1269">
                    <w:pPr>
                      <w:rPr>
                        <w:highlight w:val="yellow"/>
                      </w:rPr>
                    </w:pPr>
                    <w:r>
                      <w:rPr>
                        <w:rFonts w:hint="eastAsia"/>
                      </w:rPr>
                      <w:t>备用金</w:t>
                    </w:r>
                  </w:p>
                </w:tc>
                <w:tc>
                  <w:tcPr>
                    <w:tcW w:w="1647" w:type="pct"/>
                    <w:shd w:val="clear" w:color="auto" w:fill="auto"/>
                  </w:tcPr>
                  <w:p w14:paraId="387DCF33" w14:textId="77777777" w:rsidR="007E7472" w:rsidRDefault="00EC1269">
                    <w:pPr>
                      <w:jc w:val="right"/>
                    </w:pPr>
                    <w:r>
                      <w:t>12,812</w:t>
                    </w:r>
                  </w:p>
                </w:tc>
                <w:tc>
                  <w:tcPr>
                    <w:tcW w:w="1653" w:type="pct"/>
                    <w:shd w:val="clear" w:color="auto" w:fill="auto"/>
                  </w:tcPr>
                  <w:p w14:paraId="4D82BC01" w14:textId="77777777" w:rsidR="007E7472" w:rsidRDefault="00EC1269">
                    <w:pPr>
                      <w:jc w:val="right"/>
                    </w:pPr>
                    <w:r>
                      <w:t>11,423</w:t>
                    </w:r>
                  </w:p>
                </w:tc>
              </w:tr>
            </w:sdtContent>
          </w:sdt>
          <w:tr w:rsidR="007E7472" w14:paraId="2E384DBE" w14:textId="77777777">
            <w:sdt>
              <w:sdtPr>
                <w:tag w:val="_PLD_2c3163c0b1c149f7a6fc1dfe5449335d"/>
                <w:id w:val="292649159"/>
                <w:lock w:val="sdtLocked"/>
              </w:sdtPr>
              <w:sdtEndPr/>
              <w:sdtContent>
                <w:tc>
                  <w:tcPr>
                    <w:tcW w:w="1700" w:type="pct"/>
                    <w:shd w:val="clear" w:color="auto" w:fill="auto"/>
                  </w:tcPr>
                  <w:p w14:paraId="0494F228" w14:textId="77777777" w:rsidR="007E7472" w:rsidRDefault="00EC1269">
                    <w:pPr>
                      <w:jc w:val="center"/>
                    </w:pPr>
                    <w:r>
                      <w:t>合计</w:t>
                    </w:r>
                  </w:p>
                </w:tc>
              </w:sdtContent>
            </w:sdt>
            <w:tc>
              <w:tcPr>
                <w:tcW w:w="1647" w:type="pct"/>
                <w:shd w:val="clear" w:color="auto" w:fill="auto"/>
                <w:vAlign w:val="center"/>
              </w:tcPr>
              <w:p w14:paraId="611A9F3A" w14:textId="77777777" w:rsidR="007E7472" w:rsidRPr="00833D31" w:rsidRDefault="00EC1269">
                <w:pPr>
                  <w:jc w:val="right"/>
                  <w:rPr>
                    <w:bCs/>
                  </w:rPr>
                </w:pPr>
                <w:r w:rsidRPr="00833D31">
                  <w:t>33,226,011</w:t>
                </w:r>
              </w:p>
            </w:tc>
            <w:tc>
              <w:tcPr>
                <w:tcW w:w="1653" w:type="pct"/>
                <w:shd w:val="clear" w:color="auto" w:fill="auto"/>
                <w:vAlign w:val="center"/>
              </w:tcPr>
              <w:p w14:paraId="555B64D6" w14:textId="77777777" w:rsidR="007E7472" w:rsidRPr="00833D31" w:rsidRDefault="00EC1269">
                <w:pPr>
                  <w:jc w:val="right"/>
                </w:pPr>
                <w:r w:rsidRPr="00833D31">
                  <w:t>35,780,421</w:t>
                </w:r>
              </w:p>
            </w:tc>
          </w:tr>
        </w:tbl>
        <w:p w14:paraId="410B505C" w14:textId="77777777" w:rsidR="007E7472" w:rsidRDefault="00C8327E"/>
        <w:p w14:paraId="6A16A732" w14:textId="77777777" w:rsidR="007E7472" w:rsidRDefault="00C8327E"/>
      </w:sdtContent>
    </w:sdt>
    <w:bookmarkEnd w:id="312" w:displacedByCustomXml="next"/>
    <w:bookmarkStart w:id="313" w:name="_Hlk10547765" w:displacedByCustomXml="next"/>
    <w:sdt>
      <w:sdtPr>
        <w:rPr>
          <w:rFonts w:ascii="宋体" w:hAnsi="宋体" w:cs="宋体" w:hint="eastAsia"/>
          <w:b w:val="0"/>
          <w:bCs w:val="0"/>
          <w:kern w:val="0"/>
          <w:sz w:val="20"/>
          <w:szCs w:val="21"/>
        </w:rPr>
        <w:alias w:val="模块:坏账准备计提情况"/>
        <w:tag w:val="_SEC_15d9e20371d54bec9233b27dd50b301d"/>
        <w:id w:val="-1839375425"/>
        <w:lock w:val="sdtLocked"/>
        <w:placeholder>
          <w:docPart w:val="GBC22222222222222222222222222222"/>
        </w:placeholder>
      </w:sdtPr>
      <w:sdtEndPr/>
      <w:sdtContent>
        <w:p w14:paraId="021917D6" w14:textId="77777777" w:rsidR="007E7472" w:rsidRDefault="00EC1269" w:rsidP="00162493">
          <w:pPr>
            <w:pStyle w:val="4"/>
            <w:numPr>
              <w:ilvl w:val="0"/>
              <w:numId w:val="120"/>
            </w:numPr>
          </w:pPr>
          <w:r>
            <w:rPr>
              <w:rFonts w:hint="eastAsia"/>
            </w:rPr>
            <w:t>坏账准备计提情况</w:t>
          </w:r>
        </w:p>
        <w:sdt>
          <w:sdtPr>
            <w:alias w:val="是否适用：母公司其他应收款坏账准备调节表[双击切换]"/>
            <w:tag w:val="_GBC_550996ad46c8493eb98c011d7acf7dfb"/>
            <w:id w:val="-1568719034"/>
            <w:lock w:val="sdtLocked"/>
            <w:placeholder>
              <w:docPart w:val="GBC22222222222222222222222222222"/>
            </w:placeholder>
          </w:sdtPr>
          <w:sdtEndPr/>
          <w:sdtContent>
            <w:p w14:paraId="17B42B16"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5E5A343" w14:textId="6086AC43" w:rsidR="007E7472" w:rsidRDefault="00EC1269">
          <w:pPr>
            <w:autoSpaceDE w:val="0"/>
            <w:autoSpaceDN w:val="0"/>
            <w:adjustRightInd w:val="0"/>
            <w:ind w:rightChars="50" w:right="105"/>
            <w:jc w:val="right"/>
          </w:pPr>
          <w:r>
            <w:rPr>
              <w:rFonts w:hint="eastAsia"/>
            </w:rPr>
            <w:t>单位：</w:t>
          </w:r>
          <w:sdt>
            <w:sdtPr>
              <w:rPr>
                <w:rFonts w:hint="eastAsia"/>
              </w:rPr>
              <w:alias w:val="单位：母公司其他应收款坏账准备调节表"/>
              <w:tag w:val="_GBC_10c7491cbac54cf6a1a375367db16baf"/>
              <w:id w:val="-121412086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母公司其他应收款坏账准备调节表"/>
              <w:tag w:val="_GBC_01762fded69841c1b87d684f3bcfb97f"/>
              <w:id w:val="9051791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1558"/>
            <w:gridCol w:w="1846"/>
            <w:gridCol w:w="1983"/>
            <w:gridCol w:w="1313"/>
          </w:tblGrid>
          <w:tr w:rsidR="007E7472" w14:paraId="52CC1F7F" w14:textId="77777777">
            <w:sdt>
              <w:sdtPr>
                <w:rPr>
                  <w:rFonts w:ascii="宋体" w:eastAsia="宋体" w:hAnsi="宋体"/>
                  <w:sz w:val="21"/>
                  <w:szCs w:val="21"/>
                </w:rPr>
                <w:tag w:val="_PLD_a620ef8c0fe0407b955c4f58530e0b21"/>
                <w:id w:val="-1247647303"/>
                <w:lock w:val="sdtLocked"/>
              </w:sdtPr>
              <w:sdtEndPr/>
              <w:sdtContent>
                <w:tc>
                  <w:tcPr>
                    <w:tcW w:w="1203" w:type="pct"/>
                    <w:vMerge w:val="restart"/>
                    <w:vAlign w:val="center"/>
                  </w:tcPr>
                  <w:p w14:paraId="05B541FF" w14:textId="77777777" w:rsidR="007E7472" w:rsidRDefault="00EC1269">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rPr>
                  <w:rFonts w:ascii="宋体" w:eastAsia="宋体" w:hAnsi="宋体"/>
                  <w:sz w:val="21"/>
                  <w:szCs w:val="21"/>
                </w:rPr>
                <w:tag w:val="_PLD_8699e9827a744831bf2fdadfa1ac52e1"/>
                <w:id w:val="1157196503"/>
                <w:lock w:val="sdtLocked"/>
              </w:sdtPr>
              <w:sdtEndPr/>
              <w:sdtContent>
                <w:tc>
                  <w:tcPr>
                    <w:tcW w:w="883" w:type="pct"/>
                    <w:vAlign w:val="center"/>
                  </w:tcPr>
                  <w:p w14:paraId="15B18278" w14:textId="77777777" w:rsidR="007E7472" w:rsidRDefault="00EC1269">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rPr>
                  <w:rFonts w:ascii="宋体" w:eastAsia="宋体" w:hAnsi="宋体"/>
                  <w:sz w:val="21"/>
                  <w:szCs w:val="21"/>
                </w:rPr>
                <w:tag w:val="_PLD_d2f5c6d4cf0d4a86b39dc41f67fe87db"/>
                <w:id w:val="284549516"/>
                <w:lock w:val="sdtLocked"/>
              </w:sdtPr>
              <w:sdtEndPr/>
              <w:sdtContent>
                <w:tc>
                  <w:tcPr>
                    <w:tcW w:w="1046" w:type="pct"/>
                  </w:tcPr>
                  <w:p w14:paraId="55E6FD39" w14:textId="77777777" w:rsidR="007E7472" w:rsidRDefault="00EC1269">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rPr>
                  <w:rFonts w:ascii="宋体" w:eastAsia="宋体" w:hAnsi="宋体"/>
                  <w:sz w:val="21"/>
                  <w:szCs w:val="21"/>
                </w:rPr>
                <w:tag w:val="_PLD_a09c7daba8c14a6498c7b83b77c97c72"/>
                <w:id w:val="721491233"/>
                <w:lock w:val="sdtLocked"/>
              </w:sdtPr>
              <w:sdtEndPr/>
              <w:sdtContent>
                <w:tc>
                  <w:tcPr>
                    <w:tcW w:w="1124" w:type="pct"/>
                  </w:tcPr>
                  <w:p w14:paraId="198D666D" w14:textId="77777777" w:rsidR="007E7472" w:rsidRDefault="00EC1269">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rPr>
                  <w:rFonts w:ascii="宋体" w:eastAsia="宋体" w:hAnsi="宋体"/>
                  <w:sz w:val="21"/>
                  <w:szCs w:val="21"/>
                </w:rPr>
                <w:tag w:val="_PLD_1ec064a14a75404dac24adc5e6ddd253"/>
                <w:id w:val="-796759136"/>
                <w:lock w:val="sdtLocked"/>
              </w:sdtPr>
              <w:sdtEndPr/>
              <w:sdtContent>
                <w:tc>
                  <w:tcPr>
                    <w:tcW w:w="744" w:type="pct"/>
                    <w:vMerge w:val="restart"/>
                    <w:vAlign w:val="center"/>
                  </w:tcPr>
                  <w:p w14:paraId="609F1A98" w14:textId="77777777" w:rsidR="007E7472" w:rsidRDefault="00EC1269">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rsidR="007E7472" w14:paraId="3ECEBE5F" w14:textId="77777777">
            <w:tc>
              <w:tcPr>
                <w:tcW w:w="1203" w:type="pct"/>
                <w:vMerge/>
                <w:vAlign w:val="center"/>
              </w:tcPr>
              <w:p w14:paraId="7BE122A6" w14:textId="77777777" w:rsidR="007E7472" w:rsidRDefault="00C8327E">
                <w:pPr>
                  <w:jc w:val="center"/>
                  <w:rPr>
                    <w:color w:val="008000"/>
                  </w:rPr>
                </w:pPr>
              </w:p>
            </w:tc>
            <w:sdt>
              <w:sdtPr>
                <w:rPr>
                  <w:rFonts w:ascii="宋体" w:eastAsia="宋体" w:hAnsi="宋体"/>
                  <w:sz w:val="21"/>
                  <w:szCs w:val="21"/>
                </w:rPr>
                <w:tag w:val="_PLD_506da2a2f1db4ead819aa958edd702e2"/>
                <w:id w:val="839518527"/>
                <w:lock w:val="sdtLocked"/>
              </w:sdtPr>
              <w:sdtEndPr/>
              <w:sdtContent>
                <w:tc>
                  <w:tcPr>
                    <w:tcW w:w="883" w:type="pct"/>
                    <w:vAlign w:val="center"/>
                  </w:tcPr>
                  <w:p w14:paraId="06FB4081" w14:textId="77777777" w:rsidR="007E7472" w:rsidRDefault="00EC1269">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未来12个月预期信用损失</w:t>
                    </w:r>
                  </w:p>
                </w:tc>
              </w:sdtContent>
            </w:sdt>
            <w:sdt>
              <w:sdtPr>
                <w:rPr>
                  <w:rFonts w:ascii="宋体" w:eastAsia="宋体" w:hAnsi="宋体"/>
                  <w:sz w:val="21"/>
                  <w:szCs w:val="21"/>
                </w:rPr>
                <w:tag w:val="_PLD_23a6590eef0649d4af75d4845c12f263"/>
                <w:id w:val="-311411081"/>
                <w:lock w:val="sdtLocked"/>
              </w:sdtPr>
              <w:sdtEndPr/>
              <w:sdtContent>
                <w:tc>
                  <w:tcPr>
                    <w:tcW w:w="1046" w:type="pct"/>
                    <w:vAlign w:val="center"/>
                  </w:tcPr>
                  <w:p w14:paraId="6FE654A0" w14:textId="77777777" w:rsidR="007E7472" w:rsidRDefault="00EC1269">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rPr>
                  <w:rFonts w:ascii="宋体" w:eastAsia="宋体" w:hAnsi="宋体"/>
                  <w:sz w:val="21"/>
                  <w:szCs w:val="21"/>
                </w:rPr>
                <w:tag w:val="_PLD_44518f4265ac43078f96c79efe9dd487"/>
                <w:id w:val="-1604801709"/>
                <w:lock w:val="sdtLocked"/>
              </w:sdtPr>
              <w:sdtEndPr/>
              <w:sdtContent>
                <w:tc>
                  <w:tcPr>
                    <w:tcW w:w="1124" w:type="pct"/>
                    <w:vAlign w:val="center"/>
                  </w:tcPr>
                  <w:p w14:paraId="72496E11" w14:textId="77777777" w:rsidR="007E7472" w:rsidRDefault="00EC1269">
                    <w:pPr>
                      <w:pStyle w:val="TableParagraph"/>
                      <w:spacing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744" w:type="pct"/>
                <w:vMerge/>
              </w:tcPr>
              <w:p w14:paraId="06106A68" w14:textId="77777777" w:rsidR="007E7472" w:rsidRDefault="00C8327E">
                <w:pPr>
                  <w:jc w:val="center"/>
                  <w:rPr>
                    <w:color w:val="008000"/>
                  </w:rPr>
                </w:pPr>
              </w:p>
            </w:tc>
          </w:tr>
          <w:tr w:rsidR="007E7472" w14:paraId="52836720" w14:textId="77777777">
            <w:sdt>
              <w:sdtPr>
                <w:rPr>
                  <w:rFonts w:ascii="宋体" w:eastAsia="宋体" w:hAnsi="宋体"/>
                  <w:sz w:val="21"/>
                  <w:szCs w:val="21"/>
                </w:rPr>
                <w:tag w:val="_PLD_2304f8a656bf488e9c1b48987574a2b8"/>
                <w:id w:val="-310172579"/>
                <w:lock w:val="sdtLocked"/>
              </w:sdtPr>
              <w:sdtEndPr/>
              <w:sdtContent>
                <w:tc>
                  <w:tcPr>
                    <w:tcW w:w="1203" w:type="pct"/>
                    <w:vAlign w:val="center"/>
                  </w:tcPr>
                  <w:p w14:paraId="1C6A0AE5" w14:textId="77777777" w:rsidR="007E7472" w:rsidRDefault="00EC1269">
                    <w:pPr>
                      <w:pStyle w:val="TableParagraph"/>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2023年</w:t>
                    </w:r>
                    <w:r>
                      <w:rPr>
                        <w:rFonts w:ascii="宋体" w:eastAsia="宋体" w:hAnsi="宋体" w:cs="宋体" w:hint="eastAsia"/>
                        <w:sz w:val="21"/>
                        <w:szCs w:val="21"/>
                        <w:lang w:eastAsia="zh-CN"/>
                      </w:rPr>
                      <w:t>1月1日余额</w:t>
                    </w:r>
                  </w:p>
                </w:tc>
              </w:sdtContent>
            </w:sdt>
            <w:tc>
              <w:tcPr>
                <w:tcW w:w="883" w:type="pct"/>
              </w:tcPr>
              <w:p w14:paraId="2B30B880" w14:textId="77777777" w:rsidR="007E7472" w:rsidRDefault="00C8327E">
                <w:pPr>
                  <w:jc w:val="right"/>
                </w:pPr>
              </w:p>
            </w:tc>
            <w:tc>
              <w:tcPr>
                <w:tcW w:w="1046" w:type="pct"/>
                <w:vAlign w:val="center"/>
              </w:tcPr>
              <w:p w14:paraId="0722E104" w14:textId="77777777" w:rsidR="007E7472" w:rsidRDefault="00EC1269">
                <w:pPr>
                  <w:jc w:val="right"/>
                  <w:rPr>
                    <w:bCs/>
                  </w:rPr>
                </w:pPr>
                <w:r>
                  <w:t>9,341</w:t>
                </w:r>
              </w:p>
            </w:tc>
            <w:tc>
              <w:tcPr>
                <w:tcW w:w="1124" w:type="pct"/>
                <w:vAlign w:val="center"/>
              </w:tcPr>
              <w:p w14:paraId="601F1A1D" w14:textId="77777777" w:rsidR="007E7472" w:rsidRDefault="00EC1269">
                <w:pPr>
                  <w:jc w:val="right"/>
                </w:pPr>
                <w:r>
                  <w:t>261,834</w:t>
                </w:r>
              </w:p>
            </w:tc>
            <w:tc>
              <w:tcPr>
                <w:tcW w:w="744" w:type="pct"/>
                <w:vAlign w:val="center"/>
              </w:tcPr>
              <w:p w14:paraId="2439A533" w14:textId="77777777" w:rsidR="007E7472" w:rsidRDefault="00EC1269">
                <w:pPr>
                  <w:jc w:val="right"/>
                </w:pPr>
                <w:r>
                  <w:t>271,175</w:t>
                </w:r>
              </w:p>
            </w:tc>
          </w:tr>
          <w:tr w:rsidR="007E7472" w14:paraId="6610B76F" w14:textId="77777777">
            <w:sdt>
              <w:sdtPr>
                <w:rPr>
                  <w:rFonts w:ascii="宋体" w:eastAsia="宋体" w:hAnsi="宋体"/>
                  <w:sz w:val="21"/>
                  <w:szCs w:val="21"/>
                </w:rPr>
                <w:tag w:val="_PLD_bb1ed7ee4d284f95847b09a20e54710f"/>
                <w:id w:val="1481655242"/>
                <w:lock w:val="sdtLocked"/>
              </w:sdtPr>
              <w:sdtEndPr/>
              <w:sdtContent>
                <w:tc>
                  <w:tcPr>
                    <w:tcW w:w="1203" w:type="pct"/>
                    <w:vAlign w:val="center"/>
                  </w:tcPr>
                  <w:p w14:paraId="1618090D" w14:textId="77777777" w:rsidR="007E7472" w:rsidRDefault="00EC1269">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sdtContent>
            </w:sdt>
            <w:tc>
              <w:tcPr>
                <w:tcW w:w="883" w:type="pct"/>
              </w:tcPr>
              <w:p w14:paraId="331FE3B5" w14:textId="77777777" w:rsidR="007E7472" w:rsidRDefault="00C8327E">
                <w:pPr>
                  <w:jc w:val="right"/>
                </w:pPr>
              </w:p>
            </w:tc>
            <w:tc>
              <w:tcPr>
                <w:tcW w:w="1046" w:type="pct"/>
              </w:tcPr>
              <w:p w14:paraId="696F6221" w14:textId="77777777" w:rsidR="007E7472" w:rsidRDefault="00C8327E">
                <w:pPr>
                  <w:jc w:val="right"/>
                </w:pPr>
              </w:p>
            </w:tc>
            <w:tc>
              <w:tcPr>
                <w:tcW w:w="1124" w:type="pct"/>
              </w:tcPr>
              <w:p w14:paraId="711481D9" w14:textId="77777777" w:rsidR="007E7472" w:rsidRDefault="00C8327E">
                <w:pPr>
                  <w:jc w:val="right"/>
                </w:pPr>
              </w:p>
            </w:tc>
            <w:tc>
              <w:tcPr>
                <w:tcW w:w="744" w:type="pct"/>
              </w:tcPr>
              <w:p w14:paraId="3AC65752" w14:textId="77777777" w:rsidR="007E7472" w:rsidRDefault="00C8327E">
                <w:pPr>
                  <w:jc w:val="right"/>
                </w:pPr>
              </w:p>
            </w:tc>
          </w:tr>
          <w:tr w:rsidR="007E7472" w14:paraId="6C35674A" w14:textId="77777777">
            <w:tc>
              <w:tcPr>
                <w:tcW w:w="1203" w:type="pct"/>
                <w:vAlign w:val="center"/>
              </w:tcPr>
              <w:sdt>
                <w:sdtPr>
                  <w:rPr>
                    <w:rFonts w:ascii="宋体" w:eastAsia="宋体" w:hAnsi="宋体" w:hint="eastAsia"/>
                    <w:sz w:val="21"/>
                    <w:szCs w:val="21"/>
                    <w:lang w:eastAsia="zh-CN"/>
                  </w:rPr>
                  <w:tag w:val="_PLD_4f4ae619a7e049d7a297497cfaf7c7a3"/>
                  <w:id w:val="-544608400"/>
                  <w:lock w:val="sdtLocked"/>
                </w:sdtPr>
                <w:sdtEndPr/>
                <w:sdtContent>
                  <w:p w14:paraId="2A5A0494" w14:textId="77777777" w:rsidR="007E7472" w:rsidRDefault="00EC1269">
                    <w:pPr>
                      <w:pStyle w:val="TableParagraph"/>
                      <w:spacing w:after="0" w:line="240" w:lineRule="auto"/>
                      <w:jc w:val="both"/>
                      <w:rPr>
                        <w:rFonts w:ascii="宋体" w:eastAsia="宋体" w:hAnsi="宋体"/>
                        <w:sz w:val="21"/>
                        <w:szCs w:val="21"/>
                      </w:rPr>
                    </w:pPr>
                    <w:r>
                      <w:rPr>
                        <w:rFonts w:ascii="宋体" w:eastAsia="宋体" w:hAnsi="宋体" w:hint="eastAsia"/>
                        <w:sz w:val="21"/>
                        <w:szCs w:val="21"/>
                        <w:lang w:eastAsia="zh-CN"/>
                      </w:rPr>
                      <w:t>本期转回</w:t>
                    </w:r>
                  </w:p>
                </w:sdtContent>
              </w:sdt>
            </w:tc>
            <w:tc>
              <w:tcPr>
                <w:tcW w:w="883" w:type="pct"/>
              </w:tcPr>
              <w:p w14:paraId="5A6E60C7" w14:textId="77777777" w:rsidR="007E7472" w:rsidRDefault="00C8327E">
                <w:pPr>
                  <w:jc w:val="right"/>
                </w:pPr>
              </w:p>
            </w:tc>
            <w:tc>
              <w:tcPr>
                <w:tcW w:w="1046" w:type="pct"/>
              </w:tcPr>
              <w:p w14:paraId="5783A947" w14:textId="77777777" w:rsidR="007E7472" w:rsidRDefault="00C8327E">
                <w:pPr>
                  <w:jc w:val="right"/>
                </w:pPr>
              </w:p>
            </w:tc>
            <w:tc>
              <w:tcPr>
                <w:tcW w:w="1124" w:type="pct"/>
                <w:vAlign w:val="center"/>
              </w:tcPr>
              <w:p w14:paraId="7101F3B7" w14:textId="77777777" w:rsidR="007E7472" w:rsidRDefault="00EC1269">
                <w:pPr>
                  <w:jc w:val="right"/>
                  <w:rPr>
                    <w:bCs/>
                  </w:rPr>
                </w:pPr>
                <w:r>
                  <w:t>-16,086</w:t>
                </w:r>
              </w:p>
            </w:tc>
            <w:tc>
              <w:tcPr>
                <w:tcW w:w="744" w:type="pct"/>
                <w:vAlign w:val="center"/>
              </w:tcPr>
              <w:p w14:paraId="72EF9509" w14:textId="77777777" w:rsidR="007E7472" w:rsidRDefault="00EC1269">
                <w:pPr>
                  <w:jc w:val="right"/>
                </w:pPr>
                <w:r>
                  <w:t>-16,086</w:t>
                </w:r>
              </w:p>
            </w:tc>
          </w:tr>
          <w:tr w:rsidR="007E7472" w14:paraId="77B520AA" w14:textId="77777777">
            <w:sdt>
              <w:sdtPr>
                <w:rPr>
                  <w:rFonts w:ascii="宋体" w:eastAsia="宋体" w:hAnsi="宋体"/>
                  <w:sz w:val="21"/>
                  <w:szCs w:val="21"/>
                </w:rPr>
                <w:tag w:val="_PLD_f623f4998cf8469785fccf1dc23e23f4"/>
                <w:id w:val="-80139734"/>
                <w:lock w:val="sdtLocked"/>
              </w:sdtPr>
              <w:sdtEndPr/>
              <w:sdtContent>
                <w:tc>
                  <w:tcPr>
                    <w:tcW w:w="1203" w:type="pct"/>
                    <w:vAlign w:val="center"/>
                  </w:tcPr>
                  <w:p w14:paraId="57C866CF" w14:textId="77777777" w:rsidR="007E7472" w:rsidRDefault="00EC1269">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sdtContent>
            </w:sdt>
            <w:tc>
              <w:tcPr>
                <w:tcW w:w="883" w:type="pct"/>
              </w:tcPr>
              <w:p w14:paraId="3E1D06D0" w14:textId="77777777" w:rsidR="007E7472" w:rsidRDefault="00C8327E">
                <w:pPr>
                  <w:jc w:val="right"/>
                </w:pPr>
              </w:p>
            </w:tc>
            <w:tc>
              <w:tcPr>
                <w:tcW w:w="1046" w:type="pct"/>
              </w:tcPr>
              <w:p w14:paraId="7A9B3DD0" w14:textId="77777777" w:rsidR="007E7472" w:rsidRDefault="00C8327E">
                <w:pPr>
                  <w:jc w:val="right"/>
                </w:pPr>
              </w:p>
            </w:tc>
            <w:tc>
              <w:tcPr>
                <w:tcW w:w="1124" w:type="pct"/>
              </w:tcPr>
              <w:p w14:paraId="309F561D" w14:textId="77777777" w:rsidR="007E7472" w:rsidRDefault="00C8327E">
                <w:pPr>
                  <w:jc w:val="right"/>
                </w:pPr>
              </w:p>
            </w:tc>
            <w:tc>
              <w:tcPr>
                <w:tcW w:w="744" w:type="pct"/>
              </w:tcPr>
              <w:p w14:paraId="6BB7729F" w14:textId="77777777" w:rsidR="007E7472" w:rsidRDefault="00C8327E">
                <w:pPr>
                  <w:jc w:val="right"/>
                </w:pPr>
              </w:p>
            </w:tc>
          </w:tr>
          <w:tr w:rsidR="007E7472" w14:paraId="316D709F" w14:textId="77777777">
            <w:tc>
              <w:tcPr>
                <w:tcW w:w="1203" w:type="pct"/>
                <w:vAlign w:val="center"/>
              </w:tcPr>
              <w:sdt>
                <w:sdtPr>
                  <w:rPr>
                    <w:rFonts w:ascii="宋体" w:eastAsia="宋体" w:hAnsi="宋体" w:hint="eastAsia"/>
                    <w:sz w:val="21"/>
                    <w:szCs w:val="21"/>
                    <w:lang w:eastAsia="zh-CN"/>
                  </w:rPr>
                  <w:tag w:val="_PLD_7d1faf2fb9f748e597402d52d41da0c3"/>
                  <w:id w:val="-394126267"/>
                  <w:lock w:val="sdtLocked"/>
                </w:sdtPr>
                <w:sdtEndPr/>
                <w:sdtContent>
                  <w:p w14:paraId="7AB310F7" w14:textId="77777777" w:rsidR="007E7472" w:rsidRDefault="00EC1269">
                    <w:pPr>
                      <w:pStyle w:val="TableParagraph"/>
                      <w:spacing w:after="0" w:line="240" w:lineRule="auto"/>
                      <w:jc w:val="both"/>
                      <w:rPr>
                        <w:rFonts w:ascii="宋体" w:eastAsia="宋体" w:hAnsi="宋体"/>
                        <w:sz w:val="21"/>
                        <w:szCs w:val="21"/>
                      </w:rPr>
                    </w:pPr>
                    <w:r>
                      <w:rPr>
                        <w:rFonts w:ascii="宋体" w:eastAsia="宋体" w:hAnsi="宋体" w:hint="eastAsia"/>
                        <w:sz w:val="21"/>
                        <w:szCs w:val="21"/>
                        <w:lang w:eastAsia="zh-CN"/>
                      </w:rPr>
                      <w:t>本期核销</w:t>
                    </w:r>
                  </w:p>
                </w:sdtContent>
              </w:sdt>
            </w:tc>
            <w:tc>
              <w:tcPr>
                <w:tcW w:w="883" w:type="pct"/>
              </w:tcPr>
              <w:p w14:paraId="429ED3A2" w14:textId="77777777" w:rsidR="007E7472" w:rsidRDefault="00C8327E">
                <w:pPr>
                  <w:jc w:val="right"/>
                </w:pPr>
              </w:p>
            </w:tc>
            <w:tc>
              <w:tcPr>
                <w:tcW w:w="1046" w:type="pct"/>
              </w:tcPr>
              <w:p w14:paraId="6229CA16" w14:textId="77777777" w:rsidR="007E7472" w:rsidRDefault="00C8327E">
                <w:pPr>
                  <w:jc w:val="right"/>
                </w:pPr>
              </w:p>
            </w:tc>
            <w:tc>
              <w:tcPr>
                <w:tcW w:w="1124" w:type="pct"/>
              </w:tcPr>
              <w:p w14:paraId="783A9ED5" w14:textId="77777777" w:rsidR="007E7472" w:rsidRDefault="00C8327E">
                <w:pPr>
                  <w:jc w:val="right"/>
                </w:pPr>
              </w:p>
            </w:tc>
            <w:tc>
              <w:tcPr>
                <w:tcW w:w="744" w:type="pct"/>
              </w:tcPr>
              <w:p w14:paraId="7BEC4058" w14:textId="77777777" w:rsidR="007E7472" w:rsidRDefault="00C8327E">
                <w:pPr>
                  <w:jc w:val="right"/>
                </w:pPr>
              </w:p>
            </w:tc>
          </w:tr>
          <w:tr w:rsidR="007E7472" w14:paraId="6C658060" w14:textId="77777777">
            <w:sdt>
              <w:sdtPr>
                <w:rPr>
                  <w:rFonts w:ascii="宋体" w:eastAsia="宋体" w:hAnsi="宋体"/>
                  <w:sz w:val="21"/>
                  <w:szCs w:val="21"/>
                </w:rPr>
                <w:tag w:val="_PLD_fd84f390e6184019aab02c9d3845e31d"/>
                <w:id w:val="-906376068"/>
                <w:lock w:val="sdtLocked"/>
              </w:sdtPr>
              <w:sdtEndPr/>
              <w:sdtContent>
                <w:tc>
                  <w:tcPr>
                    <w:tcW w:w="1203" w:type="pct"/>
                    <w:vAlign w:val="center"/>
                  </w:tcPr>
                  <w:p w14:paraId="4E8658F4" w14:textId="77777777" w:rsidR="007E7472" w:rsidRDefault="00EC1269">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w:t>
                    </w:r>
                  </w:p>
                </w:tc>
              </w:sdtContent>
            </w:sdt>
            <w:tc>
              <w:tcPr>
                <w:tcW w:w="883" w:type="pct"/>
              </w:tcPr>
              <w:p w14:paraId="130F76A3" w14:textId="77777777" w:rsidR="007E7472" w:rsidRDefault="00C8327E">
                <w:pPr>
                  <w:jc w:val="right"/>
                </w:pPr>
              </w:p>
            </w:tc>
            <w:tc>
              <w:tcPr>
                <w:tcW w:w="1046" w:type="pct"/>
              </w:tcPr>
              <w:p w14:paraId="53471791" w14:textId="77777777" w:rsidR="007E7472" w:rsidRDefault="00C8327E">
                <w:pPr>
                  <w:jc w:val="right"/>
                </w:pPr>
              </w:p>
            </w:tc>
            <w:tc>
              <w:tcPr>
                <w:tcW w:w="1124" w:type="pct"/>
              </w:tcPr>
              <w:p w14:paraId="695FF309" w14:textId="77777777" w:rsidR="007E7472" w:rsidRDefault="00C8327E">
                <w:pPr>
                  <w:jc w:val="right"/>
                </w:pPr>
              </w:p>
            </w:tc>
            <w:tc>
              <w:tcPr>
                <w:tcW w:w="744" w:type="pct"/>
              </w:tcPr>
              <w:p w14:paraId="20FB868D" w14:textId="77777777" w:rsidR="007E7472" w:rsidRDefault="00C8327E">
                <w:pPr>
                  <w:jc w:val="right"/>
                </w:pPr>
              </w:p>
            </w:tc>
          </w:tr>
          <w:tr w:rsidR="007E7472" w14:paraId="660DAE2D" w14:textId="77777777">
            <w:sdt>
              <w:sdtPr>
                <w:rPr>
                  <w:rFonts w:ascii="宋体" w:eastAsia="宋体" w:hAnsi="宋体"/>
                  <w:sz w:val="21"/>
                  <w:szCs w:val="21"/>
                </w:rPr>
                <w:tag w:val="_PLD_04cab04851ab496e8220fc8c946b10a5"/>
                <w:id w:val="273451662"/>
                <w:lock w:val="sdtLocked"/>
              </w:sdtPr>
              <w:sdtEndPr/>
              <w:sdtContent>
                <w:tc>
                  <w:tcPr>
                    <w:tcW w:w="1203" w:type="pct"/>
                    <w:vAlign w:val="center"/>
                  </w:tcPr>
                  <w:p w14:paraId="0CFAC2B6" w14:textId="77777777" w:rsidR="007E7472" w:rsidRDefault="00EC1269">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2023年6月30日</w:t>
                    </w:r>
                    <w:r>
                      <w:rPr>
                        <w:rFonts w:ascii="宋体" w:eastAsia="宋体" w:hAnsi="宋体" w:cs="宋体" w:hint="eastAsia"/>
                        <w:sz w:val="21"/>
                        <w:szCs w:val="21"/>
                        <w:lang w:eastAsia="zh-CN"/>
                      </w:rPr>
                      <w:t>余额</w:t>
                    </w:r>
                  </w:p>
                </w:tc>
              </w:sdtContent>
            </w:sdt>
            <w:tc>
              <w:tcPr>
                <w:tcW w:w="883" w:type="pct"/>
              </w:tcPr>
              <w:p w14:paraId="0B0C7FE2" w14:textId="77777777" w:rsidR="007E7472" w:rsidRDefault="00C8327E">
                <w:pPr>
                  <w:jc w:val="right"/>
                </w:pPr>
              </w:p>
            </w:tc>
            <w:tc>
              <w:tcPr>
                <w:tcW w:w="1046" w:type="pct"/>
                <w:vAlign w:val="center"/>
              </w:tcPr>
              <w:p w14:paraId="7992CAAE" w14:textId="77777777" w:rsidR="007E7472" w:rsidRDefault="00EC1269">
                <w:pPr>
                  <w:jc w:val="right"/>
                  <w:rPr>
                    <w:bCs/>
                  </w:rPr>
                </w:pPr>
                <w:r>
                  <w:t>9,341</w:t>
                </w:r>
              </w:p>
            </w:tc>
            <w:tc>
              <w:tcPr>
                <w:tcW w:w="1124" w:type="pct"/>
                <w:vAlign w:val="center"/>
              </w:tcPr>
              <w:p w14:paraId="0F765D4A" w14:textId="77777777" w:rsidR="007E7472" w:rsidRDefault="00EC1269">
                <w:pPr>
                  <w:jc w:val="right"/>
                </w:pPr>
                <w:r>
                  <w:t>245,748</w:t>
                </w:r>
              </w:p>
            </w:tc>
            <w:tc>
              <w:tcPr>
                <w:tcW w:w="744" w:type="pct"/>
                <w:vAlign w:val="center"/>
              </w:tcPr>
              <w:p w14:paraId="4AE59EE6" w14:textId="77777777" w:rsidR="007E7472" w:rsidRDefault="00EC1269">
                <w:pPr>
                  <w:jc w:val="right"/>
                </w:pPr>
                <w:r>
                  <w:t>255,089</w:t>
                </w:r>
              </w:p>
            </w:tc>
          </w:tr>
        </w:tbl>
        <w:p w14:paraId="35DFDF45" w14:textId="77777777" w:rsidR="007E7472" w:rsidRDefault="00C8327E"/>
        <w:p w14:paraId="68853B9F" w14:textId="77777777" w:rsidR="007E7472" w:rsidRDefault="00EC1269">
          <w:r>
            <w:rPr>
              <w:rFonts w:hint="eastAsia"/>
            </w:rPr>
            <w:t>对本期发生损失准备变动的其他应收款账面余额显著变动的情况说明：</w:t>
          </w:r>
        </w:p>
        <w:sdt>
          <w:sdtPr>
            <w:alias w:val="是否适用：母公司其他应收款本期发生损失准备变动且账面余额显著变动的情况说明[双击切换]"/>
            <w:tag w:val="_GBC_51a7e143899e4bf4887327bb018327b9"/>
            <w:id w:val="-1221129268"/>
            <w:lock w:val="sdtLocked"/>
            <w:placeholder>
              <w:docPart w:val="GBC22222222222222222222222222222"/>
            </w:placeholder>
          </w:sdtPr>
          <w:sdtEndPr/>
          <w:sdtContent>
            <w:p w14:paraId="5A4D2FA2"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5E2930C4" w14:textId="77777777" w:rsidR="007E7472" w:rsidRDefault="00C8327E"/>
        <w:p w14:paraId="6D40C404" w14:textId="77777777" w:rsidR="007E7472" w:rsidRDefault="00EC1269">
          <w:r>
            <w:rPr>
              <w:rFonts w:hint="eastAsia"/>
            </w:rPr>
            <w:t>本期坏账准备计提金额以及评估金融工具的信用风险是否显著增加的采用依据：</w:t>
          </w:r>
        </w:p>
        <w:sdt>
          <w:sdtPr>
            <w:alias w:val="是否适用：母公司其他应收款坏账准备计提金额以及评估金融工具的信用风险是否显著增加的采用依据[双击切换]"/>
            <w:tag w:val="_GBC_d5682930254743bebaaf3c46f4513c04"/>
            <w:id w:val="-782879368"/>
            <w:lock w:val="sdtLocked"/>
            <w:placeholder>
              <w:docPart w:val="GBC22222222222222222222222222222"/>
            </w:placeholder>
          </w:sdtPr>
          <w:sdtEndPr/>
          <w:sdtContent>
            <w:p w14:paraId="68ACAE1C"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43A04E4D" w14:textId="77777777" w:rsidR="007E7472" w:rsidRDefault="00C8327E"/>
      </w:sdtContent>
    </w:sdt>
    <w:bookmarkEnd w:id="313" w:displacedByCustomXml="next"/>
    <w:bookmarkStart w:id="314" w:name="_Hlk10548122" w:displacedByCustomXml="next"/>
    <w:sdt>
      <w:sdtPr>
        <w:rPr>
          <w:rFonts w:ascii="宋体" w:hAnsi="宋体" w:cs="宋体" w:hint="eastAsia"/>
          <w:b w:val="0"/>
          <w:bCs w:val="0"/>
          <w:kern w:val="0"/>
          <w:sz w:val="20"/>
          <w:szCs w:val="21"/>
        </w:rPr>
        <w:alias w:val="模块:坏账准备的情况"/>
        <w:tag w:val="_SEC_7efe43f77bc44437a16fe9cc44dc64d6"/>
        <w:id w:val="2097825934"/>
        <w:lock w:val="sdtLocked"/>
        <w:placeholder>
          <w:docPart w:val="GBC22222222222222222222222222222"/>
        </w:placeholder>
      </w:sdtPr>
      <w:sdtEndPr>
        <w:rPr>
          <w:rFonts w:hint="default"/>
          <w:sz w:val="21"/>
        </w:rPr>
      </w:sdtEndPr>
      <w:sdtContent>
        <w:p w14:paraId="77E8A98D" w14:textId="77777777" w:rsidR="007E7472" w:rsidRDefault="00EC1269" w:rsidP="00162493">
          <w:pPr>
            <w:pStyle w:val="4"/>
            <w:numPr>
              <w:ilvl w:val="0"/>
              <w:numId w:val="120"/>
            </w:numPr>
          </w:pPr>
          <w:r>
            <w:rPr>
              <w:rFonts w:hint="eastAsia"/>
            </w:rPr>
            <w:t>坏账准备的情况</w:t>
          </w:r>
        </w:p>
        <w:sdt>
          <w:sdtPr>
            <w:alias w:val="是否适用：其他应收款坏账准备[双击切换]"/>
            <w:tag w:val="_GBC_746f45a984d44f56a795e5587d8e7cf2"/>
            <w:id w:val="-70113227"/>
            <w:lock w:val="sdtLocked"/>
            <w:placeholder>
              <w:docPart w:val="GBC22222222222222222222222222222"/>
            </w:placeholder>
          </w:sdtPr>
          <w:sdtEndPr/>
          <w:sdtContent>
            <w:p w14:paraId="33BD6E4D"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53D3EFE" w14:textId="17E17110" w:rsidR="007E7472" w:rsidRDefault="00EC1269">
          <w:pPr>
            <w:snapToGrid w:val="0"/>
            <w:spacing w:line="240" w:lineRule="atLeast"/>
            <w:ind w:left="425"/>
            <w:jc w:val="right"/>
          </w:pPr>
          <w:r>
            <w:rPr>
              <w:rFonts w:hint="eastAsia"/>
            </w:rPr>
            <w:t>单位：</w:t>
          </w:r>
          <w:sdt>
            <w:sdtPr>
              <w:rPr>
                <w:rFonts w:hint="eastAsia"/>
              </w:rPr>
              <w:alias w:val="单位：其他应收款坏账准备"/>
              <w:tag w:val="_GBC_61bb3d08ce2d41d5ad87b4c691e409ad"/>
              <w:id w:val="-7161269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其他应收款坏账准备"/>
              <w:tag w:val="_GBC_d9e85c814c564e7782149971f7c23ba2"/>
              <w:id w:val="19181286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402"/>
            <w:gridCol w:w="1184"/>
            <w:gridCol w:w="1283"/>
            <w:gridCol w:w="1184"/>
            <w:gridCol w:w="1262"/>
            <w:gridCol w:w="1255"/>
            <w:gridCol w:w="1253"/>
          </w:tblGrid>
          <w:tr w:rsidR="007E7472" w14:paraId="617B4A0F" w14:textId="77777777">
            <w:sdt>
              <w:sdtPr>
                <w:tag w:val="_PLD_eb515a63c0e744098c94b279d63caf4e"/>
                <w:id w:val="-844086497"/>
                <w:lock w:val="sdtLocked"/>
              </w:sdtPr>
              <w:sdtEndPr/>
              <w:sdtContent>
                <w:tc>
                  <w:tcPr>
                    <w:tcW w:w="795" w:type="pct"/>
                    <w:vMerge w:val="restart"/>
                    <w:shd w:val="clear" w:color="auto" w:fill="FFFFFF"/>
                    <w:vAlign w:val="center"/>
                  </w:tcPr>
                  <w:p w14:paraId="19A64089" w14:textId="77777777" w:rsidR="007E7472" w:rsidRDefault="00EC1269">
                    <w:pPr>
                      <w:widowControl w:val="0"/>
                      <w:jc w:val="center"/>
                    </w:pPr>
                    <w:r>
                      <w:t>类别</w:t>
                    </w:r>
                  </w:p>
                </w:tc>
              </w:sdtContent>
            </w:sdt>
            <w:sdt>
              <w:sdtPr>
                <w:tag w:val="_PLD_a39850dac4d142e8b7a712dce9edad36"/>
                <w:id w:val="1563598333"/>
                <w:lock w:val="sdtLocked"/>
              </w:sdtPr>
              <w:sdtEndPr/>
              <w:sdtContent>
                <w:tc>
                  <w:tcPr>
                    <w:tcW w:w="671" w:type="pct"/>
                    <w:vMerge w:val="restart"/>
                    <w:shd w:val="clear" w:color="auto" w:fill="FFFFFF"/>
                    <w:vAlign w:val="center"/>
                  </w:tcPr>
                  <w:p w14:paraId="1A068C55" w14:textId="77777777" w:rsidR="007E7472" w:rsidRDefault="00EC1269">
                    <w:pPr>
                      <w:widowControl w:val="0"/>
                      <w:jc w:val="center"/>
                    </w:pPr>
                    <w:r>
                      <w:t>期初余额</w:t>
                    </w:r>
                  </w:p>
                </w:tc>
              </w:sdtContent>
            </w:sdt>
            <w:sdt>
              <w:sdtPr>
                <w:tag w:val="_PLD_96686c7add8a4f2a8fa109c753f44a0b"/>
                <w:id w:val="1148096375"/>
                <w:lock w:val="sdtLocked"/>
              </w:sdtPr>
              <w:sdtEndPr/>
              <w:sdtContent>
                <w:tc>
                  <w:tcPr>
                    <w:tcW w:w="2824" w:type="pct"/>
                    <w:gridSpan w:val="4"/>
                    <w:shd w:val="clear" w:color="auto" w:fill="FFFFFF"/>
                    <w:vAlign w:val="center"/>
                  </w:tcPr>
                  <w:p w14:paraId="08425413" w14:textId="77777777" w:rsidR="007E7472" w:rsidRDefault="00EC1269">
                    <w:pPr>
                      <w:widowControl w:val="0"/>
                      <w:jc w:val="center"/>
                    </w:pPr>
                    <w:r>
                      <w:rPr>
                        <w:rFonts w:hint="eastAsia"/>
                      </w:rPr>
                      <w:t>本期变动</w:t>
                    </w:r>
                    <w:r>
                      <w:t>金额</w:t>
                    </w:r>
                  </w:p>
                </w:tc>
              </w:sdtContent>
            </w:sdt>
            <w:sdt>
              <w:sdtPr>
                <w:tag w:val="_PLD_2aef0abd937f4f5283fac84c8a1afc2d"/>
                <w:id w:val="359397241"/>
                <w:lock w:val="sdtLocked"/>
              </w:sdtPr>
              <w:sdtEndPr/>
              <w:sdtContent>
                <w:tc>
                  <w:tcPr>
                    <w:tcW w:w="710" w:type="pct"/>
                    <w:vMerge w:val="restart"/>
                    <w:shd w:val="clear" w:color="auto" w:fill="FFFFFF"/>
                    <w:vAlign w:val="center"/>
                  </w:tcPr>
                  <w:p w14:paraId="73A02368" w14:textId="77777777" w:rsidR="007E7472" w:rsidRDefault="00EC1269">
                    <w:pPr>
                      <w:widowControl w:val="0"/>
                      <w:jc w:val="center"/>
                    </w:pPr>
                    <w:r>
                      <w:t>期末余额</w:t>
                    </w:r>
                  </w:p>
                </w:tc>
              </w:sdtContent>
            </w:sdt>
          </w:tr>
          <w:tr w:rsidR="007E7472" w14:paraId="5DA38408" w14:textId="77777777">
            <w:tc>
              <w:tcPr>
                <w:tcW w:w="795" w:type="pct"/>
                <w:vMerge/>
                <w:shd w:val="clear" w:color="auto" w:fill="FFFFFF"/>
              </w:tcPr>
              <w:p w14:paraId="51D51643" w14:textId="77777777" w:rsidR="007E7472" w:rsidRDefault="00C8327E">
                <w:pPr>
                  <w:widowControl w:val="0"/>
                  <w:jc w:val="center"/>
                </w:pPr>
              </w:p>
            </w:tc>
            <w:tc>
              <w:tcPr>
                <w:tcW w:w="671" w:type="pct"/>
                <w:vMerge/>
                <w:shd w:val="clear" w:color="auto" w:fill="FFFFFF"/>
              </w:tcPr>
              <w:p w14:paraId="76C3E8FF" w14:textId="77777777" w:rsidR="007E7472" w:rsidRDefault="00C8327E">
                <w:pPr>
                  <w:widowControl w:val="0"/>
                  <w:jc w:val="center"/>
                </w:pPr>
              </w:p>
            </w:tc>
            <w:sdt>
              <w:sdtPr>
                <w:tag w:val="_PLD_0d882cd108804ecc85c8ea70ca9a0022"/>
                <w:id w:val="986519445"/>
                <w:lock w:val="sdtLocked"/>
              </w:sdtPr>
              <w:sdtEndPr/>
              <w:sdtContent>
                <w:tc>
                  <w:tcPr>
                    <w:tcW w:w="727" w:type="pct"/>
                    <w:shd w:val="clear" w:color="auto" w:fill="FFFFFF"/>
                    <w:vAlign w:val="center"/>
                  </w:tcPr>
                  <w:p w14:paraId="54CE649D" w14:textId="77777777" w:rsidR="007E7472" w:rsidRDefault="00EC1269">
                    <w:pPr>
                      <w:widowControl w:val="0"/>
                      <w:jc w:val="center"/>
                    </w:pPr>
                    <w:r>
                      <w:t>计提</w:t>
                    </w:r>
                  </w:p>
                </w:tc>
              </w:sdtContent>
            </w:sdt>
            <w:sdt>
              <w:sdtPr>
                <w:tag w:val="_PLD_e2116bf770074307b5326d2e261c8b91"/>
                <w:id w:val="139623525"/>
                <w:lock w:val="sdtLocked"/>
              </w:sdtPr>
              <w:sdtEndPr/>
              <w:sdtContent>
                <w:tc>
                  <w:tcPr>
                    <w:tcW w:w="671" w:type="pct"/>
                    <w:shd w:val="clear" w:color="auto" w:fill="FFFFFF"/>
                    <w:vAlign w:val="center"/>
                  </w:tcPr>
                  <w:p w14:paraId="0CF6BD1F" w14:textId="77777777" w:rsidR="007E7472" w:rsidRDefault="00EC1269">
                    <w:pPr>
                      <w:widowControl w:val="0"/>
                      <w:jc w:val="center"/>
                    </w:pPr>
                    <w:r>
                      <w:rPr>
                        <w:rFonts w:hint="eastAsia"/>
                      </w:rPr>
                      <w:t>收回或转回</w:t>
                    </w:r>
                  </w:p>
                </w:tc>
              </w:sdtContent>
            </w:sdt>
            <w:sdt>
              <w:sdtPr>
                <w:tag w:val="_PLD_ecb1755ff206448580b99e0999e516f9"/>
                <w:id w:val="-2000794816"/>
                <w:lock w:val="sdtLocked"/>
              </w:sdtPr>
              <w:sdtEndPr/>
              <w:sdtContent>
                <w:tc>
                  <w:tcPr>
                    <w:tcW w:w="715" w:type="pct"/>
                    <w:shd w:val="clear" w:color="auto" w:fill="FFFFFF"/>
                    <w:vAlign w:val="center"/>
                  </w:tcPr>
                  <w:p w14:paraId="70C1F8D1" w14:textId="77777777" w:rsidR="007E7472" w:rsidRDefault="00EC1269">
                    <w:pPr>
                      <w:widowControl w:val="0"/>
                      <w:jc w:val="center"/>
                    </w:pPr>
                    <w:r>
                      <w:rPr>
                        <w:rFonts w:hint="eastAsia"/>
                      </w:rPr>
                      <w:t>转销或核销</w:t>
                    </w:r>
                  </w:p>
                </w:tc>
              </w:sdtContent>
            </w:sdt>
            <w:tc>
              <w:tcPr>
                <w:tcW w:w="711" w:type="pct"/>
                <w:shd w:val="clear" w:color="auto" w:fill="FFFFFF"/>
                <w:vAlign w:val="center"/>
              </w:tcPr>
              <w:sdt>
                <w:sdtPr>
                  <w:rPr>
                    <w:rFonts w:hint="eastAsia"/>
                  </w:rPr>
                  <w:tag w:val="_PLD_1b39a62bca3c4844a14e6b043f874971"/>
                  <w:id w:val="397491984"/>
                  <w:lock w:val="sdtLocked"/>
                </w:sdtPr>
                <w:sdtEndPr/>
                <w:sdtContent>
                  <w:p w14:paraId="5C7370B8" w14:textId="77777777" w:rsidR="007E7472" w:rsidRDefault="00EC1269">
                    <w:pPr>
                      <w:widowControl w:val="0"/>
                      <w:jc w:val="right"/>
                    </w:pPr>
                    <w:r>
                      <w:rPr>
                        <w:rFonts w:hint="eastAsia"/>
                      </w:rPr>
                      <w:t>其他变动</w:t>
                    </w:r>
                  </w:p>
                </w:sdtContent>
              </w:sdt>
            </w:tc>
            <w:tc>
              <w:tcPr>
                <w:tcW w:w="710" w:type="pct"/>
                <w:vMerge/>
                <w:shd w:val="clear" w:color="auto" w:fill="FFFFFF"/>
              </w:tcPr>
              <w:p w14:paraId="53B83A5A" w14:textId="77777777" w:rsidR="007E7472" w:rsidRDefault="00C8327E">
                <w:pPr>
                  <w:widowControl w:val="0"/>
                  <w:jc w:val="right"/>
                </w:pPr>
              </w:p>
            </w:tc>
          </w:tr>
          <w:sdt>
            <w:sdtPr>
              <w:alias w:val="其他应收款坏账准备明细"/>
              <w:tag w:val="_TUP_57c26c8d4c2d4626b7f224edb53fa9e6"/>
              <w:id w:val="-1440450057"/>
              <w:lock w:val="sdtLocked"/>
              <w:placeholder>
                <w:docPart w:val="GBC11111111111111111111111111111"/>
              </w:placeholder>
            </w:sdtPr>
            <w:sdtEndPr/>
            <w:sdtContent>
              <w:tr w:rsidR="007E7472" w14:paraId="0FE27298" w14:textId="77777777">
                <w:tc>
                  <w:tcPr>
                    <w:tcW w:w="795" w:type="pct"/>
                    <w:shd w:val="clear" w:color="auto" w:fill="auto"/>
                  </w:tcPr>
                  <w:p w14:paraId="650D11FA" w14:textId="77777777" w:rsidR="007E7472" w:rsidRDefault="00EC1269">
                    <w:pPr>
                      <w:widowControl w:val="0"/>
                    </w:pPr>
                    <w:r>
                      <w:rPr>
                        <w:rFonts w:hint="eastAsia"/>
                      </w:rPr>
                      <w:t>坏账准备</w:t>
                    </w:r>
                  </w:p>
                </w:tc>
                <w:tc>
                  <w:tcPr>
                    <w:tcW w:w="671" w:type="pct"/>
                    <w:shd w:val="clear" w:color="auto" w:fill="auto"/>
                  </w:tcPr>
                  <w:p w14:paraId="41779350" w14:textId="77777777" w:rsidR="007E7472" w:rsidRDefault="00EC1269">
                    <w:pPr>
                      <w:widowControl w:val="0"/>
                      <w:jc w:val="right"/>
                    </w:pPr>
                    <w:r>
                      <w:t>271,175</w:t>
                    </w:r>
                  </w:p>
                </w:tc>
                <w:tc>
                  <w:tcPr>
                    <w:tcW w:w="727" w:type="pct"/>
                    <w:shd w:val="clear" w:color="auto" w:fill="auto"/>
                  </w:tcPr>
                  <w:p w14:paraId="235B48B1" w14:textId="77777777" w:rsidR="007E7472" w:rsidRDefault="00C8327E">
                    <w:pPr>
                      <w:widowControl w:val="0"/>
                      <w:jc w:val="right"/>
                    </w:pPr>
                  </w:p>
                </w:tc>
                <w:tc>
                  <w:tcPr>
                    <w:tcW w:w="671" w:type="pct"/>
                    <w:shd w:val="clear" w:color="auto" w:fill="auto"/>
                  </w:tcPr>
                  <w:p w14:paraId="000085F9" w14:textId="77777777" w:rsidR="007E7472" w:rsidRDefault="00EC1269">
                    <w:pPr>
                      <w:jc w:val="right"/>
                      <w:rPr>
                        <w:bCs/>
                        <w:color w:val="000000"/>
                      </w:rPr>
                    </w:pPr>
                    <w:r>
                      <w:rPr>
                        <w:rFonts w:hint="eastAsia"/>
                        <w:color w:val="000000"/>
                      </w:rPr>
                      <w:t>-16,08</w:t>
                    </w:r>
                    <w:r>
                      <w:rPr>
                        <w:color w:val="000000"/>
                      </w:rPr>
                      <w:t>6</w:t>
                    </w:r>
                  </w:p>
                </w:tc>
                <w:tc>
                  <w:tcPr>
                    <w:tcW w:w="715" w:type="pct"/>
                  </w:tcPr>
                  <w:p w14:paraId="2F204280" w14:textId="77777777" w:rsidR="007E7472" w:rsidRDefault="00C8327E">
                    <w:pPr>
                      <w:widowControl w:val="0"/>
                      <w:jc w:val="right"/>
                    </w:pPr>
                  </w:p>
                </w:tc>
                <w:tc>
                  <w:tcPr>
                    <w:tcW w:w="711" w:type="pct"/>
                  </w:tcPr>
                  <w:p w14:paraId="03A40651" w14:textId="77777777" w:rsidR="007E7472" w:rsidRDefault="00C8327E">
                    <w:pPr>
                      <w:widowControl w:val="0"/>
                      <w:jc w:val="right"/>
                    </w:pPr>
                  </w:p>
                </w:tc>
                <w:tc>
                  <w:tcPr>
                    <w:tcW w:w="710" w:type="pct"/>
                    <w:shd w:val="clear" w:color="auto" w:fill="auto"/>
                  </w:tcPr>
                  <w:p w14:paraId="4692FC36" w14:textId="77777777" w:rsidR="007E7472" w:rsidRDefault="00EC1269">
                    <w:pPr>
                      <w:widowControl w:val="0"/>
                      <w:jc w:val="right"/>
                    </w:pPr>
                    <w:r>
                      <w:t>255,089</w:t>
                    </w:r>
                  </w:p>
                </w:tc>
              </w:tr>
            </w:sdtContent>
          </w:sdt>
          <w:tr w:rsidR="007E7472" w14:paraId="080611B2" w14:textId="77777777">
            <w:sdt>
              <w:sdtPr>
                <w:tag w:val="_PLD_6ecf64f375dd47799ee393325abe39ea"/>
                <w:id w:val="1311138464"/>
                <w:lock w:val="sdtLocked"/>
              </w:sdtPr>
              <w:sdtEndPr/>
              <w:sdtContent>
                <w:tc>
                  <w:tcPr>
                    <w:tcW w:w="795" w:type="pct"/>
                    <w:shd w:val="clear" w:color="auto" w:fill="auto"/>
                  </w:tcPr>
                  <w:p w14:paraId="7D52F5ED" w14:textId="77777777" w:rsidR="007E7472" w:rsidRDefault="00EC1269">
                    <w:pPr>
                      <w:widowControl w:val="0"/>
                      <w:jc w:val="center"/>
                    </w:pPr>
                    <w:r>
                      <w:rPr>
                        <w:rFonts w:hint="eastAsia"/>
                      </w:rPr>
                      <w:t>合计</w:t>
                    </w:r>
                  </w:p>
                </w:tc>
              </w:sdtContent>
            </w:sdt>
            <w:tc>
              <w:tcPr>
                <w:tcW w:w="671" w:type="pct"/>
                <w:shd w:val="clear" w:color="auto" w:fill="auto"/>
              </w:tcPr>
              <w:p w14:paraId="72B17497" w14:textId="77777777" w:rsidR="007E7472" w:rsidRDefault="00EC1269">
                <w:pPr>
                  <w:widowControl w:val="0"/>
                  <w:jc w:val="right"/>
                </w:pPr>
                <w:r>
                  <w:t>271,175</w:t>
                </w:r>
              </w:p>
            </w:tc>
            <w:tc>
              <w:tcPr>
                <w:tcW w:w="727" w:type="pct"/>
                <w:shd w:val="clear" w:color="auto" w:fill="auto"/>
              </w:tcPr>
              <w:p w14:paraId="1CD2A97D" w14:textId="77777777" w:rsidR="007E7472" w:rsidRDefault="00C8327E">
                <w:pPr>
                  <w:widowControl w:val="0"/>
                  <w:jc w:val="right"/>
                </w:pPr>
              </w:p>
            </w:tc>
            <w:tc>
              <w:tcPr>
                <w:tcW w:w="671" w:type="pct"/>
                <w:shd w:val="clear" w:color="auto" w:fill="auto"/>
              </w:tcPr>
              <w:p w14:paraId="58BCD1C9" w14:textId="77777777" w:rsidR="007E7472" w:rsidRDefault="00EC1269">
                <w:pPr>
                  <w:jc w:val="right"/>
                  <w:rPr>
                    <w:bCs/>
                    <w:color w:val="000000"/>
                  </w:rPr>
                </w:pPr>
                <w:r>
                  <w:rPr>
                    <w:rFonts w:hint="eastAsia"/>
                    <w:color w:val="000000"/>
                  </w:rPr>
                  <w:t>-16,086</w:t>
                </w:r>
              </w:p>
            </w:tc>
            <w:tc>
              <w:tcPr>
                <w:tcW w:w="715" w:type="pct"/>
              </w:tcPr>
              <w:p w14:paraId="5EC900C2" w14:textId="77777777" w:rsidR="007E7472" w:rsidRDefault="00C8327E">
                <w:pPr>
                  <w:widowControl w:val="0"/>
                  <w:jc w:val="right"/>
                </w:pPr>
              </w:p>
            </w:tc>
            <w:tc>
              <w:tcPr>
                <w:tcW w:w="711" w:type="pct"/>
              </w:tcPr>
              <w:p w14:paraId="602EEC2A" w14:textId="77777777" w:rsidR="007E7472" w:rsidRDefault="00C8327E">
                <w:pPr>
                  <w:widowControl w:val="0"/>
                  <w:jc w:val="right"/>
                </w:pPr>
              </w:p>
            </w:tc>
            <w:tc>
              <w:tcPr>
                <w:tcW w:w="710" w:type="pct"/>
                <w:shd w:val="clear" w:color="auto" w:fill="auto"/>
              </w:tcPr>
              <w:p w14:paraId="0326F15C" w14:textId="77777777" w:rsidR="007E7472" w:rsidRDefault="00EC1269">
                <w:pPr>
                  <w:widowControl w:val="0"/>
                  <w:jc w:val="right"/>
                </w:pPr>
                <w:r>
                  <w:t>255,089</w:t>
                </w:r>
              </w:p>
            </w:tc>
          </w:tr>
        </w:tbl>
        <w:p w14:paraId="6BE180C7" w14:textId="77777777" w:rsidR="007E7472" w:rsidRDefault="00EC1269">
          <w:r>
            <w:rPr>
              <w:rFonts w:hint="eastAsia"/>
            </w:rPr>
            <w:t>其中本期坏账准备转回或收回金额重要的：</w:t>
          </w:r>
        </w:p>
        <w:sdt>
          <w:sdtPr>
            <w:alias w:val="是否适用：其中本期其他应收账款坏账准备收回或转回金额重要的[双击切换]"/>
            <w:tag w:val="_GBC_4d2439aebd644da7889b9f279d8a4ec0"/>
            <w:id w:val="-568034891"/>
            <w:lock w:val="sdtLocked"/>
            <w:placeholder>
              <w:docPart w:val="GBC22222222222222222222222222222"/>
            </w:placeholder>
          </w:sdtPr>
          <w:sdtEndPr/>
          <w:sdtContent>
            <w:p w14:paraId="45163C15" w14:textId="77777777" w:rsidR="007E7472" w:rsidRDefault="00EC1269">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314"/>
    <w:p w14:paraId="010BCE9E" w14:textId="77777777" w:rsidR="007E7472" w:rsidRDefault="00C8327E">
      <w:pPr>
        <w:ind w:rightChars="-759" w:right="-1594"/>
      </w:pPr>
    </w:p>
    <w:sdt>
      <w:sdtPr>
        <w:rPr>
          <w:rFonts w:ascii="宋体" w:hAnsi="宋体" w:cs="宋体" w:hint="eastAsia"/>
          <w:b w:val="0"/>
          <w:bCs w:val="0"/>
          <w:kern w:val="0"/>
          <w:sz w:val="20"/>
          <w:szCs w:val="21"/>
        </w:rPr>
        <w:alias w:val="模块:本期实际核销的其他应收款情况"/>
        <w:tag w:val="_SEC_ffe6c87a4f4a49bd9769cbeb746b444b"/>
        <w:id w:val="-1102191093"/>
        <w:lock w:val="sdtLocked"/>
        <w:placeholder>
          <w:docPart w:val="GBC22222222222222222222222222222"/>
        </w:placeholder>
      </w:sdtPr>
      <w:sdtEndPr>
        <w:rPr>
          <w:rFonts w:hint="default"/>
        </w:rPr>
      </w:sdtEndPr>
      <w:sdtContent>
        <w:p w14:paraId="3D0246D6" w14:textId="77777777" w:rsidR="007E7472" w:rsidRDefault="00EC1269" w:rsidP="00162493">
          <w:pPr>
            <w:pStyle w:val="4"/>
            <w:numPr>
              <w:ilvl w:val="0"/>
              <w:numId w:val="120"/>
            </w:numPr>
          </w:pPr>
          <w:r>
            <w:rPr>
              <w:rFonts w:hint="eastAsia"/>
            </w:rPr>
            <w:t>本期实际核销的其他应收款情况</w:t>
          </w:r>
        </w:p>
        <w:sdt>
          <w:sdtPr>
            <w:alias w:val="是否适用：母公司本期实际核销的其他应收款情况[双击切换]"/>
            <w:tag w:val="_GBC_dd1095756d2b471688ce5b700380fafc"/>
            <w:id w:val="-1204786388"/>
            <w:lock w:val="sdtLocked"/>
            <w:placeholder>
              <w:docPart w:val="GBC22222222222222222222222222222"/>
            </w:placeholder>
          </w:sdtPr>
          <w:sdtEndPr/>
          <w:sdtContent>
            <w:p w14:paraId="1B644581"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rPr>
        <w:alias w:val="模块:其他应收款核销说明：  "/>
        <w:tag w:val="_SEC_6c44e00a54d34fb1a03f38b7cf5b8a5d"/>
        <w:id w:val="-463503513"/>
        <w:lock w:val="sdtLocked"/>
        <w:placeholder>
          <w:docPart w:val="GBC22222222222222222222222222222"/>
        </w:placeholder>
      </w:sdtPr>
      <w:sdtEndPr>
        <w:rPr>
          <w:rFonts w:hint="default"/>
        </w:rPr>
      </w:sdtEndPr>
      <w:sdtContent>
        <w:p w14:paraId="70CB28EC" w14:textId="77777777" w:rsidR="007E7472" w:rsidRDefault="00EC1269">
          <w:pPr>
            <w:snapToGrid w:val="0"/>
            <w:spacing w:line="240" w:lineRule="atLeast"/>
          </w:pPr>
          <w:r>
            <w:rPr>
              <w:rFonts w:hint="eastAsia"/>
            </w:rPr>
            <w:t>其他应收款核销说明：</w:t>
          </w:r>
        </w:p>
        <w:sdt>
          <w:sdtPr>
            <w:rPr>
              <w:bCs/>
            </w:rPr>
            <w:alias w:val="是否适用：母公司其他应收款核销说明[双击切换]"/>
            <w:tag w:val="_GBC_7e98a555990349648a39fba0c7228ab7"/>
            <w:id w:val="-1661544428"/>
            <w:lock w:val="sdtLocked"/>
            <w:placeholder>
              <w:docPart w:val="GBC22222222222222222222222222222"/>
            </w:placeholder>
          </w:sdtPr>
          <w:sdtEndPr/>
          <w:sdtContent>
            <w:p w14:paraId="3CEDD561" w14:textId="77777777" w:rsidR="007E7472" w:rsidRDefault="00EC1269">
              <w:pPr>
                <w:snapToGrid w:val="0"/>
                <w:spacing w:line="240" w:lineRule="atLeast"/>
              </w:pPr>
              <w:r>
                <w:rPr>
                  <w:bCs/>
                </w:rPr>
                <w:fldChar w:fldCharType="begin"/>
              </w:r>
              <w:r>
                <w:instrText xml:space="preserve"> MACROBUTTON  SnrToggleCheckbox □适用 </w:instrText>
              </w:r>
              <w:r>
                <w:rPr>
                  <w:bCs/>
                </w:rPr>
                <w:fldChar w:fldCharType="end"/>
              </w:r>
              <w:r>
                <w:rPr>
                  <w:bCs/>
                </w:rPr>
                <w:fldChar w:fldCharType="begin"/>
              </w:r>
              <w:r>
                <w:instrText xml:space="preserve"> MACROBUTTON  SnrToggleCheckbox √不适用 </w:instrText>
              </w:r>
              <w:r>
                <w:rPr>
                  <w:bCs/>
                </w:rPr>
                <w:fldChar w:fldCharType="end"/>
              </w:r>
            </w:p>
          </w:sdtContent>
        </w:sdt>
      </w:sdtContent>
    </w:sdt>
    <w:p w14:paraId="0B1FB698" w14:textId="77777777" w:rsidR="007E7472" w:rsidRDefault="00C8327E"/>
    <w:sdt>
      <w:sdtPr>
        <w:rPr>
          <w:rFonts w:ascii="宋体" w:hAnsi="宋体" w:cs="宋体" w:hint="eastAsia"/>
          <w:b w:val="0"/>
          <w:bCs w:val="0"/>
          <w:kern w:val="0"/>
          <w:sz w:val="20"/>
          <w:szCs w:val="21"/>
        </w:rPr>
        <w:alias w:val="模块:按欠款方归集的期末余额前五名的其他应收款情况"/>
        <w:tag w:val="_GBC_c77f7efeabc1402191807946a9bfe714"/>
        <w:id w:val="178319118"/>
        <w:lock w:val="sdtLocked"/>
        <w:placeholder>
          <w:docPart w:val="GBC22222222222222222222222222222"/>
        </w:placeholder>
      </w:sdtPr>
      <w:sdtEndPr>
        <w:rPr>
          <w:rFonts w:hint="default"/>
        </w:rPr>
      </w:sdtEndPr>
      <w:sdtContent>
        <w:p w14:paraId="5AAC9C37" w14:textId="77777777" w:rsidR="007E7472" w:rsidRDefault="00EC1269" w:rsidP="00162493">
          <w:pPr>
            <w:pStyle w:val="4"/>
            <w:numPr>
              <w:ilvl w:val="0"/>
              <w:numId w:val="120"/>
            </w:numPr>
          </w:pPr>
          <w:r>
            <w:rPr>
              <w:rFonts w:hint="eastAsia"/>
            </w:rPr>
            <w:t>按欠款方归集的期末余额前五名的其他应收款情况</w:t>
          </w:r>
        </w:p>
        <w:sdt>
          <w:sdtPr>
            <w:alias w:val="是否适用：母公司按欠款方归集的期末余额前五名的其他应收款情况[双击切换]"/>
            <w:tag w:val="_GBC_c31bd7806af645a4b98780e353753bee"/>
            <w:id w:val="-492796676"/>
            <w:lock w:val="sdtLocked"/>
            <w:placeholder>
              <w:docPart w:val="GBC22222222222222222222222222222"/>
            </w:placeholder>
          </w:sdtPr>
          <w:sdtEndPr/>
          <w:sdtContent>
            <w:p w14:paraId="2AF1D042"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按应收金额确认的政府补助"/>
        <w:tag w:val="_GBC_52bd0b171cc64f85aa1100213c81523c"/>
        <w:id w:val="-1742480657"/>
        <w:lock w:val="sdtLocked"/>
        <w:placeholder>
          <w:docPart w:val="GBC22222222222222222222222222222"/>
        </w:placeholder>
      </w:sdtPr>
      <w:sdtEndPr/>
      <w:sdtContent>
        <w:p w14:paraId="19CF4B7F" w14:textId="77777777" w:rsidR="007E7472" w:rsidRDefault="00EC1269" w:rsidP="00162493">
          <w:pPr>
            <w:pStyle w:val="4"/>
            <w:numPr>
              <w:ilvl w:val="0"/>
              <w:numId w:val="120"/>
            </w:numPr>
          </w:pPr>
          <w:r>
            <w:rPr>
              <w:rFonts w:hint="eastAsia"/>
            </w:rPr>
            <w:t>涉及政府补助的应收款项</w:t>
          </w:r>
        </w:p>
        <w:sdt>
          <w:sdtPr>
            <w:alias w:val="是否适用：母公司涉及政府补助的应收款项[双击切换]"/>
            <w:tag w:val="_GBC_42f77b49fc014baab239badfde6e4fcf"/>
            <w:id w:val="1535928376"/>
            <w:lock w:val="sdtLocked"/>
            <w:placeholder>
              <w:docPart w:val="GBC22222222222222222222222222222"/>
            </w:placeholder>
          </w:sdtPr>
          <w:sdtEndPr/>
          <w:sdtContent>
            <w:p w14:paraId="4090009B"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6F74205C" w14:textId="77777777" w:rsidR="007E7472" w:rsidRDefault="00C8327E">
          <w:pPr>
            <w:snapToGrid w:val="0"/>
            <w:spacing w:line="240" w:lineRule="atLeast"/>
          </w:pPr>
        </w:p>
        <w:p w14:paraId="550A5265" w14:textId="77777777" w:rsidR="007E7472" w:rsidRDefault="00C8327E">
          <w:pPr>
            <w:snapToGrid w:val="0"/>
            <w:spacing w:line="240" w:lineRule="atLeast"/>
          </w:pPr>
        </w:p>
      </w:sdtContent>
    </w:sdt>
    <w:sdt>
      <w:sdtPr>
        <w:rPr>
          <w:rFonts w:ascii="宋体" w:hAnsi="宋体" w:cs="宋体"/>
          <w:b w:val="0"/>
          <w:bCs w:val="0"/>
          <w:kern w:val="0"/>
          <w:sz w:val="20"/>
          <w:szCs w:val="21"/>
        </w:rPr>
        <w:alias w:val="模块:因金融资产转移而终止确认的其他应收款"/>
        <w:tag w:val="_GBC_338c72ace78c4ba79d60f19b8dbabe9a"/>
        <w:id w:val="1338191892"/>
        <w:lock w:val="sdtLocked"/>
        <w:placeholder>
          <w:docPart w:val="GBC22222222222222222222222222222"/>
        </w:placeholder>
      </w:sdtPr>
      <w:sdtEndPr/>
      <w:sdtContent>
        <w:p w14:paraId="0807D8F7" w14:textId="77777777" w:rsidR="007E7472" w:rsidRDefault="00EC1269" w:rsidP="00162493">
          <w:pPr>
            <w:pStyle w:val="4"/>
            <w:numPr>
              <w:ilvl w:val="0"/>
              <w:numId w:val="120"/>
            </w:numPr>
          </w:pPr>
          <w:r>
            <w:rPr>
              <w:rFonts w:hint="eastAsia"/>
            </w:rPr>
            <w:t>因金融资产转移而终止确认的其他应收款</w:t>
          </w:r>
        </w:p>
        <w:sdt>
          <w:sdtPr>
            <w:alias w:val="是否适用：母公司因金融资产转移而终止确认的其他应收款[双击切换]"/>
            <w:tag w:val="_GBC_1512780d2c254c8787e470194d450391"/>
            <w:id w:val="1659883596"/>
            <w:lock w:val="sdtLocked"/>
            <w:placeholder>
              <w:docPart w:val="GBC22222222222222222222222222222"/>
            </w:placeholder>
          </w:sdtPr>
          <w:sdtEndPr/>
          <w:sdtContent>
            <w:p w14:paraId="301B4144"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20A396C3" w14:textId="77777777" w:rsidR="007E7472" w:rsidRDefault="00C8327E"/>
    <w:sdt>
      <w:sdtPr>
        <w:rPr>
          <w:rFonts w:ascii="宋体" w:hAnsi="宋体" w:cs="宋体" w:hint="eastAsia"/>
          <w:b w:val="0"/>
          <w:bCs w:val="0"/>
          <w:kern w:val="0"/>
          <w:sz w:val="20"/>
          <w:szCs w:val="21"/>
        </w:rPr>
        <w:alias w:val="模块:转移其他应收款且继续涉入的，分项列示继续涉入形成的资产、负债..."/>
        <w:tag w:val="_GBC_86d729c7494a406ba4f51afb2c881955"/>
        <w:id w:val="-839310068"/>
        <w:lock w:val="sdtLocked"/>
        <w:placeholder>
          <w:docPart w:val="GBC22222222222222222222222222222"/>
        </w:placeholder>
      </w:sdtPr>
      <w:sdtEndPr/>
      <w:sdtContent>
        <w:p w14:paraId="3EDB6E23" w14:textId="77777777" w:rsidR="007E7472" w:rsidRDefault="00EC1269" w:rsidP="00162493">
          <w:pPr>
            <w:pStyle w:val="4"/>
            <w:numPr>
              <w:ilvl w:val="0"/>
              <w:numId w:val="120"/>
            </w:numPr>
          </w:pPr>
          <w:r>
            <w:rPr>
              <w:rFonts w:hint="eastAsia"/>
            </w:rPr>
            <w:t>转移其他应收款且继续涉入形成的资产、负债金额</w:t>
          </w:r>
        </w:p>
        <w:sdt>
          <w:sdtPr>
            <w:alias w:val="是否适用：母公司转移其他应收款且继续涉入形成的资产、负债金额[双击切换]"/>
            <w:tag w:val="_GBC_bab484b2a177457b977e28c0385a5b58"/>
            <w:id w:val="-929031213"/>
            <w:lock w:val="sdtLocked"/>
            <w:placeholder>
              <w:docPart w:val="GBC22222222222222222222222222222"/>
            </w:placeholder>
          </w:sdtPr>
          <w:sdtEndPr/>
          <w:sdtContent>
            <w:p w14:paraId="031D1082"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0D0EEBE6" w14:textId="77777777" w:rsidR="007E7472" w:rsidRDefault="00C8327E"/>
    <w:sdt>
      <w:sdtPr>
        <w:rPr>
          <w:rFonts w:hint="eastAsia"/>
          <w:b/>
          <w:bCs/>
        </w:rPr>
        <w:alias w:val="模块:其他应收款其他说明"/>
        <w:tag w:val="_GBC_4b6cd384bee54ff79269fa4457c70d49"/>
        <w:id w:val="1642928777"/>
        <w:lock w:val="sdtLocked"/>
        <w:placeholder>
          <w:docPart w:val="GBC22222222222222222222222222222"/>
        </w:placeholder>
      </w:sdtPr>
      <w:sdtEndPr>
        <w:rPr>
          <w:b w:val="0"/>
          <w:bCs w:val="0"/>
          <w:sz w:val="20"/>
          <w:szCs w:val="20"/>
        </w:rPr>
      </w:sdtEndPr>
      <w:sdtContent>
        <w:p w14:paraId="107C9187" w14:textId="77777777" w:rsidR="007E7472" w:rsidRDefault="00EC1269">
          <w:r>
            <w:rPr>
              <w:rFonts w:hint="eastAsia"/>
            </w:rPr>
            <w:t>其他</w:t>
          </w:r>
          <w:r>
            <w:t>说明：</w:t>
          </w:r>
        </w:p>
        <w:sdt>
          <w:sdtPr>
            <w:alias w:val="是否适用：母公司其他应收款的其他说明[双击切换]"/>
            <w:tag w:val="_GBC_2e0f632cbc7d4916b89bf8824f4b71f0"/>
            <w:id w:val="2086255827"/>
            <w:lock w:val="sdtLocked"/>
            <w:placeholder>
              <w:docPart w:val="GBC22222222222222222222222222222"/>
            </w:placeholder>
          </w:sdtPr>
          <w:sdtEndPr/>
          <w:sdtContent>
            <w:p w14:paraId="15E7B0A4"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4704E8A" w14:textId="77777777" w:rsidR="007E7472" w:rsidRDefault="00C8327E"/>
      </w:sdtContent>
    </w:sdt>
    <w:p w14:paraId="13820D38" w14:textId="77777777" w:rsidR="007E7472" w:rsidRPr="00F72A4F" w:rsidRDefault="00EC1269" w:rsidP="00162493">
      <w:pPr>
        <w:numPr>
          <w:ilvl w:val="2"/>
          <w:numId w:val="118"/>
        </w:numPr>
        <w:outlineLvl w:val="2"/>
        <w:rPr>
          <w:b/>
        </w:rPr>
      </w:pPr>
      <w:r w:rsidRPr="00F72A4F">
        <w:rPr>
          <w:rFonts w:hint="eastAsia"/>
          <w:b/>
        </w:rPr>
        <w:t>长期股权投资</w:t>
      </w:r>
    </w:p>
    <w:sdt>
      <w:sdtPr>
        <w:alias w:val="是否适用：母公司长期股权投资[双击切换]"/>
        <w:tag w:val="_GBC_61071b9a58624e83bfc4232808751b95"/>
        <w:id w:val="1047728986"/>
        <w:lock w:val="sdtContentLocked"/>
        <w:placeholder>
          <w:docPart w:val="GBC22222222222222222222222222222"/>
        </w:placeholder>
      </w:sdtPr>
      <w:sdtEndPr/>
      <w:sdtContent>
        <w:p w14:paraId="7F41C99F"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Times New Roman" w:hAnsi="Times New Roman" w:cs="Times New Roman" w:hint="eastAsia"/>
          <w:b/>
          <w:bCs/>
          <w:sz w:val="20"/>
          <w:szCs w:val="20"/>
        </w:rPr>
        <w:alias w:val="模块:长期股权投资按成本法核算"/>
        <w:tag w:val="_GBC_e5163872166a4141a666e7eec5d9956c"/>
        <w:id w:val="1923225091"/>
        <w:placeholder>
          <w:docPart w:val="GBC22222222222222222222222222222"/>
        </w:placeholder>
      </w:sdtPr>
      <w:sdtEndPr>
        <w:rPr>
          <w:b w:val="0"/>
          <w:bCs w:val="0"/>
        </w:rPr>
      </w:sdtEndPr>
      <w:sdtContent>
        <w:p w14:paraId="19E0E661" w14:textId="40D76C66" w:rsidR="007E7472" w:rsidRDefault="00EC1269">
          <w:pPr>
            <w:jc w:val="right"/>
          </w:pPr>
          <w:r>
            <w:rPr>
              <w:rFonts w:hint="eastAsia"/>
            </w:rPr>
            <w:t>单位：</w:t>
          </w:r>
          <w:sdt>
            <w:sdtPr>
              <w:rPr>
                <w:rFonts w:hint="eastAsia"/>
              </w:rPr>
              <w:alias w:val="单位：母公司财务附注：长期股权投资"/>
              <w:tag w:val="_GBC_ee2c3454a2494dfca9c0a07bba82ed3d"/>
              <w:id w:val="-150536408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母公司财务附注：长期股权投资"/>
              <w:tag w:val="_GBC_4b4d1a2b986f475e8058a041d2f5a6f9"/>
              <w:id w:val="208989024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4A0" w:firstRow="1" w:lastRow="0" w:firstColumn="1" w:lastColumn="0" w:noHBand="0" w:noVBand="1"/>
          </w:tblPr>
          <w:tblGrid>
            <w:gridCol w:w="2237"/>
            <w:gridCol w:w="1112"/>
            <w:gridCol w:w="1059"/>
            <w:gridCol w:w="1112"/>
            <w:gridCol w:w="1112"/>
            <w:gridCol w:w="1073"/>
            <w:gridCol w:w="1112"/>
          </w:tblGrid>
          <w:tr w:rsidR="007E7472" w14:paraId="23A008E2" w14:textId="77777777" w:rsidTr="007E7472">
            <w:trPr>
              <w:cantSplit/>
              <w:trHeight w:val="340"/>
            </w:trPr>
            <w:sdt>
              <w:sdtPr>
                <w:tag w:val="_PLD_69c4a2f49545484e8b3a149f64c9d21f"/>
                <w:id w:val="-2130769844"/>
                <w:lock w:val="sdtLocked"/>
              </w:sdtPr>
              <w:sdtEndPr/>
              <w:sdtContent>
                <w:tc>
                  <w:tcPr>
                    <w:tcW w:w="1273" w:type="pct"/>
                    <w:vMerge w:val="restart"/>
                    <w:shd w:val="clear" w:color="auto" w:fill="auto"/>
                    <w:vAlign w:val="center"/>
                  </w:tcPr>
                  <w:p w14:paraId="63F2D667" w14:textId="77777777" w:rsidR="007E7472" w:rsidRDefault="00EC1269">
                    <w:pPr>
                      <w:jc w:val="center"/>
                    </w:pPr>
                    <w:r>
                      <w:rPr>
                        <w:rFonts w:hint="eastAsia"/>
                      </w:rPr>
                      <w:t>项目</w:t>
                    </w:r>
                  </w:p>
                </w:tc>
              </w:sdtContent>
            </w:sdt>
            <w:sdt>
              <w:sdtPr>
                <w:tag w:val="_PLD_f7d0566caa554c4c823029a05c5319eb"/>
                <w:id w:val="-2060397997"/>
                <w:lock w:val="sdtLocked"/>
              </w:sdtPr>
              <w:sdtEndPr/>
              <w:sdtContent>
                <w:tc>
                  <w:tcPr>
                    <w:tcW w:w="1849" w:type="pct"/>
                    <w:gridSpan w:val="3"/>
                    <w:shd w:val="clear" w:color="auto" w:fill="auto"/>
                    <w:vAlign w:val="center"/>
                  </w:tcPr>
                  <w:p w14:paraId="76180BF9" w14:textId="77777777" w:rsidR="007E7472" w:rsidRDefault="00EC1269">
                    <w:pPr>
                      <w:jc w:val="center"/>
                    </w:pPr>
                    <w:r>
                      <w:rPr>
                        <w:rFonts w:hint="eastAsia"/>
                      </w:rPr>
                      <w:t>期末余额</w:t>
                    </w:r>
                  </w:p>
                </w:tc>
              </w:sdtContent>
            </w:sdt>
            <w:sdt>
              <w:sdtPr>
                <w:tag w:val="_PLD_9d2cfae2492a49c2b441d1371a5e4673"/>
                <w:id w:val="816777026"/>
                <w:lock w:val="sdtLocked"/>
              </w:sdtPr>
              <w:sdtEndPr/>
              <w:sdtContent>
                <w:tc>
                  <w:tcPr>
                    <w:tcW w:w="1878" w:type="pct"/>
                    <w:gridSpan w:val="3"/>
                    <w:shd w:val="clear" w:color="auto" w:fill="auto"/>
                    <w:vAlign w:val="center"/>
                  </w:tcPr>
                  <w:p w14:paraId="13905881" w14:textId="77777777" w:rsidR="007E7472" w:rsidRDefault="00EC1269">
                    <w:pPr>
                      <w:jc w:val="center"/>
                    </w:pPr>
                    <w:r>
                      <w:rPr>
                        <w:rFonts w:hint="eastAsia"/>
                      </w:rPr>
                      <w:t>期初余额</w:t>
                    </w:r>
                  </w:p>
                </w:tc>
              </w:sdtContent>
            </w:sdt>
          </w:tr>
          <w:tr w:rsidR="007E7472" w14:paraId="63D366D4" w14:textId="77777777" w:rsidTr="007E7472">
            <w:trPr>
              <w:cantSplit/>
              <w:trHeight w:val="340"/>
            </w:trPr>
            <w:tc>
              <w:tcPr>
                <w:tcW w:w="1273" w:type="pct"/>
                <w:vMerge/>
                <w:tcBorders>
                  <w:bottom w:val="single" w:sz="6" w:space="0" w:color="auto"/>
                </w:tcBorders>
                <w:shd w:val="clear" w:color="auto" w:fill="auto"/>
                <w:vAlign w:val="center"/>
              </w:tcPr>
              <w:p w14:paraId="4D818C89" w14:textId="77777777" w:rsidR="007E7472" w:rsidRDefault="00C8327E">
                <w:pPr>
                  <w:jc w:val="center"/>
                </w:pPr>
              </w:p>
            </w:tc>
            <w:sdt>
              <w:sdtPr>
                <w:tag w:val="_PLD_9f664b17996c45f08a57544a9ec7e340"/>
                <w:id w:val="-1442918015"/>
                <w:lock w:val="sdtLocked"/>
              </w:sdtPr>
              <w:sdtEndPr/>
              <w:sdtContent>
                <w:tc>
                  <w:tcPr>
                    <w:tcW w:w="631" w:type="pct"/>
                    <w:tcBorders>
                      <w:bottom w:val="single" w:sz="6" w:space="0" w:color="auto"/>
                    </w:tcBorders>
                    <w:shd w:val="clear" w:color="auto" w:fill="auto"/>
                    <w:vAlign w:val="center"/>
                  </w:tcPr>
                  <w:p w14:paraId="7DF933B7" w14:textId="77777777" w:rsidR="007E7472" w:rsidRDefault="00EC1269">
                    <w:pPr>
                      <w:jc w:val="center"/>
                    </w:pPr>
                    <w:r>
                      <w:rPr>
                        <w:rFonts w:hint="eastAsia"/>
                      </w:rPr>
                      <w:t>账面余额</w:t>
                    </w:r>
                  </w:p>
                </w:tc>
              </w:sdtContent>
            </w:sdt>
            <w:sdt>
              <w:sdtPr>
                <w:tag w:val="_PLD_5c150a7367994fc29e7f8b50d7ff2eab"/>
                <w:id w:val="-1665697280"/>
                <w:lock w:val="sdtLocked"/>
              </w:sdtPr>
              <w:sdtEndPr/>
              <w:sdtContent>
                <w:tc>
                  <w:tcPr>
                    <w:tcW w:w="609" w:type="pct"/>
                    <w:tcBorders>
                      <w:bottom w:val="single" w:sz="6" w:space="0" w:color="auto"/>
                    </w:tcBorders>
                    <w:shd w:val="clear" w:color="auto" w:fill="auto"/>
                    <w:vAlign w:val="center"/>
                  </w:tcPr>
                  <w:p w14:paraId="5C41EC6A" w14:textId="77777777" w:rsidR="007E7472" w:rsidRDefault="00EC1269">
                    <w:pPr>
                      <w:jc w:val="center"/>
                    </w:pPr>
                    <w:r>
                      <w:rPr>
                        <w:rFonts w:hint="eastAsia"/>
                      </w:rPr>
                      <w:t>减值准备</w:t>
                    </w:r>
                  </w:p>
                </w:tc>
              </w:sdtContent>
            </w:sdt>
            <w:sdt>
              <w:sdtPr>
                <w:tag w:val="_PLD_3db48da0eacd49568929884577dae51b"/>
                <w:id w:val="-1137413840"/>
                <w:lock w:val="sdtLocked"/>
              </w:sdtPr>
              <w:sdtEndPr/>
              <w:sdtContent>
                <w:tc>
                  <w:tcPr>
                    <w:tcW w:w="610" w:type="pct"/>
                    <w:tcBorders>
                      <w:bottom w:val="single" w:sz="6" w:space="0" w:color="auto"/>
                    </w:tcBorders>
                    <w:shd w:val="clear" w:color="auto" w:fill="auto"/>
                    <w:vAlign w:val="center"/>
                  </w:tcPr>
                  <w:p w14:paraId="68177EF0" w14:textId="77777777" w:rsidR="007E7472" w:rsidRDefault="00EC1269">
                    <w:pPr>
                      <w:jc w:val="center"/>
                    </w:pPr>
                    <w:r>
                      <w:rPr>
                        <w:rFonts w:hint="eastAsia"/>
                      </w:rPr>
                      <w:t>账面价值</w:t>
                    </w:r>
                  </w:p>
                </w:tc>
              </w:sdtContent>
            </w:sdt>
            <w:sdt>
              <w:sdtPr>
                <w:tag w:val="_PLD_00d8a1d3b6754b52929b2c46a2e716c9"/>
                <w:id w:val="-1682269699"/>
                <w:lock w:val="sdtLocked"/>
              </w:sdtPr>
              <w:sdtEndPr/>
              <w:sdtContent>
                <w:tc>
                  <w:tcPr>
                    <w:tcW w:w="631" w:type="pct"/>
                    <w:tcBorders>
                      <w:bottom w:val="single" w:sz="6" w:space="0" w:color="auto"/>
                    </w:tcBorders>
                    <w:shd w:val="clear" w:color="auto" w:fill="auto"/>
                    <w:vAlign w:val="center"/>
                  </w:tcPr>
                  <w:p w14:paraId="686DB49F" w14:textId="77777777" w:rsidR="007E7472" w:rsidRDefault="00EC1269">
                    <w:pPr>
                      <w:jc w:val="center"/>
                    </w:pPr>
                    <w:r>
                      <w:rPr>
                        <w:rFonts w:hint="eastAsia"/>
                      </w:rPr>
                      <w:t>账面余额</w:t>
                    </w:r>
                  </w:p>
                </w:tc>
              </w:sdtContent>
            </w:sdt>
            <w:sdt>
              <w:sdtPr>
                <w:tag w:val="_PLD_0f2c77fc41ea456bab34653dee178805"/>
                <w:id w:val="-684128999"/>
                <w:lock w:val="sdtLocked"/>
              </w:sdtPr>
              <w:sdtEndPr/>
              <w:sdtContent>
                <w:tc>
                  <w:tcPr>
                    <w:tcW w:w="616" w:type="pct"/>
                    <w:tcBorders>
                      <w:bottom w:val="single" w:sz="6" w:space="0" w:color="auto"/>
                    </w:tcBorders>
                    <w:shd w:val="clear" w:color="auto" w:fill="auto"/>
                    <w:vAlign w:val="center"/>
                  </w:tcPr>
                  <w:p w14:paraId="53B72621" w14:textId="77777777" w:rsidR="007E7472" w:rsidRDefault="00EC1269">
                    <w:pPr>
                      <w:jc w:val="center"/>
                    </w:pPr>
                    <w:r>
                      <w:rPr>
                        <w:rFonts w:hint="eastAsia"/>
                      </w:rPr>
                      <w:t>减值准备</w:t>
                    </w:r>
                  </w:p>
                </w:tc>
              </w:sdtContent>
            </w:sdt>
            <w:sdt>
              <w:sdtPr>
                <w:tag w:val="_PLD_9ae07ed9769c419fa280d4c5ad3f03d7"/>
                <w:id w:val="-422269190"/>
                <w:lock w:val="sdtLocked"/>
              </w:sdtPr>
              <w:sdtEndPr/>
              <w:sdtContent>
                <w:tc>
                  <w:tcPr>
                    <w:tcW w:w="631" w:type="pct"/>
                    <w:tcBorders>
                      <w:bottom w:val="single" w:sz="6" w:space="0" w:color="auto"/>
                    </w:tcBorders>
                    <w:shd w:val="clear" w:color="auto" w:fill="auto"/>
                    <w:vAlign w:val="center"/>
                  </w:tcPr>
                  <w:p w14:paraId="343EAF2F" w14:textId="77777777" w:rsidR="007E7472" w:rsidRDefault="00EC1269">
                    <w:pPr>
                      <w:jc w:val="center"/>
                    </w:pPr>
                    <w:r>
                      <w:rPr>
                        <w:rFonts w:hint="eastAsia"/>
                      </w:rPr>
                      <w:t>账面价值</w:t>
                    </w:r>
                  </w:p>
                </w:tc>
              </w:sdtContent>
            </w:sdt>
          </w:tr>
          <w:tr w:rsidR="007E7472" w14:paraId="76D3F4AE" w14:textId="77777777" w:rsidTr="007E7472">
            <w:trPr>
              <w:cantSplit/>
              <w:trHeight w:val="340"/>
            </w:trPr>
            <w:sdt>
              <w:sdtPr>
                <w:tag w:val="_PLD_b2ce03f2519c40d0a152124161e4337f"/>
                <w:id w:val="399951480"/>
                <w:lock w:val="sdtLocked"/>
              </w:sdtPr>
              <w:sdtEndPr/>
              <w:sdtContent>
                <w:tc>
                  <w:tcPr>
                    <w:tcW w:w="1273" w:type="pct"/>
                    <w:shd w:val="clear" w:color="auto" w:fill="auto"/>
                    <w:vAlign w:val="center"/>
                  </w:tcPr>
                  <w:p w14:paraId="401CBB2B" w14:textId="77777777" w:rsidR="007E7472" w:rsidRDefault="00EC1269">
                    <w:r>
                      <w:rPr>
                        <w:rFonts w:hint="eastAsia"/>
                      </w:rPr>
                      <w:t>对子公司投资</w:t>
                    </w:r>
                  </w:p>
                </w:tc>
              </w:sdtContent>
            </w:sdt>
            <w:tc>
              <w:tcPr>
                <w:tcW w:w="631" w:type="pct"/>
                <w:shd w:val="clear" w:color="auto" w:fill="auto"/>
                <w:vAlign w:val="center"/>
              </w:tcPr>
              <w:p w14:paraId="29452688" w14:textId="77777777" w:rsidR="007E7472" w:rsidRDefault="00EC1269">
                <w:pPr>
                  <w:jc w:val="right"/>
                  <w:rPr>
                    <w:bCs/>
                  </w:rPr>
                </w:pPr>
                <w:r>
                  <w:t>89,284,452</w:t>
                </w:r>
              </w:p>
            </w:tc>
            <w:tc>
              <w:tcPr>
                <w:tcW w:w="609" w:type="pct"/>
                <w:shd w:val="clear" w:color="auto" w:fill="auto"/>
                <w:vAlign w:val="center"/>
              </w:tcPr>
              <w:p w14:paraId="5CE3F4F0" w14:textId="77777777" w:rsidR="007E7472" w:rsidRDefault="00C8327E">
                <w:pPr>
                  <w:jc w:val="right"/>
                </w:pPr>
              </w:p>
            </w:tc>
            <w:tc>
              <w:tcPr>
                <w:tcW w:w="610" w:type="pct"/>
                <w:shd w:val="clear" w:color="auto" w:fill="auto"/>
                <w:vAlign w:val="center"/>
              </w:tcPr>
              <w:p w14:paraId="30388A9B" w14:textId="77777777" w:rsidR="007E7472" w:rsidRDefault="00EC1269">
                <w:pPr>
                  <w:jc w:val="right"/>
                  <w:rPr>
                    <w:bCs/>
                  </w:rPr>
                </w:pPr>
                <w:r>
                  <w:t>89,284,452</w:t>
                </w:r>
              </w:p>
            </w:tc>
            <w:tc>
              <w:tcPr>
                <w:tcW w:w="631" w:type="pct"/>
                <w:shd w:val="clear" w:color="auto" w:fill="auto"/>
                <w:vAlign w:val="center"/>
              </w:tcPr>
              <w:p w14:paraId="042A39F9" w14:textId="77777777" w:rsidR="007E7472" w:rsidRDefault="00EC1269">
                <w:pPr>
                  <w:jc w:val="right"/>
                  <w:rPr>
                    <w:bCs/>
                  </w:rPr>
                </w:pPr>
                <w:r>
                  <w:t>88,501,752</w:t>
                </w:r>
              </w:p>
            </w:tc>
            <w:tc>
              <w:tcPr>
                <w:tcW w:w="616" w:type="pct"/>
                <w:shd w:val="clear" w:color="auto" w:fill="auto"/>
                <w:vAlign w:val="center"/>
              </w:tcPr>
              <w:p w14:paraId="62FEBAE1" w14:textId="77777777" w:rsidR="007E7472" w:rsidRDefault="00C8327E">
                <w:pPr>
                  <w:jc w:val="right"/>
                </w:pPr>
              </w:p>
            </w:tc>
            <w:tc>
              <w:tcPr>
                <w:tcW w:w="631" w:type="pct"/>
                <w:shd w:val="clear" w:color="auto" w:fill="auto"/>
                <w:vAlign w:val="center"/>
              </w:tcPr>
              <w:p w14:paraId="61543722" w14:textId="77777777" w:rsidR="007E7472" w:rsidRDefault="00EC1269">
                <w:pPr>
                  <w:jc w:val="right"/>
                </w:pPr>
                <w:r>
                  <w:t>88,501,752</w:t>
                </w:r>
              </w:p>
            </w:tc>
          </w:tr>
          <w:tr w:rsidR="007E7472" w14:paraId="58F36C34" w14:textId="77777777" w:rsidTr="007E7472">
            <w:trPr>
              <w:cantSplit/>
              <w:trHeight w:val="340"/>
            </w:trPr>
            <w:sdt>
              <w:sdtPr>
                <w:tag w:val="_PLD_da68a71aef6a46449e56205bf88b68ae"/>
                <w:id w:val="1040401329"/>
                <w:lock w:val="sdtLocked"/>
              </w:sdtPr>
              <w:sdtEndPr/>
              <w:sdtContent>
                <w:tc>
                  <w:tcPr>
                    <w:tcW w:w="1273" w:type="pct"/>
                    <w:shd w:val="clear" w:color="auto" w:fill="auto"/>
                    <w:vAlign w:val="center"/>
                  </w:tcPr>
                  <w:p w14:paraId="3C5EB58A" w14:textId="77777777" w:rsidR="007E7472" w:rsidRDefault="00EC1269">
                    <w:r>
                      <w:rPr>
                        <w:rFonts w:hint="eastAsia"/>
                      </w:rPr>
                      <w:t>对联营、合营企业投资</w:t>
                    </w:r>
                  </w:p>
                </w:tc>
              </w:sdtContent>
            </w:sdt>
            <w:tc>
              <w:tcPr>
                <w:tcW w:w="631" w:type="pct"/>
                <w:shd w:val="clear" w:color="auto" w:fill="auto"/>
                <w:vAlign w:val="center"/>
              </w:tcPr>
              <w:p w14:paraId="18675291" w14:textId="77777777" w:rsidR="007E7472" w:rsidRDefault="00EC1269">
                <w:pPr>
                  <w:jc w:val="right"/>
                </w:pPr>
                <w:r>
                  <w:t>6,814,003</w:t>
                </w:r>
              </w:p>
            </w:tc>
            <w:tc>
              <w:tcPr>
                <w:tcW w:w="609" w:type="pct"/>
                <w:shd w:val="clear" w:color="auto" w:fill="auto"/>
                <w:vAlign w:val="center"/>
              </w:tcPr>
              <w:p w14:paraId="4ED73993" w14:textId="77777777" w:rsidR="007E7472" w:rsidRDefault="00C8327E">
                <w:pPr>
                  <w:jc w:val="right"/>
                </w:pPr>
              </w:p>
            </w:tc>
            <w:tc>
              <w:tcPr>
                <w:tcW w:w="610" w:type="pct"/>
                <w:shd w:val="clear" w:color="auto" w:fill="auto"/>
                <w:vAlign w:val="center"/>
              </w:tcPr>
              <w:p w14:paraId="31C89F62" w14:textId="77777777" w:rsidR="007E7472" w:rsidRDefault="00EC1269">
                <w:pPr>
                  <w:jc w:val="right"/>
                </w:pPr>
                <w:r>
                  <w:t>6,814,003</w:t>
                </w:r>
              </w:p>
            </w:tc>
            <w:tc>
              <w:tcPr>
                <w:tcW w:w="631" w:type="pct"/>
                <w:shd w:val="clear" w:color="auto" w:fill="auto"/>
                <w:vAlign w:val="center"/>
              </w:tcPr>
              <w:p w14:paraId="78974A6A" w14:textId="77777777" w:rsidR="007E7472" w:rsidRDefault="00EC1269">
                <w:pPr>
                  <w:jc w:val="right"/>
                </w:pPr>
                <w:r>
                  <w:t>6,503,049</w:t>
                </w:r>
              </w:p>
            </w:tc>
            <w:tc>
              <w:tcPr>
                <w:tcW w:w="616" w:type="pct"/>
                <w:shd w:val="clear" w:color="auto" w:fill="auto"/>
                <w:vAlign w:val="center"/>
              </w:tcPr>
              <w:p w14:paraId="5F0EC036" w14:textId="77777777" w:rsidR="007E7472" w:rsidRDefault="00C8327E">
                <w:pPr>
                  <w:jc w:val="right"/>
                </w:pPr>
              </w:p>
            </w:tc>
            <w:tc>
              <w:tcPr>
                <w:tcW w:w="631" w:type="pct"/>
                <w:shd w:val="clear" w:color="auto" w:fill="auto"/>
                <w:vAlign w:val="center"/>
              </w:tcPr>
              <w:p w14:paraId="53F0D39F" w14:textId="77777777" w:rsidR="007E7472" w:rsidRDefault="00EC1269">
                <w:pPr>
                  <w:jc w:val="right"/>
                </w:pPr>
                <w:r>
                  <w:t>6,503,049</w:t>
                </w:r>
              </w:p>
            </w:tc>
          </w:tr>
          <w:tr w:rsidR="007E7472" w14:paraId="384DAB98" w14:textId="77777777" w:rsidTr="007E7472">
            <w:trPr>
              <w:cantSplit/>
              <w:trHeight w:val="340"/>
            </w:trPr>
            <w:sdt>
              <w:sdtPr>
                <w:tag w:val="_PLD_5c8b8837c4fd4f29a39327cb72d5dcbf"/>
                <w:id w:val="874967413"/>
                <w:lock w:val="sdtLocked"/>
              </w:sdtPr>
              <w:sdtEndPr/>
              <w:sdtContent>
                <w:tc>
                  <w:tcPr>
                    <w:tcW w:w="1273" w:type="pct"/>
                    <w:shd w:val="clear" w:color="auto" w:fill="auto"/>
                    <w:vAlign w:val="center"/>
                  </w:tcPr>
                  <w:p w14:paraId="0D8AE0E2" w14:textId="77777777" w:rsidR="007E7472" w:rsidRDefault="00EC1269">
                    <w:pPr>
                      <w:jc w:val="center"/>
                    </w:pPr>
                    <w:r>
                      <w:rPr>
                        <w:rFonts w:hint="eastAsia"/>
                      </w:rPr>
                      <w:t>合计</w:t>
                    </w:r>
                  </w:p>
                </w:tc>
              </w:sdtContent>
            </w:sdt>
            <w:tc>
              <w:tcPr>
                <w:tcW w:w="631" w:type="pct"/>
                <w:shd w:val="clear" w:color="auto" w:fill="auto"/>
                <w:vAlign w:val="center"/>
              </w:tcPr>
              <w:p w14:paraId="23E1F759" w14:textId="77777777" w:rsidR="007E7472" w:rsidRDefault="00EC1269">
                <w:pPr>
                  <w:jc w:val="right"/>
                </w:pPr>
                <w:r>
                  <w:t>96,098,455</w:t>
                </w:r>
              </w:p>
            </w:tc>
            <w:tc>
              <w:tcPr>
                <w:tcW w:w="609" w:type="pct"/>
                <w:shd w:val="clear" w:color="auto" w:fill="auto"/>
                <w:vAlign w:val="center"/>
              </w:tcPr>
              <w:p w14:paraId="2EDAE27B" w14:textId="77777777" w:rsidR="007E7472" w:rsidRDefault="00C8327E">
                <w:pPr>
                  <w:jc w:val="right"/>
                </w:pPr>
              </w:p>
            </w:tc>
            <w:tc>
              <w:tcPr>
                <w:tcW w:w="610" w:type="pct"/>
                <w:shd w:val="clear" w:color="auto" w:fill="auto"/>
                <w:vAlign w:val="center"/>
              </w:tcPr>
              <w:p w14:paraId="1E2F57A9" w14:textId="77777777" w:rsidR="007E7472" w:rsidRDefault="00EC1269">
                <w:pPr>
                  <w:jc w:val="right"/>
                </w:pPr>
                <w:r>
                  <w:t>96,098,455</w:t>
                </w:r>
              </w:p>
            </w:tc>
            <w:tc>
              <w:tcPr>
                <w:tcW w:w="631" w:type="pct"/>
                <w:shd w:val="clear" w:color="auto" w:fill="auto"/>
                <w:vAlign w:val="center"/>
              </w:tcPr>
              <w:p w14:paraId="1942B31B" w14:textId="77777777" w:rsidR="007E7472" w:rsidRDefault="00EC1269">
                <w:pPr>
                  <w:jc w:val="right"/>
                </w:pPr>
                <w:r>
                  <w:t>95,004,801</w:t>
                </w:r>
              </w:p>
            </w:tc>
            <w:tc>
              <w:tcPr>
                <w:tcW w:w="616" w:type="pct"/>
                <w:shd w:val="clear" w:color="auto" w:fill="auto"/>
                <w:vAlign w:val="center"/>
              </w:tcPr>
              <w:p w14:paraId="2EDDDBF1" w14:textId="77777777" w:rsidR="007E7472" w:rsidRDefault="00C8327E">
                <w:pPr>
                  <w:jc w:val="right"/>
                </w:pPr>
              </w:p>
            </w:tc>
            <w:tc>
              <w:tcPr>
                <w:tcW w:w="631" w:type="pct"/>
                <w:shd w:val="clear" w:color="auto" w:fill="auto"/>
                <w:vAlign w:val="center"/>
              </w:tcPr>
              <w:p w14:paraId="104B6AD2" w14:textId="77777777" w:rsidR="007E7472" w:rsidRDefault="00EC1269">
                <w:pPr>
                  <w:jc w:val="right"/>
                </w:pPr>
                <w:r>
                  <w:t>95,004,801</w:t>
                </w:r>
              </w:p>
            </w:tc>
          </w:tr>
        </w:tbl>
        <w:p w14:paraId="16BCADA1" w14:textId="77777777" w:rsidR="007E7472" w:rsidRDefault="00C8327E"/>
      </w:sdtContent>
    </w:sdt>
    <w:sdt>
      <w:sdtPr>
        <w:rPr>
          <w:rFonts w:ascii="宋体" w:hAnsi="宋体" w:cs="宋体" w:hint="eastAsia"/>
          <w:b w:val="0"/>
          <w:bCs w:val="0"/>
          <w:kern w:val="0"/>
          <w:sz w:val="20"/>
          <w:szCs w:val="24"/>
        </w:rPr>
        <w:alias w:val="模块:对子公司投资"/>
        <w:tag w:val="_GBC_354d808d545e41aab5b25112222d90f9"/>
        <w:id w:val="-519084811"/>
        <w:lock w:val="sdtLocked"/>
        <w:placeholder>
          <w:docPart w:val="GBC22222222222222222222222222222"/>
        </w:placeholder>
      </w:sdtPr>
      <w:sdtEndPr>
        <w:rPr>
          <w:szCs w:val="21"/>
        </w:rPr>
      </w:sdtEndPr>
      <w:sdtContent>
        <w:p w14:paraId="5F5DB0EF" w14:textId="77777777" w:rsidR="007E7472" w:rsidRDefault="00EC1269" w:rsidP="00162493">
          <w:pPr>
            <w:pStyle w:val="4"/>
            <w:numPr>
              <w:ilvl w:val="0"/>
              <w:numId w:val="121"/>
            </w:numPr>
          </w:pPr>
          <w:r>
            <w:rPr>
              <w:rFonts w:hint="eastAsia"/>
            </w:rPr>
            <w:t>对子公司投资</w:t>
          </w:r>
        </w:p>
        <w:sdt>
          <w:sdtPr>
            <w:alias w:val="是否适用：母公司对子公司投资[双击切换]"/>
            <w:tag w:val="_GBC_c52cee49247d42a9a79deabbd4c8635c"/>
            <w:id w:val="-1045987594"/>
            <w:lock w:val="sdtLocked"/>
            <w:placeholder>
              <w:docPart w:val="GBC22222222222222222222222222222"/>
            </w:placeholder>
          </w:sdtPr>
          <w:sdtEndPr/>
          <w:sdtContent>
            <w:p w14:paraId="2859AA8D"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2F0A204" w14:textId="623D79F8" w:rsidR="007E7472" w:rsidRDefault="00EC1269">
          <w:pPr>
            <w:jc w:val="right"/>
          </w:pPr>
          <w:r>
            <w:rPr>
              <w:rFonts w:hint="eastAsia"/>
            </w:rPr>
            <w:t>单位：</w:t>
          </w:r>
          <w:sdt>
            <w:sdtPr>
              <w:rPr>
                <w:rFonts w:hint="eastAsia"/>
              </w:rPr>
              <w:alias w:val="单位：母公司财务附注：对子公司投资"/>
              <w:tag w:val="_GBC_84c410d0b81f42e3adfddc3699487310"/>
              <w:id w:val="-607887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母公司财务附注：对子公司投资"/>
              <w:tag w:val="_GBC_97fad72310ba4b849377b0e1cebf7303"/>
              <w:id w:val="-18006054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267"/>
            <w:gridCol w:w="1112"/>
            <w:gridCol w:w="1106"/>
            <w:gridCol w:w="1266"/>
            <w:gridCol w:w="1108"/>
            <w:gridCol w:w="1265"/>
          </w:tblGrid>
          <w:tr w:rsidR="007E7472" w14:paraId="46871E78" w14:textId="77777777">
            <w:sdt>
              <w:sdtPr>
                <w:tag w:val="_PLD_c6f1ebfed2274883870089cc90c0b5b3"/>
                <w:id w:val="-2125534051"/>
                <w:lock w:val="sdtLocked"/>
              </w:sdtPr>
              <w:sdtEndPr/>
              <w:sdtContent>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14:paraId="34842F2C" w14:textId="77777777" w:rsidR="007E7472" w:rsidRDefault="00EC1269">
                    <w:pPr>
                      <w:jc w:val="center"/>
                    </w:pPr>
                    <w:r>
                      <w:rPr>
                        <w:rFonts w:hint="eastAsia"/>
                      </w:rPr>
                      <w:t>被投资单位</w:t>
                    </w:r>
                  </w:p>
                </w:tc>
              </w:sdtContent>
            </w:sdt>
            <w:sdt>
              <w:sdtPr>
                <w:tag w:val="_PLD_c8b6275a3567432ba7b63d4485a9cce5"/>
                <w:id w:val="-1398900204"/>
                <w:lock w:val="sdtLocked"/>
              </w:sdtPr>
              <w:sdtEndPr/>
              <w:sdtContent>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14:paraId="4E127BE8" w14:textId="77777777" w:rsidR="007E7472" w:rsidRDefault="00EC1269">
                    <w:pPr>
                      <w:jc w:val="center"/>
                    </w:pPr>
                    <w:r>
                      <w:rPr>
                        <w:rFonts w:hint="eastAsia"/>
                      </w:rPr>
                      <w:t>期初余额</w:t>
                    </w:r>
                  </w:p>
                </w:tc>
              </w:sdtContent>
            </w:sdt>
            <w:sdt>
              <w:sdtPr>
                <w:tag w:val="_PLD_a192e1f764d54f39ad94a065019bc4f2"/>
                <w:id w:val="-1452628787"/>
                <w:lock w:val="sdtLocked"/>
              </w:sdtPr>
              <w:sdtEndPr/>
              <w:sdtContent>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362853B7" w14:textId="77777777" w:rsidR="007E7472" w:rsidRDefault="00EC1269">
                    <w:pPr>
                      <w:jc w:val="center"/>
                    </w:pPr>
                    <w:r>
                      <w:rPr>
                        <w:rFonts w:hint="eastAsia"/>
                      </w:rPr>
                      <w:t>本期增加</w:t>
                    </w:r>
                  </w:p>
                </w:tc>
              </w:sdtContent>
            </w:sdt>
            <w:sdt>
              <w:sdtPr>
                <w:tag w:val="_PLD_3a74d3e1bc0e43debb3fdd0f1f6de769"/>
                <w:id w:val="-1501116748"/>
                <w:lock w:val="sdtLocked"/>
              </w:sdtPr>
              <w:sdtEndPr/>
              <w:sdtContent>
                <w:tc>
                  <w:tcPr>
                    <w:tcW w:w="627" w:type="pct"/>
                    <w:tcBorders>
                      <w:top w:val="single" w:sz="4" w:space="0" w:color="auto"/>
                      <w:left w:val="single" w:sz="4" w:space="0" w:color="auto"/>
                      <w:bottom w:val="single" w:sz="4" w:space="0" w:color="auto"/>
                      <w:right w:val="single" w:sz="4" w:space="0" w:color="auto"/>
                    </w:tcBorders>
                    <w:shd w:val="clear" w:color="auto" w:fill="auto"/>
                    <w:vAlign w:val="center"/>
                  </w:tcPr>
                  <w:p w14:paraId="4420648E" w14:textId="77777777" w:rsidR="007E7472" w:rsidRDefault="00EC1269">
                    <w:pPr>
                      <w:jc w:val="center"/>
                    </w:pPr>
                    <w:r>
                      <w:rPr>
                        <w:rFonts w:hint="eastAsia"/>
                      </w:rPr>
                      <w:t>本期减少</w:t>
                    </w:r>
                  </w:p>
                </w:tc>
              </w:sdtContent>
            </w:sdt>
            <w:sdt>
              <w:sdtPr>
                <w:tag w:val="_PLD_62acff2435cd434284a753ea8ebfa201"/>
                <w:id w:val="1508243307"/>
                <w:lock w:val="sdtLocked"/>
              </w:sdtPr>
              <w:sdtEndPr/>
              <w:sdtContent>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14:paraId="29BE6398" w14:textId="77777777" w:rsidR="007E7472" w:rsidRDefault="00EC1269">
                    <w:pPr>
                      <w:jc w:val="center"/>
                    </w:pPr>
                    <w:r>
                      <w:rPr>
                        <w:rFonts w:hint="eastAsia"/>
                      </w:rPr>
                      <w:t>期末余额</w:t>
                    </w:r>
                  </w:p>
                </w:tc>
              </w:sdtContent>
            </w:sdt>
            <w:sdt>
              <w:sdtPr>
                <w:tag w:val="_PLD_67b1a9b1d215409ebb6ceb131ad5e8bf"/>
                <w:id w:val="664588190"/>
                <w:lock w:val="sdtLocked"/>
              </w:sdtPr>
              <w:sdtEndPr/>
              <w:sdtContent>
                <w:tc>
                  <w:tcPr>
                    <w:tcW w:w="628" w:type="pct"/>
                    <w:tcBorders>
                      <w:top w:val="single" w:sz="4" w:space="0" w:color="auto"/>
                      <w:left w:val="single" w:sz="4" w:space="0" w:color="auto"/>
                      <w:bottom w:val="single" w:sz="4" w:space="0" w:color="auto"/>
                      <w:right w:val="single" w:sz="4" w:space="0" w:color="auto"/>
                    </w:tcBorders>
                    <w:shd w:val="clear" w:color="auto" w:fill="auto"/>
                    <w:vAlign w:val="center"/>
                  </w:tcPr>
                  <w:p w14:paraId="07FF870E" w14:textId="77777777" w:rsidR="007E7472" w:rsidRDefault="00EC1269">
                    <w:pPr>
                      <w:jc w:val="center"/>
                    </w:pPr>
                    <w:r>
                      <w:rPr>
                        <w:rFonts w:hint="eastAsia"/>
                      </w:rPr>
                      <w:t>本期计提减值准备</w:t>
                    </w:r>
                  </w:p>
                </w:tc>
              </w:sdtContent>
            </w:sdt>
            <w:sdt>
              <w:sdtPr>
                <w:tag w:val="_PLD_bfab2049a5684d7d922489b57382b080"/>
                <w:id w:val="1374728762"/>
                <w:lock w:val="sdtLocked"/>
              </w:sdtPr>
              <w:sdtEndPr/>
              <w:sdtContent>
                <w:tc>
                  <w:tcPr>
                    <w:tcW w:w="717" w:type="pct"/>
                    <w:tcBorders>
                      <w:top w:val="single" w:sz="4" w:space="0" w:color="auto"/>
                      <w:left w:val="single" w:sz="4" w:space="0" w:color="auto"/>
                      <w:bottom w:val="single" w:sz="4" w:space="0" w:color="auto"/>
                      <w:right w:val="single" w:sz="4" w:space="0" w:color="auto"/>
                    </w:tcBorders>
                    <w:shd w:val="clear" w:color="auto" w:fill="auto"/>
                    <w:vAlign w:val="center"/>
                  </w:tcPr>
                  <w:p w14:paraId="70ECC67A" w14:textId="77777777" w:rsidR="007E7472" w:rsidRDefault="00EC1269">
                    <w:pPr>
                      <w:jc w:val="center"/>
                    </w:pPr>
                    <w:r>
                      <w:rPr>
                        <w:rFonts w:hint="eastAsia"/>
                      </w:rPr>
                      <w:t>减值准备期末余额</w:t>
                    </w:r>
                  </w:p>
                </w:tc>
              </w:sdtContent>
            </w:sdt>
          </w:tr>
          <w:tr w:rsidR="007E7472" w14:paraId="0594BD56" w14:textId="77777777">
            <w:tc>
              <w:tcPr>
                <w:tcW w:w="962" w:type="pct"/>
                <w:tcBorders>
                  <w:top w:val="single" w:sz="4" w:space="0" w:color="auto"/>
                  <w:left w:val="single" w:sz="4" w:space="0" w:color="auto"/>
                  <w:bottom w:val="single" w:sz="4" w:space="0" w:color="auto"/>
                  <w:right w:val="single" w:sz="4" w:space="0" w:color="auto"/>
                </w:tcBorders>
                <w:vAlign w:val="center"/>
              </w:tcPr>
              <w:p w14:paraId="48A8CE04" w14:textId="77777777" w:rsidR="007E7472" w:rsidRDefault="00EC1269">
                <w:r>
                  <w:t>兖矿能源（鄂尔多斯）有限公司</w:t>
                </w:r>
              </w:p>
            </w:tc>
            <w:tc>
              <w:tcPr>
                <w:tcW w:w="717" w:type="pct"/>
                <w:tcBorders>
                  <w:top w:val="single" w:sz="4" w:space="0" w:color="auto"/>
                  <w:left w:val="single" w:sz="4" w:space="0" w:color="auto"/>
                  <w:bottom w:val="single" w:sz="4" w:space="0" w:color="auto"/>
                  <w:right w:val="single" w:sz="4" w:space="0" w:color="auto"/>
                </w:tcBorders>
                <w:vAlign w:val="center"/>
              </w:tcPr>
              <w:p w14:paraId="0EF442ED" w14:textId="77777777" w:rsidR="007E7472" w:rsidRDefault="00EC1269">
                <w:pPr>
                  <w:jc w:val="right"/>
                </w:pPr>
                <w:r>
                  <w:t>8,562,335</w:t>
                </w:r>
              </w:p>
            </w:tc>
            <w:tc>
              <w:tcPr>
                <w:tcW w:w="630" w:type="pct"/>
                <w:tcBorders>
                  <w:top w:val="single" w:sz="4" w:space="0" w:color="auto"/>
                  <w:left w:val="single" w:sz="4" w:space="0" w:color="auto"/>
                  <w:bottom w:val="single" w:sz="4" w:space="0" w:color="auto"/>
                  <w:right w:val="single" w:sz="4" w:space="0" w:color="auto"/>
                </w:tcBorders>
                <w:vAlign w:val="center"/>
              </w:tcPr>
              <w:p w14:paraId="4BB83EE9" w14:textId="77777777" w:rsidR="007E7472" w:rsidRDefault="00C8327E">
                <w:pPr>
                  <w:jc w:val="right"/>
                </w:pPr>
              </w:p>
            </w:tc>
            <w:tc>
              <w:tcPr>
                <w:tcW w:w="627" w:type="pct"/>
                <w:tcBorders>
                  <w:top w:val="single" w:sz="4" w:space="0" w:color="auto"/>
                  <w:left w:val="single" w:sz="4" w:space="0" w:color="auto"/>
                  <w:bottom w:val="single" w:sz="4" w:space="0" w:color="auto"/>
                  <w:right w:val="single" w:sz="4" w:space="0" w:color="auto"/>
                </w:tcBorders>
                <w:vAlign w:val="center"/>
              </w:tcPr>
              <w:p w14:paraId="76524F0D" w14:textId="77777777" w:rsidR="007E7472" w:rsidRDefault="00EC1269">
                <w:pPr>
                  <w:jc w:val="right"/>
                </w:pPr>
                <w:r>
                  <w:t>122,190</w:t>
                </w:r>
              </w:p>
            </w:tc>
            <w:tc>
              <w:tcPr>
                <w:tcW w:w="717" w:type="pct"/>
                <w:tcBorders>
                  <w:top w:val="single" w:sz="4" w:space="0" w:color="auto"/>
                  <w:left w:val="single" w:sz="4" w:space="0" w:color="auto"/>
                  <w:bottom w:val="single" w:sz="4" w:space="0" w:color="auto"/>
                  <w:right w:val="single" w:sz="4" w:space="0" w:color="auto"/>
                </w:tcBorders>
                <w:vAlign w:val="center"/>
              </w:tcPr>
              <w:p w14:paraId="4EAFA0D4" w14:textId="77777777" w:rsidR="007E7472" w:rsidRDefault="00EC1269">
                <w:pPr>
                  <w:jc w:val="right"/>
                  <w:rPr>
                    <w:bCs/>
                  </w:rPr>
                </w:pPr>
                <w:r>
                  <w:t>8,440,145</w:t>
                </w:r>
              </w:p>
            </w:tc>
            <w:tc>
              <w:tcPr>
                <w:tcW w:w="628" w:type="pct"/>
                <w:tcBorders>
                  <w:top w:val="single" w:sz="4" w:space="0" w:color="auto"/>
                  <w:left w:val="single" w:sz="4" w:space="0" w:color="auto"/>
                  <w:bottom w:val="single" w:sz="4" w:space="0" w:color="auto"/>
                  <w:right w:val="single" w:sz="4" w:space="0" w:color="auto"/>
                </w:tcBorders>
              </w:tcPr>
              <w:p w14:paraId="42B9CFA4" w14:textId="77777777" w:rsidR="007E7472" w:rsidRDefault="00C8327E">
                <w:pPr>
                  <w:jc w:val="right"/>
                </w:pPr>
              </w:p>
            </w:tc>
            <w:tc>
              <w:tcPr>
                <w:tcW w:w="717" w:type="pct"/>
                <w:tcBorders>
                  <w:top w:val="single" w:sz="4" w:space="0" w:color="auto"/>
                  <w:left w:val="single" w:sz="4" w:space="0" w:color="auto"/>
                  <w:bottom w:val="single" w:sz="4" w:space="0" w:color="auto"/>
                  <w:right w:val="single" w:sz="4" w:space="0" w:color="auto"/>
                </w:tcBorders>
              </w:tcPr>
              <w:p w14:paraId="6D5F8C42" w14:textId="77777777" w:rsidR="007E7472" w:rsidRDefault="00C8327E">
                <w:pPr>
                  <w:jc w:val="right"/>
                </w:pPr>
              </w:p>
            </w:tc>
          </w:tr>
          <w:tr w:rsidR="007E7472" w14:paraId="652FAD1C" w14:textId="77777777">
            <w:tc>
              <w:tcPr>
                <w:tcW w:w="962" w:type="pct"/>
                <w:tcBorders>
                  <w:top w:val="single" w:sz="4" w:space="0" w:color="auto"/>
                  <w:left w:val="single" w:sz="4" w:space="0" w:color="auto"/>
                  <w:bottom w:val="single" w:sz="4" w:space="0" w:color="auto"/>
                  <w:right w:val="single" w:sz="4" w:space="0" w:color="auto"/>
                </w:tcBorders>
                <w:vAlign w:val="center"/>
              </w:tcPr>
              <w:p w14:paraId="36303B5F" w14:textId="77777777" w:rsidR="007E7472" w:rsidRDefault="00EC1269">
                <w:r>
                  <w:t>内蒙古昊盛煤业有限公司</w:t>
                </w:r>
              </w:p>
            </w:tc>
            <w:tc>
              <w:tcPr>
                <w:tcW w:w="717" w:type="pct"/>
                <w:tcBorders>
                  <w:top w:val="single" w:sz="4" w:space="0" w:color="auto"/>
                  <w:left w:val="single" w:sz="4" w:space="0" w:color="auto"/>
                  <w:bottom w:val="single" w:sz="4" w:space="0" w:color="auto"/>
                  <w:right w:val="single" w:sz="4" w:space="0" w:color="auto"/>
                </w:tcBorders>
                <w:vAlign w:val="center"/>
              </w:tcPr>
              <w:p w14:paraId="73628F04" w14:textId="77777777" w:rsidR="007E7472" w:rsidRDefault="00EC1269">
                <w:pPr>
                  <w:jc w:val="right"/>
                </w:pPr>
                <w:r>
                  <w:t>7,498,416</w:t>
                </w:r>
              </w:p>
            </w:tc>
            <w:tc>
              <w:tcPr>
                <w:tcW w:w="630" w:type="pct"/>
                <w:tcBorders>
                  <w:top w:val="single" w:sz="4" w:space="0" w:color="auto"/>
                  <w:left w:val="single" w:sz="4" w:space="0" w:color="auto"/>
                  <w:bottom w:val="single" w:sz="4" w:space="0" w:color="auto"/>
                  <w:right w:val="single" w:sz="4" w:space="0" w:color="auto"/>
                </w:tcBorders>
                <w:vAlign w:val="center"/>
              </w:tcPr>
              <w:p w14:paraId="27156EB0" w14:textId="77777777" w:rsidR="007E7472" w:rsidRDefault="00C8327E">
                <w:pPr>
                  <w:jc w:val="right"/>
                </w:pPr>
              </w:p>
            </w:tc>
            <w:tc>
              <w:tcPr>
                <w:tcW w:w="627" w:type="pct"/>
                <w:tcBorders>
                  <w:top w:val="single" w:sz="4" w:space="0" w:color="auto"/>
                  <w:left w:val="single" w:sz="4" w:space="0" w:color="auto"/>
                  <w:bottom w:val="single" w:sz="4" w:space="0" w:color="auto"/>
                  <w:right w:val="single" w:sz="4" w:space="0" w:color="auto"/>
                </w:tcBorders>
                <w:vAlign w:val="center"/>
              </w:tcPr>
              <w:p w14:paraId="7C440E81" w14:textId="77777777" w:rsidR="007E7472" w:rsidRDefault="00C8327E">
                <w:pPr>
                  <w:jc w:val="right"/>
                </w:pPr>
              </w:p>
            </w:tc>
            <w:tc>
              <w:tcPr>
                <w:tcW w:w="717" w:type="pct"/>
                <w:tcBorders>
                  <w:top w:val="single" w:sz="4" w:space="0" w:color="auto"/>
                  <w:left w:val="single" w:sz="4" w:space="0" w:color="auto"/>
                  <w:bottom w:val="single" w:sz="4" w:space="0" w:color="auto"/>
                  <w:right w:val="single" w:sz="4" w:space="0" w:color="auto"/>
                </w:tcBorders>
                <w:vAlign w:val="center"/>
              </w:tcPr>
              <w:p w14:paraId="59ED7062" w14:textId="77777777" w:rsidR="007E7472" w:rsidRDefault="00EC1269">
                <w:pPr>
                  <w:jc w:val="right"/>
                </w:pPr>
                <w:r>
                  <w:t>7,498,416</w:t>
                </w:r>
              </w:p>
            </w:tc>
            <w:tc>
              <w:tcPr>
                <w:tcW w:w="628" w:type="pct"/>
                <w:tcBorders>
                  <w:top w:val="single" w:sz="4" w:space="0" w:color="auto"/>
                  <w:left w:val="single" w:sz="4" w:space="0" w:color="auto"/>
                  <w:bottom w:val="single" w:sz="4" w:space="0" w:color="auto"/>
                  <w:right w:val="single" w:sz="4" w:space="0" w:color="auto"/>
                </w:tcBorders>
              </w:tcPr>
              <w:p w14:paraId="04FD53D2" w14:textId="77777777" w:rsidR="007E7472" w:rsidRDefault="00C8327E">
                <w:pPr>
                  <w:jc w:val="right"/>
                </w:pPr>
              </w:p>
            </w:tc>
            <w:tc>
              <w:tcPr>
                <w:tcW w:w="717" w:type="pct"/>
                <w:tcBorders>
                  <w:top w:val="single" w:sz="4" w:space="0" w:color="auto"/>
                  <w:left w:val="single" w:sz="4" w:space="0" w:color="auto"/>
                  <w:bottom w:val="single" w:sz="4" w:space="0" w:color="auto"/>
                  <w:right w:val="single" w:sz="4" w:space="0" w:color="auto"/>
                </w:tcBorders>
              </w:tcPr>
              <w:p w14:paraId="05854834" w14:textId="77777777" w:rsidR="007E7472" w:rsidRDefault="00C8327E">
                <w:pPr>
                  <w:jc w:val="right"/>
                </w:pPr>
              </w:p>
            </w:tc>
          </w:tr>
          <w:sdt>
            <w:sdtPr>
              <w:rPr>
                <w:rFonts w:asciiTheme="minorHAnsi" w:eastAsiaTheme="minorEastAsia" w:hAnsiTheme="minorHAnsi" w:cstheme="minorBidi"/>
                <w:kern w:val="2"/>
              </w:rPr>
              <w:alias w:val="长期股权投资明细"/>
              <w:tag w:val="_GBC_daf82e8df55d4ba9bf351c25fd5a63c2"/>
              <w:id w:val="-794987924"/>
              <w:lock w:val="sdtLocked"/>
            </w:sdtPr>
            <w:sdtEndPr/>
            <w:sdtContent>
              <w:tr w:rsidR="007E7472" w14:paraId="571EC240" w14:textId="77777777">
                <w:tc>
                  <w:tcPr>
                    <w:tcW w:w="962" w:type="pct"/>
                    <w:tcBorders>
                      <w:top w:val="single" w:sz="4" w:space="0" w:color="auto"/>
                      <w:left w:val="single" w:sz="4" w:space="0" w:color="auto"/>
                      <w:bottom w:val="single" w:sz="4" w:space="0" w:color="auto"/>
                      <w:right w:val="single" w:sz="4" w:space="0" w:color="auto"/>
                    </w:tcBorders>
                    <w:vAlign w:val="center"/>
                  </w:tcPr>
                  <w:p w14:paraId="7110EA2E" w14:textId="77777777" w:rsidR="007E7472" w:rsidRDefault="00EC1269">
                    <w:r>
                      <w:t>兖煤菏泽能化有限公司</w:t>
                    </w:r>
                  </w:p>
                </w:tc>
                <w:tc>
                  <w:tcPr>
                    <w:tcW w:w="717" w:type="pct"/>
                    <w:tcBorders>
                      <w:top w:val="single" w:sz="4" w:space="0" w:color="auto"/>
                      <w:left w:val="single" w:sz="4" w:space="0" w:color="auto"/>
                      <w:bottom w:val="single" w:sz="4" w:space="0" w:color="auto"/>
                      <w:right w:val="single" w:sz="4" w:space="0" w:color="auto"/>
                    </w:tcBorders>
                    <w:vAlign w:val="center"/>
                  </w:tcPr>
                  <w:p w14:paraId="30F4CCD7" w14:textId="77777777" w:rsidR="007E7472" w:rsidRDefault="00EC1269">
                    <w:pPr>
                      <w:jc w:val="right"/>
                    </w:pPr>
                    <w:r>
                      <w:t>2,924,344</w:t>
                    </w:r>
                  </w:p>
                </w:tc>
                <w:tc>
                  <w:tcPr>
                    <w:tcW w:w="630" w:type="pct"/>
                    <w:tcBorders>
                      <w:top w:val="single" w:sz="4" w:space="0" w:color="auto"/>
                      <w:left w:val="single" w:sz="4" w:space="0" w:color="auto"/>
                      <w:bottom w:val="single" w:sz="4" w:space="0" w:color="auto"/>
                      <w:right w:val="single" w:sz="4" w:space="0" w:color="auto"/>
                    </w:tcBorders>
                    <w:vAlign w:val="center"/>
                  </w:tcPr>
                  <w:p w14:paraId="3A631DC3" w14:textId="77777777" w:rsidR="007E7472" w:rsidRDefault="00C8327E">
                    <w:pPr>
                      <w:jc w:val="right"/>
                    </w:pPr>
                  </w:p>
                </w:tc>
                <w:tc>
                  <w:tcPr>
                    <w:tcW w:w="627" w:type="pct"/>
                    <w:tcBorders>
                      <w:top w:val="single" w:sz="4" w:space="0" w:color="auto"/>
                      <w:left w:val="single" w:sz="4" w:space="0" w:color="auto"/>
                      <w:bottom w:val="single" w:sz="4" w:space="0" w:color="auto"/>
                      <w:right w:val="single" w:sz="4" w:space="0" w:color="auto"/>
                    </w:tcBorders>
                    <w:vAlign w:val="center"/>
                  </w:tcPr>
                  <w:p w14:paraId="07798A86" w14:textId="77777777" w:rsidR="007E7472" w:rsidRDefault="00C8327E">
                    <w:pPr>
                      <w:jc w:val="right"/>
                    </w:pPr>
                  </w:p>
                </w:tc>
                <w:tc>
                  <w:tcPr>
                    <w:tcW w:w="717" w:type="pct"/>
                    <w:tcBorders>
                      <w:top w:val="single" w:sz="4" w:space="0" w:color="auto"/>
                      <w:left w:val="single" w:sz="4" w:space="0" w:color="auto"/>
                      <w:bottom w:val="single" w:sz="4" w:space="0" w:color="auto"/>
                      <w:right w:val="single" w:sz="4" w:space="0" w:color="auto"/>
                    </w:tcBorders>
                    <w:vAlign w:val="center"/>
                  </w:tcPr>
                  <w:p w14:paraId="5CC3F17F" w14:textId="77777777" w:rsidR="007E7472" w:rsidRDefault="00EC1269">
                    <w:pPr>
                      <w:jc w:val="right"/>
                    </w:pPr>
                    <w:r>
                      <w:t>2,924,344</w:t>
                    </w:r>
                  </w:p>
                </w:tc>
                <w:tc>
                  <w:tcPr>
                    <w:tcW w:w="628" w:type="pct"/>
                    <w:tcBorders>
                      <w:top w:val="single" w:sz="4" w:space="0" w:color="auto"/>
                      <w:left w:val="single" w:sz="4" w:space="0" w:color="auto"/>
                      <w:bottom w:val="single" w:sz="4" w:space="0" w:color="auto"/>
                      <w:right w:val="single" w:sz="4" w:space="0" w:color="auto"/>
                    </w:tcBorders>
                  </w:tcPr>
                  <w:p w14:paraId="64148587" w14:textId="77777777" w:rsidR="007E7472" w:rsidRDefault="00C8327E">
                    <w:pPr>
                      <w:jc w:val="right"/>
                    </w:pPr>
                  </w:p>
                </w:tc>
                <w:tc>
                  <w:tcPr>
                    <w:tcW w:w="717" w:type="pct"/>
                    <w:tcBorders>
                      <w:top w:val="single" w:sz="4" w:space="0" w:color="auto"/>
                      <w:left w:val="single" w:sz="4" w:space="0" w:color="auto"/>
                      <w:bottom w:val="single" w:sz="4" w:space="0" w:color="auto"/>
                      <w:right w:val="single" w:sz="4" w:space="0" w:color="auto"/>
                    </w:tcBorders>
                    <w:vAlign w:val="center"/>
                  </w:tcPr>
                  <w:p w14:paraId="02537792" w14:textId="77777777" w:rsidR="007E7472" w:rsidRDefault="00C8327E"/>
                </w:tc>
              </w:tr>
            </w:sdtContent>
          </w:sdt>
          <w:sdt>
            <w:sdtPr>
              <w:rPr>
                <w:rFonts w:asciiTheme="minorHAnsi" w:eastAsiaTheme="minorEastAsia" w:hAnsiTheme="minorHAnsi" w:cstheme="minorBidi"/>
                <w:kern w:val="2"/>
              </w:rPr>
              <w:alias w:val="长期股权投资明细"/>
              <w:tag w:val="_GBC_daf82e8df55d4ba9bf351c25fd5a63c2"/>
              <w:id w:val="89895086"/>
              <w:lock w:val="sdtLocked"/>
            </w:sdtPr>
            <w:sdtEndPr/>
            <w:sdtContent>
              <w:tr w:rsidR="007E7472" w14:paraId="1A0E33A5" w14:textId="77777777">
                <w:tc>
                  <w:tcPr>
                    <w:tcW w:w="962" w:type="pct"/>
                    <w:tcBorders>
                      <w:top w:val="single" w:sz="4" w:space="0" w:color="auto"/>
                      <w:left w:val="single" w:sz="4" w:space="0" w:color="auto"/>
                      <w:bottom w:val="single" w:sz="4" w:space="0" w:color="auto"/>
                      <w:right w:val="single" w:sz="4" w:space="0" w:color="auto"/>
                    </w:tcBorders>
                    <w:vAlign w:val="center"/>
                  </w:tcPr>
                  <w:p w14:paraId="520F0384" w14:textId="77777777" w:rsidR="007E7472" w:rsidRDefault="00EC1269">
                    <w:r>
                      <w:t>兖州煤业榆林能化有限公司</w:t>
                    </w:r>
                  </w:p>
                </w:tc>
                <w:tc>
                  <w:tcPr>
                    <w:tcW w:w="717" w:type="pct"/>
                    <w:tcBorders>
                      <w:top w:val="single" w:sz="4" w:space="0" w:color="auto"/>
                      <w:left w:val="single" w:sz="4" w:space="0" w:color="auto"/>
                      <w:bottom w:val="single" w:sz="4" w:space="0" w:color="auto"/>
                      <w:right w:val="single" w:sz="4" w:space="0" w:color="auto"/>
                    </w:tcBorders>
                    <w:vAlign w:val="center"/>
                  </w:tcPr>
                  <w:p w14:paraId="2506CFDF" w14:textId="77777777" w:rsidR="007E7472" w:rsidRDefault="00EC1269">
                    <w:pPr>
                      <w:jc w:val="right"/>
                    </w:pPr>
                    <w:r>
                      <w:t>1,400,000</w:t>
                    </w:r>
                  </w:p>
                </w:tc>
                <w:tc>
                  <w:tcPr>
                    <w:tcW w:w="630" w:type="pct"/>
                    <w:tcBorders>
                      <w:top w:val="single" w:sz="4" w:space="0" w:color="auto"/>
                      <w:left w:val="single" w:sz="4" w:space="0" w:color="auto"/>
                      <w:bottom w:val="single" w:sz="4" w:space="0" w:color="auto"/>
                      <w:right w:val="single" w:sz="4" w:space="0" w:color="auto"/>
                    </w:tcBorders>
                    <w:vAlign w:val="center"/>
                  </w:tcPr>
                  <w:p w14:paraId="11616D97" w14:textId="77777777" w:rsidR="007E7472" w:rsidRDefault="00C8327E">
                    <w:pPr>
                      <w:jc w:val="right"/>
                    </w:pPr>
                  </w:p>
                </w:tc>
                <w:tc>
                  <w:tcPr>
                    <w:tcW w:w="627" w:type="pct"/>
                    <w:tcBorders>
                      <w:top w:val="single" w:sz="4" w:space="0" w:color="auto"/>
                      <w:left w:val="single" w:sz="4" w:space="0" w:color="auto"/>
                      <w:bottom w:val="single" w:sz="4" w:space="0" w:color="auto"/>
                      <w:right w:val="single" w:sz="4" w:space="0" w:color="auto"/>
                    </w:tcBorders>
                    <w:vAlign w:val="center"/>
                  </w:tcPr>
                  <w:p w14:paraId="61B5E995" w14:textId="77777777" w:rsidR="007E7472" w:rsidRDefault="00C8327E">
                    <w:pPr>
                      <w:jc w:val="right"/>
                    </w:pPr>
                  </w:p>
                </w:tc>
                <w:tc>
                  <w:tcPr>
                    <w:tcW w:w="717" w:type="pct"/>
                    <w:tcBorders>
                      <w:top w:val="single" w:sz="4" w:space="0" w:color="auto"/>
                      <w:left w:val="single" w:sz="4" w:space="0" w:color="auto"/>
                      <w:bottom w:val="single" w:sz="4" w:space="0" w:color="auto"/>
                      <w:right w:val="single" w:sz="4" w:space="0" w:color="auto"/>
                    </w:tcBorders>
                    <w:vAlign w:val="center"/>
                  </w:tcPr>
                  <w:p w14:paraId="1ACEEE05" w14:textId="77777777" w:rsidR="007E7472" w:rsidRDefault="00EC1269">
                    <w:pPr>
                      <w:jc w:val="right"/>
                    </w:pPr>
                    <w:r>
                      <w:t>1,400,000</w:t>
                    </w:r>
                  </w:p>
                </w:tc>
                <w:tc>
                  <w:tcPr>
                    <w:tcW w:w="628" w:type="pct"/>
                    <w:tcBorders>
                      <w:top w:val="single" w:sz="4" w:space="0" w:color="auto"/>
                      <w:left w:val="single" w:sz="4" w:space="0" w:color="auto"/>
                      <w:bottom w:val="single" w:sz="4" w:space="0" w:color="auto"/>
                      <w:right w:val="single" w:sz="4" w:space="0" w:color="auto"/>
                    </w:tcBorders>
                  </w:tcPr>
                  <w:p w14:paraId="0F8DF715" w14:textId="77777777" w:rsidR="007E7472" w:rsidRDefault="00C8327E">
                    <w:pPr>
                      <w:jc w:val="right"/>
                    </w:pPr>
                  </w:p>
                </w:tc>
                <w:tc>
                  <w:tcPr>
                    <w:tcW w:w="717" w:type="pct"/>
                    <w:tcBorders>
                      <w:top w:val="single" w:sz="4" w:space="0" w:color="auto"/>
                      <w:left w:val="single" w:sz="4" w:space="0" w:color="auto"/>
                      <w:bottom w:val="single" w:sz="4" w:space="0" w:color="auto"/>
                      <w:right w:val="single" w:sz="4" w:space="0" w:color="auto"/>
                    </w:tcBorders>
                    <w:vAlign w:val="center"/>
                  </w:tcPr>
                  <w:p w14:paraId="544C9C1F" w14:textId="77777777" w:rsidR="007E7472" w:rsidRDefault="00C8327E"/>
                </w:tc>
              </w:tr>
            </w:sdtContent>
          </w:sdt>
          <w:sdt>
            <w:sdtPr>
              <w:rPr>
                <w:rFonts w:asciiTheme="minorHAnsi" w:eastAsiaTheme="minorEastAsia" w:hAnsiTheme="minorHAnsi" w:cstheme="minorBidi"/>
                <w:kern w:val="2"/>
              </w:rPr>
              <w:alias w:val="长期股权投资明细"/>
              <w:tag w:val="_GBC_daf82e8df55d4ba9bf351c25fd5a63c2"/>
              <w:id w:val="1858079289"/>
              <w:lock w:val="sdtLocked"/>
            </w:sdtPr>
            <w:sdtEndPr/>
            <w:sdtContent>
              <w:tr w:rsidR="007E7472" w14:paraId="40BA24BB" w14:textId="77777777">
                <w:tc>
                  <w:tcPr>
                    <w:tcW w:w="962" w:type="pct"/>
                    <w:tcBorders>
                      <w:top w:val="single" w:sz="4" w:space="0" w:color="auto"/>
                      <w:left w:val="single" w:sz="4" w:space="0" w:color="auto"/>
                      <w:bottom w:val="single" w:sz="4" w:space="0" w:color="auto"/>
                      <w:right w:val="single" w:sz="4" w:space="0" w:color="auto"/>
                    </w:tcBorders>
                    <w:vAlign w:val="center"/>
                  </w:tcPr>
                  <w:p w14:paraId="2DE00760" w14:textId="77777777" w:rsidR="007E7472" w:rsidRDefault="00EC1269">
                    <w:r>
                      <w:t>兖州煤业山西能化有限公司</w:t>
                    </w:r>
                  </w:p>
                </w:tc>
                <w:tc>
                  <w:tcPr>
                    <w:tcW w:w="717" w:type="pct"/>
                    <w:tcBorders>
                      <w:top w:val="single" w:sz="4" w:space="0" w:color="auto"/>
                      <w:left w:val="single" w:sz="4" w:space="0" w:color="auto"/>
                      <w:bottom w:val="single" w:sz="4" w:space="0" w:color="auto"/>
                      <w:right w:val="single" w:sz="4" w:space="0" w:color="auto"/>
                    </w:tcBorders>
                    <w:vAlign w:val="center"/>
                  </w:tcPr>
                  <w:p w14:paraId="0687BDD4" w14:textId="77777777" w:rsidR="007E7472" w:rsidRDefault="00EC1269">
                    <w:pPr>
                      <w:jc w:val="right"/>
                    </w:pPr>
                    <w:r>
                      <w:t>508,206</w:t>
                    </w:r>
                  </w:p>
                </w:tc>
                <w:tc>
                  <w:tcPr>
                    <w:tcW w:w="630" w:type="pct"/>
                    <w:tcBorders>
                      <w:top w:val="single" w:sz="4" w:space="0" w:color="auto"/>
                      <w:left w:val="single" w:sz="4" w:space="0" w:color="auto"/>
                      <w:bottom w:val="single" w:sz="4" w:space="0" w:color="auto"/>
                      <w:right w:val="single" w:sz="4" w:space="0" w:color="auto"/>
                    </w:tcBorders>
                    <w:vAlign w:val="center"/>
                  </w:tcPr>
                  <w:p w14:paraId="208A1A3A" w14:textId="77777777" w:rsidR="007E7472" w:rsidRDefault="00C8327E">
                    <w:pPr>
                      <w:jc w:val="right"/>
                    </w:pPr>
                  </w:p>
                </w:tc>
                <w:tc>
                  <w:tcPr>
                    <w:tcW w:w="627" w:type="pct"/>
                    <w:tcBorders>
                      <w:top w:val="single" w:sz="4" w:space="0" w:color="auto"/>
                      <w:left w:val="single" w:sz="4" w:space="0" w:color="auto"/>
                      <w:bottom w:val="single" w:sz="4" w:space="0" w:color="auto"/>
                      <w:right w:val="single" w:sz="4" w:space="0" w:color="auto"/>
                    </w:tcBorders>
                    <w:vAlign w:val="center"/>
                  </w:tcPr>
                  <w:p w14:paraId="6D1CDCFD" w14:textId="77777777" w:rsidR="007E7472" w:rsidRDefault="00C8327E">
                    <w:pPr>
                      <w:jc w:val="right"/>
                    </w:pPr>
                  </w:p>
                </w:tc>
                <w:tc>
                  <w:tcPr>
                    <w:tcW w:w="717" w:type="pct"/>
                    <w:tcBorders>
                      <w:top w:val="single" w:sz="4" w:space="0" w:color="auto"/>
                      <w:left w:val="single" w:sz="4" w:space="0" w:color="auto"/>
                      <w:bottom w:val="single" w:sz="4" w:space="0" w:color="auto"/>
                      <w:right w:val="single" w:sz="4" w:space="0" w:color="auto"/>
                    </w:tcBorders>
                    <w:vAlign w:val="center"/>
                  </w:tcPr>
                  <w:p w14:paraId="0756BF6A" w14:textId="77777777" w:rsidR="007E7472" w:rsidRDefault="00EC1269">
                    <w:pPr>
                      <w:jc w:val="right"/>
                    </w:pPr>
                    <w:r>
                      <w:t>508,206</w:t>
                    </w:r>
                  </w:p>
                </w:tc>
                <w:tc>
                  <w:tcPr>
                    <w:tcW w:w="628" w:type="pct"/>
                    <w:tcBorders>
                      <w:top w:val="single" w:sz="4" w:space="0" w:color="auto"/>
                      <w:left w:val="single" w:sz="4" w:space="0" w:color="auto"/>
                      <w:bottom w:val="single" w:sz="4" w:space="0" w:color="auto"/>
                      <w:right w:val="single" w:sz="4" w:space="0" w:color="auto"/>
                    </w:tcBorders>
                  </w:tcPr>
                  <w:p w14:paraId="25F9EF65" w14:textId="77777777" w:rsidR="007E7472" w:rsidRDefault="00C8327E">
                    <w:pPr>
                      <w:jc w:val="right"/>
                    </w:pPr>
                  </w:p>
                </w:tc>
                <w:tc>
                  <w:tcPr>
                    <w:tcW w:w="717" w:type="pct"/>
                    <w:tcBorders>
                      <w:top w:val="single" w:sz="4" w:space="0" w:color="auto"/>
                      <w:left w:val="single" w:sz="4" w:space="0" w:color="auto"/>
                      <w:bottom w:val="single" w:sz="4" w:space="0" w:color="auto"/>
                      <w:right w:val="single" w:sz="4" w:space="0" w:color="auto"/>
                    </w:tcBorders>
                    <w:vAlign w:val="center"/>
                  </w:tcPr>
                  <w:p w14:paraId="0061BDC7" w14:textId="77777777" w:rsidR="007E7472" w:rsidRDefault="00C8327E"/>
                </w:tc>
              </w:tr>
            </w:sdtContent>
          </w:sdt>
          <w:sdt>
            <w:sdtPr>
              <w:rPr>
                <w:rFonts w:asciiTheme="minorHAnsi" w:eastAsiaTheme="minorEastAsia" w:hAnsiTheme="minorHAnsi" w:cstheme="minorBidi"/>
                <w:kern w:val="2"/>
              </w:rPr>
              <w:alias w:val="长期股权投资明细"/>
              <w:tag w:val="_GBC_daf82e8df55d4ba9bf351c25fd5a63c2"/>
              <w:id w:val="1942873245"/>
              <w:lock w:val="sdtLocked"/>
            </w:sdtPr>
            <w:sdtEndPr/>
            <w:sdtContent>
              <w:tr w:rsidR="007E7472" w14:paraId="67053B10" w14:textId="77777777">
                <w:tc>
                  <w:tcPr>
                    <w:tcW w:w="962" w:type="pct"/>
                    <w:tcBorders>
                      <w:top w:val="single" w:sz="4" w:space="0" w:color="auto"/>
                      <w:left w:val="single" w:sz="4" w:space="0" w:color="auto"/>
                      <w:bottom w:val="single" w:sz="4" w:space="0" w:color="auto"/>
                      <w:right w:val="single" w:sz="4" w:space="0" w:color="auto"/>
                    </w:tcBorders>
                    <w:vAlign w:val="center"/>
                  </w:tcPr>
                  <w:p w14:paraId="401FDE92" w14:textId="77777777" w:rsidR="007E7472" w:rsidRDefault="00EC1269">
                    <w:r>
                      <w:t>山东华聚能源股份有限公司</w:t>
                    </w:r>
                  </w:p>
                </w:tc>
                <w:tc>
                  <w:tcPr>
                    <w:tcW w:w="717" w:type="pct"/>
                    <w:tcBorders>
                      <w:top w:val="single" w:sz="4" w:space="0" w:color="auto"/>
                      <w:left w:val="single" w:sz="4" w:space="0" w:color="auto"/>
                      <w:bottom w:val="single" w:sz="4" w:space="0" w:color="auto"/>
                      <w:right w:val="single" w:sz="4" w:space="0" w:color="auto"/>
                    </w:tcBorders>
                    <w:vAlign w:val="center"/>
                  </w:tcPr>
                  <w:p w14:paraId="21AA5797" w14:textId="77777777" w:rsidR="007E7472" w:rsidRDefault="00EC1269">
                    <w:pPr>
                      <w:jc w:val="right"/>
                    </w:pPr>
                    <w:r>
                      <w:t>599,523</w:t>
                    </w:r>
                  </w:p>
                </w:tc>
                <w:tc>
                  <w:tcPr>
                    <w:tcW w:w="630" w:type="pct"/>
                    <w:tcBorders>
                      <w:top w:val="single" w:sz="4" w:space="0" w:color="auto"/>
                      <w:left w:val="single" w:sz="4" w:space="0" w:color="auto"/>
                      <w:bottom w:val="single" w:sz="4" w:space="0" w:color="auto"/>
                      <w:right w:val="single" w:sz="4" w:space="0" w:color="auto"/>
                    </w:tcBorders>
                    <w:vAlign w:val="center"/>
                  </w:tcPr>
                  <w:p w14:paraId="1EEEF973" w14:textId="77777777" w:rsidR="007E7472" w:rsidRDefault="00C8327E">
                    <w:pPr>
                      <w:jc w:val="right"/>
                    </w:pPr>
                  </w:p>
                </w:tc>
                <w:tc>
                  <w:tcPr>
                    <w:tcW w:w="627" w:type="pct"/>
                    <w:tcBorders>
                      <w:top w:val="single" w:sz="4" w:space="0" w:color="auto"/>
                      <w:left w:val="single" w:sz="4" w:space="0" w:color="auto"/>
                      <w:bottom w:val="single" w:sz="4" w:space="0" w:color="auto"/>
                      <w:right w:val="single" w:sz="4" w:space="0" w:color="auto"/>
                    </w:tcBorders>
                    <w:vAlign w:val="center"/>
                  </w:tcPr>
                  <w:p w14:paraId="50E47017" w14:textId="77777777" w:rsidR="007E7472" w:rsidRDefault="00C8327E">
                    <w:pPr>
                      <w:jc w:val="right"/>
                    </w:pPr>
                  </w:p>
                </w:tc>
                <w:tc>
                  <w:tcPr>
                    <w:tcW w:w="717" w:type="pct"/>
                    <w:tcBorders>
                      <w:top w:val="single" w:sz="4" w:space="0" w:color="auto"/>
                      <w:left w:val="single" w:sz="4" w:space="0" w:color="auto"/>
                      <w:bottom w:val="single" w:sz="4" w:space="0" w:color="auto"/>
                      <w:right w:val="single" w:sz="4" w:space="0" w:color="auto"/>
                    </w:tcBorders>
                    <w:vAlign w:val="center"/>
                  </w:tcPr>
                  <w:p w14:paraId="66AD0ED9" w14:textId="77777777" w:rsidR="007E7472" w:rsidRDefault="00EC1269">
                    <w:pPr>
                      <w:jc w:val="right"/>
                    </w:pPr>
                    <w:r>
                      <w:t>599,523</w:t>
                    </w:r>
                  </w:p>
                </w:tc>
                <w:tc>
                  <w:tcPr>
                    <w:tcW w:w="628" w:type="pct"/>
                    <w:tcBorders>
                      <w:top w:val="single" w:sz="4" w:space="0" w:color="auto"/>
                      <w:left w:val="single" w:sz="4" w:space="0" w:color="auto"/>
                      <w:bottom w:val="single" w:sz="4" w:space="0" w:color="auto"/>
                      <w:right w:val="single" w:sz="4" w:space="0" w:color="auto"/>
                    </w:tcBorders>
                  </w:tcPr>
                  <w:p w14:paraId="181F9BA3" w14:textId="77777777" w:rsidR="007E7472" w:rsidRDefault="00C8327E">
                    <w:pPr>
                      <w:jc w:val="right"/>
                    </w:pPr>
                  </w:p>
                </w:tc>
                <w:tc>
                  <w:tcPr>
                    <w:tcW w:w="717" w:type="pct"/>
                    <w:tcBorders>
                      <w:top w:val="single" w:sz="4" w:space="0" w:color="auto"/>
                      <w:left w:val="single" w:sz="4" w:space="0" w:color="auto"/>
                      <w:bottom w:val="single" w:sz="4" w:space="0" w:color="auto"/>
                      <w:right w:val="single" w:sz="4" w:space="0" w:color="auto"/>
                    </w:tcBorders>
                    <w:vAlign w:val="center"/>
                  </w:tcPr>
                  <w:p w14:paraId="0FA278E9" w14:textId="77777777" w:rsidR="007E7472" w:rsidRDefault="00C8327E"/>
                </w:tc>
              </w:tr>
            </w:sdtContent>
          </w:sdt>
          <w:sdt>
            <w:sdtPr>
              <w:rPr>
                <w:rFonts w:asciiTheme="minorHAnsi" w:eastAsiaTheme="minorEastAsia" w:hAnsiTheme="minorHAnsi" w:cstheme="minorBidi"/>
                <w:kern w:val="2"/>
              </w:rPr>
              <w:alias w:val="长期股权投资明细"/>
              <w:tag w:val="_GBC_daf82e8df55d4ba9bf351c25fd5a63c2"/>
              <w:id w:val="-875543758"/>
              <w:lock w:val="sdtLocked"/>
            </w:sdtPr>
            <w:sdtEndPr/>
            <w:sdtContent>
              <w:tr w:rsidR="007E7472" w14:paraId="04F7E352" w14:textId="77777777">
                <w:tc>
                  <w:tcPr>
                    <w:tcW w:w="962" w:type="pct"/>
                    <w:tcBorders>
                      <w:top w:val="single" w:sz="4" w:space="0" w:color="auto"/>
                      <w:left w:val="single" w:sz="4" w:space="0" w:color="auto"/>
                      <w:bottom w:val="single" w:sz="4" w:space="0" w:color="auto"/>
                      <w:right w:val="single" w:sz="4" w:space="0" w:color="auto"/>
                    </w:tcBorders>
                    <w:vAlign w:val="center"/>
                  </w:tcPr>
                  <w:p w14:paraId="4EB7CC66" w14:textId="77777777" w:rsidR="007E7472" w:rsidRDefault="00EC1269">
                    <w:r>
                      <w:t>山东兖煤日照港储配煤有限公司</w:t>
                    </w:r>
                  </w:p>
                </w:tc>
                <w:tc>
                  <w:tcPr>
                    <w:tcW w:w="717" w:type="pct"/>
                    <w:tcBorders>
                      <w:top w:val="single" w:sz="4" w:space="0" w:color="auto"/>
                      <w:left w:val="single" w:sz="4" w:space="0" w:color="auto"/>
                      <w:bottom w:val="single" w:sz="4" w:space="0" w:color="auto"/>
                      <w:right w:val="single" w:sz="4" w:space="0" w:color="auto"/>
                    </w:tcBorders>
                    <w:vAlign w:val="center"/>
                  </w:tcPr>
                  <w:p w14:paraId="7C293AFE" w14:textId="77777777" w:rsidR="007E7472" w:rsidRDefault="00EC1269">
                    <w:pPr>
                      <w:jc w:val="right"/>
                    </w:pPr>
                    <w:r>
                      <w:t>209,240</w:t>
                    </w:r>
                  </w:p>
                </w:tc>
                <w:tc>
                  <w:tcPr>
                    <w:tcW w:w="630" w:type="pct"/>
                    <w:tcBorders>
                      <w:top w:val="single" w:sz="4" w:space="0" w:color="auto"/>
                      <w:left w:val="single" w:sz="4" w:space="0" w:color="auto"/>
                      <w:bottom w:val="single" w:sz="4" w:space="0" w:color="auto"/>
                      <w:right w:val="single" w:sz="4" w:space="0" w:color="auto"/>
                    </w:tcBorders>
                    <w:vAlign w:val="center"/>
                  </w:tcPr>
                  <w:p w14:paraId="54C92F96" w14:textId="77777777" w:rsidR="007E7472" w:rsidRDefault="00C8327E">
                    <w:pPr>
                      <w:jc w:val="right"/>
                    </w:pPr>
                  </w:p>
                </w:tc>
                <w:tc>
                  <w:tcPr>
                    <w:tcW w:w="627" w:type="pct"/>
                    <w:tcBorders>
                      <w:top w:val="single" w:sz="4" w:space="0" w:color="auto"/>
                      <w:left w:val="single" w:sz="4" w:space="0" w:color="auto"/>
                      <w:bottom w:val="single" w:sz="4" w:space="0" w:color="auto"/>
                      <w:right w:val="single" w:sz="4" w:space="0" w:color="auto"/>
                    </w:tcBorders>
                    <w:vAlign w:val="center"/>
                  </w:tcPr>
                  <w:p w14:paraId="45337D83" w14:textId="77777777" w:rsidR="007E7472" w:rsidRDefault="00C8327E">
                    <w:pPr>
                      <w:jc w:val="right"/>
                    </w:pPr>
                  </w:p>
                </w:tc>
                <w:tc>
                  <w:tcPr>
                    <w:tcW w:w="717" w:type="pct"/>
                    <w:tcBorders>
                      <w:top w:val="single" w:sz="4" w:space="0" w:color="auto"/>
                      <w:left w:val="single" w:sz="4" w:space="0" w:color="auto"/>
                      <w:bottom w:val="single" w:sz="4" w:space="0" w:color="auto"/>
                      <w:right w:val="single" w:sz="4" w:space="0" w:color="auto"/>
                    </w:tcBorders>
                    <w:vAlign w:val="center"/>
                  </w:tcPr>
                  <w:p w14:paraId="6362D345" w14:textId="77777777" w:rsidR="007E7472" w:rsidRDefault="00EC1269">
                    <w:pPr>
                      <w:jc w:val="right"/>
                    </w:pPr>
                    <w:r>
                      <w:t>209,240</w:t>
                    </w:r>
                  </w:p>
                </w:tc>
                <w:tc>
                  <w:tcPr>
                    <w:tcW w:w="628" w:type="pct"/>
                    <w:tcBorders>
                      <w:top w:val="single" w:sz="4" w:space="0" w:color="auto"/>
                      <w:left w:val="single" w:sz="4" w:space="0" w:color="auto"/>
                      <w:bottom w:val="single" w:sz="4" w:space="0" w:color="auto"/>
                      <w:right w:val="single" w:sz="4" w:space="0" w:color="auto"/>
                    </w:tcBorders>
                  </w:tcPr>
                  <w:p w14:paraId="614FDF3F" w14:textId="77777777" w:rsidR="007E7472" w:rsidRDefault="00C8327E">
                    <w:pPr>
                      <w:jc w:val="right"/>
                    </w:pPr>
                  </w:p>
                </w:tc>
                <w:tc>
                  <w:tcPr>
                    <w:tcW w:w="717" w:type="pct"/>
                    <w:tcBorders>
                      <w:top w:val="single" w:sz="4" w:space="0" w:color="auto"/>
                      <w:left w:val="single" w:sz="4" w:space="0" w:color="auto"/>
                      <w:bottom w:val="single" w:sz="4" w:space="0" w:color="auto"/>
                      <w:right w:val="single" w:sz="4" w:space="0" w:color="auto"/>
                    </w:tcBorders>
                    <w:vAlign w:val="center"/>
                  </w:tcPr>
                  <w:p w14:paraId="50346447" w14:textId="77777777" w:rsidR="007E7472" w:rsidRDefault="00C8327E"/>
                </w:tc>
              </w:tr>
            </w:sdtContent>
          </w:sdt>
          <w:sdt>
            <w:sdtPr>
              <w:rPr>
                <w:rFonts w:asciiTheme="minorHAnsi" w:eastAsiaTheme="minorEastAsia" w:hAnsiTheme="minorHAnsi" w:cstheme="minorBidi"/>
                <w:kern w:val="2"/>
              </w:rPr>
              <w:alias w:val="长期股权投资明细"/>
              <w:tag w:val="_GBC_daf82e8df55d4ba9bf351c25fd5a63c2"/>
              <w:id w:val="508948176"/>
              <w:lock w:val="sdtLocked"/>
            </w:sdtPr>
            <w:sdtEndPr/>
            <w:sdtContent>
              <w:tr w:rsidR="007E7472" w14:paraId="1F0873E0" w14:textId="77777777">
                <w:tc>
                  <w:tcPr>
                    <w:tcW w:w="962" w:type="pct"/>
                    <w:tcBorders>
                      <w:top w:val="single" w:sz="4" w:space="0" w:color="auto"/>
                      <w:left w:val="single" w:sz="4" w:space="0" w:color="auto"/>
                      <w:bottom w:val="single" w:sz="4" w:space="0" w:color="auto"/>
                      <w:right w:val="single" w:sz="4" w:space="0" w:color="auto"/>
                    </w:tcBorders>
                    <w:vAlign w:val="center"/>
                  </w:tcPr>
                  <w:p w14:paraId="34D86701" w14:textId="77777777" w:rsidR="007E7472" w:rsidRDefault="00EC1269">
                    <w:r>
                      <w:t>兖煤国际（控股）有限公司</w:t>
                    </w:r>
                  </w:p>
                </w:tc>
                <w:tc>
                  <w:tcPr>
                    <w:tcW w:w="717" w:type="pct"/>
                    <w:tcBorders>
                      <w:top w:val="single" w:sz="4" w:space="0" w:color="auto"/>
                      <w:left w:val="single" w:sz="4" w:space="0" w:color="auto"/>
                      <w:bottom w:val="single" w:sz="4" w:space="0" w:color="auto"/>
                      <w:right w:val="single" w:sz="4" w:space="0" w:color="auto"/>
                    </w:tcBorders>
                    <w:vAlign w:val="center"/>
                  </w:tcPr>
                  <w:p w14:paraId="6CF45D43" w14:textId="77777777" w:rsidR="007E7472" w:rsidRDefault="00EC1269">
                    <w:pPr>
                      <w:jc w:val="right"/>
                    </w:pPr>
                    <w:r>
                      <w:t>4,212,512</w:t>
                    </w:r>
                  </w:p>
                </w:tc>
                <w:tc>
                  <w:tcPr>
                    <w:tcW w:w="630" w:type="pct"/>
                    <w:tcBorders>
                      <w:top w:val="single" w:sz="4" w:space="0" w:color="auto"/>
                      <w:left w:val="single" w:sz="4" w:space="0" w:color="auto"/>
                      <w:bottom w:val="single" w:sz="4" w:space="0" w:color="auto"/>
                      <w:right w:val="single" w:sz="4" w:space="0" w:color="auto"/>
                    </w:tcBorders>
                    <w:vAlign w:val="center"/>
                  </w:tcPr>
                  <w:p w14:paraId="75AAD39D" w14:textId="77777777" w:rsidR="007E7472" w:rsidRDefault="00C8327E">
                    <w:pPr>
                      <w:jc w:val="right"/>
                    </w:pPr>
                  </w:p>
                </w:tc>
                <w:tc>
                  <w:tcPr>
                    <w:tcW w:w="627" w:type="pct"/>
                    <w:tcBorders>
                      <w:top w:val="single" w:sz="4" w:space="0" w:color="auto"/>
                      <w:left w:val="single" w:sz="4" w:space="0" w:color="auto"/>
                      <w:bottom w:val="single" w:sz="4" w:space="0" w:color="auto"/>
                      <w:right w:val="single" w:sz="4" w:space="0" w:color="auto"/>
                    </w:tcBorders>
                    <w:vAlign w:val="center"/>
                  </w:tcPr>
                  <w:p w14:paraId="35852D0A" w14:textId="77777777" w:rsidR="007E7472" w:rsidRDefault="00C8327E">
                    <w:pPr>
                      <w:jc w:val="right"/>
                    </w:pPr>
                  </w:p>
                </w:tc>
                <w:tc>
                  <w:tcPr>
                    <w:tcW w:w="717" w:type="pct"/>
                    <w:tcBorders>
                      <w:top w:val="single" w:sz="4" w:space="0" w:color="auto"/>
                      <w:left w:val="single" w:sz="4" w:space="0" w:color="auto"/>
                      <w:bottom w:val="single" w:sz="4" w:space="0" w:color="auto"/>
                      <w:right w:val="single" w:sz="4" w:space="0" w:color="auto"/>
                    </w:tcBorders>
                    <w:vAlign w:val="center"/>
                  </w:tcPr>
                  <w:p w14:paraId="511DADFA" w14:textId="77777777" w:rsidR="007E7472" w:rsidRDefault="00EC1269">
                    <w:pPr>
                      <w:jc w:val="right"/>
                    </w:pPr>
                    <w:r>
                      <w:t>4,212,512</w:t>
                    </w:r>
                  </w:p>
                </w:tc>
                <w:tc>
                  <w:tcPr>
                    <w:tcW w:w="628" w:type="pct"/>
                    <w:tcBorders>
                      <w:top w:val="single" w:sz="4" w:space="0" w:color="auto"/>
                      <w:left w:val="single" w:sz="4" w:space="0" w:color="auto"/>
                      <w:bottom w:val="single" w:sz="4" w:space="0" w:color="auto"/>
                      <w:right w:val="single" w:sz="4" w:space="0" w:color="auto"/>
                    </w:tcBorders>
                  </w:tcPr>
                  <w:p w14:paraId="7AA82563" w14:textId="77777777" w:rsidR="007E7472" w:rsidRDefault="00C8327E">
                    <w:pPr>
                      <w:jc w:val="right"/>
                    </w:pPr>
                  </w:p>
                </w:tc>
                <w:tc>
                  <w:tcPr>
                    <w:tcW w:w="717" w:type="pct"/>
                    <w:tcBorders>
                      <w:top w:val="single" w:sz="4" w:space="0" w:color="auto"/>
                      <w:left w:val="single" w:sz="4" w:space="0" w:color="auto"/>
                      <w:bottom w:val="single" w:sz="4" w:space="0" w:color="auto"/>
                      <w:right w:val="single" w:sz="4" w:space="0" w:color="auto"/>
                    </w:tcBorders>
                    <w:vAlign w:val="center"/>
                  </w:tcPr>
                  <w:p w14:paraId="1FAF3171" w14:textId="77777777" w:rsidR="007E7472" w:rsidRDefault="00C8327E"/>
                </w:tc>
              </w:tr>
            </w:sdtContent>
          </w:sdt>
          <w:sdt>
            <w:sdtPr>
              <w:rPr>
                <w:rFonts w:asciiTheme="minorHAnsi" w:eastAsiaTheme="minorEastAsia" w:hAnsiTheme="minorHAnsi" w:cstheme="minorBidi"/>
                <w:kern w:val="2"/>
              </w:rPr>
              <w:alias w:val="长期股权投资明细"/>
              <w:tag w:val="_GBC_daf82e8df55d4ba9bf351c25fd5a63c2"/>
              <w:id w:val="552660366"/>
              <w:lock w:val="sdtLocked"/>
            </w:sdtPr>
            <w:sdtEndPr/>
            <w:sdtContent>
              <w:tr w:rsidR="007E7472" w14:paraId="346DE0C0" w14:textId="77777777">
                <w:tc>
                  <w:tcPr>
                    <w:tcW w:w="962" w:type="pct"/>
                    <w:tcBorders>
                      <w:top w:val="single" w:sz="4" w:space="0" w:color="auto"/>
                      <w:left w:val="single" w:sz="4" w:space="0" w:color="auto"/>
                      <w:bottom w:val="single" w:sz="4" w:space="0" w:color="auto"/>
                      <w:right w:val="single" w:sz="4" w:space="0" w:color="auto"/>
                    </w:tcBorders>
                    <w:vAlign w:val="center"/>
                  </w:tcPr>
                  <w:p w14:paraId="22521837" w14:textId="77777777" w:rsidR="007E7472" w:rsidRDefault="00EC1269">
                    <w:r>
                      <w:t>兖煤澳大利亚有限公司</w:t>
                    </w:r>
                  </w:p>
                </w:tc>
                <w:tc>
                  <w:tcPr>
                    <w:tcW w:w="717" w:type="pct"/>
                    <w:tcBorders>
                      <w:top w:val="single" w:sz="4" w:space="0" w:color="auto"/>
                      <w:left w:val="single" w:sz="4" w:space="0" w:color="auto"/>
                      <w:bottom w:val="single" w:sz="4" w:space="0" w:color="auto"/>
                      <w:right w:val="single" w:sz="4" w:space="0" w:color="auto"/>
                    </w:tcBorders>
                    <w:vAlign w:val="center"/>
                  </w:tcPr>
                  <w:p w14:paraId="4277C687" w14:textId="77777777" w:rsidR="007E7472" w:rsidRDefault="00EC1269">
                    <w:pPr>
                      <w:jc w:val="right"/>
                    </w:pPr>
                    <w:r>
                      <w:t>21,425,119</w:t>
                    </w:r>
                  </w:p>
                </w:tc>
                <w:tc>
                  <w:tcPr>
                    <w:tcW w:w="630" w:type="pct"/>
                    <w:tcBorders>
                      <w:top w:val="single" w:sz="4" w:space="0" w:color="auto"/>
                      <w:left w:val="single" w:sz="4" w:space="0" w:color="auto"/>
                      <w:bottom w:val="single" w:sz="4" w:space="0" w:color="auto"/>
                      <w:right w:val="single" w:sz="4" w:space="0" w:color="auto"/>
                    </w:tcBorders>
                    <w:vAlign w:val="center"/>
                  </w:tcPr>
                  <w:p w14:paraId="08080D00" w14:textId="77777777" w:rsidR="007E7472" w:rsidRDefault="00C8327E">
                    <w:pPr>
                      <w:jc w:val="right"/>
                    </w:pPr>
                  </w:p>
                </w:tc>
                <w:tc>
                  <w:tcPr>
                    <w:tcW w:w="627" w:type="pct"/>
                    <w:tcBorders>
                      <w:top w:val="single" w:sz="4" w:space="0" w:color="auto"/>
                      <w:left w:val="single" w:sz="4" w:space="0" w:color="auto"/>
                      <w:bottom w:val="single" w:sz="4" w:space="0" w:color="auto"/>
                      <w:right w:val="single" w:sz="4" w:space="0" w:color="auto"/>
                    </w:tcBorders>
                    <w:vAlign w:val="center"/>
                  </w:tcPr>
                  <w:p w14:paraId="37E77851" w14:textId="77777777" w:rsidR="007E7472" w:rsidRDefault="00C8327E">
                    <w:pPr>
                      <w:jc w:val="right"/>
                    </w:pPr>
                  </w:p>
                </w:tc>
                <w:tc>
                  <w:tcPr>
                    <w:tcW w:w="717" w:type="pct"/>
                    <w:tcBorders>
                      <w:top w:val="single" w:sz="4" w:space="0" w:color="auto"/>
                      <w:left w:val="single" w:sz="4" w:space="0" w:color="auto"/>
                      <w:bottom w:val="single" w:sz="4" w:space="0" w:color="auto"/>
                      <w:right w:val="single" w:sz="4" w:space="0" w:color="auto"/>
                    </w:tcBorders>
                    <w:vAlign w:val="center"/>
                  </w:tcPr>
                  <w:p w14:paraId="45FF818F" w14:textId="77777777" w:rsidR="007E7472" w:rsidRDefault="00EC1269">
                    <w:pPr>
                      <w:jc w:val="right"/>
                    </w:pPr>
                    <w:r>
                      <w:t>21,425,119</w:t>
                    </w:r>
                  </w:p>
                </w:tc>
                <w:tc>
                  <w:tcPr>
                    <w:tcW w:w="628" w:type="pct"/>
                    <w:tcBorders>
                      <w:top w:val="single" w:sz="4" w:space="0" w:color="auto"/>
                      <w:left w:val="single" w:sz="4" w:space="0" w:color="auto"/>
                      <w:bottom w:val="single" w:sz="4" w:space="0" w:color="auto"/>
                      <w:right w:val="single" w:sz="4" w:space="0" w:color="auto"/>
                    </w:tcBorders>
                  </w:tcPr>
                  <w:p w14:paraId="761A2562" w14:textId="77777777" w:rsidR="007E7472" w:rsidRDefault="00C8327E">
                    <w:pPr>
                      <w:jc w:val="right"/>
                    </w:pPr>
                  </w:p>
                </w:tc>
                <w:tc>
                  <w:tcPr>
                    <w:tcW w:w="717" w:type="pct"/>
                    <w:tcBorders>
                      <w:top w:val="single" w:sz="4" w:space="0" w:color="auto"/>
                      <w:left w:val="single" w:sz="4" w:space="0" w:color="auto"/>
                      <w:bottom w:val="single" w:sz="4" w:space="0" w:color="auto"/>
                      <w:right w:val="single" w:sz="4" w:space="0" w:color="auto"/>
                    </w:tcBorders>
                    <w:vAlign w:val="center"/>
                  </w:tcPr>
                  <w:p w14:paraId="64192A05" w14:textId="77777777" w:rsidR="007E7472" w:rsidRDefault="00C8327E"/>
                </w:tc>
              </w:tr>
            </w:sdtContent>
          </w:sdt>
          <w:sdt>
            <w:sdtPr>
              <w:rPr>
                <w:rFonts w:asciiTheme="minorHAnsi" w:eastAsiaTheme="minorEastAsia" w:hAnsiTheme="minorHAnsi" w:cstheme="minorBidi"/>
                <w:kern w:val="2"/>
              </w:rPr>
              <w:alias w:val="长期股权投资明细"/>
              <w:tag w:val="_GBC_daf82e8df55d4ba9bf351c25fd5a63c2"/>
              <w:id w:val="-927735491"/>
              <w:lock w:val="sdtLocked"/>
            </w:sdtPr>
            <w:sdtEndPr/>
            <w:sdtContent>
              <w:tr w:rsidR="007E7472" w14:paraId="7D396020" w14:textId="77777777">
                <w:tc>
                  <w:tcPr>
                    <w:tcW w:w="962" w:type="pct"/>
                    <w:tcBorders>
                      <w:top w:val="single" w:sz="4" w:space="0" w:color="auto"/>
                      <w:left w:val="single" w:sz="4" w:space="0" w:color="auto"/>
                      <w:bottom w:val="single" w:sz="4" w:space="0" w:color="auto"/>
                      <w:right w:val="single" w:sz="4" w:space="0" w:color="auto"/>
                    </w:tcBorders>
                    <w:vAlign w:val="center"/>
                  </w:tcPr>
                  <w:p w14:paraId="765404E8" w14:textId="77777777" w:rsidR="007E7472" w:rsidRDefault="00EC1269">
                    <w:r>
                      <w:t>山东兖煤航运有限公司</w:t>
                    </w:r>
                  </w:p>
                </w:tc>
                <w:tc>
                  <w:tcPr>
                    <w:tcW w:w="717" w:type="pct"/>
                    <w:tcBorders>
                      <w:top w:val="single" w:sz="4" w:space="0" w:color="auto"/>
                      <w:left w:val="single" w:sz="4" w:space="0" w:color="auto"/>
                      <w:bottom w:val="single" w:sz="4" w:space="0" w:color="auto"/>
                      <w:right w:val="single" w:sz="4" w:space="0" w:color="auto"/>
                    </w:tcBorders>
                    <w:vAlign w:val="center"/>
                  </w:tcPr>
                  <w:p w14:paraId="104D2C59" w14:textId="77777777" w:rsidR="007E7472" w:rsidRDefault="00EC1269">
                    <w:pPr>
                      <w:jc w:val="right"/>
                    </w:pPr>
                    <w:r>
                      <w:t>10,576</w:t>
                    </w:r>
                  </w:p>
                </w:tc>
                <w:tc>
                  <w:tcPr>
                    <w:tcW w:w="630" w:type="pct"/>
                    <w:tcBorders>
                      <w:top w:val="single" w:sz="4" w:space="0" w:color="auto"/>
                      <w:left w:val="single" w:sz="4" w:space="0" w:color="auto"/>
                      <w:bottom w:val="single" w:sz="4" w:space="0" w:color="auto"/>
                      <w:right w:val="single" w:sz="4" w:space="0" w:color="auto"/>
                    </w:tcBorders>
                    <w:vAlign w:val="center"/>
                  </w:tcPr>
                  <w:p w14:paraId="7BAB13BE" w14:textId="77777777" w:rsidR="007E7472" w:rsidRDefault="00C8327E">
                    <w:pPr>
                      <w:jc w:val="right"/>
                    </w:pPr>
                  </w:p>
                </w:tc>
                <w:tc>
                  <w:tcPr>
                    <w:tcW w:w="627" w:type="pct"/>
                    <w:tcBorders>
                      <w:top w:val="single" w:sz="4" w:space="0" w:color="auto"/>
                      <w:left w:val="single" w:sz="4" w:space="0" w:color="auto"/>
                      <w:bottom w:val="single" w:sz="4" w:space="0" w:color="auto"/>
                      <w:right w:val="single" w:sz="4" w:space="0" w:color="auto"/>
                    </w:tcBorders>
                    <w:vAlign w:val="center"/>
                  </w:tcPr>
                  <w:p w14:paraId="6D214FD0" w14:textId="77777777" w:rsidR="007E7472" w:rsidRDefault="00C8327E">
                    <w:pPr>
                      <w:jc w:val="right"/>
                    </w:pPr>
                  </w:p>
                </w:tc>
                <w:tc>
                  <w:tcPr>
                    <w:tcW w:w="717" w:type="pct"/>
                    <w:tcBorders>
                      <w:top w:val="single" w:sz="4" w:space="0" w:color="auto"/>
                      <w:left w:val="single" w:sz="4" w:space="0" w:color="auto"/>
                      <w:bottom w:val="single" w:sz="4" w:space="0" w:color="auto"/>
                      <w:right w:val="single" w:sz="4" w:space="0" w:color="auto"/>
                    </w:tcBorders>
                    <w:vAlign w:val="center"/>
                  </w:tcPr>
                  <w:p w14:paraId="31FFDF11" w14:textId="77777777" w:rsidR="007E7472" w:rsidRDefault="00EC1269">
                    <w:pPr>
                      <w:jc w:val="right"/>
                    </w:pPr>
                    <w:r>
                      <w:t>10,576</w:t>
                    </w:r>
                  </w:p>
                </w:tc>
                <w:tc>
                  <w:tcPr>
                    <w:tcW w:w="628" w:type="pct"/>
                    <w:tcBorders>
                      <w:top w:val="single" w:sz="4" w:space="0" w:color="auto"/>
                      <w:left w:val="single" w:sz="4" w:space="0" w:color="auto"/>
                      <w:bottom w:val="single" w:sz="4" w:space="0" w:color="auto"/>
                      <w:right w:val="single" w:sz="4" w:space="0" w:color="auto"/>
                    </w:tcBorders>
                  </w:tcPr>
                  <w:p w14:paraId="401D566F" w14:textId="77777777" w:rsidR="007E7472" w:rsidRDefault="00C8327E">
                    <w:pPr>
                      <w:jc w:val="right"/>
                    </w:pPr>
                  </w:p>
                </w:tc>
                <w:tc>
                  <w:tcPr>
                    <w:tcW w:w="717" w:type="pct"/>
                    <w:tcBorders>
                      <w:top w:val="single" w:sz="4" w:space="0" w:color="auto"/>
                      <w:left w:val="single" w:sz="4" w:space="0" w:color="auto"/>
                      <w:bottom w:val="single" w:sz="4" w:space="0" w:color="auto"/>
                      <w:right w:val="single" w:sz="4" w:space="0" w:color="auto"/>
                    </w:tcBorders>
                    <w:vAlign w:val="center"/>
                  </w:tcPr>
                  <w:p w14:paraId="4089B033" w14:textId="77777777" w:rsidR="007E7472" w:rsidRDefault="00C8327E"/>
                </w:tc>
              </w:tr>
            </w:sdtContent>
          </w:sdt>
          <w:sdt>
            <w:sdtPr>
              <w:rPr>
                <w:rFonts w:asciiTheme="minorHAnsi" w:eastAsiaTheme="minorEastAsia" w:hAnsiTheme="minorHAnsi" w:cstheme="minorBidi"/>
                <w:kern w:val="2"/>
              </w:rPr>
              <w:alias w:val="长期股权投资明细"/>
              <w:tag w:val="_GBC_daf82e8df55d4ba9bf351c25fd5a63c2"/>
              <w:id w:val="1287619372"/>
              <w:lock w:val="sdtLocked"/>
            </w:sdtPr>
            <w:sdtEndPr/>
            <w:sdtContent>
              <w:tr w:rsidR="007E7472" w14:paraId="5003F01A" w14:textId="77777777">
                <w:tc>
                  <w:tcPr>
                    <w:tcW w:w="962" w:type="pct"/>
                    <w:tcBorders>
                      <w:top w:val="single" w:sz="4" w:space="0" w:color="auto"/>
                      <w:left w:val="single" w:sz="4" w:space="0" w:color="auto"/>
                      <w:bottom w:val="single" w:sz="4" w:space="0" w:color="auto"/>
                      <w:right w:val="single" w:sz="4" w:space="0" w:color="auto"/>
                    </w:tcBorders>
                    <w:vAlign w:val="center"/>
                  </w:tcPr>
                  <w:p w14:paraId="1D29B665" w14:textId="77777777" w:rsidR="007E7472" w:rsidRDefault="00EC1269">
                    <w:r>
                      <w:t>山东中鼎云联科技有限公司</w:t>
                    </w:r>
                  </w:p>
                </w:tc>
                <w:tc>
                  <w:tcPr>
                    <w:tcW w:w="717" w:type="pct"/>
                    <w:tcBorders>
                      <w:top w:val="single" w:sz="4" w:space="0" w:color="auto"/>
                      <w:left w:val="single" w:sz="4" w:space="0" w:color="auto"/>
                      <w:bottom w:val="single" w:sz="4" w:space="0" w:color="auto"/>
                      <w:right w:val="single" w:sz="4" w:space="0" w:color="auto"/>
                    </w:tcBorders>
                    <w:vAlign w:val="center"/>
                  </w:tcPr>
                  <w:p w14:paraId="64470373" w14:textId="77777777" w:rsidR="007E7472" w:rsidRDefault="00EC1269">
                    <w:pPr>
                      <w:jc w:val="right"/>
                    </w:pPr>
                    <w:r>
                      <w:t>51,000</w:t>
                    </w:r>
                  </w:p>
                </w:tc>
                <w:tc>
                  <w:tcPr>
                    <w:tcW w:w="630" w:type="pct"/>
                    <w:tcBorders>
                      <w:top w:val="single" w:sz="4" w:space="0" w:color="auto"/>
                      <w:left w:val="single" w:sz="4" w:space="0" w:color="auto"/>
                      <w:bottom w:val="single" w:sz="4" w:space="0" w:color="auto"/>
                      <w:right w:val="single" w:sz="4" w:space="0" w:color="auto"/>
                    </w:tcBorders>
                    <w:vAlign w:val="center"/>
                  </w:tcPr>
                  <w:p w14:paraId="135C4CEA" w14:textId="77777777" w:rsidR="007E7472" w:rsidRDefault="00C8327E">
                    <w:pPr>
                      <w:jc w:val="right"/>
                    </w:pPr>
                  </w:p>
                </w:tc>
                <w:tc>
                  <w:tcPr>
                    <w:tcW w:w="627" w:type="pct"/>
                    <w:tcBorders>
                      <w:top w:val="single" w:sz="4" w:space="0" w:color="auto"/>
                      <w:left w:val="single" w:sz="4" w:space="0" w:color="auto"/>
                      <w:bottom w:val="single" w:sz="4" w:space="0" w:color="auto"/>
                      <w:right w:val="single" w:sz="4" w:space="0" w:color="auto"/>
                    </w:tcBorders>
                    <w:vAlign w:val="center"/>
                  </w:tcPr>
                  <w:p w14:paraId="56FF6354" w14:textId="77777777" w:rsidR="007E7472" w:rsidRDefault="00C8327E">
                    <w:pPr>
                      <w:jc w:val="right"/>
                    </w:pPr>
                  </w:p>
                </w:tc>
                <w:tc>
                  <w:tcPr>
                    <w:tcW w:w="717" w:type="pct"/>
                    <w:tcBorders>
                      <w:top w:val="single" w:sz="4" w:space="0" w:color="auto"/>
                      <w:left w:val="single" w:sz="4" w:space="0" w:color="auto"/>
                      <w:bottom w:val="single" w:sz="4" w:space="0" w:color="auto"/>
                      <w:right w:val="single" w:sz="4" w:space="0" w:color="auto"/>
                    </w:tcBorders>
                    <w:vAlign w:val="center"/>
                  </w:tcPr>
                  <w:p w14:paraId="1E9281CF" w14:textId="77777777" w:rsidR="007E7472" w:rsidRDefault="00EC1269">
                    <w:pPr>
                      <w:jc w:val="right"/>
                    </w:pPr>
                    <w:r>
                      <w:t>51,000</w:t>
                    </w:r>
                  </w:p>
                </w:tc>
                <w:tc>
                  <w:tcPr>
                    <w:tcW w:w="628" w:type="pct"/>
                    <w:tcBorders>
                      <w:top w:val="single" w:sz="4" w:space="0" w:color="auto"/>
                      <w:left w:val="single" w:sz="4" w:space="0" w:color="auto"/>
                      <w:bottom w:val="single" w:sz="4" w:space="0" w:color="auto"/>
                      <w:right w:val="single" w:sz="4" w:space="0" w:color="auto"/>
                    </w:tcBorders>
                  </w:tcPr>
                  <w:p w14:paraId="758A9213" w14:textId="77777777" w:rsidR="007E7472" w:rsidRDefault="00C8327E">
                    <w:pPr>
                      <w:jc w:val="right"/>
                    </w:pPr>
                  </w:p>
                </w:tc>
                <w:tc>
                  <w:tcPr>
                    <w:tcW w:w="717" w:type="pct"/>
                    <w:tcBorders>
                      <w:top w:val="single" w:sz="4" w:space="0" w:color="auto"/>
                      <w:left w:val="single" w:sz="4" w:space="0" w:color="auto"/>
                      <w:bottom w:val="single" w:sz="4" w:space="0" w:color="auto"/>
                      <w:right w:val="single" w:sz="4" w:space="0" w:color="auto"/>
                    </w:tcBorders>
                    <w:vAlign w:val="center"/>
                  </w:tcPr>
                  <w:p w14:paraId="6012E5BA" w14:textId="77777777" w:rsidR="007E7472" w:rsidRDefault="00C8327E"/>
                </w:tc>
              </w:tr>
            </w:sdtContent>
          </w:sdt>
          <w:sdt>
            <w:sdtPr>
              <w:rPr>
                <w:rFonts w:asciiTheme="minorHAnsi" w:eastAsiaTheme="minorEastAsia" w:hAnsiTheme="minorHAnsi" w:cstheme="minorBidi"/>
                <w:kern w:val="2"/>
              </w:rPr>
              <w:alias w:val="长期股权投资明细"/>
              <w:tag w:val="_GBC_daf82e8df55d4ba9bf351c25fd5a63c2"/>
              <w:id w:val="-1728063754"/>
              <w:lock w:val="sdtLocked"/>
            </w:sdtPr>
            <w:sdtEndPr/>
            <w:sdtContent>
              <w:tr w:rsidR="007E7472" w14:paraId="7F5F0117" w14:textId="77777777">
                <w:tc>
                  <w:tcPr>
                    <w:tcW w:w="962" w:type="pct"/>
                    <w:tcBorders>
                      <w:top w:val="single" w:sz="4" w:space="0" w:color="auto"/>
                      <w:left w:val="single" w:sz="4" w:space="0" w:color="auto"/>
                      <w:bottom w:val="single" w:sz="4" w:space="0" w:color="auto"/>
                      <w:right w:val="single" w:sz="4" w:space="0" w:color="auto"/>
                    </w:tcBorders>
                    <w:vAlign w:val="center"/>
                  </w:tcPr>
                  <w:p w14:paraId="421F05FD" w14:textId="77777777" w:rsidR="007E7472" w:rsidRDefault="00EC1269">
                    <w:r>
                      <w:t>青岛中兖贸易有限公司</w:t>
                    </w:r>
                  </w:p>
                </w:tc>
                <w:tc>
                  <w:tcPr>
                    <w:tcW w:w="717" w:type="pct"/>
                    <w:tcBorders>
                      <w:top w:val="single" w:sz="4" w:space="0" w:color="auto"/>
                      <w:left w:val="single" w:sz="4" w:space="0" w:color="auto"/>
                      <w:bottom w:val="single" w:sz="4" w:space="0" w:color="auto"/>
                      <w:right w:val="single" w:sz="4" w:space="0" w:color="auto"/>
                    </w:tcBorders>
                    <w:vAlign w:val="center"/>
                  </w:tcPr>
                  <w:p w14:paraId="3B358E02" w14:textId="77777777" w:rsidR="007E7472" w:rsidRDefault="00EC1269">
                    <w:pPr>
                      <w:jc w:val="right"/>
                    </w:pPr>
                    <w:r>
                      <w:t>53,012</w:t>
                    </w:r>
                  </w:p>
                </w:tc>
                <w:tc>
                  <w:tcPr>
                    <w:tcW w:w="630" w:type="pct"/>
                    <w:tcBorders>
                      <w:top w:val="single" w:sz="4" w:space="0" w:color="auto"/>
                      <w:left w:val="single" w:sz="4" w:space="0" w:color="auto"/>
                      <w:bottom w:val="single" w:sz="4" w:space="0" w:color="auto"/>
                      <w:right w:val="single" w:sz="4" w:space="0" w:color="auto"/>
                    </w:tcBorders>
                    <w:vAlign w:val="center"/>
                  </w:tcPr>
                  <w:p w14:paraId="1095A710" w14:textId="77777777" w:rsidR="007E7472" w:rsidRDefault="00C8327E">
                    <w:pPr>
                      <w:jc w:val="right"/>
                    </w:pPr>
                  </w:p>
                </w:tc>
                <w:tc>
                  <w:tcPr>
                    <w:tcW w:w="627" w:type="pct"/>
                    <w:tcBorders>
                      <w:top w:val="single" w:sz="4" w:space="0" w:color="auto"/>
                      <w:left w:val="single" w:sz="4" w:space="0" w:color="auto"/>
                      <w:bottom w:val="single" w:sz="4" w:space="0" w:color="auto"/>
                      <w:right w:val="single" w:sz="4" w:space="0" w:color="auto"/>
                    </w:tcBorders>
                    <w:vAlign w:val="center"/>
                  </w:tcPr>
                  <w:p w14:paraId="5836DD77" w14:textId="77777777" w:rsidR="007E7472" w:rsidRDefault="00C8327E">
                    <w:pPr>
                      <w:jc w:val="right"/>
                    </w:pPr>
                  </w:p>
                </w:tc>
                <w:tc>
                  <w:tcPr>
                    <w:tcW w:w="717" w:type="pct"/>
                    <w:tcBorders>
                      <w:top w:val="single" w:sz="4" w:space="0" w:color="auto"/>
                      <w:left w:val="single" w:sz="4" w:space="0" w:color="auto"/>
                      <w:bottom w:val="single" w:sz="4" w:space="0" w:color="auto"/>
                      <w:right w:val="single" w:sz="4" w:space="0" w:color="auto"/>
                    </w:tcBorders>
                    <w:vAlign w:val="center"/>
                  </w:tcPr>
                  <w:p w14:paraId="4BDAF11A" w14:textId="77777777" w:rsidR="007E7472" w:rsidRDefault="00EC1269">
                    <w:pPr>
                      <w:jc w:val="right"/>
                    </w:pPr>
                    <w:r>
                      <w:t>53,012</w:t>
                    </w:r>
                  </w:p>
                </w:tc>
                <w:tc>
                  <w:tcPr>
                    <w:tcW w:w="628" w:type="pct"/>
                    <w:tcBorders>
                      <w:top w:val="single" w:sz="4" w:space="0" w:color="auto"/>
                      <w:left w:val="single" w:sz="4" w:space="0" w:color="auto"/>
                      <w:bottom w:val="single" w:sz="4" w:space="0" w:color="auto"/>
                      <w:right w:val="single" w:sz="4" w:space="0" w:color="auto"/>
                    </w:tcBorders>
                  </w:tcPr>
                  <w:p w14:paraId="2960483D" w14:textId="77777777" w:rsidR="007E7472" w:rsidRDefault="00C8327E">
                    <w:pPr>
                      <w:jc w:val="right"/>
                    </w:pPr>
                  </w:p>
                </w:tc>
                <w:tc>
                  <w:tcPr>
                    <w:tcW w:w="717" w:type="pct"/>
                    <w:tcBorders>
                      <w:top w:val="single" w:sz="4" w:space="0" w:color="auto"/>
                      <w:left w:val="single" w:sz="4" w:space="0" w:color="auto"/>
                      <w:bottom w:val="single" w:sz="4" w:space="0" w:color="auto"/>
                      <w:right w:val="single" w:sz="4" w:space="0" w:color="auto"/>
                    </w:tcBorders>
                    <w:vAlign w:val="center"/>
                  </w:tcPr>
                  <w:p w14:paraId="6DC0252C" w14:textId="77777777" w:rsidR="007E7472" w:rsidRDefault="00C8327E"/>
                </w:tc>
              </w:tr>
            </w:sdtContent>
          </w:sdt>
          <w:sdt>
            <w:sdtPr>
              <w:rPr>
                <w:rFonts w:asciiTheme="minorHAnsi" w:eastAsiaTheme="minorEastAsia" w:hAnsiTheme="minorHAnsi" w:cstheme="minorBidi"/>
                <w:kern w:val="2"/>
              </w:rPr>
              <w:alias w:val="长期股权投资明细"/>
              <w:tag w:val="_GBC_daf82e8df55d4ba9bf351c25fd5a63c2"/>
              <w:id w:val="161747359"/>
              <w:lock w:val="sdtLocked"/>
            </w:sdtPr>
            <w:sdtEndPr/>
            <w:sdtContent>
              <w:tr w:rsidR="007E7472" w14:paraId="08382995" w14:textId="77777777">
                <w:tc>
                  <w:tcPr>
                    <w:tcW w:w="962" w:type="pct"/>
                    <w:tcBorders>
                      <w:top w:val="single" w:sz="4" w:space="0" w:color="auto"/>
                      <w:left w:val="single" w:sz="4" w:space="0" w:color="auto"/>
                      <w:bottom w:val="single" w:sz="4" w:space="0" w:color="auto"/>
                      <w:right w:val="single" w:sz="4" w:space="0" w:color="auto"/>
                    </w:tcBorders>
                    <w:vAlign w:val="center"/>
                  </w:tcPr>
                  <w:p w14:paraId="7AB9D626" w14:textId="77777777" w:rsidR="007E7472" w:rsidRDefault="00EC1269">
                    <w:r>
                      <w:t>兖矿能源（无锡）有限公司</w:t>
                    </w:r>
                  </w:p>
                </w:tc>
                <w:tc>
                  <w:tcPr>
                    <w:tcW w:w="717" w:type="pct"/>
                    <w:tcBorders>
                      <w:top w:val="single" w:sz="4" w:space="0" w:color="auto"/>
                      <w:left w:val="single" w:sz="4" w:space="0" w:color="auto"/>
                      <w:bottom w:val="single" w:sz="4" w:space="0" w:color="auto"/>
                      <w:right w:val="single" w:sz="4" w:space="0" w:color="auto"/>
                    </w:tcBorders>
                    <w:vAlign w:val="center"/>
                  </w:tcPr>
                  <w:p w14:paraId="46596751" w14:textId="77777777" w:rsidR="007E7472" w:rsidRDefault="00EC1269">
                    <w:pPr>
                      <w:jc w:val="right"/>
                    </w:pPr>
                    <w:r>
                      <w:t>131,933</w:t>
                    </w:r>
                  </w:p>
                </w:tc>
                <w:tc>
                  <w:tcPr>
                    <w:tcW w:w="630" w:type="pct"/>
                    <w:tcBorders>
                      <w:top w:val="single" w:sz="4" w:space="0" w:color="auto"/>
                      <w:left w:val="single" w:sz="4" w:space="0" w:color="auto"/>
                      <w:bottom w:val="single" w:sz="4" w:space="0" w:color="auto"/>
                      <w:right w:val="single" w:sz="4" w:space="0" w:color="auto"/>
                    </w:tcBorders>
                    <w:vAlign w:val="center"/>
                  </w:tcPr>
                  <w:p w14:paraId="6EDD5D79" w14:textId="77777777" w:rsidR="007E7472" w:rsidRDefault="00C8327E">
                    <w:pPr>
                      <w:jc w:val="right"/>
                    </w:pPr>
                  </w:p>
                </w:tc>
                <w:tc>
                  <w:tcPr>
                    <w:tcW w:w="627" w:type="pct"/>
                    <w:tcBorders>
                      <w:top w:val="single" w:sz="4" w:space="0" w:color="auto"/>
                      <w:left w:val="single" w:sz="4" w:space="0" w:color="auto"/>
                      <w:bottom w:val="single" w:sz="4" w:space="0" w:color="auto"/>
                      <w:right w:val="single" w:sz="4" w:space="0" w:color="auto"/>
                    </w:tcBorders>
                    <w:vAlign w:val="center"/>
                  </w:tcPr>
                  <w:p w14:paraId="3D57DD00" w14:textId="77777777" w:rsidR="007E7472" w:rsidRDefault="00C8327E">
                    <w:pPr>
                      <w:jc w:val="right"/>
                    </w:pPr>
                  </w:p>
                </w:tc>
                <w:tc>
                  <w:tcPr>
                    <w:tcW w:w="717" w:type="pct"/>
                    <w:tcBorders>
                      <w:top w:val="single" w:sz="4" w:space="0" w:color="auto"/>
                      <w:left w:val="single" w:sz="4" w:space="0" w:color="auto"/>
                      <w:bottom w:val="single" w:sz="4" w:space="0" w:color="auto"/>
                      <w:right w:val="single" w:sz="4" w:space="0" w:color="auto"/>
                    </w:tcBorders>
                    <w:vAlign w:val="center"/>
                  </w:tcPr>
                  <w:p w14:paraId="6EC60E28" w14:textId="77777777" w:rsidR="007E7472" w:rsidRDefault="00EC1269">
                    <w:pPr>
                      <w:jc w:val="right"/>
                    </w:pPr>
                    <w:r>
                      <w:t>131,933</w:t>
                    </w:r>
                  </w:p>
                </w:tc>
                <w:tc>
                  <w:tcPr>
                    <w:tcW w:w="628" w:type="pct"/>
                    <w:tcBorders>
                      <w:top w:val="single" w:sz="4" w:space="0" w:color="auto"/>
                      <w:left w:val="single" w:sz="4" w:space="0" w:color="auto"/>
                      <w:bottom w:val="single" w:sz="4" w:space="0" w:color="auto"/>
                      <w:right w:val="single" w:sz="4" w:space="0" w:color="auto"/>
                    </w:tcBorders>
                  </w:tcPr>
                  <w:p w14:paraId="3F1A0779" w14:textId="77777777" w:rsidR="007E7472" w:rsidRDefault="00C8327E">
                    <w:pPr>
                      <w:jc w:val="right"/>
                    </w:pPr>
                  </w:p>
                </w:tc>
                <w:tc>
                  <w:tcPr>
                    <w:tcW w:w="717" w:type="pct"/>
                    <w:tcBorders>
                      <w:top w:val="single" w:sz="4" w:space="0" w:color="auto"/>
                      <w:left w:val="single" w:sz="4" w:space="0" w:color="auto"/>
                      <w:bottom w:val="single" w:sz="4" w:space="0" w:color="auto"/>
                      <w:right w:val="single" w:sz="4" w:space="0" w:color="auto"/>
                    </w:tcBorders>
                    <w:vAlign w:val="center"/>
                  </w:tcPr>
                  <w:p w14:paraId="649D7902" w14:textId="77777777" w:rsidR="007E7472" w:rsidRDefault="00C8327E"/>
                </w:tc>
              </w:tr>
            </w:sdtContent>
          </w:sdt>
          <w:sdt>
            <w:sdtPr>
              <w:rPr>
                <w:rFonts w:asciiTheme="minorHAnsi" w:eastAsiaTheme="minorEastAsia" w:hAnsiTheme="minorHAnsi" w:cstheme="minorBidi"/>
                <w:kern w:val="2"/>
              </w:rPr>
              <w:alias w:val="长期股权投资明细"/>
              <w:tag w:val="_GBC_daf82e8df55d4ba9bf351c25fd5a63c2"/>
              <w:id w:val="1583792841"/>
              <w:lock w:val="sdtLocked"/>
            </w:sdtPr>
            <w:sdtEndPr/>
            <w:sdtContent>
              <w:tr w:rsidR="007E7472" w14:paraId="60DB4ECF" w14:textId="77777777">
                <w:tc>
                  <w:tcPr>
                    <w:tcW w:w="962" w:type="pct"/>
                    <w:tcBorders>
                      <w:top w:val="single" w:sz="4" w:space="0" w:color="auto"/>
                      <w:left w:val="single" w:sz="4" w:space="0" w:color="auto"/>
                      <w:bottom w:val="single" w:sz="4" w:space="0" w:color="auto"/>
                      <w:right w:val="single" w:sz="4" w:space="0" w:color="auto"/>
                    </w:tcBorders>
                    <w:vAlign w:val="center"/>
                  </w:tcPr>
                  <w:p w14:paraId="6D9FE329" w14:textId="77777777" w:rsidR="007E7472" w:rsidRDefault="00EC1269">
                    <w:r>
                      <w:t>兖矿融资租赁有限公司</w:t>
                    </w:r>
                  </w:p>
                </w:tc>
                <w:tc>
                  <w:tcPr>
                    <w:tcW w:w="717" w:type="pct"/>
                    <w:tcBorders>
                      <w:top w:val="single" w:sz="4" w:space="0" w:color="auto"/>
                      <w:left w:val="single" w:sz="4" w:space="0" w:color="auto"/>
                      <w:bottom w:val="single" w:sz="4" w:space="0" w:color="auto"/>
                      <w:right w:val="single" w:sz="4" w:space="0" w:color="auto"/>
                    </w:tcBorders>
                    <w:vAlign w:val="center"/>
                  </w:tcPr>
                  <w:p w14:paraId="29DA9847" w14:textId="77777777" w:rsidR="007E7472" w:rsidRDefault="00EC1269">
                    <w:pPr>
                      <w:jc w:val="right"/>
                    </w:pPr>
                    <w:r>
                      <w:t>5,235,000</w:t>
                    </w:r>
                  </w:p>
                </w:tc>
                <w:tc>
                  <w:tcPr>
                    <w:tcW w:w="630" w:type="pct"/>
                    <w:tcBorders>
                      <w:top w:val="single" w:sz="4" w:space="0" w:color="auto"/>
                      <w:left w:val="single" w:sz="4" w:space="0" w:color="auto"/>
                      <w:bottom w:val="single" w:sz="4" w:space="0" w:color="auto"/>
                      <w:right w:val="single" w:sz="4" w:space="0" w:color="auto"/>
                    </w:tcBorders>
                    <w:vAlign w:val="center"/>
                  </w:tcPr>
                  <w:p w14:paraId="4210A35A" w14:textId="77777777" w:rsidR="007E7472" w:rsidRDefault="00C8327E">
                    <w:pPr>
                      <w:jc w:val="right"/>
                    </w:pPr>
                  </w:p>
                </w:tc>
                <w:tc>
                  <w:tcPr>
                    <w:tcW w:w="627" w:type="pct"/>
                    <w:tcBorders>
                      <w:top w:val="single" w:sz="4" w:space="0" w:color="auto"/>
                      <w:left w:val="single" w:sz="4" w:space="0" w:color="auto"/>
                      <w:bottom w:val="single" w:sz="4" w:space="0" w:color="auto"/>
                      <w:right w:val="single" w:sz="4" w:space="0" w:color="auto"/>
                    </w:tcBorders>
                    <w:vAlign w:val="center"/>
                  </w:tcPr>
                  <w:p w14:paraId="13577915" w14:textId="77777777" w:rsidR="007E7472" w:rsidRDefault="00C8327E">
                    <w:pPr>
                      <w:jc w:val="right"/>
                    </w:pPr>
                  </w:p>
                </w:tc>
                <w:tc>
                  <w:tcPr>
                    <w:tcW w:w="717" w:type="pct"/>
                    <w:tcBorders>
                      <w:top w:val="single" w:sz="4" w:space="0" w:color="auto"/>
                      <w:left w:val="single" w:sz="4" w:space="0" w:color="auto"/>
                      <w:bottom w:val="single" w:sz="4" w:space="0" w:color="auto"/>
                      <w:right w:val="single" w:sz="4" w:space="0" w:color="auto"/>
                    </w:tcBorders>
                    <w:vAlign w:val="center"/>
                  </w:tcPr>
                  <w:p w14:paraId="1DCCD5C0" w14:textId="77777777" w:rsidR="007E7472" w:rsidRDefault="00EC1269">
                    <w:pPr>
                      <w:jc w:val="right"/>
                    </w:pPr>
                    <w:r>
                      <w:t>5,235,000</w:t>
                    </w:r>
                  </w:p>
                </w:tc>
                <w:tc>
                  <w:tcPr>
                    <w:tcW w:w="628" w:type="pct"/>
                    <w:tcBorders>
                      <w:top w:val="single" w:sz="4" w:space="0" w:color="auto"/>
                      <w:left w:val="single" w:sz="4" w:space="0" w:color="auto"/>
                      <w:bottom w:val="single" w:sz="4" w:space="0" w:color="auto"/>
                      <w:right w:val="single" w:sz="4" w:space="0" w:color="auto"/>
                    </w:tcBorders>
                  </w:tcPr>
                  <w:p w14:paraId="5630E64A" w14:textId="77777777" w:rsidR="007E7472" w:rsidRDefault="00C8327E">
                    <w:pPr>
                      <w:jc w:val="right"/>
                    </w:pPr>
                  </w:p>
                </w:tc>
                <w:tc>
                  <w:tcPr>
                    <w:tcW w:w="717" w:type="pct"/>
                    <w:tcBorders>
                      <w:top w:val="single" w:sz="4" w:space="0" w:color="auto"/>
                      <w:left w:val="single" w:sz="4" w:space="0" w:color="auto"/>
                      <w:bottom w:val="single" w:sz="4" w:space="0" w:color="auto"/>
                      <w:right w:val="single" w:sz="4" w:space="0" w:color="auto"/>
                    </w:tcBorders>
                    <w:vAlign w:val="center"/>
                  </w:tcPr>
                  <w:p w14:paraId="2CFF7FEC" w14:textId="77777777" w:rsidR="007E7472" w:rsidRDefault="00C8327E"/>
                </w:tc>
              </w:tr>
            </w:sdtContent>
          </w:sdt>
          <w:sdt>
            <w:sdtPr>
              <w:rPr>
                <w:rFonts w:asciiTheme="minorHAnsi" w:eastAsiaTheme="minorEastAsia" w:hAnsiTheme="minorHAnsi" w:cstheme="minorBidi"/>
                <w:kern w:val="2"/>
              </w:rPr>
              <w:alias w:val="长期股权投资明细"/>
              <w:tag w:val="_GBC_daf82e8df55d4ba9bf351c25fd5a63c2"/>
              <w:id w:val="44955908"/>
              <w:lock w:val="sdtLocked"/>
            </w:sdtPr>
            <w:sdtEndPr/>
            <w:sdtContent>
              <w:tr w:rsidR="007E7472" w14:paraId="458CD49D" w14:textId="77777777">
                <w:tc>
                  <w:tcPr>
                    <w:tcW w:w="962" w:type="pct"/>
                    <w:tcBorders>
                      <w:top w:val="single" w:sz="4" w:space="0" w:color="auto"/>
                      <w:left w:val="single" w:sz="4" w:space="0" w:color="auto"/>
                      <w:bottom w:val="single" w:sz="4" w:space="0" w:color="auto"/>
                      <w:right w:val="single" w:sz="4" w:space="0" w:color="auto"/>
                    </w:tcBorders>
                    <w:vAlign w:val="center"/>
                  </w:tcPr>
                  <w:p w14:paraId="586B3F61" w14:textId="77777777" w:rsidR="007E7472" w:rsidRDefault="00EC1269">
                    <w:r>
                      <w:t>兖矿东华重工有限公司</w:t>
                    </w:r>
                  </w:p>
                </w:tc>
                <w:tc>
                  <w:tcPr>
                    <w:tcW w:w="717" w:type="pct"/>
                    <w:tcBorders>
                      <w:top w:val="single" w:sz="4" w:space="0" w:color="auto"/>
                      <w:left w:val="single" w:sz="4" w:space="0" w:color="auto"/>
                      <w:bottom w:val="single" w:sz="4" w:space="0" w:color="auto"/>
                      <w:right w:val="single" w:sz="4" w:space="0" w:color="auto"/>
                    </w:tcBorders>
                    <w:vAlign w:val="center"/>
                  </w:tcPr>
                  <w:p w14:paraId="256B4076" w14:textId="77777777" w:rsidR="007E7472" w:rsidRDefault="00EC1269">
                    <w:pPr>
                      <w:jc w:val="right"/>
                    </w:pPr>
                    <w:r>
                      <w:t>2,154,477</w:t>
                    </w:r>
                  </w:p>
                </w:tc>
                <w:tc>
                  <w:tcPr>
                    <w:tcW w:w="630" w:type="pct"/>
                    <w:tcBorders>
                      <w:top w:val="single" w:sz="4" w:space="0" w:color="auto"/>
                      <w:left w:val="single" w:sz="4" w:space="0" w:color="auto"/>
                      <w:bottom w:val="single" w:sz="4" w:space="0" w:color="auto"/>
                      <w:right w:val="single" w:sz="4" w:space="0" w:color="auto"/>
                    </w:tcBorders>
                    <w:vAlign w:val="center"/>
                  </w:tcPr>
                  <w:p w14:paraId="1E94A8A4" w14:textId="77777777" w:rsidR="007E7472" w:rsidRDefault="00C8327E">
                    <w:pPr>
                      <w:jc w:val="right"/>
                    </w:pPr>
                  </w:p>
                </w:tc>
                <w:tc>
                  <w:tcPr>
                    <w:tcW w:w="627" w:type="pct"/>
                    <w:tcBorders>
                      <w:top w:val="single" w:sz="4" w:space="0" w:color="auto"/>
                      <w:left w:val="single" w:sz="4" w:space="0" w:color="auto"/>
                      <w:bottom w:val="single" w:sz="4" w:space="0" w:color="auto"/>
                      <w:right w:val="single" w:sz="4" w:space="0" w:color="auto"/>
                    </w:tcBorders>
                    <w:vAlign w:val="center"/>
                  </w:tcPr>
                  <w:p w14:paraId="481650C7" w14:textId="77777777" w:rsidR="007E7472" w:rsidRDefault="00C8327E">
                    <w:pPr>
                      <w:jc w:val="right"/>
                    </w:pPr>
                  </w:p>
                </w:tc>
                <w:tc>
                  <w:tcPr>
                    <w:tcW w:w="717" w:type="pct"/>
                    <w:tcBorders>
                      <w:top w:val="single" w:sz="4" w:space="0" w:color="auto"/>
                      <w:left w:val="single" w:sz="4" w:space="0" w:color="auto"/>
                      <w:bottom w:val="single" w:sz="4" w:space="0" w:color="auto"/>
                      <w:right w:val="single" w:sz="4" w:space="0" w:color="auto"/>
                    </w:tcBorders>
                    <w:vAlign w:val="center"/>
                  </w:tcPr>
                  <w:p w14:paraId="1B25BAC9" w14:textId="77777777" w:rsidR="007E7472" w:rsidRDefault="00EC1269">
                    <w:pPr>
                      <w:jc w:val="right"/>
                    </w:pPr>
                    <w:r>
                      <w:t>2,154,477</w:t>
                    </w:r>
                  </w:p>
                </w:tc>
                <w:tc>
                  <w:tcPr>
                    <w:tcW w:w="628" w:type="pct"/>
                    <w:tcBorders>
                      <w:top w:val="single" w:sz="4" w:space="0" w:color="auto"/>
                      <w:left w:val="single" w:sz="4" w:space="0" w:color="auto"/>
                      <w:bottom w:val="single" w:sz="4" w:space="0" w:color="auto"/>
                      <w:right w:val="single" w:sz="4" w:space="0" w:color="auto"/>
                    </w:tcBorders>
                  </w:tcPr>
                  <w:p w14:paraId="117B785B" w14:textId="77777777" w:rsidR="007E7472" w:rsidRDefault="00C8327E">
                    <w:pPr>
                      <w:jc w:val="right"/>
                    </w:pPr>
                  </w:p>
                </w:tc>
                <w:tc>
                  <w:tcPr>
                    <w:tcW w:w="717" w:type="pct"/>
                    <w:tcBorders>
                      <w:top w:val="single" w:sz="4" w:space="0" w:color="auto"/>
                      <w:left w:val="single" w:sz="4" w:space="0" w:color="auto"/>
                      <w:bottom w:val="single" w:sz="4" w:space="0" w:color="auto"/>
                      <w:right w:val="single" w:sz="4" w:space="0" w:color="auto"/>
                    </w:tcBorders>
                    <w:vAlign w:val="center"/>
                  </w:tcPr>
                  <w:p w14:paraId="48C4EB89" w14:textId="77777777" w:rsidR="007E7472" w:rsidRDefault="00C8327E"/>
                </w:tc>
              </w:tr>
            </w:sdtContent>
          </w:sdt>
          <w:sdt>
            <w:sdtPr>
              <w:rPr>
                <w:rFonts w:asciiTheme="minorHAnsi" w:eastAsiaTheme="minorEastAsia" w:hAnsiTheme="minorHAnsi" w:cstheme="minorBidi"/>
                <w:kern w:val="2"/>
              </w:rPr>
              <w:alias w:val="长期股权投资明细"/>
              <w:tag w:val="_GBC_daf82e8df55d4ba9bf351c25fd5a63c2"/>
              <w:id w:val="1810905460"/>
              <w:lock w:val="sdtLocked"/>
            </w:sdtPr>
            <w:sdtEndPr/>
            <w:sdtContent>
              <w:tr w:rsidR="007E7472" w14:paraId="1F799C72" w14:textId="77777777">
                <w:tc>
                  <w:tcPr>
                    <w:tcW w:w="962" w:type="pct"/>
                    <w:tcBorders>
                      <w:top w:val="single" w:sz="4" w:space="0" w:color="auto"/>
                      <w:left w:val="single" w:sz="4" w:space="0" w:color="auto"/>
                      <w:bottom w:val="single" w:sz="4" w:space="0" w:color="auto"/>
                      <w:right w:val="single" w:sz="4" w:space="0" w:color="auto"/>
                    </w:tcBorders>
                    <w:vAlign w:val="center"/>
                  </w:tcPr>
                  <w:p w14:paraId="46C56FD0" w14:textId="77777777" w:rsidR="007E7472" w:rsidRDefault="00EC1269">
                    <w:r>
                      <w:t>山东端信供应链管理有限公司</w:t>
                    </w:r>
                  </w:p>
                </w:tc>
                <w:tc>
                  <w:tcPr>
                    <w:tcW w:w="717" w:type="pct"/>
                    <w:tcBorders>
                      <w:top w:val="single" w:sz="4" w:space="0" w:color="auto"/>
                      <w:left w:val="single" w:sz="4" w:space="0" w:color="auto"/>
                      <w:bottom w:val="single" w:sz="4" w:space="0" w:color="auto"/>
                      <w:right w:val="single" w:sz="4" w:space="0" w:color="auto"/>
                    </w:tcBorders>
                    <w:vAlign w:val="center"/>
                  </w:tcPr>
                  <w:p w14:paraId="1F5F642B" w14:textId="77777777" w:rsidR="007E7472" w:rsidRDefault="00EC1269">
                    <w:pPr>
                      <w:jc w:val="right"/>
                    </w:pPr>
                    <w:r>
                      <w:t>200,000</w:t>
                    </w:r>
                  </w:p>
                </w:tc>
                <w:tc>
                  <w:tcPr>
                    <w:tcW w:w="630" w:type="pct"/>
                    <w:tcBorders>
                      <w:top w:val="single" w:sz="4" w:space="0" w:color="auto"/>
                      <w:left w:val="single" w:sz="4" w:space="0" w:color="auto"/>
                      <w:bottom w:val="single" w:sz="4" w:space="0" w:color="auto"/>
                      <w:right w:val="single" w:sz="4" w:space="0" w:color="auto"/>
                    </w:tcBorders>
                    <w:vAlign w:val="center"/>
                  </w:tcPr>
                  <w:p w14:paraId="299284CA" w14:textId="77777777" w:rsidR="007E7472" w:rsidRDefault="00C8327E">
                    <w:pPr>
                      <w:jc w:val="right"/>
                    </w:pPr>
                  </w:p>
                </w:tc>
                <w:tc>
                  <w:tcPr>
                    <w:tcW w:w="627" w:type="pct"/>
                    <w:tcBorders>
                      <w:top w:val="single" w:sz="4" w:space="0" w:color="auto"/>
                      <w:left w:val="single" w:sz="4" w:space="0" w:color="auto"/>
                      <w:bottom w:val="single" w:sz="4" w:space="0" w:color="auto"/>
                      <w:right w:val="single" w:sz="4" w:space="0" w:color="auto"/>
                    </w:tcBorders>
                    <w:vAlign w:val="center"/>
                  </w:tcPr>
                  <w:p w14:paraId="74FCF193" w14:textId="77777777" w:rsidR="007E7472" w:rsidRDefault="00C8327E">
                    <w:pPr>
                      <w:jc w:val="right"/>
                    </w:pPr>
                  </w:p>
                </w:tc>
                <w:tc>
                  <w:tcPr>
                    <w:tcW w:w="717" w:type="pct"/>
                    <w:tcBorders>
                      <w:top w:val="single" w:sz="4" w:space="0" w:color="auto"/>
                      <w:left w:val="single" w:sz="4" w:space="0" w:color="auto"/>
                      <w:bottom w:val="single" w:sz="4" w:space="0" w:color="auto"/>
                      <w:right w:val="single" w:sz="4" w:space="0" w:color="auto"/>
                    </w:tcBorders>
                    <w:vAlign w:val="center"/>
                  </w:tcPr>
                  <w:p w14:paraId="26CC9D73" w14:textId="77777777" w:rsidR="007E7472" w:rsidRDefault="00EC1269">
                    <w:pPr>
                      <w:jc w:val="right"/>
                    </w:pPr>
                    <w:r>
                      <w:t>200,000</w:t>
                    </w:r>
                  </w:p>
                </w:tc>
                <w:tc>
                  <w:tcPr>
                    <w:tcW w:w="628" w:type="pct"/>
                    <w:tcBorders>
                      <w:top w:val="single" w:sz="4" w:space="0" w:color="auto"/>
                      <w:left w:val="single" w:sz="4" w:space="0" w:color="auto"/>
                      <w:bottom w:val="single" w:sz="4" w:space="0" w:color="auto"/>
                      <w:right w:val="single" w:sz="4" w:space="0" w:color="auto"/>
                    </w:tcBorders>
                  </w:tcPr>
                  <w:p w14:paraId="12C100CC" w14:textId="77777777" w:rsidR="007E7472" w:rsidRDefault="00C8327E">
                    <w:pPr>
                      <w:jc w:val="right"/>
                    </w:pPr>
                  </w:p>
                </w:tc>
                <w:tc>
                  <w:tcPr>
                    <w:tcW w:w="717" w:type="pct"/>
                    <w:tcBorders>
                      <w:top w:val="single" w:sz="4" w:space="0" w:color="auto"/>
                      <w:left w:val="single" w:sz="4" w:space="0" w:color="auto"/>
                      <w:bottom w:val="single" w:sz="4" w:space="0" w:color="auto"/>
                      <w:right w:val="single" w:sz="4" w:space="0" w:color="auto"/>
                    </w:tcBorders>
                    <w:vAlign w:val="center"/>
                  </w:tcPr>
                  <w:p w14:paraId="1148588C" w14:textId="77777777" w:rsidR="007E7472" w:rsidRDefault="00C8327E"/>
                </w:tc>
              </w:tr>
            </w:sdtContent>
          </w:sdt>
          <w:sdt>
            <w:sdtPr>
              <w:rPr>
                <w:rFonts w:asciiTheme="minorHAnsi" w:eastAsiaTheme="minorEastAsia" w:hAnsiTheme="minorHAnsi" w:cstheme="minorBidi"/>
                <w:kern w:val="2"/>
              </w:rPr>
              <w:alias w:val="长期股权投资明细"/>
              <w:tag w:val="_GBC_daf82e8df55d4ba9bf351c25fd5a63c2"/>
              <w:id w:val="1971019185"/>
              <w:lock w:val="sdtLocked"/>
            </w:sdtPr>
            <w:sdtEndPr/>
            <w:sdtContent>
              <w:tr w:rsidR="007E7472" w14:paraId="0F30C367" w14:textId="77777777">
                <w:tc>
                  <w:tcPr>
                    <w:tcW w:w="962" w:type="pct"/>
                    <w:tcBorders>
                      <w:top w:val="single" w:sz="4" w:space="0" w:color="auto"/>
                      <w:left w:val="single" w:sz="4" w:space="0" w:color="auto"/>
                      <w:bottom w:val="single" w:sz="4" w:space="0" w:color="auto"/>
                      <w:right w:val="single" w:sz="4" w:space="0" w:color="auto"/>
                    </w:tcBorders>
                    <w:vAlign w:val="center"/>
                  </w:tcPr>
                  <w:p w14:paraId="177393FD" w14:textId="77777777" w:rsidR="007E7472" w:rsidRDefault="00EC1269">
                    <w:r>
                      <w:t>兖煤矿业工程有限公司</w:t>
                    </w:r>
                  </w:p>
                </w:tc>
                <w:tc>
                  <w:tcPr>
                    <w:tcW w:w="717" w:type="pct"/>
                    <w:tcBorders>
                      <w:top w:val="single" w:sz="4" w:space="0" w:color="auto"/>
                      <w:left w:val="single" w:sz="4" w:space="0" w:color="auto"/>
                      <w:bottom w:val="single" w:sz="4" w:space="0" w:color="auto"/>
                      <w:right w:val="single" w:sz="4" w:space="0" w:color="auto"/>
                    </w:tcBorders>
                    <w:vAlign w:val="center"/>
                  </w:tcPr>
                  <w:p w14:paraId="48010AD4" w14:textId="77777777" w:rsidR="007E7472" w:rsidRDefault="00EC1269">
                    <w:pPr>
                      <w:jc w:val="right"/>
                    </w:pPr>
                    <w:r>
                      <w:t>85,200</w:t>
                    </w:r>
                  </w:p>
                </w:tc>
                <w:tc>
                  <w:tcPr>
                    <w:tcW w:w="630" w:type="pct"/>
                    <w:tcBorders>
                      <w:top w:val="single" w:sz="4" w:space="0" w:color="auto"/>
                      <w:left w:val="single" w:sz="4" w:space="0" w:color="auto"/>
                      <w:bottom w:val="single" w:sz="4" w:space="0" w:color="auto"/>
                      <w:right w:val="single" w:sz="4" w:space="0" w:color="auto"/>
                    </w:tcBorders>
                    <w:vAlign w:val="center"/>
                  </w:tcPr>
                  <w:p w14:paraId="6B095083" w14:textId="77777777" w:rsidR="007E7472" w:rsidRDefault="00C8327E">
                    <w:pPr>
                      <w:jc w:val="right"/>
                    </w:pPr>
                  </w:p>
                </w:tc>
                <w:tc>
                  <w:tcPr>
                    <w:tcW w:w="627" w:type="pct"/>
                    <w:tcBorders>
                      <w:top w:val="single" w:sz="4" w:space="0" w:color="auto"/>
                      <w:left w:val="single" w:sz="4" w:space="0" w:color="auto"/>
                      <w:bottom w:val="single" w:sz="4" w:space="0" w:color="auto"/>
                      <w:right w:val="single" w:sz="4" w:space="0" w:color="auto"/>
                    </w:tcBorders>
                    <w:vAlign w:val="center"/>
                  </w:tcPr>
                  <w:p w14:paraId="5F62A833" w14:textId="77777777" w:rsidR="007E7472" w:rsidRDefault="00C8327E">
                    <w:pPr>
                      <w:jc w:val="right"/>
                    </w:pPr>
                  </w:p>
                </w:tc>
                <w:tc>
                  <w:tcPr>
                    <w:tcW w:w="717" w:type="pct"/>
                    <w:tcBorders>
                      <w:top w:val="single" w:sz="4" w:space="0" w:color="auto"/>
                      <w:left w:val="single" w:sz="4" w:space="0" w:color="auto"/>
                      <w:bottom w:val="single" w:sz="4" w:space="0" w:color="auto"/>
                      <w:right w:val="single" w:sz="4" w:space="0" w:color="auto"/>
                    </w:tcBorders>
                    <w:vAlign w:val="center"/>
                  </w:tcPr>
                  <w:p w14:paraId="66DB9B0B" w14:textId="77777777" w:rsidR="007E7472" w:rsidRDefault="00EC1269">
                    <w:pPr>
                      <w:jc w:val="right"/>
                    </w:pPr>
                    <w:r>
                      <w:t>85,200</w:t>
                    </w:r>
                  </w:p>
                </w:tc>
                <w:tc>
                  <w:tcPr>
                    <w:tcW w:w="628" w:type="pct"/>
                    <w:tcBorders>
                      <w:top w:val="single" w:sz="4" w:space="0" w:color="auto"/>
                      <w:left w:val="single" w:sz="4" w:space="0" w:color="auto"/>
                      <w:bottom w:val="single" w:sz="4" w:space="0" w:color="auto"/>
                      <w:right w:val="single" w:sz="4" w:space="0" w:color="auto"/>
                    </w:tcBorders>
                  </w:tcPr>
                  <w:p w14:paraId="11D7F221" w14:textId="77777777" w:rsidR="007E7472" w:rsidRDefault="00C8327E">
                    <w:pPr>
                      <w:jc w:val="right"/>
                    </w:pPr>
                  </w:p>
                </w:tc>
                <w:tc>
                  <w:tcPr>
                    <w:tcW w:w="717" w:type="pct"/>
                    <w:tcBorders>
                      <w:top w:val="single" w:sz="4" w:space="0" w:color="auto"/>
                      <w:left w:val="single" w:sz="4" w:space="0" w:color="auto"/>
                      <w:bottom w:val="single" w:sz="4" w:space="0" w:color="auto"/>
                      <w:right w:val="single" w:sz="4" w:space="0" w:color="auto"/>
                    </w:tcBorders>
                    <w:vAlign w:val="center"/>
                  </w:tcPr>
                  <w:p w14:paraId="24709C81" w14:textId="77777777" w:rsidR="007E7472" w:rsidRDefault="00C8327E"/>
                </w:tc>
              </w:tr>
            </w:sdtContent>
          </w:sdt>
          <w:sdt>
            <w:sdtPr>
              <w:rPr>
                <w:rFonts w:asciiTheme="minorHAnsi" w:eastAsiaTheme="minorEastAsia" w:hAnsiTheme="minorHAnsi" w:cstheme="minorBidi"/>
                <w:kern w:val="2"/>
              </w:rPr>
              <w:alias w:val="长期股权投资明细"/>
              <w:tag w:val="_GBC_daf82e8df55d4ba9bf351c25fd5a63c2"/>
              <w:id w:val="-1746249307"/>
              <w:lock w:val="sdtLocked"/>
            </w:sdtPr>
            <w:sdtEndPr/>
            <w:sdtContent>
              <w:tr w:rsidR="007E7472" w14:paraId="70050480" w14:textId="77777777">
                <w:tc>
                  <w:tcPr>
                    <w:tcW w:w="962" w:type="pct"/>
                    <w:tcBorders>
                      <w:top w:val="single" w:sz="4" w:space="0" w:color="auto"/>
                      <w:left w:val="single" w:sz="4" w:space="0" w:color="auto"/>
                      <w:bottom w:val="single" w:sz="4" w:space="0" w:color="auto"/>
                      <w:right w:val="single" w:sz="4" w:space="0" w:color="auto"/>
                    </w:tcBorders>
                    <w:vAlign w:val="center"/>
                  </w:tcPr>
                  <w:p w14:paraId="5CC50548" w14:textId="77777777" w:rsidR="007E7472" w:rsidRDefault="00EC1269">
                    <w:r>
                      <w:t>兖煤蓝天清洁能源有限公司</w:t>
                    </w:r>
                  </w:p>
                </w:tc>
                <w:tc>
                  <w:tcPr>
                    <w:tcW w:w="717" w:type="pct"/>
                    <w:tcBorders>
                      <w:top w:val="single" w:sz="4" w:space="0" w:color="auto"/>
                      <w:left w:val="single" w:sz="4" w:space="0" w:color="auto"/>
                      <w:bottom w:val="single" w:sz="4" w:space="0" w:color="auto"/>
                      <w:right w:val="single" w:sz="4" w:space="0" w:color="auto"/>
                    </w:tcBorders>
                    <w:vAlign w:val="center"/>
                  </w:tcPr>
                  <w:p w14:paraId="0D688436" w14:textId="77777777" w:rsidR="007E7472" w:rsidRDefault="00EC1269">
                    <w:pPr>
                      <w:jc w:val="right"/>
                    </w:pPr>
                    <w:r>
                      <w:t>306,790</w:t>
                    </w:r>
                  </w:p>
                </w:tc>
                <w:tc>
                  <w:tcPr>
                    <w:tcW w:w="630" w:type="pct"/>
                    <w:tcBorders>
                      <w:top w:val="single" w:sz="4" w:space="0" w:color="auto"/>
                      <w:left w:val="single" w:sz="4" w:space="0" w:color="auto"/>
                      <w:bottom w:val="single" w:sz="4" w:space="0" w:color="auto"/>
                      <w:right w:val="single" w:sz="4" w:space="0" w:color="auto"/>
                    </w:tcBorders>
                    <w:vAlign w:val="center"/>
                  </w:tcPr>
                  <w:p w14:paraId="7DA4B20D" w14:textId="77777777" w:rsidR="007E7472" w:rsidRDefault="00C8327E">
                    <w:pPr>
                      <w:jc w:val="right"/>
                    </w:pPr>
                  </w:p>
                </w:tc>
                <w:tc>
                  <w:tcPr>
                    <w:tcW w:w="627" w:type="pct"/>
                    <w:tcBorders>
                      <w:top w:val="single" w:sz="4" w:space="0" w:color="auto"/>
                      <w:left w:val="single" w:sz="4" w:space="0" w:color="auto"/>
                      <w:bottom w:val="single" w:sz="4" w:space="0" w:color="auto"/>
                      <w:right w:val="single" w:sz="4" w:space="0" w:color="auto"/>
                    </w:tcBorders>
                    <w:vAlign w:val="center"/>
                  </w:tcPr>
                  <w:p w14:paraId="324FA3E5" w14:textId="77777777" w:rsidR="007E7472" w:rsidRDefault="00C8327E">
                    <w:pPr>
                      <w:jc w:val="right"/>
                    </w:pPr>
                  </w:p>
                </w:tc>
                <w:tc>
                  <w:tcPr>
                    <w:tcW w:w="717" w:type="pct"/>
                    <w:tcBorders>
                      <w:top w:val="single" w:sz="4" w:space="0" w:color="auto"/>
                      <w:left w:val="single" w:sz="4" w:space="0" w:color="auto"/>
                      <w:bottom w:val="single" w:sz="4" w:space="0" w:color="auto"/>
                      <w:right w:val="single" w:sz="4" w:space="0" w:color="auto"/>
                    </w:tcBorders>
                    <w:vAlign w:val="center"/>
                  </w:tcPr>
                  <w:p w14:paraId="344F55BE" w14:textId="77777777" w:rsidR="007E7472" w:rsidRDefault="00EC1269">
                    <w:pPr>
                      <w:jc w:val="right"/>
                    </w:pPr>
                    <w:r>
                      <w:t>306,790</w:t>
                    </w:r>
                  </w:p>
                </w:tc>
                <w:tc>
                  <w:tcPr>
                    <w:tcW w:w="628" w:type="pct"/>
                    <w:tcBorders>
                      <w:top w:val="single" w:sz="4" w:space="0" w:color="auto"/>
                      <w:left w:val="single" w:sz="4" w:space="0" w:color="auto"/>
                      <w:bottom w:val="single" w:sz="4" w:space="0" w:color="auto"/>
                      <w:right w:val="single" w:sz="4" w:space="0" w:color="auto"/>
                    </w:tcBorders>
                  </w:tcPr>
                  <w:p w14:paraId="629933C9" w14:textId="77777777" w:rsidR="007E7472" w:rsidRDefault="00C8327E">
                    <w:pPr>
                      <w:jc w:val="right"/>
                    </w:pPr>
                  </w:p>
                </w:tc>
                <w:tc>
                  <w:tcPr>
                    <w:tcW w:w="717" w:type="pct"/>
                    <w:tcBorders>
                      <w:top w:val="single" w:sz="4" w:space="0" w:color="auto"/>
                      <w:left w:val="single" w:sz="4" w:space="0" w:color="auto"/>
                      <w:bottom w:val="single" w:sz="4" w:space="0" w:color="auto"/>
                      <w:right w:val="single" w:sz="4" w:space="0" w:color="auto"/>
                    </w:tcBorders>
                    <w:vAlign w:val="center"/>
                  </w:tcPr>
                  <w:p w14:paraId="2A649717" w14:textId="77777777" w:rsidR="007E7472" w:rsidRDefault="00C8327E"/>
                </w:tc>
              </w:tr>
            </w:sdtContent>
          </w:sdt>
          <w:sdt>
            <w:sdtPr>
              <w:rPr>
                <w:rFonts w:asciiTheme="minorHAnsi" w:eastAsiaTheme="minorEastAsia" w:hAnsiTheme="minorHAnsi" w:cstheme="minorBidi"/>
                <w:kern w:val="2"/>
              </w:rPr>
              <w:alias w:val="长期股权投资明细"/>
              <w:tag w:val="_GBC_daf82e8df55d4ba9bf351c25fd5a63c2"/>
              <w:id w:val="1792471581"/>
              <w:lock w:val="sdtLocked"/>
            </w:sdtPr>
            <w:sdtEndPr/>
            <w:sdtContent>
              <w:tr w:rsidR="007E7472" w14:paraId="53CDBEC7" w14:textId="77777777">
                <w:tc>
                  <w:tcPr>
                    <w:tcW w:w="962" w:type="pct"/>
                    <w:tcBorders>
                      <w:top w:val="single" w:sz="4" w:space="0" w:color="auto"/>
                      <w:left w:val="single" w:sz="4" w:space="0" w:color="auto"/>
                      <w:bottom w:val="single" w:sz="4" w:space="0" w:color="auto"/>
                      <w:right w:val="single" w:sz="4" w:space="0" w:color="auto"/>
                    </w:tcBorders>
                    <w:vAlign w:val="center"/>
                  </w:tcPr>
                  <w:p w14:paraId="0B8A96B8" w14:textId="77777777" w:rsidR="007E7472" w:rsidRDefault="00EC1269">
                    <w:r>
                      <w:t>端信投资控股（深圳）有限公司</w:t>
                    </w:r>
                  </w:p>
                </w:tc>
                <w:tc>
                  <w:tcPr>
                    <w:tcW w:w="717" w:type="pct"/>
                    <w:tcBorders>
                      <w:top w:val="single" w:sz="4" w:space="0" w:color="auto"/>
                      <w:left w:val="single" w:sz="4" w:space="0" w:color="auto"/>
                      <w:bottom w:val="single" w:sz="4" w:space="0" w:color="auto"/>
                      <w:right w:val="single" w:sz="4" w:space="0" w:color="auto"/>
                    </w:tcBorders>
                    <w:vAlign w:val="center"/>
                  </w:tcPr>
                  <w:p w14:paraId="5EC4B9D4" w14:textId="77777777" w:rsidR="007E7472" w:rsidRDefault="00EC1269">
                    <w:pPr>
                      <w:jc w:val="right"/>
                    </w:pPr>
                    <w:r>
                      <w:t>1,100,000</w:t>
                    </w:r>
                  </w:p>
                </w:tc>
                <w:tc>
                  <w:tcPr>
                    <w:tcW w:w="630" w:type="pct"/>
                    <w:tcBorders>
                      <w:top w:val="single" w:sz="4" w:space="0" w:color="auto"/>
                      <w:left w:val="single" w:sz="4" w:space="0" w:color="auto"/>
                      <w:bottom w:val="single" w:sz="4" w:space="0" w:color="auto"/>
                      <w:right w:val="single" w:sz="4" w:space="0" w:color="auto"/>
                    </w:tcBorders>
                    <w:vAlign w:val="center"/>
                  </w:tcPr>
                  <w:p w14:paraId="3C19E191" w14:textId="77777777" w:rsidR="007E7472" w:rsidRDefault="00C8327E">
                    <w:pPr>
                      <w:jc w:val="right"/>
                    </w:pPr>
                  </w:p>
                </w:tc>
                <w:tc>
                  <w:tcPr>
                    <w:tcW w:w="627" w:type="pct"/>
                    <w:tcBorders>
                      <w:top w:val="single" w:sz="4" w:space="0" w:color="auto"/>
                      <w:left w:val="single" w:sz="4" w:space="0" w:color="auto"/>
                      <w:bottom w:val="single" w:sz="4" w:space="0" w:color="auto"/>
                      <w:right w:val="single" w:sz="4" w:space="0" w:color="auto"/>
                    </w:tcBorders>
                    <w:vAlign w:val="center"/>
                  </w:tcPr>
                  <w:p w14:paraId="47EF5290" w14:textId="77777777" w:rsidR="007E7472" w:rsidRDefault="00C8327E">
                    <w:pPr>
                      <w:jc w:val="right"/>
                    </w:pPr>
                  </w:p>
                </w:tc>
                <w:tc>
                  <w:tcPr>
                    <w:tcW w:w="717" w:type="pct"/>
                    <w:tcBorders>
                      <w:top w:val="single" w:sz="4" w:space="0" w:color="auto"/>
                      <w:left w:val="single" w:sz="4" w:space="0" w:color="auto"/>
                      <w:bottom w:val="single" w:sz="4" w:space="0" w:color="auto"/>
                      <w:right w:val="single" w:sz="4" w:space="0" w:color="auto"/>
                    </w:tcBorders>
                    <w:vAlign w:val="center"/>
                  </w:tcPr>
                  <w:p w14:paraId="433F44D1" w14:textId="77777777" w:rsidR="007E7472" w:rsidRDefault="00EC1269">
                    <w:pPr>
                      <w:jc w:val="right"/>
                    </w:pPr>
                    <w:r>
                      <w:t>1,100,000</w:t>
                    </w:r>
                  </w:p>
                </w:tc>
                <w:tc>
                  <w:tcPr>
                    <w:tcW w:w="628" w:type="pct"/>
                    <w:tcBorders>
                      <w:top w:val="single" w:sz="4" w:space="0" w:color="auto"/>
                      <w:left w:val="single" w:sz="4" w:space="0" w:color="auto"/>
                      <w:bottom w:val="single" w:sz="4" w:space="0" w:color="auto"/>
                      <w:right w:val="single" w:sz="4" w:space="0" w:color="auto"/>
                    </w:tcBorders>
                  </w:tcPr>
                  <w:p w14:paraId="6D3FCBFB" w14:textId="77777777" w:rsidR="007E7472" w:rsidRDefault="00C8327E">
                    <w:pPr>
                      <w:jc w:val="right"/>
                    </w:pPr>
                  </w:p>
                </w:tc>
                <w:tc>
                  <w:tcPr>
                    <w:tcW w:w="717" w:type="pct"/>
                    <w:tcBorders>
                      <w:top w:val="single" w:sz="4" w:space="0" w:color="auto"/>
                      <w:left w:val="single" w:sz="4" w:space="0" w:color="auto"/>
                      <w:bottom w:val="single" w:sz="4" w:space="0" w:color="auto"/>
                      <w:right w:val="single" w:sz="4" w:space="0" w:color="auto"/>
                    </w:tcBorders>
                    <w:vAlign w:val="center"/>
                  </w:tcPr>
                  <w:p w14:paraId="43815604" w14:textId="77777777" w:rsidR="007E7472" w:rsidRDefault="00C8327E"/>
                </w:tc>
              </w:tr>
            </w:sdtContent>
          </w:sdt>
          <w:sdt>
            <w:sdtPr>
              <w:rPr>
                <w:rFonts w:asciiTheme="minorHAnsi" w:eastAsiaTheme="minorEastAsia" w:hAnsiTheme="minorHAnsi" w:cstheme="minorBidi"/>
                <w:kern w:val="2"/>
              </w:rPr>
              <w:alias w:val="长期股权投资明细"/>
              <w:tag w:val="_GBC_daf82e8df55d4ba9bf351c25fd5a63c2"/>
              <w:id w:val="-1203245473"/>
              <w:lock w:val="sdtLocked"/>
            </w:sdtPr>
            <w:sdtEndPr/>
            <w:sdtContent>
              <w:tr w:rsidR="007E7472" w14:paraId="09660013" w14:textId="77777777">
                <w:tc>
                  <w:tcPr>
                    <w:tcW w:w="962" w:type="pct"/>
                    <w:tcBorders>
                      <w:top w:val="single" w:sz="4" w:space="0" w:color="auto"/>
                      <w:left w:val="single" w:sz="4" w:space="0" w:color="auto"/>
                      <w:bottom w:val="single" w:sz="4" w:space="0" w:color="auto"/>
                      <w:right w:val="single" w:sz="4" w:space="0" w:color="auto"/>
                    </w:tcBorders>
                    <w:vAlign w:val="center"/>
                  </w:tcPr>
                  <w:p w14:paraId="171CC4A4" w14:textId="77777777" w:rsidR="007E7472" w:rsidRDefault="00EC1269">
                    <w:r>
                      <w:t>端信投资控股(北京)有限公司</w:t>
                    </w:r>
                  </w:p>
                </w:tc>
                <w:tc>
                  <w:tcPr>
                    <w:tcW w:w="717" w:type="pct"/>
                    <w:tcBorders>
                      <w:top w:val="single" w:sz="4" w:space="0" w:color="auto"/>
                      <w:left w:val="single" w:sz="4" w:space="0" w:color="auto"/>
                      <w:bottom w:val="single" w:sz="4" w:space="0" w:color="auto"/>
                      <w:right w:val="single" w:sz="4" w:space="0" w:color="auto"/>
                    </w:tcBorders>
                    <w:vAlign w:val="center"/>
                  </w:tcPr>
                  <w:p w14:paraId="45B09414" w14:textId="77777777" w:rsidR="007E7472" w:rsidRDefault="00EC1269">
                    <w:pPr>
                      <w:jc w:val="right"/>
                    </w:pPr>
                    <w:r>
                      <w:t>4,060,000</w:t>
                    </w:r>
                  </w:p>
                </w:tc>
                <w:tc>
                  <w:tcPr>
                    <w:tcW w:w="630" w:type="pct"/>
                    <w:tcBorders>
                      <w:top w:val="single" w:sz="4" w:space="0" w:color="auto"/>
                      <w:left w:val="single" w:sz="4" w:space="0" w:color="auto"/>
                      <w:bottom w:val="single" w:sz="4" w:space="0" w:color="auto"/>
                      <w:right w:val="single" w:sz="4" w:space="0" w:color="auto"/>
                    </w:tcBorders>
                    <w:vAlign w:val="center"/>
                  </w:tcPr>
                  <w:p w14:paraId="222DAE91" w14:textId="77777777" w:rsidR="007E7472" w:rsidRDefault="00C8327E">
                    <w:pPr>
                      <w:jc w:val="right"/>
                    </w:pPr>
                  </w:p>
                </w:tc>
                <w:tc>
                  <w:tcPr>
                    <w:tcW w:w="627" w:type="pct"/>
                    <w:tcBorders>
                      <w:top w:val="single" w:sz="4" w:space="0" w:color="auto"/>
                      <w:left w:val="single" w:sz="4" w:space="0" w:color="auto"/>
                      <w:bottom w:val="single" w:sz="4" w:space="0" w:color="auto"/>
                      <w:right w:val="single" w:sz="4" w:space="0" w:color="auto"/>
                    </w:tcBorders>
                    <w:vAlign w:val="center"/>
                  </w:tcPr>
                  <w:p w14:paraId="4D8EA859" w14:textId="77777777" w:rsidR="007E7472" w:rsidRDefault="00C8327E">
                    <w:pPr>
                      <w:jc w:val="right"/>
                    </w:pPr>
                  </w:p>
                </w:tc>
                <w:tc>
                  <w:tcPr>
                    <w:tcW w:w="717" w:type="pct"/>
                    <w:tcBorders>
                      <w:top w:val="single" w:sz="4" w:space="0" w:color="auto"/>
                      <w:left w:val="single" w:sz="4" w:space="0" w:color="auto"/>
                      <w:bottom w:val="single" w:sz="4" w:space="0" w:color="auto"/>
                      <w:right w:val="single" w:sz="4" w:space="0" w:color="auto"/>
                    </w:tcBorders>
                    <w:vAlign w:val="center"/>
                  </w:tcPr>
                  <w:p w14:paraId="74DD3698" w14:textId="77777777" w:rsidR="007E7472" w:rsidRDefault="00EC1269">
                    <w:pPr>
                      <w:jc w:val="right"/>
                    </w:pPr>
                    <w:r>
                      <w:t>4,060,000</w:t>
                    </w:r>
                  </w:p>
                </w:tc>
                <w:tc>
                  <w:tcPr>
                    <w:tcW w:w="628" w:type="pct"/>
                    <w:tcBorders>
                      <w:top w:val="single" w:sz="4" w:space="0" w:color="auto"/>
                      <w:left w:val="single" w:sz="4" w:space="0" w:color="auto"/>
                      <w:bottom w:val="single" w:sz="4" w:space="0" w:color="auto"/>
                      <w:right w:val="single" w:sz="4" w:space="0" w:color="auto"/>
                    </w:tcBorders>
                  </w:tcPr>
                  <w:p w14:paraId="6584645F" w14:textId="77777777" w:rsidR="007E7472" w:rsidRDefault="00C8327E">
                    <w:pPr>
                      <w:jc w:val="right"/>
                    </w:pPr>
                  </w:p>
                </w:tc>
                <w:tc>
                  <w:tcPr>
                    <w:tcW w:w="717" w:type="pct"/>
                    <w:tcBorders>
                      <w:top w:val="single" w:sz="4" w:space="0" w:color="auto"/>
                      <w:left w:val="single" w:sz="4" w:space="0" w:color="auto"/>
                      <w:bottom w:val="single" w:sz="4" w:space="0" w:color="auto"/>
                      <w:right w:val="single" w:sz="4" w:space="0" w:color="auto"/>
                    </w:tcBorders>
                    <w:vAlign w:val="center"/>
                  </w:tcPr>
                  <w:p w14:paraId="230B73CB" w14:textId="77777777" w:rsidR="007E7472" w:rsidRDefault="00C8327E"/>
                </w:tc>
              </w:tr>
            </w:sdtContent>
          </w:sdt>
          <w:sdt>
            <w:sdtPr>
              <w:rPr>
                <w:rFonts w:asciiTheme="minorHAnsi" w:eastAsiaTheme="minorEastAsia" w:hAnsiTheme="minorHAnsi" w:cstheme="minorBidi"/>
                <w:kern w:val="2"/>
              </w:rPr>
              <w:alias w:val="长期股权投资明细"/>
              <w:tag w:val="_GBC_daf82e8df55d4ba9bf351c25fd5a63c2"/>
              <w:id w:val="469410918"/>
              <w:lock w:val="sdtLocked"/>
            </w:sdtPr>
            <w:sdtEndPr/>
            <w:sdtContent>
              <w:tr w:rsidR="007E7472" w14:paraId="0F99C7DC" w14:textId="77777777">
                <w:tc>
                  <w:tcPr>
                    <w:tcW w:w="962" w:type="pct"/>
                    <w:tcBorders>
                      <w:top w:val="single" w:sz="4" w:space="0" w:color="auto"/>
                      <w:left w:val="single" w:sz="4" w:space="0" w:color="auto"/>
                      <w:bottom w:val="single" w:sz="4" w:space="0" w:color="auto"/>
                      <w:right w:val="single" w:sz="4" w:space="0" w:color="auto"/>
                    </w:tcBorders>
                    <w:vAlign w:val="center"/>
                  </w:tcPr>
                  <w:p w14:paraId="291D9DC3" w14:textId="77777777" w:rsidR="007E7472" w:rsidRDefault="00EC1269">
                    <w:r>
                      <w:t>青岛中垠瑞丰国际贸易有限公司</w:t>
                    </w:r>
                  </w:p>
                </w:tc>
                <w:tc>
                  <w:tcPr>
                    <w:tcW w:w="717" w:type="pct"/>
                    <w:tcBorders>
                      <w:top w:val="single" w:sz="4" w:space="0" w:color="auto"/>
                      <w:left w:val="single" w:sz="4" w:space="0" w:color="auto"/>
                      <w:bottom w:val="single" w:sz="4" w:space="0" w:color="auto"/>
                      <w:right w:val="single" w:sz="4" w:space="0" w:color="auto"/>
                    </w:tcBorders>
                    <w:vAlign w:val="center"/>
                  </w:tcPr>
                  <w:p w14:paraId="703A18E7" w14:textId="77777777" w:rsidR="007E7472" w:rsidRDefault="00EC1269">
                    <w:pPr>
                      <w:jc w:val="right"/>
                    </w:pPr>
                    <w:r>
                      <w:t>102,000</w:t>
                    </w:r>
                  </w:p>
                </w:tc>
                <w:tc>
                  <w:tcPr>
                    <w:tcW w:w="630" w:type="pct"/>
                    <w:tcBorders>
                      <w:top w:val="single" w:sz="4" w:space="0" w:color="auto"/>
                      <w:left w:val="single" w:sz="4" w:space="0" w:color="auto"/>
                      <w:bottom w:val="single" w:sz="4" w:space="0" w:color="auto"/>
                      <w:right w:val="single" w:sz="4" w:space="0" w:color="auto"/>
                    </w:tcBorders>
                    <w:vAlign w:val="center"/>
                  </w:tcPr>
                  <w:p w14:paraId="7FDA58AA" w14:textId="77777777" w:rsidR="007E7472" w:rsidRDefault="00C8327E">
                    <w:pPr>
                      <w:jc w:val="right"/>
                    </w:pPr>
                  </w:p>
                </w:tc>
                <w:tc>
                  <w:tcPr>
                    <w:tcW w:w="627" w:type="pct"/>
                    <w:tcBorders>
                      <w:top w:val="single" w:sz="4" w:space="0" w:color="auto"/>
                      <w:left w:val="single" w:sz="4" w:space="0" w:color="auto"/>
                      <w:bottom w:val="single" w:sz="4" w:space="0" w:color="auto"/>
                      <w:right w:val="single" w:sz="4" w:space="0" w:color="auto"/>
                    </w:tcBorders>
                    <w:vAlign w:val="center"/>
                  </w:tcPr>
                  <w:p w14:paraId="7688709C" w14:textId="77777777" w:rsidR="007E7472" w:rsidRDefault="00C8327E">
                    <w:pPr>
                      <w:jc w:val="right"/>
                    </w:pPr>
                  </w:p>
                </w:tc>
                <w:tc>
                  <w:tcPr>
                    <w:tcW w:w="717" w:type="pct"/>
                    <w:tcBorders>
                      <w:top w:val="single" w:sz="4" w:space="0" w:color="auto"/>
                      <w:left w:val="single" w:sz="4" w:space="0" w:color="auto"/>
                      <w:bottom w:val="single" w:sz="4" w:space="0" w:color="auto"/>
                      <w:right w:val="single" w:sz="4" w:space="0" w:color="auto"/>
                    </w:tcBorders>
                    <w:vAlign w:val="center"/>
                  </w:tcPr>
                  <w:p w14:paraId="6B54FE71" w14:textId="77777777" w:rsidR="007E7472" w:rsidRDefault="00EC1269">
                    <w:pPr>
                      <w:jc w:val="right"/>
                    </w:pPr>
                    <w:r>
                      <w:t>102,000</w:t>
                    </w:r>
                  </w:p>
                </w:tc>
                <w:tc>
                  <w:tcPr>
                    <w:tcW w:w="628" w:type="pct"/>
                    <w:tcBorders>
                      <w:top w:val="single" w:sz="4" w:space="0" w:color="auto"/>
                      <w:left w:val="single" w:sz="4" w:space="0" w:color="auto"/>
                      <w:bottom w:val="single" w:sz="4" w:space="0" w:color="auto"/>
                      <w:right w:val="single" w:sz="4" w:space="0" w:color="auto"/>
                    </w:tcBorders>
                  </w:tcPr>
                  <w:p w14:paraId="36B212F0" w14:textId="77777777" w:rsidR="007E7472" w:rsidRDefault="00C8327E">
                    <w:pPr>
                      <w:jc w:val="right"/>
                    </w:pPr>
                  </w:p>
                </w:tc>
                <w:tc>
                  <w:tcPr>
                    <w:tcW w:w="717" w:type="pct"/>
                    <w:tcBorders>
                      <w:top w:val="single" w:sz="4" w:space="0" w:color="auto"/>
                      <w:left w:val="single" w:sz="4" w:space="0" w:color="auto"/>
                      <w:bottom w:val="single" w:sz="4" w:space="0" w:color="auto"/>
                      <w:right w:val="single" w:sz="4" w:space="0" w:color="auto"/>
                    </w:tcBorders>
                    <w:vAlign w:val="center"/>
                  </w:tcPr>
                  <w:p w14:paraId="688D4B97" w14:textId="77777777" w:rsidR="007E7472" w:rsidRDefault="00C8327E"/>
                </w:tc>
              </w:tr>
            </w:sdtContent>
          </w:sdt>
          <w:sdt>
            <w:sdtPr>
              <w:rPr>
                <w:rFonts w:asciiTheme="minorHAnsi" w:eastAsiaTheme="minorEastAsia" w:hAnsiTheme="minorHAnsi" w:cstheme="minorBidi"/>
                <w:kern w:val="2"/>
              </w:rPr>
              <w:alias w:val="长期股权投资明细"/>
              <w:tag w:val="_GBC_daf82e8df55d4ba9bf351c25fd5a63c2"/>
              <w:id w:val="1314606541"/>
              <w:lock w:val="sdtLocked"/>
            </w:sdtPr>
            <w:sdtEndPr/>
            <w:sdtContent>
              <w:tr w:rsidR="007E7472" w14:paraId="0BDE652A" w14:textId="77777777">
                <w:tc>
                  <w:tcPr>
                    <w:tcW w:w="962" w:type="pct"/>
                    <w:tcBorders>
                      <w:top w:val="single" w:sz="4" w:space="0" w:color="auto"/>
                      <w:left w:val="single" w:sz="4" w:space="0" w:color="auto"/>
                      <w:bottom w:val="single" w:sz="4" w:space="0" w:color="auto"/>
                      <w:right w:val="single" w:sz="4" w:space="0" w:color="auto"/>
                    </w:tcBorders>
                    <w:vAlign w:val="center"/>
                  </w:tcPr>
                  <w:p w14:paraId="1994FAE5" w14:textId="77777777" w:rsidR="007E7472" w:rsidRDefault="00EC1269">
                    <w:r>
                      <w:rPr>
                        <w:rFonts w:hint="eastAsia"/>
                      </w:rPr>
                      <w:t>兖矿能源集团</w:t>
                    </w:r>
                    <w:r>
                      <w:t>国际贸易有限公司</w:t>
                    </w:r>
                  </w:p>
                </w:tc>
                <w:tc>
                  <w:tcPr>
                    <w:tcW w:w="717" w:type="pct"/>
                    <w:tcBorders>
                      <w:top w:val="single" w:sz="4" w:space="0" w:color="auto"/>
                      <w:left w:val="single" w:sz="4" w:space="0" w:color="auto"/>
                      <w:bottom w:val="single" w:sz="4" w:space="0" w:color="auto"/>
                      <w:right w:val="single" w:sz="4" w:space="0" w:color="auto"/>
                    </w:tcBorders>
                    <w:vAlign w:val="center"/>
                  </w:tcPr>
                  <w:p w14:paraId="0369F0F9" w14:textId="77777777" w:rsidR="007E7472" w:rsidRDefault="00EC1269">
                    <w:pPr>
                      <w:jc w:val="right"/>
                    </w:pPr>
                    <w:r>
                      <w:t>300,000</w:t>
                    </w:r>
                  </w:p>
                </w:tc>
                <w:tc>
                  <w:tcPr>
                    <w:tcW w:w="630" w:type="pct"/>
                    <w:tcBorders>
                      <w:top w:val="single" w:sz="4" w:space="0" w:color="auto"/>
                      <w:left w:val="single" w:sz="4" w:space="0" w:color="auto"/>
                      <w:bottom w:val="single" w:sz="4" w:space="0" w:color="auto"/>
                      <w:right w:val="single" w:sz="4" w:space="0" w:color="auto"/>
                    </w:tcBorders>
                    <w:vAlign w:val="center"/>
                  </w:tcPr>
                  <w:p w14:paraId="124E2267" w14:textId="77777777" w:rsidR="007E7472" w:rsidRDefault="00C8327E">
                    <w:pPr>
                      <w:jc w:val="right"/>
                    </w:pPr>
                  </w:p>
                </w:tc>
                <w:tc>
                  <w:tcPr>
                    <w:tcW w:w="627" w:type="pct"/>
                    <w:tcBorders>
                      <w:top w:val="single" w:sz="4" w:space="0" w:color="auto"/>
                      <w:left w:val="single" w:sz="4" w:space="0" w:color="auto"/>
                      <w:bottom w:val="single" w:sz="4" w:space="0" w:color="auto"/>
                      <w:right w:val="single" w:sz="4" w:space="0" w:color="auto"/>
                    </w:tcBorders>
                    <w:vAlign w:val="center"/>
                  </w:tcPr>
                  <w:p w14:paraId="5A8A87C2" w14:textId="77777777" w:rsidR="007E7472" w:rsidRDefault="00C8327E">
                    <w:pPr>
                      <w:jc w:val="right"/>
                    </w:pPr>
                  </w:p>
                </w:tc>
                <w:tc>
                  <w:tcPr>
                    <w:tcW w:w="717" w:type="pct"/>
                    <w:tcBorders>
                      <w:top w:val="single" w:sz="4" w:space="0" w:color="auto"/>
                      <w:left w:val="single" w:sz="4" w:space="0" w:color="auto"/>
                      <w:bottom w:val="single" w:sz="4" w:space="0" w:color="auto"/>
                      <w:right w:val="single" w:sz="4" w:space="0" w:color="auto"/>
                    </w:tcBorders>
                    <w:vAlign w:val="center"/>
                  </w:tcPr>
                  <w:p w14:paraId="0F86FC1D" w14:textId="77777777" w:rsidR="007E7472" w:rsidRDefault="00EC1269">
                    <w:pPr>
                      <w:jc w:val="right"/>
                    </w:pPr>
                    <w:r>
                      <w:t>300,000</w:t>
                    </w:r>
                  </w:p>
                </w:tc>
                <w:tc>
                  <w:tcPr>
                    <w:tcW w:w="628" w:type="pct"/>
                    <w:tcBorders>
                      <w:top w:val="single" w:sz="4" w:space="0" w:color="auto"/>
                      <w:left w:val="single" w:sz="4" w:space="0" w:color="auto"/>
                      <w:bottom w:val="single" w:sz="4" w:space="0" w:color="auto"/>
                      <w:right w:val="single" w:sz="4" w:space="0" w:color="auto"/>
                    </w:tcBorders>
                  </w:tcPr>
                  <w:p w14:paraId="4882A7D2" w14:textId="77777777" w:rsidR="007E7472" w:rsidRDefault="00C8327E">
                    <w:pPr>
                      <w:jc w:val="right"/>
                    </w:pPr>
                  </w:p>
                </w:tc>
                <w:tc>
                  <w:tcPr>
                    <w:tcW w:w="717" w:type="pct"/>
                    <w:tcBorders>
                      <w:top w:val="single" w:sz="4" w:space="0" w:color="auto"/>
                      <w:left w:val="single" w:sz="4" w:space="0" w:color="auto"/>
                      <w:bottom w:val="single" w:sz="4" w:space="0" w:color="auto"/>
                      <w:right w:val="single" w:sz="4" w:space="0" w:color="auto"/>
                    </w:tcBorders>
                    <w:vAlign w:val="center"/>
                  </w:tcPr>
                  <w:p w14:paraId="576D0179" w14:textId="77777777" w:rsidR="007E7472" w:rsidRDefault="00C8327E"/>
                </w:tc>
              </w:tr>
            </w:sdtContent>
          </w:sdt>
          <w:sdt>
            <w:sdtPr>
              <w:rPr>
                <w:rFonts w:asciiTheme="minorHAnsi" w:eastAsiaTheme="minorEastAsia" w:hAnsiTheme="minorHAnsi" w:cstheme="minorBidi"/>
                <w:kern w:val="2"/>
              </w:rPr>
              <w:alias w:val="长期股权投资明细"/>
              <w:tag w:val="_GBC_daf82e8df55d4ba9bf351c25fd5a63c2"/>
              <w:id w:val="871426"/>
              <w:lock w:val="sdtLocked"/>
            </w:sdtPr>
            <w:sdtEndPr/>
            <w:sdtContent>
              <w:tr w:rsidR="007E7472" w14:paraId="57655F2D" w14:textId="77777777">
                <w:tc>
                  <w:tcPr>
                    <w:tcW w:w="962" w:type="pct"/>
                    <w:tcBorders>
                      <w:top w:val="single" w:sz="4" w:space="0" w:color="auto"/>
                      <w:left w:val="single" w:sz="4" w:space="0" w:color="auto"/>
                      <w:bottom w:val="single" w:sz="4" w:space="0" w:color="auto"/>
                      <w:right w:val="single" w:sz="4" w:space="0" w:color="auto"/>
                    </w:tcBorders>
                    <w:vAlign w:val="center"/>
                  </w:tcPr>
                  <w:p w14:paraId="6DDBA671" w14:textId="77777777" w:rsidR="007E7472" w:rsidRDefault="00EC1269">
                    <w:r>
                      <w:t>上海巨匠资产管理有限公司</w:t>
                    </w:r>
                  </w:p>
                </w:tc>
                <w:tc>
                  <w:tcPr>
                    <w:tcW w:w="717" w:type="pct"/>
                    <w:tcBorders>
                      <w:top w:val="single" w:sz="4" w:space="0" w:color="auto"/>
                      <w:left w:val="single" w:sz="4" w:space="0" w:color="auto"/>
                      <w:bottom w:val="single" w:sz="4" w:space="0" w:color="auto"/>
                      <w:right w:val="single" w:sz="4" w:space="0" w:color="auto"/>
                    </w:tcBorders>
                    <w:vAlign w:val="center"/>
                  </w:tcPr>
                  <w:p w14:paraId="1E8D2102" w14:textId="77777777" w:rsidR="007E7472" w:rsidRDefault="00EC1269">
                    <w:pPr>
                      <w:jc w:val="right"/>
                    </w:pPr>
                    <w:r>
                      <w:t>500,000</w:t>
                    </w:r>
                  </w:p>
                </w:tc>
                <w:tc>
                  <w:tcPr>
                    <w:tcW w:w="630" w:type="pct"/>
                    <w:tcBorders>
                      <w:top w:val="single" w:sz="4" w:space="0" w:color="auto"/>
                      <w:left w:val="single" w:sz="4" w:space="0" w:color="auto"/>
                      <w:bottom w:val="single" w:sz="4" w:space="0" w:color="auto"/>
                      <w:right w:val="single" w:sz="4" w:space="0" w:color="auto"/>
                    </w:tcBorders>
                    <w:vAlign w:val="center"/>
                  </w:tcPr>
                  <w:p w14:paraId="27380931" w14:textId="77777777" w:rsidR="007E7472" w:rsidRDefault="00C8327E">
                    <w:pPr>
                      <w:jc w:val="right"/>
                    </w:pPr>
                  </w:p>
                </w:tc>
                <w:tc>
                  <w:tcPr>
                    <w:tcW w:w="627" w:type="pct"/>
                    <w:tcBorders>
                      <w:top w:val="single" w:sz="4" w:space="0" w:color="auto"/>
                      <w:left w:val="single" w:sz="4" w:space="0" w:color="auto"/>
                      <w:bottom w:val="single" w:sz="4" w:space="0" w:color="auto"/>
                      <w:right w:val="single" w:sz="4" w:space="0" w:color="auto"/>
                    </w:tcBorders>
                    <w:vAlign w:val="center"/>
                  </w:tcPr>
                  <w:p w14:paraId="2BC570DF" w14:textId="77777777" w:rsidR="007E7472" w:rsidRDefault="00C8327E">
                    <w:pPr>
                      <w:jc w:val="right"/>
                    </w:pPr>
                  </w:p>
                </w:tc>
                <w:tc>
                  <w:tcPr>
                    <w:tcW w:w="717" w:type="pct"/>
                    <w:tcBorders>
                      <w:top w:val="single" w:sz="4" w:space="0" w:color="auto"/>
                      <w:left w:val="single" w:sz="4" w:space="0" w:color="auto"/>
                      <w:bottom w:val="single" w:sz="4" w:space="0" w:color="auto"/>
                      <w:right w:val="single" w:sz="4" w:space="0" w:color="auto"/>
                    </w:tcBorders>
                    <w:vAlign w:val="center"/>
                  </w:tcPr>
                  <w:p w14:paraId="5087ED35" w14:textId="77777777" w:rsidR="007E7472" w:rsidRDefault="00EC1269">
                    <w:pPr>
                      <w:jc w:val="right"/>
                    </w:pPr>
                    <w:r>
                      <w:t>500,000</w:t>
                    </w:r>
                  </w:p>
                </w:tc>
                <w:tc>
                  <w:tcPr>
                    <w:tcW w:w="628" w:type="pct"/>
                    <w:tcBorders>
                      <w:top w:val="single" w:sz="4" w:space="0" w:color="auto"/>
                      <w:left w:val="single" w:sz="4" w:space="0" w:color="auto"/>
                      <w:bottom w:val="single" w:sz="4" w:space="0" w:color="auto"/>
                      <w:right w:val="single" w:sz="4" w:space="0" w:color="auto"/>
                    </w:tcBorders>
                  </w:tcPr>
                  <w:p w14:paraId="09A3EE10" w14:textId="77777777" w:rsidR="007E7472" w:rsidRDefault="00C8327E">
                    <w:pPr>
                      <w:jc w:val="right"/>
                    </w:pPr>
                  </w:p>
                </w:tc>
                <w:tc>
                  <w:tcPr>
                    <w:tcW w:w="717" w:type="pct"/>
                    <w:tcBorders>
                      <w:top w:val="single" w:sz="4" w:space="0" w:color="auto"/>
                      <w:left w:val="single" w:sz="4" w:space="0" w:color="auto"/>
                      <w:bottom w:val="single" w:sz="4" w:space="0" w:color="auto"/>
                      <w:right w:val="single" w:sz="4" w:space="0" w:color="auto"/>
                    </w:tcBorders>
                    <w:vAlign w:val="center"/>
                  </w:tcPr>
                  <w:p w14:paraId="70F08D30" w14:textId="77777777" w:rsidR="007E7472" w:rsidRDefault="00C8327E"/>
                </w:tc>
              </w:tr>
            </w:sdtContent>
          </w:sdt>
          <w:sdt>
            <w:sdtPr>
              <w:rPr>
                <w:rFonts w:asciiTheme="minorHAnsi" w:eastAsiaTheme="minorEastAsia" w:hAnsiTheme="minorHAnsi" w:cstheme="minorBidi"/>
                <w:kern w:val="2"/>
              </w:rPr>
              <w:alias w:val="长期股权投资明细"/>
              <w:tag w:val="_GBC_daf82e8df55d4ba9bf351c25fd5a63c2"/>
              <w:id w:val="714240605"/>
              <w:lock w:val="sdtLocked"/>
            </w:sdtPr>
            <w:sdtEndPr/>
            <w:sdtContent>
              <w:tr w:rsidR="007E7472" w14:paraId="6C6B3857" w14:textId="77777777">
                <w:tc>
                  <w:tcPr>
                    <w:tcW w:w="962" w:type="pct"/>
                    <w:tcBorders>
                      <w:top w:val="single" w:sz="4" w:space="0" w:color="auto"/>
                      <w:left w:val="single" w:sz="4" w:space="0" w:color="auto"/>
                      <w:bottom w:val="single" w:sz="4" w:space="0" w:color="auto"/>
                      <w:right w:val="single" w:sz="4" w:space="0" w:color="auto"/>
                    </w:tcBorders>
                    <w:vAlign w:val="center"/>
                  </w:tcPr>
                  <w:p w14:paraId="67011B2F" w14:textId="77777777" w:rsidR="007E7472" w:rsidRDefault="00EC1269">
                    <w:r>
                      <w:t>兖矿东平陆港有限公司</w:t>
                    </w:r>
                  </w:p>
                </w:tc>
                <w:tc>
                  <w:tcPr>
                    <w:tcW w:w="717" w:type="pct"/>
                    <w:tcBorders>
                      <w:top w:val="single" w:sz="4" w:space="0" w:color="auto"/>
                      <w:left w:val="single" w:sz="4" w:space="0" w:color="auto"/>
                      <w:bottom w:val="single" w:sz="4" w:space="0" w:color="auto"/>
                      <w:right w:val="single" w:sz="4" w:space="0" w:color="auto"/>
                    </w:tcBorders>
                    <w:vAlign w:val="center"/>
                  </w:tcPr>
                  <w:p w14:paraId="307CD21C" w14:textId="77777777" w:rsidR="007E7472" w:rsidRDefault="00EC1269">
                    <w:pPr>
                      <w:jc w:val="right"/>
                    </w:pPr>
                    <w:r>
                      <w:t>60,000</w:t>
                    </w:r>
                  </w:p>
                </w:tc>
                <w:tc>
                  <w:tcPr>
                    <w:tcW w:w="630" w:type="pct"/>
                    <w:tcBorders>
                      <w:top w:val="single" w:sz="4" w:space="0" w:color="auto"/>
                      <w:left w:val="single" w:sz="4" w:space="0" w:color="auto"/>
                      <w:bottom w:val="single" w:sz="4" w:space="0" w:color="auto"/>
                      <w:right w:val="single" w:sz="4" w:space="0" w:color="auto"/>
                    </w:tcBorders>
                    <w:vAlign w:val="center"/>
                  </w:tcPr>
                  <w:p w14:paraId="3F955590" w14:textId="77777777" w:rsidR="007E7472" w:rsidRDefault="00C8327E">
                    <w:pPr>
                      <w:jc w:val="right"/>
                    </w:pPr>
                  </w:p>
                </w:tc>
                <w:tc>
                  <w:tcPr>
                    <w:tcW w:w="627" w:type="pct"/>
                    <w:tcBorders>
                      <w:top w:val="single" w:sz="4" w:space="0" w:color="auto"/>
                      <w:left w:val="single" w:sz="4" w:space="0" w:color="auto"/>
                      <w:bottom w:val="single" w:sz="4" w:space="0" w:color="auto"/>
                      <w:right w:val="single" w:sz="4" w:space="0" w:color="auto"/>
                    </w:tcBorders>
                    <w:vAlign w:val="center"/>
                  </w:tcPr>
                  <w:p w14:paraId="5F004389" w14:textId="77777777" w:rsidR="007E7472" w:rsidRDefault="00C8327E">
                    <w:pPr>
                      <w:jc w:val="right"/>
                    </w:pPr>
                  </w:p>
                </w:tc>
                <w:tc>
                  <w:tcPr>
                    <w:tcW w:w="717" w:type="pct"/>
                    <w:tcBorders>
                      <w:top w:val="single" w:sz="4" w:space="0" w:color="auto"/>
                      <w:left w:val="single" w:sz="4" w:space="0" w:color="auto"/>
                      <w:bottom w:val="single" w:sz="4" w:space="0" w:color="auto"/>
                      <w:right w:val="single" w:sz="4" w:space="0" w:color="auto"/>
                    </w:tcBorders>
                    <w:vAlign w:val="center"/>
                  </w:tcPr>
                  <w:p w14:paraId="282BD0E3" w14:textId="77777777" w:rsidR="007E7472" w:rsidRDefault="00EC1269">
                    <w:pPr>
                      <w:jc w:val="right"/>
                    </w:pPr>
                    <w:r>
                      <w:t>60,000</w:t>
                    </w:r>
                  </w:p>
                </w:tc>
                <w:tc>
                  <w:tcPr>
                    <w:tcW w:w="628" w:type="pct"/>
                    <w:tcBorders>
                      <w:top w:val="single" w:sz="4" w:space="0" w:color="auto"/>
                      <w:left w:val="single" w:sz="4" w:space="0" w:color="auto"/>
                      <w:bottom w:val="single" w:sz="4" w:space="0" w:color="auto"/>
                      <w:right w:val="single" w:sz="4" w:space="0" w:color="auto"/>
                    </w:tcBorders>
                  </w:tcPr>
                  <w:p w14:paraId="33F96071" w14:textId="77777777" w:rsidR="007E7472" w:rsidRDefault="00C8327E">
                    <w:pPr>
                      <w:jc w:val="right"/>
                    </w:pPr>
                  </w:p>
                </w:tc>
                <w:tc>
                  <w:tcPr>
                    <w:tcW w:w="717" w:type="pct"/>
                    <w:tcBorders>
                      <w:top w:val="single" w:sz="4" w:space="0" w:color="auto"/>
                      <w:left w:val="single" w:sz="4" w:space="0" w:color="auto"/>
                      <w:bottom w:val="single" w:sz="4" w:space="0" w:color="auto"/>
                      <w:right w:val="single" w:sz="4" w:space="0" w:color="auto"/>
                    </w:tcBorders>
                    <w:vAlign w:val="center"/>
                  </w:tcPr>
                  <w:p w14:paraId="00F5AFF0" w14:textId="77777777" w:rsidR="007E7472" w:rsidRDefault="00C8327E"/>
                </w:tc>
              </w:tr>
            </w:sdtContent>
          </w:sdt>
          <w:sdt>
            <w:sdtPr>
              <w:rPr>
                <w:rFonts w:asciiTheme="minorHAnsi" w:eastAsiaTheme="minorEastAsia" w:hAnsiTheme="minorHAnsi" w:cstheme="minorBidi"/>
                <w:kern w:val="2"/>
              </w:rPr>
              <w:alias w:val="长期股权投资明细"/>
              <w:tag w:val="_GBC_daf82e8df55d4ba9bf351c25fd5a63c2"/>
              <w:id w:val="-1169548529"/>
              <w:lock w:val="sdtLocked"/>
            </w:sdtPr>
            <w:sdtEndPr/>
            <w:sdtContent>
              <w:tr w:rsidR="007E7472" w14:paraId="636D7881" w14:textId="77777777">
                <w:tc>
                  <w:tcPr>
                    <w:tcW w:w="962" w:type="pct"/>
                    <w:tcBorders>
                      <w:top w:val="single" w:sz="4" w:space="0" w:color="auto"/>
                      <w:left w:val="single" w:sz="4" w:space="0" w:color="auto"/>
                      <w:bottom w:val="single" w:sz="4" w:space="0" w:color="auto"/>
                      <w:right w:val="single" w:sz="4" w:space="0" w:color="auto"/>
                    </w:tcBorders>
                    <w:vAlign w:val="center"/>
                  </w:tcPr>
                  <w:p w14:paraId="685D5D9C" w14:textId="77777777" w:rsidR="007E7472" w:rsidRDefault="00EC1269">
                    <w:r>
                      <w:t>兖矿集团财务有限公司</w:t>
                    </w:r>
                  </w:p>
                </w:tc>
                <w:tc>
                  <w:tcPr>
                    <w:tcW w:w="717" w:type="pct"/>
                    <w:tcBorders>
                      <w:top w:val="single" w:sz="4" w:space="0" w:color="auto"/>
                      <w:left w:val="single" w:sz="4" w:space="0" w:color="auto"/>
                      <w:bottom w:val="single" w:sz="4" w:space="0" w:color="auto"/>
                      <w:right w:val="single" w:sz="4" w:space="0" w:color="auto"/>
                    </w:tcBorders>
                    <w:vAlign w:val="center"/>
                  </w:tcPr>
                  <w:p w14:paraId="60DD26BA" w14:textId="77777777" w:rsidR="007E7472" w:rsidRDefault="00EC1269">
                    <w:pPr>
                      <w:jc w:val="right"/>
                    </w:pPr>
                    <w:r>
                      <w:t>4,948,236</w:t>
                    </w:r>
                  </w:p>
                </w:tc>
                <w:tc>
                  <w:tcPr>
                    <w:tcW w:w="630" w:type="pct"/>
                    <w:tcBorders>
                      <w:top w:val="single" w:sz="4" w:space="0" w:color="auto"/>
                      <w:left w:val="single" w:sz="4" w:space="0" w:color="auto"/>
                      <w:bottom w:val="single" w:sz="4" w:space="0" w:color="auto"/>
                      <w:right w:val="single" w:sz="4" w:space="0" w:color="auto"/>
                    </w:tcBorders>
                    <w:vAlign w:val="center"/>
                  </w:tcPr>
                  <w:p w14:paraId="1F238D7B" w14:textId="77777777" w:rsidR="007E7472" w:rsidRDefault="00C8327E">
                    <w:pPr>
                      <w:jc w:val="right"/>
                    </w:pPr>
                  </w:p>
                </w:tc>
                <w:tc>
                  <w:tcPr>
                    <w:tcW w:w="627" w:type="pct"/>
                    <w:tcBorders>
                      <w:top w:val="single" w:sz="4" w:space="0" w:color="auto"/>
                      <w:left w:val="single" w:sz="4" w:space="0" w:color="auto"/>
                      <w:bottom w:val="single" w:sz="4" w:space="0" w:color="auto"/>
                      <w:right w:val="single" w:sz="4" w:space="0" w:color="auto"/>
                    </w:tcBorders>
                    <w:vAlign w:val="center"/>
                  </w:tcPr>
                  <w:p w14:paraId="31F76E58" w14:textId="77777777" w:rsidR="007E7472" w:rsidRDefault="00C8327E">
                    <w:pPr>
                      <w:jc w:val="right"/>
                    </w:pPr>
                  </w:p>
                </w:tc>
                <w:tc>
                  <w:tcPr>
                    <w:tcW w:w="717" w:type="pct"/>
                    <w:tcBorders>
                      <w:top w:val="single" w:sz="4" w:space="0" w:color="auto"/>
                      <w:left w:val="single" w:sz="4" w:space="0" w:color="auto"/>
                      <w:bottom w:val="single" w:sz="4" w:space="0" w:color="auto"/>
                      <w:right w:val="single" w:sz="4" w:space="0" w:color="auto"/>
                    </w:tcBorders>
                    <w:vAlign w:val="center"/>
                  </w:tcPr>
                  <w:p w14:paraId="7C50E475" w14:textId="77777777" w:rsidR="007E7472" w:rsidRDefault="00EC1269">
                    <w:pPr>
                      <w:jc w:val="right"/>
                    </w:pPr>
                    <w:r>
                      <w:t>4,948,236</w:t>
                    </w:r>
                  </w:p>
                </w:tc>
                <w:tc>
                  <w:tcPr>
                    <w:tcW w:w="628" w:type="pct"/>
                    <w:tcBorders>
                      <w:top w:val="single" w:sz="4" w:space="0" w:color="auto"/>
                      <w:left w:val="single" w:sz="4" w:space="0" w:color="auto"/>
                      <w:bottom w:val="single" w:sz="4" w:space="0" w:color="auto"/>
                      <w:right w:val="single" w:sz="4" w:space="0" w:color="auto"/>
                    </w:tcBorders>
                  </w:tcPr>
                  <w:p w14:paraId="46594913" w14:textId="77777777" w:rsidR="007E7472" w:rsidRDefault="00C8327E">
                    <w:pPr>
                      <w:jc w:val="right"/>
                    </w:pPr>
                  </w:p>
                </w:tc>
                <w:tc>
                  <w:tcPr>
                    <w:tcW w:w="717" w:type="pct"/>
                    <w:tcBorders>
                      <w:top w:val="single" w:sz="4" w:space="0" w:color="auto"/>
                      <w:left w:val="single" w:sz="4" w:space="0" w:color="auto"/>
                      <w:bottom w:val="single" w:sz="4" w:space="0" w:color="auto"/>
                      <w:right w:val="single" w:sz="4" w:space="0" w:color="auto"/>
                    </w:tcBorders>
                  </w:tcPr>
                  <w:p w14:paraId="6A553F62" w14:textId="77777777" w:rsidR="007E7472" w:rsidRDefault="00C8327E">
                    <w:pPr>
                      <w:jc w:val="right"/>
                    </w:pPr>
                  </w:p>
                </w:tc>
              </w:tr>
            </w:sdtContent>
          </w:sdt>
          <w:sdt>
            <w:sdtPr>
              <w:rPr>
                <w:rFonts w:asciiTheme="minorHAnsi" w:eastAsiaTheme="minorEastAsia" w:hAnsiTheme="minorHAnsi" w:cstheme="minorBidi"/>
                <w:kern w:val="2"/>
              </w:rPr>
              <w:alias w:val="长期股权投资明细"/>
              <w:tag w:val="_GBC_daf82e8df55d4ba9bf351c25fd5a63c2"/>
              <w:id w:val="1853988344"/>
              <w:lock w:val="sdtLocked"/>
            </w:sdtPr>
            <w:sdtEndPr/>
            <w:sdtContent>
              <w:tr w:rsidR="007E7472" w14:paraId="0EDD5AC2" w14:textId="77777777">
                <w:tc>
                  <w:tcPr>
                    <w:tcW w:w="962" w:type="pct"/>
                    <w:tcBorders>
                      <w:top w:val="single" w:sz="4" w:space="0" w:color="auto"/>
                      <w:left w:val="single" w:sz="4" w:space="0" w:color="auto"/>
                      <w:bottom w:val="single" w:sz="4" w:space="0" w:color="auto"/>
                      <w:right w:val="single" w:sz="4" w:space="0" w:color="auto"/>
                    </w:tcBorders>
                    <w:vAlign w:val="center"/>
                  </w:tcPr>
                  <w:p w14:paraId="79B4C7E6" w14:textId="77777777" w:rsidR="007E7472" w:rsidRDefault="00EC1269">
                    <w:r>
                      <w:t>兖矿鲁南化工有限公司</w:t>
                    </w:r>
                  </w:p>
                </w:tc>
                <w:tc>
                  <w:tcPr>
                    <w:tcW w:w="717" w:type="pct"/>
                    <w:tcBorders>
                      <w:top w:val="single" w:sz="4" w:space="0" w:color="auto"/>
                      <w:left w:val="single" w:sz="4" w:space="0" w:color="auto"/>
                      <w:bottom w:val="single" w:sz="4" w:space="0" w:color="auto"/>
                      <w:right w:val="single" w:sz="4" w:space="0" w:color="auto"/>
                    </w:tcBorders>
                    <w:vAlign w:val="center"/>
                  </w:tcPr>
                  <w:p w14:paraId="2765B6FF" w14:textId="77777777" w:rsidR="007E7472" w:rsidRDefault="00EC1269">
                    <w:pPr>
                      <w:jc w:val="right"/>
                    </w:pPr>
                    <w:r>
                      <w:t>5,777,879</w:t>
                    </w:r>
                  </w:p>
                </w:tc>
                <w:tc>
                  <w:tcPr>
                    <w:tcW w:w="630" w:type="pct"/>
                    <w:tcBorders>
                      <w:top w:val="single" w:sz="4" w:space="0" w:color="auto"/>
                      <w:left w:val="single" w:sz="4" w:space="0" w:color="auto"/>
                      <w:bottom w:val="single" w:sz="4" w:space="0" w:color="auto"/>
                      <w:right w:val="single" w:sz="4" w:space="0" w:color="auto"/>
                    </w:tcBorders>
                    <w:vAlign w:val="center"/>
                  </w:tcPr>
                  <w:p w14:paraId="042A129B" w14:textId="77777777" w:rsidR="007E7472" w:rsidRDefault="00C8327E">
                    <w:pPr>
                      <w:jc w:val="right"/>
                    </w:pPr>
                  </w:p>
                </w:tc>
                <w:tc>
                  <w:tcPr>
                    <w:tcW w:w="627" w:type="pct"/>
                    <w:tcBorders>
                      <w:top w:val="single" w:sz="4" w:space="0" w:color="auto"/>
                      <w:left w:val="single" w:sz="4" w:space="0" w:color="auto"/>
                      <w:bottom w:val="single" w:sz="4" w:space="0" w:color="auto"/>
                      <w:right w:val="single" w:sz="4" w:space="0" w:color="auto"/>
                    </w:tcBorders>
                    <w:vAlign w:val="center"/>
                  </w:tcPr>
                  <w:p w14:paraId="5D18801A" w14:textId="77777777" w:rsidR="007E7472" w:rsidRDefault="00C8327E">
                    <w:pPr>
                      <w:jc w:val="right"/>
                    </w:pPr>
                  </w:p>
                </w:tc>
                <w:tc>
                  <w:tcPr>
                    <w:tcW w:w="717" w:type="pct"/>
                    <w:tcBorders>
                      <w:top w:val="single" w:sz="4" w:space="0" w:color="auto"/>
                      <w:left w:val="single" w:sz="4" w:space="0" w:color="auto"/>
                      <w:bottom w:val="single" w:sz="4" w:space="0" w:color="auto"/>
                      <w:right w:val="single" w:sz="4" w:space="0" w:color="auto"/>
                    </w:tcBorders>
                    <w:vAlign w:val="center"/>
                  </w:tcPr>
                  <w:p w14:paraId="0FF73D57" w14:textId="77777777" w:rsidR="007E7472" w:rsidRDefault="00EC1269">
                    <w:pPr>
                      <w:jc w:val="right"/>
                    </w:pPr>
                    <w:r>
                      <w:t>5,777,879</w:t>
                    </w:r>
                  </w:p>
                </w:tc>
                <w:tc>
                  <w:tcPr>
                    <w:tcW w:w="628" w:type="pct"/>
                    <w:tcBorders>
                      <w:top w:val="single" w:sz="4" w:space="0" w:color="auto"/>
                      <w:left w:val="single" w:sz="4" w:space="0" w:color="auto"/>
                      <w:bottom w:val="single" w:sz="4" w:space="0" w:color="auto"/>
                      <w:right w:val="single" w:sz="4" w:space="0" w:color="auto"/>
                    </w:tcBorders>
                  </w:tcPr>
                  <w:p w14:paraId="1AF8E88E" w14:textId="77777777" w:rsidR="007E7472" w:rsidRDefault="00C8327E">
                    <w:pPr>
                      <w:jc w:val="right"/>
                    </w:pPr>
                  </w:p>
                </w:tc>
                <w:tc>
                  <w:tcPr>
                    <w:tcW w:w="717" w:type="pct"/>
                    <w:tcBorders>
                      <w:top w:val="single" w:sz="4" w:space="0" w:color="auto"/>
                      <w:left w:val="single" w:sz="4" w:space="0" w:color="auto"/>
                      <w:bottom w:val="single" w:sz="4" w:space="0" w:color="auto"/>
                      <w:right w:val="single" w:sz="4" w:space="0" w:color="auto"/>
                    </w:tcBorders>
                  </w:tcPr>
                  <w:p w14:paraId="59FE6108" w14:textId="77777777" w:rsidR="007E7472" w:rsidRDefault="00C8327E">
                    <w:pPr>
                      <w:jc w:val="right"/>
                    </w:pPr>
                  </w:p>
                </w:tc>
              </w:tr>
            </w:sdtContent>
          </w:sdt>
          <w:sdt>
            <w:sdtPr>
              <w:rPr>
                <w:rFonts w:asciiTheme="minorHAnsi" w:eastAsiaTheme="minorEastAsia" w:hAnsiTheme="minorHAnsi" w:cstheme="minorBidi"/>
                <w:kern w:val="2"/>
              </w:rPr>
              <w:alias w:val="长期股权投资明细"/>
              <w:tag w:val="_GBC_daf82e8df55d4ba9bf351c25fd5a63c2"/>
              <w:id w:val="-1576967488"/>
              <w:lock w:val="sdtLocked"/>
            </w:sdtPr>
            <w:sdtEndPr/>
            <w:sdtContent>
              <w:tr w:rsidR="007E7472" w14:paraId="5C3611A7" w14:textId="77777777">
                <w:tc>
                  <w:tcPr>
                    <w:tcW w:w="962" w:type="pct"/>
                    <w:tcBorders>
                      <w:top w:val="single" w:sz="4" w:space="0" w:color="auto"/>
                      <w:left w:val="single" w:sz="4" w:space="0" w:color="auto"/>
                      <w:bottom w:val="single" w:sz="4" w:space="0" w:color="auto"/>
                      <w:right w:val="single" w:sz="4" w:space="0" w:color="auto"/>
                    </w:tcBorders>
                    <w:vAlign w:val="center"/>
                  </w:tcPr>
                  <w:p w14:paraId="5CEF78B3" w14:textId="77777777" w:rsidR="007E7472" w:rsidRDefault="00EC1269">
                    <w:r>
                      <w:t>兖矿煤化供销有限公司</w:t>
                    </w:r>
                  </w:p>
                </w:tc>
                <w:tc>
                  <w:tcPr>
                    <w:tcW w:w="717" w:type="pct"/>
                    <w:tcBorders>
                      <w:top w:val="single" w:sz="4" w:space="0" w:color="auto"/>
                      <w:left w:val="single" w:sz="4" w:space="0" w:color="auto"/>
                      <w:bottom w:val="single" w:sz="4" w:space="0" w:color="auto"/>
                      <w:right w:val="single" w:sz="4" w:space="0" w:color="auto"/>
                    </w:tcBorders>
                    <w:vAlign w:val="center"/>
                  </w:tcPr>
                  <w:p w14:paraId="69F65C04" w14:textId="77777777" w:rsidR="007E7472" w:rsidRDefault="00EC1269">
                    <w:pPr>
                      <w:jc w:val="right"/>
                    </w:pPr>
                    <w:r>
                      <w:t>91,198</w:t>
                    </w:r>
                  </w:p>
                </w:tc>
                <w:tc>
                  <w:tcPr>
                    <w:tcW w:w="630" w:type="pct"/>
                    <w:tcBorders>
                      <w:top w:val="single" w:sz="4" w:space="0" w:color="auto"/>
                      <w:left w:val="single" w:sz="4" w:space="0" w:color="auto"/>
                      <w:bottom w:val="single" w:sz="4" w:space="0" w:color="auto"/>
                      <w:right w:val="single" w:sz="4" w:space="0" w:color="auto"/>
                    </w:tcBorders>
                    <w:vAlign w:val="center"/>
                  </w:tcPr>
                  <w:p w14:paraId="2B35025C" w14:textId="77777777" w:rsidR="007E7472" w:rsidRDefault="00C8327E">
                    <w:pPr>
                      <w:jc w:val="right"/>
                    </w:pPr>
                  </w:p>
                </w:tc>
                <w:tc>
                  <w:tcPr>
                    <w:tcW w:w="627" w:type="pct"/>
                    <w:tcBorders>
                      <w:top w:val="single" w:sz="4" w:space="0" w:color="auto"/>
                      <w:left w:val="single" w:sz="4" w:space="0" w:color="auto"/>
                      <w:bottom w:val="single" w:sz="4" w:space="0" w:color="auto"/>
                      <w:right w:val="single" w:sz="4" w:space="0" w:color="auto"/>
                    </w:tcBorders>
                    <w:vAlign w:val="center"/>
                  </w:tcPr>
                  <w:p w14:paraId="2BA85565" w14:textId="77777777" w:rsidR="007E7472" w:rsidRDefault="00C8327E">
                    <w:pPr>
                      <w:jc w:val="right"/>
                    </w:pPr>
                  </w:p>
                </w:tc>
                <w:tc>
                  <w:tcPr>
                    <w:tcW w:w="717" w:type="pct"/>
                    <w:tcBorders>
                      <w:top w:val="single" w:sz="4" w:space="0" w:color="auto"/>
                      <w:left w:val="single" w:sz="4" w:space="0" w:color="auto"/>
                      <w:bottom w:val="single" w:sz="4" w:space="0" w:color="auto"/>
                      <w:right w:val="single" w:sz="4" w:space="0" w:color="auto"/>
                    </w:tcBorders>
                    <w:vAlign w:val="center"/>
                  </w:tcPr>
                  <w:p w14:paraId="73E0D297" w14:textId="77777777" w:rsidR="007E7472" w:rsidRDefault="00EC1269">
                    <w:pPr>
                      <w:jc w:val="right"/>
                    </w:pPr>
                    <w:r>
                      <w:t>91,198</w:t>
                    </w:r>
                  </w:p>
                </w:tc>
                <w:tc>
                  <w:tcPr>
                    <w:tcW w:w="628" w:type="pct"/>
                    <w:tcBorders>
                      <w:top w:val="single" w:sz="4" w:space="0" w:color="auto"/>
                      <w:left w:val="single" w:sz="4" w:space="0" w:color="auto"/>
                      <w:bottom w:val="single" w:sz="4" w:space="0" w:color="auto"/>
                      <w:right w:val="single" w:sz="4" w:space="0" w:color="auto"/>
                    </w:tcBorders>
                  </w:tcPr>
                  <w:p w14:paraId="12FBCEF6" w14:textId="77777777" w:rsidR="007E7472" w:rsidRDefault="00C8327E">
                    <w:pPr>
                      <w:jc w:val="right"/>
                    </w:pPr>
                  </w:p>
                </w:tc>
                <w:tc>
                  <w:tcPr>
                    <w:tcW w:w="717" w:type="pct"/>
                    <w:tcBorders>
                      <w:top w:val="single" w:sz="4" w:space="0" w:color="auto"/>
                      <w:left w:val="single" w:sz="4" w:space="0" w:color="auto"/>
                      <w:bottom w:val="single" w:sz="4" w:space="0" w:color="auto"/>
                      <w:right w:val="single" w:sz="4" w:space="0" w:color="auto"/>
                    </w:tcBorders>
                  </w:tcPr>
                  <w:p w14:paraId="613F809E" w14:textId="77777777" w:rsidR="007E7472" w:rsidRDefault="00C8327E">
                    <w:pPr>
                      <w:jc w:val="right"/>
                    </w:pPr>
                  </w:p>
                </w:tc>
              </w:tr>
            </w:sdtContent>
          </w:sdt>
          <w:sdt>
            <w:sdtPr>
              <w:rPr>
                <w:rFonts w:asciiTheme="minorHAnsi" w:eastAsiaTheme="minorEastAsia" w:hAnsiTheme="minorHAnsi" w:cstheme="minorBidi"/>
                <w:kern w:val="2"/>
              </w:rPr>
              <w:alias w:val="长期股权投资明细"/>
              <w:tag w:val="_GBC_daf82e8df55d4ba9bf351c25fd5a63c2"/>
              <w:id w:val="-922799097"/>
              <w:lock w:val="sdtLocked"/>
            </w:sdtPr>
            <w:sdtEndPr/>
            <w:sdtContent>
              <w:tr w:rsidR="007E7472" w14:paraId="18A599FC" w14:textId="77777777">
                <w:tc>
                  <w:tcPr>
                    <w:tcW w:w="962" w:type="pct"/>
                    <w:tcBorders>
                      <w:top w:val="single" w:sz="4" w:space="0" w:color="auto"/>
                      <w:left w:val="single" w:sz="4" w:space="0" w:color="auto"/>
                      <w:bottom w:val="single" w:sz="4" w:space="0" w:color="auto"/>
                      <w:right w:val="single" w:sz="4" w:space="0" w:color="auto"/>
                    </w:tcBorders>
                    <w:vAlign w:val="center"/>
                  </w:tcPr>
                  <w:p w14:paraId="21500EDC" w14:textId="77777777" w:rsidR="007E7472" w:rsidRDefault="00EC1269">
                    <w:r>
                      <w:t>兖矿榆林精细化工有限公司</w:t>
                    </w:r>
                  </w:p>
                </w:tc>
                <w:tc>
                  <w:tcPr>
                    <w:tcW w:w="717" w:type="pct"/>
                    <w:tcBorders>
                      <w:top w:val="single" w:sz="4" w:space="0" w:color="auto"/>
                      <w:left w:val="single" w:sz="4" w:space="0" w:color="auto"/>
                      <w:bottom w:val="single" w:sz="4" w:space="0" w:color="auto"/>
                      <w:right w:val="single" w:sz="4" w:space="0" w:color="auto"/>
                    </w:tcBorders>
                    <w:vAlign w:val="center"/>
                  </w:tcPr>
                  <w:p w14:paraId="1756C393" w14:textId="77777777" w:rsidR="007E7472" w:rsidRDefault="00EC1269">
                    <w:pPr>
                      <w:jc w:val="right"/>
                    </w:pPr>
                    <w:r>
                      <w:t>168,218</w:t>
                    </w:r>
                  </w:p>
                </w:tc>
                <w:tc>
                  <w:tcPr>
                    <w:tcW w:w="630" w:type="pct"/>
                    <w:tcBorders>
                      <w:top w:val="single" w:sz="4" w:space="0" w:color="auto"/>
                      <w:left w:val="single" w:sz="4" w:space="0" w:color="auto"/>
                      <w:bottom w:val="single" w:sz="4" w:space="0" w:color="auto"/>
                      <w:right w:val="single" w:sz="4" w:space="0" w:color="auto"/>
                    </w:tcBorders>
                    <w:vAlign w:val="center"/>
                  </w:tcPr>
                  <w:p w14:paraId="769993F9" w14:textId="77777777" w:rsidR="007E7472" w:rsidRDefault="00C8327E">
                    <w:pPr>
                      <w:jc w:val="right"/>
                    </w:pPr>
                  </w:p>
                </w:tc>
                <w:tc>
                  <w:tcPr>
                    <w:tcW w:w="627" w:type="pct"/>
                    <w:tcBorders>
                      <w:top w:val="single" w:sz="4" w:space="0" w:color="auto"/>
                      <w:left w:val="single" w:sz="4" w:space="0" w:color="auto"/>
                      <w:bottom w:val="single" w:sz="4" w:space="0" w:color="auto"/>
                      <w:right w:val="single" w:sz="4" w:space="0" w:color="auto"/>
                    </w:tcBorders>
                    <w:vAlign w:val="center"/>
                  </w:tcPr>
                  <w:p w14:paraId="7CCEB2C9" w14:textId="77777777" w:rsidR="007E7472" w:rsidRDefault="00C8327E">
                    <w:pPr>
                      <w:jc w:val="right"/>
                    </w:pPr>
                  </w:p>
                </w:tc>
                <w:tc>
                  <w:tcPr>
                    <w:tcW w:w="717" w:type="pct"/>
                    <w:tcBorders>
                      <w:top w:val="single" w:sz="4" w:space="0" w:color="auto"/>
                      <w:left w:val="single" w:sz="4" w:space="0" w:color="auto"/>
                      <w:bottom w:val="single" w:sz="4" w:space="0" w:color="auto"/>
                      <w:right w:val="single" w:sz="4" w:space="0" w:color="auto"/>
                    </w:tcBorders>
                    <w:vAlign w:val="center"/>
                  </w:tcPr>
                  <w:p w14:paraId="20ADC8A0" w14:textId="77777777" w:rsidR="007E7472" w:rsidRDefault="00EC1269">
                    <w:pPr>
                      <w:jc w:val="right"/>
                    </w:pPr>
                    <w:r>
                      <w:t>168,218</w:t>
                    </w:r>
                  </w:p>
                </w:tc>
                <w:tc>
                  <w:tcPr>
                    <w:tcW w:w="628" w:type="pct"/>
                    <w:tcBorders>
                      <w:top w:val="single" w:sz="4" w:space="0" w:color="auto"/>
                      <w:left w:val="single" w:sz="4" w:space="0" w:color="auto"/>
                      <w:bottom w:val="single" w:sz="4" w:space="0" w:color="auto"/>
                      <w:right w:val="single" w:sz="4" w:space="0" w:color="auto"/>
                    </w:tcBorders>
                  </w:tcPr>
                  <w:p w14:paraId="45F6627D" w14:textId="77777777" w:rsidR="007E7472" w:rsidRDefault="00C8327E">
                    <w:pPr>
                      <w:jc w:val="right"/>
                    </w:pPr>
                  </w:p>
                </w:tc>
                <w:tc>
                  <w:tcPr>
                    <w:tcW w:w="717" w:type="pct"/>
                    <w:tcBorders>
                      <w:top w:val="single" w:sz="4" w:space="0" w:color="auto"/>
                      <w:left w:val="single" w:sz="4" w:space="0" w:color="auto"/>
                      <w:bottom w:val="single" w:sz="4" w:space="0" w:color="auto"/>
                      <w:right w:val="single" w:sz="4" w:space="0" w:color="auto"/>
                    </w:tcBorders>
                  </w:tcPr>
                  <w:p w14:paraId="182D3060" w14:textId="77777777" w:rsidR="007E7472" w:rsidRDefault="00C8327E">
                    <w:pPr>
                      <w:jc w:val="right"/>
                    </w:pPr>
                  </w:p>
                </w:tc>
              </w:tr>
            </w:sdtContent>
          </w:sdt>
          <w:sdt>
            <w:sdtPr>
              <w:rPr>
                <w:rFonts w:asciiTheme="minorHAnsi" w:eastAsiaTheme="minorEastAsia" w:hAnsiTheme="minorHAnsi" w:cstheme="minorBidi"/>
                <w:kern w:val="2"/>
              </w:rPr>
              <w:alias w:val="长期股权投资明细"/>
              <w:tag w:val="_GBC_daf82e8df55d4ba9bf351c25fd5a63c2"/>
              <w:id w:val="1363485646"/>
              <w:lock w:val="sdtLocked"/>
            </w:sdtPr>
            <w:sdtEndPr/>
            <w:sdtContent>
              <w:tr w:rsidR="007E7472" w14:paraId="2529BDC3" w14:textId="77777777">
                <w:tc>
                  <w:tcPr>
                    <w:tcW w:w="962" w:type="pct"/>
                    <w:tcBorders>
                      <w:top w:val="single" w:sz="4" w:space="0" w:color="auto"/>
                      <w:left w:val="single" w:sz="4" w:space="0" w:color="auto"/>
                      <w:bottom w:val="single" w:sz="4" w:space="0" w:color="auto"/>
                      <w:right w:val="single" w:sz="4" w:space="0" w:color="auto"/>
                    </w:tcBorders>
                    <w:vAlign w:val="center"/>
                  </w:tcPr>
                  <w:p w14:paraId="24111A7C" w14:textId="77777777" w:rsidR="007E7472" w:rsidRDefault="00EC1269">
                    <w:r>
                      <w:t>陕西未来能源化工有限公司</w:t>
                    </w:r>
                  </w:p>
                </w:tc>
                <w:tc>
                  <w:tcPr>
                    <w:tcW w:w="717" w:type="pct"/>
                    <w:tcBorders>
                      <w:top w:val="single" w:sz="4" w:space="0" w:color="auto"/>
                      <w:left w:val="single" w:sz="4" w:space="0" w:color="auto"/>
                      <w:bottom w:val="single" w:sz="4" w:space="0" w:color="auto"/>
                      <w:right w:val="single" w:sz="4" w:space="0" w:color="auto"/>
                    </w:tcBorders>
                    <w:vAlign w:val="center"/>
                  </w:tcPr>
                  <w:p w14:paraId="3F31DAE4" w14:textId="77777777" w:rsidR="007E7472" w:rsidRDefault="00EC1269">
                    <w:pPr>
                      <w:jc w:val="right"/>
                    </w:pPr>
                    <w:r>
                      <w:t>8,137,346</w:t>
                    </w:r>
                  </w:p>
                </w:tc>
                <w:tc>
                  <w:tcPr>
                    <w:tcW w:w="630" w:type="pct"/>
                    <w:tcBorders>
                      <w:top w:val="single" w:sz="4" w:space="0" w:color="auto"/>
                      <w:left w:val="single" w:sz="4" w:space="0" w:color="auto"/>
                      <w:bottom w:val="single" w:sz="4" w:space="0" w:color="auto"/>
                      <w:right w:val="single" w:sz="4" w:space="0" w:color="auto"/>
                    </w:tcBorders>
                    <w:vAlign w:val="center"/>
                  </w:tcPr>
                  <w:p w14:paraId="76A7407B" w14:textId="77777777" w:rsidR="007E7472" w:rsidRDefault="00C8327E">
                    <w:pPr>
                      <w:jc w:val="right"/>
                    </w:pPr>
                  </w:p>
                </w:tc>
                <w:tc>
                  <w:tcPr>
                    <w:tcW w:w="627" w:type="pct"/>
                    <w:tcBorders>
                      <w:top w:val="single" w:sz="4" w:space="0" w:color="auto"/>
                      <w:left w:val="single" w:sz="4" w:space="0" w:color="auto"/>
                      <w:bottom w:val="single" w:sz="4" w:space="0" w:color="auto"/>
                      <w:right w:val="single" w:sz="4" w:space="0" w:color="auto"/>
                    </w:tcBorders>
                    <w:vAlign w:val="center"/>
                  </w:tcPr>
                  <w:p w14:paraId="09619EDB" w14:textId="77777777" w:rsidR="007E7472" w:rsidRDefault="00C8327E">
                    <w:pPr>
                      <w:jc w:val="right"/>
                    </w:pPr>
                  </w:p>
                </w:tc>
                <w:tc>
                  <w:tcPr>
                    <w:tcW w:w="717" w:type="pct"/>
                    <w:tcBorders>
                      <w:top w:val="single" w:sz="4" w:space="0" w:color="auto"/>
                      <w:left w:val="single" w:sz="4" w:space="0" w:color="auto"/>
                      <w:bottom w:val="single" w:sz="4" w:space="0" w:color="auto"/>
                      <w:right w:val="single" w:sz="4" w:space="0" w:color="auto"/>
                    </w:tcBorders>
                    <w:vAlign w:val="center"/>
                  </w:tcPr>
                  <w:p w14:paraId="0117E7E4" w14:textId="77777777" w:rsidR="007E7472" w:rsidRDefault="00EC1269">
                    <w:pPr>
                      <w:jc w:val="right"/>
                    </w:pPr>
                    <w:r>
                      <w:t>8,137,346</w:t>
                    </w:r>
                  </w:p>
                </w:tc>
                <w:tc>
                  <w:tcPr>
                    <w:tcW w:w="628" w:type="pct"/>
                    <w:tcBorders>
                      <w:top w:val="single" w:sz="4" w:space="0" w:color="auto"/>
                      <w:left w:val="single" w:sz="4" w:space="0" w:color="auto"/>
                      <w:bottom w:val="single" w:sz="4" w:space="0" w:color="auto"/>
                      <w:right w:val="single" w:sz="4" w:space="0" w:color="auto"/>
                    </w:tcBorders>
                  </w:tcPr>
                  <w:p w14:paraId="0D27CF60" w14:textId="77777777" w:rsidR="007E7472" w:rsidRDefault="00C8327E">
                    <w:pPr>
                      <w:jc w:val="right"/>
                    </w:pPr>
                  </w:p>
                </w:tc>
                <w:tc>
                  <w:tcPr>
                    <w:tcW w:w="717" w:type="pct"/>
                    <w:tcBorders>
                      <w:top w:val="single" w:sz="4" w:space="0" w:color="auto"/>
                      <w:left w:val="single" w:sz="4" w:space="0" w:color="auto"/>
                      <w:bottom w:val="single" w:sz="4" w:space="0" w:color="auto"/>
                      <w:right w:val="single" w:sz="4" w:space="0" w:color="auto"/>
                    </w:tcBorders>
                  </w:tcPr>
                  <w:p w14:paraId="4B4B5C88" w14:textId="77777777" w:rsidR="007E7472" w:rsidRDefault="00C8327E">
                    <w:pPr>
                      <w:jc w:val="right"/>
                    </w:pPr>
                  </w:p>
                </w:tc>
              </w:tr>
            </w:sdtContent>
          </w:sdt>
          <w:sdt>
            <w:sdtPr>
              <w:rPr>
                <w:rFonts w:asciiTheme="minorHAnsi" w:eastAsiaTheme="minorEastAsia" w:hAnsiTheme="minorHAnsi" w:cstheme="minorBidi"/>
                <w:kern w:val="2"/>
              </w:rPr>
              <w:alias w:val="长期股权投资明细"/>
              <w:tag w:val="_GBC_daf82e8df55d4ba9bf351c25fd5a63c2"/>
              <w:id w:val="-524948524"/>
              <w:lock w:val="sdtLocked"/>
            </w:sdtPr>
            <w:sdtEndPr/>
            <w:sdtContent>
              <w:tr w:rsidR="007E7472" w14:paraId="6BC51132" w14:textId="77777777">
                <w:tc>
                  <w:tcPr>
                    <w:tcW w:w="962" w:type="pct"/>
                    <w:tcBorders>
                      <w:top w:val="single" w:sz="4" w:space="0" w:color="auto"/>
                      <w:left w:val="single" w:sz="4" w:space="0" w:color="auto"/>
                      <w:bottom w:val="single" w:sz="4" w:space="0" w:color="auto"/>
                      <w:right w:val="single" w:sz="4" w:space="0" w:color="auto"/>
                    </w:tcBorders>
                    <w:vAlign w:val="center"/>
                  </w:tcPr>
                  <w:p w14:paraId="4D61B6A8" w14:textId="77777777" w:rsidR="007E7472" w:rsidRDefault="00EC1269">
                    <w:r>
                      <w:t>兖矿济宁化工装备有限公司</w:t>
                    </w:r>
                  </w:p>
                </w:tc>
                <w:tc>
                  <w:tcPr>
                    <w:tcW w:w="717" w:type="pct"/>
                    <w:tcBorders>
                      <w:top w:val="single" w:sz="4" w:space="0" w:color="auto"/>
                      <w:left w:val="single" w:sz="4" w:space="0" w:color="auto"/>
                      <w:bottom w:val="single" w:sz="4" w:space="0" w:color="auto"/>
                      <w:right w:val="single" w:sz="4" w:space="0" w:color="auto"/>
                    </w:tcBorders>
                    <w:vAlign w:val="center"/>
                  </w:tcPr>
                  <w:p w14:paraId="38A93C8C" w14:textId="77777777" w:rsidR="007E7472" w:rsidRDefault="00EC1269">
                    <w:pPr>
                      <w:jc w:val="right"/>
                    </w:pPr>
                    <w:r>
                      <w:t>55,724</w:t>
                    </w:r>
                  </w:p>
                </w:tc>
                <w:tc>
                  <w:tcPr>
                    <w:tcW w:w="630" w:type="pct"/>
                    <w:tcBorders>
                      <w:top w:val="single" w:sz="4" w:space="0" w:color="auto"/>
                      <w:left w:val="single" w:sz="4" w:space="0" w:color="auto"/>
                      <w:bottom w:val="single" w:sz="4" w:space="0" w:color="auto"/>
                      <w:right w:val="single" w:sz="4" w:space="0" w:color="auto"/>
                    </w:tcBorders>
                    <w:vAlign w:val="center"/>
                  </w:tcPr>
                  <w:p w14:paraId="4F84A7D1" w14:textId="77777777" w:rsidR="007E7472" w:rsidRDefault="00C8327E">
                    <w:pPr>
                      <w:jc w:val="right"/>
                    </w:pPr>
                  </w:p>
                </w:tc>
                <w:tc>
                  <w:tcPr>
                    <w:tcW w:w="627" w:type="pct"/>
                    <w:tcBorders>
                      <w:top w:val="single" w:sz="4" w:space="0" w:color="auto"/>
                      <w:left w:val="single" w:sz="4" w:space="0" w:color="auto"/>
                      <w:bottom w:val="single" w:sz="4" w:space="0" w:color="auto"/>
                      <w:right w:val="single" w:sz="4" w:space="0" w:color="auto"/>
                    </w:tcBorders>
                    <w:vAlign w:val="center"/>
                  </w:tcPr>
                  <w:p w14:paraId="2F26D86A" w14:textId="77777777" w:rsidR="007E7472" w:rsidRDefault="00C8327E">
                    <w:pPr>
                      <w:jc w:val="right"/>
                    </w:pPr>
                  </w:p>
                </w:tc>
                <w:tc>
                  <w:tcPr>
                    <w:tcW w:w="717" w:type="pct"/>
                    <w:tcBorders>
                      <w:top w:val="single" w:sz="4" w:space="0" w:color="auto"/>
                      <w:left w:val="single" w:sz="4" w:space="0" w:color="auto"/>
                      <w:bottom w:val="single" w:sz="4" w:space="0" w:color="auto"/>
                      <w:right w:val="single" w:sz="4" w:space="0" w:color="auto"/>
                    </w:tcBorders>
                    <w:vAlign w:val="center"/>
                  </w:tcPr>
                  <w:p w14:paraId="00492C09" w14:textId="77777777" w:rsidR="007E7472" w:rsidRDefault="00EC1269">
                    <w:pPr>
                      <w:jc w:val="right"/>
                    </w:pPr>
                    <w:r>
                      <w:t>55,724</w:t>
                    </w:r>
                  </w:p>
                </w:tc>
                <w:tc>
                  <w:tcPr>
                    <w:tcW w:w="628" w:type="pct"/>
                    <w:tcBorders>
                      <w:top w:val="single" w:sz="4" w:space="0" w:color="auto"/>
                      <w:left w:val="single" w:sz="4" w:space="0" w:color="auto"/>
                      <w:bottom w:val="single" w:sz="4" w:space="0" w:color="auto"/>
                      <w:right w:val="single" w:sz="4" w:space="0" w:color="auto"/>
                    </w:tcBorders>
                  </w:tcPr>
                  <w:p w14:paraId="122AFA5D" w14:textId="77777777" w:rsidR="007E7472" w:rsidRDefault="00C8327E">
                    <w:pPr>
                      <w:jc w:val="right"/>
                    </w:pPr>
                  </w:p>
                </w:tc>
                <w:tc>
                  <w:tcPr>
                    <w:tcW w:w="717" w:type="pct"/>
                    <w:tcBorders>
                      <w:top w:val="single" w:sz="4" w:space="0" w:color="auto"/>
                      <w:left w:val="single" w:sz="4" w:space="0" w:color="auto"/>
                      <w:bottom w:val="single" w:sz="4" w:space="0" w:color="auto"/>
                      <w:right w:val="single" w:sz="4" w:space="0" w:color="auto"/>
                    </w:tcBorders>
                  </w:tcPr>
                  <w:p w14:paraId="15D371E5" w14:textId="77777777" w:rsidR="007E7472" w:rsidRDefault="00C8327E">
                    <w:pPr>
                      <w:jc w:val="right"/>
                    </w:pPr>
                  </w:p>
                </w:tc>
              </w:tr>
            </w:sdtContent>
          </w:sdt>
          <w:sdt>
            <w:sdtPr>
              <w:rPr>
                <w:rFonts w:asciiTheme="minorHAnsi" w:eastAsiaTheme="minorEastAsia" w:hAnsiTheme="minorHAnsi" w:cstheme="minorBidi"/>
                <w:kern w:val="2"/>
              </w:rPr>
              <w:alias w:val="长期股权投资明细"/>
              <w:tag w:val="_GBC_daf82e8df55d4ba9bf351c25fd5a63c2"/>
              <w:id w:val="-1862582939"/>
              <w:lock w:val="sdtLocked"/>
            </w:sdtPr>
            <w:sdtEndPr/>
            <w:sdtContent>
              <w:tr w:rsidR="007E7472" w14:paraId="0EB9030E" w14:textId="77777777">
                <w:tc>
                  <w:tcPr>
                    <w:tcW w:w="962" w:type="pct"/>
                    <w:tcBorders>
                      <w:top w:val="single" w:sz="4" w:space="0" w:color="auto"/>
                      <w:left w:val="single" w:sz="4" w:space="0" w:color="auto"/>
                      <w:bottom w:val="single" w:sz="4" w:space="0" w:color="auto"/>
                      <w:right w:val="single" w:sz="4" w:space="0" w:color="auto"/>
                    </w:tcBorders>
                    <w:vAlign w:val="center"/>
                  </w:tcPr>
                  <w:p w14:paraId="0231A79B" w14:textId="77777777" w:rsidR="007E7472" w:rsidRDefault="00EC1269">
                    <w:r>
                      <w:t>山东兖矿济三电力有限公司</w:t>
                    </w:r>
                  </w:p>
                </w:tc>
                <w:tc>
                  <w:tcPr>
                    <w:tcW w:w="717" w:type="pct"/>
                    <w:tcBorders>
                      <w:top w:val="single" w:sz="4" w:space="0" w:color="auto"/>
                      <w:left w:val="single" w:sz="4" w:space="0" w:color="auto"/>
                      <w:bottom w:val="single" w:sz="4" w:space="0" w:color="auto"/>
                      <w:right w:val="single" w:sz="4" w:space="0" w:color="auto"/>
                    </w:tcBorders>
                    <w:vAlign w:val="center"/>
                  </w:tcPr>
                  <w:p w14:paraId="45F79556" w14:textId="77777777" w:rsidR="007E7472" w:rsidRDefault="00EC1269">
                    <w:pPr>
                      <w:jc w:val="right"/>
                    </w:pPr>
                    <w:r>
                      <w:t>616,352</w:t>
                    </w:r>
                  </w:p>
                </w:tc>
                <w:tc>
                  <w:tcPr>
                    <w:tcW w:w="630" w:type="pct"/>
                    <w:tcBorders>
                      <w:top w:val="single" w:sz="4" w:space="0" w:color="auto"/>
                      <w:left w:val="single" w:sz="4" w:space="0" w:color="auto"/>
                      <w:bottom w:val="single" w:sz="4" w:space="0" w:color="auto"/>
                      <w:right w:val="single" w:sz="4" w:space="0" w:color="auto"/>
                    </w:tcBorders>
                    <w:vAlign w:val="center"/>
                  </w:tcPr>
                  <w:p w14:paraId="4628EEA5" w14:textId="77777777" w:rsidR="007E7472" w:rsidRDefault="00C8327E">
                    <w:pPr>
                      <w:jc w:val="right"/>
                    </w:pPr>
                  </w:p>
                </w:tc>
                <w:tc>
                  <w:tcPr>
                    <w:tcW w:w="627" w:type="pct"/>
                    <w:tcBorders>
                      <w:top w:val="single" w:sz="4" w:space="0" w:color="auto"/>
                      <w:left w:val="single" w:sz="4" w:space="0" w:color="auto"/>
                      <w:bottom w:val="single" w:sz="4" w:space="0" w:color="auto"/>
                      <w:right w:val="single" w:sz="4" w:space="0" w:color="auto"/>
                    </w:tcBorders>
                    <w:vAlign w:val="center"/>
                  </w:tcPr>
                  <w:p w14:paraId="2B57F7B9" w14:textId="77777777" w:rsidR="007E7472" w:rsidRDefault="00C8327E">
                    <w:pPr>
                      <w:jc w:val="right"/>
                    </w:pPr>
                  </w:p>
                </w:tc>
                <w:tc>
                  <w:tcPr>
                    <w:tcW w:w="717" w:type="pct"/>
                    <w:tcBorders>
                      <w:top w:val="single" w:sz="4" w:space="0" w:color="auto"/>
                      <w:left w:val="single" w:sz="4" w:space="0" w:color="auto"/>
                      <w:bottom w:val="single" w:sz="4" w:space="0" w:color="auto"/>
                      <w:right w:val="single" w:sz="4" w:space="0" w:color="auto"/>
                    </w:tcBorders>
                    <w:vAlign w:val="center"/>
                  </w:tcPr>
                  <w:p w14:paraId="68C74E7E" w14:textId="77777777" w:rsidR="007E7472" w:rsidRDefault="00EC1269">
                    <w:pPr>
                      <w:jc w:val="right"/>
                    </w:pPr>
                    <w:r>
                      <w:t>616,352</w:t>
                    </w:r>
                  </w:p>
                </w:tc>
                <w:tc>
                  <w:tcPr>
                    <w:tcW w:w="628" w:type="pct"/>
                    <w:tcBorders>
                      <w:top w:val="single" w:sz="4" w:space="0" w:color="auto"/>
                      <w:left w:val="single" w:sz="4" w:space="0" w:color="auto"/>
                      <w:bottom w:val="single" w:sz="4" w:space="0" w:color="auto"/>
                      <w:right w:val="single" w:sz="4" w:space="0" w:color="auto"/>
                    </w:tcBorders>
                  </w:tcPr>
                  <w:p w14:paraId="411B3341" w14:textId="77777777" w:rsidR="007E7472" w:rsidRDefault="00C8327E">
                    <w:pPr>
                      <w:jc w:val="right"/>
                    </w:pPr>
                  </w:p>
                </w:tc>
                <w:tc>
                  <w:tcPr>
                    <w:tcW w:w="717" w:type="pct"/>
                    <w:tcBorders>
                      <w:top w:val="single" w:sz="4" w:space="0" w:color="auto"/>
                      <w:left w:val="single" w:sz="4" w:space="0" w:color="auto"/>
                      <w:bottom w:val="single" w:sz="4" w:space="0" w:color="auto"/>
                      <w:right w:val="single" w:sz="4" w:space="0" w:color="auto"/>
                    </w:tcBorders>
                  </w:tcPr>
                  <w:p w14:paraId="4B8A2BA4" w14:textId="77777777" w:rsidR="007E7472" w:rsidRDefault="00C8327E">
                    <w:pPr>
                      <w:jc w:val="right"/>
                    </w:pPr>
                  </w:p>
                </w:tc>
              </w:tr>
            </w:sdtContent>
          </w:sdt>
          <w:sdt>
            <w:sdtPr>
              <w:rPr>
                <w:rFonts w:asciiTheme="minorHAnsi" w:eastAsiaTheme="minorEastAsia" w:hAnsiTheme="minorHAnsi" w:cstheme="minorBidi"/>
                <w:kern w:val="2"/>
              </w:rPr>
              <w:alias w:val="长期股权投资明细"/>
              <w:tag w:val="_GBC_daf82e8df55d4ba9bf351c25fd5a63c2"/>
              <w:id w:val="-1829440692"/>
              <w:lock w:val="sdtLocked"/>
            </w:sdtPr>
            <w:sdtEndPr/>
            <w:sdtContent>
              <w:tr w:rsidR="007E7472" w14:paraId="33BCA6FD" w14:textId="77777777">
                <w:tc>
                  <w:tcPr>
                    <w:tcW w:w="962" w:type="pct"/>
                    <w:tcBorders>
                      <w:top w:val="single" w:sz="4" w:space="0" w:color="auto"/>
                      <w:left w:val="single" w:sz="4" w:space="0" w:color="auto"/>
                      <w:bottom w:val="single" w:sz="4" w:space="0" w:color="auto"/>
                      <w:right w:val="single" w:sz="4" w:space="0" w:color="auto"/>
                    </w:tcBorders>
                    <w:vAlign w:val="center"/>
                  </w:tcPr>
                  <w:p w14:paraId="6AB6E6B5" w14:textId="77777777" w:rsidR="007E7472" w:rsidRDefault="00EC1269">
                    <w:r>
                      <w:t>内蒙古矿业（集团）有限责任公司</w:t>
                    </w:r>
                  </w:p>
                </w:tc>
                <w:tc>
                  <w:tcPr>
                    <w:tcW w:w="717" w:type="pct"/>
                    <w:tcBorders>
                      <w:top w:val="single" w:sz="4" w:space="0" w:color="auto"/>
                      <w:left w:val="single" w:sz="4" w:space="0" w:color="auto"/>
                      <w:bottom w:val="single" w:sz="4" w:space="0" w:color="auto"/>
                      <w:right w:val="single" w:sz="4" w:space="0" w:color="auto"/>
                    </w:tcBorders>
                    <w:vAlign w:val="center"/>
                  </w:tcPr>
                  <w:p w14:paraId="05BD978E" w14:textId="77777777" w:rsidR="007E7472" w:rsidRDefault="00EC1269">
                    <w:pPr>
                      <w:jc w:val="right"/>
                    </w:pPr>
                    <w:r>
                      <w:t>3,962,290</w:t>
                    </w:r>
                  </w:p>
                </w:tc>
                <w:tc>
                  <w:tcPr>
                    <w:tcW w:w="630" w:type="pct"/>
                    <w:tcBorders>
                      <w:top w:val="single" w:sz="4" w:space="0" w:color="auto"/>
                      <w:left w:val="single" w:sz="4" w:space="0" w:color="auto"/>
                      <w:bottom w:val="single" w:sz="4" w:space="0" w:color="auto"/>
                      <w:right w:val="single" w:sz="4" w:space="0" w:color="auto"/>
                    </w:tcBorders>
                    <w:vAlign w:val="center"/>
                  </w:tcPr>
                  <w:p w14:paraId="556BE858" w14:textId="77777777" w:rsidR="007E7472" w:rsidRDefault="00C8327E">
                    <w:pPr>
                      <w:jc w:val="right"/>
                    </w:pPr>
                  </w:p>
                </w:tc>
                <w:tc>
                  <w:tcPr>
                    <w:tcW w:w="627" w:type="pct"/>
                    <w:tcBorders>
                      <w:top w:val="single" w:sz="4" w:space="0" w:color="auto"/>
                      <w:left w:val="single" w:sz="4" w:space="0" w:color="auto"/>
                      <w:bottom w:val="single" w:sz="4" w:space="0" w:color="auto"/>
                      <w:right w:val="single" w:sz="4" w:space="0" w:color="auto"/>
                    </w:tcBorders>
                    <w:vAlign w:val="center"/>
                  </w:tcPr>
                  <w:p w14:paraId="27BD55EE" w14:textId="77777777" w:rsidR="007E7472" w:rsidRDefault="00C8327E">
                    <w:pPr>
                      <w:jc w:val="right"/>
                    </w:pPr>
                  </w:p>
                </w:tc>
                <w:tc>
                  <w:tcPr>
                    <w:tcW w:w="717" w:type="pct"/>
                    <w:tcBorders>
                      <w:top w:val="single" w:sz="4" w:space="0" w:color="auto"/>
                      <w:left w:val="single" w:sz="4" w:space="0" w:color="auto"/>
                      <w:bottom w:val="single" w:sz="4" w:space="0" w:color="auto"/>
                      <w:right w:val="single" w:sz="4" w:space="0" w:color="auto"/>
                    </w:tcBorders>
                    <w:vAlign w:val="center"/>
                  </w:tcPr>
                  <w:p w14:paraId="25965CC3" w14:textId="77777777" w:rsidR="007E7472" w:rsidRDefault="00EC1269">
                    <w:pPr>
                      <w:jc w:val="right"/>
                    </w:pPr>
                    <w:r>
                      <w:t>3,962,290</w:t>
                    </w:r>
                  </w:p>
                </w:tc>
                <w:tc>
                  <w:tcPr>
                    <w:tcW w:w="628" w:type="pct"/>
                    <w:tcBorders>
                      <w:top w:val="single" w:sz="4" w:space="0" w:color="auto"/>
                      <w:left w:val="single" w:sz="4" w:space="0" w:color="auto"/>
                      <w:bottom w:val="single" w:sz="4" w:space="0" w:color="auto"/>
                      <w:right w:val="single" w:sz="4" w:space="0" w:color="auto"/>
                    </w:tcBorders>
                  </w:tcPr>
                  <w:p w14:paraId="14715B64" w14:textId="77777777" w:rsidR="007E7472" w:rsidRDefault="00C8327E">
                    <w:pPr>
                      <w:jc w:val="right"/>
                    </w:pPr>
                  </w:p>
                </w:tc>
                <w:tc>
                  <w:tcPr>
                    <w:tcW w:w="717" w:type="pct"/>
                    <w:tcBorders>
                      <w:top w:val="single" w:sz="4" w:space="0" w:color="auto"/>
                      <w:left w:val="single" w:sz="4" w:space="0" w:color="auto"/>
                      <w:bottom w:val="single" w:sz="4" w:space="0" w:color="auto"/>
                      <w:right w:val="single" w:sz="4" w:space="0" w:color="auto"/>
                    </w:tcBorders>
                  </w:tcPr>
                  <w:p w14:paraId="5BCBC7CB" w14:textId="77777777" w:rsidR="007E7472" w:rsidRDefault="00C8327E">
                    <w:pPr>
                      <w:jc w:val="right"/>
                    </w:pPr>
                  </w:p>
                </w:tc>
              </w:tr>
            </w:sdtContent>
          </w:sdt>
          <w:sdt>
            <w:sdtPr>
              <w:rPr>
                <w:rFonts w:asciiTheme="minorHAnsi" w:eastAsiaTheme="minorEastAsia" w:hAnsiTheme="minorHAnsi" w:cstheme="minorBidi"/>
                <w:kern w:val="2"/>
              </w:rPr>
              <w:alias w:val="长期股权投资明细"/>
              <w:tag w:val="_GBC_daf82e8df55d4ba9bf351c25fd5a63c2"/>
              <w:id w:val="519906180"/>
              <w:lock w:val="sdtLocked"/>
            </w:sdtPr>
            <w:sdtEndPr/>
            <w:sdtContent>
              <w:tr w:rsidR="007E7472" w14:paraId="7446A84F" w14:textId="77777777">
                <w:tc>
                  <w:tcPr>
                    <w:tcW w:w="962" w:type="pct"/>
                    <w:tcBorders>
                      <w:top w:val="single" w:sz="4" w:space="0" w:color="auto"/>
                      <w:left w:val="single" w:sz="4" w:space="0" w:color="auto"/>
                      <w:bottom w:val="single" w:sz="4" w:space="0" w:color="auto"/>
                      <w:right w:val="single" w:sz="4" w:space="0" w:color="auto"/>
                    </w:tcBorders>
                    <w:vAlign w:val="center"/>
                  </w:tcPr>
                  <w:p w14:paraId="675F157E" w14:textId="77777777" w:rsidR="007E7472" w:rsidRDefault="00EC1269">
                    <w:r>
                      <w:t>兖矿智慧生态有限责任公司</w:t>
                    </w:r>
                  </w:p>
                </w:tc>
                <w:tc>
                  <w:tcPr>
                    <w:tcW w:w="717" w:type="pct"/>
                    <w:tcBorders>
                      <w:top w:val="single" w:sz="4" w:space="0" w:color="auto"/>
                      <w:left w:val="single" w:sz="4" w:space="0" w:color="auto"/>
                      <w:bottom w:val="single" w:sz="4" w:space="0" w:color="auto"/>
                      <w:right w:val="single" w:sz="4" w:space="0" w:color="auto"/>
                    </w:tcBorders>
                    <w:vAlign w:val="center"/>
                  </w:tcPr>
                  <w:p w14:paraId="45C87DF5" w14:textId="77777777" w:rsidR="007E7472" w:rsidRDefault="00EC1269">
                    <w:pPr>
                      <w:jc w:val="right"/>
                    </w:pPr>
                    <w:r>
                      <w:t>80,000</w:t>
                    </w:r>
                  </w:p>
                </w:tc>
                <w:tc>
                  <w:tcPr>
                    <w:tcW w:w="630" w:type="pct"/>
                    <w:tcBorders>
                      <w:top w:val="single" w:sz="4" w:space="0" w:color="auto"/>
                      <w:left w:val="single" w:sz="4" w:space="0" w:color="auto"/>
                      <w:bottom w:val="single" w:sz="4" w:space="0" w:color="auto"/>
                      <w:right w:val="single" w:sz="4" w:space="0" w:color="auto"/>
                    </w:tcBorders>
                    <w:vAlign w:val="center"/>
                  </w:tcPr>
                  <w:p w14:paraId="3794EB28" w14:textId="77777777" w:rsidR="007E7472" w:rsidRDefault="00C8327E">
                    <w:pPr>
                      <w:jc w:val="right"/>
                    </w:pPr>
                  </w:p>
                </w:tc>
                <w:tc>
                  <w:tcPr>
                    <w:tcW w:w="627" w:type="pct"/>
                    <w:tcBorders>
                      <w:top w:val="single" w:sz="4" w:space="0" w:color="auto"/>
                      <w:left w:val="single" w:sz="4" w:space="0" w:color="auto"/>
                      <w:bottom w:val="single" w:sz="4" w:space="0" w:color="auto"/>
                      <w:right w:val="single" w:sz="4" w:space="0" w:color="auto"/>
                    </w:tcBorders>
                    <w:vAlign w:val="center"/>
                  </w:tcPr>
                  <w:p w14:paraId="670E3E7D" w14:textId="77777777" w:rsidR="007E7472" w:rsidRDefault="00C8327E">
                    <w:pPr>
                      <w:jc w:val="right"/>
                    </w:pPr>
                  </w:p>
                </w:tc>
                <w:tc>
                  <w:tcPr>
                    <w:tcW w:w="717" w:type="pct"/>
                    <w:tcBorders>
                      <w:top w:val="single" w:sz="4" w:space="0" w:color="auto"/>
                      <w:left w:val="single" w:sz="4" w:space="0" w:color="auto"/>
                      <w:bottom w:val="single" w:sz="4" w:space="0" w:color="auto"/>
                      <w:right w:val="single" w:sz="4" w:space="0" w:color="auto"/>
                    </w:tcBorders>
                    <w:vAlign w:val="center"/>
                  </w:tcPr>
                  <w:p w14:paraId="28801CE6" w14:textId="77777777" w:rsidR="007E7472" w:rsidRDefault="00EC1269">
                    <w:pPr>
                      <w:jc w:val="right"/>
                    </w:pPr>
                    <w:r>
                      <w:t>80,000</w:t>
                    </w:r>
                  </w:p>
                </w:tc>
                <w:tc>
                  <w:tcPr>
                    <w:tcW w:w="628" w:type="pct"/>
                    <w:tcBorders>
                      <w:top w:val="single" w:sz="4" w:space="0" w:color="auto"/>
                      <w:left w:val="single" w:sz="4" w:space="0" w:color="auto"/>
                      <w:bottom w:val="single" w:sz="4" w:space="0" w:color="auto"/>
                      <w:right w:val="single" w:sz="4" w:space="0" w:color="auto"/>
                    </w:tcBorders>
                  </w:tcPr>
                  <w:p w14:paraId="55E17513" w14:textId="77777777" w:rsidR="007E7472" w:rsidRDefault="00C8327E">
                    <w:pPr>
                      <w:jc w:val="right"/>
                    </w:pPr>
                  </w:p>
                </w:tc>
                <w:tc>
                  <w:tcPr>
                    <w:tcW w:w="717" w:type="pct"/>
                    <w:tcBorders>
                      <w:top w:val="single" w:sz="4" w:space="0" w:color="auto"/>
                      <w:left w:val="single" w:sz="4" w:space="0" w:color="auto"/>
                      <w:bottom w:val="single" w:sz="4" w:space="0" w:color="auto"/>
                      <w:right w:val="single" w:sz="4" w:space="0" w:color="auto"/>
                    </w:tcBorders>
                  </w:tcPr>
                  <w:p w14:paraId="45554BB8" w14:textId="77777777" w:rsidR="007E7472" w:rsidRDefault="00C8327E">
                    <w:pPr>
                      <w:jc w:val="right"/>
                    </w:pPr>
                  </w:p>
                </w:tc>
              </w:tr>
            </w:sdtContent>
          </w:sdt>
          <w:sdt>
            <w:sdtPr>
              <w:rPr>
                <w:rFonts w:asciiTheme="minorHAnsi" w:eastAsiaTheme="minorEastAsia" w:hAnsiTheme="minorHAnsi" w:cstheme="minorBidi"/>
                <w:kern w:val="2"/>
              </w:rPr>
              <w:alias w:val="长期股权投资明细"/>
              <w:tag w:val="_GBC_daf82e8df55d4ba9bf351c25fd5a63c2"/>
              <w:id w:val="-546299034"/>
              <w:lock w:val="sdtLocked"/>
            </w:sdtPr>
            <w:sdtEndPr/>
            <w:sdtContent>
              <w:tr w:rsidR="007E7472" w14:paraId="34827AFB" w14:textId="77777777">
                <w:tc>
                  <w:tcPr>
                    <w:tcW w:w="962" w:type="pct"/>
                    <w:tcBorders>
                      <w:top w:val="single" w:sz="4" w:space="0" w:color="auto"/>
                      <w:left w:val="single" w:sz="4" w:space="0" w:color="auto"/>
                      <w:bottom w:val="single" w:sz="4" w:space="0" w:color="auto"/>
                      <w:right w:val="single" w:sz="4" w:space="0" w:color="auto"/>
                    </w:tcBorders>
                    <w:vAlign w:val="center"/>
                  </w:tcPr>
                  <w:p w14:paraId="55B3D011" w14:textId="77777777" w:rsidR="007E7472" w:rsidRDefault="00EC1269">
                    <w:r>
                      <w:t>青岛端信资产管理有限公司</w:t>
                    </w:r>
                  </w:p>
                </w:tc>
                <w:tc>
                  <w:tcPr>
                    <w:tcW w:w="717" w:type="pct"/>
                    <w:tcBorders>
                      <w:top w:val="single" w:sz="4" w:space="0" w:color="auto"/>
                      <w:left w:val="single" w:sz="4" w:space="0" w:color="auto"/>
                      <w:bottom w:val="single" w:sz="4" w:space="0" w:color="auto"/>
                      <w:right w:val="single" w:sz="4" w:space="0" w:color="auto"/>
                    </w:tcBorders>
                    <w:vAlign w:val="center"/>
                  </w:tcPr>
                  <w:p w14:paraId="6E41EF45" w14:textId="77777777" w:rsidR="007E7472" w:rsidRDefault="00EC1269">
                    <w:pPr>
                      <w:jc w:val="right"/>
                    </w:pPr>
                    <w:r>
                      <w:t>404,230</w:t>
                    </w:r>
                  </w:p>
                </w:tc>
                <w:tc>
                  <w:tcPr>
                    <w:tcW w:w="630" w:type="pct"/>
                    <w:tcBorders>
                      <w:top w:val="single" w:sz="4" w:space="0" w:color="auto"/>
                      <w:left w:val="single" w:sz="4" w:space="0" w:color="auto"/>
                      <w:bottom w:val="single" w:sz="4" w:space="0" w:color="auto"/>
                      <w:right w:val="single" w:sz="4" w:space="0" w:color="auto"/>
                    </w:tcBorders>
                    <w:vAlign w:val="center"/>
                  </w:tcPr>
                  <w:p w14:paraId="728514C3" w14:textId="77777777" w:rsidR="007E7472" w:rsidRDefault="00EC1269">
                    <w:pPr>
                      <w:jc w:val="right"/>
                    </w:pPr>
                    <w:r>
                      <w:t>95,770</w:t>
                    </w:r>
                  </w:p>
                </w:tc>
                <w:tc>
                  <w:tcPr>
                    <w:tcW w:w="627" w:type="pct"/>
                    <w:tcBorders>
                      <w:top w:val="single" w:sz="4" w:space="0" w:color="auto"/>
                      <w:left w:val="single" w:sz="4" w:space="0" w:color="auto"/>
                      <w:bottom w:val="single" w:sz="4" w:space="0" w:color="auto"/>
                      <w:right w:val="single" w:sz="4" w:space="0" w:color="auto"/>
                    </w:tcBorders>
                    <w:vAlign w:val="center"/>
                  </w:tcPr>
                  <w:p w14:paraId="767A6FDA" w14:textId="77777777" w:rsidR="007E7472" w:rsidRDefault="00C8327E">
                    <w:pPr>
                      <w:jc w:val="right"/>
                    </w:pPr>
                  </w:p>
                </w:tc>
                <w:tc>
                  <w:tcPr>
                    <w:tcW w:w="717" w:type="pct"/>
                    <w:tcBorders>
                      <w:top w:val="single" w:sz="4" w:space="0" w:color="auto"/>
                      <w:left w:val="single" w:sz="4" w:space="0" w:color="auto"/>
                      <w:bottom w:val="single" w:sz="4" w:space="0" w:color="auto"/>
                      <w:right w:val="single" w:sz="4" w:space="0" w:color="auto"/>
                    </w:tcBorders>
                    <w:vAlign w:val="center"/>
                  </w:tcPr>
                  <w:p w14:paraId="5221F781" w14:textId="77777777" w:rsidR="007E7472" w:rsidRDefault="00EC1269">
                    <w:pPr>
                      <w:jc w:val="right"/>
                    </w:pPr>
                    <w:r>
                      <w:t>500,000</w:t>
                    </w:r>
                  </w:p>
                </w:tc>
                <w:tc>
                  <w:tcPr>
                    <w:tcW w:w="628" w:type="pct"/>
                    <w:tcBorders>
                      <w:top w:val="single" w:sz="4" w:space="0" w:color="auto"/>
                      <w:left w:val="single" w:sz="4" w:space="0" w:color="auto"/>
                      <w:bottom w:val="single" w:sz="4" w:space="0" w:color="auto"/>
                      <w:right w:val="single" w:sz="4" w:space="0" w:color="auto"/>
                    </w:tcBorders>
                  </w:tcPr>
                  <w:p w14:paraId="7C20ECB2" w14:textId="77777777" w:rsidR="007E7472" w:rsidRDefault="00C8327E">
                    <w:pPr>
                      <w:jc w:val="right"/>
                    </w:pPr>
                  </w:p>
                </w:tc>
                <w:tc>
                  <w:tcPr>
                    <w:tcW w:w="717" w:type="pct"/>
                    <w:tcBorders>
                      <w:top w:val="single" w:sz="4" w:space="0" w:color="auto"/>
                      <w:left w:val="single" w:sz="4" w:space="0" w:color="auto"/>
                      <w:bottom w:val="single" w:sz="4" w:space="0" w:color="auto"/>
                      <w:right w:val="single" w:sz="4" w:space="0" w:color="auto"/>
                    </w:tcBorders>
                  </w:tcPr>
                  <w:p w14:paraId="16256AE4" w14:textId="77777777" w:rsidR="007E7472" w:rsidRDefault="00C8327E">
                    <w:pPr>
                      <w:jc w:val="right"/>
                    </w:pPr>
                  </w:p>
                </w:tc>
              </w:tr>
            </w:sdtContent>
          </w:sdt>
          <w:sdt>
            <w:sdtPr>
              <w:rPr>
                <w:rFonts w:asciiTheme="minorHAnsi" w:eastAsiaTheme="minorEastAsia" w:hAnsiTheme="minorHAnsi" w:cstheme="minorBidi"/>
                <w:kern w:val="2"/>
              </w:rPr>
              <w:alias w:val="长期股权投资明细"/>
              <w:tag w:val="_GBC_daf82e8df55d4ba9bf351c25fd5a63c2"/>
              <w:id w:val="1497070795"/>
              <w:lock w:val="sdtLocked"/>
            </w:sdtPr>
            <w:sdtEndPr/>
            <w:sdtContent>
              <w:tr w:rsidR="007E7472" w14:paraId="4398B582" w14:textId="77777777">
                <w:tc>
                  <w:tcPr>
                    <w:tcW w:w="962" w:type="pct"/>
                    <w:tcBorders>
                      <w:top w:val="single" w:sz="4" w:space="0" w:color="auto"/>
                      <w:left w:val="single" w:sz="4" w:space="0" w:color="auto"/>
                      <w:bottom w:val="single" w:sz="4" w:space="0" w:color="auto"/>
                      <w:right w:val="single" w:sz="4" w:space="0" w:color="auto"/>
                    </w:tcBorders>
                    <w:vAlign w:val="center"/>
                  </w:tcPr>
                  <w:p w14:paraId="0CB4B3F9" w14:textId="77777777" w:rsidR="007E7472" w:rsidRDefault="00EC1269">
                    <w:r>
                      <w:t>兖矿铁路物流有限公司</w:t>
                    </w:r>
                  </w:p>
                </w:tc>
                <w:tc>
                  <w:tcPr>
                    <w:tcW w:w="717" w:type="pct"/>
                    <w:tcBorders>
                      <w:top w:val="single" w:sz="4" w:space="0" w:color="auto"/>
                      <w:left w:val="single" w:sz="4" w:space="0" w:color="auto"/>
                      <w:bottom w:val="single" w:sz="4" w:space="0" w:color="auto"/>
                      <w:right w:val="single" w:sz="4" w:space="0" w:color="auto"/>
                    </w:tcBorders>
                    <w:vAlign w:val="center"/>
                  </w:tcPr>
                  <w:p w14:paraId="0B690132" w14:textId="77777777" w:rsidR="007E7472" w:rsidRDefault="00EC1269">
                    <w:pPr>
                      <w:jc w:val="right"/>
                    </w:pPr>
                    <w:r>
                      <w:t>2,570,596</w:t>
                    </w:r>
                  </w:p>
                </w:tc>
                <w:tc>
                  <w:tcPr>
                    <w:tcW w:w="630" w:type="pct"/>
                    <w:tcBorders>
                      <w:top w:val="single" w:sz="4" w:space="0" w:color="auto"/>
                      <w:left w:val="single" w:sz="4" w:space="0" w:color="auto"/>
                      <w:bottom w:val="single" w:sz="4" w:space="0" w:color="auto"/>
                      <w:right w:val="single" w:sz="4" w:space="0" w:color="auto"/>
                    </w:tcBorders>
                    <w:vAlign w:val="center"/>
                  </w:tcPr>
                  <w:p w14:paraId="565F954F" w14:textId="77777777" w:rsidR="007E7472" w:rsidRDefault="00EC1269">
                    <w:pPr>
                      <w:jc w:val="right"/>
                    </w:pPr>
                    <w:r>
                      <w:t>122,190</w:t>
                    </w:r>
                  </w:p>
                </w:tc>
                <w:tc>
                  <w:tcPr>
                    <w:tcW w:w="627" w:type="pct"/>
                    <w:tcBorders>
                      <w:top w:val="single" w:sz="4" w:space="0" w:color="auto"/>
                      <w:left w:val="single" w:sz="4" w:space="0" w:color="auto"/>
                      <w:bottom w:val="single" w:sz="4" w:space="0" w:color="auto"/>
                      <w:right w:val="single" w:sz="4" w:space="0" w:color="auto"/>
                    </w:tcBorders>
                    <w:vAlign w:val="center"/>
                  </w:tcPr>
                  <w:p w14:paraId="2BEFCFBE" w14:textId="77777777" w:rsidR="007E7472" w:rsidRDefault="00C8327E">
                    <w:pPr>
                      <w:jc w:val="right"/>
                    </w:pPr>
                  </w:p>
                </w:tc>
                <w:tc>
                  <w:tcPr>
                    <w:tcW w:w="717" w:type="pct"/>
                    <w:tcBorders>
                      <w:top w:val="single" w:sz="4" w:space="0" w:color="auto"/>
                      <w:left w:val="single" w:sz="4" w:space="0" w:color="auto"/>
                      <w:bottom w:val="single" w:sz="4" w:space="0" w:color="auto"/>
                      <w:right w:val="single" w:sz="4" w:space="0" w:color="auto"/>
                    </w:tcBorders>
                    <w:vAlign w:val="center"/>
                  </w:tcPr>
                  <w:p w14:paraId="2A016FE9" w14:textId="77777777" w:rsidR="007E7472" w:rsidRDefault="00EC1269">
                    <w:pPr>
                      <w:jc w:val="right"/>
                    </w:pPr>
                    <w:r>
                      <w:t>2,692,786</w:t>
                    </w:r>
                  </w:p>
                </w:tc>
                <w:tc>
                  <w:tcPr>
                    <w:tcW w:w="628" w:type="pct"/>
                    <w:tcBorders>
                      <w:top w:val="single" w:sz="4" w:space="0" w:color="auto"/>
                      <w:left w:val="single" w:sz="4" w:space="0" w:color="auto"/>
                      <w:bottom w:val="single" w:sz="4" w:space="0" w:color="auto"/>
                      <w:right w:val="single" w:sz="4" w:space="0" w:color="auto"/>
                    </w:tcBorders>
                  </w:tcPr>
                  <w:p w14:paraId="142F06DA" w14:textId="77777777" w:rsidR="007E7472" w:rsidRDefault="00C8327E">
                    <w:pPr>
                      <w:jc w:val="right"/>
                    </w:pPr>
                  </w:p>
                </w:tc>
                <w:tc>
                  <w:tcPr>
                    <w:tcW w:w="717" w:type="pct"/>
                    <w:tcBorders>
                      <w:top w:val="single" w:sz="4" w:space="0" w:color="auto"/>
                      <w:left w:val="single" w:sz="4" w:space="0" w:color="auto"/>
                      <w:bottom w:val="single" w:sz="4" w:space="0" w:color="auto"/>
                      <w:right w:val="single" w:sz="4" w:space="0" w:color="auto"/>
                    </w:tcBorders>
                  </w:tcPr>
                  <w:p w14:paraId="6B269E6D" w14:textId="77777777" w:rsidR="007E7472" w:rsidRDefault="00C8327E">
                    <w:pPr>
                      <w:jc w:val="right"/>
                    </w:pPr>
                  </w:p>
                </w:tc>
              </w:tr>
            </w:sdtContent>
          </w:sdt>
          <w:sdt>
            <w:sdtPr>
              <w:rPr>
                <w:rFonts w:asciiTheme="minorHAnsi" w:eastAsiaTheme="minorEastAsia" w:hAnsiTheme="minorHAnsi" w:cstheme="minorBidi"/>
                <w:kern w:val="2"/>
              </w:rPr>
              <w:alias w:val="长期股权投资明细"/>
              <w:tag w:val="_GBC_daf82e8df55d4ba9bf351c25fd5a63c2"/>
              <w:id w:val="-842624849"/>
              <w:lock w:val="sdtLocked"/>
            </w:sdtPr>
            <w:sdtEndPr/>
            <w:sdtContent>
              <w:tr w:rsidR="007E7472" w14:paraId="39671E42" w14:textId="77777777">
                <w:tc>
                  <w:tcPr>
                    <w:tcW w:w="962" w:type="pct"/>
                    <w:tcBorders>
                      <w:top w:val="single" w:sz="4" w:space="0" w:color="auto"/>
                      <w:left w:val="single" w:sz="4" w:space="0" w:color="auto"/>
                      <w:bottom w:val="single" w:sz="4" w:space="0" w:color="auto"/>
                      <w:right w:val="single" w:sz="4" w:space="0" w:color="auto"/>
                    </w:tcBorders>
                    <w:vAlign w:val="center"/>
                  </w:tcPr>
                  <w:p w14:paraId="54780415" w14:textId="77777777" w:rsidR="007E7472" w:rsidRDefault="00EC1269">
                    <w:r>
                      <w:rPr>
                        <w:rFonts w:asciiTheme="minorHAnsi" w:eastAsiaTheme="minorEastAsia" w:hAnsiTheme="minorHAnsi" w:cstheme="minorBidi" w:hint="eastAsia"/>
                        <w:kern w:val="2"/>
                      </w:rPr>
                      <w:t>山东能源大厦上海有限公司</w:t>
                    </w:r>
                  </w:p>
                </w:tc>
                <w:tc>
                  <w:tcPr>
                    <w:tcW w:w="717" w:type="pct"/>
                    <w:tcBorders>
                      <w:top w:val="single" w:sz="4" w:space="0" w:color="auto"/>
                      <w:left w:val="single" w:sz="4" w:space="0" w:color="auto"/>
                      <w:bottom w:val="single" w:sz="4" w:space="0" w:color="auto"/>
                      <w:right w:val="single" w:sz="4" w:space="0" w:color="auto"/>
                    </w:tcBorders>
                    <w:vAlign w:val="center"/>
                  </w:tcPr>
                  <w:p w14:paraId="1B417AE3" w14:textId="77777777" w:rsidR="007E7472" w:rsidRDefault="00C8327E">
                    <w:pPr>
                      <w:jc w:val="right"/>
                    </w:pPr>
                  </w:p>
                </w:tc>
                <w:tc>
                  <w:tcPr>
                    <w:tcW w:w="630" w:type="pct"/>
                    <w:tcBorders>
                      <w:top w:val="single" w:sz="4" w:space="0" w:color="auto"/>
                      <w:left w:val="single" w:sz="4" w:space="0" w:color="auto"/>
                      <w:bottom w:val="single" w:sz="4" w:space="0" w:color="auto"/>
                      <w:right w:val="single" w:sz="4" w:space="0" w:color="auto"/>
                    </w:tcBorders>
                    <w:vAlign w:val="center"/>
                  </w:tcPr>
                  <w:p w14:paraId="3A142777" w14:textId="77777777" w:rsidR="007E7472" w:rsidRDefault="00EC1269">
                    <w:pPr>
                      <w:jc w:val="right"/>
                    </w:pPr>
                    <w:r>
                      <w:t>686,930</w:t>
                    </w:r>
                  </w:p>
                </w:tc>
                <w:tc>
                  <w:tcPr>
                    <w:tcW w:w="627" w:type="pct"/>
                    <w:tcBorders>
                      <w:top w:val="single" w:sz="4" w:space="0" w:color="auto"/>
                      <w:left w:val="single" w:sz="4" w:space="0" w:color="auto"/>
                      <w:bottom w:val="single" w:sz="4" w:space="0" w:color="auto"/>
                      <w:right w:val="single" w:sz="4" w:space="0" w:color="auto"/>
                    </w:tcBorders>
                    <w:vAlign w:val="center"/>
                  </w:tcPr>
                  <w:p w14:paraId="323AC145" w14:textId="77777777" w:rsidR="007E7472" w:rsidRDefault="00C8327E">
                    <w:pPr>
                      <w:jc w:val="right"/>
                    </w:pPr>
                  </w:p>
                </w:tc>
                <w:tc>
                  <w:tcPr>
                    <w:tcW w:w="717" w:type="pct"/>
                    <w:tcBorders>
                      <w:top w:val="single" w:sz="4" w:space="0" w:color="auto"/>
                      <w:left w:val="single" w:sz="4" w:space="0" w:color="auto"/>
                      <w:bottom w:val="single" w:sz="4" w:space="0" w:color="auto"/>
                      <w:right w:val="single" w:sz="4" w:space="0" w:color="auto"/>
                    </w:tcBorders>
                    <w:vAlign w:val="center"/>
                  </w:tcPr>
                  <w:p w14:paraId="13154105" w14:textId="77777777" w:rsidR="007E7472" w:rsidRDefault="00EC1269">
                    <w:pPr>
                      <w:jc w:val="right"/>
                    </w:pPr>
                    <w:r>
                      <w:t>686,930</w:t>
                    </w:r>
                  </w:p>
                </w:tc>
                <w:tc>
                  <w:tcPr>
                    <w:tcW w:w="628" w:type="pct"/>
                    <w:tcBorders>
                      <w:top w:val="single" w:sz="4" w:space="0" w:color="auto"/>
                      <w:left w:val="single" w:sz="4" w:space="0" w:color="auto"/>
                      <w:bottom w:val="single" w:sz="4" w:space="0" w:color="auto"/>
                      <w:right w:val="single" w:sz="4" w:space="0" w:color="auto"/>
                    </w:tcBorders>
                  </w:tcPr>
                  <w:p w14:paraId="316C2533" w14:textId="77777777" w:rsidR="007E7472" w:rsidRDefault="00C8327E">
                    <w:pPr>
                      <w:jc w:val="right"/>
                    </w:pPr>
                  </w:p>
                </w:tc>
                <w:tc>
                  <w:tcPr>
                    <w:tcW w:w="717" w:type="pct"/>
                    <w:tcBorders>
                      <w:top w:val="single" w:sz="4" w:space="0" w:color="auto"/>
                      <w:left w:val="single" w:sz="4" w:space="0" w:color="auto"/>
                      <w:bottom w:val="single" w:sz="4" w:space="0" w:color="auto"/>
                      <w:right w:val="single" w:sz="4" w:space="0" w:color="auto"/>
                    </w:tcBorders>
                  </w:tcPr>
                  <w:p w14:paraId="1CDBDAD7" w14:textId="77777777" w:rsidR="007E7472" w:rsidRDefault="00C8327E">
                    <w:pPr>
                      <w:jc w:val="right"/>
                    </w:pPr>
                  </w:p>
                </w:tc>
              </w:tr>
            </w:sdtContent>
          </w:sdt>
          <w:tr w:rsidR="007E7472" w14:paraId="37EB2B63" w14:textId="77777777">
            <w:sdt>
              <w:sdtPr>
                <w:tag w:val="_PLD_9515e88574304b2da64302e50d23e6cf"/>
                <w:id w:val="-273473536"/>
                <w:lock w:val="sdtLocked"/>
              </w:sdtPr>
              <w:sdtEndPr/>
              <w:sdtContent>
                <w:tc>
                  <w:tcPr>
                    <w:tcW w:w="962" w:type="pct"/>
                    <w:tcBorders>
                      <w:top w:val="single" w:sz="4" w:space="0" w:color="auto"/>
                      <w:left w:val="single" w:sz="4" w:space="0" w:color="auto"/>
                      <w:bottom w:val="single" w:sz="4" w:space="0" w:color="auto"/>
                      <w:right w:val="single" w:sz="4" w:space="0" w:color="auto"/>
                    </w:tcBorders>
                    <w:vAlign w:val="center"/>
                  </w:tcPr>
                  <w:p w14:paraId="44008DA3" w14:textId="77777777" w:rsidR="007E7472" w:rsidRDefault="00EC1269">
                    <w:pPr>
                      <w:jc w:val="center"/>
                    </w:pPr>
                    <w:r>
                      <w:rPr>
                        <w:rFonts w:hint="eastAsia"/>
                      </w:rPr>
                      <w:t>合计</w:t>
                    </w:r>
                  </w:p>
                </w:tc>
              </w:sdtContent>
            </w:sdt>
            <w:tc>
              <w:tcPr>
                <w:tcW w:w="717" w:type="pct"/>
                <w:tcBorders>
                  <w:top w:val="single" w:sz="4" w:space="0" w:color="auto"/>
                  <w:left w:val="single" w:sz="4" w:space="0" w:color="auto"/>
                  <w:bottom w:val="single" w:sz="4" w:space="0" w:color="auto"/>
                  <w:right w:val="single" w:sz="4" w:space="0" w:color="auto"/>
                </w:tcBorders>
                <w:vAlign w:val="center"/>
              </w:tcPr>
              <w:p w14:paraId="644680E0" w14:textId="77777777" w:rsidR="007E7472" w:rsidRDefault="00EC1269">
                <w:pPr>
                  <w:jc w:val="right"/>
                </w:pPr>
                <w:r>
                  <w:t>88,501,752</w:t>
                </w:r>
              </w:p>
            </w:tc>
            <w:tc>
              <w:tcPr>
                <w:tcW w:w="630" w:type="pct"/>
                <w:tcBorders>
                  <w:top w:val="single" w:sz="4" w:space="0" w:color="auto"/>
                  <w:left w:val="single" w:sz="4" w:space="0" w:color="auto"/>
                  <w:bottom w:val="single" w:sz="4" w:space="0" w:color="auto"/>
                  <w:right w:val="single" w:sz="4" w:space="0" w:color="auto"/>
                </w:tcBorders>
                <w:vAlign w:val="center"/>
              </w:tcPr>
              <w:p w14:paraId="7FCB0955" w14:textId="77777777" w:rsidR="007E7472" w:rsidRDefault="00EC1269">
                <w:pPr>
                  <w:jc w:val="right"/>
                  <w:rPr>
                    <w:bCs/>
                  </w:rPr>
                </w:pPr>
                <w:r>
                  <w:t>904,890</w:t>
                </w:r>
              </w:p>
            </w:tc>
            <w:tc>
              <w:tcPr>
                <w:tcW w:w="627" w:type="pct"/>
                <w:tcBorders>
                  <w:top w:val="single" w:sz="4" w:space="0" w:color="auto"/>
                  <w:left w:val="single" w:sz="4" w:space="0" w:color="auto"/>
                  <w:bottom w:val="single" w:sz="4" w:space="0" w:color="auto"/>
                  <w:right w:val="single" w:sz="4" w:space="0" w:color="auto"/>
                </w:tcBorders>
                <w:vAlign w:val="center"/>
              </w:tcPr>
              <w:p w14:paraId="2B31FAAA" w14:textId="77777777" w:rsidR="007E7472" w:rsidRDefault="00EC1269">
                <w:pPr>
                  <w:jc w:val="right"/>
                </w:pPr>
                <w:r>
                  <w:t>122,190</w:t>
                </w:r>
              </w:p>
            </w:tc>
            <w:tc>
              <w:tcPr>
                <w:tcW w:w="717" w:type="pct"/>
                <w:tcBorders>
                  <w:top w:val="single" w:sz="4" w:space="0" w:color="auto"/>
                  <w:left w:val="single" w:sz="4" w:space="0" w:color="auto"/>
                  <w:bottom w:val="single" w:sz="4" w:space="0" w:color="auto"/>
                  <w:right w:val="single" w:sz="4" w:space="0" w:color="auto"/>
                </w:tcBorders>
                <w:vAlign w:val="center"/>
              </w:tcPr>
              <w:p w14:paraId="376A1E1B" w14:textId="77777777" w:rsidR="007E7472" w:rsidRDefault="00EC1269">
                <w:pPr>
                  <w:jc w:val="right"/>
                </w:pPr>
                <w:r>
                  <w:t>89,284,452</w:t>
                </w:r>
              </w:p>
            </w:tc>
            <w:tc>
              <w:tcPr>
                <w:tcW w:w="628" w:type="pct"/>
                <w:tcBorders>
                  <w:top w:val="single" w:sz="4" w:space="0" w:color="auto"/>
                  <w:left w:val="single" w:sz="4" w:space="0" w:color="auto"/>
                  <w:bottom w:val="single" w:sz="4" w:space="0" w:color="auto"/>
                  <w:right w:val="single" w:sz="4" w:space="0" w:color="auto"/>
                </w:tcBorders>
              </w:tcPr>
              <w:p w14:paraId="7D11BD2F" w14:textId="77777777" w:rsidR="007E7472" w:rsidRDefault="00C8327E">
                <w:pPr>
                  <w:jc w:val="right"/>
                </w:pPr>
              </w:p>
            </w:tc>
            <w:tc>
              <w:tcPr>
                <w:tcW w:w="717" w:type="pct"/>
                <w:tcBorders>
                  <w:top w:val="single" w:sz="4" w:space="0" w:color="auto"/>
                  <w:left w:val="single" w:sz="4" w:space="0" w:color="auto"/>
                  <w:bottom w:val="single" w:sz="4" w:space="0" w:color="auto"/>
                  <w:right w:val="single" w:sz="4" w:space="0" w:color="auto"/>
                </w:tcBorders>
              </w:tcPr>
              <w:p w14:paraId="2C93A9F0" w14:textId="77777777" w:rsidR="007E7472" w:rsidRDefault="00C8327E">
                <w:pPr>
                  <w:jc w:val="right"/>
                </w:pPr>
              </w:p>
            </w:tc>
          </w:tr>
        </w:tbl>
        <w:p w14:paraId="53EC4E94" w14:textId="77777777" w:rsidR="007E7472" w:rsidRDefault="00C8327E"/>
        <w:p w14:paraId="2B8F66E6" w14:textId="77777777" w:rsidR="007E7472" w:rsidRDefault="00EC1269">
          <w:r>
            <w:br w:type="page"/>
          </w:r>
        </w:p>
        <w:p w14:paraId="376B44F2" w14:textId="77777777" w:rsidR="007E7472" w:rsidRDefault="00C8327E">
          <w:pPr>
            <w:sectPr w:rsidR="007E7472">
              <w:pgSz w:w="11906" w:h="16838"/>
              <w:pgMar w:top="1525" w:right="1276" w:bottom="1440" w:left="1797" w:header="856" w:footer="992" w:gutter="0"/>
              <w:cols w:space="425"/>
              <w:docGrid w:linePitch="312"/>
            </w:sectPr>
          </w:pPr>
        </w:p>
        <w:p w14:paraId="2940C504" w14:textId="77777777" w:rsidR="007E7472" w:rsidRDefault="00C8327E"/>
      </w:sdtContent>
    </w:sdt>
    <w:bookmarkStart w:id="315" w:name="_Hlk106375342" w:displacedByCustomXml="next"/>
    <w:sdt>
      <w:sdtPr>
        <w:rPr>
          <w:rFonts w:ascii="宋体" w:hAnsi="宋体" w:cs="宋体" w:hint="eastAsia"/>
          <w:b w:val="0"/>
          <w:bCs w:val="0"/>
          <w:kern w:val="0"/>
          <w:sz w:val="20"/>
          <w:szCs w:val="21"/>
        </w:rPr>
        <w:alias w:val="模块:对联营、合营企业投资"/>
        <w:tag w:val="_GBC_eb61534d0a614526b319605aeaa9bf73"/>
        <w:id w:val="1433557754"/>
        <w:lock w:val="sdtLocked"/>
        <w:placeholder>
          <w:docPart w:val="GBC22222222222222222222222222222"/>
        </w:placeholder>
      </w:sdtPr>
      <w:sdtEndPr>
        <w:rPr>
          <w:sz w:val="21"/>
        </w:rPr>
      </w:sdtEndPr>
      <w:sdtContent>
        <w:p w14:paraId="34D300C6" w14:textId="77777777" w:rsidR="007E7472" w:rsidRDefault="00EC1269" w:rsidP="00162493">
          <w:pPr>
            <w:pStyle w:val="4"/>
            <w:numPr>
              <w:ilvl w:val="0"/>
              <w:numId w:val="121"/>
            </w:numPr>
          </w:pPr>
          <w:r>
            <w:rPr>
              <w:rFonts w:hint="eastAsia"/>
            </w:rPr>
            <w:t>对联营、合营企业投资</w:t>
          </w:r>
        </w:p>
        <w:sdt>
          <w:sdtPr>
            <w:alias w:val="是否适用：母公司对联营、合营企业投资[双击切换]"/>
            <w:tag w:val="_GBC_0837f60a15fc4684b64085618adca8d2"/>
            <w:id w:val="1440422532"/>
            <w:lock w:val="sdtLocked"/>
            <w:placeholder>
              <w:docPart w:val="GBC22222222222222222222222222222"/>
            </w:placeholder>
          </w:sdtPr>
          <w:sdtEndPr/>
          <w:sdtContent>
            <w:p w14:paraId="1DD16900"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05B5D9E7" w14:textId="1144B4EE" w:rsidR="007E7472" w:rsidRDefault="00EC1269">
          <w:pPr>
            <w:jc w:val="right"/>
          </w:pPr>
          <w:r>
            <w:rPr>
              <w:rFonts w:hint="eastAsia"/>
            </w:rPr>
            <w:t>单位：</w:t>
          </w:r>
          <w:sdt>
            <w:sdtPr>
              <w:rPr>
                <w:rFonts w:hint="eastAsia"/>
              </w:rPr>
              <w:alias w:val="单位：母公司财务附注：对联营、合营企业投资"/>
              <w:tag w:val="_GBC_d8af48cd34c54e749df777d4e6a5e2ed"/>
              <w:id w:val="-20960831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母公司财务附注：对联营、合营企业投资"/>
              <w:tag w:val="_GBC_5b4bb22c6cca42989bcd538938127ee2"/>
              <w:id w:val="-6058100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136"/>
            <w:gridCol w:w="1277"/>
            <w:gridCol w:w="1133"/>
            <w:gridCol w:w="1135"/>
            <w:gridCol w:w="1135"/>
            <w:gridCol w:w="991"/>
            <w:gridCol w:w="1135"/>
            <w:gridCol w:w="994"/>
            <w:gridCol w:w="1135"/>
            <w:gridCol w:w="1135"/>
            <w:gridCol w:w="944"/>
          </w:tblGrid>
          <w:tr w:rsidR="007E7472" w14:paraId="6C7FA547" w14:textId="77777777">
            <w:sdt>
              <w:sdtPr>
                <w:tag w:val="_PLD_abfaca7df388426499f44c3fb444b469"/>
                <w:id w:val="-1209799545"/>
                <w:lock w:val="sdtLocked"/>
              </w:sdtPr>
              <w:sdtEndPr/>
              <w:sdtContent>
                <w:tc>
                  <w:tcPr>
                    <w:tcW w:w="612" w:type="pct"/>
                    <w:vMerge w:val="restart"/>
                    <w:tcBorders>
                      <w:top w:val="single" w:sz="4" w:space="0" w:color="auto"/>
                      <w:left w:val="single" w:sz="4" w:space="0" w:color="auto"/>
                      <w:right w:val="single" w:sz="4" w:space="0" w:color="auto"/>
                    </w:tcBorders>
                    <w:shd w:val="clear" w:color="auto" w:fill="auto"/>
                    <w:vAlign w:val="center"/>
                  </w:tcPr>
                  <w:p w14:paraId="2C752F89" w14:textId="77777777" w:rsidR="007E7472" w:rsidRDefault="00EC1269">
                    <w:pPr>
                      <w:jc w:val="center"/>
                    </w:pPr>
                    <w:r>
                      <w:rPr>
                        <w:rFonts w:hint="eastAsia"/>
                      </w:rPr>
                      <w:t>投资</w:t>
                    </w:r>
                  </w:p>
                  <w:p w14:paraId="26AD7296" w14:textId="77777777" w:rsidR="007E7472" w:rsidRDefault="00EC1269">
                    <w:pPr>
                      <w:jc w:val="center"/>
                    </w:pPr>
                    <w:r>
                      <w:rPr>
                        <w:rFonts w:hint="eastAsia"/>
                      </w:rPr>
                      <w:t>单位</w:t>
                    </w:r>
                  </w:p>
                </w:tc>
              </w:sdtContent>
            </w:sdt>
            <w:sdt>
              <w:sdtPr>
                <w:tag w:val="_PLD_05798c5c44604c97a951491f90362ede"/>
                <w:id w:val="1565990382"/>
                <w:lock w:val="sdtLocked"/>
              </w:sdtPr>
              <w:sdtEndPr/>
              <w:sdtContent>
                <w:tc>
                  <w:tcPr>
                    <w:tcW w:w="410" w:type="pct"/>
                    <w:vMerge w:val="restart"/>
                    <w:tcBorders>
                      <w:top w:val="single" w:sz="4" w:space="0" w:color="auto"/>
                      <w:left w:val="single" w:sz="4" w:space="0" w:color="auto"/>
                      <w:right w:val="single" w:sz="4" w:space="0" w:color="auto"/>
                    </w:tcBorders>
                    <w:shd w:val="clear" w:color="auto" w:fill="auto"/>
                    <w:vAlign w:val="center"/>
                  </w:tcPr>
                  <w:p w14:paraId="6711B9D5" w14:textId="77777777" w:rsidR="007E7472" w:rsidRDefault="00EC1269">
                    <w:pPr>
                      <w:jc w:val="center"/>
                    </w:pPr>
                    <w:r>
                      <w:rPr>
                        <w:rFonts w:hint="eastAsia"/>
                      </w:rPr>
                      <w:t>期初</w:t>
                    </w:r>
                  </w:p>
                  <w:p w14:paraId="2E131C50" w14:textId="77777777" w:rsidR="007E7472" w:rsidRDefault="00EC1269">
                    <w:pPr>
                      <w:jc w:val="center"/>
                    </w:pPr>
                    <w:r>
                      <w:rPr>
                        <w:rFonts w:hint="eastAsia"/>
                      </w:rPr>
                      <w:t>余额</w:t>
                    </w:r>
                  </w:p>
                </w:tc>
              </w:sdtContent>
            </w:sdt>
            <w:sdt>
              <w:sdtPr>
                <w:tag w:val="_PLD_0a2bbaaacf944dc499773ce9e49a7a44"/>
                <w:id w:val="2055035837"/>
                <w:lock w:val="sdtLocked"/>
              </w:sdtPr>
              <w:sdtEndPr/>
              <w:sdtContent>
                <w:tc>
                  <w:tcPr>
                    <w:tcW w:w="3227"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2E31ED2C" w14:textId="77777777" w:rsidR="007E7472" w:rsidRDefault="00EC1269">
                    <w:pPr>
                      <w:jc w:val="center"/>
                    </w:pPr>
                    <w:r>
                      <w:rPr>
                        <w:rFonts w:hint="eastAsia"/>
                      </w:rPr>
                      <w:t>本期增减变动</w:t>
                    </w:r>
                  </w:p>
                </w:tc>
              </w:sdtContent>
            </w:sdt>
            <w:sdt>
              <w:sdtPr>
                <w:tag w:val="_PLD_08d96ebd050e43e4a66f158230dee5ce"/>
                <w:id w:val="-1010059507"/>
                <w:lock w:val="sdtLocked"/>
              </w:sdtPr>
              <w:sdtEndPr/>
              <w:sdtContent>
                <w:tc>
                  <w:tcPr>
                    <w:tcW w:w="410" w:type="pct"/>
                    <w:vMerge w:val="restart"/>
                    <w:tcBorders>
                      <w:top w:val="single" w:sz="4" w:space="0" w:color="auto"/>
                      <w:left w:val="single" w:sz="4" w:space="0" w:color="auto"/>
                      <w:right w:val="single" w:sz="4" w:space="0" w:color="auto"/>
                    </w:tcBorders>
                    <w:shd w:val="clear" w:color="auto" w:fill="auto"/>
                    <w:vAlign w:val="center"/>
                  </w:tcPr>
                  <w:p w14:paraId="4C648F18" w14:textId="77777777" w:rsidR="007E7472" w:rsidRDefault="00EC1269">
                    <w:pPr>
                      <w:jc w:val="center"/>
                    </w:pPr>
                    <w:r>
                      <w:rPr>
                        <w:rFonts w:hint="eastAsia"/>
                      </w:rPr>
                      <w:t>期末</w:t>
                    </w:r>
                  </w:p>
                  <w:p w14:paraId="48D26AF4" w14:textId="77777777" w:rsidR="007E7472" w:rsidRDefault="00EC1269">
                    <w:pPr>
                      <w:jc w:val="center"/>
                    </w:pPr>
                    <w:r>
                      <w:rPr>
                        <w:rFonts w:hint="eastAsia"/>
                      </w:rPr>
                      <w:t>余额</w:t>
                    </w:r>
                  </w:p>
                </w:tc>
              </w:sdtContent>
            </w:sdt>
            <w:sdt>
              <w:sdtPr>
                <w:tag w:val="_PLD_7926cd06c0474fbd9ec1c3b927ae616d"/>
                <w:id w:val="-737005082"/>
                <w:lock w:val="sdtLocked"/>
              </w:sdtPr>
              <w:sdtEndPr/>
              <w:sdtContent>
                <w:tc>
                  <w:tcPr>
                    <w:tcW w:w="341" w:type="pct"/>
                    <w:vMerge w:val="restart"/>
                    <w:tcBorders>
                      <w:top w:val="single" w:sz="4" w:space="0" w:color="auto"/>
                      <w:left w:val="single" w:sz="4" w:space="0" w:color="auto"/>
                      <w:right w:val="single" w:sz="4" w:space="0" w:color="auto"/>
                    </w:tcBorders>
                    <w:shd w:val="clear" w:color="auto" w:fill="auto"/>
                    <w:vAlign w:val="center"/>
                  </w:tcPr>
                  <w:p w14:paraId="4B5DE74F" w14:textId="77777777" w:rsidR="007E7472" w:rsidRDefault="00EC1269">
                    <w:pPr>
                      <w:jc w:val="center"/>
                    </w:pPr>
                    <w:r>
                      <w:rPr>
                        <w:rFonts w:hint="eastAsia"/>
                      </w:rPr>
                      <w:t>减值准备期末余额</w:t>
                    </w:r>
                  </w:p>
                </w:tc>
              </w:sdtContent>
            </w:sdt>
          </w:tr>
          <w:tr w:rsidR="007E7472" w14:paraId="54BF68CF" w14:textId="77777777">
            <w:tc>
              <w:tcPr>
                <w:tcW w:w="612" w:type="pct"/>
                <w:vMerge/>
                <w:tcBorders>
                  <w:left w:val="single" w:sz="4" w:space="0" w:color="auto"/>
                  <w:bottom w:val="single" w:sz="4" w:space="0" w:color="auto"/>
                  <w:right w:val="single" w:sz="4" w:space="0" w:color="auto"/>
                </w:tcBorders>
                <w:shd w:val="clear" w:color="auto" w:fill="auto"/>
              </w:tcPr>
              <w:p w14:paraId="77F47DFD" w14:textId="77777777" w:rsidR="007E7472" w:rsidRDefault="00C8327E">
                <w:pPr>
                  <w:jc w:val="center"/>
                </w:pPr>
              </w:p>
            </w:tc>
            <w:tc>
              <w:tcPr>
                <w:tcW w:w="410" w:type="pct"/>
                <w:vMerge/>
                <w:tcBorders>
                  <w:left w:val="single" w:sz="4" w:space="0" w:color="auto"/>
                  <w:bottom w:val="single" w:sz="4" w:space="0" w:color="auto"/>
                  <w:right w:val="single" w:sz="4" w:space="0" w:color="auto"/>
                </w:tcBorders>
                <w:shd w:val="clear" w:color="auto" w:fill="auto"/>
              </w:tcPr>
              <w:p w14:paraId="79925402" w14:textId="77777777" w:rsidR="007E7472" w:rsidRDefault="00C8327E">
                <w:pPr>
                  <w:jc w:val="center"/>
                </w:pPr>
              </w:p>
            </w:tc>
            <w:sdt>
              <w:sdtPr>
                <w:tag w:val="_PLD_c2a32165f0334d7c8fde829ff4c17575"/>
                <w:id w:val="-1534716362"/>
                <w:lock w:val="sdtLocked"/>
              </w:sdtPr>
              <w:sdtEndPr/>
              <w:sdtContent>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7DADCFBA" w14:textId="77777777" w:rsidR="007E7472" w:rsidRDefault="00EC1269">
                    <w:pPr>
                      <w:jc w:val="center"/>
                    </w:pPr>
                    <w:r>
                      <w:rPr>
                        <w:rFonts w:hint="eastAsia"/>
                      </w:rPr>
                      <w:t>追加投资</w:t>
                    </w:r>
                  </w:p>
                </w:tc>
              </w:sdtContent>
            </w:sdt>
            <w:sdt>
              <w:sdtPr>
                <w:tag w:val="_PLD_71fe608b4d73467797eee694efbf7ebb"/>
                <w:id w:val="1762098204"/>
                <w:lock w:val="sdtLocked"/>
              </w:sdtPr>
              <w:sdtEndPr/>
              <w:sdtContent>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10070E48" w14:textId="77777777" w:rsidR="007E7472" w:rsidRDefault="00EC1269">
                    <w:pPr>
                      <w:jc w:val="center"/>
                    </w:pPr>
                    <w:r>
                      <w:rPr>
                        <w:rFonts w:hint="eastAsia"/>
                      </w:rPr>
                      <w:t>减少投资</w:t>
                    </w:r>
                  </w:p>
                </w:tc>
              </w:sdtContent>
            </w:sdt>
            <w:sdt>
              <w:sdtPr>
                <w:tag w:val="_PLD_f05a50a0bc284599af7a40502cd10a40"/>
                <w:id w:val="-1757273687"/>
                <w:lock w:val="sdtLocked"/>
              </w:sdtPr>
              <w:sdtEndPr/>
              <w:sdtContent>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79BB8F6F" w14:textId="77777777" w:rsidR="007E7472" w:rsidRDefault="00EC1269">
                    <w:pPr>
                      <w:jc w:val="center"/>
                    </w:pPr>
                    <w:r>
                      <w:rPr>
                        <w:rFonts w:hint="eastAsia"/>
                      </w:rPr>
                      <w:t>权益法下确认的投资损益</w:t>
                    </w:r>
                  </w:p>
                </w:tc>
              </w:sdtContent>
            </w:sdt>
            <w:sdt>
              <w:sdtPr>
                <w:tag w:val="_PLD_02248a0958484589b824cff096f8d135"/>
                <w:id w:val="-1745102191"/>
                <w:lock w:val="sdtLocked"/>
              </w:sdtPr>
              <w:sdtEndPr/>
              <w:sdtContent>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2B7A86C4" w14:textId="77777777" w:rsidR="007E7472" w:rsidRDefault="00EC1269">
                    <w:pPr>
                      <w:jc w:val="center"/>
                    </w:pPr>
                    <w:r>
                      <w:rPr>
                        <w:rFonts w:hint="eastAsia"/>
                      </w:rPr>
                      <w:t>其他综合收益调整</w:t>
                    </w:r>
                  </w:p>
                </w:tc>
              </w:sdtContent>
            </w:sdt>
            <w:sdt>
              <w:sdtPr>
                <w:tag w:val="_PLD_7fb58b4af07a4b58a9b3d08dc004f3ee"/>
                <w:id w:val="1502701426"/>
                <w:lock w:val="sdtLocked"/>
              </w:sdtPr>
              <w:sdtEndPr/>
              <w:sdtContent>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1690E758" w14:textId="77777777" w:rsidR="007E7472" w:rsidRDefault="00EC1269">
                    <w:pPr>
                      <w:jc w:val="center"/>
                    </w:pPr>
                    <w:r>
                      <w:rPr>
                        <w:rFonts w:hint="eastAsia"/>
                      </w:rPr>
                      <w:t>其他权益变动</w:t>
                    </w:r>
                  </w:p>
                </w:tc>
              </w:sdtContent>
            </w:sdt>
            <w:sdt>
              <w:sdtPr>
                <w:tag w:val="_PLD_222556d83dca4844b27c9b0b28e96430"/>
                <w:id w:val="-491708752"/>
                <w:lock w:val="sdtLocked"/>
              </w:sdtPr>
              <w:sdtEndPr/>
              <w:sdtContent>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5007E226" w14:textId="77777777" w:rsidR="007E7472" w:rsidRDefault="00EC1269">
                    <w:pPr>
                      <w:jc w:val="center"/>
                    </w:pPr>
                    <w:r>
                      <w:rPr>
                        <w:rFonts w:hint="eastAsia"/>
                      </w:rPr>
                      <w:t>宣告发放现金股利或利润</w:t>
                    </w:r>
                  </w:p>
                </w:tc>
              </w:sdtContent>
            </w:sdt>
            <w:sdt>
              <w:sdtPr>
                <w:tag w:val="_PLD_3ccc36abfffc49a99807a98ffb9d12d5"/>
                <w:id w:val="-1607417026"/>
                <w:lock w:val="sdtLocked"/>
              </w:sdtPr>
              <w:sdtEndPr/>
              <w:sdtContent>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14:paraId="597BBB12" w14:textId="77777777" w:rsidR="007E7472" w:rsidRDefault="00EC1269">
                    <w:pPr>
                      <w:jc w:val="center"/>
                    </w:pPr>
                    <w:r>
                      <w:rPr>
                        <w:rFonts w:hint="eastAsia"/>
                      </w:rPr>
                      <w:t>计提减值准备</w:t>
                    </w:r>
                  </w:p>
                </w:tc>
              </w:sdtContent>
            </w:sdt>
            <w:sdt>
              <w:sdtPr>
                <w:tag w:val="_PLD_a907ceb1e793491d9fd8ecad7300602c"/>
                <w:id w:val="-1744406187"/>
                <w:lock w:val="sdtLocked"/>
              </w:sdtPr>
              <w:sdtEndPr/>
              <w:sdtContent>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7AC4979F" w14:textId="77777777" w:rsidR="007E7472" w:rsidRDefault="00EC1269">
                    <w:pPr>
                      <w:jc w:val="center"/>
                    </w:pPr>
                    <w:r>
                      <w:rPr>
                        <w:rFonts w:hint="eastAsia"/>
                      </w:rPr>
                      <w:t>其他</w:t>
                    </w:r>
                  </w:p>
                </w:tc>
              </w:sdtContent>
            </w:sdt>
            <w:tc>
              <w:tcPr>
                <w:tcW w:w="410" w:type="pct"/>
                <w:vMerge/>
                <w:tcBorders>
                  <w:left w:val="single" w:sz="4" w:space="0" w:color="auto"/>
                  <w:bottom w:val="single" w:sz="4" w:space="0" w:color="auto"/>
                  <w:right w:val="single" w:sz="4" w:space="0" w:color="auto"/>
                </w:tcBorders>
                <w:shd w:val="clear" w:color="auto" w:fill="auto"/>
              </w:tcPr>
              <w:p w14:paraId="62F9B927" w14:textId="77777777" w:rsidR="007E7472" w:rsidRDefault="00C8327E">
                <w:pPr>
                  <w:jc w:val="center"/>
                </w:pPr>
              </w:p>
            </w:tc>
            <w:tc>
              <w:tcPr>
                <w:tcW w:w="341" w:type="pct"/>
                <w:vMerge/>
                <w:tcBorders>
                  <w:left w:val="single" w:sz="4" w:space="0" w:color="auto"/>
                  <w:bottom w:val="single" w:sz="4" w:space="0" w:color="auto"/>
                  <w:right w:val="single" w:sz="4" w:space="0" w:color="auto"/>
                </w:tcBorders>
                <w:shd w:val="clear" w:color="auto" w:fill="auto"/>
              </w:tcPr>
              <w:p w14:paraId="2140F9E4" w14:textId="77777777" w:rsidR="007E7472" w:rsidRDefault="00C8327E">
                <w:pPr>
                  <w:jc w:val="center"/>
                </w:pPr>
              </w:p>
            </w:tc>
          </w:tr>
          <w:tr w:rsidR="007E7472" w14:paraId="6EB041BC" w14:textId="77777777">
            <w:sdt>
              <w:sdtPr>
                <w:tag w:val="_PLD_61dc54109424419aa8f35cf797c2d59e"/>
                <w:id w:val="111871323"/>
                <w:lock w:val="sdtLocked"/>
              </w:sdtPr>
              <w:sdtEnd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14:paraId="4E24A3E4" w14:textId="77777777" w:rsidR="007E7472" w:rsidRDefault="00EC1269">
                    <w:r>
                      <w:rPr>
                        <w:rFonts w:hint="eastAsia"/>
                      </w:rPr>
                      <w:t>一、合营企业</w:t>
                    </w:r>
                  </w:p>
                </w:tc>
              </w:sdtContent>
            </w:sdt>
          </w:tr>
          <w:sdt>
            <w:sdtPr>
              <w:rPr>
                <w:rFonts w:asciiTheme="minorHAnsi" w:eastAsiaTheme="minorEastAsia" w:hAnsiTheme="minorHAnsi" w:cstheme="minorBidi"/>
                <w:spacing w:val="-20"/>
                <w:kern w:val="2"/>
              </w:rPr>
              <w:alias w:val="合营企业投资信息明细"/>
              <w:tag w:val="_TUP_9b8b6a80436c43b697af4e8cbbc9e9fb"/>
              <w:id w:val="-1275707219"/>
              <w:lock w:val="sdtLocked"/>
            </w:sdtPr>
            <w:sdtEndPr>
              <w:rPr>
                <w:spacing w:val="0"/>
              </w:rPr>
            </w:sdtEndPr>
            <w:sdtContent>
              <w:tr w:rsidR="007E7472" w14:paraId="0158B1E3" w14:textId="77777777">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7AD6B650" w14:textId="77777777" w:rsidR="007E7472" w:rsidRDefault="00EC1269">
                    <w:pPr>
                      <w:rPr>
                        <w:spacing w:val="-20"/>
                      </w:rPr>
                    </w:pPr>
                    <w:r>
                      <w:rPr>
                        <w:rFonts w:hint="eastAsia"/>
                        <w:spacing w:val="-20"/>
                      </w:rPr>
                      <w:t>圣地芬雷选煤工程技术（天津）有限公司</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1A1D265B" w14:textId="77777777" w:rsidR="007E7472" w:rsidRDefault="00EC1269">
                    <w:pPr>
                      <w:jc w:val="right"/>
                      <w:rPr>
                        <w:spacing w:val="-20"/>
                      </w:rPr>
                    </w:pPr>
                    <w:r>
                      <w:rPr>
                        <w:rFonts w:hint="eastAsia"/>
                        <w:spacing w:val="-20"/>
                      </w:rPr>
                      <w:t>35,735</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6B553E4F" w14:textId="77777777" w:rsidR="007E7472" w:rsidRDefault="00C8327E">
                    <w:pPr>
                      <w:jc w:val="right"/>
                      <w:rPr>
                        <w:spacing w:val="-20"/>
                      </w:rPr>
                    </w:pP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404440F4" w14:textId="77777777" w:rsidR="007E7472" w:rsidRDefault="00C8327E">
                    <w:pPr>
                      <w:jc w:val="right"/>
                      <w:rPr>
                        <w:spacing w:val="-20"/>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157CABFB" w14:textId="77777777" w:rsidR="007E7472" w:rsidRDefault="00EC1269">
                    <w:pPr>
                      <w:jc w:val="right"/>
                      <w:rPr>
                        <w:spacing w:val="-20"/>
                      </w:rPr>
                    </w:pPr>
                    <w:r>
                      <w:rPr>
                        <w:rFonts w:hint="eastAsia"/>
                        <w:spacing w:val="-20"/>
                      </w:rPr>
                      <w:t>-436</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6ADE7FC4" w14:textId="77777777" w:rsidR="007E7472" w:rsidRDefault="00C8327E">
                    <w:pPr>
                      <w:jc w:val="right"/>
                      <w:rPr>
                        <w:spacing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74D87C42" w14:textId="77777777" w:rsidR="007E7472" w:rsidRDefault="00C8327E">
                    <w:pPr>
                      <w:jc w:val="right"/>
                      <w:rPr>
                        <w:spacing w:val="-20"/>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3023EC22" w14:textId="77777777" w:rsidR="007E7472" w:rsidRDefault="00C8327E">
                    <w:pPr>
                      <w:jc w:val="right"/>
                      <w:rPr>
                        <w:spacing w:val="-20"/>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14:paraId="6D26AD70" w14:textId="77777777" w:rsidR="007E7472" w:rsidRDefault="00C8327E">
                    <w:pPr>
                      <w:jc w:val="right"/>
                      <w:rPr>
                        <w:spacing w:val="-20"/>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7FD8A0C3" w14:textId="77777777" w:rsidR="007E7472" w:rsidRDefault="00C8327E">
                    <w:pPr>
                      <w:jc w:val="right"/>
                      <w:rPr>
                        <w:spacing w:val="-20"/>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349C5B71" w14:textId="77777777" w:rsidR="007E7472" w:rsidRDefault="00EC1269">
                    <w:pPr>
                      <w:jc w:val="right"/>
                      <w:rPr>
                        <w:spacing w:val="-20"/>
                      </w:rPr>
                    </w:pPr>
                    <w:r>
                      <w:rPr>
                        <w:spacing w:val="-20"/>
                      </w:rPr>
                      <w:t>35,299</w:t>
                    </w:r>
                  </w:p>
                </w:tc>
                <w:tc>
                  <w:tcPr>
                    <w:tcW w:w="341" w:type="pct"/>
                    <w:tcBorders>
                      <w:top w:val="single" w:sz="4" w:space="0" w:color="auto"/>
                      <w:left w:val="single" w:sz="4" w:space="0" w:color="auto"/>
                      <w:bottom w:val="single" w:sz="4" w:space="0" w:color="auto"/>
                      <w:right w:val="single" w:sz="4" w:space="0" w:color="auto"/>
                    </w:tcBorders>
                    <w:shd w:val="clear" w:color="auto" w:fill="auto"/>
                  </w:tcPr>
                  <w:p w14:paraId="6D6CC89A" w14:textId="77777777" w:rsidR="007E7472" w:rsidRDefault="00C8327E">
                    <w:pPr>
                      <w:jc w:val="right"/>
                    </w:pPr>
                  </w:p>
                </w:tc>
              </w:tr>
            </w:sdtContent>
          </w:sdt>
          <w:tr w:rsidR="007E7472" w14:paraId="65E05B49" w14:textId="77777777">
            <w:sdt>
              <w:sdtPr>
                <w:rPr>
                  <w:spacing w:val="-20"/>
                </w:rPr>
                <w:tag w:val="_PLD_1ca7cf3860ba44a7b4def9f5124260de"/>
                <w:id w:val="-2001335696"/>
                <w:lock w:val="sdtLocked"/>
              </w:sdtPr>
              <w:sdtEndPr/>
              <w:sdtContent>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42AD0158" w14:textId="77777777" w:rsidR="007E7472" w:rsidRDefault="00EC1269">
                    <w:pPr>
                      <w:rPr>
                        <w:spacing w:val="-20"/>
                      </w:rPr>
                    </w:pPr>
                    <w:r>
                      <w:rPr>
                        <w:rFonts w:hint="eastAsia"/>
                        <w:spacing w:val="-20"/>
                      </w:rPr>
                      <w:t>小计</w:t>
                    </w:r>
                  </w:p>
                </w:tc>
              </w:sdtContent>
            </w:sdt>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0219696F" w14:textId="77777777" w:rsidR="007E7472" w:rsidRDefault="00EC1269">
                <w:pPr>
                  <w:jc w:val="right"/>
                  <w:rPr>
                    <w:spacing w:val="-20"/>
                  </w:rPr>
                </w:pPr>
                <w:r>
                  <w:rPr>
                    <w:rFonts w:hint="eastAsia"/>
                    <w:spacing w:val="-20"/>
                  </w:rPr>
                  <w:t>35,735</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23EE8BD0" w14:textId="77777777" w:rsidR="007E7472" w:rsidRDefault="00C8327E">
                <w:pPr>
                  <w:jc w:val="right"/>
                  <w:rPr>
                    <w:spacing w:val="-20"/>
                  </w:rPr>
                </w:pP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11765ECB" w14:textId="77777777" w:rsidR="007E7472" w:rsidRDefault="00C8327E">
                <w:pPr>
                  <w:jc w:val="right"/>
                  <w:rPr>
                    <w:spacing w:val="-20"/>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051F4D05" w14:textId="77777777" w:rsidR="007E7472" w:rsidRDefault="00EC1269">
                <w:pPr>
                  <w:jc w:val="right"/>
                  <w:rPr>
                    <w:spacing w:val="-20"/>
                  </w:rPr>
                </w:pPr>
                <w:r>
                  <w:rPr>
                    <w:rFonts w:hint="eastAsia"/>
                    <w:spacing w:val="-20"/>
                  </w:rPr>
                  <w:t>-436</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1CDA5FEE" w14:textId="77777777" w:rsidR="007E7472" w:rsidRDefault="00C8327E">
                <w:pPr>
                  <w:jc w:val="right"/>
                  <w:rPr>
                    <w:spacing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009F0043" w14:textId="77777777" w:rsidR="007E7472" w:rsidRDefault="00C8327E">
                <w:pPr>
                  <w:jc w:val="right"/>
                  <w:rPr>
                    <w:spacing w:val="-20"/>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6ED9B2CC" w14:textId="77777777" w:rsidR="007E7472" w:rsidRDefault="00C8327E">
                <w:pPr>
                  <w:jc w:val="right"/>
                  <w:rPr>
                    <w:spacing w:val="-20"/>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14:paraId="30AD3F9C" w14:textId="77777777" w:rsidR="007E7472" w:rsidRDefault="00C8327E">
                <w:pPr>
                  <w:jc w:val="right"/>
                  <w:rPr>
                    <w:spacing w:val="-20"/>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016E20A9" w14:textId="77777777" w:rsidR="007E7472" w:rsidRDefault="00C8327E">
                <w:pPr>
                  <w:jc w:val="right"/>
                  <w:rPr>
                    <w:spacing w:val="-20"/>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78E7B6D4" w14:textId="77777777" w:rsidR="007E7472" w:rsidRDefault="00EC1269">
                <w:pPr>
                  <w:jc w:val="right"/>
                  <w:rPr>
                    <w:spacing w:val="-20"/>
                  </w:rPr>
                </w:pPr>
                <w:r>
                  <w:rPr>
                    <w:spacing w:val="-20"/>
                  </w:rPr>
                  <w:t>35,299</w:t>
                </w:r>
              </w:p>
            </w:tc>
            <w:tc>
              <w:tcPr>
                <w:tcW w:w="341" w:type="pct"/>
                <w:tcBorders>
                  <w:top w:val="single" w:sz="4" w:space="0" w:color="auto"/>
                  <w:left w:val="single" w:sz="4" w:space="0" w:color="auto"/>
                  <w:bottom w:val="single" w:sz="4" w:space="0" w:color="auto"/>
                  <w:right w:val="single" w:sz="4" w:space="0" w:color="auto"/>
                </w:tcBorders>
                <w:shd w:val="clear" w:color="auto" w:fill="auto"/>
              </w:tcPr>
              <w:p w14:paraId="6C5DCF23" w14:textId="77777777" w:rsidR="007E7472" w:rsidRDefault="00C8327E">
                <w:pPr>
                  <w:jc w:val="right"/>
                </w:pPr>
              </w:p>
            </w:tc>
          </w:tr>
          <w:tr w:rsidR="007E7472" w14:paraId="056F7248" w14:textId="77777777">
            <w:sdt>
              <w:sdtPr>
                <w:tag w:val="_PLD_90cc1e0799634510b44e4e55b4185a5a"/>
                <w:id w:val="-1559083669"/>
                <w:lock w:val="sdtLocked"/>
              </w:sdtPr>
              <w:sdtEnd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14:paraId="6B1AFD2C" w14:textId="77777777" w:rsidR="007E7472" w:rsidRDefault="00EC1269">
                    <w:r>
                      <w:rPr>
                        <w:rFonts w:hint="eastAsia"/>
                      </w:rPr>
                      <w:t>二、联营企业</w:t>
                    </w:r>
                  </w:p>
                </w:tc>
              </w:sdtContent>
            </w:sdt>
          </w:tr>
          <w:sdt>
            <w:sdtPr>
              <w:rPr>
                <w:rFonts w:asciiTheme="minorHAnsi" w:eastAsiaTheme="minorEastAsia" w:hAnsiTheme="minorHAnsi" w:cstheme="minorBidi" w:hint="eastAsia"/>
                <w:kern w:val="2"/>
              </w:rPr>
              <w:alias w:val="联营企业投资信息明细"/>
              <w:tag w:val="_TUP_84080647b7644f7482007b578f8c0165"/>
              <w:id w:val="1853220015"/>
              <w:lock w:val="sdtLocked"/>
            </w:sdtPr>
            <w:sdtEndPr>
              <w:rPr>
                <w:rFonts w:hint="default"/>
              </w:rPr>
            </w:sdtEndPr>
            <w:sdtContent>
              <w:tr w:rsidR="007E7472" w14:paraId="4AC49663" w14:textId="77777777">
                <w:tc>
                  <w:tcPr>
                    <w:tcW w:w="612" w:type="pct"/>
                    <w:tcBorders>
                      <w:top w:val="single" w:sz="4" w:space="0" w:color="auto"/>
                      <w:left w:val="single" w:sz="4" w:space="0" w:color="auto"/>
                      <w:bottom w:val="single" w:sz="4" w:space="0" w:color="auto"/>
                      <w:right w:val="single" w:sz="4" w:space="0" w:color="auto"/>
                    </w:tcBorders>
                    <w:shd w:val="clear" w:color="auto" w:fill="auto"/>
                  </w:tcPr>
                  <w:p w14:paraId="1F7FD9D9" w14:textId="77777777" w:rsidR="007E7472" w:rsidRDefault="00EC1269">
                    <w:r>
                      <w:t>华电邹县发电有限公司</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06D51B53" w14:textId="77777777" w:rsidR="007E7472" w:rsidRDefault="00EC1269">
                    <w:pPr>
                      <w:jc w:val="right"/>
                      <w:rPr>
                        <w:rFonts w:asciiTheme="majorEastAsia" w:eastAsiaTheme="majorEastAsia" w:hAnsiTheme="majorEastAsia"/>
                        <w:spacing w:val="-20"/>
                      </w:rPr>
                    </w:pPr>
                    <w:r>
                      <w:rPr>
                        <w:rFonts w:asciiTheme="majorEastAsia" w:eastAsiaTheme="majorEastAsia" w:hAnsiTheme="majorEastAsia"/>
                        <w:spacing w:val="-20"/>
                      </w:rPr>
                      <w:t>984,543</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3885E930" w14:textId="77777777" w:rsidR="007E7472" w:rsidRDefault="00C8327E">
                    <w:pPr>
                      <w:jc w:val="right"/>
                      <w:rPr>
                        <w:rFonts w:asciiTheme="majorEastAsia" w:eastAsiaTheme="majorEastAsia" w:hAnsiTheme="majorEastAsia"/>
                        <w:bCs/>
                        <w:spacing w:val="-20"/>
                      </w:rPr>
                    </w:pP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044FAC76" w14:textId="77777777" w:rsidR="007E7472" w:rsidRDefault="00C8327E">
                    <w:pPr>
                      <w:jc w:val="right"/>
                      <w:rPr>
                        <w:rFonts w:asciiTheme="majorEastAsia" w:eastAsiaTheme="majorEastAsia" w:hAnsiTheme="majorEastAsia"/>
                        <w:spacing w:val="-20"/>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7F97CC0F" w14:textId="77777777" w:rsidR="007E7472" w:rsidRDefault="00EC1269">
                    <w:pPr>
                      <w:jc w:val="right"/>
                      <w:rPr>
                        <w:rFonts w:asciiTheme="majorEastAsia" w:eastAsiaTheme="majorEastAsia" w:hAnsiTheme="majorEastAsia"/>
                        <w:spacing w:val="-20"/>
                      </w:rPr>
                    </w:pPr>
                    <w:r>
                      <w:rPr>
                        <w:rFonts w:asciiTheme="majorEastAsia" w:eastAsiaTheme="majorEastAsia" w:hAnsiTheme="majorEastAsia"/>
                        <w:spacing w:val="-20"/>
                      </w:rPr>
                      <w:t>59,477</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7D7C4731" w14:textId="77777777" w:rsidR="007E7472" w:rsidRDefault="00C8327E">
                    <w:pPr>
                      <w:jc w:val="right"/>
                      <w:rPr>
                        <w:rFonts w:asciiTheme="majorEastAsia" w:eastAsiaTheme="majorEastAsia" w:hAnsiTheme="majorEastAsia"/>
                        <w:spacing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23C42ACC" w14:textId="77777777" w:rsidR="007E7472" w:rsidRDefault="00EC1269">
                    <w:pPr>
                      <w:jc w:val="right"/>
                      <w:rPr>
                        <w:rFonts w:asciiTheme="majorEastAsia" w:eastAsiaTheme="majorEastAsia" w:hAnsiTheme="majorEastAsia"/>
                        <w:spacing w:val="-20"/>
                      </w:rPr>
                    </w:pPr>
                    <w:r>
                      <w:rPr>
                        <w:rFonts w:asciiTheme="majorEastAsia" w:eastAsiaTheme="majorEastAsia" w:hAnsiTheme="majorEastAsia"/>
                        <w:spacing w:val="-20"/>
                      </w:rPr>
                      <w:t>6,293</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37AAA1A9" w14:textId="77777777" w:rsidR="007E7472" w:rsidRDefault="00C8327E">
                    <w:pPr>
                      <w:jc w:val="right"/>
                      <w:rPr>
                        <w:rFonts w:asciiTheme="majorEastAsia" w:eastAsiaTheme="majorEastAsia" w:hAnsiTheme="majorEastAsia"/>
                        <w:spacing w:val="-20"/>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14:paraId="2808AA29" w14:textId="77777777" w:rsidR="007E7472" w:rsidRDefault="00C8327E">
                    <w:pPr>
                      <w:jc w:val="right"/>
                      <w:rPr>
                        <w:rFonts w:asciiTheme="majorEastAsia" w:eastAsiaTheme="majorEastAsia" w:hAnsiTheme="majorEastAsia"/>
                        <w:spacing w:val="-20"/>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6F74B198" w14:textId="77777777" w:rsidR="007E7472" w:rsidRDefault="00C8327E">
                    <w:pPr>
                      <w:jc w:val="right"/>
                      <w:rPr>
                        <w:rFonts w:asciiTheme="majorEastAsia" w:eastAsiaTheme="majorEastAsia" w:hAnsiTheme="majorEastAsia"/>
                        <w:spacing w:val="-20"/>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6ACE1817" w14:textId="77777777" w:rsidR="007E7472" w:rsidRDefault="00EC1269">
                    <w:pPr>
                      <w:jc w:val="right"/>
                      <w:rPr>
                        <w:rFonts w:asciiTheme="majorEastAsia" w:eastAsiaTheme="majorEastAsia" w:hAnsiTheme="majorEastAsia"/>
                        <w:spacing w:val="-20"/>
                      </w:rPr>
                    </w:pPr>
                    <w:r>
                      <w:rPr>
                        <w:rFonts w:asciiTheme="majorEastAsia" w:eastAsiaTheme="majorEastAsia" w:hAnsiTheme="majorEastAsia"/>
                        <w:spacing w:val="-20"/>
                      </w:rPr>
                      <w:t>1,050,313</w:t>
                    </w:r>
                  </w:p>
                </w:tc>
                <w:tc>
                  <w:tcPr>
                    <w:tcW w:w="341" w:type="pct"/>
                    <w:tcBorders>
                      <w:top w:val="single" w:sz="4" w:space="0" w:color="auto"/>
                      <w:left w:val="single" w:sz="4" w:space="0" w:color="auto"/>
                      <w:bottom w:val="single" w:sz="4" w:space="0" w:color="auto"/>
                      <w:right w:val="single" w:sz="4" w:space="0" w:color="auto"/>
                    </w:tcBorders>
                    <w:shd w:val="clear" w:color="auto" w:fill="auto"/>
                  </w:tcPr>
                  <w:p w14:paraId="7F7F1E91" w14:textId="77777777" w:rsidR="007E7472" w:rsidRDefault="00C8327E">
                    <w:pPr>
                      <w:jc w:val="right"/>
                    </w:pPr>
                  </w:p>
                </w:tc>
              </w:tr>
            </w:sdtContent>
          </w:sdt>
          <w:sdt>
            <w:sdtPr>
              <w:rPr>
                <w:rFonts w:asciiTheme="minorHAnsi" w:eastAsiaTheme="minorEastAsia" w:hAnsiTheme="minorHAnsi" w:cstheme="minorBidi" w:hint="eastAsia"/>
                <w:kern w:val="2"/>
              </w:rPr>
              <w:alias w:val="联营企业投资信息明细"/>
              <w:tag w:val="_TUP_84080647b7644f7482007b578f8c0165"/>
              <w:id w:val="1872410588"/>
              <w:lock w:val="sdtLocked"/>
            </w:sdtPr>
            <w:sdtEndPr>
              <w:rPr>
                <w:rFonts w:hint="default"/>
              </w:rPr>
            </w:sdtEndPr>
            <w:sdtContent>
              <w:tr w:rsidR="007E7472" w14:paraId="2B6C1F0A" w14:textId="77777777">
                <w:tc>
                  <w:tcPr>
                    <w:tcW w:w="612" w:type="pct"/>
                    <w:tcBorders>
                      <w:top w:val="single" w:sz="4" w:space="0" w:color="auto"/>
                      <w:left w:val="single" w:sz="4" w:space="0" w:color="auto"/>
                      <w:bottom w:val="single" w:sz="4" w:space="0" w:color="auto"/>
                      <w:right w:val="single" w:sz="4" w:space="0" w:color="auto"/>
                    </w:tcBorders>
                    <w:shd w:val="clear" w:color="auto" w:fill="auto"/>
                  </w:tcPr>
                  <w:p w14:paraId="72CA3B97" w14:textId="77777777" w:rsidR="007E7472" w:rsidRDefault="00EC1269">
                    <w:r>
                      <w:t>上海中期期货股份有限公司（注）</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535CF1B6" w14:textId="77777777" w:rsidR="007E7472" w:rsidRDefault="00EC1269">
                    <w:pPr>
                      <w:jc w:val="right"/>
                      <w:rPr>
                        <w:rFonts w:asciiTheme="majorEastAsia" w:eastAsiaTheme="majorEastAsia" w:hAnsiTheme="majorEastAsia"/>
                        <w:spacing w:val="-20"/>
                      </w:rPr>
                    </w:pPr>
                    <w:r>
                      <w:rPr>
                        <w:rFonts w:asciiTheme="majorEastAsia" w:eastAsiaTheme="majorEastAsia" w:hAnsiTheme="majorEastAsia"/>
                        <w:spacing w:val="-20"/>
                      </w:rPr>
                      <w:t>725,696</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2FB1B5A6" w14:textId="77777777" w:rsidR="007E7472" w:rsidRDefault="00C8327E">
                    <w:pPr>
                      <w:jc w:val="right"/>
                      <w:rPr>
                        <w:rFonts w:asciiTheme="majorEastAsia" w:eastAsiaTheme="majorEastAsia" w:hAnsiTheme="majorEastAsia"/>
                        <w:bCs/>
                        <w:spacing w:val="-20"/>
                      </w:rPr>
                    </w:pP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4F9275AC" w14:textId="77777777" w:rsidR="007E7472" w:rsidRDefault="00C8327E">
                    <w:pPr>
                      <w:jc w:val="right"/>
                      <w:rPr>
                        <w:rFonts w:asciiTheme="majorEastAsia" w:eastAsiaTheme="majorEastAsia" w:hAnsiTheme="majorEastAsia"/>
                        <w:spacing w:val="-20"/>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40B9358E" w14:textId="4C8B29FD" w:rsidR="007E7472" w:rsidRDefault="00C8327E">
                    <w:pPr>
                      <w:jc w:val="right"/>
                      <w:rPr>
                        <w:rFonts w:asciiTheme="majorEastAsia" w:eastAsiaTheme="majorEastAsia" w:hAnsiTheme="majorEastAsia"/>
                        <w:spacing w:val="-20"/>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1C485BE9" w14:textId="77777777" w:rsidR="007E7472" w:rsidRDefault="00C8327E">
                    <w:pPr>
                      <w:jc w:val="right"/>
                      <w:rPr>
                        <w:rFonts w:asciiTheme="majorEastAsia" w:eastAsiaTheme="majorEastAsia" w:hAnsiTheme="majorEastAsia"/>
                        <w:spacing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1EFAAC86" w14:textId="77777777" w:rsidR="007E7472" w:rsidRDefault="00C8327E">
                    <w:pPr>
                      <w:jc w:val="right"/>
                      <w:rPr>
                        <w:rFonts w:asciiTheme="majorEastAsia" w:eastAsiaTheme="majorEastAsia" w:hAnsiTheme="majorEastAsia"/>
                        <w:spacing w:val="-20"/>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11B950F9" w14:textId="77777777" w:rsidR="007E7472" w:rsidRDefault="00C8327E">
                    <w:pPr>
                      <w:jc w:val="right"/>
                      <w:rPr>
                        <w:rFonts w:asciiTheme="majorEastAsia" w:eastAsiaTheme="majorEastAsia" w:hAnsiTheme="majorEastAsia"/>
                        <w:spacing w:val="-20"/>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14:paraId="0D640E17" w14:textId="77777777" w:rsidR="007E7472" w:rsidRDefault="00C8327E">
                    <w:pPr>
                      <w:jc w:val="right"/>
                      <w:rPr>
                        <w:rFonts w:asciiTheme="majorEastAsia" w:eastAsiaTheme="majorEastAsia" w:hAnsiTheme="majorEastAsia"/>
                        <w:spacing w:val="-20"/>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527D5395" w14:textId="11D6AC93" w:rsidR="007E7472" w:rsidRDefault="00C8327E">
                    <w:pPr>
                      <w:jc w:val="right"/>
                      <w:rPr>
                        <w:rFonts w:asciiTheme="majorEastAsia" w:eastAsiaTheme="majorEastAsia" w:hAnsiTheme="majorEastAsia"/>
                        <w:spacing w:val="-20"/>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2CFC630E" w14:textId="73A738D3" w:rsidR="007E7472" w:rsidRDefault="00C8327E">
                    <w:pPr>
                      <w:jc w:val="right"/>
                      <w:rPr>
                        <w:rFonts w:asciiTheme="majorEastAsia" w:eastAsiaTheme="majorEastAsia" w:hAnsiTheme="majorEastAsia"/>
                        <w:spacing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tcPr>
                  <w:p w14:paraId="6970E773" w14:textId="77777777" w:rsidR="007E7472" w:rsidRDefault="00C8327E">
                    <w:pPr>
                      <w:jc w:val="right"/>
                    </w:pPr>
                  </w:p>
                </w:tc>
              </w:tr>
            </w:sdtContent>
          </w:sdt>
          <w:sdt>
            <w:sdtPr>
              <w:rPr>
                <w:rFonts w:asciiTheme="minorHAnsi" w:eastAsiaTheme="minorEastAsia" w:hAnsiTheme="minorHAnsi" w:cstheme="minorBidi" w:hint="eastAsia"/>
                <w:kern w:val="2"/>
              </w:rPr>
              <w:alias w:val="联营企业投资信息明细"/>
              <w:tag w:val="_TUP_84080647b7644f7482007b578f8c0165"/>
              <w:id w:val="-524089358"/>
              <w:lock w:val="sdtLocked"/>
            </w:sdtPr>
            <w:sdtEndPr>
              <w:rPr>
                <w:rFonts w:hint="default"/>
              </w:rPr>
            </w:sdtEndPr>
            <w:sdtContent>
              <w:tr w:rsidR="007E7472" w14:paraId="3E920285" w14:textId="77777777">
                <w:tc>
                  <w:tcPr>
                    <w:tcW w:w="612" w:type="pct"/>
                    <w:tcBorders>
                      <w:top w:val="single" w:sz="4" w:space="0" w:color="auto"/>
                      <w:left w:val="single" w:sz="4" w:space="0" w:color="auto"/>
                      <w:bottom w:val="single" w:sz="4" w:space="0" w:color="auto"/>
                      <w:right w:val="single" w:sz="4" w:space="0" w:color="auto"/>
                    </w:tcBorders>
                    <w:shd w:val="clear" w:color="auto" w:fill="auto"/>
                  </w:tcPr>
                  <w:p w14:paraId="6DEF8A90" w14:textId="77777777" w:rsidR="007E7472" w:rsidRDefault="00EC1269">
                    <w:r>
                      <w:t>齐鲁银行股份有限公司（注）</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19A39E8A" w14:textId="77777777" w:rsidR="007E7472" w:rsidRDefault="00EC1269">
                    <w:pPr>
                      <w:jc w:val="right"/>
                      <w:rPr>
                        <w:rFonts w:asciiTheme="majorEastAsia" w:eastAsiaTheme="majorEastAsia" w:hAnsiTheme="majorEastAsia"/>
                        <w:spacing w:val="-20"/>
                      </w:rPr>
                    </w:pPr>
                    <w:r>
                      <w:rPr>
                        <w:rFonts w:asciiTheme="majorEastAsia" w:eastAsiaTheme="majorEastAsia" w:hAnsiTheme="majorEastAsia"/>
                        <w:spacing w:val="-20"/>
                      </w:rPr>
                      <w:t>2,269,764</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3505E116" w14:textId="77777777" w:rsidR="007E7472" w:rsidRDefault="00C8327E">
                    <w:pPr>
                      <w:jc w:val="right"/>
                      <w:rPr>
                        <w:rFonts w:asciiTheme="majorEastAsia" w:eastAsiaTheme="majorEastAsia" w:hAnsiTheme="majorEastAsia"/>
                        <w:spacing w:val="-20"/>
                      </w:rPr>
                    </w:pP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3D98D160" w14:textId="77777777" w:rsidR="007E7472" w:rsidRDefault="00C8327E">
                    <w:pPr>
                      <w:jc w:val="right"/>
                      <w:rPr>
                        <w:rFonts w:asciiTheme="majorEastAsia" w:eastAsiaTheme="majorEastAsia" w:hAnsiTheme="majorEastAsia"/>
                        <w:spacing w:val="-20"/>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2AA5152F" w14:textId="2C6444D4" w:rsidR="007E7472" w:rsidRDefault="00C8327E">
                    <w:pPr>
                      <w:jc w:val="right"/>
                      <w:rPr>
                        <w:bCs/>
                        <w:spacing w:val="-20"/>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1A2A8697" w14:textId="1DB141D9" w:rsidR="007E7472" w:rsidRDefault="00C8327E">
                    <w:pPr>
                      <w:jc w:val="right"/>
                      <w:rPr>
                        <w:spacing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6C7A1283" w14:textId="3437EA97" w:rsidR="007E7472" w:rsidRDefault="00C8327E">
                    <w:pPr>
                      <w:jc w:val="right"/>
                      <w:rPr>
                        <w:spacing w:val="-20"/>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22252C9E" w14:textId="77777777" w:rsidR="007E7472" w:rsidRDefault="00C8327E">
                    <w:pPr>
                      <w:jc w:val="right"/>
                      <w:rPr>
                        <w:spacing w:val="-20"/>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14:paraId="072D7B26" w14:textId="77777777" w:rsidR="007E7472" w:rsidRDefault="00C8327E">
                    <w:pPr>
                      <w:jc w:val="right"/>
                      <w:rPr>
                        <w:rFonts w:ascii="Times New Roman" w:eastAsia="Times New Roman" w:hAnsi="Times New Roman" w:cs="Times New Roman"/>
                        <w:spacing w:val="-20"/>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76DA1ACC" w14:textId="77777777" w:rsidR="007E7472" w:rsidRDefault="00C8327E">
                    <w:pPr>
                      <w:jc w:val="right"/>
                      <w:rPr>
                        <w:rFonts w:ascii="Times New Roman" w:eastAsia="Times New Roman" w:hAnsi="Times New Roman" w:cs="Times New Roman"/>
                        <w:spacing w:val="-20"/>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2842F494" w14:textId="26B017BB" w:rsidR="007E7472" w:rsidRDefault="00C8327E">
                    <w:pPr>
                      <w:jc w:val="right"/>
                      <w:rPr>
                        <w:spacing w:val="-20"/>
                      </w:rPr>
                    </w:pPr>
                  </w:p>
                </w:tc>
                <w:tc>
                  <w:tcPr>
                    <w:tcW w:w="341" w:type="pct"/>
                    <w:tcBorders>
                      <w:top w:val="single" w:sz="4" w:space="0" w:color="auto"/>
                      <w:left w:val="single" w:sz="4" w:space="0" w:color="auto"/>
                      <w:bottom w:val="single" w:sz="4" w:space="0" w:color="auto"/>
                      <w:right w:val="single" w:sz="4" w:space="0" w:color="auto"/>
                    </w:tcBorders>
                    <w:shd w:val="clear" w:color="auto" w:fill="auto"/>
                  </w:tcPr>
                  <w:p w14:paraId="2BAD9DF8" w14:textId="77777777" w:rsidR="007E7472" w:rsidRDefault="00C8327E">
                    <w:pPr>
                      <w:jc w:val="right"/>
                    </w:pPr>
                  </w:p>
                </w:tc>
              </w:tr>
            </w:sdtContent>
          </w:sdt>
          <w:sdt>
            <w:sdtPr>
              <w:rPr>
                <w:rFonts w:asciiTheme="minorHAnsi" w:eastAsiaTheme="minorEastAsia" w:hAnsiTheme="minorHAnsi" w:cstheme="minorBidi" w:hint="eastAsia"/>
                <w:kern w:val="2"/>
              </w:rPr>
              <w:alias w:val="联营企业投资信息明细"/>
              <w:tag w:val="_TUP_84080647b7644f7482007b578f8c0165"/>
              <w:id w:val="524227596"/>
              <w:lock w:val="sdtLocked"/>
            </w:sdtPr>
            <w:sdtEndPr>
              <w:rPr>
                <w:rFonts w:hint="default"/>
              </w:rPr>
            </w:sdtEndPr>
            <w:sdtContent>
              <w:tr w:rsidR="007E7472" w14:paraId="5713DEAF" w14:textId="77777777">
                <w:tc>
                  <w:tcPr>
                    <w:tcW w:w="612" w:type="pct"/>
                    <w:tcBorders>
                      <w:top w:val="single" w:sz="4" w:space="0" w:color="auto"/>
                      <w:left w:val="single" w:sz="4" w:space="0" w:color="auto"/>
                      <w:bottom w:val="single" w:sz="4" w:space="0" w:color="auto"/>
                      <w:right w:val="single" w:sz="4" w:space="0" w:color="auto"/>
                    </w:tcBorders>
                    <w:shd w:val="clear" w:color="auto" w:fill="auto"/>
                  </w:tcPr>
                  <w:p w14:paraId="0277707A" w14:textId="720E34C3" w:rsidR="007E7472" w:rsidRDefault="00EC1269">
                    <w:r>
                      <w:t>临商银行股份有限公司</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3B22A8BA" w14:textId="77777777" w:rsidR="007E7472" w:rsidRDefault="00EC1269">
                    <w:pPr>
                      <w:jc w:val="right"/>
                      <w:rPr>
                        <w:rFonts w:asciiTheme="majorEastAsia" w:eastAsiaTheme="majorEastAsia" w:hAnsiTheme="majorEastAsia"/>
                        <w:spacing w:val="-20"/>
                      </w:rPr>
                    </w:pPr>
                    <w:r>
                      <w:rPr>
                        <w:rFonts w:asciiTheme="majorEastAsia" w:eastAsiaTheme="majorEastAsia" w:hAnsiTheme="majorEastAsia"/>
                        <w:spacing w:val="-20"/>
                      </w:rPr>
                      <w:t>2,078,655</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3BAFA816" w14:textId="77777777" w:rsidR="007E7472" w:rsidRDefault="00C8327E">
                    <w:pPr>
                      <w:jc w:val="right"/>
                      <w:rPr>
                        <w:rFonts w:asciiTheme="majorEastAsia" w:eastAsiaTheme="majorEastAsia" w:hAnsiTheme="majorEastAsia"/>
                        <w:spacing w:val="-20"/>
                      </w:rPr>
                    </w:pP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5CD02D88" w14:textId="77777777" w:rsidR="007E7472" w:rsidRDefault="00C8327E">
                    <w:pPr>
                      <w:jc w:val="right"/>
                      <w:rPr>
                        <w:rFonts w:asciiTheme="majorEastAsia" w:eastAsiaTheme="majorEastAsia" w:hAnsiTheme="majorEastAsia"/>
                        <w:spacing w:val="-20"/>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396F9692" w14:textId="77777777" w:rsidR="007E7472" w:rsidRDefault="00EC1269">
                    <w:pPr>
                      <w:jc w:val="right"/>
                      <w:rPr>
                        <w:rFonts w:asciiTheme="majorEastAsia" w:eastAsiaTheme="majorEastAsia" w:hAnsiTheme="majorEastAsia"/>
                        <w:spacing w:val="-20"/>
                      </w:rPr>
                    </w:pPr>
                    <w:r>
                      <w:rPr>
                        <w:rFonts w:asciiTheme="majorEastAsia" w:eastAsiaTheme="majorEastAsia" w:hAnsiTheme="majorEastAsia"/>
                        <w:spacing w:val="-20"/>
                      </w:rPr>
                      <w:t>22,842</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08F0228E" w14:textId="77777777" w:rsidR="007E7472" w:rsidRDefault="00EC1269">
                    <w:pPr>
                      <w:jc w:val="right"/>
                      <w:rPr>
                        <w:rFonts w:asciiTheme="majorEastAsia" w:eastAsiaTheme="majorEastAsia" w:hAnsiTheme="majorEastAsia"/>
                        <w:spacing w:val="-20"/>
                      </w:rPr>
                    </w:pPr>
                    <w:r>
                      <w:rPr>
                        <w:rFonts w:asciiTheme="majorEastAsia" w:eastAsiaTheme="majorEastAsia" w:hAnsiTheme="majorEastAsia"/>
                        <w:spacing w:val="-20"/>
                      </w:rPr>
                      <w:t>8,491</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7F6A47F2" w14:textId="77777777" w:rsidR="007E7472" w:rsidRDefault="00C8327E">
                    <w:pPr>
                      <w:jc w:val="right"/>
                      <w:rPr>
                        <w:rFonts w:asciiTheme="majorEastAsia" w:eastAsiaTheme="majorEastAsia" w:hAnsiTheme="majorEastAsia"/>
                        <w:spacing w:val="-20"/>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2B570F1E" w14:textId="77777777" w:rsidR="007E7472" w:rsidRDefault="00C8327E">
                    <w:pPr>
                      <w:jc w:val="right"/>
                      <w:rPr>
                        <w:rFonts w:asciiTheme="majorEastAsia" w:eastAsiaTheme="majorEastAsia" w:hAnsiTheme="majorEastAsia"/>
                        <w:spacing w:val="-20"/>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14:paraId="45EBC3A5" w14:textId="77777777" w:rsidR="007E7472" w:rsidRDefault="00C8327E">
                    <w:pPr>
                      <w:jc w:val="right"/>
                      <w:rPr>
                        <w:rFonts w:asciiTheme="majorEastAsia" w:eastAsiaTheme="majorEastAsia" w:hAnsiTheme="majorEastAsia"/>
                        <w:spacing w:val="-20"/>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00BD714E" w14:textId="77777777" w:rsidR="007E7472" w:rsidRDefault="00C8327E">
                    <w:pPr>
                      <w:jc w:val="right"/>
                      <w:rPr>
                        <w:rFonts w:asciiTheme="majorEastAsia" w:eastAsiaTheme="majorEastAsia" w:hAnsiTheme="majorEastAsia"/>
                        <w:spacing w:val="-20"/>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7EB06113" w14:textId="77777777" w:rsidR="007E7472" w:rsidRDefault="00EC1269">
                    <w:pPr>
                      <w:jc w:val="right"/>
                      <w:rPr>
                        <w:rFonts w:asciiTheme="majorEastAsia" w:eastAsiaTheme="majorEastAsia" w:hAnsiTheme="majorEastAsia"/>
                        <w:spacing w:val="-20"/>
                      </w:rPr>
                    </w:pPr>
                    <w:r>
                      <w:rPr>
                        <w:rFonts w:asciiTheme="majorEastAsia" w:eastAsiaTheme="majorEastAsia" w:hAnsiTheme="majorEastAsia"/>
                        <w:spacing w:val="-20"/>
                      </w:rPr>
                      <w:t>2,109,988</w:t>
                    </w:r>
                  </w:p>
                </w:tc>
                <w:tc>
                  <w:tcPr>
                    <w:tcW w:w="341" w:type="pct"/>
                    <w:tcBorders>
                      <w:top w:val="single" w:sz="4" w:space="0" w:color="auto"/>
                      <w:left w:val="single" w:sz="4" w:space="0" w:color="auto"/>
                      <w:bottom w:val="single" w:sz="4" w:space="0" w:color="auto"/>
                      <w:right w:val="single" w:sz="4" w:space="0" w:color="auto"/>
                    </w:tcBorders>
                    <w:shd w:val="clear" w:color="auto" w:fill="auto"/>
                  </w:tcPr>
                  <w:p w14:paraId="4F890865" w14:textId="77777777" w:rsidR="007E7472" w:rsidRDefault="00C8327E">
                    <w:pPr>
                      <w:jc w:val="right"/>
                    </w:pPr>
                  </w:p>
                </w:tc>
              </w:tr>
            </w:sdtContent>
          </w:sdt>
          <w:sdt>
            <w:sdtPr>
              <w:rPr>
                <w:rFonts w:asciiTheme="minorHAnsi" w:eastAsiaTheme="minorEastAsia" w:hAnsiTheme="minorHAnsi" w:cstheme="minorBidi" w:hint="eastAsia"/>
                <w:kern w:val="2"/>
              </w:rPr>
              <w:alias w:val="联营企业投资信息明细"/>
              <w:tag w:val="_TUP_84080647b7644f7482007b578f8c0165"/>
              <w:id w:val="1680848296"/>
              <w:lock w:val="sdtLocked"/>
            </w:sdtPr>
            <w:sdtEndPr>
              <w:rPr>
                <w:rFonts w:hint="default"/>
              </w:rPr>
            </w:sdtEndPr>
            <w:sdtContent>
              <w:tr w:rsidR="007E7472" w14:paraId="5D4F0C8F" w14:textId="77777777">
                <w:tc>
                  <w:tcPr>
                    <w:tcW w:w="612" w:type="pct"/>
                    <w:tcBorders>
                      <w:top w:val="single" w:sz="4" w:space="0" w:color="auto"/>
                      <w:left w:val="single" w:sz="4" w:space="0" w:color="auto"/>
                      <w:bottom w:val="single" w:sz="4" w:space="0" w:color="auto"/>
                      <w:right w:val="single" w:sz="4" w:space="0" w:color="auto"/>
                    </w:tcBorders>
                    <w:shd w:val="clear" w:color="auto" w:fill="auto"/>
                  </w:tcPr>
                  <w:p w14:paraId="3052D12B" w14:textId="77777777" w:rsidR="007E7472" w:rsidRDefault="00EC1269">
                    <w:r>
                      <w:t>山东省东岳泰恒发展有限公司</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742F202E" w14:textId="77777777" w:rsidR="007E7472" w:rsidRDefault="00EC1269">
                    <w:pPr>
                      <w:jc w:val="right"/>
                      <w:rPr>
                        <w:rFonts w:asciiTheme="majorEastAsia" w:eastAsiaTheme="majorEastAsia" w:hAnsiTheme="majorEastAsia"/>
                        <w:spacing w:val="-20"/>
                      </w:rPr>
                    </w:pPr>
                    <w:r>
                      <w:rPr>
                        <w:rFonts w:asciiTheme="majorEastAsia" w:eastAsiaTheme="majorEastAsia" w:hAnsiTheme="majorEastAsia"/>
                        <w:spacing w:val="-20"/>
                      </w:rPr>
                      <w:t>242,069</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4EF28271" w14:textId="77777777" w:rsidR="007E7472" w:rsidRDefault="00C8327E">
                    <w:pPr>
                      <w:jc w:val="right"/>
                      <w:rPr>
                        <w:rFonts w:asciiTheme="majorEastAsia" w:eastAsiaTheme="majorEastAsia" w:hAnsiTheme="majorEastAsia"/>
                        <w:spacing w:val="-20"/>
                      </w:rPr>
                    </w:pP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4882FB19" w14:textId="77777777" w:rsidR="007E7472" w:rsidRDefault="00C8327E">
                    <w:pPr>
                      <w:jc w:val="right"/>
                      <w:rPr>
                        <w:rFonts w:asciiTheme="majorEastAsia" w:eastAsiaTheme="majorEastAsia" w:hAnsiTheme="majorEastAsia"/>
                        <w:spacing w:val="-20"/>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63E7C3F3" w14:textId="77777777" w:rsidR="007E7472" w:rsidRDefault="00EC1269">
                    <w:pPr>
                      <w:jc w:val="right"/>
                      <w:rPr>
                        <w:rFonts w:asciiTheme="majorEastAsia" w:eastAsiaTheme="majorEastAsia" w:hAnsiTheme="majorEastAsia"/>
                        <w:spacing w:val="-20"/>
                      </w:rPr>
                    </w:pPr>
                    <w:r>
                      <w:rPr>
                        <w:rFonts w:asciiTheme="majorEastAsia" w:eastAsiaTheme="majorEastAsia" w:hAnsiTheme="majorEastAsia"/>
                        <w:spacing w:val="-20"/>
                      </w:rPr>
                      <w:t>-999</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4D552143" w14:textId="77777777" w:rsidR="007E7472" w:rsidRDefault="00C8327E">
                    <w:pPr>
                      <w:jc w:val="right"/>
                      <w:rPr>
                        <w:rFonts w:asciiTheme="majorEastAsia" w:eastAsiaTheme="majorEastAsia" w:hAnsiTheme="majorEastAsia"/>
                        <w:spacing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55E9D4F7" w14:textId="77777777" w:rsidR="007E7472" w:rsidRDefault="00C8327E">
                    <w:pPr>
                      <w:jc w:val="right"/>
                      <w:rPr>
                        <w:rFonts w:asciiTheme="majorEastAsia" w:eastAsiaTheme="majorEastAsia" w:hAnsiTheme="majorEastAsia"/>
                        <w:spacing w:val="-20"/>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069BE877" w14:textId="77777777" w:rsidR="007E7472" w:rsidRDefault="00C8327E">
                    <w:pPr>
                      <w:jc w:val="right"/>
                      <w:rPr>
                        <w:rFonts w:asciiTheme="majorEastAsia" w:eastAsiaTheme="majorEastAsia" w:hAnsiTheme="majorEastAsia"/>
                        <w:spacing w:val="-20"/>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14:paraId="2631E3D1" w14:textId="77777777" w:rsidR="007E7472" w:rsidRDefault="00C8327E">
                    <w:pPr>
                      <w:jc w:val="right"/>
                      <w:rPr>
                        <w:rFonts w:asciiTheme="majorEastAsia" w:eastAsiaTheme="majorEastAsia" w:hAnsiTheme="majorEastAsia"/>
                        <w:spacing w:val="-20"/>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62FD8072" w14:textId="77777777" w:rsidR="007E7472" w:rsidRDefault="00C8327E">
                    <w:pPr>
                      <w:jc w:val="right"/>
                      <w:rPr>
                        <w:rFonts w:asciiTheme="majorEastAsia" w:eastAsiaTheme="majorEastAsia" w:hAnsiTheme="majorEastAsia"/>
                        <w:spacing w:val="-20"/>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3235861B" w14:textId="77777777" w:rsidR="007E7472" w:rsidRDefault="00EC1269">
                    <w:pPr>
                      <w:jc w:val="right"/>
                      <w:rPr>
                        <w:rFonts w:asciiTheme="majorEastAsia" w:eastAsiaTheme="majorEastAsia" w:hAnsiTheme="majorEastAsia"/>
                        <w:spacing w:val="-20"/>
                      </w:rPr>
                    </w:pPr>
                    <w:r>
                      <w:rPr>
                        <w:rFonts w:asciiTheme="majorEastAsia" w:eastAsiaTheme="majorEastAsia" w:hAnsiTheme="majorEastAsia"/>
                        <w:spacing w:val="-20"/>
                      </w:rPr>
                      <w:t>241,070</w:t>
                    </w:r>
                  </w:p>
                </w:tc>
                <w:tc>
                  <w:tcPr>
                    <w:tcW w:w="341" w:type="pct"/>
                    <w:tcBorders>
                      <w:top w:val="single" w:sz="4" w:space="0" w:color="auto"/>
                      <w:left w:val="single" w:sz="4" w:space="0" w:color="auto"/>
                      <w:bottom w:val="single" w:sz="4" w:space="0" w:color="auto"/>
                      <w:right w:val="single" w:sz="4" w:space="0" w:color="auto"/>
                    </w:tcBorders>
                    <w:shd w:val="clear" w:color="auto" w:fill="auto"/>
                  </w:tcPr>
                  <w:p w14:paraId="4A669AD7" w14:textId="77777777" w:rsidR="007E7472" w:rsidRDefault="00C8327E">
                    <w:pPr>
                      <w:jc w:val="right"/>
                    </w:pPr>
                  </w:p>
                </w:tc>
              </w:tr>
            </w:sdtContent>
          </w:sdt>
          <w:sdt>
            <w:sdtPr>
              <w:rPr>
                <w:rFonts w:asciiTheme="minorHAnsi" w:eastAsiaTheme="minorEastAsia" w:hAnsiTheme="minorHAnsi" w:cstheme="minorBidi" w:hint="eastAsia"/>
                <w:kern w:val="2"/>
              </w:rPr>
              <w:alias w:val="联营企业投资信息明细"/>
              <w:tag w:val="_TUP_84080647b7644f7482007b578f8c0165"/>
              <w:id w:val="1678313420"/>
              <w:lock w:val="sdtLocked"/>
            </w:sdtPr>
            <w:sdtEndPr>
              <w:rPr>
                <w:rFonts w:hint="default"/>
              </w:rPr>
            </w:sdtEndPr>
            <w:sdtContent>
              <w:tr w:rsidR="007E7472" w14:paraId="0178D5FC" w14:textId="77777777">
                <w:tc>
                  <w:tcPr>
                    <w:tcW w:w="612" w:type="pct"/>
                    <w:tcBorders>
                      <w:top w:val="single" w:sz="4" w:space="0" w:color="auto"/>
                      <w:left w:val="single" w:sz="4" w:space="0" w:color="auto"/>
                      <w:bottom w:val="single" w:sz="4" w:space="0" w:color="auto"/>
                      <w:right w:val="single" w:sz="4" w:space="0" w:color="auto"/>
                    </w:tcBorders>
                    <w:shd w:val="clear" w:color="auto" w:fill="auto"/>
                  </w:tcPr>
                  <w:p w14:paraId="3CA1BDB7" w14:textId="77777777" w:rsidR="007E7472" w:rsidRDefault="00EC1269">
                    <w:r>
                      <w:t>山东能源（海南）智慧国际科技有限公司</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23F7E14F" w14:textId="77777777" w:rsidR="007E7472" w:rsidRDefault="00EC1269">
                    <w:pPr>
                      <w:jc w:val="right"/>
                      <w:rPr>
                        <w:rFonts w:asciiTheme="majorEastAsia" w:eastAsiaTheme="majorEastAsia" w:hAnsiTheme="majorEastAsia"/>
                        <w:spacing w:val="-20"/>
                      </w:rPr>
                    </w:pPr>
                    <w:r>
                      <w:rPr>
                        <w:rFonts w:asciiTheme="majorEastAsia" w:eastAsiaTheme="majorEastAsia" w:hAnsiTheme="majorEastAsia"/>
                        <w:spacing w:val="-20"/>
                      </w:rPr>
                      <w:t>96,391</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778B66A4" w14:textId="77777777" w:rsidR="007E7472" w:rsidRDefault="00C8327E">
                    <w:pPr>
                      <w:jc w:val="right"/>
                      <w:rPr>
                        <w:rFonts w:asciiTheme="majorEastAsia" w:eastAsiaTheme="majorEastAsia" w:hAnsiTheme="majorEastAsia"/>
                        <w:spacing w:val="-20"/>
                      </w:rPr>
                    </w:pP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39EDA4B4" w14:textId="77777777" w:rsidR="007E7472" w:rsidRDefault="00C8327E">
                    <w:pPr>
                      <w:jc w:val="right"/>
                      <w:rPr>
                        <w:rFonts w:asciiTheme="majorEastAsia" w:eastAsiaTheme="majorEastAsia" w:hAnsiTheme="majorEastAsia"/>
                        <w:spacing w:val="-20"/>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6CD4626F" w14:textId="77777777" w:rsidR="007E7472" w:rsidRDefault="00EC1269">
                    <w:pPr>
                      <w:jc w:val="right"/>
                      <w:rPr>
                        <w:rFonts w:asciiTheme="majorEastAsia" w:eastAsiaTheme="majorEastAsia" w:hAnsiTheme="majorEastAsia"/>
                        <w:spacing w:val="-20"/>
                      </w:rPr>
                    </w:pPr>
                    <w:r>
                      <w:rPr>
                        <w:rFonts w:asciiTheme="majorEastAsia" w:eastAsiaTheme="majorEastAsia" w:hAnsiTheme="majorEastAsia"/>
                        <w:spacing w:val="-20"/>
                      </w:rPr>
                      <w:t>-4,774</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2AD11C62" w14:textId="77777777" w:rsidR="007E7472" w:rsidRDefault="00EC1269">
                    <w:pPr>
                      <w:jc w:val="right"/>
                      <w:rPr>
                        <w:rFonts w:asciiTheme="majorEastAsia" w:eastAsiaTheme="majorEastAsia" w:hAnsiTheme="majorEastAsia"/>
                        <w:spacing w:val="-20"/>
                      </w:rPr>
                    </w:pPr>
                    <w:r>
                      <w:rPr>
                        <w:rFonts w:asciiTheme="majorEastAsia" w:eastAsiaTheme="majorEastAsia" w:hAnsiTheme="majorEastAsia"/>
                        <w:spacing w:val="-20"/>
                      </w:rPr>
                      <w:t>5,190</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333AB059" w14:textId="77777777" w:rsidR="007E7472" w:rsidRDefault="00C8327E">
                    <w:pPr>
                      <w:jc w:val="right"/>
                      <w:rPr>
                        <w:rFonts w:asciiTheme="majorEastAsia" w:eastAsiaTheme="majorEastAsia" w:hAnsiTheme="majorEastAsia"/>
                        <w:spacing w:val="-20"/>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6D8C0A84" w14:textId="77777777" w:rsidR="007E7472" w:rsidRDefault="00C8327E">
                    <w:pPr>
                      <w:jc w:val="right"/>
                      <w:rPr>
                        <w:rFonts w:asciiTheme="majorEastAsia" w:eastAsiaTheme="majorEastAsia" w:hAnsiTheme="majorEastAsia"/>
                        <w:spacing w:val="-20"/>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14:paraId="307C4F08" w14:textId="77777777" w:rsidR="007E7472" w:rsidRDefault="00C8327E">
                    <w:pPr>
                      <w:jc w:val="right"/>
                      <w:rPr>
                        <w:rFonts w:asciiTheme="majorEastAsia" w:eastAsiaTheme="majorEastAsia" w:hAnsiTheme="majorEastAsia"/>
                        <w:spacing w:val="-20"/>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2BF0C118" w14:textId="77777777" w:rsidR="007E7472" w:rsidRDefault="00C8327E">
                    <w:pPr>
                      <w:jc w:val="right"/>
                      <w:rPr>
                        <w:rFonts w:asciiTheme="majorEastAsia" w:eastAsiaTheme="majorEastAsia" w:hAnsiTheme="majorEastAsia"/>
                        <w:spacing w:val="-20"/>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4E2C91BB" w14:textId="77777777" w:rsidR="007E7472" w:rsidRDefault="00EC1269">
                    <w:pPr>
                      <w:jc w:val="right"/>
                      <w:rPr>
                        <w:rFonts w:asciiTheme="majorEastAsia" w:eastAsiaTheme="majorEastAsia" w:hAnsiTheme="majorEastAsia"/>
                        <w:spacing w:val="-20"/>
                      </w:rPr>
                    </w:pPr>
                    <w:r>
                      <w:rPr>
                        <w:rFonts w:asciiTheme="majorEastAsia" w:eastAsiaTheme="majorEastAsia" w:hAnsiTheme="majorEastAsia"/>
                        <w:spacing w:val="-20"/>
                      </w:rPr>
                      <w:t>96,807</w:t>
                    </w:r>
                  </w:p>
                </w:tc>
                <w:tc>
                  <w:tcPr>
                    <w:tcW w:w="341" w:type="pct"/>
                    <w:tcBorders>
                      <w:top w:val="single" w:sz="4" w:space="0" w:color="auto"/>
                      <w:left w:val="single" w:sz="4" w:space="0" w:color="auto"/>
                      <w:bottom w:val="single" w:sz="4" w:space="0" w:color="auto"/>
                      <w:right w:val="single" w:sz="4" w:space="0" w:color="auto"/>
                    </w:tcBorders>
                    <w:shd w:val="clear" w:color="auto" w:fill="auto"/>
                  </w:tcPr>
                  <w:p w14:paraId="1EDF8EDF" w14:textId="77777777" w:rsidR="007E7472" w:rsidRDefault="00C8327E">
                    <w:pPr>
                      <w:jc w:val="right"/>
                    </w:pPr>
                  </w:p>
                </w:tc>
              </w:tr>
            </w:sdtContent>
          </w:sdt>
          <w:sdt>
            <w:sdtPr>
              <w:rPr>
                <w:rFonts w:asciiTheme="minorHAnsi" w:eastAsiaTheme="minorEastAsia" w:hAnsiTheme="minorHAnsi" w:cstheme="minorBidi" w:hint="eastAsia"/>
                <w:kern w:val="2"/>
              </w:rPr>
              <w:alias w:val="联营企业投资信息明细"/>
              <w:tag w:val="_TUP_84080647b7644f7482007b578f8c0165"/>
              <w:id w:val="1736817599"/>
              <w:lock w:val="sdtLocked"/>
            </w:sdtPr>
            <w:sdtEndPr>
              <w:rPr>
                <w:rFonts w:hint="default"/>
              </w:rPr>
            </w:sdtEndPr>
            <w:sdtContent>
              <w:tr w:rsidR="007E7472" w14:paraId="6310B492" w14:textId="77777777">
                <w:tc>
                  <w:tcPr>
                    <w:tcW w:w="612" w:type="pct"/>
                    <w:tcBorders>
                      <w:top w:val="single" w:sz="4" w:space="0" w:color="auto"/>
                      <w:left w:val="single" w:sz="4" w:space="0" w:color="auto"/>
                      <w:bottom w:val="single" w:sz="4" w:space="0" w:color="auto"/>
                      <w:right w:val="single" w:sz="4" w:space="0" w:color="auto"/>
                    </w:tcBorders>
                    <w:shd w:val="clear" w:color="auto" w:fill="auto"/>
                  </w:tcPr>
                  <w:p w14:paraId="13B5D747" w14:textId="77777777" w:rsidR="007E7472" w:rsidRDefault="00EC1269">
                    <w:r>
                      <w:t>德伯特机械（山东）有限公司</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42107125" w14:textId="77777777" w:rsidR="007E7472" w:rsidRDefault="00EC1269">
                    <w:pPr>
                      <w:jc w:val="right"/>
                      <w:rPr>
                        <w:rFonts w:asciiTheme="majorEastAsia" w:eastAsiaTheme="majorEastAsia" w:hAnsiTheme="majorEastAsia"/>
                        <w:spacing w:val="-20"/>
                      </w:rPr>
                    </w:pPr>
                    <w:r>
                      <w:rPr>
                        <w:rFonts w:asciiTheme="majorEastAsia" w:eastAsiaTheme="majorEastAsia" w:hAnsiTheme="majorEastAsia"/>
                        <w:spacing w:val="-20"/>
                      </w:rPr>
                      <w:t>17,451</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0BD1802F" w14:textId="77777777" w:rsidR="007E7472" w:rsidRDefault="00C8327E">
                    <w:pPr>
                      <w:jc w:val="right"/>
                      <w:rPr>
                        <w:rFonts w:asciiTheme="majorEastAsia" w:eastAsiaTheme="majorEastAsia" w:hAnsiTheme="majorEastAsia"/>
                        <w:spacing w:val="-20"/>
                      </w:rPr>
                    </w:pP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7F2F3DDF" w14:textId="77777777" w:rsidR="007E7472" w:rsidRDefault="00C8327E">
                    <w:pPr>
                      <w:jc w:val="right"/>
                      <w:rPr>
                        <w:rFonts w:asciiTheme="majorEastAsia" w:eastAsiaTheme="majorEastAsia" w:hAnsiTheme="majorEastAsia"/>
                        <w:spacing w:val="-20"/>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52659A0F" w14:textId="77777777" w:rsidR="007E7472" w:rsidRDefault="00EC1269">
                    <w:pPr>
                      <w:jc w:val="right"/>
                      <w:rPr>
                        <w:rFonts w:asciiTheme="majorEastAsia" w:eastAsiaTheme="majorEastAsia" w:hAnsiTheme="majorEastAsia"/>
                        <w:bCs/>
                        <w:spacing w:val="-20"/>
                      </w:rPr>
                    </w:pPr>
                    <w:r>
                      <w:rPr>
                        <w:rFonts w:asciiTheme="majorEastAsia" w:eastAsiaTheme="majorEastAsia" w:hAnsiTheme="majorEastAsia"/>
                        <w:spacing w:val="-20"/>
                      </w:rPr>
                      <w:t>39</w:t>
                    </w:r>
                    <w:r>
                      <w:rPr>
                        <w:rFonts w:asciiTheme="majorEastAsia" w:eastAsiaTheme="majorEastAsia" w:hAnsiTheme="majorEastAsia" w:hint="eastAsia"/>
                        <w:spacing w:val="-20"/>
                      </w:rPr>
                      <w:t>6</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1ED409A4" w14:textId="77777777" w:rsidR="007E7472" w:rsidRDefault="00C8327E">
                    <w:pPr>
                      <w:jc w:val="right"/>
                      <w:rPr>
                        <w:rFonts w:asciiTheme="majorEastAsia" w:eastAsiaTheme="majorEastAsia" w:hAnsiTheme="majorEastAsia"/>
                        <w:spacing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4782AA66" w14:textId="77777777" w:rsidR="007E7472" w:rsidRDefault="00C8327E">
                    <w:pPr>
                      <w:jc w:val="right"/>
                      <w:rPr>
                        <w:rFonts w:asciiTheme="majorEastAsia" w:eastAsiaTheme="majorEastAsia" w:hAnsiTheme="majorEastAsia"/>
                        <w:spacing w:val="-20"/>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7ACFF261" w14:textId="77777777" w:rsidR="007E7472" w:rsidRDefault="00C8327E">
                    <w:pPr>
                      <w:jc w:val="right"/>
                      <w:rPr>
                        <w:rFonts w:asciiTheme="majorEastAsia" w:eastAsiaTheme="majorEastAsia" w:hAnsiTheme="majorEastAsia"/>
                        <w:spacing w:val="-20"/>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14:paraId="16925F96" w14:textId="77777777" w:rsidR="007E7472" w:rsidRDefault="00C8327E">
                    <w:pPr>
                      <w:jc w:val="right"/>
                      <w:rPr>
                        <w:rFonts w:asciiTheme="majorEastAsia" w:eastAsiaTheme="majorEastAsia" w:hAnsiTheme="majorEastAsia"/>
                        <w:spacing w:val="-20"/>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0869CA26" w14:textId="77777777" w:rsidR="007E7472" w:rsidRDefault="00C8327E">
                    <w:pPr>
                      <w:jc w:val="right"/>
                      <w:rPr>
                        <w:rFonts w:asciiTheme="majorEastAsia" w:eastAsiaTheme="majorEastAsia" w:hAnsiTheme="majorEastAsia"/>
                        <w:spacing w:val="-20"/>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5D7CC050" w14:textId="77777777" w:rsidR="007E7472" w:rsidRDefault="00EC1269">
                    <w:pPr>
                      <w:jc w:val="right"/>
                      <w:rPr>
                        <w:rFonts w:asciiTheme="majorEastAsia" w:eastAsiaTheme="majorEastAsia" w:hAnsiTheme="majorEastAsia"/>
                        <w:spacing w:val="-20"/>
                      </w:rPr>
                    </w:pPr>
                    <w:r>
                      <w:rPr>
                        <w:rFonts w:asciiTheme="majorEastAsia" w:eastAsiaTheme="majorEastAsia" w:hAnsiTheme="majorEastAsia" w:hint="eastAsia"/>
                        <w:spacing w:val="-20"/>
                      </w:rPr>
                      <w:t>17,847</w:t>
                    </w:r>
                  </w:p>
                </w:tc>
                <w:tc>
                  <w:tcPr>
                    <w:tcW w:w="341" w:type="pct"/>
                    <w:tcBorders>
                      <w:top w:val="single" w:sz="4" w:space="0" w:color="auto"/>
                      <w:left w:val="single" w:sz="4" w:space="0" w:color="auto"/>
                      <w:bottom w:val="single" w:sz="4" w:space="0" w:color="auto"/>
                      <w:right w:val="single" w:sz="4" w:space="0" w:color="auto"/>
                    </w:tcBorders>
                    <w:shd w:val="clear" w:color="auto" w:fill="auto"/>
                  </w:tcPr>
                  <w:p w14:paraId="15EA92DC" w14:textId="77777777" w:rsidR="007E7472" w:rsidRDefault="00C8327E">
                    <w:pPr>
                      <w:jc w:val="right"/>
                    </w:pPr>
                  </w:p>
                </w:tc>
              </w:tr>
            </w:sdtContent>
          </w:sdt>
          <w:sdt>
            <w:sdtPr>
              <w:rPr>
                <w:rFonts w:asciiTheme="minorHAnsi" w:eastAsiaTheme="minorEastAsia" w:hAnsiTheme="minorHAnsi" w:cstheme="minorBidi" w:hint="eastAsia"/>
                <w:kern w:val="2"/>
              </w:rPr>
              <w:alias w:val="联营企业投资信息明细"/>
              <w:tag w:val="_TUP_84080647b7644f7482007b578f8c0165"/>
              <w:id w:val="-495417739"/>
              <w:lock w:val="sdtLocked"/>
            </w:sdtPr>
            <w:sdtEndPr>
              <w:rPr>
                <w:rFonts w:hint="default"/>
              </w:rPr>
            </w:sdtEndPr>
            <w:sdtContent>
              <w:tr w:rsidR="007E7472" w14:paraId="7D1E6FD8" w14:textId="77777777">
                <w:tc>
                  <w:tcPr>
                    <w:tcW w:w="612" w:type="pct"/>
                    <w:tcBorders>
                      <w:top w:val="single" w:sz="4" w:space="0" w:color="auto"/>
                      <w:left w:val="single" w:sz="4" w:space="0" w:color="auto"/>
                      <w:bottom w:val="single" w:sz="4" w:space="0" w:color="auto"/>
                      <w:right w:val="single" w:sz="4" w:space="0" w:color="auto"/>
                    </w:tcBorders>
                    <w:shd w:val="clear" w:color="auto" w:fill="auto"/>
                  </w:tcPr>
                  <w:p w14:paraId="12EC3D27" w14:textId="77777777" w:rsidR="007E7472" w:rsidRDefault="00EC1269">
                    <w:r>
                      <w:t>山东新宝龙工业科技有限公司（注）</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0BF2BB2A" w14:textId="77777777" w:rsidR="007E7472" w:rsidRDefault="00EC1269">
                    <w:pPr>
                      <w:jc w:val="right"/>
                      <w:rPr>
                        <w:rFonts w:asciiTheme="majorEastAsia" w:eastAsiaTheme="majorEastAsia" w:hAnsiTheme="majorEastAsia"/>
                        <w:spacing w:val="-20"/>
                      </w:rPr>
                    </w:pPr>
                    <w:r>
                      <w:rPr>
                        <w:rFonts w:asciiTheme="majorEastAsia" w:eastAsiaTheme="majorEastAsia" w:hAnsiTheme="majorEastAsia"/>
                        <w:spacing w:val="-20"/>
                      </w:rPr>
                      <w:t>49,923</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7A03045C" w14:textId="77777777" w:rsidR="007E7472" w:rsidRDefault="00C8327E">
                    <w:pPr>
                      <w:jc w:val="right"/>
                      <w:rPr>
                        <w:rFonts w:asciiTheme="majorEastAsia" w:eastAsiaTheme="majorEastAsia" w:hAnsiTheme="majorEastAsia"/>
                        <w:spacing w:val="-20"/>
                      </w:rPr>
                    </w:pP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60CB2FE9" w14:textId="77777777" w:rsidR="007E7472" w:rsidRDefault="00C8327E">
                    <w:pPr>
                      <w:jc w:val="right"/>
                      <w:rPr>
                        <w:rFonts w:asciiTheme="majorEastAsia" w:eastAsiaTheme="majorEastAsia" w:hAnsiTheme="majorEastAsia"/>
                        <w:spacing w:val="-20"/>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6DF9EC76" w14:textId="77777777" w:rsidR="007E7472" w:rsidRDefault="00EC1269">
                    <w:pPr>
                      <w:jc w:val="right"/>
                      <w:rPr>
                        <w:rFonts w:asciiTheme="majorEastAsia" w:eastAsiaTheme="majorEastAsia" w:hAnsiTheme="majorEastAsia"/>
                        <w:spacing w:val="-20"/>
                      </w:rPr>
                    </w:pPr>
                    <w:r>
                      <w:rPr>
                        <w:rFonts w:asciiTheme="majorEastAsia" w:eastAsiaTheme="majorEastAsia" w:hAnsiTheme="majorEastAsia"/>
                        <w:spacing w:val="-20"/>
                      </w:rPr>
                      <w:t>3,949</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27F15D82" w14:textId="77777777" w:rsidR="007E7472" w:rsidRDefault="00C8327E">
                    <w:pPr>
                      <w:jc w:val="right"/>
                      <w:rPr>
                        <w:rFonts w:asciiTheme="majorEastAsia" w:eastAsiaTheme="majorEastAsia" w:hAnsiTheme="majorEastAsia"/>
                        <w:spacing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719D1AC4" w14:textId="77777777" w:rsidR="007E7472" w:rsidRDefault="00EC1269">
                    <w:pPr>
                      <w:jc w:val="right"/>
                      <w:rPr>
                        <w:rFonts w:asciiTheme="majorEastAsia" w:eastAsiaTheme="majorEastAsia" w:hAnsiTheme="majorEastAsia"/>
                        <w:spacing w:val="-20"/>
                      </w:rPr>
                    </w:pPr>
                    <w:r>
                      <w:rPr>
                        <w:rFonts w:asciiTheme="majorEastAsia" w:eastAsiaTheme="majorEastAsia" w:hAnsiTheme="majorEastAsia"/>
                        <w:spacing w:val="-20"/>
                      </w:rPr>
                      <w:t>-3,530</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3318C98A" w14:textId="77777777" w:rsidR="007E7472" w:rsidRDefault="00C8327E">
                    <w:pPr>
                      <w:jc w:val="right"/>
                      <w:rPr>
                        <w:rFonts w:asciiTheme="majorEastAsia" w:eastAsiaTheme="majorEastAsia" w:hAnsiTheme="majorEastAsia"/>
                        <w:spacing w:val="-20"/>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14:paraId="58F8822E" w14:textId="77777777" w:rsidR="007E7472" w:rsidRDefault="00C8327E">
                    <w:pPr>
                      <w:jc w:val="right"/>
                      <w:rPr>
                        <w:rFonts w:asciiTheme="majorEastAsia" w:eastAsiaTheme="majorEastAsia" w:hAnsiTheme="majorEastAsia"/>
                        <w:spacing w:val="-20"/>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50A710C0" w14:textId="77777777" w:rsidR="007E7472" w:rsidRDefault="00C8327E">
                    <w:pPr>
                      <w:jc w:val="right"/>
                      <w:rPr>
                        <w:rFonts w:asciiTheme="majorEastAsia" w:eastAsiaTheme="majorEastAsia" w:hAnsiTheme="majorEastAsia"/>
                        <w:spacing w:val="-20"/>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343A8120" w14:textId="77777777" w:rsidR="007E7472" w:rsidRDefault="00EC1269">
                    <w:pPr>
                      <w:jc w:val="right"/>
                      <w:rPr>
                        <w:rFonts w:asciiTheme="majorEastAsia" w:eastAsiaTheme="majorEastAsia" w:hAnsiTheme="majorEastAsia"/>
                        <w:spacing w:val="-20"/>
                      </w:rPr>
                    </w:pPr>
                    <w:r>
                      <w:rPr>
                        <w:rFonts w:asciiTheme="majorEastAsia" w:eastAsiaTheme="majorEastAsia" w:hAnsiTheme="majorEastAsia"/>
                        <w:spacing w:val="-20"/>
                      </w:rPr>
                      <w:t>50,342</w:t>
                    </w:r>
                  </w:p>
                </w:tc>
                <w:tc>
                  <w:tcPr>
                    <w:tcW w:w="341" w:type="pct"/>
                    <w:tcBorders>
                      <w:top w:val="single" w:sz="4" w:space="0" w:color="auto"/>
                      <w:left w:val="single" w:sz="4" w:space="0" w:color="auto"/>
                      <w:bottom w:val="single" w:sz="4" w:space="0" w:color="auto"/>
                      <w:right w:val="single" w:sz="4" w:space="0" w:color="auto"/>
                    </w:tcBorders>
                    <w:shd w:val="clear" w:color="auto" w:fill="auto"/>
                  </w:tcPr>
                  <w:p w14:paraId="43786744" w14:textId="77777777" w:rsidR="007E7472" w:rsidRDefault="00C8327E">
                    <w:pPr>
                      <w:jc w:val="right"/>
                    </w:pPr>
                  </w:p>
                </w:tc>
              </w:tr>
            </w:sdtContent>
          </w:sdt>
          <w:sdt>
            <w:sdtPr>
              <w:rPr>
                <w:rFonts w:asciiTheme="minorHAnsi" w:eastAsiaTheme="minorEastAsia" w:hAnsiTheme="minorHAnsi" w:cstheme="minorBidi" w:hint="eastAsia"/>
                <w:kern w:val="2"/>
              </w:rPr>
              <w:alias w:val="联营企业投资信息明细"/>
              <w:tag w:val="_TUP_84080647b7644f7482007b578f8c0165"/>
              <w:id w:val="-1785645166"/>
              <w:lock w:val="sdtLocked"/>
            </w:sdtPr>
            <w:sdtEndPr>
              <w:rPr>
                <w:rFonts w:hint="default"/>
              </w:rPr>
            </w:sdtEndPr>
            <w:sdtContent>
              <w:tr w:rsidR="007E7472" w14:paraId="7B64B8F9" w14:textId="77777777">
                <w:tc>
                  <w:tcPr>
                    <w:tcW w:w="612" w:type="pct"/>
                    <w:tcBorders>
                      <w:top w:val="single" w:sz="4" w:space="0" w:color="auto"/>
                      <w:left w:val="single" w:sz="4" w:space="0" w:color="auto"/>
                      <w:bottom w:val="single" w:sz="4" w:space="0" w:color="auto"/>
                      <w:right w:val="single" w:sz="4" w:space="0" w:color="auto"/>
                    </w:tcBorders>
                    <w:shd w:val="clear" w:color="auto" w:fill="auto"/>
                  </w:tcPr>
                  <w:p w14:paraId="13B5B100" w14:textId="77777777" w:rsidR="007E7472" w:rsidRDefault="00EC1269">
                    <w:r>
                      <w:t>山东宝能智维工业科技有限公司</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3C540678" w14:textId="77777777" w:rsidR="007E7472" w:rsidRDefault="00EC1269">
                    <w:pPr>
                      <w:jc w:val="right"/>
                      <w:rPr>
                        <w:rFonts w:asciiTheme="majorEastAsia" w:eastAsiaTheme="majorEastAsia" w:hAnsiTheme="majorEastAsia"/>
                        <w:spacing w:val="-20"/>
                      </w:rPr>
                    </w:pPr>
                    <w:r>
                      <w:rPr>
                        <w:rFonts w:asciiTheme="majorEastAsia" w:eastAsiaTheme="majorEastAsia" w:hAnsiTheme="majorEastAsia"/>
                        <w:spacing w:val="-20"/>
                      </w:rPr>
                      <w:t>2,822</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7E890FA5" w14:textId="77777777" w:rsidR="007E7472" w:rsidRDefault="00C8327E">
                    <w:pPr>
                      <w:jc w:val="right"/>
                      <w:rPr>
                        <w:rFonts w:asciiTheme="majorEastAsia" w:eastAsiaTheme="majorEastAsia" w:hAnsiTheme="majorEastAsia"/>
                        <w:spacing w:val="-20"/>
                      </w:rPr>
                    </w:pP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6B2A15EA" w14:textId="77777777" w:rsidR="007E7472" w:rsidRDefault="00C8327E">
                    <w:pPr>
                      <w:jc w:val="right"/>
                      <w:rPr>
                        <w:rFonts w:asciiTheme="majorEastAsia" w:eastAsiaTheme="majorEastAsia" w:hAnsiTheme="majorEastAsia"/>
                        <w:spacing w:val="-20"/>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48979E47" w14:textId="77777777" w:rsidR="007E7472" w:rsidRDefault="00EC1269">
                    <w:pPr>
                      <w:jc w:val="right"/>
                      <w:rPr>
                        <w:rFonts w:asciiTheme="majorEastAsia" w:eastAsiaTheme="majorEastAsia" w:hAnsiTheme="majorEastAsia"/>
                        <w:bCs/>
                        <w:spacing w:val="-20"/>
                      </w:rPr>
                    </w:pPr>
                    <w:r>
                      <w:rPr>
                        <w:rFonts w:asciiTheme="majorEastAsia" w:eastAsiaTheme="majorEastAsia" w:hAnsiTheme="majorEastAsia"/>
                        <w:spacing w:val="-20"/>
                      </w:rPr>
                      <w:t>-362</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7B9FF5C3" w14:textId="77777777" w:rsidR="007E7472" w:rsidRDefault="00C8327E">
                    <w:pPr>
                      <w:jc w:val="right"/>
                      <w:rPr>
                        <w:rFonts w:asciiTheme="majorEastAsia" w:eastAsiaTheme="majorEastAsia" w:hAnsiTheme="majorEastAsia"/>
                        <w:spacing w:val="-20"/>
                      </w:rPr>
                    </w:pP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42A4303A" w14:textId="77777777" w:rsidR="007E7472" w:rsidRDefault="00C8327E">
                    <w:pPr>
                      <w:jc w:val="right"/>
                      <w:rPr>
                        <w:rFonts w:asciiTheme="majorEastAsia" w:eastAsiaTheme="majorEastAsia" w:hAnsiTheme="majorEastAsia" w:cs="Times New Roman"/>
                        <w:spacing w:val="-20"/>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2FDAFA9C" w14:textId="77777777" w:rsidR="007E7472" w:rsidRDefault="00C8327E">
                    <w:pPr>
                      <w:jc w:val="right"/>
                      <w:rPr>
                        <w:rFonts w:asciiTheme="majorEastAsia" w:eastAsiaTheme="majorEastAsia" w:hAnsiTheme="majorEastAsia" w:cs="Times New Roman"/>
                        <w:spacing w:val="-20"/>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14:paraId="7ECD0ED5" w14:textId="77777777" w:rsidR="007E7472" w:rsidRDefault="00C8327E">
                    <w:pPr>
                      <w:jc w:val="right"/>
                      <w:rPr>
                        <w:rFonts w:asciiTheme="majorEastAsia" w:eastAsiaTheme="majorEastAsia" w:hAnsiTheme="majorEastAsia" w:cs="Times New Roman"/>
                        <w:spacing w:val="-20"/>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1BBEEB41" w14:textId="77777777" w:rsidR="007E7472" w:rsidRDefault="00C8327E">
                    <w:pPr>
                      <w:jc w:val="right"/>
                      <w:rPr>
                        <w:rFonts w:asciiTheme="majorEastAsia" w:eastAsiaTheme="majorEastAsia" w:hAnsiTheme="majorEastAsia" w:cs="Times New Roman"/>
                        <w:spacing w:val="-20"/>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0653E96B" w14:textId="77777777" w:rsidR="007E7472" w:rsidRDefault="00EC1269">
                    <w:pPr>
                      <w:jc w:val="right"/>
                      <w:rPr>
                        <w:rFonts w:asciiTheme="majorEastAsia" w:eastAsiaTheme="majorEastAsia" w:hAnsiTheme="majorEastAsia"/>
                        <w:spacing w:val="-20"/>
                      </w:rPr>
                    </w:pPr>
                    <w:r>
                      <w:rPr>
                        <w:rFonts w:asciiTheme="majorEastAsia" w:eastAsiaTheme="majorEastAsia" w:hAnsiTheme="majorEastAsia"/>
                        <w:spacing w:val="-20"/>
                      </w:rPr>
                      <w:t>2,460</w:t>
                    </w:r>
                  </w:p>
                </w:tc>
                <w:tc>
                  <w:tcPr>
                    <w:tcW w:w="341" w:type="pct"/>
                    <w:tcBorders>
                      <w:top w:val="single" w:sz="4" w:space="0" w:color="auto"/>
                      <w:left w:val="single" w:sz="4" w:space="0" w:color="auto"/>
                      <w:bottom w:val="single" w:sz="4" w:space="0" w:color="auto"/>
                      <w:right w:val="single" w:sz="4" w:space="0" w:color="auto"/>
                    </w:tcBorders>
                    <w:shd w:val="clear" w:color="auto" w:fill="auto"/>
                  </w:tcPr>
                  <w:p w14:paraId="5C2E6850" w14:textId="77777777" w:rsidR="007E7472" w:rsidRDefault="00C8327E">
                    <w:pPr>
                      <w:jc w:val="right"/>
                    </w:pPr>
                  </w:p>
                </w:tc>
              </w:tr>
            </w:sdtContent>
          </w:sdt>
          <w:tr w:rsidR="007E7472" w14:paraId="1D28346F" w14:textId="77777777">
            <w:sdt>
              <w:sdtPr>
                <w:tag w:val="_PLD_2bb2eb1b6f8c44dbb9f3cf34c4407eee"/>
                <w:id w:val="779677499"/>
                <w:lock w:val="sdtLocked"/>
              </w:sdtPr>
              <w:sdtEndPr/>
              <w:sdtContent>
                <w:tc>
                  <w:tcPr>
                    <w:tcW w:w="612" w:type="pct"/>
                    <w:tcBorders>
                      <w:top w:val="single" w:sz="4" w:space="0" w:color="auto"/>
                      <w:left w:val="single" w:sz="4" w:space="0" w:color="auto"/>
                      <w:bottom w:val="single" w:sz="4" w:space="0" w:color="auto"/>
                      <w:right w:val="single" w:sz="4" w:space="0" w:color="auto"/>
                    </w:tcBorders>
                    <w:shd w:val="clear" w:color="auto" w:fill="auto"/>
                  </w:tcPr>
                  <w:p w14:paraId="62192895" w14:textId="77777777" w:rsidR="007E7472" w:rsidRDefault="00EC1269">
                    <w:r>
                      <w:rPr>
                        <w:rFonts w:hint="eastAsia"/>
                      </w:rPr>
                      <w:t>小计</w:t>
                    </w:r>
                  </w:p>
                </w:tc>
              </w:sdtContent>
            </w:sdt>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7A36CD58" w14:textId="77777777" w:rsidR="007E7472" w:rsidRDefault="00EC1269">
                <w:pPr>
                  <w:jc w:val="right"/>
                  <w:rPr>
                    <w:bCs/>
                    <w:spacing w:val="-20"/>
                  </w:rPr>
                </w:pPr>
                <w:r>
                  <w:rPr>
                    <w:spacing w:val="-20"/>
                  </w:rPr>
                  <w:t>6,467,314</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2370946B" w14:textId="77777777" w:rsidR="007E7472" w:rsidRDefault="00C8327E">
                <w:pPr>
                  <w:jc w:val="right"/>
                  <w:rPr>
                    <w:spacing w:val="-20"/>
                  </w:rPr>
                </w:pP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30FA92A1" w14:textId="77777777" w:rsidR="007E7472" w:rsidRDefault="00C8327E">
                <w:pPr>
                  <w:jc w:val="right"/>
                  <w:rPr>
                    <w:rFonts w:ascii="Times New Roman" w:eastAsia="Times New Roman" w:hAnsi="Times New Roman" w:cs="Times New Roman"/>
                    <w:spacing w:val="-20"/>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17D80873" w14:textId="77777777" w:rsidR="007E7472" w:rsidRDefault="00EC1269">
                <w:pPr>
                  <w:jc w:val="right"/>
                  <w:rPr>
                    <w:spacing w:val="-20"/>
                  </w:rPr>
                </w:pPr>
                <w:r>
                  <w:rPr>
                    <w:spacing w:val="-20"/>
                  </w:rPr>
                  <w:t>227,0</w:t>
                </w:r>
                <w:r>
                  <w:rPr>
                    <w:rFonts w:hint="eastAsia"/>
                    <w:spacing w:val="-20"/>
                  </w:rPr>
                  <w:t>60</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55C8F513" w14:textId="77777777" w:rsidR="007E7472" w:rsidRDefault="00EC1269">
                <w:pPr>
                  <w:jc w:val="right"/>
                  <w:rPr>
                    <w:spacing w:val="-20"/>
                  </w:rPr>
                </w:pPr>
                <w:r>
                  <w:rPr>
                    <w:spacing w:val="-20"/>
                  </w:rPr>
                  <w:t>57,041</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196EB6D1" w14:textId="77777777" w:rsidR="007E7472" w:rsidRDefault="00EC1269">
                <w:pPr>
                  <w:jc w:val="right"/>
                  <w:rPr>
                    <w:spacing w:val="-20"/>
                  </w:rPr>
                </w:pPr>
                <w:r>
                  <w:rPr>
                    <w:spacing w:val="-20"/>
                  </w:rPr>
                  <w:t>17,290</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47682C65" w14:textId="77777777" w:rsidR="007E7472" w:rsidRDefault="00C8327E">
                <w:pPr>
                  <w:jc w:val="right"/>
                  <w:rPr>
                    <w:spacing w:val="-20"/>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14:paraId="027BE893" w14:textId="77777777" w:rsidR="007E7472" w:rsidRDefault="00C8327E">
                <w:pPr>
                  <w:jc w:val="right"/>
                  <w:rPr>
                    <w:rFonts w:ascii="Times New Roman" w:eastAsia="Times New Roman" w:hAnsi="Times New Roman" w:cs="Times New Roman"/>
                    <w:spacing w:val="-20"/>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6696069F" w14:textId="77777777" w:rsidR="007E7472" w:rsidRDefault="00EC1269">
                <w:pPr>
                  <w:jc w:val="right"/>
                  <w:rPr>
                    <w:spacing w:val="-20"/>
                  </w:rPr>
                </w:pPr>
                <w:r>
                  <w:rPr>
                    <w:spacing w:val="-20"/>
                  </w:rPr>
                  <w:t>9,999</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2488FCF3" w14:textId="77777777" w:rsidR="007E7472" w:rsidRDefault="00EC1269">
                <w:pPr>
                  <w:jc w:val="right"/>
                  <w:rPr>
                    <w:spacing w:val="-20"/>
                  </w:rPr>
                </w:pPr>
                <w:r>
                  <w:rPr>
                    <w:spacing w:val="-20"/>
                  </w:rPr>
                  <w:t>6,778,70</w:t>
                </w:r>
                <w:r>
                  <w:rPr>
                    <w:rFonts w:hint="eastAsia"/>
                    <w:spacing w:val="-20"/>
                  </w:rPr>
                  <w:t>4</w:t>
                </w:r>
              </w:p>
            </w:tc>
            <w:tc>
              <w:tcPr>
                <w:tcW w:w="341" w:type="pct"/>
                <w:tcBorders>
                  <w:top w:val="single" w:sz="4" w:space="0" w:color="auto"/>
                  <w:left w:val="single" w:sz="4" w:space="0" w:color="auto"/>
                  <w:bottom w:val="single" w:sz="4" w:space="0" w:color="auto"/>
                  <w:right w:val="single" w:sz="4" w:space="0" w:color="auto"/>
                </w:tcBorders>
                <w:shd w:val="clear" w:color="auto" w:fill="auto"/>
              </w:tcPr>
              <w:p w14:paraId="365CB212" w14:textId="77777777" w:rsidR="007E7472" w:rsidRDefault="00C8327E">
                <w:pPr>
                  <w:jc w:val="right"/>
                </w:pPr>
              </w:p>
            </w:tc>
          </w:tr>
          <w:tr w:rsidR="007E7472" w14:paraId="746D27C9" w14:textId="77777777">
            <w:sdt>
              <w:sdtPr>
                <w:tag w:val="_PLD_afeb062a0b364136a347ba0a9543ff48"/>
                <w:id w:val="417224951"/>
                <w:lock w:val="sdtLocked"/>
              </w:sdtPr>
              <w:sdtEndPr/>
              <w:sdtContent>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2A703C46" w14:textId="77777777" w:rsidR="007E7472" w:rsidRDefault="00EC1269">
                    <w:pPr>
                      <w:jc w:val="center"/>
                    </w:pPr>
                    <w:r>
                      <w:rPr>
                        <w:rFonts w:hint="eastAsia"/>
                      </w:rPr>
                      <w:t>合计</w:t>
                    </w:r>
                  </w:p>
                </w:tc>
              </w:sdtContent>
            </w:sdt>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2EC51AE1" w14:textId="77777777" w:rsidR="007E7472" w:rsidRDefault="00EC1269">
                <w:pPr>
                  <w:jc w:val="right"/>
                  <w:rPr>
                    <w:spacing w:val="-20"/>
                  </w:rPr>
                </w:pPr>
                <w:r>
                  <w:rPr>
                    <w:spacing w:val="-20"/>
                  </w:rPr>
                  <w:t>6,503,049</w:t>
                </w:r>
              </w:p>
            </w:tc>
            <w:tc>
              <w:tcPr>
                <w:tcW w:w="461" w:type="pct"/>
                <w:tcBorders>
                  <w:top w:val="single" w:sz="4" w:space="0" w:color="auto"/>
                  <w:left w:val="single" w:sz="4" w:space="0" w:color="auto"/>
                  <w:bottom w:val="single" w:sz="4" w:space="0" w:color="auto"/>
                  <w:right w:val="single" w:sz="4" w:space="0" w:color="auto"/>
                </w:tcBorders>
                <w:shd w:val="clear" w:color="auto" w:fill="auto"/>
                <w:vAlign w:val="center"/>
              </w:tcPr>
              <w:p w14:paraId="5AA4EE39" w14:textId="77777777" w:rsidR="007E7472" w:rsidRDefault="00C8327E">
                <w:pPr>
                  <w:jc w:val="right"/>
                  <w:rPr>
                    <w:spacing w:val="-20"/>
                  </w:rPr>
                </w:pP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0453DB4D" w14:textId="77777777" w:rsidR="007E7472" w:rsidRDefault="00C8327E">
                <w:pPr>
                  <w:jc w:val="right"/>
                  <w:rPr>
                    <w:rFonts w:ascii="Times New Roman" w:eastAsia="Times New Roman" w:hAnsi="Times New Roman" w:cs="Times New Roman"/>
                    <w:spacing w:val="-20"/>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2010BD3D" w14:textId="77777777" w:rsidR="007E7472" w:rsidRDefault="00EC1269">
                <w:pPr>
                  <w:jc w:val="right"/>
                  <w:rPr>
                    <w:spacing w:val="-20"/>
                  </w:rPr>
                </w:pPr>
                <w:r>
                  <w:rPr>
                    <w:spacing w:val="-20"/>
                  </w:rPr>
                  <w:t>226,62</w:t>
                </w:r>
                <w:r>
                  <w:rPr>
                    <w:rFonts w:hint="eastAsia"/>
                    <w:spacing w:val="-20"/>
                  </w:rPr>
                  <w:t>4</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3D38A3B4" w14:textId="77777777" w:rsidR="007E7472" w:rsidRDefault="00EC1269">
                <w:pPr>
                  <w:jc w:val="right"/>
                  <w:rPr>
                    <w:spacing w:val="-20"/>
                  </w:rPr>
                </w:pPr>
                <w:r>
                  <w:rPr>
                    <w:spacing w:val="-20"/>
                  </w:rPr>
                  <w:t>57,041</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14:paraId="40ED025D" w14:textId="77777777" w:rsidR="007E7472" w:rsidRDefault="00EC1269">
                <w:pPr>
                  <w:jc w:val="right"/>
                  <w:rPr>
                    <w:spacing w:val="-20"/>
                  </w:rPr>
                </w:pPr>
                <w:r>
                  <w:rPr>
                    <w:spacing w:val="-20"/>
                  </w:rPr>
                  <w:t>17,290</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5F8078AF" w14:textId="77777777" w:rsidR="007E7472" w:rsidRDefault="00C8327E">
                <w:pPr>
                  <w:jc w:val="right"/>
                  <w:rPr>
                    <w:spacing w:val="-20"/>
                  </w:rPr>
                </w:pPr>
              </w:p>
            </w:tc>
            <w:tc>
              <w:tcPr>
                <w:tcW w:w="359" w:type="pct"/>
                <w:tcBorders>
                  <w:top w:val="single" w:sz="4" w:space="0" w:color="auto"/>
                  <w:left w:val="single" w:sz="4" w:space="0" w:color="auto"/>
                  <w:bottom w:val="single" w:sz="4" w:space="0" w:color="auto"/>
                  <w:right w:val="single" w:sz="4" w:space="0" w:color="auto"/>
                </w:tcBorders>
                <w:shd w:val="clear" w:color="auto" w:fill="auto"/>
                <w:vAlign w:val="center"/>
              </w:tcPr>
              <w:p w14:paraId="5EA2B5AD" w14:textId="77777777" w:rsidR="007E7472" w:rsidRDefault="00C8327E">
                <w:pPr>
                  <w:jc w:val="right"/>
                  <w:rPr>
                    <w:rFonts w:ascii="Times New Roman" w:eastAsia="Times New Roman" w:hAnsi="Times New Roman" w:cs="Times New Roman"/>
                    <w:spacing w:val="-20"/>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2320A177" w14:textId="77777777" w:rsidR="007E7472" w:rsidRDefault="00EC1269">
                <w:pPr>
                  <w:jc w:val="right"/>
                  <w:rPr>
                    <w:spacing w:val="-20"/>
                  </w:rPr>
                </w:pPr>
                <w:r>
                  <w:rPr>
                    <w:spacing w:val="-20"/>
                  </w:rPr>
                  <w:t>9,999</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35DF101F" w14:textId="77777777" w:rsidR="007E7472" w:rsidRDefault="00EC1269">
                <w:pPr>
                  <w:jc w:val="right"/>
                  <w:rPr>
                    <w:spacing w:val="-20"/>
                  </w:rPr>
                </w:pPr>
                <w:r>
                  <w:rPr>
                    <w:spacing w:val="-20"/>
                  </w:rPr>
                  <w:t>6,814,00</w:t>
                </w:r>
                <w:r>
                  <w:rPr>
                    <w:rFonts w:hint="eastAsia"/>
                    <w:spacing w:val="-20"/>
                  </w:rPr>
                  <w:t>3</w:t>
                </w:r>
              </w:p>
            </w:tc>
            <w:tc>
              <w:tcPr>
                <w:tcW w:w="341" w:type="pct"/>
                <w:tcBorders>
                  <w:top w:val="single" w:sz="4" w:space="0" w:color="auto"/>
                  <w:left w:val="single" w:sz="4" w:space="0" w:color="auto"/>
                  <w:bottom w:val="single" w:sz="4" w:space="0" w:color="auto"/>
                  <w:right w:val="single" w:sz="4" w:space="0" w:color="auto"/>
                </w:tcBorders>
                <w:shd w:val="clear" w:color="auto" w:fill="auto"/>
              </w:tcPr>
              <w:p w14:paraId="497A5073" w14:textId="77777777" w:rsidR="007E7472" w:rsidRDefault="00C8327E">
                <w:pPr>
                  <w:jc w:val="right"/>
                </w:pPr>
              </w:p>
            </w:tc>
          </w:tr>
        </w:tbl>
        <w:p w14:paraId="1A9C4C53" w14:textId="77777777" w:rsidR="007E7472" w:rsidRDefault="00EC1269">
          <w:pPr>
            <w:rPr>
              <w:rFonts w:asciiTheme="minorEastAsia" w:eastAsiaTheme="minorEastAsia" w:hAnsiTheme="minorEastAsia"/>
            </w:rPr>
          </w:pPr>
          <w:r>
            <w:rPr>
              <w:rFonts w:asciiTheme="minorEastAsia" w:eastAsiaTheme="minorEastAsia" w:hAnsiTheme="minorEastAsia" w:hint="eastAsia"/>
            </w:rPr>
            <w:t>注：详见本附注“七、17.长期股权投资”。</w:t>
          </w:r>
        </w:p>
        <w:p w14:paraId="7928BAD4" w14:textId="77777777" w:rsidR="007E7472" w:rsidRDefault="00C8327E"/>
      </w:sdtContent>
    </w:sdt>
    <w:bookmarkEnd w:id="315" w:displacedByCustomXml="next"/>
    <w:sdt>
      <w:sdtPr>
        <w:rPr>
          <w:rFonts w:hint="eastAsia"/>
        </w:rPr>
        <w:alias w:val="模块:长期股权投资的说明"/>
        <w:tag w:val="_GBC_1577b793bbce4a50b07decde0e07491e"/>
        <w:id w:val="1351450324"/>
        <w:lock w:val="sdtLocked"/>
        <w:placeholder>
          <w:docPart w:val="GBC22222222222222222222222222222"/>
        </w:placeholder>
      </w:sdtPr>
      <w:sdtEndPr>
        <w:rPr>
          <w:sz w:val="20"/>
          <w:szCs w:val="20"/>
        </w:rPr>
      </w:sdtEndPr>
      <w:sdtContent>
        <w:p w14:paraId="2A945D70" w14:textId="77777777" w:rsidR="007E7472" w:rsidRDefault="00EC1269">
          <w:r>
            <w:rPr>
              <w:rFonts w:hint="eastAsia"/>
            </w:rPr>
            <w:t>其他说明：</w:t>
          </w:r>
        </w:p>
        <w:sdt>
          <w:sdtPr>
            <w:alias w:val="是否适用：母公司长期股权投资其他说明[双击切换]"/>
            <w:tag w:val="_GBC_8b70582854684459adc77f46cbf4aac7"/>
            <w:id w:val="1905336383"/>
            <w:lock w:val="sdtLocked"/>
            <w:placeholder>
              <w:docPart w:val="GBC22222222222222222222222222222"/>
            </w:placeholder>
          </w:sdtPr>
          <w:sdtEndPr>
            <w:rPr>
              <w:sz w:val="20"/>
              <w:szCs w:val="20"/>
            </w:rPr>
          </w:sdtEndPr>
          <w:sdtContent>
            <w:p w14:paraId="18D1666F"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34537483" w14:textId="77777777" w:rsidR="007E7472" w:rsidRDefault="00EC1269">
      <w:r>
        <w:br w:type="page"/>
      </w:r>
    </w:p>
    <w:p w14:paraId="00A9844F" w14:textId="77777777" w:rsidR="007E7472" w:rsidRDefault="00C8327E">
      <w:pPr>
        <w:sectPr w:rsidR="007E7472">
          <w:pgSz w:w="16838" w:h="11906" w:orient="landscape"/>
          <w:pgMar w:top="1797" w:right="1525" w:bottom="1276" w:left="1440" w:header="856" w:footer="992" w:gutter="0"/>
          <w:cols w:space="425"/>
          <w:docGrid w:linePitch="312"/>
        </w:sectPr>
      </w:pPr>
    </w:p>
    <w:p w14:paraId="02457F74" w14:textId="77777777" w:rsidR="007E7472" w:rsidRDefault="00C8327E"/>
    <w:p w14:paraId="3F3733D3" w14:textId="77777777" w:rsidR="007E7472" w:rsidRPr="00F72A4F" w:rsidRDefault="00EC1269" w:rsidP="00162493">
      <w:pPr>
        <w:numPr>
          <w:ilvl w:val="2"/>
          <w:numId w:val="118"/>
        </w:numPr>
        <w:outlineLvl w:val="2"/>
        <w:rPr>
          <w:b/>
        </w:rPr>
      </w:pPr>
      <w:r w:rsidRPr="00F72A4F">
        <w:rPr>
          <w:rFonts w:hint="eastAsia"/>
          <w:b/>
        </w:rPr>
        <w:t>营业收入和营业成本</w:t>
      </w:r>
    </w:p>
    <w:sdt>
      <w:sdtPr>
        <w:rPr>
          <w:rFonts w:ascii="宋体" w:hAnsi="宋体" w:cs="宋体" w:hint="eastAsia"/>
          <w:b w:val="0"/>
          <w:bCs w:val="0"/>
          <w:kern w:val="0"/>
          <w:sz w:val="20"/>
          <w:szCs w:val="24"/>
        </w:rPr>
        <w:alias w:val="模块:营业收入和营业成本情况"/>
        <w:tag w:val="_SEC_c20353238d924d35bff1a3e0cee4af4b"/>
        <w:id w:val="178164568"/>
        <w:lock w:val="sdtLocked"/>
        <w:placeholder>
          <w:docPart w:val="GBC22222222222222222222222222222"/>
        </w:placeholder>
      </w:sdtPr>
      <w:sdtEndPr>
        <w:rPr>
          <w:rFonts w:hint="default"/>
          <w:bCs/>
          <w:sz w:val="21"/>
          <w:szCs w:val="21"/>
        </w:rPr>
      </w:sdtEndPr>
      <w:sdtContent>
        <w:p w14:paraId="43CBEAD9" w14:textId="77777777" w:rsidR="007E7472" w:rsidRDefault="00EC1269" w:rsidP="00162493">
          <w:pPr>
            <w:pStyle w:val="4"/>
            <w:numPr>
              <w:ilvl w:val="0"/>
              <w:numId w:val="122"/>
            </w:numPr>
          </w:pPr>
          <w:r>
            <w:rPr>
              <w:rFonts w:hint="eastAsia"/>
            </w:rPr>
            <w:t>营业收入和营业成本情况</w:t>
          </w:r>
        </w:p>
        <w:sdt>
          <w:sdtPr>
            <w:alias w:val="是否适用：母公司营业收入和营业成本[双击切换]"/>
            <w:tag w:val="_GBC_f62d83b1068f4bfaae3a590b0ac9f4d7"/>
            <w:id w:val="-294531122"/>
            <w:lock w:val="sdtLocked"/>
            <w:placeholder>
              <w:docPart w:val="GBC22222222222222222222222222222"/>
            </w:placeholder>
          </w:sdtPr>
          <w:sdtEndPr/>
          <w:sdtContent>
            <w:p w14:paraId="00FD531D"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16A2F91" w14:textId="26B7B9A7" w:rsidR="007E7472" w:rsidRDefault="00EC1269">
          <w:pPr>
            <w:jc w:val="right"/>
          </w:pPr>
          <w:r>
            <w:rPr>
              <w:rFonts w:hint="eastAsia"/>
            </w:rPr>
            <w:t>单位：</w:t>
          </w:r>
          <w:sdt>
            <w:sdtPr>
              <w:rPr>
                <w:rFonts w:hint="eastAsia"/>
              </w:rPr>
              <w:alias w:val="单位：母公司财务附注：营业收入"/>
              <w:tag w:val="_GBC_40a730bb869a41578a25e9cb66f4e28e"/>
              <w:id w:val="17752835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母公司财务附注：营业收入"/>
              <w:tag w:val="_GBC_1b6056b90b2c445a9b1bcdc97aa104ec"/>
              <w:id w:val="-133382767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1"/>
            <w:gridCol w:w="1623"/>
            <w:gridCol w:w="1623"/>
            <w:gridCol w:w="1477"/>
            <w:gridCol w:w="1329"/>
          </w:tblGrid>
          <w:tr w:rsidR="007E7472" w14:paraId="2ABFF45B" w14:textId="77777777">
            <w:sdt>
              <w:sdtPr>
                <w:tag w:val="_PLD_3dc9ae0da47e49d097992a176784945a"/>
                <w:id w:val="305292703"/>
                <w:lock w:val="sdtLocked"/>
              </w:sdtPr>
              <w:sdtEndPr/>
              <w:sdtContent>
                <w:tc>
                  <w:tcPr>
                    <w:tcW w:w="1570" w:type="pct"/>
                    <w:vMerge w:val="restart"/>
                    <w:tcBorders>
                      <w:top w:val="single" w:sz="4" w:space="0" w:color="auto"/>
                      <w:left w:val="single" w:sz="4" w:space="0" w:color="auto"/>
                      <w:right w:val="single" w:sz="4" w:space="0" w:color="auto"/>
                    </w:tcBorders>
                    <w:shd w:val="clear" w:color="auto" w:fill="auto"/>
                    <w:vAlign w:val="center"/>
                  </w:tcPr>
                  <w:p w14:paraId="31AF91B7" w14:textId="77777777" w:rsidR="007E7472" w:rsidRDefault="00EC1269">
                    <w:pPr>
                      <w:jc w:val="center"/>
                    </w:pPr>
                    <w:r>
                      <w:rPr>
                        <w:rFonts w:hint="eastAsia"/>
                      </w:rPr>
                      <w:t>项目</w:t>
                    </w:r>
                  </w:p>
                </w:tc>
              </w:sdtContent>
            </w:sdt>
            <w:sdt>
              <w:sdtPr>
                <w:tag w:val="_PLD_b47efcaea8ca428781485b2625b4c252"/>
                <w:id w:val="-811325354"/>
                <w:lock w:val="sdtLocked"/>
              </w:sdtPr>
              <w:sdtEndPr/>
              <w:sdtContent>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75D5C3" w14:textId="77777777" w:rsidR="007E7472" w:rsidRDefault="00EC1269">
                    <w:pPr>
                      <w:jc w:val="center"/>
                    </w:pPr>
                    <w:r>
                      <w:rPr>
                        <w:rFonts w:hint="eastAsia"/>
                      </w:rPr>
                      <w:t>本期发生额</w:t>
                    </w:r>
                  </w:p>
                </w:tc>
              </w:sdtContent>
            </w:sdt>
            <w:sdt>
              <w:sdtPr>
                <w:tag w:val="_PLD_44320683f4394adcaf1711775bb320ef"/>
                <w:id w:val="-1464188683"/>
                <w:lock w:val="sdtLocked"/>
              </w:sdtPr>
              <w:sdtEndPr/>
              <w:sdtContent>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96657B" w14:textId="77777777" w:rsidR="007E7472" w:rsidRDefault="00EC1269">
                    <w:pPr>
                      <w:jc w:val="center"/>
                    </w:pPr>
                    <w:r>
                      <w:rPr>
                        <w:rFonts w:hint="eastAsia"/>
                      </w:rPr>
                      <w:t>上期发生额</w:t>
                    </w:r>
                  </w:p>
                </w:tc>
              </w:sdtContent>
            </w:sdt>
          </w:tr>
          <w:tr w:rsidR="007E7472" w14:paraId="11557BC1" w14:textId="77777777">
            <w:tc>
              <w:tcPr>
                <w:tcW w:w="1570" w:type="pct"/>
                <w:vMerge/>
                <w:tcBorders>
                  <w:left w:val="single" w:sz="4" w:space="0" w:color="auto"/>
                  <w:bottom w:val="single" w:sz="4" w:space="0" w:color="auto"/>
                  <w:right w:val="single" w:sz="4" w:space="0" w:color="auto"/>
                </w:tcBorders>
                <w:shd w:val="clear" w:color="auto" w:fill="auto"/>
                <w:vAlign w:val="center"/>
              </w:tcPr>
              <w:p w14:paraId="210E0447" w14:textId="77777777" w:rsidR="007E7472" w:rsidRDefault="00C8327E">
                <w:pPr>
                  <w:jc w:val="center"/>
                </w:pPr>
              </w:p>
            </w:tc>
            <w:sdt>
              <w:sdtPr>
                <w:tag w:val="_PLD_efb75dfbe3924c3a9f286eefd26b357f"/>
                <w:id w:val="1083103221"/>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31C6DAA1" w14:textId="77777777" w:rsidR="007E7472" w:rsidRDefault="00EC1269">
                    <w:pPr>
                      <w:jc w:val="center"/>
                    </w:pPr>
                    <w:r>
                      <w:rPr>
                        <w:rFonts w:hint="eastAsia"/>
                      </w:rPr>
                      <w:t>收入</w:t>
                    </w:r>
                  </w:p>
                </w:tc>
              </w:sdtContent>
            </w:sdt>
            <w:sdt>
              <w:sdtPr>
                <w:tag w:val="_PLD_9ecc7b9050c24dcebd801ee01e950a91"/>
                <w:id w:val="1302809096"/>
                <w:lock w:val="sdtLocked"/>
              </w:sdtPr>
              <w:sdtEnd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34BE2D3A" w14:textId="77777777" w:rsidR="007E7472" w:rsidRDefault="00EC1269">
                    <w:pPr>
                      <w:jc w:val="center"/>
                    </w:pPr>
                    <w:r>
                      <w:rPr>
                        <w:rFonts w:hint="eastAsia"/>
                      </w:rPr>
                      <w:t>成本</w:t>
                    </w:r>
                  </w:p>
                </w:tc>
              </w:sdtContent>
            </w:sdt>
            <w:sdt>
              <w:sdtPr>
                <w:tag w:val="_PLD_b2940b2f59f24f969eea718c85f99dda"/>
                <w:id w:val="1705064725"/>
                <w:lock w:val="sdtLocked"/>
              </w:sdtPr>
              <w:sdtEndPr/>
              <w:sdtContent>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7ED9E2A2" w14:textId="77777777" w:rsidR="007E7472" w:rsidRDefault="00EC1269">
                    <w:pPr>
                      <w:jc w:val="center"/>
                    </w:pPr>
                    <w:r>
                      <w:rPr>
                        <w:rFonts w:hint="eastAsia"/>
                      </w:rPr>
                      <w:t>收入</w:t>
                    </w:r>
                  </w:p>
                </w:tc>
              </w:sdtContent>
            </w:sdt>
            <w:sdt>
              <w:sdtPr>
                <w:tag w:val="_PLD_971c170c70c24975ba7524e53623bf00"/>
                <w:id w:val="661043045"/>
                <w:lock w:val="sdtLocked"/>
              </w:sdtPr>
              <w:sdtEndPr/>
              <w:sdtContent>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07D85585" w14:textId="77777777" w:rsidR="007E7472" w:rsidRDefault="00EC1269">
                    <w:pPr>
                      <w:jc w:val="center"/>
                    </w:pPr>
                    <w:r>
                      <w:rPr>
                        <w:rFonts w:hint="eastAsia"/>
                      </w:rPr>
                      <w:t>成本</w:t>
                    </w:r>
                  </w:p>
                </w:tc>
              </w:sdtContent>
            </w:sdt>
          </w:tr>
          <w:tr w:rsidR="007E7472" w14:paraId="5D4A2F8D" w14:textId="77777777">
            <w:tc>
              <w:tcPr>
                <w:tcW w:w="1570" w:type="pct"/>
                <w:tcBorders>
                  <w:top w:val="single" w:sz="4" w:space="0" w:color="auto"/>
                  <w:left w:val="single" w:sz="4" w:space="0" w:color="auto"/>
                  <w:bottom w:val="single" w:sz="4" w:space="0" w:color="auto"/>
                  <w:right w:val="single" w:sz="4" w:space="0" w:color="auto"/>
                </w:tcBorders>
                <w:shd w:val="clear" w:color="auto" w:fill="auto"/>
              </w:tcPr>
              <w:p w14:paraId="17794394" w14:textId="77777777" w:rsidR="007E7472" w:rsidRDefault="00EC1269">
                <w:r>
                  <w:rPr>
                    <w:rFonts w:hint="eastAsia"/>
                  </w:rPr>
                  <w:t>主营业务</w:t>
                </w:r>
              </w:p>
            </w:tc>
            <w:tc>
              <w:tcPr>
                <w:tcW w:w="920" w:type="pct"/>
                <w:tcBorders>
                  <w:top w:val="single" w:sz="4" w:space="0" w:color="auto"/>
                  <w:left w:val="single" w:sz="4" w:space="0" w:color="auto"/>
                  <w:bottom w:val="single" w:sz="4" w:space="0" w:color="auto"/>
                  <w:right w:val="single" w:sz="4" w:space="0" w:color="auto"/>
                </w:tcBorders>
                <w:shd w:val="clear" w:color="auto" w:fill="auto"/>
              </w:tcPr>
              <w:p w14:paraId="22223B8A" w14:textId="77777777" w:rsidR="007E7472" w:rsidRDefault="00EC1269">
                <w:pPr>
                  <w:jc w:val="right"/>
                </w:pPr>
                <w:r>
                  <w:t>12,064,832</w:t>
                </w:r>
              </w:p>
            </w:tc>
            <w:tc>
              <w:tcPr>
                <w:tcW w:w="920" w:type="pct"/>
                <w:tcBorders>
                  <w:top w:val="single" w:sz="4" w:space="0" w:color="auto"/>
                  <w:left w:val="single" w:sz="4" w:space="0" w:color="auto"/>
                  <w:bottom w:val="single" w:sz="4" w:space="0" w:color="auto"/>
                  <w:right w:val="single" w:sz="4" w:space="0" w:color="auto"/>
                </w:tcBorders>
                <w:shd w:val="clear" w:color="auto" w:fill="auto"/>
              </w:tcPr>
              <w:p w14:paraId="1652EE82" w14:textId="77777777" w:rsidR="007E7472" w:rsidRDefault="00EC1269">
                <w:pPr>
                  <w:jc w:val="right"/>
                </w:pPr>
                <w:r>
                  <w:t>4,482,514</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0694AEBF" w14:textId="77777777" w:rsidR="007E7472" w:rsidRDefault="00EC1269">
                <w:pPr>
                  <w:jc w:val="right"/>
                </w:pPr>
                <w:r>
                  <w:t>16,696,811</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11008DBC" w14:textId="77777777" w:rsidR="007E7472" w:rsidRDefault="00EC1269">
                <w:pPr>
                  <w:jc w:val="right"/>
                </w:pPr>
                <w:r>
                  <w:t>5,321,838</w:t>
                </w:r>
              </w:p>
            </w:tc>
          </w:tr>
          <w:tr w:rsidR="007E7472" w14:paraId="0A237EF9" w14:textId="77777777">
            <w:tc>
              <w:tcPr>
                <w:tcW w:w="1570" w:type="pct"/>
                <w:tcBorders>
                  <w:top w:val="single" w:sz="4" w:space="0" w:color="auto"/>
                  <w:left w:val="single" w:sz="4" w:space="0" w:color="auto"/>
                  <w:bottom w:val="single" w:sz="4" w:space="0" w:color="auto"/>
                  <w:right w:val="single" w:sz="4" w:space="0" w:color="auto"/>
                </w:tcBorders>
                <w:shd w:val="clear" w:color="auto" w:fill="auto"/>
              </w:tcPr>
              <w:p w14:paraId="020F0E4A" w14:textId="77777777" w:rsidR="007E7472" w:rsidRDefault="00EC1269">
                <w:r>
                  <w:rPr>
                    <w:rFonts w:hint="eastAsia"/>
                  </w:rPr>
                  <w:t>其他业务</w:t>
                </w:r>
              </w:p>
            </w:tc>
            <w:tc>
              <w:tcPr>
                <w:tcW w:w="920" w:type="pct"/>
                <w:tcBorders>
                  <w:top w:val="single" w:sz="4" w:space="0" w:color="auto"/>
                  <w:left w:val="single" w:sz="4" w:space="0" w:color="auto"/>
                  <w:bottom w:val="single" w:sz="4" w:space="0" w:color="auto"/>
                  <w:right w:val="single" w:sz="4" w:space="0" w:color="auto"/>
                </w:tcBorders>
                <w:shd w:val="clear" w:color="auto" w:fill="auto"/>
              </w:tcPr>
              <w:p w14:paraId="16A3ED19" w14:textId="77777777" w:rsidR="007E7472" w:rsidRDefault="00EC1269">
                <w:pPr>
                  <w:jc w:val="right"/>
                </w:pPr>
                <w:r>
                  <w:t>1,994,166</w:t>
                </w:r>
              </w:p>
            </w:tc>
            <w:tc>
              <w:tcPr>
                <w:tcW w:w="920" w:type="pct"/>
                <w:tcBorders>
                  <w:top w:val="single" w:sz="4" w:space="0" w:color="auto"/>
                  <w:left w:val="single" w:sz="4" w:space="0" w:color="auto"/>
                  <w:bottom w:val="single" w:sz="4" w:space="0" w:color="auto"/>
                  <w:right w:val="single" w:sz="4" w:space="0" w:color="auto"/>
                </w:tcBorders>
                <w:shd w:val="clear" w:color="auto" w:fill="auto"/>
              </w:tcPr>
              <w:p w14:paraId="29CBA51D" w14:textId="77777777" w:rsidR="007E7472" w:rsidRDefault="00EC1269">
                <w:pPr>
                  <w:jc w:val="right"/>
                </w:pPr>
                <w:r>
                  <w:t>2,834,897</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048A0987" w14:textId="77777777" w:rsidR="007E7472" w:rsidRDefault="00EC1269">
                <w:pPr>
                  <w:jc w:val="right"/>
                </w:pPr>
                <w:r>
                  <w:t>1,820,777</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3E9C382A" w14:textId="77777777" w:rsidR="007E7472" w:rsidRDefault="00EC1269">
                <w:pPr>
                  <w:jc w:val="right"/>
                </w:pPr>
                <w:r>
                  <w:t>2,149,597</w:t>
                </w:r>
              </w:p>
            </w:tc>
          </w:tr>
          <w:tr w:rsidR="007E7472" w14:paraId="6DF2538C" w14:textId="77777777">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14:paraId="0ECAD686" w14:textId="77777777" w:rsidR="007E7472" w:rsidRDefault="00EC1269">
                <w:pPr>
                  <w:jc w:val="center"/>
                </w:pPr>
                <w:r>
                  <w:rPr>
                    <w:rFonts w:hint="eastAsia"/>
                  </w:rPr>
                  <w:t>合计</w:t>
                </w:r>
              </w:p>
            </w:tc>
            <w:tc>
              <w:tcPr>
                <w:tcW w:w="920" w:type="pct"/>
                <w:tcBorders>
                  <w:top w:val="single" w:sz="4" w:space="0" w:color="auto"/>
                  <w:left w:val="single" w:sz="4" w:space="0" w:color="auto"/>
                  <w:bottom w:val="single" w:sz="4" w:space="0" w:color="auto"/>
                  <w:right w:val="single" w:sz="4" w:space="0" w:color="auto"/>
                </w:tcBorders>
                <w:shd w:val="clear" w:color="auto" w:fill="auto"/>
              </w:tcPr>
              <w:p w14:paraId="169491C6" w14:textId="77777777" w:rsidR="007E7472" w:rsidRDefault="00EC1269">
                <w:pPr>
                  <w:jc w:val="right"/>
                </w:pPr>
                <w:r>
                  <w:t>14,058,998</w:t>
                </w:r>
              </w:p>
            </w:tc>
            <w:tc>
              <w:tcPr>
                <w:tcW w:w="920" w:type="pct"/>
                <w:tcBorders>
                  <w:top w:val="single" w:sz="4" w:space="0" w:color="auto"/>
                  <w:left w:val="single" w:sz="4" w:space="0" w:color="auto"/>
                  <w:bottom w:val="single" w:sz="4" w:space="0" w:color="auto"/>
                  <w:right w:val="single" w:sz="4" w:space="0" w:color="auto"/>
                </w:tcBorders>
                <w:shd w:val="clear" w:color="auto" w:fill="auto"/>
              </w:tcPr>
              <w:p w14:paraId="5CA90A28" w14:textId="77777777" w:rsidR="007E7472" w:rsidRDefault="00EC1269">
                <w:pPr>
                  <w:jc w:val="right"/>
                </w:pPr>
                <w:r>
                  <w:t>7,317,411</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14:paraId="5BF78755" w14:textId="77777777" w:rsidR="007E7472" w:rsidRDefault="00EC1269">
                <w:pPr>
                  <w:jc w:val="right"/>
                </w:pPr>
                <w:r>
                  <w:t>18,517,588</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14:paraId="420FA9CF" w14:textId="77777777" w:rsidR="007E7472" w:rsidRDefault="00EC1269">
                <w:pPr>
                  <w:jc w:val="right"/>
                </w:pPr>
                <w:r>
                  <w:t>7,471,435</w:t>
                </w:r>
              </w:p>
            </w:tc>
          </w:tr>
        </w:tbl>
        <w:p w14:paraId="047C0A8A" w14:textId="77777777" w:rsidR="007E7472" w:rsidRDefault="00C8327E"/>
      </w:sdtContent>
    </w:sdt>
    <w:bookmarkStart w:id="316" w:name="_Hlk10548607" w:displacedByCustomXml="next"/>
    <w:sdt>
      <w:sdtPr>
        <w:rPr>
          <w:rFonts w:ascii="宋体" w:hAnsi="宋体" w:cs="宋体" w:hint="eastAsia"/>
          <w:b w:val="0"/>
          <w:bCs w:val="0"/>
          <w:kern w:val="0"/>
          <w:szCs w:val="21"/>
        </w:rPr>
        <w:alias w:val="模块:合同产生的收入情况："/>
        <w:tag w:val="_SEC_2713156f501a4b5a86eb4ab43bcaf25e"/>
        <w:id w:val="-598026826"/>
        <w:lock w:val="sdtLocked"/>
        <w:placeholder>
          <w:docPart w:val="GBC22222222222222222222222222222"/>
        </w:placeholder>
      </w:sdtPr>
      <w:sdtEndPr>
        <w:rPr>
          <w:bCs/>
        </w:rPr>
      </w:sdtEndPr>
      <w:sdtContent>
        <w:p w14:paraId="25ACFA2B" w14:textId="77777777" w:rsidR="007E7472" w:rsidRDefault="00EC1269" w:rsidP="00162493">
          <w:pPr>
            <w:pStyle w:val="4"/>
            <w:numPr>
              <w:ilvl w:val="0"/>
              <w:numId w:val="122"/>
            </w:numPr>
          </w:pPr>
          <w:r>
            <w:rPr>
              <w:rFonts w:hint="eastAsia"/>
            </w:rPr>
            <w:t>合同产生的收入情况</w:t>
          </w:r>
        </w:p>
        <w:sdt>
          <w:sdtPr>
            <w:alias w:val="是否适用：母公司合同产生的收入[双击切换]"/>
            <w:tag w:val="_GBC_f4f1c383538f4a76af749e49b3462b68"/>
            <w:id w:val="116417219"/>
            <w:lock w:val="sdtLocked"/>
            <w:placeholder>
              <w:docPart w:val="GBC22222222222222222222222222222"/>
            </w:placeholder>
          </w:sdtPr>
          <w:sdtEndPr/>
          <w:sdtContent>
            <w:p w14:paraId="780619A3"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D127023" w14:textId="1B9B45E0" w:rsidR="007E7472" w:rsidRDefault="00EC1269">
          <w:pPr>
            <w:jc w:val="right"/>
          </w:pPr>
          <w:r>
            <w:rPr>
              <w:rFonts w:hint="eastAsia"/>
            </w:rPr>
            <w:t>单位：</w:t>
          </w:r>
          <w:sdt>
            <w:sdtPr>
              <w:rPr>
                <w:rFonts w:hint="eastAsia"/>
              </w:rPr>
              <w:alias w:val="单位：母公司合同产生的收入"/>
              <w:tag w:val="_GBC_4adc58883ef44e8ebea1762f0434d596"/>
              <w:id w:val="62937172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母公司合同产生的收入"/>
              <w:tag w:val="_GBC_046c678d71314293a7965e974e75c9e4"/>
              <w:id w:val="9500504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4"/>
            <w:gridCol w:w="2647"/>
            <w:gridCol w:w="2372"/>
          </w:tblGrid>
          <w:tr w:rsidR="007E7472" w14:paraId="0BC8DF3A" w14:textId="77777777">
            <w:sdt>
              <w:sdtPr>
                <w:rPr>
                  <w:rFonts w:hint="eastAsia"/>
                </w:rPr>
                <w:tag w:val="_PLD_a5020ef155ec4602ad2241de5811b002"/>
                <w:id w:val="-697319580"/>
                <w:lock w:val="sdtLocked"/>
              </w:sdtPr>
              <w:sdtEndPr/>
              <w:sdtContent>
                <w:tc>
                  <w:tcPr>
                    <w:tcW w:w="2156" w:type="pct"/>
                    <w:tcBorders>
                      <w:top w:val="single" w:sz="4" w:space="0" w:color="auto"/>
                      <w:left w:val="single" w:sz="4" w:space="0" w:color="auto"/>
                      <w:bottom w:val="single" w:sz="4" w:space="0" w:color="auto"/>
                      <w:right w:val="single" w:sz="4" w:space="0" w:color="auto"/>
                    </w:tcBorders>
                    <w:shd w:val="clear" w:color="auto" w:fill="auto"/>
                  </w:tcPr>
                  <w:p w14:paraId="6764B42C" w14:textId="77777777" w:rsidR="007E7472" w:rsidRDefault="00EC1269">
                    <w:pPr>
                      <w:jc w:val="center"/>
                    </w:pPr>
                    <w:r>
                      <w:rPr>
                        <w:rFonts w:hint="eastAsia"/>
                      </w:rPr>
                      <w:t>合同分类</w:t>
                    </w:r>
                  </w:p>
                </w:tc>
              </w:sdtContent>
            </w:sdt>
            <w:sdt>
              <w:sdtPr>
                <w:rPr>
                  <w:rFonts w:hint="eastAsia"/>
                </w:rPr>
                <w:alias w:val="合同产生的收入分部名称"/>
                <w:tag w:val="_GBC_566b9fd630f94068954d989f3f3aa2a1"/>
                <w:id w:val="-762917642"/>
                <w:lock w:val="sdtLocked"/>
              </w:sdtPr>
              <w:sdtEndPr/>
              <w:sdtContent>
                <w:tc>
                  <w:tcPr>
                    <w:tcW w:w="1500" w:type="pct"/>
                    <w:tcBorders>
                      <w:top w:val="single" w:sz="4" w:space="0" w:color="auto"/>
                      <w:left w:val="single" w:sz="4" w:space="0" w:color="auto"/>
                      <w:bottom w:val="single" w:sz="4" w:space="0" w:color="auto"/>
                      <w:right w:val="single" w:sz="4" w:space="0" w:color="auto"/>
                    </w:tcBorders>
                    <w:shd w:val="clear" w:color="auto" w:fill="auto"/>
                    <w:vAlign w:val="center"/>
                  </w:tcPr>
                  <w:p w14:paraId="1D60E470" w14:textId="77777777" w:rsidR="007E7472" w:rsidRDefault="00EC1269">
                    <w:pPr>
                      <w:jc w:val="center"/>
                    </w:pPr>
                    <w:r>
                      <w:rPr>
                        <w:rFonts w:hint="eastAsia"/>
                      </w:rPr>
                      <w:t>本期发生额</w:t>
                    </w:r>
                  </w:p>
                </w:tc>
              </w:sdtContent>
            </w:sdt>
            <w:sdt>
              <w:sdtPr>
                <w:rPr>
                  <w:rFonts w:hint="eastAsia"/>
                </w:rPr>
                <w:alias w:val="合同产生的收入分部名称"/>
                <w:tag w:val="_GBC_566b9fd630f94068954d989f3f3aa2a1"/>
                <w:id w:val="1846277237"/>
                <w:lock w:val="sdtLocked"/>
              </w:sdtPr>
              <w:sdtEndPr/>
              <w:sdtContent>
                <w:tc>
                  <w:tcPr>
                    <w:tcW w:w="1656" w:type="pct"/>
                    <w:tcBorders>
                      <w:top w:val="single" w:sz="4" w:space="0" w:color="auto"/>
                      <w:left w:val="single" w:sz="4" w:space="0" w:color="auto"/>
                      <w:bottom w:val="single" w:sz="4" w:space="0" w:color="auto"/>
                      <w:right w:val="single" w:sz="4" w:space="0" w:color="auto"/>
                    </w:tcBorders>
                    <w:shd w:val="clear" w:color="auto" w:fill="auto"/>
                    <w:vAlign w:val="center"/>
                  </w:tcPr>
                  <w:p w14:paraId="2928581B" w14:textId="77777777" w:rsidR="007E7472" w:rsidRDefault="00EC1269">
                    <w:pPr>
                      <w:jc w:val="center"/>
                    </w:pPr>
                    <w:r>
                      <w:rPr>
                        <w:rFonts w:hint="eastAsia"/>
                      </w:rPr>
                      <w:t>上期发生额</w:t>
                    </w:r>
                  </w:p>
                </w:tc>
              </w:sdtContent>
            </w:sdt>
          </w:tr>
          <w:tr w:rsidR="007E7472" w14:paraId="3370B7F9" w14:textId="77777777">
            <w:tc>
              <w:tcPr>
                <w:tcW w:w="2156"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018eb49e1d474c289ed3e92a54bf05b0"/>
                  <w:id w:val="-2022304538"/>
                  <w:lock w:val="sdtLocked"/>
                </w:sdtPr>
                <w:sdtEndPr/>
                <w:sdtContent>
                  <w:p w14:paraId="34285843" w14:textId="77777777" w:rsidR="007E7472" w:rsidRDefault="00EC1269">
                    <w:r>
                      <w:rPr>
                        <w:rFonts w:hint="eastAsia"/>
                      </w:rPr>
                      <w:t>商品类型</w:t>
                    </w:r>
                  </w:p>
                </w:sdtContent>
              </w:sdt>
            </w:tc>
            <w:sdt>
              <w:sdtPr>
                <w:alias w:val="分部商品类型合同产生的收入"/>
                <w:tag w:val="_GBC_457299f1db664ebaa1f15654a7ad8c45"/>
                <w:id w:val="-48299095"/>
                <w:lock w:val="sdtLocked"/>
                <w:showingPlcHdr/>
              </w:sdtPr>
              <w:sdtEndPr/>
              <w:sdtContent>
                <w:tc>
                  <w:tcPr>
                    <w:tcW w:w="1500" w:type="pct"/>
                    <w:tcBorders>
                      <w:top w:val="single" w:sz="4" w:space="0" w:color="auto"/>
                      <w:left w:val="single" w:sz="4" w:space="0" w:color="auto"/>
                      <w:bottom w:val="single" w:sz="4" w:space="0" w:color="auto"/>
                      <w:right w:val="single" w:sz="4" w:space="0" w:color="auto"/>
                    </w:tcBorders>
                    <w:shd w:val="clear" w:color="auto" w:fill="auto"/>
                  </w:tcPr>
                  <w:p w14:paraId="0ACED1EB" w14:textId="77777777" w:rsidR="007E7472" w:rsidRDefault="00EC1269">
                    <w:pPr>
                      <w:jc w:val="right"/>
                    </w:pPr>
                    <w:r>
                      <w:rPr>
                        <w:rFonts w:hint="eastAsia"/>
                      </w:rPr>
                      <w:t xml:space="preserve">　</w:t>
                    </w:r>
                  </w:p>
                </w:tc>
              </w:sdtContent>
            </w:sdt>
            <w:sdt>
              <w:sdtPr>
                <w:alias w:val="分部商品类型合同产生的收入"/>
                <w:tag w:val="_GBC_457299f1db664ebaa1f15654a7ad8c45"/>
                <w:id w:val="-1388868749"/>
                <w:lock w:val="sdtLocked"/>
                <w:showingPlcHdr/>
              </w:sdtPr>
              <w:sdtEndPr/>
              <w:sdtContent>
                <w:tc>
                  <w:tcPr>
                    <w:tcW w:w="1656" w:type="pct"/>
                    <w:tcBorders>
                      <w:top w:val="single" w:sz="4" w:space="0" w:color="auto"/>
                      <w:left w:val="single" w:sz="4" w:space="0" w:color="auto"/>
                      <w:bottom w:val="single" w:sz="4" w:space="0" w:color="auto"/>
                      <w:right w:val="single" w:sz="4" w:space="0" w:color="auto"/>
                    </w:tcBorders>
                    <w:shd w:val="clear" w:color="auto" w:fill="auto"/>
                  </w:tcPr>
                  <w:p w14:paraId="3B57D41A" w14:textId="77777777" w:rsidR="007E7472" w:rsidRDefault="00C8327E">
                    <w:pPr>
                      <w:jc w:val="right"/>
                    </w:pPr>
                  </w:p>
                </w:tc>
              </w:sdtContent>
            </w:sdt>
          </w:tr>
          <w:tr w:rsidR="007E7472" w14:paraId="7AB71393" w14:textId="77777777">
            <w:sdt>
              <w:sdtPr>
                <w:rPr>
                  <w:rFonts w:hint="eastAsia"/>
                </w:rPr>
                <w:alias w:val="分部商品类型明细名称"/>
                <w:tag w:val="_GBC_7d77a723cfc44d24984418966764a288"/>
                <w:id w:val="118965087"/>
                <w:lock w:val="sdtLocked"/>
              </w:sdtPr>
              <w:sdtEndPr/>
              <w:sdtContent>
                <w:tc>
                  <w:tcPr>
                    <w:tcW w:w="2156" w:type="pct"/>
                    <w:tcBorders>
                      <w:top w:val="single" w:sz="4" w:space="0" w:color="auto"/>
                      <w:left w:val="single" w:sz="4" w:space="0" w:color="auto"/>
                      <w:bottom w:val="single" w:sz="4" w:space="0" w:color="auto"/>
                      <w:right w:val="single" w:sz="4" w:space="0" w:color="auto"/>
                    </w:tcBorders>
                    <w:shd w:val="clear" w:color="auto" w:fill="auto"/>
                  </w:tcPr>
                  <w:p w14:paraId="064E8CB9" w14:textId="77777777" w:rsidR="007E7472" w:rsidRDefault="00EC1269">
                    <w:pPr>
                      <w:ind w:firstLineChars="200" w:firstLine="420"/>
                    </w:pPr>
                    <w:r>
                      <w:rPr>
                        <w:rFonts w:hint="eastAsia"/>
                      </w:rPr>
                      <w:t>其中：非煤炭贸易</w:t>
                    </w:r>
                  </w:p>
                </w:tc>
              </w:sdtContent>
            </w:sdt>
            <w:sdt>
              <w:sdtPr>
                <w:alias w:val="分部商品类型明细合同产生的收入"/>
                <w:tag w:val="_GBC_77dcdfb6aac7469a84674b6b2d7ed31a"/>
                <w:id w:val="-107822995"/>
                <w:lock w:val="sdtLocked"/>
                <w:showingPlcHdr/>
              </w:sdtPr>
              <w:sdtEndPr/>
              <w:sdtContent>
                <w:tc>
                  <w:tcPr>
                    <w:tcW w:w="1500" w:type="pct"/>
                    <w:tcBorders>
                      <w:top w:val="single" w:sz="4" w:space="0" w:color="auto"/>
                      <w:left w:val="single" w:sz="4" w:space="0" w:color="auto"/>
                      <w:bottom w:val="single" w:sz="4" w:space="0" w:color="auto"/>
                      <w:right w:val="single" w:sz="4" w:space="0" w:color="auto"/>
                    </w:tcBorders>
                    <w:shd w:val="clear" w:color="auto" w:fill="auto"/>
                  </w:tcPr>
                  <w:p w14:paraId="0E7950B4" w14:textId="77777777" w:rsidR="007E7472" w:rsidRDefault="00EC1269">
                    <w:pPr>
                      <w:jc w:val="right"/>
                    </w:pPr>
                    <w:r>
                      <w:rPr>
                        <w:rFonts w:hint="eastAsia"/>
                      </w:rPr>
                      <w:t xml:space="preserve">　</w:t>
                    </w:r>
                  </w:p>
                </w:tc>
              </w:sdtContent>
            </w:sdt>
            <w:sdt>
              <w:sdtPr>
                <w:alias w:val="分部商品类型明细合同产生的收入"/>
                <w:tag w:val="_GBC_77dcdfb6aac7469a84674b6b2d7ed31a"/>
                <w:id w:val="-1501966767"/>
                <w:lock w:val="sdtLocked"/>
                <w:showingPlcHdr/>
              </w:sdtPr>
              <w:sdtEndPr/>
              <w:sdtContent>
                <w:tc>
                  <w:tcPr>
                    <w:tcW w:w="1656" w:type="pct"/>
                    <w:tcBorders>
                      <w:top w:val="single" w:sz="4" w:space="0" w:color="auto"/>
                      <w:left w:val="single" w:sz="4" w:space="0" w:color="auto"/>
                      <w:bottom w:val="single" w:sz="4" w:space="0" w:color="auto"/>
                      <w:right w:val="single" w:sz="4" w:space="0" w:color="auto"/>
                    </w:tcBorders>
                    <w:shd w:val="clear" w:color="auto" w:fill="auto"/>
                  </w:tcPr>
                  <w:p w14:paraId="5F19C568" w14:textId="77777777" w:rsidR="007E7472" w:rsidRDefault="00C8327E">
                    <w:pPr>
                      <w:jc w:val="right"/>
                    </w:pPr>
                  </w:p>
                </w:tc>
              </w:sdtContent>
            </w:sdt>
          </w:tr>
          <w:tr w:rsidR="007E7472" w14:paraId="37970BC1" w14:textId="77777777">
            <w:sdt>
              <w:sdtPr>
                <w:rPr>
                  <w:rFonts w:hint="eastAsia"/>
                </w:rPr>
                <w:alias w:val="分部商品类型明细名称"/>
                <w:tag w:val="_GBC_7d77a723cfc44d24984418966764a288"/>
                <w:id w:val="1874954128"/>
                <w:lock w:val="sdtLocked"/>
              </w:sdtPr>
              <w:sdtEndPr/>
              <w:sdtContent>
                <w:tc>
                  <w:tcPr>
                    <w:tcW w:w="2156" w:type="pct"/>
                    <w:tcBorders>
                      <w:top w:val="single" w:sz="4" w:space="0" w:color="auto"/>
                      <w:left w:val="single" w:sz="4" w:space="0" w:color="auto"/>
                      <w:bottom w:val="single" w:sz="4" w:space="0" w:color="auto"/>
                      <w:right w:val="single" w:sz="4" w:space="0" w:color="auto"/>
                    </w:tcBorders>
                    <w:shd w:val="clear" w:color="auto" w:fill="auto"/>
                  </w:tcPr>
                  <w:p w14:paraId="5C76E4B6" w14:textId="77777777" w:rsidR="007E7472" w:rsidRDefault="00EC1269">
                    <w:pPr>
                      <w:ind w:firstLineChars="500" w:firstLine="1050"/>
                    </w:pPr>
                    <w:r>
                      <w:rPr>
                        <w:rFonts w:hint="eastAsia"/>
                      </w:rPr>
                      <w:t>煤炭业务</w:t>
                    </w:r>
                  </w:p>
                </w:tc>
              </w:sdtContent>
            </w:sdt>
            <w:sdt>
              <w:sdtPr>
                <w:alias w:val="分部商品类型明细合同产生的收入"/>
                <w:tag w:val="_GBC_77dcdfb6aac7469a84674b6b2d7ed31a"/>
                <w:id w:val="-16088310"/>
                <w:lock w:val="sdtLocked"/>
              </w:sdtPr>
              <w:sdtEndPr/>
              <w:sdtContent>
                <w:tc>
                  <w:tcPr>
                    <w:tcW w:w="1500" w:type="pct"/>
                    <w:tcBorders>
                      <w:top w:val="single" w:sz="4" w:space="0" w:color="auto"/>
                      <w:left w:val="single" w:sz="4" w:space="0" w:color="auto"/>
                      <w:bottom w:val="single" w:sz="4" w:space="0" w:color="auto"/>
                      <w:right w:val="single" w:sz="4" w:space="0" w:color="auto"/>
                    </w:tcBorders>
                    <w:shd w:val="clear" w:color="auto" w:fill="auto"/>
                  </w:tcPr>
                  <w:p w14:paraId="58311320" w14:textId="77777777" w:rsidR="007E7472" w:rsidRDefault="00EC1269">
                    <w:pPr>
                      <w:jc w:val="right"/>
                    </w:pPr>
                    <w:r>
                      <w:t>12,064,832</w:t>
                    </w:r>
                  </w:p>
                </w:tc>
              </w:sdtContent>
            </w:sdt>
            <w:sdt>
              <w:sdtPr>
                <w:alias w:val="分部商品类型明细合同产生的收入"/>
                <w:tag w:val="_GBC_77dcdfb6aac7469a84674b6b2d7ed31a"/>
                <w:id w:val="2005776767"/>
                <w:lock w:val="sdtLocked"/>
              </w:sdtPr>
              <w:sdtEndPr/>
              <w:sdtContent>
                <w:tc>
                  <w:tcPr>
                    <w:tcW w:w="1656" w:type="pct"/>
                    <w:tcBorders>
                      <w:top w:val="single" w:sz="4" w:space="0" w:color="auto"/>
                      <w:left w:val="single" w:sz="4" w:space="0" w:color="auto"/>
                      <w:bottom w:val="single" w:sz="4" w:space="0" w:color="auto"/>
                      <w:right w:val="single" w:sz="4" w:space="0" w:color="auto"/>
                    </w:tcBorders>
                    <w:shd w:val="clear" w:color="auto" w:fill="auto"/>
                  </w:tcPr>
                  <w:p w14:paraId="6DB799E0" w14:textId="77777777" w:rsidR="007E7472" w:rsidRDefault="00EC1269">
                    <w:pPr>
                      <w:jc w:val="right"/>
                    </w:pPr>
                    <w:r>
                      <w:t>16,543,014</w:t>
                    </w:r>
                  </w:p>
                </w:tc>
              </w:sdtContent>
            </w:sdt>
          </w:tr>
          <w:tr w:rsidR="007E7472" w14:paraId="0E1F7BA2" w14:textId="77777777">
            <w:sdt>
              <w:sdtPr>
                <w:rPr>
                  <w:rFonts w:hint="eastAsia"/>
                </w:rPr>
                <w:alias w:val="分部商品类型明细名称"/>
                <w:tag w:val="_GBC_7d77a723cfc44d24984418966764a288"/>
                <w:id w:val="-1828282212"/>
                <w:lock w:val="sdtLocked"/>
              </w:sdtPr>
              <w:sdtEndPr/>
              <w:sdtContent>
                <w:tc>
                  <w:tcPr>
                    <w:tcW w:w="2156" w:type="pct"/>
                    <w:tcBorders>
                      <w:top w:val="single" w:sz="4" w:space="0" w:color="auto"/>
                      <w:left w:val="single" w:sz="4" w:space="0" w:color="auto"/>
                      <w:bottom w:val="single" w:sz="4" w:space="0" w:color="auto"/>
                      <w:right w:val="single" w:sz="4" w:space="0" w:color="auto"/>
                    </w:tcBorders>
                    <w:shd w:val="clear" w:color="auto" w:fill="auto"/>
                  </w:tcPr>
                  <w:p w14:paraId="38AABBD0" w14:textId="77777777" w:rsidR="007E7472" w:rsidRDefault="00EC1269">
                    <w:pPr>
                      <w:ind w:firstLineChars="500" w:firstLine="1050"/>
                    </w:pPr>
                    <w:r>
                      <w:rPr>
                        <w:rFonts w:hint="eastAsia"/>
                      </w:rPr>
                      <w:t>贷款和融资租赁</w:t>
                    </w:r>
                  </w:p>
                </w:tc>
              </w:sdtContent>
            </w:sdt>
            <w:sdt>
              <w:sdtPr>
                <w:alias w:val="分部商品类型明细合同产生的收入"/>
                <w:tag w:val="_GBC_77dcdfb6aac7469a84674b6b2d7ed31a"/>
                <w:id w:val="-596404298"/>
                <w:lock w:val="sdtLocked"/>
                <w:showingPlcHdr/>
              </w:sdtPr>
              <w:sdtEndPr/>
              <w:sdtContent>
                <w:tc>
                  <w:tcPr>
                    <w:tcW w:w="1500" w:type="pct"/>
                    <w:tcBorders>
                      <w:top w:val="single" w:sz="4" w:space="0" w:color="auto"/>
                      <w:left w:val="single" w:sz="4" w:space="0" w:color="auto"/>
                      <w:bottom w:val="single" w:sz="4" w:space="0" w:color="auto"/>
                      <w:right w:val="single" w:sz="4" w:space="0" w:color="auto"/>
                    </w:tcBorders>
                    <w:shd w:val="clear" w:color="auto" w:fill="auto"/>
                  </w:tcPr>
                  <w:p w14:paraId="08F3E618" w14:textId="77777777" w:rsidR="007E7472" w:rsidRDefault="00EC1269">
                    <w:pPr>
                      <w:jc w:val="right"/>
                    </w:pPr>
                    <w:r>
                      <w:rPr>
                        <w:rFonts w:hint="eastAsia"/>
                      </w:rPr>
                      <w:t xml:space="preserve">　</w:t>
                    </w:r>
                  </w:p>
                </w:tc>
              </w:sdtContent>
            </w:sdt>
            <w:sdt>
              <w:sdtPr>
                <w:alias w:val="分部商品类型明细合同产生的收入"/>
                <w:tag w:val="_GBC_77dcdfb6aac7469a84674b6b2d7ed31a"/>
                <w:id w:val="-1931352892"/>
                <w:lock w:val="sdtLocked"/>
                <w:showingPlcHdr/>
              </w:sdtPr>
              <w:sdtEndPr/>
              <w:sdtContent>
                <w:tc>
                  <w:tcPr>
                    <w:tcW w:w="1656" w:type="pct"/>
                    <w:tcBorders>
                      <w:top w:val="single" w:sz="4" w:space="0" w:color="auto"/>
                      <w:left w:val="single" w:sz="4" w:space="0" w:color="auto"/>
                      <w:bottom w:val="single" w:sz="4" w:space="0" w:color="auto"/>
                      <w:right w:val="single" w:sz="4" w:space="0" w:color="auto"/>
                    </w:tcBorders>
                    <w:shd w:val="clear" w:color="auto" w:fill="auto"/>
                  </w:tcPr>
                  <w:p w14:paraId="0FCEDDCB" w14:textId="77777777" w:rsidR="007E7472" w:rsidRDefault="00C8327E">
                    <w:pPr>
                      <w:jc w:val="right"/>
                    </w:pPr>
                  </w:p>
                </w:tc>
              </w:sdtContent>
            </w:sdt>
          </w:tr>
          <w:tr w:rsidR="007E7472" w14:paraId="7B4138CD" w14:textId="77777777">
            <w:sdt>
              <w:sdtPr>
                <w:rPr>
                  <w:rFonts w:hint="eastAsia"/>
                </w:rPr>
                <w:alias w:val="分部商品类型明细名称"/>
                <w:tag w:val="_GBC_7d77a723cfc44d24984418966764a288"/>
                <w:id w:val="-1874059064"/>
                <w:lock w:val="sdtLocked"/>
              </w:sdtPr>
              <w:sdtEndPr/>
              <w:sdtContent>
                <w:tc>
                  <w:tcPr>
                    <w:tcW w:w="2156" w:type="pct"/>
                    <w:tcBorders>
                      <w:top w:val="single" w:sz="4" w:space="0" w:color="auto"/>
                      <w:left w:val="single" w:sz="4" w:space="0" w:color="auto"/>
                      <w:bottom w:val="single" w:sz="4" w:space="0" w:color="auto"/>
                      <w:right w:val="single" w:sz="4" w:space="0" w:color="auto"/>
                    </w:tcBorders>
                    <w:shd w:val="clear" w:color="auto" w:fill="auto"/>
                  </w:tcPr>
                  <w:p w14:paraId="68D6A2E2" w14:textId="77777777" w:rsidR="007E7472" w:rsidRDefault="00EC1269">
                    <w:pPr>
                      <w:ind w:firstLineChars="500" w:firstLine="1050"/>
                    </w:pPr>
                    <w:r>
                      <w:rPr>
                        <w:rFonts w:hint="eastAsia"/>
                      </w:rPr>
                      <w:t>矿用设备制造</w:t>
                    </w:r>
                  </w:p>
                </w:tc>
              </w:sdtContent>
            </w:sdt>
            <w:sdt>
              <w:sdtPr>
                <w:alias w:val="分部商品类型明细合同产生的收入"/>
                <w:tag w:val="_GBC_77dcdfb6aac7469a84674b6b2d7ed31a"/>
                <w:id w:val="-592251454"/>
                <w:lock w:val="sdtLocked"/>
                <w:showingPlcHdr/>
              </w:sdtPr>
              <w:sdtEndPr/>
              <w:sdtContent>
                <w:tc>
                  <w:tcPr>
                    <w:tcW w:w="1500" w:type="pct"/>
                    <w:tcBorders>
                      <w:top w:val="single" w:sz="4" w:space="0" w:color="auto"/>
                      <w:left w:val="single" w:sz="4" w:space="0" w:color="auto"/>
                      <w:bottom w:val="single" w:sz="4" w:space="0" w:color="auto"/>
                      <w:right w:val="single" w:sz="4" w:space="0" w:color="auto"/>
                    </w:tcBorders>
                    <w:shd w:val="clear" w:color="auto" w:fill="auto"/>
                  </w:tcPr>
                  <w:p w14:paraId="0D339850" w14:textId="77777777" w:rsidR="007E7472" w:rsidRDefault="00EC1269">
                    <w:pPr>
                      <w:jc w:val="right"/>
                    </w:pPr>
                    <w:r>
                      <w:rPr>
                        <w:rFonts w:hint="eastAsia"/>
                      </w:rPr>
                      <w:t xml:space="preserve">　</w:t>
                    </w:r>
                  </w:p>
                </w:tc>
              </w:sdtContent>
            </w:sdt>
            <w:sdt>
              <w:sdtPr>
                <w:alias w:val="分部商品类型明细合同产生的收入"/>
                <w:tag w:val="_GBC_77dcdfb6aac7469a84674b6b2d7ed31a"/>
                <w:id w:val="-1857035131"/>
                <w:lock w:val="sdtLocked"/>
                <w:showingPlcHdr/>
              </w:sdtPr>
              <w:sdtEndPr/>
              <w:sdtContent>
                <w:tc>
                  <w:tcPr>
                    <w:tcW w:w="1656" w:type="pct"/>
                    <w:tcBorders>
                      <w:top w:val="single" w:sz="4" w:space="0" w:color="auto"/>
                      <w:left w:val="single" w:sz="4" w:space="0" w:color="auto"/>
                      <w:bottom w:val="single" w:sz="4" w:space="0" w:color="auto"/>
                      <w:right w:val="single" w:sz="4" w:space="0" w:color="auto"/>
                    </w:tcBorders>
                    <w:shd w:val="clear" w:color="auto" w:fill="auto"/>
                  </w:tcPr>
                  <w:p w14:paraId="0F66F13C" w14:textId="77777777" w:rsidR="007E7472" w:rsidRDefault="00C8327E">
                    <w:pPr>
                      <w:jc w:val="right"/>
                    </w:pPr>
                  </w:p>
                </w:tc>
              </w:sdtContent>
            </w:sdt>
          </w:tr>
          <w:tr w:rsidR="007E7472" w14:paraId="06CF4FCE" w14:textId="77777777">
            <w:sdt>
              <w:sdtPr>
                <w:rPr>
                  <w:rFonts w:hint="eastAsia"/>
                </w:rPr>
                <w:alias w:val="分部商品类型明细名称"/>
                <w:tag w:val="_GBC_7d77a723cfc44d24984418966764a288"/>
                <w:id w:val="1064839571"/>
                <w:lock w:val="sdtLocked"/>
              </w:sdtPr>
              <w:sdtEndPr/>
              <w:sdtContent>
                <w:tc>
                  <w:tcPr>
                    <w:tcW w:w="2156" w:type="pct"/>
                    <w:tcBorders>
                      <w:top w:val="single" w:sz="4" w:space="0" w:color="auto"/>
                      <w:left w:val="single" w:sz="4" w:space="0" w:color="auto"/>
                      <w:bottom w:val="single" w:sz="4" w:space="0" w:color="auto"/>
                      <w:right w:val="single" w:sz="4" w:space="0" w:color="auto"/>
                    </w:tcBorders>
                    <w:shd w:val="clear" w:color="auto" w:fill="auto"/>
                  </w:tcPr>
                  <w:p w14:paraId="102CFE8C" w14:textId="77777777" w:rsidR="007E7472" w:rsidRDefault="00EC1269">
                    <w:pPr>
                      <w:ind w:firstLineChars="500" w:firstLine="1050"/>
                    </w:pPr>
                    <w:r>
                      <w:rPr>
                        <w:rFonts w:hint="eastAsia"/>
                      </w:rPr>
                      <w:t>铁运业务</w:t>
                    </w:r>
                  </w:p>
                </w:tc>
              </w:sdtContent>
            </w:sdt>
            <w:sdt>
              <w:sdtPr>
                <w:alias w:val="分部商品类型明细合同产生的收入"/>
                <w:tag w:val="_GBC_77dcdfb6aac7469a84674b6b2d7ed31a"/>
                <w:id w:val="841903632"/>
                <w:lock w:val="sdtLocked"/>
                <w:showingPlcHdr/>
              </w:sdtPr>
              <w:sdtEndPr/>
              <w:sdtContent>
                <w:tc>
                  <w:tcPr>
                    <w:tcW w:w="1500" w:type="pct"/>
                    <w:tcBorders>
                      <w:top w:val="single" w:sz="4" w:space="0" w:color="auto"/>
                      <w:left w:val="single" w:sz="4" w:space="0" w:color="auto"/>
                      <w:bottom w:val="single" w:sz="4" w:space="0" w:color="auto"/>
                      <w:right w:val="single" w:sz="4" w:space="0" w:color="auto"/>
                    </w:tcBorders>
                    <w:shd w:val="clear" w:color="auto" w:fill="auto"/>
                  </w:tcPr>
                  <w:p w14:paraId="292DEDE5" w14:textId="77777777" w:rsidR="007E7472" w:rsidRDefault="00EC1269">
                    <w:pPr>
                      <w:jc w:val="right"/>
                    </w:pPr>
                    <w:r>
                      <w:rPr>
                        <w:rFonts w:hint="eastAsia"/>
                      </w:rPr>
                      <w:t xml:space="preserve">　</w:t>
                    </w:r>
                  </w:p>
                </w:tc>
              </w:sdtContent>
            </w:sdt>
            <w:sdt>
              <w:sdtPr>
                <w:alias w:val="分部商品类型明细合同产生的收入"/>
                <w:tag w:val="_GBC_77dcdfb6aac7469a84674b6b2d7ed31a"/>
                <w:id w:val="-1074280273"/>
                <w:lock w:val="sdtLocked"/>
              </w:sdtPr>
              <w:sdtEndPr/>
              <w:sdtContent>
                <w:tc>
                  <w:tcPr>
                    <w:tcW w:w="1656" w:type="pct"/>
                    <w:tcBorders>
                      <w:top w:val="single" w:sz="4" w:space="0" w:color="auto"/>
                      <w:left w:val="single" w:sz="4" w:space="0" w:color="auto"/>
                      <w:bottom w:val="single" w:sz="4" w:space="0" w:color="auto"/>
                      <w:right w:val="single" w:sz="4" w:space="0" w:color="auto"/>
                    </w:tcBorders>
                    <w:shd w:val="clear" w:color="auto" w:fill="auto"/>
                  </w:tcPr>
                  <w:p w14:paraId="620C2409" w14:textId="77777777" w:rsidR="007E7472" w:rsidRDefault="00EC1269">
                    <w:pPr>
                      <w:jc w:val="right"/>
                    </w:pPr>
                    <w:r>
                      <w:t>153,797</w:t>
                    </w:r>
                  </w:p>
                </w:tc>
              </w:sdtContent>
            </w:sdt>
          </w:tr>
          <w:tr w:rsidR="007E7472" w14:paraId="278B375D" w14:textId="77777777">
            <w:sdt>
              <w:sdtPr>
                <w:rPr>
                  <w:rFonts w:hint="eastAsia"/>
                </w:rPr>
                <w:alias w:val="分部商品类型明细名称"/>
                <w:tag w:val="_GBC_7d77a723cfc44d24984418966764a288"/>
                <w:id w:val="1197745643"/>
                <w:lock w:val="sdtLocked"/>
              </w:sdtPr>
              <w:sdtEndPr/>
              <w:sdtContent>
                <w:tc>
                  <w:tcPr>
                    <w:tcW w:w="2156" w:type="pct"/>
                    <w:tcBorders>
                      <w:top w:val="single" w:sz="4" w:space="0" w:color="auto"/>
                      <w:left w:val="single" w:sz="4" w:space="0" w:color="auto"/>
                      <w:bottom w:val="single" w:sz="4" w:space="0" w:color="auto"/>
                      <w:right w:val="single" w:sz="4" w:space="0" w:color="auto"/>
                    </w:tcBorders>
                    <w:shd w:val="clear" w:color="auto" w:fill="auto"/>
                  </w:tcPr>
                  <w:p w14:paraId="5A353FD7" w14:textId="77777777" w:rsidR="007E7472" w:rsidRDefault="00EC1269">
                    <w:pPr>
                      <w:ind w:firstLineChars="500" w:firstLine="1050"/>
                    </w:pPr>
                    <w:r>
                      <w:rPr>
                        <w:rFonts w:hint="eastAsia"/>
                      </w:rPr>
                      <w:t>未分配项目</w:t>
                    </w:r>
                  </w:p>
                </w:tc>
              </w:sdtContent>
            </w:sdt>
            <w:sdt>
              <w:sdtPr>
                <w:alias w:val="分部商品类型明细合同产生的收入"/>
                <w:tag w:val="_GBC_77dcdfb6aac7469a84674b6b2d7ed31a"/>
                <w:id w:val="-162701376"/>
                <w:lock w:val="sdtLocked"/>
              </w:sdtPr>
              <w:sdtEndPr/>
              <w:sdtContent>
                <w:tc>
                  <w:tcPr>
                    <w:tcW w:w="1500" w:type="pct"/>
                    <w:tcBorders>
                      <w:top w:val="single" w:sz="4" w:space="0" w:color="auto"/>
                      <w:left w:val="single" w:sz="4" w:space="0" w:color="auto"/>
                      <w:bottom w:val="single" w:sz="4" w:space="0" w:color="auto"/>
                      <w:right w:val="single" w:sz="4" w:space="0" w:color="auto"/>
                    </w:tcBorders>
                    <w:shd w:val="clear" w:color="auto" w:fill="auto"/>
                  </w:tcPr>
                  <w:p w14:paraId="47DF092D" w14:textId="77777777" w:rsidR="007E7472" w:rsidRDefault="00EC1269">
                    <w:pPr>
                      <w:jc w:val="right"/>
                    </w:pPr>
                    <w:r>
                      <w:t>1,994,166</w:t>
                    </w:r>
                  </w:p>
                </w:tc>
              </w:sdtContent>
            </w:sdt>
            <w:sdt>
              <w:sdtPr>
                <w:alias w:val="分部商品类型明细合同产生的收入"/>
                <w:tag w:val="_GBC_77dcdfb6aac7469a84674b6b2d7ed31a"/>
                <w:id w:val="-1877530113"/>
                <w:lock w:val="sdtLocked"/>
              </w:sdtPr>
              <w:sdtEndPr/>
              <w:sdtContent>
                <w:tc>
                  <w:tcPr>
                    <w:tcW w:w="1656" w:type="pct"/>
                    <w:tcBorders>
                      <w:top w:val="single" w:sz="4" w:space="0" w:color="auto"/>
                      <w:left w:val="single" w:sz="4" w:space="0" w:color="auto"/>
                      <w:bottom w:val="single" w:sz="4" w:space="0" w:color="auto"/>
                      <w:right w:val="single" w:sz="4" w:space="0" w:color="auto"/>
                    </w:tcBorders>
                    <w:shd w:val="clear" w:color="auto" w:fill="auto"/>
                  </w:tcPr>
                  <w:p w14:paraId="526FD6AB" w14:textId="77777777" w:rsidR="007E7472" w:rsidRDefault="00EC1269">
                    <w:pPr>
                      <w:jc w:val="right"/>
                    </w:pPr>
                    <w:r>
                      <w:t>1,820,777</w:t>
                    </w:r>
                  </w:p>
                </w:tc>
              </w:sdtContent>
            </w:sdt>
          </w:tr>
          <w:tr w:rsidR="007E7472" w14:paraId="413A3D95" w14:textId="77777777">
            <w:tc>
              <w:tcPr>
                <w:tcW w:w="2156"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a32d1f02723e42859b87a947df092350"/>
                  <w:id w:val="1486901801"/>
                  <w:lock w:val="sdtLocked"/>
                </w:sdtPr>
                <w:sdtEndPr/>
                <w:sdtContent>
                  <w:p w14:paraId="22D7AB13" w14:textId="77777777" w:rsidR="007E7472" w:rsidRDefault="00EC1269">
                    <w:r>
                      <w:rPr>
                        <w:rFonts w:hint="eastAsia"/>
                      </w:rPr>
                      <w:t>按经营地区分类</w:t>
                    </w:r>
                  </w:p>
                </w:sdtContent>
              </w:sdt>
            </w:tc>
            <w:sdt>
              <w:sdtPr>
                <w:alias w:val="分部按经营地区分类合同产生的收入"/>
                <w:tag w:val="_GBC_fec4b744ccb54cc1b960f7eb26a5533c"/>
                <w:id w:val="1205908212"/>
                <w:lock w:val="sdtLocked"/>
                <w:showingPlcHdr/>
              </w:sdtPr>
              <w:sdtEndPr/>
              <w:sdtContent>
                <w:tc>
                  <w:tcPr>
                    <w:tcW w:w="1500" w:type="pct"/>
                    <w:tcBorders>
                      <w:top w:val="single" w:sz="4" w:space="0" w:color="auto"/>
                      <w:left w:val="single" w:sz="4" w:space="0" w:color="auto"/>
                      <w:bottom w:val="single" w:sz="4" w:space="0" w:color="auto"/>
                      <w:right w:val="single" w:sz="4" w:space="0" w:color="auto"/>
                    </w:tcBorders>
                    <w:shd w:val="clear" w:color="auto" w:fill="auto"/>
                  </w:tcPr>
                  <w:p w14:paraId="46CACBE6" w14:textId="77777777" w:rsidR="007E7472" w:rsidRDefault="00EC1269">
                    <w:pPr>
                      <w:jc w:val="right"/>
                    </w:pPr>
                    <w:r>
                      <w:rPr>
                        <w:rFonts w:hint="eastAsia"/>
                      </w:rPr>
                      <w:t xml:space="preserve">　</w:t>
                    </w:r>
                  </w:p>
                </w:tc>
              </w:sdtContent>
            </w:sdt>
            <w:sdt>
              <w:sdtPr>
                <w:alias w:val="分部按经营地区分类合同产生的收入"/>
                <w:tag w:val="_GBC_fec4b744ccb54cc1b960f7eb26a5533c"/>
                <w:id w:val="-1533182000"/>
                <w:lock w:val="sdtLocked"/>
                <w:showingPlcHdr/>
              </w:sdtPr>
              <w:sdtEndPr/>
              <w:sdtContent>
                <w:tc>
                  <w:tcPr>
                    <w:tcW w:w="1656" w:type="pct"/>
                    <w:tcBorders>
                      <w:top w:val="single" w:sz="4" w:space="0" w:color="auto"/>
                      <w:left w:val="single" w:sz="4" w:space="0" w:color="auto"/>
                      <w:bottom w:val="single" w:sz="4" w:space="0" w:color="auto"/>
                      <w:right w:val="single" w:sz="4" w:space="0" w:color="auto"/>
                    </w:tcBorders>
                    <w:shd w:val="clear" w:color="auto" w:fill="auto"/>
                  </w:tcPr>
                  <w:p w14:paraId="6CFD01C8" w14:textId="77777777" w:rsidR="007E7472" w:rsidRDefault="00C8327E">
                    <w:pPr>
                      <w:jc w:val="right"/>
                    </w:pPr>
                  </w:p>
                </w:tc>
              </w:sdtContent>
            </w:sdt>
          </w:tr>
          <w:tr w:rsidR="007E7472" w14:paraId="42C167B2" w14:textId="77777777">
            <w:sdt>
              <w:sdtPr>
                <w:rPr>
                  <w:rFonts w:hint="eastAsia"/>
                </w:rPr>
                <w:alias w:val="分部按经营地区分类明细名称"/>
                <w:tag w:val="_GBC_4f36206bab1c46aeb874e45c11f31378"/>
                <w:id w:val="-1339535652"/>
                <w:lock w:val="sdtLocked"/>
              </w:sdtPr>
              <w:sdtEndPr/>
              <w:sdtContent>
                <w:tc>
                  <w:tcPr>
                    <w:tcW w:w="2156" w:type="pct"/>
                    <w:tcBorders>
                      <w:top w:val="single" w:sz="4" w:space="0" w:color="auto"/>
                      <w:left w:val="single" w:sz="4" w:space="0" w:color="auto"/>
                      <w:bottom w:val="single" w:sz="4" w:space="0" w:color="auto"/>
                      <w:right w:val="single" w:sz="4" w:space="0" w:color="auto"/>
                    </w:tcBorders>
                    <w:shd w:val="clear" w:color="auto" w:fill="auto"/>
                  </w:tcPr>
                  <w:p w14:paraId="72595491" w14:textId="77777777" w:rsidR="007E7472" w:rsidRDefault="00EC1269">
                    <w:pPr>
                      <w:ind w:firstLineChars="200" w:firstLine="420"/>
                    </w:pPr>
                    <w:r>
                      <w:rPr>
                        <w:rFonts w:hint="eastAsia"/>
                      </w:rPr>
                      <w:t>其中：中国</w:t>
                    </w:r>
                  </w:p>
                </w:tc>
              </w:sdtContent>
            </w:sdt>
            <w:sdt>
              <w:sdtPr>
                <w:alias w:val="分部按经营地区分类明细合同产生的收入"/>
                <w:tag w:val="_GBC_64bd1ffc9d084e059e3999b46a1bfa51"/>
                <w:id w:val="-1375989966"/>
                <w:lock w:val="sdtLocked"/>
              </w:sdtPr>
              <w:sdtEndPr/>
              <w:sdtContent>
                <w:tc>
                  <w:tcPr>
                    <w:tcW w:w="1500" w:type="pct"/>
                    <w:tcBorders>
                      <w:top w:val="single" w:sz="4" w:space="0" w:color="auto"/>
                      <w:left w:val="single" w:sz="4" w:space="0" w:color="auto"/>
                      <w:bottom w:val="single" w:sz="4" w:space="0" w:color="auto"/>
                      <w:right w:val="single" w:sz="4" w:space="0" w:color="auto"/>
                    </w:tcBorders>
                    <w:shd w:val="clear" w:color="auto" w:fill="auto"/>
                  </w:tcPr>
                  <w:p w14:paraId="680E3DE7" w14:textId="77777777" w:rsidR="007E7472" w:rsidRDefault="00EC1269">
                    <w:pPr>
                      <w:jc w:val="right"/>
                    </w:pPr>
                    <w:r>
                      <w:t>14,058,998</w:t>
                    </w:r>
                  </w:p>
                </w:tc>
              </w:sdtContent>
            </w:sdt>
            <w:sdt>
              <w:sdtPr>
                <w:alias w:val="分部按经营地区分类明细合同产生的收入"/>
                <w:tag w:val="_GBC_64bd1ffc9d084e059e3999b46a1bfa51"/>
                <w:id w:val="890462306"/>
                <w:lock w:val="sdtLocked"/>
              </w:sdtPr>
              <w:sdtEndPr/>
              <w:sdtContent>
                <w:tc>
                  <w:tcPr>
                    <w:tcW w:w="1656" w:type="pct"/>
                    <w:tcBorders>
                      <w:top w:val="single" w:sz="4" w:space="0" w:color="auto"/>
                      <w:left w:val="single" w:sz="4" w:space="0" w:color="auto"/>
                      <w:bottom w:val="single" w:sz="4" w:space="0" w:color="auto"/>
                      <w:right w:val="single" w:sz="4" w:space="0" w:color="auto"/>
                    </w:tcBorders>
                    <w:shd w:val="clear" w:color="auto" w:fill="auto"/>
                  </w:tcPr>
                  <w:p w14:paraId="0569B13F" w14:textId="77777777" w:rsidR="007E7472" w:rsidRDefault="00EC1269">
                    <w:pPr>
                      <w:jc w:val="right"/>
                    </w:pPr>
                    <w:r>
                      <w:t>18,517,588</w:t>
                    </w:r>
                  </w:p>
                </w:tc>
              </w:sdtContent>
            </w:sdt>
          </w:tr>
          <w:tr w:rsidR="007E7472" w14:paraId="2FF1C006" w14:textId="77777777">
            <w:tc>
              <w:tcPr>
                <w:tcW w:w="2156" w:type="pct"/>
                <w:tcBorders>
                  <w:top w:val="single" w:sz="4" w:space="0" w:color="auto"/>
                  <w:left w:val="single" w:sz="4" w:space="0" w:color="auto"/>
                  <w:bottom w:val="single" w:sz="4" w:space="0" w:color="auto"/>
                  <w:right w:val="single" w:sz="4" w:space="0" w:color="auto"/>
                </w:tcBorders>
                <w:shd w:val="clear" w:color="auto" w:fill="auto"/>
              </w:tcPr>
              <w:p w14:paraId="10B3FF25" w14:textId="77777777" w:rsidR="007E7472" w:rsidRDefault="00EC1269">
                <w:pPr>
                  <w:ind w:firstLineChars="500" w:firstLine="1050"/>
                </w:pPr>
                <w:r>
                  <w:rPr>
                    <w:rFonts w:hint="eastAsia"/>
                  </w:rPr>
                  <w:t>澳洲</w:t>
                </w:r>
                <w:sdt>
                  <w:sdtPr>
                    <w:rPr>
                      <w:rFonts w:hint="eastAsia"/>
                    </w:rPr>
                    <w:alias w:val="分部按经营地区分类明细名称"/>
                    <w:tag w:val="_GBC_4f36206bab1c46aeb874e45c11f31378"/>
                    <w:id w:val="-273174880"/>
                    <w:lock w:val="sdtLocked"/>
                    <w:showingPlcHdr/>
                  </w:sdtPr>
                  <w:sdtEndPr/>
                  <w:sdtContent>
                    <w:r>
                      <w:rPr>
                        <w:rFonts w:hint="eastAsia"/>
                      </w:rPr>
                      <w:t xml:space="preserve">　</w:t>
                    </w:r>
                  </w:sdtContent>
                </w:sdt>
              </w:p>
            </w:tc>
            <w:sdt>
              <w:sdtPr>
                <w:alias w:val="分部按经营地区分类明细合同产生的收入"/>
                <w:tag w:val="_GBC_64bd1ffc9d084e059e3999b46a1bfa51"/>
                <w:id w:val="-1885090783"/>
                <w:lock w:val="sdtLocked"/>
                <w:showingPlcHdr/>
              </w:sdtPr>
              <w:sdtEndPr/>
              <w:sdtContent>
                <w:tc>
                  <w:tcPr>
                    <w:tcW w:w="1500" w:type="pct"/>
                    <w:tcBorders>
                      <w:top w:val="single" w:sz="4" w:space="0" w:color="auto"/>
                      <w:left w:val="single" w:sz="4" w:space="0" w:color="auto"/>
                      <w:bottom w:val="single" w:sz="4" w:space="0" w:color="auto"/>
                      <w:right w:val="single" w:sz="4" w:space="0" w:color="auto"/>
                    </w:tcBorders>
                    <w:shd w:val="clear" w:color="auto" w:fill="auto"/>
                  </w:tcPr>
                  <w:p w14:paraId="644FDBFF" w14:textId="77777777" w:rsidR="007E7472" w:rsidRDefault="00EC1269">
                    <w:pPr>
                      <w:jc w:val="right"/>
                    </w:pPr>
                    <w:r>
                      <w:rPr>
                        <w:rFonts w:hint="eastAsia"/>
                      </w:rPr>
                      <w:t xml:space="preserve">　</w:t>
                    </w:r>
                  </w:p>
                </w:tc>
              </w:sdtContent>
            </w:sdt>
            <w:sdt>
              <w:sdtPr>
                <w:alias w:val="分部按经营地区分类明细合同产生的收入"/>
                <w:tag w:val="_GBC_64bd1ffc9d084e059e3999b46a1bfa51"/>
                <w:id w:val="2125878893"/>
                <w:lock w:val="sdtLocked"/>
                <w:showingPlcHdr/>
              </w:sdtPr>
              <w:sdtEndPr/>
              <w:sdtContent>
                <w:tc>
                  <w:tcPr>
                    <w:tcW w:w="1656" w:type="pct"/>
                    <w:tcBorders>
                      <w:top w:val="single" w:sz="4" w:space="0" w:color="auto"/>
                      <w:left w:val="single" w:sz="4" w:space="0" w:color="auto"/>
                      <w:bottom w:val="single" w:sz="4" w:space="0" w:color="auto"/>
                      <w:right w:val="single" w:sz="4" w:space="0" w:color="auto"/>
                    </w:tcBorders>
                    <w:shd w:val="clear" w:color="auto" w:fill="auto"/>
                  </w:tcPr>
                  <w:p w14:paraId="66B7B042" w14:textId="77777777" w:rsidR="007E7472" w:rsidRDefault="00C8327E">
                    <w:pPr>
                      <w:jc w:val="right"/>
                    </w:pPr>
                  </w:p>
                </w:tc>
              </w:sdtContent>
            </w:sdt>
          </w:tr>
          <w:tr w:rsidR="007E7472" w14:paraId="06DEBBFF" w14:textId="77777777">
            <w:sdt>
              <w:sdtPr>
                <w:rPr>
                  <w:rFonts w:hint="eastAsia"/>
                </w:rPr>
                <w:alias w:val="分部按经营地区分类明细名称"/>
                <w:tag w:val="_GBC_4f36206bab1c46aeb874e45c11f31378"/>
                <w:id w:val="-393050625"/>
                <w:lock w:val="sdtLocked"/>
              </w:sdtPr>
              <w:sdtEndPr/>
              <w:sdtContent>
                <w:tc>
                  <w:tcPr>
                    <w:tcW w:w="2156" w:type="pct"/>
                    <w:tcBorders>
                      <w:top w:val="single" w:sz="4" w:space="0" w:color="auto"/>
                      <w:left w:val="single" w:sz="4" w:space="0" w:color="auto"/>
                      <w:bottom w:val="single" w:sz="4" w:space="0" w:color="auto"/>
                      <w:right w:val="single" w:sz="4" w:space="0" w:color="auto"/>
                    </w:tcBorders>
                    <w:shd w:val="clear" w:color="auto" w:fill="auto"/>
                  </w:tcPr>
                  <w:p w14:paraId="68607D2B" w14:textId="77777777" w:rsidR="007E7472" w:rsidRDefault="00EC1269">
                    <w:pPr>
                      <w:ind w:firstLineChars="500" w:firstLine="1050"/>
                    </w:pPr>
                    <w:r>
                      <w:rPr>
                        <w:rFonts w:hint="eastAsia"/>
                      </w:rPr>
                      <w:t>其他</w:t>
                    </w:r>
                  </w:p>
                </w:tc>
              </w:sdtContent>
            </w:sdt>
            <w:sdt>
              <w:sdtPr>
                <w:alias w:val="分部按经营地区分类明细合同产生的收入"/>
                <w:tag w:val="_GBC_64bd1ffc9d084e059e3999b46a1bfa51"/>
                <w:id w:val="-508986462"/>
                <w:lock w:val="sdtLocked"/>
                <w:showingPlcHdr/>
              </w:sdtPr>
              <w:sdtEndPr/>
              <w:sdtContent>
                <w:tc>
                  <w:tcPr>
                    <w:tcW w:w="1500" w:type="pct"/>
                    <w:tcBorders>
                      <w:top w:val="single" w:sz="4" w:space="0" w:color="auto"/>
                      <w:left w:val="single" w:sz="4" w:space="0" w:color="auto"/>
                      <w:bottom w:val="single" w:sz="4" w:space="0" w:color="auto"/>
                      <w:right w:val="single" w:sz="4" w:space="0" w:color="auto"/>
                    </w:tcBorders>
                    <w:shd w:val="clear" w:color="auto" w:fill="auto"/>
                  </w:tcPr>
                  <w:p w14:paraId="58AED667" w14:textId="77777777" w:rsidR="007E7472" w:rsidRDefault="00EC1269">
                    <w:pPr>
                      <w:jc w:val="right"/>
                    </w:pPr>
                    <w:r>
                      <w:rPr>
                        <w:rFonts w:hint="eastAsia"/>
                      </w:rPr>
                      <w:t xml:space="preserve">　</w:t>
                    </w:r>
                  </w:p>
                </w:tc>
              </w:sdtContent>
            </w:sdt>
            <w:sdt>
              <w:sdtPr>
                <w:alias w:val="分部按经营地区分类明细合同产生的收入"/>
                <w:tag w:val="_GBC_64bd1ffc9d084e059e3999b46a1bfa51"/>
                <w:id w:val="1112020822"/>
                <w:lock w:val="sdtLocked"/>
                <w:showingPlcHdr/>
              </w:sdtPr>
              <w:sdtEndPr/>
              <w:sdtContent>
                <w:tc>
                  <w:tcPr>
                    <w:tcW w:w="1656" w:type="pct"/>
                    <w:tcBorders>
                      <w:top w:val="single" w:sz="4" w:space="0" w:color="auto"/>
                      <w:left w:val="single" w:sz="4" w:space="0" w:color="auto"/>
                      <w:bottom w:val="single" w:sz="4" w:space="0" w:color="auto"/>
                      <w:right w:val="single" w:sz="4" w:space="0" w:color="auto"/>
                    </w:tcBorders>
                    <w:shd w:val="clear" w:color="auto" w:fill="auto"/>
                  </w:tcPr>
                  <w:p w14:paraId="466409F4" w14:textId="77777777" w:rsidR="007E7472" w:rsidRDefault="00C8327E">
                    <w:pPr>
                      <w:jc w:val="right"/>
                    </w:pPr>
                  </w:p>
                </w:tc>
              </w:sdtContent>
            </w:sdt>
          </w:tr>
          <w:tr w:rsidR="007E7472" w14:paraId="5C888DBD" w14:textId="77777777">
            <w:tc>
              <w:tcPr>
                <w:tcW w:w="2156" w:type="pct"/>
                <w:tcBorders>
                  <w:top w:val="single" w:sz="4" w:space="0" w:color="auto"/>
                  <w:left w:val="single" w:sz="4" w:space="0" w:color="auto"/>
                  <w:bottom w:val="single" w:sz="4" w:space="0" w:color="auto"/>
                  <w:right w:val="single" w:sz="4" w:space="0" w:color="auto"/>
                </w:tcBorders>
                <w:shd w:val="clear" w:color="auto" w:fill="auto"/>
              </w:tcPr>
              <w:sdt>
                <w:sdtPr>
                  <w:rPr>
                    <w:rFonts w:hint="eastAsia"/>
                  </w:rPr>
                  <w:tag w:val="_PLD_0efe914344914868bb1c5857f7815d0d"/>
                  <w:id w:val="2034457011"/>
                  <w:lock w:val="sdtLocked"/>
                </w:sdtPr>
                <w:sdtEndPr/>
                <w:sdtContent>
                  <w:p w14:paraId="29DEDDC2" w14:textId="77777777" w:rsidR="007E7472" w:rsidRDefault="00EC1269">
                    <w:pPr>
                      <w:jc w:val="center"/>
                    </w:pPr>
                    <w:r>
                      <w:rPr>
                        <w:rFonts w:hint="eastAsia"/>
                      </w:rPr>
                      <w:t>合计</w:t>
                    </w:r>
                  </w:p>
                </w:sdtContent>
              </w:sdt>
            </w:tc>
            <w:sdt>
              <w:sdtPr>
                <w:alias w:val="分部合同产生的收入"/>
                <w:tag w:val="_GBC_4bad588daedd4514b8106aa88f8d3cd4"/>
                <w:id w:val="-2029550297"/>
                <w:lock w:val="sdtLocked"/>
              </w:sdtPr>
              <w:sdtEndPr/>
              <w:sdtContent>
                <w:tc>
                  <w:tcPr>
                    <w:tcW w:w="1500" w:type="pct"/>
                    <w:tcBorders>
                      <w:top w:val="single" w:sz="4" w:space="0" w:color="auto"/>
                      <w:left w:val="single" w:sz="4" w:space="0" w:color="auto"/>
                      <w:bottom w:val="single" w:sz="4" w:space="0" w:color="auto"/>
                      <w:right w:val="single" w:sz="4" w:space="0" w:color="auto"/>
                    </w:tcBorders>
                    <w:shd w:val="clear" w:color="auto" w:fill="auto"/>
                  </w:tcPr>
                  <w:p w14:paraId="65EE3730" w14:textId="77777777" w:rsidR="007E7472" w:rsidRDefault="00EC1269">
                    <w:pPr>
                      <w:jc w:val="right"/>
                    </w:pPr>
                    <w:r>
                      <w:t>14,058,998</w:t>
                    </w:r>
                  </w:p>
                </w:tc>
              </w:sdtContent>
            </w:sdt>
            <w:sdt>
              <w:sdtPr>
                <w:alias w:val="分部合同产生的收入"/>
                <w:tag w:val="_GBC_4bad588daedd4514b8106aa88f8d3cd4"/>
                <w:id w:val="1957061986"/>
                <w:lock w:val="sdtLocked"/>
              </w:sdtPr>
              <w:sdtEndPr/>
              <w:sdtContent>
                <w:tc>
                  <w:tcPr>
                    <w:tcW w:w="1656" w:type="pct"/>
                    <w:tcBorders>
                      <w:top w:val="single" w:sz="4" w:space="0" w:color="auto"/>
                      <w:left w:val="single" w:sz="4" w:space="0" w:color="auto"/>
                      <w:bottom w:val="single" w:sz="4" w:space="0" w:color="auto"/>
                      <w:right w:val="single" w:sz="4" w:space="0" w:color="auto"/>
                    </w:tcBorders>
                    <w:shd w:val="clear" w:color="auto" w:fill="auto"/>
                  </w:tcPr>
                  <w:p w14:paraId="7EC812DC" w14:textId="77777777" w:rsidR="007E7472" w:rsidRDefault="00EC1269">
                    <w:pPr>
                      <w:jc w:val="right"/>
                    </w:pPr>
                    <w:r>
                      <w:t>18,517,588</w:t>
                    </w:r>
                  </w:p>
                </w:tc>
              </w:sdtContent>
            </w:sdt>
          </w:tr>
        </w:tbl>
        <w:p w14:paraId="7DB26366" w14:textId="77777777" w:rsidR="007E7472" w:rsidRDefault="00C8327E"/>
        <w:p w14:paraId="3F9C34CB" w14:textId="77777777" w:rsidR="007E7472" w:rsidRDefault="00EC1269">
          <w:r>
            <w:rPr>
              <w:rFonts w:hint="eastAsia"/>
            </w:rPr>
            <w:t>合同产生的收入说明：</w:t>
          </w:r>
        </w:p>
        <w:sdt>
          <w:sdtPr>
            <w:alias w:val="是否适用：母公司合同产生的收入说明[双击切换]"/>
            <w:tag w:val="_GBC_4e9f72abba74469a841384eb05af7e06"/>
            <w:id w:val="-1496415342"/>
            <w:lock w:val="sdtLocked"/>
            <w:placeholder>
              <w:docPart w:val="GBC22222222222222222222222222222"/>
            </w:placeholder>
          </w:sdtPr>
          <w:sdtEndPr/>
          <w:sdtContent>
            <w:p w14:paraId="66A22995"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76223129" w14:textId="77777777" w:rsidR="007E7472" w:rsidRDefault="00C8327E">
          <w:pPr>
            <w:spacing w:before="60" w:after="60"/>
          </w:pPr>
        </w:p>
      </w:sdtContent>
    </w:sdt>
    <w:bookmarkEnd w:id="316" w:displacedByCustomXml="next"/>
    <w:bookmarkStart w:id="317" w:name="_Hlk10548652" w:displacedByCustomXml="next"/>
    <w:bookmarkStart w:id="318" w:name="_Hlk10548661" w:displacedByCustomXml="next"/>
    <w:sdt>
      <w:sdtPr>
        <w:rPr>
          <w:rFonts w:ascii="宋体" w:hAnsi="宋体" w:cs="宋体" w:hint="eastAsia"/>
          <w:b w:val="0"/>
          <w:bCs w:val="0"/>
          <w:kern w:val="0"/>
          <w:szCs w:val="21"/>
        </w:rPr>
        <w:alias w:val="模块:履约义务的说明"/>
        <w:tag w:val="_SEC_53d5f13d55ef41a88538eb4a1cd87f53"/>
        <w:id w:val="-914168834"/>
        <w:lock w:val="sdtLocked"/>
        <w:placeholder>
          <w:docPart w:val="GBC22222222222222222222222222222"/>
        </w:placeholder>
      </w:sdtPr>
      <w:sdtEndPr>
        <w:rPr>
          <w:rFonts w:hint="default"/>
          <w:bCs/>
        </w:rPr>
      </w:sdtEndPr>
      <w:sdtContent>
        <w:p w14:paraId="18C4F1A6" w14:textId="77777777" w:rsidR="007E7472" w:rsidRDefault="00EC1269" w:rsidP="00162493">
          <w:pPr>
            <w:pStyle w:val="4"/>
            <w:numPr>
              <w:ilvl w:val="0"/>
              <w:numId w:val="122"/>
            </w:numPr>
          </w:pPr>
          <w:r>
            <w:rPr>
              <w:rFonts w:hint="eastAsia"/>
            </w:rPr>
            <w:t>履约义务的说明</w:t>
          </w:r>
          <w:bookmarkEnd w:id="317"/>
        </w:p>
        <w:sdt>
          <w:sdtPr>
            <w:alias w:val="是否适用：母公司履约义务的说明[双击切换]"/>
            <w:tag w:val="_GBC_9fa12dfead42484a96c713de3deeb146"/>
            <w:id w:val="530080936"/>
            <w:lock w:val="sdtLocked"/>
            <w:placeholder>
              <w:docPart w:val="GBC22222222222222222222222222222"/>
            </w:placeholder>
          </w:sdtPr>
          <w:sdtEndPr/>
          <w:sdtContent>
            <w:p w14:paraId="56773B9B" w14:textId="77777777" w:rsidR="007E7472" w:rsidRDefault="00EC1269">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37367C08" w14:textId="77777777" w:rsidR="007E7472" w:rsidRDefault="00C8327E">
          <w:pPr>
            <w:spacing w:before="60" w:after="60"/>
          </w:pPr>
        </w:p>
      </w:sdtContent>
    </w:sdt>
    <w:bookmarkEnd w:id="318" w:displacedByCustomXml="next"/>
    <w:bookmarkStart w:id="319" w:name="_Hlk10548677" w:displacedByCustomXml="next"/>
    <w:bookmarkStart w:id="320" w:name="_Hlk10548687" w:displacedByCustomXml="next"/>
    <w:sdt>
      <w:sdtPr>
        <w:rPr>
          <w:rFonts w:ascii="宋体" w:hAnsi="宋体" w:cs="宋体" w:hint="eastAsia"/>
          <w:b w:val="0"/>
          <w:bCs w:val="0"/>
          <w:kern w:val="0"/>
          <w:szCs w:val="21"/>
        </w:rPr>
        <w:alias w:val="模块:分摊至剩余履约义务的说明"/>
        <w:tag w:val="_SEC_70d7b3f4762b43eabe7e1ecc83c000d4"/>
        <w:id w:val="-1550453311"/>
        <w:lock w:val="sdtLocked"/>
        <w:placeholder>
          <w:docPart w:val="GBC22222222222222222222222222222"/>
        </w:placeholder>
      </w:sdtPr>
      <w:sdtEndPr>
        <w:rPr>
          <w:rFonts w:hint="default"/>
          <w:bCs/>
        </w:rPr>
      </w:sdtEndPr>
      <w:sdtContent>
        <w:p w14:paraId="404106C3" w14:textId="77777777" w:rsidR="007E7472" w:rsidRDefault="00EC1269" w:rsidP="00162493">
          <w:pPr>
            <w:pStyle w:val="4"/>
            <w:numPr>
              <w:ilvl w:val="0"/>
              <w:numId w:val="122"/>
            </w:numPr>
          </w:pPr>
          <w:r>
            <w:rPr>
              <w:rFonts w:hint="eastAsia"/>
            </w:rPr>
            <w:t>分摊至剩余履约义务的说明</w:t>
          </w:r>
          <w:bookmarkEnd w:id="319"/>
        </w:p>
        <w:sdt>
          <w:sdtPr>
            <w:alias w:val="是否适用：母公司分摊至剩余履约义务的说明[双击切换]"/>
            <w:tag w:val="_GBC_ed475c258e94496384f686833dfaebba"/>
            <w:id w:val="-255977014"/>
            <w:lock w:val="sdtLocked"/>
            <w:placeholder>
              <w:docPart w:val="GBC22222222222222222222222222222"/>
            </w:placeholder>
          </w:sdtPr>
          <w:sdtEndPr/>
          <w:sdtContent>
            <w:p w14:paraId="19AD4819" w14:textId="77777777" w:rsidR="007E7472" w:rsidRDefault="00EC1269">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14:paraId="27B3B815" w14:textId="77777777" w:rsidR="007E7472" w:rsidRDefault="00C8327E"/>
        <w:p w14:paraId="34A9BEAB" w14:textId="77777777" w:rsidR="007E7472" w:rsidRDefault="00C8327E">
          <w:pPr>
            <w:spacing w:before="60" w:after="60"/>
          </w:pPr>
        </w:p>
      </w:sdtContent>
    </w:sdt>
    <w:bookmarkEnd w:id="320" w:displacedByCustomXml="next"/>
    <w:bookmarkStart w:id="321" w:name="_Hlk10548739" w:displacedByCustomXml="next"/>
    <w:bookmarkStart w:id="322" w:name="OLE_LINK6" w:displacedByCustomXml="next"/>
    <w:sdt>
      <w:sdtPr>
        <w:rPr>
          <w:rFonts w:hint="eastAsia"/>
          <w:sz w:val="20"/>
        </w:rPr>
        <w:alias w:val="模块:投资收益"/>
        <w:tag w:val="_SEC_69cb0c27d0a845f8ab1383f9a47646b6"/>
        <w:id w:val="493697650"/>
        <w:lock w:val="sdtLocked"/>
        <w:placeholder>
          <w:docPart w:val="GBC22222222222222222222222222222"/>
        </w:placeholder>
      </w:sdtPr>
      <w:sdtEndPr>
        <w:rPr>
          <w:rFonts w:hint="default"/>
        </w:rPr>
      </w:sdtEndPr>
      <w:sdtContent>
        <w:p w14:paraId="6F047312" w14:textId="77777777" w:rsidR="007E7472" w:rsidRPr="00F72A4F" w:rsidRDefault="00EC1269" w:rsidP="00162493">
          <w:pPr>
            <w:numPr>
              <w:ilvl w:val="2"/>
              <w:numId w:val="118"/>
            </w:numPr>
            <w:outlineLvl w:val="2"/>
            <w:rPr>
              <w:b/>
            </w:rPr>
          </w:pPr>
          <w:r w:rsidRPr="00F72A4F">
            <w:rPr>
              <w:rFonts w:hint="eastAsia"/>
              <w:b/>
            </w:rPr>
            <w:t>投资收益</w:t>
          </w:r>
          <w:bookmarkEnd w:id="322"/>
        </w:p>
        <w:sdt>
          <w:sdtPr>
            <w:alias w:val="是否适用：母公司投资收益[双击切换]"/>
            <w:tag w:val="_GBC_bdba48f0322747499f6908fbbf78a16f"/>
            <w:id w:val="1537777738"/>
            <w:lock w:val="sdtLocked"/>
            <w:placeholder>
              <w:docPart w:val="GBC22222222222222222222222222222"/>
            </w:placeholder>
          </w:sdtPr>
          <w:sdtEndPr>
            <w:rPr>
              <w:rFonts w:asciiTheme="minorEastAsia" w:eastAsiaTheme="minorEastAsia" w:hAnsiTheme="minorEastAsia"/>
            </w:rPr>
          </w:sdtEndPr>
          <w:sdtContent>
            <w:p w14:paraId="18BF6849" w14:textId="77777777" w:rsidR="007E7472" w:rsidRDefault="00EC1269">
              <w:pPr>
                <w:rPr>
                  <w:rFonts w:asciiTheme="minorEastAsia" w:eastAsiaTheme="minorEastAsia" w:hAnsiTheme="minorEastAsia"/>
                </w:rPr>
              </w:pP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√适用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02107DFB" w14:textId="3D85F1DD" w:rsidR="007E7472" w:rsidRDefault="00EC1269">
          <w:pPr>
            <w:jc w:val="right"/>
            <w:rPr>
              <w:color w:val="FF0000"/>
            </w:rPr>
          </w:pPr>
          <w:r>
            <w:t>单位</w:t>
          </w:r>
          <w:r>
            <w:rPr>
              <w:rFonts w:hint="eastAsia"/>
            </w:rPr>
            <w:t>：</w:t>
          </w:r>
          <w:sdt>
            <w:sdtPr>
              <w:rPr>
                <w:rFonts w:hint="eastAsia"/>
              </w:rPr>
              <w:alias w:val="单位：财务附注：会计报表中的投资收益项目增加"/>
              <w:tag w:val="_GBC_613aeed04bd941b2899e7b84fac67e3a"/>
              <w:id w:val="-19881541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t>币种</w:t>
          </w:r>
          <w:r>
            <w:rPr>
              <w:rFonts w:hint="eastAsia"/>
            </w:rPr>
            <w:t>：</w:t>
          </w:r>
          <w:sdt>
            <w:sdtPr>
              <w:rPr>
                <w:rFonts w:hint="eastAsia"/>
              </w:rPr>
              <w:alias w:val="币种：财务附注：会计报表中的投资收益项目增加"/>
              <w:tag w:val="_GBC_8976301949824df2a90aa6f83aad84f0"/>
              <w:id w:val="5508065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1"/>
            <w:gridCol w:w="2626"/>
            <w:gridCol w:w="2636"/>
          </w:tblGrid>
          <w:tr w:rsidR="007E7472" w14:paraId="0CCC73BE" w14:textId="77777777">
            <w:bookmarkEnd w:id="321" w:displacedByCustomXml="next"/>
            <w:bookmarkStart w:id="323" w:name="_Hlk10720480" w:displacedByCustomXml="next"/>
            <w:sdt>
              <w:sdtPr>
                <w:tag w:val="_PLD_1263506df19847a5a86c9b873a7b7673"/>
                <w:id w:val="1932309039"/>
              </w:sdtPr>
              <w:sdtEndPr/>
              <w:sdtContent>
                <w:tc>
                  <w:tcPr>
                    <w:tcW w:w="2018" w:type="pct"/>
                    <w:vAlign w:val="center"/>
                  </w:tcPr>
                  <w:p w14:paraId="4DBDC845" w14:textId="77777777" w:rsidR="007E7472" w:rsidRDefault="00EC1269">
                    <w:pPr>
                      <w:ind w:left="420" w:hanging="420"/>
                      <w:jc w:val="center"/>
                    </w:pPr>
                    <w:r>
                      <w:rPr>
                        <w:rFonts w:hint="eastAsia"/>
                      </w:rPr>
                      <w:t>项目</w:t>
                    </w:r>
                  </w:p>
                </w:tc>
              </w:sdtContent>
            </w:sdt>
            <w:sdt>
              <w:sdtPr>
                <w:tag w:val="_PLD_6da456fe7d784e789fe8204c2cc499b3"/>
                <w:id w:val="696042159"/>
              </w:sdtPr>
              <w:sdtEndPr/>
              <w:sdtContent>
                <w:tc>
                  <w:tcPr>
                    <w:tcW w:w="1488" w:type="pct"/>
                    <w:vAlign w:val="center"/>
                  </w:tcPr>
                  <w:p w14:paraId="04B8E0DB" w14:textId="77777777" w:rsidR="007E7472" w:rsidRDefault="00EC1269">
                    <w:pPr>
                      <w:jc w:val="center"/>
                    </w:pPr>
                    <w:r>
                      <w:rPr>
                        <w:rFonts w:hint="eastAsia"/>
                      </w:rPr>
                      <w:t>本期发生额</w:t>
                    </w:r>
                  </w:p>
                </w:tc>
              </w:sdtContent>
            </w:sdt>
            <w:sdt>
              <w:sdtPr>
                <w:tag w:val="_PLD_d81207d79e9643e0a08aec2616f96432"/>
                <w:id w:val="455990378"/>
              </w:sdtPr>
              <w:sdtEndPr/>
              <w:sdtContent>
                <w:tc>
                  <w:tcPr>
                    <w:tcW w:w="1494" w:type="pct"/>
                    <w:vAlign w:val="center"/>
                  </w:tcPr>
                  <w:p w14:paraId="4396D73F" w14:textId="77777777" w:rsidR="007E7472" w:rsidRDefault="00EC1269">
                    <w:pPr>
                      <w:jc w:val="center"/>
                    </w:pPr>
                    <w:r>
                      <w:rPr>
                        <w:rFonts w:hint="eastAsia"/>
                      </w:rPr>
                      <w:t>上期发生额</w:t>
                    </w:r>
                  </w:p>
                </w:tc>
              </w:sdtContent>
            </w:sdt>
          </w:tr>
          <w:tr w:rsidR="007E7472" w14:paraId="2BDE838E" w14:textId="77777777">
            <w:sdt>
              <w:sdtPr>
                <w:tag w:val="_PLD_870ae6a50052496389b9552b95a7d523"/>
                <w:id w:val="746541328"/>
              </w:sdtPr>
              <w:sdtEndPr/>
              <w:sdtContent>
                <w:tc>
                  <w:tcPr>
                    <w:tcW w:w="2018" w:type="pct"/>
                  </w:tcPr>
                  <w:p w14:paraId="1A80EA10" w14:textId="77777777" w:rsidR="007E7472" w:rsidRDefault="00EC1269">
                    <w:r>
                      <w:t>成本法核算的长期股权投资收益</w:t>
                    </w:r>
                  </w:p>
                </w:tc>
              </w:sdtContent>
            </w:sdt>
            <w:tc>
              <w:tcPr>
                <w:tcW w:w="1488" w:type="pct"/>
              </w:tcPr>
              <w:p w14:paraId="5EA01777" w14:textId="77777777" w:rsidR="007E7472" w:rsidRDefault="00EC1269">
                <w:pPr>
                  <w:jc w:val="right"/>
                </w:pPr>
                <w:r>
                  <w:t>4,860,422</w:t>
                </w:r>
              </w:p>
            </w:tc>
            <w:tc>
              <w:tcPr>
                <w:tcW w:w="1494" w:type="pct"/>
                <w:vAlign w:val="center"/>
              </w:tcPr>
              <w:p w14:paraId="3EB11E27" w14:textId="77777777" w:rsidR="007E7472" w:rsidRDefault="00EC1269">
                <w:pPr>
                  <w:jc w:val="right"/>
                </w:pPr>
                <w:r>
                  <w:t>3,575,991</w:t>
                </w:r>
              </w:p>
            </w:tc>
          </w:tr>
          <w:tr w:rsidR="007E7472" w14:paraId="1FF18AAC" w14:textId="77777777">
            <w:sdt>
              <w:sdtPr>
                <w:tag w:val="_PLD_41f01afe4c29429eb16be2099b93f262"/>
                <w:id w:val="993763786"/>
              </w:sdtPr>
              <w:sdtEndPr/>
              <w:sdtContent>
                <w:tc>
                  <w:tcPr>
                    <w:tcW w:w="2018" w:type="pct"/>
                  </w:tcPr>
                  <w:p w14:paraId="126999B5" w14:textId="77777777" w:rsidR="007E7472" w:rsidRDefault="00EC1269">
                    <w:r>
                      <w:rPr>
                        <w:rFonts w:hint="eastAsia"/>
                      </w:rPr>
                      <w:t>权益法核算的长期股权投资收益</w:t>
                    </w:r>
                  </w:p>
                </w:tc>
              </w:sdtContent>
            </w:sdt>
            <w:tc>
              <w:tcPr>
                <w:tcW w:w="1488" w:type="pct"/>
              </w:tcPr>
              <w:p w14:paraId="783A744A" w14:textId="77777777" w:rsidR="007E7472" w:rsidRDefault="00EC1269">
                <w:pPr>
                  <w:jc w:val="right"/>
                </w:pPr>
                <w:r>
                  <w:t>226,624</w:t>
                </w:r>
              </w:p>
            </w:tc>
            <w:tc>
              <w:tcPr>
                <w:tcW w:w="1494" w:type="pct"/>
                <w:vAlign w:val="center"/>
              </w:tcPr>
              <w:p w14:paraId="758C3C48" w14:textId="77777777" w:rsidR="007E7472" w:rsidRDefault="00EC1269">
                <w:pPr>
                  <w:jc w:val="right"/>
                </w:pPr>
                <w:r>
                  <w:t>208,346</w:t>
                </w:r>
              </w:p>
            </w:tc>
          </w:tr>
          <w:sdt>
            <w:sdtPr>
              <w:rPr>
                <w:rFonts w:asciiTheme="minorHAnsi" w:eastAsiaTheme="minorEastAsia" w:hAnsiTheme="minorHAnsi" w:cstheme="minorBidi"/>
                <w:kern w:val="2"/>
                <w:szCs w:val="22"/>
              </w:rPr>
              <w:alias w:val="其他投资收益"/>
              <w:tag w:val="_TUP_f44efb3bce1c4834a89700be3e9e6a1f"/>
              <w:id w:val="680865481"/>
              <w:lock w:val="sdtLocked"/>
            </w:sdtPr>
            <w:sdtEndPr/>
            <w:sdtContent>
              <w:tr w:rsidR="007E7472" w14:paraId="7AD82672" w14:textId="77777777">
                <w:tc>
                  <w:tcPr>
                    <w:tcW w:w="2018" w:type="pct"/>
                    <w:shd w:val="solid" w:color="FFFFFF" w:fill="auto"/>
                  </w:tcPr>
                  <w:p w14:paraId="1061AD59" w14:textId="77777777" w:rsidR="007E7472" w:rsidRDefault="00EC1269">
                    <w:r>
                      <w:rPr>
                        <w:rFonts w:asciiTheme="minorHAnsi" w:eastAsiaTheme="minorEastAsia" w:hAnsiTheme="minorHAnsi" w:cstheme="minorBidi" w:hint="eastAsia"/>
                        <w:kern w:val="2"/>
                        <w:szCs w:val="22"/>
                      </w:rPr>
                      <w:t>债务重组收益</w:t>
                    </w:r>
                  </w:p>
                </w:tc>
                <w:tc>
                  <w:tcPr>
                    <w:tcW w:w="1488" w:type="pct"/>
                    <w:shd w:val="solid" w:color="FFFFFF" w:fill="auto"/>
                  </w:tcPr>
                  <w:p w14:paraId="0E43E00A" w14:textId="77777777" w:rsidR="007E7472" w:rsidRDefault="00C8327E">
                    <w:pPr>
                      <w:jc w:val="right"/>
                    </w:pPr>
                  </w:p>
                </w:tc>
                <w:tc>
                  <w:tcPr>
                    <w:tcW w:w="1494" w:type="pct"/>
                    <w:shd w:val="solid" w:color="FFFFFF" w:fill="auto"/>
                  </w:tcPr>
                  <w:p w14:paraId="5CF695A8" w14:textId="77777777" w:rsidR="007E7472" w:rsidRDefault="00EC1269">
                    <w:pPr>
                      <w:jc w:val="right"/>
                    </w:pPr>
                    <w:r>
                      <w:t>-587</w:t>
                    </w:r>
                  </w:p>
                </w:tc>
              </w:tr>
            </w:sdtContent>
          </w:sdt>
          <w:tr w:rsidR="007E7472" w14:paraId="268E02A3" w14:textId="77777777">
            <w:sdt>
              <w:sdtPr>
                <w:tag w:val="_PLD_032fb4caa4bf4a6e968a012892b6f16b"/>
                <w:id w:val="515272304"/>
              </w:sdtPr>
              <w:sdtEndPr/>
              <w:sdtContent>
                <w:tc>
                  <w:tcPr>
                    <w:tcW w:w="2018" w:type="pct"/>
                    <w:vAlign w:val="center"/>
                  </w:tcPr>
                  <w:p w14:paraId="5147CA24" w14:textId="77777777" w:rsidR="007E7472" w:rsidRDefault="00EC1269">
                    <w:pPr>
                      <w:jc w:val="center"/>
                    </w:pPr>
                    <w:r>
                      <w:rPr>
                        <w:rFonts w:hint="eastAsia"/>
                      </w:rPr>
                      <w:t>合计</w:t>
                    </w:r>
                  </w:p>
                </w:tc>
              </w:sdtContent>
            </w:sdt>
            <w:tc>
              <w:tcPr>
                <w:tcW w:w="1488" w:type="pct"/>
              </w:tcPr>
              <w:p w14:paraId="4A22A21E" w14:textId="77777777" w:rsidR="007E7472" w:rsidRDefault="00EC1269">
                <w:pPr>
                  <w:jc w:val="right"/>
                </w:pPr>
                <w:r>
                  <w:t>5,087,046</w:t>
                </w:r>
              </w:p>
            </w:tc>
            <w:tc>
              <w:tcPr>
                <w:tcW w:w="1494" w:type="pct"/>
                <w:vAlign w:val="center"/>
              </w:tcPr>
              <w:p w14:paraId="2DB226FA" w14:textId="77777777" w:rsidR="007E7472" w:rsidRDefault="00EC1269">
                <w:pPr>
                  <w:jc w:val="right"/>
                </w:pPr>
                <w:r>
                  <w:t>3,783,750</w:t>
                </w:r>
              </w:p>
            </w:tc>
          </w:tr>
        </w:tbl>
        <w:p w14:paraId="3107FB6F" w14:textId="3F9B2820" w:rsidR="007E7472" w:rsidRDefault="00C8327E"/>
      </w:sdtContent>
    </w:sdt>
    <w:bookmarkEnd w:id="323"/>
    <w:p w14:paraId="7EB5B110" w14:textId="77777777" w:rsidR="007E7472" w:rsidRDefault="00C8327E"/>
    <w:sdt>
      <w:sdtPr>
        <w:rPr>
          <w:rFonts w:hint="eastAsia"/>
          <w:sz w:val="20"/>
        </w:rPr>
        <w:alias w:val="模块:母公司会计报表附注的其他说明事项"/>
        <w:tag w:val="_GBC_23958e5452684882b98c8317e400c8d6"/>
        <w:id w:val="-1047592637"/>
        <w:lock w:val="sdtLocked"/>
        <w:placeholder>
          <w:docPart w:val="GBC22222222222222222222222222222"/>
        </w:placeholder>
      </w:sdtPr>
      <w:sdtEndPr/>
      <w:sdtContent>
        <w:p w14:paraId="1B56B1AB" w14:textId="77777777" w:rsidR="007E7472" w:rsidRPr="001C4EB7" w:rsidRDefault="00EC1269" w:rsidP="00162493">
          <w:pPr>
            <w:numPr>
              <w:ilvl w:val="2"/>
              <w:numId w:val="118"/>
            </w:numPr>
            <w:outlineLvl w:val="2"/>
            <w:rPr>
              <w:b/>
            </w:rPr>
          </w:pPr>
          <w:r w:rsidRPr="001C4EB7">
            <w:rPr>
              <w:rFonts w:hint="eastAsia"/>
              <w:b/>
            </w:rPr>
            <w:t>其他</w:t>
          </w:r>
        </w:p>
        <w:sdt>
          <w:sdtPr>
            <w:alias w:val="是否适用：母公司会计报表附注的其他说明事项[双击切换]"/>
            <w:tag w:val="_GBC_198503cdf8c8448ea7bb4de3243a4de8"/>
            <w:id w:val="2050481842"/>
            <w:lock w:val="sdtLocked"/>
            <w:placeholder>
              <w:docPart w:val="GBC22222222222222222222222222222"/>
            </w:placeholder>
          </w:sdtPr>
          <w:sdtEndPr/>
          <w:sdtContent>
            <w:p w14:paraId="67EAB487"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321C7CDB" w14:textId="77777777" w:rsidR="007E7472" w:rsidRDefault="00C8327E"/>
    <w:p w14:paraId="09EEA0EC" w14:textId="77777777" w:rsidR="007E7472" w:rsidRDefault="00EC1269" w:rsidP="00162493">
      <w:pPr>
        <w:pStyle w:val="2"/>
        <w:numPr>
          <w:ilvl w:val="0"/>
          <w:numId w:val="43"/>
        </w:numPr>
        <w:ind w:firstLineChars="0"/>
      </w:pPr>
      <w:r>
        <w:rPr>
          <w:rFonts w:hint="eastAsia"/>
        </w:rPr>
        <w:t>补充资料</w:t>
      </w:r>
    </w:p>
    <w:bookmarkStart w:id="324" w:name="_Hlk106610824" w:displacedByCustomXml="next"/>
    <w:bookmarkStart w:id="325" w:name="_Hlk10548828" w:displacedByCustomXml="next"/>
    <w:sdt>
      <w:sdtPr>
        <w:rPr>
          <w:rFonts w:hint="eastAsia"/>
          <w:sz w:val="20"/>
        </w:rPr>
        <w:alias w:val="模块:当期非经常性损益明细"/>
        <w:tag w:val="_SEC_2aa2bf80e6494d88b3464b71ad8053ad"/>
        <w:id w:val="1248692333"/>
        <w:lock w:val="sdtLocked"/>
        <w:placeholder>
          <w:docPart w:val="GBC22222222222222222222222222222"/>
        </w:placeholder>
      </w:sdtPr>
      <w:sdtEndPr>
        <w:rPr>
          <w:sz w:val="21"/>
        </w:rPr>
      </w:sdtEndPr>
      <w:sdtContent>
        <w:p w14:paraId="22A03C87" w14:textId="77777777" w:rsidR="007E7472" w:rsidRPr="001C4EB7" w:rsidRDefault="00EC1269" w:rsidP="00162493">
          <w:pPr>
            <w:numPr>
              <w:ilvl w:val="2"/>
              <w:numId w:val="123"/>
            </w:numPr>
            <w:outlineLvl w:val="2"/>
            <w:rPr>
              <w:b/>
            </w:rPr>
          </w:pPr>
          <w:r w:rsidRPr="001C4EB7">
            <w:rPr>
              <w:rFonts w:hint="eastAsia"/>
              <w:b/>
            </w:rPr>
            <w:t>当期非经常性损益明细表</w:t>
          </w:r>
        </w:p>
        <w:sdt>
          <w:sdtPr>
            <w:alias w:val="是否适用：当期非经常性损益明细表[双击切换]"/>
            <w:tag w:val="_GBC_29aac768f1ad4d0b9b96cad3770c4d21"/>
            <w:id w:val="-1112363805"/>
            <w:lock w:val="sdtLocked"/>
            <w:placeholder>
              <w:docPart w:val="GBC22222222222222222222222222222"/>
            </w:placeholder>
          </w:sdtPr>
          <w:sdtEndPr/>
          <w:sdtContent>
            <w:p w14:paraId="783EC2C2"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AC283C4" w14:textId="044DC2E9" w:rsidR="007E7472" w:rsidRDefault="00EC1269">
          <w:pPr>
            <w:jc w:val="right"/>
          </w:pPr>
          <w:r>
            <w:rPr>
              <w:rFonts w:hint="eastAsia"/>
            </w:rPr>
            <w:t>单位：</w:t>
          </w:r>
          <w:sdt>
            <w:sdtPr>
              <w:rPr>
                <w:rFonts w:hint="eastAsia"/>
              </w:rPr>
              <w:alias w:val="单位：扣除非经常性损益项目和金额"/>
              <w:tag w:val="_GBC_4436c98561b643bf829f7af1787fa9d8"/>
              <w:id w:val="-303928565"/>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千元">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币种：</w:t>
          </w:r>
          <w:sdt>
            <w:sdtPr>
              <w:rPr>
                <w:rFonts w:hint="eastAsia"/>
              </w:rPr>
              <w:alias w:val="币种：扣除非经常性损益项目和金额"/>
              <w:tag w:val="_GBC_87049d5866e5400d9b29a6b6aad1ebd6"/>
              <w:id w:val="-432820775"/>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人民币">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4"/>
            <w:gridCol w:w="2430"/>
            <w:gridCol w:w="2439"/>
          </w:tblGrid>
          <w:tr w:rsidR="007E7472" w14:paraId="67BF0DD7" w14:textId="77777777">
            <w:sdt>
              <w:sdtPr>
                <w:tag w:val="_PLD_069bc367d6244fbe9883b876f3bed3f4"/>
                <w:id w:val="-861199462"/>
                <w:lock w:val="sdtLocked"/>
              </w:sdtPr>
              <w:sdtEndPr/>
              <w:sdtContent>
                <w:tc>
                  <w:tcPr>
                    <w:tcW w:w="2241" w:type="pct"/>
                    <w:shd w:val="clear" w:color="auto" w:fill="auto"/>
                    <w:vAlign w:val="center"/>
                  </w:tcPr>
                  <w:p w14:paraId="3345B046" w14:textId="77777777" w:rsidR="007E7472" w:rsidRDefault="00EC1269">
                    <w:pPr>
                      <w:jc w:val="center"/>
                    </w:pPr>
                    <w:r>
                      <w:rPr>
                        <w:rFonts w:hint="eastAsia"/>
                      </w:rPr>
                      <w:t>项目</w:t>
                    </w:r>
                  </w:p>
                </w:tc>
              </w:sdtContent>
            </w:sdt>
            <w:sdt>
              <w:sdtPr>
                <w:tag w:val="_PLD_07cdf126d43644389c915ce330f0a265"/>
                <w:id w:val="434649005"/>
                <w:lock w:val="sdtLocked"/>
              </w:sdtPr>
              <w:sdtEndPr/>
              <w:sdtContent>
                <w:tc>
                  <w:tcPr>
                    <w:tcW w:w="1377" w:type="pct"/>
                    <w:shd w:val="clear" w:color="auto" w:fill="auto"/>
                  </w:tcPr>
                  <w:p w14:paraId="13883E81" w14:textId="77777777" w:rsidR="007E7472" w:rsidRDefault="00EC1269">
                    <w:pPr>
                      <w:jc w:val="center"/>
                    </w:pPr>
                    <w:r>
                      <w:rPr>
                        <w:rFonts w:hint="eastAsia"/>
                      </w:rPr>
                      <w:t>金额</w:t>
                    </w:r>
                  </w:p>
                </w:tc>
              </w:sdtContent>
            </w:sdt>
            <w:sdt>
              <w:sdtPr>
                <w:tag w:val="_PLD_688303e218d947dbb3a96d7dedc397b0"/>
                <w:id w:val="939260643"/>
                <w:lock w:val="sdtLocked"/>
              </w:sdtPr>
              <w:sdtEndPr/>
              <w:sdtContent>
                <w:tc>
                  <w:tcPr>
                    <w:tcW w:w="1382" w:type="pct"/>
                  </w:tcPr>
                  <w:p w14:paraId="6CD2A2DE" w14:textId="77777777" w:rsidR="007E7472" w:rsidRDefault="00EC1269">
                    <w:pPr>
                      <w:jc w:val="center"/>
                    </w:pPr>
                    <w:r>
                      <w:rPr>
                        <w:rFonts w:hint="eastAsia"/>
                      </w:rPr>
                      <w:t>说明</w:t>
                    </w:r>
                  </w:p>
                </w:tc>
              </w:sdtContent>
            </w:sdt>
          </w:tr>
          <w:tr w:rsidR="007E7472" w14:paraId="10673BEA" w14:textId="77777777">
            <w:sdt>
              <w:sdtPr>
                <w:tag w:val="_PLD_3f536068dbe54abf94287863945c32e1"/>
                <w:id w:val="974256940"/>
                <w:lock w:val="sdtLocked"/>
              </w:sdtPr>
              <w:sdtEndPr/>
              <w:sdtContent>
                <w:tc>
                  <w:tcPr>
                    <w:tcW w:w="2241" w:type="pct"/>
                    <w:shd w:val="clear" w:color="auto" w:fill="auto"/>
                    <w:vAlign w:val="center"/>
                  </w:tcPr>
                  <w:p w14:paraId="2782E03A" w14:textId="77777777" w:rsidR="007E7472" w:rsidRDefault="00EC1269">
                    <w:r>
                      <w:rPr>
                        <w:rFonts w:hint="eastAsia"/>
                      </w:rPr>
                      <w:t>非流动资产处置损益</w:t>
                    </w:r>
                  </w:p>
                </w:tc>
              </w:sdtContent>
            </w:sdt>
            <w:sdt>
              <w:sdtPr>
                <w:rPr>
                  <w:rFonts w:hint="eastAsia"/>
                </w:rPr>
                <w:alias w:val="非流动性资产处置损益，包括已计提资产减值准备的冲销部分（非经常性损益项目）"/>
                <w:tag w:val="_GBC_c0f6e37f5f8c43628c4ac4c4c9c7d16a"/>
                <w:id w:val="969855962"/>
                <w:lock w:val="sdtLocked"/>
                <w:dataBinding w:prefixMappings="xmlns:clcid-pte='clcid-pte'" w:xpath="/*/clcid-pte:FeiLiuDongXingZiChanChuZhiSunYiBaoKuoYiJiTiZiChanJianZhiZhunBeiDeChongXiaoBuFenFeiJingChangXingSunYiXiangMu[not(@periodRef)]" w:storeItemID="{89EBAB94-44A0-46A2-B712-30D997D04A6D}"/>
                <w:text/>
              </w:sdtPr>
              <w:sdtEndPr/>
              <w:sdtContent>
                <w:tc>
                  <w:tcPr>
                    <w:tcW w:w="1377" w:type="pct"/>
                    <w:shd w:val="clear" w:color="auto" w:fill="auto"/>
                    <w:vAlign w:val="center"/>
                  </w:tcPr>
                  <w:p w14:paraId="62E0D2DB" w14:textId="6D66E164" w:rsidR="007E7472" w:rsidRDefault="006F3F93">
                    <w:pPr>
                      <w:jc w:val="right"/>
                    </w:pPr>
                    <w:r>
                      <w:rPr>
                        <w:rFonts w:hint="eastAsia"/>
                      </w:rPr>
                      <w:t>5,190</w:t>
                    </w:r>
                  </w:p>
                </w:tc>
              </w:sdtContent>
            </w:sdt>
            <w:sdt>
              <w:sdtPr>
                <w:alias w:val="非流动性资产处置损益，包括已计提资产减值准备的冲销部分的说明（非经常性损益项目）"/>
                <w:tag w:val="_GBC_3dd3912c36bc4f1180fa034def97791b"/>
                <w:id w:val="-940996108"/>
                <w:lock w:val="sdtLocked"/>
                <w:showingPlcHdr/>
                <w:dataBinding w:prefixMappings="xmlns:clcid-pte='clcid-pte'" w:xpath="/*/clcid-pte:FeiLiuDongXingZiChanChuZhiSunYiBaoKuoYiJiTiZiChanJianZhiZhunBeiDeChongXiaoBuFenFeiJingChangXingSunYiXiangMuShuoMing[not(@periodRef)]" w:storeItemID="{89EBAB94-44A0-46A2-B712-30D997D04A6D}"/>
                <w:text/>
              </w:sdtPr>
              <w:sdtEndPr/>
              <w:sdtContent>
                <w:tc>
                  <w:tcPr>
                    <w:tcW w:w="1382" w:type="pct"/>
                    <w:vAlign w:val="center"/>
                  </w:tcPr>
                  <w:p w14:paraId="660607D4" w14:textId="77777777" w:rsidR="007E7472" w:rsidRDefault="00EC1269">
                    <w:pPr>
                      <w:rPr>
                        <w:b/>
                      </w:rPr>
                    </w:pPr>
                    <w:r>
                      <w:rPr>
                        <w:rFonts w:hint="eastAsia"/>
                        <w:color w:val="0000FF"/>
                      </w:rPr>
                      <w:t xml:space="preserve">　</w:t>
                    </w:r>
                  </w:p>
                </w:tc>
              </w:sdtContent>
            </w:sdt>
          </w:tr>
          <w:tr w:rsidR="007E7472" w14:paraId="74AF576A" w14:textId="77777777">
            <w:sdt>
              <w:sdtPr>
                <w:tag w:val="_PLD_31a35961231c474ba8474eb58e651ee4"/>
                <w:id w:val="-1124916813"/>
                <w:lock w:val="sdtLocked"/>
              </w:sdtPr>
              <w:sdtEndPr/>
              <w:sdtContent>
                <w:tc>
                  <w:tcPr>
                    <w:tcW w:w="2241" w:type="pct"/>
                    <w:shd w:val="clear" w:color="auto" w:fill="auto"/>
                    <w:vAlign w:val="center"/>
                  </w:tcPr>
                  <w:p w14:paraId="63724910" w14:textId="77777777" w:rsidR="007E7472" w:rsidRDefault="00EC1269">
                    <w:r>
                      <w:rPr>
                        <w:rFonts w:hint="eastAsia"/>
                      </w:rPr>
                      <w:t>越权审批，或无正式批准文件，或偶发性的税收返还、减免</w:t>
                    </w:r>
                  </w:p>
                </w:tc>
              </w:sdtContent>
            </w:sdt>
            <w:sdt>
              <w:sdtPr>
                <w:rPr>
                  <w:rFonts w:hint="eastAsia"/>
                </w:rPr>
                <w:alias w:val="越权审批，或无正式批准文件，或偶发性的税收返还、减免（非经常性损益项目）"/>
                <w:tag w:val="_GBC_54925f7ff9a447c18a34a4da7bcbb112"/>
                <w:id w:val="240388549"/>
                <w:lock w:val="sdtLocked"/>
                <w:showingPlcHdr/>
                <w:dataBinding w:prefixMappings="xmlns:clcid-pte='clcid-pte'" w:xpath="/*/clcid-pte:FeiJingChangXingSunYiZhongYueQuanShenPiHuoWuZhengShiPiZhunWenJianDeShuiShouFanHuanJianMian[not(@periodRef)]" w:storeItemID="{89EBAB94-44A0-46A2-B712-30D997D04A6D}"/>
                <w:text/>
              </w:sdtPr>
              <w:sdtEndPr/>
              <w:sdtContent>
                <w:tc>
                  <w:tcPr>
                    <w:tcW w:w="1377" w:type="pct"/>
                    <w:shd w:val="clear" w:color="auto" w:fill="auto"/>
                    <w:vAlign w:val="center"/>
                  </w:tcPr>
                  <w:p w14:paraId="3269C879" w14:textId="77777777" w:rsidR="007E7472" w:rsidRDefault="00EC1269">
                    <w:pPr>
                      <w:ind w:right="6"/>
                      <w:jc w:val="right"/>
                    </w:pPr>
                    <w:r>
                      <w:rPr>
                        <w:rFonts w:hint="eastAsia"/>
                        <w:color w:val="0000FF"/>
                      </w:rPr>
                      <w:t xml:space="preserve">　</w:t>
                    </w:r>
                  </w:p>
                </w:tc>
              </w:sdtContent>
            </w:sdt>
            <w:sdt>
              <w:sdtPr>
                <w:alias w:val="越权审批，或无正式批准文件，或偶发性的税收返还、减免的说明（非经常性损益项目）"/>
                <w:tag w:val="_GBC_fff2aa47dfaa44b9a4bff6d9539b1847"/>
                <w:id w:val="558286807"/>
                <w:lock w:val="sdtLocked"/>
                <w:showingPlcHdr/>
                <w:dataBinding w:prefixMappings="xmlns:clcid-pte='clcid-pte'" w:xpath="/*/clcid-pte:FeiJingChangXingSunYiZhongYueQuanShenPiHuoWuZhengShiPiZhunWenJianDeShuiShouFanHuanJianMianShuoMing[not(@periodRef)]" w:storeItemID="{89EBAB94-44A0-46A2-B712-30D997D04A6D}"/>
                <w:text/>
              </w:sdtPr>
              <w:sdtEndPr/>
              <w:sdtContent>
                <w:tc>
                  <w:tcPr>
                    <w:tcW w:w="1382" w:type="pct"/>
                    <w:vAlign w:val="center"/>
                  </w:tcPr>
                  <w:p w14:paraId="1F3CA5BF" w14:textId="77777777" w:rsidR="007E7472" w:rsidRDefault="00EC1269">
                    <w:r>
                      <w:rPr>
                        <w:rFonts w:hint="eastAsia"/>
                        <w:color w:val="0000FF"/>
                      </w:rPr>
                      <w:t xml:space="preserve">　</w:t>
                    </w:r>
                  </w:p>
                </w:tc>
              </w:sdtContent>
            </w:sdt>
          </w:tr>
          <w:tr w:rsidR="007E7472" w14:paraId="3A1A9E53" w14:textId="77777777">
            <w:sdt>
              <w:sdtPr>
                <w:tag w:val="_PLD_f43a7e56c2a4446ba19f46bdec73d879"/>
                <w:id w:val="-515774773"/>
                <w:lock w:val="sdtLocked"/>
              </w:sdtPr>
              <w:sdtEndPr/>
              <w:sdtContent>
                <w:tc>
                  <w:tcPr>
                    <w:tcW w:w="2241" w:type="pct"/>
                    <w:shd w:val="clear" w:color="auto" w:fill="auto"/>
                    <w:vAlign w:val="center"/>
                  </w:tcPr>
                  <w:p w14:paraId="05B98535" w14:textId="77777777" w:rsidR="007E7472" w:rsidRDefault="00EC1269">
                    <w:r>
                      <w:rPr>
                        <w:rFonts w:hint="eastAsia"/>
                      </w:rPr>
                      <w:t>计入当期损益的政府补助，但与公司正常经营业务密切相关，符合国家政策规定、按照一定标准定额或定量持续享受的政府补助除外</w:t>
                    </w:r>
                  </w:p>
                </w:tc>
              </w:sdtContent>
            </w:sdt>
            <w:sdt>
              <w:sdtPr>
                <w:rPr>
                  <w:rFonts w:hint="eastAsia"/>
                </w:rPr>
                <w:alias w:val="计入当期损益的政府补助，但与公司正常经营业务密切相关，符合国家政策规定、按照一定标准定额或定量持续享受的政府补助除外（非经常性损"/>
                <w:tag w:val="_GBC_308139e0f1b74c959fddb892cd8c5736"/>
                <w:id w:val="1535542089"/>
                <w:lock w:val="sdtLocked"/>
                <w:dataBinding w:prefixMappings="xmlns:clcid-pte='clcid-pte'" w:xpath="/*/clcid-pte:FeiJingChangXingSunYiZhongGeZhongXingShiDeZhengFuBuTie[not(@periodRef)]" w:storeItemID="{89EBAB94-44A0-46A2-B712-30D997D04A6D}"/>
                <w:text/>
              </w:sdtPr>
              <w:sdtEndPr/>
              <w:sdtContent>
                <w:tc>
                  <w:tcPr>
                    <w:tcW w:w="1377" w:type="pct"/>
                    <w:shd w:val="clear" w:color="auto" w:fill="auto"/>
                    <w:vAlign w:val="center"/>
                  </w:tcPr>
                  <w:p w14:paraId="3937F3EF" w14:textId="517A3E8A" w:rsidR="007E7472" w:rsidRDefault="006F3F93">
                    <w:pPr>
                      <w:jc w:val="right"/>
                    </w:pPr>
                    <w:r>
                      <w:rPr>
                        <w:rFonts w:hint="eastAsia"/>
                      </w:rPr>
                      <w:t>68,281</w:t>
                    </w:r>
                  </w:p>
                </w:tc>
              </w:sdtContent>
            </w:sdt>
            <w:sdt>
              <w:sdtPr>
                <w:alias w:val="计入当期损益的政府补助，但与公司正常经营业务密切相关，符合国家政策规定、按照一定标准定额或定量持续享受的政府补助除外的说明（非经"/>
                <w:tag w:val="_GBC_66f00128b455448e949842cd4a0e09fe"/>
                <w:id w:val="-144903863"/>
                <w:lock w:val="sdtLocked"/>
                <w:showingPlcHdr/>
                <w:dataBinding w:prefixMappings="xmlns:clcid-pte='clcid-pte'" w:xpath="/*/clcid-pte:FeiJingChangXingSunYiZhongGeZhongXingShiDeZhengFuBuTieShuoMing[not(@periodRef)]" w:storeItemID="{89EBAB94-44A0-46A2-B712-30D997D04A6D}"/>
                <w:text/>
              </w:sdtPr>
              <w:sdtEndPr/>
              <w:sdtContent>
                <w:tc>
                  <w:tcPr>
                    <w:tcW w:w="1382" w:type="pct"/>
                    <w:vAlign w:val="center"/>
                  </w:tcPr>
                  <w:p w14:paraId="3295DBB6" w14:textId="77777777" w:rsidR="007E7472" w:rsidRDefault="00EC1269">
                    <w:r>
                      <w:rPr>
                        <w:rFonts w:hint="eastAsia"/>
                        <w:color w:val="0000FF"/>
                      </w:rPr>
                      <w:t xml:space="preserve">　</w:t>
                    </w:r>
                  </w:p>
                </w:tc>
              </w:sdtContent>
            </w:sdt>
          </w:tr>
          <w:tr w:rsidR="007E7472" w14:paraId="5E26F3CC" w14:textId="77777777">
            <w:sdt>
              <w:sdtPr>
                <w:tag w:val="_PLD_d7e96fbe7dc54bb4b1cda5ee991b43dd"/>
                <w:id w:val="-267844700"/>
                <w:lock w:val="sdtLocked"/>
              </w:sdtPr>
              <w:sdtEndPr/>
              <w:sdtContent>
                <w:tc>
                  <w:tcPr>
                    <w:tcW w:w="2241" w:type="pct"/>
                    <w:shd w:val="clear" w:color="auto" w:fill="auto"/>
                    <w:vAlign w:val="center"/>
                  </w:tcPr>
                  <w:p w14:paraId="2A389B63" w14:textId="77777777" w:rsidR="007E7472" w:rsidRDefault="00EC1269">
                    <w:r>
                      <w:rPr>
                        <w:rFonts w:hint="eastAsia"/>
                      </w:rPr>
                      <w:t>计入当期损益的对非金融企业收取的资金占用费</w:t>
                    </w:r>
                  </w:p>
                </w:tc>
              </w:sdtContent>
            </w:sdt>
            <w:sdt>
              <w:sdtPr>
                <w:rPr>
                  <w:rFonts w:hint="eastAsia"/>
                </w:rPr>
                <w:alias w:val="计入当期损益的对非金融企业收取的资金占用费（非经常性损益项目）"/>
                <w:tag w:val="_GBC_b60bf32a05784d049cf9598566d8cb51"/>
                <w:id w:val="60990613"/>
                <w:lock w:val="sdtLocked"/>
                <w:showingPlcHdr/>
                <w:dataBinding w:prefixMappings="xmlns:clcid-pte='clcid-pte'" w:xpath="/*/clcid-pte:JiRuDangQiSunYiDeDuiFeiJinRongQiYeShouQuDeZiJinZhanYongFeiFeiJingChangXingSunYiXiangMu[not(@periodRef)]" w:storeItemID="{89EBAB94-44A0-46A2-B712-30D997D04A6D}"/>
                <w:text/>
              </w:sdtPr>
              <w:sdtEndPr/>
              <w:sdtContent>
                <w:tc>
                  <w:tcPr>
                    <w:tcW w:w="1377" w:type="pct"/>
                    <w:shd w:val="clear" w:color="auto" w:fill="auto"/>
                    <w:vAlign w:val="center"/>
                  </w:tcPr>
                  <w:p w14:paraId="58ADF882" w14:textId="77777777" w:rsidR="007E7472" w:rsidRDefault="00EC1269">
                    <w:pPr>
                      <w:jc w:val="right"/>
                    </w:pPr>
                    <w:r>
                      <w:rPr>
                        <w:rFonts w:hint="eastAsia"/>
                        <w:color w:val="0000FF"/>
                      </w:rPr>
                      <w:t xml:space="preserve">　</w:t>
                    </w:r>
                  </w:p>
                </w:tc>
              </w:sdtContent>
            </w:sdt>
            <w:sdt>
              <w:sdtPr>
                <w:alias w:val="计入当期损益的对非金融企业收取的资金占用费的说明（非经常性损益项目）"/>
                <w:tag w:val="_GBC_979ae1bdd5b64ded92c7530e02298530"/>
                <w:id w:val="1325403031"/>
                <w:lock w:val="sdtLocked"/>
                <w:showingPlcHdr/>
                <w:dataBinding w:prefixMappings="xmlns:clcid-pte='clcid-pte'" w:xpath="/*/clcid-pte:JiRuDangQiSunYiDeDuiFeiJinRongQiYeShouQuDeZiJinZhanYongFeiFeiJingChangXingSunYiXiangMuShuoMing[not(@periodRef)]" w:storeItemID="{89EBAB94-44A0-46A2-B712-30D997D04A6D}"/>
                <w:text/>
              </w:sdtPr>
              <w:sdtEndPr/>
              <w:sdtContent>
                <w:tc>
                  <w:tcPr>
                    <w:tcW w:w="1382" w:type="pct"/>
                    <w:vAlign w:val="center"/>
                  </w:tcPr>
                  <w:p w14:paraId="25238160" w14:textId="77777777" w:rsidR="007E7472" w:rsidRDefault="00EC1269">
                    <w:r>
                      <w:rPr>
                        <w:rFonts w:hint="eastAsia"/>
                        <w:color w:val="0000FF"/>
                      </w:rPr>
                      <w:t xml:space="preserve">　</w:t>
                    </w:r>
                  </w:p>
                </w:tc>
              </w:sdtContent>
            </w:sdt>
          </w:tr>
          <w:tr w:rsidR="007E7472" w14:paraId="5A0F3D89" w14:textId="77777777">
            <w:sdt>
              <w:sdtPr>
                <w:tag w:val="_PLD_4202f84f3b5f4785bde9fefee03ce5ee"/>
                <w:id w:val="-53470631"/>
                <w:lock w:val="sdtLocked"/>
              </w:sdtPr>
              <w:sdtEndPr/>
              <w:sdtContent>
                <w:tc>
                  <w:tcPr>
                    <w:tcW w:w="2241" w:type="pct"/>
                    <w:shd w:val="clear" w:color="auto" w:fill="auto"/>
                    <w:vAlign w:val="center"/>
                  </w:tcPr>
                  <w:p w14:paraId="1763D498" w14:textId="77777777" w:rsidR="007E7472" w:rsidRDefault="00EC1269">
                    <w:r>
                      <w:rPr>
                        <w:rFonts w:hint="eastAsia"/>
                      </w:rPr>
                      <w:t>企业取得子公司、联营企业及合营企业的投资成本小于取得投资时应享有被投资单位可辨认净资产公允价值产生的收益</w:t>
                    </w:r>
                  </w:p>
                </w:tc>
              </w:sdtContent>
            </w:sdt>
            <w:sdt>
              <w:sdtPr>
                <w:rPr>
                  <w:rFonts w:hint="eastAsia"/>
                </w:rPr>
                <w:alias w:val="企业取得子公司、联营企业及合营企业的投资成本小于取得投资时应享有被投资单位可辨认净资产公允价值产生的收益（非经常性损益项目）"/>
                <w:tag w:val="_GBC_81ad5fb35de04f2a8aaa31df1b2e7de1"/>
                <w:id w:val="289025998"/>
                <w:lock w:val="sdtLocked"/>
                <w:showingPlcHdr/>
                <w:dataBinding w:prefixMappings="xmlns:clcid-pte='clcid-pte'" w:xpath="/*/clcid-pte:QiYeHeBingDeHeBingChengBenXiaoYuHeBingShiYingXiangYouBeiHeBingDanWeiKeBianRenJingZiChanGongYunJiaZhiChanShengDeSunYi[not(@periodRef)]" w:storeItemID="{89EBAB94-44A0-46A2-B712-30D997D04A6D}"/>
                <w:text/>
              </w:sdtPr>
              <w:sdtEndPr/>
              <w:sdtContent>
                <w:tc>
                  <w:tcPr>
                    <w:tcW w:w="1377" w:type="pct"/>
                    <w:shd w:val="clear" w:color="auto" w:fill="auto"/>
                    <w:vAlign w:val="center"/>
                  </w:tcPr>
                  <w:p w14:paraId="6BDF8BE1" w14:textId="77777777" w:rsidR="007E7472" w:rsidRDefault="00EC1269">
                    <w:pPr>
                      <w:jc w:val="right"/>
                    </w:pPr>
                    <w:r>
                      <w:rPr>
                        <w:rFonts w:hint="eastAsia"/>
                        <w:color w:val="0000FF"/>
                      </w:rPr>
                      <w:t xml:space="preserve">　</w:t>
                    </w:r>
                  </w:p>
                </w:tc>
              </w:sdtContent>
            </w:sdt>
            <w:sdt>
              <w:sdtPr>
                <w:alias w:val="企业取得子公司、联营企业及合营企业的投资成本小于取得投资时应享有被投资单位可辨认净资产公允价值产生的收益的说明（非经常性损益项目"/>
                <w:tag w:val="_GBC_6fd20aef5fb94b079f10bf6e52ce2424"/>
                <w:id w:val="811056975"/>
                <w:lock w:val="sdtLocked"/>
                <w:showingPlcHdr/>
                <w:dataBinding w:prefixMappings="xmlns:clcid-pte='clcid-pte'" w:xpath="/*/clcid-pte:QiYeHeBingDeHeBingChengBenXiaoYuHeBingShiYingXiangYouBeiHeBingDanWeiKeBianRenJingZiChanGongYunJiaZhiChanShengDeSunYiShuoMing[not(@periodRef)]" w:storeItemID="{89EBAB94-44A0-46A2-B712-30D997D04A6D}"/>
                <w:text/>
              </w:sdtPr>
              <w:sdtEndPr/>
              <w:sdtContent>
                <w:tc>
                  <w:tcPr>
                    <w:tcW w:w="1382" w:type="pct"/>
                    <w:vAlign w:val="center"/>
                  </w:tcPr>
                  <w:p w14:paraId="7A062D92" w14:textId="77777777" w:rsidR="007E7472" w:rsidRDefault="00EC1269">
                    <w:r>
                      <w:rPr>
                        <w:rFonts w:hint="eastAsia"/>
                        <w:color w:val="0000FF"/>
                      </w:rPr>
                      <w:t xml:space="preserve">　</w:t>
                    </w:r>
                  </w:p>
                </w:tc>
              </w:sdtContent>
            </w:sdt>
          </w:tr>
          <w:tr w:rsidR="007E7472" w14:paraId="24E321C1" w14:textId="77777777">
            <w:sdt>
              <w:sdtPr>
                <w:tag w:val="_PLD_71a6a72b435c4477a6926011a107974b"/>
                <w:id w:val="-1513291034"/>
                <w:lock w:val="sdtLocked"/>
              </w:sdtPr>
              <w:sdtEndPr/>
              <w:sdtContent>
                <w:tc>
                  <w:tcPr>
                    <w:tcW w:w="2241" w:type="pct"/>
                    <w:shd w:val="clear" w:color="auto" w:fill="auto"/>
                    <w:vAlign w:val="center"/>
                  </w:tcPr>
                  <w:p w14:paraId="15B8A895" w14:textId="77777777" w:rsidR="007E7472" w:rsidRDefault="00EC1269">
                    <w:r>
                      <w:rPr>
                        <w:rFonts w:hint="eastAsia"/>
                      </w:rPr>
                      <w:t>非货币性资产交换损益</w:t>
                    </w:r>
                  </w:p>
                </w:tc>
              </w:sdtContent>
            </w:sdt>
            <w:sdt>
              <w:sdtPr>
                <w:rPr>
                  <w:rFonts w:hint="eastAsia"/>
                </w:rPr>
                <w:alias w:val="非货币性资产交换损益（非经常性损益项目）"/>
                <w:tag w:val="_GBC_183e9310d88e4a049326343ec3b94981"/>
                <w:id w:val="2046171839"/>
                <w:lock w:val="sdtLocked"/>
                <w:showingPlcHdr/>
                <w:dataBinding w:prefixMappings="xmlns:clcid-pte='clcid-pte'" w:xpath="/*/clcid-pte:FeiJingChangXingSunYiZhongZiChanZhiHuanSunYi[not(@periodRef)]" w:storeItemID="{89EBAB94-44A0-46A2-B712-30D997D04A6D}"/>
                <w:text/>
              </w:sdtPr>
              <w:sdtEndPr/>
              <w:sdtContent>
                <w:tc>
                  <w:tcPr>
                    <w:tcW w:w="1377" w:type="pct"/>
                    <w:shd w:val="clear" w:color="auto" w:fill="auto"/>
                    <w:vAlign w:val="center"/>
                  </w:tcPr>
                  <w:p w14:paraId="6828209C" w14:textId="77777777" w:rsidR="007E7472" w:rsidRDefault="00EC1269">
                    <w:pPr>
                      <w:jc w:val="right"/>
                    </w:pPr>
                    <w:r>
                      <w:rPr>
                        <w:rFonts w:hint="eastAsia"/>
                        <w:color w:val="0000FF"/>
                      </w:rPr>
                      <w:t xml:space="preserve">　</w:t>
                    </w:r>
                  </w:p>
                </w:tc>
              </w:sdtContent>
            </w:sdt>
            <w:sdt>
              <w:sdtPr>
                <w:alias w:val="非货币性资产交换损益的说明（非经常性损益项目）"/>
                <w:tag w:val="_GBC_f81dc018183e49b5b6cdb43553120829"/>
                <w:id w:val="1771734528"/>
                <w:lock w:val="sdtLocked"/>
                <w:showingPlcHdr/>
                <w:dataBinding w:prefixMappings="xmlns:clcid-pte='clcid-pte'" w:xpath="/*/clcid-pte:FeiJingChangXingSunYiZhongZiChanZhiHuanSunYiShuoMing[not(@periodRef)]" w:storeItemID="{89EBAB94-44A0-46A2-B712-30D997D04A6D}"/>
                <w:text/>
              </w:sdtPr>
              <w:sdtEndPr/>
              <w:sdtContent>
                <w:tc>
                  <w:tcPr>
                    <w:tcW w:w="1382" w:type="pct"/>
                    <w:vAlign w:val="center"/>
                  </w:tcPr>
                  <w:p w14:paraId="6678019F" w14:textId="77777777" w:rsidR="007E7472" w:rsidRDefault="00EC1269">
                    <w:r>
                      <w:rPr>
                        <w:rFonts w:hint="eastAsia"/>
                        <w:color w:val="0000FF"/>
                      </w:rPr>
                      <w:t xml:space="preserve">　</w:t>
                    </w:r>
                  </w:p>
                </w:tc>
              </w:sdtContent>
            </w:sdt>
          </w:tr>
          <w:tr w:rsidR="007E7472" w14:paraId="2757E185" w14:textId="77777777">
            <w:sdt>
              <w:sdtPr>
                <w:tag w:val="_PLD_890eebf3bba34471a4e0e1c772768e6b"/>
                <w:id w:val="63465071"/>
                <w:lock w:val="sdtLocked"/>
              </w:sdtPr>
              <w:sdtEndPr/>
              <w:sdtContent>
                <w:tc>
                  <w:tcPr>
                    <w:tcW w:w="2241" w:type="pct"/>
                    <w:shd w:val="clear" w:color="auto" w:fill="auto"/>
                    <w:vAlign w:val="center"/>
                  </w:tcPr>
                  <w:p w14:paraId="3892BFA8" w14:textId="77777777" w:rsidR="007E7472" w:rsidRDefault="00EC1269">
                    <w:r>
                      <w:rPr>
                        <w:rFonts w:hint="eastAsia"/>
                      </w:rPr>
                      <w:t>委托他人投资或管理资产的损益</w:t>
                    </w:r>
                  </w:p>
                </w:tc>
              </w:sdtContent>
            </w:sdt>
            <w:sdt>
              <w:sdtPr>
                <w:rPr>
                  <w:rFonts w:hint="eastAsia"/>
                </w:rPr>
                <w:alias w:val="委托他人投资或管理资产的损益（非经常性损益项目）"/>
                <w:tag w:val="_GBC_c4ecbe43ffde43f69e123457056d2872"/>
                <w:id w:val="332650456"/>
                <w:lock w:val="sdtLocked"/>
                <w:showingPlcHdr/>
                <w:dataBinding w:prefixMappings="xmlns:clcid-pte='clcid-pte'" w:xpath="/*/clcid-pte:WeiTuoTaRenTouZiHuoGuanLiZiChanDeSunYiFeiJingChangXingSunYiXiangMu[not(@periodRef)]" w:storeItemID="{89EBAB94-44A0-46A2-B712-30D997D04A6D}"/>
                <w:text/>
              </w:sdtPr>
              <w:sdtEndPr/>
              <w:sdtContent>
                <w:tc>
                  <w:tcPr>
                    <w:tcW w:w="1377" w:type="pct"/>
                    <w:shd w:val="clear" w:color="auto" w:fill="auto"/>
                    <w:vAlign w:val="center"/>
                  </w:tcPr>
                  <w:p w14:paraId="70CF6200" w14:textId="77777777" w:rsidR="007E7472" w:rsidRDefault="00EC1269">
                    <w:pPr>
                      <w:jc w:val="right"/>
                    </w:pPr>
                    <w:r>
                      <w:rPr>
                        <w:rFonts w:hint="eastAsia"/>
                        <w:color w:val="0000FF"/>
                      </w:rPr>
                      <w:t xml:space="preserve">　</w:t>
                    </w:r>
                  </w:p>
                </w:tc>
              </w:sdtContent>
            </w:sdt>
            <w:sdt>
              <w:sdtPr>
                <w:alias w:val="委托他人投资或管理资产的损益的说明（非经常性损益项目）"/>
                <w:tag w:val="_GBC_0b7ea33014c14ea594dcbf3f73d006a9"/>
                <w:id w:val="-465125376"/>
                <w:lock w:val="sdtLocked"/>
                <w:showingPlcHdr/>
                <w:dataBinding w:prefixMappings="xmlns:clcid-pte='clcid-pte'" w:xpath="/*/clcid-pte:WeiTuoTaRenTouZiHuoGuanLiZiChanDeSunYiFeiJingChangXingSunYiXiangMuShuoMing[not(@periodRef)]" w:storeItemID="{89EBAB94-44A0-46A2-B712-30D997D04A6D}"/>
                <w:text/>
              </w:sdtPr>
              <w:sdtEndPr/>
              <w:sdtContent>
                <w:tc>
                  <w:tcPr>
                    <w:tcW w:w="1382" w:type="pct"/>
                    <w:vAlign w:val="center"/>
                  </w:tcPr>
                  <w:p w14:paraId="5EEF8F43" w14:textId="77777777" w:rsidR="007E7472" w:rsidRDefault="00EC1269">
                    <w:r>
                      <w:rPr>
                        <w:rFonts w:hint="eastAsia"/>
                        <w:color w:val="0000FF"/>
                      </w:rPr>
                      <w:t xml:space="preserve">　</w:t>
                    </w:r>
                  </w:p>
                </w:tc>
              </w:sdtContent>
            </w:sdt>
          </w:tr>
          <w:tr w:rsidR="007E7472" w14:paraId="7615761E" w14:textId="77777777">
            <w:sdt>
              <w:sdtPr>
                <w:tag w:val="_PLD_a668e04dccff4c6fafa067a0f1a09043"/>
                <w:id w:val="514118333"/>
                <w:lock w:val="sdtLocked"/>
              </w:sdtPr>
              <w:sdtEndPr/>
              <w:sdtContent>
                <w:tc>
                  <w:tcPr>
                    <w:tcW w:w="2241" w:type="pct"/>
                    <w:shd w:val="clear" w:color="auto" w:fill="auto"/>
                    <w:vAlign w:val="center"/>
                  </w:tcPr>
                  <w:p w14:paraId="71737F88" w14:textId="77777777" w:rsidR="007E7472" w:rsidRDefault="00EC1269">
                    <w:r>
                      <w:rPr>
                        <w:rFonts w:hint="eastAsia"/>
                      </w:rPr>
                      <w:t>因不可抗力因素，如遭受自然灾害而计提的各项资产减值准备</w:t>
                    </w:r>
                  </w:p>
                </w:tc>
              </w:sdtContent>
            </w:sdt>
            <w:sdt>
              <w:sdtPr>
                <w:rPr>
                  <w:rFonts w:hint="eastAsia"/>
                </w:rPr>
                <w:alias w:val="因不可抗力因素，如遭受自然灾害而计提的各项资产减值准备（非经常性损益项目）"/>
                <w:tag w:val="_GBC_2a8748b399764dff9e1553ccdb576126"/>
                <w:id w:val="379512295"/>
                <w:lock w:val="sdtLocked"/>
                <w:showingPlcHdr/>
                <w:dataBinding w:prefixMappings="xmlns:clcid-pte='clcid-pte'" w:xpath="/*/clcid-pte:FeiJingChangXingSunYiZhongJiTiDeGeXiangZiChanJianZhiZhunBei[not(@periodRef)]" w:storeItemID="{89EBAB94-44A0-46A2-B712-30D997D04A6D}"/>
                <w:text/>
              </w:sdtPr>
              <w:sdtEndPr/>
              <w:sdtContent>
                <w:tc>
                  <w:tcPr>
                    <w:tcW w:w="1377" w:type="pct"/>
                    <w:shd w:val="clear" w:color="auto" w:fill="auto"/>
                    <w:vAlign w:val="center"/>
                  </w:tcPr>
                  <w:p w14:paraId="76F08AE6" w14:textId="77777777" w:rsidR="007E7472" w:rsidRDefault="00EC1269">
                    <w:pPr>
                      <w:jc w:val="right"/>
                    </w:pPr>
                    <w:r>
                      <w:rPr>
                        <w:rFonts w:hint="eastAsia"/>
                        <w:color w:val="0000FF"/>
                      </w:rPr>
                      <w:t xml:space="preserve">　</w:t>
                    </w:r>
                  </w:p>
                </w:tc>
              </w:sdtContent>
            </w:sdt>
            <w:sdt>
              <w:sdtPr>
                <w:alias w:val="因不可抗力因素，如遭受自然灾害而计提的各项资产减值准备的说明（非经常性损益项目）"/>
                <w:tag w:val="_GBC_16b2404811104936a50517e7a5005a70"/>
                <w:id w:val="1218715933"/>
                <w:lock w:val="sdtLocked"/>
                <w:showingPlcHdr/>
                <w:dataBinding w:prefixMappings="xmlns:clcid-pte='clcid-pte'" w:xpath="/*/clcid-pte:FeiJingChangXingSunYiZhongJiTiDeGeXiangZiChanJianZhiZhunBeiShuoMing[not(@periodRef)]" w:storeItemID="{89EBAB94-44A0-46A2-B712-30D997D04A6D}"/>
                <w:text/>
              </w:sdtPr>
              <w:sdtEndPr/>
              <w:sdtContent>
                <w:tc>
                  <w:tcPr>
                    <w:tcW w:w="1382" w:type="pct"/>
                    <w:vAlign w:val="center"/>
                  </w:tcPr>
                  <w:p w14:paraId="050D9B8F" w14:textId="77777777" w:rsidR="007E7472" w:rsidRDefault="00EC1269">
                    <w:r>
                      <w:rPr>
                        <w:rFonts w:hint="eastAsia"/>
                        <w:color w:val="0000FF"/>
                      </w:rPr>
                      <w:t xml:space="preserve">　</w:t>
                    </w:r>
                  </w:p>
                </w:tc>
              </w:sdtContent>
            </w:sdt>
          </w:tr>
          <w:tr w:rsidR="007E7472" w14:paraId="787DB682" w14:textId="77777777">
            <w:sdt>
              <w:sdtPr>
                <w:tag w:val="_PLD_cacaf97828ca4e89a2b67bf214749ae0"/>
                <w:id w:val="-1381243340"/>
                <w:lock w:val="sdtLocked"/>
              </w:sdtPr>
              <w:sdtEndPr/>
              <w:sdtContent>
                <w:tc>
                  <w:tcPr>
                    <w:tcW w:w="2241" w:type="pct"/>
                    <w:shd w:val="clear" w:color="auto" w:fill="auto"/>
                    <w:vAlign w:val="center"/>
                  </w:tcPr>
                  <w:p w14:paraId="30614D71" w14:textId="77777777" w:rsidR="007E7472" w:rsidRDefault="00EC1269">
                    <w:r>
                      <w:rPr>
                        <w:rFonts w:hint="eastAsia"/>
                      </w:rPr>
                      <w:t>债务重组损益</w:t>
                    </w:r>
                  </w:p>
                </w:tc>
              </w:sdtContent>
            </w:sdt>
            <w:sdt>
              <w:sdtPr>
                <w:rPr>
                  <w:rFonts w:hint="eastAsia"/>
                </w:rPr>
                <w:alias w:val="债务重组损益（非经常性损益项目）"/>
                <w:tag w:val="_GBC_e729e624a15f480daab7cd25e4507f0a"/>
                <w:id w:val="-846409380"/>
                <w:lock w:val="sdtLocked"/>
                <w:dataBinding w:prefixMappings="xmlns:clcid-pte='clcid-pte'" w:xpath="/*/clcid-pte:FeiJingChangXingSunYiZhongZhaiWuZhongZuSunYi[not(@periodRef)]" w:storeItemID="{89EBAB94-44A0-46A2-B712-30D997D04A6D}"/>
                <w:text/>
              </w:sdtPr>
              <w:sdtEndPr/>
              <w:sdtContent>
                <w:tc>
                  <w:tcPr>
                    <w:tcW w:w="1377" w:type="pct"/>
                    <w:shd w:val="clear" w:color="auto" w:fill="auto"/>
                    <w:vAlign w:val="center"/>
                  </w:tcPr>
                  <w:p w14:paraId="1FE4BB4C" w14:textId="78DD5DEA" w:rsidR="007E7472" w:rsidRDefault="006F3F93">
                    <w:pPr>
                      <w:jc w:val="right"/>
                    </w:pPr>
                    <w:r>
                      <w:rPr>
                        <w:rFonts w:hint="eastAsia"/>
                      </w:rPr>
                      <w:t>150</w:t>
                    </w:r>
                  </w:p>
                </w:tc>
              </w:sdtContent>
            </w:sdt>
            <w:sdt>
              <w:sdtPr>
                <w:alias w:val="债务重组损益的说明（非经常性损益项目）"/>
                <w:tag w:val="_GBC_7f719c240f1143fb80e55c68ae8d33dc"/>
                <w:id w:val="712707850"/>
                <w:lock w:val="sdtLocked"/>
                <w:showingPlcHdr/>
                <w:dataBinding w:prefixMappings="xmlns:clcid-pte='clcid-pte'" w:xpath="/*/clcid-pte:FeiJingChangXingSunYiZhongZhaiWuZhongZuSunYiShuoMing[not(@periodRef)]" w:storeItemID="{89EBAB94-44A0-46A2-B712-30D997D04A6D}"/>
                <w:text/>
              </w:sdtPr>
              <w:sdtEndPr/>
              <w:sdtContent>
                <w:tc>
                  <w:tcPr>
                    <w:tcW w:w="1382" w:type="pct"/>
                    <w:vAlign w:val="center"/>
                  </w:tcPr>
                  <w:p w14:paraId="24F224E2" w14:textId="77777777" w:rsidR="007E7472" w:rsidRDefault="00EC1269">
                    <w:r>
                      <w:rPr>
                        <w:rFonts w:hint="eastAsia"/>
                        <w:color w:val="0000FF"/>
                      </w:rPr>
                      <w:t xml:space="preserve">　</w:t>
                    </w:r>
                  </w:p>
                </w:tc>
              </w:sdtContent>
            </w:sdt>
          </w:tr>
          <w:tr w:rsidR="007E7472" w14:paraId="43052A12" w14:textId="77777777">
            <w:sdt>
              <w:sdtPr>
                <w:tag w:val="_PLD_2886d8f505da4d2ebcad3fe03e7320db"/>
                <w:id w:val="1103614997"/>
                <w:lock w:val="sdtLocked"/>
              </w:sdtPr>
              <w:sdtEndPr/>
              <w:sdtContent>
                <w:tc>
                  <w:tcPr>
                    <w:tcW w:w="2241" w:type="pct"/>
                    <w:shd w:val="clear" w:color="auto" w:fill="auto"/>
                    <w:vAlign w:val="center"/>
                  </w:tcPr>
                  <w:p w14:paraId="09CF9337" w14:textId="77777777" w:rsidR="007E7472" w:rsidRDefault="00EC1269">
                    <w:r>
                      <w:rPr>
                        <w:rFonts w:hint="eastAsia"/>
                      </w:rPr>
                      <w:t>企业重组费用，如安置职工的支出、整合费用等</w:t>
                    </w:r>
                  </w:p>
                </w:tc>
              </w:sdtContent>
            </w:sdt>
            <w:sdt>
              <w:sdtPr>
                <w:rPr>
                  <w:rFonts w:hint="eastAsia"/>
                </w:rPr>
                <w:alias w:val="企业重组费用，如安置职工的支出、整合费用等（非经常性损益项目）"/>
                <w:tag w:val="_GBC_60bb176d76ac413392a58a42d502c9ad"/>
                <w:id w:val="-1711250958"/>
                <w:lock w:val="sdtLocked"/>
                <w:showingPlcHdr/>
                <w:dataBinding w:prefixMappings="xmlns:clcid-pte='clcid-pte'" w:xpath="/*/clcid-pte:QiYeZhongZuFeiYongRuAnZhiZhiGongDeZhiChuZhengHeFeiYongDeng[not(@periodRef)]" w:storeItemID="{89EBAB94-44A0-46A2-B712-30D997D04A6D}"/>
                <w:text/>
              </w:sdtPr>
              <w:sdtEndPr/>
              <w:sdtContent>
                <w:tc>
                  <w:tcPr>
                    <w:tcW w:w="1377" w:type="pct"/>
                    <w:shd w:val="clear" w:color="auto" w:fill="auto"/>
                    <w:vAlign w:val="center"/>
                  </w:tcPr>
                  <w:p w14:paraId="7B4F4D5D" w14:textId="77777777" w:rsidR="007E7472" w:rsidRDefault="00EC1269">
                    <w:pPr>
                      <w:jc w:val="right"/>
                    </w:pPr>
                    <w:r>
                      <w:rPr>
                        <w:rFonts w:hint="eastAsia"/>
                        <w:color w:val="0000FF"/>
                      </w:rPr>
                      <w:t xml:space="preserve">　</w:t>
                    </w:r>
                  </w:p>
                </w:tc>
              </w:sdtContent>
            </w:sdt>
            <w:sdt>
              <w:sdtPr>
                <w:alias w:val="企业重组费用，如安置职工的支出、整合费用等的说明（非经常性损益项目）"/>
                <w:tag w:val="_GBC_caba9edc011846abab0b461cce85775b"/>
                <w:id w:val="-451486251"/>
                <w:lock w:val="sdtLocked"/>
                <w:showingPlcHdr/>
                <w:dataBinding w:prefixMappings="xmlns:clcid-pte='clcid-pte'" w:xpath="/*/clcid-pte:QiYeZhongZuFeiYongRuAnZhiZhiGongDeZhiChuZhengHeFeiYongDengShuoMing[not(@periodRef)]" w:storeItemID="{89EBAB94-44A0-46A2-B712-30D997D04A6D}"/>
                <w:text/>
              </w:sdtPr>
              <w:sdtEndPr/>
              <w:sdtContent>
                <w:tc>
                  <w:tcPr>
                    <w:tcW w:w="1382" w:type="pct"/>
                    <w:vAlign w:val="center"/>
                  </w:tcPr>
                  <w:p w14:paraId="2C57E551" w14:textId="77777777" w:rsidR="007E7472" w:rsidRDefault="00EC1269">
                    <w:r>
                      <w:rPr>
                        <w:rFonts w:hint="eastAsia"/>
                        <w:color w:val="0000FF"/>
                      </w:rPr>
                      <w:t xml:space="preserve">　</w:t>
                    </w:r>
                  </w:p>
                </w:tc>
              </w:sdtContent>
            </w:sdt>
          </w:tr>
          <w:tr w:rsidR="007E7472" w14:paraId="447D538D" w14:textId="77777777">
            <w:sdt>
              <w:sdtPr>
                <w:tag w:val="_PLD_231787594ace448a8ea050d85cd9635f"/>
                <w:id w:val="-1437598117"/>
                <w:lock w:val="sdtLocked"/>
              </w:sdtPr>
              <w:sdtEndPr/>
              <w:sdtContent>
                <w:tc>
                  <w:tcPr>
                    <w:tcW w:w="2241" w:type="pct"/>
                    <w:shd w:val="clear" w:color="auto" w:fill="auto"/>
                    <w:vAlign w:val="center"/>
                  </w:tcPr>
                  <w:p w14:paraId="382BBF9E" w14:textId="77777777" w:rsidR="007E7472" w:rsidRDefault="00EC1269">
                    <w:r>
                      <w:rPr>
                        <w:rFonts w:hint="eastAsia"/>
                      </w:rPr>
                      <w:t>交易价格显失公允的交易产生的超过公允价值部分的损益</w:t>
                    </w:r>
                  </w:p>
                </w:tc>
              </w:sdtContent>
            </w:sdt>
            <w:sdt>
              <w:sdtPr>
                <w:rPr>
                  <w:rFonts w:hint="eastAsia"/>
                </w:rPr>
                <w:alias w:val="交易价格显失公允的交易产生的超过公允价值部分的损益（非经常性损益项目）"/>
                <w:tag w:val="_GBC_202fe6cc7fe34613a4619ad1f23c1088"/>
                <w:id w:val="1374418013"/>
                <w:lock w:val="sdtLocked"/>
                <w:showingPlcHdr/>
                <w:dataBinding w:prefixMappings="xmlns:clcid-pte='clcid-pte'" w:xpath="/*/clcid-pte:FeiJingChangXingSunYiZhongJiaoYiJiaGeXianShiGongYunDeJiaoYiChanShengDeSunYi[not(@periodRef)]" w:storeItemID="{89EBAB94-44A0-46A2-B712-30D997D04A6D}"/>
                <w:text/>
              </w:sdtPr>
              <w:sdtEndPr/>
              <w:sdtContent>
                <w:tc>
                  <w:tcPr>
                    <w:tcW w:w="1377" w:type="pct"/>
                    <w:shd w:val="clear" w:color="auto" w:fill="auto"/>
                    <w:vAlign w:val="center"/>
                  </w:tcPr>
                  <w:p w14:paraId="0162EA64" w14:textId="77777777" w:rsidR="007E7472" w:rsidRDefault="00EC1269">
                    <w:pPr>
                      <w:jc w:val="right"/>
                    </w:pPr>
                    <w:r>
                      <w:rPr>
                        <w:rFonts w:hint="eastAsia"/>
                        <w:color w:val="0000FF"/>
                      </w:rPr>
                      <w:t xml:space="preserve">　</w:t>
                    </w:r>
                  </w:p>
                </w:tc>
              </w:sdtContent>
            </w:sdt>
            <w:sdt>
              <w:sdtPr>
                <w:alias w:val="交易价格显失公允的交易产生的超过公允价值部分的损益的说明（非经常性损益项目）"/>
                <w:tag w:val="_GBC_917f369ca953451280b5b4471d607e8a"/>
                <w:id w:val="204761659"/>
                <w:lock w:val="sdtLocked"/>
                <w:showingPlcHdr/>
                <w:dataBinding w:prefixMappings="xmlns:clcid-pte='clcid-pte'" w:xpath="/*/clcid-pte:FeiJingChangXingSunYiZhongJiaoYiJiaGeXianShiGongYunDeJiaoYiChanShengDeSunYiShuoMing[not(@periodRef)]" w:storeItemID="{89EBAB94-44A0-46A2-B712-30D997D04A6D}"/>
                <w:text/>
              </w:sdtPr>
              <w:sdtEndPr/>
              <w:sdtContent>
                <w:tc>
                  <w:tcPr>
                    <w:tcW w:w="1382" w:type="pct"/>
                    <w:vAlign w:val="center"/>
                  </w:tcPr>
                  <w:p w14:paraId="4AC6B793" w14:textId="77777777" w:rsidR="007E7472" w:rsidRDefault="00EC1269">
                    <w:r>
                      <w:rPr>
                        <w:rFonts w:hint="eastAsia"/>
                        <w:color w:val="0000FF"/>
                      </w:rPr>
                      <w:t xml:space="preserve">　</w:t>
                    </w:r>
                  </w:p>
                </w:tc>
              </w:sdtContent>
            </w:sdt>
          </w:tr>
          <w:tr w:rsidR="007E7472" w14:paraId="6943E788" w14:textId="77777777">
            <w:sdt>
              <w:sdtPr>
                <w:tag w:val="_PLD_ade07d30b88b426b84f1af6ec0155f4d"/>
                <w:id w:val="-1462880402"/>
                <w:lock w:val="sdtLocked"/>
              </w:sdtPr>
              <w:sdtEndPr/>
              <w:sdtContent>
                <w:tc>
                  <w:tcPr>
                    <w:tcW w:w="2241" w:type="pct"/>
                    <w:shd w:val="clear" w:color="auto" w:fill="auto"/>
                    <w:vAlign w:val="center"/>
                  </w:tcPr>
                  <w:p w14:paraId="16FB22AA" w14:textId="77777777" w:rsidR="007E7472" w:rsidRDefault="00EC1269">
                    <w:r>
                      <w:rPr>
                        <w:rFonts w:hint="eastAsia"/>
                      </w:rPr>
                      <w:t>同一控制下企业合并产生的子公司期初至合并日的当期净损益</w:t>
                    </w:r>
                  </w:p>
                </w:tc>
              </w:sdtContent>
            </w:sdt>
            <w:sdt>
              <w:sdtPr>
                <w:rPr>
                  <w:rFonts w:hint="eastAsia"/>
                </w:rPr>
                <w:alias w:val="同一控制下企业合并产生的子公司期初至合并日的当期净损益（非经常性损益项目）"/>
                <w:tag w:val="_GBC_98621cb0e9cf4beca12e26ef7d46892c"/>
                <w:id w:val="-863741997"/>
                <w:lock w:val="sdtLocked"/>
                <w:dataBinding w:prefixMappings="xmlns:clcid-pte='clcid-pte'" w:xpath="/*/clcid-pte:TongYiKongZhiXiaQiYeHeBingChanShengDeZiGongSiQiChuZhiHeBingRiDeDangQiJingSunYi[not(@periodRef)]" w:storeItemID="{89EBAB94-44A0-46A2-B712-30D997D04A6D}"/>
                <w:text/>
              </w:sdtPr>
              <w:sdtEndPr/>
              <w:sdtContent>
                <w:tc>
                  <w:tcPr>
                    <w:tcW w:w="1377" w:type="pct"/>
                    <w:shd w:val="clear" w:color="auto" w:fill="auto"/>
                    <w:vAlign w:val="center"/>
                  </w:tcPr>
                  <w:p w14:paraId="3B6D9073" w14:textId="0C2B549F" w:rsidR="007E7472" w:rsidRDefault="00913748">
                    <w:pPr>
                      <w:jc w:val="right"/>
                    </w:pPr>
                    <w:r>
                      <w:t>2</w:t>
                    </w:r>
                  </w:p>
                </w:tc>
              </w:sdtContent>
            </w:sdt>
            <w:sdt>
              <w:sdtPr>
                <w:alias w:val="同一控制下企业合并产生的子公司期初至合并日的当期净损益的说明（非经常性损益项目）"/>
                <w:tag w:val="_GBC_255b292194524d79ba717575b7da6854"/>
                <w:id w:val="-2109645601"/>
                <w:lock w:val="sdtLocked"/>
                <w:showingPlcHdr/>
                <w:dataBinding w:prefixMappings="xmlns:clcid-pte='clcid-pte'" w:xpath="/*/clcid-pte:TongYiKongZhiXiaQiYeHeBingChanShengDeZiGongSiQiChuZhiHeBingRiDeDangQiJingSunYiShuoMing[not(@periodRef)]" w:storeItemID="{89EBAB94-44A0-46A2-B712-30D997D04A6D}"/>
                <w:text/>
              </w:sdtPr>
              <w:sdtEndPr/>
              <w:sdtContent>
                <w:tc>
                  <w:tcPr>
                    <w:tcW w:w="1382" w:type="pct"/>
                    <w:vAlign w:val="center"/>
                  </w:tcPr>
                  <w:p w14:paraId="754B6A8F" w14:textId="77777777" w:rsidR="007E7472" w:rsidRDefault="00EC1269">
                    <w:r>
                      <w:rPr>
                        <w:rFonts w:hint="eastAsia"/>
                        <w:color w:val="0000FF"/>
                      </w:rPr>
                      <w:t xml:space="preserve">　</w:t>
                    </w:r>
                  </w:p>
                </w:tc>
              </w:sdtContent>
            </w:sdt>
          </w:tr>
          <w:tr w:rsidR="007E7472" w14:paraId="2C900FD9" w14:textId="77777777">
            <w:sdt>
              <w:sdtPr>
                <w:tag w:val="_PLD_fc6354f58bce4f0e9409d22978ff4d79"/>
                <w:id w:val="889465851"/>
                <w:lock w:val="sdtLocked"/>
              </w:sdtPr>
              <w:sdtEndPr/>
              <w:sdtContent>
                <w:tc>
                  <w:tcPr>
                    <w:tcW w:w="2241" w:type="pct"/>
                    <w:shd w:val="clear" w:color="auto" w:fill="auto"/>
                    <w:vAlign w:val="center"/>
                  </w:tcPr>
                  <w:p w14:paraId="6D1648B6" w14:textId="77777777" w:rsidR="007E7472" w:rsidRDefault="00EC1269">
                    <w:r>
                      <w:rPr>
                        <w:rFonts w:hint="eastAsia"/>
                      </w:rPr>
                      <w:t>与公司正常经营业务无关的或有事项产生的损益</w:t>
                    </w:r>
                  </w:p>
                </w:tc>
              </w:sdtContent>
            </w:sdt>
            <w:sdt>
              <w:sdtPr>
                <w:rPr>
                  <w:rFonts w:hint="eastAsia"/>
                </w:rPr>
                <w:alias w:val="与公司正常经营业务无关的或有事项产生的损益（非经常性损益项目）"/>
                <w:tag w:val="_GBC_f539b3d1b31e4a19be980be7440d6c2d"/>
                <w:id w:val="-1927335104"/>
                <w:lock w:val="sdtLocked"/>
                <w:showingPlcHdr/>
                <w:dataBinding w:prefixMappings="xmlns:clcid-pte='clcid-pte'" w:xpath="/*/clcid-pte:YuGongSiZhuYingYeWuWuGuanDeYuJiFuZhaiChanShengDeSunYi[not(@periodRef)]" w:storeItemID="{89EBAB94-44A0-46A2-B712-30D997D04A6D}"/>
                <w:text/>
              </w:sdtPr>
              <w:sdtEndPr/>
              <w:sdtContent>
                <w:tc>
                  <w:tcPr>
                    <w:tcW w:w="1377" w:type="pct"/>
                    <w:shd w:val="clear" w:color="auto" w:fill="auto"/>
                    <w:vAlign w:val="center"/>
                  </w:tcPr>
                  <w:p w14:paraId="0AF05512" w14:textId="77777777" w:rsidR="007E7472" w:rsidRDefault="00EC1269">
                    <w:pPr>
                      <w:jc w:val="right"/>
                    </w:pPr>
                    <w:r>
                      <w:rPr>
                        <w:rFonts w:hint="eastAsia"/>
                        <w:color w:val="0000FF"/>
                      </w:rPr>
                      <w:t xml:space="preserve">　</w:t>
                    </w:r>
                  </w:p>
                </w:tc>
              </w:sdtContent>
            </w:sdt>
            <w:sdt>
              <w:sdtPr>
                <w:alias w:val="与公司正常经营业务无关的或有事项产生的损益的说明（非经常性损益项目）"/>
                <w:tag w:val="_GBC_8efd32e7fcd347b79aea4ff0c5324da1"/>
                <w:id w:val="1735886457"/>
                <w:lock w:val="sdtLocked"/>
                <w:showingPlcHdr/>
                <w:dataBinding w:prefixMappings="xmlns:clcid-pte='clcid-pte'" w:xpath="/*/clcid-pte:YuGongSiZhuYingYeWuWuGuanDeYuJiFuZhaiChanShengDeSunYiShuoMing[not(@periodRef)]" w:storeItemID="{89EBAB94-44A0-46A2-B712-30D997D04A6D}"/>
                <w:text/>
              </w:sdtPr>
              <w:sdtEndPr/>
              <w:sdtContent>
                <w:tc>
                  <w:tcPr>
                    <w:tcW w:w="1382" w:type="pct"/>
                    <w:vAlign w:val="center"/>
                  </w:tcPr>
                  <w:p w14:paraId="40FC5D32" w14:textId="77777777" w:rsidR="007E7472" w:rsidRDefault="00EC1269">
                    <w:r>
                      <w:rPr>
                        <w:rFonts w:hint="eastAsia"/>
                        <w:color w:val="0000FF"/>
                      </w:rPr>
                      <w:t xml:space="preserve">　</w:t>
                    </w:r>
                  </w:p>
                </w:tc>
              </w:sdtContent>
            </w:sdt>
          </w:tr>
          <w:tr w:rsidR="007E7472" w14:paraId="4A060004" w14:textId="77777777">
            <w:tc>
              <w:tcPr>
                <w:tcW w:w="2241" w:type="pct"/>
                <w:shd w:val="clear" w:color="auto" w:fill="auto"/>
                <w:vAlign w:val="center"/>
              </w:tcPr>
              <w:sdt>
                <w:sdtPr>
                  <w:rPr>
                    <w:rFonts w:hint="eastAsia"/>
                  </w:rPr>
                  <w:tag w:val="_PLD_6498769efe934f4b8e819e7019ca7f0f"/>
                  <w:id w:val="715863450"/>
                  <w:lock w:val="sdtLocked"/>
                </w:sdtPr>
                <w:sdtEndPr/>
                <w:sdtContent>
                  <w:p w14:paraId="2DBCB2A7" w14:textId="77777777" w:rsidR="007E7472" w:rsidRDefault="00EC1269">
                    <w:r>
                      <w:rPr>
                        <w:rFonts w:hint="eastAsia"/>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sdt>
              <w:sdtPr>
                <w:rPr>
                  <w:rFonts w:hint="eastAsia"/>
                </w:rPr>
                <w:alias w:val="除同公司正常经营业务相关的有效套期保值业务外，持有交易性金融资产、衍生金融资产、交易性金融负债、衍生金融负债产生的公允价值变动损"/>
                <w:tag w:val="_GBC_224a12dac2db4ca892e7f1a882e42e7c"/>
                <w:id w:val="-1237696134"/>
                <w:lock w:val="sdtLocked"/>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not(@periodRef)]" w:storeItemID="{89EBAB94-44A0-46A2-B712-30D997D04A6D}"/>
                <w:text/>
              </w:sdtPr>
              <w:sdtEndPr/>
              <w:sdtContent>
                <w:tc>
                  <w:tcPr>
                    <w:tcW w:w="1377" w:type="pct"/>
                    <w:shd w:val="clear" w:color="auto" w:fill="auto"/>
                    <w:vAlign w:val="center"/>
                  </w:tcPr>
                  <w:p w14:paraId="3B1E7AB3" w14:textId="527F4B29" w:rsidR="007E7472" w:rsidRDefault="006F3F93">
                    <w:pPr>
                      <w:jc w:val="right"/>
                    </w:pPr>
                    <w:r>
                      <w:rPr>
                        <w:rFonts w:hint="eastAsia"/>
                      </w:rPr>
                      <w:t>-59,123</w:t>
                    </w:r>
                  </w:p>
                </w:tc>
              </w:sdtContent>
            </w:sdt>
            <w:sdt>
              <w:sdtPr>
                <w:alias w:val="除同公司正常经营业务相关的有效套期保值业务外，持有交易性金融资产、衍生金融资产、交易性金融负债、衍生金融负债产生的公允价值变动损"/>
                <w:tag w:val="_GBC_19ab349c72ef4168990170088b52b9c4"/>
                <w:id w:val="1174611533"/>
                <w:lock w:val="sdtLocked"/>
                <w:showingPlcHdr/>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not(@periodRef)]" w:storeItemID="{89EBAB94-44A0-46A2-B712-30D997D04A6D}"/>
                <w:text/>
              </w:sdtPr>
              <w:sdtEndPr/>
              <w:sdtContent>
                <w:tc>
                  <w:tcPr>
                    <w:tcW w:w="1382" w:type="pct"/>
                    <w:vAlign w:val="center"/>
                  </w:tcPr>
                  <w:p w14:paraId="1B55EA30" w14:textId="77777777" w:rsidR="007E7472" w:rsidRDefault="00EC1269">
                    <w:r>
                      <w:rPr>
                        <w:rFonts w:hint="eastAsia"/>
                      </w:rPr>
                      <w:t xml:space="preserve">　</w:t>
                    </w:r>
                  </w:p>
                </w:tc>
              </w:sdtContent>
            </w:sdt>
          </w:tr>
          <w:tr w:rsidR="007E7472" w14:paraId="5DC7CE6D" w14:textId="77777777">
            <w:tc>
              <w:tcPr>
                <w:tcW w:w="2241" w:type="pct"/>
                <w:shd w:val="clear" w:color="auto" w:fill="auto"/>
                <w:vAlign w:val="center"/>
              </w:tcPr>
              <w:sdt>
                <w:sdtPr>
                  <w:rPr>
                    <w:rFonts w:hint="eastAsia"/>
                  </w:rPr>
                  <w:tag w:val="_PLD_0ba62d9157db4138a798780600699802"/>
                  <w:id w:val="-1738238702"/>
                  <w:lock w:val="sdtLocked"/>
                </w:sdtPr>
                <w:sdtEndPr/>
                <w:sdtContent>
                  <w:p w14:paraId="633B655B" w14:textId="77777777" w:rsidR="007E7472" w:rsidRDefault="00EC1269">
                    <w:r>
                      <w:rPr>
                        <w:rFonts w:hint="eastAsia"/>
                      </w:rPr>
                      <w:t>单独进行减值测试的应收款项、合同资产减值准备转回</w:t>
                    </w:r>
                  </w:p>
                </w:sdtContent>
              </w:sdt>
            </w:tc>
            <w:sdt>
              <w:sdtPr>
                <w:rPr>
                  <w:rFonts w:hint="eastAsia"/>
                </w:rPr>
                <w:alias w:val="单独进行减值测试的应收款项、合同资产减值准备转回（非经常性损益项目） "/>
                <w:tag w:val="_GBC_5b96ba026b0b4d809c41a8cad8924cbc"/>
                <w:id w:val="614568636"/>
                <w:lock w:val="sdtLocked"/>
                <w:dataBinding w:prefixMappings="xmlns:clcid-pte='clcid-pte'" w:xpath="/*/clcid-pte:DanDuJinXingJianZhiCeShiDeYingShouKuanXiangHeTongZiChanJianZhiZhunBeiZhuanHuiFeiJingChangXingSunYiXiangMu[not(@periodRef)]" w:storeItemID="{89EBAB94-44A0-46A2-B712-30D997D04A6D}"/>
                <w:text/>
              </w:sdtPr>
              <w:sdtEndPr/>
              <w:sdtContent>
                <w:tc>
                  <w:tcPr>
                    <w:tcW w:w="1377" w:type="pct"/>
                    <w:shd w:val="clear" w:color="auto" w:fill="auto"/>
                    <w:vAlign w:val="center"/>
                  </w:tcPr>
                  <w:p w14:paraId="78AC2DF8" w14:textId="1BAA269C" w:rsidR="007E7472" w:rsidRDefault="006F3F93">
                    <w:pPr>
                      <w:jc w:val="right"/>
                    </w:pPr>
                    <w:r>
                      <w:rPr>
                        <w:rFonts w:hint="eastAsia"/>
                      </w:rPr>
                      <w:t>102,76</w:t>
                    </w:r>
                    <w:r w:rsidR="00913748">
                      <w:t>5</w:t>
                    </w:r>
                  </w:p>
                </w:tc>
              </w:sdtContent>
            </w:sdt>
            <w:sdt>
              <w:sdtPr>
                <w:alias w:val="单独进行减值测试的应收款项、合同资产减值准备转回的说明（非经常性损益项目）"/>
                <w:tag w:val="_GBC_2d0278b63e544019971dfb93ba53aea6"/>
                <w:id w:val="-1433198801"/>
                <w:lock w:val="sdtLocked"/>
                <w:showingPlcHdr/>
                <w:dataBinding w:prefixMappings="xmlns:clcid-pte='clcid-pte'" w:xpath="/*/clcid-pte:DanDuJinXingJianZhiCeShiDeYingShouKuanXiangHeTongZiChanJianZhiZhunBeiZhuanHuiDeShuoMingFeiJingChangXingSunYiXiangMu[not(@periodRef)]" w:storeItemID="{89EBAB94-44A0-46A2-B712-30D997D04A6D}"/>
                <w:text/>
              </w:sdtPr>
              <w:sdtEndPr/>
              <w:sdtContent>
                <w:tc>
                  <w:tcPr>
                    <w:tcW w:w="1382" w:type="pct"/>
                    <w:vAlign w:val="center"/>
                  </w:tcPr>
                  <w:p w14:paraId="006C821A" w14:textId="77777777" w:rsidR="007E7472" w:rsidRDefault="00EC1269">
                    <w:r>
                      <w:rPr>
                        <w:rFonts w:hint="eastAsia"/>
                      </w:rPr>
                      <w:t xml:space="preserve">　</w:t>
                    </w:r>
                  </w:p>
                </w:tc>
              </w:sdtContent>
            </w:sdt>
          </w:tr>
          <w:tr w:rsidR="007E7472" w14:paraId="64374480" w14:textId="77777777">
            <w:sdt>
              <w:sdtPr>
                <w:tag w:val="_PLD_feb38342f8b14f858ebcca34d91ef550"/>
                <w:id w:val="-1673867404"/>
                <w:lock w:val="sdtLocked"/>
              </w:sdtPr>
              <w:sdtEndPr/>
              <w:sdtContent>
                <w:tc>
                  <w:tcPr>
                    <w:tcW w:w="2241" w:type="pct"/>
                    <w:shd w:val="clear" w:color="auto" w:fill="auto"/>
                    <w:vAlign w:val="center"/>
                  </w:tcPr>
                  <w:p w14:paraId="5547012A" w14:textId="77777777" w:rsidR="007E7472" w:rsidRDefault="00EC1269">
                    <w:r>
                      <w:rPr>
                        <w:rFonts w:hint="eastAsia"/>
                      </w:rPr>
                      <w:t>对外委托贷款取得的损益</w:t>
                    </w:r>
                  </w:p>
                </w:tc>
              </w:sdtContent>
            </w:sdt>
            <w:sdt>
              <w:sdtPr>
                <w:rPr>
                  <w:rFonts w:hint="eastAsia"/>
                </w:rPr>
                <w:alias w:val="对外委托贷款取得的损益（非经常性损益项目）"/>
                <w:tag w:val="_GBC_6e819693bb9843c79efbd4ad69051cc4"/>
                <w:id w:val="-202716430"/>
                <w:lock w:val="sdtLocked"/>
                <w:showingPlcHdr/>
                <w:dataBinding w:prefixMappings="xmlns:clcid-pte='clcid-pte'" w:xpath="/*/clcid-pte:DuiWaiWeiTuoDaiKuanQuDeDeSunYi[not(@periodRef)]" w:storeItemID="{89EBAB94-44A0-46A2-B712-30D997D04A6D}"/>
                <w:text/>
              </w:sdtPr>
              <w:sdtEndPr/>
              <w:sdtContent>
                <w:tc>
                  <w:tcPr>
                    <w:tcW w:w="1377" w:type="pct"/>
                    <w:shd w:val="clear" w:color="auto" w:fill="auto"/>
                    <w:vAlign w:val="center"/>
                  </w:tcPr>
                  <w:p w14:paraId="20049E32" w14:textId="77777777" w:rsidR="007E7472" w:rsidRDefault="00EC1269">
                    <w:pPr>
                      <w:jc w:val="right"/>
                    </w:pPr>
                    <w:r>
                      <w:rPr>
                        <w:rFonts w:hint="eastAsia"/>
                        <w:color w:val="0000FF"/>
                      </w:rPr>
                      <w:t xml:space="preserve">　</w:t>
                    </w:r>
                  </w:p>
                </w:tc>
              </w:sdtContent>
            </w:sdt>
            <w:sdt>
              <w:sdtPr>
                <w:alias w:val="对外委托贷款取得的损益的说明（非经常性损益项目）"/>
                <w:tag w:val="_GBC_26cceaa427894760aaa83657825fc132"/>
                <w:id w:val="313611376"/>
                <w:lock w:val="sdtLocked"/>
                <w:showingPlcHdr/>
                <w:dataBinding w:prefixMappings="xmlns:clcid-pte='clcid-pte'" w:xpath="/*/clcid-pte:DuiWaiWeiTuoDaiKuanQuDeDeSunYiShuoMing[not(@periodRef)]" w:storeItemID="{89EBAB94-44A0-46A2-B712-30D997D04A6D}"/>
                <w:text/>
              </w:sdtPr>
              <w:sdtEndPr/>
              <w:sdtContent>
                <w:tc>
                  <w:tcPr>
                    <w:tcW w:w="1382" w:type="pct"/>
                    <w:vAlign w:val="center"/>
                  </w:tcPr>
                  <w:p w14:paraId="6C35BA41" w14:textId="77777777" w:rsidR="007E7472" w:rsidRDefault="00EC1269">
                    <w:r>
                      <w:rPr>
                        <w:rFonts w:hint="eastAsia"/>
                        <w:color w:val="0000FF"/>
                      </w:rPr>
                      <w:t xml:space="preserve">　</w:t>
                    </w:r>
                  </w:p>
                </w:tc>
              </w:sdtContent>
            </w:sdt>
          </w:tr>
          <w:tr w:rsidR="007E7472" w14:paraId="445A86AF" w14:textId="77777777">
            <w:sdt>
              <w:sdtPr>
                <w:tag w:val="_PLD_a22ef2c22f944cdaa26040ad50c16cac"/>
                <w:id w:val="-1561548678"/>
                <w:lock w:val="sdtLocked"/>
              </w:sdtPr>
              <w:sdtEndPr/>
              <w:sdtContent>
                <w:tc>
                  <w:tcPr>
                    <w:tcW w:w="2241" w:type="pct"/>
                    <w:shd w:val="clear" w:color="auto" w:fill="auto"/>
                    <w:vAlign w:val="center"/>
                  </w:tcPr>
                  <w:p w14:paraId="374BCA20" w14:textId="77777777" w:rsidR="007E7472" w:rsidRDefault="00EC1269">
                    <w:r>
                      <w:rPr>
                        <w:rFonts w:hint="eastAsia"/>
                      </w:rPr>
                      <w:t>采用公允价值模式进行后续计量的投资性房地产公允价值变动产生的损益</w:t>
                    </w:r>
                  </w:p>
                </w:tc>
              </w:sdtContent>
            </w:sdt>
            <w:sdt>
              <w:sdtPr>
                <w:rPr>
                  <w:rFonts w:hint="eastAsia"/>
                </w:rPr>
                <w:alias w:val="采用公允价值模式进行后续计量的投资性房地产公允价值变动产生的损益（非经常性损益项目）"/>
                <w:tag w:val="_GBC_334cc05ce8ff4ce69ccc035693c44ee2"/>
                <w:id w:val="-1364120373"/>
                <w:lock w:val="sdtLocked"/>
                <w:showingPlcHdr/>
                <w:dataBinding w:prefixMappings="xmlns:clcid-pte='clcid-pte'" w:xpath="/*/clcid-pte:CaiYongGongYunJiaZhiMoShiJinXingHouXuJiLiangDeTouZiXingFangDiChanGongYunJiaZhiBianDongChanShengDeSunYi[not(@periodRef)]" w:storeItemID="{89EBAB94-44A0-46A2-B712-30D997D04A6D}"/>
                <w:text/>
              </w:sdtPr>
              <w:sdtEndPr/>
              <w:sdtContent>
                <w:tc>
                  <w:tcPr>
                    <w:tcW w:w="1377" w:type="pct"/>
                    <w:shd w:val="clear" w:color="auto" w:fill="auto"/>
                    <w:vAlign w:val="center"/>
                  </w:tcPr>
                  <w:p w14:paraId="71960F7B" w14:textId="77777777" w:rsidR="007E7472" w:rsidRDefault="00EC1269">
                    <w:pPr>
                      <w:jc w:val="right"/>
                    </w:pPr>
                    <w:r>
                      <w:rPr>
                        <w:rFonts w:hint="eastAsia"/>
                        <w:color w:val="0000FF"/>
                      </w:rPr>
                      <w:t xml:space="preserve">　</w:t>
                    </w:r>
                  </w:p>
                </w:tc>
              </w:sdtContent>
            </w:sdt>
            <w:sdt>
              <w:sdtPr>
                <w:alias w:val="采用公允价值模式进行后续计量的投资性房地产公允价值变动产生的损益的说明（非经常性损益项目）"/>
                <w:tag w:val="_GBC_009db6cc785f4bbb91761430231d14ce"/>
                <w:id w:val="-1445305508"/>
                <w:lock w:val="sdtLocked"/>
                <w:showingPlcHdr/>
                <w:dataBinding w:prefixMappings="xmlns:clcid-pte='clcid-pte'" w:xpath="/*/clcid-pte:CaiYongGongYunJiaZhiMoShiJinXingHouXuJiLiangDeTouZiXingFangDiChanGongYunJiaZhiBianDongChanShengDeSunYiShuoMing[not(@periodRef)]" w:storeItemID="{89EBAB94-44A0-46A2-B712-30D997D04A6D}"/>
                <w:text/>
              </w:sdtPr>
              <w:sdtEndPr/>
              <w:sdtContent>
                <w:tc>
                  <w:tcPr>
                    <w:tcW w:w="1382" w:type="pct"/>
                    <w:vAlign w:val="center"/>
                  </w:tcPr>
                  <w:p w14:paraId="24DCC411" w14:textId="77777777" w:rsidR="007E7472" w:rsidRDefault="00EC1269">
                    <w:r>
                      <w:rPr>
                        <w:rFonts w:hint="eastAsia"/>
                        <w:color w:val="0000FF"/>
                      </w:rPr>
                      <w:t xml:space="preserve">　</w:t>
                    </w:r>
                  </w:p>
                </w:tc>
              </w:sdtContent>
            </w:sdt>
          </w:tr>
          <w:tr w:rsidR="007E7472" w14:paraId="56AA9AC3" w14:textId="77777777">
            <w:sdt>
              <w:sdtPr>
                <w:tag w:val="_PLD_66253ce190364baa8702098f9923fc9b"/>
                <w:id w:val="120666209"/>
                <w:lock w:val="sdtLocked"/>
              </w:sdtPr>
              <w:sdtEndPr/>
              <w:sdtContent>
                <w:tc>
                  <w:tcPr>
                    <w:tcW w:w="2241" w:type="pct"/>
                    <w:shd w:val="clear" w:color="auto" w:fill="auto"/>
                    <w:vAlign w:val="center"/>
                  </w:tcPr>
                  <w:p w14:paraId="5FEDBE7D" w14:textId="77777777" w:rsidR="007E7472" w:rsidRDefault="00EC1269">
                    <w:r>
                      <w:rPr>
                        <w:rFonts w:hint="eastAsia"/>
                      </w:rPr>
                      <w:t>根据税收、会计等法律、法规的要求对当期损益进行一次性调整对当期损益的影响</w:t>
                    </w:r>
                  </w:p>
                </w:tc>
              </w:sdtContent>
            </w:sdt>
            <w:sdt>
              <w:sdtPr>
                <w:rPr>
                  <w:rFonts w:hint="eastAsia"/>
                </w:rPr>
                <w:alias w:val="根据税收、会计等法律、法规的要求对当期损益进行一次性调整对当期损益的影响（非经常性损益项目）"/>
                <w:tag w:val="_GBC_d3ca6e7ce7654d2fa6c686ff82788439"/>
                <w:id w:val="1027137111"/>
                <w:lock w:val="sdtLocked"/>
                <w:showingPlcHdr/>
                <w:dataBinding w:prefixMappings="xmlns:clcid-pte='clcid-pte'" w:xpath="/*/clcid-pte:GenJuShuiShouKuaiJiDengFaLvFaGuiDeYaoQiuDuiDangQiSunYiJinXingYiCiXingTiaoZhengDuiDangQiSunYiDeYingXiang[not(@periodRef)]" w:storeItemID="{89EBAB94-44A0-46A2-B712-30D997D04A6D}"/>
                <w:text/>
              </w:sdtPr>
              <w:sdtEndPr/>
              <w:sdtContent>
                <w:tc>
                  <w:tcPr>
                    <w:tcW w:w="1377" w:type="pct"/>
                    <w:shd w:val="clear" w:color="auto" w:fill="auto"/>
                    <w:vAlign w:val="center"/>
                  </w:tcPr>
                  <w:p w14:paraId="3EB1B639" w14:textId="77777777" w:rsidR="007E7472" w:rsidRDefault="00EC1269">
                    <w:pPr>
                      <w:jc w:val="right"/>
                    </w:pPr>
                    <w:r>
                      <w:rPr>
                        <w:rFonts w:hint="eastAsia"/>
                        <w:color w:val="0000FF"/>
                      </w:rPr>
                      <w:t xml:space="preserve">　</w:t>
                    </w:r>
                  </w:p>
                </w:tc>
              </w:sdtContent>
            </w:sdt>
            <w:sdt>
              <w:sdtPr>
                <w:alias w:val="根据税收、会计等法律、法规的要求对当期损益进行一次性调整对当期损益的影响的说明（非经常性损益项目）"/>
                <w:tag w:val="_GBC_6efed946dbd6485293665e7aea2bcf68"/>
                <w:id w:val="549351275"/>
                <w:lock w:val="sdtLocked"/>
                <w:showingPlcHdr/>
                <w:dataBinding w:prefixMappings="xmlns:clcid-pte='clcid-pte'" w:xpath="/*/clcid-pte:GenJuShuiShouKuaiJiDengFaLvFaGuiDeYaoQiuDuiDangQiSunYiJinXingYiCiXingTiaoZhengDuiDangQiSunYiDeYingXiangShuoMing[not(@periodRef)]" w:storeItemID="{89EBAB94-44A0-46A2-B712-30D997D04A6D}"/>
                <w:text/>
              </w:sdtPr>
              <w:sdtEndPr/>
              <w:sdtContent>
                <w:tc>
                  <w:tcPr>
                    <w:tcW w:w="1382" w:type="pct"/>
                    <w:vAlign w:val="center"/>
                  </w:tcPr>
                  <w:p w14:paraId="42A8895D" w14:textId="77777777" w:rsidR="007E7472" w:rsidRDefault="00EC1269">
                    <w:r>
                      <w:rPr>
                        <w:rFonts w:hint="eastAsia"/>
                        <w:color w:val="0000FF"/>
                      </w:rPr>
                      <w:t xml:space="preserve">　</w:t>
                    </w:r>
                  </w:p>
                </w:tc>
              </w:sdtContent>
            </w:sdt>
          </w:tr>
          <w:tr w:rsidR="007E7472" w14:paraId="56BD6919" w14:textId="77777777">
            <w:sdt>
              <w:sdtPr>
                <w:tag w:val="_PLD_fa1c4b1a8dc840c093ac835d0ff2d658"/>
                <w:id w:val="-1327128871"/>
                <w:lock w:val="sdtLocked"/>
              </w:sdtPr>
              <w:sdtEndPr/>
              <w:sdtContent>
                <w:tc>
                  <w:tcPr>
                    <w:tcW w:w="2241" w:type="pct"/>
                    <w:shd w:val="clear" w:color="auto" w:fill="auto"/>
                    <w:vAlign w:val="center"/>
                  </w:tcPr>
                  <w:p w14:paraId="6A000CD8" w14:textId="77777777" w:rsidR="007E7472" w:rsidRDefault="00EC1269">
                    <w:r>
                      <w:rPr>
                        <w:rFonts w:hint="eastAsia"/>
                      </w:rPr>
                      <w:t>受托经营取得的托管费收入</w:t>
                    </w:r>
                  </w:p>
                </w:tc>
              </w:sdtContent>
            </w:sdt>
            <w:sdt>
              <w:sdtPr>
                <w:rPr>
                  <w:rFonts w:hint="eastAsia"/>
                </w:rPr>
                <w:alias w:val="受托经营取得的托管费收入（非经常性损益项目）"/>
                <w:tag w:val="_GBC_01bb7c18ed004499a19ed60d8ada354b"/>
                <w:id w:val="1014045131"/>
                <w:lock w:val="sdtLocked"/>
                <w:showingPlcHdr/>
                <w:dataBinding w:prefixMappings="xmlns:clcid-pte='clcid-pte'" w:xpath="/*/clcid-pte:ShouTuoJingYingQuDeDeTuoGuanFeiShouRu[not(@periodRef)]" w:storeItemID="{89EBAB94-44A0-46A2-B712-30D997D04A6D}"/>
                <w:text/>
              </w:sdtPr>
              <w:sdtEndPr/>
              <w:sdtContent>
                <w:tc>
                  <w:tcPr>
                    <w:tcW w:w="1377" w:type="pct"/>
                    <w:shd w:val="clear" w:color="auto" w:fill="auto"/>
                    <w:vAlign w:val="center"/>
                  </w:tcPr>
                  <w:p w14:paraId="1EF9AACA" w14:textId="77777777" w:rsidR="007E7472" w:rsidRDefault="00EC1269">
                    <w:pPr>
                      <w:jc w:val="right"/>
                    </w:pPr>
                    <w:r>
                      <w:rPr>
                        <w:rFonts w:hint="eastAsia"/>
                        <w:color w:val="0000FF"/>
                      </w:rPr>
                      <w:t xml:space="preserve">　</w:t>
                    </w:r>
                  </w:p>
                </w:tc>
              </w:sdtContent>
            </w:sdt>
            <w:sdt>
              <w:sdtPr>
                <w:alias w:val="受托经营取得的托管费收入的说明（非经常性损益项目）"/>
                <w:tag w:val="_GBC_636fb229e1fe41c3b0932068619569bb"/>
                <w:id w:val="-784420349"/>
                <w:lock w:val="sdtLocked"/>
                <w:showingPlcHdr/>
                <w:dataBinding w:prefixMappings="xmlns:clcid-pte='clcid-pte'" w:xpath="/*/clcid-pte:ShouTuoJingYingQuDeDeTuoGuanFeiShouRuShuoMing[not(@periodRef)]" w:storeItemID="{89EBAB94-44A0-46A2-B712-30D997D04A6D}"/>
                <w:text/>
              </w:sdtPr>
              <w:sdtEndPr/>
              <w:sdtContent>
                <w:tc>
                  <w:tcPr>
                    <w:tcW w:w="1382" w:type="pct"/>
                    <w:vAlign w:val="center"/>
                  </w:tcPr>
                  <w:p w14:paraId="6B19C592" w14:textId="77777777" w:rsidR="007E7472" w:rsidRDefault="00EC1269">
                    <w:r>
                      <w:rPr>
                        <w:rFonts w:hint="eastAsia"/>
                        <w:color w:val="0000FF"/>
                      </w:rPr>
                      <w:t xml:space="preserve">　</w:t>
                    </w:r>
                  </w:p>
                </w:tc>
              </w:sdtContent>
            </w:sdt>
          </w:tr>
          <w:tr w:rsidR="007E7472" w14:paraId="3B5B3280" w14:textId="77777777">
            <w:sdt>
              <w:sdtPr>
                <w:tag w:val="_PLD_d99047b8026b45e79749d3c2bef23630"/>
                <w:id w:val="1941798949"/>
                <w:lock w:val="sdtLocked"/>
              </w:sdtPr>
              <w:sdtEndPr/>
              <w:sdtContent>
                <w:tc>
                  <w:tcPr>
                    <w:tcW w:w="2241" w:type="pct"/>
                    <w:shd w:val="clear" w:color="auto" w:fill="auto"/>
                    <w:vAlign w:val="center"/>
                  </w:tcPr>
                  <w:p w14:paraId="3B75D60C" w14:textId="77777777" w:rsidR="007E7472" w:rsidRDefault="00EC1269">
                    <w:r>
                      <w:rPr>
                        <w:rFonts w:hint="eastAsia"/>
                      </w:rPr>
                      <w:t>除上述各项之外的其他营业外收入和支出</w:t>
                    </w:r>
                  </w:p>
                </w:tc>
              </w:sdtContent>
            </w:sdt>
            <w:sdt>
              <w:sdtPr>
                <w:rPr>
                  <w:rFonts w:hint="eastAsia"/>
                </w:rPr>
                <w:alias w:val="除上述各项之外的其他营业外收入和支出（非经常性损益项目）"/>
                <w:tag w:val="_GBC_24bc23dc8be547428751d03a12150a53"/>
                <w:id w:val="1618327501"/>
                <w:lock w:val="sdtLocked"/>
                <w:dataBinding w:prefixMappings="xmlns:clcid-pte='clcid-pte'" w:xpath="/*/clcid-pte:ChuShangShuGeXiangZhiWaiDeQiTaYingYeWaiShouZhiJingE[not(@periodRef)]" w:storeItemID="{89EBAB94-44A0-46A2-B712-30D997D04A6D}"/>
                <w:text/>
              </w:sdtPr>
              <w:sdtEndPr/>
              <w:sdtContent>
                <w:tc>
                  <w:tcPr>
                    <w:tcW w:w="1377" w:type="pct"/>
                    <w:shd w:val="clear" w:color="auto" w:fill="auto"/>
                    <w:vAlign w:val="center"/>
                  </w:tcPr>
                  <w:p w14:paraId="32A16EC4" w14:textId="337ECF86" w:rsidR="007E7472" w:rsidRDefault="006F3F93">
                    <w:pPr>
                      <w:jc w:val="right"/>
                    </w:pPr>
                    <w:r>
                      <w:rPr>
                        <w:rFonts w:hint="eastAsia"/>
                      </w:rPr>
                      <w:t>82,713</w:t>
                    </w:r>
                  </w:p>
                </w:tc>
              </w:sdtContent>
            </w:sdt>
            <w:sdt>
              <w:sdtPr>
                <w:alias w:val="除上述各项之外的其他营业外收入和支出的说明（非经常性损益项目）"/>
                <w:tag w:val="_GBC_9c075c815c3448f0bcee455eb66a6ed9"/>
                <w:id w:val="-1999104648"/>
                <w:lock w:val="sdtLocked"/>
                <w:showingPlcHdr/>
                <w:dataBinding w:prefixMappings="xmlns:clcid-pte='clcid-pte'" w:xpath="/*/clcid-pte:ChuShangShuGeXiangZhiWaiDeQiTaYingYeWaiShouZhiJingEShuoMing[not(@periodRef)]" w:storeItemID="{89EBAB94-44A0-46A2-B712-30D997D04A6D}"/>
                <w:text/>
              </w:sdtPr>
              <w:sdtEndPr/>
              <w:sdtContent>
                <w:tc>
                  <w:tcPr>
                    <w:tcW w:w="1382" w:type="pct"/>
                    <w:vAlign w:val="center"/>
                  </w:tcPr>
                  <w:p w14:paraId="762317F6" w14:textId="77777777" w:rsidR="007E7472" w:rsidRDefault="00EC1269">
                    <w:r>
                      <w:rPr>
                        <w:rFonts w:hint="eastAsia"/>
                        <w:color w:val="0000FF"/>
                      </w:rPr>
                      <w:t xml:space="preserve">　</w:t>
                    </w:r>
                  </w:p>
                </w:tc>
              </w:sdtContent>
            </w:sdt>
          </w:tr>
          <w:tr w:rsidR="007E7472" w14:paraId="4284B77C" w14:textId="77777777">
            <w:sdt>
              <w:sdtPr>
                <w:tag w:val="_PLD_dc56e1bb5d544242833b92e882d778f7"/>
                <w:id w:val="-590853179"/>
                <w:lock w:val="sdtLocked"/>
              </w:sdtPr>
              <w:sdtEndPr/>
              <w:sdtContent>
                <w:tc>
                  <w:tcPr>
                    <w:tcW w:w="2241" w:type="pct"/>
                    <w:shd w:val="clear" w:color="auto" w:fill="auto"/>
                    <w:vAlign w:val="center"/>
                  </w:tcPr>
                  <w:p w14:paraId="34AD3556" w14:textId="77777777" w:rsidR="007E7472" w:rsidRDefault="00EC1269">
                    <w:r>
                      <w:rPr>
                        <w:rFonts w:hint="eastAsia"/>
                      </w:rPr>
                      <w:t>其他符合非经常性损益定义的损益项目</w:t>
                    </w:r>
                  </w:p>
                </w:tc>
              </w:sdtContent>
            </w:sdt>
            <w:sdt>
              <w:sdtPr>
                <w:rPr>
                  <w:rFonts w:hint="eastAsia"/>
                </w:rPr>
                <w:alias w:val="其他符合非经常性损益定义的损益项目（非经常性损益项目）"/>
                <w:tag w:val="_GBC_3bce0c8c23cc4b50a2a9ad21d75831a0"/>
                <w:id w:val="393704557"/>
                <w:lock w:val="sdtLocked"/>
                <w:dataBinding w:prefixMappings="xmlns:clcid-pte='clcid-pte'" w:xpath="/*/clcid-pte:QiTaFeiJingChangXingSunYiXiangMu[not(@periodRef)]" w:storeItemID="{89EBAB94-44A0-46A2-B712-30D997D04A6D}"/>
                <w:text/>
              </w:sdtPr>
              <w:sdtEndPr/>
              <w:sdtContent>
                <w:tc>
                  <w:tcPr>
                    <w:tcW w:w="1377" w:type="pct"/>
                    <w:shd w:val="clear" w:color="auto" w:fill="auto"/>
                    <w:vAlign w:val="center"/>
                  </w:tcPr>
                  <w:p w14:paraId="73E4001A" w14:textId="409BE013" w:rsidR="007E7472" w:rsidRDefault="006F3F93">
                    <w:pPr>
                      <w:jc w:val="right"/>
                    </w:pPr>
                    <w:r>
                      <w:rPr>
                        <w:rFonts w:hint="eastAsia"/>
                      </w:rPr>
                      <w:t>5,109</w:t>
                    </w:r>
                  </w:p>
                </w:tc>
              </w:sdtContent>
            </w:sdt>
            <w:sdt>
              <w:sdtPr>
                <w:rPr>
                  <w:rFonts w:hint="eastAsia"/>
                </w:rPr>
                <w:alias w:val="其他符合非经常性损益定义的损益项目说明（非经常性损益项目）"/>
                <w:tag w:val="_GBC_b5cb420cff5d4df89d874df238baf0ce"/>
                <w:id w:val="-668867632"/>
                <w:lock w:val="sdtLocked"/>
                <w:showingPlcHdr/>
                <w:dataBinding w:prefixMappings="xmlns:clcid-pte='clcid-pte'" w:xpath="/*/clcid-pte:QiTaFeiJingChangXingSunYiXiangMuShuoMing[not(@periodRef)]" w:storeItemID="{89EBAB94-44A0-46A2-B712-30D997D04A6D}"/>
                <w:text/>
              </w:sdtPr>
              <w:sdtEndPr/>
              <w:sdtContent>
                <w:tc>
                  <w:tcPr>
                    <w:tcW w:w="1382" w:type="pct"/>
                    <w:vAlign w:val="center"/>
                  </w:tcPr>
                  <w:p w14:paraId="0CE4D9D0" w14:textId="77777777" w:rsidR="007E7472" w:rsidRDefault="00EC1269">
                    <w:r>
                      <w:rPr>
                        <w:rFonts w:hint="eastAsia"/>
                        <w:color w:val="0000FF"/>
                      </w:rPr>
                      <w:t xml:space="preserve">　</w:t>
                    </w:r>
                  </w:p>
                </w:tc>
              </w:sdtContent>
            </w:sdt>
          </w:tr>
          <w:tr w:rsidR="007E7472" w14:paraId="7A44E3B4" w14:textId="77777777">
            <w:sdt>
              <w:sdtPr>
                <w:tag w:val="_PLD_a3115e396e8d490b8b02b4ca0b50ad1d"/>
                <w:id w:val="65474429"/>
                <w:lock w:val="sdtLocked"/>
              </w:sdtPr>
              <w:sdtEndPr/>
              <w:sdtContent>
                <w:tc>
                  <w:tcPr>
                    <w:tcW w:w="2241" w:type="pct"/>
                    <w:shd w:val="clear" w:color="auto" w:fill="auto"/>
                    <w:vAlign w:val="center"/>
                  </w:tcPr>
                  <w:p w14:paraId="787FEF5A" w14:textId="77777777" w:rsidR="007E7472" w:rsidRDefault="00EC1269">
                    <w:r>
                      <w:rPr>
                        <w:rFonts w:hint="eastAsia"/>
                      </w:rPr>
                      <w:t>减：所得税影响额</w:t>
                    </w:r>
                  </w:p>
                </w:tc>
              </w:sdtContent>
            </w:sdt>
            <w:sdt>
              <w:sdtPr>
                <w:rPr>
                  <w:rFonts w:hint="eastAsia"/>
                </w:rPr>
                <w:alias w:val="非经常性损益_对所得税的影响"/>
                <w:tag w:val="_GBC_1564ecde27e94754875e776609c19f67"/>
                <w:id w:val="2035998038"/>
                <w:lock w:val="sdtLocked"/>
                <w:dataBinding w:prefixMappings="xmlns:clcid-pte='clcid-pte'" w:xpath="/*/clcid-pte:FeiJingChangXingSunYiDeKouChuXiangMuDuiSuoDeShuiDeYingXiang[not(@periodRef)]" w:storeItemID="{89EBAB94-44A0-46A2-B712-30D997D04A6D}"/>
                <w:text/>
              </w:sdtPr>
              <w:sdtEndPr/>
              <w:sdtContent>
                <w:tc>
                  <w:tcPr>
                    <w:tcW w:w="1377" w:type="pct"/>
                    <w:shd w:val="clear" w:color="auto" w:fill="auto"/>
                    <w:vAlign w:val="center"/>
                  </w:tcPr>
                  <w:p w14:paraId="5F0E51B2" w14:textId="64EC182A" w:rsidR="007E7472" w:rsidRDefault="006F3F93">
                    <w:pPr>
                      <w:jc w:val="right"/>
                    </w:pPr>
                    <w:r>
                      <w:rPr>
                        <w:rFonts w:hint="eastAsia"/>
                      </w:rPr>
                      <w:t>49,646</w:t>
                    </w:r>
                  </w:p>
                </w:tc>
              </w:sdtContent>
            </w:sdt>
            <w:sdt>
              <w:sdtPr>
                <w:alias w:val="所得税影响额的说明（非经常性损益项目）"/>
                <w:tag w:val="_GBC_e513123bd70747eb9eb9a7ed0ba8c555"/>
                <w:id w:val="-1961869645"/>
                <w:lock w:val="sdtLocked"/>
                <w:showingPlcHdr/>
                <w:dataBinding w:prefixMappings="xmlns:clcid-pte='clcid-pte'" w:xpath="/*/clcid-pte:FeiJingChangXingSunYiDeKouChuXiangMuDuiSuoDeShuiDeYingXiangShuoMing[not(@periodRef)]" w:storeItemID="{89EBAB94-44A0-46A2-B712-30D997D04A6D}"/>
                <w:text/>
              </w:sdtPr>
              <w:sdtEndPr/>
              <w:sdtContent>
                <w:tc>
                  <w:tcPr>
                    <w:tcW w:w="1382" w:type="pct"/>
                    <w:vAlign w:val="center"/>
                  </w:tcPr>
                  <w:p w14:paraId="4360F933" w14:textId="77777777" w:rsidR="007E7472" w:rsidRDefault="00EC1269">
                    <w:r>
                      <w:rPr>
                        <w:rFonts w:hint="eastAsia"/>
                        <w:color w:val="0000FF"/>
                      </w:rPr>
                      <w:t xml:space="preserve">　</w:t>
                    </w:r>
                  </w:p>
                </w:tc>
              </w:sdtContent>
            </w:sdt>
          </w:tr>
          <w:tr w:rsidR="007E7472" w14:paraId="20406636" w14:textId="77777777">
            <w:sdt>
              <w:sdtPr>
                <w:tag w:val="_PLD_88ed22294ebe4117963f18569902fcc4"/>
                <w:id w:val="-1352341212"/>
                <w:lock w:val="sdtLocked"/>
              </w:sdtPr>
              <w:sdtEndPr/>
              <w:sdtContent>
                <w:tc>
                  <w:tcPr>
                    <w:tcW w:w="2241" w:type="pct"/>
                    <w:shd w:val="clear" w:color="auto" w:fill="auto"/>
                    <w:vAlign w:val="center"/>
                  </w:tcPr>
                  <w:p w14:paraId="3FE069DA" w14:textId="77777777" w:rsidR="007E7472" w:rsidRDefault="00EC1269">
                    <w:pPr>
                      <w:ind w:firstLineChars="200" w:firstLine="420"/>
                    </w:pPr>
                    <w:r>
                      <w:rPr>
                        <w:rFonts w:hint="eastAsia"/>
                      </w:rPr>
                      <w:t>少数股东权益影响额（税后）</w:t>
                    </w:r>
                  </w:p>
                </w:tc>
              </w:sdtContent>
            </w:sdt>
            <w:sdt>
              <w:sdtPr>
                <w:rPr>
                  <w:rFonts w:hint="eastAsia"/>
                </w:rPr>
                <w:alias w:val="少数股东权益影响额（非经常性损益项目）"/>
                <w:tag w:val="_GBC_dcef562a0baa46a8876e74a5fbcbc44b"/>
                <w:id w:val="-2012438064"/>
                <w:lock w:val="sdtLocked"/>
                <w:dataBinding w:prefixMappings="xmlns:clcid-pte='clcid-pte'" w:xpath="/*/clcid-pte:FeiJingChangXingSunYiXiangMuZhongShaoShuGuDongQuanYiYingXiangE[not(@periodRef)]" w:storeItemID="{89EBAB94-44A0-46A2-B712-30D997D04A6D}"/>
                <w:text/>
              </w:sdtPr>
              <w:sdtEndPr/>
              <w:sdtContent>
                <w:tc>
                  <w:tcPr>
                    <w:tcW w:w="1377" w:type="pct"/>
                    <w:shd w:val="clear" w:color="auto" w:fill="auto"/>
                    <w:vAlign w:val="center"/>
                  </w:tcPr>
                  <w:p w14:paraId="1F49949B" w14:textId="03C8921A" w:rsidR="007E7472" w:rsidRDefault="006F3F93">
                    <w:pPr>
                      <w:jc w:val="right"/>
                    </w:pPr>
                    <w:r>
                      <w:rPr>
                        <w:rFonts w:hint="eastAsia"/>
                      </w:rPr>
                      <w:t>-5,25</w:t>
                    </w:r>
                    <w:r w:rsidR="00913748">
                      <w:t>6</w:t>
                    </w:r>
                  </w:p>
                </w:tc>
              </w:sdtContent>
            </w:sdt>
            <w:sdt>
              <w:sdtPr>
                <w:alias w:val="少数股东权益影响额的说明（非经常性损益项目）"/>
                <w:tag w:val="_GBC_21d9ffc595b7458b9c4e73e737655985"/>
                <w:id w:val="485524056"/>
                <w:lock w:val="sdtLocked"/>
                <w:showingPlcHdr/>
                <w:dataBinding w:prefixMappings="xmlns:clcid-pte='clcid-pte'" w:xpath="/*/clcid-pte:FeiJingChangXingSunYiXiangMuZhongShaoShuGuDongQuanYiYingXiangEShuoMing[not(@periodRef)]" w:storeItemID="{89EBAB94-44A0-46A2-B712-30D997D04A6D}"/>
                <w:text/>
              </w:sdtPr>
              <w:sdtEndPr/>
              <w:sdtContent>
                <w:tc>
                  <w:tcPr>
                    <w:tcW w:w="1382" w:type="pct"/>
                    <w:vAlign w:val="center"/>
                  </w:tcPr>
                  <w:p w14:paraId="64D6D1ED" w14:textId="77777777" w:rsidR="007E7472" w:rsidRDefault="00EC1269">
                    <w:r>
                      <w:rPr>
                        <w:rFonts w:hint="eastAsia"/>
                        <w:color w:val="0000FF"/>
                      </w:rPr>
                      <w:t xml:space="preserve">　</w:t>
                    </w:r>
                  </w:p>
                </w:tc>
              </w:sdtContent>
            </w:sdt>
          </w:tr>
          <w:tr w:rsidR="007E7472" w14:paraId="15AA46F4" w14:textId="77777777">
            <w:sdt>
              <w:sdtPr>
                <w:tag w:val="_PLD_4ca07c62a532429b944c09bb184430ac"/>
                <w:id w:val="-1087310515"/>
                <w:lock w:val="sdtLocked"/>
              </w:sdtPr>
              <w:sdtEndPr/>
              <w:sdtContent>
                <w:tc>
                  <w:tcPr>
                    <w:tcW w:w="2241" w:type="pct"/>
                    <w:shd w:val="clear" w:color="auto" w:fill="auto"/>
                    <w:vAlign w:val="center"/>
                  </w:tcPr>
                  <w:p w14:paraId="619DFBC8" w14:textId="77777777" w:rsidR="007E7472" w:rsidRDefault="00EC1269">
                    <w:pPr>
                      <w:jc w:val="center"/>
                    </w:pPr>
                    <w:r>
                      <w:rPr>
                        <w:rFonts w:hint="eastAsia"/>
                      </w:rPr>
                      <w:t>合计</w:t>
                    </w:r>
                  </w:p>
                </w:tc>
              </w:sdtContent>
            </w:sdt>
            <w:sdt>
              <w:sdtPr>
                <w:rPr>
                  <w:rFonts w:hint="eastAsia"/>
                </w:rPr>
                <w:alias w:val="扣除的非经常性损益合计"/>
                <w:tag w:val="_GBC_d518a1fdd4ec465292454f884c810341"/>
                <w:id w:val="85355969"/>
                <w:lock w:val="sdtLocked"/>
                <w:dataBinding w:prefixMappings="xmlns:clcid-pte='clcid-pte'" w:xpath="/*/clcid-pte:KouChuDeFeiJingChangXingSunYiHeJi[not(@periodRef)]" w:storeItemID="{89EBAB94-44A0-46A2-B712-30D997D04A6D}"/>
                <w:text/>
              </w:sdtPr>
              <w:sdtEndPr/>
              <w:sdtContent>
                <w:tc>
                  <w:tcPr>
                    <w:tcW w:w="1377" w:type="pct"/>
                    <w:shd w:val="clear" w:color="auto" w:fill="auto"/>
                    <w:vAlign w:val="center"/>
                  </w:tcPr>
                  <w:p w14:paraId="04D12384" w14:textId="538D3FE0" w:rsidR="007E7472" w:rsidRDefault="006F3F93">
                    <w:pPr>
                      <w:jc w:val="right"/>
                    </w:pPr>
                    <w:r>
                      <w:rPr>
                        <w:rFonts w:hint="eastAsia"/>
                      </w:rPr>
                      <w:t>160,697</w:t>
                    </w:r>
                  </w:p>
                </w:tc>
              </w:sdtContent>
            </w:sdt>
            <w:sdt>
              <w:sdtPr>
                <w:rPr>
                  <w:rFonts w:hint="eastAsia"/>
                </w:rPr>
                <w:alias w:val="扣除的非经常性损益合计说明"/>
                <w:tag w:val="_GBC_96b36bdab33c442491bfe762db9f195d"/>
                <w:id w:val="-527944196"/>
                <w:lock w:val="sdtLocked"/>
                <w:showingPlcHdr/>
                <w:dataBinding w:prefixMappings="xmlns:clcid-pte='clcid-pte'" w:xpath="/*/clcid-pte:KouChuDeFeiJingChangXingSunYiHeJiShuoMing[not(@periodRef)]" w:storeItemID="{89EBAB94-44A0-46A2-B712-30D997D04A6D}"/>
                <w:text/>
              </w:sdtPr>
              <w:sdtEndPr/>
              <w:sdtContent>
                <w:tc>
                  <w:tcPr>
                    <w:tcW w:w="1382" w:type="pct"/>
                    <w:vAlign w:val="center"/>
                  </w:tcPr>
                  <w:p w14:paraId="664C3C18" w14:textId="77777777" w:rsidR="007E7472" w:rsidRDefault="00EC1269">
                    <w:r>
                      <w:rPr>
                        <w:rFonts w:hint="eastAsia"/>
                      </w:rPr>
                      <w:t xml:space="preserve">　</w:t>
                    </w:r>
                  </w:p>
                </w:tc>
              </w:sdtContent>
            </w:sdt>
          </w:tr>
        </w:tbl>
        <w:p w14:paraId="4070B723" w14:textId="77777777" w:rsidR="007E7472" w:rsidRDefault="00C8327E"/>
      </w:sdtContent>
    </w:sdt>
    <w:bookmarkEnd w:id="324" w:displacedByCustomXml="next"/>
    <w:bookmarkEnd w:id="325" w:displacedByCustomXml="next"/>
    <w:sdt>
      <w:sdtPr>
        <w:rPr>
          <w:rFonts w:hint="eastAsia"/>
        </w:rPr>
        <w:alias w:val="模块:对公司根据《公开发行证券的公司信息披露解释性公告第1号——非..."/>
        <w:tag w:val="_GBC_7944e47348cd4cd186b958ba1902ea3f"/>
        <w:id w:val="1669747702"/>
        <w:lock w:val="sdtLocked"/>
        <w:placeholder>
          <w:docPart w:val="GBC22222222222222222222222222222"/>
        </w:placeholder>
      </w:sdtPr>
      <w:sdtEndPr>
        <w:rPr>
          <w:rFonts w:hint="default"/>
          <w:sz w:val="20"/>
          <w:szCs w:val="20"/>
        </w:rPr>
      </w:sdtEndPr>
      <w:sdtContent>
        <w:p w14:paraId="3F2E91E8" w14:textId="77777777" w:rsidR="007E7472" w:rsidRDefault="00EC1269">
          <w:r>
            <w:rPr>
              <w:rFonts w:hint="eastAsia"/>
            </w:rPr>
            <w:t>对公司根据《公开发行证券的公司信息披露解释性公告第</w:t>
          </w:r>
          <w:r>
            <w:t>1号——非经常性损益》定义界定的非经常性损益项目，以及把《公开发行证券的公司信息披露解释性公告第1号——非经常性损益》中列举的非经常性损益项目界定为经常性损益的项目，应说明原因。</w:t>
          </w:r>
        </w:p>
        <w:sdt>
          <w:sdtPr>
            <w:alias w:val="是否适用：将非经常性损益项目界定为经常性损益项目[双击切换]"/>
            <w:tag w:val="_GBC_5f8a059d4da1440d8ef10197ecd89cd6"/>
            <w:id w:val="262270561"/>
            <w:lock w:val="sdtLocked"/>
            <w:placeholder>
              <w:docPart w:val="GBC22222222222222222222222222222"/>
            </w:placeholder>
          </w:sdtPr>
          <w:sdtEndPr>
            <w:rPr>
              <w:sz w:val="20"/>
              <w:szCs w:val="20"/>
            </w:rPr>
          </w:sdtEndPr>
          <w:sdtContent>
            <w:p w14:paraId="78A0431A" w14:textId="77777777" w:rsidR="007E7472" w:rsidRDefault="00EC1269">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sdtContent>
    </w:sdt>
    <w:sdt>
      <w:sdtPr>
        <w:rPr>
          <w:rFonts w:hint="eastAsia"/>
          <w:sz w:val="20"/>
        </w:rPr>
        <w:alias w:val="模块:净资产收益率及每股收益"/>
        <w:tag w:val="_GBC_146d888914ac4591bea1ff0ea9e89617"/>
        <w:id w:val="1856455828"/>
        <w:lock w:val="sdtLocked"/>
        <w:placeholder>
          <w:docPart w:val="GBC22222222222222222222222222222"/>
        </w:placeholder>
      </w:sdtPr>
      <w:sdtEndPr/>
      <w:sdtContent>
        <w:p w14:paraId="373B23C6" w14:textId="77777777" w:rsidR="007E7472" w:rsidRPr="001C4EB7" w:rsidRDefault="00EC1269" w:rsidP="00162493">
          <w:pPr>
            <w:numPr>
              <w:ilvl w:val="2"/>
              <w:numId w:val="123"/>
            </w:numPr>
            <w:outlineLvl w:val="2"/>
            <w:rPr>
              <w:b/>
            </w:rPr>
          </w:pPr>
          <w:r w:rsidRPr="001C4EB7">
            <w:rPr>
              <w:rFonts w:hint="eastAsia"/>
              <w:b/>
            </w:rPr>
            <w:t>净资产收益率及每股收益</w:t>
          </w:r>
        </w:p>
        <w:sdt>
          <w:sdtPr>
            <w:alias w:val="是否适用：净资产收益率及每股收益[双击切换]"/>
            <w:tag w:val="_GBC_75866ebc8d184cdd988e79330ad3b083"/>
            <w:id w:val="1602451582"/>
            <w:lock w:val="sdtLocked"/>
            <w:placeholder>
              <w:docPart w:val="GBC22222222222222222222222222222"/>
            </w:placeholder>
          </w:sdtPr>
          <w:sdtEndPr/>
          <w:sdtContent>
            <w:p w14:paraId="72D828FC"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g4"/>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40"/>
            <w:gridCol w:w="1795"/>
            <w:gridCol w:w="2093"/>
            <w:gridCol w:w="2095"/>
          </w:tblGrid>
          <w:tr w:rsidR="007E7472" w14:paraId="5D1FE8E5" w14:textId="77777777">
            <w:trPr>
              <w:trHeight w:val="270"/>
            </w:trPr>
            <w:sdt>
              <w:sdtPr>
                <w:tag w:val="_PLD_680a8ba0e71a45459c0939cd6c78c07f"/>
                <w:id w:val="-1008753040"/>
                <w:lock w:val="sdtLocked"/>
              </w:sdtPr>
              <w:sdtEndPr/>
              <w:sdtContent>
                <w:tc>
                  <w:tcPr>
                    <w:tcW w:w="1610" w:type="pct"/>
                    <w:vMerge w:val="restart"/>
                    <w:tcBorders>
                      <w:top w:val="single" w:sz="4" w:space="0" w:color="auto"/>
                      <w:left w:val="single" w:sz="4" w:space="0" w:color="auto"/>
                      <w:bottom w:val="single" w:sz="4" w:space="0" w:color="auto"/>
                      <w:right w:val="single" w:sz="4" w:space="0" w:color="auto"/>
                    </w:tcBorders>
                    <w:vAlign w:val="center"/>
                  </w:tcPr>
                  <w:p w14:paraId="69A94561" w14:textId="77777777" w:rsidR="007E7472" w:rsidRDefault="00EC1269">
                    <w:pPr>
                      <w:jc w:val="center"/>
                    </w:pPr>
                    <w:r>
                      <w:t>报告期利润</w:t>
                    </w:r>
                  </w:p>
                </w:tc>
              </w:sdtContent>
            </w:sdt>
            <w:sdt>
              <w:sdtPr>
                <w:tag w:val="_PLD_608d0086e1154f8ca6d3c34247132ef0"/>
                <w:id w:val="-2027546088"/>
                <w:lock w:val="sdtLocked"/>
              </w:sdtPr>
              <w:sdtEndPr/>
              <w:sdtContent>
                <w:tc>
                  <w:tcPr>
                    <w:tcW w:w="1017" w:type="pct"/>
                    <w:vMerge w:val="restart"/>
                    <w:tcBorders>
                      <w:top w:val="single" w:sz="4" w:space="0" w:color="auto"/>
                      <w:left w:val="single" w:sz="4" w:space="0" w:color="auto"/>
                      <w:right w:val="single" w:sz="4" w:space="0" w:color="auto"/>
                    </w:tcBorders>
                    <w:vAlign w:val="center"/>
                  </w:tcPr>
                  <w:p w14:paraId="1DD78191" w14:textId="77777777" w:rsidR="007E7472" w:rsidRDefault="00EC1269">
                    <w:pPr>
                      <w:jc w:val="center"/>
                    </w:pPr>
                    <w:r>
                      <w:t>加权平均净资产收益率（%）</w:t>
                    </w:r>
                  </w:p>
                </w:tc>
              </w:sdtContent>
            </w:sdt>
            <w:sdt>
              <w:sdtPr>
                <w:tag w:val="_PLD_8b4a0bf973be4a19862ac5168193db93"/>
                <w:id w:val="1307980003"/>
                <w:lock w:val="sdtLocked"/>
              </w:sdtPr>
              <w:sdtEndPr/>
              <w:sdtContent>
                <w:tc>
                  <w:tcPr>
                    <w:tcW w:w="2373" w:type="pct"/>
                    <w:gridSpan w:val="2"/>
                    <w:tcBorders>
                      <w:top w:val="single" w:sz="4" w:space="0" w:color="auto"/>
                      <w:left w:val="single" w:sz="4" w:space="0" w:color="auto"/>
                      <w:bottom w:val="single" w:sz="4" w:space="0" w:color="auto"/>
                      <w:right w:val="single" w:sz="4" w:space="0" w:color="auto"/>
                    </w:tcBorders>
                    <w:vAlign w:val="center"/>
                  </w:tcPr>
                  <w:p w14:paraId="6F925DA8" w14:textId="77777777" w:rsidR="007E7472" w:rsidRDefault="00EC1269">
                    <w:pPr>
                      <w:jc w:val="center"/>
                    </w:pPr>
                    <w:r>
                      <w:t>每股收益</w:t>
                    </w:r>
                  </w:p>
                </w:tc>
              </w:sdtContent>
            </w:sdt>
          </w:tr>
          <w:tr w:rsidR="007E7472" w14:paraId="55154C93" w14:textId="77777777">
            <w:trPr>
              <w:trHeight w:val="360"/>
            </w:trPr>
            <w:tc>
              <w:tcPr>
                <w:tcW w:w="1610" w:type="pct"/>
                <w:vMerge/>
                <w:tcBorders>
                  <w:top w:val="single" w:sz="4" w:space="0" w:color="auto"/>
                  <w:left w:val="single" w:sz="4" w:space="0" w:color="auto"/>
                  <w:bottom w:val="single" w:sz="4" w:space="0" w:color="auto"/>
                  <w:right w:val="single" w:sz="4" w:space="0" w:color="auto"/>
                </w:tcBorders>
                <w:vAlign w:val="center"/>
              </w:tcPr>
              <w:p w14:paraId="2C368491" w14:textId="77777777" w:rsidR="007E7472" w:rsidRDefault="00C8327E">
                <w:pPr>
                  <w:jc w:val="center"/>
                </w:pPr>
              </w:p>
            </w:tc>
            <w:tc>
              <w:tcPr>
                <w:tcW w:w="1017" w:type="pct"/>
                <w:vMerge/>
                <w:tcBorders>
                  <w:left w:val="single" w:sz="4" w:space="0" w:color="auto"/>
                  <w:bottom w:val="single" w:sz="4" w:space="0" w:color="auto"/>
                  <w:right w:val="single" w:sz="4" w:space="0" w:color="auto"/>
                </w:tcBorders>
                <w:vAlign w:val="center"/>
              </w:tcPr>
              <w:p w14:paraId="42886D51" w14:textId="77777777" w:rsidR="007E7472" w:rsidRDefault="00C8327E">
                <w:pPr>
                  <w:jc w:val="center"/>
                </w:pPr>
              </w:p>
            </w:tc>
            <w:sdt>
              <w:sdtPr>
                <w:tag w:val="_PLD_45472770a81744249d77e54c2efc412a"/>
                <w:id w:val="-732545136"/>
                <w:lock w:val="sdtLocked"/>
              </w:sdtPr>
              <w:sdtEndPr/>
              <w:sdtContent>
                <w:tc>
                  <w:tcPr>
                    <w:tcW w:w="1186" w:type="pct"/>
                    <w:tcBorders>
                      <w:top w:val="single" w:sz="4" w:space="0" w:color="auto"/>
                      <w:left w:val="single" w:sz="4" w:space="0" w:color="auto"/>
                      <w:bottom w:val="single" w:sz="4" w:space="0" w:color="auto"/>
                      <w:right w:val="single" w:sz="4" w:space="0" w:color="auto"/>
                    </w:tcBorders>
                    <w:vAlign w:val="center"/>
                  </w:tcPr>
                  <w:p w14:paraId="06D69093" w14:textId="77777777" w:rsidR="007E7472" w:rsidRDefault="00EC1269">
                    <w:pPr>
                      <w:jc w:val="center"/>
                    </w:pPr>
                    <w:r>
                      <w:t>基本每股收益</w:t>
                    </w:r>
                  </w:p>
                </w:tc>
              </w:sdtContent>
            </w:sdt>
            <w:sdt>
              <w:sdtPr>
                <w:tag w:val="_PLD_c4e5be0bbc134fa28e28895e1a12e02c"/>
                <w:id w:val="-826822031"/>
                <w:lock w:val="sdtLocked"/>
              </w:sdtPr>
              <w:sdtEndPr/>
              <w:sdtContent>
                <w:tc>
                  <w:tcPr>
                    <w:tcW w:w="1187" w:type="pct"/>
                    <w:tcBorders>
                      <w:top w:val="single" w:sz="4" w:space="0" w:color="auto"/>
                      <w:left w:val="single" w:sz="4" w:space="0" w:color="auto"/>
                      <w:bottom w:val="single" w:sz="4" w:space="0" w:color="auto"/>
                      <w:right w:val="single" w:sz="4" w:space="0" w:color="auto"/>
                    </w:tcBorders>
                    <w:vAlign w:val="center"/>
                  </w:tcPr>
                  <w:p w14:paraId="70750A33" w14:textId="77777777" w:rsidR="007E7472" w:rsidRDefault="00EC1269">
                    <w:pPr>
                      <w:jc w:val="center"/>
                    </w:pPr>
                    <w:r>
                      <w:t>稀释每股收益</w:t>
                    </w:r>
                  </w:p>
                </w:tc>
              </w:sdtContent>
            </w:sdt>
          </w:tr>
          <w:tr w:rsidR="007E7472" w14:paraId="65E2FE32" w14:textId="77777777">
            <w:trPr>
              <w:trHeight w:val="360"/>
            </w:trPr>
            <w:sdt>
              <w:sdtPr>
                <w:tag w:val="_PLD_c94607fd97d648bd8ca7517a2c7054ea"/>
                <w:id w:val="-7135731"/>
                <w:lock w:val="sdtLocked"/>
              </w:sdtPr>
              <w:sdtEndPr/>
              <w:sdtContent>
                <w:tc>
                  <w:tcPr>
                    <w:tcW w:w="1610" w:type="pct"/>
                    <w:tcBorders>
                      <w:top w:val="single" w:sz="4" w:space="0" w:color="auto"/>
                      <w:left w:val="single" w:sz="4" w:space="0" w:color="auto"/>
                      <w:bottom w:val="single" w:sz="4" w:space="0" w:color="auto"/>
                      <w:right w:val="single" w:sz="4" w:space="0" w:color="auto"/>
                    </w:tcBorders>
                  </w:tcPr>
                  <w:p w14:paraId="2D277B98" w14:textId="77777777" w:rsidR="007E7472" w:rsidRDefault="00EC1269">
                    <w:r>
                      <w:t>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vAlign w:val="center"/>
              </w:tcPr>
              <w:p w14:paraId="5EBD480A" w14:textId="77777777" w:rsidR="007E7472" w:rsidRDefault="00EC1269">
                <w:pPr>
                  <w:jc w:val="center"/>
                </w:pPr>
                <w:r>
                  <w:t>12.35</w:t>
                </w:r>
              </w:p>
            </w:tc>
            <w:tc>
              <w:tcPr>
                <w:tcW w:w="1186" w:type="pct"/>
                <w:tcBorders>
                  <w:top w:val="single" w:sz="4" w:space="0" w:color="auto"/>
                  <w:left w:val="single" w:sz="4" w:space="0" w:color="auto"/>
                  <w:bottom w:val="single" w:sz="4" w:space="0" w:color="auto"/>
                  <w:right w:val="single" w:sz="4" w:space="0" w:color="auto"/>
                </w:tcBorders>
                <w:vAlign w:val="center"/>
              </w:tcPr>
              <w:p w14:paraId="1E818EF6" w14:textId="77777777" w:rsidR="007E7472" w:rsidRDefault="00EC1269">
                <w:pPr>
                  <w:jc w:val="center"/>
                </w:pPr>
                <w:r>
                  <w:t>2.0874</w:t>
                </w:r>
              </w:p>
            </w:tc>
            <w:tc>
              <w:tcPr>
                <w:tcW w:w="1187" w:type="pct"/>
                <w:tcBorders>
                  <w:top w:val="single" w:sz="4" w:space="0" w:color="auto"/>
                  <w:left w:val="single" w:sz="4" w:space="0" w:color="auto"/>
                  <w:bottom w:val="single" w:sz="4" w:space="0" w:color="auto"/>
                  <w:right w:val="single" w:sz="4" w:space="0" w:color="auto"/>
                </w:tcBorders>
                <w:vAlign w:val="center"/>
              </w:tcPr>
              <w:p w14:paraId="6B563959" w14:textId="77777777" w:rsidR="007E7472" w:rsidRDefault="00EC1269">
                <w:pPr>
                  <w:jc w:val="center"/>
                </w:pPr>
                <w:r>
                  <w:t>2.0888</w:t>
                </w:r>
              </w:p>
            </w:tc>
          </w:tr>
          <w:tr w:rsidR="007E7472" w14:paraId="3CAA90DC" w14:textId="77777777">
            <w:trPr>
              <w:trHeight w:val="360"/>
            </w:trPr>
            <w:sdt>
              <w:sdtPr>
                <w:tag w:val="_PLD_0794afc706e94e77876df1281577a7d9"/>
                <w:id w:val="421688800"/>
                <w:lock w:val="sdtLocked"/>
              </w:sdtPr>
              <w:sdtEndPr/>
              <w:sdtContent>
                <w:tc>
                  <w:tcPr>
                    <w:tcW w:w="1610" w:type="pct"/>
                    <w:tcBorders>
                      <w:top w:val="single" w:sz="4" w:space="0" w:color="auto"/>
                      <w:left w:val="single" w:sz="4" w:space="0" w:color="auto"/>
                      <w:bottom w:val="single" w:sz="4" w:space="0" w:color="auto"/>
                      <w:right w:val="single" w:sz="4" w:space="0" w:color="auto"/>
                    </w:tcBorders>
                  </w:tcPr>
                  <w:p w14:paraId="503EAF89" w14:textId="77777777" w:rsidR="007E7472" w:rsidRDefault="00EC1269">
                    <w:r>
                      <w:t>扣除非经常性损益后归属于公司普通股股东的净利润</w:t>
                    </w:r>
                  </w:p>
                </w:tc>
              </w:sdtContent>
            </w:sdt>
            <w:tc>
              <w:tcPr>
                <w:tcW w:w="1017" w:type="pct"/>
                <w:tcBorders>
                  <w:top w:val="single" w:sz="4" w:space="0" w:color="auto"/>
                  <w:left w:val="single" w:sz="4" w:space="0" w:color="auto"/>
                  <w:bottom w:val="single" w:sz="4" w:space="0" w:color="auto"/>
                  <w:right w:val="single" w:sz="4" w:space="0" w:color="auto"/>
                </w:tcBorders>
                <w:vAlign w:val="center"/>
              </w:tcPr>
              <w:p w14:paraId="0FE0FFC7" w14:textId="77777777" w:rsidR="007E7472" w:rsidRDefault="00EC1269">
                <w:pPr>
                  <w:jc w:val="center"/>
                </w:pPr>
                <w:r>
                  <w:t>12.16</w:t>
                </w:r>
              </w:p>
            </w:tc>
            <w:tc>
              <w:tcPr>
                <w:tcW w:w="1186" w:type="pct"/>
                <w:tcBorders>
                  <w:top w:val="single" w:sz="4" w:space="0" w:color="auto"/>
                  <w:left w:val="single" w:sz="4" w:space="0" w:color="auto"/>
                  <w:bottom w:val="single" w:sz="4" w:space="0" w:color="auto"/>
                  <w:right w:val="single" w:sz="4" w:space="0" w:color="auto"/>
                </w:tcBorders>
                <w:vAlign w:val="center"/>
              </w:tcPr>
              <w:p w14:paraId="45C12313" w14:textId="77777777" w:rsidR="007E7472" w:rsidRDefault="00EC1269">
                <w:pPr>
                  <w:jc w:val="center"/>
                </w:pPr>
                <w:r>
                  <w:t>2.0546</w:t>
                </w:r>
              </w:p>
            </w:tc>
            <w:tc>
              <w:tcPr>
                <w:tcW w:w="1187" w:type="pct"/>
                <w:tcBorders>
                  <w:top w:val="single" w:sz="4" w:space="0" w:color="auto"/>
                  <w:left w:val="single" w:sz="4" w:space="0" w:color="auto"/>
                  <w:bottom w:val="single" w:sz="4" w:space="0" w:color="auto"/>
                  <w:right w:val="single" w:sz="4" w:space="0" w:color="auto"/>
                </w:tcBorders>
                <w:vAlign w:val="center"/>
              </w:tcPr>
              <w:p w14:paraId="1D6B6912" w14:textId="77777777" w:rsidR="007E7472" w:rsidRDefault="00EC1269">
                <w:pPr>
                  <w:jc w:val="center"/>
                </w:pPr>
                <w:r>
                  <w:t>2.0559</w:t>
                </w:r>
              </w:p>
            </w:tc>
          </w:tr>
        </w:tbl>
        <w:p w14:paraId="76842009" w14:textId="77777777" w:rsidR="007E7472" w:rsidRDefault="00C8327E"/>
      </w:sdtContent>
    </w:sdt>
    <w:p w14:paraId="45CDEA7C" w14:textId="77777777" w:rsidR="007E7472" w:rsidRPr="001C4EB7" w:rsidRDefault="00EC1269" w:rsidP="00162493">
      <w:pPr>
        <w:numPr>
          <w:ilvl w:val="2"/>
          <w:numId w:val="123"/>
        </w:numPr>
        <w:outlineLvl w:val="2"/>
        <w:rPr>
          <w:b/>
        </w:rPr>
      </w:pPr>
      <w:r w:rsidRPr="001C4EB7">
        <w:rPr>
          <w:rFonts w:hint="eastAsia"/>
          <w:b/>
        </w:rPr>
        <w:t>境内外会计准则下会计数据差异</w:t>
      </w:r>
    </w:p>
    <w:sdt>
      <w:sdtPr>
        <w:alias w:val="是否适用：境内外会计准则下会计数据差异[双击切换]"/>
        <w:tag w:val="_GBC_3482333eff2948139884cfdd1debc958"/>
        <w:id w:val="575706258"/>
        <w:lock w:val="sdtLocked"/>
        <w:placeholder>
          <w:docPart w:val="GBC22222222222222222222222222222"/>
        </w:placeholder>
      </w:sdtPr>
      <w:sdtEndPr/>
      <w:sdtContent>
        <w:p w14:paraId="07A98293"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hAnsi="宋体" w:cstheme="minorBidi" w:hint="eastAsia"/>
          <w:b w:val="0"/>
          <w:bCs w:val="0"/>
          <w:kern w:val="0"/>
          <w:sz w:val="20"/>
          <w:szCs w:val="21"/>
        </w:rPr>
        <w:alias w:val="模块:同时按照国际会计准则与按中国会计准则披露的财务报告中净利润和..."/>
        <w:tag w:val="_GBC_30f5ba046d124b5db9ae669fe845bbdb"/>
        <w:id w:val="948277788"/>
        <w:lock w:val="sdtLocked"/>
        <w:placeholder>
          <w:docPart w:val="GBC22222222222222222222222222222"/>
        </w:placeholder>
      </w:sdtPr>
      <w:sdtEndPr>
        <w:rPr>
          <w:rFonts w:cs="宋体" w:hint="default"/>
          <w:sz w:val="21"/>
        </w:rPr>
      </w:sdtEndPr>
      <w:sdtContent>
        <w:p w14:paraId="0D02E79F" w14:textId="77777777" w:rsidR="007E7472" w:rsidRDefault="00EC1269" w:rsidP="00162493">
          <w:pPr>
            <w:pStyle w:val="4"/>
            <w:numPr>
              <w:ilvl w:val="0"/>
              <w:numId w:val="124"/>
            </w:numPr>
          </w:pPr>
          <w:r>
            <w:rPr>
              <w:rFonts w:hint="eastAsia"/>
            </w:rPr>
            <w:t>同时按照国际会计准则与按中国会计准则披露的财务报告中净利润和净资产差异情况</w:t>
          </w:r>
        </w:p>
        <w:sdt>
          <w:sdtPr>
            <w:rPr>
              <w:rFonts w:hint="eastAsia"/>
            </w:rPr>
            <w:alias w:val="是否适用：同时按照国际会计准则与按中国会计准则披露的财务报告中净利润和净资产差异情况[双击切换]"/>
            <w:tag w:val="_GBC_d4b99094c68c4643b25e25a564d131d1"/>
            <w:id w:val="77331534"/>
            <w:lock w:val="sdtLocked"/>
          </w:sdtPr>
          <w:sdtEndPr/>
          <w:sdtContent>
            <w:p w14:paraId="437C644D"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14:paraId="1620B7E4" w14:textId="13169682" w:rsidR="007E7472" w:rsidRDefault="00EC1269">
          <w:pPr>
            <w:jc w:val="right"/>
          </w:pPr>
          <w:r>
            <w:rPr>
              <w:rFonts w:hint="eastAsia"/>
            </w:rPr>
            <w:t>单位：</w:t>
          </w:r>
          <w:sdt>
            <w:sdtPr>
              <w:rPr>
                <w:rFonts w:hint="eastAsia"/>
              </w:rPr>
              <w:alias w:val="单位：同时按照国际会计准则与按中国会计准则披露的财务报告中净利润和净资产差异情况"/>
              <w:tag w:val="_GBC_4a9c4891050f46febb181a926ba461ae"/>
              <w:id w:val="-1274390650"/>
              <w:lock w:val="sdtLocked"/>
              <w:dataBinding w:prefixMappings="xmlns:clcid-ci-ar='clcid-ci-ar'" w:xpath="/*/clcid-ci-ar:DanWeiTongShiAnZhaoGuoJiKuaiJiZhunZeYuAnZhongGuoKuaiJiZhunZePiLuDeCaiWuBaoGaoZhongJingLiRunHeJingZiChanChaYiQingKuang[not(@periodRef)]" w:storeItemID="{89EBAB94-44A0-46A2-B712-30D997D04A6D}"/>
              <w:comboBox w:lastValue="千元">
                <w:listItem w:displayText="元" w:value="1"/>
                <w:listItem w:displayText="千元" w:value="1000"/>
                <w:listItem w:displayText="万元" w:value="10000"/>
                <w:listItem w:displayText="百万元" w:value="1000000"/>
                <w:listItem w:displayText="亿元" w:value="100000000"/>
              </w:comboBox>
            </w:sdtPr>
            <w:sdtEndPr/>
            <w:sdtContent>
              <w:r w:rsidR="006F3F93">
                <w:rPr>
                  <w:rFonts w:hint="eastAsia"/>
                </w:rPr>
                <w:t>千元</w:t>
              </w:r>
            </w:sdtContent>
          </w:sdt>
          <w:r>
            <w:rPr>
              <w:rFonts w:hint="eastAsia"/>
            </w:rPr>
            <w:t xml:space="preserve">  币种：</w:t>
          </w:r>
          <w:sdt>
            <w:sdtPr>
              <w:rPr>
                <w:rFonts w:hint="eastAsia"/>
              </w:rPr>
              <w:alias w:val="币种：同时按照国际会计准则与按中国会计准则披露的财务报告中净利润和净资产差异情况"/>
              <w:tag w:val="_GBC_aa48a8ffe5904da68453612258b0bfaa"/>
              <w:id w:val="49353280"/>
              <w:lock w:val="sdtLocked"/>
              <w:dataBinding w:prefixMappings="xmlns:clcid-ci-ar='clcid-ci-ar'" w:xpath="/*/clcid-ci-ar:BiZhongTongShiAnZhaoGuoJiKuaiJiZhunZeYuAnZhongGuoKuaiJiZhunZePiLuDeCaiWuBaoGaoZhongJingLiRunHeJingZiChanChaYiQingKuang[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F3F93">
                <w:rPr>
                  <w:rFonts w:hint="eastAsia"/>
                </w:rPr>
                <w:t>人民币</w:t>
              </w:r>
            </w:sdtContent>
          </w:sdt>
        </w:p>
        <w:tbl>
          <w:tblPr>
            <w:tblStyle w:val="g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9"/>
            <w:gridCol w:w="1475"/>
            <w:gridCol w:w="1477"/>
            <w:gridCol w:w="1475"/>
            <w:gridCol w:w="1477"/>
          </w:tblGrid>
          <w:tr w:rsidR="007E7472" w14:paraId="439FF557" w14:textId="77777777" w:rsidTr="007E7472">
            <w:trPr>
              <w:trHeight w:val="298"/>
            </w:trPr>
            <w:tc>
              <w:tcPr>
                <w:tcW w:w="1654" w:type="pct"/>
                <w:vMerge w:val="restart"/>
                <w:shd w:val="clear" w:color="auto" w:fill="auto"/>
                <w:vAlign w:val="center"/>
              </w:tcPr>
              <w:p w14:paraId="003B581C" w14:textId="77777777" w:rsidR="007E7472" w:rsidRDefault="00C8327E">
                <w:pPr>
                  <w:jc w:val="center"/>
                </w:pPr>
              </w:p>
            </w:tc>
            <w:sdt>
              <w:sdtPr>
                <w:tag w:val="_PLD_d2e998b7f1964581959c59b0179e4faf"/>
                <w:id w:val="1924910155"/>
                <w:lock w:val="sdtLocked"/>
              </w:sdtPr>
              <w:sdtEndPr/>
              <w:sdtContent>
                <w:tc>
                  <w:tcPr>
                    <w:tcW w:w="1673" w:type="pct"/>
                    <w:gridSpan w:val="2"/>
                    <w:shd w:val="clear" w:color="auto" w:fill="auto"/>
                    <w:vAlign w:val="center"/>
                  </w:tcPr>
                  <w:p w14:paraId="7FAFD913" w14:textId="77777777" w:rsidR="007E7472" w:rsidRDefault="00EC1269">
                    <w:pPr>
                      <w:jc w:val="center"/>
                    </w:pPr>
                    <w:r>
                      <w:rPr>
                        <w:rFonts w:hint="eastAsia"/>
                      </w:rPr>
                      <w:t>归属于上市公司股东的净利润</w:t>
                    </w:r>
                  </w:p>
                </w:tc>
              </w:sdtContent>
            </w:sdt>
            <w:sdt>
              <w:sdtPr>
                <w:tag w:val="_PLD_279a892065ac4145b12538757697201d"/>
                <w:id w:val="-1347399856"/>
                <w:lock w:val="sdtLocked"/>
              </w:sdtPr>
              <w:sdtEndPr/>
              <w:sdtContent>
                <w:tc>
                  <w:tcPr>
                    <w:tcW w:w="1673" w:type="pct"/>
                    <w:gridSpan w:val="2"/>
                    <w:shd w:val="clear" w:color="auto" w:fill="auto"/>
                    <w:vAlign w:val="center"/>
                  </w:tcPr>
                  <w:p w14:paraId="1827A2DF" w14:textId="77777777" w:rsidR="007E7472" w:rsidRDefault="00EC1269">
                    <w:pPr>
                      <w:jc w:val="center"/>
                    </w:pPr>
                    <w:r>
                      <w:rPr>
                        <w:rFonts w:hint="eastAsia"/>
                      </w:rPr>
                      <w:t>归属于上市公司股东的净资产</w:t>
                    </w:r>
                  </w:p>
                </w:tc>
              </w:sdtContent>
            </w:sdt>
          </w:tr>
          <w:tr w:rsidR="007E7472" w14:paraId="43E155F7" w14:textId="77777777" w:rsidTr="007E7472">
            <w:tc>
              <w:tcPr>
                <w:tcW w:w="1654" w:type="pct"/>
                <w:vMerge/>
                <w:shd w:val="clear" w:color="auto" w:fill="auto"/>
                <w:vAlign w:val="center"/>
              </w:tcPr>
              <w:p w14:paraId="6A93EA83" w14:textId="77777777" w:rsidR="007E7472" w:rsidRDefault="00C8327E">
                <w:pPr>
                  <w:jc w:val="center"/>
                </w:pPr>
              </w:p>
            </w:tc>
            <w:sdt>
              <w:sdtPr>
                <w:tag w:val="_PLD_3a9dd13d99c0471aa6ab71d59b592ee9"/>
                <w:id w:val="363636880"/>
                <w:lock w:val="sdtLocked"/>
              </w:sdtPr>
              <w:sdtEndPr/>
              <w:sdtContent>
                <w:tc>
                  <w:tcPr>
                    <w:tcW w:w="836" w:type="pct"/>
                    <w:shd w:val="clear" w:color="auto" w:fill="auto"/>
                    <w:vAlign w:val="center"/>
                  </w:tcPr>
                  <w:p w14:paraId="4798909C" w14:textId="77777777" w:rsidR="007E7472" w:rsidRDefault="00EC1269">
                    <w:pPr>
                      <w:jc w:val="center"/>
                    </w:pPr>
                    <w:r>
                      <w:rPr>
                        <w:rFonts w:hint="eastAsia"/>
                      </w:rPr>
                      <w:t>本期发生额</w:t>
                    </w:r>
                  </w:p>
                </w:tc>
              </w:sdtContent>
            </w:sdt>
            <w:sdt>
              <w:sdtPr>
                <w:tag w:val="_PLD_5ff701042adc4944a3e91465025f2c43"/>
                <w:id w:val="-168406770"/>
                <w:lock w:val="sdtLocked"/>
              </w:sdtPr>
              <w:sdtEndPr/>
              <w:sdtContent>
                <w:tc>
                  <w:tcPr>
                    <w:tcW w:w="837" w:type="pct"/>
                    <w:shd w:val="clear" w:color="auto" w:fill="auto"/>
                    <w:vAlign w:val="center"/>
                  </w:tcPr>
                  <w:p w14:paraId="42F09587" w14:textId="77777777" w:rsidR="007E7472" w:rsidRDefault="00EC1269">
                    <w:pPr>
                      <w:jc w:val="center"/>
                    </w:pPr>
                    <w:r>
                      <w:rPr>
                        <w:rFonts w:hint="eastAsia"/>
                      </w:rPr>
                      <w:t>上期发生额</w:t>
                    </w:r>
                  </w:p>
                </w:tc>
              </w:sdtContent>
            </w:sdt>
            <w:sdt>
              <w:sdtPr>
                <w:tag w:val="_PLD_efa0de1833974fd786e7538d6c280b26"/>
                <w:id w:val="-370305022"/>
                <w:lock w:val="sdtLocked"/>
              </w:sdtPr>
              <w:sdtEndPr/>
              <w:sdtContent>
                <w:tc>
                  <w:tcPr>
                    <w:tcW w:w="836" w:type="pct"/>
                    <w:shd w:val="clear" w:color="auto" w:fill="auto"/>
                    <w:vAlign w:val="center"/>
                  </w:tcPr>
                  <w:p w14:paraId="22A52241" w14:textId="77777777" w:rsidR="007E7472" w:rsidRDefault="00EC1269">
                    <w:pPr>
                      <w:jc w:val="center"/>
                    </w:pPr>
                    <w:r>
                      <w:rPr>
                        <w:rFonts w:hint="eastAsia"/>
                      </w:rPr>
                      <w:t>期末余额</w:t>
                    </w:r>
                  </w:p>
                </w:tc>
              </w:sdtContent>
            </w:sdt>
            <w:sdt>
              <w:sdtPr>
                <w:tag w:val="_PLD_dc796fe7c9a94aba9a6a63513361ab28"/>
                <w:id w:val="-201248629"/>
                <w:lock w:val="sdtLocked"/>
              </w:sdtPr>
              <w:sdtEndPr/>
              <w:sdtContent>
                <w:tc>
                  <w:tcPr>
                    <w:tcW w:w="837" w:type="pct"/>
                    <w:shd w:val="clear" w:color="auto" w:fill="auto"/>
                    <w:vAlign w:val="center"/>
                  </w:tcPr>
                  <w:p w14:paraId="341FD2A8" w14:textId="77777777" w:rsidR="007E7472" w:rsidRDefault="00EC1269">
                    <w:pPr>
                      <w:jc w:val="center"/>
                    </w:pPr>
                    <w:r>
                      <w:rPr>
                        <w:rFonts w:hint="eastAsia"/>
                      </w:rPr>
                      <w:t>期初余额</w:t>
                    </w:r>
                  </w:p>
                </w:tc>
              </w:sdtContent>
            </w:sdt>
          </w:tr>
          <w:tr w:rsidR="007E7472" w14:paraId="47E72887" w14:textId="77777777" w:rsidTr="007E7472">
            <w:sdt>
              <w:sdtPr>
                <w:tag w:val="_PLD_bb7345578f99401891563fdea1e50cdd"/>
                <w:id w:val="-1807464344"/>
                <w:lock w:val="sdtLocked"/>
              </w:sdtPr>
              <w:sdtEndPr/>
              <w:sdtContent>
                <w:tc>
                  <w:tcPr>
                    <w:tcW w:w="1654" w:type="pct"/>
                    <w:shd w:val="clear" w:color="auto" w:fill="auto"/>
                    <w:vAlign w:val="center"/>
                  </w:tcPr>
                  <w:p w14:paraId="36ABC3E4" w14:textId="77777777" w:rsidR="007E7472" w:rsidRDefault="00EC1269">
                    <w:pPr>
                      <w:jc w:val="both"/>
                    </w:pPr>
                    <w:r>
                      <w:rPr>
                        <w:rFonts w:hint="eastAsia"/>
                      </w:rPr>
                      <w:t>按中国会计准则</w:t>
                    </w:r>
                  </w:p>
                </w:tc>
              </w:sdtContent>
            </w:sdt>
            <w:tc>
              <w:tcPr>
                <w:tcW w:w="836" w:type="pct"/>
                <w:shd w:val="clear" w:color="auto" w:fill="auto"/>
                <w:vAlign w:val="center"/>
              </w:tcPr>
              <w:p w14:paraId="7686CF87" w14:textId="77777777" w:rsidR="007E7472" w:rsidRDefault="00EC1269">
                <w:pPr>
                  <w:autoSpaceDE w:val="0"/>
                  <w:autoSpaceDN w:val="0"/>
                  <w:adjustRightInd w:val="0"/>
                  <w:snapToGrid w:val="0"/>
                  <w:jc w:val="right"/>
                </w:pPr>
                <w:r>
                  <w:t>10,210,068</w:t>
                </w:r>
              </w:p>
            </w:tc>
            <w:tc>
              <w:tcPr>
                <w:tcW w:w="837" w:type="pct"/>
                <w:shd w:val="clear" w:color="auto" w:fill="auto"/>
                <w:vAlign w:val="center"/>
              </w:tcPr>
              <w:p w14:paraId="2CD455BF" w14:textId="77777777" w:rsidR="007E7472" w:rsidRDefault="00EC1269">
                <w:pPr>
                  <w:autoSpaceDE w:val="0"/>
                  <w:autoSpaceDN w:val="0"/>
                  <w:adjustRightInd w:val="0"/>
                  <w:snapToGrid w:val="0"/>
                  <w:jc w:val="right"/>
                  <w:rPr>
                    <w:bCs/>
                  </w:rPr>
                </w:pPr>
                <w:r>
                  <w:rPr>
                    <w:bCs/>
                  </w:rPr>
                  <w:t>18,037,071</w:t>
                </w:r>
              </w:p>
            </w:tc>
            <w:tc>
              <w:tcPr>
                <w:tcW w:w="836" w:type="pct"/>
                <w:shd w:val="clear" w:color="auto" w:fill="auto"/>
                <w:vAlign w:val="center"/>
              </w:tcPr>
              <w:p w14:paraId="68EA42D9" w14:textId="77777777" w:rsidR="007E7472" w:rsidRDefault="00EC1269">
                <w:pPr>
                  <w:jc w:val="right"/>
                  <w:rPr>
                    <w:bCs/>
                  </w:rPr>
                </w:pPr>
                <w:r>
                  <w:rPr>
                    <w:bCs/>
                  </w:rPr>
                  <w:t>82,811,721</w:t>
                </w:r>
              </w:p>
            </w:tc>
            <w:tc>
              <w:tcPr>
                <w:tcW w:w="837" w:type="pct"/>
                <w:shd w:val="clear" w:color="auto" w:fill="auto"/>
                <w:vAlign w:val="center"/>
              </w:tcPr>
              <w:p w14:paraId="7E135D17" w14:textId="77777777" w:rsidR="007E7472" w:rsidRDefault="00EC1269">
                <w:pPr>
                  <w:autoSpaceDE w:val="0"/>
                  <w:autoSpaceDN w:val="0"/>
                  <w:adjustRightInd w:val="0"/>
                  <w:snapToGrid w:val="0"/>
                  <w:jc w:val="right"/>
                </w:pPr>
                <w:r>
                  <w:t>94,776,485</w:t>
                </w:r>
              </w:p>
            </w:tc>
          </w:tr>
          <w:tr w:rsidR="007E7472" w14:paraId="5231B2CB" w14:textId="77777777" w:rsidTr="007E7472">
            <w:sdt>
              <w:sdtPr>
                <w:tag w:val="_PLD_78a11dad0fa347a3886ae302fc573cdb"/>
                <w:id w:val="40482061"/>
                <w:lock w:val="sdtLocked"/>
              </w:sdtPr>
              <w:sdtEndPr/>
              <w:sdtContent>
                <w:tc>
                  <w:tcPr>
                    <w:tcW w:w="5000" w:type="pct"/>
                    <w:gridSpan w:val="5"/>
                    <w:shd w:val="clear" w:color="auto" w:fill="auto"/>
                    <w:vAlign w:val="center"/>
                  </w:tcPr>
                  <w:p w14:paraId="0A0A8F8C" w14:textId="77777777" w:rsidR="007E7472" w:rsidRDefault="00EC1269">
                    <w:r>
                      <w:rPr>
                        <w:rFonts w:hint="eastAsia"/>
                      </w:rPr>
                      <w:t>按国际会计准则调整的项目及金额：</w:t>
                    </w:r>
                  </w:p>
                </w:tc>
              </w:sdtContent>
            </w:sdt>
          </w:tr>
          <w:sdt>
            <w:sdtPr>
              <w:alias w:val="按国际会计准则调整的净利润和股东权益明细"/>
              <w:tag w:val="_GBC_b82adc64569148a4b7009ddbaf90b94c"/>
              <w:id w:val="498696651"/>
              <w:lock w:val="sdtLocked"/>
            </w:sdtPr>
            <w:sdtEndPr/>
            <w:sdtContent>
              <w:tr w:rsidR="007E7472" w14:paraId="5398F786" w14:textId="77777777" w:rsidTr="007E7472">
                <w:tc>
                  <w:tcPr>
                    <w:tcW w:w="1654" w:type="pct"/>
                    <w:shd w:val="clear" w:color="auto" w:fill="auto"/>
                    <w:vAlign w:val="center"/>
                  </w:tcPr>
                  <w:p w14:paraId="57A4F3C8" w14:textId="77777777" w:rsidR="007E7472" w:rsidRDefault="00EC1269">
                    <w:r>
                      <w:t>1.同一控制下合并（注1）</w:t>
                    </w:r>
                  </w:p>
                </w:tc>
                <w:tc>
                  <w:tcPr>
                    <w:tcW w:w="836" w:type="pct"/>
                    <w:shd w:val="clear" w:color="auto" w:fill="auto"/>
                    <w:vAlign w:val="center"/>
                  </w:tcPr>
                  <w:p w14:paraId="6E2917EB" w14:textId="77777777" w:rsidR="007E7472" w:rsidRDefault="00EC1269">
                    <w:pPr>
                      <w:jc w:val="right"/>
                    </w:pPr>
                    <w:r>
                      <w:t>166,467</w:t>
                    </w:r>
                  </w:p>
                </w:tc>
                <w:tc>
                  <w:tcPr>
                    <w:tcW w:w="837" w:type="pct"/>
                    <w:shd w:val="clear" w:color="auto" w:fill="auto"/>
                    <w:vAlign w:val="center"/>
                  </w:tcPr>
                  <w:p w14:paraId="39879186" w14:textId="77777777" w:rsidR="007E7472" w:rsidRDefault="00EC1269">
                    <w:pPr>
                      <w:jc w:val="right"/>
                    </w:pPr>
                    <w:r>
                      <w:t>166,467</w:t>
                    </w:r>
                  </w:p>
                </w:tc>
                <w:tc>
                  <w:tcPr>
                    <w:tcW w:w="836" w:type="pct"/>
                    <w:shd w:val="clear" w:color="auto" w:fill="auto"/>
                    <w:vAlign w:val="center"/>
                  </w:tcPr>
                  <w:p w14:paraId="20E6A4F6" w14:textId="75010B0C" w:rsidR="007E7472" w:rsidRDefault="00913748">
                    <w:pPr>
                      <w:jc w:val="right"/>
                    </w:pPr>
                    <w:r w:rsidRPr="00484741">
                      <w:t>-9,165,585</w:t>
                    </w:r>
                  </w:p>
                </w:tc>
                <w:tc>
                  <w:tcPr>
                    <w:tcW w:w="837" w:type="pct"/>
                    <w:shd w:val="clear" w:color="auto" w:fill="auto"/>
                    <w:vAlign w:val="center"/>
                  </w:tcPr>
                  <w:p w14:paraId="4B533EB1" w14:textId="77777777" w:rsidR="007E7472" w:rsidRDefault="00EC1269">
                    <w:pPr>
                      <w:jc w:val="right"/>
                    </w:pPr>
                    <w:r>
                      <w:rPr>
                        <w:rFonts w:hint="eastAsia"/>
                      </w:rPr>
                      <w:t>-</w:t>
                    </w:r>
                    <w:r>
                      <w:t>9,117,308</w:t>
                    </w:r>
                  </w:p>
                </w:tc>
              </w:tr>
            </w:sdtContent>
          </w:sdt>
          <w:sdt>
            <w:sdtPr>
              <w:alias w:val="按国际会计准则调整的净利润和股东权益明细"/>
              <w:tag w:val="_GBC_b82adc64569148a4b7009ddbaf90b94c"/>
              <w:id w:val="-1320724873"/>
              <w:lock w:val="sdtLocked"/>
            </w:sdtPr>
            <w:sdtEndPr/>
            <w:sdtContent>
              <w:tr w:rsidR="007E7472" w14:paraId="5C40E598" w14:textId="77777777" w:rsidTr="007E7472">
                <w:tc>
                  <w:tcPr>
                    <w:tcW w:w="1654" w:type="pct"/>
                    <w:shd w:val="clear" w:color="auto" w:fill="auto"/>
                    <w:vAlign w:val="center"/>
                  </w:tcPr>
                  <w:p w14:paraId="2E5CA6BF" w14:textId="77777777" w:rsidR="007E7472" w:rsidRDefault="00EC1269">
                    <w:r>
                      <w:t>2.专项储备（注2）</w:t>
                    </w:r>
                  </w:p>
                </w:tc>
                <w:tc>
                  <w:tcPr>
                    <w:tcW w:w="836" w:type="pct"/>
                    <w:shd w:val="clear" w:color="auto" w:fill="auto"/>
                    <w:vAlign w:val="center"/>
                  </w:tcPr>
                  <w:p w14:paraId="3375C9C6" w14:textId="6BAC6C09" w:rsidR="007E7472" w:rsidRDefault="00913748">
                    <w:pPr>
                      <w:jc w:val="right"/>
                    </w:pPr>
                    <w:r w:rsidRPr="00484741">
                      <w:t>-315</w:t>
                    </w:r>
                    <w:r>
                      <w:rPr>
                        <w:rFonts w:hint="eastAsia"/>
                      </w:rPr>
                      <w:t>,</w:t>
                    </w:r>
                    <w:r w:rsidRPr="00484741">
                      <w:t>937</w:t>
                    </w:r>
                  </w:p>
                </w:tc>
                <w:tc>
                  <w:tcPr>
                    <w:tcW w:w="837" w:type="pct"/>
                    <w:shd w:val="clear" w:color="auto" w:fill="auto"/>
                    <w:vAlign w:val="center"/>
                  </w:tcPr>
                  <w:p w14:paraId="48CA8958" w14:textId="77777777" w:rsidR="007E7472" w:rsidRDefault="00EC1269">
                    <w:pPr>
                      <w:jc w:val="right"/>
                    </w:pPr>
                    <w:r>
                      <w:rPr>
                        <w:rFonts w:hint="eastAsia"/>
                      </w:rPr>
                      <w:t>-</w:t>
                    </w:r>
                    <w:r>
                      <w:t>726,777</w:t>
                    </w:r>
                  </w:p>
                </w:tc>
                <w:tc>
                  <w:tcPr>
                    <w:tcW w:w="836" w:type="pct"/>
                    <w:shd w:val="clear" w:color="auto" w:fill="auto"/>
                    <w:vAlign w:val="center"/>
                  </w:tcPr>
                  <w:p w14:paraId="1D03DBB3" w14:textId="77777777" w:rsidR="007E7472" w:rsidRDefault="00EC1269">
                    <w:pPr>
                      <w:jc w:val="right"/>
                    </w:pPr>
                    <w:r>
                      <w:rPr>
                        <w:rFonts w:hint="eastAsia"/>
                      </w:rPr>
                      <w:t>-</w:t>
                    </w:r>
                    <w:r>
                      <w:t>29,887</w:t>
                    </w:r>
                  </w:p>
                </w:tc>
                <w:tc>
                  <w:tcPr>
                    <w:tcW w:w="837" w:type="pct"/>
                    <w:shd w:val="clear" w:color="auto" w:fill="auto"/>
                    <w:vAlign w:val="center"/>
                  </w:tcPr>
                  <w:p w14:paraId="381016A1" w14:textId="77777777" w:rsidR="007E7472" w:rsidRDefault="00EC1269">
                    <w:pPr>
                      <w:jc w:val="right"/>
                    </w:pPr>
                    <w:r>
                      <w:rPr>
                        <w:rFonts w:hint="eastAsia"/>
                      </w:rPr>
                      <w:t>-</w:t>
                    </w:r>
                    <w:r>
                      <w:t>31,613</w:t>
                    </w:r>
                  </w:p>
                </w:tc>
              </w:tr>
            </w:sdtContent>
          </w:sdt>
          <w:sdt>
            <w:sdtPr>
              <w:alias w:val="按国际会计准则调整的净利润和股东权益明细"/>
              <w:tag w:val="_GBC_b82adc64569148a4b7009ddbaf90b94c"/>
              <w:id w:val="1703904853"/>
              <w:lock w:val="sdtLocked"/>
            </w:sdtPr>
            <w:sdtEndPr/>
            <w:sdtContent>
              <w:tr w:rsidR="007E7472" w14:paraId="15DCB59E" w14:textId="77777777" w:rsidTr="007E7472">
                <w:tc>
                  <w:tcPr>
                    <w:tcW w:w="1654" w:type="pct"/>
                    <w:shd w:val="clear" w:color="auto" w:fill="auto"/>
                    <w:vAlign w:val="center"/>
                  </w:tcPr>
                  <w:p w14:paraId="40B4E085" w14:textId="77777777" w:rsidR="007E7472" w:rsidRDefault="00EC1269">
                    <w:r>
                      <w:t>3.递延税项（注5）</w:t>
                    </w:r>
                  </w:p>
                </w:tc>
                <w:tc>
                  <w:tcPr>
                    <w:tcW w:w="836" w:type="pct"/>
                    <w:shd w:val="clear" w:color="auto" w:fill="auto"/>
                    <w:vAlign w:val="center"/>
                  </w:tcPr>
                  <w:p w14:paraId="76162228" w14:textId="54F057E8" w:rsidR="007E7472" w:rsidRDefault="00EC1269">
                    <w:pPr>
                      <w:jc w:val="right"/>
                    </w:pPr>
                    <w:r>
                      <w:t>35,8</w:t>
                    </w:r>
                    <w:r w:rsidR="00913748">
                      <w:t>41</w:t>
                    </w:r>
                  </w:p>
                </w:tc>
                <w:tc>
                  <w:tcPr>
                    <w:tcW w:w="837" w:type="pct"/>
                    <w:shd w:val="clear" w:color="auto" w:fill="auto"/>
                    <w:vAlign w:val="center"/>
                  </w:tcPr>
                  <w:p w14:paraId="4A29628D" w14:textId="77777777" w:rsidR="007E7472" w:rsidRDefault="00EC1269">
                    <w:pPr>
                      <w:jc w:val="right"/>
                    </w:pPr>
                    <w:r>
                      <w:t>138,549</w:t>
                    </w:r>
                  </w:p>
                </w:tc>
                <w:tc>
                  <w:tcPr>
                    <w:tcW w:w="836" w:type="pct"/>
                    <w:shd w:val="clear" w:color="auto" w:fill="auto"/>
                    <w:vAlign w:val="center"/>
                  </w:tcPr>
                  <w:p w14:paraId="30B6852E" w14:textId="1A1405A8" w:rsidR="007E7472" w:rsidRDefault="00EC1269">
                    <w:pPr>
                      <w:jc w:val="right"/>
                    </w:pPr>
                    <w:r>
                      <w:t>291,84</w:t>
                    </w:r>
                    <w:r w:rsidR="00913748">
                      <w:t>7</w:t>
                    </w:r>
                  </w:p>
                </w:tc>
                <w:tc>
                  <w:tcPr>
                    <w:tcW w:w="837" w:type="pct"/>
                    <w:shd w:val="clear" w:color="auto" w:fill="auto"/>
                    <w:vAlign w:val="center"/>
                  </w:tcPr>
                  <w:p w14:paraId="651FF3E6" w14:textId="77777777" w:rsidR="007E7472" w:rsidRDefault="00EC1269">
                    <w:pPr>
                      <w:jc w:val="right"/>
                    </w:pPr>
                    <w:r>
                      <w:t>256,006</w:t>
                    </w:r>
                  </w:p>
                </w:tc>
              </w:tr>
            </w:sdtContent>
          </w:sdt>
          <w:sdt>
            <w:sdtPr>
              <w:alias w:val="按国际会计准则调整的净利润和股东权益明细"/>
              <w:tag w:val="_GBC_b82adc64569148a4b7009ddbaf90b94c"/>
              <w:id w:val="-1133172085"/>
              <w:lock w:val="sdtLocked"/>
            </w:sdtPr>
            <w:sdtEndPr/>
            <w:sdtContent>
              <w:tr w:rsidR="007E7472" w14:paraId="34489638" w14:textId="77777777" w:rsidTr="007E7472">
                <w:tc>
                  <w:tcPr>
                    <w:tcW w:w="1654" w:type="pct"/>
                    <w:shd w:val="clear" w:color="auto" w:fill="auto"/>
                    <w:vAlign w:val="center"/>
                  </w:tcPr>
                  <w:p w14:paraId="4F3039ED" w14:textId="77777777" w:rsidR="007E7472" w:rsidRDefault="00EC1269">
                    <w:r>
                      <w:t>4.永续资本债券（注3）</w:t>
                    </w:r>
                  </w:p>
                </w:tc>
                <w:tc>
                  <w:tcPr>
                    <w:tcW w:w="836" w:type="pct"/>
                    <w:shd w:val="clear" w:color="auto" w:fill="auto"/>
                    <w:vAlign w:val="center"/>
                  </w:tcPr>
                  <w:p w14:paraId="082B1689" w14:textId="77777777" w:rsidR="007E7472" w:rsidRDefault="00C8327E">
                    <w:pPr>
                      <w:jc w:val="right"/>
                    </w:pPr>
                  </w:p>
                </w:tc>
                <w:tc>
                  <w:tcPr>
                    <w:tcW w:w="837" w:type="pct"/>
                    <w:shd w:val="clear" w:color="auto" w:fill="auto"/>
                    <w:vAlign w:val="center"/>
                  </w:tcPr>
                  <w:p w14:paraId="780C4CA6" w14:textId="77777777" w:rsidR="007E7472" w:rsidRDefault="00C8327E">
                    <w:pPr>
                      <w:jc w:val="right"/>
                    </w:pPr>
                  </w:p>
                </w:tc>
                <w:tc>
                  <w:tcPr>
                    <w:tcW w:w="836" w:type="pct"/>
                    <w:shd w:val="clear" w:color="auto" w:fill="auto"/>
                    <w:vAlign w:val="center"/>
                  </w:tcPr>
                  <w:p w14:paraId="0AE57611" w14:textId="77777777" w:rsidR="007E7472" w:rsidRDefault="00EC1269">
                    <w:pPr>
                      <w:jc w:val="right"/>
                    </w:pPr>
                    <w:r>
                      <w:t>11,379,189</w:t>
                    </w:r>
                  </w:p>
                </w:tc>
                <w:tc>
                  <w:tcPr>
                    <w:tcW w:w="837" w:type="pct"/>
                    <w:shd w:val="clear" w:color="auto" w:fill="auto"/>
                    <w:vAlign w:val="center"/>
                  </w:tcPr>
                  <w:p w14:paraId="1FEF2419" w14:textId="77777777" w:rsidR="007E7472" w:rsidRDefault="00EC1269">
                    <w:pPr>
                      <w:jc w:val="right"/>
                    </w:pPr>
                    <w:r>
                      <w:t>13,248,614</w:t>
                    </w:r>
                  </w:p>
                </w:tc>
              </w:tr>
            </w:sdtContent>
          </w:sdt>
          <w:sdt>
            <w:sdtPr>
              <w:alias w:val="按国际会计准则调整的净利润和股东权益明细"/>
              <w:tag w:val="_GBC_b82adc64569148a4b7009ddbaf90b94c"/>
              <w:id w:val="1534620489"/>
              <w:lock w:val="sdtLocked"/>
            </w:sdtPr>
            <w:sdtEndPr/>
            <w:sdtContent>
              <w:tr w:rsidR="007E7472" w14:paraId="0C783C7F" w14:textId="77777777" w:rsidTr="007E7472">
                <w:tc>
                  <w:tcPr>
                    <w:tcW w:w="1654" w:type="pct"/>
                    <w:shd w:val="clear" w:color="auto" w:fill="auto"/>
                    <w:vAlign w:val="center"/>
                  </w:tcPr>
                  <w:p w14:paraId="5FB7B297" w14:textId="77777777" w:rsidR="007E7472" w:rsidRDefault="00EC1269">
                    <w:r>
                      <w:t>5.无形资产减值损失（注4）</w:t>
                    </w:r>
                  </w:p>
                </w:tc>
                <w:tc>
                  <w:tcPr>
                    <w:tcW w:w="836" w:type="pct"/>
                    <w:shd w:val="clear" w:color="auto" w:fill="auto"/>
                    <w:vAlign w:val="center"/>
                  </w:tcPr>
                  <w:p w14:paraId="254B394D" w14:textId="77777777" w:rsidR="007E7472" w:rsidRDefault="00EC1269">
                    <w:pPr>
                      <w:jc w:val="right"/>
                    </w:pPr>
                    <w:r>
                      <w:t>5,099</w:t>
                    </w:r>
                  </w:p>
                </w:tc>
                <w:tc>
                  <w:tcPr>
                    <w:tcW w:w="837" w:type="pct"/>
                    <w:shd w:val="clear" w:color="auto" w:fill="auto"/>
                    <w:vAlign w:val="center"/>
                  </w:tcPr>
                  <w:p w14:paraId="51E20EC5" w14:textId="77777777" w:rsidR="007E7472" w:rsidRDefault="00EC1269">
                    <w:pPr>
                      <w:jc w:val="right"/>
                    </w:pPr>
                    <w:r>
                      <w:t>5,099</w:t>
                    </w:r>
                  </w:p>
                </w:tc>
                <w:tc>
                  <w:tcPr>
                    <w:tcW w:w="836" w:type="pct"/>
                    <w:shd w:val="clear" w:color="auto" w:fill="auto"/>
                    <w:vAlign w:val="center"/>
                  </w:tcPr>
                  <w:p w14:paraId="685D8690" w14:textId="77777777" w:rsidR="007E7472" w:rsidRDefault="00EC1269">
                    <w:pPr>
                      <w:jc w:val="right"/>
                    </w:pPr>
                    <w:r>
                      <w:rPr>
                        <w:rFonts w:hint="eastAsia"/>
                      </w:rPr>
                      <w:t>-</w:t>
                    </w:r>
                    <w:r>
                      <w:t>74,142</w:t>
                    </w:r>
                  </w:p>
                </w:tc>
                <w:tc>
                  <w:tcPr>
                    <w:tcW w:w="837" w:type="pct"/>
                    <w:shd w:val="clear" w:color="auto" w:fill="auto"/>
                    <w:vAlign w:val="center"/>
                  </w:tcPr>
                  <w:p w14:paraId="67002AD6" w14:textId="77777777" w:rsidR="007E7472" w:rsidRDefault="00EC1269">
                    <w:pPr>
                      <w:jc w:val="right"/>
                    </w:pPr>
                    <w:r>
                      <w:rPr>
                        <w:rFonts w:hint="eastAsia"/>
                      </w:rPr>
                      <w:t>-</w:t>
                    </w:r>
                    <w:r>
                      <w:t>79,241</w:t>
                    </w:r>
                  </w:p>
                </w:tc>
              </w:tr>
            </w:sdtContent>
          </w:sdt>
          <w:sdt>
            <w:sdtPr>
              <w:alias w:val="按国际会计准则调整的净利润和股东权益明细"/>
              <w:tag w:val="_GBC_b82adc64569148a4b7009ddbaf90b94c"/>
              <w:id w:val="229351239"/>
              <w:lock w:val="sdtLocked"/>
            </w:sdtPr>
            <w:sdtEndPr/>
            <w:sdtContent>
              <w:tr w:rsidR="007E7472" w14:paraId="0E69546D" w14:textId="77777777" w:rsidTr="007E7472">
                <w:tc>
                  <w:tcPr>
                    <w:tcW w:w="1654" w:type="pct"/>
                    <w:shd w:val="clear" w:color="auto" w:fill="auto"/>
                    <w:vAlign w:val="center"/>
                  </w:tcPr>
                  <w:p w14:paraId="7BB58510" w14:textId="77777777" w:rsidR="007E7472" w:rsidRDefault="00EC1269">
                    <w:r>
                      <w:t>6.其他</w:t>
                    </w:r>
                  </w:p>
                </w:tc>
                <w:tc>
                  <w:tcPr>
                    <w:tcW w:w="836" w:type="pct"/>
                    <w:shd w:val="clear" w:color="auto" w:fill="auto"/>
                    <w:vAlign w:val="center"/>
                  </w:tcPr>
                  <w:p w14:paraId="7DBEA81A" w14:textId="77777777" w:rsidR="007E7472" w:rsidRDefault="00C8327E">
                    <w:pPr>
                      <w:jc w:val="right"/>
                    </w:pPr>
                  </w:p>
                </w:tc>
                <w:tc>
                  <w:tcPr>
                    <w:tcW w:w="837" w:type="pct"/>
                    <w:shd w:val="clear" w:color="auto" w:fill="auto"/>
                    <w:vAlign w:val="center"/>
                  </w:tcPr>
                  <w:p w14:paraId="1643DFDD" w14:textId="77777777" w:rsidR="007E7472" w:rsidRDefault="00C8327E">
                    <w:pPr>
                      <w:jc w:val="right"/>
                    </w:pPr>
                  </w:p>
                </w:tc>
                <w:tc>
                  <w:tcPr>
                    <w:tcW w:w="836" w:type="pct"/>
                    <w:shd w:val="clear" w:color="auto" w:fill="auto"/>
                    <w:vAlign w:val="center"/>
                  </w:tcPr>
                  <w:p w14:paraId="44EFE2D9" w14:textId="77777777" w:rsidR="007E7472" w:rsidRDefault="00EC1269">
                    <w:pPr>
                      <w:jc w:val="right"/>
                    </w:pPr>
                    <w:r>
                      <w:t>647,648</w:t>
                    </w:r>
                  </w:p>
                </w:tc>
                <w:tc>
                  <w:tcPr>
                    <w:tcW w:w="837" w:type="pct"/>
                    <w:shd w:val="clear" w:color="auto" w:fill="auto"/>
                    <w:vAlign w:val="center"/>
                  </w:tcPr>
                  <w:p w14:paraId="41DE7633" w14:textId="77777777" w:rsidR="007E7472" w:rsidRDefault="00EC1269">
                    <w:pPr>
                      <w:jc w:val="right"/>
                    </w:pPr>
                    <w:r>
                      <w:t>647,648</w:t>
                    </w:r>
                  </w:p>
                </w:tc>
              </w:tr>
            </w:sdtContent>
          </w:sdt>
          <w:tr w:rsidR="007E7472" w14:paraId="20B42D42" w14:textId="77777777" w:rsidTr="007E7472">
            <w:sdt>
              <w:sdtPr>
                <w:tag w:val="_PLD_e4ec423f5072427e90b472a3d1f26190"/>
                <w:id w:val="-1220120662"/>
                <w:lock w:val="sdtLocked"/>
              </w:sdtPr>
              <w:sdtEndPr/>
              <w:sdtContent>
                <w:tc>
                  <w:tcPr>
                    <w:tcW w:w="1654" w:type="pct"/>
                    <w:shd w:val="clear" w:color="auto" w:fill="auto"/>
                    <w:vAlign w:val="center"/>
                  </w:tcPr>
                  <w:p w14:paraId="79D8A187" w14:textId="77777777" w:rsidR="007E7472" w:rsidRDefault="00EC1269">
                    <w:pPr>
                      <w:autoSpaceDE w:val="0"/>
                      <w:autoSpaceDN w:val="0"/>
                      <w:adjustRightInd w:val="0"/>
                      <w:snapToGrid w:val="0"/>
                    </w:pPr>
                    <w:r>
                      <w:t>按国际会计准则</w:t>
                    </w:r>
                  </w:p>
                </w:tc>
              </w:sdtContent>
            </w:sdt>
            <w:tc>
              <w:tcPr>
                <w:tcW w:w="836" w:type="pct"/>
                <w:shd w:val="clear" w:color="auto" w:fill="auto"/>
                <w:vAlign w:val="center"/>
              </w:tcPr>
              <w:p w14:paraId="06B9A046" w14:textId="77777777" w:rsidR="007E7472" w:rsidRDefault="00EC1269">
                <w:pPr>
                  <w:autoSpaceDE w:val="0"/>
                  <w:autoSpaceDN w:val="0"/>
                  <w:adjustRightInd w:val="0"/>
                  <w:snapToGrid w:val="0"/>
                  <w:jc w:val="right"/>
                </w:pPr>
                <w:r>
                  <w:t>10,318,598</w:t>
                </w:r>
              </w:p>
            </w:tc>
            <w:tc>
              <w:tcPr>
                <w:tcW w:w="837" w:type="pct"/>
                <w:shd w:val="clear" w:color="auto" w:fill="auto"/>
                <w:vAlign w:val="center"/>
              </w:tcPr>
              <w:p w14:paraId="1A464405" w14:textId="77777777" w:rsidR="007E7472" w:rsidRDefault="00EC1269">
                <w:pPr>
                  <w:autoSpaceDE w:val="0"/>
                  <w:autoSpaceDN w:val="0"/>
                  <w:adjustRightInd w:val="0"/>
                  <w:snapToGrid w:val="0"/>
                  <w:jc w:val="right"/>
                  <w:rPr>
                    <w:bCs/>
                  </w:rPr>
                </w:pPr>
                <w:r>
                  <w:rPr>
                    <w:bCs/>
                  </w:rPr>
                  <w:t>18,453,733</w:t>
                </w:r>
              </w:p>
            </w:tc>
            <w:tc>
              <w:tcPr>
                <w:tcW w:w="836" w:type="pct"/>
                <w:shd w:val="clear" w:color="auto" w:fill="auto"/>
                <w:vAlign w:val="center"/>
              </w:tcPr>
              <w:p w14:paraId="14AC3C33" w14:textId="5407F702" w:rsidR="007E7472" w:rsidRDefault="00913748">
                <w:pPr>
                  <w:autoSpaceDE w:val="0"/>
                  <w:autoSpaceDN w:val="0"/>
                  <w:adjustRightInd w:val="0"/>
                  <w:snapToGrid w:val="0"/>
                  <w:jc w:val="right"/>
                  <w:rPr>
                    <w:bCs/>
                  </w:rPr>
                </w:pPr>
                <w:r w:rsidRPr="00484741">
                  <w:rPr>
                    <w:bCs/>
                  </w:rPr>
                  <w:t>79,762,651</w:t>
                </w:r>
              </w:p>
            </w:tc>
            <w:tc>
              <w:tcPr>
                <w:tcW w:w="837" w:type="pct"/>
                <w:shd w:val="clear" w:color="auto" w:fill="auto"/>
                <w:vAlign w:val="center"/>
              </w:tcPr>
              <w:p w14:paraId="2E8E35D6" w14:textId="77777777" w:rsidR="007E7472" w:rsidRDefault="00EC1269">
                <w:pPr>
                  <w:autoSpaceDE w:val="0"/>
                  <w:autoSpaceDN w:val="0"/>
                  <w:adjustRightInd w:val="0"/>
                  <w:snapToGrid w:val="0"/>
                  <w:jc w:val="right"/>
                </w:pPr>
                <w:r>
                  <w:t>89,852,379</w:t>
                </w:r>
              </w:p>
            </w:tc>
          </w:tr>
        </w:tbl>
        <w:p w14:paraId="3B3900A3" w14:textId="77777777" w:rsidR="007E7472" w:rsidRDefault="00EC1269">
          <w:pPr>
            <w:spacing w:beforeLines="50" w:before="120" w:afterLines="50" w:after="120" w:line="360" w:lineRule="exact"/>
            <w:ind w:firstLineChars="200" w:firstLine="420"/>
            <w:jc w:val="both"/>
          </w:pPr>
          <w:r>
            <w:rPr>
              <w:rFonts w:hint="eastAsia"/>
            </w:rPr>
            <w:t>注</w:t>
          </w:r>
          <w:r>
            <w:t>1：根据中国会计准则，从山东能源收购的有关资产和子公司为同一控制下的企业合并，被合并方的资产和负债以在合并日被合并方的账面价值计量；本公司取得的净资产账面价值与支付的合并对价的差额，调整资本公积。而根据国际财务报告准则，被购买方按公允价值确认在购买日的各项可辨认资产、负债及或有负债；购买方的合并成本大于被购买方在购买日可辨认净资产公允价值份额的差额，确认为商誉。</w:t>
          </w:r>
        </w:p>
        <w:p w14:paraId="14DA47E2" w14:textId="77777777" w:rsidR="007E7472" w:rsidRDefault="00EC1269">
          <w:pPr>
            <w:spacing w:beforeLines="50" w:before="120" w:afterLines="50" w:after="120" w:line="360" w:lineRule="exact"/>
            <w:ind w:firstLineChars="200" w:firstLine="420"/>
            <w:jc w:val="both"/>
          </w:pPr>
          <w:r>
            <w:rPr>
              <w:rFonts w:hint="eastAsia"/>
            </w:rPr>
            <w:t>注</w:t>
          </w:r>
          <w:r>
            <w:t>2：如本附注“五、42各专项储备”所述，按中国政府相关机构的有关规定，煤炭企业应根据煤炭产量计提维简费、生产安全费及其他类似性质的费用，记入当期费用并在所有者权益中的专项储备单独反映。按规定范围使用专项储备形成固定资产时，应在计入相关资产成本的同时全额结转累计折旧。而按国际财务报告准则，这些费用应于发生时确认，相关资本性支出于发生时确认为固定资产，按相应的折旧方法计提折旧。</w:t>
          </w:r>
        </w:p>
        <w:p w14:paraId="15045457" w14:textId="77777777" w:rsidR="007E7472" w:rsidRDefault="00EC1269">
          <w:pPr>
            <w:spacing w:beforeLines="50" w:before="120" w:afterLines="50" w:after="120" w:line="360" w:lineRule="exact"/>
            <w:ind w:firstLineChars="200" w:firstLine="420"/>
            <w:jc w:val="both"/>
          </w:pPr>
          <w:r>
            <w:rPr>
              <w:rFonts w:hint="eastAsia"/>
            </w:rPr>
            <w:t>注</w:t>
          </w:r>
          <w:r>
            <w:t>3：根据中国会计准则，母公司发行的永续资本债券在报表中列示于归属于母公司的所有者权益中，子公司发行的永续资本债券在报表中列示于少数股东权益，而在国际准则中需要在权益变动表单独列示。</w:t>
          </w:r>
        </w:p>
        <w:p w14:paraId="622439A9" w14:textId="77777777" w:rsidR="007E7472" w:rsidRDefault="00EC1269">
          <w:pPr>
            <w:spacing w:beforeLines="50" w:before="120" w:afterLines="50" w:after="120" w:line="360" w:lineRule="exact"/>
            <w:ind w:firstLineChars="200" w:firstLine="420"/>
            <w:jc w:val="both"/>
          </w:pPr>
          <w:r>
            <w:rPr>
              <w:rFonts w:hint="eastAsia"/>
            </w:rPr>
            <w:t>注</w:t>
          </w:r>
          <w:r>
            <w:t>4：根据中国会计准则，长期资产减值准备一经确认，不得转回，在国际准则下，长期资产减值准备可以转回。</w:t>
          </w:r>
        </w:p>
        <w:p w14:paraId="22C5011B" w14:textId="77777777" w:rsidR="007E7472" w:rsidRDefault="00EC1269">
          <w:pPr>
            <w:spacing w:beforeLines="50" w:before="120" w:afterLines="50" w:after="120" w:line="360" w:lineRule="exact"/>
            <w:ind w:firstLineChars="200" w:firstLine="420"/>
            <w:jc w:val="both"/>
          </w:pPr>
          <w:r>
            <w:rPr>
              <w:rFonts w:hint="eastAsia"/>
            </w:rPr>
            <w:t>注</w:t>
          </w:r>
          <w:r>
            <w:t>5：上述准则差异同时带来税务及少数股东权益的影响差异。</w:t>
          </w:r>
        </w:p>
      </w:sdtContent>
    </w:sdt>
    <w:sdt>
      <w:sdtPr>
        <w:rPr>
          <w:rFonts w:ascii="宋体" w:hAnsi="宋体" w:cs="宋体" w:hint="eastAsia"/>
          <w:b w:val="0"/>
          <w:bCs w:val="0"/>
          <w:kern w:val="0"/>
          <w:szCs w:val="21"/>
        </w:rPr>
        <w:alias w:val="模块:同时按照境外会计准则与按中国会计准则披露的财务报告中净利润和..."/>
        <w:tag w:val="_GBC_4dcd3e5d3e2046b28e99d35c3cbab7be"/>
        <w:id w:val="-389503516"/>
        <w:lock w:val="sdtLocked"/>
        <w:placeholder>
          <w:docPart w:val="GBC22222222222222222222222222222"/>
        </w:placeholder>
      </w:sdtPr>
      <w:sdtEndPr>
        <w:rPr>
          <w:rFonts w:cstheme="minorBidi" w:hint="default"/>
        </w:rPr>
      </w:sdtEndPr>
      <w:sdtContent>
        <w:p w14:paraId="7AC8342F" w14:textId="77777777" w:rsidR="007E7472" w:rsidRDefault="00EC1269" w:rsidP="00162493">
          <w:pPr>
            <w:pStyle w:val="4"/>
            <w:numPr>
              <w:ilvl w:val="0"/>
              <w:numId w:val="124"/>
            </w:numPr>
          </w:pPr>
          <w:r>
            <w:rPr>
              <w:rFonts w:hint="eastAsia"/>
            </w:rPr>
            <w:t>同时按照境外会计准则与按中国会计准则披露的财务报告中净利润和净资产差异情况</w:t>
          </w:r>
        </w:p>
        <w:sdt>
          <w:sdtPr>
            <w:alias w:val="是否适用：同时按照境外会计准则与按中国会计准则披露的财务报告中净利润和净资产差异情况[双击切换]"/>
            <w:tag w:val="_GBC_843a3e6ff7b04c838cebdbe1b6b920a2"/>
            <w:id w:val="-1411081711"/>
            <w:lock w:val="sdtLocked"/>
            <w:placeholder>
              <w:docPart w:val="GBC22222222222222222222222222222"/>
            </w:placeholder>
          </w:sdtPr>
          <w:sdtEndPr/>
          <w:sdtContent>
            <w:p w14:paraId="6D86E4EF" w14:textId="77777777" w:rsidR="007E7472" w:rsidRDefault="00EC1269">
              <w:pPr>
                <w:tabs>
                  <w:tab w:val="left" w:pos="9720"/>
                </w:tabs>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hint="eastAsia"/>
          <w:b w:val="0"/>
          <w:bCs w:val="0"/>
          <w:kern w:val="0"/>
          <w:szCs w:val="21"/>
        </w:rPr>
        <w:alias w:val="模块:境内外会计准则下会计数据差异说明"/>
        <w:tag w:val="_GBC_28e04aa78d514ffaa91bd2d93b36d312"/>
        <w:id w:val="-1481687082"/>
        <w:lock w:val="sdtLocked"/>
        <w:placeholder>
          <w:docPart w:val="GBC22222222222222222222222222222"/>
        </w:placeholder>
      </w:sdtPr>
      <w:sdtEndPr>
        <w:rPr>
          <w:rFonts w:cstheme="minorBidi" w:hint="default"/>
        </w:rPr>
      </w:sdtEndPr>
      <w:sdtContent>
        <w:p w14:paraId="6B099A62" w14:textId="77777777" w:rsidR="007E7472" w:rsidRDefault="00EC1269" w:rsidP="00162493">
          <w:pPr>
            <w:pStyle w:val="4"/>
            <w:numPr>
              <w:ilvl w:val="0"/>
              <w:numId w:val="124"/>
            </w:numPr>
          </w:pPr>
          <w:r>
            <w:rPr>
              <w:rFonts w:hint="eastAsia"/>
            </w:rPr>
            <w:t>境内外会计准则下会计数据差异说明，对已经境外审计机构审计的数据进行差异调节的，应注明该境外机构的名称。</w:t>
          </w:r>
        </w:p>
        <w:sdt>
          <w:sdtPr>
            <w:alias w:val="是否适用：境内外会计准则下会计数据差异说明[双击切换]"/>
            <w:tag w:val="_GBC_62334d128084435e95edd8130b5dec58"/>
            <w:id w:val="-2114591441"/>
            <w:lock w:val="sdtLocked"/>
            <w:placeholder>
              <w:docPart w:val="GBC22222222222222222222222222222"/>
            </w:placeholder>
          </w:sdtPr>
          <w:sdtEndPr/>
          <w:sdtContent>
            <w:p w14:paraId="6A74A1A7" w14:textId="77777777" w:rsidR="007E7472" w:rsidRDefault="00EC1269">
              <w:pPr>
                <w:rPr>
                  <w:rFonts w:cstheme="minorBidi"/>
                  <w:kern w:val="2"/>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176A6DD8" w14:textId="77777777" w:rsidR="007E7472" w:rsidRDefault="00C8327E"/>
    <w:sdt>
      <w:sdtPr>
        <w:rPr>
          <w:sz w:val="20"/>
        </w:rPr>
        <w:alias w:val="模块:补充资料其他说明事项"/>
        <w:tag w:val="_GBC_a60672e5f86e422cbb864ef991c9106b"/>
        <w:id w:val="258345103"/>
        <w:lock w:val="sdtLocked"/>
        <w:placeholder>
          <w:docPart w:val="GBC22222222222222222222222222222"/>
        </w:placeholder>
      </w:sdtPr>
      <w:sdtEndPr/>
      <w:sdtContent>
        <w:p w14:paraId="6904B9B4" w14:textId="77777777" w:rsidR="007E7472" w:rsidRPr="001C4EB7" w:rsidRDefault="00EC1269" w:rsidP="00162493">
          <w:pPr>
            <w:numPr>
              <w:ilvl w:val="2"/>
              <w:numId w:val="123"/>
            </w:numPr>
            <w:outlineLvl w:val="2"/>
            <w:rPr>
              <w:b/>
            </w:rPr>
          </w:pPr>
          <w:r w:rsidRPr="001C4EB7">
            <w:rPr>
              <w:rFonts w:hint="eastAsia"/>
              <w:b/>
            </w:rPr>
            <w:t>其他</w:t>
          </w:r>
        </w:p>
        <w:sdt>
          <w:sdtPr>
            <w:alias w:val="是否适用：补充资料其他说明事项[双击切换]"/>
            <w:tag w:val="_GBC_8954f89f8426424c966f1b658de53fe5"/>
            <w:id w:val="1279066858"/>
            <w:lock w:val="sdtLocked"/>
            <w:placeholder>
              <w:docPart w:val="GBC22222222222222222222222222222"/>
            </w:placeholder>
          </w:sdtPr>
          <w:sdtEndPr/>
          <w:sdtContent>
            <w:p w14:paraId="75551E1B" w14:textId="77777777" w:rsidR="007E7472" w:rsidRDefault="00EC1269">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14:paraId="5D70EB57" w14:textId="77777777" w:rsidR="007E7472" w:rsidRDefault="00C8327E"/>
    <w:bookmarkStart w:id="326" w:name="_Hlk76135020" w:displacedByCustomXml="next"/>
    <w:sdt>
      <w:sdtPr>
        <w:rPr>
          <w:b/>
          <w:bCs/>
          <w:sz w:val="24"/>
        </w:rPr>
        <w:alias w:val="模块:落款"/>
        <w:tag w:val="_SEC_05b1791af4454108ad401bb8a64cf5c6"/>
        <w:id w:val="779381233"/>
        <w:placeholder>
          <w:docPart w:val="GBC22222222222222222222222222222"/>
        </w:placeholder>
      </w:sdtPr>
      <w:sdtEndPr>
        <w:rPr>
          <w:b w:val="0"/>
          <w:bCs w:val="0"/>
          <w:sz w:val="21"/>
        </w:rPr>
      </w:sdtEndPr>
      <w:sdtContent>
        <w:p w14:paraId="50015A6C" w14:textId="77777777" w:rsidR="007E7472" w:rsidRDefault="00C8327E">
          <w:pPr>
            <w:spacing w:line="360" w:lineRule="exact"/>
            <w:ind w:right="5"/>
            <w:rPr>
              <w:b/>
              <w:bCs/>
              <w:sz w:val="24"/>
            </w:rPr>
          </w:pPr>
        </w:p>
        <w:p w14:paraId="5EF6B7B3" w14:textId="77777777" w:rsidR="007E7472" w:rsidRDefault="00EC1269">
          <w:pPr>
            <w:wordWrap w:val="0"/>
            <w:spacing w:line="360" w:lineRule="exact"/>
            <w:jc w:val="right"/>
            <w:rPr>
              <w:u w:val="single"/>
            </w:rPr>
          </w:pPr>
          <w:r>
            <w:t>董事长：</w:t>
          </w:r>
          <w:sdt>
            <w:sdtPr>
              <w:alias w:val="报告发布人"/>
              <w:tag w:val="_GBC_f07cbb7287a94e798691f7fcb5112f49"/>
              <w:id w:val="1014493424"/>
              <w:placeholder>
                <w:docPart w:val="GBC22222222222222222222222222222"/>
              </w:placeholder>
            </w:sdtPr>
            <w:sdtEndPr/>
            <w:sdtContent>
              <w:sdt>
                <w:sdtPr>
                  <w:rPr>
                    <w:rFonts w:hint="eastAsia"/>
                  </w:rPr>
                  <w:alias w:val="报告发布人"/>
                  <w:tag w:val="_GBC_728ad6dff57942a69e22fcccc1f10a3c"/>
                  <w:id w:val="-1767069003"/>
                  <w:lock w:val="sdtLocked"/>
                </w:sdtPr>
                <w:sdtEndPr/>
                <w:sdtContent>
                  <w:r>
                    <w:rPr>
                      <w:rFonts w:hint="eastAsia"/>
                    </w:rPr>
                    <w:t>李伟</w:t>
                  </w:r>
                </w:sdtContent>
              </w:sdt>
            </w:sdtContent>
          </w:sdt>
        </w:p>
        <w:p w14:paraId="39F23F65" w14:textId="6A4915D0" w:rsidR="007E7472" w:rsidRDefault="00EC1269">
          <w:pPr>
            <w:spacing w:line="360" w:lineRule="exact"/>
            <w:jc w:val="right"/>
          </w:pPr>
          <w:r>
            <w:t>董事会批准报送日期：</w:t>
          </w:r>
          <w:sdt>
            <w:sdtPr>
              <w:alias w:val="报告董事会批准报送日期"/>
              <w:tag w:val="_GBC_56d5d40e768a439aa604555fa2089c42"/>
              <w:id w:val="-1896044979"/>
              <w:placeholder>
                <w:docPart w:val="GBC22222222222222222222222222222"/>
              </w:placeholder>
              <w:date w:fullDate="2023-08-25T00:00:00Z">
                <w:dateFormat w:val="yyyy'年'M'月'd'日'"/>
                <w:lid w:val="zh-CN"/>
                <w:storeMappedDataAs w:val="dateTime"/>
                <w:calendar w:val="gregorian"/>
              </w:date>
            </w:sdtPr>
            <w:sdtEndPr/>
            <w:sdtContent>
              <w:r w:rsidR="006F3F93">
                <w:rPr>
                  <w:rFonts w:hint="eastAsia"/>
                </w:rPr>
                <w:t>2023年8月25日</w:t>
              </w:r>
            </w:sdtContent>
          </w:sdt>
        </w:p>
      </w:sdtContent>
    </w:sdt>
    <w:bookmarkEnd w:id="326"/>
    <w:p w14:paraId="1D76D8B7" w14:textId="77777777" w:rsidR="007E7472" w:rsidRDefault="00C8327E"/>
    <w:p w14:paraId="7364A1D8" w14:textId="77777777" w:rsidR="007E7472" w:rsidRDefault="00C8327E">
      <w:pPr>
        <w:spacing w:line="360" w:lineRule="exact"/>
        <w:ind w:right="5"/>
        <w:rPr>
          <w:u w:val="single"/>
        </w:rPr>
      </w:pPr>
    </w:p>
    <w:sdt>
      <w:sdtPr>
        <w:rPr>
          <w:rFonts w:ascii="Times New Roman" w:hAnsi="Times New Roman" w:cs="Times New Roman"/>
          <w:sz w:val="24"/>
          <w:szCs w:val="20"/>
        </w:rPr>
        <w:alias w:val="模块:修订信息 "/>
        <w:tag w:val="_GBC_e51b54728b2e4e53b95b0611d0df9b06"/>
        <w:id w:val="2080330460"/>
        <w:lock w:val="sdtLocked"/>
        <w:placeholder>
          <w:docPart w:val="GBC22222222222222222222222222222"/>
        </w:placeholder>
      </w:sdtPr>
      <w:sdtEndPr>
        <w:rPr>
          <w:sz w:val="21"/>
        </w:rPr>
      </w:sdtEndPr>
      <w:sdtContent>
        <w:p w14:paraId="76A1D29A" w14:textId="77777777" w:rsidR="007E7472" w:rsidRDefault="00EC1269">
          <w:pPr>
            <w:spacing w:line="360" w:lineRule="exact"/>
            <w:ind w:right="5"/>
            <w:rPr>
              <w:b/>
              <w:sz w:val="24"/>
            </w:rPr>
          </w:pPr>
          <w:r>
            <w:rPr>
              <w:b/>
              <w:sz w:val="24"/>
            </w:rPr>
            <w:t>修订信息</w:t>
          </w:r>
        </w:p>
        <w:sdt>
          <w:sdtPr>
            <w:rPr>
              <w:b/>
              <w:bCs/>
            </w:rPr>
            <w:alias w:val="是否适用：修订信息表[双击切换]"/>
            <w:tag w:val="_GBC_77b96fad3b8a43478db82cf4cb9686be"/>
            <w:id w:val="-1978369477"/>
            <w:lock w:val="sdtLocked"/>
            <w:placeholder>
              <w:docPart w:val="GBC22222222222222222222222222222"/>
            </w:placeholder>
          </w:sdtPr>
          <w:sdtEndPr>
            <w:rPr>
              <w:b w:val="0"/>
            </w:rPr>
          </w:sdtEndPr>
          <w:sdtContent>
            <w:p w14:paraId="391956F5" w14:textId="77777777" w:rsidR="007E7472" w:rsidRDefault="00EC1269">
              <w:r>
                <w:rPr>
                  <w:bCs/>
                </w:rPr>
                <w:fldChar w:fldCharType="begin"/>
              </w:r>
              <w:r>
                <w:instrText xml:space="preserve"> MACROBUTTON  SnrToggleCheckbox □适用 </w:instrText>
              </w:r>
              <w:r>
                <w:rPr>
                  <w:bCs/>
                </w:rPr>
                <w:fldChar w:fldCharType="end"/>
              </w:r>
              <w:r>
                <w:rPr>
                  <w:bCs/>
                </w:rPr>
                <w:fldChar w:fldCharType="begin"/>
              </w:r>
              <w:r>
                <w:instrText xml:space="preserve"> MACROBUTTON  SnrToggleCheckbox √不适用 </w:instrText>
              </w:r>
              <w:r>
                <w:rPr>
                  <w:bCs/>
                </w:rPr>
                <w:fldChar w:fldCharType="end"/>
              </w:r>
            </w:p>
          </w:sdtContent>
        </w:sdt>
      </w:sdtContent>
    </w:sdt>
    <w:sectPr w:rsidR="007E7472">
      <w:pgSz w:w="11906" w:h="16838"/>
      <w:pgMar w:top="1525" w:right="1276" w:bottom="1440" w:left="1797" w:header="856"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61AD32" w14:textId="77777777" w:rsidR="00C8327E" w:rsidRDefault="00C8327E">
      <w:r>
        <w:separator/>
      </w:r>
    </w:p>
  </w:endnote>
  <w:endnote w:type="continuationSeparator" w:id="0">
    <w:p w14:paraId="222D3915" w14:textId="77777777" w:rsidR="00C8327E" w:rsidRDefault="00C832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Narrow">
    <w:altName w:val="Segoe Print"/>
    <w:charset w:val="00"/>
    <w:family w:val="swiss"/>
    <w:pitch w:val="default"/>
    <w:sig w:usb0="00000000" w:usb1="00000000" w:usb2="00000000" w:usb3="00000000" w:csb0="00000001" w:csb1="00000000"/>
  </w:font>
  <w:font w:name="Noto Sans CJK JP Regular">
    <w:altName w:val="黑体"/>
    <w:charset w:val="86"/>
    <w:family w:val="swiss"/>
    <w:pitch w:val="default"/>
    <w:sig w:usb0="00000000" w:usb1="00000000" w:usb2="00000016" w:usb3="00000000" w:csb0="002E0107" w:csb1="00000000"/>
  </w:font>
  <w:font w:name="FZLTSK--GBK1-0">
    <w:altName w:val="Times New Roman"/>
    <w:charset w:val="00"/>
    <w:family w:val="roman"/>
    <w:pitch w:val="default"/>
  </w:font>
  <w:font w:name="华文楷体">
    <w:panose1 w:val="02010600040101010101"/>
    <w:charset w:val="86"/>
    <w:family w:val="auto"/>
    <w:pitch w:val="variable"/>
    <w:sig w:usb0="00000287" w:usb1="080F0000" w:usb2="00000010" w:usb3="00000000" w:csb0="0004009F" w:csb1="00000000"/>
  </w:font>
  <w:font w:name="宋体-方正超大字符集">
    <w:altName w:val="宋体"/>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7408834"/>
    </w:sdtPr>
    <w:sdtEndPr/>
    <w:sdtContent>
      <w:sdt>
        <w:sdtPr>
          <w:id w:val="98381352"/>
        </w:sdtPr>
        <w:sdtEndPr/>
        <w:sdtContent>
          <w:p w14:paraId="075F1E0E" w14:textId="77777777" w:rsidR="00B201D3" w:rsidRDefault="009855E8">
            <w:pPr>
              <w:pStyle w:val="af3"/>
              <w:jc w:val="center"/>
            </w:pPr>
            <w:r>
              <w:rPr>
                <w:b/>
                <w:bCs/>
                <w:sz w:val="24"/>
                <w:szCs w:val="24"/>
              </w:rPr>
              <w:fldChar w:fldCharType="begin"/>
            </w:r>
            <w:r>
              <w:rPr>
                <w:b/>
              </w:rPr>
              <w:instrText>PAGE</w:instrText>
            </w:r>
            <w:r>
              <w:rPr>
                <w:b/>
                <w:bCs/>
                <w:sz w:val="24"/>
                <w:szCs w:val="24"/>
              </w:rPr>
              <w:fldChar w:fldCharType="separate"/>
            </w:r>
            <w:r>
              <w:rPr>
                <w:b/>
              </w:rPr>
              <w:t>38</w:t>
            </w:r>
            <w:r>
              <w:rPr>
                <w:b/>
                <w:bCs/>
                <w:sz w:val="24"/>
                <w:szCs w:val="24"/>
              </w:rPr>
              <w:fldChar w:fldCharType="end"/>
            </w:r>
            <w:r>
              <w:rPr>
                <w:lang w:val="zh-CN"/>
              </w:rPr>
              <w:t xml:space="preserve"> / </w:t>
            </w:r>
            <w:r>
              <w:rPr>
                <w:b/>
                <w:bCs/>
                <w:sz w:val="24"/>
                <w:szCs w:val="24"/>
              </w:rPr>
              <w:fldChar w:fldCharType="begin"/>
            </w:r>
            <w:r>
              <w:rPr>
                <w:b/>
              </w:rPr>
              <w:instrText>NUMPAGES</w:instrText>
            </w:r>
            <w:r>
              <w:rPr>
                <w:b/>
                <w:bCs/>
                <w:sz w:val="24"/>
                <w:szCs w:val="24"/>
              </w:rPr>
              <w:fldChar w:fldCharType="separate"/>
            </w:r>
            <w:r>
              <w:rPr>
                <w:b/>
              </w:rPr>
              <w:t>191</w:t>
            </w:r>
            <w:r>
              <w:rPr>
                <w:b/>
                <w:bCs/>
                <w:sz w:val="24"/>
                <w:szCs w:val="24"/>
              </w:rPr>
              <w:fldChar w:fldCharType="end"/>
            </w:r>
          </w:p>
        </w:sdtContent>
      </w:sdt>
    </w:sdtContent>
  </w:sdt>
  <w:p w14:paraId="6710AF43" w14:textId="77777777" w:rsidR="00B201D3" w:rsidRDefault="00B201D3">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13562E" w14:textId="77777777" w:rsidR="00C8327E" w:rsidRDefault="00C8327E">
      <w:r>
        <w:separator/>
      </w:r>
    </w:p>
  </w:footnote>
  <w:footnote w:type="continuationSeparator" w:id="0">
    <w:p w14:paraId="7AA9EDD2" w14:textId="77777777" w:rsidR="00C8327E" w:rsidRDefault="00C832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CE312" w14:textId="77777777" w:rsidR="00B201D3" w:rsidRDefault="009855E8">
    <w:pPr>
      <w:pStyle w:val="af4"/>
      <w:tabs>
        <w:tab w:val="clear" w:pos="8306"/>
        <w:tab w:val="left" w:pos="8364"/>
        <w:tab w:val="left" w:pos="8505"/>
      </w:tabs>
      <w:ind w:rightChars="10" w:right="21"/>
      <w:rPr>
        <w:b/>
      </w:rPr>
    </w:pPr>
    <w:r>
      <w:rPr>
        <w:rFonts w:hint="eastAsia"/>
      </w:rPr>
      <w:t>2023</w:t>
    </w:r>
    <w:r>
      <w:rPr>
        <w:rFonts w:hint="eastAsia"/>
      </w:rPr>
      <w:t>年半年度报告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25B2E"/>
    <w:multiLevelType w:val="hybridMultilevel"/>
    <w:tmpl w:val="0B96B66E"/>
    <w:lvl w:ilvl="0" w:tplc="9F785B74">
      <w:start w:val="1"/>
      <w:numFmt w:val="decimal"/>
      <w:suff w:val="nothing"/>
      <w:lvlText w:val="(%1)."/>
      <w:lvlJc w:val="left"/>
      <w:pPr>
        <w:ind w:left="420" w:hanging="420"/>
      </w:pPr>
      <w:rPr>
        <w:rFonts w:asciiTheme="minorEastAsia" w:eastAsia="宋体" w:hAnsiTheme="minorEastAsia" w:hint="eastAsia"/>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12937AE"/>
    <w:multiLevelType w:val="hybridMultilevel"/>
    <w:tmpl w:val="ACB8AB18"/>
    <w:lvl w:ilvl="0" w:tplc="B91ACDAA">
      <w:start w:val="1"/>
      <w:numFmt w:val="decimal"/>
      <w:suff w:val="nothing"/>
      <w:lvlText w:val="(%1)."/>
      <w:lvlJc w:val="left"/>
      <w:pPr>
        <w:ind w:left="420" w:hanging="420"/>
      </w:pPr>
      <w:rPr>
        <w:rFonts w:asciiTheme="minorEastAsia" w:eastAsia="宋体" w:hAnsiTheme="minorEastAsia" w:hint="eastAsia"/>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36609B6"/>
    <w:multiLevelType w:val="hybridMultilevel"/>
    <w:tmpl w:val="0FBC20CA"/>
    <w:lvl w:ilvl="0" w:tplc="7FE4CD4A">
      <w:start w:val="1"/>
      <w:numFmt w:val="decimal"/>
      <w:suff w:val="nothing"/>
      <w:lvlText w:val="(%1)."/>
      <w:lvlJc w:val="left"/>
      <w:pPr>
        <w:ind w:left="420" w:hanging="420"/>
      </w:pPr>
      <w:rPr>
        <w:rFonts w:asciiTheme="minorEastAsia" w:eastAsia="宋体" w:hAnsiTheme="minorEastAsia" w:hint="eastAsia"/>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4364DD5"/>
    <w:multiLevelType w:val="multilevel"/>
    <w:tmpl w:val="04364DD5"/>
    <w:lvl w:ilvl="0">
      <w:start w:val="1"/>
      <w:numFmt w:val="chineseCountingThousand"/>
      <w:suff w:val="space"/>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05CD36EE"/>
    <w:multiLevelType w:val="hybridMultilevel"/>
    <w:tmpl w:val="9D24D778"/>
    <w:lvl w:ilvl="0" w:tplc="03DA1882">
      <w:start w:val="1"/>
      <w:numFmt w:val="decimal"/>
      <w:suff w:val="nothing"/>
      <w:lvlText w:val="(%1)."/>
      <w:lvlJc w:val="left"/>
      <w:pPr>
        <w:ind w:left="420" w:hanging="420"/>
      </w:pPr>
      <w:rPr>
        <w:rFonts w:asciiTheme="minorEastAsia" w:eastAsia="宋体" w:hAnsiTheme="minorEastAsia" w:hint="eastAsia"/>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7BF65E0"/>
    <w:multiLevelType w:val="hybridMultilevel"/>
    <w:tmpl w:val="CE9A7D58"/>
    <w:lvl w:ilvl="0" w:tplc="801C1390">
      <w:start w:val="1"/>
      <w:numFmt w:val="decimal"/>
      <w:suff w:val="nothing"/>
      <w:lvlText w:val="(%1)."/>
      <w:lvlJc w:val="left"/>
      <w:pPr>
        <w:ind w:left="420" w:hanging="420"/>
      </w:pPr>
      <w:rPr>
        <w:rFonts w:asciiTheme="minorEastAsia" w:eastAsia="宋体" w:hAnsiTheme="minorEastAsia" w:hint="eastAsia"/>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8A31814"/>
    <w:multiLevelType w:val="multilevel"/>
    <w:tmpl w:val="4B8A1F7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 w15:restartNumberingAfterBreak="0">
    <w:nsid w:val="08DF768A"/>
    <w:multiLevelType w:val="hybridMultilevel"/>
    <w:tmpl w:val="71AA2494"/>
    <w:lvl w:ilvl="0" w:tplc="A4806426">
      <w:start w:val="1"/>
      <w:numFmt w:val="decimal"/>
      <w:suff w:val="nothing"/>
      <w:lvlText w:val="(%1)."/>
      <w:lvlJc w:val="left"/>
      <w:pPr>
        <w:ind w:left="420" w:hanging="420"/>
      </w:pPr>
      <w:rPr>
        <w:rFonts w:asciiTheme="minorEastAsia" w:eastAsia="宋体" w:hAnsiTheme="minorEastAsia" w:hint="eastAsia"/>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09B7606D"/>
    <w:multiLevelType w:val="multilevel"/>
    <w:tmpl w:val="4B8A1F7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 w15:restartNumberingAfterBreak="0">
    <w:nsid w:val="0BF8670D"/>
    <w:multiLevelType w:val="hybridMultilevel"/>
    <w:tmpl w:val="6748CCFE"/>
    <w:lvl w:ilvl="0" w:tplc="6B4CC56C">
      <w:start w:val="1"/>
      <w:numFmt w:val="decimal"/>
      <w:suff w:val="nothing"/>
      <w:lvlText w:val="(%1)."/>
      <w:lvlJc w:val="left"/>
      <w:pPr>
        <w:ind w:left="420" w:hanging="420"/>
      </w:pPr>
      <w:rPr>
        <w:rFonts w:asciiTheme="majorEastAsia" w:eastAsia="宋体" w:hAnsiTheme="majorEastAsia"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0DD8578C"/>
    <w:multiLevelType w:val="multilevel"/>
    <w:tmpl w:val="0DD8578C"/>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EC24C1F"/>
    <w:multiLevelType w:val="multilevel"/>
    <w:tmpl w:val="0EC24C1F"/>
    <w:lvl w:ilvl="0">
      <w:start w:val="1"/>
      <w:numFmt w:val="chineseCountingThousand"/>
      <w:suff w:val="space"/>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0F002877"/>
    <w:multiLevelType w:val="hybridMultilevel"/>
    <w:tmpl w:val="3AC4EB5A"/>
    <w:lvl w:ilvl="0" w:tplc="0BA04220">
      <w:start w:val="1"/>
      <w:numFmt w:val="decimal"/>
      <w:suff w:val="nothing"/>
      <w:lvlText w:val="(%1)."/>
      <w:lvlJc w:val="left"/>
      <w:pPr>
        <w:ind w:left="420" w:hanging="420"/>
      </w:pPr>
      <w:rPr>
        <w:rFonts w:asciiTheme="minorEastAsia" w:eastAsia="宋体" w:hAnsiTheme="minorEastAsia" w:hint="eastAsia"/>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F020461"/>
    <w:multiLevelType w:val="hybridMultilevel"/>
    <w:tmpl w:val="3D86CE8A"/>
    <w:lvl w:ilvl="0" w:tplc="4F803936">
      <w:start w:val="1"/>
      <w:numFmt w:val="decimal"/>
      <w:suff w:val="nothing"/>
      <w:lvlText w:val="(%1)."/>
      <w:lvlJc w:val="left"/>
      <w:pPr>
        <w:ind w:left="420" w:hanging="420"/>
      </w:pPr>
      <w:rPr>
        <w:rFonts w:asciiTheme="minorEastAsia" w:eastAsia="宋体" w:hAnsiTheme="minorEastAsia" w:hint="eastAsia"/>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F171263"/>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0FE9161F"/>
    <w:multiLevelType w:val="hybridMultilevel"/>
    <w:tmpl w:val="8968D904"/>
    <w:lvl w:ilvl="0" w:tplc="07663266">
      <w:start w:val="1"/>
      <w:numFmt w:val="decimal"/>
      <w:lvlText w:val="%1."/>
      <w:lvlJc w:val="left"/>
      <w:pPr>
        <w:ind w:left="420" w:hanging="420"/>
      </w:pPr>
      <w:rPr>
        <w:rFonts w:asciiTheme="minorEastAsia" w:eastAsiaTheme="minorEastAsia" w:hAnsiTheme="minorEastAsia"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0FF56EF0"/>
    <w:multiLevelType w:val="multilevel"/>
    <w:tmpl w:val="0FF56EF0"/>
    <w:lvl w:ilvl="0">
      <w:start w:val="1"/>
      <w:numFmt w:val="japaneseCounting"/>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7" w15:restartNumberingAfterBreak="0">
    <w:nsid w:val="104977C1"/>
    <w:multiLevelType w:val="multilevel"/>
    <w:tmpl w:val="104977C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1092744F"/>
    <w:multiLevelType w:val="hybridMultilevel"/>
    <w:tmpl w:val="DD96804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10A00340"/>
    <w:multiLevelType w:val="multilevel"/>
    <w:tmpl w:val="10A00340"/>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12696DF7"/>
    <w:multiLevelType w:val="multilevel"/>
    <w:tmpl w:val="12696DF7"/>
    <w:lvl w:ilvl="0">
      <w:start w:val="1"/>
      <w:numFmt w:val="chineseCountingThousand"/>
      <w:suff w:val="space"/>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12D35A54"/>
    <w:multiLevelType w:val="hybridMultilevel"/>
    <w:tmpl w:val="EDB6E4AC"/>
    <w:lvl w:ilvl="0" w:tplc="F0824786">
      <w:start w:val="1"/>
      <w:numFmt w:val="decimal"/>
      <w:suff w:val="nothing"/>
      <w:lvlText w:val="(%1)."/>
      <w:lvlJc w:val="left"/>
      <w:pPr>
        <w:ind w:left="420" w:hanging="420"/>
      </w:pPr>
      <w:rPr>
        <w:rFonts w:asciiTheme="minorEastAsia" w:eastAsia="宋体" w:hAnsiTheme="minorEastAsia"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133475D6"/>
    <w:multiLevelType w:val="hybridMultilevel"/>
    <w:tmpl w:val="D17E7884"/>
    <w:lvl w:ilvl="0" w:tplc="E28A746C">
      <w:start w:val="1"/>
      <w:numFmt w:val="decimal"/>
      <w:suff w:val="nothing"/>
      <w:lvlText w:val="(%1)."/>
      <w:lvlJc w:val="left"/>
      <w:pPr>
        <w:ind w:left="420" w:hanging="420"/>
      </w:pPr>
      <w:rPr>
        <w:rFonts w:asciiTheme="majorEastAsia" w:eastAsia="宋体" w:hAnsiTheme="majorEastAsia"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15:restartNumberingAfterBreak="0">
    <w:nsid w:val="15621257"/>
    <w:multiLevelType w:val="multilevel"/>
    <w:tmpl w:val="15621257"/>
    <w:lvl w:ilvl="0">
      <w:start w:val="1"/>
      <w:numFmt w:val="decimal"/>
      <w:lvlText w:val="%1."/>
      <w:lvlJc w:val="left"/>
      <w:pPr>
        <w:ind w:left="425" w:hanging="425"/>
      </w:pPr>
    </w:lvl>
    <w:lvl w:ilvl="1">
      <w:start w:val="1"/>
      <w:numFmt w:val="chineseCountingThousand"/>
      <w:lvlText w:val="(%2)"/>
      <w:lvlJc w:val="left"/>
      <w:pPr>
        <w:ind w:left="567" w:hanging="567"/>
      </w:pPr>
      <w:rPr>
        <w:b/>
        <w:bCs/>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4" w15:restartNumberingAfterBreak="0">
    <w:nsid w:val="15906331"/>
    <w:multiLevelType w:val="multilevel"/>
    <w:tmpl w:val="1590633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15F174FE"/>
    <w:multiLevelType w:val="hybridMultilevel"/>
    <w:tmpl w:val="97C84454"/>
    <w:lvl w:ilvl="0" w:tplc="B38A329C">
      <w:start w:val="1"/>
      <w:numFmt w:val="decimal"/>
      <w:lvlText w:val="%1."/>
      <w:lvlJc w:val="left"/>
      <w:pPr>
        <w:ind w:left="420" w:hanging="420"/>
      </w:pPr>
      <w:rPr>
        <w:rFonts w:asciiTheme="minorEastAsia" w:eastAsiaTheme="minorEastAsia" w:hAnsiTheme="minorEastAsia"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169A565E"/>
    <w:multiLevelType w:val="multilevel"/>
    <w:tmpl w:val="169A565E"/>
    <w:lvl w:ilvl="0">
      <w:start w:val="1"/>
      <w:numFmt w:val="decimal"/>
      <w:suff w:val="nothing"/>
      <w:lvlText w:val="%1."/>
      <w:lvlJc w:val="left"/>
      <w:pPr>
        <w:ind w:left="420" w:hanging="420"/>
      </w:pPr>
      <w:rPr>
        <w:rFonts w:ascii="宋体" w:eastAsia="宋体" w:hAnsi="宋体" w:hint="eastAsia"/>
        <w:b/>
      </w:rPr>
    </w:lvl>
    <w:lvl w:ilvl="1">
      <w:start w:val="1"/>
      <w:numFmt w:val="decimal"/>
      <w:suff w:val="nothing"/>
      <w:lvlText w:val="%2、"/>
      <w:lvlJc w:val="left"/>
      <w:pPr>
        <w:ind w:left="840" w:hanging="420"/>
      </w:pPr>
      <w:rPr>
        <w:rFonts w:asciiTheme="minorEastAsia" w:eastAsia="宋体" w:hAnsiTheme="minorEastAsia" w:hint="eastAsia"/>
        <w:b/>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7" w15:restartNumberingAfterBreak="0">
    <w:nsid w:val="19B61093"/>
    <w:multiLevelType w:val="multilevel"/>
    <w:tmpl w:val="19B61093"/>
    <w:lvl w:ilvl="0">
      <w:start w:val="1"/>
      <w:numFmt w:val="chineseCountingThousand"/>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1A804E61"/>
    <w:multiLevelType w:val="hybridMultilevel"/>
    <w:tmpl w:val="4626A8FA"/>
    <w:lvl w:ilvl="0" w:tplc="52AAD156">
      <w:start w:val="1"/>
      <w:numFmt w:val="decimal"/>
      <w:suff w:val="nothing"/>
      <w:lvlText w:val="(%1)."/>
      <w:lvlJc w:val="left"/>
      <w:pPr>
        <w:ind w:left="420" w:hanging="420"/>
      </w:pPr>
      <w:rPr>
        <w:rFonts w:asciiTheme="minorEastAsia" w:eastAsia="宋体" w:hAnsiTheme="minorEastAsia"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1CE82743"/>
    <w:multiLevelType w:val="multilevel"/>
    <w:tmpl w:val="1CE82743"/>
    <w:lvl w:ilvl="0">
      <w:start w:val="1"/>
      <w:numFmt w:val="decimal"/>
      <w:lvlText w:val="%1)"/>
      <w:lvlJc w:val="left"/>
      <w:pPr>
        <w:tabs>
          <w:tab w:val="left" w:pos="420"/>
        </w:tabs>
        <w:ind w:left="420" w:hanging="420"/>
      </w:pPr>
      <w:rPr>
        <w:rFonts w:hint="default"/>
        <w:b w:val="0"/>
        <w:i w:val="0"/>
      </w:rPr>
    </w:lvl>
    <w:lvl w:ilvl="1">
      <w:start w:val="1"/>
      <w:numFmt w:val="decimal"/>
      <w:lvlText w:val="（%2）"/>
      <w:lvlJc w:val="left"/>
      <w:pPr>
        <w:tabs>
          <w:tab w:val="left" w:pos="1580"/>
        </w:tabs>
        <w:ind w:left="1580" w:hanging="720"/>
      </w:pPr>
      <w:rPr>
        <w:rFonts w:hint="default"/>
      </w:rPr>
    </w:lvl>
    <w:lvl w:ilvl="2">
      <w:start w:val="1"/>
      <w:numFmt w:val="lowerRoman"/>
      <w:lvlText w:val="%3."/>
      <w:lvlJc w:val="right"/>
      <w:pPr>
        <w:tabs>
          <w:tab w:val="left" w:pos="1700"/>
        </w:tabs>
        <w:ind w:left="1700" w:hanging="420"/>
      </w:pPr>
    </w:lvl>
    <w:lvl w:ilvl="3">
      <w:start w:val="1"/>
      <w:numFmt w:val="decimal"/>
      <w:lvlText w:val="%4."/>
      <w:lvlJc w:val="left"/>
      <w:pPr>
        <w:tabs>
          <w:tab w:val="left" w:pos="2120"/>
        </w:tabs>
        <w:ind w:left="2120" w:hanging="420"/>
      </w:pPr>
    </w:lvl>
    <w:lvl w:ilvl="4">
      <w:start w:val="1"/>
      <w:numFmt w:val="lowerLetter"/>
      <w:lvlText w:val="%5)"/>
      <w:lvlJc w:val="left"/>
      <w:pPr>
        <w:tabs>
          <w:tab w:val="left" w:pos="2540"/>
        </w:tabs>
        <w:ind w:left="2540" w:hanging="420"/>
      </w:pPr>
    </w:lvl>
    <w:lvl w:ilvl="5">
      <w:start w:val="1"/>
      <w:numFmt w:val="lowerRoman"/>
      <w:lvlText w:val="%6."/>
      <w:lvlJc w:val="right"/>
      <w:pPr>
        <w:tabs>
          <w:tab w:val="left" w:pos="2960"/>
        </w:tabs>
        <w:ind w:left="2960" w:hanging="420"/>
      </w:pPr>
    </w:lvl>
    <w:lvl w:ilvl="6">
      <w:start w:val="1"/>
      <w:numFmt w:val="decimal"/>
      <w:lvlText w:val="%7."/>
      <w:lvlJc w:val="left"/>
      <w:pPr>
        <w:tabs>
          <w:tab w:val="left" w:pos="3380"/>
        </w:tabs>
        <w:ind w:left="3380" w:hanging="420"/>
      </w:pPr>
    </w:lvl>
    <w:lvl w:ilvl="7">
      <w:start w:val="1"/>
      <w:numFmt w:val="lowerLetter"/>
      <w:lvlText w:val="%8)"/>
      <w:lvlJc w:val="left"/>
      <w:pPr>
        <w:tabs>
          <w:tab w:val="left" w:pos="3800"/>
        </w:tabs>
        <w:ind w:left="3800" w:hanging="420"/>
      </w:pPr>
    </w:lvl>
    <w:lvl w:ilvl="8">
      <w:start w:val="1"/>
      <w:numFmt w:val="lowerRoman"/>
      <w:lvlText w:val="%9."/>
      <w:lvlJc w:val="right"/>
      <w:pPr>
        <w:tabs>
          <w:tab w:val="left" w:pos="4220"/>
        </w:tabs>
        <w:ind w:left="4220" w:hanging="420"/>
      </w:pPr>
    </w:lvl>
  </w:abstractNum>
  <w:abstractNum w:abstractNumId="30" w15:restartNumberingAfterBreak="0">
    <w:nsid w:val="1D11584D"/>
    <w:multiLevelType w:val="multilevel"/>
    <w:tmpl w:val="1D11584D"/>
    <w:lvl w:ilvl="0">
      <w:start w:val="1"/>
      <w:numFmt w:val="decimal"/>
      <w:suff w:val="nothing"/>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1" w15:restartNumberingAfterBreak="0">
    <w:nsid w:val="1E235F8B"/>
    <w:multiLevelType w:val="multilevel"/>
    <w:tmpl w:val="1E235F8B"/>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2" w15:restartNumberingAfterBreak="0">
    <w:nsid w:val="1FD019D7"/>
    <w:multiLevelType w:val="multilevel"/>
    <w:tmpl w:val="1FD019D7"/>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3" w15:restartNumberingAfterBreak="0">
    <w:nsid w:val="204F3B0A"/>
    <w:multiLevelType w:val="multilevel"/>
    <w:tmpl w:val="204F3B0A"/>
    <w:lvl w:ilvl="0">
      <w:start w:val="1"/>
      <w:numFmt w:val="chineseCountingThousand"/>
      <w:lvlText w:val="(%1)"/>
      <w:lvlJc w:val="left"/>
      <w:pPr>
        <w:ind w:left="0" w:firstLine="0"/>
      </w:pPr>
      <w:rPr>
        <w:rFonts w:hint="default"/>
      </w:rPr>
    </w:lvl>
    <w:lvl w:ilvl="1">
      <w:start w:val="1"/>
      <w:numFmt w:val="chineseCountingThousand"/>
      <w:suff w:val="space"/>
      <w:lvlText w:val="(%2)"/>
      <w:lvlJc w:val="left"/>
      <w:pPr>
        <w:ind w:left="0" w:firstLine="0"/>
      </w:pPr>
      <w:rPr>
        <w:rFonts w:hint="eastAsia"/>
      </w:rPr>
    </w:lvl>
    <w:lvl w:ilvl="2">
      <w:start w:val="1"/>
      <w:numFmt w:val="chineseCountingThousand"/>
      <w:suff w:val="space"/>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4" w15:restartNumberingAfterBreak="0">
    <w:nsid w:val="21F9086D"/>
    <w:multiLevelType w:val="multilevel"/>
    <w:tmpl w:val="21F9086D"/>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suff w:val="space"/>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5" w15:restartNumberingAfterBreak="0">
    <w:nsid w:val="228F0FB9"/>
    <w:multiLevelType w:val="multilevel"/>
    <w:tmpl w:val="228F0FB9"/>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229556A5"/>
    <w:multiLevelType w:val="hybridMultilevel"/>
    <w:tmpl w:val="8098E27A"/>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22A00DE7"/>
    <w:multiLevelType w:val="hybridMultilevel"/>
    <w:tmpl w:val="4F5E59A8"/>
    <w:lvl w:ilvl="0" w:tplc="9C18B132">
      <w:start w:val="1"/>
      <w:numFmt w:val="decimal"/>
      <w:suff w:val="nothing"/>
      <w:lvlText w:val="(%1)."/>
      <w:lvlJc w:val="left"/>
      <w:pPr>
        <w:ind w:left="420" w:hanging="420"/>
      </w:pPr>
      <w:rPr>
        <w:rFonts w:asciiTheme="minorEastAsia" w:eastAsia="宋体" w:hAnsiTheme="minorEastAsia" w:hint="eastAsia"/>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266F3221"/>
    <w:multiLevelType w:val="multilevel"/>
    <w:tmpl w:val="4B8A1F7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9" w15:restartNumberingAfterBreak="0">
    <w:nsid w:val="27981E28"/>
    <w:multiLevelType w:val="multilevel"/>
    <w:tmpl w:val="27981E28"/>
    <w:lvl w:ilvl="0">
      <w:start w:val="1"/>
      <w:numFmt w:val="decimal"/>
      <w:lvlText w:val="%1."/>
      <w:lvlJc w:val="left"/>
      <w:pPr>
        <w:ind w:left="420" w:hanging="420"/>
      </w:pPr>
      <w:rPr>
        <w:rFonts w:ascii="宋体" w:eastAsia="宋体" w:hAnsi="宋体" w:hint="eastAsia"/>
        <w:b/>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15:restartNumberingAfterBreak="0">
    <w:nsid w:val="293F0042"/>
    <w:multiLevelType w:val="hybridMultilevel"/>
    <w:tmpl w:val="CCAC5BC2"/>
    <w:lvl w:ilvl="0" w:tplc="D8DAB88E">
      <w:start w:val="1"/>
      <w:numFmt w:val="decimal"/>
      <w:suff w:val="nothing"/>
      <w:lvlText w:val="(%1)."/>
      <w:lvlJc w:val="left"/>
      <w:pPr>
        <w:ind w:left="420" w:hanging="420"/>
      </w:pPr>
      <w:rPr>
        <w:rFonts w:asciiTheme="minorEastAsia" w:eastAsia="宋体" w:hAnsiTheme="minorEastAsia" w:hint="eastAsia"/>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296F4270"/>
    <w:multiLevelType w:val="multilevel"/>
    <w:tmpl w:val="4B8A1F7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2" w15:restartNumberingAfterBreak="0">
    <w:nsid w:val="2A9B2AA5"/>
    <w:multiLevelType w:val="multilevel"/>
    <w:tmpl w:val="2A9B2AA5"/>
    <w:lvl w:ilvl="0">
      <w:start w:val="1"/>
      <w:numFmt w:val="decimal"/>
      <w:suff w:val="nothing"/>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15:restartNumberingAfterBreak="0">
    <w:nsid w:val="2AB9492A"/>
    <w:multiLevelType w:val="multilevel"/>
    <w:tmpl w:val="2AB9492A"/>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4" w15:restartNumberingAfterBreak="0">
    <w:nsid w:val="2ABA5091"/>
    <w:multiLevelType w:val="multilevel"/>
    <w:tmpl w:val="2ABA5091"/>
    <w:lvl w:ilvl="0">
      <w:start w:val="1"/>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15:restartNumberingAfterBreak="0">
    <w:nsid w:val="2C0F76D4"/>
    <w:multiLevelType w:val="hybridMultilevel"/>
    <w:tmpl w:val="5B566022"/>
    <w:lvl w:ilvl="0" w:tplc="7AEC29EA">
      <w:start w:val="1"/>
      <w:numFmt w:val="decimal"/>
      <w:suff w:val="nothing"/>
      <w:lvlText w:val="(%1)."/>
      <w:lvlJc w:val="left"/>
      <w:pPr>
        <w:ind w:left="420" w:hanging="420"/>
      </w:pPr>
      <w:rPr>
        <w:rFonts w:asciiTheme="minorEastAsia" w:eastAsia="宋体" w:hAnsiTheme="minorEastAsia"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15:restartNumberingAfterBreak="0">
    <w:nsid w:val="2CA443D3"/>
    <w:multiLevelType w:val="multilevel"/>
    <w:tmpl w:val="4B8A1F7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7" w15:restartNumberingAfterBreak="0">
    <w:nsid w:val="2D223BC3"/>
    <w:multiLevelType w:val="multilevel"/>
    <w:tmpl w:val="2D223BC3"/>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8" w15:restartNumberingAfterBreak="0">
    <w:nsid w:val="2D321598"/>
    <w:multiLevelType w:val="hybridMultilevel"/>
    <w:tmpl w:val="564AD1D0"/>
    <w:lvl w:ilvl="0" w:tplc="B1E66D52">
      <w:start w:val="1"/>
      <w:numFmt w:val="decimal"/>
      <w:suff w:val="nothing"/>
      <w:lvlText w:val="(%1)."/>
      <w:lvlJc w:val="left"/>
      <w:pPr>
        <w:ind w:left="420" w:hanging="420"/>
      </w:pPr>
      <w:rPr>
        <w:rFonts w:asciiTheme="majorEastAsia" w:eastAsia="宋体" w:hAnsiTheme="majorEastAsia"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9" w15:restartNumberingAfterBreak="0">
    <w:nsid w:val="2EDF5FFD"/>
    <w:multiLevelType w:val="multilevel"/>
    <w:tmpl w:val="2EDF5FFD"/>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15:restartNumberingAfterBreak="0">
    <w:nsid w:val="307D789E"/>
    <w:multiLevelType w:val="hybridMultilevel"/>
    <w:tmpl w:val="EB9090CE"/>
    <w:lvl w:ilvl="0" w:tplc="2BBC1A44">
      <w:start w:val="1"/>
      <w:numFmt w:val="decimal"/>
      <w:suff w:val="nothing"/>
      <w:lvlText w:val="(%1)."/>
      <w:lvlJc w:val="left"/>
      <w:pPr>
        <w:ind w:left="420" w:hanging="420"/>
      </w:pPr>
      <w:rPr>
        <w:rFonts w:asciiTheme="minorEastAsia" w:eastAsia="宋体" w:hAnsiTheme="minorEastAsia"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15:restartNumberingAfterBreak="0">
    <w:nsid w:val="310D72E7"/>
    <w:multiLevelType w:val="multilevel"/>
    <w:tmpl w:val="4B8A1F7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2" w15:restartNumberingAfterBreak="0">
    <w:nsid w:val="33DE0FA0"/>
    <w:multiLevelType w:val="hybridMultilevel"/>
    <w:tmpl w:val="66AE9A28"/>
    <w:lvl w:ilvl="0" w:tplc="EFFAED54">
      <w:start w:val="1"/>
      <w:numFmt w:val="decimal"/>
      <w:suff w:val="nothing"/>
      <w:lvlText w:val="(%1)."/>
      <w:lvlJc w:val="left"/>
      <w:pPr>
        <w:ind w:left="420" w:hanging="420"/>
      </w:pPr>
      <w:rPr>
        <w:rFonts w:asciiTheme="minorEastAsia" w:eastAsia="宋体" w:hAnsiTheme="minorEastAsia" w:hint="eastAsia"/>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15:restartNumberingAfterBreak="0">
    <w:nsid w:val="35CF12DB"/>
    <w:multiLevelType w:val="hybridMultilevel"/>
    <w:tmpl w:val="95ECF828"/>
    <w:lvl w:ilvl="0" w:tplc="ED84A73E">
      <w:start w:val="1"/>
      <w:numFmt w:val="decimal"/>
      <w:suff w:val="nothing"/>
      <w:lvlText w:val="(%1)."/>
      <w:lvlJc w:val="left"/>
      <w:pPr>
        <w:ind w:left="420" w:hanging="420"/>
      </w:pPr>
      <w:rPr>
        <w:rFonts w:asciiTheme="majorEastAsia" w:eastAsia="宋体" w:hAnsiTheme="majorEastAsia"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4" w15:restartNumberingAfterBreak="0">
    <w:nsid w:val="37C3610E"/>
    <w:multiLevelType w:val="multilevel"/>
    <w:tmpl w:val="37C3610E"/>
    <w:lvl w:ilvl="0">
      <w:start w:val="1"/>
      <w:numFmt w:val="chineseCountingThousand"/>
      <w:suff w:val="nothing"/>
      <w:lvlText w:val="%1、"/>
      <w:lvlJc w:val="left"/>
      <w:pPr>
        <w:ind w:left="704" w:hanging="420"/>
      </w:pPr>
      <w:rPr>
        <w:rFonts w:hint="default"/>
        <w:b/>
        <w:i w:val="0"/>
        <w:color w:val="auto"/>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3A4E0CB4"/>
    <w:multiLevelType w:val="multilevel"/>
    <w:tmpl w:val="3A4E0CB4"/>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3D2B6D0A"/>
    <w:multiLevelType w:val="multilevel"/>
    <w:tmpl w:val="3D2B6D0A"/>
    <w:lvl w:ilvl="0">
      <w:start w:val="1"/>
      <w:numFmt w:val="chineseCountingThousand"/>
      <w:suff w:val="nothing"/>
      <w:lvlText w:val="(%1)"/>
      <w:lvlJc w:val="left"/>
      <w:pPr>
        <w:ind w:left="420" w:hanging="420"/>
      </w:pPr>
      <w:rPr>
        <w:rFonts w:ascii="宋体" w:eastAsia="宋体" w:hAnsi="宋体" w:hint="default"/>
      </w:rPr>
    </w:lvl>
    <w:lvl w:ilvl="1">
      <w:start w:val="1"/>
      <w:numFmt w:val="chineseCountingThousand"/>
      <w:lvlText w:val="(%2)"/>
      <w:lvlJc w:val="left"/>
      <w:pPr>
        <w:ind w:left="840" w:hanging="420"/>
      </w:pPr>
    </w:lvl>
    <w:lvl w:ilvl="2">
      <w:start w:val="1"/>
      <w:numFmt w:val="decimal"/>
      <w:lvlText w:val="%3、"/>
      <w:lvlJc w:val="left"/>
      <w:pPr>
        <w:ind w:left="1200" w:hanging="360"/>
      </w:pPr>
      <w:rPr>
        <w:rFont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3D620F38"/>
    <w:multiLevelType w:val="multilevel"/>
    <w:tmpl w:val="3D620F38"/>
    <w:lvl w:ilvl="0">
      <w:start w:val="1"/>
      <w:numFmt w:val="decimal"/>
      <w:lvlText w:val="%1、"/>
      <w:lvlJc w:val="left"/>
      <w:pPr>
        <w:ind w:left="420" w:hanging="420"/>
      </w:pPr>
      <w:rPr>
        <w:rFonts w:ascii="宋体" w:eastAsia="宋体" w:hAnsi="宋体" w:hint="eastAsia"/>
      </w:rPr>
    </w:lvl>
    <w:lvl w:ilvl="1">
      <w:start w:val="1"/>
      <w:numFmt w:val="decimal"/>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3E590A6E"/>
    <w:multiLevelType w:val="hybridMultilevel"/>
    <w:tmpl w:val="B330B150"/>
    <w:lvl w:ilvl="0" w:tplc="34FE6810">
      <w:start w:val="1"/>
      <w:numFmt w:val="decimal"/>
      <w:suff w:val="nothing"/>
      <w:lvlText w:val="(%1)."/>
      <w:lvlJc w:val="left"/>
      <w:pPr>
        <w:ind w:left="420" w:hanging="420"/>
      </w:pPr>
      <w:rPr>
        <w:rFonts w:asciiTheme="minorEastAsia" w:eastAsia="宋体" w:hAnsiTheme="minorEastAsia" w:hint="eastAsia"/>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15:restartNumberingAfterBreak="0">
    <w:nsid w:val="3F7B1C65"/>
    <w:multiLevelType w:val="hybridMultilevel"/>
    <w:tmpl w:val="2A80DA0E"/>
    <w:lvl w:ilvl="0" w:tplc="BF8030B6">
      <w:start w:val="1"/>
      <w:numFmt w:val="decimal"/>
      <w:suff w:val="nothing"/>
      <w:lvlText w:val="(%1)."/>
      <w:lvlJc w:val="left"/>
      <w:pPr>
        <w:ind w:left="420" w:hanging="420"/>
      </w:pPr>
      <w:rPr>
        <w:rFonts w:asciiTheme="minorEastAsia" w:eastAsia="宋体" w:hAnsiTheme="minorEastAsia"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400C4F6A"/>
    <w:multiLevelType w:val="hybridMultilevel"/>
    <w:tmpl w:val="08668A74"/>
    <w:lvl w:ilvl="0" w:tplc="144CE4C6">
      <w:start w:val="1"/>
      <w:numFmt w:val="decimal"/>
      <w:suff w:val="nothing"/>
      <w:lvlText w:val="(%1)."/>
      <w:lvlJc w:val="left"/>
      <w:pPr>
        <w:ind w:left="420" w:hanging="420"/>
      </w:pPr>
      <w:rPr>
        <w:rFonts w:asciiTheme="minorEastAsia" w:eastAsia="宋体" w:hAnsiTheme="minorEastAsia" w:hint="eastAsia"/>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15:restartNumberingAfterBreak="0">
    <w:nsid w:val="42D94174"/>
    <w:multiLevelType w:val="multilevel"/>
    <w:tmpl w:val="4B8A1F7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2" w15:restartNumberingAfterBreak="0">
    <w:nsid w:val="44D151ED"/>
    <w:multiLevelType w:val="multilevel"/>
    <w:tmpl w:val="44D151ED"/>
    <w:lvl w:ilvl="0">
      <w:start w:val="1"/>
      <w:numFmt w:val="decimal"/>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3" w15:restartNumberingAfterBreak="0">
    <w:nsid w:val="45D95701"/>
    <w:multiLevelType w:val="multilevel"/>
    <w:tmpl w:val="45D95701"/>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color w:val="auto"/>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4" w15:restartNumberingAfterBreak="0">
    <w:nsid w:val="47B24654"/>
    <w:multiLevelType w:val="hybridMultilevel"/>
    <w:tmpl w:val="E45E7F6E"/>
    <w:lvl w:ilvl="0" w:tplc="B1FECF28">
      <w:start w:val="1"/>
      <w:numFmt w:val="decimal"/>
      <w:suff w:val="nothing"/>
      <w:lvlText w:val="(%1)."/>
      <w:lvlJc w:val="left"/>
      <w:pPr>
        <w:ind w:left="420" w:hanging="420"/>
      </w:pPr>
      <w:rPr>
        <w:rFonts w:asciiTheme="minorEastAsia" w:eastAsia="宋体" w:hAnsiTheme="minorEastAsia" w:hint="eastAsia"/>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15:restartNumberingAfterBreak="0">
    <w:nsid w:val="48384C1C"/>
    <w:multiLevelType w:val="hybridMultilevel"/>
    <w:tmpl w:val="DA603F1C"/>
    <w:lvl w:ilvl="0" w:tplc="BBF88FD8">
      <w:start w:val="1"/>
      <w:numFmt w:val="decimal"/>
      <w:suff w:val="nothing"/>
      <w:lvlText w:val="(%1)."/>
      <w:lvlJc w:val="left"/>
      <w:pPr>
        <w:ind w:left="420" w:hanging="420"/>
      </w:pPr>
      <w:rPr>
        <w:rFonts w:asciiTheme="minorEastAsia" w:eastAsia="宋体" w:hAnsiTheme="minorEastAsia"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4B8A1F74"/>
    <w:multiLevelType w:val="multilevel"/>
    <w:tmpl w:val="4B8A1F7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7" w15:restartNumberingAfterBreak="0">
    <w:nsid w:val="4B925956"/>
    <w:multiLevelType w:val="hybridMultilevel"/>
    <w:tmpl w:val="DC6802DE"/>
    <w:lvl w:ilvl="0" w:tplc="893C267E">
      <w:start w:val="1"/>
      <w:numFmt w:val="decimal"/>
      <w:suff w:val="nothing"/>
      <w:lvlText w:val="(%1)."/>
      <w:lvlJc w:val="left"/>
      <w:pPr>
        <w:ind w:left="420" w:hanging="420"/>
      </w:pPr>
      <w:rPr>
        <w:rFonts w:asciiTheme="minorEastAsia" w:eastAsia="宋体" w:hAnsiTheme="minorEastAsia" w:hint="eastAsia"/>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4B9423DA"/>
    <w:multiLevelType w:val="multilevel"/>
    <w:tmpl w:val="4B9423DA"/>
    <w:lvl w:ilvl="0">
      <w:start w:val="1"/>
      <w:numFmt w:val="decimal"/>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9" w15:restartNumberingAfterBreak="0">
    <w:nsid w:val="4BA550B4"/>
    <w:multiLevelType w:val="hybridMultilevel"/>
    <w:tmpl w:val="81B47A70"/>
    <w:lvl w:ilvl="0" w:tplc="A2505A8E">
      <w:start w:val="1"/>
      <w:numFmt w:val="decimal"/>
      <w:suff w:val="nothing"/>
      <w:lvlText w:val="(%1)."/>
      <w:lvlJc w:val="left"/>
      <w:pPr>
        <w:ind w:left="420" w:hanging="420"/>
      </w:pPr>
      <w:rPr>
        <w:rFonts w:asciiTheme="minorEastAsia" w:eastAsia="宋体" w:hAnsiTheme="minorEastAsia" w:hint="eastAsia"/>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15:restartNumberingAfterBreak="0">
    <w:nsid w:val="4C412B30"/>
    <w:multiLevelType w:val="hybridMultilevel"/>
    <w:tmpl w:val="1250D2E2"/>
    <w:lvl w:ilvl="0" w:tplc="67AE1BE2">
      <w:start w:val="1"/>
      <w:numFmt w:val="decimal"/>
      <w:suff w:val="nothing"/>
      <w:lvlText w:val="(%1)."/>
      <w:lvlJc w:val="left"/>
      <w:pPr>
        <w:ind w:left="420" w:hanging="420"/>
      </w:pPr>
      <w:rPr>
        <w:rFonts w:asciiTheme="minorEastAsia" w:eastAsia="宋体" w:hAnsiTheme="minorEastAsia" w:hint="eastAsia"/>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15:restartNumberingAfterBreak="0">
    <w:nsid w:val="4D5D3C22"/>
    <w:multiLevelType w:val="multilevel"/>
    <w:tmpl w:val="4D5D3C22"/>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2" w15:restartNumberingAfterBreak="0">
    <w:nsid w:val="4D83728E"/>
    <w:multiLevelType w:val="multilevel"/>
    <w:tmpl w:val="4D83728E"/>
    <w:lvl w:ilvl="0">
      <w:start w:val="1"/>
      <w:numFmt w:val="decimal"/>
      <w:lvlText w:val="（%1）"/>
      <w:lvlJc w:val="left"/>
      <w:pPr>
        <w:ind w:left="57" w:firstLine="56"/>
      </w:pPr>
      <w:rPr>
        <w:rFonts w:hint="default"/>
        <w:sz w:val="22"/>
      </w:rPr>
    </w:lvl>
    <w:lvl w:ilvl="1">
      <w:start w:val="1"/>
      <w:numFmt w:val="lowerLetter"/>
      <w:lvlText w:val="%2)"/>
      <w:lvlJc w:val="left"/>
      <w:pPr>
        <w:ind w:left="414" w:hanging="420"/>
      </w:pPr>
    </w:lvl>
    <w:lvl w:ilvl="2">
      <w:start w:val="1"/>
      <w:numFmt w:val="lowerRoman"/>
      <w:lvlText w:val="%3."/>
      <w:lvlJc w:val="right"/>
      <w:pPr>
        <w:ind w:left="834" w:hanging="420"/>
      </w:pPr>
    </w:lvl>
    <w:lvl w:ilvl="3">
      <w:start w:val="1"/>
      <w:numFmt w:val="decimal"/>
      <w:lvlText w:val="%4."/>
      <w:lvlJc w:val="left"/>
      <w:pPr>
        <w:ind w:left="1254" w:hanging="420"/>
      </w:pPr>
    </w:lvl>
    <w:lvl w:ilvl="4">
      <w:start w:val="1"/>
      <w:numFmt w:val="lowerLetter"/>
      <w:lvlText w:val="%5)"/>
      <w:lvlJc w:val="left"/>
      <w:pPr>
        <w:ind w:left="1674" w:hanging="420"/>
      </w:pPr>
    </w:lvl>
    <w:lvl w:ilvl="5">
      <w:start w:val="1"/>
      <w:numFmt w:val="lowerRoman"/>
      <w:lvlText w:val="%6."/>
      <w:lvlJc w:val="right"/>
      <w:pPr>
        <w:ind w:left="2094" w:hanging="420"/>
      </w:pPr>
    </w:lvl>
    <w:lvl w:ilvl="6">
      <w:start w:val="1"/>
      <w:numFmt w:val="decimal"/>
      <w:lvlText w:val="%7."/>
      <w:lvlJc w:val="left"/>
      <w:pPr>
        <w:ind w:left="2514" w:hanging="420"/>
      </w:pPr>
    </w:lvl>
    <w:lvl w:ilvl="7">
      <w:start w:val="1"/>
      <w:numFmt w:val="lowerLetter"/>
      <w:lvlText w:val="%8)"/>
      <w:lvlJc w:val="left"/>
      <w:pPr>
        <w:ind w:left="2934" w:hanging="420"/>
      </w:pPr>
    </w:lvl>
    <w:lvl w:ilvl="8">
      <w:start w:val="1"/>
      <w:numFmt w:val="lowerRoman"/>
      <w:lvlText w:val="%9."/>
      <w:lvlJc w:val="right"/>
      <w:pPr>
        <w:ind w:left="3354" w:hanging="420"/>
      </w:pPr>
    </w:lvl>
  </w:abstractNum>
  <w:abstractNum w:abstractNumId="73" w15:restartNumberingAfterBreak="0">
    <w:nsid w:val="4DE57D64"/>
    <w:multiLevelType w:val="multilevel"/>
    <w:tmpl w:val="4B8A1F7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4" w15:restartNumberingAfterBreak="0">
    <w:nsid w:val="4E055A91"/>
    <w:multiLevelType w:val="hybridMultilevel"/>
    <w:tmpl w:val="AAD8D514"/>
    <w:lvl w:ilvl="0" w:tplc="5E8E0A48">
      <w:start w:val="1"/>
      <w:numFmt w:val="decimal"/>
      <w:suff w:val="nothing"/>
      <w:lvlText w:val="(%1)."/>
      <w:lvlJc w:val="left"/>
      <w:pPr>
        <w:ind w:left="420" w:hanging="420"/>
      </w:pPr>
      <w:rPr>
        <w:rFonts w:asciiTheme="minorEastAsia" w:eastAsia="宋体" w:hAnsiTheme="minorEastAsia" w:hint="eastAsia"/>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5" w15:restartNumberingAfterBreak="0">
    <w:nsid w:val="4FB35D19"/>
    <w:multiLevelType w:val="hybridMultilevel"/>
    <w:tmpl w:val="CF50D22A"/>
    <w:lvl w:ilvl="0" w:tplc="3E3A9912">
      <w:start w:val="1"/>
      <w:numFmt w:val="decimal"/>
      <w:suff w:val="nothing"/>
      <w:lvlText w:val="(%1)."/>
      <w:lvlJc w:val="left"/>
      <w:pPr>
        <w:ind w:left="4107" w:hanging="420"/>
      </w:pPr>
      <w:rPr>
        <w:rFonts w:asciiTheme="majorEastAsia" w:eastAsia="宋体" w:hAnsiTheme="majorEastAsia"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6" w15:restartNumberingAfterBreak="0">
    <w:nsid w:val="51265863"/>
    <w:multiLevelType w:val="multilevel"/>
    <w:tmpl w:val="51265863"/>
    <w:lvl w:ilvl="0">
      <w:start w:val="1"/>
      <w:numFmt w:val="chineseCountingThousand"/>
      <w:suff w:val="space"/>
      <w:lvlText w:val="(%1)"/>
      <w:lvlJc w:val="left"/>
      <w:pPr>
        <w:ind w:left="420" w:hanging="420"/>
      </w:pPr>
      <w:rPr>
        <w:rFonts w:hint="eastAsia"/>
      </w:rPr>
    </w:lvl>
    <w:lvl w:ilvl="1">
      <w:start w:val="1"/>
      <w:numFmt w:val="decimal"/>
      <w:lvlText w:val="(%2). "/>
      <w:lvlJc w:val="left"/>
      <w:pPr>
        <w:ind w:left="840" w:hanging="420"/>
      </w:pPr>
      <w:rPr>
        <w:rFonts w:ascii="宋体" w:eastAsia="宋体" w:hAnsi="宋体"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7" w15:restartNumberingAfterBreak="0">
    <w:nsid w:val="51375EA6"/>
    <w:multiLevelType w:val="multilevel"/>
    <w:tmpl w:val="51375EA6"/>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8" w15:restartNumberingAfterBreak="0">
    <w:nsid w:val="51DB03FF"/>
    <w:multiLevelType w:val="hybridMultilevel"/>
    <w:tmpl w:val="7B422C7A"/>
    <w:lvl w:ilvl="0" w:tplc="8C0884DC">
      <w:start w:val="1"/>
      <w:numFmt w:val="decimal"/>
      <w:suff w:val="nothing"/>
      <w:lvlText w:val="(%1)."/>
      <w:lvlJc w:val="left"/>
      <w:pPr>
        <w:ind w:left="420" w:hanging="420"/>
      </w:pPr>
      <w:rPr>
        <w:rFonts w:asciiTheme="minorEastAsia" w:eastAsia="宋体" w:hAnsiTheme="minorEastAsia" w:hint="eastAsia"/>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9" w15:restartNumberingAfterBreak="0">
    <w:nsid w:val="5263651E"/>
    <w:multiLevelType w:val="hybridMultilevel"/>
    <w:tmpl w:val="9202BAC0"/>
    <w:lvl w:ilvl="0" w:tplc="02B64FCE">
      <w:start w:val="1"/>
      <w:numFmt w:val="decimal"/>
      <w:lvlText w:val="%1."/>
      <w:lvlJc w:val="left"/>
      <w:pPr>
        <w:ind w:left="420" w:hanging="420"/>
      </w:pPr>
      <w:rPr>
        <w:rFonts w:asciiTheme="minorEastAsia" w:eastAsiaTheme="minorEastAsia" w:hAnsiTheme="minorEastAsia"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0" w15:restartNumberingAfterBreak="0">
    <w:nsid w:val="52891914"/>
    <w:multiLevelType w:val="hybridMultilevel"/>
    <w:tmpl w:val="9924AA06"/>
    <w:lvl w:ilvl="0" w:tplc="04164034">
      <w:start w:val="1"/>
      <w:numFmt w:val="decimal"/>
      <w:suff w:val="nothing"/>
      <w:lvlText w:val="(%1)."/>
      <w:lvlJc w:val="left"/>
      <w:pPr>
        <w:ind w:left="420" w:hanging="420"/>
      </w:pPr>
      <w:rPr>
        <w:rFonts w:asciiTheme="minorEastAsia" w:eastAsia="宋体" w:hAnsiTheme="minorEastAsia" w:hint="eastAsia"/>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15:restartNumberingAfterBreak="0">
    <w:nsid w:val="542027AB"/>
    <w:multiLevelType w:val="multilevel"/>
    <w:tmpl w:val="542027AB"/>
    <w:lvl w:ilvl="0">
      <w:start w:val="1"/>
      <w:numFmt w:val="decimal"/>
      <w:lvlText w:val="%1、"/>
      <w:lvlJc w:val="left"/>
      <w:pPr>
        <w:ind w:left="420" w:hanging="420"/>
      </w:pPr>
      <w:rPr>
        <w:rFonts w:ascii="宋体" w:eastAsia="宋体" w:hAnsi="宋体" w:hint="eastAsia"/>
      </w:rPr>
    </w:lvl>
    <w:lvl w:ilvl="1">
      <w:start w:val="1"/>
      <w:numFmt w:val="decimal"/>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2" w15:restartNumberingAfterBreak="0">
    <w:nsid w:val="573E1F07"/>
    <w:multiLevelType w:val="multilevel"/>
    <w:tmpl w:val="573E1F07"/>
    <w:lvl w:ilvl="0">
      <w:start w:val="1"/>
      <w:numFmt w:val="chineseCountingThousand"/>
      <w:suff w:val="space"/>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3" w15:restartNumberingAfterBreak="0">
    <w:nsid w:val="57CF5B19"/>
    <w:multiLevelType w:val="hybridMultilevel"/>
    <w:tmpl w:val="B33EC664"/>
    <w:lvl w:ilvl="0" w:tplc="36FE2542">
      <w:start w:val="1"/>
      <w:numFmt w:val="decimal"/>
      <w:suff w:val="nothing"/>
      <w:lvlText w:val="(%1)."/>
      <w:lvlJc w:val="left"/>
      <w:pPr>
        <w:ind w:left="420" w:hanging="420"/>
      </w:pPr>
      <w:rPr>
        <w:rFonts w:asciiTheme="majorEastAsia" w:eastAsia="宋体" w:hAnsiTheme="majorEastAsia"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4" w15:restartNumberingAfterBreak="0">
    <w:nsid w:val="582F5EA2"/>
    <w:multiLevelType w:val="hybridMultilevel"/>
    <w:tmpl w:val="22AEF6B8"/>
    <w:lvl w:ilvl="0" w:tplc="5C1C390E">
      <w:start w:val="1"/>
      <w:numFmt w:val="decimal"/>
      <w:suff w:val="nothing"/>
      <w:lvlText w:val="(%1)."/>
      <w:lvlJc w:val="left"/>
      <w:pPr>
        <w:ind w:left="420" w:hanging="420"/>
      </w:pPr>
      <w:rPr>
        <w:rFonts w:asciiTheme="minorEastAsia" w:eastAsia="宋体" w:hAnsiTheme="minorEastAsia" w:hint="eastAsia"/>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5" w15:restartNumberingAfterBreak="0">
    <w:nsid w:val="5852027A"/>
    <w:multiLevelType w:val="hybridMultilevel"/>
    <w:tmpl w:val="1756A7C0"/>
    <w:lvl w:ilvl="0" w:tplc="2FD447A6">
      <w:start w:val="1"/>
      <w:numFmt w:val="decimal"/>
      <w:suff w:val="nothing"/>
      <w:lvlText w:val="(%1)."/>
      <w:lvlJc w:val="left"/>
      <w:pPr>
        <w:ind w:left="420" w:hanging="420"/>
      </w:pPr>
      <w:rPr>
        <w:rFonts w:asciiTheme="minorEastAsia" w:eastAsia="宋体" w:hAnsiTheme="minorEastAsia" w:hint="eastAsia"/>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15:restartNumberingAfterBreak="0">
    <w:nsid w:val="588526B8"/>
    <w:multiLevelType w:val="hybridMultilevel"/>
    <w:tmpl w:val="80465A74"/>
    <w:lvl w:ilvl="0" w:tplc="A0A8C246">
      <w:start w:val="1"/>
      <w:numFmt w:val="decimal"/>
      <w:suff w:val="nothing"/>
      <w:lvlText w:val="(%1)."/>
      <w:lvlJc w:val="left"/>
      <w:pPr>
        <w:ind w:left="420" w:hanging="420"/>
      </w:pPr>
      <w:rPr>
        <w:rFonts w:asciiTheme="majorEastAsia" w:eastAsia="宋体" w:hAnsiTheme="majorEastAsia"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7" w15:restartNumberingAfterBreak="0">
    <w:nsid w:val="59171183"/>
    <w:multiLevelType w:val="hybridMultilevel"/>
    <w:tmpl w:val="3268264A"/>
    <w:lvl w:ilvl="0" w:tplc="3C3A0F24">
      <w:start w:val="1"/>
      <w:numFmt w:val="decimal"/>
      <w:suff w:val="nothing"/>
      <w:lvlText w:val="(%1)."/>
      <w:lvlJc w:val="left"/>
      <w:pPr>
        <w:ind w:left="420" w:hanging="420"/>
      </w:pPr>
      <w:rPr>
        <w:rFonts w:asciiTheme="majorEastAsia" w:eastAsia="宋体" w:hAnsiTheme="majorEastAsia"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8" w15:restartNumberingAfterBreak="0">
    <w:nsid w:val="5B0B04EE"/>
    <w:multiLevelType w:val="hybridMultilevel"/>
    <w:tmpl w:val="2A489096"/>
    <w:lvl w:ilvl="0" w:tplc="7E8AD880">
      <w:start w:val="1"/>
      <w:numFmt w:val="decimal"/>
      <w:suff w:val="nothing"/>
      <w:lvlText w:val="(%1)."/>
      <w:lvlJc w:val="left"/>
      <w:pPr>
        <w:ind w:left="420" w:hanging="420"/>
      </w:pPr>
      <w:rPr>
        <w:rFonts w:asciiTheme="minorEastAsia" w:eastAsia="宋体" w:hAnsiTheme="minorEastAsia" w:hint="eastAsia"/>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9" w15:restartNumberingAfterBreak="0">
    <w:nsid w:val="5C673432"/>
    <w:multiLevelType w:val="multilevel"/>
    <w:tmpl w:val="5C67343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0" w15:restartNumberingAfterBreak="0">
    <w:nsid w:val="5D7B027D"/>
    <w:multiLevelType w:val="multilevel"/>
    <w:tmpl w:val="5D7B027D"/>
    <w:lvl w:ilvl="0">
      <w:start w:val="1"/>
      <w:numFmt w:val="chineseCountingThousand"/>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1" w15:restartNumberingAfterBreak="0">
    <w:nsid w:val="5FF8665E"/>
    <w:multiLevelType w:val="hybridMultilevel"/>
    <w:tmpl w:val="18AE2E6E"/>
    <w:lvl w:ilvl="0" w:tplc="ED20949E">
      <w:start w:val="1"/>
      <w:numFmt w:val="decimal"/>
      <w:suff w:val="nothing"/>
      <w:lvlText w:val="(%1)."/>
      <w:lvlJc w:val="left"/>
      <w:pPr>
        <w:ind w:left="420" w:hanging="420"/>
      </w:pPr>
      <w:rPr>
        <w:rFonts w:asciiTheme="minorEastAsia" w:eastAsia="宋体" w:hAnsiTheme="minorEastAsia" w:hint="eastAsia"/>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2" w15:restartNumberingAfterBreak="0">
    <w:nsid w:val="60421A59"/>
    <w:multiLevelType w:val="multilevel"/>
    <w:tmpl w:val="E52A220E"/>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3" w15:restartNumberingAfterBreak="0">
    <w:nsid w:val="604D44F2"/>
    <w:multiLevelType w:val="hybridMultilevel"/>
    <w:tmpl w:val="985EF21E"/>
    <w:lvl w:ilvl="0" w:tplc="88EAFC5A">
      <w:start w:val="1"/>
      <w:numFmt w:val="decimal"/>
      <w:suff w:val="nothing"/>
      <w:lvlText w:val="(%1)."/>
      <w:lvlJc w:val="left"/>
      <w:pPr>
        <w:ind w:left="420" w:hanging="420"/>
      </w:pPr>
      <w:rPr>
        <w:rFonts w:asciiTheme="minorEastAsia" w:eastAsia="宋体" w:hAnsiTheme="minorEastAsia" w:hint="eastAsia"/>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4" w15:restartNumberingAfterBreak="0">
    <w:nsid w:val="62686B8B"/>
    <w:multiLevelType w:val="hybridMultilevel"/>
    <w:tmpl w:val="497C93D4"/>
    <w:lvl w:ilvl="0" w:tplc="0409000F">
      <w:start w:val="1"/>
      <w:numFmt w:val="decimal"/>
      <w:lvlText w:val="%1."/>
      <w:lvlJc w:val="left"/>
      <w:pPr>
        <w:ind w:left="845" w:hanging="420"/>
      </w:p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95" w15:restartNumberingAfterBreak="0">
    <w:nsid w:val="66A21404"/>
    <w:multiLevelType w:val="hybridMultilevel"/>
    <w:tmpl w:val="11C05E72"/>
    <w:lvl w:ilvl="0" w:tplc="5F1C31F6">
      <w:start w:val="1"/>
      <w:numFmt w:val="decimal"/>
      <w:suff w:val="nothing"/>
      <w:lvlText w:val="(%1)."/>
      <w:lvlJc w:val="left"/>
      <w:pPr>
        <w:ind w:left="420" w:hanging="420"/>
      </w:pPr>
      <w:rPr>
        <w:rFonts w:asciiTheme="minorEastAsia" w:eastAsia="宋体" w:hAnsiTheme="minorEastAsia" w:hint="eastAsia"/>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6" w15:restartNumberingAfterBreak="0">
    <w:nsid w:val="66EF1A75"/>
    <w:multiLevelType w:val="hybridMultilevel"/>
    <w:tmpl w:val="9000CF6C"/>
    <w:lvl w:ilvl="0" w:tplc="7AB4D27C">
      <w:start w:val="1"/>
      <w:numFmt w:val="decimal"/>
      <w:suff w:val="nothing"/>
      <w:lvlText w:val="(%1)."/>
      <w:lvlJc w:val="left"/>
      <w:pPr>
        <w:ind w:left="420" w:hanging="420"/>
      </w:pPr>
      <w:rPr>
        <w:rFonts w:asciiTheme="minorEastAsia" w:eastAsia="宋体" w:hAnsiTheme="minorEastAsia"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7" w15:restartNumberingAfterBreak="0">
    <w:nsid w:val="678C2AE0"/>
    <w:multiLevelType w:val="hybridMultilevel"/>
    <w:tmpl w:val="046CE3F4"/>
    <w:lvl w:ilvl="0" w:tplc="C4600B0A">
      <w:start w:val="1"/>
      <w:numFmt w:val="decimal"/>
      <w:suff w:val="nothing"/>
      <w:lvlText w:val="(%1)."/>
      <w:lvlJc w:val="left"/>
      <w:pPr>
        <w:ind w:left="420" w:hanging="420"/>
      </w:pPr>
      <w:rPr>
        <w:rFonts w:asciiTheme="majorEastAsia" w:eastAsia="宋体" w:hAnsiTheme="majorEastAsia"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8" w15:restartNumberingAfterBreak="0">
    <w:nsid w:val="67EB7254"/>
    <w:multiLevelType w:val="hybridMultilevel"/>
    <w:tmpl w:val="59EE722E"/>
    <w:lvl w:ilvl="0" w:tplc="0FCAFC8E">
      <w:start w:val="1"/>
      <w:numFmt w:val="decimal"/>
      <w:suff w:val="nothing"/>
      <w:lvlText w:val="(%1)."/>
      <w:lvlJc w:val="left"/>
      <w:pPr>
        <w:ind w:left="420" w:hanging="420"/>
      </w:pPr>
      <w:rPr>
        <w:rFonts w:asciiTheme="minorEastAsia" w:eastAsia="宋体" w:hAnsiTheme="minorEastAsia" w:hint="eastAsia"/>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9" w15:restartNumberingAfterBreak="0">
    <w:nsid w:val="685B2609"/>
    <w:multiLevelType w:val="hybridMultilevel"/>
    <w:tmpl w:val="BB1CAEB6"/>
    <w:lvl w:ilvl="0" w:tplc="C9F2F62C">
      <w:start w:val="1"/>
      <w:numFmt w:val="decimal"/>
      <w:suff w:val="nothing"/>
      <w:lvlText w:val="(%1)."/>
      <w:lvlJc w:val="left"/>
      <w:pPr>
        <w:ind w:left="420" w:hanging="420"/>
      </w:pPr>
      <w:rPr>
        <w:rFonts w:asciiTheme="majorEastAsia" w:eastAsia="宋体" w:hAnsiTheme="majorEastAsia"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0" w15:restartNumberingAfterBreak="0">
    <w:nsid w:val="694D0F71"/>
    <w:multiLevelType w:val="multilevel"/>
    <w:tmpl w:val="694D0F71"/>
    <w:lvl w:ilvl="0">
      <w:start w:val="1"/>
      <w:numFmt w:val="chineseCountingThousand"/>
      <w:suff w:val="space"/>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1" w15:restartNumberingAfterBreak="0">
    <w:nsid w:val="69873FEB"/>
    <w:multiLevelType w:val="hybridMultilevel"/>
    <w:tmpl w:val="3FBC84A0"/>
    <w:lvl w:ilvl="0" w:tplc="FE4673C8">
      <w:start w:val="1"/>
      <w:numFmt w:val="decimal"/>
      <w:suff w:val="nothing"/>
      <w:lvlText w:val="(%1)."/>
      <w:lvlJc w:val="left"/>
      <w:pPr>
        <w:ind w:left="420" w:hanging="420"/>
      </w:pPr>
      <w:rPr>
        <w:rFonts w:asciiTheme="minorEastAsia" w:eastAsia="宋体" w:hAnsiTheme="minorEastAsia" w:hint="eastAsia"/>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2" w15:restartNumberingAfterBreak="0">
    <w:nsid w:val="69BA4BB7"/>
    <w:multiLevelType w:val="multilevel"/>
    <w:tmpl w:val="69BA4BB7"/>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3" w15:restartNumberingAfterBreak="0">
    <w:nsid w:val="69DE3A49"/>
    <w:multiLevelType w:val="hybridMultilevel"/>
    <w:tmpl w:val="45BC9FB6"/>
    <w:lvl w:ilvl="0" w:tplc="A726F492">
      <w:start w:val="1"/>
      <w:numFmt w:val="decimal"/>
      <w:suff w:val="nothing"/>
      <w:lvlText w:val="(%1)."/>
      <w:lvlJc w:val="left"/>
      <w:pPr>
        <w:ind w:left="420" w:hanging="420"/>
      </w:pPr>
      <w:rPr>
        <w:rFonts w:asciiTheme="minorEastAsia" w:eastAsia="宋体" w:hAnsiTheme="minorEastAsia" w:hint="eastAsia"/>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4" w15:restartNumberingAfterBreak="0">
    <w:nsid w:val="6B4D3EB4"/>
    <w:multiLevelType w:val="hybridMultilevel"/>
    <w:tmpl w:val="429CA9C0"/>
    <w:lvl w:ilvl="0" w:tplc="DC4254CA">
      <w:start w:val="1"/>
      <w:numFmt w:val="decimal"/>
      <w:suff w:val="nothing"/>
      <w:lvlText w:val="(%1)."/>
      <w:lvlJc w:val="left"/>
      <w:pPr>
        <w:ind w:left="420" w:hanging="420"/>
      </w:pPr>
      <w:rPr>
        <w:rFonts w:asciiTheme="minorEastAsia" w:eastAsia="宋体" w:hAnsiTheme="minorEastAsia" w:hint="eastAsia"/>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5" w15:restartNumberingAfterBreak="0">
    <w:nsid w:val="6C054A18"/>
    <w:multiLevelType w:val="hybridMultilevel"/>
    <w:tmpl w:val="BE5C6B78"/>
    <w:lvl w:ilvl="0" w:tplc="421EE968">
      <w:start w:val="1"/>
      <w:numFmt w:val="decimal"/>
      <w:suff w:val="nothing"/>
      <w:lvlText w:val="(%1)."/>
      <w:lvlJc w:val="left"/>
      <w:pPr>
        <w:ind w:left="420" w:hanging="420"/>
      </w:pPr>
      <w:rPr>
        <w:rFonts w:asciiTheme="minorEastAsia" w:eastAsia="宋体" w:hAnsiTheme="minorEastAsia"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6" w15:restartNumberingAfterBreak="0">
    <w:nsid w:val="6E602379"/>
    <w:multiLevelType w:val="hybridMultilevel"/>
    <w:tmpl w:val="609C98DA"/>
    <w:lvl w:ilvl="0" w:tplc="DF0C7300">
      <w:start w:val="1"/>
      <w:numFmt w:val="decimal"/>
      <w:suff w:val="nothing"/>
      <w:lvlText w:val="(%1)."/>
      <w:lvlJc w:val="left"/>
      <w:pPr>
        <w:ind w:left="420" w:hanging="420"/>
      </w:pPr>
      <w:rPr>
        <w:rFonts w:asciiTheme="minorEastAsia" w:eastAsia="宋体" w:hAnsiTheme="minorEastAsia" w:hint="eastAsia"/>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7" w15:restartNumberingAfterBreak="0">
    <w:nsid w:val="70E42A22"/>
    <w:multiLevelType w:val="multilevel"/>
    <w:tmpl w:val="70E42A2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8" w15:restartNumberingAfterBreak="0">
    <w:nsid w:val="711F0FA2"/>
    <w:multiLevelType w:val="hybridMultilevel"/>
    <w:tmpl w:val="4626A8FA"/>
    <w:lvl w:ilvl="0" w:tplc="52AAD156">
      <w:start w:val="1"/>
      <w:numFmt w:val="decimal"/>
      <w:suff w:val="nothing"/>
      <w:lvlText w:val="(%1)."/>
      <w:lvlJc w:val="left"/>
      <w:pPr>
        <w:ind w:left="420" w:hanging="420"/>
      </w:pPr>
      <w:rPr>
        <w:rFonts w:asciiTheme="minorEastAsia" w:eastAsia="宋体" w:hAnsiTheme="minorEastAsia"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9" w15:restartNumberingAfterBreak="0">
    <w:nsid w:val="72487AEF"/>
    <w:multiLevelType w:val="multilevel"/>
    <w:tmpl w:val="72487AEF"/>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0" w15:restartNumberingAfterBreak="0">
    <w:nsid w:val="728231A6"/>
    <w:multiLevelType w:val="multilevel"/>
    <w:tmpl w:val="728231A6"/>
    <w:lvl w:ilvl="0">
      <w:start w:val="1"/>
      <w:numFmt w:val="decimal"/>
      <w:suff w:val="nothing"/>
      <w:lvlText w:val="(%1)"/>
      <w:lvlJc w:val="left"/>
      <w:pPr>
        <w:ind w:left="420" w:hanging="420"/>
      </w:pPr>
      <w:rPr>
        <w:rFonts w:ascii="宋体" w:eastAsia="宋体" w:hAnsi="宋体"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1" w15:restartNumberingAfterBreak="0">
    <w:nsid w:val="73D03482"/>
    <w:multiLevelType w:val="hybridMultilevel"/>
    <w:tmpl w:val="55D07812"/>
    <w:lvl w:ilvl="0" w:tplc="1410EAB2">
      <w:start w:val="1"/>
      <w:numFmt w:val="decimal"/>
      <w:suff w:val="nothing"/>
      <w:lvlText w:val="(%1)."/>
      <w:lvlJc w:val="left"/>
      <w:pPr>
        <w:ind w:left="420" w:hanging="420"/>
      </w:pPr>
      <w:rPr>
        <w:rFonts w:asciiTheme="minorEastAsia" w:eastAsia="宋体" w:hAnsiTheme="minorEastAsia" w:hint="eastAsia"/>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2" w15:restartNumberingAfterBreak="0">
    <w:nsid w:val="761C7169"/>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3" w15:restartNumberingAfterBreak="0">
    <w:nsid w:val="77122E21"/>
    <w:multiLevelType w:val="hybridMultilevel"/>
    <w:tmpl w:val="4626A8FA"/>
    <w:lvl w:ilvl="0" w:tplc="52AAD156">
      <w:start w:val="1"/>
      <w:numFmt w:val="decimal"/>
      <w:suff w:val="nothing"/>
      <w:lvlText w:val="(%1)."/>
      <w:lvlJc w:val="left"/>
      <w:pPr>
        <w:ind w:left="420" w:hanging="420"/>
      </w:pPr>
      <w:rPr>
        <w:rFonts w:asciiTheme="minorEastAsia" w:eastAsia="宋体" w:hAnsiTheme="minorEastAsia"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4" w15:restartNumberingAfterBreak="0">
    <w:nsid w:val="7A6140D4"/>
    <w:multiLevelType w:val="multilevel"/>
    <w:tmpl w:val="7A6140D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5" w15:restartNumberingAfterBreak="0">
    <w:nsid w:val="7B1535DF"/>
    <w:multiLevelType w:val="hybridMultilevel"/>
    <w:tmpl w:val="D6EA5BE0"/>
    <w:lvl w:ilvl="0" w:tplc="066A76A4">
      <w:start w:val="1"/>
      <w:numFmt w:val="decimal"/>
      <w:suff w:val="nothing"/>
      <w:lvlText w:val="(%1)."/>
      <w:lvlJc w:val="left"/>
      <w:pPr>
        <w:ind w:left="420" w:hanging="420"/>
      </w:pPr>
      <w:rPr>
        <w:rFonts w:asciiTheme="minorEastAsia" w:eastAsia="宋体" w:hAnsiTheme="minorEastAsia"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6" w15:restartNumberingAfterBreak="0">
    <w:nsid w:val="7B1E025F"/>
    <w:multiLevelType w:val="multilevel"/>
    <w:tmpl w:val="7B1E025F"/>
    <w:lvl w:ilvl="0">
      <w:start w:val="1"/>
      <w:numFmt w:val="decimal"/>
      <w:lvlText w:val="%1、"/>
      <w:lvlJc w:val="left"/>
      <w:pPr>
        <w:ind w:left="420" w:hanging="420"/>
      </w:pPr>
      <w:rPr>
        <w:rFonts w:ascii="宋体" w:eastAsia="宋体" w:hAnsi="宋体" w:hint="eastAsia"/>
      </w:rPr>
    </w:lvl>
    <w:lvl w:ilvl="1">
      <w:start w:val="1"/>
      <w:numFmt w:val="decimal"/>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7" w15:restartNumberingAfterBreak="0">
    <w:nsid w:val="7B8578B2"/>
    <w:multiLevelType w:val="hybridMultilevel"/>
    <w:tmpl w:val="8CB0AC08"/>
    <w:lvl w:ilvl="0" w:tplc="294EEB6E">
      <w:start w:val="1"/>
      <w:numFmt w:val="decimal"/>
      <w:suff w:val="nothing"/>
      <w:lvlText w:val="(%1)."/>
      <w:lvlJc w:val="left"/>
      <w:pPr>
        <w:ind w:left="420" w:hanging="420"/>
      </w:pPr>
      <w:rPr>
        <w:rFonts w:asciiTheme="minorEastAsia" w:eastAsia="宋体" w:hAnsiTheme="minorEastAsia" w:hint="eastAsia"/>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8" w15:restartNumberingAfterBreak="0">
    <w:nsid w:val="7D8E7695"/>
    <w:multiLevelType w:val="hybridMultilevel"/>
    <w:tmpl w:val="3AF65612"/>
    <w:lvl w:ilvl="0" w:tplc="8EC8F3A2">
      <w:start w:val="1"/>
      <w:numFmt w:val="decimal"/>
      <w:suff w:val="nothing"/>
      <w:lvlText w:val="(%1)."/>
      <w:lvlJc w:val="left"/>
      <w:pPr>
        <w:ind w:left="420" w:hanging="420"/>
      </w:pPr>
      <w:rPr>
        <w:rFonts w:asciiTheme="minorEastAsia" w:eastAsia="宋体" w:hAnsiTheme="minorEastAsia"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9" w15:restartNumberingAfterBreak="0">
    <w:nsid w:val="7F037A0E"/>
    <w:multiLevelType w:val="hybridMultilevel"/>
    <w:tmpl w:val="A81A71C6"/>
    <w:lvl w:ilvl="0" w:tplc="6102050A">
      <w:start w:val="1"/>
      <w:numFmt w:val="decimal"/>
      <w:suff w:val="nothing"/>
      <w:lvlText w:val="(%1)."/>
      <w:lvlJc w:val="left"/>
      <w:pPr>
        <w:ind w:left="420" w:hanging="420"/>
      </w:pPr>
      <w:rPr>
        <w:rFonts w:asciiTheme="minorEastAsia" w:eastAsia="宋体" w:hAnsiTheme="minorEastAsia" w:hint="eastAsia"/>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0" w15:restartNumberingAfterBreak="0">
    <w:nsid w:val="7F76208E"/>
    <w:multiLevelType w:val="hybridMultilevel"/>
    <w:tmpl w:val="5CA23F5C"/>
    <w:lvl w:ilvl="0" w:tplc="FE687358">
      <w:start w:val="1"/>
      <w:numFmt w:val="decimal"/>
      <w:suff w:val="nothing"/>
      <w:lvlText w:val="(%1)."/>
      <w:lvlJc w:val="left"/>
      <w:pPr>
        <w:ind w:left="420" w:hanging="420"/>
      </w:pPr>
      <w:rPr>
        <w:rFonts w:asciiTheme="minorEastAsia" w:eastAsia="宋体" w:hAnsiTheme="minorEastAsia"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1" w15:restartNumberingAfterBreak="0">
    <w:nsid w:val="7FF361BF"/>
    <w:multiLevelType w:val="hybridMultilevel"/>
    <w:tmpl w:val="8DD8F84C"/>
    <w:lvl w:ilvl="0" w:tplc="B816B926">
      <w:start w:val="1"/>
      <w:numFmt w:val="decimal"/>
      <w:suff w:val="nothing"/>
      <w:lvlText w:val="(%1)."/>
      <w:lvlJc w:val="left"/>
      <w:pPr>
        <w:ind w:left="420" w:hanging="420"/>
      </w:pPr>
      <w:rPr>
        <w:rFonts w:asciiTheme="minorEastAsia" w:eastAsia="宋体" w:hAnsiTheme="minorEastAsia" w:hint="eastAsia"/>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734158313">
    <w:abstractNumId w:val="54"/>
  </w:num>
  <w:num w:numId="2" w16cid:durableId="239563310">
    <w:abstractNumId w:val="31"/>
  </w:num>
  <w:num w:numId="3" w16cid:durableId="783384545">
    <w:abstractNumId w:val="20"/>
  </w:num>
  <w:num w:numId="4" w16cid:durableId="1422944645">
    <w:abstractNumId w:val="33"/>
  </w:num>
  <w:num w:numId="5" w16cid:durableId="1167860420">
    <w:abstractNumId w:val="76"/>
  </w:num>
  <w:num w:numId="6" w16cid:durableId="2142527362">
    <w:abstractNumId w:val="17"/>
  </w:num>
  <w:num w:numId="7" w16cid:durableId="63571262">
    <w:abstractNumId w:val="56"/>
  </w:num>
  <w:num w:numId="8" w16cid:durableId="1028022316">
    <w:abstractNumId w:val="42"/>
  </w:num>
  <w:num w:numId="9" w16cid:durableId="169988635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98741637">
    <w:abstractNumId w:val="26"/>
  </w:num>
  <w:num w:numId="11" w16cid:durableId="1109739229">
    <w:abstractNumId w:val="30"/>
  </w:num>
  <w:num w:numId="12" w16cid:durableId="1318071516">
    <w:abstractNumId w:val="110"/>
  </w:num>
  <w:num w:numId="13" w16cid:durableId="269552484">
    <w:abstractNumId w:val="68"/>
  </w:num>
  <w:num w:numId="14" w16cid:durableId="940527070">
    <w:abstractNumId w:val="62"/>
  </w:num>
  <w:num w:numId="15" w16cid:durableId="109170130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36092425">
    <w:abstractNumId w:val="82"/>
  </w:num>
  <w:num w:numId="17" w16cid:durableId="102722024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43735140">
    <w:abstractNumId w:val="109"/>
  </w:num>
  <w:num w:numId="19" w16cid:durableId="923341545">
    <w:abstractNumId w:val="16"/>
  </w:num>
  <w:num w:numId="20" w16cid:durableId="1200897979">
    <w:abstractNumId w:val="43"/>
  </w:num>
  <w:num w:numId="21" w16cid:durableId="672420330">
    <w:abstractNumId w:val="102"/>
  </w:num>
  <w:num w:numId="22" w16cid:durableId="277757568">
    <w:abstractNumId w:val="3"/>
  </w:num>
  <w:num w:numId="23" w16cid:durableId="154803036">
    <w:abstractNumId w:val="47"/>
  </w:num>
  <w:num w:numId="24" w16cid:durableId="1810783898">
    <w:abstractNumId w:val="114"/>
  </w:num>
  <w:num w:numId="25" w16cid:durableId="833766918">
    <w:abstractNumId w:val="90"/>
  </w:num>
  <w:num w:numId="26" w16cid:durableId="333918952">
    <w:abstractNumId w:val="32"/>
  </w:num>
  <w:num w:numId="27" w16cid:durableId="288633024">
    <w:abstractNumId w:val="100"/>
  </w:num>
  <w:num w:numId="28" w16cid:durableId="737703838">
    <w:abstractNumId w:val="63"/>
  </w:num>
  <w:num w:numId="29" w16cid:durableId="655114815">
    <w:abstractNumId w:val="116"/>
  </w:num>
  <w:num w:numId="30" w16cid:durableId="1775591770">
    <w:abstractNumId w:val="81"/>
  </w:num>
  <w:num w:numId="31" w16cid:durableId="975379145">
    <w:abstractNumId w:val="57"/>
  </w:num>
  <w:num w:numId="32" w16cid:durableId="46295825">
    <w:abstractNumId w:val="35"/>
  </w:num>
  <w:num w:numId="33" w16cid:durableId="555705791">
    <w:abstractNumId w:val="55"/>
  </w:num>
  <w:num w:numId="34" w16cid:durableId="1398360571">
    <w:abstractNumId w:val="44"/>
  </w:num>
  <w:num w:numId="35" w16cid:durableId="1054700946">
    <w:abstractNumId w:val="107"/>
  </w:num>
  <w:num w:numId="36" w16cid:durableId="967933299">
    <w:abstractNumId w:val="89"/>
  </w:num>
  <w:num w:numId="37" w16cid:durableId="1488403703">
    <w:abstractNumId w:val="23"/>
  </w:num>
  <w:num w:numId="38" w16cid:durableId="355620131">
    <w:abstractNumId w:val="34"/>
  </w:num>
  <w:num w:numId="39" w16cid:durableId="767623508">
    <w:abstractNumId w:val="27"/>
  </w:num>
  <w:num w:numId="40" w16cid:durableId="1250118129">
    <w:abstractNumId w:val="11"/>
  </w:num>
  <w:num w:numId="41" w16cid:durableId="1935361755">
    <w:abstractNumId w:val="10"/>
  </w:num>
  <w:num w:numId="42" w16cid:durableId="826022382">
    <w:abstractNumId w:val="24"/>
  </w:num>
  <w:num w:numId="43" w16cid:durableId="1084716935">
    <w:abstractNumId w:val="36"/>
  </w:num>
  <w:num w:numId="44" w16cid:durableId="664362153">
    <w:abstractNumId w:val="94"/>
  </w:num>
  <w:num w:numId="45" w16cid:durableId="1765492522">
    <w:abstractNumId w:val="18"/>
  </w:num>
  <w:num w:numId="46" w16cid:durableId="1213999242">
    <w:abstractNumId w:val="25"/>
  </w:num>
  <w:num w:numId="47" w16cid:durableId="379204661">
    <w:abstractNumId w:val="53"/>
  </w:num>
  <w:num w:numId="48" w16cid:durableId="2025744834">
    <w:abstractNumId w:val="83"/>
  </w:num>
  <w:num w:numId="49" w16cid:durableId="771390416">
    <w:abstractNumId w:val="108"/>
  </w:num>
  <w:num w:numId="50" w16cid:durableId="221672190">
    <w:abstractNumId w:val="113"/>
  </w:num>
  <w:num w:numId="51" w16cid:durableId="1908176969">
    <w:abstractNumId w:val="28"/>
  </w:num>
  <w:num w:numId="52" w16cid:durableId="1556699333">
    <w:abstractNumId w:val="86"/>
  </w:num>
  <w:num w:numId="53" w16cid:durableId="1466317114">
    <w:abstractNumId w:val="9"/>
  </w:num>
  <w:num w:numId="54" w16cid:durableId="1401978091">
    <w:abstractNumId w:val="87"/>
  </w:num>
  <w:num w:numId="55" w16cid:durableId="650403086">
    <w:abstractNumId w:val="97"/>
  </w:num>
  <w:num w:numId="56" w16cid:durableId="972253793">
    <w:abstractNumId w:val="75"/>
  </w:num>
  <w:num w:numId="57" w16cid:durableId="2015379993">
    <w:abstractNumId w:val="99"/>
  </w:num>
  <w:num w:numId="58" w16cid:durableId="700594643">
    <w:abstractNumId w:val="22"/>
  </w:num>
  <w:num w:numId="59" w16cid:durableId="1165510985">
    <w:abstractNumId w:val="72"/>
  </w:num>
  <w:num w:numId="60" w16cid:durableId="366219438">
    <w:abstractNumId w:val="48"/>
  </w:num>
  <w:num w:numId="61" w16cid:durableId="618875564">
    <w:abstractNumId w:val="79"/>
  </w:num>
  <w:num w:numId="62" w16cid:durableId="1825320071">
    <w:abstractNumId w:val="15"/>
  </w:num>
  <w:num w:numId="63" w16cid:durableId="1440296369">
    <w:abstractNumId w:val="115"/>
  </w:num>
  <w:num w:numId="64" w16cid:durableId="1378507903">
    <w:abstractNumId w:val="120"/>
  </w:num>
  <w:num w:numId="65" w16cid:durableId="859705937">
    <w:abstractNumId w:val="105"/>
  </w:num>
  <w:num w:numId="66" w16cid:durableId="1219705732">
    <w:abstractNumId w:val="21"/>
  </w:num>
  <w:num w:numId="67" w16cid:durableId="657460071">
    <w:abstractNumId w:val="65"/>
  </w:num>
  <w:num w:numId="68" w16cid:durableId="374890726">
    <w:abstractNumId w:val="45"/>
  </w:num>
  <w:num w:numId="69" w16cid:durableId="903687953">
    <w:abstractNumId w:val="96"/>
  </w:num>
  <w:num w:numId="70" w16cid:durableId="191460009">
    <w:abstractNumId w:val="50"/>
  </w:num>
  <w:num w:numId="71" w16cid:durableId="888960458">
    <w:abstractNumId w:val="118"/>
  </w:num>
  <w:num w:numId="72" w16cid:durableId="1251699133">
    <w:abstractNumId w:val="59"/>
  </w:num>
  <w:num w:numId="73" w16cid:durableId="853300463">
    <w:abstractNumId w:val="37"/>
  </w:num>
  <w:num w:numId="74" w16cid:durableId="1299611342">
    <w:abstractNumId w:val="0"/>
  </w:num>
  <w:num w:numId="75" w16cid:durableId="1259561088">
    <w:abstractNumId w:val="67"/>
  </w:num>
  <w:num w:numId="76" w16cid:durableId="597374858">
    <w:abstractNumId w:val="67"/>
  </w:num>
  <w:num w:numId="77" w16cid:durableId="1706707730">
    <w:abstractNumId w:val="119"/>
  </w:num>
  <w:num w:numId="78" w16cid:durableId="1438602494">
    <w:abstractNumId w:val="98"/>
  </w:num>
  <w:num w:numId="79" w16cid:durableId="1126200290">
    <w:abstractNumId w:val="1"/>
  </w:num>
  <w:num w:numId="80" w16cid:durableId="660891069">
    <w:abstractNumId w:val="80"/>
  </w:num>
  <w:num w:numId="81" w16cid:durableId="1832015312">
    <w:abstractNumId w:val="104"/>
  </w:num>
  <w:num w:numId="82" w16cid:durableId="831603852">
    <w:abstractNumId w:val="121"/>
  </w:num>
  <w:num w:numId="83" w16cid:durableId="984965588">
    <w:abstractNumId w:val="70"/>
  </w:num>
  <w:num w:numId="84" w16cid:durableId="1841191442">
    <w:abstractNumId w:val="58"/>
  </w:num>
  <w:num w:numId="85" w16cid:durableId="1686976201">
    <w:abstractNumId w:val="74"/>
  </w:num>
  <w:num w:numId="86" w16cid:durableId="483157753">
    <w:abstractNumId w:val="14"/>
  </w:num>
  <w:num w:numId="87" w16cid:durableId="497382214">
    <w:abstractNumId w:val="91"/>
  </w:num>
  <w:num w:numId="88" w16cid:durableId="1918053789">
    <w:abstractNumId w:val="40"/>
  </w:num>
  <w:num w:numId="89" w16cid:durableId="1344279444">
    <w:abstractNumId w:val="19"/>
  </w:num>
  <w:num w:numId="90" w16cid:durableId="1723555519">
    <w:abstractNumId w:val="19"/>
  </w:num>
  <w:num w:numId="91" w16cid:durableId="1439788854">
    <w:abstractNumId w:val="112"/>
  </w:num>
  <w:num w:numId="92" w16cid:durableId="326056746">
    <w:abstractNumId w:val="84"/>
  </w:num>
  <w:num w:numId="93" w16cid:durableId="1264337113">
    <w:abstractNumId w:val="93"/>
  </w:num>
  <w:num w:numId="94" w16cid:durableId="395082365">
    <w:abstractNumId w:val="2"/>
  </w:num>
  <w:num w:numId="95" w16cid:durableId="1517034986">
    <w:abstractNumId w:val="69"/>
  </w:num>
  <w:num w:numId="96" w16cid:durableId="902788623">
    <w:abstractNumId w:val="111"/>
  </w:num>
  <w:num w:numId="97" w16cid:durableId="2001812374">
    <w:abstractNumId w:val="64"/>
  </w:num>
  <w:num w:numId="98" w16cid:durableId="63574029">
    <w:abstractNumId w:val="71"/>
  </w:num>
  <w:num w:numId="99" w16cid:durableId="1405103092">
    <w:abstractNumId w:val="5"/>
  </w:num>
  <w:num w:numId="100" w16cid:durableId="2007395082">
    <w:abstractNumId w:val="92"/>
  </w:num>
  <w:num w:numId="101" w16cid:durableId="1845826851">
    <w:abstractNumId w:val="106"/>
  </w:num>
  <w:num w:numId="102" w16cid:durableId="577593407">
    <w:abstractNumId w:val="66"/>
  </w:num>
  <w:num w:numId="103" w16cid:durableId="2065173173">
    <w:abstractNumId w:val="117"/>
  </w:num>
  <w:num w:numId="104" w16cid:durableId="2027248381">
    <w:abstractNumId w:val="29"/>
  </w:num>
  <w:num w:numId="105" w16cid:durableId="1535342614">
    <w:abstractNumId w:val="95"/>
  </w:num>
  <w:num w:numId="106" w16cid:durableId="579413102">
    <w:abstractNumId w:val="8"/>
  </w:num>
  <w:num w:numId="107" w16cid:durableId="1164124661">
    <w:abstractNumId w:val="38"/>
  </w:num>
  <w:num w:numId="108" w16cid:durableId="1924797708">
    <w:abstractNumId w:val="78"/>
  </w:num>
  <w:num w:numId="109" w16cid:durableId="1457916012">
    <w:abstractNumId w:val="88"/>
  </w:num>
  <w:num w:numId="110" w16cid:durableId="1630697703">
    <w:abstractNumId w:val="46"/>
  </w:num>
  <w:num w:numId="111" w16cid:durableId="1129669695">
    <w:abstractNumId w:val="51"/>
  </w:num>
  <w:num w:numId="112" w16cid:durableId="419640755">
    <w:abstractNumId w:val="4"/>
  </w:num>
  <w:num w:numId="113" w16cid:durableId="1403334106">
    <w:abstractNumId w:val="41"/>
  </w:num>
  <w:num w:numId="114" w16cid:durableId="1668440511">
    <w:abstractNumId w:val="6"/>
  </w:num>
  <w:num w:numId="115" w16cid:durableId="523441346">
    <w:abstractNumId w:val="103"/>
  </w:num>
  <w:num w:numId="116" w16cid:durableId="812678695">
    <w:abstractNumId w:val="60"/>
  </w:num>
  <w:num w:numId="117" w16cid:durableId="1993169015">
    <w:abstractNumId w:val="7"/>
  </w:num>
  <w:num w:numId="118" w16cid:durableId="797264173">
    <w:abstractNumId w:val="73"/>
  </w:num>
  <w:num w:numId="119" w16cid:durableId="1065564637">
    <w:abstractNumId w:val="101"/>
  </w:num>
  <w:num w:numId="120" w16cid:durableId="1927104976">
    <w:abstractNumId w:val="12"/>
  </w:num>
  <w:num w:numId="121" w16cid:durableId="348872275">
    <w:abstractNumId w:val="52"/>
  </w:num>
  <w:num w:numId="122" w16cid:durableId="1429352072">
    <w:abstractNumId w:val="85"/>
  </w:num>
  <w:num w:numId="123" w16cid:durableId="118845143">
    <w:abstractNumId w:val="61"/>
  </w:num>
  <w:num w:numId="124" w16cid:durableId="2061007727">
    <w:abstractNumId w:val="13"/>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attachedTemplate r:id="rId1"/>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2U1NmM5OTU2ZmY4Y2RiYTg3ZTQ2ZGQyMTliYjRmY2MifQ=="/>
    <w:docVar w:name="Disclosure_Version" w:val="true"/>
  </w:docVars>
  <w:rsids>
    <w:rsidRoot w:val="00DD256F"/>
    <w:rsid w:val="000005A6"/>
    <w:rsid w:val="000006AC"/>
    <w:rsid w:val="0000102D"/>
    <w:rsid w:val="0000104D"/>
    <w:rsid w:val="00001469"/>
    <w:rsid w:val="000015C9"/>
    <w:rsid w:val="00001B33"/>
    <w:rsid w:val="00001E8C"/>
    <w:rsid w:val="000021DD"/>
    <w:rsid w:val="0000230E"/>
    <w:rsid w:val="000023F5"/>
    <w:rsid w:val="00002545"/>
    <w:rsid w:val="000027FB"/>
    <w:rsid w:val="000028BC"/>
    <w:rsid w:val="00002973"/>
    <w:rsid w:val="000033A6"/>
    <w:rsid w:val="000033CD"/>
    <w:rsid w:val="0000372D"/>
    <w:rsid w:val="00003C39"/>
    <w:rsid w:val="0000464C"/>
    <w:rsid w:val="000048B5"/>
    <w:rsid w:val="00004ADF"/>
    <w:rsid w:val="00004E58"/>
    <w:rsid w:val="00005071"/>
    <w:rsid w:val="000052A5"/>
    <w:rsid w:val="0000568D"/>
    <w:rsid w:val="000061CF"/>
    <w:rsid w:val="00006CCB"/>
    <w:rsid w:val="00007207"/>
    <w:rsid w:val="000075B3"/>
    <w:rsid w:val="00007BBD"/>
    <w:rsid w:val="00010147"/>
    <w:rsid w:val="0001033D"/>
    <w:rsid w:val="0001041D"/>
    <w:rsid w:val="0001046B"/>
    <w:rsid w:val="000110A4"/>
    <w:rsid w:val="00011B68"/>
    <w:rsid w:val="000121BF"/>
    <w:rsid w:val="000122EE"/>
    <w:rsid w:val="00012469"/>
    <w:rsid w:val="00012702"/>
    <w:rsid w:val="000129E2"/>
    <w:rsid w:val="00012AFC"/>
    <w:rsid w:val="000130AF"/>
    <w:rsid w:val="000133F7"/>
    <w:rsid w:val="000139E7"/>
    <w:rsid w:val="00013FF0"/>
    <w:rsid w:val="000140AF"/>
    <w:rsid w:val="000141F9"/>
    <w:rsid w:val="00014263"/>
    <w:rsid w:val="00014850"/>
    <w:rsid w:val="0001497A"/>
    <w:rsid w:val="00014DF5"/>
    <w:rsid w:val="000155A0"/>
    <w:rsid w:val="000159B6"/>
    <w:rsid w:val="00015DF7"/>
    <w:rsid w:val="00015F71"/>
    <w:rsid w:val="00016321"/>
    <w:rsid w:val="00016568"/>
    <w:rsid w:val="00016625"/>
    <w:rsid w:val="00016D21"/>
    <w:rsid w:val="000176B6"/>
    <w:rsid w:val="00017D54"/>
    <w:rsid w:val="00020074"/>
    <w:rsid w:val="000203A5"/>
    <w:rsid w:val="000205AB"/>
    <w:rsid w:val="00020605"/>
    <w:rsid w:val="00020728"/>
    <w:rsid w:val="00020D46"/>
    <w:rsid w:val="00020DB9"/>
    <w:rsid w:val="0002110B"/>
    <w:rsid w:val="00021700"/>
    <w:rsid w:val="00021BD4"/>
    <w:rsid w:val="00021D80"/>
    <w:rsid w:val="000224B7"/>
    <w:rsid w:val="000225C5"/>
    <w:rsid w:val="0002292A"/>
    <w:rsid w:val="00022EDA"/>
    <w:rsid w:val="0002301E"/>
    <w:rsid w:val="000231BD"/>
    <w:rsid w:val="000231DC"/>
    <w:rsid w:val="0002340B"/>
    <w:rsid w:val="000239D2"/>
    <w:rsid w:val="00023BEB"/>
    <w:rsid w:val="00023C73"/>
    <w:rsid w:val="00023D67"/>
    <w:rsid w:val="00023D7B"/>
    <w:rsid w:val="00024B79"/>
    <w:rsid w:val="00025469"/>
    <w:rsid w:val="00025E29"/>
    <w:rsid w:val="00025EAF"/>
    <w:rsid w:val="0002612F"/>
    <w:rsid w:val="00026A17"/>
    <w:rsid w:val="00027348"/>
    <w:rsid w:val="0002746E"/>
    <w:rsid w:val="000275C9"/>
    <w:rsid w:val="0002798D"/>
    <w:rsid w:val="000301D0"/>
    <w:rsid w:val="0003055A"/>
    <w:rsid w:val="00031700"/>
    <w:rsid w:val="000317CB"/>
    <w:rsid w:val="000317E9"/>
    <w:rsid w:val="00031B72"/>
    <w:rsid w:val="0003243D"/>
    <w:rsid w:val="00032BA9"/>
    <w:rsid w:val="00032FA8"/>
    <w:rsid w:val="0003337C"/>
    <w:rsid w:val="000337FB"/>
    <w:rsid w:val="00033EBB"/>
    <w:rsid w:val="0003408C"/>
    <w:rsid w:val="0003409A"/>
    <w:rsid w:val="00034289"/>
    <w:rsid w:val="000343F2"/>
    <w:rsid w:val="0003468B"/>
    <w:rsid w:val="00034C0D"/>
    <w:rsid w:val="00034D26"/>
    <w:rsid w:val="00035352"/>
    <w:rsid w:val="00035464"/>
    <w:rsid w:val="0003626E"/>
    <w:rsid w:val="00036357"/>
    <w:rsid w:val="00036813"/>
    <w:rsid w:val="00037DB8"/>
    <w:rsid w:val="00037EBC"/>
    <w:rsid w:val="000405A2"/>
    <w:rsid w:val="00040830"/>
    <w:rsid w:val="00040925"/>
    <w:rsid w:val="000411AF"/>
    <w:rsid w:val="0004146D"/>
    <w:rsid w:val="00041525"/>
    <w:rsid w:val="00041800"/>
    <w:rsid w:val="0004191A"/>
    <w:rsid w:val="00041AC3"/>
    <w:rsid w:val="00042574"/>
    <w:rsid w:val="000429ED"/>
    <w:rsid w:val="00043335"/>
    <w:rsid w:val="000436FE"/>
    <w:rsid w:val="000438A3"/>
    <w:rsid w:val="00043C00"/>
    <w:rsid w:val="00043E96"/>
    <w:rsid w:val="00043EED"/>
    <w:rsid w:val="00044579"/>
    <w:rsid w:val="000446C9"/>
    <w:rsid w:val="00044D1E"/>
    <w:rsid w:val="00044DDC"/>
    <w:rsid w:val="00044FE0"/>
    <w:rsid w:val="000451ED"/>
    <w:rsid w:val="000453CA"/>
    <w:rsid w:val="00045DCB"/>
    <w:rsid w:val="00045F39"/>
    <w:rsid w:val="00046637"/>
    <w:rsid w:val="000468DA"/>
    <w:rsid w:val="00046B18"/>
    <w:rsid w:val="00046BF9"/>
    <w:rsid w:val="00046C4A"/>
    <w:rsid w:val="00046DD2"/>
    <w:rsid w:val="000474D7"/>
    <w:rsid w:val="00047621"/>
    <w:rsid w:val="00047AE9"/>
    <w:rsid w:val="000500E7"/>
    <w:rsid w:val="000501F1"/>
    <w:rsid w:val="00050236"/>
    <w:rsid w:val="00050420"/>
    <w:rsid w:val="000505C7"/>
    <w:rsid w:val="000506CB"/>
    <w:rsid w:val="000517E2"/>
    <w:rsid w:val="00051BE5"/>
    <w:rsid w:val="000526A4"/>
    <w:rsid w:val="00052B89"/>
    <w:rsid w:val="00052D38"/>
    <w:rsid w:val="00052FFA"/>
    <w:rsid w:val="0005335F"/>
    <w:rsid w:val="000534F5"/>
    <w:rsid w:val="00053E2E"/>
    <w:rsid w:val="00053F3F"/>
    <w:rsid w:val="000543C0"/>
    <w:rsid w:val="000544CE"/>
    <w:rsid w:val="00054612"/>
    <w:rsid w:val="0005486C"/>
    <w:rsid w:val="00054D34"/>
    <w:rsid w:val="00055534"/>
    <w:rsid w:val="00055816"/>
    <w:rsid w:val="00055C3F"/>
    <w:rsid w:val="000561D7"/>
    <w:rsid w:val="000562C7"/>
    <w:rsid w:val="000569CC"/>
    <w:rsid w:val="00056B8B"/>
    <w:rsid w:val="0005719E"/>
    <w:rsid w:val="000578C2"/>
    <w:rsid w:val="00057AD2"/>
    <w:rsid w:val="0006013C"/>
    <w:rsid w:val="00060342"/>
    <w:rsid w:val="000604A6"/>
    <w:rsid w:val="00060967"/>
    <w:rsid w:val="00060C85"/>
    <w:rsid w:val="00062017"/>
    <w:rsid w:val="000622D5"/>
    <w:rsid w:val="0006271B"/>
    <w:rsid w:val="0006271F"/>
    <w:rsid w:val="00062AA3"/>
    <w:rsid w:val="00062D8E"/>
    <w:rsid w:val="00063342"/>
    <w:rsid w:val="000636DE"/>
    <w:rsid w:val="00063893"/>
    <w:rsid w:val="000639D3"/>
    <w:rsid w:val="00063A04"/>
    <w:rsid w:val="00063A13"/>
    <w:rsid w:val="00063B2A"/>
    <w:rsid w:val="00063EE6"/>
    <w:rsid w:val="0006463F"/>
    <w:rsid w:val="00064ADF"/>
    <w:rsid w:val="00064B4E"/>
    <w:rsid w:val="000658FD"/>
    <w:rsid w:val="00065914"/>
    <w:rsid w:val="00065B7B"/>
    <w:rsid w:val="00065D51"/>
    <w:rsid w:val="00066B5B"/>
    <w:rsid w:val="00066C7F"/>
    <w:rsid w:val="00066F8C"/>
    <w:rsid w:val="000670B7"/>
    <w:rsid w:val="0006751E"/>
    <w:rsid w:val="000677DE"/>
    <w:rsid w:val="00067AEB"/>
    <w:rsid w:val="00070B6A"/>
    <w:rsid w:val="00070D92"/>
    <w:rsid w:val="00070E4B"/>
    <w:rsid w:val="00071243"/>
    <w:rsid w:val="0007147E"/>
    <w:rsid w:val="00072361"/>
    <w:rsid w:val="0007246C"/>
    <w:rsid w:val="000729B8"/>
    <w:rsid w:val="00072D7F"/>
    <w:rsid w:val="0007305C"/>
    <w:rsid w:val="000730ED"/>
    <w:rsid w:val="000732D5"/>
    <w:rsid w:val="00073BC2"/>
    <w:rsid w:val="000745DB"/>
    <w:rsid w:val="00074C4E"/>
    <w:rsid w:val="0007507D"/>
    <w:rsid w:val="00075786"/>
    <w:rsid w:val="00075C45"/>
    <w:rsid w:val="00075E3A"/>
    <w:rsid w:val="00075E54"/>
    <w:rsid w:val="00076117"/>
    <w:rsid w:val="00076419"/>
    <w:rsid w:val="000764FD"/>
    <w:rsid w:val="00077397"/>
    <w:rsid w:val="000778E2"/>
    <w:rsid w:val="000778F7"/>
    <w:rsid w:val="00077E9F"/>
    <w:rsid w:val="0008036E"/>
    <w:rsid w:val="00080509"/>
    <w:rsid w:val="000805BB"/>
    <w:rsid w:val="000808F7"/>
    <w:rsid w:val="000808FF"/>
    <w:rsid w:val="0008095D"/>
    <w:rsid w:val="00080A0F"/>
    <w:rsid w:val="000816A2"/>
    <w:rsid w:val="00081D4A"/>
    <w:rsid w:val="0008231D"/>
    <w:rsid w:val="00082700"/>
    <w:rsid w:val="00082A1A"/>
    <w:rsid w:val="00082AB1"/>
    <w:rsid w:val="00082E5B"/>
    <w:rsid w:val="000830E6"/>
    <w:rsid w:val="0008328D"/>
    <w:rsid w:val="0008332B"/>
    <w:rsid w:val="00083749"/>
    <w:rsid w:val="000837F0"/>
    <w:rsid w:val="000839C3"/>
    <w:rsid w:val="00083C1E"/>
    <w:rsid w:val="00084008"/>
    <w:rsid w:val="000841ED"/>
    <w:rsid w:val="00084294"/>
    <w:rsid w:val="00084531"/>
    <w:rsid w:val="00084634"/>
    <w:rsid w:val="00084A03"/>
    <w:rsid w:val="00084A3C"/>
    <w:rsid w:val="00084F00"/>
    <w:rsid w:val="00085AAD"/>
    <w:rsid w:val="00085C6B"/>
    <w:rsid w:val="00086291"/>
    <w:rsid w:val="000866A2"/>
    <w:rsid w:val="000868AD"/>
    <w:rsid w:val="000872AC"/>
    <w:rsid w:val="000873AD"/>
    <w:rsid w:val="00087446"/>
    <w:rsid w:val="00087492"/>
    <w:rsid w:val="000877EF"/>
    <w:rsid w:val="00087AC9"/>
    <w:rsid w:val="00087B6F"/>
    <w:rsid w:val="00090454"/>
    <w:rsid w:val="00090892"/>
    <w:rsid w:val="00090ADC"/>
    <w:rsid w:val="00090C35"/>
    <w:rsid w:val="00090DA2"/>
    <w:rsid w:val="0009141B"/>
    <w:rsid w:val="000916CE"/>
    <w:rsid w:val="00091724"/>
    <w:rsid w:val="00091743"/>
    <w:rsid w:val="000918CD"/>
    <w:rsid w:val="00091930"/>
    <w:rsid w:val="00091E44"/>
    <w:rsid w:val="00092201"/>
    <w:rsid w:val="0009268B"/>
    <w:rsid w:val="000927B1"/>
    <w:rsid w:val="00092823"/>
    <w:rsid w:val="000928E8"/>
    <w:rsid w:val="00092C1E"/>
    <w:rsid w:val="00092F5A"/>
    <w:rsid w:val="00092FCE"/>
    <w:rsid w:val="000930A1"/>
    <w:rsid w:val="0009325E"/>
    <w:rsid w:val="000932D6"/>
    <w:rsid w:val="000934F7"/>
    <w:rsid w:val="000938DF"/>
    <w:rsid w:val="00094040"/>
    <w:rsid w:val="0009494E"/>
    <w:rsid w:val="00094993"/>
    <w:rsid w:val="00094A55"/>
    <w:rsid w:val="00094E56"/>
    <w:rsid w:val="00094FB5"/>
    <w:rsid w:val="00095082"/>
    <w:rsid w:val="000951D6"/>
    <w:rsid w:val="000952FD"/>
    <w:rsid w:val="00095382"/>
    <w:rsid w:val="00095388"/>
    <w:rsid w:val="000955B9"/>
    <w:rsid w:val="00095CD6"/>
    <w:rsid w:val="000960F5"/>
    <w:rsid w:val="00096275"/>
    <w:rsid w:val="00096746"/>
    <w:rsid w:val="00096E12"/>
    <w:rsid w:val="00097054"/>
    <w:rsid w:val="00097097"/>
    <w:rsid w:val="000974B2"/>
    <w:rsid w:val="000975B1"/>
    <w:rsid w:val="000976C1"/>
    <w:rsid w:val="00097B67"/>
    <w:rsid w:val="00097D61"/>
    <w:rsid w:val="00097E3C"/>
    <w:rsid w:val="000A04A2"/>
    <w:rsid w:val="000A0989"/>
    <w:rsid w:val="000A1026"/>
    <w:rsid w:val="000A11A5"/>
    <w:rsid w:val="000A1547"/>
    <w:rsid w:val="000A16A6"/>
    <w:rsid w:val="000A199C"/>
    <w:rsid w:val="000A1CBE"/>
    <w:rsid w:val="000A1FCE"/>
    <w:rsid w:val="000A21D4"/>
    <w:rsid w:val="000A25F6"/>
    <w:rsid w:val="000A26EE"/>
    <w:rsid w:val="000A3714"/>
    <w:rsid w:val="000A3DD1"/>
    <w:rsid w:val="000A4309"/>
    <w:rsid w:val="000A4AE5"/>
    <w:rsid w:val="000A4C9E"/>
    <w:rsid w:val="000A5126"/>
    <w:rsid w:val="000A5162"/>
    <w:rsid w:val="000A5A58"/>
    <w:rsid w:val="000A6410"/>
    <w:rsid w:val="000A67B6"/>
    <w:rsid w:val="000A6A70"/>
    <w:rsid w:val="000A6BFF"/>
    <w:rsid w:val="000A6F48"/>
    <w:rsid w:val="000A700E"/>
    <w:rsid w:val="000A7216"/>
    <w:rsid w:val="000A74D2"/>
    <w:rsid w:val="000A76D3"/>
    <w:rsid w:val="000A78D8"/>
    <w:rsid w:val="000A797B"/>
    <w:rsid w:val="000A799A"/>
    <w:rsid w:val="000A7C6A"/>
    <w:rsid w:val="000A7DFB"/>
    <w:rsid w:val="000A7FB5"/>
    <w:rsid w:val="000B014F"/>
    <w:rsid w:val="000B0362"/>
    <w:rsid w:val="000B09B7"/>
    <w:rsid w:val="000B0EE6"/>
    <w:rsid w:val="000B1AD4"/>
    <w:rsid w:val="000B1DB7"/>
    <w:rsid w:val="000B2333"/>
    <w:rsid w:val="000B23C8"/>
    <w:rsid w:val="000B263A"/>
    <w:rsid w:val="000B28AE"/>
    <w:rsid w:val="000B28F3"/>
    <w:rsid w:val="000B3182"/>
    <w:rsid w:val="000B31E0"/>
    <w:rsid w:val="000B3557"/>
    <w:rsid w:val="000B363F"/>
    <w:rsid w:val="000B3C1D"/>
    <w:rsid w:val="000B4A82"/>
    <w:rsid w:val="000B4B18"/>
    <w:rsid w:val="000B4BDA"/>
    <w:rsid w:val="000B5098"/>
    <w:rsid w:val="000B5590"/>
    <w:rsid w:val="000B5992"/>
    <w:rsid w:val="000B5B67"/>
    <w:rsid w:val="000B5F9A"/>
    <w:rsid w:val="000B60EE"/>
    <w:rsid w:val="000B6B2E"/>
    <w:rsid w:val="000B6BC7"/>
    <w:rsid w:val="000B6C66"/>
    <w:rsid w:val="000B717E"/>
    <w:rsid w:val="000C0038"/>
    <w:rsid w:val="000C01B8"/>
    <w:rsid w:val="000C01CC"/>
    <w:rsid w:val="000C0519"/>
    <w:rsid w:val="000C063C"/>
    <w:rsid w:val="000C0C72"/>
    <w:rsid w:val="000C0D45"/>
    <w:rsid w:val="000C0F63"/>
    <w:rsid w:val="000C1CEC"/>
    <w:rsid w:val="000C2197"/>
    <w:rsid w:val="000C25F5"/>
    <w:rsid w:val="000C26F5"/>
    <w:rsid w:val="000C29DF"/>
    <w:rsid w:val="000C2C2E"/>
    <w:rsid w:val="000C3232"/>
    <w:rsid w:val="000C37A8"/>
    <w:rsid w:val="000C3A06"/>
    <w:rsid w:val="000C3D52"/>
    <w:rsid w:val="000C40B3"/>
    <w:rsid w:val="000C41A4"/>
    <w:rsid w:val="000C4401"/>
    <w:rsid w:val="000C4768"/>
    <w:rsid w:val="000C4B1F"/>
    <w:rsid w:val="000C4C03"/>
    <w:rsid w:val="000C51AC"/>
    <w:rsid w:val="000C52A2"/>
    <w:rsid w:val="000C5A57"/>
    <w:rsid w:val="000C5B58"/>
    <w:rsid w:val="000C5B78"/>
    <w:rsid w:val="000C5CD9"/>
    <w:rsid w:val="000C60FC"/>
    <w:rsid w:val="000C63C4"/>
    <w:rsid w:val="000C6560"/>
    <w:rsid w:val="000C67CD"/>
    <w:rsid w:val="000C698C"/>
    <w:rsid w:val="000C6A05"/>
    <w:rsid w:val="000C6DAE"/>
    <w:rsid w:val="000C7371"/>
    <w:rsid w:val="000C7691"/>
    <w:rsid w:val="000C7889"/>
    <w:rsid w:val="000C7C71"/>
    <w:rsid w:val="000C7D9C"/>
    <w:rsid w:val="000C7DF8"/>
    <w:rsid w:val="000C7F30"/>
    <w:rsid w:val="000D057C"/>
    <w:rsid w:val="000D0BE9"/>
    <w:rsid w:val="000D0E23"/>
    <w:rsid w:val="000D1028"/>
    <w:rsid w:val="000D14E3"/>
    <w:rsid w:val="000D15CB"/>
    <w:rsid w:val="000D1B55"/>
    <w:rsid w:val="000D1E55"/>
    <w:rsid w:val="000D26CD"/>
    <w:rsid w:val="000D28CF"/>
    <w:rsid w:val="000D29E2"/>
    <w:rsid w:val="000D2C5E"/>
    <w:rsid w:val="000D2F52"/>
    <w:rsid w:val="000D3881"/>
    <w:rsid w:val="000D3B03"/>
    <w:rsid w:val="000D3B07"/>
    <w:rsid w:val="000D4964"/>
    <w:rsid w:val="000D49EB"/>
    <w:rsid w:val="000D5454"/>
    <w:rsid w:val="000D55C3"/>
    <w:rsid w:val="000D5A34"/>
    <w:rsid w:val="000D5D3B"/>
    <w:rsid w:val="000D5D86"/>
    <w:rsid w:val="000D5DC0"/>
    <w:rsid w:val="000D61FD"/>
    <w:rsid w:val="000D636E"/>
    <w:rsid w:val="000D6BCB"/>
    <w:rsid w:val="000D6D8F"/>
    <w:rsid w:val="000D7213"/>
    <w:rsid w:val="000D7307"/>
    <w:rsid w:val="000D7617"/>
    <w:rsid w:val="000D77D1"/>
    <w:rsid w:val="000D7885"/>
    <w:rsid w:val="000D7ABF"/>
    <w:rsid w:val="000D7B71"/>
    <w:rsid w:val="000E0052"/>
    <w:rsid w:val="000E01A1"/>
    <w:rsid w:val="000E073D"/>
    <w:rsid w:val="000E0C83"/>
    <w:rsid w:val="000E0EB6"/>
    <w:rsid w:val="000E14B7"/>
    <w:rsid w:val="000E1521"/>
    <w:rsid w:val="000E15A7"/>
    <w:rsid w:val="000E165C"/>
    <w:rsid w:val="000E1691"/>
    <w:rsid w:val="000E17B3"/>
    <w:rsid w:val="000E18FC"/>
    <w:rsid w:val="000E1ACA"/>
    <w:rsid w:val="000E1E69"/>
    <w:rsid w:val="000E1F6C"/>
    <w:rsid w:val="000E24F4"/>
    <w:rsid w:val="000E2820"/>
    <w:rsid w:val="000E29D7"/>
    <w:rsid w:val="000E2BE4"/>
    <w:rsid w:val="000E2BEB"/>
    <w:rsid w:val="000E32FE"/>
    <w:rsid w:val="000E34CD"/>
    <w:rsid w:val="000E35F2"/>
    <w:rsid w:val="000E3894"/>
    <w:rsid w:val="000E3A9E"/>
    <w:rsid w:val="000E3BB8"/>
    <w:rsid w:val="000E3D2D"/>
    <w:rsid w:val="000E41A3"/>
    <w:rsid w:val="000E4352"/>
    <w:rsid w:val="000E4B54"/>
    <w:rsid w:val="000E518E"/>
    <w:rsid w:val="000E567C"/>
    <w:rsid w:val="000E56D0"/>
    <w:rsid w:val="000E5B46"/>
    <w:rsid w:val="000E686A"/>
    <w:rsid w:val="000E6C67"/>
    <w:rsid w:val="000E6CD7"/>
    <w:rsid w:val="000E6F8A"/>
    <w:rsid w:val="000E70DA"/>
    <w:rsid w:val="000E7291"/>
    <w:rsid w:val="000E7956"/>
    <w:rsid w:val="000E7A93"/>
    <w:rsid w:val="000E7F24"/>
    <w:rsid w:val="000F025D"/>
    <w:rsid w:val="000F0456"/>
    <w:rsid w:val="000F04EC"/>
    <w:rsid w:val="000F0542"/>
    <w:rsid w:val="000F0CF0"/>
    <w:rsid w:val="000F13B4"/>
    <w:rsid w:val="000F192B"/>
    <w:rsid w:val="000F262B"/>
    <w:rsid w:val="000F2990"/>
    <w:rsid w:val="000F2A73"/>
    <w:rsid w:val="000F3016"/>
    <w:rsid w:val="000F3044"/>
    <w:rsid w:val="000F3234"/>
    <w:rsid w:val="000F3A6E"/>
    <w:rsid w:val="000F42F3"/>
    <w:rsid w:val="000F438A"/>
    <w:rsid w:val="000F454F"/>
    <w:rsid w:val="000F4606"/>
    <w:rsid w:val="000F460F"/>
    <w:rsid w:val="000F49E8"/>
    <w:rsid w:val="000F509F"/>
    <w:rsid w:val="000F52DA"/>
    <w:rsid w:val="000F584A"/>
    <w:rsid w:val="000F58FD"/>
    <w:rsid w:val="000F59FB"/>
    <w:rsid w:val="000F5E14"/>
    <w:rsid w:val="000F6058"/>
    <w:rsid w:val="000F6939"/>
    <w:rsid w:val="000F6B1C"/>
    <w:rsid w:val="000F6E38"/>
    <w:rsid w:val="000F6EE3"/>
    <w:rsid w:val="000F7633"/>
    <w:rsid w:val="000F7CB8"/>
    <w:rsid w:val="000F7D3C"/>
    <w:rsid w:val="00100112"/>
    <w:rsid w:val="0010063A"/>
    <w:rsid w:val="001007FD"/>
    <w:rsid w:val="00100C63"/>
    <w:rsid w:val="001012ED"/>
    <w:rsid w:val="00101376"/>
    <w:rsid w:val="00101B38"/>
    <w:rsid w:val="001022D3"/>
    <w:rsid w:val="001026CF"/>
    <w:rsid w:val="0010345C"/>
    <w:rsid w:val="00103661"/>
    <w:rsid w:val="001036AD"/>
    <w:rsid w:val="001038D1"/>
    <w:rsid w:val="00103BDD"/>
    <w:rsid w:val="00104087"/>
    <w:rsid w:val="001044B7"/>
    <w:rsid w:val="001044EA"/>
    <w:rsid w:val="001048FE"/>
    <w:rsid w:val="00105238"/>
    <w:rsid w:val="001053DD"/>
    <w:rsid w:val="00105556"/>
    <w:rsid w:val="00105867"/>
    <w:rsid w:val="00105921"/>
    <w:rsid w:val="001059D2"/>
    <w:rsid w:val="001059DB"/>
    <w:rsid w:val="00105F25"/>
    <w:rsid w:val="00105F72"/>
    <w:rsid w:val="00106740"/>
    <w:rsid w:val="00107599"/>
    <w:rsid w:val="00107A8E"/>
    <w:rsid w:val="00107CD9"/>
    <w:rsid w:val="00107F48"/>
    <w:rsid w:val="001100E2"/>
    <w:rsid w:val="0011023E"/>
    <w:rsid w:val="00110611"/>
    <w:rsid w:val="00110717"/>
    <w:rsid w:val="00110D00"/>
    <w:rsid w:val="001116D4"/>
    <w:rsid w:val="00111BAC"/>
    <w:rsid w:val="00111D4E"/>
    <w:rsid w:val="00111E23"/>
    <w:rsid w:val="00112302"/>
    <w:rsid w:val="001126AB"/>
    <w:rsid w:val="001127CC"/>
    <w:rsid w:val="001133FC"/>
    <w:rsid w:val="001137A6"/>
    <w:rsid w:val="001139E6"/>
    <w:rsid w:val="00113B8D"/>
    <w:rsid w:val="00114189"/>
    <w:rsid w:val="00114F3A"/>
    <w:rsid w:val="00115730"/>
    <w:rsid w:val="0011587B"/>
    <w:rsid w:val="00115CFE"/>
    <w:rsid w:val="00116051"/>
    <w:rsid w:val="001165AE"/>
    <w:rsid w:val="001167C6"/>
    <w:rsid w:val="001167C8"/>
    <w:rsid w:val="001167D2"/>
    <w:rsid w:val="00116934"/>
    <w:rsid w:val="00116B75"/>
    <w:rsid w:val="00116D81"/>
    <w:rsid w:val="001170FA"/>
    <w:rsid w:val="001173A8"/>
    <w:rsid w:val="00117404"/>
    <w:rsid w:val="00117599"/>
    <w:rsid w:val="00117BC3"/>
    <w:rsid w:val="00117EDA"/>
    <w:rsid w:val="0012016D"/>
    <w:rsid w:val="001203D4"/>
    <w:rsid w:val="0012063F"/>
    <w:rsid w:val="00120A6A"/>
    <w:rsid w:val="001214B4"/>
    <w:rsid w:val="00121512"/>
    <w:rsid w:val="0012158F"/>
    <w:rsid w:val="0012188F"/>
    <w:rsid w:val="001228CC"/>
    <w:rsid w:val="00122BA4"/>
    <w:rsid w:val="00123009"/>
    <w:rsid w:val="001230F3"/>
    <w:rsid w:val="0012321F"/>
    <w:rsid w:val="001234DF"/>
    <w:rsid w:val="00123F0A"/>
    <w:rsid w:val="0012498A"/>
    <w:rsid w:val="00124C57"/>
    <w:rsid w:val="00124FD8"/>
    <w:rsid w:val="001252F2"/>
    <w:rsid w:val="00125470"/>
    <w:rsid w:val="00125B27"/>
    <w:rsid w:val="00125EEF"/>
    <w:rsid w:val="0012608D"/>
    <w:rsid w:val="00126125"/>
    <w:rsid w:val="0012651E"/>
    <w:rsid w:val="00126CBD"/>
    <w:rsid w:val="00126D4E"/>
    <w:rsid w:val="00127157"/>
    <w:rsid w:val="001272F9"/>
    <w:rsid w:val="001273FD"/>
    <w:rsid w:val="00127E76"/>
    <w:rsid w:val="001304AD"/>
    <w:rsid w:val="00130697"/>
    <w:rsid w:val="00130D6C"/>
    <w:rsid w:val="00130DE5"/>
    <w:rsid w:val="0013119E"/>
    <w:rsid w:val="00131652"/>
    <w:rsid w:val="001316B3"/>
    <w:rsid w:val="0013204B"/>
    <w:rsid w:val="0013204C"/>
    <w:rsid w:val="001321A5"/>
    <w:rsid w:val="00132615"/>
    <w:rsid w:val="00132A09"/>
    <w:rsid w:val="00132A1B"/>
    <w:rsid w:val="0013309F"/>
    <w:rsid w:val="00133139"/>
    <w:rsid w:val="001332D2"/>
    <w:rsid w:val="0013379B"/>
    <w:rsid w:val="00133BDB"/>
    <w:rsid w:val="00133C1E"/>
    <w:rsid w:val="00133E33"/>
    <w:rsid w:val="00133F05"/>
    <w:rsid w:val="001346BE"/>
    <w:rsid w:val="00134E3C"/>
    <w:rsid w:val="00135556"/>
    <w:rsid w:val="0013555C"/>
    <w:rsid w:val="0013565E"/>
    <w:rsid w:val="00135794"/>
    <w:rsid w:val="00135CF4"/>
    <w:rsid w:val="00135D7E"/>
    <w:rsid w:val="00135FBD"/>
    <w:rsid w:val="00136496"/>
    <w:rsid w:val="00136A9A"/>
    <w:rsid w:val="0013708F"/>
    <w:rsid w:val="001372F3"/>
    <w:rsid w:val="00137861"/>
    <w:rsid w:val="00137C75"/>
    <w:rsid w:val="00140099"/>
    <w:rsid w:val="00140271"/>
    <w:rsid w:val="001406FF"/>
    <w:rsid w:val="0014081B"/>
    <w:rsid w:val="00140BD7"/>
    <w:rsid w:val="00140D9B"/>
    <w:rsid w:val="00140E08"/>
    <w:rsid w:val="00141331"/>
    <w:rsid w:val="00141419"/>
    <w:rsid w:val="00141BE5"/>
    <w:rsid w:val="00141D67"/>
    <w:rsid w:val="00142014"/>
    <w:rsid w:val="001420C3"/>
    <w:rsid w:val="0014231A"/>
    <w:rsid w:val="00142431"/>
    <w:rsid w:val="00142509"/>
    <w:rsid w:val="0014259C"/>
    <w:rsid w:val="001428B2"/>
    <w:rsid w:val="00142E7D"/>
    <w:rsid w:val="00143309"/>
    <w:rsid w:val="0014344C"/>
    <w:rsid w:val="00143975"/>
    <w:rsid w:val="00143D08"/>
    <w:rsid w:val="00143F15"/>
    <w:rsid w:val="00143F60"/>
    <w:rsid w:val="00143FDE"/>
    <w:rsid w:val="001444F7"/>
    <w:rsid w:val="001445D9"/>
    <w:rsid w:val="0014483D"/>
    <w:rsid w:val="00144A7E"/>
    <w:rsid w:val="00144B78"/>
    <w:rsid w:val="00144BF1"/>
    <w:rsid w:val="0014520A"/>
    <w:rsid w:val="00145561"/>
    <w:rsid w:val="001455E9"/>
    <w:rsid w:val="0014596A"/>
    <w:rsid w:val="001459BD"/>
    <w:rsid w:val="001464BB"/>
    <w:rsid w:val="001466E1"/>
    <w:rsid w:val="0014676B"/>
    <w:rsid w:val="00146FA2"/>
    <w:rsid w:val="00147584"/>
    <w:rsid w:val="00147823"/>
    <w:rsid w:val="00147900"/>
    <w:rsid w:val="00147BFC"/>
    <w:rsid w:val="00147DB1"/>
    <w:rsid w:val="001501B0"/>
    <w:rsid w:val="001508C9"/>
    <w:rsid w:val="00150E78"/>
    <w:rsid w:val="00150F67"/>
    <w:rsid w:val="001511B5"/>
    <w:rsid w:val="0015156E"/>
    <w:rsid w:val="0015159B"/>
    <w:rsid w:val="001516EE"/>
    <w:rsid w:val="00151EEF"/>
    <w:rsid w:val="00152156"/>
    <w:rsid w:val="00152734"/>
    <w:rsid w:val="0015290B"/>
    <w:rsid w:val="00152B5E"/>
    <w:rsid w:val="00152EC3"/>
    <w:rsid w:val="00152FE0"/>
    <w:rsid w:val="0015304B"/>
    <w:rsid w:val="001532E4"/>
    <w:rsid w:val="00153852"/>
    <w:rsid w:val="00153D60"/>
    <w:rsid w:val="00153EF2"/>
    <w:rsid w:val="00153F4B"/>
    <w:rsid w:val="00154101"/>
    <w:rsid w:val="001541EB"/>
    <w:rsid w:val="001543D4"/>
    <w:rsid w:val="0015445C"/>
    <w:rsid w:val="0015450F"/>
    <w:rsid w:val="00154ACD"/>
    <w:rsid w:val="00154B6D"/>
    <w:rsid w:val="00154B81"/>
    <w:rsid w:val="00154E9A"/>
    <w:rsid w:val="0015523D"/>
    <w:rsid w:val="0015549C"/>
    <w:rsid w:val="00155E3E"/>
    <w:rsid w:val="00155FB6"/>
    <w:rsid w:val="00156C03"/>
    <w:rsid w:val="00156F5B"/>
    <w:rsid w:val="00157106"/>
    <w:rsid w:val="00157457"/>
    <w:rsid w:val="0015748D"/>
    <w:rsid w:val="00157532"/>
    <w:rsid w:val="001575B8"/>
    <w:rsid w:val="001575F4"/>
    <w:rsid w:val="001578D8"/>
    <w:rsid w:val="00157BDB"/>
    <w:rsid w:val="00157BF7"/>
    <w:rsid w:val="00157CE3"/>
    <w:rsid w:val="00157DE4"/>
    <w:rsid w:val="00160787"/>
    <w:rsid w:val="00160818"/>
    <w:rsid w:val="001608C9"/>
    <w:rsid w:val="001614D4"/>
    <w:rsid w:val="00161A39"/>
    <w:rsid w:val="00161B38"/>
    <w:rsid w:val="00161CAF"/>
    <w:rsid w:val="0016204C"/>
    <w:rsid w:val="00162493"/>
    <w:rsid w:val="00162669"/>
    <w:rsid w:val="001626DD"/>
    <w:rsid w:val="0016283C"/>
    <w:rsid w:val="00162C8A"/>
    <w:rsid w:val="00163158"/>
    <w:rsid w:val="00163357"/>
    <w:rsid w:val="001634BE"/>
    <w:rsid w:val="0016426E"/>
    <w:rsid w:val="0016523F"/>
    <w:rsid w:val="00165E4D"/>
    <w:rsid w:val="00165FED"/>
    <w:rsid w:val="001662C0"/>
    <w:rsid w:val="001667A9"/>
    <w:rsid w:val="00167185"/>
    <w:rsid w:val="00167739"/>
    <w:rsid w:val="00170327"/>
    <w:rsid w:val="0017040F"/>
    <w:rsid w:val="00170450"/>
    <w:rsid w:val="00170461"/>
    <w:rsid w:val="00170481"/>
    <w:rsid w:val="00170650"/>
    <w:rsid w:val="00170E83"/>
    <w:rsid w:val="0017134C"/>
    <w:rsid w:val="00171546"/>
    <w:rsid w:val="001715BD"/>
    <w:rsid w:val="00171B51"/>
    <w:rsid w:val="00172B99"/>
    <w:rsid w:val="00173329"/>
    <w:rsid w:val="00173583"/>
    <w:rsid w:val="00173697"/>
    <w:rsid w:val="00173821"/>
    <w:rsid w:val="00173F1A"/>
    <w:rsid w:val="00174161"/>
    <w:rsid w:val="0017499B"/>
    <w:rsid w:val="00174A05"/>
    <w:rsid w:val="00174ABB"/>
    <w:rsid w:val="001754A4"/>
    <w:rsid w:val="00175A98"/>
    <w:rsid w:val="00176294"/>
    <w:rsid w:val="00176395"/>
    <w:rsid w:val="0017692B"/>
    <w:rsid w:val="00176E6E"/>
    <w:rsid w:val="00176E78"/>
    <w:rsid w:val="00177133"/>
    <w:rsid w:val="00177BE3"/>
    <w:rsid w:val="00177D11"/>
    <w:rsid w:val="00177F7C"/>
    <w:rsid w:val="0018000D"/>
    <w:rsid w:val="001806CF"/>
    <w:rsid w:val="00180AC0"/>
    <w:rsid w:val="00180E29"/>
    <w:rsid w:val="00180F49"/>
    <w:rsid w:val="001815B8"/>
    <w:rsid w:val="001816A6"/>
    <w:rsid w:val="0018228D"/>
    <w:rsid w:val="00182326"/>
    <w:rsid w:val="00182367"/>
    <w:rsid w:val="001826DB"/>
    <w:rsid w:val="0018280C"/>
    <w:rsid w:val="00182886"/>
    <w:rsid w:val="00182BAC"/>
    <w:rsid w:val="0018313C"/>
    <w:rsid w:val="00183957"/>
    <w:rsid w:val="00183AB3"/>
    <w:rsid w:val="0018413C"/>
    <w:rsid w:val="001844E5"/>
    <w:rsid w:val="00184530"/>
    <w:rsid w:val="00184687"/>
    <w:rsid w:val="001846B3"/>
    <w:rsid w:val="001847E6"/>
    <w:rsid w:val="00184EB1"/>
    <w:rsid w:val="00185085"/>
    <w:rsid w:val="001851BD"/>
    <w:rsid w:val="00185D0E"/>
    <w:rsid w:val="00186113"/>
    <w:rsid w:val="00186249"/>
    <w:rsid w:val="00186317"/>
    <w:rsid w:val="00186391"/>
    <w:rsid w:val="00186A2D"/>
    <w:rsid w:val="00186C23"/>
    <w:rsid w:val="00186F1C"/>
    <w:rsid w:val="00187328"/>
    <w:rsid w:val="00187855"/>
    <w:rsid w:val="00187858"/>
    <w:rsid w:val="001878D9"/>
    <w:rsid w:val="00187FB7"/>
    <w:rsid w:val="0019008D"/>
    <w:rsid w:val="0019022B"/>
    <w:rsid w:val="0019037D"/>
    <w:rsid w:val="001903E0"/>
    <w:rsid w:val="0019126B"/>
    <w:rsid w:val="00191C4F"/>
    <w:rsid w:val="00191CAC"/>
    <w:rsid w:val="001921F0"/>
    <w:rsid w:val="00192350"/>
    <w:rsid w:val="00192474"/>
    <w:rsid w:val="00192617"/>
    <w:rsid w:val="00192C6F"/>
    <w:rsid w:val="00192CCC"/>
    <w:rsid w:val="00193278"/>
    <w:rsid w:val="001933C4"/>
    <w:rsid w:val="0019388E"/>
    <w:rsid w:val="00193C5E"/>
    <w:rsid w:val="001948EB"/>
    <w:rsid w:val="00194F95"/>
    <w:rsid w:val="00195857"/>
    <w:rsid w:val="00195A1C"/>
    <w:rsid w:val="00195DE7"/>
    <w:rsid w:val="00195DFE"/>
    <w:rsid w:val="00196123"/>
    <w:rsid w:val="00196E4C"/>
    <w:rsid w:val="00196F3D"/>
    <w:rsid w:val="0019711B"/>
    <w:rsid w:val="0019763C"/>
    <w:rsid w:val="001976BC"/>
    <w:rsid w:val="0019788A"/>
    <w:rsid w:val="0019799A"/>
    <w:rsid w:val="00197B91"/>
    <w:rsid w:val="00197C0F"/>
    <w:rsid w:val="00197C1F"/>
    <w:rsid w:val="001A02FE"/>
    <w:rsid w:val="001A0769"/>
    <w:rsid w:val="001A0BFC"/>
    <w:rsid w:val="001A0C34"/>
    <w:rsid w:val="001A0F7A"/>
    <w:rsid w:val="001A116E"/>
    <w:rsid w:val="001A1203"/>
    <w:rsid w:val="001A1A11"/>
    <w:rsid w:val="001A2056"/>
    <w:rsid w:val="001A2255"/>
    <w:rsid w:val="001A25C7"/>
    <w:rsid w:val="001A26F2"/>
    <w:rsid w:val="001A27A6"/>
    <w:rsid w:val="001A2AD1"/>
    <w:rsid w:val="001A2B2B"/>
    <w:rsid w:val="001A2F0C"/>
    <w:rsid w:val="001A3215"/>
    <w:rsid w:val="001A3375"/>
    <w:rsid w:val="001A34C9"/>
    <w:rsid w:val="001A35C2"/>
    <w:rsid w:val="001A3637"/>
    <w:rsid w:val="001A37C6"/>
    <w:rsid w:val="001A3C77"/>
    <w:rsid w:val="001A409E"/>
    <w:rsid w:val="001A4780"/>
    <w:rsid w:val="001A4881"/>
    <w:rsid w:val="001A4B57"/>
    <w:rsid w:val="001A4F7F"/>
    <w:rsid w:val="001A5089"/>
    <w:rsid w:val="001A5C8D"/>
    <w:rsid w:val="001A6342"/>
    <w:rsid w:val="001A637E"/>
    <w:rsid w:val="001A652B"/>
    <w:rsid w:val="001A657D"/>
    <w:rsid w:val="001A7407"/>
    <w:rsid w:val="001A7C88"/>
    <w:rsid w:val="001A7F1C"/>
    <w:rsid w:val="001B0143"/>
    <w:rsid w:val="001B0472"/>
    <w:rsid w:val="001B06B5"/>
    <w:rsid w:val="001B0B8E"/>
    <w:rsid w:val="001B102B"/>
    <w:rsid w:val="001B11CD"/>
    <w:rsid w:val="001B1B4D"/>
    <w:rsid w:val="001B1C8F"/>
    <w:rsid w:val="001B1D8E"/>
    <w:rsid w:val="001B20B4"/>
    <w:rsid w:val="001B21B7"/>
    <w:rsid w:val="001B25DC"/>
    <w:rsid w:val="001B2678"/>
    <w:rsid w:val="001B3D56"/>
    <w:rsid w:val="001B40F8"/>
    <w:rsid w:val="001B4B35"/>
    <w:rsid w:val="001B531E"/>
    <w:rsid w:val="001B541A"/>
    <w:rsid w:val="001B55DF"/>
    <w:rsid w:val="001B5EAC"/>
    <w:rsid w:val="001B616C"/>
    <w:rsid w:val="001B6264"/>
    <w:rsid w:val="001B627A"/>
    <w:rsid w:val="001B63F7"/>
    <w:rsid w:val="001B648A"/>
    <w:rsid w:val="001B69FC"/>
    <w:rsid w:val="001B6C5E"/>
    <w:rsid w:val="001B75FB"/>
    <w:rsid w:val="001B76F4"/>
    <w:rsid w:val="001B77C3"/>
    <w:rsid w:val="001C0110"/>
    <w:rsid w:val="001C0611"/>
    <w:rsid w:val="001C0653"/>
    <w:rsid w:val="001C0748"/>
    <w:rsid w:val="001C114E"/>
    <w:rsid w:val="001C1332"/>
    <w:rsid w:val="001C1B03"/>
    <w:rsid w:val="001C1BF1"/>
    <w:rsid w:val="001C1EEF"/>
    <w:rsid w:val="001C206C"/>
    <w:rsid w:val="001C243C"/>
    <w:rsid w:val="001C24BF"/>
    <w:rsid w:val="001C26A0"/>
    <w:rsid w:val="001C2748"/>
    <w:rsid w:val="001C2900"/>
    <w:rsid w:val="001C2BDA"/>
    <w:rsid w:val="001C2C05"/>
    <w:rsid w:val="001C2E70"/>
    <w:rsid w:val="001C2F81"/>
    <w:rsid w:val="001C302B"/>
    <w:rsid w:val="001C3C8B"/>
    <w:rsid w:val="001C3F9F"/>
    <w:rsid w:val="001C41F9"/>
    <w:rsid w:val="001C43BB"/>
    <w:rsid w:val="001C479F"/>
    <w:rsid w:val="001C499B"/>
    <w:rsid w:val="001C4AC0"/>
    <w:rsid w:val="001C4B0F"/>
    <w:rsid w:val="001C4F2F"/>
    <w:rsid w:val="001C5048"/>
    <w:rsid w:val="001C5504"/>
    <w:rsid w:val="001C62B5"/>
    <w:rsid w:val="001C645F"/>
    <w:rsid w:val="001C685A"/>
    <w:rsid w:val="001C6E80"/>
    <w:rsid w:val="001C70C3"/>
    <w:rsid w:val="001C7153"/>
    <w:rsid w:val="001C78B4"/>
    <w:rsid w:val="001C7937"/>
    <w:rsid w:val="001C7BD4"/>
    <w:rsid w:val="001C7CA1"/>
    <w:rsid w:val="001D09D0"/>
    <w:rsid w:val="001D14AC"/>
    <w:rsid w:val="001D169E"/>
    <w:rsid w:val="001D19A9"/>
    <w:rsid w:val="001D1AF1"/>
    <w:rsid w:val="001D2208"/>
    <w:rsid w:val="001D25CB"/>
    <w:rsid w:val="001D272E"/>
    <w:rsid w:val="001D285A"/>
    <w:rsid w:val="001D2ABC"/>
    <w:rsid w:val="001D2C3C"/>
    <w:rsid w:val="001D2DA2"/>
    <w:rsid w:val="001D2EE3"/>
    <w:rsid w:val="001D3318"/>
    <w:rsid w:val="001D371D"/>
    <w:rsid w:val="001D38C2"/>
    <w:rsid w:val="001D46DF"/>
    <w:rsid w:val="001D48A4"/>
    <w:rsid w:val="001D5016"/>
    <w:rsid w:val="001D5589"/>
    <w:rsid w:val="001D599D"/>
    <w:rsid w:val="001D66F1"/>
    <w:rsid w:val="001D6C22"/>
    <w:rsid w:val="001D6D17"/>
    <w:rsid w:val="001D701F"/>
    <w:rsid w:val="001D70BF"/>
    <w:rsid w:val="001D7BCD"/>
    <w:rsid w:val="001E00D9"/>
    <w:rsid w:val="001E04DE"/>
    <w:rsid w:val="001E05B5"/>
    <w:rsid w:val="001E0A22"/>
    <w:rsid w:val="001E0A77"/>
    <w:rsid w:val="001E0F47"/>
    <w:rsid w:val="001E13C5"/>
    <w:rsid w:val="001E1874"/>
    <w:rsid w:val="001E18AC"/>
    <w:rsid w:val="001E1926"/>
    <w:rsid w:val="001E24B5"/>
    <w:rsid w:val="001E2729"/>
    <w:rsid w:val="001E27EC"/>
    <w:rsid w:val="001E2AC2"/>
    <w:rsid w:val="001E2E8E"/>
    <w:rsid w:val="001E30B6"/>
    <w:rsid w:val="001E3187"/>
    <w:rsid w:val="001E35BF"/>
    <w:rsid w:val="001E35D2"/>
    <w:rsid w:val="001E37CF"/>
    <w:rsid w:val="001E3FBC"/>
    <w:rsid w:val="001E4B1D"/>
    <w:rsid w:val="001E4E91"/>
    <w:rsid w:val="001E5479"/>
    <w:rsid w:val="001E55CD"/>
    <w:rsid w:val="001E5737"/>
    <w:rsid w:val="001E5F29"/>
    <w:rsid w:val="001E6802"/>
    <w:rsid w:val="001E6B0E"/>
    <w:rsid w:val="001E6CCA"/>
    <w:rsid w:val="001E6D5D"/>
    <w:rsid w:val="001E6EE1"/>
    <w:rsid w:val="001E71AF"/>
    <w:rsid w:val="001E7E60"/>
    <w:rsid w:val="001F018E"/>
    <w:rsid w:val="001F019F"/>
    <w:rsid w:val="001F07B9"/>
    <w:rsid w:val="001F09C2"/>
    <w:rsid w:val="001F0B04"/>
    <w:rsid w:val="001F0C13"/>
    <w:rsid w:val="001F126D"/>
    <w:rsid w:val="001F157A"/>
    <w:rsid w:val="001F1868"/>
    <w:rsid w:val="001F1A82"/>
    <w:rsid w:val="001F2449"/>
    <w:rsid w:val="001F2645"/>
    <w:rsid w:val="001F294E"/>
    <w:rsid w:val="001F2A1C"/>
    <w:rsid w:val="001F2A57"/>
    <w:rsid w:val="001F2DCA"/>
    <w:rsid w:val="001F30EE"/>
    <w:rsid w:val="001F3221"/>
    <w:rsid w:val="001F33A0"/>
    <w:rsid w:val="001F3AE4"/>
    <w:rsid w:val="001F3C0E"/>
    <w:rsid w:val="001F3C4B"/>
    <w:rsid w:val="001F3E2C"/>
    <w:rsid w:val="001F3FB8"/>
    <w:rsid w:val="001F40B3"/>
    <w:rsid w:val="001F4B16"/>
    <w:rsid w:val="001F4C39"/>
    <w:rsid w:val="001F65A3"/>
    <w:rsid w:val="001F6856"/>
    <w:rsid w:val="001F73D9"/>
    <w:rsid w:val="001F7478"/>
    <w:rsid w:val="001F759B"/>
    <w:rsid w:val="001F7EDD"/>
    <w:rsid w:val="001F7FCA"/>
    <w:rsid w:val="00200212"/>
    <w:rsid w:val="002008BE"/>
    <w:rsid w:val="0020111B"/>
    <w:rsid w:val="002019C7"/>
    <w:rsid w:val="00201E61"/>
    <w:rsid w:val="00201F2D"/>
    <w:rsid w:val="00201FE8"/>
    <w:rsid w:val="002024FC"/>
    <w:rsid w:val="0020264D"/>
    <w:rsid w:val="002027BD"/>
    <w:rsid w:val="00202936"/>
    <w:rsid w:val="00202AE4"/>
    <w:rsid w:val="002031C1"/>
    <w:rsid w:val="00203830"/>
    <w:rsid w:val="00203C7C"/>
    <w:rsid w:val="00203D79"/>
    <w:rsid w:val="002040C6"/>
    <w:rsid w:val="00204411"/>
    <w:rsid w:val="00204F44"/>
    <w:rsid w:val="002051D4"/>
    <w:rsid w:val="00205758"/>
    <w:rsid w:val="00205782"/>
    <w:rsid w:val="00205B56"/>
    <w:rsid w:val="00205C40"/>
    <w:rsid w:val="00205D66"/>
    <w:rsid w:val="00205EF7"/>
    <w:rsid w:val="0020640C"/>
    <w:rsid w:val="00206619"/>
    <w:rsid w:val="002069B7"/>
    <w:rsid w:val="00206B72"/>
    <w:rsid w:val="00206E10"/>
    <w:rsid w:val="00206E87"/>
    <w:rsid w:val="00206F81"/>
    <w:rsid w:val="00207016"/>
    <w:rsid w:val="00207034"/>
    <w:rsid w:val="00207622"/>
    <w:rsid w:val="002104A6"/>
    <w:rsid w:val="00210673"/>
    <w:rsid w:val="00210D2D"/>
    <w:rsid w:val="0021164B"/>
    <w:rsid w:val="0021176B"/>
    <w:rsid w:val="00211BD0"/>
    <w:rsid w:val="00211CA5"/>
    <w:rsid w:val="002121E4"/>
    <w:rsid w:val="0021222A"/>
    <w:rsid w:val="002125F9"/>
    <w:rsid w:val="002125FF"/>
    <w:rsid w:val="00212C1C"/>
    <w:rsid w:val="00212E37"/>
    <w:rsid w:val="00213330"/>
    <w:rsid w:val="00213371"/>
    <w:rsid w:val="002137DF"/>
    <w:rsid w:val="002139CB"/>
    <w:rsid w:val="00213D3C"/>
    <w:rsid w:val="00214143"/>
    <w:rsid w:val="002143B7"/>
    <w:rsid w:val="0021448A"/>
    <w:rsid w:val="002144E0"/>
    <w:rsid w:val="002146DA"/>
    <w:rsid w:val="00214773"/>
    <w:rsid w:val="00214FEB"/>
    <w:rsid w:val="0021514C"/>
    <w:rsid w:val="00215773"/>
    <w:rsid w:val="00215B62"/>
    <w:rsid w:val="00216014"/>
    <w:rsid w:val="00216207"/>
    <w:rsid w:val="002168AE"/>
    <w:rsid w:val="00216C14"/>
    <w:rsid w:val="00216E8F"/>
    <w:rsid w:val="00216F56"/>
    <w:rsid w:val="00217811"/>
    <w:rsid w:val="00220B91"/>
    <w:rsid w:val="00220C37"/>
    <w:rsid w:val="00220E16"/>
    <w:rsid w:val="00220FF5"/>
    <w:rsid w:val="00221055"/>
    <w:rsid w:val="00221421"/>
    <w:rsid w:val="00221450"/>
    <w:rsid w:val="002214C9"/>
    <w:rsid w:val="00221D4E"/>
    <w:rsid w:val="00221EF8"/>
    <w:rsid w:val="00221F4F"/>
    <w:rsid w:val="002224A3"/>
    <w:rsid w:val="00223A42"/>
    <w:rsid w:val="00223A6F"/>
    <w:rsid w:val="00224104"/>
    <w:rsid w:val="00224DB1"/>
    <w:rsid w:val="00225079"/>
    <w:rsid w:val="00225113"/>
    <w:rsid w:val="002251B7"/>
    <w:rsid w:val="002251F9"/>
    <w:rsid w:val="002252F7"/>
    <w:rsid w:val="0022588B"/>
    <w:rsid w:val="0022609D"/>
    <w:rsid w:val="0022618F"/>
    <w:rsid w:val="00226386"/>
    <w:rsid w:val="0022648D"/>
    <w:rsid w:val="00226B61"/>
    <w:rsid w:val="00226C0B"/>
    <w:rsid w:val="00226CB0"/>
    <w:rsid w:val="0022705E"/>
    <w:rsid w:val="00227508"/>
    <w:rsid w:val="00227887"/>
    <w:rsid w:val="00227B03"/>
    <w:rsid w:val="00227F84"/>
    <w:rsid w:val="0023035E"/>
    <w:rsid w:val="002307B2"/>
    <w:rsid w:val="002308BC"/>
    <w:rsid w:val="002308E1"/>
    <w:rsid w:val="0023099B"/>
    <w:rsid w:val="002309E8"/>
    <w:rsid w:val="00230AC8"/>
    <w:rsid w:val="00230C63"/>
    <w:rsid w:val="002310A7"/>
    <w:rsid w:val="0023116F"/>
    <w:rsid w:val="00231FDB"/>
    <w:rsid w:val="002325FB"/>
    <w:rsid w:val="00232703"/>
    <w:rsid w:val="0023275F"/>
    <w:rsid w:val="00232824"/>
    <w:rsid w:val="0023298F"/>
    <w:rsid w:val="002329B1"/>
    <w:rsid w:val="00232D34"/>
    <w:rsid w:val="00232EC1"/>
    <w:rsid w:val="002331FD"/>
    <w:rsid w:val="0023329F"/>
    <w:rsid w:val="0023366B"/>
    <w:rsid w:val="0023372E"/>
    <w:rsid w:val="00233C8B"/>
    <w:rsid w:val="00233CC6"/>
    <w:rsid w:val="00233F8F"/>
    <w:rsid w:val="0023402A"/>
    <w:rsid w:val="00234111"/>
    <w:rsid w:val="002344EC"/>
    <w:rsid w:val="0023468B"/>
    <w:rsid w:val="00234AC1"/>
    <w:rsid w:val="00234B4B"/>
    <w:rsid w:val="00235448"/>
    <w:rsid w:val="0023599E"/>
    <w:rsid w:val="00235A3C"/>
    <w:rsid w:val="00235F58"/>
    <w:rsid w:val="002366DD"/>
    <w:rsid w:val="0023677E"/>
    <w:rsid w:val="00236DA1"/>
    <w:rsid w:val="00237721"/>
    <w:rsid w:val="00237BC1"/>
    <w:rsid w:val="0024010C"/>
    <w:rsid w:val="0024061C"/>
    <w:rsid w:val="002411E8"/>
    <w:rsid w:val="00241BC8"/>
    <w:rsid w:val="00241D41"/>
    <w:rsid w:val="0024280E"/>
    <w:rsid w:val="00243224"/>
    <w:rsid w:val="00243281"/>
    <w:rsid w:val="002434A7"/>
    <w:rsid w:val="00244291"/>
    <w:rsid w:val="00244882"/>
    <w:rsid w:val="0024656F"/>
    <w:rsid w:val="00246851"/>
    <w:rsid w:val="002468AE"/>
    <w:rsid w:val="00246D02"/>
    <w:rsid w:val="00246D9D"/>
    <w:rsid w:val="002477E9"/>
    <w:rsid w:val="00247828"/>
    <w:rsid w:val="00247C83"/>
    <w:rsid w:val="00247F65"/>
    <w:rsid w:val="002509EE"/>
    <w:rsid w:val="00250D47"/>
    <w:rsid w:val="00251555"/>
    <w:rsid w:val="0025183D"/>
    <w:rsid w:val="00251ACE"/>
    <w:rsid w:val="00251C7E"/>
    <w:rsid w:val="00251FA9"/>
    <w:rsid w:val="00252017"/>
    <w:rsid w:val="00252036"/>
    <w:rsid w:val="00252063"/>
    <w:rsid w:val="00252B31"/>
    <w:rsid w:val="00252DC2"/>
    <w:rsid w:val="00252F74"/>
    <w:rsid w:val="00253109"/>
    <w:rsid w:val="00253678"/>
    <w:rsid w:val="00253C48"/>
    <w:rsid w:val="002541D0"/>
    <w:rsid w:val="002548B1"/>
    <w:rsid w:val="0025561E"/>
    <w:rsid w:val="002557C7"/>
    <w:rsid w:val="00256013"/>
    <w:rsid w:val="0025646B"/>
    <w:rsid w:val="00256E13"/>
    <w:rsid w:val="00257066"/>
    <w:rsid w:val="002578DF"/>
    <w:rsid w:val="00257A5B"/>
    <w:rsid w:val="00257D3D"/>
    <w:rsid w:val="00260461"/>
    <w:rsid w:val="00260656"/>
    <w:rsid w:val="002606F8"/>
    <w:rsid w:val="00261101"/>
    <w:rsid w:val="0026165B"/>
    <w:rsid w:val="00261743"/>
    <w:rsid w:val="00261C6D"/>
    <w:rsid w:val="00261D4C"/>
    <w:rsid w:val="00261E20"/>
    <w:rsid w:val="00261E3C"/>
    <w:rsid w:val="00262F5B"/>
    <w:rsid w:val="00262F63"/>
    <w:rsid w:val="00263072"/>
    <w:rsid w:val="00263773"/>
    <w:rsid w:val="00264078"/>
    <w:rsid w:val="0026411A"/>
    <w:rsid w:val="0026444D"/>
    <w:rsid w:val="00264752"/>
    <w:rsid w:val="00264787"/>
    <w:rsid w:val="002650E3"/>
    <w:rsid w:val="00265983"/>
    <w:rsid w:val="00265B1A"/>
    <w:rsid w:val="00265CD2"/>
    <w:rsid w:val="00265E58"/>
    <w:rsid w:val="002662C7"/>
    <w:rsid w:val="00266603"/>
    <w:rsid w:val="002674BC"/>
    <w:rsid w:val="002676A2"/>
    <w:rsid w:val="00267C19"/>
    <w:rsid w:val="00267CD4"/>
    <w:rsid w:val="00267FCC"/>
    <w:rsid w:val="0027098C"/>
    <w:rsid w:val="00270A70"/>
    <w:rsid w:val="00270C5C"/>
    <w:rsid w:val="00270F23"/>
    <w:rsid w:val="002715EC"/>
    <w:rsid w:val="00271861"/>
    <w:rsid w:val="00271934"/>
    <w:rsid w:val="002721B5"/>
    <w:rsid w:val="002721FD"/>
    <w:rsid w:val="00272416"/>
    <w:rsid w:val="00272D29"/>
    <w:rsid w:val="00272E37"/>
    <w:rsid w:val="00273C7F"/>
    <w:rsid w:val="00273DE8"/>
    <w:rsid w:val="00273E61"/>
    <w:rsid w:val="002741A6"/>
    <w:rsid w:val="00274494"/>
    <w:rsid w:val="002756F8"/>
    <w:rsid w:val="002759C5"/>
    <w:rsid w:val="00275D78"/>
    <w:rsid w:val="00275E1E"/>
    <w:rsid w:val="00275E59"/>
    <w:rsid w:val="002765F4"/>
    <w:rsid w:val="002769EA"/>
    <w:rsid w:val="00276BA1"/>
    <w:rsid w:val="00276EA0"/>
    <w:rsid w:val="00277B3D"/>
    <w:rsid w:val="002802DC"/>
    <w:rsid w:val="002803DD"/>
    <w:rsid w:val="00280706"/>
    <w:rsid w:val="00280F8D"/>
    <w:rsid w:val="00281606"/>
    <w:rsid w:val="00281E5D"/>
    <w:rsid w:val="00281EC3"/>
    <w:rsid w:val="00282592"/>
    <w:rsid w:val="00282B64"/>
    <w:rsid w:val="00283084"/>
    <w:rsid w:val="00283251"/>
    <w:rsid w:val="002833CC"/>
    <w:rsid w:val="00283421"/>
    <w:rsid w:val="00283A44"/>
    <w:rsid w:val="00283D22"/>
    <w:rsid w:val="0028412B"/>
    <w:rsid w:val="00284502"/>
    <w:rsid w:val="00284C17"/>
    <w:rsid w:val="00284EBB"/>
    <w:rsid w:val="00284F64"/>
    <w:rsid w:val="002851FB"/>
    <w:rsid w:val="0028552E"/>
    <w:rsid w:val="0028613F"/>
    <w:rsid w:val="00286239"/>
    <w:rsid w:val="00286461"/>
    <w:rsid w:val="0028663A"/>
    <w:rsid w:val="00286B0E"/>
    <w:rsid w:val="00286B4B"/>
    <w:rsid w:val="00286BD1"/>
    <w:rsid w:val="00287088"/>
    <w:rsid w:val="0028710A"/>
    <w:rsid w:val="00287283"/>
    <w:rsid w:val="0028732F"/>
    <w:rsid w:val="00287590"/>
    <w:rsid w:val="002877BA"/>
    <w:rsid w:val="00287BFE"/>
    <w:rsid w:val="00287E08"/>
    <w:rsid w:val="00287EC1"/>
    <w:rsid w:val="00287F30"/>
    <w:rsid w:val="00287FE6"/>
    <w:rsid w:val="00290222"/>
    <w:rsid w:val="0029079D"/>
    <w:rsid w:val="00290C72"/>
    <w:rsid w:val="00290CE2"/>
    <w:rsid w:val="002913B9"/>
    <w:rsid w:val="00291524"/>
    <w:rsid w:val="002917D9"/>
    <w:rsid w:val="002917E3"/>
    <w:rsid w:val="002919AB"/>
    <w:rsid w:val="00291A0A"/>
    <w:rsid w:val="00291BF2"/>
    <w:rsid w:val="00291D71"/>
    <w:rsid w:val="00292313"/>
    <w:rsid w:val="00292614"/>
    <w:rsid w:val="00292B50"/>
    <w:rsid w:val="00292C86"/>
    <w:rsid w:val="002930F5"/>
    <w:rsid w:val="00293B62"/>
    <w:rsid w:val="00293C3E"/>
    <w:rsid w:val="00293E14"/>
    <w:rsid w:val="00293F49"/>
    <w:rsid w:val="0029439C"/>
    <w:rsid w:val="0029493A"/>
    <w:rsid w:val="00294A4E"/>
    <w:rsid w:val="00294D6F"/>
    <w:rsid w:val="00295279"/>
    <w:rsid w:val="0029603B"/>
    <w:rsid w:val="0029641D"/>
    <w:rsid w:val="00296675"/>
    <w:rsid w:val="002967CF"/>
    <w:rsid w:val="00296A9E"/>
    <w:rsid w:val="00296E62"/>
    <w:rsid w:val="002972DF"/>
    <w:rsid w:val="0029765E"/>
    <w:rsid w:val="002A0633"/>
    <w:rsid w:val="002A0826"/>
    <w:rsid w:val="002A0DD3"/>
    <w:rsid w:val="002A0FC3"/>
    <w:rsid w:val="002A12F1"/>
    <w:rsid w:val="002A1346"/>
    <w:rsid w:val="002A1D39"/>
    <w:rsid w:val="002A1D74"/>
    <w:rsid w:val="002A1F07"/>
    <w:rsid w:val="002A2043"/>
    <w:rsid w:val="002A25CB"/>
    <w:rsid w:val="002A2B2A"/>
    <w:rsid w:val="002A2BFE"/>
    <w:rsid w:val="002A2C89"/>
    <w:rsid w:val="002A2D73"/>
    <w:rsid w:val="002A319B"/>
    <w:rsid w:val="002A339F"/>
    <w:rsid w:val="002A33E7"/>
    <w:rsid w:val="002A395B"/>
    <w:rsid w:val="002A431A"/>
    <w:rsid w:val="002A432B"/>
    <w:rsid w:val="002A44BF"/>
    <w:rsid w:val="002A46EF"/>
    <w:rsid w:val="002A4B7E"/>
    <w:rsid w:val="002A4BB1"/>
    <w:rsid w:val="002A4C04"/>
    <w:rsid w:val="002A4F95"/>
    <w:rsid w:val="002A519C"/>
    <w:rsid w:val="002A5206"/>
    <w:rsid w:val="002A5403"/>
    <w:rsid w:val="002A56DA"/>
    <w:rsid w:val="002A571E"/>
    <w:rsid w:val="002A59FD"/>
    <w:rsid w:val="002A5DA0"/>
    <w:rsid w:val="002A65FE"/>
    <w:rsid w:val="002A6669"/>
    <w:rsid w:val="002A69BC"/>
    <w:rsid w:val="002A69C8"/>
    <w:rsid w:val="002A6DDE"/>
    <w:rsid w:val="002A7272"/>
    <w:rsid w:val="002A7556"/>
    <w:rsid w:val="002A78E4"/>
    <w:rsid w:val="002A7E8B"/>
    <w:rsid w:val="002B0F56"/>
    <w:rsid w:val="002B13CB"/>
    <w:rsid w:val="002B16E0"/>
    <w:rsid w:val="002B1A2F"/>
    <w:rsid w:val="002B1B05"/>
    <w:rsid w:val="002B1D72"/>
    <w:rsid w:val="002B1E91"/>
    <w:rsid w:val="002B1EF1"/>
    <w:rsid w:val="002B22EF"/>
    <w:rsid w:val="002B278A"/>
    <w:rsid w:val="002B3111"/>
    <w:rsid w:val="002B32FC"/>
    <w:rsid w:val="002B3BCE"/>
    <w:rsid w:val="002B3E02"/>
    <w:rsid w:val="002B407B"/>
    <w:rsid w:val="002B4147"/>
    <w:rsid w:val="002B417F"/>
    <w:rsid w:val="002B468E"/>
    <w:rsid w:val="002B4AAD"/>
    <w:rsid w:val="002B4DA6"/>
    <w:rsid w:val="002B4E79"/>
    <w:rsid w:val="002B4F0D"/>
    <w:rsid w:val="002B5024"/>
    <w:rsid w:val="002B525E"/>
    <w:rsid w:val="002B5898"/>
    <w:rsid w:val="002B59CA"/>
    <w:rsid w:val="002B5BA7"/>
    <w:rsid w:val="002B5FB0"/>
    <w:rsid w:val="002B60F3"/>
    <w:rsid w:val="002B626A"/>
    <w:rsid w:val="002B69F7"/>
    <w:rsid w:val="002B6BE2"/>
    <w:rsid w:val="002B709D"/>
    <w:rsid w:val="002B70F6"/>
    <w:rsid w:val="002B7189"/>
    <w:rsid w:val="002B7900"/>
    <w:rsid w:val="002B7948"/>
    <w:rsid w:val="002B7E72"/>
    <w:rsid w:val="002C0060"/>
    <w:rsid w:val="002C0078"/>
    <w:rsid w:val="002C0418"/>
    <w:rsid w:val="002C0B24"/>
    <w:rsid w:val="002C0B97"/>
    <w:rsid w:val="002C10F7"/>
    <w:rsid w:val="002C1218"/>
    <w:rsid w:val="002C134A"/>
    <w:rsid w:val="002C1409"/>
    <w:rsid w:val="002C18B4"/>
    <w:rsid w:val="002C1E79"/>
    <w:rsid w:val="002C1E98"/>
    <w:rsid w:val="002C1E9C"/>
    <w:rsid w:val="002C2270"/>
    <w:rsid w:val="002C22E5"/>
    <w:rsid w:val="002C2532"/>
    <w:rsid w:val="002C2E51"/>
    <w:rsid w:val="002C2F4A"/>
    <w:rsid w:val="002C30A7"/>
    <w:rsid w:val="002C3DB9"/>
    <w:rsid w:val="002C431F"/>
    <w:rsid w:val="002C4C80"/>
    <w:rsid w:val="002C5202"/>
    <w:rsid w:val="002C522F"/>
    <w:rsid w:val="002C6236"/>
    <w:rsid w:val="002C62A6"/>
    <w:rsid w:val="002C6444"/>
    <w:rsid w:val="002C6677"/>
    <w:rsid w:val="002C6BA0"/>
    <w:rsid w:val="002C6F73"/>
    <w:rsid w:val="002C70A1"/>
    <w:rsid w:val="002C7C1A"/>
    <w:rsid w:val="002C7E63"/>
    <w:rsid w:val="002D0E5F"/>
    <w:rsid w:val="002D11A3"/>
    <w:rsid w:val="002D16DB"/>
    <w:rsid w:val="002D18FC"/>
    <w:rsid w:val="002D1953"/>
    <w:rsid w:val="002D19B4"/>
    <w:rsid w:val="002D20A7"/>
    <w:rsid w:val="002D20EC"/>
    <w:rsid w:val="002D21E4"/>
    <w:rsid w:val="002D22A0"/>
    <w:rsid w:val="002D2B57"/>
    <w:rsid w:val="002D2F09"/>
    <w:rsid w:val="002D33D6"/>
    <w:rsid w:val="002D34BC"/>
    <w:rsid w:val="002D35D0"/>
    <w:rsid w:val="002D3A99"/>
    <w:rsid w:val="002D3C0E"/>
    <w:rsid w:val="002D3E12"/>
    <w:rsid w:val="002D3F35"/>
    <w:rsid w:val="002D4703"/>
    <w:rsid w:val="002D535D"/>
    <w:rsid w:val="002D548B"/>
    <w:rsid w:val="002D58E5"/>
    <w:rsid w:val="002D5F47"/>
    <w:rsid w:val="002D60FB"/>
    <w:rsid w:val="002D62EA"/>
    <w:rsid w:val="002D6996"/>
    <w:rsid w:val="002D6AB5"/>
    <w:rsid w:val="002D7D47"/>
    <w:rsid w:val="002E0263"/>
    <w:rsid w:val="002E0644"/>
    <w:rsid w:val="002E0B8F"/>
    <w:rsid w:val="002E0C25"/>
    <w:rsid w:val="002E0FFF"/>
    <w:rsid w:val="002E1023"/>
    <w:rsid w:val="002E116E"/>
    <w:rsid w:val="002E149C"/>
    <w:rsid w:val="002E1AA5"/>
    <w:rsid w:val="002E1E43"/>
    <w:rsid w:val="002E26B3"/>
    <w:rsid w:val="002E26ED"/>
    <w:rsid w:val="002E2D95"/>
    <w:rsid w:val="002E31A4"/>
    <w:rsid w:val="002E4172"/>
    <w:rsid w:val="002E455D"/>
    <w:rsid w:val="002E45C6"/>
    <w:rsid w:val="002E652E"/>
    <w:rsid w:val="002E6559"/>
    <w:rsid w:val="002E685A"/>
    <w:rsid w:val="002E69E8"/>
    <w:rsid w:val="002E6ABC"/>
    <w:rsid w:val="002E72B2"/>
    <w:rsid w:val="002E75A6"/>
    <w:rsid w:val="002E75F5"/>
    <w:rsid w:val="002F00FF"/>
    <w:rsid w:val="002F01A7"/>
    <w:rsid w:val="002F03C5"/>
    <w:rsid w:val="002F0B37"/>
    <w:rsid w:val="002F0CC6"/>
    <w:rsid w:val="002F0D66"/>
    <w:rsid w:val="002F0EA7"/>
    <w:rsid w:val="002F0FF8"/>
    <w:rsid w:val="002F11F3"/>
    <w:rsid w:val="002F148F"/>
    <w:rsid w:val="002F1911"/>
    <w:rsid w:val="002F1D8C"/>
    <w:rsid w:val="002F1EE5"/>
    <w:rsid w:val="002F2CDC"/>
    <w:rsid w:val="002F2D68"/>
    <w:rsid w:val="002F341F"/>
    <w:rsid w:val="002F3582"/>
    <w:rsid w:val="002F3C64"/>
    <w:rsid w:val="002F3F2F"/>
    <w:rsid w:val="002F43F5"/>
    <w:rsid w:val="002F460A"/>
    <w:rsid w:val="002F46E1"/>
    <w:rsid w:val="002F470B"/>
    <w:rsid w:val="002F4D6E"/>
    <w:rsid w:val="002F4D7C"/>
    <w:rsid w:val="002F50BA"/>
    <w:rsid w:val="002F52A7"/>
    <w:rsid w:val="002F540A"/>
    <w:rsid w:val="002F5C0F"/>
    <w:rsid w:val="002F6316"/>
    <w:rsid w:val="002F660C"/>
    <w:rsid w:val="002F6A62"/>
    <w:rsid w:val="002F6C84"/>
    <w:rsid w:val="002F6FE1"/>
    <w:rsid w:val="002F7171"/>
    <w:rsid w:val="002F79F4"/>
    <w:rsid w:val="002F7B8F"/>
    <w:rsid w:val="002F7FCB"/>
    <w:rsid w:val="0030063B"/>
    <w:rsid w:val="003006A0"/>
    <w:rsid w:val="00300742"/>
    <w:rsid w:val="003007B5"/>
    <w:rsid w:val="00300AA0"/>
    <w:rsid w:val="0030137B"/>
    <w:rsid w:val="0030172B"/>
    <w:rsid w:val="00301798"/>
    <w:rsid w:val="00301897"/>
    <w:rsid w:val="00301B2D"/>
    <w:rsid w:val="00301C41"/>
    <w:rsid w:val="00301E85"/>
    <w:rsid w:val="00302084"/>
    <w:rsid w:val="00302264"/>
    <w:rsid w:val="00302635"/>
    <w:rsid w:val="00302826"/>
    <w:rsid w:val="00302CD5"/>
    <w:rsid w:val="00302EA9"/>
    <w:rsid w:val="00303552"/>
    <w:rsid w:val="0030383E"/>
    <w:rsid w:val="003038AA"/>
    <w:rsid w:val="00303ADC"/>
    <w:rsid w:val="00303AFA"/>
    <w:rsid w:val="00303B82"/>
    <w:rsid w:val="00303F00"/>
    <w:rsid w:val="00304161"/>
    <w:rsid w:val="003045D2"/>
    <w:rsid w:val="00304678"/>
    <w:rsid w:val="00304A3D"/>
    <w:rsid w:val="00304D95"/>
    <w:rsid w:val="00305763"/>
    <w:rsid w:val="00305947"/>
    <w:rsid w:val="00306732"/>
    <w:rsid w:val="00306811"/>
    <w:rsid w:val="00306A0B"/>
    <w:rsid w:val="00307010"/>
    <w:rsid w:val="003070FA"/>
    <w:rsid w:val="00307186"/>
    <w:rsid w:val="003072D2"/>
    <w:rsid w:val="003077A5"/>
    <w:rsid w:val="00307F9B"/>
    <w:rsid w:val="00310188"/>
    <w:rsid w:val="003103BE"/>
    <w:rsid w:val="00310409"/>
    <w:rsid w:val="003107D3"/>
    <w:rsid w:val="00310982"/>
    <w:rsid w:val="00310F45"/>
    <w:rsid w:val="00311460"/>
    <w:rsid w:val="00311E4A"/>
    <w:rsid w:val="003121A6"/>
    <w:rsid w:val="00312777"/>
    <w:rsid w:val="003127D5"/>
    <w:rsid w:val="00312878"/>
    <w:rsid w:val="00312B67"/>
    <w:rsid w:val="00312C67"/>
    <w:rsid w:val="00312DFD"/>
    <w:rsid w:val="003131DA"/>
    <w:rsid w:val="00313290"/>
    <w:rsid w:val="003132D1"/>
    <w:rsid w:val="00313783"/>
    <w:rsid w:val="0031380B"/>
    <w:rsid w:val="00313C71"/>
    <w:rsid w:val="00313C7C"/>
    <w:rsid w:val="00313D44"/>
    <w:rsid w:val="003141B8"/>
    <w:rsid w:val="00314563"/>
    <w:rsid w:val="003148A8"/>
    <w:rsid w:val="003148D6"/>
    <w:rsid w:val="00314B9F"/>
    <w:rsid w:val="00314BF3"/>
    <w:rsid w:val="00314C6B"/>
    <w:rsid w:val="00314C8A"/>
    <w:rsid w:val="003155D2"/>
    <w:rsid w:val="003155D5"/>
    <w:rsid w:val="0031567F"/>
    <w:rsid w:val="00315A8B"/>
    <w:rsid w:val="00315F32"/>
    <w:rsid w:val="0031643E"/>
    <w:rsid w:val="00316E30"/>
    <w:rsid w:val="003171D9"/>
    <w:rsid w:val="003174A2"/>
    <w:rsid w:val="003177F2"/>
    <w:rsid w:val="00317C18"/>
    <w:rsid w:val="00317DE3"/>
    <w:rsid w:val="00317E09"/>
    <w:rsid w:val="00320048"/>
    <w:rsid w:val="00320566"/>
    <w:rsid w:val="00320993"/>
    <w:rsid w:val="00320996"/>
    <w:rsid w:val="00320DBB"/>
    <w:rsid w:val="003211F1"/>
    <w:rsid w:val="00321823"/>
    <w:rsid w:val="00321887"/>
    <w:rsid w:val="003218FA"/>
    <w:rsid w:val="003223DE"/>
    <w:rsid w:val="003226F3"/>
    <w:rsid w:val="003228AC"/>
    <w:rsid w:val="003228EA"/>
    <w:rsid w:val="00322B57"/>
    <w:rsid w:val="00322FCD"/>
    <w:rsid w:val="0032310A"/>
    <w:rsid w:val="00323783"/>
    <w:rsid w:val="00323DC0"/>
    <w:rsid w:val="00323F7B"/>
    <w:rsid w:val="003240F6"/>
    <w:rsid w:val="00324208"/>
    <w:rsid w:val="0032458F"/>
    <w:rsid w:val="003245AA"/>
    <w:rsid w:val="00324AF7"/>
    <w:rsid w:val="003259A3"/>
    <w:rsid w:val="00325A7A"/>
    <w:rsid w:val="00325ABC"/>
    <w:rsid w:val="00325DDA"/>
    <w:rsid w:val="003266F4"/>
    <w:rsid w:val="0032670D"/>
    <w:rsid w:val="00326B5E"/>
    <w:rsid w:val="00326ED8"/>
    <w:rsid w:val="00326F1D"/>
    <w:rsid w:val="00327D35"/>
    <w:rsid w:val="00330092"/>
    <w:rsid w:val="00330385"/>
    <w:rsid w:val="003308AC"/>
    <w:rsid w:val="00330B40"/>
    <w:rsid w:val="00330B78"/>
    <w:rsid w:val="003311C4"/>
    <w:rsid w:val="0033180A"/>
    <w:rsid w:val="0033185B"/>
    <w:rsid w:val="00331FBE"/>
    <w:rsid w:val="0033253F"/>
    <w:rsid w:val="003327A4"/>
    <w:rsid w:val="0033295D"/>
    <w:rsid w:val="0033296A"/>
    <w:rsid w:val="00332DFF"/>
    <w:rsid w:val="00332E65"/>
    <w:rsid w:val="00333128"/>
    <w:rsid w:val="00333223"/>
    <w:rsid w:val="003346CE"/>
    <w:rsid w:val="00334DF1"/>
    <w:rsid w:val="0033515F"/>
    <w:rsid w:val="00335467"/>
    <w:rsid w:val="00335474"/>
    <w:rsid w:val="003356C8"/>
    <w:rsid w:val="00335AFA"/>
    <w:rsid w:val="00336620"/>
    <w:rsid w:val="003367B9"/>
    <w:rsid w:val="00336A9F"/>
    <w:rsid w:val="00337797"/>
    <w:rsid w:val="003377BE"/>
    <w:rsid w:val="00340878"/>
    <w:rsid w:val="00340B7E"/>
    <w:rsid w:val="00340BFC"/>
    <w:rsid w:val="00340D15"/>
    <w:rsid w:val="00340D58"/>
    <w:rsid w:val="00341011"/>
    <w:rsid w:val="0034111B"/>
    <w:rsid w:val="00341440"/>
    <w:rsid w:val="003414D2"/>
    <w:rsid w:val="003416BB"/>
    <w:rsid w:val="003417AD"/>
    <w:rsid w:val="00341A8C"/>
    <w:rsid w:val="003422F0"/>
    <w:rsid w:val="0034257E"/>
    <w:rsid w:val="00342877"/>
    <w:rsid w:val="00342895"/>
    <w:rsid w:val="0034333F"/>
    <w:rsid w:val="00343DB9"/>
    <w:rsid w:val="00344502"/>
    <w:rsid w:val="0034538F"/>
    <w:rsid w:val="00345754"/>
    <w:rsid w:val="003459BC"/>
    <w:rsid w:val="00345A10"/>
    <w:rsid w:val="00345B71"/>
    <w:rsid w:val="00346413"/>
    <w:rsid w:val="0034689D"/>
    <w:rsid w:val="003469F1"/>
    <w:rsid w:val="00346A8C"/>
    <w:rsid w:val="00346C96"/>
    <w:rsid w:val="00346F98"/>
    <w:rsid w:val="00347009"/>
    <w:rsid w:val="00347992"/>
    <w:rsid w:val="00347A62"/>
    <w:rsid w:val="00347D0F"/>
    <w:rsid w:val="00347E52"/>
    <w:rsid w:val="0035004B"/>
    <w:rsid w:val="003501F6"/>
    <w:rsid w:val="00350BBA"/>
    <w:rsid w:val="00350E74"/>
    <w:rsid w:val="00351D3A"/>
    <w:rsid w:val="00352335"/>
    <w:rsid w:val="00352505"/>
    <w:rsid w:val="003528AE"/>
    <w:rsid w:val="00352904"/>
    <w:rsid w:val="00352A62"/>
    <w:rsid w:val="00352B17"/>
    <w:rsid w:val="0035309B"/>
    <w:rsid w:val="00353CC5"/>
    <w:rsid w:val="0035403B"/>
    <w:rsid w:val="0035452D"/>
    <w:rsid w:val="00354A12"/>
    <w:rsid w:val="00354FD7"/>
    <w:rsid w:val="00355116"/>
    <w:rsid w:val="00355379"/>
    <w:rsid w:val="00355AC5"/>
    <w:rsid w:val="0035613B"/>
    <w:rsid w:val="003561CB"/>
    <w:rsid w:val="00356253"/>
    <w:rsid w:val="00356756"/>
    <w:rsid w:val="00356AA4"/>
    <w:rsid w:val="003571FB"/>
    <w:rsid w:val="0035750A"/>
    <w:rsid w:val="0035764B"/>
    <w:rsid w:val="00357680"/>
    <w:rsid w:val="003576F7"/>
    <w:rsid w:val="00357982"/>
    <w:rsid w:val="00357D33"/>
    <w:rsid w:val="0036059C"/>
    <w:rsid w:val="003607C5"/>
    <w:rsid w:val="00360AD9"/>
    <w:rsid w:val="00360CF1"/>
    <w:rsid w:val="00360DA1"/>
    <w:rsid w:val="00360DAA"/>
    <w:rsid w:val="003611C4"/>
    <w:rsid w:val="003614B0"/>
    <w:rsid w:val="003617B8"/>
    <w:rsid w:val="003617B9"/>
    <w:rsid w:val="00361E66"/>
    <w:rsid w:val="00362919"/>
    <w:rsid w:val="00362B31"/>
    <w:rsid w:val="00362C4B"/>
    <w:rsid w:val="00362D1B"/>
    <w:rsid w:val="00363169"/>
    <w:rsid w:val="003634EA"/>
    <w:rsid w:val="00363A15"/>
    <w:rsid w:val="00363CDC"/>
    <w:rsid w:val="00363ECF"/>
    <w:rsid w:val="003646FB"/>
    <w:rsid w:val="00364B2A"/>
    <w:rsid w:val="00364C5E"/>
    <w:rsid w:val="00365560"/>
    <w:rsid w:val="00365701"/>
    <w:rsid w:val="0036573A"/>
    <w:rsid w:val="00365E23"/>
    <w:rsid w:val="0036635B"/>
    <w:rsid w:val="0036668C"/>
    <w:rsid w:val="003669A6"/>
    <w:rsid w:val="00366BFF"/>
    <w:rsid w:val="00367382"/>
    <w:rsid w:val="0036747E"/>
    <w:rsid w:val="003701AC"/>
    <w:rsid w:val="00370645"/>
    <w:rsid w:val="00370B30"/>
    <w:rsid w:val="00370CBF"/>
    <w:rsid w:val="00371090"/>
    <w:rsid w:val="003716BA"/>
    <w:rsid w:val="00371A5B"/>
    <w:rsid w:val="003725BF"/>
    <w:rsid w:val="00372773"/>
    <w:rsid w:val="003728D7"/>
    <w:rsid w:val="00372B6E"/>
    <w:rsid w:val="0037312C"/>
    <w:rsid w:val="003731C3"/>
    <w:rsid w:val="003739F5"/>
    <w:rsid w:val="00373F94"/>
    <w:rsid w:val="00374200"/>
    <w:rsid w:val="00374242"/>
    <w:rsid w:val="003742E9"/>
    <w:rsid w:val="00374549"/>
    <w:rsid w:val="00374761"/>
    <w:rsid w:val="0037484D"/>
    <w:rsid w:val="00374C13"/>
    <w:rsid w:val="003750C2"/>
    <w:rsid w:val="003756A8"/>
    <w:rsid w:val="0037647F"/>
    <w:rsid w:val="00376809"/>
    <w:rsid w:val="00376B6A"/>
    <w:rsid w:val="0037705C"/>
    <w:rsid w:val="0037744F"/>
    <w:rsid w:val="003777E2"/>
    <w:rsid w:val="00377A00"/>
    <w:rsid w:val="00377E05"/>
    <w:rsid w:val="00377FA7"/>
    <w:rsid w:val="0038054D"/>
    <w:rsid w:val="00380981"/>
    <w:rsid w:val="00381046"/>
    <w:rsid w:val="00381260"/>
    <w:rsid w:val="00381654"/>
    <w:rsid w:val="00381B79"/>
    <w:rsid w:val="00381DCA"/>
    <w:rsid w:val="00381F15"/>
    <w:rsid w:val="0038207B"/>
    <w:rsid w:val="003821E7"/>
    <w:rsid w:val="00382326"/>
    <w:rsid w:val="003824DE"/>
    <w:rsid w:val="0038251E"/>
    <w:rsid w:val="00382526"/>
    <w:rsid w:val="0038258C"/>
    <w:rsid w:val="00382636"/>
    <w:rsid w:val="00382BBA"/>
    <w:rsid w:val="00382F70"/>
    <w:rsid w:val="00382F73"/>
    <w:rsid w:val="003831BC"/>
    <w:rsid w:val="00383249"/>
    <w:rsid w:val="003832AD"/>
    <w:rsid w:val="00383731"/>
    <w:rsid w:val="003837CD"/>
    <w:rsid w:val="00383846"/>
    <w:rsid w:val="0038391C"/>
    <w:rsid w:val="00383BA8"/>
    <w:rsid w:val="0038461D"/>
    <w:rsid w:val="00384693"/>
    <w:rsid w:val="0038480A"/>
    <w:rsid w:val="00384AB5"/>
    <w:rsid w:val="00384C46"/>
    <w:rsid w:val="00384C92"/>
    <w:rsid w:val="00384D9B"/>
    <w:rsid w:val="00384DD8"/>
    <w:rsid w:val="00384F61"/>
    <w:rsid w:val="003852C5"/>
    <w:rsid w:val="0038555F"/>
    <w:rsid w:val="0038567B"/>
    <w:rsid w:val="00385912"/>
    <w:rsid w:val="00385979"/>
    <w:rsid w:val="00385CCB"/>
    <w:rsid w:val="00385D3D"/>
    <w:rsid w:val="003861D5"/>
    <w:rsid w:val="00386D50"/>
    <w:rsid w:val="00387141"/>
    <w:rsid w:val="00387EAE"/>
    <w:rsid w:val="00387EC3"/>
    <w:rsid w:val="003900E9"/>
    <w:rsid w:val="0039064C"/>
    <w:rsid w:val="00390685"/>
    <w:rsid w:val="0039114E"/>
    <w:rsid w:val="00391591"/>
    <w:rsid w:val="00391716"/>
    <w:rsid w:val="0039191D"/>
    <w:rsid w:val="00391ABF"/>
    <w:rsid w:val="00391E30"/>
    <w:rsid w:val="00391E36"/>
    <w:rsid w:val="00391E9D"/>
    <w:rsid w:val="00392145"/>
    <w:rsid w:val="0039226A"/>
    <w:rsid w:val="003922C1"/>
    <w:rsid w:val="003924E4"/>
    <w:rsid w:val="0039291E"/>
    <w:rsid w:val="00392944"/>
    <w:rsid w:val="00392C57"/>
    <w:rsid w:val="003936DF"/>
    <w:rsid w:val="00393895"/>
    <w:rsid w:val="00393C62"/>
    <w:rsid w:val="00393CE6"/>
    <w:rsid w:val="00393EDC"/>
    <w:rsid w:val="00393EDF"/>
    <w:rsid w:val="00394211"/>
    <w:rsid w:val="0039436F"/>
    <w:rsid w:val="0039438A"/>
    <w:rsid w:val="00394791"/>
    <w:rsid w:val="003947BF"/>
    <w:rsid w:val="00395229"/>
    <w:rsid w:val="00395286"/>
    <w:rsid w:val="00395F99"/>
    <w:rsid w:val="00396437"/>
    <w:rsid w:val="0039687E"/>
    <w:rsid w:val="00396A34"/>
    <w:rsid w:val="00396DC3"/>
    <w:rsid w:val="003974A1"/>
    <w:rsid w:val="0039769A"/>
    <w:rsid w:val="003978FA"/>
    <w:rsid w:val="003A0277"/>
    <w:rsid w:val="003A0316"/>
    <w:rsid w:val="003A063D"/>
    <w:rsid w:val="003A063F"/>
    <w:rsid w:val="003A090B"/>
    <w:rsid w:val="003A0E93"/>
    <w:rsid w:val="003A12D7"/>
    <w:rsid w:val="003A13DE"/>
    <w:rsid w:val="003A17C3"/>
    <w:rsid w:val="003A219B"/>
    <w:rsid w:val="003A21F8"/>
    <w:rsid w:val="003A237D"/>
    <w:rsid w:val="003A24D1"/>
    <w:rsid w:val="003A284B"/>
    <w:rsid w:val="003A293A"/>
    <w:rsid w:val="003A2A56"/>
    <w:rsid w:val="003A2D67"/>
    <w:rsid w:val="003A3642"/>
    <w:rsid w:val="003A36CE"/>
    <w:rsid w:val="003A444D"/>
    <w:rsid w:val="003A46E9"/>
    <w:rsid w:val="003A472D"/>
    <w:rsid w:val="003A4F03"/>
    <w:rsid w:val="003A4FFA"/>
    <w:rsid w:val="003A5101"/>
    <w:rsid w:val="003A510B"/>
    <w:rsid w:val="003A534F"/>
    <w:rsid w:val="003A53D3"/>
    <w:rsid w:val="003A550E"/>
    <w:rsid w:val="003A58DC"/>
    <w:rsid w:val="003A5C62"/>
    <w:rsid w:val="003A5CEA"/>
    <w:rsid w:val="003A5D6F"/>
    <w:rsid w:val="003A5D88"/>
    <w:rsid w:val="003A622B"/>
    <w:rsid w:val="003A63DB"/>
    <w:rsid w:val="003A684C"/>
    <w:rsid w:val="003A6A5D"/>
    <w:rsid w:val="003A6E45"/>
    <w:rsid w:val="003A6EBC"/>
    <w:rsid w:val="003A77A6"/>
    <w:rsid w:val="003A7874"/>
    <w:rsid w:val="003A7D3E"/>
    <w:rsid w:val="003B01FF"/>
    <w:rsid w:val="003B0B3A"/>
    <w:rsid w:val="003B0DB6"/>
    <w:rsid w:val="003B0E84"/>
    <w:rsid w:val="003B10A8"/>
    <w:rsid w:val="003B1280"/>
    <w:rsid w:val="003B1636"/>
    <w:rsid w:val="003B1814"/>
    <w:rsid w:val="003B197A"/>
    <w:rsid w:val="003B2537"/>
    <w:rsid w:val="003B3072"/>
    <w:rsid w:val="003B41FC"/>
    <w:rsid w:val="003B45C0"/>
    <w:rsid w:val="003B4634"/>
    <w:rsid w:val="003B4DB9"/>
    <w:rsid w:val="003B51ED"/>
    <w:rsid w:val="003B5958"/>
    <w:rsid w:val="003B60EC"/>
    <w:rsid w:val="003B61EE"/>
    <w:rsid w:val="003B6FEC"/>
    <w:rsid w:val="003B70FD"/>
    <w:rsid w:val="003B769E"/>
    <w:rsid w:val="003B7C0A"/>
    <w:rsid w:val="003C0190"/>
    <w:rsid w:val="003C021F"/>
    <w:rsid w:val="003C048B"/>
    <w:rsid w:val="003C0C33"/>
    <w:rsid w:val="003C0E9A"/>
    <w:rsid w:val="003C0FB8"/>
    <w:rsid w:val="003C105F"/>
    <w:rsid w:val="003C12B8"/>
    <w:rsid w:val="003C1304"/>
    <w:rsid w:val="003C2DBF"/>
    <w:rsid w:val="003C2F67"/>
    <w:rsid w:val="003C30BF"/>
    <w:rsid w:val="003C33A6"/>
    <w:rsid w:val="003C37A3"/>
    <w:rsid w:val="003C41B5"/>
    <w:rsid w:val="003C4BBF"/>
    <w:rsid w:val="003C4C2D"/>
    <w:rsid w:val="003C4D39"/>
    <w:rsid w:val="003C521E"/>
    <w:rsid w:val="003C54A5"/>
    <w:rsid w:val="003C571A"/>
    <w:rsid w:val="003C590E"/>
    <w:rsid w:val="003C594E"/>
    <w:rsid w:val="003C64ED"/>
    <w:rsid w:val="003C6565"/>
    <w:rsid w:val="003C684F"/>
    <w:rsid w:val="003C7091"/>
    <w:rsid w:val="003C7212"/>
    <w:rsid w:val="003C733C"/>
    <w:rsid w:val="003C7E88"/>
    <w:rsid w:val="003D04D6"/>
    <w:rsid w:val="003D0662"/>
    <w:rsid w:val="003D0685"/>
    <w:rsid w:val="003D068D"/>
    <w:rsid w:val="003D0AB2"/>
    <w:rsid w:val="003D0AB5"/>
    <w:rsid w:val="003D0BAF"/>
    <w:rsid w:val="003D0C96"/>
    <w:rsid w:val="003D0D3C"/>
    <w:rsid w:val="003D1163"/>
    <w:rsid w:val="003D14D1"/>
    <w:rsid w:val="003D188F"/>
    <w:rsid w:val="003D1C3F"/>
    <w:rsid w:val="003D1E1C"/>
    <w:rsid w:val="003D1FF9"/>
    <w:rsid w:val="003D227F"/>
    <w:rsid w:val="003D2A68"/>
    <w:rsid w:val="003D2DC7"/>
    <w:rsid w:val="003D2FBE"/>
    <w:rsid w:val="003D3EC6"/>
    <w:rsid w:val="003D43F0"/>
    <w:rsid w:val="003D4881"/>
    <w:rsid w:val="003D583D"/>
    <w:rsid w:val="003D58FC"/>
    <w:rsid w:val="003D5A9B"/>
    <w:rsid w:val="003D5AB0"/>
    <w:rsid w:val="003D5E6C"/>
    <w:rsid w:val="003D5F07"/>
    <w:rsid w:val="003D5FAC"/>
    <w:rsid w:val="003D6A9A"/>
    <w:rsid w:val="003D6AE2"/>
    <w:rsid w:val="003D71DE"/>
    <w:rsid w:val="003D771E"/>
    <w:rsid w:val="003D7742"/>
    <w:rsid w:val="003D7AE6"/>
    <w:rsid w:val="003E020B"/>
    <w:rsid w:val="003E039A"/>
    <w:rsid w:val="003E0406"/>
    <w:rsid w:val="003E0471"/>
    <w:rsid w:val="003E0988"/>
    <w:rsid w:val="003E0E6E"/>
    <w:rsid w:val="003E10F4"/>
    <w:rsid w:val="003E126E"/>
    <w:rsid w:val="003E151E"/>
    <w:rsid w:val="003E1535"/>
    <w:rsid w:val="003E1C08"/>
    <w:rsid w:val="003E1C42"/>
    <w:rsid w:val="003E1DC0"/>
    <w:rsid w:val="003E2428"/>
    <w:rsid w:val="003E2D0C"/>
    <w:rsid w:val="003E31BE"/>
    <w:rsid w:val="003E35CF"/>
    <w:rsid w:val="003E3B0F"/>
    <w:rsid w:val="003E3CBD"/>
    <w:rsid w:val="003E3E94"/>
    <w:rsid w:val="003E3E9A"/>
    <w:rsid w:val="003E4721"/>
    <w:rsid w:val="003E5015"/>
    <w:rsid w:val="003E5158"/>
    <w:rsid w:val="003E526A"/>
    <w:rsid w:val="003E5405"/>
    <w:rsid w:val="003E5962"/>
    <w:rsid w:val="003E5CDE"/>
    <w:rsid w:val="003E6423"/>
    <w:rsid w:val="003E6513"/>
    <w:rsid w:val="003E6A7A"/>
    <w:rsid w:val="003E710B"/>
    <w:rsid w:val="003E7A91"/>
    <w:rsid w:val="003E7B17"/>
    <w:rsid w:val="003E7E2B"/>
    <w:rsid w:val="003F12CE"/>
    <w:rsid w:val="003F1776"/>
    <w:rsid w:val="003F1843"/>
    <w:rsid w:val="003F1B52"/>
    <w:rsid w:val="003F20A4"/>
    <w:rsid w:val="003F20DE"/>
    <w:rsid w:val="003F23B4"/>
    <w:rsid w:val="003F2764"/>
    <w:rsid w:val="003F3325"/>
    <w:rsid w:val="003F340D"/>
    <w:rsid w:val="003F3E40"/>
    <w:rsid w:val="003F3FAB"/>
    <w:rsid w:val="003F40D1"/>
    <w:rsid w:val="003F4867"/>
    <w:rsid w:val="003F4F84"/>
    <w:rsid w:val="003F50E0"/>
    <w:rsid w:val="003F516E"/>
    <w:rsid w:val="003F5716"/>
    <w:rsid w:val="003F60C2"/>
    <w:rsid w:val="003F649F"/>
    <w:rsid w:val="003F698E"/>
    <w:rsid w:val="003F6A94"/>
    <w:rsid w:val="003F704B"/>
    <w:rsid w:val="003F74D8"/>
    <w:rsid w:val="003F76F6"/>
    <w:rsid w:val="003F7758"/>
    <w:rsid w:val="003F7B4F"/>
    <w:rsid w:val="004003C6"/>
    <w:rsid w:val="004008A0"/>
    <w:rsid w:val="00400E28"/>
    <w:rsid w:val="00400F8B"/>
    <w:rsid w:val="00401287"/>
    <w:rsid w:val="0040218F"/>
    <w:rsid w:val="00402274"/>
    <w:rsid w:val="004026AA"/>
    <w:rsid w:val="00402AD4"/>
    <w:rsid w:val="00402D49"/>
    <w:rsid w:val="00403D3C"/>
    <w:rsid w:val="00403F36"/>
    <w:rsid w:val="004040FE"/>
    <w:rsid w:val="0040413E"/>
    <w:rsid w:val="004045A9"/>
    <w:rsid w:val="00404785"/>
    <w:rsid w:val="00404F2A"/>
    <w:rsid w:val="0040554F"/>
    <w:rsid w:val="00405706"/>
    <w:rsid w:val="00405FB4"/>
    <w:rsid w:val="004062D7"/>
    <w:rsid w:val="004063BD"/>
    <w:rsid w:val="00406B8E"/>
    <w:rsid w:val="00406E86"/>
    <w:rsid w:val="004071AA"/>
    <w:rsid w:val="004071E1"/>
    <w:rsid w:val="00407691"/>
    <w:rsid w:val="00407B1E"/>
    <w:rsid w:val="00407B24"/>
    <w:rsid w:val="00410386"/>
    <w:rsid w:val="004105C1"/>
    <w:rsid w:val="00410BBB"/>
    <w:rsid w:val="00410C05"/>
    <w:rsid w:val="004115F5"/>
    <w:rsid w:val="00411607"/>
    <w:rsid w:val="00411C04"/>
    <w:rsid w:val="00411EB7"/>
    <w:rsid w:val="00411F9F"/>
    <w:rsid w:val="00412366"/>
    <w:rsid w:val="004123F4"/>
    <w:rsid w:val="00412488"/>
    <w:rsid w:val="00413C4D"/>
    <w:rsid w:val="00413FE1"/>
    <w:rsid w:val="00414424"/>
    <w:rsid w:val="00414636"/>
    <w:rsid w:val="00414936"/>
    <w:rsid w:val="00414D29"/>
    <w:rsid w:val="0041530D"/>
    <w:rsid w:val="00415552"/>
    <w:rsid w:val="0041560E"/>
    <w:rsid w:val="004156AA"/>
    <w:rsid w:val="00415807"/>
    <w:rsid w:val="00415AB9"/>
    <w:rsid w:val="00416CB0"/>
    <w:rsid w:val="00416D3B"/>
    <w:rsid w:val="00416F71"/>
    <w:rsid w:val="00417431"/>
    <w:rsid w:val="0041773E"/>
    <w:rsid w:val="00417B83"/>
    <w:rsid w:val="00420984"/>
    <w:rsid w:val="00420A6E"/>
    <w:rsid w:val="00420BA9"/>
    <w:rsid w:val="004214FD"/>
    <w:rsid w:val="004216A1"/>
    <w:rsid w:val="004216E4"/>
    <w:rsid w:val="0042209B"/>
    <w:rsid w:val="0042213B"/>
    <w:rsid w:val="00422195"/>
    <w:rsid w:val="004226E7"/>
    <w:rsid w:val="00422C3B"/>
    <w:rsid w:val="00422DF0"/>
    <w:rsid w:val="00423689"/>
    <w:rsid w:val="004237D9"/>
    <w:rsid w:val="004237DE"/>
    <w:rsid w:val="00423847"/>
    <w:rsid w:val="0042391F"/>
    <w:rsid w:val="00423B1B"/>
    <w:rsid w:val="00423BCC"/>
    <w:rsid w:val="00423C21"/>
    <w:rsid w:val="00423D4D"/>
    <w:rsid w:val="004242E0"/>
    <w:rsid w:val="0042443E"/>
    <w:rsid w:val="00424646"/>
    <w:rsid w:val="0042466E"/>
    <w:rsid w:val="0042500C"/>
    <w:rsid w:val="004256F0"/>
    <w:rsid w:val="004257F8"/>
    <w:rsid w:val="004259BC"/>
    <w:rsid w:val="00425B7D"/>
    <w:rsid w:val="00425B9B"/>
    <w:rsid w:val="00425D6B"/>
    <w:rsid w:val="0042695B"/>
    <w:rsid w:val="00427298"/>
    <w:rsid w:val="004273AC"/>
    <w:rsid w:val="004276C1"/>
    <w:rsid w:val="00427C48"/>
    <w:rsid w:val="00427CC2"/>
    <w:rsid w:val="00430244"/>
    <w:rsid w:val="00430667"/>
    <w:rsid w:val="00430804"/>
    <w:rsid w:val="00431878"/>
    <w:rsid w:val="00432EBC"/>
    <w:rsid w:val="0043363F"/>
    <w:rsid w:val="004339BB"/>
    <w:rsid w:val="00433AED"/>
    <w:rsid w:val="00434278"/>
    <w:rsid w:val="00434DF3"/>
    <w:rsid w:val="00434FF6"/>
    <w:rsid w:val="00435BDC"/>
    <w:rsid w:val="00436A99"/>
    <w:rsid w:val="00436FF7"/>
    <w:rsid w:val="0043720F"/>
    <w:rsid w:val="00437592"/>
    <w:rsid w:val="00437B42"/>
    <w:rsid w:val="00437C27"/>
    <w:rsid w:val="00437C9C"/>
    <w:rsid w:val="0044008A"/>
    <w:rsid w:val="0044058B"/>
    <w:rsid w:val="00440F28"/>
    <w:rsid w:val="0044102C"/>
    <w:rsid w:val="00441ABA"/>
    <w:rsid w:val="00441C5C"/>
    <w:rsid w:val="00441E22"/>
    <w:rsid w:val="00442016"/>
    <w:rsid w:val="00442327"/>
    <w:rsid w:val="004426ED"/>
    <w:rsid w:val="00442947"/>
    <w:rsid w:val="00442EB8"/>
    <w:rsid w:val="00442EC8"/>
    <w:rsid w:val="0044308C"/>
    <w:rsid w:val="00443F4D"/>
    <w:rsid w:val="004443A3"/>
    <w:rsid w:val="0044443D"/>
    <w:rsid w:val="00444B47"/>
    <w:rsid w:val="00444B5E"/>
    <w:rsid w:val="00445260"/>
    <w:rsid w:val="004456B2"/>
    <w:rsid w:val="00446087"/>
    <w:rsid w:val="0044611D"/>
    <w:rsid w:val="00446284"/>
    <w:rsid w:val="00446560"/>
    <w:rsid w:val="00446576"/>
    <w:rsid w:val="004469F1"/>
    <w:rsid w:val="00446AF2"/>
    <w:rsid w:val="00446D39"/>
    <w:rsid w:val="00446FAD"/>
    <w:rsid w:val="00447064"/>
    <w:rsid w:val="0044726D"/>
    <w:rsid w:val="004476C3"/>
    <w:rsid w:val="00450428"/>
    <w:rsid w:val="004506CB"/>
    <w:rsid w:val="0045082C"/>
    <w:rsid w:val="00450AF0"/>
    <w:rsid w:val="00450C2E"/>
    <w:rsid w:val="00450C3E"/>
    <w:rsid w:val="00450C9D"/>
    <w:rsid w:val="00450D05"/>
    <w:rsid w:val="00450FB6"/>
    <w:rsid w:val="004510C4"/>
    <w:rsid w:val="004519EA"/>
    <w:rsid w:val="00452A0A"/>
    <w:rsid w:val="00452B48"/>
    <w:rsid w:val="00452B89"/>
    <w:rsid w:val="00452EB4"/>
    <w:rsid w:val="004538E3"/>
    <w:rsid w:val="00453B5B"/>
    <w:rsid w:val="00453C6F"/>
    <w:rsid w:val="00453CC1"/>
    <w:rsid w:val="004544DA"/>
    <w:rsid w:val="004546AB"/>
    <w:rsid w:val="0045476B"/>
    <w:rsid w:val="0045548A"/>
    <w:rsid w:val="004557BC"/>
    <w:rsid w:val="00455A2B"/>
    <w:rsid w:val="00455A6D"/>
    <w:rsid w:val="00455C8B"/>
    <w:rsid w:val="00456124"/>
    <w:rsid w:val="00456237"/>
    <w:rsid w:val="0045644C"/>
    <w:rsid w:val="004568C0"/>
    <w:rsid w:val="00456A16"/>
    <w:rsid w:val="00456A88"/>
    <w:rsid w:val="00456CA0"/>
    <w:rsid w:val="00456E1F"/>
    <w:rsid w:val="004572B1"/>
    <w:rsid w:val="004577C7"/>
    <w:rsid w:val="00460850"/>
    <w:rsid w:val="00460B03"/>
    <w:rsid w:val="00460B37"/>
    <w:rsid w:val="00461694"/>
    <w:rsid w:val="0046177A"/>
    <w:rsid w:val="0046197F"/>
    <w:rsid w:val="00461ABB"/>
    <w:rsid w:val="0046305C"/>
    <w:rsid w:val="00463435"/>
    <w:rsid w:val="00463536"/>
    <w:rsid w:val="00463BE8"/>
    <w:rsid w:val="00463DA0"/>
    <w:rsid w:val="00464220"/>
    <w:rsid w:val="0046433D"/>
    <w:rsid w:val="00464399"/>
    <w:rsid w:val="00464E85"/>
    <w:rsid w:val="0046517B"/>
    <w:rsid w:val="00465293"/>
    <w:rsid w:val="00465503"/>
    <w:rsid w:val="00465C2D"/>
    <w:rsid w:val="00466490"/>
    <w:rsid w:val="004666A1"/>
    <w:rsid w:val="00466966"/>
    <w:rsid w:val="00466E88"/>
    <w:rsid w:val="00466F28"/>
    <w:rsid w:val="004672E8"/>
    <w:rsid w:val="00467B5D"/>
    <w:rsid w:val="00467D56"/>
    <w:rsid w:val="00470144"/>
    <w:rsid w:val="00470802"/>
    <w:rsid w:val="00471044"/>
    <w:rsid w:val="0047110B"/>
    <w:rsid w:val="0047136B"/>
    <w:rsid w:val="00471AFF"/>
    <w:rsid w:val="00472108"/>
    <w:rsid w:val="00472192"/>
    <w:rsid w:val="00472374"/>
    <w:rsid w:val="00472C8E"/>
    <w:rsid w:val="004730B6"/>
    <w:rsid w:val="0047333D"/>
    <w:rsid w:val="00473624"/>
    <w:rsid w:val="00473671"/>
    <w:rsid w:val="004738EA"/>
    <w:rsid w:val="00473CFC"/>
    <w:rsid w:val="00473E5F"/>
    <w:rsid w:val="0047429B"/>
    <w:rsid w:val="0047450B"/>
    <w:rsid w:val="0047467E"/>
    <w:rsid w:val="00474A51"/>
    <w:rsid w:val="00474B33"/>
    <w:rsid w:val="00474C30"/>
    <w:rsid w:val="00474D75"/>
    <w:rsid w:val="00475139"/>
    <w:rsid w:val="004751CA"/>
    <w:rsid w:val="00475935"/>
    <w:rsid w:val="00475F5F"/>
    <w:rsid w:val="004762B1"/>
    <w:rsid w:val="0047667D"/>
    <w:rsid w:val="004772AB"/>
    <w:rsid w:val="0047739F"/>
    <w:rsid w:val="00477BC5"/>
    <w:rsid w:val="00477E57"/>
    <w:rsid w:val="0048029D"/>
    <w:rsid w:val="00480867"/>
    <w:rsid w:val="00481794"/>
    <w:rsid w:val="00481BA3"/>
    <w:rsid w:val="004822A7"/>
    <w:rsid w:val="0048239B"/>
    <w:rsid w:val="0048248E"/>
    <w:rsid w:val="0048258F"/>
    <w:rsid w:val="00482834"/>
    <w:rsid w:val="00482BBD"/>
    <w:rsid w:val="00482C31"/>
    <w:rsid w:val="004831A3"/>
    <w:rsid w:val="004836FA"/>
    <w:rsid w:val="0048374D"/>
    <w:rsid w:val="00483758"/>
    <w:rsid w:val="004838CA"/>
    <w:rsid w:val="00484226"/>
    <w:rsid w:val="0048432C"/>
    <w:rsid w:val="004843F9"/>
    <w:rsid w:val="004848A1"/>
    <w:rsid w:val="00484FD5"/>
    <w:rsid w:val="004852D0"/>
    <w:rsid w:val="00485F83"/>
    <w:rsid w:val="004860B6"/>
    <w:rsid w:val="00486140"/>
    <w:rsid w:val="0048724E"/>
    <w:rsid w:val="0048770D"/>
    <w:rsid w:val="0048774C"/>
    <w:rsid w:val="004877B8"/>
    <w:rsid w:val="00487C22"/>
    <w:rsid w:val="00487D34"/>
    <w:rsid w:val="004900D9"/>
    <w:rsid w:val="00490118"/>
    <w:rsid w:val="004905CA"/>
    <w:rsid w:val="00490BDA"/>
    <w:rsid w:val="00490D2A"/>
    <w:rsid w:val="004910DF"/>
    <w:rsid w:val="00491421"/>
    <w:rsid w:val="004914BF"/>
    <w:rsid w:val="00491B2C"/>
    <w:rsid w:val="00491C77"/>
    <w:rsid w:val="00492045"/>
    <w:rsid w:val="0049239F"/>
    <w:rsid w:val="00492661"/>
    <w:rsid w:val="00492AA2"/>
    <w:rsid w:val="00492F01"/>
    <w:rsid w:val="00493172"/>
    <w:rsid w:val="00493ECF"/>
    <w:rsid w:val="004943BF"/>
    <w:rsid w:val="00494DB5"/>
    <w:rsid w:val="00495181"/>
    <w:rsid w:val="00495402"/>
    <w:rsid w:val="0049558A"/>
    <w:rsid w:val="00495834"/>
    <w:rsid w:val="00495A27"/>
    <w:rsid w:val="00495B68"/>
    <w:rsid w:val="00495E00"/>
    <w:rsid w:val="004960DF"/>
    <w:rsid w:val="00496263"/>
    <w:rsid w:val="0049685F"/>
    <w:rsid w:val="004974A2"/>
    <w:rsid w:val="0049770D"/>
    <w:rsid w:val="00497BD8"/>
    <w:rsid w:val="00497E2E"/>
    <w:rsid w:val="00497E65"/>
    <w:rsid w:val="00497F67"/>
    <w:rsid w:val="004A0B68"/>
    <w:rsid w:val="004A0D0A"/>
    <w:rsid w:val="004A1263"/>
    <w:rsid w:val="004A12BA"/>
    <w:rsid w:val="004A193A"/>
    <w:rsid w:val="004A1D3A"/>
    <w:rsid w:val="004A2129"/>
    <w:rsid w:val="004A2327"/>
    <w:rsid w:val="004A23DA"/>
    <w:rsid w:val="004A23DE"/>
    <w:rsid w:val="004A26AB"/>
    <w:rsid w:val="004A2ADC"/>
    <w:rsid w:val="004A2B24"/>
    <w:rsid w:val="004A2C55"/>
    <w:rsid w:val="004A2CA7"/>
    <w:rsid w:val="004A2E2E"/>
    <w:rsid w:val="004A37A5"/>
    <w:rsid w:val="004A3A7D"/>
    <w:rsid w:val="004A3C0E"/>
    <w:rsid w:val="004A3D2F"/>
    <w:rsid w:val="004A3E7A"/>
    <w:rsid w:val="004A488C"/>
    <w:rsid w:val="004A48E2"/>
    <w:rsid w:val="004A4F19"/>
    <w:rsid w:val="004A4F6D"/>
    <w:rsid w:val="004A4F80"/>
    <w:rsid w:val="004A522D"/>
    <w:rsid w:val="004A63A3"/>
    <w:rsid w:val="004A66BC"/>
    <w:rsid w:val="004A68E7"/>
    <w:rsid w:val="004A6A3E"/>
    <w:rsid w:val="004A6BFE"/>
    <w:rsid w:val="004A6D02"/>
    <w:rsid w:val="004A7491"/>
    <w:rsid w:val="004A7552"/>
    <w:rsid w:val="004B059F"/>
    <w:rsid w:val="004B0E6E"/>
    <w:rsid w:val="004B0F6F"/>
    <w:rsid w:val="004B1019"/>
    <w:rsid w:val="004B1282"/>
    <w:rsid w:val="004B1566"/>
    <w:rsid w:val="004B1638"/>
    <w:rsid w:val="004B19D0"/>
    <w:rsid w:val="004B1ECA"/>
    <w:rsid w:val="004B1F23"/>
    <w:rsid w:val="004B2396"/>
    <w:rsid w:val="004B24CB"/>
    <w:rsid w:val="004B2B7C"/>
    <w:rsid w:val="004B2EED"/>
    <w:rsid w:val="004B35F0"/>
    <w:rsid w:val="004B3729"/>
    <w:rsid w:val="004B3C43"/>
    <w:rsid w:val="004B3D3A"/>
    <w:rsid w:val="004B3F31"/>
    <w:rsid w:val="004B42EB"/>
    <w:rsid w:val="004B444F"/>
    <w:rsid w:val="004B44CB"/>
    <w:rsid w:val="004B4ABF"/>
    <w:rsid w:val="004B4BD8"/>
    <w:rsid w:val="004B4C91"/>
    <w:rsid w:val="004B4CF8"/>
    <w:rsid w:val="004B4E46"/>
    <w:rsid w:val="004B5C7C"/>
    <w:rsid w:val="004B5DD7"/>
    <w:rsid w:val="004B62B2"/>
    <w:rsid w:val="004B7280"/>
    <w:rsid w:val="004B7AC0"/>
    <w:rsid w:val="004B7BA2"/>
    <w:rsid w:val="004B7CC1"/>
    <w:rsid w:val="004C03A3"/>
    <w:rsid w:val="004C04D9"/>
    <w:rsid w:val="004C05AD"/>
    <w:rsid w:val="004C0850"/>
    <w:rsid w:val="004C0857"/>
    <w:rsid w:val="004C0A1A"/>
    <w:rsid w:val="004C0F6B"/>
    <w:rsid w:val="004C147B"/>
    <w:rsid w:val="004C1AB2"/>
    <w:rsid w:val="004C1F0F"/>
    <w:rsid w:val="004C26D1"/>
    <w:rsid w:val="004C29C0"/>
    <w:rsid w:val="004C2BD4"/>
    <w:rsid w:val="004C2EB2"/>
    <w:rsid w:val="004C3057"/>
    <w:rsid w:val="004C3C92"/>
    <w:rsid w:val="004C43DB"/>
    <w:rsid w:val="004C469A"/>
    <w:rsid w:val="004C47F9"/>
    <w:rsid w:val="004C4900"/>
    <w:rsid w:val="004C4C56"/>
    <w:rsid w:val="004C4CF6"/>
    <w:rsid w:val="004C5C3B"/>
    <w:rsid w:val="004C5C6B"/>
    <w:rsid w:val="004C6049"/>
    <w:rsid w:val="004C6114"/>
    <w:rsid w:val="004C6307"/>
    <w:rsid w:val="004C6318"/>
    <w:rsid w:val="004C6751"/>
    <w:rsid w:val="004C6949"/>
    <w:rsid w:val="004C69CF"/>
    <w:rsid w:val="004C70D4"/>
    <w:rsid w:val="004C7495"/>
    <w:rsid w:val="004C7CB5"/>
    <w:rsid w:val="004D0024"/>
    <w:rsid w:val="004D0614"/>
    <w:rsid w:val="004D0B12"/>
    <w:rsid w:val="004D13B9"/>
    <w:rsid w:val="004D16F6"/>
    <w:rsid w:val="004D19AD"/>
    <w:rsid w:val="004D1BE3"/>
    <w:rsid w:val="004D1F83"/>
    <w:rsid w:val="004D2158"/>
    <w:rsid w:val="004D21A7"/>
    <w:rsid w:val="004D255A"/>
    <w:rsid w:val="004D261C"/>
    <w:rsid w:val="004D2696"/>
    <w:rsid w:val="004D26DB"/>
    <w:rsid w:val="004D3381"/>
    <w:rsid w:val="004D3610"/>
    <w:rsid w:val="004D390D"/>
    <w:rsid w:val="004D40C2"/>
    <w:rsid w:val="004D4540"/>
    <w:rsid w:val="004D4C00"/>
    <w:rsid w:val="004D52DC"/>
    <w:rsid w:val="004D59C6"/>
    <w:rsid w:val="004D5AE9"/>
    <w:rsid w:val="004D5C91"/>
    <w:rsid w:val="004D5F68"/>
    <w:rsid w:val="004D6267"/>
    <w:rsid w:val="004D6533"/>
    <w:rsid w:val="004D67E4"/>
    <w:rsid w:val="004D6B48"/>
    <w:rsid w:val="004D6C5B"/>
    <w:rsid w:val="004D723D"/>
    <w:rsid w:val="004D758F"/>
    <w:rsid w:val="004D7871"/>
    <w:rsid w:val="004D7ABB"/>
    <w:rsid w:val="004E000C"/>
    <w:rsid w:val="004E0699"/>
    <w:rsid w:val="004E1821"/>
    <w:rsid w:val="004E2195"/>
    <w:rsid w:val="004E2446"/>
    <w:rsid w:val="004E244D"/>
    <w:rsid w:val="004E2B62"/>
    <w:rsid w:val="004E2D6C"/>
    <w:rsid w:val="004E2D89"/>
    <w:rsid w:val="004E2E92"/>
    <w:rsid w:val="004E30D1"/>
    <w:rsid w:val="004E32ED"/>
    <w:rsid w:val="004E32FD"/>
    <w:rsid w:val="004E3677"/>
    <w:rsid w:val="004E3823"/>
    <w:rsid w:val="004E3D10"/>
    <w:rsid w:val="004E4013"/>
    <w:rsid w:val="004E41AF"/>
    <w:rsid w:val="004E41B1"/>
    <w:rsid w:val="004E47B0"/>
    <w:rsid w:val="004E49A5"/>
    <w:rsid w:val="004E4A0D"/>
    <w:rsid w:val="004E4B1E"/>
    <w:rsid w:val="004E4C1A"/>
    <w:rsid w:val="004E4DFC"/>
    <w:rsid w:val="004E502E"/>
    <w:rsid w:val="004E52AE"/>
    <w:rsid w:val="004E56B0"/>
    <w:rsid w:val="004E586C"/>
    <w:rsid w:val="004E5C32"/>
    <w:rsid w:val="004E5CD1"/>
    <w:rsid w:val="004E5ECA"/>
    <w:rsid w:val="004E6DB4"/>
    <w:rsid w:val="004E6E17"/>
    <w:rsid w:val="004E71FB"/>
    <w:rsid w:val="004E75AC"/>
    <w:rsid w:val="004E789C"/>
    <w:rsid w:val="004E7A0E"/>
    <w:rsid w:val="004E7A65"/>
    <w:rsid w:val="004E7AEF"/>
    <w:rsid w:val="004E7C85"/>
    <w:rsid w:val="004E7F14"/>
    <w:rsid w:val="004F0486"/>
    <w:rsid w:val="004F0563"/>
    <w:rsid w:val="004F0A14"/>
    <w:rsid w:val="004F0C1C"/>
    <w:rsid w:val="004F10AF"/>
    <w:rsid w:val="004F1142"/>
    <w:rsid w:val="004F15FC"/>
    <w:rsid w:val="004F260D"/>
    <w:rsid w:val="004F30C8"/>
    <w:rsid w:val="004F32DA"/>
    <w:rsid w:val="004F3359"/>
    <w:rsid w:val="004F38F7"/>
    <w:rsid w:val="004F3DC4"/>
    <w:rsid w:val="004F405D"/>
    <w:rsid w:val="004F42CB"/>
    <w:rsid w:val="004F448E"/>
    <w:rsid w:val="004F4600"/>
    <w:rsid w:val="004F4855"/>
    <w:rsid w:val="004F4A04"/>
    <w:rsid w:val="004F4C1D"/>
    <w:rsid w:val="004F4CD0"/>
    <w:rsid w:val="004F4D99"/>
    <w:rsid w:val="004F4F6D"/>
    <w:rsid w:val="004F4F84"/>
    <w:rsid w:val="004F50BF"/>
    <w:rsid w:val="004F5807"/>
    <w:rsid w:val="004F596C"/>
    <w:rsid w:val="004F5B10"/>
    <w:rsid w:val="004F601B"/>
    <w:rsid w:val="004F60FB"/>
    <w:rsid w:val="004F6387"/>
    <w:rsid w:val="004F649F"/>
    <w:rsid w:val="004F6AAD"/>
    <w:rsid w:val="004F6C98"/>
    <w:rsid w:val="004F78D8"/>
    <w:rsid w:val="004F7901"/>
    <w:rsid w:val="00500220"/>
    <w:rsid w:val="0050170E"/>
    <w:rsid w:val="00501A4C"/>
    <w:rsid w:val="00501FB0"/>
    <w:rsid w:val="00501FDE"/>
    <w:rsid w:val="005022B5"/>
    <w:rsid w:val="005028D9"/>
    <w:rsid w:val="00502B2A"/>
    <w:rsid w:val="005030F5"/>
    <w:rsid w:val="00503394"/>
    <w:rsid w:val="00503CDD"/>
    <w:rsid w:val="00503D57"/>
    <w:rsid w:val="00503DB3"/>
    <w:rsid w:val="00503FD2"/>
    <w:rsid w:val="005047DA"/>
    <w:rsid w:val="00504CFC"/>
    <w:rsid w:val="00505979"/>
    <w:rsid w:val="00505E15"/>
    <w:rsid w:val="00506131"/>
    <w:rsid w:val="00506466"/>
    <w:rsid w:val="005067BD"/>
    <w:rsid w:val="005069D1"/>
    <w:rsid w:val="00506B18"/>
    <w:rsid w:val="005072EC"/>
    <w:rsid w:val="00507A53"/>
    <w:rsid w:val="00507B8B"/>
    <w:rsid w:val="00507D3E"/>
    <w:rsid w:val="00507DFB"/>
    <w:rsid w:val="00510B81"/>
    <w:rsid w:val="00511241"/>
    <w:rsid w:val="00512072"/>
    <w:rsid w:val="0051299C"/>
    <w:rsid w:val="005129E1"/>
    <w:rsid w:val="00512D4C"/>
    <w:rsid w:val="00512F79"/>
    <w:rsid w:val="00512FC6"/>
    <w:rsid w:val="005130FA"/>
    <w:rsid w:val="00513872"/>
    <w:rsid w:val="005142BD"/>
    <w:rsid w:val="00514D63"/>
    <w:rsid w:val="005153DF"/>
    <w:rsid w:val="00515452"/>
    <w:rsid w:val="0051589A"/>
    <w:rsid w:val="00515E02"/>
    <w:rsid w:val="00515E0D"/>
    <w:rsid w:val="0051617A"/>
    <w:rsid w:val="00516AC0"/>
    <w:rsid w:val="00516EC7"/>
    <w:rsid w:val="00517010"/>
    <w:rsid w:val="0051720A"/>
    <w:rsid w:val="00517E80"/>
    <w:rsid w:val="00517F02"/>
    <w:rsid w:val="005202C6"/>
    <w:rsid w:val="0052094C"/>
    <w:rsid w:val="00520B77"/>
    <w:rsid w:val="00520E13"/>
    <w:rsid w:val="00521089"/>
    <w:rsid w:val="00521302"/>
    <w:rsid w:val="005213BD"/>
    <w:rsid w:val="005215E0"/>
    <w:rsid w:val="00522448"/>
    <w:rsid w:val="0052254F"/>
    <w:rsid w:val="005225C4"/>
    <w:rsid w:val="005230E3"/>
    <w:rsid w:val="00523956"/>
    <w:rsid w:val="0052419D"/>
    <w:rsid w:val="00524627"/>
    <w:rsid w:val="00524678"/>
    <w:rsid w:val="00524B10"/>
    <w:rsid w:val="00524C31"/>
    <w:rsid w:val="00524C4E"/>
    <w:rsid w:val="00524C5F"/>
    <w:rsid w:val="00524E8A"/>
    <w:rsid w:val="00525066"/>
    <w:rsid w:val="005250A4"/>
    <w:rsid w:val="005257E0"/>
    <w:rsid w:val="00525A58"/>
    <w:rsid w:val="00525ABA"/>
    <w:rsid w:val="0052795F"/>
    <w:rsid w:val="00527DBD"/>
    <w:rsid w:val="00527E0E"/>
    <w:rsid w:val="00527F62"/>
    <w:rsid w:val="0053033B"/>
    <w:rsid w:val="005303FF"/>
    <w:rsid w:val="00530D85"/>
    <w:rsid w:val="005310AB"/>
    <w:rsid w:val="00531481"/>
    <w:rsid w:val="00531898"/>
    <w:rsid w:val="00531C1D"/>
    <w:rsid w:val="0053208E"/>
    <w:rsid w:val="0053224B"/>
    <w:rsid w:val="005325AA"/>
    <w:rsid w:val="00532A7B"/>
    <w:rsid w:val="00532A9E"/>
    <w:rsid w:val="005330CC"/>
    <w:rsid w:val="005336A8"/>
    <w:rsid w:val="00533BF8"/>
    <w:rsid w:val="00534404"/>
    <w:rsid w:val="00534515"/>
    <w:rsid w:val="0053528F"/>
    <w:rsid w:val="00535F02"/>
    <w:rsid w:val="00535FF6"/>
    <w:rsid w:val="00536315"/>
    <w:rsid w:val="00536362"/>
    <w:rsid w:val="005363C6"/>
    <w:rsid w:val="00536B42"/>
    <w:rsid w:val="00537775"/>
    <w:rsid w:val="00537781"/>
    <w:rsid w:val="005377EA"/>
    <w:rsid w:val="0053784B"/>
    <w:rsid w:val="00537BA9"/>
    <w:rsid w:val="005401AA"/>
    <w:rsid w:val="00540476"/>
    <w:rsid w:val="005404FE"/>
    <w:rsid w:val="00540BCA"/>
    <w:rsid w:val="00540E6E"/>
    <w:rsid w:val="0054148A"/>
    <w:rsid w:val="005414DA"/>
    <w:rsid w:val="00541825"/>
    <w:rsid w:val="00541D70"/>
    <w:rsid w:val="00541FC4"/>
    <w:rsid w:val="00542063"/>
    <w:rsid w:val="0054213F"/>
    <w:rsid w:val="005421E8"/>
    <w:rsid w:val="005428A2"/>
    <w:rsid w:val="00542B7D"/>
    <w:rsid w:val="00542C45"/>
    <w:rsid w:val="00542F75"/>
    <w:rsid w:val="0054344F"/>
    <w:rsid w:val="00543700"/>
    <w:rsid w:val="00543818"/>
    <w:rsid w:val="005441B0"/>
    <w:rsid w:val="00544569"/>
    <w:rsid w:val="00544655"/>
    <w:rsid w:val="00544A5D"/>
    <w:rsid w:val="00544BC9"/>
    <w:rsid w:val="00544DAE"/>
    <w:rsid w:val="005451C9"/>
    <w:rsid w:val="005455C1"/>
    <w:rsid w:val="005457F0"/>
    <w:rsid w:val="0054585F"/>
    <w:rsid w:val="00545AF5"/>
    <w:rsid w:val="00545B05"/>
    <w:rsid w:val="00545B21"/>
    <w:rsid w:val="00545B72"/>
    <w:rsid w:val="0054615F"/>
    <w:rsid w:val="00546427"/>
    <w:rsid w:val="0054674E"/>
    <w:rsid w:val="00546851"/>
    <w:rsid w:val="00546868"/>
    <w:rsid w:val="0054750A"/>
    <w:rsid w:val="00547893"/>
    <w:rsid w:val="00547A70"/>
    <w:rsid w:val="00547A8E"/>
    <w:rsid w:val="00547B35"/>
    <w:rsid w:val="00550495"/>
    <w:rsid w:val="005507F2"/>
    <w:rsid w:val="00550AA6"/>
    <w:rsid w:val="00550B0A"/>
    <w:rsid w:val="00550B4C"/>
    <w:rsid w:val="00550D5E"/>
    <w:rsid w:val="00550FB6"/>
    <w:rsid w:val="00550FDD"/>
    <w:rsid w:val="00551695"/>
    <w:rsid w:val="00551850"/>
    <w:rsid w:val="00551D55"/>
    <w:rsid w:val="00551D5C"/>
    <w:rsid w:val="00551F5A"/>
    <w:rsid w:val="00551FC6"/>
    <w:rsid w:val="00552077"/>
    <w:rsid w:val="0055233C"/>
    <w:rsid w:val="00552374"/>
    <w:rsid w:val="005524DF"/>
    <w:rsid w:val="00552516"/>
    <w:rsid w:val="00552876"/>
    <w:rsid w:val="005529A0"/>
    <w:rsid w:val="00552ABE"/>
    <w:rsid w:val="00552D04"/>
    <w:rsid w:val="0055339A"/>
    <w:rsid w:val="005537A5"/>
    <w:rsid w:val="005538DB"/>
    <w:rsid w:val="00553949"/>
    <w:rsid w:val="0055406E"/>
    <w:rsid w:val="00554240"/>
    <w:rsid w:val="00554A8C"/>
    <w:rsid w:val="00554B01"/>
    <w:rsid w:val="00555873"/>
    <w:rsid w:val="00555EEB"/>
    <w:rsid w:val="0055619C"/>
    <w:rsid w:val="005562D5"/>
    <w:rsid w:val="005568D9"/>
    <w:rsid w:val="00556F93"/>
    <w:rsid w:val="00557CAA"/>
    <w:rsid w:val="00557DC6"/>
    <w:rsid w:val="005607B6"/>
    <w:rsid w:val="00560CD6"/>
    <w:rsid w:val="005610B6"/>
    <w:rsid w:val="0056124D"/>
    <w:rsid w:val="00561263"/>
    <w:rsid w:val="00561AC7"/>
    <w:rsid w:val="00561B63"/>
    <w:rsid w:val="005621D4"/>
    <w:rsid w:val="00562922"/>
    <w:rsid w:val="005629E7"/>
    <w:rsid w:val="00562A24"/>
    <w:rsid w:val="00562CB0"/>
    <w:rsid w:val="00562FD5"/>
    <w:rsid w:val="00563059"/>
    <w:rsid w:val="00563685"/>
    <w:rsid w:val="005636C8"/>
    <w:rsid w:val="00563752"/>
    <w:rsid w:val="00563B99"/>
    <w:rsid w:val="00563BD3"/>
    <w:rsid w:val="00563EE6"/>
    <w:rsid w:val="00564199"/>
    <w:rsid w:val="005641EF"/>
    <w:rsid w:val="005642B4"/>
    <w:rsid w:val="0056430B"/>
    <w:rsid w:val="005644CD"/>
    <w:rsid w:val="00564918"/>
    <w:rsid w:val="00564968"/>
    <w:rsid w:val="0056555C"/>
    <w:rsid w:val="00565964"/>
    <w:rsid w:val="00565A76"/>
    <w:rsid w:val="005661C3"/>
    <w:rsid w:val="0056637D"/>
    <w:rsid w:val="00566518"/>
    <w:rsid w:val="00566B1D"/>
    <w:rsid w:val="005671F2"/>
    <w:rsid w:val="0056780E"/>
    <w:rsid w:val="00567B0D"/>
    <w:rsid w:val="005703D9"/>
    <w:rsid w:val="00571100"/>
    <w:rsid w:val="005719EB"/>
    <w:rsid w:val="00571AE6"/>
    <w:rsid w:val="00571E22"/>
    <w:rsid w:val="00571FBA"/>
    <w:rsid w:val="005720BF"/>
    <w:rsid w:val="00572729"/>
    <w:rsid w:val="005729BF"/>
    <w:rsid w:val="00572FE9"/>
    <w:rsid w:val="00573193"/>
    <w:rsid w:val="0057323E"/>
    <w:rsid w:val="00573521"/>
    <w:rsid w:val="0057385B"/>
    <w:rsid w:val="00573E58"/>
    <w:rsid w:val="0057428B"/>
    <w:rsid w:val="00574629"/>
    <w:rsid w:val="005748E7"/>
    <w:rsid w:val="0057514C"/>
    <w:rsid w:val="00575155"/>
    <w:rsid w:val="005757AF"/>
    <w:rsid w:val="0057630C"/>
    <w:rsid w:val="0057641E"/>
    <w:rsid w:val="00576678"/>
    <w:rsid w:val="005769A0"/>
    <w:rsid w:val="00576E45"/>
    <w:rsid w:val="00576FB0"/>
    <w:rsid w:val="00577288"/>
    <w:rsid w:val="0057734E"/>
    <w:rsid w:val="005777E2"/>
    <w:rsid w:val="005778ED"/>
    <w:rsid w:val="00580946"/>
    <w:rsid w:val="005809B6"/>
    <w:rsid w:val="005810DD"/>
    <w:rsid w:val="00581B40"/>
    <w:rsid w:val="00581E9D"/>
    <w:rsid w:val="0058205F"/>
    <w:rsid w:val="005820A2"/>
    <w:rsid w:val="0058226A"/>
    <w:rsid w:val="00582418"/>
    <w:rsid w:val="00582A25"/>
    <w:rsid w:val="00582C47"/>
    <w:rsid w:val="00583050"/>
    <w:rsid w:val="0058316E"/>
    <w:rsid w:val="005834C8"/>
    <w:rsid w:val="00583522"/>
    <w:rsid w:val="00583D7B"/>
    <w:rsid w:val="0058454D"/>
    <w:rsid w:val="00584742"/>
    <w:rsid w:val="00584AEF"/>
    <w:rsid w:val="00584BC4"/>
    <w:rsid w:val="00585A6A"/>
    <w:rsid w:val="00585C46"/>
    <w:rsid w:val="00585EF3"/>
    <w:rsid w:val="00586078"/>
    <w:rsid w:val="005860FF"/>
    <w:rsid w:val="00586460"/>
    <w:rsid w:val="00586A14"/>
    <w:rsid w:val="00586E40"/>
    <w:rsid w:val="00587207"/>
    <w:rsid w:val="005873B3"/>
    <w:rsid w:val="005874FE"/>
    <w:rsid w:val="00587BC4"/>
    <w:rsid w:val="00587BDA"/>
    <w:rsid w:val="0059089C"/>
    <w:rsid w:val="005911E9"/>
    <w:rsid w:val="005912D3"/>
    <w:rsid w:val="0059135E"/>
    <w:rsid w:val="00591C6D"/>
    <w:rsid w:val="00592401"/>
    <w:rsid w:val="00592768"/>
    <w:rsid w:val="005932B0"/>
    <w:rsid w:val="005932EE"/>
    <w:rsid w:val="005933A4"/>
    <w:rsid w:val="0059357D"/>
    <w:rsid w:val="005935B1"/>
    <w:rsid w:val="00593B68"/>
    <w:rsid w:val="00593B83"/>
    <w:rsid w:val="00593CD5"/>
    <w:rsid w:val="00593DED"/>
    <w:rsid w:val="00593E9C"/>
    <w:rsid w:val="0059421A"/>
    <w:rsid w:val="005947B3"/>
    <w:rsid w:val="00595004"/>
    <w:rsid w:val="00595A3A"/>
    <w:rsid w:val="00595C0F"/>
    <w:rsid w:val="00595E52"/>
    <w:rsid w:val="00596021"/>
    <w:rsid w:val="005960CB"/>
    <w:rsid w:val="005962BE"/>
    <w:rsid w:val="00596609"/>
    <w:rsid w:val="00597756"/>
    <w:rsid w:val="00597973"/>
    <w:rsid w:val="005A143F"/>
    <w:rsid w:val="005A190B"/>
    <w:rsid w:val="005A1CD8"/>
    <w:rsid w:val="005A22E4"/>
    <w:rsid w:val="005A2840"/>
    <w:rsid w:val="005A2D39"/>
    <w:rsid w:val="005A2DB3"/>
    <w:rsid w:val="005A2DF6"/>
    <w:rsid w:val="005A3049"/>
    <w:rsid w:val="005A3306"/>
    <w:rsid w:val="005A3406"/>
    <w:rsid w:val="005A3466"/>
    <w:rsid w:val="005A38D6"/>
    <w:rsid w:val="005A4184"/>
    <w:rsid w:val="005A4780"/>
    <w:rsid w:val="005A4BCE"/>
    <w:rsid w:val="005A4D7F"/>
    <w:rsid w:val="005A5389"/>
    <w:rsid w:val="005A5856"/>
    <w:rsid w:val="005A585A"/>
    <w:rsid w:val="005A5AB2"/>
    <w:rsid w:val="005A5CA2"/>
    <w:rsid w:val="005A60EB"/>
    <w:rsid w:val="005A75B1"/>
    <w:rsid w:val="005A7E78"/>
    <w:rsid w:val="005B020D"/>
    <w:rsid w:val="005B047C"/>
    <w:rsid w:val="005B08CD"/>
    <w:rsid w:val="005B10CB"/>
    <w:rsid w:val="005B121D"/>
    <w:rsid w:val="005B150C"/>
    <w:rsid w:val="005B16DF"/>
    <w:rsid w:val="005B2635"/>
    <w:rsid w:val="005B2CF0"/>
    <w:rsid w:val="005B2E57"/>
    <w:rsid w:val="005B338D"/>
    <w:rsid w:val="005B39DF"/>
    <w:rsid w:val="005B3A75"/>
    <w:rsid w:val="005B3D42"/>
    <w:rsid w:val="005B3F08"/>
    <w:rsid w:val="005B40D8"/>
    <w:rsid w:val="005B43D2"/>
    <w:rsid w:val="005B486F"/>
    <w:rsid w:val="005B49F6"/>
    <w:rsid w:val="005B5078"/>
    <w:rsid w:val="005B526F"/>
    <w:rsid w:val="005B5389"/>
    <w:rsid w:val="005B567D"/>
    <w:rsid w:val="005B5D50"/>
    <w:rsid w:val="005B6C31"/>
    <w:rsid w:val="005B6DE4"/>
    <w:rsid w:val="005B6E88"/>
    <w:rsid w:val="005B7363"/>
    <w:rsid w:val="005B736B"/>
    <w:rsid w:val="005B76CF"/>
    <w:rsid w:val="005B7BBB"/>
    <w:rsid w:val="005B7D32"/>
    <w:rsid w:val="005B7F43"/>
    <w:rsid w:val="005C07E6"/>
    <w:rsid w:val="005C0D19"/>
    <w:rsid w:val="005C0E12"/>
    <w:rsid w:val="005C1159"/>
    <w:rsid w:val="005C11CA"/>
    <w:rsid w:val="005C2156"/>
    <w:rsid w:val="005C254C"/>
    <w:rsid w:val="005C25AC"/>
    <w:rsid w:val="005C2B04"/>
    <w:rsid w:val="005C3076"/>
    <w:rsid w:val="005C3215"/>
    <w:rsid w:val="005C3478"/>
    <w:rsid w:val="005C36ED"/>
    <w:rsid w:val="005C38AA"/>
    <w:rsid w:val="005C3912"/>
    <w:rsid w:val="005C3984"/>
    <w:rsid w:val="005C3A65"/>
    <w:rsid w:val="005C41CA"/>
    <w:rsid w:val="005C4406"/>
    <w:rsid w:val="005C44B9"/>
    <w:rsid w:val="005C46FB"/>
    <w:rsid w:val="005C48DA"/>
    <w:rsid w:val="005C4B55"/>
    <w:rsid w:val="005C4D49"/>
    <w:rsid w:val="005C5107"/>
    <w:rsid w:val="005C51EE"/>
    <w:rsid w:val="005C5E9F"/>
    <w:rsid w:val="005C61AE"/>
    <w:rsid w:val="005C64EE"/>
    <w:rsid w:val="005C6566"/>
    <w:rsid w:val="005C6ED4"/>
    <w:rsid w:val="005C6F0E"/>
    <w:rsid w:val="005C7123"/>
    <w:rsid w:val="005C747A"/>
    <w:rsid w:val="005C7718"/>
    <w:rsid w:val="005C779C"/>
    <w:rsid w:val="005C77AD"/>
    <w:rsid w:val="005C78B7"/>
    <w:rsid w:val="005C79A0"/>
    <w:rsid w:val="005D02DD"/>
    <w:rsid w:val="005D0834"/>
    <w:rsid w:val="005D0C52"/>
    <w:rsid w:val="005D0DFF"/>
    <w:rsid w:val="005D1436"/>
    <w:rsid w:val="005D149D"/>
    <w:rsid w:val="005D14F8"/>
    <w:rsid w:val="005D174B"/>
    <w:rsid w:val="005D1BB0"/>
    <w:rsid w:val="005D1EB4"/>
    <w:rsid w:val="005D200F"/>
    <w:rsid w:val="005D2675"/>
    <w:rsid w:val="005D27D1"/>
    <w:rsid w:val="005D2AD0"/>
    <w:rsid w:val="005D2B6F"/>
    <w:rsid w:val="005D2BB1"/>
    <w:rsid w:val="005D2BB5"/>
    <w:rsid w:val="005D2EE7"/>
    <w:rsid w:val="005D3D41"/>
    <w:rsid w:val="005D4904"/>
    <w:rsid w:val="005D4A61"/>
    <w:rsid w:val="005D4AD6"/>
    <w:rsid w:val="005D55D3"/>
    <w:rsid w:val="005D5790"/>
    <w:rsid w:val="005D5C1C"/>
    <w:rsid w:val="005D646D"/>
    <w:rsid w:val="005D64AA"/>
    <w:rsid w:val="005D6614"/>
    <w:rsid w:val="005D68F3"/>
    <w:rsid w:val="005D6DC6"/>
    <w:rsid w:val="005D6DD6"/>
    <w:rsid w:val="005D70A9"/>
    <w:rsid w:val="005D737F"/>
    <w:rsid w:val="005D7598"/>
    <w:rsid w:val="005D78F6"/>
    <w:rsid w:val="005D79E2"/>
    <w:rsid w:val="005D7A3A"/>
    <w:rsid w:val="005D7B99"/>
    <w:rsid w:val="005D7BD2"/>
    <w:rsid w:val="005D7D23"/>
    <w:rsid w:val="005D7E74"/>
    <w:rsid w:val="005D7FBF"/>
    <w:rsid w:val="005E02BD"/>
    <w:rsid w:val="005E0938"/>
    <w:rsid w:val="005E1786"/>
    <w:rsid w:val="005E1CEA"/>
    <w:rsid w:val="005E2129"/>
    <w:rsid w:val="005E2150"/>
    <w:rsid w:val="005E262D"/>
    <w:rsid w:val="005E2F8E"/>
    <w:rsid w:val="005E35B3"/>
    <w:rsid w:val="005E3BA1"/>
    <w:rsid w:val="005E3C66"/>
    <w:rsid w:val="005E4728"/>
    <w:rsid w:val="005E48AA"/>
    <w:rsid w:val="005E4BDC"/>
    <w:rsid w:val="005E51EC"/>
    <w:rsid w:val="005E536F"/>
    <w:rsid w:val="005E5652"/>
    <w:rsid w:val="005E5790"/>
    <w:rsid w:val="005E588A"/>
    <w:rsid w:val="005E5C7E"/>
    <w:rsid w:val="005E6B16"/>
    <w:rsid w:val="005E6E01"/>
    <w:rsid w:val="005E7032"/>
    <w:rsid w:val="005E7452"/>
    <w:rsid w:val="005F01FB"/>
    <w:rsid w:val="005F0B7D"/>
    <w:rsid w:val="005F0FB1"/>
    <w:rsid w:val="005F114E"/>
    <w:rsid w:val="005F13AB"/>
    <w:rsid w:val="005F15FB"/>
    <w:rsid w:val="005F2429"/>
    <w:rsid w:val="005F274F"/>
    <w:rsid w:val="005F285F"/>
    <w:rsid w:val="005F2E87"/>
    <w:rsid w:val="005F3050"/>
    <w:rsid w:val="005F321C"/>
    <w:rsid w:val="005F3350"/>
    <w:rsid w:val="005F34A4"/>
    <w:rsid w:val="005F3561"/>
    <w:rsid w:val="005F3920"/>
    <w:rsid w:val="005F41A2"/>
    <w:rsid w:val="005F4706"/>
    <w:rsid w:val="005F4A18"/>
    <w:rsid w:val="005F4C07"/>
    <w:rsid w:val="005F4D4A"/>
    <w:rsid w:val="005F52E4"/>
    <w:rsid w:val="005F536D"/>
    <w:rsid w:val="005F57E1"/>
    <w:rsid w:val="005F5AFE"/>
    <w:rsid w:val="005F5C22"/>
    <w:rsid w:val="005F5C79"/>
    <w:rsid w:val="005F5E57"/>
    <w:rsid w:val="005F5EDF"/>
    <w:rsid w:val="005F6183"/>
    <w:rsid w:val="005F62B6"/>
    <w:rsid w:val="005F6842"/>
    <w:rsid w:val="005F6933"/>
    <w:rsid w:val="005F6ED8"/>
    <w:rsid w:val="005F7039"/>
    <w:rsid w:val="005F7809"/>
    <w:rsid w:val="005F783A"/>
    <w:rsid w:val="005F7B41"/>
    <w:rsid w:val="005F7F36"/>
    <w:rsid w:val="00600371"/>
    <w:rsid w:val="00600462"/>
    <w:rsid w:val="006005CA"/>
    <w:rsid w:val="0060090C"/>
    <w:rsid w:val="00600E75"/>
    <w:rsid w:val="00600F2E"/>
    <w:rsid w:val="006011CA"/>
    <w:rsid w:val="006017BC"/>
    <w:rsid w:val="006017FE"/>
    <w:rsid w:val="00601A8A"/>
    <w:rsid w:val="00601B5D"/>
    <w:rsid w:val="00601CB8"/>
    <w:rsid w:val="00601CEB"/>
    <w:rsid w:val="00602099"/>
    <w:rsid w:val="006025A2"/>
    <w:rsid w:val="006029E9"/>
    <w:rsid w:val="00602AF4"/>
    <w:rsid w:val="00603633"/>
    <w:rsid w:val="00603696"/>
    <w:rsid w:val="0060373A"/>
    <w:rsid w:val="00603A0F"/>
    <w:rsid w:val="00603C76"/>
    <w:rsid w:val="00603DCC"/>
    <w:rsid w:val="00603E0F"/>
    <w:rsid w:val="00603E5F"/>
    <w:rsid w:val="006046D0"/>
    <w:rsid w:val="00604FFD"/>
    <w:rsid w:val="00605439"/>
    <w:rsid w:val="006055D6"/>
    <w:rsid w:val="00605C47"/>
    <w:rsid w:val="00605CBD"/>
    <w:rsid w:val="0060607D"/>
    <w:rsid w:val="006061F9"/>
    <w:rsid w:val="006069D1"/>
    <w:rsid w:val="00606C49"/>
    <w:rsid w:val="00606E67"/>
    <w:rsid w:val="006078FA"/>
    <w:rsid w:val="006110AA"/>
    <w:rsid w:val="00611445"/>
    <w:rsid w:val="00611BC7"/>
    <w:rsid w:val="00611F42"/>
    <w:rsid w:val="00611FC2"/>
    <w:rsid w:val="006122DF"/>
    <w:rsid w:val="006123FE"/>
    <w:rsid w:val="00612622"/>
    <w:rsid w:val="0061263E"/>
    <w:rsid w:val="00612A69"/>
    <w:rsid w:val="00612BE6"/>
    <w:rsid w:val="00612E46"/>
    <w:rsid w:val="00613131"/>
    <w:rsid w:val="006132AD"/>
    <w:rsid w:val="006132B6"/>
    <w:rsid w:val="00613838"/>
    <w:rsid w:val="00613CB4"/>
    <w:rsid w:val="00613E94"/>
    <w:rsid w:val="00614245"/>
    <w:rsid w:val="006145D6"/>
    <w:rsid w:val="00615141"/>
    <w:rsid w:val="00615609"/>
    <w:rsid w:val="00615882"/>
    <w:rsid w:val="006159EC"/>
    <w:rsid w:val="00615C61"/>
    <w:rsid w:val="00615DC5"/>
    <w:rsid w:val="0061656E"/>
    <w:rsid w:val="00616875"/>
    <w:rsid w:val="0061747B"/>
    <w:rsid w:val="006176E8"/>
    <w:rsid w:val="00617885"/>
    <w:rsid w:val="00620068"/>
    <w:rsid w:val="00620121"/>
    <w:rsid w:val="006201C8"/>
    <w:rsid w:val="00620541"/>
    <w:rsid w:val="006208F8"/>
    <w:rsid w:val="00620CBA"/>
    <w:rsid w:val="00620D68"/>
    <w:rsid w:val="006218AB"/>
    <w:rsid w:val="006218C5"/>
    <w:rsid w:val="0062248D"/>
    <w:rsid w:val="00622978"/>
    <w:rsid w:val="00622CE0"/>
    <w:rsid w:val="00622E40"/>
    <w:rsid w:val="00622ED3"/>
    <w:rsid w:val="00623146"/>
    <w:rsid w:val="00623C25"/>
    <w:rsid w:val="006240C0"/>
    <w:rsid w:val="0062480D"/>
    <w:rsid w:val="00624B0A"/>
    <w:rsid w:val="00624B65"/>
    <w:rsid w:val="00624C30"/>
    <w:rsid w:val="006251CC"/>
    <w:rsid w:val="006251DE"/>
    <w:rsid w:val="00625367"/>
    <w:rsid w:val="0062554B"/>
    <w:rsid w:val="00625872"/>
    <w:rsid w:val="00625F92"/>
    <w:rsid w:val="00626E22"/>
    <w:rsid w:val="00626E78"/>
    <w:rsid w:val="006277F0"/>
    <w:rsid w:val="00627E1A"/>
    <w:rsid w:val="00630263"/>
    <w:rsid w:val="00630598"/>
    <w:rsid w:val="0063079A"/>
    <w:rsid w:val="00630BB7"/>
    <w:rsid w:val="006313F5"/>
    <w:rsid w:val="00631A22"/>
    <w:rsid w:val="00632098"/>
    <w:rsid w:val="006326B6"/>
    <w:rsid w:val="00632A7C"/>
    <w:rsid w:val="006337CF"/>
    <w:rsid w:val="00633836"/>
    <w:rsid w:val="006339CF"/>
    <w:rsid w:val="00633DCA"/>
    <w:rsid w:val="00633EBC"/>
    <w:rsid w:val="0063407D"/>
    <w:rsid w:val="0063466E"/>
    <w:rsid w:val="006346DA"/>
    <w:rsid w:val="00634E6E"/>
    <w:rsid w:val="006350DD"/>
    <w:rsid w:val="006351FE"/>
    <w:rsid w:val="006359A0"/>
    <w:rsid w:val="00636106"/>
    <w:rsid w:val="00636671"/>
    <w:rsid w:val="00636E8C"/>
    <w:rsid w:val="00636EBB"/>
    <w:rsid w:val="006374D2"/>
    <w:rsid w:val="00637509"/>
    <w:rsid w:val="006377DF"/>
    <w:rsid w:val="006401DE"/>
    <w:rsid w:val="00640336"/>
    <w:rsid w:val="00640382"/>
    <w:rsid w:val="006404D3"/>
    <w:rsid w:val="00640515"/>
    <w:rsid w:val="006406C5"/>
    <w:rsid w:val="006407D9"/>
    <w:rsid w:val="006409A5"/>
    <w:rsid w:val="006409BE"/>
    <w:rsid w:val="00640C41"/>
    <w:rsid w:val="00640E88"/>
    <w:rsid w:val="006410E4"/>
    <w:rsid w:val="0064117F"/>
    <w:rsid w:val="006412EE"/>
    <w:rsid w:val="00641630"/>
    <w:rsid w:val="00641B27"/>
    <w:rsid w:val="00641E7E"/>
    <w:rsid w:val="00641E96"/>
    <w:rsid w:val="00642308"/>
    <w:rsid w:val="0064262F"/>
    <w:rsid w:val="00642693"/>
    <w:rsid w:val="00642D37"/>
    <w:rsid w:val="00642E4F"/>
    <w:rsid w:val="00642F62"/>
    <w:rsid w:val="00643006"/>
    <w:rsid w:val="006436AE"/>
    <w:rsid w:val="00643A18"/>
    <w:rsid w:val="00643BE2"/>
    <w:rsid w:val="00643D49"/>
    <w:rsid w:val="00644868"/>
    <w:rsid w:val="00644A3B"/>
    <w:rsid w:val="00644C14"/>
    <w:rsid w:val="00644C9F"/>
    <w:rsid w:val="00645472"/>
    <w:rsid w:val="00645637"/>
    <w:rsid w:val="006459E2"/>
    <w:rsid w:val="00646244"/>
    <w:rsid w:val="0064663C"/>
    <w:rsid w:val="006469D6"/>
    <w:rsid w:val="00646D13"/>
    <w:rsid w:val="00647594"/>
    <w:rsid w:val="00647BC9"/>
    <w:rsid w:val="00647D67"/>
    <w:rsid w:val="00650173"/>
    <w:rsid w:val="006502E3"/>
    <w:rsid w:val="00650E77"/>
    <w:rsid w:val="0065101E"/>
    <w:rsid w:val="006512C1"/>
    <w:rsid w:val="006512CB"/>
    <w:rsid w:val="0065142A"/>
    <w:rsid w:val="00651688"/>
    <w:rsid w:val="0065178C"/>
    <w:rsid w:val="006518B7"/>
    <w:rsid w:val="00651AEA"/>
    <w:rsid w:val="00651B15"/>
    <w:rsid w:val="00652356"/>
    <w:rsid w:val="006527C9"/>
    <w:rsid w:val="00652FD7"/>
    <w:rsid w:val="006544BC"/>
    <w:rsid w:val="006545D7"/>
    <w:rsid w:val="00654A6D"/>
    <w:rsid w:val="00654BAE"/>
    <w:rsid w:val="00654BDE"/>
    <w:rsid w:val="00654EF6"/>
    <w:rsid w:val="00655BA0"/>
    <w:rsid w:val="00655CCC"/>
    <w:rsid w:val="0065616D"/>
    <w:rsid w:val="006562D0"/>
    <w:rsid w:val="006563F3"/>
    <w:rsid w:val="006566AA"/>
    <w:rsid w:val="0065671C"/>
    <w:rsid w:val="00656F28"/>
    <w:rsid w:val="00657056"/>
    <w:rsid w:val="006573BE"/>
    <w:rsid w:val="0066038B"/>
    <w:rsid w:val="00660446"/>
    <w:rsid w:val="00660BFA"/>
    <w:rsid w:val="00661066"/>
    <w:rsid w:val="00661608"/>
    <w:rsid w:val="00662949"/>
    <w:rsid w:val="00662CA5"/>
    <w:rsid w:val="0066355E"/>
    <w:rsid w:val="00663580"/>
    <w:rsid w:val="00663607"/>
    <w:rsid w:val="00663DFF"/>
    <w:rsid w:val="00663E55"/>
    <w:rsid w:val="00663E99"/>
    <w:rsid w:val="00664277"/>
    <w:rsid w:val="006644BB"/>
    <w:rsid w:val="0066452B"/>
    <w:rsid w:val="00664555"/>
    <w:rsid w:val="00664AA1"/>
    <w:rsid w:val="00664FE6"/>
    <w:rsid w:val="0066581A"/>
    <w:rsid w:val="006659AB"/>
    <w:rsid w:val="006659D5"/>
    <w:rsid w:val="00665CD1"/>
    <w:rsid w:val="00665E22"/>
    <w:rsid w:val="0066673C"/>
    <w:rsid w:val="006669AB"/>
    <w:rsid w:val="00666D8E"/>
    <w:rsid w:val="0066721F"/>
    <w:rsid w:val="006672F9"/>
    <w:rsid w:val="00667310"/>
    <w:rsid w:val="006676A1"/>
    <w:rsid w:val="0066775D"/>
    <w:rsid w:val="00667EC1"/>
    <w:rsid w:val="0067002B"/>
    <w:rsid w:val="0067038F"/>
    <w:rsid w:val="00670C2F"/>
    <w:rsid w:val="00670F32"/>
    <w:rsid w:val="006712F9"/>
    <w:rsid w:val="006717F3"/>
    <w:rsid w:val="0067190B"/>
    <w:rsid w:val="00671994"/>
    <w:rsid w:val="00671EA0"/>
    <w:rsid w:val="00671EF1"/>
    <w:rsid w:val="00672307"/>
    <w:rsid w:val="006730F1"/>
    <w:rsid w:val="00673763"/>
    <w:rsid w:val="006738EC"/>
    <w:rsid w:val="00673905"/>
    <w:rsid w:val="006739B9"/>
    <w:rsid w:val="00673C8D"/>
    <w:rsid w:val="006750FE"/>
    <w:rsid w:val="00675229"/>
    <w:rsid w:val="0067525C"/>
    <w:rsid w:val="00675345"/>
    <w:rsid w:val="00675504"/>
    <w:rsid w:val="0067554D"/>
    <w:rsid w:val="00675A2C"/>
    <w:rsid w:val="006765D1"/>
    <w:rsid w:val="006766BB"/>
    <w:rsid w:val="006767A3"/>
    <w:rsid w:val="00676984"/>
    <w:rsid w:val="0067704A"/>
    <w:rsid w:val="006772D2"/>
    <w:rsid w:val="006773DB"/>
    <w:rsid w:val="0067754A"/>
    <w:rsid w:val="00677650"/>
    <w:rsid w:val="00677A30"/>
    <w:rsid w:val="00677CB6"/>
    <w:rsid w:val="00677D1E"/>
    <w:rsid w:val="006800A3"/>
    <w:rsid w:val="00680295"/>
    <w:rsid w:val="006806EE"/>
    <w:rsid w:val="0068092A"/>
    <w:rsid w:val="00680A23"/>
    <w:rsid w:val="00680E3C"/>
    <w:rsid w:val="006819B7"/>
    <w:rsid w:val="00681BF9"/>
    <w:rsid w:val="006820D2"/>
    <w:rsid w:val="00682544"/>
    <w:rsid w:val="006825B6"/>
    <w:rsid w:val="00682846"/>
    <w:rsid w:val="006834D6"/>
    <w:rsid w:val="0068360F"/>
    <w:rsid w:val="006840E5"/>
    <w:rsid w:val="006843CF"/>
    <w:rsid w:val="00684486"/>
    <w:rsid w:val="00684686"/>
    <w:rsid w:val="0068474B"/>
    <w:rsid w:val="006852E3"/>
    <w:rsid w:val="006854AB"/>
    <w:rsid w:val="00685D68"/>
    <w:rsid w:val="00686786"/>
    <w:rsid w:val="00686C3D"/>
    <w:rsid w:val="006871EE"/>
    <w:rsid w:val="0068782D"/>
    <w:rsid w:val="00687A7F"/>
    <w:rsid w:val="00687AE3"/>
    <w:rsid w:val="00687CC2"/>
    <w:rsid w:val="00687E95"/>
    <w:rsid w:val="00690729"/>
    <w:rsid w:val="00690CB1"/>
    <w:rsid w:val="00690FC4"/>
    <w:rsid w:val="006910DB"/>
    <w:rsid w:val="0069138B"/>
    <w:rsid w:val="006913A8"/>
    <w:rsid w:val="006914A3"/>
    <w:rsid w:val="0069174B"/>
    <w:rsid w:val="00691E79"/>
    <w:rsid w:val="00692332"/>
    <w:rsid w:val="006926EB"/>
    <w:rsid w:val="00692D73"/>
    <w:rsid w:val="00693853"/>
    <w:rsid w:val="00693ABF"/>
    <w:rsid w:val="00693B86"/>
    <w:rsid w:val="0069461D"/>
    <w:rsid w:val="00694E22"/>
    <w:rsid w:val="00695271"/>
    <w:rsid w:val="00695359"/>
    <w:rsid w:val="006955A8"/>
    <w:rsid w:val="006959B5"/>
    <w:rsid w:val="00695BF6"/>
    <w:rsid w:val="00695CAC"/>
    <w:rsid w:val="00696061"/>
    <w:rsid w:val="0069699C"/>
    <w:rsid w:val="006969DB"/>
    <w:rsid w:val="00696A4A"/>
    <w:rsid w:val="00697554"/>
    <w:rsid w:val="00697A80"/>
    <w:rsid w:val="00697CCF"/>
    <w:rsid w:val="00697CE8"/>
    <w:rsid w:val="00697DE5"/>
    <w:rsid w:val="00697FA5"/>
    <w:rsid w:val="006A092C"/>
    <w:rsid w:val="006A1646"/>
    <w:rsid w:val="006A175A"/>
    <w:rsid w:val="006A24A8"/>
    <w:rsid w:val="006A29AB"/>
    <w:rsid w:val="006A3412"/>
    <w:rsid w:val="006A40A6"/>
    <w:rsid w:val="006A464C"/>
    <w:rsid w:val="006A4916"/>
    <w:rsid w:val="006A4B26"/>
    <w:rsid w:val="006A4C58"/>
    <w:rsid w:val="006A4CD3"/>
    <w:rsid w:val="006A5414"/>
    <w:rsid w:val="006A55A3"/>
    <w:rsid w:val="006A5CA7"/>
    <w:rsid w:val="006A5DBD"/>
    <w:rsid w:val="006A5E6B"/>
    <w:rsid w:val="006A5EBB"/>
    <w:rsid w:val="006A5F2A"/>
    <w:rsid w:val="006A6273"/>
    <w:rsid w:val="006A6605"/>
    <w:rsid w:val="006A668B"/>
    <w:rsid w:val="006A66BD"/>
    <w:rsid w:val="006A6962"/>
    <w:rsid w:val="006A6D1E"/>
    <w:rsid w:val="006A6DAE"/>
    <w:rsid w:val="006A7648"/>
    <w:rsid w:val="006A76A7"/>
    <w:rsid w:val="006A7800"/>
    <w:rsid w:val="006A789B"/>
    <w:rsid w:val="006A78D9"/>
    <w:rsid w:val="006B00D5"/>
    <w:rsid w:val="006B0358"/>
    <w:rsid w:val="006B0F30"/>
    <w:rsid w:val="006B11FA"/>
    <w:rsid w:val="006B1392"/>
    <w:rsid w:val="006B1855"/>
    <w:rsid w:val="006B231E"/>
    <w:rsid w:val="006B25A9"/>
    <w:rsid w:val="006B2877"/>
    <w:rsid w:val="006B2893"/>
    <w:rsid w:val="006B38FD"/>
    <w:rsid w:val="006B3CDF"/>
    <w:rsid w:val="006B3E5B"/>
    <w:rsid w:val="006B456F"/>
    <w:rsid w:val="006B462A"/>
    <w:rsid w:val="006B49F1"/>
    <w:rsid w:val="006B5413"/>
    <w:rsid w:val="006B5414"/>
    <w:rsid w:val="006B5769"/>
    <w:rsid w:val="006B5F44"/>
    <w:rsid w:val="006B619C"/>
    <w:rsid w:val="006B61A4"/>
    <w:rsid w:val="006B6C73"/>
    <w:rsid w:val="006B7331"/>
    <w:rsid w:val="006B7353"/>
    <w:rsid w:val="006B73D7"/>
    <w:rsid w:val="006B7491"/>
    <w:rsid w:val="006B7561"/>
    <w:rsid w:val="006B783F"/>
    <w:rsid w:val="006B7896"/>
    <w:rsid w:val="006B7AA0"/>
    <w:rsid w:val="006C0766"/>
    <w:rsid w:val="006C0E2F"/>
    <w:rsid w:val="006C0EC1"/>
    <w:rsid w:val="006C0F5D"/>
    <w:rsid w:val="006C1227"/>
    <w:rsid w:val="006C12B6"/>
    <w:rsid w:val="006C137C"/>
    <w:rsid w:val="006C1412"/>
    <w:rsid w:val="006C14DD"/>
    <w:rsid w:val="006C177D"/>
    <w:rsid w:val="006C1FDD"/>
    <w:rsid w:val="006C247C"/>
    <w:rsid w:val="006C2599"/>
    <w:rsid w:val="006C2D56"/>
    <w:rsid w:val="006C2E2C"/>
    <w:rsid w:val="006C3583"/>
    <w:rsid w:val="006C3619"/>
    <w:rsid w:val="006C393A"/>
    <w:rsid w:val="006C3C03"/>
    <w:rsid w:val="006C437E"/>
    <w:rsid w:val="006C4B18"/>
    <w:rsid w:val="006C4C17"/>
    <w:rsid w:val="006C5292"/>
    <w:rsid w:val="006C5571"/>
    <w:rsid w:val="006C5904"/>
    <w:rsid w:val="006C5B9B"/>
    <w:rsid w:val="006C5CC4"/>
    <w:rsid w:val="006C6454"/>
    <w:rsid w:val="006C6459"/>
    <w:rsid w:val="006C646E"/>
    <w:rsid w:val="006C685E"/>
    <w:rsid w:val="006C6904"/>
    <w:rsid w:val="006C697F"/>
    <w:rsid w:val="006C6B15"/>
    <w:rsid w:val="006C6B2D"/>
    <w:rsid w:val="006C6EC7"/>
    <w:rsid w:val="006C72DD"/>
    <w:rsid w:val="006C73D3"/>
    <w:rsid w:val="006C7507"/>
    <w:rsid w:val="006C7771"/>
    <w:rsid w:val="006C7BE5"/>
    <w:rsid w:val="006C7D05"/>
    <w:rsid w:val="006C7D1D"/>
    <w:rsid w:val="006C7F94"/>
    <w:rsid w:val="006D0BDE"/>
    <w:rsid w:val="006D0CF1"/>
    <w:rsid w:val="006D0F26"/>
    <w:rsid w:val="006D0F7A"/>
    <w:rsid w:val="006D15FC"/>
    <w:rsid w:val="006D1B21"/>
    <w:rsid w:val="006D1BF5"/>
    <w:rsid w:val="006D20D6"/>
    <w:rsid w:val="006D245A"/>
    <w:rsid w:val="006D2624"/>
    <w:rsid w:val="006D276D"/>
    <w:rsid w:val="006D2795"/>
    <w:rsid w:val="006D289D"/>
    <w:rsid w:val="006D2984"/>
    <w:rsid w:val="006D29C4"/>
    <w:rsid w:val="006D2D35"/>
    <w:rsid w:val="006D3C67"/>
    <w:rsid w:val="006D3E32"/>
    <w:rsid w:val="006D4A20"/>
    <w:rsid w:val="006D4B11"/>
    <w:rsid w:val="006D4CF0"/>
    <w:rsid w:val="006D4DFF"/>
    <w:rsid w:val="006D4FBA"/>
    <w:rsid w:val="006D550F"/>
    <w:rsid w:val="006D5568"/>
    <w:rsid w:val="006D5571"/>
    <w:rsid w:val="006D5B6A"/>
    <w:rsid w:val="006D5EDF"/>
    <w:rsid w:val="006D6017"/>
    <w:rsid w:val="006D6185"/>
    <w:rsid w:val="006D62B8"/>
    <w:rsid w:val="006D6525"/>
    <w:rsid w:val="006D759E"/>
    <w:rsid w:val="006D75DB"/>
    <w:rsid w:val="006D76E6"/>
    <w:rsid w:val="006D7819"/>
    <w:rsid w:val="006E00CA"/>
    <w:rsid w:val="006E022E"/>
    <w:rsid w:val="006E05E3"/>
    <w:rsid w:val="006E097F"/>
    <w:rsid w:val="006E0F8D"/>
    <w:rsid w:val="006E147F"/>
    <w:rsid w:val="006E159C"/>
    <w:rsid w:val="006E174E"/>
    <w:rsid w:val="006E1FF5"/>
    <w:rsid w:val="006E22DB"/>
    <w:rsid w:val="006E2673"/>
    <w:rsid w:val="006E2992"/>
    <w:rsid w:val="006E2CC6"/>
    <w:rsid w:val="006E2F1D"/>
    <w:rsid w:val="006E2F6C"/>
    <w:rsid w:val="006E301B"/>
    <w:rsid w:val="006E3113"/>
    <w:rsid w:val="006E38BA"/>
    <w:rsid w:val="006E38C9"/>
    <w:rsid w:val="006E3A3B"/>
    <w:rsid w:val="006E3FC3"/>
    <w:rsid w:val="006E4044"/>
    <w:rsid w:val="006E4116"/>
    <w:rsid w:val="006E47E7"/>
    <w:rsid w:val="006E4980"/>
    <w:rsid w:val="006E4EC9"/>
    <w:rsid w:val="006E50B3"/>
    <w:rsid w:val="006E55DF"/>
    <w:rsid w:val="006E5CE9"/>
    <w:rsid w:val="006E5DF8"/>
    <w:rsid w:val="006E5E74"/>
    <w:rsid w:val="006E659F"/>
    <w:rsid w:val="006E6BCB"/>
    <w:rsid w:val="006E6CDD"/>
    <w:rsid w:val="006E6E37"/>
    <w:rsid w:val="006E7211"/>
    <w:rsid w:val="006E7383"/>
    <w:rsid w:val="006E758C"/>
    <w:rsid w:val="006E769B"/>
    <w:rsid w:val="006E77B9"/>
    <w:rsid w:val="006E79CE"/>
    <w:rsid w:val="006F01B1"/>
    <w:rsid w:val="006F0510"/>
    <w:rsid w:val="006F0AF2"/>
    <w:rsid w:val="006F0F39"/>
    <w:rsid w:val="006F0F5C"/>
    <w:rsid w:val="006F0F97"/>
    <w:rsid w:val="006F0F9E"/>
    <w:rsid w:val="006F15FC"/>
    <w:rsid w:val="006F1B12"/>
    <w:rsid w:val="006F1D69"/>
    <w:rsid w:val="006F20F6"/>
    <w:rsid w:val="006F21F6"/>
    <w:rsid w:val="006F2283"/>
    <w:rsid w:val="006F22B9"/>
    <w:rsid w:val="006F26A9"/>
    <w:rsid w:val="006F2738"/>
    <w:rsid w:val="006F2B76"/>
    <w:rsid w:val="006F3100"/>
    <w:rsid w:val="006F325F"/>
    <w:rsid w:val="006F3367"/>
    <w:rsid w:val="006F3422"/>
    <w:rsid w:val="006F3593"/>
    <w:rsid w:val="006F383D"/>
    <w:rsid w:val="006F391B"/>
    <w:rsid w:val="006F3CE8"/>
    <w:rsid w:val="006F3F93"/>
    <w:rsid w:val="006F41AF"/>
    <w:rsid w:val="006F42DC"/>
    <w:rsid w:val="006F4714"/>
    <w:rsid w:val="006F4B59"/>
    <w:rsid w:val="006F50EA"/>
    <w:rsid w:val="006F5356"/>
    <w:rsid w:val="006F577D"/>
    <w:rsid w:val="006F585E"/>
    <w:rsid w:val="006F5C35"/>
    <w:rsid w:val="006F7B86"/>
    <w:rsid w:val="006F7CD7"/>
    <w:rsid w:val="0070074B"/>
    <w:rsid w:val="0070088A"/>
    <w:rsid w:val="00700D8E"/>
    <w:rsid w:val="00700F26"/>
    <w:rsid w:val="00700F9A"/>
    <w:rsid w:val="007011C5"/>
    <w:rsid w:val="00701674"/>
    <w:rsid w:val="00701A32"/>
    <w:rsid w:val="00701C0D"/>
    <w:rsid w:val="00701C2C"/>
    <w:rsid w:val="00701ED8"/>
    <w:rsid w:val="00701EFE"/>
    <w:rsid w:val="0070221C"/>
    <w:rsid w:val="0070227C"/>
    <w:rsid w:val="007027E3"/>
    <w:rsid w:val="007027E9"/>
    <w:rsid w:val="0070287F"/>
    <w:rsid w:val="00702C9F"/>
    <w:rsid w:val="00702FD5"/>
    <w:rsid w:val="007032CA"/>
    <w:rsid w:val="007035DC"/>
    <w:rsid w:val="007038F8"/>
    <w:rsid w:val="00703BAB"/>
    <w:rsid w:val="00703D6E"/>
    <w:rsid w:val="00704124"/>
    <w:rsid w:val="00704A38"/>
    <w:rsid w:val="00704CB5"/>
    <w:rsid w:val="00704EFA"/>
    <w:rsid w:val="00704F37"/>
    <w:rsid w:val="00706419"/>
    <w:rsid w:val="00706638"/>
    <w:rsid w:val="007074BF"/>
    <w:rsid w:val="007100C5"/>
    <w:rsid w:val="00710166"/>
    <w:rsid w:val="0071024B"/>
    <w:rsid w:val="007104B1"/>
    <w:rsid w:val="007108F4"/>
    <w:rsid w:val="007109A3"/>
    <w:rsid w:val="00710F38"/>
    <w:rsid w:val="00711410"/>
    <w:rsid w:val="007116C1"/>
    <w:rsid w:val="007117A0"/>
    <w:rsid w:val="00711F0F"/>
    <w:rsid w:val="007125A4"/>
    <w:rsid w:val="007125E4"/>
    <w:rsid w:val="00712889"/>
    <w:rsid w:val="007128DE"/>
    <w:rsid w:val="0071290D"/>
    <w:rsid w:val="00712B40"/>
    <w:rsid w:val="00712B9E"/>
    <w:rsid w:val="00713E18"/>
    <w:rsid w:val="00714093"/>
    <w:rsid w:val="00714369"/>
    <w:rsid w:val="00714478"/>
    <w:rsid w:val="00714593"/>
    <w:rsid w:val="00714598"/>
    <w:rsid w:val="00715076"/>
    <w:rsid w:val="00715326"/>
    <w:rsid w:val="0071538F"/>
    <w:rsid w:val="007153BB"/>
    <w:rsid w:val="00715799"/>
    <w:rsid w:val="00715890"/>
    <w:rsid w:val="00715B99"/>
    <w:rsid w:val="00716B29"/>
    <w:rsid w:val="0071711A"/>
    <w:rsid w:val="0071791A"/>
    <w:rsid w:val="00717F14"/>
    <w:rsid w:val="00720008"/>
    <w:rsid w:val="0072024F"/>
    <w:rsid w:val="007202F4"/>
    <w:rsid w:val="0072034F"/>
    <w:rsid w:val="0072054F"/>
    <w:rsid w:val="00720D17"/>
    <w:rsid w:val="00721099"/>
    <w:rsid w:val="00721626"/>
    <w:rsid w:val="00721773"/>
    <w:rsid w:val="0072177B"/>
    <w:rsid w:val="00721925"/>
    <w:rsid w:val="00721C88"/>
    <w:rsid w:val="00721FED"/>
    <w:rsid w:val="00722237"/>
    <w:rsid w:val="00722543"/>
    <w:rsid w:val="00722915"/>
    <w:rsid w:val="00722EB4"/>
    <w:rsid w:val="00722EBA"/>
    <w:rsid w:val="00723170"/>
    <w:rsid w:val="00723504"/>
    <w:rsid w:val="0072386D"/>
    <w:rsid w:val="00723B70"/>
    <w:rsid w:val="007244BA"/>
    <w:rsid w:val="00724E53"/>
    <w:rsid w:val="0072535D"/>
    <w:rsid w:val="00725689"/>
    <w:rsid w:val="007259EF"/>
    <w:rsid w:val="0072652D"/>
    <w:rsid w:val="00726603"/>
    <w:rsid w:val="00726925"/>
    <w:rsid w:val="00726A1E"/>
    <w:rsid w:val="00726F58"/>
    <w:rsid w:val="007276FE"/>
    <w:rsid w:val="0073012E"/>
    <w:rsid w:val="00730518"/>
    <w:rsid w:val="007306CA"/>
    <w:rsid w:val="00730817"/>
    <w:rsid w:val="00730BA6"/>
    <w:rsid w:val="00730F79"/>
    <w:rsid w:val="007312E9"/>
    <w:rsid w:val="00731650"/>
    <w:rsid w:val="00731CFA"/>
    <w:rsid w:val="00732055"/>
    <w:rsid w:val="0073232E"/>
    <w:rsid w:val="007325BF"/>
    <w:rsid w:val="007326C6"/>
    <w:rsid w:val="00732BD7"/>
    <w:rsid w:val="007335E0"/>
    <w:rsid w:val="00733611"/>
    <w:rsid w:val="00733709"/>
    <w:rsid w:val="007337F7"/>
    <w:rsid w:val="0073399D"/>
    <w:rsid w:val="00733DFE"/>
    <w:rsid w:val="007340B6"/>
    <w:rsid w:val="0073444E"/>
    <w:rsid w:val="00734496"/>
    <w:rsid w:val="007344C9"/>
    <w:rsid w:val="0073497F"/>
    <w:rsid w:val="00734A05"/>
    <w:rsid w:val="00734EEB"/>
    <w:rsid w:val="00734EF2"/>
    <w:rsid w:val="00734FA4"/>
    <w:rsid w:val="0073554E"/>
    <w:rsid w:val="00735786"/>
    <w:rsid w:val="007357AB"/>
    <w:rsid w:val="00735EAA"/>
    <w:rsid w:val="0073610B"/>
    <w:rsid w:val="00736944"/>
    <w:rsid w:val="00736A63"/>
    <w:rsid w:val="00736D76"/>
    <w:rsid w:val="00737085"/>
    <w:rsid w:val="00737AB0"/>
    <w:rsid w:val="00737ACC"/>
    <w:rsid w:val="007406E8"/>
    <w:rsid w:val="00740905"/>
    <w:rsid w:val="00740D08"/>
    <w:rsid w:val="0074132B"/>
    <w:rsid w:val="0074155B"/>
    <w:rsid w:val="00741B84"/>
    <w:rsid w:val="00741CA7"/>
    <w:rsid w:val="00741DA0"/>
    <w:rsid w:val="007421B8"/>
    <w:rsid w:val="00742419"/>
    <w:rsid w:val="007427BF"/>
    <w:rsid w:val="00742CE6"/>
    <w:rsid w:val="00743AE4"/>
    <w:rsid w:val="00743D6F"/>
    <w:rsid w:val="0074405C"/>
    <w:rsid w:val="0074495E"/>
    <w:rsid w:val="007449A5"/>
    <w:rsid w:val="00744A17"/>
    <w:rsid w:val="00744C0B"/>
    <w:rsid w:val="00744E23"/>
    <w:rsid w:val="00744F08"/>
    <w:rsid w:val="00745192"/>
    <w:rsid w:val="00745421"/>
    <w:rsid w:val="00745502"/>
    <w:rsid w:val="00745F15"/>
    <w:rsid w:val="00745FC7"/>
    <w:rsid w:val="00746185"/>
    <w:rsid w:val="00746482"/>
    <w:rsid w:val="0074655C"/>
    <w:rsid w:val="00746634"/>
    <w:rsid w:val="00746A18"/>
    <w:rsid w:val="00746DCD"/>
    <w:rsid w:val="00747053"/>
    <w:rsid w:val="00747106"/>
    <w:rsid w:val="0074733C"/>
    <w:rsid w:val="00747F08"/>
    <w:rsid w:val="00747F28"/>
    <w:rsid w:val="00747F8A"/>
    <w:rsid w:val="00747FB9"/>
    <w:rsid w:val="007507AB"/>
    <w:rsid w:val="007507C6"/>
    <w:rsid w:val="00750DBD"/>
    <w:rsid w:val="00751024"/>
    <w:rsid w:val="007512CE"/>
    <w:rsid w:val="007516E9"/>
    <w:rsid w:val="00751FE8"/>
    <w:rsid w:val="007527D2"/>
    <w:rsid w:val="00752AC2"/>
    <w:rsid w:val="00752B9E"/>
    <w:rsid w:val="0075321D"/>
    <w:rsid w:val="007539B2"/>
    <w:rsid w:val="00753FA6"/>
    <w:rsid w:val="007541E6"/>
    <w:rsid w:val="00754472"/>
    <w:rsid w:val="007547DE"/>
    <w:rsid w:val="00754C17"/>
    <w:rsid w:val="007554E8"/>
    <w:rsid w:val="00755890"/>
    <w:rsid w:val="00755B76"/>
    <w:rsid w:val="007563C9"/>
    <w:rsid w:val="0075662D"/>
    <w:rsid w:val="00756B89"/>
    <w:rsid w:val="00756BA2"/>
    <w:rsid w:val="00756C45"/>
    <w:rsid w:val="00757233"/>
    <w:rsid w:val="007578FE"/>
    <w:rsid w:val="00757B85"/>
    <w:rsid w:val="00757CA5"/>
    <w:rsid w:val="00757E63"/>
    <w:rsid w:val="0076068E"/>
    <w:rsid w:val="0076072A"/>
    <w:rsid w:val="007608C3"/>
    <w:rsid w:val="00761B1E"/>
    <w:rsid w:val="00761DB5"/>
    <w:rsid w:val="00761F5F"/>
    <w:rsid w:val="007623EB"/>
    <w:rsid w:val="0076258B"/>
    <w:rsid w:val="00762CE9"/>
    <w:rsid w:val="00762E2C"/>
    <w:rsid w:val="00762F17"/>
    <w:rsid w:val="0076372E"/>
    <w:rsid w:val="00763A71"/>
    <w:rsid w:val="007642C0"/>
    <w:rsid w:val="007656A8"/>
    <w:rsid w:val="00765759"/>
    <w:rsid w:val="00765F75"/>
    <w:rsid w:val="007662B2"/>
    <w:rsid w:val="007667A1"/>
    <w:rsid w:val="007669E0"/>
    <w:rsid w:val="00766DB0"/>
    <w:rsid w:val="00767B0F"/>
    <w:rsid w:val="00767CEB"/>
    <w:rsid w:val="00767D45"/>
    <w:rsid w:val="00767E82"/>
    <w:rsid w:val="007708E1"/>
    <w:rsid w:val="007709DA"/>
    <w:rsid w:val="00770B47"/>
    <w:rsid w:val="00770C53"/>
    <w:rsid w:val="00770E20"/>
    <w:rsid w:val="00771135"/>
    <w:rsid w:val="007713EE"/>
    <w:rsid w:val="00771DB2"/>
    <w:rsid w:val="007722A8"/>
    <w:rsid w:val="00772654"/>
    <w:rsid w:val="00772D23"/>
    <w:rsid w:val="00772FEB"/>
    <w:rsid w:val="0077344F"/>
    <w:rsid w:val="00773788"/>
    <w:rsid w:val="00773B77"/>
    <w:rsid w:val="00773C2C"/>
    <w:rsid w:val="00773DA3"/>
    <w:rsid w:val="007740C8"/>
    <w:rsid w:val="00774441"/>
    <w:rsid w:val="00774560"/>
    <w:rsid w:val="007746BC"/>
    <w:rsid w:val="00774B23"/>
    <w:rsid w:val="00774D58"/>
    <w:rsid w:val="007752A9"/>
    <w:rsid w:val="007754A4"/>
    <w:rsid w:val="0077573C"/>
    <w:rsid w:val="00775746"/>
    <w:rsid w:val="007758E2"/>
    <w:rsid w:val="00775AAC"/>
    <w:rsid w:val="00775B76"/>
    <w:rsid w:val="00775F9F"/>
    <w:rsid w:val="00776211"/>
    <w:rsid w:val="00776590"/>
    <w:rsid w:val="0077677F"/>
    <w:rsid w:val="00776EE9"/>
    <w:rsid w:val="007778C5"/>
    <w:rsid w:val="007800A3"/>
    <w:rsid w:val="007800A6"/>
    <w:rsid w:val="007804F8"/>
    <w:rsid w:val="0078103E"/>
    <w:rsid w:val="007811CE"/>
    <w:rsid w:val="00781BDB"/>
    <w:rsid w:val="00781C30"/>
    <w:rsid w:val="00781EA6"/>
    <w:rsid w:val="007820C3"/>
    <w:rsid w:val="007825C0"/>
    <w:rsid w:val="007830EB"/>
    <w:rsid w:val="007835AF"/>
    <w:rsid w:val="007836FD"/>
    <w:rsid w:val="00783725"/>
    <w:rsid w:val="007837C5"/>
    <w:rsid w:val="0078384C"/>
    <w:rsid w:val="00783D36"/>
    <w:rsid w:val="007846A1"/>
    <w:rsid w:val="007849FE"/>
    <w:rsid w:val="00785009"/>
    <w:rsid w:val="007850CC"/>
    <w:rsid w:val="0078594D"/>
    <w:rsid w:val="00785B98"/>
    <w:rsid w:val="0078602F"/>
    <w:rsid w:val="00786288"/>
    <w:rsid w:val="007863E4"/>
    <w:rsid w:val="007867C4"/>
    <w:rsid w:val="0078697E"/>
    <w:rsid w:val="00786A90"/>
    <w:rsid w:val="00786FC1"/>
    <w:rsid w:val="0078797B"/>
    <w:rsid w:val="007905AE"/>
    <w:rsid w:val="007907AE"/>
    <w:rsid w:val="00790966"/>
    <w:rsid w:val="007909A2"/>
    <w:rsid w:val="00790F7F"/>
    <w:rsid w:val="00791055"/>
    <w:rsid w:val="00791068"/>
    <w:rsid w:val="00791663"/>
    <w:rsid w:val="00791ADB"/>
    <w:rsid w:val="00791C11"/>
    <w:rsid w:val="007921AC"/>
    <w:rsid w:val="007924C4"/>
    <w:rsid w:val="00792A77"/>
    <w:rsid w:val="00792C19"/>
    <w:rsid w:val="00792D43"/>
    <w:rsid w:val="007930C3"/>
    <w:rsid w:val="00793574"/>
    <w:rsid w:val="00793942"/>
    <w:rsid w:val="007939AE"/>
    <w:rsid w:val="00793A5A"/>
    <w:rsid w:val="00793E8D"/>
    <w:rsid w:val="0079445C"/>
    <w:rsid w:val="00794A2E"/>
    <w:rsid w:val="00794AA0"/>
    <w:rsid w:val="00794EA4"/>
    <w:rsid w:val="00794FC8"/>
    <w:rsid w:val="007950E3"/>
    <w:rsid w:val="007951D7"/>
    <w:rsid w:val="0079527C"/>
    <w:rsid w:val="0079545D"/>
    <w:rsid w:val="007954C1"/>
    <w:rsid w:val="00795694"/>
    <w:rsid w:val="0079574A"/>
    <w:rsid w:val="007958E6"/>
    <w:rsid w:val="00795A6B"/>
    <w:rsid w:val="00795CC9"/>
    <w:rsid w:val="0079658D"/>
    <w:rsid w:val="007969A7"/>
    <w:rsid w:val="00796AA4"/>
    <w:rsid w:val="00796DBE"/>
    <w:rsid w:val="00797135"/>
    <w:rsid w:val="00797BD3"/>
    <w:rsid w:val="00797F24"/>
    <w:rsid w:val="007A01DE"/>
    <w:rsid w:val="007A0A3B"/>
    <w:rsid w:val="007A13F1"/>
    <w:rsid w:val="007A143E"/>
    <w:rsid w:val="007A1619"/>
    <w:rsid w:val="007A1D8A"/>
    <w:rsid w:val="007A2778"/>
    <w:rsid w:val="007A2A31"/>
    <w:rsid w:val="007A2E9B"/>
    <w:rsid w:val="007A369B"/>
    <w:rsid w:val="007A36EB"/>
    <w:rsid w:val="007A3837"/>
    <w:rsid w:val="007A3E3E"/>
    <w:rsid w:val="007A41A6"/>
    <w:rsid w:val="007A45B1"/>
    <w:rsid w:val="007A45EF"/>
    <w:rsid w:val="007A4896"/>
    <w:rsid w:val="007A5C98"/>
    <w:rsid w:val="007A5CA4"/>
    <w:rsid w:val="007A5E38"/>
    <w:rsid w:val="007A6005"/>
    <w:rsid w:val="007A6050"/>
    <w:rsid w:val="007A618F"/>
    <w:rsid w:val="007A63BE"/>
    <w:rsid w:val="007A688C"/>
    <w:rsid w:val="007A715D"/>
    <w:rsid w:val="007A721A"/>
    <w:rsid w:val="007A7446"/>
    <w:rsid w:val="007A7525"/>
    <w:rsid w:val="007A7E49"/>
    <w:rsid w:val="007A7E56"/>
    <w:rsid w:val="007A7E9B"/>
    <w:rsid w:val="007B02DA"/>
    <w:rsid w:val="007B03F4"/>
    <w:rsid w:val="007B07AE"/>
    <w:rsid w:val="007B0869"/>
    <w:rsid w:val="007B0CF4"/>
    <w:rsid w:val="007B103F"/>
    <w:rsid w:val="007B11D4"/>
    <w:rsid w:val="007B1478"/>
    <w:rsid w:val="007B1DF4"/>
    <w:rsid w:val="007B1F6F"/>
    <w:rsid w:val="007B2D9F"/>
    <w:rsid w:val="007B2F75"/>
    <w:rsid w:val="007B3489"/>
    <w:rsid w:val="007B39F5"/>
    <w:rsid w:val="007B3A96"/>
    <w:rsid w:val="007B3AC3"/>
    <w:rsid w:val="007B3F6C"/>
    <w:rsid w:val="007B4685"/>
    <w:rsid w:val="007B468B"/>
    <w:rsid w:val="007B48AA"/>
    <w:rsid w:val="007B48AC"/>
    <w:rsid w:val="007B4F6F"/>
    <w:rsid w:val="007B4FFA"/>
    <w:rsid w:val="007B5201"/>
    <w:rsid w:val="007B54D2"/>
    <w:rsid w:val="007B55D6"/>
    <w:rsid w:val="007B58BF"/>
    <w:rsid w:val="007B5A6D"/>
    <w:rsid w:val="007B5BBD"/>
    <w:rsid w:val="007B6092"/>
    <w:rsid w:val="007B66DA"/>
    <w:rsid w:val="007B6987"/>
    <w:rsid w:val="007B6B93"/>
    <w:rsid w:val="007B6F05"/>
    <w:rsid w:val="007B70F5"/>
    <w:rsid w:val="007B71A6"/>
    <w:rsid w:val="007B7398"/>
    <w:rsid w:val="007B772F"/>
    <w:rsid w:val="007B7960"/>
    <w:rsid w:val="007B7963"/>
    <w:rsid w:val="007B7A8B"/>
    <w:rsid w:val="007B7D17"/>
    <w:rsid w:val="007B7EA1"/>
    <w:rsid w:val="007C0076"/>
    <w:rsid w:val="007C0463"/>
    <w:rsid w:val="007C0DF2"/>
    <w:rsid w:val="007C1043"/>
    <w:rsid w:val="007C11E9"/>
    <w:rsid w:val="007C1293"/>
    <w:rsid w:val="007C1E6F"/>
    <w:rsid w:val="007C2157"/>
    <w:rsid w:val="007C236A"/>
    <w:rsid w:val="007C2429"/>
    <w:rsid w:val="007C2609"/>
    <w:rsid w:val="007C282B"/>
    <w:rsid w:val="007C28A6"/>
    <w:rsid w:val="007C28B1"/>
    <w:rsid w:val="007C32CF"/>
    <w:rsid w:val="007C32D4"/>
    <w:rsid w:val="007C334A"/>
    <w:rsid w:val="007C34C8"/>
    <w:rsid w:val="007C35E6"/>
    <w:rsid w:val="007C4317"/>
    <w:rsid w:val="007C4484"/>
    <w:rsid w:val="007C46C7"/>
    <w:rsid w:val="007C47CB"/>
    <w:rsid w:val="007C483E"/>
    <w:rsid w:val="007C4CBC"/>
    <w:rsid w:val="007C55B9"/>
    <w:rsid w:val="007C58AF"/>
    <w:rsid w:val="007C5D70"/>
    <w:rsid w:val="007C5F8D"/>
    <w:rsid w:val="007C5FC3"/>
    <w:rsid w:val="007C634C"/>
    <w:rsid w:val="007C651F"/>
    <w:rsid w:val="007C6543"/>
    <w:rsid w:val="007C73EA"/>
    <w:rsid w:val="007C794C"/>
    <w:rsid w:val="007C7FC9"/>
    <w:rsid w:val="007C7FCC"/>
    <w:rsid w:val="007D09E0"/>
    <w:rsid w:val="007D12C0"/>
    <w:rsid w:val="007D13F7"/>
    <w:rsid w:val="007D1917"/>
    <w:rsid w:val="007D1EAC"/>
    <w:rsid w:val="007D29E3"/>
    <w:rsid w:val="007D29F7"/>
    <w:rsid w:val="007D2A0B"/>
    <w:rsid w:val="007D2ACF"/>
    <w:rsid w:val="007D34E0"/>
    <w:rsid w:val="007D3A2E"/>
    <w:rsid w:val="007D3AAB"/>
    <w:rsid w:val="007D40B5"/>
    <w:rsid w:val="007D4641"/>
    <w:rsid w:val="007D55B1"/>
    <w:rsid w:val="007D57CD"/>
    <w:rsid w:val="007D5844"/>
    <w:rsid w:val="007D60CB"/>
    <w:rsid w:val="007D63C8"/>
    <w:rsid w:val="007D65A0"/>
    <w:rsid w:val="007D6AEE"/>
    <w:rsid w:val="007D6FED"/>
    <w:rsid w:val="007D7110"/>
    <w:rsid w:val="007D733F"/>
    <w:rsid w:val="007D7343"/>
    <w:rsid w:val="007D74B7"/>
    <w:rsid w:val="007D7A7C"/>
    <w:rsid w:val="007D7D82"/>
    <w:rsid w:val="007D7E2C"/>
    <w:rsid w:val="007E013D"/>
    <w:rsid w:val="007E0233"/>
    <w:rsid w:val="007E08DF"/>
    <w:rsid w:val="007E0E82"/>
    <w:rsid w:val="007E124E"/>
    <w:rsid w:val="007E1703"/>
    <w:rsid w:val="007E18DB"/>
    <w:rsid w:val="007E1A61"/>
    <w:rsid w:val="007E1F52"/>
    <w:rsid w:val="007E2500"/>
    <w:rsid w:val="007E2961"/>
    <w:rsid w:val="007E31A2"/>
    <w:rsid w:val="007E3DF7"/>
    <w:rsid w:val="007E3F5C"/>
    <w:rsid w:val="007E4433"/>
    <w:rsid w:val="007E4530"/>
    <w:rsid w:val="007E5149"/>
    <w:rsid w:val="007E5332"/>
    <w:rsid w:val="007E53F0"/>
    <w:rsid w:val="007E562A"/>
    <w:rsid w:val="007E58C5"/>
    <w:rsid w:val="007E5958"/>
    <w:rsid w:val="007E5D35"/>
    <w:rsid w:val="007E5DA7"/>
    <w:rsid w:val="007E5F51"/>
    <w:rsid w:val="007E6AD8"/>
    <w:rsid w:val="007E7C28"/>
    <w:rsid w:val="007E7C34"/>
    <w:rsid w:val="007E7D4F"/>
    <w:rsid w:val="007E7DEE"/>
    <w:rsid w:val="007F0108"/>
    <w:rsid w:val="007F02E5"/>
    <w:rsid w:val="007F0439"/>
    <w:rsid w:val="007F04ED"/>
    <w:rsid w:val="007F07C1"/>
    <w:rsid w:val="007F0B5C"/>
    <w:rsid w:val="007F0E14"/>
    <w:rsid w:val="007F1042"/>
    <w:rsid w:val="007F11E4"/>
    <w:rsid w:val="007F144B"/>
    <w:rsid w:val="007F14F6"/>
    <w:rsid w:val="007F22BD"/>
    <w:rsid w:val="007F27A9"/>
    <w:rsid w:val="007F2EAE"/>
    <w:rsid w:val="007F2FDA"/>
    <w:rsid w:val="007F3353"/>
    <w:rsid w:val="007F3412"/>
    <w:rsid w:val="007F3847"/>
    <w:rsid w:val="007F3DD7"/>
    <w:rsid w:val="007F3E20"/>
    <w:rsid w:val="007F4991"/>
    <w:rsid w:val="007F4ABA"/>
    <w:rsid w:val="007F4ED5"/>
    <w:rsid w:val="007F5575"/>
    <w:rsid w:val="007F590E"/>
    <w:rsid w:val="007F59E8"/>
    <w:rsid w:val="007F5BE2"/>
    <w:rsid w:val="007F5E12"/>
    <w:rsid w:val="007F607E"/>
    <w:rsid w:val="007F62C7"/>
    <w:rsid w:val="007F630C"/>
    <w:rsid w:val="007F6397"/>
    <w:rsid w:val="007F63CC"/>
    <w:rsid w:val="007F66C0"/>
    <w:rsid w:val="007F6926"/>
    <w:rsid w:val="007F6A16"/>
    <w:rsid w:val="007F727A"/>
    <w:rsid w:val="007F7532"/>
    <w:rsid w:val="007F7737"/>
    <w:rsid w:val="007F785F"/>
    <w:rsid w:val="007F7BB0"/>
    <w:rsid w:val="00800D74"/>
    <w:rsid w:val="00801331"/>
    <w:rsid w:val="008014F8"/>
    <w:rsid w:val="00801798"/>
    <w:rsid w:val="00801A66"/>
    <w:rsid w:val="00801D3E"/>
    <w:rsid w:val="00801DDC"/>
    <w:rsid w:val="00802705"/>
    <w:rsid w:val="00802832"/>
    <w:rsid w:val="00802A9F"/>
    <w:rsid w:val="00802CA4"/>
    <w:rsid w:val="008030CA"/>
    <w:rsid w:val="008030D8"/>
    <w:rsid w:val="008031BA"/>
    <w:rsid w:val="00803278"/>
    <w:rsid w:val="00803317"/>
    <w:rsid w:val="0080347A"/>
    <w:rsid w:val="0080351E"/>
    <w:rsid w:val="00803792"/>
    <w:rsid w:val="00803AA5"/>
    <w:rsid w:val="00803B49"/>
    <w:rsid w:val="00803BFA"/>
    <w:rsid w:val="00803C1E"/>
    <w:rsid w:val="00803FE1"/>
    <w:rsid w:val="00804092"/>
    <w:rsid w:val="00804242"/>
    <w:rsid w:val="00804441"/>
    <w:rsid w:val="0080457B"/>
    <w:rsid w:val="00804A51"/>
    <w:rsid w:val="00804A5E"/>
    <w:rsid w:val="00804C78"/>
    <w:rsid w:val="00804F7C"/>
    <w:rsid w:val="008057CD"/>
    <w:rsid w:val="00805D34"/>
    <w:rsid w:val="00805F9F"/>
    <w:rsid w:val="00805FEE"/>
    <w:rsid w:val="00806438"/>
    <w:rsid w:val="008066CB"/>
    <w:rsid w:val="008069EA"/>
    <w:rsid w:val="00806D82"/>
    <w:rsid w:val="00806F50"/>
    <w:rsid w:val="00807166"/>
    <w:rsid w:val="008072EF"/>
    <w:rsid w:val="0080732E"/>
    <w:rsid w:val="00807414"/>
    <w:rsid w:val="008077F3"/>
    <w:rsid w:val="00810220"/>
    <w:rsid w:val="00810479"/>
    <w:rsid w:val="0081062E"/>
    <w:rsid w:val="00810ACB"/>
    <w:rsid w:val="00811310"/>
    <w:rsid w:val="00811C9D"/>
    <w:rsid w:val="00811D74"/>
    <w:rsid w:val="00811E1F"/>
    <w:rsid w:val="0081209B"/>
    <w:rsid w:val="008121E3"/>
    <w:rsid w:val="00812D9E"/>
    <w:rsid w:val="00812E80"/>
    <w:rsid w:val="00812E9C"/>
    <w:rsid w:val="00813713"/>
    <w:rsid w:val="0081372B"/>
    <w:rsid w:val="008137A8"/>
    <w:rsid w:val="00814E53"/>
    <w:rsid w:val="00815058"/>
    <w:rsid w:val="00815271"/>
    <w:rsid w:val="008152E0"/>
    <w:rsid w:val="00816152"/>
    <w:rsid w:val="0081675F"/>
    <w:rsid w:val="00816949"/>
    <w:rsid w:val="00816984"/>
    <w:rsid w:val="00817787"/>
    <w:rsid w:val="00820151"/>
    <w:rsid w:val="0082055C"/>
    <w:rsid w:val="008206FE"/>
    <w:rsid w:val="00820CC4"/>
    <w:rsid w:val="00821145"/>
    <w:rsid w:val="00822591"/>
    <w:rsid w:val="00822751"/>
    <w:rsid w:val="0082287F"/>
    <w:rsid w:val="00822F1E"/>
    <w:rsid w:val="00822FAF"/>
    <w:rsid w:val="008237B4"/>
    <w:rsid w:val="00823BCC"/>
    <w:rsid w:val="00823C1F"/>
    <w:rsid w:val="00824FD2"/>
    <w:rsid w:val="008254FB"/>
    <w:rsid w:val="00825680"/>
    <w:rsid w:val="00825E8F"/>
    <w:rsid w:val="00825FD4"/>
    <w:rsid w:val="00826D9D"/>
    <w:rsid w:val="00827083"/>
    <w:rsid w:val="00827136"/>
    <w:rsid w:val="008275D5"/>
    <w:rsid w:val="008275F9"/>
    <w:rsid w:val="00827A84"/>
    <w:rsid w:val="00827FF1"/>
    <w:rsid w:val="008302B3"/>
    <w:rsid w:val="008303C3"/>
    <w:rsid w:val="008304F7"/>
    <w:rsid w:val="00830D84"/>
    <w:rsid w:val="008314E2"/>
    <w:rsid w:val="0083198D"/>
    <w:rsid w:val="00831BC2"/>
    <w:rsid w:val="00831F61"/>
    <w:rsid w:val="008321D8"/>
    <w:rsid w:val="00832C15"/>
    <w:rsid w:val="00832C19"/>
    <w:rsid w:val="00832D9B"/>
    <w:rsid w:val="00833020"/>
    <w:rsid w:val="0083328B"/>
    <w:rsid w:val="00833425"/>
    <w:rsid w:val="00833957"/>
    <w:rsid w:val="00833AC6"/>
    <w:rsid w:val="00834200"/>
    <w:rsid w:val="008347EA"/>
    <w:rsid w:val="00834EA9"/>
    <w:rsid w:val="0083583A"/>
    <w:rsid w:val="00835903"/>
    <w:rsid w:val="008359FA"/>
    <w:rsid w:val="00835BD3"/>
    <w:rsid w:val="0083619E"/>
    <w:rsid w:val="00836799"/>
    <w:rsid w:val="008367CE"/>
    <w:rsid w:val="00836EFA"/>
    <w:rsid w:val="0083752B"/>
    <w:rsid w:val="008376EB"/>
    <w:rsid w:val="008402CC"/>
    <w:rsid w:val="0084076B"/>
    <w:rsid w:val="0084121E"/>
    <w:rsid w:val="00841923"/>
    <w:rsid w:val="00841B2E"/>
    <w:rsid w:val="0084237F"/>
    <w:rsid w:val="00842869"/>
    <w:rsid w:val="00842BE1"/>
    <w:rsid w:val="00842CD6"/>
    <w:rsid w:val="00842F01"/>
    <w:rsid w:val="008434FC"/>
    <w:rsid w:val="00843A46"/>
    <w:rsid w:val="00844297"/>
    <w:rsid w:val="0084459A"/>
    <w:rsid w:val="008445B5"/>
    <w:rsid w:val="008446F3"/>
    <w:rsid w:val="008447BB"/>
    <w:rsid w:val="00844990"/>
    <w:rsid w:val="00844A9A"/>
    <w:rsid w:val="00844EDC"/>
    <w:rsid w:val="00844F8A"/>
    <w:rsid w:val="008453AD"/>
    <w:rsid w:val="008455CB"/>
    <w:rsid w:val="00845673"/>
    <w:rsid w:val="00846048"/>
    <w:rsid w:val="00846312"/>
    <w:rsid w:val="008463AC"/>
    <w:rsid w:val="00846654"/>
    <w:rsid w:val="00846B63"/>
    <w:rsid w:val="008474C2"/>
    <w:rsid w:val="00847669"/>
    <w:rsid w:val="0084795A"/>
    <w:rsid w:val="00847A90"/>
    <w:rsid w:val="00847B64"/>
    <w:rsid w:val="00847E0D"/>
    <w:rsid w:val="00847F3D"/>
    <w:rsid w:val="008504C9"/>
    <w:rsid w:val="0085051B"/>
    <w:rsid w:val="00850EE9"/>
    <w:rsid w:val="0085101D"/>
    <w:rsid w:val="0085169D"/>
    <w:rsid w:val="00851A37"/>
    <w:rsid w:val="00851AA5"/>
    <w:rsid w:val="00851D93"/>
    <w:rsid w:val="00852369"/>
    <w:rsid w:val="0085265B"/>
    <w:rsid w:val="008526FA"/>
    <w:rsid w:val="00852887"/>
    <w:rsid w:val="00852BA9"/>
    <w:rsid w:val="00852C1E"/>
    <w:rsid w:val="00852E8E"/>
    <w:rsid w:val="00852ECE"/>
    <w:rsid w:val="008539A9"/>
    <w:rsid w:val="00853A9F"/>
    <w:rsid w:val="00853DE9"/>
    <w:rsid w:val="00853E14"/>
    <w:rsid w:val="00853EED"/>
    <w:rsid w:val="00854544"/>
    <w:rsid w:val="008547D1"/>
    <w:rsid w:val="008549AF"/>
    <w:rsid w:val="00855637"/>
    <w:rsid w:val="008557D6"/>
    <w:rsid w:val="00855A74"/>
    <w:rsid w:val="00855E2E"/>
    <w:rsid w:val="00855E33"/>
    <w:rsid w:val="00856365"/>
    <w:rsid w:val="00856459"/>
    <w:rsid w:val="00857272"/>
    <w:rsid w:val="00857331"/>
    <w:rsid w:val="0085748B"/>
    <w:rsid w:val="00860077"/>
    <w:rsid w:val="00860283"/>
    <w:rsid w:val="0086058E"/>
    <w:rsid w:val="00860C34"/>
    <w:rsid w:val="00861196"/>
    <w:rsid w:val="0086129E"/>
    <w:rsid w:val="008616A5"/>
    <w:rsid w:val="00861DF7"/>
    <w:rsid w:val="0086263A"/>
    <w:rsid w:val="00862F65"/>
    <w:rsid w:val="00862FC7"/>
    <w:rsid w:val="0086342F"/>
    <w:rsid w:val="0086360A"/>
    <w:rsid w:val="008638F0"/>
    <w:rsid w:val="00863A21"/>
    <w:rsid w:val="00863B9C"/>
    <w:rsid w:val="00864760"/>
    <w:rsid w:val="00864A1E"/>
    <w:rsid w:val="00864A63"/>
    <w:rsid w:val="00864A7D"/>
    <w:rsid w:val="008658E1"/>
    <w:rsid w:val="00865C99"/>
    <w:rsid w:val="00865D9B"/>
    <w:rsid w:val="0086614C"/>
    <w:rsid w:val="0086638D"/>
    <w:rsid w:val="0086659C"/>
    <w:rsid w:val="008666EC"/>
    <w:rsid w:val="00866F64"/>
    <w:rsid w:val="00867060"/>
    <w:rsid w:val="008670E9"/>
    <w:rsid w:val="00867137"/>
    <w:rsid w:val="008676B5"/>
    <w:rsid w:val="0086785E"/>
    <w:rsid w:val="00867997"/>
    <w:rsid w:val="00867FBB"/>
    <w:rsid w:val="0087073A"/>
    <w:rsid w:val="0087115D"/>
    <w:rsid w:val="008711EA"/>
    <w:rsid w:val="00871235"/>
    <w:rsid w:val="00871396"/>
    <w:rsid w:val="00871C5A"/>
    <w:rsid w:val="00871C73"/>
    <w:rsid w:val="00871CED"/>
    <w:rsid w:val="00871DC9"/>
    <w:rsid w:val="00871E74"/>
    <w:rsid w:val="00872119"/>
    <w:rsid w:val="008721DC"/>
    <w:rsid w:val="0087221C"/>
    <w:rsid w:val="0087262F"/>
    <w:rsid w:val="008726DF"/>
    <w:rsid w:val="00872BAD"/>
    <w:rsid w:val="00872F22"/>
    <w:rsid w:val="00872F59"/>
    <w:rsid w:val="00873133"/>
    <w:rsid w:val="00873403"/>
    <w:rsid w:val="00873909"/>
    <w:rsid w:val="0087404B"/>
    <w:rsid w:val="00874583"/>
    <w:rsid w:val="00874886"/>
    <w:rsid w:val="00874A5E"/>
    <w:rsid w:val="00874B4C"/>
    <w:rsid w:val="00874F29"/>
    <w:rsid w:val="00875351"/>
    <w:rsid w:val="0087541F"/>
    <w:rsid w:val="00875D4D"/>
    <w:rsid w:val="00875F28"/>
    <w:rsid w:val="008764A6"/>
    <w:rsid w:val="00876903"/>
    <w:rsid w:val="00876AEB"/>
    <w:rsid w:val="00876E27"/>
    <w:rsid w:val="008779C5"/>
    <w:rsid w:val="00877C13"/>
    <w:rsid w:val="00880FA5"/>
    <w:rsid w:val="008811CC"/>
    <w:rsid w:val="0088175C"/>
    <w:rsid w:val="008818EB"/>
    <w:rsid w:val="00881E57"/>
    <w:rsid w:val="00882A3B"/>
    <w:rsid w:val="008839A8"/>
    <w:rsid w:val="00883F3D"/>
    <w:rsid w:val="00884539"/>
    <w:rsid w:val="008845B3"/>
    <w:rsid w:val="00884FAA"/>
    <w:rsid w:val="008851D2"/>
    <w:rsid w:val="00885467"/>
    <w:rsid w:val="00885BA7"/>
    <w:rsid w:val="008861A9"/>
    <w:rsid w:val="00886964"/>
    <w:rsid w:val="00886DC6"/>
    <w:rsid w:val="00886F07"/>
    <w:rsid w:val="00886F21"/>
    <w:rsid w:val="00890E77"/>
    <w:rsid w:val="00890E81"/>
    <w:rsid w:val="00890FE6"/>
    <w:rsid w:val="008910FD"/>
    <w:rsid w:val="008913E0"/>
    <w:rsid w:val="00891454"/>
    <w:rsid w:val="00891595"/>
    <w:rsid w:val="00891EEF"/>
    <w:rsid w:val="008920E9"/>
    <w:rsid w:val="0089259F"/>
    <w:rsid w:val="008926DA"/>
    <w:rsid w:val="00892C82"/>
    <w:rsid w:val="00892CB0"/>
    <w:rsid w:val="00892E08"/>
    <w:rsid w:val="00892E89"/>
    <w:rsid w:val="008932D5"/>
    <w:rsid w:val="00893493"/>
    <w:rsid w:val="00893686"/>
    <w:rsid w:val="00893AB9"/>
    <w:rsid w:val="00893B79"/>
    <w:rsid w:val="00894190"/>
    <w:rsid w:val="0089431A"/>
    <w:rsid w:val="0089442D"/>
    <w:rsid w:val="00894E93"/>
    <w:rsid w:val="00895253"/>
    <w:rsid w:val="0089537D"/>
    <w:rsid w:val="00895896"/>
    <w:rsid w:val="008959BF"/>
    <w:rsid w:val="00895C85"/>
    <w:rsid w:val="00895CF0"/>
    <w:rsid w:val="0089630C"/>
    <w:rsid w:val="00896666"/>
    <w:rsid w:val="00896AB5"/>
    <w:rsid w:val="00897630"/>
    <w:rsid w:val="008977AF"/>
    <w:rsid w:val="008A004D"/>
    <w:rsid w:val="008A0167"/>
    <w:rsid w:val="008A0B6B"/>
    <w:rsid w:val="008A10DB"/>
    <w:rsid w:val="008A11E3"/>
    <w:rsid w:val="008A1319"/>
    <w:rsid w:val="008A1855"/>
    <w:rsid w:val="008A1E33"/>
    <w:rsid w:val="008A1FAD"/>
    <w:rsid w:val="008A23E6"/>
    <w:rsid w:val="008A29A7"/>
    <w:rsid w:val="008A2B9F"/>
    <w:rsid w:val="008A3048"/>
    <w:rsid w:val="008A31C9"/>
    <w:rsid w:val="008A31DB"/>
    <w:rsid w:val="008A3C6A"/>
    <w:rsid w:val="008A3CFB"/>
    <w:rsid w:val="008A3D5E"/>
    <w:rsid w:val="008A3D9C"/>
    <w:rsid w:val="008A409C"/>
    <w:rsid w:val="008A48C5"/>
    <w:rsid w:val="008A4C5B"/>
    <w:rsid w:val="008A5647"/>
    <w:rsid w:val="008A5DB5"/>
    <w:rsid w:val="008A5DEE"/>
    <w:rsid w:val="008A717A"/>
    <w:rsid w:val="008A721A"/>
    <w:rsid w:val="008A7866"/>
    <w:rsid w:val="008A7E22"/>
    <w:rsid w:val="008B008A"/>
    <w:rsid w:val="008B0368"/>
    <w:rsid w:val="008B0376"/>
    <w:rsid w:val="008B0414"/>
    <w:rsid w:val="008B0CDC"/>
    <w:rsid w:val="008B0F2C"/>
    <w:rsid w:val="008B1299"/>
    <w:rsid w:val="008B13D9"/>
    <w:rsid w:val="008B158E"/>
    <w:rsid w:val="008B171F"/>
    <w:rsid w:val="008B184A"/>
    <w:rsid w:val="008B219F"/>
    <w:rsid w:val="008B2ECE"/>
    <w:rsid w:val="008B3041"/>
    <w:rsid w:val="008B3407"/>
    <w:rsid w:val="008B3C1C"/>
    <w:rsid w:val="008B42B9"/>
    <w:rsid w:val="008B4312"/>
    <w:rsid w:val="008B47F0"/>
    <w:rsid w:val="008B48DB"/>
    <w:rsid w:val="008B4BF0"/>
    <w:rsid w:val="008B4FDC"/>
    <w:rsid w:val="008B5078"/>
    <w:rsid w:val="008B51FF"/>
    <w:rsid w:val="008B521F"/>
    <w:rsid w:val="008B5235"/>
    <w:rsid w:val="008B598F"/>
    <w:rsid w:val="008B5B97"/>
    <w:rsid w:val="008B5C19"/>
    <w:rsid w:val="008B5EA8"/>
    <w:rsid w:val="008B6130"/>
    <w:rsid w:val="008B621E"/>
    <w:rsid w:val="008B6536"/>
    <w:rsid w:val="008B6735"/>
    <w:rsid w:val="008B6977"/>
    <w:rsid w:val="008B6B7F"/>
    <w:rsid w:val="008B710F"/>
    <w:rsid w:val="008B7129"/>
    <w:rsid w:val="008B72F8"/>
    <w:rsid w:val="008B748A"/>
    <w:rsid w:val="008B7683"/>
    <w:rsid w:val="008C0C29"/>
    <w:rsid w:val="008C0F4C"/>
    <w:rsid w:val="008C1510"/>
    <w:rsid w:val="008C26B2"/>
    <w:rsid w:val="008C2955"/>
    <w:rsid w:val="008C29DD"/>
    <w:rsid w:val="008C2A3F"/>
    <w:rsid w:val="008C322F"/>
    <w:rsid w:val="008C3287"/>
    <w:rsid w:val="008C34B6"/>
    <w:rsid w:val="008C3773"/>
    <w:rsid w:val="008C3806"/>
    <w:rsid w:val="008C3AE0"/>
    <w:rsid w:val="008C3C72"/>
    <w:rsid w:val="008C3DBA"/>
    <w:rsid w:val="008C3F0B"/>
    <w:rsid w:val="008C3F7C"/>
    <w:rsid w:val="008C4844"/>
    <w:rsid w:val="008C5B54"/>
    <w:rsid w:val="008C5C83"/>
    <w:rsid w:val="008C64AD"/>
    <w:rsid w:val="008C6762"/>
    <w:rsid w:val="008C7537"/>
    <w:rsid w:val="008C7892"/>
    <w:rsid w:val="008C79B0"/>
    <w:rsid w:val="008C7B83"/>
    <w:rsid w:val="008C7C99"/>
    <w:rsid w:val="008C7CBE"/>
    <w:rsid w:val="008D09E4"/>
    <w:rsid w:val="008D126E"/>
    <w:rsid w:val="008D129B"/>
    <w:rsid w:val="008D195A"/>
    <w:rsid w:val="008D19FC"/>
    <w:rsid w:val="008D208A"/>
    <w:rsid w:val="008D258E"/>
    <w:rsid w:val="008D2725"/>
    <w:rsid w:val="008D2732"/>
    <w:rsid w:val="008D2767"/>
    <w:rsid w:val="008D2C43"/>
    <w:rsid w:val="008D3242"/>
    <w:rsid w:val="008D3C38"/>
    <w:rsid w:val="008D3F63"/>
    <w:rsid w:val="008D4597"/>
    <w:rsid w:val="008D4656"/>
    <w:rsid w:val="008D4AE9"/>
    <w:rsid w:val="008D4F97"/>
    <w:rsid w:val="008D514B"/>
    <w:rsid w:val="008D5582"/>
    <w:rsid w:val="008D5DEB"/>
    <w:rsid w:val="008D6553"/>
    <w:rsid w:val="008D663D"/>
    <w:rsid w:val="008D6B90"/>
    <w:rsid w:val="008D6B9B"/>
    <w:rsid w:val="008D75D3"/>
    <w:rsid w:val="008D77E3"/>
    <w:rsid w:val="008D7B53"/>
    <w:rsid w:val="008D7E24"/>
    <w:rsid w:val="008D7F03"/>
    <w:rsid w:val="008E018E"/>
    <w:rsid w:val="008E05DB"/>
    <w:rsid w:val="008E06E8"/>
    <w:rsid w:val="008E0789"/>
    <w:rsid w:val="008E0A8C"/>
    <w:rsid w:val="008E0B9E"/>
    <w:rsid w:val="008E127F"/>
    <w:rsid w:val="008E1600"/>
    <w:rsid w:val="008E1C2A"/>
    <w:rsid w:val="008E1E30"/>
    <w:rsid w:val="008E20C3"/>
    <w:rsid w:val="008E2493"/>
    <w:rsid w:val="008E2576"/>
    <w:rsid w:val="008E30B6"/>
    <w:rsid w:val="008E3533"/>
    <w:rsid w:val="008E3594"/>
    <w:rsid w:val="008E3968"/>
    <w:rsid w:val="008E3AF1"/>
    <w:rsid w:val="008E3DB6"/>
    <w:rsid w:val="008E4091"/>
    <w:rsid w:val="008E43CA"/>
    <w:rsid w:val="008E44D2"/>
    <w:rsid w:val="008E4761"/>
    <w:rsid w:val="008E4A8A"/>
    <w:rsid w:val="008E4B64"/>
    <w:rsid w:val="008E4D07"/>
    <w:rsid w:val="008E58B9"/>
    <w:rsid w:val="008E5A5A"/>
    <w:rsid w:val="008E5B41"/>
    <w:rsid w:val="008E5F5E"/>
    <w:rsid w:val="008E6483"/>
    <w:rsid w:val="008E66C1"/>
    <w:rsid w:val="008E6B02"/>
    <w:rsid w:val="008E6FA3"/>
    <w:rsid w:val="008E732D"/>
    <w:rsid w:val="008E74EE"/>
    <w:rsid w:val="008E78F4"/>
    <w:rsid w:val="008E7ABD"/>
    <w:rsid w:val="008E7C30"/>
    <w:rsid w:val="008E7CDF"/>
    <w:rsid w:val="008E7D53"/>
    <w:rsid w:val="008F00CC"/>
    <w:rsid w:val="008F02A3"/>
    <w:rsid w:val="008F054E"/>
    <w:rsid w:val="008F0AA6"/>
    <w:rsid w:val="008F0C8B"/>
    <w:rsid w:val="008F0FAE"/>
    <w:rsid w:val="008F1006"/>
    <w:rsid w:val="008F1761"/>
    <w:rsid w:val="008F1887"/>
    <w:rsid w:val="008F26A5"/>
    <w:rsid w:val="008F27DA"/>
    <w:rsid w:val="008F28BB"/>
    <w:rsid w:val="008F2B79"/>
    <w:rsid w:val="008F2DA1"/>
    <w:rsid w:val="008F3B8B"/>
    <w:rsid w:val="008F3D1B"/>
    <w:rsid w:val="008F3FAC"/>
    <w:rsid w:val="008F4B52"/>
    <w:rsid w:val="008F4E09"/>
    <w:rsid w:val="008F53BA"/>
    <w:rsid w:val="008F546B"/>
    <w:rsid w:val="008F55B0"/>
    <w:rsid w:val="008F6729"/>
    <w:rsid w:val="008F67F4"/>
    <w:rsid w:val="008F686A"/>
    <w:rsid w:val="008F6DC3"/>
    <w:rsid w:val="008F7515"/>
    <w:rsid w:val="008F7547"/>
    <w:rsid w:val="0090088A"/>
    <w:rsid w:val="009008A3"/>
    <w:rsid w:val="009008E8"/>
    <w:rsid w:val="00900B9A"/>
    <w:rsid w:val="00900DA2"/>
    <w:rsid w:val="009011AE"/>
    <w:rsid w:val="009011B7"/>
    <w:rsid w:val="00901970"/>
    <w:rsid w:val="00901D44"/>
    <w:rsid w:val="009021D7"/>
    <w:rsid w:val="0090269C"/>
    <w:rsid w:val="0090278B"/>
    <w:rsid w:val="00902B00"/>
    <w:rsid w:val="00902BCF"/>
    <w:rsid w:val="00903D2A"/>
    <w:rsid w:val="0090406B"/>
    <w:rsid w:val="00904B95"/>
    <w:rsid w:val="00905146"/>
    <w:rsid w:val="009051D6"/>
    <w:rsid w:val="0090527B"/>
    <w:rsid w:val="0090532F"/>
    <w:rsid w:val="00905A4C"/>
    <w:rsid w:val="00906319"/>
    <w:rsid w:val="00906775"/>
    <w:rsid w:val="009069CF"/>
    <w:rsid w:val="00907024"/>
    <w:rsid w:val="00907703"/>
    <w:rsid w:val="00907EEB"/>
    <w:rsid w:val="009103F1"/>
    <w:rsid w:val="00911195"/>
    <w:rsid w:val="00911340"/>
    <w:rsid w:val="009114DD"/>
    <w:rsid w:val="00911690"/>
    <w:rsid w:val="00911B7D"/>
    <w:rsid w:val="00911C72"/>
    <w:rsid w:val="009123D2"/>
    <w:rsid w:val="00912B40"/>
    <w:rsid w:val="00912D86"/>
    <w:rsid w:val="009131B7"/>
    <w:rsid w:val="009131C5"/>
    <w:rsid w:val="00913748"/>
    <w:rsid w:val="0091381D"/>
    <w:rsid w:val="009138BF"/>
    <w:rsid w:val="00913A49"/>
    <w:rsid w:val="00913F55"/>
    <w:rsid w:val="00914201"/>
    <w:rsid w:val="0091433A"/>
    <w:rsid w:val="00914494"/>
    <w:rsid w:val="009152EC"/>
    <w:rsid w:val="009157F2"/>
    <w:rsid w:val="00915AAF"/>
    <w:rsid w:val="00915EE7"/>
    <w:rsid w:val="0091604E"/>
    <w:rsid w:val="009165C1"/>
    <w:rsid w:val="00916814"/>
    <w:rsid w:val="0091691D"/>
    <w:rsid w:val="00917388"/>
    <w:rsid w:val="009176D0"/>
    <w:rsid w:val="00917925"/>
    <w:rsid w:val="00917961"/>
    <w:rsid w:val="00920A39"/>
    <w:rsid w:val="00920F25"/>
    <w:rsid w:val="009210DF"/>
    <w:rsid w:val="00921252"/>
    <w:rsid w:val="00921528"/>
    <w:rsid w:val="00921843"/>
    <w:rsid w:val="00921872"/>
    <w:rsid w:val="00921CBF"/>
    <w:rsid w:val="00921E5A"/>
    <w:rsid w:val="00921EC9"/>
    <w:rsid w:val="00921FF2"/>
    <w:rsid w:val="0092246D"/>
    <w:rsid w:val="00922919"/>
    <w:rsid w:val="00922A7C"/>
    <w:rsid w:val="00922C4B"/>
    <w:rsid w:val="00922EE3"/>
    <w:rsid w:val="00923082"/>
    <w:rsid w:val="0092380B"/>
    <w:rsid w:val="00923C96"/>
    <w:rsid w:val="00924157"/>
    <w:rsid w:val="0092437C"/>
    <w:rsid w:val="0092479E"/>
    <w:rsid w:val="00924B1A"/>
    <w:rsid w:val="00924B5F"/>
    <w:rsid w:val="00924CF3"/>
    <w:rsid w:val="00924DFB"/>
    <w:rsid w:val="00924E58"/>
    <w:rsid w:val="00925CA8"/>
    <w:rsid w:val="00925F10"/>
    <w:rsid w:val="0092621F"/>
    <w:rsid w:val="009268E1"/>
    <w:rsid w:val="0092692E"/>
    <w:rsid w:val="00927516"/>
    <w:rsid w:val="00927930"/>
    <w:rsid w:val="0092797D"/>
    <w:rsid w:val="00927A37"/>
    <w:rsid w:val="0093008A"/>
    <w:rsid w:val="009302D5"/>
    <w:rsid w:val="00930394"/>
    <w:rsid w:val="00930488"/>
    <w:rsid w:val="00930674"/>
    <w:rsid w:val="0093129E"/>
    <w:rsid w:val="00931519"/>
    <w:rsid w:val="00931889"/>
    <w:rsid w:val="009318E2"/>
    <w:rsid w:val="00931DB8"/>
    <w:rsid w:val="00931E9A"/>
    <w:rsid w:val="00931EF6"/>
    <w:rsid w:val="00931EF8"/>
    <w:rsid w:val="009320B7"/>
    <w:rsid w:val="0093221F"/>
    <w:rsid w:val="00932375"/>
    <w:rsid w:val="009323BE"/>
    <w:rsid w:val="009323D9"/>
    <w:rsid w:val="00932BFE"/>
    <w:rsid w:val="00932C1A"/>
    <w:rsid w:val="00932CEB"/>
    <w:rsid w:val="009330DF"/>
    <w:rsid w:val="00933656"/>
    <w:rsid w:val="00933B80"/>
    <w:rsid w:val="00933CB6"/>
    <w:rsid w:val="0093415B"/>
    <w:rsid w:val="009341A0"/>
    <w:rsid w:val="009341D8"/>
    <w:rsid w:val="009349A1"/>
    <w:rsid w:val="0093508E"/>
    <w:rsid w:val="0093520C"/>
    <w:rsid w:val="0093552B"/>
    <w:rsid w:val="009358A9"/>
    <w:rsid w:val="00936218"/>
    <w:rsid w:val="00936339"/>
    <w:rsid w:val="009378CD"/>
    <w:rsid w:val="00937975"/>
    <w:rsid w:val="00940654"/>
    <w:rsid w:val="0094067B"/>
    <w:rsid w:val="00940746"/>
    <w:rsid w:val="00940C04"/>
    <w:rsid w:val="0094106C"/>
    <w:rsid w:val="00941297"/>
    <w:rsid w:val="00941BA3"/>
    <w:rsid w:val="00941EFF"/>
    <w:rsid w:val="00942798"/>
    <w:rsid w:val="00942BC1"/>
    <w:rsid w:val="00942DB0"/>
    <w:rsid w:val="009433FC"/>
    <w:rsid w:val="009436EA"/>
    <w:rsid w:val="009438A4"/>
    <w:rsid w:val="009438E3"/>
    <w:rsid w:val="0094411A"/>
    <w:rsid w:val="009444C2"/>
    <w:rsid w:val="009445D8"/>
    <w:rsid w:val="00944AE7"/>
    <w:rsid w:val="00944B5A"/>
    <w:rsid w:val="00944B7A"/>
    <w:rsid w:val="00944C2C"/>
    <w:rsid w:val="0094565C"/>
    <w:rsid w:val="00945D9A"/>
    <w:rsid w:val="0094619E"/>
    <w:rsid w:val="009462BB"/>
    <w:rsid w:val="00946360"/>
    <w:rsid w:val="0094665B"/>
    <w:rsid w:val="00946B20"/>
    <w:rsid w:val="009473DA"/>
    <w:rsid w:val="00947464"/>
    <w:rsid w:val="00950077"/>
    <w:rsid w:val="0095015A"/>
    <w:rsid w:val="00950547"/>
    <w:rsid w:val="0095066B"/>
    <w:rsid w:val="00950DC6"/>
    <w:rsid w:val="00950EA7"/>
    <w:rsid w:val="00950EFD"/>
    <w:rsid w:val="0095149D"/>
    <w:rsid w:val="009518F2"/>
    <w:rsid w:val="00951A3C"/>
    <w:rsid w:val="00951B60"/>
    <w:rsid w:val="00951CC7"/>
    <w:rsid w:val="00951FB0"/>
    <w:rsid w:val="009528A1"/>
    <w:rsid w:val="009528C9"/>
    <w:rsid w:val="00952CC5"/>
    <w:rsid w:val="00952CCE"/>
    <w:rsid w:val="009531BD"/>
    <w:rsid w:val="009532B7"/>
    <w:rsid w:val="009536B6"/>
    <w:rsid w:val="009536E6"/>
    <w:rsid w:val="0095387A"/>
    <w:rsid w:val="00953886"/>
    <w:rsid w:val="00953B99"/>
    <w:rsid w:val="00953F9D"/>
    <w:rsid w:val="009544CB"/>
    <w:rsid w:val="00955113"/>
    <w:rsid w:val="009554C1"/>
    <w:rsid w:val="009559B4"/>
    <w:rsid w:val="00955A63"/>
    <w:rsid w:val="00955A6B"/>
    <w:rsid w:val="00955B9C"/>
    <w:rsid w:val="00955E00"/>
    <w:rsid w:val="00955E61"/>
    <w:rsid w:val="009560B3"/>
    <w:rsid w:val="00956235"/>
    <w:rsid w:val="00956969"/>
    <w:rsid w:val="00956C16"/>
    <w:rsid w:val="00956ED4"/>
    <w:rsid w:val="0095710B"/>
    <w:rsid w:val="009575C4"/>
    <w:rsid w:val="009578AA"/>
    <w:rsid w:val="00957989"/>
    <w:rsid w:val="00957B07"/>
    <w:rsid w:val="00960155"/>
    <w:rsid w:val="00960845"/>
    <w:rsid w:val="00960A50"/>
    <w:rsid w:val="00960B83"/>
    <w:rsid w:val="00961291"/>
    <w:rsid w:val="0096133D"/>
    <w:rsid w:val="0096227F"/>
    <w:rsid w:val="009623C9"/>
    <w:rsid w:val="00962651"/>
    <w:rsid w:val="00962EE1"/>
    <w:rsid w:val="00962FD4"/>
    <w:rsid w:val="00963ABD"/>
    <w:rsid w:val="00963ACA"/>
    <w:rsid w:val="00963BFA"/>
    <w:rsid w:val="00963C12"/>
    <w:rsid w:val="0096447C"/>
    <w:rsid w:val="00964499"/>
    <w:rsid w:val="009644BF"/>
    <w:rsid w:val="00964E2F"/>
    <w:rsid w:val="0096527C"/>
    <w:rsid w:val="009654AF"/>
    <w:rsid w:val="009659B2"/>
    <w:rsid w:val="00965D4F"/>
    <w:rsid w:val="009661AB"/>
    <w:rsid w:val="00966511"/>
    <w:rsid w:val="009669B0"/>
    <w:rsid w:val="00966CFF"/>
    <w:rsid w:val="00966E9E"/>
    <w:rsid w:val="00967793"/>
    <w:rsid w:val="00967C5E"/>
    <w:rsid w:val="00967DFA"/>
    <w:rsid w:val="0097038D"/>
    <w:rsid w:val="0097047C"/>
    <w:rsid w:val="00970627"/>
    <w:rsid w:val="00970C56"/>
    <w:rsid w:val="00970D04"/>
    <w:rsid w:val="009713FE"/>
    <w:rsid w:val="00971566"/>
    <w:rsid w:val="009719C1"/>
    <w:rsid w:val="00971E19"/>
    <w:rsid w:val="00972166"/>
    <w:rsid w:val="00972484"/>
    <w:rsid w:val="009725CE"/>
    <w:rsid w:val="0097277B"/>
    <w:rsid w:val="00972DAD"/>
    <w:rsid w:val="00972E4E"/>
    <w:rsid w:val="00973047"/>
    <w:rsid w:val="009734E7"/>
    <w:rsid w:val="00973873"/>
    <w:rsid w:val="00973D52"/>
    <w:rsid w:val="00973E9B"/>
    <w:rsid w:val="0097422E"/>
    <w:rsid w:val="00974A0D"/>
    <w:rsid w:val="00975374"/>
    <w:rsid w:val="009756A8"/>
    <w:rsid w:val="009756DC"/>
    <w:rsid w:val="00975854"/>
    <w:rsid w:val="009758A9"/>
    <w:rsid w:val="00975A47"/>
    <w:rsid w:val="00975E26"/>
    <w:rsid w:val="00976109"/>
    <w:rsid w:val="0097630B"/>
    <w:rsid w:val="00976320"/>
    <w:rsid w:val="009763F7"/>
    <w:rsid w:val="00976695"/>
    <w:rsid w:val="00977BC7"/>
    <w:rsid w:val="00980088"/>
    <w:rsid w:val="009802BE"/>
    <w:rsid w:val="00980680"/>
    <w:rsid w:val="00980797"/>
    <w:rsid w:val="00980AE9"/>
    <w:rsid w:val="00981022"/>
    <w:rsid w:val="009811B6"/>
    <w:rsid w:val="009812A4"/>
    <w:rsid w:val="009815ED"/>
    <w:rsid w:val="00981EE5"/>
    <w:rsid w:val="00981EF8"/>
    <w:rsid w:val="0098227B"/>
    <w:rsid w:val="00982413"/>
    <w:rsid w:val="0098252D"/>
    <w:rsid w:val="009826E4"/>
    <w:rsid w:val="00982C74"/>
    <w:rsid w:val="009830B8"/>
    <w:rsid w:val="00983300"/>
    <w:rsid w:val="009834C6"/>
    <w:rsid w:val="00983722"/>
    <w:rsid w:val="009837CE"/>
    <w:rsid w:val="009838B0"/>
    <w:rsid w:val="00983BB5"/>
    <w:rsid w:val="00983F5C"/>
    <w:rsid w:val="00984D06"/>
    <w:rsid w:val="00984DAA"/>
    <w:rsid w:val="00985131"/>
    <w:rsid w:val="009855E8"/>
    <w:rsid w:val="0098699F"/>
    <w:rsid w:val="009869B5"/>
    <w:rsid w:val="00986C76"/>
    <w:rsid w:val="0098791E"/>
    <w:rsid w:val="00987C10"/>
    <w:rsid w:val="009901E7"/>
    <w:rsid w:val="00990290"/>
    <w:rsid w:val="009905CF"/>
    <w:rsid w:val="0099071D"/>
    <w:rsid w:val="009909CA"/>
    <w:rsid w:val="00990BF4"/>
    <w:rsid w:val="00991369"/>
    <w:rsid w:val="009919CD"/>
    <w:rsid w:val="00991CD6"/>
    <w:rsid w:val="0099210B"/>
    <w:rsid w:val="009937D3"/>
    <w:rsid w:val="009939A1"/>
    <w:rsid w:val="00994057"/>
    <w:rsid w:val="00994286"/>
    <w:rsid w:val="009945AF"/>
    <w:rsid w:val="0099470F"/>
    <w:rsid w:val="00994D65"/>
    <w:rsid w:val="0099537E"/>
    <w:rsid w:val="009964EA"/>
    <w:rsid w:val="009966D3"/>
    <w:rsid w:val="00996716"/>
    <w:rsid w:val="009967D6"/>
    <w:rsid w:val="00996B27"/>
    <w:rsid w:val="00996D56"/>
    <w:rsid w:val="00996DBB"/>
    <w:rsid w:val="0099725F"/>
    <w:rsid w:val="009975D2"/>
    <w:rsid w:val="0099766E"/>
    <w:rsid w:val="00997CBE"/>
    <w:rsid w:val="009A0794"/>
    <w:rsid w:val="009A07E9"/>
    <w:rsid w:val="009A0C4F"/>
    <w:rsid w:val="009A0CB4"/>
    <w:rsid w:val="009A17FB"/>
    <w:rsid w:val="009A18C3"/>
    <w:rsid w:val="009A191D"/>
    <w:rsid w:val="009A1E12"/>
    <w:rsid w:val="009A28C0"/>
    <w:rsid w:val="009A39E8"/>
    <w:rsid w:val="009A3C7B"/>
    <w:rsid w:val="009A405A"/>
    <w:rsid w:val="009A4150"/>
    <w:rsid w:val="009A43FD"/>
    <w:rsid w:val="009A45CB"/>
    <w:rsid w:val="009A4A1D"/>
    <w:rsid w:val="009A4E04"/>
    <w:rsid w:val="009A527D"/>
    <w:rsid w:val="009A5678"/>
    <w:rsid w:val="009A5751"/>
    <w:rsid w:val="009A583C"/>
    <w:rsid w:val="009A58B2"/>
    <w:rsid w:val="009A5D84"/>
    <w:rsid w:val="009A60D0"/>
    <w:rsid w:val="009A60D8"/>
    <w:rsid w:val="009A65CC"/>
    <w:rsid w:val="009A65D1"/>
    <w:rsid w:val="009A6671"/>
    <w:rsid w:val="009A6783"/>
    <w:rsid w:val="009A6CE5"/>
    <w:rsid w:val="009A6E7C"/>
    <w:rsid w:val="009A7810"/>
    <w:rsid w:val="009B0059"/>
    <w:rsid w:val="009B0249"/>
    <w:rsid w:val="009B03E6"/>
    <w:rsid w:val="009B08A9"/>
    <w:rsid w:val="009B1151"/>
    <w:rsid w:val="009B18A7"/>
    <w:rsid w:val="009B1996"/>
    <w:rsid w:val="009B2949"/>
    <w:rsid w:val="009B2AF4"/>
    <w:rsid w:val="009B349E"/>
    <w:rsid w:val="009B34C7"/>
    <w:rsid w:val="009B3592"/>
    <w:rsid w:val="009B3FD0"/>
    <w:rsid w:val="009B438C"/>
    <w:rsid w:val="009B43CA"/>
    <w:rsid w:val="009B4AAC"/>
    <w:rsid w:val="009B4B40"/>
    <w:rsid w:val="009B4BB8"/>
    <w:rsid w:val="009B4C32"/>
    <w:rsid w:val="009B4CF4"/>
    <w:rsid w:val="009B4F00"/>
    <w:rsid w:val="009B6FF9"/>
    <w:rsid w:val="009B70CF"/>
    <w:rsid w:val="009B72CE"/>
    <w:rsid w:val="009C0245"/>
    <w:rsid w:val="009C0AC2"/>
    <w:rsid w:val="009C0D72"/>
    <w:rsid w:val="009C0E26"/>
    <w:rsid w:val="009C0E59"/>
    <w:rsid w:val="009C1AD3"/>
    <w:rsid w:val="009C21F4"/>
    <w:rsid w:val="009C278B"/>
    <w:rsid w:val="009C2A92"/>
    <w:rsid w:val="009C2B18"/>
    <w:rsid w:val="009C332F"/>
    <w:rsid w:val="009C3688"/>
    <w:rsid w:val="009C392C"/>
    <w:rsid w:val="009C4106"/>
    <w:rsid w:val="009C41CC"/>
    <w:rsid w:val="009C4268"/>
    <w:rsid w:val="009C4631"/>
    <w:rsid w:val="009C4C72"/>
    <w:rsid w:val="009C4C78"/>
    <w:rsid w:val="009C4FC1"/>
    <w:rsid w:val="009C55B3"/>
    <w:rsid w:val="009C574A"/>
    <w:rsid w:val="009C67AA"/>
    <w:rsid w:val="009C6966"/>
    <w:rsid w:val="009C6A0E"/>
    <w:rsid w:val="009C6A2C"/>
    <w:rsid w:val="009C6C76"/>
    <w:rsid w:val="009C6D2D"/>
    <w:rsid w:val="009C6FF8"/>
    <w:rsid w:val="009C7161"/>
    <w:rsid w:val="009C7A5C"/>
    <w:rsid w:val="009C7A61"/>
    <w:rsid w:val="009C7ED1"/>
    <w:rsid w:val="009C7EF3"/>
    <w:rsid w:val="009D035E"/>
    <w:rsid w:val="009D085F"/>
    <w:rsid w:val="009D0A5C"/>
    <w:rsid w:val="009D0A99"/>
    <w:rsid w:val="009D0D41"/>
    <w:rsid w:val="009D0E73"/>
    <w:rsid w:val="009D17F5"/>
    <w:rsid w:val="009D19F9"/>
    <w:rsid w:val="009D2282"/>
    <w:rsid w:val="009D2551"/>
    <w:rsid w:val="009D34E7"/>
    <w:rsid w:val="009D355E"/>
    <w:rsid w:val="009D3B21"/>
    <w:rsid w:val="009D3BDB"/>
    <w:rsid w:val="009D3FC3"/>
    <w:rsid w:val="009D457B"/>
    <w:rsid w:val="009D483E"/>
    <w:rsid w:val="009D4BF2"/>
    <w:rsid w:val="009D4CFD"/>
    <w:rsid w:val="009D5985"/>
    <w:rsid w:val="009D5BA1"/>
    <w:rsid w:val="009D5E33"/>
    <w:rsid w:val="009D601F"/>
    <w:rsid w:val="009D632B"/>
    <w:rsid w:val="009D6EEA"/>
    <w:rsid w:val="009D6FAD"/>
    <w:rsid w:val="009D749D"/>
    <w:rsid w:val="009D7A63"/>
    <w:rsid w:val="009D7DE9"/>
    <w:rsid w:val="009D7F1C"/>
    <w:rsid w:val="009D7FD6"/>
    <w:rsid w:val="009E0411"/>
    <w:rsid w:val="009E077F"/>
    <w:rsid w:val="009E0BDC"/>
    <w:rsid w:val="009E0D89"/>
    <w:rsid w:val="009E134F"/>
    <w:rsid w:val="009E16A1"/>
    <w:rsid w:val="009E1B14"/>
    <w:rsid w:val="009E1DC4"/>
    <w:rsid w:val="009E203F"/>
    <w:rsid w:val="009E2064"/>
    <w:rsid w:val="009E2088"/>
    <w:rsid w:val="009E2401"/>
    <w:rsid w:val="009E3373"/>
    <w:rsid w:val="009E3506"/>
    <w:rsid w:val="009E3570"/>
    <w:rsid w:val="009E36A0"/>
    <w:rsid w:val="009E3CB6"/>
    <w:rsid w:val="009E48EB"/>
    <w:rsid w:val="009E4AA8"/>
    <w:rsid w:val="009E4D0E"/>
    <w:rsid w:val="009E5180"/>
    <w:rsid w:val="009E5380"/>
    <w:rsid w:val="009E5490"/>
    <w:rsid w:val="009E568A"/>
    <w:rsid w:val="009E58BD"/>
    <w:rsid w:val="009E59AE"/>
    <w:rsid w:val="009E5C2A"/>
    <w:rsid w:val="009E65B9"/>
    <w:rsid w:val="009E69AB"/>
    <w:rsid w:val="009E6ABC"/>
    <w:rsid w:val="009E7191"/>
    <w:rsid w:val="009E7AF4"/>
    <w:rsid w:val="009E7CEE"/>
    <w:rsid w:val="009E7CFF"/>
    <w:rsid w:val="009E7EC6"/>
    <w:rsid w:val="009E7F33"/>
    <w:rsid w:val="009F0D0E"/>
    <w:rsid w:val="009F1267"/>
    <w:rsid w:val="009F1418"/>
    <w:rsid w:val="009F1A40"/>
    <w:rsid w:val="009F20A2"/>
    <w:rsid w:val="009F243B"/>
    <w:rsid w:val="009F2539"/>
    <w:rsid w:val="009F2A71"/>
    <w:rsid w:val="009F2C57"/>
    <w:rsid w:val="009F2CEC"/>
    <w:rsid w:val="009F2DFE"/>
    <w:rsid w:val="009F2FC4"/>
    <w:rsid w:val="009F31C2"/>
    <w:rsid w:val="009F3292"/>
    <w:rsid w:val="009F37B5"/>
    <w:rsid w:val="009F3F39"/>
    <w:rsid w:val="009F418F"/>
    <w:rsid w:val="009F4407"/>
    <w:rsid w:val="009F4815"/>
    <w:rsid w:val="009F49BF"/>
    <w:rsid w:val="009F4A6E"/>
    <w:rsid w:val="009F4DC0"/>
    <w:rsid w:val="009F502C"/>
    <w:rsid w:val="009F50A5"/>
    <w:rsid w:val="009F5151"/>
    <w:rsid w:val="009F5AC0"/>
    <w:rsid w:val="009F634F"/>
    <w:rsid w:val="009F65B7"/>
    <w:rsid w:val="009F69B9"/>
    <w:rsid w:val="009F6A60"/>
    <w:rsid w:val="009F6C0F"/>
    <w:rsid w:val="009F7915"/>
    <w:rsid w:val="009F7F65"/>
    <w:rsid w:val="00A00D88"/>
    <w:rsid w:val="00A01108"/>
    <w:rsid w:val="00A01304"/>
    <w:rsid w:val="00A01CAF"/>
    <w:rsid w:val="00A01CF8"/>
    <w:rsid w:val="00A02115"/>
    <w:rsid w:val="00A022FA"/>
    <w:rsid w:val="00A02667"/>
    <w:rsid w:val="00A02CAF"/>
    <w:rsid w:val="00A02EF1"/>
    <w:rsid w:val="00A03205"/>
    <w:rsid w:val="00A034B4"/>
    <w:rsid w:val="00A036F4"/>
    <w:rsid w:val="00A037CA"/>
    <w:rsid w:val="00A037EC"/>
    <w:rsid w:val="00A03BCA"/>
    <w:rsid w:val="00A03E8F"/>
    <w:rsid w:val="00A0429A"/>
    <w:rsid w:val="00A046A3"/>
    <w:rsid w:val="00A04D4D"/>
    <w:rsid w:val="00A051A6"/>
    <w:rsid w:val="00A0544B"/>
    <w:rsid w:val="00A05CC0"/>
    <w:rsid w:val="00A05FB8"/>
    <w:rsid w:val="00A066C9"/>
    <w:rsid w:val="00A06775"/>
    <w:rsid w:val="00A06BED"/>
    <w:rsid w:val="00A07377"/>
    <w:rsid w:val="00A07B83"/>
    <w:rsid w:val="00A10779"/>
    <w:rsid w:val="00A110AF"/>
    <w:rsid w:val="00A11331"/>
    <w:rsid w:val="00A1162A"/>
    <w:rsid w:val="00A117BA"/>
    <w:rsid w:val="00A11A80"/>
    <w:rsid w:val="00A11AC5"/>
    <w:rsid w:val="00A11BC6"/>
    <w:rsid w:val="00A11D5F"/>
    <w:rsid w:val="00A11E50"/>
    <w:rsid w:val="00A11E9A"/>
    <w:rsid w:val="00A121B0"/>
    <w:rsid w:val="00A12367"/>
    <w:rsid w:val="00A124EF"/>
    <w:rsid w:val="00A12A1A"/>
    <w:rsid w:val="00A12BF2"/>
    <w:rsid w:val="00A12C60"/>
    <w:rsid w:val="00A13154"/>
    <w:rsid w:val="00A13448"/>
    <w:rsid w:val="00A139B6"/>
    <w:rsid w:val="00A146EA"/>
    <w:rsid w:val="00A1478E"/>
    <w:rsid w:val="00A1495C"/>
    <w:rsid w:val="00A149E6"/>
    <w:rsid w:val="00A14C95"/>
    <w:rsid w:val="00A14EE6"/>
    <w:rsid w:val="00A14F77"/>
    <w:rsid w:val="00A14F88"/>
    <w:rsid w:val="00A14F8D"/>
    <w:rsid w:val="00A15058"/>
    <w:rsid w:val="00A15090"/>
    <w:rsid w:val="00A1513E"/>
    <w:rsid w:val="00A155BB"/>
    <w:rsid w:val="00A15919"/>
    <w:rsid w:val="00A15F91"/>
    <w:rsid w:val="00A15FD9"/>
    <w:rsid w:val="00A16145"/>
    <w:rsid w:val="00A1642B"/>
    <w:rsid w:val="00A1667B"/>
    <w:rsid w:val="00A167F5"/>
    <w:rsid w:val="00A16A6C"/>
    <w:rsid w:val="00A1743B"/>
    <w:rsid w:val="00A17500"/>
    <w:rsid w:val="00A175FA"/>
    <w:rsid w:val="00A202ED"/>
    <w:rsid w:val="00A2077F"/>
    <w:rsid w:val="00A2085B"/>
    <w:rsid w:val="00A209FA"/>
    <w:rsid w:val="00A20AEA"/>
    <w:rsid w:val="00A20B3E"/>
    <w:rsid w:val="00A20B90"/>
    <w:rsid w:val="00A20BB9"/>
    <w:rsid w:val="00A210D8"/>
    <w:rsid w:val="00A21BA3"/>
    <w:rsid w:val="00A21DEA"/>
    <w:rsid w:val="00A21EC1"/>
    <w:rsid w:val="00A22495"/>
    <w:rsid w:val="00A224AE"/>
    <w:rsid w:val="00A224D9"/>
    <w:rsid w:val="00A22501"/>
    <w:rsid w:val="00A2255C"/>
    <w:rsid w:val="00A2257B"/>
    <w:rsid w:val="00A228DC"/>
    <w:rsid w:val="00A22A45"/>
    <w:rsid w:val="00A22B95"/>
    <w:rsid w:val="00A22C40"/>
    <w:rsid w:val="00A231C3"/>
    <w:rsid w:val="00A23A2A"/>
    <w:rsid w:val="00A23DDA"/>
    <w:rsid w:val="00A245A9"/>
    <w:rsid w:val="00A24828"/>
    <w:rsid w:val="00A24D10"/>
    <w:rsid w:val="00A24E85"/>
    <w:rsid w:val="00A250A2"/>
    <w:rsid w:val="00A25793"/>
    <w:rsid w:val="00A2583C"/>
    <w:rsid w:val="00A258BA"/>
    <w:rsid w:val="00A25D37"/>
    <w:rsid w:val="00A25E0F"/>
    <w:rsid w:val="00A25FA6"/>
    <w:rsid w:val="00A2609C"/>
    <w:rsid w:val="00A2630F"/>
    <w:rsid w:val="00A265DF"/>
    <w:rsid w:val="00A26770"/>
    <w:rsid w:val="00A268B0"/>
    <w:rsid w:val="00A26D6D"/>
    <w:rsid w:val="00A2742C"/>
    <w:rsid w:val="00A27501"/>
    <w:rsid w:val="00A30449"/>
    <w:rsid w:val="00A305C7"/>
    <w:rsid w:val="00A309C0"/>
    <w:rsid w:val="00A30CE6"/>
    <w:rsid w:val="00A30F5E"/>
    <w:rsid w:val="00A31196"/>
    <w:rsid w:val="00A317E2"/>
    <w:rsid w:val="00A319BC"/>
    <w:rsid w:val="00A31A4A"/>
    <w:rsid w:val="00A31C4C"/>
    <w:rsid w:val="00A31F25"/>
    <w:rsid w:val="00A31F4E"/>
    <w:rsid w:val="00A32332"/>
    <w:rsid w:val="00A32C2C"/>
    <w:rsid w:val="00A32D11"/>
    <w:rsid w:val="00A32EF3"/>
    <w:rsid w:val="00A338DA"/>
    <w:rsid w:val="00A33D39"/>
    <w:rsid w:val="00A33E06"/>
    <w:rsid w:val="00A3404D"/>
    <w:rsid w:val="00A343BC"/>
    <w:rsid w:val="00A348CD"/>
    <w:rsid w:val="00A34BF7"/>
    <w:rsid w:val="00A34DE4"/>
    <w:rsid w:val="00A3507F"/>
    <w:rsid w:val="00A354C9"/>
    <w:rsid w:val="00A356FA"/>
    <w:rsid w:val="00A357E2"/>
    <w:rsid w:val="00A35807"/>
    <w:rsid w:val="00A35829"/>
    <w:rsid w:val="00A35CE4"/>
    <w:rsid w:val="00A35EE4"/>
    <w:rsid w:val="00A3678C"/>
    <w:rsid w:val="00A374E1"/>
    <w:rsid w:val="00A376E6"/>
    <w:rsid w:val="00A3791D"/>
    <w:rsid w:val="00A37956"/>
    <w:rsid w:val="00A37984"/>
    <w:rsid w:val="00A37AC9"/>
    <w:rsid w:val="00A37D52"/>
    <w:rsid w:val="00A4022B"/>
    <w:rsid w:val="00A4033D"/>
    <w:rsid w:val="00A405BA"/>
    <w:rsid w:val="00A4067F"/>
    <w:rsid w:val="00A40A25"/>
    <w:rsid w:val="00A40C00"/>
    <w:rsid w:val="00A40F0D"/>
    <w:rsid w:val="00A40F28"/>
    <w:rsid w:val="00A41056"/>
    <w:rsid w:val="00A4149C"/>
    <w:rsid w:val="00A41857"/>
    <w:rsid w:val="00A41D88"/>
    <w:rsid w:val="00A41F8C"/>
    <w:rsid w:val="00A42132"/>
    <w:rsid w:val="00A42691"/>
    <w:rsid w:val="00A42CD1"/>
    <w:rsid w:val="00A43091"/>
    <w:rsid w:val="00A4347A"/>
    <w:rsid w:val="00A43945"/>
    <w:rsid w:val="00A439D0"/>
    <w:rsid w:val="00A43C37"/>
    <w:rsid w:val="00A43CE7"/>
    <w:rsid w:val="00A441EA"/>
    <w:rsid w:val="00A4466A"/>
    <w:rsid w:val="00A44ACC"/>
    <w:rsid w:val="00A44B08"/>
    <w:rsid w:val="00A44B23"/>
    <w:rsid w:val="00A453F3"/>
    <w:rsid w:val="00A45856"/>
    <w:rsid w:val="00A45BDD"/>
    <w:rsid w:val="00A45CE8"/>
    <w:rsid w:val="00A46091"/>
    <w:rsid w:val="00A46391"/>
    <w:rsid w:val="00A470D1"/>
    <w:rsid w:val="00A470FB"/>
    <w:rsid w:val="00A4768D"/>
    <w:rsid w:val="00A4781D"/>
    <w:rsid w:val="00A47A32"/>
    <w:rsid w:val="00A50494"/>
    <w:rsid w:val="00A50DA3"/>
    <w:rsid w:val="00A512D8"/>
    <w:rsid w:val="00A51441"/>
    <w:rsid w:val="00A51CB7"/>
    <w:rsid w:val="00A52CF6"/>
    <w:rsid w:val="00A52DCC"/>
    <w:rsid w:val="00A52EC8"/>
    <w:rsid w:val="00A530CB"/>
    <w:rsid w:val="00A53144"/>
    <w:rsid w:val="00A532E7"/>
    <w:rsid w:val="00A53819"/>
    <w:rsid w:val="00A53E58"/>
    <w:rsid w:val="00A544FE"/>
    <w:rsid w:val="00A545A7"/>
    <w:rsid w:val="00A545C1"/>
    <w:rsid w:val="00A54B42"/>
    <w:rsid w:val="00A55812"/>
    <w:rsid w:val="00A55981"/>
    <w:rsid w:val="00A55D6D"/>
    <w:rsid w:val="00A55FD3"/>
    <w:rsid w:val="00A56266"/>
    <w:rsid w:val="00A562CC"/>
    <w:rsid w:val="00A564E8"/>
    <w:rsid w:val="00A566E4"/>
    <w:rsid w:val="00A56EBD"/>
    <w:rsid w:val="00A5756B"/>
    <w:rsid w:val="00A5765C"/>
    <w:rsid w:val="00A57A37"/>
    <w:rsid w:val="00A57D38"/>
    <w:rsid w:val="00A60A1E"/>
    <w:rsid w:val="00A60C96"/>
    <w:rsid w:val="00A60D11"/>
    <w:rsid w:val="00A60F2C"/>
    <w:rsid w:val="00A613B1"/>
    <w:rsid w:val="00A61773"/>
    <w:rsid w:val="00A62188"/>
    <w:rsid w:val="00A62699"/>
    <w:rsid w:val="00A62731"/>
    <w:rsid w:val="00A62C5D"/>
    <w:rsid w:val="00A636FC"/>
    <w:rsid w:val="00A6386C"/>
    <w:rsid w:val="00A638B5"/>
    <w:rsid w:val="00A63DF9"/>
    <w:rsid w:val="00A6486F"/>
    <w:rsid w:val="00A64FFD"/>
    <w:rsid w:val="00A6520F"/>
    <w:rsid w:val="00A652B3"/>
    <w:rsid w:val="00A6545D"/>
    <w:rsid w:val="00A65566"/>
    <w:rsid w:val="00A66663"/>
    <w:rsid w:val="00A6667C"/>
    <w:rsid w:val="00A66F07"/>
    <w:rsid w:val="00A6706E"/>
    <w:rsid w:val="00A671B2"/>
    <w:rsid w:val="00A671F3"/>
    <w:rsid w:val="00A6733E"/>
    <w:rsid w:val="00A679D7"/>
    <w:rsid w:val="00A67D09"/>
    <w:rsid w:val="00A67EB0"/>
    <w:rsid w:val="00A70077"/>
    <w:rsid w:val="00A70405"/>
    <w:rsid w:val="00A70B34"/>
    <w:rsid w:val="00A70BF9"/>
    <w:rsid w:val="00A71583"/>
    <w:rsid w:val="00A717E9"/>
    <w:rsid w:val="00A71D4E"/>
    <w:rsid w:val="00A71E6A"/>
    <w:rsid w:val="00A71ED3"/>
    <w:rsid w:val="00A71FEF"/>
    <w:rsid w:val="00A724D9"/>
    <w:rsid w:val="00A733D7"/>
    <w:rsid w:val="00A73689"/>
    <w:rsid w:val="00A73B3F"/>
    <w:rsid w:val="00A73ECE"/>
    <w:rsid w:val="00A740B0"/>
    <w:rsid w:val="00A74B08"/>
    <w:rsid w:val="00A74C31"/>
    <w:rsid w:val="00A74F2B"/>
    <w:rsid w:val="00A7544B"/>
    <w:rsid w:val="00A758C6"/>
    <w:rsid w:val="00A75FB7"/>
    <w:rsid w:val="00A764FD"/>
    <w:rsid w:val="00A76542"/>
    <w:rsid w:val="00A7657B"/>
    <w:rsid w:val="00A76679"/>
    <w:rsid w:val="00A76A57"/>
    <w:rsid w:val="00A76AF3"/>
    <w:rsid w:val="00A76CA6"/>
    <w:rsid w:val="00A76D6A"/>
    <w:rsid w:val="00A771E7"/>
    <w:rsid w:val="00A77391"/>
    <w:rsid w:val="00A77435"/>
    <w:rsid w:val="00A7744B"/>
    <w:rsid w:val="00A77522"/>
    <w:rsid w:val="00A775DE"/>
    <w:rsid w:val="00A77B76"/>
    <w:rsid w:val="00A77D13"/>
    <w:rsid w:val="00A77F41"/>
    <w:rsid w:val="00A8030D"/>
    <w:rsid w:val="00A80357"/>
    <w:rsid w:val="00A80650"/>
    <w:rsid w:val="00A80679"/>
    <w:rsid w:val="00A80739"/>
    <w:rsid w:val="00A80819"/>
    <w:rsid w:val="00A80B2F"/>
    <w:rsid w:val="00A810B2"/>
    <w:rsid w:val="00A8136E"/>
    <w:rsid w:val="00A815A3"/>
    <w:rsid w:val="00A81848"/>
    <w:rsid w:val="00A819B1"/>
    <w:rsid w:val="00A8204E"/>
    <w:rsid w:val="00A823C1"/>
    <w:rsid w:val="00A8247C"/>
    <w:rsid w:val="00A8254C"/>
    <w:rsid w:val="00A827C4"/>
    <w:rsid w:val="00A829FA"/>
    <w:rsid w:val="00A82FF1"/>
    <w:rsid w:val="00A831AB"/>
    <w:rsid w:val="00A83EE2"/>
    <w:rsid w:val="00A846F4"/>
    <w:rsid w:val="00A84D67"/>
    <w:rsid w:val="00A84DFE"/>
    <w:rsid w:val="00A85036"/>
    <w:rsid w:val="00A85343"/>
    <w:rsid w:val="00A853A3"/>
    <w:rsid w:val="00A85766"/>
    <w:rsid w:val="00A85817"/>
    <w:rsid w:val="00A85A54"/>
    <w:rsid w:val="00A85D1B"/>
    <w:rsid w:val="00A85F78"/>
    <w:rsid w:val="00A862BF"/>
    <w:rsid w:val="00A862F6"/>
    <w:rsid w:val="00A863B6"/>
    <w:rsid w:val="00A863E0"/>
    <w:rsid w:val="00A86682"/>
    <w:rsid w:val="00A86D8F"/>
    <w:rsid w:val="00A86FBA"/>
    <w:rsid w:val="00A87910"/>
    <w:rsid w:val="00A87B77"/>
    <w:rsid w:val="00A90783"/>
    <w:rsid w:val="00A90A42"/>
    <w:rsid w:val="00A90D80"/>
    <w:rsid w:val="00A912F1"/>
    <w:rsid w:val="00A9146B"/>
    <w:rsid w:val="00A9196A"/>
    <w:rsid w:val="00A91CDF"/>
    <w:rsid w:val="00A92364"/>
    <w:rsid w:val="00A9316B"/>
    <w:rsid w:val="00A93A32"/>
    <w:rsid w:val="00A93C7D"/>
    <w:rsid w:val="00A93ED0"/>
    <w:rsid w:val="00A943ED"/>
    <w:rsid w:val="00A9478B"/>
    <w:rsid w:val="00A949DB"/>
    <w:rsid w:val="00A94B3F"/>
    <w:rsid w:val="00A95004"/>
    <w:rsid w:val="00A953A4"/>
    <w:rsid w:val="00A95780"/>
    <w:rsid w:val="00A958D5"/>
    <w:rsid w:val="00A95AA0"/>
    <w:rsid w:val="00A95B32"/>
    <w:rsid w:val="00A95BC5"/>
    <w:rsid w:val="00A962A4"/>
    <w:rsid w:val="00A962E6"/>
    <w:rsid w:val="00A969BF"/>
    <w:rsid w:val="00A974BB"/>
    <w:rsid w:val="00AA0121"/>
    <w:rsid w:val="00AA0268"/>
    <w:rsid w:val="00AA0DE7"/>
    <w:rsid w:val="00AA0EB9"/>
    <w:rsid w:val="00AA1075"/>
    <w:rsid w:val="00AA1809"/>
    <w:rsid w:val="00AA194B"/>
    <w:rsid w:val="00AA225E"/>
    <w:rsid w:val="00AA2272"/>
    <w:rsid w:val="00AA2382"/>
    <w:rsid w:val="00AA26AE"/>
    <w:rsid w:val="00AA390E"/>
    <w:rsid w:val="00AA3AE0"/>
    <w:rsid w:val="00AA3DE3"/>
    <w:rsid w:val="00AA413A"/>
    <w:rsid w:val="00AA4242"/>
    <w:rsid w:val="00AA4344"/>
    <w:rsid w:val="00AA4702"/>
    <w:rsid w:val="00AA4887"/>
    <w:rsid w:val="00AA4899"/>
    <w:rsid w:val="00AA4D13"/>
    <w:rsid w:val="00AA4F2E"/>
    <w:rsid w:val="00AA4FC6"/>
    <w:rsid w:val="00AA5911"/>
    <w:rsid w:val="00AA59BF"/>
    <w:rsid w:val="00AA5C21"/>
    <w:rsid w:val="00AA5C4A"/>
    <w:rsid w:val="00AA5F38"/>
    <w:rsid w:val="00AA60C2"/>
    <w:rsid w:val="00AA6367"/>
    <w:rsid w:val="00AA63D2"/>
    <w:rsid w:val="00AA6893"/>
    <w:rsid w:val="00AA6C18"/>
    <w:rsid w:val="00AA72CF"/>
    <w:rsid w:val="00AA7A05"/>
    <w:rsid w:val="00AA7D67"/>
    <w:rsid w:val="00AB015C"/>
    <w:rsid w:val="00AB0569"/>
    <w:rsid w:val="00AB0981"/>
    <w:rsid w:val="00AB0D93"/>
    <w:rsid w:val="00AB0FF4"/>
    <w:rsid w:val="00AB103B"/>
    <w:rsid w:val="00AB132C"/>
    <w:rsid w:val="00AB152A"/>
    <w:rsid w:val="00AB18C2"/>
    <w:rsid w:val="00AB1FFB"/>
    <w:rsid w:val="00AB20F3"/>
    <w:rsid w:val="00AB2716"/>
    <w:rsid w:val="00AB2A29"/>
    <w:rsid w:val="00AB31A7"/>
    <w:rsid w:val="00AB33B6"/>
    <w:rsid w:val="00AB37BB"/>
    <w:rsid w:val="00AB395A"/>
    <w:rsid w:val="00AB3E57"/>
    <w:rsid w:val="00AB403C"/>
    <w:rsid w:val="00AB40DD"/>
    <w:rsid w:val="00AB4B3A"/>
    <w:rsid w:val="00AB4BE9"/>
    <w:rsid w:val="00AB4DB4"/>
    <w:rsid w:val="00AB4DF7"/>
    <w:rsid w:val="00AB4F84"/>
    <w:rsid w:val="00AB4FD6"/>
    <w:rsid w:val="00AB5357"/>
    <w:rsid w:val="00AB5FC2"/>
    <w:rsid w:val="00AB63A9"/>
    <w:rsid w:val="00AB641A"/>
    <w:rsid w:val="00AB68C4"/>
    <w:rsid w:val="00AB7378"/>
    <w:rsid w:val="00AB743B"/>
    <w:rsid w:val="00AB78CD"/>
    <w:rsid w:val="00AB792A"/>
    <w:rsid w:val="00AC0038"/>
    <w:rsid w:val="00AC0202"/>
    <w:rsid w:val="00AC0218"/>
    <w:rsid w:val="00AC041F"/>
    <w:rsid w:val="00AC064B"/>
    <w:rsid w:val="00AC0DF3"/>
    <w:rsid w:val="00AC1105"/>
    <w:rsid w:val="00AC1AF7"/>
    <w:rsid w:val="00AC1F50"/>
    <w:rsid w:val="00AC2118"/>
    <w:rsid w:val="00AC2159"/>
    <w:rsid w:val="00AC2226"/>
    <w:rsid w:val="00AC29F8"/>
    <w:rsid w:val="00AC2F8D"/>
    <w:rsid w:val="00AC34BD"/>
    <w:rsid w:val="00AC3976"/>
    <w:rsid w:val="00AC3E8A"/>
    <w:rsid w:val="00AC41B4"/>
    <w:rsid w:val="00AC460D"/>
    <w:rsid w:val="00AC469E"/>
    <w:rsid w:val="00AC4921"/>
    <w:rsid w:val="00AC4E36"/>
    <w:rsid w:val="00AC50BE"/>
    <w:rsid w:val="00AC50F7"/>
    <w:rsid w:val="00AC5299"/>
    <w:rsid w:val="00AC59C2"/>
    <w:rsid w:val="00AC5F49"/>
    <w:rsid w:val="00AC5FF4"/>
    <w:rsid w:val="00AC60E9"/>
    <w:rsid w:val="00AC698A"/>
    <w:rsid w:val="00AC75A7"/>
    <w:rsid w:val="00AC7FB9"/>
    <w:rsid w:val="00AD00E6"/>
    <w:rsid w:val="00AD02AF"/>
    <w:rsid w:val="00AD02D3"/>
    <w:rsid w:val="00AD03CF"/>
    <w:rsid w:val="00AD0470"/>
    <w:rsid w:val="00AD0493"/>
    <w:rsid w:val="00AD0530"/>
    <w:rsid w:val="00AD055C"/>
    <w:rsid w:val="00AD05DE"/>
    <w:rsid w:val="00AD06C3"/>
    <w:rsid w:val="00AD0911"/>
    <w:rsid w:val="00AD0B88"/>
    <w:rsid w:val="00AD0E01"/>
    <w:rsid w:val="00AD11D4"/>
    <w:rsid w:val="00AD11FA"/>
    <w:rsid w:val="00AD1204"/>
    <w:rsid w:val="00AD139A"/>
    <w:rsid w:val="00AD15EE"/>
    <w:rsid w:val="00AD173A"/>
    <w:rsid w:val="00AD1E90"/>
    <w:rsid w:val="00AD1F8F"/>
    <w:rsid w:val="00AD2AFB"/>
    <w:rsid w:val="00AD2C41"/>
    <w:rsid w:val="00AD2FF3"/>
    <w:rsid w:val="00AD3371"/>
    <w:rsid w:val="00AD3A33"/>
    <w:rsid w:val="00AD44BD"/>
    <w:rsid w:val="00AD44EE"/>
    <w:rsid w:val="00AD4655"/>
    <w:rsid w:val="00AD47F3"/>
    <w:rsid w:val="00AD4FFB"/>
    <w:rsid w:val="00AD550E"/>
    <w:rsid w:val="00AD5630"/>
    <w:rsid w:val="00AD5714"/>
    <w:rsid w:val="00AD59B0"/>
    <w:rsid w:val="00AD5B3C"/>
    <w:rsid w:val="00AD5BE7"/>
    <w:rsid w:val="00AD5F2F"/>
    <w:rsid w:val="00AD658E"/>
    <w:rsid w:val="00AD6E7C"/>
    <w:rsid w:val="00AD752B"/>
    <w:rsid w:val="00AD7A3A"/>
    <w:rsid w:val="00AD7D86"/>
    <w:rsid w:val="00AD7DC2"/>
    <w:rsid w:val="00AE05EF"/>
    <w:rsid w:val="00AE0A60"/>
    <w:rsid w:val="00AE0CB0"/>
    <w:rsid w:val="00AE0FC2"/>
    <w:rsid w:val="00AE0FF1"/>
    <w:rsid w:val="00AE1710"/>
    <w:rsid w:val="00AE1A9F"/>
    <w:rsid w:val="00AE1B44"/>
    <w:rsid w:val="00AE1D35"/>
    <w:rsid w:val="00AE1FB1"/>
    <w:rsid w:val="00AE20D0"/>
    <w:rsid w:val="00AE2386"/>
    <w:rsid w:val="00AE27DE"/>
    <w:rsid w:val="00AE297C"/>
    <w:rsid w:val="00AE2AEE"/>
    <w:rsid w:val="00AE2CEC"/>
    <w:rsid w:val="00AE2E35"/>
    <w:rsid w:val="00AE30C8"/>
    <w:rsid w:val="00AE33CB"/>
    <w:rsid w:val="00AE3A95"/>
    <w:rsid w:val="00AE3D09"/>
    <w:rsid w:val="00AE4F58"/>
    <w:rsid w:val="00AE596B"/>
    <w:rsid w:val="00AE5C10"/>
    <w:rsid w:val="00AE5D9C"/>
    <w:rsid w:val="00AE5EBB"/>
    <w:rsid w:val="00AE6012"/>
    <w:rsid w:val="00AE68E2"/>
    <w:rsid w:val="00AE6ADF"/>
    <w:rsid w:val="00AE703D"/>
    <w:rsid w:val="00AE7480"/>
    <w:rsid w:val="00AE7EF6"/>
    <w:rsid w:val="00AF005D"/>
    <w:rsid w:val="00AF041E"/>
    <w:rsid w:val="00AF04ED"/>
    <w:rsid w:val="00AF0690"/>
    <w:rsid w:val="00AF0927"/>
    <w:rsid w:val="00AF0A1D"/>
    <w:rsid w:val="00AF0CC6"/>
    <w:rsid w:val="00AF0F25"/>
    <w:rsid w:val="00AF1BC5"/>
    <w:rsid w:val="00AF1C33"/>
    <w:rsid w:val="00AF1F2C"/>
    <w:rsid w:val="00AF21EC"/>
    <w:rsid w:val="00AF2397"/>
    <w:rsid w:val="00AF2D3C"/>
    <w:rsid w:val="00AF3309"/>
    <w:rsid w:val="00AF364F"/>
    <w:rsid w:val="00AF36FD"/>
    <w:rsid w:val="00AF3761"/>
    <w:rsid w:val="00AF37E8"/>
    <w:rsid w:val="00AF39CE"/>
    <w:rsid w:val="00AF3E81"/>
    <w:rsid w:val="00AF43D5"/>
    <w:rsid w:val="00AF4654"/>
    <w:rsid w:val="00AF4661"/>
    <w:rsid w:val="00AF47E7"/>
    <w:rsid w:val="00AF4A5F"/>
    <w:rsid w:val="00AF4D43"/>
    <w:rsid w:val="00AF4E7A"/>
    <w:rsid w:val="00AF4F56"/>
    <w:rsid w:val="00AF50DA"/>
    <w:rsid w:val="00AF554E"/>
    <w:rsid w:val="00AF5A12"/>
    <w:rsid w:val="00AF5DB7"/>
    <w:rsid w:val="00AF5F65"/>
    <w:rsid w:val="00AF5FA5"/>
    <w:rsid w:val="00AF630B"/>
    <w:rsid w:val="00AF6CA2"/>
    <w:rsid w:val="00AF6D72"/>
    <w:rsid w:val="00AF6F55"/>
    <w:rsid w:val="00AF6F57"/>
    <w:rsid w:val="00AF7A9D"/>
    <w:rsid w:val="00B0056C"/>
    <w:rsid w:val="00B007ED"/>
    <w:rsid w:val="00B00F85"/>
    <w:rsid w:val="00B00FBC"/>
    <w:rsid w:val="00B0122F"/>
    <w:rsid w:val="00B012F4"/>
    <w:rsid w:val="00B014A4"/>
    <w:rsid w:val="00B014D4"/>
    <w:rsid w:val="00B01532"/>
    <w:rsid w:val="00B016B8"/>
    <w:rsid w:val="00B01F39"/>
    <w:rsid w:val="00B03A5D"/>
    <w:rsid w:val="00B03F6E"/>
    <w:rsid w:val="00B0409E"/>
    <w:rsid w:val="00B0464D"/>
    <w:rsid w:val="00B04BAD"/>
    <w:rsid w:val="00B04F22"/>
    <w:rsid w:val="00B04FF0"/>
    <w:rsid w:val="00B0540F"/>
    <w:rsid w:val="00B054EA"/>
    <w:rsid w:val="00B05852"/>
    <w:rsid w:val="00B0615B"/>
    <w:rsid w:val="00B0735F"/>
    <w:rsid w:val="00B0746F"/>
    <w:rsid w:val="00B07CBA"/>
    <w:rsid w:val="00B07D7C"/>
    <w:rsid w:val="00B07E63"/>
    <w:rsid w:val="00B1074E"/>
    <w:rsid w:val="00B108C5"/>
    <w:rsid w:val="00B11596"/>
    <w:rsid w:val="00B11D0C"/>
    <w:rsid w:val="00B120C1"/>
    <w:rsid w:val="00B12100"/>
    <w:rsid w:val="00B12889"/>
    <w:rsid w:val="00B12AAA"/>
    <w:rsid w:val="00B12C58"/>
    <w:rsid w:val="00B12F35"/>
    <w:rsid w:val="00B13141"/>
    <w:rsid w:val="00B131F5"/>
    <w:rsid w:val="00B13331"/>
    <w:rsid w:val="00B13B7E"/>
    <w:rsid w:val="00B13E87"/>
    <w:rsid w:val="00B1424B"/>
    <w:rsid w:val="00B142DE"/>
    <w:rsid w:val="00B14495"/>
    <w:rsid w:val="00B15202"/>
    <w:rsid w:val="00B15321"/>
    <w:rsid w:val="00B15684"/>
    <w:rsid w:val="00B1593E"/>
    <w:rsid w:val="00B15ABC"/>
    <w:rsid w:val="00B15E87"/>
    <w:rsid w:val="00B16610"/>
    <w:rsid w:val="00B16A40"/>
    <w:rsid w:val="00B170D8"/>
    <w:rsid w:val="00B1732E"/>
    <w:rsid w:val="00B17440"/>
    <w:rsid w:val="00B176F5"/>
    <w:rsid w:val="00B17A42"/>
    <w:rsid w:val="00B17D52"/>
    <w:rsid w:val="00B201D3"/>
    <w:rsid w:val="00B2040C"/>
    <w:rsid w:val="00B2063E"/>
    <w:rsid w:val="00B20F73"/>
    <w:rsid w:val="00B21AA3"/>
    <w:rsid w:val="00B2248F"/>
    <w:rsid w:val="00B22599"/>
    <w:rsid w:val="00B22644"/>
    <w:rsid w:val="00B22C00"/>
    <w:rsid w:val="00B22D32"/>
    <w:rsid w:val="00B22E0A"/>
    <w:rsid w:val="00B22E59"/>
    <w:rsid w:val="00B23038"/>
    <w:rsid w:val="00B233E0"/>
    <w:rsid w:val="00B2467D"/>
    <w:rsid w:val="00B24E89"/>
    <w:rsid w:val="00B2592F"/>
    <w:rsid w:val="00B25E48"/>
    <w:rsid w:val="00B25E77"/>
    <w:rsid w:val="00B26B07"/>
    <w:rsid w:val="00B26C38"/>
    <w:rsid w:val="00B26FEF"/>
    <w:rsid w:val="00B274ED"/>
    <w:rsid w:val="00B2771D"/>
    <w:rsid w:val="00B279EA"/>
    <w:rsid w:val="00B307F6"/>
    <w:rsid w:val="00B30B7E"/>
    <w:rsid w:val="00B30C5F"/>
    <w:rsid w:val="00B30E80"/>
    <w:rsid w:val="00B3105D"/>
    <w:rsid w:val="00B31069"/>
    <w:rsid w:val="00B3149A"/>
    <w:rsid w:val="00B316D7"/>
    <w:rsid w:val="00B31901"/>
    <w:rsid w:val="00B31EBC"/>
    <w:rsid w:val="00B3228F"/>
    <w:rsid w:val="00B324D0"/>
    <w:rsid w:val="00B3344B"/>
    <w:rsid w:val="00B339AB"/>
    <w:rsid w:val="00B33D3B"/>
    <w:rsid w:val="00B33EFA"/>
    <w:rsid w:val="00B34CF7"/>
    <w:rsid w:val="00B35C88"/>
    <w:rsid w:val="00B3642C"/>
    <w:rsid w:val="00B3655A"/>
    <w:rsid w:val="00B36703"/>
    <w:rsid w:val="00B3677B"/>
    <w:rsid w:val="00B368FE"/>
    <w:rsid w:val="00B36AE3"/>
    <w:rsid w:val="00B3745E"/>
    <w:rsid w:val="00B375CF"/>
    <w:rsid w:val="00B37741"/>
    <w:rsid w:val="00B37873"/>
    <w:rsid w:val="00B40176"/>
    <w:rsid w:val="00B411AC"/>
    <w:rsid w:val="00B416C6"/>
    <w:rsid w:val="00B42586"/>
    <w:rsid w:val="00B42BC5"/>
    <w:rsid w:val="00B42D26"/>
    <w:rsid w:val="00B42F6B"/>
    <w:rsid w:val="00B431BD"/>
    <w:rsid w:val="00B4325E"/>
    <w:rsid w:val="00B43B7D"/>
    <w:rsid w:val="00B43D36"/>
    <w:rsid w:val="00B43FEC"/>
    <w:rsid w:val="00B441F3"/>
    <w:rsid w:val="00B449C7"/>
    <w:rsid w:val="00B4554E"/>
    <w:rsid w:val="00B45904"/>
    <w:rsid w:val="00B45A02"/>
    <w:rsid w:val="00B45B38"/>
    <w:rsid w:val="00B45C67"/>
    <w:rsid w:val="00B45CF8"/>
    <w:rsid w:val="00B45FD1"/>
    <w:rsid w:val="00B46006"/>
    <w:rsid w:val="00B4661A"/>
    <w:rsid w:val="00B46C25"/>
    <w:rsid w:val="00B46F16"/>
    <w:rsid w:val="00B47FFE"/>
    <w:rsid w:val="00B5007C"/>
    <w:rsid w:val="00B504DA"/>
    <w:rsid w:val="00B50FC4"/>
    <w:rsid w:val="00B51510"/>
    <w:rsid w:val="00B51611"/>
    <w:rsid w:val="00B5173B"/>
    <w:rsid w:val="00B51CED"/>
    <w:rsid w:val="00B5227A"/>
    <w:rsid w:val="00B5228A"/>
    <w:rsid w:val="00B52440"/>
    <w:rsid w:val="00B524F2"/>
    <w:rsid w:val="00B526F1"/>
    <w:rsid w:val="00B5274C"/>
    <w:rsid w:val="00B52B61"/>
    <w:rsid w:val="00B5317B"/>
    <w:rsid w:val="00B531A1"/>
    <w:rsid w:val="00B53D00"/>
    <w:rsid w:val="00B53D9A"/>
    <w:rsid w:val="00B53E2E"/>
    <w:rsid w:val="00B54496"/>
    <w:rsid w:val="00B54A6B"/>
    <w:rsid w:val="00B55334"/>
    <w:rsid w:val="00B5588A"/>
    <w:rsid w:val="00B55B94"/>
    <w:rsid w:val="00B55C61"/>
    <w:rsid w:val="00B5602E"/>
    <w:rsid w:val="00B56213"/>
    <w:rsid w:val="00B564F7"/>
    <w:rsid w:val="00B5664F"/>
    <w:rsid w:val="00B5677E"/>
    <w:rsid w:val="00B56F6D"/>
    <w:rsid w:val="00B570EE"/>
    <w:rsid w:val="00B5726B"/>
    <w:rsid w:val="00B572E1"/>
    <w:rsid w:val="00B57391"/>
    <w:rsid w:val="00B57791"/>
    <w:rsid w:val="00B57C5E"/>
    <w:rsid w:val="00B57E69"/>
    <w:rsid w:val="00B61097"/>
    <w:rsid w:val="00B610A2"/>
    <w:rsid w:val="00B61319"/>
    <w:rsid w:val="00B617B7"/>
    <w:rsid w:val="00B622BB"/>
    <w:rsid w:val="00B622D7"/>
    <w:rsid w:val="00B62687"/>
    <w:rsid w:val="00B627F2"/>
    <w:rsid w:val="00B62B13"/>
    <w:rsid w:val="00B62CAC"/>
    <w:rsid w:val="00B62FA3"/>
    <w:rsid w:val="00B632EE"/>
    <w:rsid w:val="00B6333A"/>
    <w:rsid w:val="00B63751"/>
    <w:rsid w:val="00B637DE"/>
    <w:rsid w:val="00B63D0B"/>
    <w:rsid w:val="00B63F83"/>
    <w:rsid w:val="00B64056"/>
    <w:rsid w:val="00B640A7"/>
    <w:rsid w:val="00B645FF"/>
    <w:rsid w:val="00B64646"/>
    <w:rsid w:val="00B648A9"/>
    <w:rsid w:val="00B65D1F"/>
    <w:rsid w:val="00B6681A"/>
    <w:rsid w:val="00B66ADF"/>
    <w:rsid w:val="00B66D11"/>
    <w:rsid w:val="00B6710F"/>
    <w:rsid w:val="00B67146"/>
    <w:rsid w:val="00B6722E"/>
    <w:rsid w:val="00B67607"/>
    <w:rsid w:val="00B67809"/>
    <w:rsid w:val="00B67E7A"/>
    <w:rsid w:val="00B70707"/>
    <w:rsid w:val="00B70E2B"/>
    <w:rsid w:val="00B70F0F"/>
    <w:rsid w:val="00B710B7"/>
    <w:rsid w:val="00B711B7"/>
    <w:rsid w:val="00B712E9"/>
    <w:rsid w:val="00B71840"/>
    <w:rsid w:val="00B71B2C"/>
    <w:rsid w:val="00B71C28"/>
    <w:rsid w:val="00B71CD0"/>
    <w:rsid w:val="00B7216E"/>
    <w:rsid w:val="00B721C1"/>
    <w:rsid w:val="00B722E2"/>
    <w:rsid w:val="00B7237B"/>
    <w:rsid w:val="00B7295A"/>
    <w:rsid w:val="00B729ED"/>
    <w:rsid w:val="00B72C53"/>
    <w:rsid w:val="00B72CB5"/>
    <w:rsid w:val="00B73149"/>
    <w:rsid w:val="00B73154"/>
    <w:rsid w:val="00B731FE"/>
    <w:rsid w:val="00B73801"/>
    <w:rsid w:val="00B738B5"/>
    <w:rsid w:val="00B73E3F"/>
    <w:rsid w:val="00B742B7"/>
    <w:rsid w:val="00B74330"/>
    <w:rsid w:val="00B74755"/>
    <w:rsid w:val="00B74A4E"/>
    <w:rsid w:val="00B74B99"/>
    <w:rsid w:val="00B75217"/>
    <w:rsid w:val="00B75D76"/>
    <w:rsid w:val="00B76069"/>
    <w:rsid w:val="00B76283"/>
    <w:rsid w:val="00B76A77"/>
    <w:rsid w:val="00B775A2"/>
    <w:rsid w:val="00B7780D"/>
    <w:rsid w:val="00B77E22"/>
    <w:rsid w:val="00B77FEB"/>
    <w:rsid w:val="00B80053"/>
    <w:rsid w:val="00B8057D"/>
    <w:rsid w:val="00B80B4B"/>
    <w:rsid w:val="00B80B93"/>
    <w:rsid w:val="00B81017"/>
    <w:rsid w:val="00B81A70"/>
    <w:rsid w:val="00B81C07"/>
    <w:rsid w:val="00B81CB9"/>
    <w:rsid w:val="00B81E64"/>
    <w:rsid w:val="00B820CA"/>
    <w:rsid w:val="00B826AE"/>
    <w:rsid w:val="00B82994"/>
    <w:rsid w:val="00B83046"/>
    <w:rsid w:val="00B83C1E"/>
    <w:rsid w:val="00B840D4"/>
    <w:rsid w:val="00B84A37"/>
    <w:rsid w:val="00B85392"/>
    <w:rsid w:val="00B8569B"/>
    <w:rsid w:val="00B85CED"/>
    <w:rsid w:val="00B85D54"/>
    <w:rsid w:val="00B86096"/>
    <w:rsid w:val="00B864B6"/>
    <w:rsid w:val="00B864CD"/>
    <w:rsid w:val="00B864F6"/>
    <w:rsid w:val="00B86585"/>
    <w:rsid w:val="00B865F0"/>
    <w:rsid w:val="00B8694B"/>
    <w:rsid w:val="00B86BAC"/>
    <w:rsid w:val="00B86C4D"/>
    <w:rsid w:val="00B86C6E"/>
    <w:rsid w:val="00B873A6"/>
    <w:rsid w:val="00B87494"/>
    <w:rsid w:val="00B878A8"/>
    <w:rsid w:val="00B878FA"/>
    <w:rsid w:val="00B879C3"/>
    <w:rsid w:val="00B87F32"/>
    <w:rsid w:val="00B87F6D"/>
    <w:rsid w:val="00B90146"/>
    <w:rsid w:val="00B90319"/>
    <w:rsid w:val="00B9086F"/>
    <w:rsid w:val="00B908BC"/>
    <w:rsid w:val="00B909E2"/>
    <w:rsid w:val="00B90A53"/>
    <w:rsid w:val="00B90B28"/>
    <w:rsid w:val="00B90E8B"/>
    <w:rsid w:val="00B915C3"/>
    <w:rsid w:val="00B921E4"/>
    <w:rsid w:val="00B92206"/>
    <w:rsid w:val="00B9230F"/>
    <w:rsid w:val="00B92320"/>
    <w:rsid w:val="00B92444"/>
    <w:rsid w:val="00B92750"/>
    <w:rsid w:val="00B92BC8"/>
    <w:rsid w:val="00B92CDE"/>
    <w:rsid w:val="00B93521"/>
    <w:rsid w:val="00B937EC"/>
    <w:rsid w:val="00B93D6C"/>
    <w:rsid w:val="00B946D9"/>
    <w:rsid w:val="00B94752"/>
    <w:rsid w:val="00B947BB"/>
    <w:rsid w:val="00B9485D"/>
    <w:rsid w:val="00B94A00"/>
    <w:rsid w:val="00B94F30"/>
    <w:rsid w:val="00B94FA7"/>
    <w:rsid w:val="00B9507A"/>
    <w:rsid w:val="00B950A8"/>
    <w:rsid w:val="00B9510F"/>
    <w:rsid w:val="00B95244"/>
    <w:rsid w:val="00B95A41"/>
    <w:rsid w:val="00B95BD2"/>
    <w:rsid w:val="00B96269"/>
    <w:rsid w:val="00B96407"/>
    <w:rsid w:val="00B96468"/>
    <w:rsid w:val="00B96C1F"/>
    <w:rsid w:val="00B96FB0"/>
    <w:rsid w:val="00B970FC"/>
    <w:rsid w:val="00B977D0"/>
    <w:rsid w:val="00B97810"/>
    <w:rsid w:val="00B97BC3"/>
    <w:rsid w:val="00BA001D"/>
    <w:rsid w:val="00BA002C"/>
    <w:rsid w:val="00BA0360"/>
    <w:rsid w:val="00BA07DA"/>
    <w:rsid w:val="00BA12DD"/>
    <w:rsid w:val="00BA14D8"/>
    <w:rsid w:val="00BA155C"/>
    <w:rsid w:val="00BA16DC"/>
    <w:rsid w:val="00BA1C8A"/>
    <w:rsid w:val="00BA1CFA"/>
    <w:rsid w:val="00BA1EB8"/>
    <w:rsid w:val="00BA20CB"/>
    <w:rsid w:val="00BA26D9"/>
    <w:rsid w:val="00BA2977"/>
    <w:rsid w:val="00BA3AC2"/>
    <w:rsid w:val="00BA3CD9"/>
    <w:rsid w:val="00BA3FAE"/>
    <w:rsid w:val="00BA416B"/>
    <w:rsid w:val="00BA4A97"/>
    <w:rsid w:val="00BA4B2D"/>
    <w:rsid w:val="00BA4F09"/>
    <w:rsid w:val="00BA5077"/>
    <w:rsid w:val="00BA5453"/>
    <w:rsid w:val="00BA5B05"/>
    <w:rsid w:val="00BA5C56"/>
    <w:rsid w:val="00BA5D57"/>
    <w:rsid w:val="00BA6261"/>
    <w:rsid w:val="00BA6738"/>
    <w:rsid w:val="00BA68EE"/>
    <w:rsid w:val="00BA761B"/>
    <w:rsid w:val="00BA77E9"/>
    <w:rsid w:val="00BA79B5"/>
    <w:rsid w:val="00BA7A2B"/>
    <w:rsid w:val="00BB00D2"/>
    <w:rsid w:val="00BB01A4"/>
    <w:rsid w:val="00BB03A5"/>
    <w:rsid w:val="00BB03BF"/>
    <w:rsid w:val="00BB09C9"/>
    <w:rsid w:val="00BB0EE7"/>
    <w:rsid w:val="00BB1066"/>
    <w:rsid w:val="00BB119F"/>
    <w:rsid w:val="00BB1341"/>
    <w:rsid w:val="00BB141D"/>
    <w:rsid w:val="00BB1B0E"/>
    <w:rsid w:val="00BB1EB6"/>
    <w:rsid w:val="00BB1F22"/>
    <w:rsid w:val="00BB1FE1"/>
    <w:rsid w:val="00BB2080"/>
    <w:rsid w:val="00BB2479"/>
    <w:rsid w:val="00BB2A0F"/>
    <w:rsid w:val="00BB355C"/>
    <w:rsid w:val="00BB3B82"/>
    <w:rsid w:val="00BB3CDD"/>
    <w:rsid w:val="00BB41C9"/>
    <w:rsid w:val="00BB4350"/>
    <w:rsid w:val="00BB43F9"/>
    <w:rsid w:val="00BB4553"/>
    <w:rsid w:val="00BB463E"/>
    <w:rsid w:val="00BB46A2"/>
    <w:rsid w:val="00BB4D47"/>
    <w:rsid w:val="00BB4F2C"/>
    <w:rsid w:val="00BB5054"/>
    <w:rsid w:val="00BB521F"/>
    <w:rsid w:val="00BB58F3"/>
    <w:rsid w:val="00BB5CE6"/>
    <w:rsid w:val="00BB62AF"/>
    <w:rsid w:val="00BB6393"/>
    <w:rsid w:val="00BB6883"/>
    <w:rsid w:val="00BB73FD"/>
    <w:rsid w:val="00BB7629"/>
    <w:rsid w:val="00BB7F99"/>
    <w:rsid w:val="00BC0432"/>
    <w:rsid w:val="00BC083A"/>
    <w:rsid w:val="00BC0AE8"/>
    <w:rsid w:val="00BC13BD"/>
    <w:rsid w:val="00BC1B87"/>
    <w:rsid w:val="00BC1CB9"/>
    <w:rsid w:val="00BC1DEC"/>
    <w:rsid w:val="00BC2233"/>
    <w:rsid w:val="00BC266B"/>
    <w:rsid w:val="00BC279E"/>
    <w:rsid w:val="00BC2A03"/>
    <w:rsid w:val="00BC30C7"/>
    <w:rsid w:val="00BC3695"/>
    <w:rsid w:val="00BC3C73"/>
    <w:rsid w:val="00BC3CF6"/>
    <w:rsid w:val="00BC3D7B"/>
    <w:rsid w:val="00BC40CA"/>
    <w:rsid w:val="00BC4273"/>
    <w:rsid w:val="00BC42A4"/>
    <w:rsid w:val="00BC45DB"/>
    <w:rsid w:val="00BC49B6"/>
    <w:rsid w:val="00BC4E65"/>
    <w:rsid w:val="00BC4EAB"/>
    <w:rsid w:val="00BC5110"/>
    <w:rsid w:val="00BC54CF"/>
    <w:rsid w:val="00BC55CC"/>
    <w:rsid w:val="00BC5661"/>
    <w:rsid w:val="00BC586C"/>
    <w:rsid w:val="00BC5CD5"/>
    <w:rsid w:val="00BC629F"/>
    <w:rsid w:val="00BC650D"/>
    <w:rsid w:val="00BC6709"/>
    <w:rsid w:val="00BC6776"/>
    <w:rsid w:val="00BC7050"/>
    <w:rsid w:val="00BC707F"/>
    <w:rsid w:val="00BC71B2"/>
    <w:rsid w:val="00BC71D2"/>
    <w:rsid w:val="00BC720F"/>
    <w:rsid w:val="00BC726F"/>
    <w:rsid w:val="00BC7B34"/>
    <w:rsid w:val="00BC7C97"/>
    <w:rsid w:val="00BD006A"/>
    <w:rsid w:val="00BD012A"/>
    <w:rsid w:val="00BD1B09"/>
    <w:rsid w:val="00BD1BB7"/>
    <w:rsid w:val="00BD1F8B"/>
    <w:rsid w:val="00BD202B"/>
    <w:rsid w:val="00BD20E7"/>
    <w:rsid w:val="00BD26ED"/>
    <w:rsid w:val="00BD2A49"/>
    <w:rsid w:val="00BD2ED8"/>
    <w:rsid w:val="00BD3338"/>
    <w:rsid w:val="00BD3954"/>
    <w:rsid w:val="00BD3A50"/>
    <w:rsid w:val="00BD3DF5"/>
    <w:rsid w:val="00BD4615"/>
    <w:rsid w:val="00BD46F3"/>
    <w:rsid w:val="00BD4BCC"/>
    <w:rsid w:val="00BD604B"/>
    <w:rsid w:val="00BD60A0"/>
    <w:rsid w:val="00BD6183"/>
    <w:rsid w:val="00BD6591"/>
    <w:rsid w:val="00BD659D"/>
    <w:rsid w:val="00BD6D2D"/>
    <w:rsid w:val="00BD7999"/>
    <w:rsid w:val="00BD7AB6"/>
    <w:rsid w:val="00BD7D14"/>
    <w:rsid w:val="00BD7DE3"/>
    <w:rsid w:val="00BD7E75"/>
    <w:rsid w:val="00BE010F"/>
    <w:rsid w:val="00BE0906"/>
    <w:rsid w:val="00BE0B40"/>
    <w:rsid w:val="00BE180F"/>
    <w:rsid w:val="00BE1B91"/>
    <w:rsid w:val="00BE1EBC"/>
    <w:rsid w:val="00BE223F"/>
    <w:rsid w:val="00BE23EF"/>
    <w:rsid w:val="00BE2565"/>
    <w:rsid w:val="00BE25F2"/>
    <w:rsid w:val="00BE2EEF"/>
    <w:rsid w:val="00BE3041"/>
    <w:rsid w:val="00BE3B9C"/>
    <w:rsid w:val="00BE3E56"/>
    <w:rsid w:val="00BE45EE"/>
    <w:rsid w:val="00BE4764"/>
    <w:rsid w:val="00BE4EB9"/>
    <w:rsid w:val="00BE502D"/>
    <w:rsid w:val="00BE53FF"/>
    <w:rsid w:val="00BE5571"/>
    <w:rsid w:val="00BE57DB"/>
    <w:rsid w:val="00BE67D3"/>
    <w:rsid w:val="00BE6C76"/>
    <w:rsid w:val="00BE6E8C"/>
    <w:rsid w:val="00BE6EB4"/>
    <w:rsid w:val="00BE7596"/>
    <w:rsid w:val="00BE7681"/>
    <w:rsid w:val="00BE78B9"/>
    <w:rsid w:val="00BE7932"/>
    <w:rsid w:val="00BF02F3"/>
    <w:rsid w:val="00BF0518"/>
    <w:rsid w:val="00BF0E98"/>
    <w:rsid w:val="00BF1466"/>
    <w:rsid w:val="00BF178F"/>
    <w:rsid w:val="00BF1A35"/>
    <w:rsid w:val="00BF1CCE"/>
    <w:rsid w:val="00BF1E82"/>
    <w:rsid w:val="00BF2E71"/>
    <w:rsid w:val="00BF3335"/>
    <w:rsid w:val="00BF3340"/>
    <w:rsid w:val="00BF33FD"/>
    <w:rsid w:val="00BF386B"/>
    <w:rsid w:val="00BF3B2C"/>
    <w:rsid w:val="00BF3E55"/>
    <w:rsid w:val="00BF4200"/>
    <w:rsid w:val="00BF42B9"/>
    <w:rsid w:val="00BF4654"/>
    <w:rsid w:val="00BF47D6"/>
    <w:rsid w:val="00BF4816"/>
    <w:rsid w:val="00BF49C5"/>
    <w:rsid w:val="00BF4BAE"/>
    <w:rsid w:val="00BF4E96"/>
    <w:rsid w:val="00BF4FF6"/>
    <w:rsid w:val="00BF5528"/>
    <w:rsid w:val="00BF5569"/>
    <w:rsid w:val="00BF6052"/>
    <w:rsid w:val="00BF6098"/>
    <w:rsid w:val="00BF643B"/>
    <w:rsid w:val="00BF6873"/>
    <w:rsid w:val="00BF69A5"/>
    <w:rsid w:val="00BF6CBD"/>
    <w:rsid w:val="00BF6E5C"/>
    <w:rsid w:val="00BF6FF1"/>
    <w:rsid w:val="00BF701C"/>
    <w:rsid w:val="00BF72AB"/>
    <w:rsid w:val="00BF7497"/>
    <w:rsid w:val="00BF770E"/>
    <w:rsid w:val="00BF7BC9"/>
    <w:rsid w:val="00BF7F78"/>
    <w:rsid w:val="00C00552"/>
    <w:rsid w:val="00C00891"/>
    <w:rsid w:val="00C00D48"/>
    <w:rsid w:val="00C00FD4"/>
    <w:rsid w:val="00C0100F"/>
    <w:rsid w:val="00C017CF"/>
    <w:rsid w:val="00C01F38"/>
    <w:rsid w:val="00C02147"/>
    <w:rsid w:val="00C0216B"/>
    <w:rsid w:val="00C021AE"/>
    <w:rsid w:val="00C0255B"/>
    <w:rsid w:val="00C028E8"/>
    <w:rsid w:val="00C02E9B"/>
    <w:rsid w:val="00C0326B"/>
    <w:rsid w:val="00C0351A"/>
    <w:rsid w:val="00C03B71"/>
    <w:rsid w:val="00C04231"/>
    <w:rsid w:val="00C043C9"/>
    <w:rsid w:val="00C046A0"/>
    <w:rsid w:val="00C04927"/>
    <w:rsid w:val="00C04A07"/>
    <w:rsid w:val="00C052FF"/>
    <w:rsid w:val="00C0535A"/>
    <w:rsid w:val="00C055F4"/>
    <w:rsid w:val="00C05818"/>
    <w:rsid w:val="00C06951"/>
    <w:rsid w:val="00C06BC9"/>
    <w:rsid w:val="00C07342"/>
    <w:rsid w:val="00C07553"/>
    <w:rsid w:val="00C07DCB"/>
    <w:rsid w:val="00C10831"/>
    <w:rsid w:val="00C10F01"/>
    <w:rsid w:val="00C11047"/>
    <w:rsid w:val="00C111A1"/>
    <w:rsid w:val="00C11A09"/>
    <w:rsid w:val="00C12105"/>
    <w:rsid w:val="00C125F5"/>
    <w:rsid w:val="00C126B6"/>
    <w:rsid w:val="00C126CB"/>
    <w:rsid w:val="00C12942"/>
    <w:rsid w:val="00C129DE"/>
    <w:rsid w:val="00C12ACC"/>
    <w:rsid w:val="00C12DCE"/>
    <w:rsid w:val="00C13031"/>
    <w:rsid w:val="00C13734"/>
    <w:rsid w:val="00C13953"/>
    <w:rsid w:val="00C13D56"/>
    <w:rsid w:val="00C140E0"/>
    <w:rsid w:val="00C147AC"/>
    <w:rsid w:val="00C1537A"/>
    <w:rsid w:val="00C1548A"/>
    <w:rsid w:val="00C15677"/>
    <w:rsid w:val="00C15FB8"/>
    <w:rsid w:val="00C15FBE"/>
    <w:rsid w:val="00C16672"/>
    <w:rsid w:val="00C168B2"/>
    <w:rsid w:val="00C16B84"/>
    <w:rsid w:val="00C16CF1"/>
    <w:rsid w:val="00C17233"/>
    <w:rsid w:val="00C17453"/>
    <w:rsid w:val="00C175F2"/>
    <w:rsid w:val="00C17942"/>
    <w:rsid w:val="00C1795B"/>
    <w:rsid w:val="00C179C4"/>
    <w:rsid w:val="00C179E6"/>
    <w:rsid w:val="00C17C40"/>
    <w:rsid w:val="00C17CE1"/>
    <w:rsid w:val="00C20097"/>
    <w:rsid w:val="00C20158"/>
    <w:rsid w:val="00C20369"/>
    <w:rsid w:val="00C20CBA"/>
    <w:rsid w:val="00C20CEC"/>
    <w:rsid w:val="00C20DAE"/>
    <w:rsid w:val="00C20E20"/>
    <w:rsid w:val="00C210C2"/>
    <w:rsid w:val="00C21146"/>
    <w:rsid w:val="00C215AA"/>
    <w:rsid w:val="00C21775"/>
    <w:rsid w:val="00C21784"/>
    <w:rsid w:val="00C21E30"/>
    <w:rsid w:val="00C22278"/>
    <w:rsid w:val="00C22325"/>
    <w:rsid w:val="00C2245D"/>
    <w:rsid w:val="00C22701"/>
    <w:rsid w:val="00C22A57"/>
    <w:rsid w:val="00C22EEC"/>
    <w:rsid w:val="00C23006"/>
    <w:rsid w:val="00C23090"/>
    <w:rsid w:val="00C2333D"/>
    <w:rsid w:val="00C23713"/>
    <w:rsid w:val="00C237EE"/>
    <w:rsid w:val="00C23B06"/>
    <w:rsid w:val="00C23E99"/>
    <w:rsid w:val="00C2404A"/>
    <w:rsid w:val="00C24160"/>
    <w:rsid w:val="00C244D8"/>
    <w:rsid w:val="00C246D6"/>
    <w:rsid w:val="00C25316"/>
    <w:rsid w:val="00C25F3D"/>
    <w:rsid w:val="00C25F7F"/>
    <w:rsid w:val="00C26493"/>
    <w:rsid w:val="00C269F2"/>
    <w:rsid w:val="00C26BB6"/>
    <w:rsid w:val="00C27466"/>
    <w:rsid w:val="00C27697"/>
    <w:rsid w:val="00C27C9F"/>
    <w:rsid w:val="00C30A93"/>
    <w:rsid w:val="00C30ABC"/>
    <w:rsid w:val="00C30B7F"/>
    <w:rsid w:val="00C31EE5"/>
    <w:rsid w:val="00C320F2"/>
    <w:rsid w:val="00C322C9"/>
    <w:rsid w:val="00C322E5"/>
    <w:rsid w:val="00C3248F"/>
    <w:rsid w:val="00C32E68"/>
    <w:rsid w:val="00C3312E"/>
    <w:rsid w:val="00C33749"/>
    <w:rsid w:val="00C33797"/>
    <w:rsid w:val="00C33B9A"/>
    <w:rsid w:val="00C3474B"/>
    <w:rsid w:val="00C34A6C"/>
    <w:rsid w:val="00C34AAE"/>
    <w:rsid w:val="00C34B7B"/>
    <w:rsid w:val="00C353D3"/>
    <w:rsid w:val="00C358B7"/>
    <w:rsid w:val="00C35AC4"/>
    <w:rsid w:val="00C35B58"/>
    <w:rsid w:val="00C35E80"/>
    <w:rsid w:val="00C35FA6"/>
    <w:rsid w:val="00C3635F"/>
    <w:rsid w:val="00C364C5"/>
    <w:rsid w:val="00C366E0"/>
    <w:rsid w:val="00C36739"/>
    <w:rsid w:val="00C368B9"/>
    <w:rsid w:val="00C36D38"/>
    <w:rsid w:val="00C36F1C"/>
    <w:rsid w:val="00C378E2"/>
    <w:rsid w:val="00C37A99"/>
    <w:rsid w:val="00C37F12"/>
    <w:rsid w:val="00C37F2D"/>
    <w:rsid w:val="00C400D0"/>
    <w:rsid w:val="00C40489"/>
    <w:rsid w:val="00C40D00"/>
    <w:rsid w:val="00C40D04"/>
    <w:rsid w:val="00C41190"/>
    <w:rsid w:val="00C414A0"/>
    <w:rsid w:val="00C41C47"/>
    <w:rsid w:val="00C42284"/>
    <w:rsid w:val="00C42A1F"/>
    <w:rsid w:val="00C42B0F"/>
    <w:rsid w:val="00C42B2F"/>
    <w:rsid w:val="00C43293"/>
    <w:rsid w:val="00C43A0A"/>
    <w:rsid w:val="00C43B99"/>
    <w:rsid w:val="00C43BFE"/>
    <w:rsid w:val="00C43DE6"/>
    <w:rsid w:val="00C44018"/>
    <w:rsid w:val="00C442B6"/>
    <w:rsid w:val="00C449DE"/>
    <w:rsid w:val="00C44ABB"/>
    <w:rsid w:val="00C45077"/>
    <w:rsid w:val="00C4509C"/>
    <w:rsid w:val="00C45421"/>
    <w:rsid w:val="00C454D4"/>
    <w:rsid w:val="00C45545"/>
    <w:rsid w:val="00C45B73"/>
    <w:rsid w:val="00C45C2F"/>
    <w:rsid w:val="00C45F38"/>
    <w:rsid w:val="00C4608B"/>
    <w:rsid w:val="00C4624E"/>
    <w:rsid w:val="00C468D5"/>
    <w:rsid w:val="00C46AF2"/>
    <w:rsid w:val="00C46C1A"/>
    <w:rsid w:val="00C46EB8"/>
    <w:rsid w:val="00C47193"/>
    <w:rsid w:val="00C471B9"/>
    <w:rsid w:val="00C47993"/>
    <w:rsid w:val="00C47C63"/>
    <w:rsid w:val="00C47C8E"/>
    <w:rsid w:val="00C50262"/>
    <w:rsid w:val="00C508C5"/>
    <w:rsid w:val="00C50AB2"/>
    <w:rsid w:val="00C50C30"/>
    <w:rsid w:val="00C510E8"/>
    <w:rsid w:val="00C513A8"/>
    <w:rsid w:val="00C5172F"/>
    <w:rsid w:val="00C51B4B"/>
    <w:rsid w:val="00C51DB6"/>
    <w:rsid w:val="00C51E03"/>
    <w:rsid w:val="00C51FDE"/>
    <w:rsid w:val="00C52079"/>
    <w:rsid w:val="00C527E5"/>
    <w:rsid w:val="00C53460"/>
    <w:rsid w:val="00C53477"/>
    <w:rsid w:val="00C5391F"/>
    <w:rsid w:val="00C5393E"/>
    <w:rsid w:val="00C53977"/>
    <w:rsid w:val="00C53DCD"/>
    <w:rsid w:val="00C54070"/>
    <w:rsid w:val="00C545D9"/>
    <w:rsid w:val="00C54BEA"/>
    <w:rsid w:val="00C54D15"/>
    <w:rsid w:val="00C55629"/>
    <w:rsid w:val="00C55BEB"/>
    <w:rsid w:val="00C55E71"/>
    <w:rsid w:val="00C564CB"/>
    <w:rsid w:val="00C5698E"/>
    <w:rsid w:val="00C56C9D"/>
    <w:rsid w:val="00C56CE0"/>
    <w:rsid w:val="00C5710C"/>
    <w:rsid w:val="00C572DE"/>
    <w:rsid w:val="00C57377"/>
    <w:rsid w:val="00C574BF"/>
    <w:rsid w:val="00C5758D"/>
    <w:rsid w:val="00C575D8"/>
    <w:rsid w:val="00C5763C"/>
    <w:rsid w:val="00C602B9"/>
    <w:rsid w:val="00C604D4"/>
    <w:rsid w:val="00C604DC"/>
    <w:rsid w:val="00C6074D"/>
    <w:rsid w:val="00C609ED"/>
    <w:rsid w:val="00C60B8C"/>
    <w:rsid w:val="00C60BCA"/>
    <w:rsid w:val="00C60CD5"/>
    <w:rsid w:val="00C610A7"/>
    <w:rsid w:val="00C6163F"/>
    <w:rsid w:val="00C61F65"/>
    <w:rsid w:val="00C6231D"/>
    <w:rsid w:val="00C62D57"/>
    <w:rsid w:val="00C63094"/>
    <w:rsid w:val="00C635F3"/>
    <w:rsid w:val="00C63760"/>
    <w:rsid w:val="00C637EF"/>
    <w:rsid w:val="00C638DD"/>
    <w:rsid w:val="00C63F92"/>
    <w:rsid w:val="00C646DB"/>
    <w:rsid w:val="00C64FA6"/>
    <w:rsid w:val="00C64FBF"/>
    <w:rsid w:val="00C6531B"/>
    <w:rsid w:val="00C65505"/>
    <w:rsid w:val="00C656B5"/>
    <w:rsid w:val="00C65930"/>
    <w:rsid w:val="00C65A63"/>
    <w:rsid w:val="00C65A82"/>
    <w:rsid w:val="00C65A98"/>
    <w:rsid w:val="00C65FBD"/>
    <w:rsid w:val="00C67146"/>
    <w:rsid w:val="00C67501"/>
    <w:rsid w:val="00C67758"/>
    <w:rsid w:val="00C67AAB"/>
    <w:rsid w:val="00C70082"/>
    <w:rsid w:val="00C70250"/>
    <w:rsid w:val="00C704A4"/>
    <w:rsid w:val="00C707EA"/>
    <w:rsid w:val="00C707FA"/>
    <w:rsid w:val="00C70A5C"/>
    <w:rsid w:val="00C70B2F"/>
    <w:rsid w:val="00C70BC8"/>
    <w:rsid w:val="00C70BFA"/>
    <w:rsid w:val="00C70C0D"/>
    <w:rsid w:val="00C7192B"/>
    <w:rsid w:val="00C71CC7"/>
    <w:rsid w:val="00C72141"/>
    <w:rsid w:val="00C72554"/>
    <w:rsid w:val="00C72B92"/>
    <w:rsid w:val="00C7305F"/>
    <w:rsid w:val="00C7325E"/>
    <w:rsid w:val="00C735B9"/>
    <w:rsid w:val="00C7452A"/>
    <w:rsid w:val="00C749C9"/>
    <w:rsid w:val="00C74C29"/>
    <w:rsid w:val="00C75518"/>
    <w:rsid w:val="00C75896"/>
    <w:rsid w:val="00C768B8"/>
    <w:rsid w:val="00C76EAE"/>
    <w:rsid w:val="00C7714F"/>
    <w:rsid w:val="00C77152"/>
    <w:rsid w:val="00C77366"/>
    <w:rsid w:val="00C77627"/>
    <w:rsid w:val="00C77A33"/>
    <w:rsid w:val="00C77B1D"/>
    <w:rsid w:val="00C77FA9"/>
    <w:rsid w:val="00C8041C"/>
    <w:rsid w:val="00C80588"/>
    <w:rsid w:val="00C8067D"/>
    <w:rsid w:val="00C8078B"/>
    <w:rsid w:val="00C8106E"/>
    <w:rsid w:val="00C81A4D"/>
    <w:rsid w:val="00C81D76"/>
    <w:rsid w:val="00C8234F"/>
    <w:rsid w:val="00C823F2"/>
    <w:rsid w:val="00C826BE"/>
    <w:rsid w:val="00C8280A"/>
    <w:rsid w:val="00C82D1F"/>
    <w:rsid w:val="00C8327E"/>
    <w:rsid w:val="00C833D1"/>
    <w:rsid w:val="00C8342E"/>
    <w:rsid w:val="00C834F0"/>
    <w:rsid w:val="00C8396A"/>
    <w:rsid w:val="00C83AF2"/>
    <w:rsid w:val="00C83B15"/>
    <w:rsid w:val="00C83CAA"/>
    <w:rsid w:val="00C84400"/>
    <w:rsid w:val="00C85774"/>
    <w:rsid w:val="00C85A2E"/>
    <w:rsid w:val="00C861A6"/>
    <w:rsid w:val="00C862BB"/>
    <w:rsid w:val="00C8656D"/>
    <w:rsid w:val="00C8670F"/>
    <w:rsid w:val="00C86CC9"/>
    <w:rsid w:val="00C86FD9"/>
    <w:rsid w:val="00C8717D"/>
    <w:rsid w:val="00C872E1"/>
    <w:rsid w:val="00C876B2"/>
    <w:rsid w:val="00C87A3F"/>
    <w:rsid w:val="00C87B97"/>
    <w:rsid w:val="00C90135"/>
    <w:rsid w:val="00C90189"/>
    <w:rsid w:val="00C90337"/>
    <w:rsid w:val="00C904D6"/>
    <w:rsid w:val="00C905C7"/>
    <w:rsid w:val="00C91554"/>
    <w:rsid w:val="00C91A09"/>
    <w:rsid w:val="00C91A7B"/>
    <w:rsid w:val="00C926B7"/>
    <w:rsid w:val="00C92804"/>
    <w:rsid w:val="00C92CCE"/>
    <w:rsid w:val="00C9320F"/>
    <w:rsid w:val="00C93A92"/>
    <w:rsid w:val="00C93ADA"/>
    <w:rsid w:val="00C93EFA"/>
    <w:rsid w:val="00C9412E"/>
    <w:rsid w:val="00C94657"/>
    <w:rsid w:val="00C94955"/>
    <w:rsid w:val="00C94AE9"/>
    <w:rsid w:val="00C950E1"/>
    <w:rsid w:val="00C95800"/>
    <w:rsid w:val="00C959DF"/>
    <w:rsid w:val="00C95AE1"/>
    <w:rsid w:val="00C95B42"/>
    <w:rsid w:val="00C95EBC"/>
    <w:rsid w:val="00C965B2"/>
    <w:rsid w:val="00C96C86"/>
    <w:rsid w:val="00C96DF2"/>
    <w:rsid w:val="00C97183"/>
    <w:rsid w:val="00C97427"/>
    <w:rsid w:val="00C979C5"/>
    <w:rsid w:val="00C97E64"/>
    <w:rsid w:val="00C97F8D"/>
    <w:rsid w:val="00CA00D8"/>
    <w:rsid w:val="00CA0157"/>
    <w:rsid w:val="00CA05B3"/>
    <w:rsid w:val="00CA0DB9"/>
    <w:rsid w:val="00CA10B1"/>
    <w:rsid w:val="00CA148B"/>
    <w:rsid w:val="00CA1DD8"/>
    <w:rsid w:val="00CA202C"/>
    <w:rsid w:val="00CA2264"/>
    <w:rsid w:val="00CA2374"/>
    <w:rsid w:val="00CA2AFC"/>
    <w:rsid w:val="00CA2C80"/>
    <w:rsid w:val="00CA2E2B"/>
    <w:rsid w:val="00CA2F8A"/>
    <w:rsid w:val="00CA3BE7"/>
    <w:rsid w:val="00CA3F97"/>
    <w:rsid w:val="00CA3FF1"/>
    <w:rsid w:val="00CA467D"/>
    <w:rsid w:val="00CA47C7"/>
    <w:rsid w:val="00CA4CD9"/>
    <w:rsid w:val="00CA4D54"/>
    <w:rsid w:val="00CA4D76"/>
    <w:rsid w:val="00CA4F92"/>
    <w:rsid w:val="00CA4FD1"/>
    <w:rsid w:val="00CA550F"/>
    <w:rsid w:val="00CA5666"/>
    <w:rsid w:val="00CA5BB7"/>
    <w:rsid w:val="00CA7297"/>
    <w:rsid w:val="00CA796E"/>
    <w:rsid w:val="00CA7A89"/>
    <w:rsid w:val="00CA7CD5"/>
    <w:rsid w:val="00CA7E99"/>
    <w:rsid w:val="00CB017E"/>
    <w:rsid w:val="00CB0AAA"/>
    <w:rsid w:val="00CB0EAA"/>
    <w:rsid w:val="00CB12EE"/>
    <w:rsid w:val="00CB187C"/>
    <w:rsid w:val="00CB1935"/>
    <w:rsid w:val="00CB1DC2"/>
    <w:rsid w:val="00CB1EDC"/>
    <w:rsid w:val="00CB217A"/>
    <w:rsid w:val="00CB2680"/>
    <w:rsid w:val="00CB28EF"/>
    <w:rsid w:val="00CB3139"/>
    <w:rsid w:val="00CB3248"/>
    <w:rsid w:val="00CB3284"/>
    <w:rsid w:val="00CB35A0"/>
    <w:rsid w:val="00CB3756"/>
    <w:rsid w:val="00CB3C23"/>
    <w:rsid w:val="00CB3E76"/>
    <w:rsid w:val="00CB4273"/>
    <w:rsid w:val="00CB477D"/>
    <w:rsid w:val="00CB4963"/>
    <w:rsid w:val="00CB4A37"/>
    <w:rsid w:val="00CB4DFE"/>
    <w:rsid w:val="00CB50D4"/>
    <w:rsid w:val="00CB567B"/>
    <w:rsid w:val="00CB5EBF"/>
    <w:rsid w:val="00CB5FB2"/>
    <w:rsid w:val="00CB606B"/>
    <w:rsid w:val="00CB60BC"/>
    <w:rsid w:val="00CB63D6"/>
    <w:rsid w:val="00CB68F4"/>
    <w:rsid w:val="00CB6A1F"/>
    <w:rsid w:val="00CB6A51"/>
    <w:rsid w:val="00CB6DC2"/>
    <w:rsid w:val="00CB71EB"/>
    <w:rsid w:val="00CB75E1"/>
    <w:rsid w:val="00CB7D73"/>
    <w:rsid w:val="00CB7DA8"/>
    <w:rsid w:val="00CB7E15"/>
    <w:rsid w:val="00CC028B"/>
    <w:rsid w:val="00CC05C4"/>
    <w:rsid w:val="00CC063C"/>
    <w:rsid w:val="00CC0763"/>
    <w:rsid w:val="00CC0B03"/>
    <w:rsid w:val="00CC1071"/>
    <w:rsid w:val="00CC10F9"/>
    <w:rsid w:val="00CC1155"/>
    <w:rsid w:val="00CC11DD"/>
    <w:rsid w:val="00CC12A1"/>
    <w:rsid w:val="00CC1469"/>
    <w:rsid w:val="00CC1C1A"/>
    <w:rsid w:val="00CC1D82"/>
    <w:rsid w:val="00CC296B"/>
    <w:rsid w:val="00CC2E51"/>
    <w:rsid w:val="00CC2E9D"/>
    <w:rsid w:val="00CC342D"/>
    <w:rsid w:val="00CC369B"/>
    <w:rsid w:val="00CC41DD"/>
    <w:rsid w:val="00CC46AA"/>
    <w:rsid w:val="00CC4B60"/>
    <w:rsid w:val="00CC4D5B"/>
    <w:rsid w:val="00CC5665"/>
    <w:rsid w:val="00CC5A69"/>
    <w:rsid w:val="00CC6682"/>
    <w:rsid w:val="00CC6977"/>
    <w:rsid w:val="00CC6C7B"/>
    <w:rsid w:val="00CC71AB"/>
    <w:rsid w:val="00CC7C47"/>
    <w:rsid w:val="00CD0D77"/>
    <w:rsid w:val="00CD0FB3"/>
    <w:rsid w:val="00CD139C"/>
    <w:rsid w:val="00CD1B95"/>
    <w:rsid w:val="00CD1BDF"/>
    <w:rsid w:val="00CD1D24"/>
    <w:rsid w:val="00CD1E04"/>
    <w:rsid w:val="00CD25F6"/>
    <w:rsid w:val="00CD2B5B"/>
    <w:rsid w:val="00CD3593"/>
    <w:rsid w:val="00CD3604"/>
    <w:rsid w:val="00CD3909"/>
    <w:rsid w:val="00CD435D"/>
    <w:rsid w:val="00CD498F"/>
    <w:rsid w:val="00CD4B8D"/>
    <w:rsid w:val="00CD4BB1"/>
    <w:rsid w:val="00CD4EB7"/>
    <w:rsid w:val="00CD5175"/>
    <w:rsid w:val="00CD550C"/>
    <w:rsid w:val="00CD5CB0"/>
    <w:rsid w:val="00CD5E5D"/>
    <w:rsid w:val="00CD62C6"/>
    <w:rsid w:val="00CD6440"/>
    <w:rsid w:val="00CD65E9"/>
    <w:rsid w:val="00CD6BD0"/>
    <w:rsid w:val="00CD6F3E"/>
    <w:rsid w:val="00CD77EA"/>
    <w:rsid w:val="00CE09C2"/>
    <w:rsid w:val="00CE0A59"/>
    <w:rsid w:val="00CE0A95"/>
    <w:rsid w:val="00CE0CE4"/>
    <w:rsid w:val="00CE0D8E"/>
    <w:rsid w:val="00CE0E56"/>
    <w:rsid w:val="00CE10A4"/>
    <w:rsid w:val="00CE17DD"/>
    <w:rsid w:val="00CE1A52"/>
    <w:rsid w:val="00CE1BEC"/>
    <w:rsid w:val="00CE1F85"/>
    <w:rsid w:val="00CE1FF3"/>
    <w:rsid w:val="00CE219F"/>
    <w:rsid w:val="00CE2448"/>
    <w:rsid w:val="00CE2FF0"/>
    <w:rsid w:val="00CE32C6"/>
    <w:rsid w:val="00CE3322"/>
    <w:rsid w:val="00CE36C3"/>
    <w:rsid w:val="00CE3773"/>
    <w:rsid w:val="00CE420A"/>
    <w:rsid w:val="00CE4780"/>
    <w:rsid w:val="00CE47CC"/>
    <w:rsid w:val="00CE5087"/>
    <w:rsid w:val="00CE5938"/>
    <w:rsid w:val="00CE5BC9"/>
    <w:rsid w:val="00CE62FB"/>
    <w:rsid w:val="00CE63FD"/>
    <w:rsid w:val="00CE6922"/>
    <w:rsid w:val="00CE6D5F"/>
    <w:rsid w:val="00CE6F3D"/>
    <w:rsid w:val="00CE720B"/>
    <w:rsid w:val="00CE7505"/>
    <w:rsid w:val="00CE7642"/>
    <w:rsid w:val="00CE7927"/>
    <w:rsid w:val="00CE7FCD"/>
    <w:rsid w:val="00CF05D5"/>
    <w:rsid w:val="00CF0E55"/>
    <w:rsid w:val="00CF0FBD"/>
    <w:rsid w:val="00CF17A6"/>
    <w:rsid w:val="00CF18D2"/>
    <w:rsid w:val="00CF1941"/>
    <w:rsid w:val="00CF263B"/>
    <w:rsid w:val="00CF294E"/>
    <w:rsid w:val="00CF29B6"/>
    <w:rsid w:val="00CF2A1A"/>
    <w:rsid w:val="00CF2ACE"/>
    <w:rsid w:val="00CF2C34"/>
    <w:rsid w:val="00CF3446"/>
    <w:rsid w:val="00CF3507"/>
    <w:rsid w:val="00CF3526"/>
    <w:rsid w:val="00CF3E93"/>
    <w:rsid w:val="00CF5012"/>
    <w:rsid w:val="00CF5AA9"/>
    <w:rsid w:val="00CF692D"/>
    <w:rsid w:val="00CF6BD3"/>
    <w:rsid w:val="00CF6FBD"/>
    <w:rsid w:val="00CF7110"/>
    <w:rsid w:val="00CF7220"/>
    <w:rsid w:val="00CF722A"/>
    <w:rsid w:val="00CF739C"/>
    <w:rsid w:val="00CF7630"/>
    <w:rsid w:val="00CF7788"/>
    <w:rsid w:val="00CF7BBE"/>
    <w:rsid w:val="00D00D39"/>
    <w:rsid w:val="00D00D87"/>
    <w:rsid w:val="00D012CF"/>
    <w:rsid w:val="00D0155A"/>
    <w:rsid w:val="00D018AA"/>
    <w:rsid w:val="00D01907"/>
    <w:rsid w:val="00D01D47"/>
    <w:rsid w:val="00D01FC0"/>
    <w:rsid w:val="00D021E4"/>
    <w:rsid w:val="00D02619"/>
    <w:rsid w:val="00D027CA"/>
    <w:rsid w:val="00D02945"/>
    <w:rsid w:val="00D02B57"/>
    <w:rsid w:val="00D02CE3"/>
    <w:rsid w:val="00D032E1"/>
    <w:rsid w:val="00D033A4"/>
    <w:rsid w:val="00D036D7"/>
    <w:rsid w:val="00D03AEC"/>
    <w:rsid w:val="00D04478"/>
    <w:rsid w:val="00D04546"/>
    <w:rsid w:val="00D046B5"/>
    <w:rsid w:val="00D04A4E"/>
    <w:rsid w:val="00D04AE8"/>
    <w:rsid w:val="00D052AB"/>
    <w:rsid w:val="00D0533D"/>
    <w:rsid w:val="00D054A7"/>
    <w:rsid w:val="00D054DD"/>
    <w:rsid w:val="00D05608"/>
    <w:rsid w:val="00D05800"/>
    <w:rsid w:val="00D05BF2"/>
    <w:rsid w:val="00D05C53"/>
    <w:rsid w:val="00D061B4"/>
    <w:rsid w:val="00D0637F"/>
    <w:rsid w:val="00D0662D"/>
    <w:rsid w:val="00D06785"/>
    <w:rsid w:val="00D067B0"/>
    <w:rsid w:val="00D076BB"/>
    <w:rsid w:val="00D077F3"/>
    <w:rsid w:val="00D07ACE"/>
    <w:rsid w:val="00D07C23"/>
    <w:rsid w:val="00D07C57"/>
    <w:rsid w:val="00D10061"/>
    <w:rsid w:val="00D103C9"/>
    <w:rsid w:val="00D104DD"/>
    <w:rsid w:val="00D104E3"/>
    <w:rsid w:val="00D1089C"/>
    <w:rsid w:val="00D10A4D"/>
    <w:rsid w:val="00D10BE4"/>
    <w:rsid w:val="00D10C04"/>
    <w:rsid w:val="00D11029"/>
    <w:rsid w:val="00D11254"/>
    <w:rsid w:val="00D11557"/>
    <w:rsid w:val="00D11784"/>
    <w:rsid w:val="00D11C2D"/>
    <w:rsid w:val="00D11C64"/>
    <w:rsid w:val="00D120DA"/>
    <w:rsid w:val="00D121A4"/>
    <w:rsid w:val="00D121FA"/>
    <w:rsid w:val="00D12246"/>
    <w:rsid w:val="00D12606"/>
    <w:rsid w:val="00D1272F"/>
    <w:rsid w:val="00D12B98"/>
    <w:rsid w:val="00D12F5C"/>
    <w:rsid w:val="00D12FC5"/>
    <w:rsid w:val="00D13021"/>
    <w:rsid w:val="00D13AD2"/>
    <w:rsid w:val="00D13B7E"/>
    <w:rsid w:val="00D13B91"/>
    <w:rsid w:val="00D13E64"/>
    <w:rsid w:val="00D13FFE"/>
    <w:rsid w:val="00D14B98"/>
    <w:rsid w:val="00D14F87"/>
    <w:rsid w:val="00D1526E"/>
    <w:rsid w:val="00D158D8"/>
    <w:rsid w:val="00D15DD9"/>
    <w:rsid w:val="00D160B8"/>
    <w:rsid w:val="00D164A3"/>
    <w:rsid w:val="00D165C4"/>
    <w:rsid w:val="00D166DA"/>
    <w:rsid w:val="00D16C7A"/>
    <w:rsid w:val="00D16C91"/>
    <w:rsid w:val="00D16EAF"/>
    <w:rsid w:val="00D170CB"/>
    <w:rsid w:val="00D1712F"/>
    <w:rsid w:val="00D171B2"/>
    <w:rsid w:val="00D17470"/>
    <w:rsid w:val="00D174FE"/>
    <w:rsid w:val="00D1763A"/>
    <w:rsid w:val="00D1786F"/>
    <w:rsid w:val="00D17A79"/>
    <w:rsid w:val="00D17AC2"/>
    <w:rsid w:val="00D17AF1"/>
    <w:rsid w:val="00D17DAC"/>
    <w:rsid w:val="00D17F9C"/>
    <w:rsid w:val="00D201DC"/>
    <w:rsid w:val="00D20700"/>
    <w:rsid w:val="00D207D8"/>
    <w:rsid w:val="00D20A1E"/>
    <w:rsid w:val="00D20FD4"/>
    <w:rsid w:val="00D21187"/>
    <w:rsid w:val="00D212BF"/>
    <w:rsid w:val="00D2131D"/>
    <w:rsid w:val="00D214DE"/>
    <w:rsid w:val="00D21523"/>
    <w:rsid w:val="00D219CE"/>
    <w:rsid w:val="00D21A24"/>
    <w:rsid w:val="00D21EBF"/>
    <w:rsid w:val="00D22203"/>
    <w:rsid w:val="00D23263"/>
    <w:rsid w:val="00D233BB"/>
    <w:rsid w:val="00D2345B"/>
    <w:rsid w:val="00D237E2"/>
    <w:rsid w:val="00D23A6F"/>
    <w:rsid w:val="00D23D21"/>
    <w:rsid w:val="00D24145"/>
    <w:rsid w:val="00D24191"/>
    <w:rsid w:val="00D24665"/>
    <w:rsid w:val="00D2467B"/>
    <w:rsid w:val="00D2483C"/>
    <w:rsid w:val="00D24968"/>
    <w:rsid w:val="00D2501F"/>
    <w:rsid w:val="00D25307"/>
    <w:rsid w:val="00D2539C"/>
    <w:rsid w:val="00D253F2"/>
    <w:rsid w:val="00D254E9"/>
    <w:rsid w:val="00D255CF"/>
    <w:rsid w:val="00D255ED"/>
    <w:rsid w:val="00D2678E"/>
    <w:rsid w:val="00D26863"/>
    <w:rsid w:val="00D2694C"/>
    <w:rsid w:val="00D26B86"/>
    <w:rsid w:val="00D271C9"/>
    <w:rsid w:val="00D276BB"/>
    <w:rsid w:val="00D27853"/>
    <w:rsid w:val="00D301A2"/>
    <w:rsid w:val="00D301F6"/>
    <w:rsid w:val="00D30AE0"/>
    <w:rsid w:val="00D30AE8"/>
    <w:rsid w:val="00D30BB3"/>
    <w:rsid w:val="00D30FAA"/>
    <w:rsid w:val="00D3114C"/>
    <w:rsid w:val="00D32155"/>
    <w:rsid w:val="00D3239C"/>
    <w:rsid w:val="00D3296E"/>
    <w:rsid w:val="00D32D2D"/>
    <w:rsid w:val="00D3303D"/>
    <w:rsid w:val="00D3307C"/>
    <w:rsid w:val="00D331A9"/>
    <w:rsid w:val="00D331F1"/>
    <w:rsid w:val="00D33452"/>
    <w:rsid w:val="00D33581"/>
    <w:rsid w:val="00D33AC0"/>
    <w:rsid w:val="00D3434A"/>
    <w:rsid w:val="00D34379"/>
    <w:rsid w:val="00D34FB1"/>
    <w:rsid w:val="00D350AF"/>
    <w:rsid w:val="00D3525E"/>
    <w:rsid w:val="00D35339"/>
    <w:rsid w:val="00D3546A"/>
    <w:rsid w:val="00D358BB"/>
    <w:rsid w:val="00D35EFE"/>
    <w:rsid w:val="00D36107"/>
    <w:rsid w:val="00D36132"/>
    <w:rsid w:val="00D36A87"/>
    <w:rsid w:val="00D37058"/>
    <w:rsid w:val="00D376CF"/>
    <w:rsid w:val="00D37B46"/>
    <w:rsid w:val="00D37BDE"/>
    <w:rsid w:val="00D37F37"/>
    <w:rsid w:val="00D40B8D"/>
    <w:rsid w:val="00D40D1B"/>
    <w:rsid w:val="00D41040"/>
    <w:rsid w:val="00D411B3"/>
    <w:rsid w:val="00D41292"/>
    <w:rsid w:val="00D4131F"/>
    <w:rsid w:val="00D413EC"/>
    <w:rsid w:val="00D41983"/>
    <w:rsid w:val="00D41BDF"/>
    <w:rsid w:val="00D41C99"/>
    <w:rsid w:val="00D41D11"/>
    <w:rsid w:val="00D41E44"/>
    <w:rsid w:val="00D41F1C"/>
    <w:rsid w:val="00D42293"/>
    <w:rsid w:val="00D42591"/>
    <w:rsid w:val="00D42923"/>
    <w:rsid w:val="00D4312C"/>
    <w:rsid w:val="00D433C8"/>
    <w:rsid w:val="00D43F2B"/>
    <w:rsid w:val="00D4402D"/>
    <w:rsid w:val="00D440A8"/>
    <w:rsid w:val="00D44136"/>
    <w:rsid w:val="00D4421B"/>
    <w:rsid w:val="00D447BF"/>
    <w:rsid w:val="00D4542C"/>
    <w:rsid w:val="00D45DEF"/>
    <w:rsid w:val="00D45F34"/>
    <w:rsid w:val="00D462E4"/>
    <w:rsid w:val="00D4689C"/>
    <w:rsid w:val="00D4715C"/>
    <w:rsid w:val="00D472FC"/>
    <w:rsid w:val="00D473AE"/>
    <w:rsid w:val="00D50510"/>
    <w:rsid w:val="00D50DED"/>
    <w:rsid w:val="00D5110B"/>
    <w:rsid w:val="00D511DD"/>
    <w:rsid w:val="00D516AB"/>
    <w:rsid w:val="00D5282D"/>
    <w:rsid w:val="00D52E71"/>
    <w:rsid w:val="00D5302B"/>
    <w:rsid w:val="00D5321B"/>
    <w:rsid w:val="00D5380F"/>
    <w:rsid w:val="00D53815"/>
    <w:rsid w:val="00D540FA"/>
    <w:rsid w:val="00D54599"/>
    <w:rsid w:val="00D54D41"/>
    <w:rsid w:val="00D551FD"/>
    <w:rsid w:val="00D55561"/>
    <w:rsid w:val="00D55593"/>
    <w:rsid w:val="00D55B36"/>
    <w:rsid w:val="00D55CAA"/>
    <w:rsid w:val="00D55CED"/>
    <w:rsid w:val="00D561B3"/>
    <w:rsid w:val="00D56784"/>
    <w:rsid w:val="00D5678D"/>
    <w:rsid w:val="00D5686D"/>
    <w:rsid w:val="00D56A30"/>
    <w:rsid w:val="00D56CA6"/>
    <w:rsid w:val="00D57701"/>
    <w:rsid w:val="00D5794B"/>
    <w:rsid w:val="00D57A61"/>
    <w:rsid w:val="00D57C03"/>
    <w:rsid w:val="00D60077"/>
    <w:rsid w:val="00D601E6"/>
    <w:rsid w:val="00D60296"/>
    <w:rsid w:val="00D6061B"/>
    <w:rsid w:val="00D60DE4"/>
    <w:rsid w:val="00D60E3E"/>
    <w:rsid w:val="00D6125B"/>
    <w:rsid w:val="00D613D5"/>
    <w:rsid w:val="00D61583"/>
    <w:rsid w:val="00D61F26"/>
    <w:rsid w:val="00D62131"/>
    <w:rsid w:val="00D6224C"/>
    <w:rsid w:val="00D622F2"/>
    <w:rsid w:val="00D6239D"/>
    <w:rsid w:val="00D62412"/>
    <w:rsid w:val="00D62613"/>
    <w:rsid w:val="00D6267B"/>
    <w:rsid w:val="00D6273F"/>
    <w:rsid w:val="00D62990"/>
    <w:rsid w:val="00D630E5"/>
    <w:rsid w:val="00D634B7"/>
    <w:rsid w:val="00D635A7"/>
    <w:rsid w:val="00D63938"/>
    <w:rsid w:val="00D63D8D"/>
    <w:rsid w:val="00D63EEE"/>
    <w:rsid w:val="00D6438E"/>
    <w:rsid w:val="00D6441B"/>
    <w:rsid w:val="00D647A5"/>
    <w:rsid w:val="00D647B3"/>
    <w:rsid w:val="00D649DE"/>
    <w:rsid w:val="00D64D7A"/>
    <w:rsid w:val="00D64E6F"/>
    <w:rsid w:val="00D65148"/>
    <w:rsid w:val="00D65430"/>
    <w:rsid w:val="00D65C6F"/>
    <w:rsid w:val="00D66130"/>
    <w:rsid w:val="00D66310"/>
    <w:rsid w:val="00D6677E"/>
    <w:rsid w:val="00D66A2A"/>
    <w:rsid w:val="00D66E79"/>
    <w:rsid w:val="00D67439"/>
    <w:rsid w:val="00D67515"/>
    <w:rsid w:val="00D67AD0"/>
    <w:rsid w:val="00D67C6B"/>
    <w:rsid w:val="00D67CAC"/>
    <w:rsid w:val="00D67F5B"/>
    <w:rsid w:val="00D70C0A"/>
    <w:rsid w:val="00D717BB"/>
    <w:rsid w:val="00D718B4"/>
    <w:rsid w:val="00D71D41"/>
    <w:rsid w:val="00D7226F"/>
    <w:rsid w:val="00D722F2"/>
    <w:rsid w:val="00D72391"/>
    <w:rsid w:val="00D7279E"/>
    <w:rsid w:val="00D727F1"/>
    <w:rsid w:val="00D72902"/>
    <w:rsid w:val="00D72D42"/>
    <w:rsid w:val="00D73626"/>
    <w:rsid w:val="00D73795"/>
    <w:rsid w:val="00D73849"/>
    <w:rsid w:val="00D7389B"/>
    <w:rsid w:val="00D738D4"/>
    <w:rsid w:val="00D73926"/>
    <w:rsid w:val="00D73AE7"/>
    <w:rsid w:val="00D73B6D"/>
    <w:rsid w:val="00D74197"/>
    <w:rsid w:val="00D74352"/>
    <w:rsid w:val="00D74913"/>
    <w:rsid w:val="00D74EF0"/>
    <w:rsid w:val="00D752C0"/>
    <w:rsid w:val="00D755EE"/>
    <w:rsid w:val="00D75740"/>
    <w:rsid w:val="00D7577C"/>
    <w:rsid w:val="00D75B73"/>
    <w:rsid w:val="00D75DFA"/>
    <w:rsid w:val="00D76007"/>
    <w:rsid w:val="00D76A39"/>
    <w:rsid w:val="00D76FBD"/>
    <w:rsid w:val="00D77217"/>
    <w:rsid w:val="00D774A9"/>
    <w:rsid w:val="00D77582"/>
    <w:rsid w:val="00D80054"/>
    <w:rsid w:val="00D801C7"/>
    <w:rsid w:val="00D80359"/>
    <w:rsid w:val="00D80BB0"/>
    <w:rsid w:val="00D80CC9"/>
    <w:rsid w:val="00D80ECF"/>
    <w:rsid w:val="00D80FF9"/>
    <w:rsid w:val="00D8148B"/>
    <w:rsid w:val="00D81590"/>
    <w:rsid w:val="00D8184C"/>
    <w:rsid w:val="00D82110"/>
    <w:rsid w:val="00D8215E"/>
    <w:rsid w:val="00D823E4"/>
    <w:rsid w:val="00D82472"/>
    <w:rsid w:val="00D82AAF"/>
    <w:rsid w:val="00D83081"/>
    <w:rsid w:val="00D83A5E"/>
    <w:rsid w:val="00D8434E"/>
    <w:rsid w:val="00D84418"/>
    <w:rsid w:val="00D84527"/>
    <w:rsid w:val="00D84B36"/>
    <w:rsid w:val="00D84D13"/>
    <w:rsid w:val="00D84E86"/>
    <w:rsid w:val="00D8514E"/>
    <w:rsid w:val="00D85D8D"/>
    <w:rsid w:val="00D86127"/>
    <w:rsid w:val="00D862A5"/>
    <w:rsid w:val="00D863E0"/>
    <w:rsid w:val="00D86DAA"/>
    <w:rsid w:val="00D86EC9"/>
    <w:rsid w:val="00D8705E"/>
    <w:rsid w:val="00D871A8"/>
    <w:rsid w:val="00D877B9"/>
    <w:rsid w:val="00D901B9"/>
    <w:rsid w:val="00D90718"/>
    <w:rsid w:val="00D90961"/>
    <w:rsid w:val="00D90A7E"/>
    <w:rsid w:val="00D90D3F"/>
    <w:rsid w:val="00D90DAB"/>
    <w:rsid w:val="00D90E3F"/>
    <w:rsid w:val="00D911C5"/>
    <w:rsid w:val="00D912CC"/>
    <w:rsid w:val="00D915E4"/>
    <w:rsid w:val="00D915EC"/>
    <w:rsid w:val="00D9162B"/>
    <w:rsid w:val="00D917C7"/>
    <w:rsid w:val="00D91EAA"/>
    <w:rsid w:val="00D921F8"/>
    <w:rsid w:val="00D925B0"/>
    <w:rsid w:val="00D92AA1"/>
    <w:rsid w:val="00D92D12"/>
    <w:rsid w:val="00D92E03"/>
    <w:rsid w:val="00D92E04"/>
    <w:rsid w:val="00D93832"/>
    <w:rsid w:val="00D93C62"/>
    <w:rsid w:val="00D948E4"/>
    <w:rsid w:val="00D94BE4"/>
    <w:rsid w:val="00D94C59"/>
    <w:rsid w:val="00D953CC"/>
    <w:rsid w:val="00D953FD"/>
    <w:rsid w:val="00D95578"/>
    <w:rsid w:val="00D9568C"/>
    <w:rsid w:val="00D9623F"/>
    <w:rsid w:val="00D96415"/>
    <w:rsid w:val="00D9648C"/>
    <w:rsid w:val="00D964C0"/>
    <w:rsid w:val="00D9660B"/>
    <w:rsid w:val="00D966FB"/>
    <w:rsid w:val="00D96946"/>
    <w:rsid w:val="00D96BC1"/>
    <w:rsid w:val="00D96C63"/>
    <w:rsid w:val="00D96CD6"/>
    <w:rsid w:val="00D96EB1"/>
    <w:rsid w:val="00D9718F"/>
    <w:rsid w:val="00D971BC"/>
    <w:rsid w:val="00D972D1"/>
    <w:rsid w:val="00D97347"/>
    <w:rsid w:val="00D973CF"/>
    <w:rsid w:val="00DA0018"/>
    <w:rsid w:val="00DA0497"/>
    <w:rsid w:val="00DA0678"/>
    <w:rsid w:val="00DA0CDD"/>
    <w:rsid w:val="00DA1133"/>
    <w:rsid w:val="00DA1A47"/>
    <w:rsid w:val="00DA1C12"/>
    <w:rsid w:val="00DA2519"/>
    <w:rsid w:val="00DA2661"/>
    <w:rsid w:val="00DA2864"/>
    <w:rsid w:val="00DA2FAF"/>
    <w:rsid w:val="00DA356B"/>
    <w:rsid w:val="00DA3584"/>
    <w:rsid w:val="00DA3719"/>
    <w:rsid w:val="00DA39AF"/>
    <w:rsid w:val="00DA41D7"/>
    <w:rsid w:val="00DA4322"/>
    <w:rsid w:val="00DA4548"/>
    <w:rsid w:val="00DA49C7"/>
    <w:rsid w:val="00DA4BA5"/>
    <w:rsid w:val="00DA5848"/>
    <w:rsid w:val="00DA5E25"/>
    <w:rsid w:val="00DA5F3B"/>
    <w:rsid w:val="00DA5FC3"/>
    <w:rsid w:val="00DA6004"/>
    <w:rsid w:val="00DA6122"/>
    <w:rsid w:val="00DA68C4"/>
    <w:rsid w:val="00DA6DB6"/>
    <w:rsid w:val="00DA7E90"/>
    <w:rsid w:val="00DB006F"/>
    <w:rsid w:val="00DB04A8"/>
    <w:rsid w:val="00DB0659"/>
    <w:rsid w:val="00DB0851"/>
    <w:rsid w:val="00DB0B74"/>
    <w:rsid w:val="00DB0DB8"/>
    <w:rsid w:val="00DB1447"/>
    <w:rsid w:val="00DB180B"/>
    <w:rsid w:val="00DB1A40"/>
    <w:rsid w:val="00DB2612"/>
    <w:rsid w:val="00DB2745"/>
    <w:rsid w:val="00DB28C9"/>
    <w:rsid w:val="00DB2B05"/>
    <w:rsid w:val="00DB2B5E"/>
    <w:rsid w:val="00DB334F"/>
    <w:rsid w:val="00DB33AC"/>
    <w:rsid w:val="00DB36B3"/>
    <w:rsid w:val="00DB36D3"/>
    <w:rsid w:val="00DB390C"/>
    <w:rsid w:val="00DB3EB7"/>
    <w:rsid w:val="00DB410A"/>
    <w:rsid w:val="00DB41E6"/>
    <w:rsid w:val="00DB46E1"/>
    <w:rsid w:val="00DB4A63"/>
    <w:rsid w:val="00DB5596"/>
    <w:rsid w:val="00DB5C18"/>
    <w:rsid w:val="00DB5C7A"/>
    <w:rsid w:val="00DB5D4E"/>
    <w:rsid w:val="00DB5F08"/>
    <w:rsid w:val="00DB60D5"/>
    <w:rsid w:val="00DB6122"/>
    <w:rsid w:val="00DB627F"/>
    <w:rsid w:val="00DB6463"/>
    <w:rsid w:val="00DB66D5"/>
    <w:rsid w:val="00DB6ADD"/>
    <w:rsid w:val="00DB6E47"/>
    <w:rsid w:val="00DB7236"/>
    <w:rsid w:val="00DB7BD1"/>
    <w:rsid w:val="00DB7E87"/>
    <w:rsid w:val="00DC00C5"/>
    <w:rsid w:val="00DC0453"/>
    <w:rsid w:val="00DC0A7F"/>
    <w:rsid w:val="00DC0C44"/>
    <w:rsid w:val="00DC1550"/>
    <w:rsid w:val="00DC199A"/>
    <w:rsid w:val="00DC19D3"/>
    <w:rsid w:val="00DC2068"/>
    <w:rsid w:val="00DC231A"/>
    <w:rsid w:val="00DC2675"/>
    <w:rsid w:val="00DC2757"/>
    <w:rsid w:val="00DC28E0"/>
    <w:rsid w:val="00DC2CF9"/>
    <w:rsid w:val="00DC2E05"/>
    <w:rsid w:val="00DC2EF5"/>
    <w:rsid w:val="00DC2F7A"/>
    <w:rsid w:val="00DC30FF"/>
    <w:rsid w:val="00DC3147"/>
    <w:rsid w:val="00DC33A5"/>
    <w:rsid w:val="00DC342A"/>
    <w:rsid w:val="00DC3582"/>
    <w:rsid w:val="00DC3B80"/>
    <w:rsid w:val="00DC3F2C"/>
    <w:rsid w:val="00DC4385"/>
    <w:rsid w:val="00DC456C"/>
    <w:rsid w:val="00DC4CA6"/>
    <w:rsid w:val="00DC4DE8"/>
    <w:rsid w:val="00DC5174"/>
    <w:rsid w:val="00DC5847"/>
    <w:rsid w:val="00DC5E34"/>
    <w:rsid w:val="00DC60CC"/>
    <w:rsid w:val="00DC6786"/>
    <w:rsid w:val="00DC6E69"/>
    <w:rsid w:val="00DC7040"/>
    <w:rsid w:val="00DC725F"/>
    <w:rsid w:val="00DC727A"/>
    <w:rsid w:val="00DC73DA"/>
    <w:rsid w:val="00DC78E1"/>
    <w:rsid w:val="00DC7D98"/>
    <w:rsid w:val="00DC7E68"/>
    <w:rsid w:val="00DD0368"/>
    <w:rsid w:val="00DD0860"/>
    <w:rsid w:val="00DD0FCD"/>
    <w:rsid w:val="00DD10AF"/>
    <w:rsid w:val="00DD1561"/>
    <w:rsid w:val="00DD17BD"/>
    <w:rsid w:val="00DD193F"/>
    <w:rsid w:val="00DD1C2C"/>
    <w:rsid w:val="00DD1C41"/>
    <w:rsid w:val="00DD1EEF"/>
    <w:rsid w:val="00DD1F49"/>
    <w:rsid w:val="00DD256F"/>
    <w:rsid w:val="00DD2D0E"/>
    <w:rsid w:val="00DD35F1"/>
    <w:rsid w:val="00DD401E"/>
    <w:rsid w:val="00DD47C9"/>
    <w:rsid w:val="00DD4A14"/>
    <w:rsid w:val="00DD4AB7"/>
    <w:rsid w:val="00DD50C0"/>
    <w:rsid w:val="00DD5E51"/>
    <w:rsid w:val="00DD63C8"/>
    <w:rsid w:val="00DD6BDF"/>
    <w:rsid w:val="00DD6D0E"/>
    <w:rsid w:val="00DD76EF"/>
    <w:rsid w:val="00DD7E00"/>
    <w:rsid w:val="00DE0386"/>
    <w:rsid w:val="00DE0635"/>
    <w:rsid w:val="00DE1136"/>
    <w:rsid w:val="00DE1186"/>
    <w:rsid w:val="00DE120C"/>
    <w:rsid w:val="00DE1743"/>
    <w:rsid w:val="00DE19FA"/>
    <w:rsid w:val="00DE2320"/>
    <w:rsid w:val="00DE2958"/>
    <w:rsid w:val="00DE2AD2"/>
    <w:rsid w:val="00DE2D50"/>
    <w:rsid w:val="00DE2F92"/>
    <w:rsid w:val="00DE367F"/>
    <w:rsid w:val="00DE3829"/>
    <w:rsid w:val="00DE38AB"/>
    <w:rsid w:val="00DE3AA0"/>
    <w:rsid w:val="00DE3EE9"/>
    <w:rsid w:val="00DE417C"/>
    <w:rsid w:val="00DE4318"/>
    <w:rsid w:val="00DE476D"/>
    <w:rsid w:val="00DE5008"/>
    <w:rsid w:val="00DE5ABB"/>
    <w:rsid w:val="00DE64CA"/>
    <w:rsid w:val="00DE6649"/>
    <w:rsid w:val="00DE6A0E"/>
    <w:rsid w:val="00DE6F58"/>
    <w:rsid w:val="00DE7190"/>
    <w:rsid w:val="00DE7306"/>
    <w:rsid w:val="00DE788D"/>
    <w:rsid w:val="00DE79BA"/>
    <w:rsid w:val="00DE7CAA"/>
    <w:rsid w:val="00DE7D84"/>
    <w:rsid w:val="00DE7DEE"/>
    <w:rsid w:val="00DE7E8A"/>
    <w:rsid w:val="00DF019D"/>
    <w:rsid w:val="00DF0206"/>
    <w:rsid w:val="00DF0F5F"/>
    <w:rsid w:val="00DF12C9"/>
    <w:rsid w:val="00DF13E0"/>
    <w:rsid w:val="00DF149F"/>
    <w:rsid w:val="00DF1677"/>
    <w:rsid w:val="00DF1E3F"/>
    <w:rsid w:val="00DF1EDD"/>
    <w:rsid w:val="00DF2375"/>
    <w:rsid w:val="00DF271C"/>
    <w:rsid w:val="00DF273A"/>
    <w:rsid w:val="00DF2791"/>
    <w:rsid w:val="00DF279B"/>
    <w:rsid w:val="00DF2941"/>
    <w:rsid w:val="00DF2C42"/>
    <w:rsid w:val="00DF2CBB"/>
    <w:rsid w:val="00DF2FEE"/>
    <w:rsid w:val="00DF3453"/>
    <w:rsid w:val="00DF35AC"/>
    <w:rsid w:val="00DF35B5"/>
    <w:rsid w:val="00DF39E9"/>
    <w:rsid w:val="00DF3CEC"/>
    <w:rsid w:val="00DF3F04"/>
    <w:rsid w:val="00DF3F7E"/>
    <w:rsid w:val="00DF41D0"/>
    <w:rsid w:val="00DF44F1"/>
    <w:rsid w:val="00DF4698"/>
    <w:rsid w:val="00DF46D8"/>
    <w:rsid w:val="00DF4808"/>
    <w:rsid w:val="00DF4D9C"/>
    <w:rsid w:val="00DF4E30"/>
    <w:rsid w:val="00DF54BA"/>
    <w:rsid w:val="00DF56C1"/>
    <w:rsid w:val="00DF583C"/>
    <w:rsid w:val="00DF596D"/>
    <w:rsid w:val="00DF5A38"/>
    <w:rsid w:val="00DF5D0E"/>
    <w:rsid w:val="00DF60FF"/>
    <w:rsid w:val="00DF6603"/>
    <w:rsid w:val="00DF6660"/>
    <w:rsid w:val="00DF666E"/>
    <w:rsid w:val="00DF6A01"/>
    <w:rsid w:val="00E00098"/>
    <w:rsid w:val="00E00733"/>
    <w:rsid w:val="00E00749"/>
    <w:rsid w:val="00E00863"/>
    <w:rsid w:val="00E008E5"/>
    <w:rsid w:val="00E00C2D"/>
    <w:rsid w:val="00E00F61"/>
    <w:rsid w:val="00E0145F"/>
    <w:rsid w:val="00E01461"/>
    <w:rsid w:val="00E014D4"/>
    <w:rsid w:val="00E01786"/>
    <w:rsid w:val="00E01AD6"/>
    <w:rsid w:val="00E01F91"/>
    <w:rsid w:val="00E02134"/>
    <w:rsid w:val="00E021BF"/>
    <w:rsid w:val="00E0272B"/>
    <w:rsid w:val="00E027CF"/>
    <w:rsid w:val="00E033E5"/>
    <w:rsid w:val="00E03C28"/>
    <w:rsid w:val="00E03CB6"/>
    <w:rsid w:val="00E04537"/>
    <w:rsid w:val="00E045E4"/>
    <w:rsid w:val="00E047AF"/>
    <w:rsid w:val="00E04C46"/>
    <w:rsid w:val="00E04CA6"/>
    <w:rsid w:val="00E0561E"/>
    <w:rsid w:val="00E0574C"/>
    <w:rsid w:val="00E05880"/>
    <w:rsid w:val="00E06409"/>
    <w:rsid w:val="00E06615"/>
    <w:rsid w:val="00E06A46"/>
    <w:rsid w:val="00E06A7C"/>
    <w:rsid w:val="00E06CEE"/>
    <w:rsid w:val="00E06FCB"/>
    <w:rsid w:val="00E07227"/>
    <w:rsid w:val="00E07CCC"/>
    <w:rsid w:val="00E1000D"/>
    <w:rsid w:val="00E1005D"/>
    <w:rsid w:val="00E104FC"/>
    <w:rsid w:val="00E10595"/>
    <w:rsid w:val="00E105AD"/>
    <w:rsid w:val="00E10711"/>
    <w:rsid w:val="00E11264"/>
    <w:rsid w:val="00E116D2"/>
    <w:rsid w:val="00E118A2"/>
    <w:rsid w:val="00E11FC1"/>
    <w:rsid w:val="00E121A1"/>
    <w:rsid w:val="00E1246E"/>
    <w:rsid w:val="00E12579"/>
    <w:rsid w:val="00E125D4"/>
    <w:rsid w:val="00E128FD"/>
    <w:rsid w:val="00E12BA1"/>
    <w:rsid w:val="00E12C60"/>
    <w:rsid w:val="00E12F98"/>
    <w:rsid w:val="00E1301E"/>
    <w:rsid w:val="00E138F6"/>
    <w:rsid w:val="00E141A4"/>
    <w:rsid w:val="00E14302"/>
    <w:rsid w:val="00E14D8B"/>
    <w:rsid w:val="00E15851"/>
    <w:rsid w:val="00E15C5F"/>
    <w:rsid w:val="00E160D6"/>
    <w:rsid w:val="00E16109"/>
    <w:rsid w:val="00E16427"/>
    <w:rsid w:val="00E170BD"/>
    <w:rsid w:val="00E17ED4"/>
    <w:rsid w:val="00E2002D"/>
    <w:rsid w:val="00E2032D"/>
    <w:rsid w:val="00E20BBC"/>
    <w:rsid w:val="00E20CB9"/>
    <w:rsid w:val="00E20E9A"/>
    <w:rsid w:val="00E214CF"/>
    <w:rsid w:val="00E2187C"/>
    <w:rsid w:val="00E21E83"/>
    <w:rsid w:val="00E22080"/>
    <w:rsid w:val="00E22433"/>
    <w:rsid w:val="00E232E9"/>
    <w:rsid w:val="00E23537"/>
    <w:rsid w:val="00E2392C"/>
    <w:rsid w:val="00E23FA5"/>
    <w:rsid w:val="00E2432B"/>
    <w:rsid w:val="00E243D5"/>
    <w:rsid w:val="00E24790"/>
    <w:rsid w:val="00E24C59"/>
    <w:rsid w:val="00E24E26"/>
    <w:rsid w:val="00E24F16"/>
    <w:rsid w:val="00E25371"/>
    <w:rsid w:val="00E254E6"/>
    <w:rsid w:val="00E25819"/>
    <w:rsid w:val="00E25B68"/>
    <w:rsid w:val="00E2619E"/>
    <w:rsid w:val="00E261B2"/>
    <w:rsid w:val="00E26254"/>
    <w:rsid w:val="00E2651F"/>
    <w:rsid w:val="00E269D1"/>
    <w:rsid w:val="00E26C03"/>
    <w:rsid w:val="00E26CDF"/>
    <w:rsid w:val="00E27763"/>
    <w:rsid w:val="00E27D34"/>
    <w:rsid w:val="00E307B5"/>
    <w:rsid w:val="00E30A6F"/>
    <w:rsid w:val="00E30C61"/>
    <w:rsid w:val="00E30F62"/>
    <w:rsid w:val="00E30F75"/>
    <w:rsid w:val="00E31725"/>
    <w:rsid w:val="00E318E6"/>
    <w:rsid w:val="00E3199F"/>
    <w:rsid w:val="00E319A3"/>
    <w:rsid w:val="00E31AF9"/>
    <w:rsid w:val="00E31B50"/>
    <w:rsid w:val="00E32294"/>
    <w:rsid w:val="00E32699"/>
    <w:rsid w:val="00E327CC"/>
    <w:rsid w:val="00E32E2C"/>
    <w:rsid w:val="00E33140"/>
    <w:rsid w:val="00E333D8"/>
    <w:rsid w:val="00E336F1"/>
    <w:rsid w:val="00E33BD8"/>
    <w:rsid w:val="00E33C8A"/>
    <w:rsid w:val="00E33E29"/>
    <w:rsid w:val="00E33F61"/>
    <w:rsid w:val="00E34480"/>
    <w:rsid w:val="00E34E25"/>
    <w:rsid w:val="00E35484"/>
    <w:rsid w:val="00E36708"/>
    <w:rsid w:val="00E36723"/>
    <w:rsid w:val="00E36B77"/>
    <w:rsid w:val="00E36F20"/>
    <w:rsid w:val="00E37307"/>
    <w:rsid w:val="00E37A4F"/>
    <w:rsid w:val="00E37D9F"/>
    <w:rsid w:val="00E37DEB"/>
    <w:rsid w:val="00E37EDB"/>
    <w:rsid w:val="00E40630"/>
    <w:rsid w:val="00E407DE"/>
    <w:rsid w:val="00E40A22"/>
    <w:rsid w:val="00E40CEE"/>
    <w:rsid w:val="00E40DAD"/>
    <w:rsid w:val="00E415EA"/>
    <w:rsid w:val="00E4167D"/>
    <w:rsid w:val="00E41853"/>
    <w:rsid w:val="00E418FF"/>
    <w:rsid w:val="00E41923"/>
    <w:rsid w:val="00E426CA"/>
    <w:rsid w:val="00E42757"/>
    <w:rsid w:val="00E42AC8"/>
    <w:rsid w:val="00E42B53"/>
    <w:rsid w:val="00E42BB6"/>
    <w:rsid w:val="00E42CB4"/>
    <w:rsid w:val="00E42FD6"/>
    <w:rsid w:val="00E43074"/>
    <w:rsid w:val="00E43FB3"/>
    <w:rsid w:val="00E445FC"/>
    <w:rsid w:val="00E44A7C"/>
    <w:rsid w:val="00E44EE9"/>
    <w:rsid w:val="00E44F95"/>
    <w:rsid w:val="00E45721"/>
    <w:rsid w:val="00E457B0"/>
    <w:rsid w:val="00E45B61"/>
    <w:rsid w:val="00E45BBC"/>
    <w:rsid w:val="00E45DA8"/>
    <w:rsid w:val="00E45E04"/>
    <w:rsid w:val="00E46574"/>
    <w:rsid w:val="00E465AD"/>
    <w:rsid w:val="00E46AC9"/>
    <w:rsid w:val="00E46E6E"/>
    <w:rsid w:val="00E47CE8"/>
    <w:rsid w:val="00E50071"/>
    <w:rsid w:val="00E50651"/>
    <w:rsid w:val="00E50A0E"/>
    <w:rsid w:val="00E50B5D"/>
    <w:rsid w:val="00E50DB2"/>
    <w:rsid w:val="00E512FB"/>
    <w:rsid w:val="00E514C6"/>
    <w:rsid w:val="00E521D8"/>
    <w:rsid w:val="00E522B2"/>
    <w:rsid w:val="00E529C3"/>
    <w:rsid w:val="00E52B68"/>
    <w:rsid w:val="00E5340D"/>
    <w:rsid w:val="00E5363B"/>
    <w:rsid w:val="00E539DD"/>
    <w:rsid w:val="00E53BB5"/>
    <w:rsid w:val="00E53DDA"/>
    <w:rsid w:val="00E54169"/>
    <w:rsid w:val="00E543E0"/>
    <w:rsid w:val="00E545C6"/>
    <w:rsid w:val="00E54A55"/>
    <w:rsid w:val="00E54AAC"/>
    <w:rsid w:val="00E5576B"/>
    <w:rsid w:val="00E5595E"/>
    <w:rsid w:val="00E55AB6"/>
    <w:rsid w:val="00E55AF7"/>
    <w:rsid w:val="00E55E9A"/>
    <w:rsid w:val="00E55F17"/>
    <w:rsid w:val="00E56F6A"/>
    <w:rsid w:val="00E57056"/>
    <w:rsid w:val="00E5764A"/>
    <w:rsid w:val="00E57777"/>
    <w:rsid w:val="00E5793B"/>
    <w:rsid w:val="00E57B75"/>
    <w:rsid w:val="00E57D64"/>
    <w:rsid w:val="00E57E87"/>
    <w:rsid w:val="00E60BF9"/>
    <w:rsid w:val="00E60CDD"/>
    <w:rsid w:val="00E60CF7"/>
    <w:rsid w:val="00E60DDF"/>
    <w:rsid w:val="00E61BEC"/>
    <w:rsid w:val="00E622C3"/>
    <w:rsid w:val="00E6250E"/>
    <w:rsid w:val="00E625CD"/>
    <w:rsid w:val="00E62A0F"/>
    <w:rsid w:val="00E62BE9"/>
    <w:rsid w:val="00E632BF"/>
    <w:rsid w:val="00E640D4"/>
    <w:rsid w:val="00E6453A"/>
    <w:rsid w:val="00E648C7"/>
    <w:rsid w:val="00E649E0"/>
    <w:rsid w:val="00E64D22"/>
    <w:rsid w:val="00E64DDF"/>
    <w:rsid w:val="00E6503E"/>
    <w:rsid w:val="00E650AC"/>
    <w:rsid w:val="00E6550F"/>
    <w:rsid w:val="00E65BB4"/>
    <w:rsid w:val="00E65C6C"/>
    <w:rsid w:val="00E66931"/>
    <w:rsid w:val="00E66F88"/>
    <w:rsid w:val="00E67342"/>
    <w:rsid w:val="00E67616"/>
    <w:rsid w:val="00E67853"/>
    <w:rsid w:val="00E67ADA"/>
    <w:rsid w:val="00E67B81"/>
    <w:rsid w:val="00E67D2A"/>
    <w:rsid w:val="00E70378"/>
    <w:rsid w:val="00E705CC"/>
    <w:rsid w:val="00E7099A"/>
    <w:rsid w:val="00E70B71"/>
    <w:rsid w:val="00E70DED"/>
    <w:rsid w:val="00E7118C"/>
    <w:rsid w:val="00E71220"/>
    <w:rsid w:val="00E71602"/>
    <w:rsid w:val="00E718C9"/>
    <w:rsid w:val="00E71AC8"/>
    <w:rsid w:val="00E71B05"/>
    <w:rsid w:val="00E72346"/>
    <w:rsid w:val="00E7244E"/>
    <w:rsid w:val="00E727D2"/>
    <w:rsid w:val="00E73258"/>
    <w:rsid w:val="00E73627"/>
    <w:rsid w:val="00E73768"/>
    <w:rsid w:val="00E73A5D"/>
    <w:rsid w:val="00E7461D"/>
    <w:rsid w:val="00E747AC"/>
    <w:rsid w:val="00E74B50"/>
    <w:rsid w:val="00E754E4"/>
    <w:rsid w:val="00E7583A"/>
    <w:rsid w:val="00E75D52"/>
    <w:rsid w:val="00E77038"/>
    <w:rsid w:val="00E77C00"/>
    <w:rsid w:val="00E77EB8"/>
    <w:rsid w:val="00E77F0A"/>
    <w:rsid w:val="00E800ED"/>
    <w:rsid w:val="00E80590"/>
    <w:rsid w:val="00E8072F"/>
    <w:rsid w:val="00E80D20"/>
    <w:rsid w:val="00E811DB"/>
    <w:rsid w:val="00E8171D"/>
    <w:rsid w:val="00E81877"/>
    <w:rsid w:val="00E81BA8"/>
    <w:rsid w:val="00E8212C"/>
    <w:rsid w:val="00E822D9"/>
    <w:rsid w:val="00E823AB"/>
    <w:rsid w:val="00E82E5B"/>
    <w:rsid w:val="00E83209"/>
    <w:rsid w:val="00E835B4"/>
    <w:rsid w:val="00E836B2"/>
    <w:rsid w:val="00E83949"/>
    <w:rsid w:val="00E83BFB"/>
    <w:rsid w:val="00E83CFD"/>
    <w:rsid w:val="00E83E67"/>
    <w:rsid w:val="00E84598"/>
    <w:rsid w:val="00E848C5"/>
    <w:rsid w:val="00E84D35"/>
    <w:rsid w:val="00E84EF4"/>
    <w:rsid w:val="00E84FAC"/>
    <w:rsid w:val="00E852CF"/>
    <w:rsid w:val="00E8565A"/>
    <w:rsid w:val="00E85675"/>
    <w:rsid w:val="00E85EE6"/>
    <w:rsid w:val="00E86939"/>
    <w:rsid w:val="00E86C3F"/>
    <w:rsid w:val="00E86CA8"/>
    <w:rsid w:val="00E8766F"/>
    <w:rsid w:val="00E87F6A"/>
    <w:rsid w:val="00E90156"/>
    <w:rsid w:val="00E9042B"/>
    <w:rsid w:val="00E905F3"/>
    <w:rsid w:val="00E909D4"/>
    <w:rsid w:val="00E90E1D"/>
    <w:rsid w:val="00E91032"/>
    <w:rsid w:val="00E9112C"/>
    <w:rsid w:val="00E9136C"/>
    <w:rsid w:val="00E9149B"/>
    <w:rsid w:val="00E918B9"/>
    <w:rsid w:val="00E91DEC"/>
    <w:rsid w:val="00E91E40"/>
    <w:rsid w:val="00E92BB9"/>
    <w:rsid w:val="00E92BC1"/>
    <w:rsid w:val="00E92C0F"/>
    <w:rsid w:val="00E92C24"/>
    <w:rsid w:val="00E93069"/>
    <w:rsid w:val="00E934BF"/>
    <w:rsid w:val="00E93772"/>
    <w:rsid w:val="00E939E9"/>
    <w:rsid w:val="00E94187"/>
    <w:rsid w:val="00E9447C"/>
    <w:rsid w:val="00E94CC7"/>
    <w:rsid w:val="00E94D73"/>
    <w:rsid w:val="00E9503B"/>
    <w:rsid w:val="00E9535E"/>
    <w:rsid w:val="00E95695"/>
    <w:rsid w:val="00E95C7C"/>
    <w:rsid w:val="00E96351"/>
    <w:rsid w:val="00E9658E"/>
    <w:rsid w:val="00E9681B"/>
    <w:rsid w:val="00E96B58"/>
    <w:rsid w:val="00E96E5B"/>
    <w:rsid w:val="00E97754"/>
    <w:rsid w:val="00E97AC6"/>
    <w:rsid w:val="00E97BD4"/>
    <w:rsid w:val="00EA0135"/>
    <w:rsid w:val="00EA05D5"/>
    <w:rsid w:val="00EA09E5"/>
    <w:rsid w:val="00EA0A5B"/>
    <w:rsid w:val="00EA10A5"/>
    <w:rsid w:val="00EA17B6"/>
    <w:rsid w:val="00EA18F1"/>
    <w:rsid w:val="00EA1945"/>
    <w:rsid w:val="00EA1B17"/>
    <w:rsid w:val="00EA1DBB"/>
    <w:rsid w:val="00EA1E33"/>
    <w:rsid w:val="00EA1E84"/>
    <w:rsid w:val="00EA25FF"/>
    <w:rsid w:val="00EA27AB"/>
    <w:rsid w:val="00EA2AC6"/>
    <w:rsid w:val="00EA2B9F"/>
    <w:rsid w:val="00EA348D"/>
    <w:rsid w:val="00EA35C4"/>
    <w:rsid w:val="00EA3606"/>
    <w:rsid w:val="00EA369E"/>
    <w:rsid w:val="00EA38C5"/>
    <w:rsid w:val="00EA3A34"/>
    <w:rsid w:val="00EA4424"/>
    <w:rsid w:val="00EA4475"/>
    <w:rsid w:val="00EA4B34"/>
    <w:rsid w:val="00EA5772"/>
    <w:rsid w:val="00EA5C88"/>
    <w:rsid w:val="00EA619E"/>
    <w:rsid w:val="00EA68A4"/>
    <w:rsid w:val="00EA7284"/>
    <w:rsid w:val="00EA78A2"/>
    <w:rsid w:val="00EA7960"/>
    <w:rsid w:val="00EA7C4C"/>
    <w:rsid w:val="00EA7D9E"/>
    <w:rsid w:val="00EB0CC9"/>
    <w:rsid w:val="00EB0CDC"/>
    <w:rsid w:val="00EB0D9A"/>
    <w:rsid w:val="00EB0DC3"/>
    <w:rsid w:val="00EB1098"/>
    <w:rsid w:val="00EB1330"/>
    <w:rsid w:val="00EB1B98"/>
    <w:rsid w:val="00EB2188"/>
    <w:rsid w:val="00EB23AE"/>
    <w:rsid w:val="00EB2B75"/>
    <w:rsid w:val="00EB2E0F"/>
    <w:rsid w:val="00EB2F03"/>
    <w:rsid w:val="00EB2F9D"/>
    <w:rsid w:val="00EB30F3"/>
    <w:rsid w:val="00EB3135"/>
    <w:rsid w:val="00EB349D"/>
    <w:rsid w:val="00EB45A7"/>
    <w:rsid w:val="00EB4683"/>
    <w:rsid w:val="00EB4FB8"/>
    <w:rsid w:val="00EB5111"/>
    <w:rsid w:val="00EB543F"/>
    <w:rsid w:val="00EB56B1"/>
    <w:rsid w:val="00EB5A30"/>
    <w:rsid w:val="00EB5BAE"/>
    <w:rsid w:val="00EB5CF1"/>
    <w:rsid w:val="00EB5F3F"/>
    <w:rsid w:val="00EB68F8"/>
    <w:rsid w:val="00EB6A6A"/>
    <w:rsid w:val="00EB6FF2"/>
    <w:rsid w:val="00EB7EFF"/>
    <w:rsid w:val="00EB7F43"/>
    <w:rsid w:val="00EC0A5C"/>
    <w:rsid w:val="00EC105F"/>
    <w:rsid w:val="00EC1269"/>
    <w:rsid w:val="00EC1675"/>
    <w:rsid w:val="00EC18E6"/>
    <w:rsid w:val="00EC243C"/>
    <w:rsid w:val="00EC25D8"/>
    <w:rsid w:val="00EC2844"/>
    <w:rsid w:val="00EC2929"/>
    <w:rsid w:val="00EC2A27"/>
    <w:rsid w:val="00EC33FA"/>
    <w:rsid w:val="00EC36C5"/>
    <w:rsid w:val="00EC3B8D"/>
    <w:rsid w:val="00EC3F4B"/>
    <w:rsid w:val="00EC4379"/>
    <w:rsid w:val="00EC442A"/>
    <w:rsid w:val="00EC458C"/>
    <w:rsid w:val="00EC47A6"/>
    <w:rsid w:val="00EC4C93"/>
    <w:rsid w:val="00EC5988"/>
    <w:rsid w:val="00EC5CF9"/>
    <w:rsid w:val="00EC5EB6"/>
    <w:rsid w:val="00EC5F1F"/>
    <w:rsid w:val="00EC6474"/>
    <w:rsid w:val="00EC6530"/>
    <w:rsid w:val="00EC6B6B"/>
    <w:rsid w:val="00EC6BC1"/>
    <w:rsid w:val="00EC6C26"/>
    <w:rsid w:val="00EC6F12"/>
    <w:rsid w:val="00EC7257"/>
    <w:rsid w:val="00EC7329"/>
    <w:rsid w:val="00EC7C45"/>
    <w:rsid w:val="00ED0342"/>
    <w:rsid w:val="00ED050A"/>
    <w:rsid w:val="00ED0759"/>
    <w:rsid w:val="00ED10DF"/>
    <w:rsid w:val="00ED1239"/>
    <w:rsid w:val="00ED1806"/>
    <w:rsid w:val="00ED2193"/>
    <w:rsid w:val="00ED3125"/>
    <w:rsid w:val="00ED31E8"/>
    <w:rsid w:val="00ED372A"/>
    <w:rsid w:val="00ED383D"/>
    <w:rsid w:val="00ED42B5"/>
    <w:rsid w:val="00ED44A3"/>
    <w:rsid w:val="00ED4814"/>
    <w:rsid w:val="00ED50DE"/>
    <w:rsid w:val="00ED53EB"/>
    <w:rsid w:val="00ED5637"/>
    <w:rsid w:val="00ED5C72"/>
    <w:rsid w:val="00ED5DFB"/>
    <w:rsid w:val="00ED5EA8"/>
    <w:rsid w:val="00ED7034"/>
    <w:rsid w:val="00ED7106"/>
    <w:rsid w:val="00ED71F7"/>
    <w:rsid w:val="00ED74A5"/>
    <w:rsid w:val="00ED7570"/>
    <w:rsid w:val="00ED759E"/>
    <w:rsid w:val="00ED75A9"/>
    <w:rsid w:val="00ED7EEA"/>
    <w:rsid w:val="00EE01DB"/>
    <w:rsid w:val="00EE039E"/>
    <w:rsid w:val="00EE0439"/>
    <w:rsid w:val="00EE0619"/>
    <w:rsid w:val="00EE0950"/>
    <w:rsid w:val="00EE0A56"/>
    <w:rsid w:val="00EE0AD6"/>
    <w:rsid w:val="00EE0B85"/>
    <w:rsid w:val="00EE0BAC"/>
    <w:rsid w:val="00EE1B6B"/>
    <w:rsid w:val="00EE1DA3"/>
    <w:rsid w:val="00EE252D"/>
    <w:rsid w:val="00EE2DDA"/>
    <w:rsid w:val="00EE2E1D"/>
    <w:rsid w:val="00EE300F"/>
    <w:rsid w:val="00EE3199"/>
    <w:rsid w:val="00EE3B57"/>
    <w:rsid w:val="00EE3E09"/>
    <w:rsid w:val="00EE4103"/>
    <w:rsid w:val="00EE42C3"/>
    <w:rsid w:val="00EE450B"/>
    <w:rsid w:val="00EE4707"/>
    <w:rsid w:val="00EE487A"/>
    <w:rsid w:val="00EE4DB1"/>
    <w:rsid w:val="00EE520D"/>
    <w:rsid w:val="00EE5434"/>
    <w:rsid w:val="00EE5AC7"/>
    <w:rsid w:val="00EE6137"/>
    <w:rsid w:val="00EE634C"/>
    <w:rsid w:val="00EE674B"/>
    <w:rsid w:val="00EE71C8"/>
    <w:rsid w:val="00EE737F"/>
    <w:rsid w:val="00EE767B"/>
    <w:rsid w:val="00EE767E"/>
    <w:rsid w:val="00EE76ED"/>
    <w:rsid w:val="00EE7727"/>
    <w:rsid w:val="00EE7B24"/>
    <w:rsid w:val="00EF0013"/>
    <w:rsid w:val="00EF0BC9"/>
    <w:rsid w:val="00EF0DF2"/>
    <w:rsid w:val="00EF11D4"/>
    <w:rsid w:val="00EF1526"/>
    <w:rsid w:val="00EF2092"/>
    <w:rsid w:val="00EF29FE"/>
    <w:rsid w:val="00EF2F49"/>
    <w:rsid w:val="00EF310B"/>
    <w:rsid w:val="00EF399E"/>
    <w:rsid w:val="00EF3A75"/>
    <w:rsid w:val="00EF3D0C"/>
    <w:rsid w:val="00EF450D"/>
    <w:rsid w:val="00EF45D7"/>
    <w:rsid w:val="00EF4611"/>
    <w:rsid w:val="00EF47C3"/>
    <w:rsid w:val="00EF48BC"/>
    <w:rsid w:val="00EF4967"/>
    <w:rsid w:val="00EF4B4A"/>
    <w:rsid w:val="00EF541C"/>
    <w:rsid w:val="00EF5484"/>
    <w:rsid w:val="00EF5A9C"/>
    <w:rsid w:val="00EF5C74"/>
    <w:rsid w:val="00EF5D21"/>
    <w:rsid w:val="00EF6BEE"/>
    <w:rsid w:val="00EF6D17"/>
    <w:rsid w:val="00EF6FB7"/>
    <w:rsid w:val="00EF6FC3"/>
    <w:rsid w:val="00EF71BD"/>
    <w:rsid w:val="00EF72CB"/>
    <w:rsid w:val="00EF736B"/>
    <w:rsid w:val="00EF74A5"/>
    <w:rsid w:val="00EF7AA8"/>
    <w:rsid w:val="00F0039A"/>
    <w:rsid w:val="00F006F2"/>
    <w:rsid w:val="00F008B6"/>
    <w:rsid w:val="00F0093A"/>
    <w:rsid w:val="00F00CD6"/>
    <w:rsid w:val="00F00F8C"/>
    <w:rsid w:val="00F01233"/>
    <w:rsid w:val="00F017E4"/>
    <w:rsid w:val="00F01F50"/>
    <w:rsid w:val="00F02370"/>
    <w:rsid w:val="00F02871"/>
    <w:rsid w:val="00F029BA"/>
    <w:rsid w:val="00F02AC7"/>
    <w:rsid w:val="00F02C83"/>
    <w:rsid w:val="00F02F62"/>
    <w:rsid w:val="00F0301F"/>
    <w:rsid w:val="00F032DC"/>
    <w:rsid w:val="00F03DFF"/>
    <w:rsid w:val="00F03E8D"/>
    <w:rsid w:val="00F0422A"/>
    <w:rsid w:val="00F0433E"/>
    <w:rsid w:val="00F0446D"/>
    <w:rsid w:val="00F049F3"/>
    <w:rsid w:val="00F04AF2"/>
    <w:rsid w:val="00F04E85"/>
    <w:rsid w:val="00F04EE0"/>
    <w:rsid w:val="00F050AF"/>
    <w:rsid w:val="00F05C75"/>
    <w:rsid w:val="00F05E9D"/>
    <w:rsid w:val="00F066D7"/>
    <w:rsid w:val="00F0681C"/>
    <w:rsid w:val="00F06B37"/>
    <w:rsid w:val="00F06CD6"/>
    <w:rsid w:val="00F06DF9"/>
    <w:rsid w:val="00F06F69"/>
    <w:rsid w:val="00F06F97"/>
    <w:rsid w:val="00F07174"/>
    <w:rsid w:val="00F0728D"/>
    <w:rsid w:val="00F07843"/>
    <w:rsid w:val="00F07F57"/>
    <w:rsid w:val="00F10131"/>
    <w:rsid w:val="00F107B8"/>
    <w:rsid w:val="00F10BFD"/>
    <w:rsid w:val="00F10D66"/>
    <w:rsid w:val="00F10FBB"/>
    <w:rsid w:val="00F112BC"/>
    <w:rsid w:val="00F1166E"/>
    <w:rsid w:val="00F11EC8"/>
    <w:rsid w:val="00F12084"/>
    <w:rsid w:val="00F12702"/>
    <w:rsid w:val="00F128CE"/>
    <w:rsid w:val="00F12C6F"/>
    <w:rsid w:val="00F1319A"/>
    <w:rsid w:val="00F13286"/>
    <w:rsid w:val="00F13C9D"/>
    <w:rsid w:val="00F1478E"/>
    <w:rsid w:val="00F14A28"/>
    <w:rsid w:val="00F14A98"/>
    <w:rsid w:val="00F14C76"/>
    <w:rsid w:val="00F14CBB"/>
    <w:rsid w:val="00F15510"/>
    <w:rsid w:val="00F15596"/>
    <w:rsid w:val="00F1578A"/>
    <w:rsid w:val="00F15AD5"/>
    <w:rsid w:val="00F15F0F"/>
    <w:rsid w:val="00F161E1"/>
    <w:rsid w:val="00F1621C"/>
    <w:rsid w:val="00F164D6"/>
    <w:rsid w:val="00F16BFF"/>
    <w:rsid w:val="00F17518"/>
    <w:rsid w:val="00F17663"/>
    <w:rsid w:val="00F17E92"/>
    <w:rsid w:val="00F20241"/>
    <w:rsid w:val="00F20D01"/>
    <w:rsid w:val="00F21296"/>
    <w:rsid w:val="00F21486"/>
    <w:rsid w:val="00F217FD"/>
    <w:rsid w:val="00F21906"/>
    <w:rsid w:val="00F2193C"/>
    <w:rsid w:val="00F21E9D"/>
    <w:rsid w:val="00F22117"/>
    <w:rsid w:val="00F221BC"/>
    <w:rsid w:val="00F2235F"/>
    <w:rsid w:val="00F22726"/>
    <w:rsid w:val="00F228E8"/>
    <w:rsid w:val="00F22D56"/>
    <w:rsid w:val="00F23340"/>
    <w:rsid w:val="00F23397"/>
    <w:rsid w:val="00F2356E"/>
    <w:rsid w:val="00F23B36"/>
    <w:rsid w:val="00F23D17"/>
    <w:rsid w:val="00F2482F"/>
    <w:rsid w:val="00F24E5E"/>
    <w:rsid w:val="00F25323"/>
    <w:rsid w:val="00F2554E"/>
    <w:rsid w:val="00F25BC2"/>
    <w:rsid w:val="00F2604A"/>
    <w:rsid w:val="00F262B0"/>
    <w:rsid w:val="00F26501"/>
    <w:rsid w:val="00F265E6"/>
    <w:rsid w:val="00F26675"/>
    <w:rsid w:val="00F2709B"/>
    <w:rsid w:val="00F27238"/>
    <w:rsid w:val="00F2765F"/>
    <w:rsid w:val="00F27875"/>
    <w:rsid w:val="00F279CE"/>
    <w:rsid w:val="00F301ED"/>
    <w:rsid w:val="00F302FE"/>
    <w:rsid w:val="00F303E3"/>
    <w:rsid w:val="00F30D13"/>
    <w:rsid w:val="00F30E8A"/>
    <w:rsid w:val="00F30F77"/>
    <w:rsid w:val="00F31123"/>
    <w:rsid w:val="00F3147C"/>
    <w:rsid w:val="00F320F1"/>
    <w:rsid w:val="00F3226F"/>
    <w:rsid w:val="00F32DAB"/>
    <w:rsid w:val="00F33051"/>
    <w:rsid w:val="00F33233"/>
    <w:rsid w:val="00F3371B"/>
    <w:rsid w:val="00F33744"/>
    <w:rsid w:val="00F33B90"/>
    <w:rsid w:val="00F33F0C"/>
    <w:rsid w:val="00F3431C"/>
    <w:rsid w:val="00F35567"/>
    <w:rsid w:val="00F35D62"/>
    <w:rsid w:val="00F36097"/>
    <w:rsid w:val="00F360ED"/>
    <w:rsid w:val="00F36151"/>
    <w:rsid w:val="00F36421"/>
    <w:rsid w:val="00F3664C"/>
    <w:rsid w:val="00F366E4"/>
    <w:rsid w:val="00F36826"/>
    <w:rsid w:val="00F36AF3"/>
    <w:rsid w:val="00F37149"/>
    <w:rsid w:val="00F3745C"/>
    <w:rsid w:val="00F3748B"/>
    <w:rsid w:val="00F37B45"/>
    <w:rsid w:val="00F37C4B"/>
    <w:rsid w:val="00F400D4"/>
    <w:rsid w:val="00F40220"/>
    <w:rsid w:val="00F4046C"/>
    <w:rsid w:val="00F406F8"/>
    <w:rsid w:val="00F4077C"/>
    <w:rsid w:val="00F40D4A"/>
    <w:rsid w:val="00F40F3E"/>
    <w:rsid w:val="00F416A5"/>
    <w:rsid w:val="00F41BD5"/>
    <w:rsid w:val="00F41FAA"/>
    <w:rsid w:val="00F42366"/>
    <w:rsid w:val="00F42C90"/>
    <w:rsid w:val="00F42F9A"/>
    <w:rsid w:val="00F43361"/>
    <w:rsid w:val="00F43508"/>
    <w:rsid w:val="00F43679"/>
    <w:rsid w:val="00F43826"/>
    <w:rsid w:val="00F43E2B"/>
    <w:rsid w:val="00F43EE4"/>
    <w:rsid w:val="00F43F8B"/>
    <w:rsid w:val="00F442B1"/>
    <w:rsid w:val="00F44467"/>
    <w:rsid w:val="00F44806"/>
    <w:rsid w:val="00F44AA0"/>
    <w:rsid w:val="00F44C34"/>
    <w:rsid w:val="00F45303"/>
    <w:rsid w:val="00F456A8"/>
    <w:rsid w:val="00F459E9"/>
    <w:rsid w:val="00F45BD1"/>
    <w:rsid w:val="00F45C32"/>
    <w:rsid w:val="00F45CE2"/>
    <w:rsid w:val="00F45D39"/>
    <w:rsid w:val="00F46283"/>
    <w:rsid w:val="00F4637F"/>
    <w:rsid w:val="00F46506"/>
    <w:rsid w:val="00F46726"/>
    <w:rsid w:val="00F4689B"/>
    <w:rsid w:val="00F46B54"/>
    <w:rsid w:val="00F46E96"/>
    <w:rsid w:val="00F472F6"/>
    <w:rsid w:val="00F475EE"/>
    <w:rsid w:val="00F4760C"/>
    <w:rsid w:val="00F47660"/>
    <w:rsid w:val="00F4777D"/>
    <w:rsid w:val="00F47A2C"/>
    <w:rsid w:val="00F5009E"/>
    <w:rsid w:val="00F50478"/>
    <w:rsid w:val="00F508C1"/>
    <w:rsid w:val="00F50F36"/>
    <w:rsid w:val="00F512C3"/>
    <w:rsid w:val="00F5138E"/>
    <w:rsid w:val="00F517FD"/>
    <w:rsid w:val="00F51B4E"/>
    <w:rsid w:val="00F51E29"/>
    <w:rsid w:val="00F5204E"/>
    <w:rsid w:val="00F52181"/>
    <w:rsid w:val="00F529AD"/>
    <w:rsid w:val="00F529BF"/>
    <w:rsid w:val="00F53903"/>
    <w:rsid w:val="00F53C64"/>
    <w:rsid w:val="00F53DDB"/>
    <w:rsid w:val="00F5409B"/>
    <w:rsid w:val="00F545FE"/>
    <w:rsid w:val="00F54874"/>
    <w:rsid w:val="00F54942"/>
    <w:rsid w:val="00F54AF1"/>
    <w:rsid w:val="00F54EFC"/>
    <w:rsid w:val="00F55209"/>
    <w:rsid w:val="00F55344"/>
    <w:rsid w:val="00F55C12"/>
    <w:rsid w:val="00F55EC6"/>
    <w:rsid w:val="00F55FF7"/>
    <w:rsid w:val="00F56754"/>
    <w:rsid w:val="00F56AF3"/>
    <w:rsid w:val="00F56D12"/>
    <w:rsid w:val="00F56DD4"/>
    <w:rsid w:val="00F56DFE"/>
    <w:rsid w:val="00F571F2"/>
    <w:rsid w:val="00F574A1"/>
    <w:rsid w:val="00F57B24"/>
    <w:rsid w:val="00F602AB"/>
    <w:rsid w:val="00F603CA"/>
    <w:rsid w:val="00F60852"/>
    <w:rsid w:val="00F60903"/>
    <w:rsid w:val="00F60E89"/>
    <w:rsid w:val="00F61EE4"/>
    <w:rsid w:val="00F626F1"/>
    <w:rsid w:val="00F6318B"/>
    <w:rsid w:val="00F6377A"/>
    <w:rsid w:val="00F63BDB"/>
    <w:rsid w:val="00F642F0"/>
    <w:rsid w:val="00F64703"/>
    <w:rsid w:val="00F647C9"/>
    <w:rsid w:val="00F647E7"/>
    <w:rsid w:val="00F64B4C"/>
    <w:rsid w:val="00F64E64"/>
    <w:rsid w:val="00F6615C"/>
    <w:rsid w:val="00F668DF"/>
    <w:rsid w:val="00F66B2E"/>
    <w:rsid w:val="00F67A7B"/>
    <w:rsid w:val="00F67D61"/>
    <w:rsid w:val="00F700D7"/>
    <w:rsid w:val="00F70486"/>
    <w:rsid w:val="00F7080E"/>
    <w:rsid w:val="00F70862"/>
    <w:rsid w:val="00F70885"/>
    <w:rsid w:val="00F70B38"/>
    <w:rsid w:val="00F70F8D"/>
    <w:rsid w:val="00F710A1"/>
    <w:rsid w:val="00F7121D"/>
    <w:rsid w:val="00F712B8"/>
    <w:rsid w:val="00F7139E"/>
    <w:rsid w:val="00F7144B"/>
    <w:rsid w:val="00F71693"/>
    <w:rsid w:val="00F718A1"/>
    <w:rsid w:val="00F722D9"/>
    <w:rsid w:val="00F722FC"/>
    <w:rsid w:val="00F7273B"/>
    <w:rsid w:val="00F72744"/>
    <w:rsid w:val="00F73201"/>
    <w:rsid w:val="00F733D8"/>
    <w:rsid w:val="00F73505"/>
    <w:rsid w:val="00F735CD"/>
    <w:rsid w:val="00F736EB"/>
    <w:rsid w:val="00F73C3D"/>
    <w:rsid w:val="00F73CB4"/>
    <w:rsid w:val="00F73E18"/>
    <w:rsid w:val="00F74231"/>
    <w:rsid w:val="00F7437E"/>
    <w:rsid w:val="00F7438A"/>
    <w:rsid w:val="00F746AF"/>
    <w:rsid w:val="00F746FB"/>
    <w:rsid w:val="00F748FD"/>
    <w:rsid w:val="00F74B88"/>
    <w:rsid w:val="00F74F5C"/>
    <w:rsid w:val="00F751FD"/>
    <w:rsid w:val="00F75D5E"/>
    <w:rsid w:val="00F75F63"/>
    <w:rsid w:val="00F7606B"/>
    <w:rsid w:val="00F7635D"/>
    <w:rsid w:val="00F7637D"/>
    <w:rsid w:val="00F763F3"/>
    <w:rsid w:val="00F7691F"/>
    <w:rsid w:val="00F772D0"/>
    <w:rsid w:val="00F77630"/>
    <w:rsid w:val="00F779BA"/>
    <w:rsid w:val="00F77A1B"/>
    <w:rsid w:val="00F77C4D"/>
    <w:rsid w:val="00F77F4A"/>
    <w:rsid w:val="00F807C9"/>
    <w:rsid w:val="00F80B9E"/>
    <w:rsid w:val="00F80F70"/>
    <w:rsid w:val="00F812FB"/>
    <w:rsid w:val="00F813BA"/>
    <w:rsid w:val="00F81E30"/>
    <w:rsid w:val="00F821B2"/>
    <w:rsid w:val="00F82630"/>
    <w:rsid w:val="00F826E5"/>
    <w:rsid w:val="00F82C75"/>
    <w:rsid w:val="00F8347D"/>
    <w:rsid w:val="00F838EB"/>
    <w:rsid w:val="00F83A8A"/>
    <w:rsid w:val="00F83CC3"/>
    <w:rsid w:val="00F83F45"/>
    <w:rsid w:val="00F83FBE"/>
    <w:rsid w:val="00F847EA"/>
    <w:rsid w:val="00F848EF"/>
    <w:rsid w:val="00F849E3"/>
    <w:rsid w:val="00F851CA"/>
    <w:rsid w:val="00F852BD"/>
    <w:rsid w:val="00F852F4"/>
    <w:rsid w:val="00F85662"/>
    <w:rsid w:val="00F85CCF"/>
    <w:rsid w:val="00F85F59"/>
    <w:rsid w:val="00F86526"/>
    <w:rsid w:val="00F866A0"/>
    <w:rsid w:val="00F866B1"/>
    <w:rsid w:val="00F8690F"/>
    <w:rsid w:val="00F870E3"/>
    <w:rsid w:val="00F874A9"/>
    <w:rsid w:val="00F877EA"/>
    <w:rsid w:val="00F87812"/>
    <w:rsid w:val="00F87F98"/>
    <w:rsid w:val="00F90A38"/>
    <w:rsid w:val="00F90B95"/>
    <w:rsid w:val="00F913CB"/>
    <w:rsid w:val="00F91465"/>
    <w:rsid w:val="00F91683"/>
    <w:rsid w:val="00F91719"/>
    <w:rsid w:val="00F91747"/>
    <w:rsid w:val="00F9187E"/>
    <w:rsid w:val="00F91A45"/>
    <w:rsid w:val="00F91D9A"/>
    <w:rsid w:val="00F91E3F"/>
    <w:rsid w:val="00F91E8A"/>
    <w:rsid w:val="00F922F5"/>
    <w:rsid w:val="00F9259F"/>
    <w:rsid w:val="00F92A0C"/>
    <w:rsid w:val="00F92BBE"/>
    <w:rsid w:val="00F92C73"/>
    <w:rsid w:val="00F92E27"/>
    <w:rsid w:val="00F92F24"/>
    <w:rsid w:val="00F93325"/>
    <w:rsid w:val="00F93EE5"/>
    <w:rsid w:val="00F94B6A"/>
    <w:rsid w:val="00F94B93"/>
    <w:rsid w:val="00F9523F"/>
    <w:rsid w:val="00F958E3"/>
    <w:rsid w:val="00F9596C"/>
    <w:rsid w:val="00F959DB"/>
    <w:rsid w:val="00F95C16"/>
    <w:rsid w:val="00F95F51"/>
    <w:rsid w:val="00F96290"/>
    <w:rsid w:val="00F968AC"/>
    <w:rsid w:val="00F968C9"/>
    <w:rsid w:val="00F96B30"/>
    <w:rsid w:val="00F96DF4"/>
    <w:rsid w:val="00F96FB5"/>
    <w:rsid w:val="00F971FC"/>
    <w:rsid w:val="00F974CE"/>
    <w:rsid w:val="00FA04FF"/>
    <w:rsid w:val="00FA0A3D"/>
    <w:rsid w:val="00FA106C"/>
    <w:rsid w:val="00FA12C0"/>
    <w:rsid w:val="00FA17DE"/>
    <w:rsid w:val="00FA1C96"/>
    <w:rsid w:val="00FA20B3"/>
    <w:rsid w:val="00FA2148"/>
    <w:rsid w:val="00FA2344"/>
    <w:rsid w:val="00FA2603"/>
    <w:rsid w:val="00FA2A61"/>
    <w:rsid w:val="00FA2A6E"/>
    <w:rsid w:val="00FA2DB9"/>
    <w:rsid w:val="00FA2E58"/>
    <w:rsid w:val="00FA331F"/>
    <w:rsid w:val="00FA3E1D"/>
    <w:rsid w:val="00FA46C1"/>
    <w:rsid w:val="00FA485F"/>
    <w:rsid w:val="00FA4B12"/>
    <w:rsid w:val="00FA4DD8"/>
    <w:rsid w:val="00FA4E1E"/>
    <w:rsid w:val="00FA5411"/>
    <w:rsid w:val="00FA54C8"/>
    <w:rsid w:val="00FA618C"/>
    <w:rsid w:val="00FA61D8"/>
    <w:rsid w:val="00FA6B30"/>
    <w:rsid w:val="00FA6B6A"/>
    <w:rsid w:val="00FA6DEA"/>
    <w:rsid w:val="00FA7140"/>
    <w:rsid w:val="00FA77A5"/>
    <w:rsid w:val="00FA787A"/>
    <w:rsid w:val="00FA7955"/>
    <w:rsid w:val="00FA7E79"/>
    <w:rsid w:val="00FB05E1"/>
    <w:rsid w:val="00FB0C6E"/>
    <w:rsid w:val="00FB125E"/>
    <w:rsid w:val="00FB150D"/>
    <w:rsid w:val="00FB165F"/>
    <w:rsid w:val="00FB1BAA"/>
    <w:rsid w:val="00FB20CD"/>
    <w:rsid w:val="00FB222A"/>
    <w:rsid w:val="00FB2541"/>
    <w:rsid w:val="00FB29F6"/>
    <w:rsid w:val="00FB2BA3"/>
    <w:rsid w:val="00FB2FD0"/>
    <w:rsid w:val="00FB33AC"/>
    <w:rsid w:val="00FB3400"/>
    <w:rsid w:val="00FB3509"/>
    <w:rsid w:val="00FB3688"/>
    <w:rsid w:val="00FB3D8A"/>
    <w:rsid w:val="00FB3E31"/>
    <w:rsid w:val="00FB43F0"/>
    <w:rsid w:val="00FB4913"/>
    <w:rsid w:val="00FB4EF8"/>
    <w:rsid w:val="00FB50A7"/>
    <w:rsid w:val="00FB5CF2"/>
    <w:rsid w:val="00FB5E10"/>
    <w:rsid w:val="00FB624E"/>
    <w:rsid w:val="00FB648A"/>
    <w:rsid w:val="00FB65F9"/>
    <w:rsid w:val="00FB6BC2"/>
    <w:rsid w:val="00FB6D52"/>
    <w:rsid w:val="00FB6DE2"/>
    <w:rsid w:val="00FB6F8A"/>
    <w:rsid w:val="00FB715E"/>
    <w:rsid w:val="00FB72E4"/>
    <w:rsid w:val="00FB73C0"/>
    <w:rsid w:val="00FB7784"/>
    <w:rsid w:val="00FB7BB1"/>
    <w:rsid w:val="00FB7F41"/>
    <w:rsid w:val="00FC0206"/>
    <w:rsid w:val="00FC0C72"/>
    <w:rsid w:val="00FC0D62"/>
    <w:rsid w:val="00FC0EB1"/>
    <w:rsid w:val="00FC1549"/>
    <w:rsid w:val="00FC1618"/>
    <w:rsid w:val="00FC18FD"/>
    <w:rsid w:val="00FC19B0"/>
    <w:rsid w:val="00FC1C79"/>
    <w:rsid w:val="00FC23DD"/>
    <w:rsid w:val="00FC2950"/>
    <w:rsid w:val="00FC330C"/>
    <w:rsid w:val="00FC37B9"/>
    <w:rsid w:val="00FC38B2"/>
    <w:rsid w:val="00FC3A49"/>
    <w:rsid w:val="00FC3B08"/>
    <w:rsid w:val="00FC3D4F"/>
    <w:rsid w:val="00FC42D3"/>
    <w:rsid w:val="00FC486B"/>
    <w:rsid w:val="00FC4C85"/>
    <w:rsid w:val="00FC520C"/>
    <w:rsid w:val="00FC534A"/>
    <w:rsid w:val="00FC54D5"/>
    <w:rsid w:val="00FC5540"/>
    <w:rsid w:val="00FC564A"/>
    <w:rsid w:val="00FC63EA"/>
    <w:rsid w:val="00FC6553"/>
    <w:rsid w:val="00FC6B4A"/>
    <w:rsid w:val="00FC6D1B"/>
    <w:rsid w:val="00FC7375"/>
    <w:rsid w:val="00FC74DA"/>
    <w:rsid w:val="00FC7C90"/>
    <w:rsid w:val="00FD009B"/>
    <w:rsid w:val="00FD0142"/>
    <w:rsid w:val="00FD0291"/>
    <w:rsid w:val="00FD04B7"/>
    <w:rsid w:val="00FD0851"/>
    <w:rsid w:val="00FD0ABC"/>
    <w:rsid w:val="00FD0E93"/>
    <w:rsid w:val="00FD0EBA"/>
    <w:rsid w:val="00FD0F48"/>
    <w:rsid w:val="00FD107E"/>
    <w:rsid w:val="00FD1C01"/>
    <w:rsid w:val="00FD1D87"/>
    <w:rsid w:val="00FD2F0A"/>
    <w:rsid w:val="00FD33B5"/>
    <w:rsid w:val="00FD33D9"/>
    <w:rsid w:val="00FD35CC"/>
    <w:rsid w:val="00FD3F5B"/>
    <w:rsid w:val="00FD4191"/>
    <w:rsid w:val="00FD4426"/>
    <w:rsid w:val="00FD447A"/>
    <w:rsid w:val="00FD46A6"/>
    <w:rsid w:val="00FD4887"/>
    <w:rsid w:val="00FD5010"/>
    <w:rsid w:val="00FD508A"/>
    <w:rsid w:val="00FD546D"/>
    <w:rsid w:val="00FD549B"/>
    <w:rsid w:val="00FD57C2"/>
    <w:rsid w:val="00FD5A4D"/>
    <w:rsid w:val="00FD5F8C"/>
    <w:rsid w:val="00FD6286"/>
    <w:rsid w:val="00FD629F"/>
    <w:rsid w:val="00FD6458"/>
    <w:rsid w:val="00FD645D"/>
    <w:rsid w:val="00FD68DC"/>
    <w:rsid w:val="00FD76C3"/>
    <w:rsid w:val="00FD7B72"/>
    <w:rsid w:val="00FE0459"/>
    <w:rsid w:val="00FE0679"/>
    <w:rsid w:val="00FE07ED"/>
    <w:rsid w:val="00FE0844"/>
    <w:rsid w:val="00FE0F1B"/>
    <w:rsid w:val="00FE1370"/>
    <w:rsid w:val="00FE14CF"/>
    <w:rsid w:val="00FE172D"/>
    <w:rsid w:val="00FE1985"/>
    <w:rsid w:val="00FE199C"/>
    <w:rsid w:val="00FE1BE6"/>
    <w:rsid w:val="00FE1E3E"/>
    <w:rsid w:val="00FE2142"/>
    <w:rsid w:val="00FE21D2"/>
    <w:rsid w:val="00FE2375"/>
    <w:rsid w:val="00FE2B13"/>
    <w:rsid w:val="00FE2C1B"/>
    <w:rsid w:val="00FE2C2F"/>
    <w:rsid w:val="00FE2CBB"/>
    <w:rsid w:val="00FE2CDF"/>
    <w:rsid w:val="00FE31EB"/>
    <w:rsid w:val="00FE3AC9"/>
    <w:rsid w:val="00FE3BF0"/>
    <w:rsid w:val="00FE4037"/>
    <w:rsid w:val="00FE45C0"/>
    <w:rsid w:val="00FE4640"/>
    <w:rsid w:val="00FE4ED1"/>
    <w:rsid w:val="00FE5244"/>
    <w:rsid w:val="00FE5979"/>
    <w:rsid w:val="00FE5ACA"/>
    <w:rsid w:val="00FE5C42"/>
    <w:rsid w:val="00FE5D19"/>
    <w:rsid w:val="00FE6189"/>
    <w:rsid w:val="00FE6ACB"/>
    <w:rsid w:val="00FE6B3B"/>
    <w:rsid w:val="00FE6C5B"/>
    <w:rsid w:val="00FE7129"/>
    <w:rsid w:val="00FE767F"/>
    <w:rsid w:val="00FE78FD"/>
    <w:rsid w:val="00FE7BCC"/>
    <w:rsid w:val="00FF022D"/>
    <w:rsid w:val="00FF028A"/>
    <w:rsid w:val="00FF03F3"/>
    <w:rsid w:val="00FF08AB"/>
    <w:rsid w:val="00FF0EE5"/>
    <w:rsid w:val="00FF10F0"/>
    <w:rsid w:val="00FF122A"/>
    <w:rsid w:val="00FF163B"/>
    <w:rsid w:val="00FF1869"/>
    <w:rsid w:val="00FF1D12"/>
    <w:rsid w:val="00FF1FCB"/>
    <w:rsid w:val="00FF2047"/>
    <w:rsid w:val="00FF26F6"/>
    <w:rsid w:val="00FF2C73"/>
    <w:rsid w:val="00FF31F9"/>
    <w:rsid w:val="00FF3610"/>
    <w:rsid w:val="00FF3859"/>
    <w:rsid w:val="00FF3BA1"/>
    <w:rsid w:val="00FF40A5"/>
    <w:rsid w:val="00FF433E"/>
    <w:rsid w:val="00FF4458"/>
    <w:rsid w:val="00FF4512"/>
    <w:rsid w:val="00FF4D52"/>
    <w:rsid w:val="00FF4F84"/>
    <w:rsid w:val="00FF55CD"/>
    <w:rsid w:val="00FF618D"/>
    <w:rsid w:val="00FF6388"/>
    <w:rsid w:val="00FF64BD"/>
    <w:rsid w:val="00FF6869"/>
    <w:rsid w:val="00FF6C1C"/>
    <w:rsid w:val="00FF6CB1"/>
    <w:rsid w:val="00FF6F11"/>
    <w:rsid w:val="00FF7537"/>
    <w:rsid w:val="00FF75EC"/>
    <w:rsid w:val="3EE71C2C"/>
    <w:rsid w:val="7F4D68A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B08391"/>
  <w15:docId w15:val="{00CDCC00-A166-4931-9E4B-EE2C077C8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宋体" w:eastAsia="宋体" w:hAnsi="宋体" w:cs="宋体"/>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uiPriority="9" w:unhideWhenUsed="1" w:qFormat="1"/>
    <w:lsdException w:name="heading 7" w:uiPriority="9" w:unhideWhenUsed="1" w:qFormat="1"/>
    <w:lsdException w:name="heading 8" w:semiHidden="1" w:unhideWhenUsed="1" w:qFormat="1"/>
    <w:lsdException w:name="heading 9" w:semiHidden="1" w:unhideWhenUsed="1"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unhideWhenUsed="1" w:qFormat="1"/>
    <w:lsdException w:name="endnote text" w:semiHidden="1" w:unhideWhenUsed="1" w:qFormat="1"/>
    <w:lsdException w:name="table of authorities" w:semiHidden="1" w:unhideWhenUsed="1"/>
    <w:lsdException w:name="macro" w:semiHidden="1" w:unhideWhenUsed="1"/>
    <w:lsdException w:name="toa heading" w:semiHidden="1" w:uiPriority="0" w:qFormat="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qFormat="1"/>
    <w:lsdException w:name="Date" w:qFormat="1"/>
    <w:lsdException w:name="Body Text First Indent" w:semiHidden="1" w:unhideWhenUsed="1"/>
    <w:lsdException w:name="Body Text First Indent 2" w:semiHidden="1" w:unhideWhenUsed="1"/>
    <w:lsdException w:name="Note Heading"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31878"/>
    <w:rPr>
      <w:sz w:val="21"/>
      <w:szCs w:val="21"/>
    </w:rPr>
  </w:style>
  <w:style w:type="paragraph" w:styleId="1">
    <w:name w:val="heading 1"/>
    <w:basedOn w:val="a"/>
    <w:next w:val="a"/>
    <w:link w:val="10"/>
    <w:uiPriority w:val="99"/>
    <w:qFormat/>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3"/>
    <w:qFormat/>
    <w:pPr>
      <w:keepNext/>
      <w:keepLines/>
      <w:widowControl w:val="0"/>
      <w:spacing w:before="60" w:after="60"/>
      <w:ind w:left="200" w:hangingChars="200" w:hanging="200"/>
      <w:jc w:val="both"/>
      <w:outlineLvl w:val="1"/>
    </w:pPr>
    <w:rPr>
      <w:rFonts w:ascii="Arial" w:hAnsi="Arial" w:cs="Times New Roman"/>
      <w:b/>
      <w:bCs/>
      <w:kern w:val="2"/>
    </w:rPr>
  </w:style>
  <w:style w:type="paragraph" w:styleId="3">
    <w:name w:val="heading 3"/>
    <w:basedOn w:val="a"/>
    <w:next w:val="a"/>
    <w:link w:val="33"/>
    <w:uiPriority w:val="9"/>
    <w:qFormat/>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3"/>
    <w:uiPriority w:val="9"/>
    <w:qFormat/>
    <w:pPr>
      <w:keepNext/>
      <w:keepLines/>
      <w:widowControl w:val="0"/>
      <w:spacing w:before="60" w:after="60"/>
      <w:jc w:val="both"/>
      <w:outlineLvl w:val="3"/>
    </w:pPr>
    <w:rPr>
      <w:rFonts w:ascii="Cambria" w:hAnsi="Cambria" w:cs="Times New Roman"/>
      <w:b/>
      <w:bCs/>
      <w:kern w:val="2"/>
      <w:szCs w:val="28"/>
    </w:rPr>
  </w:style>
  <w:style w:type="paragraph" w:styleId="5">
    <w:name w:val="heading 5"/>
    <w:basedOn w:val="a"/>
    <w:next w:val="a"/>
    <w:link w:val="52"/>
    <w:uiPriority w:val="9"/>
    <w:qFormat/>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0"/>
    <w:uiPriority w:val="9"/>
    <w:unhideWhenUsed/>
    <w:qFormat/>
    <w:pPr>
      <w:keepNext/>
      <w:keepLines/>
      <w:spacing w:before="60" w:after="60"/>
      <w:outlineLvl w:val="5"/>
    </w:pPr>
    <w:rPr>
      <w:rFonts w:asciiTheme="majorHAnsi" w:hAnsiTheme="majorHAnsi" w:cstheme="majorBidi"/>
      <w:b/>
      <w:bCs/>
    </w:rPr>
  </w:style>
  <w:style w:type="paragraph" w:styleId="7">
    <w:name w:val="heading 7"/>
    <w:basedOn w:val="a"/>
    <w:next w:val="a"/>
    <w:link w:val="70"/>
    <w:uiPriority w:val="9"/>
    <w:unhideWhenUsed/>
    <w:qFormat/>
    <w:pPr>
      <w:keepNext/>
      <w:keepLines/>
      <w:spacing w:before="240" w:after="64" w:line="320" w:lineRule="auto"/>
      <w:outlineLvl w:val="6"/>
    </w:pPr>
    <w:rPr>
      <w:b/>
      <w:bCs/>
      <w:sz w:val="24"/>
    </w:rPr>
  </w:style>
  <w:style w:type="paragraph" w:styleId="8">
    <w:name w:val="heading 8"/>
    <w:basedOn w:val="a"/>
    <w:next w:val="a"/>
    <w:link w:val="81"/>
    <w:uiPriority w:val="99"/>
    <w:semiHidden/>
    <w:unhideWhenUsed/>
    <w:qFormat/>
    <w:pPr>
      <w:keepNext/>
      <w:keepLines/>
      <w:widowControl w:val="0"/>
      <w:adjustRightInd w:val="0"/>
      <w:spacing w:before="240" w:after="64" w:line="320" w:lineRule="atLeast"/>
      <w:outlineLvl w:val="7"/>
    </w:pPr>
    <w:rPr>
      <w:rFonts w:ascii="Arial" w:eastAsia="黑体" w:hAnsi="Arial" w:cs="Times New Roman"/>
      <w:bCs/>
      <w:color w:val="000000"/>
      <w:sz w:val="24"/>
      <w:szCs w:val="20"/>
    </w:rPr>
  </w:style>
  <w:style w:type="paragraph" w:styleId="9">
    <w:name w:val="heading 9"/>
    <w:basedOn w:val="a"/>
    <w:next w:val="a"/>
    <w:link w:val="91"/>
    <w:uiPriority w:val="99"/>
    <w:semiHidden/>
    <w:unhideWhenUsed/>
    <w:qFormat/>
    <w:pPr>
      <w:keepNext/>
      <w:keepLines/>
      <w:widowControl w:val="0"/>
      <w:adjustRightInd w:val="0"/>
      <w:spacing w:before="240" w:after="64" w:line="320" w:lineRule="atLeast"/>
      <w:outlineLvl w:val="8"/>
    </w:pPr>
    <w:rPr>
      <w:rFonts w:ascii="Arial" w:eastAsia="黑体" w:hAnsi="Arial" w:cs="Times New Roman"/>
      <w:bCs/>
      <w:color w:val="000000"/>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widowControl w:val="0"/>
      <w:ind w:leftChars="1200" w:left="2520"/>
      <w:jc w:val="both"/>
    </w:pPr>
    <w:rPr>
      <w:rFonts w:asciiTheme="minorHAnsi" w:eastAsiaTheme="minorEastAsia" w:hAnsiTheme="minorHAnsi" w:cstheme="minorBidi"/>
      <w:kern w:val="2"/>
      <w:szCs w:val="22"/>
    </w:rPr>
  </w:style>
  <w:style w:type="paragraph" w:styleId="a3">
    <w:name w:val="Note Heading"/>
    <w:basedOn w:val="a"/>
    <w:next w:val="a"/>
    <w:link w:val="a4"/>
    <w:uiPriority w:val="99"/>
    <w:qFormat/>
    <w:pPr>
      <w:widowControl w:val="0"/>
      <w:jc w:val="center"/>
    </w:pPr>
    <w:rPr>
      <w:rFonts w:ascii="Times New Roman" w:hAnsi="Times New Roman" w:cs="Times New Roman"/>
      <w:kern w:val="2"/>
    </w:rPr>
  </w:style>
  <w:style w:type="paragraph" w:styleId="a5">
    <w:name w:val="Normal Indent"/>
    <w:basedOn w:val="a"/>
    <w:link w:val="11"/>
    <w:qFormat/>
    <w:pPr>
      <w:widowControl w:val="0"/>
      <w:ind w:firstLineChars="200" w:firstLine="420"/>
      <w:jc w:val="both"/>
    </w:pPr>
    <w:rPr>
      <w:rFonts w:ascii="Times New Roman" w:hAnsi="Times New Roman" w:cs="Times New Roman"/>
      <w:kern w:val="2"/>
    </w:rPr>
  </w:style>
  <w:style w:type="paragraph" w:styleId="a6">
    <w:name w:val="Document Map"/>
    <w:basedOn w:val="a"/>
    <w:link w:val="a7"/>
    <w:uiPriority w:val="99"/>
    <w:semiHidden/>
    <w:unhideWhenUsed/>
    <w:qFormat/>
    <w:pPr>
      <w:widowControl w:val="0"/>
      <w:jc w:val="both"/>
    </w:pPr>
    <w:rPr>
      <w:rFonts w:hAnsi="Calibri" w:cs="Times New Roman"/>
      <w:kern w:val="2"/>
      <w:sz w:val="18"/>
      <w:szCs w:val="18"/>
    </w:rPr>
  </w:style>
  <w:style w:type="paragraph" w:styleId="a8">
    <w:name w:val="toa heading"/>
    <w:basedOn w:val="a"/>
    <w:next w:val="a"/>
    <w:link w:val="12"/>
    <w:semiHidden/>
    <w:qFormat/>
    <w:pPr>
      <w:widowControl w:val="0"/>
      <w:spacing w:before="120"/>
      <w:jc w:val="both"/>
    </w:pPr>
    <w:rPr>
      <w:rFonts w:ascii="Arial" w:hAnsi="Arial" w:cs="Times New Roman"/>
      <w:b/>
      <w:bCs/>
      <w:kern w:val="2"/>
    </w:rPr>
  </w:style>
  <w:style w:type="paragraph" w:styleId="a9">
    <w:name w:val="annotation text"/>
    <w:basedOn w:val="a"/>
    <w:uiPriority w:val="99"/>
    <w:qFormat/>
    <w:pPr>
      <w:widowControl w:val="0"/>
    </w:pPr>
    <w:rPr>
      <w:rFonts w:ascii="Times New Roman" w:hAnsi="Times New Roman" w:cs="Times New Roman"/>
      <w:kern w:val="2"/>
    </w:rPr>
  </w:style>
  <w:style w:type="paragraph" w:styleId="aa">
    <w:name w:val="Salutation"/>
    <w:basedOn w:val="a"/>
    <w:next w:val="a"/>
    <w:link w:val="20"/>
    <w:uiPriority w:val="99"/>
    <w:qFormat/>
    <w:pPr>
      <w:widowControl w:val="0"/>
      <w:jc w:val="both"/>
    </w:pPr>
    <w:rPr>
      <w:rFonts w:ascii="Times New Roman" w:hAnsi="Times New Roman" w:cs="Times New Roman"/>
      <w:kern w:val="2"/>
    </w:rPr>
  </w:style>
  <w:style w:type="paragraph" w:styleId="30">
    <w:name w:val="List Bullet 3"/>
    <w:basedOn w:val="a"/>
    <w:uiPriority w:val="99"/>
    <w:qFormat/>
    <w:pPr>
      <w:widowControl w:val="0"/>
      <w:tabs>
        <w:tab w:val="left" w:pos="1200"/>
      </w:tabs>
      <w:jc w:val="both"/>
    </w:pPr>
    <w:rPr>
      <w:rFonts w:ascii="Times New Roman" w:hAnsi="Times New Roman" w:cs="Times New Roman"/>
      <w:kern w:val="2"/>
    </w:rPr>
  </w:style>
  <w:style w:type="paragraph" w:styleId="ab">
    <w:name w:val="Body Text"/>
    <w:basedOn w:val="a"/>
    <w:link w:val="ac"/>
    <w:uiPriority w:val="99"/>
    <w:qFormat/>
    <w:pPr>
      <w:widowControl w:val="0"/>
      <w:spacing w:after="120"/>
      <w:jc w:val="both"/>
    </w:pPr>
    <w:rPr>
      <w:rFonts w:ascii="Times New Roman" w:hAnsi="Times New Roman" w:cs="Times New Roman"/>
      <w:kern w:val="2"/>
    </w:rPr>
  </w:style>
  <w:style w:type="paragraph" w:styleId="TOC5">
    <w:name w:val="toc 5"/>
    <w:basedOn w:val="a"/>
    <w:next w:val="a"/>
    <w:uiPriority w:val="39"/>
    <w:unhideWhenUsed/>
    <w:qFormat/>
    <w:pPr>
      <w:widowControl w:val="0"/>
      <w:ind w:leftChars="800" w:left="1680"/>
      <w:jc w:val="both"/>
    </w:pPr>
    <w:rPr>
      <w:rFonts w:asciiTheme="minorHAnsi" w:eastAsiaTheme="minorEastAsia" w:hAnsiTheme="minorHAnsi" w:cstheme="minorBidi"/>
      <w:kern w:val="2"/>
      <w:szCs w:val="22"/>
    </w:rPr>
  </w:style>
  <w:style w:type="paragraph" w:styleId="TOC3">
    <w:name w:val="toc 3"/>
    <w:basedOn w:val="a"/>
    <w:next w:val="a"/>
    <w:link w:val="TOC31"/>
    <w:uiPriority w:val="39"/>
    <w:unhideWhenUsed/>
    <w:qFormat/>
    <w:pPr>
      <w:spacing w:after="100" w:line="276" w:lineRule="auto"/>
      <w:ind w:left="440"/>
    </w:pPr>
    <w:rPr>
      <w:rFonts w:ascii="Calibri" w:hAnsi="Calibri" w:cs="Times New Roman"/>
      <w:sz w:val="22"/>
      <w:szCs w:val="22"/>
    </w:rPr>
  </w:style>
  <w:style w:type="paragraph" w:styleId="ad">
    <w:name w:val="Plain Text"/>
    <w:basedOn w:val="a"/>
    <w:link w:val="ae"/>
    <w:uiPriority w:val="99"/>
    <w:qFormat/>
    <w:pPr>
      <w:widowControl w:val="0"/>
      <w:jc w:val="both"/>
    </w:pPr>
    <w:rPr>
      <w:rFonts w:hAnsi="Courier New" w:cs="Times New Roman"/>
      <w:kern w:val="2"/>
      <w:szCs w:val="20"/>
    </w:rPr>
  </w:style>
  <w:style w:type="paragraph" w:styleId="TOC8">
    <w:name w:val="toc 8"/>
    <w:basedOn w:val="a"/>
    <w:next w:val="a"/>
    <w:uiPriority w:val="39"/>
    <w:unhideWhenUsed/>
    <w:qFormat/>
    <w:pPr>
      <w:widowControl w:val="0"/>
      <w:ind w:leftChars="1400" w:left="2940"/>
      <w:jc w:val="both"/>
    </w:pPr>
    <w:rPr>
      <w:rFonts w:asciiTheme="minorHAnsi" w:eastAsiaTheme="minorEastAsia" w:hAnsiTheme="minorHAnsi" w:cstheme="minorBidi"/>
      <w:kern w:val="2"/>
      <w:szCs w:val="22"/>
    </w:rPr>
  </w:style>
  <w:style w:type="paragraph" w:styleId="af">
    <w:name w:val="Date"/>
    <w:basedOn w:val="a"/>
    <w:next w:val="a"/>
    <w:uiPriority w:val="99"/>
    <w:qFormat/>
    <w:pPr>
      <w:widowControl w:val="0"/>
      <w:ind w:leftChars="2500" w:left="100"/>
      <w:jc w:val="both"/>
    </w:pPr>
    <w:rPr>
      <w:rFonts w:ascii="Times New Roman" w:hAnsi="Times New Roman" w:cs="Times New Roman"/>
      <w:kern w:val="2"/>
    </w:rPr>
  </w:style>
  <w:style w:type="paragraph" w:styleId="af0">
    <w:name w:val="endnote text"/>
    <w:basedOn w:val="a"/>
    <w:link w:val="af1"/>
    <w:uiPriority w:val="99"/>
    <w:semiHidden/>
    <w:unhideWhenUsed/>
    <w:qFormat/>
    <w:pPr>
      <w:snapToGrid w:val="0"/>
    </w:pPr>
  </w:style>
  <w:style w:type="paragraph" w:styleId="af2">
    <w:name w:val="Balloon Text"/>
    <w:basedOn w:val="a"/>
    <w:link w:val="21"/>
    <w:uiPriority w:val="99"/>
    <w:unhideWhenUsed/>
    <w:qFormat/>
    <w:pPr>
      <w:widowControl w:val="0"/>
      <w:jc w:val="both"/>
    </w:pPr>
    <w:rPr>
      <w:rFonts w:ascii="Calibri" w:hAnsi="Calibri" w:cs="Times New Roman"/>
      <w:kern w:val="2"/>
      <w:sz w:val="18"/>
      <w:szCs w:val="18"/>
    </w:rPr>
  </w:style>
  <w:style w:type="paragraph" w:styleId="af3">
    <w:name w:val="footer"/>
    <w:basedOn w:val="a"/>
    <w:uiPriority w:val="99"/>
    <w:unhideWhenUsed/>
    <w:qFormat/>
    <w:pPr>
      <w:widowControl w:val="0"/>
      <w:tabs>
        <w:tab w:val="center" w:pos="4153"/>
        <w:tab w:val="right" w:pos="8306"/>
      </w:tabs>
      <w:snapToGrid w:val="0"/>
    </w:pPr>
    <w:rPr>
      <w:rFonts w:ascii="Calibri" w:hAnsi="Calibri" w:cs="Times New Roman"/>
      <w:kern w:val="2"/>
      <w:sz w:val="18"/>
      <w:szCs w:val="18"/>
    </w:rPr>
  </w:style>
  <w:style w:type="paragraph" w:styleId="af4">
    <w:name w:val="header"/>
    <w:basedOn w:val="a"/>
    <w:link w:val="22"/>
    <w:uiPriority w:val="99"/>
    <w:unhideWhenUsed/>
    <w:qFormat/>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styleId="TOC1">
    <w:name w:val="toc 1"/>
    <w:basedOn w:val="a"/>
    <w:next w:val="a"/>
    <w:uiPriority w:val="39"/>
    <w:qFormat/>
    <w:pPr>
      <w:widowControl w:val="0"/>
      <w:tabs>
        <w:tab w:val="left" w:pos="1260"/>
        <w:tab w:val="right" w:leader="dot" w:pos="8823"/>
      </w:tabs>
      <w:jc w:val="center"/>
    </w:pPr>
    <w:rPr>
      <w:rFonts w:ascii="Times New Roman" w:hAnsi="Times New Roman" w:cs="Times New Roman"/>
      <w:kern w:val="2"/>
    </w:rPr>
  </w:style>
  <w:style w:type="paragraph" w:styleId="TOC4">
    <w:name w:val="toc 4"/>
    <w:basedOn w:val="a"/>
    <w:next w:val="a"/>
    <w:uiPriority w:val="39"/>
    <w:unhideWhenUsed/>
    <w:qFormat/>
    <w:pPr>
      <w:widowControl w:val="0"/>
      <w:ind w:leftChars="600" w:left="1260"/>
      <w:jc w:val="both"/>
    </w:pPr>
    <w:rPr>
      <w:rFonts w:asciiTheme="minorHAnsi" w:eastAsiaTheme="minorEastAsia" w:hAnsiTheme="minorHAnsi" w:cstheme="minorBidi"/>
      <w:kern w:val="2"/>
      <w:szCs w:val="22"/>
    </w:rPr>
  </w:style>
  <w:style w:type="paragraph" w:styleId="TOC6">
    <w:name w:val="toc 6"/>
    <w:basedOn w:val="a"/>
    <w:next w:val="a"/>
    <w:uiPriority w:val="39"/>
    <w:unhideWhenUsed/>
    <w:qFormat/>
    <w:pPr>
      <w:widowControl w:val="0"/>
      <w:ind w:leftChars="1000" w:left="2100"/>
      <w:jc w:val="both"/>
    </w:pPr>
    <w:rPr>
      <w:rFonts w:asciiTheme="minorHAnsi" w:eastAsiaTheme="minorEastAsia" w:hAnsiTheme="minorHAnsi" w:cstheme="minorBidi"/>
      <w:kern w:val="2"/>
      <w:szCs w:val="22"/>
    </w:rPr>
  </w:style>
  <w:style w:type="paragraph" w:styleId="TOC2">
    <w:name w:val="toc 2"/>
    <w:basedOn w:val="a"/>
    <w:next w:val="a"/>
    <w:uiPriority w:val="39"/>
    <w:qFormat/>
    <w:pPr>
      <w:widowControl w:val="0"/>
      <w:ind w:leftChars="200" w:left="420"/>
      <w:jc w:val="both"/>
    </w:pPr>
    <w:rPr>
      <w:rFonts w:ascii="Times New Roman" w:hAnsi="Times New Roman" w:cs="Times New Roman"/>
      <w:kern w:val="2"/>
    </w:rPr>
  </w:style>
  <w:style w:type="paragraph" w:styleId="TOC9">
    <w:name w:val="toc 9"/>
    <w:basedOn w:val="a"/>
    <w:next w:val="a"/>
    <w:uiPriority w:val="39"/>
    <w:unhideWhenUsed/>
    <w:qFormat/>
    <w:pPr>
      <w:widowControl w:val="0"/>
      <w:ind w:leftChars="1600" w:left="3360"/>
      <w:jc w:val="both"/>
    </w:pPr>
    <w:rPr>
      <w:rFonts w:asciiTheme="minorHAnsi" w:eastAsiaTheme="minorEastAsia" w:hAnsiTheme="minorHAnsi" w:cstheme="minorBidi"/>
      <w:kern w:val="2"/>
      <w:szCs w:val="22"/>
    </w:rPr>
  </w:style>
  <w:style w:type="paragraph" w:styleId="af5">
    <w:name w:val="Normal (Web)"/>
    <w:basedOn w:val="a"/>
    <w:link w:val="13"/>
    <w:uiPriority w:val="99"/>
    <w:qFormat/>
    <w:pPr>
      <w:spacing w:before="100" w:beforeAutospacing="1" w:after="100" w:afterAutospacing="1"/>
    </w:pPr>
    <w:rPr>
      <w:sz w:val="24"/>
    </w:rPr>
  </w:style>
  <w:style w:type="paragraph" w:styleId="14">
    <w:name w:val="index 1"/>
    <w:basedOn w:val="a"/>
    <w:next w:val="a"/>
    <w:uiPriority w:val="99"/>
    <w:semiHidden/>
    <w:qFormat/>
    <w:pPr>
      <w:ind w:firstLineChars="200" w:firstLine="420"/>
    </w:pPr>
    <w:rPr>
      <w:rFonts w:cs="Times New Roman"/>
      <w:color w:val="000000"/>
    </w:rPr>
  </w:style>
  <w:style w:type="paragraph" w:styleId="af6">
    <w:name w:val="Title"/>
    <w:basedOn w:val="a"/>
    <w:next w:val="a"/>
    <w:link w:val="af7"/>
    <w:uiPriority w:val="10"/>
    <w:qFormat/>
    <w:pPr>
      <w:widowControl w:val="0"/>
      <w:spacing w:before="240" w:after="60"/>
      <w:jc w:val="center"/>
      <w:outlineLvl w:val="0"/>
    </w:pPr>
    <w:rPr>
      <w:rFonts w:asciiTheme="majorHAnsi" w:hAnsiTheme="majorHAnsi" w:cstheme="majorBidi"/>
      <w:b/>
      <w:bCs/>
      <w:kern w:val="2"/>
      <w:sz w:val="32"/>
      <w:szCs w:val="32"/>
    </w:rPr>
  </w:style>
  <w:style w:type="paragraph" w:styleId="af8">
    <w:name w:val="annotation subject"/>
    <w:basedOn w:val="a9"/>
    <w:next w:val="a9"/>
    <w:link w:val="31"/>
    <w:uiPriority w:val="99"/>
    <w:unhideWhenUsed/>
    <w:qFormat/>
    <w:rPr>
      <w:rFonts w:ascii="Calibri" w:hAnsi="Calibri"/>
      <w:b/>
      <w:bCs/>
      <w:szCs w:val="22"/>
    </w:rPr>
  </w:style>
  <w:style w:type="table" w:styleId="af9">
    <w:name w:val="Table Grid"/>
    <w:basedOn w:val="a1"/>
    <w:uiPriority w:val="59"/>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basedOn w:val="a0"/>
    <w:link w:val="1326"/>
    <w:uiPriority w:val="22"/>
    <w:qFormat/>
    <w:rPr>
      <w:b/>
      <w:bCs/>
    </w:rPr>
  </w:style>
  <w:style w:type="paragraph" w:customStyle="1" w:styleId="1326">
    <w:name w:val="1326"/>
    <w:link w:val="afa"/>
    <w:uiPriority w:val="22"/>
    <w:qFormat/>
    <w:pPr>
      <w:keepNext/>
      <w:keepLines/>
      <w:widowControl w:val="0"/>
      <w:spacing w:before="60" w:after="60"/>
      <w:jc w:val="both"/>
      <w:outlineLvl w:val="3"/>
    </w:pPr>
    <w:rPr>
      <w:b/>
      <w:sz w:val="21"/>
      <w:szCs w:val="21"/>
    </w:rPr>
  </w:style>
  <w:style w:type="character" w:styleId="afb">
    <w:name w:val="endnote reference"/>
    <w:basedOn w:val="a0"/>
    <w:link w:val="2207"/>
    <w:uiPriority w:val="99"/>
    <w:unhideWhenUsed/>
    <w:qFormat/>
    <w:rPr>
      <w:vertAlign w:val="superscript"/>
    </w:rPr>
  </w:style>
  <w:style w:type="paragraph" w:customStyle="1" w:styleId="2207">
    <w:name w:val="2207"/>
    <w:link w:val="afb"/>
    <w:uiPriority w:val="99"/>
    <w:qFormat/>
    <w:pPr>
      <w:widowControl w:val="0"/>
      <w:jc w:val="both"/>
    </w:pPr>
    <w:rPr>
      <w:sz w:val="21"/>
      <w:szCs w:val="21"/>
      <w:vertAlign w:val="superscript"/>
    </w:rPr>
  </w:style>
  <w:style w:type="character" w:styleId="afc">
    <w:name w:val="FollowedHyperlink"/>
    <w:basedOn w:val="a0"/>
    <w:uiPriority w:val="99"/>
    <w:semiHidden/>
    <w:unhideWhenUsed/>
    <w:qFormat/>
    <w:rPr>
      <w:color w:val="800080" w:themeColor="followedHyperlink"/>
      <w:u w:val="single"/>
    </w:rPr>
  </w:style>
  <w:style w:type="character" w:styleId="afd">
    <w:name w:val="Hyperlink"/>
    <w:basedOn w:val="a0"/>
    <w:uiPriority w:val="99"/>
    <w:qFormat/>
    <w:rPr>
      <w:rFonts w:cs="Times New Roman"/>
      <w:color w:val="0000FF"/>
      <w:u w:val="single"/>
    </w:rPr>
  </w:style>
  <w:style w:type="character" w:styleId="afe">
    <w:name w:val="annotation reference"/>
    <w:basedOn w:val="a0"/>
    <w:link w:val="2248"/>
    <w:uiPriority w:val="99"/>
    <w:qFormat/>
    <w:rPr>
      <w:rFonts w:eastAsia="宋体" w:cs="Times New Roman"/>
      <w:kern w:val="2"/>
      <w:sz w:val="21"/>
      <w:szCs w:val="21"/>
      <w:lang w:val="en-US" w:eastAsia="zh-CN" w:bidi="ar-SA"/>
    </w:rPr>
  </w:style>
  <w:style w:type="paragraph" w:customStyle="1" w:styleId="2248">
    <w:name w:val="2248"/>
    <w:link w:val="afe"/>
    <w:uiPriority w:val="99"/>
    <w:qFormat/>
    <w:pPr>
      <w:widowControl w:val="0"/>
      <w:ind w:firstLineChars="200" w:firstLine="420"/>
      <w:jc w:val="both"/>
    </w:pPr>
    <w:rPr>
      <w:rFonts w:cs="Times New Roman"/>
      <w:kern w:val="2"/>
    </w:rPr>
  </w:style>
  <w:style w:type="paragraph" w:customStyle="1" w:styleId="2262">
    <w:name w:val="2262"/>
    <w:uiPriority w:val="99"/>
    <w:qFormat/>
    <w:rPr>
      <w:sz w:val="21"/>
      <w:szCs w:val="21"/>
    </w:rPr>
  </w:style>
  <w:style w:type="character" w:customStyle="1" w:styleId="10">
    <w:name w:val="标题 1 字符"/>
    <w:basedOn w:val="a0"/>
    <w:link w:val="1"/>
    <w:uiPriority w:val="99"/>
    <w:qFormat/>
    <w:rPr>
      <w:rFonts w:eastAsia="黑体"/>
      <w:b/>
      <w:bCs/>
      <w:kern w:val="44"/>
      <w:sz w:val="28"/>
      <w:szCs w:val="44"/>
    </w:rPr>
  </w:style>
  <w:style w:type="character" w:customStyle="1" w:styleId="24">
    <w:name w:val="标题 2 字符"/>
    <w:aliases w:val="标题 2 Char Char Char 字符"/>
    <w:basedOn w:val="a0"/>
    <w:qFormat/>
    <w:rPr>
      <w:rFonts w:ascii="Arial" w:hAnsi="Arial"/>
      <w:b/>
      <w:bCs/>
      <w:kern w:val="2"/>
      <w:sz w:val="21"/>
      <w:szCs w:val="21"/>
    </w:rPr>
  </w:style>
  <w:style w:type="character" w:customStyle="1" w:styleId="32">
    <w:name w:val="标题 3 字符"/>
    <w:basedOn w:val="a0"/>
    <w:uiPriority w:val="9"/>
    <w:qFormat/>
    <w:rPr>
      <w:b/>
      <w:bCs/>
      <w:kern w:val="2"/>
      <w:sz w:val="21"/>
      <w:szCs w:val="32"/>
    </w:rPr>
  </w:style>
  <w:style w:type="character" w:customStyle="1" w:styleId="40">
    <w:name w:val="标题 4 字符"/>
    <w:basedOn w:val="a0"/>
    <w:uiPriority w:val="9"/>
    <w:qFormat/>
    <w:rPr>
      <w:rFonts w:ascii="Cambria" w:hAnsi="Cambria"/>
      <w:b/>
      <w:bCs/>
      <w:kern w:val="2"/>
      <w:sz w:val="21"/>
      <w:szCs w:val="28"/>
    </w:rPr>
  </w:style>
  <w:style w:type="character" w:customStyle="1" w:styleId="50">
    <w:name w:val="标题 5 字符"/>
    <w:basedOn w:val="a0"/>
    <w:uiPriority w:val="9"/>
    <w:qFormat/>
    <w:rPr>
      <w:b/>
      <w:bCs/>
      <w:kern w:val="2"/>
      <w:sz w:val="21"/>
      <w:szCs w:val="28"/>
    </w:rPr>
  </w:style>
  <w:style w:type="paragraph" w:customStyle="1" w:styleId="TOC10">
    <w:name w:val="TOC 标题1"/>
    <w:basedOn w:val="1"/>
    <w:next w:val="a"/>
    <w:uiPriority w:val="39"/>
    <w:qFormat/>
    <w:pPr>
      <w:widowControl/>
      <w:spacing w:before="480" w:after="0" w:line="276" w:lineRule="auto"/>
      <w:outlineLvl w:val="9"/>
    </w:pPr>
    <w:rPr>
      <w:rFonts w:ascii="Cambria" w:eastAsia="宋体" w:hAnsi="Cambria"/>
      <w:color w:val="365F91"/>
      <w:kern w:val="0"/>
      <w:szCs w:val="28"/>
    </w:rPr>
  </w:style>
  <w:style w:type="character" w:customStyle="1" w:styleId="aff">
    <w:name w:val="批注文字 字符"/>
    <w:basedOn w:val="a0"/>
    <w:uiPriority w:val="99"/>
    <w:qFormat/>
    <w:rPr>
      <w:rFonts w:ascii="Times New Roman" w:eastAsia="宋体" w:hAnsi="Times New Roman" w:cs="Times New Roman"/>
      <w:szCs w:val="21"/>
    </w:rPr>
  </w:style>
  <w:style w:type="character" w:customStyle="1" w:styleId="aff0">
    <w:name w:val="批注框文本 字符"/>
    <w:basedOn w:val="a0"/>
    <w:uiPriority w:val="99"/>
    <w:qFormat/>
    <w:rPr>
      <w:rFonts w:ascii="Calibri" w:eastAsia="宋体" w:hAnsi="Calibri" w:cs="Times New Roman"/>
      <w:sz w:val="18"/>
      <w:szCs w:val="18"/>
    </w:rPr>
  </w:style>
  <w:style w:type="character" w:customStyle="1" w:styleId="aff1">
    <w:name w:val="称呼 字符"/>
    <w:basedOn w:val="a0"/>
    <w:uiPriority w:val="99"/>
    <w:qFormat/>
    <w:rPr>
      <w:rFonts w:ascii="Times New Roman" w:eastAsia="宋体" w:hAnsi="Times New Roman" w:cs="Times New Roman"/>
      <w:szCs w:val="21"/>
    </w:rPr>
  </w:style>
  <w:style w:type="character" w:customStyle="1" w:styleId="notnullcss1">
    <w:name w:val="notnullcss1"/>
    <w:basedOn w:val="a0"/>
    <w:uiPriority w:val="99"/>
    <w:qFormat/>
    <w:rPr>
      <w:rFonts w:eastAsia="宋体" w:cs="Times New Roman"/>
      <w:color w:val="FF0000"/>
      <w:kern w:val="2"/>
      <w:sz w:val="24"/>
      <w:szCs w:val="24"/>
      <w:lang w:val="en-US" w:eastAsia="zh-CN" w:bidi="ar-SA"/>
    </w:rPr>
  </w:style>
  <w:style w:type="paragraph" w:customStyle="1" w:styleId="xl61">
    <w:name w:val="xl61"/>
    <w:basedOn w:val="a"/>
    <w:uiPriority w:val="99"/>
    <w:qFormat/>
    <w:pPr>
      <w:spacing w:before="100" w:after="100"/>
      <w:jc w:val="right"/>
    </w:pPr>
    <w:rPr>
      <w:rFonts w:ascii="Arial Unicode MS" w:eastAsia="Arial Unicode MS" w:hAnsi="Times New Roman" w:cs="Times New Roman"/>
      <w:sz w:val="18"/>
      <w:szCs w:val="18"/>
    </w:rPr>
  </w:style>
  <w:style w:type="paragraph" w:styleId="aff2">
    <w:name w:val="List Paragraph"/>
    <w:basedOn w:val="a"/>
    <w:uiPriority w:val="34"/>
    <w:qFormat/>
    <w:pPr>
      <w:widowControl w:val="0"/>
      <w:ind w:firstLineChars="200" w:firstLine="420"/>
      <w:jc w:val="both"/>
    </w:pPr>
    <w:rPr>
      <w:rFonts w:ascii="Calibri" w:hAnsi="Calibri" w:cs="Times New Roman"/>
      <w:kern w:val="2"/>
      <w:szCs w:val="22"/>
    </w:rPr>
  </w:style>
  <w:style w:type="character" w:customStyle="1" w:styleId="aff3">
    <w:name w:val="批注主题 字符"/>
    <w:basedOn w:val="aff"/>
    <w:uiPriority w:val="99"/>
    <w:qFormat/>
    <w:rPr>
      <w:rFonts w:ascii="Calibri" w:eastAsia="宋体" w:hAnsi="Calibri" w:cs="Times New Roman"/>
      <w:b/>
      <w:bCs/>
      <w:szCs w:val="21"/>
    </w:rPr>
  </w:style>
  <w:style w:type="character" w:customStyle="1" w:styleId="aff4">
    <w:name w:val="页眉 字符"/>
    <w:basedOn w:val="a0"/>
    <w:uiPriority w:val="99"/>
    <w:qFormat/>
    <w:rPr>
      <w:rFonts w:ascii="Calibri" w:eastAsia="宋体" w:hAnsi="Calibri" w:cs="Times New Roman"/>
      <w:sz w:val="18"/>
      <w:szCs w:val="18"/>
    </w:rPr>
  </w:style>
  <w:style w:type="character" w:customStyle="1" w:styleId="aff5">
    <w:name w:val="页脚 字符"/>
    <w:basedOn w:val="a0"/>
    <w:uiPriority w:val="99"/>
    <w:qFormat/>
    <w:rPr>
      <w:rFonts w:ascii="Calibri" w:eastAsia="宋体" w:hAnsi="Calibri" w:cs="Times New Roman"/>
      <w:sz w:val="18"/>
      <w:szCs w:val="18"/>
    </w:rPr>
  </w:style>
  <w:style w:type="character" w:customStyle="1" w:styleId="ae">
    <w:name w:val="纯文本 字符"/>
    <w:basedOn w:val="a0"/>
    <w:link w:val="ad"/>
    <w:qFormat/>
    <w:rPr>
      <w:rFonts w:ascii="宋体" w:eastAsia="宋体" w:hAnsi="Courier New" w:cs="Times New Roman"/>
      <w:szCs w:val="20"/>
    </w:rPr>
  </w:style>
  <w:style w:type="character" w:customStyle="1" w:styleId="headline-content2">
    <w:name w:val="headline-content2"/>
    <w:basedOn w:val="a0"/>
    <w:qFormat/>
    <w:rPr>
      <w:rFonts w:eastAsia="宋体" w:cs="Times New Roman"/>
      <w:kern w:val="2"/>
      <w:sz w:val="24"/>
      <w:szCs w:val="24"/>
      <w:lang w:val="en-US" w:eastAsia="zh-CN" w:bidi="ar-SA"/>
    </w:rPr>
  </w:style>
  <w:style w:type="character" w:customStyle="1" w:styleId="ac">
    <w:name w:val="正文文本 字符"/>
    <w:basedOn w:val="a0"/>
    <w:link w:val="ab"/>
    <w:uiPriority w:val="99"/>
    <w:qFormat/>
    <w:rPr>
      <w:rFonts w:ascii="Times New Roman" w:eastAsia="宋体" w:hAnsi="Times New Roman" w:cs="Times New Roman"/>
      <w:szCs w:val="21"/>
    </w:rPr>
  </w:style>
  <w:style w:type="paragraph" w:customStyle="1" w:styleId="write2">
    <w:name w:val="write2"/>
    <w:basedOn w:val="a"/>
    <w:uiPriority w:val="99"/>
    <w:qFormat/>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character" w:customStyle="1" w:styleId="aff6">
    <w:name w:val="日期 字符"/>
    <w:basedOn w:val="a0"/>
    <w:uiPriority w:val="99"/>
    <w:qFormat/>
    <w:rPr>
      <w:rFonts w:ascii="Times New Roman" w:eastAsia="宋体" w:hAnsi="Times New Roman" w:cs="Times New Roman"/>
      <w:szCs w:val="21"/>
    </w:rPr>
  </w:style>
  <w:style w:type="character" w:customStyle="1" w:styleId="a4">
    <w:name w:val="注释标题 字符"/>
    <w:basedOn w:val="a0"/>
    <w:link w:val="a3"/>
    <w:uiPriority w:val="99"/>
    <w:qFormat/>
    <w:rPr>
      <w:rFonts w:ascii="Times New Roman" w:eastAsia="宋体" w:hAnsi="Times New Roman" w:cs="Times New Roman"/>
      <w:szCs w:val="21"/>
    </w:rPr>
  </w:style>
  <w:style w:type="paragraph" w:customStyle="1" w:styleId="51">
    <w:name w:val="标题5"/>
    <w:basedOn w:val="a"/>
    <w:uiPriority w:val="99"/>
    <w:qFormat/>
    <w:pPr>
      <w:keepNext/>
      <w:keepLines/>
      <w:widowControl w:val="0"/>
      <w:spacing w:before="60" w:after="60"/>
      <w:ind w:hangingChars="200" w:hanging="420"/>
      <w:jc w:val="both"/>
      <w:outlineLvl w:val="4"/>
    </w:pPr>
    <w:rPr>
      <w:rFonts w:cs="Times New Roman"/>
      <w:b/>
      <w:bCs/>
      <w:kern w:val="2"/>
    </w:rPr>
  </w:style>
  <w:style w:type="paragraph" w:customStyle="1" w:styleId="15">
    <w:name w:val="修订1"/>
    <w:link w:val="25"/>
    <w:uiPriority w:val="99"/>
    <w:semiHidden/>
    <w:qFormat/>
    <w:rPr>
      <w:kern w:val="2"/>
      <w:sz w:val="21"/>
      <w:szCs w:val="22"/>
    </w:rPr>
  </w:style>
  <w:style w:type="character" w:customStyle="1" w:styleId="Char">
    <w:name w:val="正文的样式 Char"/>
    <w:basedOn w:val="a0"/>
    <w:link w:val="3894"/>
    <w:qFormat/>
    <w:rPr>
      <w:kern w:val="2"/>
      <w:sz w:val="21"/>
      <w:szCs w:val="24"/>
    </w:rPr>
  </w:style>
  <w:style w:type="paragraph" w:customStyle="1" w:styleId="3894">
    <w:name w:val="3894"/>
    <w:next w:val="a"/>
    <w:link w:val="Char"/>
    <w:uiPriority w:val="99"/>
    <w:qFormat/>
    <w:pPr>
      <w:widowControl w:val="0"/>
      <w:jc w:val="center"/>
    </w:pPr>
    <w:rPr>
      <w:rFonts w:ascii="Times New Roman" w:hAnsi="Times New Roman" w:cs="Times New Roman"/>
      <w:kern w:val="2"/>
    </w:rPr>
  </w:style>
  <w:style w:type="paragraph" w:customStyle="1" w:styleId="3903">
    <w:name w:val="3903"/>
    <w:qFormat/>
    <w:rPr>
      <w:sz w:val="21"/>
      <w:szCs w:val="21"/>
    </w:rPr>
  </w:style>
  <w:style w:type="paragraph" w:customStyle="1" w:styleId="aff7">
    <w:name w:val="正文的样式"/>
    <w:basedOn w:val="a"/>
    <w:uiPriority w:val="99"/>
    <w:qFormat/>
    <w:pPr>
      <w:widowControl w:val="0"/>
      <w:spacing w:before="100" w:after="100"/>
      <w:jc w:val="both"/>
    </w:pPr>
    <w:rPr>
      <w:rFonts w:ascii="Calibri" w:hAnsi="Calibri" w:cs="Times New Roman"/>
      <w:kern w:val="2"/>
    </w:rPr>
  </w:style>
  <w:style w:type="character" w:customStyle="1" w:styleId="a7">
    <w:name w:val="文档结构图 字符"/>
    <w:basedOn w:val="a0"/>
    <w:link w:val="a6"/>
    <w:uiPriority w:val="99"/>
    <w:semiHidden/>
    <w:qFormat/>
    <w:rPr>
      <w:rFonts w:ascii="宋体"/>
      <w:kern w:val="2"/>
      <w:sz w:val="18"/>
      <w:szCs w:val="18"/>
    </w:rPr>
  </w:style>
  <w:style w:type="character" w:styleId="aff8">
    <w:name w:val="Placeholder Text"/>
    <w:basedOn w:val="a0"/>
    <w:uiPriority w:val="99"/>
    <w:qFormat/>
    <w:rPr>
      <w:color w:val="auto"/>
    </w:rPr>
  </w:style>
  <w:style w:type="character" w:customStyle="1" w:styleId="af7">
    <w:name w:val="标题 字符"/>
    <w:basedOn w:val="a0"/>
    <w:link w:val="af6"/>
    <w:uiPriority w:val="10"/>
    <w:qFormat/>
    <w:rPr>
      <w:rFonts w:asciiTheme="majorHAnsi" w:hAnsiTheme="majorHAnsi" w:cstheme="majorBidi"/>
      <w:b/>
      <w:bCs/>
      <w:kern w:val="2"/>
      <w:sz w:val="32"/>
      <w:szCs w:val="32"/>
    </w:rPr>
  </w:style>
  <w:style w:type="paragraph" w:styleId="aff9">
    <w:name w:val="No Spacing"/>
    <w:uiPriority w:val="1"/>
    <w:qFormat/>
    <w:pPr>
      <w:widowControl w:val="0"/>
      <w:jc w:val="both"/>
    </w:pPr>
    <w:rPr>
      <w:kern w:val="2"/>
      <w:sz w:val="21"/>
      <w:szCs w:val="22"/>
    </w:rPr>
  </w:style>
  <w:style w:type="character" w:customStyle="1" w:styleId="60">
    <w:name w:val="标题 6 字符"/>
    <w:basedOn w:val="a0"/>
    <w:link w:val="6"/>
    <w:uiPriority w:val="9"/>
    <w:qFormat/>
    <w:rPr>
      <w:rFonts w:asciiTheme="majorHAnsi" w:hAnsiTheme="majorHAnsi" w:cstheme="majorBidi"/>
      <w:b/>
      <w:bCs/>
      <w:sz w:val="21"/>
      <w:szCs w:val="24"/>
    </w:rPr>
  </w:style>
  <w:style w:type="character" w:customStyle="1" w:styleId="af1">
    <w:name w:val="尾注文本 字符"/>
    <w:basedOn w:val="a0"/>
    <w:link w:val="af0"/>
    <w:uiPriority w:val="99"/>
    <w:semiHidden/>
    <w:qFormat/>
    <w:rPr>
      <w:rFonts w:ascii="宋体" w:hAnsi="宋体" w:cs="宋体"/>
      <w:sz w:val="21"/>
      <w:szCs w:val="24"/>
    </w:rPr>
  </w:style>
  <w:style w:type="character" w:customStyle="1" w:styleId="Char1">
    <w:name w:val="批注主题 Char1"/>
    <w:basedOn w:val="aff"/>
    <w:link w:val="3888"/>
    <w:uiPriority w:val="99"/>
    <w:qFormat/>
    <w:rPr>
      <w:rFonts w:ascii="Times New Roman" w:eastAsia="宋体" w:hAnsi="Times New Roman" w:cs="Times New Roman"/>
      <w:b/>
      <w:bCs/>
      <w:szCs w:val="21"/>
    </w:rPr>
  </w:style>
  <w:style w:type="paragraph" w:customStyle="1" w:styleId="3888">
    <w:name w:val="3888"/>
    <w:basedOn w:val="3903"/>
    <w:next w:val="a"/>
    <w:link w:val="Char1"/>
    <w:uiPriority w:val="99"/>
    <w:qFormat/>
    <w:pPr>
      <w:widowControl w:val="0"/>
      <w:jc w:val="both"/>
    </w:pPr>
    <w:rPr>
      <w:rFonts w:ascii="Times New Roman" w:hAnsi="Times New Roman" w:cs="Times New Roman"/>
      <w:kern w:val="2"/>
    </w:rPr>
  </w:style>
  <w:style w:type="paragraph" w:customStyle="1" w:styleId="34">
    <w:name w:val="标题  3"/>
    <w:basedOn w:val="a"/>
    <w:next w:val="a"/>
    <w:link w:val="3Char"/>
    <w:qFormat/>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
    <w:name w:val="标题  3 Char"/>
    <w:basedOn w:val="a0"/>
    <w:link w:val="34"/>
    <w:qFormat/>
    <w:rPr>
      <w:rFonts w:ascii="Times New Roman" w:hAnsi="Times New Roman"/>
      <w:b/>
      <w:kern w:val="2"/>
      <w:sz w:val="21"/>
      <w:szCs w:val="24"/>
    </w:rPr>
  </w:style>
  <w:style w:type="character" w:customStyle="1" w:styleId="16">
    <w:name w:val="批注主题 字符1"/>
    <w:basedOn w:val="aff"/>
    <w:uiPriority w:val="99"/>
    <w:semiHidden/>
    <w:qFormat/>
    <w:rPr>
      <w:rFonts w:ascii="Times New Roman" w:eastAsia="宋体" w:hAnsi="Times New Roman" w:cs="Times New Roman"/>
      <w:b/>
      <w:bCs/>
      <w:szCs w:val="21"/>
    </w:rPr>
  </w:style>
  <w:style w:type="character" w:customStyle="1" w:styleId="70">
    <w:name w:val="标题 7 字符"/>
    <w:basedOn w:val="a0"/>
    <w:link w:val="7"/>
    <w:uiPriority w:val="9"/>
    <w:qFormat/>
    <w:rPr>
      <w:rFonts w:ascii="宋体" w:hAnsi="宋体" w:cs="宋体"/>
      <w:b/>
      <w:bCs/>
      <w:sz w:val="24"/>
      <w:szCs w:val="24"/>
    </w:rPr>
  </w:style>
  <w:style w:type="character" w:customStyle="1" w:styleId="span">
    <w:name w:val="span_"/>
    <w:basedOn w:val="a0"/>
    <w:qFormat/>
  </w:style>
  <w:style w:type="character" w:customStyle="1" w:styleId="4Char">
    <w:name w:val="标题 4 Char"/>
    <w:uiPriority w:val="9"/>
    <w:qFormat/>
    <w:rPr>
      <w:rFonts w:ascii="Cambria" w:hAnsi="Cambria"/>
      <w:b/>
      <w:bCs/>
      <w:kern w:val="2"/>
      <w:sz w:val="21"/>
      <w:szCs w:val="28"/>
    </w:rPr>
  </w:style>
  <w:style w:type="paragraph" w:customStyle="1" w:styleId="41">
    <w:name w:val="4"/>
    <w:basedOn w:val="a"/>
    <w:next w:val="aff2"/>
    <w:uiPriority w:val="34"/>
    <w:qFormat/>
    <w:pPr>
      <w:widowControl w:val="0"/>
      <w:ind w:firstLineChars="200" w:firstLine="420"/>
      <w:jc w:val="both"/>
    </w:pPr>
    <w:rPr>
      <w:rFonts w:ascii="Calibri" w:hAnsi="Calibri" w:cs="Times New Roman"/>
      <w:kern w:val="2"/>
      <w:szCs w:val="22"/>
    </w:rPr>
  </w:style>
  <w:style w:type="paragraph" w:customStyle="1" w:styleId="35">
    <w:name w:val="3"/>
    <w:basedOn w:val="a"/>
    <w:next w:val="aff2"/>
    <w:uiPriority w:val="34"/>
    <w:qFormat/>
    <w:pPr>
      <w:widowControl w:val="0"/>
      <w:ind w:firstLineChars="200" w:firstLine="420"/>
      <w:jc w:val="both"/>
    </w:pPr>
    <w:rPr>
      <w:rFonts w:ascii="Calibri" w:hAnsi="Calibri" w:cs="Times New Roman"/>
      <w:kern w:val="2"/>
      <w:szCs w:val="22"/>
    </w:rPr>
  </w:style>
  <w:style w:type="character" w:customStyle="1" w:styleId="3Char0">
    <w:name w:val="标题 3 Char"/>
    <w:uiPriority w:val="9"/>
    <w:qFormat/>
    <w:rPr>
      <w:b/>
      <w:bCs/>
      <w:kern w:val="2"/>
      <w:sz w:val="21"/>
      <w:szCs w:val="32"/>
    </w:rPr>
  </w:style>
  <w:style w:type="paragraph" w:customStyle="1" w:styleId="26">
    <w:name w:val="2"/>
    <w:basedOn w:val="a"/>
    <w:next w:val="aff2"/>
    <w:uiPriority w:val="34"/>
    <w:qFormat/>
    <w:pPr>
      <w:widowControl w:val="0"/>
      <w:ind w:firstLineChars="200" w:firstLine="420"/>
      <w:jc w:val="both"/>
    </w:pPr>
    <w:rPr>
      <w:rFonts w:ascii="Calibri" w:hAnsi="Calibri" w:cs="Times New Roman"/>
      <w:kern w:val="2"/>
      <w:szCs w:val="22"/>
    </w:rPr>
  </w:style>
  <w:style w:type="paragraph" w:customStyle="1" w:styleId="17">
    <w:name w:val="1"/>
    <w:basedOn w:val="a"/>
    <w:next w:val="aff2"/>
    <w:uiPriority w:val="34"/>
    <w:qFormat/>
    <w:pPr>
      <w:widowControl w:val="0"/>
      <w:ind w:firstLineChars="200" w:firstLine="420"/>
      <w:jc w:val="both"/>
    </w:pPr>
    <w:rPr>
      <w:rFonts w:ascii="Calibri" w:hAnsi="Calibri" w:cs="Times New Roman"/>
      <w:kern w:val="2"/>
      <w:szCs w:val="22"/>
    </w:rPr>
  </w:style>
  <w:style w:type="paragraph" w:customStyle="1" w:styleId="TableParagraph">
    <w:name w:val="Table Paragraph"/>
    <w:basedOn w:val="a"/>
    <w:uiPriority w:val="1"/>
    <w:qFormat/>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Char0">
    <w:name w:val="批注文字 Char"/>
    <w:link w:val="3891"/>
    <w:uiPriority w:val="99"/>
    <w:qFormat/>
    <w:rPr>
      <w:rFonts w:ascii="Times New Roman" w:hAnsi="Times New Roman"/>
      <w:kern w:val="2"/>
      <w:sz w:val="21"/>
      <w:szCs w:val="21"/>
    </w:rPr>
  </w:style>
  <w:style w:type="paragraph" w:customStyle="1" w:styleId="3891">
    <w:name w:val="3891"/>
    <w:basedOn w:val="3903"/>
    <w:link w:val="Char0"/>
    <w:uiPriority w:val="99"/>
    <w:semiHidden/>
    <w:unhideWhenUsed/>
    <w:qFormat/>
    <w:pPr>
      <w:widowControl w:val="0"/>
      <w:jc w:val="both"/>
    </w:pPr>
    <w:rPr>
      <w:rFonts w:hAnsi="Calibri" w:cs="Times New Roman"/>
      <w:kern w:val="2"/>
      <w:sz w:val="18"/>
      <w:szCs w:val="18"/>
    </w:rPr>
  </w:style>
  <w:style w:type="character" w:customStyle="1" w:styleId="5Char">
    <w:name w:val="标题 5 Char"/>
    <w:uiPriority w:val="9"/>
    <w:qFormat/>
    <w:rPr>
      <w:b/>
      <w:bCs/>
      <w:kern w:val="2"/>
      <w:sz w:val="21"/>
      <w:szCs w:val="28"/>
    </w:rPr>
  </w:style>
  <w:style w:type="paragraph" w:customStyle="1" w:styleId="747">
    <w:name w:val="747"/>
    <w:basedOn w:val="a"/>
    <w:next w:val="aff2"/>
    <w:uiPriority w:val="34"/>
    <w:qFormat/>
    <w:pPr>
      <w:widowControl w:val="0"/>
      <w:ind w:firstLineChars="200" w:firstLine="420"/>
      <w:jc w:val="both"/>
    </w:pPr>
    <w:rPr>
      <w:rFonts w:ascii="Calibri" w:hAnsi="Calibri" w:cs="Times New Roman"/>
      <w:kern w:val="2"/>
      <w:szCs w:val="22"/>
    </w:rPr>
  </w:style>
  <w:style w:type="character" w:customStyle="1" w:styleId="Char10">
    <w:name w:val="批注文字 Char1"/>
    <w:qFormat/>
    <w:rPr>
      <w:rFonts w:ascii="Times New Roman" w:hAnsi="Times New Roman"/>
      <w:kern w:val="2"/>
      <w:sz w:val="21"/>
      <w:szCs w:val="21"/>
    </w:rPr>
  </w:style>
  <w:style w:type="character" w:customStyle="1" w:styleId="3Char1">
    <w:name w:val="标题 3 Char1"/>
    <w:uiPriority w:val="9"/>
    <w:qFormat/>
    <w:rPr>
      <w:b/>
      <w:bCs/>
      <w:kern w:val="2"/>
      <w:sz w:val="21"/>
      <w:szCs w:val="32"/>
    </w:rPr>
  </w:style>
  <w:style w:type="character" w:customStyle="1" w:styleId="2Char">
    <w:name w:val="标题 2 Char"/>
    <w:qFormat/>
    <w:rPr>
      <w:rFonts w:ascii="Arial" w:hAnsi="Arial"/>
      <w:b/>
      <w:bCs/>
      <w:kern w:val="2"/>
      <w:sz w:val="21"/>
      <w:szCs w:val="21"/>
    </w:rPr>
  </w:style>
  <w:style w:type="character" w:customStyle="1" w:styleId="4Char1">
    <w:name w:val="标题 4 Char1"/>
    <w:uiPriority w:val="9"/>
    <w:qFormat/>
    <w:rPr>
      <w:rFonts w:ascii="Cambria" w:hAnsi="Cambria"/>
      <w:b/>
      <w:bCs/>
      <w:kern w:val="2"/>
      <w:sz w:val="21"/>
      <w:szCs w:val="28"/>
    </w:rPr>
  </w:style>
  <w:style w:type="character" w:customStyle="1" w:styleId="5Char1">
    <w:name w:val="标题 5 Char1"/>
    <w:uiPriority w:val="9"/>
    <w:qFormat/>
    <w:rPr>
      <w:b/>
      <w:bCs/>
      <w:kern w:val="2"/>
      <w:sz w:val="21"/>
      <w:szCs w:val="28"/>
    </w:rPr>
  </w:style>
  <w:style w:type="paragraph" w:customStyle="1" w:styleId="558">
    <w:name w:val="558"/>
    <w:basedOn w:val="a"/>
    <w:next w:val="aff2"/>
    <w:uiPriority w:val="34"/>
    <w:qFormat/>
    <w:pPr>
      <w:widowControl w:val="0"/>
      <w:ind w:firstLineChars="200" w:firstLine="420"/>
      <w:jc w:val="both"/>
    </w:pPr>
    <w:rPr>
      <w:rFonts w:ascii="Calibri" w:hAnsi="Calibri" w:cs="Times New Roman"/>
      <w:kern w:val="2"/>
      <w:szCs w:val="22"/>
    </w:rPr>
  </w:style>
  <w:style w:type="character" w:customStyle="1" w:styleId="Char2">
    <w:name w:val="批注文字 Char2"/>
    <w:link w:val="3886"/>
    <w:qFormat/>
    <w:rPr>
      <w:rFonts w:ascii="Times New Roman" w:hAnsi="Times New Roman"/>
      <w:kern w:val="2"/>
      <w:sz w:val="21"/>
      <w:szCs w:val="21"/>
    </w:rPr>
  </w:style>
  <w:style w:type="paragraph" w:customStyle="1" w:styleId="3886">
    <w:name w:val="3886"/>
    <w:basedOn w:val="3903"/>
    <w:link w:val="Char2"/>
    <w:uiPriority w:val="99"/>
    <w:qFormat/>
    <w:pPr>
      <w:widowControl w:val="0"/>
      <w:spacing w:after="120"/>
      <w:jc w:val="both"/>
    </w:pPr>
    <w:rPr>
      <w:rFonts w:ascii="Times New Roman" w:hAnsi="Times New Roman" w:cs="Times New Roman"/>
      <w:kern w:val="2"/>
    </w:rPr>
  </w:style>
  <w:style w:type="character" w:customStyle="1" w:styleId="Char3">
    <w:name w:val="批注文字 Char3"/>
    <w:link w:val="3883"/>
    <w:qFormat/>
    <w:rPr>
      <w:rFonts w:ascii="Times New Roman" w:hAnsi="Times New Roman" w:cs="Times New Roman"/>
      <w:bCs/>
      <w:kern w:val="2"/>
      <w:sz w:val="21"/>
      <w:szCs w:val="21"/>
    </w:rPr>
  </w:style>
  <w:style w:type="paragraph" w:customStyle="1" w:styleId="3883">
    <w:name w:val="3883"/>
    <w:basedOn w:val="3903"/>
    <w:link w:val="Char3"/>
    <w:qFormat/>
    <w:pPr>
      <w:widowControl w:val="0"/>
      <w:jc w:val="both"/>
    </w:pPr>
    <w:rPr>
      <w:rFonts w:hAnsi="Courier New" w:cs="Times New Roman"/>
      <w:kern w:val="2"/>
      <w:szCs w:val="20"/>
    </w:rPr>
  </w:style>
  <w:style w:type="character" w:customStyle="1" w:styleId="Char4">
    <w:name w:val="称呼 Char"/>
    <w:link w:val="3889"/>
    <w:uiPriority w:val="99"/>
    <w:qFormat/>
    <w:rPr>
      <w:rFonts w:ascii="Times New Roman" w:hAnsi="Times New Roman"/>
      <w:kern w:val="2"/>
      <w:sz w:val="21"/>
      <w:szCs w:val="21"/>
    </w:rPr>
  </w:style>
  <w:style w:type="paragraph" w:customStyle="1" w:styleId="3889">
    <w:name w:val="3889"/>
    <w:basedOn w:val="3903"/>
    <w:link w:val="Char4"/>
    <w:qFormat/>
    <w:pPr>
      <w:widowControl w:val="0"/>
    </w:pPr>
    <w:rPr>
      <w:rFonts w:ascii="Times New Roman" w:hAnsi="Times New Roman" w:cs="Times New Roman"/>
      <w:kern w:val="2"/>
    </w:rPr>
  </w:style>
  <w:style w:type="character" w:customStyle="1" w:styleId="fontstyle01">
    <w:name w:val="fontstyle01"/>
    <w:qFormat/>
    <w:rPr>
      <w:rFonts w:ascii="FZLTSK--GBK1-0" w:hAnsi="FZLTSK--GBK1-0" w:hint="default"/>
      <w:color w:val="000000"/>
      <w:sz w:val="20"/>
      <w:szCs w:val="20"/>
    </w:rPr>
  </w:style>
  <w:style w:type="character" w:customStyle="1" w:styleId="18">
    <w:name w:val="批注文字 字符1"/>
    <w:uiPriority w:val="99"/>
    <w:semiHidden/>
    <w:qFormat/>
    <w:locked/>
    <w:rPr>
      <w:rFonts w:ascii="Times New Roman" w:hAnsi="Times New Roman"/>
      <w:kern w:val="2"/>
      <w:sz w:val="21"/>
      <w:szCs w:val="21"/>
    </w:rPr>
  </w:style>
  <w:style w:type="character" w:customStyle="1" w:styleId="2Char1">
    <w:name w:val="标题 2 Char1"/>
    <w:qFormat/>
    <w:rPr>
      <w:rFonts w:ascii="Arial" w:hAnsi="Arial"/>
      <w:b/>
      <w:bCs/>
      <w:kern w:val="2"/>
      <w:sz w:val="21"/>
      <w:szCs w:val="21"/>
    </w:rPr>
  </w:style>
  <w:style w:type="character" w:customStyle="1" w:styleId="5Char2">
    <w:name w:val="标题 5 Char2"/>
    <w:uiPriority w:val="9"/>
    <w:qFormat/>
    <w:rPr>
      <w:b/>
      <w:bCs/>
      <w:kern w:val="2"/>
      <w:sz w:val="21"/>
      <w:szCs w:val="28"/>
    </w:rPr>
  </w:style>
  <w:style w:type="character" w:customStyle="1" w:styleId="3Char2">
    <w:name w:val="标题 3 Char2"/>
    <w:uiPriority w:val="9"/>
    <w:qFormat/>
    <w:rPr>
      <w:b/>
      <w:bCs/>
      <w:kern w:val="2"/>
      <w:sz w:val="21"/>
      <w:szCs w:val="32"/>
    </w:rPr>
  </w:style>
  <w:style w:type="character" w:customStyle="1" w:styleId="3Char3">
    <w:name w:val="标题 3 Char3"/>
    <w:uiPriority w:val="9"/>
    <w:qFormat/>
    <w:rPr>
      <w:b/>
      <w:bCs/>
      <w:kern w:val="2"/>
      <w:sz w:val="21"/>
      <w:szCs w:val="32"/>
    </w:rPr>
  </w:style>
  <w:style w:type="paragraph" w:customStyle="1" w:styleId="TOC11">
    <w:name w:val="TOC 1 字符"/>
    <w:basedOn w:val="a"/>
    <w:next w:val="a"/>
    <w:uiPriority w:val="99"/>
    <w:qFormat/>
    <w:pPr>
      <w:keepNext/>
      <w:keepLines/>
      <w:widowControl w:val="0"/>
      <w:spacing w:before="60" w:after="60" w:line="360" w:lineRule="auto"/>
      <w:jc w:val="center"/>
      <w:outlineLvl w:val="0"/>
    </w:pPr>
    <w:rPr>
      <w:rFonts w:ascii="Calibri" w:eastAsia="黑体" w:hAnsi="Calibri" w:cs="Times New Roman"/>
      <w:b/>
      <w:kern w:val="44"/>
      <w:sz w:val="28"/>
      <w:szCs w:val="44"/>
    </w:rPr>
  </w:style>
  <w:style w:type="table" w:customStyle="1" w:styleId="19">
    <w:name w:val="网格型1"/>
    <w:basedOn w:val="a1"/>
    <w:uiPriority w:val="59"/>
    <w:qFormat/>
    <w:pPr>
      <w:widowControl w:val="0"/>
      <w:jc w:val="both"/>
    </w:pPr>
    <w:rPr>
      <w:rFonts w:ascii="Times New Roman" w:hAnsi="Times New Roman" w:cs="Times New Roman"/>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11">
    <w:name w:val="g11"/>
    <w:uiPriority w:val="99"/>
    <w:semiHidden/>
    <w:qFormat/>
    <w:rPr>
      <w:rFonts w:ascii="Calibri" w:hAnsi="Calibri" w:cs="Times New Roman"/>
      <w:bCs/>
    </w:rPr>
    <w:tblPr>
      <w:tblCellMar>
        <w:top w:w="0" w:type="dxa"/>
        <w:left w:w="108" w:type="dxa"/>
        <w:bottom w:w="0" w:type="dxa"/>
        <w:right w:w="108" w:type="dxa"/>
      </w:tblCellMar>
    </w:tblPr>
  </w:style>
  <w:style w:type="character" w:customStyle="1" w:styleId="80">
    <w:name w:val="标题 8 字符"/>
    <w:basedOn w:val="a0"/>
    <w:semiHidden/>
    <w:qFormat/>
    <w:rPr>
      <w:rFonts w:asciiTheme="majorHAnsi" w:eastAsiaTheme="majorEastAsia" w:hAnsiTheme="majorHAnsi" w:cstheme="majorBidi"/>
      <w:sz w:val="24"/>
      <w:szCs w:val="24"/>
    </w:rPr>
  </w:style>
  <w:style w:type="character" w:customStyle="1" w:styleId="90">
    <w:name w:val="标题 9 字符"/>
    <w:basedOn w:val="a0"/>
    <w:link w:val="2254"/>
    <w:semiHidden/>
    <w:qFormat/>
    <w:rPr>
      <w:rFonts w:asciiTheme="majorHAnsi" w:eastAsiaTheme="majorEastAsia" w:hAnsiTheme="majorHAnsi" w:cstheme="majorBidi"/>
    </w:rPr>
  </w:style>
  <w:style w:type="paragraph" w:customStyle="1" w:styleId="2254">
    <w:name w:val="2254"/>
    <w:basedOn w:val="2262"/>
    <w:link w:val="90"/>
    <w:semiHidden/>
    <w:qFormat/>
    <w:pPr>
      <w:keepNext/>
      <w:keepLines/>
      <w:widowControl w:val="0"/>
      <w:adjustRightInd w:val="0"/>
      <w:spacing w:before="240" w:after="64" w:line="320" w:lineRule="atLeast"/>
      <w:outlineLvl w:val="8"/>
    </w:pPr>
    <w:rPr>
      <w:rFonts w:asciiTheme="majorHAnsi" w:eastAsiaTheme="majorEastAsia" w:hAnsiTheme="majorHAnsi" w:cstheme="majorBidi"/>
    </w:rPr>
  </w:style>
  <w:style w:type="paragraph" w:customStyle="1" w:styleId="3243">
    <w:name w:val="3243"/>
    <w:uiPriority w:val="99"/>
    <w:qFormat/>
    <w:pPr>
      <w:spacing w:before="40"/>
      <w:ind w:left="450" w:hanging="450"/>
    </w:pPr>
    <w:rPr>
      <w:rFonts w:eastAsia="华文楷体"/>
      <w:color w:val="000000"/>
      <w:sz w:val="18"/>
      <w:szCs w:val="24"/>
    </w:rPr>
  </w:style>
  <w:style w:type="paragraph" w:customStyle="1" w:styleId="3690">
    <w:name w:val="3690"/>
    <w:uiPriority w:val="99"/>
    <w:qFormat/>
    <w:rPr>
      <w:sz w:val="21"/>
      <w:szCs w:val="21"/>
    </w:rPr>
  </w:style>
  <w:style w:type="paragraph" w:customStyle="1" w:styleId="2249">
    <w:name w:val="2249"/>
    <w:uiPriority w:val="99"/>
    <w:qFormat/>
    <w:pPr>
      <w:widowControl w:val="0"/>
      <w:jc w:val="center"/>
    </w:pPr>
    <w:rPr>
      <w:rFonts w:cs="Times New Roman"/>
      <w:color w:val="0000FF"/>
      <w:sz w:val="21"/>
      <w:szCs w:val="21"/>
      <w:u w:val="single"/>
    </w:rPr>
  </w:style>
  <w:style w:type="character" w:customStyle="1" w:styleId="220">
    <w:name w:val="标题 2 字符2"/>
    <w:semiHidden/>
    <w:qFormat/>
    <w:locked/>
    <w:rPr>
      <w:rFonts w:ascii="Arial" w:hAnsi="Arial" w:cs="Times New Roman"/>
      <w:b/>
      <w:bCs/>
      <w:kern w:val="2"/>
    </w:rPr>
  </w:style>
  <w:style w:type="character" w:customStyle="1" w:styleId="13">
    <w:name w:val="普通(网站) 字符1"/>
    <w:link w:val="af5"/>
    <w:uiPriority w:val="99"/>
    <w:qFormat/>
    <w:locked/>
    <w:rPr>
      <w:sz w:val="24"/>
    </w:rPr>
  </w:style>
  <w:style w:type="paragraph" w:customStyle="1" w:styleId="msonormal0">
    <w:name w:val="msonormal"/>
    <w:basedOn w:val="a"/>
    <w:uiPriority w:val="99"/>
    <w:qFormat/>
    <w:pPr>
      <w:spacing w:before="100" w:beforeAutospacing="1" w:after="100" w:afterAutospacing="1"/>
    </w:pPr>
    <w:rPr>
      <w:bCs/>
      <w:sz w:val="24"/>
    </w:rPr>
  </w:style>
  <w:style w:type="character" w:customStyle="1" w:styleId="TOC31">
    <w:name w:val="TOC 3 字符1"/>
    <w:link w:val="TOC3"/>
    <w:uiPriority w:val="39"/>
    <w:qFormat/>
    <w:locked/>
    <w:rPr>
      <w:rFonts w:ascii="Calibri" w:hAnsi="Calibri" w:cs="Times New Roman"/>
      <w:sz w:val="22"/>
      <w:szCs w:val="22"/>
    </w:rPr>
  </w:style>
  <w:style w:type="character" w:customStyle="1" w:styleId="11">
    <w:name w:val="正文缩进 字符1"/>
    <w:link w:val="a5"/>
    <w:qFormat/>
    <w:locked/>
    <w:rPr>
      <w:rFonts w:ascii="Times New Roman" w:eastAsia="宋体" w:hAnsi="Times New Roman" w:cs="Times New Roman" w:hint="default"/>
      <w:kern w:val="2"/>
      <w:szCs w:val="21"/>
    </w:rPr>
  </w:style>
  <w:style w:type="character" w:customStyle="1" w:styleId="12">
    <w:name w:val="引文目录标题 字符1"/>
    <w:link w:val="a8"/>
    <w:semiHidden/>
    <w:qFormat/>
    <w:locked/>
    <w:rPr>
      <w:rFonts w:ascii="Arial" w:hAnsi="Arial" w:cs="Times New Roman"/>
      <w:b/>
      <w:bCs/>
      <w:kern w:val="2"/>
    </w:rPr>
  </w:style>
  <w:style w:type="character" w:customStyle="1" w:styleId="25">
    <w:name w:val="修订 字符2"/>
    <w:link w:val="15"/>
    <w:uiPriority w:val="99"/>
    <w:semiHidden/>
    <w:qFormat/>
    <w:locked/>
    <w:rPr>
      <w:rFonts w:ascii="Times New Roman" w:eastAsia="宋体" w:hAnsi="Times New Roman" w:cs="Times New Roman" w:hint="default"/>
      <w:kern w:val="2"/>
      <w:szCs w:val="22"/>
    </w:rPr>
  </w:style>
  <w:style w:type="character" w:customStyle="1" w:styleId="2161">
    <w:name w:val="2161"/>
    <w:qFormat/>
    <w:locked/>
    <w:rPr>
      <w:rFonts w:ascii="Times New Roman" w:hAnsi="Times New Roman" w:cs="Times New Roman"/>
      <w:b/>
      <w:kern w:val="2"/>
    </w:rPr>
  </w:style>
  <w:style w:type="paragraph" w:customStyle="1" w:styleId="3867">
    <w:name w:val="3867"/>
    <w:basedOn w:val="a"/>
    <w:next w:val="aff2"/>
    <w:uiPriority w:val="34"/>
    <w:qFormat/>
    <w:pPr>
      <w:widowControl w:val="0"/>
      <w:ind w:firstLineChars="200" w:firstLine="420"/>
      <w:jc w:val="both"/>
    </w:pPr>
    <w:rPr>
      <w:rFonts w:ascii="Calibri" w:hAnsi="Calibri" w:cs="Times New Roman"/>
      <w:bCs/>
      <w:kern w:val="2"/>
      <w:szCs w:val="22"/>
    </w:rPr>
  </w:style>
  <w:style w:type="paragraph" w:customStyle="1" w:styleId="3866">
    <w:name w:val="3866"/>
    <w:basedOn w:val="a"/>
    <w:next w:val="aff2"/>
    <w:uiPriority w:val="34"/>
    <w:qFormat/>
    <w:pPr>
      <w:widowControl w:val="0"/>
      <w:ind w:firstLineChars="200" w:firstLine="420"/>
      <w:jc w:val="both"/>
    </w:pPr>
    <w:rPr>
      <w:rFonts w:ascii="Calibri" w:hAnsi="Calibri" w:cs="Times New Roman"/>
      <w:bCs/>
      <w:kern w:val="2"/>
      <w:szCs w:val="22"/>
    </w:rPr>
  </w:style>
  <w:style w:type="paragraph" w:customStyle="1" w:styleId="CharCharCharCharCharCharCharCharChar">
    <w:name w:val="Char Char Char Char Char Char Char Char Char"/>
    <w:basedOn w:val="a"/>
    <w:uiPriority w:val="99"/>
    <w:qFormat/>
    <w:pPr>
      <w:widowControl w:val="0"/>
      <w:jc w:val="both"/>
    </w:pPr>
    <w:rPr>
      <w:rFonts w:ascii="Times New Roman" w:hAnsi="Times New Roman" w:cs="Times New Roman"/>
      <w:bCs/>
      <w:kern w:val="2"/>
      <w:sz w:val="24"/>
      <w:szCs w:val="24"/>
    </w:rPr>
  </w:style>
  <w:style w:type="paragraph" w:customStyle="1" w:styleId="CharCharCharCharCharCharCharCharChar1">
    <w:name w:val="Char Char Char Char Char Char Char Char Char1"/>
    <w:basedOn w:val="a"/>
    <w:uiPriority w:val="99"/>
    <w:qFormat/>
    <w:pPr>
      <w:widowControl w:val="0"/>
      <w:tabs>
        <w:tab w:val="left" w:pos="315"/>
      </w:tabs>
      <w:ind w:left="315" w:hanging="315"/>
      <w:jc w:val="both"/>
    </w:pPr>
    <w:rPr>
      <w:rFonts w:ascii="Times New Roman" w:hAnsi="Times New Roman" w:cs="Times New Roman"/>
      <w:bCs/>
      <w:kern w:val="2"/>
      <w:sz w:val="24"/>
      <w:szCs w:val="24"/>
    </w:rPr>
  </w:style>
  <w:style w:type="paragraph" w:customStyle="1" w:styleId="CharCharCharCharCharChar1CharCharChar">
    <w:name w:val="Char Char Char Char Char Char1 Char Char Char"/>
    <w:basedOn w:val="a"/>
    <w:uiPriority w:val="99"/>
    <w:qFormat/>
    <w:pPr>
      <w:widowControl w:val="0"/>
      <w:autoSpaceDE w:val="0"/>
      <w:autoSpaceDN w:val="0"/>
      <w:adjustRightInd w:val="0"/>
    </w:pPr>
    <w:rPr>
      <w:rFonts w:ascii="Times New Roman" w:hAnsi="Times New Roman" w:cs="Times New Roman"/>
      <w:bCs/>
      <w:kern w:val="2"/>
      <w:sz w:val="30"/>
      <w:szCs w:val="20"/>
    </w:rPr>
  </w:style>
  <w:style w:type="paragraph" w:customStyle="1" w:styleId="2CharCharChar1">
    <w:name w:val="标题 2 Char Char Char1"/>
    <w:basedOn w:val="a"/>
    <w:next w:val="a"/>
    <w:uiPriority w:val="99"/>
    <w:qFormat/>
    <w:pPr>
      <w:keepNext/>
      <w:keepLines/>
      <w:widowControl w:val="0"/>
      <w:tabs>
        <w:tab w:val="left" w:pos="546"/>
      </w:tabs>
      <w:adjustRightInd w:val="0"/>
      <w:spacing w:before="120" w:after="120" w:line="480" w:lineRule="atLeast"/>
      <w:ind w:left="420" w:hanging="420"/>
      <w:outlineLvl w:val="1"/>
    </w:pPr>
    <w:rPr>
      <w:rFonts w:cs="Times New Roman"/>
      <w:bCs/>
      <w:color w:val="000000"/>
    </w:rPr>
  </w:style>
  <w:style w:type="paragraph" w:customStyle="1" w:styleId="221">
    <w:name w:val="22"/>
    <w:basedOn w:val="a"/>
    <w:next w:val="a"/>
    <w:uiPriority w:val="39"/>
    <w:qFormat/>
    <w:pPr>
      <w:tabs>
        <w:tab w:val="right" w:leader="dot" w:pos="8296"/>
      </w:tabs>
      <w:ind w:leftChars="200" w:left="420"/>
      <w:jc w:val="center"/>
    </w:pPr>
    <w:rPr>
      <w:rFonts w:cs="Times New Roman"/>
      <w:b/>
      <w:bCs/>
      <w:color w:val="000000"/>
      <w:sz w:val="32"/>
      <w:szCs w:val="32"/>
    </w:rPr>
  </w:style>
  <w:style w:type="paragraph" w:customStyle="1" w:styleId="210">
    <w:name w:val="21"/>
    <w:basedOn w:val="a"/>
    <w:next w:val="a"/>
    <w:uiPriority w:val="39"/>
    <w:qFormat/>
    <w:rPr>
      <w:rFonts w:cs="Times New Roman"/>
      <w:bCs/>
      <w:color w:val="000000"/>
      <w:szCs w:val="20"/>
    </w:rPr>
  </w:style>
  <w:style w:type="paragraph" w:customStyle="1" w:styleId="200">
    <w:name w:val="20"/>
    <w:basedOn w:val="a"/>
    <w:next w:val="a"/>
    <w:uiPriority w:val="39"/>
    <w:qFormat/>
    <w:pPr>
      <w:spacing w:after="100" w:line="276" w:lineRule="auto"/>
      <w:ind w:left="440"/>
    </w:pPr>
    <w:rPr>
      <w:rFonts w:ascii="Calibri" w:hAnsi="Calibri" w:cs="Times New Roman"/>
      <w:bCs/>
      <w:sz w:val="22"/>
      <w:szCs w:val="22"/>
    </w:rPr>
  </w:style>
  <w:style w:type="paragraph" w:customStyle="1" w:styleId="190">
    <w:name w:val="19"/>
    <w:basedOn w:val="a"/>
    <w:next w:val="a"/>
    <w:uiPriority w:val="39"/>
    <w:qFormat/>
    <w:pPr>
      <w:widowControl w:val="0"/>
      <w:ind w:leftChars="600" w:left="1260"/>
      <w:jc w:val="both"/>
    </w:pPr>
    <w:rPr>
      <w:rFonts w:ascii="Calibri" w:hAnsi="Calibri" w:cs="Times New Roman"/>
      <w:bCs/>
      <w:kern w:val="2"/>
      <w:szCs w:val="22"/>
    </w:rPr>
  </w:style>
  <w:style w:type="paragraph" w:customStyle="1" w:styleId="180">
    <w:name w:val="18"/>
    <w:basedOn w:val="a"/>
    <w:next w:val="a"/>
    <w:uiPriority w:val="39"/>
    <w:qFormat/>
    <w:pPr>
      <w:widowControl w:val="0"/>
      <w:ind w:leftChars="800" w:left="1680"/>
      <w:jc w:val="both"/>
    </w:pPr>
    <w:rPr>
      <w:rFonts w:ascii="Calibri" w:hAnsi="Calibri" w:cs="Times New Roman"/>
      <w:bCs/>
      <w:kern w:val="2"/>
      <w:szCs w:val="22"/>
    </w:rPr>
  </w:style>
  <w:style w:type="paragraph" w:customStyle="1" w:styleId="170">
    <w:name w:val="17"/>
    <w:basedOn w:val="a"/>
    <w:next w:val="a"/>
    <w:uiPriority w:val="39"/>
    <w:qFormat/>
    <w:pPr>
      <w:widowControl w:val="0"/>
      <w:ind w:leftChars="1000" w:left="2100"/>
      <w:jc w:val="both"/>
    </w:pPr>
    <w:rPr>
      <w:rFonts w:ascii="Calibri" w:hAnsi="Calibri" w:cs="Times New Roman"/>
      <w:bCs/>
      <w:kern w:val="2"/>
      <w:szCs w:val="22"/>
    </w:rPr>
  </w:style>
  <w:style w:type="paragraph" w:customStyle="1" w:styleId="160">
    <w:name w:val="16"/>
    <w:basedOn w:val="a"/>
    <w:next w:val="a"/>
    <w:uiPriority w:val="39"/>
    <w:qFormat/>
    <w:pPr>
      <w:widowControl w:val="0"/>
      <w:ind w:leftChars="1200" w:left="2520"/>
      <w:jc w:val="both"/>
    </w:pPr>
    <w:rPr>
      <w:rFonts w:ascii="Calibri" w:hAnsi="Calibri" w:cs="Times New Roman"/>
      <w:bCs/>
      <w:kern w:val="2"/>
      <w:szCs w:val="22"/>
    </w:rPr>
  </w:style>
  <w:style w:type="paragraph" w:customStyle="1" w:styleId="140">
    <w:name w:val="14"/>
    <w:basedOn w:val="a"/>
    <w:next w:val="a"/>
    <w:uiPriority w:val="39"/>
    <w:qFormat/>
    <w:pPr>
      <w:widowControl w:val="0"/>
      <w:ind w:leftChars="1400" w:left="2940"/>
      <w:jc w:val="both"/>
    </w:pPr>
    <w:rPr>
      <w:rFonts w:ascii="Calibri" w:hAnsi="Calibri" w:cs="Times New Roman"/>
      <w:bCs/>
      <w:kern w:val="2"/>
      <w:szCs w:val="22"/>
    </w:rPr>
  </w:style>
  <w:style w:type="paragraph" w:customStyle="1" w:styleId="130">
    <w:name w:val="13"/>
    <w:basedOn w:val="a"/>
    <w:next w:val="a"/>
    <w:uiPriority w:val="39"/>
    <w:qFormat/>
    <w:pPr>
      <w:widowControl w:val="0"/>
      <w:ind w:leftChars="1600" w:left="3360"/>
      <w:jc w:val="both"/>
    </w:pPr>
    <w:rPr>
      <w:rFonts w:ascii="Calibri" w:hAnsi="Calibri" w:cs="Times New Roman"/>
      <w:bCs/>
      <w:kern w:val="2"/>
      <w:szCs w:val="22"/>
    </w:rPr>
  </w:style>
  <w:style w:type="paragraph" w:customStyle="1" w:styleId="120">
    <w:name w:val="12"/>
    <w:basedOn w:val="a"/>
    <w:uiPriority w:val="99"/>
    <w:qFormat/>
    <w:pPr>
      <w:widowControl w:val="0"/>
      <w:tabs>
        <w:tab w:val="left" w:pos="1200"/>
      </w:tabs>
      <w:jc w:val="both"/>
    </w:pPr>
    <w:rPr>
      <w:rFonts w:ascii="Times New Roman" w:hAnsi="Times New Roman" w:cs="Times New Roman"/>
      <w:bCs/>
      <w:kern w:val="2"/>
    </w:rPr>
  </w:style>
  <w:style w:type="paragraph" w:customStyle="1" w:styleId="110">
    <w:name w:val="11"/>
    <w:basedOn w:val="a"/>
    <w:next w:val="a"/>
    <w:uiPriority w:val="99"/>
    <w:qFormat/>
    <w:pPr>
      <w:keepNext/>
      <w:keepLines/>
      <w:widowControl w:val="0"/>
      <w:spacing w:before="100" w:beforeAutospacing="1" w:after="100" w:afterAutospacing="1" w:line="412" w:lineRule="auto"/>
      <w:jc w:val="both"/>
    </w:pPr>
    <w:rPr>
      <w:rFonts w:ascii="Times New Roman" w:hAnsi="Times New Roman" w:cs="Times New Roman"/>
      <w:b/>
      <w:bCs/>
      <w:kern w:val="2"/>
      <w:szCs w:val="24"/>
    </w:rPr>
  </w:style>
  <w:style w:type="paragraph" w:customStyle="1" w:styleId="92">
    <w:name w:val="9"/>
    <w:basedOn w:val="a"/>
    <w:next w:val="aff2"/>
    <w:uiPriority w:val="34"/>
    <w:qFormat/>
    <w:pPr>
      <w:widowControl w:val="0"/>
      <w:ind w:firstLineChars="200" w:firstLine="420"/>
      <w:jc w:val="both"/>
    </w:pPr>
    <w:rPr>
      <w:rFonts w:ascii="Calibri" w:hAnsi="Calibri" w:cs="Times New Roman"/>
      <w:bCs/>
      <w:kern w:val="2"/>
      <w:szCs w:val="22"/>
    </w:rPr>
  </w:style>
  <w:style w:type="paragraph" w:customStyle="1" w:styleId="82">
    <w:name w:val="8"/>
    <w:basedOn w:val="a"/>
    <w:next w:val="aff2"/>
    <w:uiPriority w:val="34"/>
    <w:qFormat/>
    <w:pPr>
      <w:widowControl w:val="0"/>
      <w:ind w:firstLineChars="200" w:firstLine="420"/>
      <w:jc w:val="both"/>
    </w:pPr>
    <w:rPr>
      <w:rFonts w:ascii="Calibri" w:hAnsi="Calibri" w:cs="Times New Roman"/>
      <w:bCs/>
      <w:kern w:val="2"/>
      <w:szCs w:val="22"/>
    </w:rPr>
  </w:style>
  <w:style w:type="paragraph" w:customStyle="1" w:styleId="71">
    <w:name w:val="7"/>
    <w:basedOn w:val="a"/>
    <w:next w:val="aff2"/>
    <w:uiPriority w:val="34"/>
    <w:qFormat/>
    <w:pPr>
      <w:widowControl w:val="0"/>
      <w:ind w:firstLineChars="200" w:firstLine="420"/>
      <w:jc w:val="both"/>
    </w:pPr>
    <w:rPr>
      <w:rFonts w:ascii="Calibri" w:hAnsi="Calibri" w:cs="Times New Roman"/>
      <w:bCs/>
      <w:kern w:val="2"/>
      <w:szCs w:val="22"/>
    </w:rPr>
  </w:style>
  <w:style w:type="paragraph" w:customStyle="1" w:styleId="61">
    <w:name w:val="6"/>
    <w:basedOn w:val="a"/>
    <w:next w:val="aff2"/>
    <w:uiPriority w:val="34"/>
    <w:qFormat/>
    <w:pPr>
      <w:widowControl w:val="0"/>
      <w:ind w:firstLineChars="200" w:firstLine="420"/>
      <w:jc w:val="both"/>
    </w:pPr>
    <w:rPr>
      <w:rFonts w:ascii="Calibri" w:hAnsi="Calibri" w:cs="Times New Roman"/>
      <w:bCs/>
      <w:kern w:val="2"/>
      <w:szCs w:val="22"/>
    </w:rPr>
  </w:style>
  <w:style w:type="paragraph" w:customStyle="1" w:styleId="53">
    <w:name w:val="5"/>
    <w:uiPriority w:val="99"/>
    <w:qFormat/>
    <w:rPr>
      <w:bCs/>
      <w:kern w:val="2"/>
      <w:sz w:val="21"/>
      <w:szCs w:val="24"/>
    </w:rPr>
  </w:style>
  <w:style w:type="paragraph" w:customStyle="1" w:styleId="2698">
    <w:name w:val="2698"/>
    <w:uiPriority w:val="99"/>
    <w:qFormat/>
    <w:rPr>
      <w:bCs/>
      <w:sz w:val="21"/>
      <w:szCs w:val="24"/>
    </w:rPr>
  </w:style>
  <w:style w:type="paragraph" w:customStyle="1" w:styleId="3795">
    <w:name w:val="3795"/>
    <w:basedOn w:val="a"/>
    <w:uiPriority w:val="34"/>
    <w:qFormat/>
    <w:pPr>
      <w:widowControl w:val="0"/>
      <w:ind w:firstLineChars="200" w:firstLine="420"/>
      <w:jc w:val="both"/>
    </w:pPr>
    <w:rPr>
      <w:rFonts w:ascii="Calibri" w:hAnsi="Calibri" w:cs="Times New Roman"/>
      <w:bCs/>
      <w:kern w:val="2"/>
      <w:szCs w:val="22"/>
    </w:rPr>
  </w:style>
  <w:style w:type="paragraph" w:customStyle="1" w:styleId="3957">
    <w:name w:val="3957"/>
    <w:basedOn w:val="a"/>
    <w:uiPriority w:val="34"/>
    <w:qFormat/>
    <w:pPr>
      <w:widowControl w:val="0"/>
      <w:ind w:firstLineChars="200" w:firstLine="420"/>
      <w:jc w:val="both"/>
    </w:pPr>
    <w:rPr>
      <w:rFonts w:ascii="Calibri" w:hAnsi="Calibri" w:cs="Times New Roman"/>
      <w:bCs/>
      <w:kern w:val="2"/>
      <w:szCs w:val="22"/>
    </w:rPr>
  </w:style>
  <w:style w:type="paragraph" w:customStyle="1" w:styleId="678">
    <w:name w:val="678"/>
    <w:basedOn w:val="a"/>
    <w:uiPriority w:val="99"/>
    <w:qFormat/>
    <w:rPr>
      <w:rFonts w:cs="Times New Roman"/>
      <w:bCs/>
      <w:kern w:val="2"/>
    </w:rPr>
  </w:style>
  <w:style w:type="paragraph" w:customStyle="1" w:styleId="887">
    <w:name w:val="887"/>
    <w:basedOn w:val="a"/>
    <w:uiPriority w:val="59"/>
    <w:qFormat/>
    <w:pPr>
      <w:widowControl w:val="0"/>
    </w:pPr>
    <w:rPr>
      <w:rFonts w:ascii="Times New Roman" w:cs="Times New Roman"/>
      <w:bCs/>
      <w:kern w:val="2"/>
    </w:rPr>
  </w:style>
  <w:style w:type="paragraph" w:customStyle="1" w:styleId="3816">
    <w:name w:val="3816"/>
    <w:uiPriority w:val="99"/>
    <w:qFormat/>
    <w:rPr>
      <w:bCs/>
      <w:kern w:val="2"/>
      <w:sz w:val="21"/>
      <w:szCs w:val="24"/>
    </w:rPr>
  </w:style>
  <w:style w:type="paragraph" w:customStyle="1" w:styleId="3735">
    <w:name w:val="3735"/>
    <w:uiPriority w:val="99"/>
    <w:qFormat/>
    <w:rPr>
      <w:bCs/>
      <w:kern w:val="2"/>
      <w:sz w:val="21"/>
      <w:szCs w:val="24"/>
    </w:rPr>
  </w:style>
  <w:style w:type="paragraph" w:customStyle="1" w:styleId="affa">
    <w:name w:val="列表段落 字符"/>
    <w:basedOn w:val="a"/>
    <w:uiPriority w:val="99"/>
    <w:qFormat/>
    <w:pPr>
      <w:widowControl w:val="0"/>
      <w:jc w:val="both"/>
    </w:pPr>
    <w:rPr>
      <w:rFonts w:ascii="Calibri" w:hAnsi="Calibri" w:cs="Times New Roman"/>
      <w:bCs/>
      <w:kern w:val="2"/>
      <w:sz w:val="18"/>
      <w:szCs w:val="18"/>
    </w:rPr>
  </w:style>
  <w:style w:type="paragraph" w:customStyle="1" w:styleId="affb">
    <w:name w:val="修订 字符"/>
    <w:basedOn w:val="a"/>
    <w:next w:val="a"/>
    <w:uiPriority w:val="99"/>
    <w:qFormat/>
    <w:pPr>
      <w:widowControl w:val="0"/>
      <w:ind w:leftChars="2500" w:left="100"/>
      <w:jc w:val="both"/>
    </w:pPr>
    <w:rPr>
      <w:rFonts w:ascii="Times New Roman" w:hAnsi="Times New Roman" w:cs="Times New Roman"/>
      <w:bCs/>
      <w:kern w:val="2"/>
    </w:rPr>
  </w:style>
  <w:style w:type="character" w:customStyle="1" w:styleId="2139">
    <w:name w:val="2139"/>
    <w:link w:val="3892"/>
    <w:qFormat/>
    <w:locked/>
    <w:rPr>
      <w:kern w:val="2"/>
      <w:szCs w:val="24"/>
    </w:rPr>
  </w:style>
  <w:style w:type="paragraph" w:customStyle="1" w:styleId="3892">
    <w:name w:val="3892"/>
    <w:link w:val="2139"/>
    <w:qFormat/>
    <w:rPr>
      <w:kern w:val="2"/>
      <w:sz w:val="21"/>
      <w:szCs w:val="24"/>
    </w:rPr>
  </w:style>
  <w:style w:type="paragraph" w:customStyle="1" w:styleId="3865">
    <w:name w:val="3865"/>
    <w:basedOn w:val="a"/>
    <w:next w:val="a"/>
    <w:uiPriority w:val="99"/>
    <w:qFormat/>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2CharCharChar2">
    <w:name w:val="标题 2 Char Char Char2"/>
    <w:basedOn w:val="a"/>
    <w:next w:val="a"/>
    <w:uiPriority w:val="99"/>
    <w:qFormat/>
    <w:pPr>
      <w:keepNext/>
      <w:keepLines/>
      <w:widowControl w:val="0"/>
      <w:spacing w:before="60" w:after="60"/>
      <w:ind w:left="200" w:hangingChars="200" w:hanging="200"/>
      <w:jc w:val="both"/>
      <w:outlineLvl w:val="1"/>
    </w:pPr>
    <w:rPr>
      <w:rFonts w:ascii="Arial" w:hAnsi="Arial" w:cs="Times New Roman"/>
      <w:b/>
      <w:bCs/>
      <w:kern w:val="2"/>
    </w:rPr>
  </w:style>
  <w:style w:type="paragraph" w:customStyle="1" w:styleId="3864">
    <w:name w:val="3864"/>
    <w:basedOn w:val="a"/>
    <w:next w:val="a"/>
    <w:uiPriority w:val="9"/>
    <w:qFormat/>
    <w:pPr>
      <w:keepNext/>
      <w:keepLines/>
      <w:widowControl w:val="0"/>
      <w:spacing w:before="60" w:after="60"/>
      <w:jc w:val="both"/>
      <w:outlineLvl w:val="2"/>
    </w:pPr>
    <w:rPr>
      <w:rFonts w:ascii="Calibri" w:hAnsi="Calibri" w:cs="Times New Roman"/>
      <w:b/>
      <w:bCs/>
      <w:kern w:val="2"/>
      <w:szCs w:val="32"/>
    </w:rPr>
  </w:style>
  <w:style w:type="character" w:customStyle="1" w:styleId="699">
    <w:name w:val="699"/>
    <w:link w:val="3863"/>
    <w:uiPriority w:val="9"/>
    <w:qFormat/>
    <w:locked/>
    <w:rPr>
      <w:rFonts w:ascii="Cambria" w:hAnsi="Cambria" w:cs="Times New Roman"/>
      <w:b/>
      <w:kern w:val="2"/>
      <w:szCs w:val="28"/>
    </w:rPr>
  </w:style>
  <w:style w:type="paragraph" w:customStyle="1" w:styleId="3863">
    <w:name w:val="3863"/>
    <w:basedOn w:val="a"/>
    <w:next w:val="a"/>
    <w:link w:val="699"/>
    <w:uiPriority w:val="9"/>
    <w:qFormat/>
    <w:pPr>
      <w:keepNext/>
      <w:keepLines/>
      <w:widowControl w:val="0"/>
      <w:spacing w:before="60" w:after="60"/>
      <w:jc w:val="both"/>
      <w:outlineLvl w:val="3"/>
    </w:pPr>
    <w:rPr>
      <w:rFonts w:ascii="Cambria" w:hAnsi="Cambria" w:cs="Times New Roman"/>
      <w:b/>
      <w:kern w:val="2"/>
      <w:szCs w:val="28"/>
    </w:rPr>
  </w:style>
  <w:style w:type="paragraph" w:customStyle="1" w:styleId="3862">
    <w:name w:val="3862"/>
    <w:basedOn w:val="a"/>
    <w:next w:val="a"/>
    <w:uiPriority w:val="9"/>
    <w:qFormat/>
    <w:pPr>
      <w:keepNext/>
      <w:keepLines/>
      <w:widowControl w:val="0"/>
      <w:spacing w:before="60" w:after="60"/>
      <w:jc w:val="both"/>
      <w:outlineLvl w:val="4"/>
    </w:pPr>
    <w:rPr>
      <w:rFonts w:ascii="Calibri" w:hAnsi="Calibri" w:cs="Times New Roman"/>
      <w:b/>
      <w:bCs/>
      <w:kern w:val="2"/>
      <w:szCs w:val="28"/>
    </w:rPr>
  </w:style>
  <w:style w:type="character" w:customStyle="1" w:styleId="697">
    <w:name w:val="697"/>
    <w:link w:val="3861"/>
    <w:uiPriority w:val="9"/>
    <w:locked/>
    <w:rPr>
      <w:rFonts w:ascii="Cambria" w:hAnsi="Cambria" w:cs="Times New Roman"/>
      <w:b/>
    </w:rPr>
  </w:style>
  <w:style w:type="paragraph" w:customStyle="1" w:styleId="3861">
    <w:name w:val="3861"/>
    <w:basedOn w:val="a"/>
    <w:next w:val="a"/>
    <w:link w:val="697"/>
    <w:uiPriority w:val="9"/>
    <w:qFormat/>
    <w:pPr>
      <w:keepNext/>
      <w:keepLines/>
      <w:spacing w:before="60" w:after="60"/>
      <w:outlineLvl w:val="5"/>
    </w:pPr>
    <w:rPr>
      <w:rFonts w:ascii="Cambria" w:hAnsi="Cambria" w:cs="Times New Roman"/>
      <w:b/>
    </w:rPr>
  </w:style>
  <w:style w:type="character" w:customStyle="1" w:styleId="1320">
    <w:name w:val="1320"/>
    <w:link w:val="3860"/>
    <w:uiPriority w:val="9"/>
    <w:locked/>
    <w:rPr>
      <w:b/>
      <w:sz w:val="24"/>
    </w:rPr>
  </w:style>
  <w:style w:type="paragraph" w:customStyle="1" w:styleId="3860">
    <w:name w:val="3860"/>
    <w:basedOn w:val="a"/>
    <w:next w:val="a"/>
    <w:link w:val="1320"/>
    <w:uiPriority w:val="9"/>
    <w:qFormat/>
    <w:pPr>
      <w:keepNext/>
      <w:keepLines/>
      <w:spacing w:before="240" w:after="64" w:line="319" w:lineRule="auto"/>
      <w:outlineLvl w:val="6"/>
    </w:pPr>
    <w:rPr>
      <w:b/>
      <w:sz w:val="24"/>
    </w:rPr>
  </w:style>
  <w:style w:type="paragraph" w:customStyle="1" w:styleId="3855">
    <w:name w:val="3855"/>
    <w:basedOn w:val="a"/>
    <w:next w:val="a"/>
    <w:uiPriority w:val="39"/>
    <w:qFormat/>
    <w:pPr>
      <w:widowControl w:val="0"/>
      <w:tabs>
        <w:tab w:val="left" w:pos="1260"/>
        <w:tab w:val="right" w:leader="dot" w:pos="8823"/>
      </w:tabs>
      <w:jc w:val="center"/>
    </w:pPr>
    <w:rPr>
      <w:rFonts w:ascii="Times New Roman" w:hAnsi="Times New Roman" w:cs="Times New Roman"/>
      <w:bCs/>
      <w:kern w:val="2"/>
    </w:rPr>
  </w:style>
  <w:style w:type="paragraph" w:customStyle="1" w:styleId="3854">
    <w:name w:val="3854"/>
    <w:basedOn w:val="a"/>
    <w:next w:val="a"/>
    <w:uiPriority w:val="39"/>
    <w:qFormat/>
    <w:pPr>
      <w:widowControl w:val="0"/>
      <w:ind w:leftChars="200" w:left="420"/>
      <w:jc w:val="both"/>
    </w:pPr>
    <w:rPr>
      <w:rFonts w:ascii="Times New Roman" w:hAnsi="Times New Roman" w:cs="Times New Roman"/>
      <w:bCs/>
      <w:kern w:val="2"/>
    </w:rPr>
  </w:style>
  <w:style w:type="paragraph" w:customStyle="1" w:styleId="3853">
    <w:name w:val="3853"/>
    <w:basedOn w:val="a"/>
    <w:uiPriority w:val="99"/>
    <w:qFormat/>
    <w:pPr>
      <w:widowControl w:val="0"/>
    </w:pPr>
    <w:rPr>
      <w:rFonts w:ascii="Times New Roman" w:hAnsi="Times New Roman" w:cs="Times New Roman"/>
      <w:bCs/>
      <w:kern w:val="2"/>
    </w:rPr>
  </w:style>
  <w:style w:type="paragraph" w:customStyle="1" w:styleId="3851">
    <w:name w:val="3851"/>
    <w:basedOn w:val="a"/>
    <w:uiPriority w:val="99"/>
    <w:pPr>
      <w:widowControl w:val="0"/>
      <w:jc w:val="both"/>
    </w:pPr>
    <w:rPr>
      <w:rFonts w:ascii="Calibri" w:hAnsi="Calibri" w:cs="Times New Roman"/>
      <w:bCs/>
      <w:kern w:val="2"/>
      <w:sz w:val="18"/>
      <w:szCs w:val="18"/>
    </w:rPr>
  </w:style>
  <w:style w:type="character" w:customStyle="1" w:styleId="973">
    <w:name w:val="973"/>
    <w:link w:val="3849"/>
    <w:uiPriority w:val="99"/>
    <w:locked/>
    <w:rPr>
      <w:rFonts w:ascii="Times New Roman" w:hAnsi="Times New Roman" w:cs="Times New Roman"/>
      <w:kern w:val="2"/>
    </w:rPr>
  </w:style>
  <w:style w:type="paragraph" w:customStyle="1" w:styleId="3849">
    <w:name w:val="3849"/>
    <w:basedOn w:val="a"/>
    <w:next w:val="a"/>
    <w:link w:val="973"/>
    <w:uiPriority w:val="99"/>
    <w:pPr>
      <w:widowControl w:val="0"/>
      <w:jc w:val="both"/>
    </w:pPr>
    <w:rPr>
      <w:rFonts w:ascii="Times New Roman" w:hAnsi="Times New Roman" w:cs="Times New Roman"/>
      <w:kern w:val="2"/>
    </w:rPr>
  </w:style>
  <w:style w:type="paragraph" w:customStyle="1" w:styleId="3847">
    <w:name w:val="3847"/>
    <w:basedOn w:val="a"/>
    <w:uiPriority w:val="34"/>
    <w:qFormat/>
    <w:pPr>
      <w:widowControl w:val="0"/>
      <w:ind w:firstLineChars="200" w:firstLine="420"/>
      <w:jc w:val="both"/>
    </w:pPr>
    <w:rPr>
      <w:rFonts w:ascii="Calibri" w:hAnsi="Calibri" w:cs="Times New Roman"/>
      <w:bCs/>
      <w:kern w:val="2"/>
      <w:szCs w:val="22"/>
    </w:rPr>
  </w:style>
  <w:style w:type="character" w:customStyle="1" w:styleId="732">
    <w:name w:val="732"/>
    <w:link w:val="3845"/>
    <w:uiPriority w:val="99"/>
    <w:qFormat/>
    <w:locked/>
    <w:rPr>
      <w:rFonts w:ascii="Calibri" w:hAnsi="Calibri" w:cs="Times New Roman"/>
      <w:b/>
      <w:kern w:val="2"/>
      <w:szCs w:val="22"/>
    </w:rPr>
  </w:style>
  <w:style w:type="paragraph" w:customStyle="1" w:styleId="3845">
    <w:name w:val="3845"/>
    <w:basedOn w:val="3853"/>
    <w:next w:val="a9"/>
    <w:link w:val="732"/>
    <w:uiPriority w:val="99"/>
    <w:qFormat/>
    <w:rPr>
      <w:rFonts w:ascii="Calibri" w:hAnsi="Calibri"/>
      <w:b/>
      <w:bCs w:val="0"/>
      <w:szCs w:val="22"/>
    </w:rPr>
  </w:style>
  <w:style w:type="paragraph" w:customStyle="1" w:styleId="3844">
    <w:name w:val="3844"/>
    <w:basedOn w:val="a"/>
    <w:next w:val="a"/>
    <w:uiPriority w:val="39"/>
    <w:qFormat/>
    <w:pPr>
      <w:spacing w:after="100" w:line="276" w:lineRule="auto"/>
      <w:ind w:left="440"/>
    </w:pPr>
    <w:rPr>
      <w:rFonts w:ascii="Calibri" w:hAnsi="Calibri" w:cs="Times New Roman"/>
      <w:bCs/>
      <w:sz w:val="22"/>
      <w:szCs w:val="22"/>
    </w:rPr>
  </w:style>
  <w:style w:type="paragraph" w:customStyle="1" w:styleId="3843">
    <w:name w:val="3843"/>
    <w:basedOn w:val="a"/>
    <w:uiPriority w:val="99"/>
    <w:qFormat/>
    <w:pPr>
      <w:widowControl w:val="0"/>
      <w:pBdr>
        <w:bottom w:val="single" w:sz="6" w:space="1" w:color="auto"/>
      </w:pBdr>
      <w:tabs>
        <w:tab w:val="center" w:pos="4153"/>
        <w:tab w:val="right" w:pos="8306"/>
      </w:tabs>
      <w:snapToGrid w:val="0"/>
      <w:jc w:val="center"/>
    </w:pPr>
    <w:rPr>
      <w:rFonts w:ascii="Calibri" w:hAnsi="Calibri" w:cs="Times New Roman"/>
      <w:bCs/>
      <w:kern w:val="2"/>
      <w:sz w:val="18"/>
      <w:szCs w:val="18"/>
    </w:rPr>
  </w:style>
  <w:style w:type="paragraph" w:customStyle="1" w:styleId="3841">
    <w:name w:val="3841"/>
    <w:basedOn w:val="a"/>
    <w:uiPriority w:val="99"/>
    <w:qFormat/>
    <w:pPr>
      <w:widowControl w:val="0"/>
      <w:tabs>
        <w:tab w:val="center" w:pos="4153"/>
        <w:tab w:val="right" w:pos="8306"/>
      </w:tabs>
      <w:snapToGrid w:val="0"/>
    </w:pPr>
    <w:rPr>
      <w:rFonts w:ascii="Calibri" w:hAnsi="Calibri" w:cs="Times New Roman"/>
      <w:bCs/>
      <w:kern w:val="2"/>
      <w:sz w:val="18"/>
      <w:szCs w:val="18"/>
    </w:rPr>
  </w:style>
  <w:style w:type="paragraph" w:customStyle="1" w:styleId="3840">
    <w:name w:val="3840"/>
    <w:basedOn w:val="a"/>
    <w:uiPriority w:val="99"/>
    <w:qFormat/>
    <w:pPr>
      <w:widowControl w:val="0"/>
      <w:jc w:val="both"/>
    </w:pPr>
    <w:rPr>
      <w:rFonts w:hAnsi="Courier New" w:cs="Times New Roman"/>
      <w:bCs/>
      <w:kern w:val="2"/>
      <w:szCs w:val="20"/>
    </w:rPr>
  </w:style>
  <w:style w:type="paragraph" w:customStyle="1" w:styleId="3838">
    <w:name w:val="3838"/>
    <w:basedOn w:val="a"/>
    <w:uiPriority w:val="99"/>
    <w:qFormat/>
    <w:pPr>
      <w:widowControl w:val="0"/>
      <w:spacing w:after="120"/>
      <w:jc w:val="both"/>
    </w:pPr>
    <w:rPr>
      <w:rFonts w:ascii="Times New Roman" w:hAnsi="Times New Roman" w:cs="Times New Roman"/>
      <w:bCs/>
      <w:kern w:val="2"/>
    </w:rPr>
  </w:style>
  <w:style w:type="paragraph" w:customStyle="1" w:styleId="3836">
    <w:name w:val="3836"/>
    <w:basedOn w:val="a"/>
    <w:next w:val="a"/>
    <w:uiPriority w:val="99"/>
    <w:qFormat/>
    <w:pPr>
      <w:widowControl w:val="0"/>
      <w:ind w:leftChars="2500" w:left="100"/>
      <w:jc w:val="both"/>
    </w:pPr>
    <w:rPr>
      <w:rFonts w:ascii="Times New Roman" w:hAnsi="Times New Roman" w:cs="Times New Roman"/>
      <w:bCs/>
      <w:kern w:val="2"/>
    </w:rPr>
  </w:style>
  <w:style w:type="paragraph" w:customStyle="1" w:styleId="3834">
    <w:name w:val="3834"/>
    <w:basedOn w:val="a"/>
    <w:next w:val="a"/>
    <w:uiPriority w:val="99"/>
    <w:pPr>
      <w:widowControl w:val="0"/>
      <w:jc w:val="center"/>
    </w:pPr>
    <w:rPr>
      <w:rFonts w:ascii="Times New Roman" w:hAnsi="Times New Roman" w:cs="Times New Roman"/>
      <w:bCs/>
      <w:kern w:val="2"/>
    </w:rPr>
  </w:style>
  <w:style w:type="paragraph" w:customStyle="1" w:styleId="3832">
    <w:name w:val="3832"/>
    <w:basedOn w:val="a"/>
    <w:next w:val="a"/>
    <w:uiPriority w:val="99"/>
    <w:semiHidden/>
    <w:qFormat/>
    <w:pPr>
      <w:widowControl w:val="0"/>
      <w:spacing w:before="120"/>
      <w:jc w:val="both"/>
    </w:pPr>
    <w:rPr>
      <w:rFonts w:ascii="Arial" w:hAnsi="Arial" w:cs="Times New Roman"/>
      <w:b/>
      <w:bCs/>
      <w:kern w:val="2"/>
    </w:rPr>
  </w:style>
  <w:style w:type="paragraph" w:customStyle="1" w:styleId="3831">
    <w:name w:val="3831"/>
    <w:basedOn w:val="a"/>
    <w:uiPriority w:val="99"/>
    <w:qFormat/>
    <w:pPr>
      <w:keepNext/>
      <w:keepLines/>
      <w:widowControl w:val="0"/>
      <w:spacing w:before="60" w:after="60"/>
      <w:ind w:hangingChars="200" w:hanging="420"/>
      <w:jc w:val="both"/>
      <w:outlineLvl w:val="4"/>
    </w:pPr>
    <w:rPr>
      <w:rFonts w:cs="Times New Roman"/>
      <w:b/>
      <w:bCs/>
      <w:kern w:val="2"/>
    </w:rPr>
  </w:style>
  <w:style w:type="paragraph" w:customStyle="1" w:styleId="3830">
    <w:name w:val="3830"/>
    <w:uiPriority w:val="99"/>
    <w:semiHidden/>
    <w:qFormat/>
    <w:rPr>
      <w:bCs/>
      <w:kern w:val="2"/>
      <w:sz w:val="21"/>
      <w:szCs w:val="22"/>
    </w:rPr>
  </w:style>
  <w:style w:type="paragraph" w:customStyle="1" w:styleId="3828">
    <w:name w:val="3828"/>
    <w:basedOn w:val="a"/>
    <w:uiPriority w:val="99"/>
    <w:qFormat/>
    <w:pPr>
      <w:widowControl w:val="0"/>
      <w:spacing w:before="100" w:after="100"/>
      <w:jc w:val="both"/>
    </w:pPr>
    <w:rPr>
      <w:rFonts w:ascii="Calibri" w:hAnsi="Calibri" w:cs="Times New Roman"/>
      <w:bCs/>
      <w:kern w:val="2"/>
    </w:rPr>
  </w:style>
  <w:style w:type="paragraph" w:customStyle="1" w:styleId="3827">
    <w:name w:val="3827"/>
    <w:basedOn w:val="a"/>
    <w:uiPriority w:val="99"/>
    <w:semiHidden/>
    <w:pPr>
      <w:widowControl w:val="0"/>
      <w:jc w:val="both"/>
    </w:pPr>
    <w:rPr>
      <w:rFonts w:hAnsi="Calibri" w:cs="Times New Roman"/>
      <w:bCs/>
      <w:kern w:val="2"/>
      <w:sz w:val="18"/>
      <w:szCs w:val="18"/>
    </w:rPr>
  </w:style>
  <w:style w:type="paragraph" w:customStyle="1" w:styleId="3824">
    <w:name w:val="3824"/>
    <w:basedOn w:val="a"/>
    <w:next w:val="a"/>
    <w:uiPriority w:val="10"/>
    <w:qFormat/>
    <w:pPr>
      <w:widowControl w:val="0"/>
      <w:spacing w:before="240" w:after="60"/>
      <w:jc w:val="center"/>
      <w:outlineLvl w:val="0"/>
    </w:pPr>
    <w:rPr>
      <w:rFonts w:ascii="Cambria" w:hAnsi="Cambria" w:cs="Times New Roman"/>
      <w:b/>
      <w:bCs/>
      <w:kern w:val="2"/>
      <w:sz w:val="32"/>
      <w:szCs w:val="32"/>
    </w:rPr>
  </w:style>
  <w:style w:type="paragraph" w:customStyle="1" w:styleId="3822">
    <w:name w:val="3822"/>
    <w:uiPriority w:val="1"/>
    <w:qFormat/>
    <w:pPr>
      <w:widowControl w:val="0"/>
      <w:jc w:val="both"/>
    </w:pPr>
    <w:rPr>
      <w:bCs/>
      <w:kern w:val="2"/>
      <w:sz w:val="21"/>
      <w:szCs w:val="22"/>
    </w:rPr>
  </w:style>
  <w:style w:type="paragraph" w:customStyle="1" w:styleId="3821">
    <w:name w:val="3821"/>
    <w:basedOn w:val="a"/>
    <w:next w:val="a"/>
    <w:uiPriority w:val="39"/>
    <w:pPr>
      <w:widowControl w:val="0"/>
      <w:ind w:leftChars="600" w:left="1260"/>
      <w:jc w:val="both"/>
    </w:pPr>
    <w:rPr>
      <w:rFonts w:ascii="Calibri" w:hAnsi="Calibri" w:cs="Times New Roman"/>
      <w:bCs/>
      <w:kern w:val="2"/>
      <w:szCs w:val="22"/>
    </w:rPr>
  </w:style>
  <w:style w:type="paragraph" w:customStyle="1" w:styleId="3820">
    <w:name w:val="3820"/>
    <w:basedOn w:val="a"/>
    <w:next w:val="a"/>
    <w:uiPriority w:val="39"/>
    <w:qFormat/>
    <w:pPr>
      <w:widowControl w:val="0"/>
      <w:ind w:leftChars="800" w:left="1680"/>
      <w:jc w:val="both"/>
    </w:pPr>
    <w:rPr>
      <w:rFonts w:ascii="Calibri" w:hAnsi="Calibri" w:cs="Times New Roman"/>
      <w:bCs/>
      <w:kern w:val="2"/>
      <w:szCs w:val="22"/>
    </w:rPr>
  </w:style>
  <w:style w:type="paragraph" w:customStyle="1" w:styleId="3819">
    <w:name w:val="3819"/>
    <w:basedOn w:val="a"/>
    <w:next w:val="a"/>
    <w:uiPriority w:val="39"/>
    <w:qFormat/>
    <w:pPr>
      <w:widowControl w:val="0"/>
      <w:ind w:leftChars="1000" w:left="2100"/>
      <w:jc w:val="both"/>
    </w:pPr>
    <w:rPr>
      <w:rFonts w:ascii="Calibri" w:hAnsi="Calibri" w:cs="Times New Roman"/>
      <w:bCs/>
      <w:kern w:val="2"/>
      <w:szCs w:val="22"/>
    </w:rPr>
  </w:style>
  <w:style w:type="paragraph" w:customStyle="1" w:styleId="3818">
    <w:name w:val="3818"/>
    <w:basedOn w:val="a"/>
    <w:next w:val="a"/>
    <w:uiPriority w:val="39"/>
    <w:qFormat/>
    <w:pPr>
      <w:widowControl w:val="0"/>
      <w:ind w:leftChars="1200" w:left="2520"/>
      <w:jc w:val="both"/>
    </w:pPr>
    <w:rPr>
      <w:rFonts w:ascii="Calibri" w:hAnsi="Calibri" w:cs="Times New Roman"/>
      <w:bCs/>
      <w:kern w:val="2"/>
      <w:szCs w:val="22"/>
    </w:rPr>
  </w:style>
  <w:style w:type="paragraph" w:customStyle="1" w:styleId="3817">
    <w:name w:val="3817"/>
    <w:basedOn w:val="a"/>
    <w:next w:val="a"/>
    <w:uiPriority w:val="39"/>
    <w:qFormat/>
    <w:pPr>
      <w:widowControl w:val="0"/>
      <w:ind w:leftChars="1400" w:left="2940"/>
      <w:jc w:val="both"/>
    </w:pPr>
    <w:rPr>
      <w:rFonts w:ascii="Calibri" w:hAnsi="Calibri" w:cs="Times New Roman"/>
      <w:bCs/>
      <w:kern w:val="2"/>
      <w:szCs w:val="22"/>
    </w:rPr>
  </w:style>
  <w:style w:type="paragraph" w:customStyle="1" w:styleId="3815">
    <w:name w:val="3815"/>
    <w:basedOn w:val="a"/>
    <w:next w:val="a"/>
    <w:uiPriority w:val="39"/>
    <w:qFormat/>
    <w:pPr>
      <w:widowControl w:val="0"/>
      <w:ind w:leftChars="1600" w:left="3360"/>
      <w:jc w:val="both"/>
    </w:pPr>
    <w:rPr>
      <w:rFonts w:ascii="Calibri" w:hAnsi="Calibri" w:cs="Times New Roman"/>
      <w:bCs/>
      <w:kern w:val="2"/>
      <w:szCs w:val="22"/>
    </w:rPr>
  </w:style>
  <w:style w:type="paragraph" w:customStyle="1" w:styleId="3813">
    <w:name w:val="3813"/>
    <w:basedOn w:val="a"/>
    <w:uiPriority w:val="99"/>
    <w:qFormat/>
    <w:pPr>
      <w:spacing w:before="100" w:beforeAutospacing="1" w:after="100" w:afterAutospacing="1"/>
    </w:pPr>
    <w:rPr>
      <w:bCs/>
      <w:sz w:val="24"/>
    </w:rPr>
  </w:style>
  <w:style w:type="paragraph" w:customStyle="1" w:styleId="3812">
    <w:name w:val="3812"/>
    <w:basedOn w:val="a"/>
    <w:uiPriority w:val="99"/>
    <w:semiHidden/>
    <w:qFormat/>
    <w:pPr>
      <w:snapToGrid w:val="0"/>
    </w:pPr>
    <w:rPr>
      <w:bCs/>
    </w:rPr>
  </w:style>
  <w:style w:type="paragraph" w:customStyle="1" w:styleId="3806">
    <w:name w:val="3806"/>
    <w:basedOn w:val="a"/>
    <w:uiPriority w:val="99"/>
    <w:qFormat/>
    <w:pPr>
      <w:widowControl w:val="0"/>
      <w:ind w:firstLineChars="200" w:firstLine="420"/>
      <w:jc w:val="both"/>
    </w:pPr>
    <w:rPr>
      <w:rFonts w:ascii="Times New Roman" w:hAnsi="Times New Roman" w:cs="Times New Roman"/>
      <w:bCs/>
      <w:kern w:val="2"/>
    </w:rPr>
  </w:style>
  <w:style w:type="paragraph" w:customStyle="1" w:styleId="3805">
    <w:name w:val="3805"/>
    <w:basedOn w:val="a"/>
    <w:uiPriority w:val="99"/>
    <w:qFormat/>
    <w:pPr>
      <w:widowControl w:val="0"/>
      <w:tabs>
        <w:tab w:val="left" w:pos="1200"/>
      </w:tabs>
      <w:jc w:val="both"/>
    </w:pPr>
    <w:rPr>
      <w:rFonts w:ascii="Times New Roman" w:hAnsi="Times New Roman" w:cs="Times New Roman"/>
      <w:bCs/>
      <w:kern w:val="2"/>
    </w:rPr>
  </w:style>
  <w:style w:type="paragraph" w:customStyle="1" w:styleId="3804">
    <w:name w:val="3804"/>
    <w:basedOn w:val="a"/>
    <w:uiPriority w:val="34"/>
    <w:qFormat/>
    <w:pPr>
      <w:widowControl w:val="0"/>
      <w:ind w:firstLineChars="200" w:firstLine="420"/>
      <w:jc w:val="both"/>
    </w:pPr>
    <w:rPr>
      <w:rFonts w:ascii="Calibri" w:hAnsi="Calibri" w:cs="Times New Roman"/>
      <w:bCs/>
      <w:kern w:val="2"/>
      <w:szCs w:val="22"/>
    </w:rPr>
  </w:style>
  <w:style w:type="paragraph" w:customStyle="1" w:styleId="3803">
    <w:name w:val="3803"/>
    <w:basedOn w:val="a"/>
    <w:uiPriority w:val="34"/>
    <w:qFormat/>
    <w:pPr>
      <w:widowControl w:val="0"/>
      <w:ind w:firstLineChars="200" w:firstLine="420"/>
      <w:jc w:val="both"/>
    </w:pPr>
    <w:rPr>
      <w:rFonts w:ascii="Calibri" w:hAnsi="Calibri" w:cs="Times New Roman"/>
      <w:bCs/>
      <w:kern w:val="2"/>
      <w:szCs w:val="22"/>
    </w:rPr>
  </w:style>
  <w:style w:type="paragraph" w:customStyle="1" w:styleId="3802">
    <w:name w:val="3802"/>
    <w:basedOn w:val="a"/>
    <w:uiPriority w:val="34"/>
    <w:qFormat/>
    <w:pPr>
      <w:widowControl w:val="0"/>
      <w:ind w:firstLineChars="200" w:firstLine="420"/>
      <w:jc w:val="both"/>
    </w:pPr>
    <w:rPr>
      <w:rFonts w:ascii="Calibri" w:hAnsi="Calibri" w:cs="Times New Roman"/>
      <w:bCs/>
      <w:kern w:val="2"/>
      <w:szCs w:val="22"/>
    </w:rPr>
  </w:style>
  <w:style w:type="paragraph" w:customStyle="1" w:styleId="3801">
    <w:name w:val="3801"/>
    <w:basedOn w:val="a"/>
    <w:uiPriority w:val="34"/>
    <w:qFormat/>
    <w:pPr>
      <w:widowControl w:val="0"/>
      <w:ind w:firstLineChars="200" w:firstLine="420"/>
      <w:jc w:val="both"/>
    </w:pPr>
    <w:rPr>
      <w:rFonts w:ascii="Calibri" w:hAnsi="Calibri" w:cs="Times New Roman"/>
      <w:bCs/>
      <w:kern w:val="2"/>
      <w:szCs w:val="22"/>
    </w:rPr>
  </w:style>
  <w:style w:type="paragraph" w:customStyle="1" w:styleId="3799">
    <w:name w:val="3799"/>
    <w:basedOn w:val="a"/>
    <w:uiPriority w:val="34"/>
    <w:qFormat/>
    <w:pPr>
      <w:widowControl w:val="0"/>
      <w:ind w:firstLineChars="200" w:firstLine="420"/>
      <w:jc w:val="both"/>
    </w:pPr>
    <w:rPr>
      <w:rFonts w:ascii="Calibri" w:hAnsi="Calibri" w:cs="Times New Roman"/>
      <w:bCs/>
      <w:kern w:val="2"/>
      <w:szCs w:val="22"/>
    </w:rPr>
  </w:style>
  <w:style w:type="paragraph" w:customStyle="1" w:styleId="3797">
    <w:name w:val="3797"/>
    <w:basedOn w:val="a"/>
    <w:uiPriority w:val="34"/>
    <w:qFormat/>
    <w:pPr>
      <w:widowControl w:val="0"/>
      <w:ind w:firstLineChars="200" w:firstLine="420"/>
      <w:jc w:val="both"/>
    </w:pPr>
    <w:rPr>
      <w:rFonts w:ascii="Calibri" w:hAnsi="Calibri" w:cs="Times New Roman"/>
      <w:bCs/>
      <w:kern w:val="2"/>
      <w:szCs w:val="22"/>
    </w:rPr>
  </w:style>
  <w:style w:type="paragraph" w:customStyle="1" w:styleId="3794">
    <w:name w:val="3794"/>
    <w:uiPriority w:val="99"/>
    <w:qFormat/>
    <w:rPr>
      <w:bCs/>
      <w:sz w:val="21"/>
      <w:szCs w:val="24"/>
    </w:rPr>
  </w:style>
  <w:style w:type="paragraph" w:customStyle="1" w:styleId="3793">
    <w:name w:val="3793"/>
    <w:uiPriority w:val="99"/>
    <w:qFormat/>
    <w:pPr>
      <w:widowControl w:val="0"/>
      <w:autoSpaceDE w:val="0"/>
      <w:autoSpaceDN w:val="0"/>
      <w:adjustRightInd w:val="0"/>
    </w:pPr>
    <w:rPr>
      <w:rFonts w:ascii="黑体" w:eastAsia="黑体" w:cs="黑体"/>
      <w:bCs/>
      <w:color w:val="000000"/>
      <w:sz w:val="24"/>
      <w:szCs w:val="24"/>
    </w:rPr>
  </w:style>
  <w:style w:type="paragraph" w:customStyle="1" w:styleId="3792">
    <w:name w:val="3792"/>
    <w:basedOn w:val="a"/>
    <w:uiPriority w:val="99"/>
    <w:qFormat/>
    <w:pPr>
      <w:widowControl w:val="0"/>
      <w:jc w:val="both"/>
    </w:pPr>
    <w:rPr>
      <w:rFonts w:ascii="Calibri" w:hAnsi="Calibri" w:cs="Times New Roman"/>
      <w:bCs/>
      <w:kern w:val="2"/>
      <w:sz w:val="18"/>
      <w:szCs w:val="18"/>
    </w:rPr>
  </w:style>
  <w:style w:type="paragraph" w:customStyle="1" w:styleId="3790">
    <w:name w:val="3790"/>
    <w:basedOn w:val="a"/>
    <w:next w:val="a"/>
    <w:uiPriority w:val="99"/>
    <w:qFormat/>
    <w:pPr>
      <w:widowControl w:val="0"/>
      <w:jc w:val="both"/>
    </w:pPr>
    <w:rPr>
      <w:rFonts w:ascii="Times New Roman" w:hAnsi="Times New Roman" w:cs="Times New Roman"/>
      <w:bCs/>
      <w:kern w:val="2"/>
    </w:rPr>
  </w:style>
  <w:style w:type="paragraph" w:customStyle="1" w:styleId="3788">
    <w:name w:val="3788"/>
    <w:basedOn w:val="a"/>
    <w:uiPriority w:val="34"/>
    <w:qFormat/>
    <w:pPr>
      <w:widowControl w:val="0"/>
      <w:ind w:firstLineChars="200" w:firstLine="420"/>
      <w:jc w:val="both"/>
    </w:pPr>
    <w:rPr>
      <w:rFonts w:ascii="Calibri" w:hAnsi="Calibri" w:cs="Times New Roman"/>
      <w:bCs/>
      <w:kern w:val="2"/>
      <w:szCs w:val="22"/>
    </w:rPr>
  </w:style>
  <w:style w:type="paragraph" w:customStyle="1" w:styleId="3786">
    <w:name w:val="3786"/>
    <w:basedOn w:val="a9"/>
    <w:next w:val="a9"/>
    <w:uiPriority w:val="99"/>
    <w:qFormat/>
    <w:rPr>
      <w:rFonts w:ascii="Calibri" w:hAnsi="Calibri"/>
      <w:b/>
      <w:bCs/>
      <w:szCs w:val="22"/>
    </w:rPr>
  </w:style>
  <w:style w:type="paragraph" w:customStyle="1" w:styleId="3785">
    <w:name w:val="3785"/>
    <w:basedOn w:val="a"/>
    <w:uiPriority w:val="99"/>
    <w:qFormat/>
    <w:pPr>
      <w:widowControl w:val="0"/>
      <w:pBdr>
        <w:bottom w:val="single" w:sz="6" w:space="1" w:color="auto"/>
      </w:pBdr>
      <w:tabs>
        <w:tab w:val="center" w:pos="4153"/>
        <w:tab w:val="right" w:pos="8306"/>
      </w:tabs>
      <w:snapToGrid w:val="0"/>
      <w:jc w:val="center"/>
    </w:pPr>
    <w:rPr>
      <w:rFonts w:ascii="Calibri" w:hAnsi="Calibri" w:cs="Times New Roman"/>
      <w:bCs/>
      <w:kern w:val="2"/>
      <w:sz w:val="18"/>
      <w:szCs w:val="18"/>
    </w:rPr>
  </w:style>
  <w:style w:type="paragraph" w:customStyle="1" w:styleId="3783">
    <w:name w:val="3783"/>
    <w:basedOn w:val="a"/>
    <w:uiPriority w:val="99"/>
    <w:qFormat/>
    <w:pPr>
      <w:widowControl w:val="0"/>
      <w:tabs>
        <w:tab w:val="center" w:pos="4153"/>
        <w:tab w:val="right" w:pos="8306"/>
      </w:tabs>
      <w:snapToGrid w:val="0"/>
    </w:pPr>
    <w:rPr>
      <w:rFonts w:ascii="Calibri" w:hAnsi="Calibri" w:cs="Times New Roman"/>
      <w:bCs/>
      <w:kern w:val="2"/>
      <w:sz w:val="18"/>
      <w:szCs w:val="18"/>
    </w:rPr>
  </w:style>
  <w:style w:type="paragraph" w:customStyle="1" w:styleId="3781">
    <w:name w:val="3781"/>
    <w:basedOn w:val="a"/>
    <w:uiPriority w:val="99"/>
    <w:qFormat/>
    <w:pPr>
      <w:widowControl w:val="0"/>
      <w:jc w:val="both"/>
    </w:pPr>
    <w:rPr>
      <w:rFonts w:hAnsi="Courier New" w:cs="Times New Roman"/>
      <w:bCs/>
      <w:kern w:val="2"/>
      <w:szCs w:val="20"/>
    </w:rPr>
  </w:style>
  <w:style w:type="paragraph" w:customStyle="1" w:styleId="3779">
    <w:name w:val="3779"/>
    <w:basedOn w:val="a"/>
    <w:uiPriority w:val="99"/>
    <w:qFormat/>
    <w:pPr>
      <w:widowControl w:val="0"/>
      <w:spacing w:after="120"/>
      <w:jc w:val="both"/>
    </w:pPr>
    <w:rPr>
      <w:rFonts w:ascii="Times New Roman" w:hAnsi="Times New Roman" w:cs="Times New Roman"/>
      <w:bCs/>
      <w:kern w:val="2"/>
    </w:rPr>
  </w:style>
  <w:style w:type="paragraph" w:customStyle="1" w:styleId="3777">
    <w:name w:val="3777"/>
    <w:basedOn w:val="a"/>
    <w:next w:val="a"/>
    <w:uiPriority w:val="99"/>
    <w:qFormat/>
    <w:pPr>
      <w:widowControl w:val="0"/>
      <w:ind w:leftChars="2500" w:left="100"/>
      <w:jc w:val="both"/>
    </w:pPr>
    <w:rPr>
      <w:rFonts w:ascii="Times New Roman" w:hAnsi="Times New Roman" w:cs="Times New Roman"/>
      <w:bCs/>
      <w:kern w:val="2"/>
    </w:rPr>
  </w:style>
  <w:style w:type="paragraph" w:customStyle="1" w:styleId="3775">
    <w:name w:val="3775"/>
    <w:basedOn w:val="a"/>
    <w:next w:val="a"/>
    <w:uiPriority w:val="99"/>
    <w:qFormat/>
    <w:pPr>
      <w:widowControl w:val="0"/>
      <w:jc w:val="center"/>
    </w:pPr>
    <w:rPr>
      <w:rFonts w:ascii="Times New Roman" w:hAnsi="Times New Roman" w:cs="Times New Roman"/>
      <w:bCs/>
      <w:kern w:val="2"/>
    </w:rPr>
  </w:style>
  <w:style w:type="paragraph" w:customStyle="1" w:styleId="3773">
    <w:name w:val="3773"/>
    <w:basedOn w:val="a"/>
    <w:next w:val="a"/>
    <w:uiPriority w:val="99"/>
    <w:semiHidden/>
    <w:qFormat/>
    <w:pPr>
      <w:widowControl w:val="0"/>
      <w:spacing w:before="120"/>
      <w:jc w:val="both"/>
    </w:pPr>
    <w:rPr>
      <w:rFonts w:ascii="Arial" w:hAnsi="Arial" w:cs="Times New Roman"/>
      <w:b/>
      <w:bCs/>
      <w:kern w:val="2"/>
    </w:rPr>
  </w:style>
  <w:style w:type="paragraph" w:customStyle="1" w:styleId="3772">
    <w:name w:val="3772"/>
    <w:uiPriority w:val="99"/>
    <w:semiHidden/>
    <w:qFormat/>
    <w:rPr>
      <w:bCs/>
      <w:kern w:val="2"/>
      <w:sz w:val="21"/>
      <w:szCs w:val="22"/>
    </w:rPr>
  </w:style>
  <w:style w:type="paragraph" w:customStyle="1" w:styleId="3771">
    <w:name w:val="3771"/>
    <w:basedOn w:val="a"/>
    <w:uiPriority w:val="99"/>
    <w:qFormat/>
    <w:pPr>
      <w:widowControl w:val="0"/>
      <w:spacing w:before="100" w:after="100"/>
      <w:jc w:val="both"/>
    </w:pPr>
    <w:rPr>
      <w:rFonts w:ascii="Calibri" w:hAnsi="Calibri" w:cs="Times New Roman"/>
      <w:bCs/>
      <w:kern w:val="2"/>
    </w:rPr>
  </w:style>
  <w:style w:type="paragraph" w:customStyle="1" w:styleId="3770">
    <w:name w:val="3770"/>
    <w:basedOn w:val="a"/>
    <w:uiPriority w:val="99"/>
    <w:semiHidden/>
    <w:qFormat/>
    <w:pPr>
      <w:widowControl w:val="0"/>
      <w:jc w:val="both"/>
    </w:pPr>
    <w:rPr>
      <w:rFonts w:hAnsi="Calibri" w:cs="Times New Roman"/>
      <w:bCs/>
      <w:kern w:val="2"/>
      <w:sz w:val="18"/>
      <w:szCs w:val="18"/>
    </w:rPr>
  </w:style>
  <w:style w:type="paragraph" w:customStyle="1" w:styleId="3766">
    <w:name w:val="3766"/>
    <w:basedOn w:val="a"/>
    <w:next w:val="a"/>
    <w:uiPriority w:val="10"/>
    <w:qFormat/>
    <w:pPr>
      <w:widowControl w:val="0"/>
      <w:spacing w:before="240" w:after="60"/>
      <w:jc w:val="center"/>
      <w:outlineLvl w:val="0"/>
    </w:pPr>
    <w:rPr>
      <w:rFonts w:ascii="Cambria" w:hAnsi="Cambria" w:cs="Times New Roman"/>
      <w:b/>
      <w:bCs/>
      <w:kern w:val="2"/>
      <w:sz w:val="32"/>
      <w:szCs w:val="32"/>
    </w:rPr>
  </w:style>
  <w:style w:type="paragraph" w:customStyle="1" w:styleId="3764">
    <w:name w:val="3764"/>
    <w:uiPriority w:val="1"/>
    <w:qFormat/>
    <w:pPr>
      <w:widowControl w:val="0"/>
      <w:jc w:val="both"/>
    </w:pPr>
    <w:rPr>
      <w:bCs/>
      <w:kern w:val="2"/>
      <w:sz w:val="21"/>
      <w:szCs w:val="22"/>
    </w:rPr>
  </w:style>
  <w:style w:type="paragraph" w:customStyle="1" w:styleId="3763">
    <w:name w:val="3763"/>
    <w:basedOn w:val="a"/>
    <w:uiPriority w:val="99"/>
    <w:qFormat/>
    <w:pPr>
      <w:spacing w:before="100" w:beforeAutospacing="1" w:after="100" w:afterAutospacing="1"/>
    </w:pPr>
    <w:rPr>
      <w:bCs/>
      <w:sz w:val="24"/>
    </w:rPr>
  </w:style>
  <w:style w:type="paragraph" w:customStyle="1" w:styleId="3762">
    <w:name w:val="3762"/>
    <w:basedOn w:val="a"/>
    <w:uiPriority w:val="99"/>
    <w:semiHidden/>
    <w:qFormat/>
    <w:pPr>
      <w:snapToGrid w:val="0"/>
    </w:pPr>
    <w:rPr>
      <w:bCs/>
    </w:rPr>
  </w:style>
  <w:style w:type="paragraph" w:customStyle="1" w:styleId="3757">
    <w:name w:val="3757"/>
    <w:basedOn w:val="a"/>
    <w:next w:val="a"/>
    <w:uiPriority w:val="99"/>
    <w:semiHidden/>
    <w:qFormat/>
    <w:pPr>
      <w:ind w:firstLineChars="200" w:firstLine="420"/>
    </w:pPr>
    <w:rPr>
      <w:rFonts w:cs="Times New Roman"/>
      <w:bCs/>
      <w:color w:val="000000"/>
    </w:rPr>
  </w:style>
  <w:style w:type="paragraph" w:customStyle="1" w:styleId="3756">
    <w:name w:val="3756"/>
    <w:basedOn w:val="a"/>
    <w:uiPriority w:val="99"/>
    <w:qFormat/>
    <w:pPr>
      <w:widowControl w:val="0"/>
      <w:ind w:firstLineChars="200" w:firstLine="420"/>
      <w:jc w:val="both"/>
    </w:pPr>
    <w:rPr>
      <w:rFonts w:ascii="Times New Roman" w:hAnsi="Times New Roman" w:cs="Times New Roman"/>
      <w:bCs/>
      <w:kern w:val="2"/>
    </w:rPr>
  </w:style>
  <w:style w:type="paragraph" w:customStyle="1" w:styleId="3755">
    <w:name w:val="3755"/>
    <w:basedOn w:val="a"/>
    <w:uiPriority w:val="34"/>
    <w:qFormat/>
    <w:pPr>
      <w:widowControl w:val="0"/>
      <w:ind w:firstLineChars="200" w:firstLine="420"/>
      <w:jc w:val="both"/>
    </w:pPr>
    <w:rPr>
      <w:rFonts w:ascii="Calibri" w:hAnsi="Calibri" w:cs="Times New Roman"/>
      <w:bCs/>
      <w:kern w:val="2"/>
      <w:szCs w:val="22"/>
    </w:rPr>
  </w:style>
  <w:style w:type="paragraph" w:customStyle="1" w:styleId="3754">
    <w:name w:val="3754"/>
    <w:basedOn w:val="a"/>
    <w:uiPriority w:val="34"/>
    <w:qFormat/>
    <w:pPr>
      <w:widowControl w:val="0"/>
      <w:ind w:firstLineChars="200" w:firstLine="420"/>
      <w:jc w:val="both"/>
    </w:pPr>
    <w:rPr>
      <w:rFonts w:ascii="Calibri" w:hAnsi="Calibri" w:cs="Times New Roman"/>
      <w:bCs/>
      <w:kern w:val="2"/>
      <w:szCs w:val="22"/>
    </w:rPr>
  </w:style>
  <w:style w:type="paragraph" w:customStyle="1" w:styleId="3753">
    <w:name w:val="3753"/>
    <w:basedOn w:val="a"/>
    <w:uiPriority w:val="34"/>
    <w:qFormat/>
    <w:pPr>
      <w:widowControl w:val="0"/>
      <w:ind w:firstLineChars="200" w:firstLine="420"/>
      <w:jc w:val="both"/>
    </w:pPr>
    <w:rPr>
      <w:rFonts w:ascii="Calibri" w:hAnsi="Calibri" w:cs="Times New Roman"/>
      <w:bCs/>
      <w:kern w:val="2"/>
      <w:szCs w:val="22"/>
    </w:rPr>
  </w:style>
  <w:style w:type="paragraph" w:customStyle="1" w:styleId="3752">
    <w:name w:val="3752"/>
    <w:basedOn w:val="a"/>
    <w:uiPriority w:val="34"/>
    <w:qFormat/>
    <w:pPr>
      <w:widowControl w:val="0"/>
      <w:ind w:firstLineChars="200" w:firstLine="420"/>
      <w:jc w:val="both"/>
    </w:pPr>
    <w:rPr>
      <w:rFonts w:ascii="Calibri" w:hAnsi="Calibri" w:cs="Times New Roman"/>
      <w:bCs/>
      <w:kern w:val="2"/>
      <w:szCs w:val="22"/>
    </w:rPr>
  </w:style>
  <w:style w:type="paragraph" w:customStyle="1" w:styleId="3750">
    <w:name w:val="3750"/>
    <w:basedOn w:val="a"/>
    <w:uiPriority w:val="34"/>
    <w:qFormat/>
    <w:pPr>
      <w:widowControl w:val="0"/>
      <w:ind w:firstLineChars="200" w:firstLine="420"/>
      <w:jc w:val="both"/>
    </w:pPr>
    <w:rPr>
      <w:rFonts w:ascii="Calibri" w:hAnsi="Calibri" w:cs="Times New Roman"/>
      <w:bCs/>
      <w:kern w:val="2"/>
      <w:szCs w:val="22"/>
    </w:rPr>
  </w:style>
  <w:style w:type="paragraph" w:customStyle="1" w:styleId="3749">
    <w:name w:val="3749"/>
    <w:basedOn w:val="a"/>
    <w:uiPriority w:val="34"/>
    <w:qFormat/>
    <w:pPr>
      <w:widowControl w:val="0"/>
      <w:ind w:firstLineChars="200" w:firstLine="420"/>
      <w:jc w:val="both"/>
    </w:pPr>
    <w:rPr>
      <w:rFonts w:ascii="Calibri" w:hAnsi="Calibri" w:cs="Times New Roman"/>
      <w:bCs/>
      <w:kern w:val="2"/>
      <w:szCs w:val="22"/>
    </w:rPr>
  </w:style>
  <w:style w:type="paragraph" w:customStyle="1" w:styleId="3745">
    <w:name w:val="3745"/>
    <w:basedOn w:val="a"/>
    <w:next w:val="a"/>
    <w:uiPriority w:val="39"/>
    <w:qFormat/>
    <w:pPr>
      <w:tabs>
        <w:tab w:val="right" w:leader="dot" w:pos="8296"/>
      </w:tabs>
      <w:ind w:leftChars="200" w:left="420"/>
      <w:jc w:val="center"/>
    </w:pPr>
    <w:rPr>
      <w:rFonts w:cs="Times New Roman"/>
      <w:b/>
      <w:bCs/>
      <w:color w:val="000000"/>
      <w:sz w:val="32"/>
      <w:szCs w:val="32"/>
    </w:rPr>
  </w:style>
  <w:style w:type="paragraph" w:customStyle="1" w:styleId="3744">
    <w:name w:val="3744"/>
    <w:basedOn w:val="a"/>
    <w:next w:val="a"/>
    <w:uiPriority w:val="39"/>
    <w:qFormat/>
    <w:pPr>
      <w:widowControl w:val="0"/>
      <w:ind w:leftChars="1200" w:left="2520"/>
      <w:jc w:val="both"/>
    </w:pPr>
    <w:rPr>
      <w:rFonts w:ascii="Calibri" w:hAnsi="Calibri" w:cs="Times New Roman"/>
      <w:bCs/>
      <w:kern w:val="2"/>
      <w:szCs w:val="22"/>
    </w:rPr>
  </w:style>
  <w:style w:type="paragraph" w:customStyle="1" w:styleId="3743">
    <w:name w:val="3743"/>
    <w:basedOn w:val="a"/>
    <w:uiPriority w:val="34"/>
    <w:qFormat/>
    <w:pPr>
      <w:widowControl w:val="0"/>
      <w:ind w:firstLineChars="200" w:firstLine="420"/>
      <w:jc w:val="both"/>
    </w:pPr>
    <w:rPr>
      <w:rFonts w:ascii="Calibri" w:hAnsi="Calibri" w:cs="Times New Roman"/>
      <w:bCs/>
      <w:kern w:val="2"/>
      <w:szCs w:val="22"/>
    </w:rPr>
  </w:style>
  <w:style w:type="paragraph" w:customStyle="1" w:styleId="3742">
    <w:name w:val="3742"/>
    <w:basedOn w:val="a"/>
    <w:uiPriority w:val="34"/>
    <w:qFormat/>
    <w:pPr>
      <w:widowControl w:val="0"/>
      <w:ind w:firstLineChars="200" w:firstLine="420"/>
      <w:jc w:val="both"/>
    </w:pPr>
    <w:rPr>
      <w:rFonts w:ascii="Calibri" w:hAnsi="Calibri" w:cs="Times New Roman"/>
      <w:bCs/>
      <w:kern w:val="2"/>
      <w:szCs w:val="22"/>
    </w:rPr>
  </w:style>
  <w:style w:type="paragraph" w:customStyle="1" w:styleId="3741">
    <w:name w:val="3741"/>
    <w:basedOn w:val="a"/>
    <w:uiPriority w:val="34"/>
    <w:qFormat/>
    <w:pPr>
      <w:widowControl w:val="0"/>
      <w:ind w:firstLineChars="200" w:firstLine="420"/>
      <w:jc w:val="both"/>
    </w:pPr>
    <w:rPr>
      <w:rFonts w:ascii="Calibri" w:hAnsi="Calibri" w:cs="Times New Roman"/>
      <w:bCs/>
      <w:kern w:val="2"/>
      <w:szCs w:val="22"/>
    </w:rPr>
  </w:style>
  <w:style w:type="paragraph" w:customStyle="1" w:styleId="3740">
    <w:name w:val="3740"/>
    <w:basedOn w:val="a"/>
    <w:uiPriority w:val="34"/>
    <w:qFormat/>
    <w:pPr>
      <w:widowControl w:val="0"/>
      <w:ind w:firstLineChars="200" w:firstLine="420"/>
      <w:jc w:val="both"/>
    </w:pPr>
    <w:rPr>
      <w:rFonts w:ascii="Calibri" w:hAnsi="Calibri" w:cs="Times New Roman"/>
      <w:bCs/>
      <w:kern w:val="2"/>
      <w:szCs w:val="22"/>
    </w:rPr>
  </w:style>
  <w:style w:type="paragraph" w:customStyle="1" w:styleId="3739">
    <w:name w:val="3739"/>
    <w:basedOn w:val="a"/>
    <w:uiPriority w:val="99"/>
    <w:qFormat/>
    <w:pPr>
      <w:widowControl w:val="0"/>
      <w:jc w:val="both"/>
    </w:pPr>
    <w:rPr>
      <w:rFonts w:ascii="Calibri" w:hAnsi="Calibri" w:cs="Times New Roman"/>
      <w:bCs/>
      <w:kern w:val="2"/>
      <w:sz w:val="18"/>
      <w:szCs w:val="18"/>
    </w:rPr>
  </w:style>
  <w:style w:type="paragraph" w:customStyle="1" w:styleId="3738">
    <w:name w:val="3738"/>
    <w:basedOn w:val="a"/>
    <w:next w:val="a"/>
    <w:uiPriority w:val="99"/>
    <w:qFormat/>
    <w:pPr>
      <w:widowControl w:val="0"/>
      <w:ind w:leftChars="2500" w:left="100"/>
      <w:jc w:val="both"/>
    </w:pPr>
    <w:rPr>
      <w:rFonts w:ascii="Times New Roman" w:hAnsi="Times New Roman" w:cs="Times New Roman"/>
      <w:bCs/>
      <w:kern w:val="2"/>
    </w:rPr>
  </w:style>
  <w:style w:type="paragraph" w:customStyle="1" w:styleId="3733">
    <w:name w:val="3733"/>
    <w:qFormat/>
    <w:rPr>
      <w:sz w:val="21"/>
      <w:szCs w:val="21"/>
    </w:rPr>
  </w:style>
  <w:style w:type="paragraph" w:customStyle="1" w:styleId="3732">
    <w:name w:val="3732"/>
    <w:basedOn w:val="3733"/>
    <w:next w:val="a"/>
    <w:uiPriority w:val="99"/>
    <w:qFormat/>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3731">
    <w:name w:val="3731"/>
    <w:basedOn w:val="3733"/>
    <w:next w:val="a"/>
    <w:uiPriority w:val="99"/>
    <w:semiHidden/>
    <w:qFormat/>
    <w:pPr>
      <w:keepNext/>
      <w:keepLines/>
      <w:widowControl w:val="0"/>
      <w:spacing w:before="60" w:after="60"/>
      <w:ind w:left="200" w:hangingChars="200" w:hanging="200"/>
      <w:jc w:val="both"/>
      <w:outlineLvl w:val="1"/>
    </w:pPr>
    <w:rPr>
      <w:rFonts w:ascii="Arial" w:hAnsi="Arial" w:cs="Times New Roman"/>
      <w:b/>
      <w:bCs/>
      <w:kern w:val="2"/>
    </w:rPr>
  </w:style>
  <w:style w:type="paragraph" w:customStyle="1" w:styleId="3730">
    <w:name w:val="3730"/>
    <w:basedOn w:val="3733"/>
    <w:next w:val="a"/>
    <w:uiPriority w:val="9"/>
    <w:qFormat/>
    <w:pPr>
      <w:keepNext/>
      <w:keepLines/>
      <w:widowControl w:val="0"/>
      <w:spacing w:before="60" w:after="60"/>
      <w:jc w:val="both"/>
      <w:outlineLvl w:val="2"/>
    </w:pPr>
    <w:rPr>
      <w:rFonts w:ascii="Calibri" w:hAnsi="Calibri" w:cs="Times New Roman"/>
      <w:b/>
      <w:bCs/>
      <w:kern w:val="2"/>
      <w:szCs w:val="32"/>
    </w:rPr>
  </w:style>
  <w:style w:type="paragraph" w:customStyle="1" w:styleId="3729">
    <w:name w:val="3729"/>
    <w:basedOn w:val="3733"/>
    <w:next w:val="a"/>
    <w:uiPriority w:val="99"/>
    <w:qFormat/>
    <w:pPr>
      <w:keepNext/>
      <w:keepLines/>
      <w:widowControl w:val="0"/>
      <w:spacing w:before="60" w:after="60"/>
      <w:jc w:val="both"/>
      <w:outlineLvl w:val="3"/>
    </w:pPr>
    <w:rPr>
      <w:rFonts w:ascii="Cambria" w:hAnsi="Cambria" w:cs="Times New Roman"/>
      <w:b/>
      <w:bCs/>
      <w:kern w:val="2"/>
      <w:szCs w:val="28"/>
    </w:rPr>
  </w:style>
  <w:style w:type="paragraph" w:customStyle="1" w:styleId="3728">
    <w:name w:val="3728"/>
    <w:basedOn w:val="3733"/>
    <w:next w:val="a"/>
    <w:uiPriority w:val="99"/>
    <w:qFormat/>
    <w:pPr>
      <w:keepNext/>
      <w:keepLines/>
      <w:widowControl w:val="0"/>
      <w:spacing w:before="60" w:after="60"/>
      <w:jc w:val="both"/>
      <w:outlineLvl w:val="4"/>
    </w:pPr>
    <w:rPr>
      <w:rFonts w:ascii="Calibri" w:hAnsi="Calibri" w:cs="Times New Roman"/>
      <w:b/>
      <w:bCs/>
      <w:kern w:val="2"/>
      <w:szCs w:val="28"/>
    </w:rPr>
  </w:style>
  <w:style w:type="paragraph" w:customStyle="1" w:styleId="3727">
    <w:name w:val="3727"/>
    <w:basedOn w:val="3733"/>
    <w:next w:val="a"/>
    <w:uiPriority w:val="99"/>
    <w:semiHidden/>
    <w:qFormat/>
    <w:pPr>
      <w:keepNext/>
      <w:keepLines/>
      <w:spacing w:before="60" w:after="60"/>
      <w:outlineLvl w:val="5"/>
    </w:pPr>
    <w:rPr>
      <w:rFonts w:ascii="Cambria" w:hAnsi="Cambria" w:cs="Times New Roman"/>
      <w:b/>
      <w:bCs/>
    </w:rPr>
  </w:style>
  <w:style w:type="paragraph" w:customStyle="1" w:styleId="3726">
    <w:name w:val="3726"/>
    <w:basedOn w:val="3733"/>
    <w:next w:val="a"/>
    <w:uiPriority w:val="99"/>
    <w:semiHidden/>
    <w:qFormat/>
    <w:pPr>
      <w:keepNext/>
      <w:keepLines/>
      <w:spacing w:before="240" w:after="64" w:line="319" w:lineRule="auto"/>
      <w:outlineLvl w:val="6"/>
    </w:pPr>
    <w:rPr>
      <w:b/>
      <w:bCs/>
      <w:sz w:val="24"/>
    </w:rPr>
  </w:style>
  <w:style w:type="paragraph" w:customStyle="1" w:styleId="3725">
    <w:name w:val="3725"/>
    <w:basedOn w:val="3733"/>
    <w:next w:val="a"/>
    <w:uiPriority w:val="99"/>
    <w:semiHidden/>
    <w:qFormat/>
    <w:pPr>
      <w:keepNext/>
      <w:keepLines/>
      <w:widowControl w:val="0"/>
      <w:adjustRightInd w:val="0"/>
      <w:spacing w:before="240" w:after="64" w:line="320" w:lineRule="atLeast"/>
      <w:outlineLvl w:val="7"/>
    </w:pPr>
    <w:rPr>
      <w:rFonts w:ascii="Arial" w:eastAsia="黑体" w:hAnsi="Arial" w:cs="Times New Roman"/>
      <w:bCs/>
      <w:color w:val="000000"/>
      <w:sz w:val="24"/>
      <w:szCs w:val="20"/>
    </w:rPr>
  </w:style>
  <w:style w:type="paragraph" w:customStyle="1" w:styleId="3724">
    <w:name w:val="3724"/>
    <w:basedOn w:val="3733"/>
    <w:next w:val="a"/>
    <w:uiPriority w:val="99"/>
    <w:semiHidden/>
    <w:qFormat/>
    <w:pPr>
      <w:keepNext/>
      <w:keepLines/>
      <w:widowControl w:val="0"/>
      <w:adjustRightInd w:val="0"/>
      <w:spacing w:before="240" w:after="64" w:line="320" w:lineRule="atLeast"/>
      <w:outlineLvl w:val="8"/>
    </w:pPr>
    <w:rPr>
      <w:rFonts w:ascii="Arial" w:eastAsia="黑体" w:hAnsi="Arial" w:cs="Times New Roman"/>
      <w:bCs/>
      <w:color w:val="000000"/>
      <w:sz w:val="24"/>
      <w:szCs w:val="20"/>
    </w:rPr>
  </w:style>
  <w:style w:type="paragraph" w:customStyle="1" w:styleId="3723">
    <w:name w:val="3723"/>
    <w:basedOn w:val="3733"/>
    <w:next w:val="a"/>
    <w:uiPriority w:val="99"/>
    <w:qFormat/>
    <w:pPr>
      <w:widowControl w:val="0"/>
      <w:ind w:leftChars="1200" w:left="2520"/>
      <w:jc w:val="both"/>
    </w:pPr>
    <w:rPr>
      <w:rFonts w:ascii="Calibri" w:hAnsi="Calibri" w:cs="Times New Roman"/>
      <w:kern w:val="2"/>
      <w:szCs w:val="22"/>
    </w:rPr>
  </w:style>
  <w:style w:type="character" w:customStyle="1" w:styleId="2208">
    <w:name w:val="2208"/>
    <w:link w:val="3722"/>
    <w:qFormat/>
    <w:locked/>
    <w:rPr>
      <w:rFonts w:ascii="Times New Roman" w:hAnsi="Times New Roman" w:cs="Times New Roman"/>
      <w:bCs/>
      <w:kern w:val="2"/>
    </w:rPr>
  </w:style>
  <w:style w:type="paragraph" w:customStyle="1" w:styleId="3722">
    <w:name w:val="3722"/>
    <w:basedOn w:val="3733"/>
    <w:next w:val="a"/>
    <w:link w:val="2208"/>
    <w:qFormat/>
    <w:pPr>
      <w:widowControl w:val="0"/>
      <w:jc w:val="center"/>
    </w:pPr>
    <w:rPr>
      <w:rFonts w:ascii="Times New Roman" w:hAnsi="Times New Roman" w:cs="Times New Roman"/>
      <w:bCs/>
      <w:kern w:val="2"/>
    </w:rPr>
  </w:style>
  <w:style w:type="paragraph" w:customStyle="1" w:styleId="3721">
    <w:name w:val="3721"/>
    <w:basedOn w:val="3733"/>
    <w:uiPriority w:val="99"/>
    <w:qFormat/>
    <w:pPr>
      <w:widowControl w:val="0"/>
      <w:ind w:firstLineChars="200" w:firstLine="420"/>
      <w:jc w:val="both"/>
    </w:pPr>
    <w:rPr>
      <w:rFonts w:ascii="Times New Roman" w:hAnsi="Times New Roman" w:cs="Times New Roman"/>
      <w:kern w:val="2"/>
    </w:rPr>
  </w:style>
  <w:style w:type="paragraph" w:customStyle="1" w:styleId="3720">
    <w:name w:val="3720"/>
    <w:basedOn w:val="3733"/>
    <w:uiPriority w:val="99"/>
    <w:qFormat/>
    <w:pPr>
      <w:widowControl w:val="0"/>
      <w:jc w:val="both"/>
    </w:pPr>
    <w:rPr>
      <w:rFonts w:hAnsi="Calibri" w:cs="Times New Roman"/>
      <w:kern w:val="2"/>
      <w:sz w:val="18"/>
      <w:szCs w:val="18"/>
    </w:rPr>
  </w:style>
  <w:style w:type="paragraph" w:customStyle="1" w:styleId="3719">
    <w:name w:val="3719"/>
    <w:basedOn w:val="3733"/>
    <w:next w:val="a"/>
    <w:uiPriority w:val="99"/>
    <w:qFormat/>
    <w:pPr>
      <w:widowControl w:val="0"/>
      <w:spacing w:before="120"/>
      <w:jc w:val="both"/>
    </w:pPr>
    <w:rPr>
      <w:rFonts w:ascii="Arial" w:hAnsi="Arial" w:cs="Times New Roman"/>
      <w:b/>
      <w:bCs/>
      <w:kern w:val="2"/>
    </w:rPr>
  </w:style>
  <w:style w:type="paragraph" w:customStyle="1" w:styleId="3718">
    <w:name w:val="3718"/>
    <w:basedOn w:val="3733"/>
    <w:uiPriority w:val="99"/>
    <w:qFormat/>
    <w:pPr>
      <w:widowControl w:val="0"/>
    </w:pPr>
    <w:rPr>
      <w:rFonts w:ascii="Times New Roman" w:hAnsi="Times New Roman" w:cs="Times New Roman"/>
      <w:kern w:val="2"/>
    </w:rPr>
  </w:style>
  <w:style w:type="paragraph" w:customStyle="1" w:styleId="3717">
    <w:name w:val="3717"/>
    <w:basedOn w:val="3733"/>
    <w:next w:val="a"/>
    <w:uiPriority w:val="99"/>
    <w:qFormat/>
    <w:pPr>
      <w:widowControl w:val="0"/>
      <w:jc w:val="both"/>
    </w:pPr>
    <w:rPr>
      <w:rFonts w:ascii="Times New Roman" w:hAnsi="Times New Roman" w:cs="Times New Roman"/>
      <w:kern w:val="2"/>
    </w:rPr>
  </w:style>
  <w:style w:type="paragraph" w:customStyle="1" w:styleId="3716">
    <w:name w:val="3716"/>
    <w:basedOn w:val="3733"/>
    <w:uiPriority w:val="99"/>
    <w:qFormat/>
    <w:pPr>
      <w:widowControl w:val="0"/>
      <w:tabs>
        <w:tab w:val="left" w:pos="1200"/>
      </w:tabs>
      <w:jc w:val="both"/>
    </w:pPr>
    <w:rPr>
      <w:rFonts w:ascii="Times New Roman" w:hAnsi="Times New Roman" w:cs="Times New Roman"/>
      <w:kern w:val="2"/>
    </w:rPr>
  </w:style>
  <w:style w:type="paragraph" w:customStyle="1" w:styleId="3715">
    <w:name w:val="3715"/>
    <w:basedOn w:val="3733"/>
    <w:uiPriority w:val="99"/>
    <w:qFormat/>
    <w:pPr>
      <w:widowControl w:val="0"/>
      <w:spacing w:after="120"/>
      <w:jc w:val="both"/>
    </w:pPr>
    <w:rPr>
      <w:rFonts w:ascii="Times New Roman" w:hAnsi="Times New Roman" w:cs="Times New Roman"/>
      <w:kern w:val="2"/>
    </w:rPr>
  </w:style>
  <w:style w:type="paragraph" w:customStyle="1" w:styleId="3714">
    <w:name w:val="3714"/>
    <w:basedOn w:val="3733"/>
    <w:next w:val="a"/>
    <w:uiPriority w:val="99"/>
    <w:qFormat/>
    <w:pPr>
      <w:widowControl w:val="0"/>
      <w:ind w:leftChars="800" w:left="1680"/>
      <w:jc w:val="both"/>
    </w:pPr>
    <w:rPr>
      <w:rFonts w:ascii="Calibri" w:hAnsi="Calibri" w:cs="Times New Roman"/>
      <w:kern w:val="2"/>
      <w:szCs w:val="22"/>
    </w:rPr>
  </w:style>
  <w:style w:type="paragraph" w:customStyle="1" w:styleId="3713">
    <w:name w:val="3713"/>
    <w:basedOn w:val="3733"/>
    <w:next w:val="a"/>
    <w:uiPriority w:val="99"/>
    <w:qFormat/>
    <w:pPr>
      <w:spacing w:after="100" w:line="276" w:lineRule="auto"/>
      <w:ind w:left="440"/>
    </w:pPr>
    <w:rPr>
      <w:rFonts w:ascii="Calibri" w:hAnsi="Calibri" w:cs="Times New Roman"/>
      <w:sz w:val="22"/>
      <w:szCs w:val="22"/>
    </w:rPr>
  </w:style>
  <w:style w:type="paragraph" w:customStyle="1" w:styleId="3712">
    <w:name w:val="3712"/>
    <w:basedOn w:val="3733"/>
    <w:uiPriority w:val="99"/>
    <w:qFormat/>
    <w:pPr>
      <w:widowControl w:val="0"/>
      <w:jc w:val="both"/>
    </w:pPr>
    <w:rPr>
      <w:rFonts w:hAnsi="Courier New" w:cs="Times New Roman"/>
      <w:kern w:val="2"/>
      <w:szCs w:val="20"/>
    </w:rPr>
  </w:style>
  <w:style w:type="paragraph" w:customStyle="1" w:styleId="3711">
    <w:name w:val="3711"/>
    <w:basedOn w:val="3733"/>
    <w:next w:val="a"/>
    <w:uiPriority w:val="99"/>
    <w:qFormat/>
    <w:pPr>
      <w:widowControl w:val="0"/>
      <w:ind w:leftChars="1400" w:left="2940"/>
      <w:jc w:val="both"/>
    </w:pPr>
    <w:rPr>
      <w:rFonts w:ascii="Calibri" w:hAnsi="Calibri" w:cs="Times New Roman"/>
      <w:kern w:val="2"/>
      <w:szCs w:val="22"/>
    </w:rPr>
  </w:style>
  <w:style w:type="paragraph" w:customStyle="1" w:styleId="3710">
    <w:name w:val="3710"/>
    <w:basedOn w:val="3733"/>
    <w:next w:val="a"/>
    <w:uiPriority w:val="99"/>
    <w:qFormat/>
    <w:pPr>
      <w:widowControl w:val="0"/>
      <w:ind w:leftChars="2500" w:left="100"/>
      <w:jc w:val="both"/>
    </w:pPr>
    <w:rPr>
      <w:rFonts w:ascii="Times New Roman" w:hAnsi="Times New Roman" w:cs="Times New Roman"/>
      <w:kern w:val="2"/>
    </w:rPr>
  </w:style>
  <w:style w:type="paragraph" w:customStyle="1" w:styleId="3709">
    <w:name w:val="3709"/>
    <w:basedOn w:val="3733"/>
    <w:uiPriority w:val="99"/>
    <w:qFormat/>
    <w:pPr>
      <w:snapToGrid w:val="0"/>
    </w:pPr>
  </w:style>
  <w:style w:type="paragraph" w:customStyle="1" w:styleId="3708">
    <w:name w:val="3708"/>
    <w:basedOn w:val="3733"/>
    <w:uiPriority w:val="99"/>
    <w:qFormat/>
    <w:pPr>
      <w:widowControl w:val="0"/>
      <w:jc w:val="both"/>
    </w:pPr>
    <w:rPr>
      <w:rFonts w:ascii="Calibri" w:hAnsi="Calibri" w:cs="Times New Roman"/>
      <w:kern w:val="2"/>
      <w:sz w:val="18"/>
      <w:szCs w:val="18"/>
    </w:rPr>
  </w:style>
  <w:style w:type="paragraph" w:customStyle="1" w:styleId="3707">
    <w:name w:val="3707"/>
    <w:basedOn w:val="3733"/>
    <w:uiPriority w:val="99"/>
    <w:qFormat/>
    <w:pPr>
      <w:widowControl w:val="0"/>
      <w:tabs>
        <w:tab w:val="center" w:pos="4153"/>
        <w:tab w:val="right" w:pos="8306"/>
      </w:tabs>
      <w:snapToGrid w:val="0"/>
    </w:pPr>
    <w:rPr>
      <w:rFonts w:ascii="Calibri" w:hAnsi="Calibri" w:cs="Times New Roman"/>
      <w:kern w:val="2"/>
      <w:sz w:val="18"/>
      <w:szCs w:val="18"/>
    </w:rPr>
  </w:style>
  <w:style w:type="paragraph" w:customStyle="1" w:styleId="3706">
    <w:name w:val="3706"/>
    <w:basedOn w:val="3733"/>
    <w:uiPriority w:val="99"/>
    <w:qFormat/>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3705">
    <w:name w:val="3705"/>
    <w:basedOn w:val="3733"/>
    <w:next w:val="a"/>
    <w:uiPriority w:val="99"/>
    <w:qFormat/>
    <w:pPr>
      <w:widowControl w:val="0"/>
      <w:tabs>
        <w:tab w:val="left" w:pos="1260"/>
        <w:tab w:val="right" w:leader="dot" w:pos="8823"/>
      </w:tabs>
      <w:jc w:val="center"/>
    </w:pPr>
    <w:rPr>
      <w:rFonts w:ascii="Times New Roman" w:hAnsi="Times New Roman" w:cs="Times New Roman"/>
      <w:kern w:val="2"/>
    </w:rPr>
  </w:style>
  <w:style w:type="paragraph" w:customStyle="1" w:styleId="3704">
    <w:name w:val="3704"/>
    <w:basedOn w:val="3733"/>
    <w:next w:val="a"/>
    <w:uiPriority w:val="99"/>
    <w:qFormat/>
    <w:pPr>
      <w:widowControl w:val="0"/>
      <w:ind w:leftChars="600" w:left="1260"/>
      <w:jc w:val="both"/>
    </w:pPr>
    <w:rPr>
      <w:rFonts w:ascii="Calibri" w:hAnsi="Calibri" w:cs="Times New Roman"/>
      <w:kern w:val="2"/>
      <w:szCs w:val="22"/>
    </w:rPr>
  </w:style>
  <w:style w:type="paragraph" w:customStyle="1" w:styleId="3703">
    <w:name w:val="3703"/>
    <w:basedOn w:val="3733"/>
    <w:next w:val="a"/>
    <w:uiPriority w:val="99"/>
    <w:qFormat/>
    <w:pPr>
      <w:widowControl w:val="0"/>
      <w:ind w:leftChars="1000" w:left="2100"/>
      <w:jc w:val="both"/>
    </w:pPr>
    <w:rPr>
      <w:rFonts w:ascii="Calibri" w:hAnsi="Calibri" w:cs="Times New Roman"/>
      <w:kern w:val="2"/>
      <w:szCs w:val="22"/>
    </w:rPr>
  </w:style>
  <w:style w:type="paragraph" w:customStyle="1" w:styleId="3702">
    <w:name w:val="3702"/>
    <w:basedOn w:val="3733"/>
    <w:next w:val="a"/>
    <w:uiPriority w:val="99"/>
    <w:qFormat/>
    <w:pPr>
      <w:widowControl w:val="0"/>
      <w:ind w:leftChars="200" w:left="420"/>
      <w:jc w:val="both"/>
    </w:pPr>
    <w:rPr>
      <w:rFonts w:ascii="Times New Roman" w:hAnsi="Times New Roman" w:cs="Times New Roman"/>
      <w:kern w:val="2"/>
    </w:rPr>
  </w:style>
  <w:style w:type="paragraph" w:customStyle="1" w:styleId="3701">
    <w:name w:val="3701"/>
    <w:basedOn w:val="3733"/>
    <w:next w:val="a"/>
    <w:uiPriority w:val="99"/>
    <w:qFormat/>
    <w:pPr>
      <w:widowControl w:val="0"/>
      <w:ind w:leftChars="1600" w:left="3360"/>
      <w:jc w:val="both"/>
    </w:pPr>
    <w:rPr>
      <w:rFonts w:ascii="Calibri" w:hAnsi="Calibri" w:cs="Times New Roman"/>
      <w:kern w:val="2"/>
      <w:szCs w:val="22"/>
    </w:rPr>
  </w:style>
  <w:style w:type="paragraph" w:customStyle="1" w:styleId="3700">
    <w:name w:val="3700"/>
    <w:basedOn w:val="3733"/>
    <w:uiPriority w:val="99"/>
    <w:qFormat/>
    <w:pPr>
      <w:spacing w:before="100" w:beforeAutospacing="1" w:after="100" w:afterAutospacing="1"/>
    </w:pPr>
    <w:rPr>
      <w:sz w:val="24"/>
    </w:rPr>
  </w:style>
  <w:style w:type="paragraph" w:customStyle="1" w:styleId="3699">
    <w:name w:val="3699"/>
    <w:basedOn w:val="3733"/>
    <w:next w:val="a"/>
    <w:uiPriority w:val="99"/>
    <w:qFormat/>
    <w:pPr>
      <w:ind w:firstLineChars="200" w:firstLine="420"/>
    </w:pPr>
    <w:rPr>
      <w:rFonts w:cs="Times New Roman"/>
      <w:color w:val="000000"/>
    </w:rPr>
  </w:style>
  <w:style w:type="paragraph" w:customStyle="1" w:styleId="3698">
    <w:name w:val="3698"/>
    <w:basedOn w:val="3733"/>
    <w:next w:val="a"/>
    <w:uiPriority w:val="99"/>
    <w:qFormat/>
    <w:pPr>
      <w:widowControl w:val="0"/>
      <w:spacing w:before="240" w:after="60"/>
      <w:jc w:val="center"/>
      <w:outlineLvl w:val="0"/>
    </w:pPr>
    <w:rPr>
      <w:rFonts w:ascii="Cambria" w:hAnsi="Cambria" w:cs="Times New Roman"/>
      <w:b/>
      <w:bCs/>
      <w:kern w:val="2"/>
      <w:sz w:val="32"/>
      <w:szCs w:val="32"/>
    </w:rPr>
  </w:style>
  <w:style w:type="paragraph" w:customStyle="1" w:styleId="3697">
    <w:name w:val="3697"/>
    <w:basedOn w:val="3718"/>
    <w:next w:val="aa"/>
    <w:uiPriority w:val="99"/>
    <w:qFormat/>
    <w:rPr>
      <w:rFonts w:ascii="Calibri" w:hAnsi="Calibri"/>
      <w:b/>
      <w:bCs/>
      <w:szCs w:val="22"/>
    </w:rPr>
  </w:style>
  <w:style w:type="paragraph" w:customStyle="1" w:styleId="3694">
    <w:name w:val="3694"/>
    <w:uiPriority w:val="1"/>
    <w:qFormat/>
    <w:pPr>
      <w:widowControl w:val="0"/>
      <w:jc w:val="both"/>
    </w:pPr>
    <w:rPr>
      <w:kern w:val="2"/>
      <w:sz w:val="21"/>
      <w:szCs w:val="22"/>
    </w:rPr>
  </w:style>
  <w:style w:type="paragraph" w:customStyle="1" w:styleId="3691">
    <w:name w:val="3691"/>
    <w:next w:val="a"/>
    <w:uiPriority w:val="99"/>
    <w:qFormat/>
    <w:pPr>
      <w:widowControl w:val="0"/>
      <w:jc w:val="center"/>
    </w:pPr>
    <w:rPr>
      <w:rFonts w:ascii="Times New Roman" w:hAnsi="Times New Roman" w:cs="Times New Roman"/>
      <w:bCs/>
      <w:kern w:val="2"/>
      <w:sz w:val="21"/>
      <w:szCs w:val="21"/>
    </w:rPr>
  </w:style>
  <w:style w:type="paragraph" w:customStyle="1" w:styleId="3684">
    <w:name w:val="3684"/>
    <w:basedOn w:val="3732"/>
    <w:next w:val="a"/>
    <w:uiPriority w:val="39"/>
    <w:qFormat/>
    <w:pPr>
      <w:widowControl/>
      <w:spacing w:before="480" w:after="0" w:line="276" w:lineRule="auto"/>
      <w:outlineLvl w:val="9"/>
    </w:pPr>
    <w:rPr>
      <w:rFonts w:ascii="Cambria" w:eastAsia="宋体" w:hAnsi="Cambria"/>
      <w:color w:val="365F91"/>
      <w:kern w:val="0"/>
      <w:szCs w:val="28"/>
    </w:rPr>
  </w:style>
  <w:style w:type="paragraph" w:customStyle="1" w:styleId="3680">
    <w:name w:val="3680"/>
    <w:basedOn w:val="3733"/>
    <w:uiPriority w:val="34"/>
    <w:qFormat/>
    <w:pPr>
      <w:widowControl w:val="0"/>
      <w:ind w:firstLineChars="200" w:firstLine="420"/>
      <w:jc w:val="both"/>
    </w:pPr>
    <w:rPr>
      <w:rFonts w:ascii="Calibri" w:hAnsi="Calibri" w:cs="Times New Roman"/>
      <w:kern w:val="2"/>
      <w:szCs w:val="22"/>
    </w:rPr>
  </w:style>
  <w:style w:type="paragraph" w:customStyle="1" w:styleId="3672">
    <w:name w:val="3672"/>
    <w:basedOn w:val="3733"/>
    <w:uiPriority w:val="99"/>
    <w:qFormat/>
    <w:pPr>
      <w:keepNext/>
      <w:keepLines/>
      <w:widowControl w:val="0"/>
      <w:spacing w:before="60" w:after="60"/>
      <w:ind w:hangingChars="200" w:hanging="420"/>
      <w:jc w:val="both"/>
      <w:outlineLvl w:val="4"/>
    </w:pPr>
    <w:rPr>
      <w:rFonts w:cs="Times New Roman"/>
      <w:b/>
      <w:bCs/>
      <w:kern w:val="2"/>
    </w:rPr>
  </w:style>
  <w:style w:type="paragraph" w:customStyle="1" w:styleId="1a">
    <w:name w:val="索引 1 字符"/>
    <w:uiPriority w:val="99"/>
    <w:semiHidden/>
    <w:qFormat/>
    <w:rPr>
      <w:kern w:val="2"/>
      <w:sz w:val="21"/>
      <w:szCs w:val="22"/>
    </w:rPr>
  </w:style>
  <w:style w:type="paragraph" w:customStyle="1" w:styleId="3670">
    <w:name w:val="3670"/>
    <w:basedOn w:val="3733"/>
    <w:uiPriority w:val="99"/>
    <w:qFormat/>
    <w:pPr>
      <w:widowControl w:val="0"/>
      <w:spacing w:before="100" w:after="100"/>
      <w:jc w:val="both"/>
    </w:pPr>
    <w:rPr>
      <w:rFonts w:ascii="Calibri" w:hAnsi="Calibri" w:cs="Times New Roman"/>
      <w:kern w:val="2"/>
    </w:rPr>
  </w:style>
  <w:style w:type="character" w:customStyle="1" w:styleId="715">
    <w:name w:val="715"/>
    <w:link w:val="3667"/>
    <w:uiPriority w:val="1"/>
    <w:qFormat/>
    <w:locked/>
    <w:rPr>
      <w:bCs/>
      <w:kern w:val="2"/>
      <w:szCs w:val="22"/>
    </w:rPr>
  </w:style>
  <w:style w:type="paragraph" w:customStyle="1" w:styleId="3667">
    <w:name w:val="3667"/>
    <w:link w:val="715"/>
    <w:uiPriority w:val="1"/>
    <w:qFormat/>
    <w:pPr>
      <w:widowControl w:val="0"/>
      <w:jc w:val="both"/>
    </w:pPr>
    <w:rPr>
      <w:bCs/>
      <w:kern w:val="2"/>
      <w:sz w:val="21"/>
      <w:szCs w:val="22"/>
    </w:rPr>
  </w:style>
  <w:style w:type="paragraph" w:customStyle="1" w:styleId="3663">
    <w:name w:val="3663"/>
    <w:next w:val="aa"/>
    <w:uiPriority w:val="99"/>
    <w:qFormat/>
    <w:rPr>
      <w:rFonts w:ascii="Calibri" w:hAnsi="Calibri"/>
      <w:b/>
      <w:bCs/>
      <w:sz w:val="21"/>
      <w:szCs w:val="22"/>
    </w:rPr>
  </w:style>
  <w:style w:type="paragraph" w:customStyle="1" w:styleId="3662">
    <w:name w:val="3662"/>
    <w:basedOn w:val="3733"/>
    <w:uiPriority w:val="99"/>
    <w:qFormat/>
    <w:pPr>
      <w:widowControl w:val="0"/>
    </w:pPr>
    <w:rPr>
      <w:rFonts w:ascii="Times New Roman" w:hAnsi="Times New Roman" w:cs="Times New Roman"/>
      <w:kern w:val="2"/>
    </w:rPr>
  </w:style>
  <w:style w:type="paragraph" w:customStyle="1" w:styleId="3661">
    <w:name w:val="3661"/>
    <w:basedOn w:val="3733"/>
    <w:next w:val="a"/>
    <w:uiPriority w:val="99"/>
    <w:qFormat/>
    <w:pPr>
      <w:keepNext/>
      <w:keepLines/>
      <w:widowControl w:val="0"/>
      <w:spacing w:before="100" w:beforeAutospacing="1" w:after="100" w:afterAutospacing="1" w:line="412" w:lineRule="auto"/>
      <w:jc w:val="both"/>
    </w:pPr>
    <w:rPr>
      <w:rFonts w:ascii="Times New Roman" w:hAnsi="Times New Roman" w:cs="Times New Roman"/>
      <w:b/>
      <w:kern w:val="2"/>
    </w:rPr>
  </w:style>
  <w:style w:type="paragraph" w:customStyle="1" w:styleId="3656">
    <w:name w:val="3656"/>
    <w:basedOn w:val="3733"/>
    <w:uiPriority w:val="34"/>
    <w:qFormat/>
    <w:pPr>
      <w:widowControl w:val="0"/>
      <w:ind w:firstLineChars="200" w:firstLine="420"/>
      <w:jc w:val="both"/>
    </w:pPr>
    <w:rPr>
      <w:rFonts w:ascii="Calibri" w:hAnsi="Calibri" w:cs="Times New Roman"/>
      <w:kern w:val="2"/>
      <w:szCs w:val="22"/>
    </w:rPr>
  </w:style>
  <w:style w:type="paragraph" w:customStyle="1" w:styleId="3655">
    <w:name w:val="3655"/>
    <w:basedOn w:val="3733"/>
    <w:uiPriority w:val="34"/>
    <w:qFormat/>
    <w:pPr>
      <w:widowControl w:val="0"/>
      <w:ind w:firstLineChars="200" w:firstLine="420"/>
      <w:jc w:val="both"/>
    </w:pPr>
    <w:rPr>
      <w:rFonts w:ascii="Calibri" w:hAnsi="Calibri" w:cs="Times New Roman"/>
      <w:kern w:val="2"/>
      <w:szCs w:val="22"/>
    </w:rPr>
  </w:style>
  <w:style w:type="paragraph" w:customStyle="1" w:styleId="3653">
    <w:name w:val="3653"/>
    <w:basedOn w:val="3733"/>
    <w:uiPriority w:val="34"/>
    <w:qFormat/>
    <w:pPr>
      <w:widowControl w:val="0"/>
      <w:ind w:firstLineChars="200" w:firstLine="420"/>
      <w:jc w:val="both"/>
    </w:pPr>
    <w:rPr>
      <w:rFonts w:ascii="Calibri" w:hAnsi="Calibri" w:cs="Times New Roman"/>
      <w:kern w:val="2"/>
      <w:szCs w:val="22"/>
    </w:rPr>
  </w:style>
  <w:style w:type="paragraph" w:customStyle="1" w:styleId="3652">
    <w:name w:val="3652"/>
    <w:basedOn w:val="3733"/>
    <w:uiPriority w:val="34"/>
    <w:qFormat/>
    <w:pPr>
      <w:widowControl w:val="0"/>
      <w:ind w:firstLineChars="200" w:firstLine="420"/>
      <w:jc w:val="both"/>
    </w:pPr>
    <w:rPr>
      <w:rFonts w:ascii="Calibri" w:hAnsi="Calibri" w:cs="Times New Roman"/>
      <w:kern w:val="2"/>
      <w:szCs w:val="22"/>
    </w:rPr>
  </w:style>
  <w:style w:type="paragraph" w:customStyle="1" w:styleId="3650">
    <w:name w:val="3650"/>
    <w:basedOn w:val="3733"/>
    <w:next w:val="a"/>
    <w:uiPriority w:val="99"/>
    <w:qFormat/>
    <w:pPr>
      <w:widowControl w:val="0"/>
      <w:jc w:val="both"/>
    </w:pPr>
    <w:rPr>
      <w:rFonts w:ascii="Times New Roman" w:hAnsi="Times New Roman" w:cs="Times New Roman"/>
      <w:kern w:val="2"/>
    </w:rPr>
  </w:style>
  <w:style w:type="paragraph" w:customStyle="1" w:styleId="3648">
    <w:name w:val="3648"/>
    <w:basedOn w:val="3733"/>
    <w:uiPriority w:val="34"/>
    <w:qFormat/>
    <w:pPr>
      <w:widowControl w:val="0"/>
      <w:ind w:firstLineChars="200" w:firstLine="420"/>
      <w:jc w:val="both"/>
    </w:pPr>
    <w:rPr>
      <w:rFonts w:ascii="Calibri" w:hAnsi="Calibri" w:cs="Times New Roman"/>
      <w:kern w:val="2"/>
      <w:szCs w:val="22"/>
    </w:rPr>
  </w:style>
  <w:style w:type="paragraph" w:customStyle="1" w:styleId="3643">
    <w:name w:val="3643"/>
    <w:basedOn w:val="3733"/>
    <w:uiPriority w:val="34"/>
    <w:qFormat/>
    <w:pPr>
      <w:widowControl w:val="0"/>
      <w:ind w:firstLineChars="200" w:firstLine="420"/>
      <w:jc w:val="both"/>
    </w:pPr>
    <w:rPr>
      <w:rFonts w:ascii="Calibri" w:hAnsi="Calibri" w:cs="Times New Roman"/>
      <w:kern w:val="2"/>
      <w:szCs w:val="22"/>
    </w:rPr>
  </w:style>
  <w:style w:type="paragraph" w:customStyle="1" w:styleId="3641">
    <w:name w:val="3641"/>
    <w:basedOn w:val="3733"/>
    <w:uiPriority w:val="99"/>
    <w:qFormat/>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3638">
    <w:name w:val="3638"/>
    <w:basedOn w:val="3733"/>
    <w:uiPriority w:val="99"/>
    <w:qFormat/>
    <w:pPr>
      <w:widowControl w:val="0"/>
      <w:jc w:val="both"/>
    </w:pPr>
    <w:rPr>
      <w:rFonts w:ascii="Times New Roman" w:hAnsi="Times New Roman" w:cs="Times New Roman"/>
      <w:bCs/>
      <w:kern w:val="2"/>
      <w:sz w:val="24"/>
      <w:szCs w:val="24"/>
    </w:rPr>
  </w:style>
  <w:style w:type="paragraph" w:customStyle="1" w:styleId="3637">
    <w:name w:val="3637"/>
    <w:basedOn w:val="3733"/>
    <w:uiPriority w:val="99"/>
    <w:qFormat/>
    <w:pPr>
      <w:widowControl w:val="0"/>
      <w:tabs>
        <w:tab w:val="left" w:pos="315"/>
      </w:tabs>
      <w:ind w:left="315" w:hanging="315"/>
      <w:jc w:val="both"/>
    </w:pPr>
    <w:rPr>
      <w:rFonts w:ascii="Times New Roman" w:hAnsi="Times New Roman" w:cs="Times New Roman"/>
      <w:bCs/>
      <w:kern w:val="2"/>
      <w:sz w:val="24"/>
      <w:szCs w:val="24"/>
    </w:rPr>
  </w:style>
  <w:style w:type="paragraph" w:customStyle="1" w:styleId="3636">
    <w:name w:val="3636"/>
    <w:basedOn w:val="3733"/>
    <w:uiPriority w:val="99"/>
    <w:qFormat/>
    <w:pPr>
      <w:widowControl w:val="0"/>
      <w:autoSpaceDE w:val="0"/>
      <w:autoSpaceDN w:val="0"/>
      <w:adjustRightInd w:val="0"/>
    </w:pPr>
    <w:rPr>
      <w:rFonts w:ascii="Times New Roman" w:hAnsi="Times New Roman" w:cs="Times New Roman"/>
      <w:bCs/>
      <w:kern w:val="2"/>
      <w:sz w:val="30"/>
      <w:szCs w:val="20"/>
    </w:rPr>
  </w:style>
  <w:style w:type="paragraph" w:customStyle="1" w:styleId="3631">
    <w:name w:val="3631"/>
    <w:basedOn w:val="3733"/>
    <w:next w:val="a"/>
    <w:uiPriority w:val="99"/>
    <w:qFormat/>
    <w:pPr>
      <w:keepNext/>
      <w:keepLines/>
      <w:widowControl w:val="0"/>
      <w:tabs>
        <w:tab w:val="left" w:pos="546"/>
      </w:tabs>
      <w:adjustRightInd w:val="0"/>
      <w:spacing w:before="120" w:after="120" w:line="480" w:lineRule="atLeast"/>
      <w:ind w:left="420" w:hanging="420"/>
      <w:outlineLvl w:val="1"/>
    </w:pPr>
    <w:rPr>
      <w:rFonts w:cs="Times New Roman"/>
      <w:bCs/>
      <w:color w:val="000000"/>
    </w:rPr>
  </w:style>
  <w:style w:type="paragraph" w:customStyle="1" w:styleId="3630">
    <w:name w:val="3630"/>
    <w:basedOn w:val="3733"/>
    <w:next w:val="a"/>
    <w:uiPriority w:val="39"/>
    <w:qFormat/>
    <w:pPr>
      <w:tabs>
        <w:tab w:val="right" w:leader="dot" w:pos="8296"/>
      </w:tabs>
      <w:ind w:leftChars="200" w:left="420"/>
      <w:jc w:val="center"/>
    </w:pPr>
    <w:rPr>
      <w:rFonts w:cs="Times New Roman"/>
      <w:b/>
      <w:bCs/>
      <w:color w:val="000000"/>
      <w:sz w:val="32"/>
      <w:szCs w:val="32"/>
    </w:rPr>
  </w:style>
  <w:style w:type="paragraph" w:customStyle="1" w:styleId="3629">
    <w:name w:val="3629"/>
    <w:basedOn w:val="3733"/>
    <w:next w:val="a"/>
    <w:uiPriority w:val="39"/>
    <w:qFormat/>
    <w:rPr>
      <w:rFonts w:cs="Times New Roman"/>
      <w:bCs/>
      <w:color w:val="000000"/>
      <w:szCs w:val="20"/>
    </w:rPr>
  </w:style>
  <w:style w:type="paragraph" w:customStyle="1" w:styleId="3628">
    <w:name w:val="3628"/>
    <w:basedOn w:val="3733"/>
    <w:next w:val="a"/>
    <w:uiPriority w:val="39"/>
    <w:qFormat/>
    <w:pPr>
      <w:spacing w:after="100" w:line="276" w:lineRule="auto"/>
      <w:ind w:left="440"/>
    </w:pPr>
    <w:rPr>
      <w:rFonts w:ascii="Calibri" w:hAnsi="Calibri" w:cs="Times New Roman"/>
      <w:bCs/>
      <w:sz w:val="22"/>
      <w:szCs w:val="22"/>
    </w:rPr>
  </w:style>
  <w:style w:type="paragraph" w:customStyle="1" w:styleId="3627">
    <w:name w:val="3627"/>
    <w:basedOn w:val="3733"/>
    <w:next w:val="a"/>
    <w:uiPriority w:val="39"/>
    <w:qFormat/>
    <w:pPr>
      <w:widowControl w:val="0"/>
      <w:ind w:leftChars="600" w:left="1260"/>
      <w:jc w:val="both"/>
    </w:pPr>
    <w:rPr>
      <w:rFonts w:ascii="Calibri" w:hAnsi="Calibri" w:cs="Times New Roman"/>
      <w:bCs/>
      <w:kern w:val="2"/>
      <w:szCs w:val="22"/>
    </w:rPr>
  </w:style>
  <w:style w:type="paragraph" w:customStyle="1" w:styleId="3626">
    <w:name w:val="3626"/>
    <w:basedOn w:val="3733"/>
    <w:next w:val="a"/>
    <w:uiPriority w:val="39"/>
    <w:qFormat/>
    <w:pPr>
      <w:widowControl w:val="0"/>
      <w:ind w:leftChars="800" w:left="1680"/>
      <w:jc w:val="both"/>
    </w:pPr>
    <w:rPr>
      <w:rFonts w:ascii="Calibri" w:hAnsi="Calibri" w:cs="Times New Roman"/>
      <w:bCs/>
      <w:kern w:val="2"/>
      <w:szCs w:val="22"/>
    </w:rPr>
  </w:style>
  <w:style w:type="paragraph" w:customStyle="1" w:styleId="3625">
    <w:name w:val="3625"/>
    <w:basedOn w:val="3733"/>
    <w:next w:val="a"/>
    <w:uiPriority w:val="39"/>
    <w:qFormat/>
    <w:pPr>
      <w:widowControl w:val="0"/>
      <w:ind w:leftChars="1000" w:left="2100"/>
      <w:jc w:val="both"/>
    </w:pPr>
    <w:rPr>
      <w:rFonts w:ascii="Calibri" w:hAnsi="Calibri" w:cs="Times New Roman"/>
      <w:bCs/>
      <w:kern w:val="2"/>
      <w:szCs w:val="22"/>
    </w:rPr>
  </w:style>
  <w:style w:type="paragraph" w:customStyle="1" w:styleId="3624">
    <w:name w:val="3624"/>
    <w:basedOn w:val="3733"/>
    <w:next w:val="a"/>
    <w:uiPriority w:val="39"/>
    <w:qFormat/>
    <w:pPr>
      <w:widowControl w:val="0"/>
      <w:ind w:leftChars="1200" w:left="2520"/>
      <w:jc w:val="both"/>
    </w:pPr>
    <w:rPr>
      <w:rFonts w:ascii="Calibri" w:hAnsi="Calibri" w:cs="Times New Roman"/>
      <w:bCs/>
      <w:kern w:val="2"/>
      <w:szCs w:val="22"/>
    </w:rPr>
  </w:style>
  <w:style w:type="paragraph" w:customStyle="1" w:styleId="3623">
    <w:name w:val="3623"/>
    <w:basedOn w:val="3733"/>
    <w:next w:val="a"/>
    <w:uiPriority w:val="39"/>
    <w:qFormat/>
    <w:pPr>
      <w:widowControl w:val="0"/>
      <w:ind w:leftChars="1400" w:left="2940"/>
      <w:jc w:val="both"/>
    </w:pPr>
    <w:rPr>
      <w:rFonts w:ascii="Calibri" w:hAnsi="Calibri" w:cs="Times New Roman"/>
      <w:bCs/>
      <w:kern w:val="2"/>
      <w:szCs w:val="22"/>
    </w:rPr>
  </w:style>
  <w:style w:type="paragraph" w:customStyle="1" w:styleId="3622">
    <w:name w:val="3622"/>
    <w:basedOn w:val="3733"/>
    <w:next w:val="a"/>
    <w:uiPriority w:val="39"/>
    <w:qFormat/>
    <w:pPr>
      <w:widowControl w:val="0"/>
      <w:ind w:leftChars="1600" w:left="3360"/>
      <w:jc w:val="both"/>
    </w:pPr>
    <w:rPr>
      <w:rFonts w:ascii="Calibri" w:hAnsi="Calibri" w:cs="Times New Roman"/>
      <w:bCs/>
      <w:kern w:val="2"/>
      <w:szCs w:val="22"/>
    </w:rPr>
  </w:style>
  <w:style w:type="paragraph" w:customStyle="1" w:styleId="3621">
    <w:name w:val="3621"/>
    <w:basedOn w:val="3733"/>
    <w:uiPriority w:val="99"/>
    <w:qFormat/>
    <w:pPr>
      <w:widowControl w:val="0"/>
      <w:tabs>
        <w:tab w:val="left" w:pos="1200"/>
      </w:tabs>
      <w:jc w:val="both"/>
    </w:pPr>
    <w:rPr>
      <w:rFonts w:ascii="Times New Roman" w:hAnsi="Times New Roman" w:cs="Times New Roman"/>
      <w:bCs/>
      <w:kern w:val="2"/>
    </w:rPr>
  </w:style>
  <w:style w:type="paragraph" w:customStyle="1" w:styleId="3620">
    <w:name w:val="3620"/>
    <w:basedOn w:val="3733"/>
    <w:next w:val="a"/>
    <w:uiPriority w:val="99"/>
    <w:qFormat/>
    <w:pPr>
      <w:keepNext/>
      <w:keepLines/>
      <w:widowControl w:val="0"/>
      <w:spacing w:before="100" w:beforeAutospacing="1" w:after="100" w:afterAutospacing="1" w:line="412" w:lineRule="auto"/>
      <w:jc w:val="both"/>
    </w:pPr>
    <w:rPr>
      <w:rFonts w:ascii="Times New Roman" w:hAnsi="Times New Roman" w:cs="Times New Roman"/>
      <w:b/>
      <w:bCs/>
      <w:kern w:val="2"/>
      <w:szCs w:val="24"/>
    </w:rPr>
  </w:style>
  <w:style w:type="paragraph" w:customStyle="1" w:styleId="3617">
    <w:name w:val="3617"/>
    <w:basedOn w:val="3733"/>
    <w:uiPriority w:val="34"/>
    <w:qFormat/>
    <w:pPr>
      <w:widowControl w:val="0"/>
      <w:ind w:firstLineChars="200" w:firstLine="420"/>
      <w:jc w:val="both"/>
    </w:pPr>
    <w:rPr>
      <w:rFonts w:ascii="Calibri" w:hAnsi="Calibri" w:cs="Times New Roman"/>
      <w:bCs/>
      <w:kern w:val="2"/>
      <w:szCs w:val="22"/>
    </w:rPr>
  </w:style>
  <w:style w:type="paragraph" w:customStyle="1" w:styleId="3616">
    <w:name w:val="3616"/>
    <w:basedOn w:val="3733"/>
    <w:uiPriority w:val="34"/>
    <w:qFormat/>
    <w:pPr>
      <w:widowControl w:val="0"/>
      <w:ind w:firstLineChars="200" w:firstLine="420"/>
      <w:jc w:val="both"/>
    </w:pPr>
    <w:rPr>
      <w:rFonts w:ascii="Calibri" w:hAnsi="Calibri" w:cs="Times New Roman"/>
      <w:bCs/>
      <w:kern w:val="2"/>
      <w:szCs w:val="22"/>
    </w:rPr>
  </w:style>
  <w:style w:type="paragraph" w:customStyle="1" w:styleId="3615">
    <w:name w:val="3615"/>
    <w:basedOn w:val="3733"/>
    <w:uiPriority w:val="34"/>
    <w:qFormat/>
    <w:pPr>
      <w:widowControl w:val="0"/>
      <w:ind w:firstLineChars="200" w:firstLine="420"/>
      <w:jc w:val="both"/>
    </w:pPr>
    <w:rPr>
      <w:rFonts w:ascii="Calibri" w:hAnsi="Calibri" w:cs="Times New Roman"/>
      <w:bCs/>
      <w:kern w:val="2"/>
      <w:szCs w:val="22"/>
    </w:rPr>
  </w:style>
  <w:style w:type="paragraph" w:customStyle="1" w:styleId="3614">
    <w:name w:val="3614"/>
    <w:basedOn w:val="3733"/>
    <w:uiPriority w:val="34"/>
    <w:qFormat/>
    <w:pPr>
      <w:widowControl w:val="0"/>
      <w:ind w:firstLineChars="200" w:firstLine="420"/>
      <w:jc w:val="both"/>
    </w:pPr>
    <w:rPr>
      <w:rFonts w:ascii="Calibri" w:hAnsi="Calibri" w:cs="Times New Roman"/>
      <w:bCs/>
      <w:kern w:val="2"/>
      <w:szCs w:val="22"/>
    </w:rPr>
  </w:style>
  <w:style w:type="paragraph" w:customStyle="1" w:styleId="3613">
    <w:name w:val="3613"/>
    <w:uiPriority w:val="99"/>
    <w:qFormat/>
    <w:rPr>
      <w:bCs/>
      <w:kern w:val="2"/>
      <w:sz w:val="21"/>
      <w:szCs w:val="24"/>
    </w:rPr>
  </w:style>
  <w:style w:type="paragraph" w:customStyle="1" w:styleId="3611">
    <w:name w:val="3611"/>
    <w:uiPriority w:val="99"/>
    <w:qFormat/>
    <w:rPr>
      <w:bCs/>
      <w:sz w:val="21"/>
      <w:szCs w:val="24"/>
    </w:rPr>
  </w:style>
  <w:style w:type="paragraph" w:customStyle="1" w:styleId="3609">
    <w:name w:val="3609"/>
    <w:basedOn w:val="3733"/>
    <w:uiPriority w:val="34"/>
    <w:qFormat/>
    <w:pPr>
      <w:widowControl w:val="0"/>
      <w:ind w:firstLineChars="200" w:firstLine="420"/>
      <w:jc w:val="both"/>
    </w:pPr>
    <w:rPr>
      <w:rFonts w:ascii="Calibri" w:hAnsi="Calibri" w:cs="Times New Roman"/>
      <w:bCs/>
      <w:kern w:val="2"/>
      <w:szCs w:val="22"/>
    </w:rPr>
  </w:style>
  <w:style w:type="paragraph" w:customStyle="1" w:styleId="3608">
    <w:name w:val="3608"/>
    <w:basedOn w:val="3733"/>
    <w:uiPriority w:val="34"/>
    <w:qFormat/>
    <w:pPr>
      <w:widowControl w:val="0"/>
      <w:ind w:firstLineChars="200" w:firstLine="420"/>
      <w:jc w:val="both"/>
    </w:pPr>
    <w:rPr>
      <w:rFonts w:ascii="Calibri" w:hAnsi="Calibri" w:cs="Times New Roman"/>
      <w:bCs/>
      <w:kern w:val="2"/>
      <w:szCs w:val="22"/>
    </w:rPr>
  </w:style>
  <w:style w:type="paragraph" w:customStyle="1" w:styleId="3607">
    <w:name w:val="3607"/>
    <w:basedOn w:val="3733"/>
    <w:uiPriority w:val="99"/>
    <w:qFormat/>
    <w:rPr>
      <w:rFonts w:cs="Times New Roman"/>
      <w:bCs/>
      <w:kern w:val="2"/>
    </w:rPr>
  </w:style>
  <w:style w:type="paragraph" w:customStyle="1" w:styleId="3606">
    <w:name w:val="3606"/>
    <w:basedOn w:val="3733"/>
    <w:uiPriority w:val="59"/>
    <w:qFormat/>
    <w:pPr>
      <w:widowControl w:val="0"/>
    </w:pPr>
    <w:rPr>
      <w:rFonts w:ascii="Times New Roman" w:cs="Times New Roman"/>
      <w:bCs/>
      <w:kern w:val="2"/>
    </w:rPr>
  </w:style>
  <w:style w:type="paragraph" w:customStyle="1" w:styleId="3605">
    <w:name w:val="3605"/>
    <w:uiPriority w:val="99"/>
    <w:qFormat/>
    <w:rPr>
      <w:bCs/>
      <w:kern w:val="2"/>
      <w:sz w:val="21"/>
      <w:szCs w:val="24"/>
    </w:rPr>
  </w:style>
  <w:style w:type="paragraph" w:customStyle="1" w:styleId="3604">
    <w:name w:val="3604"/>
    <w:uiPriority w:val="99"/>
    <w:qFormat/>
    <w:rPr>
      <w:bCs/>
      <w:kern w:val="2"/>
      <w:sz w:val="21"/>
      <w:szCs w:val="24"/>
    </w:rPr>
  </w:style>
  <w:style w:type="paragraph" w:customStyle="1" w:styleId="3603">
    <w:name w:val="3603"/>
    <w:basedOn w:val="3733"/>
    <w:uiPriority w:val="99"/>
    <w:qFormat/>
    <w:pPr>
      <w:widowControl w:val="0"/>
      <w:jc w:val="both"/>
    </w:pPr>
    <w:rPr>
      <w:rFonts w:ascii="Calibri" w:hAnsi="Calibri" w:cs="Times New Roman"/>
      <w:bCs/>
      <w:kern w:val="2"/>
      <w:sz w:val="18"/>
      <w:szCs w:val="18"/>
    </w:rPr>
  </w:style>
  <w:style w:type="paragraph" w:customStyle="1" w:styleId="3602">
    <w:name w:val="3602"/>
    <w:basedOn w:val="3733"/>
    <w:next w:val="a"/>
    <w:uiPriority w:val="99"/>
    <w:qFormat/>
    <w:pPr>
      <w:widowControl w:val="0"/>
      <w:ind w:leftChars="2500" w:left="100"/>
      <w:jc w:val="both"/>
    </w:pPr>
    <w:rPr>
      <w:rFonts w:ascii="Times New Roman" w:hAnsi="Times New Roman" w:cs="Times New Roman"/>
      <w:bCs/>
      <w:kern w:val="2"/>
    </w:rPr>
  </w:style>
  <w:style w:type="paragraph" w:customStyle="1" w:styleId="3598">
    <w:name w:val="3598"/>
    <w:uiPriority w:val="99"/>
    <w:qFormat/>
    <w:rPr>
      <w:bCs/>
      <w:kern w:val="2"/>
      <w:sz w:val="21"/>
      <w:szCs w:val="24"/>
    </w:rPr>
  </w:style>
  <w:style w:type="paragraph" w:customStyle="1" w:styleId="3596">
    <w:name w:val="3596"/>
    <w:basedOn w:val="3733"/>
    <w:next w:val="a"/>
    <w:uiPriority w:val="99"/>
    <w:qFormat/>
    <w:pPr>
      <w:keepNext/>
      <w:keepLines/>
      <w:widowControl w:val="0"/>
      <w:spacing w:before="60" w:after="60" w:line="360" w:lineRule="auto"/>
      <w:jc w:val="center"/>
      <w:outlineLvl w:val="0"/>
    </w:pPr>
    <w:rPr>
      <w:rFonts w:ascii="Calibri" w:eastAsia="黑体" w:hAnsi="Calibri" w:cs="Times New Roman"/>
      <w:b/>
      <w:kern w:val="44"/>
      <w:sz w:val="28"/>
      <w:szCs w:val="44"/>
    </w:rPr>
  </w:style>
  <w:style w:type="paragraph" w:customStyle="1" w:styleId="3595">
    <w:name w:val="3595"/>
    <w:basedOn w:val="3733"/>
    <w:next w:val="a"/>
    <w:uiPriority w:val="9"/>
    <w:qFormat/>
    <w:pPr>
      <w:keepNext/>
      <w:keepLines/>
      <w:widowControl w:val="0"/>
      <w:spacing w:before="60" w:after="60"/>
      <w:jc w:val="both"/>
      <w:outlineLvl w:val="2"/>
    </w:pPr>
    <w:rPr>
      <w:rFonts w:ascii="Calibri" w:hAnsi="Calibri" w:cs="Times New Roman"/>
      <w:b/>
      <w:kern w:val="2"/>
      <w:szCs w:val="32"/>
    </w:rPr>
  </w:style>
  <w:style w:type="paragraph" w:customStyle="1" w:styleId="3594">
    <w:name w:val="3594"/>
    <w:basedOn w:val="3733"/>
    <w:next w:val="a"/>
    <w:uiPriority w:val="9"/>
    <w:qFormat/>
    <w:pPr>
      <w:keepNext/>
      <w:keepLines/>
      <w:widowControl w:val="0"/>
      <w:spacing w:before="60" w:after="60"/>
      <w:jc w:val="both"/>
      <w:outlineLvl w:val="3"/>
    </w:pPr>
    <w:rPr>
      <w:rFonts w:ascii="Cambria" w:hAnsi="Cambria" w:cs="Times New Roman"/>
      <w:b/>
      <w:kern w:val="2"/>
      <w:szCs w:val="28"/>
    </w:rPr>
  </w:style>
  <w:style w:type="paragraph" w:customStyle="1" w:styleId="3593">
    <w:name w:val="3593"/>
    <w:basedOn w:val="3733"/>
    <w:next w:val="a"/>
    <w:uiPriority w:val="9"/>
    <w:qFormat/>
    <w:pPr>
      <w:keepNext/>
      <w:keepLines/>
      <w:widowControl w:val="0"/>
      <w:spacing w:before="60" w:after="60"/>
      <w:jc w:val="both"/>
      <w:outlineLvl w:val="4"/>
    </w:pPr>
    <w:rPr>
      <w:rFonts w:ascii="Calibri" w:hAnsi="Calibri" w:cs="Times New Roman"/>
      <w:b/>
      <w:kern w:val="2"/>
      <w:szCs w:val="28"/>
    </w:rPr>
  </w:style>
  <w:style w:type="paragraph" w:customStyle="1" w:styleId="3592">
    <w:name w:val="3592"/>
    <w:basedOn w:val="3733"/>
    <w:next w:val="a"/>
    <w:uiPriority w:val="9"/>
    <w:qFormat/>
    <w:pPr>
      <w:keepNext/>
      <w:keepLines/>
      <w:spacing w:before="60" w:after="60"/>
      <w:outlineLvl w:val="5"/>
    </w:pPr>
    <w:rPr>
      <w:rFonts w:ascii="Cambria" w:hAnsi="Cambria" w:cs="Times New Roman"/>
      <w:b/>
    </w:rPr>
  </w:style>
  <w:style w:type="paragraph" w:customStyle="1" w:styleId="3591">
    <w:name w:val="3591"/>
    <w:basedOn w:val="3733"/>
    <w:next w:val="a"/>
    <w:uiPriority w:val="9"/>
    <w:qFormat/>
    <w:pPr>
      <w:keepNext/>
      <w:keepLines/>
      <w:spacing w:before="240" w:after="64" w:line="319" w:lineRule="auto"/>
      <w:outlineLvl w:val="6"/>
    </w:pPr>
    <w:rPr>
      <w:b/>
      <w:sz w:val="24"/>
    </w:rPr>
  </w:style>
  <w:style w:type="paragraph" w:customStyle="1" w:styleId="3585">
    <w:name w:val="3585"/>
    <w:basedOn w:val="3733"/>
    <w:next w:val="a"/>
    <w:uiPriority w:val="39"/>
    <w:qFormat/>
    <w:pPr>
      <w:widowControl w:val="0"/>
      <w:tabs>
        <w:tab w:val="left" w:pos="1260"/>
        <w:tab w:val="right" w:leader="dot" w:pos="8823"/>
      </w:tabs>
      <w:jc w:val="center"/>
    </w:pPr>
    <w:rPr>
      <w:rFonts w:ascii="Times New Roman" w:hAnsi="Times New Roman" w:cs="Times New Roman"/>
      <w:kern w:val="2"/>
    </w:rPr>
  </w:style>
  <w:style w:type="paragraph" w:customStyle="1" w:styleId="3584">
    <w:name w:val="3584"/>
    <w:basedOn w:val="3733"/>
    <w:next w:val="a"/>
    <w:uiPriority w:val="39"/>
    <w:qFormat/>
    <w:pPr>
      <w:widowControl w:val="0"/>
      <w:ind w:leftChars="200" w:left="420"/>
      <w:jc w:val="both"/>
    </w:pPr>
    <w:rPr>
      <w:rFonts w:ascii="Times New Roman" w:hAnsi="Times New Roman" w:cs="Times New Roman"/>
      <w:kern w:val="2"/>
    </w:rPr>
  </w:style>
  <w:style w:type="paragraph" w:customStyle="1" w:styleId="3582">
    <w:name w:val="3582"/>
    <w:basedOn w:val="3733"/>
    <w:uiPriority w:val="99"/>
    <w:qFormat/>
    <w:pPr>
      <w:widowControl w:val="0"/>
      <w:jc w:val="both"/>
    </w:pPr>
    <w:rPr>
      <w:rFonts w:ascii="Calibri" w:hAnsi="Calibri" w:cs="Times New Roman"/>
      <w:kern w:val="2"/>
      <w:sz w:val="18"/>
      <w:szCs w:val="18"/>
    </w:rPr>
  </w:style>
  <w:style w:type="paragraph" w:customStyle="1" w:styleId="3579">
    <w:name w:val="3579"/>
    <w:basedOn w:val="3733"/>
    <w:uiPriority w:val="34"/>
    <w:qFormat/>
    <w:pPr>
      <w:widowControl w:val="0"/>
      <w:ind w:firstLineChars="200" w:firstLine="420"/>
      <w:jc w:val="both"/>
    </w:pPr>
    <w:rPr>
      <w:rFonts w:ascii="Calibri" w:hAnsi="Calibri" w:cs="Times New Roman"/>
      <w:kern w:val="2"/>
      <w:szCs w:val="22"/>
    </w:rPr>
  </w:style>
  <w:style w:type="paragraph" w:customStyle="1" w:styleId="3577">
    <w:name w:val="3577"/>
    <w:basedOn w:val="3733"/>
    <w:next w:val="a"/>
    <w:uiPriority w:val="39"/>
    <w:qFormat/>
    <w:pPr>
      <w:spacing w:after="100" w:line="276" w:lineRule="auto"/>
      <w:ind w:left="440"/>
    </w:pPr>
    <w:rPr>
      <w:rFonts w:ascii="Calibri" w:hAnsi="Calibri" w:cs="Times New Roman"/>
      <w:sz w:val="22"/>
      <w:szCs w:val="22"/>
    </w:rPr>
  </w:style>
  <w:style w:type="paragraph" w:customStyle="1" w:styleId="3575">
    <w:name w:val="3575"/>
    <w:basedOn w:val="3733"/>
    <w:uiPriority w:val="99"/>
    <w:qFormat/>
    <w:pPr>
      <w:widowControl w:val="0"/>
      <w:tabs>
        <w:tab w:val="center" w:pos="4153"/>
        <w:tab w:val="right" w:pos="8306"/>
      </w:tabs>
      <w:snapToGrid w:val="0"/>
    </w:pPr>
    <w:rPr>
      <w:rFonts w:ascii="Calibri" w:hAnsi="Calibri" w:cs="Times New Roman"/>
      <w:kern w:val="2"/>
      <w:sz w:val="18"/>
      <w:szCs w:val="18"/>
    </w:rPr>
  </w:style>
  <w:style w:type="paragraph" w:customStyle="1" w:styleId="3573">
    <w:name w:val="3573"/>
    <w:basedOn w:val="3733"/>
    <w:uiPriority w:val="99"/>
    <w:qFormat/>
    <w:pPr>
      <w:widowControl w:val="0"/>
      <w:jc w:val="both"/>
    </w:pPr>
    <w:rPr>
      <w:rFonts w:hAnsi="Courier New" w:cs="Times New Roman"/>
      <w:kern w:val="2"/>
      <w:szCs w:val="20"/>
    </w:rPr>
  </w:style>
  <w:style w:type="paragraph" w:customStyle="1" w:styleId="3571">
    <w:name w:val="3571"/>
    <w:basedOn w:val="3733"/>
    <w:uiPriority w:val="99"/>
    <w:qFormat/>
    <w:pPr>
      <w:widowControl w:val="0"/>
      <w:spacing w:after="120"/>
      <w:jc w:val="both"/>
    </w:pPr>
    <w:rPr>
      <w:rFonts w:ascii="Times New Roman" w:hAnsi="Times New Roman" w:cs="Times New Roman"/>
      <w:kern w:val="2"/>
    </w:rPr>
  </w:style>
  <w:style w:type="paragraph" w:customStyle="1" w:styleId="3569">
    <w:name w:val="3569"/>
    <w:basedOn w:val="3733"/>
    <w:next w:val="a"/>
    <w:uiPriority w:val="99"/>
    <w:qFormat/>
    <w:pPr>
      <w:widowControl w:val="0"/>
      <w:ind w:leftChars="2500" w:left="100"/>
      <w:jc w:val="both"/>
    </w:pPr>
    <w:rPr>
      <w:rFonts w:ascii="Times New Roman" w:hAnsi="Times New Roman" w:cs="Times New Roman"/>
      <w:kern w:val="2"/>
    </w:rPr>
  </w:style>
  <w:style w:type="paragraph" w:customStyle="1" w:styleId="3567">
    <w:name w:val="3567"/>
    <w:basedOn w:val="3733"/>
    <w:next w:val="a"/>
    <w:uiPriority w:val="99"/>
    <w:qFormat/>
    <w:pPr>
      <w:widowControl w:val="0"/>
      <w:jc w:val="center"/>
    </w:pPr>
    <w:rPr>
      <w:rFonts w:ascii="Times New Roman" w:hAnsi="Times New Roman" w:cs="Times New Roman"/>
      <w:kern w:val="2"/>
    </w:rPr>
  </w:style>
  <w:style w:type="paragraph" w:customStyle="1" w:styleId="3565">
    <w:name w:val="3565"/>
    <w:basedOn w:val="3733"/>
    <w:next w:val="a"/>
    <w:uiPriority w:val="99"/>
    <w:semiHidden/>
    <w:qFormat/>
    <w:pPr>
      <w:widowControl w:val="0"/>
      <w:spacing w:before="120"/>
      <w:jc w:val="both"/>
    </w:pPr>
    <w:rPr>
      <w:rFonts w:ascii="Arial" w:hAnsi="Arial" w:cs="Times New Roman"/>
      <w:b/>
      <w:kern w:val="2"/>
    </w:rPr>
  </w:style>
  <w:style w:type="paragraph" w:customStyle="1" w:styleId="3564">
    <w:name w:val="3564"/>
    <w:basedOn w:val="3733"/>
    <w:uiPriority w:val="99"/>
    <w:qFormat/>
    <w:pPr>
      <w:keepNext/>
      <w:keepLines/>
      <w:widowControl w:val="0"/>
      <w:spacing w:before="60" w:after="60"/>
      <w:ind w:hangingChars="200" w:hanging="420"/>
      <w:jc w:val="both"/>
      <w:outlineLvl w:val="4"/>
    </w:pPr>
    <w:rPr>
      <w:rFonts w:cs="Times New Roman"/>
      <w:b/>
      <w:kern w:val="2"/>
    </w:rPr>
  </w:style>
  <w:style w:type="paragraph" w:customStyle="1" w:styleId="3563">
    <w:name w:val="3563"/>
    <w:uiPriority w:val="99"/>
    <w:semiHidden/>
    <w:qFormat/>
    <w:rPr>
      <w:kern w:val="2"/>
      <w:sz w:val="21"/>
      <w:szCs w:val="22"/>
    </w:rPr>
  </w:style>
  <w:style w:type="paragraph" w:customStyle="1" w:styleId="3561">
    <w:name w:val="3561"/>
    <w:basedOn w:val="3733"/>
    <w:uiPriority w:val="99"/>
    <w:qFormat/>
    <w:pPr>
      <w:widowControl w:val="0"/>
      <w:spacing w:before="100" w:after="100"/>
      <w:jc w:val="both"/>
    </w:pPr>
    <w:rPr>
      <w:rFonts w:ascii="Calibri" w:hAnsi="Calibri" w:cs="Times New Roman"/>
      <w:kern w:val="2"/>
    </w:rPr>
  </w:style>
  <w:style w:type="paragraph" w:customStyle="1" w:styleId="3560">
    <w:name w:val="3560"/>
    <w:basedOn w:val="3733"/>
    <w:uiPriority w:val="99"/>
    <w:semiHidden/>
    <w:qFormat/>
    <w:pPr>
      <w:widowControl w:val="0"/>
      <w:jc w:val="both"/>
    </w:pPr>
    <w:rPr>
      <w:rFonts w:hAnsi="Calibri" w:cs="Times New Roman"/>
      <w:kern w:val="2"/>
      <w:sz w:val="18"/>
      <w:szCs w:val="18"/>
    </w:rPr>
  </w:style>
  <w:style w:type="paragraph" w:customStyle="1" w:styleId="3557">
    <w:name w:val="3557"/>
    <w:basedOn w:val="3733"/>
    <w:next w:val="a"/>
    <w:uiPriority w:val="10"/>
    <w:qFormat/>
    <w:pPr>
      <w:widowControl w:val="0"/>
      <w:spacing w:before="240" w:after="60"/>
      <w:jc w:val="center"/>
      <w:outlineLvl w:val="0"/>
    </w:pPr>
    <w:rPr>
      <w:rFonts w:ascii="Cambria" w:hAnsi="Cambria" w:cs="Times New Roman"/>
      <w:b/>
      <w:kern w:val="2"/>
      <w:sz w:val="32"/>
      <w:szCs w:val="32"/>
    </w:rPr>
  </w:style>
  <w:style w:type="paragraph" w:customStyle="1" w:styleId="3555">
    <w:name w:val="3555"/>
    <w:uiPriority w:val="1"/>
    <w:qFormat/>
    <w:pPr>
      <w:widowControl w:val="0"/>
      <w:jc w:val="both"/>
    </w:pPr>
    <w:rPr>
      <w:kern w:val="2"/>
      <w:sz w:val="21"/>
      <w:szCs w:val="22"/>
    </w:rPr>
  </w:style>
  <w:style w:type="paragraph" w:customStyle="1" w:styleId="3554">
    <w:name w:val="3554"/>
    <w:basedOn w:val="3733"/>
    <w:next w:val="a"/>
    <w:uiPriority w:val="39"/>
    <w:qFormat/>
    <w:pPr>
      <w:widowControl w:val="0"/>
      <w:ind w:leftChars="600" w:left="1260"/>
      <w:jc w:val="both"/>
    </w:pPr>
    <w:rPr>
      <w:rFonts w:ascii="Calibri" w:hAnsi="Calibri" w:cs="Times New Roman"/>
      <w:kern w:val="2"/>
      <w:szCs w:val="22"/>
    </w:rPr>
  </w:style>
  <w:style w:type="paragraph" w:customStyle="1" w:styleId="3553">
    <w:name w:val="3553"/>
    <w:basedOn w:val="3733"/>
    <w:next w:val="a"/>
    <w:uiPriority w:val="39"/>
    <w:qFormat/>
    <w:pPr>
      <w:widowControl w:val="0"/>
      <w:ind w:leftChars="800" w:left="1680"/>
      <w:jc w:val="both"/>
    </w:pPr>
    <w:rPr>
      <w:rFonts w:ascii="Calibri" w:hAnsi="Calibri" w:cs="Times New Roman"/>
      <w:kern w:val="2"/>
      <w:szCs w:val="22"/>
    </w:rPr>
  </w:style>
  <w:style w:type="paragraph" w:customStyle="1" w:styleId="3552">
    <w:name w:val="3552"/>
    <w:basedOn w:val="3733"/>
    <w:next w:val="a"/>
    <w:uiPriority w:val="39"/>
    <w:qFormat/>
    <w:pPr>
      <w:widowControl w:val="0"/>
      <w:ind w:leftChars="1000" w:left="2100"/>
      <w:jc w:val="both"/>
    </w:pPr>
    <w:rPr>
      <w:rFonts w:ascii="Calibri" w:hAnsi="Calibri" w:cs="Times New Roman"/>
      <w:kern w:val="2"/>
      <w:szCs w:val="22"/>
    </w:rPr>
  </w:style>
  <w:style w:type="paragraph" w:customStyle="1" w:styleId="3551">
    <w:name w:val="3551"/>
    <w:basedOn w:val="3733"/>
    <w:next w:val="a"/>
    <w:uiPriority w:val="39"/>
    <w:qFormat/>
    <w:pPr>
      <w:widowControl w:val="0"/>
      <w:ind w:leftChars="1200" w:left="2520"/>
      <w:jc w:val="both"/>
    </w:pPr>
    <w:rPr>
      <w:rFonts w:ascii="Calibri" w:hAnsi="Calibri" w:cs="Times New Roman"/>
      <w:kern w:val="2"/>
      <w:szCs w:val="22"/>
    </w:rPr>
  </w:style>
  <w:style w:type="paragraph" w:customStyle="1" w:styleId="3550">
    <w:name w:val="3550"/>
    <w:basedOn w:val="3733"/>
    <w:next w:val="a"/>
    <w:uiPriority w:val="39"/>
    <w:qFormat/>
    <w:pPr>
      <w:widowControl w:val="0"/>
      <w:ind w:leftChars="1400" w:left="2940"/>
      <w:jc w:val="both"/>
    </w:pPr>
    <w:rPr>
      <w:rFonts w:ascii="Calibri" w:hAnsi="Calibri" w:cs="Times New Roman"/>
      <w:kern w:val="2"/>
      <w:szCs w:val="22"/>
    </w:rPr>
  </w:style>
  <w:style w:type="paragraph" w:customStyle="1" w:styleId="3549">
    <w:name w:val="3549"/>
    <w:basedOn w:val="3733"/>
    <w:next w:val="a"/>
    <w:uiPriority w:val="39"/>
    <w:qFormat/>
    <w:pPr>
      <w:widowControl w:val="0"/>
      <w:ind w:leftChars="1600" w:left="3360"/>
      <w:jc w:val="both"/>
    </w:pPr>
    <w:rPr>
      <w:rFonts w:ascii="Calibri" w:hAnsi="Calibri" w:cs="Times New Roman"/>
      <w:kern w:val="2"/>
      <w:szCs w:val="22"/>
    </w:rPr>
  </w:style>
  <w:style w:type="paragraph" w:customStyle="1" w:styleId="3547">
    <w:name w:val="3547"/>
    <w:basedOn w:val="3733"/>
    <w:uiPriority w:val="99"/>
    <w:qFormat/>
    <w:pPr>
      <w:spacing w:before="100" w:beforeAutospacing="1" w:after="100" w:afterAutospacing="1"/>
    </w:pPr>
    <w:rPr>
      <w:sz w:val="24"/>
    </w:rPr>
  </w:style>
  <w:style w:type="paragraph" w:customStyle="1" w:styleId="3546">
    <w:name w:val="3546"/>
    <w:basedOn w:val="3733"/>
    <w:uiPriority w:val="99"/>
    <w:semiHidden/>
    <w:qFormat/>
    <w:pPr>
      <w:snapToGrid w:val="0"/>
    </w:pPr>
  </w:style>
  <w:style w:type="paragraph" w:customStyle="1" w:styleId="3540">
    <w:name w:val="3540"/>
    <w:basedOn w:val="3733"/>
    <w:uiPriority w:val="99"/>
    <w:qFormat/>
    <w:pPr>
      <w:widowControl w:val="0"/>
      <w:ind w:firstLineChars="200" w:firstLine="420"/>
      <w:jc w:val="both"/>
    </w:pPr>
    <w:rPr>
      <w:rFonts w:ascii="Times New Roman" w:hAnsi="Times New Roman" w:cs="Times New Roman"/>
      <w:kern w:val="2"/>
    </w:rPr>
  </w:style>
  <w:style w:type="paragraph" w:customStyle="1" w:styleId="3539">
    <w:name w:val="3539"/>
    <w:basedOn w:val="3733"/>
    <w:uiPriority w:val="99"/>
    <w:qFormat/>
    <w:pPr>
      <w:widowControl w:val="0"/>
      <w:tabs>
        <w:tab w:val="left" w:pos="1200"/>
      </w:tabs>
      <w:jc w:val="both"/>
    </w:pPr>
    <w:rPr>
      <w:rFonts w:ascii="Times New Roman" w:hAnsi="Times New Roman" w:cs="Times New Roman"/>
      <w:kern w:val="2"/>
    </w:rPr>
  </w:style>
  <w:style w:type="paragraph" w:customStyle="1" w:styleId="3538">
    <w:name w:val="3538"/>
    <w:basedOn w:val="3733"/>
    <w:uiPriority w:val="34"/>
    <w:qFormat/>
    <w:pPr>
      <w:widowControl w:val="0"/>
      <w:ind w:firstLineChars="200" w:firstLine="420"/>
      <w:jc w:val="both"/>
    </w:pPr>
    <w:rPr>
      <w:rFonts w:ascii="Calibri" w:hAnsi="Calibri" w:cs="Times New Roman"/>
      <w:kern w:val="2"/>
      <w:szCs w:val="22"/>
    </w:rPr>
  </w:style>
  <w:style w:type="paragraph" w:customStyle="1" w:styleId="3537">
    <w:name w:val="3537"/>
    <w:basedOn w:val="3733"/>
    <w:uiPriority w:val="34"/>
    <w:qFormat/>
    <w:pPr>
      <w:widowControl w:val="0"/>
      <w:ind w:firstLineChars="200" w:firstLine="420"/>
      <w:jc w:val="both"/>
    </w:pPr>
    <w:rPr>
      <w:rFonts w:ascii="Calibri" w:hAnsi="Calibri" w:cs="Times New Roman"/>
      <w:kern w:val="2"/>
      <w:szCs w:val="22"/>
    </w:rPr>
  </w:style>
  <w:style w:type="paragraph" w:customStyle="1" w:styleId="3536">
    <w:name w:val="3536"/>
    <w:basedOn w:val="3733"/>
    <w:uiPriority w:val="34"/>
    <w:qFormat/>
    <w:pPr>
      <w:widowControl w:val="0"/>
      <w:ind w:firstLineChars="200" w:firstLine="420"/>
      <w:jc w:val="both"/>
    </w:pPr>
    <w:rPr>
      <w:rFonts w:ascii="Calibri" w:hAnsi="Calibri" w:cs="Times New Roman"/>
      <w:kern w:val="2"/>
      <w:szCs w:val="22"/>
    </w:rPr>
  </w:style>
  <w:style w:type="paragraph" w:customStyle="1" w:styleId="3535">
    <w:name w:val="3535"/>
    <w:basedOn w:val="3733"/>
    <w:uiPriority w:val="34"/>
    <w:qFormat/>
    <w:pPr>
      <w:widowControl w:val="0"/>
      <w:ind w:firstLineChars="200" w:firstLine="420"/>
      <w:jc w:val="both"/>
    </w:pPr>
    <w:rPr>
      <w:rFonts w:ascii="Calibri" w:hAnsi="Calibri" w:cs="Times New Roman"/>
      <w:kern w:val="2"/>
      <w:szCs w:val="22"/>
    </w:rPr>
  </w:style>
  <w:style w:type="paragraph" w:customStyle="1" w:styleId="3533">
    <w:name w:val="3533"/>
    <w:basedOn w:val="3733"/>
    <w:uiPriority w:val="34"/>
    <w:qFormat/>
    <w:pPr>
      <w:widowControl w:val="0"/>
      <w:ind w:firstLineChars="200" w:firstLine="420"/>
      <w:jc w:val="both"/>
    </w:pPr>
    <w:rPr>
      <w:rFonts w:ascii="Calibri" w:hAnsi="Calibri" w:cs="Times New Roman"/>
      <w:kern w:val="2"/>
      <w:szCs w:val="22"/>
    </w:rPr>
  </w:style>
  <w:style w:type="paragraph" w:customStyle="1" w:styleId="3531">
    <w:name w:val="3531"/>
    <w:basedOn w:val="3733"/>
    <w:uiPriority w:val="34"/>
    <w:qFormat/>
    <w:pPr>
      <w:widowControl w:val="0"/>
      <w:ind w:firstLineChars="200" w:firstLine="420"/>
      <w:jc w:val="both"/>
    </w:pPr>
    <w:rPr>
      <w:rFonts w:ascii="Calibri" w:hAnsi="Calibri" w:cs="Times New Roman"/>
      <w:kern w:val="2"/>
      <w:szCs w:val="22"/>
    </w:rPr>
  </w:style>
  <w:style w:type="paragraph" w:customStyle="1" w:styleId="3529">
    <w:name w:val="3529"/>
    <w:uiPriority w:val="99"/>
    <w:qFormat/>
    <w:rPr>
      <w:sz w:val="21"/>
      <w:szCs w:val="24"/>
    </w:rPr>
  </w:style>
  <w:style w:type="paragraph" w:customStyle="1" w:styleId="3528">
    <w:name w:val="3528"/>
    <w:uiPriority w:val="99"/>
    <w:qFormat/>
    <w:pPr>
      <w:widowControl w:val="0"/>
      <w:autoSpaceDE w:val="0"/>
      <w:autoSpaceDN w:val="0"/>
      <w:adjustRightInd w:val="0"/>
    </w:pPr>
    <w:rPr>
      <w:rFonts w:ascii="黑体" w:eastAsia="黑体" w:cs="黑体"/>
      <w:color w:val="000000"/>
      <w:sz w:val="24"/>
      <w:szCs w:val="24"/>
    </w:rPr>
  </w:style>
  <w:style w:type="paragraph" w:customStyle="1" w:styleId="3527">
    <w:name w:val="3527"/>
    <w:basedOn w:val="3733"/>
    <w:uiPriority w:val="99"/>
    <w:qFormat/>
    <w:pPr>
      <w:widowControl w:val="0"/>
      <w:jc w:val="both"/>
    </w:pPr>
    <w:rPr>
      <w:rFonts w:ascii="Calibri" w:hAnsi="Calibri" w:cs="Times New Roman"/>
      <w:kern w:val="2"/>
      <w:sz w:val="18"/>
      <w:szCs w:val="18"/>
    </w:rPr>
  </w:style>
  <w:style w:type="paragraph" w:customStyle="1" w:styleId="3525">
    <w:name w:val="3525"/>
    <w:basedOn w:val="3733"/>
    <w:uiPriority w:val="34"/>
    <w:qFormat/>
    <w:pPr>
      <w:widowControl w:val="0"/>
      <w:ind w:firstLineChars="200" w:firstLine="420"/>
      <w:jc w:val="both"/>
    </w:pPr>
    <w:rPr>
      <w:rFonts w:ascii="Calibri" w:hAnsi="Calibri" w:cs="Times New Roman"/>
      <w:kern w:val="2"/>
      <w:szCs w:val="22"/>
    </w:rPr>
  </w:style>
  <w:style w:type="paragraph" w:customStyle="1" w:styleId="3523">
    <w:name w:val="3523"/>
    <w:basedOn w:val="3733"/>
    <w:next w:val="a"/>
    <w:uiPriority w:val="39"/>
    <w:qFormat/>
    <w:pPr>
      <w:spacing w:after="100" w:line="276" w:lineRule="auto"/>
      <w:ind w:left="440"/>
    </w:pPr>
    <w:rPr>
      <w:rFonts w:ascii="Calibri" w:hAnsi="Calibri" w:cs="Times New Roman"/>
      <w:sz w:val="22"/>
      <w:szCs w:val="22"/>
    </w:rPr>
  </w:style>
  <w:style w:type="paragraph" w:customStyle="1" w:styleId="3521">
    <w:name w:val="3521"/>
    <w:basedOn w:val="3733"/>
    <w:uiPriority w:val="99"/>
    <w:qFormat/>
    <w:pPr>
      <w:widowControl w:val="0"/>
      <w:tabs>
        <w:tab w:val="center" w:pos="4153"/>
        <w:tab w:val="right" w:pos="8306"/>
      </w:tabs>
      <w:snapToGrid w:val="0"/>
    </w:pPr>
    <w:rPr>
      <w:rFonts w:ascii="Calibri" w:hAnsi="Calibri" w:cs="Times New Roman"/>
      <w:kern w:val="2"/>
      <w:sz w:val="18"/>
      <w:szCs w:val="18"/>
    </w:rPr>
  </w:style>
  <w:style w:type="paragraph" w:customStyle="1" w:styleId="3520">
    <w:name w:val="3520"/>
    <w:basedOn w:val="3733"/>
    <w:uiPriority w:val="99"/>
    <w:qFormat/>
    <w:pPr>
      <w:widowControl w:val="0"/>
      <w:jc w:val="both"/>
    </w:pPr>
    <w:rPr>
      <w:rFonts w:hAnsi="Courier New" w:cs="Times New Roman"/>
      <w:kern w:val="2"/>
      <w:szCs w:val="20"/>
    </w:rPr>
  </w:style>
  <w:style w:type="paragraph" w:customStyle="1" w:styleId="3518">
    <w:name w:val="3518"/>
    <w:basedOn w:val="3733"/>
    <w:uiPriority w:val="99"/>
    <w:qFormat/>
    <w:pPr>
      <w:widowControl w:val="0"/>
      <w:spacing w:after="120"/>
      <w:jc w:val="both"/>
    </w:pPr>
    <w:rPr>
      <w:rFonts w:ascii="Times New Roman" w:hAnsi="Times New Roman" w:cs="Times New Roman"/>
      <w:kern w:val="2"/>
    </w:rPr>
  </w:style>
  <w:style w:type="paragraph" w:customStyle="1" w:styleId="3516">
    <w:name w:val="3516"/>
    <w:basedOn w:val="3733"/>
    <w:next w:val="a"/>
    <w:uiPriority w:val="99"/>
    <w:qFormat/>
    <w:pPr>
      <w:widowControl w:val="0"/>
      <w:ind w:leftChars="2500" w:left="100"/>
      <w:jc w:val="both"/>
    </w:pPr>
    <w:rPr>
      <w:rFonts w:ascii="Times New Roman" w:hAnsi="Times New Roman" w:cs="Times New Roman"/>
      <w:kern w:val="2"/>
    </w:rPr>
  </w:style>
  <w:style w:type="paragraph" w:customStyle="1" w:styleId="3514">
    <w:name w:val="3514"/>
    <w:basedOn w:val="3733"/>
    <w:next w:val="a"/>
    <w:uiPriority w:val="99"/>
    <w:qFormat/>
    <w:pPr>
      <w:widowControl w:val="0"/>
      <w:jc w:val="center"/>
    </w:pPr>
    <w:rPr>
      <w:rFonts w:ascii="Times New Roman" w:hAnsi="Times New Roman" w:cs="Times New Roman"/>
      <w:kern w:val="2"/>
    </w:rPr>
  </w:style>
  <w:style w:type="paragraph" w:customStyle="1" w:styleId="3512">
    <w:name w:val="3512"/>
    <w:basedOn w:val="3733"/>
    <w:next w:val="a"/>
    <w:uiPriority w:val="99"/>
    <w:semiHidden/>
    <w:qFormat/>
    <w:pPr>
      <w:widowControl w:val="0"/>
      <w:spacing w:before="120"/>
      <w:jc w:val="both"/>
    </w:pPr>
    <w:rPr>
      <w:rFonts w:ascii="Arial" w:hAnsi="Arial" w:cs="Times New Roman"/>
      <w:b/>
      <w:kern w:val="2"/>
    </w:rPr>
  </w:style>
  <w:style w:type="paragraph" w:customStyle="1" w:styleId="3511">
    <w:name w:val="3511"/>
    <w:basedOn w:val="3733"/>
    <w:uiPriority w:val="99"/>
    <w:qFormat/>
    <w:pPr>
      <w:keepNext/>
      <w:keepLines/>
      <w:widowControl w:val="0"/>
      <w:spacing w:before="60" w:after="60"/>
      <w:ind w:hangingChars="200" w:hanging="420"/>
      <w:jc w:val="both"/>
      <w:outlineLvl w:val="4"/>
    </w:pPr>
    <w:rPr>
      <w:rFonts w:cs="Times New Roman"/>
      <w:b/>
      <w:kern w:val="2"/>
    </w:rPr>
  </w:style>
  <w:style w:type="paragraph" w:customStyle="1" w:styleId="3510">
    <w:name w:val="3510"/>
    <w:uiPriority w:val="99"/>
    <w:semiHidden/>
    <w:qFormat/>
    <w:rPr>
      <w:kern w:val="2"/>
      <w:sz w:val="21"/>
      <w:szCs w:val="22"/>
    </w:rPr>
  </w:style>
  <w:style w:type="paragraph" w:customStyle="1" w:styleId="3508">
    <w:name w:val="3508"/>
    <w:basedOn w:val="3733"/>
    <w:uiPriority w:val="99"/>
    <w:qFormat/>
    <w:pPr>
      <w:widowControl w:val="0"/>
      <w:spacing w:before="100" w:after="100"/>
      <w:jc w:val="both"/>
    </w:pPr>
    <w:rPr>
      <w:rFonts w:ascii="Calibri" w:hAnsi="Calibri" w:cs="Times New Roman"/>
      <w:kern w:val="2"/>
    </w:rPr>
  </w:style>
  <w:style w:type="paragraph" w:customStyle="1" w:styleId="3507">
    <w:name w:val="3507"/>
    <w:basedOn w:val="3733"/>
    <w:uiPriority w:val="99"/>
    <w:semiHidden/>
    <w:qFormat/>
    <w:pPr>
      <w:widowControl w:val="0"/>
      <w:jc w:val="both"/>
    </w:pPr>
    <w:rPr>
      <w:rFonts w:hAnsi="Calibri" w:cs="Times New Roman"/>
      <w:kern w:val="2"/>
      <w:sz w:val="18"/>
      <w:szCs w:val="18"/>
    </w:rPr>
  </w:style>
  <w:style w:type="paragraph" w:customStyle="1" w:styleId="3504">
    <w:name w:val="3504"/>
    <w:basedOn w:val="3733"/>
    <w:next w:val="a"/>
    <w:uiPriority w:val="10"/>
    <w:qFormat/>
    <w:pPr>
      <w:widowControl w:val="0"/>
      <w:spacing w:before="240" w:after="60"/>
      <w:jc w:val="center"/>
      <w:outlineLvl w:val="0"/>
    </w:pPr>
    <w:rPr>
      <w:rFonts w:ascii="Cambria" w:hAnsi="Cambria" w:cs="Times New Roman"/>
      <w:b/>
      <w:kern w:val="2"/>
      <w:sz w:val="32"/>
      <w:szCs w:val="32"/>
    </w:rPr>
  </w:style>
  <w:style w:type="paragraph" w:customStyle="1" w:styleId="3502">
    <w:name w:val="3502"/>
    <w:uiPriority w:val="1"/>
    <w:qFormat/>
    <w:pPr>
      <w:widowControl w:val="0"/>
      <w:jc w:val="both"/>
    </w:pPr>
    <w:rPr>
      <w:kern w:val="2"/>
      <w:sz w:val="21"/>
      <w:szCs w:val="22"/>
    </w:rPr>
  </w:style>
  <w:style w:type="paragraph" w:customStyle="1" w:styleId="3501">
    <w:name w:val="3501"/>
    <w:basedOn w:val="3733"/>
    <w:next w:val="a"/>
    <w:uiPriority w:val="39"/>
    <w:qFormat/>
    <w:pPr>
      <w:widowControl w:val="0"/>
      <w:ind w:leftChars="1600" w:left="3360"/>
      <w:jc w:val="both"/>
    </w:pPr>
    <w:rPr>
      <w:rFonts w:ascii="Calibri" w:hAnsi="Calibri" w:cs="Times New Roman"/>
      <w:kern w:val="2"/>
      <w:szCs w:val="22"/>
    </w:rPr>
  </w:style>
  <w:style w:type="paragraph" w:customStyle="1" w:styleId="3499">
    <w:name w:val="3499"/>
    <w:basedOn w:val="3733"/>
    <w:uiPriority w:val="99"/>
    <w:qFormat/>
    <w:pPr>
      <w:spacing w:before="100" w:beforeAutospacing="1" w:after="100" w:afterAutospacing="1"/>
    </w:pPr>
    <w:rPr>
      <w:sz w:val="24"/>
    </w:rPr>
  </w:style>
  <w:style w:type="paragraph" w:customStyle="1" w:styleId="3498">
    <w:name w:val="3498"/>
    <w:basedOn w:val="3733"/>
    <w:uiPriority w:val="99"/>
    <w:semiHidden/>
    <w:qFormat/>
    <w:pPr>
      <w:snapToGrid w:val="0"/>
    </w:pPr>
  </w:style>
  <w:style w:type="paragraph" w:customStyle="1" w:styleId="3493">
    <w:name w:val="3493"/>
    <w:basedOn w:val="3733"/>
    <w:uiPriority w:val="99"/>
    <w:qFormat/>
    <w:pPr>
      <w:widowControl w:val="0"/>
      <w:ind w:firstLineChars="200" w:firstLine="420"/>
      <w:jc w:val="both"/>
    </w:pPr>
    <w:rPr>
      <w:rFonts w:ascii="Times New Roman" w:hAnsi="Times New Roman" w:cs="Times New Roman"/>
      <w:kern w:val="2"/>
    </w:rPr>
  </w:style>
  <w:style w:type="paragraph" w:customStyle="1" w:styleId="3492">
    <w:name w:val="3492"/>
    <w:basedOn w:val="3733"/>
    <w:uiPriority w:val="99"/>
    <w:qFormat/>
    <w:pPr>
      <w:widowControl w:val="0"/>
      <w:tabs>
        <w:tab w:val="left" w:pos="1200"/>
      </w:tabs>
      <w:jc w:val="both"/>
    </w:pPr>
    <w:rPr>
      <w:rFonts w:ascii="Times New Roman" w:hAnsi="Times New Roman" w:cs="Times New Roman"/>
      <w:kern w:val="2"/>
    </w:rPr>
  </w:style>
  <w:style w:type="paragraph" w:customStyle="1" w:styleId="3491">
    <w:name w:val="3491"/>
    <w:basedOn w:val="3733"/>
    <w:uiPriority w:val="34"/>
    <w:qFormat/>
    <w:pPr>
      <w:widowControl w:val="0"/>
      <w:ind w:firstLineChars="200" w:firstLine="420"/>
      <w:jc w:val="both"/>
    </w:pPr>
    <w:rPr>
      <w:rFonts w:ascii="Calibri" w:hAnsi="Calibri" w:cs="Times New Roman"/>
      <w:kern w:val="2"/>
      <w:szCs w:val="22"/>
    </w:rPr>
  </w:style>
  <w:style w:type="paragraph" w:customStyle="1" w:styleId="3489">
    <w:name w:val="3489"/>
    <w:basedOn w:val="3733"/>
    <w:uiPriority w:val="34"/>
    <w:qFormat/>
    <w:pPr>
      <w:widowControl w:val="0"/>
      <w:ind w:firstLineChars="200" w:firstLine="420"/>
      <w:jc w:val="both"/>
    </w:pPr>
    <w:rPr>
      <w:rFonts w:ascii="Calibri" w:hAnsi="Calibri" w:cs="Times New Roman"/>
      <w:kern w:val="2"/>
      <w:szCs w:val="22"/>
    </w:rPr>
  </w:style>
  <w:style w:type="paragraph" w:customStyle="1" w:styleId="3487">
    <w:name w:val="3487"/>
    <w:basedOn w:val="3733"/>
    <w:uiPriority w:val="34"/>
    <w:qFormat/>
    <w:pPr>
      <w:widowControl w:val="0"/>
      <w:ind w:firstLineChars="200" w:firstLine="420"/>
      <w:jc w:val="both"/>
    </w:pPr>
    <w:rPr>
      <w:rFonts w:ascii="Calibri" w:hAnsi="Calibri" w:cs="Times New Roman"/>
      <w:kern w:val="2"/>
      <w:szCs w:val="22"/>
    </w:rPr>
  </w:style>
  <w:style w:type="paragraph" w:customStyle="1" w:styleId="3485">
    <w:name w:val="3485"/>
    <w:uiPriority w:val="99"/>
    <w:qFormat/>
    <w:rPr>
      <w:sz w:val="21"/>
      <w:szCs w:val="24"/>
    </w:rPr>
  </w:style>
  <w:style w:type="paragraph" w:customStyle="1" w:styleId="3484">
    <w:name w:val="3484"/>
    <w:uiPriority w:val="99"/>
    <w:qFormat/>
    <w:pPr>
      <w:widowControl w:val="0"/>
      <w:autoSpaceDE w:val="0"/>
      <w:autoSpaceDN w:val="0"/>
      <w:adjustRightInd w:val="0"/>
    </w:pPr>
    <w:rPr>
      <w:rFonts w:ascii="黑体" w:eastAsia="黑体" w:cs="黑体"/>
      <w:color w:val="000000"/>
      <w:sz w:val="24"/>
      <w:szCs w:val="24"/>
    </w:rPr>
  </w:style>
  <w:style w:type="paragraph" w:customStyle="1" w:styleId="3483">
    <w:name w:val="3483"/>
    <w:basedOn w:val="3733"/>
    <w:uiPriority w:val="99"/>
    <w:qFormat/>
    <w:pPr>
      <w:widowControl w:val="0"/>
      <w:jc w:val="both"/>
    </w:pPr>
    <w:rPr>
      <w:rFonts w:ascii="Calibri" w:hAnsi="Calibri" w:cs="Times New Roman"/>
      <w:kern w:val="2"/>
      <w:sz w:val="18"/>
      <w:szCs w:val="18"/>
    </w:rPr>
  </w:style>
  <w:style w:type="paragraph" w:customStyle="1" w:styleId="3481">
    <w:name w:val="3481"/>
    <w:basedOn w:val="3733"/>
    <w:uiPriority w:val="34"/>
    <w:qFormat/>
    <w:pPr>
      <w:widowControl w:val="0"/>
      <w:ind w:firstLineChars="200" w:firstLine="420"/>
      <w:jc w:val="both"/>
    </w:pPr>
    <w:rPr>
      <w:rFonts w:ascii="Calibri" w:hAnsi="Calibri" w:cs="Times New Roman"/>
      <w:kern w:val="2"/>
      <w:szCs w:val="22"/>
    </w:rPr>
  </w:style>
  <w:style w:type="paragraph" w:customStyle="1" w:styleId="3479">
    <w:name w:val="3479"/>
    <w:basedOn w:val="3733"/>
    <w:next w:val="a"/>
    <w:uiPriority w:val="39"/>
    <w:qFormat/>
    <w:pPr>
      <w:spacing w:after="100" w:line="276" w:lineRule="auto"/>
      <w:ind w:left="440"/>
    </w:pPr>
    <w:rPr>
      <w:rFonts w:ascii="Calibri" w:hAnsi="Calibri" w:cs="Times New Roman"/>
      <w:sz w:val="22"/>
      <w:szCs w:val="22"/>
    </w:rPr>
  </w:style>
  <w:style w:type="paragraph" w:customStyle="1" w:styleId="3477">
    <w:name w:val="3477"/>
    <w:basedOn w:val="3733"/>
    <w:uiPriority w:val="99"/>
    <w:qFormat/>
    <w:pPr>
      <w:widowControl w:val="0"/>
      <w:tabs>
        <w:tab w:val="center" w:pos="4153"/>
        <w:tab w:val="right" w:pos="8306"/>
      </w:tabs>
      <w:snapToGrid w:val="0"/>
    </w:pPr>
    <w:rPr>
      <w:rFonts w:ascii="Calibri" w:hAnsi="Calibri" w:cs="Times New Roman"/>
      <w:kern w:val="2"/>
      <w:sz w:val="18"/>
      <w:szCs w:val="18"/>
    </w:rPr>
  </w:style>
  <w:style w:type="paragraph" w:customStyle="1" w:styleId="3476">
    <w:name w:val="3476"/>
    <w:basedOn w:val="3733"/>
    <w:uiPriority w:val="99"/>
    <w:qFormat/>
    <w:pPr>
      <w:widowControl w:val="0"/>
      <w:jc w:val="both"/>
    </w:pPr>
    <w:rPr>
      <w:rFonts w:hAnsi="Courier New" w:cs="Times New Roman"/>
      <w:kern w:val="2"/>
      <w:szCs w:val="20"/>
    </w:rPr>
  </w:style>
  <w:style w:type="paragraph" w:customStyle="1" w:styleId="3474">
    <w:name w:val="3474"/>
    <w:basedOn w:val="3733"/>
    <w:uiPriority w:val="99"/>
    <w:qFormat/>
    <w:pPr>
      <w:widowControl w:val="0"/>
      <w:spacing w:after="120"/>
      <w:jc w:val="both"/>
    </w:pPr>
    <w:rPr>
      <w:rFonts w:ascii="Times New Roman" w:hAnsi="Times New Roman" w:cs="Times New Roman"/>
      <w:kern w:val="2"/>
    </w:rPr>
  </w:style>
  <w:style w:type="paragraph" w:customStyle="1" w:styleId="3472">
    <w:name w:val="3472"/>
    <w:basedOn w:val="3733"/>
    <w:next w:val="a"/>
    <w:uiPriority w:val="99"/>
    <w:qFormat/>
    <w:pPr>
      <w:widowControl w:val="0"/>
      <w:ind w:leftChars="2500" w:left="100"/>
      <w:jc w:val="both"/>
    </w:pPr>
    <w:rPr>
      <w:rFonts w:ascii="Times New Roman" w:hAnsi="Times New Roman" w:cs="Times New Roman"/>
      <w:kern w:val="2"/>
    </w:rPr>
  </w:style>
  <w:style w:type="paragraph" w:customStyle="1" w:styleId="3470">
    <w:name w:val="3470"/>
    <w:basedOn w:val="3733"/>
    <w:next w:val="a"/>
    <w:uiPriority w:val="99"/>
    <w:qFormat/>
    <w:pPr>
      <w:widowControl w:val="0"/>
      <w:jc w:val="center"/>
    </w:pPr>
    <w:rPr>
      <w:rFonts w:ascii="Times New Roman" w:hAnsi="Times New Roman" w:cs="Times New Roman"/>
      <w:kern w:val="2"/>
    </w:rPr>
  </w:style>
  <w:style w:type="paragraph" w:customStyle="1" w:styleId="3468">
    <w:name w:val="3468"/>
    <w:basedOn w:val="3733"/>
    <w:next w:val="a"/>
    <w:uiPriority w:val="99"/>
    <w:semiHidden/>
    <w:qFormat/>
    <w:pPr>
      <w:widowControl w:val="0"/>
      <w:spacing w:before="120"/>
      <w:jc w:val="both"/>
    </w:pPr>
    <w:rPr>
      <w:rFonts w:ascii="Arial" w:hAnsi="Arial" w:cs="Times New Roman"/>
      <w:b/>
      <w:kern w:val="2"/>
    </w:rPr>
  </w:style>
  <w:style w:type="paragraph" w:customStyle="1" w:styleId="3467">
    <w:name w:val="3467"/>
    <w:basedOn w:val="3733"/>
    <w:uiPriority w:val="99"/>
    <w:qFormat/>
    <w:pPr>
      <w:keepNext/>
      <w:keepLines/>
      <w:widowControl w:val="0"/>
      <w:spacing w:before="60" w:after="60"/>
      <w:ind w:hangingChars="200" w:hanging="420"/>
      <w:jc w:val="both"/>
      <w:outlineLvl w:val="4"/>
    </w:pPr>
    <w:rPr>
      <w:rFonts w:cs="Times New Roman"/>
      <w:b/>
      <w:kern w:val="2"/>
    </w:rPr>
  </w:style>
  <w:style w:type="paragraph" w:customStyle="1" w:styleId="3466">
    <w:name w:val="3466"/>
    <w:uiPriority w:val="99"/>
    <w:semiHidden/>
    <w:qFormat/>
    <w:rPr>
      <w:kern w:val="2"/>
      <w:sz w:val="21"/>
      <w:szCs w:val="22"/>
    </w:rPr>
  </w:style>
  <w:style w:type="paragraph" w:customStyle="1" w:styleId="3464">
    <w:name w:val="3464"/>
    <w:basedOn w:val="3733"/>
    <w:uiPriority w:val="99"/>
    <w:qFormat/>
    <w:pPr>
      <w:widowControl w:val="0"/>
      <w:spacing w:before="100" w:after="100"/>
      <w:jc w:val="both"/>
    </w:pPr>
    <w:rPr>
      <w:rFonts w:ascii="Calibri" w:hAnsi="Calibri" w:cs="Times New Roman"/>
      <w:kern w:val="2"/>
    </w:rPr>
  </w:style>
  <w:style w:type="paragraph" w:customStyle="1" w:styleId="3463">
    <w:name w:val="3463"/>
    <w:basedOn w:val="3733"/>
    <w:uiPriority w:val="99"/>
    <w:semiHidden/>
    <w:qFormat/>
    <w:pPr>
      <w:widowControl w:val="0"/>
      <w:jc w:val="both"/>
    </w:pPr>
    <w:rPr>
      <w:rFonts w:hAnsi="Calibri" w:cs="Times New Roman"/>
      <w:kern w:val="2"/>
      <w:sz w:val="18"/>
      <w:szCs w:val="18"/>
    </w:rPr>
  </w:style>
  <w:style w:type="paragraph" w:customStyle="1" w:styleId="3460">
    <w:name w:val="3460"/>
    <w:basedOn w:val="3733"/>
    <w:next w:val="a"/>
    <w:uiPriority w:val="10"/>
    <w:qFormat/>
    <w:pPr>
      <w:widowControl w:val="0"/>
      <w:spacing w:before="240" w:after="60"/>
      <w:jc w:val="center"/>
      <w:outlineLvl w:val="0"/>
    </w:pPr>
    <w:rPr>
      <w:rFonts w:ascii="Cambria" w:hAnsi="Cambria" w:cs="Times New Roman"/>
      <w:b/>
      <w:kern w:val="2"/>
      <w:sz w:val="32"/>
      <w:szCs w:val="32"/>
    </w:rPr>
  </w:style>
  <w:style w:type="paragraph" w:customStyle="1" w:styleId="3458">
    <w:name w:val="3458"/>
    <w:uiPriority w:val="1"/>
    <w:qFormat/>
    <w:pPr>
      <w:widowControl w:val="0"/>
      <w:jc w:val="both"/>
    </w:pPr>
    <w:rPr>
      <w:kern w:val="2"/>
      <w:sz w:val="21"/>
      <w:szCs w:val="22"/>
    </w:rPr>
  </w:style>
  <w:style w:type="paragraph" w:customStyle="1" w:styleId="3457">
    <w:name w:val="3457"/>
    <w:basedOn w:val="3733"/>
    <w:next w:val="a"/>
    <w:uiPriority w:val="39"/>
    <w:qFormat/>
    <w:pPr>
      <w:widowControl w:val="0"/>
      <w:ind w:leftChars="1600" w:left="3360"/>
      <w:jc w:val="both"/>
    </w:pPr>
    <w:rPr>
      <w:rFonts w:ascii="Calibri" w:hAnsi="Calibri" w:cs="Times New Roman"/>
      <w:kern w:val="2"/>
      <w:szCs w:val="22"/>
    </w:rPr>
  </w:style>
  <w:style w:type="paragraph" w:customStyle="1" w:styleId="3455">
    <w:name w:val="3455"/>
    <w:basedOn w:val="3733"/>
    <w:uiPriority w:val="99"/>
    <w:qFormat/>
    <w:pPr>
      <w:spacing w:before="100" w:beforeAutospacing="1" w:after="100" w:afterAutospacing="1"/>
    </w:pPr>
    <w:rPr>
      <w:sz w:val="24"/>
    </w:rPr>
  </w:style>
  <w:style w:type="paragraph" w:customStyle="1" w:styleId="3454">
    <w:name w:val="3454"/>
    <w:basedOn w:val="3733"/>
    <w:uiPriority w:val="99"/>
    <w:semiHidden/>
    <w:qFormat/>
    <w:pPr>
      <w:snapToGrid w:val="0"/>
    </w:pPr>
  </w:style>
  <w:style w:type="paragraph" w:customStyle="1" w:styleId="3449">
    <w:name w:val="3449"/>
    <w:basedOn w:val="3733"/>
    <w:uiPriority w:val="99"/>
    <w:qFormat/>
    <w:pPr>
      <w:widowControl w:val="0"/>
      <w:ind w:firstLineChars="200" w:firstLine="420"/>
      <w:jc w:val="both"/>
    </w:pPr>
    <w:rPr>
      <w:rFonts w:ascii="Times New Roman" w:hAnsi="Times New Roman" w:cs="Times New Roman"/>
      <w:kern w:val="2"/>
    </w:rPr>
  </w:style>
  <w:style w:type="paragraph" w:customStyle="1" w:styleId="3448">
    <w:name w:val="3448"/>
    <w:basedOn w:val="3733"/>
    <w:uiPriority w:val="99"/>
    <w:qFormat/>
    <w:pPr>
      <w:widowControl w:val="0"/>
      <w:tabs>
        <w:tab w:val="left" w:pos="1200"/>
      </w:tabs>
      <w:jc w:val="both"/>
    </w:pPr>
    <w:rPr>
      <w:rFonts w:ascii="Times New Roman" w:hAnsi="Times New Roman" w:cs="Times New Roman"/>
      <w:kern w:val="2"/>
    </w:rPr>
  </w:style>
  <w:style w:type="paragraph" w:customStyle="1" w:styleId="3447">
    <w:name w:val="3447"/>
    <w:basedOn w:val="3733"/>
    <w:uiPriority w:val="34"/>
    <w:qFormat/>
    <w:pPr>
      <w:widowControl w:val="0"/>
      <w:ind w:firstLineChars="200" w:firstLine="420"/>
      <w:jc w:val="both"/>
    </w:pPr>
    <w:rPr>
      <w:rFonts w:ascii="Calibri" w:hAnsi="Calibri" w:cs="Times New Roman"/>
      <w:kern w:val="2"/>
      <w:szCs w:val="22"/>
    </w:rPr>
  </w:style>
  <w:style w:type="paragraph" w:customStyle="1" w:styleId="3445">
    <w:name w:val="3445"/>
    <w:basedOn w:val="3733"/>
    <w:uiPriority w:val="34"/>
    <w:qFormat/>
    <w:pPr>
      <w:widowControl w:val="0"/>
      <w:ind w:firstLineChars="200" w:firstLine="420"/>
      <w:jc w:val="both"/>
    </w:pPr>
    <w:rPr>
      <w:rFonts w:ascii="Calibri" w:hAnsi="Calibri" w:cs="Times New Roman"/>
      <w:kern w:val="2"/>
      <w:szCs w:val="22"/>
    </w:rPr>
  </w:style>
  <w:style w:type="paragraph" w:customStyle="1" w:styleId="3443">
    <w:name w:val="3443"/>
    <w:basedOn w:val="3733"/>
    <w:uiPriority w:val="34"/>
    <w:qFormat/>
    <w:pPr>
      <w:widowControl w:val="0"/>
      <w:ind w:firstLineChars="200" w:firstLine="420"/>
      <w:jc w:val="both"/>
    </w:pPr>
    <w:rPr>
      <w:rFonts w:ascii="Calibri" w:hAnsi="Calibri" w:cs="Times New Roman"/>
      <w:kern w:val="2"/>
      <w:szCs w:val="22"/>
    </w:rPr>
  </w:style>
  <w:style w:type="paragraph" w:customStyle="1" w:styleId="3441">
    <w:name w:val="3441"/>
    <w:uiPriority w:val="99"/>
    <w:qFormat/>
    <w:rPr>
      <w:sz w:val="21"/>
      <w:szCs w:val="24"/>
    </w:rPr>
  </w:style>
  <w:style w:type="paragraph" w:customStyle="1" w:styleId="3440">
    <w:name w:val="3440"/>
    <w:uiPriority w:val="99"/>
    <w:qFormat/>
    <w:pPr>
      <w:widowControl w:val="0"/>
      <w:autoSpaceDE w:val="0"/>
      <w:autoSpaceDN w:val="0"/>
      <w:adjustRightInd w:val="0"/>
    </w:pPr>
    <w:rPr>
      <w:rFonts w:ascii="黑体" w:eastAsia="黑体" w:cs="黑体"/>
      <w:color w:val="000000"/>
      <w:sz w:val="24"/>
      <w:szCs w:val="24"/>
    </w:rPr>
  </w:style>
  <w:style w:type="paragraph" w:customStyle="1" w:styleId="3439">
    <w:name w:val="3439"/>
    <w:basedOn w:val="3690"/>
    <w:next w:val="a"/>
    <w:uiPriority w:val="99"/>
    <w:qFormat/>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3438">
    <w:name w:val="3438"/>
    <w:basedOn w:val="3690"/>
    <w:next w:val="a"/>
    <w:uiPriority w:val="99"/>
    <w:semiHidden/>
    <w:qFormat/>
    <w:pPr>
      <w:keepNext/>
      <w:keepLines/>
      <w:widowControl w:val="0"/>
      <w:spacing w:before="60" w:after="60"/>
      <w:ind w:left="200" w:hangingChars="200" w:hanging="200"/>
      <w:jc w:val="both"/>
      <w:outlineLvl w:val="1"/>
    </w:pPr>
    <w:rPr>
      <w:rFonts w:ascii="Arial" w:hAnsi="Arial" w:cs="Times New Roman"/>
      <w:b/>
      <w:bCs/>
      <w:kern w:val="2"/>
    </w:rPr>
  </w:style>
  <w:style w:type="paragraph" w:customStyle="1" w:styleId="3437">
    <w:name w:val="3437"/>
    <w:basedOn w:val="3690"/>
    <w:next w:val="a"/>
    <w:uiPriority w:val="99"/>
    <w:semiHidden/>
    <w:qFormat/>
    <w:pPr>
      <w:keepNext/>
      <w:keepLines/>
      <w:widowControl w:val="0"/>
      <w:spacing w:before="60" w:after="60"/>
      <w:jc w:val="both"/>
      <w:outlineLvl w:val="2"/>
    </w:pPr>
    <w:rPr>
      <w:rFonts w:ascii="Calibri" w:hAnsi="Calibri" w:cs="Times New Roman"/>
      <w:b/>
      <w:bCs/>
      <w:kern w:val="2"/>
      <w:szCs w:val="32"/>
    </w:rPr>
  </w:style>
  <w:style w:type="paragraph" w:customStyle="1" w:styleId="3436">
    <w:name w:val="3436"/>
    <w:basedOn w:val="3690"/>
    <w:next w:val="a"/>
    <w:uiPriority w:val="99"/>
    <w:semiHidden/>
    <w:qFormat/>
    <w:pPr>
      <w:keepNext/>
      <w:keepLines/>
      <w:widowControl w:val="0"/>
      <w:spacing w:before="60" w:after="60"/>
      <w:jc w:val="both"/>
      <w:outlineLvl w:val="3"/>
    </w:pPr>
    <w:rPr>
      <w:rFonts w:ascii="Cambria" w:hAnsi="Cambria" w:cs="Times New Roman"/>
      <w:b/>
      <w:bCs/>
      <w:kern w:val="2"/>
      <w:szCs w:val="28"/>
    </w:rPr>
  </w:style>
  <w:style w:type="paragraph" w:customStyle="1" w:styleId="3435">
    <w:name w:val="3435"/>
    <w:basedOn w:val="3690"/>
    <w:next w:val="a"/>
    <w:uiPriority w:val="99"/>
    <w:semiHidden/>
    <w:qFormat/>
    <w:pPr>
      <w:keepNext/>
      <w:keepLines/>
      <w:widowControl w:val="0"/>
      <w:spacing w:before="60" w:after="60"/>
      <w:jc w:val="both"/>
      <w:outlineLvl w:val="4"/>
    </w:pPr>
    <w:rPr>
      <w:rFonts w:ascii="Calibri" w:hAnsi="Calibri" w:cs="Times New Roman"/>
      <w:b/>
      <w:bCs/>
      <w:kern w:val="2"/>
      <w:szCs w:val="28"/>
    </w:rPr>
  </w:style>
  <w:style w:type="paragraph" w:customStyle="1" w:styleId="3434">
    <w:name w:val="3434"/>
    <w:basedOn w:val="3690"/>
    <w:next w:val="a"/>
    <w:uiPriority w:val="99"/>
    <w:semiHidden/>
    <w:qFormat/>
    <w:pPr>
      <w:keepNext/>
      <w:keepLines/>
      <w:spacing w:before="60" w:after="60"/>
      <w:outlineLvl w:val="5"/>
    </w:pPr>
    <w:rPr>
      <w:rFonts w:ascii="Cambria" w:hAnsi="Cambria" w:cs="Times New Roman"/>
      <w:b/>
      <w:bCs/>
    </w:rPr>
  </w:style>
  <w:style w:type="paragraph" w:customStyle="1" w:styleId="3433">
    <w:name w:val="3433"/>
    <w:basedOn w:val="3690"/>
    <w:next w:val="a"/>
    <w:uiPriority w:val="99"/>
    <w:semiHidden/>
    <w:qFormat/>
    <w:pPr>
      <w:keepNext/>
      <w:keepLines/>
      <w:spacing w:before="240" w:after="64" w:line="319" w:lineRule="auto"/>
      <w:outlineLvl w:val="6"/>
    </w:pPr>
    <w:rPr>
      <w:b/>
      <w:bCs/>
      <w:sz w:val="24"/>
    </w:rPr>
  </w:style>
  <w:style w:type="paragraph" w:customStyle="1" w:styleId="3432">
    <w:name w:val="3432"/>
    <w:basedOn w:val="3690"/>
    <w:next w:val="a"/>
    <w:uiPriority w:val="99"/>
    <w:semiHidden/>
    <w:qFormat/>
    <w:pPr>
      <w:keepNext/>
      <w:keepLines/>
      <w:widowControl w:val="0"/>
      <w:adjustRightInd w:val="0"/>
      <w:spacing w:before="240" w:after="64" w:line="320" w:lineRule="atLeast"/>
      <w:outlineLvl w:val="7"/>
    </w:pPr>
    <w:rPr>
      <w:rFonts w:ascii="Arial" w:eastAsia="黑体" w:hAnsi="Arial" w:cs="Times New Roman"/>
      <w:bCs/>
      <w:color w:val="000000"/>
      <w:sz w:val="24"/>
      <w:szCs w:val="20"/>
    </w:rPr>
  </w:style>
  <w:style w:type="paragraph" w:customStyle="1" w:styleId="3431">
    <w:name w:val="3431"/>
    <w:basedOn w:val="3690"/>
    <w:next w:val="a"/>
    <w:uiPriority w:val="99"/>
    <w:semiHidden/>
    <w:qFormat/>
    <w:pPr>
      <w:keepNext/>
      <w:keepLines/>
      <w:widowControl w:val="0"/>
      <w:adjustRightInd w:val="0"/>
      <w:spacing w:before="240" w:after="64" w:line="320" w:lineRule="atLeast"/>
      <w:outlineLvl w:val="8"/>
    </w:pPr>
    <w:rPr>
      <w:rFonts w:ascii="Arial" w:eastAsia="黑体" w:hAnsi="Arial" w:cs="Times New Roman"/>
      <w:bCs/>
      <w:color w:val="000000"/>
      <w:sz w:val="24"/>
      <w:szCs w:val="20"/>
    </w:rPr>
  </w:style>
  <w:style w:type="paragraph" w:customStyle="1" w:styleId="3430">
    <w:name w:val="3430"/>
    <w:basedOn w:val="3690"/>
    <w:next w:val="a"/>
    <w:uiPriority w:val="99"/>
    <w:qFormat/>
    <w:pPr>
      <w:widowControl w:val="0"/>
      <w:ind w:leftChars="1200" w:left="2520"/>
      <w:jc w:val="both"/>
    </w:pPr>
    <w:rPr>
      <w:rFonts w:ascii="Calibri" w:hAnsi="Calibri" w:cs="Times New Roman"/>
      <w:kern w:val="2"/>
      <w:szCs w:val="22"/>
    </w:rPr>
  </w:style>
  <w:style w:type="paragraph" w:customStyle="1" w:styleId="3429">
    <w:name w:val="3429"/>
    <w:basedOn w:val="3690"/>
    <w:uiPriority w:val="99"/>
    <w:qFormat/>
    <w:pPr>
      <w:widowControl w:val="0"/>
      <w:ind w:firstLineChars="200" w:firstLine="420"/>
      <w:jc w:val="both"/>
    </w:pPr>
    <w:rPr>
      <w:rFonts w:ascii="Times New Roman" w:hAnsi="Times New Roman" w:cs="Times New Roman"/>
      <w:kern w:val="2"/>
    </w:rPr>
  </w:style>
  <w:style w:type="paragraph" w:customStyle="1" w:styleId="3428">
    <w:name w:val="3428"/>
    <w:basedOn w:val="3690"/>
    <w:uiPriority w:val="99"/>
    <w:qFormat/>
    <w:pPr>
      <w:widowControl w:val="0"/>
      <w:jc w:val="both"/>
    </w:pPr>
    <w:rPr>
      <w:rFonts w:hAnsi="Calibri" w:cs="Times New Roman"/>
      <w:kern w:val="2"/>
      <w:sz w:val="18"/>
      <w:szCs w:val="18"/>
    </w:rPr>
  </w:style>
  <w:style w:type="paragraph" w:customStyle="1" w:styleId="3427">
    <w:name w:val="3427"/>
    <w:basedOn w:val="3690"/>
    <w:next w:val="a"/>
    <w:uiPriority w:val="99"/>
    <w:qFormat/>
    <w:pPr>
      <w:widowControl w:val="0"/>
      <w:spacing w:before="120"/>
      <w:jc w:val="both"/>
    </w:pPr>
    <w:rPr>
      <w:rFonts w:ascii="Arial" w:hAnsi="Arial" w:cs="Times New Roman"/>
      <w:b/>
      <w:bCs/>
      <w:kern w:val="2"/>
    </w:rPr>
  </w:style>
  <w:style w:type="paragraph" w:customStyle="1" w:styleId="3426">
    <w:name w:val="3426"/>
    <w:basedOn w:val="3690"/>
    <w:uiPriority w:val="99"/>
    <w:qFormat/>
    <w:pPr>
      <w:widowControl w:val="0"/>
    </w:pPr>
    <w:rPr>
      <w:rFonts w:ascii="Times New Roman" w:hAnsi="Times New Roman" w:cs="Times New Roman"/>
      <w:kern w:val="2"/>
    </w:rPr>
  </w:style>
  <w:style w:type="paragraph" w:customStyle="1" w:styleId="3425">
    <w:name w:val="3425"/>
    <w:basedOn w:val="3690"/>
    <w:next w:val="a"/>
    <w:uiPriority w:val="99"/>
    <w:qFormat/>
    <w:pPr>
      <w:widowControl w:val="0"/>
      <w:jc w:val="both"/>
    </w:pPr>
    <w:rPr>
      <w:rFonts w:ascii="Times New Roman" w:hAnsi="Times New Roman" w:cs="Times New Roman"/>
      <w:kern w:val="2"/>
    </w:rPr>
  </w:style>
  <w:style w:type="paragraph" w:customStyle="1" w:styleId="3424">
    <w:name w:val="3424"/>
    <w:basedOn w:val="3690"/>
    <w:uiPriority w:val="99"/>
    <w:qFormat/>
    <w:pPr>
      <w:widowControl w:val="0"/>
      <w:tabs>
        <w:tab w:val="left" w:pos="1200"/>
      </w:tabs>
      <w:jc w:val="both"/>
    </w:pPr>
    <w:rPr>
      <w:rFonts w:ascii="Times New Roman" w:hAnsi="Times New Roman" w:cs="Times New Roman"/>
      <w:kern w:val="2"/>
    </w:rPr>
  </w:style>
  <w:style w:type="paragraph" w:customStyle="1" w:styleId="3423">
    <w:name w:val="3423"/>
    <w:basedOn w:val="3690"/>
    <w:uiPriority w:val="99"/>
    <w:qFormat/>
    <w:pPr>
      <w:widowControl w:val="0"/>
      <w:spacing w:after="120"/>
      <w:jc w:val="both"/>
    </w:pPr>
    <w:rPr>
      <w:rFonts w:ascii="Times New Roman" w:hAnsi="Times New Roman" w:cs="Times New Roman"/>
      <w:kern w:val="2"/>
    </w:rPr>
  </w:style>
  <w:style w:type="paragraph" w:customStyle="1" w:styleId="3422">
    <w:name w:val="3422"/>
    <w:basedOn w:val="3690"/>
    <w:next w:val="a"/>
    <w:uiPriority w:val="99"/>
    <w:qFormat/>
    <w:pPr>
      <w:widowControl w:val="0"/>
      <w:ind w:leftChars="800" w:left="1680"/>
      <w:jc w:val="both"/>
    </w:pPr>
    <w:rPr>
      <w:rFonts w:ascii="Calibri" w:hAnsi="Calibri" w:cs="Times New Roman"/>
      <w:kern w:val="2"/>
      <w:szCs w:val="22"/>
    </w:rPr>
  </w:style>
  <w:style w:type="paragraph" w:customStyle="1" w:styleId="3421">
    <w:name w:val="3421"/>
    <w:basedOn w:val="3690"/>
    <w:next w:val="a"/>
    <w:uiPriority w:val="99"/>
    <w:qFormat/>
    <w:pPr>
      <w:spacing w:after="100" w:line="276" w:lineRule="auto"/>
      <w:ind w:left="440"/>
    </w:pPr>
    <w:rPr>
      <w:rFonts w:ascii="Calibri" w:hAnsi="Calibri" w:cs="Times New Roman"/>
      <w:sz w:val="22"/>
      <w:szCs w:val="22"/>
    </w:rPr>
  </w:style>
  <w:style w:type="paragraph" w:customStyle="1" w:styleId="3420">
    <w:name w:val="3420"/>
    <w:basedOn w:val="3690"/>
    <w:uiPriority w:val="99"/>
    <w:qFormat/>
    <w:pPr>
      <w:widowControl w:val="0"/>
      <w:jc w:val="both"/>
    </w:pPr>
    <w:rPr>
      <w:rFonts w:hAnsi="Courier New" w:cs="Times New Roman"/>
      <w:kern w:val="2"/>
      <w:szCs w:val="20"/>
    </w:rPr>
  </w:style>
  <w:style w:type="paragraph" w:customStyle="1" w:styleId="3419">
    <w:name w:val="3419"/>
    <w:basedOn w:val="3690"/>
    <w:next w:val="a"/>
    <w:uiPriority w:val="99"/>
    <w:qFormat/>
    <w:pPr>
      <w:widowControl w:val="0"/>
      <w:ind w:leftChars="1400" w:left="2940"/>
      <w:jc w:val="both"/>
    </w:pPr>
    <w:rPr>
      <w:rFonts w:ascii="Calibri" w:hAnsi="Calibri" w:cs="Times New Roman"/>
      <w:kern w:val="2"/>
      <w:szCs w:val="22"/>
    </w:rPr>
  </w:style>
  <w:style w:type="paragraph" w:customStyle="1" w:styleId="3418">
    <w:name w:val="3418"/>
    <w:basedOn w:val="3690"/>
    <w:next w:val="a"/>
    <w:uiPriority w:val="99"/>
    <w:qFormat/>
    <w:pPr>
      <w:widowControl w:val="0"/>
      <w:ind w:leftChars="2500" w:left="100"/>
      <w:jc w:val="both"/>
    </w:pPr>
    <w:rPr>
      <w:rFonts w:ascii="Times New Roman" w:hAnsi="Times New Roman" w:cs="Times New Roman"/>
      <w:kern w:val="2"/>
    </w:rPr>
  </w:style>
  <w:style w:type="paragraph" w:customStyle="1" w:styleId="3417">
    <w:name w:val="3417"/>
    <w:basedOn w:val="3690"/>
    <w:uiPriority w:val="99"/>
    <w:qFormat/>
    <w:pPr>
      <w:snapToGrid w:val="0"/>
    </w:pPr>
  </w:style>
  <w:style w:type="paragraph" w:customStyle="1" w:styleId="3416">
    <w:name w:val="3416"/>
    <w:basedOn w:val="3690"/>
    <w:uiPriority w:val="99"/>
    <w:qFormat/>
    <w:pPr>
      <w:widowControl w:val="0"/>
      <w:jc w:val="both"/>
    </w:pPr>
    <w:rPr>
      <w:rFonts w:ascii="Calibri" w:hAnsi="Calibri" w:cs="Times New Roman"/>
      <w:kern w:val="2"/>
      <w:sz w:val="18"/>
      <w:szCs w:val="18"/>
    </w:rPr>
  </w:style>
  <w:style w:type="paragraph" w:customStyle="1" w:styleId="3415">
    <w:name w:val="3415"/>
    <w:basedOn w:val="3690"/>
    <w:uiPriority w:val="99"/>
    <w:qFormat/>
    <w:pPr>
      <w:widowControl w:val="0"/>
      <w:tabs>
        <w:tab w:val="center" w:pos="4153"/>
        <w:tab w:val="right" w:pos="8306"/>
      </w:tabs>
      <w:snapToGrid w:val="0"/>
    </w:pPr>
    <w:rPr>
      <w:rFonts w:ascii="Calibri" w:hAnsi="Calibri" w:cs="Times New Roman"/>
      <w:kern w:val="2"/>
      <w:sz w:val="18"/>
      <w:szCs w:val="18"/>
    </w:rPr>
  </w:style>
  <w:style w:type="paragraph" w:customStyle="1" w:styleId="3414">
    <w:name w:val="3414"/>
    <w:basedOn w:val="3690"/>
    <w:uiPriority w:val="99"/>
    <w:qFormat/>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3413">
    <w:name w:val="3413"/>
    <w:basedOn w:val="3690"/>
    <w:next w:val="a"/>
    <w:uiPriority w:val="99"/>
    <w:qFormat/>
    <w:pPr>
      <w:widowControl w:val="0"/>
      <w:tabs>
        <w:tab w:val="left" w:pos="1260"/>
        <w:tab w:val="right" w:leader="dot" w:pos="8823"/>
      </w:tabs>
      <w:jc w:val="center"/>
    </w:pPr>
    <w:rPr>
      <w:rFonts w:ascii="Times New Roman" w:hAnsi="Times New Roman" w:cs="Times New Roman"/>
      <w:kern w:val="2"/>
    </w:rPr>
  </w:style>
  <w:style w:type="paragraph" w:customStyle="1" w:styleId="3412">
    <w:name w:val="3412"/>
    <w:basedOn w:val="3690"/>
    <w:next w:val="a"/>
    <w:uiPriority w:val="99"/>
    <w:qFormat/>
    <w:pPr>
      <w:widowControl w:val="0"/>
      <w:ind w:leftChars="600" w:left="1260"/>
      <w:jc w:val="both"/>
    </w:pPr>
    <w:rPr>
      <w:rFonts w:ascii="Calibri" w:hAnsi="Calibri" w:cs="Times New Roman"/>
      <w:kern w:val="2"/>
      <w:szCs w:val="22"/>
    </w:rPr>
  </w:style>
  <w:style w:type="paragraph" w:customStyle="1" w:styleId="3411">
    <w:name w:val="3411"/>
    <w:basedOn w:val="3690"/>
    <w:next w:val="a"/>
    <w:uiPriority w:val="99"/>
    <w:qFormat/>
    <w:pPr>
      <w:widowControl w:val="0"/>
      <w:ind w:leftChars="1000" w:left="2100"/>
      <w:jc w:val="both"/>
    </w:pPr>
    <w:rPr>
      <w:rFonts w:ascii="Calibri" w:hAnsi="Calibri" w:cs="Times New Roman"/>
      <w:kern w:val="2"/>
      <w:szCs w:val="22"/>
    </w:rPr>
  </w:style>
  <w:style w:type="paragraph" w:customStyle="1" w:styleId="3410">
    <w:name w:val="3410"/>
    <w:basedOn w:val="3690"/>
    <w:next w:val="a"/>
    <w:uiPriority w:val="99"/>
    <w:qFormat/>
    <w:pPr>
      <w:widowControl w:val="0"/>
      <w:ind w:leftChars="200" w:left="420"/>
      <w:jc w:val="both"/>
    </w:pPr>
    <w:rPr>
      <w:rFonts w:ascii="Times New Roman" w:hAnsi="Times New Roman" w:cs="Times New Roman"/>
      <w:kern w:val="2"/>
    </w:rPr>
  </w:style>
  <w:style w:type="paragraph" w:customStyle="1" w:styleId="3409">
    <w:name w:val="3409"/>
    <w:basedOn w:val="3690"/>
    <w:next w:val="a"/>
    <w:uiPriority w:val="99"/>
    <w:qFormat/>
    <w:pPr>
      <w:widowControl w:val="0"/>
      <w:ind w:leftChars="1600" w:left="3360"/>
      <w:jc w:val="both"/>
    </w:pPr>
    <w:rPr>
      <w:rFonts w:ascii="Calibri" w:hAnsi="Calibri" w:cs="Times New Roman"/>
      <w:kern w:val="2"/>
      <w:szCs w:val="22"/>
    </w:rPr>
  </w:style>
  <w:style w:type="paragraph" w:customStyle="1" w:styleId="3408">
    <w:name w:val="3408"/>
    <w:basedOn w:val="3690"/>
    <w:uiPriority w:val="99"/>
    <w:qFormat/>
    <w:pPr>
      <w:spacing w:before="100" w:beforeAutospacing="1" w:after="100" w:afterAutospacing="1"/>
    </w:pPr>
    <w:rPr>
      <w:sz w:val="24"/>
    </w:rPr>
  </w:style>
  <w:style w:type="paragraph" w:customStyle="1" w:styleId="3407">
    <w:name w:val="3407"/>
    <w:basedOn w:val="3690"/>
    <w:next w:val="a"/>
    <w:uiPriority w:val="99"/>
    <w:qFormat/>
    <w:pPr>
      <w:ind w:firstLineChars="200" w:firstLine="420"/>
    </w:pPr>
    <w:rPr>
      <w:rFonts w:cs="Times New Roman"/>
      <w:color w:val="000000"/>
    </w:rPr>
  </w:style>
  <w:style w:type="paragraph" w:customStyle="1" w:styleId="3406">
    <w:name w:val="3406"/>
    <w:basedOn w:val="3690"/>
    <w:next w:val="a"/>
    <w:uiPriority w:val="99"/>
    <w:qFormat/>
    <w:pPr>
      <w:widowControl w:val="0"/>
      <w:spacing w:before="240" w:after="60"/>
      <w:jc w:val="center"/>
      <w:outlineLvl w:val="0"/>
    </w:pPr>
    <w:rPr>
      <w:rFonts w:ascii="Cambria" w:hAnsi="Cambria" w:cs="Times New Roman"/>
      <w:b/>
      <w:bCs/>
      <w:kern w:val="2"/>
      <w:sz w:val="32"/>
      <w:szCs w:val="32"/>
    </w:rPr>
  </w:style>
  <w:style w:type="paragraph" w:customStyle="1" w:styleId="3405">
    <w:name w:val="3405"/>
    <w:basedOn w:val="3426"/>
    <w:uiPriority w:val="99"/>
    <w:qFormat/>
    <w:rPr>
      <w:rFonts w:ascii="Calibri" w:hAnsi="Calibri"/>
      <w:b/>
      <w:bCs/>
      <w:szCs w:val="22"/>
    </w:rPr>
  </w:style>
  <w:style w:type="paragraph" w:customStyle="1" w:styleId="3395">
    <w:name w:val="3395"/>
    <w:basedOn w:val="3439"/>
    <w:next w:val="a"/>
    <w:uiPriority w:val="39"/>
    <w:qFormat/>
    <w:pPr>
      <w:widowControl/>
      <w:spacing w:before="480" w:after="0" w:line="276" w:lineRule="auto"/>
      <w:outlineLvl w:val="9"/>
    </w:pPr>
    <w:rPr>
      <w:rFonts w:ascii="Cambria" w:eastAsia="宋体" w:hAnsi="Cambria"/>
      <w:color w:val="365F91"/>
      <w:kern w:val="0"/>
      <w:szCs w:val="28"/>
    </w:rPr>
  </w:style>
  <w:style w:type="paragraph" w:customStyle="1" w:styleId="3391">
    <w:name w:val="3391"/>
    <w:basedOn w:val="3690"/>
    <w:uiPriority w:val="34"/>
    <w:qFormat/>
    <w:pPr>
      <w:widowControl w:val="0"/>
      <w:ind w:firstLineChars="200" w:firstLine="420"/>
      <w:jc w:val="both"/>
    </w:pPr>
    <w:rPr>
      <w:rFonts w:ascii="Calibri" w:hAnsi="Calibri" w:cs="Times New Roman"/>
      <w:kern w:val="2"/>
      <w:szCs w:val="22"/>
    </w:rPr>
  </w:style>
  <w:style w:type="paragraph" w:customStyle="1" w:styleId="3383">
    <w:name w:val="3383"/>
    <w:uiPriority w:val="99"/>
    <w:semiHidden/>
    <w:qFormat/>
    <w:rPr>
      <w:kern w:val="2"/>
      <w:sz w:val="21"/>
      <w:szCs w:val="22"/>
    </w:rPr>
  </w:style>
  <w:style w:type="paragraph" w:customStyle="1" w:styleId="3381">
    <w:name w:val="3381"/>
    <w:basedOn w:val="3690"/>
    <w:uiPriority w:val="99"/>
    <w:qFormat/>
    <w:pPr>
      <w:widowControl w:val="0"/>
      <w:spacing w:before="100" w:after="100"/>
      <w:jc w:val="both"/>
    </w:pPr>
    <w:rPr>
      <w:rFonts w:ascii="Calibri" w:hAnsi="Calibri" w:cs="Times New Roman"/>
      <w:kern w:val="2"/>
    </w:rPr>
  </w:style>
  <w:style w:type="paragraph" w:customStyle="1" w:styleId="3374">
    <w:name w:val="3374"/>
    <w:uiPriority w:val="99"/>
    <w:qFormat/>
    <w:rPr>
      <w:rFonts w:ascii="Calibri" w:hAnsi="Calibri"/>
      <w:b/>
      <w:sz w:val="21"/>
      <w:szCs w:val="22"/>
    </w:rPr>
  </w:style>
  <w:style w:type="paragraph" w:customStyle="1" w:styleId="3373">
    <w:name w:val="3373"/>
    <w:basedOn w:val="3690"/>
    <w:uiPriority w:val="99"/>
    <w:qFormat/>
    <w:pPr>
      <w:widowControl w:val="0"/>
    </w:pPr>
    <w:rPr>
      <w:rFonts w:ascii="Times New Roman" w:hAnsi="Times New Roman" w:cs="Times New Roman"/>
      <w:kern w:val="2"/>
    </w:rPr>
  </w:style>
  <w:style w:type="paragraph" w:customStyle="1" w:styleId="3372">
    <w:name w:val="3372"/>
    <w:basedOn w:val="3690"/>
    <w:next w:val="a"/>
    <w:uiPriority w:val="99"/>
    <w:qFormat/>
    <w:pPr>
      <w:keepNext/>
      <w:keepLines/>
      <w:widowControl w:val="0"/>
      <w:spacing w:before="100" w:beforeAutospacing="1" w:after="100" w:afterAutospacing="1" w:line="412" w:lineRule="auto"/>
      <w:jc w:val="both"/>
    </w:pPr>
    <w:rPr>
      <w:rFonts w:ascii="Times New Roman" w:hAnsi="Times New Roman" w:cs="Times New Roman"/>
      <w:b/>
      <w:kern w:val="2"/>
    </w:rPr>
  </w:style>
  <w:style w:type="paragraph" w:customStyle="1" w:styleId="3367">
    <w:name w:val="3367"/>
    <w:basedOn w:val="3690"/>
    <w:uiPriority w:val="34"/>
    <w:qFormat/>
    <w:pPr>
      <w:widowControl w:val="0"/>
      <w:ind w:firstLineChars="200" w:firstLine="420"/>
      <w:jc w:val="both"/>
    </w:pPr>
    <w:rPr>
      <w:rFonts w:ascii="Calibri" w:hAnsi="Calibri" w:cs="Times New Roman"/>
      <w:kern w:val="2"/>
      <w:szCs w:val="22"/>
    </w:rPr>
  </w:style>
  <w:style w:type="paragraph" w:customStyle="1" w:styleId="3366">
    <w:name w:val="3366"/>
    <w:basedOn w:val="3690"/>
    <w:uiPriority w:val="34"/>
    <w:qFormat/>
    <w:pPr>
      <w:widowControl w:val="0"/>
      <w:ind w:firstLineChars="200" w:firstLine="420"/>
      <w:jc w:val="both"/>
    </w:pPr>
    <w:rPr>
      <w:rFonts w:ascii="Calibri" w:hAnsi="Calibri" w:cs="Times New Roman"/>
      <w:kern w:val="2"/>
      <w:szCs w:val="22"/>
    </w:rPr>
  </w:style>
  <w:style w:type="paragraph" w:customStyle="1" w:styleId="3364">
    <w:name w:val="3364"/>
    <w:basedOn w:val="3690"/>
    <w:uiPriority w:val="34"/>
    <w:qFormat/>
    <w:pPr>
      <w:widowControl w:val="0"/>
      <w:ind w:firstLineChars="200" w:firstLine="420"/>
      <w:jc w:val="both"/>
    </w:pPr>
    <w:rPr>
      <w:rFonts w:ascii="Calibri" w:hAnsi="Calibri" w:cs="Times New Roman"/>
      <w:kern w:val="2"/>
      <w:szCs w:val="22"/>
    </w:rPr>
  </w:style>
  <w:style w:type="paragraph" w:customStyle="1" w:styleId="3363">
    <w:name w:val="3363"/>
    <w:basedOn w:val="3690"/>
    <w:uiPriority w:val="34"/>
    <w:qFormat/>
    <w:pPr>
      <w:widowControl w:val="0"/>
      <w:ind w:firstLineChars="200" w:firstLine="420"/>
      <w:jc w:val="both"/>
    </w:pPr>
    <w:rPr>
      <w:rFonts w:ascii="Calibri" w:hAnsi="Calibri" w:cs="Times New Roman"/>
      <w:kern w:val="2"/>
      <w:szCs w:val="22"/>
    </w:rPr>
  </w:style>
  <w:style w:type="paragraph" w:customStyle="1" w:styleId="3361">
    <w:name w:val="3361"/>
    <w:basedOn w:val="3690"/>
    <w:next w:val="a"/>
    <w:uiPriority w:val="99"/>
    <w:qFormat/>
    <w:pPr>
      <w:widowControl w:val="0"/>
      <w:jc w:val="both"/>
    </w:pPr>
    <w:rPr>
      <w:rFonts w:ascii="Times New Roman" w:hAnsi="Times New Roman" w:cs="Times New Roman"/>
      <w:kern w:val="2"/>
    </w:rPr>
  </w:style>
  <w:style w:type="paragraph" w:customStyle="1" w:styleId="3359">
    <w:name w:val="3359"/>
    <w:basedOn w:val="3690"/>
    <w:uiPriority w:val="34"/>
    <w:qFormat/>
    <w:pPr>
      <w:widowControl w:val="0"/>
      <w:ind w:firstLineChars="200" w:firstLine="420"/>
      <w:jc w:val="both"/>
    </w:pPr>
    <w:rPr>
      <w:rFonts w:ascii="Calibri" w:hAnsi="Calibri" w:cs="Times New Roman"/>
      <w:kern w:val="2"/>
      <w:szCs w:val="22"/>
    </w:rPr>
  </w:style>
  <w:style w:type="paragraph" w:customStyle="1" w:styleId="3354">
    <w:name w:val="3354"/>
    <w:basedOn w:val="3690"/>
    <w:uiPriority w:val="34"/>
    <w:qFormat/>
    <w:pPr>
      <w:widowControl w:val="0"/>
      <w:ind w:firstLineChars="200" w:firstLine="420"/>
      <w:jc w:val="both"/>
    </w:pPr>
    <w:rPr>
      <w:rFonts w:ascii="Calibri" w:hAnsi="Calibri" w:cs="Times New Roman"/>
      <w:kern w:val="2"/>
      <w:szCs w:val="22"/>
    </w:rPr>
  </w:style>
  <w:style w:type="paragraph" w:customStyle="1" w:styleId="3352">
    <w:name w:val="3352"/>
    <w:basedOn w:val="3690"/>
    <w:uiPriority w:val="99"/>
    <w:qFormat/>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3349">
    <w:name w:val="3349"/>
    <w:basedOn w:val="3690"/>
    <w:uiPriority w:val="99"/>
    <w:qFormat/>
    <w:pPr>
      <w:widowControl w:val="0"/>
      <w:jc w:val="both"/>
    </w:pPr>
    <w:rPr>
      <w:rFonts w:ascii="Times New Roman" w:hAnsi="Times New Roman" w:cs="Times New Roman"/>
      <w:bCs/>
      <w:kern w:val="2"/>
      <w:sz w:val="24"/>
      <w:szCs w:val="24"/>
    </w:rPr>
  </w:style>
  <w:style w:type="paragraph" w:customStyle="1" w:styleId="3348">
    <w:name w:val="3348"/>
    <w:basedOn w:val="3690"/>
    <w:uiPriority w:val="99"/>
    <w:qFormat/>
    <w:pPr>
      <w:widowControl w:val="0"/>
      <w:tabs>
        <w:tab w:val="left" w:pos="315"/>
      </w:tabs>
      <w:ind w:left="315" w:hanging="315"/>
      <w:jc w:val="both"/>
    </w:pPr>
    <w:rPr>
      <w:rFonts w:ascii="Times New Roman" w:hAnsi="Times New Roman" w:cs="Times New Roman"/>
      <w:bCs/>
      <w:kern w:val="2"/>
      <w:sz w:val="24"/>
      <w:szCs w:val="24"/>
    </w:rPr>
  </w:style>
  <w:style w:type="paragraph" w:customStyle="1" w:styleId="3343">
    <w:name w:val="3343"/>
    <w:basedOn w:val="3690"/>
    <w:next w:val="a"/>
    <w:uiPriority w:val="99"/>
    <w:qFormat/>
    <w:pPr>
      <w:keepNext/>
      <w:keepLines/>
      <w:widowControl w:val="0"/>
      <w:tabs>
        <w:tab w:val="left" w:pos="546"/>
      </w:tabs>
      <w:adjustRightInd w:val="0"/>
      <w:spacing w:before="120" w:after="120" w:line="480" w:lineRule="atLeast"/>
      <w:ind w:left="420" w:hanging="420"/>
      <w:outlineLvl w:val="1"/>
    </w:pPr>
    <w:rPr>
      <w:rFonts w:cs="Times New Roman"/>
      <w:bCs/>
      <w:color w:val="000000"/>
    </w:rPr>
  </w:style>
  <w:style w:type="paragraph" w:customStyle="1" w:styleId="3342">
    <w:name w:val="3342"/>
    <w:basedOn w:val="3690"/>
    <w:next w:val="a"/>
    <w:uiPriority w:val="39"/>
    <w:qFormat/>
    <w:pPr>
      <w:tabs>
        <w:tab w:val="right" w:leader="dot" w:pos="8296"/>
      </w:tabs>
      <w:ind w:leftChars="200" w:left="420"/>
      <w:jc w:val="center"/>
    </w:pPr>
    <w:rPr>
      <w:rFonts w:cs="Times New Roman"/>
      <w:b/>
      <w:bCs/>
      <w:color w:val="000000"/>
      <w:sz w:val="32"/>
      <w:szCs w:val="32"/>
    </w:rPr>
  </w:style>
  <w:style w:type="paragraph" w:customStyle="1" w:styleId="3341">
    <w:name w:val="3341"/>
    <w:basedOn w:val="3690"/>
    <w:next w:val="a"/>
    <w:uiPriority w:val="39"/>
    <w:qFormat/>
    <w:rPr>
      <w:rFonts w:cs="Times New Roman"/>
      <w:bCs/>
      <w:color w:val="000000"/>
      <w:szCs w:val="20"/>
    </w:rPr>
  </w:style>
  <w:style w:type="paragraph" w:customStyle="1" w:styleId="3340">
    <w:name w:val="3340"/>
    <w:basedOn w:val="3690"/>
    <w:next w:val="a"/>
    <w:uiPriority w:val="39"/>
    <w:qFormat/>
    <w:pPr>
      <w:spacing w:after="100" w:line="276" w:lineRule="auto"/>
      <w:ind w:left="440"/>
    </w:pPr>
    <w:rPr>
      <w:rFonts w:ascii="Calibri" w:hAnsi="Calibri" w:cs="Times New Roman"/>
      <w:bCs/>
      <w:sz w:val="22"/>
      <w:szCs w:val="22"/>
    </w:rPr>
  </w:style>
  <w:style w:type="paragraph" w:customStyle="1" w:styleId="3339">
    <w:name w:val="3339"/>
    <w:basedOn w:val="3690"/>
    <w:next w:val="a"/>
    <w:uiPriority w:val="39"/>
    <w:qFormat/>
    <w:pPr>
      <w:widowControl w:val="0"/>
      <w:ind w:leftChars="600" w:left="1260"/>
      <w:jc w:val="both"/>
    </w:pPr>
    <w:rPr>
      <w:rFonts w:ascii="Calibri" w:hAnsi="Calibri" w:cs="Times New Roman"/>
      <w:bCs/>
      <w:kern w:val="2"/>
      <w:szCs w:val="22"/>
    </w:rPr>
  </w:style>
  <w:style w:type="paragraph" w:customStyle="1" w:styleId="3338">
    <w:name w:val="3338"/>
    <w:basedOn w:val="3690"/>
    <w:next w:val="a"/>
    <w:uiPriority w:val="39"/>
    <w:qFormat/>
    <w:pPr>
      <w:widowControl w:val="0"/>
      <w:ind w:leftChars="800" w:left="1680"/>
      <w:jc w:val="both"/>
    </w:pPr>
    <w:rPr>
      <w:rFonts w:ascii="Calibri" w:hAnsi="Calibri" w:cs="Times New Roman"/>
      <w:bCs/>
      <w:kern w:val="2"/>
      <w:szCs w:val="22"/>
    </w:rPr>
  </w:style>
  <w:style w:type="paragraph" w:customStyle="1" w:styleId="3337">
    <w:name w:val="3337"/>
    <w:basedOn w:val="3690"/>
    <w:next w:val="a"/>
    <w:uiPriority w:val="39"/>
    <w:qFormat/>
    <w:pPr>
      <w:widowControl w:val="0"/>
      <w:ind w:leftChars="1000" w:left="2100"/>
      <w:jc w:val="both"/>
    </w:pPr>
    <w:rPr>
      <w:rFonts w:ascii="Calibri" w:hAnsi="Calibri" w:cs="Times New Roman"/>
      <w:bCs/>
      <w:kern w:val="2"/>
      <w:szCs w:val="22"/>
    </w:rPr>
  </w:style>
  <w:style w:type="paragraph" w:customStyle="1" w:styleId="3336">
    <w:name w:val="3336"/>
    <w:basedOn w:val="3690"/>
    <w:next w:val="a"/>
    <w:uiPriority w:val="39"/>
    <w:qFormat/>
    <w:pPr>
      <w:widowControl w:val="0"/>
      <w:ind w:leftChars="1200" w:left="2520"/>
      <w:jc w:val="both"/>
    </w:pPr>
    <w:rPr>
      <w:rFonts w:ascii="Calibri" w:hAnsi="Calibri" w:cs="Times New Roman"/>
      <w:bCs/>
      <w:kern w:val="2"/>
      <w:szCs w:val="22"/>
    </w:rPr>
  </w:style>
  <w:style w:type="paragraph" w:customStyle="1" w:styleId="3335">
    <w:name w:val="3335"/>
    <w:basedOn w:val="3690"/>
    <w:next w:val="a"/>
    <w:uiPriority w:val="39"/>
    <w:qFormat/>
    <w:pPr>
      <w:widowControl w:val="0"/>
      <w:ind w:leftChars="1400" w:left="2940"/>
      <w:jc w:val="both"/>
    </w:pPr>
    <w:rPr>
      <w:rFonts w:ascii="Calibri" w:hAnsi="Calibri" w:cs="Times New Roman"/>
      <w:bCs/>
      <w:kern w:val="2"/>
      <w:szCs w:val="22"/>
    </w:rPr>
  </w:style>
  <w:style w:type="paragraph" w:customStyle="1" w:styleId="3334">
    <w:name w:val="3334"/>
    <w:basedOn w:val="3690"/>
    <w:next w:val="a"/>
    <w:uiPriority w:val="39"/>
    <w:qFormat/>
    <w:pPr>
      <w:widowControl w:val="0"/>
      <w:ind w:leftChars="1600" w:left="3360"/>
      <w:jc w:val="both"/>
    </w:pPr>
    <w:rPr>
      <w:rFonts w:ascii="Calibri" w:hAnsi="Calibri" w:cs="Times New Roman"/>
      <w:bCs/>
      <w:kern w:val="2"/>
      <w:szCs w:val="22"/>
    </w:rPr>
  </w:style>
  <w:style w:type="paragraph" w:customStyle="1" w:styleId="3331">
    <w:name w:val="3331"/>
    <w:basedOn w:val="3690"/>
    <w:uiPriority w:val="34"/>
    <w:qFormat/>
    <w:pPr>
      <w:widowControl w:val="0"/>
      <w:ind w:firstLineChars="200" w:firstLine="420"/>
      <w:jc w:val="both"/>
    </w:pPr>
    <w:rPr>
      <w:rFonts w:ascii="Calibri" w:hAnsi="Calibri" w:cs="Times New Roman"/>
      <w:bCs/>
      <w:kern w:val="2"/>
      <w:szCs w:val="22"/>
    </w:rPr>
  </w:style>
  <w:style w:type="paragraph" w:customStyle="1" w:styleId="3330">
    <w:name w:val="3330"/>
    <w:basedOn w:val="3690"/>
    <w:uiPriority w:val="34"/>
    <w:qFormat/>
    <w:pPr>
      <w:widowControl w:val="0"/>
      <w:ind w:firstLineChars="200" w:firstLine="420"/>
      <w:jc w:val="both"/>
    </w:pPr>
    <w:rPr>
      <w:rFonts w:ascii="Calibri" w:hAnsi="Calibri" w:cs="Times New Roman"/>
      <w:bCs/>
      <w:kern w:val="2"/>
      <w:szCs w:val="22"/>
    </w:rPr>
  </w:style>
  <w:style w:type="paragraph" w:customStyle="1" w:styleId="3329">
    <w:name w:val="3329"/>
    <w:basedOn w:val="3690"/>
    <w:uiPriority w:val="34"/>
    <w:qFormat/>
    <w:pPr>
      <w:widowControl w:val="0"/>
      <w:ind w:firstLineChars="200" w:firstLine="420"/>
      <w:jc w:val="both"/>
    </w:pPr>
    <w:rPr>
      <w:rFonts w:ascii="Calibri" w:hAnsi="Calibri" w:cs="Times New Roman"/>
      <w:bCs/>
      <w:kern w:val="2"/>
      <w:szCs w:val="22"/>
    </w:rPr>
  </w:style>
  <w:style w:type="paragraph" w:customStyle="1" w:styleId="3328">
    <w:name w:val="3328"/>
    <w:basedOn w:val="3690"/>
    <w:uiPriority w:val="34"/>
    <w:qFormat/>
    <w:pPr>
      <w:widowControl w:val="0"/>
      <w:ind w:firstLineChars="200" w:firstLine="420"/>
      <w:jc w:val="both"/>
    </w:pPr>
    <w:rPr>
      <w:rFonts w:ascii="Calibri" w:hAnsi="Calibri" w:cs="Times New Roman"/>
      <w:bCs/>
      <w:kern w:val="2"/>
      <w:szCs w:val="22"/>
    </w:rPr>
  </w:style>
  <w:style w:type="paragraph" w:customStyle="1" w:styleId="3327">
    <w:name w:val="3327"/>
    <w:uiPriority w:val="99"/>
    <w:qFormat/>
    <w:rPr>
      <w:kern w:val="2"/>
      <w:sz w:val="21"/>
      <w:szCs w:val="24"/>
    </w:rPr>
  </w:style>
  <w:style w:type="paragraph" w:customStyle="1" w:styleId="3325">
    <w:name w:val="3325"/>
    <w:uiPriority w:val="99"/>
    <w:qFormat/>
    <w:rPr>
      <w:sz w:val="21"/>
      <w:szCs w:val="24"/>
    </w:rPr>
  </w:style>
  <w:style w:type="paragraph" w:customStyle="1" w:styleId="3323">
    <w:name w:val="3323"/>
    <w:uiPriority w:val="99"/>
    <w:qFormat/>
    <w:rPr>
      <w:kern w:val="2"/>
      <w:sz w:val="21"/>
      <w:szCs w:val="24"/>
    </w:rPr>
  </w:style>
  <w:style w:type="paragraph" w:customStyle="1" w:styleId="3322">
    <w:name w:val="3322"/>
    <w:uiPriority w:val="99"/>
    <w:qFormat/>
    <w:rPr>
      <w:kern w:val="2"/>
      <w:sz w:val="21"/>
      <w:szCs w:val="24"/>
    </w:rPr>
  </w:style>
  <w:style w:type="paragraph" w:customStyle="1" w:styleId="3321">
    <w:name w:val="3321"/>
    <w:basedOn w:val="3690"/>
    <w:uiPriority w:val="99"/>
    <w:qFormat/>
    <w:pPr>
      <w:widowControl w:val="0"/>
      <w:jc w:val="both"/>
    </w:pPr>
    <w:rPr>
      <w:rFonts w:ascii="Calibri" w:hAnsi="Calibri" w:cs="Times New Roman"/>
      <w:bCs/>
      <w:kern w:val="2"/>
      <w:sz w:val="18"/>
      <w:szCs w:val="18"/>
    </w:rPr>
  </w:style>
  <w:style w:type="paragraph" w:customStyle="1" w:styleId="3320">
    <w:name w:val="3320"/>
    <w:basedOn w:val="3690"/>
    <w:next w:val="a"/>
    <w:uiPriority w:val="99"/>
    <w:qFormat/>
    <w:pPr>
      <w:widowControl w:val="0"/>
      <w:ind w:leftChars="2500" w:left="100"/>
      <w:jc w:val="both"/>
    </w:pPr>
    <w:rPr>
      <w:rFonts w:ascii="Times New Roman" w:hAnsi="Times New Roman" w:cs="Times New Roman"/>
      <w:bCs/>
      <w:kern w:val="2"/>
    </w:rPr>
  </w:style>
  <w:style w:type="paragraph" w:customStyle="1" w:styleId="3316">
    <w:name w:val="3316"/>
    <w:uiPriority w:val="99"/>
    <w:qFormat/>
    <w:rPr>
      <w:kern w:val="2"/>
      <w:sz w:val="21"/>
      <w:szCs w:val="24"/>
    </w:rPr>
  </w:style>
  <w:style w:type="paragraph" w:customStyle="1" w:styleId="3314">
    <w:name w:val="3314"/>
    <w:basedOn w:val="3690"/>
    <w:next w:val="a"/>
    <w:uiPriority w:val="99"/>
    <w:qFormat/>
    <w:pPr>
      <w:keepNext/>
      <w:keepLines/>
      <w:widowControl w:val="0"/>
      <w:spacing w:before="60" w:after="60" w:line="360" w:lineRule="auto"/>
      <w:jc w:val="center"/>
      <w:outlineLvl w:val="0"/>
    </w:pPr>
    <w:rPr>
      <w:rFonts w:ascii="Calibri" w:eastAsia="黑体" w:hAnsi="Calibri" w:cs="Times New Roman"/>
      <w:b/>
      <w:kern w:val="44"/>
      <w:sz w:val="28"/>
      <w:szCs w:val="44"/>
    </w:rPr>
  </w:style>
  <w:style w:type="paragraph" w:customStyle="1" w:styleId="3313">
    <w:name w:val="3313"/>
    <w:basedOn w:val="3690"/>
    <w:next w:val="a"/>
    <w:uiPriority w:val="9"/>
    <w:qFormat/>
    <w:pPr>
      <w:keepNext/>
      <w:keepLines/>
      <w:widowControl w:val="0"/>
      <w:spacing w:before="60" w:after="60"/>
      <w:jc w:val="both"/>
      <w:outlineLvl w:val="2"/>
    </w:pPr>
    <w:rPr>
      <w:rFonts w:ascii="Calibri" w:hAnsi="Calibri" w:cs="Times New Roman"/>
      <w:b/>
      <w:kern w:val="2"/>
      <w:szCs w:val="32"/>
    </w:rPr>
  </w:style>
  <w:style w:type="paragraph" w:customStyle="1" w:styleId="3312">
    <w:name w:val="3312"/>
    <w:basedOn w:val="3690"/>
    <w:next w:val="a"/>
    <w:uiPriority w:val="9"/>
    <w:qFormat/>
    <w:pPr>
      <w:keepNext/>
      <w:keepLines/>
      <w:widowControl w:val="0"/>
      <w:spacing w:before="60" w:after="60"/>
      <w:jc w:val="both"/>
      <w:outlineLvl w:val="3"/>
    </w:pPr>
    <w:rPr>
      <w:rFonts w:ascii="Cambria" w:hAnsi="Cambria" w:cs="Times New Roman"/>
      <w:b/>
      <w:kern w:val="2"/>
      <w:szCs w:val="28"/>
    </w:rPr>
  </w:style>
  <w:style w:type="paragraph" w:customStyle="1" w:styleId="3311">
    <w:name w:val="3311"/>
    <w:basedOn w:val="3690"/>
    <w:next w:val="a"/>
    <w:uiPriority w:val="9"/>
    <w:qFormat/>
    <w:pPr>
      <w:keepNext/>
      <w:keepLines/>
      <w:widowControl w:val="0"/>
      <w:spacing w:before="60" w:after="60"/>
      <w:jc w:val="both"/>
      <w:outlineLvl w:val="4"/>
    </w:pPr>
    <w:rPr>
      <w:rFonts w:ascii="Calibri" w:hAnsi="Calibri" w:cs="Times New Roman"/>
      <w:b/>
      <w:kern w:val="2"/>
      <w:szCs w:val="28"/>
    </w:rPr>
  </w:style>
  <w:style w:type="paragraph" w:customStyle="1" w:styleId="3310">
    <w:name w:val="3310"/>
    <w:basedOn w:val="3690"/>
    <w:next w:val="a"/>
    <w:uiPriority w:val="9"/>
    <w:qFormat/>
    <w:pPr>
      <w:keepNext/>
      <w:keepLines/>
      <w:spacing w:before="60" w:after="60"/>
      <w:outlineLvl w:val="5"/>
    </w:pPr>
    <w:rPr>
      <w:rFonts w:ascii="Cambria" w:hAnsi="Cambria" w:cs="Times New Roman"/>
      <w:b/>
    </w:rPr>
  </w:style>
  <w:style w:type="paragraph" w:customStyle="1" w:styleId="3309">
    <w:name w:val="3309"/>
    <w:basedOn w:val="3690"/>
    <w:next w:val="a"/>
    <w:uiPriority w:val="9"/>
    <w:qFormat/>
    <w:pPr>
      <w:keepNext/>
      <w:keepLines/>
      <w:spacing w:before="240" w:after="64" w:line="319" w:lineRule="auto"/>
      <w:outlineLvl w:val="6"/>
    </w:pPr>
    <w:rPr>
      <w:b/>
      <w:sz w:val="24"/>
    </w:rPr>
  </w:style>
  <w:style w:type="paragraph" w:customStyle="1" w:styleId="3303">
    <w:name w:val="3303"/>
    <w:basedOn w:val="3690"/>
    <w:next w:val="a"/>
    <w:uiPriority w:val="39"/>
    <w:qFormat/>
    <w:pPr>
      <w:widowControl w:val="0"/>
      <w:tabs>
        <w:tab w:val="left" w:pos="1260"/>
        <w:tab w:val="right" w:leader="dot" w:pos="8823"/>
      </w:tabs>
      <w:jc w:val="center"/>
    </w:pPr>
    <w:rPr>
      <w:rFonts w:ascii="Times New Roman" w:hAnsi="Times New Roman" w:cs="Times New Roman"/>
      <w:kern w:val="2"/>
    </w:rPr>
  </w:style>
  <w:style w:type="paragraph" w:customStyle="1" w:styleId="3302">
    <w:name w:val="3302"/>
    <w:basedOn w:val="3690"/>
    <w:next w:val="a"/>
    <w:uiPriority w:val="39"/>
    <w:qFormat/>
    <w:pPr>
      <w:widowControl w:val="0"/>
      <w:ind w:leftChars="200" w:left="420"/>
      <w:jc w:val="both"/>
    </w:pPr>
    <w:rPr>
      <w:rFonts w:ascii="Times New Roman" w:hAnsi="Times New Roman" w:cs="Times New Roman"/>
      <w:kern w:val="2"/>
    </w:rPr>
  </w:style>
  <w:style w:type="paragraph" w:customStyle="1" w:styleId="3300">
    <w:name w:val="3300"/>
    <w:basedOn w:val="3690"/>
    <w:uiPriority w:val="99"/>
    <w:qFormat/>
    <w:pPr>
      <w:widowControl w:val="0"/>
      <w:jc w:val="both"/>
    </w:pPr>
    <w:rPr>
      <w:rFonts w:ascii="Calibri" w:hAnsi="Calibri" w:cs="Times New Roman"/>
      <w:kern w:val="2"/>
      <w:sz w:val="18"/>
      <w:szCs w:val="18"/>
    </w:rPr>
  </w:style>
  <w:style w:type="paragraph" w:customStyle="1" w:styleId="3297">
    <w:name w:val="3297"/>
    <w:basedOn w:val="3690"/>
    <w:uiPriority w:val="34"/>
    <w:qFormat/>
    <w:pPr>
      <w:widowControl w:val="0"/>
      <w:ind w:firstLineChars="200" w:firstLine="420"/>
      <w:jc w:val="both"/>
    </w:pPr>
    <w:rPr>
      <w:rFonts w:ascii="Calibri" w:hAnsi="Calibri" w:cs="Times New Roman"/>
      <w:kern w:val="2"/>
      <w:szCs w:val="22"/>
    </w:rPr>
  </w:style>
  <w:style w:type="paragraph" w:customStyle="1" w:styleId="3295">
    <w:name w:val="3295"/>
    <w:basedOn w:val="3690"/>
    <w:next w:val="a"/>
    <w:uiPriority w:val="39"/>
    <w:qFormat/>
    <w:pPr>
      <w:spacing w:after="100" w:line="276" w:lineRule="auto"/>
      <w:ind w:left="440"/>
    </w:pPr>
    <w:rPr>
      <w:rFonts w:ascii="Calibri" w:hAnsi="Calibri" w:cs="Times New Roman"/>
      <w:sz w:val="22"/>
      <w:szCs w:val="22"/>
    </w:rPr>
  </w:style>
  <w:style w:type="paragraph" w:customStyle="1" w:styleId="3293">
    <w:name w:val="3293"/>
    <w:basedOn w:val="3690"/>
    <w:uiPriority w:val="99"/>
    <w:qFormat/>
    <w:pPr>
      <w:widowControl w:val="0"/>
      <w:tabs>
        <w:tab w:val="center" w:pos="4153"/>
        <w:tab w:val="right" w:pos="8306"/>
      </w:tabs>
      <w:snapToGrid w:val="0"/>
    </w:pPr>
    <w:rPr>
      <w:rFonts w:ascii="Calibri" w:hAnsi="Calibri" w:cs="Times New Roman"/>
      <w:kern w:val="2"/>
      <w:sz w:val="18"/>
      <w:szCs w:val="18"/>
    </w:rPr>
  </w:style>
  <w:style w:type="paragraph" w:customStyle="1" w:styleId="3291">
    <w:name w:val="3291"/>
    <w:basedOn w:val="3690"/>
    <w:uiPriority w:val="99"/>
    <w:qFormat/>
    <w:pPr>
      <w:widowControl w:val="0"/>
      <w:jc w:val="both"/>
    </w:pPr>
    <w:rPr>
      <w:rFonts w:hAnsi="Courier New" w:cs="Times New Roman"/>
      <w:kern w:val="2"/>
      <w:szCs w:val="20"/>
    </w:rPr>
  </w:style>
  <w:style w:type="paragraph" w:customStyle="1" w:styleId="3289">
    <w:name w:val="3289"/>
    <w:basedOn w:val="3690"/>
    <w:uiPriority w:val="99"/>
    <w:qFormat/>
    <w:pPr>
      <w:widowControl w:val="0"/>
      <w:spacing w:after="120"/>
      <w:jc w:val="both"/>
    </w:pPr>
    <w:rPr>
      <w:rFonts w:ascii="Times New Roman" w:hAnsi="Times New Roman" w:cs="Times New Roman"/>
      <w:kern w:val="2"/>
    </w:rPr>
  </w:style>
  <w:style w:type="paragraph" w:customStyle="1" w:styleId="3287">
    <w:name w:val="3287"/>
    <w:basedOn w:val="3690"/>
    <w:next w:val="a"/>
    <w:uiPriority w:val="99"/>
    <w:qFormat/>
    <w:pPr>
      <w:widowControl w:val="0"/>
      <w:ind w:leftChars="2500" w:left="100"/>
      <w:jc w:val="both"/>
    </w:pPr>
    <w:rPr>
      <w:rFonts w:ascii="Times New Roman" w:hAnsi="Times New Roman" w:cs="Times New Roman"/>
      <w:kern w:val="2"/>
    </w:rPr>
  </w:style>
  <w:style w:type="paragraph" w:customStyle="1" w:styleId="3285">
    <w:name w:val="3285"/>
    <w:basedOn w:val="3690"/>
    <w:next w:val="a"/>
    <w:uiPriority w:val="99"/>
    <w:qFormat/>
    <w:pPr>
      <w:widowControl w:val="0"/>
      <w:jc w:val="center"/>
    </w:pPr>
    <w:rPr>
      <w:rFonts w:ascii="Times New Roman" w:hAnsi="Times New Roman" w:cs="Times New Roman"/>
      <w:kern w:val="2"/>
    </w:rPr>
  </w:style>
  <w:style w:type="paragraph" w:customStyle="1" w:styleId="3283">
    <w:name w:val="3283"/>
    <w:basedOn w:val="3690"/>
    <w:next w:val="a"/>
    <w:uiPriority w:val="99"/>
    <w:semiHidden/>
    <w:qFormat/>
    <w:pPr>
      <w:widowControl w:val="0"/>
      <w:spacing w:before="120"/>
      <w:jc w:val="both"/>
    </w:pPr>
    <w:rPr>
      <w:rFonts w:ascii="Arial" w:hAnsi="Arial" w:cs="Times New Roman"/>
      <w:b/>
      <w:kern w:val="2"/>
    </w:rPr>
  </w:style>
  <w:style w:type="paragraph" w:customStyle="1" w:styleId="3282">
    <w:name w:val="3282"/>
    <w:basedOn w:val="3690"/>
    <w:uiPriority w:val="99"/>
    <w:qFormat/>
    <w:pPr>
      <w:keepNext/>
      <w:keepLines/>
      <w:widowControl w:val="0"/>
      <w:spacing w:before="60" w:after="60"/>
      <w:ind w:hangingChars="200" w:hanging="420"/>
      <w:jc w:val="both"/>
      <w:outlineLvl w:val="4"/>
    </w:pPr>
    <w:rPr>
      <w:rFonts w:cs="Times New Roman"/>
      <w:b/>
      <w:kern w:val="2"/>
    </w:rPr>
  </w:style>
  <w:style w:type="paragraph" w:customStyle="1" w:styleId="3281">
    <w:name w:val="3281"/>
    <w:uiPriority w:val="99"/>
    <w:semiHidden/>
    <w:qFormat/>
    <w:rPr>
      <w:kern w:val="2"/>
      <w:sz w:val="21"/>
      <w:szCs w:val="22"/>
    </w:rPr>
  </w:style>
  <w:style w:type="paragraph" w:customStyle="1" w:styleId="3279">
    <w:name w:val="3279"/>
    <w:basedOn w:val="3690"/>
    <w:uiPriority w:val="99"/>
    <w:qFormat/>
    <w:pPr>
      <w:widowControl w:val="0"/>
      <w:spacing w:before="100" w:after="100"/>
      <w:jc w:val="both"/>
    </w:pPr>
    <w:rPr>
      <w:rFonts w:ascii="Calibri" w:hAnsi="Calibri" w:cs="Times New Roman"/>
      <w:kern w:val="2"/>
    </w:rPr>
  </w:style>
  <w:style w:type="paragraph" w:customStyle="1" w:styleId="3278">
    <w:name w:val="3278"/>
    <w:basedOn w:val="3690"/>
    <w:uiPriority w:val="99"/>
    <w:semiHidden/>
    <w:qFormat/>
    <w:pPr>
      <w:widowControl w:val="0"/>
      <w:jc w:val="both"/>
    </w:pPr>
    <w:rPr>
      <w:rFonts w:hAnsi="Calibri" w:cs="Times New Roman"/>
      <w:kern w:val="2"/>
      <w:sz w:val="18"/>
      <w:szCs w:val="18"/>
    </w:rPr>
  </w:style>
  <w:style w:type="paragraph" w:customStyle="1" w:styleId="3275">
    <w:name w:val="3275"/>
    <w:basedOn w:val="3690"/>
    <w:next w:val="a"/>
    <w:uiPriority w:val="10"/>
    <w:qFormat/>
    <w:pPr>
      <w:widowControl w:val="0"/>
      <w:spacing w:before="240" w:after="60"/>
      <w:jc w:val="center"/>
      <w:outlineLvl w:val="0"/>
    </w:pPr>
    <w:rPr>
      <w:rFonts w:ascii="Cambria" w:hAnsi="Cambria" w:cs="Times New Roman"/>
      <w:b/>
      <w:kern w:val="2"/>
      <w:sz w:val="32"/>
      <w:szCs w:val="32"/>
    </w:rPr>
  </w:style>
  <w:style w:type="paragraph" w:customStyle="1" w:styleId="3273">
    <w:name w:val="3273"/>
    <w:uiPriority w:val="1"/>
    <w:qFormat/>
    <w:pPr>
      <w:widowControl w:val="0"/>
      <w:jc w:val="both"/>
    </w:pPr>
    <w:rPr>
      <w:kern w:val="2"/>
      <w:sz w:val="21"/>
      <w:szCs w:val="22"/>
    </w:rPr>
  </w:style>
  <w:style w:type="paragraph" w:customStyle="1" w:styleId="3272">
    <w:name w:val="3272"/>
    <w:basedOn w:val="3690"/>
    <w:next w:val="a"/>
    <w:uiPriority w:val="39"/>
    <w:qFormat/>
    <w:pPr>
      <w:widowControl w:val="0"/>
      <w:ind w:leftChars="600" w:left="1260"/>
      <w:jc w:val="both"/>
    </w:pPr>
    <w:rPr>
      <w:rFonts w:ascii="Calibri" w:hAnsi="Calibri" w:cs="Times New Roman"/>
      <w:kern w:val="2"/>
      <w:szCs w:val="22"/>
    </w:rPr>
  </w:style>
  <w:style w:type="paragraph" w:customStyle="1" w:styleId="3271">
    <w:name w:val="3271"/>
    <w:basedOn w:val="3690"/>
    <w:next w:val="a"/>
    <w:uiPriority w:val="39"/>
    <w:qFormat/>
    <w:pPr>
      <w:widowControl w:val="0"/>
      <w:ind w:leftChars="800" w:left="1680"/>
      <w:jc w:val="both"/>
    </w:pPr>
    <w:rPr>
      <w:rFonts w:ascii="Calibri" w:hAnsi="Calibri" w:cs="Times New Roman"/>
      <w:kern w:val="2"/>
      <w:szCs w:val="22"/>
    </w:rPr>
  </w:style>
  <w:style w:type="paragraph" w:customStyle="1" w:styleId="3270">
    <w:name w:val="3270"/>
    <w:basedOn w:val="3690"/>
    <w:next w:val="a"/>
    <w:uiPriority w:val="39"/>
    <w:qFormat/>
    <w:pPr>
      <w:widowControl w:val="0"/>
      <w:ind w:leftChars="1000" w:left="2100"/>
      <w:jc w:val="both"/>
    </w:pPr>
    <w:rPr>
      <w:rFonts w:ascii="Calibri" w:hAnsi="Calibri" w:cs="Times New Roman"/>
      <w:kern w:val="2"/>
      <w:szCs w:val="22"/>
    </w:rPr>
  </w:style>
  <w:style w:type="paragraph" w:customStyle="1" w:styleId="3269">
    <w:name w:val="3269"/>
    <w:basedOn w:val="3690"/>
    <w:next w:val="a"/>
    <w:uiPriority w:val="39"/>
    <w:qFormat/>
    <w:pPr>
      <w:widowControl w:val="0"/>
      <w:ind w:leftChars="1200" w:left="2520"/>
      <w:jc w:val="both"/>
    </w:pPr>
    <w:rPr>
      <w:rFonts w:ascii="Calibri" w:hAnsi="Calibri" w:cs="Times New Roman"/>
      <w:kern w:val="2"/>
      <w:szCs w:val="22"/>
    </w:rPr>
  </w:style>
  <w:style w:type="paragraph" w:customStyle="1" w:styleId="3268">
    <w:name w:val="3268"/>
    <w:basedOn w:val="3690"/>
    <w:next w:val="a"/>
    <w:uiPriority w:val="39"/>
    <w:qFormat/>
    <w:pPr>
      <w:widowControl w:val="0"/>
      <w:ind w:leftChars="1400" w:left="2940"/>
      <w:jc w:val="both"/>
    </w:pPr>
    <w:rPr>
      <w:rFonts w:ascii="Calibri" w:hAnsi="Calibri" w:cs="Times New Roman"/>
      <w:kern w:val="2"/>
      <w:szCs w:val="22"/>
    </w:rPr>
  </w:style>
  <w:style w:type="paragraph" w:customStyle="1" w:styleId="3267">
    <w:name w:val="3267"/>
    <w:basedOn w:val="3690"/>
    <w:next w:val="a"/>
    <w:uiPriority w:val="39"/>
    <w:qFormat/>
    <w:pPr>
      <w:widowControl w:val="0"/>
      <w:ind w:leftChars="1600" w:left="3360"/>
      <w:jc w:val="both"/>
    </w:pPr>
    <w:rPr>
      <w:rFonts w:ascii="Calibri" w:hAnsi="Calibri" w:cs="Times New Roman"/>
      <w:kern w:val="2"/>
      <w:szCs w:val="22"/>
    </w:rPr>
  </w:style>
  <w:style w:type="paragraph" w:customStyle="1" w:styleId="3265">
    <w:name w:val="3265"/>
    <w:basedOn w:val="3690"/>
    <w:uiPriority w:val="99"/>
    <w:qFormat/>
    <w:pPr>
      <w:spacing w:before="100" w:beforeAutospacing="1" w:after="100" w:afterAutospacing="1"/>
    </w:pPr>
    <w:rPr>
      <w:sz w:val="24"/>
    </w:rPr>
  </w:style>
  <w:style w:type="paragraph" w:customStyle="1" w:styleId="3264">
    <w:name w:val="3264"/>
    <w:basedOn w:val="3690"/>
    <w:uiPriority w:val="99"/>
    <w:semiHidden/>
    <w:qFormat/>
    <w:pPr>
      <w:snapToGrid w:val="0"/>
    </w:pPr>
  </w:style>
  <w:style w:type="paragraph" w:customStyle="1" w:styleId="3258">
    <w:name w:val="3258"/>
    <w:basedOn w:val="3690"/>
    <w:uiPriority w:val="99"/>
    <w:qFormat/>
    <w:pPr>
      <w:widowControl w:val="0"/>
      <w:ind w:firstLineChars="200" w:firstLine="420"/>
      <w:jc w:val="both"/>
    </w:pPr>
    <w:rPr>
      <w:rFonts w:ascii="Times New Roman" w:hAnsi="Times New Roman" w:cs="Times New Roman"/>
      <w:kern w:val="2"/>
    </w:rPr>
  </w:style>
  <w:style w:type="paragraph" w:customStyle="1" w:styleId="3257">
    <w:name w:val="3257"/>
    <w:basedOn w:val="3690"/>
    <w:uiPriority w:val="99"/>
    <w:qFormat/>
    <w:pPr>
      <w:widowControl w:val="0"/>
      <w:tabs>
        <w:tab w:val="left" w:pos="1200"/>
      </w:tabs>
      <w:jc w:val="both"/>
    </w:pPr>
    <w:rPr>
      <w:rFonts w:ascii="Times New Roman" w:hAnsi="Times New Roman" w:cs="Times New Roman"/>
      <w:kern w:val="2"/>
    </w:rPr>
  </w:style>
  <w:style w:type="paragraph" w:customStyle="1" w:styleId="3256">
    <w:name w:val="3256"/>
    <w:basedOn w:val="3690"/>
    <w:uiPriority w:val="34"/>
    <w:qFormat/>
    <w:pPr>
      <w:widowControl w:val="0"/>
      <w:ind w:firstLineChars="200" w:firstLine="420"/>
      <w:jc w:val="both"/>
    </w:pPr>
    <w:rPr>
      <w:rFonts w:ascii="Calibri" w:hAnsi="Calibri" w:cs="Times New Roman"/>
      <w:kern w:val="2"/>
      <w:szCs w:val="22"/>
    </w:rPr>
  </w:style>
  <w:style w:type="paragraph" w:customStyle="1" w:styleId="3255">
    <w:name w:val="3255"/>
    <w:basedOn w:val="3690"/>
    <w:uiPriority w:val="34"/>
    <w:qFormat/>
    <w:pPr>
      <w:widowControl w:val="0"/>
      <w:ind w:firstLineChars="200" w:firstLine="420"/>
      <w:jc w:val="both"/>
    </w:pPr>
    <w:rPr>
      <w:rFonts w:ascii="Calibri" w:hAnsi="Calibri" w:cs="Times New Roman"/>
      <w:kern w:val="2"/>
      <w:szCs w:val="22"/>
    </w:rPr>
  </w:style>
  <w:style w:type="paragraph" w:customStyle="1" w:styleId="3254">
    <w:name w:val="3254"/>
    <w:basedOn w:val="3690"/>
    <w:uiPriority w:val="34"/>
    <w:qFormat/>
    <w:pPr>
      <w:widowControl w:val="0"/>
      <w:ind w:firstLineChars="200" w:firstLine="420"/>
      <w:jc w:val="both"/>
    </w:pPr>
    <w:rPr>
      <w:rFonts w:ascii="Calibri" w:hAnsi="Calibri" w:cs="Times New Roman"/>
      <w:kern w:val="2"/>
      <w:szCs w:val="22"/>
    </w:rPr>
  </w:style>
  <w:style w:type="paragraph" w:customStyle="1" w:styleId="3253">
    <w:name w:val="3253"/>
    <w:basedOn w:val="3690"/>
    <w:uiPriority w:val="34"/>
    <w:qFormat/>
    <w:pPr>
      <w:widowControl w:val="0"/>
      <w:ind w:firstLineChars="200" w:firstLine="420"/>
      <w:jc w:val="both"/>
    </w:pPr>
    <w:rPr>
      <w:rFonts w:ascii="Calibri" w:hAnsi="Calibri" w:cs="Times New Roman"/>
      <w:kern w:val="2"/>
      <w:szCs w:val="22"/>
    </w:rPr>
  </w:style>
  <w:style w:type="paragraph" w:customStyle="1" w:styleId="3251">
    <w:name w:val="3251"/>
    <w:basedOn w:val="3690"/>
    <w:uiPriority w:val="34"/>
    <w:qFormat/>
    <w:pPr>
      <w:widowControl w:val="0"/>
      <w:ind w:firstLineChars="200" w:firstLine="420"/>
      <w:jc w:val="both"/>
    </w:pPr>
    <w:rPr>
      <w:rFonts w:ascii="Calibri" w:hAnsi="Calibri" w:cs="Times New Roman"/>
      <w:kern w:val="2"/>
      <w:szCs w:val="22"/>
    </w:rPr>
  </w:style>
  <w:style w:type="paragraph" w:customStyle="1" w:styleId="3249">
    <w:name w:val="3249"/>
    <w:basedOn w:val="3690"/>
    <w:uiPriority w:val="34"/>
    <w:qFormat/>
    <w:pPr>
      <w:widowControl w:val="0"/>
      <w:ind w:firstLineChars="200" w:firstLine="420"/>
      <w:jc w:val="both"/>
    </w:pPr>
    <w:rPr>
      <w:rFonts w:ascii="Calibri" w:hAnsi="Calibri" w:cs="Times New Roman"/>
      <w:kern w:val="2"/>
      <w:szCs w:val="22"/>
    </w:rPr>
  </w:style>
  <w:style w:type="paragraph" w:customStyle="1" w:styleId="3247">
    <w:name w:val="3247"/>
    <w:uiPriority w:val="99"/>
    <w:qFormat/>
    <w:rPr>
      <w:sz w:val="21"/>
      <w:szCs w:val="24"/>
    </w:rPr>
  </w:style>
  <w:style w:type="paragraph" w:customStyle="1" w:styleId="3246">
    <w:name w:val="3246"/>
    <w:uiPriority w:val="99"/>
    <w:qFormat/>
    <w:pPr>
      <w:widowControl w:val="0"/>
      <w:autoSpaceDE w:val="0"/>
      <w:autoSpaceDN w:val="0"/>
      <w:adjustRightInd w:val="0"/>
    </w:pPr>
    <w:rPr>
      <w:rFonts w:ascii="黑体" w:eastAsia="黑体" w:cs="黑体"/>
      <w:color w:val="000000"/>
      <w:sz w:val="24"/>
      <w:szCs w:val="24"/>
    </w:rPr>
  </w:style>
  <w:style w:type="paragraph" w:customStyle="1" w:styleId="3245">
    <w:name w:val="3245"/>
    <w:uiPriority w:val="99"/>
    <w:qFormat/>
    <w:pPr>
      <w:snapToGrid w:val="0"/>
      <w:jc w:val="center"/>
    </w:pPr>
    <w:rPr>
      <w:color w:val="000000"/>
      <w:spacing w:val="-10"/>
      <w:sz w:val="22"/>
      <w:szCs w:val="22"/>
      <w:lang w:eastAsia="en-US"/>
    </w:rPr>
  </w:style>
  <w:style w:type="paragraph" w:customStyle="1" w:styleId="3242">
    <w:name w:val="3242"/>
    <w:uiPriority w:val="99"/>
    <w:qFormat/>
    <w:pPr>
      <w:snapToGrid w:val="0"/>
      <w:jc w:val="center"/>
    </w:pPr>
    <w:rPr>
      <w:rFonts w:ascii="Calibri" w:hAnsi="Calibri"/>
      <w:color w:val="000000"/>
      <w:spacing w:val="-10"/>
      <w:sz w:val="22"/>
      <w:szCs w:val="22"/>
      <w:lang w:eastAsia="en-US"/>
    </w:rPr>
  </w:style>
  <w:style w:type="paragraph" w:customStyle="1" w:styleId="3241">
    <w:name w:val="3241"/>
    <w:basedOn w:val="3439"/>
    <w:next w:val="a"/>
    <w:uiPriority w:val="39"/>
    <w:qFormat/>
    <w:pPr>
      <w:widowControl/>
      <w:spacing w:before="480" w:after="0" w:line="276" w:lineRule="auto"/>
      <w:outlineLvl w:val="9"/>
    </w:pPr>
    <w:rPr>
      <w:rFonts w:ascii="Cambria" w:eastAsia="宋体" w:hAnsi="Cambria"/>
      <w:color w:val="365F91"/>
      <w:kern w:val="0"/>
      <w:szCs w:val="28"/>
    </w:rPr>
  </w:style>
  <w:style w:type="paragraph" w:customStyle="1" w:styleId="3240">
    <w:name w:val="3240"/>
    <w:uiPriority w:val="99"/>
    <w:semiHidden/>
    <w:qFormat/>
    <w:rPr>
      <w:kern w:val="2"/>
      <w:sz w:val="21"/>
      <w:szCs w:val="22"/>
    </w:rPr>
  </w:style>
  <w:style w:type="paragraph" w:customStyle="1" w:styleId="3239">
    <w:name w:val="3239"/>
    <w:basedOn w:val="3690"/>
    <w:uiPriority w:val="34"/>
    <w:qFormat/>
    <w:pPr>
      <w:widowControl w:val="0"/>
      <w:ind w:firstLineChars="200" w:firstLine="420"/>
      <w:jc w:val="both"/>
    </w:pPr>
    <w:rPr>
      <w:rFonts w:ascii="Calibri" w:hAnsi="Calibri" w:cs="Times New Roman"/>
      <w:kern w:val="2"/>
      <w:szCs w:val="22"/>
    </w:rPr>
  </w:style>
  <w:style w:type="paragraph" w:customStyle="1" w:styleId="3238">
    <w:name w:val="3238"/>
    <w:basedOn w:val="3690"/>
    <w:uiPriority w:val="34"/>
    <w:qFormat/>
    <w:pPr>
      <w:widowControl w:val="0"/>
      <w:ind w:firstLineChars="200" w:firstLine="420"/>
      <w:jc w:val="both"/>
    </w:pPr>
    <w:rPr>
      <w:rFonts w:ascii="Calibri" w:hAnsi="Calibri" w:cs="Times New Roman"/>
      <w:kern w:val="2"/>
      <w:szCs w:val="22"/>
    </w:rPr>
  </w:style>
  <w:style w:type="paragraph" w:customStyle="1" w:styleId="3237">
    <w:name w:val="3237"/>
    <w:uiPriority w:val="99"/>
    <w:qFormat/>
    <w:rPr>
      <w:sz w:val="21"/>
      <w:szCs w:val="21"/>
    </w:rPr>
  </w:style>
  <w:style w:type="paragraph" w:customStyle="1" w:styleId="3236">
    <w:name w:val="3236"/>
    <w:basedOn w:val="3237"/>
    <w:uiPriority w:val="99"/>
    <w:qFormat/>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3235">
    <w:name w:val="3235"/>
    <w:basedOn w:val="3237"/>
    <w:uiPriority w:val="99"/>
    <w:semiHidden/>
    <w:qFormat/>
    <w:pPr>
      <w:keepNext/>
      <w:keepLines/>
      <w:widowControl w:val="0"/>
      <w:spacing w:before="60" w:after="60"/>
      <w:ind w:left="200" w:hangingChars="200" w:hanging="200"/>
      <w:jc w:val="both"/>
      <w:outlineLvl w:val="1"/>
    </w:pPr>
    <w:rPr>
      <w:rFonts w:ascii="Arial" w:hAnsi="Arial" w:cs="Times New Roman"/>
      <w:b/>
      <w:bCs/>
      <w:kern w:val="2"/>
    </w:rPr>
  </w:style>
  <w:style w:type="paragraph" w:customStyle="1" w:styleId="3234">
    <w:name w:val="3234"/>
    <w:basedOn w:val="3237"/>
    <w:uiPriority w:val="99"/>
    <w:semiHidden/>
    <w:qFormat/>
    <w:pPr>
      <w:keepNext/>
      <w:keepLines/>
      <w:widowControl w:val="0"/>
      <w:spacing w:before="60" w:after="60"/>
      <w:jc w:val="both"/>
      <w:outlineLvl w:val="2"/>
    </w:pPr>
    <w:rPr>
      <w:rFonts w:ascii="Calibri" w:hAnsi="Calibri" w:cs="Times New Roman"/>
      <w:b/>
      <w:bCs/>
      <w:kern w:val="2"/>
      <w:szCs w:val="32"/>
    </w:rPr>
  </w:style>
  <w:style w:type="paragraph" w:customStyle="1" w:styleId="3233">
    <w:name w:val="3233"/>
    <w:basedOn w:val="3237"/>
    <w:uiPriority w:val="99"/>
    <w:semiHidden/>
    <w:qFormat/>
    <w:pPr>
      <w:keepNext/>
      <w:keepLines/>
      <w:widowControl w:val="0"/>
      <w:spacing w:before="60" w:after="60"/>
      <w:jc w:val="both"/>
      <w:outlineLvl w:val="3"/>
    </w:pPr>
    <w:rPr>
      <w:rFonts w:ascii="Cambria" w:hAnsi="Cambria" w:cs="Times New Roman"/>
      <w:b/>
      <w:bCs/>
      <w:kern w:val="2"/>
      <w:szCs w:val="28"/>
    </w:rPr>
  </w:style>
  <w:style w:type="paragraph" w:customStyle="1" w:styleId="3232">
    <w:name w:val="3232"/>
    <w:basedOn w:val="3237"/>
    <w:uiPriority w:val="99"/>
    <w:semiHidden/>
    <w:qFormat/>
    <w:pPr>
      <w:keepNext/>
      <w:keepLines/>
      <w:widowControl w:val="0"/>
      <w:spacing w:before="60" w:after="60"/>
      <w:jc w:val="both"/>
      <w:outlineLvl w:val="4"/>
    </w:pPr>
    <w:rPr>
      <w:rFonts w:ascii="Calibri" w:hAnsi="Calibri" w:cs="Times New Roman"/>
      <w:b/>
      <w:bCs/>
      <w:kern w:val="2"/>
      <w:szCs w:val="28"/>
    </w:rPr>
  </w:style>
  <w:style w:type="paragraph" w:customStyle="1" w:styleId="3231">
    <w:name w:val="3231"/>
    <w:basedOn w:val="3237"/>
    <w:uiPriority w:val="99"/>
    <w:semiHidden/>
    <w:qFormat/>
    <w:pPr>
      <w:keepNext/>
      <w:keepLines/>
      <w:spacing w:before="60" w:after="60"/>
      <w:outlineLvl w:val="5"/>
    </w:pPr>
    <w:rPr>
      <w:rFonts w:ascii="Cambria" w:hAnsi="Cambria" w:cs="Times New Roman"/>
      <w:b/>
      <w:bCs/>
    </w:rPr>
  </w:style>
  <w:style w:type="paragraph" w:customStyle="1" w:styleId="3230">
    <w:name w:val="3230"/>
    <w:basedOn w:val="3237"/>
    <w:uiPriority w:val="99"/>
    <w:semiHidden/>
    <w:qFormat/>
    <w:pPr>
      <w:keepNext/>
      <w:keepLines/>
      <w:spacing w:before="240" w:after="64" w:line="319" w:lineRule="auto"/>
      <w:outlineLvl w:val="6"/>
    </w:pPr>
    <w:rPr>
      <w:b/>
      <w:bCs/>
      <w:sz w:val="24"/>
    </w:rPr>
  </w:style>
  <w:style w:type="paragraph" w:customStyle="1" w:styleId="3229">
    <w:name w:val="3229"/>
    <w:basedOn w:val="3237"/>
    <w:uiPriority w:val="99"/>
    <w:semiHidden/>
    <w:qFormat/>
    <w:pPr>
      <w:keepNext/>
      <w:keepLines/>
      <w:widowControl w:val="0"/>
      <w:adjustRightInd w:val="0"/>
      <w:spacing w:before="240" w:after="64" w:line="320" w:lineRule="atLeast"/>
      <w:outlineLvl w:val="7"/>
    </w:pPr>
    <w:rPr>
      <w:rFonts w:ascii="Arial" w:eastAsia="黑体" w:hAnsi="Arial" w:cs="Times New Roman"/>
      <w:bCs/>
      <w:color w:val="000000"/>
      <w:sz w:val="24"/>
      <w:szCs w:val="20"/>
    </w:rPr>
  </w:style>
  <w:style w:type="paragraph" w:customStyle="1" w:styleId="3228">
    <w:name w:val="3228"/>
    <w:basedOn w:val="3237"/>
    <w:uiPriority w:val="99"/>
    <w:semiHidden/>
    <w:qFormat/>
    <w:pPr>
      <w:keepNext/>
      <w:keepLines/>
      <w:widowControl w:val="0"/>
      <w:adjustRightInd w:val="0"/>
      <w:spacing w:before="240" w:after="64" w:line="320" w:lineRule="atLeast"/>
      <w:outlineLvl w:val="8"/>
    </w:pPr>
    <w:rPr>
      <w:rFonts w:ascii="Arial" w:eastAsia="黑体" w:hAnsi="Arial" w:cs="Times New Roman"/>
      <w:bCs/>
      <w:color w:val="000000"/>
      <w:sz w:val="24"/>
      <w:szCs w:val="20"/>
    </w:rPr>
  </w:style>
  <w:style w:type="paragraph" w:customStyle="1" w:styleId="3226">
    <w:name w:val="3226"/>
    <w:basedOn w:val="3237"/>
    <w:uiPriority w:val="99"/>
    <w:qFormat/>
    <w:pPr>
      <w:widowControl w:val="0"/>
      <w:ind w:leftChars="1200" w:left="2520"/>
      <w:jc w:val="both"/>
    </w:pPr>
    <w:rPr>
      <w:rFonts w:ascii="Calibri" w:hAnsi="Calibri" w:cs="Times New Roman"/>
      <w:kern w:val="2"/>
      <w:szCs w:val="22"/>
    </w:rPr>
  </w:style>
  <w:style w:type="paragraph" w:customStyle="1" w:styleId="3225">
    <w:name w:val="3225"/>
    <w:basedOn w:val="3237"/>
    <w:uiPriority w:val="99"/>
    <w:qFormat/>
    <w:pPr>
      <w:widowControl w:val="0"/>
      <w:jc w:val="center"/>
    </w:pPr>
    <w:rPr>
      <w:rFonts w:ascii="Times New Roman" w:hAnsi="Times New Roman" w:cs="Times New Roman"/>
      <w:kern w:val="2"/>
    </w:rPr>
  </w:style>
  <w:style w:type="paragraph" w:customStyle="1" w:styleId="3224">
    <w:name w:val="3224"/>
    <w:basedOn w:val="3237"/>
    <w:uiPriority w:val="99"/>
    <w:qFormat/>
    <w:pPr>
      <w:widowControl w:val="0"/>
      <w:ind w:firstLineChars="200" w:firstLine="420"/>
      <w:jc w:val="both"/>
    </w:pPr>
    <w:rPr>
      <w:rFonts w:ascii="Times New Roman" w:hAnsi="Times New Roman" w:cs="Times New Roman"/>
      <w:kern w:val="2"/>
    </w:rPr>
  </w:style>
  <w:style w:type="paragraph" w:customStyle="1" w:styleId="3223">
    <w:name w:val="3223"/>
    <w:basedOn w:val="3237"/>
    <w:uiPriority w:val="99"/>
    <w:qFormat/>
    <w:pPr>
      <w:widowControl w:val="0"/>
      <w:jc w:val="both"/>
    </w:pPr>
    <w:rPr>
      <w:rFonts w:hAnsi="Calibri" w:cs="Times New Roman"/>
      <w:kern w:val="2"/>
      <w:sz w:val="18"/>
      <w:szCs w:val="18"/>
    </w:rPr>
  </w:style>
  <w:style w:type="paragraph" w:customStyle="1" w:styleId="3222">
    <w:name w:val="3222"/>
    <w:basedOn w:val="3237"/>
    <w:uiPriority w:val="99"/>
    <w:qFormat/>
    <w:pPr>
      <w:widowControl w:val="0"/>
      <w:spacing w:before="120"/>
      <w:jc w:val="both"/>
    </w:pPr>
    <w:rPr>
      <w:rFonts w:ascii="Arial" w:hAnsi="Arial" w:cs="Times New Roman"/>
      <w:b/>
      <w:bCs/>
      <w:kern w:val="2"/>
    </w:rPr>
  </w:style>
  <w:style w:type="paragraph" w:customStyle="1" w:styleId="3221">
    <w:name w:val="3221"/>
    <w:basedOn w:val="3237"/>
    <w:uiPriority w:val="99"/>
    <w:qFormat/>
    <w:pPr>
      <w:widowControl w:val="0"/>
    </w:pPr>
    <w:rPr>
      <w:rFonts w:ascii="Times New Roman" w:hAnsi="Times New Roman" w:cs="Times New Roman"/>
      <w:kern w:val="2"/>
    </w:rPr>
  </w:style>
  <w:style w:type="paragraph" w:customStyle="1" w:styleId="3220">
    <w:name w:val="3220"/>
    <w:basedOn w:val="3237"/>
    <w:uiPriority w:val="99"/>
    <w:qFormat/>
    <w:pPr>
      <w:widowControl w:val="0"/>
      <w:jc w:val="both"/>
    </w:pPr>
    <w:rPr>
      <w:rFonts w:ascii="Times New Roman" w:hAnsi="Times New Roman" w:cs="Times New Roman"/>
      <w:kern w:val="2"/>
    </w:rPr>
  </w:style>
  <w:style w:type="paragraph" w:customStyle="1" w:styleId="3219">
    <w:name w:val="3219"/>
    <w:basedOn w:val="3237"/>
    <w:uiPriority w:val="99"/>
    <w:qFormat/>
    <w:pPr>
      <w:widowControl w:val="0"/>
      <w:tabs>
        <w:tab w:val="left" w:pos="1200"/>
      </w:tabs>
      <w:jc w:val="both"/>
    </w:pPr>
    <w:rPr>
      <w:rFonts w:ascii="Times New Roman" w:hAnsi="Times New Roman" w:cs="Times New Roman"/>
      <w:kern w:val="2"/>
    </w:rPr>
  </w:style>
  <w:style w:type="paragraph" w:customStyle="1" w:styleId="3218">
    <w:name w:val="3218"/>
    <w:basedOn w:val="3237"/>
    <w:uiPriority w:val="99"/>
    <w:qFormat/>
    <w:pPr>
      <w:widowControl w:val="0"/>
      <w:spacing w:after="120"/>
      <w:jc w:val="both"/>
    </w:pPr>
    <w:rPr>
      <w:rFonts w:ascii="Times New Roman" w:hAnsi="Times New Roman" w:cs="Times New Roman"/>
      <w:kern w:val="2"/>
    </w:rPr>
  </w:style>
  <w:style w:type="paragraph" w:customStyle="1" w:styleId="3217">
    <w:name w:val="3217"/>
    <w:basedOn w:val="3237"/>
    <w:uiPriority w:val="99"/>
    <w:qFormat/>
    <w:pPr>
      <w:widowControl w:val="0"/>
      <w:ind w:leftChars="800" w:left="1680"/>
      <w:jc w:val="both"/>
    </w:pPr>
    <w:rPr>
      <w:rFonts w:ascii="Calibri" w:hAnsi="Calibri" w:cs="Times New Roman"/>
      <w:kern w:val="2"/>
      <w:szCs w:val="22"/>
    </w:rPr>
  </w:style>
  <w:style w:type="paragraph" w:customStyle="1" w:styleId="3216">
    <w:name w:val="3216"/>
    <w:basedOn w:val="3237"/>
    <w:uiPriority w:val="99"/>
    <w:qFormat/>
    <w:pPr>
      <w:spacing w:after="100" w:line="276" w:lineRule="auto"/>
      <w:ind w:left="440"/>
    </w:pPr>
    <w:rPr>
      <w:rFonts w:ascii="Calibri" w:hAnsi="Calibri" w:cs="Times New Roman"/>
      <w:sz w:val="22"/>
      <w:szCs w:val="22"/>
    </w:rPr>
  </w:style>
  <w:style w:type="paragraph" w:customStyle="1" w:styleId="3215">
    <w:name w:val="3215"/>
    <w:basedOn w:val="3237"/>
    <w:uiPriority w:val="99"/>
    <w:qFormat/>
    <w:pPr>
      <w:widowControl w:val="0"/>
      <w:jc w:val="both"/>
    </w:pPr>
    <w:rPr>
      <w:rFonts w:hAnsi="Courier New" w:cs="Times New Roman"/>
      <w:kern w:val="2"/>
      <w:szCs w:val="20"/>
    </w:rPr>
  </w:style>
  <w:style w:type="paragraph" w:customStyle="1" w:styleId="3214">
    <w:name w:val="3214"/>
    <w:basedOn w:val="3237"/>
    <w:uiPriority w:val="99"/>
    <w:qFormat/>
    <w:pPr>
      <w:widowControl w:val="0"/>
      <w:ind w:leftChars="1400" w:left="2940"/>
      <w:jc w:val="both"/>
    </w:pPr>
    <w:rPr>
      <w:rFonts w:ascii="Calibri" w:hAnsi="Calibri" w:cs="Times New Roman"/>
      <w:kern w:val="2"/>
      <w:szCs w:val="22"/>
    </w:rPr>
  </w:style>
  <w:style w:type="paragraph" w:customStyle="1" w:styleId="3213">
    <w:name w:val="3213"/>
    <w:basedOn w:val="3237"/>
    <w:uiPriority w:val="99"/>
    <w:qFormat/>
    <w:pPr>
      <w:widowControl w:val="0"/>
      <w:ind w:leftChars="2500" w:left="100"/>
      <w:jc w:val="both"/>
    </w:pPr>
    <w:rPr>
      <w:rFonts w:ascii="Times New Roman" w:hAnsi="Times New Roman" w:cs="Times New Roman"/>
      <w:kern w:val="2"/>
    </w:rPr>
  </w:style>
  <w:style w:type="paragraph" w:customStyle="1" w:styleId="3212">
    <w:name w:val="3212"/>
    <w:basedOn w:val="3237"/>
    <w:uiPriority w:val="99"/>
    <w:qFormat/>
    <w:pPr>
      <w:snapToGrid w:val="0"/>
    </w:pPr>
  </w:style>
  <w:style w:type="paragraph" w:customStyle="1" w:styleId="3211">
    <w:name w:val="3211"/>
    <w:basedOn w:val="3237"/>
    <w:uiPriority w:val="99"/>
    <w:qFormat/>
    <w:pPr>
      <w:widowControl w:val="0"/>
      <w:jc w:val="both"/>
    </w:pPr>
    <w:rPr>
      <w:rFonts w:ascii="Calibri" w:hAnsi="Calibri" w:cs="Times New Roman"/>
      <w:kern w:val="2"/>
      <w:sz w:val="18"/>
      <w:szCs w:val="18"/>
    </w:rPr>
  </w:style>
  <w:style w:type="paragraph" w:customStyle="1" w:styleId="3210">
    <w:name w:val="3210"/>
    <w:basedOn w:val="3237"/>
    <w:uiPriority w:val="99"/>
    <w:qFormat/>
    <w:pPr>
      <w:widowControl w:val="0"/>
      <w:tabs>
        <w:tab w:val="center" w:pos="4153"/>
        <w:tab w:val="right" w:pos="8306"/>
      </w:tabs>
      <w:snapToGrid w:val="0"/>
    </w:pPr>
    <w:rPr>
      <w:rFonts w:ascii="Calibri" w:hAnsi="Calibri" w:cs="Times New Roman"/>
      <w:kern w:val="2"/>
      <w:sz w:val="18"/>
      <w:szCs w:val="18"/>
    </w:rPr>
  </w:style>
  <w:style w:type="paragraph" w:customStyle="1" w:styleId="3209">
    <w:name w:val="3209"/>
    <w:basedOn w:val="3237"/>
    <w:uiPriority w:val="99"/>
    <w:qFormat/>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3208">
    <w:name w:val="3208"/>
    <w:basedOn w:val="3237"/>
    <w:uiPriority w:val="99"/>
    <w:qFormat/>
    <w:pPr>
      <w:widowControl w:val="0"/>
      <w:tabs>
        <w:tab w:val="left" w:pos="1260"/>
        <w:tab w:val="right" w:leader="dot" w:pos="8823"/>
      </w:tabs>
      <w:jc w:val="center"/>
    </w:pPr>
    <w:rPr>
      <w:rFonts w:ascii="Times New Roman" w:hAnsi="Times New Roman" w:cs="Times New Roman"/>
      <w:kern w:val="2"/>
    </w:rPr>
  </w:style>
  <w:style w:type="paragraph" w:customStyle="1" w:styleId="3207">
    <w:name w:val="3207"/>
    <w:basedOn w:val="3237"/>
    <w:uiPriority w:val="99"/>
    <w:qFormat/>
    <w:pPr>
      <w:widowControl w:val="0"/>
      <w:ind w:leftChars="600" w:left="1260"/>
      <w:jc w:val="both"/>
    </w:pPr>
    <w:rPr>
      <w:rFonts w:ascii="Calibri" w:hAnsi="Calibri" w:cs="Times New Roman"/>
      <w:kern w:val="2"/>
      <w:szCs w:val="22"/>
    </w:rPr>
  </w:style>
  <w:style w:type="paragraph" w:customStyle="1" w:styleId="3206">
    <w:name w:val="3206"/>
    <w:basedOn w:val="3237"/>
    <w:uiPriority w:val="99"/>
    <w:qFormat/>
    <w:pPr>
      <w:widowControl w:val="0"/>
      <w:ind w:leftChars="1000" w:left="2100"/>
      <w:jc w:val="both"/>
    </w:pPr>
    <w:rPr>
      <w:rFonts w:ascii="Calibri" w:hAnsi="Calibri" w:cs="Times New Roman"/>
      <w:kern w:val="2"/>
      <w:szCs w:val="22"/>
    </w:rPr>
  </w:style>
  <w:style w:type="paragraph" w:customStyle="1" w:styleId="3205">
    <w:name w:val="3205"/>
    <w:basedOn w:val="3237"/>
    <w:uiPriority w:val="99"/>
    <w:qFormat/>
    <w:pPr>
      <w:widowControl w:val="0"/>
      <w:ind w:leftChars="200" w:left="420"/>
      <w:jc w:val="both"/>
    </w:pPr>
    <w:rPr>
      <w:rFonts w:ascii="Times New Roman" w:hAnsi="Times New Roman" w:cs="Times New Roman"/>
      <w:kern w:val="2"/>
    </w:rPr>
  </w:style>
  <w:style w:type="paragraph" w:customStyle="1" w:styleId="3204">
    <w:name w:val="3204"/>
    <w:basedOn w:val="3237"/>
    <w:uiPriority w:val="99"/>
    <w:qFormat/>
    <w:pPr>
      <w:widowControl w:val="0"/>
      <w:ind w:leftChars="1600" w:left="3360"/>
      <w:jc w:val="both"/>
    </w:pPr>
    <w:rPr>
      <w:rFonts w:ascii="Calibri" w:hAnsi="Calibri" w:cs="Times New Roman"/>
      <w:kern w:val="2"/>
      <w:szCs w:val="22"/>
    </w:rPr>
  </w:style>
  <w:style w:type="paragraph" w:customStyle="1" w:styleId="3203">
    <w:name w:val="3203"/>
    <w:basedOn w:val="3237"/>
    <w:uiPriority w:val="99"/>
    <w:qFormat/>
    <w:pPr>
      <w:spacing w:before="100" w:beforeAutospacing="1" w:after="100" w:afterAutospacing="1"/>
    </w:pPr>
    <w:rPr>
      <w:sz w:val="24"/>
    </w:rPr>
  </w:style>
  <w:style w:type="paragraph" w:customStyle="1" w:styleId="3202">
    <w:name w:val="3202"/>
    <w:basedOn w:val="3237"/>
    <w:uiPriority w:val="99"/>
    <w:qFormat/>
    <w:pPr>
      <w:ind w:firstLineChars="200" w:firstLine="420"/>
    </w:pPr>
    <w:rPr>
      <w:rFonts w:cs="Times New Roman"/>
      <w:color w:val="000000"/>
    </w:rPr>
  </w:style>
  <w:style w:type="paragraph" w:customStyle="1" w:styleId="3201">
    <w:name w:val="3201"/>
    <w:basedOn w:val="3237"/>
    <w:uiPriority w:val="99"/>
    <w:qFormat/>
    <w:pPr>
      <w:widowControl w:val="0"/>
      <w:spacing w:before="240" w:after="60"/>
      <w:jc w:val="center"/>
      <w:outlineLvl w:val="0"/>
    </w:pPr>
    <w:rPr>
      <w:rFonts w:ascii="Cambria" w:hAnsi="Cambria" w:cs="Times New Roman"/>
      <w:b/>
      <w:bCs/>
      <w:kern w:val="2"/>
      <w:sz w:val="32"/>
      <w:szCs w:val="32"/>
    </w:rPr>
  </w:style>
  <w:style w:type="paragraph" w:customStyle="1" w:styleId="3200">
    <w:name w:val="3200"/>
    <w:basedOn w:val="3221"/>
    <w:uiPriority w:val="99"/>
    <w:qFormat/>
    <w:rPr>
      <w:rFonts w:ascii="Calibri" w:hAnsi="Calibri"/>
      <w:b/>
      <w:bCs/>
      <w:szCs w:val="22"/>
    </w:rPr>
  </w:style>
  <w:style w:type="paragraph" w:customStyle="1" w:styleId="3190">
    <w:name w:val="3190"/>
    <w:basedOn w:val="3236"/>
    <w:uiPriority w:val="39"/>
    <w:qFormat/>
    <w:pPr>
      <w:widowControl/>
      <w:spacing w:before="480" w:after="0" w:line="276" w:lineRule="auto"/>
      <w:outlineLvl w:val="9"/>
    </w:pPr>
    <w:rPr>
      <w:rFonts w:ascii="Cambria" w:eastAsia="宋体" w:hAnsi="Cambria"/>
      <w:color w:val="365F91"/>
      <w:kern w:val="0"/>
      <w:szCs w:val="28"/>
    </w:rPr>
  </w:style>
  <w:style w:type="paragraph" w:customStyle="1" w:styleId="3185">
    <w:name w:val="3185"/>
    <w:basedOn w:val="3237"/>
    <w:uiPriority w:val="99"/>
    <w:qFormat/>
    <w:pPr>
      <w:spacing w:before="100" w:after="100"/>
      <w:jc w:val="right"/>
    </w:pPr>
    <w:rPr>
      <w:rFonts w:ascii="Arial Unicode MS" w:eastAsia="Arial Unicode MS" w:hAnsi="Times New Roman" w:cs="Times New Roman"/>
      <w:sz w:val="18"/>
      <w:szCs w:val="18"/>
    </w:rPr>
  </w:style>
  <w:style w:type="paragraph" w:customStyle="1" w:styleId="3184">
    <w:name w:val="3184"/>
    <w:basedOn w:val="3237"/>
    <w:uiPriority w:val="34"/>
    <w:qFormat/>
    <w:pPr>
      <w:widowControl w:val="0"/>
      <w:ind w:firstLineChars="200" w:firstLine="420"/>
      <w:jc w:val="both"/>
    </w:pPr>
    <w:rPr>
      <w:rFonts w:ascii="Calibri" w:hAnsi="Calibri" w:cs="Times New Roman"/>
      <w:kern w:val="2"/>
      <w:szCs w:val="22"/>
    </w:rPr>
  </w:style>
  <w:style w:type="paragraph" w:customStyle="1" w:styleId="3177">
    <w:name w:val="3177"/>
    <w:basedOn w:val="3237"/>
    <w:uiPriority w:val="99"/>
    <w:qFormat/>
    <w:pPr>
      <w:tabs>
        <w:tab w:val="left" w:pos="709"/>
      </w:tabs>
      <w:overflowPunct w:val="0"/>
      <w:autoSpaceDE w:val="0"/>
      <w:autoSpaceDN w:val="0"/>
      <w:adjustRightInd w:val="0"/>
      <w:jc w:val="both"/>
    </w:pPr>
    <w:rPr>
      <w:rFonts w:ascii="Helvetica-Narrow" w:hAnsi="Helvetica-Narrow" w:cs="Times New Roman"/>
      <w:lang w:val="en-AU"/>
    </w:rPr>
  </w:style>
  <w:style w:type="paragraph" w:customStyle="1" w:styleId="3174">
    <w:name w:val="3174"/>
    <w:uiPriority w:val="99"/>
    <w:qFormat/>
    <w:pPr>
      <w:widowControl w:val="0"/>
      <w:jc w:val="center"/>
    </w:pPr>
    <w:rPr>
      <w:rFonts w:ascii="Times New Roman" w:hAnsi="Times New Roman" w:cs="Times New Roman"/>
      <w:bCs/>
      <w:kern w:val="2"/>
      <w:sz w:val="21"/>
      <w:szCs w:val="21"/>
    </w:rPr>
  </w:style>
  <w:style w:type="paragraph" w:customStyle="1" w:styleId="3173">
    <w:name w:val="3173"/>
    <w:uiPriority w:val="99"/>
    <w:qFormat/>
    <w:rPr>
      <w:sz w:val="21"/>
      <w:szCs w:val="21"/>
    </w:rPr>
  </w:style>
  <w:style w:type="paragraph" w:customStyle="1" w:styleId="3172">
    <w:name w:val="3172"/>
    <w:basedOn w:val="3237"/>
    <w:uiPriority w:val="99"/>
    <w:qFormat/>
    <w:pPr>
      <w:keepNext/>
      <w:keepLines/>
      <w:widowControl w:val="0"/>
      <w:spacing w:before="60" w:after="60"/>
      <w:ind w:hangingChars="200" w:hanging="420"/>
      <w:jc w:val="both"/>
      <w:outlineLvl w:val="4"/>
    </w:pPr>
    <w:rPr>
      <w:rFonts w:cs="Times New Roman"/>
      <w:b/>
      <w:bCs/>
      <w:kern w:val="2"/>
    </w:rPr>
  </w:style>
  <w:style w:type="paragraph" w:customStyle="1" w:styleId="3171">
    <w:name w:val="3171"/>
    <w:uiPriority w:val="99"/>
    <w:semiHidden/>
    <w:qFormat/>
    <w:rPr>
      <w:kern w:val="2"/>
      <w:sz w:val="21"/>
      <w:szCs w:val="22"/>
    </w:rPr>
  </w:style>
  <w:style w:type="paragraph" w:customStyle="1" w:styleId="3169">
    <w:name w:val="3169"/>
    <w:basedOn w:val="3237"/>
    <w:uiPriority w:val="99"/>
    <w:qFormat/>
    <w:pPr>
      <w:widowControl w:val="0"/>
      <w:spacing w:before="100" w:after="100"/>
      <w:jc w:val="both"/>
    </w:pPr>
    <w:rPr>
      <w:rFonts w:ascii="Calibri" w:hAnsi="Calibri" w:cs="Times New Roman"/>
      <w:kern w:val="2"/>
    </w:rPr>
  </w:style>
  <w:style w:type="paragraph" w:customStyle="1" w:styleId="3165">
    <w:name w:val="3165"/>
    <w:uiPriority w:val="1"/>
    <w:qFormat/>
    <w:pPr>
      <w:widowControl w:val="0"/>
      <w:jc w:val="both"/>
    </w:pPr>
    <w:rPr>
      <w:kern w:val="2"/>
      <w:sz w:val="21"/>
      <w:szCs w:val="22"/>
    </w:rPr>
  </w:style>
  <w:style w:type="paragraph" w:customStyle="1" w:styleId="3161">
    <w:name w:val="3161"/>
    <w:uiPriority w:val="99"/>
    <w:qFormat/>
    <w:rPr>
      <w:rFonts w:ascii="Calibri" w:hAnsi="Calibri"/>
      <w:b/>
      <w:sz w:val="21"/>
      <w:szCs w:val="22"/>
    </w:rPr>
  </w:style>
  <w:style w:type="paragraph" w:customStyle="1" w:styleId="3160">
    <w:name w:val="3160"/>
    <w:basedOn w:val="3237"/>
    <w:uiPriority w:val="99"/>
    <w:qFormat/>
    <w:pPr>
      <w:widowControl w:val="0"/>
    </w:pPr>
    <w:rPr>
      <w:rFonts w:ascii="Times New Roman" w:hAnsi="Times New Roman" w:cs="Times New Roman"/>
      <w:kern w:val="2"/>
    </w:rPr>
  </w:style>
  <w:style w:type="paragraph" w:customStyle="1" w:styleId="3159">
    <w:name w:val="3159"/>
    <w:basedOn w:val="3237"/>
    <w:uiPriority w:val="99"/>
    <w:qFormat/>
    <w:pPr>
      <w:keepNext/>
      <w:keepLines/>
      <w:widowControl w:val="0"/>
      <w:spacing w:before="100" w:beforeAutospacing="1" w:after="100" w:afterAutospacing="1" w:line="412" w:lineRule="auto"/>
      <w:jc w:val="both"/>
    </w:pPr>
    <w:rPr>
      <w:rFonts w:ascii="Times New Roman" w:hAnsi="Times New Roman" w:cs="Times New Roman"/>
      <w:b/>
      <w:kern w:val="2"/>
    </w:rPr>
  </w:style>
  <w:style w:type="paragraph" w:customStyle="1" w:styleId="3153">
    <w:name w:val="3153"/>
    <w:basedOn w:val="3237"/>
    <w:next w:val="aff7"/>
    <w:uiPriority w:val="34"/>
    <w:qFormat/>
    <w:pPr>
      <w:widowControl w:val="0"/>
      <w:ind w:firstLineChars="200" w:firstLine="420"/>
      <w:jc w:val="both"/>
    </w:pPr>
    <w:rPr>
      <w:rFonts w:ascii="Calibri" w:hAnsi="Calibri" w:cs="Times New Roman"/>
      <w:kern w:val="2"/>
      <w:szCs w:val="22"/>
    </w:rPr>
  </w:style>
  <w:style w:type="paragraph" w:customStyle="1" w:styleId="3152">
    <w:name w:val="3152"/>
    <w:basedOn w:val="3237"/>
    <w:next w:val="aff7"/>
    <w:uiPriority w:val="34"/>
    <w:qFormat/>
    <w:pPr>
      <w:widowControl w:val="0"/>
      <w:ind w:firstLineChars="200" w:firstLine="420"/>
      <w:jc w:val="both"/>
    </w:pPr>
    <w:rPr>
      <w:rFonts w:ascii="Calibri" w:hAnsi="Calibri" w:cs="Times New Roman"/>
      <w:kern w:val="2"/>
      <w:szCs w:val="22"/>
    </w:rPr>
  </w:style>
  <w:style w:type="paragraph" w:customStyle="1" w:styleId="3150">
    <w:name w:val="3150"/>
    <w:basedOn w:val="3237"/>
    <w:next w:val="aff7"/>
    <w:uiPriority w:val="34"/>
    <w:qFormat/>
    <w:pPr>
      <w:widowControl w:val="0"/>
      <w:ind w:firstLineChars="200" w:firstLine="420"/>
      <w:jc w:val="both"/>
    </w:pPr>
    <w:rPr>
      <w:rFonts w:ascii="Calibri" w:hAnsi="Calibri" w:cs="Times New Roman"/>
      <w:kern w:val="2"/>
      <w:szCs w:val="22"/>
    </w:rPr>
  </w:style>
  <w:style w:type="paragraph" w:customStyle="1" w:styleId="3149">
    <w:name w:val="3149"/>
    <w:basedOn w:val="3237"/>
    <w:next w:val="aff7"/>
    <w:uiPriority w:val="34"/>
    <w:qFormat/>
    <w:pPr>
      <w:widowControl w:val="0"/>
      <w:ind w:firstLineChars="200" w:firstLine="420"/>
      <w:jc w:val="both"/>
    </w:pPr>
    <w:rPr>
      <w:rFonts w:ascii="Calibri" w:hAnsi="Calibri" w:cs="Times New Roman"/>
      <w:kern w:val="2"/>
      <w:szCs w:val="22"/>
    </w:rPr>
  </w:style>
  <w:style w:type="paragraph" w:customStyle="1" w:styleId="3148">
    <w:name w:val="3148"/>
    <w:basedOn w:val="3237"/>
    <w:uiPriority w:val="1"/>
    <w:qFormat/>
    <w:pPr>
      <w:widowControl w:val="0"/>
      <w:autoSpaceDE w:val="0"/>
      <w:autoSpaceDN w:val="0"/>
      <w:spacing w:after="160" w:line="256" w:lineRule="auto"/>
    </w:pPr>
    <w:rPr>
      <w:rFonts w:ascii="Noto Sans CJK JP Regular" w:eastAsia="Noto Sans CJK JP Regular" w:hAnsi="Noto Sans CJK JP Regular" w:cs="Noto Sans CJK JP Regular"/>
      <w:sz w:val="22"/>
      <w:szCs w:val="22"/>
      <w:lang w:eastAsia="en-US"/>
    </w:rPr>
  </w:style>
  <w:style w:type="paragraph" w:customStyle="1" w:styleId="3146">
    <w:name w:val="3146"/>
    <w:basedOn w:val="3237"/>
    <w:uiPriority w:val="99"/>
    <w:qFormat/>
    <w:pPr>
      <w:widowControl w:val="0"/>
      <w:jc w:val="both"/>
    </w:pPr>
    <w:rPr>
      <w:rFonts w:ascii="Times New Roman" w:hAnsi="Times New Roman" w:cs="Times New Roman"/>
      <w:kern w:val="2"/>
    </w:rPr>
  </w:style>
  <w:style w:type="paragraph" w:customStyle="1" w:styleId="3144">
    <w:name w:val="3144"/>
    <w:basedOn w:val="3237"/>
    <w:next w:val="aff7"/>
    <w:uiPriority w:val="34"/>
    <w:qFormat/>
    <w:pPr>
      <w:widowControl w:val="0"/>
      <w:ind w:firstLineChars="200" w:firstLine="420"/>
      <w:jc w:val="both"/>
    </w:pPr>
    <w:rPr>
      <w:rFonts w:ascii="Calibri" w:hAnsi="Calibri" w:cs="Times New Roman"/>
      <w:kern w:val="2"/>
      <w:szCs w:val="22"/>
    </w:rPr>
  </w:style>
  <w:style w:type="paragraph" w:customStyle="1" w:styleId="3139">
    <w:name w:val="3139"/>
    <w:basedOn w:val="3237"/>
    <w:next w:val="aff7"/>
    <w:uiPriority w:val="34"/>
    <w:qFormat/>
    <w:pPr>
      <w:widowControl w:val="0"/>
      <w:ind w:firstLineChars="200" w:firstLine="420"/>
      <w:jc w:val="both"/>
    </w:pPr>
    <w:rPr>
      <w:rFonts w:ascii="Calibri" w:hAnsi="Calibri" w:cs="Times New Roman"/>
      <w:kern w:val="2"/>
      <w:szCs w:val="22"/>
    </w:rPr>
  </w:style>
  <w:style w:type="paragraph" w:customStyle="1" w:styleId="3137">
    <w:name w:val="3137"/>
    <w:basedOn w:val="3237"/>
    <w:uiPriority w:val="99"/>
    <w:qFormat/>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3133">
    <w:name w:val="3133"/>
    <w:basedOn w:val="3237"/>
    <w:uiPriority w:val="99"/>
    <w:qFormat/>
    <w:pPr>
      <w:widowControl w:val="0"/>
      <w:jc w:val="both"/>
    </w:pPr>
    <w:rPr>
      <w:rFonts w:ascii="Times New Roman" w:hAnsi="Times New Roman" w:cs="Times New Roman"/>
      <w:bCs/>
      <w:kern w:val="2"/>
      <w:sz w:val="24"/>
      <w:szCs w:val="24"/>
    </w:rPr>
  </w:style>
  <w:style w:type="paragraph" w:customStyle="1" w:styleId="3132">
    <w:name w:val="3132"/>
    <w:basedOn w:val="3237"/>
    <w:uiPriority w:val="99"/>
    <w:qFormat/>
    <w:pPr>
      <w:widowControl w:val="0"/>
      <w:tabs>
        <w:tab w:val="left" w:pos="315"/>
      </w:tabs>
      <w:ind w:left="315" w:hanging="315"/>
      <w:jc w:val="both"/>
    </w:pPr>
    <w:rPr>
      <w:rFonts w:ascii="Times New Roman" w:hAnsi="Times New Roman" w:cs="Times New Roman"/>
      <w:bCs/>
      <w:kern w:val="2"/>
      <w:sz w:val="24"/>
      <w:szCs w:val="24"/>
    </w:rPr>
  </w:style>
  <w:style w:type="paragraph" w:customStyle="1" w:styleId="3131">
    <w:name w:val="3131"/>
    <w:basedOn w:val="3237"/>
    <w:uiPriority w:val="99"/>
    <w:qFormat/>
    <w:pPr>
      <w:widowControl w:val="0"/>
      <w:autoSpaceDE w:val="0"/>
      <w:autoSpaceDN w:val="0"/>
      <w:adjustRightInd w:val="0"/>
    </w:pPr>
    <w:rPr>
      <w:rFonts w:ascii="Times New Roman" w:hAnsi="Times New Roman" w:cs="Times New Roman"/>
      <w:bCs/>
      <w:kern w:val="2"/>
      <w:sz w:val="30"/>
      <w:szCs w:val="20"/>
    </w:rPr>
  </w:style>
  <w:style w:type="paragraph" w:customStyle="1" w:styleId="3126">
    <w:name w:val="3126"/>
    <w:basedOn w:val="3237"/>
    <w:uiPriority w:val="99"/>
    <w:qFormat/>
    <w:pPr>
      <w:keepNext/>
      <w:keepLines/>
      <w:widowControl w:val="0"/>
      <w:tabs>
        <w:tab w:val="left" w:pos="546"/>
      </w:tabs>
      <w:adjustRightInd w:val="0"/>
      <w:spacing w:before="120" w:after="120" w:line="480" w:lineRule="atLeast"/>
      <w:ind w:left="420" w:hanging="420"/>
      <w:outlineLvl w:val="1"/>
    </w:pPr>
    <w:rPr>
      <w:rFonts w:cs="Times New Roman"/>
      <w:bCs/>
      <w:color w:val="000000"/>
    </w:rPr>
  </w:style>
  <w:style w:type="paragraph" w:customStyle="1" w:styleId="3125">
    <w:name w:val="3125"/>
    <w:basedOn w:val="3237"/>
    <w:uiPriority w:val="39"/>
    <w:qFormat/>
    <w:pPr>
      <w:tabs>
        <w:tab w:val="right" w:leader="dot" w:pos="8296"/>
      </w:tabs>
      <w:ind w:leftChars="200" w:left="420"/>
      <w:jc w:val="center"/>
    </w:pPr>
    <w:rPr>
      <w:rFonts w:cs="Times New Roman"/>
      <w:b/>
      <w:bCs/>
      <w:color w:val="000000"/>
      <w:sz w:val="32"/>
      <w:szCs w:val="32"/>
    </w:rPr>
  </w:style>
  <w:style w:type="paragraph" w:customStyle="1" w:styleId="3124">
    <w:name w:val="3124"/>
    <w:basedOn w:val="3237"/>
    <w:uiPriority w:val="39"/>
    <w:qFormat/>
    <w:rPr>
      <w:rFonts w:cs="Times New Roman"/>
      <w:bCs/>
      <w:color w:val="000000"/>
      <w:szCs w:val="20"/>
    </w:rPr>
  </w:style>
  <w:style w:type="paragraph" w:customStyle="1" w:styleId="3123">
    <w:name w:val="3123"/>
    <w:basedOn w:val="3237"/>
    <w:uiPriority w:val="39"/>
    <w:qFormat/>
    <w:pPr>
      <w:spacing w:after="100" w:line="276" w:lineRule="auto"/>
      <w:ind w:left="440"/>
    </w:pPr>
    <w:rPr>
      <w:rFonts w:ascii="Calibri" w:hAnsi="Calibri" w:cs="Times New Roman"/>
      <w:bCs/>
      <w:sz w:val="22"/>
      <w:szCs w:val="22"/>
    </w:rPr>
  </w:style>
  <w:style w:type="paragraph" w:customStyle="1" w:styleId="3122">
    <w:name w:val="3122"/>
    <w:basedOn w:val="3237"/>
    <w:uiPriority w:val="39"/>
    <w:qFormat/>
    <w:pPr>
      <w:widowControl w:val="0"/>
      <w:ind w:leftChars="600" w:left="1260"/>
      <w:jc w:val="both"/>
    </w:pPr>
    <w:rPr>
      <w:rFonts w:ascii="Calibri" w:hAnsi="Calibri" w:cs="Times New Roman"/>
      <w:bCs/>
      <w:kern w:val="2"/>
      <w:szCs w:val="22"/>
    </w:rPr>
  </w:style>
  <w:style w:type="paragraph" w:customStyle="1" w:styleId="3121">
    <w:name w:val="3121"/>
    <w:basedOn w:val="3237"/>
    <w:uiPriority w:val="39"/>
    <w:qFormat/>
    <w:pPr>
      <w:widowControl w:val="0"/>
      <w:ind w:leftChars="800" w:left="1680"/>
      <w:jc w:val="both"/>
    </w:pPr>
    <w:rPr>
      <w:rFonts w:ascii="Calibri" w:hAnsi="Calibri" w:cs="Times New Roman"/>
      <w:bCs/>
      <w:kern w:val="2"/>
      <w:szCs w:val="22"/>
    </w:rPr>
  </w:style>
  <w:style w:type="paragraph" w:customStyle="1" w:styleId="3120">
    <w:name w:val="3120"/>
    <w:basedOn w:val="3237"/>
    <w:uiPriority w:val="39"/>
    <w:qFormat/>
    <w:pPr>
      <w:widowControl w:val="0"/>
      <w:ind w:leftChars="1000" w:left="2100"/>
      <w:jc w:val="both"/>
    </w:pPr>
    <w:rPr>
      <w:rFonts w:ascii="Calibri" w:hAnsi="Calibri" w:cs="Times New Roman"/>
      <w:bCs/>
      <w:kern w:val="2"/>
      <w:szCs w:val="22"/>
    </w:rPr>
  </w:style>
  <w:style w:type="paragraph" w:customStyle="1" w:styleId="3119">
    <w:name w:val="3119"/>
    <w:basedOn w:val="3237"/>
    <w:uiPriority w:val="39"/>
    <w:qFormat/>
    <w:pPr>
      <w:widowControl w:val="0"/>
      <w:ind w:leftChars="1200" w:left="2520"/>
      <w:jc w:val="both"/>
    </w:pPr>
    <w:rPr>
      <w:rFonts w:ascii="Calibri" w:hAnsi="Calibri" w:cs="Times New Roman"/>
      <w:bCs/>
      <w:kern w:val="2"/>
      <w:szCs w:val="22"/>
    </w:rPr>
  </w:style>
  <w:style w:type="paragraph" w:customStyle="1" w:styleId="3118">
    <w:name w:val="3118"/>
    <w:basedOn w:val="3237"/>
    <w:uiPriority w:val="39"/>
    <w:qFormat/>
    <w:pPr>
      <w:widowControl w:val="0"/>
      <w:ind w:leftChars="1400" w:left="2940"/>
      <w:jc w:val="both"/>
    </w:pPr>
    <w:rPr>
      <w:rFonts w:ascii="Calibri" w:hAnsi="Calibri" w:cs="Times New Roman"/>
      <w:bCs/>
      <w:kern w:val="2"/>
      <w:szCs w:val="22"/>
    </w:rPr>
  </w:style>
  <w:style w:type="paragraph" w:customStyle="1" w:styleId="3117">
    <w:name w:val="3117"/>
    <w:basedOn w:val="3237"/>
    <w:uiPriority w:val="39"/>
    <w:qFormat/>
    <w:pPr>
      <w:widowControl w:val="0"/>
      <w:ind w:leftChars="1600" w:left="3360"/>
      <w:jc w:val="both"/>
    </w:pPr>
    <w:rPr>
      <w:rFonts w:ascii="Calibri" w:hAnsi="Calibri" w:cs="Times New Roman"/>
      <w:bCs/>
      <w:kern w:val="2"/>
      <w:szCs w:val="22"/>
    </w:rPr>
  </w:style>
  <w:style w:type="paragraph" w:customStyle="1" w:styleId="3116">
    <w:name w:val="3116"/>
    <w:basedOn w:val="3237"/>
    <w:uiPriority w:val="99"/>
    <w:qFormat/>
    <w:pPr>
      <w:widowControl w:val="0"/>
      <w:tabs>
        <w:tab w:val="left" w:pos="1200"/>
      </w:tabs>
      <w:jc w:val="both"/>
    </w:pPr>
    <w:rPr>
      <w:rFonts w:ascii="Times New Roman" w:hAnsi="Times New Roman" w:cs="Times New Roman"/>
      <w:bCs/>
      <w:kern w:val="2"/>
    </w:rPr>
  </w:style>
  <w:style w:type="paragraph" w:customStyle="1" w:styleId="3115">
    <w:name w:val="3115"/>
    <w:basedOn w:val="3237"/>
    <w:uiPriority w:val="99"/>
    <w:qFormat/>
    <w:pPr>
      <w:keepNext/>
      <w:keepLines/>
      <w:widowControl w:val="0"/>
      <w:spacing w:before="100" w:beforeAutospacing="1" w:after="100" w:afterAutospacing="1" w:line="412" w:lineRule="auto"/>
      <w:jc w:val="both"/>
    </w:pPr>
    <w:rPr>
      <w:rFonts w:ascii="Times New Roman" w:hAnsi="Times New Roman" w:cs="Times New Roman"/>
      <w:b/>
      <w:bCs/>
      <w:kern w:val="2"/>
      <w:szCs w:val="24"/>
    </w:rPr>
  </w:style>
  <w:style w:type="paragraph" w:customStyle="1" w:styleId="3112">
    <w:name w:val="3112"/>
    <w:basedOn w:val="3237"/>
    <w:next w:val="aff7"/>
    <w:uiPriority w:val="34"/>
    <w:qFormat/>
    <w:pPr>
      <w:widowControl w:val="0"/>
      <w:ind w:firstLineChars="200" w:firstLine="420"/>
      <w:jc w:val="both"/>
    </w:pPr>
    <w:rPr>
      <w:rFonts w:ascii="Calibri" w:hAnsi="Calibri" w:cs="Times New Roman"/>
      <w:bCs/>
      <w:kern w:val="2"/>
      <w:szCs w:val="22"/>
    </w:rPr>
  </w:style>
  <w:style w:type="paragraph" w:customStyle="1" w:styleId="3111">
    <w:name w:val="3111"/>
    <w:basedOn w:val="3237"/>
    <w:next w:val="aff7"/>
    <w:uiPriority w:val="34"/>
    <w:qFormat/>
    <w:pPr>
      <w:widowControl w:val="0"/>
      <w:ind w:firstLineChars="200" w:firstLine="420"/>
      <w:jc w:val="both"/>
    </w:pPr>
    <w:rPr>
      <w:rFonts w:ascii="Calibri" w:hAnsi="Calibri" w:cs="Times New Roman"/>
      <w:bCs/>
      <w:kern w:val="2"/>
      <w:szCs w:val="22"/>
    </w:rPr>
  </w:style>
  <w:style w:type="paragraph" w:customStyle="1" w:styleId="3110">
    <w:name w:val="3110"/>
    <w:basedOn w:val="3237"/>
    <w:next w:val="aff7"/>
    <w:uiPriority w:val="34"/>
    <w:qFormat/>
    <w:pPr>
      <w:widowControl w:val="0"/>
      <w:ind w:firstLineChars="200" w:firstLine="420"/>
      <w:jc w:val="both"/>
    </w:pPr>
    <w:rPr>
      <w:rFonts w:ascii="Calibri" w:hAnsi="Calibri" w:cs="Times New Roman"/>
      <w:bCs/>
      <w:kern w:val="2"/>
      <w:szCs w:val="22"/>
    </w:rPr>
  </w:style>
  <w:style w:type="paragraph" w:customStyle="1" w:styleId="3109">
    <w:name w:val="3109"/>
    <w:basedOn w:val="3237"/>
    <w:next w:val="aff7"/>
    <w:uiPriority w:val="34"/>
    <w:qFormat/>
    <w:pPr>
      <w:widowControl w:val="0"/>
      <w:ind w:firstLineChars="200" w:firstLine="420"/>
      <w:jc w:val="both"/>
    </w:pPr>
    <w:rPr>
      <w:rFonts w:ascii="Calibri" w:hAnsi="Calibri" w:cs="Times New Roman"/>
      <w:bCs/>
      <w:kern w:val="2"/>
      <w:szCs w:val="22"/>
    </w:rPr>
  </w:style>
  <w:style w:type="paragraph" w:customStyle="1" w:styleId="3108">
    <w:name w:val="3108"/>
    <w:uiPriority w:val="99"/>
    <w:qFormat/>
    <w:rPr>
      <w:kern w:val="2"/>
      <w:sz w:val="21"/>
      <w:szCs w:val="24"/>
    </w:rPr>
  </w:style>
  <w:style w:type="paragraph" w:customStyle="1" w:styleId="3105">
    <w:name w:val="3105"/>
    <w:uiPriority w:val="99"/>
    <w:qFormat/>
    <w:rPr>
      <w:sz w:val="21"/>
      <w:szCs w:val="24"/>
    </w:rPr>
  </w:style>
  <w:style w:type="paragraph" w:customStyle="1" w:styleId="3102">
    <w:name w:val="3102"/>
    <w:basedOn w:val="3237"/>
    <w:uiPriority w:val="34"/>
    <w:qFormat/>
    <w:pPr>
      <w:widowControl w:val="0"/>
      <w:ind w:firstLineChars="200" w:firstLine="420"/>
      <w:jc w:val="both"/>
    </w:pPr>
    <w:rPr>
      <w:rFonts w:ascii="Calibri" w:hAnsi="Calibri" w:cs="Times New Roman"/>
      <w:bCs/>
      <w:kern w:val="2"/>
      <w:szCs w:val="22"/>
    </w:rPr>
  </w:style>
  <w:style w:type="paragraph" w:customStyle="1" w:styleId="3101">
    <w:name w:val="3101"/>
    <w:basedOn w:val="3237"/>
    <w:uiPriority w:val="34"/>
    <w:qFormat/>
    <w:pPr>
      <w:widowControl w:val="0"/>
      <w:ind w:firstLineChars="200" w:firstLine="420"/>
      <w:jc w:val="both"/>
    </w:pPr>
    <w:rPr>
      <w:rFonts w:ascii="Calibri" w:hAnsi="Calibri" w:cs="Times New Roman"/>
      <w:bCs/>
      <w:kern w:val="2"/>
      <w:szCs w:val="22"/>
    </w:rPr>
  </w:style>
  <w:style w:type="paragraph" w:customStyle="1" w:styleId="3100">
    <w:name w:val="3100"/>
    <w:basedOn w:val="3237"/>
    <w:uiPriority w:val="99"/>
    <w:qFormat/>
    <w:rPr>
      <w:rFonts w:cs="Times New Roman"/>
      <w:bCs/>
      <w:kern w:val="2"/>
    </w:rPr>
  </w:style>
  <w:style w:type="paragraph" w:customStyle="1" w:styleId="3099">
    <w:name w:val="3099"/>
    <w:basedOn w:val="3237"/>
    <w:uiPriority w:val="59"/>
    <w:qFormat/>
    <w:pPr>
      <w:widowControl w:val="0"/>
    </w:pPr>
    <w:rPr>
      <w:rFonts w:ascii="Times New Roman" w:cs="Times New Roman"/>
      <w:bCs/>
      <w:kern w:val="2"/>
    </w:rPr>
  </w:style>
  <w:style w:type="paragraph" w:customStyle="1" w:styleId="3098">
    <w:name w:val="3098"/>
    <w:uiPriority w:val="99"/>
    <w:qFormat/>
    <w:rPr>
      <w:kern w:val="2"/>
      <w:sz w:val="21"/>
      <w:szCs w:val="24"/>
    </w:rPr>
  </w:style>
  <w:style w:type="paragraph" w:customStyle="1" w:styleId="3097">
    <w:name w:val="3097"/>
    <w:uiPriority w:val="99"/>
    <w:qFormat/>
    <w:rPr>
      <w:kern w:val="2"/>
      <w:sz w:val="21"/>
      <w:szCs w:val="24"/>
    </w:rPr>
  </w:style>
  <w:style w:type="paragraph" w:customStyle="1" w:styleId="3096">
    <w:name w:val="3096"/>
    <w:basedOn w:val="3237"/>
    <w:uiPriority w:val="99"/>
    <w:qFormat/>
    <w:pPr>
      <w:widowControl w:val="0"/>
      <w:jc w:val="both"/>
    </w:pPr>
    <w:rPr>
      <w:rFonts w:ascii="Calibri" w:hAnsi="Calibri" w:cs="Times New Roman"/>
      <w:bCs/>
      <w:kern w:val="2"/>
      <w:sz w:val="18"/>
      <w:szCs w:val="18"/>
    </w:rPr>
  </w:style>
  <w:style w:type="paragraph" w:customStyle="1" w:styleId="3095">
    <w:name w:val="3095"/>
    <w:basedOn w:val="3237"/>
    <w:uiPriority w:val="99"/>
    <w:qFormat/>
    <w:pPr>
      <w:widowControl w:val="0"/>
      <w:ind w:leftChars="2500" w:left="100"/>
      <w:jc w:val="both"/>
    </w:pPr>
    <w:rPr>
      <w:rFonts w:ascii="Times New Roman" w:hAnsi="Times New Roman" w:cs="Times New Roman"/>
      <w:bCs/>
      <w:kern w:val="2"/>
    </w:rPr>
  </w:style>
  <w:style w:type="paragraph" w:customStyle="1" w:styleId="3091">
    <w:name w:val="3091"/>
    <w:uiPriority w:val="99"/>
    <w:qFormat/>
    <w:rPr>
      <w:kern w:val="2"/>
      <w:sz w:val="21"/>
      <w:szCs w:val="24"/>
    </w:rPr>
  </w:style>
  <w:style w:type="paragraph" w:customStyle="1" w:styleId="3089">
    <w:name w:val="3089"/>
    <w:basedOn w:val="3237"/>
    <w:uiPriority w:val="99"/>
    <w:qFormat/>
    <w:pPr>
      <w:keepNext/>
      <w:keepLines/>
      <w:widowControl w:val="0"/>
      <w:spacing w:before="60" w:after="60" w:line="360" w:lineRule="auto"/>
      <w:jc w:val="center"/>
      <w:outlineLvl w:val="0"/>
    </w:pPr>
    <w:rPr>
      <w:rFonts w:ascii="Calibri" w:eastAsia="黑体" w:hAnsi="Calibri" w:cs="Times New Roman"/>
      <w:b/>
      <w:kern w:val="44"/>
      <w:sz w:val="28"/>
      <w:szCs w:val="44"/>
    </w:rPr>
  </w:style>
  <w:style w:type="paragraph" w:customStyle="1" w:styleId="3088">
    <w:name w:val="3088"/>
    <w:basedOn w:val="3237"/>
    <w:uiPriority w:val="99"/>
    <w:qFormat/>
    <w:pPr>
      <w:keepNext/>
      <w:keepLines/>
      <w:widowControl w:val="0"/>
      <w:spacing w:before="60" w:after="60"/>
      <w:ind w:left="200" w:hangingChars="200" w:hanging="200"/>
      <w:jc w:val="both"/>
      <w:outlineLvl w:val="1"/>
    </w:pPr>
    <w:rPr>
      <w:rFonts w:ascii="Arial" w:hAnsi="Arial" w:cs="Times New Roman"/>
      <w:b/>
      <w:kern w:val="2"/>
    </w:rPr>
  </w:style>
  <w:style w:type="paragraph" w:customStyle="1" w:styleId="3087">
    <w:name w:val="3087"/>
    <w:basedOn w:val="3237"/>
    <w:uiPriority w:val="9"/>
    <w:qFormat/>
    <w:pPr>
      <w:keepNext/>
      <w:keepLines/>
      <w:widowControl w:val="0"/>
      <w:spacing w:before="60" w:after="60"/>
      <w:jc w:val="both"/>
      <w:outlineLvl w:val="2"/>
    </w:pPr>
    <w:rPr>
      <w:rFonts w:ascii="Calibri" w:hAnsi="Calibri" w:cs="Times New Roman"/>
      <w:b/>
      <w:kern w:val="2"/>
      <w:szCs w:val="32"/>
    </w:rPr>
  </w:style>
  <w:style w:type="paragraph" w:customStyle="1" w:styleId="3086">
    <w:name w:val="3086"/>
    <w:basedOn w:val="3237"/>
    <w:uiPriority w:val="9"/>
    <w:qFormat/>
    <w:pPr>
      <w:keepNext/>
      <w:keepLines/>
      <w:widowControl w:val="0"/>
      <w:spacing w:before="60" w:after="60"/>
      <w:jc w:val="both"/>
      <w:outlineLvl w:val="3"/>
    </w:pPr>
    <w:rPr>
      <w:rFonts w:ascii="Cambria" w:hAnsi="Cambria" w:cs="Times New Roman"/>
      <w:b/>
      <w:kern w:val="2"/>
      <w:szCs w:val="28"/>
    </w:rPr>
  </w:style>
  <w:style w:type="paragraph" w:customStyle="1" w:styleId="3085">
    <w:name w:val="3085"/>
    <w:basedOn w:val="3237"/>
    <w:uiPriority w:val="9"/>
    <w:qFormat/>
    <w:pPr>
      <w:keepNext/>
      <w:keepLines/>
      <w:widowControl w:val="0"/>
      <w:spacing w:before="60" w:after="60"/>
      <w:jc w:val="both"/>
      <w:outlineLvl w:val="4"/>
    </w:pPr>
    <w:rPr>
      <w:rFonts w:ascii="Calibri" w:hAnsi="Calibri" w:cs="Times New Roman"/>
      <w:b/>
      <w:kern w:val="2"/>
      <w:szCs w:val="28"/>
    </w:rPr>
  </w:style>
  <w:style w:type="paragraph" w:customStyle="1" w:styleId="3084">
    <w:name w:val="3084"/>
    <w:basedOn w:val="3237"/>
    <w:uiPriority w:val="9"/>
    <w:qFormat/>
    <w:pPr>
      <w:keepNext/>
      <w:keepLines/>
      <w:spacing w:before="60" w:after="60"/>
      <w:outlineLvl w:val="5"/>
    </w:pPr>
    <w:rPr>
      <w:rFonts w:ascii="Cambria" w:hAnsi="Cambria" w:cs="Times New Roman"/>
      <w:b/>
    </w:rPr>
  </w:style>
  <w:style w:type="paragraph" w:customStyle="1" w:styleId="3083">
    <w:name w:val="3083"/>
    <w:basedOn w:val="3237"/>
    <w:uiPriority w:val="9"/>
    <w:qFormat/>
    <w:pPr>
      <w:keepNext/>
      <w:keepLines/>
      <w:spacing w:before="240" w:after="64" w:line="319" w:lineRule="auto"/>
      <w:outlineLvl w:val="6"/>
    </w:pPr>
    <w:rPr>
      <w:b/>
      <w:sz w:val="24"/>
    </w:rPr>
  </w:style>
  <w:style w:type="paragraph" w:customStyle="1" w:styleId="3077">
    <w:name w:val="3077"/>
    <w:basedOn w:val="3237"/>
    <w:uiPriority w:val="39"/>
    <w:qFormat/>
    <w:pPr>
      <w:widowControl w:val="0"/>
      <w:tabs>
        <w:tab w:val="left" w:pos="1260"/>
        <w:tab w:val="right" w:leader="dot" w:pos="8823"/>
      </w:tabs>
      <w:jc w:val="center"/>
    </w:pPr>
    <w:rPr>
      <w:rFonts w:ascii="Times New Roman" w:hAnsi="Times New Roman" w:cs="Times New Roman"/>
      <w:kern w:val="2"/>
    </w:rPr>
  </w:style>
  <w:style w:type="paragraph" w:customStyle="1" w:styleId="3076">
    <w:name w:val="3076"/>
    <w:basedOn w:val="3237"/>
    <w:uiPriority w:val="39"/>
    <w:qFormat/>
    <w:pPr>
      <w:widowControl w:val="0"/>
      <w:ind w:leftChars="200" w:left="420"/>
      <w:jc w:val="both"/>
    </w:pPr>
    <w:rPr>
      <w:rFonts w:ascii="Times New Roman" w:hAnsi="Times New Roman" w:cs="Times New Roman"/>
      <w:kern w:val="2"/>
    </w:rPr>
  </w:style>
  <w:style w:type="paragraph" w:customStyle="1" w:styleId="3074">
    <w:name w:val="3074"/>
    <w:basedOn w:val="3237"/>
    <w:uiPriority w:val="99"/>
    <w:qFormat/>
    <w:pPr>
      <w:widowControl w:val="0"/>
      <w:jc w:val="both"/>
    </w:pPr>
    <w:rPr>
      <w:rFonts w:ascii="Calibri" w:hAnsi="Calibri" w:cs="Times New Roman"/>
      <w:kern w:val="2"/>
      <w:sz w:val="18"/>
      <w:szCs w:val="18"/>
    </w:rPr>
  </w:style>
  <w:style w:type="paragraph" w:customStyle="1" w:styleId="3071">
    <w:name w:val="3071"/>
    <w:basedOn w:val="3237"/>
    <w:uiPriority w:val="34"/>
    <w:qFormat/>
    <w:pPr>
      <w:widowControl w:val="0"/>
      <w:ind w:firstLineChars="200" w:firstLine="420"/>
      <w:jc w:val="both"/>
    </w:pPr>
    <w:rPr>
      <w:rFonts w:ascii="Calibri" w:hAnsi="Calibri" w:cs="Times New Roman"/>
      <w:kern w:val="2"/>
      <w:szCs w:val="22"/>
    </w:rPr>
  </w:style>
  <w:style w:type="paragraph" w:customStyle="1" w:styleId="3069">
    <w:name w:val="3069"/>
    <w:basedOn w:val="3237"/>
    <w:uiPriority w:val="39"/>
    <w:qFormat/>
    <w:pPr>
      <w:spacing w:after="100" w:line="276" w:lineRule="auto"/>
      <w:ind w:left="440"/>
    </w:pPr>
    <w:rPr>
      <w:rFonts w:ascii="Calibri" w:hAnsi="Calibri" w:cs="Times New Roman"/>
      <w:sz w:val="22"/>
      <w:szCs w:val="22"/>
    </w:rPr>
  </w:style>
  <w:style w:type="paragraph" w:customStyle="1" w:styleId="3067">
    <w:name w:val="3067"/>
    <w:basedOn w:val="3237"/>
    <w:uiPriority w:val="99"/>
    <w:qFormat/>
    <w:pPr>
      <w:widowControl w:val="0"/>
      <w:tabs>
        <w:tab w:val="center" w:pos="4153"/>
        <w:tab w:val="right" w:pos="8306"/>
      </w:tabs>
      <w:snapToGrid w:val="0"/>
    </w:pPr>
    <w:rPr>
      <w:rFonts w:ascii="Calibri" w:hAnsi="Calibri" w:cs="Times New Roman"/>
      <w:kern w:val="2"/>
      <w:sz w:val="18"/>
      <w:szCs w:val="18"/>
    </w:rPr>
  </w:style>
  <w:style w:type="paragraph" w:customStyle="1" w:styleId="3065">
    <w:name w:val="3065"/>
    <w:basedOn w:val="3237"/>
    <w:uiPriority w:val="99"/>
    <w:qFormat/>
    <w:pPr>
      <w:widowControl w:val="0"/>
      <w:jc w:val="both"/>
    </w:pPr>
    <w:rPr>
      <w:rFonts w:hAnsi="Courier New" w:cs="Times New Roman"/>
      <w:kern w:val="2"/>
      <w:szCs w:val="20"/>
    </w:rPr>
  </w:style>
  <w:style w:type="paragraph" w:customStyle="1" w:styleId="3063">
    <w:name w:val="3063"/>
    <w:basedOn w:val="3237"/>
    <w:uiPriority w:val="99"/>
    <w:qFormat/>
    <w:pPr>
      <w:widowControl w:val="0"/>
      <w:spacing w:after="120"/>
      <w:jc w:val="both"/>
    </w:pPr>
    <w:rPr>
      <w:rFonts w:ascii="Times New Roman" w:hAnsi="Times New Roman" w:cs="Times New Roman"/>
      <w:kern w:val="2"/>
    </w:rPr>
  </w:style>
  <w:style w:type="paragraph" w:customStyle="1" w:styleId="3061">
    <w:name w:val="3061"/>
    <w:basedOn w:val="3237"/>
    <w:uiPriority w:val="99"/>
    <w:qFormat/>
    <w:pPr>
      <w:widowControl w:val="0"/>
      <w:ind w:leftChars="2500" w:left="100"/>
      <w:jc w:val="both"/>
    </w:pPr>
    <w:rPr>
      <w:rFonts w:ascii="Times New Roman" w:hAnsi="Times New Roman" w:cs="Times New Roman"/>
      <w:kern w:val="2"/>
    </w:rPr>
  </w:style>
  <w:style w:type="paragraph" w:customStyle="1" w:styleId="3059">
    <w:name w:val="3059"/>
    <w:basedOn w:val="3237"/>
    <w:uiPriority w:val="99"/>
    <w:qFormat/>
    <w:pPr>
      <w:widowControl w:val="0"/>
      <w:jc w:val="center"/>
    </w:pPr>
    <w:rPr>
      <w:rFonts w:ascii="Times New Roman" w:hAnsi="Times New Roman" w:cs="Times New Roman"/>
      <w:kern w:val="2"/>
    </w:rPr>
  </w:style>
  <w:style w:type="paragraph" w:customStyle="1" w:styleId="3057">
    <w:name w:val="3057"/>
    <w:basedOn w:val="3237"/>
    <w:uiPriority w:val="99"/>
    <w:semiHidden/>
    <w:qFormat/>
    <w:pPr>
      <w:widowControl w:val="0"/>
      <w:spacing w:before="120"/>
      <w:jc w:val="both"/>
    </w:pPr>
    <w:rPr>
      <w:rFonts w:ascii="Arial" w:hAnsi="Arial" w:cs="Times New Roman"/>
      <w:b/>
      <w:kern w:val="2"/>
    </w:rPr>
  </w:style>
  <w:style w:type="paragraph" w:customStyle="1" w:styleId="3056">
    <w:name w:val="3056"/>
    <w:basedOn w:val="3237"/>
    <w:uiPriority w:val="99"/>
    <w:qFormat/>
    <w:pPr>
      <w:keepNext/>
      <w:keepLines/>
      <w:widowControl w:val="0"/>
      <w:spacing w:before="60" w:after="60"/>
      <w:ind w:hangingChars="200" w:hanging="420"/>
      <w:jc w:val="both"/>
      <w:outlineLvl w:val="4"/>
    </w:pPr>
    <w:rPr>
      <w:rFonts w:cs="Times New Roman"/>
      <w:b/>
      <w:kern w:val="2"/>
    </w:rPr>
  </w:style>
  <w:style w:type="paragraph" w:customStyle="1" w:styleId="3055">
    <w:name w:val="3055"/>
    <w:uiPriority w:val="99"/>
    <w:semiHidden/>
    <w:qFormat/>
    <w:rPr>
      <w:kern w:val="2"/>
      <w:sz w:val="21"/>
      <w:szCs w:val="22"/>
    </w:rPr>
  </w:style>
  <w:style w:type="paragraph" w:customStyle="1" w:styleId="3053">
    <w:name w:val="3053"/>
    <w:basedOn w:val="3237"/>
    <w:uiPriority w:val="99"/>
    <w:qFormat/>
    <w:pPr>
      <w:widowControl w:val="0"/>
      <w:spacing w:before="100" w:after="100"/>
      <w:jc w:val="both"/>
    </w:pPr>
    <w:rPr>
      <w:rFonts w:ascii="Calibri" w:hAnsi="Calibri" w:cs="Times New Roman"/>
      <w:kern w:val="2"/>
    </w:rPr>
  </w:style>
  <w:style w:type="paragraph" w:customStyle="1" w:styleId="3052">
    <w:name w:val="3052"/>
    <w:basedOn w:val="3237"/>
    <w:uiPriority w:val="99"/>
    <w:semiHidden/>
    <w:qFormat/>
    <w:pPr>
      <w:widowControl w:val="0"/>
      <w:jc w:val="both"/>
    </w:pPr>
    <w:rPr>
      <w:rFonts w:hAnsi="Calibri" w:cs="Times New Roman"/>
      <w:kern w:val="2"/>
      <w:sz w:val="18"/>
      <w:szCs w:val="18"/>
    </w:rPr>
  </w:style>
  <w:style w:type="paragraph" w:customStyle="1" w:styleId="3049">
    <w:name w:val="3049"/>
    <w:basedOn w:val="3237"/>
    <w:uiPriority w:val="10"/>
    <w:qFormat/>
    <w:pPr>
      <w:widowControl w:val="0"/>
      <w:spacing w:before="240" w:after="60"/>
      <w:jc w:val="center"/>
      <w:outlineLvl w:val="0"/>
    </w:pPr>
    <w:rPr>
      <w:rFonts w:ascii="Cambria" w:hAnsi="Cambria" w:cs="Times New Roman"/>
      <w:b/>
      <w:kern w:val="2"/>
      <w:sz w:val="32"/>
      <w:szCs w:val="32"/>
    </w:rPr>
  </w:style>
  <w:style w:type="paragraph" w:customStyle="1" w:styleId="3047">
    <w:name w:val="3047"/>
    <w:uiPriority w:val="1"/>
    <w:qFormat/>
    <w:pPr>
      <w:widowControl w:val="0"/>
      <w:jc w:val="both"/>
    </w:pPr>
    <w:rPr>
      <w:kern w:val="2"/>
      <w:sz w:val="21"/>
      <w:szCs w:val="22"/>
    </w:rPr>
  </w:style>
  <w:style w:type="paragraph" w:customStyle="1" w:styleId="3046">
    <w:name w:val="3046"/>
    <w:basedOn w:val="3237"/>
    <w:uiPriority w:val="39"/>
    <w:qFormat/>
    <w:pPr>
      <w:widowControl w:val="0"/>
      <w:ind w:leftChars="600" w:left="1260"/>
      <w:jc w:val="both"/>
    </w:pPr>
    <w:rPr>
      <w:rFonts w:ascii="Calibri" w:hAnsi="Calibri" w:cs="Times New Roman"/>
      <w:kern w:val="2"/>
      <w:szCs w:val="22"/>
    </w:rPr>
  </w:style>
  <w:style w:type="paragraph" w:customStyle="1" w:styleId="3045">
    <w:name w:val="3045"/>
    <w:basedOn w:val="3237"/>
    <w:uiPriority w:val="39"/>
    <w:qFormat/>
    <w:pPr>
      <w:widowControl w:val="0"/>
      <w:ind w:leftChars="800" w:left="1680"/>
      <w:jc w:val="both"/>
    </w:pPr>
    <w:rPr>
      <w:rFonts w:ascii="Calibri" w:hAnsi="Calibri" w:cs="Times New Roman"/>
      <w:kern w:val="2"/>
      <w:szCs w:val="22"/>
    </w:rPr>
  </w:style>
  <w:style w:type="paragraph" w:customStyle="1" w:styleId="3044">
    <w:name w:val="3044"/>
    <w:basedOn w:val="3237"/>
    <w:uiPriority w:val="39"/>
    <w:qFormat/>
    <w:pPr>
      <w:widowControl w:val="0"/>
      <w:ind w:leftChars="1000" w:left="2100"/>
      <w:jc w:val="both"/>
    </w:pPr>
    <w:rPr>
      <w:rFonts w:ascii="Calibri" w:hAnsi="Calibri" w:cs="Times New Roman"/>
      <w:kern w:val="2"/>
      <w:szCs w:val="22"/>
    </w:rPr>
  </w:style>
  <w:style w:type="paragraph" w:customStyle="1" w:styleId="3043">
    <w:name w:val="3043"/>
    <w:basedOn w:val="3237"/>
    <w:uiPriority w:val="39"/>
    <w:qFormat/>
    <w:pPr>
      <w:widowControl w:val="0"/>
      <w:ind w:leftChars="1200" w:left="2520"/>
      <w:jc w:val="both"/>
    </w:pPr>
    <w:rPr>
      <w:rFonts w:ascii="Calibri" w:hAnsi="Calibri" w:cs="Times New Roman"/>
      <w:kern w:val="2"/>
      <w:szCs w:val="22"/>
    </w:rPr>
  </w:style>
  <w:style w:type="paragraph" w:customStyle="1" w:styleId="3042">
    <w:name w:val="3042"/>
    <w:basedOn w:val="3237"/>
    <w:uiPriority w:val="39"/>
    <w:qFormat/>
    <w:pPr>
      <w:widowControl w:val="0"/>
      <w:ind w:leftChars="1400" w:left="2940"/>
      <w:jc w:val="both"/>
    </w:pPr>
    <w:rPr>
      <w:rFonts w:ascii="Calibri" w:hAnsi="Calibri" w:cs="Times New Roman"/>
      <w:kern w:val="2"/>
      <w:szCs w:val="22"/>
    </w:rPr>
  </w:style>
  <w:style w:type="paragraph" w:customStyle="1" w:styleId="3041">
    <w:name w:val="3041"/>
    <w:basedOn w:val="3237"/>
    <w:uiPriority w:val="39"/>
    <w:qFormat/>
    <w:pPr>
      <w:widowControl w:val="0"/>
      <w:ind w:leftChars="1600" w:left="3360"/>
      <w:jc w:val="both"/>
    </w:pPr>
    <w:rPr>
      <w:rFonts w:ascii="Calibri" w:hAnsi="Calibri" w:cs="Times New Roman"/>
      <w:kern w:val="2"/>
      <w:szCs w:val="22"/>
    </w:rPr>
  </w:style>
  <w:style w:type="paragraph" w:customStyle="1" w:styleId="3039">
    <w:name w:val="3039"/>
    <w:basedOn w:val="3237"/>
    <w:uiPriority w:val="99"/>
    <w:qFormat/>
    <w:pPr>
      <w:spacing w:before="100" w:beforeAutospacing="1" w:after="100" w:afterAutospacing="1"/>
    </w:pPr>
    <w:rPr>
      <w:sz w:val="24"/>
    </w:rPr>
  </w:style>
  <w:style w:type="paragraph" w:customStyle="1" w:styleId="3038">
    <w:name w:val="3038"/>
    <w:basedOn w:val="3237"/>
    <w:uiPriority w:val="99"/>
    <w:semiHidden/>
    <w:qFormat/>
    <w:pPr>
      <w:snapToGrid w:val="0"/>
    </w:pPr>
  </w:style>
  <w:style w:type="paragraph" w:customStyle="1" w:styleId="3032">
    <w:name w:val="3032"/>
    <w:basedOn w:val="3237"/>
    <w:uiPriority w:val="99"/>
    <w:qFormat/>
    <w:pPr>
      <w:widowControl w:val="0"/>
      <w:ind w:firstLineChars="200" w:firstLine="420"/>
      <w:jc w:val="both"/>
    </w:pPr>
    <w:rPr>
      <w:rFonts w:ascii="Times New Roman" w:hAnsi="Times New Roman" w:cs="Times New Roman"/>
      <w:kern w:val="2"/>
    </w:rPr>
  </w:style>
  <w:style w:type="paragraph" w:customStyle="1" w:styleId="3031">
    <w:name w:val="3031"/>
    <w:basedOn w:val="3237"/>
    <w:uiPriority w:val="99"/>
    <w:qFormat/>
    <w:pPr>
      <w:widowControl w:val="0"/>
      <w:tabs>
        <w:tab w:val="left" w:pos="1200"/>
      </w:tabs>
      <w:jc w:val="both"/>
    </w:pPr>
    <w:rPr>
      <w:rFonts w:ascii="Times New Roman" w:hAnsi="Times New Roman" w:cs="Times New Roman"/>
      <w:kern w:val="2"/>
    </w:rPr>
  </w:style>
  <w:style w:type="paragraph" w:customStyle="1" w:styleId="3030">
    <w:name w:val="3030"/>
    <w:basedOn w:val="3237"/>
    <w:uiPriority w:val="34"/>
    <w:qFormat/>
    <w:pPr>
      <w:widowControl w:val="0"/>
      <w:ind w:firstLineChars="200" w:firstLine="420"/>
      <w:jc w:val="both"/>
    </w:pPr>
    <w:rPr>
      <w:rFonts w:ascii="Calibri" w:hAnsi="Calibri" w:cs="Times New Roman"/>
      <w:kern w:val="2"/>
      <w:szCs w:val="22"/>
    </w:rPr>
  </w:style>
  <w:style w:type="paragraph" w:customStyle="1" w:styleId="3029">
    <w:name w:val="3029"/>
    <w:basedOn w:val="3237"/>
    <w:uiPriority w:val="34"/>
    <w:qFormat/>
    <w:pPr>
      <w:widowControl w:val="0"/>
      <w:ind w:firstLineChars="200" w:firstLine="420"/>
      <w:jc w:val="both"/>
    </w:pPr>
    <w:rPr>
      <w:rFonts w:ascii="Calibri" w:hAnsi="Calibri" w:cs="Times New Roman"/>
      <w:kern w:val="2"/>
      <w:szCs w:val="22"/>
    </w:rPr>
  </w:style>
  <w:style w:type="paragraph" w:customStyle="1" w:styleId="3028">
    <w:name w:val="3028"/>
    <w:basedOn w:val="3237"/>
    <w:uiPriority w:val="34"/>
    <w:qFormat/>
    <w:pPr>
      <w:widowControl w:val="0"/>
      <w:ind w:firstLineChars="200" w:firstLine="420"/>
      <w:jc w:val="both"/>
    </w:pPr>
    <w:rPr>
      <w:rFonts w:ascii="Calibri" w:hAnsi="Calibri" w:cs="Times New Roman"/>
      <w:kern w:val="2"/>
      <w:szCs w:val="22"/>
    </w:rPr>
  </w:style>
  <w:style w:type="paragraph" w:customStyle="1" w:styleId="3027">
    <w:name w:val="3027"/>
    <w:basedOn w:val="3237"/>
    <w:uiPriority w:val="34"/>
    <w:qFormat/>
    <w:pPr>
      <w:widowControl w:val="0"/>
      <w:ind w:firstLineChars="200" w:firstLine="420"/>
      <w:jc w:val="both"/>
    </w:pPr>
    <w:rPr>
      <w:rFonts w:ascii="Calibri" w:hAnsi="Calibri" w:cs="Times New Roman"/>
      <w:kern w:val="2"/>
      <w:szCs w:val="22"/>
    </w:rPr>
  </w:style>
  <w:style w:type="paragraph" w:customStyle="1" w:styleId="3025">
    <w:name w:val="3025"/>
    <w:basedOn w:val="3237"/>
    <w:uiPriority w:val="34"/>
    <w:qFormat/>
    <w:pPr>
      <w:widowControl w:val="0"/>
      <w:ind w:firstLineChars="200" w:firstLine="420"/>
      <w:jc w:val="both"/>
    </w:pPr>
    <w:rPr>
      <w:rFonts w:ascii="Calibri" w:hAnsi="Calibri" w:cs="Times New Roman"/>
      <w:kern w:val="2"/>
      <w:szCs w:val="22"/>
    </w:rPr>
  </w:style>
  <w:style w:type="paragraph" w:customStyle="1" w:styleId="3023">
    <w:name w:val="3023"/>
    <w:basedOn w:val="3237"/>
    <w:uiPriority w:val="34"/>
    <w:qFormat/>
    <w:pPr>
      <w:widowControl w:val="0"/>
      <w:ind w:firstLineChars="200" w:firstLine="420"/>
      <w:jc w:val="both"/>
    </w:pPr>
    <w:rPr>
      <w:rFonts w:ascii="Calibri" w:hAnsi="Calibri" w:cs="Times New Roman"/>
      <w:kern w:val="2"/>
      <w:szCs w:val="22"/>
    </w:rPr>
  </w:style>
  <w:style w:type="paragraph" w:customStyle="1" w:styleId="3021">
    <w:name w:val="3021"/>
    <w:uiPriority w:val="99"/>
    <w:qFormat/>
    <w:rPr>
      <w:sz w:val="21"/>
      <w:szCs w:val="24"/>
    </w:rPr>
  </w:style>
  <w:style w:type="paragraph" w:customStyle="1" w:styleId="3020">
    <w:name w:val="3020"/>
    <w:uiPriority w:val="99"/>
    <w:qFormat/>
    <w:pPr>
      <w:widowControl w:val="0"/>
      <w:autoSpaceDE w:val="0"/>
      <w:autoSpaceDN w:val="0"/>
      <w:adjustRightInd w:val="0"/>
    </w:pPr>
    <w:rPr>
      <w:rFonts w:ascii="黑体" w:eastAsia="黑体" w:cs="黑体"/>
      <w:color w:val="000000"/>
      <w:sz w:val="24"/>
      <w:szCs w:val="24"/>
    </w:rPr>
  </w:style>
  <w:style w:type="paragraph" w:customStyle="1" w:styleId="3019">
    <w:name w:val="3019"/>
    <w:uiPriority w:val="99"/>
    <w:qFormat/>
    <w:pPr>
      <w:snapToGrid w:val="0"/>
      <w:jc w:val="center"/>
    </w:pPr>
    <w:rPr>
      <w:color w:val="000000"/>
      <w:spacing w:val="-10"/>
      <w:sz w:val="22"/>
      <w:szCs w:val="22"/>
      <w:lang w:eastAsia="en-US"/>
    </w:rPr>
  </w:style>
  <w:style w:type="paragraph" w:customStyle="1" w:styleId="3017">
    <w:name w:val="3017"/>
    <w:basedOn w:val="3237"/>
    <w:uiPriority w:val="99"/>
    <w:qFormat/>
    <w:pPr>
      <w:spacing w:before="40"/>
      <w:ind w:left="450" w:hanging="450"/>
    </w:pPr>
    <w:rPr>
      <w:rFonts w:eastAsia="华文楷体"/>
      <w:color w:val="000000"/>
      <w:sz w:val="18"/>
      <w:szCs w:val="24"/>
    </w:rPr>
  </w:style>
  <w:style w:type="paragraph" w:customStyle="1" w:styleId="3016">
    <w:name w:val="3016"/>
    <w:uiPriority w:val="99"/>
    <w:qFormat/>
    <w:pPr>
      <w:snapToGrid w:val="0"/>
      <w:jc w:val="center"/>
    </w:pPr>
    <w:rPr>
      <w:rFonts w:ascii="Calibri" w:hAnsi="Calibri"/>
      <w:color w:val="000000"/>
      <w:spacing w:val="-10"/>
      <w:sz w:val="22"/>
      <w:szCs w:val="22"/>
      <w:lang w:eastAsia="en-US"/>
    </w:rPr>
  </w:style>
  <w:style w:type="paragraph" w:customStyle="1" w:styleId="3015">
    <w:name w:val="3015"/>
    <w:basedOn w:val="3236"/>
    <w:uiPriority w:val="39"/>
    <w:qFormat/>
    <w:pPr>
      <w:widowControl/>
      <w:spacing w:before="480" w:after="0" w:line="276" w:lineRule="auto"/>
      <w:outlineLvl w:val="9"/>
    </w:pPr>
    <w:rPr>
      <w:rFonts w:ascii="Cambria" w:eastAsia="宋体" w:hAnsi="Cambria"/>
      <w:color w:val="365F91"/>
      <w:kern w:val="0"/>
      <w:szCs w:val="28"/>
    </w:rPr>
  </w:style>
  <w:style w:type="paragraph" w:customStyle="1" w:styleId="3014">
    <w:name w:val="3014"/>
    <w:uiPriority w:val="99"/>
    <w:semiHidden/>
    <w:qFormat/>
    <w:rPr>
      <w:kern w:val="2"/>
      <w:sz w:val="21"/>
      <w:szCs w:val="22"/>
    </w:rPr>
  </w:style>
  <w:style w:type="paragraph" w:customStyle="1" w:styleId="3013">
    <w:name w:val="3013"/>
    <w:basedOn w:val="3237"/>
    <w:next w:val="aff7"/>
    <w:uiPriority w:val="34"/>
    <w:qFormat/>
    <w:pPr>
      <w:widowControl w:val="0"/>
      <w:ind w:firstLineChars="200" w:firstLine="420"/>
      <w:jc w:val="both"/>
    </w:pPr>
    <w:rPr>
      <w:rFonts w:ascii="Calibri" w:hAnsi="Calibri" w:cs="Times New Roman"/>
      <w:kern w:val="2"/>
      <w:szCs w:val="22"/>
    </w:rPr>
  </w:style>
  <w:style w:type="paragraph" w:customStyle="1" w:styleId="3012">
    <w:name w:val="3012"/>
    <w:basedOn w:val="3237"/>
    <w:next w:val="aff7"/>
    <w:uiPriority w:val="34"/>
    <w:qFormat/>
    <w:pPr>
      <w:widowControl w:val="0"/>
      <w:ind w:firstLineChars="200" w:firstLine="420"/>
      <w:jc w:val="both"/>
    </w:pPr>
    <w:rPr>
      <w:rFonts w:ascii="Calibri" w:hAnsi="Calibri" w:cs="Times New Roman"/>
      <w:kern w:val="2"/>
      <w:szCs w:val="22"/>
    </w:rPr>
  </w:style>
  <w:style w:type="paragraph" w:customStyle="1" w:styleId="3011">
    <w:name w:val="3011"/>
    <w:basedOn w:val="3173"/>
    <w:uiPriority w:val="99"/>
    <w:qFormat/>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3010">
    <w:name w:val="3010"/>
    <w:basedOn w:val="3173"/>
    <w:uiPriority w:val="99"/>
    <w:semiHidden/>
    <w:qFormat/>
    <w:pPr>
      <w:keepNext/>
      <w:keepLines/>
      <w:widowControl w:val="0"/>
      <w:spacing w:before="60" w:after="60"/>
      <w:ind w:left="200" w:hangingChars="200" w:hanging="200"/>
      <w:jc w:val="both"/>
      <w:outlineLvl w:val="1"/>
    </w:pPr>
    <w:rPr>
      <w:rFonts w:ascii="Arial" w:hAnsi="Arial" w:cs="Times New Roman"/>
      <w:b/>
      <w:bCs/>
      <w:kern w:val="2"/>
    </w:rPr>
  </w:style>
  <w:style w:type="paragraph" w:customStyle="1" w:styleId="3009">
    <w:name w:val="3009"/>
    <w:basedOn w:val="3173"/>
    <w:uiPriority w:val="99"/>
    <w:semiHidden/>
    <w:qFormat/>
    <w:pPr>
      <w:keepNext/>
      <w:keepLines/>
      <w:widowControl w:val="0"/>
      <w:spacing w:before="60" w:after="60"/>
      <w:jc w:val="both"/>
      <w:outlineLvl w:val="2"/>
    </w:pPr>
    <w:rPr>
      <w:rFonts w:ascii="Calibri" w:hAnsi="Calibri" w:cs="Times New Roman"/>
      <w:b/>
      <w:bCs/>
      <w:kern w:val="2"/>
      <w:szCs w:val="32"/>
    </w:rPr>
  </w:style>
  <w:style w:type="paragraph" w:customStyle="1" w:styleId="3008">
    <w:name w:val="3008"/>
    <w:basedOn w:val="3173"/>
    <w:uiPriority w:val="99"/>
    <w:semiHidden/>
    <w:qFormat/>
    <w:pPr>
      <w:keepNext/>
      <w:keepLines/>
      <w:widowControl w:val="0"/>
      <w:spacing w:before="60" w:after="60"/>
      <w:jc w:val="both"/>
      <w:outlineLvl w:val="3"/>
    </w:pPr>
    <w:rPr>
      <w:rFonts w:ascii="Cambria" w:hAnsi="Cambria" w:cs="Times New Roman"/>
      <w:b/>
      <w:bCs/>
      <w:kern w:val="2"/>
      <w:szCs w:val="28"/>
    </w:rPr>
  </w:style>
  <w:style w:type="paragraph" w:customStyle="1" w:styleId="3007">
    <w:name w:val="3007"/>
    <w:basedOn w:val="3173"/>
    <w:uiPriority w:val="99"/>
    <w:semiHidden/>
    <w:qFormat/>
    <w:pPr>
      <w:keepNext/>
      <w:keepLines/>
      <w:widowControl w:val="0"/>
      <w:spacing w:before="60" w:after="60"/>
      <w:jc w:val="both"/>
      <w:outlineLvl w:val="4"/>
    </w:pPr>
    <w:rPr>
      <w:rFonts w:ascii="Calibri" w:hAnsi="Calibri" w:cs="Times New Roman"/>
      <w:b/>
      <w:bCs/>
      <w:kern w:val="2"/>
      <w:szCs w:val="28"/>
    </w:rPr>
  </w:style>
  <w:style w:type="paragraph" w:customStyle="1" w:styleId="3006">
    <w:name w:val="3006"/>
    <w:basedOn w:val="3173"/>
    <w:uiPriority w:val="99"/>
    <w:semiHidden/>
    <w:qFormat/>
    <w:pPr>
      <w:keepNext/>
      <w:keepLines/>
      <w:spacing w:before="60" w:after="60"/>
      <w:outlineLvl w:val="5"/>
    </w:pPr>
    <w:rPr>
      <w:rFonts w:ascii="Cambria" w:hAnsi="Cambria" w:cs="Times New Roman"/>
      <w:b/>
      <w:bCs/>
    </w:rPr>
  </w:style>
  <w:style w:type="paragraph" w:customStyle="1" w:styleId="3005">
    <w:name w:val="3005"/>
    <w:basedOn w:val="3173"/>
    <w:uiPriority w:val="99"/>
    <w:semiHidden/>
    <w:qFormat/>
    <w:pPr>
      <w:keepNext/>
      <w:keepLines/>
      <w:spacing w:before="240" w:after="64" w:line="319" w:lineRule="auto"/>
      <w:outlineLvl w:val="6"/>
    </w:pPr>
    <w:rPr>
      <w:b/>
      <w:bCs/>
      <w:sz w:val="24"/>
    </w:rPr>
  </w:style>
  <w:style w:type="paragraph" w:customStyle="1" w:styleId="3004">
    <w:name w:val="3004"/>
    <w:basedOn w:val="3173"/>
    <w:uiPriority w:val="99"/>
    <w:semiHidden/>
    <w:qFormat/>
    <w:pPr>
      <w:keepNext/>
      <w:keepLines/>
      <w:widowControl w:val="0"/>
      <w:adjustRightInd w:val="0"/>
      <w:spacing w:before="240" w:after="64" w:line="320" w:lineRule="atLeast"/>
      <w:outlineLvl w:val="7"/>
    </w:pPr>
    <w:rPr>
      <w:rFonts w:ascii="Arial" w:eastAsia="黑体" w:hAnsi="Arial" w:cs="Times New Roman"/>
      <w:bCs/>
      <w:color w:val="000000"/>
      <w:sz w:val="24"/>
      <w:szCs w:val="20"/>
    </w:rPr>
  </w:style>
  <w:style w:type="paragraph" w:customStyle="1" w:styleId="3003">
    <w:name w:val="3003"/>
    <w:basedOn w:val="3173"/>
    <w:uiPriority w:val="99"/>
    <w:semiHidden/>
    <w:qFormat/>
    <w:pPr>
      <w:keepNext/>
      <w:keepLines/>
      <w:widowControl w:val="0"/>
      <w:adjustRightInd w:val="0"/>
      <w:spacing w:before="240" w:after="64" w:line="320" w:lineRule="atLeast"/>
      <w:outlineLvl w:val="8"/>
    </w:pPr>
    <w:rPr>
      <w:rFonts w:ascii="Arial" w:eastAsia="黑体" w:hAnsi="Arial" w:cs="Times New Roman"/>
      <w:bCs/>
      <w:color w:val="000000"/>
      <w:sz w:val="24"/>
      <w:szCs w:val="20"/>
    </w:rPr>
  </w:style>
  <w:style w:type="paragraph" w:customStyle="1" w:styleId="3001">
    <w:name w:val="3001"/>
    <w:basedOn w:val="3173"/>
    <w:uiPriority w:val="99"/>
    <w:qFormat/>
    <w:pPr>
      <w:widowControl w:val="0"/>
      <w:ind w:leftChars="1200" w:left="2520"/>
      <w:jc w:val="both"/>
    </w:pPr>
    <w:rPr>
      <w:rFonts w:ascii="Calibri" w:hAnsi="Calibri" w:cs="Times New Roman"/>
      <w:kern w:val="2"/>
      <w:szCs w:val="22"/>
    </w:rPr>
  </w:style>
  <w:style w:type="paragraph" w:customStyle="1" w:styleId="3000">
    <w:name w:val="3000"/>
    <w:basedOn w:val="3173"/>
    <w:uiPriority w:val="99"/>
    <w:qFormat/>
    <w:pPr>
      <w:widowControl w:val="0"/>
      <w:ind w:firstLineChars="200" w:firstLine="420"/>
      <w:jc w:val="both"/>
    </w:pPr>
    <w:rPr>
      <w:rFonts w:ascii="Times New Roman" w:hAnsi="Times New Roman" w:cs="Times New Roman"/>
      <w:kern w:val="2"/>
    </w:rPr>
  </w:style>
  <w:style w:type="paragraph" w:customStyle="1" w:styleId="2999">
    <w:name w:val="2999"/>
    <w:basedOn w:val="3173"/>
    <w:uiPriority w:val="99"/>
    <w:qFormat/>
    <w:pPr>
      <w:widowControl w:val="0"/>
      <w:jc w:val="both"/>
    </w:pPr>
    <w:rPr>
      <w:rFonts w:hAnsi="Calibri" w:cs="Times New Roman"/>
      <w:kern w:val="2"/>
      <w:sz w:val="18"/>
      <w:szCs w:val="18"/>
    </w:rPr>
  </w:style>
  <w:style w:type="paragraph" w:customStyle="1" w:styleId="2998">
    <w:name w:val="2998"/>
    <w:basedOn w:val="3173"/>
    <w:uiPriority w:val="99"/>
    <w:qFormat/>
    <w:pPr>
      <w:widowControl w:val="0"/>
      <w:spacing w:before="120"/>
      <w:jc w:val="both"/>
    </w:pPr>
    <w:rPr>
      <w:rFonts w:ascii="Arial" w:hAnsi="Arial" w:cs="Times New Roman"/>
      <w:b/>
      <w:bCs/>
      <w:kern w:val="2"/>
    </w:rPr>
  </w:style>
  <w:style w:type="paragraph" w:customStyle="1" w:styleId="2997">
    <w:name w:val="2997"/>
    <w:basedOn w:val="3173"/>
    <w:uiPriority w:val="99"/>
    <w:qFormat/>
    <w:pPr>
      <w:widowControl w:val="0"/>
    </w:pPr>
    <w:rPr>
      <w:rFonts w:ascii="Times New Roman" w:hAnsi="Times New Roman" w:cs="Times New Roman"/>
      <w:kern w:val="2"/>
    </w:rPr>
  </w:style>
  <w:style w:type="paragraph" w:customStyle="1" w:styleId="2996">
    <w:name w:val="2996"/>
    <w:basedOn w:val="3173"/>
    <w:uiPriority w:val="99"/>
    <w:qFormat/>
    <w:pPr>
      <w:widowControl w:val="0"/>
      <w:jc w:val="both"/>
    </w:pPr>
    <w:rPr>
      <w:rFonts w:ascii="Times New Roman" w:hAnsi="Times New Roman" w:cs="Times New Roman"/>
      <w:kern w:val="2"/>
    </w:rPr>
  </w:style>
  <w:style w:type="paragraph" w:customStyle="1" w:styleId="2995">
    <w:name w:val="2995"/>
    <w:basedOn w:val="3173"/>
    <w:uiPriority w:val="99"/>
    <w:qFormat/>
    <w:pPr>
      <w:widowControl w:val="0"/>
      <w:tabs>
        <w:tab w:val="left" w:pos="1200"/>
      </w:tabs>
      <w:jc w:val="both"/>
    </w:pPr>
    <w:rPr>
      <w:rFonts w:ascii="Times New Roman" w:hAnsi="Times New Roman" w:cs="Times New Roman"/>
      <w:kern w:val="2"/>
    </w:rPr>
  </w:style>
  <w:style w:type="paragraph" w:customStyle="1" w:styleId="2994">
    <w:name w:val="2994"/>
    <w:basedOn w:val="3173"/>
    <w:uiPriority w:val="99"/>
    <w:qFormat/>
    <w:pPr>
      <w:widowControl w:val="0"/>
      <w:spacing w:after="120"/>
      <w:jc w:val="both"/>
    </w:pPr>
    <w:rPr>
      <w:rFonts w:ascii="Times New Roman" w:hAnsi="Times New Roman" w:cs="Times New Roman"/>
      <w:kern w:val="2"/>
    </w:rPr>
  </w:style>
  <w:style w:type="paragraph" w:customStyle="1" w:styleId="2993">
    <w:name w:val="2993"/>
    <w:basedOn w:val="3173"/>
    <w:uiPriority w:val="99"/>
    <w:qFormat/>
    <w:pPr>
      <w:widowControl w:val="0"/>
      <w:ind w:leftChars="800" w:left="1680"/>
      <w:jc w:val="both"/>
    </w:pPr>
    <w:rPr>
      <w:rFonts w:ascii="Calibri" w:hAnsi="Calibri" w:cs="Times New Roman"/>
      <w:kern w:val="2"/>
      <w:szCs w:val="22"/>
    </w:rPr>
  </w:style>
  <w:style w:type="paragraph" w:customStyle="1" w:styleId="2992">
    <w:name w:val="2992"/>
    <w:basedOn w:val="3173"/>
    <w:uiPriority w:val="99"/>
    <w:qFormat/>
    <w:pPr>
      <w:spacing w:after="100" w:line="276" w:lineRule="auto"/>
      <w:ind w:left="440"/>
    </w:pPr>
    <w:rPr>
      <w:rFonts w:ascii="Calibri" w:hAnsi="Calibri" w:cs="Times New Roman"/>
      <w:sz w:val="22"/>
      <w:szCs w:val="22"/>
    </w:rPr>
  </w:style>
  <w:style w:type="paragraph" w:customStyle="1" w:styleId="2991">
    <w:name w:val="2991"/>
    <w:basedOn w:val="3173"/>
    <w:uiPriority w:val="99"/>
    <w:qFormat/>
    <w:pPr>
      <w:widowControl w:val="0"/>
      <w:jc w:val="both"/>
    </w:pPr>
    <w:rPr>
      <w:rFonts w:hAnsi="Courier New" w:cs="Times New Roman"/>
      <w:kern w:val="2"/>
      <w:szCs w:val="20"/>
    </w:rPr>
  </w:style>
  <w:style w:type="paragraph" w:customStyle="1" w:styleId="2990">
    <w:name w:val="2990"/>
    <w:basedOn w:val="3173"/>
    <w:uiPriority w:val="99"/>
    <w:qFormat/>
    <w:pPr>
      <w:widowControl w:val="0"/>
      <w:ind w:leftChars="1400" w:left="2940"/>
      <w:jc w:val="both"/>
    </w:pPr>
    <w:rPr>
      <w:rFonts w:ascii="Calibri" w:hAnsi="Calibri" w:cs="Times New Roman"/>
      <w:kern w:val="2"/>
      <w:szCs w:val="22"/>
    </w:rPr>
  </w:style>
  <w:style w:type="paragraph" w:customStyle="1" w:styleId="2989">
    <w:name w:val="2989"/>
    <w:basedOn w:val="3173"/>
    <w:uiPriority w:val="99"/>
    <w:qFormat/>
    <w:pPr>
      <w:widowControl w:val="0"/>
      <w:ind w:leftChars="2500" w:left="100"/>
      <w:jc w:val="both"/>
    </w:pPr>
    <w:rPr>
      <w:rFonts w:ascii="Times New Roman" w:hAnsi="Times New Roman" w:cs="Times New Roman"/>
      <w:kern w:val="2"/>
    </w:rPr>
  </w:style>
  <w:style w:type="paragraph" w:customStyle="1" w:styleId="2988">
    <w:name w:val="2988"/>
    <w:basedOn w:val="3173"/>
    <w:uiPriority w:val="99"/>
    <w:qFormat/>
    <w:pPr>
      <w:snapToGrid w:val="0"/>
    </w:pPr>
  </w:style>
  <w:style w:type="paragraph" w:customStyle="1" w:styleId="2987">
    <w:name w:val="2987"/>
    <w:basedOn w:val="3173"/>
    <w:uiPriority w:val="99"/>
    <w:qFormat/>
    <w:pPr>
      <w:widowControl w:val="0"/>
      <w:jc w:val="both"/>
    </w:pPr>
    <w:rPr>
      <w:rFonts w:ascii="Calibri" w:hAnsi="Calibri" w:cs="Times New Roman"/>
      <w:kern w:val="2"/>
      <w:sz w:val="18"/>
      <w:szCs w:val="18"/>
    </w:rPr>
  </w:style>
  <w:style w:type="paragraph" w:customStyle="1" w:styleId="2986">
    <w:name w:val="2986"/>
    <w:basedOn w:val="3173"/>
    <w:uiPriority w:val="99"/>
    <w:qFormat/>
    <w:pPr>
      <w:widowControl w:val="0"/>
      <w:tabs>
        <w:tab w:val="center" w:pos="4153"/>
        <w:tab w:val="right" w:pos="8306"/>
      </w:tabs>
      <w:snapToGrid w:val="0"/>
    </w:pPr>
    <w:rPr>
      <w:rFonts w:ascii="Calibri" w:hAnsi="Calibri" w:cs="Times New Roman"/>
      <w:kern w:val="2"/>
      <w:sz w:val="18"/>
      <w:szCs w:val="18"/>
    </w:rPr>
  </w:style>
  <w:style w:type="paragraph" w:customStyle="1" w:styleId="2985">
    <w:name w:val="2985"/>
    <w:basedOn w:val="3173"/>
    <w:uiPriority w:val="99"/>
    <w:qFormat/>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2984">
    <w:name w:val="2984"/>
    <w:basedOn w:val="3173"/>
    <w:uiPriority w:val="99"/>
    <w:qFormat/>
    <w:pPr>
      <w:widowControl w:val="0"/>
      <w:tabs>
        <w:tab w:val="left" w:pos="1260"/>
        <w:tab w:val="right" w:leader="dot" w:pos="8823"/>
      </w:tabs>
      <w:jc w:val="center"/>
    </w:pPr>
    <w:rPr>
      <w:rFonts w:ascii="Times New Roman" w:hAnsi="Times New Roman" w:cs="Times New Roman"/>
      <w:kern w:val="2"/>
    </w:rPr>
  </w:style>
  <w:style w:type="paragraph" w:customStyle="1" w:styleId="2983">
    <w:name w:val="2983"/>
    <w:basedOn w:val="3173"/>
    <w:uiPriority w:val="99"/>
    <w:qFormat/>
    <w:pPr>
      <w:widowControl w:val="0"/>
      <w:ind w:leftChars="600" w:left="1260"/>
      <w:jc w:val="both"/>
    </w:pPr>
    <w:rPr>
      <w:rFonts w:ascii="Calibri" w:hAnsi="Calibri" w:cs="Times New Roman"/>
      <w:kern w:val="2"/>
      <w:szCs w:val="22"/>
    </w:rPr>
  </w:style>
  <w:style w:type="paragraph" w:customStyle="1" w:styleId="2982">
    <w:name w:val="2982"/>
    <w:basedOn w:val="3173"/>
    <w:uiPriority w:val="99"/>
    <w:qFormat/>
    <w:pPr>
      <w:widowControl w:val="0"/>
      <w:ind w:leftChars="1000" w:left="2100"/>
      <w:jc w:val="both"/>
    </w:pPr>
    <w:rPr>
      <w:rFonts w:ascii="Calibri" w:hAnsi="Calibri" w:cs="Times New Roman"/>
      <w:kern w:val="2"/>
      <w:szCs w:val="22"/>
    </w:rPr>
  </w:style>
  <w:style w:type="paragraph" w:customStyle="1" w:styleId="2981">
    <w:name w:val="2981"/>
    <w:basedOn w:val="3173"/>
    <w:uiPriority w:val="99"/>
    <w:qFormat/>
    <w:pPr>
      <w:widowControl w:val="0"/>
      <w:ind w:leftChars="200" w:left="420"/>
      <w:jc w:val="both"/>
    </w:pPr>
    <w:rPr>
      <w:rFonts w:ascii="Times New Roman" w:hAnsi="Times New Roman" w:cs="Times New Roman"/>
      <w:kern w:val="2"/>
    </w:rPr>
  </w:style>
  <w:style w:type="paragraph" w:customStyle="1" w:styleId="2980">
    <w:name w:val="2980"/>
    <w:basedOn w:val="3173"/>
    <w:uiPriority w:val="99"/>
    <w:qFormat/>
    <w:pPr>
      <w:widowControl w:val="0"/>
      <w:ind w:leftChars="1600" w:left="3360"/>
      <w:jc w:val="both"/>
    </w:pPr>
    <w:rPr>
      <w:rFonts w:ascii="Calibri" w:hAnsi="Calibri" w:cs="Times New Roman"/>
      <w:kern w:val="2"/>
      <w:szCs w:val="22"/>
    </w:rPr>
  </w:style>
  <w:style w:type="paragraph" w:customStyle="1" w:styleId="2979">
    <w:name w:val="2979"/>
    <w:basedOn w:val="3173"/>
    <w:uiPriority w:val="99"/>
    <w:qFormat/>
    <w:pPr>
      <w:spacing w:before="100" w:beforeAutospacing="1" w:after="100" w:afterAutospacing="1"/>
    </w:pPr>
    <w:rPr>
      <w:sz w:val="24"/>
    </w:rPr>
  </w:style>
  <w:style w:type="paragraph" w:customStyle="1" w:styleId="2978">
    <w:name w:val="2978"/>
    <w:basedOn w:val="3173"/>
    <w:uiPriority w:val="99"/>
    <w:qFormat/>
    <w:pPr>
      <w:ind w:firstLineChars="200" w:firstLine="420"/>
    </w:pPr>
    <w:rPr>
      <w:rFonts w:cs="Times New Roman"/>
      <w:color w:val="000000"/>
    </w:rPr>
  </w:style>
  <w:style w:type="paragraph" w:customStyle="1" w:styleId="2977">
    <w:name w:val="2977"/>
    <w:basedOn w:val="3173"/>
    <w:uiPriority w:val="99"/>
    <w:qFormat/>
    <w:pPr>
      <w:widowControl w:val="0"/>
      <w:spacing w:before="240" w:after="60"/>
      <w:jc w:val="center"/>
      <w:outlineLvl w:val="0"/>
    </w:pPr>
    <w:rPr>
      <w:rFonts w:ascii="Cambria" w:hAnsi="Cambria" w:cs="Times New Roman"/>
      <w:b/>
      <w:bCs/>
      <w:kern w:val="2"/>
      <w:sz w:val="32"/>
      <w:szCs w:val="32"/>
    </w:rPr>
  </w:style>
  <w:style w:type="paragraph" w:customStyle="1" w:styleId="2976">
    <w:name w:val="2976"/>
    <w:basedOn w:val="2997"/>
    <w:uiPriority w:val="99"/>
    <w:qFormat/>
    <w:rPr>
      <w:rFonts w:ascii="Calibri" w:hAnsi="Calibri"/>
      <w:b/>
      <w:bCs/>
      <w:szCs w:val="22"/>
    </w:rPr>
  </w:style>
  <w:style w:type="paragraph" w:customStyle="1" w:styleId="2966">
    <w:name w:val="2966"/>
    <w:basedOn w:val="3011"/>
    <w:uiPriority w:val="39"/>
    <w:qFormat/>
    <w:pPr>
      <w:widowControl/>
      <w:spacing w:before="480" w:after="0" w:line="276" w:lineRule="auto"/>
      <w:outlineLvl w:val="9"/>
    </w:pPr>
    <w:rPr>
      <w:rFonts w:ascii="Cambria" w:eastAsia="宋体" w:hAnsi="Cambria"/>
      <w:color w:val="365F91"/>
      <w:kern w:val="0"/>
      <w:szCs w:val="28"/>
    </w:rPr>
  </w:style>
  <w:style w:type="paragraph" w:customStyle="1" w:styleId="2961">
    <w:name w:val="2961"/>
    <w:basedOn w:val="3173"/>
    <w:uiPriority w:val="99"/>
    <w:qFormat/>
    <w:pPr>
      <w:spacing w:before="100" w:after="100"/>
      <w:jc w:val="right"/>
    </w:pPr>
    <w:rPr>
      <w:rFonts w:ascii="Arial Unicode MS" w:eastAsia="Arial Unicode MS" w:hAnsi="Times New Roman" w:cs="Times New Roman"/>
      <w:sz w:val="18"/>
      <w:szCs w:val="18"/>
    </w:rPr>
  </w:style>
  <w:style w:type="paragraph" w:customStyle="1" w:styleId="2960">
    <w:name w:val="2960"/>
    <w:basedOn w:val="3173"/>
    <w:uiPriority w:val="34"/>
    <w:qFormat/>
    <w:pPr>
      <w:widowControl w:val="0"/>
      <w:ind w:firstLineChars="200" w:firstLine="420"/>
      <w:jc w:val="both"/>
    </w:pPr>
    <w:rPr>
      <w:rFonts w:ascii="Calibri" w:hAnsi="Calibri" w:cs="Times New Roman"/>
      <w:kern w:val="2"/>
      <w:szCs w:val="22"/>
    </w:rPr>
  </w:style>
  <w:style w:type="paragraph" w:customStyle="1" w:styleId="2953">
    <w:name w:val="2953"/>
    <w:basedOn w:val="3173"/>
    <w:uiPriority w:val="99"/>
    <w:qFormat/>
    <w:pPr>
      <w:tabs>
        <w:tab w:val="left" w:pos="709"/>
      </w:tabs>
      <w:overflowPunct w:val="0"/>
      <w:autoSpaceDE w:val="0"/>
      <w:autoSpaceDN w:val="0"/>
      <w:adjustRightInd w:val="0"/>
      <w:jc w:val="both"/>
    </w:pPr>
    <w:rPr>
      <w:rFonts w:ascii="Helvetica-Narrow" w:hAnsi="Helvetica-Narrow" w:cs="Times New Roman"/>
      <w:lang w:val="en-AU"/>
    </w:rPr>
  </w:style>
  <w:style w:type="paragraph" w:customStyle="1" w:styleId="2950">
    <w:name w:val="2950"/>
    <w:basedOn w:val="3173"/>
    <w:uiPriority w:val="99"/>
    <w:qFormat/>
    <w:pPr>
      <w:keepNext/>
      <w:keepLines/>
      <w:widowControl w:val="0"/>
      <w:spacing w:before="60" w:after="60"/>
      <w:ind w:hangingChars="200" w:hanging="420"/>
      <w:jc w:val="both"/>
      <w:outlineLvl w:val="4"/>
    </w:pPr>
    <w:rPr>
      <w:rFonts w:cs="Times New Roman"/>
      <w:b/>
      <w:bCs/>
      <w:kern w:val="2"/>
    </w:rPr>
  </w:style>
  <w:style w:type="paragraph" w:customStyle="1" w:styleId="2949">
    <w:name w:val="2949"/>
    <w:uiPriority w:val="99"/>
    <w:semiHidden/>
    <w:qFormat/>
    <w:rPr>
      <w:kern w:val="2"/>
      <w:sz w:val="21"/>
      <w:szCs w:val="22"/>
    </w:rPr>
  </w:style>
  <w:style w:type="paragraph" w:customStyle="1" w:styleId="2947">
    <w:name w:val="2947"/>
    <w:basedOn w:val="3173"/>
    <w:uiPriority w:val="99"/>
    <w:qFormat/>
    <w:pPr>
      <w:widowControl w:val="0"/>
      <w:spacing w:before="100" w:after="100"/>
      <w:jc w:val="both"/>
    </w:pPr>
    <w:rPr>
      <w:rFonts w:ascii="Calibri" w:hAnsi="Calibri" w:cs="Times New Roman"/>
      <w:kern w:val="2"/>
    </w:rPr>
  </w:style>
  <w:style w:type="paragraph" w:customStyle="1" w:styleId="2943">
    <w:name w:val="2943"/>
    <w:uiPriority w:val="1"/>
    <w:qFormat/>
    <w:pPr>
      <w:widowControl w:val="0"/>
      <w:jc w:val="both"/>
    </w:pPr>
    <w:rPr>
      <w:kern w:val="2"/>
      <w:sz w:val="21"/>
      <w:szCs w:val="22"/>
    </w:rPr>
  </w:style>
  <w:style w:type="paragraph" w:customStyle="1" w:styleId="2939">
    <w:name w:val="2939"/>
    <w:uiPriority w:val="99"/>
    <w:qFormat/>
    <w:rPr>
      <w:rFonts w:ascii="Calibri" w:hAnsi="Calibri"/>
      <w:b/>
      <w:sz w:val="21"/>
      <w:szCs w:val="22"/>
    </w:rPr>
  </w:style>
  <w:style w:type="paragraph" w:customStyle="1" w:styleId="2938">
    <w:name w:val="2938"/>
    <w:basedOn w:val="3173"/>
    <w:uiPriority w:val="99"/>
    <w:qFormat/>
    <w:pPr>
      <w:widowControl w:val="0"/>
    </w:pPr>
    <w:rPr>
      <w:rFonts w:ascii="Times New Roman" w:hAnsi="Times New Roman" w:cs="Times New Roman"/>
      <w:kern w:val="2"/>
    </w:rPr>
  </w:style>
  <w:style w:type="paragraph" w:customStyle="1" w:styleId="2937">
    <w:name w:val="2937"/>
    <w:basedOn w:val="3173"/>
    <w:uiPriority w:val="99"/>
    <w:qFormat/>
    <w:pPr>
      <w:keepNext/>
      <w:keepLines/>
      <w:widowControl w:val="0"/>
      <w:spacing w:before="100" w:beforeAutospacing="1" w:after="100" w:afterAutospacing="1" w:line="412" w:lineRule="auto"/>
      <w:jc w:val="both"/>
    </w:pPr>
    <w:rPr>
      <w:rFonts w:ascii="Times New Roman" w:hAnsi="Times New Roman" w:cs="Times New Roman"/>
      <w:b/>
      <w:kern w:val="2"/>
    </w:rPr>
  </w:style>
  <w:style w:type="paragraph" w:customStyle="1" w:styleId="2931">
    <w:name w:val="2931"/>
    <w:basedOn w:val="3173"/>
    <w:uiPriority w:val="34"/>
    <w:qFormat/>
    <w:pPr>
      <w:widowControl w:val="0"/>
      <w:ind w:firstLineChars="200" w:firstLine="420"/>
      <w:jc w:val="both"/>
    </w:pPr>
    <w:rPr>
      <w:rFonts w:ascii="Calibri" w:hAnsi="Calibri" w:cs="Times New Roman"/>
      <w:kern w:val="2"/>
      <w:szCs w:val="22"/>
    </w:rPr>
  </w:style>
  <w:style w:type="paragraph" w:customStyle="1" w:styleId="2930">
    <w:name w:val="2930"/>
    <w:basedOn w:val="3173"/>
    <w:uiPriority w:val="34"/>
    <w:qFormat/>
    <w:pPr>
      <w:widowControl w:val="0"/>
      <w:ind w:firstLineChars="200" w:firstLine="420"/>
      <w:jc w:val="both"/>
    </w:pPr>
    <w:rPr>
      <w:rFonts w:ascii="Calibri" w:hAnsi="Calibri" w:cs="Times New Roman"/>
      <w:kern w:val="2"/>
      <w:szCs w:val="22"/>
    </w:rPr>
  </w:style>
  <w:style w:type="paragraph" w:customStyle="1" w:styleId="2928">
    <w:name w:val="2928"/>
    <w:basedOn w:val="3173"/>
    <w:uiPriority w:val="34"/>
    <w:qFormat/>
    <w:pPr>
      <w:widowControl w:val="0"/>
      <w:ind w:firstLineChars="200" w:firstLine="420"/>
      <w:jc w:val="both"/>
    </w:pPr>
    <w:rPr>
      <w:rFonts w:ascii="Calibri" w:hAnsi="Calibri" w:cs="Times New Roman"/>
      <w:kern w:val="2"/>
      <w:szCs w:val="22"/>
    </w:rPr>
  </w:style>
  <w:style w:type="paragraph" w:customStyle="1" w:styleId="2927">
    <w:name w:val="2927"/>
    <w:basedOn w:val="3173"/>
    <w:uiPriority w:val="34"/>
    <w:qFormat/>
    <w:pPr>
      <w:widowControl w:val="0"/>
      <w:ind w:firstLineChars="200" w:firstLine="420"/>
      <w:jc w:val="both"/>
    </w:pPr>
    <w:rPr>
      <w:rFonts w:ascii="Calibri" w:hAnsi="Calibri" w:cs="Times New Roman"/>
      <w:kern w:val="2"/>
      <w:szCs w:val="22"/>
    </w:rPr>
  </w:style>
  <w:style w:type="paragraph" w:customStyle="1" w:styleId="2926">
    <w:name w:val="2926"/>
    <w:basedOn w:val="3173"/>
    <w:uiPriority w:val="1"/>
    <w:qFormat/>
    <w:pPr>
      <w:widowControl w:val="0"/>
      <w:autoSpaceDE w:val="0"/>
      <w:autoSpaceDN w:val="0"/>
      <w:spacing w:after="160" w:line="256" w:lineRule="auto"/>
    </w:pPr>
    <w:rPr>
      <w:rFonts w:ascii="Noto Sans CJK JP Regular" w:eastAsia="Noto Sans CJK JP Regular" w:hAnsi="Noto Sans CJK JP Regular" w:cs="Noto Sans CJK JP Regular"/>
      <w:sz w:val="22"/>
      <w:szCs w:val="22"/>
      <w:lang w:eastAsia="en-US"/>
    </w:rPr>
  </w:style>
  <w:style w:type="paragraph" w:customStyle="1" w:styleId="2924">
    <w:name w:val="2924"/>
    <w:basedOn w:val="3173"/>
    <w:uiPriority w:val="99"/>
    <w:qFormat/>
    <w:pPr>
      <w:widowControl w:val="0"/>
      <w:jc w:val="both"/>
    </w:pPr>
    <w:rPr>
      <w:rFonts w:ascii="Times New Roman" w:hAnsi="Times New Roman" w:cs="Times New Roman"/>
      <w:kern w:val="2"/>
    </w:rPr>
  </w:style>
  <w:style w:type="paragraph" w:customStyle="1" w:styleId="2922">
    <w:name w:val="2922"/>
    <w:basedOn w:val="3173"/>
    <w:uiPriority w:val="34"/>
    <w:qFormat/>
    <w:pPr>
      <w:widowControl w:val="0"/>
      <w:ind w:firstLineChars="200" w:firstLine="420"/>
      <w:jc w:val="both"/>
    </w:pPr>
    <w:rPr>
      <w:rFonts w:ascii="Calibri" w:hAnsi="Calibri" w:cs="Times New Roman"/>
      <w:kern w:val="2"/>
      <w:szCs w:val="22"/>
    </w:rPr>
  </w:style>
  <w:style w:type="paragraph" w:customStyle="1" w:styleId="2917">
    <w:name w:val="2917"/>
    <w:basedOn w:val="3173"/>
    <w:uiPriority w:val="34"/>
    <w:qFormat/>
    <w:pPr>
      <w:widowControl w:val="0"/>
      <w:ind w:firstLineChars="200" w:firstLine="420"/>
      <w:jc w:val="both"/>
    </w:pPr>
    <w:rPr>
      <w:rFonts w:ascii="Calibri" w:hAnsi="Calibri" w:cs="Times New Roman"/>
      <w:kern w:val="2"/>
      <w:szCs w:val="22"/>
    </w:rPr>
  </w:style>
  <w:style w:type="paragraph" w:customStyle="1" w:styleId="2915">
    <w:name w:val="2915"/>
    <w:basedOn w:val="3173"/>
    <w:uiPriority w:val="99"/>
    <w:qFormat/>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2911">
    <w:name w:val="2911"/>
    <w:basedOn w:val="3173"/>
    <w:uiPriority w:val="99"/>
    <w:qFormat/>
    <w:pPr>
      <w:widowControl w:val="0"/>
      <w:jc w:val="both"/>
    </w:pPr>
    <w:rPr>
      <w:rFonts w:ascii="Times New Roman" w:hAnsi="Times New Roman" w:cs="Times New Roman"/>
      <w:bCs/>
      <w:kern w:val="2"/>
      <w:sz w:val="24"/>
      <w:szCs w:val="24"/>
    </w:rPr>
  </w:style>
  <w:style w:type="paragraph" w:customStyle="1" w:styleId="2910">
    <w:name w:val="2910"/>
    <w:basedOn w:val="3173"/>
    <w:uiPriority w:val="99"/>
    <w:qFormat/>
    <w:pPr>
      <w:widowControl w:val="0"/>
      <w:tabs>
        <w:tab w:val="left" w:pos="315"/>
      </w:tabs>
      <w:ind w:left="315" w:hanging="315"/>
      <w:jc w:val="both"/>
    </w:pPr>
    <w:rPr>
      <w:rFonts w:ascii="Times New Roman" w:hAnsi="Times New Roman" w:cs="Times New Roman"/>
      <w:bCs/>
      <w:kern w:val="2"/>
      <w:sz w:val="24"/>
      <w:szCs w:val="24"/>
    </w:rPr>
  </w:style>
  <w:style w:type="paragraph" w:customStyle="1" w:styleId="2909">
    <w:name w:val="2909"/>
    <w:basedOn w:val="3173"/>
    <w:uiPriority w:val="99"/>
    <w:qFormat/>
    <w:pPr>
      <w:widowControl w:val="0"/>
      <w:autoSpaceDE w:val="0"/>
      <w:autoSpaceDN w:val="0"/>
      <w:adjustRightInd w:val="0"/>
    </w:pPr>
    <w:rPr>
      <w:rFonts w:ascii="Times New Roman" w:hAnsi="Times New Roman" w:cs="Times New Roman"/>
      <w:bCs/>
      <w:kern w:val="2"/>
      <w:sz w:val="30"/>
      <w:szCs w:val="20"/>
    </w:rPr>
  </w:style>
  <w:style w:type="paragraph" w:customStyle="1" w:styleId="2904">
    <w:name w:val="2904"/>
    <w:basedOn w:val="3173"/>
    <w:uiPriority w:val="99"/>
    <w:qFormat/>
    <w:pPr>
      <w:keepNext/>
      <w:keepLines/>
      <w:widowControl w:val="0"/>
      <w:tabs>
        <w:tab w:val="left" w:pos="546"/>
      </w:tabs>
      <w:adjustRightInd w:val="0"/>
      <w:spacing w:before="120" w:after="120" w:line="480" w:lineRule="atLeast"/>
      <w:ind w:left="420" w:hanging="420"/>
      <w:outlineLvl w:val="1"/>
    </w:pPr>
    <w:rPr>
      <w:rFonts w:cs="Times New Roman"/>
      <w:bCs/>
      <w:color w:val="000000"/>
    </w:rPr>
  </w:style>
  <w:style w:type="paragraph" w:customStyle="1" w:styleId="2903">
    <w:name w:val="2903"/>
    <w:basedOn w:val="3173"/>
    <w:uiPriority w:val="39"/>
    <w:qFormat/>
    <w:pPr>
      <w:tabs>
        <w:tab w:val="right" w:leader="dot" w:pos="8296"/>
      </w:tabs>
      <w:ind w:leftChars="200" w:left="420"/>
      <w:jc w:val="center"/>
    </w:pPr>
    <w:rPr>
      <w:rFonts w:cs="Times New Roman"/>
      <w:b/>
      <w:bCs/>
      <w:color w:val="000000"/>
      <w:sz w:val="32"/>
      <w:szCs w:val="32"/>
    </w:rPr>
  </w:style>
  <w:style w:type="paragraph" w:customStyle="1" w:styleId="2902">
    <w:name w:val="2902"/>
    <w:basedOn w:val="3173"/>
    <w:uiPriority w:val="39"/>
    <w:qFormat/>
    <w:rPr>
      <w:rFonts w:cs="Times New Roman"/>
      <w:bCs/>
      <w:color w:val="000000"/>
      <w:szCs w:val="20"/>
    </w:rPr>
  </w:style>
  <w:style w:type="paragraph" w:customStyle="1" w:styleId="2901">
    <w:name w:val="2901"/>
    <w:basedOn w:val="3173"/>
    <w:uiPriority w:val="39"/>
    <w:qFormat/>
    <w:pPr>
      <w:spacing w:after="100" w:line="276" w:lineRule="auto"/>
      <w:ind w:left="440"/>
    </w:pPr>
    <w:rPr>
      <w:rFonts w:ascii="Calibri" w:hAnsi="Calibri" w:cs="Times New Roman"/>
      <w:bCs/>
      <w:sz w:val="22"/>
      <w:szCs w:val="22"/>
    </w:rPr>
  </w:style>
  <w:style w:type="paragraph" w:customStyle="1" w:styleId="2900">
    <w:name w:val="2900"/>
    <w:basedOn w:val="3173"/>
    <w:uiPriority w:val="39"/>
    <w:qFormat/>
    <w:pPr>
      <w:widowControl w:val="0"/>
      <w:ind w:leftChars="600" w:left="1260"/>
      <w:jc w:val="both"/>
    </w:pPr>
    <w:rPr>
      <w:rFonts w:ascii="Calibri" w:hAnsi="Calibri" w:cs="Times New Roman"/>
      <w:bCs/>
      <w:kern w:val="2"/>
      <w:szCs w:val="22"/>
    </w:rPr>
  </w:style>
  <w:style w:type="paragraph" w:customStyle="1" w:styleId="2899">
    <w:name w:val="2899"/>
    <w:basedOn w:val="3173"/>
    <w:uiPriority w:val="39"/>
    <w:qFormat/>
    <w:pPr>
      <w:widowControl w:val="0"/>
      <w:ind w:leftChars="800" w:left="1680"/>
      <w:jc w:val="both"/>
    </w:pPr>
    <w:rPr>
      <w:rFonts w:ascii="Calibri" w:hAnsi="Calibri" w:cs="Times New Roman"/>
      <w:bCs/>
      <w:kern w:val="2"/>
      <w:szCs w:val="22"/>
    </w:rPr>
  </w:style>
  <w:style w:type="paragraph" w:customStyle="1" w:styleId="2898">
    <w:name w:val="2898"/>
    <w:basedOn w:val="3173"/>
    <w:uiPriority w:val="39"/>
    <w:qFormat/>
    <w:pPr>
      <w:widowControl w:val="0"/>
      <w:ind w:leftChars="1000" w:left="2100"/>
      <w:jc w:val="both"/>
    </w:pPr>
    <w:rPr>
      <w:rFonts w:ascii="Calibri" w:hAnsi="Calibri" w:cs="Times New Roman"/>
      <w:bCs/>
      <w:kern w:val="2"/>
      <w:szCs w:val="22"/>
    </w:rPr>
  </w:style>
  <w:style w:type="paragraph" w:customStyle="1" w:styleId="2897">
    <w:name w:val="2897"/>
    <w:basedOn w:val="3173"/>
    <w:uiPriority w:val="39"/>
    <w:qFormat/>
    <w:pPr>
      <w:widowControl w:val="0"/>
      <w:ind w:leftChars="1200" w:left="2520"/>
      <w:jc w:val="both"/>
    </w:pPr>
    <w:rPr>
      <w:rFonts w:ascii="Calibri" w:hAnsi="Calibri" w:cs="Times New Roman"/>
      <w:bCs/>
      <w:kern w:val="2"/>
      <w:szCs w:val="22"/>
    </w:rPr>
  </w:style>
  <w:style w:type="paragraph" w:customStyle="1" w:styleId="2896">
    <w:name w:val="2896"/>
    <w:basedOn w:val="3173"/>
    <w:uiPriority w:val="39"/>
    <w:qFormat/>
    <w:pPr>
      <w:widowControl w:val="0"/>
      <w:ind w:leftChars="1400" w:left="2940"/>
      <w:jc w:val="both"/>
    </w:pPr>
    <w:rPr>
      <w:rFonts w:ascii="Calibri" w:hAnsi="Calibri" w:cs="Times New Roman"/>
      <w:bCs/>
      <w:kern w:val="2"/>
      <w:szCs w:val="22"/>
    </w:rPr>
  </w:style>
  <w:style w:type="paragraph" w:customStyle="1" w:styleId="2895">
    <w:name w:val="2895"/>
    <w:basedOn w:val="3173"/>
    <w:uiPriority w:val="39"/>
    <w:qFormat/>
    <w:pPr>
      <w:widowControl w:val="0"/>
      <w:ind w:leftChars="1600" w:left="3360"/>
      <w:jc w:val="both"/>
    </w:pPr>
    <w:rPr>
      <w:rFonts w:ascii="Calibri" w:hAnsi="Calibri" w:cs="Times New Roman"/>
      <w:bCs/>
      <w:kern w:val="2"/>
      <w:szCs w:val="22"/>
    </w:rPr>
  </w:style>
  <w:style w:type="paragraph" w:customStyle="1" w:styleId="2894">
    <w:name w:val="2894"/>
    <w:basedOn w:val="3173"/>
    <w:uiPriority w:val="99"/>
    <w:qFormat/>
    <w:pPr>
      <w:widowControl w:val="0"/>
      <w:tabs>
        <w:tab w:val="left" w:pos="1200"/>
      </w:tabs>
      <w:jc w:val="both"/>
    </w:pPr>
    <w:rPr>
      <w:rFonts w:ascii="Times New Roman" w:hAnsi="Times New Roman" w:cs="Times New Roman"/>
      <w:bCs/>
      <w:kern w:val="2"/>
    </w:rPr>
  </w:style>
  <w:style w:type="paragraph" w:customStyle="1" w:styleId="2893">
    <w:name w:val="2893"/>
    <w:basedOn w:val="3173"/>
    <w:uiPriority w:val="99"/>
    <w:qFormat/>
    <w:pPr>
      <w:keepNext/>
      <w:keepLines/>
      <w:widowControl w:val="0"/>
      <w:spacing w:before="100" w:beforeAutospacing="1" w:after="100" w:afterAutospacing="1" w:line="412" w:lineRule="auto"/>
      <w:jc w:val="both"/>
    </w:pPr>
    <w:rPr>
      <w:rFonts w:ascii="Times New Roman" w:hAnsi="Times New Roman" w:cs="Times New Roman"/>
      <w:b/>
      <w:bCs/>
      <w:kern w:val="2"/>
      <w:szCs w:val="24"/>
    </w:rPr>
  </w:style>
  <w:style w:type="paragraph" w:customStyle="1" w:styleId="2890">
    <w:name w:val="2890"/>
    <w:basedOn w:val="3173"/>
    <w:uiPriority w:val="34"/>
    <w:qFormat/>
    <w:pPr>
      <w:widowControl w:val="0"/>
      <w:ind w:firstLineChars="200" w:firstLine="420"/>
      <w:jc w:val="both"/>
    </w:pPr>
    <w:rPr>
      <w:rFonts w:ascii="Calibri" w:hAnsi="Calibri" w:cs="Times New Roman"/>
      <w:bCs/>
      <w:kern w:val="2"/>
      <w:szCs w:val="22"/>
    </w:rPr>
  </w:style>
  <w:style w:type="paragraph" w:customStyle="1" w:styleId="2889">
    <w:name w:val="2889"/>
    <w:basedOn w:val="3173"/>
    <w:uiPriority w:val="34"/>
    <w:qFormat/>
    <w:pPr>
      <w:widowControl w:val="0"/>
      <w:ind w:firstLineChars="200" w:firstLine="420"/>
      <w:jc w:val="both"/>
    </w:pPr>
    <w:rPr>
      <w:rFonts w:ascii="Calibri" w:hAnsi="Calibri" w:cs="Times New Roman"/>
      <w:bCs/>
      <w:kern w:val="2"/>
      <w:szCs w:val="22"/>
    </w:rPr>
  </w:style>
  <w:style w:type="paragraph" w:customStyle="1" w:styleId="2888">
    <w:name w:val="2888"/>
    <w:basedOn w:val="3173"/>
    <w:uiPriority w:val="34"/>
    <w:qFormat/>
    <w:pPr>
      <w:widowControl w:val="0"/>
      <w:ind w:firstLineChars="200" w:firstLine="420"/>
      <w:jc w:val="both"/>
    </w:pPr>
    <w:rPr>
      <w:rFonts w:ascii="Calibri" w:hAnsi="Calibri" w:cs="Times New Roman"/>
      <w:bCs/>
      <w:kern w:val="2"/>
      <w:szCs w:val="22"/>
    </w:rPr>
  </w:style>
  <w:style w:type="paragraph" w:customStyle="1" w:styleId="2887">
    <w:name w:val="2887"/>
    <w:basedOn w:val="3173"/>
    <w:uiPriority w:val="34"/>
    <w:qFormat/>
    <w:pPr>
      <w:widowControl w:val="0"/>
      <w:ind w:firstLineChars="200" w:firstLine="420"/>
      <w:jc w:val="both"/>
    </w:pPr>
    <w:rPr>
      <w:rFonts w:ascii="Calibri" w:hAnsi="Calibri" w:cs="Times New Roman"/>
      <w:bCs/>
      <w:kern w:val="2"/>
      <w:szCs w:val="22"/>
    </w:rPr>
  </w:style>
  <w:style w:type="paragraph" w:customStyle="1" w:styleId="2886">
    <w:name w:val="2886"/>
    <w:uiPriority w:val="99"/>
    <w:qFormat/>
    <w:rPr>
      <w:kern w:val="2"/>
      <w:sz w:val="21"/>
      <w:szCs w:val="24"/>
    </w:rPr>
  </w:style>
  <w:style w:type="paragraph" w:customStyle="1" w:styleId="2883">
    <w:name w:val="2883"/>
    <w:uiPriority w:val="99"/>
    <w:qFormat/>
    <w:rPr>
      <w:sz w:val="21"/>
      <w:szCs w:val="24"/>
    </w:rPr>
  </w:style>
  <w:style w:type="paragraph" w:customStyle="1" w:styleId="2880">
    <w:name w:val="2880"/>
    <w:basedOn w:val="3173"/>
    <w:uiPriority w:val="34"/>
    <w:qFormat/>
    <w:pPr>
      <w:widowControl w:val="0"/>
      <w:ind w:firstLineChars="200" w:firstLine="420"/>
      <w:jc w:val="both"/>
    </w:pPr>
    <w:rPr>
      <w:rFonts w:ascii="Calibri" w:hAnsi="Calibri" w:cs="Times New Roman"/>
      <w:bCs/>
      <w:kern w:val="2"/>
      <w:szCs w:val="22"/>
    </w:rPr>
  </w:style>
  <w:style w:type="paragraph" w:customStyle="1" w:styleId="2879">
    <w:name w:val="2879"/>
    <w:basedOn w:val="3173"/>
    <w:uiPriority w:val="34"/>
    <w:qFormat/>
    <w:pPr>
      <w:widowControl w:val="0"/>
      <w:ind w:firstLineChars="200" w:firstLine="420"/>
      <w:jc w:val="both"/>
    </w:pPr>
    <w:rPr>
      <w:rFonts w:ascii="Calibri" w:hAnsi="Calibri" w:cs="Times New Roman"/>
      <w:bCs/>
      <w:kern w:val="2"/>
      <w:szCs w:val="22"/>
    </w:rPr>
  </w:style>
  <w:style w:type="paragraph" w:customStyle="1" w:styleId="2878">
    <w:name w:val="2878"/>
    <w:basedOn w:val="3173"/>
    <w:uiPriority w:val="99"/>
    <w:qFormat/>
    <w:rPr>
      <w:rFonts w:cs="Times New Roman"/>
      <w:bCs/>
      <w:kern w:val="2"/>
    </w:rPr>
  </w:style>
  <w:style w:type="paragraph" w:customStyle="1" w:styleId="2877">
    <w:name w:val="2877"/>
    <w:basedOn w:val="3173"/>
    <w:uiPriority w:val="59"/>
    <w:qFormat/>
    <w:pPr>
      <w:widowControl w:val="0"/>
    </w:pPr>
    <w:rPr>
      <w:rFonts w:ascii="Times New Roman" w:cs="Times New Roman"/>
      <w:bCs/>
      <w:kern w:val="2"/>
    </w:rPr>
  </w:style>
  <w:style w:type="paragraph" w:customStyle="1" w:styleId="2876">
    <w:name w:val="2876"/>
    <w:uiPriority w:val="99"/>
    <w:qFormat/>
    <w:rPr>
      <w:kern w:val="2"/>
      <w:sz w:val="21"/>
      <w:szCs w:val="24"/>
    </w:rPr>
  </w:style>
  <w:style w:type="paragraph" w:customStyle="1" w:styleId="2875">
    <w:name w:val="2875"/>
    <w:uiPriority w:val="99"/>
    <w:qFormat/>
    <w:rPr>
      <w:kern w:val="2"/>
      <w:sz w:val="21"/>
      <w:szCs w:val="24"/>
    </w:rPr>
  </w:style>
  <w:style w:type="paragraph" w:customStyle="1" w:styleId="2874">
    <w:name w:val="2874"/>
    <w:basedOn w:val="3173"/>
    <w:uiPriority w:val="99"/>
    <w:qFormat/>
    <w:pPr>
      <w:widowControl w:val="0"/>
      <w:jc w:val="both"/>
    </w:pPr>
    <w:rPr>
      <w:rFonts w:ascii="Calibri" w:hAnsi="Calibri" w:cs="Times New Roman"/>
      <w:bCs/>
      <w:kern w:val="2"/>
      <w:sz w:val="18"/>
      <w:szCs w:val="18"/>
    </w:rPr>
  </w:style>
  <w:style w:type="paragraph" w:customStyle="1" w:styleId="2873">
    <w:name w:val="2873"/>
    <w:basedOn w:val="3173"/>
    <w:uiPriority w:val="99"/>
    <w:qFormat/>
    <w:pPr>
      <w:widowControl w:val="0"/>
      <w:ind w:leftChars="2500" w:left="100"/>
      <w:jc w:val="both"/>
    </w:pPr>
    <w:rPr>
      <w:rFonts w:ascii="Times New Roman" w:hAnsi="Times New Roman" w:cs="Times New Roman"/>
      <w:bCs/>
      <w:kern w:val="2"/>
    </w:rPr>
  </w:style>
  <w:style w:type="paragraph" w:customStyle="1" w:styleId="2869">
    <w:name w:val="2869"/>
    <w:uiPriority w:val="99"/>
    <w:qFormat/>
    <w:rPr>
      <w:kern w:val="2"/>
      <w:sz w:val="21"/>
      <w:szCs w:val="24"/>
    </w:rPr>
  </w:style>
  <w:style w:type="paragraph" w:customStyle="1" w:styleId="2867">
    <w:name w:val="2867"/>
    <w:basedOn w:val="3173"/>
    <w:uiPriority w:val="99"/>
    <w:qFormat/>
    <w:pPr>
      <w:keepNext/>
      <w:keepLines/>
      <w:widowControl w:val="0"/>
      <w:spacing w:before="60" w:after="60" w:line="360" w:lineRule="auto"/>
      <w:jc w:val="center"/>
      <w:outlineLvl w:val="0"/>
    </w:pPr>
    <w:rPr>
      <w:rFonts w:ascii="Calibri" w:eastAsia="黑体" w:hAnsi="Calibri" w:cs="Times New Roman"/>
      <w:b/>
      <w:kern w:val="44"/>
      <w:sz w:val="28"/>
      <w:szCs w:val="44"/>
    </w:rPr>
  </w:style>
  <w:style w:type="paragraph" w:customStyle="1" w:styleId="2866">
    <w:name w:val="2866"/>
    <w:basedOn w:val="3173"/>
    <w:uiPriority w:val="99"/>
    <w:qFormat/>
    <w:pPr>
      <w:keepNext/>
      <w:keepLines/>
      <w:widowControl w:val="0"/>
      <w:spacing w:before="60" w:after="60"/>
      <w:ind w:left="200" w:hangingChars="200" w:hanging="200"/>
      <w:jc w:val="both"/>
      <w:outlineLvl w:val="1"/>
    </w:pPr>
    <w:rPr>
      <w:rFonts w:ascii="Arial" w:hAnsi="Arial" w:cs="Times New Roman"/>
      <w:b/>
      <w:kern w:val="2"/>
    </w:rPr>
  </w:style>
  <w:style w:type="paragraph" w:customStyle="1" w:styleId="2865">
    <w:name w:val="2865"/>
    <w:basedOn w:val="3173"/>
    <w:uiPriority w:val="9"/>
    <w:qFormat/>
    <w:pPr>
      <w:keepNext/>
      <w:keepLines/>
      <w:widowControl w:val="0"/>
      <w:spacing w:before="60" w:after="60"/>
      <w:jc w:val="both"/>
      <w:outlineLvl w:val="2"/>
    </w:pPr>
    <w:rPr>
      <w:rFonts w:ascii="Calibri" w:hAnsi="Calibri" w:cs="Times New Roman"/>
      <w:b/>
      <w:kern w:val="2"/>
      <w:szCs w:val="32"/>
    </w:rPr>
  </w:style>
  <w:style w:type="paragraph" w:customStyle="1" w:styleId="2864">
    <w:name w:val="2864"/>
    <w:basedOn w:val="3173"/>
    <w:uiPriority w:val="9"/>
    <w:qFormat/>
    <w:pPr>
      <w:keepNext/>
      <w:keepLines/>
      <w:widowControl w:val="0"/>
      <w:spacing w:before="60" w:after="60"/>
      <w:jc w:val="both"/>
      <w:outlineLvl w:val="3"/>
    </w:pPr>
    <w:rPr>
      <w:rFonts w:ascii="Cambria" w:hAnsi="Cambria" w:cs="Times New Roman"/>
      <w:b/>
      <w:kern w:val="2"/>
      <w:szCs w:val="28"/>
    </w:rPr>
  </w:style>
  <w:style w:type="paragraph" w:customStyle="1" w:styleId="2863">
    <w:name w:val="2863"/>
    <w:basedOn w:val="3173"/>
    <w:uiPriority w:val="9"/>
    <w:qFormat/>
    <w:pPr>
      <w:keepNext/>
      <w:keepLines/>
      <w:widowControl w:val="0"/>
      <w:spacing w:before="60" w:after="60"/>
      <w:jc w:val="both"/>
      <w:outlineLvl w:val="4"/>
    </w:pPr>
    <w:rPr>
      <w:rFonts w:ascii="Calibri" w:hAnsi="Calibri" w:cs="Times New Roman"/>
      <w:b/>
      <w:kern w:val="2"/>
      <w:szCs w:val="28"/>
    </w:rPr>
  </w:style>
  <w:style w:type="paragraph" w:customStyle="1" w:styleId="2862">
    <w:name w:val="2862"/>
    <w:basedOn w:val="3173"/>
    <w:uiPriority w:val="9"/>
    <w:qFormat/>
    <w:pPr>
      <w:keepNext/>
      <w:keepLines/>
      <w:spacing w:before="60" w:after="60"/>
      <w:outlineLvl w:val="5"/>
    </w:pPr>
    <w:rPr>
      <w:rFonts w:ascii="Cambria" w:hAnsi="Cambria" w:cs="Times New Roman"/>
      <w:b/>
    </w:rPr>
  </w:style>
  <w:style w:type="paragraph" w:customStyle="1" w:styleId="2861">
    <w:name w:val="2861"/>
    <w:basedOn w:val="3173"/>
    <w:uiPriority w:val="9"/>
    <w:qFormat/>
    <w:pPr>
      <w:keepNext/>
      <w:keepLines/>
      <w:spacing w:before="240" w:after="64" w:line="319" w:lineRule="auto"/>
      <w:outlineLvl w:val="6"/>
    </w:pPr>
    <w:rPr>
      <w:b/>
      <w:sz w:val="24"/>
    </w:rPr>
  </w:style>
  <w:style w:type="paragraph" w:customStyle="1" w:styleId="2855">
    <w:name w:val="2855"/>
    <w:basedOn w:val="3173"/>
    <w:uiPriority w:val="39"/>
    <w:qFormat/>
    <w:pPr>
      <w:widowControl w:val="0"/>
      <w:tabs>
        <w:tab w:val="left" w:pos="1260"/>
        <w:tab w:val="right" w:leader="dot" w:pos="8823"/>
      </w:tabs>
      <w:jc w:val="center"/>
    </w:pPr>
    <w:rPr>
      <w:rFonts w:ascii="Times New Roman" w:hAnsi="Times New Roman" w:cs="Times New Roman"/>
      <w:kern w:val="2"/>
    </w:rPr>
  </w:style>
  <w:style w:type="paragraph" w:customStyle="1" w:styleId="2854">
    <w:name w:val="2854"/>
    <w:basedOn w:val="3173"/>
    <w:uiPriority w:val="39"/>
    <w:qFormat/>
    <w:pPr>
      <w:widowControl w:val="0"/>
      <w:ind w:leftChars="200" w:left="420"/>
      <w:jc w:val="both"/>
    </w:pPr>
    <w:rPr>
      <w:rFonts w:ascii="Times New Roman" w:hAnsi="Times New Roman" w:cs="Times New Roman"/>
      <w:kern w:val="2"/>
    </w:rPr>
  </w:style>
  <w:style w:type="paragraph" w:customStyle="1" w:styleId="2852">
    <w:name w:val="2852"/>
    <w:basedOn w:val="3173"/>
    <w:uiPriority w:val="99"/>
    <w:qFormat/>
    <w:pPr>
      <w:widowControl w:val="0"/>
      <w:jc w:val="both"/>
    </w:pPr>
    <w:rPr>
      <w:rFonts w:ascii="Calibri" w:hAnsi="Calibri" w:cs="Times New Roman"/>
      <w:kern w:val="2"/>
      <w:sz w:val="18"/>
      <w:szCs w:val="18"/>
    </w:rPr>
  </w:style>
  <w:style w:type="paragraph" w:customStyle="1" w:styleId="2849">
    <w:name w:val="2849"/>
    <w:basedOn w:val="3173"/>
    <w:uiPriority w:val="34"/>
    <w:qFormat/>
    <w:pPr>
      <w:widowControl w:val="0"/>
      <w:ind w:firstLineChars="200" w:firstLine="420"/>
      <w:jc w:val="both"/>
    </w:pPr>
    <w:rPr>
      <w:rFonts w:ascii="Calibri" w:hAnsi="Calibri" w:cs="Times New Roman"/>
      <w:kern w:val="2"/>
      <w:szCs w:val="22"/>
    </w:rPr>
  </w:style>
  <w:style w:type="paragraph" w:customStyle="1" w:styleId="2847">
    <w:name w:val="2847"/>
    <w:basedOn w:val="3173"/>
    <w:uiPriority w:val="39"/>
    <w:qFormat/>
    <w:pPr>
      <w:spacing w:after="100" w:line="276" w:lineRule="auto"/>
      <w:ind w:left="440"/>
    </w:pPr>
    <w:rPr>
      <w:rFonts w:ascii="Calibri" w:hAnsi="Calibri" w:cs="Times New Roman"/>
      <w:sz w:val="22"/>
      <w:szCs w:val="22"/>
    </w:rPr>
  </w:style>
  <w:style w:type="paragraph" w:customStyle="1" w:styleId="2845">
    <w:name w:val="2845"/>
    <w:basedOn w:val="3173"/>
    <w:uiPriority w:val="99"/>
    <w:qFormat/>
    <w:pPr>
      <w:widowControl w:val="0"/>
      <w:tabs>
        <w:tab w:val="center" w:pos="4153"/>
        <w:tab w:val="right" w:pos="8306"/>
      </w:tabs>
      <w:snapToGrid w:val="0"/>
    </w:pPr>
    <w:rPr>
      <w:rFonts w:ascii="Calibri" w:hAnsi="Calibri" w:cs="Times New Roman"/>
      <w:kern w:val="2"/>
      <w:sz w:val="18"/>
      <w:szCs w:val="18"/>
    </w:rPr>
  </w:style>
  <w:style w:type="paragraph" w:customStyle="1" w:styleId="2843">
    <w:name w:val="2843"/>
    <w:basedOn w:val="3173"/>
    <w:uiPriority w:val="99"/>
    <w:qFormat/>
    <w:pPr>
      <w:widowControl w:val="0"/>
      <w:jc w:val="both"/>
    </w:pPr>
    <w:rPr>
      <w:rFonts w:hAnsi="Courier New" w:cs="Times New Roman"/>
      <w:kern w:val="2"/>
      <w:szCs w:val="20"/>
    </w:rPr>
  </w:style>
  <w:style w:type="paragraph" w:customStyle="1" w:styleId="2841">
    <w:name w:val="2841"/>
    <w:basedOn w:val="3173"/>
    <w:uiPriority w:val="99"/>
    <w:qFormat/>
    <w:pPr>
      <w:widowControl w:val="0"/>
      <w:spacing w:after="120"/>
      <w:jc w:val="both"/>
    </w:pPr>
    <w:rPr>
      <w:rFonts w:ascii="Times New Roman" w:hAnsi="Times New Roman" w:cs="Times New Roman"/>
      <w:kern w:val="2"/>
    </w:rPr>
  </w:style>
  <w:style w:type="paragraph" w:customStyle="1" w:styleId="2839">
    <w:name w:val="2839"/>
    <w:basedOn w:val="3173"/>
    <w:uiPriority w:val="99"/>
    <w:qFormat/>
    <w:pPr>
      <w:widowControl w:val="0"/>
      <w:ind w:leftChars="2500" w:left="100"/>
      <w:jc w:val="both"/>
    </w:pPr>
    <w:rPr>
      <w:rFonts w:ascii="Times New Roman" w:hAnsi="Times New Roman" w:cs="Times New Roman"/>
      <w:kern w:val="2"/>
    </w:rPr>
  </w:style>
  <w:style w:type="paragraph" w:customStyle="1" w:styleId="2837">
    <w:name w:val="2837"/>
    <w:basedOn w:val="3173"/>
    <w:uiPriority w:val="99"/>
    <w:qFormat/>
    <w:pPr>
      <w:widowControl w:val="0"/>
      <w:jc w:val="center"/>
    </w:pPr>
    <w:rPr>
      <w:rFonts w:ascii="Times New Roman" w:hAnsi="Times New Roman" w:cs="Times New Roman"/>
      <w:kern w:val="2"/>
    </w:rPr>
  </w:style>
  <w:style w:type="paragraph" w:customStyle="1" w:styleId="2835">
    <w:name w:val="2835"/>
    <w:basedOn w:val="3173"/>
    <w:uiPriority w:val="99"/>
    <w:semiHidden/>
    <w:qFormat/>
    <w:pPr>
      <w:widowControl w:val="0"/>
      <w:spacing w:before="120"/>
      <w:jc w:val="both"/>
    </w:pPr>
    <w:rPr>
      <w:rFonts w:ascii="Arial" w:hAnsi="Arial" w:cs="Times New Roman"/>
      <w:b/>
      <w:kern w:val="2"/>
    </w:rPr>
  </w:style>
  <w:style w:type="paragraph" w:customStyle="1" w:styleId="2834">
    <w:name w:val="2834"/>
    <w:basedOn w:val="3173"/>
    <w:uiPriority w:val="99"/>
    <w:qFormat/>
    <w:pPr>
      <w:keepNext/>
      <w:keepLines/>
      <w:widowControl w:val="0"/>
      <w:spacing w:before="60" w:after="60"/>
      <w:ind w:hangingChars="200" w:hanging="420"/>
      <w:jc w:val="both"/>
      <w:outlineLvl w:val="4"/>
    </w:pPr>
    <w:rPr>
      <w:rFonts w:cs="Times New Roman"/>
      <w:b/>
      <w:kern w:val="2"/>
    </w:rPr>
  </w:style>
  <w:style w:type="paragraph" w:customStyle="1" w:styleId="2833">
    <w:name w:val="2833"/>
    <w:uiPriority w:val="99"/>
    <w:semiHidden/>
    <w:qFormat/>
    <w:rPr>
      <w:kern w:val="2"/>
      <w:sz w:val="21"/>
      <w:szCs w:val="22"/>
    </w:rPr>
  </w:style>
  <w:style w:type="paragraph" w:customStyle="1" w:styleId="2831">
    <w:name w:val="2831"/>
    <w:basedOn w:val="3173"/>
    <w:uiPriority w:val="99"/>
    <w:qFormat/>
    <w:pPr>
      <w:widowControl w:val="0"/>
      <w:spacing w:before="100" w:after="100"/>
      <w:jc w:val="both"/>
    </w:pPr>
    <w:rPr>
      <w:rFonts w:ascii="Calibri" w:hAnsi="Calibri" w:cs="Times New Roman"/>
      <w:kern w:val="2"/>
    </w:rPr>
  </w:style>
  <w:style w:type="paragraph" w:customStyle="1" w:styleId="2830">
    <w:name w:val="2830"/>
    <w:basedOn w:val="3173"/>
    <w:uiPriority w:val="99"/>
    <w:semiHidden/>
    <w:qFormat/>
    <w:pPr>
      <w:widowControl w:val="0"/>
      <w:jc w:val="both"/>
    </w:pPr>
    <w:rPr>
      <w:rFonts w:hAnsi="Calibri" w:cs="Times New Roman"/>
      <w:kern w:val="2"/>
      <w:sz w:val="18"/>
      <w:szCs w:val="18"/>
    </w:rPr>
  </w:style>
  <w:style w:type="paragraph" w:customStyle="1" w:styleId="2827">
    <w:name w:val="2827"/>
    <w:basedOn w:val="3173"/>
    <w:uiPriority w:val="10"/>
    <w:qFormat/>
    <w:pPr>
      <w:widowControl w:val="0"/>
      <w:spacing w:before="240" w:after="60"/>
      <w:jc w:val="center"/>
      <w:outlineLvl w:val="0"/>
    </w:pPr>
    <w:rPr>
      <w:rFonts w:ascii="Cambria" w:hAnsi="Cambria" w:cs="Times New Roman"/>
      <w:b/>
      <w:kern w:val="2"/>
      <w:sz w:val="32"/>
      <w:szCs w:val="32"/>
    </w:rPr>
  </w:style>
  <w:style w:type="paragraph" w:customStyle="1" w:styleId="2825">
    <w:name w:val="2825"/>
    <w:uiPriority w:val="1"/>
    <w:qFormat/>
    <w:pPr>
      <w:widowControl w:val="0"/>
      <w:jc w:val="both"/>
    </w:pPr>
    <w:rPr>
      <w:kern w:val="2"/>
      <w:sz w:val="21"/>
      <w:szCs w:val="22"/>
    </w:rPr>
  </w:style>
  <w:style w:type="paragraph" w:customStyle="1" w:styleId="2824">
    <w:name w:val="2824"/>
    <w:basedOn w:val="3173"/>
    <w:uiPriority w:val="39"/>
    <w:qFormat/>
    <w:pPr>
      <w:widowControl w:val="0"/>
      <w:ind w:leftChars="600" w:left="1260"/>
      <w:jc w:val="both"/>
    </w:pPr>
    <w:rPr>
      <w:rFonts w:ascii="Calibri" w:hAnsi="Calibri" w:cs="Times New Roman"/>
      <w:kern w:val="2"/>
      <w:szCs w:val="22"/>
    </w:rPr>
  </w:style>
  <w:style w:type="paragraph" w:customStyle="1" w:styleId="2823">
    <w:name w:val="2823"/>
    <w:basedOn w:val="3173"/>
    <w:uiPriority w:val="39"/>
    <w:qFormat/>
    <w:pPr>
      <w:widowControl w:val="0"/>
      <w:ind w:leftChars="800" w:left="1680"/>
      <w:jc w:val="both"/>
    </w:pPr>
    <w:rPr>
      <w:rFonts w:ascii="Calibri" w:hAnsi="Calibri" w:cs="Times New Roman"/>
      <w:kern w:val="2"/>
      <w:szCs w:val="22"/>
    </w:rPr>
  </w:style>
  <w:style w:type="paragraph" w:customStyle="1" w:styleId="2822">
    <w:name w:val="2822"/>
    <w:basedOn w:val="3173"/>
    <w:uiPriority w:val="39"/>
    <w:qFormat/>
    <w:pPr>
      <w:widowControl w:val="0"/>
      <w:ind w:leftChars="1000" w:left="2100"/>
      <w:jc w:val="both"/>
    </w:pPr>
    <w:rPr>
      <w:rFonts w:ascii="Calibri" w:hAnsi="Calibri" w:cs="Times New Roman"/>
      <w:kern w:val="2"/>
      <w:szCs w:val="22"/>
    </w:rPr>
  </w:style>
  <w:style w:type="paragraph" w:customStyle="1" w:styleId="2821">
    <w:name w:val="2821"/>
    <w:basedOn w:val="3173"/>
    <w:uiPriority w:val="39"/>
    <w:qFormat/>
    <w:pPr>
      <w:widowControl w:val="0"/>
      <w:ind w:leftChars="1200" w:left="2520"/>
      <w:jc w:val="both"/>
    </w:pPr>
    <w:rPr>
      <w:rFonts w:ascii="Calibri" w:hAnsi="Calibri" w:cs="Times New Roman"/>
      <w:kern w:val="2"/>
      <w:szCs w:val="22"/>
    </w:rPr>
  </w:style>
  <w:style w:type="paragraph" w:customStyle="1" w:styleId="2820">
    <w:name w:val="2820"/>
    <w:basedOn w:val="3173"/>
    <w:uiPriority w:val="39"/>
    <w:qFormat/>
    <w:pPr>
      <w:widowControl w:val="0"/>
      <w:ind w:leftChars="1400" w:left="2940"/>
      <w:jc w:val="both"/>
    </w:pPr>
    <w:rPr>
      <w:rFonts w:ascii="Calibri" w:hAnsi="Calibri" w:cs="Times New Roman"/>
      <w:kern w:val="2"/>
      <w:szCs w:val="22"/>
    </w:rPr>
  </w:style>
  <w:style w:type="paragraph" w:customStyle="1" w:styleId="2819">
    <w:name w:val="2819"/>
    <w:basedOn w:val="3173"/>
    <w:uiPriority w:val="39"/>
    <w:qFormat/>
    <w:pPr>
      <w:widowControl w:val="0"/>
      <w:ind w:leftChars="1600" w:left="3360"/>
      <w:jc w:val="both"/>
    </w:pPr>
    <w:rPr>
      <w:rFonts w:ascii="Calibri" w:hAnsi="Calibri" w:cs="Times New Roman"/>
      <w:kern w:val="2"/>
      <w:szCs w:val="22"/>
    </w:rPr>
  </w:style>
  <w:style w:type="paragraph" w:customStyle="1" w:styleId="2817">
    <w:name w:val="2817"/>
    <w:basedOn w:val="3173"/>
    <w:uiPriority w:val="99"/>
    <w:qFormat/>
    <w:pPr>
      <w:spacing w:before="100" w:beforeAutospacing="1" w:after="100" w:afterAutospacing="1"/>
    </w:pPr>
    <w:rPr>
      <w:sz w:val="24"/>
    </w:rPr>
  </w:style>
  <w:style w:type="paragraph" w:customStyle="1" w:styleId="2816">
    <w:name w:val="2816"/>
    <w:basedOn w:val="3173"/>
    <w:uiPriority w:val="99"/>
    <w:semiHidden/>
    <w:qFormat/>
    <w:pPr>
      <w:snapToGrid w:val="0"/>
    </w:pPr>
  </w:style>
  <w:style w:type="paragraph" w:customStyle="1" w:styleId="2810">
    <w:name w:val="2810"/>
    <w:basedOn w:val="3173"/>
    <w:uiPriority w:val="99"/>
    <w:qFormat/>
    <w:pPr>
      <w:widowControl w:val="0"/>
      <w:ind w:firstLineChars="200" w:firstLine="420"/>
      <w:jc w:val="both"/>
    </w:pPr>
    <w:rPr>
      <w:rFonts w:ascii="Times New Roman" w:hAnsi="Times New Roman" w:cs="Times New Roman"/>
      <w:kern w:val="2"/>
    </w:rPr>
  </w:style>
  <w:style w:type="paragraph" w:customStyle="1" w:styleId="2809">
    <w:name w:val="2809"/>
    <w:basedOn w:val="3173"/>
    <w:uiPriority w:val="99"/>
    <w:qFormat/>
    <w:pPr>
      <w:widowControl w:val="0"/>
      <w:tabs>
        <w:tab w:val="left" w:pos="1200"/>
      </w:tabs>
      <w:jc w:val="both"/>
    </w:pPr>
    <w:rPr>
      <w:rFonts w:ascii="Times New Roman" w:hAnsi="Times New Roman" w:cs="Times New Roman"/>
      <w:kern w:val="2"/>
    </w:rPr>
  </w:style>
  <w:style w:type="paragraph" w:customStyle="1" w:styleId="2808">
    <w:name w:val="2808"/>
    <w:basedOn w:val="3173"/>
    <w:uiPriority w:val="34"/>
    <w:qFormat/>
    <w:pPr>
      <w:widowControl w:val="0"/>
      <w:ind w:firstLineChars="200" w:firstLine="420"/>
      <w:jc w:val="both"/>
    </w:pPr>
    <w:rPr>
      <w:rFonts w:ascii="Calibri" w:hAnsi="Calibri" w:cs="Times New Roman"/>
      <w:kern w:val="2"/>
      <w:szCs w:val="22"/>
    </w:rPr>
  </w:style>
  <w:style w:type="paragraph" w:customStyle="1" w:styleId="2807">
    <w:name w:val="2807"/>
    <w:basedOn w:val="3173"/>
    <w:uiPriority w:val="34"/>
    <w:qFormat/>
    <w:pPr>
      <w:widowControl w:val="0"/>
      <w:ind w:firstLineChars="200" w:firstLine="420"/>
      <w:jc w:val="both"/>
    </w:pPr>
    <w:rPr>
      <w:rFonts w:ascii="Calibri" w:hAnsi="Calibri" w:cs="Times New Roman"/>
      <w:kern w:val="2"/>
      <w:szCs w:val="22"/>
    </w:rPr>
  </w:style>
  <w:style w:type="paragraph" w:customStyle="1" w:styleId="2806">
    <w:name w:val="2806"/>
    <w:basedOn w:val="3173"/>
    <w:uiPriority w:val="34"/>
    <w:qFormat/>
    <w:pPr>
      <w:widowControl w:val="0"/>
      <w:ind w:firstLineChars="200" w:firstLine="420"/>
      <w:jc w:val="both"/>
    </w:pPr>
    <w:rPr>
      <w:rFonts w:ascii="Calibri" w:hAnsi="Calibri" w:cs="Times New Roman"/>
      <w:kern w:val="2"/>
      <w:szCs w:val="22"/>
    </w:rPr>
  </w:style>
  <w:style w:type="paragraph" w:customStyle="1" w:styleId="2805">
    <w:name w:val="2805"/>
    <w:basedOn w:val="3173"/>
    <w:uiPriority w:val="34"/>
    <w:qFormat/>
    <w:pPr>
      <w:widowControl w:val="0"/>
      <w:ind w:firstLineChars="200" w:firstLine="420"/>
      <w:jc w:val="both"/>
    </w:pPr>
    <w:rPr>
      <w:rFonts w:ascii="Calibri" w:hAnsi="Calibri" w:cs="Times New Roman"/>
      <w:kern w:val="2"/>
      <w:szCs w:val="22"/>
    </w:rPr>
  </w:style>
  <w:style w:type="paragraph" w:customStyle="1" w:styleId="2803">
    <w:name w:val="2803"/>
    <w:basedOn w:val="3173"/>
    <w:uiPriority w:val="34"/>
    <w:qFormat/>
    <w:pPr>
      <w:widowControl w:val="0"/>
      <w:ind w:firstLineChars="200" w:firstLine="420"/>
      <w:jc w:val="both"/>
    </w:pPr>
    <w:rPr>
      <w:rFonts w:ascii="Calibri" w:hAnsi="Calibri" w:cs="Times New Roman"/>
      <w:kern w:val="2"/>
      <w:szCs w:val="22"/>
    </w:rPr>
  </w:style>
  <w:style w:type="paragraph" w:customStyle="1" w:styleId="2801">
    <w:name w:val="2801"/>
    <w:basedOn w:val="3173"/>
    <w:uiPriority w:val="34"/>
    <w:qFormat/>
    <w:pPr>
      <w:widowControl w:val="0"/>
      <w:ind w:firstLineChars="200" w:firstLine="420"/>
      <w:jc w:val="both"/>
    </w:pPr>
    <w:rPr>
      <w:rFonts w:ascii="Calibri" w:hAnsi="Calibri" w:cs="Times New Roman"/>
      <w:kern w:val="2"/>
      <w:szCs w:val="22"/>
    </w:rPr>
  </w:style>
  <w:style w:type="paragraph" w:customStyle="1" w:styleId="2799">
    <w:name w:val="2799"/>
    <w:uiPriority w:val="99"/>
    <w:qFormat/>
    <w:rPr>
      <w:sz w:val="21"/>
      <w:szCs w:val="24"/>
    </w:rPr>
  </w:style>
  <w:style w:type="paragraph" w:customStyle="1" w:styleId="2798">
    <w:name w:val="2798"/>
    <w:uiPriority w:val="99"/>
    <w:qFormat/>
    <w:pPr>
      <w:widowControl w:val="0"/>
      <w:autoSpaceDE w:val="0"/>
      <w:autoSpaceDN w:val="0"/>
      <w:adjustRightInd w:val="0"/>
    </w:pPr>
    <w:rPr>
      <w:rFonts w:ascii="黑体" w:eastAsia="黑体" w:cs="黑体"/>
      <w:color w:val="000000"/>
      <w:sz w:val="24"/>
      <w:szCs w:val="24"/>
    </w:rPr>
  </w:style>
  <w:style w:type="paragraph" w:customStyle="1" w:styleId="2797">
    <w:name w:val="2797"/>
    <w:uiPriority w:val="99"/>
    <w:qFormat/>
    <w:pPr>
      <w:snapToGrid w:val="0"/>
      <w:jc w:val="center"/>
    </w:pPr>
    <w:rPr>
      <w:color w:val="000000"/>
      <w:spacing w:val="-10"/>
      <w:sz w:val="22"/>
      <w:szCs w:val="22"/>
      <w:lang w:eastAsia="en-US"/>
    </w:rPr>
  </w:style>
  <w:style w:type="paragraph" w:customStyle="1" w:styleId="2795">
    <w:name w:val="2795"/>
    <w:basedOn w:val="3173"/>
    <w:uiPriority w:val="99"/>
    <w:qFormat/>
    <w:pPr>
      <w:spacing w:before="40"/>
      <w:ind w:left="450" w:hanging="450"/>
    </w:pPr>
    <w:rPr>
      <w:rFonts w:eastAsia="华文楷体"/>
      <w:color w:val="000000"/>
      <w:sz w:val="18"/>
      <w:szCs w:val="24"/>
    </w:rPr>
  </w:style>
  <w:style w:type="paragraph" w:customStyle="1" w:styleId="2794">
    <w:name w:val="2794"/>
    <w:uiPriority w:val="99"/>
    <w:qFormat/>
    <w:pPr>
      <w:snapToGrid w:val="0"/>
      <w:jc w:val="center"/>
    </w:pPr>
    <w:rPr>
      <w:rFonts w:ascii="Calibri" w:hAnsi="Calibri"/>
      <w:color w:val="000000"/>
      <w:spacing w:val="-10"/>
      <w:sz w:val="22"/>
      <w:szCs w:val="22"/>
      <w:lang w:eastAsia="en-US"/>
    </w:rPr>
  </w:style>
  <w:style w:type="paragraph" w:customStyle="1" w:styleId="2793">
    <w:name w:val="2793"/>
    <w:basedOn w:val="3011"/>
    <w:uiPriority w:val="39"/>
    <w:qFormat/>
    <w:pPr>
      <w:widowControl/>
      <w:spacing w:before="480" w:after="0" w:line="276" w:lineRule="auto"/>
      <w:outlineLvl w:val="9"/>
    </w:pPr>
    <w:rPr>
      <w:rFonts w:ascii="Cambria" w:eastAsia="宋体" w:hAnsi="Cambria"/>
      <w:color w:val="365F91"/>
      <w:kern w:val="0"/>
      <w:szCs w:val="28"/>
    </w:rPr>
  </w:style>
  <w:style w:type="paragraph" w:customStyle="1" w:styleId="2792">
    <w:name w:val="2792"/>
    <w:uiPriority w:val="99"/>
    <w:semiHidden/>
    <w:qFormat/>
    <w:rPr>
      <w:kern w:val="2"/>
      <w:sz w:val="21"/>
      <w:szCs w:val="22"/>
    </w:rPr>
  </w:style>
  <w:style w:type="paragraph" w:customStyle="1" w:styleId="2791">
    <w:name w:val="2791"/>
    <w:basedOn w:val="3173"/>
    <w:uiPriority w:val="34"/>
    <w:qFormat/>
    <w:pPr>
      <w:widowControl w:val="0"/>
      <w:ind w:firstLineChars="200" w:firstLine="420"/>
      <w:jc w:val="both"/>
    </w:pPr>
    <w:rPr>
      <w:rFonts w:ascii="Calibri" w:hAnsi="Calibri" w:cs="Times New Roman"/>
      <w:kern w:val="2"/>
      <w:szCs w:val="22"/>
    </w:rPr>
  </w:style>
  <w:style w:type="paragraph" w:customStyle="1" w:styleId="2790">
    <w:name w:val="2790"/>
    <w:basedOn w:val="3173"/>
    <w:uiPriority w:val="34"/>
    <w:qFormat/>
    <w:pPr>
      <w:widowControl w:val="0"/>
      <w:ind w:firstLineChars="200" w:firstLine="420"/>
      <w:jc w:val="both"/>
    </w:pPr>
    <w:rPr>
      <w:rFonts w:ascii="Calibri" w:hAnsi="Calibri" w:cs="Times New Roman"/>
      <w:kern w:val="2"/>
      <w:szCs w:val="22"/>
    </w:rPr>
  </w:style>
  <w:style w:type="character" w:customStyle="1" w:styleId="707">
    <w:name w:val="707"/>
    <w:link w:val="2789"/>
    <w:locked/>
  </w:style>
  <w:style w:type="paragraph" w:customStyle="1" w:styleId="2789">
    <w:name w:val="2789"/>
    <w:link w:val="707"/>
    <w:qFormat/>
    <w:rPr>
      <w:sz w:val="21"/>
      <w:szCs w:val="21"/>
    </w:rPr>
  </w:style>
  <w:style w:type="paragraph" w:customStyle="1" w:styleId="2788">
    <w:name w:val="2788"/>
    <w:basedOn w:val="2789"/>
    <w:next w:val="a"/>
    <w:uiPriority w:val="99"/>
    <w:qFormat/>
    <w:pPr>
      <w:keepNext/>
      <w:keepLines/>
      <w:widowControl w:val="0"/>
      <w:spacing w:before="60" w:after="60" w:line="360" w:lineRule="auto"/>
      <w:jc w:val="center"/>
      <w:outlineLvl w:val="0"/>
    </w:pPr>
    <w:rPr>
      <w:rFonts w:ascii="Calibri" w:eastAsia="黑体" w:hAnsi="Calibri"/>
      <w:b/>
      <w:kern w:val="44"/>
      <w:sz w:val="28"/>
      <w:szCs w:val="44"/>
    </w:rPr>
  </w:style>
  <w:style w:type="paragraph" w:customStyle="1" w:styleId="2787">
    <w:name w:val="2787"/>
    <w:basedOn w:val="2789"/>
    <w:next w:val="a"/>
    <w:uiPriority w:val="99"/>
    <w:qFormat/>
    <w:pPr>
      <w:keepNext/>
      <w:keepLines/>
      <w:widowControl w:val="0"/>
      <w:spacing w:before="60" w:after="60"/>
      <w:ind w:left="200" w:hangingChars="200" w:hanging="200"/>
      <w:jc w:val="both"/>
      <w:outlineLvl w:val="1"/>
    </w:pPr>
    <w:rPr>
      <w:rFonts w:ascii="Arial" w:hAnsi="Arial"/>
      <w:b/>
      <w:kern w:val="2"/>
    </w:rPr>
  </w:style>
  <w:style w:type="paragraph" w:customStyle="1" w:styleId="2786">
    <w:name w:val="2786"/>
    <w:basedOn w:val="2789"/>
    <w:next w:val="a"/>
    <w:uiPriority w:val="9"/>
    <w:qFormat/>
    <w:pPr>
      <w:keepNext/>
      <w:keepLines/>
      <w:widowControl w:val="0"/>
      <w:spacing w:before="60" w:after="60"/>
      <w:jc w:val="both"/>
      <w:outlineLvl w:val="2"/>
    </w:pPr>
    <w:rPr>
      <w:rFonts w:ascii="Calibri" w:hAnsi="Calibri"/>
      <w:b/>
      <w:kern w:val="2"/>
      <w:szCs w:val="32"/>
    </w:rPr>
  </w:style>
  <w:style w:type="paragraph" w:customStyle="1" w:styleId="2785">
    <w:name w:val="2785"/>
    <w:basedOn w:val="2789"/>
    <w:next w:val="a"/>
    <w:uiPriority w:val="9"/>
    <w:qFormat/>
    <w:pPr>
      <w:keepNext/>
      <w:keepLines/>
      <w:widowControl w:val="0"/>
      <w:spacing w:before="60" w:after="60"/>
      <w:jc w:val="both"/>
      <w:outlineLvl w:val="3"/>
    </w:pPr>
    <w:rPr>
      <w:rFonts w:ascii="Cambria" w:hAnsi="Cambria"/>
      <w:b/>
      <w:kern w:val="2"/>
      <w:szCs w:val="28"/>
    </w:rPr>
  </w:style>
  <w:style w:type="paragraph" w:customStyle="1" w:styleId="2784">
    <w:name w:val="2784"/>
    <w:basedOn w:val="2789"/>
    <w:next w:val="a"/>
    <w:uiPriority w:val="9"/>
    <w:qFormat/>
    <w:pPr>
      <w:keepNext/>
      <w:keepLines/>
      <w:widowControl w:val="0"/>
      <w:spacing w:before="60" w:after="60"/>
      <w:jc w:val="both"/>
      <w:outlineLvl w:val="4"/>
    </w:pPr>
    <w:rPr>
      <w:rFonts w:ascii="Calibri" w:hAnsi="Calibri"/>
      <w:b/>
      <w:kern w:val="2"/>
      <w:szCs w:val="28"/>
    </w:rPr>
  </w:style>
  <w:style w:type="paragraph" w:customStyle="1" w:styleId="2783">
    <w:name w:val="2783"/>
    <w:basedOn w:val="2789"/>
    <w:next w:val="a"/>
    <w:uiPriority w:val="9"/>
    <w:qFormat/>
    <w:pPr>
      <w:keepNext/>
      <w:keepLines/>
      <w:spacing w:before="60" w:after="60"/>
      <w:outlineLvl w:val="5"/>
    </w:pPr>
    <w:rPr>
      <w:rFonts w:ascii="Cambria" w:hAnsi="Cambria" w:cs="Times New Roman"/>
      <w:b/>
    </w:rPr>
  </w:style>
  <w:style w:type="paragraph" w:customStyle="1" w:styleId="2782">
    <w:name w:val="2782"/>
    <w:basedOn w:val="2789"/>
    <w:next w:val="a"/>
    <w:uiPriority w:val="9"/>
    <w:qFormat/>
    <w:pPr>
      <w:keepNext/>
      <w:keepLines/>
      <w:spacing w:before="240" w:after="64" w:line="319" w:lineRule="auto"/>
      <w:outlineLvl w:val="6"/>
    </w:pPr>
    <w:rPr>
      <w:b/>
      <w:sz w:val="24"/>
    </w:rPr>
  </w:style>
  <w:style w:type="paragraph" w:customStyle="1" w:styleId="2781">
    <w:name w:val="2781"/>
    <w:basedOn w:val="2789"/>
    <w:next w:val="a"/>
    <w:uiPriority w:val="99"/>
    <w:qFormat/>
    <w:pPr>
      <w:keepNext/>
      <w:keepLines/>
      <w:widowControl w:val="0"/>
      <w:adjustRightInd w:val="0"/>
      <w:spacing w:before="240" w:after="64" w:line="320" w:lineRule="atLeast"/>
      <w:outlineLvl w:val="7"/>
    </w:pPr>
    <w:rPr>
      <w:rFonts w:ascii="Arial" w:eastAsia="黑体" w:hAnsi="Arial"/>
      <w:color w:val="000000"/>
      <w:sz w:val="24"/>
    </w:rPr>
  </w:style>
  <w:style w:type="paragraph" w:customStyle="1" w:styleId="2780">
    <w:name w:val="2780"/>
    <w:basedOn w:val="2789"/>
    <w:next w:val="a"/>
    <w:uiPriority w:val="99"/>
    <w:qFormat/>
    <w:pPr>
      <w:keepNext/>
      <w:keepLines/>
      <w:widowControl w:val="0"/>
      <w:adjustRightInd w:val="0"/>
      <w:spacing w:before="240" w:after="64" w:line="320" w:lineRule="atLeast"/>
      <w:outlineLvl w:val="8"/>
    </w:pPr>
    <w:rPr>
      <w:rFonts w:ascii="Arial" w:eastAsia="黑体" w:hAnsi="Arial"/>
      <w:color w:val="000000"/>
      <w:sz w:val="24"/>
    </w:rPr>
  </w:style>
  <w:style w:type="paragraph" w:customStyle="1" w:styleId="2778">
    <w:name w:val="2778"/>
    <w:basedOn w:val="2788"/>
    <w:next w:val="a"/>
    <w:uiPriority w:val="39"/>
    <w:qFormat/>
    <w:pPr>
      <w:widowControl/>
      <w:spacing w:before="480" w:after="0" w:line="276" w:lineRule="auto"/>
      <w:outlineLvl w:val="9"/>
    </w:pPr>
    <w:rPr>
      <w:rFonts w:ascii="Cambria" w:eastAsia="宋体" w:hAnsi="Cambria"/>
      <w:color w:val="365F91"/>
      <w:kern w:val="0"/>
      <w:szCs w:val="28"/>
    </w:rPr>
  </w:style>
  <w:style w:type="paragraph" w:customStyle="1" w:styleId="2777">
    <w:name w:val="2777"/>
    <w:basedOn w:val="2789"/>
    <w:next w:val="a"/>
    <w:uiPriority w:val="39"/>
    <w:qFormat/>
    <w:pPr>
      <w:widowControl w:val="0"/>
      <w:tabs>
        <w:tab w:val="left" w:pos="1260"/>
        <w:tab w:val="right" w:leader="dot" w:pos="8823"/>
      </w:tabs>
      <w:jc w:val="center"/>
    </w:pPr>
    <w:rPr>
      <w:kern w:val="2"/>
    </w:rPr>
  </w:style>
  <w:style w:type="paragraph" w:customStyle="1" w:styleId="2776">
    <w:name w:val="2776"/>
    <w:basedOn w:val="2789"/>
    <w:next w:val="a"/>
    <w:uiPriority w:val="39"/>
    <w:qFormat/>
    <w:pPr>
      <w:widowControl w:val="0"/>
      <w:ind w:leftChars="200" w:left="420"/>
      <w:jc w:val="both"/>
    </w:pPr>
    <w:rPr>
      <w:kern w:val="2"/>
    </w:rPr>
  </w:style>
  <w:style w:type="paragraph" w:customStyle="1" w:styleId="2773">
    <w:name w:val="2773"/>
    <w:basedOn w:val="2789"/>
    <w:uiPriority w:val="99"/>
    <w:qFormat/>
    <w:pPr>
      <w:widowControl w:val="0"/>
    </w:pPr>
    <w:rPr>
      <w:kern w:val="2"/>
    </w:rPr>
  </w:style>
  <w:style w:type="paragraph" w:customStyle="1" w:styleId="2772">
    <w:name w:val="2772"/>
    <w:basedOn w:val="2789"/>
    <w:uiPriority w:val="99"/>
    <w:pPr>
      <w:widowControl w:val="0"/>
      <w:jc w:val="both"/>
    </w:pPr>
    <w:rPr>
      <w:rFonts w:ascii="Calibri" w:hAnsi="Calibri"/>
      <w:kern w:val="2"/>
      <w:sz w:val="18"/>
      <w:szCs w:val="18"/>
    </w:rPr>
  </w:style>
  <w:style w:type="paragraph" w:customStyle="1" w:styleId="2770">
    <w:name w:val="2770"/>
    <w:basedOn w:val="2789"/>
    <w:next w:val="a"/>
    <w:uiPriority w:val="99"/>
    <w:pPr>
      <w:widowControl w:val="0"/>
      <w:jc w:val="both"/>
    </w:pPr>
    <w:rPr>
      <w:kern w:val="2"/>
    </w:rPr>
  </w:style>
  <w:style w:type="paragraph" w:customStyle="1" w:styleId="2768">
    <w:name w:val="2768"/>
    <w:basedOn w:val="2789"/>
    <w:uiPriority w:val="34"/>
    <w:qFormat/>
    <w:pPr>
      <w:widowControl w:val="0"/>
      <w:ind w:firstLineChars="200" w:firstLine="420"/>
      <w:jc w:val="both"/>
    </w:pPr>
    <w:rPr>
      <w:rFonts w:ascii="Calibri" w:hAnsi="Calibri"/>
      <w:kern w:val="2"/>
      <w:szCs w:val="22"/>
    </w:rPr>
  </w:style>
  <w:style w:type="paragraph" w:customStyle="1" w:styleId="2766">
    <w:name w:val="2766"/>
    <w:basedOn w:val="2773"/>
    <w:next w:val="a9"/>
    <w:uiPriority w:val="99"/>
    <w:rPr>
      <w:rFonts w:ascii="Calibri" w:hAnsi="Calibri"/>
      <w:b/>
      <w:szCs w:val="22"/>
    </w:rPr>
  </w:style>
  <w:style w:type="paragraph" w:customStyle="1" w:styleId="2765">
    <w:name w:val="2765"/>
    <w:basedOn w:val="2789"/>
    <w:next w:val="a"/>
    <w:uiPriority w:val="39"/>
    <w:qFormat/>
    <w:pPr>
      <w:spacing w:after="100" w:line="276" w:lineRule="auto"/>
      <w:ind w:left="440"/>
    </w:pPr>
    <w:rPr>
      <w:rFonts w:ascii="Calibri" w:hAnsi="Calibri"/>
      <w:sz w:val="22"/>
      <w:szCs w:val="22"/>
    </w:rPr>
  </w:style>
  <w:style w:type="paragraph" w:customStyle="1" w:styleId="2764">
    <w:name w:val="2764"/>
    <w:basedOn w:val="2789"/>
    <w:uiPriority w:val="99"/>
    <w:pPr>
      <w:widowControl w:val="0"/>
      <w:pBdr>
        <w:bottom w:val="single" w:sz="6" w:space="1" w:color="auto"/>
      </w:pBdr>
      <w:tabs>
        <w:tab w:val="center" w:pos="4153"/>
        <w:tab w:val="right" w:pos="8306"/>
      </w:tabs>
      <w:snapToGrid w:val="0"/>
      <w:jc w:val="center"/>
    </w:pPr>
    <w:rPr>
      <w:rFonts w:ascii="Calibri" w:hAnsi="Calibri"/>
      <w:kern w:val="2"/>
      <w:sz w:val="18"/>
      <w:szCs w:val="18"/>
    </w:rPr>
  </w:style>
  <w:style w:type="paragraph" w:customStyle="1" w:styleId="2762">
    <w:name w:val="2762"/>
    <w:basedOn w:val="2789"/>
    <w:uiPriority w:val="99"/>
    <w:pPr>
      <w:widowControl w:val="0"/>
      <w:tabs>
        <w:tab w:val="center" w:pos="4153"/>
        <w:tab w:val="right" w:pos="8306"/>
      </w:tabs>
      <w:snapToGrid w:val="0"/>
    </w:pPr>
    <w:rPr>
      <w:rFonts w:ascii="Calibri" w:hAnsi="Calibri"/>
      <w:kern w:val="2"/>
      <w:sz w:val="18"/>
      <w:szCs w:val="18"/>
    </w:rPr>
  </w:style>
  <w:style w:type="paragraph" w:customStyle="1" w:styleId="2760">
    <w:name w:val="2760"/>
    <w:basedOn w:val="2789"/>
    <w:uiPriority w:val="99"/>
    <w:pPr>
      <w:widowControl w:val="0"/>
      <w:jc w:val="both"/>
    </w:pPr>
    <w:rPr>
      <w:rFonts w:hAnsi="Courier New"/>
      <w:kern w:val="2"/>
    </w:rPr>
  </w:style>
  <w:style w:type="paragraph" w:customStyle="1" w:styleId="2758">
    <w:name w:val="2758"/>
    <w:basedOn w:val="2789"/>
    <w:uiPriority w:val="99"/>
    <w:pPr>
      <w:widowControl w:val="0"/>
      <w:spacing w:after="120"/>
      <w:jc w:val="both"/>
    </w:pPr>
    <w:rPr>
      <w:kern w:val="2"/>
    </w:rPr>
  </w:style>
  <w:style w:type="paragraph" w:customStyle="1" w:styleId="2756">
    <w:name w:val="2756"/>
    <w:basedOn w:val="2789"/>
    <w:next w:val="a"/>
    <w:uiPriority w:val="99"/>
    <w:pPr>
      <w:widowControl w:val="0"/>
      <w:ind w:leftChars="2500" w:left="100"/>
      <w:jc w:val="both"/>
    </w:pPr>
    <w:rPr>
      <w:kern w:val="2"/>
    </w:rPr>
  </w:style>
  <w:style w:type="paragraph" w:customStyle="1" w:styleId="2754">
    <w:name w:val="2754"/>
    <w:basedOn w:val="2789"/>
    <w:next w:val="a"/>
    <w:uiPriority w:val="99"/>
    <w:pPr>
      <w:widowControl w:val="0"/>
      <w:jc w:val="center"/>
    </w:pPr>
    <w:rPr>
      <w:kern w:val="2"/>
    </w:rPr>
  </w:style>
  <w:style w:type="paragraph" w:customStyle="1" w:styleId="2752">
    <w:name w:val="2752"/>
    <w:basedOn w:val="2789"/>
    <w:next w:val="a"/>
    <w:uiPriority w:val="99"/>
    <w:semiHidden/>
    <w:pPr>
      <w:widowControl w:val="0"/>
      <w:spacing w:before="120"/>
      <w:jc w:val="both"/>
    </w:pPr>
    <w:rPr>
      <w:rFonts w:ascii="Arial" w:hAnsi="Arial"/>
      <w:b/>
      <w:kern w:val="2"/>
    </w:rPr>
  </w:style>
  <w:style w:type="paragraph" w:customStyle="1" w:styleId="2751">
    <w:name w:val="2751"/>
    <w:basedOn w:val="2789"/>
    <w:uiPriority w:val="99"/>
    <w:pPr>
      <w:keepNext/>
      <w:keepLines/>
      <w:widowControl w:val="0"/>
      <w:spacing w:before="60" w:after="60"/>
      <w:ind w:hangingChars="200" w:hanging="420"/>
      <w:jc w:val="both"/>
      <w:outlineLvl w:val="4"/>
    </w:pPr>
    <w:rPr>
      <w:b/>
      <w:kern w:val="2"/>
    </w:rPr>
  </w:style>
  <w:style w:type="paragraph" w:customStyle="1" w:styleId="2750">
    <w:name w:val="2750"/>
    <w:uiPriority w:val="99"/>
    <w:semiHidden/>
    <w:rPr>
      <w:bCs/>
      <w:kern w:val="2"/>
      <w:sz w:val="21"/>
      <w:szCs w:val="22"/>
    </w:rPr>
  </w:style>
  <w:style w:type="paragraph" w:customStyle="1" w:styleId="2748">
    <w:name w:val="2748"/>
    <w:basedOn w:val="2789"/>
    <w:uiPriority w:val="99"/>
    <w:qFormat/>
    <w:pPr>
      <w:widowControl w:val="0"/>
      <w:spacing w:before="100" w:after="100"/>
      <w:jc w:val="both"/>
    </w:pPr>
    <w:rPr>
      <w:rFonts w:ascii="Calibri" w:hAnsi="Calibri"/>
      <w:kern w:val="2"/>
    </w:rPr>
  </w:style>
  <w:style w:type="paragraph" w:customStyle="1" w:styleId="2747">
    <w:name w:val="2747"/>
    <w:basedOn w:val="2789"/>
    <w:uiPriority w:val="99"/>
    <w:semiHidden/>
    <w:pPr>
      <w:widowControl w:val="0"/>
      <w:jc w:val="both"/>
    </w:pPr>
    <w:rPr>
      <w:rFonts w:hAnsi="Calibri"/>
      <w:kern w:val="2"/>
      <w:sz w:val="18"/>
      <w:szCs w:val="18"/>
    </w:rPr>
  </w:style>
  <w:style w:type="paragraph" w:customStyle="1" w:styleId="2743">
    <w:name w:val="2743"/>
    <w:basedOn w:val="2789"/>
    <w:next w:val="a"/>
    <w:uiPriority w:val="10"/>
    <w:qFormat/>
    <w:pPr>
      <w:widowControl w:val="0"/>
      <w:spacing w:before="240" w:after="60"/>
      <w:jc w:val="center"/>
      <w:outlineLvl w:val="0"/>
    </w:pPr>
    <w:rPr>
      <w:rFonts w:ascii="Cambria" w:hAnsi="Cambria" w:cs="Times New Roman"/>
      <w:b/>
      <w:kern w:val="2"/>
      <w:sz w:val="32"/>
      <w:szCs w:val="32"/>
    </w:rPr>
  </w:style>
  <w:style w:type="paragraph" w:customStyle="1" w:styleId="2741">
    <w:name w:val="2741"/>
    <w:uiPriority w:val="1"/>
    <w:qFormat/>
    <w:pPr>
      <w:widowControl w:val="0"/>
      <w:jc w:val="both"/>
    </w:pPr>
    <w:rPr>
      <w:bCs/>
      <w:kern w:val="2"/>
      <w:sz w:val="21"/>
      <w:szCs w:val="22"/>
    </w:rPr>
  </w:style>
  <w:style w:type="paragraph" w:customStyle="1" w:styleId="2740">
    <w:name w:val="2740"/>
    <w:basedOn w:val="2789"/>
    <w:next w:val="a"/>
    <w:uiPriority w:val="39"/>
    <w:pPr>
      <w:widowControl w:val="0"/>
      <w:ind w:leftChars="600" w:left="1260"/>
      <w:jc w:val="both"/>
    </w:pPr>
    <w:rPr>
      <w:rFonts w:ascii="Calibri" w:hAnsi="Calibri" w:cs="Times New Roman"/>
      <w:kern w:val="2"/>
      <w:szCs w:val="22"/>
    </w:rPr>
  </w:style>
  <w:style w:type="paragraph" w:customStyle="1" w:styleId="2739">
    <w:name w:val="2739"/>
    <w:basedOn w:val="2789"/>
    <w:next w:val="a"/>
    <w:uiPriority w:val="39"/>
    <w:pPr>
      <w:widowControl w:val="0"/>
      <w:ind w:leftChars="800" w:left="1680"/>
      <w:jc w:val="both"/>
    </w:pPr>
    <w:rPr>
      <w:rFonts w:ascii="Calibri" w:hAnsi="Calibri" w:cs="Times New Roman"/>
      <w:kern w:val="2"/>
      <w:szCs w:val="22"/>
    </w:rPr>
  </w:style>
  <w:style w:type="paragraph" w:customStyle="1" w:styleId="2738">
    <w:name w:val="2738"/>
    <w:basedOn w:val="2789"/>
    <w:next w:val="a"/>
    <w:uiPriority w:val="39"/>
    <w:pPr>
      <w:widowControl w:val="0"/>
      <w:ind w:leftChars="1000" w:left="2100"/>
      <w:jc w:val="both"/>
    </w:pPr>
    <w:rPr>
      <w:rFonts w:ascii="Calibri" w:hAnsi="Calibri" w:cs="Times New Roman"/>
      <w:kern w:val="2"/>
      <w:szCs w:val="22"/>
    </w:rPr>
  </w:style>
  <w:style w:type="paragraph" w:customStyle="1" w:styleId="2737">
    <w:name w:val="2737"/>
    <w:basedOn w:val="2789"/>
    <w:next w:val="a"/>
    <w:uiPriority w:val="39"/>
    <w:pPr>
      <w:widowControl w:val="0"/>
      <w:ind w:leftChars="1200" w:left="2520"/>
      <w:jc w:val="both"/>
    </w:pPr>
    <w:rPr>
      <w:rFonts w:ascii="Calibri" w:hAnsi="Calibri" w:cs="Times New Roman"/>
      <w:kern w:val="2"/>
      <w:szCs w:val="22"/>
    </w:rPr>
  </w:style>
  <w:style w:type="paragraph" w:customStyle="1" w:styleId="2736">
    <w:name w:val="2736"/>
    <w:basedOn w:val="2789"/>
    <w:next w:val="a"/>
    <w:uiPriority w:val="39"/>
    <w:pPr>
      <w:widowControl w:val="0"/>
      <w:ind w:leftChars="1400" w:left="2940"/>
      <w:jc w:val="both"/>
    </w:pPr>
    <w:rPr>
      <w:rFonts w:ascii="Calibri" w:hAnsi="Calibri" w:cs="Times New Roman"/>
      <w:kern w:val="2"/>
      <w:szCs w:val="22"/>
    </w:rPr>
  </w:style>
  <w:style w:type="paragraph" w:customStyle="1" w:styleId="2735">
    <w:name w:val="2735"/>
    <w:basedOn w:val="2789"/>
    <w:next w:val="a"/>
    <w:uiPriority w:val="39"/>
    <w:pPr>
      <w:widowControl w:val="0"/>
      <w:ind w:leftChars="1600" w:left="3360"/>
      <w:jc w:val="both"/>
    </w:pPr>
    <w:rPr>
      <w:rFonts w:ascii="Calibri" w:hAnsi="Calibri" w:cs="Times New Roman"/>
      <w:kern w:val="2"/>
      <w:szCs w:val="22"/>
    </w:rPr>
  </w:style>
  <w:style w:type="paragraph" w:customStyle="1" w:styleId="2733">
    <w:name w:val="2733"/>
    <w:basedOn w:val="2789"/>
    <w:uiPriority w:val="99"/>
    <w:pPr>
      <w:spacing w:before="100" w:beforeAutospacing="1" w:after="100" w:afterAutospacing="1"/>
    </w:pPr>
    <w:rPr>
      <w:sz w:val="24"/>
    </w:rPr>
  </w:style>
  <w:style w:type="paragraph" w:customStyle="1" w:styleId="2732">
    <w:name w:val="2732"/>
    <w:basedOn w:val="2789"/>
    <w:uiPriority w:val="99"/>
    <w:semiHidden/>
    <w:pPr>
      <w:snapToGrid w:val="0"/>
    </w:pPr>
  </w:style>
  <w:style w:type="paragraph" w:customStyle="1" w:styleId="2728">
    <w:name w:val="2728"/>
    <w:basedOn w:val="2789"/>
    <w:next w:val="a"/>
    <w:uiPriority w:val="99"/>
    <w:qFormat/>
    <w:pPr>
      <w:keepNext/>
      <w:keepLines/>
      <w:widowControl w:val="0"/>
      <w:spacing w:before="100" w:beforeAutospacing="1" w:after="100" w:afterAutospacing="1" w:line="412" w:lineRule="auto"/>
      <w:jc w:val="both"/>
    </w:pPr>
    <w:rPr>
      <w:b/>
      <w:kern w:val="2"/>
    </w:rPr>
  </w:style>
  <w:style w:type="paragraph" w:customStyle="1" w:styleId="2724">
    <w:name w:val="2724"/>
    <w:basedOn w:val="2789"/>
    <w:next w:val="a"/>
    <w:uiPriority w:val="99"/>
    <w:semiHidden/>
    <w:pPr>
      <w:ind w:firstLineChars="200" w:firstLine="420"/>
    </w:pPr>
    <w:rPr>
      <w:color w:val="000000"/>
    </w:rPr>
  </w:style>
  <w:style w:type="paragraph" w:customStyle="1" w:styleId="2723">
    <w:name w:val="2723"/>
    <w:basedOn w:val="2789"/>
    <w:uiPriority w:val="99"/>
    <w:qFormat/>
    <w:pPr>
      <w:widowControl w:val="0"/>
      <w:ind w:firstLineChars="200" w:firstLine="420"/>
      <w:jc w:val="both"/>
    </w:pPr>
    <w:rPr>
      <w:kern w:val="2"/>
    </w:rPr>
  </w:style>
  <w:style w:type="paragraph" w:customStyle="1" w:styleId="2722">
    <w:name w:val="2722"/>
    <w:basedOn w:val="2789"/>
    <w:uiPriority w:val="99"/>
    <w:pPr>
      <w:widowControl w:val="0"/>
      <w:tabs>
        <w:tab w:val="left" w:pos="1200"/>
      </w:tabs>
      <w:jc w:val="both"/>
    </w:pPr>
    <w:rPr>
      <w:kern w:val="2"/>
    </w:rPr>
  </w:style>
  <w:style w:type="paragraph" w:customStyle="1" w:styleId="2720">
    <w:name w:val="2720"/>
    <w:basedOn w:val="2789"/>
    <w:uiPriority w:val="34"/>
    <w:qFormat/>
    <w:pPr>
      <w:widowControl w:val="0"/>
      <w:ind w:firstLineChars="200" w:firstLine="420"/>
      <w:jc w:val="both"/>
    </w:pPr>
    <w:rPr>
      <w:rFonts w:ascii="Calibri" w:hAnsi="Calibri"/>
      <w:kern w:val="2"/>
      <w:szCs w:val="22"/>
    </w:rPr>
  </w:style>
  <w:style w:type="paragraph" w:customStyle="1" w:styleId="2719">
    <w:name w:val="2719"/>
    <w:basedOn w:val="2789"/>
    <w:uiPriority w:val="34"/>
    <w:qFormat/>
    <w:pPr>
      <w:widowControl w:val="0"/>
      <w:ind w:firstLineChars="200" w:firstLine="420"/>
      <w:jc w:val="both"/>
    </w:pPr>
    <w:rPr>
      <w:rFonts w:ascii="Calibri" w:hAnsi="Calibri"/>
      <w:kern w:val="2"/>
      <w:szCs w:val="22"/>
    </w:rPr>
  </w:style>
  <w:style w:type="paragraph" w:customStyle="1" w:styleId="2717">
    <w:name w:val="2717"/>
    <w:basedOn w:val="2789"/>
    <w:uiPriority w:val="34"/>
    <w:qFormat/>
    <w:pPr>
      <w:widowControl w:val="0"/>
      <w:ind w:firstLineChars="200" w:firstLine="420"/>
      <w:jc w:val="both"/>
    </w:pPr>
    <w:rPr>
      <w:rFonts w:ascii="Calibri" w:hAnsi="Calibri"/>
      <w:kern w:val="2"/>
      <w:szCs w:val="22"/>
    </w:rPr>
  </w:style>
  <w:style w:type="paragraph" w:customStyle="1" w:styleId="2716">
    <w:name w:val="2716"/>
    <w:basedOn w:val="2789"/>
    <w:uiPriority w:val="34"/>
    <w:qFormat/>
    <w:pPr>
      <w:widowControl w:val="0"/>
      <w:ind w:firstLineChars="200" w:firstLine="420"/>
      <w:jc w:val="both"/>
    </w:pPr>
    <w:rPr>
      <w:rFonts w:ascii="Calibri" w:hAnsi="Calibri"/>
      <w:kern w:val="2"/>
      <w:szCs w:val="22"/>
    </w:rPr>
  </w:style>
  <w:style w:type="paragraph" w:customStyle="1" w:styleId="2713">
    <w:name w:val="2713"/>
    <w:basedOn w:val="2789"/>
    <w:uiPriority w:val="34"/>
    <w:qFormat/>
    <w:pPr>
      <w:widowControl w:val="0"/>
      <w:ind w:firstLineChars="200" w:firstLine="420"/>
      <w:jc w:val="both"/>
    </w:pPr>
    <w:rPr>
      <w:rFonts w:ascii="Calibri" w:hAnsi="Calibri"/>
      <w:kern w:val="2"/>
      <w:szCs w:val="22"/>
    </w:rPr>
  </w:style>
  <w:style w:type="paragraph" w:customStyle="1" w:styleId="2708">
    <w:name w:val="2708"/>
    <w:basedOn w:val="2789"/>
    <w:uiPriority w:val="34"/>
    <w:qFormat/>
    <w:pPr>
      <w:widowControl w:val="0"/>
      <w:ind w:firstLineChars="200" w:firstLine="420"/>
      <w:jc w:val="both"/>
    </w:pPr>
    <w:rPr>
      <w:rFonts w:ascii="Calibri" w:hAnsi="Calibri"/>
      <w:kern w:val="2"/>
      <w:szCs w:val="22"/>
    </w:rPr>
  </w:style>
  <w:style w:type="paragraph" w:customStyle="1" w:styleId="2704">
    <w:name w:val="2704"/>
    <w:basedOn w:val="2789"/>
    <w:uiPriority w:val="99"/>
    <w:pPr>
      <w:widowControl w:val="0"/>
      <w:jc w:val="both"/>
    </w:pPr>
    <w:rPr>
      <w:kern w:val="2"/>
      <w:sz w:val="24"/>
      <w:szCs w:val="24"/>
    </w:rPr>
  </w:style>
  <w:style w:type="paragraph" w:customStyle="1" w:styleId="2703">
    <w:name w:val="2703"/>
    <w:basedOn w:val="2789"/>
    <w:uiPriority w:val="99"/>
    <w:pPr>
      <w:widowControl w:val="0"/>
      <w:tabs>
        <w:tab w:val="left" w:pos="315"/>
      </w:tabs>
      <w:ind w:left="315" w:hanging="315"/>
      <w:jc w:val="both"/>
    </w:pPr>
    <w:rPr>
      <w:kern w:val="2"/>
      <w:sz w:val="24"/>
      <w:szCs w:val="24"/>
    </w:rPr>
  </w:style>
  <w:style w:type="paragraph" w:customStyle="1" w:styleId="2702">
    <w:name w:val="2702"/>
    <w:basedOn w:val="2789"/>
    <w:uiPriority w:val="99"/>
    <w:pPr>
      <w:widowControl w:val="0"/>
      <w:autoSpaceDE w:val="0"/>
      <w:autoSpaceDN w:val="0"/>
      <w:adjustRightInd w:val="0"/>
    </w:pPr>
    <w:rPr>
      <w:kern w:val="2"/>
      <w:sz w:val="30"/>
    </w:rPr>
  </w:style>
  <w:style w:type="paragraph" w:customStyle="1" w:styleId="2695">
    <w:name w:val="2695"/>
    <w:basedOn w:val="2789"/>
    <w:next w:val="a"/>
    <w:uiPriority w:val="99"/>
    <w:qFormat/>
    <w:pPr>
      <w:keepNext/>
      <w:keepLines/>
      <w:widowControl w:val="0"/>
      <w:tabs>
        <w:tab w:val="left" w:pos="546"/>
      </w:tabs>
      <w:adjustRightInd w:val="0"/>
      <w:spacing w:before="120" w:after="120" w:line="480" w:lineRule="atLeast"/>
      <w:ind w:left="420" w:hanging="420"/>
      <w:outlineLvl w:val="1"/>
    </w:pPr>
    <w:rPr>
      <w:color w:val="000000"/>
    </w:rPr>
  </w:style>
  <w:style w:type="paragraph" w:customStyle="1" w:styleId="2694">
    <w:name w:val="2694"/>
    <w:basedOn w:val="2789"/>
    <w:next w:val="a"/>
    <w:uiPriority w:val="39"/>
    <w:qFormat/>
    <w:pPr>
      <w:tabs>
        <w:tab w:val="right" w:leader="dot" w:pos="8296"/>
      </w:tabs>
      <w:ind w:leftChars="200" w:left="420"/>
      <w:jc w:val="center"/>
    </w:pPr>
    <w:rPr>
      <w:b/>
      <w:color w:val="000000"/>
      <w:sz w:val="32"/>
      <w:szCs w:val="32"/>
    </w:rPr>
  </w:style>
  <w:style w:type="paragraph" w:customStyle="1" w:styleId="2693">
    <w:name w:val="2693"/>
    <w:basedOn w:val="2789"/>
    <w:next w:val="a"/>
    <w:uiPriority w:val="39"/>
    <w:qFormat/>
    <w:rPr>
      <w:color w:val="000000"/>
    </w:rPr>
  </w:style>
  <w:style w:type="paragraph" w:customStyle="1" w:styleId="2692">
    <w:name w:val="2692"/>
    <w:basedOn w:val="2789"/>
    <w:next w:val="a"/>
    <w:uiPriority w:val="39"/>
    <w:qFormat/>
    <w:pPr>
      <w:spacing w:after="100" w:line="276" w:lineRule="auto"/>
      <w:ind w:left="440"/>
    </w:pPr>
    <w:rPr>
      <w:rFonts w:ascii="Calibri" w:hAnsi="Calibri"/>
      <w:sz w:val="22"/>
      <w:szCs w:val="22"/>
    </w:rPr>
  </w:style>
  <w:style w:type="paragraph" w:customStyle="1" w:styleId="2691">
    <w:name w:val="2691"/>
    <w:basedOn w:val="2789"/>
    <w:next w:val="a"/>
    <w:uiPriority w:val="39"/>
    <w:pPr>
      <w:widowControl w:val="0"/>
      <w:ind w:leftChars="600" w:left="1260"/>
      <w:jc w:val="both"/>
    </w:pPr>
    <w:rPr>
      <w:rFonts w:ascii="Calibri" w:hAnsi="Calibri" w:cs="Times New Roman"/>
      <w:kern w:val="2"/>
      <w:szCs w:val="22"/>
    </w:rPr>
  </w:style>
  <w:style w:type="paragraph" w:customStyle="1" w:styleId="2690">
    <w:name w:val="2690"/>
    <w:basedOn w:val="2789"/>
    <w:next w:val="a"/>
    <w:uiPriority w:val="39"/>
    <w:pPr>
      <w:widowControl w:val="0"/>
      <w:ind w:leftChars="800" w:left="1680"/>
      <w:jc w:val="both"/>
    </w:pPr>
    <w:rPr>
      <w:rFonts w:ascii="Calibri" w:hAnsi="Calibri" w:cs="Times New Roman"/>
      <w:kern w:val="2"/>
      <w:szCs w:val="22"/>
    </w:rPr>
  </w:style>
  <w:style w:type="paragraph" w:customStyle="1" w:styleId="2689">
    <w:name w:val="2689"/>
    <w:basedOn w:val="2789"/>
    <w:next w:val="a"/>
    <w:uiPriority w:val="39"/>
    <w:pPr>
      <w:widowControl w:val="0"/>
      <w:ind w:leftChars="1000" w:left="2100"/>
      <w:jc w:val="both"/>
    </w:pPr>
    <w:rPr>
      <w:rFonts w:ascii="Calibri" w:hAnsi="Calibri" w:cs="Times New Roman"/>
      <w:kern w:val="2"/>
      <w:szCs w:val="22"/>
    </w:rPr>
  </w:style>
  <w:style w:type="paragraph" w:customStyle="1" w:styleId="2688">
    <w:name w:val="2688"/>
    <w:basedOn w:val="2789"/>
    <w:next w:val="a"/>
    <w:uiPriority w:val="39"/>
    <w:pPr>
      <w:widowControl w:val="0"/>
      <w:ind w:leftChars="1200" w:left="2520"/>
      <w:jc w:val="both"/>
    </w:pPr>
    <w:rPr>
      <w:rFonts w:ascii="Calibri" w:hAnsi="Calibri" w:cs="Times New Roman"/>
      <w:kern w:val="2"/>
      <w:szCs w:val="22"/>
    </w:rPr>
  </w:style>
  <w:style w:type="paragraph" w:customStyle="1" w:styleId="2687">
    <w:name w:val="2687"/>
    <w:basedOn w:val="2789"/>
    <w:next w:val="a"/>
    <w:uiPriority w:val="39"/>
    <w:pPr>
      <w:widowControl w:val="0"/>
      <w:ind w:leftChars="1400" w:left="2940"/>
      <w:jc w:val="both"/>
    </w:pPr>
    <w:rPr>
      <w:rFonts w:ascii="Calibri" w:hAnsi="Calibri" w:cs="Times New Roman"/>
      <w:kern w:val="2"/>
      <w:szCs w:val="22"/>
    </w:rPr>
  </w:style>
  <w:style w:type="paragraph" w:customStyle="1" w:styleId="2686">
    <w:name w:val="2686"/>
    <w:basedOn w:val="2789"/>
    <w:next w:val="a"/>
    <w:uiPriority w:val="39"/>
    <w:pPr>
      <w:widowControl w:val="0"/>
      <w:ind w:leftChars="1600" w:left="3360"/>
      <w:jc w:val="both"/>
    </w:pPr>
    <w:rPr>
      <w:rFonts w:ascii="Calibri" w:hAnsi="Calibri" w:cs="Times New Roman"/>
      <w:kern w:val="2"/>
      <w:szCs w:val="22"/>
    </w:rPr>
  </w:style>
  <w:style w:type="paragraph" w:customStyle="1" w:styleId="2685">
    <w:name w:val="2685"/>
    <w:basedOn w:val="2789"/>
    <w:uiPriority w:val="99"/>
    <w:pPr>
      <w:widowControl w:val="0"/>
      <w:tabs>
        <w:tab w:val="left" w:pos="1200"/>
      </w:tabs>
      <w:jc w:val="both"/>
    </w:pPr>
    <w:rPr>
      <w:kern w:val="2"/>
    </w:rPr>
  </w:style>
  <w:style w:type="paragraph" w:customStyle="1" w:styleId="2684">
    <w:name w:val="2684"/>
    <w:basedOn w:val="2789"/>
    <w:next w:val="a"/>
    <w:uiPriority w:val="99"/>
    <w:qFormat/>
    <w:pPr>
      <w:keepNext/>
      <w:keepLines/>
      <w:widowControl w:val="0"/>
      <w:spacing w:before="100" w:beforeAutospacing="1" w:after="100" w:afterAutospacing="1" w:line="412" w:lineRule="auto"/>
      <w:jc w:val="both"/>
    </w:pPr>
    <w:rPr>
      <w:b/>
      <w:kern w:val="2"/>
      <w:szCs w:val="24"/>
    </w:rPr>
  </w:style>
  <w:style w:type="paragraph" w:customStyle="1" w:styleId="2680">
    <w:name w:val="2680"/>
    <w:basedOn w:val="2789"/>
    <w:uiPriority w:val="34"/>
    <w:qFormat/>
    <w:pPr>
      <w:widowControl w:val="0"/>
      <w:ind w:firstLineChars="200" w:firstLine="420"/>
      <w:jc w:val="both"/>
    </w:pPr>
    <w:rPr>
      <w:rFonts w:ascii="Calibri" w:hAnsi="Calibri"/>
      <w:kern w:val="2"/>
      <w:szCs w:val="22"/>
    </w:rPr>
  </w:style>
  <w:style w:type="paragraph" w:customStyle="1" w:styleId="2679">
    <w:name w:val="2679"/>
    <w:basedOn w:val="2789"/>
    <w:uiPriority w:val="34"/>
    <w:qFormat/>
    <w:pPr>
      <w:widowControl w:val="0"/>
      <w:ind w:firstLineChars="200" w:firstLine="420"/>
      <w:jc w:val="both"/>
    </w:pPr>
    <w:rPr>
      <w:rFonts w:ascii="Calibri" w:hAnsi="Calibri"/>
      <w:kern w:val="2"/>
      <w:szCs w:val="22"/>
    </w:rPr>
  </w:style>
  <w:style w:type="paragraph" w:customStyle="1" w:styleId="2678">
    <w:name w:val="2678"/>
    <w:basedOn w:val="2789"/>
    <w:uiPriority w:val="34"/>
    <w:qFormat/>
    <w:pPr>
      <w:widowControl w:val="0"/>
      <w:ind w:firstLineChars="200" w:firstLine="420"/>
      <w:jc w:val="both"/>
    </w:pPr>
    <w:rPr>
      <w:rFonts w:ascii="Calibri" w:hAnsi="Calibri"/>
      <w:kern w:val="2"/>
      <w:szCs w:val="22"/>
    </w:rPr>
  </w:style>
  <w:style w:type="paragraph" w:customStyle="1" w:styleId="2677">
    <w:name w:val="2677"/>
    <w:basedOn w:val="2789"/>
    <w:uiPriority w:val="34"/>
    <w:qFormat/>
    <w:pPr>
      <w:widowControl w:val="0"/>
      <w:ind w:firstLineChars="200" w:firstLine="420"/>
      <w:jc w:val="both"/>
    </w:pPr>
    <w:rPr>
      <w:rFonts w:ascii="Calibri" w:hAnsi="Calibri"/>
      <w:kern w:val="2"/>
      <w:szCs w:val="22"/>
    </w:rPr>
  </w:style>
  <w:style w:type="paragraph" w:customStyle="1" w:styleId="2676">
    <w:name w:val="2676"/>
    <w:uiPriority w:val="99"/>
    <w:qFormat/>
    <w:rPr>
      <w:bCs/>
      <w:kern w:val="2"/>
      <w:sz w:val="21"/>
      <w:szCs w:val="24"/>
    </w:rPr>
  </w:style>
  <w:style w:type="paragraph" w:customStyle="1" w:styleId="2674">
    <w:name w:val="2674"/>
    <w:uiPriority w:val="99"/>
    <w:qFormat/>
    <w:rPr>
      <w:bCs/>
      <w:sz w:val="21"/>
      <w:szCs w:val="24"/>
    </w:rPr>
  </w:style>
  <w:style w:type="paragraph" w:customStyle="1" w:styleId="2672">
    <w:name w:val="2672"/>
    <w:basedOn w:val="2789"/>
    <w:uiPriority w:val="34"/>
    <w:qFormat/>
    <w:pPr>
      <w:widowControl w:val="0"/>
      <w:ind w:firstLineChars="200" w:firstLine="420"/>
      <w:jc w:val="both"/>
    </w:pPr>
    <w:rPr>
      <w:rFonts w:ascii="Calibri" w:hAnsi="Calibri"/>
      <w:kern w:val="2"/>
      <w:szCs w:val="22"/>
    </w:rPr>
  </w:style>
  <w:style w:type="paragraph" w:customStyle="1" w:styleId="2671">
    <w:name w:val="2671"/>
    <w:basedOn w:val="2789"/>
    <w:uiPriority w:val="34"/>
    <w:qFormat/>
    <w:pPr>
      <w:widowControl w:val="0"/>
      <w:ind w:firstLineChars="200" w:firstLine="420"/>
      <w:jc w:val="both"/>
    </w:pPr>
    <w:rPr>
      <w:rFonts w:ascii="Calibri" w:hAnsi="Calibri"/>
      <w:kern w:val="2"/>
      <w:szCs w:val="22"/>
    </w:rPr>
  </w:style>
  <w:style w:type="paragraph" w:customStyle="1" w:styleId="2670">
    <w:name w:val="2670"/>
    <w:basedOn w:val="2789"/>
    <w:uiPriority w:val="99"/>
    <w:qFormat/>
    <w:rPr>
      <w:kern w:val="2"/>
    </w:rPr>
  </w:style>
  <w:style w:type="paragraph" w:customStyle="1" w:styleId="2669">
    <w:name w:val="2669"/>
    <w:basedOn w:val="2789"/>
    <w:uiPriority w:val="59"/>
    <w:qFormat/>
    <w:pPr>
      <w:widowControl w:val="0"/>
    </w:pPr>
    <w:rPr>
      <w:kern w:val="2"/>
    </w:rPr>
  </w:style>
  <w:style w:type="paragraph" w:customStyle="1" w:styleId="2668">
    <w:name w:val="2668"/>
    <w:uiPriority w:val="99"/>
    <w:qFormat/>
    <w:rPr>
      <w:bCs/>
      <w:kern w:val="2"/>
      <w:sz w:val="21"/>
      <w:szCs w:val="24"/>
    </w:rPr>
  </w:style>
  <w:style w:type="paragraph" w:customStyle="1" w:styleId="2667">
    <w:name w:val="2667"/>
    <w:uiPriority w:val="99"/>
    <w:qFormat/>
    <w:rPr>
      <w:bCs/>
      <w:kern w:val="2"/>
      <w:sz w:val="21"/>
      <w:szCs w:val="24"/>
    </w:rPr>
  </w:style>
  <w:style w:type="paragraph" w:customStyle="1" w:styleId="2666">
    <w:name w:val="2666"/>
    <w:basedOn w:val="2789"/>
    <w:uiPriority w:val="99"/>
    <w:pPr>
      <w:widowControl w:val="0"/>
      <w:jc w:val="both"/>
    </w:pPr>
    <w:rPr>
      <w:rFonts w:ascii="Calibri" w:hAnsi="Calibri"/>
      <w:kern w:val="2"/>
      <w:sz w:val="18"/>
      <w:szCs w:val="18"/>
    </w:rPr>
  </w:style>
  <w:style w:type="paragraph" w:customStyle="1" w:styleId="2665">
    <w:name w:val="2665"/>
    <w:basedOn w:val="2789"/>
    <w:next w:val="a"/>
    <w:uiPriority w:val="99"/>
    <w:pPr>
      <w:widowControl w:val="0"/>
      <w:ind w:leftChars="2500" w:left="100"/>
      <w:jc w:val="both"/>
    </w:pPr>
    <w:rPr>
      <w:kern w:val="2"/>
    </w:rPr>
  </w:style>
  <w:style w:type="paragraph" w:customStyle="1" w:styleId="2661">
    <w:name w:val="2661"/>
    <w:uiPriority w:val="99"/>
    <w:qFormat/>
    <w:rPr>
      <w:bCs/>
      <w:kern w:val="2"/>
      <w:sz w:val="21"/>
      <w:szCs w:val="24"/>
    </w:rPr>
  </w:style>
  <w:style w:type="paragraph" w:customStyle="1" w:styleId="2659">
    <w:name w:val="2659"/>
    <w:basedOn w:val="2789"/>
    <w:next w:val="a"/>
    <w:uiPriority w:val="99"/>
    <w:qFormat/>
    <w:pPr>
      <w:keepNext/>
      <w:keepLines/>
      <w:widowControl w:val="0"/>
      <w:spacing w:before="60" w:after="60" w:line="360" w:lineRule="auto"/>
      <w:jc w:val="center"/>
      <w:outlineLvl w:val="0"/>
    </w:pPr>
    <w:rPr>
      <w:rFonts w:ascii="Calibri" w:eastAsia="黑体" w:hAnsi="Calibri"/>
      <w:b/>
      <w:kern w:val="44"/>
      <w:sz w:val="28"/>
      <w:szCs w:val="44"/>
    </w:rPr>
  </w:style>
  <w:style w:type="paragraph" w:customStyle="1" w:styleId="2658">
    <w:name w:val="2658"/>
    <w:basedOn w:val="2789"/>
    <w:next w:val="a"/>
    <w:uiPriority w:val="9"/>
    <w:qFormat/>
    <w:pPr>
      <w:keepNext/>
      <w:keepLines/>
      <w:widowControl w:val="0"/>
      <w:spacing w:before="60" w:after="60"/>
      <w:jc w:val="both"/>
      <w:outlineLvl w:val="2"/>
    </w:pPr>
    <w:rPr>
      <w:rFonts w:ascii="Calibri" w:hAnsi="Calibri"/>
      <w:b/>
      <w:kern w:val="2"/>
      <w:szCs w:val="32"/>
    </w:rPr>
  </w:style>
  <w:style w:type="paragraph" w:customStyle="1" w:styleId="2657">
    <w:name w:val="2657"/>
    <w:basedOn w:val="2789"/>
    <w:next w:val="a"/>
    <w:uiPriority w:val="9"/>
    <w:qFormat/>
    <w:pPr>
      <w:keepNext/>
      <w:keepLines/>
      <w:widowControl w:val="0"/>
      <w:spacing w:before="60" w:after="60"/>
      <w:jc w:val="both"/>
      <w:outlineLvl w:val="3"/>
    </w:pPr>
    <w:rPr>
      <w:rFonts w:ascii="Cambria" w:hAnsi="Cambria"/>
      <w:b/>
      <w:kern w:val="2"/>
      <w:szCs w:val="28"/>
    </w:rPr>
  </w:style>
  <w:style w:type="paragraph" w:customStyle="1" w:styleId="2656">
    <w:name w:val="2656"/>
    <w:basedOn w:val="2789"/>
    <w:next w:val="a"/>
    <w:uiPriority w:val="9"/>
    <w:qFormat/>
    <w:pPr>
      <w:keepNext/>
      <w:keepLines/>
      <w:widowControl w:val="0"/>
      <w:spacing w:before="60" w:after="60"/>
      <w:jc w:val="both"/>
      <w:outlineLvl w:val="4"/>
    </w:pPr>
    <w:rPr>
      <w:rFonts w:ascii="Calibri" w:hAnsi="Calibri"/>
      <w:b/>
      <w:kern w:val="2"/>
      <w:szCs w:val="28"/>
    </w:rPr>
  </w:style>
  <w:style w:type="paragraph" w:customStyle="1" w:styleId="2655">
    <w:name w:val="2655"/>
    <w:basedOn w:val="2789"/>
    <w:next w:val="a"/>
    <w:uiPriority w:val="9"/>
    <w:qFormat/>
    <w:pPr>
      <w:keepNext/>
      <w:keepLines/>
      <w:spacing w:before="60" w:after="60"/>
      <w:outlineLvl w:val="5"/>
    </w:pPr>
    <w:rPr>
      <w:rFonts w:ascii="Cambria" w:hAnsi="Cambria" w:cs="Times New Roman"/>
      <w:b/>
    </w:rPr>
  </w:style>
  <w:style w:type="paragraph" w:customStyle="1" w:styleId="2654">
    <w:name w:val="2654"/>
    <w:basedOn w:val="2789"/>
    <w:next w:val="a"/>
    <w:uiPriority w:val="9"/>
    <w:qFormat/>
    <w:pPr>
      <w:keepNext/>
      <w:keepLines/>
      <w:spacing w:before="240" w:after="64" w:line="319" w:lineRule="auto"/>
      <w:outlineLvl w:val="6"/>
    </w:pPr>
    <w:rPr>
      <w:b/>
      <w:sz w:val="24"/>
    </w:rPr>
  </w:style>
  <w:style w:type="paragraph" w:customStyle="1" w:styleId="2648">
    <w:name w:val="2648"/>
    <w:basedOn w:val="2789"/>
    <w:next w:val="a"/>
    <w:uiPriority w:val="39"/>
    <w:qFormat/>
    <w:pPr>
      <w:widowControl w:val="0"/>
      <w:tabs>
        <w:tab w:val="left" w:pos="1260"/>
        <w:tab w:val="right" w:leader="dot" w:pos="8823"/>
      </w:tabs>
      <w:jc w:val="center"/>
    </w:pPr>
    <w:rPr>
      <w:kern w:val="2"/>
    </w:rPr>
  </w:style>
  <w:style w:type="paragraph" w:customStyle="1" w:styleId="2647">
    <w:name w:val="2647"/>
    <w:basedOn w:val="2789"/>
    <w:next w:val="a"/>
    <w:uiPriority w:val="39"/>
    <w:qFormat/>
    <w:pPr>
      <w:widowControl w:val="0"/>
      <w:ind w:leftChars="200" w:left="420"/>
      <w:jc w:val="both"/>
    </w:pPr>
    <w:rPr>
      <w:kern w:val="2"/>
    </w:rPr>
  </w:style>
  <w:style w:type="paragraph" w:customStyle="1" w:styleId="2646">
    <w:name w:val="2646"/>
    <w:basedOn w:val="2789"/>
    <w:uiPriority w:val="99"/>
    <w:qFormat/>
    <w:pPr>
      <w:widowControl w:val="0"/>
    </w:pPr>
    <w:rPr>
      <w:kern w:val="2"/>
    </w:rPr>
  </w:style>
  <w:style w:type="paragraph" w:customStyle="1" w:styleId="2644">
    <w:name w:val="2644"/>
    <w:basedOn w:val="2789"/>
    <w:uiPriority w:val="99"/>
    <w:pPr>
      <w:widowControl w:val="0"/>
      <w:jc w:val="both"/>
    </w:pPr>
    <w:rPr>
      <w:rFonts w:ascii="Calibri" w:hAnsi="Calibri"/>
      <w:kern w:val="2"/>
      <w:sz w:val="18"/>
      <w:szCs w:val="18"/>
    </w:rPr>
  </w:style>
  <w:style w:type="paragraph" w:customStyle="1" w:styleId="2642">
    <w:name w:val="2642"/>
    <w:basedOn w:val="2789"/>
    <w:next w:val="a"/>
    <w:uiPriority w:val="99"/>
    <w:pPr>
      <w:widowControl w:val="0"/>
      <w:jc w:val="both"/>
    </w:pPr>
    <w:rPr>
      <w:kern w:val="2"/>
    </w:rPr>
  </w:style>
  <w:style w:type="paragraph" w:customStyle="1" w:styleId="2640">
    <w:name w:val="2640"/>
    <w:basedOn w:val="2789"/>
    <w:uiPriority w:val="34"/>
    <w:qFormat/>
    <w:pPr>
      <w:widowControl w:val="0"/>
      <w:ind w:firstLineChars="200" w:firstLine="420"/>
      <w:jc w:val="both"/>
    </w:pPr>
    <w:rPr>
      <w:rFonts w:ascii="Calibri" w:hAnsi="Calibri"/>
      <w:kern w:val="2"/>
      <w:szCs w:val="22"/>
    </w:rPr>
  </w:style>
  <w:style w:type="paragraph" w:customStyle="1" w:styleId="2638">
    <w:name w:val="2638"/>
    <w:basedOn w:val="2646"/>
    <w:next w:val="a9"/>
    <w:uiPriority w:val="99"/>
    <w:rPr>
      <w:rFonts w:ascii="Calibri" w:hAnsi="Calibri"/>
      <w:b/>
      <w:szCs w:val="22"/>
    </w:rPr>
  </w:style>
  <w:style w:type="paragraph" w:customStyle="1" w:styleId="2637">
    <w:name w:val="2637"/>
    <w:basedOn w:val="2789"/>
    <w:next w:val="a"/>
    <w:uiPriority w:val="39"/>
    <w:qFormat/>
    <w:pPr>
      <w:spacing w:after="100" w:line="276" w:lineRule="auto"/>
      <w:ind w:left="440"/>
    </w:pPr>
    <w:rPr>
      <w:rFonts w:ascii="Calibri" w:hAnsi="Calibri"/>
      <w:sz w:val="22"/>
      <w:szCs w:val="22"/>
    </w:rPr>
  </w:style>
  <w:style w:type="paragraph" w:customStyle="1" w:styleId="2636">
    <w:name w:val="2636"/>
    <w:basedOn w:val="2789"/>
    <w:uiPriority w:val="99"/>
    <w:pPr>
      <w:widowControl w:val="0"/>
      <w:pBdr>
        <w:bottom w:val="single" w:sz="6" w:space="1" w:color="auto"/>
      </w:pBdr>
      <w:tabs>
        <w:tab w:val="center" w:pos="4153"/>
        <w:tab w:val="right" w:pos="8306"/>
      </w:tabs>
      <w:snapToGrid w:val="0"/>
      <w:jc w:val="center"/>
    </w:pPr>
    <w:rPr>
      <w:rFonts w:ascii="Calibri" w:hAnsi="Calibri"/>
      <w:kern w:val="2"/>
      <w:sz w:val="18"/>
      <w:szCs w:val="18"/>
    </w:rPr>
  </w:style>
  <w:style w:type="paragraph" w:customStyle="1" w:styleId="2634">
    <w:name w:val="2634"/>
    <w:basedOn w:val="2789"/>
    <w:uiPriority w:val="99"/>
    <w:pPr>
      <w:widowControl w:val="0"/>
      <w:tabs>
        <w:tab w:val="center" w:pos="4153"/>
        <w:tab w:val="right" w:pos="8306"/>
      </w:tabs>
      <w:snapToGrid w:val="0"/>
    </w:pPr>
    <w:rPr>
      <w:rFonts w:ascii="Calibri" w:hAnsi="Calibri"/>
      <w:kern w:val="2"/>
      <w:sz w:val="18"/>
      <w:szCs w:val="18"/>
    </w:rPr>
  </w:style>
  <w:style w:type="paragraph" w:customStyle="1" w:styleId="2632">
    <w:name w:val="2632"/>
    <w:basedOn w:val="2789"/>
    <w:uiPriority w:val="99"/>
    <w:pPr>
      <w:widowControl w:val="0"/>
      <w:jc w:val="both"/>
    </w:pPr>
    <w:rPr>
      <w:rFonts w:hAnsi="Courier New"/>
      <w:kern w:val="2"/>
    </w:rPr>
  </w:style>
  <w:style w:type="paragraph" w:customStyle="1" w:styleId="2630">
    <w:name w:val="2630"/>
    <w:basedOn w:val="2789"/>
    <w:uiPriority w:val="99"/>
    <w:pPr>
      <w:widowControl w:val="0"/>
      <w:spacing w:after="120"/>
      <w:jc w:val="both"/>
    </w:pPr>
    <w:rPr>
      <w:kern w:val="2"/>
    </w:rPr>
  </w:style>
  <w:style w:type="paragraph" w:customStyle="1" w:styleId="2628">
    <w:name w:val="2628"/>
    <w:basedOn w:val="2789"/>
    <w:next w:val="a"/>
    <w:uiPriority w:val="99"/>
    <w:pPr>
      <w:widowControl w:val="0"/>
      <w:ind w:leftChars="2500" w:left="100"/>
      <w:jc w:val="both"/>
    </w:pPr>
    <w:rPr>
      <w:kern w:val="2"/>
    </w:rPr>
  </w:style>
  <w:style w:type="paragraph" w:customStyle="1" w:styleId="2626">
    <w:name w:val="2626"/>
    <w:basedOn w:val="2789"/>
    <w:next w:val="a"/>
    <w:uiPriority w:val="99"/>
    <w:pPr>
      <w:widowControl w:val="0"/>
      <w:jc w:val="center"/>
    </w:pPr>
    <w:rPr>
      <w:kern w:val="2"/>
    </w:rPr>
  </w:style>
  <w:style w:type="paragraph" w:customStyle="1" w:styleId="2624">
    <w:name w:val="2624"/>
    <w:basedOn w:val="2789"/>
    <w:next w:val="a"/>
    <w:uiPriority w:val="99"/>
    <w:semiHidden/>
    <w:pPr>
      <w:widowControl w:val="0"/>
      <w:spacing w:before="120"/>
      <w:jc w:val="both"/>
    </w:pPr>
    <w:rPr>
      <w:rFonts w:ascii="Arial" w:hAnsi="Arial"/>
      <w:b/>
      <w:kern w:val="2"/>
    </w:rPr>
  </w:style>
  <w:style w:type="paragraph" w:customStyle="1" w:styleId="2623">
    <w:name w:val="2623"/>
    <w:basedOn w:val="2789"/>
    <w:uiPriority w:val="99"/>
    <w:pPr>
      <w:keepNext/>
      <w:keepLines/>
      <w:widowControl w:val="0"/>
      <w:spacing w:before="60" w:after="60"/>
      <w:ind w:hangingChars="200" w:hanging="420"/>
      <w:jc w:val="both"/>
      <w:outlineLvl w:val="4"/>
    </w:pPr>
    <w:rPr>
      <w:b/>
      <w:kern w:val="2"/>
    </w:rPr>
  </w:style>
  <w:style w:type="paragraph" w:customStyle="1" w:styleId="2622">
    <w:name w:val="2622"/>
    <w:uiPriority w:val="99"/>
    <w:semiHidden/>
    <w:rPr>
      <w:bCs/>
      <w:kern w:val="2"/>
      <w:sz w:val="21"/>
      <w:szCs w:val="22"/>
    </w:rPr>
  </w:style>
  <w:style w:type="paragraph" w:customStyle="1" w:styleId="2620">
    <w:name w:val="2620"/>
    <w:basedOn w:val="2789"/>
    <w:uiPriority w:val="99"/>
    <w:qFormat/>
    <w:pPr>
      <w:widowControl w:val="0"/>
      <w:spacing w:before="100" w:after="100"/>
      <w:jc w:val="both"/>
    </w:pPr>
    <w:rPr>
      <w:rFonts w:ascii="Calibri" w:hAnsi="Calibri"/>
      <w:kern w:val="2"/>
    </w:rPr>
  </w:style>
  <w:style w:type="paragraph" w:customStyle="1" w:styleId="2619">
    <w:name w:val="2619"/>
    <w:basedOn w:val="2789"/>
    <w:uiPriority w:val="99"/>
    <w:semiHidden/>
    <w:pPr>
      <w:widowControl w:val="0"/>
      <w:jc w:val="both"/>
    </w:pPr>
    <w:rPr>
      <w:rFonts w:hAnsi="Calibri"/>
      <w:kern w:val="2"/>
      <w:sz w:val="18"/>
      <w:szCs w:val="18"/>
    </w:rPr>
  </w:style>
  <w:style w:type="paragraph" w:customStyle="1" w:styleId="2616">
    <w:name w:val="2616"/>
    <w:basedOn w:val="2789"/>
    <w:next w:val="a"/>
    <w:uiPriority w:val="10"/>
    <w:qFormat/>
    <w:pPr>
      <w:widowControl w:val="0"/>
      <w:spacing w:before="240" w:after="60"/>
      <w:jc w:val="center"/>
      <w:outlineLvl w:val="0"/>
    </w:pPr>
    <w:rPr>
      <w:rFonts w:ascii="Cambria" w:hAnsi="Cambria" w:cs="Times New Roman"/>
      <w:b/>
      <w:kern w:val="2"/>
      <w:sz w:val="32"/>
      <w:szCs w:val="32"/>
    </w:rPr>
  </w:style>
  <w:style w:type="paragraph" w:customStyle="1" w:styleId="2614">
    <w:name w:val="2614"/>
    <w:uiPriority w:val="1"/>
    <w:qFormat/>
    <w:pPr>
      <w:widowControl w:val="0"/>
      <w:jc w:val="both"/>
    </w:pPr>
    <w:rPr>
      <w:bCs/>
      <w:kern w:val="2"/>
      <w:sz w:val="21"/>
      <w:szCs w:val="22"/>
    </w:rPr>
  </w:style>
  <w:style w:type="paragraph" w:customStyle="1" w:styleId="2613">
    <w:name w:val="2613"/>
    <w:basedOn w:val="2789"/>
    <w:next w:val="a"/>
    <w:uiPriority w:val="39"/>
    <w:pPr>
      <w:widowControl w:val="0"/>
      <w:ind w:leftChars="600" w:left="1260"/>
      <w:jc w:val="both"/>
    </w:pPr>
    <w:rPr>
      <w:rFonts w:ascii="Calibri" w:hAnsi="Calibri" w:cs="Times New Roman"/>
      <w:kern w:val="2"/>
      <w:szCs w:val="22"/>
    </w:rPr>
  </w:style>
  <w:style w:type="paragraph" w:customStyle="1" w:styleId="2612">
    <w:name w:val="2612"/>
    <w:basedOn w:val="2789"/>
    <w:next w:val="a"/>
    <w:uiPriority w:val="39"/>
    <w:pPr>
      <w:widowControl w:val="0"/>
      <w:ind w:leftChars="800" w:left="1680"/>
      <w:jc w:val="both"/>
    </w:pPr>
    <w:rPr>
      <w:rFonts w:ascii="Calibri" w:hAnsi="Calibri" w:cs="Times New Roman"/>
      <w:kern w:val="2"/>
      <w:szCs w:val="22"/>
    </w:rPr>
  </w:style>
  <w:style w:type="paragraph" w:customStyle="1" w:styleId="2611">
    <w:name w:val="2611"/>
    <w:basedOn w:val="2789"/>
    <w:next w:val="a"/>
    <w:uiPriority w:val="39"/>
    <w:pPr>
      <w:widowControl w:val="0"/>
      <w:ind w:leftChars="1000" w:left="2100"/>
      <w:jc w:val="both"/>
    </w:pPr>
    <w:rPr>
      <w:rFonts w:ascii="Calibri" w:hAnsi="Calibri" w:cs="Times New Roman"/>
      <w:kern w:val="2"/>
      <w:szCs w:val="22"/>
    </w:rPr>
  </w:style>
  <w:style w:type="paragraph" w:customStyle="1" w:styleId="2610">
    <w:name w:val="2610"/>
    <w:basedOn w:val="2789"/>
    <w:next w:val="a"/>
    <w:uiPriority w:val="39"/>
    <w:pPr>
      <w:widowControl w:val="0"/>
      <w:ind w:leftChars="1200" w:left="2520"/>
      <w:jc w:val="both"/>
    </w:pPr>
    <w:rPr>
      <w:rFonts w:ascii="Calibri" w:hAnsi="Calibri" w:cs="Times New Roman"/>
      <w:kern w:val="2"/>
      <w:szCs w:val="22"/>
    </w:rPr>
  </w:style>
  <w:style w:type="paragraph" w:customStyle="1" w:styleId="2609">
    <w:name w:val="2609"/>
    <w:basedOn w:val="2789"/>
    <w:next w:val="a"/>
    <w:uiPriority w:val="39"/>
    <w:pPr>
      <w:widowControl w:val="0"/>
      <w:ind w:leftChars="1400" w:left="2940"/>
      <w:jc w:val="both"/>
    </w:pPr>
    <w:rPr>
      <w:rFonts w:ascii="Calibri" w:hAnsi="Calibri" w:cs="Times New Roman"/>
      <w:kern w:val="2"/>
      <w:szCs w:val="22"/>
    </w:rPr>
  </w:style>
  <w:style w:type="paragraph" w:customStyle="1" w:styleId="2608">
    <w:name w:val="2608"/>
    <w:basedOn w:val="2789"/>
    <w:next w:val="a"/>
    <w:uiPriority w:val="39"/>
    <w:pPr>
      <w:widowControl w:val="0"/>
      <w:ind w:leftChars="1600" w:left="3360"/>
      <w:jc w:val="both"/>
    </w:pPr>
    <w:rPr>
      <w:rFonts w:ascii="Calibri" w:hAnsi="Calibri" w:cs="Times New Roman"/>
      <w:kern w:val="2"/>
      <w:szCs w:val="22"/>
    </w:rPr>
  </w:style>
  <w:style w:type="paragraph" w:customStyle="1" w:styleId="2606">
    <w:name w:val="2606"/>
    <w:basedOn w:val="2789"/>
    <w:uiPriority w:val="99"/>
    <w:pPr>
      <w:spacing w:before="100" w:beforeAutospacing="1" w:after="100" w:afterAutospacing="1"/>
    </w:pPr>
    <w:rPr>
      <w:sz w:val="24"/>
    </w:rPr>
  </w:style>
  <w:style w:type="paragraph" w:customStyle="1" w:styleId="2605">
    <w:name w:val="2605"/>
    <w:basedOn w:val="2789"/>
    <w:uiPriority w:val="99"/>
    <w:semiHidden/>
    <w:pPr>
      <w:snapToGrid w:val="0"/>
    </w:pPr>
  </w:style>
  <w:style w:type="paragraph" w:customStyle="1" w:styleId="2599">
    <w:name w:val="2599"/>
    <w:basedOn w:val="2789"/>
    <w:uiPriority w:val="99"/>
    <w:pPr>
      <w:widowControl w:val="0"/>
      <w:ind w:firstLineChars="200" w:firstLine="420"/>
      <w:jc w:val="both"/>
    </w:pPr>
    <w:rPr>
      <w:kern w:val="2"/>
    </w:rPr>
  </w:style>
  <w:style w:type="paragraph" w:customStyle="1" w:styleId="2598">
    <w:name w:val="2598"/>
    <w:basedOn w:val="2789"/>
    <w:uiPriority w:val="99"/>
    <w:pPr>
      <w:widowControl w:val="0"/>
      <w:tabs>
        <w:tab w:val="left" w:pos="1200"/>
      </w:tabs>
      <w:jc w:val="both"/>
    </w:pPr>
    <w:rPr>
      <w:kern w:val="2"/>
    </w:rPr>
  </w:style>
  <w:style w:type="paragraph" w:customStyle="1" w:styleId="2597">
    <w:name w:val="2597"/>
    <w:basedOn w:val="2789"/>
    <w:uiPriority w:val="34"/>
    <w:qFormat/>
    <w:pPr>
      <w:widowControl w:val="0"/>
      <w:ind w:firstLineChars="200" w:firstLine="420"/>
      <w:jc w:val="both"/>
    </w:pPr>
    <w:rPr>
      <w:rFonts w:ascii="Calibri" w:hAnsi="Calibri"/>
      <w:kern w:val="2"/>
      <w:szCs w:val="22"/>
    </w:rPr>
  </w:style>
  <w:style w:type="paragraph" w:customStyle="1" w:styleId="2596">
    <w:name w:val="2596"/>
    <w:basedOn w:val="2789"/>
    <w:uiPriority w:val="34"/>
    <w:qFormat/>
    <w:pPr>
      <w:widowControl w:val="0"/>
      <w:ind w:firstLineChars="200" w:firstLine="420"/>
      <w:jc w:val="both"/>
    </w:pPr>
    <w:rPr>
      <w:rFonts w:ascii="Calibri" w:hAnsi="Calibri"/>
      <w:kern w:val="2"/>
      <w:szCs w:val="22"/>
    </w:rPr>
  </w:style>
  <w:style w:type="paragraph" w:customStyle="1" w:styleId="2595">
    <w:name w:val="2595"/>
    <w:basedOn w:val="2789"/>
    <w:uiPriority w:val="34"/>
    <w:qFormat/>
    <w:pPr>
      <w:widowControl w:val="0"/>
      <w:ind w:firstLineChars="200" w:firstLine="420"/>
      <w:jc w:val="both"/>
    </w:pPr>
    <w:rPr>
      <w:rFonts w:ascii="Calibri" w:hAnsi="Calibri"/>
      <w:kern w:val="2"/>
      <w:szCs w:val="22"/>
    </w:rPr>
  </w:style>
  <w:style w:type="paragraph" w:customStyle="1" w:styleId="2594">
    <w:name w:val="2594"/>
    <w:basedOn w:val="2789"/>
    <w:uiPriority w:val="34"/>
    <w:qFormat/>
    <w:pPr>
      <w:widowControl w:val="0"/>
      <w:ind w:firstLineChars="200" w:firstLine="420"/>
      <w:jc w:val="both"/>
    </w:pPr>
    <w:rPr>
      <w:rFonts w:ascii="Calibri" w:hAnsi="Calibri"/>
      <w:kern w:val="2"/>
      <w:szCs w:val="22"/>
    </w:rPr>
  </w:style>
  <w:style w:type="paragraph" w:customStyle="1" w:styleId="2592">
    <w:name w:val="2592"/>
    <w:basedOn w:val="2789"/>
    <w:uiPriority w:val="34"/>
    <w:qFormat/>
    <w:pPr>
      <w:widowControl w:val="0"/>
      <w:ind w:firstLineChars="200" w:firstLine="420"/>
      <w:jc w:val="both"/>
    </w:pPr>
    <w:rPr>
      <w:rFonts w:ascii="Calibri" w:hAnsi="Calibri"/>
      <w:kern w:val="2"/>
      <w:szCs w:val="22"/>
    </w:rPr>
  </w:style>
  <w:style w:type="paragraph" w:customStyle="1" w:styleId="2590">
    <w:name w:val="2590"/>
    <w:basedOn w:val="2789"/>
    <w:uiPriority w:val="34"/>
    <w:qFormat/>
    <w:pPr>
      <w:widowControl w:val="0"/>
      <w:ind w:firstLineChars="200" w:firstLine="420"/>
      <w:jc w:val="both"/>
    </w:pPr>
    <w:rPr>
      <w:rFonts w:ascii="Calibri" w:hAnsi="Calibri"/>
      <w:kern w:val="2"/>
      <w:szCs w:val="22"/>
    </w:rPr>
  </w:style>
  <w:style w:type="paragraph" w:customStyle="1" w:styleId="2588">
    <w:name w:val="2588"/>
    <w:uiPriority w:val="99"/>
    <w:qFormat/>
    <w:rPr>
      <w:bCs/>
      <w:sz w:val="21"/>
      <w:szCs w:val="24"/>
    </w:rPr>
  </w:style>
  <w:style w:type="paragraph" w:customStyle="1" w:styleId="2587">
    <w:name w:val="2587"/>
    <w:uiPriority w:val="99"/>
    <w:pPr>
      <w:widowControl w:val="0"/>
      <w:autoSpaceDE w:val="0"/>
      <w:autoSpaceDN w:val="0"/>
      <w:adjustRightInd w:val="0"/>
    </w:pPr>
    <w:rPr>
      <w:rFonts w:ascii="黑体" w:eastAsia="黑体" w:cs="黑体"/>
      <w:bCs/>
      <w:color w:val="000000"/>
      <w:sz w:val="24"/>
      <w:szCs w:val="24"/>
    </w:rPr>
  </w:style>
  <w:style w:type="paragraph" w:customStyle="1" w:styleId="2586">
    <w:name w:val="2586"/>
    <w:basedOn w:val="2789"/>
    <w:uiPriority w:val="99"/>
    <w:qFormat/>
    <w:pPr>
      <w:widowControl w:val="0"/>
      <w:jc w:val="both"/>
    </w:pPr>
    <w:rPr>
      <w:rFonts w:ascii="Calibri" w:hAnsi="Calibri"/>
      <w:kern w:val="2"/>
      <w:sz w:val="18"/>
      <w:szCs w:val="18"/>
    </w:rPr>
  </w:style>
  <w:style w:type="paragraph" w:customStyle="1" w:styleId="2584">
    <w:name w:val="2584"/>
    <w:basedOn w:val="2789"/>
    <w:next w:val="a"/>
    <w:uiPriority w:val="99"/>
    <w:pPr>
      <w:widowControl w:val="0"/>
      <w:jc w:val="both"/>
    </w:pPr>
    <w:rPr>
      <w:kern w:val="2"/>
    </w:rPr>
  </w:style>
  <w:style w:type="paragraph" w:customStyle="1" w:styleId="2582">
    <w:name w:val="2582"/>
    <w:basedOn w:val="2789"/>
    <w:uiPriority w:val="34"/>
    <w:qFormat/>
    <w:pPr>
      <w:widowControl w:val="0"/>
      <w:ind w:firstLineChars="200" w:firstLine="420"/>
      <w:jc w:val="both"/>
    </w:pPr>
    <w:rPr>
      <w:rFonts w:ascii="Calibri" w:hAnsi="Calibri"/>
      <w:kern w:val="2"/>
      <w:szCs w:val="22"/>
    </w:rPr>
  </w:style>
  <w:style w:type="paragraph" w:customStyle="1" w:styleId="2580">
    <w:name w:val="2580"/>
    <w:basedOn w:val="2773"/>
    <w:next w:val="a9"/>
    <w:uiPriority w:val="99"/>
    <w:rPr>
      <w:rFonts w:ascii="Calibri" w:hAnsi="Calibri"/>
      <w:b/>
      <w:szCs w:val="22"/>
    </w:rPr>
  </w:style>
  <w:style w:type="paragraph" w:customStyle="1" w:styleId="2579">
    <w:name w:val="2579"/>
    <w:basedOn w:val="2789"/>
    <w:uiPriority w:val="99"/>
    <w:pPr>
      <w:widowControl w:val="0"/>
      <w:pBdr>
        <w:bottom w:val="single" w:sz="6" w:space="1" w:color="auto"/>
      </w:pBdr>
      <w:tabs>
        <w:tab w:val="center" w:pos="4153"/>
        <w:tab w:val="right" w:pos="8306"/>
      </w:tabs>
      <w:snapToGrid w:val="0"/>
      <w:jc w:val="center"/>
    </w:pPr>
    <w:rPr>
      <w:rFonts w:ascii="Calibri" w:hAnsi="Calibri"/>
      <w:kern w:val="2"/>
      <w:sz w:val="18"/>
      <w:szCs w:val="18"/>
    </w:rPr>
  </w:style>
  <w:style w:type="paragraph" w:customStyle="1" w:styleId="2577">
    <w:name w:val="2577"/>
    <w:basedOn w:val="2789"/>
    <w:uiPriority w:val="99"/>
    <w:pPr>
      <w:widowControl w:val="0"/>
      <w:tabs>
        <w:tab w:val="center" w:pos="4153"/>
        <w:tab w:val="right" w:pos="8306"/>
      </w:tabs>
      <w:snapToGrid w:val="0"/>
    </w:pPr>
    <w:rPr>
      <w:rFonts w:ascii="Calibri" w:hAnsi="Calibri"/>
      <w:kern w:val="2"/>
      <w:sz w:val="18"/>
      <w:szCs w:val="18"/>
    </w:rPr>
  </w:style>
  <w:style w:type="paragraph" w:customStyle="1" w:styleId="2575">
    <w:name w:val="2575"/>
    <w:basedOn w:val="2789"/>
    <w:uiPriority w:val="99"/>
    <w:pPr>
      <w:widowControl w:val="0"/>
      <w:jc w:val="both"/>
    </w:pPr>
    <w:rPr>
      <w:rFonts w:hAnsi="Courier New"/>
      <w:kern w:val="2"/>
    </w:rPr>
  </w:style>
  <w:style w:type="paragraph" w:customStyle="1" w:styleId="2573">
    <w:name w:val="2573"/>
    <w:basedOn w:val="2789"/>
    <w:uiPriority w:val="99"/>
    <w:pPr>
      <w:widowControl w:val="0"/>
      <w:spacing w:after="120"/>
      <w:jc w:val="both"/>
    </w:pPr>
    <w:rPr>
      <w:kern w:val="2"/>
    </w:rPr>
  </w:style>
  <w:style w:type="paragraph" w:customStyle="1" w:styleId="2571">
    <w:name w:val="2571"/>
    <w:basedOn w:val="2789"/>
    <w:next w:val="a"/>
    <w:uiPriority w:val="99"/>
    <w:pPr>
      <w:widowControl w:val="0"/>
      <w:ind w:leftChars="2500" w:left="100"/>
      <w:jc w:val="both"/>
    </w:pPr>
    <w:rPr>
      <w:kern w:val="2"/>
    </w:rPr>
  </w:style>
  <w:style w:type="paragraph" w:customStyle="1" w:styleId="2569">
    <w:name w:val="2569"/>
    <w:basedOn w:val="2789"/>
    <w:next w:val="a"/>
    <w:uiPriority w:val="99"/>
    <w:pPr>
      <w:widowControl w:val="0"/>
      <w:jc w:val="center"/>
    </w:pPr>
    <w:rPr>
      <w:kern w:val="2"/>
    </w:rPr>
  </w:style>
  <w:style w:type="paragraph" w:customStyle="1" w:styleId="2567">
    <w:name w:val="2567"/>
    <w:basedOn w:val="2789"/>
    <w:next w:val="a"/>
    <w:uiPriority w:val="99"/>
    <w:semiHidden/>
    <w:pPr>
      <w:widowControl w:val="0"/>
      <w:spacing w:before="120"/>
      <w:jc w:val="both"/>
    </w:pPr>
    <w:rPr>
      <w:rFonts w:ascii="Arial" w:hAnsi="Arial"/>
      <w:b/>
      <w:kern w:val="2"/>
    </w:rPr>
  </w:style>
  <w:style w:type="paragraph" w:customStyle="1" w:styleId="2566">
    <w:name w:val="2566"/>
    <w:uiPriority w:val="99"/>
    <w:semiHidden/>
    <w:rPr>
      <w:bCs/>
      <w:kern w:val="2"/>
      <w:sz w:val="21"/>
      <w:szCs w:val="22"/>
    </w:rPr>
  </w:style>
  <w:style w:type="paragraph" w:customStyle="1" w:styleId="2564">
    <w:name w:val="2564"/>
    <w:basedOn w:val="2789"/>
    <w:uiPriority w:val="99"/>
    <w:qFormat/>
    <w:pPr>
      <w:widowControl w:val="0"/>
      <w:spacing w:before="100" w:after="100"/>
      <w:jc w:val="both"/>
    </w:pPr>
    <w:rPr>
      <w:rFonts w:ascii="Calibri" w:hAnsi="Calibri"/>
      <w:kern w:val="2"/>
    </w:rPr>
  </w:style>
  <w:style w:type="paragraph" w:customStyle="1" w:styleId="2563">
    <w:name w:val="2563"/>
    <w:basedOn w:val="2789"/>
    <w:uiPriority w:val="99"/>
    <w:semiHidden/>
    <w:pPr>
      <w:widowControl w:val="0"/>
      <w:jc w:val="both"/>
    </w:pPr>
    <w:rPr>
      <w:rFonts w:hAnsi="Calibri"/>
      <w:kern w:val="2"/>
      <w:sz w:val="18"/>
      <w:szCs w:val="18"/>
    </w:rPr>
  </w:style>
  <w:style w:type="paragraph" w:customStyle="1" w:styleId="2559">
    <w:name w:val="2559"/>
    <w:basedOn w:val="2789"/>
    <w:next w:val="a"/>
    <w:uiPriority w:val="10"/>
    <w:qFormat/>
    <w:pPr>
      <w:widowControl w:val="0"/>
      <w:spacing w:before="240" w:after="60"/>
      <w:jc w:val="center"/>
      <w:outlineLvl w:val="0"/>
    </w:pPr>
    <w:rPr>
      <w:rFonts w:ascii="Cambria" w:hAnsi="Cambria" w:cs="Times New Roman"/>
      <w:b/>
      <w:kern w:val="2"/>
      <w:sz w:val="32"/>
      <w:szCs w:val="32"/>
    </w:rPr>
  </w:style>
  <w:style w:type="paragraph" w:customStyle="1" w:styleId="2557">
    <w:name w:val="2557"/>
    <w:uiPriority w:val="1"/>
    <w:qFormat/>
    <w:pPr>
      <w:widowControl w:val="0"/>
      <w:jc w:val="both"/>
    </w:pPr>
    <w:rPr>
      <w:bCs/>
      <w:kern w:val="2"/>
      <w:sz w:val="21"/>
      <w:szCs w:val="22"/>
    </w:rPr>
  </w:style>
  <w:style w:type="paragraph" w:customStyle="1" w:styleId="2556">
    <w:name w:val="2556"/>
    <w:basedOn w:val="2789"/>
    <w:uiPriority w:val="99"/>
    <w:pPr>
      <w:spacing w:before="100" w:beforeAutospacing="1" w:after="100" w:afterAutospacing="1"/>
    </w:pPr>
    <w:rPr>
      <w:sz w:val="24"/>
    </w:rPr>
  </w:style>
  <w:style w:type="paragraph" w:customStyle="1" w:styleId="2555">
    <w:name w:val="2555"/>
    <w:basedOn w:val="2789"/>
    <w:uiPriority w:val="99"/>
    <w:semiHidden/>
    <w:pPr>
      <w:snapToGrid w:val="0"/>
    </w:pPr>
  </w:style>
  <w:style w:type="paragraph" w:customStyle="1" w:styleId="2550">
    <w:name w:val="2550"/>
    <w:basedOn w:val="2789"/>
    <w:next w:val="a"/>
    <w:uiPriority w:val="99"/>
    <w:semiHidden/>
    <w:pPr>
      <w:ind w:firstLineChars="200" w:firstLine="420"/>
    </w:pPr>
    <w:rPr>
      <w:color w:val="000000"/>
    </w:rPr>
  </w:style>
  <w:style w:type="paragraph" w:customStyle="1" w:styleId="2549">
    <w:name w:val="2549"/>
    <w:basedOn w:val="2789"/>
    <w:uiPriority w:val="99"/>
    <w:pPr>
      <w:widowControl w:val="0"/>
      <w:ind w:firstLineChars="200" w:firstLine="420"/>
      <w:jc w:val="both"/>
    </w:pPr>
    <w:rPr>
      <w:kern w:val="2"/>
    </w:rPr>
  </w:style>
  <w:style w:type="paragraph" w:customStyle="1" w:styleId="2548">
    <w:name w:val="2548"/>
    <w:basedOn w:val="2789"/>
    <w:uiPriority w:val="34"/>
    <w:qFormat/>
    <w:pPr>
      <w:widowControl w:val="0"/>
      <w:ind w:firstLineChars="200" w:firstLine="420"/>
      <w:jc w:val="both"/>
    </w:pPr>
    <w:rPr>
      <w:rFonts w:ascii="Calibri" w:hAnsi="Calibri"/>
      <w:kern w:val="2"/>
      <w:szCs w:val="22"/>
    </w:rPr>
  </w:style>
  <w:style w:type="paragraph" w:customStyle="1" w:styleId="2547">
    <w:name w:val="2547"/>
    <w:basedOn w:val="2789"/>
    <w:uiPriority w:val="34"/>
    <w:qFormat/>
    <w:pPr>
      <w:widowControl w:val="0"/>
      <w:ind w:firstLineChars="200" w:firstLine="420"/>
      <w:jc w:val="both"/>
    </w:pPr>
    <w:rPr>
      <w:rFonts w:ascii="Calibri" w:hAnsi="Calibri"/>
      <w:kern w:val="2"/>
      <w:szCs w:val="22"/>
    </w:rPr>
  </w:style>
  <w:style w:type="paragraph" w:customStyle="1" w:styleId="2546">
    <w:name w:val="2546"/>
    <w:basedOn w:val="2789"/>
    <w:uiPriority w:val="34"/>
    <w:qFormat/>
    <w:pPr>
      <w:widowControl w:val="0"/>
      <w:ind w:firstLineChars="200" w:firstLine="420"/>
      <w:jc w:val="both"/>
    </w:pPr>
    <w:rPr>
      <w:rFonts w:ascii="Calibri" w:hAnsi="Calibri"/>
      <w:kern w:val="2"/>
      <w:szCs w:val="22"/>
    </w:rPr>
  </w:style>
  <w:style w:type="paragraph" w:customStyle="1" w:styleId="2545">
    <w:name w:val="2545"/>
    <w:basedOn w:val="2789"/>
    <w:uiPriority w:val="34"/>
    <w:qFormat/>
    <w:pPr>
      <w:widowControl w:val="0"/>
      <w:ind w:firstLineChars="200" w:firstLine="420"/>
      <w:jc w:val="both"/>
    </w:pPr>
    <w:rPr>
      <w:rFonts w:ascii="Calibri" w:hAnsi="Calibri"/>
      <w:kern w:val="2"/>
      <w:szCs w:val="22"/>
    </w:rPr>
  </w:style>
  <w:style w:type="paragraph" w:customStyle="1" w:styleId="2543">
    <w:name w:val="2543"/>
    <w:basedOn w:val="2789"/>
    <w:uiPriority w:val="34"/>
    <w:qFormat/>
    <w:pPr>
      <w:widowControl w:val="0"/>
      <w:ind w:firstLineChars="200" w:firstLine="420"/>
      <w:jc w:val="both"/>
    </w:pPr>
    <w:rPr>
      <w:rFonts w:ascii="Calibri" w:hAnsi="Calibri"/>
      <w:kern w:val="2"/>
      <w:szCs w:val="22"/>
    </w:rPr>
  </w:style>
  <w:style w:type="paragraph" w:customStyle="1" w:styleId="2542">
    <w:name w:val="2542"/>
    <w:basedOn w:val="2789"/>
    <w:uiPriority w:val="34"/>
    <w:qFormat/>
    <w:pPr>
      <w:widowControl w:val="0"/>
      <w:ind w:firstLineChars="200" w:firstLine="420"/>
      <w:jc w:val="both"/>
    </w:pPr>
    <w:rPr>
      <w:rFonts w:ascii="Calibri" w:hAnsi="Calibri"/>
      <w:kern w:val="2"/>
      <w:szCs w:val="22"/>
    </w:rPr>
  </w:style>
  <w:style w:type="paragraph" w:customStyle="1" w:styleId="2538">
    <w:name w:val="2538"/>
    <w:basedOn w:val="2789"/>
    <w:next w:val="a"/>
    <w:uiPriority w:val="39"/>
    <w:qFormat/>
    <w:pPr>
      <w:tabs>
        <w:tab w:val="right" w:leader="dot" w:pos="8296"/>
      </w:tabs>
      <w:ind w:leftChars="200" w:left="420"/>
      <w:jc w:val="center"/>
    </w:pPr>
    <w:rPr>
      <w:b/>
      <w:color w:val="000000"/>
      <w:sz w:val="32"/>
      <w:szCs w:val="32"/>
    </w:rPr>
  </w:style>
  <w:style w:type="paragraph" w:customStyle="1" w:styleId="2537">
    <w:name w:val="2537"/>
    <w:basedOn w:val="2789"/>
    <w:next w:val="a"/>
    <w:uiPriority w:val="39"/>
    <w:pPr>
      <w:widowControl w:val="0"/>
      <w:ind w:leftChars="1200" w:left="2520"/>
      <w:jc w:val="both"/>
    </w:pPr>
    <w:rPr>
      <w:rFonts w:ascii="Calibri" w:hAnsi="Calibri" w:cs="Times New Roman"/>
      <w:kern w:val="2"/>
      <w:szCs w:val="22"/>
    </w:rPr>
  </w:style>
  <w:style w:type="paragraph" w:customStyle="1" w:styleId="2536">
    <w:name w:val="2536"/>
    <w:basedOn w:val="2789"/>
    <w:uiPriority w:val="34"/>
    <w:qFormat/>
    <w:pPr>
      <w:widowControl w:val="0"/>
      <w:ind w:firstLineChars="200" w:firstLine="420"/>
      <w:jc w:val="both"/>
    </w:pPr>
    <w:rPr>
      <w:rFonts w:ascii="Calibri" w:hAnsi="Calibri"/>
      <w:kern w:val="2"/>
      <w:szCs w:val="22"/>
    </w:rPr>
  </w:style>
  <w:style w:type="paragraph" w:customStyle="1" w:styleId="2535">
    <w:name w:val="2535"/>
    <w:basedOn w:val="2789"/>
    <w:uiPriority w:val="34"/>
    <w:qFormat/>
    <w:pPr>
      <w:widowControl w:val="0"/>
      <w:ind w:firstLineChars="200" w:firstLine="420"/>
      <w:jc w:val="both"/>
    </w:pPr>
    <w:rPr>
      <w:rFonts w:ascii="Calibri" w:hAnsi="Calibri"/>
      <w:kern w:val="2"/>
      <w:szCs w:val="22"/>
    </w:rPr>
  </w:style>
  <w:style w:type="paragraph" w:customStyle="1" w:styleId="2534">
    <w:name w:val="2534"/>
    <w:basedOn w:val="2789"/>
    <w:uiPriority w:val="34"/>
    <w:qFormat/>
    <w:pPr>
      <w:widowControl w:val="0"/>
      <w:ind w:firstLineChars="200" w:firstLine="420"/>
      <w:jc w:val="both"/>
    </w:pPr>
    <w:rPr>
      <w:rFonts w:ascii="Calibri" w:hAnsi="Calibri"/>
      <w:kern w:val="2"/>
      <w:szCs w:val="22"/>
    </w:rPr>
  </w:style>
  <w:style w:type="paragraph" w:customStyle="1" w:styleId="2533">
    <w:name w:val="2533"/>
    <w:basedOn w:val="2789"/>
    <w:uiPriority w:val="34"/>
    <w:qFormat/>
    <w:pPr>
      <w:widowControl w:val="0"/>
      <w:ind w:firstLineChars="200" w:firstLine="420"/>
      <w:jc w:val="both"/>
    </w:pPr>
    <w:rPr>
      <w:rFonts w:ascii="Calibri" w:hAnsi="Calibri"/>
      <w:kern w:val="2"/>
      <w:szCs w:val="22"/>
    </w:rPr>
  </w:style>
  <w:style w:type="paragraph" w:customStyle="1" w:styleId="2532">
    <w:name w:val="2532"/>
    <w:basedOn w:val="2789"/>
    <w:uiPriority w:val="99"/>
    <w:pPr>
      <w:widowControl w:val="0"/>
      <w:jc w:val="both"/>
    </w:pPr>
    <w:rPr>
      <w:rFonts w:ascii="Calibri" w:hAnsi="Calibri"/>
      <w:kern w:val="2"/>
      <w:sz w:val="18"/>
      <w:szCs w:val="18"/>
    </w:rPr>
  </w:style>
  <w:style w:type="paragraph" w:customStyle="1" w:styleId="2531">
    <w:name w:val="2531"/>
    <w:basedOn w:val="2789"/>
    <w:next w:val="a"/>
    <w:uiPriority w:val="99"/>
    <w:pPr>
      <w:widowControl w:val="0"/>
      <w:ind w:leftChars="2500" w:left="100"/>
      <w:jc w:val="both"/>
    </w:pPr>
    <w:rPr>
      <w:kern w:val="2"/>
    </w:rPr>
  </w:style>
  <w:style w:type="paragraph" w:customStyle="1" w:styleId="2527">
    <w:name w:val="2527"/>
    <w:uiPriority w:val="99"/>
    <w:qFormat/>
    <w:rPr>
      <w:bCs/>
      <w:sz w:val="21"/>
      <w:szCs w:val="21"/>
    </w:rPr>
  </w:style>
  <w:style w:type="paragraph" w:customStyle="1" w:styleId="2526">
    <w:name w:val="2526"/>
    <w:basedOn w:val="2527"/>
    <w:next w:val="a"/>
    <w:uiPriority w:val="99"/>
    <w:qFormat/>
    <w:pPr>
      <w:keepNext/>
      <w:keepLines/>
      <w:widowControl w:val="0"/>
      <w:spacing w:before="60" w:after="60" w:line="360" w:lineRule="auto"/>
      <w:jc w:val="center"/>
      <w:outlineLvl w:val="0"/>
    </w:pPr>
    <w:rPr>
      <w:rFonts w:ascii="Calibri" w:eastAsia="黑体" w:hAnsi="Calibri"/>
      <w:b/>
      <w:kern w:val="44"/>
      <w:sz w:val="28"/>
      <w:szCs w:val="44"/>
    </w:rPr>
  </w:style>
  <w:style w:type="paragraph" w:customStyle="1" w:styleId="2525">
    <w:name w:val="2525"/>
    <w:basedOn w:val="2527"/>
    <w:next w:val="a"/>
    <w:uiPriority w:val="99"/>
    <w:qFormat/>
    <w:pPr>
      <w:keepNext/>
      <w:keepLines/>
      <w:widowControl w:val="0"/>
      <w:spacing w:before="60" w:after="60"/>
      <w:ind w:left="200" w:hangingChars="200" w:hanging="200"/>
      <w:jc w:val="both"/>
      <w:outlineLvl w:val="1"/>
    </w:pPr>
    <w:rPr>
      <w:rFonts w:ascii="Arial" w:hAnsi="Arial"/>
      <w:b/>
      <w:kern w:val="2"/>
    </w:rPr>
  </w:style>
  <w:style w:type="paragraph" w:customStyle="1" w:styleId="2524">
    <w:name w:val="2524"/>
    <w:basedOn w:val="2527"/>
    <w:next w:val="a"/>
    <w:uiPriority w:val="9"/>
    <w:qFormat/>
    <w:pPr>
      <w:keepNext/>
      <w:keepLines/>
      <w:widowControl w:val="0"/>
      <w:spacing w:before="60" w:after="60"/>
      <w:jc w:val="both"/>
      <w:outlineLvl w:val="2"/>
    </w:pPr>
    <w:rPr>
      <w:rFonts w:ascii="Calibri" w:hAnsi="Calibri"/>
      <w:b/>
      <w:kern w:val="2"/>
      <w:szCs w:val="32"/>
    </w:rPr>
  </w:style>
  <w:style w:type="paragraph" w:customStyle="1" w:styleId="2523">
    <w:name w:val="2523"/>
    <w:basedOn w:val="2527"/>
    <w:next w:val="a"/>
    <w:uiPriority w:val="9"/>
    <w:qFormat/>
    <w:pPr>
      <w:keepNext/>
      <w:keepLines/>
      <w:widowControl w:val="0"/>
      <w:spacing w:before="60" w:after="60"/>
      <w:jc w:val="both"/>
      <w:outlineLvl w:val="3"/>
    </w:pPr>
    <w:rPr>
      <w:rFonts w:ascii="Cambria" w:hAnsi="Cambria"/>
      <w:b/>
      <w:kern w:val="2"/>
      <w:szCs w:val="28"/>
    </w:rPr>
  </w:style>
  <w:style w:type="paragraph" w:customStyle="1" w:styleId="2522">
    <w:name w:val="2522"/>
    <w:basedOn w:val="2527"/>
    <w:next w:val="a"/>
    <w:uiPriority w:val="9"/>
    <w:qFormat/>
    <w:pPr>
      <w:keepNext/>
      <w:keepLines/>
      <w:widowControl w:val="0"/>
      <w:spacing w:before="60" w:after="60"/>
      <w:jc w:val="both"/>
      <w:outlineLvl w:val="4"/>
    </w:pPr>
    <w:rPr>
      <w:rFonts w:ascii="Calibri" w:hAnsi="Calibri"/>
      <w:b/>
      <w:kern w:val="2"/>
      <w:szCs w:val="28"/>
    </w:rPr>
  </w:style>
  <w:style w:type="paragraph" w:customStyle="1" w:styleId="2521">
    <w:name w:val="2521"/>
    <w:basedOn w:val="2527"/>
    <w:next w:val="a"/>
    <w:uiPriority w:val="9"/>
    <w:qFormat/>
    <w:pPr>
      <w:keepNext/>
      <w:keepLines/>
      <w:spacing w:before="60" w:after="60"/>
      <w:outlineLvl w:val="5"/>
    </w:pPr>
    <w:rPr>
      <w:rFonts w:ascii="Cambria" w:hAnsi="Cambria" w:cs="Times New Roman"/>
      <w:b/>
    </w:rPr>
  </w:style>
  <w:style w:type="paragraph" w:customStyle="1" w:styleId="2520">
    <w:name w:val="2520"/>
    <w:basedOn w:val="2527"/>
    <w:next w:val="a"/>
    <w:uiPriority w:val="9"/>
    <w:qFormat/>
    <w:pPr>
      <w:keepNext/>
      <w:keepLines/>
      <w:spacing w:before="240" w:after="64" w:line="319" w:lineRule="auto"/>
      <w:outlineLvl w:val="6"/>
    </w:pPr>
    <w:rPr>
      <w:b/>
      <w:sz w:val="24"/>
    </w:rPr>
  </w:style>
  <w:style w:type="paragraph" w:customStyle="1" w:styleId="2519">
    <w:name w:val="2519"/>
    <w:basedOn w:val="2527"/>
    <w:next w:val="a"/>
    <w:uiPriority w:val="99"/>
    <w:qFormat/>
    <w:pPr>
      <w:keepNext/>
      <w:keepLines/>
      <w:widowControl w:val="0"/>
      <w:adjustRightInd w:val="0"/>
      <w:spacing w:before="240" w:after="64" w:line="320" w:lineRule="atLeast"/>
      <w:outlineLvl w:val="7"/>
    </w:pPr>
    <w:rPr>
      <w:rFonts w:ascii="Arial" w:eastAsia="黑体" w:hAnsi="Arial"/>
      <w:color w:val="000000"/>
      <w:sz w:val="24"/>
    </w:rPr>
  </w:style>
  <w:style w:type="paragraph" w:customStyle="1" w:styleId="2518">
    <w:name w:val="2518"/>
    <w:basedOn w:val="2527"/>
    <w:next w:val="a"/>
    <w:uiPriority w:val="99"/>
    <w:qFormat/>
    <w:pPr>
      <w:keepNext/>
      <w:keepLines/>
      <w:widowControl w:val="0"/>
      <w:adjustRightInd w:val="0"/>
      <w:spacing w:before="240" w:after="64" w:line="320" w:lineRule="atLeast"/>
      <w:outlineLvl w:val="8"/>
    </w:pPr>
    <w:rPr>
      <w:rFonts w:ascii="Arial" w:eastAsia="黑体" w:hAnsi="Arial"/>
      <w:color w:val="000000"/>
      <w:sz w:val="24"/>
    </w:rPr>
  </w:style>
  <w:style w:type="paragraph" w:customStyle="1" w:styleId="2512">
    <w:name w:val="2512"/>
    <w:basedOn w:val="2526"/>
    <w:next w:val="a"/>
    <w:uiPriority w:val="39"/>
    <w:qFormat/>
    <w:pPr>
      <w:widowControl/>
      <w:spacing w:before="480" w:after="0" w:line="276" w:lineRule="auto"/>
      <w:outlineLvl w:val="9"/>
    </w:pPr>
    <w:rPr>
      <w:rFonts w:ascii="Cambria" w:eastAsia="宋体" w:hAnsi="Cambria"/>
      <w:color w:val="365F91"/>
      <w:kern w:val="0"/>
      <w:szCs w:val="28"/>
    </w:rPr>
  </w:style>
  <w:style w:type="paragraph" w:customStyle="1" w:styleId="2511">
    <w:name w:val="2511"/>
    <w:basedOn w:val="2527"/>
    <w:next w:val="a"/>
    <w:uiPriority w:val="39"/>
    <w:qFormat/>
    <w:pPr>
      <w:widowControl w:val="0"/>
      <w:tabs>
        <w:tab w:val="left" w:pos="1260"/>
        <w:tab w:val="right" w:leader="dot" w:pos="8823"/>
      </w:tabs>
      <w:jc w:val="center"/>
    </w:pPr>
    <w:rPr>
      <w:kern w:val="2"/>
    </w:rPr>
  </w:style>
  <w:style w:type="paragraph" w:customStyle="1" w:styleId="2510">
    <w:name w:val="2510"/>
    <w:basedOn w:val="2527"/>
    <w:next w:val="a"/>
    <w:uiPriority w:val="39"/>
    <w:qFormat/>
    <w:pPr>
      <w:widowControl w:val="0"/>
      <w:ind w:leftChars="200" w:left="420"/>
      <w:jc w:val="both"/>
    </w:pPr>
    <w:rPr>
      <w:kern w:val="2"/>
    </w:rPr>
  </w:style>
  <w:style w:type="paragraph" w:customStyle="1" w:styleId="2507">
    <w:name w:val="2507"/>
    <w:basedOn w:val="2527"/>
    <w:uiPriority w:val="99"/>
    <w:qFormat/>
    <w:pPr>
      <w:widowControl w:val="0"/>
    </w:pPr>
    <w:rPr>
      <w:kern w:val="2"/>
    </w:rPr>
  </w:style>
  <w:style w:type="paragraph" w:customStyle="1" w:styleId="2506">
    <w:name w:val="2506"/>
    <w:basedOn w:val="2527"/>
    <w:uiPriority w:val="99"/>
    <w:pPr>
      <w:widowControl w:val="0"/>
      <w:jc w:val="both"/>
    </w:pPr>
    <w:rPr>
      <w:rFonts w:ascii="Calibri" w:hAnsi="Calibri"/>
      <w:kern w:val="2"/>
      <w:sz w:val="18"/>
      <w:szCs w:val="18"/>
    </w:rPr>
  </w:style>
  <w:style w:type="paragraph" w:customStyle="1" w:styleId="2504">
    <w:name w:val="2504"/>
    <w:basedOn w:val="2527"/>
    <w:next w:val="a"/>
    <w:uiPriority w:val="99"/>
    <w:pPr>
      <w:widowControl w:val="0"/>
      <w:jc w:val="both"/>
    </w:pPr>
    <w:rPr>
      <w:kern w:val="2"/>
    </w:rPr>
  </w:style>
  <w:style w:type="paragraph" w:customStyle="1" w:styleId="2502">
    <w:name w:val="2502"/>
    <w:basedOn w:val="2527"/>
    <w:uiPriority w:val="34"/>
    <w:qFormat/>
    <w:pPr>
      <w:widowControl w:val="0"/>
      <w:ind w:firstLineChars="200" w:firstLine="420"/>
      <w:jc w:val="both"/>
    </w:pPr>
    <w:rPr>
      <w:rFonts w:ascii="Calibri" w:hAnsi="Calibri"/>
      <w:kern w:val="2"/>
      <w:szCs w:val="22"/>
    </w:rPr>
  </w:style>
  <w:style w:type="paragraph" w:customStyle="1" w:styleId="2500">
    <w:name w:val="2500"/>
    <w:basedOn w:val="2507"/>
    <w:next w:val="a9"/>
    <w:uiPriority w:val="99"/>
    <w:rPr>
      <w:rFonts w:ascii="Calibri" w:hAnsi="Calibri"/>
      <w:b/>
      <w:szCs w:val="22"/>
    </w:rPr>
  </w:style>
  <w:style w:type="paragraph" w:customStyle="1" w:styleId="2499">
    <w:name w:val="2499"/>
    <w:basedOn w:val="2527"/>
    <w:next w:val="a"/>
    <w:uiPriority w:val="39"/>
    <w:qFormat/>
    <w:pPr>
      <w:spacing w:after="100" w:line="276" w:lineRule="auto"/>
      <w:ind w:left="440"/>
    </w:pPr>
    <w:rPr>
      <w:rFonts w:ascii="Calibri" w:hAnsi="Calibri"/>
      <w:sz w:val="22"/>
      <w:szCs w:val="22"/>
    </w:rPr>
  </w:style>
  <w:style w:type="paragraph" w:customStyle="1" w:styleId="2498">
    <w:name w:val="2498"/>
    <w:basedOn w:val="2527"/>
    <w:uiPriority w:val="99"/>
    <w:pPr>
      <w:widowControl w:val="0"/>
      <w:pBdr>
        <w:bottom w:val="single" w:sz="6" w:space="1" w:color="auto"/>
      </w:pBdr>
      <w:tabs>
        <w:tab w:val="center" w:pos="4153"/>
        <w:tab w:val="right" w:pos="8306"/>
      </w:tabs>
      <w:snapToGrid w:val="0"/>
      <w:jc w:val="center"/>
    </w:pPr>
    <w:rPr>
      <w:rFonts w:ascii="Calibri" w:hAnsi="Calibri"/>
      <w:kern w:val="2"/>
      <w:sz w:val="18"/>
      <w:szCs w:val="18"/>
    </w:rPr>
  </w:style>
  <w:style w:type="paragraph" w:customStyle="1" w:styleId="2496">
    <w:name w:val="2496"/>
    <w:basedOn w:val="2527"/>
    <w:uiPriority w:val="99"/>
    <w:pPr>
      <w:widowControl w:val="0"/>
      <w:tabs>
        <w:tab w:val="center" w:pos="4153"/>
        <w:tab w:val="right" w:pos="8306"/>
      </w:tabs>
      <w:snapToGrid w:val="0"/>
    </w:pPr>
    <w:rPr>
      <w:rFonts w:ascii="Calibri" w:hAnsi="Calibri"/>
      <w:kern w:val="2"/>
      <w:sz w:val="18"/>
      <w:szCs w:val="18"/>
    </w:rPr>
  </w:style>
  <w:style w:type="paragraph" w:customStyle="1" w:styleId="2494">
    <w:name w:val="2494"/>
    <w:basedOn w:val="2527"/>
    <w:uiPriority w:val="99"/>
    <w:pPr>
      <w:widowControl w:val="0"/>
      <w:jc w:val="both"/>
    </w:pPr>
    <w:rPr>
      <w:rFonts w:hAnsi="Courier New"/>
      <w:kern w:val="2"/>
    </w:rPr>
  </w:style>
  <w:style w:type="paragraph" w:customStyle="1" w:styleId="2492">
    <w:name w:val="2492"/>
    <w:basedOn w:val="2527"/>
    <w:uiPriority w:val="99"/>
    <w:pPr>
      <w:widowControl w:val="0"/>
      <w:spacing w:after="120"/>
      <w:jc w:val="both"/>
    </w:pPr>
    <w:rPr>
      <w:kern w:val="2"/>
    </w:rPr>
  </w:style>
  <w:style w:type="paragraph" w:customStyle="1" w:styleId="2490">
    <w:name w:val="2490"/>
    <w:basedOn w:val="2527"/>
    <w:next w:val="a"/>
    <w:uiPriority w:val="99"/>
    <w:pPr>
      <w:widowControl w:val="0"/>
      <w:ind w:leftChars="2500" w:left="100"/>
      <w:jc w:val="both"/>
    </w:pPr>
    <w:rPr>
      <w:kern w:val="2"/>
    </w:rPr>
  </w:style>
  <w:style w:type="paragraph" w:customStyle="1" w:styleId="2488">
    <w:name w:val="2488"/>
    <w:basedOn w:val="2527"/>
    <w:next w:val="a"/>
    <w:uiPriority w:val="99"/>
    <w:pPr>
      <w:widowControl w:val="0"/>
      <w:jc w:val="center"/>
    </w:pPr>
    <w:rPr>
      <w:kern w:val="2"/>
    </w:rPr>
  </w:style>
  <w:style w:type="paragraph" w:customStyle="1" w:styleId="2486">
    <w:name w:val="2486"/>
    <w:basedOn w:val="2527"/>
    <w:next w:val="a"/>
    <w:uiPriority w:val="99"/>
    <w:semiHidden/>
    <w:pPr>
      <w:widowControl w:val="0"/>
      <w:spacing w:before="120"/>
      <w:jc w:val="both"/>
    </w:pPr>
    <w:rPr>
      <w:rFonts w:ascii="Arial" w:hAnsi="Arial"/>
      <w:b/>
      <w:kern w:val="2"/>
    </w:rPr>
  </w:style>
  <w:style w:type="paragraph" w:customStyle="1" w:styleId="2485">
    <w:name w:val="2485"/>
    <w:basedOn w:val="2527"/>
    <w:uiPriority w:val="99"/>
    <w:pPr>
      <w:keepNext/>
      <w:keepLines/>
      <w:widowControl w:val="0"/>
      <w:spacing w:before="60" w:after="60"/>
      <w:ind w:hangingChars="200" w:hanging="420"/>
      <w:jc w:val="both"/>
      <w:outlineLvl w:val="4"/>
    </w:pPr>
    <w:rPr>
      <w:b/>
      <w:kern w:val="2"/>
    </w:rPr>
  </w:style>
  <w:style w:type="paragraph" w:customStyle="1" w:styleId="2484">
    <w:name w:val="2484"/>
    <w:uiPriority w:val="99"/>
    <w:semiHidden/>
    <w:rPr>
      <w:bCs/>
      <w:kern w:val="2"/>
      <w:sz w:val="21"/>
      <w:szCs w:val="22"/>
    </w:rPr>
  </w:style>
  <w:style w:type="paragraph" w:customStyle="1" w:styleId="2482">
    <w:name w:val="2482"/>
    <w:basedOn w:val="2527"/>
    <w:uiPriority w:val="99"/>
    <w:qFormat/>
    <w:pPr>
      <w:widowControl w:val="0"/>
      <w:spacing w:before="100" w:after="100"/>
      <w:jc w:val="both"/>
    </w:pPr>
    <w:rPr>
      <w:rFonts w:ascii="Calibri" w:hAnsi="Calibri"/>
      <w:kern w:val="2"/>
    </w:rPr>
  </w:style>
  <w:style w:type="paragraph" w:customStyle="1" w:styleId="2481">
    <w:name w:val="2481"/>
    <w:basedOn w:val="2527"/>
    <w:uiPriority w:val="99"/>
    <w:semiHidden/>
    <w:pPr>
      <w:widowControl w:val="0"/>
      <w:jc w:val="both"/>
    </w:pPr>
    <w:rPr>
      <w:rFonts w:hAnsi="Calibri"/>
      <w:kern w:val="2"/>
      <w:sz w:val="18"/>
      <w:szCs w:val="18"/>
    </w:rPr>
  </w:style>
  <w:style w:type="paragraph" w:customStyle="1" w:styleId="2477">
    <w:name w:val="2477"/>
    <w:basedOn w:val="2527"/>
    <w:next w:val="a"/>
    <w:uiPriority w:val="10"/>
    <w:qFormat/>
    <w:pPr>
      <w:widowControl w:val="0"/>
      <w:spacing w:before="240" w:after="60"/>
      <w:jc w:val="center"/>
      <w:outlineLvl w:val="0"/>
    </w:pPr>
    <w:rPr>
      <w:rFonts w:ascii="Cambria" w:hAnsi="Cambria" w:cs="Times New Roman"/>
      <w:b/>
      <w:kern w:val="2"/>
      <w:sz w:val="32"/>
      <w:szCs w:val="32"/>
    </w:rPr>
  </w:style>
  <w:style w:type="paragraph" w:customStyle="1" w:styleId="2475">
    <w:name w:val="2475"/>
    <w:uiPriority w:val="1"/>
    <w:qFormat/>
    <w:pPr>
      <w:widowControl w:val="0"/>
      <w:jc w:val="both"/>
    </w:pPr>
    <w:rPr>
      <w:bCs/>
      <w:kern w:val="2"/>
      <w:sz w:val="21"/>
      <w:szCs w:val="22"/>
    </w:rPr>
  </w:style>
  <w:style w:type="paragraph" w:customStyle="1" w:styleId="2474">
    <w:name w:val="2474"/>
    <w:basedOn w:val="2527"/>
    <w:next w:val="a"/>
    <w:uiPriority w:val="39"/>
    <w:pPr>
      <w:widowControl w:val="0"/>
      <w:ind w:leftChars="600" w:left="1260"/>
      <w:jc w:val="both"/>
    </w:pPr>
    <w:rPr>
      <w:rFonts w:ascii="Calibri" w:hAnsi="Calibri" w:cs="Times New Roman"/>
      <w:kern w:val="2"/>
      <w:szCs w:val="22"/>
    </w:rPr>
  </w:style>
  <w:style w:type="paragraph" w:customStyle="1" w:styleId="2473">
    <w:name w:val="2473"/>
    <w:basedOn w:val="2527"/>
    <w:next w:val="a"/>
    <w:uiPriority w:val="39"/>
    <w:pPr>
      <w:widowControl w:val="0"/>
      <w:ind w:leftChars="800" w:left="1680"/>
      <w:jc w:val="both"/>
    </w:pPr>
    <w:rPr>
      <w:rFonts w:ascii="Calibri" w:hAnsi="Calibri" w:cs="Times New Roman"/>
      <w:kern w:val="2"/>
      <w:szCs w:val="22"/>
    </w:rPr>
  </w:style>
  <w:style w:type="paragraph" w:customStyle="1" w:styleId="2472">
    <w:name w:val="2472"/>
    <w:basedOn w:val="2527"/>
    <w:next w:val="a"/>
    <w:uiPriority w:val="39"/>
    <w:pPr>
      <w:widowControl w:val="0"/>
      <w:ind w:leftChars="1000" w:left="2100"/>
      <w:jc w:val="both"/>
    </w:pPr>
    <w:rPr>
      <w:rFonts w:ascii="Calibri" w:hAnsi="Calibri" w:cs="Times New Roman"/>
      <w:kern w:val="2"/>
      <w:szCs w:val="22"/>
    </w:rPr>
  </w:style>
  <w:style w:type="paragraph" w:customStyle="1" w:styleId="2471">
    <w:name w:val="2471"/>
    <w:basedOn w:val="2527"/>
    <w:next w:val="a"/>
    <w:uiPriority w:val="39"/>
    <w:pPr>
      <w:widowControl w:val="0"/>
      <w:ind w:leftChars="1200" w:left="2520"/>
      <w:jc w:val="both"/>
    </w:pPr>
    <w:rPr>
      <w:rFonts w:ascii="Calibri" w:hAnsi="Calibri" w:cs="Times New Roman"/>
      <w:kern w:val="2"/>
      <w:szCs w:val="22"/>
    </w:rPr>
  </w:style>
  <w:style w:type="paragraph" w:customStyle="1" w:styleId="2470">
    <w:name w:val="2470"/>
    <w:basedOn w:val="2527"/>
    <w:next w:val="a"/>
    <w:uiPriority w:val="39"/>
    <w:pPr>
      <w:widowControl w:val="0"/>
      <w:ind w:leftChars="1400" w:left="2940"/>
      <w:jc w:val="both"/>
    </w:pPr>
    <w:rPr>
      <w:rFonts w:ascii="Calibri" w:hAnsi="Calibri" w:cs="Times New Roman"/>
      <w:kern w:val="2"/>
      <w:szCs w:val="22"/>
    </w:rPr>
  </w:style>
  <w:style w:type="paragraph" w:customStyle="1" w:styleId="2469">
    <w:name w:val="2469"/>
    <w:basedOn w:val="2527"/>
    <w:next w:val="a"/>
    <w:uiPriority w:val="39"/>
    <w:pPr>
      <w:widowControl w:val="0"/>
      <w:ind w:leftChars="1600" w:left="3360"/>
      <w:jc w:val="both"/>
    </w:pPr>
    <w:rPr>
      <w:rFonts w:ascii="Calibri" w:hAnsi="Calibri" w:cs="Times New Roman"/>
      <w:kern w:val="2"/>
      <w:szCs w:val="22"/>
    </w:rPr>
  </w:style>
  <w:style w:type="paragraph" w:customStyle="1" w:styleId="2467">
    <w:name w:val="2467"/>
    <w:basedOn w:val="2527"/>
    <w:uiPriority w:val="99"/>
    <w:pPr>
      <w:spacing w:before="100" w:beforeAutospacing="1" w:after="100" w:afterAutospacing="1"/>
    </w:pPr>
    <w:rPr>
      <w:sz w:val="24"/>
    </w:rPr>
  </w:style>
  <w:style w:type="paragraph" w:customStyle="1" w:styleId="2466">
    <w:name w:val="2466"/>
    <w:basedOn w:val="2527"/>
    <w:uiPriority w:val="99"/>
    <w:semiHidden/>
    <w:pPr>
      <w:snapToGrid w:val="0"/>
    </w:pPr>
  </w:style>
  <w:style w:type="paragraph" w:customStyle="1" w:styleId="2462">
    <w:name w:val="2462"/>
    <w:basedOn w:val="2527"/>
    <w:next w:val="a"/>
    <w:uiPriority w:val="99"/>
    <w:qFormat/>
    <w:pPr>
      <w:keepNext/>
      <w:keepLines/>
      <w:widowControl w:val="0"/>
      <w:spacing w:before="100" w:beforeAutospacing="1" w:after="100" w:afterAutospacing="1" w:line="412" w:lineRule="auto"/>
      <w:jc w:val="both"/>
    </w:pPr>
    <w:rPr>
      <w:b/>
      <w:kern w:val="2"/>
    </w:rPr>
  </w:style>
  <w:style w:type="paragraph" w:customStyle="1" w:styleId="2458">
    <w:name w:val="2458"/>
    <w:basedOn w:val="2527"/>
    <w:next w:val="a"/>
    <w:uiPriority w:val="99"/>
    <w:semiHidden/>
    <w:pPr>
      <w:ind w:firstLineChars="200" w:firstLine="420"/>
    </w:pPr>
    <w:rPr>
      <w:color w:val="000000"/>
    </w:rPr>
  </w:style>
  <w:style w:type="paragraph" w:customStyle="1" w:styleId="2457">
    <w:name w:val="2457"/>
    <w:basedOn w:val="2527"/>
    <w:uiPriority w:val="99"/>
    <w:pPr>
      <w:widowControl w:val="0"/>
      <w:ind w:firstLineChars="200" w:firstLine="420"/>
      <w:jc w:val="both"/>
    </w:pPr>
    <w:rPr>
      <w:kern w:val="2"/>
    </w:rPr>
  </w:style>
  <w:style w:type="paragraph" w:customStyle="1" w:styleId="2456">
    <w:name w:val="2456"/>
    <w:basedOn w:val="2527"/>
    <w:uiPriority w:val="99"/>
    <w:pPr>
      <w:widowControl w:val="0"/>
      <w:tabs>
        <w:tab w:val="left" w:pos="1200"/>
      </w:tabs>
      <w:jc w:val="both"/>
    </w:pPr>
    <w:rPr>
      <w:kern w:val="2"/>
    </w:rPr>
  </w:style>
  <w:style w:type="paragraph" w:customStyle="1" w:styleId="2454">
    <w:name w:val="2454"/>
    <w:basedOn w:val="2527"/>
    <w:next w:val="aff2"/>
    <w:uiPriority w:val="34"/>
    <w:qFormat/>
    <w:pPr>
      <w:widowControl w:val="0"/>
      <w:ind w:firstLineChars="200" w:firstLine="420"/>
      <w:jc w:val="both"/>
    </w:pPr>
    <w:rPr>
      <w:rFonts w:ascii="Calibri" w:hAnsi="Calibri"/>
      <w:kern w:val="2"/>
      <w:szCs w:val="22"/>
    </w:rPr>
  </w:style>
  <w:style w:type="paragraph" w:customStyle="1" w:styleId="2453">
    <w:name w:val="2453"/>
    <w:basedOn w:val="2527"/>
    <w:next w:val="aff2"/>
    <w:uiPriority w:val="34"/>
    <w:qFormat/>
    <w:pPr>
      <w:widowControl w:val="0"/>
      <w:ind w:firstLineChars="200" w:firstLine="420"/>
      <w:jc w:val="both"/>
    </w:pPr>
    <w:rPr>
      <w:rFonts w:ascii="Calibri" w:hAnsi="Calibri"/>
      <w:kern w:val="2"/>
      <w:szCs w:val="22"/>
    </w:rPr>
  </w:style>
  <w:style w:type="paragraph" w:customStyle="1" w:styleId="2451">
    <w:name w:val="2451"/>
    <w:basedOn w:val="2527"/>
    <w:next w:val="aff2"/>
    <w:uiPriority w:val="34"/>
    <w:qFormat/>
    <w:pPr>
      <w:widowControl w:val="0"/>
      <w:ind w:firstLineChars="200" w:firstLine="420"/>
      <w:jc w:val="both"/>
    </w:pPr>
    <w:rPr>
      <w:rFonts w:ascii="Calibri" w:hAnsi="Calibri"/>
      <w:kern w:val="2"/>
      <w:szCs w:val="22"/>
    </w:rPr>
  </w:style>
  <w:style w:type="paragraph" w:customStyle="1" w:styleId="2450">
    <w:name w:val="2450"/>
    <w:basedOn w:val="2527"/>
    <w:next w:val="aff2"/>
    <w:uiPriority w:val="34"/>
    <w:qFormat/>
    <w:pPr>
      <w:widowControl w:val="0"/>
      <w:ind w:firstLineChars="200" w:firstLine="420"/>
      <w:jc w:val="both"/>
    </w:pPr>
    <w:rPr>
      <w:rFonts w:ascii="Calibri" w:hAnsi="Calibri"/>
      <w:kern w:val="2"/>
      <w:szCs w:val="22"/>
    </w:rPr>
  </w:style>
  <w:style w:type="paragraph" w:customStyle="1" w:styleId="2447">
    <w:name w:val="2447"/>
    <w:basedOn w:val="2527"/>
    <w:next w:val="aff2"/>
    <w:uiPriority w:val="34"/>
    <w:qFormat/>
    <w:pPr>
      <w:widowControl w:val="0"/>
      <w:ind w:firstLineChars="200" w:firstLine="420"/>
      <w:jc w:val="both"/>
    </w:pPr>
    <w:rPr>
      <w:rFonts w:ascii="Calibri" w:hAnsi="Calibri"/>
      <w:kern w:val="2"/>
      <w:szCs w:val="22"/>
    </w:rPr>
  </w:style>
  <w:style w:type="paragraph" w:customStyle="1" w:styleId="2442">
    <w:name w:val="2442"/>
    <w:basedOn w:val="2527"/>
    <w:next w:val="aff2"/>
    <w:uiPriority w:val="34"/>
    <w:qFormat/>
    <w:pPr>
      <w:widowControl w:val="0"/>
      <w:ind w:firstLineChars="200" w:firstLine="420"/>
      <w:jc w:val="both"/>
    </w:pPr>
    <w:rPr>
      <w:rFonts w:ascii="Calibri" w:hAnsi="Calibri"/>
      <w:kern w:val="2"/>
      <w:szCs w:val="22"/>
    </w:rPr>
  </w:style>
  <w:style w:type="paragraph" w:customStyle="1" w:styleId="2438">
    <w:name w:val="2438"/>
    <w:basedOn w:val="2527"/>
    <w:uiPriority w:val="99"/>
    <w:pPr>
      <w:widowControl w:val="0"/>
      <w:jc w:val="both"/>
    </w:pPr>
    <w:rPr>
      <w:kern w:val="2"/>
      <w:sz w:val="24"/>
      <w:szCs w:val="24"/>
    </w:rPr>
  </w:style>
  <w:style w:type="paragraph" w:customStyle="1" w:styleId="2437">
    <w:name w:val="2437"/>
    <w:basedOn w:val="2527"/>
    <w:uiPriority w:val="99"/>
    <w:pPr>
      <w:widowControl w:val="0"/>
      <w:tabs>
        <w:tab w:val="left" w:pos="315"/>
      </w:tabs>
      <w:ind w:left="315" w:hanging="315"/>
      <w:jc w:val="both"/>
    </w:pPr>
    <w:rPr>
      <w:kern w:val="2"/>
      <w:sz w:val="24"/>
      <w:szCs w:val="24"/>
    </w:rPr>
  </w:style>
  <w:style w:type="paragraph" w:customStyle="1" w:styleId="2436">
    <w:name w:val="2436"/>
    <w:basedOn w:val="2527"/>
    <w:uiPriority w:val="99"/>
    <w:pPr>
      <w:widowControl w:val="0"/>
      <w:autoSpaceDE w:val="0"/>
      <w:autoSpaceDN w:val="0"/>
      <w:adjustRightInd w:val="0"/>
    </w:pPr>
    <w:rPr>
      <w:kern w:val="2"/>
      <w:sz w:val="30"/>
    </w:rPr>
  </w:style>
  <w:style w:type="paragraph" w:customStyle="1" w:styleId="2430">
    <w:name w:val="2430"/>
    <w:basedOn w:val="2527"/>
    <w:next w:val="a"/>
    <w:uiPriority w:val="99"/>
    <w:qFormat/>
    <w:pPr>
      <w:keepNext/>
      <w:keepLines/>
      <w:widowControl w:val="0"/>
      <w:tabs>
        <w:tab w:val="left" w:pos="546"/>
      </w:tabs>
      <w:adjustRightInd w:val="0"/>
      <w:spacing w:before="120" w:after="120" w:line="480" w:lineRule="atLeast"/>
      <w:ind w:left="420" w:hanging="420"/>
      <w:outlineLvl w:val="1"/>
    </w:pPr>
    <w:rPr>
      <w:color w:val="000000"/>
    </w:rPr>
  </w:style>
  <w:style w:type="paragraph" w:customStyle="1" w:styleId="2429">
    <w:name w:val="2429"/>
    <w:basedOn w:val="2527"/>
    <w:next w:val="a"/>
    <w:uiPriority w:val="39"/>
    <w:qFormat/>
    <w:pPr>
      <w:tabs>
        <w:tab w:val="right" w:leader="dot" w:pos="8296"/>
      </w:tabs>
      <w:ind w:leftChars="200" w:left="420"/>
      <w:jc w:val="center"/>
    </w:pPr>
    <w:rPr>
      <w:b/>
      <w:color w:val="000000"/>
      <w:sz w:val="32"/>
      <w:szCs w:val="32"/>
    </w:rPr>
  </w:style>
  <w:style w:type="paragraph" w:customStyle="1" w:styleId="2428">
    <w:name w:val="2428"/>
    <w:basedOn w:val="2527"/>
    <w:next w:val="a"/>
    <w:uiPriority w:val="39"/>
    <w:qFormat/>
    <w:rPr>
      <w:color w:val="000000"/>
    </w:rPr>
  </w:style>
  <w:style w:type="paragraph" w:customStyle="1" w:styleId="2427">
    <w:name w:val="2427"/>
    <w:basedOn w:val="2527"/>
    <w:next w:val="a"/>
    <w:uiPriority w:val="39"/>
    <w:qFormat/>
    <w:pPr>
      <w:spacing w:after="100" w:line="276" w:lineRule="auto"/>
      <w:ind w:left="440"/>
    </w:pPr>
    <w:rPr>
      <w:rFonts w:ascii="Calibri" w:hAnsi="Calibri"/>
      <w:sz w:val="22"/>
      <w:szCs w:val="22"/>
    </w:rPr>
  </w:style>
  <w:style w:type="paragraph" w:customStyle="1" w:styleId="2426">
    <w:name w:val="2426"/>
    <w:basedOn w:val="2527"/>
    <w:next w:val="a"/>
    <w:uiPriority w:val="39"/>
    <w:pPr>
      <w:widowControl w:val="0"/>
      <w:ind w:leftChars="600" w:left="1260"/>
      <w:jc w:val="both"/>
    </w:pPr>
    <w:rPr>
      <w:rFonts w:ascii="Calibri" w:hAnsi="Calibri" w:cs="Times New Roman"/>
      <w:kern w:val="2"/>
      <w:szCs w:val="22"/>
    </w:rPr>
  </w:style>
  <w:style w:type="paragraph" w:customStyle="1" w:styleId="2425">
    <w:name w:val="2425"/>
    <w:basedOn w:val="2527"/>
    <w:next w:val="a"/>
    <w:uiPriority w:val="39"/>
    <w:pPr>
      <w:widowControl w:val="0"/>
      <w:ind w:leftChars="800" w:left="1680"/>
      <w:jc w:val="both"/>
    </w:pPr>
    <w:rPr>
      <w:rFonts w:ascii="Calibri" w:hAnsi="Calibri" w:cs="Times New Roman"/>
      <w:kern w:val="2"/>
      <w:szCs w:val="22"/>
    </w:rPr>
  </w:style>
  <w:style w:type="paragraph" w:customStyle="1" w:styleId="2424">
    <w:name w:val="2424"/>
    <w:basedOn w:val="2527"/>
    <w:next w:val="a"/>
    <w:uiPriority w:val="39"/>
    <w:pPr>
      <w:widowControl w:val="0"/>
      <w:ind w:leftChars="1000" w:left="2100"/>
      <w:jc w:val="both"/>
    </w:pPr>
    <w:rPr>
      <w:rFonts w:ascii="Calibri" w:hAnsi="Calibri" w:cs="Times New Roman"/>
      <w:kern w:val="2"/>
      <w:szCs w:val="22"/>
    </w:rPr>
  </w:style>
  <w:style w:type="paragraph" w:customStyle="1" w:styleId="2423">
    <w:name w:val="2423"/>
    <w:basedOn w:val="2527"/>
    <w:next w:val="a"/>
    <w:uiPriority w:val="39"/>
    <w:pPr>
      <w:widowControl w:val="0"/>
      <w:ind w:leftChars="1200" w:left="2520"/>
      <w:jc w:val="both"/>
    </w:pPr>
    <w:rPr>
      <w:rFonts w:ascii="Calibri" w:hAnsi="Calibri" w:cs="Times New Roman"/>
      <w:kern w:val="2"/>
      <w:szCs w:val="22"/>
    </w:rPr>
  </w:style>
  <w:style w:type="paragraph" w:customStyle="1" w:styleId="2422">
    <w:name w:val="2422"/>
    <w:basedOn w:val="2527"/>
    <w:next w:val="a"/>
    <w:uiPriority w:val="39"/>
    <w:pPr>
      <w:widowControl w:val="0"/>
      <w:ind w:leftChars="1400" w:left="2940"/>
      <w:jc w:val="both"/>
    </w:pPr>
    <w:rPr>
      <w:rFonts w:ascii="Calibri" w:hAnsi="Calibri" w:cs="Times New Roman"/>
      <w:kern w:val="2"/>
      <w:szCs w:val="22"/>
    </w:rPr>
  </w:style>
  <w:style w:type="paragraph" w:customStyle="1" w:styleId="2421">
    <w:name w:val="2421"/>
    <w:basedOn w:val="2527"/>
    <w:next w:val="a"/>
    <w:uiPriority w:val="39"/>
    <w:pPr>
      <w:widowControl w:val="0"/>
      <w:ind w:leftChars="1600" w:left="3360"/>
      <w:jc w:val="both"/>
    </w:pPr>
    <w:rPr>
      <w:rFonts w:ascii="Calibri" w:hAnsi="Calibri" w:cs="Times New Roman"/>
      <w:kern w:val="2"/>
      <w:szCs w:val="22"/>
    </w:rPr>
  </w:style>
  <w:style w:type="paragraph" w:customStyle="1" w:styleId="2420">
    <w:name w:val="2420"/>
    <w:basedOn w:val="2527"/>
    <w:uiPriority w:val="99"/>
    <w:pPr>
      <w:widowControl w:val="0"/>
      <w:tabs>
        <w:tab w:val="left" w:pos="1200"/>
      </w:tabs>
      <w:jc w:val="both"/>
    </w:pPr>
    <w:rPr>
      <w:kern w:val="2"/>
    </w:rPr>
  </w:style>
  <w:style w:type="paragraph" w:customStyle="1" w:styleId="2419">
    <w:name w:val="2419"/>
    <w:basedOn w:val="2527"/>
    <w:next w:val="a"/>
    <w:uiPriority w:val="99"/>
    <w:qFormat/>
    <w:pPr>
      <w:keepNext/>
      <w:keepLines/>
      <w:widowControl w:val="0"/>
      <w:spacing w:before="100" w:beforeAutospacing="1" w:after="100" w:afterAutospacing="1" w:line="412" w:lineRule="auto"/>
      <w:jc w:val="both"/>
    </w:pPr>
    <w:rPr>
      <w:b/>
      <w:kern w:val="2"/>
      <w:szCs w:val="24"/>
    </w:rPr>
  </w:style>
  <w:style w:type="paragraph" w:customStyle="1" w:styleId="2416">
    <w:name w:val="2416"/>
    <w:basedOn w:val="2527"/>
    <w:next w:val="aff2"/>
    <w:uiPriority w:val="34"/>
    <w:qFormat/>
    <w:pPr>
      <w:widowControl w:val="0"/>
      <w:ind w:firstLineChars="200" w:firstLine="420"/>
      <w:jc w:val="both"/>
    </w:pPr>
    <w:rPr>
      <w:rFonts w:ascii="Calibri" w:hAnsi="Calibri"/>
      <w:kern w:val="2"/>
      <w:szCs w:val="22"/>
    </w:rPr>
  </w:style>
  <w:style w:type="paragraph" w:customStyle="1" w:styleId="2415">
    <w:name w:val="2415"/>
    <w:basedOn w:val="2527"/>
    <w:next w:val="aff2"/>
    <w:uiPriority w:val="34"/>
    <w:qFormat/>
    <w:pPr>
      <w:widowControl w:val="0"/>
      <w:ind w:firstLineChars="200" w:firstLine="420"/>
      <w:jc w:val="both"/>
    </w:pPr>
    <w:rPr>
      <w:rFonts w:ascii="Calibri" w:hAnsi="Calibri"/>
      <w:kern w:val="2"/>
      <w:szCs w:val="22"/>
    </w:rPr>
  </w:style>
  <w:style w:type="paragraph" w:customStyle="1" w:styleId="2414">
    <w:name w:val="2414"/>
    <w:basedOn w:val="2527"/>
    <w:next w:val="aff2"/>
    <w:uiPriority w:val="34"/>
    <w:qFormat/>
    <w:pPr>
      <w:widowControl w:val="0"/>
      <w:ind w:firstLineChars="200" w:firstLine="420"/>
      <w:jc w:val="both"/>
    </w:pPr>
    <w:rPr>
      <w:rFonts w:ascii="Calibri" w:hAnsi="Calibri"/>
      <w:kern w:val="2"/>
      <w:szCs w:val="22"/>
    </w:rPr>
  </w:style>
  <w:style w:type="paragraph" w:customStyle="1" w:styleId="2413">
    <w:name w:val="2413"/>
    <w:basedOn w:val="2527"/>
    <w:next w:val="aff2"/>
    <w:uiPriority w:val="34"/>
    <w:qFormat/>
    <w:pPr>
      <w:widowControl w:val="0"/>
      <w:ind w:firstLineChars="200" w:firstLine="420"/>
      <w:jc w:val="both"/>
    </w:pPr>
    <w:rPr>
      <w:rFonts w:ascii="Calibri" w:hAnsi="Calibri"/>
      <w:kern w:val="2"/>
      <w:szCs w:val="22"/>
    </w:rPr>
  </w:style>
  <w:style w:type="paragraph" w:customStyle="1" w:styleId="2412">
    <w:name w:val="2412"/>
    <w:uiPriority w:val="99"/>
    <w:qFormat/>
    <w:rPr>
      <w:bCs/>
      <w:kern w:val="2"/>
      <w:sz w:val="21"/>
      <w:szCs w:val="24"/>
    </w:rPr>
  </w:style>
  <w:style w:type="paragraph" w:customStyle="1" w:styleId="2410">
    <w:name w:val="2410"/>
    <w:uiPriority w:val="99"/>
    <w:qFormat/>
    <w:rPr>
      <w:bCs/>
      <w:sz w:val="21"/>
      <w:szCs w:val="24"/>
    </w:rPr>
  </w:style>
  <w:style w:type="paragraph" w:customStyle="1" w:styleId="2408">
    <w:name w:val="2408"/>
    <w:basedOn w:val="2527"/>
    <w:uiPriority w:val="34"/>
    <w:qFormat/>
    <w:pPr>
      <w:widowControl w:val="0"/>
      <w:ind w:firstLineChars="200" w:firstLine="420"/>
      <w:jc w:val="both"/>
    </w:pPr>
    <w:rPr>
      <w:rFonts w:ascii="Calibri" w:hAnsi="Calibri"/>
      <w:kern w:val="2"/>
      <w:szCs w:val="22"/>
    </w:rPr>
  </w:style>
  <w:style w:type="paragraph" w:customStyle="1" w:styleId="2407">
    <w:name w:val="2407"/>
    <w:basedOn w:val="2527"/>
    <w:uiPriority w:val="34"/>
    <w:qFormat/>
    <w:pPr>
      <w:widowControl w:val="0"/>
      <w:ind w:firstLineChars="200" w:firstLine="420"/>
      <w:jc w:val="both"/>
    </w:pPr>
    <w:rPr>
      <w:rFonts w:ascii="Calibri" w:hAnsi="Calibri"/>
      <w:kern w:val="2"/>
      <w:szCs w:val="22"/>
    </w:rPr>
  </w:style>
  <w:style w:type="paragraph" w:customStyle="1" w:styleId="2406">
    <w:name w:val="2406"/>
    <w:basedOn w:val="2527"/>
    <w:uiPriority w:val="99"/>
    <w:qFormat/>
    <w:rPr>
      <w:kern w:val="2"/>
    </w:rPr>
  </w:style>
  <w:style w:type="paragraph" w:customStyle="1" w:styleId="2405">
    <w:name w:val="2405"/>
    <w:basedOn w:val="2527"/>
    <w:uiPriority w:val="59"/>
    <w:qFormat/>
    <w:pPr>
      <w:widowControl w:val="0"/>
    </w:pPr>
    <w:rPr>
      <w:kern w:val="2"/>
    </w:rPr>
  </w:style>
  <w:style w:type="paragraph" w:customStyle="1" w:styleId="2404">
    <w:name w:val="2404"/>
    <w:uiPriority w:val="99"/>
    <w:qFormat/>
    <w:rPr>
      <w:bCs/>
      <w:kern w:val="2"/>
      <w:sz w:val="21"/>
      <w:szCs w:val="24"/>
    </w:rPr>
  </w:style>
  <w:style w:type="paragraph" w:customStyle="1" w:styleId="2403">
    <w:name w:val="2403"/>
    <w:uiPriority w:val="99"/>
    <w:qFormat/>
    <w:rPr>
      <w:bCs/>
      <w:kern w:val="2"/>
      <w:sz w:val="21"/>
      <w:szCs w:val="24"/>
    </w:rPr>
  </w:style>
  <w:style w:type="paragraph" w:customStyle="1" w:styleId="2402">
    <w:name w:val="2402"/>
    <w:basedOn w:val="2527"/>
    <w:uiPriority w:val="99"/>
    <w:pPr>
      <w:widowControl w:val="0"/>
      <w:jc w:val="both"/>
    </w:pPr>
    <w:rPr>
      <w:rFonts w:ascii="Calibri" w:hAnsi="Calibri"/>
      <w:kern w:val="2"/>
      <w:sz w:val="18"/>
      <w:szCs w:val="18"/>
    </w:rPr>
  </w:style>
  <w:style w:type="paragraph" w:customStyle="1" w:styleId="2401">
    <w:name w:val="2401"/>
    <w:basedOn w:val="2527"/>
    <w:next w:val="a"/>
    <w:uiPriority w:val="99"/>
    <w:pPr>
      <w:widowControl w:val="0"/>
      <w:ind w:leftChars="2500" w:left="100"/>
      <w:jc w:val="both"/>
    </w:pPr>
    <w:rPr>
      <w:kern w:val="2"/>
    </w:rPr>
  </w:style>
  <w:style w:type="paragraph" w:customStyle="1" w:styleId="2397">
    <w:name w:val="2397"/>
    <w:uiPriority w:val="99"/>
    <w:qFormat/>
    <w:rPr>
      <w:bCs/>
      <w:kern w:val="2"/>
      <w:sz w:val="21"/>
      <w:szCs w:val="24"/>
    </w:rPr>
  </w:style>
  <w:style w:type="paragraph" w:customStyle="1" w:styleId="2395">
    <w:name w:val="2395"/>
    <w:basedOn w:val="2527"/>
    <w:next w:val="a"/>
    <w:uiPriority w:val="99"/>
    <w:qFormat/>
    <w:pPr>
      <w:keepNext/>
      <w:keepLines/>
      <w:widowControl w:val="0"/>
      <w:spacing w:before="60" w:after="60" w:line="360" w:lineRule="auto"/>
      <w:jc w:val="center"/>
      <w:outlineLvl w:val="0"/>
    </w:pPr>
    <w:rPr>
      <w:rFonts w:ascii="Calibri" w:eastAsia="黑体" w:hAnsi="Calibri"/>
      <w:b/>
      <w:kern w:val="44"/>
      <w:sz w:val="28"/>
      <w:szCs w:val="44"/>
    </w:rPr>
  </w:style>
  <w:style w:type="paragraph" w:customStyle="1" w:styleId="2394">
    <w:name w:val="2394"/>
    <w:basedOn w:val="2527"/>
    <w:next w:val="a"/>
    <w:uiPriority w:val="9"/>
    <w:qFormat/>
    <w:pPr>
      <w:keepNext/>
      <w:keepLines/>
      <w:widowControl w:val="0"/>
      <w:spacing w:before="60" w:after="60"/>
      <w:jc w:val="both"/>
      <w:outlineLvl w:val="2"/>
    </w:pPr>
    <w:rPr>
      <w:rFonts w:ascii="Calibri" w:hAnsi="Calibri"/>
      <w:b/>
      <w:kern w:val="2"/>
      <w:szCs w:val="32"/>
    </w:rPr>
  </w:style>
  <w:style w:type="paragraph" w:customStyle="1" w:styleId="2393">
    <w:name w:val="2393"/>
    <w:basedOn w:val="2527"/>
    <w:next w:val="a"/>
    <w:uiPriority w:val="9"/>
    <w:qFormat/>
    <w:pPr>
      <w:keepNext/>
      <w:keepLines/>
      <w:widowControl w:val="0"/>
      <w:spacing w:before="60" w:after="60"/>
      <w:jc w:val="both"/>
      <w:outlineLvl w:val="3"/>
    </w:pPr>
    <w:rPr>
      <w:rFonts w:ascii="Cambria" w:hAnsi="Cambria"/>
      <w:b/>
      <w:kern w:val="2"/>
      <w:szCs w:val="28"/>
    </w:rPr>
  </w:style>
  <w:style w:type="paragraph" w:customStyle="1" w:styleId="2392">
    <w:name w:val="2392"/>
    <w:basedOn w:val="2527"/>
    <w:next w:val="a"/>
    <w:uiPriority w:val="9"/>
    <w:qFormat/>
    <w:pPr>
      <w:keepNext/>
      <w:keepLines/>
      <w:widowControl w:val="0"/>
      <w:spacing w:before="60" w:after="60"/>
      <w:jc w:val="both"/>
      <w:outlineLvl w:val="4"/>
    </w:pPr>
    <w:rPr>
      <w:rFonts w:ascii="Calibri" w:hAnsi="Calibri"/>
      <w:b/>
      <w:kern w:val="2"/>
      <w:szCs w:val="28"/>
    </w:rPr>
  </w:style>
  <w:style w:type="paragraph" w:customStyle="1" w:styleId="2391">
    <w:name w:val="2391"/>
    <w:basedOn w:val="2527"/>
    <w:next w:val="a"/>
    <w:uiPriority w:val="9"/>
    <w:qFormat/>
    <w:pPr>
      <w:keepNext/>
      <w:keepLines/>
      <w:spacing w:before="60" w:after="60"/>
      <w:outlineLvl w:val="5"/>
    </w:pPr>
    <w:rPr>
      <w:rFonts w:ascii="Cambria" w:hAnsi="Cambria" w:cs="Times New Roman"/>
      <w:b/>
    </w:rPr>
  </w:style>
  <w:style w:type="paragraph" w:customStyle="1" w:styleId="2390">
    <w:name w:val="2390"/>
    <w:basedOn w:val="2527"/>
    <w:next w:val="a"/>
    <w:uiPriority w:val="9"/>
    <w:qFormat/>
    <w:pPr>
      <w:keepNext/>
      <w:keepLines/>
      <w:spacing w:before="240" w:after="64" w:line="319" w:lineRule="auto"/>
      <w:outlineLvl w:val="6"/>
    </w:pPr>
    <w:rPr>
      <w:b/>
      <w:sz w:val="24"/>
    </w:rPr>
  </w:style>
  <w:style w:type="paragraph" w:customStyle="1" w:styleId="2384">
    <w:name w:val="2384"/>
    <w:basedOn w:val="2527"/>
    <w:next w:val="a"/>
    <w:uiPriority w:val="39"/>
    <w:qFormat/>
    <w:pPr>
      <w:widowControl w:val="0"/>
      <w:tabs>
        <w:tab w:val="left" w:pos="1260"/>
        <w:tab w:val="right" w:leader="dot" w:pos="8823"/>
      </w:tabs>
      <w:jc w:val="center"/>
    </w:pPr>
    <w:rPr>
      <w:kern w:val="2"/>
    </w:rPr>
  </w:style>
  <w:style w:type="paragraph" w:customStyle="1" w:styleId="2383">
    <w:name w:val="2383"/>
    <w:basedOn w:val="2527"/>
    <w:next w:val="a"/>
    <w:uiPriority w:val="39"/>
    <w:qFormat/>
    <w:pPr>
      <w:widowControl w:val="0"/>
      <w:ind w:leftChars="200" w:left="420"/>
      <w:jc w:val="both"/>
    </w:pPr>
    <w:rPr>
      <w:kern w:val="2"/>
    </w:rPr>
  </w:style>
  <w:style w:type="paragraph" w:customStyle="1" w:styleId="2382">
    <w:name w:val="2382"/>
    <w:basedOn w:val="2527"/>
    <w:uiPriority w:val="99"/>
    <w:qFormat/>
    <w:pPr>
      <w:widowControl w:val="0"/>
    </w:pPr>
    <w:rPr>
      <w:kern w:val="2"/>
    </w:rPr>
  </w:style>
  <w:style w:type="paragraph" w:customStyle="1" w:styleId="2380">
    <w:name w:val="2380"/>
    <w:basedOn w:val="2527"/>
    <w:uiPriority w:val="99"/>
    <w:pPr>
      <w:widowControl w:val="0"/>
      <w:jc w:val="both"/>
    </w:pPr>
    <w:rPr>
      <w:rFonts w:ascii="Calibri" w:hAnsi="Calibri"/>
      <w:kern w:val="2"/>
      <w:sz w:val="18"/>
      <w:szCs w:val="18"/>
    </w:rPr>
  </w:style>
  <w:style w:type="paragraph" w:customStyle="1" w:styleId="2378">
    <w:name w:val="2378"/>
    <w:basedOn w:val="2527"/>
    <w:next w:val="a"/>
    <w:uiPriority w:val="99"/>
    <w:pPr>
      <w:widowControl w:val="0"/>
      <w:jc w:val="both"/>
    </w:pPr>
    <w:rPr>
      <w:kern w:val="2"/>
    </w:rPr>
  </w:style>
  <w:style w:type="paragraph" w:customStyle="1" w:styleId="2376">
    <w:name w:val="2376"/>
    <w:basedOn w:val="2527"/>
    <w:uiPriority w:val="34"/>
    <w:qFormat/>
    <w:pPr>
      <w:widowControl w:val="0"/>
      <w:ind w:firstLineChars="200" w:firstLine="420"/>
      <w:jc w:val="both"/>
    </w:pPr>
    <w:rPr>
      <w:rFonts w:ascii="Calibri" w:hAnsi="Calibri"/>
      <w:kern w:val="2"/>
      <w:szCs w:val="22"/>
    </w:rPr>
  </w:style>
  <w:style w:type="paragraph" w:customStyle="1" w:styleId="2374">
    <w:name w:val="2374"/>
    <w:basedOn w:val="2382"/>
    <w:next w:val="a9"/>
    <w:uiPriority w:val="99"/>
    <w:rPr>
      <w:rFonts w:ascii="Calibri" w:hAnsi="Calibri"/>
      <w:b/>
      <w:szCs w:val="22"/>
    </w:rPr>
  </w:style>
  <w:style w:type="paragraph" w:customStyle="1" w:styleId="2373">
    <w:name w:val="2373"/>
    <w:basedOn w:val="2527"/>
    <w:next w:val="a"/>
    <w:uiPriority w:val="39"/>
    <w:qFormat/>
    <w:pPr>
      <w:spacing w:after="100" w:line="276" w:lineRule="auto"/>
      <w:ind w:left="440"/>
    </w:pPr>
    <w:rPr>
      <w:rFonts w:ascii="Calibri" w:hAnsi="Calibri"/>
      <w:sz w:val="22"/>
      <w:szCs w:val="22"/>
    </w:rPr>
  </w:style>
  <w:style w:type="paragraph" w:customStyle="1" w:styleId="2372">
    <w:name w:val="2372"/>
    <w:basedOn w:val="2527"/>
    <w:uiPriority w:val="99"/>
    <w:pPr>
      <w:widowControl w:val="0"/>
      <w:pBdr>
        <w:bottom w:val="single" w:sz="6" w:space="1" w:color="auto"/>
      </w:pBdr>
      <w:tabs>
        <w:tab w:val="center" w:pos="4153"/>
        <w:tab w:val="right" w:pos="8306"/>
      </w:tabs>
      <w:snapToGrid w:val="0"/>
      <w:jc w:val="center"/>
    </w:pPr>
    <w:rPr>
      <w:rFonts w:ascii="Calibri" w:hAnsi="Calibri"/>
      <w:kern w:val="2"/>
      <w:sz w:val="18"/>
      <w:szCs w:val="18"/>
    </w:rPr>
  </w:style>
  <w:style w:type="paragraph" w:customStyle="1" w:styleId="2370">
    <w:name w:val="2370"/>
    <w:basedOn w:val="2527"/>
    <w:uiPriority w:val="99"/>
    <w:pPr>
      <w:widowControl w:val="0"/>
      <w:tabs>
        <w:tab w:val="center" w:pos="4153"/>
        <w:tab w:val="right" w:pos="8306"/>
      </w:tabs>
      <w:snapToGrid w:val="0"/>
    </w:pPr>
    <w:rPr>
      <w:rFonts w:ascii="Calibri" w:hAnsi="Calibri"/>
      <w:kern w:val="2"/>
      <w:sz w:val="18"/>
      <w:szCs w:val="18"/>
    </w:rPr>
  </w:style>
  <w:style w:type="paragraph" w:customStyle="1" w:styleId="2368">
    <w:name w:val="2368"/>
    <w:basedOn w:val="2527"/>
    <w:uiPriority w:val="99"/>
    <w:pPr>
      <w:widowControl w:val="0"/>
      <w:jc w:val="both"/>
    </w:pPr>
    <w:rPr>
      <w:rFonts w:hAnsi="Courier New"/>
      <w:kern w:val="2"/>
    </w:rPr>
  </w:style>
  <w:style w:type="paragraph" w:customStyle="1" w:styleId="2366">
    <w:name w:val="2366"/>
    <w:basedOn w:val="2527"/>
    <w:uiPriority w:val="99"/>
    <w:pPr>
      <w:widowControl w:val="0"/>
      <w:spacing w:after="120"/>
      <w:jc w:val="both"/>
    </w:pPr>
    <w:rPr>
      <w:kern w:val="2"/>
    </w:rPr>
  </w:style>
  <w:style w:type="paragraph" w:customStyle="1" w:styleId="2364">
    <w:name w:val="2364"/>
    <w:basedOn w:val="2527"/>
    <w:next w:val="a"/>
    <w:uiPriority w:val="99"/>
    <w:pPr>
      <w:widowControl w:val="0"/>
      <w:ind w:leftChars="2500" w:left="100"/>
      <w:jc w:val="both"/>
    </w:pPr>
    <w:rPr>
      <w:kern w:val="2"/>
    </w:rPr>
  </w:style>
  <w:style w:type="paragraph" w:customStyle="1" w:styleId="2362">
    <w:name w:val="2362"/>
    <w:basedOn w:val="2527"/>
    <w:next w:val="a"/>
    <w:uiPriority w:val="99"/>
    <w:pPr>
      <w:widowControl w:val="0"/>
      <w:jc w:val="center"/>
    </w:pPr>
    <w:rPr>
      <w:kern w:val="2"/>
    </w:rPr>
  </w:style>
  <w:style w:type="paragraph" w:customStyle="1" w:styleId="2360">
    <w:name w:val="2360"/>
    <w:basedOn w:val="2527"/>
    <w:next w:val="a"/>
    <w:uiPriority w:val="99"/>
    <w:semiHidden/>
    <w:pPr>
      <w:widowControl w:val="0"/>
      <w:spacing w:before="120"/>
      <w:jc w:val="both"/>
    </w:pPr>
    <w:rPr>
      <w:rFonts w:ascii="Arial" w:hAnsi="Arial"/>
      <w:b/>
      <w:kern w:val="2"/>
    </w:rPr>
  </w:style>
  <w:style w:type="paragraph" w:customStyle="1" w:styleId="2359">
    <w:name w:val="2359"/>
    <w:basedOn w:val="2527"/>
    <w:uiPriority w:val="99"/>
    <w:pPr>
      <w:keepNext/>
      <w:keepLines/>
      <w:widowControl w:val="0"/>
      <w:spacing w:before="60" w:after="60"/>
      <w:ind w:hangingChars="200" w:hanging="420"/>
      <w:jc w:val="both"/>
      <w:outlineLvl w:val="4"/>
    </w:pPr>
    <w:rPr>
      <w:b/>
      <w:kern w:val="2"/>
    </w:rPr>
  </w:style>
  <w:style w:type="paragraph" w:customStyle="1" w:styleId="2358">
    <w:name w:val="2358"/>
    <w:uiPriority w:val="99"/>
    <w:semiHidden/>
    <w:rPr>
      <w:bCs/>
      <w:kern w:val="2"/>
      <w:sz w:val="21"/>
      <w:szCs w:val="22"/>
    </w:rPr>
  </w:style>
  <w:style w:type="paragraph" w:customStyle="1" w:styleId="2356">
    <w:name w:val="2356"/>
    <w:basedOn w:val="2527"/>
    <w:uiPriority w:val="99"/>
    <w:qFormat/>
    <w:pPr>
      <w:widowControl w:val="0"/>
      <w:spacing w:before="100" w:after="100"/>
      <w:jc w:val="both"/>
    </w:pPr>
    <w:rPr>
      <w:rFonts w:ascii="Calibri" w:hAnsi="Calibri"/>
      <w:kern w:val="2"/>
    </w:rPr>
  </w:style>
  <w:style w:type="paragraph" w:customStyle="1" w:styleId="2355">
    <w:name w:val="2355"/>
    <w:basedOn w:val="2527"/>
    <w:uiPriority w:val="99"/>
    <w:semiHidden/>
    <w:pPr>
      <w:widowControl w:val="0"/>
      <w:jc w:val="both"/>
    </w:pPr>
    <w:rPr>
      <w:rFonts w:hAnsi="Calibri"/>
      <w:kern w:val="2"/>
      <w:sz w:val="18"/>
      <w:szCs w:val="18"/>
    </w:rPr>
  </w:style>
  <w:style w:type="paragraph" w:customStyle="1" w:styleId="2352">
    <w:name w:val="2352"/>
    <w:basedOn w:val="2527"/>
    <w:next w:val="a"/>
    <w:uiPriority w:val="10"/>
    <w:qFormat/>
    <w:pPr>
      <w:widowControl w:val="0"/>
      <w:spacing w:before="240" w:after="60"/>
      <w:jc w:val="center"/>
      <w:outlineLvl w:val="0"/>
    </w:pPr>
    <w:rPr>
      <w:rFonts w:ascii="Cambria" w:hAnsi="Cambria" w:cs="Times New Roman"/>
      <w:b/>
      <w:kern w:val="2"/>
      <w:sz w:val="32"/>
      <w:szCs w:val="32"/>
    </w:rPr>
  </w:style>
  <w:style w:type="paragraph" w:customStyle="1" w:styleId="2350">
    <w:name w:val="2350"/>
    <w:uiPriority w:val="1"/>
    <w:qFormat/>
    <w:pPr>
      <w:widowControl w:val="0"/>
      <w:jc w:val="both"/>
    </w:pPr>
    <w:rPr>
      <w:bCs/>
      <w:kern w:val="2"/>
      <w:sz w:val="21"/>
      <w:szCs w:val="22"/>
    </w:rPr>
  </w:style>
  <w:style w:type="paragraph" w:customStyle="1" w:styleId="2349">
    <w:name w:val="2349"/>
    <w:basedOn w:val="2527"/>
    <w:next w:val="a"/>
    <w:uiPriority w:val="39"/>
    <w:pPr>
      <w:widowControl w:val="0"/>
      <w:ind w:leftChars="600" w:left="1260"/>
      <w:jc w:val="both"/>
    </w:pPr>
    <w:rPr>
      <w:rFonts w:ascii="Calibri" w:hAnsi="Calibri" w:cs="Times New Roman"/>
      <w:kern w:val="2"/>
      <w:szCs w:val="22"/>
    </w:rPr>
  </w:style>
  <w:style w:type="paragraph" w:customStyle="1" w:styleId="2348">
    <w:name w:val="2348"/>
    <w:basedOn w:val="2527"/>
    <w:next w:val="a"/>
    <w:uiPriority w:val="39"/>
    <w:pPr>
      <w:widowControl w:val="0"/>
      <w:ind w:leftChars="800" w:left="1680"/>
      <w:jc w:val="both"/>
    </w:pPr>
    <w:rPr>
      <w:rFonts w:ascii="Calibri" w:hAnsi="Calibri" w:cs="Times New Roman"/>
      <w:kern w:val="2"/>
      <w:szCs w:val="22"/>
    </w:rPr>
  </w:style>
  <w:style w:type="paragraph" w:customStyle="1" w:styleId="2347">
    <w:name w:val="2347"/>
    <w:basedOn w:val="2527"/>
    <w:next w:val="a"/>
    <w:uiPriority w:val="39"/>
    <w:pPr>
      <w:widowControl w:val="0"/>
      <w:ind w:leftChars="1000" w:left="2100"/>
      <w:jc w:val="both"/>
    </w:pPr>
    <w:rPr>
      <w:rFonts w:ascii="Calibri" w:hAnsi="Calibri" w:cs="Times New Roman"/>
      <w:kern w:val="2"/>
      <w:szCs w:val="22"/>
    </w:rPr>
  </w:style>
  <w:style w:type="paragraph" w:customStyle="1" w:styleId="2346">
    <w:name w:val="2346"/>
    <w:basedOn w:val="2527"/>
    <w:next w:val="a"/>
    <w:uiPriority w:val="39"/>
    <w:pPr>
      <w:widowControl w:val="0"/>
      <w:ind w:leftChars="1200" w:left="2520"/>
      <w:jc w:val="both"/>
    </w:pPr>
    <w:rPr>
      <w:rFonts w:ascii="Calibri" w:hAnsi="Calibri" w:cs="Times New Roman"/>
      <w:kern w:val="2"/>
      <w:szCs w:val="22"/>
    </w:rPr>
  </w:style>
  <w:style w:type="paragraph" w:customStyle="1" w:styleId="2345">
    <w:name w:val="2345"/>
    <w:basedOn w:val="2527"/>
    <w:next w:val="a"/>
    <w:uiPriority w:val="39"/>
    <w:pPr>
      <w:widowControl w:val="0"/>
      <w:ind w:leftChars="1400" w:left="2940"/>
      <w:jc w:val="both"/>
    </w:pPr>
    <w:rPr>
      <w:rFonts w:ascii="Calibri" w:hAnsi="Calibri" w:cs="Times New Roman"/>
      <w:kern w:val="2"/>
      <w:szCs w:val="22"/>
    </w:rPr>
  </w:style>
  <w:style w:type="paragraph" w:customStyle="1" w:styleId="2344">
    <w:name w:val="2344"/>
    <w:basedOn w:val="2527"/>
    <w:next w:val="a"/>
    <w:uiPriority w:val="39"/>
    <w:pPr>
      <w:widowControl w:val="0"/>
      <w:ind w:leftChars="1600" w:left="3360"/>
      <w:jc w:val="both"/>
    </w:pPr>
    <w:rPr>
      <w:rFonts w:ascii="Calibri" w:hAnsi="Calibri" w:cs="Times New Roman"/>
      <w:kern w:val="2"/>
      <w:szCs w:val="22"/>
    </w:rPr>
  </w:style>
  <w:style w:type="paragraph" w:customStyle="1" w:styleId="2342">
    <w:name w:val="2342"/>
    <w:basedOn w:val="2527"/>
    <w:uiPriority w:val="99"/>
    <w:pPr>
      <w:spacing w:before="100" w:beforeAutospacing="1" w:after="100" w:afterAutospacing="1"/>
    </w:pPr>
    <w:rPr>
      <w:sz w:val="24"/>
    </w:rPr>
  </w:style>
  <w:style w:type="paragraph" w:customStyle="1" w:styleId="2341">
    <w:name w:val="2341"/>
    <w:basedOn w:val="2527"/>
    <w:uiPriority w:val="99"/>
    <w:semiHidden/>
    <w:pPr>
      <w:snapToGrid w:val="0"/>
    </w:pPr>
  </w:style>
  <w:style w:type="paragraph" w:customStyle="1" w:styleId="2335">
    <w:name w:val="2335"/>
    <w:basedOn w:val="2527"/>
    <w:uiPriority w:val="99"/>
    <w:pPr>
      <w:widowControl w:val="0"/>
      <w:ind w:firstLineChars="200" w:firstLine="420"/>
      <w:jc w:val="both"/>
    </w:pPr>
    <w:rPr>
      <w:kern w:val="2"/>
    </w:rPr>
  </w:style>
  <w:style w:type="paragraph" w:customStyle="1" w:styleId="2334">
    <w:name w:val="2334"/>
    <w:basedOn w:val="2527"/>
    <w:uiPriority w:val="99"/>
    <w:pPr>
      <w:widowControl w:val="0"/>
      <w:tabs>
        <w:tab w:val="left" w:pos="1200"/>
      </w:tabs>
      <w:jc w:val="both"/>
    </w:pPr>
    <w:rPr>
      <w:kern w:val="2"/>
    </w:rPr>
  </w:style>
  <w:style w:type="paragraph" w:customStyle="1" w:styleId="2333">
    <w:name w:val="2333"/>
    <w:basedOn w:val="2527"/>
    <w:uiPriority w:val="34"/>
    <w:qFormat/>
    <w:pPr>
      <w:widowControl w:val="0"/>
      <w:ind w:firstLineChars="200" w:firstLine="420"/>
      <w:jc w:val="both"/>
    </w:pPr>
    <w:rPr>
      <w:rFonts w:ascii="Calibri" w:hAnsi="Calibri"/>
      <w:kern w:val="2"/>
      <w:szCs w:val="22"/>
    </w:rPr>
  </w:style>
  <w:style w:type="paragraph" w:customStyle="1" w:styleId="2332">
    <w:name w:val="2332"/>
    <w:basedOn w:val="2527"/>
    <w:uiPriority w:val="34"/>
    <w:qFormat/>
    <w:pPr>
      <w:widowControl w:val="0"/>
      <w:ind w:firstLineChars="200" w:firstLine="420"/>
      <w:jc w:val="both"/>
    </w:pPr>
    <w:rPr>
      <w:rFonts w:ascii="Calibri" w:hAnsi="Calibri"/>
      <w:kern w:val="2"/>
      <w:szCs w:val="22"/>
    </w:rPr>
  </w:style>
  <w:style w:type="paragraph" w:customStyle="1" w:styleId="2331">
    <w:name w:val="2331"/>
    <w:basedOn w:val="2527"/>
    <w:uiPriority w:val="34"/>
    <w:qFormat/>
    <w:pPr>
      <w:widowControl w:val="0"/>
      <w:ind w:firstLineChars="200" w:firstLine="420"/>
      <w:jc w:val="both"/>
    </w:pPr>
    <w:rPr>
      <w:rFonts w:ascii="Calibri" w:hAnsi="Calibri"/>
      <w:kern w:val="2"/>
      <w:szCs w:val="22"/>
    </w:rPr>
  </w:style>
  <w:style w:type="paragraph" w:customStyle="1" w:styleId="2330">
    <w:name w:val="2330"/>
    <w:basedOn w:val="2527"/>
    <w:uiPriority w:val="34"/>
    <w:qFormat/>
    <w:pPr>
      <w:widowControl w:val="0"/>
      <w:ind w:firstLineChars="200" w:firstLine="420"/>
      <w:jc w:val="both"/>
    </w:pPr>
    <w:rPr>
      <w:rFonts w:ascii="Calibri" w:hAnsi="Calibri"/>
      <w:kern w:val="2"/>
      <w:szCs w:val="22"/>
    </w:rPr>
  </w:style>
  <w:style w:type="paragraph" w:customStyle="1" w:styleId="2328">
    <w:name w:val="2328"/>
    <w:basedOn w:val="2527"/>
    <w:uiPriority w:val="34"/>
    <w:qFormat/>
    <w:pPr>
      <w:widowControl w:val="0"/>
      <w:ind w:firstLineChars="200" w:firstLine="420"/>
      <w:jc w:val="both"/>
    </w:pPr>
    <w:rPr>
      <w:rFonts w:ascii="Calibri" w:hAnsi="Calibri"/>
      <w:kern w:val="2"/>
      <w:szCs w:val="22"/>
    </w:rPr>
  </w:style>
  <w:style w:type="paragraph" w:customStyle="1" w:styleId="2326">
    <w:name w:val="2326"/>
    <w:basedOn w:val="2527"/>
    <w:uiPriority w:val="34"/>
    <w:qFormat/>
    <w:pPr>
      <w:widowControl w:val="0"/>
      <w:ind w:firstLineChars="200" w:firstLine="420"/>
      <w:jc w:val="both"/>
    </w:pPr>
    <w:rPr>
      <w:rFonts w:ascii="Calibri" w:hAnsi="Calibri"/>
      <w:kern w:val="2"/>
      <w:szCs w:val="22"/>
    </w:rPr>
  </w:style>
  <w:style w:type="paragraph" w:customStyle="1" w:styleId="2324">
    <w:name w:val="2324"/>
    <w:uiPriority w:val="99"/>
    <w:qFormat/>
    <w:rPr>
      <w:bCs/>
      <w:sz w:val="21"/>
      <w:szCs w:val="24"/>
    </w:rPr>
  </w:style>
  <w:style w:type="paragraph" w:customStyle="1" w:styleId="2323">
    <w:name w:val="2323"/>
    <w:uiPriority w:val="99"/>
    <w:pPr>
      <w:widowControl w:val="0"/>
      <w:autoSpaceDE w:val="0"/>
      <w:autoSpaceDN w:val="0"/>
      <w:adjustRightInd w:val="0"/>
    </w:pPr>
    <w:rPr>
      <w:rFonts w:ascii="黑体" w:eastAsia="黑体" w:cs="黑体"/>
      <w:bCs/>
      <w:color w:val="000000"/>
      <w:sz w:val="24"/>
      <w:szCs w:val="24"/>
    </w:rPr>
  </w:style>
  <w:style w:type="paragraph" w:customStyle="1" w:styleId="2322">
    <w:name w:val="2322"/>
    <w:basedOn w:val="2527"/>
    <w:uiPriority w:val="99"/>
    <w:pPr>
      <w:widowControl w:val="0"/>
      <w:jc w:val="both"/>
    </w:pPr>
    <w:rPr>
      <w:rFonts w:ascii="Calibri" w:hAnsi="Calibri"/>
      <w:kern w:val="2"/>
      <w:sz w:val="18"/>
      <w:szCs w:val="18"/>
    </w:rPr>
  </w:style>
  <w:style w:type="paragraph" w:customStyle="1" w:styleId="2320">
    <w:name w:val="2320"/>
    <w:basedOn w:val="2527"/>
    <w:next w:val="a"/>
    <w:uiPriority w:val="99"/>
    <w:pPr>
      <w:widowControl w:val="0"/>
      <w:jc w:val="both"/>
    </w:pPr>
    <w:rPr>
      <w:kern w:val="2"/>
    </w:rPr>
  </w:style>
  <w:style w:type="paragraph" w:customStyle="1" w:styleId="2318">
    <w:name w:val="2318"/>
    <w:basedOn w:val="2527"/>
    <w:uiPriority w:val="34"/>
    <w:qFormat/>
    <w:pPr>
      <w:widowControl w:val="0"/>
      <w:ind w:firstLineChars="200" w:firstLine="420"/>
      <w:jc w:val="both"/>
    </w:pPr>
    <w:rPr>
      <w:rFonts w:ascii="Calibri" w:hAnsi="Calibri"/>
      <w:kern w:val="2"/>
      <w:szCs w:val="22"/>
    </w:rPr>
  </w:style>
  <w:style w:type="paragraph" w:customStyle="1" w:styleId="2316">
    <w:name w:val="2316"/>
    <w:basedOn w:val="2507"/>
    <w:next w:val="a9"/>
    <w:uiPriority w:val="99"/>
    <w:rPr>
      <w:rFonts w:ascii="Calibri" w:hAnsi="Calibri"/>
      <w:b/>
      <w:szCs w:val="22"/>
    </w:rPr>
  </w:style>
  <w:style w:type="paragraph" w:customStyle="1" w:styleId="2315">
    <w:name w:val="2315"/>
    <w:basedOn w:val="2527"/>
    <w:uiPriority w:val="99"/>
    <w:pPr>
      <w:widowControl w:val="0"/>
      <w:pBdr>
        <w:bottom w:val="single" w:sz="6" w:space="1" w:color="auto"/>
      </w:pBdr>
      <w:tabs>
        <w:tab w:val="center" w:pos="4153"/>
        <w:tab w:val="right" w:pos="8306"/>
      </w:tabs>
      <w:snapToGrid w:val="0"/>
      <w:jc w:val="center"/>
    </w:pPr>
    <w:rPr>
      <w:rFonts w:ascii="Calibri" w:hAnsi="Calibri"/>
      <w:kern w:val="2"/>
      <w:sz w:val="18"/>
      <w:szCs w:val="18"/>
    </w:rPr>
  </w:style>
  <w:style w:type="paragraph" w:customStyle="1" w:styleId="2313">
    <w:name w:val="2313"/>
    <w:basedOn w:val="2527"/>
    <w:uiPriority w:val="99"/>
    <w:pPr>
      <w:widowControl w:val="0"/>
      <w:tabs>
        <w:tab w:val="center" w:pos="4153"/>
        <w:tab w:val="right" w:pos="8306"/>
      </w:tabs>
      <w:snapToGrid w:val="0"/>
    </w:pPr>
    <w:rPr>
      <w:rFonts w:ascii="Calibri" w:hAnsi="Calibri"/>
      <w:kern w:val="2"/>
      <w:sz w:val="18"/>
      <w:szCs w:val="18"/>
    </w:rPr>
  </w:style>
  <w:style w:type="paragraph" w:customStyle="1" w:styleId="2311">
    <w:name w:val="2311"/>
    <w:basedOn w:val="2527"/>
    <w:uiPriority w:val="99"/>
    <w:pPr>
      <w:widowControl w:val="0"/>
      <w:jc w:val="both"/>
    </w:pPr>
    <w:rPr>
      <w:rFonts w:hAnsi="Courier New"/>
      <w:kern w:val="2"/>
    </w:rPr>
  </w:style>
  <w:style w:type="paragraph" w:customStyle="1" w:styleId="2309">
    <w:name w:val="2309"/>
    <w:basedOn w:val="2527"/>
    <w:uiPriority w:val="99"/>
    <w:pPr>
      <w:widowControl w:val="0"/>
      <w:spacing w:after="120"/>
      <w:jc w:val="both"/>
    </w:pPr>
    <w:rPr>
      <w:kern w:val="2"/>
    </w:rPr>
  </w:style>
  <w:style w:type="paragraph" w:customStyle="1" w:styleId="2307">
    <w:name w:val="2307"/>
    <w:basedOn w:val="2527"/>
    <w:next w:val="a"/>
    <w:uiPriority w:val="99"/>
    <w:pPr>
      <w:widowControl w:val="0"/>
      <w:ind w:leftChars="2500" w:left="100"/>
      <w:jc w:val="both"/>
    </w:pPr>
    <w:rPr>
      <w:kern w:val="2"/>
    </w:rPr>
  </w:style>
  <w:style w:type="paragraph" w:customStyle="1" w:styleId="2305">
    <w:name w:val="2305"/>
    <w:basedOn w:val="2527"/>
    <w:next w:val="a"/>
    <w:uiPriority w:val="99"/>
    <w:pPr>
      <w:widowControl w:val="0"/>
      <w:jc w:val="center"/>
    </w:pPr>
    <w:rPr>
      <w:kern w:val="2"/>
    </w:rPr>
  </w:style>
  <w:style w:type="paragraph" w:customStyle="1" w:styleId="2303">
    <w:name w:val="2303"/>
    <w:basedOn w:val="2527"/>
    <w:next w:val="a"/>
    <w:uiPriority w:val="99"/>
    <w:semiHidden/>
    <w:pPr>
      <w:widowControl w:val="0"/>
      <w:spacing w:before="120"/>
      <w:jc w:val="both"/>
    </w:pPr>
    <w:rPr>
      <w:rFonts w:ascii="Arial" w:hAnsi="Arial"/>
      <w:b/>
      <w:kern w:val="2"/>
    </w:rPr>
  </w:style>
  <w:style w:type="paragraph" w:customStyle="1" w:styleId="2302">
    <w:name w:val="2302"/>
    <w:uiPriority w:val="99"/>
    <w:semiHidden/>
    <w:rPr>
      <w:bCs/>
      <w:kern w:val="2"/>
      <w:sz w:val="21"/>
      <w:szCs w:val="22"/>
    </w:rPr>
  </w:style>
  <w:style w:type="paragraph" w:customStyle="1" w:styleId="2300">
    <w:name w:val="2300"/>
    <w:basedOn w:val="2527"/>
    <w:uiPriority w:val="99"/>
    <w:qFormat/>
    <w:pPr>
      <w:widowControl w:val="0"/>
      <w:spacing w:before="100" w:after="100"/>
      <w:jc w:val="both"/>
    </w:pPr>
    <w:rPr>
      <w:rFonts w:ascii="Calibri" w:hAnsi="Calibri"/>
      <w:kern w:val="2"/>
    </w:rPr>
  </w:style>
  <w:style w:type="paragraph" w:customStyle="1" w:styleId="2299">
    <w:name w:val="2299"/>
    <w:basedOn w:val="2527"/>
    <w:uiPriority w:val="99"/>
    <w:semiHidden/>
    <w:pPr>
      <w:widowControl w:val="0"/>
      <w:jc w:val="both"/>
    </w:pPr>
    <w:rPr>
      <w:rFonts w:hAnsi="Calibri"/>
      <w:kern w:val="2"/>
      <w:sz w:val="18"/>
      <w:szCs w:val="18"/>
    </w:rPr>
  </w:style>
  <w:style w:type="paragraph" w:customStyle="1" w:styleId="2295">
    <w:name w:val="2295"/>
    <w:basedOn w:val="2527"/>
    <w:next w:val="a"/>
    <w:uiPriority w:val="10"/>
    <w:qFormat/>
    <w:pPr>
      <w:widowControl w:val="0"/>
      <w:spacing w:before="240" w:after="60"/>
      <w:jc w:val="center"/>
      <w:outlineLvl w:val="0"/>
    </w:pPr>
    <w:rPr>
      <w:rFonts w:ascii="Cambria" w:hAnsi="Cambria" w:cs="Times New Roman"/>
      <w:b/>
      <w:kern w:val="2"/>
      <w:sz w:val="32"/>
      <w:szCs w:val="32"/>
    </w:rPr>
  </w:style>
  <w:style w:type="paragraph" w:customStyle="1" w:styleId="2293">
    <w:name w:val="2293"/>
    <w:uiPriority w:val="1"/>
    <w:qFormat/>
    <w:pPr>
      <w:widowControl w:val="0"/>
      <w:jc w:val="both"/>
    </w:pPr>
    <w:rPr>
      <w:bCs/>
      <w:kern w:val="2"/>
      <w:sz w:val="21"/>
      <w:szCs w:val="22"/>
    </w:rPr>
  </w:style>
  <w:style w:type="paragraph" w:customStyle="1" w:styleId="2292">
    <w:name w:val="2292"/>
    <w:basedOn w:val="2527"/>
    <w:uiPriority w:val="99"/>
    <w:pPr>
      <w:spacing w:before="100" w:beforeAutospacing="1" w:after="100" w:afterAutospacing="1"/>
    </w:pPr>
    <w:rPr>
      <w:sz w:val="24"/>
    </w:rPr>
  </w:style>
  <w:style w:type="paragraph" w:customStyle="1" w:styleId="2291">
    <w:name w:val="2291"/>
    <w:basedOn w:val="2527"/>
    <w:uiPriority w:val="99"/>
    <w:semiHidden/>
    <w:pPr>
      <w:snapToGrid w:val="0"/>
    </w:pPr>
  </w:style>
  <w:style w:type="paragraph" w:customStyle="1" w:styleId="2286">
    <w:name w:val="2286"/>
    <w:basedOn w:val="2527"/>
    <w:next w:val="a"/>
    <w:uiPriority w:val="99"/>
    <w:semiHidden/>
    <w:pPr>
      <w:ind w:firstLineChars="200" w:firstLine="420"/>
    </w:pPr>
    <w:rPr>
      <w:color w:val="000000"/>
    </w:rPr>
  </w:style>
  <w:style w:type="paragraph" w:customStyle="1" w:styleId="2285">
    <w:name w:val="2285"/>
    <w:basedOn w:val="2527"/>
    <w:uiPriority w:val="99"/>
    <w:pPr>
      <w:widowControl w:val="0"/>
      <w:ind w:firstLineChars="200" w:firstLine="420"/>
      <w:jc w:val="both"/>
    </w:pPr>
    <w:rPr>
      <w:kern w:val="2"/>
    </w:rPr>
  </w:style>
  <w:style w:type="paragraph" w:customStyle="1" w:styleId="2284">
    <w:name w:val="2284"/>
    <w:basedOn w:val="2527"/>
    <w:uiPriority w:val="34"/>
    <w:qFormat/>
    <w:pPr>
      <w:widowControl w:val="0"/>
      <w:ind w:firstLineChars="200" w:firstLine="420"/>
      <w:jc w:val="both"/>
    </w:pPr>
    <w:rPr>
      <w:rFonts w:ascii="Calibri" w:hAnsi="Calibri"/>
      <w:kern w:val="2"/>
      <w:szCs w:val="22"/>
    </w:rPr>
  </w:style>
  <w:style w:type="paragraph" w:customStyle="1" w:styleId="2283">
    <w:name w:val="2283"/>
    <w:basedOn w:val="2527"/>
    <w:uiPriority w:val="34"/>
    <w:qFormat/>
    <w:pPr>
      <w:widowControl w:val="0"/>
      <w:ind w:firstLineChars="200" w:firstLine="420"/>
      <w:jc w:val="both"/>
    </w:pPr>
    <w:rPr>
      <w:rFonts w:ascii="Calibri" w:hAnsi="Calibri"/>
      <w:kern w:val="2"/>
      <w:szCs w:val="22"/>
    </w:rPr>
  </w:style>
  <w:style w:type="paragraph" w:customStyle="1" w:styleId="2282">
    <w:name w:val="2282"/>
    <w:basedOn w:val="2527"/>
    <w:uiPriority w:val="34"/>
    <w:qFormat/>
    <w:pPr>
      <w:widowControl w:val="0"/>
      <w:ind w:firstLineChars="200" w:firstLine="420"/>
      <w:jc w:val="both"/>
    </w:pPr>
    <w:rPr>
      <w:rFonts w:ascii="Calibri" w:hAnsi="Calibri"/>
      <w:kern w:val="2"/>
      <w:szCs w:val="22"/>
    </w:rPr>
  </w:style>
  <w:style w:type="paragraph" w:customStyle="1" w:styleId="2281">
    <w:name w:val="2281"/>
    <w:basedOn w:val="2527"/>
    <w:uiPriority w:val="34"/>
    <w:qFormat/>
    <w:pPr>
      <w:widowControl w:val="0"/>
      <w:ind w:firstLineChars="200" w:firstLine="420"/>
      <w:jc w:val="both"/>
    </w:pPr>
    <w:rPr>
      <w:rFonts w:ascii="Calibri" w:hAnsi="Calibri"/>
      <w:kern w:val="2"/>
      <w:szCs w:val="22"/>
    </w:rPr>
  </w:style>
  <w:style w:type="paragraph" w:customStyle="1" w:styleId="2279">
    <w:name w:val="2279"/>
    <w:basedOn w:val="2527"/>
    <w:uiPriority w:val="34"/>
    <w:qFormat/>
    <w:pPr>
      <w:widowControl w:val="0"/>
      <w:ind w:firstLineChars="200" w:firstLine="420"/>
      <w:jc w:val="both"/>
    </w:pPr>
    <w:rPr>
      <w:rFonts w:ascii="Calibri" w:hAnsi="Calibri"/>
      <w:kern w:val="2"/>
      <w:szCs w:val="22"/>
    </w:rPr>
  </w:style>
  <w:style w:type="paragraph" w:customStyle="1" w:styleId="2278">
    <w:name w:val="2278"/>
    <w:basedOn w:val="2527"/>
    <w:uiPriority w:val="34"/>
    <w:qFormat/>
    <w:pPr>
      <w:widowControl w:val="0"/>
      <w:ind w:firstLineChars="200" w:firstLine="420"/>
      <w:jc w:val="both"/>
    </w:pPr>
    <w:rPr>
      <w:rFonts w:ascii="Calibri" w:hAnsi="Calibri"/>
      <w:kern w:val="2"/>
      <w:szCs w:val="22"/>
    </w:rPr>
  </w:style>
  <w:style w:type="paragraph" w:customStyle="1" w:styleId="2274">
    <w:name w:val="2274"/>
    <w:basedOn w:val="2527"/>
    <w:next w:val="a"/>
    <w:uiPriority w:val="39"/>
    <w:qFormat/>
    <w:pPr>
      <w:tabs>
        <w:tab w:val="right" w:leader="dot" w:pos="8296"/>
      </w:tabs>
      <w:ind w:leftChars="200" w:left="420"/>
      <w:jc w:val="center"/>
    </w:pPr>
    <w:rPr>
      <w:b/>
      <w:color w:val="000000"/>
      <w:sz w:val="32"/>
      <w:szCs w:val="32"/>
    </w:rPr>
  </w:style>
  <w:style w:type="paragraph" w:customStyle="1" w:styleId="2273">
    <w:name w:val="2273"/>
    <w:basedOn w:val="2527"/>
    <w:next w:val="a"/>
    <w:uiPriority w:val="39"/>
    <w:pPr>
      <w:widowControl w:val="0"/>
      <w:ind w:leftChars="1200" w:left="2520"/>
      <w:jc w:val="both"/>
    </w:pPr>
    <w:rPr>
      <w:rFonts w:ascii="Calibri" w:hAnsi="Calibri" w:cs="Times New Roman"/>
      <w:kern w:val="2"/>
      <w:szCs w:val="22"/>
    </w:rPr>
  </w:style>
  <w:style w:type="paragraph" w:customStyle="1" w:styleId="2272">
    <w:name w:val="2272"/>
    <w:basedOn w:val="2527"/>
    <w:uiPriority w:val="34"/>
    <w:qFormat/>
    <w:pPr>
      <w:widowControl w:val="0"/>
      <w:ind w:firstLineChars="200" w:firstLine="420"/>
      <w:jc w:val="both"/>
    </w:pPr>
    <w:rPr>
      <w:rFonts w:ascii="Calibri" w:hAnsi="Calibri"/>
      <w:kern w:val="2"/>
      <w:szCs w:val="22"/>
    </w:rPr>
  </w:style>
  <w:style w:type="paragraph" w:customStyle="1" w:styleId="2271">
    <w:name w:val="2271"/>
    <w:basedOn w:val="2527"/>
    <w:uiPriority w:val="34"/>
    <w:qFormat/>
    <w:pPr>
      <w:widowControl w:val="0"/>
      <w:ind w:firstLineChars="200" w:firstLine="420"/>
      <w:jc w:val="both"/>
    </w:pPr>
    <w:rPr>
      <w:rFonts w:ascii="Calibri" w:hAnsi="Calibri"/>
      <w:kern w:val="2"/>
      <w:szCs w:val="22"/>
    </w:rPr>
  </w:style>
  <w:style w:type="paragraph" w:customStyle="1" w:styleId="2270">
    <w:name w:val="2270"/>
    <w:basedOn w:val="2527"/>
    <w:uiPriority w:val="34"/>
    <w:qFormat/>
    <w:pPr>
      <w:widowControl w:val="0"/>
      <w:ind w:firstLineChars="200" w:firstLine="420"/>
      <w:jc w:val="both"/>
    </w:pPr>
    <w:rPr>
      <w:rFonts w:ascii="Calibri" w:hAnsi="Calibri"/>
      <w:kern w:val="2"/>
      <w:szCs w:val="22"/>
    </w:rPr>
  </w:style>
  <w:style w:type="paragraph" w:customStyle="1" w:styleId="2269">
    <w:name w:val="2269"/>
    <w:basedOn w:val="2527"/>
    <w:uiPriority w:val="34"/>
    <w:qFormat/>
    <w:pPr>
      <w:widowControl w:val="0"/>
      <w:ind w:firstLineChars="200" w:firstLine="420"/>
      <w:jc w:val="both"/>
    </w:pPr>
    <w:rPr>
      <w:rFonts w:ascii="Calibri" w:hAnsi="Calibri"/>
      <w:kern w:val="2"/>
      <w:szCs w:val="22"/>
    </w:rPr>
  </w:style>
  <w:style w:type="paragraph" w:customStyle="1" w:styleId="2268">
    <w:name w:val="2268"/>
    <w:basedOn w:val="2527"/>
    <w:uiPriority w:val="99"/>
    <w:pPr>
      <w:widowControl w:val="0"/>
      <w:jc w:val="both"/>
    </w:pPr>
    <w:rPr>
      <w:rFonts w:ascii="Calibri" w:hAnsi="Calibri"/>
      <w:kern w:val="2"/>
      <w:sz w:val="18"/>
      <w:szCs w:val="18"/>
    </w:rPr>
  </w:style>
  <w:style w:type="paragraph" w:customStyle="1" w:styleId="2267">
    <w:name w:val="2267"/>
    <w:basedOn w:val="2527"/>
    <w:next w:val="a"/>
    <w:uiPriority w:val="99"/>
    <w:pPr>
      <w:widowControl w:val="0"/>
      <w:ind w:leftChars="2500" w:left="100"/>
      <w:jc w:val="both"/>
    </w:pPr>
    <w:rPr>
      <w:kern w:val="2"/>
    </w:rPr>
  </w:style>
  <w:style w:type="paragraph" w:customStyle="1" w:styleId="111">
    <w:name w:val="标题 1 字符1"/>
    <w:basedOn w:val="2262"/>
    <w:next w:val="3243"/>
    <w:uiPriority w:val="99"/>
    <w:qFormat/>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2261">
    <w:name w:val="2261"/>
    <w:basedOn w:val="2262"/>
    <w:next w:val="3243"/>
    <w:uiPriority w:val="99"/>
    <w:semiHidden/>
    <w:qFormat/>
    <w:pPr>
      <w:keepNext/>
      <w:keepLines/>
      <w:widowControl w:val="0"/>
      <w:spacing w:before="60" w:after="60"/>
      <w:ind w:left="200" w:hangingChars="200" w:hanging="200"/>
      <w:jc w:val="both"/>
      <w:outlineLvl w:val="1"/>
    </w:pPr>
    <w:rPr>
      <w:rFonts w:ascii="Arial" w:hAnsi="Arial" w:cs="Times New Roman"/>
      <w:b/>
      <w:bCs/>
      <w:kern w:val="2"/>
    </w:rPr>
  </w:style>
  <w:style w:type="paragraph" w:customStyle="1" w:styleId="2260">
    <w:name w:val="2260"/>
    <w:basedOn w:val="2262"/>
    <w:next w:val="3243"/>
    <w:uiPriority w:val="9"/>
    <w:qFormat/>
    <w:pPr>
      <w:keepNext/>
      <w:keepLines/>
      <w:widowControl w:val="0"/>
      <w:spacing w:before="60" w:after="60"/>
      <w:jc w:val="both"/>
      <w:outlineLvl w:val="2"/>
    </w:pPr>
    <w:rPr>
      <w:rFonts w:ascii="Calibri" w:hAnsi="Calibri" w:cs="Times New Roman"/>
      <w:b/>
      <w:bCs/>
      <w:kern w:val="2"/>
      <w:szCs w:val="32"/>
    </w:rPr>
  </w:style>
  <w:style w:type="paragraph" w:customStyle="1" w:styleId="2259">
    <w:name w:val="2259"/>
    <w:basedOn w:val="2262"/>
    <w:next w:val="3243"/>
    <w:uiPriority w:val="99"/>
    <w:qFormat/>
    <w:pPr>
      <w:keepNext/>
      <w:keepLines/>
      <w:widowControl w:val="0"/>
      <w:spacing w:before="60" w:after="60"/>
      <w:jc w:val="both"/>
      <w:outlineLvl w:val="3"/>
    </w:pPr>
    <w:rPr>
      <w:rFonts w:ascii="Cambria" w:hAnsi="Cambria" w:cs="Times New Roman"/>
      <w:b/>
      <w:bCs/>
      <w:kern w:val="2"/>
      <w:szCs w:val="28"/>
    </w:rPr>
  </w:style>
  <w:style w:type="paragraph" w:customStyle="1" w:styleId="2258">
    <w:name w:val="2258"/>
    <w:basedOn w:val="2262"/>
    <w:next w:val="3243"/>
    <w:uiPriority w:val="99"/>
    <w:qFormat/>
    <w:pPr>
      <w:keepNext/>
      <w:keepLines/>
      <w:widowControl w:val="0"/>
      <w:spacing w:before="60" w:after="60"/>
      <w:jc w:val="both"/>
      <w:outlineLvl w:val="4"/>
    </w:pPr>
    <w:rPr>
      <w:rFonts w:ascii="Calibri" w:hAnsi="Calibri" w:cs="Times New Roman"/>
      <w:b/>
      <w:bCs/>
      <w:kern w:val="2"/>
      <w:szCs w:val="28"/>
    </w:rPr>
  </w:style>
  <w:style w:type="paragraph" w:customStyle="1" w:styleId="2257">
    <w:name w:val="2257"/>
    <w:basedOn w:val="2262"/>
    <w:next w:val="3243"/>
    <w:uiPriority w:val="99"/>
    <w:semiHidden/>
    <w:qFormat/>
    <w:pPr>
      <w:keepNext/>
      <w:keepLines/>
      <w:spacing w:before="60" w:after="60"/>
      <w:outlineLvl w:val="5"/>
    </w:pPr>
    <w:rPr>
      <w:rFonts w:ascii="Cambria" w:hAnsi="Cambria" w:cs="Times New Roman"/>
      <w:b/>
      <w:bCs/>
    </w:rPr>
  </w:style>
  <w:style w:type="paragraph" w:customStyle="1" w:styleId="2256">
    <w:name w:val="2256"/>
    <w:basedOn w:val="2262"/>
    <w:next w:val="3243"/>
    <w:uiPriority w:val="99"/>
    <w:semiHidden/>
    <w:qFormat/>
    <w:pPr>
      <w:keepNext/>
      <w:keepLines/>
      <w:spacing w:before="240" w:after="64" w:line="319" w:lineRule="auto"/>
      <w:outlineLvl w:val="6"/>
    </w:pPr>
    <w:rPr>
      <w:b/>
      <w:bCs/>
      <w:sz w:val="24"/>
    </w:rPr>
  </w:style>
  <w:style w:type="paragraph" w:customStyle="1" w:styleId="2255">
    <w:name w:val="2255"/>
    <w:basedOn w:val="2262"/>
    <w:next w:val="3243"/>
    <w:uiPriority w:val="99"/>
    <w:semiHidden/>
    <w:qFormat/>
    <w:pPr>
      <w:keepNext/>
      <w:keepLines/>
      <w:widowControl w:val="0"/>
      <w:adjustRightInd w:val="0"/>
      <w:spacing w:before="240" w:after="64" w:line="320" w:lineRule="atLeast"/>
      <w:outlineLvl w:val="7"/>
    </w:pPr>
    <w:rPr>
      <w:rFonts w:ascii="Arial" w:eastAsia="黑体" w:hAnsi="Arial" w:cs="Times New Roman"/>
      <w:bCs/>
      <w:color w:val="000000"/>
      <w:sz w:val="24"/>
      <w:szCs w:val="20"/>
    </w:rPr>
  </w:style>
  <w:style w:type="paragraph" w:customStyle="1" w:styleId="2250">
    <w:name w:val="2250"/>
    <w:basedOn w:val="2262"/>
    <w:next w:val="3243"/>
    <w:uiPriority w:val="99"/>
    <w:qFormat/>
    <w:pPr>
      <w:widowControl w:val="0"/>
      <w:ind w:leftChars="1200" w:left="2520"/>
      <w:jc w:val="both"/>
    </w:pPr>
    <w:rPr>
      <w:rFonts w:ascii="Calibri" w:hAnsi="Calibri" w:cs="Times New Roman"/>
      <w:kern w:val="2"/>
      <w:szCs w:val="22"/>
    </w:rPr>
  </w:style>
  <w:style w:type="paragraph" w:customStyle="1" w:styleId="2247">
    <w:name w:val="2247"/>
    <w:basedOn w:val="2262"/>
    <w:next w:val="3243"/>
    <w:uiPriority w:val="59"/>
    <w:qFormat/>
    <w:pPr>
      <w:widowControl w:val="0"/>
      <w:spacing w:before="120"/>
      <w:jc w:val="both"/>
    </w:pPr>
    <w:rPr>
      <w:rFonts w:ascii="Arial" w:hAnsi="Arial" w:cs="Times New Roman"/>
      <w:b/>
      <w:bCs/>
      <w:kern w:val="2"/>
    </w:rPr>
  </w:style>
  <w:style w:type="paragraph" w:customStyle="1" w:styleId="1b">
    <w:name w:val="批注框文本 字符1"/>
    <w:basedOn w:val="2262"/>
    <w:uiPriority w:val="99"/>
    <w:qFormat/>
    <w:pPr>
      <w:widowControl w:val="0"/>
    </w:pPr>
    <w:rPr>
      <w:rFonts w:ascii="Times New Roman" w:hAnsi="Times New Roman" w:cs="Times New Roman"/>
      <w:kern w:val="2"/>
    </w:rPr>
  </w:style>
  <w:style w:type="paragraph" w:customStyle="1" w:styleId="1c">
    <w:name w:val="称呼 字符1"/>
    <w:basedOn w:val="2262"/>
    <w:next w:val="3243"/>
    <w:uiPriority w:val="99"/>
    <w:qFormat/>
    <w:pPr>
      <w:widowControl w:val="0"/>
      <w:jc w:val="both"/>
    </w:pPr>
    <w:rPr>
      <w:rFonts w:ascii="Times New Roman" w:hAnsi="Times New Roman" w:cs="Times New Roman"/>
      <w:kern w:val="2"/>
    </w:rPr>
  </w:style>
  <w:style w:type="paragraph" w:customStyle="1" w:styleId="310">
    <w:name w:val="列表项目符号 3 字符1"/>
    <w:basedOn w:val="2262"/>
    <w:uiPriority w:val="99"/>
    <w:qFormat/>
    <w:pPr>
      <w:widowControl w:val="0"/>
      <w:tabs>
        <w:tab w:val="left" w:pos="1200"/>
      </w:tabs>
      <w:jc w:val="both"/>
    </w:pPr>
    <w:rPr>
      <w:rFonts w:ascii="Times New Roman" w:hAnsi="Times New Roman" w:cs="Times New Roman"/>
      <w:kern w:val="2"/>
    </w:rPr>
  </w:style>
  <w:style w:type="paragraph" w:customStyle="1" w:styleId="27">
    <w:name w:val="列表段落 字符2"/>
    <w:basedOn w:val="2262"/>
    <w:uiPriority w:val="99"/>
    <w:qFormat/>
    <w:pPr>
      <w:widowControl w:val="0"/>
      <w:spacing w:after="120"/>
      <w:jc w:val="both"/>
    </w:pPr>
    <w:rPr>
      <w:rFonts w:ascii="Times New Roman" w:hAnsi="Times New Roman" w:cs="Times New Roman"/>
      <w:kern w:val="2"/>
    </w:rPr>
  </w:style>
  <w:style w:type="paragraph" w:customStyle="1" w:styleId="2246">
    <w:name w:val="2246"/>
    <w:basedOn w:val="2262"/>
    <w:next w:val="3243"/>
    <w:uiPriority w:val="99"/>
    <w:qFormat/>
    <w:pPr>
      <w:widowControl w:val="0"/>
      <w:ind w:leftChars="800" w:left="1680"/>
      <w:jc w:val="both"/>
    </w:pPr>
    <w:rPr>
      <w:rFonts w:ascii="Calibri" w:hAnsi="Calibri" w:cs="Times New Roman"/>
      <w:kern w:val="2"/>
      <w:szCs w:val="22"/>
    </w:rPr>
  </w:style>
  <w:style w:type="character" w:customStyle="1" w:styleId="TOC30">
    <w:name w:val="TOC 3 字符"/>
    <w:basedOn w:val="a0"/>
    <w:link w:val="2245"/>
    <w:uiPriority w:val="39"/>
    <w:locked/>
    <w:rPr>
      <w:rFonts w:ascii="Calibri" w:hAnsi="Calibri" w:cs="Times New Roman"/>
      <w:sz w:val="22"/>
      <w:szCs w:val="22"/>
    </w:rPr>
  </w:style>
  <w:style w:type="paragraph" w:customStyle="1" w:styleId="2245">
    <w:name w:val="2245"/>
    <w:basedOn w:val="2262"/>
    <w:next w:val="3243"/>
    <w:link w:val="TOC30"/>
    <w:uiPriority w:val="39"/>
    <w:qFormat/>
    <w:pPr>
      <w:spacing w:after="100" w:line="276" w:lineRule="auto"/>
      <w:ind w:left="440"/>
    </w:pPr>
    <w:rPr>
      <w:rFonts w:ascii="Calibri" w:hAnsi="Calibri" w:cs="Times New Roman"/>
      <w:sz w:val="22"/>
      <w:szCs w:val="22"/>
    </w:rPr>
  </w:style>
  <w:style w:type="paragraph" w:customStyle="1" w:styleId="28">
    <w:name w:val="批注主题 字符2"/>
    <w:basedOn w:val="2262"/>
    <w:uiPriority w:val="99"/>
    <w:qFormat/>
    <w:pPr>
      <w:widowControl w:val="0"/>
      <w:jc w:val="both"/>
    </w:pPr>
    <w:rPr>
      <w:rFonts w:hAnsi="Courier New" w:cs="Times New Roman"/>
      <w:kern w:val="2"/>
      <w:szCs w:val="20"/>
    </w:rPr>
  </w:style>
  <w:style w:type="paragraph" w:customStyle="1" w:styleId="2244">
    <w:name w:val="2244"/>
    <w:basedOn w:val="2262"/>
    <w:next w:val="3243"/>
    <w:uiPriority w:val="99"/>
    <w:qFormat/>
    <w:pPr>
      <w:widowControl w:val="0"/>
      <w:ind w:leftChars="1400" w:left="2940"/>
      <w:jc w:val="both"/>
    </w:pPr>
    <w:rPr>
      <w:rFonts w:ascii="Calibri" w:hAnsi="Calibri" w:cs="Times New Roman"/>
      <w:kern w:val="2"/>
      <w:szCs w:val="22"/>
    </w:rPr>
  </w:style>
  <w:style w:type="paragraph" w:customStyle="1" w:styleId="2243">
    <w:name w:val="2243"/>
    <w:basedOn w:val="2262"/>
    <w:next w:val="3243"/>
    <w:uiPriority w:val="99"/>
    <w:qFormat/>
    <w:pPr>
      <w:widowControl w:val="0"/>
      <w:ind w:leftChars="2500" w:left="100"/>
      <w:jc w:val="both"/>
    </w:pPr>
    <w:rPr>
      <w:bCs/>
      <w:sz w:val="18"/>
      <w:szCs w:val="18"/>
    </w:rPr>
  </w:style>
  <w:style w:type="paragraph" w:customStyle="1" w:styleId="2242">
    <w:name w:val="2242"/>
    <w:basedOn w:val="2262"/>
    <w:uiPriority w:val="99"/>
    <w:qFormat/>
    <w:pPr>
      <w:snapToGrid w:val="0"/>
    </w:pPr>
    <w:rPr>
      <w:bCs/>
      <w:sz w:val="18"/>
      <w:szCs w:val="18"/>
    </w:rPr>
  </w:style>
  <w:style w:type="paragraph" w:customStyle="1" w:styleId="2241">
    <w:name w:val="2241"/>
    <w:basedOn w:val="2262"/>
    <w:qFormat/>
    <w:pPr>
      <w:widowControl w:val="0"/>
      <w:jc w:val="both"/>
    </w:pPr>
    <w:rPr>
      <w:rFonts w:asciiTheme="minorEastAsia" w:eastAsiaTheme="minorEastAsia" w:hAnsi="Courier New" w:cs="Courier New"/>
      <w:bCs/>
    </w:rPr>
  </w:style>
  <w:style w:type="paragraph" w:customStyle="1" w:styleId="2240">
    <w:name w:val="2240"/>
    <w:basedOn w:val="2262"/>
    <w:uiPriority w:val="99"/>
    <w:qFormat/>
    <w:pPr>
      <w:widowControl w:val="0"/>
      <w:tabs>
        <w:tab w:val="center" w:pos="4153"/>
        <w:tab w:val="right" w:pos="8306"/>
      </w:tabs>
      <w:snapToGrid w:val="0"/>
    </w:pPr>
    <w:rPr>
      <w:bCs/>
    </w:rPr>
  </w:style>
  <w:style w:type="paragraph" w:customStyle="1" w:styleId="2239">
    <w:name w:val="2239"/>
    <w:basedOn w:val="2262"/>
    <w:uiPriority w:val="99"/>
    <w:qFormat/>
    <w:pPr>
      <w:widowControl w:val="0"/>
      <w:pBdr>
        <w:bottom w:val="single" w:sz="6" w:space="1" w:color="auto"/>
      </w:pBdr>
      <w:tabs>
        <w:tab w:val="center" w:pos="4153"/>
        <w:tab w:val="right" w:pos="8306"/>
      </w:tabs>
      <w:snapToGrid w:val="0"/>
      <w:jc w:val="center"/>
    </w:pPr>
    <w:rPr>
      <w:bCs/>
    </w:rPr>
  </w:style>
  <w:style w:type="paragraph" w:customStyle="1" w:styleId="2238">
    <w:name w:val="2238"/>
    <w:basedOn w:val="2262"/>
    <w:next w:val="3243"/>
    <w:uiPriority w:val="99"/>
    <w:qFormat/>
    <w:pPr>
      <w:widowControl w:val="0"/>
      <w:tabs>
        <w:tab w:val="left" w:pos="1260"/>
        <w:tab w:val="right" w:leader="dot" w:pos="8823"/>
      </w:tabs>
      <w:jc w:val="center"/>
    </w:pPr>
    <w:rPr>
      <w:rFonts w:ascii="Times New Roman" w:hAnsi="Times New Roman" w:cs="Times New Roman"/>
      <w:kern w:val="2"/>
    </w:rPr>
  </w:style>
  <w:style w:type="paragraph" w:customStyle="1" w:styleId="2237">
    <w:name w:val="2237"/>
    <w:basedOn w:val="2262"/>
    <w:next w:val="3243"/>
    <w:uiPriority w:val="99"/>
    <w:qFormat/>
    <w:pPr>
      <w:widowControl w:val="0"/>
      <w:ind w:leftChars="600" w:left="1260"/>
      <w:jc w:val="both"/>
    </w:pPr>
    <w:rPr>
      <w:rFonts w:ascii="Calibri" w:hAnsi="Calibri" w:cs="Times New Roman"/>
      <w:kern w:val="2"/>
      <w:szCs w:val="22"/>
    </w:rPr>
  </w:style>
  <w:style w:type="paragraph" w:customStyle="1" w:styleId="2236">
    <w:name w:val="2236"/>
    <w:basedOn w:val="2262"/>
    <w:next w:val="3243"/>
    <w:uiPriority w:val="99"/>
    <w:qFormat/>
    <w:pPr>
      <w:widowControl w:val="0"/>
      <w:ind w:leftChars="1000" w:left="2100"/>
      <w:jc w:val="both"/>
    </w:pPr>
    <w:rPr>
      <w:rFonts w:ascii="Calibri" w:hAnsi="Calibri" w:cs="Times New Roman"/>
      <w:kern w:val="2"/>
      <w:szCs w:val="22"/>
    </w:rPr>
  </w:style>
  <w:style w:type="paragraph" w:customStyle="1" w:styleId="2235">
    <w:name w:val="2235"/>
    <w:basedOn w:val="2262"/>
    <w:next w:val="3243"/>
    <w:uiPriority w:val="99"/>
    <w:qFormat/>
    <w:pPr>
      <w:widowControl w:val="0"/>
      <w:ind w:leftChars="200" w:left="420"/>
      <w:jc w:val="both"/>
    </w:pPr>
    <w:rPr>
      <w:rFonts w:ascii="Times New Roman" w:hAnsi="Times New Roman" w:cs="Times New Roman"/>
      <w:kern w:val="2"/>
    </w:rPr>
  </w:style>
  <w:style w:type="paragraph" w:customStyle="1" w:styleId="2234">
    <w:name w:val="2234"/>
    <w:basedOn w:val="2262"/>
    <w:next w:val="3243"/>
    <w:uiPriority w:val="99"/>
    <w:qFormat/>
    <w:pPr>
      <w:widowControl w:val="0"/>
      <w:ind w:leftChars="1600" w:left="3360"/>
      <w:jc w:val="both"/>
    </w:pPr>
    <w:rPr>
      <w:rFonts w:ascii="Calibri" w:hAnsi="Calibri" w:cs="Times New Roman"/>
      <w:kern w:val="2"/>
      <w:szCs w:val="22"/>
    </w:rPr>
  </w:style>
  <w:style w:type="paragraph" w:customStyle="1" w:styleId="2233">
    <w:name w:val="2233"/>
    <w:basedOn w:val="2262"/>
    <w:uiPriority w:val="99"/>
    <w:qFormat/>
    <w:pPr>
      <w:spacing w:before="100" w:beforeAutospacing="1" w:after="100" w:afterAutospacing="1"/>
    </w:pPr>
    <w:rPr>
      <w:bCs/>
    </w:rPr>
  </w:style>
  <w:style w:type="character" w:customStyle="1" w:styleId="1d">
    <w:name w:val="列表段落 字符1"/>
    <w:basedOn w:val="a0"/>
    <w:link w:val="2232"/>
    <w:uiPriority w:val="99"/>
    <w:locked/>
    <w:rPr>
      <w:rFonts w:ascii="Calibri" w:hAnsi="Calibri" w:cs="Times New Roman"/>
      <w:sz w:val="18"/>
      <w:szCs w:val="18"/>
    </w:rPr>
  </w:style>
  <w:style w:type="paragraph" w:customStyle="1" w:styleId="2232">
    <w:name w:val="2232"/>
    <w:basedOn w:val="2262"/>
    <w:next w:val="3243"/>
    <w:link w:val="1d"/>
    <w:uiPriority w:val="99"/>
    <w:qFormat/>
    <w:pPr>
      <w:ind w:firstLineChars="200" w:firstLine="420"/>
    </w:pPr>
    <w:rPr>
      <w:rFonts w:ascii="Calibri" w:hAnsi="Calibri" w:cs="Times New Roman"/>
      <w:sz w:val="18"/>
      <w:szCs w:val="18"/>
    </w:rPr>
  </w:style>
  <w:style w:type="character" w:customStyle="1" w:styleId="affc">
    <w:name w:val="引文目录标题 字符"/>
    <w:basedOn w:val="a0"/>
    <w:link w:val="2231"/>
    <w:locked/>
    <w:rPr>
      <w:rFonts w:ascii="Arial" w:hAnsi="Arial" w:cs="Times New Roman"/>
      <w:b/>
      <w:kern w:val="2"/>
    </w:rPr>
  </w:style>
  <w:style w:type="paragraph" w:customStyle="1" w:styleId="2231">
    <w:name w:val="2231"/>
    <w:basedOn w:val="2262"/>
    <w:next w:val="3243"/>
    <w:link w:val="affc"/>
    <w:qFormat/>
    <w:pPr>
      <w:widowControl w:val="0"/>
      <w:spacing w:before="240" w:after="60"/>
      <w:jc w:val="center"/>
      <w:outlineLvl w:val="0"/>
    </w:pPr>
    <w:rPr>
      <w:rFonts w:ascii="Arial" w:hAnsi="Arial" w:cs="Times New Roman"/>
      <w:b/>
      <w:kern w:val="2"/>
    </w:rPr>
  </w:style>
  <w:style w:type="paragraph" w:customStyle="1" w:styleId="2230">
    <w:name w:val="2230"/>
    <w:basedOn w:val="1b"/>
    <w:uiPriority w:val="99"/>
    <w:qFormat/>
    <w:rPr>
      <w:rFonts w:ascii="Calibri" w:hAnsi="Calibri"/>
      <w:b/>
      <w:bCs/>
      <w:szCs w:val="22"/>
    </w:rPr>
  </w:style>
  <w:style w:type="character" w:customStyle="1" w:styleId="3689">
    <w:name w:val="3689"/>
    <w:basedOn w:val="a0"/>
    <w:link w:val="2226"/>
    <w:uiPriority w:val="99"/>
    <w:qFormat/>
    <w:locked/>
    <w:rPr>
      <w:rFonts w:ascii="黑体" w:eastAsia="黑体" w:hAnsi="黑体"/>
      <w:b/>
      <w:kern w:val="44"/>
      <w:sz w:val="28"/>
      <w:szCs w:val="44"/>
    </w:rPr>
  </w:style>
  <w:style w:type="paragraph" w:customStyle="1" w:styleId="2226">
    <w:name w:val="2226"/>
    <w:link w:val="3689"/>
    <w:uiPriority w:val="99"/>
    <w:qFormat/>
    <w:pPr>
      <w:widowControl w:val="0"/>
      <w:jc w:val="both"/>
    </w:pPr>
    <w:rPr>
      <w:rFonts w:ascii="黑体" w:eastAsia="黑体" w:hAnsi="黑体"/>
      <w:b/>
      <w:kern w:val="44"/>
      <w:sz w:val="28"/>
      <w:szCs w:val="44"/>
    </w:rPr>
  </w:style>
  <w:style w:type="paragraph" w:customStyle="1" w:styleId="1e">
    <w:name w:val="无间隔 字符1"/>
    <w:next w:val="3243"/>
    <w:uiPriority w:val="99"/>
    <w:qFormat/>
    <w:pPr>
      <w:widowControl w:val="0"/>
      <w:jc w:val="center"/>
    </w:pPr>
    <w:rPr>
      <w:rFonts w:ascii="Times New Roman" w:hAnsi="Times New Roman" w:cs="Times New Roman"/>
      <w:bCs/>
      <w:kern w:val="2"/>
      <w:sz w:val="21"/>
      <w:szCs w:val="21"/>
    </w:rPr>
  </w:style>
  <w:style w:type="paragraph" w:customStyle="1" w:styleId="2223">
    <w:name w:val="2223"/>
    <w:uiPriority w:val="99"/>
    <w:qFormat/>
    <w:rPr>
      <w:sz w:val="21"/>
      <w:szCs w:val="21"/>
    </w:rPr>
  </w:style>
  <w:style w:type="paragraph" w:customStyle="1" w:styleId="2221">
    <w:name w:val="2221"/>
    <w:basedOn w:val="111"/>
    <w:next w:val="3243"/>
    <w:uiPriority w:val="39"/>
    <w:qFormat/>
    <w:pPr>
      <w:widowControl/>
      <w:spacing w:before="480" w:after="0" w:line="276" w:lineRule="auto"/>
      <w:outlineLvl w:val="9"/>
    </w:pPr>
    <w:rPr>
      <w:rFonts w:ascii="Cambria" w:eastAsia="宋体" w:hAnsi="Cambria"/>
      <w:color w:val="365F91"/>
      <w:kern w:val="0"/>
      <w:szCs w:val="28"/>
    </w:rPr>
  </w:style>
  <w:style w:type="paragraph" w:customStyle="1" w:styleId="2217">
    <w:name w:val="2217"/>
    <w:basedOn w:val="2262"/>
    <w:uiPriority w:val="99"/>
    <w:qFormat/>
    <w:pPr>
      <w:spacing w:before="100" w:after="100"/>
      <w:jc w:val="right"/>
    </w:pPr>
    <w:rPr>
      <w:rFonts w:ascii="Arial Unicode MS" w:eastAsia="Arial Unicode MS" w:hAnsi="Times New Roman" w:cs="Times New Roman"/>
      <w:sz w:val="18"/>
      <w:szCs w:val="18"/>
    </w:rPr>
  </w:style>
  <w:style w:type="character" w:customStyle="1" w:styleId="1f">
    <w:name w:val="修订 字符1"/>
    <w:basedOn w:val="a0"/>
    <w:link w:val="2216"/>
    <w:qFormat/>
    <w:locked/>
    <w:rPr>
      <w:kern w:val="2"/>
      <w:szCs w:val="24"/>
    </w:rPr>
  </w:style>
  <w:style w:type="paragraph" w:customStyle="1" w:styleId="2216">
    <w:name w:val="2216"/>
    <w:basedOn w:val="2262"/>
    <w:link w:val="1f"/>
    <w:qFormat/>
    <w:pPr>
      <w:widowControl w:val="0"/>
      <w:ind w:firstLineChars="200" w:firstLine="420"/>
      <w:jc w:val="both"/>
    </w:pPr>
    <w:rPr>
      <w:kern w:val="2"/>
      <w:szCs w:val="24"/>
    </w:rPr>
  </w:style>
  <w:style w:type="paragraph" w:customStyle="1" w:styleId="2212">
    <w:name w:val="2212"/>
    <w:basedOn w:val="2262"/>
    <w:uiPriority w:val="99"/>
    <w:qFormat/>
    <w:pPr>
      <w:tabs>
        <w:tab w:val="left" w:pos="709"/>
      </w:tabs>
      <w:overflowPunct w:val="0"/>
      <w:autoSpaceDE w:val="0"/>
      <w:autoSpaceDN w:val="0"/>
      <w:adjustRightInd w:val="0"/>
      <w:jc w:val="both"/>
    </w:pPr>
    <w:rPr>
      <w:rFonts w:ascii="Helvetica-Narrow" w:hAnsi="Helvetica-Narrow" w:cs="Times New Roman"/>
      <w:lang w:val="en-AU"/>
    </w:rPr>
  </w:style>
  <w:style w:type="paragraph" w:customStyle="1" w:styleId="2210">
    <w:name w:val="2210"/>
    <w:basedOn w:val="2262"/>
    <w:uiPriority w:val="99"/>
    <w:qFormat/>
    <w:pPr>
      <w:keepNext/>
      <w:keepLines/>
      <w:widowControl w:val="0"/>
      <w:spacing w:before="60" w:after="60"/>
      <w:ind w:hangingChars="200" w:hanging="420"/>
      <w:jc w:val="both"/>
      <w:outlineLvl w:val="4"/>
    </w:pPr>
    <w:rPr>
      <w:rFonts w:cs="Times New Roman"/>
      <w:b/>
      <w:bCs/>
      <w:kern w:val="2"/>
    </w:rPr>
  </w:style>
  <w:style w:type="paragraph" w:customStyle="1" w:styleId="112">
    <w:name w:val="索引 1 字符1"/>
    <w:uiPriority w:val="99"/>
    <w:semiHidden/>
    <w:qFormat/>
    <w:rPr>
      <w:kern w:val="2"/>
      <w:sz w:val="21"/>
      <w:szCs w:val="22"/>
    </w:rPr>
  </w:style>
  <w:style w:type="paragraph" w:customStyle="1" w:styleId="2209">
    <w:name w:val="2209"/>
    <w:basedOn w:val="2262"/>
    <w:qFormat/>
    <w:pPr>
      <w:widowControl w:val="0"/>
      <w:spacing w:before="100" w:after="100"/>
      <w:jc w:val="both"/>
    </w:pPr>
    <w:rPr>
      <w:kern w:val="2"/>
      <w:szCs w:val="24"/>
    </w:rPr>
  </w:style>
  <w:style w:type="paragraph" w:customStyle="1" w:styleId="2205">
    <w:name w:val="2205"/>
    <w:uiPriority w:val="99"/>
    <w:qFormat/>
    <w:rPr>
      <w:rFonts w:ascii="Times New Roman" w:hAnsi="Times New Roman" w:cs="Times New Roman"/>
      <w:b/>
      <w:bCs/>
      <w:sz w:val="21"/>
      <w:szCs w:val="21"/>
    </w:rPr>
  </w:style>
  <w:style w:type="paragraph" w:customStyle="1" w:styleId="2204">
    <w:name w:val="2204"/>
    <w:basedOn w:val="2262"/>
    <w:uiPriority w:val="99"/>
    <w:qFormat/>
    <w:pPr>
      <w:widowControl w:val="0"/>
    </w:pPr>
    <w:rPr>
      <w:rFonts w:ascii="Times New Roman" w:hAnsi="Times New Roman"/>
      <w:kern w:val="2"/>
    </w:rPr>
  </w:style>
  <w:style w:type="paragraph" w:customStyle="1" w:styleId="2203">
    <w:name w:val="2203"/>
    <w:basedOn w:val="2262"/>
    <w:next w:val="3243"/>
    <w:qFormat/>
    <w:pPr>
      <w:keepNext/>
      <w:keepLines/>
      <w:widowControl w:val="0"/>
      <w:spacing w:before="100" w:beforeAutospacing="1" w:after="100" w:afterAutospacing="1" w:line="412" w:lineRule="auto"/>
      <w:jc w:val="both"/>
    </w:pPr>
    <w:rPr>
      <w:rFonts w:ascii="Times New Roman" w:hAnsi="Times New Roman" w:cs="Times New Roman"/>
      <w:b/>
      <w:kern w:val="2"/>
      <w:szCs w:val="24"/>
    </w:rPr>
  </w:style>
  <w:style w:type="paragraph" w:customStyle="1" w:styleId="2198">
    <w:name w:val="2198"/>
    <w:basedOn w:val="2262"/>
    <w:uiPriority w:val="34"/>
    <w:qFormat/>
    <w:pPr>
      <w:widowControl w:val="0"/>
      <w:ind w:firstLineChars="200" w:firstLine="420"/>
      <w:jc w:val="both"/>
    </w:pPr>
    <w:rPr>
      <w:rFonts w:ascii="Calibri" w:hAnsi="Calibri" w:cs="Times New Roman"/>
      <w:kern w:val="2"/>
      <w:szCs w:val="22"/>
    </w:rPr>
  </w:style>
  <w:style w:type="paragraph" w:customStyle="1" w:styleId="2197">
    <w:name w:val="2197"/>
    <w:basedOn w:val="2262"/>
    <w:uiPriority w:val="34"/>
    <w:qFormat/>
    <w:pPr>
      <w:widowControl w:val="0"/>
      <w:ind w:firstLineChars="200" w:firstLine="420"/>
      <w:jc w:val="both"/>
    </w:pPr>
    <w:rPr>
      <w:rFonts w:ascii="Calibri" w:hAnsi="Calibri" w:cs="Times New Roman"/>
      <w:kern w:val="2"/>
      <w:szCs w:val="22"/>
    </w:rPr>
  </w:style>
  <w:style w:type="paragraph" w:customStyle="1" w:styleId="2195">
    <w:name w:val="2195"/>
    <w:basedOn w:val="2262"/>
    <w:uiPriority w:val="34"/>
    <w:qFormat/>
    <w:pPr>
      <w:widowControl w:val="0"/>
      <w:ind w:firstLineChars="200" w:firstLine="420"/>
      <w:jc w:val="both"/>
    </w:pPr>
    <w:rPr>
      <w:rFonts w:ascii="Calibri" w:hAnsi="Calibri" w:cs="Times New Roman"/>
      <w:kern w:val="2"/>
      <w:szCs w:val="22"/>
    </w:rPr>
  </w:style>
  <w:style w:type="paragraph" w:customStyle="1" w:styleId="2194">
    <w:name w:val="2194"/>
    <w:basedOn w:val="2262"/>
    <w:uiPriority w:val="34"/>
    <w:qFormat/>
    <w:pPr>
      <w:widowControl w:val="0"/>
      <w:ind w:firstLineChars="200" w:firstLine="420"/>
      <w:jc w:val="both"/>
    </w:pPr>
    <w:rPr>
      <w:rFonts w:ascii="Calibri" w:hAnsi="Calibri" w:cs="Times New Roman"/>
      <w:kern w:val="2"/>
      <w:szCs w:val="22"/>
    </w:rPr>
  </w:style>
  <w:style w:type="paragraph" w:customStyle="1" w:styleId="2193">
    <w:name w:val="2193"/>
    <w:basedOn w:val="2262"/>
    <w:uiPriority w:val="1"/>
    <w:qFormat/>
    <w:pPr>
      <w:widowControl w:val="0"/>
      <w:autoSpaceDE w:val="0"/>
      <w:autoSpaceDN w:val="0"/>
      <w:spacing w:after="160" w:line="256" w:lineRule="auto"/>
    </w:pPr>
    <w:rPr>
      <w:rFonts w:ascii="Noto Sans CJK JP Regular" w:eastAsia="Noto Sans CJK JP Regular" w:hAnsi="Noto Sans CJK JP Regular" w:cs="Noto Sans CJK JP Regular"/>
      <w:sz w:val="22"/>
      <w:szCs w:val="22"/>
      <w:lang w:eastAsia="en-US"/>
    </w:rPr>
  </w:style>
  <w:style w:type="paragraph" w:customStyle="1" w:styleId="2191">
    <w:name w:val="2191"/>
    <w:basedOn w:val="2262"/>
    <w:next w:val="3243"/>
    <w:qFormat/>
    <w:pPr>
      <w:widowControl w:val="0"/>
      <w:jc w:val="both"/>
    </w:pPr>
    <w:rPr>
      <w:rFonts w:ascii="Times New Roman" w:hAnsi="Times New Roman"/>
      <w:kern w:val="2"/>
    </w:rPr>
  </w:style>
  <w:style w:type="paragraph" w:customStyle="1" w:styleId="2189">
    <w:name w:val="2189"/>
    <w:basedOn w:val="2262"/>
    <w:uiPriority w:val="34"/>
    <w:qFormat/>
    <w:pPr>
      <w:widowControl w:val="0"/>
      <w:ind w:firstLineChars="200" w:firstLine="420"/>
      <w:jc w:val="both"/>
    </w:pPr>
    <w:rPr>
      <w:rFonts w:ascii="Calibri" w:hAnsi="Calibri" w:cs="Times New Roman"/>
      <w:kern w:val="2"/>
      <w:szCs w:val="22"/>
    </w:rPr>
  </w:style>
  <w:style w:type="paragraph" w:customStyle="1" w:styleId="2184">
    <w:name w:val="2184"/>
    <w:basedOn w:val="2262"/>
    <w:uiPriority w:val="34"/>
    <w:qFormat/>
    <w:pPr>
      <w:widowControl w:val="0"/>
      <w:ind w:firstLineChars="200" w:firstLine="420"/>
      <w:jc w:val="both"/>
    </w:pPr>
    <w:rPr>
      <w:rFonts w:ascii="Calibri" w:hAnsi="Calibri" w:cs="Times New Roman"/>
      <w:kern w:val="2"/>
      <w:szCs w:val="22"/>
    </w:rPr>
  </w:style>
  <w:style w:type="paragraph" w:customStyle="1" w:styleId="2182">
    <w:name w:val="2182"/>
    <w:basedOn w:val="2262"/>
    <w:uiPriority w:val="99"/>
    <w:qFormat/>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2180">
    <w:name w:val="2180"/>
    <w:basedOn w:val="2262"/>
    <w:uiPriority w:val="99"/>
    <w:qFormat/>
    <w:pPr>
      <w:widowControl w:val="0"/>
      <w:jc w:val="both"/>
    </w:pPr>
    <w:rPr>
      <w:rFonts w:ascii="Times New Roman" w:hAnsi="Times New Roman" w:cs="Times New Roman"/>
      <w:bCs/>
      <w:kern w:val="2"/>
      <w:sz w:val="24"/>
      <w:szCs w:val="24"/>
    </w:rPr>
  </w:style>
  <w:style w:type="paragraph" w:customStyle="1" w:styleId="2179">
    <w:name w:val="2179"/>
    <w:basedOn w:val="2262"/>
    <w:uiPriority w:val="99"/>
    <w:qFormat/>
    <w:pPr>
      <w:widowControl w:val="0"/>
      <w:tabs>
        <w:tab w:val="left" w:pos="315"/>
      </w:tabs>
      <w:ind w:left="315" w:hanging="315"/>
      <w:jc w:val="both"/>
    </w:pPr>
    <w:rPr>
      <w:rFonts w:ascii="Times New Roman" w:hAnsi="Times New Roman" w:cs="Times New Roman"/>
      <w:bCs/>
      <w:kern w:val="2"/>
      <w:sz w:val="24"/>
      <w:szCs w:val="24"/>
    </w:rPr>
  </w:style>
  <w:style w:type="paragraph" w:customStyle="1" w:styleId="2178">
    <w:name w:val="2178"/>
    <w:basedOn w:val="2262"/>
    <w:uiPriority w:val="99"/>
    <w:qFormat/>
    <w:pPr>
      <w:widowControl w:val="0"/>
      <w:autoSpaceDE w:val="0"/>
      <w:autoSpaceDN w:val="0"/>
      <w:adjustRightInd w:val="0"/>
    </w:pPr>
    <w:rPr>
      <w:rFonts w:ascii="Times New Roman" w:hAnsi="Times New Roman" w:cs="Times New Roman"/>
      <w:bCs/>
      <w:kern w:val="2"/>
      <w:sz w:val="30"/>
      <w:szCs w:val="20"/>
    </w:rPr>
  </w:style>
  <w:style w:type="paragraph" w:customStyle="1" w:styleId="2173">
    <w:name w:val="2173"/>
    <w:basedOn w:val="2262"/>
    <w:next w:val="3243"/>
    <w:uiPriority w:val="99"/>
    <w:qFormat/>
    <w:pPr>
      <w:keepNext/>
      <w:keepLines/>
      <w:widowControl w:val="0"/>
      <w:tabs>
        <w:tab w:val="left" w:pos="546"/>
      </w:tabs>
      <w:adjustRightInd w:val="0"/>
      <w:spacing w:before="120" w:after="120" w:line="480" w:lineRule="atLeast"/>
      <w:ind w:left="420" w:hanging="420"/>
      <w:outlineLvl w:val="1"/>
    </w:pPr>
    <w:rPr>
      <w:rFonts w:cs="Times New Roman"/>
      <w:bCs/>
      <w:color w:val="000000"/>
    </w:rPr>
  </w:style>
  <w:style w:type="paragraph" w:customStyle="1" w:styleId="2172">
    <w:name w:val="2172"/>
    <w:basedOn w:val="2262"/>
    <w:next w:val="3243"/>
    <w:uiPriority w:val="39"/>
    <w:qFormat/>
    <w:pPr>
      <w:tabs>
        <w:tab w:val="right" w:leader="dot" w:pos="8296"/>
      </w:tabs>
      <w:ind w:leftChars="200" w:left="420"/>
      <w:jc w:val="center"/>
    </w:pPr>
    <w:rPr>
      <w:rFonts w:cs="Times New Roman"/>
      <w:b/>
      <w:bCs/>
      <w:color w:val="000000"/>
      <w:sz w:val="32"/>
      <w:szCs w:val="32"/>
    </w:rPr>
  </w:style>
  <w:style w:type="paragraph" w:customStyle="1" w:styleId="2171">
    <w:name w:val="2171"/>
    <w:basedOn w:val="2262"/>
    <w:next w:val="3243"/>
    <w:uiPriority w:val="39"/>
    <w:qFormat/>
    <w:rPr>
      <w:rFonts w:cs="Times New Roman"/>
      <w:bCs/>
      <w:color w:val="000000"/>
      <w:szCs w:val="20"/>
    </w:rPr>
  </w:style>
  <w:style w:type="paragraph" w:customStyle="1" w:styleId="2170">
    <w:name w:val="2170"/>
    <w:basedOn w:val="2262"/>
    <w:next w:val="3243"/>
    <w:uiPriority w:val="39"/>
    <w:qFormat/>
    <w:pPr>
      <w:spacing w:after="100" w:line="276" w:lineRule="auto"/>
      <w:ind w:left="440"/>
    </w:pPr>
    <w:rPr>
      <w:rFonts w:ascii="Calibri" w:hAnsi="Calibri" w:cs="Times New Roman"/>
      <w:bCs/>
      <w:sz w:val="22"/>
      <w:szCs w:val="22"/>
    </w:rPr>
  </w:style>
  <w:style w:type="paragraph" w:customStyle="1" w:styleId="2169">
    <w:name w:val="2169"/>
    <w:basedOn w:val="2262"/>
    <w:next w:val="3243"/>
    <w:uiPriority w:val="39"/>
    <w:qFormat/>
    <w:pPr>
      <w:widowControl w:val="0"/>
      <w:ind w:leftChars="600" w:left="1260"/>
      <w:jc w:val="both"/>
    </w:pPr>
    <w:rPr>
      <w:rFonts w:ascii="Calibri" w:hAnsi="Calibri" w:cs="Times New Roman"/>
      <w:bCs/>
      <w:kern w:val="2"/>
      <w:szCs w:val="22"/>
    </w:rPr>
  </w:style>
  <w:style w:type="paragraph" w:customStyle="1" w:styleId="2168">
    <w:name w:val="2168"/>
    <w:basedOn w:val="2262"/>
    <w:next w:val="3243"/>
    <w:uiPriority w:val="39"/>
    <w:qFormat/>
    <w:pPr>
      <w:widowControl w:val="0"/>
      <w:ind w:leftChars="800" w:left="1680"/>
      <w:jc w:val="both"/>
    </w:pPr>
    <w:rPr>
      <w:rFonts w:ascii="Calibri" w:hAnsi="Calibri" w:cs="Times New Roman"/>
      <w:bCs/>
      <w:kern w:val="2"/>
      <w:szCs w:val="22"/>
    </w:rPr>
  </w:style>
  <w:style w:type="paragraph" w:customStyle="1" w:styleId="2167">
    <w:name w:val="2167"/>
    <w:basedOn w:val="2262"/>
    <w:next w:val="3243"/>
    <w:uiPriority w:val="39"/>
    <w:qFormat/>
    <w:pPr>
      <w:widowControl w:val="0"/>
      <w:ind w:leftChars="1000" w:left="2100"/>
      <w:jc w:val="both"/>
    </w:pPr>
    <w:rPr>
      <w:rFonts w:ascii="Calibri" w:hAnsi="Calibri" w:cs="Times New Roman"/>
      <w:bCs/>
      <w:kern w:val="2"/>
      <w:szCs w:val="22"/>
    </w:rPr>
  </w:style>
  <w:style w:type="paragraph" w:customStyle="1" w:styleId="2166">
    <w:name w:val="2166"/>
    <w:basedOn w:val="2262"/>
    <w:next w:val="3243"/>
    <w:uiPriority w:val="39"/>
    <w:qFormat/>
    <w:pPr>
      <w:widowControl w:val="0"/>
      <w:ind w:leftChars="1200" w:left="2520"/>
      <w:jc w:val="both"/>
    </w:pPr>
    <w:rPr>
      <w:rFonts w:ascii="Calibri" w:hAnsi="Calibri" w:cs="Times New Roman"/>
      <w:bCs/>
      <w:kern w:val="2"/>
      <w:szCs w:val="22"/>
    </w:rPr>
  </w:style>
  <w:style w:type="paragraph" w:customStyle="1" w:styleId="2165">
    <w:name w:val="2165"/>
    <w:basedOn w:val="2262"/>
    <w:next w:val="3243"/>
    <w:uiPriority w:val="39"/>
    <w:qFormat/>
    <w:pPr>
      <w:widowControl w:val="0"/>
      <w:ind w:leftChars="1400" w:left="2940"/>
      <w:jc w:val="both"/>
    </w:pPr>
    <w:rPr>
      <w:rFonts w:ascii="Calibri" w:hAnsi="Calibri" w:cs="Times New Roman"/>
      <w:bCs/>
      <w:kern w:val="2"/>
      <w:szCs w:val="22"/>
    </w:rPr>
  </w:style>
  <w:style w:type="paragraph" w:customStyle="1" w:styleId="2164">
    <w:name w:val="2164"/>
    <w:basedOn w:val="2262"/>
    <w:next w:val="3243"/>
    <w:uiPriority w:val="39"/>
    <w:qFormat/>
    <w:pPr>
      <w:widowControl w:val="0"/>
      <w:ind w:leftChars="1600" w:left="3360"/>
      <w:jc w:val="both"/>
    </w:pPr>
    <w:rPr>
      <w:rFonts w:ascii="Calibri" w:hAnsi="Calibri" w:cs="Times New Roman"/>
      <w:bCs/>
      <w:kern w:val="2"/>
      <w:szCs w:val="22"/>
    </w:rPr>
  </w:style>
  <w:style w:type="paragraph" w:customStyle="1" w:styleId="2163">
    <w:name w:val="2163"/>
    <w:basedOn w:val="2262"/>
    <w:uiPriority w:val="99"/>
    <w:qFormat/>
    <w:pPr>
      <w:widowControl w:val="0"/>
      <w:tabs>
        <w:tab w:val="left" w:pos="1200"/>
      </w:tabs>
      <w:jc w:val="both"/>
    </w:pPr>
    <w:rPr>
      <w:rFonts w:ascii="Times New Roman" w:hAnsi="Times New Roman" w:cs="Times New Roman"/>
      <w:bCs/>
      <w:kern w:val="2"/>
    </w:rPr>
  </w:style>
  <w:style w:type="paragraph" w:customStyle="1" w:styleId="2162">
    <w:name w:val="2162"/>
    <w:basedOn w:val="2262"/>
    <w:next w:val="3243"/>
    <w:uiPriority w:val="99"/>
    <w:qFormat/>
    <w:pPr>
      <w:keepNext/>
      <w:keepLines/>
      <w:widowControl w:val="0"/>
      <w:spacing w:before="100" w:beforeAutospacing="1" w:after="100" w:afterAutospacing="1" w:line="412" w:lineRule="auto"/>
      <w:jc w:val="both"/>
    </w:pPr>
    <w:rPr>
      <w:rFonts w:ascii="Times New Roman" w:hAnsi="Times New Roman" w:cs="Times New Roman"/>
      <w:b/>
      <w:bCs/>
      <w:kern w:val="2"/>
      <w:szCs w:val="24"/>
    </w:rPr>
  </w:style>
  <w:style w:type="paragraph" w:customStyle="1" w:styleId="2159">
    <w:name w:val="2159"/>
    <w:basedOn w:val="2262"/>
    <w:uiPriority w:val="34"/>
    <w:qFormat/>
    <w:pPr>
      <w:widowControl w:val="0"/>
      <w:ind w:firstLineChars="200" w:firstLine="420"/>
      <w:jc w:val="both"/>
    </w:pPr>
    <w:rPr>
      <w:rFonts w:ascii="Calibri" w:hAnsi="Calibri" w:cs="Times New Roman"/>
      <w:bCs/>
      <w:kern w:val="2"/>
      <w:szCs w:val="22"/>
    </w:rPr>
  </w:style>
  <w:style w:type="paragraph" w:customStyle="1" w:styleId="2158">
    <w:name w:val="2158"/>
    <w:basedOn w:val="2262"/>
    <w:uiPriority w:val="34"/>
    <w:qFormat/>
    <w:pPr>
      <w:widowControl w:val="0"/>
      <w:ind w:firstLineChars="200" w:firstLine="420"/>
      <w:jc w:val="both"/>
    </w:pPr>
    <w:rPr>
      <w:rFonts w:ascii="Calibri" w:hAnsi="Calibri" w:cs="Times New Roman"/>
      <w:bCs/>
      <w:kern w:val="2"/>
      <w:szCs w:val="22"/>
    </w:rPr>
  </w:style>
  <w:style w:type="paragraph" w:customStyle="1" w:styleId="2157">
    <w:name w:val="2157"/>
    <w:basedOn w:val="2262"/>
    <w:uiPriority w:val="34"/>
    <w:qFormat/>
    <w:pPr>
      <w:widowControl w:val="0"/>
      <w:ind w:firstLineChars="200" w:firstLine="420"/>
      <w:jc w:val="both"/>
    </w:pPr>
    <w:rPr>
      <w:rFonts w:ascii="Calibri" w:hAnsi="Calibri" w:cs="Times New Roman"/>
      <w:bCs/>
      <w:kern w:val="2"/>
      <w:szCs w:val="22"/>
    </w:rPr>
  </w:style>
  <w:style w:type="paragraph" w:customStyle="1" w:styleId="2156">
    <w:name w:val="2156"/>
    <w:basedOn w:val="2262"/>
    <w:uiPriority w:val="34"/>
    <w:qFormat/>
    <w:pPr>
      <w:widowControl w:val="0"/>
      <w:ind w:firstLineChars="200" w:firstLine="420"/>
      <w:jc w:val="both"/>
    </w:pPr>
    <w:rPr>
      <w:rFonts w:ascii="Calibri" w:hAnsi="Calibri" w:cs="Times New Roman"/>
      <w:bCs/>
      <w:kern w:val="2"/>
      <w:szCs w:val="22"/>
    </w:rPr>
  </w:style>
  <w:style w:type="paragraph" w:customStyle="1" w:styleId="2155">
    <w:name w:val="2155"/>
    <w:uiPriority w:val="99"/>
    <w:qFormat/>
    <w:rPr>
      <w:bCs/>
      <w:kern w:val="2"/>
      <w:sz w:val="21"/>
      <w:szCs w:val="24"/>
    </w:rPr>
  </w:style>
  <w:style w:type="paragraph" w:customStyle="1" w:styleId="2152">
    <w:name w:val="2152"/>
    <w:uiPriority w:val="99"/>
    <w:qFormat/>
    <w:rPr>
      <w:bCs/>
      <w:sz w:val="21"/>
      <w:szCs w:val="24"/>
    </w:rPr>
  </w:style>
  <w:style w:type="paragraph" w:customStyle="1" w:styleId="2150">
    <w:name w:val="2150"/>
    <w:basedOn w:val="2262"/>
    <w:uiPriority w:val="34"/>
    <w:qFormat/>
    <w:pPr>
      <w:widowControl w:val="0"/>
      <w:ind w:firstLineChars="200" w:firstLine="420"/>
      <w:jc w:val="both"/>
    </w:pPr>
    <w:rPr>
      <w:rFonts w:ascii="Calibri" w:hAnsi="Calibri" w:cs="Times New Roman"/>
      <w:bCs/>
      <w:kern w:val="2"/>
      <w:szCs w:val="22"/>
    </w:rPr>
  </w:style>
  <w:style w:type="paragraph" w:customStyle="1" w:styleId="2149">
    <w:name w:val="2149"/>
    <w:basedOn w:val="2262"/>
    <w:uiPriority w:val="34"/>
    <w:qFormat/>
    <w:pPr>
      <w:widowControl w:val="0"/>
      <w:ind w:firstLineChars="200" w:firstLine="420"/>
      <w:jc w:val="both"/>
    </w:pPr>
    <w:rPr>
      <w:rFonts w:ascii="Calibri" w:hAnsi="Calibri" w:cs="Times New Roman"/>
      <w:bCs/>
      <w:kern w:val="2"/>
      <w:szCs w:val="22"/>
    </w:rPr>
  </w:style>
  <w:style w:type="paragraph" w:customStyle="1" w:styleId="2148">
    <w:name w:val="2148"/>
    <w:basedOn w:val="2262"/>
    <w:uiPriority w:val="99"/>
    <w:qFormat/>
    <w:rPr>
      <w:rFonts w:cs="Times New Roman"/>
      <w:bCs/>
      <w:kern w:val="2"/>
    </w:rPr>
  </w:style>
  <w:style w:type="paragraph" w:customStyle="1" w:styleId="2147">
    <w:name w:val="2147"/>
    <w:basedOn w:val="2262"/>
    <w:uiPriority w:val="59"/>
    <w:qFormat/>
    <w:pPr>
      <w:widowControl w:val="0"/>
    </w:pPr>
    <w:rPr>
      <w:rFonts w:ascii="Times New Roman" w:cs="Times New Roman"/>
      <w:bCs/>
      <w:kern w:val="2"/>
    </w:rPr>
  </w:style>
  <w:style w:type="paragraph" w:customStyle="1" w:styleId="2146">
    <w:name w:val="2146"/>
    <w:uiPriority w:val="99"/>
    <w:qFormat/>
    <w:rPr>
      <w:bCs/>
      <w:kern w:val="2"/>
      <w:sz w:val="21"/>
      <w:szCs w:val="24"/>
    </w:rPr>
  </w:style>
  <w:style w:type="paragraph" w:customStyle="1" w:styleId="2145">
    <w:name w:val="2145"/>
    <w:uiPriority w:val="99"/>
    <w:qFormat/>
    <w:rPr>
      <w:bCs/>
      <w:kern w:val="2"/>
      <w:sz w:val="21"/>
      <w:szCs w:val="24"/>
    </w:rPr>
  </w:style>
  <w:style w:type="character" w:customStyle="1" w:styleId="3378">
    <w:name w:val="3378"/>
    <w:basedOn w:val="a0"/>
    <w:link w:val="2144"/>
    <w:uiPriority w:val="10"/>
    <w:qFormat/>
    <w:locked/>
    <w:rPr>
      <w:rFonts w:ascii="Cambria" w:hAnsi="Cambria" w:cs="Times New Roman"/>
      <w:b/>
      <w:kern w:val="2"/>
      <w:sz w:val="32"/>
      <w:szCs w:val="32"/>
    </w:rPr>
  </w:style>
  <w:style w:type="paragraph" w:customStyle="1" w:styleId="2144">
    <w:name w:val="2144"/>
    <w:basedOn w:val="2262"/>
    <w:link w:val="3378"/>
    <w:uiPriority w:val="10"/>
    <w:qFormat/>
    <w:pPr>
      <w:widowControl w:val="0"/>
      <w:jc w:val="both"/>
    </w:pPr>
    <w:rPr>
      <w:rFonts w:ascii="Cambria" w:hAnsi="Cambria" w:cs="Times New Roman"/>
      <w:b/>
      <w:kern w:val="2"/>
      <w:sz w:val="32"/>
      <w:szCs w:val="32"/>
    </w:rPr>
  </w:style>
  <w:style w:type="character" w:customStyle="1" w:styleId="affd">
    <w:name w:val="正文缩进 字符"/>
    <w:basedOn w:val="a0"/>
    <w:link w:val="2143"/>
    <w:uiPriority w:val="99"/>
    <w:qFormat/>
    <w:locked/>
  </w:style>
  <w:style w:type="paragraph" w:customStyle="1" w:styleId="2143">
    <w:name w:val="2143"/>
    <w:basedOn w:val="2262"/>
    <w:next w:val="3243"/>
    <w:link w:val="affd"/>
    <w:uiPriority w:val="99"/>
    <w:qFormat/>
    <w:pPr>
      <w:widowControl w:val="0"/>
      <w:ind w:leftChars="2500" w:left="100"/>
      <w:jc w:val="both"/>
    </w:pPr>
  </w:style>
  <w:style w:type="character" w:customStyle="1" w:styleId="733">
    <w:name w:val="733"/>
    <w:basedOn w:val="a0"/>
    <w:link w:val="2140"/>
    <w:locked/>
    <w:rPr>
      <w:kern w:val="2"/>
      <w:szCs w:val="24"/>
    </w:rPr>
  </w:style>
  <w:style w:type="paragraph" w:customStyle="1" w:styleId="2140">
    <w:name w:val="2140"/>
    <w:link w:val="733"/>
    <w:qFormat/>
    <w:rPr>
      <w:kern w:val="2"/>
      <w:sz w:val="21"/>
      <w:szCs w:val="24"/>
    </w:rPr>
  </w:style>
  <w:style w:type="paragraph" w:customStyle="1" w:styleId="2138">
    <w:name w:val="2138"/>
    <w:basedOn w:val="2262"/>
    <w:next w:val="3243"/>
    <w:uiPriority w:val="99"/>
    <w:qFormat/>
    <w:pPr>
      <w:keepNext/>
      <w:keepLines/>
      <w:widowControl w:val="0"/>
      <w:spacing w:before="60" w:after="60" w:line="360" w:lineRule="auto"/>
      <w:jc w:val="center"/>
      <w:outlineLvl w:val="0"/>
    </w:pPr>
    <w:rPr>
      <w:rFonts w:ascii="Calibri" w:eastAsia="黑体" w:hAnsi="Calibri" w:cs="Times New Roman"/>
      <w:b/>
      <w:kern w:val="44"/>
      <w:sz w:val="28"/>
      <w:szCs w:val="44"/>
    </w:rPr>
  </w:style>
  <w:style w:type="paragraph" w:customStyle="1" w:styleId="2137">
    <w:name w:val="2137"/>
    <w:basedOn w:val="2262"/>
    <w:next w:val="3243"/>
    <w:uiPriority w:val="99"/>
    <w:qFormat/>
    <w:pPr>
      <w:keepNext/>
      <w:keepLines/>
      <w:widowControl w:val="0"/>
      <w:spacing w:before="60" w:after="60"/>
      <w:ind w:left="200" w:hangingChars="200" w:hanging="200"/>
      <w:jc w:val="both"/>
      <w:outlineLvl w:val="1"/>
    </w:pPr>
    <w:rPr>
      <w:rFonts w:ascii="Arial" w:hAnsi="Arial" w:cs="Times New Roman"/>
      <w:b/>
      <w:kern w:val="2"/>
    </w:rPr>
  </w:style>
  <w:style w:type="paragraph" w:customStyle="1" w:styleId="2136">
    <w:name w:val="2136"/>
    <w:basedOn w:val="2262"/>
    <w:next w:val="3243"/>
    <w:uiPriority w:val="9"/>
    <w:qFormat/>
    <w:pPr>
      <w:keepNext/>
      <w:keepLines/>
      <w:widowControl w:val="0"/>
      <w:spacing w:before="60" w:after="60"/>
      <w:jc w:val="both"/>
      <w:outlineLvl w:val="2"/>
    </w:pPr>
    <w:rPr>
      <w:rFonts w:ascii="Calibri" w:hAnsi="Calibri" w:cs="Times New Roman"/>
      <w:b/>
      <w:kern w:val="2"/>
      <w:szCs w:val="32"/>
    </w:rPr>
  </w:style>
  <w:style w:type="paragraph" w:customStyle="1" w:styleId="2135">
    <w:name w:val="2135"/>
    <w:basedOn w:val="2262"/>
    <w:next w:val="3243"/>
    <w:uiPriority w:val="9"/>
    <w:qFormat/>
    <w:pPr>
      <w:keepNext/>
      <w:keepLines/>
      <w:widowControl w:val="0"/>
      <w:spacing w:before="60" w:after="60"/>
      <w:jc w:val="both"/>
      <w:outlineLvl w:val="3"/>
    </w:pPr>
    <w:rPr>
      <w:rFonts w:ascii="Cambria" w:hAnsi="Cambria" w:cs="Times New Roman"/>
      <w:b/>
      <w:kern w:val="2"/>
      <w:szCs w:val="28"/>
    </w:rPr>
  </w:style>
  <w:style w:type="paragraph" w:customStyle="1" w:styleId="2134">
    <w:name w:val="2134"/>
    <w:basedOn w:val="2262"/>
    <w:next w:val="3243"/>
    <w:uiPriority w:val="9"/>
    <w:qFormat/>
    <w:pPr>
      <w:keepNext/>
      <w:keepLines/>
      <w:widowControl w:val="0"/>
      <w:spacing w:before="60" w:after="60"/>
      <w:jc w:val="both"/>
      <w:outlineLvl w:val="4"/>
    </w:pPr>
    <w:rPr>
      <w:rFonts w:ascii="Calibri" w:hAnsi="Calibri" w:cs="Times New Roman"/>
      <w:b/>
      <w:kern w:val="2"/>
      <w:szCs w:val="28"/>
    </w:rPr>
  </w:style>
  <w:style w:type="paragraph" w:customStyle="1" w:styleId="2133">
    <w:name w:val="2133"/>
    <w:basedOn w:val="2262"/>
    <w:next w:val="3243"/>
    <w:uiPriority w:val="9"/>
    <w:qFormat/>
    <w:pPr>
      <w:keepNext/>
      <w:keepLines/>
      <w:spacing w:before="60" w:after="60"/>
      <w:outlineLvl w:val="5"/>
    </w:pPr>
    <w:rPr>
      <w:rFonts w:ascii="Cambria" w:hAnsi="Cambria" w:cs="Times New Roman"/>
      <w:b/>
    </w:rPr>
  </w:style>
  <w:style w:type="paragraph" w:customStyle="1" w:styleId="2132">
    <w:name w:val="2132"/>
    <w:basedOn w:val="2262"/>
    <w:next w:val="3243"/>
    <w:uiPriority w:val="9"/>
    <w:qFormat/>
    <w:pPr>
      <w:keepNext/>
      <w:keepLines/>
      <w:spacing w:before="240" w:after="64" w:line="319" w:lineRule="auto"/>
      <w:outlineLvl w:val="6"/>
    </w:pPr>
    <w:rPr>
      <w:b/>
      <w:sz w:val="24"/>
    </w:rPr>
  </w:style>
  <w:style w:type="paragraph" w:customStyle="1" w:styleId="2126">
    <w:name w:val="2126"/>
    <w:basedOn w:val="2262"/>
    <w:next w:val="3243"/>
    <w:uiPriority w:val="39"/>
    <w:qFormat/>
    <w:pPr>
      <w:widowControl w:val="0"/>
      <w:tabs>
        <w:tab w:val="left" w:pos="1260"/>
        <w:tab w:val="right" w:leader="dot" w:pos="8823"/>
      </w:tabs>
      <w:jc w:val="center"/>
    </w:pPr>
    <w:rPr>
      <w:rFonts w:ascii="Times New Roman" w:hAnsi="Times New Roman" w:cs="Times New Roman"/>
      <w:kern w:val="2"/>
    </w:rPr>
  </w:style>
  <w:style w:type="paragraph" w:customStyle="1" w:styleId="2125">
    <w:name w:val="2125"/>
    <w:basedOn w:val="2262"/>
    <w:next w:val="3243"/>
    <w:uiPriority w:val="39"/>
    <w:qFormat/>
    <w:pPr>
      <w:widowControl w:val="0"/>
      <w:ind w:leftChars="200" w:left="420"/>
      <w:jc w:val="both"/>
    </w:pPr>
    <w:rPr>
      <w:rFonts w:ascii="Times New Roman" w:hAnsi="Times New Roman" w:cs="Times New Roman"/>
      <w:kern w:val="2"/>
    </w:rPr>
  </w:style>
  <w:style w:type="paragraph" w:customStyle="1" w:styleId="2123">
    <w:name w:val="2123"/>
    <w:basedOn w:val="2262"/>
    <w:uiPriority w:val="99"/>
    <w:qFormat/>
    <w:pPr>
      <w:widowControl w:val="0"/>
      <w:jc w:val="both"/>
    </w:pPr>
    <w:rPr>
      <w:rFonts w:ascii="Calibri" w:hAnsi="Calibri" w:cs="Times New Roman"/>
      <w:kern w:val="2"/>
      <w:sz w:val="18"/>
      <w:szCs w:val="18"/>
    </w:rPr>
  </w:style>
  <w:style w:type="paragraph" w:customStyle="1" w:styleId="2120">
    <w:name w:val="2120"/>
    <w:basedOn w:val="2262"/>
    <w:uiPriority w:val="34"/>
    <w:qFormat/>
    <w:pPr>
      <w:widowControl w:val="0"/>
      <w:ind w:firstLineChars="200" w:firstLine="420"/>
      <w:jc w:val="both"/>
    </w:pPr>
    <w:rPr>
      <w:rFonts w:ascii="Calibri" w:hAnsi="Calibri" w:cs="Times New Roman"/>
      <w:kern w:val="2"/>
      <w:szCs w:val="22"/>
    </w:rPr>
  </w:style>
  <w:style w:type="paragraph" w:customStyle="1" w:styleId="2118">
    <w:name w:val="2118"/>
    <w:basedOn w:val="2262"/>
    <w:next w:val="3243"/>
    <w:uiPriority w:val="39"/>
    <w:qFormat/>
    <w:pPr>
      <w:spacing w:after="100" w:line="276" w:lineRule="auto"/>
      <w:ind w:left="440"/>
    </w:pPr>
    <w:rPr>
      <w:rFonts w:ascii="Calibri" w:hAnsi="Calibri" w:cs="Times New Roman"/>
      <w:sz w:val="22"/>
      <w:szCs w:val="22"/>
    </w:rPr>
  </w:style>
  <w:style w:type="paragraph" w:customStyle="1" w:styleId="2116">
    <w:name w:val="2116"/>
    <w:basedOn w:val="2262"/>
    <w:uiPriority w:val="99"/>
    <w:qFormat/>
    <w:pPr>
      <w:widowControl w:val="0"/>
      <w:tabs>
        <w:tab w:val="center" w:pos="4153"/>
        <w:tab w:val="right" w:pos="8306"/>
      </w:tabs>
      <w:snapToGrid w:val="0"/>
    </w:pPr>
    <w:rPr>
      <w:rFonts w:ascii="Calibri" w:hAnsi="Calibri" w:cs="Times New Roman"/>
      <w:kern w:val="2"/>
      <w:sz w:val="18"/>
      <w:szCs w:val="18"/>
    </w:rPr>
  </w:style>
  <w:style w:type="paragraph" w:customStyle="1" w:styleId="2114">
    <w:name w:val="2114"/>
    <w:basedOn w:val="2262"/>
    <w:uiPriority w:val="99"/>
    <w:qFormat/>
    <w:pPr>
      <w:widowControl w:val="0"/>
      <w:jc w:val="both"/>
    </w:pPr>
    <w:rPr>
      <w:rFonts w:hAnsi="Courier New" w:cs="Times New Roman"/>
      <w:kern w:val="2"/>
      <w:szCs w:val="20"/>
    </w:rPr>
  </w:style>
  <w:style w:type="paragraph" w:customStyle="1" w:styleId="2112">
    <w:name w:val="2112"/>
    <w:basedOn w:val="2262"/>
    <w:uiPriority w:val="99"/>
    <w:qFormat/>
    <w:pPr>
      <w:widowControl w:val="0"/>
      <w:spacing w:after="120"/>
      <w:jc w:val="both"/>
    </w:pPr>
    <w:rPr>
      <w:rFonts w:ascii="Times New Roman" w:hAnsi="Times New Roman" w:cs="Times New Roman"/>
      <w:kern w:val="2"/>
    </w:rPr>
  </w:style>
  <w:style w:type="paragraph" w:customStyle="1" w:styleId="2110">
    <w:name w:val="2110"/>
    <w:basedOn w:val="2262"/>
    <w:next w:val="3243"/>
    <w:uiPriority w:val="99"/>
    <w:qFormat/>
    <w:pPr>
      <w:widowControl w:val="0"/>
      <w:ind w:leftChars="2500" w:left="100"/>
      <w:jc w:val="both"/>
    </w:pPr>
    <w:rPr>
      <w:rFonts w:ascii="Times New Roman" w:hAnsi="Times New Roman" w:cs="Times New Roman"/>
      <w:kern w:val="2"/>
    </w:rPr>
  </w:style>
  <w:style w:type="paragraph" w:customStyle="1" w:styleId="2108">
    <w:name w:val="2108"/>
    <w:basedOn w:val="2262"/>
    <w:next w:val="3243"/>
    <w:uiPriority w:val="99"/>
    <w:qFormat/>
    <w:pPr>
      <w:widowControl w:val="0"/>
      <w:jc w:val="center"/>
    </w:pPr>
    <w:rPr>
      <w:rFonts w:ascii="Times New Roman" w:hAnsi="Times New Roman" w:cs="Times New Roman"/>
      <w:kern w:val="2"/>
    </w:rPr>
  </w:style>
  <w:style w:type="paragraph" w:customStyle="1" w:styleId="2106">
    <w:name w:val="2106"/>
    <w:basedOn w:val="2262"/>
    <w:next w:val="3243"/>
    <w:uiPriority w:val="99"/>
    <w:semiHidden/>
    <w:qFormat/>
    <w:pPr>
      <w:widowControl w:val="0"/>
      <w:spacing w:before="120"/>
      <w:jc w:val="both"/>
    </w:pPr>
    <w:rPr>
      <w:rFonts w:ascii="Arial" w:hAnsi="Arial" w:cs="Times New Roman"/>
      <w:b/>
      <w:kern w:val="2"/>
    </w:rPr>
  </w:style>
  <w:style w:type="paragraph" w:customStyle="1" w:styleId="2105">
    <w:name w:val="2105"/>
    <w:basedOn w:val="2262"/>
    <w:uiPriority w:val="99"/>
    <w:qFormat/>
    <w:pPr>
      <w:keepNext/>
      <w:keepLines/>
      <w:widowControl w:val="0"/>
      <w:spacing w:before="60" w:after="60"/>
      <w:ind w:hangingChars="200" w:hanging="420"/>
      <w:jc w:val="both"/>
      <w:outlineLvl w:val="4"/>
    </w:pPr>
    <w:rPr>
      <w:rFonts w:cs="Times New Roman"/>
      <w:b/>
      <w:kern w:val="2"/>
    </w:rPr>
  </w:style>
  <w:style w:type="paragraph" w:customStyle="1" w:styleId="2104">
    <w:name w:val="2104"/>
    <w:uiPriority w:val="99"/>
    <w:semiHidden/>
    <w:qFormat/>
    <w:rPr>
      <w:kern w:val="2"/>
      <w:sz w:val="21"/>
      <w:szCs w:val="22"/>
    </w:rPr>
  </w:style>
  <w:style w:type="paragraph" w:customStyle="1" w:styleId="2102">
    <w:name w:val="2102"/>
    <w:basedOn w:val="2262"/>
    <w:uiPriority w:val="99"/>
    <w:qFormat/>
    <w:pPr>
      <w:widowControl w:val="0"/>
      <w:spacing w:before="100" w:after="100"/>
      <w:jc w:val="both"/>
    </w:pPr>
    <w:rPr>
      <w:rFonts w:ascii="Calibri" w:hAnsi="Calibri" w:cs="Times New Roman"/>
      <w:kern w:val="2"/>
    </w:rPr>
  </w:style>
  <w:style w:type="paragraph" w:customStyle="1" w:styleId="2101">
    <w:name w:val="2101"/>
    <w:basedOn w:val="2262"/>
    <w:uiPriority w:val="99"/>
    <w:semiHidden/>
    <w:qFormat/>
    <w:pPr>
      <w:widowControl w:val="0"/>
      <w:jc w:val="both"/>
    </w:pPr>
    <w:rPr>
      <w:rFonts w:hAnsi="Calibri" w:cs="Times New Roman"/>
      <w:kern w:val="2"/>
      <w:sz w:val="18"/>
      <w:szCs w:val="18"/>
    </w:rPr>
  </w:style>
  <w:style w:type="paragraph" w:customStyle="1" w:styleId="2098">
    <w:name w:val="2098"/>
    <w:basedOn w:val="2262"/>
    <w:next w:val="3243"/>
    <w:uiPriority w:val="10"/>
    <w:qFormat/>
    <w:pPr>
      <w:widowControl w:val="0"/>
      <w:spacing w:before="240" w:after="60"/>
      <w:jc w:val="center"/>
      <w:outlineLvl w:val="0"/>
    </w:pPr>
    <w:rPr>
      <w:rFonts w:ascii="Cambria" w:hAnsi="Cambria" w:cs="Times New Roman"/>
      <w:b/>
      <w:kern w:val="2"/>
      <w:sz w:val="32"/>
      <w:szCs w:val="32"/>
    </w:rPr>
  </w:style>
  <w:style w:type="paragraph" w:customStyle="1" w:styleId="2096">
    <w:name w:val="2096"/>
    <w:uiPriority w:val="1"/>
    <w:qFormat/>
    <w:pPr>
      <w:widowControl w:val="0"/>
      <w:jc w:val="both"/>
    </w:pPr>
    <w:rPr>
      <w:kern w:val="2"/>
      <w:sz w:val="21"/>
      <w:szCs w:val="22"/>
    </w:rPr>
  </w:style>
  <w:style w:type="paragraph" w:customStyle="1" w:styleId="2095">
    <w:name w:val="2095"/>
    <w:basedOn w:val="2262"/>
    <w:next w:val="3243"/>
    <w:uiPriority w:val="39"/>
    <w:qFormat/>
    <w:pPr>
      <w:widowControl w:val="0"/>
      <w:ind w:leftChars="600" w:left="1260"/>
      <w:jc w:val="both"/>
    </w:pPr>
    <w:rPr>
      <w:rFonts w:ascii="Calibri" w:hAnsi="Calibri" w:cs="Times New Roman"/>
      <w:kern w:val="2"/>
      <w:szCs w:val="22"/>
    </w:rPr>
  </w:style>
  <w:style w:type="paragraph" w:customStyle="1" w:styleId="2094">
    <w:name w:val="2094"/>
    <w:basedOn w:val="2262"/>
    <w:next w:val="3243"/>
    <w:uiPriority w:val="39"/>
    <w:qFormat/>
    <w:pPr>
      <w:widowControl w:val="0"/>
      <w:ind w:leftChars="800" w:left="1680"/>
      <w:jc w:val="both"/>
    </w:pPr>
    <w:rPr>
      <w:rFonts w:ascii="Calibri" w:hAnsi="Calibri" w:cs="Times New Roman"/>
      <w:kern w:val="2"/>
      <w:szCs w:val="22"/>
    </w:rPr>
  </w:style>
  <w:style w:type="paragraph" w:customStyle="1" w:styleId="2093">
    <w:name w:val="2093"/>
    <w:basedOn w:val="2262"/>
    <w:next w:val="3243"/>
    <w:uiPriority w:val="39"/>
    <w:qFormat/>
    <w:pPr>
      <w:widowControl w:val="0"/>
      <w:ind w:leftChars="1000" w:left="2100"/>
      <w:jc w:val="both"/>
    </w:pPr>
    <w:rPr>
      <w:rFonts w:ascii="Calibri" w:hAnsi="Calibri" w:cs="Times New Roman"/>
      <w:kern w:val="2"/>
      <w:szCs w:val="22"/>
    </w:rPr>
  </w:style>
  <w:style w:type="paragraph" w:customStyle="1" w:styleId="2092">
    <w:name w:val="2092"/>
    <w:basedOn w:val="2262"/>
    <w:next w:val="3243"/>
    <w:uiPriority w:val="39"/>
    <w:qFormat/>
    <w:pPr>
      <w:widowControl w:val="0"/>
      <w:ind w:leftChars="1200" w:left="2520"/>
      <w:jc w:val="both"/>
    </w:pPr>
    <w:rPr>
      <w:rFonts w:ascii="Calibri" w:hAnsi="Calibri" w:cs="Times New Roman"/>
      <w:kern w:val="2"/>
      <w:szCs w:val="22"/>
    </w:rPr>
  </w:style>
  <w:style w:type="paragraph" w:customStyle="1" w:styleId="2091">
    <w:name w:val="2091"/>
    <w:basedOn w:val="2262"/>
    <w:next w:val="3243"/>
    <w:uiPriority w:val="39"/>
    <w:qFormat/>
    <w:pPr>
      <w:widowControl w:val="0"/>
      <w:ind w:leftChars="1400" w:left="2940"/>
      <w:jc w:val="both"/>
    </w:pPr>
    <w:rPr>
      <w:rFonts w:ascii="Calibri" w:hAnsi="Calibri" w:cs="Times New Roman"/>
      <w:kern w:val="2"/>
      <w:szCs w:val="22"/>
    </w:rPr>
  </w:style>
  <w:style w:type="paragraph" w:customStyle="1" w:styleId="2090">
    <w:name w:val="2090"/>
    <w:basedOn w:val="2262"/>
    <w:next w:val="3243"/>
    <w:uiPriority w:val="39"/>
    <w:qFormat/>
    <w:pPr>
      <w:widowControl w:val="0"/>
      <w:ind w:leftChars="1600" w:left="3360"/>
      <w:jc w:val="both"/>
    </w:pPr>
    <w:rPr>
      <w:rFonts w:ascii="Calibri" w:hAnsi="Calibri" w:cs="Times New Roman"/>
      <w:kern w:val="2"/>
      <w:szCs w:val="22"/>
    </w:rPr>
  </w:style>
  <w:style w:type="paragraph" w:customStyle="1" w:styleId="2088">
    <w:name w:val="2088"/>
    <w:basedOn w:val="2262"/>
    <w:uiPriority w:val="99"/>
    <w:qFormat/>
    <w:pPr>
      <w:spacing w:before="100" w:beforeAutospacing="1" w:after="100" w:afterAutospacing="1"/>
    </w:pPr>
    <w:rPr>
      <w:sz w:val="24"/>
    </w:rPr>
  </w:style>
  <w:style w:type="paragraph" w:customStyle="1" w:styleId="2087">
    <w:name w:val="2087"/>
    <w:basedOn w:val="2262"/>
    <w:uiPriority w:val="99"/>
    <w:semiHidden/>
    <w:qFormat/>
    <w:pPr>
      <w:snapToGrid w:val="0"/>
    </w:pPr>
  </w:style>
  <w:style w:type="paragraph" w:customStyle="1" w:styleId="2081">
    <w:name w:val="2081"/>
    <w:basedOn w:val="2262"/>
    <w:uiPriority w:val="99"/>
    <w:qFormat/>
    <w:pPr>
      <w:widowControl w:val="0"/>
      <w:ind w:firstLineChars="200" w:firstLine="420"/>
      <w:jc w:val="both"/>
    </w:pPr>
    <w:rPr>
      <w:rFonts w:ascii="Times New Roman" w:hAnsi="Times New Roman" w:cs="Times New Roman"/>
      <w:kern w:val="2"/>
    </w:rPr>
  </w:style>
  <w:style w:type="paragraph" w:customStyle="1" w:styleId="2080">
    <w:name w:val="2080"/>
    <w:basedOn w:val="2262"/>
    <w:uiPriority w:val="99"/>
    <w:qFormat/>
    <w:pPr>
      <w:widowControl w:val="0"/>
      <w:tabs>
        <w:tab w:val="left" w:pos="1200"/>
      </w:tabs>
      <w:jc w:val="both"/>
    </w:pPr>
    <w:rPr>
      <w:rFonts w:ascii="Times New Roman" w:hAnsi="Times New Roman" w:cs="Times New Roman"/>
      <w:kern w:val="2"/>
    </w:rPr>
  </w:style>
  <w:style w:type="paragraph" w:customStyle="1" w:styleId="2079">
    <w:name w:val="2079"/>
    <w:basedOn w:val="2262"/>
    <w:uiPriority w:val="34"/>
    <w:qFormat/>
    <w:pPr>
      <w:widowControl w:val="0"/>
      <w:ind w:firstLineChars="200" w:firstLine="420"/>
      <w:jc w:val="both"/>
    </w:pPr>
    <w:rPr>
      <w:rFonts w:ascii="Calibri" w:hAnsi="Calibri" w:cs="Times New Roman"/>
      <w:kern w:val="2"/>
      <w:szCs w:val="22"/>
    </w:rPr>
  </w:style>
  <w:style w:type="paragraph" w:customStyle="1" w:styleId="2078">
    <w:name w:val="2078"/>
    <w:basedOn w:val="2262"/>
    <w:uiPriority w:val="34"/>
    <w:qFormat/>
    <w:pPr>
      <w:widowControl w:val="0"/>
      <w:ind w:firstLineChars="200" w:firstLine="420"/>
      <w:jc w:val="both"/>
    </w:pPr>
    <w:rPr>
      <w:rFonts w:ascii="Calibri" w:hAnsi="Calibri" w:cs="Times New Roman"/>
      <w:kern w:val="2"/>
      <w:szCs w:val="22"/>
    </w:rPr>
  </w:style>
  <w:style w:type="paragraph" w:customStyle="1" w:styleId="2077">
    <w:name w:val="2077"/>
    <w:basedOn w:val="2262"/>
    <w:uiPriority w:val="34"/>
    <w:qFormat/>
    <w:pPr>
      <w:widowControl w:val="0"/>
      <w:ind w:firstLineChars="200" w:firstLine="420"/>
      <w:jc w:val="both"/>
    </w:pPr>
    <w:rPr>
      <w:rFonts w:ascii="Calibri" w:hAnsi="Calibri" w:cs="Times New Roman"/>
      <w:kern w:val="2"/>
      <w:szCs w:val="22"/>
    </w:rPr>
  </w:style>
  <w:style w:type="paragraph" w:customStyle="1" w:styleId="2076">
    <w:name w:val="2076"/>
    <w:basedOn w:val="2262"/>
    <w:uiPriority w:val="34"/>
    <w:qFormat/>
    <w:pPr>
      <w:widowControl w:val="0"/>
      <w:ind w:firstLineChars="200" w:firstLine="420"/>
      <w:jc w:val="both"/>
    </w:pPr>
    <w:rPr>
      <w:rFonts w:ascii="Calibri" w:hAnsi="Calibri" w:cs="Times New Roman"/>
      <w:kern w:val="2"/>
      <w:szCs w:val="22"/>
    </w:rPr>
  </w:style>
  <w:style w:type="paragraph" w:customStyle="1" w:styleId="2074">
    <w:name w:val="2074"/>
    <w:basedOn w:val="2262"/>
    <w:uiPriority w:val="34"/>
    <w:qFormat/>
    <w:pPr>
      <w:widowControl w:val="0"/>
      <w:ind w:firstLineChars="200" w:firstLine="420"/>
      <w:jc w:val="both"/>
    </w:pPr>
    <w:rPr>
      <w:rFonts w:ascii="Calibri" w:hAnsi="Calibri" w:cs="Times New Roman"/>
      <w:kern w:val="2"/>
      <w:szCs w:val="22"/>
    </w:rPr>
  </w:style>
  <w:style w:type="paragraph" w:customStyle="1" w:styleId="2072">
    <w:name w:val="2072"/>
    <w:basedOn w:val="2262"/>
    <w:uiPriority w:val="34"/>
    <w:qFormat/>
    <w:pPr>
      <w:widowControl w:val="0"/>
      <w:ind w:firstLineChars="200" w:firstLine="420"/>
      <w:jc w:val="both"/>
    </w:pPr>
    <w:rPr>
      <w:rFonts w:ascii="Calibri" w:hAnsi="Calibri" w:cs="Times New Roman"/>
      <w:kern w:val="2"/>
      <w:szCs w:val="22"/>
    </w:rPr>
  </w:style>
  <w:style w:type="paragraph" w:customStyle="1" w:styleId="2070">
    <w:name w:val="2070"/>
    <w:uiPriority w:val="99"/>
    <w:qFormat/>
    <w:rPr>
      <w:sz w:val="21"/>
      <w:szCs w:val="24"/>
    </w:rPr>
  </w:style>
  <w:style w:type="paragraph" w:customStyle="1" w:styleId="2069">
    <w:name w:val="2069"/>
    <w:uiPriority w:val="99"/>
    <w:qFormat/>
    <w:pPr>
      <w:widowControl w:val="0"/>
      <w:autoSpaceDE w:val="0"/>
      <w:autoSpaceDN w:val="0"/>
      <w:adjustRightInd w:val="0"/>
    </w:pPr>
    <w:rPr>
      <w:rFonts w:ascii="黑体" w:eastAsia="黑体" w:cs="黑体"/>
      <w:color w:val="000000"/>
      <w:sz w:val="24"/>
      <w:szCs w:val="24"/>
    </w:rPr>
  </w:style>
  <w:style w:type="paragraph" w:customStyle="1" w:styleId="2068">
    <w:name w:val="2068"/>
    <w:basedOn w:val="2262"/>
    <w:uiPriority w:val="99"/>
    <w:qFormat/>
    <w:pPr>
      <w:widowControl w:val="0"/>
      <w:jc w:val="both"/>
    </w:pPr>
    <w:rPr>
      <w:rFonts w:ascii="Calibri" w:hAnsi="Calibri" w:cs="Times New Roman"/>
      <w:kern w:val="2"/>
      <w:sz w:val="18"/>
      <w:szCs w:val="18"/>
    </w:rPr>
  </w:style>
  <w:style w:type="paragraph" w:customStyle="1" w:styleId="2066">
    <w:name w:val="2066"/>
    <w:basedOn w:val="2262"/>
    <w:uiPriority w:val="34"/>
    <w:qFormat/>
    <w:pPr>
      <w:widowControl w:val="0"/>
      <w:ind w:firstLineChars="200" w:firstLine="420"/>
      <w:jc w:val="both"/>
    </w:pPr>
    <w:rPr>
      <w:rFonts w:ascii="Calibri" w:hAnsi="Calibri" w:cs="Times New Roman"/>
      <w:kern w:val="2"/>
      <w:szCs w:val="22"/>
    </w:rPr>
  </w:style>
  <w:style w:type="paragraph" w:customStyle="1" w:styleId="2064">
    <w:name w:val="2064"/>
    <w:basedOn w:val="2262"/>
    <w:next w:val="3243"/>
    <w:uiPriority w:val="39"/>
    <w:qFormat/>
    <w:pPr>
      <w:spacing w:after="100" w:line="276" w:lineRule="auto"/>
      <w:ind w:left="440"/>
    </w:pPr>
    <w:rPr>
      <w:rFonts w:ascii="Calibri" w:hAnsi="Calibri" w:cs="Times New Roman"/>
      <w:sz w:val="22"/>
      <w:szCs w:val="22"/>
    </w:rPr>
  </w:style>
  <w:style w:type="paragraph" w:customStyle="1" w:styleId="2062">
    <w:name w:val="2062"/>
    <w:basedOn w:val="2262"/>
    <w:uiPriority w:val="99"/>
    <w:qFormat/>
    <w:pPr>
      <w:widowControl w:val="0"/>
      <w:tabs>
        <w:tab w:val="center" w:pos="4153"/>
        <w:tab w:val="right" w:pos="8306"/>
      </w:tabs>
      <w:snapToGrid w:val="0"/>
    </w:pPr>
    <w:rPr>
      <w:rFonts w:ascii="Calibri" w:hAnsi="Calibri" w:cs="Times New Roman"/>
      <w:kern w:val="2"/>
      <w:sz w:val="18"/>
      <w:szCs w:val="18"/>
    </w:rPr>
  </w:style>
  <w:style w:type="paragraph" w:customStyle="1" w:styleId="2061">
    <w:name w:val="2061"/>
    <w:basedOn w:val="2262"/>
    <w:uiPriority w:val="99"/>
    <w:qFormat/>
    <w:pPr>
      <w:widowControl w:val="0"/>
      <w:jc w:val="both"/>
    </w:pPr>
    <w:rPr>
      <w:rFonts w:hAnsi="Courier New" w:cs="Times New Roman"/>
      <w:kern w:val="2"/>
      <w:szCs w:val="20"/>
    </w:rPr>
  </w:style>
  <w:style w:type="paragraph" w:customStyle="1" w:styleId="2059">
    <w:name w:val="2059"/>
    <w:basedOn w:val="2262"/>
    <w:uiPriority w:val="99"/>
    <w:qFormat/>
    <w:pPr>
      <w:widowControl w:val="0"/>
      <w:spacing w:after="120"/>
      <w:jc w:val="both"/>
    </w:pPr>
    <w:rPr>
      <w:rFonts w:ascii="Times New Roman" w:hAnsi="Times New Roman" w:cs="Times New Roman"/>
      <w:kern w:val="2"/>
    </w:rPr>
  </w:style>
  <w:style w:type="paragraph" w:customStyle="1" w:styleId="2057">
    <w:name w:val="2057"/>
    <w:basedOn w:val="2262"/>
    <w:next w:val="3243"/>
    <w:uiPriority w:val="99"/>
    <w:qFormat/>
    <w:pPr>
      <w:widowControl w:val="0"/>
      <w:ind w:leftChars="2500" w:left="100"/>
      <w:jc w:val="both"/>
    </w:pPr>
    <w:rPr>
      <w:rFonts w:ascii="Times New Roman" w:hAnsi="Times New Roman" w:cs="Times New Roman"/>
      <w:kern w:val="2"/>
    </w:rPr>
  </w:style>
  <w:style w:type="paragraph" w:customStyle="1" w:styleId="2055">
    <w:name w:val="2055"/>
    <w:basedOn w:val="2262"/>
    <w:next w:val="3243"/>
    <w:uiPriority w:val="99"/>
    <w:qFormat/>
    <w:pPr>
      <w:widowControl w:val="0"/>
      <w:jc w:val="center"/>
    </w:pPr>
    <w:rPr>
      <w:rFonts w:ascii="Times New Roman" w:hAnsi="Times New Roman" w:cs="Times New Roman"/>
      <w:kern w:val="2"/>
    </w:rPr>
  </w:style>
  <w:style w:type="paragraph" w:customStyle="1" w:styleId="2053">
    <w:name w:val="2053"/>
    <w:basedOn w:val="2262"/>
    <w:next w:val="3243"/>
    <w:uiPriority w:val="99"/>
    <w:semiHidden/>
    <w:qFormat/>
    <w:pPr>
      <w:widowControl w:val="0"/>
      <w:spacing w:before="120"/>
      <w:jc w:val="both"/>
    </w:pPr>
    <w:rPr>
      <w:rFonts w:ascii="Arial" w:hAnsi="Arial" w:cs="Times New Roman"/>
      <w:b/>
      <w:kern w:val="2"/>
    </w:rPr>
  </w:style>
  <w:style w:type="paragraph" w:customStyle="1" w:styleId="2052">
    <w:name w:val="2052"/>
    <w:basedOn w:val="2262"/>
    <w:uiPriority w:val="99"/>
    <w:qFormat/>
    <w:pPr>
      <w:keepNext/>
      <w:keepLines/>
      <w:widowControl w:val="0"/>
      <w:spacing w:before="60" w:after="60"/>
      <w:ind w:hangingChars="200" w:hanging="420"/>
      <w:jc w:val="both"/>
      <w:outlineLvl w:val="4"/>
    </w:pPr>
    <w:rPr>
      <w:rFonts w:cs="Times New Roman"/>
      <w:b/>
      <w:kern w:val="2"/>
    </w:rPr>
  </w:style>
  <w:style w:type="paragraph" w:customStyle="1" w:styleId="2051">
    <w:name w:val="2051"/>
    <w:uiPriority w:val="99"/>
    <w:semiHidden/>
    <w:qFormat/>
    <w:rPr>
      <w:kern w:val="2"/>
      <w:sz w:val="21"/>
      <w:szCs w:val="22"/>
    </w:rPr>
  </w:style>
  <w:style w:type="paragraph" w:customStyle="1" w:styleId="2049">
    <w:name w:val="2049"/>
    <w:basedOn w:val="2262"/>
    <w:uiPriority w:val="99"/>
    <w:qFormat/>
    <w:pPr>
      <w:widowControl w:val="0"/>
      <w:spacing w:before="100" w:after="100"/>
      <w:jc w:val="both"/>
    </w:pPr>
    <w:rPr>
      <w:rFonts w:ascii="Calibri" w:hAnsi="Calibri" w:cs="Times New Roman"/>
      <w:kern w:val="2"/>
    </w:rPr>
  </w:style>
  <w:style w:type="paragraph" w:customStyle="1" w:styleId="2048">
    <w:name w:val="2048"/>
    <w:basedOn w:val="2262"/>
    <w:uiPriority w:val="99"/>
    <w:semiHidden/>
    <w:qFormat/>
    <w:pPr>
      <w:widowControl w:val="0"/>
      <w:jc w:val="both"/>
    </w:pPr>
    <w:rPr>
      <w:rFonts w:hAnsi="Calibri" w:cs="Times New Roman"/>
      <w:kern w:val="2"/>
      <w:sz w:val="18"/>
      <w:szCs w:val="18"/>
    </w:rPr>
  </w:style>
  <w:style w:type="paragraph" w:customStyle="1" w:styleId="2045">
    <w:name w:val="2045"/>
    <w:basedOn w:val="2262"/>
    <w:next w:val="3243"/>
    <w:uiPriority w:val="10"/>
    <w:qFormat/>
    <w:pPr>
      <w:widowControl w:val="0"/>
      <w:spacing w:before="240" w:after="60"/>
      <w:jc w:val="center"/>
      <w:outlineLvl w:val="0"/>
    </w:pPr>
    <w:rPr>
      <w:rFonts w:ascii="Cambria" w:hAnsi="Cambria" w:cs="Times New Roman"/>
      <w:b/>
      <w:kern w:val="2"/>
      <w:sz w:val="32"/>
      <w:szCs w:val="32"/>
    </w:rPr>
  </w:style>
  <w:style w:type="paragraph" w:customStyle="1" w:styleId="2043">
    <w:name w:val="2043"/>
    <w:uiPriority w:val="1"/>
    <w:qFormat/>
    <w:pPr>
      <w:widowControl w:val="0"/>
      <w:jc w:val="both"/>
    </w:pPr>
    <w:rPr>
      <w:kern w:val="2"/>
      <w:sz w:val="21"/>
      <w:szCs w:val="22"/>
    </w:rPr>
  </w:style>
  <w:style w:type="paragraph" w:customStyle="1" w:styleId="2042">
    <w:name w:val="2042"/>
    <w:basedOn w:val="2262"/>
    <w:next w:val="3243"/>
    <w:uiPriority w:val="39"/>
    <w:qFormat/>
    <w:pPr>
      <w:widowControl w:val="0"/>
      <w:ind w:leftChars="1600" w:left="3360"/>
      <w:jc w:val="both"/>
    </w:pPr>
    <w:rPr>
      <w:rFonts w:ascii="Calibri" w:hAnsi="Calibri" w:cs="Times New Roman"/>
      <w:kern w:val="2"/>
      <w:szCs w:val="22"/>
    </w:rPr>
  </w:style>
  <w:style w:type="paragraph" w:customStyle="1" w:styleId="2040">
    <w:name w:val="2040"/>
    <w:basedOn w:val="2262"/>
    <w:uiPriority w:val="99"/>
    <w:qFormat/>
    <w:pPr>
      <w:spacing w:before="100" w:beforeAutospacing="1" w:after="100" w:afterAutospacing="1"/>
    </w:pPr>
    <w:rPr>
      <w:sz w:val="24"/>
    </w:rPr>
  </w:style>
  <w:style w:type="paragraph" w:customStyle="1" w:styleId="2039">
    <w:name w:val="2039"/>
    <w:basedOn w:val="2262"/>
    <w:uiPriority w:val="99"/>
    <w:semiHidden/>
    <w:qFormat/>
    <w:pPr>
      <w:snapToGrid w:val="0"/>
    </w:pPr>
  </w:style>
  <w:style w:type="paragraph" w:customStyle="1" w:styleId="2034">
    <w:name w:val="2034"/>
    <w:basedOn w:val="2262"/>
    <w:uiPriority w:val="99"/>
    <w:qFormat/>
    <w:pPr>
      <w:widowControl w:val="0"/>
      <w:ind w:firstLineChars="200" w:firstLine="420"/>
      <w:jc w:val="both"/>
    </w:pPr>
    <w:rPr>
      <w:rFonts w:ascii="Times New Roman" w:hAnsi="Times New Roman" w:cs="Times New Roman"/>
      <w:kern w:val="2"/>
    </w:rPr>
  </w:style>
  <w:style w:type="paragraph" w:customStyle="1" w:styleId="2033">
    <w:name w:val="2033"/>
    <w:basedOn w:val="2262"/>
    <w:uiPriority w:val="99"/>
    <w:qFormat/>
    <w:pPr>
      <w:widowControl w:val="0"/>
      <w:tabs>
        <w:tab w:val="left" w:pos="1200"/>
      </w:tabs>
      <w:jc w:val="both"/>
    </w:pPr>
    <w:rPr>
      <w:rFonts w:ascii="Times New Roman" w:hAnsi="Times New Roman" w:cs="Times New Roman"/>
      <w:kern w:val="2"/>
    </w:rPr>
  </w:style>
  <w:style w:type="paragraph" w:customStyle="1" w:styleId="2032">
    <w:name w:val="2032"/>
    <w:basedOn w:val="2262"/>
    <w:uiPriority w:val="34"/>
    <w:qFormat/>
    <w:pPr>
      <w:widowControl w:val="0"/>
      <w:ind w:firstLineChars="200" w:firstLine="420"/>
      <w:jc w:val="both"/>
    </w:pPr>
    <w:rPr>
      <w:rFonts w:ascii="Calibri" w:hAnsi="Calibri" w:cs="Times New Roman"/>
      <w:kern w:val="2"/>
      <w:szCs w:val="22"/>
    </w:rPr>
  </w:style>
  <w:style w:type="paragraph" w:customStyle="1" w:styleId="2030">
    <w:name w:val="2030"/>
    <w:basedOn w:val="2262"/>
    <w:uiPriority w:val="34"/>
    <w:qFormat/>
    <w:pPr>
      <w:widowControl w:val="0"/>
      <w:ind w:firstLineChars="200" w:firstLine="420"/>
      <w:jc w:val="both"/>
    </w:pPr>
    <w:rPr>
      <w:rFonts w:ascii="Calibri" w:hAnsi="Calibri" w:cs="Times New Roman"/>
      <w:kern w:val="2"/>
      <w:szCs w:val="22"/>
    </w:rPr>
  </w:style>
  <w:style w:type="paragraph" w:customStyle="1" w:styleId="2028">
    <w:name w:val="2028"/>
    <w:basedOn w:val="2262"/>
    <w:uiPriority w:val="34"/>
    <w:qFormat/>
    <w:pPr>
      <w:widowControl w:val="0"/>
      <w:ind w:firstLineChars="200" w:firstLine="420"/>
      <w:jc w:val="both"/>
    </w:pPr>
    <w:rPr>
      <w:rFonts w:ascii="Calibri" w:hAnsi="Calibri" w:cs="Times New Roman"/>
      <w:kern w:val="2"/>
      <w:szCs w:val="22"/>
    </w:rPr>
  </w:style>
  <w:style w:type="paragraph" w:customStyle="1" w:styleId="2026">
    <w:name w:val="2026"/>
    <w:uiPriority w:val="99"/>
    <w:qFormat/>
    <w:rPr>
      <w:sz w:val="21"/>
      <w:szCs w:val="24"/>
    </w:rPr>
  </w:style>
  <w:style w:type="paragraph" w:customStyle="1" w:styleId="2025">
    <w:name w:val="2025"/>
    <w:uiPriority w:val="99"/>
    <w:qFormat/>
    <w:pPr>
      <w:widowControl w:val="0"/>
      <w:autoSpaceDE w:val="0"/>
      <w:autoSpaceDN w:val="0"/>
      <w:adjustRightInd w:val="0"/>
    </w:pPr>
    <w:rPr>
      <w:rFonts w:ascii="黑体" w:eastAsia="黑体" w:cs="黑体"/>
      <w:color w:val="000000"/>
      <w:sz w:val="24"/>
      <w:szCs w:val="24"/>
    </w:rPr>
  </w:style>
  <w:style w:type="paragraph" w:customStyle="1" w:styleId="2024">
    <w:name w:val="2024"/>
    <w:basedOn w:val="2262"/>
    <w:uiPriority w:val="99"/>
    <w:qFormat/>
    <w:pPr>
      <w:widowControl w:val="0"/>
      <w:jc w:val="both"/>
    </w:pPr>
    <w:rPr>
      <w:rFonts w:ascii="Calibri" w:hAnsi="Calibri" w:cs="Times New Roman"/>
      <w:kern w:val="2"/>
      <w:sz w:val="18"/>
      <w:szCs w:val="18"/>
    </w:rPr>
  </w:style>
  <w:style w:type="paragraph" w:customStyle="1" w:styleId="2022">
    <w:name w:val="2022"/>
    <w:basedOn w:val="2262"/>
    <w:uiPriority w:val="34"/>
    <w:qFormat/>
    <w:pPr>
      <w:widowControl w:val="0"/>
      <w:ind w:firstLineChars="200" w:firstLine="420"/>
      <w:jc w:val="both"/>
    </w:pPr>
    <w:rPr>
      <w:rFonts w:ascii="Calibri" w:hAnsi="Calibri" w:cs="Times New Roman"/>
      <w:kern w:val="2"/>
      <w:szCs w:val="22"/>
    </w:rPr>
  </w:style>
  <w:style w:type="paragraph" w:customStyle="1" w:styleId="2020">
    <w:name w:val="2020"/>
    <w:basedOn w:val="2262"/>
    <w:next w:val="3243"/>
    <w:uiPriority w:val="39"/>
    <w:qFormat/>
    <w:pPr>
      <w:spacing w:after="100" w:line="276" w:lineRule="auto"/>
      <w:ind w:left="440"/>
    </w:pPr>
    <w:rPr>
      <w:rFonts w:ascii="Calibri" w:hAnsi="Calibri" w:cs="Times New Roman"/>
      <w:sz w:val="22"/>
      <w:szCs w:val="22"/>
    </w:rPr>
  </w:style>
  <w:style w:type="paragraph" w:customStyle="1" w:styleId="2018">
    <w:name w:val="2018"/>
    <w:basedOn w:val="2262"/>
    <w:uiPriority w:val="99"/>
    <w:qFormat/>
    <w:pPr>
      <w:widowControl w:val="0"/>
      <w:tabs>
        <w:tab w:val="center" w:pos="4153"/>
        <w:tab w:val="right" w:pos="8306"/>
      </w:tabs>
      <w:snapToGrid w:val="0"/>
    </w:pPr>
    <w:rPr>
      <w:rFonts w:ascii="Calibri" w:hAnsi="Calibri" w:cs="Times New Roman"/>
      <w:kern w:val="2"/>
      <w:sz w:val="18"/>
      <w:szCs w:val="18"/>
    </w:rPr>
  </w:style>
  <w:style w:type="paragraph" w:customStyle="1" w:styleId="2017">
    <w:name w:val="2017"/>
    <w:basedOn w:val="2262"/>
    <w:uiPriority w:val="99"/>
    <w:qFormat/>
    <w:pPr>
      <w:widowControl w:val="0"/>
      <w:jc w:val="both"/>
    </w:pPr>
    <w:rPr>
      <w:rFonts w:hAnsi="Courier New" w:cs="Times New Roman"/>
      <w:kern w:val="2"/>
      <w:szCs w:val="20"/>
    </w:rPr>
  </w:style>
  <w:style w:type="paragraph" w:customStyle="1" w:styleId="2015">
    <w:name w:val="2015"/>
    <w:basedOn w:val="2262"/>
    <w:uiPriority w:val="99"/>
    <w:qFormat/>
    <w:pPr>
      <w:widowControl w:val="0"/>
      <w:spacing w:after="120"/>
      <w:jc w:val="both"/>
    </w:pPr>
    <w:rPr>
      <w:rFonts w:ascii="Times New Roman" w:hAnsi="Times New Roman" w:cs="Times New Roman"/>
      <w:kern w:val="2"/>
    </w:rPr>
  </w:style>
  <w:style w:type="paragraph" w:customStyle="1" w:styleId="2013">
    <w:name w:val="2013"/>
    <w:basedOn w:val="2262"/>
    <w:next w:val="3243"/>
    <w:uiPriority w:val="99"/>
    <w:qFormat/>
    <w:pPr>
      <w:widowControl w:val="0"/>
      <w:ind w:leftChars="2500" w:left="100"/>
      <w:jc w:val="both"/>
    </w:pPr>
    <w:rPr>
      <w:rFonts w:ascii="Times New Roman" w:hAnsi="Times New Roman" w:cs="Times New Roman"/>
      <w:kern w:val="2"/>
    </w:rPr>
  </w:style>
  <w:style w:type="paragraph" w:customStyle="1" w:styleId="2011">
    <w:name w:val="2011"/>
    <w:basedOn w:val="2262"/>
    <w:next w:val="3243"/>
    <w:uiPriority w:val="99"/>
    <w:qFormat/>
    <w:pPr>
      <w:widowControl w:val="0"/>
      <w:jc w:val="center"/>
    </w:pPr>
    <w:rPr>
      <w:rFonts w:ascii="Times New Roman" w:hAnsi="Times New Roman" w:cs="Times New Roman"/>
      <w:kern w:val="2"/>
    </w:rPr>
  </w:style>
  <w:style w:type="paragraph" w:customStyle="1" w:styleId="2009">
    <w:name w:val="2009"/>
    <w:basedOn w:val="2262"/>
    <w:next w:val="3243"/>
    <w:uiPriority w:val="99"/>
    <w:semiHidden/>
    <w:qFormat/>
    <w:pPr>
      <w:widowControl w:val="0"/>
      <w:spacing w:before="120"/>
      <w:jc w:val="both"/>
    </w:pPr>
    <w:rPr>
      <w:rFonts w:ascii="Arial" w:hAnsi="Arial" w:cs="Times New Roman"/>
      <w:b/>
      <w:kern w:val="2"/>
    </w:rPr>
  </w:style>
  <w:style w:type="paragraph" w:customStyle="1" w:styleId="2008">
    <w:name w:val="2008"/>
    <w:basedOn w:val="2262"/>
    <w:uiPriority w:val="99"/>
    <w:qFormat/>
    <w:pPr>
      <w:keepNext/>
      <w:keepLines/>
      <w:widowControl w:val="0"/>
      <w:spacing w:before="60" w:after="60"/>
      <w:ind w:hangingChars="200" w:hanging="420"/>
      <w:jc w:val="both"/>
      <w:outlineLvl w:val="4"/>
    </w:pPr>
    <w:rPr>
      <w:rFonts w:cs="Times New Roman"/>
      <w:b/>
      <w:kern w:val="2"/>
    </w:rPr>
  </w:style>
  <w:style w:type="paragraph" w:customStyle="1" w:styleId="2007">
    <w:name w:val="2007"/>
    <w:uiPriority w:val="99"/>
    <w:semiHidden/>
    <w:qFormat/>
    <w:rPr>
      <w:kern w:val="2"/>
      <w:sz w:val="21"/>
      <w:szCs w:val="22"/>
    </w:rPr>
  </w:style>
  <w:style w:type="paragraph" w:customStyle="1" w:styleId="2005">
    <w:name w:val="2005"/>
    <w:basedOn w:val="2262"/>
    <w:uiPriority w:val="99"/>
    <w:qFormat/>
    <w:pPr>
      <w:widowControl w:val="0"/>
      <w:spacing w:before="100" w:after="100"/>
      <w:jc w:val="both"/>
    </w:pPr>
    <w:rPr>
      <w:rFonts w:ascii="Calibri" w:hAnsi="Calibri" w:cs="Times New Roman"/>
      <w:kern w:val="2"/>
    </w:rPr>
  </w:style>
  <w:style w:type="paragraph" w:customStyle="1" w:styleId="2004">
    <w:name w:val="2004"/>
    <w:basedOn w:val="2262"/>
    <w:uiPriority w:val="99"/>
    <w:semiHidden/>
    <w:qFormat/>
    <w:pPr>
      <w:widowControl w:val="0"/>
      <w:jc w:val="both"/>
    </w:pPr>
    <w:rPr>
      <w:rFonts w:hAnsi="Calibri" w:cs="Times New Roman"/>
      <w:kern w:val="2"/>
      <w:sz w:val="18"/>
      <w:szCs w:val="18"/>
    </w:rPr>
  </w:style>
  <w:style w:type="paragraph" w:customStyle="1" w:styleId="2001">
    <w:name w:val="2001"/>
    <w:basedOn w:val="2262"/>
    <w:next w:val="3243"/>
    <w:uiPriority w:val="10"/>
    <w:qFormat/>
    <w:pPr>
      <w:widowControl w:val="0"/>
      <w:spacing w:before="240" w:after="60"/>
      <w:jc w:val="center"/>
      <w:outlineLvl w:val="0"/>
    </w:pPr>
    <w:rPr>
      <w:rFonts w:ascii="Cambria" w:hAnsi="Cambria" w:cs="Times New Roman"/>
      <w:b/>
      <w:kern w:val="2"/>
      <w:sz w:val="32"/>
      <w:szCs w:val="32"/>
    </w:rPr>
  </w:style>
  <w:style w:type="paragraph" w:customStyle="1" w:styleId="1999">
    <w:name w:val="1999"/>
    <w:uiPriority w:val="1"/>
    <w:qFormat/>
    <w:pPr>
      <w:widowControl w:val="0"/>
      <w:jc w:val="both"/>
    </w:pPr>
    <w:rPr>
      <w:kern w:val="2"/>
      <w:sz w:val="21"/>
      <w:szCs w:val="22"/>
    </w:rPr>
  </w:style>
  <w:style w:type="paragraph" w:customStyle="1" w:styleId="1998">
    <w:name w:val="1998"/>
    <w:basedOn w:val="2262"/>
    <w:next w:val="3243"/>
    <w:uiPriority w:val="39"/>
    <w:qFormat/>
    <w:pPr>
      <w:widowControl w:val="0"/>
      <w:ind w:leftChars="1600" w:left="3360"/>
      <w:jc w:val="both"/>
    </w:pPr>
    <w:rPr>
      <w:rFonts w:ascii="Calibri" w:hAnsi="Calibri" w:cs="Times New Roman"/>
      <w:kern w:val="2"/>
      <w:szCs w:val="22"/>
    </w:rPr>
  </w:style>
  <w:style w:type="paragraph" w:customStyle="1" w:styleId="1996">
    <w:name w:val="1996"/>
    <w:basedOn w:val="2262"/>
    <w:uiPriority w:val="99"/>
    <w:qFormat/>
    <w:pPr>
      <w:spacing w:before="100" w:beforeAutospacing="1" w:after="100" w:afterAutospacing="1"/>
    </w:pPr>
    <w:rPr>
      <w:sz w:val="24"/>
    </w:rPr>
  </w:style>
  <w:style w:type="paragraph" w:customStyle="1" w:styleId="1995">
    <w:name w:val="1995"/>
    <w:basedOn w:val="2262"/>
    <w:uiPriority w:val="99"/>
    <w:semiHidden/>
    <w:qFormat/>
    <w:pPr>
      <w:snapToGrid w:val="0"/>
    </w:pPr>
  </w:style>
  <w:style w:type="paragraph" w:customStyle="1" w:styleId="1990">
    <w:name w:val="1990"/>
    <w:basedOn w:val="2262"/>
    <w:uiPriority w:val="99"/>
    <w:qFormat/>
    <w:pPr>
      <w:widowControl w:val="0"/>
      <w:ind w:firstLineChars="200" w:firstLine="420"/>
      <w:jc w:val="both"/>
    </w:pPr>
    <w:rPr>
      <w:rFonts w:ascii="Times New Roman" w:hAnsi="Times New Roman" w:cs="Times New Roman"/>
      <w:kern w:val="2"/>
    </w:rPr>
  </w:style>
  <w:style w:type="paragraph" w:customStyle="1" w:styleId="1989">
    <w:name w:val="1989"/>
    <w:basedOn w:val="2262"/>
    <w:uiPriority w:val="99"/>
    <w:qFormat/>
    <w:pPr>
      <w:widowControl w:val="0"/>
      <w:tabs>
        <w:tab w:val="left" w:pos="1200"/>
      </w:tabs>
      <w:jc w:val="both"/>
    </w:pPr>
    <w:rPr>
      <w:rFonts w:ascii="Times New Roman" w:hAnsi="Times New Roman" w:cs="Times New Roman"/>
      <w:kern w:val="2"/>
    </w:rPr>
  </w:style>
  <w:style w:type="paragraph" w:customStyle="1" w:styleId="1988">
    <w:name w:val="1988"/>
    <w:basedOn w:val="2262"/>
    <w:uiPriority w:val="34"/>
    <w:qFormat/>
    <w:pPr>
      <w:widowControl w:val="0"/>
      <w:ind w:firstLineChars="200" w:firstLine="420"/>
      <w:jc w:val="both"/>
    </w:pPr>
    <w:rPr>
      <w:rFonts w:ascii="Calibri" w:hAnsi="Calibri" w:cs="Times New Roman"/>
      <w:kern w:val="2"/>
      <w:szCs w:val="22"/>
    </w:rPr>
  </w:style>
  <w:style w:type="paragraph" w:customStyle="1" w:styleId="1986">
    <w:name w:val="1986"/>
    <w:basedOn w:val="2262"/>
    <w:uiPriority w:val="34"/>
    <w:qFormat/>
    <w:pPr>
      <w:widowControl w:val="0"/>
      <w:ind w:firstLineChars="200" w:firstLine="420"/>
      <w:jc w:val="both"/>
    </w:pPr>
    <w:rPr>
      <w:rFonts w:ascii="Calibri" w:hAnsi="Calibri" w:cs="Times New Roman"/>
      <w:kern w:val="2"/>
      <w:szCs w:val="22"/>
    </w:rPr>
  </w:style>
  <w:style w:type="paragraph" w:customStyle="1" w:styleId="1984">
    <w:name w:val="1984"/>
    <w:basedOn w:val="2262"/>
    <w:uiPriority w:val="34"/>
    <w:qFormat/>
    <w:pPr>
      <w:widowControl w:val="0"/>
      <w:ind w:firstLineChars="200" w:firstLine="420"/>
      <w:jc w:val="both"/>
    </w:pPr>
    <w:rPr>
      <w:rFonts w:ascii="Calibri" w:hAnsi="Calibri" w:cs="Times New Roman"/>
      <w:kern w:val="2"/>
      <w:szCs w:val="22"/>
    </w:rPr>
  </w:style>
  <w:style w:type="paragraph" w:customStyle="1" w:styleId="1982">
    <w:name w:val="1982"/>
    <w:uiPriority w:val="99"/>
    <w:qFormat/>
    <w:rPr>
      <w:sz w:val="21"/>
      <w:szCs w:val="24"/>
    </w:rPr>
  </w:style>
  <w:style w:type="paragraph" w:customStyle="1" w:styleId="1981">
    <w:name w:val="1981"/>
    <w:uiPriority w:val="99"/>
    <w:qFormat/>
    <w:pPr>
      <w:widowControl w:val="0"/>
      <w:autoSpaceDE w:val="0"/>
      <w:autoSpaceDN w:val="0"/>
      <w:adjustRightInd w:val="0"/>
    </w:pPr>
    <w:rPr>
      <w:rFonts w:ascii="黑体" w:eastAsia="黑体" w:cs="黑体"/>
      <w:color w:val="000000"/>
      <w:sz w:val="24"/>
      <w:szCs w:val="24"/>
    </w:rPr>
  </w:style>
  <w:style w:type="paragraph" w:customStyle="1" w:styleId="1980">
    <w:name w:val="1980"/>
    <w:basedOn w:val="2223"/>
    <w:next w:val="3243"/>
    <w:uiPriority w:val="99"/>
    <w:qFormat/>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1979">
    <w:name w:val="1979"/>
    <w:basedOn w:val="2223"/>
    <w:next w:val="3243"/>
    <w:uiPriority w:val="99"/>
    <w:semiHidden/>
    <w:qFormat/>
    <w:pPr>
      <w:keepNext/>
      <w:keepLines/>
      <w:widowControl w:val="0"/>
      <w:spacing w:before="60" w:after="60"/>
      <w:ind w:left="200" w:hangingChars="200" w:hanging="200"/>
      <w:jc w:val="both"/>
      <w:outlineLvl w:val="1"/>
    </w:pPr>
    <w:rPr>
      <w:rFonts w:ascii="Arial" w:hAnsi="Arial" w:cs="Times New Roman"/>
      <w:b/>
      <w:bCs/>
      <w:kern w:val="2"/>
    </w:rPr>
  </w:style>
  <w:style w:type="paragraph" w:customStyle="1" w:styleId="1978">
    <w:name w:val="1978"/>
    <w:basedOn w:val="2223"/>
    <w:next w:val="3243"/>
    <w:uiPriority w:val="99"/>
    <w:semiHidden/>
    <w:qFormat/>
    <w:pPr>
      <w:keepNext/>
      <w:keepLines/>
      <w:widowControl w:val="0"/>
      <w:spacing w:before="60" w:after="60"/>
      <w:jc w:val="both"/>
      <w:outlineLvl w:val="2"/>
    </w:pPr>
    <w:rPr>
      <w:rFonts w:ascii="Calibri" w:hAnsi="Calibri" w:cs="Times New Roman"/>
      <w:b/>
      <w:bCs/>
      <w:kern w:val="2"/>
      <w:szCs w:val="32"/>
    </w:rPr>
  </w:style>
  <w:style w:type="paragraph" w:customStyle="1" w:styleId="1977">
    <w:name w:val="1977"/>
    <w:basedOn w:val="2223"/>
    <w:next w:val="3243"/>
    <w:uiPriority w:val="99"/>
    <w:semiHidden/>
    <w:qFormat/>
    <w:pPr>
      <w:keepNext/>
      <w:keepLines/>
      <w:widowControl w:val="0"/>
      <w:spacing w:before="60" w:after="60"/>
      <w:jc w:val="both"/>
      <w:outlineLvl w:val="3"/>
    </w:pPr>
    <w:rPr>
      <w:rFonts w:ascii="Cambria" w:hAnsi="Cambria" w:cs="Times New Roman"/>
      <w:b/>
      <w:bCs/>
      <w:kern w:val="2"/>
      <w:szCs w:val="28"/>
    </w:rPr>
  </w:style>
  <w:style w:type="paragraph" w:customStyle="1" w:styleId="1976">
    <w:name w:val="1976"/>
    <w:basedOn w:val="2223"/>
    <w:next w:val="3243"/>
    <w:uiPriority w:val="99"/>
    <w:semiHidden/>
    <w:qFormat/>
    <w:pPr>
      <w:keepNext/>
      <w:keepLines/>
      <w:widowControl w:val="0"/>
      <w:spacing w:before="60" w:after="60"/>
      <w:jc w:val="both"/>
      <w:outlineLvl w:val="4"/>
    </w:pPr>
    <w:rPr>
      <w:rFonts w:ascii="Calibri" w:hAnsi="Calibri" w:cs="Times New Roman"/>
      <w:b/>
      <w:bCs/>
      <w:kern w:val="2"/>
      <w:szCs w:val="28"/>
    </w:rPr>
  </w:style>
  <w:style w:type="paragraph" w:customStyle="1" w:styleId="1975">
    <w:name w:val="1975"/>
    <w:basedOn w:val="2223"/>
    <w:next w:val="3243"/>
    <w:uiPriority w:val="99"/>
    <w:semiHidden/>
    <w:qFormat/>
    <w:pPr>
      <w:keepNext/>
      <w:keepLines/>
      <w:spacing w:before="60" w:after="60"/>
      <w:outlineLvl w:val="5"/>
    </w:pPr>
    <w:rPr>
      <w:rFonts w:ascii="Cambria" w:hAnsi="Cambria" w:cs="Times New Roman"/>
      <w:b/>
      <w:bCs/>
    </w:rPr>
  </w:style>
  <w:style w:type="paragraph" w:customStyle="1" w:styleId="1974">
    <w:name w:val="1974"/>
    <w:basedOn w:val="2223"/>
    <w:next w:val="3243"/>
    <w:uiPriority w:val="99"/>
    <w:semiHidden/>
    <w:qFormat/>
    <w:pPr>
      <w:keepNext/>
      <w:keepLines/>
      <w:spacing w:before="240" w:after="64" w:line="319" w:lineRule="auto"/>
      <w:outlineLvl w:val="6"/>
    </w:pPr>
    <w:rPr>
      <w:b/>
      <w:bCs/>
      <w:sz w:val="24"/>
    </w:rPr>
  </w:style>
  <w:style w:type="paragraph" w:customStyle="1" w:styleId="1973">
    <w:name w:val="1973"/>
    <w:basedOn w:val="2223"/>
    <w:next w:val="3243"/>
    <w:uiPriority w:val="99"/>
    <w:semiHidden/>
    <w:qFormat/>
    <w:pPr>
      <w:keepNext/>
      <w:keepLines/>
      <w:widowControl w:val="0"/>
      <w:adjustRightInd w:val="0"/>
      <w:spacing w:before="240" w:after="64" w:line="320" w:lineRule="atLeast"/>
      <w:outlineLvl w:val="7"/>
    </w:pPr>
    <w:rPr>
      <w:rFonts w:ascii="Arial" w:eastAsia="黑体" w:hAnsi="Arial" w:cs="Times New Roman"/>
      <w:bCs/>
      <w:color w:val="000000"/>
      <w:sz w:val="24"/>
      <w:szCs w:val="20"/>
    </w:rPr>
  </w:style>
  <w:style w:type="paragraph" w:customStyle="1" w:styleId="1972">
    <w:name w:val="1972"/>
    <w:basedOn w:val="2223"/>
    <w:next w:val="3243"/>
    <w:uiPriority w:val="99"/>
    <w:semiHidden/>
    <w:qFormat/>
    <w:pPr>
      <w:keepNext/>
      <w:keepLines/>
      <w:widowControl w:val="0"/>
      <w:adjustRightInd w:val="0"/>
      <w:spacing w:before="240" w:after="64" w:line="320" w:lineRule="atLeast"/>
      <w:outlineLvl w:val="8"/>
    </w:pPr>
    <w:rPr>
      <w:rFonts w:ascii="Arial" w:eastAsia="黑体" w:hAnsi="Arial" w:cs="Times New Roman"/>
      <w:bCs/>
      <w:color w:val="000000"/>
      <w:sz w:val="24"/>
      <w:szCs w:val="20"/>
    </w:rPr>
  </w:style>
  <w:style w:type="paragraph" w:customStyle="1" w:styleId="1971">
    <w:name w:val="1971"/>
    <w:basedOn w:val="2223"/>
    <w:next w:val="3243"/>
    <w:uiPriority w:val="99"/>
    <w:qFormat/>
    <w:pPr>
      <w:widowControl w:val="0"/>
      <w:ind w:leftChars="1200" w:left="2520"/>
      <w:jc w:val="both"/>
    </w:pPr>
    <w:rPr>
      <w:rFonts w:ascii="Calibri" w:hAnsi="Calibri" w:cs="Times New Roman"/>
      <w:kern w:val="2"/>
      <w:szCs w:val="22"/>
    </w:rPr>
  </w:style>
  <w:style w:type="paragraph" w:customStyle="1" w:styleId="1970">
    <w:name w:val="1970"/>
    <w:basedOn w:val="2223"/>
    <w:uiPriority w:val="99"/>
    <w:qFormat/>
    <w:pPr>
      <w:widowControl w:val="0"/>
      <w:ind w:firstLineChars="200" w:firstLine="420"/>
      <w:jc w:val="both"/>
    </w:pPr>
    <w:rPr>
      <w:rFonts w:ascii="Times New Roman" w:hAnsi="Times New Roman" w:cs="Times New Roman"/>
      <w:kern w:val="2"/>
    </w:rPr>
  </w:style>
  <w:style w:type="paragraph" w:customStyle="1" w:styleId="1969">
    <w:name w:val="1969"/>
    <w:basedOn w:val="2223"/>
    <w:uiPriority w:val="99"/>
    <w:qFormat/>
    <w:pPr>
      <w:widowControl w:val="0"/>
      <w:jc w:val="both"/>
    </w:pPr>
    <w:rPr>
      <w:rFonts w:hAnsi="Calibri" w:cs="Times New Roman"/>
      <w:kern w:val="2"/>
      <w:sz w:val="18"/>
      <w:szCs w:val="18"/>
    </w:rPr>
  </w:style>
  <w:style w:type="paragraph" w:customStyle="1" w:styleId="1968">
    <w:name w:val="1968"/>
    <w:basedOn w:val="2223"/>
    <w:next w:val="3243"/>
    <w:uiPriority w:val="99"/>
    <w:qFormat/>
    <w:pPr>
      <w:widowControl w:val="0"/>
      <w:spacing w:before="120"/>
      <w:jc w:val="both"/>
    </w:pPr>
    <w:rPr>
      <w:rFonts w:ascii="Arial" w:hAnsi="Arial" w:cs="Times New Roman"/>
      <w:b/>
      <w:bCs/>
      <w:kern w:val="2"/>
    </w:rPr>
  </w:style>
  <w:style w:type="paragraph" w:customStyle="1" w:styleId="1967">
    <w:name w:val="1967"/>
    <w:basedOn w:val="2223"/>
    <w:uiPriority w:val="99"/>
    <w:qFormat/>
    <w:pPr>
      <w:widowControl w:val="0"/>
    </w:pPr>
    <w:rPr>
      <w:rFonts w:ascii="Times New Roman" w:hAnsi="Times New Roman" w:cs="Times New Roman"/>
      <w:kern w:val="2"/>
    </w:rPr>
  </w:style>
  <w:style w:type="paragraph" w:customStyle="1" w:styleId="1966">
    <w:name w:val="1966"/>
    <w:basedOn w:val="2223"/>
    <w:next w:val="3243"/>
    <w:uiPriority w:val="99"/>
    <w:qFormat/>
    <w:pPr>
      <w:widowControl w:val="0"/>
      <w:jc w:val="both"/>
    </w:pPr>
    <w:rPr>
      <w:rFonts w:ascii="Times New Roman" w:hAnsi="Times New Roman" w:cs="Times New Roman"/>
      <w:kern w:val="2"/>
    </w:rPr>
  </w:style>
  <w:style w:type="paragraph" w:customStyle="1" w:styleId="1965">
    <w:name w:val="1965"/>
    <w:basedOn w:val="2223"/>
    <w:uiPriority w:val="99"/>
    <w:qFormat/>
    <w:pPr>
      <w:widowControl w:val="0"/>
      <w:tabs>
        <w:tab w:val="left" w:pos="1200"/>
      </w:tabs>
      <w:jc w:val="both"/>
    </w:pPr>
    <w:rPr>
      <w:rFonts w:ascii="Times New Roman" w:hAnsi="Times New Roman" w:cs="Times New Roman"/>
      <w:kern w:val="2"/>
    </w:rPr>
  </w:style>
  <w:style w:type="paragraph" w:customStyle="1" w:styleId="1964">
    <w:name w:val="1964"/>
    <w:basedOn w:val="2223"/>
    <w:uiPriority w:val="99"/>
    <w:qFormat/>
    <w:pPr>
      <w:widowControl w:val="0"/>
      <w:spacing w:after="120"/>
      <w:jc w:val="both"/>
    </w:pPr>
    <w:rPr>
      <w:rFonts w:ascii="Times New Roman" w:hAnsi="Times New Roman" w:cs="Times New Roman"/>
      <w:kern w:val="2"/>
    </w:rPr>
  </w:style>
  <w:style w:type="paragraph" w:customStyle="1" w:styleId="1963">
    <w:name w:val="1963"/>
    <w:basedOn w:val="2223"/>
    <w:next w:val="3243"/>
    <w:uiPriority w:val="99"/>
    <w:qFormat/>
    <w:pPr>
      <w:widowControl w:val="0"/>
      <w:ind w:leftChars="800" w:left="1680"/>
      <w:jc w:val="both"/>
    </w:pPr>
    <w:rPr>
      <w:rFonts w:ascii="Calibri" w:hAnsi="Calibri" w:cs="Times New Roman"/>
      <w:kern w:val="2"/>
      <w:szCs w:val="22"/>
    </w:rPr>
  </w:style>
  <w:style w:type="paragraph" w:customStyle="1" w:styleId="1962">
    <w:name w:val="1962"/>
    <w:basedOn w:val="2223"/>
    <w:next w:val="3243"/>
    <w:uiPriority w:val="99"/>
    <w:qFormat/>
    <w:pPr>
      <w:spacing w:after="100" w:line="276" w:lineRule="auto"/>
      <w:ind w:left="440"/>
    </w:pPr>
    <w:rPr>
      <w:rFonts w:ascii="Calibri" w:hAnsi="Calibri" w:cs="Times New Roman"/>
      <w:sz w:val="22"/>
      <w:szCs w:val="22"/>
    </w:rPr>
  </w:style>
  <w:style w:type="paragraph" w:customStyle="1" w:styleId="1961">
    <w:name w:val="1961"/>
    <w:basedOn w:val="2223"/>
    <w:uiPriority w:val="99"/>
    <w:qFormat/>
    <w:pPr>
      <w:widowControl w:val="0"/>
      <w:jc w:val="both"/>
    </w:pPr>
    <w:rPr>
      <w:rFonts w:hAnsi="Courier New" w:cs="Times New Roman"/>
      <w:kern w:val="2"/>
      <w:szCs w:val="20"/>
    </w:rPr>
  </w:style>
  <w:style w:type="paragraph" w:customStyle="1" w:styleId="1960">
    <w:name w:val="1960"/>
    <w:basedOn w:val="2223"/>
    <w:next w:val="3243"/>
    <w:uiPriority w:val="99"/>
    <w:qFormat/>
    <w:pPr>
      <w:widowControl w:val="0"/>
      <w:ind w:leftChars="1400" w:left="2940"/>
      <w:jc w:val="both"/>
    </w:pPr>
    <w:rPr>
      <w:rFonts w:ascii="Calibri" w:hAnsi="Calibri" w:cs="Times New Roman"/>
      <w:kern w:val="2"/>
      <w:szCs w:val="22"/>
    </w:rPr>
  </w:style>
  <w:style w:type="paragraph" w:customStyle="1" w:styleId="1959">
    <w:name w:val="1959"/>
    <w:basedOn w:val="2223"/>
    <w:next w:val="3243"/>
    <w:uiPriority w:val="99"/>
    <w:qFormat/>
    <w:pPr>
      <w:widowControl w:val="0"/>
      <w:ind w:leftChars="2500" w:left="100"/>
      <w:jc w:val="both"/>
    </w:pPr>
    <w:rPr>
      <w:rFonts w:ascii="Times New Roman" w:hAnsi="Times New Roman" w:cs="Times New Roman"/>
      <w:kern w:val="2"/>
    </w:rPr>
  </w:style>
  <w:style w:type="paragraph" w:customStyle="1" w:styleId="1958">
    <w:name w:val="1958"/>
    <w:basedOn w:val="2223"/>
    <w:uiPriority w:val="99"/>
    <w:qFormat/>
    <w:pPr>
      <w:snapToGrid w:val="0"/>
    </w:pPr>
  </w:style>
  <w:style w:type="paragraph" w:customStyle="1" w:styleId="1957">
    <w:name w:val="1957"/>
    <w:basedOn w:val="2223"/>
    <w:uiPriority w:val="99"/>
    <w:qFormat/>
    <w:pPr>
      <w:widowControl w:val="0"/>
      <w:jc w:val="both"/>
    </w:pPr>
    <w:rPr>
      <w:rFonts w:ascii="Calibri" w:hAnsi="Calibri" w:cs="Times New Roman"/>
      <w:kern w:val="2"/>
      <w:sz w:val="18"/>
      <w:szCs w:val="18"/>
    </w:rPr>
  </w:style>
  <w:style w:type="paragraph" w:customStyle="1" w:styleId="1956">
    <w:name w:val="1956"/>
    <w:basedOn w:val="2223"/>
    <w:uiPriority w:val="99"/>
    <w:qFormat/>
    <w:pPr>
      <w:widowControl w:val="0"/>
      <w:tabs>
        <w:tab w:val="center" w:pos="4153"/>
        <w:tab w:val="right" w:pos="8306"/>
      </w:tabs>
      <w:snapToGrid w:val="0"/>
    </w:pPr>
    <w:rPr>
      <w:rFonts w:ascii="Calibri" w:hAnsi="Calibri" w:cs="Times New Roman"/>
      <w:kern w:val="2"/>
      <w:sz w:val="18"/>
      <w:szCs w:val="18"/>
    </w:rPr>
  </w:style>
  <w:style w:type="paragraph" w:customStyle="1" w:styleId="1955">
    <w:name w:val="1955"/>
    <w:basedOn w:val="2223"/>
    <w:uiPriority w:val="99"/>
    <w:qFormat/>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1954">
    <w:name w:val="1954"/>
    <w:basedOn w:val="2223"/>
    <w:next w:val="3243"/>
    <w:uiPriority w:val="99"/>
    <w:qFormat/>
    <w:pPr>
      <w:widowControl w:val="0"/>
      <w:tabs>
        <w:tab w:val="left" w:pos="1260"/>
        <w:tab w:val="right" w:leader="dot" w:pos="8823"/>
      </w:tabs>
      <w:jc w:val="center"/>
    </w:pPr>
    <w:rPr>
      <w:rFonts w:ascii="Times New Roman" w:hAnsi="Times New Roman" w:cs="Times New Roman"/>
      <w:kern w:val="2"/>
    </w:rPr>
  </w:style>
  <w:style w:type="paragraph" w:customStyle="1" w:styleId="1953">
    <w:name w:val="1953"/>
    <w:basedOn w:val="2223"/>
    <w:next w:val="3243"/>
    <w:uiPriority w:val="99"/>
    <w:qFormat/>
    <w:pPr>
      <w:widowControl w:val="0"/>
      <w:ind w:leftChars="600" w:left="1260"/>
      <w:jc w:val="both"/>
    </w:pPr>
    <w:rPr>
      <w:rFonts w:ascii="Calibri" w:hAnsi="Calibri" w:cs="Times New Roman"/>
      <w:kern w:val="2"/>
      <w:szCs w:val="22"/>
    </w:rPr>
  </w:style>
  <w:style w:type="paragraph" w:customStyle="1" w:styleId="1952">
    <w:name w:val="1952"/>
    <w:basedOn w:val="2223"/>
    <w:next w:val="3243"/>
    <w:uiPriority w:val="99"/>
    <w:qFormat/>
    <w:pPr>
      <w:widowControl w:val="0"/>
      <w:ind w:leftChars="1000" w:left="2100"/>
      <w:jc w:val="both"/>
    </w:pPr>
    <w:rPr>
      <w:rFonts w:ascii="Calibri" w:hAnsi="Calibri" w:cs="Times New Roman"/>
      <w:kern w:val="2"/>
      <w:szCs w:val="22"/>
    </w:rPr>
  </w:style>
  <w:style w:type="paragraph" w:customStyle="1" w:styleId="1951">
    <w:name w:val="1951"/>
    <w:basedOn w:val="2223"/>
    <w:next w:val="3243"/>
    <w:uiPriority w:val="99"/>
    <w:qFormat/>
    <w:pPr>
      <w:widowControl w:val="0"/>
      <w:ind w:leftChars="200" w:left="420"/>
      <w:jc w:val="both"/>
    </w:pPr>
    <w:rPr>
      <w:rFonts w:ascii="Times New Roman" w:hAnsi="Times New Roman" w:cs="Times New Roman"/>
      <w:kern w:val="2"/>
    </w:rPr>
  </w:style>
  <w:style w:type="paragraph" w:customStyle="1" w:styleId="1950">
    <w:name w:val="1950"/>
    <w:basedOn w:val="2223"/>
    <w:next w:val="3243"/>
    <w:uiPriority w:val="99"/>
    <w:qFormat/>
    <w:pPr>
      <w:widowControl w:val="0"/>
      <w:ind w:leftChars="1600" w:left="3360"/>
      <w:jc w:val="both"/>
    </w:pPr>
    <w:rPr>
      <w:rFonts w:ascii="Calibri" w:hAnsi="Calibri" w:cs="Times New Roman"/>
      <w:kern w:val="2"/>
      <w:szCs w:val="22"/>
    </w:rPr>
  </w:style>
  <w:style w:type="paragraph" w:customStyle="1" w:styleId="1949">
    <w:name w:val="1949"/>
    <w:basedOn w:val="2223"/>
    <w:uiPriority w:val="99"/>
    <w:qFormat/>
    <w:pPr>
      <w:spacing w:before="100" w:beforeAutospacing="1" w:after="100" w:afterAutospacing="1"/>
    </w:pPr>
    <w:rPr>
      <w:sz w:val="24"/>
    </w:rPr>
  </w:style>
  <w:style w:type="paragraph" w:customStyle="1" w:styleId="1948">
    <w:name w:val="1948"/>
    <w:basedOn w:val="2223"/>
    <w:next w:val="3243"/>
    <w:uiPriority w:val="99"/>
    <w:qFormat/>
    <w:pPr>
      <w:ind w:firstLineChars="200" w:firstLine="420"/>
    </w:pPr>
    <w:rPr>
      <w:rFonts w:cs="Times New Roman"/>
      <w:color w:val="000000"/>
    </w:rPr>
  </w:style>
  <w:style w:type="paragraph" w:customStyle="1" w:styleId="1947">
    <w:name w:val="1947"/>
    <w:basedOn w:val="2223"/>
    <w:next w:val="3243"/>
    <w:uiPriority w:val="99"/>
    <w:qFormat/>
    <w:pPr>
      <w:widowControl w:val="0"/>
      <w:spacing w:before="240" w:after="60"/>
      <w:jc w:val="center"/>
      <w:outlineLvl w:val="0"/>
    </w:pPr>
    <w:rPr>
      <w:rFonts w:ascii="Cambria" w:hAnsi="Cambria" w:cs="Times New Roman"/>
      <w:b/>
      <w:bCs/>
      <w:kern w:val="2"/>
      <w:sz w:val="32"/>
      <w:szCs w:val="32"/>
    </w:rPr>
  </w:style>
  <w:style w:type="paragraph" w:customStyle="1" w:styleId="1946">
    <w:name w:val="1946"/>
    <w:basedOn w:val="1967"/>
    <w:uiPriority w:val="99"/>
    <w:qFormat/>
    <w:rPr>
      <w:rFonts w:ascii="Calibri" w:hAnsi="Calibri"/>
      <w:b/>
      <w:bCs/>
      <w:szCs w:val="22"/>
    </w:rPr>
  </w:style>
  <w:style w:type="paragraph" w:customStyle="1" w:styleId="1936">
    <w:name w:val="1936"/>
    <w:basedOn w:val="1980"/>
    <w:next w:val="3243"/>
    <w:uiPriority w:val="39"/>
    <w:qFormat/>
    <w:pPr>
      <w:widowControl/>
      <w:spacing w:before="480" w:after="0" w:line="276" w:lineRule="auto"/>
      <w:outlineLvl w:val="9"/>
    </w:pPr>
    <w:rPr>
      <w:rFonts w:ascii="Cambria" w:eastAsia="宋体" w:hAnsi="Cambria"/>
      <w:color w:val="365F91"/>
      <w:kern w:val="0"/>
      <w:szCs w:val="28"/>
    </w:rPr>
  </w:style>
  <w:style w:type="paragraph" w:customStyle="1" w:styleId="1932">
    <w:name w:val="1932"/>
    <w:basedOn w:val="2223"/>
    <w:uiPriority w:val="34"/>
    <w:qFormat/>
    <w:pPr>
      <w:widowControl w:val="0"/>
      <w:ind w:firstLineChars="200" w:firstLine="420"/>
      <w:jc w:val="both"/>
    </w:pPr>
    <w:rPr>
      <w:rFonts w:ascii="Calibri" w:hAnsi="Calibri" w:cs="Times New Roman"/>
      <w:kern w:val="2"/>
      <w:szCs w:val="22"/>
    </w:rPr>
  </w:style>
  <w:style w:type="paragraph" w:customStyle="1" w:styleId="1924">
    <w:name w:val="1924"/>
    <w:uiPriority w:val="99"/>
    <w:semiHidden/>
    <w:qFormat/>
    <w:rPr>
      <w:kern w:val="2"/>
      <w:sz w:val="21"/>
      <w:szCs w:val="22"/>
    </w:rPr>
  </w:style>
  <w:style w:type="paragraph" w:customStyle="1" w:styleId="1922">
    <w:name w:val="1922"/>
    <w:basedOn w:val="2223"/>
    <w:uiPriority w:val="99"/>
    <w:qFormat/>
    <w:pPr>
      <w:widowControl w:val="0"/>
      <w:spacing w:before="100" w:after="100"/>
      <w:jc w:val="both"/>
    </w:pPr>
    <w:rPr>
      <w:rFonts w:ascii="Calibri" w:hAnsi="Calibri" w:cs="Times New Roman"/>
      <w:kern w:val="2"/>
    </w:rPr>
  </w:style>
  <w:style w:type="paragraph" w:customStyle="1" w:styleId="1915">
    <w:name w:val="1915"/>
    <w:uiPriority w:val="99"/>
    <w:qFormat/>
    <w:rPr>
      <w:rFonts w:ascii="Calibri" w:hAnsi="Calibri"/>
      <w:b/>
      <w:sz w:val="21"/>
      <w:szCs w:val="22"/>
    </w:rPr>
  </w:style>
  <w:style w:type="paragraph" w:customStyle="1" w:styleId="1914">
    <w:name w:val="1914"/>
    <w:basedOn w:val="2223"/>
    <w:uiPriority w:val="99"/>
    <w:qFormat/>
    <w:pPr>
      <w:widowControl w:val="0"/>
    </w:pPr>
    <w:rPr>
      <w:rFonts w:ascii="Times New Roman" w:hAnsi="Times New Roman" w:cs="Times New Roman"/>
      <w:kern w:val="2"/>
    </w:rPr>
  </w:style>
  <w:style w:type="paragraph" w:customStyle="1" w:styleId="1913">
    <w:name w:val="1913"/>
    <w:basedOn w:val="2223"/>
    <w:next w:val="3243"/>
    <w:uiPriority w:val="99"/>
    <w:qFormat/>
    <w:pPr>
      <w:keepNext/>
      <w:keepLines/>
      <w:widowControl w:val="0"/>
      <w:spacing w:before="100" w:beforeAutospacing="1" w:after="100" w:afterAutospacing="1" w:line="412" w:lineRule="auto"/>
      <w:jc w:val="both"/>
    </w:pPr>
    <w:rPr>
      <w:rFonts w:ascii="Times New Roman" w:hAnsi="Times New Roman" w:cs="Times New Roman"/>
      <w:b/>
      <w:kern w:val="2"/>
    </w:rPr>
  </w:style>
  <w:style w:type="paragraph" w:customStyle="1" w:styleId="1908">
    <w:name w:val="1908"/>
    <w:basedOn w:val="2223"/>
    <w:next w:val="a3"/>
    <w:uiPriority w:val="34"/>
    <w:qFormat/>
    <w:pPr>
      <w:widowControl w:val="0"/>
      <w:ind w:firstLineChars="200" w:firstLine="420"/>
      <w:jc w:val="both"/>
    </w:pPr>
    <w:rPr>
      <w:rFonts w:ascii="Calibri" w:hAnsi="Calibri" w:cs="Times New Roman"/>
      <w:kern w:val="2"/>
      <w:szCs w:val="22"/>
    </w:rPr>
  </w:style>
  <w:style w:type="paragraph" w:customStyle="1" w:styleId="1907">
    <w:name w:val="1907"/>
    <w:basedOn w:val="2223"/>
    <w:next w:val="a3"/>
    <w:uiPriority w:val="34"/>
    <w:qFormat/>
    <w:pPr>
      <w:widowControl w:val="0"/>
      <w:ind w:firstLineChars="200" w:firstLine="420"/>
      <w:jc w:val="both"/>
    </w:pPr>
    <w:rPr>
      <w:rFonts w:ascii="Calibri" w:hAnsi="Calibri" w:cs="Times New Roman"/>
      <w:kern w:val="2"/>
      <w:szCs w:val="22"/>
    </w:rPr>
  </w:style>
  <w:style w:type="paragraph" w:customStyle="1" w:styleId="1905">
    <w:name w:val="1905"/>
    <w:basedOn w:val="2223"/>
    <w:next w:val="a3"/>
    <w:uiPriority w:val="34"/>
    <w:qFormat/>
    <w:pPr>
      <w:widowControl w:val="0"/>
      <w:ind w:firstLineChars="200" w:firstLine="420"/>
      <w:jc w:val="both"/>
    </w:pPr>
    <w:rPr>
      <w:rFonts w:ascii="Calibri" w:hAnsi="Calibri" w:cs="Times New Roman"/>
      <w:kern w:val="2"/>
      <w:szCs w:val="22"/>
    </w:rPr>
  </w:style>
  <w:style w:type="paragraph" w:customStyle="1" w:styleId="1904">
    <w:name w:val="1904"/>
    <w:basedOn w:val="2223"/>
    <w:next w:val="a3"/>
    <w:uiPriority w:val="34"/>
    <w:qFormat/>
    <w:pPr>
      <w:widowControl w:val="0"/>
      <w:ind w:firstLineChars="200" w:firstLine="420"/>
      <w:jc w:val="both"/>
    </w:pPr>
    <w:rPr>
      <w:rFonts w:ascii="Calibri" w:hAnsi="Calibri" w:cs="Times New Roman"/>
      <w:kern w:val="2"/>
      <w:szCs w:val="22"/>
    </w:rPr>
  </w:style>
  <w:style w:type="paragraph" w:customStyle="1" w:styleId="1902">
    <w:name w:val="1902"/>
    <w:basedOn w:val="2223"/>
    <w:next w:val="3243"/>
    <w:uiPriority w:val="99"/>
    <w:qFormat/>
    <w:pPr>
      <w:widowControl w:val="0"/>
      <w:jc w:val="both"/>
    </w:pPr>
    <w:rPr>
      <w:rFonts w:ascii="Times New Roman" w:hAnsi="Times New Roman" w:cs="Times New Roman"/>
      <w:kern w:val="2"/>
    </w:rPr>
  </w:style>
  <w:style w:type="paragraph" w:customStyle="1" w:styleId="1900">
    <w:name w:val="1900"/>
    <w:basedOn w:val="2223"/>
    <w:next w:val="a3"/>
    <w:uiPriority w:val="34"/>
    <w:qFormat/>
    <w:pPr>
      <w:widowControl w:val="0"/>
      <w:ind w:firstLineChars="200" w:firstLine="420"/>
      <w:jc w:val="both"/>
    </w:pPr>
    <w:rPr>
      <w:rFonts w:ascii="Calibri" w:hAnsi="Calibri" w:cs="Times New Roman"/>
      <w:kern w:val="2"/>
      <w:szCs w:val="22"/>
    </w:rPr>
  </w:style>
  <w:style w:type="paragraph" w:customStyle="1" w:styleId="1895">
    <w:name w:val="1895"/>
    <w:basedOn w:val="2223"/>
    <w:next w:val="a3"/>
    <w:uiPriority w:val="34"/>
    <w:qFormat/>
    <w:pPr>
      <w:widowControl w:val="0"/>
      <w:ind w:firstLineChars="200" w:firstLine="420"/>
      <w:jc w:val="both"/>
    </w:pPr>
    <w:rPr>
      <w:rFonts w:ascii="Calibri" w:hAnsi="Calibri" w:cs="Times New Roman"/>
      <w:kern w:val="2"/>
      <w:szCs w:val="22"/>
    </w:rPr>
  </w:style>
  <w:style w:type="paragraph" w:customStyle="1" w:styleId="1893">
    <w:name w:val="1893"/>
    <w:basedOn w:val="2223"/>
    <w:uiPriority w:val="99"/>
    <w:qFormat/>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1890">
    <w:name w:val="1890"/>
    <w:basedOn w:val="2223"/>
    <w:uiPriority w:val="99"/>
    <w:qFormat/>
    <w:pPr>
      <w:widowControl w:val="0"/>
      <w:jc w:val="both"/>
    </w:pPr>
    <w:rPr>
      <w:rFonts w:ascii="Times New Roman" w:hAnsi="Times New Roman" w:cs="Times New Roman"/>
      <w:bCs/>
      <w:kern w:val="2"/>
      <w:sz w:val="24"/>
      <w:szCs w:val="24"/>
    </w:rPr>
  </w:style>
  <w:style w:type="paragraph" w:customStyle="1" w:styleId="1889">
    <w:name w:val="1889"/>
    <w:basedOn w:val="2223"/>
    <w:uiPriority w:val="99"/>
    <w:qFormat/>
    <w:pPr>
      <w:widowControl w:val="0"/>
      <w:tabs>
        <w:tab w:val="left" w:pos="315"/>
      </w:tabs>
      <w:ind w:left="315" w:hanging="315"/>
      <w:jc w:val="both"/>
    </w:pPr>
    <w:rPr>
      <w:rFonts w:ascii="Times New Roman" w:hAnsi="Times New Roman" w:cs="Times New Roman"/>
      <w:bCs/>
      <w:kern w:val="2"/>
      <w:sz w:val="24"/>
      <w:szCs w:val="24"/>
    </w:rPr>
  </w:style>
  <w:style w:type="paragraph" w:customStyle="1" w:styleId="1884">
    <w:name w:val="1884"/>
    <w:basedOn w:val="2223"/>
    <w:next w:val="3243"/>
    <w:uiPriority w:val="99"/>
    <w:qFormat/>
    <w:pPr>
      <w:keepNext/>
      <w:keepLines/>
      <w:widowControl w:val="0"/>
      <w:tabs>
        <w:tab w:val="left" w:pos="546"/>
      </w:tabs>
      <w:adjustRightInd w:val="0"/>
      <w:spacing w:before="120" w:after="120" w:line="480" w:lineRule="atLeast"/>
      <w:ind w:left="420" w:hanging="420"/>
      <w:outlineLvl w:val="1"/>
    </w:pPr>
    <w:rPr>
      <w:rFonts w:cs="Times New Roman"/>
      <w:bCs/>
      <w:color w:val="000000"/>
    </w:rPr>
  </w:style>
  <w:style w:type="paragraph" w:customStyle="1" w:styleId="1883">
    <w:name w:val="1883"/>
    <w:basedOn w:val="2223"/>
    <w:next w:val="3243"/>
    <w:uiPriority w:val="39"/>
    <w:qFormat/>
    <w:pPr>
      <w:tabs>
        <w:tab w:val="right" w:leader="dot" w:pos="8296"/>
      </w:tabs>
      <w:ind w:leftChars="200" w:left="420"/>
      <w:jc w:val="center"/>
    </w:pPr>
    <w:rPr>
      <w:rFonts w:cs="Times New Roman"/>
      <w:b/>
      <w:bCs/>
      <w:color w:val="000000"/>
      <w:sz w:val="32"/>
      <w:szCs w:val="32"/>
    </w:rPr>
  </w:style>
  <w:style w:type="paragraph" w:customStyle="1" w:styleId="1882">
    <w:name w:val="1882"/>
    <w:basedOn w:val="2223"/>
    <w:next w:val="3243"/>
    <w:uiPriority w:val="39"/>
    <w:qFormat/>
    <w:rPr>
      <w:rFonts w:cs="Times New Roman"/>
      <w:bCs/>
      <w:color w:val="000000"/>
      <w:szCs w:val="20"/>
    </w:rPr>
  </w:style>
  <w:style w:type="paragraph" w:customStyle="1" w:styleId="1881">
    <w:name w:val="1881"/>
    <w:basedOn w:val="2223"/>
    <w:next w:val="3243"/>
    <w:uiPriority w:val="39"/>
    <w:qFormat/>
    <w:pPr>
      <w:spacing w:after="100" w:line="276" w:lineRule="auto"/>
      <w:ind w:left="440"/>
    </w:pPr>
    <w:rPr>
      <w:rFonts w:ascii="Calibri" w:hAnsi="Calibri" w:cs="Times New Roman"/>
      <w:bCs/>
      <w:sz w:val="22"/>
      <w:szCs w:val="22"/>
    </w:rPr>
  </w:style>
  <w:style w:type="paragraph" w:customStyle="1" w:styleId="1880">
    <w:name w:val="1880"/>
    <w:basedOn w:val="2223"/>
    <w:next w:val="3243"/>
    <w:uiPriority w:val="39"/>
    <w:qFormat/>
    <w:pPr>
      <w:widowControl w:val="0"/>
      <w:ind w:leftChars="600" w:left="1260"/>
      <w:jc w:val="both"/>
    </w:pPr>
    <w:rPr>
      <w:rFonts w:ascii="Calibri" w:hAnsi="Calibri" w:cs="Times New Roman"/>
      <w:bCs/>
      <w:kern w:val="2"/>
      <w:szCs w:val="22"/>
    </w:rPr>
  </w:style>
  <w:style w:type="paragraph" w:customStyle="1" w:styleId="1879">
    <w:name w:val="1879"/>
    <w:basedOn w:val="2223"/>
    <w:next w:val="3243"/>
    <w:uiPriority w:val="39"/>
    <w:qFormat/>
    <w:pPr>
      <w:widowControl w:val="0"/>
      <w:ind w:leftChars="800" w:left="1680"/>
      <w:jc w:val="both"/>
    </w:pPr>
    <w:rPr>
      <w:rFonts w:ascii="Calibri" w:hAnsi="Calibri" w:cs="Times New Roman"/>
      <w:bCs/>
      <w:kern w:val="2"/>
      <w:szCs w:val="22"/>
    </w:rPr>
  </w:style>
  <w:style w:type="paragraph" w:customStyle="1" w:styleId="1878">
    <w:name w:val="1878"/>
    <w:basedOn w:val="2223"/>
    <w:next w:val="3243"/>
    <w:uiPriority w:val="39"/>
    <w:qFormat/>
    <w:pPr>
      <w:widowControl w:val="0"/>
      <w:ind w:leftChars="1000" w:left="2100"/>
      <w:jc w:val="both"/>
    </w:pPr>
    <w:rPr>
      <w:rFonts w:ascii="Calibri" w:hAnsi="Calibri" w:cs="Times New Roman"/>
      <w:bCs/>
      <w:kern w:val="2"/>
      <w:szCs w:val="22"/>
    </w:rPr>
  </w:style>
  <w:style w:type="paragraph" w:customStyle="1" w:styleId="1877">
    <w:name w:val="1877"/>
    <w:basedOn w:val="2223"/>
    <w:next w:val="3243"/>
    <w:uiPriority w:val="39"/>
    <w:qFormat/>
    <w:pPr>
      <w:widowControl w:val="0"/>
      <w:ind w:leftChars="1200" w:left="2520"/>
      <w:jc w:val="both"/>
    </w:pPr>
    <w:rPr>
      <w:rFonts w:ascii="Calibri" w:hAnsi="Calibri" w:cs="Times New Roman"/>
      <w:bCs/>
      <w:kern w:val="2"/>
      <w:szCs w:val="22"/>
    </w:rPr>
  </w:style>
  <w:style w:type="paragraph" w:customStyle="1" w:styleId="1876">
    <w:name w:val="1876"/>
    <w:basedOn w:val="2223"/>
    <w:next w:val="3243"/>
    <w:uiPriority w:val="39"/>
    <w:qFormat/>
    <w:pPr>
      <w:widowControl w:val="0"/>
      <w:ind w:leftChars="1400" w:left="2940"/>
      <w:jc w:val="both"/>
    </w:pPr>
    <w:rPr>
      <w:rFonts w:ascii="Calibri" w:hAnsi="Calibri" w:cs="Times New Roman"/>
      <w:bCs/>
      <w:kern w:val="2"/>
      <w:szCs w:val="22"/>
    </w:rPr>
  </w:style>
  <w:style w:type="paragraph" w:customStyle="1" w:styleId="1875">
    <w:name w:val="1875"/>
    <w:basedOn w:val="2223"/>
    <w:next w:val="3243"/>
    <w:uiPriority w:val="39"/>
    <w:qFormat/>
    <w:pPr>
      <w:widowControl w:val="0"/>
      <w:ind w:leftChars="1600" w:left="3360"/>
      <w:jc w:val="both"/>
    </w:pPr>
    <w:rPr>
      <w:rFonts w:ascii="Calibri" w:hAnsi="Calibri" w:cs="Times New Roman"/>
      <w:bCs/>
      <w:kern w:val="2"/>
      <w:szCs w:val="22"/>
    </w:rPr>
  </w:style>
  <w:style w:type="paragraph" w:customStyle="1" w:styleId="1872">
    <w:name w:val="1872"/>
    <w:basedOn w:val="2223"/>
    <w:next w:val="a3"/>
    <w:uiPriority w:val="34"/>
    <w:qFormat/>
    <w:pPr>
      <w:widowControl w:val="0"/>
      <w:ind w:firstLineChars="200" w:firstLine="420"/>
      <w:jc w:val="both"/>
    </w:pPr>
    <w:rPr>
      <w:rFonts w:ascii="Calibri" w:hAnsi="Calibri" w:cs="Times New Roman"/>
      <w:bCs/>
      <w:kern w:val="2"/>
      <w:szCs w:val="22"/>
    </w:rPr>
  </w:style>
  <w:style w:type="paragraph" w:customStyle="1" w:styleId="1871">
    <w:name w:val="1871"/>
    <w:basedOn w:val="2223"/>
    <w:next w:val="a3"/>
    <w:uiPriority w:val="34"/>
    <w:qFormat/>
    <w:pPr>
      <w:widowControl w:val="0"/>
      <w:ind w:firstLineChars="200" w:firstLine="420"/>
      <w:jc w:val="both"/>
    </w:pPr>
    <w:rPr>
      <w:rFonts w:ascii="Calibri" w:hAnsi="Calibri" w:cs="Times New Roman"/>
      <w:bCs/>
      <w:kern w:val="2"/>
      <w:szCs w:val="22"/>
    </w:rPr>
  </w:style>
  <w:style w:type="paragraph" w:customStyle="1" w:styleId="1870">
    <w:name w:val="1870"/>
    <w:basedOn w:val="2223"/>
    <w:next w:val="a3"/>
    <w:uiPriority w:val="34"/>
    <w:qFormat/>
    <w:pPr>
      <w:widowControl w:val="0"/>
      <w:ind w:firstLineChars="200" w:firstLine="420"/>
      <w:jc w:val="both"/>
    </w:pPr>
    <w:rPr>
      <w:rFonts w:ascii="Calibri" w:hAnsi="Calibri" w:cs="Times New Roman"/>
      <w:bCs/>
      <w:kern w:val="2"/>
      <w:szCs w:val="22"/>
    </w:rPr>
  </w:style>
  <w:style w:type="paragraph" w:customStyle="1" w:styleId="1869">
    <w:name w:val="1869"/>
    <w:basedOn w:val="2223"/>
    <w:next w:val="a3"/>
    <w:uiPriority w:val="34"/>
    <w:qFormat/>
    <w:pPr>
      <w:widowControl w:val="0"/>
      <w:ind w:firstLineChars="200" w:firstLine="420"/>
      <w:jc w:val="both"/>
    </w:pPr>
    <w:rPr>
      <w:rFonts w:ascii="Calibri" w:hAnsi="Calibri" w:cs="Times New Roman"/>
      <w:bCs/>
      <w:kern w:val="2"/>
      <w:szCs w:val="22"/>
    </w:rPr>
  </w:style>
  <w:style w:type="paragraph" w:customStyle="1" w:styleId="1868">
    <w:name w:val="1868"/>
    <w:uiPriority w:val="99"/>
    <w:qFormat/>
    <w:rPr>
      <w:kern w:val="2"/>
      <w:sz w:val="21"/>
      <w:szCs w:val="24"/>
    </w:rPr>
  </w:style>
  <w:style w:type="paragraph" w:customStyle="1" w:styleId="1866">
    <w:name w:val="1866"/>
    <w:uiPriority w:val="99"/>
    <w:qFormat/>
    <w:rPr>
      <w:sz w:val="21"/>
      <w:szCs w:val="24"/>
    </w:rPr>
  </w:style>
  <w:style w:type="paragraph" w:customStyle="1" w:styleId="1864">
    <w:name w:val="1864"/>
    <w:uiPriority w:val="99"/>
    <w:qFormat/>
    <w:rPr>
      <w:kern w:val="2"/>
      <w:sz w:val="21"/>
      <w:szCs w:val="24"/>
    </w:rPr>
  </w:style>
  <w:style w:type="paragraph" w:customStyle="1" w:styleId="1863">
    <w:name w:val="1863"/>
    <w:uiPriority w:val="99"/>
    <w:qFormat/>
    <w:rPr>
      <w:kern w:val="2"/>
      <w:sz w:val="21"/>
      <w:szCs w:val="24"/>
    </w:rPr>
  </w:style>
  <w:style w:type="paragraph" w:customStyle="1" w:styleId="1862">
    <w:name w:val="1862"/>
    <w:basedOn w:val="2223"/>
    <w:uiPriority w:val="99"/>
    <w:qFormat/>
    <w:pPr>
      <w:widowControl w:val="0"/>
      <w:jc w:val="both"/>
    </w:pPr>
    <w:rPr>
      <w:rFonts w:ascii="Calibri" w:hAnsi="Calibri" w:cs="Times New Roman"/>
      <w:bCs/>
      <w:kern w:val="2"/>
      <w:sz w:val="18"/>
      <w:szCs w:val="18"/>
    </w:rPr>
  </w:style>
  <w:style w:type="paragraph" w:customStyle="1" w:styleId="1861">
    <w:name w:val="1861"/>
    <w:basedOn w:val="2223"/>
    <w:next w:val="3243"/>
    <w:uiPriority w:val="99"/>
    <w:qFormat/>
    <w:pPr>
      <w:widowControl w:val="0"/>
      <w:ind w:leftChars="2500" w:left="100"/>
      <w:jc w:val="both"/>
    </w:pPr>
    <w:rPr>
      <w:rFonts w:ascii="Times New Roman" w:hAnsi="Times New Roman" w:cs="Times New Roman"/>
      <w:bCs/>
      <w:kern w:val="2"/>
    </w:rPr>
  </w:style>
  <w:style w:type="paragraph" w:customStyle="1" w:styleId="1857">
    <w:name w:val="1857"/>
    <w:uiPriority w:val="99"/>
    <w:qFormat/>
    <w:rPr>
      <w:kern w:val="2"/>
      <w:sz w:val="21"/>
      <w:szCs w:val="24"/>
    </w:rPr>
  </w:style>
  <w:style w:type="paragraph" w:customStyle="1" w:styleId="1855">
    <w:name w:val="1855"/>
    <w:basedOn w:val="2223"/>
    <w:next w:val="3243"/>
    <w:uiPriority w:val="99"/>
    <w:qFormat/>
    <w:pPr>
      <w:keepNext/>
      <w:keepLines/>
      <w:widowControl w:val="0"/>
      <w:spacing w:before="60" w:after="60" w:line="360" w:lineRule="auto"/>
      <w:jc w:val="center"/>
      <w:outlineLvl w:val="0"/>
    </w:pPr>
    <w:rPr>
      <w:rFonts w:ascii="Calibri" w:eastAsia="黑体" w:hAnsi="Calibri" w:cs="Times New Roman"/>
      <w:b/>
      <w:kern w:val="44"/>
      <w:sz w:val="28"/>
      <w:szCs w:val="44"/>
    </w:rPr>
  </w:style>
  <w:style w:type="paragraph" w:customStyle="1" w:styleId="1854">
    <w:name w:val="1854"/>
    <w:basedOn w:val="2223"/>
    <w:next w:val="3243"/>
    <w:uiPriority w:val="9"/>
    <w:qFormat/>
    <w:pPr>
      <w:keepNext/>
      <w:keepLines/>
      <w:widowControl w:val="0"/>
      <w:spacing w:before="60" w:after="60"/>
      <w:jc w:val="both"/>
      <w:outlineLvl w:val="2"/>
    </w:pPr>
    <w:rPr>
      <w:rFonts w:ascii="Calibri" w:hAnsi="Calibri" w:cs="Times New Roman"/>
      <w:b/>
      <w:kern w:val="2"/>
      <w:szCs w:val="32"/>
    </w:rPr>
  </w:style>
  <w:style w:type="paragraph" w:customStyle="1" w:styleId="1853">
    <w:name w:val="1853"/>
    <w:basedOn w:val="2223"/>
    <w:next w:val="3243"/>
    <w:uiPriority w:val="9"/>
    <w:qFormat/>
    <w:pPr>
      <w:keepNext/>
      <w:keepLines/>
      <w:widowControl w:val="0"/>
      <w:spacing w:before="60" w:after="60"/>
      <w:jc w:val="both"/>
      <w:outlineLvl w:val="3"/>
    </w:pPr>
    <w:rPr>
      <w:rFonts w:ascii="Cambria" w:hAnsi="Cambria" w:cs="Times New Roman"/>
      <w:b/>
      <w:kern w:val="2"/>
      <w:szCs w:val="28"/>
    </w:rPr>
  </w:style>
  <w:style w:type="paragraph" w:customStyle="1" w:styleId="1852">
    <w:name w:val="1852"/>
    <w:basedOn w:val="2223"/>
    <w:next w:val="3243"/>
    <w:uiPriority w:val="9"/>
    <w:qFormat/>
    <w:pPr>
      <w:keepNext/>
      <w:keepLines/>
      <w:widowControl w:val="0"/>
      <w:spacing w:before="60" w:after="60"/>
      <w:jc w:val="both"/>
      <w:outlineLvl w:val="4"/>
    </w:pPr>
    <w:rPr>
      <w:rFonts w:ascii="Calibri" w:hAnsi="Calibri" w:cs="Times New Roman"/>
      <w:b/>
      <w:kern w:val="2"/>
      <w:szCs w:val="28"/>
    </w:rPr>
  </w:style>
  <w:style w:type="paragraph" w:customStyle="1" w:styleId="1851">
    <w:name w:val="1851"/>
    <w:basedOn w:val="2223"/>
    <w:next w:val="3243"/>
    <w:uiPriority w:val="9"/>
    <w:qFormat/>
    <w:pPr>
      <w:keepNext/>
      <w:keepLines/>
      <w:spacing w:before="60" w:after="60"/>
      <w:outlineLvl w:val="5"/>
    </w:pPr>
    <w:rPr>
      <w:rFonts w:ascii="Cambria" w:hAnsi="Cambria" w:cs="Times New Roman"/>
      <w:b/>
    </w:rPr>
  </w:style>
  <w:style w:type="paragraph" w:customStyle="1" w:styleId="1850">
    <w:name w:val="1850"/>
    <w:basedOn w:val="2223"/>
    <w:next w:val="3243"/>
    <w:uiPriority w:val="9"/>
    <w:qFormat/>
    <w:pPr>
      <w:keepNext/>
      <w:keepLines/>
      <w:spacing w:before="240" w:after="64" w:line="319" w:lineRule="auto"/>
      <w:outlineLvl w:val="6"/>
    </w:pPr>
    <w:rPr>
      <w:b/>
      <w:sz w:val="24"/>
    </w:rPr>
  </w:style>
  <w:style w:type="paragraph" w:customStyle="1" w:styleId="1844">
    <w:name w:val="1844"/>
    <w:basedOn w:val="2223"/>
    <w:next w:val="3243"/>
    <w:uiPriority w:val="39"/>
    <w:qFormat/>
    <w:pPr>
      <w:widowControl w:val="0"/>
      <w:tabs>
        <w:tab w:val="left" w:pos="1260"/>
        <w:tab w:val="right" w:leader="dot" w:pos="8823"/>
      </w:tabs>
      <w:jc w:val="center"/>
    </w:pPr>
    <w:rPr>
      <w:rFonts w:ascii="Times New Roman" w:hAnsi="Times New Roman" w:cs="Times New Roman"/>
      <w:kern w:val="2"/>
    </w:rPr>
  </w:style>
  <w:style w:type="paragraph" w:customStyle="1" w:styleId="1843">
    <w:name w:val="1843"/>
    <w:basedOn w:val="2223"/>
    <w:next w:val="3243"/>
    <w:uiPriority w:val="39"/>
    <w:qFormat/>
    <w:pPr>
      <w:widowControl w:val="0"/>
      <w:ind w:leftChars="200" w:left="420"/>
      <w:jc w:val="both"/>
    </w:pPr>
    <w:rPr>
      <w:rFonts w:ascii="Times New Roman" w:hAnsi="Times New Roman" w:cs="Times New Roman"/>
      <w:kern w:val="2"/>
    </w:rPr>
  </w:style>
  <w:style w:type="paragraph" w:customStyle="1" w:styleId="1841">
    <w:name w:val="1841"/>
    <w:basedOn w:val="2223"/>
    <w:uiPriority w:val="99"/>
    <w:qFormat/>
    <w:pPr>
      <w:widowControl w:val="0"/>
      <w:jc w:val="both"/>
    </w:pPr>
    <w:rPr>
      <w:rFonts w:ascii="Calibri" w:hAnsi="Calibri" w:cs="Times New Roman"/>
      <w:kern w:val="2"/>
      <w:sz w:val="18"/>
      <w:szCs w:val="18"/>
    </w:rPr>
  </w:style>
  <w:style w:type="paragraph" w:customStyle="1" w:styleId="1838">
    <w:name w:val="1838"/>
    <w:basedOn w:val="2223"/>
    <w:uiPriority w:val="34"/>
    <w:qFormat/>
    <w:pPr>
      <w:widowControl w:val="0"/>
      <w:ind w:firstLineChars="200" w:firstLine="420"/>
      <w:jc w:val="both"/>
    </w:pPr>
    <w:rPr>
      <w:rFonts w:ascii="Calibri" w:hAnsi="Calibri" w:cs="Times New Roman"/>
      <w:kern w:val="2"/>
      <w:szCs w:val="22"/>
    </w:rPr>
  </w:style>
  <w:style w:type="paragraph" w:customStyle="1" w:styleId="1836">
    <w:name w:val="1836"/>
    <w:basedOn w:val="2223"/>
    <w:next w:val="3243"/>
    <w:uiPriority w:val="39"/>
    <w:qFormat/>
    <w:pPr>
      <w:spacing w:after="100" w:line="276" w:lineRule="auto"/>
      <w:ind w:left="440"/>
    </w:pPr>
    <w:rPr>
      <w:rFonts w:ascii="Calibri" w:hAnsi="Calibri" w:cs="Times New Roman"/>
      <w:sz w:val="22"/>
      <w:szCs w:val="22"/>
    </w:rPr>
  </w:style>
  <w:style w:type="paragraph" w:customStyle="1" w:styleId="1834">
    <w:name w:val="1834"/>
    <w:basedOn w:val="2223"/>
    <w:uiPriority w:val="99"/>
    <w:qFormat/>
    <w:pPr>
      <w:widowControl w:val="0"/>
      <w:tabs>
        <w:tab w:val="center" w:pos="4153"/>
        <w:tab w:val="right" w:pos="8306"/>
      </w:tabs>
      <w:snapToGrid w:val="0"/>
    </w:pPr>
    <w:rPr>
      <w:rFonts w:ascii="Calibri" w:hAnsi="Calibri" w:cs="Times New Roman"/>
      <w:kern w:val="2"/>
      <w:sz w:val="18"/>
      <w:szCs w:val="18"/>
    </w:rPr>
  </w:style>
  <w:style w:type="paragraph" w:customStyle="1" w:styleId="1832">
    <w:name w:val="1832"/>
    <w:basedOn w:val="2223"/>
    <w:uiPriority w:val="99"/>
    <w:qFormat/>
    <w:pPr>
      <w:widowControl w:val="0"/>
      <w:jc w:val="both"/>
    </w:pPr>
    <w:rPr>
      <w:rFonts w:hAnsi="Courier New" w:cs="Times New Roman"/>
      <w:kern w:val="2"/>
      <w:szCs w:val="20"/>
    </w:rPr>
  </w:style>
  <w:style w:type="paragraph" w:customStyle="1" w:styleId="1830">
    <w:name w:val="1830"/>
    <w:basedOn w:val="2223"/>
    <w:uiPriority w:val="99"/>
    <w:qFormat/>
    <w:pPr>
      <w:widowControl w:val="0"/>
      <w:spacing w:after="120"/>
      <w:jc w:val="both"/>
    </w:pPr>
    <w:rPr>
      <w:rFonts w:ascii="Times New Roman" w:hAnsi="Times New Roman" w:cs="Times New Roman"/>
      <w:kern w:val="2"/>
    </w:rPr>
  </w:style>
  <w:style w:type="paragraph" w:customStyle="1" w:styleId="1828">
    <w:name w:val="1828"/>
    <w:basedOn w:val="2223"/>
    <w:next w:val="3243"/>
    <w:uiPriority w:val="99"/>
    <w:qFormat/>
    <w:pPr>
      <w:widowControl w:val="0"/>
      <w:ind w:leftChars="2500" w:left="100"/>
      <w:jc w:val="both"/>
    </w:pPr>
    <w:rPr>
      <w:rFonts w:ascii="Times New Roman" w:hAnsi="Times New Roman" w:cs="Times New Roman"/>
      <w:kern w:val="2"/>
    </w:rPr>
  </w:style>
  <w:style w:type="paragraph" w:customStyle="1" w:styleId="1826">
    <w:name w:val="1826"/>
    <w:basedOn w:val="2223"/>
    <w:next w:val="3243"/>
    <w:uiPriority w:val="99"/>
    <w:qFormat/>
    <w:pPr>
      <w:widowControl w:val="0"/>
      <w:jc w:val="center"/>
    </w:pPr>
    <w:rPr>
      <w:rFonts w:ascii="Times New Roman" w:hAnsi="Times New Roman" w:cs="Times New Roman"/>
      <w:kern w:val="2"/>
    </w:rPr>
  </w:style>
  <w:style w:type="paragraph" w:customStyle="1" w:styleId="1824">
    <w:name w:val="1824"/>
    <w:basedOn w:val="2223"/>
    <w:next w:val="3243"/>
    <w:uiPriority w:val="99"/>
    <w:semiHidden/>
    <w:qFormat/>
    <w:pPr>
      <w:widowControl w:val="0"/>
      <w:spacing w:before="120"/>
      <w:jc w:val="both"/>
    </w:pPr>
    <w:rPr>
      <w:rFonts w:ascii="Arial" w:hAnsi="Arial" w:cs="Times New Roman"/>
      <w:b/>
      <w:kern w:val="2"/>
    </w:rPr>
  </w:style>
  <w:style w:type="paragraph" w:customStyle="1" w:styleId="1823">
    <w:name w:val="1823"/>
    <w:basedOn w:val="2223"/>
    <w:uiPriority w:val="99"/>
    <w:qFormat/>
    <w:pPr>
      <w:keepNext/>
      <w:keepLines/>
      <w:widowControl w:val="0"/>
      <w:spacing w:before="60" w:after="60"/>
      <w:ind w:hangingChars="200" w:hanging="420"/>
      <w:jc w:val="both"/>
      <w:outlineLvl w:val="4"/>
    </w:pPr>
    <w:rPr>
      <w:rFonts w:cs="Times New Roman"/>
      <w:b/>
      <w:kern w:val="2"/>
    </w:rPr>
  </w:style>
  <w:style w:type="paragraph" w:customStyle="1" w:styleId="1822">
    <w:name w:val="1822"/>
    <w:uiPriority w:val="99"/>
    <w:semiHidden/>
    <w:qFormat/>
    <w:rPr>
      <w:kern w:val="2"/>
      <w:sz w:val="21"/>
      <w:szCs w:val="22"/>
    </w:rPr>
  </w:style>
  <w:style w:type="paragraph" w:customStyle="1" w:styleId="1820">
    <w:name w:val="1820"/>
    <w:basedOn w:val="2223"/>
    <w:uiPriority w:val="99"/>
    <w:qFormat/>
    <w:pPr>
      <w:widowControl w:val="0"/>
      <w:spacing w:before="100" w:after="100"/>
      <w:jc w:val="both"/>
    </w:pPr>
    <w:rPr>
      <w:rFonts w:ascii="Calibri" w:hAnsi="Calibri" w:cs="Times New Roman"/>
      <w:kern w:val="2"/>
    </w:rPr>
  </w:style>
  <w:style w:type="paragraph" w:customStyle="1" w:styleId="1819">
    <w:name w:val="1819"/>
    <w:basedOn w:val="2223"/>
    <w:uiPriority w:val="99"/>
    <w:semiHidden/>
    <w:qFormat/>
    <w:pPr>
      <w:widowControl w:val="0"/>
      <w:jc w:val="both"/>
    </w:pPr>
    <w:rPr>
      <w:rFonts w:hAnsi="Calibri" w:cs="Times New Roman"/>
      <w:kern w:val="2"/>
      <w:sz w:val="18"/>
      <w:szCs w:val="18"/>
    </w:rPr>
  </w:style>
  <w:style w:type="paragraph" w:customStyle="1" w:styleId="1816">
    <w:name w:val="1816"/>
    <w:basedOn w:val="2223"/>
    <w:next w:val="3243"/>
    <w:uiPriority w:val="10"/>
    <w:qFormat/>
    <w:pPr>
      <w:widowControl w:val="0"/>
      <w:spacing w:before="240" w:after="60"/>
      <w:jc w:val="center"/>
      <w:outlineLvl w:val="0"/>
    </w:pPr>
    <w:rPr>
      <w:rFonts w:ascii="Cambria" w:hAnsi="Cambria" w:cs="Times New Roman"/>
      <w:b/>
      <w:kern w:val="2"/>
      <w:sz w:val="32"/>
      <w:szCs w:val="32"/>
    </w:rPr>
  </w:style>
  <w:style w:type="paragraph" w:customStyle="1" w:styleId="1814">
    <w:name w:val="1814"/>
    <w:uiPriority w:val="1"/>
    <w:qFormat/>
    <w:pPr>
      <w:widowControl w:val="0"/>
      <w:jc w:val="both"/>
    </w:pPr>
    <w:rPr>
      <w:kern w:val="2"/>
      <w:sz w:val="21"/>
      <w:szCs w:val="22"/>
    </w:rPr>
  </w:style>
  <w:style w:type="paragraph" w:customStyle="1" w:styleId="1813">
    <w:name w:val="1813"/>
    <w:basedOn w:val="2223"/>
    <w:next w:val="3243"/>
    <w:uiPriority w:val="39"/>
    <w:qFormat/>
    <w:pPr>
      <w:widowControl w:val="0"/>
      <w:ind w:leftChars="600" w:left="1260"/>
      <w:jc w:val="both"/>
    </w:pPr>
    <w:rPr>
      <w:rFonts w:ascii="Calibri" w:hAnsi="Calibri" w:cs="Times New Roman"/>
      <w:kern w:val="2"/>
      <w:szCs w:val="22"/>
    </w:rPr>
  </w:style>
  <w:style w:type="paragraph" w:customStyle="1" w:styleId="1812">
    <w:name w:val="1812"/>
    <w:basedOn w:val="2223"/>
    <w:next w:val="3243"/>
    <w:uiPriority w:val="39"/>
    <w:qFormat/>
    <w:pPr>
      <w:widowControl w:val="0"/>
      <w:ind w:leftChars="800" w:left="1680"/>
      <w:jc w:val="both"/>
    </w:pPr>
    <w:rPr>
      <w:rFonts w:ascii="Calibri" w:hAnsi="Calibri" w:cs="Times New Roman"/>
      <w:kern w:val="2"/>
      <w:szCs w:val="22"/>
    </w:rPr>
  </w:style>
  <w:style w:type="paragraph" w:customStyle="1" w:styleId="1811">
    <w:name w:val="1811"/>
    <w:basedOn w:val="2223"/>
    <w:next w:val="3243"/>
    <w:uiPriority w:val="39"/>
    <w:qFormat/>
    <w:pPr>
      <w:widowControl w:val="0"/>
      <w:ind w:leftChars="1000" w:left="2100"/>
      <w:jc w:val="both"/>
    </w:pPr>
    <w:rPr>
      <w:rFonts w:ascii="Calibri" w:hAnsi="Calibri" w:cs="Times New Roman"/>
      <w:kern w:val="2"/>
      <w:szCs w:val="22"/>
    </w:rPr>
  </w:style>
  <w:style w:type="paragraph" w:customStyle="1" w:styleId="1810">
    <w:name w:val="1810"/>
    <w:basedOn w:val="2223"/>
    <w:next w:val="3243"/>
    <w:uiPriority w:val="39"/>
    <w:qFormat/>
    <w:pPr>
      <w:widowControl w:val="0"/>
      <w:ind w:leftChars="1200" w:left="2520"/>
      <w:jc w:val="both"/>
    </w:pPr>
    <w:rPr>
      <w:rFonts w:ascii="Calibri" w:hAnsi="Calibri" w:cs="Times New Roman"/>
      <w:kern w:val="2"/>
      <w:szCs w:val="22"/>
    </w:rPr>
  </w:style>
  <w:style w:type="paragraph" w:customStyle="1" w:styleId="1809">
    <w:name w:val="1809"/>
    <w:basedOn w:val="2223"/>
    <w:next w:val="3243"/>
    <w:uiPriority w:val="39"/>
    <w:qFormat/>
    <w:pPr>
      <w:widowControl w:val="0"/>
      <w:ind w:leftChars="1400" w:left="2940"/>
      <w:jc w:val="both"/>
    </w:pPr>
    <w:rPr>
      <w:rFonts w:ascii="Calibri" w:hAnsi="Calibri" w:cs="Times New Roman"/>
      <w:kern w:val="2"/>
      <w:szCs w:val="22"/>
    </w:rPr>
  </w:style>
  <w:style w:type="paragraph" w:customStyle="1" w:styleId="1808">
    <w:name w:val="1808"/>
    <w:basedOn w:val="2223"/>
    <w:next w:val="3243"/>
    <w:uiPriority w:val="39"/>
    <w:qFormat/>
    <w:pPr>
      <w:widowControl w:val="0"/>
      <w:ind w:leftChars="1600" w:left="3360"/>
      <w:jc w:val="both"/>
    </w:pPr>
    <w:rPr>
      <w:rFonts w:ascii="Calibri" w:hAnsi="Calibri" w:cs="Times New Roman"/>
      <w:kern w:val="2"/>
      <w:szCs w:val="22"/>
    </w:rPr>
  </w:style>
  <w:style w:type="paragraph" w:customStyle="1" w:styleId="1806">
    <w:name w:val="1806"/>
    <w:basedOn w:val="2223"/>
    <w:uiPriority w:val="99"/>
    <w:qFormat/>
    <w:pPr>
      <w:spacing w:before="100" w:beforeAutospacing="1" w:after="100" w:afterAutospacing="1"/>
    </w:pPr>
    <w:rPr>
      <w:sz w:val="24"/>
    </w:rPr>
  </w:style>
  <w:style w:type="paragraph" w:customStyle="1" w:styleId="1805">
    <w:name w:val="1805"/>
    <w:basedOn w:val="2223"/>
    <w:uiPriority w:val="99"/>
    <w:semiHidden/>
    <w:qFormat/>
    <w:pPr>
      <w:snapToGrid w:val="0"/>
    </w:pPr>
  </w:style>
  <w:style w:type="paragraph" w:customStyle="1" w:styleId="1799">
    <w:name w:val="1799"/>
    <w:basedOn w:val="2223"/>
    <w:uiPriority w:val="99"/>
    <w:qFormat/>
    <w:pPr>
      <w:widowControl w:val="0"/>
      <w:ind w:firstLineChars="200" w:firstLine="420"/>
      <w:jc w:val="both"/>
    </w:pPr>
    <w:rPr>
      <w:rFonts w:ascii="Times New Roman" w:hAnsi="Times New Roman" w:cs="Times New Roman"/>
      <w:kern w:val="2"/>
    </w:rPr>
  </w:style>
  <w:style w:type="paragraph" w:customStyle="1" w:styleId="1798">
    <w:name w:val="1798"/>
    <w:basedOn w:val="2223"/>
    <w:uiPriority w:val="99"/>
    <w:qFormat/>
    <w:pPr>
      <w:widowControl w:val="0"/>
      <w:tabs>
        <w:tab w:val="left" w:pos="1200"/>
      </w:tabs>
      <w:jc w:val="both"/>
    </w:pPr>
    <w:rPr>
      <w:rFonts w:ascii="Times New Roman" w:hAnsi="Times New Roman" w:cs="Times New Roman"/>
      <w:kern w:val="2"/>
    </w:rPr>
  </w:style>
  <w:style w:type="paragraph" w:customStyle="1" w:styleId="1797">
    <w:name w:val="1797"/>
    <w:basedOn w:val="2223"/>
    <w:uiPriority w:val="34"/>
    <w:qFormat/>
    <w:pPr>
      <w:widowControl w:val="0"/>
      <w:ind w:firstLineChars="200" w:firstLine="420"/>
      <w:jc w:val="both"/>
    </w:pPr>
    <w:rPr>
      <w:rFonts w:ascii="Calibri" w:hAnsi="Calibri" w:cs="Times New Roman"/>
      <w:kern w:val="2"/>
      <w:szCs w:val="22"/>
    </w:rPr>
  </w:style>
  <w:style w:type="paragraph" w:customStyle="1" w:styleId="1796">
    <w:name w:val="1796"/>
    <w:basedOn w:val="2223"/>
    <w:uiPriority w:val="34"/>
    <w:qFormat/>
    <w:pPr>
      <w:widowControl w:val="0"/>
      <w:ind w:firstLineChars="200" w:firstLine="420"/>
      <w:jc w:val="both"/>
    </w:pPr>
    <w:rPr>
      <w:rFonts w:ascii="Calibri" w:hAnsi="Calibri" w:cs="Times New Roman"/>
      <w:kern w:val="2"/>
      <w:szCs w:val="22"/>
    </w:rPr>
  </w:style>
  <w:style w:type="paragraph" w:customStyle="1" w:styleId="1795">
    <w:name w:val="1795"/>
    <w:basedOn w:val="2223"/>
    <w:uiPriority w:val="34"/>
    <w:qFormat/>
    <w:pPr>
      <w:widowControl w:val="0"/>
      <w:ind w:firstLineChars="200" w:firstLine="420"/>
      <w:jc w:val="both"/>
    </w:pPr>
    <w:rPr>
      <w:rFonts w:ascii="Calibri" w:hAnsi="Calibri" w:cs="Times New Roman"/>
      <w:kern w:val="2"/>
      <w:szCs w:val="22"/>
    </w:rPr>
  </w:style>
  <w:style w:type="paragraph" w:customStyle="1" w:styleId="1794">
    <w:name w:val="1794"/>
    <w:basedOn w:val="2223"/>
    <w:uiPriority w:val="34"/>
    <w:qFormat/>
    <w:pPr>
      <w:widowControl w:val="0"/>
      <w:ind w:firstLineChars="200" w:firstLine="420"/>
      <w:jc w:val="both"/>
    </w:pPr>
    <w:rPr>
      <w:rFonts w:ascii="Calibri" w:hAnsi="Calibri" w:cs="Times New Roman"/>
      <w:kern w:val="2"/>
      <w:szCs w:val="22"/>
    </w:rPr>
  </w:style>
  <w:style w:type="paragraph" w:customStyle="1" w:styleId="1792">
    <w:name w:val="1792"/>
    <w:basedOn w:val="2223"/>
    <w:uiPriority w:val="34"/>
    <w:qFormat/>
    <w:pPr>
      <w:widowControl w:val="0"/>
      <w:ind w:firstLineChars="200" w:firstLine="420"/>
      <w:jc w:val="both"/>
    </w:pPr>
    <w:rPr>
      <w:rFonts w:ascii="Calibri" w:hAnsi="Calibri" w:cs="Times New Roman"/>
      <w:kern w:val="2"/>
      <w:szCs w:val="22"/>
    </w:rPr>
  </w:style>
  <w:style w:type="paragraph" w:customStyle="1" w:styleId="1790">
    <w:name w:val="1790"/>
    <w:basedOn w:val="2223"/>
    <w:uiPriority w:val="34"/>
    <w:qFormat/>
    <w:pPr>
      <w:widowControl w:val="0"/>
      <w:ind w:firstLineChars="200" w:firstLine="420"/>
      <w:jc w:val="both"/>
    </w:pPr>
    <w:rPr>
      <w:rFonts w:ascii="Calibri" w:hAnsi="Calibri" w:cs="Times New Roman"/>
      <w:kern w:val="2"/>
      <w:szCs w:val="22"/>
    </w:rPr>
  </w:style>
  <w:style w:type="paragraph" w:customStyle="1" w:styleId="1788">
    <w:name w:val="1788"/>
    <w:uiPriority w:val="99"/>
    <w:qFormat/>
    <w:rPr>
      <w:sz w:val="21"/>
      <w:szCs w:val="24"/>
    </w:rPr>
  </w:style>
  <w:style w:type="paragraph" w:customStyle="1" w:styleId="1787">
    <w:name w:val="1787"/>
    <w:uiPriority w:val="99"/>
    <w:qFormat/>
    <w:pPr>
      <w:widowControl w:val="0"/>
      <w:autoSpaceDE w:val="0"/>
      <w:autoSpaceDN w:val="0"/>
      <w:adjustRightInd w:val="0"/>
    </w:pPr>
    <w:rPr>
      <w:rFonts w:ascii="黑体" w:eastAsia="黑体" w:cs="黑体"/>
      <w:color w:val="000000"/>
      <w:sz w:val="24"/>
      <w:szCs w:val="24"/>
    </w:rPr>
  </w:style>
  <w:style w:type="paragraph" w:customStyle="1" w:styleId="1786">
    <w:name w:val="1786"/>
    <w:uiPriority w:val="99"/>
    <w:qFormat/>
    <w:pPr>
      <w:snapToGrid w:val="0"/>
      <w:jc w:val="center"/>
    </w:pPr>
    <w:rPr>
      <w:color w:val="000000"/>
      <w:spacing w:val="-10"/>
      <w:sz w:val="22"/>
      <w:szCs w:val="22"/>
      <w:lang w:eastAsia="en-US"/>
    </w:rPr>
  </w:style>
  <w:style w:type="paragraph" w:customStyle="1" w:styleId="1784">
    <w:name w:val="1784"/>
    <w:basedOn w:val="2223"/>
    <w:uiPriority w:val="99"/>
    <w:qFormat/>
    <w:pPr>
      <w:spacing w:before="40"/>
      <w:ind w:left="450" w:hanging="450"/>
    </w:pPr>
    <w:rPr>
      <w:rFonts w:eastAsia="华文楷体"/>
      <w:color w:val="000000"/>
      <w:sz w:val="18"/>
      <w:szCs w:val="24"/>
    </w:rPr>
  </w:style>
  <w:style w:type="paragraph" w:customStyle="1" w:styleId="1783">
    <w:name w:val="1783"/>
    <w:uiPriority w:val="99"/>
    <w:qFormat/>
    <w:pPr>
      <w:snapToGrid w:val="0"/>
      <w:jc w:val="center"/>
    </w:pPr>
    <w:rPr>
      <w:rFonts w:ascii="Calibri" w:hAnsi="Calibri"/>
      <w:color w:val="000000"/>
      <w:spacing w:val="-10"/>
      <w:sz w:val="22"/>
      <w:szCs w:val="22"/>
      <w:lang w:eastAsia="en-US"/>
    </w:rPr>
  </w:style>
  <w:style w:type="paragraph" w:customStyle="1" w:styleId="1782">
    <w:name w:val="1782"/>
    <w:basedOn w:val="1980"/>
    <w:next w:val="3243"/>
    <w:uiPriority w:val="39"/>
    <w:qFormat/>
    <w:pPr>
      <w:widowControl/>
      <w:spacing w:before="480" w:after="0" w:line="276" w:lineRule="auto"/>
      <w:outlineLvl w:val="9"/>
    </w:pPr>
    <w:rPr>
      <w:rFonts w:ascii="Cambria" w:eastAsia="宋体" w:hAnsi="Cambria"/>
      <w:color w:val="365F91"/>
      <w:kern w:val="0"/>
      <w:szCs w:val="28"/>
    </w:rPr>
  </w:style>
  <w:style w:type="paragraph" w:customStyle="1" w:styleId="1781">
    <w:name w:val="1781"/>
    <w:uiPriority w:val="99"/>
    <w:semiHidden/>
    <w:qFormat/>
    <w:rPr>
      <w:kern w:val="2"/>
      <w:sz w:val="21"/>
      <w:szCs w:val="22"/>
    </w:rPr>
  </w:style>
  <w:style w:type="paragraph" w:customStyle="1" w:styleId="1780">
    <w:name w:val="1780"/>
    <w:basedOn w:val="2223"/>
    <w:next w:val="a3"/>
    <w:uiPriority w:val="34"/>
    <w:qFormat/>
    <w:pPr>
      <w:widowControl w:val="0"/>
      <w:ind w:firstLineChars="200" w:firstLine="420"/>
      <w:jc w:val="both"/>
    </w:pPr>
    <w:rPr>
      <w:rFonts w:ascii="Calibri" w:hAnsi="Calibri" w:cs="Times New Roman"/>
      <w:kern w:val="2"/>
      <w:szCs w:val="22"/>
    </w:rPr>
  </w:style>
  <w:style w:type="paragraph" w:customStyle="1" w:styleId="1779">
    <w:name w:val="1779"/>
    <w:basedOn w:val="2223"/>
    <w:next w:val="a3"/>
    <w:uiPriority w:val="34"/>
    <w:qFormat/>
    <w:pPr>
      <w:widowControl w:val="0"/>
      <w:ind w:firstLineChars="200" w:firstLine="420"/>
      <w:jc w:val="both"/>
    </w:pPr>
    <w:rPr>
      <w:rFonts w:ascii="Calibri" w:hAnsi="Calibri" w:cs="Times New Roman"/>
      <w:kern w:val="2"/>
      <w:szCs w:val="22"/>
    </w:rPr>
  </w:style>
  <w:style w:type="paragraph" w:customStyle="1" w:styleId="1778">
    <w:name w:val="1778"/>
    <w:uiPriority w:val="99"/>
    <w:qFormat/>
    <w:rPr>
      <w:sz w:val="21"/>
      <w:szCs w:val="21"/>
    </w:rPr>
  </w:style>
  <w:style w:type="paragraph" w:customStyle="1" w:styleId="1777">
    <w:name w:val="1777"/>
    <w:basedOn w:val="1778"/>
    <w:uiPriority w:val="99"/>
    <w:qFormat/>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1776">
    <w:name w:val="1776"/>
    <w:basedOn w:val="1778"/>
    <w:uiPriority w:val="99"/>
    <w:semiHidden/>
    <w:qFormat/>
    <w:pPr>
      <w:keepNext/>
      <w:keepLines/>
      <w:widowControl w:val="0"/>
      <w:spacing w:before="60" w:after="60"/>
      <w:ind w:left="200" w:hangingChars="200" w:hanging="200"/>
      <w:jc w:val="both"/>
      <w:outlineLvl w:val="1"/>
    </w:pPr>
    <w:rPr>
      <w:rFonts w:ascii="Arial" w:hAnsi="Arial" w:cs="Times New Roman"/>
      <w:b/>
      <w:bCs/>
      <w:kern w:val="2"/>
    </w:rPr>
  </w:style>
  <w:style w:type="paragraph" w:customStyle="1" w:styleId="1775">
    <w:name w:val="1775"/>
    <w:basedOn w:val="1778"/>
    <w:uiPriority w:val="99"/>
    <w:semiHidden/>
    <w:qFormat/>
    <w:pPr>
      <w:keepNext/>
      <w:keepLines/>
      <w:widowControl w:val="0"/>
      <w:spacing w:before="60" w:after="60"/>
      <w:jc w:val="both"/>
      <w:outlineLvl w:val="2"/>
    </w:pPr>
    <w:rPr>
      <w:rFonts w:ascii="Calibri" w:hAnsi="Calibri" w:cs="Times New Roman"/>
      <w:b/>
      <w:bCs/>
      <w:kern w:val="2"/>
      <w:szCs w:val="32"/>
    </w:rPr>
  </w:style>
  <w:style w:type="paragraph" w:customStyle="1" w:styleId="1774">
    <w:name w:val="1774"/>
    <w:basedOn w:val="1778"/>
    <w:uiPriority w:val="99"/>
    <w:semiHidden/>
    <w:qFormat/>
    <w:pPr>
      <w:keepNext/>
      <w:keepLines/>
      <w:widowControl w:val="0"/>
      <w:spacing w:before="60" w:after="60"/>
      <w:jc w:val="both"/>
      <w:outlineLvl w:val="3"/>
    </w:pPr>
    <w:rPr>
      <w:rFonts w:ascii="Cambria" w:hAnsi="Cambria" w:cs="Times New Roman"/>
      <w:b/>
      <w:bCs/>
      <w:kern w:val="2"/>
      <w:szCs w:val="28"/>
    </w:rPr>
  </w:style>
  <w:style w:type="paragraph" w:customStyle="1" w:styleId="1773">
    <w:name w:val="1773"/>
    <w:basedOn w:val="1778"/>
    <w:uiPriority w:val="99"/>
    <w:semiHidden/>
    <w:qFormat/>
    <w:pPr>
      <w:keepNext/>
      <w:keepLines/>
      <w:widowControl w:val="0"/>
      <w:spacing w:before="60" w:after="60"/>
      <w:jc w:val="both"/>
      <w:outlineLvl w:val="4"/>
    </w:pPr>
    <w:rPr>
      <w:rFonts w:ascii="Calibri" w:hAnsi="Calibri" w:cs="Times New Roman"/>
      <w:b/>
      <w:bCs/>
      <w:kern w:val="2"/>
      <w:szCs w:val="28"/>
    </w:rPr>
  </w:style>
  <w:style w:type="paragraph" w:customStyle="1" w:styleId="1772">
    <w:name w:val="1772"/>
    <w:basedOn w:val="1778"/>
    <w:uiPriority w:val="99"/>
    <w:semiHidden/>
    <w:qFormat/>
    <w:pPr>
      <w:keepNext/>
      <w:keepLines/>
      <w:spacing w:before="60" w:after="60"/>
      <w:outlineLvl w:val="5"/>
    </w:pPr>
    <w:rPr>
      <w:rFonts w:ascii="Cambria" w:hAnsi="Cambria" w:cs="Times New Roman"/>
      <w:b/>
      <w:bCs/>
    </w:rPr>
  </w:style>
  <w:style w:type="paragraph" w:customStyle="1" w:styleId="1771">
    <w:name w:val="1771"/>
    <w:basedOn w:val="1778"/>
    <w:uiPriority w:val="99"/>
    <w:semiHidden/>
    <w:qFormat/>
    <w:pPr>
      <w:keepNext/>
      <w:keepLines/>
      <w:spacing w:before="240" w:after="64" w:line="319" w:lineRule="auto"/>
      <w:outlineLvl w:val="6"/>
    </w:pPr>
    <w:rPr>
      <w:b/>
      <w:bCs/>
      <w:sz w:val="24"/>
    </w:rPr>
  </w:style>
  <w:style w:type="paragraph" w:customStyle="1" w:styleId="1770">
    <w:name w:val="1770"/>
    <w:basedOn w:val="1778"/>
    <w:uiPriority w:val="99"/>
    <w:semiHidden/>
    <w:qFormat/>
    <w:pPr>
      <w:keepNext/>
      <w:keepLines/>
      <w:widowControl w:val="0"/>
      <w:adjustRightInd w:val="0"/>
      <w:spacing w:before="240" w:after="64" w:line="320" w:lineRule="atLeast"/>
      <w:outlineLvl w:val="7"/>
    </w:pPr>
    <w:rPr>
      <w:rFonts w:ascii="Arial" w:eastAsia="黑体" w:hAnsi="Arial" w:cs="Times New Roman"/>
      <w:bCs/>
      <w:color w:val="000000"/>
      <w:sz w:val="24"/>
      <w:szCs w:val="20"/>
    </w:rPr>
  </w:style>
  <w:style w:type="paragraph" w:customStyle="1" w:styleId="1769">
    <w:name w:val="1769"/>
    <w:basedOn w:val="1778"/>
    <w:uiPriority w:val="99"/>
    <w:semiHidden/>
    <w:qFormat/>
    <w:pPr>
      <w:keepNext/>
      <w:keepLines/>
      <w:widowControl w:val="0"/>
      <w:adjustRightInd w:val="0"/>
      <w:spacing w:before="240" w:after="64" w:line="320" w:lineRule="atLeast"/>
      <w:outlineLvl w:val="8"/>
    </w:pPr>
    <w:rPr>
      <w:rFonts w:ascii="Arial" w:eastAsia="黑体" w:hAnsi="Arial" w:cs="Times New Roman"/>
      <w:bCs/>
      <w:color w:val="000000"/>
      <w:sz w:val="24"/>
      <w:szCs w:val="20"/>
    </w:rPr>
  </w:style>
  <w:style w:type="paragraph" w:customStyle="1" w:styleId="1767">
    <w:name w:val="1767"/>
    <w:basedOn w:val="1778"/>
    <w:uiPriority w:val="99"/>
    <w:qFormat/>
    <w:pPr>
      <w:widowControl w:val="0"/>
      <w:ind w:leftChars="1200" w:left="2520"/>
      <w:jc w:val="both"/>
    </w:pPr>
    <w:rPr>
      <w:rFonts w:ascii="Calibri" w:hAnsi="Calibri" w:cs="Times New Roman"/>
      <w:kern w:val="2"/>
      <w:szCs w:val="22"/>
    </w:rPr>
  </w:style>
  <w:style w:type="paragraph" w:customStyle="1" w:styleId="1766">
    <w:name w:val="1766"/>
    <w:basedOn w:val="1778"/>
    <w:uiPriority w:val="99"/>
    <w:qFormat/>
    <w:pPr>
      <w:widowControl w:val="0"/>
      <w:jc w:val="center"/>
    </w:pPr>
    <w:rPr>
      <w:rFonts w:ascii="Times New Roman" w:hAnsi="Times New Roman" w:cs="Times New Roman"/>
      <w:kern w:val="2"/>
    </w:rPr>
  </w:style>
  <w:style w:type="paragraph" w:customStyle="1" w:styleId="1765">
    <w:name w:val="1765"/>
    <w:basedOn w:val="1778"/>
    <w:uiPriority w:val="99"/>
    <w:qFormat/>
    <w:pPr>
      <w:widowControl w:val="0"/>
      <w:ind w:firstLineChars="200" w:firstLine="420"/>
      <w:jc w:val="both"/>
    </w:pPr>
    <w:rPr>
      <w:rFonts w:ascii="Times New Roman" w:hAnsi="Times New Roman" w:cs="Times New Roman"/>
      <w:kern w:val="2"/>
    </w:rPr>
  </w:style>
  <w:style w:type="paragraph" w:customStyle="1" w:styleId="1764">
    <w:name w:val="1764"/>
    <w:basedOn w:val="1778"/>
    <w:uiPriority w:val="99"/>
    <w:qFormat/>
    <w:pPr>
      <w:widowControl w:val="0"/>
      <w:jc w:val="both"/>
    </w:pPr>
    <w:rPr>
      <w:rFonts w:hAnsi="Calibri" w:cs="Times New Roman"/>
      <w:kern w:val="2"/>
      <w:sz w:val="18"/>
      <w:szCs w:val="18"/>
    </w:rPr>
  </w:style>
  <w:style w:type="paragraph" w:customStyle="1" w:styleId="1763">
    <w:name w:val="1763"/>
    <w:basedOn w:val="1778"/>
    <w:uiPriority w:val="99"/>
    <w:qFormat/>
    <w:pPr>
      <w:widowControl w:val="0"/>
      <w:spacing w:before="120"/>
      <w:jc w:val="both"/>
    </w:pPr>
    <w:rPr>
      <w:rFonts w:ascii="Arial" w:hAnsi="Arial" w:cs="Times New Roman"/>
      <w:b/>
      <w:bCs/>
      <w:kern w:val="2"/>
    </w:rPr>
  </w:style>
  <w:style w:type="paragraph" w:customStyle="1" w:styleId="1762">
    <w:name w:val="1762"/>
    <w:basedOn w:val="1778"/>
    <w:uiPriority w:val="99"/>
    <w:qFormat/>
    <w:pPr>
      <w:widowControl w:val="0"/>
    </w:pPr>
    <w:rPr>
      <w:rFonts w:ascii="Times New Roman" w:hAnsi="Times New Roman" w:cs="Times New Roman"/>
      <w:kern w:val="2"/>
    </w:rPr>
  </w:style>
  <w:style w:type="paragraph" w:customStyle="1" w:styleId="1761">
    <w:name w:val="1761"/>
    <w:basedOn w:val="1778"/>
    <w:uiPriority w:val="99"/>
    <w:qFormat/>
    <w:pPr>
      <w:widowControl w:val="0"/>
      <w:jc w:val="both"/>
    </w:pPr>
    <w:rPr>
      <w:rFonts w:ascii="Times New Roman" w:hAnsi="Times New Roman" w:cs="Times New Roman"/>
      <w:kern w:val="2"/>
    </w:rPr>
  </w:style>
  <w:style w:type="paragraph" w:customStyle="1" w:styleId="1760">
    <w:name w:val="1760"/>
    <w:basedOn w:val="1778"/>
    <w:uiPriority w:val="99"/>
    <w:qFormat/>
    <w:pPr>
      <w:widowControl w:val="0"/>
      <w:tabs>
        <w:tab w:val="left" w:pos="1200"/>
      </w:tabs>
      <w:jc w:val="both"/>
    </w:pPr>
    <w:rPr>
      <w:rFonts w:ascii="Times New Roman" w:hAnsi="Times New Roman" w:cs="Times New Roman"/>
      <w:kern w:val="2"/>
    </w:rPr>
  </w:style>
  <w:style w:type="paragraph" w:customStyle="1" w:styleId="1759">
    <w:name w:val="1759"/>
    <w:basedOn w:val="1778"/>
    <w:uiPriority w:val="99"/>
    <w:qFormat/>
    <w:pPr>
      <w:widowControl w:val="0"/>
      <w:spacing w:after="120"/>
      <w:jc w:val="both"/>
    </w:pPr>
    <w:rPr>
      <w:rFonts w:ascii="Times New Roman" w:hAnsi="Times New Roman" w:cs="Times New Roman"/>
      <w:kern w:val="2"/>
    </w:rPr>
  </w:style>
  <w:style w:type="paragraph" w:customStyle="1" w:styleId="1758">
    <w:name w:val="1758"/>
    <w:basedOn w:val="1778"/>
    <w:uiPriority w:val="99"/>
    <w:qFormat/>
    <w:pPr>
      <w:widowControl w:val="0"/>
      <w:ind w:leftChars="800" w:left="1680"/>
      <w:jc w:val="both"/>
    </w:pPr>
    <w:rPr>
      <w:rFonts w:ascii="Calibri" w:hAnsi="Calibri" w:cs="Times New Roman"/>
      <w:kern w:val="2"/>
      <w:szCs w:val="22"/>
    </w:rPr>
  </w:style>
  <w:style w:type="paragraph" w:customStyle="1" w:styleId="1757">
    <w:name w:val="1757"/>
    <w:basedOn w:val="1778"/>
    <w:uiPriority w:val="99"/>
    <w:qFormat/>
    <w:pPr>
      <w:spacing w:after="100" w:line="276" w:lineRule="auto"/>
      <w:ind w:left="440"/>
    </w:pPr>
    <w:rPr>
      <w:rFonts w:ascii="Calibri" w:hAnsi="Calibri" w:cs="Times New Roman"/>
      <w:sz w:val="22"/>
      <w:szCs w:val="22"/>
    </w:rPr>
  </w:style>
  <w:style w:type="paragraph" w:customStyle="1" w:styleId="1756">
    <w:name w:val="1756"/>
    <w:basedOn w:val="1778"/>
    <w:uiPriority w:val="99"/>
    <w:qFormat/>
    <w:pPr>
      <w:widowControl w:val="0"/>
      <w:jc w:val="both"/>
    </w:pPr>
    <w:rPr>
      <w:rFonts w:hAnsi="Courier New" w:cs="Times New Roman"/>
      <w:kern w:val="2"/>
      <w:szCs w:val="20"/>
    </w:rPr>
  </w:style>
  <w:style w:type="paragraph" w:customStyle="1" w:styleId="1755">
    <w:name w:val="1755"/>
    <w:basedOn w:val="1778"/>
    <w:uiPriority w:val="99"/>
    <w:qFormat/>
    <w:pPr>
      <w:widowControl w:val="0"/>
      <w:ind w:leftChars="1400" w:left="2940"/>
      <w:jc w:val="both"/>
    </w:pPr>
    <w:rPr>
      <w:rFonts w:ascii="Calibri" w:hAnsi="Calibri" w:cs="Times New Roman"/>
      <w:kern w:val="2"/>
      <w:szCs w:val="22"/>
    </w:rPr>
  </w:style>
  <w:style w:type="paragraph" w:customStyle="1" w:styleId="1754">
    <w:name w:val="1754"/>
    <w:basedOn w:val="1778"/>
    <w:uiPriority w:val="99"/>
    <w:qFormat/>
    <w:pPr>
      <w:widowControl w:val="0"/>
      <w:ind w:leftChars="2500" w:left="100"/>
      <w:jc w:val="both"/>
    </w:pPr>
    <w:rPr>
      <w:rFonts w:ascii="Times New Roman" w:hAnsi="Times New Roman" w:cs="Times New Roman"/>
      <w:kern w:val="2"/>
    </w:rPr>
  </w:style>
  <w:style w:type="paragraph" w:customStyle="1" w:styleId="1753">
    <w:name w:val="1753"/>
    <w:basedOn w:val="1778"/>
    <w:uiPriority w:val="99"/>
    <w:qFormat/>
    <w:pPr>
      <w:snapToGrid w:val="0"/>
    </w:pPr>
  </w:style>
  <w:style w:type="paragraph" w:customStyle="1" w:styleId="1752">
    <w:name w:val="1752"/>
    <w:basedOn w:val="1778"/>
    <w:uiPriority w:val="99"/>
    <w:qFormat/>
    <w:pPr>
      <w:widowControl w:val="0"/>
      <w:jc w:val="both"/>
    </w:pPr>
    <w:rPr>
      <w:rFonts w:ascii="Calibri" w:hAnsi="Calibri" w:cs="Times New Roman"/>
      <w:kern w:val="2"/>
      <w:sz w:val="18"/>
      <w:szCs w:val="18"/>
    </w:rPr>
  </w:style>
  <w:style w:type="paragraph" w:customStyle="1" w:styleId="1751">
    <w:name w:val="1751"/>
    <w:basedOn w:val="1778"/>
    <w:uiPriority w:val="99"/>
    <w:qFormat/>
    <w:pPr>
      <w:widowControl w:val="0"/>
      <w:tabs>
        <w:tab w:val="center" w:pos="4153"/>
        <w:tab w:val="right" w:pos="8306"/>
      </w:tabs>
      <w:snapToGrid w:val="0"/>
    </w:pPr>
    <w:rPr>
      <w:rFonts w:ascii="Calibri" w:hAnsi="Calibri" w:cs="Times New Roman"/>
      <w:kern w:val="2"/>
      <w:sz w:val="18"/>
      <w:szCs w:val="18"/>
    </w:rPr>
  </w:style>
  <w:style w:type="paragraph" w:customStyle="1" w:styleId="1750">
    <w:name w:val="1750"/>
    <w:basedOn w:val="1778"/>
    <w:uiPriority w:val="99"/>
    <w:qFormat/>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1749">
    <w:name w:val="1749"/>
    <w:basedOn w:val="1778"/>
    <w:uiPriority w:val="99"/>
    <w:qFormat/>
    <w:pPr>
      <w:widowControl w:val="0"/>
      <w:tabs>
        <w:tab w:val="left" w:pos="1260"/>
        <w:tab w:val="right" w:leader="dot" w:pos="8823"/>
      </w:tabs>
      <w:jc w:val="center"/>
    </w:pPr>
    <w:rPr>
      <w:rFonts w:ascii="Times New Roman" w:hAnsi="Times New Roman" w:cs="Times New Roman"/>
      <w:kern w:val="2"/>
    </w:rPr>
  </w:style>
  <w:style w:type="paragraph" w:customStyle="1" w:styleId="1748">
    <w:name w:val="1748"/>
    <w:basedOn w:val="1778"/>
    <w:uiPriority w:val="99"/>
    <w:qFormat/>
    <w:pPr>
      <w:widowControl w:val="0"/>
      <w:ind w:leftChars="600" w:left="1260"/>
      <w:jc w:val="both"/>
    </w:pPr>
    <w:rPr>
      <w:rFonts w:ascii="Calibri" w:hAnsi="Calibri" w:cs="Times New Roman"/>
      <w:kern w:val="2"/>
      <w:szCs w:val="22"/>
    </w:rPr>
  </w:style>
  <w:style w:type="paragraph" w:customStyle="1" w:styleId="1747">
    <w:name w:val="1747"/>
    <w:basedOn w:val="1778"/>
    <w:uiPriority w:val="99"/>
    <w:qFormat/>
    <w:pPr>
      <w:widowControl w:val="0"/>
      <w:ind w:leftChars="1000" w:left="2100"/>
      <w:jc w:val="both"/>
    </w:pPr>
    <w:rPr>
      <w:rFonts w:ascii="Calibri" w:hAnsi="Calibri" w:cs="Times New Roman"/>
      <w:kern w:val="2"/>
      <w:szCs w:val="22"/>
    </w:rPr>
  </w:style>
  <w:style w:type="paragraph" w:customStyle="1" w:styleId="1746">
    <w:name w:val="1746"/>
    <w:basedOn w:val="1778"/>
    <w:uiPriority w:val="99"/>
    <w:qFormat/>
    <w:pPr>
      <w:widowControl w:val="0"/>
      <w:ind w:leftChars="200" w:left="420"/>
      <w:jc w:val="both"/>
    </w:pPr>
    <w:rPr>
      <w:rFonts w:ascii="Times New Roman" w:hAnsi="Times New Roman" w:cs="Times New Roman"/>
      <w:kern w:val="2"/>
    </w:rPr>
  </w:style>
  <w:style w:type="paragraph" w:customStyle="1" w:styleId="1745">
    <w:name w:val="1745"/>
    <w:basedOn w:val="1778"/>
    <w:uiPriority w:val="99"/>
    <w:qFormat/>
    <w:pPr>
      <w:widowControl w:val="0"/>
      <w:ind w:leftChars="1600" w:left="3360"/>
      <w:jc w:val="both"/>
    </w:pPr>
    <w:rPr>
      <w:rFonts w:ascii="Calibri" w:hAnsi="Calibri" w:cs="Times New Roman"/>
      <w:kern w:val="2"/>
      <w:szCs w:val="22"/>
    </w:rPr>
  </w:style>
  <w:style w:type="paragraph" w:customStyle="1" w:styleId="1744">
    <w:name w:val="1744"/>
    <w:basedOn w:val="1778"/>
    <w:uiPriority w:val="99"/>
    <w:qFormat/>
    <w:pPr>
      <w:spacing w:before="100" w:beforeAutospacing="1" w:after="100" w:afterAutospacing="1"/>
    </w:pPr>
    <w:rPr>
      <w:sz w:val="24"/>
    </w:rPr>
  </w:style>
  <w:style w:type="paragraph" w:customStyle="1" w:styleId="1743">
    <w:name w:val="1743"/>
    <w:basedOn w:val="1778"/>
    <w:uiPriority w:val="99"/>
    <w:qFormat/>
    <w:pPr>
      <w:ind w:firstLineChars="200" w:firstLine="420"/>
    </w:pPr>
    <w:rPr>
      <w:rFonts w:cs="Times New Roman"/>
      <w:color w:val="000000"/>
    </w:rPr>
  </w:style>
  <w:style w:type="paragraph" w:customStyle="1" w:styleId="1742">
    <w:name w:val="1742"/>
    <w:basedOn w:val="1778"/>
    <w:uiPriority w:val="99"/>
    <w:qFormat/>
    <w:pPr>
      <w:widowControl w:val="0"/>
      <w:spacing w:before="240" w:after="60"/>
      <w:jc w:val="center"/>
      <w:outlineLvl w:val="0"/>
    </w:pPr>
    <w:rPr>
      <w:rFonts w:ascii="Cambria" w:hAnsi="Cambria" w:cs="Times New Roman"/>
      <w:b/>
      <w:bCs/>
      <w:kern w:val="2"/>
      <w:sz w:val="32"/>
      <w:szCs w:val="32"/>
    </w:rPr>
  </w:style>
  <w:style w:type="paragraph" w:customStyle="1" w:styleId="1741">
    <w:name w:val="1741"/>
    <w:basedOn w:val="1762"/>
    <w:uiPriority w:val="99"/>
    <w:qFormat/>
    <w:rPr>
      <w:rFonts w:ascii="Calibri" w:hAnsi="Calibri"/>
      <w:b/>
      <w:bCs/>
      <w:szCs w:val="22"/>
    </w:rPr>
  </w:style>
  <w:style w:type="paragraph" w:customStyle="1" w:styleId="1731">
    <w:name w:val="1731"/>
    <w:basedOn w:val="1777"/>
    <w:uiPriority w:val="39"/>
    <w:qFormat/>
    <w:pPr>
      <w:widowControl/>
      <w:spacing w:before="480" w:after="0" w:line="276" w:lineRule="auto"/>
      <w:outlineLvl w:val="9"/>
    </w:pPr>
    <w:rPr>
      <w:rFonts w:ascii="Cambria" w:eastAsia="宋体" w:hAnsi="Cambria"/>
      <w:color w:val="365F91"/>
      <w:kern w:val="0"/>
      <w:szCs w:val="28"/>
    </w:rPr>
  </w:style>
  <w:style w:type="paragraph" w:customStyle="1" w:styleId="1726">
    <w:name w:val="1726"/>
    <w:basedOn w:val="1778"/>
    <w:uiPriority w:val="99"/>
    <w:qFormat/>
    <w:pPr>
      <w:spacing w:before="100" w:after="100"/>
      <w:jc w:val="right"/>
    </w:pPr>
    <w:rPr>
      <w:rFonts w:ascii="Arial Unicode MS" w:eastAsia="Arial Unicode MS" w:hAnsi="Times New Roman" w:cs="Times New Roman"/>
      <w:sz w:val="18"/>
      <w:szCs w:val="18"/>
    </w:rPr>
  </w:style>
  <w:style w:type="paragraph" w:customStyle="1" w:styleId="1725">
    <w:name w:val="1725"/>
    <w:basedOn w:val="1778"/>
    <w:uiPriority w:val="34"/>
    <w:qFormat/>
    <w:pPr>
      <w:widowControl w:val="0"/>
      <w:ind w:firstLineChars="200" w:firstLine="420"/>
      <w:jc w:val="both"/>
    </w:pPr>
    <w:rPr>
      <w:rFonts w:ascii="Calibri" w:hAnsi="Calibri" w:cs="Times New Roman"/>
      <w:kern w:val="2"/>
      <w:szCs w:val="22"/>
    </w:rPr>
  </w:style>
  <w:style w:type="paragraph" w:customStyle="1" w:styleId="1718">
    <w:name w:val="1718"/>
    <w:basedOn w:val="1778"/>
    <w:uiPriority w:val="99"/>
    <w:qFormat/>
    <w:pPr>
      <w:tabs>
        <w:tab w:val="left" w:pos="709"/>
      </w:tabs>
      <w:overflowPunct w:val="0"/>
      <w:autoSpaceDE w:val="0"/>
      <w:autoSpaceDN w:val="0"/>
      <w:adjustRightInd w:val="0"/>
      <w:jc w:val="both"/>
    </w:pPr>
    <w:rPr>
      <w:rFonts w:ascii="Helvetica-Narrow" w:hAnsi="Helvetica-Narrow" w:cs="Times New Roman"/>
      <w:lang w:val="en-AU"/>
    </w:rPr>
  </w:style>
  <w:style w:type="paragraph" w:customStyle="1" w:styleId="1715">
    <w:name w:val="1715"/>
    <w:uiPriority w:val="99"/>
    <w:qFormat/>
    <w:pPr>
      <w:widowControl w:val="0"/>
      <w:jc w:val="center"/>
    </w:pPr>
    <w:rPr>
      <w:rFonts w:ascii="Times New Roman" w:hAnsi="Times New Roman" w:cs="Times New Roman"/>
      <w:bCs/>
      <w:kern w:val="2"/>
      <w:sz w:val="21"/>
      <w:szCs w:val="21"/>
    </w:rPr>
  </w:style>
  <w:style w:type="paragraph" w:customStyle="1" w:styleId="1714">
    <w:name w:val="1714"/>
    <w:uiPriority w:val="99"/>
    <w:qFormat/>
    <w:rPr>
      <w:sz w:val="21"/>
      <w:szCs w:val="21"/>
    </w:rPr>
  </w:style>
  <w:style w:type="paragraph" w:customStyle="1" w:styleId="1713">
    <w:name w:val="1713"/>
    <w:basedOn w:val="1778"/>
    <w:uiPriority w:val="99"/>
    <w:qFormat/>
    <w:pPr>
      <w:keepNext/>
      <w:keepLines/>
      <w:widowControl w:val="0"/>
      <w:spacing w:before="60" w:after="60"/>
      <w:ind w:hangingChars="200" w:hanging="420"/>
      <w:jc w:val="both"/>
      <w:outlineLvl w:val="4"/>
    </w:pPr>
    <w:rPr>
      <w:rFonts w:cs="Times New Roman"/>
      <w:b/>
      <w:bCs/>
      <w:kern w:val="2"/>
    </w:rPr>
  </w:style>
  <w:style w:type="paragraph" w:customStyle="1" w:styleId="1712">
    <w:name w:val="1712"/>
    <w:uiPriority w:val="99"/>
    <w:semiHidden/>
    <w:qFormat/>
    <w:rPr>
      <w:kern w:val="2"/>
      <w:sz w:val="21"/>
      <w:szCs w:val="22"/>
    </w:rPr>
  </w:style>
  <w:style w:type="paragraph" w:customStyle="1" w:styleId="1710">
    <w:name w:val="1710"/>
    <w:basedOn w:val="1778"/>
    <w:uiPriority w:val="99"/>
    <w:qFormat/>
    <w:pPr>
      <w:widowControl w:val="0"/>
      <w:spacing w:before="100" w:after="100"/>
      <w:jc w:val="both"/>
    </w:pPr>
    <w:rPr>
      <w:rFonts w:ascii="Calibri" w:hAnsi="Calibri" w:cs="Times New Roman"/>
      <w:kern w:val="2"/>
    </w:rPr>
  </w:style>
  <w:style w:type="paragraph" w:customStyle="1" w:styleId="1706">
    <w:name w:val="1706"/>
    <w:uiPriority w:val="1"/>
    <w:qFormat/>
    <w:pPr>
      <w:widowControl w:val="0"/>
      <w:jc w:val="both"/>
    </w:pPr>
    <w:rPr>
      <w:kern w:val="2"/>
      <w:sz w:val="21"/>
      <w:szCs w:val="22"/>
    </w:rPr>
  </w:style>
  <w:style w:type="paragraph" w:customStyle="1" w:styleId="1702">
    <w:name w:val="1702"/>
    <w:uiPriority w:val="99"/>
    <w:qFormat/>
    <w:rPr>
      <w:rFonts w:ascii="Calibri" w:hAnsi="Calibri"/>
      <w:b/>
      <w:sz w:val="21"/>
      <w:szCs w:val="22"/>
    </w:rPr>
  </w:style>
  <w:style w:type="paragraph" w:customStyle="1" w:styleId="1701">
    <w:name w:val="1701"/>
    <w:basedOn w:val="1778"/>
    <w:uiPriority w:val="99"/>
    <w:qFormat/>
    <w:pPr>
      <w:widowControl w:val="0"/>
    </w:pPr>
    <w:rPr>
      <w:rFonts w:ascii="Times New Roman" w:hAnsi="Times New Roman" w:cs="Times New Roman"/>
      <w:kern w:val="2"/>
    </w:rPr>
  </w:style>
  <w:style w:type="paragraph" w:customStyle="1" w:styleId="1700">
    <w:name w:val="1700"/>
    <w:basedOn w:val="1778"/>
    <w:uiPriority w:val="99"/>
    <w:qFormat/>
    <w:pPr>
      <w:keepNext/>
      <w:keepLines/>
      <w:widowControl w:val="0"/>
      <w:spacing w:before="100" w:beforeAutospacing="1" w:after="100" w:afterAutospacing="1" w:line="412" w:lineRule="auto"/>
      <w:jc w:val="both"/>
    </w:pPr>
    <w:rPr>
      <w:rFonts w:ascii="Times New Roman" w:hAnsi="Times New Roman" w:cs="Times New Roman"/>
      <w:b/>
      <w:kern w:val="2"/>
    </w:rPr>
  </w:style>
  <w:style w:type="paragraph" w:customStyle="1" w:styleId="1694">
    <w:name w:val="1694"/>
    <w:basedOn w:val="1778"/>
    <w:next w:val="a8"/>
    <w:uiPriority w:val="34"/>
    <w:qFormat/>
    <w:pPr>
      <w:widowControl w:val="0"/>
      <w:ind w:firstLineChars="200" w:firstLine="420"/>
      <w:jc w:val="both"/>
    </w:pPr>
    <w:rPr>
      <w:rFonts w:ascii="Calibri" w:hAnsi="Calibri" w:cs="Times New Roman"/>
      <w:kern w:val="2"/>
      <w:szCs w:val="22"/>
    </w:rPr>
  </w:style>
  <w:style w:type="paragraph" w:customStyle="1" w:styleId="1693">
    <w:name w:val="1693"/>
    <w:basedOn w:val="1778"/>
    <w:next w:val="a8"/>
    <w:uiPriority w:val="34"/>
    <w:qFormat/>
    <w:pPr>
      <w:widowControl w:val="0"/>
      <w:ind w:firstLineChars="200" w:firstLine="420"/>
      <w:jc w:val="both"/>
    </w:pPr>
    <w:rPr>
      <w:rFonts w:ascii="Calibri" w:hAnsi="Calibri" w:cs="Times New Roman"/>
      <w:kern w:val="2"/>
      <w:szCs w:val="22"/>
    </w:rPr>
  </w:style>
  <w:style w:type="paragraph" w:customStyle="1" w:styleId="1691">
    <w:name w:val="1691"/>
    <w:basedOn w:val="1778"/>
    <w:next w:val="a8"/>
    <w:uiPriority w:val="34"/>
    <w:qFormat/>
    <w:pPr>
      <w:widowControl w:val="0"/>
      <w:ind w:firstLineChars="200" w:firstLine="420"/>
      <w:jc w:val="both"/>
    </w:pPr>
    <w:rPr>
      <w:rFonts w:ascii="Calibri" w:hAnsi="Calibri" w:cs="Times New Roman"/>
      <w:kern w:val="2"/>
      <w:szCs w:val="22"/>
    </w:rPr>
  </w:style>
  <w:style w:type="paragraph" w:customStyle="1" w:styleId="1690">
    <w:name w:val="1690"/>
    <w:basedOn w:val="1778"/>
    <w:next w:val="a8"/>
    <w:uiPriority w:val="34"/>
    <w:qFormat/>
    <w:pPr>
      <w:widowControl w:val="0"/>
      <w:ind w:firstLineChars="200" w:firstLine="420"/>
      <w:jc w:val="both"/>
    </w:pPr>
    <w:rPr>
      <w:rFonts w:ascii="Calibri" w:hAnsi="Calibri" w:cs="Times New Roman"/>
      <w:kern w:val="2"/>
      <w:szCs w:val="22"/>
    </w:rPr>
  </w:style>
  <w:style w:type="paragraph" w:customStyle="1" w:styleId="1689">
    <w:name w:val="1689"/>
    <w:basedOn w:val="1778"/>
    <w:uiPriority w:val="1"/>
    <w:qFormat/>
    <w:pPr>
      <w:widowControl w:val="0"/>
      <w:autoSpaceDE w:val="0"/>
      <w:autoSpaceDN w:val="0"/>
      <w:spacing w:after="160" w:line="256" w:lineRule="auto"/>
    </w:pPr>
    <w:rPr>
      <w:rFonts w:ascii="Noto Sans CJK JP Regular" w:eastAsia="Noto Sans CJK JP Regular" w:hAnsi="Noto Sans CJK JP Regular" w:cs="Noto Sans CJK JP Regular"/>
      <w:sz w:val="22"/>
      <w:szCs w:val="22"/>
      <w:lang w:eastAsia="en-US"/>
    </w:rPr>
  </w:style>
  <w:style w:type="paragraph" w:customStyle="1" w:styleId="1687">
    <w:name w:val="1687"/>
    <w:basedOn w:val="1778"/>
    <w:uiPriority w:val="99"/>
    <w:qFormat/>
    <w:pPr>
      <w:widowControl w:val="0"/>
      <w:jc w:val="both"/>
    </w:pPr>
    <w:rPr>
      <w:rFonts w:ascii="Times New Roman" w:hAnsi="Times New Roman" w:cs="Times New Roman"/>
      <w:kern w:val="2"/>
    </w:rPr>
  </w:style>
  <w:style w:type="paragraph" w:customStyle="1" w:styleId="1685">
    <w:name w:val="1685"/>
    <w:basedOn w:val="1778"/>
    <w:next w:val="a8"/>
    <w:uiPriority w:val="34"/>
    <w:qFormat/>
    <w:pPr>
      <w:widowControl w:val="0"/>
      <w:ind w:firstLineChars="200" w:firstLine="420"/>
      <w:jc w:val="both"/>
    </w:pPr>
    <w:rPr>
      <w:rFonts w:ascii="Calibri" w:hAnsi="Calibri" w:cs="Times New Roman"/>
      <w:kern w:val="2"/>
      <w:szCs w:val="22"/>
    </w:rPr>
  </w:style>
  <w:style w:type="paragraph" w:customStyle="1" w:styleId="1680">
    <w:name w:val="1680"/>
    <w:basedOn w:val="1778"/>
    <w:next w:val="a8"/>
    <w:uiPriority w:val="34"/>
    <w:qFormat/>
    <w:pPr>
      <w:widowControl w:val="0"/>
      <w:ind w:firstLineChars="200" w:firstLine="420"/>
      <w:jc w:val="both"/>
    </w:pPr>
    <w:rPr>
      <w:rFonts w:ascii="Calibri" w:hAnsi="Calibri" w:cs="Times New Roman"/>
      <w:kern w:val="2"/>
      <w:szCs w:val="22"/>
    </w:rPr>
  </w:style>
  <w:style w:type="paragraph" w:customStyle="1" w:styleId="1678">
    <w:name w:val="1678"/>
    <w:basedOn w:val="1778"/>
    <w:uiPriority w:val="99"/>
    <w:qFormat/>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1674">
    <w:name w:val="1674"/>
    <w:basedOn w:val="1778"/>
    <w:uiPriority w:val="99"/>
    <w:qFormat/>
    <w:pPr>
      <w:widowControl w:val="0"/>
      <w:jc w:val="both"/>
    </w:pPr>
    <w:rPr>
      <w:rFonts w:ascii="Times New Roman" w:hAnsi="Times New Roman" w:cs="Times New Roman"/>
      <w:bCs/>
      <w:kern w:val="2"/>
      <w:sz w:val="24"/>
      <w:szCs w:val="24"/>
    </w:rPr>
  </w:style>
  <w:style w:type="paragraph" w:customStyle="1" w:styleId="1673">
    <w:name w:val="1673"/>
    <w:basedOn w:val="1778"/>
    <w:uiPriority w:val="99"/>
    <w:qFormat/>
    <w:pPr>
      <w:widowControl w:val="0"/>
      <w:tabs>
        <w:tab w:val="left" w:pos="315"/>
      </w:tabs>
      <w:ind w:left="315" w:hanging="315"/>
      <w:jc w:val="both"/>
    </w:pPr>
    <w:rPr>
      <w:rFonts w:ascii="Times New Roman" w:hAnsi="Times New Roman" w:cs="Times New Roman"/>
      <w:bCs/>
      <w:kern w:val="2"/>
      <w:sz w:val="24"/>
      <w:szCs w:val="24"/>
    </w:rPr>
  </w:style>
  <w:style w:type="paragraph" w:customStyle="1" w:styleId="1672">
    <w:name w:val="1672"/>
    <w:basedOn w:val="1778"/>
    <w:uiPriority w:val="99"/>
    <w:qFormat/>
    <w:pPr>
      <w:widowControl w:val="0"/>
      <w:autoSpaceDE w:val="0"/>
      <w:autoSpaceDN w:val="0"/>
      <w:adjustRightInd w:val="0"/>
    </w:pPr>
    <w:rPr>
      <w:rFonts w:ascii="Times New Roman" w:hAnsi="Times New Roman" w:cs="Times New Roman"/>
      <w:bCs/>
      <w:kern w:val="2"/>
      <w:sz w:val="30"/>
      <w:szCs w:val="20"/>
    </w:rPr>
  </w:style>
  <w:style w:type="paragraph" w:customStyle="1" w:styleId="1667">
    <w:name w:val="1667"/>
    <w:basedOn w:val="1778"/>
    <w:uiPriority w:val="99"/>
    <w:qFormat/>
    <w:pPr>
      <w:keepNext/>
      <w:keepLines/>
      <w:widowControl w:val="0"/>
      <w:tabs>
        <w:tab w:val="left" w:pos="546"/>
      </w:tabs>
      <w:adjustRightInd w:val="0"/>
      <w:spacing w:before="120" w:after="120" w:line="480" w:lineRule="atLeast"/>
      <w:ind w:left="420" w:hanging="420"/>
      <w:outlineLvl w:val="1"/>
    </w:pPr>
    <w:rPr>
      <w:rFonts w:cs="Times New Roman"/>
      <w:bCs/>
      <w:color w:val="000000"/>
    </w:rPr>
  </w:style>
  <w:style w:type="paragraph" w:customStyle="1" w:styleId="1666">
    <w:name w:val="1666"/>
    <w:basedOn w:val="1778"/>
    <w:uiPriority w:val="39"/>
    <w:qFormat/>
    <w:pPr>
      <w:tabs>
        <w:tab w:val="right" w:leader="dot" w:pos="8296"/>
      </w:tabs>
      <w:ind w:leftChars="200" w:left="420"/>
      <w:jc w:val="center"/>
    </w:pPr>
    <w:rPr>
      <w:rFonts w:cs="Times New Roman"/>
      <w:b/>
      <w:bCs/>
      <w:color w:val="000000"/>
      <w:sz w:val="32"/>
      <w:szCs w:val="32"/>
    </w:rPr>
  </w:style>
  <w:style w:type="paragraph" w:customStyle="1" w:styleId="1665">
    <w:name w:val="1665"/>
    <w:basedOn w:val="1778"/>
    <w:uiPriority w:val="39"/>
    <w:qFormat/>
    <w:rPr>
      <w:rFonts w:cs="Times New Roman"/>
      <w:bCs/>
      <w:color w:val="000000"/>
      <w:szCs w:val="20"/>
    </w:rPr>
  </w:style>
  <w:style w:type="paragraph" w:customStyle="1" w:styleId="1664">
    <w:name w:val="1664"/>
    <w:basedOn w:val="1778"/>
    <w:uiPriority w:val="39"/>
    <w:qFormat/>
    <w:pPr>
      <w:spacing w:after="100" w:line="276" w:lineRule="auto"/>
      <w:ind w:left="440"/>
    </w:pPr>
    <w:rPr>
      <w:rFonts w:ascii="Calibri" w:hAnsi="Calibri" w:cs="Times New Roman"/>
      <w:bCs/>
      <w:sz w:val="22"/>
      <w:szCs w:val="22"/>
    </w:rPr>
  </w:style>
  <w:style w:type="paragraph" w:customStyle="1" w:styleId="1663">
    <w:name w:val="1663"/>
    <w:basedOn w:val="1778"/>
    <w:uiPriority w:val="39"/>
    <w:qFormat/>
    <w:pPr>
      <w:widowControl w:val="0"/>
      <w:ind w:leftChars="600" w:left="1260"/>
      <w:jc w:val="both"/>
    </w:pPr>
    <w:rPr>
      <w:rFonts w:ascii="Calibri" w:hAnsi="Calibri" w:cs="Times New Roman"/>
      <w:bCs/>
      <w:kern w:val="2"/>
      <w:szCs w:val="22"/>
    </w:rPr>
  </w:style>
  <w:style w:type="paragraph" w:customStyle="1" w:styleId="1662">
    <w:name w:val="1662"/>
    <w:basedOn w:val="1778"/>
    <w:uiPriority w:val="39"/>
    <w:qFormat/>
    <w:pPr>
      <w:widowControl w:val="0"/>
      <w:ind w:leftChars="800" w:left="1680"/>
      <w:jc w:val="both"/>
    </w:pPr>
    <w:rPr>
      <w:rFonts w:ascii="Calibri" w:hAnsi="Calibri" w:cs="Times New Roman"/>
      <w:bCs/>
      <w:kern w:val="2"/>
      <w:szCs w:val="22"/>
    </w:rPr>
  </w:style>
  <w:style w:type="paragraph" w:customStyle="1" w:styleId="1661">
    <w:name w:val="1661"/>
    <w:basedOn w:val="1778"/>
    <w:uiPriority w:val="39"/>
    <w:qFormat/>
    <w:pPr>
      <w:widowControl w:val="0"/>
      <w:ind w:leftChars="1000" w:left="2100"/>
      <w:jc w:val="both"/>
    </w:pPr>
    <w:rPr>
      <w:rFonts w:ascii="Calibri" w:hAnsi="Calibri" w:cs="Times New Roman"/>
      <w:bCs/>
      <w:kern w:val="2"/>
      <w:szCs w:val="22"/>
    </w:rPr>
  </w:style>
  <w:style w:type="paragraph" w:customStyle="1" w:styleId="1660">
    <w:name w:val="1660"/>
    <w:basedOn w:val="1778"/>
    <w:uiPriority w:val="39"/>
    <w:qFormat/>
    <w:pPr>
      <w:widowControl w:val="0"/>
      <w:ind w:leftChars="1200" w:left="2520"/>
      <w:jc w:val="both"/>
    </w:pPr>
    <w:rPr>
      <w:rFonts w:ascii="Calibri" w:hAnsi="Calibri" w:cs="Times New Roman"/>
      <w:bCs/>
      <w:kern w:val="2"/>
      <w:szCs w:val="22"/>
    </w:rPr>
  </w:style>
  <w:style w:type="paragraph" w:customStyle="1" w:styleId="1659">
    <w:name w:val="1659"/>
    <w:basedOn w:val="1778"/>
    <w:uiPriority w:val="39"/>
    <w:qFormat/>
    <w:pPr>
      <w:widowControl w:val="0"/>
      <w:ind w:leftChars="1400" w:left="2940"/>
      <w:jc w:val="both"/>
    </w:pPr>
    <w:rPr>
      <w:rFonts w:ascii="Calibri" w:hAnsi="Calibri" w:cs="Times New Roman"/>
      <w:bCs/>
      <w:kern w:val="2"/>
      <w:szCs w:val="22"/>
    </w:rPr>
  </w:style>
  <w:style w:type="paragraph" w:customStyle="1" w:styleId="1658">
    <w:name w:val="1658"/>
    <w:basedOn w:val="1778"/>
    <w:uiPriority w:val="39"/>
    <w:qFormat/>
    <w:pPr>
      <w:widowControl w:val="0"/>
      <w:ind w:leftChars="1600" w:left="3360"/>
      <w:jc w:val="both"/>
    </w:pPr>
    <w:rPr>
      <w:rFonts w:ascii="Calibri" w:hAnsi="Calibri" w:cs="Times New Roman"/>
      <w:bCs/>
      <w:kern w:val="2"/>
      <w:szCs w:val="22"/>
    </w:rPr>
  </w:style>
  <w:style w:type="paragraph" w:customStyle="1" w:styleId="1657">
    <w:name w:val="1657"/>
    <w:basedOn w:val="1778"/>
    <w:uiPriority w:val="99"/>
    <w:qFormat/>
    <w:pPr>
      <w:widowControl w:val="0"/>
      <w:tabs>
        <w:tab w:val="left" w:pos="1200"/>
      </w:tabs>
      <w:jc w:val="both"/>
    </w:pPr>
    <w:rPr>
      <w:rFonts w:ascii="Times New Roman" w:hAnsi="Times New Roman" w:cs="Times New Roman"/>
      <w:bCs/>
      <w:kern w:val="2"/>
    </w:rPr>
  </w:style>
  <w:style w:type="paragraph" w:customStyle="1" w:styleId="1656">
    <w:name w:val="1656"/>
    <w:basedOn w:val="1778"/>
    <w:uiPriority w:val="99"/>
    <w:qFormat/>
    <w:pPr>
      <w:keepNext/>
      <w:keepLines/>
      <w:widowControl w:val="0"/>
      <w:spacing w:before="100" w:beforeAutospacing="1" w:after="100" w:afterAutospacing="1" w:line="412" w:lineRule="auto"/>
      <w:jc w:val="both"/>
    </w:pPr>
    <w:rPr>
      <w:rFonts w:ascii="Times New Roman" w:hAnsi="Times New Roman" w:cs="Times New Roman"/>
      <w:b/>
      <w:bCs/>
      <w:kern w:val="2"/>
      <w:szCs w:val="24"/>
    </w:rPr>
  </w:style>
  <w:style w:type="paragraph" w:customStyle="1" w:styleId="1653">
    <w:name w:val="1653"/>
    <w:basedOn w:val="1778"/>
    <w:next w:val="a8"/>
    <w:uiPriority w:val="34"/>
    <w:qFormat/>
    <w:pPr>
      <w:widowControl w:val="0"/>
      <w:ind w:firstLineChars="200" w:firstLine="420"/>
      <w:jc w:val="both"/>
    </w:pPr>
    <w:rPr>
      <w:rFonts w:ascii="Calibri" w:hAnsi="Calibri" w:cs="Times New Roman"/>
      <w:bCs/>
      <w:kern w:val="2"/>
      <w:szCs w:val="22"/>
    </w:rPr>
  </w:style>
  <w:style w:type="paragraph" w:customStyle="1" w:styleId="1652">
    <w:name w:val="1652"/>
    <w:basedOn w:val="1778"/>
    <w:next w:val="a8"/>
    <w:uiPriority w:val="34"/>
    <w:qFormat/>
    <w:pPr>
      <w:widowControl w:val="0"/>
      <w:ind w:firstLineChars="200" w:firstLine="420"/>
      <w:jc w:val="both"/>
    </w:pPr>
    <w:rPr>
      <w:rFonts w:ascii="Calibri" w:hAnsi="Calibri" w:cs="Times New Roman"/>
      <w:bCs/>
      <w:kern w:val="2"/>
      <w:szCs w:val="22"/>
    </w:rPr>
  </w:style>
  <w:style w:type="paragraph" w:customStyle="1" w:styleId="1651">
    <w:name w:val="1651"/>
    <w:basedOn w:val="1778"/>
    <w:next w:val="a8"/>
    <w:uiPriority w:val="34"/>
    <w:qFormat/>
    <w:pPr>
      <w:widowControl w:val="0"/>
      <w:ind w:firstLineChars="200" w:firstLine="420"/>
      <w:jc w:val="both"/>
    </w:pPr>
    <w:rPr>
      <w:rFonts w:ascii="Calibri" w:hAnsi="Calibri" w:cs="Times New Roman"/>
      <w:bCs/>
      <w:kern w:val="2"/>
      <w:szCs w:val="22"/>
    </w:rPr>
  </w:style>
  <w:style w:type="paragraph" w:customStyle="1" w:styleId="1650">
    <w:name w:val="1650"/>
    <w:basedOn w:val="1778"/>
    <w:next w:val="a8"/>
    <w:uiPriority w:val="34"/>
    <w:qFormat/>
    <w:pPr>
      <w:widowControl w:val="0"/>
      <w:ind w:firstLineChars="200" w:firstLine="420"/>
      <w:jc w:val="both"/>
    </w:pPr>
    <w:rPr>
      <w:rFonts w:ascii="Calibri" w:hAnsi="Calibri" w:cs="Times New Roman"/>
      <w:bCs/>
      <w:kern w:val="2"/>
      <w:szCs w:val="22"/>
    </w:rPr>
  </w:style>
  <w:style w:type="paragraph" w:customStyle="1" w:styleId="1649">
    <w:name w:val="1649"/>
    <w:uiPriority w:val="99"/>
    <w:qFormat/>
    <w:rPr>
      <w:kern w:val="2"/>
      <w:sz w:val="21"/>
      <w:szCs w:val="24"/>
    </w:rPr>
  </w:style>
  <w:style w:type="paragraph" w:customStyle="1" w:styleId="1646">
    <w:name w:val="1646"/>
    <w:uiPriority w:val="99"/>
    <w:qFormat/>
    <w:rPr>
      <w:sz w:val="21"/>
      <w:szCs w:val="24"/>
    </w:rPr>
  </w:style>
  <w:style w:type="paragraph" w:customStyle="1" w:styleId="1643">
    <w:name w:val="1643"/>
    <w:basedOn w:val="1778"/>
    <w:uiPriority w:val="34"/>
    <w:qFormat/>
    <w:pPr>
      <w:widowControl w:val="0"/>
      <w:ind w:firstLineChars="200" w:firstLine="420"/>
      <w:jc w:val="both"/>
    </w:pPr>
    <w:rPr>
      <w:rFonts w:ascii="Calibri" w:hAnsi="Calibri" w:cs="Times New Roman"/>
      <w:bCs/>
      <w:kern w:val="2"/>
      <w:szCs w:val="22"/>
    </w:rPr>
  </w:style>
  <w:style w:type="paragraph" w:customStyle="1" w:styleId="1642">
    <w:name w:val="1642"/>
    <w:basedOn w:val="1778"/>
    <w:uiPriority w:val="34"/>
    <w:qFormat/>
    <w:pPr>
      <w:widowControl w:val="0"/>
      <w:ind w:firstLineChars="200" w:firstLine="420"/>
      <w:jc w:val="both"/>
    </w:pPr>
    <w:rPr>
      <w:rFonts w:ascii="Calibri" w:hAnsi="Calibri" w:cs="Times New Roman"/>
      <w:bCs/>
      <w:kern w:val="2"/>
      <w:szCs w:val="22"/>
    </w:rPr>
  </w:style>
  <w:style w:type="paragraph" w:customStyle="1" w:styleId="1641">
    <w:name w:val="1641"/>
    <w:basedOn w:val="1778"/>
    <w:uiPriority w:val="99"/>
    <w:qFormat/>
    <w:rPr>
      <w:rFonts w:cs="Times New Roman"/>
      <w:bCs/>
      <w:kern w:val="2"/>
    </w:rPr>
  </w:style>
  <w:style w:type="paragraph" w:customStyle="1" w:styleId="1640">
    <w:name w:val="1640"/>
    <w:basedOn w:val="1778"/>
    <w:uiPriority w:val="59"/>
    <w:qFormat/>
    <w:pPr>
      <w:widowControl w:val="0"/>
    </w:pPr>
    <w:rPr>
      <w:rFonts w:ascii="Times New Roman" w:cs="Times New Roman"/>
      <w:bCs/>
      <w:kern w:val="2"/>
    </w:rPr>
  </w:style>
  <w:style w:type="paragraph" w:customStyle="1" w:styleId="1639">
    <w:name w:val="1639"/>
    <w:uiPriority w:val="99"/>
    <w:qFormat/>
    <w:rPr>
      <w:kern w:val="2"/>
      <w:sz w:val="21"/>
      <w:szCs w:val="24"/>
    </w:rPr>
  </w:style>
  <w:style w:type="paragraph" w:customStyle="1" w:styleId="1638">
    <w:name w:val="1638"/>
    <w:uiPriority w:val="99"/>
    <w:qFormat/>
    <w:rPr>
      <w:kern w:val="2"/>
      <w:sz w:val="21"/>
      <w:szCs w:val="24"/>
    </w:rPr>
  </w:style>
  <w:style w:type="paragraph" w:customStyle="1" w:styleId="1637">
    <w:name w:val="1637"/>
    <w:basedOn w:val="1778"/>
    <w:uiPriority w:val="99"/>
    <w:qFormat/>
    <w:pPr>
      <w:widowControl w:val="0"/>
      <w:jc w:val="both"/>
    </w:pPr>
    <w:rPr>
      <w:rFonts w:ascii="Calibri" w:hAnsi="Calibri" w:cs="Times New Roman"/>
      <w:bCs/>
      <w:kern w:val="2"/>
      <w:sz w:val="18"/>
      <w:szCs w:val="18"/>
    </w:rPr>
  </w:style>
  <w:style w:type="paragraph" w:customStyle="1" w:styleId="1636">
    <w:name w:val="1636"/>
    <w:basedOn w:val="1778"/>
    <w:uiPriority w:val="99"/>
    <w:qFormat/>
    <w:pPr>
      <w:widowControl w:val="0"/>
      <w:ind w:leftChars="2500" w:left="100"/>
      <w:jc w:val="both"/>
    </w:pPr>
    <w:rPr>
      <w:rFonts w:ascii="Times New Roman" w:hAnsi="Times New Roman" w:cs="Times New Roman"/>
      <w:bCs/>
      <w:kern w:val="2"/>
    </w:rPr>
  </w:style>
  <w:style w:type="paragraph" w:customStyle="1" w:styleId="1632">
    <w:name w:val="1632"/>
    <w:uiPriority w:val="99"/>
    <w:qFormat/>
    <w:rPr>
      <w:kern w:val="2"/>
      <w:sz w:val="21"/>
      <w:szCs w:val="24"/>
    </w:rPr>
  </w:style>
  <w:style w:type="paragraph" w:customStyle="1" w:styleId="1630">
    <w:name w:val="1630"/>
    <w:basedOn w:val="1778"/>
    <w:uiPriority w:val="99"/>
    <w:qFormat/>
    <w:pPr>
      <w:keepNext/>
      <w:keepLines/>
      <w:widowControl w:val="0"/>
      <w:spacing w:before="60" w:after="60" w:line="360" w:lineRule="auto"/>
      <w:jc w:val="center"/>
      <w:outlineLvl w:val="0"/>
    </w:pPr>
    <w:rPr>
      <w:rFonts w:ascii="Calibri" w:eastAsia="黑体" w:hAnsi="Calibri" w:cs="Times New Roman"/>
      <w:b/>
      <w:kern w:val="44"/>
      <w:sz w:val="28"/>
      <w:szCs w:val="44"/>
    </w:rPr>
  </w:style>
  <w:style w:type="paragraph" w:customStyle="1" w:styleId="1629">
    <w:name w:val="1629"/>
    <w:basedOn w:val="1778"/>
    <w:uiPriority w:val="99"/>
    <w:qFormat/>
    <w:pPr>
      <w:keepNext/>
      <w:keepLines/>
      <w:widowControl w:val="0"/>
      <w:spacing w:before="60" w:after="60"/>
      <w:ind w:left="200" w:hangingChars="200" w:hanging="200"/>
      <w:jc w:val="both"/>
      <w:outlineLvl w:val="1"/>
    </w:pPr>
    <w:rPr>
      <w:rFonts w:ascii="Arial" w:hAnsi="Arial" w:cs="Times New Roman"/>
      <w:b/>
      <w:kern w:val="2"/>
    </w:rPr>
  </w:style>
  <w:style w:type="paragraph" w:customStyle="1" w:styleId="1628">
    <w:name w:val="1628"/>
    <w:basedOn w:val="1778"/>
    <w:uiPriority w:val="9"/>
    <w:qFormat/>
    <w:pPr>
      <w:keepNext/>
      <w:keepLines/>
      <w:widowControl w:val="0"/>
      <w:spacing w:before="60" w:after="60"/>
      <w:jc w:val="both"/>
      <w:outlineLvl w:val="2"/>
    </w:pPr>
    <w:rPr>
      <w:rFonts w:ascii="Calibri" w:hAnsi="Calibri" w:cs="Times New Roman"/>
      <w:b/>
      <w:kern w:val="2"/>
      <w:szCs w:val="32"/>
    </w:rPr>
  </w:style>
  <w:style w:type="paragraph" w:customStyle="1" w:styleId="1627">
    <w:name w:val="1627"/>
    <w:basedOn w:val="1778"/>
    <w:uiPriority w:val="9"/>
    <w:qFormat/>
    <w:pPr>
      <w:keepNext/>
      <w:keepLines/>
      <w:widowControl w:val="0"/>
      <w:spacing w:before="60" w:after="60"/>
      <w:jc w:val="both"/>
      <w:outlineLvl w:val="3"/>
    </w:pPr>
    <w:rPr>
      <w:rFonts w:ascii="Cambria" w:hAnsi="Cambria" w:cs="Times New Roman"/>
      <w:b/>
      <w:kern w:val="2"/>
      <w:szCs w:val="28"/>
    </w:rPr>
  </w:style>
  <w:style w:type="paragraph" w:customStyle="1" w:styleId="1626">
    <w:name w:val="1626"/>
    <w:basedOn w:val="1778"/>
    <w:uiPriority w:val="9"/>
    <w:qFormat/>
    <w:pPr>
      <w:keepNext/>
      <w:keepLines/>
      <w:widowControl w:val="0"/>
      <w:spacing w:before="60" w:after="60"/>
      <w:jc w:val="both"/>
      <w:outlineLvl w:val="4"/>
    </w:pPr>
    <w:rPr>
      <w:rFonts w:ascii="Calibri" w:hAnsi="Calibri" w:cs="Times New Roman"/>
      <w:b/>
      <w:kern w:val="2"/>
      <w:szCs w:val="28"/>
    </w:rPr>
  </w:style>
  <w:style w:type="paragraph" w:customStyle="1" w:styleId="1625">
    <w:name w:val="1625"/>
    <w:basedOn w:val="1778"/>
    <w:uiPriority w:val="9"/>
    <w:qFormat/>
    <w:pPr>
      <w:keepNext/>
      <w:keepLines/>
      <w:spacing w:before="60" w:after="60"/>
      <w:outlineLvl w:val="5"/>
    </w:pPr>
    <w:rPr>
      <w:rFonts w:ascii="Cambria" w:hAnsi="Cambria" w:cs="Times New Roman"/>
      <w:b/>
    </w:rPr>
  </w:style>
  <w:style w:type="paragraph" w:customStyle="1" w:styleId="1624">
    <w:name w:val="1624"/>
    <w:basedOn w:val="1778"/>
    <w:uiPriority w:val="9"/>
    <w:qFormat/>
    <w:pPr>
      <w:keepNext/>
      <w:keepLines/>
      <w:spacing w:before="240" w:after="64" w:line="319" w:lineRule="auto"/>
      <w:outlineLvl w:val="6"/>
    </w:pPr>
    <w:rPr>
      <w:b/>
      <w:sz w:val="24"/>
    </w:rPr>
  </w:style>
  <w:style w:type="paragraph" w:customStyle="1" w:styleId="1618">
    <w:name w:val="1618"/>
    <w:basedOn w:val="1778"/>
    <w:uiPriority w:val="39"/>
    <w:qFormat/>
    <w:pPr>
      <w:widowControl w:val="0"/>
      <w:tabs>
        <w:tab w:val="left" w:pos="1260"/>
        <w:tab w:val="right" w:leader="dot" w:pos="8823"/>
      </w:tabs>
      <w:jc w:val="center"/>
    </w:pPr>
    <w:rPr>
      <w:rFonts w:ascii="Times New Roman" w:hAnsi="Times New Roman" w:cs="Times New Roman"/>
      <w:kern w:val="2"/>
    </w:rPr>
  </w:style>
  <w:style w:type="paragraph" w:customStyle="1" w:styleId="1617">
    <w:name w:val="1617"/>
    <w:basedOn w:val="1778"/>
    <w:uiPriority w:val="39"/>
    <w:qFormat/>
    <w:pPr>
      <w:widowControl w:val="0"/>
      <w:ind w:leftChars="200" w:left="420"/>
      <w:jc w:val="both"/>
    </w:pPr>
    <w:rPr>
      <w:rFonts w:ascii="Times New Roman" w:hAnsi="Times New Roman" w:cs="Times New Roman"/>
      <w:kern w:val="2"/>
    </w:rPr>
  </w:style>
  <w:style w:type="paragraph" w:customStyle="1" w:styleId="1615">
    <w:name w:val="1615"/>
    <w:basedOn w:val="1778"/>
    <w:uiPriority w:val="99"/>
    <w:qFormat/>
    <w:pPr>
      <w:widowControl w:val="0"/>
      <w:jc w:val="both"/>
    </w:pPr>
    <w:rPr>
      <w:rFonts w:ascii="Calibri" w:hAnsi="Calibri" w:cs="Times New Roman"/>
      <w:kern w:val="2"/>
      <w:sz w:val="18"/>
      <w:szCs w:val="18"/>
    </w:rPr>
  </w:style>
  <w:style w:type="paragraph" w:customStyle="1" w:styleId="1612">
    <w:name w:val="1612"/>
    <w:basedOn w:val="1778"/>
    <w:uiPriority w:val="34"/>
    <w:qFormat/>
    <w:pPr>
      <w:widowControl w:val="0"/>
      <w:ind w:firstLineChars="200" w:firstLine="420"/>
      <w:jc w:val="both"/>
    </w:pPr>
    <w:rPr>
      <w:rFonts w:ascii="Calibri" w:hAnsi="Calibri" w:cs="Times New Roman"/>
      <w:kern w:val="2"/>
      <w:szCs w:val="22"/>
    </w:rPr>
  </w:style>
  <w:style w:type="paragraph" w:customStyle="1" w:styleId="1610">
    <w:name w:val="1610"/>
    <w:basedOn w:val="1778"/>
    <w:uiPriority w:val="39"/>
    <w:qFormat/>
    <w:pPr>
      <w:spacing w:after="100" w:line="276" w:lineRule="auto"/>
      <w:ind w:left="440"/>
    </w:pPr>
    <w:rPr>
      <w:rFonts w:ascii="Calibri" w:hAnsi="Calibri" w:cs="Times New Roman"/>
      <w:sz w:val="22"/>
      <w:szCs w:val="22"/>
    </w:rPr>
  </w:style>
  <w:style w:type="paragraph" w:customStyle="1" w:styleId="1608">
    <w:name w:val="1608"/>
    <w:basedOn w:val="1778"/>
    <w:uiPriority w:val="99"/>
    <w:qFormat/>
    <w:pPr>
      <w:widowControl w:val="0"/>
      <w:tabs>
        <w:tab w:val="center" w:pos="4153"/>
        <w:tab w:val="right" w:pos="8306"/>
      </w:tabs>
      <w:snapToGrid w:val="0"/>
    </w:pPr>
    <w:rPr>
      <w:rFonts w:ascii="Calibri" w:hAnsi="Calibri" w:cs="Times New Roman"/>
      <w:kern w:val="2"/>
      <w:sz w:val="18"/>
      <w:szCs w:val="18"/>
    </w:rPr>
  </w:style>
  <w:style w:type="paragraph" w:customStyle="1" w:styleId="1606">
    <w:name w:val="1606"/>
    <w:basedOn w:val="1778"/>
    <w:uiPriority w:val="99"/>
    <w:qFormat/>
    <w:pPr>
      <w:widowControl w:val="0"/>
      <w:jc w:val="both"/>
    </w:pPr>
    <w:rPr>
      <w:rFonts w:hAnsi="Courier New" w:cs="Times New Roman"/>
      <w:kern w:val="2"/>
      <w:szCs w:val="20"/>
    </w:rPr>
  </w:style>
  <w:style w:type="paragraph" w:customStyle="1" w:styleId="1604">
    <w:name w:val="1604"/>
    <w:basedOn w:val="1778"/>
    <w:uiPriority w:val="99"/>
    <w:qFormat/>
    <w:pPr>
      <w:widowControl w:val="0"/>
      <w:spacing w:after="120"/>
      <w:jc w:val="both"/>
    </w:pPr>
    <w:rPr>
      <w:rFonts w:ascii="Times New Roman" w:hAnsi="Times New Roman" w:cs="Times New Roman"/>
      <w:kern w:val="2"/>
    </w:rPr>
  </w:style>
  <w:style w:type="paragraph" w:customStyle="1" w:styleId="1602">
    <w:name w:val="1602"/>
    <w:basedOn w:val="1778"/>
    <w:uiPriority w:val="99"/>
    <w:qFormat/>
    <w:pPr>
      <w:widowControl w:val="0"/>
      <w:ind w:leftChars="2500" w:left="100"/>
      <w:jc w:val="both"/>
    </w:pPr>
    <w:rPr>
      <w:rFonts w:ascii="Times New Roman" w:hAnsi="Times New Roman" w:cs="Times New Roman"/>
      <w:kern w:val="2"/>
    </w:rPr>
  </w:style>
  <w:style w:type="paragraph" w:customStyle="1" w:styleId="1600">
    <w:name w:val="1600"/>
    <w:basedOn w:val="1778"/>
    <w:uiPriority w:val="99"/>
    <w:qFormat/>
    <w:pPr>
      <w:widowControl w:val="0"/>
      <w:jc w:val="center"/>
    </w:pPr>
    <w:rPr>
      <w:rFonts w:ascii="Times New Roman" w:hAnsi="Times New Roman" w:cs="Times New Roman"/>
      <w:kern w:val="2"/>
    </w:rPr>
  </w:style>
  <w:style w:type="paragraph" w:customStyle="1" w:styleId="1598">
    <w:name w:val="1598"/>
    <w:basedOn w:val="1778"/>
    <w:uiPriority w:val="99"/>
    <w:semiHidden/>
    <w:qFormat/>
    <w:pPr>
      <w:widowControl w:val="0"/>
      <w:spacing w:before="120"/>
      <w:jc w:val="both"/>
    </w:pPr>
    <w:rPr>
      <w:rFonts w:ascii="Arial" w:hAnsi="Arial" w:cs="Times New Roman"/>
      <w:b/>
      <w:kern w:val="2"/>
    </w:rPr>
  </w:style>
  <w:style w:type="paragraph" w:customStyle="1" w:styleId="1597">
    <w:name w:val="1597"/>
    <w:basedOn w:val="1778"/>
    <w:uiPriority w:val="99"/>
    <w:qFormat/>
    <w:pPr>
      <w:keepNext/>
      <w:keepLines/>
      <w:widowControl w:val="0"/>
      <w:spacing w:before="60" w:after="60"/>
      <w:ind w:hangingChars="200" w:hanging="420"/>
      <w:jc w:val="both"/>
      <w:outlineLvl w:val="4"/>
    </w:pPr>
    <w:rPr>
      <w:rFonts w:cs="Times New Roman"/>
      <w:b/>
      <w:kern w:val="2"/>
    </w:rPr>
  </w:style>
  <w:style w:type="paragraph" w:customStyle="1" w:styleId="1596">
    <w:name w:val="1596"/>
    <w:uiPriority w:val="99"/>
    <w:semiHidden/>
    <w:qFormat/>
    <w:rPr>
      <w:kern w:val="2"/>
      <w:sz w:val="21"/>
      <w:szCs w:val="22"/>
    </w:rPr>
  </w:style>
  <w:style w:type="paragraph" w:customStyle="1" w:styleId="1594">
    <w:name w:val="1594"/>
    <w:basedOn w:val="1778"/>
    <w:uiPriority w:val="99"/>
    <w:qFormat/>
    <w:pPr>
      <w:widowControl w:val="0"/>
      <w:spacing w:before="100" w:after="100"/>
      <w:jc w:val="both"/>
    </w:pPr>
    <w:rPr>
      <w:rFonts w:ascii="Calibri" w:hAnsi="Calibri" w:cs="Times New Roman"/>
      <w:kern w:val="2"/>
    </w:rPr>
  </w:style>
  <w:style w:type="paragraph" w:customStyle="1" w:styleId="1593">
    <w:name w:val="1593"/>
    <w:basedOn w:val="1778"/>
    <w:uiPriority w:val="99"/>
    <w:semiHidden/>
    <w:qFormat/>
    <w:pPr>
      <w:widowControl w:val="0"/>
      <w:jc w:val="both"/>
    </w:pPr>
    <w:rPr>
      <w:rFonts w:hAnsi="Calibri" w:cs="Times New Roman"/>
      <w:kern w:val="2"/>
      <w:sz w:val="18"/>
      <w:szCs w:val="18"/>
    </w:rPr>
  </w:style>
  <w:style w:type="paragraph" w:customStyle="1" w:styleId="1590">
    <w:name w:val="1590"/>
    <w:basedOn w:val="1778"/>
    <w:uiPriority w:val="10"/>
    <w:qFormat/>
    <w:pPr>
      <w:widowControl w:val="0"/>
      <w:spacing w:before="240" w:after="60"/>
      <w:jc w:val="center"/>
      <w:outlineLvl w:val="0"/>
    </w:pPr>
    <w:rPr>
      <w:rFonts w:ascii="Cambria" w:hAnsi="Cambria" w:cs="Times New Roman"/>
      <w:b/>
      <w:kern w:val="2"/>
      <w:sz w:val="32"/>
      <w:szCs w:val="32"/>
    </w:rPr>
  </w:style>
  <w:style w:type="paragraph" w:customStyle="1" w:styleId="1588">
    <w:name w:val="1588"/>
    <w:uiPriority w:val="1"/>
    <w:qFormat/>
    <w:pPr>
      <w:widowControl w:val="0"/>
      <w:jc w:val="both"/>
    </w:pPr>
    <w:rPr>
      <w:kern w:val="2"/>
      <w:sz w:val="21"/>
      <w:szCs w:val="22"/>
    </w:rPr>
  </w:style>
  <w:style w:type="paragraph" w:customStyle="1" w:styleId="1587">
    <w:name w:val="1587"/>
    <w:basedOn w:val="1778"/>
    <w:uiPriority w:val="39"/>
    <w:qFormat/>
    <w:pPr>
      <w:widowControl w:val="0"/>
      <w:ind w:leftChars="600" w:left="1260"/>
      <w:jc w:val="both"/>
    </w:pPr>
    <w:rPr>
      <w:rFonts w:ascii="Calibri" w:hAnsi="Calibri" w:cs="Times New Roman"/>
      <w:kern w:val="2"/>
      <w:szCs w:val="22"/>
    </w:rPr>
  </w:style>
  <w:style w:type="paragraph" w:customStyle="1" w:styleId="1586">
    <w:name w:val="1586"/>
    <w:basedOn w:val="1778"/>
    <w:uiPriority w:val="39"/>
    <w:qFormat/>
    <w:pPr>
      <w:widowControl w:val="0"/>
      <w:ind w:leftChars="800" w:left="1680"/>
      <w:jc w:val="both"/>
    </w:pPr>
    <w:rPr>
      <w:rFonts w:ascii="Calibri" w:hAnsi="Calibri" w:cs="Times New Roman"/>
      <w:kern w:val="2"/>
      <w:szCs w:val="22"/>
    </w:rPr>
  </w:style>
  <w:style w:type="paragraph" w:customStyle="1" w:styleId="1585">
    <w:name w:val="1585"/>
    <w:basedOn w:val="1778"/>
    <w:uiPriority w:val="39"/>
    <w:qFormat/>
    <w:pPr>
      <w:widowControl w:val="0"/>
      <w:ind w:leftChars="1000" w:left="2100"/>
      <w:jc w:val="both"/>
    </w:pPr>
    <w:rPr>
      <w:rFonts w:ascii="Calibri" w:hAnsi="Calibri" w:cs="Times New Roman"/>
      <w:kern w:val="2"/>
      <w:szCs w:val="22"/>
    </w:rPr>
  </w:style>
  <w:style w:type="paragraph" w:customStyle="1" w:styleId="1584">
    <w:name w:val="1584"/>
    <w:basedOn w:val="1778"/>
    <w:uiPriority w:val="39"/>
    <w:qFormat/>
    <w:pPr>
      <w:widowControl w:val="0"/>
      <w:ind w:leftChars="1200" w:left="2520"/>
      <w:jc w:val="both"/>
    </w:pPr>
    <w:rPr>
      <w:rFonts w:ascii="Calibri" w:hAnsi="Calibri" w:cs="Times New Roman"/>
      <w:kern w:val="2"/>
      <w:szCs w:val="22"/>
    </w:rPr>
  </w:style>
  <w:style w:type="paragraph" w:customStyle="1" w:styleId="1583">
    <w:name w:val="1583"/>
    <w:basedOn w:val="1778"/>
    <w:uiPriority w:val="39"/>
    <w:qFormat/>
    <w:pPr>
      <w:widowControl w:val="0"/>
      <w:ind w:leftChars="1400" w:left="2940"/>
      <w:jc w:val="both"/>
    </w:pPr>
    <w:rPr>
      <w:rFonts w:ascii="Calibri" w:hAnsi="Calibri" w:cs="Times New Roman"/>
      <w:kern w:val="2"/>
      <w:szCs w:val="22"/>
    </w:rPr>
  </w:style>
  <w:style w:type="paragraph" w:customStyle="1" w:styleId="1582">
    <w:name w:val="1582"/>
    <w:basedOn w:val="1778"/>
    <w:uiPriority w:val="39"/>
    <w:qFormat/>
    <w:pPr>
      <w:widowControl w:val="0"/>
      <w:ind w:leftChars="1600" w:left="3360"/>
      <w:jc w:val="both"/>
    </w:pPr>
    <w:rPr>
      <w:rFonts w:ascii="Calibri" w:hAnsi="Calibri" w:cs="Times New Roman"/>
      <w:kern w:val="2"/>
      <w:szCs w:val="22"/>
    </w:rPr>
  </w:style>
  <w:style w:type="paragraph" w:customStyle="1" w:styleId="1580">
    <w:name w:val="1580"/>
    <w:basedOn w:val="1778"/>
    <w:uiPriority w:val="99"/>
    <w:qFormat/>
    <w:pPr>
      <w:spacing w:before="100" w:beforeAutospacing="1" w:after="100" w:afterAutospacing="1"/>
    </w:pPr>
    <w:rPr>
      <w:sz w:val="24"/>
    </w:rPr>
  </w:style>
  <w:style w:type="paragraph" w:customStyle="1" w:styleId="1579">
    <w:name w:val="1579"/>
    <w:basedOn w:val="1778"/>
    <w:uiPriority w:val="99"/>
    <w:semiHidden/>
    <w:qFormat/>
    <w:pPr>
      <w:snapToGrid w:val="0"/>
    </w:pPr>
  </w:style>
  <w:style w:type="paragraph" w:customStyle="1" w:styleId="1573">
    <w:name w:val="1573"/>
    <w:basedOn w:val="1778"/>
    <w:uiPriority w:val="99"/>
    <w:qFormat/>
    <w:pPr>
      <w:widowControl w:val="0"/>
      <w:ind w:firstLineChars="200" w:firstLine="420"/>
      <w:jc w:val="both"/>
    </w:pPr>
    <w:rPr>
      <w:rFonts w:ascii="Times New Roman" w:hAnsi="Times New Roman" w:cs="Times New Roman"/>
      <w:kern w:val="2"/>
    </w:rPr>
  </w:style>
  <w:style w:type="paragraph" w:customStyle="1" w:styleId="1572">
    <w:name w:val="1572"/>
    <w:basedOn w:val="1778"/>
    <w:uiPriority w:val="99"/>
    <w:qFormat/>
    <w:pPr>
      <w:widowControl w:val="0"/>
      <w:tabs>
        <w:tab w:val="left" w:pos="1200"/>
      </w:tabs>
      <w:jc w:val="both"/>
    </w:pPr>
    <w:rPr>
      <w:rFonts w:ascii="Times New Roman" w:hAnsi="Times New Roman" w:cs="Times New Roman"/>
      <w:kern w:val="2"/>
    </w:rPr>
  </w:style>
  <w:style w:type="paragraph" w:customStyle="1" w:styleId="1571">
    <w:name w:val="1571"/>
    <w:basedOn w:val="1778"/>
    <w:uiPriority w:val="34"/>
    <w:qFormat/>
    <w:pPr>
      <w:widowControl w:val="0"/>
      <w:ind w:firstLineChars="200" w:firstLine="420"/>
      <w:jc w:val="both"/>
    </w:pPr>
    <w:rPr>
      <w:rFonts w:ascii="Calibri" w:hAnsi="Calibri" w:cs="Times New Roman"/>
      <w:kern w:val="2"/>
      <w:szCs w:val="22"/>
    </w:rPr>
  </w:style>
  <w:style w:type="paragraph" w:customStyle="1" w:styleId="1570">
    <w:name w:val="1570"/>
    <w:basedOn w:val="1778"/>
    <w:uiPriority w:val="34"/>
    <w:qFormat/>
    <w:pPr>
      <w:widowControl w:val="0"/>
      <w:ind w:firstLineChars="200" w:firstLine="420"/>
      <w:jc w:val="both"/>
    </w:pPr>
    <w:rPr>
      <w:rFonts w:ascii="Calibri" w:hAnsi="Calibri" w:cs="Times New Roman"/>
      <w:kern w:val="2"/>
      <w:szCs w:val="22"/>
    </w:rPr>
  </w:style>
  <w:style w:type="paragraph" w:customStyle="1" w:styleId="1569">
    <w:name w:val="1569"/>
    <w:basedOn w:val="1778"/>
    <w:uiPriority w:val="34"/>
    <w:qFormat/>
    <w:pPr>
      <w:widowControl w:val="0"/>
      <w:ind w:firstLineChars="200" w:firstLine="420"/>
      <w:jc w:val="both"/>
    </w:pPr>
    <w:rPr>
      <w:rFonts w:ascii="Calibri" w:hAnsi="Calibri" w:cs="Times New Roman"/>
      <w:kern w:val="2"/>
      <w:szCs w:val="22"/>
    </w:rPr>
  </w:style>
  <w:style w:type="paragraph" w:customStyle="1" w:styleId="1568">
    <w:name w:val="1568"/>
    <w:basedOn w:val="1778"/>
    <w:uiPriority w:val="34"/>
    <w:qFormat/>
    <w:pPr>
      <w:widowControl w:val="0"/>
      <w:ind w:firstLineChars="200" w:firstLine="420"/>
      <w:jc w:val="both"/>
    </w:pPr>
    <w:rPr>
      <w:rFonts w:ascii="Calibri" w:hAnsi="Calibri" w:cs="Times New Roman"/>
      <w:kern w:val="2"/>
      <w:szCs w:val="22"/>
    </w:rPr>
  </w:style>
  <w:style w:type="paragraph" w:customStyle="1" w:styleId="1566">
    <w:name w:val="1566"/>
    <w:basedOn w:val="1778"/>
    <w:uiPriority w:val="34"/>
    <w:qFormat/>
    <w:pPr>
      <w:widowControl w:val="0"/>
      <w:ind w:firstLineChars="200" w:firstLine="420"/>
      <w:jc w:val="both"/>
    </w:pPr>
    <w:rPr>
      <w:rFonts w:ascii="Calibri" w:hAnsi="Calibri" w:cs="Times New Roman"/>
      <w:kern w:val="2"/>
      <w:szCs w:val="22"/>
    </w:rPr>
  </w:style>
  <w:style w:type="paragraph" w:customStyle="1" w:styleId="1564">
    <w:name w:val="1564"/>
    <w:basedOn w:val="1778"/>
    <w:uiPriority w:val="34"/>
    <w:qFormat/>
    <w:pPr>
      <w:widowControl w:val="0"/>
      <w:ind w:firstLineChars="200" w:firstLine="420"/>
      <w:jc w:val="both"/>
    </w:pPr>
    <w:rPr>
      <w:rFonts w:ascii="Calibri" w:hAnsi="Calibri" w:cs="Times New Roman"/>
      <w:kern w:val="2"/>
      <w:szCs w:val="22"/>
    </w:rPr>
  </w:style>
  <w:style w:type="paragraph" w:customStyle="1" w:styleId="1562">
    <w:name w:val="1562"/>
    <w:uiPriority w:val="99"/>
    <w:qFormat/>
    <w:rPr>
      <w:sz w:val="21"/>
      <w:szCs w:val="24"/>
    </w:rPr>
  </w:style>
  <w:style w:type="paragraph" w:customStyle="1" w:styleId="1561">
    <w:name w:val="1561"/>
    <w:uiPriority w:val="99"/>
    <w:qFormat/>
    <w:pPr>
      <w:widowControl w:val="0"/>
      <w:autoSpaceDE w:val="0"/>
      <w:autoSpaceDN w:val="0"/>
      <w:adjustRightInd w:val="0"/>
    </w:pPr>
    <w:rPr>
      <w:rFonts w:ascii="黑体" w:eastAsia="黑体" w:cs="黑体"/>
      <w:color w:val="000000"/>
      <w:sz w:val="24"/>
      <w:szCs w:val="24"/>
    </w:rPr>
  </w:style>
  <w:style w:type="paragraph" w:customStyle="1" w:styleId="1560">
    <w:name w:val="1560"/>
    <w:uiPriority w:val="99"/>
    <w:qFormat/>
    <w:pPr>
      <w:snapToGrid w:val="0"/>
      <w:jc w:val="center"/>
    </w:pPr>
    <w:rPr>
      <w:color w:val="000000"/>
      <w:spacing w:val="-10"/>
      <w:sz w:val="22"/>
      <w:szCs w:val="22"/>
      <w:lang w:eastAsia="en-US"/>
    </w:rPr>
  </w:style>
  <w:style w:type="paragraph" w:customStyle="1" w:styleId="1558">
    <w:name w:val="1558"/>
    <w:basedOn w:val="1778"/>
    <w:uiPriority w:val="99"/>
    <w:qFormat/>
    <w:pPr>
      <w:spacing w:before="40"/>
      <w:ind w:left="450" w:hanging="450"/>
    </w:pPr>
    <w:rPr>
      <w:rFonts w:eastAsia="华文楷体"/>
      <w:color w:val="000000"/>
      <w:sz w:val="18"/>
      <w:szCs w:val="24"/>
    </w:rPr>
  </w:style>
  <w:style w:type="paragraph" w:customStyle="1" w:styleId="1557">
    <w:name w:val="1557"/>
    <w:uiPriority w:val="99"/>
    <w:qFormat/>
    <w:pPr>
      <w:snapToGrid w:val="0"/>
      <w:jc w:val="center"/>
    </w:pPr>
    <w:rPr>
      <w:rFonts w:ascii="Calibri" w:hAnsi="Calibri"/>
      <w:color w:val="000000"/>
      <w:spacing w:val="-10"/>
      <w:sz w:val="22"/>
      <w:szCs w:val="22"/>
      <w:lang w:eastAsia="en-US"/>
    </w:rPr>
  </w:style>
  <w:style w:type="paragraph" w:customStyle="1" w:styleId="1556">
    <w:name w:val="1556"/>
    <w:basedOn w:val="1777"/>
    <w:uiPriority w:val="39"/>
    <w:qFormat/>
    <w:pPr>
      <w:widowControl/>
      <w:spacing w:before="480" w:after="0" w:line="276" w:lineRule="auto"/>
      <w:outlineLvl w:val="9"/>
    </w:pPr>
    <w:rPr>
      <w:rFonts w:ascii="Cambria" w:eastAsia="宋体" w:hAnsi="Cambria"/>
      <w:color w:val="365F91"/>
      <w:kern w:val="0"/>
      <w:szCs w:val="28"/>
    </w:rPr>
  </w:style>
  <w:style w:type="paragraph" w:customStyle="1" w:styleId="1555">
    <w:name w:val="1555"/>
    <w:uiPriority w:val="99"/>
    <w:semiHidden/>
    <w:qFormat/>
    <w:rPr>
      <w:kern w:val="2"/>
      <w:sz w:val="21"/>
      <w:szCs w:val="22"/>
    </w:rPr>
  </w:style>
  <w:style w:type="paragraph" w:customStyle="1" w:styleId="1554">
    <w:name w:val="1554"/>
    <w:basedOn w:val="1778"/>
    <w:next w:val="a8"/>
    <w:uiPriority w:val="34"/>
    <w:qFormat/>
    <w:pPr>
      <w:widowControl w:val="0"/>
      <w:ind w:firstLineChars="200" w:firstLine="420"/>
      <w:jc w:val="both"/>
    </w:pPr>
    <w:rPr>
      <w:rFonts w:ascii="Calibri" w:hAnsi="Calibri" w:cs="Times New Roman"/>
      <w:kern w:val="2"/>
      <w:szCs w:val="22"/>
    </w:rPr>
  </w:style>
  <w:style w:type="paragraph" w:customStyle="1" w:styleId="1553">
    <w:name w:val="1553"/>
    <w:basedOn w:val="1778"/>
    <w:next w:val="a8"/>
    <w:uiPriority w:val="34"/>
    <w:qFormat/>
    <w:pPr>
      <w:widowControl w:val="0"/>
      <w:ind w:firstLineChars="200" w:firstLine="420"/>
      <w:jc w:val="both"/>
    </w:pPr>
    <w:rPr>
      <w:rFonts w:ascii="Calibri" w:hAnsi="Calibri" w:cs="Times New Roman"/>
      <w:kern w:val="2"/>
      <w:szCs w:val="22"/>
    </w:rPr>
  </w:style>
  <w:style w:type="paragraph" w:customStyle="1" w:styleId="1552">
    <w:name w:val="1552"/>
    <w:basedOn w:val="1714"/>
    <w:uiPriority w:val="99"/>
    <w:qFormat/>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1551">
    <w:name w:val="1551"/>
    <w:basedOn w:val="1714"/>
    <w:uiPriority w:val="99"/>
    <w:semiHidden/>
    <w:qFormat/>
    <w:pPr>
      <w:keepNext/>
      <w:keepLines/>
      <w:widowControl w:val="0"/>
      <w:spacing w:before="60" w:after="60"/>
      <w:ind w:left="200" w:hangingChars="200" w:hanging="200"/>
      <w:jc w:val="both"/>
      <w:outlineLvl w:val="1"/>
    </w:pPr>
    <w:rPr>
      <w:rFonts w:ascii="Arial" w:hAnsi="Arial" w:cs="Times New Roman"/>
      <w:b/>
      <w:bCs/>
      <w:kern w:val="2"/>
    </w:rPr>
  </w:style>
  <w:style w:type="paragraph" w:customStyle="1" w:styleId="1550">
    <w:name w:val="1550"/>
    <w:basedOn w:val="1714"/>
    <w:uiPriority w:val="99"/>
    <w:semiHidden/>
    <w:qFormat/>
    <w:pPr>
      <w:keepNext/>
      <w:keepLines/>
      <w:widowControl w:val="0"/>
      <w:spacing w:before="60" w:after="60"/>
      <w:jc w:val="both"/>
      <w:outlineLvl w:val="2"/>
    </w:pPr>
    <w:rPr>
      <w:rFonts w:ascii="Calibri" w:hAnsi="Calibri" w:cs="Times New Roman"/>
      <w:b/>
      <w:bCs/>
      <w:kern w:val="2"/>
      <w:szCs w:val="32"/>
    </w:rPr>
  </w:style>
  <w:style w:type="paragraph" w:customStyle="1" w:styleId="1549">
    <w:name w:val="1549"/>
    <w:basedOn w:val="1714"/>
    <w:uiPriority w:val="99"/>
    <w:semiHidden/>
    <w:qFormat/>
    <w:pPr>
      <w:keepNext/>
      <w:keepLines/>
      <w:widowControl w:val="0"/>
      <w:spacing w:before="60" w:after="60"/>
      <w:jc w:val="both"/>
      <w:outlineLvl w:val="3"/>
    </w:pPr>
    <w:rPr>
      <w:rFonts w:ascii="Cambria" w:hAnsi="Cambria" w:cs="Times New Roman"/>
      <w:b/>
      <w:bCs/>
      <w:kern w:val="2"/>
      <w:szCs w:val="28"/>
    </w:rPr>
  </w:style>
  <w:style w:type="paragraph" w:customStyle="1" w:styleId="1548">
    <w:name w:val="1548"/>
    <w:basedOn w:val="1714"/>
    <w:uiPriority w:val="99"/>
    <w:semiHidden/>
    <w:qFormat/>
    <w:pPr>
      <w:keepNext/>
      <w:keepLines/>
      <w:widowControl w:val="0"/>
      <w:spacing w:before="60" w:after="60"/>
      <w:jc w:val="both"/>
      <w:outlineLvl w:val="4"/>
    </w:pPr>
    <w:rPr>
      <w:rFonts w:ascii="Calibri" w:hAnsi="Calibri" w:cs="Times New Roman"/>
      <w:b/>
      <w:bCs/>
      <w:kern w:val="2"/>
      <w:szCs w:val="28"/>
    </w:rPr>
  </w:style>
  <w:style w:type="paragraph" w:customStyle="1" w:styleId="1547">
    <w:name w:val="1547"/>
    <w:basedOn w:val="1714"/>
    <w:uiPriority w:val="99"/>
    <w:semiHidden/>
    <w:qFormat/>
    <w:pPr>
      <w:keepNext/>
      <w:keepLines/>
      <w:spacing w:before="60" w:after="60"/>
      <w:outlineLvl w:val="5"/>
    </w:pPr>
    <w:rPr>
      <w:rFonts w:ascii="Cambria" w:hAnsi="Cambria" w:cs="Times New Roman"/>
      <w:b/>
      <w:bCs/>
    </w:rPr>
  </w:style>
  <w:style w:type="paragraph" w:customStyle="1" w:styleId="1546">
    <w:name w:val="1546"/>
    <w:basedOn w:val="1714"/>
    <w:uiPriority w:val="99"/>
    <w:semiHidden/>
    <w:qFormat/>
    <w:pPr>
      <w:keepNext/>
      <w:keepLines/>
      <w:spacing w:before="240" w:after="64" w:line="319" w:lineRule="auto"/>
      <w:outlineLvl w:val="6"/>
    </w:pPr>
    <w:rPr>
      <w:b/>
      <w:bCs/>
      <w:sz w:val="24"/>
    </w:rPr>
  </w:style>
  <w:style w:type="paragraph" w:customStyle="1" w:styleId="1545">
    <w:name w:val="1545"/>
    <w:basedOn w:val="1714"/>
    <w:uiPriority w:val="99"/>
    <w:semiHidden/>
    <w:qFormat/>
    <w:pPr>
      <w:keepNext/>
      <w:keepLines/>
      <w:widowControl w:val="0"/>
      <w:adjustRightInd w:val="0"/>
      <w:spacing w:before="240" w:after="64" w:line="320" w:lineRule="atLeast"/>
      <w:outlineLvl w:val="7"/>
    </w:pPr>
    <w:rPr>
      <w:rFonts w:ascii="Arial" w:eastAsia="黑体" w:hAnsi="Arial" w:cs="Times New Roman"/>
      <w:bCs/>
      <w:color w:val="000000"/>
      <w:sz w:val="24"/>
      <w:szCs w:val="20"/>
    </w:rPr>
  </w:style>
  <w:style w:type="paragraph" w:customStyle="1" w:styleId="1544">
    <w:name w:val="1544"/>
    <w:basedOn w:val="1714"/>
    <w:uiPriority w:val="99"/>
    <w:semiHidden/>
    <w:qFormat/>
    <w:pPr>
      <w:keepNext/>
      <w:keepLines/>
      <w:widowControl w:val="0"/>
      <w:adjustRightInd w:val="0"/>
      <w:spacing w:before="240" w:after="64" w:line="320" w:lineRule="atLeast"/>
      <w:outlineLvl w:val="8"/>
    </w:pPr>
    <w:rPr>
      <w:rFonts w:ascii="Arial" w:eastAsia="黑体" w:hAnsi="Arial" w:cs="Times New Roman"/>
      <w:bCs/>
      <w:color w:val="000000"/>
      <w:sz w:val="24"/>
      <w:szCs w:val="20"/>
    </w:rPr>
  </w:style>
  <w:style w:type="paragraph" w:customStyle="1" w:styleId="1542">
    <w:name w:val="1542"/>
    <w:basedOn w:val="1714"/>
    <w:uiPriority w:val="99"/>
    <w:qFormat/>
    <w:pPr>
      <w:widowControl w:val="0"/>
      <w:ind w:leftChars="1200" w:left="2520"/>
      <w:jc w:val="both"/>
    </w:pPr>
    <w:rPr>
      <w:rFonts w:ascii="Calibri" w:hAnsi="Calibri" w:cs="Times New Roman"/>
      <w:kern w:val="2"/>
      <w:szCs w:val="22"/>
    </w:rPr>
  </w:style>
  <w:style w:type="paragraph" w:customStyle="1" w:styleId="1541">
    <w:name w:val="1541"/>
    <w:basedOn w:val="1714"/>
    <w:uiPriority w:val="99"/>
    <w:qFormat/>
    <w:pPr>
      <w:widowControl w:val="0"/>
      <w:ind w:firstLineChars="200" w:firstLine="420"/>
      <w:jc w:val="both"/>
    </w:pPr>
    <w:rPr>
      <w:rFonts w:ascii="Times New Roman" w:hAnsi="Times New Roman" w:cs="Times New Roman"/>
      <w:kern w:val="2"/>
    </w:rPr>
  </w:style>
  <w:style w:type="paragraph" w:customStyle="1" w:styleId="1540">
    <w:name w:val="1540"/>
    <w:basedOn w:val="1714"/>
    <w:uiPriority w:val="99"/>
    <w:qFormat/>
    <w:pPr>
      <w:widowControl w:val="0"/>
      <w:jc w:val="both"/>
    </w:pPr>
    <w:rPr>
      <w:rFonts w:hAnsi="Calibri" w:cs="Times New Roman"/>
      <w:kern w:val="2"/>
      <w:sz w:val="18"/>
      <w:szCs w:val="18"/>
    </w:rPr>
  </w:style>
  <w:style w:type="paragraph" w:customStyle="1" w:styleId="1539">
    <w:name w:val="1539"/>
    <w:basedOn w:val="1714"/>
    <w:uiPriority w:val="99"/>
    <w:qFormat/>
    <w:pPr>
      <w:widowControl w:val="0"/>
      <w:spacing w:before="120"/>
      <w:jc w:val="both"/>
    </w:pPr>
    <w:rPr>
      <w:rFonts w:ascii="Arial" w:hAnsi="Arial" w:cs="Times New Roman"/>
      <w:b/>
      <w:bCs/>
      <w:kern w:val="2"/>
    </w:rPr>
  </w:style>
  <w:style w:type="paragraph" w:customStyle="1" w:styleId="1538">
    <w:name w:val="1538"/>
    <w:basedOn w:val="1714"/>
    <w:uiPriority w:val="99"/>
    <w:qFormat/>
    <w:pPr>
      <w:widowControl w:val="0"/>
    </w:pPr>
    <w:rPr>
      <w:rFonts w:ascii="Times New Roman" w:hAnsi="Times New Roman" w:cs="Times New Roman"/>
      <w:kern w:val="2"/>
    </w:rPr>
  </w:style>
  <w:style w:type="paragraph" w:customStyle="1" w:styleId="1537">
    <w:name w:val="1537"/>
    <w:basedOn w:val="1714"/>
    <w:uiPriority w:val="99"/>
    <w:qFormat/>
    <w:pPr>
      <w:widowControl w:val="0"/>
      <w:jc w:val="both"/>
    </w:pPr>
    <w:rPr>
      <w:rFonts w:ascii="Times New Roman" w:hAnsi="Times New Roman" w:cs="Times New Roman"/>
      <w:kern w:val="2"/>
    </w:rPr>
  </w:style>
  <w:style w:type="paragraph" w:customStyle="1" w:styleId="1536">
    <w:name w:val="1536"/>
    <w:basedOn w:val="1714"/>
    <w:uiPriority w:val="99"/>
    <w:qFormat/>
    <w:pPr>
      <w:widowControl w:val="0"/>
      <w:tabs>
        <w:tab w:val="left" w:pos="1200"/>
      </w:tabs>
      <w:jc w:val="both"/>
    </w:pPr>
    <w:rPr>
      <w:rFonts w:ascii="Times New Roman" w:hAnsi="Times New Roman" w:cs="Times New Roman"/>
      <w:kern w:val="2"/>
    </w:rPr>
  </w:style>
  <w:style w:type="paragraph" w:customStyle="1" w:styleId="1535">
    <w:name w:val="1535"/>
    <w:basedOn w:val="1714"/>
    <w:uiPriority w:val="99"/>
    <w:qFormat/>
    <w:pPr>
      <w:widowControl w:val="0"/>
      <w:spacing w:after="120"/>
      <w:jc w:val="both"/>
    </w:pPr>
    <w:rPr>
      <w:rFonts w:ascii="Times New Roman" w:hAnsi="Times New Roman" w:cs="Times New Roman"/>
      <w:kern w:val="2"/>
    </w:rPr>
  </w:style>
  <w:style w:type="paragraph" w:customStyle="1" w:styleId="1534">
    <w:name w:val="1534"/>
    <w:basedOn w:val="1714"/>
    <w:uiPriority w:val="99"/>
    <w:qFormat/>
    <w:pPr>
      <w:widowControl w:val="0"/>
      <w:ind w:leftChars="800" w:left="1680"/>
      <w:jc w:val="both"/>
    </w:pPr>
    <w:rPr>
      <w:rFonts w:ascii="Calibri" w:hAnsi="Calibri" w:cs="Times New Roman"/>
      <w:kern w:val="2"/>
      <w:szCs w:val="22"/>
    </w:rPr>
  </w:style>
  <w:style w:type="paragraph" w:customStyle="1" w:styleId="1533">
    <w:name w:val="1533"/>
    <w:basedOn w:val="1714"/>
    <w:uiPriority w:val="99"/>
    <w:qFormat/>
    <w:pPr>
      <w:spacing w:after="100" w:line="276" w:lineRule="auto"/>
      <w:ind w:left="440"/>
    </w:pPr>
    <w:rPr>
      <w:rFonts w:ascii="Calibri" w:hAnsi="Calibri" w:cs="Times New Roman"/>
      <w:sz w:val="22"/>
      <w:szCs w:val="22"/>
    </w:rPr>
  </w:style>
  <w:style w:type="paragraph" w:customStyle="1" w:styleId="1532">
    <w:name w:val="1532"/>
    <w:basedOn w:val="1714"/>
    <w:uiPriority w:val="99"/>
    <w:qFormat/>
    <w:pPr>
      <w:widowControl w:val="0"/>
      <w:jc w:val="both"/>
    </w:pPr>
    <w:rPr>
      <w:rFonts w:hAnsi="Courier New" w:cs="Times New Roman"/>
      <w:kern w:val="2"/>
      <w:szCs w:val="20"/>
    </w:rPr>
  </w:style>
  <w:style w:type="paragraph" w:customStyle="1" w:styleId="1531">
    <w:name w:val="1531"/>
    <w:basedOn w:val="1714"/>
    <w:uiPriority w:val="99"/>
    <w:qFormat/>
    <w:pPr>
      <w:widowControl w:val="0"/>
      <w:ind w:leftChars="1400" w:left="2940"/>
      <w:jc w:val="both"/>
    </w:pPr>
    <w:rPr>
      <w:rFonts w:ascii="Calibri" w:hAnsi="Calibri" w:cs="Times New Roman"/>
      <w:kern w:val="2"/>
      <w:szCs w:val="22"/>
    </w:rPr>
  </w:style>
  <w:style w:type="paragraph" w:customStyle="1" w:styleId="1530">
    <w:name w:val="1530"/>
    <w:basedOn w:val="1714"/>
    <w:uiPriority w:val="99"/>
    <w:qFormat/>
    <w:pPr>
      <w:widowControl w:val="0"/>
      <w:ind w:leftChars="2500" w:left="100"/>
      <w:jc w:val="both"/>
    </w:pPr>
    <w:rPr>
      <w:rFonts w:ascii="Times New Roman" w:hAnsi="Times New Roman" w:cs="Times New Roman"/>
      <w:kern w:val="2"/>
    </w:rPr>
  </w:style>
  <w:style w:type="paragraph" w:customStyle="1" w:styleId="1529">
    <w:name w:val="1529"/>
    <w:basedOn w:val="1714"/>
    <w:uiPriority w:val="99"/>
    <w:qFormat/>
    <w:pPr>
      <w:snapToGrid w:val="0"/>
    </w:pPr>
  </w:style>
  <w:style w:type="paragraph" w:customStyle="1" w:styleId="1528">
    <w:name w:val="1528"/>
    <w:basedOn w:val="1714"/>
    <w:uiPriority w:val="99"/>
    <w:qFormat/>
    <w:pPr>
      <w:widowControl w:val="0"/>
      <w:jc w:val="both"/>
    </w:pPr>
    <w:rPr>
      <w:rFonts w:ascii="Calibri" w:hAnsi="Calibri" w:cs="Times New Roman"/>
      <w:kern w:val="2"/>
      <w:sz w:val="18"/>
      <w:szCs w:val="18"/>
    </w:rPr>
  </w:style>
  <w:style w:type="paragraph" w:customStyle="1" w:styleId="1527">
    <w:name w:val="1527"/>
    <w:basedOn w:val="1714"/>
    <w:uiPriority w:val="99"/>
    <w:qFormat/>
    <w:pPr>
      <w:widowControl w:val="0"/>
      <w:tabs>
        <w:tab w:val="center" w:pos="4153"/>
        <w:tab w:val="right" w:pos="8306"/>
      </w:tabs>
      <w:snapToGrid w:val="0"/>
    </w:pPr>
    <w:rPr>
      <w:rFonts w:ascii="Calibri" w:hAnsi="Calibri" w:cs="Times New Roman"/>
      <w:kern w:val="2"/>
      <w:sz w:val="18"/>
      <w:szCs w:val="18"/>
    </w:rPr>
  </w:style>
  <w:style w:type="paragraph" w:customStyle="1" w:styleId="1526">
    <w:name w:val="1526"/>
    <w:basedOn w:val="1714"/>
    <w:uiPriority w:val="99"/>
    <w:qFormat/>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1525">
    <w:name w:val="1525"/>
    <w:basedOn w:val="1714"/>
    <w:uiPriority w:val="99"/>
    <w:qFormat/>
    <w:pPr>
      <w:widowControl w:val="0"/>
      <w:tabs>
        <w:tab w:val="left" w:pos="1260"/>
        <w:tab w:val="right" w:leader="dot" w:pos="8823"/>
      </w:tabs>
      <w:jc w:val="center"/>
    </w:pPr>
    <w:rPr>
      <w:rFonts w:ascii="Times New Roman" w:hAnsi="Times New Roman" w:cs="Times New Roman"/>
      <w:kern w:val="2"/>
    </w:rPr>
  </w:style>
  <w:style w:type="paragraph" w:customStyle="1" w:styleId="1524">
    <w:name w:val="1524"/>
    <w:basedOn w:val="1714"/>
    <w:uiPriority w:val="99"/>
    <w:qFormat/>
    <w:pPr>
      <w:widowControl w:val="0"/>
      <w:ind w:leftChars="600" w:left="1260"/>
      <w:jc w:val="both"/>
    </w:pPr>
    <w:rPr>
      <w:rFonts w:ascii="Calibri" w:hAnsi="Calibri" w:cs="Times New Roman"/>
      <w:kern w:val="2"/>
      <w:szCs w:val="22"/>
    </w:rPr>
  </w:style>
  <w:style w:type="paragraph" w:customStyle="1" w:styleId="1523">
    <w:name w:val="1523"/>
    <w:basedOn w:val="1714"/>
    <w:uiPriority w:val="99"/>
    <w:qFormat/>
    <w:pPr>
      <w:widowControl w:val="0"/>
      <w:ind w:leftChars="1000" w:left="2100"/>
      <w:jc w:val="both"/>
    </w:pPr>
    <w:rPr>
      <w:rFonts w:ascii="Calibri" w:hAnsi="Calibri" w:cs="Times New Roman"/>
      <w:kern w:val="2"/>
      <w:szCs w:val="22"/>
    </w:rPr>
  </w:style>
  <w:style w:type="paragraph" w:customStyle="1" w:styleId="1522">
    <w:name w:val="1522"/>
    <w:basedOn w:val="1714"/>
    <w:uiPriority w:val="99"/>
    <w:qFormat/>
    <w:pPr>
      <w:widowControl w:val="0"/>
      <w:ind w:leftChars="200" w:left="420"/>
      <w:jc w:val="both"/>
    </w:pPr>
    <w:rPr>
      <w:rFonts w:ascii="Times New Roman" w:hAnsi="Times New Roman" w:cs="Times New Roman"/>
      <w:kern w:val="2"/>
    </w:rPr>
  </w:style>
  <w:style w:type="paragraph" w:customStyle="1" w:styleId="1521">
    <w:name w:val="1521"/>
    <w:basedOn w:val="1714"/>
    <w:uiPriority w:val="99"/>
    <w:qFormat/>
    <w:pPr>
      <w:widowControl w:val="0"/>
      <w:ind w:leftChars="1600" w:left="3360"/>
      <w:jc w:val="both"/>
    </w:pPr>
    <w:rPr>
      <w:rFonts w:ascii="Calibri" w:hAnsi="Calibri" w:cs="Times New Roman"/>
      <w:kern w:val="2"/>
      <w:szCs w:val="22"/>
    </w:rPr>
  </w:style>
  <w:style w:type="paragraph" w:customStyle="1" w:styleId="1520">
    <w:name w:val="1520"/>
    <w:basedOn w:val="1714"/>
    <w:uiPriority w:val="99"/>
    <w:qFormat/>
    <w:pPr>
      <w:spacing w:before="100" w:beforeAutospacing="1" w:after="100" w:afterAutospacing="1"/>
    </w:pPr>
    <w:rPr>
      <w:sz w:val="24"/>
    </w:rPr>
  </w:style>
  <w:style w:type="paragraph" w:customStyle="1" w:styleId="1519">
    <w:name w:val="1519"/>
    <w:basedOn w:val="1714"/>
    <w:uiPriority w:val="99"/>
    <w:qFormat/>
    <w:pPr>
      <w:ind w:firstLineChars="200" w:firstLine="420"/>
    </w:pPr>
    <w:rPr>
      <w:rFonts w:cs="Times New Roman"/>
      <w:color w:val="000000"/>
    </w:rPr>
  </w:style>
  <w:style w:type="paragraph" w:customStyle="1" w:styleId="1518">
    <w:name w:val="1518"/>
    <w:basedOn w:val="1714"/>
    <w:uiPriority w:val="99"/>
    <w:qFormat/>
    <w:pPr>
      <w:widowControl w:val="0"/>
      <w:spacing w:before="240" w:after="60"/>
      <w:jc w:val="center"/>
      <w:outlineLvl w:val="0"/>
    </w:pPr>
    <w:rPr>
      <w:rFonts w:ascii="Cambria" w:hAnsi="Cambria" w:cs="Times New Roman"/>
      <w:b/>
      <w:bCs/>
      <w:kern w:val="2"/>
      <w:sz w:val="32"/>
      <w:szCs w:val="32"/>
    </w:rPr>
  </w:style>
  <w:style w:type="paragraph" w:customStyle="1" w:styleId="1517">
    <w:name w:val="1517"/>
    <w:basedOn w:val="1538"/>
    <w:uiPriority w:val="99"/>
    <w:qFormat/>
    <w:rPr>
      <w:rFonts w:ascii="Calibri" w:hAnsi="Calibri"/>
      <w:b/>
      <w:bCs/>
      <w:szCs w:val="22"/>
    </w:rPr>
  </w:style>
  <w:style w:type="paragraph" w:customStyle="1" w:styleId="1507">
    <w:name w:val="1507"/>
    <w:basedOn w:val="1552"/>
    <w:uiPriority w:val="39"/>
    <w:qFormat/>
    <w:pPr>
      <w:widowControl/>
      <w:spacing w:before="480" w:after="0" w:line="276" w:lineRule="auto"/>
      <w:outlineLvl w:val="9"/>
    </w:pPr>
    <w:rPr>
      <w:rFonts w:ascii="Cambria" w:eastAsia="宋体" w:hAnsi="Cambria"/>
      <w:color w:val="365F91"/>
      <w:kern w:val="0"/>
      <w:szCs w:val="28"/>
    </w:rPr>
  </w:style>
  <w:style w:type="paragraph" w:customStyle="1" w:styleId="1502">
    <w:name w:val="1502"/>
    <w:basedOn w:val="1714"/>
    <w:uiPriority w:val="99"/>
    <w:qFormat/>
    <w:pPr>
      <w:spacing w:before="100" w:after="100"/>
      <w:jc w:val="right"/>
    </w:pPr>
    <w:rPr>
      <w:rFonts w:ascii="Arial Unicode MS" w:eastAsia="Arial Unicode MS" w:hAnsi="Times New Roman" w:cs="Times New Roman"/>
      <w:sz w:val="18"/>
      <w:szCs w:val="18"/>
    </w:rPr>
  </w:style>
  <w:style w:type="paragraph" w:customStyle="1" w:styleId="1501">
    <w:name w:val="1501"/>
    <w:basedOn w:val="1714"/>
    <w:uiPriority w:val="34"/>
    <w:qFormat/>
    <w:pPr>
      <w:widowControl w:val="0"/>
      <w:ind w:firstLineChars="200" w:firstLine="420"/>
      <w:jc w:val="both"/>
    </w:pPr>
    <w:rPr>
      <w:rFonts w:ascii="Calibri" w:hAnsi="Calibri" w:cs="Times New Roman"/>
      <w:kern w:val="2"/>
      <w:szCs w:val="22"/>
    </w:rPr>
  </w:style>
  <w:style w:type="paragraph" w:customStyle="1" w:styleId="1494">
    <w:name w:val="1494"/>
    <w:basedOn w:val="1714"/>
    <w:uiPriority w:val="99"/>
    <w:qFormat/>
    <w:pPr>
      <w:tabs>
        <w:tab w:val="left" w:pos="709"/>
      </w:tabs>
      <w:overflowPunct w:val="0"/>
      <w:autoSpaceDE w:val="0"/>
      <w:autoSpaceDN w:val="0"/>
      <w:adjustRightInd w:val="0"/>
      <w:jc w:val="both"/>
    </w:pPr>
    <w:rPr>
      <w:rFonts w:ascii="Helvetica-Narrow" w:hAnsi="Helvetica-Narrow" w:cs="Times New Roman"/>
      <w:lang w:val="en-AU"/>
    </w:rPr>
  </w:style>
  <w:style w:type="paragraph" w:customStyle="1" w:styleId="1491">
    <w:name w:val="1491"/>
    <w:basedOn w:val="1714"/>
    <w:uiPriority w:val="99"/>
    <w:qFormat/>
    <w:pPr>
      <w:keepNext/>
      <w:keepLines/>
      <w:widowControl w:val="0"/>
      <w:spacing w:before="60" w:after="60"/>
      <w:ind w:hangingChars="200" w:hanging="420"/>
      <w:jc w:val="both"/>
      <w:outlineLvl w:val="4"/>
    </w:pPr>
    <w:rPr>
      <w:rFonts w:cs="Times New Roman"/>
      <w:b/>
      <w:bCs/>
      <w:kern w:val="2"/>
    </w:rPr>
  </w:style>
  <w:style w:type="paragraph" w:customStyle="1" w:styleId="1490">
    <w:name w:val="1490"/>
    <w:uiPriority w:val="99"/>
    <w:semiHidden/>
    <w:qFormat/>
    <w:rPr>
      <w:kern w:val="2"/>
      <w:sz w:val="21"/>
      <w:szCs w:val="22"/>
    </w:rPr>
  </w:style>
  <w:style w:type="paragraph" w:customStyle="1" w:styleId="1488">
    <w:name w:val="1488"/>
    <w:basedOn w:val="1714"/>
    <w:uiPriority w:val="99"/>
    <w:qFormat/>
    <w:pPr>
      <w:widowControl w:val="0"/>
      <w:spacing w:before="100" w:after="100"/>
      <w:jc w:val="both"/>
    </w:pPr>
    <w:rPr>
      <w:rFonts w:ascii="Calibri" w:hAnsi="Calibri" w:cs="Times New Roman"/>
      <w:kern w:val="2"/>
    </w:rPr>
  </w:style>
  <w:style w:type="paragraph" w:customStyle="1" w:styleId="1484">
    <w:name w:val="1484"/>
    <w:uiPriority w:val="1"/>
    <w:qFormat/>
    <w:pPr>
      <w:widowControl w:val="0"/>
      <w:jc w:val="both"/>
    </w:pPr>
    <w:rPr>
      <w:kern w:val="2"/>
      <w:sz w:val="21"/>
      <w:szCs w:val="22"/>
    </w:rPr>
  </w:style>
  <w:style w:type="paragraph" w:customStyle="1" w:styleId="1480">
    <w:name w:val="1480"/>
    <w:uiPriority w:val="99"/>
    <w:qFormat/>
    <w:rPr>
      <w:rFonts w:ascii="Calibri" w:hAnsi="Calibri"/>
      <w:b/>
      <w:sz w:val="21"/>
      <w:szCs w:val="22"/>
    </w:rPr>
  </w:style>
  <w:style w:type="paragraph" w:customStyle="1" w:styleId="1479">
    <w:name w:val="1479"/>
    <w:basedOn w:val="1714"/>
    <w:uiPriority w:val="99"/>
    <w:qFormat/>
    <w:pPr>
      <w:widowControl w:val="0"/>
    </w:pPr>
    <w:rPr>
      <w:rFonts w:ascii="Times New Roman" w:hAnsi="Times New Roman" w:cs="Times New Roman"/>
      <w:kern w:val="2"/>
    </w:rPr>
  </w:style>
  <w:style w:type="paragraph" w:customStyle="1" w:styleId="1478">
    <w:name w:val="1478"/>
    <w:basedOn w:val="1714"/>
    <w:uiPriority w:val="99"/>
    <w:qFormat/>
    <w:pPr>
      <w:keepNext/>
      <w:keepLines/>
      <w:widowControl w:val="0"/>
      <w:spacing w:before="100" w:beforeAutospacing="1" w:after="100" w:afterAutospacing="1" w:line="412" w:lineRule="auto"/>
      <w:jc w:val="both"/>
    </w:pPr>
    <w:rPr>
      <w:rFonts w:ascii="Times New Roman" w:hAnsi="Times New Roman" w:cs="Times New Roman"/>
      <w:b/>
      <w:kern w:val="2"/>
    </w:rPr>
  </w:style>
  <w:style w:type="paragraph" w:customStyle="1" w:styleId="1472">
    <w:name w:val="1472"/>
    <w:basedOn w:val="1714"/>
    <w:uiPriority w:val="34"/>
    <w:qFormat/>
    <w:pPr>
      <w:widowControl w:val="0"/>
      <w:ind w:firstLineChars="200" w:firstLine="420"/>
      <w:jc w:val="both"/>
    </w:pPr>
    <w:rPr>
      <w:rFonts w:ascii="Calibri" w:hAnsi="Calibri" w:cs="Times New Roman"/>
      <w:kern w:val="2"/>
      <w:szCs w:val="22"/>
    </w:rPr>
  </w:style>
  <w:style w:type="paragraph" w:customStyle="1" w:styleId="1471">
    <w:name w:val="1471"/>
    <w:basedOn w:val="1714"/>
    <w:uiPriority w:val="34"/>
    <w:qFormat/>
    <w:pPr>
      <w:widowControl w:val="0"/>
      <w:ind w:firstLineChars="200" w:firstLine="420"/>
      <w:jc w:val="both"/>
    </w:pPr>
    <w:rPr>
      <w:rFonts w:ascii="Calibri" w:hAnsi="Calibri" w:cs="Times New Roman"/>
      <w:kern w:val="2"/>
      <w:szCs w:val="22"/>
    </w:rPr>
  </w:style>
  <w:style w:type="paragraph" w:customStyle="1" w:styleId="1469">
    <w:name w:val="1469"/>
    <w:basedOn w:val="1714"/>
    <w:uiPriority w:val="34"/>
    <w:qFormat/>
    <w:pPr>
      <w:widowControl w:val="0"/>
      <w:ind w:firstLineChars="200" w:firstLine="420"/>
      <w:jc w:val="both"/>
    </w:pPr>
    <w:rPr>
      <w:rFonts w:ascii="Calibri" w:hAnsi="Calibri" w:cs="Times New Roman"/>
      <w:kern w:val="2"/>
      <w:szCs w:val="22"/>
    </w:rPr>
  </w:style>
  <w:style w:type="paragraph" w:customStyle="1" w:styleId="1468">
    <w:name w:val="1468"/>
    <w:basedOn w:val="1714"/>
    <w:uiPriority w:val="34"/>
    <w:qFormat/>
    <w:pPr>
      <w:widowControl w:val="0"/>
      <w:ind w:firstLineChars="200" w:firstLine="420"/>
      <w:jc w:val="both"/>
    </w:pPr>
    <w:rPr>
      <w:rFonts w:ascii="Calibri" w:hAnsi="Calibri" w:cs="Times New Roman"/>
      <w:kern w:val="2"/>
      <w:szCs w:val="22"/>
    </w:rPr>
  </w:style>
  <w:style w:type="paragraph" w:customStyle="1" w:styleId="1467">
    <w:name w:val="1467"/>
    <w:basedOn w:val="1714"/>
    <w:uiPriority w:val="1"/>
    <w:qFormat/>
    <w:pPr>
      <w:widowControl w:val="0"/>
      <w:autoSpaceDE w:val="0"/>
      <w:autoSpaceDN w:val="0"/>
      <w:spacing w:after="160" w:line="256" w:lineRule="auto"/>
    </w:pPr>
    <w:rPr>
      <w:rFonts w:ascii="Noto Sans CJK JP Regular" w:eastAsia="Noto Sans CJK JP Regular" w:hAnsi="Noto Sans CJK JP Regular" w:cs="Noto Sans CJK JP Regular"/>
      <w:sz w:val="22"/>
      <w:szCs w:val="22"/>
      <w:lang w:eastAsia="en-US"/>
    </w:rPr>
  </w:style>
  <w:style w:type="paragraph" w:customStyle="1" w:styleId="1465">
    <w:name w:val="1465"/>
    <w:basedOn w:val="1714"/>
    <w:uiPriority w:val="99"/>
    <w:qFormat/>
    <w:pPr>
      <w:widowControl w:val="0"/>
      <w:jc w:val="both"/>
    </w:pPr>
    <w:rPr>
      <w:rFonts w:ascii="Times New Roman" w:hAnsi="Times New Roman" w:cs="Times New Roman"/>
      <w:kern w:val="2"/>
    </w:rPr>
  </w:style>
  <w:style w:type="paragraph" w:customStyle="1" w:styleId="1463">
    <w:name w:val="1463"/>
    <w:basedOn w:val="1714"/>
    <w:uiPriority w:val="34"/>
    <w:qFormat/>
    <w:pPr>
      <w:widowControl w:val="0"/>
      <w:ind w:firstLineChars="200" w:firstLine="420"/>
      <w:jc w:val="both"/>
    </w:pPr>
    <w:rPr>
      <w:rFonts w:ascii="Calibri" w:hAnsi="Calibri" w:cs="Times New Roman"/>
      <w:kern w:val="2"/>
      <w:szCs w:val="22"/>
    </w:rPr>
  </w:style>
  <w:style w:type="paragraph" w:customStyle="1" w:styleId="1458">
    <w:name w:val="1458"/>
    <w:basedOn w:val="1714"/>
    <w:uiPriority w:val="34"/>
    <w:qFormat/>
    <w:pPr>
      <w:widowControl w:val="0"/>
      <w:ind w:firstLineChars="200" w:firstLine="420"/>
      <w:jc w:val="both"/>
    </w:pPr>
    <w:rPr>
      <w:rFonts w:ascii="Calibri" w:hAnsi="Calibri" w:cs="Times New Roman"/>
      <w:kern w:val="2"/>
      <w:szCs w:val="22"/>
    </w:rPr>
  </w:style>
  <w:style w:type="paragraph" w:customStyle="1" w:styleId="1456">
    <w:name w:val="1456"/>
    <w:basedOn w:val="1714"/>
    <w:uiPriority w:val="99"/>
    <w:qFormat/>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1452">
    <w:name w:val="1452"/>
    <w:basedOn w:val="1714"/>
    <w:uiPriority w:val="99"/>
    <w:qFormat/>
    <w:pPr>
      <w:widowControl w:val="0"/>
      <w:jc w:val="both"/>
    </w:pPr>
    <w:rPr>
      <w:rFonts w:ascii="Times New Roman" w:hAnsi="Times New Roman" w:cs="Times New Roman"/>
      <w:bCs/>
      <w:kern w:val="2"/>
      <w:sz w:val="24"/>
      <w:szCs w:val="24"/>
    </w:rPr>
  </w:style>
  <w:style w:type="paragraph" w:customStyle="1" w:styleId="1451">
    <w:name w:val="1451"/>
    <w:basedOn w:val="1714"/>
    <w:uiPriority w:val="99"/>
    <w:qFormat/>
    <w:pPr>
      <w:widowControl w:val="0"/>
      <w:tabs>
        <w:tab w:val="left" w:pos="315"/>
      </w:tabs>
      <w:ind w:left="315" w:hanging="315"/>
      <w:jc w:val="both"/>
    </w:pPr>
    <w:rPr>
      <w:rFonts w:ascii="Times New Roman" w:hAnsi="Times New Roman" w:cs="Times New Roman"/>
      <w:bCs/>
      <w:kern w:val="2"/>
      <w:sz w:val="24"/>
      <w:szCs w:val="24"/>
    </w:rPr>
  </w:style>
  <w:style w:type="paragraph" w:customStyle="1" w:styleId="1450">
    <w:name w:val="1450"/>
    <w:basedOn w:val="1714"/>
    <w:uiPriority w:val="99"/>
    <w:qFormat/>
    <w:pPr>
      <w:widowControl w:val="0"/>
      <w:autoSpaceDE w:val="0"/>
      <w:autoSpaceDN w:val="0"/>
      <w:adjustRightInd w:val="0"/>
    </w:pPr>
    <w:rPr>
      <w:rFonts w:ascii="Times New Roman" w:hAnsi="Times New Roman" w:cs="Times New Roman"/>
      <w:bCs/>
      <w:kern w:val="2"/>
      <w:sz w:val="30"/>
      <w:szCs w:val="20"/>
    </w:rPr>
  </w:style>
  <w:style w:type="paragraph" w:customStyle="1" w:styleId="1445">
    <w:name w:val="1445"/>
    <w:basedOn w:val="1714"/>
    <w:uiPriority w:val="99"/>
    <w:qFormat/>
    <w:pPr>
      <w:keepNext/>
      <w:keepLines/>
      <w:widowControl w:val="0"/>
      <w:tabs>
        <w:tab w:val="left" w:pos="546"/>
      </w:tabs>
      <w:adjustRightInd w:val="0"/>
      <w:spacing w:before="120" w:after="120" w:line="480" w:lineRule="atLeast"/>
      <w:ind w:left="420" w:hanging="420"/>
      <w:outlineLvl w:val="1"/>
    </w:pPr>
    <w:rPr>
      <w:rFonts w:cs="Times New Roman"/>
      <w:bCs/>
      <w:color w:val="000000"/>
    </w:rPr>
  </w:style>
  <w:style w:type="paragraph" w:customStyle="1" w:styleId="1444">
    <w:name w:val="1444"/>
    <w:basedOn w:val="1714"/>
    <w:uiPriority w:val="39"/>
    <w:qFormat/>
    <w:pPr>
      <w:tabs>
        <w:tab w:val="right" w:leader="dot" w:pos="8296"/>
      </w:tabs>
      <w:ind w:leftChars="200" w:left="420"/>
      <w:jc w:val="center"/>
    </w:pPr>
    <w:rPr>
      <w:rFonts w:cs="Times New Roman"/>
      <w:b/>
      <w:bCs/>
      <w:color w:val="000000"/>
      <w:sz w:val="32"/>
      <w:szCs w:val="32"/>
    </w:rPr>
  </w:style>
  <w:style w:type="paragraph" w:customStyle="1" w:styleId="1443">
    <w:name w:val="1443"/>
    <w:basedOn w:val="1714"/>
    <w:uiPriority w:val="39"/>
    <w:qFormat/>
    <w:rPr>
      <w:rFonts w:cs="Times New Roman"/>
      <w:bCs/>
      <w:color w:val="000000"/>
      <w:szCs w:val="20"/>
    </w:rPr>
  </w:style>
  <w:style w:type="paragraph" w:customStyle="1" w:styleId="1442">
    <w:name w:val="1442"/>
    <w:basedOn w:val="1714"/>
    <w:uiPriority w:val="39"/>
    <w:qFormat/>
    <w:pPr>
      <w:spacing w:after="100" w:line="276" w:lineRule="auto"/>
      <w:ind w:left="440"/>
    </w:pPr>
    <w:rPr>
      <w:rFonts w:ascii="Calibri" w:hAnsi="Calibri" w:cs="Times New Roman"/>
      <w:bCs/>
      <w:sz w:val="22"/>
      <w:szCs w:val="22"/>
    </w:rPr>
  </w:style>
  <w:style w:type="paragraph" w:customStyle="1" w:styleId="1441">
    <w:name w:val="1441"/>
    <w:basedOn w:val="1714"/>
    <w:uiPriority w:val="39"/>
    <w:qFormat/>
    <w:pPr>
      <w:widowControl w:val="0"/>
      <w:ind w:leftChars="600" w:left="1260"/>
      <w:jc w:val="both"/>
    </w:pPr>
    <w:rPr>
      <w:rFonts w:ascii="Calibri" w:hAnsi="Calibri" w:cs="Times New Roman"/>
      <w:bCs/>
      <w:kern w:val="2"/>
      <w:szCs w:val="22"/>
    </w:rPr>
  </w:style>
  <w:style w:type="paragraph" w:customStyle="1" w:styleId="1440">
    <w:name w:val="1440"/>
    <w:basedOn w:val="1714"/>
    <w:uiPriority w:val="39"/>
    <w:qFormat/>
    <w:pPr>
      <w:widowControl w:val="0"/>
      <w:ind w:leftChars="800" w:left="1680"/>
      <w:jc w:val="both"/>
    </w:pPr>
    <w:rPr>
      <w:rFonts w:ascii="Calibri" w:hAnsi="Calibri" w:cs="Times New Roman"/>
      <w:bCs/>
      <w:kern w:val="2"/>
      <w:szCs w:val="22"/>
    </w:rPr>
  </w:style>
  <w:style w:type="paragraph" w:customStyle="1" w:styleId="1439">
    <w:name w:val="1439"/>
    <w:basedOn w:val="1714"/>
    <w:uiPriority w:val="39"/>
    <w:qFormat/>
    <w:pPr>
      <w:widowControl w:val="0"/>
      <w:ind w:leftChars="1000" w:left="2100"/>
      <w:jc w:val="both"/>
    </w:pPr>
    <w:rPr>
      <w:rFonts w:ascii="Calibri" w:hAnsi="Calibri" w:cs="Times New Roman"/>
      <w:bCs/>
      <w:kern w:val="2"/>
      <w:szCs w:val="22"/>
    </w:rPr>
  </w:style>
  <w:style w:type="paragraph" w:customStyle="1" w:styleId="1438">
    <w:name w:val="1438"/>
    <w:basedOn w:val="1714"/>
    <w:uiPriority w:val="39"/>
    <w:qFormat/>
    <w:pPr>
      <w:widowControl w:val="0"/>
      <w:ind w:leftChars="1200" w:left="2520"/>
      <w:jc w:val="both"/>
    </w:pPr>
    <w:rPr>
      <w:rFonts w:ascii="Calibri" w:hAnsi="Calibri" w:cs="Times New Roman"/>
      <w:bCs/>
      <w:kern w:val="2"/>
      <w:szCs w:val="22"/>
    </w:rPr>
  </w:style>
  <w:style w:type="paragraph" w:customStyle="1" w:styleId="1437">
    <w:name w:val="1437"/>
    <w:basedOn w:val="1714"/>
    <w:uiPriority w:val="39"/>
    <w:qFormat/>
    <w:pPr>
      <w:widowControl w:val="0"/>
      <w:ind w:leftChars="1400" w:left="2940"/>
      <w:jc w:val="both"/>
    </w:pPr>
    <w:rPr>
      <w:rFonts w:ascii="Calibri" w:hAnsi="Calibri" w:cs="Times New Roman"/>
      <w:bCs/>
      <w:kern w:val="2"/>
      <w:szCs w:val="22"/>
    </w:rPr>
  </w:style>
  <w:style w:type="paragraph" w:customStyle="1" w:styleId="1436">
    <w:name w:val="1436"/>
    <w:basedOn w:val="1714"/>
    <w:uiPriority w:val="39"/>
    <w:qFormat/>
    <w:pPr>
      <w:widowControl w:val="0"/>
      <w:ind w:leftChars="1600" w:left="3360"/>
      <w:jc w:val="both"/>
    </w:pPr>
    <w:rPr>
      <w:rFonts w:ascii="Calibri" w:hAnsi="Calibri" w:cs="Times New Roman"/>
      <w:bCs/>
      <w:kern w:val="2"/>
      <w:szCs w:val="22"/>
    </w:rPr>
  </w:style>
  <w:style w:type="paragraph" w:customStyle="1" w:styleId="1435">
    <w:name w:val="1435"/>
    <w:basedOn w:val="1714"/>
    <w:uiPriority w:val="99"/>
    <w:qFormat/>
    <w:pPr>
      <w:widowControl w:val="0"/>
      <w:tabs>
        <w:tab w:val="left" w:pos="1200"/>
      </w:tabs>
      <w:jc w:val="both"/>
    </w:pPr>
    <w:rPr>
      <w:rFonts w:ascii="Times New Roman" w:hAnsi="Times New Roman" w:cs="Times New Roman"/>
      <w:bCs/>
      <w:kern w:val="2"/>
    </w:rPr>
  </w:style>
  <w:style w:type="paragraph" w:customStyle="1" w:styleId="1434">
    <w:name w:val="1434"/>
    <w:basedOn w:val="1714"/>
    <w:uiPriority w:val="99"/>
    <w:qFormat/>
    <w:pPr>
      <w:keepNext/>
      <w:keepLines/>
      <w:widowControl w:val="0"/>
      <w:spacing w:before="100" w:beforeAutospacing="1" w:after="100" w:afterAutospacing="1" w:line="412" w:lineRule="auto"/>
      <w:jc w:val="both"/>
    </w:pPr>
    <w:rPr>
      <w:rFonts w:ascii="Times New Roman" w:hAnsi="Times New Roman" w:cs="Times New Roman"/>
      <w:b/>
      <w:bCs/>
      <w:kern w:val="2"/>
      <w:szCs w:val="24"/>
    </w:rPr>
  </w:style>
  <w:style w:type="paragraph" w:customStyle="1" w:styleId="1431">
    <w:name w:val="1431"/>
    <w:basedOn w:val="1714"/>
    <w:uiPriority w:val="34"/>
    <w:qFormat/>
    <w:pPr>
      <w:widowControl w:val="0"/>
      <w:ind w:firstLineChars="200" w:firstLine="420"/>
      <w:jc w:val="both"/>
    </w:pPr>
    <w:rPr>
      <w:rFonts w:ascii="Calibri" w:hAnsi="Calibri" w:cs="Times New Roman"/>
      <w:bCs/>
      <w:kern w:val="2"/>
      <w:szCs w:val="22"/>
    </w:rPr>
  </w:style>
  <w:style w:type="paragraph" w:customStyle="1" w:styleId="1430">
    <w:name w:val="1430"/>
    <w:basedOn w:val="1714"/>
    <w:uiPriority w:val="34"/>
    <w:qFormat/>
    <w:pPr>
      <w:widowControl w:val="0"/>
      <w:ind w:firstLineChars="200" w:firstLine="420"/>
      <w:jc w:val="both"/>
    </w:pPr>
    <w:rPr>
      <w:rFonts w:ascii="Calibri" w:hAnsi="Calibri" w:cs="Times New Roman"/>
      <w:bCs/>
      <w:kern w:val="2"/>
      <w:szCs w:val="22"/>
    </w:rPr>
  </w:style>
  <w:style w:type="paragraph" w:customStyle="1" w:styleId="1429">
    <w:name w:val="1429"/>
    <w:basedOn w:val="1714"/>
    <w:uiPriority w:val="34"/>
    <w:qFormat/>
    <w:pPr>
      <w:widowControl w:val="0"/>
      <w:ind w:firstLineChars="200" w:firstLine="420"/>
      <w:jc w:val="both"/>
    </w:pPr>
    <w:rPr>
      <w:rFonts w:ascii="Calibri" w:hAnsi="Calibri" w:cs="Times New Roman"/>
      <w:bCs/>
      <w:kern w:val="2"/>
      <w:szCs w:val="22"/>
    </w:rPr>
  </w:style>
  <w:style w:type="paragraph" w:customStyle="1" w:styleId="1428">
    <w:name w:val="1428"/>
    <w:basedOn w:val="1714"/>
    <w:uiPriority w:val="34"/>
    <w:qFormat/>
    <w:pPr>
      <w:widowControl w:val="0"/>
      <w:ind w:firstLineChars="200" w:firstLine="420"/>
      <w:jc w:val="both"/>
    </w:pPr>
    <w:rPr>
      <w:rFonts w:ascii="Calibri" w:hAnsi="Calibri" w:cs="Times New Roman"/>
      <w:bCs/>
      <w:kern w:val="2"/>
      <w:szCs w:val="22"/>
    </w:rPr>
  </w:style>
  <w:style w:type="paragraph" w:customStyle="1" w:styleId="1427">
    <w:name w:val="1427"/>
    <w:uiPriority w:val="99"/>
    <w:qFormat/>
    <w:rPr>
      <w:kern w:val="2"/>
      <w:sz w:val="21"/>
      <w:szCs w:val="24"/>
    </w:rPr>
  </w:style>
  <w:style w:type="paragraph" w:customStyle="1" w:styleId="1424">
    <w:name w:val="1424"/>
    <w:uiPriority w:val="99"/>
    <w:qFormat/>
    <w:rPr>
      <w:sz w:val="21"/>
      <w:szCs w:val="24"/>
    </w:rPr>
  </w:style>
  <w:style w:type="paragraph" w:customStyle="1" w:styleId="1421">
    <w:name w:val="1421"/>
    <w:basedOn w:val="1714"/>
    <w:uiPriority w:val="34"/>
    <w:qFormat/>
    <w:pPr>
      <w:widowControl w:val="0"/>
      <w:ind w:firstLineChars="200" w:firstLine="420"/>
      <w:jc w:val="both"/>
    </w:pPr>
    <w:rPr>
      <w:rFonts w:ascii="Calibri" w:hAnsi="Calibri" w:cs="Times New Roman"/>
      <w:bCs/>
      <w:kern w:val="2"/>
      <w:szCs w:val="22"/>
    </w:rPr>
  </w:style>
  <w:style w:type="paragraph" w:customStyle="1" w:styleId="1420">
    <w:name w:val="1420"/>
    <w:basedOn w:val="1714"/>
    <w:uiPriority w:val="34"/>
    <w:qFormat/>
    <w:pPr>
      <w:widowControl w:val="0"/>
      <w:ind w:firstLineChars="200" w:firstLine="420"/>
      <w:jc w:val="both"/>
    </w:pPr>
    <w:rPr>
      <w:rFonts w:ascii="Calibri" w:hAnsi="Calibri" w:cs="Times New Roman"/>
      <w:bCs/>
      <w:kern w:val="2"/>
      <w:szCs w:val="22"/>
    </w:rPr>
  </w:style>
  <w:style w:type="paragraph" w:customStyle="1" w:styleId="1419">
    <w:name w:val="1419"/>
    <w:basedOn w:val="1714"/>
    <w:uiPriority w:val="99"/>
    <w:qFormat/>
    <w:rPr>
      <w:rFonts w:cs="Times New Roman"/>
      <w:bCs/>
      <w:kern w:val="2"/>
    </w:rPr>
  </w:style>
  <w:style w:type="paragraph" w:customStyle="1" w:styleId="1418">
    <w:name w:val="1418"/>
    <w:basedOn w:val="1714"/>
    <w:uiPriority w:val="59"/>
    <w:qFormat/>
    <w:pPr>
      <w:widowControl w:val="0"/>
    </w:pPr>
    <w:rPr>
      <w:rFonts w:ascii="Times New Roman" w:cs="Times New Roman"/>
      <w:bCs/>
      <w:kern w:val="2"/>
    </w:rPr>
  </w:style>
  <w:style w:type="paragraph" w:customStyle="1" w:styleId="1417">
    <w:name w:val="1417"/>
    <w:uiPriority w:val="99"/>
    <w:qFormat/>
    <w:rPr>
      <w:kern w:val="2"/>
      <w:sz w:val="21"/>
      <w:szCs w:val="24"/>
    </w:rPr>
  </w:style>
  <w:style w:type="paragraph" w:customStyle="1" w:styleId="1416">
    <w:name w:val="1416"/>
    <w:uiPriority w:val="99"/>
    <w:qFormat/>
    <w:rPr>
      <w:kern w:val="2"/>
      <w:sz w:val="21"/>
      <w:szCs w:val="24"/>
    </w:rPr>
  </w:style>
  <w:style w:type="paragraph" w:customStyle="1" w:styleId="1415">
    <w:name w:val="1415"/>
    <w:basedOn w:val="1714"/>
    <w:uiPriority w:val="99"/>
    <w:qFormat/>
    <w:pPr>
      <w:widowControl w:val="0"/>
      <w:jc w:val="both"/>
    </w:pPr>
    <w:rPr>
      <w:rFonts w:ascii="Calibri" w:hAnsi="Calibri" w:cs="Times New Roman"/>
      <w:bCs/>
      <w:kern w:val="2"/>
      <w:sz w:val="18"/>
      <w:szCs w:val="18"/>
    </w:rPr>
  </w:style>
  <w:style w:type="paragraph" w:customStyle="1" w:styleId="1414">
    <w:name w:val="1414"/>
    <w:basedOn w:val="1714"/>
    <w:uiPriority w:val="99"/>
    <w:qFormat/>
    <w:pPr>
      <w:widowControl w:val="0"/>
      <w:ind w:leftChars="2500" w:left="100"/>
      <w:jc w:val="both"/>
    </w:pPr>
    <w:rPr>
      <w:rFonts w:ascii="Times New Roman" w:hAnsi="Times New Roman" w:cs="Times New Roman"/>
      <w:bCs/>
      <w:kern w:val="2"/>
    </w:rPr>
  </w:style>
  <w:style w:type="paragraph" w:customStyle="1" w:styleId="1410">
    <w:name w:val="1410"/>
    <w:uiPriority w:val="99"/>
    <w:qFormat/>
    <w:rPr>
      <w:kern w:val="2"/>
      <w:sz w:val="21"/>
      <w:szCs w:val="24"/>
    </w:rPr>
  </w:style>
  <w:style w:type="paragraph" w:customStyle="1" w:styleId="1408">
    <w:name w:val="1408"/>
    <w:basedOn w:val="1714"/>
    <w:uiPriority w:val="99"/>
    <w:qFormat/>
    <w:pPr>
      <w:keepNext/>
      <w:keepLines/>
      <w:widowControl w:val="0"/>
      <w:spacing w:before="60" w:after="60" w:line="360" w:lineRule="auto"/>
      <w:jc w:val="center"/>
      <w:outlineLvl w:val="0"/>
    </w:pPr>
    <w:rPr>
      <w:rFonts w:ascii="Calibri" w:eastAsia="黑体" w:hAnsi="Calibri" w:cs="Times New Roman"/>
      <w:b/>
      <w:kern w:val="44"/>
      <w:sz w:val="28"/>
      <w:szCs w:val="44"/>
    </w:rPr>
  </w:style>
  <w:style w:type="paragraph" w:customStyle="1" w:styleId="1407">
    <w:name w:val="1407"/>
    <w:basedOn w:val="1714"/>
    <w:uiPriority w:val="99"/>
    <w:qFormat/>
    <w:pPr>
      <w:keepNext/>
      <w:keepLines/>
      <w:widowControl w:val="0"/>
      <w:spacing w:before="60" w:after="60"/>
      <w:ind w:left="200" w:hangingChars="200" w:hanging="200"/>
      <w:jc w:val="both"/>
      <w:outlineLvl w:val="1"/>
    </w:pPr>
    <w:rPr>
      <w:rFonts w:ascii="Arial" w:hAnsi="Arial" w:cs="Times New Roman"/>
      <w:b/>
      <w:kern w:val="2"/>
    </w:rPr>
  </w:style>
  <w:style w:type="paragraph" w:customStyle="1" w:styleId="1406">
    <w:name w:val="1406"/>
    <w:basedOn w:val="1714"/>
    <w:uiPriority w:val="9"/>
    <w:qFormat/>
    <w:pPr>
      <w:keepNext/>
      <w:keepLines/>
      <w:widowControl w:val="0"/>
      <w:spacing w:before="60" w:after="60"/>
      <w:jc w:val="both"/>
      <w:outlineLvl w:val="2"/>
    </w:pPr>
    <w:rPr>
      <w:rFonts w:ascii="Calibri" w:hAnsi="Calibri" w:cs="Times New Roman"/>
      <w:b/>
      <w:kern w:val="2"/>
      <w:szCs w:val="32"/>
    </w:rPr>
  </w:style>
  <w:style w:type="paragraph" w:customStyle="1" w:styleId="1405">
    <w:name w:val="1405"/>
    <w:basedOn w:val="1714"/>
    <w:uiPriority w:val="9"/>
    <w:qFormat/>
    <w:pPr>
      <w:keepNext/>
      <w:keepLines/>
      <w:widowControl w:val="0"/>
      <w:spacing w:before="60" w:after="60"/>
      <w:jc w:val="both"/>
      <w:outlineLvl w:val="3"/>
    </w:pPr>
    <w:rPr>
      <w:rFonts w:ascii="Cambria" w:hAnsi="Cambria" w:cs="Times New Roman"/>
      <w:b/>
      <w:kern w:val="2"/>
      <w:szCs w:val="28"/>
    </w:rPr>
  </w:style>
  <w:style w:type="paragraph" w:customStyle="1" w:styleId="1404">
    <w:name w:val="1404"/>
    <w:basedOn w:val="1714"/>
    <w:uiPriority w:val="9"/>
    <w:qFormat/>
    <w:pPr>
      <w:keepNext/>
      <w:keepLines/>
      <w:widowControl w:val="0"/>
      <w:spacing w:before="60" w:after="60"/>
      <w:jc w:val="both"/>
      <w:outlineLvl w:val="4"/>
    </w:pPr>
    <w:rPr>
      <w:rFonts w:ascii="Calibri" w:hAnsi="Calibri" w:cs="Times New Roman"/>
      <w:b/>
      <w:kern w:val="2"/>
      <w:szCs w:val="28"/>
    </w:rPr>
  </w:style>
  <w:style w:type="paragraph" w:customStyle="1" w:styleId="1403">
    <w:name w:val="1403"/>
    <w:basedOn w:val="1714"/>
    <w:uiPriority w:val="9"/>
    <w:qFormat/>
    <w:pPr>
      <w:keepNext/>
      <w:keepLines/>
      <w:spacing w:before="60" w:after="60"/>
      <w:outlineLvl w:val="5"/>
    </w:pPr>
    <w:rPr>
      <w:rFonts w:ascii="Cambria" w:hAnsi="Cambria" w:cs="Times New Roman"/>
      <w:b/>
    </w:rPr>
  </w:style>
  <w:style w:type="paragraph" w:customStyle="1" w:styleId="1402">
    <w:name w:val="1402"/>
    <w:basedOn w:val="1714"/>
    <w:uiPriority w:val="9"/>
    <w:qFormat/>
    <w:pPr>
      <w:keepNext/>
      <w:keepLines/>
      <w:spacing w:before="240" w:after="64" w:line="319" w:lineRule="auto"/>
      <w:outlineLvl w:val="6"/>
    </w:pPr>
    <w:rPr>
      <w:b/>
      <w:sz w:val="24"/>
    </w:rPr>
  </w:style>
  <w:style w:type="paragraph" w:customStyle="1" w:styleId="1396">
    <w:name w:val="1396"/>
    <w:basedOn w:val="1714"/>
    <w:uiPriority w:val="39"/>
    <w:qFormat/>
    <w:pPr>
      <w:widowControl w:val="0"/>
      <w:tabs>
        <w:tab w:val="left" w:pos="1260"/>
        <w:tab w:val="right" w:leader="dot" w:pos="8823"/>
      </w:tabs>
      <w:jc w:val="center"/>
    </w:pPr>
    <w:rPr>
      <w:rFonts w:ascii="Times New Roman" w:hAnsi="Times New Roman" w:cs="Times New Roman"/>
      <w:kern w:val="2"/>
    </w:rPr>
  </w:style>
  <w:style w:type="paragraph" w:customStyle="1" w:styleId="1395">
    <w:name w:val="1395"/>
    <w:basedOn w:val="1714"/>
    <w:uiPriority w:val="39"/>
    <w:qFormat/>
    <w:pPr>
      <w:widowControl w:val="0"/>
      <w:ind w:leftChars="200" w:left="420"/>
      <w:jc w:val="both"/>
    </w:pPr>
    <w:rPr>
      <w:rFonts w:ascii="Times New Roman" w:hAnsi="Times New Roman" w:cs="Times New Roman"/>
      <w:kern w:val="2"/>
    </w:rPr>
  </w:style>
  <w:style w:type="paragraph" w:customStyle="1" w:styleId="1393">
    <w:name w:val="1393"/>
    <w:basedOn w:val="1714"/>
    <w:uiPriority w:val="99"/>
    <w:qFormat/>
    <w:pPr>
      <w:widowControl w:val="0"/>
      <w:jc w:val="both"/>
    </w:pPr>
    <w:rPr>
      <w:rFonts w:ascii="Calibri" w:hAnsi="Calibri" w:cs="Times New Roman"/>
      <w:kern w:val="2"/>
      <w:sz w:val="18"/>
      <w:szCs w:val="18"/>
    </w:rPr>
  </w:style>
  <w:style w:type="paragraph" w:customStyle="1" w:styleId="1390">
    <w:name w:val="1390"/>
    <w:basedOn w:val="1714"/>
    <w:uiPriority w:val="34"/>
    <w:qFormat/>
    <w:pPr>
      <w:widowControl w:val="0"/>
      <w:ind w:firstLineChars="200" w:firstLine="420"/>
      <w:jc w:val="both"/>
    </w:pPr>
    <w:rPr>
      <w:rFonts w:ascii="Calibri" w:hAnsi="Calibri" w:cs="Times New Roman"/>
      <w:kern w:val="2"/>
      <w:szCs w:val="22"/>
    </w:rPr>
  </w:style>
  <w:style w:type="paragraph" w:customStyle="1" w:styleId="1388">
    <w:name w:val="1388"/>
    <w:basedOn w:val="1714"/>
    <w:uiPriority w:val="39"/>
    <w:qFormat/>
    <w:pPr>
      <w:spacing w:after="100" w:line="276" w:lineRule="auto"/>
      <w:ind w:left="440"/>
    </w:pPr>
    <w:rPr>
      <w:rFonts w:ascii="Calibri" w:hAnsi="Calibri" w:cs="Times New Roman"/>
      <w:sz w:val="22"/>
      <w:szCs w:val="22"/>
    </w:rPr>
  </w:style>
  <w:style w:type="paragraph" w:customStyle="1" w:styleId="1386">
    <w:name w:val="1386"/>
    <w:basedOn w:val="1714"/>
    <w:uiPriority w:val="99"/>
    <w:qFormat/>
    <w:pPr>
      <w:widowControl w:val="0"/>
      <w:tabs>
        <w:tab w:val="center" w:pos="4153"/>
        <w:tab w:val="right" w:pos="8306"/>
      </w:tabs>
      <w:snapToGrid w:val="0"/>
    </w:pPr>
    <w:rPr>
      <w:rFonts w:ascii="Calibri" w:hAnsi="Calibri" w:cs="Times New Roman"/>
      <w:kern w:val="2"/>
      <w:sz w:val="18"/>
      <w:szCs w:val="18"/>
    </w:rPr>
  </w:style>
  <w:style w:type="paragraph" w:customStyle="1" w:styleId="1384">
    <w:name w:val="1384"/>
    <w:basedOn w:val="1714"/>
    <w:uiPriority w:val="99"/>
    <w:qFormat/>
    <w:pPr>
      <w:widowControl w:val="0"/>
      <w:jc w:val="both"/>
    </w:pPr>
    <w:rPr>
      <w:rFonts w:hAnsi="Courier New" w:cs="Times New Roman"/>
      <w:kern w:val="2"/>
      <w:szCs w:val="20"/>
    </w:rPr>
  </w:style>
  <w:style w:type="paragraph" w:customStyle="1" w:styleId="1382">
    <w:name w:val="1382"/>
    <w:basedOn w:val="1714"/>
    <w:uiPriority w:val="99"/>
    <w:qFormat/>
    <w:pPr>
      <w:widowControl w:val="0"/>
      <w:spacing w:after="120"/>
      <w:jc w:val="both"/>
    </w:pPr>
    <w:rPr>
      <w:rFonts w:ascii="Times New Roman" w:hAnsi="Times New Roman" w:cs="Times New Roman"/>
      <w:kern w:val="2"/>
    </w:rPr>
  </w:style>
  <w:style w:type="paragraph" w:customStyle="1" w:styleId="1380">
    <w:name w:val="1380"/>
    <w:basedOn w:val="1714"/>
    <w:uiPriority w:val="99"/>
    <w:qFormat/>
    <w:pPr>
      <w:widowControl w:val="0"/>
      <w:ind w:leftChars="2500" w:left="100"/>
      <w:jc w:val="both"/>
    </w:pPr>
    <w:rPr>
      <w:rFonts w:ascii="Times New Roman" w:hAnsi="Times New Roman" w:cs="Times New Roman"/>
      <w:kern w:val="2"/>
    </w:rPr>
  </w:style>
  <w:style w:type="paragraph" w:customStyle="1" w:styleId="1378">
    <w:name w:val="1378"/>
    <w:basedOn w:val="1714"/>
    <w:uiPriority w:val="99"/>
    <w:qFormat/>
    <w:pPr>
      <w:widowControl w:val="0"/>
      <w:jc w:val="center"/>
    </w:pPr>
    <w:rPr>
      <w:rFonts w:ascii="Times New Roman" w:hAnsi="Times New Roman" w:cs="Times New Roman"/>
      <w:kern w:val="2"/>
    </w:rPr>
  </w:style>
  <w:style w:type="paragraph" w:customStyle="1" w:styleId="1376">
    <w:name w:val="1376"/>
    <w:basedOn w:val="1714"/>
    <w:uiPriority w:val="99"/>
    <w:semiHidden/>
    <w:qFormat/>
    <w:pPr>
      <w:widowControl w:val="0"/>
      <w:spacing w:before="120"/>
      <w:jc w:val="both"/>
    </w:pPr>
    <w:rPr>
      <w:rFonts w:ascii="Arial" w:hAnsi="Arial" w:cs="Times New Roman"/>
      <w:b/>
      <w:kern w:val="2"/>
    </w:rPr>
  </w:style>
  <w:style w:type="paragraph" w:customStyle="1" w:styleId="1375">
    <w:name w:val="1375"/>
    <w:basedOn w:val="1714"/>
    <w:uiPriority w:val="99"/>
    <w:qFormat/>
    <w:pPr>
      <w:keepNext/>
      <w:keepLines/>
      <w:widowControl w:val="0"/>
      <w:spacing w:before="60" w:after="60"/>
      <w:ind w:hangingChars="200" w:hanging="420"/>
      <w:jc w:val="both"/>
      <w:outlineLvl w:val="4"/>
    </w:pPr>
    <w:rPr>
      <w:rFonts w:cs="Times New Roman"/>
      <w:b/>
      <w:kern w:val="2"/>
    </w:rPr>
  </w:style>
  <w:style w:type="paragraph" w:customStyle="1" w:styleId="1374">
    <w:name w:val="1374"/>
    <w:uiPriority w:val="99"/>
    <w:semiHidden/>
    <w:qFormat/>
    <w:rPr>
      <w:kern w:val="2"/>
      <w:sz w:val="21"/>
      <w:szCs w:val="22"/>
    </w:rPr>
  </w:style>
  <w:style w:type="paragraph" w:customStyle="1" w:styleId="1372">
    <w:name w:val="1372"/>
    <w:basedOn w:val="1714"/>
    <w:uiPriority w:val="99"/>
    <w:qFormat/>
    <w:pPr>
      <w:widowControl w:val="0"/>
      <w:spacing w:before="100" w:after="100"/>
      <w:jc w:val="both"/>
    </w:pPr>
    <w:rPr>
      <w:rFonts w:ascii="Calibri" w:hAnsi="Calibri" w:cs="Times New Roman"/>
      <w:kern w:val="2"/>
    </w:rPr>
  </w:style>
  <w:style w:type="paragraph" w:customStyle="1" w:styleId="1371">
    <w:name w:val="1371"/>
    <w:basedOn w:val="1714"/>
    <w:uiPriority w:val="99"/>
    <w:semiHidden/>
    <w:qFormat/>
    <w:pPr>
      <w:widowControl w:val="0"/>
      <w:jc w:val="both"/>
    </w:pPr>
    <w:rPr>
      <w:rFonts w:hAnsi="Calibri" w:cs="Times New Roman"/>
      <w:kern w:val="2"/>
      <w:sz w:val="18"/>
      <w:szCs w:val="18"/>
    </w:rPr>
  </w:style>
  <w:style w:type="paragraph" w:customStyle="1" w:styleId="1368">
    <w:name w:val="1368"/>
    <w:basedOn w:val="1714"/>
    <w:uiPriority w:val="10"/>
    <w:qFormat/>
    <w:pPr>
      <w:widowControl w:val="0"/>
      <w:spacing w:before="240" w:after="60"/>
      <w:jc w:val="center"/>
      <w:outlineLvl w:val="0"/>
    </w:pPr>
    <w:rPr>
      <w:rFonts w:ascii="Cambria" w:hAnsi="Cambria" w:cs="Times New Roman"/>
      <w:b/>
      <w:kern w:val="2"/>
      <w:sz w:val="32"/>
      <w:szCs w:val="32"/>
    </w:rPr>
  </w:style>
  <w:style w:type="paragraph" w:customStyle="1" w:styleId="1366">
    <w:name w:val="1366"/>
    <w:uiPriority w:val="1"/>
    <w:qFormat/>
    <w:pPr>
      <w:widowControl w:val="0"/>
      <w:jc w:val="both"/>
    </w:pPr>
    <w:rPr>
      <w:kern w:val="2"/>
      <w:sz w:val="21"/>
      <w:szCs w:val="22"/>
    </w:rPr>
  </w:style>
  <w:style w:type="paragraph" w:customStyle="1" w:styleId="1365">
    <w:name w:val="1365"/>
    <w:basedOn w:val="1714"/>
    <w:uiPriority w:val="39"/>
    <w:qFormat/>
    <w:pPr>
      <w:widowControl w:val="0"/>
      <w:ind w:leftChars="600" w:left="1260"/>
      <w:jc w:val="both"/>
    </w:pPr>
    <w:rPr>
      <w:rFonts w:ascii="Calibri" w:hAnsi="Calibri" w:cs="Times New Roman"/>
      <w:kern w:val="2"/>
      <w:szCs w:val="22"/>
    </w:rPr>
  </w:style>
  <w:style w:type="paragraph" w:customStyle="1" w:styleId="1364">
    <w:name w:val="1364"/>
    <w:basedOn w:val="1714"/>
    <w:uiPriority w:val="39"/>
    <w:qFormat/>
    <w:pPr>
      <w:widowControl w:val="0"/>
      <w:ind w:leftChars="800" w:left="1680"/>
      <w:jc w:val="both"/>
    </w:pPr>
    <w:rPr>
      <w:rFonts w:ascii="Calibri" w:hAnsi="Calibri" w:cs="Times New Roman"/>
      <w:kern w:val="2"/>
      <w:szCs w:val="22"/>
    </w:rPr>
  </w:style>
  <w:style w:type="paragraph" w:customStyle="1" w:styleId="1363">
    <w:name w:val="1363"/>
    <w:basedOn w:val="1714"/>
    <w:uiPriority w:val="39"/>
    <w:qFormat/>
    <w:pPr>
      <w:widowControl w:val="0"/>
      <w:ind w:leftChars="1000" w:left="2100"/>
      <w:jc w:val="both"/>
    </w:pPr>
    <w:rPr>
      <w:rFonts w:ascii="Calibri" w:hAnsi="Calibri" w:cs="Times New Roman"/>
      <w:kern w:val="2"/>
      <w:szCs w:val="22"/>
    </w:rPr>
  </w:style>
  <w:style w:type="paragraph" w:customStyle="1" w:styleId="1362">
    <w:name w:val="1362"/>
    <w:basedOn w:val="1714"/>
    <w:uiPriority w:val="39"/>
    <w:qFormat/>
    <w:pPr>
      <w:widowControl w:val="0"/>
      <w:ind w:leftChars="1200" w:left="2520"/>
      <w:jc w:val="both"/>
    </w:pPr>
    <w:rPr>
      <w:rFonts w:ascii="Calibri" w:hAnsi="Calibri" w:cs="Times New Roman"/>
      <w:kern w:val="2"/>
      <w:szCs w:val="22"/>
    </w:rPr>
  </w:style>
  <w:style w:type="paragraph" w:customStyle="1" w:styleId="1361">
    <w:name w:val="1361"/>
    <w:basedOn w:val="1714"/>
    <w:uiPriority w:val="39"/>
    <w:qFormat/>
    <w:pPr>
      <w:widowControl w:val="0"/>
      <w:ind w:leftChars="1400" w:left="2940"/>
      <w:jc w:val="both"/>
    </w:pPr>
    <w:rPr>
      <w:rFonts w:ascii="Calibri" w:hAnsi="Calibri" w:cs="Times New Roman"/>
      <w:kern w:val="2"/>
      <w:szCs w:val="22"/>
    </w:rPr>
  </w:style>
  <w:style w:type="paragraph" w:customStyle="1" w:styleId="1360">
    <w:name w:val="1360"/>
    <w:basedOn w:val="1714"/>
    <w:uiPriority w:val="39"/>
    <w:qFormat/>
    <w:pPr>
      <w:widowControl w:val="0"/>
      <w:ind w:leftChars="1600" w:left="3360"/>
      <w:jc w:val="both"/>
    </w:pPr>
    <w:rPr>
      <w:rFonts w:ascii="Calibri" w:hAnsi="Calibri" w:cs="Times New Roman"/>
      <w:kern w:val="2"/>
      <w:szCs w:val="22"/>
    </w:rPr>
  </w:style>
  <w:style w:type="paragraph" w:customStyle="1" w:styleId="1358">
    <w:name w:val="1358"/>
    <w:basedOn w:val="1714"/>
    <w:uiPriority w:val="99"/>
    <w:qFormat/>
    <w:pPr>
      <w:spacing w:before="100" w:beforeAutospacing="1" w:after="100" w:afterAutospacing="1"/>
    </w:pPr>
    <w:rPr>
      <w:sz w:val="24"/>
    </w:rPr>
  </w:style>
  <w:style w:type="paragraph" w:customStyle="1" w:styleId="1357">
    <w:name w:val="1357"/>
    <w:basedOn w:val="1714"/>
    <w:uiPriority w:val="99"/>
    <w:semiHidden/>
    <w:qFormat/>
    <w:pPr>
      <w:snapToGrid w:val="0"/>
    </w:pPr>
  </w:style>
  <w:style w:type="paragraph" w:customStyle="1" w:styleId="1351">
    <w:name w:val="1351"/>
    <w:basedOn w:val="1714"/>
    <w:uiPriority w:val="99"/>
    <w:qFormat/>
    <w:pPr>
      <w:widowControl w:val="0"/>
      <w:ind w:firstLineChars="200" w:firstLine="420"/>
      <w:jc w:val="both"/>
    </w:pPr>
    <w:rPr>
      <w:rFonts w:ascii="Times New Roman" w:hAnsi="Times New Roman" w:cs="Times New Roman"/>
      <w:kern w:val="2"/>
    </w:rPr>
  </w:style>
  <w:style w:type="paragraph" w:customStyle="1" w:styleId="1350">
    <w:name w:val="1350"/>
    <w:basedOn w:val="1714"/>
    <w:uiPriority w:val="99"/>
    <w:qFormat/>
    <w:pPr>
      <w:widowControl w:val="0"/>
      <w:tabs>
        <w:tab w:val="left" w:pos="1200"/>
      </w:tabs>
      <w:jc w:val="both"/>
    </w:pPr>
    <w:rPr>
      <w:rFonts w:ascii="Times New Roman" w:hAnsi="Times New Roman" w:cs="Times New Roman"/>
      <w:kern w:val="2"/>
    </w:rPr>
  </w:style>
  <w:style w:type="paragraph" w:customStyle="1" w:styleId="1349">
    <w:name w:val="1349"/>
    <w:basedOn w:val="1714"/>
    <w:uiPriority w:val="34"/>
    <w:qFormat/>
    <w:pPr>
      <w:widowControl w:val="0"/>
      <w:ind w:firstLineChars="200" w:firstLine="420"/>
      <w:jc w:val="both"/>
    </w:pPr>
    <w:rPr>
      <w:rFonts w:ascii="Calibri" w:hAnsi="Calibri" w:cs="Times New Roman"/>
      <w:kern w:val="2"/>
      <w:szCs w:val="22"/>
    </w:rPr>
  </w:style>
  <w:style w:type="paragraph" w:customStyle="1" w:styleId="1348">
    <w:name w:val="1348"/>
    <w:basedOn w:val="1714"/>
    <w:uiPriority w:val="34"/>
    <w:qFormat/>
    <w:pPr>
      <w:widowControl w:val="0"/>
      <w:ind w:firstLineChars="200" w:firstLine="420"/>
      <w:jc w:val="both"/>
    </w:pPr>
    <w:rPr>
      <w:rFonts w:ascii="Calibri" w:hAnsi="Calibri" w:cs="Times New Roman"/>
      <w:kern w:val="2"/>
      <w:szCs w:val="22"/>
    </w:rPr>
  </w:style>
  <w:style w:type="paragraph" w:customStyle="1" w:styleId="1347">
    <w:name w:val="1347"/>
    <w:basedOn w:val="1714"/>
    <w:uiPriority w:val="34"/>
    <w:qFormat/>
    <w:pPr>
      <w:widowControl w:val="0"/>
      <w:ind w:firstLineChars="200" w:firstLine="420"/>
      <w:jc w:val="both"/>
    </w:pPr>
    <w:rPr>
      <w:rFonts w:ascii="Calibri" w:hAnsi="Calibri" w:cs="Times New Roman"/>
      <w:kern w:val="2"/>
      <w:szCs w:val="22"/>
    </w:rPr>
  </w:style>
  <w:style w:type="paragraph" w:customStyle="1" w:styleId="1346">
    <w:name w:val="1346"/>
    <w:basedOn w:val="1714"/>
    <w:uiPriority w:val="34"/>
    <w:qFormat/>
    <w:pPr>
      <w:widowControl w:val="0"/>
      <w:ind w:firstLineChars="200" w:firstLine="420"/>
      <w:jc w:val="both"/>
    </w:pPr>
    <w:rPr>
      <w:rFonts w:ascii="Calibri" w:hAnsi="Calibri" w:cs="Times New Roman"/>
      <w:kern w:val="2"/>
      <w:szCs w:val="22"/>
    </w:rPr>
  </w:style>
  <w:style w:type="paragraph" w:customStyle="1" w:styleId="1344">
    <w:name w:val="1344"/>
    <w:basedOn w:val="1714"/>
    <w:uiPriority w:val="34"/>
    <w:qFormat/>
    <w:pPr>
      <w:widowControl w:val="0"/>
      <w:ind w:firstLineChars="200" w:firstLine="420"/>
      <w:jc w:val="both"/>
    </w:pPr>
    <w:rPr>
      <w:rFonts w:ascii="Calibri" w:hAnsi="Calibri" w:cs="Times New Roman"/>
      <w:kern w:val="2"/>
      <w:szCs w:val="22"/>
    </w:rPr>
  </w:style>
  <w:style w:type="paragraph" w:customStyle="1" w:styleId="1342">
    <w:name w:val="1342"/>
    <w:basedOn w:val="1714"/>
    <w:uiPriority w:val="34"/>
    <w:qFormat/>
    <w:pPr>
      <w:widowControl w:val="0"/>
      <w:ind w:firstLineChars="200" w:firstLine="420"/>
      <w:jc w:val="both"/>
    </w:pPr>
    <w:rPr>
      <w:rFonts w:ascii="Calibri" w:hAnsi="Calibri" w:cs="Times New Roman"/>
      <w:kern w:val="2"/>
      <w:szCs w:val="22"/>
    </w:rPr>
  </w:style>
  <w:style w:type="paragraph" w:customStyle="1" w:styleId="1340">
    <w:name w:val="1340"/>
    <w:uiPriority w:val="99"/>
    <w:qFormat/>
    <w:rPr>
      <w:sz w:val="21"/>
      <w:szCs w:val="24"/>
    </w:rPr>
  </w:style>
  <w:style w:type="paragraph" w:customStyle="1" w:styleId="1339">
    <w:name w:val="1339"/>
    <w:uiPriority w:val="99"/>
    <w:qFormat/>
    <w:pPr>
      <w:widowControl w:val="0"/>
      <w:autoSpaceDE w:val="0"/>
      <w:autoSpaceDN w:val="0"/>
      <w:adjustRightInd w:val="0"/>
    </w:pPr>
    <w:rPr>
      <w:rFonts w:ascii="黑体" w:eastAsia="黑体" w:cs="黑体"/>
      <w:color w:val="000000"/>
      <w:sz w:val="24"/>
      <w:szCs w:val="24"/>
    </w:rPr>
  </w:style>
  <w:style w:type="paragraph" w:customStyle="1" w:styleId="1338">
    <w:name w:val="1338"/>
    <w:uiPriority w:val="99"/>
    <w:qFormat/>
    <w:pPr>
      <w:snapToGrid w:val="0"/>
      <w:jc w:val="center"/>
    </w:pPr>
    <w:rPr>
      <w:color w:val="000000"/>
      <w:spacing w:val="-10"/>
      <w:sz w:val="22"/>
      <w:szCs w:val="22"/>
      <w:lang w:eastAsia="en-US"/>
    </w:rPr>
  </w:style>
  <w:style w:type="paragraph" w:customStyle="1" w:styleId="1336">
    <w:name w:val="1336"/>
    <w:basedOn w:val="1714"/>
    <w:uiPriority w:val="99"/>
    <w:qFormat/>
    <w:pPr>
      <w:spacing w:before="40"/>
      <w:ind w:left="450" w:hanging="450"/>
    </w:pPr>
    <w:rPr>
      <w:rFonts w:eastAsia="华文楷体"/>
      <w:color w:val="000000"/>
      <w:sz w:val="18"/>
      <w:szCs w:val="24"/>
    </w:rPr>
  </w:style>
  <w:style w:type="paragraph" w:customStyle="1" w:styleId="1335">
    <w:name w:val="1335"/>
    <w:uiPriority w:val="99"/>
    <w:qFormat/>
    <w:pPr>
      <w:snapToGrid w:val="0"/>
      <w:jc w:val="center"/>
    </w:pPr>
    <w:rPr>
      <w:rFonts w:ascii="Calibri" w:hAnsi="Calibri"/>
      <w:color w:val="000000"/>
      <w:spacing w:val="-10"/>
      <w:sz w:val="22"/>
      <w:szCs w:val="22"/>
      <w:lang w:eastAsia="en-US"/>
    </w:rPr>
  </w:style>
  <w:style w:type="paragraph" w:customStyle="1" w:styleId="1334">
    <w:name w:val="1334"/>
    <w:basedOn w:val="1552"/>
    <w:uiPriority w:val="39"/>
    <w:qFormat/>
    <w:pPr>
      <w:widowControl/>
      <w:spacing w:before="480" w:after="0" w:line="276" w:lineRule="auto"/>
      <w:outlineLvl w:val="9"/>
    </w:pPr>
    <w:rPr>
      <w:rFonts w:ascii="Cambria" w:eastAsia="宋体" w:hAnsi="Cambria"/>
      <w:color w:val="365F91"/>
      <w:kern w:val="0"/>
      <w:szCs w:val="28"/>
    </w:rPr>
  </w:style>
  <w:style w:type="paragraph" w:customStyle="1" w:styleId="1333">
    <w:name w:val="1333"/>
    <w:uiPriority w:val="99"/>
    <w:semiHidden/>
    <w:qFormat/>
    <w:rPr>
      <w:kern w:val="2"/>
      <w:sz w:val="21"/>
      <w:szCs w:val="22"/>
    </w:rPr>
  </w:style>
  <w:style w:type="paragraph" w:customStyle="1" w:styleId="1332">
    <w:name w:val="1332"/>
    <w:basedOn w:val="1714"/>
    <w:uiPriority w:val="34"/>
    <w:qFormat/>
    <w:pPr>
      <w:widowControl w:val="0"/>
      <w:ind w:firstLineChars="200" w:firstLine="420"/>
      <w:jc w:val="both"/>
    </w:pPr>
    <w:rPr>
      <w:rFonts w:ascii="Calibri" w:hAnsi="Calibri" w:cs="Times New Roman"/>
      <w:kern w:val="2"/>
      <w:szCs w:val="22"/>
    </w:rPr>
  </w:style>
  <w:style w:type="paragraph" w:customStyle="1" w:styleId="1331">
    <w:name w:val="1331"/>
    <w:basedOn w:val="1714"/>
    <w:uiPriority w:val="34"/>
    <w:qFormat/>
    <w:pPr>
      <w:widowControl w:val="0"/>
      <w:ind w:firstLineChars="200" w:firstLine="420"/>
      <w:jc w:val="both"/>
    </w:pPr>
    <w:rPr>
      <w:rFonts w:ascii="Calibri" w:hAnsi="Calibri" w:cs="Times New Roman"/>
      <w:kern w:val="2"/>
      <w:szCs w:val="22"/>
    </w:rPr>
  </w:style>
  <w:style w:type="paragraph" w:customStyle="1" w:styleId="1330">
    <w:name w:val="1330"/>
    <w:uiPriority w:val="99"/>
    <w:qFormat/>
    <w:rPr>
      <w:bCs/>
      <w:sz w:val="21"/>
      <w:szCs w:val="21"/>
    </w:rPr>
  </w:style>
  <w:style w:type="paragraph" w:customStyle="1" w:styleId="1329">
    <w:name w:val="1329"/>
    <w:basedOn w:val="1330"/>
    <w:next w:val="3243"/>
    <w:uiPriority w:val="99"/>
    <w:qFormat/>
    <w:pPr>
      <w:keepNext/>
      <w:keepLines/>
      <w:widowControl w:val="0"/>
      <w:spacing w:before="60" w:after="60" w:line="360" w:lineRule="auto"/>
      <w:jc w:val="center"/>
      <w:outlineLvl w:val="0"/>
    </w:pPr>
    <w:rPr>
      <w:rFonts w:ascii="Calibri" w:eastAsia="黑体" w:hAnsi="Calibri"/>
      <w:b/>
      <w:kern w:val="44"/>
      <w:sz w:val="28"/>
      <w:szCs w:val="44"/>
    </w:rPr>
  </w:style>
  <w:style w:type="paragraph" w:customStyle="1" w:styleId="1328">
    <w:name w:val="1328"/>
    <w:basedOn w:val="1330"/>
    <w:next w:val="3243"/>
    <w:uiPriority w:val="99"/>
    <w:qFormat/>
    <w:pPr>
      <w:keepNext/>
      <w:keepLines/>
      <w:widowControl w:val="0"/>
      <w:spacing w:before="60" w:after="60"/>
      <w:ind w:left="200" w:hangingChars="200" w:hanging="200"/>
      <w:jc w:val="both"/>
      <w:outlineLvl w:val="1"/>
    </w:pPr>
    <w:rPr>
      <w:rFonts w:ascii="Arial" w:hAnsi="Arial"/>
      <w:b/>
      <w:kern w:val="2"/>
    </w:rPr>
  </w:style>
  <w:style w:type="paragraph" w:customStyle="1" w:styleId="1327">
    <w:name w:val="1327"/>
    <w:basedOn w:val="1330"/>
    <w:next w:val="3243"/>
    <w:uiPriority w:val="9"/>
    <w:qFormat/>
    <w:pPr>
      <w:keepNext/>
      <w:keepLines/>
      <w:widowControl w:val="0"/>
      <w:spacing w:before="60" w:after="60"/>
      <w:jc w:val="both"/>
      <w:outlineLvl w:val="2"/>
    </w:pPr>
    <w:rPr>
      <w:rFonts w:ascii="Calibri" w:hAnsi="Calibri"/>
      <w:b/>
      <w:kern w:val="2"/>
      <w:szCs w:val="32"/>
    </w:rPr>
  </w:style>
  <w:style w:type="paragraph" w:customStyle="1" w:styleId="1325">
    <w:name w:val="1325"/>
    <w:basedOn w:val="1330"/>
    <w:next w:val="3243"/>
    <w:uiPriority w:val="9"/>
    <w:qFormat/>
    <w:pPr>
      <w:keepNext/>
      <w:keepLines/>
      <w:widowControl w:val="0"/>
      <w:spacing w:before="60" w:after="60"/>
      <w:jc w:val="both"/>
      <w:outlineLvl w:val="4"/>
    </w:pPr>
    <w:rPr>
      <w:rFonts w:ascii="Calibri" w:hAnsi="Calibri"/>
      <w:b/>
      <w:kern w:val="2"/>
      <w:szCs w:val="28"/>
    </w:rPr>
  </w:style>
  <w:style w:type="paragraph" w:customStyle="1" w:styleId="1324">
    <w:name w:val="1324"/>
    <w:basedOn w:val="1330"/>
    <w:next w:val="3243"/>
    <w:uiPriority w:val="9"/>
    <w:qFormat/>
    <w:pPr>
      <w:keepNext/>
      <w:keepLines/>
      <w:spacing w:before="60" w:after="60"/>
      <w:outlineLvl w:val="5"/>
    </w:pPr>
    <w:rPr>
      <w:rFonts w:ascii="Cambria" w:hAnsi="Cambria" w:cs="Times New Roman"/>
      <w:b/>
    </w:rPr>
  </w:style>
  <w:style w:type="paragraph" w:customStyle="1" w:styleId="1323">
    <w:name w:val="1323"/>
    <w:basedOn w:val="1330"/>
    <w:next w:val="3243"/>
    <w:uiPriority w:val="9"/>
    <w:qFormat/>
    <w:pPr>
      <w:keepNext/>
      <w:keepLines/>
      <w:spacing w:before="240" w:after="64" w:line="319" w:lineRule="auto"/>
      <w:outlineLvl w:val="6"/>
    </w:pPr>
    <w:rPr>
      <w:b/>
      <w:sz w:val="24"/>
    </w:rPr>
  </w:style>
  <w:style w:type="paragraph" w:customStyle="1" w:styleId="1322">
    <w:name w:val="1322"/>
    <w:basedOn w:val="1330"/>
    <w:next w:val="3243"/>
    <w:uiPriority w:val="99"/>
    <w:qFormat/>
    <w:pPr>
      <w:keepNext/>
      <w:keepLines/>
      <w:widowControl w:val="0"/>
      <w:adjustRightInd w:val="0"/>
      <w:spacing w:before="240" w:after="64" w:line="320" w:lineRule="atLeast"/>
      <w:outlineLvl w:val="7"/>
    </w:pPr>
    <w:rPr>
      <w:rFonts w:ascii="Arial" w:eastAsia="黑体" w:hAnsi="Arial"/>
      <w:color w:val="000000"/>
      <w:sz w:val="24"/>
    </w:rPr>
  </w:style>
  <w:style w:type="paragraph" w:customStyle="1" w:styleId="1321">
    <w:name w:val="1321"/>
    <w:basedOn w:val="1330"/>
    <w:next w:val="3243"/>
    <w:uiPriority w:val="99"/>
    <w:qFormat/>
    <w:pPr>
      <w:keepNext/>
      <w:keepLines/>
      <w:widowControl w:val="0"/>
      <w:adjustRightInd w:val="0"/>
      <w:spacing w:before="240" w:after="64" w:line="320" w:lineRule="atLeast"/>
      <w:outlineLvl w:val="8"/>
    </w:pPr>
    <w:rPr>
      <w:rFonts w:ascii="Arial" w:eastAsia="黑体" w:hAnsi="Arial"/>
      <w:color w:val="000000"/>
      <w:sz w:val="24"/>
    </w:rPr>
  </w:style>
  <w:style w:type="paragraph" w:customStyle="1" w:styleId="1315">
    <w:name w:val="1315"/>
    <w:basedOn w:val="1329"/>
    <w:next w:val="3243"/>
    <w:uiPriority w:val="39"/>
    <w:qFormat/>
    <w:pPr>
      <w:widowControl/>
      <w:spacing w:before="480" w:after="0" w:line="276" w:lineRule="auto"/>
      <w:outlineLvl w:val="9"/>
    </w:pPr>
    <w:rPr>
      <w:rFonts w:ascii="Cambria" w:eastAsia="宋体" w:hAnsi="Cambria"/>
      <w:color w:val="365F91"/>
      <w:kern w:val="0"/>
      <w:szCs w:val="28"/>
    </w:rPr>
  </w:style>
  <w:style w:type="paragraph" w:customStyle="1" w:styleId="1314">
    <w:name w:val="1314"/>
    <w:basedOn w:val="1330"/>
    <w:next w:val="3243"/>
    <w:uiPriority w:val="39"/>
    <w:qFormat/>
    <w:pPr>
      <w:widowControl w:val="0"/>
      <w:tabs>
        <w:tab w:val="left" w:pos="1260"/>
        <w:tab w:val="right" w:leader="dot" w:pos="8823"/>
      </w:tabs>
      <w:jc w:val="center"/>
    </w:pPr>
    <w:rPr>
      <w:kern w:val="2"/>
    </w:rPr>
  </w:style>
  <w:style w:type="paragraph" w:customStyle="1" w:styleId="1313">
    <w:name w:val="1313"/>
    <w:basedOn w:val="1330"/>
    <w:next w:val="3243"/>
    <w:uiPriority w:val="39"/>
    <w:qFormat/>
    <w:pPr>
      <w:widowControl w:val="0"/>
      <w:ind w:leftChars="200" w:left="420"/>
      <w:jc w:val="both"/>
    </w:pPr>
    <w:rPr>
      <w:kern w:val="2"/>
    </w:rPr>
  </w:style>
  <w:style w:type="paragraph" w:customStyle="1" w:styleId="1310">
    <w:name w:val="1310"/>
    <w:basedOn w:val="1330"/>
    <w:uiPriority w:val="99"/>
    <w:qFormat/>
    <w:pPr>
      <w:widowControl w:val="0"/>
    </w:pPr>
    <w:rPr>
      <w:kern w:val="2"/>
    </w:rPr>
  </w:style>
  <w:style w:type="paragraph" w:customStyle="1" w:styleId="1308">
    <w:name w:val="1308"/>
    <w:basedOn w:val="1330"/>
    <w:uiPriority w:val="99"/>
    <w:pPr>
      <w:widowControl w:val="0"/>
      <w:jc w:val="both"/>
    </w:pPr>
    <w:rPr>
      <w:rFonts w:ascii="Calibri" w:hAnsi="Calibri"/>
      <w:kern w:val="2"/>
      <w:sz w:val="18"/>
      <w:szCs w:val="18"/>
    </w:rPr>
  </w:style>
  <w:style w:type="paragraph" w:customStyle="1" w:styleId="1306">
    <w:name w:val="1306"/>
    <w:basedOn w:val="1330"/>
    <w:next w:val="3243"/>
    <w:uiPriority w:val="99"/>
    <w:pPr>
      <w:widowControl w:val="0"/>
      <w:jc w:val="both"/>
    </w:pPr>
    <w:rPr>
      <w:kern w:val="2"/>
    </w:rPr>
  </w:style>
  <w:style w:type="paragraph" w:customStyle="1" w:styleId="1304">
    <w:name w:val="1304"/>
    <w:basedOn w:val="1330"/>
    <w:uiPriority w:val="34"/>
    <w:qFormat/>
    <w:pPr>
      <w:widowControl w:val="0"/>
      <w:ind w:firstLineChars="200" w:firstLine="420"/>
      <w:jc w:val="both"/>
    </w:pPr>
    <w:rPr>
      <w:rFonts w:ascii="Calibri" w:hAnsi="Calibri"/>
      <w:kern w:val="2"/>
      <w:szCs w:val="22"/>
    </w:rPr>
  </w:style>
  <w:style w:type="paragraph" w:customStyle="1" w:styleId="1302">
    <w:name w:val="1302"/>
    <w:basedOn w:val="1310"/>
    <w:uiPriority w:val="99"/>
    <w:rPr>
      <w:rFonts w:ascii="Calibri" w:hAnsi="Calibri"/>
      <w:b/>
      <w:szCs w:val="22"/>
    </w:rPr>
  </w:style>
  <w:style w:type="paragraph" w:customStyle="1" w:styleId="1301">
    <w:name w:val="1301"/>
    <w:basedOn w:val="1330"/>
    <w:next w:val="3243"/>
    <w:uiPriority w:val="39"/>
    <w:qFormat/>
    <w:pPr>
      <w:spacing w:after="100" w:line="276" w:lineRule="auto"/>
      <w:ind w:left="440"/>
    </w:pPr>
    <w:rPr>
      <w:rFonts w:ascii="Calibri" w:hAnsi="Calibri"/>
      <w:sz w:val="22"/>
      <w:szCs w:val="22"/>
    </w:rPr>
  </w:style>
  <w:style w:type="paragraph" w:customStyle="1" w:styleId="1300">
    <w:name w:val="1300"/>
    <w:basedOn w:val="1330"/>
    <w:uiPriority w:val="99"/>
    <w:pPr>
      <w:widowControl w:val="0"/>
      <w:pBdr>
        <w:bottom w:val="single" w:sz="6" w:space="1" w:color="auto"/>
      </w:pBdr>
      <w:tabs>
        <w:tab w:val="center" w:pos="4153"/>
        <w:tab w:val="right" w:pos="8306"/>
      </w:tabs>
      <w:snapToGrid w:val="0"/>
      <w:jc w:val="center"/>
    </w:pPr>
    <w:rPr>
      <w:rFonts w:ascii="Calibri" w:hAnsi="Calibri"/>
      <w:kern w:val="2"/>
      <w:sz w:val="18"/>
      <w:szCs w:val="18"/>
    </w:rPr>
  </w:style>
  <w:style w:type="paragraph" w:customStyle="1" w:styleId="1298">
    <w:name w:val="1298"/>
    <w:basedOn w:val="1330"/>
    <w:uiPriority w:val="99"/>
    <w:pPr>
      <w:widowControl w:val="0"/>
      <w:tabs>
        <w:tab w:val="center" w:pos="4153"/>
        <w:tab w:val="right" w:pos="8306"/>
      </w:tabs>
      <w:snapToGrid w:val="0"/>
    </w:pPr>
    <w:rPr>
      <w:rFonts w:ascii="Calibri" w:hAnsi="Calibri"/>
      <w:kern w:val="2"/>
      <w:sz w:val="18"/>
      <w:szCs w:val="18"/>
    </w:rPr>
  </w:style>
  <w:style w:type="paragraph" w:customStyle="1" w:styleId="1296">
    <w:name w:val="1296"/>
    <w:basedOn w:val="1330"/>
    <w:uiPriority w:val="99"/>
    <w:pPr>
      <w:widowControl w:val="0"/>
      <w:jc w:val="both"/>
    </w:pPr>
    <w:rPr>
      <w:rFonts w:hAnsi="Courier New"/>
      <w:kern w:val="2"/>
    </w:rPr>
  </w:style>
  <w:style w:type="paragraph" w:customStyle="1" w:styleId="1294">
    <w:name w:val="1294"/>
    <w:basedOn w:val="1330"/>
    <w:uiPriority w:val="99"/>
    <w:pPr>
      <w:widowControl w:val="0"/>
      <w:spacing w:after="120"/>
      <w:jc w:val="both"/>
    </w:pPr>
    <w:rPr>
      <w:kern w:val="2"/>
    </w:rPr>
  </w:style>
  <w:style w:type="paragraph" w:customStyle="1" w:styleId="1292">
    <w:name w:val="1292"/>
    <w:basedOn w:val="1330"/>
    <w:next w:val="3243"/>
    <w:uiPriority w:val="99"/>
    <w:pPr>
      <w:widowControl w:val="0"/>
      <w:ind w:leftChars="2500" w:left="100"/>
      <w:jc w:val="both"/>
    </w:pPr>
    <w:rPr>
      <w:kern w:val="2"/>
    </w:rPr>
  </w:style>
  <w:style w:type="paragraph" w:customStyle="1" w:styleId="1290">
    <w:name w:val="1290"/>
    <w:basedOn w:val="1330"/>
    <w:next w:val="3243"/>
    <w:uiPriority w:val="99"/>
    <w:pPr>
      <w:widowControl w:val="0"/>
      <w:jc w:val="center"/>
    </w:pPr>
    <w:rPr>
      <w:kern w:val="2"/>
    </w:rPr>
  </w:style>
  <w:style w:type="paragraph" w:customStyle="1" w:styleId="1288">
    <w:name w:val="1288"/>
    <w:basedOn w:val="1330"/>
    <w:next w:val="3243"/>
    <w:uiPriority w:val="99"/>
    <w:semiHidden/>
    <w:pPr>
      <w:widowControl w:val="0"/>
      <w:spacing w:before="120"/>
      <w:jc w:val="both"/>
    </w:pPr>
    <w:rPr>
      <w:rFonts w:ascii="Arial" w:hAnsi="Arial"/>
      <w:b/>
      <w:kern w:val="2"/>
    </w:rPr>
  </w:style>
  <w:style w:type="paragraph" w:customStyle="1" w:styleId="1287">
    <w:name w:val="1287"/>
    <w:basedOn w:val="1330"/>
    <w:uiPriority w:val="99"/>
    <w:pPr>
      <w:keepNext/>
      <w:keepLines/>
      <w:widowControl w:val="0"/>
      <w:spacing w:before="60" w:after="60"/>
      <w:ind w:hangingChars="200" w:hanging="420"/>
      <w:jc w:val="both"/>
      <w:outlineLvl w:val="4"/>
    </w:pPr>
    <w:rPr>
      <w:b/>
      <w:kern w:val="2"/>
    </w:rPr>
  </w:style>
  <w:style w:type="paragraph" w:customStyle="1" w:styleId="1286">
    <w:name w:val="1286"/>
    <w:uiPriority w:val="99"/>
    <w:semiHidden/>
    <w:rPr>
      <w:bCs/>
      <w:kern w:val="2"/>
      <w:sz w:val="21"/>
      <w:szCs w:val="22"/>
    </w:rPr>
  </w:style>
  <w:style w:type="paragraph" w:customStyle="1" w:styleId="1284">
    <w:name w:val="1284"/>
    <w:basedOn w:val="1330"/>
    <w:uiPriority w:val="99"/>
    <w:qFormat/>
    <w:pPr>
      <w:widowControl w:val="0"/>
      <w:spacing w:before="100" w:after="100"/>
      <w:jc w:val="both"/>
    </w:pPr>
    <w:rPr>
      <w:rFonts w:ascii="Calibri" w:hAnsi="Calibri"/>
      <w:kern w:val="2"/>
    </w:rPr>
  </w:style>
  <w:style w:type="paragraph" w:customStyle="1" w:styleId="1283">
    <w:name w:val="1283"/>
    <w:basedOn w:val="1330"/>
    <w:uiPriority w:val="99"/>
    <w:semiHidden/>
    <w:pPr>
      <w:widowControl w:val="0"/>
      <w:jc w:val="both"/>
    </w:pPr>
    <w:rPr>
      <w:rFonts w:hAnsi="Calibri"/>
      <w:kern w:val="2"/>
      <w:sz w:val="18"/>
      <w:szCs w:val="18"/>
    </w:rPr>
  </w:style>
  <w:style w:type="paragraph" w:customStyle="1" w:styleId="1f0">
    <w:name w:val="标题 字符1"/>
    <w:basedOn w:val="1330"/>
    <w:next w:val="3243"/>
    <w:uiPriority w:val="10"/>
    <w:qFormat/>
    <w:pPr>
      <w:widowControl w:val="0"/>
      <w:spacing w:before="240" w:after="60"/>
      <w:jc w:val="center"/>
      <w:outlineLvl w:val="0"/>
    </w:pPr>
    <w:rPr>
      <w:rFonts w:ascii="Cambria" w:hAnsi="Cambria" w:cs="Times New Roman"/>
      <w:b/>
      <w:kern w:val="2"/>
      <w:sz w:val="32"/>
      <w:szCs w:val="32"/>
    </w:rPr>
  </w:style>
  <w:style w:type="paragraph" w:customStyle="1" w:styleId="1278">
    <w:name w:val="1278"/>
    <w:uiPriority w:val="1"/>
    <w:qFormat/>
    <w:pPr>
      <w:widowControl w:val="0"/>
      <w:jc w:val="both"/>
    </w:pPr>
    <w:rPr>
      <w:bCs/>
      <w:kern w:val="2"/>
      <w:sz w:val="21"/>
      <w:szCs w:val="22"/>
    </w:rPr>
  </w:style>
  <w:style w:type="paragraph" w:customStyle="1" w:styleId="1277">
    <w:name w:val="1277"/>
    <w:basedOn w:val="1330"/>
    <w:next w:val="3243"/>
    <w:uiPriority w:val="39"/>
    <w:pPr>
      <w:widowControl w:val="0"/>
      <w:ind w:leftChars="600" w:left="1260"/>
      <w:jc w:val="both"/>
    </w:pPr>
    <w:rPr>
      <w:rFonts w:ascii="Calibri" w:hAnsi="Calibri" w:cs="Times New Roman"/>
      <w:kern w:val="2"/>
      <w:szCs w:val="22"/>
    </w:rPr>
  </w:style>
  <w:style w:type="paragraph" w:customStyle="1" w:styleId="1276">
    <w:name w:val="1276"/>
    <w:basedOn w:val="1330"/>
    <w:next w:val="3243"/>
    <w:uiPriority w:val="39"/>
    <w:pPr>
      <w:widowControl w:val="0"/>
      <w:ind w:leftChars="800" w:left="1680"/>
      <w:jc w:val="both"/>
    </w:pPr>
    <w:rPr>
      <w:rFonts w:ascii="Calibri" w:hAnsi="Calibri" w:cs="Times New Roman"/>
      <w:kern w:val="2"/>
      <w:szCs w:val="22"/>
    </w:rPr>
  </w:style>
  <w:style w:type="paragraph" w:customStyle="1" w:styleId="1275">
    <w:name w:val="1275"/>
    <w:basedOn w:val="1330"/>
    <w:next w:val="3243"/>
    <w:uiPriority w:val="39"/>
    <w:pPr>
      <w:widowControl w:val="0"/>
      <w:ind w:leftChars="1000" w:left="2100"/>
      <w:jc w:val="both"/>
    </w:pPr>
    <w:rPr>
      <w:rFonts w:ascii="Calibri" w:hAnsi="Calibri" w:cs="Times New Roman"/>
      <w:kern w:val="2"/>
      <w:szCs w:val="22"/>
    </w:rPr>
  </w:style>
  <w:style w:type="paragraph" w:customStyle="1" w:styleId="1274">
    <w:name w:val="1274"/>
    <w:basedOn w:val="1330"/>
    <w:next w:val="3243"/>
    <w:uiPriority w:val="39"/>
    <w:pPr>
      <w:widowControl w:val="0"/>
      <w:ind w:leftChars="1200" w:left="2520"/>
      <w:jc w:val="both"/>
    </w:pPr>
    <w:rPr>
      <w:rFonts w:ascii="Calibri" w:hAnsi="Calibri" w:cs="Times New Roman"/>
      <w:kern w:val="2"/>
      <w:szCs w:val="22"/>
    </w:rPr>
  </w:style>
  <w:style w:type="paragraph" w:customStyle="1" w:styleId="1273">
    <w:name w:val="1273"/>
    <w:basedOn w:val="1330"/>
    <w:next w:val="3243"/>
    <w:uiPriority w:val="39"/>
    <w:pPr>
      <w:widowControl w:val="0"/>
      <w:ind w:leftChars="1400" w:left="2940"/>
      <w:jc w:val="both"/>
    </w:pPr>
    <w:rPr>
      <w:rFonts w:ascii="Calibri" w:hAnsi="Calibri" w:cs="Times New Roman"/>
      <w:kern w:val="2"/>
      <w:szCs w:val="22"/>
    </w:rPr>
  </w:style>
  <w:style w:type="paragraph" w:customStyle="1" w:styleId="1272">
    <w:name w:val="1272"/>
    <w:basedOn w:val="1330"/>
    <w:next w:val="3243"/>
    <w:uiPriority w:val="39"/>
    <w:pPr>
      <w:widowControl w:val="0"/>
      <w:ind w:leftChars="1600" w:left="3360"/>
      <w:jc w:val="both"/>
    </w:pPr>
    <w:rPr>
      <w:rFonts w:ascii="Calibri" w:hAnsi="Calibri" w:cs="Times New Roman"/>
      <w:kern w:val="2"/>
      <w:szCs w:val="22"/>
    </w:rPr>
  </w:style>
  <w:style w:type="character" w:customStyle="1" w:styleId="affe">
    <w:name w:val="普通(网站) 字符"/>
    <w:basedOn w:val="a0"/>
    <w:link w:val="1270"/>
    <w:uiPriority w:val="99"/>
    <w:locked/>
    <w:rPr>
      <w:sz w:val="24"/>
    </w:rPr>
  </w:style>
  <w:style w:type="paragraph" w:customStyle="1" w:styleId="1270">
    <w:name w:val="1270"/>
    <w:basedOn w:val="1330"/>
    <w:link w:val="affe"/>
    <w:uiPriority w:val="99"/>
    <w:pPr>
      <w:spacing w:before="100" w:beforeAutospacing="1" w:after="100" w:afterAutospacing="1"/>
    </w:pPr>
    <w:rPr>
      <w:bCs w:val="0"/>
      <w:sz w:val="24"/>
    </w:rPr>
  </w:style>
  <w:style w:type="paragraph" w:customStyle="1" w:styleId="1269">
    <w:name w:val="1269"/>
    <w:basedOn w:val="1330"/>
    <w:uiPriority w:val="99"/>
    <w:semiHidden/>
    <w:pPr>
      <w:snapToGrid w:val="0"/>
    </w:pPr>
  </w:style>
  <w:style w:type="paragraph" w:customStyle="1" w:styleId="1266">
    <w:name w:val="1266"/>
    <w:basedOn w:val="1330"/>
    <w:next w:val="3243"/>
    <w:uiPriority w:val="99"/>
    <w:qFormat/>
    <w:pPr>
      <w:keepNext/>
      <w:keepLines/>
      <w:widowControl w:val="0"/>
      <w:spacing w:before="100" w:beforeAutospacing="1" w:after="100" w:afterAutospacing="1" w:line="412" w:lineRule="auto"/>
      <w:jc w:val="both"/>
    </w:pPr>
    <w:rPr>
      <w:b/>
      <w:kern w:val="2"/>
    </w:rPr>
  </w:style>
  <w:style w:type="paragraph" w:customStyle="1" w:styleId="1262">
    <w:name w:val="1262"/>
    <w:basedOn w:val="1330"/>
    <w:next w:val="3243"/>
    <w:uiPriority w:val="99"/>
    <w:semiHidden/>
    <w:pPr>
      <w:ind w:firstLineChars="200" w:firstLine="420"/>
    </w:pPr>
    <w:rPr>
      <w:color w:val="000000"/>
    </w:rPr>
  </w:style>
  <w:style w:type="paragraph" w:customStyle="1" w:styleId="1261">
    <w:name w:val="1261"/>
    <w:basedOn w:val="1330"/>
    <w:uiPriority w:val="99"/>
    <w:pPr>
      <w:widowControl w:val="0"/>
      <w:ind w:firstLineChars="200" w:firstLine="420"/>
      <w:jc w:val="both"/>
    </w:pPr>
    <w:rPr>
      <w:kern w:val="2"/>
    </w:rPr>
  </w:style>
  <w:style w:type="paragraph" w:customStyle="1" w:styleId="1260">
    <w:name w:val="1260"/>
    <w:basedOn w:val="1330"/>
    <w:uiPriority w:val="99"/>
    <w:pPr>
      <w:widowControl w:val="0"/>
      <w:tabs>
        <w:tab w:val="left" w:pos="1200"/>
      </w:tabs>
      <w:jc w:val="both"/>
    </w:pPr>
    <w:rPr>
      <w:kern w:val="2"/>
    </w:rPr>
  </w:style>
  <w:style w:type="paragraph" w:customStyle="1" w:styleId="1258">
    <w:name w:val="1258"/>
    <w:basedOn w:val="1330"/>
    <w:uiPriority w:val="34"/>
    <w:qFormat/>
    <w:pPr>
      <w:widowControl w:val="0"/>
      <w:ind w:firstLineChars="200" w:firstLine="420"/>
      <w:jc w:val="both"/>
    </w:pPr>
    <w:rPr>
      <w:rFonts w:ascii="Calibri" w:hAnsi="Calibri"/>
      <w:kern w:val="2"/>
      <w:szCs w:val="22"/>
    </w:rPr>
  </w:style>
  <w:style w:type="paragraph" w:customStyle="1" w:styleId="1257">
    <w:name w:val="1257"/>
    <w:basedOn w:val="1330"/>
    <w:uiPriority w:val="34"/>
    <w:qFormat/>
    <w:pPr>
      <w:widowControl w:val="0"/>
      <w:ind w:firstLineChars="200" w:firstLine="420"/>
      <w:jc w:val="both"/>
    </w:pPr>
    <w:rPr>
      <w:rFonts w:ascii="Calibri" w:hAnsi="Calibri"/>
      <w:kern w:val="2"/>
      <w:szCs w:val="22"/>
    </w:rPr>
  </w:style>
  <w:style w:type="paragraph" w:customStyle="1" w:styleId="1255">
    <w:name w:val="1255"/>
    <w:basedOn w:val="1330"/>
    <w:uiPriority w:val="34"/>
    <w:qFormat/>
    <w:pPr>
      <w:widowControl w:val="0"/>
      <w:ind w:firstLineChars="200" w:firstLine="420"/>
      <w:jc w:val="both"/>
    </w:pPr>
    <w:rPr>
      <w:rFonts w:ascii="Calibri" w:hAnsi="Calibri"/>
      <w:kern w:val="2"/>
      <w:szCs w:val="22"/>
    </w:rPr>
  </w:style>
  <w:style w:type="paragraph" w:customStyle="1" w:styleId="1254">
    <w:name w:val="1254"/>
    <w:basedOn w:val="1330"/>
    <w:uiPriority w:val="34"/>
    <w:qFormat/>
    <w:pPr>
      <w:widowControl w:val="0"/>
      <w:ind w:firstLineChars="200" w:firstLine="420"/>
      <w:jc w:val="both"/>
    </w:pPr>
    <w:rPr>
      <w:rFonts w:ascii="Calibri" w:hAnsi="Calibri"/>
      <w:kern w:val="2"/>
      <w:szCs w:val="22"/>
    </w:rPr>
  </w:style>
  <w:style w:type="paragraph" w:customStyle="1" w:styleId="1251">
    <w:name w:val="1251"/>
    <w:basedOn w:val="1330"/>
    <w:uiPriority w:val="34"/>
    <w:qFormat/>
    <w:pPr>
      <w:widowControl w:val="0"/>
      <w:ind w:firstLineChars="200" w:firstLine="420"/>
      <w:jc w:val="both"/>
    </w:pPr>
    <w:rPr>
      <w:rFonts w:ascii="Calibri" w:hAnsi="Calibri"/>
      <w:kern w:val="2"/>
      <w:szCs w:val="22"/>
    </w:rPr>
  </w:style>
  <w:style w:type="paragraph" w:customStyle="1" w:styleId="1246">
    <w:name w:val="1246"/>
    <w:basedOn w:val="1330"/>
    <w:uiPriority w:val="34"/>
    <w:qFormat/>
    <w:pPr>
      <w:widowControl w:val="0"/>
      <w:ind w:firstLineChars="200" w:firstLine="420"/>
      <w:jc w:val="both"/>
    </w:pPr>
    <w:rPr>
      <w:rFonts w:ascii="Calibri" w:hAnsi="Calibri"/>
      <w:kern w:val="2"/>
      <w:szCs w:val="22"/>
    </w:rPr>
  </w:style>
  <w:style w:type="paragraph" w:customStyle="1" w:styleId="1242">
    <w:name w:val="1242"/>
    <w:basedOn w:val="1330"/>
    <w:uiPriority w:val="99"/>
    <w:pPr>
      <w:widowControl w:val="0"/>
      <w:jc w:val="both"/>
    </w:pPr>
    <w:rPr>
      <w:kern w:val="2"/>
      <w:sz w:val="24"/>
      <w:szCs w:val="24"/>
    </w:rPr>
  </w:style>
  <w:style w:type="paragraph" w:customStyle="1" w:styleId="1241">
    <w:name w:val="1241"/>
    <w:basedOn w:val="1330"/>
    <w:uiPriority w:val="99"/>
    <w:pPr>
      <w:widowControl w:val="0"/>
      <w:tabs>
        <w:tab w:val="left" w:pos="315"/>
      </w:tabs>
      <w:ind w:left="315" w:hanging="315"/>
      <w:jc w:val="both"/>
    </w:pPr>
    <w:rPr>
      <w:kern w:val="2"/>
      <w:sz w:val="24"/>
      <w:szCs w:val="24"/>
    </w:rPr>
  </w:style>
  <w:style w:type="paragraph" w:customStyle="1" w:styleId="1240">
    <w:name w:val="1240"/>
    <w:basedOn w:val="1330"/>
    <w:uiPriority w:val="99"/>
    <w:pPr>
      <w:widowControl w:val="0"/>
      <w:autoSpaceDE w:val="0"/>
      <w:autoSpaceDN w:val="0"/>
      <w:adjustRightInd w:val="0"/>
    </w:pPr>
    <w:rPr>
      <w:kern w:val="2"/>
      <w:sz w:val="30"/>
    </w:rPr>
  </w:style>
  <w:style w:type="paragraph" w:customStyle="1" w:styleId="1234">
    <w:name w:val="1234"/>
    <w:basedOn w:val="1330"/>
    <w:next w:val="3243"/>
    <w:uiPriority w:val="99"/>
    <w:qFormat/>
    <w:pPr>
      <w:keepNext/>
      <w:keepLines/>
      <w:widowControl w:val="0"/>
      <w:tabs>
        <w:tab w:val="left" w:pos="546"/>
      </w:tabs>
      <w:adjustRightInd w:val="0"/>
      <w:spacing w:before="120" w:after="120" w:line="480" w:lineRule="atLeast"/>
      <w:ind w:left="420" w:hanging="420"/>
      <w:outlineLvl w:val="1"/>
    </w:pPr>
    <w:rPr>
      <w:color w:val="000000"/>
    </w:rPr>
  </w:style>
  <w:style w:type="paragraph" w:customStyle="1" w:styleId="1233">
    <w:name w:val="1233"/>
    <w:basedOn w:val="1330"/>
    <w:next w:val="3243"/>
    <w:uiPriority w:val="39"/>
    <w:qFormat/>
    <w:pPr>
      <w:tabs>
        <w:tab w:val="right" w:leader="dot" w:pos="8296"/>
      </w:tabs>
      <w:ind w:leftChars="200" w:left="420"/>
      <w:jc w:val="center"/>
    </w:pPr>
    <w:rPr>
      <w:b/>
      <w:color w:val="000000"/>
      <w:sz w:val="32"/>
      <w:szCs w:val="32"/>
    </w:rPr>
  </w:style>
  <w:style w:type="paragraph" w:customStyle="1" w:styleId="1232">
    <w:name w:val="1232"/>
    <w:basedOn w:val="1330"/>
    <w:next w:val="3243"/>
    <w:uiPriority w:val="39"/>
    <w:qFormat/>
    <w:rPr>
      <w:color w:val="000000"/>
    </w:rPr>
  </w:style>
  <w:style w:type="paragraph" w:customStyle="1" w:styleId="1231">
    <w:name w:val="1231"/>
    <w:basedOn w:val="1330"/>
    <w:next w:val="3243"/>
    <w:uiPriority w:val="39"/>
    <w:qFormat/>
    <w:pPr>
      <w:spacing w:after="100" w:line="276" w:lineRule="auto"/>
      <w:ind w:left="440"/>
    </w:pPr>
    <w:rPr>
      <w:rFonts w:ascii="Calibri" w:hAnsi="Calibri"/>
      <w:sz w:val="22"/>
      <w:szCs w:val="22"/>
    </w:rPr>
  </w:style>
  <w:style w:type="paragraph" w:customStyle="1" w:styleId="1230">
    <w:name w:val="1230"/>
    <w:basedOn w:val="1330"/>
    <w:next w:val="3243"/>
    <w:uiPriority w:val="39"/>
    <w:pPr>
      <w:widowControl w:val="0"/>
      <w:ind w:leftChars="600" w:left="1260"/>
      <w:jc w:val="both"/>
    </w:pPr>
    <w:rPr>
      <w:rFonts w:ascii="Calibri" w:hAnsi="Calibri" w:cs="Times New Roman"/>
      <w:kern w:val="2"/>
      <w:szCs w:val="22"/>
    </w:rPr>
  </w:style>
  <w:style w:type="paragraph" w:customStyle="1" w:styleId="1229">
    <w:name w:val="1229"/>
    <w:basedOn w:val="1330"/>
    <w:next w:val="3243"/>
    <w:uiPriority w:val="39"/>
    <w:pPr>
      <w:widowControl w:val="0"/>
      <w:ind w:leftChars="800" w:left="1680"/>
      <w:jc w:val="both"/>
    </w:pPr>
    <w:rPr>
      <w:rFonts w:ascii="Calibri" w:hAnsi="Calibri" w:cs="Times New Roman"/>
      <w:kern w:val="2"/>
      <w:szCs w:val="22"/>
    </w:rPr>
  </w:style>
  <w:style w:type="paragraph" w:customStyle="1" w:styleId="1228">
    <w:name w:val="1228"/>
    <w:basedOn w:val="1330"/>
    <w:next w:val="3243"/>
    <w:uiPriority w:val="39"/>
    <w:pPr>
      <w:widowControl w:val="0"/>
      <w:ind w:leftChars="1000" w:left="2100"/>
      <w:jc w:val="both"/>
    </w:pPr>
    <w:rPr>
      <w:rFonts w:ascii="Calibri" w:hAnsi="Calibri" w:cs="Times New Roman"/>
      <w:kern w:val="2"/>
      <w:szCs w:val="22"/>
    </w:rPr>
  </w:style>
  <w:style w:type="paragraph" w:customStyle="1" w:styleId="1227">
    <w:name w:val="1227"/>
    <w:basedOn w:val="1330"/>
    <w:next w:val="3243"/>
    <w:uiPriority w:val="39"/>
    <w:pPr>
      <w:widowControl w:val="0"/>
      <w:ind w:leftChars="1200" w:left="2520"/>
      <w:jc w:val="both"/>
    </w:pPr>
    <w:rPr>
      <w:rFonts w:ascii="Calibri" w:hAnsi="Calibri" w:cs="Times New Roman"/>
      <w:kern w:val="2"/>
      <w:szCs w:val="22"/>
    </w:rPr>
  </w:style>
  <w:style w:type="paragraph" w:customStyle="1" w:styleId="1226">
    <w:name w:val="1226"/>
    <w:basedOn w:val="1330"/>
    <w:next w:val="3243"/>
    <w:uiPriority w:val="39"/>
    <w:pPr>
      <w:widowControl w:val="0"/>
      <w:ind w:leftChars="1400" w:left="2940"/>
      <w:jc w:val="both"/>
    </w:pPr>
    <w:rPr>
      <w:rFonts w:ascii="Calibri" w:hAnsi="Calibri" w:cs="Times New Roman"/>
      <w:kern w:val="2"/>
      <w:szCs w:val="22"/>
    </w:rPr>
  </w:style>
  <w:style w:type="paragraph" w:customStyle="1" w:styleId="1225">
    <w:name w:val="1225"/>
    <w:basedOn w:val="1330"/>
    <w:next w:val="3243"/>
    <w:uiPriority w:val="39"/>
    <w:pPr>
      <w:widowControl w:val="0"/>
      <w:ind w:leftChars="1600" w:left="3360"/>
      <w:jc w:val="both"/>
    </w:pPr>
    <w:rPr>
      <w:rFonts w:ascii="Calibri" w:hAnsi="Calibri" w:cs="Times New Roman"/>
      <w:kern w:val="2"/>
      <w:szCs w:val="22"/>
    </w:rPr>
  </w:style>
  <w:style w:type="paragraph" w:customStyle="1" w:styleId="1224">
    <w:name w:val="1224"/>
    <w:basedOn w:val="1330"/>
    <w:uiPriority w:val="99"/>
    <w:pPr>
      <w:widowControl w:val="0"/>
      <w:tabs>
        <w:tab w:val="left" w:pos="1200"/>
      </w:tabs>
      <w:jc w:val="both"/>
    </w:pPr>
    <w:rPr>
      <w:kern w:val="2"/>
    </w:rPr>
  </w:style>
  <w:style w:type="paragraph" w:customStyle="1" w:styleId="1223">
    <w:name w:val="1223"/>
    <w:basedOn w:val="1330"/>
    <w:next w:val="3243"/>
    <w:uiPriority w:val="99"/>
    <w:qFormat/>
    <w:pPr>
      <w:keepNext/>
      <w:keepLines/>
      <w:widowControl w:val="0"/>
      <w:spacing w:before="100" w:beforeAutospacing="1" w:after="100" w:afterAutospacing="1" w:line="412" w:lineRule="auto"/>
      <w:jc w:val="both"/>
    </w:pPr>
    <w:rPr>
      <w:b/>
      <w:kern w:val="2"/>
      <w:szCs w:val="24"/>
    </w:rPr>
  </w:style>
  <w:style w:type="paragraph" w:customStyle="1" w:styleId="1220">
    <w:name w:val="1220"/>
    <w:basedOn w:val="1330"/>
    <w:uiPriority w:val="34"/>
    <w:qFormat/>
    <w:pPr>
      <w:widowControl w:val="0"/>
      <w:ind w:firstLineChars="200" w:firstLine="420"/>
      <w:jc w:val="both"/>
    </w:pPr>
    <w:rPr>
      <w:rFonts w:ascii="Calibri" w:hAnsi="Calibri"/>
      <w:kern w:val="2"/>
      <w:szCs w:val="22"/>
    </w:rPr>
  </w:style>
  <w:style w:type="paragraph" w:customStyle="1" w:styleId="1219">
    <w:name w:val="1219"/>
    <w:basedOn w:val="1330"/>
    <w:uiPriority w:val="34"/>
    <w:qFormat/>
    <w:pPr>
      <w:widowControl w:val="0"/>
      <w:ind w:firstLineChars="200" w:firstLine="420"/>
      <w:jc w:val="both"/>
    </w:pPr>
    <w:rPr>
      <w:rFonts w:ascii="Calibri" w:hAnsi="Calibri"/>
      <w:kern w:val="2"/>
      <w:szCs w:val="22"/>
    </w:rPr>
  </w:style>
  <w:style w:type="paragraph" w:customStyle="1" w:styleId="1218">
    <w:name w:val="1218"/>
    <w:basedOn w:val="1330"/>
    <w:uiPriority w:val="34"/>
    <w:qFormat/>
    <w:pPr>
      <w:widowControl w:val="0"/>
      <w:ind w:firstLineChars="200" w:firstLine="420"/>
      <w:jc w:val="both"/>
    </w:pPr>
    <w:rPr>
      <w:rFonts w:ascii="Calibri" w:hAnsi="Calibri"/>
      <w:kern w:val="2"/>
      <w:szCs w:val="22"/>
    </w:rPr>
  </w:style>
  <w:style w:type="paragraph" w:customStyle="1" w:styleId="1217">
    <w:name w:val="1217"/>
    <w:basedOn w:val="1330"/>
    <w:uiPriority w:val="34"/>
    <w:qFormat/>
    <w:pPr>
      <w:widowControl w:val="0"/>
      <w:ind w:firstLineChars="200" w:firstLine="420"/>
      <w:jc w:val="both"/>
    </w:pPr>
    <w:rPr>
      <w:rFonts w:ascii="Calibri" w:hAnsi="Calibri"/>
      <w:kern w:val="2"/>
      <w:szCs w:val="22"/>
    </w:rPr>
  </w:style>
  <w:style w:type="paragraph" w:customStyle="1" w:styleId="1216">
    <w:name w:val="1216"/>
    <w:uiPriority w:val="99"/>
    <w:qFormat/>
    <w:rPr>
      <w:bCs/>
      <w:kern w:val="2"/>
      <w:sz w:val="21"/>
      <w:szCs w:val="24"/>
    </w:rPr>
  </w:style>
  <w:style w:type="paragraph" w:customStyle="1" w:styleId="1214">
    <w:name w:val="1214"/>
    <w:uiPriority w:val="99"/>
    <w:qFormat/>
    <w:rPr>
      <w:bCs/>
      <w:sz w:val="21"/>
      <w:szCs w:val="24"/>
    </w:rPr>
  </w:style>
  <w:style w:type="paragraph" w:customStyle="1" w:styleId="1212">
    <w:name w:val="1212"/>
    <w:basedOn w:val="1330"/>
    <w:uiPriority w:val="34"/>
    <w:qFormat/>
    <w:pPr>
      <w:widowControl w:val="0"/>
      <w:ind w:firstLineChars="200" w:firstLine="420"/>
      <w:jc w:val="both"/>
    </w:pPr>
    <w:rPr>
      <w:rFonts w:ascii="Calibri" w:hAnsi="Calibri"/>
      <w:kern w:val="2"/>
      <w:szCs w:val="22"/>
    </w:rPr>
  </w:style>
  <w:style w:type="paragraph" w:customStyle="1" w:styleId="1211">
    <w:name w:val="1211"/>
    <w:basedOn w:val="1330"/>
    <w:uiPriority w:val="34"/>
    <w:qFormat/>
    <w:pPr>
      <w:widowControl w:val="0"/>
      <w:ind w:firstLineChars="200" w:firstLine="420"/>
      <w:jc w:val="both"/>
    </w:pPr>
    <w:rPr>
      <w:rFonts w:ascii="Calibri" w:hAnsi="Calibri"/>
      <w:kern w:val="2"/>
      <w:szCs w:val="22"/>
    </w:rPr>
  </w:style>
  <w:style w:type="paragraph" w:customStyle="1" w:styleId="1210">
    <w:name w:val="1210"/>
    <w:basedOn w:val="1330"/>
    <w:uiPriority w:val="99"/>
    <w:qFormat/>
    <w:rPr>
      <w:kern w:val="2"/>
    </w:rPr>
  </w:style>
  <w:style w:type="paragraph" w:customStyle="1" w:styleId="1209">
    <w:name w:val="1209"/>
    <w:basedOn w:val="1330"/>
    <w:uiPriority w:val="59"/>
    <w:qFormat/>
    <w:pPr>
      <w:widowControl w:val="0"/>
    </w:pPr>
    <w:rPr>
      <w:kern w:val="2"/>
    </w:rPr>
  </w:style>
  <w:style w:type="paragraph" w:customStyle="1" w:styleId="1208">
    <w:name w:val="1208"/>
    <w:uiPriority w:val="99"/>
    <w:qFormat/>
    <w:rPr>
      <w:bCs/>
      <w:kern w:val="2"/>
      <w:sz w:val="21"/>
      <w:szCs w:val="24"/>
    </w:rPr>
  </w:style>
  <w:style w:type="paragraph" w:customStyle="1" w:styleId="1207">
    <w:name w:val="1207"/>
    <w:uiPriority w:val="99"/>
    <w:qFormat/>
    <w:rPr>
      <w:bCs/>
      <w:kern w:val="2"/>
      <w:sz w:val="21"/>
      <w:szCs w:val="24"/>
    </w:rPr>
  </w:style>
  <w:style w:type="paragraph" w:customStyle="1" w:styleId="1206">
    <w:name w:val="1206"/>
    <w:basedOn w:val="1330"/>
    <w:uiPriority w:val="99"/>
    <w:pPr>
      <w:widowControl w:val="0"/>
      <w:jc w:val="both"/>
    </w:pPr>
    <w:rPr>
      <w:rFonts w:ascii="Calibri" w:hAnsi="Calibri"/>
      <w:kern w:val="2"/>
      <w:sz w:val="18"/>
      <w:szCs w:val="18"/>
    </w:rPr>
  </w:style>
  <w:style w:type="paragraph" w:customStyle="1" w:styleId="1205">
    <w:name w:val="1205"/>
    <w:basedOn w:val="1330"/>
    <w:next w:val="3243"/>
    <w:uiPriority w:val="99"/>
    <w:pPr>
      <w:widowControl w:val="0"/>
      <w:ind w:leftChars="2500" w:left="100"/>
      <w:jc w:val="both"/>
    </w:pPr>
    <w:rPr>
      <w:kern w:val="2"/>
    </w:rPr>
  </w:style>
  <w:style w:type="paragraph" w:customStyle="1" w:styleId="1201">
    <w:name w:val="1201"/>
    <w:uiPriority w:val="99"/>
    <w:qFormat/>
    <w:rPr>
      <w:bCs/>
      <w:kern w:val="2"/>
      <w:sz w:val="21"/>
      <w:szCs w:val="24"/>
    </w:rPr>
  </w:style>
  <w:style w:type="paragraph" w:customStyle="1" w:styleId="1199">
    <w:name w:val="1199"/>
    <w:basedOn w:val="1330"/>
    <w:next w:val="3243"/>
    <w:uiPriority w:val="99"/>
    <w:qFormat/>
    <w:pPr>
      <w:keepNext/>
      <w:keepLines/>
      <w:widowControl w:val="0"/>
      <w:spacing w:before="60" w:after="60" w:line="360" w:lineRule="auto"/>
      <w:jc w:val="center"/>
      <w:outlineLvl w:val="0"/>
    </w:pPr>
    <w:rPr>
      <w:rFonts w:ascii="Calibri" w:eastAsia="黑体" w:hAnsi="Calibri"/>
      <w:b/>
      <w:kern w:val="44"/>
      <w:sz w:val="28"/>
      <w:szCs w:val="44"/>
    </w:rPr>
  </w:style>
  <w:style w:type="paragraph" w:customStyle="1" w:styleId="1198">
    <w:name w:val="1198"/>
    <w:basedOn w:val="1330"/>
    <w:next w:val="3243"/>
    <w:uiPriority w:val="9"/>
    <w:qFormat/>
    <w:pPr>
      <w:keepNext/>
      <w:keepLines/>
      <w:widowControl w:val="0"/>
      <w:spacing w:before="60" w:after="60"/>
      <w:jc w:val="both"/>
      <w:outlineLvl w:val="2"/>
    </w:pPr>
    <w:rPr>
      <w:rFonts w:ascii="Calibri" w:hAnsi="Calibri"/>
      <w:b/>
      <w:kern w:val="2"/>
      <w:szCs w:val="32"/>
    </w:rPr>
  </w:style>
  <w:style w:type="paragraph" w:customStyle="1" w:styleId="1197">
    <w:name w:val="1197"/>
    <w:basedOn w:val="1330"/>
    <w:next w:val="3243"/>
    <w:uiPriority w:val="9"/>
    <w:qFormat/>
    <w:pPr>
      <w:keepNext/>
      <w:keepLines/>
      <w:widowControl w:val="0"/>
      <w:spacing w:before="60" w:after="60"/>
      <w:jc w:val="both"/>
      <w:outlineLvl w:val="3"/>
    </w:pPr>
    <w:rPr>
      <w:rFonts w:ascii="Cambria" w:hAnsi="Cambria"/>
      <w:b/>
      <w:kern w:val="2"/>
      <w:szCs w:val="28"/>
    </w:rPr>
  </w:style>
  <w:style w:type="paragraph" w:customStyle="1" w:styleId="1196">
    <w:name w:val="1196"/>
    <w:basedOn w:val="1330"/>
    <w:next w:val="3243"/>
    <w:uiPriority w:val="9"/>
    <w:qFormat/>
    <w:pPr>
      <w:keepNext/>
      <w:keepLines/>
      <w:widowControl w:val="0"/>
      <w:spacing w:before="60" w:after="60"/>
      <w:jc w:val="both"/>
      <w:outlineLvl w:val="4"/>
    </w:pPr>
    <w:rPr>
      <w:rFonts w:ascii="Calibri" w:hAnsi="Calibri"/>
      <w:b/>
      <w:kern w:val="2"/>
      <w:szCs w:val="28"/>
    </w:rPr>
  </w:style>
  <w:style w:type="paragraph" w:customStyle="1" w:styleId="1195">
    <w:name w:val="1195"/>
    <w:basedOn w:val="1330"/>
    <w:next w:val="3243"/>
    <w:uiPriority w:val="9"/>
    <w:qFormat/>
    <w:pPr>
      <w:keepNext/>
      <w:keepLines/>
      <w:spacing w:before="60" w:after="60"/>
      <w:outlineLvl w:val="5"/>
    </w:pPr>
    <w:rPr>
      <w:rFonts w:ascii="Cambria" w:hAnsi="Cambria" w:cs="Times New Roman"/>
      <w:b/>
    </w:rPr>
  </w:style>
  <w:style w:type="paragraph" w:customStyle="1" w:styleId="1194">
    <w:name w:val="1194"/>
    <w:basedOn w:val="1330"/>
    <w:next w:val="3243"/>
    <w:uiPriority w:val="9"/>
    <w:qFormat/>
    <w:pPr>
      <w:keepNext/>
      <w:keepLines/>
      <w:spacing w:before="240" w:after="64" w:line="319" w:lineRule="auto"/>
      <w:outlineLvl w:val="6"/>
    </w:pPr>
    <w:rPr>
      <w:b/>
      <w:sz w:val="24"/>
    </w:rPr>
  </w:style>
  <w:style w:type="paragraph" w:customStyle="1" w:styleId="1188">
    <w:name w:val="1188"/>
    <w:basedOn w:val="1330"/>
    <w:next w:val="3243"/>
    <w:uiPriority w:val="39"/>
    <w:qFormat/>
    <w:pPr>
      <w:widowControl w:val="0"/>
      <w:tabs>
        <w:tab w:val="left" w:pos="1260"/>
        <w:tab w:val="right" w:leader="dot" w:pos="8823"/>
      </w:tabs>
      <w:jc w:val="center"/>
    </w:pPr>
    <w:rPr>
      <w:kern w:val="2"/>
    </w:rPr>
  </w:style>
  <w:style w:type="paragraph" w:customStyle="1" w:styleId="1187">
    <w:name w:val="1187"/>
    <w:basedOn w:val="1330"/>
    <w:next w:val="3243"/>
    <w:uiPriority w:val="39"/>
    <w:qFormat/>
    <w:pPr>
      <w:widowControl w:val="0"/>
      <w:ind w:leftChars="200" w:left="420"/>
      <w:jc w:val="both"/>
    </w:pPr>
    <w:rPr>
      <w:kern w:val="2"/>
    </w:rPr>
  </w:style>
  <w:style w:type="paragraph" w:customStyle="1" w:styleId="1186">
    <w:name w:val="1186"/>
    <w:basedOn w:val="1330"/>
    <w:uiPriority w:val="99"/>
    <w:qFormat/>
    <w:pPr>
      <w:widowControl w:val="0"/>
    </w:pPr>
    <w:rPr>
      <w:kern w:val="2"/>
    </w:rPr>
  </w:style>
  <w:style w:type="paragraph" w:customStyle="1" w:styleId="1184">
    <w:name w:val="1184"/>
    <w:basedOn w:val="1330"/>
    <w:uiPriority w:val="99"/>
    <w:pPr>
      <w:widowControl w:val="0"/>
      <w:jc w:val="both"/>
    </w:pPr>
    <w:rPr>
      <w:rFonts w:ascii="Calibri" w:hAnsi="Calibri"/>
      <w:kern w:val="2"/>
      <w:sz w:val="18"/>
      <w:szCs w:val="18"/>
    </w:rPr>
  </w:style>
  <w:style w:type="paragraph" w:customStyle="1" w:styleId="1182">
    <w:name w:val="1182"/>
    <w:basedOn w:val="1330"/>
    <w:next w:val="3243"/>
    <w:uiPriority w:val="99"/>
    <w:pPr>
      <w:widowControl w:val="0"/>
      <w:jc w:val="both"/>
    </w:pPr>
    <w:rPr>
      <w:kern w:val="2"/>
    </w:rPr>
  </w:style>
  <w:style w:type="paragraph" w:customStyle="1" w:styleId="1180">
    <w:name w:val="1180"/>
    <w:basedOn w:val="1330"/>
    <w:uiPriority w:val="34"/>
    <w:qFormat/>
    <w:pPr>
      <w:widowControl w:val="0"/>
      <w:ind w:firstLineChars="200" w:firstLine="420"/>
      <w:jc w:val="both"/>
    </w:pPr>
    <w:rPr>
      <w:rFonts w:ascii="Calibri" w:hAnsi="Calibri"/>
      <w:kern w:val="2"/>
      <w:szCs w:val="22"/>
    </w:rPr>
  </w:style>
  <w:style w:type="paragraph" w:customStyle="1" w:styleId="1178">
    <w:name w:val="1178"/>
    <w:basedOn w:val="1186"/>
    <w:uiPriority w:val="99"/>
    <w:rPr>
      <w:rFonts w:ascii="Calibri" w:hAnsi="Calibri"/>
      <w:b/>
      <w:szCs w:val="22"/>
    </w:rPr>
  </w:style>
  <w:style w:type="paragraph" w:customStyle="1" w:styleId="1177">
    <w:name w:val="1177"/>
    <w:basedOn w:val="1330"/>
    <w:next w:val="3243"/>
    <w:uiPriority w:val="39"/>
    <w:qFormat/>
    <w:pPr>
      <w:spacing w:after="100" w:line="276" w:lineRule="auto"/>
      <w:ind w:left="440"/>
    </w:pPr>
    <w:rPr>
      <w:rFonts w:ascii="Calibri" w:hAnsi="Calibri"/>
      <w:sz w:val="22"/>
      <w:szCs w:val="22"/>
    </w:rPr>
  </w:style>
  <w:style w:type="paragraph" w:customStyle="1" w:styleId="1176">
    <w:name w:val="1176"/>
    <w:basedOn w:val="1330"/>
    <w:uiPriority w:val="99"/>
    <w:pPr>
      <w:widowControl w:val="0"/>
      <w:pBdr>
        <w:bottom w:val="single" w:sz="6" w:space="1" w:color="auto"/>
      </w:pBdr>
      <w:tabs>
        <w:tab w:val="center" w:pos="4153"/>
        <w:tab w:val="right" w:pos="8306"/>
      </w:tabs>
      <w:snapToGrid w:val="0"/>
      <w:jc w:val="center"/>
    </w:pPr>
    <w:rPr>
      <w:rFonts w:ascii="Calibri" w:hAnsi="Calibri"/>
      <w:kern w:val="2"/>
      <w:sz w:val="18"/>
      <w:szCs w:val="18"/>
    </w:rPr>
  </w:style>
  <w:style w:type="paragraph" w:customStyle="1" w:styleId="1174">
    <w:name w:val="1174"/>
    <w:basedOn w:val="1330"/>
    <w:uiPriority w:val="99"/>
    <w:pPr>
      <w:widowControl w:val="0"/>
      <w:tabs>
        <w:tab w:val="center" w:pos="4153"/>
        <w:tab w:val="right" w:pos="8306"/>
      </w:tabs>
      <w:snapToGrid w:val="0"/>
    </w:pPr>
    <w:rPr>
      <w:rFonts w:ascii="Calibri" w:hAnsi="Calibri"/>
      <w:kern w:val="2"/>
      <w:sz w:val="18"/>
      <w:szCs w:val="18"/>
    </w:rPr>
  </w:style>
  <w:style w:type="paragraph" w:customStyle="1" w:styleId="1172">
    <w:name w:val="1172"/>
    <w:basedOn w:val="1330"/>
    <w:uiPriority w:val="99"/>
    <w:pPr>
      <w:widowControl w:val="0"/>
      <w:jc w:val="both"/>
    </w:pPr>
    <w:rPr>
      <w:rFonts w:hAnsi="Courier New"/>
      <w:kern w:val="2"/>
    </w:rPr>
  </w:style>
  <w:style w:type="paragraph" w:customStyle="1" w:styleId="1170">
    <w:name w:val="1170"/>
    <w:basedOn w:val="1330"/>
    <w:uiPriority w:val="99"/>
    <w:pPr>
      <w:widowControl w:val="0"/>
      <w:spacing w:after="120"/>
      <w:jc w:val="both"/>
    </w:pPr>
    <w:rPr>
      <w:kern w:val="2"/>
    </w:rPr>
  </w:style>
  <w:style w:type="paragraph" w:customStyle="1" w:styleId="1168">
    <w:name w:val="1168"/>
    <w:basedOn w:val="1330"/>
    <w:next w:val="3243"/>
    <w:uiPriority w:val="99"/>
    <w:pPr>
      <w:widowControl w:val="0"/>
      <w:ind w:leftChars="2500" w:left="100"/>
      <w:jc w:val="both"/>
    </w:pPr>
    <w:rPr>
      <w:kern w:val="2"/>
    </w:rPr>
  </w:style>
  <w:style w:type="paragraph" w:customStyle="1" w:styleId="1166">
    <w:name w:val="1166"/>
    <w:basedOn w:val="1330"/>
    <w:next w:val="3243"/>
    <w:uiPriority w:val="99"/>
    <w:pPr>
      <w:widowControl w:val="0"/>
      <w:jc w:val="center"/>
    </w:pPr>
    <w:rPr>
      <w:kern w:val="2"/>
    </w:rPr>
  </w:style>
  <w:style w:type="paragraph" w:customStyle="1" w:styleId="1164">
    <w:name w:val="1164"/>
    <w:basedOn w:val="1330"/>
    <w:next w:val="3243"/>
    <w:uiPriority w:val="99"/>
    <w:semiHidden/>
    <w:pPr>
      <w:widowControl w:val="0"/>
      <w:spacing w:before="120"/>
      <w:jc w:val="both"/>
    </w:pPr>
    <w:rPr>
      <w:rFonts w:ascii="Arial" w:hAnsi="Arial"/>
      <w:b/>
      <w:kern w:val="2"/>
    </w:rPr>
  </w:style>
  <w:style w:type="paragraph" w:customStyle="1" w:styleId="1163">
    <w:name w:val="1163"/>
    <w:basedOn w:val="1330"/>
    <w:uiPriority w:val="99"/>
    <w:pPr>
      <w:keepNext/>
      <w:keepLines/>
      <w:widowControl w:val="0"/>
      <w:spacing w:before="60" w:after="60"/>
      <w:ind w:hangingChars="200" w:hanging="420"/>
      <w:jc w:val="both"/>
      <w:outlineLvl w:val="4"/>
    </w:pPr>
    <w:rPr>
      <w:b/>
      <w:kern w:val="2"/>
    </w:rPr>
  </w:style>
  <w:style w:type="paragraph" w:customStyle="1" w:styleId="1162">
    <w:name w:val="1162"/>
    <w:uiPriority w:val="99"/>
    <w:semiHidden/>
    <w:rPr>
      <w:bCs/>
      <w:kern w:val="2"/>
      <w:sz w:val="21"/>
      <w:szCs w:val="22"/>
    </w:rPr>
  </w:style>
  <w:style w:type="paragraph" w:customStyle="1" w:styleId="1160">
    <w:name w:val="1160"/>
    <w:basedOn w:val="1330"/>
    <w:uiPriority w:val="99"/>
    <w:qFormat/>
    <w:pPr>
      <w:widowControl w:val="0"/>
      <w:spacing w:before="100" w:after="100"/>
      <w:jc w:val="both"/>
    </w:pPr>
    <w:rPr>
      <w:rFonts w:ascii="Calibri" w:hAnsi="Calibri"/>
      <w:kern w:val="2"/>
    </w:rPr>
  </w:style>
  <w:style w:type="paragraph" w:customStyle="1" w:styleId="1159">
    <w:name w:val="1159"/>
    <w:basedOn w:val="1330"/>
    <w:uiPriority w:val="99"/>
    <w:semiHidden/>
    <w:pPr>
      <w:widowControl w:val="0"/>
      <w:jc w:val="both"/>
    </w:pPr>
    <w:rPr>
      <w:rFonts w:hAnsi="Calibri"/>
      <w:kern w:val="2"/>
      <w:sz w:val="18"/>
      <w:szCs w:val="18"/>
    </w:rPr>
  </w:style>
  <w:style w:type="paragraph" w:customStyle="1" w:styleId="1156">
    <w:name w:val="1156"/>
    <w:basedOn w:val="1330"/>
    <w:next w:val="3243"/>
    <w:uiPriority w:val="10"/>
    <w:qFormat/>
    <w:pPr>
      <w:widowControl w:val="0"/>
      <w:spacing w:before="240" w:after="60"/>
      <w:jc w:val="center"/>
      <w:outlineLvl w:val="0"/>
    </w:pPr>
    <w:rPr>
      <w:rFonts w:ascii="Cambria" w:hAnsi="Cambria" w:cs="Times New Roman"/>
      <w:b/>
      <w:kern w:val="2"/>
      <w:sz w:val="32"/>
      <w:szCs w:val="32"/>
    </w:rPr>
  </w:style>
  <w:style w:type="paragraph" w:customStyle="1" w:styleId="1154">
    <w:name w:val="1154"/>
    <w:uiPriority w:val="1"/>
    <w:qFormat/>
    <w:pPr>
      <w:widowControl w:val="0"/>
      <w:jc w:val="both"/>
    </w:pPr>
    <w:rPr>
      <w:bCs/>
      <w:kern w:val="2"/>
      <w:sz w:val="21"/>
      <w:szCs w:val="22"/>
    </w:rPr>
  </w:style>
  <w:style w:type="paragraph" w:customStyle="1" w:styleId="1153">
    <w:name w:val="1153"/>
    <w:basedOn w:val="1330"/>
    <w:next w:val="3243"/>
    <w:uiPriority w:val="39"/>
    <w:pPr>
      <w:widowControl w:val="0"/>
      <w:ind w:leftChars="600" w:left="1260"/>
      <w:jc w:val="both"/>
    </w:pPr>
    <w:rPr>
      <w:rFonts w:ascii="Calibri" w:hAnsi="Calibri" w:cs="Times New Roman"/>
      <w:kern w:val="2"/>
      <w:szCs w:val="22"/>
    </w:rPr>
  </w:style>
  <w:style w:type="paragraph" w:customStyle="1" w:styleId="1152">
    <w:name w:val="1152"/>
    <w:basedOn w:val="1330"/>
    <w:next w:val="3243"/>
    <w:uiPriority w:val="39"/>
    <w:pPr>
      <w:widowControl w:val="0"/>
      <w:ind w:leftChars="800" w:left="1680"/>
      <w:jc w:val="both"/>
    </w:pPr>
    <w:rPr>
      <w:rFonts w:ascii="Calibri" w:hAnsi="Calibri" w:cs="Times New Roman"/>
      <w:kern w:val="2"/>
      <w:szCs w:val="22"/>
    </w:rPr>
  </w:style>
  <w:style w:type="paragraph" w:customStyle="1" w:styleId="1151">
    <w:name w:val="1151"/>
    <w:basedOn w:val="1330"/>
    <w:next w:val="3243"/>
    <w:uiPriority w:val="39"/>
    <w:pPr>
      <w:widowControl w:val="0"/>
      <w:ind w:leftChars="1000" w:left="2100"/>
      <w:jc w:val="both"/>
    </w:pPr>
    <w:rPr>
      <w:rFonts w:ascii="Calibri" w:hAnsi="Calibri" w:cs="Times New Roman"/>
      <w:kern w:val="2"/>
      <w:szCs w:val="22"/>
    </w:rPr>
  </w:style>
  <w:style w:type="paragraph" w:customStyle="1" w:styleId="1150">
    <w:name w:val="1150"/>
    <w:basedOn w:val="1330"/>
    <w:next w:val="3243"/>
    <w:uiPriority w:val="39"/>
    <w:pPr>
      <w:widowControl w:val="0"/>
      <w:ind w:leftChars="1200" w:left="2520"/>
      <w:jc w:val="both"/>
    </w:pPr>
    <w:rPr>
      <w:rFonts w:ascii="Calibri" w:hAnsi="Calibri" w:cs="Times New Roman"/>
      <w:kern w:val="2"/>
      <w:szCs w:val="22"/>
    </w:rPr>
  </w:style>
  <w:style w:type="paragraph" w:customStyle="1" w:styleId="1149">
    <w:name w:val="1149"/>
    <w:basedOn w:val="1330"/>
    <w:next w:val="3243"/>
    <w:uiPriority w:val="39"/>
    <w:pPr>
      <w:widowControl w:val="0"/>
      <w:ind w:leftChars="1400" w:left="2940"/>
      <w:jc w:val="both"/>
    </w:pPr>
    <w:rPr>
      <w:rFonts w:ascii="Calibri" w:hAnsi="Calibri" w:cs="Times New Roman"/>
      <w:kern w:val="2"/>
      <w:szCs w:val="22"/>
    </w:rPr>
  </w:style>
  <w:style w:type="paragraph" w:customStyle="1" w:styleId="1148">
    <w:name w:val="1148"/>
    <w:basedOn w:val="1330"/>
    <w:next w:val="3243"/>
    <w:uiPriority w:val="39"/>
    <w:pPr>
      <w:widowControl w:val="0"/>
      <w:ind w:leftChars="1600" w:left="3360"/>
      <w:jc w:val="both"/>
    </w:pPr>
    <w:rPr>
      <w:rFonts w:ascii="Calibri" w:hAnsi="Calibri" w:cs="Times New Roman"/>
      <w:kern w:val="2"/>
      <w:szCs w:val="22"/>
    </w:rPr>
  </w:style>
  <w:style w:type="paragraph" w:customStyle="1" w:styleId="1146">
    <w:name w:val="1146"/>
    <w:basedOn w:val="1330"/>
    <w:uiPriority w:val="99"/>
    <w:pPr>
      <w:spacing w:before="100" w:beforeAutospacing="1" w:after="100" w:afterAutospacing="1"/>
    </w:pPr>
    <w:rPr>
      <w:sz w:val="24"/>
    </w:rPr>
  </w:style>
  <w:style w:type="paragraph" w:customStyle="1" w:styleId="1145">
    <w:name w:val="1145"/>
    <w:basedOn w:val="1330"/>
    <w:uiPriority w:val="99"/>
    <w:semiHidden/>
    <w:pPr>
      <w:snapToGrid w:val="0"/>
    </w:pPr>
  </w:style>
  <w:style w:type="paragraph" w:customStyle="1" w:styleId="1139">
    <w:name w:val="1139"/>
    <w:basedOn w:val="1330"/>
    <w:uiPriority w:val="99"/>
    <w:pPr>
      <w:widowControl w:val="0"/>
      <w:ind w:firstLineChars="200" w:firstLine="420"/>
      <w:jc w:val="both"/>
    </w:pPr>
    <w:rPr>
      <w:kern w:val="2"/>
    </w:rPr>
  </w:style>
  <w:style w:type="paragraph" w:customStyle="1" w:styleId="1138">
    <w:name w:val="1138"/>
    <w:basedOn w:val="1330"/>
    <w:uiPriority w:val="99"/>
    <w:pPr>
      <w:widowControl w:val="0"/>
      <w:tabs>
        <w:tab w:val="left" w:pos="1200"/>
      </w:tabs>
      <w:jc w:val="both"/>
    </w:pPr>
    <w:rPr>
      <w:kern w:val="2"/>
    </w:rPr>
  </w:style>
  <w:style w:type="paragraph" w:customStyle="1" w:styleId="1137">
    <w:name w:val="1137"/>
    <w:basedOn w:val="1330"/>
    <w:uiPriority w:val="34"/>
    <w:qFormat/>
    <w:pPr>
      <w:widowControl w:val="0"/>
      <w:ind w:firstLineChars="200" w:firstLine="420"/>
      <w:jc w:val="both"/>
    </w:pPr>
    <w:rPr>
      <w:rFonts w:ascii="Calibri" w:hAnsi="Calibri"/>
      <w:kern w:val="2"/>
      <w:szCs w:val="22"/>
    </w:rPr>
  </w:style>
  <w:style w:type="paragraph" w:customStyle="1" w:styleId="1136">
    <w:name w:val="1136"/>
    <w:basedOn w:val="1330"/>
    <w:uiPriority w:val="34"/>
    <w:qFormat/>
    <w:pPr>
      <w:widowControl w:val="0"/>
      <w:ind w:firstLineChars="200" w:firstLine="420"/>
      <w:jc w:val="both"/>
    </w:pPr>
    <w:rPr>
      <w:rFonts w:ascii="Calibri" w:hAnsi="Calibri"/>
      <w:kern w:val="2"/>
      <w:szCs w:val="22"/>
    </w:rPr>
  </w:style>
  <w:style w:type="paragraph" w:customStyle="1" w:styleId="1135">
    <w:name w:val="1135"/>
    <w:basedOn w:val="1330"/>
    <w:uiPriority w:val="34"/>
    <w:qFormat/>
    <w:pPr>
      <w:widowControl w:val="0"/>
      <w:ind w:firstLineChars="200" w:firstLine="420"/>
      <w:jc w:val="both"/>
    </w:pPr>
    <w:rPr>
      <w:rFonts w:ascii="Calibri" w:hAnsi="Calibri"/>
      <w:kern w:val="2"/>
      <w:szCs w:val="22"/>
    </w:rPr>
  </w:style>
  <w:style w:type="paragraph" w:customStyle="1" w:styleId="1134">
    <w:name w:val="1134"/>
    <w:basedOn w:val="1330"/>
    <w:uiPriority w:val="34"/>
    <w:qFormat/>
    <w:pPr>
      <w:widowControl w:val="0"/>
      <w:ind w:firstLineChars="200" w:firstLine="420"/>
      <w:jc w:val="both"/>
    </w:pPr>
    <w:rPr>
      <w:rFonts w:ascii="Calibri" w:hAnsi="Calibri"/>
      <w:kern w:val="2"/>
      <w:szCs w:val="22"/>
    </w:rPr>
  </w:style>
  <w:style w:type="paragraph" w:customStyle="1" w:styleId="1132">
    <w:name w:val="1132"/>
    <w:basedOn w:val="1330"/>
    <w:uiPriority w:val="34"/>
    <w:qFormat/>
    <w:pPr>
      <w:widowControl w:val="0"/>
      <w:ind w:firstLineChars="200" w:firstLine="420"/>
      <w:jc w:val="both"/>
    </w:pPr>
    <w:rPr>
      <w:rFonts w:ascii="Calibri" w:hAnsi="Calibri"/>
      <w:kern w:val="2"/>
      <w:szCs w:val="22"/>
    </w:rPr>
  </w:style>
  <w:style w:type="paragraph" w:customStyle="1" w:styleId="1130">
    <w:name w:val="1130"/>
    <w:basedOn w:val="1330"/>
    <w:uiPriority w:val="34"/>
    <w:qFormat/>
    <w:pPr>
      <w:widowControl w:val="0"/>
      <w:ind w:firstLineChars="200" w:firstLine="420"/>
      <w:jc w:val="both"/>
    </w:pPr>
    <w:rPr>
      <w:rFonts w:ascii="Calibri" w:hAnsi="Calibri"/>
      <w:kern w:val="2"/>
      <w:szCs w:val="22"/>
    </w:rPr>
  </w:style>
  <w:style w:type="paragraph" w:customStyle="1" w:styleId="1128">
    <w:name w:val="1128"/>
    <w:uiPriority w:val="99"/>
    <w:qFormat/>
    <w:rPr>
      <w:bCs/>
      <w:sz w:val="21"/>
      <w:szCs w:val="24"/>
    </w:rPr>
  </w:style>
  <w:style w:type="paragraph" w:customStyle="1" w:styleId="1127">
    <w:name w:val="1127"/>
    <w:uiPriority w:val="99"/>
    <w:pPr>
      <w:widowControl w:val="0"/>
      <w:autoSpaceDE w:val="0"/>
      <w:autoSpaceDN w:val="0"/>
      <w:adjustRightInd w:val="0"/>
    </w:pPr>
    <w:rPr>
      <w:rFonts w:ascii="黑体" w:eastAsia="黑体" w:cs="黑体"/>
      <w:bCs/>
      <w:color w:val="000000"/>
      <w:sz w:val="24"/>
      <w:szCs w:val="24"/>
    </w:rPr>
  </w:style>
  <w:style w:type="paragraph" w:customStyle="1" w:styleId="1126">
    <w:name w:val="1126"/>
    <w:basedOn w:val="1330"/>
    <w:uiPriority w:val="99"/>
    <w:pPr>
      <w:widowControl w:val="0"/>
      <w:jc w:val="both"/>
    </w:pPr>
    <w:rPr>
      <w:rFonts w:ascii="Calibri" w:hAnsi="Calibri"/>
      <w:kern w:val="2"/>
      <w:sz w:val="18"/>
      <w:szCs w:val="18"/>
    </w:rPr>
  </w:style>
  <w:style w:type="paragraph" w:customStyle="1" w:styleId="1124">
    <w:name w:val="1124"/>
    <w:basedOn w:val="1330"/>
    <w:next w:val="3243"/>
    <w:uiPriority w:val="99"/>
    <w:pPr>
      <w:widowControl w:val="0"/>
      <w:jc w:val="both"/>
    </w:pPr>
    <w:rPr>
      <w:kern w:val="2"/>
    </w:rPr>
  </w:style>
  <w:style w:type="paragraph" w:customStyle="1" w:styleId="1122">
    <w:name w:val="1122"/>
    <w:basedOn w:val="1330"/>
    <w:uiPriority w:val="34"/>
    <w:qFormat/>
    <w:pPr>
      <w:widowControl w:val="0"/>
      <w:ind w:firstLineChars="200" w:firstLine="420"/>
      <w:jc w:val="both"/>
    </w:pPr>
    <w:rPr>
      <w:rFonts w:ascii="Calibri" w:hAnsi="Calibri"/>
      <w:kern w:val="2"/>
      <w:szCs w:val="22"/>
    </w:rPr>
  </w:style>
  <w:style w:type="paragraph" w:customStyle="1" w:styleId="1120">
    <w:name w:val="1120"/>
    <w:basedOn w:val="1310"/>
    <w:uiPriority w:val="99"/>
    <w:rPr>
      <w:rFonts w:ascii="Calibri" w:hAnsi="Calibri"/>
      <w:b/>
      <w:szCs w:val="22"/>
    </w:rPr>
  </w:style>
  <w:style w:type="paragraph" w:customStyle="1" w:styleId="1119">
    <w:name w:val="1119"/>
    <w:basedOn w:val="1330"/>
    <w:uiPriority w:val="99"/>
    <w:pPr>
      <w:widowControl w:val="0"/>
      <w:pBdr>
        <w:bottom w:val="single" w:sz="6" w:space="1" w:color="auto"/>
      </w:pBdr>
      <w:tabs>
        <w:tab w:val="center" w:pos="4153"/>
        <w:tab w:val="right" w:pos="8306"/>
      </w:tabs>
      <w:snapToGrid w:val="0"/>
      <w:jc w:val="center"/>
    </w:pPr>
    <w:rPr>
      <w:rFonts w:ascii="Calibri" w:hAnsi="Calibri"/>
      <w:kern w:val="2"/>
      <w:sz w:val="18"/>
      <w:szCs w:val="18"/>
    </w:rPr>
  </w:style>
  <w:style w:type="paragraph" w:customStyle="1" w:styleId="1117">
    <w:name w:val="1117"/>
    <w:basedOn w:val="1330"/>
    <w:uiPriority w:val="99"/>
    <w:pPr>
      <w:widowControl w:val="0"/>
      <w:tabs>
        <w:tab w:val="center" w:pos="4153"/>
        <w:tab w:val="right" w:pos="8306"/>
      </w:tabs>
      <w:snapToGrid w:val="0"/>
    </w:pPr>
    <w:rPr>
      <w:rFonts w:ascii="Calibri" w:hAnsi="Calibri"/>
      <w:kern w:val="2"/>
      <w:sz w:val="18"/>
      <w:szCs w:val="18"/>
    </w:rPr>
  </w:style>
  <w:style w:type="paragraph" w:customStyle="1" w:styleId="1115">
    <w:name w:val="1115"/>
    <w:basedOn w:val="1330"/>
    <w:uiPriority w:val="99"/>
    <w:pPr>
      <w:widowControl w:val="0"/>
      <w:jc w:val="both"/>
    </w:pPr>
    <w:rPr>
      <w:rFonts w:hAnsi="Courier New"/>
      <w:kern w:val="2"/>
    </w:rPr>
  </w:style>
  <w:style w:type="paragraph" w:customStyle="1" w:styleId="1113">
    <w:name w:val="1113"/>
    <w:basedOn w:val="1330"/>
    <w:uiPriority w:val="99"/>
    <w:pPr>
      <w:widowControl w:val="0"/>
      <w:spacing w:after="120"/>
      <w:jc w:val="both"/>
    </w:pPr>
    <w:rPr>
      <w:kern w:val="2"/>
    </w:rPr>
  </w:style>
  <w:style w:type="paragraph" w:customStyle="1" w:styleId="1111">
    <w:name w:val="1111"/>
    <w:basedOn w:val="1330"/>
    <w:next w:val="3243"/>
    <w:uiPriority w:val="99"/>
    <w:pPr>
      <w:widowControl w:val="0"/>
      <w:ind w:leftChars="2500" w:left="100"/>
      <w:jc w:val="both"/>
    </w:pPr>
    <w:rPr>
      <w:kern w:val="2"/>
    </w:rPr>
  </w:style>
  <w:style w:type="paragraph" w:customStyle="1" w:styleId="1109">
    <w:name w:val="1109"/>
    <w:basedOn w:val="1330"/>
    <w:next w:val="3243"/>
    <w:uiPriority w:val="99"/>
    <w:pPr>
      <w:widowControl w:val="0"/>
      <w:jc w:val="center"/>
    </w:pPr>
    <w:rPr>
      <w:kern w:val="2"/>
    </w:rPr>
  </w:style>
  <w:style w:type="paragraph" w:customStyle="1" w:styleId="1107">
    <w:name w:val="1107"/>
    <w:basedOn w:val="1330"/>
    <w:next w:val="3243"/>
    <w:uiPriority w:val="99"/>
    <w:semiHidden/>
    <w:pPr>
      <w:widowControl w:val="0"/>
      <w:spacing w:before="120"/>
      <w:jc w:val="both"/>
    </w:pPr>
    <w:rPr>
      <w:rFonts w:ascii="Arial" w:hAnsi="Arial"/>
      <w:b/>
      <w:kern w:val="2"/>
    </w:rPr>
  </w:style>
  <w:style w:type="paragraph" w:customStyle="1" w:styleId="1106">
    <w:name w:val="1106"/>
    <w:uiPriority w:val="99"/>
    <w:semiHidden/>
    <w:rPr>
      <w:bCs/>
      <w:kern w:val="2"/>
      <w:sz w:val="21"/>
      <w:szCs w:val="22"/>
    </w:rPr>
  </w:style>
  <w:style w:type="paragraph" w:customStyle="1" w:styleId="1104">
    <w:name w:val="1104"/>
    <w:basedOn w:val="1330"/>
    <w:uiPriority w:val="99"/>
    <w:qFormat/>
    <w:pPr>
      <w:widowControl w:val="0"/>
      <w:spacing w:before="100" w:after="100"/>
      <w:jc w:val="both"/>
    </w:pPr>
    <w:rPr>
      <w:rFonts w:ascii="Calibri" w:hAnsi="Calibri"/>
      <w:kern w:val="2"/>
    </w:rPr>
  </w:style>
  <w:style w:type="paragraph" w:customStyle="1" w:styleId="1103">
    <w:name w:val="1103"/>
    <w:basedOn w:val="1330"/>
    <w:uiPriority w:val="99"/>
    <w:semiHidden/>
    <w:pPr>
      <w:widowControl w:val="0"/>
      <w:jc w:val="both"/>
    </w:pPr>
    <w:rPr>
      <w:rFonts w:hAnsi="Calibri"/>
      <w:kern w:val="2"/>
      <w:sz w:val="18"/>
      <w:szCs w:val="18"/>
    </w:rPr>
  </w:style>
  <w:style w:type="paragraph" w:customStyle="1" w:styleId="1099">
    <w:name w:val="1099"/>
    <w:basedOn w:val="1330"/>
    <w:next w:val="3243"/>
    <w:uiPriority w:val="10"/>
    <w:qFormat/>
    <w:pPr>
      <w:widowControl w:val="0"/>
      <w:spacing w:before="240" w:after="60"/>
      <w:jc w:val="center"/>
      <w:outlineLvl w:val="0"/>
    </w:pPr>
    <w:rPr>
      <w:rFonts w:ascii="Cambria" w:hAnsi="Cambria" w:cs="Times New Roman"/>
      <w:b/>
      <w:kern w:val="2"/>
      <w:sz w:val="32"/>
      <w:szCs w:val="32"/>
    </w:rPr>
  </w:style>
  <w:style w:type="paragraph" w:customStyle="1" w:styleId="1098">
    <w:name w:val="1098"/>
    <w:uiPriority w:val="1"/>
    <w:qFormat/>
    <w:pPr>
      <w:widowControl w:val="0"/>
      <w:jc w:val="both"/>
    </w:pPr>
    <w:rPr>
      <w:bCs/>
      <w:kern w:val="2"/>
      <w:sz w:val="21"/>
      <w:szCs w:val="22"/>
    </w:rPr>
  </w:style>
  <w:style w:type="paragraph" w:customStyle="1" w:styleId="1097">
    <w:name w:val="1097"/>
    <w:basedOn w:val="1330"/>
    <w:uiPriority w:val="99"/>
    <w:pPr>
      <w:spacing w:before="100" w:beforeAutospacing="1" w:after="100" w:afterAutospacing="1"/>
    </w:pPr>
    <w:rPr>
      <w:sz w:val="24"/>
    </w:rPr>
  </w:style>
  <w:style w:type="paragraph" w:customStyle="1" w:styleId="1096">
    <w:name w:val="1096"/>
    <w:basedOn w:val="1330"/>
    <w:uiPriority w:val="99"/>
    <w:semiHidden/>
    <w:pPr>
      <w:snapToGrid w:val="0"/>
    </w:pPr>
  </w:style>
  <w:style w:type="paragraph" w:customStyle="1" w:styleId="1091">
    <w:name w:val="1091"/>
    <w:basedOn w:val="1330"/>
    <w:next w:val="3243"/>
    <w:uiPriority w:val="99"/>
    <w:semiHidden/>
    <w:pPr>
      <w:ind w:firstLineChars="200" w:firstLine="420"/>
    </w:pPr>
    <w:rPr>
      <w:color w:val="000000"/>
    </w:rPr>
  </w:style>
  <w:style w:type="paragraph" w:customStyle="1" w:styleId="1090">
    <w:name w:val="1090"/>
    <w:basedOn w:val="1330"/>
    <w:uiPriority w:val="99"/>
    <w:pPr>
      <w:widowControl w:val="0"/>
      <w:ind w:firstLineChars="200" w:firstLine="420"/>
      <w:jc w:val="both"/>
    </w:pPr>
    <w:rPr>
      <w:kern w:val="2"/>
    </w:rPr>
  </w:style>
  <w:style w:type="paragraph" w:customStyle="1" w:styleId="1089">
    <w:name w:val="1089"/>
    <w:basedOn w:val="1330"/>
    <w:uiPriority w:val="34"/>
    <w:qFormat/>
    <w:pPr>
      <w:widowControl w:val="0"/>
      <w:ind w:firstLineChars="200" w:firstLine="420"/>
      <w:jc w:val="both"/>
    </w:pPr>
    <w:rPr>
      <w:rFonts w:ascii="Calibri" w:hAnsi="Calibri"/>
      <w:kern w:val="2"/>
      <w:szCs w:val="22"/>
    </w:rPr>
  </w:style>
  <w:style w:type="paragraph" w:customStyle="1" w:styleId="1088">
    <w:name w:val="1088"/>
    <w:basedOn w:val="1330"/>
    <w:uiPriority w:val="34"/>
    <w:qFormat/>
    <w:pPr>
      <w:widowControl w:val="0"/>
      <w:ind w:firstLineChars="200" w:firstLine="420"/>
      <w:jc w:val="both"/>
    </w:pPr>
    <w:rPr>
      <w:rFonts w:ascii="Calibri" w:hAnsi="Calibri"/>
      <w:kern w:val="2"/>
      <w:szCs w:val="22"/>
    </w:rPr>
  </w:style>
  <w:style w:type="paragraph" w:customStyle="1" w:styleId="1087">
    <w:name w:val="1087"/>
    <w:basedOn w:val="1330"/>
    <w:uiPriority w:val="34"/>
    <w:qFormat/>
    <w:pPr>
      <w:widowControl w:val="0"/>
      <w:ind w:firstLineChars="200" w:firstLine="420"/>
      <w:jc w:val="both"/>
    </w:pPr>
    <w:rPr>
      <w:rFonts w:ascii="Calibri" w:hAnsi="Calibri"/>
      <w:kern w:val="2"/>
      <w:szCs w:val="22"/>
    </w:rPr>
  </w:style>
  <w:style w:type="paragraph" w:customStyle="1" w:styleId="1086">
    <w:name w:val="1086"/>
    <w:basedOn w:val="1330"/>
    <w:uiPriority w:val="34"/>
    <w:qFormat/>
    <w:pPr>
      <w:widowControl w:val="0"/>
      <w:ind w:firstLineChars="200" w:firstLine="420"/>
      <w:jc w:val="both"/>
    </w:pPr>
    <w:rPr>
      <w:rFonts w:ascii="Calibri" w:hAnsi="Calibri"/>
      <w:kern w:val="2"/>
      <w:szCs w:val="22"/>
    </w:rPr>
  </w:style>
  <w:style w:type="paragraph" w:customStyle="1" w:styleId="1084">
    <w:name w:val="1084"/>
    <w:basedOn w:val="1330"/>
    <w:uiPriority w:val="34"/>
    <w:qFormat/>
    <w:pPr>
      <w:widowControl w:val="0"/>
      <w:ind w:firstLineChars="200" w:firstLine="420"/>
      <w:jc w:val="both"/>
    </w:pPr>
    <w:rPr>
      <w:rFonts w:ascii="Calibri" w:hAnsi="Calibri"/>
      <w:kern w:val="2"/>
      <w:szCs w:val="22"/>
    </w:rPr>
  </w:style>
  <w:style w:type="paragraph" w:customStyle="1" w:styleId="1083">
    <w:name w:val="1083"/>
    <w:basedOn w:val="1330"/>
    <w:uiPriority w:val="34"/>
    <w:qFormat/>
    <w:pPr>
      <w:widowControl w:val="0"/>
      <w:ind w:firstLineChars="200" w:firstLine="420"/>
      <w:jc w:val="both"/>
    </w:pPr>
    <w:rPr>
      <w:rFonts w:ascii="Calibri" w:hAnsi="Calibri"/>
      <w:kern w:val="2"/>
      <w:szCs w:val="22"/>
    </w:rPr>
  </w:style>
  <w:style w:type="paragraph" w:customStyle="1" w:styleId="1079">
    <w:name w:val="1079"/>
    <w:basedOn w:val="1330"/>
    <w:next w:val="3243"/>
    <w:uiPriority w:val="39"/>
    <w:qFormat/>
    <w:pPr>
      <w:tabs>
        <w:tab w:val="right" w:leader="dot" w:pos="8296"/>
      </w:tabs>
      <w:ind w:leftChars="200" w:left="420"/>
      <w:jc w:val="center"/>
    </w:pPr>
    <w:rPr>
      <w:b/>
      <w:color w:val="000000"/>
      <w:sz w:val="32"/>
      <w:szCs w:val="32"/>
    </w:rPr>
  </w:style>
  <w:style w:type="paragraph" w:customStyle="1" w:styleId="1078">
    <w:name w:val="1078"/>
    <w:basedOn w:val="1330"/>
    <w:next w:val="3243"/>
    <w:uiPriority w:val="39"/>
    <w:pPr>
      <w:widowControl w:val="0"/>
      <w:ind w:leftChars="1200" w:left="2520"/>
      <w:jc w:val="both"/>
    </w:pPr>
    <w:rPr>
      <w:rFonts w:ascii="Calibri" w:hAnsi="Calibri" w:cs="Times New Roman"/>
      <w:kern w:val="2"/>
      <w:szCs w:val="22"/>
    </w:rPr>
  </w:style>
  <w:style w:type="paragraph" w:customStyle="1" w:styleId="1077">
    <w:name w:val="1077"/>
    <w:basedOn w:val="1330"/>
    <w:uiPriority w:val="34"/>
    <w:qFormat/>
    <w:pPr>
      <w:widowControl w:val="0"/>
      <w:ind w:firstLineChars="200" w:firstLine="420"/>
      <w:jc w:val="both"/>
    </w:pPr>
    <w:rPr>
      <w:rFonts w:ascii="Calibri" w:hAnsi="Calibri"/>
      <w:kern w:val="2"/>
      <w:szCs w:val="22"/>
    </w:rPr>
  </w:style>
  <w:style w:type="paragraph" w:customStyle="1" w:styleId="1076">
    <w:name w:val="1076"/>
    <w:basedOn w:val="1330"/>
    <w:uiPriority w:val="34"/>
    <w:qFormat/>
    <w:pPr>
      <w:widowControl w:val="0"/>
      <w:ind w:firstLineChars="200" w:firstLine="420"/>
      <w:jc w:val="both"/>
    </w:pPr>
    <w:rPr>
      <w:rFonts w:ascii="Calibri" w:hAnsi="Calibri"/>
      <w:kern w:val="2"/>
      <w:szCs w:val="22"/>
    </w:rPr>
  </w:style>
  <w:style w:type="paragraph" w:customStyle="1" w:styleId="1075">
    <w:name w:val="1075"/>
    <w:basedOn w:val="1330"/>
    <w:uiPriority w:val="34"/>
    <w:qFormat/>
    <w:pPr>
      <w:widowControl w:val="0"/>
      <w:ind w:firstLineChars="200" w:firstLine="420"/>
      <w:jc w:val="both"/>
    </w:pPr>
    <w:rPr>
      <w:rFonts w:ascii="Calibri" w:hAnsi="Calibri"/>
      <w:kern w:val="2"/>
      <w:szCs w:val="22"/>
    </w:rPr>
  </w:style>
  <w:style w:type="paragraph" w:customStyle="1" w:styleId="1074">
    <w:name w:val="1074"/>
    <w:basedOn w:val="1330"/>
    <w:uiPriority w:val="34"/>
    <w:qFormat/>
    <w:pPr>
      <w:widowControl w:val="0"/>
      <w:ind w:firstLineChars="200" w:firstLine="420"/>
      <w:jc w:val="both"/>
    </w:pPr>
    <w:rPr>
      <w:rFonts w:ascii="Calibri" w:hAnsi="Calibri"/>
      <w:kern w:val="2"/>
      <w:szCs w:val="22"/>
    </w:rPr>
  </w:style>
  <w:style w:type="paragraph" w:customStyle="1" w:styleId="1073">
    <w:name w:val="1073"/>
    <w:basedOn w:val="1330"/>
    <w:uiPriority w:val="99"/>
    <w:pPr>
      <w:widowControl w:val="0"/>
      <w:jc w:val="both"/>
    </w:pPr>
    <w:rPr>
      <w:rFonts w:ascii="Calibri" w:hAnsi="Calibri"/>
      <w:kern w:val="2"/>
      <w:sz w:val="18"/>
      <w:szCs w:val="18"/>
    </w:rPr>
  </w:style>
  <w:style w:type="paragraph" w:customStyle="1" w:styleId="1072">
    <w:name w:val="1072"/>
    <w:basedOn w:val="1330"/>
    <w:next w:val="3243"/>
    <w:uiPriority w:val="99"/>
    <w:pPr>
      <w:widowControl w:val="0"/>
      <w:ind w:leftChars="2500" w:left="100"/>
      <w:jc w:val="both"/>
    </w:pPr>
    <w:rPr>
      <w:kern w:val="2"/>
    </w:rPr>
  </w:style>
  <w:style w:type="paragraph" w:customStyle="1" w:styleId="1068">
    <w:name w:val="1068"/>
    <w:uiPriority w:val="99"/>
    <w:qFormat/>
    <w:rPr>
      <w:bCs/>
      <w:sz w:val="21"/>
      <w:szCs w:val="21"/>
    </w:rPr>
  </w:style>
  <w:style w:type="paragraph" w:customStyle="1" w:styleId="1067">
    <w:name w:val="1067"/>
    <w:basedOn w:val="1068"/>
    <w:next w:val="3243"/>
    <w:uiPriority w:val="99"/>
    <w:qFormat/>
    <w:pPr>
      <w:keepNext/>
      <w:keepLines/>
      <w:widowControl w:val="0"/>
      <w:spacing w:before="60" w:after="60" w:line="360" w:lineRule="auto"/>
      <w:jc w:val="center"/>
      <w:outlineLvl w:val="0"/>
    </w:pPr>
    <w:rPr>
      <w:rFonts w:ascii="Calibri" w:eastAsia="黑体" w:hAnsi="Calibri"/>
      <w:b/>
      <w:kern w:val="44"/>
      <w:sz w:val="28"/>
      <w:szCs w:val="44"/>
    </w:rPr>
  </w:style>
  <w:style w:type="paragraph" w:customStyle="1" w:styleId="1066">
    <w:name w:val="1066"/>
    <w:basedOn w:val="1068"/>
    <w:next w:val="3243"/>
    <w:uiPriority w:val="99"/>
    <w:qFormat/>
    <w:pPr>
      <w:keepNext/>
      <w:keepLines/>
      <w:widowControl w:val="0"/>
      <w:spacing w:before="60" w:after="60"/>
      <w:ind w:left="200" w:hangingChars="200" w:hanging="200"/>
      <w:jc w:val="both"/>
      <w:outlineLvl w:val="1"/>
    </w:pPr>
    <w:rPr>
      <w:rFonts w:ascii="Arial" w:hAnsi="Arial"/>
      <w:b/>
      <w:kern w:val="2"/>
    </w:rPr>
  </w:style>
  <w:style w:type="paragraph" w:customStyle="1" w:styleId="1065">
    <w:name w:val="1065"/>
    <w:basedOn w:val="1068"/>
    <w:next w:val="3243"/>
    <w:uiPriority w:val="9"/>
    <w:qFormat/>
    <w:pPr>
      <w:keepNext/>
      <w:keepLines/>
      <w:widowControl w:val="0"/>
      <w:spacing w:before="60" w:after="60"/>
      <w:jc w:val="both"/>
      <w:outlineLvl w:val="2"/>
    </w:pPr>
    <w:rPr>
      <w:rFonts w:ascii="Calibri" w:hAnsi="Calibri"/>
      <w:b/>
      <w:kern w:val="2"/>
      <w:szCs w:val="32"/>
    </w:rPr>
  </w:style>
  <w:style w:type="paragraph" w:customStyle="1" w:styleId="1064">
    <w:name w:val="1064"/>
    <w:basedOn w:val="1068"/>
    <w:next w:val="3243"/>
    <w:uiPriority w:val="9"/>
    <w:qFormat/>
    <w:pPr>
      <w:keepNext/>
      <w:keepLines/>
      <w:widowControl w:val="0"/>
      <w:spacing w:before="60" w:after="60"/>
      <w:jc w:val="both"/>
      <w:outlineLvl w:val="3"/>
    </w:pPr>
    <w:rPr>
      <w:rFonts w:ascii="Cambria" w:hAnsi="Cambria"/>
      <w:b/>
      <w:kern w:val="2"/>
      <w:szCs w:val="28"/>
    </w:rPr>
  </w:style>
  <w:style w:type="paragraph" w:customStyle="1" w:styleId="1063">
    <w:name w:val="1063"/>
    <w:basedOn w:val="1068"/>
    <w:next w:val="3243"/>
    <w:uiPriority w:val="9"/>
    <w:qFormat/>
    <w:pPr>
      <w:keepNext/>
      <w:keepLines/>
      <w:widowControl w:val="0"/>
      <w:spacing w:before="60" w:after="60"/>
      <w:jc w:val="both"/>
      <w:outlineLvl w:val="4"/>
    </w:pPr>
    <w:rPr>
      <w:rFonts w:ascii="Calibri" w:hAnsi="Calibri"/>
      <w:b/>
      <w:kern w:val="2"/>
      <w:szCs w:val="28"/>
    </w:rPr>
  </w:style>
  <w:style w:type="paragraph" w:customStyle="1" w:styleId="1062">
    <w:name w:val="1062"/>
    <w:basedOn w:val="1068"/>
    <w:next w:val="3243"/>
    <w:uiPriority w:val="9"/>
    <w:qFormat/>
    <w:pPr>
      <w:keepNext/>
      <w:keepLines/>
      <w:spacing w:before="60" w:after="60"/>
      <w:outlineLvl w:val="5"/>
    </w:pPr>
    <w:rPr>
      <w:rFonts w:ascii="Cambria" w:hAnsi="Cambria" w:cs="Times New Roman"/>
      <w:b/>
    </w:rPr>
  </w:style>
  <w:style w:type="paragraph" w:customStyle="1" w:styleId="1061">
    <w:name w:val="1061"/>
    <w:basedOn w:val="1068"/>
    <w:next w:val="3243"/>
    <w:uiPriority w:val="9"/>
    <w:qFormat/>
    <w:pPr>
      <w:keepNext/>
      <w:keepLines/>
      <w:spacing w:before="240" w:after="64" w:line="319" w:lineRule="auto"/>
      <w:outlineLvl w:val="6"/>
    </w:pPr>
    <w:rPr>
      <w:b/>
      <w:sz w:val="24"/>
    </w:rPr>
  </w:style>
  <w:style w:type="paragraph" w:customStyle="1" w:styleId="1060">
    <w:name w:val="1060"/>
    <w:basedOn w:val="1068"/>
    <w:next w:val="3243"/>
    <w:uiPriority w:val="99"/>
    <w:qFormat/>
    <w:pPr>
      <w:keepNext/>
      <w:keepLines/>
      <w:widowControl w:val="0"/>
      <w:adjustRightInd w:val="0"/>
      <w:spacing w:before="240" w:after="64" w:line="320" w:lineRule="atLeast"/>
      <w:outlineLvl w:val="7"/>
    </w:pPr>
    <w:rPr>
      <w:rFonts w:ascii="Arial" w:eastAsia="黑体" w:hAnsi="Arial"/>
      <w:color w:val="000000"/>
      <w:sz w:val="24"/>
    </w:rPr>
  </w:style>
  <w:style w:type="paragraph" w:customStyle="1" w:styleId="1059">
    <w:name w:val="1059"/>
    <w:basedOn w:val="1068"/>
    <w:next w:val="3243"/>
    <w:uiPriority w:val="99"/>
    <w:qFormat/>
    <w:pPr>
      <w:keepNext/>
      <w:keepLines/>
      <w:widowControl w:val="0"/>
      <w:adjustRightInd w:val="0"/>
      <w:spacing w:before="240" w:after="64" w:line="320" w:lineRule="atLeast"/>
      <w:outlineLvl w:val="8"/>
    </w:pPr>
    <w:rPr>
      <w:rFonts w:ascii="Arial" w:eastAsia="黑体" w:hAnsi="Arial"/>
      <w:color w:val="000000"/>
      <w:sz w:val="24"/>
    </w:rPr>
  </w:style>
  <w:style w:type="paragraph" w:customStyle="1" w:styleId="1053">
    <w:name w:val="1053"/>
    <w:basedOn w:val="1067"/>
    <w:next w:val="3243"/>
    <w:uiPriority w:val="39"/>
    <w:qFormat/>
    <w:pPr>
      <w:widowControl/>
      <w:spacing w:before="480" w:after="0" w:line="276" w:lineRule="auto"/>
      <w:outlineLvl w:val="9"/>
    </w:pPr>
    <w:rPr>
      <w:rFonts w:ascii="Cambria" w:eastAsia="宋体" w:hAnsi="Cambria"/>
      <w:color w:val="365F91"/>
      <w:kern w:val="0"/>
      <w:szCs w:val="28"/>
    </w:rPr>
  </w:style>
  <w:style w:type="paragraph" w:customStyle="1" w:styleId="1052">
    <w:name w:val="1052"/>
    <w:basedOn w:val="1068"/>
    <w:next w:val="3243"/>
    <w:uiPriority w:val="39"/>
    <w:qFormat/>
    <w:pPr>
      <w:widowControl w:val="0"/>
      <w:tabs>
        <w:tab w:val="left" w:pos="1260"/>
        <w:tab w:val="right" w:leader="dot" w:pos="8823"/>
      </w:tabs>
      <w:jc w:val="center"/>
    </w:pPr>
    <w:rPr>
      <w:kern w:val="2"/>
    </w:rPr>
  </w:style>
  <w:style w:type="paragraph" w:customStyle="1" w:styleId="1051">
    <w:name w:val="1051"/>
    <w:basedOn w:val="1068"/>
    <w:next w:val="3243"/>
    <w:uiPriority w:val="39"/>
    <w:qFormat/>
    <w:pPr>
      <w:widowControl w:val="0"/>
      <w:ind w:leftChars="200" w:left="420"/>
      <w:jc w:val="both"/>
    </w:pPr>
    <w:rPr>
      <w:kern w:val="2"/>
    </w:rPr>
  </w:style>
  <w:style w:type="paragraph" w:customStyle="1" w:styleId="1048">
    <w:name w:val="1048"/>
    <w:basedOn w:val="1068"/>
    <w:uiPriority w:val="99"/>
    <w:qFormat/>
    <w:pPr>
      <w:widowControl w:val="0"/>
    </w:pPr>
    <w:rPr>
      <w:kern w:val="2"/>
    </w:rPr>
  </w:style>
  <w:style w:type="paragraph" w:customStyle="1" w:styleId="1047">
    <w:name w:val="1047"/>
    <w:basedOn w:val="1068"/>
    <w:uiPriority w:val="99"/>
    <w:pPr>
      <w:widowControl w:val="0"/>
      <w:jc w:val="both"/>
    </w:pPr>
    <w:rPr>
      <w:rFonts w:ascii="Calibri" w:hAnsi="Calibri"/>
      <w:kern w:val="2"/>
      <w:sz w:val="18"/>
      <w:szCs w:val="18"/>
    </w:rPr>
  </w:style>
  <w:style w:type="paragraph" w:customStyle="1" w:styleId="1045">
    <w:name w:val="1045"/>
    <w:basedOn w:val="1068"/>
    <w:next w:val="3243"/>
    <w:uiPriority w:val="99"/>
    <w:pPr>
      <w:widowControl w:val="0"/>
      <w:jc w:val="both"/>
    </w:pPr>
    <w:rPr>
      <w:kern w:val="2"/>
    </w:rPr>
  </w:style>
  <w:style w:type="paragraph" w:customStyle="1" w:styleId="1043">
    <w:name w:val="1043"/>
    <w:basedOn w:val="1068"/>
    <w:uiPriority w:val="34"/>
    <w:qFormat/>
    <w:pPr>
      <w:widowControl w:val="0"/>
      <w:ind w:firstLineChars="200" w:firstLine="420"/>
      <w:jc w:val="both"/>
    </w:pPr>
    <w:rPr>
      <w:rFonts w:ascii="Calibri" w:hAnsi="Calibri"/>
      <w:kern w:val="2"/>
      <w:szCs w:val="22"/>
    </w:rPr>
  </w:style>
  <w:style w:type="paragraph" w:customStyle="1" w:styleId="1041">
    <w:name w:val="1041"/>
    <w:basedOn w:val="1048"/>
    <w:uiPriority w:val="99"/>
    <w:rPr>
      <w:rFonts w:ascii="Calibri" w:hAnsi="Calibri"/>
      <w:b/>
      <w:szCs w:val="22"/>
    </w:rPr>
  </w:style>
  <w:style w:type="paragraph" w:customStyle="1" w:styleId="1040">
    <w:name w:val="1040"/>
    <w:basedOn w:val="1068"/>
    <w:next w:val="3243"/>
    <w:uiPriority w:val="39"/>
    <w:qFormat/>
    <w:pPr>
      <w:spacing w:after="100" w:line="276" w:lineRule="auto"/>
      <w:ind w:left="440"/>
    </w:pPr>
    <w:rPr>
      <w:rFonts w:ascii="Calibri" w:hAnsi="Calibri"/>
      <w:sz w:val="22"/>
      <w:szCs w:val="22"/>
    </w:rPr>
  </w:style>
  <w:style w:type="paragraph" w:customStyle="1" w:styleId="1039">
    <w:name w:val="1039"/>
    <w:basedOn w:val="1068"/>
    <w:uiPriority w:val="99"/>
    <w:pPr>
      <w:widowControl w:val="0"/>
      <w:pBdr>
        <w:bottom w:val="single" w:sz="6" w:space="1" w:color="auto"/>
      </w:pBdr>
      <w:tabs>
        <w:tab w:val="center" w:pos="4153"/>
        <w:tab w:val="right" w:pos="8306"/>
      </w:tabs>
      <w:snapToGrid w:val="0"/>
      <w:jc w:val="center"/>
    </w:pPr>
    <w:rPr>
      <w:rFonts w:ascii="Calibri" w:hAnsi="Calibri"/>
      <w:kern w:val="2"/>
      <w:sz w:val="18"/>
      <w:szCs w:val="18"/>
    </w:rPr>
  </w:style>
  <w:style w:type="paragraph" w:customStyle="1" w:styleId="1037">
    <w:name w:val="1037"/>
    <w:basedOn w:val="1068"/>
    <w:uiPriority w:val="99"/>
    <w:pPr>
      <w:widowControl w:val="0"/>
      <w:tabs>
        <w:tab w:val="center" w:pos="4153"/>
        <w:tab w:val="right" w:pos="8306"/>
      </w:tabs>
      <w:snapToGrid w:val="0"/>
    </w:pPr>
    <w:rPr>
      <w:rFonts w:ascii="Calibri" w:hAnsi="Calibri"/>
      <w:kern w:val="2"/>
      <w:sz w:val="18"/>
      <w:szCs w:val="18"/>
    </w:rPr>
  </w:style>
  <w:style w:type="paragraph" w:customStyle="1" w:styleId="1035">
    <w:name w:val="1035"/>
    <w:basedOn w:val="1068"/>
    <w:uiPriority w:val="99"/>
    <w:pPr>
      <w:widowControl w:val="0"/>
      <w:jc w:val="both"/>
    </w:pPr>
    <w:rPr>
      <w:rFonts w:hAnsi="Courier New"/>
      <w:kern w:val="2"/>
    </w:rPr>
  </w:style>
  <w:style w:type="paragraph" w:customStyle="1" w:styleId="1033">
    <w:name w:val="1033"/>
    <w:basedOn w:val="1068"/>
    <w:uiPriority w:val="99"/>
    <w:pPr>
      <w:widowControl w:val="0"/>
      <w:spacing w:after="120"/>
      <w:jc w:val="both"/>
    </w:pPr>
    <w:rPr>
      <w:kern w:val="2"/>
    </w:rPr>
  </w:style>
  <w:style w:type="paragraph" w:customStyle="1" w:styleId="1031">
    <w:name w:val="1031"/>
    <w:basedOn w:val="1068"/>
    <w:next w:val="3243"/>
    <w:uiPriority w:val="99"/>
    <w:pPr>
      <w:widowControl w:val="0"/>
      <w:ind w:leftChars="2500" w:left="100"/>
      <w:jc w:val="both"/>
    </w:pPr>
    <w:rPr>
      <w:kern w:val="2"/>
    </w:rPr>
  </w:style>
  <w:style w:type="paragraph" w:customStyle="1" w:styleId="1029">
    <w:name w:val="1029"/>
    <w:basedOn w:val="1068"/>
    <w:next w:val="3243"/>
    <w:uiPriority w:val="99"/>
    <w:pPr>
      <w:widowControl w:val="0"/>
      <w:jc w:val="center"/>
    </w:pPr>
    <w:rPr>
      <w:kern w:val="2"/>
    </w:rPr>
  </w:style>
  <w:style w:type="paragraph" w:customStyle="1" w:styleId="1027">
    <w:name w:val="1027"/>
    <w:basedOn w:val="1068"/>
    <w:next w:val="3243"/>
    <w:uiPriority w:val="99"/>
    <w:semiHidden/>
    <w:pPr>
      <w:widowControl w:val="0"/>
      <w:spacing w:before="120"/>
      <w:jc w:val="both"/>
    </w:pPr>
    <w:rPr>
      <w:rFonts w:ascii="Arial" w:hAnsi="Arial"/>
      <w:b/>
      <w:kern w:val="2"/>
    </w:rPr>
  </w:style>
  <w:style w:type="paragraph" w:customStyle="1" w:styleId="1026">
    <w:name w:val="1026"/>
    <w:basedOn w:val="1068"/>
    <w:uiPriority w:val="99"/>
    <w:pPr>
      <w:keepNext/>
      <w:keepLines/>
      <w:widowControl w:val="0"/>
      <w:spacing w:before="60" w:after="60"/>
      <w:ind w:hangingChars="200" w:hanging="420"/>
      <w:jc w:val="both"/>
      <w:outlineLvl w:val="4"/>
    </w:pPr>
    <w:rPr>
      <w:b/>
      <w:kern w:val="2"/>
    </w:rPr>
  </w:style>
  <w:style w:type="paragraph" w:customStyle="1" w:styleId="1025">
    <w:name w:val="1025"/>
    <w:uiPriority w:val="99"/>
    <w:semiHidden/>
    <w:rPr>
      <w:bCs/>
      <w:kern w:val="2"/>
      <w:sz w:val="21"/>
      <w:szCs w:val="22"/>
    </w:rPr>
  </w:style>
  <w:style w:type="paragraph" w:customStyle="1" w:styleId="1023">
    <w:name w:val="1023"/>
    <w:basedOn w:val="1068"/>
    <w:uiPriority w:val="99"/>
    <w:qFormat/>
    <w:pPr>
      <w:widowControl w:val="0"/>
      <w:spacing w:before="100" w:after="100"/>
      <w:jc w:val="both"/>
    </w:pPr>
    <w:rPr>
      <w:rFonts w:ascii="Calibri" w:hAnsi="Calibri"/>
      <w:kern w:val="2"/>
    </w:rPr>
  </w:style>
  <w:style w:type="paragraph" w:customStyle="1" w:styleId="1022">
    <w:name w:val="1022"/>
    <w:basedOn w:val="1068"/>
    <w:uiPriority w:val="99"/>
    <w:semiHidden/>
    <w:pPr>
      <w:widowControl w:val="0"/>
      <w:jc w:val="both"/>
    </w:pPr>
    <w:rPr>
      <w:rFonts w:hAnsi="Calibri"/>
      <w:kern w:val="2"/>
      <w:sz w:val="18"/>
      <w:szCs w:val="18"/>
    </w:rPr>
  </w:style>
  <w:style w:type="paragraph" w:customStyle="1" w:styleId="1018">
    <w:name w:val="1018"/>
    <w:basedOn w:val="1068"/>
    <w:next w:val="3243"/>
    <w:uiPriority w:val="10"/>
    <w:qFormat/>
    <w:pPr>
      <w:widowControl w:val="0"/>
      <w:spacing w:before="240" w:after="60"/>
      <w:jc w:val="center"/>
      <w:outlineLvl w:val="0"/>
    </w:pPr>
    <w:rPr>
      <w:rFonts w:ascii="Cambria" w:hAnsi="Cambria" w:cs="Times New Roman"/>
      <w:b/>
      <w:kern w:val="2"/>
      <w:sz w:val="32"/>
      <w:szCs w:val="32"/>
    </w:rPr>
  </w:style>
  <w:style w:type="paragraph" w:customStyle="1" w:styleId="1016">
    <w:name w:val="1016"/>
    <w:uiPriority w:val="1"/>
    <w:qFormat/>
    <w:pPr>
      <w:widowControl w:val="0"/>
      <w:jc w:val="both"/>
    </w:pPr>
    <w:rPr>
      <w:bCs/>
      <w:kern w:val="2"/>
      <w:sz w:val="21"/>
      <w:szCs w:val="22"/>
    </w:rPr>
  </w:style>
  <w:style w:type="paragraph" w:customStyle="1" w:styleId="1015">
    <w:name w:val="1015"/>
    <w:basedOn w:val="1068"/>
    <w:next w:val="3243"/>
    <w:uiPriority w:val="39"/>
    <w:pPr>
      <w:widowControl w:val="0"/>
      <w:ind w:leftChars="600" w:left="1260"/>
      <w:jc w:val="both"/>
    </w:pPr>
    <w:rPr>
      <w:rFonts w:ascii="Calibri" w:hAnsi="Calibri" w:cs="Times New Roman"/>
      <w:kern w:val="2"/>
      <w:szCs w:val="22"/>
    </w:rPr>
  </w:style>
  <w:style w:type="paragraph" w:customStyle="1" w:styleId="1014">
    <w:name w:val="1014"/>
    <w:basedOn w:val="1068"/>
    <w:next w:val="3243"/>
    <w:uiPriority w:val="39"/>
    <w:pPr>
      <w:widowControl w:val="0"/>
      <w:ind w:leftChars="800" w:left="1680"/>
      <w:jc w:val="both"/>
    </w:pPr>
    <w:rPr>
      <w:rFonts w:ascii="Calibri" w:hAnsi="Calibri" w:cs="Times New Roman"/>
      <w:kern w:val="2"/>
      <w:szCs w:val="22"/>
    </w:rPr>
  </w:style>
  <w:style w:type="paragraph" w:customStyle="1" w:styleId="1013">
    <w:name w:val="1013"/>
    <w:basedOn w:val="1068"/>
    <w:next w:val="3243"/>
    <w:uiPriority w:val="39"/>
    <w:pPr>
      <w:widowControl w:val="0"/>
      <w:ind w:leftChars="1000" w:left="2100"/>
      <w:jc w:val="both"/>
    </w:pPr>
    <w:rPr>
      <w:rFonts w:ascii="Calibri" w:hAnsi="Calibri" w:cs="Times New Roman"/>
      <w:kern w:val="2"/>
      <w:szCs w:val="22"/>
    </w:rPr>
  </w:style>
  <w:style w:type="paragraph" w:customStyle="1" w:styleId="1012">
    <w:name w:val="1012"/>
    <w:basedOn w:val="1068"/>
    <w:next w:val="3243"/>
    <w:uiPriority w:val="39"/>
    <w:pPr>
      <w:widowControl w:val="0"/>
      <w:ind w:leftChars="1200" w:left="2520"/>
      <w:jc w:val="both"/>
    </w:pPr>
    <w:rPr>
      <w:rFonts w:ascii="Calibri" w:hAnsi="Calibri" w:cs="Times New Roman"/>
      <w:kern w:val="2"/>
      <w:szCs w:val="22"/>
    </w:rPr>
  </w:style>
  <w:style w:type="paragraph" w:customStyle="1" w:styleId="1011">
    <w:name w:val="1011"/>
    <w:basedOn w:val="1068"/>
    <w:next w:val="3243"/>
    <w:uiPriority w:val="39"/>
    <w:pPr>
      <w:widowControl w:val="0"/>
      <w:ind w:leftChars="1400" w:left="2940"/>
      <w:jc w:val="both"/>
    </w:pPr>
    <w:rPr>
      <w:rFonts w:ascii="Calibri" w:hAnsi="Calibri" w:cs="Times New Roman"/>
      <w:kern w:val="2"/>
      <w:szCs w:val="22"/>
    </w:rPr>
  </w:style>
  <w:style w:type="paragraph" w:customStyle="1" w:styleId="1010">
    <w:name w:val="1010"/>
    <w:basedOn w:val="1068"/>
    <w:next w:val="3243"/>
    <w:uiPriority w:val="39"/>
    <w:pPr>
      <w:widowControl w:val="0"/>
      <w:ind w:leftChars="1600" w:left="3360"/>
      <w:jc w:val="both"/>
    </w:pPr>
    <w:rPr>
      <w:rFonts w:ascii="Calibri" w:hAnsi="Calibri" w:cs="Times New Roman"/>
      <w:kern w:val="2"/>
      <w:szCs w:val="22"/>
    </w:rPr>
  </w:style>
  <w:style w:type="paragraph" w:customStyle="1" w:styleId="1008">
    <w:name w:val="1008"/>
    <w:basedOn w:val="1068"/>
    <w:uiPriority w:val="99"/>
    <w:pPr>
      <w:spacing w:before="100" w:beforeAutospacing="1" w:after="100" w:afterAutospacing="1"/>
    </w:pPr>
    <w:rPr>
      <w:sz w:val="24"/>
    </w:rPr>
  </w:style>
  <w:style w:type="paragraph" w:customStyle="1" w:styleId="1007">
    <w:name w:val="1007"/>
    <w:basedOn w:val="1068"/>
    <w:uiPriority w:val="99"/>
    <w:semiHidden/>
    <w:pPr>
      <w:snapToGrid w:val="0"/>
    </w:pPr>
  </w:style>
  <w:style w:type="paragraph" w:customStyle="1" w:styleId="1003">
    <w:name w:val="1003"/>
    <w:basedOn w:val="1068"/>
    <w:next w:val="3243"/>
    <w:uiPriority w:val="99"/>
    <w:qFormat/>
    <w:pPr>
      <w:keepNext/>
      <w:keepLines/>
      <w:widowControl w:val="0"/>
      <w:spacing w:before="100" w:beforeAutospacing="1" w:after="100" w:afterAutospacing="1" w:line="412" w:lineRule="auto"/>
      <w:jc w:val="both"/>
    </w:pPr>
    <w:rPr>
      <w:b/>
      <w:kern w:val="2"/>
    </w:rPr>
  </w:style>
  <w:style w:type="paragraph" w:customStyle="1" w:styleId="999">
    <w:name w:val="999"/>
    <w:basedOn w:val="1068"/>
    <w:next w:val="3243"/>
    <w:uiPriority w:val="99"/>
    <w:semiHidden/>
    <w:pPr>
      <w:ind w:firstLineChars="200" w:firstLine="420"/>
    </w:pPr>
    <w:rPr>
      <w:color w:val="000000"/>
    </w:rPr>
  </w:style>
  <w:style w:type="paragraph" w:customStyle="1" w:styleId="998">
    <w:name w:val="998"/>
    <w:basedOn w:val="1068"/>
    <w:uiPriority w:val="99"/>
    <w:pPr>
      <w:widowControl w:val="0"/>
      <w:ind w:firstLineChars="200" w:firstLine="420"/>
      <w:jc w:val="both"/>
    </w:pPr>
    <w:rPr>
      <w:kern w:val="2"/>
    </w:rPr>
  </w:style>
  <w:style w:type="paragraph" w:customStyle="1" w:styleId="997">
    <w:name w:val="997"/>
    <w:basedOn w:val="1068"/>
    <w:uiPriority w:val="99"/>
    <w:pPr>
      <w:widowControl w:val="0"/>
      <w:tabs>
        <w:tab w:val="left" w:pos="1200"/>
      </w:tabs>
      <w:jc w:val="both"/>
    </w:pPr>
    <w:rPr>
      <w:kern w:val="2"/>
    </w:rPr>
  </w:style>
  <w:style w:type="paragraph" w:customStyle="1" w:styleId="995">
    <w:name w:val="995"/>
    <w:basedOn w:val="1068"/>
    <w:uiPriority w:val="34"/>
    <w:qFormat/>
    <w:pPr>
      <w:widowControl w:val="0"/>
      <w:ind w:firstLineChars="200" w:firstLine="420"/>
      <w:jc w:val="both"/>
    </w:pPr>
    <w:rPr>
      <w:rFonts w:ascii="Calibri" w:hAnsi="Calibri"/>
      <w:kern w:val="2"/>
      <w:szCs w:val="22"/>
    </w:rPr>
  </w:style>
  <w:style w:type="paragraph" w:customStyle="1" w:styleId="994">
    <w:name w:val="994"/>
    <w:basedOn w:val="1068"/>
    <w:uiPriority w:val="34"/>
    <w:qFormat/>
    <w:pPr>
      <w:widowControl w:val="0"/>
      <w:ind w:firstLineChars="200" w:firstLine="420"/>
      <w:jc w:val="both"/>
    </w:pPr>
    <w:rPr>
      <w:rFonts w:ascii="Calibri" w:hAnsi="Calibri"/>
      <w:kern w:val="2"/>
      <w:szCs w:val="22"/>
    </w:rPr>
  </w:style>
  <w:style w:type="paragraph" w:customStyle="1" w:styleId="992">
    <w:name w:val="992"/>
    <w:basedOn w:val="1068"/>
    <w:uiPriority w:val="34"/>
    <w:qFormat/>
    <w:pPr>
      <w:widowControl w:val="0"/>
      <w:ind w:firstLineChars="200" w:firstLine="420"/>
      <w:jc w:val="both"/>
    </w:pPr>
    <w:rPr>
      <w:rFonts w:ascii="Calibri" w:hAnsi="Calibri"/>
      <w:kern w:val="2"/>
      <w:szCs w:val="22"/>
    </w:rPr>
  </w:style>
  <w:style w:type="paragraph" w:customStyle="1" w:styleId="991">
    <w:name w:val="991"/>
    <w:basedOn w:val="1068"/>
    <w:uiPriority w:val="34"/>
    <w:qFormat/>
    <w:pPr>
      <w:widowControl w:val="0"/>
      <w:ind w:firstLineChars="200" w:firstLine="420"/>
      <w:jc w:val="both"/>
    </w:pPr>
    <w:rPr>
      <w:rFonts w:ascii="Calibri" w:hAnsi="Calibri"/>
      <w:kern w:val="2"/>
      <w:szCs w:val="22"/>
    </w:rPr>
  </w:style>
  <w:style w:type="paragraph" w:customStyle="1" w:styleId="988">
    <w:name w:val="988"/>
    <w:basedOn w:val="1068"/>
    <w:uiPriority w:val="34"/>
    <w:qFormat/>
    <w:pPr>
      <w:widowControl w:val="0"/>
      <w:ind w:firstLineChars="200" w:firstLine="420"/>
      <w:jc w:val="both"/>
    </w:pPr>
    <w:rPr>
      <w:rFonts w:ascii="Calibri" w:hAnsi="Calibri"/>
      <w:kern w:val="2"/>
      <w:szCs w:val="22"/>
    </w:rPr>
  </w:style>
  <w:style w:type="paragraph" w:customStyle="1" w:styleId="983">
    <w:name w:val="983"/>
    <w:basedOn w:val="1068"/>
    <w:uiPriority w:val="34"/>
    <w:qFormat/>
    <w:pPr>
      <w:widowControl w:val="0"/>
      <w:ind w:firstLineChars="200" w:firstLine="420"/>
      <w:jc w:val="both"/>
    </w:pPr>
    <w:rPr>
      <w:rFonts w:ascii="Calibri" w:hAnsi="Calibri"/>
      <w:kern w:val="2"/>
      <w:szCs w:val="22"/>
    </w:rPr>
  </w:style>
  <w:style w:type="paragraph" w:customStyle="1" w:styleId="979">
    <w:name w:val="979"/>
    <w:basedOn w:val="1068"/>
    <w:uiPriority w:val="99"/>
    <w:pPr>
      <w:widowControl w:val="0"/>
      <w:jc w:val="both"/>
    </w:pPr>
    <w:rPr>
      <w:kern w:val="2"/>
      <w:sz w:val="24"/>
      <w:szCs w:val="24"/>
    </w:rPr>
  </w:style>
  <w:style w:type="paragraph" w:customStyle="1" w:styleId="978">
    <w:name w:val="978"/>
    <w:basedOn w:val="1068"/>
    <w:uiPriority w:val="99"/>
    <w:pPr>
      <w:widowControl w:val="0"/>
      <w:tabs>
        <w:tab w:val="left" w:pos="315"/>
      </w:tabs>
      <w:ind w:left="315" w:hanging="315"/>
      <w:jc w:val="both"/>
    </w:pPr>
    <w:rPr>
      <w:kern w:val="2"/>
      <w:sz w:val="24"/>
      <w:szCs w:val="24"/>
    </w:rPr>
  </w:style>
  <w:style w:type="paragraph" w:customStyle="1" w:styleId="977">
    <w:name w:val="977"/>
    <w:basedOn w:val="1068"/>
    <w:uiPriority w:val="99"/>
    <w:pPr>
      <w:widowControl w:val="0"/>
      <w:autoSpaceDE w:val="0"/>
      <w:autoSpaceDN w:val="0"/>
      <w:adjustRightInd w:val="0"/>
    </w:pPr>
    <w:rPr>
      <w:kern w:val="2"/>
      <w:sz w:val="30"/>
    </w:rPr>
  </w:style>
  <w:style w:type="paragraph" w:customStyle="1" w:styleId="971">
    <w:name w:val="971"/>
    <w:basedOn w:val="1068"/>
    <w:next w:val="3243"/>
    <w:uiPriority w:val="99"/>
    <w:qFormat/>
    <w:pPr>
      <w:keepNext/>
      <w:keepLines/>
      <w:widowControl w:val="0"/>
      <w:tabs>
        <w:tab w:val="left" w:pos="546"/>
      </w:tabs>
      <w:adjustRightInd w:val="0"/>
      <w:spacing w:before="120" w:after="120" w:line="480" w:lineRule="atLeast"/>
      <w:ind w:left="420" w:hanging="420"/>
      <w:outlineLvl w:val="1"/>
    </w:pPr>
    <w:rPr>
      <w:color w:val="000000"/>
    </w:rPr>
  </w:style>
  <w:style w:type="paragraph" w:customStyle="1" w:styleId="970">
    <w:name w:val="970"/>
    <w:basedOn w:val="1068"/>
    <w:next w:val="3243"/>
    <w:uiPriority w:val="39"/>
    <w:qFormat/>
    <w:pPr>
      <w:tabs>
        <w:tab w:val="right" w:leader="dot" w:pos="8296"/>
      </w:tabs>
      <w:ind w:leftChars="200" w:left="420"/>
      <w:jc w:val="center"/>
    </w:pPr>
    <w:rPr>
      <w:b/>
      <w:color w:val="000000"/>
      <w:sz w:val="32"/>
      <w:szCs w:val="32"/>
    </w:rPr>
  </w:style>
  <w:style w:type="paragraph" w:customStyle="1" w:styleId="969">
    <w:name w:val="969"/>
    <w:basedOn w:val="1068"/>
    <w:next w:val="3243"/>
    <w:uiPriority w:val="39"/>
    <w:qFormat/>
    <w:rPr>
      <w:color w:val="000000"/>
    </w:rPr>
  </w:style>
  <w:style w:type="paragraph" w:customStyle="1" w:styleId="968">
    <w:name w:val="968"/>
    <w:basedOn w:val="1068"/>
    <w:next w:val="3243"/>
    <w:uiPriority w:val="39"/>
    <w:qFormat/>
    <w:pPr>
      <w:spacing w:after="100" w:line="276" w:lineRule="auto"/>
      <w:ind w:left="440"/>
    </w:pPr>
    <w:rPr>
      <w:rFonts w:ascii="Calibri" w:hAnsi="Calibri"/>
      <w:sz w:val="22"/>
      <w:szCs w:val="22"/>
    </w:rPr>
  </w:style>
  <w:style w:type="paragraph" w:customStyle="1" w:styleId="967">
    <w:name w:val="967"/>
    <w:basedOn w:val="1068"/>
    <w:next w:val="3243"/>
    <w:uiPriority w:val="39"/>
    <w:pPr>
      <w:widowControl w:val="0"/>
      <w:ind w:leftChars="600" w:left="1260"/>
      <w:jc w:val="both"/>
    </w:pPr>
    <w:rPr>
      <w:rFonts w:ascii="Calibri" w:hAnsi="Calibri" w:cs="Times New Roman"/>
      <w:kern w:val="2"/>
      <w:szCs w:val="22"/>
    </w:rPr>
  </w:style>
  <w:style w:type="paragraph" w:customStyle="1" w:styleId="966">
    <w:name w:val="966"/>
    <w:basedOn w:val="1068"/>
    <w:next w:val="3243"/>
    <w:uiPriority w:val="39"/>
    <w:pPr>
      <w:widowControl w:val="0"/>
      <w:ind w:leftChars="800" w:left="1680"/>
      <w:jc w:val="both"/>
    </w:pPr>
    <w:rPr>
      <w:rFonts w:ascii="Calibri" w:hAnsi="Calibri" w:cs="Times New Roman"/>
      <w:kern w:val="2"/>
      <w:szCs w:val="22"/>
    </w:rPr>
  </w:style>
  <w:style w:type="paragraph" w:customStyle="1" w:styleId="965">
    <w:name w:val="965"/>
    <w:basedOn w:val="1068"/>
    <w:next w:val="3243"/>
    <w:uiPriority w:val="39"/>
    <w:pPr>
      <w:widowControl w:val="0"/>
      <w:ind w:leftChars="1000" w:left="2100"/>
      <w:jc w:val="both"/>
    </w:pPr>
    <w:rPr>
      <w:rFonts w:ascii="Calibri" w:hAnsi="Calibri" w:cs="Times New Roman"/>
      <w:kern w:val="2"/>
      <w:szCs w:val="22"/>
    </w:rPr>
  </w:style>
  <w:style w:type="paragraph" w:customStyle="1" w:styleId="964">
    <w:name w:val="964"/>
    <w:basedOn w:val="1068"/>
    <w:next w:val="3243"/>
    <w:uiPriority w:val="39"/>
    <w:pPr>
      <w:widowControl w:val="0"/>
      <w:ind w:leftChars="1200" w:left="2520"/>
      <w:jc w:val="both"/>
    </w:pPr>
    <w:rPr>
      <w:rFonts w:ascii="Calibri" w:hAnsi="Calibri" w:cs="Times New Roman"/>
      <w:kern w:val="2"/>
      <w:szCs w:val="22"/>
    </w:rPr>
  </w:style>
  <w:style w:type="paragraph" w:customStyle="1" w:styleId="963">
    <w:name w:val="963"/>
    <w:basedOn w:val="1068"/>
    <w:next w:val="3243"/>
    <w:uiPriority w:val="39"/>
    <w:pPr>
      <w:widowControl w:val="0"/>
      <w:ind w:leftChars="1400" w:left="2940"/>
      <w:jc w:val="both"/>
    </w:pPr>
    <w:rPr>
      <w:rFonts w:ascii="Calibri" w:hAnsi="Calibri" w:cs="Times New Roman"/>
      <w:kern w:val="2"/>
      <w:szCs w:val="22"/>
    </w:rPr>
  </w:style>
  <w:style w:type="paragraph" w:customStyle="1" w:styleId="962">
    <w:name w:val="962"/>
    <w:basedOn w:val="1068"/>
    <w:next w:val="3243"/>
    <w:uiPriority w:val="39"/>
    <w:pPr>
      <w:widowControl w:val="0"/>
      <w:ind w:leftChars="1600" w:left="3360"/>
      <w:jc w:val="both"/>
    </w:pPr>
    <w:rPr>
      <w:rFonts w:ascii="Calibri" w:hAnsi="Calibri" w:cs="Times New Roman"/>
      <w:kern w:val="2"/>
      <w:szCs w:val="22"/>
    </w:rPr>
  </w:style>
  <w:style w:type="paragraph" w:customStyle="1" w:styleId="961">
    <w:name w:val="961"/>
    <w:basedOn w:val="1068"/>
    <w:uiPriority w:val="99"/>
    <w:pPr>
      <w:widowControl w:val="0"/>
      <w:tabs>
        <w:tab w:val="left" w:pos="1200"/>
      </w:tabs>
      <w:jc w:val="both"/>
    </w:pPr>
    <w:rPr>
      <w:kern w:val="2"/>
    </w:rPr>
  </w:style>
  <w:style w:type="paragraph" w:customStyle="1" w:styleId="960">
    <w:name w:val="960"/>
    <w:basedOn w:val="1068"/>
    <w:next w:val="3243"/>
    <w:uiPriority w:val="99"/>
    <w:qFormat/>
    <w:pPr>
      <w:keepNext/>
      <w:keepLines/>
      <w:widowControl w:val="0"/>
      <w:spacing w:before="100" w:beforeAutospacing="1" w:after="100" w:afterAutospacing="1" w:line="412" w:lineRule="auto"/>
      <w:jc w:val="both"/>
    </w:pPr>
    <w:rPr>
      <w:b/>
      <w:kern w:val="2"/>
      <w:szCs w:val="24"/>
    </w:rPr>
  </w:style>
  <w:style w:type="paragraph" w:customStyle="1" w:styleId="957">
    <w:name w:val="957"/>
    <w:basedOn w:val="1068"/>
    <w:uiPriority w:val="34"/>
    <w:qFormat/>
    <w:pPr>
      <w:widowControl w:val="0"/>
      <w:ind w:firstLineChars="200" w:firstLine="420"/>
      <w:jc w:val="both"/>
    </w:pPr>
    <w:rPr>
      <w:rFonts w:ascii="Calibri" w:hAnsi="Calibri"/>
      <w:kern w:val="2"/>
      <w:szCs w:val="22"/>
    </w:rPr>
  </w:style>
  <w:style w:type="paragraph" w:customStyle="1" w:styleId="956">
    <w:name w:val="956"/>
    <w:basedOn w:val="1068"/>
    <w:uiPriority w:val="34"/>
    <w:qFormat/>
    <w:pPr>
      <w:widowControl w:val="0"/>
      <w:ind w:firstLineChars="200" w:firstLine="420"/>
      <w:jc w:val="both"/>
    </w:pPr>
    <w:rPr>
      <w:rFonts w:ascii="Calibri" w:hAnsi="Calibri"/>
      <w:kern w:val="2"/>
      <w:szCs w:val="22"/>
    </w:rPr>
  </w:style>
  <w:style w:type="paragraph" w:customStyle="1" w:styleId="955">
    <w:name w:val="955"/>
    <w:basedOn w:val="1068"/>
    <w:uiPriority w:val="34"/>
    <w:qFormat/>
    <w:pPr>
      <w:widowControl w:val="0"/>
      <w:ind w:firstLineChars="200" w:firstLine="420"/>
      <w:jc w:val="both"/>
    </w:pPr>
    <w:rPr>
      <w:rFonts w:ascii="Calibri" w:hAnsi="Calibri"/>
      <w:kern w:val="2"/>
      <w:szCs w:val="22"/>
    </w:rPr>
  </w:style>
  <w:style w:type="paragraph" w:customStyle="1" w:styleId="954">
    <w:name w:val="954"/>
    <w:basedOn w:val="1068"/>
    <w:uiPriority w:val="34"/>
    <w:qFormat/>
    <w:pPr>
      <w:widowControl w:val="0"/>
      <w:ind w:firstLineChars="200" w:firstLine="420"/>
      <w:jc w:val="both"/>
    </w:pPr>
    <w:rPr>
      <w:rFonts w:ascii="Calibri" w:hAnsi="Calibri"/>
      <w:kern w:val="2"/>
      <w:szCs w:val="22"/>
    </w:rPr>
  </w:style>
  <w:style w:type="paragraph" w:customStyle="1" w:styleId="953">
    <w:name w:val="953"/>
    <w:uiPriority w:val="99"/>
    <w:qFormat/>
    <w:rPr>
      <w:bCs/>
      <w:kern w:val="2"/>
      <w:sz w:val="21"/>
      <w:szCs w:val="24"/>
    </w:rPr>
  </w:style>
  <w:style w:type="paragraph" w:customStyle="1" w:styleId="951">
    <w:name w:val="951"/>
    <w:uiPriority w:val="99"/>
    <w:qFormat/>
    <w:rPr>
      <w:bCs/>
      <w:sz w:val="21"/>
      <w:szCs w:val="24"/>
    </w:rPr>
  </w:style>
  <w:style w:type="paragraph" w:customStyle="1" w:styleId="949">
    <w:name w:val="949"/>
    <w:basedOn w:val="1068"/>
    <w:uiPriority w:val="34"/>
    <w:qFormat/>
    <w:pPr>
      <w:widowControl w:val="0"/>
      <w:ind w:firstLineChars="200" w:firstLine="420"/>
      <w:jc w:val="both"/>
    </w:pPr>
    <w:rPr>
      <w:rFonts w:ascii="Calibri" w:hAnsi="Calibri"/>
      <w:kern w:val="2"/>
      <w:szCs w:val="22"/>
    </w:rPr>
  </w:style>
  <w:style w:type="paragraph" w:customStyle="1" w:styleId="948">
    <w:name w:val="948"/>
    <w:basedOn w:val="1068"/>
    <w:uiPriority w:val="34"/>
    <w:qFormat/>
    <w:pPr>
      <w:widowControl w:val="0"/>
      <w:ind w:firstLineChars="200" w:firstLine="420"/>
      <w:jc w:val="both"/>
    </w:pPr>
    <w:rPr>
      <w:rFonts w:ascii="Calibri" w:hAnsi="Calibri"/>
      <w:kern w:val="2"/>
      <w:szCs w:val="22"/>
    </w:rPr>
  </w:style>
  <w:style w:type="paragraph" w:customStyle="1" w:styleId="947">
    <w:name w:val="947"/>
    <w:basedOn w:val="1068"/>
    <w:uiPriority w:val="99"/>
    <w:qFormat/>
    <w:rPr>
      <w:kern w:val="2"/>
    </w:rPr>
  </w:style>
  <w:style w:type="paragraph" w:customStyle="1" w:styleId="946">
    <w:name w:val="946"/>
    <w:basedOn w:val="1068"/>
    <w:uiPriority w:val="59"/>
    <w:qFormat/>
    <w:pPr>
      <w:widowControl w:val="0"/>
    </w:pPr>
    <w:rPr>
      <w:kern w:val="2"/>
    </w:rPr>
  </w:style>
  <w:style w:type="paragraph" w:customStyle="1" w:styleId="945">
    <w:name w:val="945"/>
    <w:uiPriority w:val="99"/>
    <w:qFormat/>
    <w:rPr>
      <w:bCs/>
      <w:kern w:val="2"/>
      <w:sz w:val="21"/>
      <w:szCs w:val="24"/>
    </w:rPr>
  </w:style>
  <w:style w:type="paragraph" w:customStyle="1" w:styleId="944">
    <w:name w:val="944"/>
    <w:uiPriority w:val="99"/>
    <w:qFormat/>
    <w:rPr>
      <w:bCs/>
      <w:kern w:val="2"/>
      <w:sz w:val="21"/>
      <w:szCs w:val="24"/>
    </w:rPr>
  </w:style>
  <w:style w:type="paragraph" w:customStyle="1" w:styleId="943">
    <w:name w:val="943"/>
    <w:basedOn w:val="1068"/>
    <w:uiPriority w:val="99"/>
    <w:pPr>
      <w:widowControl w:val="0"/>
      <w:jc w:val="both"/>
    </w:pPr>
    <w:rPr>
      <w:rFonts w:ascii="Calibri" w:hAnsi="Calibri"/>
      <w:kern w:val="2"/>
      <w:sz w:val="18"/>
      <w:szCs w:val="18"/>
    </w:rPr>
  </w:style>
  <w:style w:type="paragraph" w:customStyle="1" w:styleId="942">
    <w:name w:val="942"/>
    <w:basedOn w:val="1068"/>
    <w:next w:val="3243"/>
    <w:uiPriority w:val="99"/>
    <w:pPr>
      <w:widowControl w:val="0"/>
      <w:ind w:leftChars="2500" w:left="100"/>
      <w:jc w:val="both"/>
    </w:pPr>
    <w:rPr>
      <w:kern w:val="2"/>
    </w:rPr>
  </w:style>
  <w:style w:type="paragraph" w:customStyle="1" w:styleId="938">
    <w:name w:val="938"/>
    <w:uiPriority w:val="99"/>
    <w:qFormat/>
    <w:rPr>
      <w:bCs/>
      <w:kern w:val="2"/>
      <w:sz w:val="21"/>
      <w:szCs w:val="24"/>
    </w:rPr>
  </w:style>
  <w:style w:type="paragraph" w:customStyle="1" w:styleId="936">
    <w:name w:val="936"/>
    <w:basedOn w:val="1068"/>
    <w:next w:val="3243"/>
    <w:uiPriority w:val="99"/>
    <w:qFormat/>
    <w:pPr>
      <w:keepNext/>
      <w:keepLines/>
      <w:widowControl w:val="0"/>
      <w:spacing w:before="60" w:after="60" w:line="360" w:lineRule="auto"/>
      <w:jc w:val="center"/>
      <w:outlineLvl w:val="0"/>
    </w:pPr>
    <w:rPr>
      <w:rFonts w:ascii="Calibri" w:eastAsia="黑体" w:hAnsi="Calibri"/>
      <w:b/>
      <w:kern w:val="44"/>
      <w:sz w:val="28"/>
      <w:szCs w:val="44"/>
    </w:rPr>
  </w:style>
  <w:style w:type="paragraph" w:customStyle="1" w:styleId="935">
    <w:name w:val="935"/>
    <w:basedOn w:val="1068"/>
    <w:next w:val="3243"/>
    <w:uiPriority w:val="9"/>
    <w:qFormat/>
    <w:pPr>
      <w:keepNext/>
      <w:keepLines/>
      <w:widowControl w:val="0"/>
      <w:spacing w:before="60" w:after="60"/>
      <w:jc w:val="both"/>
      <w:outlineLvl w:val="2"/>
    </w:pPr>
    <w:rPr>
      <w:rFonts w:ascii="Calibri" w:hAnsi="Calibri"/>
      <w:b/>
      <w:kern w:val="2"/>
      <w:szCs w:val="32"/>
    </w:rPr>
  </w:style>
  <w:style w:type="paragraph" w:customStyle="1" w:styleId="934">
    <w:name w:val="934"/>
    <w:basedOn w:val="1068"/>
    <w:next w:val="3243"/>
    <w:uiPriority w:val="9"/>
    <w:qFormat/>
    <w:pPr>
      <w:keepNext/>
      <w:keepLines/>
      <w:widowControl w:val="0"/>
      <w:spacing w:before="60" w:after="60"/>
      <w:jc w:val="both"/>
      <w:outlineLvl w:val="3"/>
    </w:pPr>
    <w:rPr>
      <w:rFonts w:ascii="Cambria" w:hAnsi="Cambria"/>
      <w:b/>
      <w:kern w:val="2"/>
      <w:szCs w:val="28"/>
    </w:rPr>
  </w:style>
  <w:style w:type="paragraph" w:customStyle="1" w:styleId="933">
    <w:name w:val="933"/>
    <w:basedOn w:val="1068"/>
    <w:next w:val="3243"/>
    <w:uiPriority w:val="9"/>
    <w:qFormat/>
    <w:pPr>
      <w:keepNext/>
      <w:keepLines/>
      <w:widowControl w:val="0"/>
      <w:spacing w:before="60" w:after="60"/>
      <w:jc w:val="both"/>
      <w:outlineLvl w:val="4"/>
    </w:pPr>
    <w:rPr>
      <w:rFonts w:ascii="Calibri" w:hAnsi="Calibri"/>
      <w:b/>
      <w:kern w:val="2"/>
      <w:szCs w:val="28"/>
    </w:rPr>
  </w:style>
  <w:style w:type="paragraph" w:customStyle="1" w:styleId="932">
    <w:name w:val="932"/>
    <w:basedOn w:val="1068"/>
    <w:next w:val="3243"/>
    <w:uiPriority w:val="9"/>
    <w:qFormat/>
    <w:pPr>
      <w:keepNext/>
      <w:keepLines/>
      <w:spacing w:before="60" w:after="60"/>
      <w:outlineLvl w:val="5"/>
    </w:pPr>
    <w:rPr>
      <w:rFonts w:ascii="Cambria" w:hAnsi="Cambria" w:cs="Times New Roman"/>
      <w:b/>
    </w:rPr>
  </w:style>
  <w:style w:type="paragraph" w:customStyle="1" w:styleId="931">
    <w:name w:val="931"/>
    <w:basedOn w:val="1068"/>
    <w:next w:val="3243"/>
    <w:uiPriority w:val="9"/>
    <w:qFormat/>
    <w:pPr>
      <w:keepNext/>
      <w:keepLines/>
      <w:spacing w:before="240" w:after="64" w:line="319" w:lineRule="auto"/>
      <w:outlineLvl w:val="6"/>
    </w:pPr>
    <w:rPr>
      <w:b/>
      <w:sz w:val="24"/>
    </w:rPr>
  </w:style>
  <w:style w:type="paragraph" w:customStyle="1" w:styleId="925">
    <w:name w:val="925"/>
    <w:basedOn w:val="1068"/>
    <w:next w:val="3243"/>
    <w:uiPriority w:val="39"/>
    <w:qFormat/>
    <w:pPr>
      <w:widowControl w:val="0"/>
      <w:tabs>
        <w:tab w:val="left" w:pos="1260"/>
        <w:tab w:val="right" w:leader="dot" w:pos="8823"/>
      </w:tabs>
      <w:jc w:val="center"/>
    </w:pPr>
    <w:rPr>
      <w:kern w:val="2"/>
    </w:rPr>
  </w:style>
  <w:style w:type="paragraph" w:customStyle="1" w:styleId="924">
    <w:name w:val="924"/>
    <w:basedOn w:val="1068"/>
    <w:next w:val="3243"/>
    <w:uiPriority w:val="39"/>
    <w:qFormat/>
    <w:pPr>
      <w:widowControl w:val="0"/>
      <w:ind w:leftChars="200" w:left="420"/>
      <w:jc w:val="both"/>
    </w:pPr>
    <w:rPr>
      <w:kern w:val="2"/>
    </w:rPr>
  </w:style>
  <w:style w:type="paragraph" w:customStyle="1" w:styleId="923">
    <w:name w:val="923"/>
    <w:basedOn w:val="1068"/>
    <w:uiPriority w:val="99"/>
    <w:qFormat/>
    <w:pPr>
      <w:widowControl w:val="0"/>
    </w:pPr>
    <w:rPr>
      <w:kern w:val="2"/>
    </w:rPr>
  </w:style>
  <w:style w:type="paragraph" w:customStyle="1" w:styleId="921">
    <w:name w:val="921"/>
    <w:basedOn w:val="1068"/>
    <w:uiPriority w:val="99"/>
    <w:pPr>
      <w:widowControl w:val="0"/>
      <w:jc w:val="both"/>
    </w:pPr>
    <w:rPr>
      <w:rFonts w:ascii="Calibri" w:hAnsi="Calibri"/>
      <w:kern w:val="2"/>
      <w:sz w:val="18"/>
      <w:szCs w:val="18"/>
    </w:rPr>
  </w:style>
  <w:style w:type="paragraph" w:customStyle="1" w:styleId="919">
    <w:name w:val="919"/>
    <w:basedOn w:val="1068"/>
    <w:next w:val="3243"/>
    <w:uiPriority w:val="99"/>
    <w:pPr>
      <w:widowControl w:val="0"/>
      <w:jc w:val="both"/>
    </w:pPr>
    <w:rPr>
      <w:kern w:val="2"/>
    </w:rPr>
  </w:style>
  <w:style w:type="paragraph" w:customStyle="1" w:styleId="917">
    <w:name w:val="917"/>
    <w:basedOn w:val="1068"/>
    <w:uiPriority w:val="34"/>
    <w:qFormat/>
    <w:pPr>
      <w:widowControl w:val="0"/>
      <w:ind w:firstLineChars="200" w:firstLine="420"/>
      <w:jc w:val="both"/>
    </w:pPr>
    <w:rPr>
      <w:rFonts w:ascii="Calibri" w:hAnsi="Calibri"/>
      <w:kern w:val="2"/>
      <w:szCs w:val="22"/>
    </w:rPr>
  </w:style>
  <w:style w:type="paragraph" w:customStyle="1" w:styleId="915">
    <w:name w:val="915"/>
    <w:basedOn w:val="923"/>
    <w:uiPriority w:val="99"/>
    <w:rPr>
      <w:rFonts w:ascii="Calibri" w:hAnsi="Calibri"/>
      <w:b/>
      <w:szCs w:val="22"/>
    </w:rPr>
  </w:style>
  <w:style w:type="paragraph" w:customStyle="1" w:styleId="914">
    <w:name w:val="914"/>
    <w:basedOn w:val="1068"/>
    <w:next w:val="3243"/>
    <w:uiPriority w:val="39"/>
    <w:qFormat/>
    <w:pPr>
      <w:spacing w:after="100" w:line="276" w:lineRule="auto"/>
      <w:ind w:left="440"/>
    </w:pPr>
    <w:rPr>
      <w:rFonts w:ascii="Calibri" w:hAnsi="Calibri"/>
      <w:sz w:val="22"/>
      <w:szCs w:val="22"/>
    </w:rPr>
  </w:style>
  <w:style w:type="paragraph" w:customStyle="1" w:styleId="913">
    <w:name w:val="913"/>
    <w:basedOn w:val="1068"/>
    <w:uiPriority w:val="99"/>
    <w:pPr>
      <w:widowControl w:val="0"/>
      <w:pBdr>
        <w:bottom w:val="single" w:sz="6" w:space="1" w:color="auto"/>
      </w:pBdr>
      <w:tabs>
        <w:tab w:val="center" w:pos="4153"/>
        <w:tab w:val="right" w:pos="8306"/>
      </w:tabs>
      <w:snapToGrid w:val="0"/>
      <w:jc w:val="center"/>
    </w:pPr>
    <w:rPr>
      <w:rFonts w:ascii="Calibri" w:hAnsi="Calibri"/>
      <w:kern w:val="2"/>
      <w:sz w:val="18"/>
      <w:szCs w:val="18"/>
    </w:rPr>
  </w:style>
  <w:style w:type="paragraph" w:customStyle="1" w:styleId="911">
    <w:name w:val="911"/>
    <w:basedOn w:val="1068"/>
    <w:uiPriority w:val="99"/>
    <w:pPr>
      <w:widowControl w:val="0"/>
      <w:tabs>
        <w:tab w:val="center" w:pos="4153"/>
        <w:tab w:val="right" w:pos="8306"/>
      </w:tabs>
      <w:snapToGrid w:val="0"/>
    </w:pPr>
    <w:rPr>
      <w:rFonts w:ascii="Calibri" w:hAnsi="Calibri"/>
      <w:kern w:val="2"/>
      <w:sz w:val="18"/>
      <w:szCs w:val="18"/>
    </w:rPr>
  </w:style>
  <w:style w:type="paragraph" w:customStyle="1" w:styleId="909">
    <w:name w:val="909"/>
    <w:basedOn w:val="1068"/>
    <w:uiPriority w:val="99"/>
    <w:pPr>
      <w:widowControl w:val="0"/>
      <w:jc w:val="both"/>
    </w:pPr>
    <w:rPr>
      <w:rFonts w:hAnsi="Courier New"/>
      <w:kern w:val="2"/>
    </w:rPr>
  </w:style>
  <w:style w:type="paragraph" w:customStyle="1" w:styleId="907">
    <w:name w:val="907"/>
    <w:basedOn w:val="1068"/>
    <w:uiPriority w:val="99"/>
    <w:pPr>
      <w:widowControl w:val="0"/>
      <w:spacing w:after="120"/>
      <w:jc w:val="both"/>
    </w:pPr>
    <w:rPr>
      <w:kern w:val="2"/>
    </w:rPr>
  </w:style>
  <w:style w:type="paragraph" w:customStyle="1" w:styleId="905">
    <w:name w:val="905"/>
    <w:basedOn w:val="1068"/>
    <w:next w:val="3243"/>
    <w:uiPriority w:val="99"/>
    <w:pPr>
      <w:widowControl w:val="0"/>
      <w:ind w:leftChars="2500" w:left="100"/>
      <w:jc w:val="both"/>
    </w:pPr>
    <w:rPr>
      <w:kern w:val="2"/>
    </w:rPr>
  </w:style>
  <w:style w:type="paragraph" w:customStyle="1" w:styleId="903">
    <w:name w:val="903"/>
    <w:basedOn w:val="1068"/>
    <w:next w:val="3243"/>
    <w:uiPriority w:val="99"/>
    <w:pPr>
      <w:widowControl w:val="0"/>
      <w:jc w:val="center"/>
    </w:pPr>
    <w:rPr>
      <w:kern w:val="2"/>
    </w:rPr>
  </w:style>
  <w:style w:type="paragraph" w:customStyle="1" w:styleId="901">
    <w:name w:val="901"/>
    <w:basedOn w:val="1068"/>
    <w:next w:val="3243"/>
    <w:uiPriority w:val="99"/>
    <w:semiHidden/>
    <w:pPr>
      <w:widowControl w:val="0"/>
      <w:spacing w:before="120"/>
      <w:jc w:val="both"/>
    </w:pPr>
    <w:rPr>
      <w:rFonts w:ascii="Arial" w:hAnsi="Arial"/>
      <w:b/>
      <w:kern w:val="2"/>
    </w:rPr>
  </w:style>
  <w:style w:type="paragraph" w:customStyle="1" w:styleId="900">
    <w:name w:val="900"/>
    <w:basedOn w:val="1068"/>
    <w:uiPriority w:val="99"/>
    <w:pPr>
      <w:keepNext/>
      <w:keepLines/>
      <w:widowControl w:val="0"/>
      <w:spacing w:before="60" w:after="60"/>
      <w:ind w:hangingChars="200" w:hanging="420"/>
      <w:jc w:val="both"/>
      <w:outlineLvl w:val="4"/>
    </w:pPr>
    <w:rPr>
      <w:b/>
      <w:kern w:val="2"/>
    </w:rPr>
  </w:style>
  <w:style w:type="paragraph" w:customStyle="1" w:styleId="899">
    <w:name w:val="899"/>
    <w:uiPriority w:val="99"/>
    <w:semiHidden/>
    <w:rPr>
      <w:bCs/>
      <w:kern w:val="2"/>
      <w:sz w:val="21"/>
      <w:szCs w:val="22"/>
    </w:rPr>
  </w:style>
  <w:style w:type="paragraph" w:customStyle="1" w:styleId="897">
    <w:name w:val="897"/>
    <w:basedOn w:val="1068"/>
    <w:uiPriority w:val="99"/>
    <w:qFormat/>
    <w:pPr>
      <w:widowControl w:val="0"/>
      <w:spacing w:before="100" w:after="100"/>
      <w:jc w:val="both"/>
    </w:pPr>
    <w:rPr>
      <w:rFonts w:ascii="Calibri" w:hAnsi="Calibri"/>
      <w:kern w:val="2"/>
    </w:rPr>
  </w:style>
  <w:style w:type="paragraph" w:customStyle="1" w:styleId="896">
    <w:name w:val="896"/>
    <w:basedOn w:val="1068"/>
    <w:uiPriority w:val="99"/>
    <w:semiHidden/>
    <w:pPr>
      <w:widowControl w:val="0"/>
      <w:jc w:val="both"/>
    </w:pPr>
    <w:rPr>
      <w:rFonts w:hAnsi="Calibri"/>
      <w:kern w:val="2"/>
      <w:sz w:val="18"/>
      <w:szCs w:val="18"/>
    </w:rPr>
  </w:style>
  <w:style w:type="paragraph" w:customStyle="1" w:styleId="893">
    <w:name w:val="893"/>
    <w:basedOn w:val="1068"/>
    <w:next w:val="3243"/>
    <w:uiPriority w:val="10"/>
    <w:qFormat/>
    <w:pPr>
      <w:widowControl w:val="0"/>
      <w:spacing w:before="240" w:after="60"/>
      <w:jc w:val="center"/>
      <w:outlineLvl w:val="0"/>
    </w:pPr>
    <w:rPr>
      <w:rFonts w:ascii="Cambria" w:hAnsi="Cambria" w:cs="Times New Roman"/>
      <w:b/>
      <w:kern w:val="2"/>
      <w:sz w:val="32"/>
      <w:szCs w:val="32"/>
    </w:rPr>
  </w:style>
  <w:style w:type="paragraph" w:customStyle="1" w:styleId="891">
    <w:name w:val="891"/>
    <w:uiPriority w:val="1"/>
    <w:qFormat/>
    <w:pPr>
      <w:widowControl w:val="0"/>
      <w:jc w:val="both"/>
    </w:pPr>
    <w:rPr>
      <w:bCs/>
      <w:kern w:val="2"/>
      <w:sz w:val="21"/>
      <w:szCs w:val="22"/>
    </w:rPr>
  </w:style>
  <w:style w:type="paragraph" w:customStyle="1" w:styleId="890">
    <w:name w:val="890"/>
    <w:basedOn w:val="1068"/>
    <w:next w:val="3243"/>
    <w:uiPriority w:val="39"/>
    <w:pPr>
      <w:widowControl w:val="0"/>
      <w:ind w:leftChars="600" w:left="1260"/>
      <w:jc w:val="both"/>
    </w:pPr>
    <w:rPr>
      <w:rFonts w:ascii="Calibri" w:hAnsi="Calibri" w:cs="Times New Roman"/>
      <w:kern w:val="2"/>
      <w:szCs w:val="22"/>
    </w:rPr>
  </w:style>
  <w:style w:type="paragraph" w:customStyle="1" w:styleId="889">
    <w:name w:val="889"/>
    <w:basedOn w:val="1068"/>
    <w:next w:val="3243"/>
    <w:uiPriority w:val="39"/>
    <w:pPr>
      <w:widowControl w:val="0"/>
      <w:ind w:leftChars="800" w:left="1680"/>
      <w:jc w:val="both"/>
    </w:pPr>
    <w:rPr>
      <w:rFonts w:ascii="Calibri" w:hAnsi="Calibri" w:cs="Times New Roman"/>
      <w:kern w:val="2"/>
      <w:szCs w:val="22"/>
    </w:rPr>
  </w:style>
  <w:style w:type="paragraph" w:customStyle="1" w:styleId="888">
    <w:name w:val="888"/>
    <w:basedOn w:val="1068"/>
    <w:next w:val="3243"/>
    <w:uiPriority w:val="39"/>
    <w:pPr>
      <w:widowControl w:val="0"/>
      <w:ind w:leftChars="1000" w:left="2100"/>
      <w:jc w:val="both"/>
    </w:pPr>
    <w:rPr>
      <w:rFonts w:ascii="Calibri" w:hAnsi="Calibri" w:cs="Times New Roman"/>
      <w:kern w:val="2"/>
      <w:szCs w:val="22"/>
    </w:rPr>
  </w:style>
  <w:style w:type="paragraph" w:customStyle="1" w:styleId="886">
    <w:name w:val="886"/>
    <w:basedOn w:val="1068"/>
    <w:next w:val="3243"/>
    <w:uiPriority w:val="39"/>
    <w:pPr>
      <w:widowControl w:val="0"/>
      <w:ind w:leftChars="1200" w:left="2520"/>
      <w:jc w:val="both"/>
    </w:pPr>
    <w:rPr>
      <w:rFonts w:ascii="Calibri" w:hAnsi="Calibri" w:cs="Times New Roman"/>
      <w:kern w:val="2"/>
      <w:szCs w:val="22"/>
    </w:rPr>
  </w:style>
  <w:style w:type="paragraph" w:customStyle="1" w:styleId="885">
    <w:name w:val="885"/>
    <w:basedOn w:val="1068"/>
    <w:next w:val="3243"/>
    <w:uiPriority w:val="39"/>
    <w:pPr>
      <w:widowControl w:val="0"/>
      <w:ind w:leftChars="1400" w:left="2940"/>
      <w:jc w:val="both"/>
    </w:pPr>
    <w:rPr>
      <w:rFonts w:ascii="Calibri" w:hAnsi="Calibri" w:cs="Times New Roman"/>
      <w:kern w:val="2"/>
      <w:szCs w:val="22"/>
    </w:rPr>
  </w:style>
  <w:style w:type="paragraph" w:customStyle="1" w:styleId="884">
    <w:name w:val="884"/>
    <w:basedOn w:val="1068"/>
    <w:next w:val="3243"/>
    <w:uiPriority w:val="39"/>
    <w:pPr>
      <w:widowControl w:val="0"/>
      <w:ind w:leftChars="1600" w:left="3360"/>
      <w:jc w:val="both"/>
    </w:pPr>
    <w:rPr>
      <w:rFonts w:ascii="Calibri" w:hAnsi="Calibri" w:cs="Times New Roman"/>
      <w:kern w:val="2"/>
      <w:szCs w:val="22"/>
    </w:rPr>
  </w:style>
  <w:style w:type="paragraph" w:customStyle="1" w:styleId="882">
    <w:name w:val="882"/>
    <w:basedOn w:val="1068"/>
    <w:uiPriority w:val="99"/>
    <w:pPr>
      <w:spacing w:before="100" w:beforeAutospacing="1" w:after="100" w:afterAutospacing="1"/>
    </w:pPr>
    <w:rPr>
      <w:sz w:val="24"/>
    </w:rPr>
  </w:style>
  <w:style w:type="paragraph" w:customStyle="1" w:styleId="881">
    <w:name w:val="881"/>
    <w:basedOn w:val="1068"/>
    <w:uiPriority w:val="99"/>
    <w:semiHidden/>
    <w:pPr>
      <w:snapToGrid w:val="0"/>
    </w:pPr>
  </w:style>
  <w:style w:type="paragraph" w:customStyle="1" w:styleId="875">
    <w:name w:val="875"/>
    <w:basedOn w:val="1068"/>
    <w:uiPriority w:val="99"/>
    <w:pPr>
      <w:widowControl w:val="0"/>
      <w:ind w:firstLineChars="200" w:firstLine="420"/>
      <w:jc w:val="both"/>
    </w:pPr>
    <w:rPr>
      <w:kern w:val="2"/>
    </w:rPr>
  </w:style>
  <w:style w:type="paragraph" w:customStyle="1" w:styleId="874">
    <w:name w:val="874"/>
    <w:basedOn w:val="1068"/>
    <w:uiPriority w:val="99"/>
    <w:pPr>
      <w:widowControl w:val="0"/>
      <w:tabs>
        <w:tab w:val="left" w:pos="1200"/>
      </w:tabs>
      <w:jc w:val="both"/>
    </w:pPr>
    <w:rPr>
      <w:kern w:val="2"/>
    </w:rPr>
  </w:style>
  <w:style w:type="paragraph" w:customStyle="1" w:styleId="873">
    <w:name w:val="873"/>
    <w:basedOn w:val="1068"/>
    <w:uiPriority w:val="34"/>
    <w:qFormat/>
    <w:pPr>
      <w:widowControl w:val="0"/>
      <w:ind w:firstLineChars="200" w:firstLine="420"/>
      <w:jc w:val="both"/>
    </w:pPr>
    <w:rPr>
      <w:rFonts w:ascii="Calibri" w:hAnsi="Calibri"/>
      <w:kern w:val="2"/>
      <w:szCs w:val="22"/>
    </w:rPr>
  </w:style>
  <w:style w:type="paragraph" w:customStyle="1" w:styleId="872">
    <w:name w:val="872"/>
    <w:basedOn w:val="1068"/>
    <w:uiPriority w:val="34"/>
    <w:qFormat/>
    <w:pPr>
      <w:widowControl w:val="0"/>
      <w:ind w:firstLineChars="200" w:firstLine="420"/>
      <w:jc w:val="both"/>
    </w:pPr>
    <w:rPr>
      <w:rFonts w:ascii="Calibri" w:hAnsi="Calibri"/>
      <w:kern w:val="2"/>
      <w:szCs w:val="22"/>
    </w:rPr>
  </w:style>
  <w:style w:type="paragraph" w:customStyle="1" w:styleId="871">
    <w:name w:val="871"/>
    <w:basedOn w:val="1068"/>
    <w:uiPriority w:val="34"/>
    <w:qFormat/>
    <w:pPr>
      <w:widowControl w:val="0"/>
      <w:ind w:firstLineChars="200" w:firstLine="420"/>
      <w:jc w:val="both"/>
    </w:pPr>
    <w:rPr>
      <w:rFonts w:ascii="Calibri" w:hAnsi="Calibri"/>
      <w:kern w:val="2"/>
      <w:szCs w:val="22"/>
    </w:rPr>
  </w:style>
  <w:style w:type="paragraph" w:customStyle="1" w:styleId="870">
    <w:name w:val="870"/>
    <w:basedOn w:val="1068"/>
    <w:uiPriority w:val="34"/>
    <w:qFormat/>
    <w:pPr>
      <w:widowControl w:val="0"/>
      <w:ind w:firstLineChars="200" w:firstLine="420"/>
      <w:jc w:val="both"/>
    </w:pPr>
    <w:rPr>
      <w:rFonts w:ascii="Calibri" w:hAnsi="Calibri"/>
      <w:kern w:val="2"/>
      <w:szCs w:val="22"/>
    </w:rPr>
  </w:style>
  <w:style w:type="paragraph" w:customStyle="1" w:styleId="868">
    <w:name w:val="868"/>
    <w:basedOn w:val="1068"/>
    <w:uiPriority w:val="34"/>
    <w:qFormat/>
    <w:pPr>
      <w:widowControl w:val="0"/>
      <w:ind w:firstLineChars="200" w:firstLine="420"/>
      <w:jc w:val="both"/>
    </w:pPr>
    <w:rPr>
      <w:rFonts w:ascii="Calibri" w:hAnsi="Calibri"/>
      <w:kern w:val="2"/>
      <w:szCs w:val="22"/>
    </w:rPr>
  </w:style>
  <w:style w:type="paragraph" w:customStyle="1" w:styleId="866">
    <w:name w:val="866"/>
    <w:basedOn w:val="1068"/>
    <w:uiPriority w:val="34"/>
    <w:qFormat/>
    <w:pPr>
      <w:widowControl w:val="0"/>
      <w:ind w:firstLineChars="200" w:firstLine="420"/>
      <w:jc w:val="both"/>
    </w:pPr>
    <w:rPr>
      <w:rFonts w:ascii="Calibri" w:hAnsi="Calibri"/>
      <w:kern w:val="2"/>
      <w:szCs w:val="22"/>
    </w:rPr>
  </w:style>
  <w:style w:type="paragraph" w:customStyle="1" w:styleId="864">
    <w:name w:val="864"/>
    <w:uiPriority w:val="99"/>
    <w:qFormat/>
    <w:rPr>
      <w:bCs/>
      <w:sz w:val="21"/>
      <w:szCs w:val="24"/>
    </w:rPr>
  </w:style>
  <w:style w:type="paragraph" w:customStyle="1" w:styleId="863">
    <w:name w:val="863"/>
    <w:uiPriority w:val="99"/>
    <w:pPr>
      <w:widowControl w:val="0"/>
      <w:autoSpaceDE w:val="0"/>
      <w:autoSpaceDN w:val="0"/>
      <w:adjustRightInd w:val="0"/>
    </w:pPr>
    <w:rPr>
      <w:rFonts w:ascii="黑体" w:eastAsia="黑体" w:cs="黑体"/>
      <w:bCs/>
      <w:color w:val="000000"/>
      <w:sz w:val="24"/>
      <w:szCs w:val="24"/>
    </w:rPr>
  </w:style>
  <w:style w:type="paragraph" w:customStyle="1" w:styleId="862">
    <w:name w:val="862"/>
    <w:basedOn w:val="1068"/>
    <w:uiPriority w:val="99"/>
    <w:pPr>
      <w:widowControl w:val="0"/>
      <w:jc w:val="both"/>
    </w:pPr>
    <w:rPr>
      <w:rFonts w:ascii="Calibri" w:hAnsi="Calibri"/>
      <w:kern w:val="2"/>
      <w:sz w:val="18"/>
      <w:szCs w:val="18"/>
    </w:rPr>
  </w:style>
  <w:style w:type="paragraph" w:customStyle="1" w:styleId="860">
    <w:name w:val="860"/>
    <w:basedOn w:val="1068"/>
    <w:next w:val="3243"/>
    <w:uiPriority w:val="99"/>
    <w:pPr>
      <w:widowControl w:val="0"/>
      <w:jc w:val="both"/>
    </w:pPr>
    <w:rPr>
      <w:kern w:val="2"/>
    </w:rPr>
  </w:style>
  <w:style w:type="paragraph" w:customStyle="1" w:styleId="858">
    <w:name w:val="858"/>
    <w:basedOn w:val="1068"/>
    <w:uiPriority w:val="34"/>
    <w:qFormat/>
    <w:pPr>
      <w:widowControl w:val="0"/>
      <w:ind w:firstLineChars="200" w:firstLine="420"/>
      <w:jc w:val="both"/>
    </w:pPr>
    <w:rPr>
      <w:rFonts w:ascii="Calibri" w:hAnsi="Calibri"/>
      <w:kern w:val="2"/>
      <w:szCs w:val="22"/>
    </w:rPr>
  </w:style>
  <w:style w:type="paragraph" w:customStyle="1" w:styleId="856">
    <w:name w:val="856"/>
    <w:basedOn w:val="1048"/>
    <w:uiPriority w:val="99"/>
    <w:rPr>
      <w:rFonts w:ascii="Calibri" w:hAnsi="Calibri"/>
      <w:b/>
      <w:szCs w:val="22"/>
    </w:rPr>
  </w:style>
  <w:style w:type="paragraph" w:customStyle="1" w:styleId="855">
    <w:name w:val="855"/>
    <w:basedOn w:val="1068"/>
    <w:uiPriority w:val="99"/>
    <w:pPr>
      <w:widowControl w:val="0"/>
      <w:pBdr>
        <w:bottom w:val="single" w:sz="6" w:space="1" w:color="auto"/>
      </w:pBdr>
      <w:tabs>
        <w:tab w:val="center" w:pos="4153"/>
        <w:tab w:val="right" w:pos="8306"/>
      </w:tabs>
      <w:snapToGrid w:val="0"/>
      <w:jc w:val="center"/>
    </w:pPr>
    <w:rPr>
      <w:rFonts w:ascii="Calibri" w:hAnsi="Calibri"/>
      <w:kern w:val="2"/>
      <w:sz w:val="18"/>
      <w:szCs w:val="18"/>
    </w:rPr>
  </w:style>
  <w:style w:type="paragraph" w:customStyle="1" w:styleId="853">
    <w:name w:val="853"/>
    <w:basedOn w:val="1068"/>
    <w:uiPriority w:val="99"/>
    <w:pPr>
      <w:widowControl w:val="0"/>
      <w:tabs>
        <w:tab w:val="center" w:pos="4153"/>
        <w:tab w:val="right" w:pos="8306"/>
      </w:tabs>
      <w:snapToGrid w:val="0"/>
    </w:pPr>
    <w:rPr>
      <w:rFonts w:ascii="Calibri" w:hAnsi="Calibri"/>
      <w:kern w:val="2"/>
      <w:sz w:val="18"/>
      <w:szCs w:val="18"/>
    </w:rPr>
  </w:style>
  <w:style w:type="paragraph" w:customStyle="1" w:styleId="851">
    <w:name w:val="851"/>
    <w:basedOn w:val="1068"/>
    <w:uiPriority w:val="99"/>
    <w:pPr>
      <w:widowControl w:val="0"/>
      <w:jc w:val="both"/>
    </w:pPr>
    <w:rPr>
      <w:rFonts w:hAnsi="Courier New"/>
      <w:kern w:val="2"/>
    </w:rPr>
  </w:style>
  <w:style w:type="paragraph" w:customStyle="1" w:styleId="849">
    <w:name w:val="849"/>
    <w:basedOn w:val="1068"/>
    <w:uiPriority w:val="99"/>
    <w:pPr>
      <w:widowControl w:val="0"/>
      <w:spacing w:after="120"/>
      <w:jc w:val="both"/>
    </w:pPr>
    <w:rPr>
      <w:kern w:val="2"/>
    </w:rPr>
  </w:style>
  <w:style w:type="paragraph" w:customStyle="1" w:styleId="847">
    <w:name w:val="847"/>
    <w:basedOn w:val="1068"/>
    <w:next w:val="3243"/>
    <w:uiPriority w:val="99"/>
    <w:pPr>
      <w:widowControl w:val="0"/>
      <w:ind w:leftChars="2500" w:left="100"/>
      <w:jc w:val="both"/>
    </w:pPr>
    <w:rPr>
      <w:kern w:val="2"/>
    </w:rPr>
  </w:style>
  <w:style w:type="paragraph" w:customStyle="1" w:styleId="845">
    <w:name w:val="845"/>
    <w:basedOn w:val="1068"/>
    <w:next w:val="3243"/>
    <w:uiPriority w:val="99"/>
    <w:pPr>
      <w:widowControl w:val="0"/>
      <w:jc w:val="center"/>
    </w:pPr>
    <w:rPr>
      <w:kern w:val="2"/>
    </w:rPr>
  </w:style>
  <w:style w:type="paragraph" w:customStyle="1" w:styleId="843">
    <w:name w:val="843"/>
    <w:basedOn w:val="1068"/>
    <w:next w:val="3243"/>
    <w:uiPriority w:val="99"/>
    <w:semiHidden/>
    <w:pPr>
      <w:widowControl w:val="0"/>
      <w:spacing w:before="120"/>
      <w:jc w:val="both"/>
    </w:pPr>
    <w:rPr>
      <w:rFonts w:ascii="Arial" w:hAnsi="Arial"/>
      <w:b/>
      <w:kern w:val="2"/>
    </w:rPr>
  </w:style>
  <w:style w:type="paragraph" w:customStyle="1" w:styleId="842">
    <w:name w:val="842"/>
    <w:uiPriority w:val="99"/>
    <w:semiHidden/>
    <w:rPr>
      <w:bCs/>
      <w:kern w:val="2"/>
      <w:sz w:val="21"/>
      <w:szCs w:val="22"/>
    </w:rPr>
  </w:style>
  <w:style w:type="paragraph" w:customStyle="1" w:styleId="840">
    <w:name w:val="840"/>
    <w:basedOn w:val="1068"/>
    <w:uiPriority w:val="99"/>
    <w:qFormat/>
    <w:pPr>
      <w:widowControl w:val="0"/>
      <w:spacing w:before="100" w:after="100"/>
      <w:jc w:val="both"/>
    </w:pPr>
    <w:rPr>
      <w:rFonts w:ascii="Calibri" w:hAnsi="Calibri"/>
      <w:kern w:val="2"/>
    </w:rPr>
  </w:style>
  <w:style w:type="paragraph" w:customStyle="1" w:styleId="839">
    <w:name w:val="839"/>
    <w:basedOn w:val="1068"/>
    <w:uiPriority w:val="99"/>
    <w:semiHidden/>
    <w:pPr>
      <w:widowControl w:val="0"/>
      <w:jc w:val="both"/>
    </w:pPr>
    <w:rPr>
      <w:rFonts w:hAnsi="Calibri"/>
      <w:kern w:val="2"/>
      <w:sz w:val="18"/>
      <w:szCs w:val="18"/>
    </w:rPr>
  </w:style>
  <w:style w:type="paragraph" w:customStyle="1" w:styleId="835">
    <w:name w:val="835"/>
    <w:basedOn w:val="1068"/>
    <w:next w:val="3243"/>
    <w:uiPriority w:val="10"/>
    <w:qFormat/>
    <w:pPr>
      <w:widowControl w:val="0"/>
      <w:spacing w:before="240" w:after="60"/>
      <w:jc w:val="center"/>
      <w:outlineLvl w:val="0"/>
    </w:pPr>
    <w:rPr>
      <w:rFonts w:ascii="Cambria" w:hAnsi="Cambria" w:cs="Times New Roman"/>
      <w:b/>
      <w:kern w:val="2"/>
      <w:sz w:val="32"/>
      <w:szCs w:val="32"/>
    </w:rPr>
  </w:style>
  <w:style w:type="paragraph" w:customStyle="1" w:styleId="833">
    <w:name w:val="833"/>
    <w:uiPriority w:val="1"/>
    <w:qFormat/>
    <w:pPr>
      <w:widowControl w:val="0"/>
      <w:jc w:val="both"/>
    </w:pPr>
    <w:rPr>
      <w:bCs/>
      <w:kern w:val="2"/>
      <w:sz w:val="21"/>
      <w:szCs w:val="22"/>
    </w:rPr>
  </w:style>
  <w:style w:type="paragraph" w:customStyle="1" w:styleId="832">
    <w:name w:val="832"/>
    <w:basedOn w:val="1068"/>
    <w:uiPriority w:val="99"/>
    <w:pPr>
      <w:spacing w:before="100" w:beforeAutospacing="1" w:after="100" w:afterAutospacing="1"/>
    </w:pPr>
    <w:rPr>
      <w:sz w:val="24"/>
    </w:rPr>
  </w:style>
  <w:style w:type="paragraph" w:customStyle="1" w:styleId="831">
    <w:name w:val="831"/>
    <w:basedOn w:val="1068"/>
    <w:uiPriority w:val="99"/>
    <w:semiHidden/>
    <w:pPr>
      <w:snapToGrid w:val="0"/>
    </w:pPr>
  </w:style>
  <w:style w:type="paragraph" w:customStyle="1" w:styleId="826">
    <w:name w:val="826"/>
    <w:basedOn w:val="1068"/>
    <w:next w:val="3243"/>
    <w:uiPriority w:val="99"/>
    <w:semiHidden/>
    <w:pPr>
      <w:ind w:firstLineChars="200" w:firstLine="420"/>
    </w:pPr>
    <w:rPr>
      <w:color w:val="000000"/>
    </w:rPr>
  </w:style>
  <w:style w:type="paragraph" w:customStyle="1" w:styleId="825">
    <w:name w:val="825"/>
    <w:basedOn w:val="1068"/>
    <w:uiPriority w:val="99"/>
    <w:pPr>
      <w:widowControl w:val="0"/>
      <w:ind w:firstLineChars="200" w:firstLine="420"/>
      <w:jc w:val="both"/>
    </w:pPr>
    <w:rPr>
      <w:kern w:val="2"/>
    </w:rPr>
  </w:style>
  <w:style w:type="paragraph" w:customStyle="1" w:styleId="824">
    <w:name w:val="824"/>
    <w:basedOn w:val="1068"/>
    <w:uiPriority w:val="34"/>
    <w:qFormat/>
    <w:pPr>
      <w:widowControl w:val="0"/>
      <w:ind w:firstLineChars="200" w:firstLine="420"/>
      <w:jc w:val="both"/>
    </w:pPr>
    <w:rPr>
      <w:rFonts w:ascii="Calibri" w:hAnsi="Calibri"/>
      <w:kern w:val="2"/>
      <w:szCs w:val="22"/>
    </w:rPr>
  </w:style>
  <w:style w:type="paragraph" w:customStyle="1" w:styleId="823">
    <w:name w:val="823"/>
    <w:basedOn w:val="1068"/>
    <w:uiPriority w:val="34"/>
    <w:qFormat/>
    <w:pPr>
      <w:widowControl w:val="0"/>
      <w:ind w:firstLineChars="200" w:firstLine="420"/>
      <w:jc w:val="both"/>
    </w:pPr>
    <w:rPr>
      <w:rFonts w:ascii="Calibri" w:hAnsi="Calibri"/>
      <w:kern w:val="2"/>
      <w:szCs w:val="22"/>
    </w:rPr>
  </w:style>
  <w:style w:type="paragraph" w:customStyle="1" w:styleId="822">
    <w:name w:val="822"/>
    <w:basedOn w:val="1068"/>
    <w:uiPriority w:val="34"/>
    <w:qFormat/>
    <w:pPr>
      <w:widowControl w:val="0"/>
      <w:ind w:firstLineChars="200" w:firstLine="420"/>
      <w:jc w:val="both"/>
    </w:pPr>
    <w:rPr>
      <w:rFonts w:ascii="Calibri" w:hAnsi="Calibri"/>
      <w:kern w:val="2"/>
      <w:szCs w:val="22"/>
    </w:rPr>
  </w:style>
  <w:style w:type="paragraph" w:customStyle="1" w:styleId="821">
    <w:name w:val="821"/>
    <w:basedOn w:val="1068"/>
    <w:uiPriority w:val="34"/>
    <w:qFormat/>
    <w:pPr>
      <w:widowControl w:val="0"/>
      <w:ind w:firstLineChars="200" w:firstLine="420"/>
      <w:jc w:val="both"/>
    </w:pPr>
    <w:rPr>
      <w:rFonts w:ascii="Calibri" w:hAnsi="Calibri"/>
      <w:kern w:val="2"/>
      <w:szCs w:val="22"/>
    </w:rPr>
  </w:style>
  <w:style w:type="paragraph" w:customStyle="1" w:styleId="819">
    <w:name w:val="819"/>
    <w:basedOn w:val="1068"/>
    <w:uiPriority w:val="34"/>
    <w:qFormat/>
    <w:pPr>
      <w:widowControl w:val="0"/>
      <w:ind w:firstLineChars="200" w:firstLine="420"/>
      <w:jc w:val="both"/>
    </w:pPr>
    <w:rPr>
      <w:rFonts w:ascii="Calibri" w:hAnsi="Calibri"/>
      <w:kern w:val="2"/>
      <w:szCs w:val="22"/>
    </w:rPr>
  </w:style>
  <w:style w:type="paragraph" w:customStyle="1" w:styleId="818">
    <w:name w:val="818"/>
    <w:basedOn w:val="1068"/>
    <w:uiPriority w:val="34"/>
    <w:qFormat/>
    <w:pPr>
      <w:widowControl w:val="0"/>
      <w:ind w:firstLineChars="200" w:firstLine="420"/>
      <w:jc w:val="both"/>
    </w:pPr>
    <w:rPr>
      <w:rFonts w:ascii="Calibri" w:hAnsi="Calibri"/>
      <w:kern w:val="2"/>
      <w:szCs w:val="22"/>
    </w:rPr>
  </w:style>
  <w:style w:type="paragraph" w:customStyle="1" w:styleId="814">
    <w:name w:val="814"/>
    <w:basedOn w:val="1068"/>
    <w:next w:val="3243"/>
    <w:uiPriority w:val="39"/>
    <w:qFormat/>
    <w:pPr>
      <w:tabs>
        <w:tab w:val="right" w:leader="dot" w:pos="8296"/>
      </w:tabs>
      <w:ind w:leftChars="200" w:left="420"/>
      <w:jc w:val="center"/>
    </w:pPr>
    <w:rPr>
      <w:b/>
      <w:color w:val="000000"/>
      <w:sz w:val="32"/>
      <w:szCs w:val="32"/>
    </w:rPr>
  </w:style>
  <w:style w:type="paragraph" w:customStyle="1" w:styleId="813">
    <w:name w:val="813"/>
    <w:basedOn w:val="1068"/>
    <w:next w:val="3243"/>
    <w:uiPriority w:val="39"/>
    <w:pPr>
      <w:widowControl w:val="0"/>
      <w:ind w:leftChars="1200" w:left="2520"/>
      <w:jc w:val="both"/>
    </w:pPr>
    <w:rPr>
      <w:rFonts w:ascii="Calibri" w:hAnsi="Calibri" w:cs="Times New Roman"/>
      <w:kern w:val="2"/>
      <w:szCs w:val="22"/>
    </w:rPr>
  </w:style>
  <w:style w:type="paragraph" w:customStyle="1" w:styleId="812">
    <w:name w:val="812"/>
    <w:basedOn w:val="1068"/>
    <w:uiPriority w:val="34"/>
    <w:qFormat/>
    <w:pPr>
      <w:widowControl w:val="0"/>
      <w:ind w:firstLineChars="200" w:firstLine="420"/>
      <w:jc w:val="both"/>
    </w:pPr>
    <w:rPr>
      <w:rFonts w:ascii="Calibri" w:hAnsi="Calibri"/>
      <w:kern w:val="2"/>
      <w:szCs w:val="22"/>
    </w:rPr>
  </w:style>
  <w:style w:type="paragraph" w:customStyle="1" w:styleId="811">
    <w:name w:val="811"/>
    <w:basedOn w:val="1068"/>
    <w:uiPriority w:val="34"/>
    <w:qFormat/>
    <w:pPr>
      <w:widowControl w:val="0"/>
      <w:ind w:firstLineChars="200" w:firstLine="420"/>
      <w:jc w:val="both"/>
    </w:pPr>
    <w:rPr>
      <w:rFonts w:ascii="Calibri" w:hAnsi="Calibri"/>
      <w:kern w:val="2"/>
      <w:szCs w:val="22"/>
    </w:rPr>
  </w:style>
  <w:style w:type="paragraph" w:customStyle="1" w:styleId="810">
    <w:name w:val="810"/>
    <w:basedOn w:val="1068"/>
    <w:uiPriority w:val="34"/>
    <w:qFormat/>
    <w:pPr>
      <w:widowControl w:val="0"/>
      <w:ind w:firstLineChars="200" w:firstLine="420"/>
      <w:jc w:val="both"/>
    </w:pPr>
    <w:rPr>
      <w:rFonts w:ascii="Calibri" w:hAnsi="Calibri"/>
      <w:kern w:val="2"/>
      <w:szCs w:val="22"/>
    </w:rPr>
  </w:style>
  <w:style w:type="paragraph" w:customStyle="1" w:styleId="809">
    <w:name w:val="809"/>
    <w:basedOn w:val="1068"/>
    <w:uiPriority w:val="34"/>
    <w:qFormat/>
    <w:pPr>
      <w:widowControl w:val="0"/>
      <w:ind w:firstLineChars="200" w:firstLine="420"/>
      <w:jc w:val="both"/>
    </w:pPr>
    <w:rPr>
      <w:rFonts w:ascii="Calibri" w:hAnsi="Calibri"/>
      <w:kern w:val="2"/>
      <w:szCs w:val="22"/>
    </w:rPr>
  </w:style>
  <w:style w:type="paragraph" w:customStyle="1" w:styleId="808">
    <w:name w:val="808"/>
    <w:basedOn w:val="1068"/>
    <w:uiPriority w:val="99"/>
    <w:pPr>
      <w:widowControl w:val="0"/>
      <w:jc w:val="both"/>
    </w:pPr>
    <w:rPr>
      <w:rFonts w:ascii="Calibri" w:hAnsi="Calibri"/>
      <w:kern w:val="2"/>
      <w:sz w:val="18"/>
      <w:szCs w:val="18"/>
    </w:rPr>
  </w:style>
  <w:style w:type="paragraph" w:customStyle="1" w:styleId="807">
    <w:name w:val="807"/>
    <w:basedOn w:val="1068"/>
    <w:next w:val="3243"/>
    <w:uiPriority w:val="99"/>
    <w:pPr>
      <w:widowControl w:val="0"/>
      <w:ind w:leftChars="2500" w:left="100"/>
      <w:jc w:val="both"/>
    </w:pPr>
    <w:rPr>
      <w:kern w:val="2"/>
    </w:rPr>
  </w:style>
  <w:style w:type="paragraph" w:customStyle="1" w:styleId="803">
    <w:name w:val="803"/>
    <w:uiPriority w:val="99"/>
    <w:qFormat/>
    <w:rPr>
      <w:bCs/>
      <w:sz w:val="21"/>
      <w:szCs w:val="21"/>
    </w:rPr>
  </w:style>
  <w:style w:type="paragraph" w:customStyle="1" w:styleId="802">
    <w:name w:val="802"/>
    <w:basedOn w:val="803"/>
    <w:uiPriority w:val="99"/>
    <w:qFormat/>
    <w:pPr>
      <w:keepNext/>
      <w:keepLines/>
      <w:widowControl w:val="0"/>
      <w:spacing w:before="60" w:after="60" w:line="360" w:lineRule="auto"/>
      <w:jc w:val="center"/>
      <w:outlineLvl w:val="0"/>
    </w:pPr>
    <w:rPr>
      <w:rFonts w:ascii="Calibri" w:eastAsia="黑体" w:hAnsi="Calibri"/>
      <w:b/>
      <w:kern w:val="44"/>
      <w:sz w:val="28"/>
      <w:szCs w:val="44"/>
    </w:rPr>
  </w:style>
  <w:style w:type="paragraph" w:customStyle="1" w:styleId="801">
    <w:name w:val="801"/>
    <w:basedOn w:val="803"/>
    <w:uiPriority w:val="99"/>
    <w:qFormat/>
    <w:pPr>
      <w:keepNext/>
      <w:keepLines/>
      <w:widowControl w:val="0"/>
      <w:spacing w:before="60" w:after="60"/>
      <w:ind w:left="200" w:hangingChars="200" w:hanging="200"/>
      <w:jc w:val="both"/>
      <w:outlineLvl w:val="1"/>
    </w:pPr>
    <w:rPr>
      <w:rFonts w:ascii="Arial" w:hAnsi="Arial"/>
      <w:b/>
      <w:kern w:val="2"/>
    </w:rPr>
  </w:style>
  <w:style w:type="paragraph" w:customStyle="1" w:styleId="800">
    <w:name w:val="800"/>
    <w:basedOn w:val="803"/>
    <w:uiPriority w:val="9"/>
    <w:qFormat/>
    <w:pPr>
      <w:keepNext/>
      <w:keepLines/>
      <w:widowControl w:val="0"/>
      <w:spacing w:before="60" w:after="60"/>
      <w:jc w:val="both"/>
      <w:outlineLvl w:val="2"/>
    </w:pPr>
    <w:rPr>
      <w:rFonts w:ascii="Calibri" w:hAnsi="Calibri"/>
      <w:b/>
      <w:kern w:val="2"/>
      <w:szCs w:val="32"/>
    </w:rPr>
  </w:style>
  <w:style w:type="paragraph" w:customStyle="1" w:styleId="799">
    <w:name w:val="799"/>
    <w:basedOn w:val="803"/>
    <w:uiPriority w:val="9"/>
    <w:qFormat/>
    <w:pPr>
      <w:keepNext/>
      <w:keepLines/>
      <w:widowControl w:val="0"/>
      <w:spacing w:before="60" w:after="60"/>
      <w:jc w:val="both"/>
      <w:outlineLvl w:val="3"/>
    </w:pPr>
    <w:rPr>
      <w:rFonts w:ascii="Cambria" w:hAnsi="Cambria"/>
      <w:b/>
      <w:kern w:val="2"/>
      <w:szCs w:val="28"/>
    </w:rPr>
  </w:style>
  <w:style w:type="paragraph" w:customStyle="1" w:styleId="798">
    <w:name w:val="798"/>
    <w:basedOn w:val="803"/>
    <w:uiPriority w:val="9"/>
    <w:qFormat/>
    <w:pPr>
      <w:keepNext/>
      <w:keepLines/>
      <w:widowControl w:val="0"/>
      <w:spacing w:before="60" w:after="60"/>
      <w:jc w:val="both"/>
      <w:outlineLvl w:val="4"/>
    </w:pPr>
    <w:rPr>
      <w:rFonts w:ascii="Calibri" w:hAnsi="Calibri"/>
      <w:b/>
      <w:kern w:val="2"/>
      <w:szCs w:val="28"/>
    </w:rPr>
  </w:style>
  <w:style w:type="paragraph" w:customStyle="1" w:styleId="797">
    <w:name w:val="797"/>
    <w:basedOn w:val="803"/>
    <w:uiPriority w:val="9"/>
    <w:qFormat/>
    <w:pPr>
      <w:keepNext/>
      <w:keepLines/>
      <w:spacing w:before="60" w:after="60"/>
      <w:outlineLvl w:val="5"/>
    </w:pPr>
    <w:rPr>
      <w:rFonts w:ascii="Cambria" w:hAnsi="Cambria" w:cs="Times New Roman"/>
      <w:b/>
    </w:rPr>
  </w:style>
  <w:style w:type="paragraph" w:customStyle="1" w:styleId="796">
    <w:name w:val="796"/>
    <w:basedOn w:val="803"/>
    <w:uiPriority w:val="9"/>
    <w:qFormat/>
    <w:pPr>
      <w:keepNext/>
      <w:keepLines/>
      <w:spacing w:before="240" w:after="64" w:line="319" w:lineRule="auto"/>
      <w:outlineLvl w:val="6"/>
    </w:pPr>
    <w:rPr>
      <w:b/>
      <w:sz w:val="24"/>
    </w:rPr>
  </w:style>
  <w:style w:type="paragraph" w:customStyle="1" w:styleId="795">
    <w:name w:val="795"/>
    <w:basedOn w:val="803"/>
    <w:uiPriority w:val="99"/>
    <w:qFormat/>
    <w:pPr>
      <w:keepNext/>
      <w:keepLines/>
      <w:widowControl w:val="0"/>
      <w:adjustRightInd w:val="0"/>
      <w:spacing w:before="240" w:after="64" w:line="320" w:lineRule="atLeast"/>
      <w:outlineLvl w:val="7"/>
    </w:pPr>
    <w:rPr>
      <w:rFonts w:ascii="Arial" w:eastAsia="黑体" w:hAnsi="Arial"/>
      <w:color w:val="000000"/>
      <w:sz w:val="24"/>
    </w:rPr>
  </w:style>
  <w:style w:type="paragraph" w:customStyle="1" w:styleId="794">
    <w:name w:val="794"/>
    <w:basedOn w:val="803"/>
    <w:uiPriority w:val="99"/>
    <w:qFormat/>
    <w:pPr>
      <w:keepNext/>
      <w:keepLines/>
      <w:widowControl w:val="0"/>
      <w:adjustRightInd w:val="0"/>
      <w:spacing w:before="240" w:after="64" w:line="320" w:lineRule="atLeast"/>
      <w:outlineLvl w:val="8"/>
    </w:pPr>
    <w:rPr>
      <w:rFonts w:ascii="Arial" w:eastAsia="黑体" w:hAnsi="Arial"/>
      <w:color w:val="000000"/>
      <w:sz w:val="24"/>
    </w:rPr>
  </w:style>
  <w:style w:type="paragraph" w:customStyle="1" w:styleId="786">
    <w:name w:val="786"/>
    <w:basedOn w:val="802"/>
    <w:uiPriority w:val="39"/>
    <w:qFormat/>
    <w:pPr>
      <w:widowControl/>
      <w:spacing w:before="480" w:after="0" w:line="276" w:lineRule="auto"/>
      <w:outlineLvl w:val="9"/>
    </w:pPr>
    <w:rPr>
      <w:rFonts w:ascii="Cambria" w:eastAsia="宋体" w:hAnsi="Cambria"/>
      <w:color w:val="365F91"/>
      <w:kern w:val="0"/>
      <w:szCs w:val="28"/>
    </w:rPr>
  </w:style>
  <w:style w:type="paragraph" w:customStyle="1" w:styleId="785">
    <w:name w:val="785"/>
    <w:basedOn w:val="803"/>
    <w:uiPriority w:val="39"/>
    <w:qFormat/>
    <w:pPr>
      <w:widowControl w:val="0"/>
      <w:tabs>
        <w:tab w:val="left" w:pos="1260"/>
        <w:tab w:val="right" w:leader="dot" w:pos="8823"/>
      </w:tabs>
      <w:jc w:val="center"/>
    </w:pPr>
    <w:rPr>
      <w:kern w:val="2"/>
    </w:rPr>
  </w:style>
  <w:style w:type="paragraph" w:customStyle="1" w:styleId="784">
    <w:name w:val="784"/>
    <w:basedOn w:val="803"/>
    <w:uiPriority w:val="39"/>
    <w:qFormat/>
    <w:pPr>
      <w:widowControl w:val="0"/>
      <w:ind w:leftChars="200" w:left="420"/>
      <w:jc w:val="both"/>
    </w:pPr>
    <w:rPr>
      <w:kern w:val="2"/>
    </w:rPr>
  </w:style>
  <w:style w:type="paragraph" w:customStyle="1" w:styleId="781">
    <w:name w:val="781"/>
    <w:basedOn w:val="803"/>
    <w:uiPriority w:val="99"/>
    <w:qFormat/>
    <w:pPr>
      <w:widowControl w:val="0"/>
    </w:pPr>
    <w:rPr>
      <w:kern w:val="2"/>
    </w:rPr>
  </w:style>
  <w:style w:type="paragraph" w:customStyle="1" w:styleId="779">
    <w:name w:val="779"/>
    <w:basedOn w:val="803"/>
    <w:uiPriority w:val="99"/>
    <w:pPr>
      <w:widowControl w:val="0"/>
      <w:jc w:val="both"/>
    </w:pPr>
    <w:rPr>
      <w:rFonts w:ascii="Calibri" w:hAnsi="Calibri"/>
      <w:kern w:val="2"/>
      <w:sz w:val="18"/>
      <w:szCs w:val="18"/>
    </w:rPr>
  </w:style>
  <w:style w:type="paragraph" w:customStyle="1" w:styleId="777">
    <w:name w:val="777"/>
    <w:basedOn w:val="803"/>
    <w:uiPriority w:val="99"/>
    <w:pPr>
      <w:widowControl w:val="0"/>
      <w:jc w:val="both"/>
    </w:pPr>
    <w:rPr>
      <w:kern w:val="2"/>
    </w:rPr>
  </w:style>
  <w:style w:type="paragraph" w:customStyle="1" w:styleId="774">
    <w:name w:val="774"/>
    <w:basedOn w:val="803"/>
    <w:uiPriority w:val="99"/>
    <w:pPr>
      <w:spacing w:before="100" w:after="100"/>
      <w:jc w:val="right"/>
    </w:pPr>
    <w:rPr>
      <w:rFonts w:ascii="Arial Unicode MS" w:eastAsia="Arial Unicode MS"/>
      <w:sz w:val="18"/>
      <w:szCs w:val="18"/>
    </w:rPr>
  </w:style>
  <w:style w:type="paragraph" w:customStyle="1" w:styleId="773">
    <w:name w:val="773"/>
    <w:basedOn w:val="803"/>
    <w:uiPriority w:val="34"/>
    <w:qFormat/>
    <w:pPr>
      <w:widowControl w:val="0"/>
      <w:ind w:firstLineChars="200" w:firstLine="420"/>
      <w:jc w:val="both"/>
    </w:pPr>
    <w:rPr>
      <w:rFonts w:ascii="Calibri" w:hAnsi="Calibri"/>
      <w:kern w:val="2"/>
      <w:szCs w:val="22"/>
    </w:rPr>
  </w:style>
  <w:style w:type="paragraph" w:customStyle="1" w:styleId="771">
    <w:name w:val="771"/>
    <w:basedOn w:val="781"/>
    <w:uiPriority w:val="99"/>
    <w:rPr>
      <w:rFonts w:ascii="Calibri" w:hAnsi="Calibri"/>
      <w:b/>
      <w:szCs w:val="22"/>
    </w:rPr>
  </w:style>
  <w:style w:type="paragraph" w:customStyle="1" w:styleId="770">
    <w:name w:val="770"/>
    <w:basedOn w:val="803"/>
    <w:uiPriority w:val="39"/>
    <w:qFormat/>
    <w:pPr>
      <w:spacing w:after="100" w:line="276" w:lineRule="auto"/>
      <w:ind w:left="440"/>
    </w:pPr>
    <w:rPr>
      <w:rFonts w:ascii="Calibri" w:hAnsi="Calibri"/>
      <w:sz w:val="22"/>
      <w:szCs w:val="22"/>
    </w:rPr>
  </w:style>
  <w:style w:type="paragraph" w:customStyle="1" w:styleId="769">
    <w:name w:val="769"/>
    <w:basedOn w:val="803"/>
    <w:uiPriority w:val="99"/>
    <w:pPr>
      <w:widowControl w:val="0"/>
      <w:pBdr>
        <w:bottom w:val="single" w:sz="6" w:space="1" w:color="auto"/>
      </w:pBdr>
      <w:tabs>
        <w:tab w:val="center" w:pos="4153"/>
        <w:tab w:val="right" w:pos="8306"/>
      </w:tabs>
      <w:snapToGrid w:val="0"/>
      <w:jc w:val="center"/>
    </w:pPr>
    <w:rPr>
      <w:rFonts w:ascii="Calibri" w:hAnsi="Calibri"/>
      <w:kern w:val="2"/>
      <w:sz w:val="18"/>
      <w:szCs w:val="18"/>
    </w:rPr>
  </w:style>
  <w:style w:type="paragraph" w:customStyle="1" w:styleId="767">
    <w:name w:val="767"/>
    <w:basedOn w:val="803"/>
    <w:uiPriority w:val="99"/>
    <w:pPr>
      <w:widowControl w:val="0"/>
      <w:tabs>
        <w:tab w:val="center" w:pos="4153"/>
        <w:tab w:val="right" w:pos="8306"/>
      </w:tabs>
      <w:snapToGrid w:val="0"/>
    </w:pPr>
    <w:rPr>
      <w:rFonts w:ascii="Calibri" w:hAnsi="Calibri"/>
      <w:kern w:val="2"/>
      <w:sz w:val="18"/>
      <w:szCs w:val="18"/>
    </w:rPr>
  </w:style>
  <w:style w:type="paragraph" w:customStyle="1" w:styleId="765">
    <w:name w:val="765"/>
    <w:basedOn w:val="803"/>
    <w:uiPriority w:val="99"/>
    <w:pPr>
      <w:widowControl w:val="0"/>
      <w:jc w:val="both"/>
    </w:pPr>
    <w:rPr>
      <w:rFonts w:hAnsi="Courier New"/>
      <w:kern w:val="2"/>
    </w:rPr>
  </w:style>
  <w:style w:type="paragraph" w:customStyle="1" w:styleId="762">
    <w:name w:val="762"/>
    <w:basedOn w:val="803"/>
    <w:uiPriority w:val="99"/>
    <w:pPr>
      <w:widowControl w:val="0"/>
      <w:spacing w:after="120"/>
      <w:jc w:val="both"/>
    </w:pPr>
    <w:rPr>
      <w:kern w:val="2"/>
    </w:rPr>
  </w:style>
  <w:style w:type="paragraph" w:customStyle="1" w:styleId="760">
    <w:name w:val="760"/>
    <w:basedOn w:val="803"/>
    <w:uiPriority w:val="99"/>
    <w:pPr>
      <w:tabs>
        <w:tab w:val="left" w:pos="709"/>
      </w:tabs>
      <w:overflowPunct w:val="0"/>
      <w:autoSpaceDE w:val="0"/>
      <w:autoSpaceDN w:val="0"/>
      <w:adjustRightInd w:val="0"/>
      <w:jc w:val="both"/>
    </w:pPr>
    <w:rPr>
      <w:rFonts w:ascii="Helvetica-Narrow" w:hAnsi="Helvetica-Narrow"/>
      <w:lang w:val="en-AU"/>
    </w:rPr>
  </w:style>
  <w:style w:type="paragraph" w:customStyle="1" w:styleId="759">
    <w:name w:val="759"/>
    <w:basedOn w:val="803"/>
    <w:uiPriority w:val="99"/>
    <w:pPr>
      <w:widowControl w:val="0"/>
      <w:ind w:leftChars="2500" w:left="100"/>
      <w:jc w:val="both"/>
    </w:pPr>
    <w:rPr>
      <w:kern w:val="2"/>
    </w:rPr>
  </w:style>
  <w:style w:type="paragraph" w:customStyle="1" w:styleId="757">
    <w:name w:val="757"/>
    <w:basedOn w:val="803"/>
    <w:uiPriority w:val="99"/>
    <w:pPr>
      <w:widowControl w:val="0"/>
      <w:jc w:val="center"/>
    </w:pPr>
    <w:rPr>
      <w:kern w:val="2"/>
    </w:rPr>
  </w:style>
  <w:style w:type="paragraph" w:customStyle="1" w:styleId="755">
    <w:name w:val="755"/>
    <w:basedOn w:val="803"/>
    <w:uiPriority w:val="99"/>
    <w:semiHidden/>
    <w:pPr>
      <w:widowControl w:val="0"/>
      <w:spacing w:before="120"/>
      <w:jc w:val="both"/>
    </w:pPr>
    <w:rPr>
      <w:rFonts w:ascii="Arial" w:hAnsi="Arial"/>
      <w:b/>
      <w:kern w:val="2"/>
    </w:rPr>
  </w:style>
  <w:style w:type="paragraph" w:customStyle="1" w:styleId="754">
    <w:name w:val="754"/>
    <w:basedOn w:val="803"/>
    <w:uiPriority w:val="99"/>
    <w:pPr>
      <w:keepNext/>
      <w:keepLines/>
      <w:widowControl w:val="0"/>
      <w:spacing w:before="60" w:after="60"/>
      <w:ind w:hangingChars="200" w:hanging="420"/>
      <w:jc w:val="both"/>
      <w:outlineLvl w:val="4"/>
    </w:pPr>
    <w:rPr>
      <w:b/>
      <w:kern w:val="2"/>
    </w:rPr>
  </w:style>
  <w:style w:type="paragraph" w:customStyle="1" w:styleId="753">
    <w:name w:val="753"/>
    <w:uiPriority w:val="99"/>
    <w:semiHidden/>
    <w:rPr>
      <w:bCs/>
      <w:kern w:val="2"/>
      <w:sz w:val="21"/>
      <w:szCs w:val="22"/>
    </w:rPr>
  </w:style>
  <w:style w:type="paragraph" w:customStyle="1" w:styleId="751">
    <w:name w:val="751"/>
    <w:basedOn w:val="803"/>
    <w:uiPriority w:val="99"/>
    <w:qFormat/>
    <w:pPr>
      <w:widowControl w:val="0"/>
      <w:spacing w:before="100" w:after="100"/>
      <w:jc w:val="both"/>
    </w:pPr>
    <w:rPr>
      <w:rFonts w:ascii="Calibri" w:hAnsi="Calibri"/>
      <w:kern w:val="2"/>
    </w:rPr>
  </w:style>
  <w:style w:type="paragraph" w:customStyle="1" w:styleId="750">
    <w:name w:val="750"/>
    <w:basedOn w:val="803"/>
    <w:uiPriority w:val="99"/>
    <w:semiHidden/>
    <w:pPr>
      <w:widowControl w:val="0"/>
      <w:jc w:val="both"/>
    </w:pPr>
    <w:rPr>
      <w:rFonts w:hAnsi="Calibri"/>
      <w:kern w:val="2"/>
      <w:sz w:val="18"/>
      <w:szCs w:val="18"/>
    </w:rPr>
  </w:style>
  <w:style w:type="paragraph" w:customStyle="1" w:styleId="746">
    <w:name w:val="746"/>
    <w:basedOn w:val="803"/>
    <w:uiPriority w:val="10"/>
    <w:qFormat/>
    <w:pPr>
      <w:widowControl w:val="0"/>
      <w:spacing w:before="240" w:after="60"/>
      <w:jc w:val="center"/>
      <w:outlineLvl w:val="0"/>
    </w:pPr>
    <w:rPr>
      <w:rFonts w:ascii="Cambria" w:hAnsi="Cambria" w:cs="Times New Roman"/>
      <w:b/>
      <w:kern w:val="2"/>
      <w:sz w:val="32"/>
      <w:szCs w:val="32"/>
    </w:rPr>
  </w:style>
  <w:style w:type="paragraph" w:customStyle="1" w:styleId="744">
    <w:name w:val="744"/>
    <w:uiPriority w:val="1"/>
    <w:qFormat/>
    <w:pPr>
      <w:widowControl w:val="0"/>
      <w:jc w:val="both"/>
    </w:pPr>
    <w:rPr>
      <w:bCs/>
      <w:kern w:val="2"/>
      <w:sz w:val="21"/>
      <w:szCs w:val="22"/>
    </w:rPr>
  </w:style>
  <w:style w:type="paragraph" w:customStyle="1" w:styleId="743">
    <w:name w:val="743"/>
    <w:basedOn w:val="803"/>
    <w:uiPriority w:val="39"/>
    <w:pPr>
      <w:widowControl w:val="0"/>
      <w:ind w:leftChars="600" w:left="1260"/>
      <w:jc w:val="both"/>
    </w:pPr>
    <w:rPr>
      <w:rFonts w:ascii="Calibri" w:hAnsi="Calibri" w:cs="Times New Roman"/>
      <w:kern w:val="2"/>
      <w:szCs w:val="22"/>
    </w:rPr>
  </w:style>
  <w:style w:type="paragraph" w:customStyle="1" w:styleId="742">
    <w:name w:val="742"/>
    <w:basedOn w:val="803"/>
    <w:uiPriority w:val="39"/>
    <w:pPr>
      <w:widowControl w:val="0"/>
      <w:ind w:leftChars="800" w:left="1680"/>
      <w:jc w:val="both"/>
    </w:pPr>
    <w:rPr>
      <w:rFonts w:ascii="Calibri" w:hAnsi="Calibri" w:cs="Times New Roman"/>
      <w:kern w:val="2"/>
      <w:szCs w:val="22"/>
    </w:rPr>
  </w:style>
  <w:style w:type="paragraph" w:customStyle="1" w:styleId="741">
    <w:name w:val="741"/>
    <w:basedOn w:val="803"/>
    <w:uiPriority w:val="39"/>
    <w:pPr>
      <w:widowControl w:val="0"/>
      <w:ind w:leftChars="1000" w:left="2100"/>
      <w:jc w:val="both"/>
    </w:pPr>
    <w:rPr>
      <w:rFonts w:ascii="Calibri" w:hAnsi="Calibri" w:cs="Times New Roman"/>
      <w:kern w:val="2"/>
      <w:szCs w:val="22"/>
    </w:rPr>
  </w:style>
  <w:style w:type="paragraph" w:customStyle="1" w:styleId="740">
    <w:name w:val="740"/>
    <w:basedOn w:val="803"/>
    <w:uiPriority w:val="39"/>
    <w:pPr>
      <w:widowControl w:val="0"/>
      <w:ind w:leftChars="1200" w:left="2520"/>
      <w:jc w:val="both"/>
    </w:pPr>
    <w:rPr>
      <w:rFonts w:ascii="Calibri" w:hAnsi="Calibri" w:cs="Times New Roman"/>
      <w:kern w:val="2"/>
      <w:szCs w:val="22"/>
    </w:rPr>
  </w:style>
  <w:style w:type="paragraph" w:customStyle="1" w:styleId="739">
    <w:name w:val="739"/>
    <w:basedOn w:val="803"/>
    <w:uiPriority w:val="39"/>
    <w:pPr>
      <w:widowControl w:val="0"/>
      <w:ind w:leftChars="1400" w:left="2940"/>
      <w:jc w:val="both"/>
    </w:pPr>
    <w:rPr>
      <w:rFonts w:ascii="Calibri" w:hAnsi="Calibri" w:cs="Times New Roman"/>
      <w:kern w:val="2"/>
      <w:szCs w:val="22"/>
    </w:rPr>
  </w:style>
  <w:style w:type="paragraph" w:customStyle="1" w:styleId="738">
    <w:name w:val="738"/>
    <w:basedOn w:val="803"/>
    <w:uiPriority w:val="39"/>
    <w:pPr>
      <w:widowControl w:val="0"/>
      <w:ind w:leftChars="1600" w:left="3360"/>
      <w:jc w:val="both"/>
    </w:pPr>
    <w:rPr>
      <w:rFonts w:ascii="Calibri" w:hAnsi="Calibri" w:cs="Times New Roman"/>
      <w:kern w:val="2"/>
      <w:szCs w:val="22"/>
    </w:rPr>
  </w:style>
  <w:style w:type="paragraph" w:customStyle="1" w:styleId="736">
    <w:name w:val="736"/>
    <w:basedOn w:val="803"/>
    <w:uiPriority w:val="99"/>
    <w:pPr>
      <w:spacing w:before="100" w:beforeAutospacing="1" w:after="100" w:afterAutospacing="1"/>
    </w:pPr>
    <w:rPr>
      <w:sz w:val="24"/>
    </w:rPr>
  </w:style>
  <w:style w:type="paragraph" w:customStyle="1" w:styleId="735">
    <w:name w:val="735"/>
    <w:basedOn w:val="803"/>
    <w:uiPriority w:val="99"/>
    <w:semiHidden/>
    <w:pPr>
      <w:snapToGrid w:val="0"/>
    </w:pPr>
  </w:style>
  <w:style w:type="paragraph" w:customStyle="1" w:styleId="730">
    <w:name w:val="730"/>
    <w:basedOn w:val="803"/>
    <w:uiPriority w:val="99"/>
    <w:qFormat/>
    <w:pPr>
      <w:keepNext/>
      <w:keepLines/>
      <w:widowControl w:val="0"/>
      <w:spacing w:before="100" w:beforeAutospacing="1" w:after="100" w:afterAutospacing="1" w:line="412" w:lineRule="auto"/>
      <w:jc w:val="both"/>
    </w:pPr>
    <w:rPr>
      <w:b/>
      <w:kern w:val="2"/>
    </w:rPr>
  </w:style>
  <w:style w:type="paragraph" w:customStyle="1" w:styleId="726">
    <w:name w:val="726"/>
    <w:basedOn w:val="803"/>
    <w:uiPriority w:val="99"/>
    <w:semiHidden/>
    <w:pPr>
      <w:ind w:firstLineChars="200" w:firstLine="420"/>
    </w:pPr>
    <w:rPr>
      <w:color w:val="000000"/>
    </w:rPr>
  </w:style>
  <w:style w:type="paragraph" w:customStyle="1" w:styleId="724">
    <w:name w:val="724"/>
    <w:basedOn w:val="803"/>
    <w:uiPriority w:val="99"/>
    <w:pPr>
      <w:widowControl w:val="0"/>
      <w:ind w:firstLineChars="200" w:firstLine="420"/>
      <w:jc w:val="both"/>
    </w:pPr>
    <w:rPr>
      <w:kern w:val="2"/>
    </w:rPr>
  </w:style>
  <w:style w:type="paragraph" w:customStyle="1" w:styleId="723">
    <w:name w:val="723"/>
    <w:basedOn w:val="803"/>
    <w:uiPriority w:val="99"/>
    <w:pPr>
      <w:widowControl w:val="0"/>
      <w:tabs>
        <w:tab w:val="left" w:pos="1200"/>
      </w:tabs>
      <w:jc w:val="both"/>
    </w:pPr>
    <w:rPr>
      <w:kern w:val="2"/>
    </w:rPr>
  </w:style>
  <w:style w:type="paragraph" w:customStyle="1" w:styleId="721">
    <w:name w:val="721"/>
    <w:basedOn w:val="803"/>
    <w:uiPriority w:val="34"/>
    <w:qFormat/>
    <w:pPr>
      <w:widowControl w:val="0"/>
      <w:ind w:firstLineChars="200" w:firstLine="420"/>
      <w:jc w:val="both"/>
    </w:pPr>
    <w:rPr>
      <w:rFonts w:ascii="Calibri" w:hAnsi="Calibri"/>
      <w:kern w:val="2"/>
      <w:szCs w:val="22"/>
    </w:rPr>
  </w:style>
  <w:style w:type="paragraph" w:customStyle="1" w:styleId="720">
    <w:name w:val="720"/>
    <w:basedOn w:val="803"/>
    <w:uiPriority w:val="34"/>
    <w:qFormat/>
    <w:pPr>
      <w:widowControl w:val="0"/>
      <w:ind w:firstLineChars="200" w:firstLine="420"/>
      <w:jc w:val="both"/>
    </w:pPr>
    <w:rPr>
      <w:rFonts w:ascii="Calibri" w:hAnsi="Calibri"/>
      <w:kern w:val="2"/>
      <w:szCs w:val="22"/>
    </w:rPr>
  </w:style>
  <w:style w:type="paragraph" w:customStyle="1" w:styleId="718">
    <w:name w:val="718"/>
    <w:basedOn w:val="803"/>
    <w:uiPriority w:val="34"/>
    <w:qFormat/>
    <w:pPr>
      <w:widowControl w:val="0"/>
      <w:ind w:firstLineChars="200" w:firstLine="420"/>
      <w:jc w:val="both"/>
    </w:pPr>
    <w:rPr>
      <w:rFonts w:ascii="Calibri" w:hAnsi="Calibri"/>
      <w:kern w:val="2"/>
      <w:szCs w:val="22"/>
    </w:rPr>
  </w:style>
  <w:style w:type="paragraph" w:customStyle="1" w:styleId="717">
    <w:name w:val="717"/>
    <w:basedOn w:val="803"/>
    <w:uiPriority w:val="34"/>
    <w:qFormat/>
    <w:pPr>
      <w:widowControl w:val="0"/>
      <w:ind w:firstLineChars="200" w:firstLine="420"/>
      <w:jc w:val="both"/>
    </w:pPr>
    <w:rPr>
      <w:rFonts w:ascii="Calibri" w:hAnsi="Calibri"/>
      <w:kern w:val="2"/>
      <w:szCs w:val="22"/>
    </w:rPr>
  </w:style>
  <w:style w:type="paragraph" w:customStyle="1" w:styleId="716">
    <w:name w:val="716"/>
    <w:basedOn w:val="803"/>
    <w:uiPriority w:val="1"/>
    <w:qFormat/>
    <w:pPr>
      <w:widowControl w:val="0"/>
      <w:autoSpaceDE w:val="0"/>
      <w:autoSpaceDN w:val="0"/>
      <w:spacing w:after="160" w:line="256" w:lineRule="auto"/>
    </w:pPr>
    <w:rPr>
      <w:rFonts w:ascii="Noto Sans CJK JP Regular" w:eastAsia="Noto Sans CJK JP Regular" w:hAnsi="Noto Sans CJK JP Regular" w:cs="Noto Sans CJK JP Regular"/>
      <w:sz w:val="22"/>
      <w:szCs w:val="22"/>
      <w:lang w:eastAsia="en-US"/>
    </w:rPr>
  </w:style>
  <w:style w:type="paragraph" w:customStyle="1" w:styleId="713">
    <w:name w:val="713"/>
    <w:basedOn w:val="803"/>
    <w:uiPriority w:val="34"/>
    <w:qFormat/>
    <w:pPr>
      <w:widowControl w:val="0"/>
      <w:ind w:firstLineChars="200" w:firstLine="420"/>
      <w:jc w:val="both"/>
    </w:pPr>
    <w:rPr>
      <w:rFonts w:ascii="Calibri" w:hAnsi="Calibri"/>
      <w:kern w:val="2"/>
      <w:szCs w:val="22"/>
    </w:rPr>
  </w:style>
  <w:style w:type="paragraph" w:customStyle="1" w:styleId="708">
    <w:name w:val="708"/>
    <w:basedOn w:val="803"/>
    <w:uiPriority w:val="34"/>
    <w:qFormat/>
    <w:pPr>
      <w:widowControl w:val="0"/>
      <w:ind w:firstLineChars="200" w:firstLine="420"/>
      <w:jc w:val="both"/>
    </w:pPr>
    <w:rPr>
      <w:rFonts w:ascii="Calibri" w:hAnsi="Calibri"/>
      <w:kern w:val="2"/>
      <w:szCs w:val="22"/>
    </w:rPr>
  </w:style>
  <w:style w:type="paragraph" w:customStyle="1" w:styleId="703">
    <w:name w:val="703"/>
    <w:basedOn w:val="803"/>
    <w:uiPriority w:val="99"/>
    <w:pPr>
      <w:widowControl w:val="0"/>
      <w:jc w:val="both"/>
    </w:pPr>
    <w:rPr>
      <w:kern w:val="2"/>
      <w:sz w:val="24"/>
      <w:szCs w:val="24"/>
    </w:rPr>
  </w:style>
  <w:style w:type="paragraph" w:customStyle="1" w:styleId="702">
    <w:name w:val="702"/>
    <w:basedOn w:val="803"/>
    <w:uiPriority w:val="99"/>
    <w:pPr>
      <w:widowControl w:val="0"/>
      <w:tabs>
        <w:tab w:val="left" w:pos="315"/>
      </w:tabs>
      <w:ind w:left="315" w:hanging="315"/>
      <w:jc w:val="both"/>
    </w:pPr>
    <w:rPr>
      <w:kern w:val="2"/>
      <w:sz w:val="24"/>
      <w:szCs w:val="24"/>
    </w:rPr>
  </w:style>
  <w:style w:type="paragraph" w:customStyle="1" w:styleId="701">
    <w:name w:val="701"/>
    <w:basedOn w:val="803"/>
    <w:uiPriority w:val="99"/>
    <w:pPr>
      <w:widowControl w:val="0"/>
      <w:autoSpaceDE w:val="0"/>
      <w:autoSpaceDN w:val="0"/>
      <w:adjustRightInd w:val="0"/>
    </w:pPr>
    <w:rPr>
      <w:kern w:val="2"/>
      <w:sz w:val="30"/>
    </w:rPr>
  </w:style>
  <w:style w:type="paragraph" w:customStyle="1" w:styleId="695">
    <w:name w:val="695"/>
    <w:basedOn w:val="803"/>
    <w:uiPriority w:val="99"/>
    <w:qFormat/>
    <w:pPr>
      <w:keepNext/>
      <w:keepLines/>
      <w:widowControl w:val="0"/>
      <w:tabs>
        <w:tab w:val="left" w:pos="546"/>
      </w:tabs>
      <w:adjustRightInd w:val="0"/>
      <w:spacing w:before="120" w:after="120" w:line="480" w:lineRule="atLeast"/>
      <w:ind w:left="420" w:hanging="420"/>
      <w:outlineLvl w:val="1"/>
    </w:pPr>
    <w:rPr>
      <w:color w:val="000000"/>
    </w:rPr>
  </w:style>
  <w:style w:type="paragraph" w:customStyle="1" w:styleId="694">
    <w:name w:val="694"/>
    <w:basedOn w:val="803"/>
    <w:uiPriority w:val="39"/>
    <w:qFormat/>
    <w:pPr>
      <w:tabs>
        <w:tab w:val="right" w:leader="dot" w:pos="8296"/>
      </w:tabs>
      <w:ind w:leftChars="200" w:left="420"/>
      <w:jc w:val="center"/>
    </w:pPr>
    <w:rPr>
      <w:b/>
      <w:color w:val="000000"/>
      <w:sz w:val="32"/>
      <w:szCs w:val="32"/>
    </w:rPr>
  </w:style>
  <w:style w:type="paragraph" w:customStyle="1" w:styleId="693">
    <w:name w:val="693"/>
    <w:basedOn w:val="803"/>
    <w:uiPriority w:val="39"/>
    <w:qFormat/>
    <w:rPr>
      <w:color w:val="000000"/>
    </w:rPr>
  </w:style>
  <w:style w:type="paragraph" w:customStyle="1" w:styleId="692">
    <w:name w:val="692"/>
    <w:basedOn w:val="803"/>
    <w:uiPriority w:val="39"/>
    <w:qFormat/>
    <w:pPr>
      <w:spacing w:after="100" w:line="276" w:lineRule="auto"/>
      <w:ind w:left="440"/>
    </w:pPr>
    <w:rPr>
      <w:rFonts w:ascii="Calibri" w:hAnsi="Calibri"/>
      <w:sz w:val="22"/>
      <w:szCs w:val="22"/>
    </w:rPr>
  </w:style>
  <w:style w:type="paragraph" w:customStyle="1" w:styleId="691">
    <w:name w:val="691"/>
    <w:basedOn w:val="803"/>
    <w:uiPriority w:val="39"/>
    <w:pPr>
      <w:widowControl w:val="0"/>
      <w:ind w:leftChars="600" w:left="1260"/>
      <w:jc w:val="both"/>
    </w:pPr>
    <w:rPr>
      <w:rFonts w:ascii="Calibri" w:hAnsi="Calibri" w:cs="Times New Roman"/>
      <w:kern w:val="2"/>
      <w:szCs w:val="22"/>
    </w:rPr>
  </w:style>
  <w:style w:type="paragraph" w:customStyle="1" w:styleId="690">
    <w:name w:val="690"/>
    <w:basedOn w:val="803"/>
    <w:uiPriority w:val="39"/>
    <w:pPr>
      <w:widowControl w:val="0"/>
      <w:ind w:leftChars="800" w:left="1680"/>
      <w:jc w:val="both"/>
    </w:pPr>
    <w:rPr>
      <w:rFonts w:ascii="Calibri" w:hAnsi="Calibri" w:cs="Times New Roman"/>
      <w:kern w:val="2"/>
      <w:szCs w:val="22"/>
    </w:rPr>
  </w:style>
  <w:style w:type="paragraph" w:customStyle="1" w:styleId="689">
    <w:name w:val="689"/>
    <w:basedOn w:val="803"/>
    <w:uiPriority w:val="39"/>
    <w:pPr>
      <w:widowControl w:val="0"/>
      <w:ind w:leftChars="1000" w:left="2100"/>
      <w:jc w:val="both"/>
    </w:pPr>
    <w:rPr>
      <w:rFonts w:ascii="Calibri" w:hAnsi="Calibri" w:cs="Times New Roman"/>
      <w:kern w:val="2"/>
      <w:szCs w:val="22"/>
    </w:rPr>
  </w:style>
  <w:style w:type="paragraph" w:customStyle="1" w:styleId="688">
    <w:name w:val="688"/>
    <w:basedOn w:val="803"/>
    <w:uiPriority w:val="39"/>
    <w:pPr>
      <w:widowControl w:val="0"/>
      <w:ind w:leftChars="1200" w:left="2520"/>
      <w:jc w:val="both"/>
    </w:pPr>
    <w:rPr>
      <w:rFonts w:ascii="Calibri" w:hAnsi="Calibri" w:cs="Times New Roman"/>
      <w:kern w:val="2"/>
      <w:szCs w:val="22"/>
    </w:rPr>
  </w:style>
  <w:style w:type="paragraph" w:customStyle="1" w:styleId="687">
    <w:name w:val="687"/>
    <w:basedOn w:val="803"/>
    <w:uiPriority w:val="39"/>
    <w:pPr>
      <w:widowControl w:val="0"/>
      <w:ind w:leftChars="1400" w:left="2940"/>
      <w:jc w:val="both"/>
    </w:pPr>
    <w:rPr>
      <w:rFonts w:ascii="Calibri" w:hAnsi="Calibri" w:cs="Times New Roman"/>
      <w:kern w:val="2"/>
      <w:szCs w:val="22"/>
    </w:rPr>
  </w:style>
  <w:style w:type="paragraph" w:customStyle="1" w:styleId="686">
    <w:name w:val="686"/>
    <w:basedOn w:val="803"/>
    <w:uiPriority w:val="39"/>
    <w:pPr>
      <w:widowControl w:val="0"/>
      <w:ind w:leftChars="1600" w:left="3360"/>
      <w:jc w:val="both"/>
    </w:pPr>
    <w:rPr>
      <w:rFonts w:ascii="Calibri" w:hAnsi="Calibri" w:cs="Times New Roman"/>
      <w:kern w:val="2"/>
      <w:szCs w:val="22"/>
    </w:rPr>
  </w:style>
  <w:style w:type="paragraph" w:customStyle="1" w:styleId="685">
    <w:name w:val="685"/>
    <w:basedOn w:val="803"/>
    <w:uiPriority w:val="99"/>
    <w:pPr>
      <w:widowControl w:val="0"/>
      <w:tabs>
        <w:tab w:val="left" w:pos="1200"/>
      </w:tabs>
      <w:jc w:val="both"/>
    </w:pPr>
    <w:rPr>
      <w:kern w:val="2"/>
    </w:rPr>
  </w:style>
  <w:style w:type="paragraph" w:customStyle="1" w:styleId="684">
    <w:name w:val="684"/>
    <w:basedOn w:val="803"/>
    <w:uiPriority w:val="99"/>
    <w:qFormat/>
    <w:pPr>
      <w:keepNext/>
      <w:keepLines/>
      <w:widowControl w:val="0"/>
      <w:spacing w:before="100" w:beforeAutospacing="1" w:after="100" w:afterAutospacing="1" w:line="412" w:lineRule="auto"/>
      <w:jc w:val="both"/>
    </w:pPr>
    <w:rPr>
      <w:b/>
      <w:kern w:val="2"/>
      <w:szCs w:val="24"/>
    </w:rPr>
  </w:style>
  <w:style w:type="paragraph" w:customStyle="1" w:styleId="681">
    <w:name w:val="681"/>
    <w:basedOn w:val="803"/>
    <w:uiPriority w:val="34"/>
    <w:qFormat/>
    <w:pPr>
      <w:widowControl w:val="0"/>
      <w:ind w:firstLineChars="200" w:firstLine="420"/>
      <w:jc w:val="both"/>
    </w:pPr>
    <w:rPr>
      <w:rFonts w:ascii="Calibri" w:hAnsi="Calibri"/>
      <w:kern w:val="2"/>
      <w:szCs w:val="22"/>
    </w:rPr>
  </w:style>
  <w:style w:type="paragraph" w:customStyle="1" w:styleId="680">
    <w:name w:val="680"/>
    <w:basedOn w:val="803"/>
    <w:uiPriority w:val="34"/>
    <w:qFormat/>
    <w:pPr>
      <w:widowControl w:val="0"/>
      <w:ind w:firstLineChars="200" w:firstLine="420"/>
      <w:jc w:val="both"/>
    </w:pPr>
    <w:rPr>
      <w:rFonts w:ascii="Calibri" w:hAnsi="Calibri"/>
      <w:kern w:val="2"/>
      <w:szCs w:val="22"/>
    </w:rPr>
  </w:style>
  <w:style w:type="paragraph" w:customStyle="1" w:styleId="679">
    <w:name w:val="679"/>
    <w:basedOn w:val="803"/>
    <w:uiPriority w:val="34"/>
    <w:qFormat/>
    <w:pPr>
      <w:widowControl w:val="0"/>
      <w:ind w:firstLineChars="200" w:firstLine="420"/>
      <w:jc w:val="both"/>
    </w:pPr>
    <w:rPr>
      <w:rFonts w:ascii="Calibri" w:hAnsi="Calibri"/>
      <w:kern w:val="2"/>
      <w:szCs w:val="22"/>
    </w:rPr>
  </w:style>
  <w:style w:type="paragraph" w:customStyle="1" w:styleId="677">
    <w:name w:val="677"/>
    <w:basedOn w:val="803"/>
    <w:uiPriority w:val="34"/>
    <w:qFormat/>
    <w:pPr>
      <w:widowControl w:val="0"/>
      <w:ind w:firstLineChars="200" w:firstLine="420"/>
      <w:jc w:val="both"/>
    </w:pPr>
    <w:rPr>
      <w:rFonts w:ascii="Calibri" w:hAnsi="Calibri"/>
      <w:kern w:val="2"/>
      <w:szCs w:val="22"/>
    </w:rPr>
  </w:style>
  <w:style w:type="paragraph" w:customStyle="1" w:styleId="676">
    <w:name w:val="676"/>
    <w:uiPriority w:val="99"/>
    <w:qFormat/>
    <w:rPr>
      <w:bCs/>
      <w:kern w:val="2"/>
      <w:sz w:val="21"/>
      <w:szCs w:val="24"/>
    </w:rPr>
  </w:style>
  <w:style w:type="paragraph" w:customStyle="1" w:styleId="673">
    <w:name w:val="673"/>
    <w:uiPriority w:val="99"/>
    <w:qFormat/>
    <w:rPr>
      <w:bCs/>
      <w:sz w:val="21"/>
      <w:szCs w:val="24"/>
    </w:rPr>
  </w:style>
  <w:style w:type="paragraph" w:customStyle="1" w:styleId="670">
    <w:name w:val="670"/>
    <w:basedOn w:val="803"/>
    <w:uiPriority w:val="34"/>
    <w:qFormat/>
    <w:pPr>
      <w:widowControl w:val="0"/>
      <w:ind w:firstLineChars="200" w:firstLine="420"/>
      <w:jc w:val="both"/>
    </w:pPr>
    <w:rPr>
      <w:rFonts w:ascii="Calibri" w:hAnsi="Calibri"/>
      <w:kern w:val="2"/>
      <w:szCs w:val="22"/>
    </w:rPr>
  </w:style>
  <w:style w:type="paragraph" w:customStyle="1" w:styleId="669">
    <w:name w:val="669"/>
    <w:basedOn w:val="803"/>
    <w:uiPriority w:val="34"/>
    <w:qFormat/>
    <w:pPr>
      <w:widowControl w:val="0"/>
      <w:ind w:firstLineChars="200" w:firstLine="420"/>
      <w:jc w:val="both"/>
    </w:pPr>
    <w:rPr>
      <w:rFonts w:ascii="Calibri" w:hAnsi="Calibri"/>
      <w:kern w:val="2"/>
      <w:szCs w:val="22"/>
    </w:rPr>
  </w:style>
  <w:style w:type="paragraph" w:customStyle="1" w:styleId="668">
    <w:name w:val="668"/>
    <w:basedOn w:val="803"/>
    <w:uiPriority w:val="99"/>
    <w:qFormat/>
    <w:rPr>
      <w:kern w:val="2"/>
    </w:rPr>
  </w:style>
  <w:style w:type="paragraph" w:customStyle="1" w:styleId="667">
    <w:name w:val="667"/>
    <w:basedOn w:val="803"/>
    <w:uiPriority w:val="59"/>
    <w:qFormat/>
    <w:pPr>
      <w:widowControl w:val="0"/>
    </w:pPr>
    <w:rPr>
      <w:kern w:val="2"/>
    </w:rPr>
  </w:style>
  <w:style w:type="paragraph" w:customStyle="1" w:styleId="666">
    <w:name w:val="666"/>
    <w:uiPriority w:val="99"/>
    <w:qFormat/>
    <w:rPr>
      <w:bCs/>
      <w:kern w:val="2"/>
      <w:sz w:val="21"/>
      <w:szCs w:val="24"/>
    </w:rPr>
  </w:style>
  <w:style w:type="paragraph" w:customStyle="1" w:styleId="665">
    <w:name w:val="665"/>
    <w:uiPriority w:val="99"/>
    <w:qFormat/>
    <w:rPr>
      <w:bCs/>
      <w:kern w:val="2"/>
      <w:sz w:val="21"/>
      <w:szCs w:val="24"/>
    </w:rPr>
  </w:style>
  <w:style w:type="character" w:customStyle="1" w:styleId="3857">
    <w:name w:val="3857"/>
    <w:basedOn w:val="a0"/>
    <w:link w:val="664"/>
    <w:uiPriority w:val="9"/>
    <w:locked/>
    <w:rPr>
      <w:rFonts w:ascii="Cambria" w:hAnsi="Cambria"/>
      <w:b/>
      <w:kern w:val="2"/>
      <w:szCs w:val="28"/>
    </w:rPr>
  </w:style>
  <w:style w:type="paragraph" w:customStyle="1" w:styleId="664">
    <w:name w:val="664"/>
    <w:basedOn w:val="803"/>
    <w:link w:val="3857"/>
    <w:uiPriority w:val="9"/>
    <w:pPr>
      <w:widowControl w:val="0"/>
      <w:jc w:val="both"/>
    </w:pPr>
    <w:rPr>
      <w:rFonts w:ascii="Cambria" w:hAnsi="Cambria"/>
      <w:b/>
      <w:bCs w:val="0"/>
      <w:kern w:val="2"/>
      <w:szCs w:val="28"/>
    </w:rPr>
  </w:style>
  <w:style w:type="paragraph" w:customStyle="1" w:styleId="663">
    <w:name w:val="663"/>
    <w:basedOn w:val="803"/>
    <w:uiPriority w:val="99"/>
    <w:pPr>
      <w:widowControl w:val="0"/>
      <w:ind w:leftChars="2500" w:left="100"/>
      <w:jc w:val="both"/>
    </w:pPr>
    <w:rPr>
      <w:kern w:val="2"/>
    </w:rPr>
  </w:style>
  <w:style w:type="paragraph" w:customStyle="1" w:styleId="659">
    <w:name w:val="659"/>
    <w:uiPriority w:val="99"/>
    <w:qFormat/>
    <w:rPr>
      <w:bCs/>
      <w:kern w:val="2"/>
      <w:sz w:val="21"/>
      <w:szCs w:val="24"/>
    </w:rPr>
  </w:style>
  <w:style w:type="paragraph" w:customStyle="1" w:styleId="657">
    <w:name w:val="657"/>
    <w:basedOn w:val="803"/>
    <w:uiPriority w:val="99"/>
    <w:qFormat/>
    <w:pPr>
      <w:keepNext/>
      <w:keepLines/>
      <w:widowControl w:val="0"/>
      <w:spacing w:before="60" w:after="60" w:line="360" w:lineRule="auto"/>
      <w:jc w:val="center"/>
      <w:outlineLvl w:val="0"/>
    </w:pPr>
    <w:rPr>
      <w:rFonts w:ascii="Calibri" w:eastAsia="黑体" w:hAnsi="Calibri"/>
      <w:b/>
      <w:kern w:val="44"/>
      <w:sz w:val="28"/>
      <w:szCs w:val="44"/>
    </w:rPr>
  </w:style>
  <w:style w:type="paragraph" w:customStyle="1" w:styleId="656">
    <w:name w:val="656"/>
    <w:basedOn w:val="803"/>
    <w:uiPriority w:val="99"/>
    <w:qFormat/>
    <w:pPr>
      <w:keepNext/>
      <w:keepLines/>
      <w:widowControl w:val="0"/>
      <w:spacing w:before="60" w:after="60"/>
      <w:ind w:left="200" w:hangingChars="200" w:hanging="200"/>
      <w:jc w:val="both"/>
      <w:outlineLvl w:val="1"/>
    </w:pPr>
    <w:rPr>
      <w:rFonts w:ascii="Arial" w:hAnsi="Arial"/>
      <w:b/>
      <w:kern w:val="2"/>
    </w:rPr>
  </w:style>
  <w:style w:type="paragraph" w:customStyle="1" w:styleId="655">
    <w:name w:val="655"/>
    <w:basedOn w:val="803"/>
    <w:uiPriority w:val="9"/>
    <w:qFormat/>
    <w:pPr>
      <w:keepNext/>
      <w:keepLines/>
      <w:widowControl w:val="0"/>
      <w:spacing w:before="60" w:after="60"/>
      <w:jc w:val="both"/>
      <w:outlineLvl w:val="2"/>
    </w:pPr>
    <w:rPr>
      <w:rFonts w:ascii="Calibri" w:hAnsi="Calibri"/>
      <w:b/>
      <w:kern w:val="2"/>
      <w:szCs w:val="32"/>
    </w:rPr>
  </w:style>
  <w:style w:type="paragraph" w:customStyle="1" w:styleId="654">
    <w:name w:val="654"/>
    <w:basedOn w:val="803"/>
    <w:uiPriority w:val="9"/>
    <w:qFormat/>
    <w:pPr>
      <w:keepNext/>
      <w:keepLines/>
      <w:widowControl w:val="0"/>
      <w:spacing w:before="60" w:after="60"/>
      <w:jc w:val="both"/>
      <w:outlineLvl w:val="3"/>
    </w:pPr>
    <w:rPr>
      <w:rFonts w:ascii="Cambria" w:hAnsi="Cambria"/>
      <w:b/>
      <w:kern w:val="2"/>
      <w:szCs w:val="28"/>
    </w:rPr>
  </w:style>
  <w:style w:type="paragraph" w:customStyle="1" w:styleId="653">
    <w:name w:val="653"/>
    <w:basedOn w:val="803"/>
    <w:uiPriority w:val="9"/>
    <w:qFormat/>
    <w:pPr>
      <w:keepNext/>
      <w:keepLines/>
      <w:widowControl w:val="0"/>
      <w:spacing w:before="60" w:after="60"/>
      <w:jc w:val="both"/>
      <w:outlineLvl w:val="4"/>
    </w:pPr>
    <w:rPr>
      <w:rFonts w:ascii="Calibri" w:hAnsi="Calibri"/>
      <w:b/>
      <w:kern w:val="2"/>
      <w:szCs w:val="28"/>
    </w:rPr>
  </w:style>
  <w:style w:type="paragraph" w:customStyle="1" w:styleId="652">
    <w:name w:val="652"/>
    <w:basedOn w:val="803"/>
    <w:uiPriority w:val="9"/>
    <w:qFormat/>
    <w:pPr>
      <w:keepNext/>
      <w:keepLines/>
      <w:spacing w:before="60" w:after="60"/>
      <w:outlineLvl w:val="5"/>
    </w:pPr>
    <w:rPr>
      <w:rFonts w:ascii="Cambria" w:hAnsi="Cambria" w:cs="Times New Roman"/>
      <w:b/>
    </w:rPr>
  </w:style>
  <w:style w:type="paragraph" w:customStyle="1" w:styleId="651">
    <w:name w:val="651"/>
    <w:basedOn w:val="803"/>
    <w:uiPriority w:val="9"/>
    <w:qFormat/>
    <w:pPr>
      <w:keepNext/>
      <w:keepLines/>
      <w:spacing w:before="240" w:after="64" w:line="319" w:lineRule="auto"/>
      <w:outlineLvl w:val="6"/>
    </w:pPr>
    <w:rPr>
      <w:b/>
      <w:sz w:val="24"/>
    </w:rPr>
  </w:style>
  <w:style w:type="paragraph" w:customStyle="1" w:styleId="645">
    <w:name w:val="645"/>
    <w:basedOn w:val="803"/>
    <w:uiPriority w:val="39"/>
    <w:qFormat/>
    <w:pPr>
      <w:widowControl w:val="0"/>
      <w:tabs>
        <w:tab w:val="left" w:pos="1260"/>
        <w:tab w:val="right" w:leader="dot" w:pos="8823"/>
      </w:tabs>
      <w:jc w:val="center"/>
    </w:pPr>
    <w:rPr>
      <w:kern w:val="2"/>
    </w:rPr>
  </w:style>
  <w:style w:type="paragraph" w:customStyle="1" w:styleId="644">
    <w:name w:val="644"/>
    <w:basedOn w:val="803"/>
    <w:uiPriority w:val="39"/>
    <w:qFormat/>
    <w:pPr>
      <w:widowControl w:val="0"/>
      <w:ind w:leftChars="200" w:left="420"/>
      <w:jc w:val="both"/>
    </w:pPr>
    <w:rPr>
      <w:kern w:val="2"/>
    </w:rPr>
  </w:style>
  <w:style w:type="paragraph" w:customStyle="1" w:styleId="643">
    <w:name w:val="643"/>
    <w:basedOn w:val="803"/>
    <w:uiPriority w:val="99"/>
    <w:qFormat/>
    <w:pPr>
      <w:widowControl w:val="0"/>
    </w:pPr>
    <w:rPr>
      <w:kern w:val="2"/>
    </w:rPr>
  </w:style>
  <w:style w:type="paragraph" w:customStyle="1" w:styleId="641">
    <w:name w:val="641"/>
    <w:basedOn w:val="803"/>
    <w:uiPriority w:val="99"/>
    <w:pPr>
      <w:widowControl w:val="0"/>
      <w:jc w:val="both"/>
    </w:pPr>
    <w:rPr>
      <w:rFonts w:ascii="Calibri" w:hAnsi="Calibri"/>
      <w:kern w:val="2"/>
      <w:sz w:val="18"/>
      <w:szCs w:val="18"/>
    </w:rPr>
  </w:style>
  <w:style w:type="paragraph" w:customStyle="1" w:styleId="639">
    <w:name w:val="639"/>
    <w:basedOn w:val="803"/>
    <w:uiPriority w:val="99"/>
    <w:pPr>
      <w:widowControl w:val="0"/>
      <w:jc w:val="both"/>
    </w:pPr>
    <w:rPr>
      <w:kern w:val="2"/>
    </w:rPr>
  </w:style>
  <w:style w:type="paragraph" w:customStyle="1" w:styleId="637">
    <w:name w:val="637"/>
    <w:basedOn w:val="803"/>
    <w:uiPriority w:val="34"/>
    <w:qFormat/>
    <w:pPr>
      <w:widowControl w:val="0"/>
      <w:ind w:firstLineChars="200" w:firstLine="420"/>
      <w:jc w:val="both"/>
    </w:pPr>
    <w:rPr>
      <w:rFonts w:ascii="Calibri" w:hAnsi="Calibri"/>
      <w:kern w:val="2"/>
      <w:szCs w:val="22"/>
    </w:rPr>
  </w:style>
  <w:style w:type="paragraph" w:customStyle="1" w:styleId="635">
    <w:name w:val="635"/>
    <w:basedOn w:val="643"/>
    <w:uiPriority w:val="99"/>
    <w:rPr>
      <w:rFonts w:ascii="Calibri" w:hAnsi="Calibri"/>
      <w:b/>
      <w:szCs w:val="22"/>
    </w:rPr>
  </w:style>
  <w:style w:type="paragraph" w:customStyle="1" w:styleId="634">
    <w:name w:val="634"/>
    <w:basedOn w:val="803"/>
    <w:uiPriority w:val="39"/>
    <w:qFormat/>
    <w:pPr>
      <w:spacing w:after="100" w:line="276" w:lineRule="auto"/>
      <w:ind w:left="440"/>
    </w:pPr>
    <w:rPr>
      <w:rFonts w:ascii="Calibri" w:hAnsi="Calibri"/>
      <w:sz w:val="22"/>
      <w:szCs w:val="22"/>
    </w:rPr>
  </w:style>
  <w:style w:type="paragraph" w:customStyle="1" w:styleId="633">
    <w:name w:val="633"/>
    <w:basedOn w:val="803"/>
    <w:uiPriority w:val="99"/>
    <w:pPr>
      <w:widowControl w:val="0"/>
      <w:pBdr>
        <w:bottom w:val="single" w:sz="6" w:space="1" w:color="auto"/>
      </w:pBdr>
      <w:tabs>
        <w:tab w:val="center" w:pos="4153"/>
        <w:tab w:val="right" w:pos="8306"/>
      </w:tabs>
      <w:snapToGrid w:val="0"/>
      <w:jc w:val="center"/>
    </w:pPr>
    <w:rPr>
      <w:rFonts w:ascii="Calibri" w:hAnsi="Calibri"/>
      <w:kern w:val="2"/>
      <w:sz w:val="18"/>
      <w:szCs w:val="18"/>
    </w:rPr>
  </w:style>
  <w:style w:type="paragraph" w:customStyle="1" w:styleId="631">
    <w:name w:val="631"/>
    <w:basedOn w:val="803"/>
    <w:uiPriority w:val="99"/>
    <w:pPr>
      <w:widowControl w:val="0"/>
      <w:tabs>
        <w:tab w:val="center" w:pos="4153"/>
        <w:tab w:val="right" w:pos="8306"/>
      </w:tabs>
      <w:snapToGrid w:val="0"/>
    </w:pPr>
    <w:rPr>
      <w:rFonts w:ascii="Calibri" w:hAnsi="Calibri"/>
      <w:kern w:val="2"/>
      <w:sz w:val="18"/>
      <w:szCs w:val="18"/>
    </w:rPr>
  </w:style>
  <w:style w:type="paragraph" w:customStyle="1" w:styleId="629">
    <w:name w:val="629"/>
    <w:basedOn w:val="803"/>
    <w:uiPriority w:val="99"/>
    <w:pPr>
      <w:widowControl w:val="0"/>
      <w:jc w:val="both"/>
    </w:pPr>
    <w:rPr>
      <w:rFonts w:hAnsi="Courier New"/>
      <w:kern w:val="2"/>
    </w:rPr>
  </w:style>
  <w:style w:type="paragraph" w:customStyle="1" w:styleId="627">
    <w:name w:val="627"/>
    <w:basedOn w:val="803"/>
    <w:uiPriority w:val="99"/>
    <w:pPr>
      <w:widowControl w:val="0"/>
      <w:spacing w:after="120"/>
      <w:jc w:val="both"/>
    </w:pPr>
    <w:rPr>
      <w:kern w:val="2"/>
    </w:rPr>
  </w:style>
  <w:style w:type="paragraph" w:customStyle="1" w:styleId="625">
    <w:name w:val="625"/>
    <w:basedOn w:val="803"/>
    <w:uiPriority w:val="99"/>
    <w:pPr>
      <w:widowControl w:val="0"/>
      <w:ind w:leftChars="2500" w:left="100"/>
      <w:jc w:val="both"/>
    </w:pPr>
    <w:rPr>
      <w:kern w:val="2"/>
    </w:rPr>
  </w:style>
  <w:style w:type="paragraph" w:customStyle="1" w:styleId="623">
    <w:name w:val="623"/>
    <w:basedOn w:val="803"/>
    <w:uiPriority w:val="99"/>
    <w:pPr>
      <w:widowControl w:val="0"/>
      <w:jc w:val="center"/>
    </w:pPr>
    <w:rPr>
      <w:kern w:val="2"/>
    </w:rPr>
  </w:style>
  <w:style w:type="paragraph" w:customStyle="1" w:styleId="621">
    <w:name w:val="621"/>
    <w:basedOn w:val="803"/>
    <w:uiPriority w:val="99"/>
    <w:semiHidden/>
    <w:pPr>
      <w:widowControl w:val="0"/>
      <w:spacing w:before="120"/>
      <w:jc w:val="both"/>
    </w:pPr>
    <w:rPr>
      <w:rFonts w:ascii="Arial" w:hAnsi="Arial"/>
      <w:b/>
      <w:kern w:val="2"/>
    </w:rPr>
  </w:style>
  <w:style w:type="paragraph" w:customStyle="1" w:styleId="620">
    <w:name w:val="620"/>
    <w:basedOn w:val="803"/>
    <w:uiPriority w:val="99"/>
    <w:pPr>
      <w:keepNext/>
      <w:keepLines/>
      <w:widowControl w:val="0"/>
      <w:spacing w:before="60" w:after="60"/>
      <w:ind w:hangingChars="200" w:hanging="420"/>
      <w:jc w:val="both"/>
      <w:outlineLvl w:val="4"/>
    </w:pPr>
    <w:rPr>
      <w:b/>
      <w:kern w:val="2"/>
    </w:rPr>
  </w:style>
  <w:style w:type="paragraph" w:customStyle="1" w:styleId="619">
    <w:name w:val="619"/>
    <w:uiPriority w:val="99"/>
    <w:semiHidden/>
    <w:rPr>
      <w:bCs/>
      <w:kern w:val="2"/>
      <w:sz w:val="21"/>
      <w:szCs w:val="22"/>
    </w:rPr>
  </w:style>
  <w:style w:type="paragraph" w:customStyle="1" w:styleId="617">
    <w:name w:val="617"/>
    <w:basedOn w:val="803"/>
    <w:uiPriority w:val="99"/>
    <w:qFormat/>
    <w:pPr>
      <w:widowControl w:val="0"/>
      <w:spacing w:before="100" w:after="100"/>
      <w:jc w:val="both"/>
    </w:pPr>
    <w:rPr>
      <w:rFonts w:ascii="Calibri" w:hAnsi="Calibri"/>
      <w:kern w:val="2"/>
    </w:rPr>
  </w:style>
  <w:style w:type="paragraph" w:customStyle="1" w:styleId="616">
    <w:name w:val="616"/>
    <w:basedOn w:val="803"/>
    <w:uiPriority w:val="99"/>
    <w:semiHidden/>
    <w:pPr>
      <w:widowControl w:val="0"/>
      <w:jc w:val="both"/>
    </w:pPr>
    <w:rPr>
      <w:rFonts w:hAnsi="Calibri"/>
      <w:kern w:val="2"/>
      <w:sz w:val="18"/>
      <w:szCs w:val="18"/>
    </w:rPr>
  </w:style>
  <w:style w:type="paragraph" w:customStyle="1" w:styleId="613">
    <w:name w:val="613"/>
    <w:basedOn w:val="803"/>
    <w:uiPriority w:val="10"/>
    <w:qFormat/>
    <w:pPr>
      <w:widowControl w:val="0"/>
      <w:spacing w:before="240" w:after="60"/>
      <w:jc w:val="center"/>
      <w:outlineLvl w:val="0"/>
    </w:pPr>
    <w:rPr>
      <w:rFonts w:ascii="Cambria" w:hAnsi="Cambria" w:cs="Times New Roman"/>
      <w:b/>
      <w:kern w:val="2"/>
      <w:sz w:val="32"/>
      <w:szCs w:val="32"/>
    </w:rPr>
  </w:style>
  <w:style w:type="paragraph" w:customStyle="1" w:styleId="611">
    <w:name w:val="611"/>
    <w:uiPriority w:val="1"/>
    <w:qFormat/>
    <w:pPr>
      <w:widowControl w:val="0"/>
      <w:jc w:val="both"/>
    </w:pPr>
    <w:rPr>
      <w:bCs/>
      <w:kern w:val="2"/>
      <w:sz w:val="21"/>
      <w:szCs w:val="22"/>
    </w:rPr>
  </w:style>
  <w:style w:type="paragraph" w:customStyle="1" w:styleId="610">
    <w:name w:val="610"/>
    <w:basedOn w:val="803"/>
    <w:uiPriority w:val="39"/>
    <w:pPr>
      <w:widowControl w:val="0"/>
      <w:ind w:leftChars="600" w:left="1260"/>
      <w:jc w:val="both"/>
    </w:pPr>
    <w:rPr>
      <w:rFonts w:ascii="Calibri" w:hAnsi="Calibri" w:cs="Times New Roman"/>
      <w:kern w:val="2"/>
      <w:szCs w:val="22"/>
    </w:rPr>
  </w:style>
  <w:style w:type="paragraph" w:customStyle="1" w:styleId="609">
    <w:name w:val="609"/>
    <w:basedOn w:val="803"/>
    <w:uiPriority w:val="39"/>
    <w:pPr>
      <w:widowControl w:val="0"/>
      <w:ind w:leftChars="800" w:left="1680"/>
      <w:jc w:val="both"/>
    </w:pPr>
    <w:rPr>
      <w:rFonts w:ascii="Calibri" w:hAnsi="Calibri" w:cs="Times New Roman"/>
      <w:kern w:val="2"/>
      <w:szCs w:val="22"/>
    </w:rPr>
  </w:style>
  <w:style w:type="paragraph" w:customStyle="1" w:styleId="608">
    <w:name w:val="608"/>
    <w:basedOn w:val="803"/>
    <w:uiPriority w:val="39"/>
    <w:pPr>
      <w:widowControl w:val="0"/>
      <w:ind w:leftChars="1000" w:left="2100"/>
      <w:jc w:val="both"/>
    </w:pPr>
    <w:rPr>
      <w:rFonts w:ascii="Calibri" w:hAnsi="Calibri" w:cs="Times New Roman"/>
      <w:kern w:val="2"/>
      <w:szCs w:val="22"/>
    </w:rPr>
  </w:style>
  <w:style w:type="paragraph" w:customStyle="1" w:styleId="607">
    <w:name w:val="607"/>
    <w:basedOn w:val="803"/>
    <w:uiPriority w:val="39"/>
    <w:pPr>
      <w:widowControl w:val="0"/>
      <w:ind w:leftChars="1200" w:left="2520"/>
      <w:jc w:val="both"/>
    </w:pPr>
    <w:rPr>
      <w:rFonts w:ascii="Calibri" w:hAnsi="Calibri" w:cs="Times New Roman"/>
      <w:kern w:val="2"/>
      <w:szCs w:val="22"/>
    </w:rPr>
  </w:style>
  <w:style w:type="paragraph" w:customStyle="1" w:styleId="606">
    <w:name w:val="606"/>
    <w:basedOn w:val="803"/>
    <w:uiPriority w:val="39"/>
    <w:pPr>
      <w:widowControl w:val="0"/>
      <w:ind w:leftChars="1400" w:left="2940"/>
      <w:jc w:val="both"/>
    </w:pPr>
    <w:rPr>
      <w:rFonts w:ascii="Calibri" w:hAnsi="Calibri" w:cs="Times New Roman"/>
      <w:kern w:val="2"/>
      <w:szCs w:val="22"/>
    </w:rPr>
  </w:style>
  <w:style w:type="paragraph" w:customStyle="1" w:styleId="605">
    <w:name w:val="605"/>
    <w:basedOn w:val="803"/>
    <w:uiPriority w:val="39"/>
    <w:pPr>
      <w:widowControl w:val="0"/>
      <w:ind w:leftChars="1600" w:left="3360"/>
      <w:jc w:val="both"/>
    </w:pPr>
    <w:rPr>
      <w:rFonts w:ascii="Calibri" w:hAnsi="Calibri" w:cs="Times New Roman"/>
      <w:kern w:val="2"/>
      <w:szCs w:val="22"/>
    </w:rPr>
  </w:style>
  <w:style w:type="paragraph" w:customStyle="1" w:styleId="603">
    <w:name w:val="603"/>
    <w:basedOn w:val="803"/>
    <w:uiPriority w:val="99"/>
    <w:pPr>
      <w:spacing w:before="100" w:beforeAutospacing="1" w:after="100" w:afterAutospacing="1"/>
    </w:pPr>
    <w:rPr>
      <w:sz w:val="24"/>
    </w:rPr>
  </w:style>
  <w:style w:type="paragraph" w:customStyle="1" w:styleId="602">
    <w:name w:val="602"/>
    <w:basedOn w:val="803"/>
    <w:uiPriority w:val="99"/>
    <w:semiHidden/>
    <w:pPr>
      <w:snapToGrid w:val="0"/>
    </w:pPr>
  </w:style>
  <w:style w:type="paragraph" w:customStyle="1" w:styleId="596">
    <w:name w:val="596"/>
    <w:basedOn w:val="803"/>
    <w:uiPriority w:val="99"/>
    <w:pPr>
      <w:widowControl w:val="0"/>
      <w:ind w:firstLineChars="200" w:firstLine="420"/>
      <w:jc w:val="both"/>
    </w:pPr>
    <w:rPr>
      <w:kern w:val="2"/>
    </w:rPr>
  </w:style>
  <w:style w:type="paragraph" w:customStyle="1" w:styleId="595">
    <w:name w:val="595"/>
    <w:basedOn w:val="803"/>
    <w:uiPriority w:val="99"/>
    <w:pPr>
      <w:widowControl w:val="0"/>
      <w:tabs>
        <w:tab w:val="left" w:pos="1200"/>
      </w:tabs>
      <w:jc w:val="both"/>
    </w:pPr>
    <w:rPr>
      <w:kern w:val="2"/>
    </w:rPr>
  </w:style>
  <w:style w:type="paragraph" w:customStyle="1" w:styleId="594">
    <w:name w:val="594"/>
    <w:basedOn w:val="803"/>
    <w:uiPriority w:val="34"/>
    <w:qFormat/>
    <w:pPr>
      <w:widowControl w:val="0"/>
      <w:ind w:firstLineChars="200" w:firstLine="420"/>
      <w:jc w:val="both"/>
    </w:pPr>
    <w:rPr>
      <w:rFonts w:ascii="Calibri" w:hAnsi="Calibri"/>
      <w:kern w:val="2"/>
      <w:szCs w:val="22"/>
    </w:rPr>
  </w:style>
  <w:style w:type="paragraph" w:customStyle="1" w:styleId="593">
    <w:name w:val="593"/>
    <w:basedOn w:val="803"/>
    <w:uiPriority w:val="34"/>
    <w:qFormat/>
    <w:pPr>
      <w:widowControl w:val="0"/>
      <w:ind w:firstLineChars="200" w:firstLine="420"/>
      <w:jc w:val="both"/>
    </w:pPr>
    <w:rPr>
      <w:rFonts w:ascii="Calibri" w:hAnsi="Calibri"/>
      <w:kern w:val="2"/>
      <w:szCs w:val="22"/>
    </w:rPr>
  </w:style>
  <w:style w:type="paragraph" w:customStyle="1" w:styleId="592">
    <w:name w:val="592"/>
    <w:basedOn w:val="803"/>
    <w:uiPriority w:val="34"/>
    <w:qFormat/>
    <w:pPr>
      <w:widowControl w:val="0"/>
      <w:ind w:firstLineChars="200" w:firstLine="420"/>
      <w:jc w:val="both"/>
    </w:pPr>
    <w:rPr>
      <w:rFonts w:ascii="Calibri" w:hAnsi="Calibri"/>
      <w:kern w:val="2"/>
      <w:szCs w:val="22"/>
    </w:rPr>
  </w:style>
  <w:style w:type="paragraph" w:customStyle="1" w:styleId="591">
    <w:name w:val="591"/>
    <w:basedOn w:val="803"/>
    <w:uiPriority w:val="34"/>
    <w:qFormat/>
    <w:pPr>
      <w:widowControl w:val="0"/>
      <w:ind w:firstLineChars="200" w:firstLine="420"/>
      <w:jc w:val="both"/>
    </w:pPr>
    <w:rPr>
      <w:rFonts w:ascii="Calibri" w:hAnsi="Calibri"/>
      <w:kern w:val="2"/>
      <w:szCs w:val="22"/>
    </w:rPr>
  </w:style>
  <w:style w:type="paragraph" w:customStyle="1" w:styleId="590">
    <w:name w:val="590"/>
    <w:basedOn w:val="803"/>
    <w:uiPriority w:val="34"/>
    <w:qFormat/>
    <w:pPr>
      <w:widowControl w:val="0"/>
      <w:ind w:firstLineChars="200" w:firstLine="420"/>
      <w:jc w:val="both"/>
    </w:pPr>
    <w:rPr>
      <w:rFonts w:ascii="Calibri" w:hAnsi="Calibri"/>
      <w:kern w:val="2"/>
      <w:szCs w:val="22"/>
    </w:rPr>
  </w:style>
  <w:style w:type="paragraph" w:customStyle="1" w:styleId="588">
    <w:name w:val="588"/>
    <w:basedOn w:val="803"/>
    <w:uiPriority w:val="34"/>
    <w:qFormat/>
    <w:pPr>
      <w:widowControl w:val="0"/>
      <w:ind w:firstLineChars="200" w:firstLine="420"/>
      <w:jc w:val="both"/>
    </w:pPr>
    <w:rPr>
      <w:rFonts w:ascii="Calibri" w:hAnsi="Calibri"/>
      <w:kern w:val="2"/>
      <w:szCs w:val="22"/>
    </w:rPr>
  </w:style>
  <w:style w:type="paragraph" w:customStyle="1" w:styleId="586">
    <w:name w:val="586"/>
    <w:uiPriority w:val="99"/>
    <w:qFormat/>
    <w:rPr>
      <w:bCs/>
      <w:sz w:val="21"/>
      <w:szCs w:val="24"/>
    </w:rPr>
  </w:style>
  <w:style w:type="paragraph" w:customStyle="1" w:styleId="585">
    <w:name w:val="585"/>
    <w:uiPriority w:val="99"/>
    <w:pPr>
      <w:widowControl w:val="0"/>
      <w:autoSpaceDE w:val="0"/>
      <w:autoSpaceDN w:val="0"/>
      <w:adjustRightInd w:val="0"/>
    </w:pPr>
    <w:rPr>
      <w:rFonts w:ascii="黑体" w:eastAsia="黑体" w:cs="黑体"/>
      <w:bCs/>
      <w:color w:val="000000"/>
      <w:sz w:val="24"/>
      <w:szCs w:val="24"/>
    </w:rPr>
  </w:style>
  <w:style w:type="paragraph" w:customStyle="1" w:styleId="584">
    <w:name w:val="584"/>
    <w:basedOn w:val="803"/>
    <w:uiPriority w:val="99"/>
    <w:pPr>
      <w:widowControl w:val="0"/>
      <w:jc w:val="both"/>
    </w:pPr>
    <w:rPr>
      <w:rFonts w:ascii="Calibri" w:hAnsi="Calibri"/>
      <w:kern w:val="2"/>
      <w:sz w:val="18"/>
      <w:szCs w:val="18"/>
    </w:rPr>
  </w:style>
  <w:style w:type="paragraph" w:customStyle="1" w:styleId="582">
    <w:name w:val="582"/>
    <w:basedOn w:val="803"/>
    <w:uiPriority w:val="99"/>
    <w:pPr>
      <w:widowControl w:val="0"/>
      <w:jc w:val="both"/>
    </w:pPr>
    <w:rPr>
      <w:kern w:val="2"/>
    </w:rPr>
  </w:style>
  <w:style w:type="paragraph" w:customStyle="1" w:styleId="580">
    <w:name w:val="580"/>
    <w:basedOn w:val="803"/>
    <w:uiPriority w:val="34"/>
    <w:qFormat/>
    <w:pPr>
      <w:widowControl w:val="0"/>
      <w:ind w:firstLineChars="200" w:firstLine="420"/>
      <w:jc w:val="both"/>
    </w:pPr>
    <w:rPr>
      <w:rFonts w:ascii="Calibri" w:hAnsi="Calibri"/>
      <w:kern w:val="2"/>
      <w:szCs w:val="22"/>
    </w:rPr>
  </w:style>
  <w:style w:type="paragraph" w:customStyle="1" w:styleId="578">
    <w:name w:val="578"/>
    <w:basedOn w:val="781"/>
    <w:uiPriority w:val="99"/>
    <w:rPr>
      <w:rFonts w:ascii="Calibri" w:hAnsi="Calibri"/>
      <w:b/>
      <w:szCs w:val="22"/>
    </w:rPr>
  </w:style>
  <w:style w:type="paragraph" w:customStyle="1" w:styleId="577">
    <w:name w:val="577"/>
    <w:basedOn w:val="803"/>
    <w:uiPriority w:val="99"/>
    <w:pPr>
      <w:widowControl w:val="0"/>
      <w:pBdr>
        <w:bottom w:val="single" w:sz="6" w:space="1" w:color="auto"/>
      </w:pBdr>
      <w:tabs>
        <w:tab w:val="center" w:pos="4153"/>
        <w:tab w:val="right" w:pos="8306"/>
      </w:tabs>
      <w:snapToGrid w:val="0"/>
      <w:jc w:val="center"/>
    </w:pPr>
    <w:rPr>
      <w:rFonts w:ascii="Calibri" w:hAnsi="Calibri"/>
      <w:kern w:val="2"/>
      <w:sz w:val="18"/>
      <w:szCs w:val="18"/>
    </w:rPr>
  </w:style>
  <w:style w:type="paragraph" w:customStyle="1" w:styleId="575">
    <w:name w:val="575"/>
    <w:basedOn w:val="803"/>
    <w:uiPriority w:val="99"/>
    <w:pPr>
      <w:widowControl w:val="0"/>
      <w:tabs>
        <w:tab w:val="center" w:pos="4153"/>
        <w:tab w:val="right" w:pos="8306"/>
      </w:tabs>
      <w:snapToGrid w:val="0"/>
    </w:pPr>
    <w:rPr>
      <w:rFonts w:ascii="Calibri" w:hAnsi="Calibri"/>
      <w:kern w:val="2"/>
      <w:sz w:val="18"/>
      <w:szCs w:val="18"/>
    </w:rPr>
  </w:style>
  <w:style w:type="paragraph" w:customStyle="1" w:styleId="573">
    <w:name w:val="573"/>
    <w:basedOn w:val="803"/>
    <w:uiPriority w:val="99"/>
    <w:pPr>
      <w:widowControl w:val="0"/>
      <w:jc w:val="both"/>
    </w:pPr>
    <w:rPr>
      <w:rFonts w:hAnsi="Courier New"/>
      <w:kern w:val="2"/>
    </w:rPr>
  </w:style>
  <w:style w:type="paragraph" w:customStyle="1" w:styleId="571">
    <w:name w:val="571"/>
    <w:basedOn w:val="803"/>
    <w:uiPriority w:val="99"/>
    <w:pPr>
      <w:widowControl w:val="0"/>
      <w:spacing w:after="120"/>
      <w:jc w:val="both"/>
    </w:pPr>
    <w:rPr>
      <w:kern w:val="2"/>
    </w:rPr>
  </w:style>
  <w:style w:type="paragraph" w:customStyle="1" w:styleId="569">
    <w:name w:val="569"/>
    <w:basedOn w:val="803"/>
    <w:uiPriority w:val="99"/>
    <w:pPr>
      <w:widowControl w:val="0"/>
      <w:ind w:leftChars="2500" w:left="100"/>
      <w:jc w:val="both"/>
    </w:pPr>
    <w:rPr>
      <w:kern w:val="2"/>
    </w:rPr>
  </w:style>
  <w:style w:type="paragraph" w:customStyle="1" w:styleId="567">
    <w:name w:val="567"/>
    <w:basedOn w:val="803"/>
    <w:uiPriority w:val="99"/>
    <w:pPr>
      <w:widowControl w:val="0"/>
      <w:jc w:val="center"/>
    </w:pPr>
    <w:rPr>
      <w:kern w:val="2"/>
    </w:rPr>
  </w:style>
  <w:style w:type="paragraph" w:customStyle="1" w:styleId="565">
    <w:name w:val="565"/>
    <w:basedOn w:val="803"/>
    <w:uiPriority w:val="99"/>
    <w:semiHidden/>
    <w:pPr>
      <w:widowControl w:val="0"/>
      <w:spacing w:before="120"/>
      <w:jc w:val="both"/>
    </w:pPr>
    <w:rPr>
      <w:rFonts w:ascii="Arial" w:hAnsi="Arial"/>
      <w:b/>
      <w:kern w:val="2"/>
    </w:rPr>
  </w:style>
  <w:style w:type="paragraph" w:customStyle="1" w:styleId="564">
    <w:name w:val="564"/>
    <w:uiPriority w:val="99"/>
    <w:semiHidden/>
    <w:rPr>
      <w:bCs/>
      <w:kern w:val="2"/>
      <w:sz w:val="21"/>
      <w:szCs w:val="22"/>
    </w:rPr>
  </w:style>
  <w:style w:type="paragraph" w:customStyle="1" w:styleId="562">
    <w:name w:val="562"/>
    <w:basedOn w:val="803"/>
    <w:uiPriority w:val="99"/>
    <w:qFormat/>
    <w:pPr>
      <w:widowControl w:val="0"/>
      <w:spacing w:before="100" w:after="100"/>
      <w:jc w:val="both"/>
    </w:pPr>
    <w:rPr>
      <w:rFonts w:ascii="Calibri" w:hAnsi="Calibri"/>
      <w:kern w:val="2"/>
    </w:rPr>
  </w:style>
  <w:style w:type="paragraph" w:customStyle="1" w:styleId="561">
    <w:name w:val="561"/>
    <w:basedOn w:val="803"/>
    <w:uiPriority w:val="99"/>
    <w:semiHidden/>
    <w:pPr>
      <w:widowControl w:val="0"/>
      <w:jc w:val="both"/>
    </w:pPr>
    <w:rPr>
      <w:rFonts w:hAnsi="Calibri"/>
      <w:kern w:val="2"/>
      <w:sz w:val="18"/>
      <w:szCs w:val="18"/>
    </w:rPr>
  </w:style>
  <w:style w:type="paragraph" w:customStyle="1" w:styleId="557">
    <w:name w:val="557"/>
    <w:basedOn w:val="803"/>
    <w:uiPriority w:val="10"/>
    <w:qFormat/>
    <w:pPr>
      <w:widowControl w:val="0"/>
      <w:spacing w:before="240" w:after="60"/>
      <w:jc w:val="center"/>
      <w:outlineLvl w:val="0"/>
    </w:pPr>
    <w:rPr>
      <w:rFonts w:ascii="Cambria" w:hAnsi="Cambria" w:cs="Times New Roman"/>
      <w:b/>
      <w:kern w:val="2"/>
      <w:sz w:val="32"/>
      <w:szCs w:val="32"/>
    </w:rPr>
  </w:style>
  <w:style w:type="paragraph" w:customStyle="1" w:styleId="555">
    <w:name w:val="555"/>
    <w:uiPriority w:val="1"/>
    <w:qFormat/>
    <w:pPr>
      <w:widowControl w:val="0"/>
      <w:jc w:val="both"/>
    </w:pPr>
    <w:rPr>
      <w:bCs/>
      <w:kern w:val="2"/>
      <w:sz w:val="21"/>
      <w:szCs w:val="22"/>
    </w:rPr>
  </w:style>
  <w:style w:type="paragraph" w:customStyle="1" w:styleId="554">
    <w:name w:val="554"/>
    <w:basedOn w:val="803"/>
    <w:uiPriority w:val="99"/>
    <w:pPr>
      <w:spacing w:before="100" w:beforeAutospacing="1" w:after="100" w:afterAutospacing="1"/>
    </w:pPr>
    <w:rPr>
      <w:sz w:val="24"/>
    </w:rPr>
  </w:style>
  <w:style w:type="paragraph" w:customStyle="1" w:styleId="553">
    <w:name w:val="553"/>
    <w:basedOn w:val="803"/>
    <w:uiPriority w:val="99"/>
    <w:semiHidden/>
    <w:pPr>
      <w:snapToGrid w:val="0"/>
    </w:pPr>
  </w:style>
  <w:style w:type="paragraph" w:customStyle="1" w:styleId="548">
    <w:name w:val="548"/>
    <w:basedOn w:val="803"/>
    <w:uiPriority w:val="99"/>
    <w:semiHidden/>
    <w:pPr>
      <w:ind w:firstLineChars="200" w:firstLine="420"/>
    </w:pPr>
    <w:rPr>
      <w:color w:val="000000"/>
    </w:rPr>
  </w:style>
  <w:style w:type="paragraph" w:customStyle="1" w:styleId="547">
    <w:name w:val="547"/>
    <w:basedOn w:val="803"/>
    <w:uiPriority w:val="99"/>
    <w:pPr>
      <w:widowControl w:val="0"/>
      <w:ind w:firstLineChars="200" w:firstLine="420"/>
      <w:jc w:val="both"/>
    </w:pPr>
    <w:rPr>
      <w:kern w:val="2"/>
    </w:rPr>
  </w:style>
  <w:style w:type="paragraph" w:customStyle="1" w:styleId="546">
    <w:name w:val="546"/>
    <w:basedOn w:val="803"/>
    <w:uiPriority w:val="34"/>
    <w:qFormat/>
    <w:pPr>
      <w:widowControl w:val="0"/>
      <w:ind w:firstLineChars="200" w:firstLine="420"/>
      <w:jc w:val="both"/>
    </w:pPr>
    <w:rPr>
      <w:rFonts w:ascii="Calibri" w:hAnsi="Calibri"/>
      <w:kern w:val="2"/>
      <w:szCs w:val="22"/>
    </w:rPr>
  </w:style>
  <w:style w:type="paragraph" w:customStyle="1" w:styleId="545">
    <w:name w:val="545"/>
    <w:basedOn w:val="803"/>
    <w:uiPriority w:val="34"/>
    <w:qFormat/>
    <w:pPr>
      <w:widowControl w:val="0"/>
      <w:ind w:firstLineChars="200" w:firstLine="420"/>
      <w:jc w:val="both"/>
    </w:pPr>
    <w:rPr>
      <w:rFonts w:ascii="Calibri" w:hAnsi="Calibri"/>
      <w:kern w:val="2"/>
      <w:szCs w:val="22"/>
    </w:rPr>
  </w:style>
  <w:style w:type="paragraph" w:customStyle="1" w:styleId="544">
    <w:name w:val="544"/>
    <w:basedOn w:val="803"/>
    <w:uiPriority w:val="34"/>
    <w:qFormat/>
    <w:pPr>
      <w:widowControl w:val="0"/>
      <w:ind w:firstLineChars="200" w:firstLine="420"/>
      <w:jc w:val="both"/>
    </w:pPr>
    <w:rPr>
      <w:rFonts w:ascii="Calibri" w:hAnsi="Calibri"/>
      <w:kern w:val="2"/>
      <w:szCs w:val="22"/>
    </w:rPr>
  </w:style>
  <w:style w:type="paragraph" w:customStyle="1" w:styleId="543">
    <w:name w:val="543"/>
    <w:basedOn w:val="803"/>
    <w:uiPriority w:val="34"/>
    <w:qFormat/>
    <w:pPr>
      <w:widowControl w:val="0"/>
      <w:ind w:firstLineChars="200" w:firstLine="420"/>
      <w:jc w:val="both"/>
    </w:pPr>
    <w:rPr>
      <w:rFonts w:ascii="Calibri" w:hAnsi="Calibri"/>
      <w:kern w:val="2"/>
      <w:szCs w:val="22"/>
    </w:rPr>
  </w:style>
  <w:style w:type="paragraph" w:customStyle="1" w:styleId="541">
    <w:name w:val="541"/>
    <w:basedOn w:val="803"/>
    <w:uiPriority w:val="34"/>
    <w:qFormat/>
    <w:pPr>
      <w:widowControl w:val="0"/>
      <w:ind w:firstLineChars="200" w:firstLine="420"/>
      <w:jc w:val="both"/>
    </w:pPr>
    <w:rPr>
      <w:rFonts w:ascii="Calibri" w:hAnsi="Calibri"/>
      <w:kern w:val="2"/>
      <w:szCs w:val="22"/>
    </w:rPr>
  </w:style>
  <w:style w:type="paragraph" w:customStyle="1" w:styleId="540">
    <w:name w:val="540"/>
    <w:basedOn w:val="803"/>
    <w:uiPriority w:val="34"/>
    <w:qFormat/>
    <w:pPr>
      <w:widowControl w:val="0"/>
      <w:ind w:firstLineChars="200" w:firstLine="420"/>
      <w:jc w:val="both"/>
    </w:pPr>
    <w:rPr>
      <w:rFonts w:ascii="Calibri" w:hAnsi="Calibri"/>
      <w:kern w:val="2"/>
      <w:szCs w:val="22"/>
    </w:rPr>
  </w:style>
  <w:style w:type="paragraph" w:customStyle="1" w:styleId="536">
    <w:name w:val="536"/>
    <w:basedOn w:val="803"/>
    <w:uiPriority w:val="39"/>
    <w:qFormat/>
    <w:pPr>
      <w:tabs>
        <w:tab w:val="right" w:leader="dot" w:pos="8296"/>
      </w:tabs>
      <w:ind w:leftChars="200" w:left="420"/>
      <w:jc w:val="center"/>
    </w:pPr>
    <w:rPr>
      <w:b/>
      <w:color w:val="000000"/>
      <w:sz w:val="32"/>
      <w:szCs w:val="32"/>
    </w:rPr>
  </w:style>
  <w:style w:type="paragraph" w:customStyle="1" w:styleId="535">
    <w:name w:val="535"/>
    <w:basedOn w:val="803"/>
    <w:uiPriority w:val="39"/>
    <w:pPr>
      <w:widowControl w:val="0"/>
      <w:ind w:leftChars="1200" w:left="2520"/>
      <w:jc w:val="both"/>
    </w:pPr>
    <w:rPr>
      <w:rFonts w:ascii="Calibri" w:hAnsi="Calibri" w:cs="Times New Roman"/>
      <w:kern w:val="2"/>
      <w:szCs w:val="22"/>
    </w:rPr>
  </w:style>
  <w:style w:type="paragraph" w:customStyle="1" w:styleId="534">
    <w:name w:val="534"/>
    <w:basedOn w:val="803"/>
    <w:uiPriority w:val="34"/>
    <w:qFormat/>
    <w:pPr>
      <w:widowControl w:val="0"/>
      <w:ind w:firstLineChars="200" w:firstLine="420"/>
      <w:jc w:val="both"/>
    </w:pPr>
    <w:rPr>
      <w:rFonts w:ascii="Calibri" w:hAnsi="Calibri"/>
      <w:kern w:val="2"/>
      <w:szCs w:val="22"/>
    </w:rPr>
  </w:style>
  <w:style w:type="paragraph" w:customStyle="1" w:styleId="533">
    <w:name w:val="533"/>
    <w:basedOn w:val="803"/>
    <w:uiPriority w:val="34"/>
    <w:qFormat/>
    <w:pPr>
      <w:widowControl w:val="0"/>
      <w:ind w:firstLineChars="200" w:firstLine="420"/>
      <w:jc w:val="both"/>
    </w:pPr>
    <w:rPr>
      <w:rFonts w:ascii="Calibri" w:hAnsi="Calibri"/>
      <w:kern w:val="2"/>
      <w:szCs w:val="22"/>
    </w:rPr>
  </w:style>
  <w:style w:type="paragraph" w:customStyle="1" w:styleId="532">
    <w:name w:val="532"/>
    <w:basedOn w:val="803"/>
    <w:uiPriority w:val="34"/>
    <w:qFormat/>
    <w:pPr>
      <w:widowControl w:val="0"/>
      <w:ind w:firstLineChars="200" w:firstLine="420"/>
      <w:jc w:val="both"/>
    </w:pPr>
    <w:rPr>
      <w:rFonts w:ascii="Calibri" w:hAnsi="Calibri"/>
      <w:kern w:val="2"/>
      <w:szCs w:val="22"/>
    </w:rPr>
  </w:style>
  <w:style w:type="paragraph" w:customStyle="1" w:styleId="531">
    <w:name w:val="531"/>
    <w:basedOn w:val="803"/>
    <w:uiPriority w:val="34"/>
    <w:qFormat/>
    <w:pPr>
      <w:widowControl w:val="0"/>
      <w:ind w:firstLineChars="200" w:firstLine="420"/>
      <w:jc w:val="both"/>
    </w:pPr>
    <w:rPr>
      <w:rFonts w:ascii="Calibri" w:hAnsi="Calibri"/>
      <w:kern w:val="2"/>
      <w:szCs w:val="22"/>
    </w:rPr>
  </w:style>
  <w:style w:type="paragraph" w:customStyle="1" w:styleId="530">
    <w:name w:val="530"/>
    <w:basedOn w:val="803"/>
    <w:uiPriority w:val="99"/>
    <w:pPr>
      <w:widowControl w:val="0"/>
      <w:jc w:val="both"/>
    </w:pPr>
    <w:rPr>
      <w:rFonts w:ascii="Calibri" w:hAnsi="Calibri"/>
      <w:kern w:val="2"/>
      <w:sz w:val="18"/>
      <w:szCs w:val="18"/>
    </w:rPr>
  </w:style>
  <w:style w:type="paragraph" w:customStyle="1" w:styleId="529">
    <w:name w:val="529"/>
    <w:basedOn w:val="803"/>
    <w:uiPriority w:val="99"/>
    <w:pPr>
      <w:widowControl w:val="0"/>
      <w:ind w:leftChars="2500" w:left="100"/>
      <w:jc w:val="both"/>
    </w:pPr>
    <w:rPr>
      <w:kern w:val="2"/>
    </w:rPr>
  </w:style>
  <w:style w:type="paragraph" w:customStyle="1" w:styleId="525">
    <w:name w:val="525"/>
    <w:uiPriority w:val="99"/>
    <w:qFormat/>
    <w:rPr>
      <w:sz w:val="21"/>
      <w:szCs w:val="21"/>
    </w:rPr>
  </w:style>
  <w:style w:type="paragraph" w:customStyle="1" w:styleId="524">
    <w:name w:val="524"/>
    <w:basedOn w:val="525"/>
    <w:uiPriority w:val="99"/>
    <w:qFormat/>
    <w:pPr>
      <w:keepNext/>
      <w:keepLines/>
      <w:widowControl w:val="0"/>
      <w:spacing w:before="60" w:after="60" w:line="360" w:lineRule="auto"/>
      <w:jc w:val="center"/>
      <w:outlineLvl w:val="0"/>
    </w:pPr>
    <w:rPr>
      <w:rFonts w:ascii="Calibri" w:eastAsia="黑体" w:hAnsi="Calibri"/>
      <w:b/>
      <w:bCs/>
      <w:kern w:val="44"/>
      <w:sz w:val="28"/>
      <w:szCs w:val="44"/>
    </w:rPr>
  </w:style>
  <w:style w:type="paragraph" w:customStyle="1" w:styleId="523">
    <w:name w:val="523"/>
    <w:basedOn w:val="525"/>
    <w:uiPriority w:val="99"/>
    <w:semiHidden/>
    <w:qFormat/>
    <w:pPr>
      <w:keepNext/>
      <w:keepLines/>
      <w:widowControl w:val="0"/>
      <w:spacing w:before="60" w:after="60"/>
      <w:ind w:left="200" w:hangingChars="200" w:hanging="200"/>
      <w:jc w:val="both"/>
      <w:outlineLvl w:val="1"/>
    </w:pPr>
    <w:rPr>
      <w:rFonts w:ascii="Arial" w:hAnsi="Arial"/>
      <w:b/>
      <w:bCs/>
      <w:kern w:val="2"/>
    </w:rPr>
  </w:style>
  <w:style w:type="paragraph" w:customStyle="1" w:styleId="522">
    <w:name w:val="522"/>
    <w:basedOn w:val="525"/>
    <w:uiPriority w:val="9"/>
    <w:qFormat/>
    <w:pPr>
      <w:keepNext/>
      <w:keepLines/>
      <w:widowControl w:val="0"/>
      <w:spacing w:before="60" w:after="60"/>
      <w:jc w:val="both"/>
      <w:outlineLvl w:val="2"/>
    </w:pPr>
    <w:rPr>
      <w:rFonts w:ascii="Calibri" w:hAnsi="Calibri"/>
      <w:b/>
      <w:bCs/>
      <w:kern w:val="2"/>
      <w:szCs w:val="32"/>
    </w:rPr>
  </w:style>
  <w:style w:type="paragraph" w:customStyle="1" w:styleId="521">
    <w:name w:val="521"/>
    <w:basedOn w:val="525"/>
    <w:uiPriority w:val="99"/>
    <w:qFormat/>
    <w:pPr>
      <w:keepNext/>
      <w:keepLines/>
      <w:widowControl w:val="0"/>
      <w:spacing w:before="60" w:after="60"/>
      <w:jc w:val="both"/>
      <w:outlineLvl w:val="3"/>
    </w:pPr>
    <w:rPr>
      <w:rFonts w:ascii="Cambria" w:hAnsi="Cambria"/>
      <w:b/>
      <w:bCs/>
      <w:kern w:val="2"/>
      <w:szCs w:val="28"/>
    </w:rPr>
  </w:style>
  <w:style w:type="paragraph" w:customStyle="1" w:styleId="520">
    <w:name w:val="520"/>
    <w:basedOn w:val="525"/>
    <w:uiPriority w:val="99"/>
    <w:qFormat/>
    <w:pPr>
      <w:keepNext/>
      <w:keepLines/>
      <w:widowControl w:val="0"/>
      <w:spacing w:before="60" w:after="60"/>
      <w:jc w:val="both"/>
      <w:outlineLvl w:val="4"/>
    </w:pPr>
    <w:rPr>
      <w:rFonts w:ascii="Calibri" w:hAnsi="Calibri"/>
      <w:b/>
      <w:bCs/>
      <w:kern w:val="2"/>
      <w:szCs w:val="28"/>
    </w:rPr>
  </w:style>
  <w:style w:type="paragraph" w:customStyle="1" w:styleId="519">
    <w:name w:val="519"/>
    <w:basedOn w:val="525"/>
    <w:uiPriority w:val="99"/>
    <w:semiHidden/>
    <w:qFormat/>
    <w:pPr>
      <w:keepNext/>
      <w:keepLines/>
      <w:spacing w:before="60" w:after="60"/>
      <w:outlineLvl w:val="5"/>
    </w:pPr>
    <w:rPr>
      <w:rFonts w:ascii="Cambria" w:hAnsi="Cambria" w:cs="Times New Roman"/>
      <w:b/>
      <w:bCs/>
    </w:rPr>
  </w:style>
  <w:style w:type="paragraph" w:customStyle="1" w:styleId="518">
    <w:name w:val="518"/>
    <w:basedOn w:val="525"/>
    <w:uiPriority w:val="99"/>
    <w:semiHidden/>
    <w:qFormat/>
    <w:pPr>
      <w:keepNext/>
      <w:keepLines/>
      <w:spacing w:before="240" w:after="64" w:line="319" w:lineRule="auto"/>
      <w:outlineLvl w:val="6"/>
    </w:pPr>
    <w:rPr>
      <w:b/>
      <w:bCs/>
      <w:sz w:val="24"/>
    </w:rPr>
  </w:style>
  <w:style w:type="paragraph" w:customStyle="1" w:styleId="517">
    <w:name w:val="517"/>
    <w:basedOn w:val="525"/>
    <w:uiPriority w:val="99"/>
    <w:semiHidden/>
    <w:qFormat/>
    <w:pPr>
      <w:keepNext/>
      <w:keepLines/>
      <w:widowControl w:val="0"/>
      <w:adjustRightInd w:val="0"/>
      <w:spacing w:before="240" w:after="64" w:line="320" w:lineRule="atLeast"/>
      <w:outlineLvl w:val="7"/>
    </w:pPr>
    <w:rPr>
      <w:rFonts w:ascii="Arial" w:eastAsia="黑体" w:hAnsi="Arial"/>
      <w:bCs/>
      <w:color w:val="000000"/>
      <w:sz w:val="24"/>
    </w:rPr>
  </w:style>
  <w:style w:type="paragraph" w:customStyle="1" w:styleId="516">
    <w:name w:val="516"/>
    <w:basedOn w:val="525"/>
    <w:uiPriority w:val="99"/>
    <w:semiHidden/>
    <w:qFormat/>
    <w:pPr>
      <w:keepNext/>
      <w:keepLines/>
      <w:widowControl w:val="0"/>
      <w:adjustRightInd w:val="0"/>
      <w:spacing w:before="240" w:after="64" w:line="320" w:lineRule="atLeast"/>
      <w:outlineLvl w:val="8"/>
    </w:pPr>
    <w:rPr>
      <w:rFonts w:ascii="Arial" w:eastAsia="黑体" w:hAnsi="Arial"/>
      <w:bCs/>
      <w:color w:val="000000"/>
      <w:sz w:val="24"/>
    </w:rPr>
  </w:style>
  <w:style w:type="paragraph" w:customStyle="1" w:styleId="515">
    <w:name w:val="515"/>
    <w:basedOn w:val="525"/>
    <w:uiPriority w:val="99"/>
    <w:qFormat/>
    <w:pPr>
      <w:widowControl w:val="0"/>
      <w:ind w:leftChars="1200" w:left="2520"/>
      <w:jc w:val="both"/>
    </w:pPr>
    <w:rPr>
      <w:rFonts w:ascii="Calibri" w:hAnsi="Calibri" w:cs="Times New Roman"/>
      <w:kern w:val="2"/>
      <w:szCs w:val="22"/>
    </w:rPr>
  </w:style>
  <w:style w:type="paragraph" w:customStyle="1" w:styleId="514">
    <w:name w:val="514"/>
    <w:basedOn w:val="525"/>
    <w:uiPriority w:val="99"/>
    <w:qFormat/>
    <w:pPr>
      <w:widowControl w:val="0"/>
      <w:jc w:val="center"/>
    </w:pPr>
    <w:rPr>
      <w:kern w:val="2"/>
    </w:rPr>
  </w:style>
  <w:style w:type="paragraph" w:customStyle="1" w:styleId="513">
    <w:name w:val="513"/>
    <w:basedOn w:val="525"/>
    <w:uiPriority w:val="99"/>
    <w:qFormat/>
    <w:pPr>
      <w:widowControl w:val="0"/>
      <w:ind w:firstLineChars="200" w:firstLine="420"/>
      <w:jc w:val="both"/>
    </w:pPr>
    <w:rPr>
      <w:kern w:val="2"/>
    </w:rPr>
  </w:style>
  <w:style w:type="paragraph" w:customStyle="1" w:styleId="512">
    <w:name w:val="512"/>
    <w:basedOn w:val="525"/>
    <w:uiPriority w:val="99"/>
    <w:qFormat/>
    <w:pPr>
      <w:widowControl w:val="0"/>
      <w:jc w:val="both"/>
    </w:pPr>
    <w:rPr>
      <w:rFonts w:hAnsi="Calibri"/>
      <w:kern w:val="2"/>
      <w:sz w:val="18"/>
      <w:szCs w:val="18"/>
    </w:rPr>
  </w:style>
  <w:style w:type="paragraph" w:customStyle="1" w:styleId="511">
    <w:name w:val="511"/>
    <w:basedOn w:val="525"/>
    <w:uiPriority w:val="99"/>
    <w:qFormat/>
    <w:pPr>
      <w:widowControl w:val="0"/>
      <w:spacing w:before="120"/>
      <w:jc w:val="both"/>
    </w:pPr>
    <w:rPr>
      <w:rFonts w:ascii="Arial" w:hAnsi="Arial"/>
      <w:b/>
      <w:bCs/>
      <w:kern w:val="2"/>
    </w:rPr>
  </w:style>
  <w:style w:type="paragraph" w:customStyle="1" w:styleId="510">
    <w:name w:val="510"/>
    <w:basedOn w:val="525"/>
    <w:uiPriority w:val="99"/>
    <w:qFormat/>
    <w:pPr>
      <w:widowControl w:val="0"/>
    </w:pPr>
    <w:rPr>
      <w:kern w:val="2"/>
    </w:rPr>
  </w:style>
  <w:style w:type="paragraph" w:customStyle="1" w:styleId="509">
    <w:name w:val="509"/>
    <w:basedOn w:val="525"/>
    <w:uiPriority w:val="99"/>
    <w:qFormat/>
    <w:pPr>
      <w:widowControl w:val="0"/>
      <w:jc w:val="both"/>
    </w:pPr>
    <w:rPr>
      <w:kern w:val="2"/>
    </w:rPr>
  </w:style>
  <w:style w:type="paragraph" w:customStyle="1" w:styleId="508">
    <w:name w:val="508"/>
    <w:basedOn w:val="525"/>
    <w:uiPriority w:val="99"/>
    <w:qFormat/>
    <w:pPr>
      <w:widowControl w:val="0"/>
      <w:tabs>
        <w:tab w:val="left" w:pos="1200"/>
      </w:tabs>
      <w:jc w:val="both"/>
    </w:pPr>
    <w:rPr>
      <w:kern w:val="2"/>
    </w:rPr>
  </w:style>
  <w:style w:type="paragraph" w:customStyle="1" w:styleId="507">
    <w:name w:val="507"/>
    <w:basedOn w:val="525"/>
    <w:uiPriority w:val="99"/>
    <w:qFormat/>
    <w:pPr>
      <w:widowControl w:val="0"/>
      <w:spacing w:after="120"/>
      <w:jc w:val="both"/>
    </w:pPr>
    <w:rPr>
      <w:kern w:val="2"/>
    </w:rPr>
  </w:style>
  <w:style w:type="paragraph" w:customStyle="1" w:styleId="506">
    <w:name w:val="506"/>
    <w:basedOn w:val="525"/>
    <w:uiPriority w:val="99"/>
    <w:qFormat/>
    <w:pPr>
      <w:widowControl w:val="0"/>
      <w:ind w:leftChars="800" w:left="1680"/>
      <w:jc w:val="both"/>
    </w:pPr>
    <w:rPr>
      <w:rFonts w:ascii="Calibri" w:hAnsi="Calibri" w:cs="Times New Roman"/>
      <w:kern w:val="2"/>
      <w:szCs w:val="22"/>
    </w:rPr>
  </w:style>
  <w:style w:type="paragraph" w:customStyle="1" w:styleId="505">
    <w:name w:val="505"/>
    <w:basedOn w:val="525"/>
    <w:uiPriority w:val="99"/>
    <w:qFormat/>
    <w:pPr>
      <w:spacing w:after="100" w:line="276" w:lineRule="auto"/>
      <w:ind w:left="440"/>
    </w:pPr>
    <w:rPr>
      <w:rFonts w:ascii="Calibri" w:hAnsi="Calibri"/>
      <w:sz w:val="22"/>
      <w:szCs w:val="22"/>
    </w:rPr>
  </w:style>
  <w:style w:type="paragraph" w:customStyle="1" w:styleId="504">
    <w:name w:val="504"/>
    <w:basedOn w:val="525"/>
    <w:uiPriority w:val="99"/>
    <w:qFormat/>
    <w:pPr>
      <w:widowControl w:val="0"/>
      <w:jc w:val="both"/>
    </w:pPr>
    <w:rPr>
      <w:rFonts w:hAnsi="Courier New"/>
      <w:kern w:val="2"/>
    </w:rPr>
  </w:style>
  <w:style w:type="paragraph" w:customStyle="1" w:styleId="503">
    <w:name w:val="503"/>
    <w:basedOn w:val="525"/>
    <w:uiPriority w:val="99"/>
    <w:qFormat/>
    <w:pPr>
      <w:widowControl w:val="0"/>
      <w:ind w:leftChars="1400" w:left="2940"/>
      <w:jc w:val="both"/>
    </w:pPr>
    <w:rPr>
      <w:rFonts w:ascii="Calibri" w:hAnsi="Calibri" w:cs="Times New Roman"/>
      <w:kern w:val="2"/>
      <w:szCs w:val="22"/>
    </w:rPr>
  </w:style>
  <w:style w:type="paragraph" w:customStyle="1" w:styleId="502">
    <w:name w:val="502"/>
    <w:basedOn w:val="525"/>
    <w:uiPriority w:val="99"/>
    <w:qFormat/>
    <w:pPr>
      <w:widowControl w:val="0"/>
      <w:ind w:leftChars="2500" w:left="100"/>
      <w:jc w:val="both"/>
    </w:pPr>
    <w:rPr>
      <w:kern w:val="2"/>
    </w:rPr>
  </w:style>
  <w:style w:type="paragraph" w:customStyle="1" w:styleId="501">
    <w:name w:val="501"/>
    <w:basedOn w:val="525"/>
    <w:uiPriority w:val="99"/>
    <w:qFormat/>
    <w:pPr>
      <w:snapToGrid w:val="0"/>
    </w:pPr>
  </w:style>
  <w:style w:type="paragraph" w:customStyle="1" w:styleId="500">
    <w:name w:val="500"/>
    <w:basedOn w:val="525"/>
    <w:uiPriority w:val="99"/>
    <w:qFormat/>
    <w:pPr>
      <w:widowControl w:val="0"/>
      <w:jc w:val="both"/>
    </w:pPr>
    <w:rPr>
      <w:rFonts w:ascii="Calibri" w:hAnsi="Calibri"/>
      <w:kern w:val="2"/>
      <w:sz w:val="18"/>
      <w:szCs w:val="18"/>
    </w:rPr>
  </w:style>
  <w:style w:type="paragraph" w:customStyle="1" w:styleId="499">
    <w:name w:val="499"/>
    <w:basedOn w:val="525"/>
    <w:uiPriority w:val="99"/>
    <w:qFormat/>
    <w:pPr>
      <w:widowControl w:val="0"/>
      <w:tabs>
        <w:tab w:val="center" w:pos="4153"/>
        <w:tab w:val="right" w:pos="8306"/>
      </w:tabs>
      <w:snapToGrid w:val="0"/>
    </w:pPr>
    <w:rPr>
      <w:rFonts w:ascii="Calibri" w:hAnsi="Calibri"/>
      <w:kern w:val="2"/>
      <w:sz w:val="18"/>
      <w:szCs w:val="18"/>
    </w:rPr>
  </w:style>
  <w:style w:type="paragraph" w:customStyle="1" w:styleId="498">
    <w:name w:val="498"/>
    <w:basedOn w:val="525"/>
    <w:uiPriority w:val="99"/>
    <w:qFormat/>
    <w:pPr>
      <w:widowControl w:val="0"/>
      <w:pBdr>
        <w:bottom w:val="single" w:sz="6" w:space="1" w:color="auto"/>
      </w:pBdr>
      <w:tabs>
        <w:tab w:val="center" w:pos="4153"/>
        <w:tab w:val="right" w:pos="8306"/>
      </w:tabs>
      <w:snapToGrid w:val="0"/>
      <w:jc w:val="center"/>
    </w:pPr>
    <w:rPr>
      <w:rFonts w:ascii="Calibri" w:hAnsi="Calibri"/>
      <w:kern w:val="2"/>
      <w:sz w:val="18"/>
      <w:szCs w:val="18"/>
    </w:rPr>
  </w:style>
  <w:style w:type="paragraph" w:customStyle="1" w:styleId="497">
    <w:name w:val="497"/>
    <w:basedOn w:val="525"/>
    <w:uiPriority w:val="99"/>
    <w:qFormat/>
    <w:pPr>
      <w:widowControl w:val="0"/>
      <w:tabs>
        <w:tab w:val="left" w:pos="1260"/>
        <w:tab w:val="right" w:leader="dot" w:pos="8823"/>
      </w:tabs>
      <w:jc w:val="center"/>
    </w:pPr>
    <w:rPr>
      <w:kern w:val="2"/>
    </w:rPr>
  </w:style>
  <w:style w:type="paragraph" w:customStyle="1" w:styleId="496">
    <w:name w:val="496"/>
    <w:basedOn w:val="525"/>
    <w:uiPriority w:val="99"/>
    <w:qFormat/>
    <w:pPr>
      <w:widowControl w:val="0"/>
      <w:ind w:leftChars="600" w:left="1260"/>
      <w:jc w:val="both"/>
    </w:pPr>
    <w:rPr>
      <w:rFonts w:ascii="Calibri" w:hAnsi="Calibri" w:cs="Times New Roman"/>
      <w:kern w:val="2"/>
      <w:szCs w:val="22"/>
    </w:rPr>
  </w:style>
  <w:style w:type="paragraph" w:customStyle="1" w:styleId="495">
    <w:name w:val="495"/>
    <w:basedOn w:val="525"/>
    <w:uiPriority w:val="99"/>
    <w:qFormat/>
    <w:pPr>
      <w:widowControl w:val="0"/>
      <w:ind w:leftChars="1000" w:left="2100"/>
      <w:jc w:val="both"/>
    </w:pPr>
    <w:rPr>
      <w:rFonts w:ascii="Calibri" w:hAnsi="Calibri" w:cs="Times New Roman"/>
      <w:kern w:val="2"/>
      <w:szCs w:val="22"/>
    </w:rPr>
  </w:style>
  <w:style w:type="paragraph" w:customStyle="1" w:styleId="494">
    <w:name w:val="494"/>
    <w:basedOn w:val="525"/>
    <w:uiPriority w:val="99"/>
    <w:qFormat/>
    <w:pPr>
      <w:widowControl w:val="0"/>
      <w:ind w:leftChars="200" w:left="420"/>
      <w:jc w:val="both"/>
    </w:pPr>
    <w:rPr>
      <w:kern w:val="2"/>
    </w:rPr>
  </w:style>
  <w:style w:type="paragraph" w:customStyle="1" w:styleId="493">
    <w:name w:val="493"/>
    <w:basedOn w:val="525"/>
    <w:uiPriority w:val="99"/>
    <w:qFormat/>
    <w:pPr>
      <w:widowControl w:val="0"/>
      <w:ind w:leftChars="1600" w:left="3360"/>
      <w:jc w:val="both"/>
    </w:pPr>
    <w:rPr>
      <w:rFonts w:ascii="Calibri" w:hAnsi="Calibri" w:cs="Times New Roman"/>
      <w:kern w:val="2"/>
      <w:szCs w:val="22"/>
    </w:rPr>
  </w:style>
  <w:style w:type="paragraph" w:customStyle="1" w:styleId="492">
    <w:name w:val="492"/>
    <w:basedOn w:val="525"/>
    <w:uiPriority w:val="99"/>
    <w:qFormat/>
    <w:pPr>
      <w:spacing w:before="100" w:beforeAutospacing="1" w:after="100" w:afterAutospacing="1"/>
    </w:pPr>
    <w:rPr>
      <w:sz w:val="24"/>
    </w:rPr>
  </w:style>
  <w:style w:type="paragraph" w:customStyle="1" w:styleId="491">
    <w:name w:val="491"/>
    <w:basedOn w:val="525"/>
    <w:uiPriority w:val="99"/>
    <w:qFormat/>
    <w:pPr>
      <w:ind w:firstLineChars="200" w:firstLine="420"/>
    </w:pPr>
    <w:rPr>
      <w:color w:val="000000"/>
    </w:rPr>
  </w:style>
  <w:style w:type="paragraph" w:customStyle="1" w:styleId="490">
    <w:name w:val="490"/>
    <w:basedOn w:val="525"/>
    <w:uiPriority w:val="99"/>
    <w:qFormat/>
    <w:pPr>
      <w:widowControl w:val="0"/>
      <w:spacing w:before="240" w:after="60"/>
      <w:jc w:val="center"/>
      <w:outlineLvl w:val="0"/>
    </w:pPr>
    <w:rPr>
      <w:rFonts w:ascii="Cambria" w:hAnsi="Cambria" w:cs="Times New Roman"/>
      <w:b/>
      <w:bCs/>
      <w:kern w:val="2"/>
      <w:sz w:val="32"/>
      <w:szCs w:val="32"/>
    </w:rPr>
  </w:style>
  <w:style w:type="paragraph" w:customStyle="1" w:styleId="489">
    <w:name w:val="489"/>
    <w:basedOn w:val="510"/>
    <w:uiPriority w:val="99"/>
    <w:qFormat/>
    <w:rPr>
      <w:rFonts w:ascii="Calibri" w:hAnsi="Calibri"/>
      <w:b/>
      <w:bCs/>
      <w:szCs w:val="22"/>
    </w:rPr>
  </w:style>
  <w:style w:type="paragraph" w:customStyle="1" w:styleId="486">
    <w:name w:val="486"/>
    <w:uiPriority w:val="1"/>
    <w:qFormat/>
    <w:pPr>
      <w:widowControl w:val="0"/>
      <w:jc w:val="both"/>
    </w:pPr>
    <w:rPr>
      <w:kern w:val="2"/>
      <w:sz w:val="21"/>
      <w:szCs w:val="22"/>
    </w:rPr>
  </w:style>
  <w:style w:type="paragraph" w:customStyle="1" w:styleId="483">
    <w:name w:val="483"/>
    <w:uiPriority w:val="99"/>
    <w:qFormat/>
    <w:pPr>
      <w:widowControl w:val="0"/>
      <w:jc w:val="center"/>
    </w:pPr>
    <w:rPr>
      <w:bCs/>
      <w:kern w:val="2"/>
      <w:sz w:val="21"/>
      <w:szCs w:val="21"/>
    </w:rPr>
  </w:style>
  <w:style w:type="paragraph" w:customStyle="1" w:styleId="482">
    <w:name w:val="482"/>
    <w:uiPriority w:val="99"/>
    <w:qFormat/>
    <w:rPr>
      <w:sz w:val="21"/>
      <w:szCs w:val="21"/>
    </w:rPr>
  </w:style>
  <w:style w:type="paragraph" w:customStyle="1" w:styleId="476">
    <w:name w:val="476"/>
    <w:basedOn w:val="524"/>
    <w:uiPriority w:val="39"/>
    <w:qFormat/>
    <w:pPr>
      <w:widowControl/>
      <w:spacing w:before="480" w:after="0" w:line="276" w:lineRule="auto"/>
      <w:outlineLvl w:val="9"/>
    </w:pPr>
    <w:rPr>
      <w:rFonts w:ascii="Cambria" w:eastAsia="宋体" w:hAnsi="Cambria"/>
      <w:color w:val="365F91"/>
      <w:kern w:val="0"/>
      <w:szCs w:val="28"/>
    </w:rPr>
  </w:style>
  <w:style w:type="paragraph" w:customStyle="1" w:styleId="472">
    <w:name w:val="472"/>
    <w:basedOn w:val="525"/>
    <w:uiPriority w:val="34"/>
    <w:qFormat/>
    <w:pPr>
      <w:widowControl w:val="0"/>
      <w:ind w:firstLineChars="200" w:firstLine="420"/>
      <w:jc w:val="both"/>
    </w:pPr>
    <w:rPr>
      <w:rFonts w:ascii="Calibri" w:hAnsi="Calibri"/>
      <w:kern w:val="2"/>
      <w:szCs w:val="22"/>
    </w:rPr>
  </w:style>
  <w:style w:type="paragraph" w:customStyle="1" w:styleId="464">
    <w:name w:val="464"/>
    <w:basedOn w:val="525"/>
    <w:uiPriority w:val="99"/>
    <w:qFormat/>
    <w:pPr>
      <w:keepNext/>
      <w:keepLines/>
      <w:widowControl w:val="0"/>
      <w:spacing w:before="60" w:after="60"/>
      <w:ind w:hangingChars="200" w:hanging="420"/>
      <w:jc w:val="both"/>
      <w:outlineLvl w:val="4"/>
    </w:pPr>
    <w:rPr>
      <w:b/>
      <w:bCs/>
      <w:kern w:val="2"/>
    </w:rPr>
  </w:style>
  <w:style w:type="paragraph" w:customStyle="1" w:styleId="463">
    <w:name w:val="463"/>
    <w:uiPriority w:val="99"/>
    <w:semiHidden/>
    <w:qFormat/>
    <w:rPr>
      <w:kern w:val="2"/>
      <w:sz w:val="21"/>
      <w:szCs w:val="22"/>
    </w:rPr>
  </w:style>
  <w:style w:type="paragraph" w:customStyle="1" w:styleId="461">
    <w:name w:val="461"/>
    <w:basedOn w:val="525"/>
    <w:uiPriority w:val="99"/>
    <w:qFormat/>
    <w:pPr>
      <w:widowControl w:val="0"/>
      <w:spacing w:before="100" w:after="100"/>
      <w:jc w:val="both"/>
    </w:pPr>
    <w:rPr>
      <w:rFonts w:ascii="Calibri" w:hAnsi="Calibri"/>
      <w:kern w:val="2"/>
    </w:rPr>
  </w:style>
  <w:style w:type="paragraph" w:customStyle="1" w:styleId="457">
    <w:name w:val="457"/>
    <w:uiPriority w:val="1"/>
    <w:qFormat/>
    <w:pPr>
      <w:widowControl w:val="0"/>
      <w:jc w:val="both"/>
    </w:pPr>
    <w:rPr>
      <w:kern w:val="2"/>
      <w:sz w:val="21"/>
      <w:szCs w:val="22"/>
    </w:rPr>
  </w:style>
  <w:style w:type="paragraph" w:customStyle="1" w:styleId="453">
    <w:name w:val="453"/>
    <w:uiPriority w:val="99"/>
    <w:qFormat/>
    <w:rPr>
      <w:rFonts w:ascii="Calibri" w:hAnsi="Calibri"/>
      <w:b/>
      <w:bCs/>
      <w:sz w:val="21"/>
      <w:szCs w:val="22"/>
    </w:rPr>
  </w:style>
  <w:style w:type="paragraph" w:customStyle="1" w:styleId="452">
    <w:name w:val="452"/>
    <w:basedOn w:val="525"/>
    <w:uiPriority w:val="99"/>
    <w:qFormat/>
    <w:pPr>
      <w:widowControl w:val="0"/>
    </w:pPr>
    <w:rPr>
      <w:kern w:val="2"/>
    </w:rPr>
  </w:style>
  <w:style w:type="paragraph" w:customStyle="1" w:styleId="451">
    <w:name w:val="451"/>
    <w:basedOn w:val="525"/>
    <w:uiPriority w:val="99"/>
    <w:qFormat/>
    <w:pPr>
      <w:keepNext/>
      <w:keepLines/>
      <w:widowControl w:val="0"/>
      <w:spacing w:before="100" w:beforeAutospacing="1" w:after="100" w:afterAutospacing="1" w:line="412" w:lineRule="auto"/>
      <w:jc w:val="both"/>
    </w:pPr>
    <w:rPr>
      <w:b/>
      <w:kern w:val="2"/>
    </w:rPr>
  </w:style>
  <w:style w:type="paragraph" w:customStyle="1" w:styleId="446">
    <w:name w:val="446"/>
    <w:basedOn w:val="525"/>
    <w:uiPriority w:val="34"/>
    <w:qFormat/>
    <w:pPr>
      <w:widowControl w:val="0"/>
      <w:ind w:firstLineChars="200" w:firstLine="420"/>
      <w:jc w:val="both"/>
    </w:pPr>
    <w:rPr>
      <w:rFonts w:ascii="Calibri" w:hAnsi="Calibri"/>
      <w:kern w:val="2"/>
      <w:szCs w:val="22"/>
    </w:rPr>
  </w:style>
  <w:style w:type="paragraph" w:customStyle="1" w:styleId="445">
    <w:name w:val="445"/>
    <w:basedOn w:val="525"/>
    <w:uiPriority w:val="34"/>
    <w:qFormat/>
    <w:pPr>
      <w:widowControl w:val="0"/>
      <w:ind w:firstLineChars="200" w:firstLine="420"/>
      <w:jc w:val="both"/>
    </w:pPr>
    <w:rPr>
      <w:rFonts w:ascii="Calibri" w:hAnsi="Calibri"/>
      <w:kern w:val="2"/>
      <w:szCs w:val="22"/>
    </w:rPr>
  </w:style>
  <w:style w:type="paragraph" w:customStyle="1" w:styleId="443">
    <w:name w:val="443"/>
    <w:basedOn w:val="525"/>
    <w:uiPriority w:val="34"/>
    <w:qFormat/>
    <w:pPr>
      <w:widowControl w:val="0"/>
      <w:ind w:firstLineChars="200" w:firstLine="420"/>
      <w:jc w:val="both"/>
    </w:pPr>
    <w:rPr>
      <w:rFonts w:ascii="Calibri" w:hAnsi="Calibri"/>
      <w:kern w:val="2"/>
      <w:szCs w:val="22"/>
    </w:rPr>
  </w:style>
  <w:style w:type="paragraph" w:customStyle="1" w:styleId="442">
    <w:name w:val="442"/>
    <w:basedOn w:val="525"/>
    <w:uiPriority w:val="34"/>
    <w:qFormat/>
    <w:pPr>
      <w:widowControl w:val="0"/>
      <w:ind w:firstLineChars="200" w:firstLine="420"/>
      <w:jc w:val="both"/>
    </w:pPr>
    <w:rPr>
      <w:rFonts w:ascii="Calibri" w:hAnsi="Calibri"/>
      <w:kern w:val="2"/>
      <w:szCs w:val="22"/>
    </w:rPr>
  </w:style>
  <w:style w:type="paragraph" w:customStyle="1" w:styleId="440">
    <w:name w:val="440"/>
    <w:basedOn w:val="525"/>
    <w:uiPriority w:val="99"/>
    <w:qFormat/>
    <w:pPr>
      <w:widowControl w:val="0"/>
      <w:jc w:val="both"/>
    </w:pPr>
    <w:rPr>
      <w:kern w:val="2"/>
    </w:rPr>
  </w:style>
  <w:style w:type="paragraph" w:customStyle="1" w:styleId="438">
    <w:name w:val="438"/>
    <w:basedOn w:val="525"/>
    <w:uiPriority w:val="34"/>
    <w:qFormat/>
    <w:pPr>
      <w:widowControl w:val="0"/>
      <w:ind w:firstLineChars="200" w:firstLine="420"/>
      <w:jc w:val="both"/>
    </w:pPr>
    <w:rPr>
      <w:rFonts w:ascii="Calibri" w:hAnsi="Calibri"/>
      <w:kern w:val="2"/>
      <w:szCs w:val="22"/>
    </w:rPr>
  </w:style>
  <w:style w:type="paragraph" w:customStyle="1" w:styleId="433">
    <w:name w:val="433"/>
    <w:basedOn w:val="525"/>
    <w:uiPriority w:val="34"/>
    <w:qFormat/>
    <w:pPr>
      <w:widowControl w:val="0"/>
      <w:ind w:firstLineChars="200" w:firstLine="420"/>
      <w:jc w:val="both"/>
    </w:pPr>
    <w:rPr>
      <w:rFonts w:ascii="Calibri" w:hAnsi="Calibri"/>
      <w:kern w:val="2"/>
      <w:szCs w:val="22"/>
    </w:rPr>
  </w:style>
  <w:style w:type="paragraph" w:customStyle="1" w:styleId="431">
    <w:name w:val="431"/>
    <w:basedOn w:val="525"/>
    <w:uiPriority w:val="99"/>
    <w:qFormat/>
    <w:pPr>
      <w:widowControl w:val="0"/>
      <w:pBdr>
        <w:bottom w:val="single" w:sz="6" w:space="1" w:color="auto"/>
      </w:pBdr>
      <w:tabs>
        <w:tab w:val="center" w:pos="4153"/>
        <w:tab w:val="right" w:pos="8306"/>
      </w:tabs>
      <w:snapToGrid w:val="0"/>
      <w:jc w:val="center"/>
    </w:pPr>
    <w:rPr>
      <w:rFonts w:ascii="Calibri" w:hAnsi="Calibri"/>
      <w:kern w:val="2"/>
      <w:sz w:val="18"/>
      <w:szCs w:val="18"/>
    </w:rPr>
  </w:style>
  <w:style w:type="paragraph" w:customStyle="1" w:styleId="428">
    <w:name w:val="428"/>
    <w:basedOn w:val="525"/>
    <w:uiPriority w:val="99"/>
    <w:qFormat/>
    <w:pPr>
      <w:widowControl w:val="0"/>
      <w:jc w:val="both"/>
    </w:pPr>
    <w:rPr>
      <w:bCs/>
      <w:kern w:val="2"/>
      <w:sz w:val="24"/>
      <w:szCs w:val="24"/>
    </w:rPr>
  </w:style>
  <w:style w:type="paragraph" w:customStyle="1" w:styleId="427">
    <w:name w:val="427"/>
    <w:basedOn w:val="525"/>
    <w:uiPriority w:val="99"/>
    <w:qFormat/>
    <w:pPr>
      <w:widowControl w:val="0"/>
      <w:tabs>
        <w:tab w:val="left" w:pos="315"/>
      </w:tabs>
      <w:ind w:left="315" w:hanging="315"/>
      <w:jc w:val="both"/>
    </w:pPr>
    <w:rPr>
      <w:bCs/>
      <w:kern w:val="2"/>
      <w:sz w:val="24"/>
      <w:szCs w:val="24"/>
    </w:rPr>
  </w:style>
  <w:style w:type="paragraph" w:customStyle="1" w:styleId="426">
    <w:name w:val="426"/>
    <w:basedOn w:val="525"/>
    <w:uiPriority w:val="99"/>
    <w:qFormat/>
    <w:pPr>
      <w:widowControl w:val="0"/>
      <w:autoSpaceDE w:val="0"/>
      <w:autoSpaceDN w:val="0"/>
      <w:adjustRightInd w:val="0"/>
    </w:pPr>
    <w:rPr>
      <w:bCs/>
      <w:kern w:val="2"/>
      <w:sz w:val="30"/>
    </w:rPr>
  </w:style>
  <w:style w:type="paragraph" w:customStyle="1" w:styleId="421">
    <w:name w:val="421"/>
    <w:basedOn w:val="525"/>
    <w:uiPriority w:val="99"/>
    <w:qFormat/>
    <w:pPr>
      <w:keepNext/>
      <w:keepLines/>
      <w:widowControl w:val="0"/>
      <w:tabs>
        <w:tab w:val="left" w:pos="546"/>
      </w:tabs>
      <w:adjustRightInd w:val="0"/>
      <w:spacing w:before="120" w:after="120" w:line="480" w:lineRule="atLeast"/>
      <w:ind w:left="420" w:hanging="420"/>
      <w:outlineLvl w:val="1"/>
    </w:pPr>
    <w:rPr>
      <w:bCs/>
      <w:color w:val="000000"/>
    </w:rPr>
  </w:style>
  <w:style w:type="paragraph" w:customStyle="1" w:styleId="420">
    <w:name w:val="420"/>
    <w:basedOn w:val="525"/>
    <w:uiPriority w:val="39"/>
    <w:qFormat/>
    <w:pPr>
      <w:tabs>
        <w:tab w:val="right" w:leader="dot" w:pos="8296"/>
      </w:tabs>
      <w:ind w:leftChars="200" w:left="420"/>
      <w:jc w:val="center"/>
    </w:pPr>
    <w:rPr>
      <w:b/>
      <w:bCs/>
      <w:color w:val="000000"/>
      <w:sz w:val="32"/>
      <w:szCs w:val="32"/>
    </w:rPr>
  </w:style>
  <w:style w:type="paragraph" w:customStyle="1" w:styleId="419">
    <w:name w:val="419"/>
    <w:basedOn w:val="525"/>
    <w:uiPriority w:val="39"/>
    <w:qFormat/>
    <w:rPr>
      <w:bCs/>
      <w:color w:val="000000"/>
    </w:rPr>
  </w:style>
  <w:style w:type="paragraph" w:customStyle="1" w:styleId="418">
    <w:name w:val="418"/>
    <w:basedOn w:val="525"/>
    <w:uiPriority w:val="39"/>
    <w:qFormat/>
    <w:pPr>
      <w:spacing w:after="100" w:line="276" w:lineRule="auto"/>
      <w:ind w:left="440"/>
    </w:pPr>
    <w:rPr>
      <w:rFonts w:ascii="Calibri" w:hAnsi="Calibri"/>
      <w:bCs/>
      <w:sz w:val="22"/>
      <w:szCs w:val="22"/>
    </w:rPr>
  </w:style>
  <w:style w:type="paragraph" w:customStyle="1" w:styleId="417">
    <w:name w:val="417"/>
    <w:basedOn w:val="525"/>
    <w:uiPriority w:val="39"/>
    <w:qFormat/>
    <w:pPr>
      <w:widowControl w:val="0"/>
      <w:ind w:leftChars="600" w:left="1260"/>
      <w:jc w:val="both"/>
    </w:pPr>
    <w:rPr>
      <w:rFonts w:ascii="Calibri" w:hAnsi="Calibri" w:cs="Times New Roman"/>
      <w:bCs/>
      <w:kern w:val="2"/>
      <w:szCs w:val="22"/>
    </w:rPr>
  </w:style>
  <w:style w:type="paragraph" w:customStyle="1" w:styleId="416">
    <w:name w:val="416"/>
    <w:basedOn w:val="525"/>
    <w:uiPriority w:val="39"/>
    <w:qFormat/>
    <w:pPr>
      <w:widowControl w:val="0"/>
      <w:ind w:leftChars="800" w:left="1680"/>
      <w:jc w:val="both"/>
    </w:pPr>
    <w:rPr>
      <w:rFonts w:ascii="Calibri" w:hAnsi="Calibri" w:cs="Times New Roman"/>
      <w:bCs/>
      <w:kern w:val="2"/>
      <w:szCs w:val="22"/>
    </w:rPr>
  </w:style>
  <w:style w:type="paragraph" w:customStyle="1" w:styleId="415">
    <w:name w:val="415"/>
    <w:basedOn w:val="525"/>
    <w:uiPriority w:val="39"/>
    <w:qFormat/>
    <w:pPr>
      <w:widowControl w:val="0"/>
      <w:ind w:leftChars="1000" w:left="2100"/>
      <w:jc w:val="both"/>
    </w:pPr>
    <w:rPr>
      <w:rFonts w:ascii="Calibri" w:hAnsi="Calibri" w:cs="Times New Roman"/>
      <w:bCs/>
      <w:kern w:val="2"/>
      <w:szCs w:val="22"/>
    </w:rPr>
  </w:style>
  <w:style w:type="paragraph" w:customStyle="1" w:styleId="414">
    <w:name w:val="414"/>
    <w:basedOn w:val="525"/>
    <w:uiPriority w:val="39"/>
    <w:qFormat/>
    <w:pPr>
      <w:widowControl w:val="0"/>
      <w:ind w:leftChars="1200" w:left="2520"/>
      <w:jc w:val="both"/>
    </w:pPr>
    <w:rPr>
      <w:rFonts w:ascii="Calibri" w:hAnsi="Calibri" w:cs="Times New Roman"/>
      <w:bCs/>
      <w:kern w:val="2"/>
      <w:szCs w:val="22"/>
    </w:rPr>
  </w:style>
  <w:style w:type="paragraph" w:customStyle="1" w:styleId="413">
    <w:name w:val="413"/>
    <w:basedOn w:val="525"/>
    <w:uiPriority w:val="39"/>
    <w:qFormat/>
    <w:pPr>
      <w:widowControl w:val="0"/>
      <w:ind w:leftChars="1400" w:left="2940"/>
      <w:jc w:val="both"/>
    </w:pPr>
    <w:rPr>
      <w:rFonts w:ascii="Calibri" w:hAnsi="Calibri" w:cs="Times New Roman"/>
      <w:bCs/>
      <w:kern w:val="2"/>
      <w:szCs w:val="22"/>
    </w:rPr>
  </w:style>
  <w:style w:type="paragraph" w:customStyle="1" w:styleId="412">
    <w:name w:val="412"/>
    <w:basedOn w:val="525"/>
    <w:uiPriority w:val="39"/>
    <w:qFormat/>
    <w:pPr>
      <w:widowControl w:val="0"/>
      <w:ind w:leftChars="1600" w:left="3360"/>
      <w:jc w:val="both"/>
    </w:pPr>
    <w:rPr>
      <w:rFonts w:ascii="Calibri" w:hAnsi="Calibri" w:cs="Times New Roman"/>
      <w:bCs/>
      <w:kern w:val="2"/>
      <w:szCs w:val="22"/>
    </w:rPr>
  </w:style>
  <w:style w:type="paragraph" w:customStyle="1" w:styleId="411">
    <w:name w:val="411"/>
    <w:basedOn w:val="525"/>
    <w:uiPriority w:val="99"/>
    <w:qFormat/>
    <w:pPr>
      <w:widowControl w:val="0"/>
      <w:tabs>
        <w:tab w:val="left" w:pos="1200"/>
      </w:tabs>
      <w:jc w:val="both"/>
    </w:pPr>
    <w:rPr>
      <w:bCs/>
      <w:kern w:val="2"/>
    </w:rPr>
  </w:style>
  <w:style w:type="paragraph" w:customStyle="1" w:styleId="410">
    <w:name w:val="410"/>
    <w:basedOn w:val="525"/>
    <w:uiPriority w:val="99"/>
    <w:qFormat/>
    <w:pPr>
      <w:keepNext/>
      <w:keepLines/>
      <w:widowControl w:val="0"/>
      <w:spacing w:before="100" w:beforeAutospacing="1" w:after="100" w:afterAutospacing="1" w:line="412" w:lineRule="auto"/>
      <w:jc w:val="both"/>
    </w:pPr>
    <w:rPr>
      <w:b/>
      <w:bCs/>
      <w:kern w:val="2"/>
      <w:szCs w:val="24"/>
    </w:rPr>
  </w:style>
  <w:style w:type="paragraph" w:customStyle="1" w:styleId="407">
    <w:name w:val="407"/>
    <w:basedOn w:val="525"/>
    <w:uiPriority w:val="34"/>
    <w:qFormat/>
    <w:pPr>
      <w:widowControl w:val="0"/>
      <w:ind w:firstLineChars="200" w:firstLine="420"/>
      <w:jc w:val="both"/>
    </w:pPr>
    <w:rPr>
      <w:rFonts w:ascii="Calibri" w:hAnsi="Calibri"/>
      <w:bCs/>
      <w:kern w:val="2"/>
      <w:szCs w:val="22"/>
    </w:rPr>
  </w:style>
  <w:style w:type="paragraph" w:customStyle="1" w:styleId="406">
    <w:name w:val="406"/>
    <w:basedOn w:val="525"/>
    <w:uiPriority w:val="34"/>
    <w:qFormat/>
    <w:pPr>
      <w:widowControl w:val="0"/>
      <w:ind w:firstLineChars="200" w:firstLine="420"/>
      <w:jc w:val="both"/>
    </w:pPr>
    <w:rPr>
      <w:rFonts w:ascii="Calibri" w:hAnsi="Calibri"/>
      <w:bCs/>
      <w:kern w:val="2"/>
      <w:szCs w:val="22"/>
    </w:rPr>
  </w:style>
  <w:style w:type="paragraph" w:customStyle="1" w:styleId="405">
    <w:name w:val="405"/>
    <w:basedOn w:val="525"/>
    <w:uiPriority w:val="34"/>
    <w:qFormat/>
    <w:pPr>
      <w:widowControl w:val="0"/>
      <w:ind w:firstLineChars="200" w:firstLine="420"/>
      <w:jc w:val="both"/>
    </w:pPr>
    <w:rPr>
      <w:rFonts w:ascii="Calibri" w:hAnsi="Calibri"/>
      <w:bCs/>
      <w:kern w:val="2"/>
      <w:szCs w:val="22"/>
    </w:rPr>
  </w:style>
  <w:style w:type="paragraph" w:customStyle="1" w:styleId="404">
    <w:name w:val="404"/>
    <w:basedOn w:val="525"/>
    <w:uiPriority w:val="34"/>
    <w:qFormat/>
    <w:pPr>
      <w:widowControl w:val="0"/>
      <w:ind w:firstLineChars="200" w:firstLine="420"/>
      <w:jc w:val="both"/>
    </w:pPr>
    <w:rPr>
      <w:rFonts w:ascii="Calibri" w:hAnsi="Calibri"/>
      <w:bCs/>
      <w:kern w:val="2"/>
      <w:szCs w:val="22"/>
    </w:rPr>
  </w:style>
  <w:style w:type="paragraph" w:customStyle="1" w:styleId="403">
    <w:name w:val="403"/>
    <w:uiPriority w:val="99"/>
    <w:qFormat/>
    <w:rPr>
      <w:bCs/>
      <w:kern w:val="2"/>
      <w:sz w:val="21"/>
      <w:szCs w:val="24"/>
    </w:rPr>
  </w:style>
  <w:style w:type="paragraph" w:customStyle="1" w:styleId="401">
    <w:name w:val="401"/>
    <w:uiPriority w:val="99"/>
    <w:qFormat/>
    <w:rPr>
      <w:bCs/>
      <w:sz w:val="21"/>
      <w:szCs w:val="24"/>
    </w:rPr>
  </w:style>
  <w:style w:type="paragraph" w:customStyle="1" w:styleId="399">
    <w:name w:val="399"/>
    <w:basedOn w:val="525"/>
    <w:uiPriority w:val="34"/>
    <w:qFormat/>
    <w:pPr>
      <w:widowControl w:val="0"/>
      <w:ind w:firstLineChars="200" w:firstLine="420"/>
      <w:jc w:val="both"/>
    </w:pPr>
    <w:rPr>
      <w:rFonts w:ascii="Calibri" w:hAnsi="Calibri"/>
      <w:bCs/>
      <w:kern w:val="2"/>
      <w:szCs w:val="22"/>
    </w:rPr>
  </w:style>
  <w:style w:type="paragraph" w:customStyle="1" w:styleId="398">
    <w:name w:val="398"/>
    <w:basedOn w:val="525"/>
    <w:uiPriority w:val="34"/>
    <w:qFormat/>
    <w:pPr>
      <w:widowControl w:val="0"/>
      <w:ind w:firstLineChars="200" w:firstLine="420"/>
      <w:jc w:val="both"/>
    </w:pPr>
    <w:rPr>
      <w:rFonts w:ascii="Calibri" w:hAnsi="Calibri"/>
      <w:bCs/>
      <w:kern w:val="2"/>
      <w:szCs w:val="22"/>
    </w:rPr>
  </w:style>
  <w:style w:type="paragraph" w:customStyle="1" w:styleId="397">
    <w:name w:val="397"/>
    <w:basedOn w:val="525"/>
    <w:uiPriority w:val="99"/>
    <w:qFormat/>
    <w:rPr>
      <w:bCs/>
      <w:kern w:val="2"/>
    </w:rPr>
  </w:style>
  <w:style w:type="paragraph" w:customStyle="1" w:styleId="396">
    <w:name w:val="396"/>
    <w:basedOn w:val="525"/>
    <w:uiPriority w:val="59"/>
    <w:qFormat/>
    <w:pPr>
      <w:widowControl w:val="0"/>
    </w:pPr>
    <w:rPr>
      <w:bCs/>
      <w:kern w:val="2"/>
    </w:rPr>
  </w:style>
  <w:style w:type="paragraph" w:customStyle="1" w:styleId="395">
    <w:name w:val="395"/>
    <w:uiPriority w:val="99"/>
    <w:qFormat/>
    <w:rPr>
      <w:bCs/>
      <w:kern w:val="2"/>
      <w:sz w:val="21"/>
      <w:szCs w:val="24"/>
    </w:rPr>
  </w:style>
  <w:style w:type="paragraph" w:customStyle="1" w:styleId="394">
    <w:name w:val="394"/>
    <w:uiPriority w:val="99"/>
    <w:qFormat/>
    <w:rPr>
      <w:bCs/>
      <w:kern w:val="2"/>
      <w:sz w:val="21"/>
      <w:szCs w:val="24"/>
    </w:rPr>
  </w:style>
  <w:style w:type="paragraph" w:customStyle="1" w:styleId="393">
    <w:name w:val="393"/>
    <w:basedOn w:val="525"/>
    <w:uiPriority w:val="99"/>
    <w:qFormat/>
    <w:pPr>
      <w:widowControl w:val="0"/>
      <w:jc w:val="both"/>
    </w:pPr>
    <w:rPr>
      <w:rFonts w:ascii="Calibri" w:hAnsi="Calibri"/>
      <w:bCs/>
      <w:kern w:val="2"/>
      <w:sz w:val="18"/>
      <w:szCs w:val="18"/>
    </w:rPr>
  </w:style>
  <w:style w:type="paragraph" w:customStyle="1" w:styleId="392">
    <w:name w:val="392"/>
    <w:basedOn w:val="525"/>
    <w:uiPriority w:val="99"/>
    <w:qFormat/>
    <w:pPr>
      <w:widowControl w:val="0"/>
      <w:ind w:leftChars="2500" w:left="100"/>
      <w:jc w:val="both"/>
    </w:pPr>
    <w:rPr>
      <w:bCs/>
      <w:kern w:val="2"/>
    </w:rPr>
  </w:style>
  <w:style w:type="paragraph" w:customStyle="1" w:styleId="388">
    <w:name w:val="388"/>
    <w:uiPriority w:val="99"/>
    <w:qFormat/>
    <w:rPr>
      <w:bCs/>
      <w:kern w:val="2"/>
      <w:sz w:val="21"/>
      <w:szCs w:val="24"/>
    </w:rPr>
  </w:style>
  <w:style w:type="paragraph" w:customStyle="1" w:styleId="386">
    <w:name w:val="386"/>
    <w:basedOn w:val="525"/>
    <w:uiPriority w:val="99"/>
    <w:qFormat/>
    <w:pPr>
      <w:keepNext/>
      <w:keepLines/>
      <w:widowControl w:val="0"/>
      <w:spacing w:before="60" w:after="60" w:line="360" w:lineRule="auto"/>
      <w:jc w:val="center"/>
      <w:outlineLvl w:val="0"/>
    </w:pPr>
    <w:rPr>
      <w:rFonts w:ascii="Calibri" w:eastAsia="黑体" w:hAnsi="Calibri"/>
      <w:b/>
      <w:kern w:val="44"/>
      <w:sz w:val="28"/>
      <w:szCs w:val="44"/>
    </w:rPr>
  </w:style>
  <w:style w:type="paragraph" w:customStyle="1" w:styleId="385">
    <w:name w:val="385"/>
    <w:basedOn w:val="525"/>
    <w:uiPriority w:val="9"/>
    <w:qFormat/>
    <w:pPr>
      <w:keepNext/>
      <w:keepLines/>
      <w:widowControl w:val="0"/>
      <w:spacing w:before="60" w:after="60"/>
      <w:jc w:val="both"/>
      <w:outlineLvl w:val="2"/>
    </w:pPr>
    <w:rPr>
      <w:rFonts w:ascii="Calibri" w:hAnsi="Calibri"/>
      <w:b/>
      <w:kern w:val="2"/>
      <w:szCs w:val="32"/>
    </w:rPr>
  </w:style>
  <w:style w:type="paragraph" w:customStyle="1" w:styleId="384">
    <w:name w:val="384"/>
    <w:basedOn w:val="525"/>
    <w:uiPriority w:val="9"/>
    <w:qFormat/>
    <w:pPr>
      <w:keepNext/>
      <w:keepLines/>
      <w:widowControl w:val="0"/>
      <w:spacing w:before="60" w:after="60"/>
      <w:jc w:val="both"/>
      <w:outlineLvl w:val="3"/>
    </w:pPr>
    <w:rPr>
      <w:rFonts w:ascii="Cambria" w:hAnsi="Cambria"/>
      <w:b/>
      <w:kern w:val="2"/>
      <w:szCs w:val="28"/>
    </w:rPr>
  </w:style>
  <w:style w:type="paragraph" w:customStyle="1" w:styleId="383">
    <w:name w:val="383"/>
    <w:basedOn w:val="525"/>
    <w:uiPriority w:val="9"/>
    <w:qFormat/>
    <w:pPr>
      <w:keepNext/>
      <w:keepLines/>
      <w:widowControl w:val="0"/>
      <w:spacing w:before="60" w:after="60"/>
      <w:jc w:val="both"/>
      <w:outlineLvl w:val="4"/>
    </w:pPr>
    <w:rPr>
      <w:rFonts w:ascii="Calibri" w:hAnsi="Calibri"/>
      <w:b/>
      <w:kern w:val="2"/>
      <w:szCs w:val="28"/>
    </w:rPr>
  </w:style>
  <w:style w:type="paragraph" w:customStyle="1" w:styleId="382">
    <w:name w:val="382"/>
    <w:basedOn w:val="525"/>
    <w:uiPriority w:val="9"/>
    <w:qFormat/>
    <w:pPr>
      <w:keepNext/>
      <w:keepLines/>
      <w:spacing w:before="60" w:after="60"/>
      <w:outlineLvl w:val="5"/>
    </w:pPr>
    <w:rPr>
      <w:rFonts w:ascii="Cambria" w:hAnsi="Cambria" w:cs="Times New Roman"/>
      <w:b/>
    </w:rPr>
  </w:style>
  <w:style w:type="paragraph" w:customStyle="1" w:styleId="381">
    <w:name w:val="381"/>
    <w:basedOn w:val="525"/>
    <w:uiPriority w:val="9"/>
    <w:qFormat/>
    <w:pPr>
      <w:keepNext/>
      <w:keepLines/>
      <w:spacing w:before="240" w:after="64" w:line="319" w:lineRule="auto"/>
      <w:outlineLvl w:val="6"/>
    </w:pPr>
    <w:rPr>
      <w:b/>
      <w:sz w:val="24"/>
    </w:rPr>
  </w:style>
  <w:style w:type="paragraph" w:customStyle="1" w:styleId="375">
    <w:name w:val="375"/>
    <w:basedOn w:val="525"/>
    <w:uiPriority w:val="39"/>
    <w:qFormat/>
    <w:pPr>
      <w:widowControl w:val="0"/>
      <w:tabs>
        <w:tab w:val="left" w:pos="1260"/>
        <w:tab w:val="right" w:leader="dot" w:pos="8823"/>
      </w:tabs>
      <w:jc w:val="center"/>
    </w:pPr>
    <w:rPr>
      <w:kern w:val="2"/>
    </w:rPr>
  </w:style>
  <w:style w:type="paragraph" w:customStyle="1" w:styleId="374">
    <w:name w:val="374"/>
    <w:basedOn w:val="525"/>
    <w:uiPriority w:val="39"/>
    <w:qFormat/>
    <w:pPr>
      <w:widowControl w:val="0"/>
      <w:ind w:leftChars="200" w:left="420"/>
      <w:jc w:val="both"/>
    </w:pPr>
    <w:rPr>
      <w:kern w:val="2"/>
    </w:rPr>
  </w:style>
  <w:style w:type="paragraph" w:customStyle="1" w:styleId="372">
    <w:name w:val="372"/>
    <w:basedOn w:val="525"/>
    <w:uiPriority w:val="99"/>
    <w:qFormat/>
    <w:pPr>
      <w:widowControl w:val="0"/>
      <w:jc w:val="both"/>
    </w:pPr>
    <w:rPr>
      <w:rFonts w:ascii="Calibri" w:hAnsi="Calibri"/>
      <w:kern w:val="2"/>
      <w:sz w:val="18"/>
      <w:szCs w:val="18"/>
    </w:rPr>
  </w:style>
  <w:style w:type="paragraph" w:customStyle="1" w:styleId="369">
    <w:name w:val="369"/>
    <w:basedOn w:val="525"/>
    <w:uiPriority w:val="34"/>
    <w:qFormat/>
    <w:pPr>
      <w:widowControl w:val="0"/>
      <w:ind w:firstLineChars="200" w:firstLine="420"/>
      <w:jc w:val="both"/>
    </w:pPr>
    <w:rPr>
      <w:rFonts w:ascii="Calibri" w:hAnsi="Calibri"/>
      <w:kern w:val="2"/>
      <w:szCs w:val="22"/>
    </w:rPr>
  </w:style>
  <w:style w:type="paragraph" w:customStyle="1" w:styleId="367">
    <w:name w:val="367"/>
    <w:basedOn w:val="525"/>
    <w:uiPriority w:val="39"/>
    <w:qFormat/>
    <w:pPr>
      <w:spacing w:after="100" w:line="276" w:lineRule="auto"/>
      <w:ind w:left="440"/>
    </w:pPr>
    <w:rPr>
      <w:rFonts w:ascii="Calibri" w:hAnsi="Calibri"/>
      <w:sz w:val="22"/>
      <w:szCs w:val="22"/>
    </w:rPr>
  </w:style>
  <w:style w:type="paragraph" w:customStyle="1" w:styleId="365">
    <w:name w:val="365"/>
    <w:basedOn w:val="525"/>
    <w:uiPriority w:val="99"/>
    <w:qFormat/>
    <w:pPr>
      <w:widowControl w:val="0"/>
      <w:tabs>
        <w:tab w:val="center" w:pos="4153"/>
        <w:tab w:val="right" w:pos="8306"/>
      </w:tabs>
      <w:snapToGrid w:val="0"/>
    </w:pPr>
    <w:rPr>
      <w:rFonts w:ascii="Calibri" w:hAnsi="Calibri"/>
      <w:kern w:val="2"/>
      <w:sz w:val="18"/>
      <w:szCs w:val="18"/>
    </w:rPr>
  </w:style>
  <w:style w:type="paragraph" w:customStyle="1" w:styleId="363">
    <w:name w:val="363"/>
    <w:basedOn w:val="525"/>
    <w:uiPriority w:val="99"/>
    <w:qFormat/>
    <w:pPr>
      <w:widowControl w:val="0"/>
      <w:jc w:val="both"/>
    </w:pPr>
    <w:rPr>
      <w:rFonts w:hAnsi="Courier New"/>
      <w:kern w:val="2"/>
    </w:rPr>
  </w:style>
  <w:style w:type="paragraph" w:customStyle="1" w:styleId="361">
    <w:name w:val="361"/>
    <w:basedOn w:val="525"/>
    <w:uiPriority w:val="99"/>
    <w:qFormat/>
    <w:pPr>
      <w:widowControl w:val="0"/>
      <w:spacing w:after="120"/>
      <w:jc w:val="both"/>
    </w:pPr>
    <w:rPr>
      <w:kern w:val="2"/>
    </w:rPr>
  </w:style>
  <w:style w:type="paragraph" w:customStyle="1" w:styleId="359">
    <w:name w:val="359"/>
    <w:basedOn w:val="525"/>
    <w:uiPriority w:val="99"/>
    <w:qFormat/>
    <w:pPr>
      <w:widowControl w:val="0"/>
      <w:ind w:leftChars="2500" w:left="100"/>
      <w:jc w:val="both"/>
    </w:pPr>
    <w:rPr>
      <w:kern w:val="2"/>
    </w:rPr>
  </w:style>
  <w:style w:type="paragraph" w:customStyle="1" w:styleId="357">
    <w:name w:val="357"/>
    <w:basedOn w:val="525"/>
    <w:uiPriority w:val="99"/>
    <w:qFormat/>
    <w:pPr>
      <w:widowControl w:val="0"/>
      <w:jc w:val="center"/>
    </w:pPr>
    <w:rPr>
      <w:kern w:val="2"/>
    </w:rPr>
  </w:style>
  <w:style w:type="paragraph" w:customStyle="1" w:styleId="355">
    <w:name w:val="355"/>
    <w:basedOn w:val="525"/>
    <w:uiPriority w:val="99"/>
    <w:semiHidden/>
    <w:qFormat/>
    <w:pPr>
      <w:widowControl w:val="0"/>
      <w:spacing w:before="120"/>
      <w:jc w:val="both"/>
    </w:pPr>
    <w:rPr>
      <w:rFonts w:ascii="Arial" w:hAnsi="Arial"/>
      <w:b/>
      <w:kern w:val="2"/>
    </w:rPr>
  </w:style>
  <w:style w:type="paragraph" w:customStyle="1" w:styleId="354">
    <w:name w:val="354"/>
    <w:basedOn w:val="525"/>
    <w:uiPriority w:val="99"/>
    <w:qFormat/>
    <w:pPr>
      <w:keepNext/>
      <w:keepLines/>
      <w:widowControl w:val="0"/>
      <w:spacing w:before="60" w:after="60"/>
      <w:ind w:hangingChars="200" w:hanging="420"/>
      <w:jc w:val="both"/>
      <w:outlineLvl w:val="4"/>
    </w:pPr>
    <w:rPr>
      <w:b/>
      <w:kern w:val="2"/>
    </w:rPr>
  </w:style>
  <w:style w:type="paragraph" w:customStyle="1" w:styleId="353">
    <w:name w:val="353"/>
    <w:uiPriority w:val="99"/>
    <w:semiHidden/>
    <w:qFormat/>
    <w:rPr>
      <w:kern w:val="2"/>
      <w:sz w:val="21"/>
      <w:szCs w:val="22"/>
    </w:rPr>
  </w:style>
  <w:style w:type="paragraph" w:customStyle="1" w:styleId="351">
    <w:name w:val="351"/>
    <w:basedOn w:val="525"/>
    <w:uiPriority w:val="99"/>
    <w:qFormat/>
    <w:pPr>
      <w:widowControl w:val="0"/>
      <w:spacing w:before="100" w:after="100"/>
      <w:jc w:val="both"/>
    </w:pPr>
    <w:rPr>
      <w:rFonts w:ascii="Calibri" w:hAnsi="Calibri"/>
      <w:kern w:val="2"/>
    </w:rPr>
  </w:style>
  <w:style w:type="paragraph" w:customStyle="1" w:styleId="350">
    <w:name w:val="350"/>
    <w:basedOn w:val="525"/>
    <w:uiPriority w:val="99"/>
    <w:semiHidden/>
    <w:qFormat/>
    <w:pPr>
      <w:widowControl w:val="0"/>
      <w:jc w:val="both"/>
    </w:pPr>
    <w:rPr>
      <w:rFonts w:hAnsi="Calibri"/>
      <w:kern w:val="2"/>
      <w:sz w:val="18"/>
      <w:szCs w:val="18"/>
    </w:rPr>
  </w:style>
  <w:style w:type="paragraph" w:customStyle="1" w:styleId="347">
    <w:name w:val="347"/>
    <w:basedOn w:val="525"/>
    <w:uiPriority w:val="10"/>
    <w:qFormat/>
    <w:pPr>
      <w:widowControl w:val="0"/>
      <w:spacing w:before="240" w:after="60"/>
      <w:jc w:val="center"/>
      <w:outlineLvl w:val="0"/>
    </w:pPr>
    <w:rPr>
      <w:rFonts w:ascii="Cambria" w:hAnsi="Cambria" w:cs="Times New Roman"/>
      <w:b/>
      <w:kern w:val="2"/>
      <w:sz w:val="32"/>
      <w:szCs w:val="32"/>
    </w:rPr>
  </w:style>
  <w:style w:type="paragraph" w:customStyle="1" w:styleId="345">
    <w:name w:val="345"/>
    <w:uiPriority w:val="1"/>
    <w:qFormat/>
    <w:pPr>
      <w:widowControl w:val="0"/>
      <w:jc w:val="both"/>
    </w:pPr>
    <w:rPr>
      <w:kern w:val="2"/>
      <w:sz w:val="21"/>
      <w:szCs w:val="22"/>
    </w:rPr>
  </w:style>
  <w:style w:type="paragraph" w:customStyle="1" w:styleId="344">
    <w:name w:val="344"/>
    <w:basedOn w:val="525"/>
    <w:uiPriority w:val="39"/>
    <w:qFormat/>
    <w:pPr>
      <w:widowControl w:val="0"/>
      <w:ind w:leftChars="600" w:left="1260"/>
      <w:jc w:val="both"/>
    </w:pPr>
    <w:rPr>
      <w:rFonts w:ascii="Calibri" w:hAnsi="Calibri" w:cs="Times New Roman"/>
      <w:kern w:val="2"/>
      <w:szCs w:val="22"/>
    </w:rPr>
  </w:style>
  <w:style w:type="paragraph" w:customStyle="1" w:styleId="343">
    <w:name w:val="343"/>
    <w:basedOn w:val="525"/>
    <w:uiPriority w:val="39"/>
    <w:qFormat/>
    <w:pPr>
      <w:widowControl w:val="0"/>
      <w:ind w:leftChars="800" w:left="1680"/>
      <w:jc w:val="both"/>
    </w:pPr>
    <w:rPr>
      <w:rFonts w:ascii="Calibri" w:hAnsi="Calibri" w:cs="Times New Roman"/>
      <w:kern w:val="2"/>
      <w:szCs w:val="22"/>
    </w:rPr>
  </w:style>
  <w:style w:type="paragraph" w:customStyle="1" w:styleId="342">
    <w:name w:val="342"/>
    <w:basedOn w:val="525"/>
    <w:uiPriority w:val="39"/>
    <w:qFormat/>
    <w:pPr>
      <w:widowControl w:val="0"/>
      <w:ind w:leftChars="1000" w:left="2100"/>
      <w:jc w:val="both"/>
    </w:pPr>
    <w:rPr>
      <w:rFonts w:ascii="Calibri" w:hAnsi="Calibri" w:cs="Times New Roman"/>
      <w:kern w:val="2"/>
      <w:szCs w:val="22"/>
    </w:rPr>
  </w:style>
  <w:style w:type="paragraph" w:customStyle="1" w:styleId="341">
    <w:name w:val="341"/>
    <w:basedOn w:val="525"/>
    <w:uiPriority w:val="39"/>
    <w:qFormat/>
    <w:pPr>
      <w:widowControl w:val="0"/>
      <w:ind w:leftChars="1200" w:left="2520"/>
      <w:jc w:val="both"/>
    </w:pPr>
    <w:rPr>
      <w:rFonts w:ascii="Calibri" w:hAnsi="Calibri" w:cs="Times New Roman"/>
      <w:kern w:val="2"/>
      <w:szCs w:val="22"/>
    </w:rPr>
  </w:style>
  <w:style w:type="paragraph" w:customStyle="1" w:styleId="340">
    <w:name w:val="340"/>
    <w:basedOn w:val="525"/>
    <w:uiPriority w:val="39"/>
    <w:qFormat/>
    <w:pPr>
      <w:widowControl w:val="0"/>
      <w:ind w:leftChars="1400" w:left="2940"/>
      <w:jc w:val="both"/>
    </w:pPr>
    <w:rPr>
      <w:rFonts w:ascii="Calibri" w:hAnsi="Calibri" w:cs="Times New Roman"/>
      <w:kern w:val="2"/>
      <w:szCs w:val="22"/>
    </w:rPr>
  </w:style>
  <w:style w:type="paragraph" w:customStyle="1" w:styleId="339">
    <w:name w:val="339"/>
    <w:basedOn w:val="525"/>
    <w:uiPriority w:val="39"/>
    <w:qFormat/>
    <w:pPr>
      <w:widowControl w:val="0"/>
      <w:ind w:leftChars="1600" w:left="3360"/>
      <w:jc w:val="both"/>
    </w:pPr>
    <w:rPr>
      <w:rFonts w:ascii="Calibri" w:hAnsi="Calibri" w:cs="Times New Roman"/>
      <w:kern w:val="2"/>
      <w:szCs w:val="22"/>
    </w:rPr>
  </w:style>
  <w:style w:type="paragraph" w:customStyle="1" w:styleId="337">
    <w:name w:val="337"/>
    <w:basedOn w:val="525"/>
    <w:uiPriority w:val="99"/>
    <w:qFormat/>
    <w:pPr>
      <w:spacing w:before="100" w:beforeAutospacing="1" w:after="100" w:afterAutospacing="1"/>
    </w:pPr>
    <w:rPr>
      <w:sz w:val="24"/>
    </w:rPr>
  </w:style>
  <w:style w:type="paragraph" w:customStyle="1" w:styleId="336">
    <w:name w:val="336"/>
    <w:basedOn w:val="525"/>
    <w:uiPriority w:val="99"/>
    <w:semiHidden/>
    <w:qFormat/>
    <w:pPr>
      <w:snapToGrid w:val="0"/>
    </w:pPr>
  </w:style>
  <w:style w:type="paragraph" w:customStyle="1" w:styleId="330">
    <w:name w:val="330"/>
    <w:basedOn w:val="525"/>
    <w:uiPriority w:val="99"/>
    <w:qFormat/>
    <w:pPr>
      <w:widowControl w:val="0"/>
      <w:ind w:firstLineChars="200" w:firstLine="420"/>
      <w:jc w:val="both"/>
    </w:pPr>
    <w:rPr>
      <w:kern w:val="2"/>
    </w:rPr>
  </w:style>
  <w:style w:type="paragraph" w:customStyle="1" w:styleId="329">
    <w:name w:val="329"/>
    <w:basedOn w:val="525"/>
    <w:uiPriority w:val="99"/>
    <w:qFormat/>
    <w:pPr>
      <w:widowControl w:val="0"/>
      <w:tabs>
        <w:tab w:val="left" w:pos="1200"/>
      </w:tabs>
      <w:jc w:val="both"/>
    </w:pPr>
    <w:rPr>
      <w:kern w:val="2"/>
    </w:rPr>
  </w:style>
  <w:style w:type="paragraph" w:customStyle="1" w:styleId="328">
    <w:name w:val="328"/>
    <w:basedOn w:val="525"/>
    <w:uiPriority w:val="34"/>
    <w:qFormat/>
    <w:pPr>
      <w:widowControl w:val="0"/>
      <w:ind w:firstLineChars="200" w:firstLine="420"/>
      <w:jc w:val="both"/>
    </w:pPr>
    <w:rPr>
      <w:rFonts w:ascii="Calibri" w:hAnsi="Calibri"/>
      <w:kern w:val="2"/>
      <w:szCs w:val="22"/>
    </w:rPr>
  </w:style>
  <w:style w:type="paragraph" w:customStyle="1" w:styleId="327">
    <w:name w:val="327"/>
    <w:basedOn w:val="525"/>
    <w:uiPriority w:val="34"/>
    <w:qFormat/>
    <w:pPr>
      <w:widowControl w:val="0"/>
      <w:ind w:firstLineChars="200" w:firstLine="420"/>
      <w:jc w:val="both"/>
    </w:pPr>
    <w:rPr>
      <w:rFonts w:ascii="Calibri" w:hAnsi="Calibri"/>
      <w:kern w:val="2"/>
      <w:szCs w:val="22"/>
    </w:rPr>
  </w:style>
  <w:style w:type="paragraph" w:customStyle="1" w:styleId="326">
    <w:name w:val="326"/>
    <w:basedOn w:val="525"/>
    <w:uiPriority w:val="34"/>
    <w:qFormat/>
    <w:pPr>
      <w:widowControl w:val="0"/>
      <w:ind w:firstLineChars="200" w:firstLine="420"/>
      <w:jc w:val="both"/>
    </w:pPr>
    <w:rPr>
      <w:rFonts w:ascii="Calibri" w:hAnsi="Calibri"/>
      <w:kern w:val="2"/>
      <w:szCs w:val="22"/>
    </w:rPr>
  </w:style>
  <w:style w:type="paragraph" w:customStyle="1" w:styleId="325">
    <w:name w:val="325"/>
    <w:basedOn w:val="525"/>
    <w:uiPriority w:val="34"/>
    <w:qFormat/>
    <w:pPr>
      <w:widowControl w:val="0"/>
      <w:ind w:firstLineChars="200" w:firstLine="420"/>
      <w:jc w:val="both"/>
    </w:pPr>
    <w:rPr>
      <w:rFonts w:ascii="Calibri" w:hAnsi="Calibri"/>
      <w:kern w:val="2"/>
      <w:szCs w:val="22"/>
    </w:rPr>
  </w:style>
  <w:style w:type="paragraph" w:customStyle="1" w:styleId="323">
    <w:name w:val="323"/>
    <w:basedOn w:val="525"/>
    <w:uiPriority w:val="34"/>
    <w:qFormat/>
    <w:pPr>
      <w:widowControl w:val="0"/>
      <w:ind w:firstLineChars="200" w:firstLine="420"/>
      <w:jc w:val="both"/>
    </w:pPr>
    <w:rPr>
      <w:rFonts w:ascii="Calibri" w:hAnsi="Calibri"/>
      <w:kern w:val="2"/>
      <w:szCs w:val="22"/>
    </w:rPr>
  </w:style>
  <w:style w:type="paragraph" w:customStyle="1" w:styleId="321">
    <w:name w:val="321"/>
    <w:basedOn w:val="525"/>
    <w:uiPriority w:val="34"/>
    <w:qFormat/>
    <w:pPr>
      <w:widowControl w:val="0"/>
      <w:ind w:firstLineChars="200" w:firstLine="420"/>
      <w:jc w:val="both"/>
    </w:pPr>
    <w:rPr>
      <w:rFonts w:ascii="Calibri" w:hAnsi="Calibri"/>
      <w:kern w:val="2"/>
      <w:szCs w:val="22"/>
    </w:rPr>
  </w:style>
  <w:style w:type="paragraph" w:customStyle="1" w:styleId="319">
    <w:name w:val="319"/>
    <w:uiPriority w:val="99"/>
    <w:qFormat/>
    <w:rPr>
      <w:sz w:val="21"/>
      <w:szCs w:val="24"/>
    </w:rPr>
  </w:style>
  <w:style w:type="paragraph" w:customStyle="1" w:styleId="318">
    <w:name w:val="318"/>
    <w:uiPriority w:val="99"/>
    <w:qFormat/>
    <w:pPr>
      <w:widowControl w:val="0"/>
      <w:autoSpaceDE w:val="0"/>
      <w:autoSpaceDN w:val="0"/>
      <w:adjustRightInd w:val="0"/>
    </w:pPr>
    <w:rPr>
      <w:rFonts w:ascii="黑体" w:eastAsia="黑体" w:cs="黑体"/>
      <w:color w:val="000000"/>
      <w:sz w:val="24"/>
      <w:szCs w:val="24"/>
    </w:rPr>
  </w:style>
  <w:style w:type="paragraph" w:customStyle="1" w:styleId="317">
    <w:name w:val="317"/>
    <w:basedOn w:val="525"/>
    <w:uiPriority w:val="99"/>
    <w:qFormat/>
    <w:pPr>
      <w:widowControl w:val="0"/>
      <w:jc w:val="both"/>
    </w:pPr>
    <w:rPr>
      <w:rFonts w:ascii="Calibri" w:hAnsi="Calibri"/>
      <w:kern w:val="2"/>
      <w:sz w:val="18"/>
      <w:szCs w:val="18"/>
    </w:rPr>
  </w:style>
  <w:style w:type="paragraph" w:customStyle="1" w:styleId="315">
    <w:name w:val="315"/>
    <w:basedOn w:val="525"/>
    <w:uiPriority w:val="34"/>
    <w:qFormat/>
    <w:pPr>
      <w:widowControl w:val="0"/>
      <w:ind w:firstLineChars="200" w:firstLine="420"/>
      <w:jc w:val="both"/>
    </w:pPr>
    <w:rPr>
      <w:rFonts w:ascii="Calibri" w:hAnsi="Calibri"/>
      <w:kern w:val="2"/>
      <w:szCs w:val="22"/>
    </w:rPr>
  </w:style>
  <w:style w:type="paragraph" w:customStyle="1" w:styleId="313">
    <w:name w:val="313"/>
    <w:basedOn w:val="525"/>
    <w:uiPriority w:val="39"/>
    <w:qFormat/>
    <w:pPr>
      <w:spacing w:after="100" w:line="276" w:lineRule="auto"/>
      <w:ind w:left="440"/>
    </w:pPr>
    <w:rPr>
      <w:rFonts w:ascii="Calibri" w:hAnsi="Calibri"/>
      <w:sz w:val="22"/>
      <w:szCs w:val="22"/>
    </w:rPr>
  </w:style>
  <w:style w:type="paragraph" w:customStyle="1" w:styleId="311">
    <w:name w:val="311"/>
    <w:basedOn w:val="525"/>
    <w:uiPriority w:val="99"/>
    <w:qFormat/>
    <w:pPr>
      <w:widowControl w:val="0"/>
      <w:tabs>
        <w:tab w:val="center" w:pos="4153"/>
        <w:tab w:val="right" w:pos="8306"/>
      </w:tabs>
      <w:snapToGrid w:val="0"/>
    </w:pPr>
    <w:rPr>
      <w:rFonts w:ascii="Calibri" w:hAnsi="Calibri"/>
      <w:kern w:val="2"/>
      <w:sz w:val="18"/>
      <w:szCs w:val="18"/>
    </w:rPr>
  </w:style>
  <w:style w:type="paragraph" w:customStyle="1" w:styleId="3103">
    <w:name w:val="310"/>
    <w:basedOn w:val="525"/>
    <w:uiPriority w:val="99"/>
    <w:qFormat/>
    <w:pPr>
      <w:widowControl w:val="0"/>
      <w:jc w:val="both"/>
    </w:pPr>
    <w:rPr>
      <w:rFonts w:hAnsi="Courier New"/>
      <w:kern w:val="2"/>
    </w:rPr>
  </w:style>
  <w:style w:type="paragraph" w:customStyle="1" w:styleId="308">
    <w:name w:val="308"/>
    <w:basedOn w:val="525"/>
    <w:uiPriority w:val="99"/>
    <w:qFormat/>
    <w:pPr>
      <w:widowControl w:val="0"/>
      <w:spacing w:after="120"/>
      <w:jc w:val="both"/>
    </w:pPr>
    <w:rPr>
      <w:kern w:val="2"/>
    </w:rPr>
  </w:style>
  <w:style w:type="paragraph" w:customStyle="1" w:styleId="306">
    <w:name w:val="306"/>
    <w:basedOn w:val="525"/>
    <w:uiPriority w:val="99"/>
    <w:qFormat/>
    <w:pPr>
      <w:widowControl w:val="0"/>
      <w:ind w:leftChars="2500" w:left="100"/>
      <w:jc w:val="both"/>
    </w:pPr>
    <w:rPr>
      <w:kern w:val="2"/>
    </w:rPr>
  </w:style>
  <w:style w:type="paragraph" w:customStyle="1" w:styleId="304">
    <w:name w:val="304"/>
    <w:basedOn w:val="525"/>
    <w:uiPriority w:val="99"/>
    <w:qFormat/>
    <w:pPr>
      <w:widowControl w:val="0"/>
      <w:jc w:val="center"/>
    </w:pPr>
    <w:rPr>
      <w:kern w:val="2"/>
    </w:rPr>
  </w:style>
  <w:style w:type="paragraph" w:customStyle="1" w:styleId="302">
    <w:name w:val="302"/>
    <w:basedOn w:val="525"/>
    <w:uiPriority w:val="99"/>
    <w:semiHidden/>
    <w:qFormat/>
    <w:pPr>
      <w:widowControl w:val="0"/>
      <w:spacing w:before="120"/>
      <w:jc w:val="both"/>
    </w:pPr>
    <w:rPr>
      <w:rFonts w:ascii="Arial" w:hAnsi="Arial"/>
      <w:b/>
      <w:kern w:val="2"/>
    </w:rPr>
  </w:style>
  <w:style w:type="paragraph" w:customStyle="1" w:styleId="301">
    <w:name w:val="301"/>
    <w:basedOn w:val="525"/>
    <w:uiPriority w:val="99"/>
    <w:qFormat/>
    <w:pPr>
      <w:keepNext/>
      <w:keepLines/>
      <w:widowControl w:val="0"/>
      <w:spacing w:before="60" w:after="60"/>
      <w:ind w:hangingChars="200" w:hanging="420"/>
      <w:jc w:val="both"/>
      <w:outlineLvl w:val="4"/>
    </w:pPr>
    <w:rPr>
      <w:b/>
      <w:kern w:val="2"/>
    </w:rPr>
  </w:style>
  <w:style w:type="paragraph" w:customStyle="1" w:styleId="300">
    <w:name w:val="300"/>
    <w:uiPriority w:val="99"/>
    <w:semiHidden/>
    <w:qFormat/>
    <w:rPr>
      <w:kern w:val="2"/>
      <w:sz w:val="21"/>
      <w:szCs w:val="22"/>
    </w:rPr>
  </w:style>
  <w:style w:type="paragraph" w:customStyle="1" w:styleId="298">
    <w:name w:val="298"/>
    <w:basedOn w:val="525"/>
    <w:uiPriority w:val="99"/>
    <w:qFormat/>
    <w:pPr>
      <w:widowControl w:val="0"/>
      <w:spacing w:before="100" w:after="100"/>
      <w:jc w:val="both"/>
    </w:pPr>
    <w:rPr>
      <w:rFonts w:ascii="Calibri" w:hAnsi="Calibri"/>
      <w:kern w:val="2"/>
    </w:rPr>
  </w:style>
  <w:style w:type="paragraph" w:customStyle="1" w:styleId="297">
    <w:name w:val="297"/>
    <w:basedOn w:val="525"/>
    <w:uiPriority w:val="99"/>
    <w:semiHidden/>
    <w:qFormat/>
    <w:pPr>
      <w:widowControl w:val="0"/>
      <w:jc w:val="both"/>
    </w:pPr>
    <w:rPr>
      <w:rFonts w:hAnsi="Calibri"/>
      <w:kern w:val="2"/>
      <w:sz w:val="18"/>
      <w:szCs w:val="18"/>
    </w:rPr>
  </w:style>
  <w:style w:type="paragraph" w:customStyle="1" w:styleId="294">
    <w:name w:val="294"/>
    <w:basedOn w:val="525"/>
    <w:uiPriority w:val="10"/>
    <w:qFormat/>
    <w:pPr>
      <w:widowControl w:val="0"/>
      <w:spacing w:before="240" w:after="60"/>
      <w:jc w:val="center"/>
      <w:outlineLvl w:val="0"/>
    </w:pPr>
    <w:rPr>
      <w:rFonts w:ascii="Cambria" w:hAnsi="Cambria" w:cs="Times New Roman"/>
      <w:b/>
      <w:kern w:val="2"/>
      <w:sz w:val="32"/>
      <w:szCs w:val="32"/>
    </w:rPr>
  </w:style>
  <w:style w:type="paragraph" w:customStyle="1" w:styleId="292">
    <w:name w:val="292"/>
    <w:uiPriority w:val="1"/>
    <w:qFormat/>
    <w:pPr>
      <w:widowControl w:val="0"/>
      <w:jc w:val="both"/>
    </w:pPr>
    <w:rPr>
      <w:kern w:val="2"/>
      <w:sz w:val="21"/>
      <w:szCs w:val="22"/>
    </w:rPr>
  </w:style>
  <w:style w:type="paragraph" w:customStyle="1" w:styleId="291">
    <w:name w:val="291"/>
    <w:basedOn w:val="525"/>
    <w:uiPriority w:val="39"/>
    <w:qFormat/>
    <w:pPr>
      <w:widowControl w:val="0"/>
      <w:ind w:leftChars="1600" w:left="3360"/>
      <w:jc w:val="both"/>
    </w:pPr>
    <w:rPr>
      <w:rFonts w:ascii="Calibri" w:hAnsi="Calibri" w:cs="Times New Roman"/>
      <w:kern w:val="2"/>
      <w:szCs w:val="22"/>
    </w:rPr>
  </w:style>
  <w:style w:type="paragraph" w:customStyle="1" w:styleId="289">
    <w:name w:val="289"/>
    <w:basedOn w:val="525"/>
    <w:uiPriority w:val="99"/>
    <w:qFormat/>
    <w:pPr>
      <w:spacing w:before="100" w:beforeAutospacing="1" w:after="100" w:afterAutospacing="1"/>
    </w:pPr>
    <w:rPr>
      <w:sz w:val="24"/>
    </w:rPr>
  </w:style>
  <w:style w:type="paragraph" w:customStyle="1" w:styleId="288">
    <w:name w:val="288"/>
    <w:basedOn w:val="525"/>
    <w:uiPriority w:val="99"/>
    <w:semiHidden/>
    <w:qFormat/>
    <w:pPr>
      <w:snapToGrid w:val="0"/>
    </w:pPr>
  </w:style>
  <w:style w:type="paragraph" w:customStyle="1" w:styleId="283">
    <w:name w:val="283"/>
    <w:basedOn w:val="525"/>
    <w:uiPriority w:val="99"/>
    <w:qFormat/>
    <w:pPr>
      <w:widowControl w:val="0"/>
      <w:ind w:firstLineChars="200" w:firstLine="420"/>
      <w:jc w:val="both"/>
    </w:pPr>
    <w:rPr>
      <w:kern w:val="2"/>
    </w:rPr>
  </w:style>
  <w:style w:type="paragraph" w:customStyle="1" w:styleId="282">
    <w:name w:val="282"/>
    <w:basedOn w:val="525"/>
    <w:uiPriority w:val="99"/>
    <w:qFormat/>
    <w:pPr>
      <w:widowControl w:val="0"/>
      <w:tabs>
        <w:tab w:val="left" w:pos="1200"/>
      </w:tabs>
      <w:jc w:val="both"/>
    </w:pPr>
    <w:rPr>
      <w:kern w:val="2"/>
    </w:rPr>
  </w:style>
  <w:style w:type="paragraph" w:customStyle="1" w:styleId="281">
    <w:name w:val="281"/>
    <w:basedOn w:val="525"/>
    <w:uiPriority w:val="34"/>
    <w:qFormat/>
    <w:pPr>
      <w:widowControl w:val="0"/>
      <w:ind w:firstLineChars="200" w:firstLine="420"/>
      <w:jc w:val="both"/>
    </w:pPr>
    <w:rPr>
      <w:rFonts w:ascii="Calibri" w:hAnsi="Calibri"/>
      <w:kern w:val="2"/>
      <w:szCs w:val="22"/>
    </w:rPr>
  </w:style>
  <w:style w:type="paragraph" w:customStyle="1" w:styleId="279">
    <w:name w:val="279"/>
    <w:basedOn w:val="525"/>
    <w:uiPriority w:val="34"/>
    <w:qFormat/>
    <w:pPr>
      <w:widowControl w:val="0"/>
      <w:ind w:firstLineChars="200" w:firstLine="420"/>
      <w:jc w:val="both"/>
    </w:pPr>
    <w:rPr>
      <w:rFonts w:ascii="Calibri" w:hAnsi="Calibri"/>
      <w:kern w:val="2"/>
      <w:szCs w:val="22"/>
    </w:rPr>
  </w:style>
  <w:style w:type="paragraph" w:customStyle="1" w:styleId="277">
    <w:name w:val="277"/>
    <w:basedOn w:val="525"/>
    <w:uiPriority w:val="34"/>
    <w:qFormat/>
    <w:pPr>
      <w:widowControl w:val="0"/>
      <w:ind w:firstLineChars="200" w:firstLine="420"/>
      <w:jc w:val="both"/>
    </w:pPr>
    <w:rPr>
      <w:rFonts w:ascii="Calibri" w:hAnsi="Calibri"/>
      <w:kern w:val="2"/>
      <w:szCs w:val="22"/>
    </w:rPr>
  </w:style>
  <w:style w:type="paragraph" w:customStyle="1" w:styleId="275">
    <w:name w:val="275"/>
    <w:uiPriority w:val="99"/>
    <w:qFormat/>
    <w:rPr>
      <w:sz w:val="21"/>
      <w:szCs w:val="24"/>
    </w:rPr>
  </w:style>
  <w:style w:type="paragraph" w:customStyle="1" w:styleId="274">
    <w:name w:val="274"/>
    <w:uiPriority w:val="99"/>
    <w:qFormat/>
    <w:pPr>
      <w:widowControl w:val="0"/>
      <w:autoSpaceDE w:val="0"/>
      <w:autoSpaceDN w:val="0"/>
      <w:adjustRightInd w:val="0"/>
    </w:pPr>
    <w:rPr>
      <w:rFonts w:ascii="黑体" w:eastAsia="黑体" w:cs="黑体"/>
      <w:color w:val="000000"/>
      <w:sz w:val="24"/>
      <w:szCs w:val="24"/>
    </w:rPr>
  </w:style>
  <w:style w:type="paragraph" w:customStyle="1" w:styleId="273">
    <w:name w:val="273"/>
    <w:basedOn w:val="525"/>
    <w:uiPriority w:val="99"/>
    <w:qFormat/>
    <w:pPr>
      <w:widowControl w:val="0"/>
      <w:jc w:val="both"/>
    </w:pPr>
    <w:rPr>
      <w:rFonts w:ascii="Calibri" w:hAnsi="Calibri"/>
      <w:kern w:val="2"/>
      <w:sz w:val="18"/>
      <w:szCs w:val="18"/>
    </w:rPr>
  </w:style>
  <w:style w:type="paragraph" w:customStyle="1" w:styleId="271">
    <w:name w:val="271"/>
    <w:basedOn w:val="525"/>
    <w:uiPriority w:val="34"/>
    <w:qFormat/>
    <w:pPr>
      <w:widowControl w:val="0"/>
      <w:ind w:firstLineChars="200" w:firstLine="420"/>
      <w:jc w:val="both"/>
    </w:pPr>
    <w:rPr>
      <w:rFonts w:ascii="Calibri" w:hAnsi="Calibri"/>
      <w:kern w:val="2"/>
      <w:szCs w:val="22"/>
    </w:rPr>
  </w:style>
  <w:style w:type="paragraph" w:customStyle="1" w:styleId="269">
    <w:name w:val="269"/>
    <w:basedOn w:val="525"/>
    <w:uiPriority w:val="39"/>
    <w:qFormat/>
    <w:pPr>
      <w:spacing w:after="100" w:line="276" w:lineRule="auto"/>
      <w:ind w:left="440"/>
    </w:pPr>
    <w:rPr>
      <w:rFonts w:ascii="Calibri" w:hAnsi="Calibri"/>
      <w:sz w:val="22"/>
      <w:szCs w:val="22"/>
    </w:rPr>
  </w:style>
  <w:style w:type="paragraph" w:customStyle="1" w:styleId="267">
    <w:name w:val="267"/>
    <w:basedOn w:val="525"/>
    <w:uiPriority w:val="99"/>
    <w:qFormat/>
    <w:pPr>
      <w:widowControl w:val="0"/>
      <w:tabs>
        <w:tab w:val="center" w:pos="4153"/>
        <w:tab w:val="right" w:pos="8306"/>
      </w:tabs>
      <w:snapToGrid w:val="0"/>
    </w:pPr>
    <w:rPr>
      <w:rFonts w:ascii="Calibri" w:hAnsi="Calibri"/>
      <w:kern w:val="2"/>
      <w:sz w:val="18"/>
      <w:szCs w:val="18"/>
    </w:rPr>
  </w:style>
  <w:style w:type="paragraph" w:customStyle="1" w:styleId="266">
    <w:name w:val="266"/>
    <w:basedOn w:val="525"/>
    <w:uiPriority w:val="99"/>
    <w:qFormat/>
    <w:pPr>
      <w:widowControl w:val="0"/>
      <w:jc w:val="both"/>
    </w:pPr>
    <w:rPr>
      <w:rFonts w:hAnsi="Courier New"/>
      <w:kern w:val="2"/>
    </w:rPr>
  </w:style>
  <w:style w:type="paragraph" w:customStyle="1" w:styleId="264">
    <w:name w:val="264"/>
    <w:basedOn w:val="525"/>
    <w:uiPriority w:val="99"/>
    <w:qFormat/>
    <w:pPr>
      <w:widowControl w:val="0"/>
      <w:spacing w:after="120"/>
      <w:jc w:val="both"/>
    </w:pPr>
    <w:rPr>
      <w:kern w:val="2"/>
    </w:rPr>
  </w:style>
  <w:style w:type="paragraph" w:customStyle="1" w:styleId="262">
    <w:name w:val="262"/>
    <w:basedOn w:val="525"/>
    <w:uiPriority w:val="99"/>
    <w:qFormat/>
    <w:pPr>
      <w:widowControl w:val="0"/>
      <w:ind w:leftChars="2500" w:left="100"/>
      <w:jc w:val="both"/>
    </w:pPr>
    <w:rPr>
      <w:kern w:val="2"/>
    </w:rPr>
  </w:style>
  <w:style w:type="paragraph" w:customStyle="1" w:styleId="260">
    <w:name w:val="260"/>
    <w:basedOn w:val="525"/>
    <w:uiPriority w:val="99"/>
    <w:qFormat/>
    <w:pPr>
      <w:widowControl w:val="0"/>
      <w:jc w:val="center"/>
    </w:pPr>
    <w:rPr>
      <w:kern w:val="2"/>
    </w:rPr>
  </w:style>
  <w:style w:type="paragraph" w:customStyle="1" w:styleId="258">
    <w:name w:val="258"/>
    <w:basedOn w:val="525"/>
    <w:uiPriority w:val="99"/>
    <w:semiHidden/>
    <w:qFormat/>
    <w:pPr>
      <w:widowControl w:val="0"/>
      <w:spacing w:before="120"/>
      <w:jc w:val="both"/>
    </w:pPr>
    <w:rPr>
      <w:rFonts w:ascii="Arial" w:hAnsi="Arial"/>
      <w:b/>
      <w:kern w:val="2"/>
    </w:rPr>
  </w:style>
  <w:style w:type="paragraph" w:customStyle="1" w:styleId="257">
    <w:name w:val="257"/>
    <w:basedOn w:val="525"/>
    <w:uiPriority w:val="99"/>
    <w:qFormat/>
    <w:pPr>
      <w:keepNext/>
      <w:keepLines/>
      <w:widowControl w:val="0"/>
      <w:spacing w:before="60" w:after="60"/>
      <w:ind w:hangingChars="200" w:hanging="420"/>
      <w:jc w:val="both"/>
      <w:outlineLvl w:val="4"/>
    </w:pPr>
    <w:rPr>
      <w:b/>
      <w:kern w:val="2"/>
    </w:rPr>
  </w:style>
  <w:style w:type="paragraph" w:customStyle="1" w:styleId="256">
    <w:name w:val="256"/>
    <w:uiPriority w:val="99"/>
    <w:semiHidden/>
    <w:qFormat/>
    <w:rPr>
      <w:kern w:val="2"/>
      <w:sz w:val="21"/>
      <w:szCs w:val="22"/>
    </w:rPr>
  </w:style>
  <w:style w:type="paragraph" w:customStyle="1" w:styleId="254">
    <w:name w:val="254"/>
    <w:basedOn w:val="525"/>
    <w:uiPriority w:val="99"/>
    <w:qFormat/>
    <w:pPr>
      <w:widowControl w:val="0"/>
      <w:spacing w:before="100" w:after="100"/>
      <w:jc w:val="both"/>
    </w:pPr>
    <w:rPr>
      <w:rFonts w:ascii="Calibri" w:hAnsi="Calibri"/>
      <w:kern w:val="2"/>
    </w:rPr>
  </w:style>
  <w:style w:type="paragraph" w:customStyle="1" w:styleId="253">
    <w:name w:val="253"/>
    <w:basedOn w:val="525"/>
    <w:uiPriority w:val="99"/>
    <w:semiHidden/>
    <w:qFormat/>
    <w:pPr>
      <w:widowControl w:val="0"/>
      <w:jc w:val="both"/>
    </w:pPr>
    <w:rPr>
      <w:rFonts w:hAnsi="Calibri"/>
      <w:kern w:val="2"/>
      <w:sz w:val="18"/>
      <w:szCs w:val="18"/>
    </w:rPr>
  </w:style>
  <w:style w:type="paragraph" w:customStyle="1" w:styleId="250">
    <w:name w:val="250"/>
    <w:basedOn w:val="525"/>
    <w:uiPriority w:val="10"/>
    <w:qFormat/>
    <w:pPr>
      <w:widowControl w:val="0"/>
      <w:spacing w:before="240" w:after="60"/>
      <w:jc w:val="center"/>
      <w:outlineLvl w:val="0"/>
    </w:pPr>
    <w:rPr>
      <w:rFonts w:ascii="Cambria" w:hAnsi="Cambria" w:cs="Times New Roman"/>
      <w:b/>
      <w:kern w:val="2"/>
      <w:sz w:val="32"/>
      <w:szCs w:val="32"/>
    </w:rPr>
  </w:style>
  <w:style w:type="paragraph" w:customStyle="1" w:styleId="248">
    <w:name w:val="248"/>
    <w:uiPriority w:val="1"/>
    <w:qFormat/>
    <w:pPr>
      <w:widowControl w:val="0"/>
      <w:jc w:val="both"/>
    </w:pPr>
    <w:rPr>
      <w:kern w:val="2"/>
      <w:sz w:val="21"/>
      <w:szCs w:val="22"/>
    </w:rPr>
  </w:style>
  <w:style w:type="paragraph" w:customStyle="1" w:styleId="247">
    <w:name w:val="247"/>
    <w:basedOn w:val="525"/>
    <w:uiPriority w:val="39"/>
    <w:qFormat/>
    <w:pPr>
      <w:widowControl w:val="0"/>
      <w:ind w:leftChars="1600" w:left="3360"/>
      <w:jc w:val="both"/>
    </w:pPr>
    <w:rPr>
      <w:rFonts w:ascii="Calibri" w:hAnsi="Calibri" w:cs="Times New Roman"/>
      <w:kern w:val="2"/>
      <w:szCs w:val="22"/>
    </w:rPr>
  </w:style>
  <w:style w:type="paragraph" w:customStyle="1" w:styleId="245">
    <w:name w:val="245"/>
    <w:basedOn w:val="525"/>
    <w:uiPriority w:val="99"/>
    <w:qFormat/>
    <w:pPr>
      <w:spacing w:before="100" w:beforeAutospacing="1" w:after="100" w:afterAutospacing="1"/>
    </w:pPr>
    <w:rPr>
      <w:sz w:val="24"/>
    </w:rPr>
  </w:style>
  <w:style w:type="paragraph" w:customStyle="1" w:styleId="244">
    <w:name w:val="244"/>
    <w:basedOn w:val="525"/>
    <w:uiPriority w:val="99"/>
    <w:semiHidden/>
    <w:qFormat/>
    <w:pPr>
      <w:snapToGrid w:val="0"/>
    </w:pPr>
  </w:style>
  <w:style w:type="paragraph" w:customStyle="1" w:styleId="239">
    <w:name w:val="239"/>
    <w:basedOn w:val="525"/>
    <w:uiPriority w:val="99"/>
    <w:qFormat/>
    <w:pPr>
      <w:widowControl w:val="0"/>
      <w:ind w:firstLineChars="200" w:firstLine="420"/>
      <w:jc w:val="both"/>
    </w:pPr>
    <w:rPr>
      <w:kern w:val="2"/>
    </w:rPr>
  </w:style>
  <w:style w:type="paragraph" w:customStyle="1" w:styleId="238">
    <w:name w:val="238"/>
    <w:basedOn w:val="525"/>
    <w:uiPriority w:val="99"/>
    <w:qFormat/>
    <w:pPr>
      <w:widowControl w:val="0"/>
      <w:tabs>
        <w:tab w:val="left" w:pos="1200"/>
      </w:tabs>
      <w:jc w:val="both"/>
    </w:pPr>
    <w:rPr>
      <w:kern w:val="2"/>
    </w:rPr>
  </w:style>
  <w:style w:type="paragraph" w:customStyle="1" w:styleId="237">
    <w:name w:val="237"/>
    <w:basedOn w:val="525"/>
    <w:uiPriority w:val="34"/>
    <w:qFormat/>
    <w:pPr>
      <w:widowControl w:val="0"/>
      <w:ind w:firstLineChars="200" w:firstLine="420"/>
      <w:jc w:val="both"/>
    </w:pPr>
    <w:rPr>
      <w:rFonts w:ascii="Calibri" w:hAnsi="Calibri"/>
      <w:kern w:val="2"/>
      <w:szCs w:val="22"/>
    </w:rPr>
  </w:style>
  <w:style w:type="paragraph" w:customStyle="1" w:styleId="235">
    <w:name w:val="235"/>
    <w:basedOn w:val="525"/>
    <w:uiPriority w:val="34"/>
    <w:qFormat/>
    <w:pPr>
      <w:widowControl w:val="0"/>
      <w:ind w:firstLineChars="200" w:firstLine="420"/>
      <w:jc w:val="both"/>
    </w:pPr>
    <w:rPr>
      <w:rFonts w:ascii="Calibri" w:hAnsi="Calibri"/>
      <w:kern w:val="2"/>
      <w:szCs w:val="22"/>
    </w:rPr>
  </w:style>
  <w:style w:type="paragraph" w:customStyle="1" w:styleId="233">
    <w:name w:val="233"/>
    <w:basedOn w:val="525"/>
    <w:uiPriority w:val="34"/>
    <w:qFormat/>
    <w:pPr>
      <w:widowControl w:val="0"/>
      <w:ind w:firstLineChars="200" w:firstLine="420"/>
      <w:jc w:val="both"/>
    </w:pPr>
    <w:rPr>
      <w:rFonts w:ascii="Calibri" w:hAnsi="Calibri"/>
      <w:kern w:val="2"/>
      <w:szCs w:val="22"/>
    </w:rPr>
  </w:style>
  <w:style w:type="paragraph" w:customStyle="1" w:styleId="231">
    <w:name w:val="231"/>
    <w:uiPriority w:val="99"/>
    <w:qFormat/>
    <w:rPr>
      <w:sz w:val="21"/>
      <w:szCs w:val="24"/>
    </w:rPr>
  </w:style>
  <w:style w:type="paragraph" w:customStyle="1" w:styleId="230">
    <w:name w:val="230"/>
    <w:uiPriority w:val="99"/>
    <w:qFormat/>
    <w:pPr>
      <w:widowControl w:val="0"/>
      <w:autoSpaceDE w:val="0"/>
      <w:autoSpaceDN w:val="0"/>
      <w:adjustRightInd w:val="0"/>
    </w:pPr>
    <w:rPr>
      <w:rFonts w:ascii="黑体" w:eastAsia="黑体" w:cs="黑体"/>
      <w:color w:val="000000"/>
      <w:sz w:val="24"/>
      <w:szCs w:val="24"/>
    </w:rPr>
  </w:style>
  <w:style w:type="paragraph" w:customStyle="1" w:styleId="229">
    <w:name w:val="229"/>
    <w:basedOn w:val="482"/>
    <w:uiPriority w:val="99"/>
    <w:qFormat/>
    <w:pPr>
      <w:keepNext/>
      <w:keepLines/>
      <w:widowControl w:val="0"/>
      <w:spacing w:before="60" w:after="60" w:line="360" w:lineRule="auto"/>
      <w:jc w:val="center"/>
      <w:outlineLvl w:val="0"/>
    </w:pPr>
    <w:rPr>
      <w:rFonts w:ascii="Calibri" w:eastAsia="黑体" w:hAnsi="Calibri"/>
      <w:b/>
      <w:bCs/>
      <w:kern w:val="44"/>
      <w:sz w:val="28"/>
      <w:szCs w:val="44"/>
    </w:rPr>
  </w:style>
  <w:style w:type="paragraph" w:customStyle="1" w:styleId="228">
    <w:name w:val="228"/>
    <w:basedOn w:val="482"/>
    <w:uiPriority w:val="99"/>
    <w:semiHidden/>
    <w:qFormat/>
    <w:pPr>
      <w:keepNext/>
      <w:keepLines/>
      <w:widowControl w:val="0"/>
      <w:spacing w:before="60" w:after="60"/>
      <w:ind w:left="200" w:hangingChars="200" w:hanging="200"/>
      <w:jc w:val="both"/>
      <w:outlineLvl w:val="1"/>
    </w:pPr>
    <w:rPr>
      <w:rFonts w:ascii="Arial" w:hAnsi="Arial"/>
      <w:b/>
      <w:bCs/>
      <w:kern w:val="2"/>
    </w:rPr>
  </w:style>
  <w:style w:type="paragraph" w:customStyle="1" w:styleId="227">
    <w:name w:val="227"/>
    <w:basedOn w:val="482"/>
    <w:uiPriority w:val="99"/>
    <w:semiHidden/>
    <w:qFormat/>
    <w:pPr>
      <w:keepNext/>
      <w:keepLines/>
      <w:widowControl w:val="0"/>
      <w:spacing w:before="60" w:after="60"/>
      <w:jc w:val="both"/>
      <w:outlineLvl w:val="2"/>
    </w:pPr>
    <w:rPr>
      <w:rFonts w:ascii="Calibri" w:hAnsi="Calibri"/>
      <w:b/>
      <w:bCs/>
      <w:kern w:val="2"/>
      <w:szCs w:val="32"/>
    </w:rPr>
  </w:style>
  <w:style w:type="paragraph" w:customStyle="1" w:styleId="226">
    <w:name w:val="226"/>
    <w:basedOn w:val="482"/>
    <w:uiPriority w:val="99"/>
    <w:semiHidden/>
    <w:qFormat/>
    <w:pPr>
      <w:keepNext/>
      <w:keepLines/>
      <w:widowControl w:val="0"/>
      <w:spacing w:before="60" w:after="60"/>
      <w:jc w:val="both"/>
      <w:outlineLvl w:val="3"/>
    </w:pPr>
    <w:rPr>
      <w:rFonts w:ascii="Cambria" w:hAnsi="Cambria"/>
      <w:b/>
      <w:bCs/>
      <w:kern w:val="2"/>
      <w:szCs w:val="28"/>
    </w:rPr>
  </w:style>
  <w:style w:type="paragraph" w:customStyle="1" w:styleId="225">
    <w:name w:val="225"/>
    <w:basedOn w:val="482"/>
    <w:uiPriority w:val="99"/>
    <w:semiHidden/>
    <w:qFormat/>
    <w:pPr>
      <w:keepNext/>
      <w:keepLines/>
      <w:widowControl w:val="0"/>
      <w:spacing w:before="60" w:after="60"/>
      <w:jc w:val="both"/>
      <w:outlineLvl w:val="4"/>
    </w:pPr>
    <w:rPr>
      <w:rFonts w:ascii="Calibri" w:hAnsi="Calibri"/>
      <w:b/>
      <w:bCs/>
      <w:kern w:val="2"/>
      <w:szCs w:val="28"/>
    </w:rPr>
  </w:style>
  <w:style w:type="paragraph" w:customStyle="1" w:styleId="224">
    <w:name w:val="224"/>
    <w:basedOn w:val="482"/>
    <w:uiPriority w:val="99"/>
    <w:semiHidden/>
    <w:qFormat/>
    <w:pPr>
      <w:keepNext/>
      <w:keepLines/>
      <w:spacing w:before="60" w:after="60"/>
      <w:outlineLvl w:val="5"/>
    </w:pPr>
    <w:rPr>
      <w:rFonts w:ascii="Cambria" w:hAnsi="Cambria" w:cs="Times New Roman"/>
      <w:b/>
      <w:bCs/>
    </w:rPr>
  </w:style>
  <w:style w:type="paragraph" w:customStyle="1" w:styleId="223">
    <w:name w:val="223"/>
    <w:basedOn w:val="482"/>
    <w:uiPriority w:val="99"/>
    <w:semiHidden/>
    <w:qFormat/>
    <w:pPr>
      <w:keepNext/>
      <w:keepLines/>
      <w:spacing w:before="240" w:after="64" w:line="319" w:lineRule="auto"/>
      <w:outlineLvl w:val="6"/>
    </w:pPr>
    <w:rPr>
      <w:b/>
      <w:bCs/>
      <w:sz w:val="24"/>
    </w:rPr>
  </w:style>
  <w:style w:type="paragraph" w:customStyle="1" w:styleId="222">
    <w:name w:val="222"/>
    <w:basedOn w:val="482"/>
    <w:uiPriority w:val="99"/>
    <w:semiHidden/>
    <w:qFormat/>
    <w:pPr>
      <w:keepNext/>
      <w:keepLines/>
      <w:widowControl w:val="0"/>
      <w:adjustRightInd w:val="0"/>
      <w:spacing w:before="240" w:after="64" w:line="320" w:lineRule="atLeast"/>
      <w:outlineLvl w:val="7"/>
    </w:pPr>
    <w:rPr>
      <w:rFonts w:ascii="Arial" w:eastAsia="黑体" w:hAnsi="Arial"/>
      <w:bCs/>
      <w:color w:val="000000"/>
      <w:sz w:val="24"/>
    </w:rPr>
  </w:style>
  <w:style w:type="paragraph" w:customStyle="1" w:styleId="2211">
    <w:name w:val="221"/>
    <w:basedOn w:val="482"/>
    <w:uiPriority w:val="99"/>
    <w:semiHidden/>
    <w:qFormat/>
    <w:pPr>
      <w:keepNext/>
      <w:keepLines/>
      <w:widowControl w:val="0"/>
      <w:adjustRightInd w:val="0"/>
      <w:spacing w:before="240" w:after="64" w:line="320" w:lineRule="atLeast"/>
      <w:outlineLvl w:val="8"/>
    </w:pPr>
    <w:rPr>
      <w:rFonts w:ascii="Arial" w:eastAsia="黑体" w:hAnsi="Arial"/>
      <w:bCs/>
      <w:color w:val="000000"/>
      <w:sz w:val="24"/>
    </w:rPr>
  </w:style>
  <w:style w:type="paragraph" w:customStyle="1" w:styleId="2200">
    <w:name w:val="220"/>
    <w:basedOn w:val="482"/>
    <w:uiPriority w:val="99"/>
    <w:qFormat/>
    <w:pPr>
      <w:widowControl w:val="0"/>
      <w:ind w:leftChars="1200" w:left="2520"/>
      <w:jc w:val="both"/>
    </w:pPr>
    <w:rPr>
      <w:rFonts w:ascii="Calibri" w:hAnsi="Calibri" w:cs="Times New Roman"/>
      <w:kern w:val="2"/>
      <w:szCs w:val="22"/>
    </w:rPr>
  </w:style>
  <w:style w:type="paragraph" w:customStyle="1" w:styleId="219">
    <w:name w:val="219"/>
    <w:basedOn w:val="482"/>
    <w:uiPriority w:val="99"/>
    <w:qFormat/>
    <w:pPr>
      <w:widowControl w:val="0"/>
      <w:ind w:firstLineChars="200" w:firstLine="420"/>
      <w:jc w:val="both"/>
    </w:pPr>
    <w:rPr>
      <w:kern w:val="2"/>
    </w:rPr>
  </w:style>
  <w:style w:type="paragraph" w:customStyle="1" w:styleId="218">
    <w:name w:val="218"/>
    <w:basedOn w:val="482"/>
    <w:uiPriority w:val="99"/>
    <w:qFormat/>
    <w:pPr>
      <w:widowControl w:val="0"/>
      <w:jc w:val="both"/>
    </w:pPr>
    <w:rPr>
      <w:rFonts w:hAnsi="Calibri"/>
      <w:kern w:val="2"/>
      <w:sz w:val="18"/>
      <w:szCs w:val="18"/>
    </w:rPr>
  </w:style>
  <w:style w:type="paragraph" w:customStyle="1" w:styleId="217">
    <w:name w:val="217"/>
    <w:basedOn w:val="482"/>
    <w:uiPriority w:val="99"/>
    <w:qFormat/>
    <w:pPr>
      <w:widowControl w:val="0"/>
      <w:spacing w:before="120"/>
      <w:jc w:val="both"/>
    </w:pPr>
    <w:rPr>
      <w:rFonts w:ascii="Arial" w:hAnsi="Arial"/>
      <w:b/>
      <w:bCs/>
      <w:kern w:val="2"/>
    </w:rPr>
  </w:style>
  <w:style w:type="paragraph" w:customStyle="1" w:styleId="216">
    <w:name w:val="216"/>
    <w:basedOn w:val="482"/>
    <w:uiPriority w:val="99"/>
    <w:qFormat/>
    <w:pPr>
      <w:widowControl w:val="0"/>
    </w:pPr>
    <w:rPr>
      <w:kern w:val="2"/>
    </w:rPr>
  </w:style>
  <w:style w:type="paragraph" w:customStyle="1" w:styleId="215">
    <w:name w:val="215"/>
    <w:basedOn w:val="482"/>
    <w:uiPriority w:val="99"/>
    <w:qFormat/>
    <w:pPr>
      <w:widowControl w:val="0"/>
      <w:jc w:val="both"/>
    </w:pPr>
    <w:rPr>
      <w:kern w:val="2"/>
    </w:rPr>
  </w:style>
  <w:style w:type="paragraph" w:customStyle="1" w:styleId="214">
    <w:name w:val="214"/>
    <w:basedOn w:val="482"/>
    <w:uiPriority w:val="99"/>
    <w:qFormat/>
    <w:pPr>
      <w:widowControl w:val="0"/>
      <w:tabs>
        <w:tab w:val="left" w:pos="1200"/>
      </w:tabs>
      <w:jc w:val="both"/>
    </w:pPr>
    <w:rPr>
      <w:kern w:val="2"/>
    </w:rPr>
  </w:style>
  <w:style w:type="paragraph" w:customStyle="1" w:styleId="213">
    <w:name w:val="213"/>
    <w:basedOn w:val="482"/>
    <w:uiPriority w:val="99"/>
    <w:qFormat/>
    <w:pPr>
      <w:widowControl w:val="0"/>
      <w:spacing w:after="120"/>
      <w:jc w:val="both"/>
    </w:pPr>
    <w:rPr>
      <w:kern w:val="2"/>
    </w:rPr>
  </w:style>
  <w:style w:type="paragraph" w:customStyle="1" w:styleId="212">
    <w:name w:val="212"/>
    <w:basedOn w:val="482"/>
    <w:uiPriority w:val="99"/>
    <w:qFormat/>
    <w:pPr>
      <w:widowControl w:val="0"/>
      <w:ind w:leftChars="800" w:left="1680"/>
      <w:jc w:val="both"/>
    </w:pPr>
    <w:rPr>
      <w:rFonts w:ascii="Calibri" w:hAnsi="Calibri" w:cs="Times New Roman"/>
      <w:kern w:val="2"/>
      <w:szCs w:val="22"/>
    </w:rPr>
  </w:style>
  <w:style w:type="paragraph" w:customStyle="1" w:styleId="211">
    <w:name w:val="211"/>
    <w:basedOn w:val="482"/>
    <w:uiPriority w:val="99"/>
    <w:qFormat/>
    <w:pPr>
      <w:spacing w:after="100" w:line="276" w:lineRule="auto"/>
      <w:ind w:left="440"/>
    </w:pPr>
    <w:rPr>
      <w:rFonts w:ascii="Calibri" w:hAnsi="Calibri"/>
      <w:sz w:val="22"/>
      <w:szCs w:val="22"/>
    </w:rPr>
  </w:style>
  <w:style w:type="paragraph" w:customStyle="1" w:styleId="2100">
    <w:name w:val="210"/>
    <w:basedOn w:val="482"/>
    <w:uiPriority w:val="99"/>
    <w:qFormat/>
    <w:pPr>
      <w:widowControl w:val="0"/>
      <w:jc w:val="both"/>
    </w:pPr>
    <w:rPr>
      <w:rFonts w:hAnsi="Courier New"/>
      <w:kern w:val="2"/>
    </w:rPr>
  </w:style>
  <w:style w:type="paragraph" w:customStyle="1" w:styleId="209">
    <w:name w:val="209"/>
    <w:basedOn w:val="482"/>
    <w:uiPriority w:val="99"/>
    <w:qFormat/>
    <w:pPr>
      <w:widowControl w:val="0"/>
      <w:ind w:leftChars="1400" w:left="2940"/>
      <w:jc w:val="both"/>
    </w:pPr>
    <w:rPr>
      <w:rFonts w:ascii="Calibri" w:hAnsi="Calibri" w:cs="Times New Roman"/>
      <w:kern w:val="2"/>
      <w:szCs w:val="22"/>
    </w:rPr>
  </w:style>
  <w:style w:type="paragraph" w:customStyle="1" w:styleId="208">
    <w:name w:val="208"/>
    <w:basedOn w:val="482"/>
    <w:uiPriority w:val="99"/>
    <w:qFormat/>
    <w:pPr>
      <w:widowControl w:val="0"/>
      <w:ind w:leftChars="2500" w:left="100"/>
      <w:jc w:val="both"/>
    </w:pPr>
    <w:rPr>
      <w:kern w:val="2"/>
    </w:rPr>
  </w:style>
  <w:style w:type="paragraph" w:customStyle="1" w:styleId="207">
    <w:name w:val="207"/>
    <w:basedOn w:val="482"/>
    <w:uiPriority w:val="99"/>
    <w:qFormat/>
    <w:pPr>
      <w:snapToGrid w:val="0"/>
    </w:pPr>
  </w:style>
  <w:style w:type="paragraph" w:customStyle="1" w:styleId="206">
    <w:name w:val="206"/>
    <w:basedOn w:val="482"/>
    <w:uiPriority w:val="99"/>
    <w:qFormat/>
    <w:pPr>
      <w:widowControl w:val="0"/>
      <w:jc w:val="both"/>
    </w:pPr>
    <w:rPr>
      <w:rFonts w:ascii="Calibri" w:hAnsi="Calibri"/>
      <w:kern w:val="2"/>
      <w:sz w:val="18"/>
      <w:szCs w:val="18"/>
    </w:rPr>
  </w:style>
  <w:style w:type="paragraph" w:customStyle="1" w:styleId="205">
    <w:name w:val="205"/>
    <w:basedOn w:val="482"/>
    <w:uiPriority w:val="99"/>
    <w:qFormat/>
    <w:pPr>
      <w:widowControl w:val="0"/>
      <w:tabs>
        <w:tab w:val="center" w:pos="4153"/>
        <w:tab w:val="right" w:pos="8306"/>
      </w:tabs>
      <w:snapToGrid w:val="0"/>
    </w:pPr>
    <w:rPr>
      <w:rFonts w:ascii="Calibri" w:hAnsi="Calibri"/>
      <w:kern w:val="2"/>
      <w:sz w:val="18"/>
      <w:szCs w:val="18"/>
    </w:rPr>
  </w:style>
  <w:style w:type="paragraph" w:customStyle="1" w:styleId="204">
    <w:name w:val="204"/>
    <w:basedOn w:val="482"/>
    <w:uiPriority w:val="99"/>
    <w:qFormat/>
    <w:pPr>
      <w:widowControl w:val="0"/>
      <w:pBdr>
        <w:bottom w:val="single" w:sz="6" w:space="1" w:color="auto"/>
      </w:pBdr>
      <w:tabs>
        <w:tab w:val="center" w:pos="4153"/>
        <w:tab w:val="right" w:pos="8306"/>
      </w:tabs>
      <w:snapToGrid w:val="0"/>
      <w:jc w:val="center"/>
    </w:pPr>
    <w:rPr>
      <w:rFonts w:ascii="Calibri" w:hAnsi="Calibri"/>
      <w:kern w:val="2"/>
      <w:sz w:val="18"/>
      <w:szCs w:val="18"/>
    </w:rPr>
  </w:style>
  <w:style w:type="paragraph" w:customStyle="1" w:styleId="203">
    <w:name w:val="203"/>
    <w:basedOn w:val="482"/>
    <w:uiPriority w:val="99"/>
    <w:qFormat/>
    <w:pPr>
      <w:widowControl w:val="0"/>
      <w:tabs>
        <w:tab w:val="left" w:pos="1260"/>
        <w:tab w:val="right" w:leader="dot" w:pos="8823"/>
      </w:tabs>
      <w:jc w:val="center"/>
    </w:pPr>
    <w:rPr>
      <w:kern w:val="2"/>
    </w:rPr>
  </w:style>
  <w:style w:type="paragraph" w:customStyle="1" w:styleId="202">
    <w:name w:val="202"/>
    <w:basedOn w:val="482"/>
    <w:uiPriority w:val="99"/>
    <w:qFormat/>
    <w:pPr>
      <w:widowControl w:val="0"/>
      <w:ind w:leftChars="600" w:left="1260"/>
      <w:jc w:val="both"/>
    </w:pPr>
    <w:rPr>
      <w:rFonts w:ascii="Calibri" w:hAnsi="Calibri" w:cs="Times New Roman"/>
      <w:kern w:val="2"/>
      <w:szCs w:val="22"/>
    </w:rPr>
  </w:style>
  <w:style w:type="paragraph" w:customStyle="1" w:styleId="201">
    <w:name w:val="201"/>
    <w:basedOn w:val="482"/>
    <w:uiPriority w:val="99"/>
    <w:qFormat/>
    <w:pPr>
      <w:widowControl w:val="0"/>
      <w:ind w:leftChars="1000" w:left="2100"/>
      <w:jc w:val="both"/>
    </w:pPr>
    <w:rPr>
      <w:rFonts w:ascii="Calibri" w:hAnsi="Calibri" w:cs="Times New Roman"/>
      <w:kern w:val="2"/>
      <w:szCs w:val="22"/>
    </w:rPr>
  </w:style>
  <w:style w:type="paragraph" w:customStyle="1" w:styleId="2000">
    <w:name w:val="200"/>
    <w:basedOn w:val="482"/>
    <w:uiPriority w:val="99"/>
    <w:qFormat/>
    <w:pPr>
      <w:widowControl w:val="0"/>
      <w:ind w:leftChars="200" w:left="420"/>
      <w:jc w:val="both"/>
    </w:pPr>
    <w:rPr>
      <w:kern w:val="2"/>
    </w:rPr>
  </w:style>
  <w:style w:type="paragraph" w:customStyle="1" w:styleId="199">
    <w:name w:val="199"/>
    <w:basedOn w:val="482"/>
    <w:uiPriority w:val="99"/>
    <w:qFormat/>
    <w:pPr>
      <w:widowControl w:val="0"/>
      <w:ind w:leftChars="1600" w:left="3360"/>
      <w:jc w:val="both"/>
    </w:pPr>
    <w:rPr>
      <w:rFonts w:ascii="Calibri" w:hAnsi="Calibri" w:cs="Times New Roman"/>
      <w:kern w:val="2"/>
      <w:szCs w:val="22"/>
    </w:rPr>
  </w:style>
  <w:style w:type="paragraph" w:customStyle="1" w:styleId="198">
    <w:name w:val="198"/>
    <w:basedOn w:val="482"/>
    <w:uiPriority w:val="99"/>
    <w:qFormat/>
    <w:pPr>
      <w:spacing w:before="100" w:beforeAutospacing="1" w:after="100" w:afterAutospacing="1"/>
    </w:pPr>
    <w:rPr>
      <w:sz w:val="24"/>
    </w:rPr>
  </w:style>
  <w:style w:type="paragraph" w:customStyle="1" w:styleId="197">
    <w:name w:val="197"/>
    <w:basedOn w:val="482"/>
    <w:uiPriority w:val="99"/>
    <w:qFormat/>
    <w:pPr>
      <w:ind w:firstLineChars="200" w:firstLine="420"/>
    </w:pPr>
    <w:rPr>
      <w:color w:val="000000"/>
    </w:rPr>
  </w:style>
  <w:style w:type="paragraph" w:customStyle="1" w:styleId="196">
    <w:name w:val="196"/>
    <w:basedOn w:val="482"/>
    <w:uiPriority w:val="99"/>
    <w:qFormat/>
    <w:pPr>
      <w:widowControl w:val="0"/>
      <w:spacing w:before="240" w:after="60"/>
      <w:jc w:val="center"/>
      <w:outlineLvl w:val="0"/>
    </w:pPr>
    <w:rPr>
      <w:rFonts w:ascii="Cambria" w:hAnsi="Cambria" w:cs="Times New Roman"/>
      <w:b/>
      <w:bCs/>
      <w:kern w:val="2"/>
      <w:sz w:val="32"/>
      <w:szCs w:val="32"/>
    </w:rPr>
  </w:style>
  <w:style w:type="paragraph" w:customStyle="1" w:styleId="195">
    <w:name w:val="195"/>
    <w:basedOn w:val="216"/>
    <w:uiPriority w:val="99"/>
    <w:qFormat/>
    <w:rPr>
      <w:rFonts w:ascii="Calibri" w:hAnsi="Calibri"/>
      <w:b/>
      <w:bCs/>
      <w:szCs w:val="22"/>
    </w:rPr>
  </w:style>
  <w:style w:type="paragraph" w:customStyle="1" w:styleId="185">
    <w:name w:val="185"/>
    <w:basedOn w:val="229"/>
    <w:uiPriority w:val="39"/>
    <w:qFormat/>
    <w:pPr>
      <w:widowControl/>
      <w:spacing w:before="480" w:after="0" w:line="276" w:lineRule="auto"/>
      <w:outlineLvl w:val="9"/>
    </w:pPr>
    <w:rPr>
      <w:rFonts w:ascii="Cambria" w:eastAsia="宋体" w:hAnsi="Cambria"/>
      <w:color w:val="365F91"/>
      <w:kern w:val="0"/>
      <w:szCs w:val="28"/>
    </w:rPr>
  </w:style>
  <w:style w:type="paragraph" w:customStyle="1" w:styleId="181">
    <w:name w:val="181"/>
    <w:basedOn w:val="482"/>
    <w:uiPriority w:val="34"/>
    <w:qFormat/>
    <w:pPr>
      <w:widowControl w:val="0"/>
      <w:ind w:firstLineChars="200" w:firstLine="420"/>
      <w:jc w:val="both"/>
    </w:pPr>
    <w:rPr>
      <w:rFonts w:ascii="Calibri" w:hAnsi="Calibri"/>
      <w:kern w:val="2"/>
      <w:szCs w:val="22"/>
    </w:rPr>
  </w:style>
  <w:style w:type="paragraph" w:customStyle="1" w:styleId="173">
    <w:name w:val="173"/>
    <w:uiPriority w:val="99"/>
    <w:semiHidden/>
    <w:qFormat/>
    <w:rPr>
      <w:kern w:val="2"/>
      <w:sz w:val="21"/>
      <w:szCs w:val="22"/>
    </w:rPr>
  </w:style>
  <w:style w:type="paragraph" w:customStyle="1" w:styleId="171">
    <w:name w:val="171"/>
    <w:basedOn w:val="482"/>
    <w:uiPriority w:val="99"/>
    <w:qFormat/>
    <w:pPr>
      <w:widowControl w:val="0"/>
      <w:spacing w:before="100" w:after="100"/>
      <w:jc w:val="both"/>
    </w:pPr>
    <w:rPr>
      <w:rFonts w:ascii="Calibri" w:hAnsi="Calibri"/>
      <w:kern w:val="2"/>
    </w:rPr>
  </w:style>
  <w:style w:type="paragraph" w:customStyle="1" w:styleId="164">
    <w:name w:val="164"/>
    <w:uiPriority w:val="99"/>
    <w:qFormat/>
    <w:rPr>
      <w:rFonts w:ascii="Calibri" w:hAnsi="Calibri"/>
      <w:b/>
      <w:sz w:val="21"/>
      <w:szCs w:val="22"/>
    </w:rPr>
  </w:style>
  <w:style w:type="paragraph" w:customStyle="1" w:styleId="163">
    <w:name w:val="163"/>
    <w:basedOn w:val="482"/>
    <w:uiPriority w:val="99"/>
    <w:qFormat/>
    <w:pPr>
      <w:widowControl w:val="0"/>
    </w:pPr>
    <w:rPr>
      <w:kern w:val="2"/>
    </w:rPr>
  </w:style>
  <w:style w:type="paragraph" w:customStyle="1" w:styleId="162">
    <w:name w:val="162"/>
    <w:basedOn w:val="482"/>
    <w:uiPriority w:val="99"/>
    <w:qFormat/>
    <w:pPr>
      <w:keepNext/>
      <w:keepLines/>
      <w:widowControl w:val="0"/>
      <w:spacing w:before="100" w:beforeAutospacing="1" w:after="100" w:afterAutospacing="1" w:line="412" w:lineRule="auto"/>
      <w:jc w:val="both"/>
    </w:pPr>
    <w:rPr>
      <w:b/>
      <w:kern w:val="2"/>
    </w:rPr>
  </w:style>
  <w:style w:type="paragraph" w:customStyle="1" w:styleId="157">
    <w:name w:val="157"/>
    <w:basedOn w:val="482"/>
    <w:uiPriority w:val="34"/>
    <w:qFormat/>
    <w:pPr>
      <w:widowControl w:val="0"/>
      <w:ind w:firstLineChars="200" w:firstLine="420"/>
      <w:jc w:val="both"/>
    </w:pPr>
    <w:rPr>
      <w:rFonts w:ascii="Calibri" w:hAnsi="Calibri"/>
      <w:kern w:val="2"/>
      <w:szCs w:val="22"/>
    </w:rPr>
  </w:style>
  <w:style w:type="paragraph" w:customStyle="1" w:styleId="156">
    <w:name w:val="156"/>
    <w:basedOn w:val="482"/>
    <w:uiPriority w:val="34"/>
    <w:qFormat/>
    <w:pPr>
      <w:widowControl w:val="0"/>
      <w:ind w:firstLineChars="200" w:firstLine="420"/>
      <w:jc w:val="both"/>
    </w:pPr>
    <w:rPr>
      <w:rFonts w:ascii="Calibri" w:hAnsi="Calibri"/>
      <w:kern w:val="2"/>
      <w:szCs w:val="22"/>
    </w:rPr>
  </w:style>
  <w:style w:type="paragraph" w:customStyle="1" w:styleId="154">
    <w:name w:val="154"/>
    <w:basedOn w:val="482"/>
    <w:uiPriority w:val="34"/>
    <w:qFormat/>
    <w:pPr>
      <w:widowControl w:val="0"/>
      <w:ind w:firstLineChars="200" w:firstLine="420"/>
      <w:jc w:val="both"/>
    </w:pPr>
    <w:rPr>
      <w:rFonts w:ascii="Calibri" w:hAnsi="Calibri"/>
      <w:kern w:val="2"/>
      <w:szCs w:val="22"/>
    </w:rPr>
  </w:style>
  <w:style w:type="paragraph" w:customStyle="1" w:styleId="153">
    <w:name w:val="153"/>
    <w:basedOn w:val="482"/>
    <w:uiPriority w:val="34"/>
    <w:qFormat/>
    <w:pPr>
      <w:widowControl w:val="0"/>
      <w:ind w:firstLineChars="200" w:firstLine="420"/>
      <w:jc w:val="both"/>
    </w:pPr>
    <w:rPr>
      <w:rFonts w:ascii="Calibri" w:hAnsi="Calibri"/>
      <w:kern w:val="2"/>
      <w:szCs w:val="22"/>
    </w:rPr>
  </w:style>
  <w:style w:type="paragraph" w:customStyle="1" w:styleId="151">
    <w:name w:val="151"/>
    <w:basedOn w:val="482"/>
    <w:uiPriority w:val="99"/>
    <w:qFormat/>
    <w:pPr>
      <w:widowControl w:val="0"/>
      <w:jc w:val="both"/>
    </w:pPr>
    <w:rPr>
      <w:kern w:val="2"/>
    </w:rPr>
  </w:style>
  <w:style w:type="paragraph" w:customStyle="1" w:styleId="149">
    <w:name w:val="149"/>
    <w:basedOn w:val="482"/>
    <w:uiPriority w:val="34"/>
    <w:qFormat/>
    <w:pPr>
      <w:widowControl w:val="0"/>
      <w:ind w:firstLineChars="200" w:firstLine="420"/>
      <w:jc w:val="both"/>
    </w:pPr>
    <w:rPr>
      <w:rFonts w:ascii="Calibri" w:hAnsi="Calibri"/>
      <w:kern w:val="2"/>
      <w:szCs w:val="22"/>
    </w:rPr>
  </w:style>
  <w:style w:type="paragraph" w:customStyle="1" w:styleId="144">
    <w:name w:val="144"/>
    <w:basedOn w:val="482"/>
    <w:uiPriority w:val="34"/>
    <w:qFormat/>
    <w:pPr>
      <w:widowControl w:val="0"/>
      <w:ind w:firstLineChars="200" w:firstLine="420"/>
      <w:jc w:val="both"/>
    </w:pPr>
    <w:rPr>
      <w:rFonts w:ascii="Calibri" w:hAnsi="Calibri"/>
      <w:kern w:val="2"/>
      <w:szCs w:val="22"/>
    </w:rPr>
  </w:style>
  <w:style w:type="paragraph" w:customStyle="1" w:styleId="142">
    <w:name w:val="142"/>
    <w:basedOn w:val="482"/>
    <w:uiPriority w:val="99"/>
    <w:qFormat/>
    <w:pPr>
      <w:widowControl w:val="0"/>
      <w:pBdr>
        <w:bottom w:val="single" w:sz="6" w:space="1" w:color="auto"/>
      </w:pBdr>
      <w:tabs>
        <w:tab w:val="center" w:pos="4153"/>
        <w:tab w:val="right" w:pos="8306"/>
      </w:tabs>
      <w:snapToGrid w:val="0"/>
      <w:jc w:val="center"/>
    </w:pPr>
    <w:rPr>
      <w:rFonts w:ascii="Calibri" w:hAnsi="Calibri"/>
      <w:kern w:val="2"/>
      <w:sz w:val="18"/>
      <w:szCs w:val="18"/>
    </w:rPr>
  </w:style>
  <w:style w:type="paragraph" w:customStyle="1" w:styleId="139">
    <w:name w:val="139"/>
    <w:basedOn w:val="482"/>
    <w:uiPriority w:val="99"/>
    <w:qFormat/>
    <w:pPr>
      <w:widowControl w:val="0"/>
      <w:jc w:val="both"/>
    </w:pPr>
    <w:rPr>
      <w:bCs/>
      <w:kern w:val="2"/>
      <w:sz w:val="24"/>
      <w:szCs w:val="24"/>
    </w:rPr>
  </w:style>
  <w:style w:type="paragraph" w:customStyle="1" w:styleId="138">
    <w:name w:val="138"/>
    <w:basedOn w:val="482"/>
    <w:uiPriority w:val="99"/>
    <w:qFormat/>
    <w:pPr>
      <w:widowControl w:val="0"/>
      <w:tabs>
        <w:tab w:val="left" w:pos="315"/>
      </w:tabs>
      <w:ind w:left="315" w:hanging="315"/>
      <w:jc w:val="both"/>
    </w:pPr>
    <w:rPr>
      <w:bCs/>
      <w:kern w:val="2"/>
      <w:sz w:val="24"/>
      <w:szCs w:val="24"/>
    </w:rPr>
  </w:style>
  <w:style w:type="paragraph" w:customStyle="1" w:styleId="133">
    <w:name w:val="133"/>
    <w:basedOn w:val="482"/>
    <w:uiPriority w:val="99"/>
    <w:qFormat/>
    <w:pPr>
      <w:keepNext/>
      <w:keepLines/>
      <w:widowControl w:val="0"/>
      <w:tabs>
        <w:tab w:val="left" w:pos="546"/>
      </w:tabs>
      <w:adjustRightInd w:val="0"/>
      <w:spacing w:before="120" w:after="120" w:line="480" w:lineRule="atLeast"/>
      <w:ind w:left="420" w:hanging="420"/>
      <w:outlineLvl w:val="1"/>
    </w:pPr>
    <w:rPr>
      <w:bCs/>
      <w:color w:val="000000"/>
    </w:rPr>
  </w:style>
  <w:style w:type="paragraph" w:customStyle="1" w:styleId="132">
    <w:name w:val="132"/>
    <w:basedOn w:val="482"/>
    <w:uiPriority w:val="39"/>
    <w:qFormat/>
    <w:pPr>
      <w:tabs>
        <w:tab w:val="right" w:leader="dot" w:pos="8296"/>
      </w:tabs>
      <w:ind w:leftChars="200" w:left="420"/>
      <w:jc w:val="center"/>
    </w:pPr>
    <w:rPr>
      <w:b/>
      <w:bCs/>
      <w:color w:val="000000"/>
      <w:sz w:val="32"/>
      <w:szCs w:val="32"/>
    </w:rPr>
  </w:style>
  <w:style w:type="paragraph" w:customStyle="1" w:styleId="131">
    <w:name w:val="131"/>
    <w:basedOn w:val="482"/>
    <w:uiPriority w:val="39"/>
    <w:qFormat/>
    <w:rPr>
      <w:bCs/>
      <w:color w:val="000000"/>
    </w:rPr>
  </w:style>
  <w:style w:type="paragraph" w:customStyle="1" w:styleId="1303">
    <w:name w:val="130"/>
    <w:basedOn w:val="482"/>
    <w:uiPriority w:val="39"/>
    <w:qFormat/>
    <w:pPr>
      <w:spacing w:after="100" w:line="276" w:lineRule="auto"/>
      <w:ind w:left="440"/>
    </w:pPr>
    <w:rPr>
      <w:rFonts w:ascii="Calibri" w:hAnsi="Calibri"/>
      <w:bCs/>
      <w:sz w:val="22"/>
      <w:szCs w:val="22"/>
    </w:rPr>
  </w:style>
  <w:style w:type="paragraph" w:customStyle="1" w:styleId="129">
    <w:name w:val="129"/>
    <w:basedOn w:val="482"/>
    <w:uiPriority w:val="39"/>
    <w:qFormat/>
    <w:pPr>
      <w:widowControl w:val="0"/>
      <w:ind w:leftChars="600" w:left="1260"/>
      <w:jc w:val="both"/>
    </w:pPr>
    <w:rPr>
      <w:rFonts w:ascii="Calibri" w:hAnsi="Calibri" w:cs="Times New Roman"/>
      <w:bCs/>
      <w:kern w:val="2"/>
      <w:szCs w:val="22"/>
    </w:rPr>
  </w:style>
  <w:style w:type="paragraph" w:customStyle="1" w:styleId="128">
    <w:name w:val="128"/>
    <w:basedOn w:val="482"/>
    <w:uiPriority w:val="39"/>
    <w:qFormat/>
    <w:pPr>
      <w:widowControl w:val="0"/>
      <w:ind w:leftChars="800" w:left="1680"/>
      <w:jc w:val="both"/>
    </w:pPr>
    <w:rPr>
      <w:rFonts w:ascii="Calibri" w:hAnsi="Calibri" w:cs="Times New Roman"/>
      <w:bCs/>
      <w:kern w:val="2"/>
      <w:szCs w:val="22"/>
    </w:rPr>
  </w:style>
  <w:style w:type="paragraph" w:customStyle="1" w:styleId="127">
    <w:name w:val="127"/>
    <w:basedOn w:val="482"/>
    <w:uiPriority w:val="39"/>
    <w:qFormat/>
    <w:pPr>
      <w:widowControl w:val="0"/>
      <w:ind w:leftChars="1000" w:left="2100"/>
      <w:jc w:val="both"/>
    </w:pPr>
    <w:rPr>
      <w:rFonts w:ascii="Calibri" w:hAnsi="Calibri" w:cs="Times New Roman"/>
      <w:bCs/>
      <w:kern w:val="2"/>
      <w:szCs w:val="22"/>
    </w:rPr>
  </w:style>
  <w:style w:type="paragraph" w:customStyle="1" w:styleId="126">
    <w:name w:val="126"/>
    <w:basedOn w:val="482"/>
    <w:uiPriority w:val="39"/>
    <w:qFormat/>
    <w:pPr>
      <w:widowControl w:val="0"/>
      <w:ind w:leftChars="1200" w:left="2520"/>
      <w:jc w:val="both"/>
    </w:pPr>
    <w:rPr>
      <w:rFonts w:ascii="Calibri" w:hAnsi="Calibri" w:cs="Times New Roman"/>
      <w:bCs/>
      <w:kern w:val="2"/>
      <w:szCs w:val="22"/>
    </w:rPr>
  </w:style>
  <w:style w:type="paragraph" w:customStyle="1" w:styleId="125">
    <w:name w:val="125"/>
    <w:basedOn w:val="482"/>
    <w:uiPriority w:val="39"/>
    <w:qFormat/>
    <w:pPr>
      <w:widowControl w:val="0"/>
      <w:ind w:leftChars="1400" w:left="2940"/>
      <w:jc w:val="both"/>
    </w:pPr>
    <w:rPr>
      <w:rFonts w:ascii="Calibri" w:hAnsi="Calibri" w:cs="Times New Roman"/>
      <w:bCs/>
      <w:kern w:val="2"/>
      <w:szCs w:val="22"/>
    </w:rPr>
  </w:style>
  <w:style w:type="paragraph" w:customStyle="1" w:styleId="124">
    <w:name w:val="124"/>
    <w:basedOn w:val="482"/>
    <w:uiPriority w:val="39"/>
    <w:qFormat/>
    <w:pPr>
      <w:widowControl w:val="0"/>
      <w:ind w:leftChars="1600" w:left="3360"/>
      <w:jc w:val="both"/>
    </w:pPr>
    <w:rPr>
      <w:rFonts w:ascii="Calibri" w:hAnsi="Calibri" w:cs="Times New Roman"/>
      <w:bCs/>
      <w:kern w:val="2"/>
      <w:szCs w:val="22"/>
    </w:rPr>
  </w:style>
  <w:style w:type="paragraph" w:customStyle="1" w:styleId="121">
    <w:name w:val="121"/>
    <w:basedOn w:val="482"/>
    <w:uiPriority w:val="34"/>
    <w:qFormat/>
    <w:pPr>
      <w:widowControl w:val="0"/>
      <w:ind w:firstLineChars="200" w:firstLine="420"/>
      <w:jc w:val="both"/>
    </w:pPr>
    <w:rPr>
      <w:rFonts w:ascii="Calibri" w:hAnsi="Calibri"/>
      <w:bCs/>
      <w:kern w:val="2"/>
      <w:szCs w:val="22"/>
    </w:rPr>
  </w:style>
  <w:style w:type="paragraph" w:customStyle="1" w:styleId="1200">
    <w:name w:val="120"/>
    <w:basedOn w:val="482"/>
    <w:uiPriority w:val="34"/>
    <w:qFormat/>
    <w:pPr>
      <w:widowControl w:val="0"/>
      <w:ind w:firstLineChars="200" w:firstLine="420"/>
      <w:jc w:val="both"/>
    </w:pPr>
    <w:rPr>
      <w:rFonts w:ascii="Calibri" w:hAnsi="Calibri"/>
      <w:bCs/>
      <w:kern w:val="2"/>
      <w:szCs w:val="22"/>
    </w:rPr>
  </w:style>
  <w:style w:type="paragraph" w:customStyle="1" w:styleId="119">
    <w:name w:val="119"/>
    <w:basedOn w:val="482"/>
    <w:uiPriority w:val="34"/>
    <w:qFormat/>
    <w:pPr>
      <w:widowControl w:val="0"/>
      <w:ind w:firstLineChars="200" w:firstLine="420"/>
      <w:jc w:val="both"/>
    </w:pPr>
    <w:rPr>
      <w:rFonts w:ascii="Calibri" w:hAnsi="Calibri"/>
      <w:bCs/>
      <w:kern w:val="2"/>
      <w:szCs w:val="22"/>
    </w:rPr>
  </w:style>
  <w:style w:type="paragraph" w:customStyle="1" w:styleId="118">
    <w:name w:val="118"/>
    <w:basedOn w:val="482"/>
    <w:uiPriority w:val="34"/>
    <w:qFormat/>
    <w:pPr>
      <w:widowControl w:val="0"/>
      <w:ind w:firstLineChars="200" w:firstLine="420"/>
      <w:jc w:val="both"/>
    </w:pPr>
    <w:rPr>
      <w:rFonts w:ascii="Calibri" w:hAnsi="Calibri"/>
      <w:bCs/>
      <w:kern w:val="2"/>
      <w:szCs w:val="22"/>
    </w:rPr>
  </w:style>
  <w:style w:type="paragraph" w:customStyle="1" w:styleId="117">
    <w:name w:val="117"/>
    <w:uiPriority w:val="99"/>
    <w:qFormat/>
    <w:rPr>
      <w:kern w:val="2"/>
      <w:sz w:val="21"/>
      <w:szCs w:val="24"/>
    </w:rPr>
  </w:style>
  <w:style w:type="paragraph" w:customStyle="1" w:styleId="115">
    <w:name w:val="115"/>
    <w:uiPriority w:val="99"/>
    <w:qFormat/>
    <w:rPr>
      <w:sz w:val="21"/>
      <w:szCs w:val="24"/>
    </w:rPr>
  </w:style>
  <w:style w:type="paragraph" w:customStyle="1" w:styleId="113">
    <w:name w:val="113"/>
    <w:uiPriority w:val="99"/>
    <w:qFormat/>
    <w:rPr>
      <w:kern w:val="2"/>
      <w:sz w:val="21"/>
      <w:szCs w:val="24"/>
    </w:rPr>
  </w:style>
  <w:style w:type="paragraph" w:customStyle="1" w:styleId="1121">
    <w:name w:val="112"/>
    <w:uiPriority w:val="99"/>
    <w:qFormat/>
    <w:rPr>
      <w:kern w:val="2"/>
      <w:sz w:val="21"/>
      <w:szCs w:val="24"/>
    </w:rPr>
  </w:style>
  <w:style w:type="paragraph" w:customStyle="1" w:styleId="1110">
    <w:name w:val="111"/>
    <w:basedOn w:val="482"/>
    <w:uiPriority w:val="99"/>
    <w:qFormat/>
    <w:pPr>
      <w:widowControl w:val="0"/>
      <w:jc w:val="both"/>
    </w:pPr>
    <w:rPr>
      <w:rFonts w:ascii="Calibri" w:hAnsi="Calibri"/>
      <w:bCs/>
      <w:kern w:val="2"/>
      <w:sz w:val="18"/>
      <w:szCs w:val="18"/>
    </w:rPr>
  </w:style>
  <w:style w:type="paragraph" w:customStyle="1" w:styleId="1100">
    <w:name w:val="110"/>
    <w:basedOn w:val="482"/>
    <w:uiPriority w:val="99"/>
    <w:qFormat/>
    <w:pPr>
      <w:widowControl w:val="0"/>
      <w:ind w:leftChars="2500" w:left="100"/>
      <w:jc w:val="both"/>
    </w:pPr>
    <w:rPr>
      <w:bCs/>
      <w:kern w:val="2"/>
    </w:rPr>
  </w:style>
  <w:style w:type="paragraph" w:customStyle="1" w:styleId="106">
    <w:name w:val="106"/>
    <w:uiPriority w:val="99"/>
    <w:qFormat/>
    <w:rPr>
      <w:kern w:val="2"/>
      <w:sz w:val="21"/>
      <w:szCs w:val="24"/>
    </w:rPr>
  </w:style>
  <w:style w:type="paragraph" w:customStyle="1" w:styleId="104">
    <w:name w:val="104"/>
    <w:basedOn w:val="482"/>
    <w:uiPriority w:val="99"/>
    <w:qFormat/>
    <w:pPr>
      <w:keepNext/>
      <w:keepLines/>
      <w:widowControl w:val="0"/>
      <w:spacing w:before="60" w:after="60" w:line="360" w:lineRule="auto"/>
      <w:jc w:val="center"/>
      <w:outlineLvl w:val="0"/>
    </w:pPr>
    <w:rPr>
      <w:rFonts w:ascii="Calibri" w:eastAsia="黑体" w:hAnsi="Calibri"/>
      <w:b/>
      <w:kern w:val="44"/>
      <w:sz w:val="28"/>
      <w:szCs w:val="44"/>
    </w:rPr>
  </w:style>
  <w:style w:type="paragraph" w:customStyle="1" w:styleId="103">
    <w:name w:val="103"/>
    <w:basedOn w:val="482"/>
    <w:uiPriority w:val="9"/>
    <w:qFormat/>
    <w:pPr>
      <w:keepNext/>
      <w:keepLines/>
      <w:widowControl w:val="0"/>
      <w:spacing w:before="60" w:after="60"/>
      <w:jc w:val="both"/>
      <w:outlineLvl w:val="2"/>
    </w:pPr>
    <w:rPr>
      <w:rFonts w:ascii="Calibri" w:hAnsi="Calibri"/>
      <w:b/>
      <w:kern w:val="2"/>
      <w:szCs w:val="32"/>
    </w:rPr>
  </w:style>
  <w:style w:type="paragraph" w:customStyle="1" w:styleId="102">
    <w:name w:val="102"/>
    <w:basedOn w:val="482"/>
    <w:uiPriority w:val="9"/>
    <w:qFormat/>
    <w:pPr>
      <w:keepNext/>
      <w:keepLines/>
      <w:widowControl w:val="0"/>
      <w:spacing w:before="60" w:after="60"/>
      <w:jc w:val="both"/>
      <w:outlineLvl w:val="3"/>
    </w:pPr>
    <w:rPr>
      <w:rFonts w:ascii="Cambria" w:hAnsi="Cambria"/>
      <w:b/>
      <w:kern w:val="2"/>
      <w:szCs w:val="28"/>
    </w:rPr>
  </w:style>
  <w:style w:type="paragraph" w:customStyle="1" w:styleId="101">
    <w:name w:val="101"/>
    <w:basedOn w:val="482"/>
    <w:uiPriority w:val="9"/>
    <w:qFormat/>
    <w:pPr>
      <w:keepNext/>
      <w:keepLines/>
      <w:widowControl w:val="0"/>
      <w:spacing w:before="60" w:after="60"/>
      <w:jc w:val="both"/>
      <w:outlineLvl w:val="4"/>
    </w:pPr>
    <w:rPr>
      <w:rFonts w:ascii="Calibri" w:hAnsi="Calibri"/>
      <w:b/>
      <w:kern w:val="2"/>
      <w:szCs w:val="28"/>
    </w:rPr>
  </w:style>
  <w:style w:type="paragraph" w:customStyle="1" w:styleId="100">
    <w:name w:val="100"/>
    <w:basedOn w:val="482"/>
    <w:uiPriority w:val="9"/>
    <w:qFormat/>
    <w:pPr>
      <w:keepNext/>
      <w:keepLines/>
      <w:spacing w:before="60" w:after="60"/>
      <w:outlineLvl w:val="5"/>
    </w:pPr>
    <w:rPr>
      <w:rFonts w:ascii="Cambria" w:hAnsi="Cambria" w:cs="Times New Roman"/>
      <w:b/>
    </w:rPr>
  </w:style>
  <w:style w:type="paragraph" w:customStyle="1" w:styleId="99">
    <w:name w:val="99"/>
    <w:basedOn w:val="482"/>
    <w:uiPriority w:val="9"/>
    <w:qFormat/>
    <w:pPr>
      <w:keepNext/>
      <w:keepLines/>
      <w:spacing w:before="240" w:after="64" w:line="319" w:lineRule="auto"/>
      <w:outlineLvl w:val="6"/>
    </w:pPr>
    <w:rPr>
      <w:b/>
      <w:sz w:val="24"/>
    </w:rPr>
  </w:style>
  <w:style w:type="paragraph" w:customStyle="1" w:styleId="93">
    <w:name w:val="93"/>
    <w:basedOn w:val="482"/>
    <w:uiPriority w:val="39"/>
    <w:qFormat/>
    <w:pPr>
      <w:widowControl w:val="0"/>
      <w:tabs>
        <w:tab w:val="left" w:pos="1260"/>
        <w:tab w:val="right" w:leader="dot" w:pos="8823"/>
      </w:tabs>
      <w:jc w:val="center"/>
    </w:pPr>
    <w:rPr>
      <w:kern w:val="2"/>
    </w:rPr>
  </w:style>
  <w:style w:type="paragraph" w:customStyle="1" w:styleId="920">
    <w:name w:val="92"/>
    <w:basedOn w:val="482"/>
    <w:uiPriority w:val="39"/>
    <w:qFormat/>
    <w:pPr>
      <w:widowControl w:val="0"/>
      <w:ind w:leftChars="200" w:left="420"/>
      <w:jc w:val="both"/>
    </w:pPr>
    <w:rPr>
      <w:kern w:val="2"/>
    </w:rPr>
  </w:style>
  <w:style w:type="paragraph" w:customStyle="1" w:styleId="902">
    <w:name w:val="90"/>
    <w:basedOn w:val="482"/>
    <w:uiPriority w:val="99"/>
    <w:qFormat/>
    <w:pPr>
      <w:widowControl w:val="0"/>
      <w:jc w:val="both"/>
    </w:pPr>
    <w:rPr>
      <w:rFonts w:ascii="Calibri" w:hAnsi="Calibri"/>
      <w:kern w:val="2"/>
      <w:sz w:val="18"/>
      <w:szCs w:val="18"/>
    </w:rPr>
  </w:style>
  <w:style w:type="paragraph" w:customStyle="1" w:styleId="87">
    <w:name w:val="87"/>
    <w:basedOn w:val="482"/>
    <w:uiPriority w:val="34"/>
    <w:qFormat/>
    <w:pPr>
      <w:widowControl w:val="0"/>
      <w:ind w:firstLineChars="200" w:firstLine="420"/>
      <w:jc w:val="both"/>
    </w:pPr>
    <w:rPr>
      <w:rFonts w:ascii="Calibri" w:hAnsi="Calibri"/>
      <w:kern w:val="2"/>
      <w:szCs w:val="22"/>
    </w:rPr>
  </w:style>
  <w:style w:type="paragraph" w:customStyle="1" w:styleId="85">
    <w:name w:val="85"/>
    <w:basedOn w:val="482"/>
    <w:uiPriority w:val="39"/>
    <w:qFormat/>
    <w:pPr>
      <w:spacing w:after="100" w:line="276" w:lineRule="auto"/>
      <w:ind w:left="440"/>
    </w:pPr>
    <w:rPr>
      <w:rFonts w:ascii="Calibri" w:hAnsi="Calibri"/>
      <w:sz w:val="22"/>
      <w:szCs w:val="22"/>
    </w:rPr>
  </w:style>
  <w:style w:type="paragraph" w:customStyle="1" w:styleId="83">
    <w:name w:val="83"/>
    <w:basedOn w:val="482"/>
    <w:uiPriority w:val="99"/>
    <w:qFormat/>
    <w:pPr>
      <w:widowControl w:val="0"/>
      <w:tabs>
        <w:tab w:val="center" w:pos="4153"/>
        <w:tab w:val="right" w:pos="8306"/>
      </w:tabs>
      <w:snapToGrid w:val="0"/>
    </w:pPr>
    <w:rPr>
      <w:rFonts w:ascii="Calibri" w:hAnsi="Calibri"/>
      <w:kern w:val="2"/>
      <w:sz w:val="18"/>
      <w:szCs w:val="18"/>
    </w:rPr>
  </w:style>
  <w:style w:type="paragraph" w:customStyle="1" w:styleId="815">
    <w:name w:val="81"/>
    <w:basedOn w:val="482"/>
    <w:uiPriority w:val="99"/>
    <w:qFormat/>
    <w:pPr>
      <w:widowControl w:val="0"/>
      <w:jc w:val="both"/>
    </w:pPr>
    <w:rPr>
      <w:rFonts w:hAnsi="Courier New"/>
      <w:kern w:val="2"/>
    </w:rPr>
  </w:style>
  <w:style w:type="paragraph" w:customStyle="1" w:styleId="79">
    <w:name w:val="79"/>
    <w:basedOn w:val="482"/>
    <w:uiPriority w:val="99"/>
    <w:qFormat/>
    <w:pPr>
      <w:widowControl w:val="0"/>
      <w:spacing w:after="120"/>
      <w:jc w:val="both"/>
    </w:pPr>
    <w:rPr>
      <w:kern w:val="2"/>
    </w:rPr>
  </w:style>
  <w:style w:type="paragraph" w:customStyle="1" w:styleId="77">
    <w:name w:val="77"/>
    <w:basedOn w:val="482"/>
    <w:uiPriority w:val="99"/>
    <w:qFormat/>
    <w:pPr>
      <w:widowControl w:val="0"/>
      <w:ind w:leftChars="2500" w:left="100"/>
      <w:jc w:val="both"/>
    </w:pPr>
    <w:rPr>
      <w:kern w:val="2"/>
    </w:rPr>
  </w:style>
  <w:style w:type="paragraph" w:customStyle="1" w:styleId="75">
    <w:name w:val="75"/>
    <w:basedOn w:val="482"/>
    <w:uiPriority w:val="99"/>
    <w:qFormat/>
    <w:pPr>
      <w:widowControl w:val="0"/>
      <w:jc w:val="center"/>
    </w:pPr>
    <w:rPr>
      <w:kern w:val="2"/>
    </w:rPr>
  </w:style>
  <w:style w:type="paragraph" w:customStyle="1" w:styleId="73">
    <w:name w:val="73"/>
    <w:basedOn w:val="482"/>
    <w:uiPriority w:val="99"/>
    <w:semiHidden/>
    <w:qFormat/>
    <w:pPr>
      <w:widowControl w:val="0"/>
      <w:spacing w:before="120"/>
      <w:jc w:val="both"/>
    </w:pPr>
    <w:rPr>
      <w:rFonts w:ascii="Arial" w:hAnsi="Arial"/>
      <w:b/>
      <w:kern w:val="2"/>
    </w:rPr>
  </w:style>
  <w:style w:type="paragraph" w:customStyle="1" w:styleId="72">
    <w:name w:val="72"/>
    <w:basedOn w:val="482"/>
    <w:uiPriority w:val="99"/>
    <w:qFormat/>
    <w:pPr>
      <w:keepNext/>
      <w:keepLines/>
      <w:widowControl w:val="0"/>
      <w:spacing w:before="60" w:after="60"/>
      <w:ind w:hangingChars="200" w:hanging="420"/>
      <w:jc w:val="both"/>
      <w:outlineLvl w:val="4"/>
    </w:pPr>
    <w:rPr>
      <w:b/>
      <w:kern w:val="2"/>
    </w:rPr>
  </w:style>
  <w:style w:type="paragraph" w:customStyle="1" w:styleId="710">
    <w:name w:val="71"/>
    <w:uiPriority w:val="99"/>
    <w:semiHidden/>
    <w:qFormat/>
    <w:rPr>
      <w:kern w:val="2"/>
      <w:sz w:val="21"/>
      <w:szCs w:val="22"/>
    </w:rPr>
  </w:style>
  <w:style w:type="paragraph" w:customStyle="1" w:styleId="69">
    <w:name w:val="69"/>
    <w:basedOn w:val="482"/>
    <w:uiPriority w:val="99"/>
    <w:qFormat/>
    <w:pPr>
      <w:widowControl w:val="0"/>
      <w:spacing w:before="100" w:after="100"/>
      <w:jc w:val="both"/>
    </w:pPr>
    <w:rPr>
      <w:rFonts w:ascii="Calibri" w:hAnsi="Calibri"/>
      <w:kern w:val="2"/>
    </w:rPr>
  </w:style>
  <w:style w:type="paragraph" w:customStyle="1" w:styleId="68">
    <w:name w:val="68"/>
    <w:basedOn w:val="482"/>
    <w:uiPriority w:val="99"/>
    <w:semiHidden/>
    <w:qFormat/>
    <w:pPr>
      <w:widowControl w:val="0"/>
      <w:jc w:val="both"/>
    </w:pPr>
    <w:rPr>
      <w:rFonts w:hAnsi="Calibri"/>
      <w:kern w:val="2"/>
      <w:sz w:val="18"/>
      <w:szCs w:val="18"/>
    </w:rPr>
  </w:style>
  <w:style w:type="paragraph" w:customStyle="1" w:styleId="65">
    <w:name w:val="65"/>
    <w:basedOn w:val="482"/>
    <w:uiPriority w:val="10"/>
    <w:qFormat/>
    <w:pPr>
      <w:widowControl w:val="0"/>
      <w:spacing w:before="240" w:after="60"/>
      <w:jc w:val="center"/>
      <w:outlineLvl w:val="0"/>
    </w:pPr>
    <w:rPr>
      <w:rFonts w:ascii="Cambria" w:hAnsi="Cambria" w:cs="Times New Roman"/>
      <w:b/>
      <w:kern w:val="2"/>
      <w:sz w:val="32"/>
      <w:szCs w:val="32"/>
    </w:rPr>
  </w:style>
  <w:style w:type="paragraph" w:customStyle="1" w:styleId="63">
    <w:name w:val="63"/>
    <w:uiPriority w:val="1"/>
    <w:qFormat/>
    <w:pPr>
      <w:widowControl w:val="0"/>
      <w:jc w:val="both"/>
    </w:pPr>
    <w:rPr>
      <w:kern w:val="2"/>
      <w:sz w:val="21"/>
      <w:szCs w:val="22"/>
    </w:rPr>
  </w:style>
  <w:style w:type="paragraph" w:customStyle="1" w:styleId="62">
    <w:name w:val="62"/>
    <w:basedOn w:val="482"/>
    <w:uiPriority w:val="39"/>
    <w:qFormat/>
    <w:pPr>
      <w:widowControl w:val="0"/>
      <w:ind w:leftChars="600" w:left="1260"/>
      <w:jc w:val="both"/>
    </w:pPr>
    <w:rPr>
      <w:rFonts w:ascii="Calibri" w:hAnsi="Calibri" w:cs="Times New Roman"/>
      <w:kern w:val="2"/>
      <w:szCs w:val="22"/>
    </w:rPr>
  </w:style>
  <w:style w:type="paragraph" w:customStyle="1" w:styleId="612">
    <w:name w:val="61"/>
    <w:basedOn w:val="482"/>
    <w:uiPriority w:val="39"/>
    <w:qFormat/>
    <w:pPr>
      <w:widowControl w:val="0"/>
      <w:ind w:leftChars="800" w:left="1680"/>
      <w:jc w:val="both"/>
    </w:pPr>
    <w:rPr>
      <w:rFonts w:ascii="Calibri" w:hAnsi="Calibri" w:cs="Times New Roman"/>
      <w:kern w:val="2"/>
      <w:szCs w:val="22"/>
    </w:rPr>
  </w:style>
  <w:style w:type="paragraph" w:customStyle="1" w:styleId="600">
    <w:name w:val="60"/>
    <w:basedOn w:val="482"/>
    <w:uiPriority w:val="39"/>
    <w:qFormat/>
    <w:pPr>
      <w:widowControl w:val="0"/>
      <w:ind w:leftChars="1000" w:left="2100"/>
      <w:jc w:val="both"/>
    </w:pPr>
    <w:rPr>
      <w:rFonts w:ascii="Calibri" w:hAnsi="Calibri" w:cs="Times New Roman"/>
      <w:kern w:val="2"/>
      <w:szCs w:val="22"/>
    </w:rPr>
  </w:style>
  <w:style w:type="paragraph" w:customStyle="1" w:styleId="59">
    <w:name w:val="59"/>
    <w:basedOn w:val="482"/>
    <w:uiPriority w:val="39"/>
    <w:qFormat/>
    <w:pPr>
      <w:widowControl w:val="0"/>
      <w:ind w:leftChars="1200" w:left="2520"/>
      <w:jc w:val="both"/>
    </w:pPr>
    <w:rPr>
      <w:rFonts w:ascii="Calibri" w:hAnsi="Calibri" w:cs="Times New Roman"/>
      <w:kern w:val="2"/>
      <w:szCs w:val="22"/>
    </w:rPr>
  </w:style>
  <w:style w:type="paragraph" w:customStyle="1" w:styleId="58">
    <w:name w:val="58"/>
    <w:basedOn w:val="482"/>
    <w:uiPriority w:val="39"/>
    <w:qFormat/>
    <w:pPr>
      <w:widowControl w:val="0"/>
      <w:ind w:leftChars="1400" w:left="2940"/>
      <w:jc w:val="both"/>
    </w:pPr>
    <w:rPr>
      <w:rFonts w:ascii="Calibri" w:hAnsi="Calibri" w:cs="Times New Roman"/>
      <w:kern w:val="2"/>
      <w:szCs w:val="22"/>
    </w:rPr>
  </w:style>
  <w:style w:type="paragraph" w:customStyle="1" w:styleId="57">
    <w:name w:val="57"/>
    <w:basedOn w:val="482"/>
    <w:uiPriority w:val="39"/>
    <w:qFormat/>
    <w:pPr>
      <w:widowControl w:val="0"/>
      <w:ind w:leftChars="1600" w:left="3360"/>
      <w:jc w:val="both"/>
    </w:pPr>
    <w:rPr>
      <w:rFonts w:ascii="Calibri" w:hAnsi="Calibri" w:cs="Times New Roman"/>
      <w:kern w:val="2"/>
      <w:szCs w:val="22"/>
    </w:rPr>
  </w:style>
  <w:style w:type="paragraph" w:customStyle="1" w:styleId="55">
    <w:name w:val="55"/>
    <w:basedOn w:val="482"/>
    <w:uiPriority w:val="99"/>
    <w:qFormat/>
    <w:pPr>
      <w:spacing w:before="100" w:beforeAutospacing="1" w:after="100" w:afterAutospacing="1"/>
    </w:pPr>
    <w:rPr>
      <w:sz w:val="24"/>
    </w:rPr>
  </w:style>
  <w:style w:type="paragraph" w:customStyle="1" w:styleId="54">
    <w:name w:val="54"/>
    <w:basedOn w:val="482"/>
    <w:uiPriority w:val="99"/>
    <w:semiHidden/>
    <w:qFormat/>
    <w:pPr>
      <w:snapToGrid w:val="0"/>
    </w:pPr>
  </w:style>
  <w:style w:type="paragraph" w:customStyle="1" w:styleId="48">
    <w:name w:val="48"/>
    <w:basedOn w:val="482"/>
    <w:uiPriority w:val="99"/>
    <w:qFormat/>
    <w:pPr>
      <w:widowControl w:val="0"/>
      <w:ind w:firstLineChars="200" w:firstLine="420"/>
      <w:jc w:val="both"/>
    </w:pPr>
    <w:rPr>
      <w:kern w:val="2"/>
    </w:rPr>
  </w:style>
  <w:style w:type="paragraph" w:customStyle="1" w:styleId="47">
    <w:name w:val="47"/>
    <w:basedOn w:val="482"/>
    <w:uiPriority w:val="99"/>
    <w:qFormat/>
    <w:pPr>
      <w:widowControl w:val="0"/>
      <w:tabs>
        <w:tab w:val="left" w:pos="1200"/>
      </w:tabs>
      <w:jc w:val="both"/>
    </w:pPr>
    <w:rPr>
      <w:kern w:val="2"/>
    </w:rPr>
  </w:style>
  <w:style w:type="paragraph" w:customStyle="1" w:styleId="46">
    <w:name w:val="46"/>
    <w:basedOn w:val="482"/>
    <w:uiPriority w:val="34"/>
    <w:qFormat/>
    <w:pPr>
      <w:widowControl w:val="0"/>
      <w:ind w:firstLineChars="200" w:firstLine="420"/>
      <w:jc w:val="both"/>
    </w:pPr>
    <w:rPr>
      <w:rFonts w:ascii="Calibri" w:hAnsi="Calibri"/>
      <w:kern w:val="2"/>
      <w:szCs w:val="22"/>
    </w:rPr>
  </w:style>
  <w:style w:type="paragraph" w:customStyle="1" w:styleId="45">
    <w:name w:val="45"/>
    <w:basedOn w:val="482"/>
    <w:uiPriority w:val="34"/>
    <w:qFormat/>
    <w:pPr>
      <w:widowControl w:val="0"/>
      <w:ind w:firstLineChars="200" w:firstLine="420"/>
      <w:jc w:val="both"/>
    </w:pPr>
    <w:rPr>
      <w:rFonts w:ascii="Calibri" w:hAnsi="Calibri"/>
      <w:kern w:val="2"/>
      <w:szCs w:val="22"/>
    </w:rPr>
  </w:style>
  <w:style w:type="paragraph" w:customStyle="1" w:styleId="44">
    <w:name w:val="44"/>
    <w:basedOn w:val="482"/>
    <w:uiPriority w:val="34"/>
    <w:qFormat/>
    <w:pPr>
      <w:widowControl w:val="0"/>
      <w:ind w:firstLineChars="200" w:firstLine="420"/>
      <w:jc w:val="both"/>
    </w:pPr>
    <w:rPr>
      <w:rFonts w:ascii="Calibri" w:hAnsi="Calibri"/>
      <w:kern w:val="2"/>
      <w:szCs w:val="22"/>
    </w:rPr>
  </w:style>
  <w:style w:type="paragraph" w:customStyle="1" w:styleId="430">
    <w:name w:val="43"/>
    <w:basedOn w:val="482"/>
    <w:uiPriority w:val="34"/>
    <w:qFormat/>
    <w:pPr>
      <w:widowControl w:val="0"/>
      <w:ind w:firstLineChars="200" w:firstLine="420"/>
      <w:jc w:val="both"/>
    </w:pPr>
    <w:rPr>
      <w:rFonts w:ascii="Calibri" w:hAnsi="Calibri"/>
      <w:kern w:val="2"/>
      <w:szCs w:val="22"/>
    </w:rPr>
  </w:style>
  <w:style w:type="paragraph" w:customStyle="1" w:styleId="41a">
    <w:name w:val="41"/>
    <w:basedOn w:val="482"/>
    <w:uiPriority w:val="34"/>
    <w:qFormat/>
    <w:pPr>
      <w:widowControl w:val="0"/>
      <w:ind w:firstLineChars="200" w:firstLine="420"/>
      <w:jc w:val="both"/>
    </w:pPr>
    <w:rPr>
      <w:rFonts w:ascii="Calibri" w:hAnsi="Calibri"/>
      <w:kern w:val="2"/>
      <w:szCs w:val="22"/>
    </w:rPr>
  </w:style>
  <w:style w:type="paragraph" w:customStyle="1" w:styleId="39">
    <w:name w:val="39"/>
    <w:basedOn w:val="482"/>
    <w:uiPriority w:val="34"/>
    <w:qFormat/>
    <w:pPr>
      <w:widowControl w:val="0"/>
      <w:ind w:firstLineChars="200" w:firstLine="420"/>
      <w:jc w:val="both"/>
    </w:pPr>
    <w:rPr>
      <w:rFonts w:ascii="Calibri" w:hAnsi="Calibri"/>
      <w:kern w:val="2"/>
      <w:szCs w:val="22"/>
    </w:rPr>
  </w:style>
  <w:style w:type="paragraph" w:customStyle="1" w:styleId="37">
    <w:name w:val="37"/>
    <w:uiPriority w:val="99"/>
    <w:qFormat/>
    <w:rPr>
      <w:sz w:val="21"/>
      <w:szCs w:val="24"/>
    </w:rPr>
  </w:style>
  <w:style w:type="paragraph" w:customStyle="1" w:styleId="36">
    <w:name w:val="36"/>
    <w:uiPriority w:val="99"/>
    <w:qFormat/>
    <w:pPr>
      <w:widowControl w:val="0"/>
      <w:autoSpaceDE w:val="0"/>
      <w:autoSpaceDN w:val="0"/>
      <w:adjustRightInd w:val="0"/>
    </w:pPr>
    <w:rPr>
      <w:rFonts w:ascii="黑体" w:eastAsia="黑体" w:cs="黑体"/>
      <w:color w:val="000000"/>
      <w:sz w:val="24"/>
      <w:szCs w:val="24"/>
    </w:rPr>
  </w:style>
  <w:style w:type="paragraph" w:customStyle="1" w:styleId="352">
    <w:name w:val="35"/>
    <w:uiPriority w:val="99"/>
    <w:qFormat/>
    <w:pPr>
      <w:snapToGrid w:val="0"/>
      <w:jc w:val="center"/>
    </w:pPr>
    <w:rPr>
      <w:color w:val="000000"/>
      <w:spacing w:val="-10"/>
      <w:sz w:val="22"/>
      <w:szCs w:val="22"/>
      <w:lang w:eastAsia="en-US"/>
    </w:rPr>
  </w:style>
  <w:style w:type="paragraph" w:customStyle="1" w:styleId="331">
    <w:name w:val="33"/>
    <w:basedOn w:val="482"/>
    <w:uiPriority w:val="99"/>
    <w:qFormat/>
    <w:pPr>
      <w:spacing w:before="40"/>
      <w:ind w:left="450" w:hanging="450"/>
    </w:pPr>
    <w:rPr>
      <w:rFonts w:eastAsia="华文楷体"/>
      <w:color w:val="000000"/>
      <w:sz w:val="18"/>
      <w:szCs w:val="24"/>
    </w:rPr>
  </w:style>
  <w:style w:type="paragraph" w:customStyle="1" w:styleId="320">
    <w:name w:val="32"/>
    <w:uiPriority w:val="99"/>
    <w:qFormat/>
    <w:pPr>
      <w:snapToGrid w:val="0"/>
      <w:jc w:val="center"/>
    </w:pPr>
    <w:rPr>
      <w:rFonts w:ascii="Calibri" w:hAnsi="Calibri"/>
      <w:color w:val="000000"/>
      <w:spacing w:val="-10"/>
      <w:sz w:val="22"/>
      <w:szCs w:val="22"/>
      <w:lang w:eastAsia="en-US"/>
    </w:rPr>
  </w:style>
  <w:style w:type="paragraph" w:customStyle="1" w:styleId="312">
    <w:name w:val="31"/>
    <w:basedOn w:val="229"/>
    <w:uiPriority w:val="39"/>
    <w:qFormat/>
    <w:pPr>
      <w:widowControl/>
      <w:spacing w:before="480" w:after="0" w:line="276" w:lineRule="auto"/>
      <w:outlineLvl w:val="9"/>
    </w:pPr>
    <w:rPr>
      <w:rFonts w:ascii="Cambria" w:eastAsia="宋体" w:hAnsi="Cambria"/>
      <w:color w:val="365F91"/>
      <w:kern w:val="0"/>
      <w:szCs w:val="28"/>
    </w:rPr>
  </w:style>
  <w:style w:type="paragraph" w:customStyle="1" w:styleId="303">
    <w:name w:val="30"/>
    <w:uiPriority w:val="99"/>
    <w:semiHidden/>
    <w:qFormat/>
    <w:rPr>
      <w:kern w:val="2"/>
      <w:sz w:val="21"/>
      <w:szCs w:val="22"/>
    </w:rPr>
  </w:style>
  <w:style w:type="paragraph" w:customStyle="1" w:styleId="29">
    <w:name w:val="29"/>
    <w:basedOn w:val="482"/>
    <w:uiPriority w:val="34"/>
    <w:qFormat/>
    <w:pPr>
      <w:widowControl w:val="0"/>
      <w:ind w:firstLineChars="200" w:firstLine="420"/>
      <w:jc w:val="both"/>
    </w:pPr>
    <w:rPr>
      <w:rFonts w:ascii="Calibri" w:hAnsi="Calibri"/>
      <w:kern w:val="2"/>
      <w:szCs w:val="22"/>
    </w:rPr>
  </w:style>
  <w:style w:type="paragraph" w:customStyle="1" w:styleId="280">
    <w:name w:val="28"/>
    <w:basedOn w:val="482"/>
    <w:uiPriority w:val="34"/>
    <w:qFormat/>
    <w:pPr>
      <w:widowControl w:val="0"/>
      <w:ind w:firstLineChars="200" w:firstLine="420"/>
      <w:jc w:val="both"/>
    </w:pPr>
    <w:rPr>
      <w:rFonts w:ascii="Calibri" w:hAnsi="Calibri"/>
      <w:kern w:val="2"/>
      <w:szCs w:val="22"/>
    </w:rPr>
  </w:style>
  <w:style w:type="paragraph" w:customStyle="1" w:styleId="270">
    <w:name w:val="27"/>
    <w:uiPriority w:val="99"/>
    <w:qFormat/>
    <w:rPr>
      <w:sz w:val="21"/>
      <w:szCs w:val="21"/>
    </w:rPr>
  </w:style>
  <w:style w:type="paragraph" w:customStyle="1" w:styleId="261">
    <w:name w:val="26"/>
    <w:basedOn w:val="270"/>
    <w:uiPriority w:val="99"/>
    <w:qFormat/>
    <w:pPr>
      <w:keepNext/>
      <w:keepLines/>
      <w:widowControl w:val="0"/>
      <w:spacing w:before="60" w:after="60" w:line="360" w:lineRule="auto"/>
      <w:jc w:val="center"/>
      <w:outlineLvl w:val="0"/>
    </w:pPr>
    <w:rPr>
      <w:rFonts w:ascii="Calibri" w:eastAsia="黑体" w:hAnsi="Calibri"/>
      <w:b/>
      <w:bCs/>
      <w:kern w:val="44"/>
      <w:sz w:val="28"/>
      <w:szCs w:val="44"/>
    </w:rPr>
  </w:style>
  <w:style w:type="paragraph" w:customStyle="1" w:styleId="251">
    <w:name w:val="25"/>
    <w:basedOn w:val="270"/>
    <w:uiPriority w:val="99"/>
    <w:semiHidden/>
    <w:qFormat/>
    <w:pPr>
      <w:keepNext/>
      <w:keepLines/>
      <w:widowControl w:val="0"/>
      <w:spacing w:before="60" w:after="60"/>
      <w:ind w:left="200" w:hangingChars="200" w:hanging="200"/>
      <w:jc w:val="both"/>
      <w:outlineLvl w:val="1"/>
    </w:pPr>
    <w:rPr>
      <w:rFonts w:ascii="Arial" w:hAnsi="Arial"/>
      <w:b/>
      <w:bCs/>
      <w:kern w:val="2"/>
    </w:rPr>
  </w:style>
  <w:style w:type="paragraph" w:customStyle="1" w:styleId="240">
    <w:name w:val="24"/>
    <w:basedOn w:val="270"/>
    <w:uiPriority w:val="99"/>
    <w:semiHidden/>
    <w:qFormat/>
    <w:pPr>
      <w:keepNext/>
      <w:keepLines/>
      <w:widowControl w:val="0"/>
      <w:spacing w:before="60" w:after="60"/>
      <w:jc w:val="both"/>
      <w:outlineLvl w:val="2"/>
    </w:pPr>
    <w:rPr>
      <w:rFonts w:ascii="Calibri" w:hAnsi="Calibri"/>
      <w:b/>
      <w:bCs/>
      <w:kern w:val="2"/>
      <w:szCs w:val="32"/>
    </w:rPr>
  </w:style>
  <w:style w:type="paragraph" w:customStyle="1" w:styleId="232">
    <w:name w:val="23"/>
    <w:basedOn w:val="270"/>
    <w:uiPriority w:val="99"/>
    <w:semiHidden/>
    <w:qFormat/>
    <w:pPr>
      <w:keepNext/>
      <w:keepLines/>
      <w:widowControl w:val="0"/>
      <w:spacing w:before="60" w:after="60"/>
      <w:jc w:val="both"/>
      <w:outlineLvl w:val="3"/>
    </w:pPr>
    <w:rPr>
      <w:rFonts w:ascii="Cambria" w:hAnsi="Cambria"/>
      <w:b/>
      <w:bCs/>
      <w:kern w:val="2"/>
      <w:szCs w:val="28"/>
    </w:rPr>
  </w:style>
  <w:style w:type="paragraph" w:customStyle="1" w:styleId="2263">
    <w:name w:val="2263"/>
    <w:uiPriority w:val="99"/>
    <w:qFormat/>
    <w:rPr>
      <w:sz w:val="21"/>
      <w:szCs w:val="21"/>
    </w:rPr>
  </w:style>
  <w:style w:type="paragraph" w:customStyle="1" w:styleId="2229">
    <w:name w:val="2229"/>
    <w:basedOn w:val="2263"/>
    <w:next w:val="a"/>
    <w:uiPriority w:val="99"/>
    <w:qFormat/>
    <w:pPr>
      <w:keepNext/>
      <w:keepLines/>
      <w:widowControl w:val="0"/>
      <w:spacing w:before="60" w:after="60" w:line="360" w:lineRule="auto"/>
      <w:jc w:val="center"/>
      <w:outlineLvl w:val="0"/>
    </w:pPr>
    <w:rPr>
      <w:b/>
      <w:kern w:val="44"/>
      <w:sz w:val="44"/>
      <w:szCs w:val="44"/>
    </w:rPr>
  </w:style>
  <w:style w:type="character" w:customStyle="1" w:styleId="2682">
    <w:name w:val="2682"/>
    <w:basedOn w:val="a0"/>
    <w:uiPriority w:val="99"/>
    <w:rPr>
      <w:rFonts w:ascii="Times New Roman" w:eastAsia="宋体" w:hAnsi="Times New Roman" w:cs="Times New Roman" w:hint="default"/>
      <w:szCs w:val="21"/>
    </w:rPr>
  </w:style>
  <w:style w:type="character" w:customStyle="1" w:styleId="style61">
    <w:name w:val="style61"/>
    <w:basedOn w:val="a0"/>
    <w:rPr>
      <w:b/>
      <w:sz w:val="24"/>
      <w:szCs w:val="24"/>
    </w:rPr>
  </w:style>
  <w:style w:type="character" w:customStyle="1" w:styleId="21a">
    <w:name w:val="标题 2 字符1"/>
    <w:rPr>
      <w:rFonts w:ascii="宋体" w:eastAsia="宋体" w:hAnsi="宋体" w:hint="eastAsia"/>
      <w:color w:val="000000"/>
      <w:sz w:val="24"/>
      <w:szCs w:val="24"/>
    </w:rPr>
  </w:style>
  <w:style w:type="character" w:customStyle="1" w:styleId="38">
    <w:name w:val="列表项目符号 3 字符"/>
    <w:basedOn w:val="a0"/>
    <w:rPr>
      <w:rFonts w:ascii="Times New Roman" w:hAnsi="Times New Roman" w:cs="Times New Roman" w:hint="default"/>
      <w:kern w:val="2"/>
    </w:rPr>
  </w:style>
  <w:style w:type="character" w:customStyle="1" w:styleId="105">
    <w:name w:val="10"/>
    <w:basedOn w:val="aff"/>
    <w:uiPriority w:val="99"/>
    <w:semiHidden/>
    <w:rPr>
      <w:rFonts w:ascii="Times New Roman" w:eastAsia="宋体" w:hAnsi="Times New Roman" w:cs="Times New Roman" w:hint="default"/>
      <w:b/>
      <w:color w:val="000000"/>
      <w:kern w:val="2"/>
      <w:sz w:val="21"/>
      <w:szCs w:val="21"/>
    </w:rPr>
  </w:style>
  <w:style w:type="character" w:customStyle="1" w:styleId="2CharCharChar10">
    <w:name w:val="标题 2 Char Char Char 字符1"/>
    <w:rPr>
      <w:rFonts w:ascii="宋体" w:eastAsia="宋体" w:hAnsi="宋体" w:hint="eastAsia"/>
      <w:color w:val="000000"/>
      <w:sz w:val="21"/>
      <w:szCs w:val="21"/>
    </w:rPr>
  </w:style>
  <w:style w:type="character" w:customStyle="1" w:styleId="150">
    <w:name w:val="15"/>
    <w:basedOn w:val="a0"/>
    <w:rPr>
      <w:rFonts w:ascii="宋体" w:eastAsia="宋体" w:hAnsi="宋体" w:hint="eastAsia"/>
      <w:color w:val="000000"/>
      <w:sz w:val="22"/>
      <w:szCs w:val="22"/>
    </w:rPr>
  </w:style>
  <w:style w:type="character" w:customStyle="1" w:styleId="41b">
    <w:name w:val="标题 4 字符1"/>
    <w:basedOn w:val="a0"/>
    <w:uiPriority w:val="9"/>
    <w:rPr>
      <w:rFonts w:ascii="Cambria" w:hAnsi="Cambria" w:hint="default"/>
      <w:b/>
      <w:kern w:val="2"/>
      <w:sz w:val="21"/>
      <w:szCs w:val="28"/>
    </w:rPr>
  </w:style>
  <w:style w:type="character" w:customStyle="1" w:styleId="314">
    <w:name w:val="标题 3 字符1"/>
    <w:basedOn w:val="a0"/>
    <w:uiPriority w:val="9"/>
    <w:rPr>
      <w:b/>
      <w:kern w:val="2"/>
      <w:sz w:val="21"/>
      <w:szCs w:val="32"/>
    </w:rPr>
  </w:style>
  <w:style w:type="character" w:customStyle="1" w:styleId="afff">
    <w:name w:val="无间隔 字符"/>
    <w:basedOn w:val="a0"/>
    <w:uiPriority w:val="1"/>
    <w:qFormat/>
    <w:rPr>
      <w:kern w:val="2"/>
      <w:szCs w:val="22"/>
    </w:rPr>
  </w:style>
  <w:style w:type="character" w:customStyle="1" w:styleId="3859">
    <w:name w:val="3859"/>
    <w:basedOn w:val="a0"/>
    <w:uiPriority w:val="99"/>
    <w:rPr>
      <w:rFonts w:ascii="黑体" w:eastAsia="黑体" w:hAnsi="黑体" w:hint="eastAsia"/>
      <w:b/>
      <w:kern w:val="44"/>
      <w:sz w:val="28"/>
      <w:szCs w:val="44"/>
    </w:rPr>
  </w:style>
  <w:style w:type="character" w:customStyle="1" w:styleId="3858">
    <w:name w:val="3858"/>
    <w:basedOn w:val="a0"/>
    <w:uiPriority w:val="9"/>
    <w:rPr>
      <w:b/>
      <w:kern w:val="2"/>
      <w:sz w:val="21"/>
      <w:szCs w:val="32"/>
    </w:rPr>
  </w:style>
  <w:style w:type="character" w:customStyle="1" w:styleId="3856">
    <w:name w:val="3856"/>
    <w:basedOn w:val="a0"/>
    <w:uiPriority w:val="9"/>
    <w:rPr>
      <w:b/>
      <w:kern w:val="2"/>
      <w:sz w:val="21"/>
      <w:szCs w:val="28"/>
    </w:rPr>
  </w:style>
  <w:style w:type="character" w:customStyle="1" w:styleId="3852">
    <w:name w:val="3852"/>
    <w:basedOn w:val="a0"/>
    <w:rPr>
      <w:rFonts w:ascii="Times New Roman" w:eastAsia="宋体" w:hAnsi="Times New Roman" w:cs="Times New Roman" w:hint="default"/>
      <w:szCs w:val="21"/>
    </w:rPr>
  </w:style>
  <w:style w:type="character" w:customStyle="1" w:styleId="3850">
    <w:name w:val="3850"/>
    <w:basedOn w:val="a0"/>
    <w:uiPriority w:val="99"/>
    <w:rPr>
      <w:rFonts w:ascii="Calibri" w:eastAsia="宋体" w:hAnsi="Calibri" w:cs="Times New Roman" w:hint="default"/>
      <w:sz w:val="18"/>
      <w:szCs w:val="18"/>
    </w:rPr>
  </w:style>
  <w:style w:type="character" w:customStyle="1" w:styleId="3848">
    <w:name w:val="3848"/>
    <w:basedOn w:val="a0"/>
    <w:uiPriority w:val="99"/>
    <w:rPr>
      <w:rFonts w:ascii="Times New Roman" w:eastAsia="宋体" w:hAnsi="Times New Roman" w:cs="Times New Roman" w:hint="default"/>
      <w:szCs w:val="21"/>
    </w:rPr>
  </w:style>
  <w:style w:type="character" w:customStyle="1" w:styleId="3846">
    <w:name w:val="3846"/>
    <w:basedOn w:val="3852"/>
    <w:uiPriority w:val="99"/>
    <w:rPr>
      <w:rFonts w:ascii="Calibri" w:eastAsia="宋体" w:hAnsi="Calibri" w:cs="Times New Roman" w:hint="default"/>
      <w:b/>
      <w:szCs w:val="21"/>
    </w:rPr>
  </w:style>
  <w:style w:type="character" w:customStyle="1" w:styleId="3842">
    <w:name w:val="3842"/>
    <w:basedOn w:val="a0"/>
    <w:uiPriority w:val="99"/>
    <w:rPr>
      <w:rFonts w:ascii="Calibri" w:eastAsia="宋体" w:hAnsi="Calibri" w:cs="Times New Roman" w:hint="default"/>
      <w:sz w:val="18"/>
      <w:szCs w:val="18"/>
    </w:rPr>
  </w:style>
  <w:style w:type="character" w:customStyle="1" w:styleId="3839">
    <w:name w:val="3839"/>
    <w:basedOn w:val="a0"/>
    <w:rPr>
      <w:rFonts w:ascii="宋体" w:eastAsia="宋体" w:hAnsi="Courier New" w:cs="Times New Roman" w:hint="eastAsia"/>
      <w:szCs w:val="20"/>
    </w:rPr>
  </w:style>
  <w:style w:type="character" w:customStyle="1" w:styleId="3837">
    <w:name w:val="3837"/>
    <w:basedOn w:val="a0"/>
    <w:uiPriority w:val="99"/>
    <w:rPr>
      <w:rFonts w:ascii="Times New Roman" w:eastAsia="宋体" w:hAnsi="Times New Roman" w:cs="Times New Roman" w:hint="default"/>
      <w:szCs w:val="21"/>
    </w:rPr>
  </w:style>
  <w:style w:type="character" w:customStyle="1" w:styleId="3835">
    <w:name w:val="3835"/>
    <w:basedOn w:val="a0"/>
    <w:uiPriority w:val="99"/>
    <w:rPr>
      <w:rFonts w:ascii="Times New Roman" w:eastAsia="宋体" w:hAnsi="Times New Roman" w:cs="Times New Roman" w:hint="default"/>
      <w:szCs w:val="21"/>
    </w:rPr>
  </w:style>
  <w:style w:type="character" w:customStyle="1" w:styleId="3833">
    <w:name w:val="3833"/>
    <w:basedOn w:val="a0"/>
    <w:uiPriority w:val="99"/>
    <w:rPr>
      <w:rFonts w:ascii="Times New Roman" w:eastAsia="宋体" w:hAnsi="Times New Roman" w:cs="Times New Roman" w:hint="default"/>
      <w:szCs w:val="21"/>
    </w:rPr>
  </w:style>
  <w:style w:type="character" w:customStyle="1" w:styleId="3829">
    <w:name w:val="3829"/>
    <w:basedOn w:val="a0"/>
    <w:qFormat/>
    <w:rPr>
      <w:kern w:val="2"/>
      <w:sz w:val="21"/>
      <w:szCs w:val="24"/>
    </w:rPr>
  </w:style>
  <w:style w:type="character" w:customStyle="1" w:styleId="3826">
    <w:name w:val="3826"/>
    <w:basedOn w:val="a0"/>
    <w:uiPriority w:val="99"/>
    <w:semiHidden/>
    <w:rPr>
      <w:rFonts w:ascii="宋体" w:eastAsia="宋体" w:hAnsi="宋体" w:hint="eastAsia"/>
      <w:kern w:val="2"/>
      <w:sz w:val="18"/>
      <w:szCs w:val="18"/>
    </w:rPr>
  </w:style>
  <w:style w:type="character" w:customStyle="1" w:styleId="3825">
    <w:name w:val="3825"/>
    <w:basedOn w:val="a0"/>
    <w:uiPriority w:val="99"/>
    <w:rPr>
      <w:color w:val="auto"/>
    </w:rPr>
  </w:style>
  <w:style w:type="character" w:customStyle="1" w:styleId="3823">
    <w:name w:val="3823"/>
    <w:basedOn w:val="a0"/>
    <w:uiPriority w:val="10"/>
    <w:rPr>
      <w:rFonts w:ascii="Cambria" w:hAnsi="Cambria" w:cs="Times New Roman" w:hint="default"/>
      <w:b/>
      <w:kern w:val="2"/>
      <w:sz w:val="32"/>
      <w:szCs w:val="32"/>
    </w:rPr>
  </w:style>
  <w:style w:type="character" w:customStyle="1" w:styleId="3814">
    <w:name w:val="3814"/>
    <w:basedOn w:val="a0"/>
    <w:uiPriority w:val="9"/>
    <w:rPr>
      <w:rFonts w:ascii="Cambria" w:hAnsi="Cambria" w:cs="Times New Roman" w:hint="default"/>
      <w:b/>
      <w:sz w:val="21"/>
      <w:szCs w:val="24"/>
    </w:rPr>
  </w:style>
  <w:style w:type="character" w:customStyle="1" w:styleId="3811">
    <w:name w:val="3811"/>
    <w:basedOn w:val="a0"/>
    <w:uiPriority w:val="99"/>
    <w:semiHidden/>
    <w:rPr>
      <w:rFonts w:ascii="宋体" w:eastAsia="宋体" w:hAnsi="宋体" w:cs="宋体" w:hint="eastAsia"/>
      <w:sz w:val="21"/>
      <w:szCs w:val="24"/>
    </w:rPr>
  </w:style>
  <w:style w:type="character" w:customStyle="1" w:styleId="3810">
    <w:name w:val="3810"/>
    <w:basedOn w:val="a0"/>
    <w:uiPriority w:val="99"/>
    <w:semiHidden/>
    <w:rPr>
      <w:vertAlign w:val="superscript"/>
    </w:rPr>
  </w:style>
  <w:style w:type="character" w:customStyle="1" w:styleId="3809">
    <w:name w:val="3809"/>
    <w:basedOn w:val="3852"/>
    <w:uiPriority w:val="99"/>
    <w:semiHidden/>
    <w:rPr>
      <w:rFonts w:ascii="Times New Roman" w:eastAsia="宋体" w:hAnsi="Times New Roman" w:cs="Times New Roman" w:hint="default"/>
      <w:b/>
      <w:szCs w:val="21"/>
    </w:rPr>
  </w:style>
  <w:style w:type="character" w:customStyle="1" w:styleId="3808">
    <w:name w:val="3808"/>
    <w:basedOn w:val="3852"/>
    <w:uiPriority w:val="99"/>
    <w:semiHidden/>
    <w:rPr>
      <w:rFonts w:ascii="Times New Roman" w:eastAsia="宋体" w:hAnsi="Times New Roman" w:cs="Times New Roman" w:hint="default"/>
      <w:b/>
      <w:szCs w:val="21"/>
    </w:rPr>
  </w:style>
  <w:style w:type="character" w:customStyle="1" w:styleId="3807">
    <w:name w:val="3807"/>
    <w:basedOn w:val="a0"/>
    <w:uiPriority w:val="9"/>
    <w:rPr>
      <w:rFonts w:ascii="宋体" w:eastAsia="宋体" w:hAnsi="宋体" w:cs="宋体" w:hint="eastAsia"/>
      <w:b/>
      <w:sz w:val="24"/>
      <w:szCs w:val="24"/>
    </w:rPr>
  </w:style>
  <w:style w:type="character" w:customStyle="1" w:styleId="3800">
    <w:name w:val="3800"/>
    <w:uiPriority w:val="99"/>
    <w:qFormat/>
    <w:rPr>
      <w:rFonts w:ascii="Times New Roman" w:hAnsi="Times New Roman" w:cs="Times New Roman" w:hint="default"/>
      <w:kern w:val="2"/>
      <w:sz w:val="21"/>
      <w:szCs w:val="21"/>
    </w:rPr>
  </w:style>
  <w:style w:type="character" w:customStyle="1" w:styleId="3798">
    <w:name w:val="3798"/>
    <w:rPr>
      <w:rFonts w:ascii="Times New Roman" w:hAnsi="Times New Roman" w:cs="Times New Roman" w:hint="default"/>
      <w:kern w:val="2"/>
      <w:sz w:val="21"/>
      <w:szCs w:val="21"/>
    </w:rPr>
  </w:style>
  <w:style w:type="character" w:customStyle="1" w:styleId="3796">
    <w:name w:val="3796"/>
    <w:rPr>
      <w:rFonts w:ascii="Times New Roman" w:hAnsi="Times New Roman" w:cs="Times New Roman" w:hint="default"/>
      <w:kern w:val="2"/>
      <w:sz w:val="21"/>
      <w:szCs w:val="21"/>
    </w:rPr>
  </w:style>
  <w:style w:type="character" w:customStyle="1" w:styleId="3791">
    <w:name w:val="3791"/>
    <w:basedOn w:val="a0"/>
    <w:uiPriority w:val="99"/>
    <w:rPr>
      <w:rFonts w:ascii="Calibri" w:eastAsia="宋体" w:hAnsi="Calibri" w:cs="Times New Roman" w:hint="default"/>
      <w:sz w:val="18"/>
      <w:szCs w:val="18"/>
    </w:rPr>
  </w:style>
  <w:style w:type="character" w:customStyle="1" w:styleId="3789">
    <w:name w:val="3789"/>
    <w:basedOn w:val="a0"/>
    <w:uiPriority w:val="99"/>
    <w:rPr>
      <w:rFonts w:ascii="Times New Roman" w:eastAsia="宋体" w:hAnsi="Times New Roman" w:cs="Times New Roman" w:hint="default"/>
      <w:szCs w:val="21"/>
    </w:rPr>
  </w:style>
  <w:style w:type="character" w:customStyle="1" w:styleId="3787">
    <w:name w:val="3787"/>
    <w:basedOn w:val="aff"/>
    <w:uiPriority w:val="99"/>
    <w:rPr>
      <w:rFonts w:ascii="Calibri" w:eastAsia="宋体" w:hAnsi="Calibri" w:cs="Times New Roman" w:hint="default"/>
      <w:b/>
      <w:kern w:val="2"/>
      <w:szCs w:val="21"/>
    </w:rPr>
  </w:style>
  <w:style w:type="character" w:customStyle="1" w:styleId="3784">
    <w:name w:val="3784"/>
    <w:basedOn w:val="a0"/>
    <w:uiPriority w:val="99"/>
    <w:rPr>
      <w:rFonts w:ascii="Calibri" w:eastAsia="宋体" w:hAnsi="Calibri" w:cs="Times New Roman" w:hint="default"/>
      <w:sz w:val="18"/>
      <w:szCs w:val="18"/>
    </w:rPr>
  </w:style>
  <w:style w:type="character" w:customStyle="1" w:styleId="3782">
    <w:name w:val="3782"/>
    <w:basedOn w:val="a0"/>
    <w:uiPriority w:val="99"/>
    <w:rPr>
      <w:rFonts w:ascii="Calibri" w:eastAsia="宋体" w:hAnsi="Calibri" w:cs="Times New Roman" w:hint="default"/>
      <w:sz w:val="18"/>
      <w:szCs w:val="18"/>
    </w:rPr>
  </w:style>
  <w:style w:type="character" w:customStyle="1" w:styleId="3780">
    <w:name w:val="3780"/>
    <w:basedOn w:val="a0"/>
    <w:rPr>
      <w:rFonts w:ascii="宋体" w:eastAsia="宋体" w:hAnsi="Courier New" w:cs="Times New Roman" w:hint="eastAsia"/>
      <w:szCs w:val="20"/>
    </w:rPr>
  </w:style>
  <w:style w:type="character" w:customStyle="1" w:styleId="3778">
    <w:name w:val="3778"/>
    <w:basedOn w:val="a0"/>
    <w:uiPriority w:val="99"/>
    <w:rPr>
      <w:rFonts w:ascii="Times New Roman" w:eastAsia="宋体" w:hAnsi="Times New Roman" w:cs="Times New Roman" w:hint="default"/>
      <w:szCs w:val="21"/>
    </w:rPr>
  </w:style>
  <w:style w:type="character" w:customStyle="1" w:styleId="3776">
    <w:name w:val="3776"/>
    <w:basedOn w:val="a0"/>
    <w:uiPriority w:val="99"/>
    <w:rPr>
      <w:rFonts w:ascii="Times New Roman" w:eastAsia="宋体" w:hAnsi="Times New Roman" w:cs="Times New Roman" w:hint="default"/>
      <w:szCs w:val="21"/>
    </w:rPr>
  </w:style>
  <w:style w:type="character" w:customStyle="1" w:styleId="3774">
    <w:name w:val="3774"/>
    <w:basedOn w:val="a0"/>
    <w:uiPriority w:val="99"/>
    <w:rPr>
      <w:rFonts w:ascii="Times New Roman" w:eastAsia="宋体" w:hAnsi="Times New Roman" w:cs="Times New Roman" w:hint="default"/>
      <w:szCs w:val="21"/>
    </w:rPr>
  </w:style>
  <w:style w:type="character" w:customStyle="1" w:styleId="3769">
    <w:name w:val="3769"/>
    <w:basedOn w:val="a0"/>
    <w:uiPriority w:val="99"/>
    <w:semiHidden/>
    <w:rPr>
      <w:rFonts w:ascii="宋体" w:eastAsia="宋体" w:hAnsi="宋体" w:hint="eastAsia"/>
      <w:kern w:val="2"/>
      <w:sz w:val="18"/>
      <w:szCs w:val="18"/>
    </w:rPr>
  </w:style>
  <w:style w:type="character" w:customStyle="1" w:styleId="3768">
    <w:name w:val="3768"/>
    <w:basedOn w:val="a0"/>
    <w:uiPriority w:val="99"/>
    <w:rPr>
      <w:color w:val="auto"/>
    </w:rPr>
  </w:style>
  <w:style w:type="character" w:customStyle="1" w:styleId="3765">
    <w:name w:val="3765"/>
    <w:basedOn w:val="a0"/>
    <w:uiPriority w:val="10"/>
    <w:rPr>
      <w:rFonts w:ascii="Cambria" w:hAnsi="Cambria" w:cs="Times New Roman" w:hint="default"/>
      <w:b/>
      <w:kern w:val="2"/>
      <w:sz w:val="32"/>
      <w:szCs w:val="32"/>
    </w:rPr>
  </w:style>
  <w:style w:type="character" w:customStyle="1" w:styleId="3761">
    <w:name w:val="3761"/>
    <w:basedOn w:val="a0"/>
    <w:uiPriority w:val="99"/>
    <w:semiHidden/>
    <w:rPr>
      <w:rFonts w:ascii="宋体" w:eastAsia="宋体" w:hAnsi="宋体" w:cs="宋体" w:hint="eastAsia"/>
      <w:sz w:val="21"/>
      <w:szCs w:val="24"/>
    </w:rPr>
  </w:style>
  <w:style w:type="character" w:customStyle="1" w:styleId="3760">
    <w:name w:val="3760"/>
    <w:basedOn w:val="a0"/>
    <w:uiPriority w:val="99"/>
    <w:semiHidden/>
    <w:rPr>
      <w:vertAlign w:val="superscript"/>
    </w:rPr>
  </w:style>
  <w:style w:type="character" w:customStyle="1" w:styleId="3759">
    <w:name w:val="3759"/>
    <w:basedOn w:val="aff"/>
    <w:uiPriority w:val="99"/>
    <w:semiHidden/>
    <w:rPr>
      <w:rFonts w:ascii="Times New Roman" w:eastAsia="宋体" w:hAnsi="Times New Roman" w:cs="Times New Roman" w:hint="default"/>
      <w:b/>
      <w:kern w:val="2"/>
      <w:szCs w:val="21"/>
    </w:rPr>
  </w:style>
  <w:style w:type="character" w:customStyle="1" w:styleId="3758">
    <w:name w:val="3758"/>
    <w:basedOn w:val="aff"/>
    <w:uiPriority w:val="99"/>
    <w:semiHidden/>
    <w:rPr>
      <w:rFonts w:ascii="Times New Roman" w:eastAsia="宋体" w:hAnsi="Times New Roman" w:cs="Times New Roman" w:hint="default"/>
      <w:b/>
      <w:kern w:val="2"/>
      <w:szCs w:val="21"/>
    </w:rPr>
  </w:style>
  <w:style w:type="character" w:customStyle="1" w:styleId="3751">
    <w:name w:val="3751"/>
    <w:uiPriority w:val="99"/>
    <w:qFormat/>
    <w:rPr>
      <w:rFonts w:ascii="Times New Roman" w:hAnsi="Times New Roman" w:cs="Times New Roman" w:hint="default"/>
      <w:kern w:val="2"/>
      <w:sz w:val="21"/>
      <w:szCs w:val="21"/>
    </w:rPr>
  </w:style>
  <w:style w:type="character" w:customStyle="1" w:styleId="3748">
    <w:name w:val="3748"/>
    <w:rPr>
      <w:rFonts w:ascii="Times New Roman" w:hAnsi="Times New Roman" w:cs="Times New Roman" w:hint="default"/>
      <w:kern w:val="2"/>
      <w:sz w:val="21"/>
      <w:szCs w:val="21"/>
    </w:rPr>
  </w:style>
  <w:style w:type="character" w:customStyle="1" w:styleId="3747">
    <w:name w:val="3747"/>
    <w:basedOn w:val="a0"/>
    <w:uiPriority w:val="22"/>
    <w:qFormat/>
    <w:rPr>
      <w:b/>
    </w:rPr>
  </w:style>
  <w:style w:type="character" w:customStyle="1" w:styleId="3746">
    <w:name w:val="3746"/>
    <w:uiPriority w:val="99"/>
    <w:rPr>
      <w:rFonts w:ascii="Times New Roman" w:hAnsi="Times New Roman" w:cs="Times New Roman" w:hint="default"/>
      <w:kern w:val="2"/>
      <w:sz w:val="21"/>
      <w:szCs w:val="21"/>
    </w:rPr>
  </w:style>
  <w:style w:type="character" w:customStyle="1" w:styleId="3737">
    <w:name w:val="3737"/>
    <w:basedOn w:val="a0"/>
    <w:semiHidden/>
    <w:rPr>
      <w:rFonts w:ascii="Arial" w:hAnsi="Arial" w:cs="Times New Roman" w:hint="default"/>
      <w:b/>
      <w:kern w:val="2"/>
    </w:rPr>
  </w:style>
  <w:style w:type="character" w:customStyle="1" w:styleId="3736">
    <w:name w:val="3736"/>
    <w:basedOn w:val="a0"/>
    <w:uiPriority w:val="1"/>
    <w:qFormat/>
    <w:rPr>
      <w:kern w:val="2"/>
      <w:szCs w:val="22"/>
    </w:rPr>
  </w:style>
  <w:style w:type="character" w:customStyle="1" w:styleId="3734">
    <w:name w:val="3734"/>
    <w:basedOn w:val="a0"/>
    <w:uiPriority w:val="99"/>
    <w:rPr>
      <w:sz w:val="24"/>
    </w:rPr>
  </w:style>
  <w:style w:type="character" w:customStyle="1" w:styleId="3696">
    <w:name w:val="3696"/>
    <w:basedOn w:val="a0"/>
    <w:qFormat/>
    <w:rPr>
      <w:b/>
    </w:rPr>
  </w:style>
  <w:style w:type="character" w:customStyle="1" w:styleId="3695">
    <w:name w:val="3695"/>
    <w:basedOn w:val="a0"/>
    <w:qFormat/>
    <w:rPr>
      <w:vertAlign w:val="superscript"/>
    </w:rPr>
  </w:style>
  <w:style w:type="character" w:customStyle="1" w:styleId="3693">
    <w:name w:val="3693"/>
    <w:basedOn w:val="a0"/>
    <w:qFormat/>
    <w:rPr>
      <w:rFonts w:ascii="Times New Roman" w:hAnsi="Times New Roman" w:cs="Times New Roman" w:hint="default"/>
      <w:color w:val="0000FF"/>
      <w:u w:val="single"/>
    </w:rPr>
  </w:style>
  <w:style w:type="character" w:customStyle="1" w:styleId="3692">
    <w:name w:val="3692"/>
    <w:basedOn w:val="a0"/>
    <w:qFormat/>
    <w:rPr>
      <w:rFonts w:ascii="宋体" w:eastAsia="宋体" w:hAnsi="宋体" w:cs="Times New Roman" w:hint="eastAsia"/>
      <w:kern w:val="2"/>
      <w:sz w:val="21"/>
      <w:szCs w:val="21"/>
      <w:lang w:val="en-US" w:eastAsia="zh-CN" w:bidi="ar-SA"/>
    </w:rPr>
  </w:style>
  <w:style w:type="character" w:customStyle="1" w:styleId="3688">
    <w:name w:val="3688"/>
    <w:basedOn w:val="a0"/>
    <w:qFormat/>
    <w:rPr>
      <w:rFonts w:ascii="Arial" w:hAnsi="Arial" w:cs="Arial" w:hint="default"/>
      <w:b/>
      <w:kern w:val="2"/>
      <w:sz w:val="21"/>
      <w:szCs w:val="21"/>
    </w:rPr>
  </w:style>
  <w:style w:type="character" w:customStyle="1" w:styleId="3687">
    <w:name w:val="3687"/>
    <w:basedOn w:val="a0"/>
    <w:uiPriority w:val="9"/>
    <w:qFormat/>
    <w:rPr>
      <w:b/>
      <w:kern w:val="2"/>
      <w:sz w:val="21"/>
      <w:szCs w:val="32"/>
    </w:rPr>
  </w:style>
  <w:style w:type="character" w:customStyle="1" w:styleId="3686">
    <w:name w:val="3686"/>
    <w:basedOn w:val="a0"/>
    <w:qFormat/>
    <w:rPr>
      <w:rFonts w:ascii="Cambria" w:hAnsi="Cambria" w:hint="default"/>
      <w:b/>
      <w:kern w:val="2"/>
      <w:sz w:val="21"/>
      <w:szCs w:val="28"/>
    </w:rPr>
  </w:style>
  <w:style w:type="character" w:customStyle="1" w:styleId="3685">
    <w:name w:val="3685"/>
    <w:basedOn w:val="a0"/>
    <w:uiPriority w:val="9"/>
    <w:qFormat/>
    <w:rPr>
      <w:b/>
      <w:kern w:val="2"/>
      <w:sz w:val="21"/>
      <w:szCs w:val="28"/>
    </w:rPr>
  </w:style>
  <w:style w:type="character" w:customStyle="1" w:styleId="3683">
    <w:name w:val="3683"/>
    <w:basedOn w:val="a0"/>
    <w:qFormat/>
    <w:rPr>
      <w:rFonts w:ascii="Times New Roman" w:eastAsia="宋体" w:hAnsi="Times New Roman" w:cs="Times New Roman" w:hint="default"/>
      <w:szCs w:val="21"/>
    </w:rPr>
  </w:style>
  <w:style w:type="character" w:customStyle="1" w:styleId="3682">
    <w:name w:val="3682"/>
    <w:basedOn w:val="a0"/>
    <w:uiPriority w:val="99"/>
    <w:qFormat/>
    <w:rPr>
      <w:rFonts w:ascii="Calibri" w:eastAsia="宋体" w:hAnsi="Calibri" w:cs="Times New Roman" w:hint="default"/>
      <w:sz w:val="18"/>
      <w:szCs w:val="18"/>
    </w:rPr>
  </w:style>
  <w:style w:type="character" w:customStyle="1" w:styleId="3681">
    <w:name w:val="3681"/>
    <w:basedOn w:val="a0"/>
    <w:uiPriority w:val="99"/>
    <w:qFormat/>
    <w:rPr>
      <w:rFonts w:ascii="Times New Roman" w:eastAsia="宋体" w:hAnsi="Times New Roman" w:cs="Times New Roman" w:hint="default"/>
      <w:szCs w:val="21"/>
    </w:rPr>
  </w:style>
  <w:style w:type="character" w:customStyle="1" w:styleId="3679">
    <w:name w:val="3679"/>
    <w:basedOn w:val="3683"/>
    <w:uiPriority w:val="99"/>
    <w:qFormat/>
    <w:rPr>
      <w:rFonts w:ascii="Calibri" w:eastAsia="宋体" w:hAnsi="Calibri" w:cs="Times New Roman" w:hint="default"/>
      <w:b/>
      <w:szCs w:val="21"/>
    </w:rPr>
  </w:style>
  <w:style w:type="character" w:customStyle="1" w:styleId="3678">
    <w:name w:val="3678"/>
    <w:basedOn w:val="a0"/>
    <w:uiPriority w:val="99"/>
    <w:qFormat/>
    <w:rPr>
      <w:rFonts w:ascii="Calibri" w:eastAsia="宋体" w:hAnsi="Calibri" w:cs="Times New Roman" w:hint="default"/>
      <w:sz w:val="18"/>
      <w:szCs w:val="18"/>
    </w:rPr>
  </w:style>
  <w:style w:type="character" w:customStyle="1" w:styleId="3677">
    <w:name w:val="3677"/>
    <w:basedOn w:val="a0"/>
    <w:uiPriority w:val="99"/>
    <w:qFormat/>
    <w:rPr>
      <w:rFonts w:ascii="Calibri" w:eastAsia="宋体" w:hAnsi="Calibri" w:cs="Times New Roman" w:hint="default"/>
      <w:sz w:val="18"/>
      <w:szCs w:val="18"/>
    </w:rPr>
  </w:style>
  <w:style w:type="character" w:customStyle="1" w:styleId="3676">
    <w:name w:val="3676"/>
    <w:basedOn w:val="a0"/>
    <w:qFormat/>
    <w:rPr>
      <w:rFonts w:ascii="宋体" w:eastAsia="宋体" w:hAnsi="Courier New" w:cs="Times New Roman" w:hint="eastAsia"/>
      <w:szCs w:val="20"/>
    </w:rPr>
  </w:style>
  <w:style w:type="character" w:customStyle="1" w:styleId="3675">
    <w:name w:val="3675"/>
    <w:basedOn w:val="a0"/>
    <w:uiPriority w:val="99"/>
    <w:qFormat/>
    <w:rPr>
      <w:rFonts w:ascii="Times New Roman" w:eastAsia="宋体" w:hAnsi="Times New Roman" w:cs="Times New Roman" w:hint="default"/>
      <w:szCs w:val="21"/>
    </w:rPr>
  </w:style>
  <w:style w:type="character" w:customStyle="1" w:styleId="3674">
    <w:name w:val="3674"/>
    <w:basedOn w:val="a0"/>
    <w:uiPriority w:val="99"/>
    <w:qFormat/>
    <w:rPr>
      <w:rFonts w:ascii="Times New Roman" w:eastAsia="宋体" w:hAnsi="Times New Roman" w:cs="Times New Roman" w:hint="default"/>
      <w:szCs w:val="21"/>
    </w:rPr>
  </w:style>
  <w:style w:type="character" w:customStyle="1" w:styleId="3673">
    <w:name w:val="3673"/>
    <w:basedOn w:val="a0"/>
    <w:uiPriority w:val="99"/>
    <w:qFormat/>
    <w:rPr>
      <w:rFonts w:ascii="Times New Roman" w:eastAsia="宋体" w:hAnsi="Times New Roman" w:cs="Times New Roman" w:hint="default"/>
      <w:szCs w:val="21"/>
    </w:rPr>
  </w:style>
  <w:style w:type="character" w:customStyle="1" w:styleId="3671">
    <w:name w:val="3671"/>
    <w:basedOn w:val="a0"/>
    <w:qFormat/>
    <w:rPr>
      <w:kern w:val="2"/>
      <w:sz w:val="21"/>
      <w:szCs w:val="24"/>
    </w:rPr>
  </w:style>
  <w:style w:type="character" w:customStyle="1" w:styleId="3669">
    <w:name w:val="3669"/>
    <w:basedOn w:val="a0"/>
    <w:uiPriority w:val="99"/>
    <w:semiHidden/>
    <w:qFormat/>
    <w:rPr>
      <w:rFonts w:ascii="宋体" w:eastAsia="宋体" w:hAnsi="宋体" w:hint="eastAsia"/>
      <w:kern w:val="2"/>
      <w:sz w:val="18"/>
      <w:szCs w:val="18"/>
    </w:rPr>
  </w:style>
  <w:style w:type="character" w:customStyle="1" w:styleId="3668">
    <w:name w:val="3668"/>
    <w:basedOn w:val="a0"/>
    <w:uiPriority w:val="10"/>
    <w:qFormat/>
    <w:rPr>
      <w:rFonts w:ascii="Cambria" w:hAnsi="Cambria" w:cs="Times New Roman" w:hint="default"/>
      <w:b/>
      <w:kern w:val="2"/>
      <w:sz w:val="32"/>
      <w:szCs w:val="32"/>
    </w:rPr>
  </w:style>
  <w:style w:type="character" w:customStyle="1" w:styleId="3666">
    <w:name w:val="3666"/>
    <w:basedOn w:val="a0"/>
    <w:uiPriority w:val="9"/>
    <w:qFormat/>
    <w:rPr>
      <w:rFonts w:ascii="Cambria" w:hAnsi="Cambria" w:cs="Times New Roman" w:hint="default"/>
      <w:b/>
      <w:sz w:val="21"/>
      <w:szCs w:val="24"/>
    </w:rPr>
  </w:style>
  <w:style w:type="character" w:customStyle="1" w:styleId="3665">
    <w:name w:val="3665"/>
    <w:basedOn w:val="a0"/>
    <w:uiPriority w:val="99"/>
    <w:semiHidden/>
    <w:qFormat/>
    <w:rPr>
      <w:rFonts w:ascii="宋体" w:eastAsia="宋体" w:hAnsi="宋体" w:cs="宋体" w:hint="eastAsia"/>
      <w:sz w:val="21"/>
      <w:szCs w:val="24"/>
    </w:rPr>
  </w:style>
  <w:style w:type="character" w:customStyle="1" w:styleId="3664">
    <w:name w:val="3664"/>
    <w:basedOn w:val="3683"/>
    <w:uiPriority w:val="99"/>
    <w:semiHidden/>
    <w:qFormat/>
    <w:rPr>
      <w:rFonts w:ascii="Times New Roman" w:eastAsia="宋体" w:hAnsi="Times New Roman" w:cs="Times New Roman" w:hint="default"/>
      <w:b/>
      <w:szCs w:val="21"/>
    </w:rPr>
  </w:style>
  <w:style w:type="character" w:customStyle="1" w:styleId="3660">
    <w:name w:val="3660"/>
    <w:basedOn w:val="a0"/>
    <w:qFormat/>
    <w:rPr>
      <w:rFonts w:ascii="Times New Roman" w:hAnsi="Times New Roman" w:cs="Times New Roman" w:hint="default"/>
      <w:b/>
      <w:kern w:val="2"/>
      <w:sz w:val="21"/>
      <w:szCs w:val="24"/>
    </w:rPr>
  </w:style>
  <w:style w:type="character" w:customStyle="1" w:styleId="3659">
    <w:name w:val="3659"/>
    <w:basedOn w:val="3683"/>
    <w:uiPriority w:val="99"/>
    <w:semiHidden/>
    <w:qFormat/>
    <w:rPr>
      <w:rFonts w:ascii="Times New Roman" w:eastAsia="宋体" w:hAnsi="Times New Roman" w:cs="Times New Roman" w:hint="default"/>
      <w:b/>
      <w:szCs w:val="21"/>
    </w:rPr>
  </w:style>
  <w:style w:type="character" w:customStyle="1" w:styleId="3658">
    <w:name w:val="3658"/>
    <w:basedOn w:val="a0"/>
    <w:uiPriority w:val="9"/>
    <w:qFormat/>
    <w:rPr>
      <w:rFonts w:ascii="宋体" w:eastAsia="宋体" w:hAnsi="宋体" w:cs="宋体" w:hint="eastAsia"/>
      <w:b/>
      <w:sz w:val="24"/>
      <w:szCs w:val="24"/>
    </w:rPr>
  </w:style>
  <w:style w:type="character" w:customStyle="1" w:styleId="3657">
    <w:name w:val="3657"/>
    <w:uiPriority w:val="9"/>
    <w:qFormat/>
    <w:rPr>
      <w:rFonts w:ascii="Cambria" w:hAnsi="Cambria" w:hint="default"/>
      <w:b/>
      <w:kern w:val="2"/>
      <w:sz w:val="21"/>
      <w:szCs w:val="28"/>
    </w:rPr>
  </w:style>
  <w:style w:type="character" w:customStyle="1" w:styleId="3654">
    <w:name w:val="3654"/>
    <w:uiPriority w:val="9"/>
    <w:qFormat/>
    <w:rPr>
      <w:b/>
      <w:kern w:val="2"/>
      <w:sz w:val="21"/>
      <w:szCs w:val="32"/>
    </w:rPr>
  </w:style>
  <w:style w:type="character" w:customStyle="1" w:styleId="3651">
    <w:name w:val="3651"/>
    <w:uiPriority w:val="99"/>
    <w:qFormat/>
    <w:rPr>
      <w:rFonts w:ascii="Times New Roman" w:hAnsi="Times New Roman" w:cs="Times New Roman" w:hint="default"/>
      <w:kern w:val="2"/>
      <w:sz w:val="21"/>
      <w:szCs w:val="21"/>
    </w:rPr>
  </w:style>
  <w:style w:type="character" w:customStyle="1" w:styleId="3649">
    <w:name w:val="3649"/>
    <w:uiPriority w:val="9"/>
    <w:qFormat/>
    <w:rPr>
      <w:b/>
      <w:kern w:val="2"/>
      <w:sz w:val="21"/>
      <w:szCs w:val="28"/>
    </w:rPr>
  </w:style>
  <w:style w:type="character" w:customStyle="1" w:styleId="3647">
    <w:name w:val="3647"/>
    <w:uiPriority w:val="9"/>
    <w:qFormat/>
    <w:rPr>
      <w:b/>
      <w:kern w:val="2"/>
      <w:sz w:val="21"/>
      <w:szCs w:val="32"/>
    </w:rPr>
  </w:style>
  <w:style w:type="character" w:customStyle="1" w:styleId="3646">
    <w:name w:val="3646"/>
    <w:qFormat/>
    <w:rPr>
      <w:rFonts w:ascii="Arial" w:hAnsi="Arial" w:cs="Arial" w:hint="default"/>
      <w:b/>
      <w:kern w:val="2"/>
      <w:sz w:val="21"/>
      <w:szCs w:val="21"/>
    </w:rPr>
  </w:style>
  <w:style w:type="character" w:customStyle="1" w:styleId="3645">
    <w:name w:val="3645"/>
    <w:uiPriority w:val="9"/>
    <w:qFormat/>
    <w:rPr>
      <w:rFonts w:ascii="Cambria" w:hAnsi="Cambria" w:hint="default"/>
      <w:b/>
      <w:kern w:val="2"/>
      <w:sz w:val="21"/>
      <w:szCs w:val="28"/>
    </w:rPr>
  </w:style>
  <w:style w:type="character" w:customStyle="1" w:styleId="3644">
    <w:name w:val="3644"/>
    <w:uiPriority w:val="9"/>
    <w:qFormat/>
    <w:rPr>
      <w:b/>
      <w:kern w:val="2"/>
      <w:sz w:val="21"/>
      <w:szCs w:val="28"/>
    </w:rPr>
  </w:style>
  <w:style w:type="character" w:customStyle="1" w:styleId="3642">
    <w:name w:val="3642"/>
    <w:qFormat/>
    <w:rPr>
      <w:rFonts w:ascii="Times New Roman" w:hAnsi="Times New Roman" w:cs="Times New Roman" w:hint="default"/>
      <w:kern w:val="2"/>
      <w:sz w:val="21"/>
      <w:szCs w:val="21"/>
    </w:rPr>
  </w:style>
  <w:style w:type="character" w:customStyle="1" w:styleId="3640">
    <w:name w:val="3640"/>
    <w:basedOn w:val="a0"/>
    <w:qFormat/>
    <w:rPr>
      <w:rFonts w:ascii="Arial" w:eastAsia="黑体" w:hAnsi="Arial" w:cs="Times New Roman" w:hint="default"/>
      <w:color w:val="000000"/>
      <w:sz w:val="24"/>
      <w:szCs w:val="20"/>
    </w:rPr>
  </w:style>
  <w:style w:type="character" w:customStyle="1" w:styleId="3639">
    <w:name w:val="3639"/>
    <w:basedOn w:val="a0"/>
    <w:qFormat/>
    <w:rPr>
      <w:rFonts w:ascii="Arial" w:eastAsia="黑体" w:hAnsi="Arial" w:cs="Times New Roman" w:hint="default"/>
      <w:color w:val="000000"/>
      <w:sz w:val="24"/>
      <w:szCs w:val="20"/>
    </w:rPr>
  </w:style>
  <w:style w:type="character" w:customStyle="1" w:styleId="3635">
    <w:name w:val="3635"/>
    <w:basedOn w:val="a0"/>
    <w:qFormat/>
    <w:rPr>
      <w:b/>
      <w:sz w:val="24"/>
      <w:szCs w:val="24"/>
    </w:rPr>
  </w:style>
  <w:style w:type="character" w:customStyle="1" w:styleId="3634">
    <w:name w:val="3634"/>
    <w:qFormat/>
    <w:rPr>
      <w:rFonts w:ascii="宋体" w:eastAsia="宋体" w:hAnsi="宋体" w:hint="eastAsia"/>
      <w:color w:val="000000"/>
      <w:sz w:val="24"/>
      <w:szCs w:val="24"/>
    </w:rPr>
  </w:style>
  <w:style w:type="character" w:customStyle="1" w:styleId="3633">
    <w:name w:val="3633"/>
    <w:uiPriority w:val="99"/>
    <w:qFormat/>
    <w:rPr>
      <w:rFonts w:ascii="Times New Roman" w:hAnsi="Times New Roman" w:cs="Times New Roman" w:hint="default"/>
      <w:kern w:val="2"/>
      <w:sz w:val="21"/>
      <w:szCs w:val="21"/>
    </w:rPr>
  </w:style>
  <w:style w:type="character" w:customStyle="1" w:styleId="3632">
    <w:name w:val="3632"/>
    <w:qFormat/>
    <w:rPr>
      <w:rFonts w:ascii="FZLTSK--GBK1-0" w:hAnsi="FZLTSK--GBK1-0" w:hint="default"/>
      <w:bCs/>
      <w:color w:val="000000"/>
      <w:sz w:val="20"/>
      <w:szCs w:val="20"/>
    </w:rPr>
  </w:style>
  <w:style w:type="character" w:customStyle="1" w:styleId="3619">
    <w:name w:val="3619"/>
    <w:basedOn w:val="a0"/>
    <w:qFormat/>
    <w:rPr>
      <w:rFonts w:ascii="Times New Roman" w:hAnsi="Times New Roman" w:cs="Times New Roman" w:hint="default"/>
      <w:kern w:val="2"/>
    </w:rPr>
  </w:style>
  <w:style w:type="character" w:customStyle="1" w:styleId="3618">
    <w:name w:val="3618"/>
    <w:basedOn w:val="3683"/>
    <w:uiPriority w:val="99"/>
    <w:semiHidden/>
    <w:qFormat/>
    <w:rPr>
      <w:rFonts w:ascii="Times New Roman" w:eastAsia="宋体" w:hAnsi="Times New Roman" w:cs="Times New Roman" w:hint="default"/>
      <w:b/>
      <w:color w:val="000000"/>
      <w:sz w:val="21"/>
      <w:szCs w:val="21"/>
    </w:rPr>
  </w:style>
  <w:style w:type="character" w:customStyle="1" w:styleId="3612">
    <w:name w:val="3612"/>
    <w:basedOn w:val="a0"/>
    <w:uiPriority w:val="9"/>
    <w:qFormat/>
    <w:rPr>
      <w:rFonts w:ascii="Cambria" w:hAnsi="Cambria" w:hint="default"/>
      <w:b/>
      <w:kern w:val="2"/>
      <w:sz w:val="21"/>
      <w:szCs w:val="28"/>
    </w:rPr>
  </w:style>
  <w:style w:type="character" w:customStyle="1" w:styleId="3610">
    <w:name w:val="3610"/>
    <w:basedOn w:val="a0"/>
    <w:uiPriority w:val="9"/>
    <w:qFormat/>
    <w:rPr>
      <w:b/>
      <w:kern w:val="2"/>
      <w:sz w:val="21"/>
      <w:szCs w:val="32"/>
    </w:rPr>
  </w:style>
  <w:style w:type="character" w:customStyle="1" w:styleId="3601">
    <w:name w:val="3601"/>
    <w:basedOn w:val="a0"/>
    <w:semiHidden/>
    <w:qFormat/>
    <w:rPr>
      <w:rFonts w:ascii="Arial" w:hAnsi="Arial" w:cs="Times New Roman" w:hint="default"/>
      <w:b/>
      <w:kern w:val="2"/>
    </w:rPr>
  </w:style>
  <w:style w:type="character" w:customStyle="1" w:styleId="3600">
    <w:name w:val="3600"/>
    <w:basedOn w:val="a0"/>
    <w:uiPriority w:val="1"/>
    <w:qFormat/>
    <w:rPr>
      <w:kern w:val="2"/>
      <w:szCs w:val="22"/>
    </w:rPr>
  </w:style>
  <w:style w:type="character" w:customStyle="1" w:styleId="3599">
    <w:name w:val="3599"/>
    <w:basedOn w:val="a0"/>
    <w:uiPriority w:val="99"/>
    <w:qFormat/>
    <w:rPr>
      <w:sz w:val="24"/>
    </w:rPr>
  </w:style>
  <w:style w:type="character" w:customStyle="1" w:styleId="3597">
    <w:name w:val="3597"/>
    <w:basedOn w:val="a0"/>
    <w:qFormat/>
    <w:rPr>
      <w:rFonts w:ascii="宋体" w:eastAsia="宋体" w:hAnsi="宋体" w:hint="eastAsia"/>
      <w:kern w:val="2"/>
      <w:szCs w:val="24"/>
    </w:rPr>
  </w:style>
  <w:style w:type="character" w:customStyle="1" w:styleId="3590">
    <w:name w:val="3590"/>
    <w:basedOn w:val="a0"/>
    <w:uiPriority w:val="99"/>
    <w:qFormat/>
    <w:rPr>
      <w:rFonts w:ascii="黑体" w:eastAsia="黑体" w:hAnsi="黑体" w:hint="eastAsia"/>
      <w:b/>
      <w:kern w:val="44"/>
      <w:sz w:val="28"/>
      <w:szCs w:val="44"/>
    </w:rPr>
  </w:style>
  <w:style w:type="character" w:customStyle="1" w:styleId="3589">
    <w:name w:val="3589"/>
    <w:basedOn w:val="a0"/>
    <w:qFormat/>
    <w:rPr>
      <w:rFonts w:ascii="Arial" w:hAnsi="Arial" w:cs="Arial" w:hint="default"/>
      <w:b/>
      <w:kern w:val="2"/>
      <w:sz w:val="21"/>
      <w:szCs w:val="21"/>
    </w:rPr>
  </w:style>
  <w:style w:type="character" w:customStyle="1" w:styleId="3588">
    <w:name w:val="3588"/>
    <w:basedOn w:val="a0"/>
    <w:uiPriority w:val="9"/>
    <w:qFormat/>
    <w:rPr>
      <w:b/>
      <w:kern w:val="2"/>
      <w:sz w:val="21"/>
      <w:szCs w:val="32"/>
    </w:rPr>
  </w:style>
  <w:style w:type="character" w:customStyle="1" w:styleId="3587">
    <w:name w:val="3587"/>
    <w:basedOn w:val="a0"/>
    <w:uiPriority w:val="9"/>
    <w:qFormat/>
    <w:rPr>
      <w:rFonts w:ascii="Cambria" w:hAnsi="Cambria" w:hint="default"/>
      <w:b/>
      <w:kern w:val="2"/>
      <w:sz w:val="21"/>
      <w:szCs w:val="28"/>
    </w:rPr>
  </w:style>
  <w:style w:type="character" w:customStyle="1" w:styleId="3586">
    <w:name w:val="3586"/>
    <w:basedOn w:val="a0"/>
    <w:uiPriority w:val="9"/>
    <w:qFormat/>
    <w:rPr>
      <w:b/>
      <w:kern w:val="2"/>
      <w:sz w:val="21"/>
      <w:szCs w:val="28"/>
    </w:rPr>
  </w:style>
  <w:style w:type="character" w:customStyle="1" w:styleId="3583">
    <w:name w:val="3583"/>
    <w:basedOn w:val="a0"/>
    <w:qFormat/>
    <w:rPr>
      <w:rFonts w:ascii="Times New Roman" w:eastAsia="宋体" w:hAnsi="Times New Roman" w:cs="Times New Roman" w:hint="default"/>
      <w:szCs w:val="21"/>
    </w:rPr>
  </w:style>
  <w:style w:type="character" w:customStyle="1" w:styleId="3581">
    <w:name w:val="3581"/>
    <w:basedOn w:val="a0"/>
    <w:uiPriority w:val="99"/>
    <w:qFormat/>
    <w:rPr>
      <w:rFonts w:ascii="Calibri" w:eastAsia="宋体" w:hAnsi="Calibri" w:cs="Times New Roman" w:hint="default"/>
      <w:sz w:val="18"/>
      <w:szCs w:val="18"/>
    </w:rPr>
  </w:style>
  <w:style w:type="character" w:customStyle="1" w:styleId="3580">
    <w:name w:val="3580"/>
    <w:basedOn w:val="a0"/>
    <w:uiPriority w:val="99"/>
    <w:qFormat/>
    <w:rPr>
      <w:rFonts w:ascii="Times New Roman" w:eastAsia="宋体" w:hAnsi="Times New Roman" w:cs="Times New Roman" w:hint="default"/>
      <w:szCs w:val="21"/>
    </w:rPr>
  </w:style>
  <w:style w:type="character" w:customStyle="1" w:styleId="3578">
    <w:name w:val="3578"/>
    <w:basedOn w:val="3583"/>
    <w:uiPriority w:val="99"/>
    <w:qFormat/>
    <w:rPr>
      <w:rFonts w:ascii="Calibri" w:eastAsia="宋体" w:hAnsi="Calibri" w:cs="Times New Roman" w:hint="default"/>
      <w:b/>
      <w:szCs w:val="21"/>
    </w:rPr>
  </w:style>
  <w:style w:type="character" w:customStyle="1" w:styleId="3576">
    <w:name w:val="3576"/>
    <w:basedOn w:val="a0"/>
    <w:uiPriority w:val="99"/>
    <w:qFormat/>
    <w:rPr>
      <w:rFonts w:ascii="Calibri" w:eastAsia="宋体" w:hAnsi="Calibri" w:cs="Times New Roman" w:hint="default"/>
      <w:sz w:val="18"/>
      <w:szCs w:val="18"/>
    </w:rPr>
  </w:style>
  <w:style w:type="character" w:customStyle="1" w:styleId="3574">
    <w:name w:val="3574"/>
    <w:basedOn w:val="a0"/>
    <w:uiPriority w:val="99"/>
    <w:qFormat/>
    <w:rPr>
      <w:rFonts w:ascii="Calibri" w:eastAsia="宋体" w:hAnsi="Calibri" w:cs="Times New Roman" w:hint="default"/>
      <w:sz w:val="18"/>
      <w:szCs w:val="18"/>
    </w:rPr>
  </w:style>
  <w:style w:type="character" w:customStyle="1" w:styleId="3572">
    <w:name w:val="3572"/>
    <w:basedOn w:val="a0"/>
    <w:qFormat/>
    <w:rPr>
      <w:rFonts w:ascii="宋体" w:eastAsia="宋体" w:hAnsi="Courier New" w:cs="Times New Roman" w:hint="eastAsia"/>
      <w:szCs w:val="20"/>
    </w:rPr>
  </w:style>
  <w:style w:type="character" w:customStyle="1" w:styleId="3570">
    <w:name w:val="3570"/>
    <w:basedOn w:val="a0"/>
    <w:uiPriority w:val="99"/>
    <w:qFormat/>
    <w:rPr>
      <w:rFonts w:ascii="Times New Roman" w:eastAsia="宋体" w:hAnsi="Times New Roman" w:cs="Times New Roman" w:hint="default"/>
      <w:szCs w:val="21"/>
    </w:rPr>
  </w:style>
  <w:style w:type="character" w:customStyle="1" w:styleId="3568">
    <w:name w:val="3568"/>
    <w:basedOn w:val="a0"/>
    <w:uiPriority w:val="99"/>
    <w:qFormat/>
    <w:rPr>
      <w:rFonts w:ascii="Times New Roman" w:eastAsia="宋体" w:hAnsi="Times New Roman" w:cs="Times New Roman" w:hint="default"/>
      <w:szCs w:val="21"/>
    </w:rPr>
  </w:style>
  <w:style w:type="character" w:customStyle="1" w:styleId="3566">
    <w:name w:val="3566"/>
    <w:basedOn w:val="a0"/>
    <w:uiPriority w:val="99"/>
    <w:qFormat/>
    <w:rPr>
      <w:rFonts w:ascii="Times New Roman" w:eastAsia="宋体" w:hAnsi="Times New Roman" w:cs="Times New Roman" w:hint="default"/>
      <w:szCs w:val="21"/>
    </w:rPr>
  </w:style>
  <w:style w:type="character" w:customStyle="1" w:styleId="3562">
    <w:name w:val="3562"/>
    <w:basedOn w:val="a0"/>
    <w:qFormat/>
    <w:rPr>
      <w:kern w:val="2"/>
      <w:sz w:val="21"/>
      <w:szCs w:val="24"/>
    </w:rPr>
  </w:style>
  <w:style w:type="character" w:customStyle="1" w:styleId="3559">
    <w:name w:val="3559"/>
    <w:basedOn w:val="a0"/>
    <w:uiPriority w:val="99"/>
    <w:semiHidden/>
    <w:qFormat/>
    <w:rPr>
      <w:rFonts w:ascii="宋体" w:eastAsia="宋体" w:hAnsi="宋体" w:hint="eastAsia"/>
      <w:kern w:val="2"/>
      <w:sz w:val="18"/>
      <w:szCs w:val="18"/>
    </w:rPr>
  </w:style>
  <w:style w:type="character" w:customStyle="1" w:styleId="3558">
    <w:name w:val="3558"/>
    <w:basedOn w:val="a0"/>
    <w:uiPriority w:val="99"/>
    <w:qFormat/>
    <w:rPr>
      <w:color w:val="auto"/>
    </w:rPr>
  </w:style>
  <w:style w:type="character" w:customStyle="1" w:styleId="3556">
    <w:name w:val="3556"/>
    <w:basedOn w:val="a0"/>
    <w:uiPriority w:val="10"/>
    <w:qFormat/>
    <w:rPr>
      <w:rFonts w:ascii="Cambria" w:hAnsi="Cambria" w:cs="Times New Roman" w:hint="default"/>
      <w:b/>
      <w:kern w:val="2"/>
      <w:sz w:val="32"/>
      <w:szCs w:val="32"/>
    </w:rPr>
  </w:style>
  <w:style w:type="character" w:customStyle="1" w:styleId="3548">
    <w:name w:val="3548"/>
    <w:basedOn w:val="a0"/>
    <w:uiPriority w:val="9"/>
    <w:qFormat/>
    <w:rPr>
      <w:rFonts w:ascii="Cambria" w:hAnsi="Cambria" w:cs="Times New Roman" w:hint="default"/>
      <w:b/>
      <w:sz w:val="21"/>
      <w:szCs w:val="24"/>
    </w:rPr>
  </w:style>
  <w:style w:type="character" w:customStyle="1" w:styleId="3545">
    <w:name w:val="3545"/>
    <w:basedOn w:val="a0"/>
    <w:uiPriority w:val="99"/>
    <w:semiHidden/>
    <w:qFormat/>
    <w:rPr>
      <w:rFonts w:ascii="宋体" w:eastAsia="宋体" w:hAnsi="宋体" w:cs="宋体" w:hint="eastAsia"/>
      <w:sz w:val="21"/>
      <w:szCs w:val="24"/>
    </w:rPr>
  </w:style>
  <w:style w:type="character" w:customStyle="1" w:styleId="3544">
    <w:name w:val="3544"/>
    <w:basedOn w:val="a0"/>
    <w:uiPriority w:val="99"/>
    <w:semiHidden/>
    <w:qFormat/>
    <w:rPr>
      <w:vertAlign w:val="superscript"/>
    </w:rPr>
  </w:style>
  <w:style w:type="character" w:customStyle="1" w:styleId="3543">
    <w:name w:val="3543"/>
    <w:basedOn w:val="3583"/>
    <w:uiPriority w:val="99"/>
    <w:semiHidden/>
    <w:qFormat/>
    <w:rPr>
      <w:rFonts w:ascii="Times New Roman" w:eastAsia="宋体" w:hAnsi="Times New Roman" w:cs="Times New Roman" w:hint="default"/>
      <w:b/>
      <w:szCs w:val="21"/>
    </w:rPr>
  </w:style>
  <w:style w:type="character" w:customStyle="1" w:styleId="3542">
    <w:name w:val="3542"/>
    <w:basedOn w:val="3583"/>
    <w:uiPriority w:val="99"/>
    <w:semiHidden/>
    <w:qFormat/>
    <w:rPr>
      <w:rFonts w:ascii="Times New Roman" w:eastAsia="宋体" w:hAnsi="Times New Roman" w:cs="Times New Roman" w:hint="default"/>
      <w:b/>
      <w:szCs w:val="21"/>
    </w:rPr>
  </w:style>
  <w:style w:type="character" w:customStyle="1" w:styleId="3541">
    <w:name w:val="3541"/>
    <w:basedOn w:val="a0"/>
    <w:uiPriority w:val="9"/>
    <w:qFormat/>
    <w:rPr>
      <w:rFonts w:ascii="宋体" w:eastAsia="宋体" w:hAnsi="宋体" w:cs="宋体" w:hint="eastAsia"/>
      <w:b/>
      <w:sz w:val="24"/>
      <w:szCs w:val="24"/>
    </w:rPr>
  </w:style>
  <w:style w:type="character" w:customStyle="1" w:styleId="3534">
    <w:name w:val="3534"/>
    <w:uiPriority w:val="99"/>
    <w:qFormat/>
    <w:rPr>
      <w:rFonts w:ascii="Times New Roman" w:hAnsi="Times New Roman" w:cs="Times New Roman" w:hint="default"/>
      <w:kern w:val="2"/>
      <w:sz w:val="21"/>
      <w:szCs w:val="21"/>
    </w:rPr>
  </w:style>
  <w:style w:type="character" w:customStyle="1" w:styleId="3532">
    <w:name w:val="3532"/>
    <w:qFormat/>
    <w:rPr>
      <w:rFonts w:ascii="Times New Roman" w:hAnsi="Times New Roman" w:cs="Times New Roman" w:hint="default"/>
      <w:kern w:val="2"/>
      <w:sz w:val="21"/>
      <w:szCs w:val="21"/>
    </w:rPr>
  </w:style>
  <w:style w:type="character" w:customStyle="1" w:styleId="3530">
    <w:name w:val="3530"/>
    <w:qFormat/>
    <w:rPr>
      <w:rFonts w:ascii="Times New Roman" w:hAnsi="Times New Roman" w:cs="Times New Roman" w:hint="default"/>
      <w:kern w:val="2"/>
      <w:sz w:val="21"/>
      <w:szCs w:val="21"/>
    </w:rPr>
  </w:style>
  <w:style w:type="character" w:customStyle="1" w:styleId="3526">
    <w:name w:val="3526"/>
    <w:basedOn w:val="a0"/>
    <w:uiPriority w:val="99"/>
    <w:qFormat/>
    <w:rPr>
      <w:rFonts w:ascii="Times New Roman" w:eastAsia="宋体" w:hAnsi="Times New Roman" w:cs="Times New Roman" w:hint="default"/>
      <w:szCs w:val="21"/>
    </w:rPr>
  </w:style>
  <w:style w:type="character" w:customStyle="1" w:styleId="3524">
    <w:name w:val="3524"/>
    <w:basedOn w:val="3583"/>
    <w:uiPriority w:val="99"/>
    <w:qFormat/>
    <w:rPr>
      <w:rFonts w:ascii="Calibri" w:eastAsia="宋体" w:hAnsi="Calibri" w:cs="Times New Roman" w:hint="default"/>
      <w:b/>
      <w:szCs w:val="21"/>
    </w:rPr>
  </w:style>
  <w:style w:type="character" w:customStyle="1" w:styleId="3522">
    <w:name w:val="3522"/>
    <w:basedOn w:val="a0"/>
    <w:uiPriority w:val="99"/>
    <w:qFormat/>
    <w:rPr>
      <w:rFonts w:ascii="Calibri" w:eastAsia="宋体" w:hAnsi="Calibri" w:cs="Times New Roman" w:hint="default"/>
      <w:sz w:val="18"/>
      <w:szCs w:val="18"/>
    </w:rPr>
  </w:style>
  <w:style w:type="character" w:customStyle="1" w:styleId="3519">
    <w:name w:val="3519"/>
    <w:basedOn w:val="a0"/>
    <w:qFormat/>
    <w:rPr>
      <w:rFonts w:ascii="宋体" w:eastAsia="宋体" w:hAnsi="Courier New" w:cs="Times New Roman" w:hint="eastAsia"/>
      <w:szCs w:val="20"/>
    </w:rPr>
  </w:style>
  <w:style w:type="character" w:customStyle="1" w:styleId="3517">
    <w:name w:val="3517"/>
    <w:basedOn w:val="a0"/>
    <w:uiPriority w:val="99"/>
    <w:qFormat/>
    <w:rPr>
      <w:rFonts w:ascii="Times New Roman" w:eastAsia="宋体" w:hAnsi="Times New Roman" w:cs="Times New Roman" w:hint="default"/>
      <w:szCs w:val="21"/>
    </w:rPr>
  </w:style>
  <w:style w:type="character" w:customStyle="1" w:styleId="3515">
    <w:name w:val="3515"/>
    <w:basedOn w:val="a0"/>
    <w:uiPriority w:val="99"/>
    <w:qFormat/>
    <w:rPr>
      <w:rFonts w:ascii="Times New Roman" w:eastAsia="宋体" w:hAnsi="Times New Roman" w:cs="Times New Roman" w:hint="default"/>
      <w:szCs w:val="21"/>
    </w:rPr>
  </w:style>
  <w:style w:type="character" w:customStyle="1" w:styleId="3513">
    <w:name w:val="3513"/>
    <w:basedOn w:val="a0"/>
    <w:uiPriority w:val="99"/>
    <w:qFormat/>
    <w:rPr>
      <w:rFonts w:ascii="Times New Roman" w:eastAsia="宋体" w:hAnsi="Times New Roman" w:cs="Times New Roman" w:hint="default"/>
      <w:szCs w:val="21"/>
    </w:rPr>
  </w:style>
  <w:style w:type="character" w:customStyle="1" w:styleId="3509">
    <w:name w:val="3509"/>
    <w:basedOn w:val="a0"/>
    <w:qFormat/>
    <w:rPr>
      <w:kern w:val="2"/>
      <w:sz w:val="21"/>
      <w:szCs w:val="24"/>
    </w:rPr>
  </w:style>
  <w:style w:type="character" w:customStyle="1" w:styleId="3506">
    <w:name w:val="3506"/>
    <w:basedOn w:val="a0"/>
    <w:uiPriority w:val="99"/>
    <w:semiHidden/>
    <w:qFormat/>
    <w:rPr>
      <w:rFonts w:ascii="宋体" w:eastAsia="宋体" w:hAnsi="宋体" w:hint="eastAsia"/>
      <w:kern w:val="2"/>
      <w:sz w:val="18"/>
      <w:szCs w:val="18"/>
    </w:rPr>
  </w:style>
  <w:style w:type="character" w:customStyle="1" w:styleId="3505">
    <w:name w:val="3505"/>
    <w:basedOn w:val="a0"/>
    <w:uiPriority w:val="99"/>
    <w:qFormat/>
    <w:rPr>
      <w:color w:val="auto"/>
    </w:rPr>
  </w:style>
  <w:style w:type="character" w:customStyle="1" w:styleId="3503">
    <w:name w:val="3503"/>
    <w:basedOn w:val="a0"/>
    <w:uiPriority w:val="10"/>
    <w:qFormat/>
    <w:rPr>
      <w:rFonts w:ascii="Cambria" w:hAnsi="Cambria" w:cs="Times New Roman" w:hint="default"/>
      <w:b/>
      <w:kern w:val="2"/>
      <w:sz w:val="32"/>
      <w:szCs w:val="32"/>
    </w:rPr>
  </w:style>
  <w:style w:type="character" w:customStyle="1" w:styleId="3500">
    <w:name w:val="3500"/>
    <w:basedOn w:val="a0"/>
    <w:uiPriority w:val="9"/>
    <w:qFormat/>
    <w:rPr>
      <w:rFonts w:ascii="Cambria" w:hAnsi="Cambria" w:cs="Times New Roman" w:hint="default"/>
      <w:b/>
      <w:sz w:val="21"/>
      <w:szCs w:val="24"/>
    </w:rPr>
  </w:style>
  <w:style w:type="character" w:customStyle="1" w:styleId="3497">
    <w:name w:val="3497"/>
    <w:basedOn w:val="a0"/>
    <w:uiPriority w:val="99"/>
    <w:semiHidden/>
    <w:qFormat/>
    <w:rPr>
      <w:rFonts w:ascii="宋体" w:eastAsia="宋体" w:hAnsi="宋体" w:cs="宋体" w:hint="eastAsia"/>
      <w:sz w:val="21"/>
      <w:szCs w:val="24"/>
    </w:rPr>
  </w:style>
  <w:style w:type="character" w:customStyle="1" w:styleId="3496">
    <w:name w:val="3496"/>
    <w:basedOn w:val="a0"/>
    <w:uiPriority w:val="99"/>
    <w:semiHidden/>
    <w:qFormat/>
    <w:rPr>
      <w:vertAlign w:val="superscript"/>
    </w:rPr>
  </w:style>
  <w:style w:type="character" w:customStyle="1" w:styleId="3495">
    <w:name w:val="3495"/>
    <w:basedOn w:val="3583"/>
    <w:uiPriority w:val="99"/>
    <w:semiHidden/>
    <w:qFormat/>
    <w:rPr>
      <w:rFonts w:ascii="Times New Roman" w:eastAsia="宋体" w:hAnsi="Times New Roman" w:cs="Times New Roman" w:hint="default"/>
      <w:b/>
      <w:szCs w:val="21"/>
    </w:rPr>
  </w:style>
  <w:style w:type="character" w:customStyle="1" w:styleId="3494">
    <w:name w:val="3494"/>
    <w:basedOn w:val="a0"/>
    <w:uiPriority w:val="9"/>
    <w:qFormat/>
    <w:rPr>
      <w:rFonts w:ascii="宋体" w:eastAsia="宋体" w:hAnsi="宋体" w:cs="宋体" w:hint="eastAsia"/>
      <w:b/>
      <w:sz w:val="24"/>
      <w:szCs w:val="24"/>
    </w:rPr>
  </w:style>
  <w:style w:type="character" w:customStyle="1" w:styleId="3490">
    <w:name w:val="3490"/>
    <w:uiPriority w:val="99"/>
    <w:qFormat/>
    <w:rPr>
      <w:rFonts w:ascii="Times New Roman" w:hAnsi="Times New Roman" w:cs="Times New Roman" w:hint="default"/>
      <w:kern w:val="2"/>
      <w:sz w:val="21"/>
      <w:szCs w:val="21"/>
    </w:rPr>
  </w:style>
  <w:style w:type="character" w:customStyle="1" w:styleId="3488">
    <w:name w:val="3488"/>
    <w:qFormat/>
    <w:rPr>
      <w:rFonts w:ascii="Times New Roman" w:hAnsi="Times New Roman" w:cs="Times New Roman" w:hint="default"/>
      <w:kern w:val="2"/>
      <w:sz w:val="21"/>
      <w:szCs w:val="21"/>
    </w:rPr>
  </w:style>
  <w:style w:type="character" w:customStyle="1" w:styleId="3486">
    <w:name w:val="3486"/>
    <w:qFormat/>
    <w:rPr>
      <w:rFonts w:ascii="Times New Roman" w:hAnsi="Times New Roman" w:cs="Times New Roman" w:hint="default"/>
      <w:kern w:val="2"/>
      <w:sz w:val="21"/>
      <w:szCs w:val="21"/>
    </w:rPr>
  </w:style>
  <w:style w:type="character" w:customStyle="1" w:styleId="3482">
    <w:name w:val="3482"/>
    <w:basedOn w:val="a0"/>
    <w:uiPriority w:val="99"/>
    <w:qFormat/>
    <w:rPr>
      <w:rFonts w:ascii="Times New Roman" w:eastAsia="宋体" w:hAnsi="Times New Roman" w:cs="Times New Roman" w:hint="default"/>
      <w:szCs w:val="21"/>
    </w:rPr>
  </w:style>
  <w:style w:type="character" w:customStyle="1" w:styleId="3480">
    <w:name w:val="3480"/>
    <w:basedOn w:val="3583"/>
    <w:uiPriority w:val="99"/>
    <w:qFormat/>
    <w:rPr>
      <w:rFonts w:ascii="Calibri" w:eastAsia="宋体" w:hAnsi="Calibri" w:cs="Times New Roman" w:hint="default"/>
      <w:b/>
      <w:szCs w:val="21"/>
    </w:rPr>
  </w:style>
  <w:style w:type="character" w:customStyle="1" w:styleId="3478">
    <w:name w:val="3478"/>
    <w:basedOn w:val="a0"/>
    <w:uiPriority w:val="99"/>
    <w:qFormat/>
    <w:rPr>
      <w:rFonts w:ascii="Calibri" w:eastAsia="宋体" w:hAnsi="Calibri" w:cs="Times New Roman" w:hint="default"/>
      <w:sz w:val="18"/>
      <w:szCs w:val="18"/>
    </w:rPr>
  </w:style>
  <w:style w:type="character" w:customStyle="1" w:styleId="3475">
    <w:name w:val="3475"/>
    <w:basedOn w:val="a0"/>
    <w:qFormat/>
    <w:rPr>
      <w:rFonts w:ascii="宋体" w:eastAsia="宋体" w:hAnsi="Courier New" w:cs="Times New Roman" w:hint="eastAsia"/>
      <w:szCs w:val="20"/>
    </w:rPr>
  </w:style>
  <w:style w:type="character" w:customStyle="1" w:styleId="3473">
    <w:name w:val="3473"/>
    <w:basedOn w:val="a0"/>
    <w:uiPriority w:val="99"/>
    <w:qFormat/>
    <w:rPr>
      <w:rFonts w:ascii="Times New Roman" w:eastAsia="宋体" w:hAnsi="Times New Roman" w:cs="Times New Roman" w:hint="default"/>
      <w:szCs w:val="21"/>
    </w:rPr>
  </w:style>
  <w:style w:type="character" w:customStyle="1" w:styleId="3471">
    <w:name w:val="3471"/>
    <w:basedOn w:val="a0"/>
    <w:uiPriority w:val="99"/>
    <w:qFormat/>
    <w:rPr>
      <w:rFonts w:ascii="Times New Roman" w:eastAsia="宋体" w:hAnsi="Times New Roman" w:cs="Times New Roman" w:hint="default"/>
      <w:szCs w:val="21"/>
    </w:rPr>
  </w:style>
  <w:style w:type="character" w:customStyle="1" w:styleId="3469">
    <w:name w:val="3469"/>
    <w:basedOn w:val="a0"/>
    <w:uiPriority w:val="99"/>
    <w:qFormat/>
    <w:rPr>
      <w:rFonts w:ascii="Times New Roman" w:eastAsia="宋体" w:hAnsi="Times New Roman" w:cs="Times New Roman" w:hint="default"/>
      <w:szCs w:val="21"/>
    </w:rPr>
  </w:style>
  <w:style w:type="character" w:customStyle="1" w:styleId="3465">
    <w:name w:val="3465"/>
    <w:basedOn w:val="a0"/>
    <w:qFormat/>
    <w:rPr>
      <w:kern w:val="2"/>
      <w:sz w:val="21"/>
      <w:szCs w:val="24"/>
    </w:rPr>
  </w:style>
  <w:style w:type="character" w:customStyle="1" w:styleId="3462">
    <w:name w:val="3462"/>
    <w:basedOn w:val="a0"/>
    <w:uiPriority w:val="99"/>
    <w:semiHidden/>
    <w:qFormat/>
    <w:rPr>
      <w:rFonts w:ascii="宋体" w:eastAsia="宋体" w:hAnsi="宋体" w:hint="eastAsia"/>
      <w:kern w:val="2"/>
      <w:sz w:val="18"/>
      <w:szCs w:val="18"/>
    </w:rPr>
  </w:style>
  <w:style w:type="character" w:customStyle="1" w:styleId="3461">
    <w:name w:val="3461"/>
    <w:basedOn w:val="a0"/>
    <w:uiPriority w:val="99"/>
    <w:qFormat/>
    <w:rPr>
      <w:color w:val="auto"/>
    </w:rPr>
  </w:style>
  <w:style w:type="character" w:customStyle="1" w:styleId="3459">
    <w:name w:val="3459"/>
    <w:basedOn w:val="a0"/>
    <w:uiPriority w:val="10"/>
    <w:qFormat/>
    <w:rPr>
      <w:rFonts w:ascii="Cambria" w:hAnsi="Cambria" w:cs="Times New Roman" w:hint="default"/>
      <w:b/>
      <w:kern w:val="2"/>
      <w:sz w:val="32"/>
      <w:szCs w:val="32"/>
    </w:rPr>
  </w:style>
  <w:style w:type="character" w:customStyle="1" w:styleId="3456">
    <w:name w:val="3456"/>
    <w:basedOn w:val="a0"/>
    <w:uiPriority w:val="9"/>
    <w:qFormat/>
    <w:rPr>
      <w:rFonts w:ascii="Cambria" w:hAnsi="Cambria" w:cs="Times New Roman" w:hint="default"/>
      <w:b/>
      <w:sz w:val="21"/>
      <w:szCs w:val="24"/>
    </w:rPr>
  </w:style>
  <w:style w:type="character" w:customStyle="1" w:styleId="3453">
    <w:name w:val="3453"/>
    <w:basedOn w:val="a0"/>
    <w:uiPriority w:val="99"/>
    <w:semiHidden/>
    <w:qFormat/>
    <w:rPr>
      <w:rFonts w:ascii="宋体" w:eastAsia="宋体" w:hAnsi="宋体" w:cs="宋体" w:hint="eastAsia"/>
      <w:sz w:val="21"/>
      <w:szCs w:val="24"/>
    </w:rPr>
  </w:style>
  <w:style w:type="character" w:customStyle="1" w:styleId="3452">
    <w:name w:val="3452"/>
    <w:basedOn w:val="a0"/>
    <w:uiPriority w:val="99"/>
    <w:semiHidden/>
    <w:qFormat/>
    <w:rPr>
      <w:vertAlign w:val="superscript"/>
    </w:rPr>
  </w:style>
  <w:style w:type="character" w:customStyle="1" w:styleId="3451">
    <w:name w:val="3451"/>
    <w:basedOn w:val="3583"/>
    <w:uiPriority w:val="99"/>
    <w:semiHidden/>
    <w:qFormat/>
    <w:rPr>
      <w:rFonts w:ascii="Times New Roman" w:eastAsia="宋体" w:hAnsi="Times New Roman" w:cs="Times New Roman" w:hint="default"/>
      <w:b/>
      <w:szCs w:val="21"/>
    </w:rPr>
  </w:style>
  <w:style w:type="character" w:customStyle="1" w:styleId="3450">
    <w:name w:val="3450"/>
    <w:basedOn w:val="a0"/>
    <w:uiPriority w:val="9"/>
    <w:qFormat/>
    <w:rPr>
      <w:rFonts w:ascii="宋体" w:eastAsia="宋体" w:hAnsi="宋体" w:cs="宋体" w:hint="eastAsia"/>
      <w:b/>
      <w:sz w:val="24"/>
      <w:szCs w:val="24"/>
    </w:rPr>
  </w:style>
  <w:style w:type="character" w:customStyle="1" w:styleId="3446">
    <w:name w:val="3446"/>
    <w:uiPriority w:val="99"/>
    <w:qFormat/>
    <w:rPr>
      <w:rFonts w:ascii="Times New Roman" w:hAnsi="Times New Roman" w:cs="Times New Roman" w:hint="default"/>
      <w:kern w:val="2"/>
      <w:sz w:val="21"/>
      <w:szCs w:val="21"/>
    </w:rPr>
  </w:style>
  <w:style w:type="character" w:customStyle="1" w:styleId="3444">
    <w:name w:val="3444"/>
    <w:qFormat/>
    <w:rPr>
      <w:rFonts w:ascii="Times New Roman" w:hAnsi="Times New Roman" w:cs="Times New Roman" w:hint="default"/>
      <w:kern w:val="2"/>
      <w:sz w:val="21"/>
      <w:szCs w:val="21"/>
    </w:rPr>
  </w:style>
  <w:style w:type="character" w:customStyle="1" w:styleId="3442">
    <w:name w:val="3442"/>
    <w:qFormat/>
    <w:rPr>
      <w:rFonts w:ascii="Times New Roman" w:hAnsi="Times New Roman" w:cs="Times New Roman" w:hint="default"/>
      <w:kern w:val="2"/>
      <w:sz w:val="21"/>
      <w:szCs w:val="21"/>
    </w:rPr>
  </w:style>
  <w:style w:type="character" w:customStyle="1" w:styleId="3404">
    <w:name w:val="3404"/>
    <w:basedOn w:val="a0"/>
    <w:qFormat/>
    <w:rPr>
      <w:b/>
    </w:rPr>
  </w:style>
  <w:style w:type="character" w:customStyle="1" w:styleId="3403">
    <w:name w:val="3403"/>
    <w:basedOn w:val="a0"/>
    <w:qFormat/>
    <w:rPr>
      <w:vertAlign w:val="superscript"/>
    </w:rPr>
  </w:style>
  <w:style w:type="character" w:customStyle="1" w:styleId="3402">
    <w:name w:val="3402"/>
    <w:basedOn w:val="a0"/>
    <w:qFormat/>
    <w:rPr>
      <w:rFonts w:ascii="Times New Roman" w:hAnsi="Times New Roman" w:cs="Times New Roman" w:hint="default"/>
      <w:color w:val="0000FF"/>
      <w:u w:val="single"/>
    </w:rPr>
  </w:style>
  <w:style w:type="character" w:customStyle="1" w:styleId="3401">
    <w:name w:val="3401"/>
    <w:basedOn w:val="a0"/>
    <w:qFormat/>
    <w:rPr>
      <w:rFonts w:ascii="宋体" w:eastAsia="宋体" w:hAnsi="宋体" w:cs="Times New Roman" w:hint="eastAsia"/>
      <w:kern w:val="2"/>
      <w:sz w:val="21"/>
      <w:szCs w:val="21"/>
      <w:lang w:val="en-US" w:eastAsia="zh-CN" w:bidi="ar-SA"/>
    </w:rPr>
  </w:style>
  <w:style w:type="character" w:customStyle="1" w:styleId="3400">
    <w:name w:val="3400"/>
    <w:basedOn w:val="a0"/>
    <w:uiPriority w:val="99"/>
    <w:qFormat/>
    <w:rPr>
      <w:rFonts w:ascii="黑体" w:eastAsia="黑体" w:hAnsi="黑体" w:hint="eastAsia"/>
      <w:b/>
      <w:kern w:val="44"/>
      <w:sz w:val="28"/>
      <w:szCs w:val="44"/>
    </w:rPr>
  </w:style>
  <w:style w:type="character" w:customStyle="1" w:styleId="3399">
    <w:name w:val="3399"/>
    <w:basedOn w:val="a0"/>
    <w:qFormat/>
    <w:rPr>
      <w:rFonts w:ascii="Arial" w:hAnsi="Arial" w:cs="Arial" w:hint="default"/>
      <w:b/>
      <w:kern w:val="2"/>
      <w:sz w:val="21"/>
      <w:szCs w:val="21"/>
    </w:rPr>
  </w:style>
  <w:style w:type="character" w:customStyle="1" w:styleId="3398">
    <w:name w:val="3398"/>
    <w:basedOn w:val="a0"/>
    <w:uiPriority w:val="9"/>
    <w:qFormat/>
    <w:rPr>
      <w:b/>
      <w:kern w:val="2"/>
      <w:sz w:val="21"/>
      <w:szCs w:val="32"/>
    </w:rPr>
  </w:style>
  <w:style w:type="character" w:customStyle="1" w:styleId="3397">
    <w:name w:val="3397"/>
    <w:basedOn w:val="a0"/>
    <w:uiPriority w:val="9"/>
    <w:qFormat/>
    <w:rPr>
      <w:rFonts w:ascii="Cambria" w:hAnsi="Cambria" w:hint="default"/>
      <w:b/>
      <w:kern w:val="2"/>
      <w:sz w:val="21"/>
      <w:szCs w:val="28"/>
    </w:rPr>
  </w:style>
  <w:style w:type="character" w:customStyle="1" w:styleId="3396">
    <w:name w:val="3396"/>
    <w:basedOn w:val="a0"/>
    <w:uiPriority w:val="9"/>
    <w:qFormat/>
    <w:rPr>
      <w:b/>
      <w:kern w:val="2"/>
      <w:sz w:val="21"/>
      <w:szCs w:val="28"/>
    </w:rPr>
  </w:style>
  <w:style w:type="character" w:customStyle="1" w:styleId="3394">
    <w:name w:val="3394"/>
    <w:basedOn w:val="a0"/>
    <w:uiPriority w:val="99"/>
    <w:qFormat/>
    <w:rPr>
      <w:rFonts w:ascii="Times New Roman" w:eastAsia="宋体" w:hAnsi="Times New Roman" w:cs="Times New Roman" w:hint="default"/>
      <w:szCs w:val="21"/>
    </w:rPr>
  </w:style>
  <w:style w:type="character" w:customStyle="1" w:styleId="3393">
    <w:name w:val="3393"/>
    <w:basedOn w:val="a0"/>
    <w:uiPriority w:val="99"/>
    <w:qFormat/>
    <w:rPr>
      <w:rFonts w:ascii="Calibri" w:eastAsia="宋体" w:hAnsi="Calibri" w:cs="Times New Roman" w:hint="default"/>
      <w:sz w:val="18"/>
      <w:szCs w:val="18"/>
    </w:rPr>
  </w:style>
  <w:style w:type="character" w:customStyle="1" w:styleId="3392">
    <w:name w:val="3392"/>
    <w:basedOn w:val="a0"/>
    <w:uiPriority w:val="99"/>
    <w:qFormat/>
    <w:rPr>
      <w:rFonts w:ascii="Times New Roman" w:eastAsia="宋体" w:hAnsi="Times New Roman" w:cs="Times New Roman" w:hint="default"/>
      <w:szCs w:val="21"/>
    </w:rPr>
  </w:style>
  <w:style w:type="character" w:customStyle="1" w:styleId="3390">
    <w:name w:val="3390"/>
    <w:basedOn w:val="3394"/>
    <w:uiPriority w:val="99"/>
    <w:qFormat/>
    <w:rPr>
      <w:rFonts w:ascii="Calibri" w:eastAsia="宋体" w:hAnsi="Calibri" w:cs="Times New Roman" w:hint="default"/>
      <w:b/>
      <w:szCs w:val="21"/>
    </w:rPr>
  </w:style>
  <w:style w:type="character" w:customStyle="1" w:styleId="3389">
    <w:name w:val="3389"/>
    <w:basedOn w:val="a0"/>
    <w:uiPriority w:val="99"/>
    <w:qFormat/>
    <w:rPr>
      <w:rFonts w:ascii="Calibri" w:eastAsia="宋体" w:hAnsi="Calibri" w:cs="Times New Roman" w:hint="default"/>
      <w:sz w:val="18"/>
      <w:szCs w:val="18"/>
    </w:rPr>
  </w:style>
  <w:style w:type="character" w:customStyle="1" w:styleId="3388">
    <w:name w:val="3388"/>
    <w:basedOn w:val="a0"/>
    <w:uiPriority w:val="99"/>
    <w:qFormat/>
    <w:rPr>
      <w:rFonts w:ascii="Calibri" w:eastAsia="宋体" w:hAnsi="Calibri" w:cs="Times New Roman" w:hint="default"/>
      <w:sz w:val="18"/>
      <w:szCs w:val="18"/>
    </w:rPr>
  </w:style>
  <w:style w:type="character" w:customStyle="1" w:styleId="3387">
    <w:name w:val="3387"/>
    <w:basedOn w:val="a0"/>
    <w:qFormat/>
    <w:rPr>
      <w:rFonts w:ascii="宋体" w:eastAsia="宋体" w:hAnsi="Courier New" w:cs="Times New Roman" w:hint="eastAsia"/>
      <w:szCs w:val="20"/>
    </w:rPr>
  </w:style>
  <w:style w:type="character" w:customStyle="1" w:styleId="3386">
    <w:name w:val="3386"/>
    <w:basedOn w:val="a0"/>
    <w:uiPriority w:val="99"/>
    <w:qFormat/>
    <w:rPr>
      <w:rFonts w:ascii="Times New Roman" w:eastAsia="宋体" w:hAnsi="Times New Roman" w:cs="Times New Roman" w:hint="default"/>
      <w:szCs w:val="21"/>
    </w:rPr>
  </w:style>
  <w:style w:type="character" w:customStyle="1" w:styleId="3385">
    <w:name w:val="3385"/>
    <w:basedOn w:val="a0"/>
    <w:uiPriority w:val="99"/>
    <w:qFormat/>
    <w:rPr>
      <w:rFonts w:ascii="Times New Roman" w:eastAsia="宋体" w:hAnsi="Times New Roman" w:cs="Times New Roman" w:hint="default"/>
      <w:szCs w:val="21"/>
    </w:rPr>
  </w:style>
  <w:style w:type="character" w:customStyle="1" w:styleId="3384">
    <w:name w:val="3384"/>
    <w:basedOn w:val="a0"/>
    <w:uiPriority w:val="99"/>
    <w:qFormat/>
    <w:rPr>
      <w:rFonts w:ascii="Times New Roman" w:eastAsia="宋体" w:hAnsi="Times New Roman" w:cs="Times New Roman" w:hint="default"/>
      <w:szCs w:val="21"/>
    </w:rPr>
  </w:style>
  <w:style w:type="character" w:customStyle="1" w:styleId="3382">
    <w:name w:val="3382"/>
    <w:basedOn w:val="a0"/>
    <w:qFormat/>
    <w:rPr>
      <w:kern w:val="2"/>
      <w:sz w:val="21"/>
      <w:szCs w:val="24"/>
    </w:rPr>
  </w:style>
  <w:style w:type="character" w:customStyle="1" w:styleId="3380">
    <w:name w:val="3380"/>
    <w:basedOn w:val="a0"/>
    <w:uiPriority w:val="99"/>
    <w:semiHidden/>
    <w:qFormat/>
    <w:rPr>
      <w:rFonts w:ascii="宋体" w:eastAsia="宋体" w:hAnsi="宋体" w:hint="eastAsia"/>
      <w:kern w:val="2"/>
      <w:sz w:val="18"/>
      <w:szCs w:val="18"/>
    </w:rPr>
  </w:style>
  <w:style w:type="character" w:customStyle="1" w:styleId="3379">
    <w:name w:val="3379"/>
    <w:basedOn w:val="a0"/>
    <w:uiPriority w:val="99"/>
    <w:qFormat/>
    <w:rPr>
      <w:color w:val="auto"/>
    </w:rPr>
  </w:style>
  <w:style w:type="character" w:customStyle="1" w:styleId="3377">
    <w:name w:val="3377"/>
    <w:basedOn w:val="a0"/>
    <w:uiPriority w:val="9"/>
    <w:qFormat/>
    <w:rPr>
      <w:rFonts w:ascii="Cambria" w:hAnsi="Cambria" w:cs="Times New Roman" w:hint="default"/>
      <w:b/>
      <w:sz w:val="21"/>
      <w:szCs w:val="24"/>
    </w:rPr>
  </w:style>
  <w:style w:type="character" w:customStyle="1" w:styleId="3376">
    <w:name w:val="3376"/>
    <w:basedOn w:val="a0"/>
    <w:uiPriority w:val="99"/>
    <w:semiHidden/>
    <w:qFormat/>
    <w:rPr>
      <w:rFonts w:ascii="宋体" w:eastAsia="宋体" w:hAnsi="宋体" w:cs="宋体" w:hint="eastAsia"/>
      <w:sz w:val="21"/>
      <w:szCs w:val="24"/>
    </w:rPr>
  </w:style>
  <w:style w:type="character" w:customStyle="1" w:styleId="3375">
    <w:name w:val="3375"/>
    <w:basedOn w:val="3394"/>
    <w:uiPriority w:val="99"/>
    <w:semiHidden/>
    <w:qFormat/>
    <w:rPr>
      <w:rFonts w:ascii="Times New Roman" w:eastAsia="宋体" w:hAnsi="Times New Roman" w:cs="Times New Roman" w:hint="default"/>
      <w:b/>
      <w:szCs w:val="21"/>
    </w:rPr>
  </w:style>
  <w:style w:type="character" w:customStyle="1" w:styleId="3371">
    <w:name w:val="3371"/>
    <w:basedOn w:val="a0"/>
    <w:qFormat/>
    <w:rPr>
      <w:rFonts w:ascii="Times New Roman" w:hAnsi="Times New Roman" w:cs="Times New Roman" w:hint="default"/>
      <w:b/>
      <w:kern w:val="2"/>
      <w:sz w:val="21"/>
      <w:szCs w:val="24"/>
    </w:rPr>
  </w:style>
  <w:style w:type="character" w:customStyle="1" w:styleId="3370">
    <w:name w:val="3370"/>
    <w:basedOn w:val="3394"/>
    <w:uiPriority w:val="99"/>
    <w:semiHidden/>
    <w:qFormat/>
    <w:rPr>
      <w:rFonts w:ascii="Times New Roman" w:eastAsia="宋体" w:hAnsi="Times New Roman" w:cs="Times New Roman" w:hint="default"/>
      <w:b/>
      <w:szCs w:val="21"/>
    </w:rPr>
  </w:style>
  <w:style w:type="character" w:customStyle="1" w:styleId="3369">
    <w:name w:val="3369"/>
    <w:basedOn w:val="a0"/>
    <w:uiPriority w:val="9"/>
    <w:qFormat/>
    <w:rPr>
      <w:rFonts w:ascii="宋体" w:eastAsia="宋体" w:hAnsi="宋体" w:cs="宋体" w:hint="eastAsia"/>
      <w:b/>
      <w:sz w:val="24"/>
      <w:szCs w:val="24"/>
    </w:rPr>
  </w:style>
  <w:style w:type="character" w:customStyle="1" w:styleId="3368">
    <w:name w:val="3368"/>
    <w:uiPriority w:val="9"/>
    <w:qFormat/>
    <w:rPr>
      <w:rFonts w:ascii="Cambria" w:hAnsi="Cambria" w:hint="default"/>
      <w:b/>
      <w:kern w:val="2"/>
      <w:sz w:val="21"/>
      <w:szCs w:val="28"/>
    </w:rPr>
  </w:style>
  <w:style w:type="character" w:customStyle="1" w:styleId="3365">
    <w:name w:val="3365"/>
    <w:uiPriority w:val="9"/>
    <w:qFormat/>
    <w:rPr>
      <w:b/>
      <w:kern w:val="2"/>
      <w:sz w:val="21"/>
      <w:szCs w:val="32"/>
    </w:rPr>
  </w:style>
  <w:style w:type="character" w:customStyle="1" w:styleId="3362">
    <w:name w:val="3362"/>
    <w:uiPriority w:val="99"/>
    <w:qFormat/>
    <w:rPr>
      <w:rFonts w:ascii="Times New Roman" w:hAnsi="Times New Roman" w:cs="Times New Roman" w:hint="default"/>
      <w:kern w:val="2"/>
      <w:sz w:val="21"/>
      <w:szCs w:val="21"/>
    </w:rPr>
  </w:style>
  <w:style w:type="character" w:customStyle="1" w:styleId="3360">
    <w:name w:val="3360"/>
    <w:uiPriority w:val="9"/>
    <w:qFormat/>
    <w:rPr>
      <w:b/>
      <w:kern w:val="2"/>
      <w:sz w:val="21"/>
      <w:szCs w:val="28"/>
    </w:rPr>
  </w:style>
  <w:style w:type="character" w:customStyle="1" w:styleId="3358">
    <w:name w:val="3358"/>
    <w:uiPriority w:val="9"/>
    <w:qFormat/>
    <w:rPr>
      <w:b/>
      <w:kern w:val="2"/>
      <w:sz w:val="21"/>
      <w:szCs w:val="32"/>
    </w:rPr>
  </w:style>
  <w:style w:type="character" w:customStyle="1" w:styleId="3357">
    <w:name w:val="3357"/>
    <w:qFormat/>
    <w:rPr>
      <w:rFonts w:ascii="Arial" w:hAnsi="Arial" w:cs="Arial" w:hint="default"/>
      <w:b/>
      <w:kern w:val="2"/>
      <w:sz w:val="21"/>
      <w:szCs w:val="21"/>
    </w:rPr>
  </w:style>
  <w:style w:type="character" w:customStyle="1" w:styleId="3356">
    <w:name w:val="3356"/>
    <w:uiPriority w:val="9"/>
    <w:qFormat/>
    <w:rPr>
      <w:rFonts w:ascii="Cambria" w:hAnsi="Cambria" w:hint="default"/>
      <w:b/>
      <w:kern w:val="2"/>
      <w:sz w:val="21"/>
      <w:szCs w:val="28"/>
    </w:rPr>
  </w:style>
  <w:style w:type="character" w:customStyle="1" w:styleId="3355">
    <w:name w:val="3355"/>
    <w:uiPriority w:val="9"/>
    <w:qFormat/>
    <w:rPr>
      <w:b/>
      <w:kern w:val="2"/>
      <w:sz w:val="21"/>
      <w:szCs w:val="28"/>
    </w:rPr>
  </w:style>
  <w:style w:type="character" w:customStyle="1" w:styleId="3353">
    <w:name w:val="3353"/>
    <w:qFormat/>
    <w:rPr>
      <w:rFonts w:ascii="Times New Roman" w:hAnsi="Times New Roman" w:cs="Times New Roman" w:hint="default"/>
      <w:kern w:val="2"/>
      <w:sz w:val="21"/>
      <w:szCs w:val="21"/>
    </w:rPr>
  </w:style>
  <w:style w:type="character" w:customStyle="1" w:styleId="3351">
    <w:name w:val="3351"/>
    <w:basedOn w:val="a0"/>
    <w:qFormat/>
    <w:rPr>
      <w:rFonts w:ascii="Arial" w:eastAsia="黑体" w:hAnsi="Arial" w:cs="Times New Roman" w:hint="default"/>
      <w:color w:val="000000"/>
      <w:sz w:val="24"/>
      <w:szCs w:val="20"/>
    </w:rPr>
  </w:style>
  <w:style w:type="character" w:customStyle="1" w:styleId="3350">
    <w:name w:val="3350"/>
    <w:basedOn w:val="a0"/>
    <w:qFormat/>
    <w:rPr>
      <w:rFonts w:ascii="Arial" w:eastAsia="黑体" w:hAnsi="Arial" w:cs="Times New Roman" w:hint="default"/>
      <w:color w:val="000000"/>
      <w:sz w:val="24"/>
      <w:szCs w:val="20"/>
    </w:rPr>
  </w:style>
  <w:style w:type="character" w:customStyle="1" w:styleId="3347">
    <w:name w:val="3347"/>
    <w:basedOn w:val="a0"/>
    <w:qFormat/>
    <w:rPr>
      <w:b/>
      <w:sz w:val="24"/>
      <w:szCs w:val="24"/>
    </w:rPr>
  </w:style>
  <w:style w:type="character" w:customStyle="1" w:styleId="3346">
    <w:name w:val="3346"/>
    <w:qFormat/>
    <w:rPr>
      <w:rFonts w:ascii="宋体" w:eastAsia="宋体" w:hAnsi="宋体" w:hint="eastAsia"/>
      <w:color w:val="000000"/>
      <w:sz w:val="24"/>
      <w:szCs w:val="24"/>
    </w:rPr>
  </w:style>
  <w:style w:type="character" w:customStyle="1" w:styleId="3345">
    <w:name w:val="3345"/>
    <w:uiPriority w:val="99"/>
    <w:qFormat/>
    <w:rPr>
      <w:rFonts w:ascii="Times New Roman" w:hAnsi="Times New Roman" w:cs="Times New Roman" w:hint="default"/>
      <w:kern w:val="2"/>
      <w:sz w:val="21"/>
      <w:szCs w:val="21"/>
    </w:rPr>
  </w:style>
  <w:style w:type="character" w:customStyle="1" w:styleId="3344">
    <w:name w:val="3344"/>
    <w:qFormat/>
    <w:rPr>
      <w:rFonts w:ascii="FZLTSK--GBK1-0" w:hAnsi="FZLTSK--GBK1-0" w:hint="default"/>
      <w:bCs/>
      <w:color w:val="000000"/>
      <w:sz w:val="20"/>
      <w:szCs w:val="20"/>
    </w:rPr>
  </w:style>
  <w:style w:type="character" w:customStyle="1" w:styleId="3333">
    <w:name w:val="3333"/>
    <w:basedOn w:val="a0"/>
    <w:qFormat/>
    <w:rPr>
      <w:rFonts w:ascii="Times New Roman" w:hAnsi="Times New Roman" w:cs="Times New Roman" w:hint="default"/>
      <w:kern w:val="2"/>
    </w:rPr>
  </w:style>
  <w:style w:type="character" w:customStyle="1" w:styleId="3332">
    <w:name w:val="3332"/>
    <w:basedOn w:val="3394"/>
    <w:uiPriority w:val="99"/>
    <w:semiHidden/>
    <w:qFormat/>
    <w:rPr>
      <w:rFonts w:ascii="Times New Roman" w:eastAsia="宋体" w:hAnsi="Times New Roman" w:cs="Times New Roman" w:hint="default"/>
      <w:b/>
      <w:color w:val="000000"/>
      <w:sz w:val="21"/>
      <w:szCs w:val="21"/>
    </w:rPr>
  </w:style>
  <w:style w:type="character" w:customStyle="1" w:styleId="3326">
    <w:name w:val="3326"/>
    <w:basedOn w:val="a0"/>
    <w:uiPriority w:val="9"/>
    <w:qFormat/>
    <w:rPr>
      <w:rFonts w:ascii="Cambria" w:hAnsi="Cambria" w:hint="default"/>
      <w:b/>
      <w:kern w:val="2"/>
      <w:sz w:val="21"/>
      <w:szCs w:val="28"/>
    </w:rPr>
  </w:style>
  <w:style w:type="character" w:customStyle="1" w:styleId="3324">
    <w:name w:val="3324"/>
    <w:basedOn w:val="a0"/>
    <w:uiPriority w:val="9"/>
    <w:qFormat/>
    <w:rPr>
      <w:b/>
      <w:kern w:val="2"/>
      <w:sz w:val="21"/>
      <w:szCs w:val="32"/>
    </w:rPr>
  </w:style>
  <w:style w:type="character" w:customStyle="1" w:styleId="3319">
    <w:name w:val="3319"/>
    <w:basedOn w:val="a0"/>
    <w:semiHidden/>
    <w:qFormat/>
    <w:rPr>
      <w:rFonts w:ascii="Arial" w:hAnsi="Arial" w:cs="Times New Roman" w:hint="default"/>
      <w:b/>
      <w:kern w:val="2"/>
    </w:rPr>
  </w:style>
  <w:style w:type="character" w:customStyle="1" w:styleId="3318">
    <w:name w:val="3318"/>
    <w:basedOn w:val="a0"/>
    <w:uiPriority w:val="1"/>
    <w:qFormat/>
    <w:rPr>
      <w:kern w:val="2"/>
      <w:szCs w:val="22"/>
    </w:rPr>
  </w:style>
  <w:style w:type="character" w:customStyle="1" w:styleId="3317">
    <w:name w:val="3317"/>
    <w:basedOn w:val="a0"/>
    <w:uiPriority w:val="99"/>
    <w:qFormat/>
    <w:rPr>
      <w:sz w:val="24"/>
    </w:rPr>
  </w:style>
  <w:style w:type="character" w:customStyle="1" w:styleId="3315">
    <w:name w:val="3315"/>
    <w:basedOn w:val="a0"/>
    <w:qFormat/>
    <w:rPr>
      <w:rFonts w:ascii="宋体" w:eastAsia="宋体" w:hAnsi="宋体" w:hint="eastAsia"/>
      <w:kern w:val="2"/>
      <w:szCs w:val="24"/>
    </w:rPr>
  </w:style>
  <w:style w:type="character" w:customStyle="1" w:styleId="3308">
    <w:name w:val="3308"/>
    <w:basedOn w:val="a0"/>
    <w:uiPriority w:val="99"/>
    <w:qFormat/>
    <w:rPr>
      <w:rFonts w:ascii="黑体" w:eastAsia="黑体" w:hAnsi="黑体" w:hint="eastAsia"/>
      <w:b/>
      <w:kern w:val="44"/>
      <w:sz w:val="28"/>
      <w:szCs w:val="44"/>
    </w:rPr>
  </w:style>
  <w:style w:type="character" w:customStyle="1" w:styleId="3307">
    <w:name w:val="3307"/>
    <w:basedOn w:val="a0"/>
    <w:qFormat/>
    <w:rPr>
      <w:rFonts w:ascii="Arial" w:hAnsi="Arial" w:cs="Arial" w:hint="default"/>
      <w:b/>
      <w:kern w:val="2"/>
      <w:sz w:val="21"/>
      <w:szCs w:val="21"/>
    </w:rPr>
  </w:style>
  <w:style w:type="character" w:customStyle="1" w:styleId="3306">
    <w:name w:val="3306"/>
    <w:basedOn w:val="a0"/>
    <w:uiPriority w:val="9"/>
    <w:qFormat/>
    <w:rPr>
      <w:b/>
      <w:kern w:val="2"/>
      <w:sz w:val="21"/>
      <w:szCs w:val="32"/>
    </w:rPr>
  </w:style>
  <w:style w:type="character" w:customStyle="1" w:styleId="3305">
    <w:name w:val="3305"/>
    <w:basedOn w:val="a0"/>
    <w:uiPriority w:val="9"/>
    <w:qFormat/>
    <w:rPr>
      <w:rFonts w:ascii="Cambria" w:hAnsi="Cambria" w:hint="default"/>
      <w:b/>
      <w:kern w:val="2"/>
      <w:sz w:val="21"/>
      <w:szCs w:val="28"/>
    </w:rPr>
  </w:style>
  <w:style w:type="character" w:customStyle="1" w:styleId="3304">
    <w:name w:val="3304"/>
    <w:basedOn w:val="a0"/>
    <w:uiPriority w:val="9"/>
    <w:qFormat/>
    <w:rPr>
      <w:b/>
      <w:kern w:val="2"/>
      <w:sz w:val="21"/>
      <w:szCs w:val="28"/>
    </w:rPr>
  </w:style>
  <w:style w:type="character" w:customStyle="1" w:styleId="3301">
    <w:name w:val="3301"/>
    <w:basedOn w:val="a0"/>
    <w:qFormat/>
    <w:rPr>
      <w:rFonts w:ascii="Times New Roman" w:eastAsia="宋体" w:hAnsi="Times New Roman" w:cs="Times New Roman" w:hint="default"/>
      <w:szCs w:val="21"/>
    </w:rPr>
  </w:style>
  <w:style w:type="character" w:customStyle="1" w:styleId="3299">
    <w:name w:val="3299"/>
    <w:basedOn w:val="a0"/>
    <w:uiPriority w:val="99"/>
    <w:qFormat/>
    <w:rPr>
      <w:rFonts w:ascii="Calibri" w:eastAsia="宋体" w:hAnsi="Calibri" w:cs="Times New Roman" w:hint="default"/>
      <w:sz w:val="18"/>
      <w:szCs w:val="18"/>
    </w:rPr>
  </w:style>
  <w:style w:type="character" w:customStyle="1" w:styleId="3298">
    <w:name w:val="3298"/>
    <w:basedOn w:val="a0"/>
    <w:uiPriority w:val="99"/>
    <w:qFormat/>
    <w:rPr>
      <w:rFonts w:ascii="Times New Roman" w:eastAsia="宋体" w:hAnsi="Times New Roman" w:cs="Times New Roman" w:hint="default"/>
      <w:szCs w:val="21"/>
    </w:rPr>
  </w:style>
  <w:style w:type="character" w:customStyle="1" w:styleId="3296">
    <w:name w:val="3296"/>
    <w:basedOn w:val="3301"/>
    <w:uiPriority w:val="99"/>
    <w:qFormat/>
    <w:rPr>
      <w:rFonts w:ascii="Calibri" w:eastAsia="宋体" w:hAnsi="Calibri" w:cs="Times New Roman" w:hint="default"/>
      <w:b/>
      <w:szCs w:val="21"/>
    </w:rPr>
  </w:style>
  <w:style w:type="character" w:customStyle="1" w:styleId="3294">
    <w:name w:val="3294"/>
    <w:basedOn w:val="a0"/>
    <w:uiPriority w:val="99"/>
    <w:qFormat/>
    <w:rPr>
      <w:rFonts w:ascii="Calibri" w:eastAsia="宋体" w:hAnsi="Calibri" w:cs="Times New Roman" w:hint="default"/>
      <w:sz w:val="18"/>
      <w:szCs w:val="18"/>
    </w:rPr>
  </w:style>
  <w:style w:type="character" w:customStyle="1" w:styleId="3292">
    <w:name w:val="3292"/>
    <w:basedOn w:val="a0"/>
    <w:uiPriority w:val="99"/>
    <w:qFormat/>
    <w:rPr>
      <w:rFonts w:ascii="Calibri" w:eastAsia="宋体" w:hAnsi="Calibri" w:cs="Times New Roman" w:hint="default"/>
      <w:sz w:val="18"/>
      <w:szCs w:val="18"/>
    </w:rPr>
  </w:style>
  <w:style w:type="character" w:customStyle="1" w:styleId="3290">
    <w:name w:val="3290"/>
    <w:basedOn w:val="a0"/>
    <w:qFormat/>
    <w:rPr>
      <w:rFonts w:ascii="宋体" w:eastAsia="宋体" w:hAnsi="Courier New" w:cs="Times New Roman" w:hint="eastAsia"/>
      <w:szCs w:val="20"/>
    </w:rPr>
  </w:style>
  <w:style w:type="character" w:customStyle="1" w:styleId="3288">
    <w:name w:val="3288"/>
    <w:basedOn w:val="a0"/>
    <w:uiPriority w:val="99"/>
    <w:qFormat/>
    <w:rPr>
      <w:rFonts w:ascii="Times New Roman" w:eastAsia="宋体" w:hAnsi="Times New Roman" w:cs="Times New Roman" w:hint="default"/>
      <w:szCs w:val="21"/>
    </w:rPr>
  </w:style>
  <w:style w:type="character" w:customStyle="1" w:styleId="3286">
    <w:name w:val="3286"/>
    <w:basedOn w:val="a0"/>
    <w:uiPriority w:val="99"/>
    <w:qFormat/>
    <w:rPr>
      <w:rFonts w:ascii="Times New Roman" w:eastAsia="宋体" w:hAnsi="Times New Roman" w:cs="Times New Roman" w:hint="default"/>
      <w:szCs w:val="21"/>
    </w:rPr>
  </w:style>
  <w:style w:type="character" w:customStyle="1" w:styleId="3284">
    <w:name w:val="3284"/>
    <w:basedOn w:val="a0"/>
    <w:uiPriority w:val="99"/>
    <w:qFormat/>
    <w:rPr>
      <w:rFonts w:ascii="Times New Roman" w:eastAsia="宋体" w:hAnsi="Times New Roman" w:cs="Times New Roman" w:hint="default"/>
      <w:szCs w:val="21"/>
    </w:rPr>
  </w:style>
  <w:style w:type="character" w:customStyle="1" w:styleId="3280">
    <w:name w:val="3280"/>
    <w:basedOn w:val="a0"/>
    <w:qFormat/>
    <w:rPr>
      <w:kern w:val="2"/>
      <w:sz w:val="21"/>
      <w:szCs w:val="24"/>
    </w:rPr>
  </w:style>
  <w:style w:type="character" w:customStyle="1" w:styleId="3277">
    <w:name w:val="3277"/>
    <w:basedOn w:val="a0"/>
    <w:uiPriority w:val="99"/>
    <w:semiHidden/>
    <w:qFormat/>
    <w:rPr>
      <w:rFonts w:ascii="宋体" w:eastAsia="宋体" w:hAnsi="宋体" w:hint="eastAsia"/>
      <w:kern w:val="2"/>
      <w:sz w:val="18"/>
      <w:szCs w:val="18"/>
    </w:rPr>
  </w:style>
  <w:style w:type="character" w:customStyle="1" w:styleId="3276">
    <w:name w:val="3276"/>
    <w:basedOn w:val="a0"/>
    <w:uiPriority w:val="99"/>
    <w:qFormat/>
    <w:rPr>
      <w:color w:val="auto"/>
    </w:rPr>
  </w:style>
  <w:style w:type="character" w:customStyle="1" w:styleId="3274">
    <w:name w:val="3274"/>
    <w:basedOn w:val="a0"/>
    <w:uiPriority w:val="10"/>
    <w:qFormat/>
    <w:rPr>
      <w:rFonts w:ascii="Cambria" w:hAnsi="Cambria" w:cs="Times New Roman" w:hint="default"/>
      <w:b/>
      <w:kern w:val="2"/>
      <w:sz w:val="32"/>
      <w:szCs w:val="32"/>
    </w:rPr>
  </w:style>
  <w:style w:type="character" w:customStyle="1" w:styleId="3266">
    <w:name w:val="3266"/>
    <w:basedOn w:val="a0"/>
    <w:uiPriority w:val="9"/>
    <w:qFormat/>
    <w:rPr>
      <w:rFonts w:ascii="Cambria" w:hAnsi="Cambria" w:cs="Times New Roman" w:hint="default"/>
      <w:b/>
      <w:sz w:val="21"/>
      <w:szCs w:val="24"/>
    </w:rPr>
  </w:style>
  <w:style w:type="character" w:customStyle="1" w:styleId="3263">
    <w:name w:val="3263"/>
    <w:basedOn w:val="a0"/>
    <w:uiPriority w:val="99"/>
    <w:semiHidden/>
    <w:qFormat/>
    <w:rPr>
      <w:rFonts w:ascii="宋体" w:eastAsia="宋体" w:hAnsi="宋体" w:cs="宋体" w:hint="eastAsia"/>
      <w:sz w:val="21"/>
      <w:szCs w:val="24"/>
    </w:rPr>
  </w:style>
  <w:style w:type="character" w:customStyle="1" w:styleId="3262">
    <w:name w:val="3262"/>
    <w:basedOn w:val="a0"/>
    <w:uiPriority w:val="99"/>
    <w:semiHidden/>
    <w:qFormat/>
    <w:rPr>
      <w:vertAlign w:val="superscript"/>
    </w:rPr>
  </w:style>
  <w:style w:type="character" w:customStyle="1" w:styleId="3261">
    <w:name w:val="3261"/>
    <w:basedOn w:val="3301"/>
    <w:uiPriority w:val="99"/>
    <w:semiHidden/>
    <w:qFormat/>
    <w:rPr>
      <w:rFonts w:ascii="Times New Roman" w:eastAsia="宋体" w:hAnsi="Times New Roman" w:cs="Times New Roman" w:hint="default"/>
      <w:b/>
      <w:szCs w:val="21"/>
    </w:rPr>
  </w:style>
  <w:style w:type="character" w:customStyle="1" w:styleId="3260">
    <w:name w:val="3260"/>
    <w:basedOn w:val="3301"/>
    <w:uiPriority w:val="99"/>
    <w:semiHidden/>
    <w:qFormat/>
    <w:rPr>
      <w:rFonts w:ascii="Times New Roman" w:eastAsia="宋体" w:hAnsi="Times New Roman" w:cs="Times New Roman" w:hint="default"/>
      <w:b/>
      <w:szCs w:val="21"/>
    </w:rPr>
  </w:style>
  <w:style w:type="character" w:customStyle="1" w:styleId="3259">
    <w:name w:val="3259"/>
    <w:basedOn w:val="a0"/>
    <w:uiPriority w:val="9"/>
    <w:qFormat/>
    <w:rPr>
      <w:rFonts w:ascii="宋体" w:eastAsia="宋体" w:hAnsi="宋体" w:cs="宋体" w:hint="eastAsia"/>
      <w:b/>
      <w:sz w:val="24"/>
      <w:szCs w:val="24"/>
    </w:rPr>
  </w:style>
  <w:style w:type="character" w:customStyle="1" w:styleId="3252">
    <w:name w:val="3252"/>
    <w:uiPriority w:val="99"/>
    <w:qFormat/>
    <w:rPr>
      <w:rFonts w:ascii="Times New Roman" w:hAnsi="Times New Roman" w:cs="Times New Roman" w:hint="default"/>
      <w:kern w:val="2"/>
      <w:sz w:val="21"/>
      <w:szCs w:val="21"/>
    </w:rPr>
  </w:style>
  <w:style w:type="character" w:customStyle="1" w:styleId="3250">
    <w:name w:val="3250"/>
    <w:qFormat/>
    <w:rPr>
      <w:rFonts w:ascii="Times New Roman" w:hAnsi="Times New Roman" w:cs="Times New Roman" w:hint="default"/>
      <w:kern w:val="2"/>
      <w:sz w:val="21"/>
      <w:szCs w:val="21"/>
    </w:rPr>
  </w:style>
  <w:style w:type="character" w:customStyle="1" w:styleId="3248">
    <w:name w:val="3248"/>
    <w:qFormat/>
    <w:rPr>
      <w:rFonts w:ascii="Times New Roman" w:hAnsi="Times New Roman" w:cs="Times New Roman" w:hint="default"/>
      <w:kern w:val="2"/>
      <w:sz w:val="21"/>
      <w:szCs w:val="21"/>
    </w:rPr>
  </w:style>
  <w:style w:type="character" w:customStyle="1" w:styleId="3244">
    <w:name w:val="3244"/>
    <w:qFormat/>
  </w:style>
  <w:style w:type="character" w:customStyle="1" w:styleId="3227">
    <w:name w:val="3227"/>
    <w:uiPriority w:val="1"/>
    <w:semiHidden/>
    <w:qFormat/>
  </w:style>
  <w:style w:type="character" w:customStyle="1" w:styleId="3199">
    <w:name w:val="3199"/>
    <w:basedOn w:val="3227"/>
    <w:qFormat/>
    <w:rPr>
      <w:b/>
    </w:rPr>
  </w:style>
  <w:style w:type="character" w:customStyle="1" w:styleId="3198">
    <w:name w:val="3198"/>
    <w:basedOn w:val="3227"/>
    <w:qFormat/>
    <w:rPr>
      <w:vertAlign w:val="superscript"/>
    </w:rPr>
  </w:style>
  <w:style w:type="character" w:customStyle="1" w:styleId="3197">
    <w:name w:val="3197"/>
    <w:basedOn w:val="3227"/>
    <w:qFormat/>
    <w:rPr>
      <w:rFonts w:ascii="Times New Roman" w:hAnsi="Times New Roman" w:cs="Times New Roman" w:hint="default"/>
      <w:color w:val="0000FF"/>
      <w:u w:val="single"/>
    </w:rPr>
  </w:style>
  <w:style w:type="character" w:customStyle="1" w:styleId="3196">
    <w:name w:val="3196"/>
    <w:basedOn w:val="3227"/>
    <w:qFormat/>
    <w:rPr>
      <w:rFonts w:ascii="宋体" w:eastAsia="宋体" w:hAnsi="宋体" w:cs="Times New Roman" w:hint="eastAsia"/>
      <w:kern w:val="2"/>
      <w:sz w:val="21"/>
      <w:szCs w:val="21"/>
      <w:lang w:val="en-US" w:eastAsia="zh-CN" w:bidi="ar-SA"/>
    </w:rPr>
  </w:style>
  <w:style w:type="character" w:customStyle="1" w:styleId="3195">
    <w:name w:val="3195"/>
    <w:basedOn w:val="3227"/>
    <w:uiPriority w:val="99"/>
    <w:qFormat/>
    <w:rPr>
      <w:rFonts w:ascii="黑体" w:eastAsia="黑体" w:hAnsi="黑体" w:hint="eastAsia"/>
      <w:b/>
      <w:kern w:val="44"/>
      <w:sz w:val="28"/>
      <w:szCs w:val="44"/>
    </w:rPr>
  </w:style>
  <w:style w:type="character" w:customStyle="1" w:styleId="3194">
    <w:name w:val="3194"/>
    <w:basedOn w:val="3227"/>
    <w:qFormat/>
    <w:rPr>
      <w:rFonts w:ascii="Arial" w:hAnsi="Arial" w:cs="Arial" w:hint="default"/>
      <w:b/>
      <w:kern w:val="2"/>
      <w:sz w:val="21"/>
      <w:szCs w:val="21"/>
    </w:rPr>
  </w:style>
  <w:style w:type="character" w:customStyle="1" w:styleId="3193">
    <w:name w:val="3193"/>
    <w:basedOn w:val="3227"/>
    <w:uiPriority w:val="9"/>
    <w:qFormat/>
    <w:rPr>
      <w:b/>
      <w:kern w:val="2"/>
      <w:sz w:val="21"/>
      <w:szCs w:val="32"/>
    </w:rPr>
  </w:style>
  <w:style w:type="character" w:customStyle="1" w:styleId="3192">
    <w:name w:val="3192"/>
    <w:basedOn w:val="3227"/>
    <w:uiPriority w:val="9"/>
    <w:qFormat/>
    <w:rPr>
      <w:rFonts w:ascii="Cambria" w:hAnsi="Cambria" w:hint="default"/>
      <w:b/>
      <w:kern w:val="2"/>
      <w:sz w:val="21"/>
      <w:szCs w:val="28"/>
    </w:rPr>
  </w:style>
  <w:style w:type="character" w:customStyle="1" w:styleId="3191">
    <w:name w:val="3191"/>
    <w:basedOn w:val="3227"/>
    <w:uiPriority w:val="9"/>
    <w:qFormat/>
    <w:rPr>
      <w:b/>
      <w:kern w:val="2"/>
      <w:sz w:val="21"/>
      <w:szCs w:val="28"/>
    </w:rPr>
  </w:style>
  <w:style w:type="character" w:customStyle="1" w:styleId="3189">
    <w:name w:val="3189"/>
    <w:basedOn w:val="3227"/>
    <w:uiPriority w:val="99"/>
    <w:qFormat/>
    <w:rPr>
      <w:rFonts w:ascii="Times New Roman" w:eastAsia="宋体" w:hAnsi="Times New Roman" w:cs="Times New Roman" w:hint="default"/>
      <w:szCs w:val="21"/>
    </w:rPr>
  </w:style>
  <w:style w:type="character" w:customStyle="1" w:styleId="3188">
    <w:name w:val="3188"/>
    <w:basedOn w:val="3227"/>
    <w:uiPriority w:val="99"/>
    <w:qFormat/>
    <w:rPr>
      <w:rFonts w:ascii="Calibri" w:eastAsia="宋体" w:hAnsi="Calibri" w:cs="Times New Roman" w:hint="default"/>
      <w:sz w:val="18"/>
      <w:szCs w:val="18"/>
    </w:rPr>
  </w:style>
  <w:style w:type="character" w:customStyle="1" w:styleId="3187">
    <w:name w:val="3187"/>
    <w:basedOn w:val="3227"/>
    <w:uiPriority w:val="99"/>
    <w:qFormat/>
    <w:rPr>
      <w:rFonts w:ascii="Times New Roman" w:eastAsia="宋体" w:hAnsi="Times New Roman" w:cs="Times New Roman" w:hint="default"/>
      <w:szCs w:val="21"/>
    </w:rPr>
  </w:style>
  <w:style w:type="character" w:customStyle="1" w:styleId="3186">
    <w:name w:val="3186"/>
    <w:basedOn w:val="3227"/>
    <w:uiPriority w:val="99"/>
    <w:qFormat/>
    <w:rPr>
      <w:rFonts w:ascii="宋体" w:eastAsia="宋体" w:hAnsi="宋体" w:cs="Times New Roman" w:hint="eastAsia"/>
      <w:color w:val="FF0000"/>
      <w:kern w:val="2"/>
      <w:sz w:val="24"/>
      <w:szCs w:val="24"/>
      <w:lang w:val="en-US" w:eastAsia="zh-CN" w:bidi="ar-SA"/>
    </w:rPr>
  </w:style>
  <w:style w:type="character" w:customStyle="1" w:styleId="3183">
    <w:name w:val="3183"/>
    <w:basedOn w:val="3189"/>
    <w:uiPriority w:val="99"/>
    <w:qFormat/>
    <w:rPr>
      <w:rFonts w:ascii="Calibri" w:eastAsia="宋体" w:hAnsi="Calibri" w:cs="Times New Roman" w:hint="default"/>
      <w:b/>
      <w:szCs w:val="21"/>
    </w:rPr>
  </w:style>
  <w:style w:type="character" w:customStyle="1" w:styleId="3182">
    <w:name w:val="3182"/>
    <w:basedOn w:val="3227"/>
    <w:uiPriority w:val="99"/>
    <w:qFormat/>
    <w:rPr>
      <w:rFonts w:ascii="Calibri" w:eastAsia="宋体" w:hAnsi="Calibri" w:cs="Times New Roman" w:hint="default"/>
      <w:sz w:val="18"/>
      <w:szCs w:val="18"/>
    </w:rPr>
  </w:style>
  <w:style w:type="character" w:customStyle="1" w:styleId="3181">
    <w:name w:val="3181"/>
    <w:basedOn w:val="3227"/>
    <w:uiPriority w:val="99"/>
    <w:qFormat/>
    <w:rPr>
      <w:rFonts w:ascii="Calibri" w:eastAsia="宋体" w:hAnsi="Calibri" w:cs="Times New Roman" w:hint="default"/>
      <w:sz w:val="18"/>
      <w:szCs w:val="18"/>
    </w:rPr>
  </w:style>
  <w:style w:type="character" w:customStyle="1" w:styleId="3180">
    <w:name w:val="3180"/>
    <w:basedOn w:val="3227"/>
    <w:qFormat/>
    <w:rPr>
      <w:rFonts w:ascii="宋体" w:eastAsia="宋体" w:hAnsi="Courier New" w:cs="Times New Roman" w:hint="eastAsia"/>
      <w:szCs w:val="20"/>
    </w:rPr>
  </w:style>
  <w:style w:type="character" w:customStyle="1" w:styleId="3179">
    <w:name w:val="3179"/>
    <w:basedOn w:val="3227"/>
    <w:qFormat/>
    <w:rPr>
      <w:rFonts w:ascii="宋体" w:eastAsia="宋体" w:hAnsi="宋体" w:cs="Times New Roman" w:hint="eastAsia"/>
      <w:kern w:val="2"/>
      <w:sz w:val="24"/>
      <w:szCs w:val="24"/>
      <w:lang w:val="en-US" w:eastAsia="zh-CN" w:bidi="ar-SA"/>
    </w:rPr>
  </w:style>
  <w:style w:type="character" w:customStyle="1" w:styleId="3178">
    <w:name w:val="3178"/>
    <w:basedOn w:val="3227"/>
    <w:uiPriority w:val="99"/>
    <w:qFormat/>
    <w:rPr>
      <w:rFonts w:ascii="Times New Roman" w:eastAsia="宋体" w:hAnsi="Times New Roman" w:cs="Times New Roman" w:hint="default"/>
      <w:szCs w:val="21"/>
    </w:rPr>
  </w:style>
  <w:style w:type="character" w:customStyle="1" w:styleId="3176">
    <w:name w:val="3176"/>
    <w:basedOn w:val="3227"/>
    <w:uiPriority w:val="99"/>
    <w:qFormat/>
    <w:rPr>
      <w:rFonts w:ascii="Times New Roman" w:eastAsia="宋体" w:hAnsi="Times New Roman" w:cs="Times New Roman" w:hint="default"/>
      <w:szCs w:val="21"/>
    </w:rPr>
  </w:style>
  <w:style w:type="character" w:customStyle="1" w:styleId="3175">
    <w:name w:val="3175"/>
    <w:basedOn w:val="3227"/>
    <w:uiPriority w:val="99"/>
    <w:qFormat/>
    <w:rPr>
      <w:rFonts w:ascii="Times New Roman" w:eastAsia="宋体" w:hAnsi="Times New Roman" w:cs="Times New Roman" w:hint="default"/>
      <w:szCs w:val="21"/>
    </w:rPr>
  </w:style>
  <w:style w:type="character" w:customStyle="1" w:styleId="3170">
    <w:name w:val="3170"/>
    <w:basedOn w:val="3227"/>
    <w:qFormat/>
    <w:rPr>
      <w:kern w:val="2"/>
      <w:sz w:val="21"/>
      <w:szCs w:val="24"/>
    </w:rPr>
  </w:style>
  <w:style w:type="character" w:customStyle="1" w:styleId="3168">
    <w:name w:val="3168"/>
    <w:basedOn w:val="3227"/>
    <w:uiPriority w:val="99"/>
    <w:semiHidden/>
    <w:qFormat/>
    <w:rPr>
      <w:rFonts w:ascii="宋体" w:eastAsia="宋体" w:hAnsi="宋体" w:hint="eastAsia"/>
      <w:kern w:val="2"/>
      <w:sz w:val="18"/>
      <w:szCs w:val="18"/>
    </w:rPr>
  </w:style>
  <w:style w:type="character" w:customStyle="1" w:styleId="3167">
    <w:name w:val="3167"/>
    <w:basedOn w:val="3227"/>
    <w:uiPriority w:val="99"/>
    <w:qFormat/>
    <w:rPr>
      <w:color w:val="auto"/>
    </w:rPr>
  </w:style>
  <w:style w:type="character" w:customStyle="1" w:styleId="3166">
    <w:name w:val="3166"/>
    <w:basedOn w:val="3227"/>
    <w:uiPriority w:val="10"/>
    <w:qFormat/>
    <w:rPr>
      <w:rFonts w:ascii="Cambria" w:hAnsi="Cambria" w:cs="Times New Roman" w:hint="default"/>
      <w:b/>
      <w:kern w:val="2"/>
      <w:sz w:val="32"/>
      <w:szCs w:val="32"/>
    </w:rPr>
  </w:style>
  <w:style w:type="character" w:customStyle="1" w:styleId="3164">
    <w:name w:val="3164"/>
    <w:basedOn w:val="3227"/>
    <w:uiPriority w:val="9"/>
    <w:qFormat/>
    <w:rPr>
      <w:rFonts w:ascii="Cambria" w:hAnsi="Cambria" w:cs="Times New Roman" w:hint="default"/>
      <w:b/>
      <w:sz w:val="21"/>
      <w:szCs w:val="24"/>
    </w:rPr>
  </w:style>
  <w:style w:type="character" w:customStyle="1" w:styleId="3163">
    <w:name w:val="3163"/>
    <w:basedOn w:val="3227"/>
    <w:uiPriority w:val="99"/>
    <w:semiHidden/>
    <w:qFormat/>
    <w:rPr>
      <w:rFonts w:ascii="宋体" w:eastAsia="宋体" w:hAnsi="宋体" w:cs="宋体" w:hint="eastAsia"/>
      <w:sz w:val="21"/>
      <w:szCs w:val="24"/>
    </w:rPr>
  </w:style>
  <w:style w:type="character" w:customStyle="1" w:styleId="3162">
    <w:name w:val="3162"/>
    <w:basedOn w:val="3189"/>
    <w:uiPriority w:val="99"/>
    <w:semiHidden/>
    <w:qFormat/>
    <w:rPr>
      <w:rFonts w:ascii="Times New Roman" w:eastAsia="宋体" w:hAnsi="Times New Roman" w:cs="Times New Roman" w:hint="default"/>
      <w:b/>
      <w:szCs w:val="21"/>
    </w:rPr>
  </w:style>
  <w:style w:type="character" w:customStyle="1" w:styleId="3158">
    <w:name w:val="3158"/>
    <w:basedOn w:val="3227"/>
    <w:qFormat/>
    <w:rPr>
      <w:rFonts w:ascii="Times New Roman" w:hAnsi="Times New Roman" w:cs="Times New Roman" w:hint="default"/>
      <w:b/>
      <w:kern w:val="2"/>
      <w:sz w:val="21"/>
      <w:szCs w:val="24"/>
    </w:rPr>
  </w:style>
  <w:style w:type="character" w:customStyle="1" w:styleId="3157">
    <w:name w:val="3157"/>
    <w:basedOn w:val="3189"/>
    <w:uiPriority w:val="99"/>
    <w:semiHidden/>
    <w:qFormat/>
    <w:rPr>
      <w:rFonts w:ascii="Times New Roman" w:eastAsia="宋体" w:hAnsi="Times New Roman" w:cs="Times New Roman" w:hint="default"/>
      <w:b/>
      <w:szCs w:val="21"/>
    </w:rPr>
  </w:style>
  <w:style w:type="character" w:customStyle="1" w:styleId="3156">
    <w:name w:val="3156"/>
    <w:basedOn w:val="3227"/>
    <w:uiPriority w:val="9"/>
    <w:qFormat/>
    <w:rPr>
      <w:rFonts w:ascii="宋体" w:eastAsia="宋体" w:hAnsi="宋体" w:cs="宋体" w:hint="eastAsia"/>
      <w:b/>
      <w:sz w:val="24"/>
      <w:szCs w:val="24"/>
    </w:rPr>
  </w:style>
  <w:style w:type="character" w:customStyle="1" w:styleId="3155">
    <w:name w:val="3155"/>
    <w:basedOn w:val="3227"/>
    <w:qFormat/>
  </w:style>
  <w:style w:type="character" w:customStyle="1" w:styleId="3154">
    <w:name w:val="3154"/>
    <w:uiPriority w:val="9"/>
    <w:qFormat/>
    <w:rPr>
      <w:rFonts w:ascii="Cambria" w:hAnsi="Cambria" w:hint="default"/>
      <w:b/>
      <w:kern w:val="2"/>
      <w:sz w:val="21"/>
      <w:szCs w:val="28"/>
    </w:rPr>
  </w:style>
  <w:style w:type="character" w:customStyle="1" w:styleId="3151">
    <w:name w:val="3151"/>
    <w:uiPriority w:val="9"/>
    <w:qFormat/>
    <w:rPr>
      <w:b/>
      <w:kern w:val="2"/>
      <w:sz w:val="21"/>
      <w:szCs w:val="32"/>
    </w:rPr>
  </w:style>
  <w:style w:type="character" w:customStyle="1" w:styleId="3147">
    <w:name w:val="3147"/>
    <w:uiPriority w:val="99"/>
    <w:qFormat/>
    <w:rPr>
      <w:rFonts w:ascii="Times New Roman" w:hAnsi="Times New Roman" w:cs="Times New Roman" w:hint="default"/>
      <w:kern w:val="2"/>
      <w:sz w:val="21"/>
      <w:szCs w:val="21"/>
    </w:rPr>
  </w:style>
  <w:style w:type="character" w:customStyle="1" w:styleId="3145">
    <w:name w:val="3145"/>
    <w:uiPriority w:val="9"/>
    <w:qFormat/>
    <w:rPr>
      <w:b/>
      <w:kern w:val="2"/>
      <w:sz w:val="21"/>
      <w:szCs w:val="28"/>
    </w:rPr>
  </w:style>
  <w:style w:type="character" w:customStyle="1" w:styleId="3143">
    <w:name w:val="3143"/>
    <w:uiPriority w:val="9"/>
    <w:qFormat/>
    <w:rPr>
      <w:b/>
      <w:kern w:val="2"/>
      <w:sz w:val="21"/>
      <w:szCs w:val="32"/>
    </w:rPr>
  </w:style>
  <w:style w:type="character" w:customStyle="1" w:styleId="3142">
    <w:name w:val="3142"/>
    <w:qFormat/>
    <w:rPr>
      <w:rFonts w:ascii="Arial" w:hAnsi="Arial" w:cs="Arial" w:hint="default"/>
      <w:b/>
      <w:kern w:val="2"/>
      <w:sz w:val="21"/>
      <w:szCs w:val="21"/>
    </w:rPr>
  </w:style>
  <w:style w:type="character" w:customStyle="1" w:styleId="3141">
    <w:name w:val="3141"/>
    <w:uiPriority w:val="9"/>
    <w:qFormat/>
    <w:rPr>
      <w:rFonts w:ascii="Cambria" w:hAnsi="Cambria" w:hint="default"/>
      <w:b/>
      <w:kern w:val="2"/>
      <w:sz w:val="21"/>
      <w:szCs w:val="28"/>
    </w:rPr>
  </w:style>
  <w:style w:type="character" w:customStyle="1" w:styleId="3140">
    <w:name w:val="3140"/>
    <w:uiPriority w:val="9"/>
    <w:qFormat/>
    <w:rPr>
      <w:b/>
      <w:kern w:val="2"/>
      <w:sz w:val="21"/>
      <w:szCs w:val="28"/>
    </w:rPr>
  </w:style>
  <w:style w:type="character" w:customStyle="1" w:styleId="3138">
    <w:name w:val="3138"/>
    <w:qFormat/>
    <w:rPr>
      <w:rFonts w:ascii="Times New Roman" w:hAnsi="Times New Roman" w:cs="Times New Roman" w:hint="default"/>
      <w:kern w:val="2"/>
      <w:sz w:val="21"/>
      <w:szCs w:val="21"/>
    </w:rPr>
  </w:style>
  <w:style w:type="character" w:customStyle="1" w:styleId="3136">
    <w:name w:val="3136"/>
    <w:basedOn w:val="3227"/>
    <w:qFormat/>
    <w:rPr>
      <w:rFonts w:ascii="Arial" w:eastAsia="黑体" w:hAnsi="Arial" w:cs="Times New Roman" w:hint="default"/>
      <w:color w:val="000000"/>
      <w:sz w:val="24"/>
      <w:szCs w:val="20"/>
    </w:rPr>
  </w:style>
  <w:style w:type="character" w:customStyle="1" w:styleId="3135">
    <w:name w:val="3135"/>
    <w:basedOn w:val="3227"/>
    <w:qFormat/>
    <w:rPr>
      <w:rFonts w:ascii="Arial" w:eastAsia="黑体" w:hAnsi="Arial" w:cs="Times New Roman" w:hint="default"/>
      <w:color w:val="000000"/>
      <w:sz w:val="24"/>
      <w:szCs w:val="20"/>
    </w:rPr>
  </w:style>
  <w:style w:type="character" w:customStyle="1" w:styleId="3134">
    <w:name w:val="3134"/>
    <w:basedOn w:val="3227"/>
    <w:uiPriority w:val="99"/>
    <w:qFormat/>
    <w:rPr>
      <w:rFonts w:ascii="Times New Roman" w:eastAsia="宋体" w:hAnsi="Times New Roman" w:cs="Times New Roman" w:hint="default"/>
      <w:szCs w:val="21"/>
    </w:rPr>
  </w:style>
  <w:style w:type="character" w:customStyle="1" w:styleId="3130">
    <w:name w:val="3130"/>
    <w:basedOn w:val="3227"/>
    <w:qFormat/>
    <w:rPr>
      <w:b/>
      <w:sz w:val="24"/>
      <w:szCs w:val="24"/>
    </w:rPr>
  </w:style>
  <w:style w:type="character" w:customStyle="1" w:styleId="3129">
    <w:name w:val="3129"/>
    <w:qFormat/>
    <w:rPr>
      <w:rFonts w:ascii="宋体" w:eastAsia="宋体" w:hAnsi="宋体" w:hint="eastAsia"/>
      <w:color w:val="000000"/>
      <w:sz w:val="24"/>
      <w:szCs w:val="24"/>
    </w:rPr>
  </w:style>
  <w:style w:type="character" w:customStyle="1" w:styleId="3128">
    <w:name w:val="3128"/>
    <w:uiPriority w:val="99"/>
    <w:qFormat/>
    <w:rPr>
      <w:rFonts w:ascii="Times New Roman" w:hAnsi="Times New Roman" w:cs="Times New Roman" w:hint="default"/>
      <w:kern w:val="2"/>
      <w:sz w:val="21"/>
      <w:szCs w:val="21"/>
    </w:rPr>
  </w:style>
  <w:style w:type="character" w:customStyle="1" w:styleId="3127">
    <w:name w:val="3127"/>
    <w:qFormat/>
    <w:rPr>
      <w:rFonts w:ascii="FZLTSK--GBK1-0" w:hAnsi="FZLTSK--GBK1-0" w:hint="default"/>
      <w:bCs/>
      <w:color w:val="000000"/>
      <w:sz w:val="20"/>
      <w:szCs w:val="20"/>
    </w:rPr>
  </w:style>
  <w:style w:type="character" w:customStyle="1" w:styleId="3114">
    <w:name w:val="3114"/>
    <w:basedOn w:val="3227"/>
    <w:qFormat/>
    <w:rPr>
      <w:rFonts w:ascii="Times New Roman" w:hAnsi="Times New Roman" w:cs="Times New Roman" w:hint="default"/>
      <w:kern w:val="2"/>
    </w:rPr>
  </w:style>
  <w:style w:type="character" w:customStyle="1" w:styleId="3113">
    <w:name w:val="3113"/>
    <w:basedOn w:val="3189"/>
    <w:uiPriority w:val="99"/>
    <w:semiHidden/>
    <w:qFormat/>
    <w:rPr>
      <w:rFonts w:ascii="Times New Roman" w:eastAsia="宋体" w:hAnsi="Times New Roman" w:cs="Times New Roman" w:hint="default"/>
      <w:b/>
      <w:color w:val="000000"/>
      <w:sz w:val="21"/>
      <w:szCs w:val="21"/>
    </w:rPr>
  </w:style>
  <w:style w:type="character" w:customStyle="1" w:styleId="3107">
    <w:name w:val="3107"/>
    <w:basedOn w:val="3227"/>
    <w:qFormat/>
    <w:rPr>
      <w:rFonts w:ascii="宋体" w:eastAsia="宋体" w:hAnsi="宋体" w:hint="eastAsia"/>
      <w:color w:val="000000"/>
      <w:sz w:val="22"/>
      <w:szCs w:val="22"/>
    </w:rPr>
  </w:style>
  <w:style w:type="character" w:customStyle="1" w:styleId="3106">
    <w:name w:val="3106"/>
    <w:basedOn w:val="3227"/>
    <w:uiPriority w:val="9"/>
    <w:qFormat/>
    <w:rPr>
      <w:rFonts w:ascii="Cambria" w:hAnsi="Cambria" w:hint="default"/>
      <w:b/>
      <w:kern w:val="2"/>
      <w:sz w:val="21"/>
      <w:szCs w:val="28"/>
    </w:rPr>
  </w:style>
  <w:style w:type="character" w:customStyle="1" w:styleId="3104">
    <w:name w:val="3104"/>
    <w:basedOn w:val="3227"/>
    <w:uiPriority w:val="9"/>
    <w:qFormat/>
    <w:rPr>
      <w:b/>
      <w:kern w:val="2"/>
      <w:sz w:val="21"/>
      <w:szCs w:val="32"/>
    </w:rPr>
  </w:style>
  <w:style w:type="character" w:customStyle="1" w:styleId="31030">
    <w:name w:val="3103"/>
    <w:basedOn w:val="3227"/>
    <w:uiPriority w:val="39"/>
    <w:qFormat/>
    <w:rPr>
      <w:rFonts w:ascii="Calibri" w:hAnsi="Calibri" w:cs="Times New Roman" w:hint="default"/>
      <w:sz w:val="22"/>
      <w:szCs w:val="22"/>
    </w:rPr>
  </w:style>
  <w:style w:type="character" w:customStyle="1" w:styleId="3094">
    <w:name w:val="3094"/>
    <w:basedOn w:val="3227"/>
    <w:semiHidden/>
    <w:qFormat/>
    <w:rPr>
      <w:rFonts w:ascii="Arial" w:hAnsi="Arial" w:cs="Times New Roman" w:hint="default"/>
      <w:b/>
      <w:kern w:val="2"/>
    </w:rPr>
  </w:style>
  <w:style w:type="character" w:customStyle="1" w:styleId="3093">
    <w:name w:val="3093"/>
    <w:basedOn w:val="3227"/>
    <w:uiPriority w:val="1"/>
    <w:qFormat/>
    <w:rPr>
      <w:kern w:val="2"/>
      <w:szCs w:val="22"/>
    </w:rPr>
  </w:style>
  <w:style w:type="character" w:customStyle="1" w:styleId="3092">
    <w:name w:val="3092"/>
    <w:basedOn w:val="3227"/>
    <w:uiPriority w:val="99"/>
    <w:qFormat/>
    <w:rPr>
      <w:sz w:val="24"/>
    </w:rPr>
  </w:style>
  <w:style w:type="character" w:customStyle="1" w:styleId="3090">
    <w:name w:val="3090"/>
    <w:basedOn w:val="3227"/>
    <w:qFormat/>
    <w:rPr>
      <w:rFonts w:ascii="宋体" w:eastAsia="宋体" w:hAnsi="宋体" w:hint="eastAsia"/>
      <w:kern w:val="2"/>
      <w:szCs w:val="24"/>
    </w:rPr>
  </w:style>
  <w:style w:type="character" w:customStyle="1" w:styleId="3082">
    <w:name w:val="3082"/>
    <w:basedOn w:val="3227"/>
    <w:uiPriority w:val="99"/>
    <w:qFormat/>
    <w:rPr>
      <w:rFonts w:ascii="黑体" w:eastAsia="黑体" w:hAnsi="黑体" w:hint="eastAsia"/>
      <w:b/>
      <w:kern w:val="44"/>
      <w:sz w:val="28"/>
      <w:szCs w:val="44"/>
    </w:rPr>
  </w:style>
  <w:style w:type="character" w:customStyle="1" w:styleId="3081">
    <w:name w:val="3081"/>
    <w:basedOn w:val="3227"/>
    <w:qFormat/>
    <w:rPr>
      <w:rFonts w:ascii="Arial" w:hAnsi="Arial" w:cs="Arial" w:hint="default"/>
      <w:b/>
      <w:kern w:val="2"/>
      <w:sz w:val="21"/>
      <w:szCs w:val="21"/>
    </w:rPr>
  </w:style>
  <w:style w:type="character" w:customStyle="1" w:styleId="3080">
    <w:name w:val="3080"/>
    <w:basedOn w:val="3227"/>
    <w:uiPriority w:val="9"/>
    <w:qFormat/>
    <w:rPr>
      <w:b/>
      <w:kern w:val="2"/>
      <w:sz w:val="21"/>
      <w:szCs w:val="32"/>
    </w:rPr>
  </w:style>
  <w:style w:type="character" w:customStyle="1" w:styleId="3079">
    <w:name w:val="3079"/>
    <w:basedOn w:val="3227"/>
    <w:uiPriority w:val="9"/>
    <w:qFormat/>
    <w:rPr>
      <w:rFonts w:ascii="Cambria" w:hAnsi="Cambria" w:hint="default"/>
      <w:b/>
      <w:kern w:val="2"/>
      <w:sz w:val="21"/>
      <w:szCs w:val="28"/>
    </w:rPr>
  </w:style>
  <w:style w:type="character" w:customStyle="1" w:styleId="3078">
    <w:name w:val="3078"/>
    <w:basedOn w:val="3227"/>
    <w:uiPriority w:val="9"/>
    <w:qFormat/>
    <w:rPr>
      <w:b/>
      <w:kern w:val="2"/>
      <w:sz w:val="21"/>
      <w:szCs w:val="28"/>
    </w:rPr>
  </w:style>
  <w:style w:type="character" w:customStyle="1" w:styleId="3075">
    <w:name w:val="3075"/>
    <w:basedOn w:val="3227"/>
    <w:qFormat/>
    <w:rPr>
      <w:rFonts w:ascii="Times New Roman" w:eastAsia="宋体" w:hAnsi="Times New Roman" w:cs="Times New Roman" w:hint="default"/>
      <w:szCs w:val="21"/>
    </w:rPr>
  </w:style>
  <w:style w:type="character" w:customStyle="1" w:styleId="3073">
    <w:name w:val="3073"/>
    <w:basedOn w:val="3227"/>
    <w:uiPriority w:val="99"/>
    <w:qFormat/>
    <w:rPr>
      <w:rFonts w:ascii="Calibri" w:eastAsia="宋体" w:hAnsi="Calibri" w:cs="Times New Roman" w:hint="default"/>
      <w:sz w:val="18"/>
      <w:szCs w:val="18"/>
    </w:rPr>
  </w:style>
  <w:style w:type="character" w:customStyle="1" w:styleId="3072">
    <w:name w:val="3072"/>
    <w:basedOn w:val="3227"/>
    <w:uiPriority w:val="99"/>
    <w:qFormat/>
    <w:rPr>
      <w:rFonts w:ascii="Times New Roman" w:eastAsia="宋体" w:hAnsi="Times New Roman" w:cs="Times New Roman" w:hint="default"/>
      <w:szCs w:val="21"/>
    </w:rPr>
  </w:style>
  <w:style w:type="character" w:customStyle="1" w:styleId="3070">
    <w:name w:val="3070"/>
    <w:basedOn w:val="3075"/>
    <w:uiPriority w:val="99"/>
    <w:qFormat/>
    <w:rPr>
      <w:rFonts w:ascii="Calibri" w:eastAsia="宋体" w:hAnsi="Calibri" w:cs="Times New Roman" w:hint="default"/>
      <w:b/>
      <w:szCs w:val="21"/>
    </w:rPr>
  </w:style>
  <w:style w:type="character" w:customStyle="1" w:styleId="3068">
    <w:name w:val="3068"/>
    <w:basedOn w:val="3227"/>
    <w:uiPriority w:val="99"/>
    <w:qFormat/>
    <w:rPr>
      <w:rFonts w:ascii="Calibri" w:eastAsia="宋体" w:hAnsi="Calibri" w:cs="Times New Roman" w:hint="default"/>
      <w:sz w:val="18"/>
      <w:szCs w:val="18"/>
    </w:rPr>
  </w:style>
  <w:style w:type="character" w:customStyle="1" w:styleId="3066">
    <w:name w:val="3066"/>
    <w:basedOn w:val="3227"/>
    <w:uiPriority w:val="99"/>
    <w:qFormat/>
    <w:rPr>
      <w:rFonts w:ascii="Calibri" w:eastAsia="宋体" w:hAnsi="Calibri" w:cs="Times New Roman" w:hint="default"/>
      <w:sz w:val="18"/>
      <w:szCs w:val="18"/>
    </w:rPr>
  </w:style>
  <w:style w:type="character" w:customStyle="1" w:styleId="3064">
    <w:name w:val="3064"/>
    <w:basedOn w:val="3227"/>
    <w:qFormat/>
    <w:rPr>
      <w:rFonts w:ascii="宋体" w:eastAsia="宋体" w:hAnsi="Courier New" w:cs="Times New Roman" w:hint="eastAsia"/>
      <w:szCs w:val="20"/>
    </w:rPr>
  </w:style>
  <w:style w:type="character" w:customStyle="1" w:styleId="3062">
    <w:name w:val="3062"/>
    <w:basedOn w:val="3227"/>
    <w:uiPriority w:val="99"/>
    <w:qFormat/>
    <w:rPr>
      <w:rFonts w:ascii="Times New Roman" w:eastAsia="宋体" w:hAnsi="Times New Roman" w:cs="Times New Roman" w:hint="default"/>
      <w:szCs w:val="21"/>
    </w:rPr>
  </w:style>
  <w:style w:type="character" w:customStyle="1" w:styleId="3060">
    <w:name w:val="3060"/>
    <w:basedOn w:val="3227"/>
    <w:uiPriority w:val="99"/>
    <w:qFormat/>
    <w:rPr>
      <w:rFonts w:ascii="Times New Roman" w:eastAsia="宋体" w:hAnsi="Times New Roman" w:cs="Times New Roman" w:hint="default"/>
      <w:szCs w:val="21"/>
    </w:rPr>
  </w:style>
  <w:style w:type="character" w:customStyle="1" w:styleId="3058">
    <w:name w:val="3058"/>
    <w:basedOn w:val="3227"/>
    <w:uiPriority w:val="99"/>
    <w:qFormat/>
    <w:rPr>
      <w:rFonts w:ascii="Times New Roman" w:eastAsia="宋体" w:hAnsi="Times New Roman" w:cs="Times New Roman" w:hint="default"/>
      <w:szCs w:val="21"/>
    </w:rPr>
  </w:style>
  <w:style w:type="character" w:customStyle="1" w:styleId="3054">
    <w:name w:val="3054"/>
    <w:basedOn w:val="3227"/>
    <w:qFormat/>
    <w:rPr>
      <w:kern w:val="2"/>
      <w:sz w:val="21"/>
      <w:szCs w:val="24"/>
    </w:rPr>
  </w:style>
  <w:style w:type="character" w:customStyle="1" w:styleId="3051">
    <w:name w:val="3051"/>
    <w:basedOn w:val="3227"/>
    <w:uiPriority w:val="99"/>
    <w:semiHidden/>
    <w:qFormat/>
    <w:rPr>
      <w:rFonts w:ascii="宋体" w:eastAsia="宋体" w:hAnsi="宋体" w:hint="eastAsia"/>
      <w:kern w:val="2"/>
      <w:sz w:val="18"/>
      <w:szCs w:val="18"/>
    </w:rPr>
  </w:style>
  <w:style w:type="character" w:customStyle="1" w:styleId="3050">
    <w:name w:val="3050"/>
    <w:basedOn w:val="3227"/>
    <w:uiPriority w:val="99"/>
    <w:qFormat/>
    <w:rPr>
      <w:color w:val="auto"/>
    </w:rPr>
  </w:style>
  <w:style w:type="character" w:customStyle="1" w:styleId="3048">
    <w:name w:val="3048"/>
    <w:basedOn w:val="3227"/>
    <w:uiPriority w:val="10"/>
    <w:qFormat/>
    <w:rPr>
      <w:rFonts w:ascii="Cambria" w:hAnsi="Cambria" w:cs="Times New Roman" w:hint="default"/>
      <w:b/>
      <w:kern w:val="2"/>
      <w:sz w:val="32"/>
      <w:szCs w:val="32"/>
    </w:rPr>
  </w:style>
  <w:style w:type="character" w:customStyle="1" w:styleId="3040">
    <w:name w:val="3040"/>
    <w:basedOn w:val="3227"/>
    <w:uiPriority w:val="9"/>
    <w:qFormat/>
    <w:rPr>
      <w:rFonts w:ascii="Cambria" w:hAnsi="Cambria" w:cs="Times New Roman" w:hint="default"/>
      <w:b/>
      <w:sz w:val="21"/>
      <w:szCs w:val="24"/>
    </w:rPr>
  </w:style>
  <w:style w:type="character" w:customStyle="1" w:styleId="3037">
    <w:name w:val="3037"/>
    <w:basedOn w:val="3227"/>
    <w:uiPriority w:val="99"/>
    <w:semiHidden/>
    <w:qFormat/>
    <w:rPr>
      <w:rFonts w:ascii="宋体" w:eastAsia="宋体" w:hAnsi="宋体" w:cs="宋体" w:hint="eastAsia"/>
      <w:sz w:val="21"/>
      <w:szCs w:val="24"/>
    </w:rPr>
  </w:style>
  <w:style w:type="character" w:customStyle="1" w:styleId="3036">
    <w:name w:val="3036"/>
    <w:basedOn w:val="3227"/>
    <w:uiPriority w:val="99"/>
    <w:semiHidden/>
    <w:qFormat/>
    <w:rPr>
      <w:vertAlign w:val="superscript"/>
    </w:rPr>
  </w:style>
  <w:style w:type="character" w:customStyle="1" w:styleId="3035">
    <w:name w:val="3035"/>
    <w:basedOn w:val="3075"/>
    <w:uiPriority w:val="99"/>
    <w:semiHidden/>
    <w:qFormat/>
    <w:rPr>
      <w:rFonts w:ascii="Times New Roman" w:eastAsia="宋体" w:hAnsi="Times New Roman" w:cs="Times New Roman" w:hint="default"/>
      <w:b/>
      <w:szCs w:val="21"/>
    </w:rPr>
  </w:style>
  <w:style w:type="character" w:customStyle="1" w:styleId="3034">
    <w:name w:val="3034"/>
    <w:basedOn w:val="3075"/>
    <w:uiPriority w:val="99"/>
    <w:semiHidden/>
    <w:qFormat/>
    <w:rPr>
      <w:rFonts w:ascii="Times New Roman" w:eastAsia="宋体" w:hAnsi="Times New Roman" w:cs="Times New Roman" w:hint="default"/>
      <w:b/>
      <w:szCs w:val="21"/>
    </w:rPr>
  </w:style>
  <w:style w:type="character" w:customStyle="1" w:styleId="3033">
    <w:name w:val="3033"/>
    <w:basedOn w:val="3227"/>
    <w:uiPriority w:val="9"/>
    <w:qFormat/>
    <w:rPr>
      <w:rFonts w:ascii="宋体" w:eastAsia="宋体" w:hAnsi="宋体" w:cs="宋体" w:hint="eastAsia"/>
      <w:b/>
      <w:sz w:val="24"/>
      <w:szCs w:val="24"/>
    </w:rPr>
  </w:style>
  <w:style w:type="character" w:customStyle="1" w:styleId="3026">
    <w:name w:val="3026"/>
    <w:uiPriority w:val="99"/>
    <w:qFormat/>
    <w:rPr>
      <w:rFonts w:ascii="Times New Roman" w:hAnsi="Times New Roman" w:cs="Times New Roman" w:hint="default"/>
      <w:kern w:val="2"/>
      <w:sz w:val="21"/>
      <w:szCs w:val="21"/>
    </w:rPr>
  </w:style>
  <w:style w:type="character" w:customStyle="1" w:styleId="3024">
    <w:name w:val="3024"/>
    <w:qFormat/>
    <w:rPr>
      <w:rFonts w:ascii="Times New Roman" w:hAnsi="Times New Roman" w:cs="Times New Roman" w:hint="default"/>
      <w:kern w:val="2"/>
      <w:sz w:val="21"/>
      <w:szCs w:val="21"/>
    </w:rPr>
  </w:style>
  <w:style w:type="character" w:customStyle="1" w:styleId="3022">
    <w:name w:val="3022"/>
    <w:qFormat/>
    <w:rPr>
      <w:rFonts w:ascii="Times New Roman" w:hAnsi="Times New Roman" w:cs="Times New Roman" w:hint="default"/>
      <w:kern w:val="2"/>
      <w:sz w:val="21"/>
      <w:szCs w:val="21"/>
    </w:rPr>
  </w:style>
  <w:style w:type="character" w:customStyle="1" w:styleId="3018">
    <w:name w:val="3018"/>
    <w:qFormat/>
  </w:style>
  <w:style w:type="character" w:customStyle="1" w:styleId="3002">
    <w:name w:val="3002"/>
    <w:uiPriority w:val="1"/>
    <w:semiHidden/>
    <w:qFormat/>
  </w:style>
  <w:style w:type="character" w:customStyle="1" w:styleId="2975">
    <w:name w:val="2975"/>
    <w:basedOn w:val="3002"/>
    <w:qFormat/>
    <w:rPr>
      <w:b/>
    </w:rPr>
  </w:style>
  <w:style w:type="character" w:customStyle="1" w:styleId="2974">
    <w:name w:val="2974"/>
    <w:basedOn w:val="3002"/>
    <w:qFormat/>
    <w:rPr>
      <w:vertAlign w:val="superscript"/>
    </w:rPr>
  </w:style>
  <w:style w:type="character" w:customStyle="1" w:styleId="2973">
    <w:name w:val="2973"/>
    <w:basedOn w:val="3002"/>
    <w:qFormat/>
    <w:rPr>
      <w:rFonts w:ascii="Times New Roman" w:hAnsi="Times New Roman" w:cs="Times New Roman" w:hint="default"/>
      <w:color w:val="0000FF"/>
      <w:u w:val="single"/>
    </w:rPr>
  </w:style>
  <w:style w:type="character" w:customStyle="1" w:styleId="2972">
    <w:name w:val="2972"/>
    <w:basedOn w:val="3002"/>
    <w:qFormat/>
    <w:rPr>
      <w:rFonts w:ascii="宋体" w:eastAsia="宋体" w:hAnsi="宋体" w:cs="Times New Roman" w:hint="eastAsia"/>
      <w:kern w:val="2"/>
      <w:sz w:val="21"/>
      <w:szCs w:val="21"/>
      <w:lang w:val="en-US" w:eastAsia="zh-CN" w:bidi="ar-SA"/>
    </w:rPr>
  </w:style>
  <w:style w:type="character" w:customStyle="1" w:styleId="2971">
    <w:name w:val="2971"/>
    <w:basedOn w:val="3002"/>
    <w:uiPriority w:val="99"/>
    <w:qFormat/>
    <w:rPr>
      <w:rFonts w:ascii="黑体" w:eastAsia="黑体" w:hAnsi="黑体" w:hint="eastAsia"/>
      <w:b/>
      <w:kern w:val="44"/>
      <w:sz w:val="28"/>
      <w:szCs w:val="44"/>
    </w:rPr>
  </w:style>
  <w:style w:type="character" w:customStyle="1" w:styleId="2970">
    <w:name w:val="2970"/>
    <w:basedOn w:val="3002"/>
    <w:qFormat/>
    <w:rPr>
      <w:rFonts w:ascii="Arial" w:hAnsi="Arial" w:cs="Arial" w:hint="default"/>
      <w:b/>
      <w:kern w:val="2"/>
      <w:sz w:val="21"/>
      <w:szCs w:val="21"/>
    </w:rPr>
  </w:style>
  <w:style w:type="character" w:customStyle="1" w:styleId="2969">
    <w:name w:val="2969"/>
    <w:basedOn w:val="3002"/>
    <w:uiPriority w:val="9"/>
    <w:qFormat/>
    <w:rPr>
      <w:b/>
      <w:kern w:val="2"/>
      <w:sz w:val="21"/>
      <w:szCs w:val="32"/>
    </w:rPr>
  </w:style>
  <w:style w:type="character" w:customStyle="1" w:styleId="2968">
    <w:name w:val="2968"/>
    <w:basedOn w:val="3002"/>
    <w:uiPriority w:val="9"/>
    <w:qFormat/>
    <w:rPr>
      <w:rFonts w:ascii="Cambria" w:hAnsi="Cambria" w:hint="default"/>
      <w:b/>
      <w:kern w:val="2"/>
      <w:sz w:val="21"/>
      <w:szCs w:val="28"/>
    </w:rPr>
  </w:style>
  <w:style w:type="character" w:customStyle="1" w:styleId="2967">
    <w:name w:val="2967"/>
    <w:basedOn w:val="3002"/>
    <w:uiPriority w:val="9"/>
    <w:qFormat/>
    <w:rPr>
      <w:b/>
      <w:kern w:val="2"/>
      <w:sz w:val="21"/>
      <w:szCs w:val="28"/>
    </w:rPr>
  </w:style>
  <w:style w:type="character" w:customStyle="1" w:styleId="2965">
    <w:name w:val="2965"/>
    <w:basedOn w:val="3002"/>
    <w:uiPriority w:val="99"/>
    <w:qFormat/>
    <w:rPr>
      <w:rFonts w:ascii="Times New Roman" w:eastAsia="宋体" w:hAnsi="Times New Roman" w:cs="Times New Roman" w:hint="default"/>
      <w:szCs w:val="21"/>
    </w:rPr>
  </w:style>
  <w:style w:type="character" w:customStyle="1" w:styleId="2964">
    <w:name w:val="2964"/>
    <w:basedOn w:val="3002"/>
    <w:uiPriority w:val="99"/>
    <w:qFormat/>
    <w:rPr>
      <w:rFonts w:ascii="Calibri" w:eastAsia="宋体" w:hAnsi="Calibri" w:cs="Times New Roman" w:hint="default"/>
      <w:sz w:val="18"/>
      <w:szCs w:val="18"/>
    </w:rPr>
  </w:style>
  <w:style w:type="character" w:customStyle="1" w:styleId="2963">
    <w:name w:val="2963"/>
    <w:basedOn w:val="3002"/>
    <w:uiPriority w:val="99"/>
    <w:qFormat/>
    <w:rPr>
      <w:rFonts w:ascii="Times New Roman" w:eastAsia="宋体" w:hAnsi="Times New Roman" w:cs="Times New Roman" w:hint="default"/>
      <w:szCs w:val="21"/>
    </w:rPr>
  </w:style>
  <w:style w:type="character" w:customStyle="1" w:styleId="2962">
    <w:name w:val="2962"/>
    <w:basedOn w:val="3002"/>
    <w:uiPriority w:val="99"/>
    <w:qFormat/>
    <w:rPr>
      <w:rFonts w:ascii="宋体" w:eastAsia="宋体" w:hAnsi="宋体" w:cs="Times New Roman" w:hint="eastAsia"/>
      <w:color w:val="FF0000"/>
      <w:kern w:val="2"/>
      <w:sz w:val="24"/>
      <w:szCs w:val="24"/>
      <w:lang w:val="en-US" w:eastAsia="zh-CN" w:bidi="ar-SA"/>
    </w:rPr>
  </w:style>
  <w:style w:type="character" w:customStyle="1" w:styleId="2959">
    <w:name w:val="2959"/>
    <w:basedOn w:val="2965"/>
    <w:uiPriority w:val="99"/>
    <w:qFormat/>
    <w:rPr>
      <w:rFonts w:ascii="Calibri" w:eastAsia="宋体" w:hAnsi="Calibri" w:cs="Times New Roman" w:hint="default"/>
      <w:b/>
      <w:szCs w:val="21"/>
    </w:rPr>
  </w:style>
  <w:style w:type="character" w:customStyle="1" w:styleId="2958">
    <w:name w:val="2958"/>
    <w:basedOn w:val="3002"/>
    <w:uiPriority w:val="99"/>
    <w:qFormat/>
    <w:rPr>
      <w:rFonts w:ascii="Calibri" w:eastAsia="宋体" w:hAnsi="Calibri" w:cs="Times New Roman" w:hint="default"/>
      <w:sz w:val="18"/>
      <w:szCs w:val="18"/>
    </w:rPr>
  </w:style>
  <w:style w:type="character" w:customStyle="1" w:styleId="2957">
    <w:name w:val="2957"/>
    <w:basedOn w:val="3002"/>
    <w:uiPriority w:val="99"/>
    <w:qFormat/>
    <w:rPr>
      <w:rFonts w:ascii="Calibri" w:eastAsia="宋体" w:hAnsi="Calibri" w:cs="Times New Roman" w:hint="default"/>
      <w:sz w:val="18"/>
      <w:szCs w:val="18"/>
    </w:rPr>
  </w:style>
  <w:style w:type="character" w:customStyle="1" w:styleId="2956">
    <w:name w:val="2956"/>
    <w:basedOn w:val="3002"/>
    <w:qFormat/>
    <w:rPr>
      <w:rFonts w:ascii="宋体" w:eastAsia="宋体" w:hAnsi="Courier New" w:cs="Times New Roman" w:hint="eastAsia"/>
      <w:szCs w:val="20"/>
    </w:rPr>
  </w:style>
  <w:style w:type="character" w:customStyle="1" w:styleId="2955">
    <w:name w:val="2955"/>
    <w:basedOn w:val="3002"/>
    <w:qFormat/>
    <w:rPr>
      <w:rFonts w:ascii="宋体" w:eastAsia="宋体" w:hAnsi="宋体" w:cs="Times New Roman" w:hint="eastAsia"/>
      <w:kern w:val="2"/>
      <w:sz w:val="24"/>
      <w:szCs w:val="24"/>
      <w:lang w:val="en-US" w:eastAsia="zh-CN" w:bidi="ar-SA"/>
    </w:rPr>
  </w:style>
  <w:style w:type="character" w:customStyle="1" w:styleId="2954">
    <w:name w:val="2954"/>
    <w:basedOn w:val="3002"/>
    <w:uiPriority w:val="99"/>
    <w:qFormat/>
    <w:rPr>
      <w:rFonts w:ascii="Times New Roman" w:eastAsia="宋体" w:hAnsi="Times New Roman" w:cs="Times New Roman" w:hint="default"/>
      <w:szCs w:val="21"/>
    </w:rPr>
  </w:style>
  <w:style w:type="character" w:customStyle="1" w:styleId="2952">
    <w:name w:val="2952"/>
    <w:basedOn w:val="3002"/>
    <w:uiPriority w:val="99"/>
    <w:qFormat/>
    <w:rPr>
      <w:rFonts w:ascii="Times New Roman" w:eastAsia="宋体" w:hAnsi="Times New Roman" w:cs="Times New Roman" w:hint="default"/>
      <w:szCs w:val="21"/>
    </w:rPr>
  </w:style>
  <w:style w:type="character" w:customStyle="1" w:styleId="2951">
    <w:name w:val="2951"/>
    <w:basedOn w:val="3002"/>
    <w:uiPriority w:val="99"/>
    <w:qFormat/>
    <w:rPr>
      <w:rFonts w:ascii="Times New Roman" w:eastAsia="宋体" w:hAnsi="Times New Roman" w:cs="Times New Roman" w:hint="default"/>
      <w:szCs w:val="21"/>
    </w:rPr>
  </w:style>
  <w:style w:type="character" w:customStyle="1" w:styleId="2948">
    <w:name w:val="2948"/>
    <w:basedOn w:val="3002"/>
    <w:qFormat/>
    <w:rPr>
      <w:kern w:val="2"/>
      <w:sz w:val="21"/>
      <w:szCs w:val="24"/>
    </w:rPr>
  </w:style>
  <w:style w:type="character" w:customStyle="1" w:styleId="2946">
    <w:name w:val="2946"/>
    <w:basedOn w:val="3002"/>
    <w:uiPriority w:val="99"/>
    <w:semiHidden/>
    <w:qFormat/>
    <w:rPr>
      <w:rFonts w:ascii="宋体" w:eastAsia="宋体" w:hAnsi="宋体" w:hint="eastAsia"/>
      <w:kern w:val="2"/>
      <w:sz w:val="18"/>
      <w:szCs w:val="18"/>
    </w:rPr>
  </w:style>
  <w:style w:type="character" w:customStyle="1" w:styleId="2945">
    <w:name w:val="2945"/>
    <w:basedOn w:val="3002"/>
    <w:uiPriority w:val="99"/>
    <w:qFormat/>
    <w:rPr>
      <w:color w:val="auto"/>
    </w:rPr>
  </w:style>
  <w:style w:type="character" w:customStyle="1" w:styleId="2944">
    <w:name w:val="2944"/>
    <w:basedOn w:val="3002"/>
    <w:uiPriority w:val="10"/>
    <w:qFormat/>
    <w:rPr>
      <w:rFonts w:ascii="Cambria" w:hAnsi="Cambria" w:cs="Times New Roman" w:hint="default"/>
      <w:b/>
      <w:kern w:val="2"/>
      <w:sz w:val="32"/>
      <w:szCs w:val="32"/>
    </w:rPr>
  </w:style>
  <w:style w:type="character" w:customStyle="1" w:styleId="2942">
    <w:name w:val="2942"/>
    <w:basedOn w:val="3002"/>
    <w:uiPriority w:val="9"/>
    <w:qFormat/>
    <w:rPr>
      <w:rFonts w:ascii="Cambria" w:hAnsi="Cambria" w:cs="Times New Roman" w:hint="default"/>
      <w:b/>
      <w:sz w:val="21"/>
      <w:szCs w:val="24"/>
    </w:rPr>
  </w:style>
  <w:style w:type="character" w:customStyle="1" w:styleId="2941">
    <w:name w:val="2941"/>
    <w:basedOn w:val="3002"/>
    <w:uiPriority w:val="99"/>
    <w:semiHidden/>
    <w:qFormat/>
    <w:rPr>
      <w:rFonts w:ascii="宋体" w:eastAsia="宋体" w:hAnsi="宋体" w:cs="宋体" w:hint="eastAsia"/>
      <w:sz w:val="21"/>
      <w:szCs w:val="24"/>
    </w:rPr>
  </w:style>
  <w:style w:type="character" w:customStyle="1" w:styleId="2940">
    <w:name w:val="2940"/>
    <w:basedOn w:val="2965"/>
    <w:uiPriority w:val="99"/>
    <w:semiHidden/>
    <w:qFormat/>
    <w:rPr>
      <w:rFonts w:ascii="Times New Roman" w:eastAsia="宋体" w:hAnsi="Times New Roman" w:cs="Times New Roman" w:hint="default"/>
      <w:b/>
      <w:szCs w:val="21"/>
    </w:rPr>
  </w:style>
  <w:style w:type="character" w:customStyle="1" w:styleId="2936">
    <w:name w:val="2936"/>
    <w:basedOn w:val="3002"/>
    <w:qFormat/>
    <w:rPr>
      <w:rFonts w:ascii="Times New Roman" w:hAnsi="Times New Roman" w:cs="Times New Roman" w:hint="default"/>
      <w:b/>
      <w:kern w:val="2"/>
      <w:sz w:val="21"/>
      <w:szCs w:val="24"/>
    </w:rPr>
  </w:style>
  <w:style w:type="character" w:customStyle="1" w:styleId="2935">
    <w:name w:val="2935"/>
    <w:basedOn w:val="2965"/>
    <w:uiPriority w:val="99"/>
    <w:semiHidden/>
    <w:qFormat/>
    <w:rPr>
      <w:rFonts w:ascii="Times New Roman" w:eastAsia="宋体" w:hAnsi="Times New Roman" w:cs="Times New Roman" w:hint="default"/>
      <w:b/>
      <w:szCs w:val="21"/>
    </w:rPr>
  </w:style>
  <w:style w:type="character" w:customStyle="1" w:styleId="2934">
    <w:name w:val="2934"/>
    <w:basedOn w:val="3002"/>
    <w:uiPriority w:val="9"/>
    <w:qFormat/>
    <w:rPr>
      <w:rFonts w:ascii="宋体" w:eastAsia="宋体" w:hAnsi="宋体" w:cs="宋体" w:hint="eastAsia"/>
      <w:b/>
      <w:sz w:val="24"/>
      <w:szCs w:val="24"/>
    </w:rPr>
  </w:style>
  <w:style w:type="character" w:customStyle="1" w:styleId="2933">
    <w:name w:val="2933"/>
    <w:basedOn w:val="3002"/>
    <w:qFormat/>
  </w:style>
  <w:style w:type="character" w:customStyle="1" w:styleId="2932">
    <w:name w:val="2932"/>
    <w:uiPriority w:val="9"/>
    <w:qFormat/>
    <w:rPr>
      <w:rFonts w:ascii="Cambria" w:hAnsi="Cambria" w:hint="default"/>
      <w:b/>
      <w:kern w:val="2"/>
      <w:sz w:val="21"/>
      <w:szCs w:val="28"/>
    </w:rPr>
  </w:style>
  <w:style w:type="character" w:customStyle="1" w:styleId="2929">
    <w:name w:val="2929"/>
    <w:uiPriority w:val="9"/>
    <w:qFormat/>
    <w:rPr>
      <w:b/>
      <w:kern w:val="2"/>
      <w:sz w:val="21"/>
      <w:szCs w:val="32"/>
    </w:rPr>
  </w:style>
  <w:style w:type="character" w:customStyle="1" w:styleId="2925">
    <w:name w:val="2925"/>
    <w:uiPriority w:val="99"/>
    <w:qFormat/>
    <w:rPr>
      <w:rFonts w:ascii="Times New Roman" w:hAnsi="Times New Roman" w:cs="Times New Roman" w:hint="default"/>
      <w:kern w:val="2"/>
      <w:sz w:val="21"/>
      <w:szCs w:val="21"/>
    </w:rPr>
  </w:style>
  <w:style w:type="character" w:customStyle="1" w:styleId="2923">
    <w:name w:val="2923"/>
    <w:uiPriority w:val="9"/>
    <w:qFormat/>
    <w:rPr>
      <w:b/>
      <w:kern w:val="2"/>
      <w:sz w:val="21"/>
      <w:szCs w:val="28"/>
    </w:rPr>
  </w:style>
  <w:style w:type="character" w:customStyle="1" w:styleId="2921">
    <w:name w:val="2921"/>
    <w:uiPriority w:val="9"/>
    <w:qFormat/>
    <w:rPr>
      <w:b/>
      <w:kern w:val="2"/>
      <w:sz w:val="21"/>
      <w:szCs w:val="32"/>
    </w:rPr>
  </w:style>
  <w:style w:type="character" w:customStyle="1" w:styleId="2920">
    <w:name w:val="2920"/>
    <w:qFormat/>
    <w:rPr>
      <w:rFonts w:ascii="Arial" w:hAnsi="Arial" w:cs="Arial" w:hint="default"/>
      <w:b/>
      <w:kern w:val="2"/>
      <w:sz w:val="21"/>
      <w:szCs w:val="21"/>
    </w:rPr>
  </w:style>
  <w:style w:type="character" w:customStyle="1" w:styleId="2919">
    <w:name w:val="2919"/>
    <w:uiPriority w:val="9"/>
    <w:qFormat/>
    <w:rPr>
      <w:rFonts w:ascii="Cambria" w:hAnsi="Cambria" w:hint="default"/>
      <w:b/>
      <w:kern w:val="2"/>
      <w:sz w:val="21"/>
      <w:szCs w:val="28"/>
    </w:rPr>
  </w:style>
  <w:style w:type="character" w:customStyle="1" w:styleId="2918">
    <w:name w:val="2918"/>
    <w:uiPriority w:val="9"/>
    <w:qFormat/>
    <w:rPr>
      <w:b/>
      <w:kern w:val="2"/>
      <w:sz w:val="21"/>
      <w:szCs w:val="28"/>
    </w:rPr>
  </w:style>
  <w:style w:type="character" w:customStyle="1" w:styleId="2916">
    <w:name w:val="2916"/>
    <w:qFormat/>
    <w:rPr>
      <w:rFonts w:ascii="Times New Roman" w:hAnsi="Times New Roman" w:cs="Times New Roman" w:hint="default"/>
      <w:kern w:val="2"/>
      <w:sz w:val="21"/>
      <w:szCs w:val="21"/>
    </w:rPr>
  </w:style>
  <w:style w:type="character" w:customStyle="1" w:styleId="2914">
    <w:name w:val="2914"/>
    <w:basedOn w:val="3002"/>
    <w:qFormat/>
    <w:rPr>
      <w:rFonts w:ascii="Arial" w:eastAsia="黑体" w:hAnsi="Arial" w:cs="Times New Roman" w:hint="default"/>
      <w:color w:val="000000"/>
      <w:sz w:val="24"/>
      <w:szCs w:val="20"/>
    </w:rPr>
  </w:style>
  <w:style w:type="character" w:customStyle="1" w:styleId="2913">
    <w:name w:val="2913"/>
    <w:basedOn w:val="3002"/>
    <w:qFormat/>
    <w:rPr>
      <w:rFonts w:ascii="Arial" w:eastAsia="黑体" w:hAnsi="Arial" w:cs="Times New Roman" w:hint="default"/>
      <w:color w:val="000000"/>
      <w:sz w:val="24"/>
      <w:szCs w:val="20"/>
    </w:rPr>
  </w:style>
  <w:style w:type="character" w:customStyle="1" w:styleId="2912">
    <w:name w:val="2912"/>
    <w:basedOn w:val="3002"/>
    <w:uiPriority w:val="99"/>
    <w:qFormat/>
    <w:rPr>
      <w:rFonts w:ascii="Times New Roman" w:eastAsia="宋体" w:hAnsi="Times New Roman" w:cs="Times New Roman" w:hint="default"/>
      <w:szCs w:val="21"/>
    </w:rPr>
  </w:style>
  <w:style w:type="character" w:customStyle="1" w:styleId="2908">
    <w:name w:val="2908"/>
    <w:basedOn w:val="3002"/>
    <w:qFormat/>
    <w:rPr>
      <w:b/>
      <w:sz w:val="24"/>
      <w:szCs w:val="24"/>
    </w:rPr>
  </w:style>
  <w:style w:type="character" w:customStyle="1" w:styleId="2907">
    <w:name w:val="2907"/>
    <w:qFormat/>
    <w:rPr>
      <w:rFonts w:ascii="宋体" w:eastAsia="宋体" w:hAnsi="宋体" w:hint="eastAsia"/>
      <w:color w:val="000000"/>
      <w:sz w:val="24"/>
      <w:szCs w:val="24"/>
    </w:rPr>
  </w:style>
  <w:style w:type="character" w:customStyle="1" w:styleId="2906">
    <w:name w:val="2906"/>
    <w:uiPriority w:val="99"/>
    <w:qFormat/>
    <w:rPr>
      <w:rFonts w:ascii="Times New Roman" w:hAnsi="Times New Roman" w:cs="Times New Roman" w:hint="default"/>
      <w:kern w:val="2"/>
      <w:sz w:val="21"/>
      <w:szCs w:val="21"/>
    </w:rPr>
  </w:style>
  <w:style w:type="character" w:customStyle="1" w:styleId="2905">
    <w:name w:val="2905"/>
    <w:qFormat/>
    <w:rPr>
      <w:rFonts w:ascii="FZLTSK--GBK1-0" w:hAnsi="FZLTSK--GBK1-0" w:hint="default"/>
      <w:bCs/>
      <w:color w:val="000000"/>
      <w:sz w:val="20"/>
      <w:szCs w:val="20"/>
    </w:rPr>
  </w:style>
  <w:style w:type="character" w:customStyle="1" w:styleId="2892">
    <w:name w:val="2892"/>
    <w:basedOn w:val="3002"/>
    <w:qFormat/>
    <w:rPr>
      <w:rFonts w:ascii="Times New Roman" w:hAnsi="Times New Roman" w:cs="Times New Roman" w:hint="default"/>
      <w:kern w:val="2"/>
    </w:rPr>
  </w:style>
  <w:style w:type="character" w:customStyle="1" w:styleId="2891">
    <w:name w:val="2891"/>
    <w:basedOn w:val="2965"/>
    <w:uiPriority w:val="99"/>
    <w:semiHidden/>
    <w:qFormat/>
    <w:rPr>
      <w:rFonts w:ascii="Times New Roman" w:eastAsia="宋体" w:hAnsi="Times New Roman" w:cs="Times New Roman" w:hint="default"/>
      <w:b/>
      <w:color w:val="000000"/>
      <w:sz w:val="21"/>
      <w:szCs w:val="21"/>
    </w:rPr>
  </w:style>
  <w:style w:type="character" w:customStyle="1" w:styleId="2885">
    <w:name w:val="2885"/>
    <w:basedOn w:val="3002"/>
    <w:qFormat/>
    <w:rPr>
      <w:rFonts w:ascii="宋体" w:eastAsia="宋体" w:hAnsi="宋体" w:hint="eastAsia"/>
      <w:color w:val="000000"/>
      <w:sz w:val="22"/>
      <w:szCs w:val="22"/>
    </w:rPr>
  </w:style>
  <w:style w:type="character" w:customStyle="1" w:styleId="2884">
    <w:name w:val="2884"/>
    <w:basedOn w:val="3002"/>
    <w:uiPriority w:val="9"/>
    <w:qFormat/>
    <w:rPr>
      <w:rFonts w:ascii="Cambria" w:hAnsi="Cambria" w:hint="default"/>
      <w:b/>
      <w:kern w:val="2"/>
      <w:sz w:val="21"/>
      <w:szCs w:val="28"/>
    </w:rPr>
  </w:style>
  <w:style w:type="character" w:customStyle="1" w:styleId="2882">
    <w:name w:val="2882"/>
    <w:basedOn w:val="3002"/>
    <w:uiPriority w:val="9"/>
    <w:qFormat/>
    <w:rPr>
      <w:b/>
      <w:kern w:val="2"/>
      <w:sz w:val="21"/>
      <w:szCs w:val="32"/>
    </w:rPr>
  </w:style>
  <w:style w:type="character" w:customStyle="1" w:styleId="2881">
    <w:name w:val="2881"/>
    <w:basedOn w:val="3002"/>
    <w:uiPriority w:val="39"/>
    <w:qFormat/>
    <w:rPr>
      <w:rFonts w:ascii="Calibri" w:hAnsi="Calibri" w:cs="Times New Roman" w:hint="default"/>
      <w:sz w:val="22"/>
      <w:szCs w:val="22"/>
    </w:rPr>
  </w:style>
  <w:style w:type="character" w:customStyle="1" w:styleId="2872">
    <w:name w:val="2872"/>
    <w:basedOn w:val="3002"/>
    <w:semiHidden/>
    <w:qFormat/>
    <w:rPr>
      <w:rFonts w:ascii="Arial" w:hAnsi="Arial" w:cs="Times New Roman" w:hint="default"/>
      <w:b/>
      <w:kern w:val="2"/>
    </w:rPr>
  </w:style>
  <w:style w:type="character" w:customStyle="1" w:styleId="2871">
    <w:name w:val="2871"/>
    <w:basedOn w:val="3002"/>
    <w:uiPriority w:val="1"/>
    <w:qFormat/>
    <w:rPr>
      <w:kern w:val="2"/>
      <w:szCs w:val="22"/>
    </w:rPr>
  </w:style>
  <w:style w:type="character" w:customStyle="1" w:styleId="2870">
    <w:name w:val="2870"/>
    <w:basedOn w:val="3002"/>
    <w:uiPriority w:val="99"/>
    <w:qFormat/>
    <w:rPr>
      <w:sz w:val="24"/>
    </w:rPr>
  </w:style>
  <w:style w:type="character" w:customStyle="1" w:styleId="2868">
    <w:name w:val="2868"/>
    <w:basedOn w:val="3002"/>
    <w:qFormat/>
    <w:rPr>
      <w:rFonts w:ascii="宋体" w:eastAsia="宋体" w:hAnsi="宋体" w:hint="eastAsia"/>
      <w:kern w:val="2"/>
      <w:szCs w:val="24"/>
    </w:rPr>
  </w:style>
  <w:style w:type="character" w:customStyle="1" w:styleId="2860">
    <w:name w:val="2860"/>
    <w:basedOn w:val="3002"/>
    <w:uiPriority w:val="99"/>
    <w:qFormat/>
    <w:rPr>
      <w:rFonts w:ascii="黑体" w:eastAsia="黑体" w:hAnsi="黑体" w:hint="eastAsia"/>
      <w:b/>
      <w:kern w:val="44"/>
      <w:sz w:val="28"/>
      <w:szCs w:val="44"/>
    </w:rPr>
  </w:style>
  <w:style w:type="character" w:customStyle="1" w:styleId="2859">
    <w:name w:val="2859"/>
    <w:basedOn w:val="3002"/>
    <w:qFormat/>
    <w:rPr>
      <w:rFonts w:ascii="Arial" w:hAnsi="Arial" w:cs="Arial" w:hint="default"/>
      <w:b/>
      <w:kern w:val="2"/>
      <w:sz w:val="21"/>
      <w:szCs w:val="21"/>
    </w:rPr>
  </w:style>
  <w:style w:type="character" w:customStyle="1" w:styleId="2858">
    <w:name w:val="2858"/>
    <w:basedOn w:val="3002"/>
    <w:uiPriority w:val="9"/>
    <w:qFormat/>
    <w:rPr>
      <w:b/>
      <w:kern w:val="2"/>
      <w:sz w:val="21"/>
      <w:szCs w:val="32"/>
    </w:rPr>
  </w:style>
  <w:style w:type="character" w:customStyle="1" w:styleId="2857">
    <w:name w:val="2857"/>
    <w:basedOn w:val="3002"/>
    <w:uiPriority w:val="9"/>
    <w:qFormat/>
    <w:rPr>
      <w:rFonts w:ascii="Cambria" w:hAnsi="Cambria" w:hint="default"/>
      <w:b/>
      <w:kern w:val="2"/>
      <w:sz w:val="21"/>
      <w:szCs w:val="28"/>
    </w:rPr>
  </w:style>
  <w:style w:type="character" w:customStyle="1" w:styleId="2856">
    <w:name w:val="2856"/>
    <w:basedOn w:val="3002"/>
    <w:uiPriority w:val="9"/>
    <w:qFormat/>
    <w:rPr>
      <w:b/>
      <w:kern w:val="2"/>
      <w:sz w:val="21"/>
      <w:szCs w:val="28"/>
    </w:rPr>
  </w:style>
  <w:style w:type="character" w:customStyle="1" w:styleId="2853">
    <w:name w:val="2853"/>
    <w:basedOn w:val="3002"/>
    <w:qFormat/>
    <w:rPr>
      <w:rFonts w:ascii="Times New Roman" w:eastAsia="宋体" w:hAnsi="Times New Roman" w:cs="Times New Roman" w:hint="default"/>
      <w:szCs w:val="21"/>
    </w:rPr>
  </w:style>
  <w:style w:type="character" w:customStyle="1" w:styleId="2851">
    <w:name w:val="2851"/>
    <w:basedOn w:val="3002"/>
    <w:uiPriority w:val="99"/>
    <w:qFormat/>
    <w:rPr>
      <w:rFonts w:ascii="Calibri" w:eastAsia="宋体" w:hAnsi="Calibri" w:cs="Times New Roman" w:hint="default"/>
      <w:sz w:val="18"/>
      <w:szCs w:val="18"/>
    </w:rPr>
  </w:style>
  <w:style w:type="character" w:customStyle="1" w:styleId="2850">
    <w:name w:val="2850"/>
    <w:basedOn w:val="3002"/>
    <w:uiPriority w:val="99"/>
    <w:qFormat/>
    <w:rPr>
      <w:rFonts w:ascii="Times New Roman" w:eastAsia="宋体" w:hAnsi="Times New Roman" w:cs="Times New Roman" w:hint="default"/>
      <w:szCs w:val="21"/>
    </w:rPr>
  </w:style>
  <w:style w:type="character" w:customStyle="1" w:styleId="2848">
    <w:name w:val="2848"/>
    <w:basedOn w:val="2853"/>
    <w:uiPriority w:val="99"/>
    <w:qFormat/>
    <w:rPr>
      <w:rFonts w:ascii="Calibri" w:eastAsia="宋体" w:hAnsi="Calibri" w:cs="Times New Roman" w:hint="default"/>
      <w:b/>
      <w:szCs w:val="21"/>
    </w:rPr>
  </w:style>
  <w:style w:type="character" w:customStyle="1" w:styleId="2846">
    <w:name w:val="2846"/>
    <w:basedOn w:val="3002"/>
    <w:uiPriority w:val="99"/>
    <w:qFormat/>
    <w:rPr>
      <w:rFonts w:ascii="Calibri" w:eastAsia="宋体" w:hAnsi="Calibri" w:cs="Times New Roman" w:hint="default"/>
      <w:sz w:val="18"/>
      <w:szCs w:val="18"/>
    </w:rPr>
  </w:style>
  <w:style w:type="character" w:customStyle="1" w:styleId="2844">
    <w:name w:val="2844"/>
    <w:basedOn w:val="3002"/>
    <w:uiPriority w:val="99"/>
    <w:qFormat/>
    <w:rPr>
      <w:rFonts w:ascii="Calibri" w:eastAsia="宋体" w:hAnsi="Calibri" w:cs="Times New Roman" w:hint="default"/>
      <w:sz w:val="18"/>
      <w:szCs w:val="18"/>
    </w:rPr>
  </w:style>
  <w:style w:type="character" w:customStyle="1" w:styleId="2842">
    <w:name w:val="2842"/>
    <w:basedOn w:val="3002"/>
    <w:qFormat/>
    <w:rPr>
      <w:rFonts w:ascii="宋体" w:eastAsia="宋体" w:hAnsi="Courier New" w:cs="Times New Roman" w:hint="eastAsia"/>
      <w:szCs w:val="20"/>
    </w:rPr>
  </w:style>
  <w:style w:type="character" w:customStyle="1" w:styleId="2840">
    <w:name w:val="2840"/>
    <w:basedOn w:val="3002"/>
    <w:uiPriority w:val="99"/>
    <w:qFormat/>
    <w:rPr>
      <w:rFonts w:ascii="Times New Roman" w:eastAsia="宋体" w:hAnsi="Times New Roman" w:cs="Times New Roman" w:hint="default"/>
      <w:szCs w:val="21"/>
    </w:rPr>
  </w:style>
  <w:style w:type="character" w:customStyle="1" w:styleId="2838">
    <w:name w:val="2838"/>
    <w:basedOn w:val="3002"/>
    <w:uiPriority w:val="99"/>
    <w:qFormat/>
    <w:rPr>
      <w:rFonts w:ascii="Times New Roman" w:eastAsia="宋体" w:hAnsi="Times New Roman" w:cs="Times New Roman" w:hint="default"/>
      <w:szCs w:val="21"/>
    </w:rPr>
  </w:style>
  <w:style w:type="character" w:customStyle="1" w:styleId="2836">
    <w:name w:val="2836"/>
    <w:basedOn w:val="3002"/>
    <w:uiPriority w:val="99"/>
    <w:qFormat/>
    <w:rPr>
      <w:rFonts w:ascii="Times New Roman" w:eastAsia="宋体" w:hAnsi="Times New Roman" w:cs="Times New Roman" w:hint="default"/>
      <w:szCs w:val="21"/>
    </w:rPr>
  </w:style>
  <w:style w:type="character" w:customStyle="1" w:styleId="2832">
    <w:name w:val="2832"/>
    <w:basedOn w:val="3002"/>
    <w:qFormat/>
    <w:rPr>
      <w:kern w:val="2"/>
      <w:sz w:val="21"/>
      <w:szCs w:val="24"/>
    </w:rPr>
  </w:style>
  <w:style w:type="character" w:customStyle="1" w:styleId="2829">
    <w:name w:val="2829"/>
    <w:basedOn w:val="3002"/>
    <w:uiPriority w:val="99"/>
    <w:semiHidden/>
    <w:qFormat/>
    <w:rPr>
      <w:rFonts w:ascii="宋体" w:eastAsia="宋体" w:hAnsi="宋体" w:hint="eastAsia"/>
      <w:kern w:val="2"/>
      <w:sz w:val="18"/>
      <w:szCs w:val="18"/>
    </w:rPr>
  </w:style>
  <w:style w:type="character" w:customStyle="1" w:styleId="2828">
    <w:name w:val="2828"/>
    <w:basedOn w:val="3002"/>
    <w:uiPriority w:val="99"/>
    <w:qFormat/>
    <w:rPr>
      <w:color w:val="auto"/>
    </w:rPr>
  </w:style>
  <w:style w:type="character" w:customStyle="1" w:styleId="2826">
    <w:name w:val="2826"/>
    <w:basedOn w:val="3002"/>
    <w:uiPriority w:val="10"/>
    <w:qFormat/>
    <w:rPr>
      <w:rFonts w:ascii="Cambria" w:hAnsi="Cambria" w:cs="Times New Roman" w:hint="default"/>
      <w:b/>
      <w:kern w:val="2"/>
      <w:sz w:val="32"/>
      <w:szCs w:val="32"/>
    </w:rPr>
  </w:style>
  <w:style w:type="character" w:customStyle="1" w:styleId="2818">
    <w:name w:val="2818"/>
    <w:basedOn w:val="3002"/>
    <w:uiPriority w:val="9"/>
    <w:qFormat/>
    <w:rPr>
      <w:rFonts w:ascii="Cambria" w:hAnsi="Cambria" w:cs="Times New Roman" w:hint="default"/>
      <w:b/>
      <w:sz w:val="21"/>
      <w:szCs w:val="24"/>
    </w:rPr>
  </w:style>
  <w:style w:type="character" w:customStyle="1" w:styleId="2815">
    <w:name w:val="2815"/>
    <w:basedOn w:val="3002"/>
    <w:uiPriority w:val="99"/>
    <w:semiHidden/>
    <w:qFormat/>
    <w:rPr>
      <w:rFonts w:ascii="宋体" w:eastAsia="宋体" w:hAnsi="宋体" w:cs="宋体" w:hint="eastAsia"/>
      <w:sz w:val="21"/>
      <w:szCs w:val="24"/>
    </w:rPr>
  </w:style>
  <w:style w:type="character" w:customStyle="1" w:styleId="2814">
    <w:name w:val="2814"/>
    <w:basedOn w:val="3002"/>
    <w:uiPriority w:val="99"/>
    <w:semiHidden/>
    <w:qFormat/>
    <w:rPr>
      <w:vertAlign w:val="superscript"/>
    </w:rPr>
  </w:style>
  <w:style w:type="character" w:customStyle="1" w:styleId="2813">
    <w:name w:val="2813"/>
    <w:basedOn w:val="2853"/>
    <w:uiPriority w:val="99"/>
    <w:semiHidden/>
    <w:qFormat/>
    <w:rPr>
      <w:rFonts w:ascii="Times New Roman" w:eastAsia="宋体" w:hAnsi="Times New Roman" w:cs="Times New Roman" w:hint="default"/>
      <w:b/>
      <w:szCs w:val="21"/>
    </w:rPr>
  </w:style>
  <w:style w:type="character" w:customStyle="1" w:styleId="2812">
    <w:name w:val="2812"/>
    <w:basedOn w:val="2853"/>
    <w:uiPriority w:val="99"/>
    <w:semiHidden/>
    <w:qFormat/>
    <w:rPr>
      <w:rFonts w:ascii="Times New Roman" w:eastAsia="宋体" w:hAnsi="Times New Roman" w:cs="Times New Roman" w:hint="default"/>
      <w:b/>
      <w:szCs w:val="21"/>
    </w:rPr>
  </w:style>
  <w:style w:type="character" w:customStyle="1" w:styleId="2811">
    <w:name w:val="2811"/>
    <w:basedOn w:val="3002"/>
    <w:uiPriority w:val="9"/>
    <w:qFormat/>
    <w:rPr>
      <w:rFonts w:ascii="宋体" w:eastAsia="宋体" w:hAnsi="宋体" w:cs="宋体" w:hint="eastAsia"/>
      <w:b/>
      <w:sz w:val="24"/>
      <w:szCs w:val="24"/>
    </w:rPr>
  </w:style>
  <w:style w:type="character" w:customStyle="1" w:styleId="2804">
    <w:name w:val="2804"/>
    <w:uiPriority w:val="99"/>
    <w:qFormat/>
    <w:rPr>
      <w:rFonts w:ascii="Times New Roman" w:hAnsi="Times New Roman" w:cs="Times New Roman" w:hint="default"/>
      <w:kern w:val="2"/>
      <w:sz w:val="21"/>
      <w:szCs w:val="21"/>
    </w:rPr>
  </w:style>
  <w:style w:type="character" w:customStyle="1" w:styleId="2802">
    <w:name w:val="2802"/>
    <w:qFormat/>
    <w:rPr>
      <w:rFonts w:ascii="Times New Roman" w:hAnsi="Times New Roman" w:cs="Times New Roman" w:hint="default"/>
      <w:kern w:val="2"/>
      <w:sz w:val="21"/>
      <w:szCs w:val="21"/>
    </w:rPr>
  </w:style>
  <w:style w:type="character" w:customStyle="1" w:styleId="2800">
    <w:name w:val="2800"/>
    <w:qFormat/>
    <w:rPr>
      <w:rFonts w:ascii="Times New Roman" w:hAnsi="Times New Roman" w:cs="Times New Roman" w:hint="default"/>
      <w:kern w:val="2"/>
      <w:sz w:val="21"/>
      <w:szCs w:val="21"/>
    </w:rPr>
  </w:style>
  <w:style w:type="character" w:customStyle="1" w:styleId="2796">
    <w:name w:val="2796"/>
    <w:qFormat/>
  </w:style>
  <w:style w:type="character" w:customStyle="1" w:styleId="2779">
    <w:name w:val="2779"/>
    <w:basedOn w:val="a0"/>
    <w:rPr>
      <w:rFonts w:ascii="Arial" w:hAnsi="Arial" w:cs="Arial" w:hint="default"/>
      <w:b/>
      <w:kern w:val="2"/>
      <w:sz w:val="21"/>
      <w:szCs w:val="21"/>
    </w:rPr>
  </w:style>
  <w:style w:type="character" w:customStyle="1" w:styleId="2775">
    <w:name w:val="2775"/>
    <w:basedOn w:val="a0"/>
    <w:uiPriority w:val="99"/>
    <w:rPr>
      <w:rFonts w:ascii="Times New Roman" w:hAnsi="Times New Roman" w:cs="Times New Roman" w:hint="default"/>
      <w:color w:val="0000FF"/>
      <w:u w:val="single"/>
    </w:rPr>
  </w:style>
  <w:style w:type="character" w:customStyle="1" w:styleId="2774">
    <w:name w:val="2774"/>
    <w:basedOn w:val="a0"/>
    <w:uiPriority w:val="99"/>
    <w:rPr>
      <w:rFonts w:ascii="宋体" w:eastAsia="宋体" w:hAnsi="宋体" w:cs="Times New Roman" w:hint="eastAsia"/>
      <w:kern w:val="2"/>
      <w:sz w:val="21"/>
      <w:szCs w:val="21"/>
      <w:lang w:val="en-US" w:eastAsia="zh-CN" w:bidi="ar-SA"/>
    </w:rPr>
  </w:style>
  <w:style w:type="character" w:customStyle="1" w:styleId="2771">
    <w:name w:val="2771"/>
    <w:basedOn w:val="a0"/>
    <w:uiPriority w:val="99"/>
    <w:rPr>
      <w:rFonts w:ascii="Calibri" w:eastAsia="宋体" w:hAnsi="Calibri" w:cs="Times New Roman" w:hint="default"/>
      <w:sz w:val="18"/>
      <w:szCs w:val="18"/>
    </w:rPr>
  </w:style>
  <w:style w:type="character" w:customStyle="1" w:styleId="2769">
    <w:name w:val="2769"/>
    <w:basedOn w:val="a0"/>
    <w:uiPriority w:val="99"/>
    <w:rPr>
      <w:rFonts w:ascii="Times New Roman" w:eastAsia="宋体" w:hAnsi="Times New Roman" w:cs="Times New Roman" w:hint="default"/>
      <w:szCs w:val="21"/>
    </w:rPr>
  </w:style>
  <w:style w:type="character" w:customStyle="1" w:styleId="2767">
    <w:name w:val="2767"/>
    <w:basedOn w:val="aff"/>
    <w:uiPriority w:val="99"/>
    <w:rPr>
      <w:rFonts w:ascii="Calibri" w:eastAsia="宋体" w:hAnsi="Calibri" w:cs="Times New Roman" w:hint="default"/>
      <w:b/>
      <w:kern w:val="2"/>
      <w:szCs w:val="21"/>
    </w:rPr>
  </w:style>
  <w:style w:type="character" w:customStyle="1" w:styleId="2763">
    <w:name w:val="2763"/>
    <w:basedOn w:val="a0"/>
    <w:uiPriority w:val="99"/>
    <w:rPr>
      <w:rFonts w:ascii="Calibri" w:eastAsia="宋体" w:hAnsi="Calibri" w:cs="Times New Roman" w:hint="default"/>
      <w:sz w:val="18"/>
      <w:szCs w:val="18"/>
    </w:rPr>
  </w:style>
  <w:style w:type="character" w:customStyle="1" w:styleId="2761">
    <w:name w:val="2761"/>
    <w:basedOn w:val="a0"/>
    <w:uiPriority w:val="99"/>
    <w:rPr>
      <w:rFonts w:ascii="Calibri" w:eastAsia="宋体" w:hAnsi="Calibri" w:cs="Times New Roman" w:hint="default"/>
      <w:sz w:val="18"/>
      <w:szCs w:val="18"/>
    </w:rPr>
  </w:style>
  <w:style w:type="character" w:customStyle="1" w:styleId="2759">
    <w:name w:val="2759"/>
    <w:basedOn w:val="a0"/>
    <w:rPr>
      <w:rFonts w:ascii="宋体" w:eastAsia="宋体" w:hAnsi="Courier New" w:cs="Times New Roman" w:hint="eastAsia"/>
      <w:szCs w:val="20"/>
    </w:rPr>
  </w:style>
  <w:style w:type="character" w:customStyle="1" w:styleId="2757">
    <w:name w:val="2757"/>
    <w:basedOn w:val="a0"/>
    <w:uiPriority w:val="99"/>
    <w:rPr>
      <w:rFonts w:ascii="Times New Roman" w:eastAsia="宋体" w:hAnsi="Times New Roman" w:cs="Times New Roman" w:hint="default"/>
      <w:szCs w:val="21"/>
    </w:rPr>
  </w:style>
  <w:style w:type="character" w:customStyle="1" w:styleId="2755">
    <w:name w:val="2755"/>
    <w:basedOn w:val="a0"/>
    <w:uiPriority w:val="99"/>
    <w:rPr>
      <w:rFonts w:ascii="Times New Roman" w:eastAsia="宋体" w:hAnsi="Times New Roman" w:cs="Times New Roman" w:hint="default"/>
      <w:szCs w:val="21"/>
    </w:rPr>
  </w:style>
  <w:style w:type="character" w:customStyle="1" w:styleId="2753">
    <w:name w:val="2753"/>
    <w:basedOn w:val="a0"/>
    <w:uiPriority w:val="99"/>
    <w:rPr>
      <w:rFonts w:ascii="Times New Roman" w:eastAsia="宋体" w:hAnsi="Times New Roman" w:cs="Times New Roman" w:hint="default"/>
      <w:szCs w:val="21"/>
    </w:rPr>
  </w:style>
  <w:style w:type="character" w:customStyle="1" w:styleId="2749">
    <w:name w:val="2749"/>
    <w:basedOn w:val="a0"/>
    <w:qFormat/>
    <w:rPr>
      <w:kern w:val="2"/>
      <w:sz w:val="21"/>
      <w:szCs w:val="24"/>
    </w:rPr>
  </w:style>
  <w:style w:type="character" w:customStyle="1" w:styleId="2746">
    <w:name w:val="2746"/>
    <w:basedOn w:val="a0"/>
    <w:uiPriority w:val="99"/>
    <w:semiHidden/>
    <w:rPr>
      <w:rFonts w:ascii="宋体" w:eastAsia="宋体" w:hAnsi="宋体" w:hint="eastAsia"/>
      <w:kern w:val="2"/>
      <w:sz w:val="18"/>
      <w:szCs w:val="18"/>
    </w:rPr>
  </w:style>
  <w:style w:type="character" w:customStyle="1" w:styleId="2745">
    <w:name w:val="2745"/>
    <w:basedOn w:val="a0"/>
    <w:uiPriority w:val="99"/>
    <w:rPr>
      <w:color w:val="auto"/>
    </w:rPr>
  </w:style>
  <w:style w:type="character" w:customStyle="1" w:styleId="2742">
    <w:name w:val="2742"/>
    <w:basedOn w:val="a0"/>
    <w:uiPriority w:val="10"/>
    <w:rPr>
      <w:rFonts w:ascii="Cambria" w:hAnsi="Cambria" w:cs="Times New Roman" w:hint="default"/>
      <w:b/>
      <w:kern w:val="2"/>
      <w:sz w:val="32"/>
      <w:szCs w:val="32"/>
    </w:rPr>
  </w:style>
  <w:style w:type="character" w:customStyle="1" w:styleId="2734">
    <w:name w:val="2734"/>
    <w:basedOn w:val="a0"/>
    <w:uiPriority w:val="9"/>
    <w:rPr>
      <w:rFonts w:ascii="Cambria" w:hAnsi="Cambria" w:cs="Times New Roman" w:hint="default"/>
      <w:b/>
      <w:sz w:val="21"/>
      <w:szCs w:val="24"/>
    </w:rPr>
  </w:style>
  <w:style w:type="character" w:customStyle="1" w:styleId="2731">
    <w:name w:val="2731"/>
    <w:basedOn w:val="a0"/>
    <w:uiPriority w:val="99"/>
    <w:semiHidden/>
    <w:rPr>
      <w:rFonts w:ascii="宋体" w:eastAsia="宋体" w:hAnsi="宋体" w:cs="宋体" w:hint="eastAsia"/>
      <w:sz w:val="21"/>
      <w:szCs w:val="24"/>
    </w:rPr>
  </w:style>
  <w:style w:type="character" w:customStyle="1" w:styleId="2730">
    <w:name w:val="2730"/>
    <w:basedOn w:val="a0"/>
    <w:uiPriority w:val="99"/>
    <w:semiHidden/>
    <w:rPr>
      <w:vertAlign w:val="superscript"/>
    </w:rPr>
  </w:style>
  <w:style w:type="character" w:customStyle="1" w:styleId="2729">
    <w:name w:val="2729"/>
    <w:basedOn w:val="aff"/>
    <w:uiPriority w:val="99"/>
    <w:semiHidden/>
    <w:rPr>
      <w:rFonts w:ascii="Times New Roman" w:eastAsia="宋体" w:hAnsi="Times New Roman" w:cs="Times New Roman" w:hint="default"/>
      <w:b/>
      <w:kern w:val="2"/>
      <w:szCs w:val="21"/>
    </w:rPr>
  </w:style>
  <w:style w:type="character" w:customStyle="1" w:styleId="2727">
    <w:name w:val="2727"/>
    <w:basedOn w:val="a0"/>
    <w:rPr>
      <w:rFonts w:ascii="Times New Roman" w:hAnsi="Times New Roman" w:cs="Times New Roman" w:hint="default"/>
      <w:b/>
      <w:kern w:val="2"/>
      <w:sz w:val="21"/>
      <w:szCs w:val="24"/>
    </w:rPr>
  </w:style>
  <w:style w:type="character" w:customStyle="1" w:styleId="2726">
    <w:name w:val="2726"/>
    <w:basedOn w:val="aff"/>
    <w:uiPriority w:val="99"/>
    <w:semiHidden/>
    <w:rPr>
      <w:rFonts w:ascii="Times New Roman" w:eastAsia="宋体" w:hAnsi="Times New Roman" w:cs="Times New Roman" w:hint="default"/>
      <w:b/>
      <w:kern w:val="2"/>
      <w:szCs w:val="21"/>
    </w:rPr>
  </w:style>
  <w:style w:type="character" w:customStyle="1" w:styleId="2725">
    <w:name w:val="2725"/>
    <w:basedOn w:val="a0"/>
    <w:uiPriority w:val="9"/>
    <w:rPr>
      <w:rFonts w:ascii="宋体" w:eastAsia="宋体" w:hAnsi="宋体" w:cs="宋体" w:hint="eastAsia"/>
      <w:b/>
      <w:sz w:val="24"/>
      <w:szCs w:val="24"/>
    </w:rPr>
  </w:style>
  <w:style w:type="character" w:customStyle="1" w:styleId="2721">
    <w:name w:val="2721"/>
    <w:uiPriority w:val="9"/>
    <w:rPr>
      <w:rFonts w:ascii="Cambria" w:hAnsi="Cambria" w:hint="default"/>
      <w:b/>
      <w:kern w:val="2"/>
      <w:sz w:val="21"/>
      <w:szCs w:val="28"/>
    </w:rPr>
  </w:style>
  <w:style w:type="character" w:customStyle="1" w:styleId="2718">
    <w:name w:val="2718"/>
    <w:uiPriority w:val="9"/>
    <w:rPr>
      <w:b/>
      <w:kern w:val="2"/>
      <w:sz w:val="21"/>
      <w:szCs w:val="32"/>
    </w:rPr>
  </w:style>
  <w:style w:type="character" w:customStyle="1" w:styleId="2715">
    <w:name w:val="2715"/>
    <w:uiPriority w:val="99"/>
    <w:qFormat/>
    <w:rPr>
      <w:rFonts w:ascii="Times New Roman" w:hAnsi="Times New Roman" w:cs="Times New Roman" w:hint="default"/>
      <w:kern w:val="2"/>
      <w:sz w:val="21"/>
      <w:szCs w:val="21"/>
    </w:rPr>
  </w:style>
  <w:style w:type="character" w:customStyle="1" w:styleId="2714">
    <w:name w:val="2714"/>
    <w:uiPriority w:val="9"/>
    <w:rPr>
      <w:b/>
      <w:kern w:val="2"/>
      <w:sz w:val="21"/>
      <w:szCs w:val="28"/>
    </w:rPr>
  </w:style>
  <w:style w:type="character" w:customStyle="1" w:styleId="2712">
    <w:name w:val="2712"/>
    <w:uiPriority w:val="9"/>
    <w:rPr>
      <w:b/>
      <w:kern w:val="2"/>
      <w:sz w:val="21"/>
      <w:szCs w:val="32"/>
    </w:rPr>
  </w:style>
  <w:style w:type="character" w:customStyle="1" w:styleId="2711">
    <w:name w:val="2711"/>
    <w:rPr>
      <w:rFonts w:ascii="Arial" w:hAnsi="Arial" w:cs="Arial" w:hint="default"/>
      <w:b/>
      <w:kern w:val="2"/>
      <w:sz w:val="21"/>
      <w:szCs w:val="21"/>
    </w:rPr>
  </w:style>
  <w:style w:type="character" w:customStyle="1" w:styleId="2710">
    <w:name w:val="2710"/>
    <w:uiPriority w:val="9"/>
    <w:rPr>
      <w:rFonts w:ascii="Cambria" w:hAnsi="Cambria" w:hint="default"/>
      <w:b/>
      <w:kern w:val="2"/>
      <w:sz w:val="21"/>
      <w:szCs w:val="28"/>
    </w:rPr>
  </w:style>
  <w:style w:type="character" w:customStyle="1" w:styleId="2709">
    <w:name w:val="2709"/>
    <w:uiPriority w:val="9"/>
    <w:rPr>
      <w:b/>
      <w:kern w:val="2"/>
      <w:sz w:val="21"/>
      <w:szCs w:val="28"/>
    </w:rPr>
  </w:style>
  <w:style w:type="character" w:customStyle="1" w:styleId="2707">
    <w:name w:val="2707"/>
    <w:rPr>
      <w:rFonts w:ascii="Times New Roman" w:hAnsi="Times New Roman" w:cs="Times New Roman" w:hint="default"/>
      <w:kern w:val="2"/>
      <w:sz w:val="21"/>
      <w:szCs w:val="21"/>
    </w:rPr>
  </w:style>
  <w:style w:type="character" w:customStyle="1" w:styleId="2706">
    <w:name w:val="2706"/>
    <w:basedOn w:val="a0"/>
    <w:rPr>
      <w:rFonts w:ascii="Arial" w:eastAsia="黑体" w:hAnsi="Arial" w:cs="Times New Roman" w:hint="default"/>
      <w:color w:val="000000"/>
      <w:sz w:val="24"/>
      <w:szCs w:val="20"/>
    </w:rPr>
  </w:style>
  <w:style w:type="character" w:customStyle="1" w:styleId="2705">
    <w:name w:val="2705"/>
    <w:basedOn w:val="a0"/>
    <w:rPr>
      <w:rFonts w:ascii="Arial" w:eastAsia="黑体" w:hAnsi="Arial" w:cs="Times New Roman" w:hint="default"/>
      <w:color w:val="000000"/>
      <w:sz w:val="24"/>
      <w:szCs w:val="20"/>
    </w:rPr>
  </w:style>
  <w:style w:type="character" w:customStyle="1" w:styleId="2701">
    <w:name w:val="2701"/>
    <w:basedOn w:val="a0"/>
    <w:rPr>
      <w:b/>
      <w:sz w:val="24"/>
      <w:szCs w:val="24"/>
    </w:rPr>
  </w:style>
  <w:style w:type="character" w:customStyle="1" w:styleId="2700">
    <w:name w:val="2700"/>
    <w:basedOn w:val="a0"/>
    <w:uiPriority w:val="22"/>
    <w:qFormat/>
    <w:rPr>
      <w:b/>
    </w:rPr>
  </w:style>
  <w:style w:type="character" w:customStyle="1" w:styleId="2699">
    <w:name w:val="2699"/>
    <w:rPr>
      <w:rFonts w:ascii="宋体" w:eastAsia="宋体" w:hAnsi="宋体" w:hint="eastAsia"/>
      <w:color w:val="000000"/>
      <w:sz w:val="24"/>
      <w:szCs w:val="24"/>
    </w:rPr>
  </w:style>
  <w:style w:type="character" w:customStyle="1" w:styleId="2697">
    <w:name w:val="2697"/>
    <w:uiPriority w:val="99"/>
    <w:rPr>
      <w:rFonts w:ascii="Times New Roman" w:hAnsi="Times New Roman" w:cs="Times New Roman" w:hint="default"/>
      <w:kern w:val="2"/>
      <w:sz w:val="21"/>
      <w:szCs w:val="21"/>
    </w:rPr>
  </w:style>
  <w:style w:type="character" w:customStyle="1" w:styleId="2696">
    <w:name w:val="2696"/>
    <w:rPr>
      <w:rFonts w:ascii="FZLTSK--GBK1-0" w:hAnsi="FZLTSK--GBK1-0" w:hint="default"/>
      <w:bCs/>
      <w:color w:val="000000"/>
      <w:sz w:val="20"/>
      <w:szCs w:val="20"/>
    </w:rPr>
  </w:style>
  <w:style w:type="character" w:customStyle="1" w:styleId="2683">
    <w:name w:val="2683"/>
    <w:basedOn w:val="a0"/>
    <w:rPr>
      <w:rFonts w:ascii="Times New Roman" w:hAnsi="Times New Roman" w:cs="Times New Roman" w:hint="default"/>
      <w:kern w:val="2"/>
    </w:rPr>
  </w:style>
  <w:style w:type="character" w:customStyle="1" w:styleId="2681">
    <w:name w:val="2681"/>
    <w:basedOn w:val="aff"/>
    <w:uiPriority w:val="99"/>
    <w:semiHidden/>
    <w:rPr>
      <w:rFonts w:ascii="Times New Roman" w:eastAsia="宋体" w:hAnsi="Times New Roman" w:cs="Times New Roman" w:hint="default"/>
      <w:b/>
      <w:color w:val="000000"/>
      <w:kern w:val="2"/>
      <w:sz w:val="21"/>
      <w:szCs w:val="21"/>
    </w:rPr>
  </w:style>
  <w:style w:type="character" w:customStyle="1" w:styleId="2675">
    <w:name w:val="2675"/>
    <w:basedOn w:val="a0"/>
    <w:uiPriority w:val="9"/>
    <w:rPr>
      <w:rFonts w:ascii="Cambria" w:hAnsi="Cambria" w:hint="default"/>
      <w:b/>
      <w:kern w:val="2"/>
      <w:sz w:val="21"/>
      <w:szCs w:val="28"/>
    </w:rPr>
  </w:style>
  <w:style w:type="character" w:customStyle="1" w:styleId="2673">
    <w:name w:val="2673"/>
    <w:basedOn w:val="a0"/>
    <w:uiPriority w:val="9"/>
    <w:rPr>
      <w:b/>
      <w:kern w:val="2"/>
      <w:sz w:val="21"/>
      <w:szCs w:val="32"/>
    </w:rPr>
  </w:style>
  <w:style w:type="character" w:customStyle="1" w:styleId="2664">
    <w:name w:val="2664"/>
    <w:basedOn w:val="a0"/>
    <w:semiHidden/>
    <w:rPr>
      <w:rFonts w:ascii="Arial" w:hAnsi="Arial" w:cs="Times New Roman" w:hint="default"/>
      <w:b/>
      <w:kern w:val="2"/>
    </w:rPr>
  </w:style>
  <w:style w:type="character" w:customStyle="1" w:styleId="2663">
    <w:name w:val="2663"/>
    <w:basedOn w:val="a0"/>
    <w:uiPriority w:val="1"/>
    <w:qFormat/>
    <w:rPr>
      <w:kern w:val="2"/>
      <w:szCs w:val="22"/>
    </w:rPr>
  </w:style>
  <w:style w:type="character" w:customStyle="1" w:styleId="2662">
    <w:name w:val="2662"/>
    <w:basedOn w:val="a0"/>
    <w:uiPriority w:val="99"/>
    <w:rPr>
      <w:sz w:val="24"/>
    </w:rPr>
  </w:style>
  <w:style w:type="character" w:customStyle="1" w:styleId="2660">
    <w:name w:val="2660"/>
    <w:basedOn w:val="a0"/>
    <w:rPr>
      <w:rFonts w:ascii="宋体" w:eastAsia="宋体" w:hAnsi="宋体" w:hint="eastAsia"/>
      <w:kern w:val="2"/>
      <w:szCs w:val="24"/>
    </w:rPr>
  </w:style>
  <w:style w:type="character" w:customStyle="1" w:styleId="2653">
    <w:name w:val="2653"/>
    <w:basedOn w:val="a0"/>
    <w:uiPriority w:val="99"/>
    <w:rPr>
      <w:rFonts w:ascii="黑体" w:eastAsia="黑体" w:hAnsi="黑体" w:hint="eastAsia"/>
      <w:b/>
      <w:kern w:val="44"/>
      <w:sz w:val="28"/>
      <w:szCs w:val="44"/>
    </w:rPr>
  </w:style>
  <w:style w:type="character" w:customStyle="1" w:styleId="2652">
    <w:name w:val="2652"/>
    <w:basedOn w:val="a0"/>
    <w:rPr>
      <w:rFonts w:ascii="Arial" w:hAnsi="Arial" w:cs="Arial" w:hint="default"/>
      <w:b/>
      <w:kern w:val="2"/>
      <w:sz w:val="21"/>
      <w:szCs w:val="21"/>
    </w:rPr>
  </w:style>
  <w:style w:type="character" w:customStyle="1" w:styleId="2651">
    <w:name w:val="2651"/>
    <w:basedOn w:val="a0"/>
    <w:uiPriority w:val="9"/>
    <w:rPr>
      <w:b/>
      <w:kern w:val="2"/>
      <w:sz w:val="21"/>
      <w:szCs w:val="32"/>
    </w:rPr>
  </w:style>
  <w:style w:type="character" w:customStyle="1" w:styleId="2650">
    <w:name w:val="2650"/>
    <w:basedOn w:val="a0"/>
    <w:uiPriority w:val="9"/>
    <w:rPr>
      <w:rFonts w:ascii="Cambria" w:hAnsi="Cambria" w:hint="default"/>
      <w:b/>
      <w:kern w:val="2"/>
      <w:sz w:val="21"/>
      <w:szCs w:val="28"/>
    </w:rPr>
  </w:style>
  <w:style w:type="character" w:customStyle="1" w:styleId="2649">
    <w:name w:val="2649"/>
    <w:basedOn w:val="a0"/>
    <w:uiPriority w:val="9"/>
    <w:rPr>
      <w:b/>
      <w:kern w:val="2"/>
      <w:sz w:val="21"/>
      <w:szCs w:val="28"/>
    </w:rPr>
  </w:style>
  <w:style w:type="character" w:customStyle="1" w:styleId="2645">
    <w:name w:val="2645"/>
    <w:basedOn w:val="a0"/>
    <w:rPr>
      <w:rFonts w:ascii="Times New Roman" w:eastAsia="宋体" w:hAnsi="Times New Roman" w:cs="Times New Roman" w:hint="default"/>
      <w:szCs w:val="21"/>
    </w:rPr>
  </w:style>
  <w:style w:type="character" w:customStyle="1" w:styleId="2643">
    <w:name w:val="2643"/>
    <w:basedOn w:val="a0"/>
    <w:uiPriority w:val="99"/>
    <w:qFormat/>
    <w:rPr>
      <w:rFonts w:ascii="Calibri" w:eastAsia="宋体" w:hAnsi="Calibri" w:cs="Times New Roman" w:hint="default"/>
      <w:sz w:val="18"/>
      <w:szCs w:val="18"/>
    </w:rPr>
  </w:style>
  <w:style w:type="character" w:customStyle="1" w:styleId="2641">
    <w:name w:val="2641"/>
    <w:basedOn w:val="a0"/>
    <w:uiPriority w:val="99"/>
    <w:qFormat/>
    <w:rPr>
      <w:rFonts w:ascii="Times New Roman" w:eastAsia="宋体" w:hAnsi="Times New Roman" w:cs="Times New Roman" w:hint="default"/>
      <w:szCs w:val="21"/>
    </w:rPr>
  </w:style>
  <w:style w:type="character" w:customStyle="1" w:styleId="2639">
    <w:name w:val="2639"/>
    <w:basedOn w:val="2645"/>
    <w:uiPriority w:val="99"/>
    <w:rPr>
      <w:rFonts w:ascii="Calibri" w:eastAsia="宋体" w:hAnsi="Calibri" w:cs="Times New Roman" w:hint="default"/>
      <w:b/>
      <w:szCs w:val="21"/>
    </w:rPr>
  </w:style>
  <w:style w:type="character" w:customStyle="1" w:styleId="2635">
    <w:name w:val="2635"/>
    <w:basedOn w:val="a0"/>
    <w:uiPriority w:val="99"/>
    <w:rPr>
      <w:rFonts w:ascii="Calibri" w:eastAsia="宋体" w:hAnsi="Calibri" w:cs="Times New Roman" w:hint="default"/>
      <w:sz w:val="18"/>
      <w:szCs w:val="18"/>
    </w:rPr>
  </w:style>
  <w:style w:type="character" w:customStyle="1" w:styleId="2633">
    <w:name w:val="2633"/>
    <w:basedOn w:val="a0"/>
    <w:uiPriority w:val="99"/>
    <w:rPr>
      <w:rFonts w:ascii="Calibri" w:eastAsia="宋体" w:hAnsi="Calibri" w:cs="Times New Roman" w:hint="default"/>
      <w:sz w:val="18"/>
      <w:szCs w:val="18"/>
    </w:rPr>
  </w:style>
  <w:style w:type="character" w:customStyle="1" w:styleId="2631">
    <w:name w:val="2631"/>
    <w:basedOn w:val="a0"/>
    <w:rPr>
      <w:rFonts w:ascii="宋体" w:eastAsia="宋体" w:hAnsi="Courier New" w:cs="Times New Roman" w:hint="eastAsia"/>
      <w:szCs w:val="20"/>
    </w:rPr>
  </w:style>
  <w:style w:type="character" w:customStyle="1" w:styleId="2629">
    <w:name w:val="2629"/>
    <w:basedOn w:val="a0"/>
    <w:uiPriority w:val="99"/>
    <w:rPr>
      <w:rFonts w:ascii="Times New Roman" w:eastAsia="宋体" w:hAnsi="Times New Roman" w:cs="Times New Roman" w:hint="default"/>
      <w:szCs w:val="21"/>
    </w:rPr>
  </w:style>
  <w:style w:type="character" w:customStyle="1" w:styleId="2627">
    <w:name w:val="2627"/>
    <w:basedOn w:val="a0"/>
    <w:uiPriority w:val="99"/>
    <w:rPr>
      <w:rFonts w:ascii="Times New Roman" w:eastAsia="宋体" w:hAnsi="Times New Roman" w:cs="Times New Roman" w:hint="default"/>
      <w:szCs w:val="21"/>
    </w:rPr>
  </w:style>
  <w:style w:type="character" w:customStyle="1" w:styleId="2625">
    <w:name w:val="2625"/>
    <w:basedOn w:val="a0"/>
    <w:uiPriority w:val="99"/>
    <w:rPr>
      <w:rFonts w:ascii="Times New Roman" w:eastAsia="宋体" w:hAnsi="Times New Roman" w:cs="Times New Roman" w:hint="default"/>
      <w:szCs w:val="21"/>
    </w:rPr>
  </w:style>
  <w:style w:type="character" w:customStyle="1" w:styleId="2621">
    <w:name w:val="2621"/>
    <w:basedOn w:val="a0"/>
    <w:qFormat/>
    <w:rPr>
      <w:kern w:val="2"/>
      <w:sz w:val="21"/>
      <w:szCs w:val="24"/>
    </w:rPr>
  </w:style>
  <w:style w:type="character" w:customStyle="1" w:styleId="2618">
    <w:name w:val="2618"/>
    <w:basedOn w:val="a0"/>
    <w:uiPriority w:val="99"/>
    <w:semiHidden/>
    <w:rPr>
      <w:rFonts w:ascii="宋体" w:eastAsia="宋体" w:hAnsi="宋体" w:hint="eastAsia"/>
      <w:kern w:val="2"/>
      <w:sz w:val="18"/>
      <w:szCs w:val="18"/>
    </w:rPr>
  </w:style>
  <w:style w:type="character" w:customStyle="1" w:styleId="2617">
    <w:name w:val="2617"/>
    <w:basedOn w:val="a0"/>
    <w:uiPriority w:val="99"/>
    <w:rPr>
      <w:color w:val="auto"/>
    </w:rPr>
  </w:style>
  <w:style w:type="character" w:customStyle="1" w:styleId="2615">
    <w:name w:val="2615"/>
    <w:basedOn w:val="a0"/>
    <w:uiPriority w:val="10"/>
    <w:rPr>
      <w:rFonts w:ascii="Cambria" w:hAnsi="Cambria" w:cs="Times New Roman" w:hint="default"/>
      <w:b/>
      <w:kern w:val="2"/>
      <w:sz w:val="32"/>
      <w:szCs w:val="32"/>
    </w:rPr>
  </w:style>
  <w:style w:type="character" w:customStyle="1" w:styleId="2607">
    <w:name w:val="2607"/>
    <w:basedOn w:val="a0"/>
    <w:uiPriority w:val="9"/>
    <w:rPr>
      <w:rFonts w:ascii="Cambria" w:hAnsi="Cambria" w:cs="Times New Roman" w:hint="default"/>
      <w:b/>
      <w:sz w:val="21"/>
      <w:szCs w:val="24"/>
    </w:rPr>
  </w:style>
  <w:style w:type="character" w:customStyle="1" w:styleId="2604">
    <w:name w:val="2604"/>
    <w:basedOn w:val="a0"/>
    <w:uiPriority w:val="99"/>
    <w:semiHidden/>
    <w:rPr>
      <w:rFonts w:ascii="宋体" w:eastAsia="宋体" w:hAnsi="宋体" w:cs="宋体" w:hint="eastAsia"/>
      <w:sz w:val="21"/>
      <w:szCs w:val="24"/>
    </w:rPr>
  </w:style>
  <w:style w:type="character" w:customStyle="1" w:styleId="2603">
    <w:name w:val="2603"/>
    <w:basedOn w:val="a0"/>
    <w:uiPriority w:val="99"/>
    <w:semiHidden/>
    <w:rPr>
      <w:vertAlign w:val="superscript"/>
    </w:rPr>
  </w:style>
  <w:style w:type="character" w:customStyle="1" w:styleId="2602">
    <w:name w:val="2602"/>
    <w:basedOn w:val="2645"/>
    <w:uiPriority w:val="99"/>
    <w:semiHidden/>
    <w:rPr>
      <w:rFonts w:ascii="Times New Roman" w:eastAsia="宋体" w:hAnsi="Times New Roman" w:cs="Times New Roman" w:hint="default"/>
      <w:b/>
      <w:szCs w:val="21"/>
    </w:rPr>
  </w:style>
  <w:style w:type="character" w:customStyle="1" w:styleId="2601">
    <w:name w:val="2601"/>
    <w:basedOn w:val="2645"/>
    <w:uiPriority w:val="99"/>
    <w:semiHidden/>
    <w:rPr>
      <w:rFonts w:ascii="Times New Roman" w:eastAsia="宋体" w:hAnsi="Times New Roman" w:cs="Times New Roman" w:hint="default"/>
      <w:b/>
      <w:szCs w:val="21"/>
    </w:rPr>
  </w:style>
  <w:style w:type="character" w:customStyle="1" w:styleId="2600">
    <w:name w:val="2600"/>
    <w:basedOn w:val="a0"/>
    <w:uiPriority w:val="9"/>
    <w:rPr>
      <w:rFonts w:ascii="宋体" w:eastAsia="宋体" w:hAnsi="宋体" w:cs="宋体" w:hint="eastAsia"/>
      <w:b/>
      <w:sz w:val="24"/>
      <w:szCs w:val="24"/>
    </w:rPr>
  </w:style>
  <w:style w:type="character" w:customStyle="1" w:styleId="2593">
    <w:name w:val="2593"/>
    <w:uiPriority w:val="99"/>
    <w:qFormat/>
    <w:rPr>
      <w:rFonts w:ascii="Times New Roman" w:hAnsi="Times New Roman" w:cs="Times New Roman" w:hint="default"/>
      <w:kern w:val="2"/>
      <w:sz w:val="21"/>
      <w:szCs w:val="21"/>
    </w:rPr>
  </w:style>
  <w:style w:type="character" w:customStyle="1" w:styleId="2591">
    <w:name w:val="2591"/>
    <w:rPr>
      <w:rFonts w:ascii="Times New Roman" w:hAnsi="Times New Roman" w:cs="Times New Roman" w:hint="default"/>
      <w:kern w:val="2"/>
      <w:sz w:val="21"/>
      <w:szCs w:val="21"/>
    </w:rPr>
  </w:style>
  <w:style w:type="character" w:customStyle="1" w:styleId="2589">
    <w:name w:val="2589"/>
    <w:rPr>
      <w:rFonts w:ascii="Times New Roman" w:hAnsi="Times New Roman" w:cs="Times New Roman" w:hint="default"/>
      <w:kern w:val="2"/>
      <w:sz w:val="21"/>
      <w:szCs w:val="21"/>
    </w:rPr>
  </w:style>
  <w:style w:type="character" w:customStyle="1" w:styleId="2585">
    <w:name w:val="2585"/>
    <w:basedOn w:val="a0"/>
    <w:uiPriority w:val="99"/>
    <w:rPr>
      <w:rFonts w:ascii="Calibri" w:eastAsia="宋体" w:hAnsi="Calibri" w:cs="Times New Roman" w:hint="default"/>
      <w:sz w:val="18"/>
      <w:szCs w:val="18"/>
    </w:rPr>
  </w:style>
  <w:style w:type="character" w:customStyle="1" w:styleId="2583">
    <w:name w:val="2583"/>
    <w:basedOn w:val="a0"/>
    <w:uiPriority w:val="99"/>
    <w:rPr>
      <w:rFonts w:ascii="Times New Roman" w:eastAsia="宋体" w:hAnsi="Times New Roman" w:cs="Times New Roman" w:hint="default"/>
      <w:szCs w:val="21"/>
    </w:rPr>
  </w:style>
  <w:style w:type="character" w:customStyle="1" w:styleId="2581">
    <w:name w:val="2581"/>
    <w:basedOn w:val="aff"/>
    <w:uiPriority w:val="99"/>
    <w:rPr>
      <w:rFonts w:ascii="Calibri" w:eastAsia="宋体" w:hAnsi="Calibri" w:cs="Times New Roman" w:hint="default"/>
      <w:b/>
      <w:kern w:val="2"/>
      <w:szCs w:val="21"/>
    </w:rPr>
  </w:style>
  <w:style w:type="character" w:customStyle="1" w:styleId="2578">
    <w:name w:val="2578"/>
    <w:basedOn w:val="a0"/>
    <w:uiPriority w:val="99"/>
    <w:rPr>
      <w:rFonts w:ascii="Calibri" w:eastAsia="宋体" w:hAnsi="Calibri" w:cs="Times New Roman" w:hint="default"/>
      <w:sz w:val="18"/>
      <w:szCs w:val="18"/>
    </w:rPr>
  </w:style>
  <w:style w:type="character" w:customStyle="1" w:styleId="2576">
    <w:name w:val="2576"/>
    <w:basedOn w:val="a0"/>
    <w:uiPriority w:val="99"/>
    <w:rPr>
      <w:rFonts w:ascii="Calibri" w:eastAsia="宋体" w:hAnsi="Calibri" w:cs="Times New Roman" w:hint="default"/>
      <w:sz w:val="18"/>
      <w:szCs w:val="18"/>
    </w:rPr>
  </w:style>
  <w:style w:type="character" w:customStyle="1" w:styleId="2574">
    <w:name w:val="2574"/>
    <w:basedOn w:val="a0"/>
    <w:rPr>
      <w:rFonts w:ascii="宋体" w:eastAsia="宋体" w:hAnsi="Courier New" w:cs="Times New Roman" w:hint="eastAsia"/>
      <w:szCs w:val="20"/>
    </w:rPr>
  </w:style>
  <w:style w:type="character" w:customStyle="1" w:styleId="2572">
    <w:name w:val="2572"/>
    <w:basedOn w:val="a0"/>
    <w:uiPriority w:val="99"/>
    <w:rPr>
      <w:rFonts w:ascii="Times New Roman" w:eastAsia="宋体" w:hAnsi="Times New Roman" w:cs="Times New Roman" w:hint="default"/>
      <w:szCs w:val="21"/>
    </w:rPr>
  </w:style>
  <w:style w:type="character" w:customStyle="1" w:styleId="2570">
    <w:name w:val="2570"/>
    <w:basedOn w:val="a0"/>
    <w:uiPriority w:val="99"/>
    <w:rPr>
      <w:rFonts w:ascii="Times New Roman" w:eastAsia="宋体" w:hAnsi="Times New Roman" w:cs="Times New Roman" w:hint="default"/>
      <w:szCs w:val="21"/>
    </w:rPr>
  </w:style>
  <w:style w:type="character" w:customStyle="1" w:styleId="2568">
    <w:name w:val="2568"/>
    <w:basedOn w:val="a0"/>
    <w:uiPriority w:val="99"/>
    <w:rPr>
      <w:rFonts w:ascii="Times New Roman" w:eastAsia="宋体" w:hAnsi="Times New Roman" w:cs="Times New Roman" w:hint="default"/>
      <w:szCs w:val="21"/>
    </w:rPr>
  </w:style>
  <w:style w:type="character" w:customStyle="1" w:styleId="2565">
    <w:name w:val="2565"/>
    <w:basedOn w:val="a0"/>
    <w:qFormat/>
    <w:rPr>
      <w:kern w:val="2"/>
      <w:sz w:val="21"/>
      <w:szCs w:val="24"/>
    </w:rPr>
  </w:style>
  <w:style w:type="character" w:customStyle="1" w:styleId="2562">
    <w:name w:val="2562"/>
    <w:basedOn w:val="a0"/>
    <w:uiPriority w:val="99"/>
    <w:semiHidden/>
    <w:rPr>
      <w:rFonts w:ascii="宋体" w:eastAsia="宋体" w:hAnsi="宋体" w:hint="eastAsia"/>
      <w:kern w:val="2"/>
      <w:sz w:val="18"/>
      <w:szCs w:val="18"/>
    </w:rPr>
  </w:style>
  <w:style w:type="character" w:customStyle="1" w:styleId="2561">
    <w:name w:val="2561"/>
    <w:basedOn w:val="a0"/>
    <w:uiPriority w:val="99"/>
    <w:rPr>
      <w:color w:val="auto"/>
    </w:rPr>
  </w:style>
  <w:style w:type="character" w:customStyle="1" w:styleId="2558">
    <w:name w:val="2558"/>
    <w:basedOn w:val="a0"/>
    <w:uiPriority w:val="10"/>
    <w:rPr>
      <w:rFonts w:ascii="Cambria" w:hAnsi="Cambria" w:cs="Times New Roman" w:hint="default"/>
      <w:b/>
      <w:kern w:val="2"/>
      <w:sz w:val="32"/>
      <w:szCs w:val="32"/>
    </w:rPr>
  </w:style>
  <w:style w:type="character" w:customStyle="1" w:styleId="2554">
    <w:name w:val="2554"/>
    <w:basedOn w:val="a0"/>
    <w:uiPriority w:val="99"/>
    <w:semiHidden/>
    <w:rPr>
      <w:rFonts w:ascii="宋体" w:eastAsia="宋体" w:hAnsi="宋体" w:cs="宋体" w:hint="eastAsia"/>
      <w:sz w:val="21"/>
      <w:szCs w:val="24"/>
    </w:rPr>
  </w:style>
  <w:style w:type="character" w:customStyle="1" w:styleId="2553">
    <w:name w:val="2553"/>
    <w:basedOn w:val="a0"/>
    <w:uiPriority w:val="99"/>
    <w:semiHidden/>
    <w:rPr>
      <w:vertAlign w:val="superscript"/>
    </w:rPr>
  </w:style>
  <w:style w:type="character" w:customStyle="1" w:styleId="2552">
    <w:name w:val="2552"/>
    <w:basedOn w:val="aff"/>
    <w:uiPriority w:val="99"/>
    <w:semiHidden/>
    <w:rPr>
      <w:rFonts w:ascii="Times New Roman" w:eastAsia="宋体" w:hAnsi="Times New Roman" w:cs="Times New Roman" w:hint="default"/>
      <w:b/>
      <w:kern w:val="2"/>
      <w:szCs w:val="21"/>
    </w:rPr>
  </w:style>
  <w:style w:type="character" w:customStyle="1" w:styleId="2551">
    <w:name w:val="2551"/>
    <w:basedOn w:val="aff"/>
    <w:uiPriority w:val="99"/>
    <w:semiHidden/>
    <w:rPr>
      <w:rFonts w:ascii="Times New Roman" w:eastAsia="宋体" w:hAnsi="Times New Roman" w:cs="Times New Roman" w:hint="default"/>
      <w:b/>
      <w:kern w:val="2"/>
      <w:szCs w:val="21"/>
    </w:rPr>
  </w:style>
  <w:style w:type="character" w:customStyle="1" w:styleId="2544">
    <w:name w:val="2544"/>
    <w:uiPriority w:val="99"/>
    <w:qFormat/>
    <w:rPr>
      <w:rFonts w:ascii="Times New Roman" w:hAnsi="Times New Roman" w:cs="Times New Roman" w:hint="default"/>
      <w:kern w:val="2"/>
      <w:sz w:val="21"/>
      <w:szCs w:val="21"/>
    </w:rPr>
  </w:style>
  <w:style w:type="character" w:customStyle="1" w:styleId="2541">
    <w:name w:val="2541"/>
    <w:rPr>
      <w:rFonts w:ascii="Times New Roman" w:hAnsi="Times New Roman" w:cs="Times New Roman" w:hint="default"/>
      <w:kern w:val="2"/>
      <w:sz w:val="21"/>
      <w:szCs w:val="21"/>
    </w:rPr>
  </w:style>
  <w:style w:type="character" w:customStyle="1" w:styleId="2540">
    <w:name w:val="2540"/>
    <w:basedOn w:val="a0"/>
    <w:uiPriority w:val="22"/>
    <w:qFormat/>
    <w:rPr>
      <w:b/>
    </w:rPr>
  </w:style>
  <w:style w:type="character" w:customStyle="1" w:styleId="2539">
    <w:name w:val="2539"/>
    <w:uiPriority w:val="99"/>
    <w:rPr>
      <w:rFonts w:ascii="Times New Roman" w:hAnsi="Times New Roman" w:cs="Times New Roman" w:hint="default"/>
      <w:kern w:val="2"/>
      <w:sz w:val="21"/>
      <w:szCs w:val="21"/>
    </w:rPr>
  </w:style>
  <w:style w:type="character" w:customStyle="1" w:styleId="2530">
    <w:name w:val="2530"/>
    <w:basedOn w:val="a0"/>
    <w:semiHidden/>
    <w:rPr>
      <w:rFonts w:ascii="Arial" w:hAnsi="Arial" w:cs="Times New Roman" w:hint="default"/>
      <w:b/>
      <w:kern w:val="2"/>
    </w:rPr>
  </w:style>
  <w:style w:type="character" w:customStyle="1" w:styleId="2529">
    <w:name w:val="2529"/>
    <w:basedOn w:val="a0"/>
    <w:uiPriority w:val="1"/>
    <w:qFormat/>
    <w:rPr>
      <w:kern w:val="2"/>
      <w:szCs w:val="22"/>
    </w:rPr>
  </w:style>
  <w:style w:type="character" w:customStyle="1" w:styleId="2528">
    <w:name w:val="2528"/>
    <w:basedOn w:val="a0"/>
    <w:uiPriority w:val="99"/>
    <w:rPr>
      <w:sz w:val="24"/>
    </w:rPr>
  </w:style>
  <w:style w:type="character" w:customStyle="1" w:styleId="2517">
    <w:name w:val="2517"/>
    <w:basedOn w:val="a0"/>
    <w:uiPriority w:val="99"/>
    <w:rPr>
      <w:rFonts w:ascii="黑体" w:eastAsia="黑体" w:hAnsi="黑体" w:hint="eastAsia"/>
      <w:b/>
      <w:kern w:val="44"/>
      <w:sz w:val="28"/>
      <w:szCs w:val="44"/>
    </w:rPr>
  </w:style>
  <w:style w:type="character" w:customStyle="1" w:styleId="2516">
    <w:name w:val="2516"/>
    <w:basedOn w:val="a0"/>
    <w:rPr>
      <w:rFonts w:ascii="Arial" w:hAnsi="Arial" w:cs="Arial" w:hint="default"/>
      <w:b/>
      <w:kern w:val="2"/>
      <w:sz w:val="21"/>
      <w:szCs w:val="21"/>
    </w:rPr>
  </w:style>
  <w:style w:type="character" w:customStyle="1" w:styleId="2515">
    <w:name w:val="2515"/>
    <w:basedOn w:val="a0"/>
    <w:uiPriority w:val="9"/>
    <w:rPr>
      <w:b/>
      <w:kern w:val="2"/>
      <w:sz w:val="21"/>
      <w:szCs w:val="32"/>
    </w:rPr>
  </w:style>
  <w:style w:type="character" w:customStyle="1" w:styleId="2514">
    <w:name w:val="2514"/>
    <w:basedOn w:val="a0"/>
    <w:uiPriority w:val="9"/>
    <w:rPr>
      <w:rFonts w:ascii="Cambria" w:hAnsi="Cambria" w:hint="default"/>
      <w:b/>
      <w:kern w:val="2"/>
      <w:sz w:val="21"/>
      <w:szCs w:val="28"/>
    </w:rPr>
  </w:style>
  <w:style w:type="character" w:customStyle="1" w:styleId="2513">
    <w:name w:val="2513"/>
    <w:basedOn w:val="a0"/>
    <w:uiPriority w:val="9"/>
    <w:rPr>
      <w:b/>
      <w:kern w:val="2"/>
      <w:sz w:val="21"/>
      <w:szCs w:val="28"/>
    </w:rPr>
  </w:style>
  <w:style w:type="character" w:customStyle="1" w:styleId="2509">
    <w:name w:val="2509"/>
    <w:basedOn w:val="a0"/>
    <w:uiPriority w:val="99"/>
    <w:rPr>
      <w:rFonts w:ascii="Times New Roman" w:hAnsi="Times New Roman" w:cs="Times New Roman" w:hint="default"/>
      <w:color w:val="0000FF"/>
      <w:u w:val="single"/>
    </w:rPr>
  </w:style>
  <w:style w:type="character" w:customStyle="1" w:styleId="2508">
    <w:name w:val="2508"/>
    <w:basedOn w:val="a0"/>
    <w:uiPriority w:val="99"/>
    <w:rPr>
      <w:rFonts w:ascii="宋体" w:eastAsia="宋体" w:hAnsi="宋体" w:cs="Times New Roman" w:hint="eastAsia"/>
      <w:kern w:val="2"/>
      <w:sz w:val="21"/>
      <w:szCs w:val="21"/>
      <w:lang w:val="en-US" w:eastAsia="zh-CN" w:bidi="ar-SA"/>
    </w:rPr>
  </w:style>
  <w:style w:type="character" w:customStyle="1" w:styleId="2505">
    <w:name w:val="2505"/>
    <w:basedOn w:val="a0"/>
    <w:uiPriority w:val="99"/>
    <w:rPr>
      <w:rFonts w:ascii="Calibri" w:eastAsia="宋体" w:hAnsi="Calibri" w:cs="Times New Roman" w:hint="default"/>
      <w:sz w:val="18"/>
      <w:szCs w:val="18"/>
    </w:rPr>
  </w:style>
  <w:style w:type="character" w:customStyle="1" w:styleId="2503">
    <w:name w:val="2503"/>
    <w:basedOn w:val="a0"/>
    <w:uiPriority w:val="99"/>
    <w:rPr>
      <w:rFonts w:ascii="Times New Roman" w:eastAsia="宋体" w:hAnsi="Times New Roman" w:cs="Times New Roman" w:hint="default"/>
      <w:szCs w:val="21"/>
    </w:rPr>
  </w:style>
  <w:style w:type="character" w:customStyle="1" w:styleId="2501">
    <w:name w:val="2501"/>
    <w:basedOn w:val="aff"/>
    <w:uiPriority w:val="99"/>
    <w:rPr>
      <w:rFonts w:ascii="Calibri" w:eastAsia="宋体" w:hAnsi="Calibri" w:cs="Times New Roman" w:hint="default"/>
      <w:b/>
      <w:kern w:val="2"/>
      <w:szCs w:val="21"/>
    </w:rPr>
  </w:style>
  <w:style w:type="character" w:customStyle="1" w:styleId="2497">
    <w:name w:val="2497"/>
    <w:basedOn w:val="a0"/>
    <w:uiPriority w:val="99"/>
    <w:rPr>
      <w:rFonts w:ascii="Calibri" w:eastAsia="宋体" w:hAnsi="Calibri" w:cs="Times New Roman" w:hint="default"/>
      <w:sz w:val="18"/>
      <w:szCs w:val="18"/>
    </w:rPr>
  </w:style>
  <w:style w:type="character" w:customStyle="1" w:styleId="2495">
    <w:name w:val="2495"/>
    <w:basedOn w:val="a0"/>
    <w:uiPriority w:val="99"/>
    <w:rPr>
      <w:rFonts w:ascii="Calibri" w:eastAsia="宋体" w:hAnsi="Calibri" w:cs="Times New Roman" w:hint="default"/>
      <w:sz w:val="18"/>
      <w:szCs w:val="18"/>
    </w:rPr>
  </w:style>
  <w:style w:type="character" w:customStyle="1" w:styleId="2493">
    <w:name w:val="2493"/>
    <w:basedOn w:val="a0"/>
    <w:rPr>
      <w:rFonts w:ascii="宋体" w:eastAsia="宋体" w:hAnsi="Courier New" w:cs="Times New Roman" w:hint="eastAsia"/>
      <w:szCs w:val="20"/>
    </w:rPr>
  </w:style>
  <w:style w:type="character" w:customStyle="1" w:styleId="2491">
    <w:name w:val="2491"/>
    <w:basedOn w:val="a0"/>
    <w:uiPriority w:val="99"/>
    <w:rPr>
      <w:rFonts w:ascii="Times New Roman" w:eastAsia="宋体" w:hAnsi="Times New Roman" w:cs="Times New Roman" w:hint="default"/>
      <w:szCs w:val="21"/>
    </w:rPr>
  </w:style>
  <w:style w:type="character" w:customStyle="1" w:styleId="2489">
    <w:name w:val="2489"/>
    <w:basedOn w:val="a0"/>
    <w:uiPriority w:val="99"/>
    <w:rPr>
      <w:rFonts w:ascii="Times New Roman" w:eastAsia="宋体" w:hAnsi="Times New Roman" w:cs="Times New Roman" w:hint="default"/>
      <w:szCs w:val="21"/>
    </w:rPr>
  </w:style>
  <w:style w:type="character" w:customStyle="1" w:styleId="2487">
    <w:name w:val="2487"/>
    <w:basedOn w:val="a0"/>
    <w:uiPriority w:val="99"/>
    <w:rPr>
      <w:rFonts w:ascii="Times New Roman" w:eastAsia="宋体" w:hAnsi="Times New Roman" w:cs="Times New Roman" w:hint="default"/>
      <w:szCs w:val="21"/>
    </w:rPr>
  </w:style>
  <w:style w:type="character" w:customStyle="1" w:styleId="2483">
    <w:name w:val="2483"/>
    <w:basedOn w:val="a0"/>
    <w:qFormat/>
    <w:rPr>
      <w:kern w:val="2"/>
      <w:sz w:val="21"/>
      <w:szCs w:val="24"/>
    </w:rPr>
  </w:style>
  <w:style w:type="character" w:customStyle="1" w:styleId="2480">
    <w:name w:val="2480"/>
    <w:basedOn w:val="a0"/>
    <w:uiPriority w:val="99"/>
    <w:semiHidden/>
    <w:rPr>
      <w:rFonts w:ascii="宋体" w:eastAsia="宋体" w:hAnsi="宋体" w:hint="eastAsia"/>
      <w:kern w:val="2"/>
      <w:sz w:val="18"/>
      <w:szCs w:val="18"/>
    </w:rPr>
  </w:style>
  <w:style w:type="character" w:customStyle="1" w:styleId="2479">
    <w:name w:val="2479"/>
    <w:basedOn w:val="a0"/>
    <w:uiPriority w:val="99"/>
    <w:rPr>
      <w:color w:val="auto"/>
    </w:rPr>
  </w:style>
  <w:style w:type="character" w:customStyle="1" w:styleId="2476">
    <w:name w:val="2476"/>
    <w:basedOn w:val="a0"/>
    <w:uiPriority w:val="10"/>
    <w:rPr>
      <w:rFonts w:ascii="Cambria" w:hAnsi="Cambria" w:cs="Times New Roman" w:hint="default"/>
      <w:b/>
      <w:kern w:val="2"/>
      <w:sz w:val="32"/>
      <w:szCs w:val="32"/>
    </w:rPr>
  </w:style>
  <w:style w:type="character" w:customStyle="1" w:styleId="2468">
    <w:name w:val="2468"/>
    <w:basedOn w:val="a0"/>
    <w:uiPriority w:val="9"/>
    <w:rPr>
      <w:rFonts w:ascii="Cambria" w:hAnsi="Cambria" w:cs="Times New Roman" w:hint="default"/>
      <w:b/>
      <w:sz w:val="21"/>
      <w:szCs w:val="24"/>
    </w:rPr>
  </w:style>
  <w:style w:type="character" w:customStyle="1" w:styleId="2465">
    <w:name w:val="2465"/>
    <w:basedOn w:val="a0"/>
    <w:uiPriority w:val="99"/>
    <w:semiHidden/>
    <w:rPr>
      <w:rFonts w:ascii="宋体" w:eastAsia="宋体" w:hAnsi="宋体" w:cs="宋体" w:hint="eastAsia"/>
      <w:sz w:val="21"/>
      <w:szCs w:val="24"/>
    </w:rPr>
  </w:style>
  <w:style w:type="character" w:customStyle="1" w:styleId="2464">
    <w:name w:val="2464"/>
    <w:basedOn w:val="a0"/>
    <w:uiPriority w:val="99"/>
    <w:semiHidden/>
    <w:rPr>
      <w:vertAlign w:val="superscript"/>
    </w:rPr>
  </w:style>
  <w:style w:type="character" w:customStyle="1" w:styleId="2463">
    <w:name w:val="2463"/>
    <w:basedOn w:val="aff"/>
    <w:uiPriority w:val="99"/>
    <w:semiHidden/>
    <w:rPr>
      <w:rFonts w:ascii="Times New Roman" w:eastAsia="宋体" w:hAnsi="Times New Roman" w:cs="Times New Roman" w:hint="default"/>
      <w:b/>
      <w:kern w:val="2"/>
      <w:szCs w:val="21"/>
    </w:rPr>
  </w:style>
  <w:style w:type="character" w:customStyle="1" w:styleId="2461">
    <w:name w:val="2461"/>
    <w:basedOn w:val="a0"/>
    <w:rPr>
      <w:rFonts w:ascii="Times New Roman" w:hAnsi="Times New Roman" w:cs="Times New Roman" w:hint="default"/>
      <w:b/>
      <w:kern w:val="2"/>
      <w:sz w:val="21"/>
      <w:szCs w:val="24"/>
    </w:rPr>
  </w:style>
  <w:style w:type="character" w:customStyle="1" w:styleId="2460">
    <w:name w:val="2460"/>
    <w:basedOn w:val="aff"/>
    <w:uiPriority w:val="99"/>
    <w:semiHidden/>
    <w:rPr>
      <w:rFonts w:ascii="Times New Roman" w:eastAsia="宋体" w:hAnsi="Times New Roman" w:cs="Times New Roman" w:hint="default"/>
      <w:b/>
      <w:kern w:val="2"/>
      <w:szCs w:val="21"/>
    </w:rPr>
  </w:style>
  <w:style w:type="character" w:customStyle="1" w:styleId="2459">
    <w:name w:val="2459"/>
    <w:basedOn w:val="a0"/>
    <w:uiPriority w:val="9"/>
    <w:rPr>
      <w:rFonts w:ascii="宋体" w:eastAsia="宋体" w:hAnsi="宋体" w:cs="宋体" w:hint="eastAsia"/>
      <w:b/>
      <w:sz w:val="24"/>
      <w:szCs w:val="24"/>
    </w:rPr>
  </w:style>
  <w:style w:type="character" w:customStyle="1" w:styleId="2455">
    <w:name w:val="2455"/>
    <w:uiPriority w:val="9"/>
    <w:rPr>
      <w:rFonts w:ascii="Cambria" w:hAnsi="Cambria" w:hint="default"/>
      <w:b/>
      <w:kern w:val="2"/>
      <w:sz w:val="21"/>
      <w:szCs w:val="28"/>
    </w:rPr>
  </w:style>
  <w:style w:type="character" w:customStyle="1" w:styleId="2452">
    <w:name w:val="2452"/>
    <w:uiPriority w:val="9"/>
    <w:rPr>
      <w:b/>
      <w:kern w:val="2"/>
      <w:sz w:val="21"/>
      <w:szCs w:val="32"/>
    </w:rPr>
  </w:style>
  <w:style w:type="character" w:customStyle="1" w:styleId="2449">
    <w:name w:val="2449"/>
    <w:uiPriority w:val="99"/>
    <w:qFormat/>
    <w:rPr>
      <w:rFonts w:ascii="Times New Roman" w:hAnsi="Times New Roman" w:cs="Times New Roman" w:hint="default"/>
      <w:kern w:val="2"/>
      <w:sz w:val="21"/>
      <w:szCs w:val="21"/>
    </w:rPr>
  </w:style>
  <w:style w:type="character" w:customStyle="1" w:styleId="2448">
    <w:name w:val="2448"/>
    <w:uiPriority w:val="9"/>
    <w:rPr>
      <w:b/>
      <w:kern w:val="2"/>
      <w:sz w:val="21"/>
      <w:szCs w:val="28"/>
    </w:rPr>
  </w:style>
  <w:style w:type="character" w:customStyle="1" w:styleId="2446">
    <w:name w:val="2446"/>
    <w:uiPriority w:val="9"/>
    <w:rPr>
      <w:b/>
      <w:kern w:val="2"/>
      <w:sz w:val="21"/>
      <w:szCs w:val="32"/>
    </w:rPr>
  </w:style>
  <w:style w:type="character" w:customStyle="1" w:styleId="2445">
    <w:name w:val="2445"/>
    <w:rPr>
      <w:rFonts w:ascii="Arial" w:hAnsi="Arial" w:cs="Arial" w:hint="default"/>
      <w:b/>
      <w:kern w:val="2"/>
      <w:sz w:val="21"/>
      <w:szCs w:val="21"/>
    </w:rPr>
  </w:style>
  <w:style w:type="character" w:customStyle="1" w:styleId="2444">
    <w:name w:val="2444"/>
    <w:uiPriority w:val="9"/>
    <w:rPr>
      <w:rFonts w:ascii="Cambria" w:hAnsi="Cambria" w:hint="default"/>
      <w:b/>
      <w:kern w:val="2"/>
      <w:sz w:val="21"/>
      <w:szCs w:val="28"/>
    </w:rPr>
  </w:style>
  <w:style w:type="character" w:customStyle="1" w:styleId="2443">
    <w:name w:val="2443"/>
    <w:uiPriority w:val="9"/>
    <w:rPr>
      <w:b/>
      <w:kern w:val="2"/>
      <w:sz w:val="21"/>
      <w:szCs w:val="28"/>
    </w:rPr>
  </w:style>
  <w:style w:type="character" w:customStyle="1" w:styleId="2441">
    <w:name w:val="2441"/>
    <w:rPr>
      <w:rFonts w:ascii="Times New Roman" w:hAnsi="Times New Roman" w:cs="Times New Roman" w:hint="default"/>
      <w:kern w:val="2"/>
      <w:sz w:val="21"/>
      <w:szCs w:val="21"/>
    </w:rPr>
  </w:style>
  <w:style w:type="character" w:customStyle="1" w:styleId="2440">
    <w:name w:val="2440"/>
    <w:basedOn w:val="a0"/>
    <w:rPr>
      <w:rFonts w:ascii="Arial" w:eastAsia="黑体" w:hAnsi="Arial" w:cs="Times New Roman" w:hint="default"/>
      <w:color w:val="000000"/>
      <w:sz w:val="24"/>
      <w:szCs w:val="20"/>
    </w:rPr>
  </w:style>
  <w:style w:type="character" w:customStyle="1" w:styleId="2439">
    <w:name w:val="2439"/>
    <w:basedOn w:val="a0"/>
    <w:rPr>
      <w:rFonts w:ascii="Arial" w:eastAsia="黑体" w:hAnsi="Arial" w:cs="Times New Roman" w:hint="default"/>
      <w:color w:val="000000"/>
      <w:sz w:val="24"/>
      <w:szCs w:val="20"/>
    </w:rPr>
  </w:style>
  <w:style w:type="character" w:customStyle="1" w:styleId="2435">
    <w:name w:val="2435"/>
    <w:basedOn w:val="a0"/>
    <w:rPr>
      <w:b/>
      <w:sz w:val="24"/>
      <w:szCs w:val="24"/>
    </w:rPr>
  </w:style>
  <w:style w:type="character" w:customStyle="1" w:styleId="2434">
    <w:name w:val="2434"/>
    <w:basedOn w:val="a0"/>
    <w:uiPriority w:val="22"/>
    <w:qFormat/>
    <w:rPr>
      <w:b/>
    </w:rPr>
  </w:style>
  <w:style w:type="character" w:customStyle="1" w:styleId="2433">
    <w:name w:val="2433"/>
    <w:rPr>
      <w:rFonts w:ascii="宋体" w:eastAsia="宋体" w:hAnsi="宋体" w:hint="eastAsia"/>
      <w:color w:val="000000"/>
      <w:sz w:val="24"/>
      <w:szCs w:val="24"/>
    </w:rPr>
  </w:style>
  <w:style w:type="character" w:customStyle="1" w:styleId="2432">
    <w:name w:val="2432"/>
    <w:uiPriority w:val="99"/>
    <w:rPr>
      <w:rFonts w:ascii="Times New Roman" w:hAnsi="Times New Roman" w:cs="Times New Roman" w:hint="default"/>
      <w:kern w:val="2"/>
      <w:sz w:val="21"/>
      <w:szCs w:val="21"/>
    </w:rPr>
  </w:style>
  <w:style w:type="character" w:customStyle="1" w:styleId="2431">
    <w:name w:val="2431"/>
    <w:rPr>
      <w:rFonts w:ascii="FZLTSK--GBK1-0" w:hAnsi="FZLTSK--GBK1-0" w:hint="default"/>
      <w:bCs/>
      <w:color w:val="000000"/>
      <w:sz w:val="20"/>
      <w:szCs w:val="20"/>
    </w:rPr>
  </w:style>
  <w:style w:type="character" w:customStyle="1" w:styleId="2418">
    <w:name w:val="2418"/>
    <w:basedOn w:val="a0"/>
    <w:rPr>
      <w:rFonts w:ascii="Times New Roman" w:hAnsi="Times New Roman" w:cs="Times New Roman" w:hint="default"/>
      <w:kern w:val="2"/>
    </w:rPr>
  </w:style>
  <w:style w:type="character" w:customStyle="1" w:styleId="2417">
    <w:name w:val="2417"/>
    <w:basedOn w:val="aff"/>
    <w:uiPriority w:val="99"/>
    <w:semiHidden/>
    <w:rPr>
      <w:rFonts w:ascii="Times New Roman" w:eastAsia="宋体" w:hAnsi="Times New Roman" w:cs="Times New Roman" w:hint="default"/>
      <w:b/>
      <w:color w:val="000000"/>
      <w:kern w:val="2"/>
      <w:sz w:val="21"/>
      <w:szCs w:val="21"/>
    </w:rPr>
  </w:style>
  <w:style w:type="character" w:customStyle="1" w:styleId="2411">
    <w:name w:val="2411"/>
    <w:basedOn w:val="a0"/>
    <w:uiPriority w:val="9"/>
    <w:rPr>
      <w:rFonts w:ascii="Cambria" w:hAnsi="Cambria" w:hint="default"/>
      <w:b/>
      <w:kern w:val="2"/>
      <w:sz w:val="21"/>
      <w:szCs w:val="28"/>
    </w:rPr>
  </w:style>
  <w:style w:type="character" w:customStyle="1" w:styleId="2409">
    <w:name w:val="2409"/>
    <w:basedOn w:val="a0"/>
    <w:uiPriority w:val="9"/>
    <w:rPr>
      <w:b/>
      <w:kern w:val="2"/>
      <w:sz w:val="21"/>
      <w:szCs w:val="32"/>
    </w:rPr>
  </w:style>
  <w:style w:type="character" w:customStyle="1" w:styleId="2400">
    <w:name w:val="2400"/>
    <w:basedOn w:val="a0"/>
    <w:semiHidden/>
    <w:rPr>
      <w:rFonts w:ascii="Arial" w:hAnsi="Arial" w:cs="Times New Roman" w:hint="default"/>
      <w:b/>
      <w:kern w:val="2"/>
    </w:rPr>
  </w:style>
  <w:style w:type="character" w:customStyle="1" w:styleId="2399">
    <w:name w:val="2399"/>
    <w:basedOn w:val="a0"/>
    <w:uiPriority w:val="1"/>
    <w:qFormat/>
    <w:rPr>
      <w:kern w:val="2"/>
      <w:szCs w:val="22"/>
    </w:rPr>
  </w:style>
  <w:style w:type="character" w:customStyle="1" w:styleId="2398">
    <w:name w:val="2398"/>
    <w:basedOn w:val="a0"/>
    <w:uiPriority w:val="99"/>
    <w:rPr>
      <w:sz w:val="24"/>
    </w:rPr>
  </w:style>
  <w:style w:type="character" w:customStyle="1" w:styleId="2396">
    <w:name w:val="2396"/>
    <w:basedOn w:val="a0"/>
    <w:rPr>
      <w:rFonts w:ascii="宋体" w:eastAsia="宋体" w:hAnsi="宋体" w:hint="eastAsia"/>
      <w:kern w:val="2"/>
      <w:szCs w:val="24"/>
    </w:rPr>
  </w:style>
  <w:style w:type="character" w:customStyle="1" w:styleId="2389">
    <w:name w:val="2389"/>
    <w:basedOn w:val="a0"/>
    <w:uiPriority w:val="99"/>
    <w:rPr>
      <w:rFonts w:ascii="黑体" w:eastAsia="黑体" w:hAnsi="黑体" w:hint="eastAsia"/>
      <w:b/>
      <w:kern w:val="44"/>
      <w:sz w:val="28"/>
      <w:szCs w:val="44"/>
    </w:rPr>
  </w:style>
  <w:style w:type="character" w:customStyle="1" w:styleId="2388">
    <w:name w:val="2388"/>
    <w:basedOn w:val="a0"/>
    <w:rPr>
      <w:rFonts w:ascii="Arial" w:hAnsi="Arial" w:cs="Arial" w:hint="default"/>
      <w:b/>
      <w:kern w:val="2"/>
      <w:sz w:val="21"/>
      <w:szCs w:val="21"/>
    </w:rPr>
  </w:style>
  <w:style w:type="character" w:customStyle="1" w:styleId="2387">
    <w:name w:val="2387"/>
    <w:basedOn w:val="a0"/>
    <w:uiPriority w:val="9"/>
    <w:rPr>
      <w:b/>
      <w:kern w:val="2"/>
      <w:sz w:val="21"/>
      <w:szCs w:val="32"/>
    </w:rPr>
  </w:style>
  <w:style w:type="character" w:customStyle="1" w:styleId="2386">
    <w:name w:val="2386"/>
    <w:basedOn w:val="a0"/>
    <w:uiPriority w:val="9"/>
    <w:rPr>
      <w:rFonts w:ascii="Cambria" w:hAnsi="Cambria" w:hint="default"/>
      <w:b/>
      <w:kern w:val="2"/>
      <w:sz w:val="21"/>
      <w:szCs w:val="28"/>
    </w:rPr>
  </w:style>
  <w:style w:type="character" w:customStyle="1" w:styleId="2385">
    <w:name w:val="2385"/>
    <w:basedOn w:val="a0"/>
    <w:uiPriority w:val="9"/>
    <w:rPr>
      <w:b/>
      <w:kern w:val="2"/>
      <w:sz w:val="21"/>
      <w:szCs w:val="28"/>
    </w:rPr>
  </w:style>
  <w:style w:type="character" w:customStyle="1" w:styleId="2381">
    <w:name w:val="2381"/>
    <w:basedOn w:val="a0"/>
    <w:rPr>
      <w:rFonts w:ascii="Times New Roman" w:eastAsia="宋体" w:hAnsi="Times New Roman" w:cs="Times New Roman" w:hint="default"/>
      <w:szCs w:val="21"/>
    </w:rPr>
  </w:style>
  <w:style w:type="character" w:customStyle="1" w:styleId="2379">
    <w:name w:val="2379"/>
    <w:basedOn w:val="a0"/>
    <w:uiPriority w:val="99"/>
    <w:rPr>
      <w:rFonts w:ascii="Calibri" w:eastAsia="宋体" w:hAnsi="Calibri" w:cs="Times New Roman" w:hint="default"/>
      <w:sz w:val="18"/>
      <w:szCs w:val="18"/>
    </w:rPr>
  </w:style>
  <w:style w:type="character" w:customStyle="1" w:styleId="2377">
    <w:name w:val="2377"/>
    <w:basedOn w:val="a0"/>
    <w:uiPriority w:val="99"/>
    <w:rPr>
      <w:rFonts w:ascii="Times New Roman" w:eastAsia="宋体" w:hAnsi="Times New Roman" w:cs="Times New Roman" w:hint="default"/>
      <w:szCs w:val="21"/>
    </w:rPr>
  </w:style>
  <w:style w:type="character" w:customStyle="1" w:styleId="2375">
    <w:name w:val="2375"/>
    <w:basedOn w:val="2381"/>
    <w:uiPriority w:val="99"/>
    <w:rPr>
      <w:rFonts w:ascii="Calibri" w:eastAsia="宋体" w:hAnsi="Calibri" w:cs="Times New Roman" w:hint="default"/>
      <w:b/>
      <w:szCs w:val="21"/>
    </w:rPr>
  </w:style>
  <w:style w:type="character" w:customStyle="1" w:styleId="2371">
    <w:name w:val="2371"/>
    <w:basedOn w:val="a0"/>
    <w:uiPriority w:val="99"/>
    <w:rPr>
      <w:rFonts w:ascii="Calibri" w:eastAsia="宋体" w:hAnsi="Calibri" w:cs="Times New Roman" w:hint="default"/>
      <w:sz w:val="18"/>
      <w:szCs w:val="18"/>
    </w:rPr>
  </w:style>
  <w:style w:type="character" w:customStyle="1" w:styleId="2369">
    <w:name w:val="2369"/>
    <w:basedOn w:val="a0"/>
    <w:uiPriority w:val="99"/>
    <w:rPr>
      <w:rFonts w:ascii="Calibri" w:eastAsia="宋体" w:hAnsi="Calibri" w:cs="Times New Roman" w:hint="default"/>
      <w:sz w:val="18"/>
      <w:szCs w:val="18"/>
    </w:rPr>
  </w:style>
  <w:style w:type="character" w:customStyle="1" w:styleId="2367">
    <w:name w:val="2367"/>
    <w:basedOn w:val="a0"/>
    <w:rPr>
      <w:rFonts w:ascii="宋体" w:eastAsia="宋体" w:hAnsi="Courier New" w:cs="Times New Roman" w:hint="eastAsia"/>
      <w:szCs w:val="20"/>
    </w:rPr>
  </w:style>
  <w:style w:type="character" w:customStyle="1" w:styleId="2365">
    <w:name w:val="2365"/>
    <w:basedOn w:val="a0"/>
    <w:uiPriority w:val="99"/>
    <w:rPr>
      <w:rFonts w:ascii="Times New Roman" w:eastAsia="宋体" w:hAnsi="Times New Roman" w:cs="Times New Roman" w:hint="default"/>
      <w:szCs w:val="21"/>
    </w:rPr>
  </w:style>
  <w:style w:type="character" w:customStyle="1" w:styleId="2363">
    <w:name w:val="2363"/>
    <w:basedOn w:val="a0"/>
    <w:uiPriority w:val="99"/>
    <w:rPr>
      <w:rFonts w:ascii="Times New Roman" w:eastAsia="宋体" w:hAnsi="Times New Roman" w:cs="Times New Roman" w:hint="default"/>
      <w:szCs w:val="21"/>
    </w:rPr>
  </w:style>
  <w:style w:type="character" w:customStyle="1" w:styleId="2361">
    <w:name w:val="2361"/>
    <w:basedOn w:val="a0"/>
    <w:uiPriority w:val="99"/>
    <w:rPr>
      <w:rFonts w:ascii="Times New Roman" w:eastAsia="宋体" w:hAnsi="Times New Roman" w:cs="Times New Roman" w:hint="default"/>
      <w:szCs w:val="21"/>
    </w:rPr>
  </w:style>
  <w:style w:type="character" w:customStyle="1" w:styleId="2357">
    <w:name w:val="2357"/>
    <w:basedOn w:val="a0"/>
    <w:qFormat/>
    <w:rPr>
      <w:kern w:val="2"/>
      <w:sz w:val="21"/>
      <w:szCs w:val="24"/>
    </w:rPr>
  </w:style>
  <w:style w:type="character" w:customStyle="1" w:styleId="2354">
    <w:name w:val="2354"/>
    <w:basedOn w:val="a0"/>
    <w:uiPriority w:val="99"/>
    <w:semiHidden/>
    <w:rPr>
      <w:rFonts w:ascii="宋体" w:eastAsia="宋体" w:hAnsi="宋体" w:hint="eastAsia"/>
      <w:kern w:val="2"/>
      <w:sz w:val="18"/>
      <w:szCs w:val="18"/>
    </w:rPr>
  </w:style>
  <w:style w:type="character" w:customStyle="1" w:styleId="2353">
    <w:name w:val="2353"/>
    <w:basedOn w:val="a0"/>
    <w:uiPriority w:val="99"/>
    <w:rPr>
      <w:color w:val="auto"/>
    </w:rPr>
  </w:style>
  <w:style w:type="character" w:customStyle="1" w:styleId="2351">
    <w:name w:val="2351"/>
    <w:basedOn w:val="a0"/>
    <w:uiPriority w:val="10"/>
    <w:rPr>
      <w:rFonts w:ascii="Cambria" w:hAnsi="Cambria" w:cs="Times New Roman" w:hint="default"/>
      <w:b/>
      <w:kern w:val="2"/>
      <w:sz w:val="32"/>
      <w:szCs w:val="32"/>
    </w:rPr>
  </w:style>
  <w:style w:type="character" w:customStyle="1" w:styleId="2343">
    <w:name w:val="2343"/>
    <w:basedOn w:val="a0"/>
    <w:uiPriority w:val="9"/>
    <w:rPr>
      <w:rFonts w:ascii="Cambria" w:hAnsi="Cambria" w:cs="Times New Roman" w:hint="default"/>
      <w:b/>
      <w:sz w:val="21"/>
      <w:szCs w:val="24"/>
    </w:rPr>
  </w:style>
  <w:style w:type="character" w:customStyle="1" w:styleId="2340">
    <w:name w:val="2340"/>
    <w:basedOn w:val="a0"/>
    <w:uiPriority w:val="99"/>
    <w:semiHidden/>
    <w:rPr>
      <w:rFonts w:ascii="宋体" w:eastAsia="宋体" w:hAnsi="宋体" w:cs="宋体" w:hint="eastAsia"/>
      <w:sz w:val="21"/>
      <w:szCs w:val="24"/>
    </w:rPr>
  </w:style>
  <w:style w:type="character" w:customStyle="1" w:styleId="2339">
    <w:name w:val="2339"/>
    <w:basedOn w:val="a0"/>
    <w:uiPriority w:val="99"/>
    <w:semiHidden/>
    <w:rPr>
      <w:vertAlign w:val="superscript"/>
    </w:rPr>
  </w:style>
  <w:style w:type="character" w:customStyle="1" w:styleId="2338">
    <w:name w:val="2338"/>
    <w:basedOn w:val="2381"/>
    <w:uiPriority w:val="99"/>
    <w:semiHidden/>
    <w:rPr>
      <w:rFonts w:ascii="Times New Roman" w:eastAsia="宋体" w:hAnsi="Times New Roman" w:cs="Times New Roman" w:hint="default"/>
      <w:b/>
      <w:szCs w:val="21"/>
    </w:rPr>
  </w:style>
  <w:style w:type="character" w:customStyle="1" w:styleId="2337">
    <w:name w:val="2337"/>
    <w:basedOn w:val="2381"/>
    <w:uiPriority w:val="99"/>
    <w:semiHidden/>
    <w:rPr>
      <w:rFonts w:ascii="Times New Roman" w:eastAsia="宋体" w:hAnsi="Times New Roman" w:cs="Times New Roman" w:hint="default"/>
      <w:b/>
      <w:szCs w:val="21"/>
    </w:rPr>
  </w:style>
  <w:style w:type="character" w:customStyle="1" w:styleId="2336">
    <w:name w:val="2336"/>
    <w:basedOn w:val="a0"/>
    <w:uiPriority w:val="9"/>
    <w:rPr>
      <w:rFonts w:ascii="宋体" w:eastAsia="宋体" w:hAnsi="宋体" w:cs="宋体" w:hint="eastAsia"/>
      <w:b/>
      <w:sz w:val="24"/>
      <w:szCs w:val="24"/>
    </w:rPr>
  </w:style>
  <w:style w:type="character" w:customStyle="1" w:styleId="2329">
    <w:name w:val="2329"/>
    <w:uiPriority w:val="99"/>
    <w:qFormat/>
    <w:rPr>
      <w:rFonts w:ascii="Times New Roman" w:hAnsi="Times New Roman" w:cs="Times New Roman" w:hint="default"/>
      <w:kern w:val="2"/>
      <w:sz w:val="21"/>
      <w:szCs w:val="21"/>
    </w:rPr>
  </w:style>
  <w:style w:type="character" w:customStyle="1" w:styleId="2327">
    <w:name w:val="2327"/>
    <w:rPr>
      <w:rFonts w:ascii="Times New Roman" w:hAnsi="Times New Roman" w:cs="Times New Roman" w:hint="default"/>
      <w:kern w:val="2"/>
      <w:sz w:val="21"/>
      <w:szCs w:val="21"/>
    </w:rPr>
  </w:style>
  <w:style w:type="character" w:customStyle="1" w:styleId="2325">
    <w:name w:val="2325"/>
    <w:rPr>
      <w:rFonts w:ascii="Times New Roman" w:hAnsi="Times New Roman" w:cs="Times New Roman" w:hint="default"/>
      <w:kern w:val="2"/>
      <w:sz w:val="21"/>
      <w:szCs w:val="21"/>
    </w:rPr>
  </w:style>
  <w:style w:type="character" w:customStyle="1" w:styleId="2321">
    <w:name w:val="2321"/>
    <w:basedOn w:val="a0"/>
    <w:uiPriority w:val="99"/>
    <w:rPr>
      <w:rFonts w:ascii="Calibri" w:eastAsia="宋体" w:hAnsi="Calibri" w:cs="Times New Roman" w:hint="default"/>
      <w:sz w:val="18"/>
      <w:szCs w:val="18"/>
    </w:rPr>
  </w:style>
  <w:style w:type="character" w:customStyle="1" w:styleId="2319">
    <w:name w:val="2319"/>
    <w:basedOn w:val="a0"/>
    <w:uiPriority w:val="99"/>
    <w:rPr>
      <w:rFonts w:ascii="Times New Roman" w:eastAsia="宋体" w:hAnsi="Times New Roman" w:cs="Times New Roman" w:hint="default"/>
      <w:szCs w:val="21"/>
    </w:rPr>
  </w:style>
  <w:style w:type="character" w:customStyle="1" w:styleId="2317">
    <w:name w:val="2317"/>
    <w:basedOn w:val="aff"/>
    <w:uiPriority w:val="99"/>
    <w:rPr>
      <w:rFonts w:ascii="Calibri" w:eastAsia="宋体" w:hAnsi="Calibri" w:cs="Times New Roman" w:hint="default"/>
      <w:b/>
      <w:kern w:val="2"/>
      <w:szCs w:val="21"/>
    </w:rPr>
  </w:style>
  <w:style w:type="character" w:customStyle="1" w:styleId="2314">
    <w:name w:val="2314"/>
    <w:basedOn w:val="a0"/>
    <w:uiPriority w:val="99"/>
    <w:rPr>
      <w:rFonts w:ascii="Calibri" w:eastAsia="宋体" w:hAnsi="Calibri" w:cs="Times New Roman" w:hint="default"/>
      <w:sz w:val="18"/>
      <w:szCs w:val="18"/>
    </w:rPr>
  </w:style>
  <w:style w:type="character" w:customStyle="1" w:styleId="2312">
    <w:name w:val="2312"/>
    <w:basedOn w:val="a0"/>
    <w:uiPriority w:val="99"/>
    <w:rPr>
      <w:rFonts w:ascii="Calibri" w:eastAsia="宋体" w:hAnsi="Calibri" w:cs="Times New Roman" w:hint="default"/>
      <w:sz w:val="18"/>
      <w:szCs w:val="18"/>
    </w:rPr>
  </w:style>
  <w:style w:type="character" w:customStyle="1" w:styleId="2310">
    <w:name w:val="2310"/>
    <w:basedOn w:val="a0"/>
    <w:rPr>
      <w:rFonts w:ascii="宋体" w:eastAsia="宋体" w:hAnsi="Courier New" w:cs="Times New Roman" w:hint="eastAsia"/>
      <w:szCs w:val="20"/>
    </w:rPr>
  </w:style>
  <w:style w:type="character" w:customStyle="1" w:styleId="2308">
    <w:name w:val="2308"/>
    <w:basedOn w:val="a0"/>
    <w:uiPriority w:val="99"/>
    <w:rPr>
      <w:rFonts w:ascii="Times New Roman" w:eastAsia="宋体" w:hAnsi="Times New Roman" w:cs="Times New Roman" w:hint="default"/>
      <w:szCs w:val="21"/>
    </w:rPr>
  </w:style>
  <w:style w:type="character" w:customStyle="1" w:styleId="2306">
    <w:name w:val="2306"/>
    <w:basedOn w:val="a0"/>
    <w:uiPriority w:val="99"/>
    <w:rPr>
      <w:rFonts w:ascii="Times New Roman" w:eastAsia="宋体" w:hAnsi="Times New Roman" w:cs="Times New Roman" w:hint="default"/>
      <w:szCs w:val="21"/>
    </w:rPr>
  </w:style>
  <w:style w:type="character" w:customStyle="1" w:styleId="2304">
    <w:name w:val="2304"/>
    <w:basedOn w:val="a0"/>
    <w:uiPriority w:val="99"/>
    <w:rPr>
      <w:rFonts w:ascii="Times New Roman" w:eastAsia="宋体" w:hAnsi="Times New Roman" w:cs="Times New Roman" w:hint="default"/>
      <w:szCs w:val="21"/>
    </w:rPr>
  </w:style>
  <w:style w:type="character" w:customStyle="1" w:styleId="2301">
    <w:name w:val="2301"/>
    <w:basedOn w:val="a0"/>
    <w:qFormat/>
    <w:rPr>
      <w:kern w:val="2"/>
      <w:sz w:val="21"/>
      <w:szCs w:val="24"/>
    </w:rPr>
  </w:style>
  <w:style w:type="character" w:customStyle="1" w:styleId="2298">
    <w:name w:val="2298"/>
    <w:basedOn w:val="a0"/>
    <w:uiPriority w:val="99"/>
    <w:semiHidden/>
    <w:rPr>
      <w:rFonts w:ascii="宋体" w:eastAsia="宋体" w:hAnsi="宋体" w:hint="eastAsia"/>
      <w:kern w:val="2"/>
      <w:sz w:val="18"/>
      <w:szCs w:val="18"/>
    </w:rPr>
  </w:style>
  <w:style w:type="character" w:customStyle="1" w:styleId="2297">
    <w:name w:val="2297"/>
    <w:basedOn w:val="a0"/>
    <w:uiPriority w:val="99"/>
    <w:rPr>
      <w:color w:val="auto"/>
    </w:rPr>
  </w:style>
  <w:style w:type="character" w:customStyle="1" w:styleId="2294">
    <w:name w:val="2294"/>
    <w:basedOn w:val="a0"/>
    <w:uiPriority w:val="10"/>
    <w:rPr>
      <w:rFonts w:ascii="Cambria" w:hAnsi="Cambria" w:cs="Times New Roman" w:hint="default"/>
      <w:b/>
      <w:kern w:val="2"/>
      <w:sz w:val="32"/>
      <w:szCs w:val="32"/>
    </w:rPr>
  </w:style>
  <w:style w:type="character" w:customStyle="1" w:styleId="2290">
    <w:name w:val="2290"/>
    <w:basedOn w:val="a0"/>
    <w:uiPriority w:val="99"/>
    <w:semiHidden/>
    <w:rPr>
      <w:rFonts w:ascii="宋体" w:eastAsia="宋体" w:hAnsi="宋体" w:cs="宋体" w:hint="eastAsia"/>
      <w:sz w:val="21"/>
      <w:szCs w:val="24"/>
    </w:rPr>
  </w:style>
  <w:style w:type="character" w:customStyle="1" w:styleId="2289">
    <w:name w:val="2289"/>
    <w:basedOn w:val="a0"/>
    <w:uiPriority w:val="99"/>
    <w:semiHidden/>
    <w:rPr>
      <w:vertAlign w:val="superscript"/>
    </w:rPr>
  </w:style>
  <w:style w:type="character" w:customStyle="1" w:styleId="2288">
    <w:name w:val="2288"/>
    <w:basedOn w:val="aff"/>
    <w:uiPriority w:val="99"/>
    <w:semiHidden/>
    <w:rPr>
      <w:rFonts w:ascii="Times New Roman" w:eastAsia="宋体" w:hAnsi="Times New Roman" w:cs="Times New Roman" w:hint="default"/>
      <w:b/>
      <w:kern w:val="2"/>
      <w:szCs w:val="21"/>
    </w:rPr>
  </w:style>
  <w:style w:type="character" w:customStyle="1" w:styleId="2287">
    <w:name w:val="2287"/>
    <w:basedOn w:val="aff"/>
    <w:uiPriority w:val="99"/>
    <w:semiHidden/>
    <w:rPr>
      <w:rFonts w:ascii="Times New Roman" w:eastAsia="宋体" w:hAnsi="Times New Roman" w:cs="Times New Roman" w:hint="default"/>
      <w:b/>
      <w:kern w:val="2"/>
      <w:szCs w:val="21"/>
    </w:rPr>
  </w:style>
  <w:style w:type="character" w:customStyle="1" w:styleId="2280">
    <w:name w:val="2280"/>
    <w:uiPriority w:val="99"/>
    <w:qFormat/>
    <w:rPr>
      <w:rFonts w:ascii="Times New Roman" w:hAnsi="Times New Roman" w:cs="Times New Roman" w:hint="default"/>
      <w:kern w:val="2"/>
      <w:sz w:val="21"/>
      <w:szCs w:val="21"/>
    </w:rPr>
  </w:style>
  <w:style w:type="character" w:customStyle="1" w:styleId="2277">
    <w:name w:val="2277"/>
    <w:rPr>
      <w:rFonts w:ascii="Times New Roman" w:hAnsi="Times New Roman" w:cs="Times New Roman" w:hint="default"/>
      <w:kern w:val="2"/>
      <w:sz w:val="21"/>
      <w:szCs w:val="21"/>
    </w:rPr>
  </w:style>
  <w:style w:type="character" w:customStyle="1" w:styleId="2276">
    <w:name w:val="2276"/>
    <w:basedOn w:val="a0"/>
    <w:uiPriority w:val="22"/>
    <w:qFormat/>
    <w:rPr>
      <w:b/>
    </w:rPr>
  </w:style>
  <w:style w:type="character" w:customStyle="1" w:styleId="2275">
    <w:name w:val="2275"/>
    <w:uiPriority w:val="99"/>
    <w:rPr>
      <w:rFonts w:ascii="Times New Roman" w:hAnsi="Times New Roman" w:cs="Times New Roman" w:hint="default"/>
      <w:kern w:val="2"/>
      <w:sz w:val="21"/>
      <w:szCs w:val="21"/>
    </w:rPr>
  </w:style>
  <w:style w:type="character" w:customStyle="1" w:styleId="2266">
    <w:name w:val="2266"/>
    <w:basedOn w:val="a0"/>
    <w:semiHidden/>
    <w:rPr>
      <w:rFonts w:ascii="Arial" w:hAnsi="Arial" w:cs="Times New Roman" w:hint="default"/>
      <w:b/>
      <w:kern w:val="2"/>
    </w:rPr>
  </w:style>
  <w:style w:type="character" w:customStyle="1" w:styleId="2265">
    <w:name w:val="2265"/>
    <w:basedOn w:val="a0"/>
    <w:uiPriority w:val="1"/>
    <w:qFormat/>
    <w:rPr>
      <w:kern w:val="2"/>
      <w:szCs w:val="22"/>
    </w:rPr>
  </w:style>
  <w:style w:type="character" w:customStyle="1" w:styleId="2264">
    <w:name w:val="2264"/>
    <w:basedOn w:val="a0"/>
    <w:uiPriority w:val="99"/>
    <w:rPr>
      <w:sz w:val="24"/>
    </w:rPr>
  </w:style>
  <w:style w:type="character" w:customStyle="1" w:styleId="2253">
    <w:name w:val="2253"/>
    <w:uiPriority w:val="1"/>
    <w:semiHidden/>
  </w:style>
  <w:style w:type="character" w:customStyle="1" w:styleId="2228">
    <w:name w:val="2228"/>
    <w:basedOn w:val="2253"/>
    <w:qFormat/>
    <w:rPr>
      <w:b/>
    </w:rPr>
  </w:style>
  <w:style w:type="character" w:customStyle="1" w:styleId="2227">
    <w:name w:val="2227"/>
    <w:basedOn w:val="2253"/>
    <w:qFormat/>
    <w:rPr>
      <w:vertAlign w:val="superscript"/>
    </w:rPr>
  </w:style>
  <w:style w:type="character" w:customStyle="1" w:styleId="2225">
    <w:name w:val="2225"/>
    <w:basedOn w:val="2253"/>
    <w:qFormat/>
    <w:rPr>
      <w:rFonts w:ascii="Times New Roman" w:hAnsi="Times New Roman" w:cs="Times New Roman" w:hint="default"/>
      <w:color w:val="0000FF"/>
      <w:u w:val="single"/>
    </w:rPr>
  </w:style>
  <w:style w:type="character" w:customStyle="1" w:styleId="2224">
    <w:name w:val="2224"/>
    <w:basedOn w:val="2253"/>
    <w:qFormat/>
    <w:rPr>
      <w:rFonts w:ascii="宋体" w:eastAsia="宋体" w:hAnsi="宋体" w:cs="Times New Roman" w:hint="eastAsia"/>
      <w:kern w:val="2"/>
      <w:sz w:val="21"/>
      <w:szCs w:val="21"/>
      <w:lang w:val="en-US" w:eastAsia="zh-CN" w:bidi="ar-SA"/>
    </w:rPr>
  </w:style>
  <w:style w:type="character" w:customStyle="1" w:styleId="2222">
    <w:name w:val="2222"/>
    <w:basedOn w:val="2253"/>
    <w:uiPriority w:val="99"/>
    <w:qFormat/>
    <w:locked/>
    <w:rPr>
      <w:bCs/>
    </w:rPr>
  </w:style>
  <w:style w:type="character" w:customStyle="1" w:styleId="322">
    <w:name w:val="标题 3 字符2"/>
    <w:basedOn w:val="2253"/>
    <w:uiPriority w:val="9"/>
    <w:semiHidden/>
    <w:qFormat/>
    <w:locked/>
    <w:rPr>
      <w:rFonts w:ascii="Calibri" w:hAnsi="Calibri" w:cs="Times New Roman"/>
      <w:b/>
      <w:bCs/>
      <w:kern w:val="2"/>
      <w:szCs w:val="32"/>
    </w:rPr>
  </w:style>
  <w:style w:type="character" w:customStyle="1" w:styleId="42">
    <w:name w:val="标题 4 字符2"/>
    <w:basedOn w:val="2253"/>
    <w:uiPriority w:val="9"/>
    <w:semiHidden/>
    <w:qFormat/>
    <w:locked/>
    <w:rPr>
      <w:rFonts w:ascii="Cambria" w:hAnsi="Cambria" w:cs="Times New Roman"/>
      <w:b/>
      <w:bCs/>
      <w:kern w:val="2"/>
      <w:szCs w:val="28"/>
    </w:rPr>
  </w:style>
  <w:style w:type="character" w:customStyle="1" w:styleId="51a">
    <w:name w:val="标题 5 字符1"/>
    <w:basedOn w:val="2253"/>
    <w:uiPriority w:val="9"/>
    <w:semiHidden/>
    <w:qFormat/>
    <w:locked/>
    <w:rPr>
      <w:rFonts w:ascii="Calibri" w:hAnsi="Calibri" w:cs="Times New Roman"/>
      <w:b/>
      <w:bCs/>
      <w:kern w:val="2"/>
      <w:szCs w:val="28"/>
    </w:rPr>
  </w:style>
  <w:style w:type="character" w:customStyle="1" w:styleId="2220">
    <w:name w:val="2220"/>
    <w:basedOn w:val="2253"/>
    <w:qFormat/>
    <w:rPr>
      <w:rFonts w:ascii="Times New Roman" w:eastAsia="宋体" w:hAnsi="Times New Roman" w:cs="Times New Roman" w:hint="default"/>
      <w:szCs w:val="21"/>
    </w:rPr>
  </w:style>
  <w:style w:type="character" w:customStyle="1" w:styleId="1f1">
    <w:name w:val="纯文本 字符1"/>
    <w:basedOn w:val="2253"/>
    <w:uiPriority w:val="99"/>
    <w:semiHidden/>
    <w:qFormat/>
    <w:locked/>
    <w:rPr>
      <w:rFonts w:hAnsi="Courier New" w:cs="Times New Roman"/>
      <w:bCs/>
      <w:kern w:val="2"/>
      <w:szCs w:val="20"/>
    </w:rPr>
  </w:style>
  <w:style w:type="character" w:customStyle="1" w:styleId="2219">
    <w:name w:val="2219"/>
    <w:basedOn w:val="2253"/>
    <w:uiPriority w:val="99"/>
    <w:qFormat/>
    <w:rPr>
      <w:rFonts w:ascii="Times New Roman" w:eastAsia="宋体" w:hAnsi="Times New Roman" w:cs="Times New Roman" w:hint="default"/>
      <w:szCs w:val="21"/>
    </w:rPr>
  </w:style>
  <w:style w:type="character" w:customStyle="1" w:styleId="2218">
    <w:name w:val="2218"/>
    <w:basedOn w:val="2253"/>
    <w:uiPriority w:val="99"/>
    <w:qFormat/>
    <w:rPr>
      <w:rFonts w:ascii="宋体" w:eastAsia="宋体" w:hAnsi="宋体" w:cs="Times New Roman" w:hint="eastAsia"/>
      <w:color w:val="FF0000"/>
      <w:kern w:val="2"/>
      <w:sz w:val="24"/>
      <w:szCs w:val="24"/>
      <w:lang w:val="en-US" w:eastAsia="zh-CN" w:bidi="ar-SA"/>
    </w:rPr>
  </w:style>
  <w:style w:type="character" w:customStyle="1" w:styleId="1f2">
    <w:name w:val="日期 字符1"/>
    <w:basedOn w:val="2253"/>
    <w:uiPriority w:val="99"/>
    <w:semiHidden/>
    <w:qFormat/>
    <w:locked/>
    <w:rPr>
      <w:rFonts w:ascii="Times New Roman" w:hAnsi="Times New Roman" w:cs="Times New Roman"/>
      <w:bCs/>
      <w:kern w:val="2"/>
    </w:rPr>
  </w:style>
  <w:style w:type="character" w:customStyle="1" w:styleId="1f3">
    <w:name w:val="正文文本 字符1"/>
    <w:basedOn w:val="2253"/>
    <w:uiPriority w:val="99"/>
    <w:semiHidden/>
    <w:qFormat/>
    <w:locked/>
    <w:rPr>
      <w:rFonts w:ascii="Times New Roman" w:hAnsi="Times New Roman" w:cs="Times New Roman"/>
      <w:bCs/>
      <w:kern w:val="2"/>
    </w:rPr>
  </w:style>
  <w:style w:type="character" w:customStyle="1" w:styleId="2215">
    <w:name w:val="2215"/>
    <w:basedOn w:val="2253"/>
    <w:qFormat/>
    <w:rPr>
      <w:rFonts w:ascii="宋体" w:eastAsia="宋体" w:hAnsi="Courier New" w:cs="Times New Roman" w:hint="eastAsia"/>
      <w:szCs w:val="20"/>
    </w:rPr>
  </w:style>
  <w:style w:type="character" w:customStyle="1" w:styleId="2214">
    <w:name w:val="2214"/>
    <w:basedOn w:val="2253"/>
    <w:qFormat/>
    <w:rPr>
      <w:rFonts w:ascii="宋体" w:eastAsia="宋体" w:hAnsi="宋体" w:cs="Times New Roman" w:hint="eastAsia"/>
      <w:kern w:val="2"/>
      <w:sz w:val="24"/>
      <w:szCs w:val="24"/>
      <w:lang w:val="en-US" w:eastAsia="zh-CN" w:bidi="ar-SA"/>
    </w:rPr>
  </w:style>
  <w:style w:type="character" w:customStyle="1" w:styleId="2213">
    <w:name w:val="2213"/>
    <w:basedOn w:val="2253"/>
    <w:uiPriority w:val="99"/>
    <w:qFormat/>
    <w:rPr>
      <w:rFonts w:ascii="Times New Roman" w:eastAsia="宋体" w:hAnsi="Times New Roman" w:cs="Times New Roman" w:hint="default"/>
      <w:szCs w:val="21"/>
    </w:rPr>
  </w:style>
  <w:style w:type="character" w:customStyle="1" w:styleId="1f4">
    <w:name w:val="页眉 字符1"/>
    <w:basedOn w:val="2253"/>
    <w:uiPriority w:val="99"/>
    <w:semiHidden/>
    <w:qFormat/>
    <w:locked/>
    <w:rPr>
      <w:rFonts w:ascii="Calibri" w:hAnsi="Calibri" w:cs="Times New Roman"/>
      <w:bCs/>
      <w:kern w:val="2"/>
      <w:sz w:val="18"/>
      <w:szCs w:val="18"/>
    </w:rPr>
  </w:style>
  <w:style w:type="character" w:customStyle="1" w:styleId="22110">
    <w:name w:val="2211"/>
    <w:basedOn w:val="2253"/>
    <w:uiPriority w:val="99"/>
    <w:qFormat/>
    <w:rPr>
      <w:rFonts w:ascii="Times New Roman" w:eastAsia="宋体" w:hAnsi="Times New Roman" w:cs="Times New Roman" w:hint="default"/>
      <w:szCs w:val="21"/>
    </w:rPr>
  </w:style>
  <w:style w:type="character" w:customStyle="1" w:styleId="1f5">
    <w:name w:val="尾注文本 字符1"/>
    <w:basedOn w:val="2253"/>
    <w:uiPriority w:val="99"/>
    <w:semiHidden/>
    <w:qFormat/>
    <w:locked/>
    <w:rPr>
      <w:bCs/>
    </w:rPr>
  </w:style>
  <w:style w:type="character" w:customStyle="1" w:styleId="614">
    <w:name w:val="标题 6 字符1"/>
    <w:basedOn w:val="2253"/>
    <w:uiPriority w:val="9"/>
    <w:semiHidden/>
    <w:qFormat/>
    <w:locked/>
    <w:rPr>
      <w:rFonts w:ascii="Cambria" w:hAnsi="Cambria" w:cs="Times New Roman"/>
      <w:b/>
      <w:bCs/>
    </w:rPr>
  </w:style>
  <w:style w:type="character" w:customStyle="1" w:styleId="1f6">
    <w:name w:val="页脚 字符1"/>
    <w:basedOn w:val="2253"/>
    <w:uiPriority w:val="99"/>
    <w:semiHidden/>
    <w:qFormat/>
    <w:locked/>
    <w:rPr>
      <w:rFonts w:ascii="Calibri" w:hAnsi="Calibri" w:cs="Times New Roman"/>
      <w:bCs/>
      <w:kern w:val="2"/>
      <w:sz w:val="18"/>
      <w:szCs w:val="18"/>
    </w:rPr>
  </w:style>
  <w:style w:type="character" w:customStyle="1" w:styleId="2206">
    <w:name w:val="2206"/>
    <w:basedOn w:val="2220"/>
    <w:uiPriority w:val="99"/>
    <w:semiHidden/>
    <w:qFormat/>
    <w:rPr>
      <w:rFonts w:ascii="Times New Roman" w:eastAsia="宋体" w:hAnsi="Times New Roman" w:cs="Times New Roman" w:hint="default"/>
      <w:b/>
      <w:szCs w:val="21"/>
    </w:rPr>
  </w:style>
  <w:style w:type="character" w:customStyle="1" w:styleId="2202">
    <w:name w:val="2202"/>
    <w:basedOn w:val="2253"/>
    <w:qFormat/>
    <w:rPr>
      <w:rFonts w:ascii="Times New Roman" w:hAnsi="Times New Roman" w:cs="Times New Roman" w:hint="default"/>
      <w:b/>
      <w:kern w:val="2"/>
      <w:sz w:val="21"/>
      <w:szCs w:val="24"/>
    </w:rPr>
  </w:style>
  <w:style w:type="character" w:customStyle="1" w:styleId="2201">
    <w:name w:val="2201"/>
    <w:basedOn w:val="2220"/>
    <w:uiPriority w:val="99"/>
    <w:semiHidden/>
    <w:qFormat/>
    <w:rPr>
      <w:rFonts w:ascii="Times New Roman" w:eastAsia="宋体" w:hAnsi="Times New Roman" w:cs="Times New Roman" w:hint="default"/>
      <w:b/>
      <w:szCs w:val="21"/>
    </w:rPr>
  </w:style>
  <w:style w:type="character" w:customStyle="1" w:styleId="711">
    <w:name w:val="标题 7 字符1"/>
    <w:basedOn w:val="2253"/>
    <w:uiPriority w:val="9"/>
    <w:semiHidden/>
    <w:qFormat/>
    <w:locked/>
    <w:rPr>
      <w:b/>
      <w:bCs/>
      <w:sz w:val="24"/>
    </w:rPr>
  </w:style>
  <w:style w:type="character" w:customStyle="1" w:styleId="22000">
    <w:name w:val="2200"/>
    <w:basedOn w:val="2253"/>
    <w:qFormat/>
  </w:style>
  <w:style w:type="character" w:customStyle="1" w:styleId="2199">
    <w:name w:val="2199"/>
    <w:uiPriority w:val="9"/>
    <w:qFormat/>
    <w:rPr>
      <w:rFonts w:ascii="Cambria" w:hAnsi="Cambria" w:hint="default"/>
      <w:b/>
      <w:kern w:val="2"/>
      <w:sz w:val="21"/>
      <w:szCs w:val="28"/>
    </w:rPr>
  </w:style>
  <w:style w:type="character" w:customStyle="1" w:styleId="2196">
    <w:name w:val="2196"/>
    <w:uiPriority w:val="9"/>
    <w:qFormat/>
    <w:rPr>
      <w:b/>
      <w:kern w:val="2"/>
      <w:sz w:val="21"/>
      <w:szCs w:val="32"/>
    </w:rPr>
  </w:style>
  <w:style w:type="character" w:customStyle="1" w:styleId="2192">
    <w:name w:val="2192"/>
    <w:uiPriority w:val="99"/>
    <w:qFormat/>
    <w:rPr>
      <w:rFonts w:ascii="Times New Roman" w:hAnsi="Times New Roman" w:cs="Times New Roman" w:hint="default"/>
      <w:kern w:val="2"/>
      <w:sz w:val="21"/>
      <w:szCs w:val="21"/>
    </w:rPr>
  </w:style>
  <w:style w:type="character" w:customStyle="1" w:styleId="2190">
    <w:name w:val="2190"/>
    <w:uiPriority w:val="9"/>
    <w:qFormat/>
    <w:rPr>
      <w:b/>
      <w:kern w:val="2"/>
      <w:sz w:val="21"/>
      <w:szCs w:val="28"/>
    </w:rPr>
  </w:style>
  <w:style w:type="character" w:customStyle="1" w:styleId="2188">
    <w:name w:val="2188"/>
    <w:uiPriority w:val="9"/>
    <w:qFormat/>
    <w:rPr>
      <w:b/>
      <w:kern w:val="2"/>
      <w:sz w:val="21"/>
      <w:szCs w:val="32"/>
    </w:rPr>
  </w:style>
  <w:style w:type="character" w:customStyle="1" w:styleId="2187">
    <w:name w:val="2187"/>
    <w:qFormat/>
    <w:rPr>
      <w:rFonts w:ascii="Arial" w:hAnsi="Arial" w:cs="Arial" w:hint="default"/>
      <w:b/>
      <w:kern w:val="2"/>
      <w:sz w:val="21"/>
      <w:szCs w:val="21"/>
    </w:rPr>
  </w:style>
  <w:style w:type="character" w:customStyle="1" w:styleId="2186">
    <w:name w:val="2186"/>
    <w:uiPriority w:val="9"/>
    <w:qFormat/>
    <w:rPr>
      <w:rFonts w:ascii="Cambria" w:hAnsi="Cambria" w:hint="default"/>
      <w:b/>
      <w:kern w:val="2"/>
      <w:sz w:val="21"/>
      <w:szCs w:val="28"/>
    </w:rPr>
  </w:style>
  <w:style w:type="character" w:customStyle="1" w:styleId="2185">
    <w:name w:val="2185"/>
    <w:uiPriority w:val="9"/>
    <w:qFormat/>
    <w:rPr>
      <w:b/>
      <w:kern w:val="2"/>
      <w:sz w:val="21"/>
      <w:szCs w:val="28"/>
    </w:rPr>
  </w:style>
  <w:style w:type="character" w:customStyle="1" w:styleId="2183">
    <w:name w:val="2183"/>
    <w:qFormat/>
    <w:rPr>
      <w:rFonts w:ascii="Times New Roman" w:hAnsi="Times New Roman" w:cs="Times New Roman" w:hint="default"/>
      <w:kern w:val="2"/>
      <w:sz w:val="21"/>
      <w:szCs w:val="21"/>
    </w:rPr>
  </w:style>
  <w:style w:type="character" w:customStyle="1" w:styleId="81">
    <w:name w:val="标题 8 字符1"/>
    <w:basedOn w:val="2253"/>
    <w:link w:val="8"/>
    <w:uiPriority w:val="99"/>
    <w:semiHidden/>
    <w:qFormat/>
    <w:locked/>
    <w:rPr>
      <w:rFonts w:ascii="Arial" w:eastAsia="黑体" w:hAnsi="Arial" w:cs="Times New Roman"/>
      <w:bCs/>
      <w:color w:val="000000"/>
      <w:sz w:val="24"/>
      <w:szCs w:val="20"/>
    </w:rPr>
  </w:style>
  <w:style w:type="character" w:customStyle="1" w:styleId="91">
    <w:name w:val="标题 9 字符1"/>
    <w:basedOn w:val="2253"/>
    <w:link w:val="9"/>
    <w:uiPriority w:val="99"/>
    <w:semiHidden/>
    <w:qFormat/>
    <w:locked/>
    <w:rPr>
      <w:rFonts w:ascii="Arial" w:eastAsia="黑体" w:hAnsi="Arial" w:cs="Times New Roman"/>
      <w:bCs/>
      <w:color w:val="000000"/>
      <w:sz w:val="24"/>
      <w:szCs w:val="20"/>
    </w:rPr>
  </w:style>
  <w:style w:type="character" w:customStyle="1" w:styleId="2181">
    <w:name w:val="2181"/>
    <w:basedOn w:val="2253"/>
    <w:uiPriority w:val="99"/>
    <w:qFormat/>
    <w:rPr>
      <w:rFonts w:ascii="Times New Roman" w:eastAsia="宋体" w:hAnsi="Times New Roman" w:cs="Times New Roman" w:hint="default"/>
      <w:szCs w:val="21"/>
    </w:rPr>
  </w:style>
  <w:style w:type="character" w:customStyle="1" w:styleId="2177">
    <w:name w:val="2177"/>
    <w:basedOn w:val="2253"/>
    <w:qFormat/>
    <w:rPr>
      <w:b/>
      <w:sz w:val="24"/>
      <w:szCs w:val="24"/>
    </w:rPr>
  </w:style>
  <w:style w:type="character" w:customStyle="1" w:styleId="2176">
    <w:name w:val="2176"/>
    <w:qFormat/>
    <w:rPr>
      <w:rFonts w:ascii="宋体" w:eastAsia="宋体" w:hAnsi="宋体" w:hint="eastAsia"/>
      <w:color w:val="000000"/>
      <w:sz w:val="24"/>
      <w:szCs w:val="24"/>
    </w:rPr>
  </w:style>
  <w:style w:type="character" w:customStyle="1" w:styleId="2175">
    <w:name w:val="2175"/>
    <w:uiPriority w:val="99"/>
    <w:qFormat/>
    <w:rPr>
      <w:rFonts w:ascii="Times New Roman" w:hAnsi="Times New Roman" w:cs="Times New Roman" w:hint="default"/>
      <w:kern w:val="2"/>
      <w:sz w:val="21"/>
      <w:szCs w:val="21"/>
    </w:rPr>
  </w:style>
  <w:style w:type="character" w:customStyle="1" w:styleId="2174">
    <w:name w:val="2174"/>
    <w:qFormat/>
    <w:rPr>
      <w:rFonts w:ascii="FZLTSK--GBK1-0" w:hAnsi="FZLTSK--GBK1-0" w:hint="default"/>
      <w:bCs/>
      <w:color w:val="000000"/>
      <w:sz w:val="20"/>
      <w:szCs w:val="20"/>
    </w:rPr>
  </w:style>
  <w:style w:type="character" w:customStyle="1" w:styleId="2160">
    <w:name w:val="2160"/>
    <w:basedOn w:val="2220"/>
    <w:uiPriority w:val="99"/>
    <w:semiHidden/>
    <w:qFormat/>
    <w:rPr>
      <w:rFonts w:ascii="Times New Roman" w:eastAsia="宋体" w:hAnsi="Times New Roman" w:cs="Times New Roman" w:hint="default"/>
      <w:b/>
      <w:color w:val="000000"/>
      <w:sz w:val="21"/>
      <w:szCs w:val="21"/>
    </w:rPr>
  </w:style>
  <w:style w:type="character" w:customStyle="1" w:styleId="2154">
    <w:name w:val="2154"/>
    <w:basedOn w:val="2253"/>
    <w:qFormat/>
    <w:rPr>
      <w:rFonts w:ascii="宋体" w:eastAsia="宋体" w:hAnsi="宋体" w:hint="eastAsia"/>
      <w:color w:val="000000"/>
      <w:sz w:val="22"/>
      <w:szCs w:val="22"/>
    </w:rPr>
  </w:style>
  <w:style w:type="character" w:customStyle="1" w:styleId="2153">
    <w:name w:val="2153"/>
    <w:basedOn w:val="2253"/>
    <w:uiPriority w:val="9"/>
    <w:qFormat/>
    <w:rPr>
      <w:rFonts w:ascii="Cambria" w:hAnsi="Cambria" w:hint="default"/>
      <w:b/>
      <w:kern w:val="2"/>
      <w:sz w:val="21"/>
      <w:szCs w:val="28"/>
    </w:rPr>
  </w:style>
  <w:style w:type="character" w:customStyle="1" w:styleId="2151">
    <w:name w:val="2151"/>
    <w:basedOn w:val="2253"/>
    <w:uiPriority w:val="9"/>
    <w:qFormat/>
    <w:rPr>
      <w:b/>
      <w:kern w:val="2"/>
      <w:sz w:val="21"/>
      <w:szCs w:val="32"/>
    </w:rPr>
  </w:style>
  <w:style w:type="character" w:customStyle="1" w:styleId="2142">
    <w:name w:val="2142"/>
    <w:basedOn w:val="2253"/>
    <w:semiHidden/>
    <w:qFormat/>
    <w:rPr>
      <w:rFonts w:ascii="Arial" w:hAnsi="Arial" w:cs="Times New Roman" w:hint="default"/>
      <w:b/>
      <w:kern w:val="2"/>
    </w:rPr>
  </w:style>
  <w:style w:type="character" w:customStyle="1" w:styleId="2141">
    <w:name w:val="2141"/>
    <w:basedOn w:val="2253"/>
    <w:uiPriority w:val="1"/>
    <w:qFormat/>
    <w:rPr>
      <w:kern w:val="2"/>
      <w:szCs w:val="22"/>
    </w:rPr>
  </w:style>
  <w:style w:type="character" w:customStyle="1" w:styleId="1f7">
    <w:name w:val="注释标题 字符1"/>
    <w:basedOn w:val="2253"/>
    <w:uiPriority w:val="99"/>
    <w:semiHidden/>
    <w:qFormat/>
    <w:locked/>
    <w:rPr>
      <w:rFonts w:ascii="Times New Roman" w:hAnsi="Times New Roman" w:cs="Times New Roman"/>
      <w:bCs/>
      <w:kern w:val="2"/>
    </w:rPr>
  </w:style>
  <w:style w:type="character" w:customStyle="1" w:styleId="2131">
    <w:name w:val="2131"/>
    <w:basedOn w:val="2253"/>
    <w:uiPriority w:val="99"/>
    <w:qFormat/>
    <w:rPr>
      <w:rFonts w:ascii="黑体" w:eastAsia="黑体" w:hAnsi="黑体" w:hint="eastAsia"/>
      <w:b/>
      <w:kern w:val="44"/>
      <w:sz w:val="28"/>
      <w:szCs w:val="44"/>
    </w:rPr>
  </w:style>
  <w:style w:type="character" w:customStyle="1" w:styleId="2130">
    <w:name w:val="2130"/>
    <w:basedOn w:val="2253"/>
    <w:qFormat/>
    <w:rPr>
      <w:rFonts w:ascii="Arial" w:hAnsi="Arial" w:cs="Arial" w:hint="default"/>
      <w:b/>
      <w:kern w:val="2"/>
      <w:sz w:val="21"/>
      <w:szCs w:val="21"/>
    </w:rPr>
  </w:style>
  <w:style w:type="character" w:customStyle="1" w:styleId="2129">
    <w:name w:val="2129"/>
    <w:basedOn w:val="2253"/>
    <w:uiPriority w:val="9"/>
    <w:qFormat/>
    <w:rPr>
      <w:b/>
      <w:kern w:val="2"/>
      <w:sz w:val="21"/>
      <w:szCs w:val="32"/>
    </w:rPr>
  </w:style>
  <w:style w:type="character" w:customStyle="1" w:styleId="2128">
    <w:name w:val="2128"/>
    <w:basedOn w:val="2253"/>
    <w:uiPriority w:val="9"/>
    <w:qFormat/>
    <w:rPr>
      <w:rFonts w:ascii="Cambria" w:hAnsi="Cambria" w:hint="default"/>
      <w:b/>
      <w:kern w:val="2"/>
      <w:sz w:val="21"/>
      <w:szCs w:val="28"/>
    </w:rPr>
  </w:style>
  <w:style w:type="character" w:customStyle="1" w:styleId="2127">
    <w:name w:val="2127"/>
    <w:basedOn w:val="2253"/>
    <w:uiPriority w:val="9"/>
    <w:qFormat/>
    <w:rPr>
      <w:b/>
      <w:kern w:val="2"/>
      <w:sz w:val="21"/>
      <w:szCs w:val="28"/>
    </w:rPr>
  </w:style>
  <w:style w:type="character" w:customStyle="1" w:styleId="2124">
    <w:name w:val="2124"/>
    <w:basedOn w:val="2253"/>
    <w:qFormat/>
    <w:rPr>
      <w:rFonts w:ascii="Times New Roman" w:eastAsia="宋体" w:hAnsi="Times New Roman" w:cs="Times New Roman" w:hint="default"/>
      <w:szCs w:val="21"/>
    </w:rPr>
  </w:style>
  <w:style w:type="character" w:customStyle="1" w:styleId="2122">
    <w:name w:val="2122"/>
    <w:basedOn w:val="2253"/>
    <w:uiPriority w:val="99"/>
    <w:qFormat/>
    <w:rPr>
      <w:rFonts w:ascii="Calibri" w:eastAsia="宋体" w:hAnsi="Calibri" w:cs="Times New Roman" w:hint="default"/>
      <w:sz w:val="18"/>
      <w:szCs w:val="18"/>
    </w:rPr>
  </w:style>
  <w:style w:type="character" w:customStyle="1" w:styleId="2121">
    <w:name w:val="2121"/>
    <w:basedOn w:val="2253"/>
    <w:uiPriority w:val="99"/>
    <w:qFormat/>
    <w:rPr>
      <w:rFonts w:ascii="Times New Roman" w:eastAsia="宋体" w:hAnsi="Times New Roman" w:cs="Times New Roman" w:hint="default"/>
      <w:szCs w:val="21"/>
    </w:rPr>
  </w:style>
  <w:style w:type="character" w:customStyle="1" w:styleId="2119">
    <w:name w:val="2119"/>
    <w:basedOn w:val="2124"/>
    <w:uiPriority w:val="99"/>
    <w:qFormat/>
    <w:rPr>
      <w:rFonts w:ascii="Calibri" w:eastAsia="宋体" w:hAnsi="Calibri" w:cs="Times New Roman" w:hint="default"/>
      <w:b/>
      <w:szCs w:val="21"/>
    </w:rPr>
  </w:style>
  <w:style w:type="character" w:customStyle="1" w:styleId="2117">
    <w:name w:val="2117"/>
    <w:basedOn w:val="2253"/>
    <w:uiPriority w:val="99"/>
    <w:qFormat/>
    <w:rPr>
      <w:rFonts w:ascii="Calibri" w:eastAsia="宋体" w:hAnsi="Calibri" w:cs="Times New Roman" w:hint="default"/>
      <w:sz w:val="18"/>
      <w:szCs w:val="18"/>
    </w:rPr>
  </w:style>
  <w:style w:type="character" w:customStyle="1" w:styleId="2115">
    <w:name w:val="2115"/>
    <w:basedOn w:val="2253"/>
    <w:uiPriority w:val="99"/>
    <w:qFormat/>
    <w:rPr>
      <w:rFonts w:ascii="Calibri" w:eastAsia="宋体" w:hAnsi="Calibri" w:cs="Times New Roman" w:hint="default"/>
      <w:sz w:val="18"/>
      <w:szCs w:val="18"/>
    </w:rPr>
  </w:style>
  <w:style w:type="character" w:customStyle="1" w:styleId="2113">
    <w:name w:val="2113"/>
    <w:basedOn w:val="2253"/>
    <w:qFormat/>
    <w:rPr>
      <w:rFonts w:ascii="宋体" w:eastAsia="宋体" w:hAnsi="Courier New" w:cs="Times New Roman" w:hint="eastAsia"/>
      <w:szCs w:val="20"/>
    </w:rPr>
  </w:style>
  <w:style w:type="character" w:customStyle="1" w:styleId="2111">
    <w:name w:val="2111"/>
    <w:basedOn w:val="2253"/>
    <w:uiPriority w:val="99"/>
    <w:qFormat/>
    <w:rPr>
      <w:rFonts w:ascii="Times New Roman" w:eastAsia="宋体" w:hAnsi="Times New Roman" w:cs="Times New Roman" w:hint="default"/>
      <w:szCs w:val="21"/>
    </w:rPr>
  </w:style>
  <w:style w:type="character" w:customStyle="1" w:styleId="2109">
    <w:name w:val="2109"/>
    <w:basedOn w:val="2253"/>
    <w:uiPriority w:val="99"/>
    <w:qFormat/>
    <w:rPr>
      <w:rFonts w:ascii="Times New Roman" w:eastAsia="宋体" w:hAnsi="Times New Roman" w:cs="Times New Roman" w:hint="default"/>
      <w:szCs w:val="21"/>
    </w:rPr>
  </w:style>
  <w:style w:type="character" w:customStyle="1" w:styleId="2107">
    <w:name w:val="2107"/>
    <w:basedOn w:val="2253"/>
    <w:uiPriority w:val="99"/>
    <w:qFormat/>
    <w:rPr>
      <w:rFonts w:ascii="Times New Roman" w:eastAsia="宋体" w:hAnsi="Times New Roman" w:cs="Times New Roman" w:hint="default"/>
      <w:szCs w:val="21"/>
    </w:rPr>
  </w:style>
  <w:style w:type="character" w:customStyle="1" w:styleId="2103">
    <w:name w:val="2103"/>
    <w:basedOn w:val="2253"/>
    <w:qFormat/>
    <w:rPr>
      <w:kern w:val="2"/>
      <w:sz w:val="21"/>
      <w:szCs w:val="24"/>
    </w:rPr>
  </w:style>
  <w:style w:type="character" w:customStyle="1" w:styleId="21000">
    <w:name w:val="2100"/>
    <w:basedOn w:val="2253"/>
    <w:uiPriority w:val="99"/>
    <w:semiHidden/>
    <w:qFormat/>
    <w:rPr>
      <w:rFonts w:ascii="宋体" w:eastAsia="宋体" w:hAnsi="宋体" w:hint="eastAsia"/>
      <w:kern w:val="2"/>
      <w:sz w:val="18"/>
      <w:szCs w:val="18"/>
    </w:rPr>
  </w:style>
  <w:style w:type="character" w:customStyle="1" w:styleId="2099">
    <w:name w:val="2099"/>
    <w:basedOn w:val="2253"/>
    <w:uiPriority w:val="99"/>
    <w:qFormat/>
    <w:rPr>
      <w:color w:val="auto"/>
    </w:rPr>
  </w:style>
  <w:style w:type="character" w:customStyle="1" w:styleId="2097">
    <w:name w:val="2097"/>
    <w:basedOn w:val="2253"/>
    <w:uiPriority w:val="10"/>
    <w:qFormat/>
    <w:rPr>
      <w:rFonts w:ascii="Cambria" w:hAnsi="Cambria" w:cs="Times New Roman" w:hint="default"/>
      <w:b/>
      <w:kern w:val="2"/>
      <w:sz w:val="32"/>
      <w:szCs w:val="32"/>
    </w:rPr>
  </w:style>
  <w:style w:type="character" w:customStyle="1" w:styleId="2089">
    <w:name w:val="2089"/>
    <w:basedOn w:val="2253"/>
    <w:uiPriority w:val="9"/>
    <w:qFormat/>
    <w:rPr>
      <w:rFonts w:ascii="Cambria" w:hAnsi="Cambria" w:cs="Times New Roman" w:hint="default"/>
      <w:b/>
      <w:sz w:val="21"/>
      <w:szCs w:val="24"/>
    </w:rPr>
  </w:style>
  <w:style w:type="character" w:customStyle="1" w:styleId="2086">
    <w:name w:val="2086"/>
    <w:basedOn w:val="2253"/>
    <w:uiPriority w:val="99"/>
    <w:semiHidden/>
    <w:qFormat/>
    <w:rPr>
      <w:rFonts w:ascii="宋体" w:eastAsia="宋体" w:hAnsi="宋体" w:cs="宋体" w:hint="eastAsia"/>
      <w:sz w:val="21"/>
      <w:szCs w:val="24"/>
    </w:rPr>
  </w:style>
  <w:style w:type="character" w:customStyle="1" w:styleId="2085">
    <w:name w:val="2085"/>
    <w:basedOn w:val="2253"/>
    <w:uiPriority w:val="99"/>
    <w:semiHidden/>
    <w:qFormat/>
    <w:rPr>
      <w:vertAlign w:val="superscript"/>
    </w:rPr>
  </w:style>
  <w:style w:type="character" w:customStyle="1" w:styleId="2084">
    <w:name w:val="2084"/>
    <w:basedOn w:val="2124"/>
    <w:uiPriority w:val="99"/>
    <w:semiHidden/>
    <w:qFormat/>
    <w:rPr>
      <w:rFonts w:ascii="Times New Roman" w:eastAsia="宋体" w:hAnsi="Times New Roman" w:cs="Times New Roman" w:hint="default"/>
      <w:b/>
      <w:szCs w:val="21"/>
    </w:rPr>
  </w:style>
  <w:style w:type="character" w:customStyle="1" w:styleId="2083">
    <w:name w:val="2083"/>
    <w:basedOn w:val="2124"/>
    <w:uiPriority w:val="99"/>
    <w:semiHidden/>
    <w:qFormat/>
    <w:rPr>
      <w:rFonts w:ascii="Times New Roman" w:eastAsia="宋体" w:hAnsi="Times New Roman" w:cs="Times New Roman" w:hint="default"/>
      <w:b/>
      <w:szCs w:val="21"/>
    </w:rPr>
  </w:style>
  <w:style w:type="character" w:customStyle="1" w:styleId="2082">
    <w:name w:val="2082"/>
    <w:basedOn w:val="2253"/>
    <w:uiPriority w:val="9"/>
    <w:qFormat/>
    <w:rPr>
      <w:rFonts w:ascii="宋体" w:eastAsia="宋体" w:hAnsi="宋体" w:cs="宋体" w:hint="eastAsia"/>
      <w:b/>
      <w:sz w:val="24"/>
      <w:szCs w:val="24"/>
    </w:rPr>
  </w:style>
  <w:style w:type="character" w:customStyle="1" w:styleId="2075">
    <w:name w:val="2075"/>
    <w:uiPriority w:val="99"/>
    <w:qFormat/>
    <w:rPr>
      <w:rFonts w:ascii="Times New Roman" w:hAnsi="Times New Roman" w:cs="Times New Roman" w:hint="default"/>
      <w:kern w:val="2"/>
      <w:sz w:val="21"/>
      <w:szCs w:val="21"/>
    </w:rPr>
  </w:style>
  <w:style w:type="character" w:customStyle="1" w:styleId="2073">
    <w:name w:val="2073"/>
    <w:qFormat/>
    <w:rPr>
      <w:rFonts w:ascii="Times New Roman" w:hAnsi="Times New Roman" w:cs="Times New Roman" w:hint="default"/>
      <w:kern w:val="2"/>
      <w:sz w:val="21"/>
      <w:szCs w:val="21"/>
    </w:rPr>
  </w:style>
  <w:style w:type="character" w:customStyle="1" w:styleId="2071">
    <w:name w:val="2071"/>
    <w:qFormat/>
    <w:rPr>
      <w:rFonts w:ascii="Times New Roman" w:hAnsi="Times New Roman" w:cs="Times New Roman" w:hint="default"/>
      <w:kern w:val="2"/>
      <w:sz w:val="21"/>
      <w:szCs w:val="21"/>
    </w:rPr>
  </w:style>
  <w:style w:type="character" w:customStyle="1" w:styleId="2067">
    <w:name w:val="2067"/>
    <w:basedOn w:val="2253"/>
    <w:uiPriority w:val="99"/>
    <w:qFormat/>
    <w:rPr>
      <w:rFonts w:ascii="Times New Roman" w:eastAsia="宋体" w:hAnsi="Times New Roman" w:cs="Times New Roman" w:hint="default"/>
      <w:szCs w:val="21"/>
    </w:rPr>
  </w:style>
  <w:style w:type="character" w:customStyle="1" w:styleId="2065">
    <w:name w:val="2065"/>
    <w:basedOn w:val="2124"/>
    <w:uiPriority w:val="99"/>
    <w:qFormat/>
    <w:rPr>
      <w:rFonts w:ascii="Calibri" w:eastAsia="宋体" w:hAnsi="Calibri" w:cs="Times New Roman" w:hint="default"/>
      <w:b/>
      <w:szCs w:val="21"/>
    </w:rPr>
  </w:style>
  <w:style w:type="character" w:customStyle="1" w:styleId="2063">
    <w:name w:val="2063"/>
    <w:basedOn w:val="2253"/>
    <w:uiPriority w:val="99"/>
    <w:qFormat/>
    <w:rPr>
      <w:rFonts w:ascii="Calibri" w:eastAsia="宋体" w:hAnsi="Calibri" w:cs="Times New Roman" w:hint="default"/>
      <w:sz w:val="18"/>
      <w:szCs w:val="18"/>
    </w:rPr>
  </w:style>
  <w:style w:type="character" w:customStyle="1" w:styleId="2060">
    <w:name w:val="2060"/>
    <w:basedOn w:val="2253"/>
    <w:qFormat/>
    <w:rPr>
      <w:rFonts w:ascii="宋体" w:eastAsia="宋体" w:hAnsi="Courier New" w:cs="Times New Roman" w:hint="eastAsia"/>
      <w:szCs w:val="20"/>
    </w:rPr>
  </w:style>
  <w:style w:type="character" w:customStyle="1" w:styleId="2058">
    <w:name w:val="2058"/>
    <w:basedOn w:val="2253"/>
    <w:uiPriority w:val="99"/>
    <w:qFormat/>
    <w:rPr>
      <w:rFonts w:ascii="Times New Roman" w:eastAsia="宋体" w:hAnsi="Times New Roman" w:cs="Times New Roman" w:hint="default"/>
      <w:szCs w:val="21"/>
    </w:rPr>
  </w:style>
  <w:style w:type="character" w:customStyle="1" w:styleId="2056">
    <w:name w:val="2056"/>
    <w:basedOn w:val="2253"/>
    <w:uiPriority w:val="99"/>
    <w:qFormat/>
    <w:rPr>
      <w:rFonts w:ascii="Times New Roman" w:eastAsia="宋体" w:hAnsi="Times New Roman" w:cs="Times New Roman" w:hint="default"/>
      <w:szCs w:val="21"/>
    </w:rPr>
  </w:style>
  <w:style w:type="character" w:customStyle="1" w:styleId="2054">
    <w:name w:val="2054"/>
    <w:basedOn w:val="2253"/>
    <w:uiPriority w:val="99"/>
    <w:qFormat/>
    <w:rPr>
      <w:rFonts w:ascii="Times New Roman" w:eastAsia="宋体" w:hAnsi="Times New Roman" w:cs="Times New Roman" w:hint="default"/>
      <w:szCs w:val="21"/>
    </w:rPr>
  </w:style>
  <w:style w:type="character" w:customStyle="1" w:styleId="2050">
    <w:name w:val="2050"/>
    <w:basedOn w:val="2253"/>
    <w:qFormat/>
    <w:rPr>
      <w:kern w:val="2"/>
      <w:sz w:val="21"/>
      <w:szCs w:val="24"/>
    </w:rPr>
  </w:style>
  <w:style w:type="character" w:customStyle="1" w:styleId="2047">
    <w:name w:val="2047"/>
    <w:basedOn w:val="2253"/>
    <w:uiPriority w:val="99"/>
    <w:semiHidden/>
    <w:qFormat/>
    <w:rPr>
      <w:rFonts w:ascii="宋体" w:eastAsia="宋体" w:hAnsi="宋体" w:hint="eastAsia"/>
      <w:kern w:val="2"/>
      <w:sz w:val="18"/>
      <w:szCs w:val="18"/>
    </w:rPr>
  </w:style>
  <w:style w:type="character" w:customStyle="1" w:styleId="2046">
    <w:name w:val="2046"/>
    <w:basedOn w:val="2253"/>
    <w:uiPriority w:val="99"/>
    <w:qFormat/>
    <w:rPr>
      <w:color w:val="auto"/>
    </w:rPr>
  </w:style>
  <w:style w:type="character" w:customStyle="1" w:styleId="2044">
    <w:name w:val="2044"/>
    <w:basedOn w:val="2253"/>
    <w:uiPriority w:val="10"/>
    <w:qFormat/>
    <w:rPr>
      <w:rFonts w:ascii="Cambria" w:hAnsi="Cambria" w:cs="Times New Roman" w:hint="default"/>
      <w:b/>
      <w:kern w:val="2"/>
      <w:sz w:val="32"/>
      <w:szCs w:val="32"/>
    </w:rPr>
  </w:style>
  <w:style w:type="character" w:customStyle="1" w:styleId="2041">
    <w:name w:val="2041"/>
    <w:basedOn w:val="2253"/>
    <w:uiPriority w:val="9"/>
    <w:qFormat/>
    <w:rPr>
      <w:rFonts w:ascii="Cambria" w:hAnsi="Cambria" w:cs="Times New Roman" w:hint="default"/>
      <w:b/>
      <w:sz w:val="21"/>
      <w:szCs w:val="24"/>
    </w:rPr>
  </w:style>
  <w:style w:type="character" w:customStyle="1" w:styleId="2038">
    <w:name w:val="2038"/>
    <w:basedOn w:val="2253"/>
    <w:uiPriority w:val="99"/>
    <w:semiHidden/>
    <w:qFormat/>
    <w:rPr>
      <w:rFonts w:ascii="宋体" w:eastAsia="宋体" w:hAnsi="宋体" w:cs="宋体" w:hint="eastAsia"/>
      <w:sz w:val="21"/>
      <w:szCs w:val="24"/>
    </w:rPr>
  </w:style>
  <w:style w:type="character" w:customStyle="1" w:styleId="2037">
    <w:name w:val="2037"/>
    <w:basedOn w:val="2253"/>
    <w:uiPriority w:val="99"/>
    <w:semiHidden/>
    <w:qFormat/>
    <w:rPr>
      <w:vertAlign w:val="superscript"/>
    </w:rPr>
  </w:style>
  <w:style w:type="character" w:customStyle="1" w:styleId="2036">
    <w:name w:val="2036"/>
    <w:basedOn w:val="2124"/>
    <w:uiPriority w:val="99"/>
    <w:semiHidden/>
    <w:qFormat/>
    <w:rPr>
      <w:rFonts w:ascii="Times New Roman" w:eastAsia="宋体" w:hAnsi="Times New Roman" w:cs="Times New Roman" w:hint="default"/>
      <w:b/>
      <w:szCs w:val="21"/>
    </w:rPr>
  </w:style>
  <w:style w:type="character" w:customStyle="1" w:styleId="2035">
    <w:name w:val="2035"/>
    <w:basedOn w:val="2253"/>
    <w:uiPriority w:val="9"/>
    <w:qFormat/>
    <w:rPr>
      <w:rFonts w:ascii="宋体" w:eastAsia="宋体" w:hAnsi="宋体" w:cs="宋体" w:hint="eastAsia"/>
      <w:b/>
      <w:sz w:val="24"/>
      <w:szCs w:val="24"/>
    </w:rPr>
  </w:style>
  <w:style w:type="character" w:customStyle="1" w:styleId="2031">
    <w:name w:val="2031"/>
    <w:uiPriority w:val="99"/>
    <w:qFormat/>
    <w:rPr>
      <w:rFonts w:ascii="Times New Roman" w:hAnsi="Times New Roman" w:cs="Times New Roman" w:hint="default"/>
      <w:kern w:val="2"/>
      <w:sz w:val="21"/>
      <w:szCs w:val="21"/>
    </w:rPr>
  </w:style>
  <w:style w:type="character" w:customStyle="1" w:styleId="2029">
    <w:name w:val="2029"/>
    <w:qFormat/>
    <w:rPr>
      <w:rFonts w:ascii="Times New Roman" w:hAnsi="Times New Roman" w:cs="Times New Roman" w:hint="default"/>
      <w:kern w:val="2"/>
      <w:sz w:val="21"/>
      <w:szCs w:val="21"/>
    </w:rPr>
  </w:style>
  <w:style w:type="character" w:customStyle="1" w:styleId="2027">
    <w:name w:val="2027"/>
    <w:qFormat/>
    <w:rPr>
      <w:rFonts w:ascii="Times New Roman" w:hAnsi="Times New Roman" w:cs="Times New Roman" w:hint="default"/>
      <w:kern w:val="2"/>
      <w:sz w:val="21"/>
      <w:szCs w:val="21"/>
    </w:rPr>
  </w:style>
  <w:style w:type="character" w:customStyle="1" w:styleId="2023">
    <w:name w:val="2023"/>
    <w:basedOn w:val="2253"/>
    <w:uiPriority w:val="99"/>
    <w:qFormat/>
    <w:rPr>
      <w:rFonts w:ascii="Times New Roman" w:eastAsia="宋体" w:hAnsi="Times New Roman" w:cs="Times New Roman" w:hint="default"/>
      <w:szCs w:val="21"/>
    </w:rPr>
  </w:style>
  <w:style w:type="character" w:customStyle="1" w:styleId="2021">
    <w:name w:val="2021"/>
    <w:basedOn w:val="2124"/>
    <w:uiPriority w:val="99"/>
    <w:qFormat/>
    <w:rPr>
      <w:rFonts w:ascii="Calibri" w:eastAsia="宋体" w:hAnsi="Calibri" w:cs="Times New Roman" w:hint="default"/>
      <w:b/>
      <w:szCs w:val="21"/>
    </w:rPr>
  </w:style>
  <w:style w:type="character" w:customStyle="1" w:styleId="2019">
    <w:name w:val="2019"/>
    <w:basedOn w:val="2253"/>
    <w:uiPriority w:val="99"/>
    <w:qFormat/>
    <w:rPr>
      <w:rFonts w:ascii="Calibri" w:eastAsia="宋体" w:hAnsi="Calibri" w:cs="Times New Roman" w:hint="default"/>
      <w:sz w:val="18"/>
      <w:szCs w:val="18"/>
    </w:rPr>
  </w:style>
  <w:style w:type="character" w:customStyle="1" w:styleId="2016">
    <w:name w:val="2016"/>
    <w:basedOn w:val="2253"/>
    <w:qFormat/>
    <w:rPr>
      <w:rFonts w:ascii="宋体" w:eastAsia="宋体" w:hAnsi="Courier New" w:cs="Times New Roman" w:hint="eastAsia"/>
      <w:szCs w:val="20"/>
    </w:rPr>
  </w:style>
  <w:style w:type="character" w:customStyle="1" w:styleId="2014">
    <w:name w:val="2014"/>
    <w:basedOn w:val="2253"/>
    <w:uiPriority w:val="99"/>
    <w:qFormat/>
    <w:rPr>
      <w:rFonts w:ascii="Times New Roman" w:eastAsia="宋体" w:hAnsi="Times New Roman" w:cs="Times New Roman" w:hint="default"/>
      <w:szCs w:val="21"/>
    </w:rPr>
  </w:style>
  <w:style w:type="character" w:customStyle="1" w:styleId="2012">
    <w:name w:val="2012"/>
    <w:basedOn w:val="2253"/>
    <w:uiPriority w:val="99"/>
    <w:qFormat/>
    <w:rPr>
      <w:rFonts w:ascii="Times New Roman" w:eastAsia="宋体" w:hAnsi="Times New Roman" w:cs="Times New Roman" w:hint="default"/>
      <w:szCs w:val="21"/>
    </w:rPr>
  </w:style>
  <w:style w:type="character" w:customStyle="1" w:styleId="2010">
    <w:name w:val="2010"/>
    <w:basedOn w:val="2253"/>
    <w:uiPriority w:val="99"/>
    <w:qFormat/>
    <w:rPr>
      <w:rFonts w:ascii="Times New Roman" w:eastAsia="宋体" w:hAnsi="Times New Roman" w:cs="Times New Roman" w:hint="default"/>
      <w:szCs w:val="21"/>
    </w:rPr>
  </w:style>
  <w:style w:type="character" w:customStyle="1" w:styleId="2006">
    <w:name w:val="2006"/>
    <w:basedOn w:val="2253"/>
    <w:qFormat/>
    <w:rPr>
      <w:kern w:val="2"/>
      <w:sz w:val="21"/>
      <w:szCs w:val="24"/>
    </w:rPr>
  </w:style>
  <w:style w:type="character" w:customStyle="1" w:styleId="2003">
    <w:name w:val="2003"/>
    <w:basedOn w:val="2253"/>
    <w:uiPriority w:val="99"/>
    <w:semiHidden/>
    <w:qFormat/>
    <w:rPr>
      <w:rFonts w:ascii="宋体" w:eastAsia="宋体" w:hAnsi="宋体" w:hint="eastAsia"/>
      <w:kern w:val="2"/>
      <w:sz w:val="18"/>
      <w:szCs w:val="18"/>
    </w:rPr>
  </w:style>
  <w:style w:type="character" w:customStyle="1" w:styleId="2002">
    <w:name w:val="2002"/>
    <w:basedOn w:val="2253"/>
    <w:uiPriority w:val="99"/>
    <w:qFormat/>
    <w:rPr>
      <w:color w:val="auto"/>
    </w:rPr>
  </w:style>
  <w:style w:type="character" w:customStyle="1" w:styleId="20000">
    <w:name w:val="2000"/>
    <w:basedOn w:val="2253"/>
    <w:uiPriority w:val="10"/>
    <w:qFormat/>
    <w:rPr>
      <w:rFonts w:ascii="Cambria" w:hAnsi="Cambria" w:cs="Times New Roman" w:hint="default"/>
      <w:b/>
      <w:kern w:val="2"/>
      <w:sz w:val="32"/>
      <w:szCs w:val="32"/>
    </w:rPr>
  </w:style>
  <w:style w:type="character" w:customStyle="1" w:styleId="1997">
    <w:name w:val="1997"/>
    <w:basedOn w:val="2253"/>
    <w:uiPriority w:val="9"/>
    <w:qFormat/>
    <w:rPr>
      <w:rFonts w:ascii="Cambria" w:hAnsi="Cambria" w:cs="Times New Roman" w:hint="default"/>
      <w:b/>
      <w:sz w:val="21"/>
      <w:szCs w:val="24"/>
    </w:rPr>
  </w:style>
  <w:style w:type="character" w:customStyle="1" w:styleId="1994">
    <w:name w:val="1994"/>
    <w:basedOn w:val="2253"/>
    <w:uiPriority w:val="99"/>
    <w:semiHidden/>
    <w:qFormat/>
    <w:rPr>
      <w:rFonts w:ascii="宋体" w:eastAsia="宋体" w:hAnsi="宋体" w:cs="宋体" w:hint="eastAsia"/>
      <w:sz w:val="21"/>
      <w:szCs w:val="24"/>
    </w:rPr>
  </w:style>
  <w:style w:type="character" w:customStyle="1" w:styleId="1993">
    <w:name w:val="1993"/>
    <w:basedOn w:val="2253"/>
    <w:uiPriority w:val="99"/>
    <w:semiHidden/>
    <w:qFormat/>
    <w:rPr>
      <w:vertAlign w:val="superscript"/>
    </w:rPr>
  </w:style>
  <w:style w:type="character" w:customStyle="1" w:styleId="1992">
    <w:name w:val="1992"/>
    <w:basedOn w:val="2124"/>
    <w:uiPriority w:val="99"/>
    <w:semiHidden/>
    <w:qFormat/>
    <w:rPr>
      <w:rFonts w:ascii="Times New Roman" w:eastAsia="宋体" w:hAnsi="Times New Roman" w:cs="Times New Roman" w:hint="default"/>
      <w:b/>
      <w:szCs w:val="21"/>
    </w:rPr>
  </w:style>
  <w:style w:type="character" w:customStyle="1" w:styleId="1991">
    <w:name w:val="1991"/>
    <w:basedOn w:val="2253"/>
    <w:uiPriority w:val="9"/>
    <w:qFormat/>
    <w:rPr>
      <w:rFonts w:ascii="宋体" w:eastAsia="宋体" w:hAnsi="宋体" w:cs="宋体" w:hint="eastAsia"/>
      <w:b/>
      <w:sz w:val="24"/>
      <w:szCs w:val="24"/>
    </w:rPr>
  </w:style>
  <w:style w:type="character" w:customStyle="1" w:styleId="1987">
    <w:name w:val="1987"/>
    <w:uiPriority w:val="99"/>
    <w:qFormat/>
    <w:rPr>
      <w:rFonts w:ascii="Times New Roman" w:hAnsi="Times New Roman" w:cs="Times New Roman" w:hint="default"/>
      <w:kern w:val="2"/>
      <w:sz w:val="21"/>
      <w:szCs w:val="21"/>
    </w:rPr>
  </w:style>
  <w:style w:type="character" w:customStyle="1" w:styleId="1985">
    <w:name w:val="1985"/>
    <w:qFormat/>
    <w:rPr>
      <w:rFonts w:ascii="Times New Roman" w:hAnsi="Times New Roman" w:cs="Times New Roman" w:hint="default"/>
      <w:kern w:val="2"/>
      <w:sz w:val="21"/>
      <w:szCs w:val="21"/>
    </w:rPr>
  </w:style>
  <w:style w:type="character" w:customStyle="1" w:styleId="1983">
    <w:name w:val="1983"/>
    <w:qFormat/>
    <w:rPr>
      <w:rFonts w:ascii="Times New Roman" w:hAnsi="Times New Roman" w:cs="Times New Roman" w:hint="default"/>
      <w:kern w:val="2"/>
      <w:sz w:val="21"/>
      <w:szCs w:val="21"/>
    </w:rPr>
  </w:style>
  <w:style w:type="character" w:customStyle="1" w:styleId="1945">
    <w:name w:val="1945"/>
    <w:basedOn w:val="2253"/>
    <w:qFormat/>
    <w:rPr>
      <w:b/>
    </w:rPr>
  </w:style>
  <w:style w:type="character" w:customStyle="1" w:styleId="1944">
    <w:name w:val="1944"/>
    <w:basedOn w:val="2253"/>
    <w:qFormat/>
    <w:rPr>
      <w:vertAlign w:val="superscript"/>
    </w:rPr>
  </w:style>
  <w:style w:type="character" w:customStyle="1" w:styleId="1943">
    <w:name w:val="1943"/>
    <w:basedOn w:val="2253"/>
    <w:qFormat/>
    <w:rPr>
      <w:rFonts w:ascii="Times New Roman" w:hAnsi="Times New Roman" w:cs="Times New Roman" w:hint="default"/>
      <w:color w:val="0000FF"/>
      <w:u w:val="single"/>
    </w:rPr>
  </w:style>
  <w:style w:type="character" w:customStyle="1" w:styleId="1942">
    <w:name w:val="1942"/>
    <w:basedOn w:val="2253"/>
    <w:qFormat/>
    <w:rPr>
      <w:rFonts w:ascii="宋体" w:eastAsia="宋体" w:hAnsi="宋体" w:cs="Times New Roman" w:hint="eastAsia"/>
      <w:kern w:val="2"/>
      <w:sz w:val="21"/>
      <w:szCs w:val="21"/>
      <w:lang w:val="en-US" w:eastAsia="zh-CN" w:bidi="ar-SA"/>
    </w:rPr>
  </w:style>
  <w:style w:type="character" w:customStyle="1" w:styleId="1941">
    <w:name w:val="1941"/>
    <w:basedOn w:val="2253"/>
    <w:uiPriority w:val="99"/>
    <w:qFormat/>
    <w:rPr>
      <w:rFonts w:ascii="黑体" w:eastAsia="黑体" w:hAnsi="黑体" w:hint="eastAsia"/>
      <w:b/>
      <w:kern w:val="44"/>
      <w:sz w:val="28"/>
      <w:szCs w:val="44"/>
    </w:rPr>
  </w:style>
  <w:style w:type="character" w:customStyle="1" w:styleId="1940">
    <w:name w:val="1940"/>
    <w:basedOn w:val="2253"/>
    <w:qFormat/>
    <w:rPr>
      <w:rFonts w:ascii="Arial" w:hAnsi="Arial" w:cs="Arial" w:hint="default"/>
      <w:b/>
      <w:kern w:val="2"/>
      <w:sz w:val="21"/>
      <w:szCs w:val="21"/>
    </w:rPr>
  </w:style>
  <w:style w:type="character" w:customStyle="1" w:styleId="1939">
    <w:name w:val="1939"/>
    <w:basedOn w:val="2253"/>
    <w:uiPriority w:val="9"/>
    <w:qFormat/>
    <w:rPr>
      <w:b/>
      <w:kern w:val="2"/>
      <w:sz w:val="21"/>
      <w:szCs w:val="32"/>
    </w:rPr>
  </w:style>
  <w:style w:type="character" w:customStyle="1" w:styleId="1938">
    <w:name w:val="1938"/>
    <w:basedOn w:val="2253"/>
    <w:uiPriority w:val="9"/>
    <w:qFormat/>
    <w:rPr>
      <w:rFonts w:ascii="Cambria" w:hAnsi="Cambria" w:hint="default"/>
      <w:b/>
      <w:kern w:val="2"/>
      <w:sz w:val="21"/>
      <w:szCs w:val="28"/>
    </w:rPr>
  </w:style>
  <w:style w:type="character" w:customStyle="1" w:styleId="1937">
    <w:name w:val="1937"/>
    <w:basedOn w:val="2253"/>
    <w:uiPriority w:val="9"/>
    <w:qFormat/>
    <w:rPr>
      <w:b/>
      <w:kern w:val="2"/>
      <w:sz w:val="21"/>
      <w:szCs w:val="28"/>
    </w:rPr>
  </w:style>
  <w:style w:type="character" w:customStyle="1" w:styleId="1935">
    <w:name w:val="1935"/>
    <w:basedOn w:val="2253"/>
    <w:uiPriority w:val="99"/>
    <w:qFormat/>
    <w:rPr>
      <w:rFonts w:ascii="Times New Roman" w:eastAsia="宋体" w:hAnsi="Times New Roman" w:cs="Times New Roman" w:hint="default"/>
      <w:szCs w:val="21"/>
    </w:rPr>
  </w:style>
  <w:style w:type="character" w:customStyle="1" w:styleId="1934">
    <w:name w:val="1934"/>
    <w:basedOn w:val="2253"/>
    <w:uiPriority w:val="99"/>
    <w:qFormat/>
    <w:rPr>
      <w:rFonts w:ascii="Calibri" w:eastAsia="宋体" w:hAnsi="Calibri" w:cs="Times New Roman" w:hint="default"/>
      <w:sz w:val="18"/>
      <w:szCs w:val="18"/>
    </w:rPr>
  </w:style>
  <w:style w:type="character" w:customStyle="1" w:styleId="1933">
    <w:name w:val="1933"/>
    <w:basedOn w:val="2253"/>
    <w:uiPriority w:val="99"/>
    <w:qFormat/>
    <w:rPr>
      <w:rFonts w:ascii="Times New Roman" w:eastAsia="宋体" w:hAnsi="Times New Roman" w:cs="Times New Roman" w:hint="default"/>
      <w:szCs w:val="21"/>
    </w:rPr>
  </w:style>
  <w:style w:type="character" w:customStyle="1" w:styleId="1931">
    <w:name w:val="1931"/>
    <w:basedOn w:val="1935"/>
    <w:uiPriority w:val="99"/>
    <w:qFormat/>
    <w:rPr>
      <w:rFonts w:ascii="Calibri" w:eastAsia="宋体" w:hAnsi="Calibri" w:cs="Times New Roman" w:hint="default"/>
      <w:b/>
      <w:szCs w:val="21"/>
    </w:rPr>
  </w:style>
  <w:style w:type="character" w:customStyle="1" w:styleId="1930">
    <w:name w:val="1930"/>
    <w:basedOn w:val="2253"/>
    <w:uiPriority w:val="99"/>
    <w:qFormat/>
    <w:rPr>
      <w:rFonts w:ascii="Calibri" w:eastAsia="宋体" w:hAnsi="Calibri" w:cs="Times New Roman" w:hint="default"/>
      <w:sz w:val="18"/>
      <w:szCs w:val="18"/>
    </w:rPr>
  </w:style>
  <w:style w:type="character" w:customStyle="1" w:styleId="1929">
    <w:name w:val="1929"/>
    <w:basedOn w:val="2253"/>
    <w:uiPriority w:val="99"/>
    <w:qFormat/>
    <w:rPr>
      <w:rFonts w:ascii="Calibri" w:eastAsia="宋体" w:hAnsi="Calibri" w:cs="Times New Roman" w:hint="default"/>
      <w:sz w:val="18"/>
      <w:szCs w:val="18"/>
    </w:rPr>
  </w:style>
  <w:style w:type="character" w:customStyle="1" w:styleId="1928">
    <w:name w:val="1928"/>
    <w:basedOn w:val="2253"/>
    <w:qFormat/>
    <w:rPr>
      <w:rFonts w:ascii="宋体" w:eastAsia="宋体" w:hAnsi="Courier New" w:cs="Times New Roman" w:hint="eastAsia"/>
      <w:szCs w:val="20"/>
    </w:rPr>
  </w:style>
  <w:style w:type="character" w:customStyle="1" w:styleId="1927">
    <w:name w:val="1927"/>
    <w:basedOn w:val="2253"/>
    <w:uiPriority w:val="99"/>
    <w:qFormat/>
    <w:rPr>
      <w:rFonts w:ascii="Times New Roman" w:eastAsia="宋体" w:hAnsi="Times New Roman" w:cs="Times New Roman" w:hint="default"/>
      <w:szCs w:val="21"/>
    </w:rPr>
  </w:style>
  <w:style w:type="character" w:customStyle="1" w:styleId="1926">
    <w:name w:val="1926"/>
    <w:basedOn w:val="2253"/>
    <w:uiPriority w:val="99"/>
    <w:qFormat/>
    <w:rPr>
      <w:rFonts w:ascii="Times New Roman" w:eastAsia="宋体" w:hAnsi="Times New Roman" w:cs="Times New Roman" w:hint="default"/>
      <w:szCs w:val="21"/>
    </w:rPr>
  </w:style>
  <w:style w:type="character" w:customStyle="1" w:styleId="1925">
    <w:name w:val="1925"/>
    <w:basedOn w:val="2253"/>
    <w:uiPriority w:val="99"/>
    <w:qFormat/>
    <w:rPr>
      <w:rFonts w:ascii="Times New Roman" w:eastAsia="宋体" w:hAnsi="Times New Roman" w:cs="Times New Roman" w:hint="default"/>
      <w:szCs w:val="21"/>
    </w:rPr>
  </w:style>
  <w:style w:type="character" w:customStyle="1" w:styleId="1923">
    <w:name w:val="1923"/>
    <w:basedOn w:val="2253"/>
    <w:qFormat/>
    <w:rPr>
      <w:kern w:val="2"/>
      <w:sz w:val="21"/>
      <w:szCs w:val="24"/>
    </w:rPr>
  </w:style>
  <w:style w:type="character" w:customStyle="1" w:styleId="1921">
    <w:name w:val="1921"/>
    <w:basedOn w:val="2253"/>
    <w:uiPriority w:val="99"/>
    <w:semiHidden/>
    <w:qFormat/>
    <w:rPr>
      <w:rFonts w:ascii="宋体" w:eastAsia="宋体" w:hAnsi="宋体" w:hint="eastAsia"/>
      <w:kern w:val="2"/>
      <w:sz w:val="18"/>
      <w:szCs w:val="18"/>
    </w:rPr>
  </w:style>
  <w:style w:type="character" w:customStyle="1" w:styleId="1920">
    <w:name w:val="1920"/>
    <w:basedOn w:val="2253"/>
    <w:uiPriority w:val="99"/>
    <w:qFormat/>
    <w:rPr>
      <w:color w:val="auto"/>
    </w:rPr>
  </w:style>
  <w:style w:type="character" w:customStyle="1" w:styleId="1919">
    <w:name w:val="1919"/>
    <w:basedOn w:val="2253"/>
    <w:uiPriority w:val="10"/>
    <w:qFormat/>
    <w:rPr>
      <w:rFonts w:ascii="Cambria" w:hAnsi="Cambria" w:cs="Times New Roman" w:hint="default"/>
      <w:b/>
      <w:kern w:val="2"/>
      <w:sz w:val="32"/>
      <w:szCs w:val="32"/>
    </w:rPr>
  </w:style>
  <w:style w:type="character" w:customStyle="1" w:styleId="1918">
    <w:name w:val="1918"/>
    <w:basedOn w:val="2253"/>
    <w:uiPriority w:val="9"/>
    <w:qFormat/>
    <w:rPr>
      <w:rFonts w:ascii="Cambria" w:hAnsi="Cambria" w:cs="Times New Roman" w:hint="default"/>
      <w:b/>
      <w:sz w:val="21"/>
      <w:szCs w:val="24"/>
    </w:rPr>
  </w:style>
  <w:style w:type="character" w:customStyle="1" w:styleId="1917">
    <w:name w:val="1917"/>
    <w:basedOn w:val="2253"/>
    <w:uiPriority w:val="99"/>
    <w:semiHidden/>
    <w:qFormat/>
    <w:rPr>
      <w:rFonts w:ascii="宋体" w:eastAsia="宋体" w:hAnsi="宋体" w:cs="宋体" w:hint="eastAsia"/>
      <w:sz w:val="21"/>
      <w:szCs w:val="24"/>
    </w:rPr>
  </w:style>
  <w:style w:type="character" w:customStyle="1" w:styleId="1916">
    <w:name w:val="1916"/>
    <w:basedOn w:val="1935"/>
    <w:uiPriority w:val="99"/>
    <w:semiHidden/>
    <w:qFormat/>
    <w:rPr>
      <w:rFonts w:ascii="Times New Roman" w:eastAsia="宋体" w:hAnsi="Times New Roman" w:cs="Times New Roman" w:hint="default"/>
      <w:b/>
      <w:szCs w:val="21"/>
    </w:rPr>
  </w:style>
  <w:style w:type="character" w:customStyle="1" w:styleId="1912">
    <w:name w:val="1912"/>
    <w:basedOn w:val="2253"/>
    <w:qFormat/>
    <w:rPr>
      <w:rFonts w:ascii="Times New Roman" w:hAnsi="Times New Roman" w:cs="Times New Roman" w:hint="default"/>
      <w:b/>
      <w:kern w:val="2"/>
      <w:sz w:val="21"/>
      <w:szCs w:val="24"/>
    </w:rPr>
  </w:style>
  <w:style w:type="character" w:customStyle="1" w:styleId="1911">
    <w:name w:val="1911"/>
    <w:basedOn w:val="1935"/>
    <w:uiPriority w:val="99"/>
    <w:semiHidden/>
    <w:qFormat/>
    <w:rPr>
      <w:rFonts w:ascii="Times New Roman" w:eastAsia="宋体" w:hAnsi="Times New Roman" w:cs="Times New Roman" w:hint="default"/>
      <w:b/>
      <w:szCs w:val="21"/>
    </w:rPr>
  </w:style>
  <w:style w:type="character" w:customStyle="1" w:styleId="1910">
    <w:name w:val="1910"/>
    <w:basedOn w:val="2253"/>
    <w:uiPriority w:val="9"/>
    <w:qFormat/>
    <w:rPr>
      <w:rFonts w:ascii="宋体" w:eastAsia="宋体" w:hAnsi="宋体" w:cs="宋体" w:hint="eastAsia"/>
      <w:b/>
      <w:sz w:val="24"/>
      <w:szCs w:val="24"/>
    </w:rPr>
  </w:style>
  <w:style w:type="character" w:customStyle="1" w:styleId="1909">
    <w:name w:val="1909"/>
    <w:uiPriority w:val="9"/>
    <w:qFormat/>
    <w:rPr>
      <w:rFonts w:ascii="Cambria" w:hAnsi="Cambria" w:hint="default"/>
      <w:b/>
      <w:kern w:val="2"/>
      <w:sz w:val="21"/>
      <w:szCs w:val="28"/>
    </w:rPr>
  </w:style>
  <w:style w:type="character" w:customStyle="1" w:styleId="1906">
    <w:name w:val="1906"/>
    <w:uiPriority w:val="9"/>
    <w:qFormat/>
    <w:rPr>
      <w:b/>
      <w:kern w:val="2"/>
      <w:sz w:val="21"/>
      <w:szCs w:val="32"/>
    </w:rPr>
  </w:style>
  <w:style w:type="character" w:customStyle="1" w:styleId="1903">
    <w:name w:val="1903"/>
    <w:uiPriority w:val="99"/>
    <w:qFormat/>
    <w:rPr>
      <w:rFonts w:ascii="Times New Roman" w:hAnsi="Times New Roman" w:cs="Times New Roman" w:hint="default"/>
      <w:kern w:val="2"/>
      <w:sz w:val="21"/>
      <w:szCs w:val="21"/>
    </w:rPr>
  </w:style>
  <w:style w:type="character" w:customStyle="1" w:styleId="1901">
    <w:name w:val="1901"/>
    <w:uiPriority w:val="9"/>
    <w:qFormat/>
    <w:rPr>
      <w:b/>
      <w:kern w:val="2"/>
      <w:sz w:val="21"/>
      <w:szCs w:val="28"/>
    </w:rPr>
  </w:style>
  <w:style w:type="character" w:customStyle="1" w:styleId="1899">
    <w:name w:val="1899"/>
    <w:uiPriority w:val="9"/>
    <w:qFormat/>
    <w:rPr>
      <w:b/>
      <w:kern w:val="2"/>
      <w:sz w:val="21"/>
      <w:szCs w:val="32"/>
    </w:rPr>
  </w:style>
  <w:style w:type="character" w:customStyle="1" w:styleId="1898">
    <w:name w:val="1898"/>
    <w:qFormat/>
    <w:rPr>
      <w:rFonts w:ascii="Arial" w:hAnsi="Arial" w:cs="Arial" w:hint="default"/>
      <w:b/>
      <w:kern w:val="2"/>
      <w:sz w:val="21"/>
      <w:szCs w:val="21"/>
    </w:rPr>
  </w:style>
  <w:style w:type="character" w:customStyle="1" w:styleId="1897">
    <w:name w:val="1897"/>
    <w:uiPriority w:val="9"/>
    <w:qFormat/>
    <w:rPr>
      <w:rFonts w:ascii="Cambria" w:hAnsi="Cambria" w:hint="default"/>
      <w:b/>
      <w:kern w:val="2"/>
      <w:sz w:val="21"/>
      <w:szCs w:val="28"/>
    </w:rPr>
  </w:style>
  <w:style w:type="character" w:customStyle="1" w:styleId="1896">
    <w:name w:val="1896"/>
    <w:uiPriority w:val="9"/>
    <w:qFormat/>
    <w:rPr>
      <w:b/>
      <w:kern w:val="2"/>
      <w:sz w:val="21"/>
      <w:szCs w:val="28"/>
    </w:rPr>
  </w:style>
  <w:style w:type="character" w:customStyle="1" w:styleId="1894">
    <w:name w:val="1894"/>
    <w:qFormat/>
    <w:rPr>
      <w:rFonts w:ascii="Times New Roman" w:hAnsi="Times New Roman" w:cs="Times New Roman" w:hint="default"/>
      <w:kern w:val="2"/>
      <w:sz w:val="21"/>
      <w:szCs w:val="21"/>
    </w:rPr>
  </w:style>
  <w:style w:type="character" w:customStyle="1" w:styleId="1892">
    <w:name w:val="1892"/>
    <w:basedOn w:val="2253"/>
    <w:qFormat/>
    <w:rPr>
      <w:rFonts w:ascii="Arial" w:eastAsia="黑体" w:hAnsi="Arial" w:cs="Times New Roman" w:hint="default"/>
      <w:color w:val="000000"/>
      <w:sz w:val="24"/>
      <w:szCs w:val="20"/>
    </w:rPr>
  </w:style>
  <w:style w:type="character" w:customStyle="1" w:styleId="1891">
    <w:name w:val="1891"/>
    <w:basedOn w:val="2253"/>
    <w:qFormat/>
    <w:rPr>
      <w:rFonts w:ascii="Arial" w:eastAsia="黑体" w:hAnsi="Arial" w:cs="Times New Roman" w:hint="default"/>
      <w:color w:val="000000"/>
      <w:sz w:val="24"/>
      <w:szCs w:val="20"/>
    </w:rPr>
  </w:style>
  <w:style w:type="character" w:customStyle="1" w:styleId="1888">
    <w:name w:val="1888"/>
    <w:basedOn w:val="2253"/>
    <w:qFormat/>
    <w:rPr>
      <w:b/>
      <w:sz w:val="24"/>
      <w:szCs w:val="24"/>
    </w:rPr>
  </w:style>
  <w:style w:type="character" w:customStyle="1" w:styleId="1887">
    <w:name w:val="1887"/>
    <w:qFormat/>
    <w:rPr>
      <w:rFonts w:ascii="宋体" w:eastAsia="宋体" w:hAnsi="宋体" w:hint="eastAsia"/>
      <w:color w:val="000000"/>
      <w:sz w:val="24"/>
      <w:szCs w:val="24"/>
    </w:rPr>
  </w:style>
  <w:style w:type="character" w:customStyle="1" w:styleId="1886">
    <w:name w:val="1886"/>
    <w:uiPriority w:val="99"/>
    <w:qFormat/>
    <w:rPr>
      <w:rFonts w:ascii="Times New Roman" w:hAnsi="Times New Roman" w:cs="Times New Roman" w:hint="default"/>
      <w:kern w:val="2"/>
      <w:sz w:val="21"/>
      <w:szCs w:val="21"/>
    </w:rPr>
  </w:style>
  <w:style w:type="character" w:customStyle="1" w:styleId="1885">
    <w:name w:val="1885"/>
    <w:qFormat/>
    <w:rPr>
      <w:rFonts w:ascii="FZLTSK--GBK1-0" w:hAnsi="FZLTSK--GBK1-0" w:hint="default"/>
      <w:bCs/>
      <w:color w:val="000000"/>
      <w:sz w:val="20"/>
      <w:szCs w:val="20"/>
    </w:rPr>
  </w:style>
  <w:style w:type="character" w:customStyle="1" w:styleId="1874">
    <w:name w:val="1874"/>
    <w:basedOn w:val="2253"/>
    <w:qFormat/>
    <w:rPr>
      <w:rFonts w:ascii="Times New Roman" w:hAnsi="Times New Roman" w:cs="Times New Roman" w:hint="default"/>
      <w:kern w:val="2"/>
    </w:rPr>
  </w:style>
  <w:style w:type="character" w:customStyle="1" w:styleId="1873">
    <w:name w:val="1873"/>
    <w:basedOn w:val="1935"/>
    <w:uiPriority w:val="99"/>
    <w:semiHidden/>
    <w:qFormat/>
    <w:rPr>
      <w:rFonts w:ascii="Times New Roman" w:eastAsia="宋体" w:hAnsi="Times New Roman" w:cs="Times New Roman" w:hint="default"/>
      <w:b/>
      <w:color w:val="000000"/>
      <w:sz w:val="21"/>
      <w:szCs w:val="21"/>
    </w:rPr>
  </w:style>
  <w:style w:type="character" w:customStyle="1" w:styleId="1867">
    <w:name w:val="1867"/>
    <w:basedOn w:val="2253"/>
    <w:uiPriority w:val="9"/>
    <w:qFormat/>
    <w:rPr>
      <w:rFonts w:ascii="Cambria" w:hAnsi="Cambria" w:hint="default"/>
      <w:b/>
      <w:kern w:val="2"/>
      <w:sz w:val="21"/>
      <w:szCs w:val="28"/>
    </w:rPr>
  </w:style>
  <w:style w:type="character" w:customStyle="1" w:styleId="1865">
    <w:name w:val="1865"/>
    <w:basedOn w:val="2253"/>
    <w:uiPriority w:val="9"/>
    <w:qFormat/>
    <w:rPr>
      <w:b/>
      <w:kern w:val="2"/>
      <w:sz w:val="21"/>
      <w:szCs w:val="32"/>
    </w:rPr>
  </w:style>
  <w:style w:type="character" w:customStyle="1" w:styleId="1860">
    <w:name w:val="1860"/>
    <w:basedOn w:val="2253"/>
    <w:semiHidden/>
    <w:qFormat/>
    <w:rPr>
      <w:rFonts w:ascii="Arial" w:hAnsi="Arial" w:cs="Times New Roman" w:hint="default"/>
      <w:b/>
      <w:kern w:val="2"/>
    </w:rPr>
  </w:style>
  <w:style w:type="character" w:customStyle="1" w:styleId="1859">
    <w:name w:val="1859"/>
    <w:basedOn w:val="2253"/>
    <w:uiPriority w:val="1"/>
    <w:qFormat/>
    <w:rPr>
      <w:kern w:val="2"/>
      <w:szCs w:val="22"/>
    </w:rPr>
  </w:style>
  <w:style w:type="character" w:customStyle="1" w:styleId="1858">
    <w:name w:val="1858"/>
    <w:basedOn w:val="2253"/>
    <w:uiPriority w:val="99"/>
    <w:qFormat/>
    <w:rPr>
      <w:sz w:val="24"/>
    </w:rPr>
  </w:style>
  <w:style w:type="character" w:customStyle="1" w:styleId="1856">
    <w:name w:val="1856"/>
    <w:basedOn w:val="2253"/>
    <w:qFormat/>
    <w:rPr>
      <w:rFonts w:ascii="宋体" w:eastAsia="宋体" w:hAnsi="宋体" w:hint="eastAsia"/>
      <w:kern w:val="2"/>
      <w:szCs w:val="24"/>
    </w:rPr>
  </w:style>
  <w:style w:type="character" w:customStyle="1" w:styleId="1849">
    <w:name w:val="1849"/>
    <w:basedOn w:val="2253"/>
    <w:uiPriority w:val="99"/>
    <w:qFormat/>
    <w:rPr>
      <w:rFonts w:ascii="黑体" w:eastAsia="黑体" w:hAnsi="黑体" w:hint="eastAsia"/>
      <w:b/>
      <w:kern w:val="44"/>
      <w:sz w:val="28"/>
      <w:szCs w:val="44"/>
    </w:rPr>
  </w:style>
  <w:style w:type="character" w:customStyle="1" w:styleId="1848">
    <w:name w:val="1848"/>
    <w:basedOn w:val="2253"/>
    <w:qFormat/>
    <w:rPr>
      <w:rFonts w:ascii="Arial" w:hAnsi="Arial" w:cs="Arial" w:hint="default"/>
      <w:b/>
      <w:kern w:val="2"/>
      <w:sz w:val="21"/>
      <w:szCs w:val="21"/>
    </w:rPr>
  </w:style>
  <w:style w:type="character" w:customStyle="1" w:styleId="1847">
    <w:name w:val="1847"/>
    <w:basedOn w:val="2253"/>
    <w:uiPriority w:val="9"/>
    <w:qFormat/>
    <w:rPr>
      <w:b/>
      <w:kern w:val="2"/>
      <w:sz w:val="21"/>
      <w:szCs w:val="32"/>
    </w:rPr>
  </w:style>
  <w:style w:type="character" w:customStyle="1" w:styleId="1846">
    <w:name w:val="1846"/>
    <w:basedOn w:val="2253"/>
    <w:uiPriority w:val="9"/>
    <w:qFormat/>
    <w:rPr>
      <w:rFonts w:ascii="Cambria" w:hAnsi="Cambria" w:hint="default"/>
      <w:b/>
      <w:kern w:val="2"/>
      <w:sz w:val="21"/>
      <w:szCs w:val="28"/>
    </w:rPr>
  </w:style>
  <w:style w:type="character" w:customStyle="1" w:styleId="1845">
    <w:name w:val="1845"/>
    <w:basedOn w:val="2253"/>
    <w:uiPriority w:val="9"/>
    <w:qFormat/>
    <w:rPr>
      <w:b/>
      <w:kern w:val="2"/>
      <w:sz w:val="21"/>
      <w:szCs w:val="28"/>
    </w:rPr>
  </w:style>
  <w:style w:type="character" w:customStyle="1" w:styleId="1842">
    <w:name w:val="1842"/>
    <w:basedOn w:val="2253"/>
    <w:qFormat/>
    <w:rPr>
      <w:rFonts w:ascii="Times New Roman" w:eastAsia="宋体" w:hAnsi="Times New Roman" w:cs="Times New Roman" w:hint="default"/>
      <w:szCs w:val="21"/>
    </w:rPr>
  </w:style>
  <w:style w:type="character" w:customStyle="1" w:styleId="1840">
    <w:name w:val="1840"/>
    <w:basedOn w:val="2253"/>
    <w:uiPriority w:val="99"/>
    <w:qFormat/>
    <w:rPr>
      <w:rFonts w:ascii="Calibri" w:eastAsia="宋体" w:hAnsi="Calibri" w:cs="Times New Roman" w:hint="default"/>
      <w:sz w:val="18"/>
      <w:szCs w:val="18"/>
    </w:rPr>
  </w:style>
  <w:style w:type="character" w:customStyle="1" w:styleId="1839">
    <w:name w:val="1839"/>
    <w:basedOn w:val="2253"/>
    <w:uiPriority w:val="99"/>
    <w:qFormat/>
    <w:rPr>
      <w:rFonts w:ascii="Times New Roman" w:eastAsia="宋体" w:hAnsi="Times New Roman" w:cs="Times New Roman" w:hint="default"/>
      <w:szCs w:val="21"/>
    </w:rPr>
  </w:style>
  <w:style w:type="character" w:customStyle="1" w:styleId="1837">
    <w:name w:val="1837"/>
    <w:basedOn w:val="1842"/>
    <w:uiPriority w:val="99"/>
    <w:qFormat/>
    <w:rPr>
      <w:rFonts w:ascii="Calibri" w:eastAsia="宋体" w:hAnsi="Calibri" w:cs="Times New Roman" w:hint="default"/>
      <w:b/>
      <w:szCs w:val="21"/>
    </w:rPr>
  </w:style>
  <w:style w:type="character" w:customStyle="1" w:styleId="1835">
    <w:name w:val="1835"/>
    <w:basedOn w:val="2253"/>
    <w:uiPriority w:val="99"/>
    <w:qFormat/>
    <w:rPr>
      <w:rFonts w:ascii="Calibri" w:eastAsia="宋体" w:hAnsi="Calibri" w:cs="Times New Roman" w:hint="default"/>
      <w:sz w:val="18"/>
      <w:szCs w:val="18"/>
    </w:rPr>
  </w:style>
  <w:style w:type="character" w:customStyle="1" w:styleId="1833">
    <w:name w:val="1833"/>
    <w:basedOn w:val="2253"/>
    <w:uiPriority w:val="99"/>
    <w:qFormat/>
    <w:rPr>
      <w:rFonts w:ascii="Calibri" w:eastAsia="宋体" w:hAnsi="Calibri" w:cs="Times New Roman" w:hint="default"/>
      <w:sz w:val="18"/>
      <w:szCs w:val="18"/>
    </w:rPr>
  </w:style>
  <w:style w:type="character" w:customStyle="1" w:styleId="1831">
    <w:name w:val="1831"/>
    <w:basedOn w:val="2253"/>
    <w:qFormat/>
    <w:rPr>
      <w:rFonts w:ascii="宋体" w:eastAsia="宋体" w:hAnsi="Courier New" w:cs="Times New Roman" w:hint="eastAsia"/>
      <w:szCs w:val="20"/>
    </w:rPr>
  </w:style>
  <w:style w:type="character" w:customStyle="1" w:styleId="1829">
    <w:name w:val="1829"/>
    <w:basedOn w:val="2253"/>
    <w:uiPriority w:val="99"/>
    <w:qFormat/>
    <w:rPr>
      <w:rFonts w:ascii="Times New Roman" w:eastAsia="宋体" w:hAnsi="Times New Roman" w:cs="Times New Roman" w:hint="default"/>
      <w:szCs w:val="21"/>
    </w:rPr>
  </w:style>
  <w:style w:type="character" w:customStyle="1" w:styleId="1827">
    <w:name w:val="1827"/>
    <w:basedOn w:val="2253"/>
    <w:uiPriority w:val="99"/>
    <w:qFormat/>
    <w:rPr>
      <w:rFonts w:ascii="Times New Roman" w:eastAsia="宋体" w:hAnsi="Times New Roman" w:cs="Times New Roman" w:hint="default"/>
      <w:szCs w:val="21"/>
    </w:rPr>
  </w:style>
  <w:style w:type="character" w:customStyle="1" w:styleId="1825">
    <w:name w:val="1825"/>
    <w:basedOn w:val="2253"/>
    <w:uiPriority w:val="99"/>
    <w:qFormat/>
    <w:rPr>
      <w:rFonts w:ascii="Times New Roman" w:eastAsia="宋体" w:hAnsi="Times New Roman" w:cs="Times New Roman" w:hint="default"/>
      <w:szCs w:val="21"/>
    </w:rPr>
  </w:style>
  <w:style w:type="character" w:customStyle="1" w:styleId="1821">
    <w:name w:val="1821"/>
    <w:basedOn w:val="2253"/>
    <w:qFormat/>
    <w:rPr>
      <w:kern w:val="2"/>
      <w:sz w:val="21"/>
      <w:szCs w:val="24"/>
    </w:rPr>
  </w:style>
  <w:style w:type="character" w:customStyle="1" w:styleId="1818">
    <w:name w:val="1818"/>
    <w:basedOn w:val="2253"/>
    <w:uiPriority w:val="99"/>
    <w:semiHidden/>
    <w:qFormat/>
    <w:rPr>
      <w:rFonts w:ascii="宋体" w:eastAsia="宋体" w:hAnsi="宋体" w:hint="eastAsia"/>
      <w:kern w:val="2"/>
      <w:sz w:val="18"/>
      <w:szCs w:val="18"/>
    </w:rPr>
  </w:style>
  <w:style w:type="character" w:customStyle="1" w:styleId="1817">
    <w:name w:val="1817"/>
    <w:basedOn w:val="2253"/>
    <w:uiPriority w:val="99"/>
    <w:qFormat/>
    <w:rPr>
      <w:color w:val="auto"/>
    </w:rPr>
  </w:style>
  <w:style w:type="character" w:customStyle="1" w:styleId="1815">
    <w:name w:val="1815"/>
    <w:basedOn w:val="2253"/>
    <w:uiPriority w:val="10"/>
    <w:qFormat/>
    <w:rPr>
      <w:rFonts w:ascii="Cambria" w:hAnsi="Cambria" w:cs="Times New Roman" w:hint="default"/>
      <w:b/>
      <w:kern w:val="2"/>
      <w:sz w:val="32"/>
      <w:szCs w:val="32"/>
    </w:rPr>
  </w:style>
  <w:style w:type="character" w:customStyle="1" w:styleId="1807">
    <w:name w:val="1807"/>
    <w:basedOn w:val="2253"/>
    <w:uiPriority w:val="9"/>
    <w:qFormat/>
    <w:rPr>
      <w:rFonts w:ascii="Cambria" w:hAnsi="Cambria" w:cs="Times New Roman" w:hint="default"/>
      <w:b/>
      <w:sz w:val="21"/>
      <w:szCs w:val="24"/>
    </w:rPr>
  </w:style>
  <w:style w:type="character" w:customStyle="1" w:styleId="1804">
    <w:name w:val="1804"/>
    <w:basedOn w:val="2253"/>
    <w:uiPriority w:val="99"/>
    <w:semiHidden/>
    <w:qFormat/>
    <w:rPr>
      <w:rFonts w:ascii="宋体" w:eastAsia="宋体" w:hAnsi="宋体" w:cs="宋体" w:hint="eastAsia"/>
      <w:sz w:val="21"/>
      <w:szCs w:val="24"/>
    </w:rPr>
  </w:style>
  <w:style w:type="character" w:customStyle="1" w:styleId="1803">
    <w:name w:val="1803"/>
    <w:basedOn w:val="2253"/>
    <w:uiPriority w:val="99"/>
    <w:semiHidden/>
    <w:qFormat/>
    <w:rPr>
      <w:vertAlign w:val="superscript"/>
    </w:rPr>
  </w:style>
  <w:style w:type="character" w:customStyle="1" w:styleId="1802">
    <w:name w:val="1802"/>
    <w:basedOn w:val="1842"/>
    <w:uiPriority w:val="99"/>
    <w:semiHidden/>
    <w:qFormat/>
    <w:rPr>
      <w:rFonts w:ascii="Times New Roman" w:eastAsia="宋体" w:hAnsi="Times New Roman" w:cs="Times New Roman" w:hint="default"/>
      <w:b/>
      <w:szCs w:val="21"/>
    </w:rPr>
  </w:style>
  <w:style w:type="character" w:customStyle="1" w:styleId="1801">
    <w:name w:val="1801"/>
    <w:basedOn w:val="1842"/>
    <w:uiPriority w:val="99"/>
    <w:semiHidden/>
    <w:qFormat/>
    <w:rPr>
      <w:rFonts w:ascii="Times New Roman" w:eastAsia="宋体" w:hAnsi="Times New Roman" w:cs="Times New Roman" w:hint="default"/>
      <w:b/>
      <w:szCs w:val="21"/>
    </w:rPr>
  </w:style>
  <w:style w:type="character" w:customStyle="1" w:styleId="1800">
    <w:name w:val="1800"/>
    <w:basedOn w:val="2253"/>
    <w:uiPriority w:val="9"/>
    <w:qFormat/>
    <w:rPr>
      <w:rFonts w:ascii="宋体" w:eastAsia="宋体" w:hAnsi="宋体" w:cs="宋体" w:hint="eastAsia"/>
      <w:b/>
      <w:sz w:val="24"/>
      <w:szCs w:val="24"/>
    </w:rPr>
  </w:style>
  <w:style w:type="character" w:customStyle="1" w:styleId="1793">
    <w:name w:val="1793"/>
    <w:uiPriority w:val="99"/>
    <w:qFormat/>
    <w:rPr>
      <w:rFonts w:ascii="Times New Roman" w:hAnsi="Times New Roman" w:cs="Times New Roman" w:hint="default"/>
      <w:kern w:val="2"/>
      <w:sz w:val="21"/>
      <w:szCs w:val="21"/>
    </w:rPr>
  </w:style>
  <w:style w:type="character" w:customStyle="1" w:styleId="1791">
    <w:name w:val="1791"/>
    <w:qFormat/>
    <w:rPr>
      <w:rFonts w:ascii="Times New Roman" w:hAnsi="Times New Roman" w:cs="Times New Roman" w:hint="default"/>
      <w:kern w:val="2"/>
      <w:sz w:val="21"/>
      <w:szCs w:val="21"/>
    </w:rPr>
  </w:style>
  <w:style w:type="character" w:customStyle="1" w:styleId="1789">
    <w:name w:val="1789"/>
    <w:qFormat/>
    <w:rPr>
      <w:rFonts w:ascii="Times New Roman" w:hAnsi="Times New Roman" w:cs="Times New Roman" w:hint="default"/>
      <w:kern w:val="2"/>
      <w:sz w:val="21"/>
      <w:szCs w:val="21"/>
    </w:rPr>
  </w:style>
  <w:style w:type="character" w:customStyle="1" w:styleId="1785">
    <w:name w:val="1785"/>
    <w:qFormat/>
  </w:style>
  <w:style w:type="character" w:customStyle="1" w:styleId="1768">
    <w:name w:val="1768"/>
    <w:uiPriority w:val="1"/>
    <w:semiHidden/>
    <w:qFormat/>
  </w:style>
  <w:style w:type="character" w:customStyle="1" w:styleId="1740">
    <w:name w:val="1740"/>
    <w:basedOn w:val="1768"/>
    <w:qFormat/>
    <w:rPr>
      <w:b/>
    </w:rPr>
  </w:style>
  <w:style w:type="character" w:customStyle="1" w:styleId="1739">
    <w:name w:val="1739"/>
    <w:basedOn w:val="1768"/>
    <w:qFormat/>
    <w:rPr>
      <w:vertAlign w:val="superscript"/>
    </w:rPr>
  </w:style>
  <w:style w:type="character" w:customStyle="1" w:styleId="1738">
    <w:name w:val="1738"/>
    <w:basedOn w:val="1768"/>
    <w:qFormat/>
    <w:rPr>
      <w:rFonts w:ascii="Times New Roman" w:hAnsi="Times New Roman" w:cs="Times New Roman" w:hint="default"/>
      <w:color w:val="0000FF"/>
      <w:u w:val="single"/>
    </w:rPr>
  </w:style>
  <w:style w:type="character" w:customStyle="1" w:styleId="1737">
    <w:name w:val="1737"/>
    <w:basedOn w:val="1768"/>
    <w:qFormat/>
    <w:rPr>
      <w:rFonts w:ascii="宋体" w:eastAsia="宋体" w:hAnsi="宋体" w:cs="Times New Roman" w:hint="eastAsia"/>
      <w:kern w:val="2"/>
      <w:sz w:val="21"/>
      <w:szCs w:val="21"/>
      <w:lang w:val="en-US" w:eastAsia="zh-CN" w:bidi="ar-SA"/>
    </w:rPr>
  </w:style>
  <w:style w:type="character" w:customStyle="1" w:styleId="1736">
    <w:name w:val="1736"/>
    <w:basedOn w:val="1768"/>
    <w:uiPriority w:val="99"/>
    <w:qFormat/>
    <w:rPr>
      <w:rFonts w:ascii="黑体" w:eastAsia="黑体" w:hAnsi="黑体" w:hint="eastAsia"/>
      <w:b/>
      <w:kern w:val="44"/>
      <w:sz w:val="28"/>
      <w:szCs w:val="44"/>
    </w:rPr>
  </w:style>
  <w:style w:type="character" w:customStyle="1" w:styleId="1735">
    <w:name w:val="1735"/>
    <w:basedOn w:val="1768"/>
    <w:qFormat/>
    <w:rPr>
      <w:rFonts w:ascii="Arial" w:hAnsi="Arial" w:cs="Arial" w:hint="default"/>
      <w:b/>
      <w:kern w:val="2"/>
      <w:sz w:val="21"/>
      <w:szCs w:val="21"/>
    </w:rPr>
  </w:style>
  <w:style w:type="character" w:customStyle="1" w:styleId="1734">
    <w:name w:val="1734"/>
    <w:basedOn w:val="1768"/>
    <w:uiPriority w:val="9"/>
    <w:qFormat/>
    <w:rPr>
      <w:b/>
      <w:kern w:val="2"/>
      <w:sz w:val="21"/>
      <w:szCs w:val="32"/>
    </w:rPr>
  </w:style>
  <w:style w:type="character" w:customStyle="1" w:styleId="1733">
    <w:name w:val="1733"/>
    <w:basedOn w:val="1768"/>
    <w:uiPriority w:val="9"/>
    <w:qFormat/>
    <w:rPr>
      <w:rFonts w:ascii="Cambria" w:hAnsi="Cambria" w:hint="default"/>
      <w:b/>
      <w:kern w:val="2"/>
      <w:sz w:val="21"/>
      <w:szCs w:val="28"/>
    </w:rPr>
  </w:style>
  <w:style w:type="character" w:customStyle="1" w:styleId="1732">
    <w:name w:val="1732"/>
    <w:basedOn w:val="1768"/>
    <w:uiPriority w:val="9"/>
    <w:qFormat/>
    <w:rPr>
      <w:b/>
      <w:kern w:val="2"/>
      <w:sz w:val="21"/>
      <w:szCs w:val="28"/>
    </w:rPr>
  </w:style>
  <w:style w:type="character" w:customStyle="1" w:styleId="1730">
    <w:name w:val="1730"/>
    <w:basedOn w:val="1768"/>
    <w:uiPriority w:val="99"/>
    <w:qFormat/>
    <w:rPr>
      <w:rFonts w:ascii="Times New Roman" w:eastAsia="宋体" w:hAnsi="Times New Roman" w:cs="Times New Roman" w:hint="default"/>
      <w:szCs w:val="21"/>
    </w:rPr>
  </w:style>
  <w:style w:type="character" w:customStyle="1" w:styleId="1729">
    <w:name w:val="1729"/>
    <w:basedOn w:val="1768"/>
    <w:uiPriority w:val="99"/>
    <w:qFormat/>
    <w:rPr>
      <w:rFonts w:ascii="Calibri" w:eastAsia="宋体" w:hAnsi="Calibri" w:cs="Times New Roman" w:hint="default"/>
      <w:sz w:val="18"/>
      <w:szCs w:val="18"/>
    </w:rPr>
  </w:style>
  <w:style w:type="character" w:customStyle="1" w:styleId="1728">
    <w:name w:val="1728"/>
    <w:basedOn w:val="1768"/>
    <w:uiPriority w:val="99"/>
    <w:qFormat/>
    <w:rPr>
      <w:rFonts w:ascii="Times New Roman" w:eastAsia="宋体" w:hAnsi="Times New Roman" w:cs="Times New Roman" w:hint="default"/>
      <w:szCs w:val="21"/>
    </w:rPr>
  </w:style>
  <w:style w:type="character" w:customStyle="1" w:styleId="1727">
    <w:name w:val="1727"/>
    <w:basedOn w:val="1768"/>
    <w:uiPriority w:val="99"/>
    <w:qFormat/>
    <w:rPr>
      <w:rFonts w:ascii="宋体" w:eastAsia="宋体" w:hAnsi="宋体" w:cs="Times New Roman" w:hint="eastAsia"/>
      <w:color w:val="FF0000"/>
      <w:kern w:val="2"/>
      <w:sz w:val="24"/>
      <w:szCs w:val="24"/>
      <w:lang w:val="en-US" w:eastAsia="zh-CN" w:bidi="ar-SA"/>
    </w:rPr>
  </w:style>
  <w:style w:type="character" w:customStyle="1" w:styleId="1724">
    <w:name w:val="1724"/>
    <w:basedOn w:val="1730"/>
    <w:uiPriority w:val="99"/>
    <w:qFormat/>
    <w:rPr>
      <w:rFonts w:ascii="Calibri" w:eastAsia="宋体" w:hAnsi="Calibri" w:cs="Times New Roman" w:hint="default"/>
      <w:b/>
      <w:szCs w:val="21"/>
    </w:rPr>
  </w:style>
  <w:style w:type="character" w:customStyle="1" w:styleId="1723">
    <w:name w:val="1723"/>
    <w:basedOn w:val="1768"/>
    <w:uiPriority w:val="99"/>
    <w:qFormat/>
    <w:rPr>
      <w:rFonts w:ascii="Calibri" w:eastAsia="宋体" w:hAnsi="Calibri" w:cs="Times New Roman" w:hint="default"/>
      <w:sz w:val="18"/>
      <w:szCs w:val="18"/>
    </w:rPr>
  </w:style>
  <w:style w:type="character" w:customStyle="1" w:styleId="1722">
    <w:name w:val="1722"/>
    <w:basedOn w:val="1768"/>
    <w:uiPriority w:val="99"/>
    <w:qFormat/>
    <w:rPr>
      <w:rFonts w:ascii="Calibri" w:eastAsia="宋体" w:hAnsi="Calibri" w:cs="Times New Roman" w:hint="default"/>
      <w:sz w:val="18"/>
      <w:szCs w:val="18"/>
    </w:rPr>
  </w:style>
  <w:style w:type="character" w:customStyle="1" w:styleId="1721">
    <w:name w:val="1721"/>
    <w:basedOn w:val="1768"/>
    <w:qFormat/>
    <w:rPr>
      <w:rFonts w:ascii="宋体" w:eastAsia="宋体" w:hAnsi="Courier New" w:cs="Times New Roman" w:hint="eastAsia"/>
      <w:szCs w:val="20"/>
    </w:rPr>
  </w:style>
  <w:style w:type="character" w:customStyle="1" w:styleId="1720">
    <w:name w:val="1720"/>
    <w:basedOn w:val="1768"/>
    <w:qFormat/>
    <w:rPr>
      <w:rFonts w:ascii="宋体" w:eastAsia="宋体" w:hAnsi="宋体" w:cs="Times New Roman" w:hint="eastAsia"/>
      <w:kern w:val="2"/>
      <w:sz w:val="24"/>
      <w:szCs w:val="24"/>
      <w:lang w:val="en-US" w:eastAsia="zh-CN" w:bidi="ar-SA"/>
    </w:rPr>
  </w:style>
  <w:style w:type="character" w:customStyle="1" w:styleId="1719">
    <w:name w:val="1719"/>
    <w:basedOn w:val="1768"/>
    <w:uiPriority w:val="99"/>
    <w:qFormat/>
    <w:rPr>
      <w:rFonts w:ascii="Times New Roman" w:eastAsia="宋体" w:hAnsi="Times New Roman" w:cs="Times New Roman" w:hint="default"/>
      <w:szCs w:val="21"/>
    </w:rPr>
  </w:style>
  <w:style w:type="character" w:customStyle="1" w:styleId="1717">
    <w:name w:val="1717"/>
    <w:basedOn w:val="1768"/>
    <w:uiPriority w:val="99"/>
    <w:qFormat/>
    <w:rPr>
      <w:rFonts w:ascii="Times New Roman" w:eastAsia="宋体" w:hAnsi="Times New Roman" w:cs="Times New Roman" w:hint="default"/>
      <w:szCs w:val="21"/>
    </w:rPr>
  </w:style>
  <w:style w:type="character" w:customStyle="1" w:styleId="1716">
    <w:name w:val="1716"/>
    <w:basedOn w:val="1768"/>
    <w:uiPriority w:val="99"/>
    <w:qFormat/>
    <w:rPr>
      <w:rFonts w:ascii="Times New Roman" w:eastAsia="宋体" w:hAnsi="Times New Roman" w:cs="Times New Roman" w:hint="default"/>
      <w:szCs w:val="21"/>
    </w:rPr>
  </w:style>
  <w:style w:type="character" w:customStyle="1" w:styleId="1711">
    <w:name w:val="1711"/>
    <w:basedOn w:val="1768"/>
    <w:qFormat/>
    <w:rPr>
      <w:kern w:val="2"/>
      <w:sz w:val="21"/>
      <w:szCs w:val="24"/>
    </w:rPr>
  </w:style>
  <w:style w:type="character" w:customStyle="1" w:styleId="1709">
    <w:name w:val="1709"/>
    <w:basedOn w:val="1768"/>
    <w:uiPriority w:val="99"/>
    <w:semiHidden/>
    <w:qFormat/>
    <w:rPr>
      <w:rFonts w:ascii="宋体" w:eastAsia="宋体" w:hAnsi="宋体" w:hint="eastAsia"/>
      <w:kern w:val="2"/>
      <w:sz w:val="18"/>
      <w:szCs w:val="18"/>
    </w:rPr>
  </w:style>
  <w:style w:type="character" w:customStyle="1" w:styleId="1708">
    <w:name w:val="1708"/>
    <w:basedOn w:val="1768"/>
    <w:uiPriority w:val="99"/>
    <w:qFormat/>
    <w:rPr>
      <w:color w:val="auto"/>
    </w:rPr>
  </w:style>
  <w:style w:type="character" w:customStyle="1" w:styleId="1707">
    <w:name w:val="1707"/>
    <w:basedOn w:val="1768"/>
    <w:uiPriority w:val="10"/>
    <w:qFormat/>
    <w:rPr>
      <w:rFonts w:ascii="Cambria" w:hAnsi="Cambria" w:cs="Times New Roman" w:hint="default"/>
      <w:b/>
      <w:kern w:val="2"/>
      <w:sz w:val="32"/>
      <w:szCs w:val="32"/>
    </w:rPr>
  </w:style>
  <w:style w:type="character" w:customStyle="1" w:styleId="1705">
    <w:name w:val="1705"/>
    <w:basedOn w:val="1768"/>
    <w:uiPriority w:val="9"/>
    <w:qFormat/>
    <w:rPr>
      <w:rFonts w:ascii="Cambria" w:hAnsi="Cambria" w:cs="Times New Roman" w:hint="default"/>
      <w:b/>
      <w:sz w:val="21"/>
      <w:szCs w:val="24"/>
    </w:rPr>
  </w:style>
  <w:style w:type="character" w:customStyle="1" w:styleId="1704">
    <w:name w:val="1704"/>
    <w:basedOn w:val="1768"/>
    <w:uiPriority w:val="99"/>
    <w:semiHidden/>
    <w:qFormat/>
    <w:rPr>
      <w:rFonts w:ascii="宋体" w:eastAsia="宋体" w:hAnsi="宋体" w:cs="宋体" w:hint="eastAsia"/>
      <w:sz w:val="21"/>
      <w:szCs w:val="24"/>
    </w:rPr>
  </w:style>
  <w:style w:type="character" w:customStyle="1" w:styleId="1703">
    <w:name w:val="1703"/>
    <w:basedOn w:val="1730"/>
    <w:uiPriority w:val="99"/>
    <w:semiHidden/>
    <w:qFormat/>
    <w:rPr>
      <w:rFonts w:ascii="Times New Roman" w:eastAsia="宋体" w:hAnsi="Times New Roman" w:cs="Times New Roman" w:hint="default"/>
      <w:b/>
      <w:szCs w:val="21"/>
    </w:rPr>
  </w:style>
  <w:style w:type="character" w:customStyle="1" w:styleId="1699">
    <w:name w:val="1699"/>
    <w:basedOn w:val="1768"/>
    <w:qFormat/>
    <w:rPr>
      <w:rFonts w:ascii="Times New Roman" w:hAnsi="Times New Roman" w:cs="Times New Roman" w:hint="default"/>
      <w:b/>
      <w:kern w:val="2"/>
      <w:sz w:val="21"/>
      <w:szCs w:val="24"/>
    </w:rPr>
  </w:style>
  <w:style w:type="character" w:customStyle="1" w:styleId="1698">
    <w:name w:val="1698"/>
    <w:basedOn w:val="1730"/>
    <w:uiPriority w:val="99"/>
    <w:semiHidden/>
    <w:qFormat/>
    <w:rPr>
      <w:rFonts w:ascii="Times New Roman" w:eastAsia="宋体" w:hAnsi="Times New Roman" w:cs="Times New Roman" w:hint="default"/>
      <w:b/>
      <w:szCs w:val="21"/>
    </w:rPr>
  </w:style>
  <w:style w:type="character" w:customStyle="1" w:styleId="1697">
    <w:name w:val="1697"/>
    <w:basedOn w:val="1768"/>
    <w:uiPriority w:val="9"/>
    <w:qFormat/>
    <w:rPr>
      <w:rFonts w:ascii="宋体" w:eastAsia="宋体" w:hAnsi="宋体" w:cs="宋体" w:hint="eastAsia"/>
      <w:b/>
      <w:sz w:val="24"/>
      <w:szCs w:val="24"/>
    </w:rPr>
  </w:style>
  <w:style w:type="character" w:customStyle="1" w:styleId="1696">
    <w:name w:val="1696"/>
    <w:basedOn w:val="1768"/>
    <w:qFormat/>
  </w:style>
  <w:style w:type="character" w:customStyle="1" w:styleId="1695">
    <w:name w:val="1695"/>
    <w:uiPriority w:val="9"/>
    <w:qFormat/>
    <w:rPr>
      <w:rFonts w:ascii="Cambria" w:hAnsi="Cambria" w:hint="default"/>
      <w:b/>
      <w:kern w:val="2"/>
      <w:sz w:val="21"/>
      <w:szCs w:val="28"/>
    </w:rPr>
  </w:style>
  <w:style w:type="character" w:customStyle="1" w:styleId="1692">
    <w:name w:val="1692"/>
    <w:uiPriority w:val="9"/>
    <w:qFormat/>
    <w:rPr>
      <w:b/>
      <w:kern w:val="2"/>
      <w:sz w:val="21"/>
      <w:szCs w:val="32"/>
    </w:rPr>
  </w:style>
  <w:style w:type="character" w:customStyle="1" w:styleId="1688">
    <w:name w:val="1688"/>
    <w:uiPriority w:val="99"/>
    <w:qFormat/>
    <w:rPr>
      <w:rFonts w:ascii="Times New Roman" w:hAnsi="Times New Roman" w:cs="Times New Roman" w:hint="default"/>
      <w:kern w:val="2"/>
      <w:sz w:val="21"/>
      <w:szCs w:val="21"/>
    </w:rPr>
  </w:style>
  <w:style w:type="character" w:customStyle="1" w:styleId="1686">
    <w:name w:val="1686"/>
    <w:uiPriority w:val="9"/>
    <w:qFormat/>
    <w:rPr>
      <w:b/>
      <w:kern w:val="2"/>
      <w:sz w:val="21"/>
      <w:szCs w:val="28"/>
    </w:rPr>
  </w:style>
  <w:style w:type="character" w:customStyle="1" w:styleId="1684">
    <w:name w:val="1684"/>
    <w:uiPriority w:val="9"/>
    <w:qFormat/>
    <w:rPr>
      <w:b/>
      <w:kern w:val="2"/>
      <w:sz w:val="21"/>
      <w:szCs w:val="32"/>
    </w:rPr>
  </w:style>
  <w:style w:type="character" w:customStyle="1" w:styleId="1683">
    <w:name w:val="1683"/>
    <w:qFormat/>
    <w:rPr>
      <w:rFonts w:ascii="Arial" w:hAnsi="Arial" w:cs="Arial" w:hint="default"/>
      <w:b/>
      <w:kern w:val="2"/>
      <w:sz w:val="21"/>
      <w:szCs w:val="21"/>
    </w:rPr>
  </w:style>
  <w:style w:type="character" w:customStyle="1" w:styleId="1682">
    <w:name w:val="1682"/>
    <w:uiPriority w:val="9"/>
    <w:qFormat/>
    <w:rPr>
      <w:rFonts w:ascii="Cambria" w:hAnsi="Cambria" w:hint="default"/>
      <w:b/>
      <w:kern w:val="2"/>
      <w:sz w:val="21"/>
      <w:szCs w:val="28"/>
    </w:rPr>
  </w:style>
  <w:style w:type="character" w:customStyle="1" w:styleId="1681">
    <w:name w:val="1681"/>
    <w:uiPriority w:val="9"/>
    <w:qFormat/>
    <w:rPr>
      <w:b/>
      <w:kern w:val="2"/>
      <w:sz w:val="21"/>
      <w:szCs w:val="28"/>
    </w:rPr>
  </w:style>
  <w:style w:type="character" w:customStyle="1" w:styleId="1679">
    <w:name w:val="1679"/>
    <w:qFormat/>
    <w:rPr>
      <w:rFonts w:ascii="Times New Roman" w:hAnsi="Times New Roman" w:cs="Times New Roman" w:hint="default"/>
      <w:kern w:val="2"/>
      <w:sz w:val="21"/>
      <w:szCs w:val="21"/>
    </w:rPr>
  </w:style>
  <w:style w:type="character" w:customStyle="1" w:styleId="1677">
    <w:name w:val="1677"/>
    <w:basedOn w:val="1768"/>
    <w:qFormat/>
    <w:rPr>
      <w:rFonts w:ascii="Arial" w:eastAsia="黑体" w:hAnsi="Arial" w:cs="Times New Roman" w:hint="default"/>
      <w:color w:val="000000"/>
      <w:sz w:val="24"/>
      <w:szCs w:val="20"/>
    </w:rPr>
  </w:style>
  <w:style w:type="character" w:customStyle="1" w:styleId="1676">
    <w:name w:val="1676"/>
    <w:basedOn w:val="1768"/>
    <w:qFormat/>
    <w:rPr>
      <w:rFonts w:ascii="Arial" w:eastAsia="黑体" w:hAnsi="Arial" w:cs="Times New Roman" w:hint="default"/>
      <w:color w:val="000000"/>
      <w:sz w:val="24"/>
      <w:szCs w:val="20"/>
    </w:rPr>
  </w:style>
  <w:style w:type="character" w:customStyle="1" w:styleId="1675">
    <w:name w:val="1675"/>
    <w:basedOn w:val="1768"/>
    <w:uiPriority w:val="99"/>
    <w:qFormat/>
    <w:rPr>
      <w:rFonts w:ascii="Times New Roman" w:eastAsia="宋体" w:hAnsi="Times New Roman" w:cs="Times New Roman" w:hint="default"/>
      <w:szCs w:val="21"/>
    </w:rPr>
  </w:style>
  <w:style w:type="character" w:customStyle="1" w:styleId="1671">
    <w:name w:val="1671"/>
    <w:basedOn w:val="1768"/>
    <w:qFormat/>
    <w:rPr>
      <w:b/>
      <w:sz w:val="24"/>
      <w:szCs w:val="24"/>
    </w:rPr>
  </w:style>
  <w:style w:type="character" w:customStyle="1" w:styleId="1670">
    <w:name w:val="1670"/>
    <w:qFormat/>
    <w:rPr>
      <w:rFonts w:ascii="宋体" w:eastAsia="宋体" w:hAnsi="宋体" w:hint="eastAsia"/>
      <w:color w:val="000000"/>
      <w:sz w:val="24"/>
      <w:szCs w:val="24"/>
    </w:rPr>
  </w:style>
  <w:style w:type="character" w:customStyle="1" w:styleId="1669">
    <w:name w:val="1669"/>
    <w:uiPriority w:val="99"/>
    <w:qFormat/>
    <w:rPr>
      <w:rFonts w:ascii="Times New Roman" w:hAnsi="Times New Roman" w:cs="Times New Roman" w:hint="default"/>
      <w:kern w:val="2"/>
      <w:sz w:val="21"/>
      <w:szCs w:val="21"/>
    </w:rPr>
  </w:style>
  <w:style w:type="character" w:customStyle="1" w:styleId="1668">
    <w:name w:val="1668"/>
    <w:qFormat/>
    <w:rPr>
      <w:rFonts w:ascii="FZLTSK--GBK1-0" w:hAnsi="FZLTSK--GBK1-0" w:hint="default"/>
      <w:bCs/>
      <w:color w:val="000000"/>
      <w:sz w:val="20"/>
      <w:szCs w:val="20"/>
    </w:rPr>
  </w:style>
  <w:style w:type="character" w:customStyle="1" w:styleId="1655">
    <w:name w:val="1655"/>
    <w:basedOn w:val="1768"/>
    <w:qFormat/>
    <w:rPr>
      <w:rFonts w:ascii="Times New Roman" w:hAnsi="Times New Roman" w:cs="Times New Roman" w:hint="default"/>
      <w:kern w:val="2"/>
    </w:rPr>
  </w:style>
  <w:style w:type="character" w:customStyle="1" w:styleId="1654">
    <w:name w:val="1654"/>
    <w:basedOn w:val="1730"/>
    <w:uiPriority w:val="99"/>
    <w:semiHidden/>
    <w:qFormat/>
    <w:rPr>
      <w:rFonts w:ascii="Times New Roman" w:eastAsia="宋体" w:hAnsi="Times New Roman" w:cs="Times New Roman" w:hint="default"/>
      <w:b/>
      <w:color w:val="000000"/>
      <w:sz w:val="21"/>
      <w:szCs w:val="21"/>
    </w:rPr>
  </w:style>
  <w:style w:type="character" w:customStyle="1" w:styleId="1648">
    <w:name w:val="1648"/>
    <w:basedOn w:val="1768"/>
    <w:qFormat/>
    <w:rPr>
      <w:rFonts w:ascii="宋体" w:eastAsia="宋体" w:hAnsi="宋体" w:hint="eastAsia"/>
      <w:color w:val="000000"/>
      <w:sz w:val="22"/>
      <w:szCs w:val="22"/>
    </w:rPr>
  </w:style>
  <w:style w:type="character" w:customStyle="1" w:styleId="1647">
    <w:name w:val="1647"/>
    <w:basedOn w:val="1768"/>
    <w:uiPriority w:val="9"/>
    <w:qFormat/>
    <w:rPr>
      <w:rFonts w:ascii="Cambria" w:hAnsi="Cambria" w:hint="default"/>
      <w:b/>
      <w:kern w:val="2"/>
      <w:sz w:val="21"/>
      <w:szCs w:val="28"/>
    </w:rPr>
  </w:style>
  <w:style w:type="character" w:customStyle="1" w:styleId="1645">
    <w:name w:val="1645"/>
    <w:basedOn w:val="1768"/>
    <w:uiPriority w:val="9"/>
    <w:qFormat/>
    <w:rPr>
      <w:b/>
      <w:kern w:val="2"/>
      <w:sz w:val="21"/>
      <w:szCs w:val="32"/>
    </w:rPr>
  </w:style>
  <w:style w:type="character" w:customStyle="1" w:styleId="1644">
    <w:name w:val="1644"/>
    <w:basedOn w:val="1768"/>
    <w:uiPriority w:val="39"/>
    <w:qFormat/>
    <w:rPr>
      <w:rFonts w:ascii="Calibri" w:hAnsi="Calibri" w:cs="Times New Roman" w:hint="default"/>
      <w:sz w:val="22"/>
      <w:szCs w:val="22"/>
    </w:rPr>
  </w:style>
  <w:style w:type="character" w:customStyle="1" w:styleId="1635">
    <w:name w:val="1635"/>
    <w:basedOn w:val="1768"/>
    <w:semiHidden/>
    <w:qFormat/>
    <w:rPr>
      <w:rFonts w:ascii="Arial" w:hAnsi="Arial" w:cs="Times New Roman" w:hint="default"/>
      <w:b/>
      <w:kern w:val="2"/>
    </w:rPr>
  </w:style>
  <w:style w:type="character" w:customStyle="1" w:styleId="1634">
    <w:name w:val="1634"/>
    <w:basedOn w:val="1768"/>
    <w:uiPriority w:val="1"/>
    <w:qFormat/>
    <w:rPr>
      <w:kern w:val="2"/>
      <w:szCs w:val="22"/>
    </w:rPr>
  </w:style>
  <w:style w:type="character" w:customStyle="1" w:styleId="1633">
    <w:name w:val="1633"/>
    <w:basedOn w:val="1768"/>
    <w:uiPriority w:val="99"/>
    <w:qFormat/>
    <w:rPr>
      <w:sz w:val="24"/>
    </w:rPr>
  </w:style>
  <w:style w:type="character" w:customStyle="1" w:styleId="1631">
    <w:name w:val="1631"/>
    <w:basedOn w:val="1768"/>
    <w:qFormat/>
    <w:rPr>
      <w:rFonts w:ascii="宋体" w:eastAsia="宋体" w:hAnsi="宋体" w:hint="eastAsia"/>
      <w:kern w:val="2"/>
      <w:szCs w:val="24"/>
    </w:rPr>
  </w:style>
  <w:style w:type="character" w:customStyle="1" w:styleId="1623">
    <w:name w:val="1623"/>
    <w:basedOn w:val="1768"/>
    <w:uiPriority w:val="99"/>
    <w:qFormat/>
    <w:rPr>
      <w:rFonts w:ascii="黑体" w:eastAsia="黑体" w:hAnsi="黑体" w:hint="eastAsia"/>
      <w:b/>
      <w:kern w:val="44"/>
      <w:sz w:val="28"/>
      <w:szCs w:val="44"/>
    </w:rPr>
  </w:style>
  <w:style w:type="character" w:customStyle="1" w:styleId="1622">
    <w:name w:val="1622"/>
    <w:basedOn w:val="1768"/>
    <w:qFormat/>
    <w:rPr>
      <w:rFonts w:ascii="Arial" w:hAnsi="Arial" w:cs="Arial" w:hint="default"/>
      <w:b/>
      <w:kern w:val="2"/>
      <w:sz w:val="21"/>
      <w:szCs w:val="21"/>
    </w:rPr>
  </w:style>
  <w:style w:type="character" w:customStyle="1" w:styleId="1621">
    <w:name w:val="1621"/>
    <w:basedOn w:val="1768"/>
    <w:uiPriority w:val="9"/>
    <w:qFormat/>
    <w:rPr>
      <w:b/>
      <w:kern w:val="2"/>
      <w:sz w:val="21"/>
      <w:szCs w:val="32"/>
    </w:rPr>
  </w:style>
  <w:style w:type="character" w:customStyle="1" w:styleId="1620">
    <w:name w:val="1620"/>
    <w:basedOn w:val="1768"/>
    <w:uiPriority w:val="9"/>
    <w:qFormat/>
    <w:rPr>
      <w:rFonts w:ascii="Cambria" w:hAnsi="Cambria" w:hint="default"/>
      <w:b/>
      <w:kern w:val="2"/>
      <w:sz w:val="21"/>
      <w:szCs w:val="28"/>
    </w:rPr>
  </w:style>
  <w:style w:type="character" w:customStyle="1" w:styleId="1619">
    <w:name w:val="1619"/>
    <w:basedOn w:val="1768"/>
    <w:uiPriority w:val="9"/>
    <w:qFormat/>
    <w:rPr>
      <w:b/>
      <w:kern w:val="2"/>
      <w:sz w:val="21"/>
      <w:szCs w:val="28"/>
    </w:rPr>
  </w:style>
  <w:style w:type="character" w:customStyle="1" w:styleId="1616">
    <w:name w:val="1616"/>
    <w:basedOn w:val="1768"/>
    <w:qFormat/>
    <w:rPr>
      <w:rFonts w:ascii="Times New Roman" w:eastAsia="宋体" w:hAnsi="Times New Roman" w:cs="Times New Roman" w:hint="default"/>
      <w:szCs w:val="21"/>
    </w:rPr>
  </w:style>
  <w:style w:type="character" w:customStyle="1" w:styleId="1614">
    <w:name w:val="1614"/>
    <w:basedOn w:val="1768"/>
    <w:uiPriority w:val="99"/>
    <w:qFormat/>
    <w:rPr>
      <w:rFonts w:ascii="Calibri" w:eastAsia="宋体" w:hAnsi="Calibri" w:cs="Times New Roman" w:hint="default"/>
      <w:sz w:val="18"/>
      <w:szCs w:val="18"/>
    </w:rPr>
  </w:style>
  <w:style w:type="character" w:customStyle="1" w:styleId="1613">
    <w:name w:val="1613"/>
    <w:basedOn w:val="1768"/>
    <w:uiPriority w:val="99"/>
    <w:qFormat/>
    <w:rPr>
      <w:rFonts w:ascii="Times New Roman" w:eastAsia="宋体" w:hAnsi="Times New Roman" w:cs="Times New Roman" w:hint="default"/>
      <w:szCs w:val="21"/>
    </w:rPr>
  </w:style>
  <w:style w:type="character" w:customStyle="1" w:styleId="1611">
    <w:name w:val="1611"/>
    <w:basedOn w:val="1616"/>
    <w:uiPriority w:val="99"/>
    <w:qFormat/>
    <w:rPr>
      <w:rFonts w:ascii="Calibri" w:eastAsia="宋体" w:hAnsi="Calibri" w:cs="Times New Roman" w:hint="default"/>
      <w:b/>
      <w:szCs w:val="21"/>
    </w:rPr>
  </w:style>
  <w:style w:type="character" w:customStyle="1" w:styleId="1609">
    <w:name w:val="1609"/>
    <w:basedOn w:val="1768"/>
    <w:uiPriority w:val="99"/>
    <w:qFormat/>
    <w:rPr>
      <w:rFonts w:ascii="Calibri" w:eastAsia="宋体" w:hAnsi="Calibri" w:cs="Times New Roman" w:hint="default"/>
      <w:sz w:val="18"/>
      <w:szCs w:val="18"/>
    </w:rPr>
  </w:style>
  <w:style w:type="character" w:customStyle="1" w:styleId="1607">
    <w:name w:val="1607"/>
    <w:basedOn w:val="1768"/>
    <w:uiPriority w:val="99"/>
    <w:qFormat/>
    <w:rPr>
      <w:rFonts w:ascii="Calibri" w:eastAsia="宋体" w:hAnsi="Calibri" w:cs="Times New Roman" w:hint="default"/>
      <w:sz w:val="18"/>
      <w:szCs w:val="18"/>
    </w:rPr>
  </w:style>
  <w:style w:type="character" w:customStyle="1" w:styleId="1605">
    <w:name w:val="1605"/>
    <w:basedOn w:val="1768"/>
    <w:qFormat/>
    <w:rPr>
      <w:rFonts w:ascii="宋体" w:eastAsia="宋体" w:hAnsi="Courier New" w:cs="Times New Roman" w:hint="eastAsia"/>
      <w:szCs w:val="20"/>
    </w:rPr>
  </w:style>
  <w:style w:type="character" w:customStyle="1" w:styleId="1603">
    <w:name w:val="1603"/>
    <w:basedOn w:val="1768"/>
    <w:uiPriority w:val="99"/>
    <w:qFormat/>
    <w:rPr>
      <w:rFonts w:ascii="Times New Roman" w:eastAsia="宋体" w:hAnsi="Times New Roman" w:cs="Times New Roman" w:hint="default"/>
      <w:szCs w:val="21"/>
    </w:rPr>
  </w:style>
  <w:style w:type="character" w:customStyle="1" w:styleId="1601">
    <w:name w:val="1601"/>
    <w:basedOn w:val="1768"/>
    <w:uiPriority w:val="99"/>
    <w:qFormat/>
    <w:rPr>
      <w:rFonts w:ascii="Times New Roman" w:eastAsia="宋体" w:hAnsi="Times New Roman" w:cs="Times New Roman" w:hint="default"/>
      <w:szCs w:val="21"/>
    </w:rPr>
  </w:style>
  <w:style w:type="character" w:customStyle="1" w:styleId="1599">
    <w:name w:val="1599"/>
    <w:basedOn w:val="1768"/>
    <w:uiPriority w:val="99"/>
    <w:qFormat/>
    <w:rPr>
      <w:rFonts w:ascii="Times New Roman" w:eastAsia="宋体" w:hAnsi="Times New Roman" w:cs="Times New Roman" w:hint="default"/>
      <w:szCs w:val="21"/>
    </w:rPr>
  </w:style>
  <w:style w:type="character" w:customStyle="1" w:styleId="1595">
    <w:name w:val="1595"/>
    <w:basedOn w:val="1768"/>
    <w:qFormat/>
    <w:rPr>
      <w:kern w:val="2"/>
      <w:sz w:val="21"/>
      <w:szCs w:val="24"/>
    </w:rPr>
  </w:style>
  <w:style w:type="character" w:customStyle="1" w:styleId="1592">
    <w:name w:val="1592"/>
    <w:basedOn w:val="1768"/>
    <w:uiPriority w:val="99"/>
    <w:semiHidden/>
    <w:qFormat/>
    <w:rPr>
      <w:rFonts w:ascii="宋体" w:eastAsia="宋体" w:hAnsi="宋体" w:hint="eastAsia"/>
      <w:kern w:val="2"/>
      <w:sz w:val="18"/>
      <w:szCs w:val="18"/>
    </w:rPr>
  </w:style>
  <w:style w:type="character" w:customStyle="1" w:styleId="1591">
    <w:name w:val="1591"/>
    <w:basedOn w:val="1768"/>
    <w:uiPriority w:val="99"/>
    <w:qFormat/>
    <w:rPr>
      <w:color w:val="auto"/>
    </w:rPr>
  </w:style>
  <w:style w:type="character" w:customStyle="1" w:styleId="1589">
    <w:name w:val="1589"/>
    <w:basedOn w:val="1768"/>
    <w:uiPriority w:val="10"/>
    <w:qFormat/>
    <w:rPr>
      <w:rFonts w:ascii="Cambria" w:hAnsi="Cambria" w:cs="Times New Roman" w:hint="default"/>
      <w:b/>
      <w:kern w:val="2"/>
      <w:sz w:val="32"/>
      <w:szCs w:val="32"/>
    </w:rPr>
  </w:style>
  <w:style w:type="character" w:customStyle="1" w:styleId="1581">
    <w:name w:val="1581"/>
    <w:basedOn w:val="1768"/>
    <w:uiPriority w:val="9"/>
    <w:qFormat/>
    <w:rPr>
      <w:rFonts w:ascii="Cambria" w:hAnsi="Cambria" w:cs="Times New Roman" w:hint="default"/>
      <w:b/>
      <w:sz w:val="21"/>
      <w:szCs w:val="24"/>
    </w:rPr>
  </w:style>
  <w:style w:type="character" w:customStyle="1" w:styleId="1578">
    <w:name w:val="1578"/>
    <w:basedOn w:val="1768"/>
    <w:uiPriority w:val="99"/>
    <w:semiHidden/>
    <w:qFormat/>
    <w:rPr>
      <w:rFonts w:ascii="宋体" w:eastAsia="宋体" w:hAnsi="宋体" w:cs="宋体" w:hint="eastAsia"/>
      <w:sz w:val="21"/>
      <w:szCs w:val="24"/>
    </w:rPr>
  </w:style>
  <w:style w:type="character" w:customStyle="1" w:styleId="1577">
    <w:name w:val="1577"/>
    <w:basedOn w:val="1768"/>
    <w:uiPriority w:val="99"/>
    <w:semiHidden/>
    <w:qFormat/>
    <w:rPr>
      <w:vertAlign w:val="superscript"/>
    </w:rPr>
  </w:style>
  <w:style w:type="character" w:customStyle="1" w:styleId="1576">
    <w:name w:val="1576"/>
    <w:basedOn w:val="1616"/>
    <w:uiPriority w:val="99"/>
    <w:semiHidden/>
    <w:qFormat/>
    <w:rPr>
      <w:rFonts w:ascii="Times New Roman" w:eastAsia="宋体" w:hAnsi="Times New Roman" w:cs="Times New Roman" w:hint="default"/>
      <w:b/>
      <w:szCs w:val="21"/>
    </w:rPr>
  </w:style>
  <w:style w:type="character" w:customStyle="1" w:styleId="1575">
    <w:name w:val="1575"/>
    <w:basedOn w:val="1616"/>
    <w:uiPriority w:val="99"/>
    <w:semiHidden/>
    <w:qFormat/>
    <w:rPr>
      <w:rFonts w:ascii="Times New Roman" w:eastAsia="宋体" w:hAnsi="Times New Roman" w:cs="Times New Roman" w:hint="default"/>
      <w:b/>
      <w:szCs w:val="21"/>
    </w:rPr>
  </w:style>
  <w:style w:type="character" w:customStyle="1" w:styleId="1574">
    <w:name w:val="1574"/>
    <w:basedOn w:val="1768"/>
    <w:uiPriority w:val="9"/>
    <w:qFormat/>
    <w:rPr>
      <w:rFonts w:ascii="宋体" w:eastAsia="宋体" w:hAnsi="宋体" w:cs="宋体" w:hint="eastAsia"/>
      <w:b/>
      <w:sz w:val="24"/>
      <w:szCs w:val="24"/>
    </w:rPr>
  </w:style>
  <w:style w:type="character" w:customStyle="1" w:styleId="1567">
    <w:name w:val="1567"/>
    <w:uiPriority w:val="99"/>
    <w:qFormat/>
    <w:rPr>
      <w:rFonts w:ascii="Times New Roman" w:hAnsi="Times New Roman" w:cs="Times New Roman" w:hint="default"/>
      <w:kern w:val="2"/>
      <w:sz w:val="21"/>
      <w:szCs w:val="21"/>
    </w:rPr>
  </w:style>
  <w:style w:type="character" w:customStyle="1" w:styleId="1565">
    <w:name w:val="1565"/>
    <w:qFormat/>
    <w:rPr>
      <w:rFonts w:ascii="Times New Roman" w:hAnsi="Times New Roman" w:cs="Times New Roman" w:hint="default"/>
      <w:kern w:val="2"/>
      <w:sz w:val="21"/>
      <w:szCs w:val="21"/>
    </w:rPr>
  </w:style>
  <w:style w:type="character" w:customStyle="1" w:styleId="1563">
    <w:name w:val="1563"/>
    <w:qFormat/>
    <w:rPr>
      <w:rFonts w:ascii="Times New Roman" w:hAnsi="Times New Roman" w:cs="Times New Roman" w:hint="default"/>
      <w:kern w:val="2"/>
      <w:sz w:val="21"/>
      <w:szCs w:val="21"/>
    </w:rPr>
  </w:style>
  <w:style w:type="character" w:customStyle="1" w:styleId="1559">
    <w:name w:val="1559"/>
    <w:qFormat/>
  </w:style>
  <w:style w:type="character" w:customStyle="1" w:styleId="1543">
    <w:name w:val="1543"/>
    <w:uiPriority w:val="1"/>
    <w:semiHidden/>
    <w:qFormat/>
  </w:style>
  <w:style w:type="character" w:customStyle="1" w:styleId="1516">
    <w:name w:val="1516"/>
    <w:basedOn w:val="1543"/>
    <w:qFormat/>
    <w:rPr>
      <w:b/>
    </w:rPr>
  </w:style>
  <w:style w:type="character" w:customStyle="1" w:styleId="1515">
    <w:name w:val="1515"/>
    <w:basedOn w:val="1543"/>
    <w:qFormat/>
    <w:rPr>
      <w:vertAlign w:val="superscript"/>
    </w:rPr>
  </w:style>
  <w:style w:type="character" w:customStyle="1" w:styleId="1514">
    <w:name w:val="1514"/>
    <w:basedOn w:val="1543"/>
    <w:qFormat/>
    <w:rPr>
      <w:rFonts w:ascii="Times New Roman" w:hAnsi="Times New Roman" w:cs="Times New Roman" w:hint="default"/>
      <w:color w:val="0000FF"/>
      <w:u w:val="single"/>
    </w:rPr>
  </w:style>
  <w:style w:type="character" w:customStyle="1" w:styleId="1513">
    <w:name w:val="1513"/>
    <w:basedOn w:val="1543"/>
    <w:qFormat/>
    <w:rPr>
      <w:rFonts w:ascii="宋体" w:eastAsia="宋体" w:hAnsi="宋体" w:cs="Times New Roman" w:hint="eastAsia"/>
      <w:kern w:val="2"/>
      <w:sz w:val="21"/>
      <w:szCs w:val="21"/>
      <w:lang w:val="en-US" w:eastAsia="zh-CN" w:bidi="ar-SA"/>
    </w:rPr>
  </w:style>
  <w:style w:type="character" w:customStyle="1" w:styleId="1512">
    <w:name w:val="1512"/>
    <w:basedOn w:val="1543"/>
    <w:uiPriority w:val="99"/>
    <w:qFormat/>
    <w:rPr>
      <w:rFonts w:ascii="黑体" w:eastAsia="黑体" w:hAnsi="黑体" w:hint="eastAsia"/>
      <w:b/>
      <w:kern w:val="44"/>
      <w:sz w:val="28"/>
      <w:szCs w:val="44"/>
    </w:rPr>
  </w:style>
  <w:style w:type="character" w:customStyle="1" w:styleId="1511">
    <w:name w:val="1511"/>
    <w:basedOn w:val="1543"/>
    <w:qFormat/>
    <w:rPr>
      <w:rFonts w:ascii="Arial" w:hAnsi="Arial" w:cs="Arial" w:hint="default"/>
      <w:b/>
      <w:kern w:val="2"/>
      <w:sz w:val="21"/>
      <w:szCs w:val="21"/>
    </w:rPr>
  </w:style>
  <w:style w:type="character" w:customStyle="1" w:styleId="1510">
    <w:name w:val="1510"/>
    <w:basedOn w:val="1543"/>
    <w:uiPriority w:val="9"/>
    <w:qFormat/>
    <w:rPr>
      <w:b/>
      <w:kern w:val="2"/>
      <w:sz w:val="21"/>
      <w:szCs w:val="32"/>
    </w:rPr>
  </w:style>
  <w:style w:type="character" w:customStyle="1" w:styleId="1509">
    <w:name w:val="1509"/>
    <w:basedOn w:val="1543"/>
    <w:uiPriority w:val="9"/>
    <w:qFormat/>
    <w:rPr>
      <w:rFonts w:ascii="Cambria" w:hAnsi="Cambria" w:hint="default"/>
      <w:b/>
      <w:kern w:val="2"/>
      <w:sz w:val="21"/>
      <w:szCs w:val="28"/>
    </w:rPr>
  </w:style>
  <w:style w:type="character" w:customStyle="1" w:styleId="1508">
    <w:name w:val="1508"/>
    <w:basedOn w:val="1543"/>
    <w:uiPriority w:val="9"/>
    <w:qFormat/>
    <w:rPr>
      <w:b/>
      <w:kern w:val="2"/>
      <w:sz w:val="21"/>
      <w:szCs w:val="28"/>
    </w:rPr>
  </w:style>
  <w:style w:type="character" w:customStyle="1" w:styleId="1506">
    <w:name w:val="1506"/>
    <w:basedOn w:val="1543"/>
    <w:uiPriority w:val="99"/>
    <w:qFormat/>
    <w:rPr>
      <w:rFonts w:ascii="Times New Roman" w:eastAsia="宋体" w:hAnsi="Times New Roman" w:cs="Times New Roman" w:hint="default"/>
      <w:szCs w:val="21"/>
    </w:rPr>
  </w:style>
  <w:style w:type="character" w:customStyle="1" w:styleId="1505">
    <w:name w:val="1505"/>
    <w:basedOn w:val="1543"/>
    <w:uiPriority w:val="99"/>
    <w:qFormat/>
    <w:rPr>
      <w:rFonts w:ascii="Calibri" w:eastAsia="宋体" w:hAnsi="Calibri" w:cs="Times New Roman" w:hint="default"/>
      <w:sz w:val="18"/>
      <w:szCs w:val="18"/>
    </w:rPr>
  </w:style>
  <w:style w:type="character" w:customStyle="1" w:styleId="1504">
    <w:name w:val="1504"/>
    <w:basedOn w:val="1543"/>
    <w:uiPriority w:val="99"/>
    <w:qFormat/>
    <w:rPr>
      <w:rFonts w:ascii="Times New Roman" w:eastAsia="宋体" w:hAnsi="Times New Roman" w:cs="Times New Roman" w:hint="default"/>
      <w:szCs w:val="21"/>
    </w:rPr>
  </w:style>
  <w:style w:type="character" w:customStyle="1" w:styleId="1503">
    <w:name w:val="1503"/>
    <w:basedOn w:val="1543"/>
    <w:uiPriority w:val="99"/>
    <w:qFormat/>
    <w:rPr>
      <w:rFonts w:ascii="宋体" w:eastAsia="宋体" w:hAnsi="宋体" w:cs="Times New Roman" w:hint="eastAsia"/>
      <w:color w:val="FF0000"/>
      <w:kern w:val="2"/>
      <w:sz w:val="24"/>
      <w:szCs w:val="24"/>
      <w:lang w:val="en-US" w:eastAsia="zh-CN" w:bidi="ar-SA"/>
    </w:rPr>
  </w:style>
  <w:style w:type="character" w:customStyle="1" w:styleId="1500">
    <w:name w:val="1500"/>
    <w:basedOn w:val="1506"/>
    <w:uiPriority w:val="99"/>
    <w:qFormat/>
    <w:rPr>
      <w:rFonts w:ascii="Calibri" w:eastAsia="宋体" w:hAnsi="Calibri" w:cs="Times New Roman" w:hint="default"/>
      <w:b/>
      <w:szCs w:val="21"/>
    </w:rPr>
  </w:style>
  <w:style w:type="character" w:customStyle="1" w:styleId="1499">
    <w:name w:val="1499"/>
    <w:basedOn w:val="1543"/>
    <w:uiPriority w:val="99"/>
    <w:qFormat/>
    <w:rPr>
      <w:rFonts w:ascii="Calibri" w:eastAsia="宋体" w:hAnsi="Calibri" w:cs="Times New Roman" w:hint="default"/>
      <w:sz w:val="18"/>
      <w:szCs w:val="18"/>
    </w:rPr>
  </w:style>
  <w:style w:type="character" w:customStyle="1" w:styleId="1498">
    <w:name w:val="1498"/>
    <w:basedOn w:val="1543"/>
    <w:uiPriority w:val="99"/>
    <w:qFormat/>
    <w:rPr>
      <w:rFonts w:ascii="Calibri" w:eastAsia="宋体" w:hAnsi="Calibri" w:cs="Times New Roman" w:hint="default"/>
      <w:sz w:val="18"/>
      <w:szCs w:val="18"/>
    </w:rPr>
  </w:style>
  <w:style w:type="character" w:customStyle="1" w:styleId="1497">
    <w:name w:val="1497"/>
    <w:basedOn w:val="1543"/>
    <w:qFormat/>
    <w:rPr>
      <w:rFonts w:ascii="宋体" w:eastAsia="宋体" w:hAnsi="Courier New" w:cs="Times New Roman" w:hint="eastAsia"/>
      <w:szCs w:val="20"/>
    </w:rPr>
  </w:style>
  <w:style w:type="character" w:customStyle="1" w:styleId="1496">
    <w:name w:val="1496"/>
    <w:basedOn w:val="1543"/>
    <w:qFormat/>
    <w:rPr>
      <w:rFonts w:ascii="宋体" w:eastAsia="宋体" w:hAnsi="宋体" w:cs="Times New Roman" w:hint="eastAsia"/>
      <w:kern w:val="2"/>
      <w:sz w:val="24"/>
      <w:szCs w:val="24"/>
      <w:lang w:val="en-US" w:eastAsia="zh-CN" w:bidi="ar-SA"/>
    </w:rPr>
  </w:style>
  <w:style w:type="character" w:customStyle="1" w:styleId="1495">
    <w:name w:val="1495"/>
    <w:basedOn w:val="1543"/>
    <w:uiPriority w:val="99"/>
    <w:qFormat/>
    <w:rPr>
      <w:rFonts w:ascii="Times New Roman" w:eastAsia="宋体" w:hAnsi="Times New Roman" w:cs="Times New Roman" w:hint="default"/>
      <w:szCs w:val="21"/>
    </w:rPr>
  </w:style>
  <w:style w:type="character" w:customStyle="1" w:styleId="1493">
    <w:name w:val="1493"/>
    <w:basedOn w:val="1543"/>
    <w:uiPriority w:val="99"/>
    <w:qFormat/>
    <w:rPr>
      <w:rFonts w:ascii="Times New Roman" w:eastAsia="宋体" w:hAnsi="Times New Roman" w:cs="Times New Roman" w:hint="default"/>
      <w:szCs w:val="21"/>
    </w:rPr>
  </w:style>
  <w:style w:type="character" w:customStyle="1" w:styleId="1492">
    <w:name w:val="1492"/>
    <w:basedOn w:val="1543"/>
    <w:uiPriority w:val="99"/>
    <w:qFormat/>
    <w:rPr>
      <w:rFonts w:ascii="Times New Roman" w:eastAsia="宋体" w:hAnsi="Times New Roman" w:cs="Times New Roman" w:hint="default"/>
      <w:szCs w:val="21"/>
    </w:rPr>
  </w:style>
  <w:style w:type="character" w:customStyle="1" w:styleId="1489">
    <w:name w:val="1489"/>
    <w:basedOn w:val="1543"/>
    <w:qFormat/>
    <w:rPr>
      <w:kern w:val="2"/>
      <w:sz w:val="21"/>
      <w:szCs w:val="24"/>
    </w:rPr>
  </w:style>
  <w:style w:type="character" w:customStyle="1" w:styleId="1487">
    <w:name w:val="1487"/>
    <w:basedOn w:val="1543"/>
    <w:uiPriority w:val="99"/>
    <w:semiHidden/>
    <w:qFormat/>
    <w:rPr>
      <w:rFonts w:ascii="宋体" w:eastAsia="宋体" w:hAnsi="宋体" w:hint="eastAsia"/>
      <w:kern w:val="2"/>
      <w:sz w:val="18"/>
      <w:szCs w:val="18"/>
    </w:rPr>
  </w:style>
  <w:style w:type="character" w:customStyle="1" w:styleId="1486">
    <w:name w:val="1486"/>
    <w:basedOn w:val="1543"/>
    <w:uiPriority w:val="99"/>
    <w:qFormat/>
    <w:rPr>
      <w:color w:val="auto"/>
    </w:rPr>
  </w:style>
  <w:style w:type="character" w:customStyle="1" w:styleId="1485">
    <w:name w:val="1485"/>
    <w:basedOn w:val="1543"/>
    <w:uiPriority w:val="10"/>
    <w:qFormat/>
    <w:rPr>
      <w:rFonts w:ascii="Cambria" w:hAnsi="Cambria" w:cs="Times New Roman" w:hint="default"/>
      <w:b/>
      <w:kern w:val="2"/>
      <w:sz w:val="32"/>
      <w:szCs w:val="32"/>
    </w:rPr>
  </w:style>
  <w:style w:type="character" w:customStyle="1" w:styleId="1483">
    <w:name w:val="1483"/>
    <w:basedOn w:val="1543"/>
    <w:uiPriority w:val="9"/>
    <w:qFormat/>
    <w:rPr>
      <w:rFonts w:ascii="Cambria" w:hAnsi="Cambria" w:cs="Times New Roman" w:hint="default"/>
      <w:b/>
      <w:sz w:val="21"/>
      <w:szCs w:val="24"/>
    </w:rPr>
  </w:style>
  <w:style w:type="character" w:customStyle="1" w:styleId="1482">
    <w:name w:val="1482"/>
    <w:basedOn w:val="1543"/>
    <w:uiPriority w:val="99"/>
    <w:semiHidden/>
    <w:qFormat/>
    <w:rPr>
      <w:rFonts w:ascii="宋体" w:eastAsia="宋体" w:hAnsi="宋体" w:cs="宋体" w:hint="eastAsia"/>
      <w:sz w:val="21"/>
      <w:szCs w:val="24"/>
    </w:rPr>
  </w:style>
  <w:style w:type="character" w:customStyle="1" w:styleId="1481">
    <w:name w:val="1481"/>
    <w:basedOn w:val="1506"/>
    <w:uiPriority w:val="99"/>
    <w:semiHidden/>
    <w:qFormat/>
    <w:rPr>
      <w:rFonts w:ascii="Times New Roman" w:eastAsia="宋体" w:hAnsi="Times New Roman" w:cs="Times New Roman" w:hint="default"/>
      <w:b/>
      <w:szCs w:val="21"/>
    </w:rPr>
  </w:style>
  <w:style w:type="character" w:customStyle="1" w:styleId="1477">
    <w:name w:val="1477"/>
    <w:basedOn w:val="1543"/>
    <w:qFormat/>
    <w:rPr>
      <w:rFonts w:ascii="Times New Roman" w:hAnsi="Times New Roman" w:cs="Times New Roman" w:hint="default"/>
      <w:b/>
      <w:kern w:val="2"/>
      <w:sz w:val="21"/>
      <w:szCs w:val="24"/>
    </w:rPr>
  </w:style>
  <w:style w:type="character" w:customStyle="1" w:styleId="1476">
    <w:name w:val="1476"/>
    <w:basedOn w:val="1506"/>
    <w:uiPriority w:val="99"/>
    <w:semiHidden/>
    <w:qFormat/>
    <w:rPr>
      <w:rFonts w:ascii="Times New Roman" w:eastAsia="宋体" w:hAnsi="Times New Roman" w:cs="Times New Roman" w:hint="default"/>
      <w:b/>
      <w:szCs w:val="21"/>
    </w:rPr>
  </w:style>
  <w:style w:type="character" w:customStyle="1" w:styleId="1475">
    <w:name w:val="1475"/>
    <w:basedOn w:val="1543"/>
    <w:uiPriority w:val="9"/>
    <w:qFormat/>
    <w:rPr>
      <w:rFonts w:ascii="宋体" w:eastAsia="宋体" w:hAnsi="宋体" w:cs="宋体" w:hint="eastAsia"/>
      <w:b/>
      <w:sz w:val="24"/>
      <w:szCs w:val="24"/>
    </w:rPr>
  </w:style>
  <w:style w:type="character" w:customStyle="1" w:styleId="1474">
    <w:name w:val="1474"/>
    <w:basedOn w:val="1543"/>
    <w:qFormat/>
  </w:style>
  <w:style w:type="character" w:customStyle="1" w:styleId="1473">
    <w:name w:val="1473"/>
    <w:uiPriority w:val="9"/>
    <w:qFormat/>
    <w:rPr>
      <w:rFonts w:ascii="Cambria" w:hAnsi="Cambria" w:hint="default"/>
      <w:b/>
      <w:kern w:val="2"/>
      <w:sz w:val="21"/>
      <w:szCs w:val="28"/>
    </w:rPr>
  </w:style>
  <w:style w:type="character" w:customStyle="1" w:styleId="1470">
    <w:name w:val="1470"/>
    <w:uiPriority w:val="9"/>
    <w:qFormat/>
    <w:rPr>
      <w:b/>
      <w:kern w:val="2"/>
      <w:sz w:val="21"/>
      <w:szCs w:val="32"/>
    </w:rPr>
  </w:style>
  <w:style w:type="character" w:customStyle="1" w:styleId="1466">
    <w:name w:val="1466"/>
    <w:uiPriority w:val="99"/>
    <w:qFormat/>
    <w:rPr>
      <w:rFonts w:ascii="Times New Roman" w:hAnsi="Times New Roman" w:cs="Times New Roman" w:hint="default"/>
      <w:kern w:val="2"/>
      <w:sz w:val="21"/>
      <w:szCs w:val="21"/>
    </w:rPr>
  </w:style>
  <w:style w:type="character" w:customStyle="1" w:styleId="1464">
    <w:name w:val="1464"/>
    <w:uiPriority w:val="9"/>
    <w:qFormat/>
    <w:rPr>
      <w:b/>
      <w:kern w:val="2"/>
      <w:sz w:val="21"/>
      <w:szCs w:val="28"/>
    </w:rPr>
  </w:style>
  <w:style w:type="character" w:customStyle="1" w:styleId="1462">
    <w:name w:val="1462"/>
    <w:uiPriority w:val="9"/>
    <w:qFormat/>
    <w:rPr>
      <w:b/>
      <w:kern w:val="2"/>
      <w:sz w:val="21"/>
      <w:szCs w:val="32"/>
    </w:rPr>
  </w:style>
  <w:style w:type="character" w:customStyle="1" w:styleId="1461">
    <w:name w:val="1461"/>
    <w:qFormat/>
    <w:rPr>
      <w:rFonts w:ascii="Arial" w:hAnsi="Arial" w:cs="Arial" w:hint="default"/>
      <w:b/>
      <w:kern w:val="2"/>
      <w:sz w:val="21"/>
      <w:szCs w:val="21"/>
    </w:rPr>
  </w:style>
  <w:style w:type="character" w:customStyle="1" w:styleId="1460">
    <w:name w:val="1460"/>
    <w:uiPriority w:val="9"/>
    <w:qFormat/>
    <w:rPr>
      <w:rFonts w:ascii="Cambria" w:hAnsi="Cambria" w:hint="default"/>
      <w:b/>
      <w:kern w:val="2"/>
      <w:sz w:val="21"/>
      <w:szCs w:val="28"/>
    </w:rPr>
  </w:style>
  <w:style w:type="character" w:customStyle="1" w:styleId="1459">
    <w:name w:val="1459"/>
    <w:uiPriority w:val="9"/>
    <w:qFormat/>
    <w:rPr>
      <w:b/>
      <w:kern w:val="2"/>
      <w:sz w:val="21"/>
      <w:szCs w:val="28"/>
    </w:rPr>
  </w:style>
  <w:style w:type="character" w:customStyle="1" w:styleId="1457">
    <w:name w:val="1457"/>
    <w:qFormat/>
    <w:rPr>
      <w:rFonts w:ascii="Times New Roman" w:hAnsi="Times New Roman" w:cs="Times New Roman" w:hint="default"/>
      <w:kern w:val="2"/>
      <w:sz w:val="21"/>
      <w:szCs w:val="21"/>
    </w:rPr>
  </w:style>
  <w:style w:type="character" w:customStyle="1" w:styleId="1455">
    <w:name w:val="1455"/>
    <w:basedOn w:val="1543"/>
    <w:qFormat/>
    <w:rPr>
      <w:rFonts w:ascii="Arial" w:eastAsia="黑体" w:hAnsi="Arial" w:cs="Times New Roman" w:hint="default"/>
      <w:color w:val="000000"/>
      <w:sz w:val="24"/>
      <w:szCs w:val="20"/>
    </w:rPr>
  </w:style>
  <w:style w:type="character" w:customStyle="1" w:styleId="1454">
    <w:name w:val="1454"/>
    <w:basedOn w:val="1543"/>
    <w:qFormat/>
    <w:rPr>
      <w:rFonts w:ascii="Arial" w:eastAsia="黑体" w:hAnsi="Arial" w:cs="Times New Roman" w:hint="default"/>
      <w:color w:val="000000"/>
      <w:sz w:val="24"/>
      <w:szCs w:val="20"/>
    </w:rPr>
  </w:style>
  <w:style w:type="character" w:customStyle="1" w:styleId="1453">
    <w:name w:val="1453"/>
    <w:basedOn w:val="1543"/>
    <w:uiPriority w:val="99"/>
    <w:qFormat/>
    <w:rPr>
      <w:rFonts w:ascii="Times New Roman" w:eastAsia="宋体" w:hAnsi="Times New Roman" w:cs="Times New Roman" w:hint="default"/>
      <w:szCs w:val="21"/>
    </w:rPr>
  </w:style>
  <w:style w:type="character" w:customStyle="1" w:styleId="1449">
    <w:name w:val="1449"/>
    <w:basedOn w:val="1543"/>
    <w:qFormat/>
    <w:rPr>
      <w:b/>
      <w:sz w:val="24"/>
      <w:szCs w:val="24"/>
    </w:rPr>
  </w:style>
  <w:style w:type="character" w:customStyle="1" w:styleId="1448">
    <w:name w:val="1448"/>
    <w:qFormat/>
    <w:rPr>
      <w:rFonts w:ascii="宋体" w:eastAsia="宋体" w:hAnsi="宋体" w:hint="eastAsia"/>
      <w:color w:val="000000"/>
      <w:sz w:val="24"/>
      <w:szCs w:val="24"/>
    </w:rPr>
  </w:style>
  <w:style w:type="character" w:customStyle="1" w:styleId="1447">
    <w:name w:val="1447"/>
    <w:uiPriority w:val="99"/>
    <w:qFormat/>
    <w:rPr>
      <w:rFonts w:ascii="Times New Roman" w:hAnsi="Times New Roman" w:cs="Times New Roman" w:hint="default"/>
      <w:kern w:val="2"/>
      <w:sz w:val="21"/>
      <w:szCs w:val="21"/>
    </w:rPr>
  </w:style>
  <w:style w:type="character" w:customStyle="1" w:styleId="1446">
    <w:name w:val="1446"/>
    <w:qFormat/>
    <w:rPr>
      <w:rFonts w:ascii="FZLTSK--GBK1-0" w:hAnsi="FZLTSK--GBK1-0" w:hint="default"/>
      <w:bCs/>
      <w:color w:val="000000"/>
      <w:sz w:val="20"/>
      <w:szCs w:val="20"/>
    </w:rPr>
  </w:style>
  <w:style w:type="character" w:customStyle="1" w:styleId="1433">
    <w:name w:val="1433"/>
    <w:basedOn w:val="1543"/>
    <w:qFormat/>
    <w:rPr>
      <w:rFonts w:ascii="Times New Roman" w:hAnsi="Times New Roman" w:cs="Times New Roman" w:hint="default"/>
      <w:kern w:val="2"/>
    </w:rPr>
  </w:style>
  <w:style w:type="character" w:customStyle="1" w:styleId="1432">
    <w:name w:val="1432"/>
    <w:basedOn w:val="1506"/>
    <w:uiPriority w:val="99"/>
    <w:semiHidden/>
    <w:qFormat/>
    <w:rPr>
      <w:rFonts w:ascii="Times New Roman" w:eastAsia="宋体" w:hAnsi="Times New Roman" w:cs="Times New Roman" w:hint="default"/>
      <w:b/>
      <w:color w:val="000000"/>
      <w:sz w:val="21"/>
      <w:szCs w:val="21"/>
    </w:rPr>
  </w:style>
  <w:style w:type="character" w:customStyle="1" w:styleId="1426">
    <w:name w:val="1426"/>
    <w:basedOn w:val="1543"/>
    <w:qFormat/>
    <w:rPr>
      <w:rFonts w:ascii="宋体" w:eastAsia="宋体" w:hAnsi="宋体" w:hint="eastAsia"/>
      <w:color w:val="000000"/>
      <w:sz w:val="22"/>
      <w:szCs w:val="22"/>
    </w:rPr>
  </w:style>
  <w:style w:type="character" w:customStyle="1" w:styleId="1425">
    <w:name w:val="1425"/>
    <w:basedOn w:val="1543"/>
    <w:uiPriority w:val="9"/>
    <w:qFormat/>
    <w:rPr>
      <w:rFonts w:ascii="Cambria" w:hAnsi="Cambria" w:hint="default"/>
      <w:b/>
      <w:kern w:val="2"/>
      <w:sz w:val="21"/>
      <w:szCs w:val="28"/>
    </w:rPr>
  </w:style>
  <w:style w:type="character" w:customStyle="1" w:styleId="1423">
    <w:name w:val="1423"/>
    <w:basedOn w:val="1543"/>
    <w:uiPriority w:val="9"/>
    <w:qFormat/>
    <w:rPr>
      <w:b/>
      <w:kern w:val="2"/>
      <w:sz w:val="21"/>
      <w:szCs w:val="32"/>
    </w:rPr>
  </w:style>
  <w:style w:type="character" w:customStyle="1" w:styleId="1422">
    <w:name w:val="1422"/>
    <w:basedOn w:val="1543"/>
    <w:uiPriority w:val="39"/>
    <w:qFormat/>
    <w:rPr>
      <w:rFonts w:ascii="Calibri" w:hAnsi="Calibri" w:cs="Times New Roman" w:hint="default"/>
      <w:sz w:val="22"/>
      <w:szCs w:val="22"/>
    </w:rPr>
  </w:style>
  <w:style w:type="character" w:customStyle="1" w:styleId="1413">
    <w:name w:val="1413"/>
    <w:basedOn w:val="1543"/>
    <w:semiHidden/>
    <w:qFormat/>
    <w:rPr>
      <w:rFonts w:ascii="Arial" w:hAnsi="Arial" w:cs="Times New Roman" w:hint="default"/>
      <w:b/>
      <w:kern w:val="2"/>
    </w:rPr>
  </w:style>
  <w:style w:type="character" w:customStyle="1" w:styleId="1412">
    <w:name w:val="1412"/>
    <w:basedOn w:val="1543"/>
    <w:uiPriority w:val="1"/>
    <w:qFormat/>
    <w:rPr>
      <w:kern w:val="2"/>
      <w:szCs w:val="22"/>
    </w:rPr>
  </w:style>
  <w:style w:type="character" w:customStyle="1" w:styleId="1411">
    <w:name w:val="1411"/>
    <w:basedOn w:val="1543"/>
    <w:uiPriority w:val="99"/>
    <w:qFormat/>
    <w:rPr>
      <w:sz w:val="24"/>
    </w:rPr>
  </w:style>
  <w:style w:type="character" w:customStyle="1" w:styleId="1409">
    <w:name w:val="1409"/>
    <w:basedOn w:val="1543"/>
    <w:qFormat/>
    <w:rPr>
      <w:rFonts w:ascii="宋体" w:eastAsia="宋体" w:hAnsi="宋体" w:hint="eastAsia"/>
      <w:kern w:val="2"/>
      <w:szCs w:val="24"/>
    </w:rPr>
  </w:style>
  <w:style w:type="character" w:customStyle="1" w:styleId="1401">
    <w:name w:val="1401"/>
    <w:basedOn w:val="1543"/>
    <w:uiPriority w:val="99"/>
    <w:qFormat/>
    <w:rPr>
      <w:rFonts w:ascii="黑体" w:eastAsia="黑体" w:hAnsi="黑体" w:hint="eastAsia"/>
      <w:b/>
      <w:kern w:val="44"/>
      <w:sz w:val="28"/>
      <w:szCs w:val="44"/>
    </w:rPr>
  </w:style>
  <w:style w:type="character" w:customStyle="1" w:styleId="1400">
    <w:name w:val="1400"/>
    <w:basedOn w:val="1543"/>
    <w:qFormat/>
    <w:rPr>
      <w:rFonts w:ascii="Arial" w:hAnsi="Arial" w:cs="Arial" w:hint="default"/>
      <w:b/>
      <w:kern w:val="2"/>
      <w:sz w:val="21"/>
      <w:szCs w:val="21"/>
    </w:rPr>
  </w:style>
  <w:style w:type="character" w:customStyle="1" w:styleId="1399">
    <w:name w:val="1399"/>
    <w:basedOn w:val="1543"/>
    <w:uiPriority w:val="9"/>
    <w:qFormat/>
    <w:rPr>
      <w:b/>
      <w:kern w:val="2"/>
      <w:sz w:val="21"/>
      <w:szCs w:val="32"/>
    </w:rPr>
  </w:style>
  <w:style w:type="character" w:customStyle="1" w:styleId="1398">
    <w:name w:val="1398"/>
    <w:basedOn w:val="1543"/>
    <w:uiPriority w:val="9"/>
    <w:qFormat/>
    <w:rPr>
      <w:rFonts w:ascii="Cambria" w:hAnsi="Cambria" w:hint="default"/>
      <w:b/>
      <w:kern w:val="2"/>
      <w:sz w:val="21"/>
      <w:szCs w:val="28"/>
    </w:rPr>
  </w:style>
  <w:style w:type="character" w:customStyle="1" w:styleId="1397">
    <w:name w:val="1397"/>
    <w:basedOn w:val="1543"/>
    <w:uiPriority w:val="9"/>
    <w:qFormat/>
    <w:rPr>
      <w:b/>
      <w:kern w:val="2"/>
      <w:sz w:val="21"/>
      <w:szCs w:val="28"/>
    </w:rPr>
  </w:style>
  <w:style w:type="character" w:customStyle="1" w:styleId="1394">
    <w:name w:val="1394"/>
    <w:basedOn w:val="1543"/>
    <w:qFormat/>
    <w:rPr>
      <w:rFonts w:ascii="Times New Roman" w:eastAsia="宋体" w:hAnsi="Times New Roman" w:cs="Times New Roman" w:hint="default"/>
      <w:szCs w:val="21"/>
    </w:rPr>
  </w:style>
  <w:style w:type="character" w:customStyle="1" w:styleId="1392">
    <w:name w:val="1392"/>
    <w:basedOn w:val="1543"/>
    <w:uiPriority w:val="99"/>
    <w:qFormat/>
    <w:rPr>
      <w:rFonts w:ascii="Calibri" w:eastAsia="宋体" w:hAnsi="Calibri" w:cs="Times New Roman" w:hint="default"/>
      <w:sz w:val="18"/>
      <w:szCs w:val="18"/>
    </w:rPr>
  </w:style>
  <w:style w:type="character" w:customStyle="1" w:styleId="1391">
    <w:name w:val="1391"/>
    <w:basedOn w:val="1543"/>
    <w:uiPriority w:val="99"/>
    <w:qFormat/>
    <w:rPr>
      <w:rFonts w:ascii="Times New Roman" w:eastAsia="宋体" w:hAnsi="Times New Roman" w:cs="Times New Roman" w:hint="default"/>
      <w:szCs w:val="21"/>
    </w:rPr>
  </w:style>
  <w:style w:type="character" w:customStyle="1" w:styleId="1389">
    <w:name w:val="1389"/>
    <w:basedOn w:val="1394"/>
    <w:uiPriority w:val="99"/>
    <w:qFormat/>
    <w:rPr>
      <w:rFonts w:ascii="Calibri" w:eastAsia="宋体" w:hAnsi="Calibri" w:cs="Times New Roman" w:hint="default"/>
      <w:b/>
      <w:szCs w:val="21"/>
    </w:rPr>
  </w:style>
  <w:style w:type="character" w:customStyle="1" w:styleId="1387">
    <w:name w:val="1387"/>
    <w:basedOn w:val="1543"/>
    <w:uiPriority w:val="99"/>
    <w:qFormat/>
    <w:rPr>
      <w:rFonts w:ascii="Calibri" w:eastAsia="宋体" w:hAnsi="Calibri" w:cs="Times New Roman" w:hint="default"/>
      <w:sz w:val="18"/>
      <w:szCs w:val="18"/>
    </w:rPr>
  </w:style>
  <w:style w:type="character" w:customStyle="1" w:styleId="1385">
    <w:name w:val="1385"/>
    <w:basedOn w:val="1543"/>
    <w:uiPriority w:val="99"/>
    <w:qFormat/>
    <w:rPr>
      <w:rFonts w:ascii="Calibri" w:eastAsia="宋体" w:hAnsi="Calibri" w:cs="Times New Roman" w:hint="default"/>
      <w:sz w:val="18"/>
      <w:szCs w:val="18"/>
    </w:rPr>
  </w:style>
  <w:style w:type="character" w:customStyle="1" w:styleId="1383">
    <w:name w:val="1383"/>
    <w:basedOn w:val="1543"/>
    <w:qFormat/>
    <w:rPr>
      <w:rFonts w:ascii="宋体" w:eastAsia="宋体" w:hAnsi="Courier New" w:cs="Times New Roman" w:hint="eastAsia"/>
      <w:szCs w:val="20"/>
    </w:rPr>
  </w:style>
  <w:style w:type="character" w:customStyle="1" w:styleId="1381">
    <w:name w:val="1381"/>
    <w:basedOn w:val="1543"/>
    <w:uiPriority w:val="99"/>
    <w:qFormat/>
    <w:rPr>
      <w:rFonts w:ascii="Times New Roman" w:eastAsia="宋体" w:hAnsi="Times New Roman" w:cs="Times New Roman" w:hint="default"/>
      <w:szCs w:val="21"/>
    </w:rPr>
  </w:style>
  <w:style w:type="character" w:customStyle="1" w:styleId="1379">
    <w:name w:val="1379"/>
    <w:basedOn w:val="1543"/>
    <w:uiPriority w:val="99"/>
    <w:qFormat/>
    <w:rPr>
      <w:rFonts w:ascii="Times New Roman" w:eastAsia="宋体" w:hAnsi="Times New Roman" w:cs="Times New Roman" w:hint="default"/>
      <w:szCs w:val="21"/>
    </w:rPr>
  </w:style>
  <w:style w:type="character" w:customStyle="1" w:styleId="1377">
    <w:name w:val="1377"/>
    <w:basedOn w:val="1543"/>
    <w:uiPriority w:val="99"/>
    <w:qFormat/>
    <w:rPr>
      <w:rFonts w:ascii="Times New Roman" w:eastAsia="宋体" w:hAnsi="Times New Roman" w:cs="Times New Roman" w:hint="default"/>
      <w:szCs w:val="21"/>
    </w:rPr>
  </w:style>
  <w:style w:type="character" w:customStyle="1" w:styleId="1373">
    <w:name w:val="1373"/>
    <w:basedOn w:val="1543"/>
    <w:qFormat/>
    <w:rPr>
      <w:kern w:val="2"/>
      <w:sz w:val="21"/>
      <w:szCs w:val="24"/>
    </w:rPr>
  </w:style>
  <w:style w:type="character" w:customStyle="1" w:styleId="1370">
    <w:name w:val="1370"/>
    <w:basedOn w:val="1543"/>
    <w:uiPriority w:val="99"/>
    <w:semiHidden/>
    <w:qFormat/>
    <w:rPr>
      <w:rFonts w:ascii="宋体" w:eastAsia="宋体" w:hAnsi="宋体" w:hint="eastAsia"/>
      <w:kern w:val="2"/>
      <w:sz w:val="18"/>
      <w:szCs w:val="18"/>
    </w:rPr>
  </w:style>
  <w:style w:type="character" w:customStyle="1" w:styleId="1369">
    <w:name w:val="1369"/>
    <w:basedOn w:val="1543"/>
    <w:uiPriority w:val="99"/>
    <w:qFormat/>
    <w:rPr>
      <w:color w:val="auto"/>
    </w:rPr>
  </w:style>
  <w:style w:type="character" w:customStyle="1" w:styleId="1367">
    <w:name w:val="1367"/>
    <w:basedOn w:val="1543"/>
    <w:uiPriority w:val="10"/>
    <w:qFormat/>
    <w:rPr>
      <w:rFonts w:ascii="Cambria" w:hAnsi="Cambria" w:cs="Times New Roman" w:hint="default"/>
      <w:b/>
      <w:kern w:val="2"/>
      <w:sz w:val="32"/>
      <w:szCs w:val="32"/>
    </w:rPr>
  </w:style>
  <w:style w:type="character" w:customStyle="1" w:styleId="1359">
    <w:name w:val="1359"/>
    <w:basedOn w:val="1543"/>
    <w:uiPriority w:val="9"/>
    <w:qFormat/>
    <w:rPr>
      <w:rFonts w:ascii="Cambria" w:hAnsi="Cambria" w:cs="Times New Roman" w:hint="default"/>
      <w:b/>
      <w:sz w:val="21"/>
      <w:szCs w:val="24"/>
    </w:rPr>
  </w:style>
  <w:style w:type="character" w:customStyle="1" w:styleId="1356">
    <w:name w:val="1356"/>
    <w:basedOn w:val="1543"/>
    <w:uiPriority w:val="99"/>
    <w:semiHidden/>
    <w:qFormat/>
    <w:rPr>
      <w:rFonts w:ascii="宋体" w:eastAsia="宋体" w:hAnsi="宋体" w:cs="宋体" w:hint="eastAsia"/>
      <w:sz w:val="21"/>
      <w:szCs w:val="24"/>
    </w:rPr>
  </w:style>
  <w:style w:type="character" w:customStyle="1" w:styleId="1355">
    <w:name w:val="1355"/>
    <w:basedOn w:val="1543"/>
    <w:uiPriority w:val="99"/>
    <w:semiHidden/>
    <w:qFormat/>
    <w:rPr>
      <w:vertAlign w:val="superscript"/>
    </w:rPr>
  </w:style>
  <w:style w:type="character" w:customStyle="1" w:styleId="1354">
    <w:name w:val="1354"/>
    <w:basedOn w:val="1394"/>
    <w:uiPriority w:val="99"/>
    <w:semiHidden/>
    <w:qFormat/>
    <w:rPr>
      <w:rFonts w:ascii="Times New Roman" w:eastAsia="宋体" w:hAnsi="Times New Roman" w:cs="Times New Roman" w:hint="default"/>
      <w:b/>
      <w:szCs w:val="21"/>
    </w:rPr>
  </w:style>
  <w:style w:type="character" w:customStyle="1" w:styleId="1353">
    <w:name w:val="1353"/>
    <w:basedOn w:val="1394"/>
    <w:uiPriority w:val="99"/>
    <w:semiHidden/>
    <w:qFormat/>
    <w:rPr>
      <w:rFonts w:ascii="Times New Roman" w:eastAsia="宋体" w:hAnsi="Times New Roman" w:cs="Times New Roman" w:hint="default"/>
      <w:b/>
      <w:szCs w:val="21"/>
    </w:rPr>
  </w:style>
  <w:style w:type="character" w:customStyle="1" w:styleId="1352">
    <w:name w:val="1352"/>
    <w:basedOn w:val="1543"/>
    <w:uiPriority w:val="9"/>
    <w:qFormat/>
    <w:rPr>
      <w:rFonts w:ascii="宋体" w:eastAsia="宋体" w:hAnsi="宋体" w:cs="宋体" w:hint="eastAsia"/>
      <w:b/>
      <w:sz w:val="24"/>
      <w:szCs w:val="24"/>
    </w:rPr>
  </w:style>
  <w:style w:type="character" w:customStyle="1" w:styleId="1345">
    <w:name w:val="1345"/>
    <w:uiPriority w:val="99"/>
    <w:qFormat/>
    <w:rPr>
      <w:rFonts w:ascii="Times New Roman" w:hAnsi="Times New Roman" w:cs="Times New Roman" w:hint="default"/>
      <w:kern w:val="2"/>
      <w:sz w:val="21"/>
      <w:szCs w:val="21"/>
    </w:rPr>
  </w:style>
  <w:style w:type="character" w:customStyle="1" w:styleId="1343">
    <w:name w:val="1343"/>
    <w:qFormat/>
    <w:rPr>
      <w:rFonts w:ascii="Times New Roman" w:hAnsi="Times New Roman" w:cs="Times New Roman" w:hint="default"/>
      <w:kern w:val="2"/>
      <w:sz w:val="21"/>
      <w:szCs w:val="21"/>
    </w:rPr>
  </w:style>
  <w:style w:type="character" w:customStyle="1" w:styleId="1341">
    <w:name w:val="1341"/>
    <w:qFormat/>
    <w:rPr>
      <w:rFonts w:ascii="Times New Roman" w:hAnsi="Times New Roman" w:cs="Times New Roman" w:hint="default"/>
      <w:kern w:val="2"/>
      <w:sz w:val="21"/>
      <w:szCs w:val="21"/>
    </w:rPr>
  </w:style>
  <w:style w:type="character" w:customStyle="1" w:styleId="1337">
    <w:name w:val="1337"/>
    <w:qFormat/>
  </w:style>
  <w:style w:type="character" w:customStyle="1" w:styleId="1319">
    <w:name w:val="1319"/>
    <w:basedOn w:val="2253"/>
    <w:rPr>
      <w:rFonts w:ascii="Arial" w:hAnsi="Arial" w:cs="Arial" w:hint="default"/>
      <w:b/>
      <w:kern w:val="2"/>
      <w:sz w:val="21"/>
      <w:szCs w:val="21"/>
    </w:rPr>
  </w:style>
  <w:style w:type="character" w:customStyle="1" w:styleId="1318">
    <w:name w:val="1318"/>
    <w:basedOn w:val="2253"/>
    <w:uiPriority w:val="9"/>
    <w:rPr>
      <w:b/>
      <w:kern w:val="2"/>
      <w:sz w:val="21"/>
      <w:szCs w:val="32"/>
    </w:rPr>
  </w:style>
  <w:style w:type="character" w:customStyle="1" w:styleId="1317">
    <w:name w:val="1317"/>
    <w:basedOn w:val="2253"/>
    <w:uiPriority w:val="9"/>
    <w:rPr>
      <w:rFonts w:ascii="Cambria" w:hAnsi="Cambria" w:hint="default"/>
      <w:b/>
      <w:kern w:val="2"/>
      <w:sz w:val="21"/>
      <w:szCs w:val="28"/>
    </w:rPr>
  </w:style>
  <w:style w:type="character" w:customStyle="1" w:styleId="1316">
    <w:name w:val="1316"/>
    <w:basedOn w:val="2253"/>
    <w:uiPriority w:val="9"/>
    <w:rPr>
      <w:b/>
      <w:kern w:val="2"/>
      <w:sz w:val="21"/>
      <w:szCs w:val="28"/>
    </w:rPr>
  </w:style>
  <w:style w:type="character" w:customStyle="1" w:styleId="1312">
    <w:name w:val="1312"/>
    <w:basedOn w:val="2253"/>
    <w:uiPriority w:val="99"/>
    <w:rPr>
      <w:rFonts w:ascii="Times New Roman" w:hAnsi="Times New Roman" w:cs="Times New Roman" w:hint="default"/>
      <w:color w:val="0000FF"/>
      <w:u w:val="single"/>
    </w:rPr>
  </w:style>
  <w:style w:type="character" w:customStyle="1" w:styleId="1311">
    <w:name w:val="1311"/>
    <w:basedOn w:val="2253"/>
    <w:uiPriority w:val="99"/>
    <w:rPr>
      <w:rFonts w:ascii="宋体" w:eastAsia="宋体" w:hAnsi="宋体" w:cs="Times New Roman" w:hint="eastAsia"/>
      <w:kern w:val="2"/>
      <w:sz w:val="21"/>
      <w:szCs w:val="21"/>
      <w:lang w:val="en-US" w:eastAsia="zh-CN" w:bidi="ar-SA"/>
    </w:rPr>
  </w:style>
  <w:style w:type="character" w:customStyle="1" w:styleId="1309">
    <w:name w:val="1309"/>
    <w:basedOn w:val="2253"/>
    <w:uiPriority w:val="99"/>
    <w:rPr>
      <w:rFonts w:ascii="Times New Roman" w:eastAsia="宋体" w:hAnsi="Times New Roman" w:cs="Times New Roman" w:hint="default"/>
      <w:szCs w:val="21"/>
    </w:rPr>
  </w:style>
  <w:style w:type="character" w:customStyle="1" w:styleId="1307">
    <w:name w:val="1307"/>
    <w:basedOn w:val="2253"/>
    <w:uiPriority w:val="99"/>
    <w:rPr>
      <w:rFonts w:ascii="Calibri" w:eastAsia="宋体" w:hAnsi="Calibri" w:cs="Times New Roman" w:hint="default"/>
      <w:sz w:val="18"/>
      <w:szCs w:val="18"/>
    </w:rPr>
  </w:style>
  <w:style w:type="character" w:customStyle="1" w:styleId="1305">
    <w:name w:val="1305"/>
    <w:basedOn w:val="2253"/>
    <w:uiPriority w:val="99"/>
    <w:rPr>
      <w:rFonts w:ascii="Times New Roman" w:eastAsia="宋体" w:hAnsi="Times New Roman" w:cs="Times New Roman" w:hint="default"/>
      <w:szCs w:val="21"/>
    </w:rPr>
  </w:style>
  <w:style w:type="character" w:customStyle="1" w:styleId="13030">
    <w:name w:val="1303"/>
    <w:basedOn w:val="1309"/>
    <w:uiPriority w:val="99"/>
    <w:rPr>
      <w:rFonts w:ascii="Calibri" w:eastAsia="宋体" w:hAnsi="Calibri" w:cs="Times New Roman" w:hint="default"/>
      <w:b/>
      <w:szCs w:val="21"/>
    </w:rPr>
  </w:style>
  <w:style w:type="character" w:customStyle="1" w:styleId="1299">
    <w:name w:val="1299"/>
    <w:basedOn w:val="2253"/>
    <w:uiPriority w:val="99"/>
    <w:rPr>
      <w:rFonts w:ascii="Calibri" w:eastAsia="宋体" w:hAnsi="Calibri" w:cs="Times New Roman" w:hint="default"/>
      <w:sz w:val="18"/>
      <w:szCs w:val="18"/>
    </w:rPr>
  </w:style>
  <w:style w:type="character" w:customStyle="1" w:styleId="1297">
    <w:name w:val="1297"/>
    <w:basedOn w:val="2253"/>
    <w:uiPriority w:val="99"/>
    <w:rPr>
      <w:rFonts w:ascii="Calibri" w:eastAsia="宋体" w:hAnsi="Calibri" w:cs="Times New Roman" w:hint="default"/>
      <w:sz w:val="18"/>
      <w:szCs w:val="18"/>
    </w:rPr>
  </w:style>
  <w:style w:type="character" w:customStyle="1" w:styleId="1295">
    <w:name w:val="1295"/>
    <w:basedOn w:val="2253"/>
    <w:rPr>
      <w:rFonts w:ascii="宋体" w:eastAsia="宋体" w:hAnsi="Courier New" w:cs="Times New Roman" w:hint="eastAsia"/>
      <w:szCs w:val="20"/>
    </w:rPr>
  </w:style>
  <w:style w:type="character" w:customStyle="1" w:styleId="1293">
    <w:name w:val="1293"/>
    <w:basedOn w:val="2253"/>
    <w:uiPriority w:val="99"/>
    <w:rPr>
      <w:rFonts w:ascii="Times New Roman" w:eastAsia="宋体" w:hAnsi="Times New Roman" w:cs="Times New Roman" w:hint="default"/>
      <w:szCs w:val="21"/>
    </w:rPr>
  </w:style>
  <w:style w:type="character" w:customStyle="1" w:styleId="1291">
    <w:name w:val="1291"/>
    <w:basedOn w:val="2253"/>
    <w:uiPriority w:val="99"/>
    <w:rPr>
      <w:rFonts w:ascii="Times New Roman" w:eastAsia="宋体" w:hAnsi="Times New Roman" w:cs="Times New Roman" w:hint="default"/>
      <w:szCs w:val="21"/>
    </w:rPr>
  </w:style>
  <w:style w:type="character" w:customStyle="1" w:styleId="1289">
    <w:name w:val="1289"/>
    <w:basedOn w:val="2253"/>
    <w:uiPriority w:val="99"/>
    <w:rPr>
      <w:rFonts w:ascii="Times New Roman" w:eastAsia="宋体" w:hAnsi="Times New Roman" w:cs="Times New Roman" w:hint="default"/>
      <w:szCs w:val="21"/>
    </w:rPr>
  </w:style>
  <w:style w:type="character" w:customStyle="1" w:styleId="1285">
    <w:name w:val="1285"/>
    <w:basedOn w:val="2253"/>
    <w:qFormat/>
    <w:rPr>
      <w:kern w:val="2"/>
      <w:sz w:val="21"/>
      <w:szCs w:val="24"/>
    </w:rPr>
  </w:style>
  <w:style w:type="character" w:customStyle="1" w:styleId="1282">
    <w:name w:val="1282"/>
    <w:basedOn w:val="2253"/>
    <w:uiPriority w:val="99"/>
    <w:semiHidden/>
    <w:rPr>
      <w:rFonts w:ascii="宋体" w:eastAsia="宋体" w:hAnsi="宋体" w:hint="eastAsia"/>
      <w:kern w:val="2"/>
      <w:sz w:val="18"/>
      <w:szCs w:val="18"/>
    </w:rPr>
  </w:style>
  <w:style w:type="character" w:customStyle="1" w:styleId="1281">
    <w:name w:val="1281"/>
    <w:basedOn w:val="2253"/>
    <w:uiPriority w:val="99"/>
    <w:rPr>
      <w:color w:val="auto"/>
    </w:rPr>
  </w:style>
  <w:style w:type="character" w:customStyle="1" w:styleId="1279">
    <w:name w:val="1279"/>
    <w:basedOn w:val="2253"/>
    <w:uiPriority w:val="10"/>
    <w:rPr>
      <w:rFonts w:ascii="Cambria" w:hAnsi="Cambria" w:cs="Times New Roman" w:hint="default"/>
      <w:b/>
      <w:kern w:val="2"/>
      <w:sz w:val="32"/>
      <w:szCs w:val="32"/>
    </w:rPr>
  </w:style>
  <w:style w:type="character" w:customStyle="1" w:styleId="1271">
    <w:name w:val="1271"/>
    <w:basedOn w:val="2253"/>
    <w:uiPriority w:val="9"/>
    <w:rPr>
      <w:rFonts w:ascii="Cambria" w:hAnsi="Cambria" w:cs="Times New Roman" w:hint="default"/>
      <w:b/>
      <w:sz w:val="21"/>
      <w:szCs w:val="24"/>
    </w:rPr>
  </w:style>
  <w:style w:type="character" w:customStyle="1" w:styleId="1268">
    <w:name w:val="1268"/>
    <w:basedOn w:val="2253"/>
    <w:uiPriority w:val="99"/>
    <w:semiHidden/>
    <w:rPr>
      <w:rFonts w:ascii="宋体" w:eastAsia="宋体" w:hAnsi="宋体" w:cs="宋体" w:hint="eastAsia"/>
      <w:sz w:val="21"/>
      <w:szCs w:val="24"/>
    </w:rPr>
  </w:style>
  <w:style w:type="character" w:customStyle="1" w:styleId="1267">
    <w:name w:val="1267"/>
    <w:basedOn w:val="2253"/>
    <w:uiPriority w:val="99"/>
    <w:semiHidden/>
    <w:rPr>
      <w:vertAlign w:val="superscript"/>
    </w:rPr>
  </w:style>
  <w:style w:type="character" w:customStyle="1" w:styleId="1265">
    <w:name w:val="1265"/>
    <w:basedOn w:val="2253"/>
    <w:rPr>
      <w:rFonts w:ascii="Times New Roman" w:hAnsi="Times New Roman" w:cs="Times New Roman" w:hint="default"/>
      <w:b/>
      <w:kern w:val="2"/>
      <w:sz w:val="21"/>
      <w:szCs w:val="24"/>
    </w:rPr>
  </w:style>
  <w:style w:type="character" w:customStyle="1" w:styleId="1264">
    <w:name w:val="1264"/>
    <w:basedOn w:val="1309"/>
    <w:uiPriority w:val="99"/>
    <w:semiHidden/>
    <w:rPr>
      <w:rFonts w:ascii="Times New Roman" w:eastAsia="宋体" w:hAnsi="Times New Roman" w:cs="Times New Roman" w:hint="default"/>
      <w:b/>
      <w:szCs w:val="21"/>
    </w:rPr>
  </w:style>
  <w:style w:type="character" w:customStyle="1" w:styleId="1263">
    <w:name w:val="1263"/>
    <w:basedOn w:val="2253"/>
    <w:uiPriority w:val="9"/>
    <w:rPr>
      <w:rFonts w:ascii="宋体" w:eastAsia="宋体" w:hAnsi="宋体" w:cs="宋体" w:hint="eastAsia"/>
      <w:b/>
      <w:sz w:val="24"/>
      <w:szCs w:val="24"/>
    </w:rPr>
  </w:style>
  <w:style w:type="character" w:customStyle="1" w:styleId="1259">
    <w:name w:val="1259"/>
    <w:uiPriority w:val="9"/>
    <w:rPr>
      <w:rFonts w:ascii="Cambria" w:hAnsi="Cambria" w:hint="default"/>
      <w:b/>
      <w:kern w:val="2"/>
      <w:sz w:val="21"/>
      <w:szCs w:val="28"/>
    </w:rPr>
  </w:style>
  <w:style w:type="character" w:customStyle="1" w:styleId="1256">
    <w:name w:val="1256"/>
    <w:uiPriority w:val="9"/>
    <w:rPr>
      <w:b/>
      <w:kern w:val="2"/>
      <w:sz w:val="21"/>
      <w:szCs w:val="32"/>
    </w:rPr>
  </w:style>
  <w:style w:type="character" w:customStyle="1" w:styleId="1253">
    <w:name w:val="1253"/>
    <w:uiPriority w:val="99"/>
    <w:qFormat/>
    <w:rPr>
      <w:rFonts w:ascii="Times New Roman" w:hAnsi="Times New Roman" w:cs="Times New Roman" w:hint="default"/>
      <w:kern w:val="2"/>
      <w:sz w:val="21"/>
      <w:szCs w:val="21"/>
    </w:rPr>
  </w:style>
  <w:style w:type="character" w:customStyle="1" w:styleId="1252">
    <w:name w:val="1252"/>
    <w:uiPriority w:val="9"/>
    <w:rPr>
      <w:b/>
      <w:kern w:val="2"/>
      <w:sz w:val="21"/>
      <w:szCs w:val="28"/>
    </w:rPr>
  </w:style>
  <w:style w:type="character" w:customStyle="1" w:styleId="1250">
    <w:name w:val="1250"/>
    <w:uiPriority w:val="9"/>
    <w:rPr>
      <w:b/>
      <w:kern w:val="2"/>
      <w:sz w:val="21"/>
      <w:szCs w:val="32"/>
    </w:rPr>
  </w:style>
  <w:style w:type="character" w:customStyle="1" w:styleId="1249">
    <w:name w:val="1249"/>
    <w:rPr>
      <w:rFonts w:ascii="Arial" w:hAnsi="Arial" w:cs="Arial" w:hint="default"/>
      <w:b/>
      <w:kern w:val="2"/>
      <w:sz w:val="21"/>
      <w:szCs w:val="21"/>
    </w:rPr>
  </w:style>
  <w:style w:type="character" w:customStyle="1" w:styleId="1248">
    <w:name w:val="1248"/>
    <w:uiPriority w:val="9"/>
    <w:rPr>
      <w:rFonts w:ascii="Cambria" w:hAnsi="Cambria" w:hint="default"/>
      <w:b/>
      <w:kern w:val="2"/>
      <w:sz w:val="21"/>
      <w:szCs w:val="28"/>
    </w:rPr>
  </w:style>
  <w:style w:type="character" w:customStyle="1" w:styleId="1247">
    <w:name w:val="1247"/>
    <w:uiPriority w:val="9"/>
    <w:rPr>
      <w:b/>
      <w:kern w:val="2"/>
      <w:sz w:val="21"/>
      <w:szCs w:val="28"/>
    </w:rPr>
  </w:style>
  <w:style w:type="character" w:customStyle="1" w:styleId="1245">
    <w:name w:val="1245"/>
    <w:rPr>
      <w:rFonts w:ascii="Times New Roman" w:hAnsi="Times New Roman" w:cs="Times New Roman" w:hint="default"/>
      <w:kern w:val="2"/>
      <w:sz w:val="21"/>
      <w:szCs w:val="21"/>
    </w:rPr>
  </w:style>
  <w:style w:type="character" w:customStyle="1" w:styleId="1244">
    <w:name w:val="1244"/>
    <w:basedOn w:val="2253"/>
    <w:rPr>
      <w:rFonts w:ascii="Arial" w:eastAsia="黑体" w:hAnsi="Arial" w:cs="Times New Roman" w:hint="default"/>
      <w:color w:val="000000"/>
      <w:sz w:val="24"/>
      <w:szCs w:val="20"/>
    </w:rPr>
  </w:style>
  <w:style w:type="character" w:customStyle="1" w:styleId="1243">
    <w:name w:val="1243"/>
    <w:basedOn w:val="2253"/>
    <w:rPr>
      <w:rFonts w:ascii="Arial" w:eastAsia="黑体" w:hAnsi="Arial" w:cs="Times New Roman" w:hint="default"/>
      <w:color w:val="000000"/>
      <w:sz w:val="24"/>
      <w:szCs w:val="20"/>
    </w:rPr>
  </w:style>
  <w:style w:type="character" w:customStyle="1" w:styleId="1239">
    <w:name w:val="1239"/>
    <w:basedOn w:val="2253"/>
    <w:rPr>
      <w:b/>
      <w:sz w:val="24"/>
      <w:szCs w:val="24"/>
    </w:rPr>
  </w:style>
  <w:style w:type="character" w:customStyle="1" w:styleId="1238">
    <w:name w:val="1238"/>
    <w:basedOn w:val="2253"/>
    <w:uiPriority w:val="22"/>
    <w:qFormat/>
    <w:rPr>
      <w:b/>
    </w:rPr>
  </w:style>
  <w:style w:type="character" w:customStyle="1" w:styleId="1237">
    <w:name w:val="1237"/>
    <w:rPr>
      <w:rFonts w:ascii="宋体" w:eastAsia="宋体" w:hAnsi="宋体" w:hint="eastAsia"/>
      <w:color w:val="000000"/>
      <w:sz w:val="24"/>
      <w:szCs w:val="24"/>
    </w:rPr>
  </w:style>
  <w:style w:type="character" w:customStyle="1" w:styleId="1236">
    <w:name w:val="1236"/>
    <w:uiPriority w:val="99"/>
    <w:rPr>
      <w:rFonts w:ascii="Times New Roman" w:hAnsi="Times New Roman" w:cs="Times New Roman" w:hint="default"/>
      <w:kern w:val="2"/>
      <w:sz w:val="21"/>
      <w:szCs w:val="21"/>
    </w:rPr>
  </w:style>
  <w:style w:type="character" w:customStyle="1" w:styleId="1235">
    <w:name w:val="1235"/>
    <w:rPr>
      <w:rFonts w:ascii="FZLTSK--GBK1-0" w:hAnsi="FZLTSK--GBK1-0" w:hint="default"/>
      <w:bCs/>
      <w:color w:val="000000"/>
      <w:sz w:val="20"/>
      <w:szCs w:val="20"/>
    </w:rPr>
  </w:style>
  <w:style w:type="character" w:customStyle="1" w:styleId="1222">
    <w:name w:val="1222"/>
    <w:basedOn w:val="2253"/>
    <w:rPr>
      <w:rFonts w:ascii="Times New Roman" w:hAnsi="Times New Roman" w:cs="Times New Roman" w:hint="default"/>
      <w:kern w:val="2"/>
    </w:rPr>
  </w:style>
  <w:style w:type="character" w:customStyle="1" w:styleId="1221">
    <w:name w:val="1221"/>
    <w:basedOn w:val="1309"/>
    <w:uiPriority w:val="99"/>
    <w:semiHidden/>
    <w:rPr>
      <w:rFonts w:ascii="Times New Roman" w:eastAsia="宋体" w:hAnsi="Times New Roman" w:cs="Times New Roman" w:hint="default"/>
      <w:b/>
      <w:color w:val="000000"/>
      <w:sz w:val="21"/>
      <w:szCs w:val="21"/>
    </w:rPr>
  </w:style>
  <w:style w:type="character" w:customStyle="1" w:styleId="1215">
    <w:name w:val="1215"/>
    <w:basedOn w:val="2253"/>
    <w:uiPriority w:val="9"/>
    <w:rPr>
      <w:rFonts w:ascii="Cambria" w:hAnsi="Cambria" w:hint="default"/>
      <w:b/>
      <w:kern w:val="2"/>
      <w:sz w:val="21"/>
      <w:szCs w:val="28"/>
    </w:rPr>
  </w:style>
  <w:style w:type="character" w:customStyle="1" w:styleId="1213">
    <w:name w:val="1213"/>
    <w:basedOn w:val="2253"/>
    <w:uiPriority w:val="9"/>
    <w:rPr>
      <w:b/>
      <w:kern w:val="2"/>
      <w:sz w:val="21"/>
      <w:szCs w:val="32"/>
    </w:rPr>
  </w:style>
  <w:style w:type="character" w:customStyle="1" w:styleId="1204">
    <w:name w:val="1204"/>
    <w:basedOn w:val="2253"/>
    <w:semiHidden/>
    <w:rPr>
      <w:rFonts w:ascii="Arial" w:hAnsi="Arial" w:cs="Times New Roman" w:hint="default"/>
      <w:b/>
      <w:kern w:val="2"/>
    </w:rPr>
  </w:style>
  <w:style w:type="character" w:customStyle="1" w:styleId="1203">
    <w:name w:val="1203"/>
    <w:basedOn w:val="2253"/>
    <w:uiPriority w:val="1"/>
    <w:qFormat/>
    <w:rPr>
      <w:kern w:val="2"/>
      <w:szCs w:val="22"/>
    </w:rPr>
  </w:style>
  <w:style w:type="character" w:customStyle="1" w:styleId="1202">
    <w:name w:val="1202"/>
    <w:basedOn w:val="2253"/>
    <w:uiPriority w:val="99"/>
    <w:rPr>
      <w:sz w:val="24"/>
    </w:rPr>
  </w:style>
  <w:style w:type="character" w:customStyle="1" w:styleId="12000">
    <w:name w:val="1200"/>
    <w:basedOn w:val="2253"/>
    <w:rPr>
      <w:rFonts w:ascii="宋体" w:eastAsia="宋体" w:hAnsi="宋体" w:hint="eastAsia"/>
      <w:kern w:val="2"/>
      <w:szCs w:val="24"/>
    </w:rPr>
  </w:style>
  <w:style w:type="character" w:customStyle="1" w:styleId="1193">
    <w:name w:val="1193"/>
    <w:basedOn w:val="2253"/>
    <w:uiPriority w:val="99"/>
    <w:rPr>
      <w:rFonts w:ascii="黑体" w:eastAsia="黑体" w:hAnsi="黑体" w:hint="eastAsia"/>
      <w:b/>
      <w:kern w:val="44"/>
      <w:sz w:val="28"/>
      <w:szCs w:val="44"/>
    </w:rPr>
  </w:style>
  <w:style w:type="character" w:customStyle="1" w:styleId="1192">
    <w:name w:val="1192"/>
    <w:basedOn w:val="2253"/>
    <w:rPr>
      <w:rFonts w:ascii="Arial" w:hAnsi="Arial" w:cs="Arial" w:hint="default"/>
      <w:b/>
      <w:kern w:val="2"/>
      <w:sz w:val="21"/>
      <w:szCs w:val="21"/>
    </w:rPr>
  </w:style>
  <w:style w:type="character" w:customStyle="1" w:styleId="1191">
    <w:name w:val="1191"/>
    <w:basedOn w:val="2253"/>
    <w:uiPriority w:val="9"/>
    <w:rPr>
      <w:b/>
      <w:kern w:val="2"/>
      <w:sz w:val="21"/>
      <w:szCs w:val="32"/>
    </w:rPr>
  </w:style>
  <w:style w:type="character" w:customStyle="1" w:styleId="1190">
    <w:name w:val="1190"/>
    <w:basedOn w:val="2253"/>
    <w:uiPriority w:val="9"/>
    <w:rPr>
      <w:rFonts w:ascii="Cambria" w:hAnsi="Cambria" w:hint="default"/>
      <w:b/>
      <w:kern w:val="2"/>
      <w:sz w:val="21"/>
      <w:szCs w:val="28"/>
    </w:rPr>
  </w:style>
  <w:style w:type="character" w:customStyle="1" w:styleId="1189">
    <w:name w:val="1189"/>
    <w:basedOn w:val="2253"/>
    <w:uiPriority w:val="9"/>
    <w:rPr>
      <w:b/>
      <w:kern w:val="2"/>
      <w:sz w:val="21"/>
      <w:szCs w:val="28"/>
    </w:rPr>
  </w:style>
  <w:style w:type="character" w:customStyle="1" w:styleId="1185">
    <w:name w:val="1185"/>
    <w:basedOn w:val="2253"/>
    <w:rPr>
      <w:rFonts w:ascii="Times New Roman" w:eastAsia="宋体" w:hAnsi="Times New Roman" w:cs="Times New Roman" w:hint="default"/>
      <w:szCs w:val="21"/>
    </w:rPr>
  </w:style>
  <w:style w:type="character" w:customStyle="1" w:styleId="1183">
    <w:name w:val="1183"/>
    <w:basedOn w:val="2253"/>
    <w:uiPriority w:val="99"/>
    <w:rPr>
      <w:rFonts w:ascii="Calibri" w:eastAsia="宋体" w:hAnsi="Calibri" w:cs="Times New Roman" w:hint="default"/>
      <w:sz w:val="18"/>
      <w:szCs w:val="18"/>
    </w:rPr>
  </w:style>
  <w:style w:type="character" w:customStyle="1" w:styleId="1181">
    <w:name w:val="1181"/>
    <w:basedOn w:val="2253"/>
    <w:uiPriority w:val="99"/>
    <w:rPr>
      <w:rFonts w:ascii="Times New Roman" w:eastAsia="宋体" w:hAnsi="Times New Roman" w:cs="Times New Roman" w:hint="default"/>
      <w:szCs w:val="21"/>
    </w:rPr>
  </w:style>
  <w:style w:type="character" w:customStyle="1" w:styleId="1179">
    <w:name w:val="1179"/>
    <w:basedOn w:val="1185"/>
    <w:uiPriority w:val="99"/>
    <w:rPr>
      <w:rFonts w:ascii="Calibri" w:eastAsia="宋体" w:hAnsi="Calibri" w:cs="Times New Roman" w:hint="default"/>
      <w:b/>
      <w:szCs w:val="21"/>
    </w:rPr>
  </w:style>
  <w:style w:type="character" w:customStyle="1" w:styleId="1175">
    <w:name w:val="1175"/>
    <w:basedOn w:val="2253"/>
    <w:uiPriority w:val="99"/>
    <w:rPr>
      <w:rFonts w:ascii="Calibri" w:eastAsia="宋体" w:hAnsi="Calibri" w:cs="Times New Roman" w:hint="default"/>
      <w:sz w:val="18"/>
      <w:szCs w:val="18"/>
    </w:rPr>
  </w:style>
  <w:style w:type="character" w:customStyle="1" w:styleId="1173">
    <w:name w:val="1173"/>
    <w:basedOn w:val="2253"/>
    <w:uiPriority w:val="99"/>
    <w:rPr>
      <w:rFonts w:ascii="Calibri" w:eastAsia="宋体" w:hAnsi="Calibri" w:cs="Times New Roman" w:hint="default"/>
      <w:sz w:val="18"/>
      <w:szCs w:val="18"/>
    </w:rPr>
  </w:style>
  <w:style w:type="character" w:customStyle="1" w:styleId="1171">
    <w:name w:val="1171"/>
    <w:basedOn w:val="2253"/>
    <w:rPr>
      <w:rFonts w:ascii="宋体" w:eastAsia="宋体" w:hAnsi="Courier New" w:cs="Times New Roman" w:hint="eastAsia"/>
      <w:szCs w:val="20"/>
    </w:rPr>
  </w:style>
  <w:style w:type="character" w:customStyle="1" w:styleId="1169">
    <w:name w:val="1169"/>
    <w:basedOn w:val="2253"/>
    <w:uiPriority w:val="99"/>
    <w:rPr>
      <w:rFonts w:ascii="Times New Roman" w:eastAsia="宋体" w:hAnsi="Times New Roman" w:cs="Times New Roman" w:hint="default"/>
      <w:szCs w:val="21"/>
    </w:rPr>
  </w:style>
  <w:style w:type="character" w:customStyle="1" w:styleId="1167">
    <w:name w:val="1167"/>
    <w:basedOn w:val="2253"/>
    <w:uiPriority w:val="99"/>
    <w:rPr>
      <w:rFonts w:ascii="Times New Roman" w:eastAsia="宋体" w:hAnsi="Times New Roman" w:cs="Times New Roman" w:hint="default"/>
      <w:szCs w:val="21"/>
    </w:rPr>
  </w:style>
  <w:style w:type="character" w:customStyle="1" w:styleId="1165">
    <w:name w:val="1165"/>
    <w:basedOn w:val="2253"/>
    <w:uiPriority w:val="99"/>
    <w:rPr>
      <w:rFonts w:ascii="Times New Roman" w:eastAsia="宋体" w:hAnsi="Times New Roman" w:cs="Times New Roman" w:hint="default"/>
      <w:szCs w:val="21"/>
    </w:rPr>
  </w:style>
  <w:style w:type="character" w:customStyle="1" w:styleId="1161">
    <w:name w:val="1161"/>
    <w:basedOn w:val="2253"/>
    <w:qFormat/>
    <w:rPr>
      <w:kern w:val="2"/>
      <w:sz w:val="21"/>
      <w:szCs w:val="24"/>
    </w:rPr>
  </w:style>
  <w:style w:type="character" w:customStyle="1" w:styleId="1158">
    <w:name w:val="1158"/>
    <w:basedOn w:val="2253"/>
    <w:uiPriority w:val="99"/>
    <w:semiHidden/>
    <w:rPr>
      <w:rFonts w:ascii="宋体" w:eastAsia="宋体" w:hAnsi="宋体" w:hint="eastAsia"/>
      <w:kern w:val="2"/>
      <w:sz w:val="18"/>
      <w:szCs w:val="18"/>
    </w:rPr>
  </w:style>
  <w:style w:type="character" w:customStyle="1" w:styleId="1157">
    <w:name w:val="1157"/>
    <w:basedOn w:val="2253"/>
    <w:uiPriority w:val="99"/>
    <w:rPr>
      <w:color w:val="auto"/>
    </w:rPr>
  </w:style>
  <w:style w:type="character" w:customStyle="1" w:styleId="1155">
    <w:name w:val="1155"/>
    <w:basedOn w:val="2253"/>
    <w:uiPriority w:val="10"/>
    <w:rPr>
      <w:rFonts w:ascii="Cambria" w:hAnsi="Cambria" w:cs="Times New Roman" w:hint="default"/>
      <w:b/>
      <w:kern w:val="2"/>
      <w:sz w:val="32"/>
      <w:szCs w:val="32"/>
    </w:rPr>
  </w:style>
  <w:style w:type="character" w:customStyle="1" w:styleId="1147">
    <w:name w:val="1147"/>
    <w:basedOn w:val="2253"/>
    <w:uiPriority w:val="9"/>
    <w:rPr>
      <w:rFonts w:ascii="Cambria" w:hAnsi="Cambria" w:cs="Times New Roman" w:hint="default"/>
      <w:b/>
      <w:sz w:val="21"/>
      <w:szCs w:val="24"/>
    </w:rPr>
  </w:style>
  <w:style w:type="character" w:customStyle="1" w:styleId="1144">
    <w:name w:val="1144"/>
    <w:basedOn w:val="2253"/>
    <w:uiPriority w:val="99"/>
    <w:semiHidden/>
    <w:rPr>
      <w:rFonts w:ascii="宋体" w:eastAsia="宋体" w:hAnsi="宋体" w:cs="宋体" w:hint="eastAsia"/>
      <w:sz w:val="21"/>
      <w:szCs w:val="24"/>
    </w:rPr>
  </w:style>
  <w:style w:type="character" w:customStyle="1" w:styleId="1143">
    <w:name w:val="1143"/>
    <w:basedOn w:val="2253"/>
    <w:uiPriority w:val="99"/>
    <w:semiHidden/>
    <w:rPr>
      <w:vertAlign w:val="superscript"/>
    </w:rPr>
  </w:style>
  <w:style w:type="character" w:customStyle="1" w:styleId="1142">
    <w:name w:val="1142"/>
    <w:basedOn w:val="1185"/>
    <w:uiPriority w:val="99"/>
    <w:semiHidden/>
    <w:rPr>
      <w:rFonts w:ascii="Times New Roman" w:eastAsia="宋体" w:hAnsi="Times New Roman" w:cs="Times New Roman" w:hint="default"/>
      <w:b/>
      <w:szCs w:val="21"/>
    </w:rPr>
  </w:style>
  <w:style w:type="character" w:customStyle="1" w:styleId="1141">
    <w:name w:val="1141"/>
    <w:basedOn w:val="1185"/>
    <w:uiPriority w:val="99"/>
    <w:semiHidden/>
    <w:rPr>
      <w:rFonts w:ascii="Times New Roman" w:eastAsia="宋体" w:hAnsi="Times New Roman" w:cs="Times New Roman" w:hint="default"/>
      <w:b/>
      <w:szCs w:val="21"/>
    </w:rPr>
  </w:style>
  <w:style w:type="character" w:customStyle="1" w:styleId="1140">
    <w:name w:val="1140"/>
    <w:basedOn w:val="2253"/>
    <w:uiPriority w:val="9"/>
    <w:rPr>
      <w:rFonts w:ascii="宋体" w:eastAsia="宋体" w:hAnsi="宋体" w:cs="宋体" w:hint="eastAsia"/>
      <w:b/>
      <w:sz w:val="24"/>
      <w:szCs w:val="24"/>
    </w:rPr>
  </w:style>
  <w:style w:type="character" w:customStyle="1" w:styleId="1133">
    <w:name w:val="1133"/>
    <w:uiPriority w:val="99"/>
    <w:qFormat/>
    <w:rPr>
      <w:rFonts w:ascii="Times New Roman" w:hAnsi="Times New Roman" w:cs="Times New Roman" w:hint="default"/>
      <w:kern w:val="2"/>
      <w:sz w:val="21"/>
      <w:szCs w:val="21"/>
    </w:rPr>
  </w:style>
  <w:style w:type="character" w:customStyle="1" w:styleId="1131">
    <w:name w:val="1131"/>
    <w:rPr>
      <w:rFonts w:ascii="Times New Roman" w:hAnsi="Times New Roman" w:cs="Times New Roman" w:hint="default"/>
      <w:kern w:val="2"/>
      <w:sz w:val="21"/>
      <w:szCs w:val="21"/>
    </w:rPr>
  </w:style>
  <w:style w:type="character" w:customStyle="1" w:styleId="1129">
    <w:name w:val="1129"/>
    <w:qFormat/>
    <w:rPr>
      <w:rFonts w:ascii="Times New Roman" w:hAnsi="Times New Roman" w:cs="Times New Roman" w:hint="default"/>
      <w:kern w:val="2"/>
      <w:sz w:val="21"/>
      <w:szCs w:val="21"/>
    </w:rPr>
  </w:style>
  <w:style w:type="character" w:customStyle="1" w:styleId="1125">
    <w:name w:val="1125"/>
    <w:basedOn w:val="2253"/>
    <w:uiPriority w:val="99"/>
    <w:rPr>
      <w:rFonts w:ascii="Calibri" w:eastAsia="宋体" w:hAnsi="Calibri" w:cs="Times New Roman" w:hint="default"/>
      <w:sz w:val="18"/>
      <w:szCs w:val="18"/>
    </w:rPr>
  </w:style>
  <w:style w:type="character" w:customStyle="1" w:styleId="1123">
    <w:name w:val="1123"/>
    <w:basedOn w:val="2253"/>
    <w:uiPriority w:val="99"/>
    <w:rPr>
      <w:rFonts w:ascii="Times New Roman" w:eastAsia="宋体" w:hAnsi="Times New Roman" w:cs="Times New Roman" w:hint="default"/>
      <w:szCs w:val="21"/>
    </w:rPr>
  </w:style>
  <w:style w:type="character" w:customStyle="1" w:styleId="11210">
    <w:name w:val="1121"/>
    <w:basedOn w:val="1309"/>
    <w:uiPriority w:val="99"/>
    <w:rPr>
      <w:rFonts w:ascii="Calibri" w:eastAsia="宋体" w:hAnsi="Calibri" w:cs="Times New Roman" w:hint="default"/>
      <w:b/>
      <w:szCs w:val="21"/>
    </w:rPr>
  </w:style>
  <w:style w:type="character" w:customStyle="1" w:styleId="1118">
    <w:name w:val="1118"/>
    <w:basedOn w:val="2253"/>
    <w:uiPriority w:val="99"/>
    <w:rPr>
      <w:rFonts w:ascii="Calibri" w:eastAsia="宋体" w:hAnsi="Calibri" w:cs="Times New Roman" w:hint="default"/>
      <w:sz w:val="18"/>
      <w:szCs w:val="18"/>
    </w:rPr>
  </w:style>
  <w:style w:type="character" w:customStyle="1" w:styleId="1116">
    <w:name w:val="1116"/>
    <w:basedOn w:val="2253"/>
    <w:uiPriority w:val="99"/>
    <w:rPr>
      <w:rFonts w:ascii="Calibri" w:eastAsia="宋体" w:hAnsi="Calibri" w:cs="Times New Roman" w:hint="default"/>
      <w:sz w:val="18"/>
      <w:szCs w:val="18"/>
    </w:rPr>
  </w:style>
  <w:style w:type="character" w:customStyle="1" w:styleId="1114">
    <w:name w:val="1114"/>
    <w:basedOn w:val="2253"/>
    <w:rPr>
      <w:rFonts w:ascii="宋体" w:eastAsia="宋体" w:hAnsi="Courier New" w:cs="Times New Roman" w:hint="eastAsia"/>
      <w:szCs w:val="20"/>
    </w:rPr>
  </w:style>
  <w:style w:type="character" w:customStyle="1" w:styleId="1112">
    <w:name w:val="1112"/>
    <w:basedOn w:val="2253"/>
    <w:uiPriority w:val="99"/>
    <w:rPr>
      <w:rFonts w:ascii="Times New Roman" w:eastAsia="宋体" w:hAnsi="Times New Roman" w:cs="Times New Roman" w:hint="default"/>
      <w:szCs w:val="21"/>
    </w:rPr>
  </w:style>
  <w:style w:type="character" w:customStyle="1" w:styleId="11100">
    <w:name w:val="1110"/>
    <w:basedOn w:val="2253"/>
    <w:uiPriority w:val="99"/>
    <w:rPr>
      <w:rFonts w:ascii="Times New Roman" w:eastAsia="宋体" w:hAnsi="Times New Roman" w:cs="Times New Roman" w:hint="default"/>
      <w:szCs w:val="21"/>
    </w:rPr>
  </w:style>
  <w:style w:type="character" w:customStyle="1" w:styleId="1108">
    <w:name w:val="1108"/>
    <w:basedOn w:val="2253"/>
    <w:uiPriority w:val="99"/>
    <w:rPr>
      <w:rFonts w:ascii="Times New Roman" w:eastAsia="宋体" w:hAnsi="Times New Roman" w:cs="Times New Roman" w:hint="default"/>
      <w:szCs w:val="21"/>
    </w:rPr>
  </w:style>
  <w:style w:type="character" w:customStyle="1" w:styleId="1105">
    <w:name w:val="1105"/>
    <w:basedOn w:val="2253"/>
    <w:qFormat/>
    <w:rPr>
      <w:kern w:val="2"/>
      <w:sz w:val="21"/>
      <w:szCs w:val="24"/>
    </w:rPr>
  </w:style>
  <w:style w:type="character" w:customStyle="1" w:styleId="1102">
    <w:name w:val="1102"/>
    <w:basedOn w:val="2253"/>
    <w:uiPriority w:val="99"/>
    <w:semiHidden/>
    <w:rPr>
      <w:rFonts w:ascii="宋体" w:eastAsia="宋体" w:hAnsi="宋体" w:hint="eastAsia"/>
      <w:kern w:val="2"/>
      <w:sz w:val="18"/>
      <w:szCs w:val="18"/>
    </w:rPr>
  </w:style>
  <w:style w:type="character" w:customStyle="1" w:styleId="1101">
    <w:name w:val="1101"/>
    <w:basedOn w:val="2253"/>
    <w:uiPriority w:val="99"/>
    <w:rPr>
      <w:color w:val="auto"/>
    </w:rPr>
  </w:style>
  <w:style w:type="character" w:customStyle="1" w:styleId="1f8">
    <w:name w:val="文档结构图 字符1"/>
    <w:basedOn w:val="2253"/>
    <w:uiPriority w:val="99"/>
    <w:semiHidden/>
    <w:locked/>
    <w:rPr>
      <w:rFonts w:hAnsi="Calibri" w:cs="Times New Roman"/>
      <w:bCs/>
      <w:kern w:val="2"/>
      <w:sz w:val="18"/>
      <w:szCs w:val="18"/>
    </w:rPr>
  </w:style>
  <w:style w:type="character" w:customStyle="1" w:styleId="1095">
    <w:name w:val="1095"/>
    <w:basedOn w:val="2253"/>
    <w:uiPriority w:val="99"/>
    <w:semiHidden/>
    <w:rPr>
      <w:rFonts w:ascii="宋体" w:eastAsia="宋体" w:hAnsi="宋体" w:cs="宋体" w:hint="eastAsia"/>
      <w:sz w:val="21"/>
      <w:szCs w:val="24"/>
    </w:rPr>
  </w:style>
  <w:style w:type="character" w:customStyle="1" w:styleId="1094">
    <w:name w:val="1094"/>
    <w:basedOn w:val="2253"/>
    <w:uiPriority w:val="99"/>
    <w:semiHidden/>
    <w:rPr>
      <w:vertAlign w:val="superscript"/>
    </w:rPr>
  </w:style>
  <w:style w:type="character" w:customStyle="1" w:styleId="1093">
    <w:name w:val="1093"/>
    <w:basedOn w:val="1309"/>
    <w:uiPriority w:val="99"/>
    <w:semiHidden/>
    <w:rPr>
      <w:rFonts w:ascii="Times New Roman" w:eastAsia="宋体" w:hAnsi="Times New Roman" w:cs="Times New Roman" w:hint="default"/>
      <w:b/>
      <w:szCs w:val="21"/>
    </w:rPr>
  </w:style>
  <w:style w:type="character" w:customStyle="1" w:styleId="1092">
    <w:name w:val="1092"/>
    <w:basedOn w:val="1309"/>
    <w:uiPriority w:val="99"/>
    <w:semiHidden/>
    <w:rPr>
      <w:rFonts w:ascii="Times New Roman" w:eastAsia="宋体" w:hAnsi="Times New Roman" w:cs="Times New Roman" w:hint="default"/>
      <w:b/>
      <w:szCs w:val="21"/>
    </w:rPr>
  </w:style>
  <w:style w:type="character" w:customStyle="1" w:styleId="1085">
    <w:name w:val="1085"/>
    <w:uiPriority w:val="99"/>
    <w:qFormat/>
    <w:rPr>
      <w:rFonts w:ascii="Times New Roman" w:hAnsi="Times New Roman" w:cs="Times New Roman" w:hint="default"/>
      <w:kern w:val="2"/>
      <w:sz w:val="21"/>
      <w:szCs w:val="21"/>
    </w:rPr>
  </w:style>
  <w:style w:type="character" w:customStyle="1" w:styleId="1082">
    <w:name w:val="1082"/>
    <w:rPr>
      <w:rFonts w:ascii="Times New Roman" w:hAnsi="Times New Roman" w:cs="Times New Roman" w:hint="default"/>
      <w:kern w:val="2"/>
      <w:sz w:val="21"/>
      <w:szCs w:val="21"/>
    </w:rPr>
  </w:style>
  <w:style w:type="character" w:customStyle="1" w:styleId="1081">
    <w:name w:val="1081"/>
    <w:basedOn w:val="2253"/>
    <w:uiPriority w:val="22"/>
    <w:qFormat/>
    <w:rPr>
      <w:b/>
    </w:rPr>
  </w:style>
  <w:style w:type="character" w:customStyle="1" w:styleId="1080">
    <w:name w:val="1080"/>
    <w:uiPriority w:val="99"/>
    <w:rPr>
      <w:rFonts w:ascii="Times New Roman" w:hAnsi="Times New Roman" w:cs="Times New Roman" w:hint="default"/>
      <w:kern w:val="2"/>
      <w:sz w:val="21"/>
      <w:szCs w:val="21"/>
    </w:rPr>
  </w:style>
  <w:style w:type="character" w:customStyle="1" w:styleId="1071">
    <w:name w:val="1071"/>
    <w:basedOn w:val="2253"/>
    <w:semiHidden/>
    <w:rPr>
      <w:rFonts w:ascii="Arial" w:hAnsi="Arial" w:cs="Times New Roman" w:hint="default"/>
      <w:b/>
      <w:kern w:val="2"/>
    </w:rPr>
  </w:style>
  <w:style w:type="character" w:customStyle="1" w:styleId="1070">
    <w:name w:val="1070"/>
    <w:basedOn w:val="2253"/>
    <w:uiPriority w:val="1"/>
    <w:qFormat/>
    <w:rPr>
      <w:kern w:val="2"/>
      <w:szCs w:val="22"/>
    </w:rPr>
  </w:style>
  <w:style w:type="character" w:customStyle="1" w:styleId="1069">
    <w:name w:val="1069"/>
    <w:basedOn w:val="2253"/>
    <w:uiPriority w:val="99"/>
    <w:rPr>
      <w:sz w:val="24"/>
    </w:rPr>
  </w:style>
  <w:style w:type="character" w:customStyle="1" w:styleId="1058">
    <w:name w:val="1058"/>
    <w:basedOn w:val="2253"/>
    <w:uiPriority w:val="99"/>
    <w:rPr>
      <w:rFonts w:ascii="黑体" w:eastAsia="黑体" w:hAnsi="黑体" w:hint="eastAsia"/>
      <w:b/>
      <w:kern w:val="44"/>
      <w:sz w:val="28"/>
      <w:szCs w:val="44"/>
    </w:rPr>
  </w:style>
  <w:style w:type="character" w:customStyle="1" w:styleId="1057">
    <w:name w:val="1057"/>
    <w:basedOn w:val="2253"/>
    <w:rPr>
      <w:rFonts w:ascii="Arial" w:hAnsi="Arial" w:cs="Arial" w:hint="default"/>
      <w:b/>
      <w:kern w:val="2"/>
      <w:sz w:val="21"/>
      <w:szCs w:val="21"/>
    </w:rPr>
  </w:style>
  <w:style w:type="character" w:customStyle="1" w:styleId="1056">
    <w:name w:val="1056"/>
    <w:basedOn w:val="2253"/>
    <w:uiPriority w:val="9"/>
    <w:rPr>
      <w:b/>
      <w:kern w:val="2"/>
      <w:sz w:val="21"/>
      <w:szCs w:val="32"/>
    </w:rPr>
  </w:style>
  <w:style w:type="character" w:customStyle="1" w:styleId="1055">
    <w:name w:val="1055"/>
    <w:basedOn w:val="2253"/>
    <w:uiPriority w:val="9"/>
    <w:rPr>
      <w:rFonts w:ascii="Cambria" w:hAnsi="Cambria" w:hint="default"/>
      <w:b/>
      <w:kern w:val="2"/>
      <w:sz w:val="21"/>
      <w:szCs w:val="28"/>
    </w:rPr>
  </w:style>
  <w:style w:type="character" w:customStyle="1" w:styleId="1054">
    <w:name w:val="1054"/>
    <w:basedOn w:val="2253"/>
    <w:uiPriority w:val="9"/>
    <w:rPr>
      <w:b/>
      <w:kern w:val="2"/>
      <w:sz w:val="21"/>
      <w:szCs w:val="28"/>
    </w:rPr>
  </w:style>
  <w:style w:type="character" w:customStyle="1" w:styleId="1050">
    <w:name w:val="1050"/>
    <w:basedOn w:val="2253"/>
    <w:uiPriority w:val="99"/>
    <w:rPr>
      <w:rFonts w:ascii="Times New Roman" w:hAnsi="Times New Roman" w:cs="Times New Roman" w:hint="default"/>
      <w:color w:val="0000FF"/>
      <w:u w:val="single"/>
    </w:rPr>
  </w:style>
  <w:style w:type="character" w:customStyle="1" w:styleId="1049">
    <w:name w:val="1049"/>
    <w:basedOn w:val="2253"/>
    <w:uiPriority w:val="99"/>
    <w:rPr>
      <w:rFonts w:ascii="宋体" w:eastAsia="宋体" w:hAnsi="宋体" w:cs="Times New Roman" w:hint="eastAsia"/>
      <w:kern w:val="2"/>
      <w:sz w:val="21"/>
      <w:szCs w:val="21"/>
      <w:lang w:val="en-US" w:eastAsia="zh-CN" w:bidi="ar-SA"/>
    </w:rPr>
  </w:style>
  <w:style w:type="character" w:customStyle="1" w:styleId="1046">
    <w:name w:val="1046"/>
    <w:basedOn w:val="2253"/>
    <w:uiPriority w:val="99"/>
    <w:rPr>
      <w:rFonts w:ascii="Calibri" w:eastAsia="宋体" w:hAnsi="Calibri" w:cs="Times New Roman" w:hint="default"/>
      <w:sz w:val="18"/>
      <w:szCs w:val="18"/>
    </w:rPr>
  </w:style>
  <w:style w:type="character" w:customStyle="1" w:styleId="1044">
    <w:name w:val="1044"/>
    <w:basedOn w:val="2253"/>
    <w:uiPriority w:val="99"/>
    <w:rPr>
      <w:rFonts w:ascii="Times New Roman" w:eastAsia="宋体" w:hAnsi="Times New Roman" w:cs="Times New Roman" w:hint="default"/>
      <w:szCs w:val="21"/>
    </w:rPr>
  </w:style>
  <w:style w:type="character" w:customStyle="1" w:styleId="1042">
    <w:name w:val="1042"/>
    <w:basedOn w:val="1309"/>
    <w:uiPriority w:val="99"/>
    <w:rPr>
      <w:rFonts w:ascii="Calibri" w:eastAsia="宋体" w:hAnsi="Calibri" w:cs="Times New Roman" w:hint="default"/>
      <w:b/>
      <w:szCs w:val="21"/>
    </w:rPr>
  </w:style>
  <w:style w:type="character" w:customStyle="1" w:styleId="1038">
    <w:name w:val="1038"/>
    <w:basedOn w:val="2253"/>
    <w:uiPriority w:val="99"/>
    <w:rPr>
      <w:rFonts w:ascii="Calibri" w:eastAsia="宋体" w:hAnsi="Calibri" w:cs="Times New Roman" w:hint="default"/>
      <w:sz w:val="18"/>
      <w:szCs w:val="18"/>
    </w:rPr>
  </w:style>
  <w:style w:type="character" w:customStyle="1" w:styleId="1036">
    <w:name w:val="1036"/>
    <w:basedOn w:val="2253"/>
    <w:uiPriority w:val="99"/>
    <w:rPr>
      <w:rFonts w:ascii="Calibri" w:eastAsia="宋体" w:hAnsi="Calibri" w:cs="Times New Roman" w:hint="default"/>
      <w:sz w:val="18"/>
      <w:szCs w:val="18"/>
    </w:rPr>
  </w:style>
  <w:style w:type="character" w:customStyle="1" w:styleId="1034">
    <w:name w:val="1034"/>
    <w:basedOn w:val="2253"/>
    <w:rPr>
      <w:rFonts w:ascii="宋体" w:eastAsia="宋体" w:hAnsi="Courier New" w:cs="Times New Roman" w:hint="eastAsia"/>
      <w:szCs w:val="20"/>
    </w:rPr>
  </w:style>
  <w:style w:type="character" w:customStyle="1" w:styleId="1032">
    <w:name w:val="1032"/>
    <w:basedOn w:val="2253"/>
    <w:uiPriority w:val="99"/>
    <w:rPr>
      <w:rFonts w:ascii="Times New Roman" w:eastAsia="宋体" w:hAnsi="Times New Roman" w:cs="Times New Roman" w:hint="default"/>
      <w:szCs w:val="21"/>
    </w:rPr>
  </w:style>
  <w:style w:type="character" w:customStyle="1" w:styleId="1030">
    <w:name w:val="1030"/>
    <w:basedOn w:val="2253"/>
    <w:uiPriority w:val="99"/>
    <w:rPr>
      <w:rFonts w:ascii="Times New Roman" w:eastAsia="宋体" w:hAnsi="Times New Roman" w:cs="Times New Roman" w:hint="default"/>
      <w:szCs w:val="21"/>
    </w:rPr>
  </w:style>
  <w:style w:type="character" w:customStyle="1" w:styleId="1028">
    <w:name w:val="1028"/>
    <w:basedOn w:val="2253"/>
    <w:uiPriority w:val="99"/>
    <w:rPr>
      <w:rFonts w:ascii="Times New Roman" w:eastAsia="宋体" w:hAnsi="Times New Roman" w:cs="Times New Roman" w:hint="default"/>
      <w:szCs w:val="21"/>
    </w:rPr>
  </w:style>
  <w:style w:type="character" w:customStyle="1" w:styleId="1024">
    <w:name w:val="1024"/>
    <w:basedOn w:val="2253"/>
    <w:qFormat/>
    <w:rPr>
      <w:kern w:val="2"/>
      <w:sz w:val="21"/>
      <w:szCs w:val="24"/>
    </w:rPr>
  </w:style>
  <w:style w:type="character" w:customStyle="1" w:styleId="1021">
    <w:name w:val="1021"/>
    <w:basedOn w:val="2253"/>
    <w:uiPriority w:val="99"/>
    <w:semiHidden/>
    <w:rPr>
      <w:rFonts w:ascii="宋体" w:eastAsia="宋体" w:hAnsi="宋体" w:hint="eastAsia"/>
      <w:kern w:val="2"/>
      <w:sz w:val="18"/>
      <w:szCs w:val="18"/>
    </w:rPr>
  </w:style>
  <w:style w:type="character" w:customStyle="1" w:styleId="1020">
    <w:name w:val="1020"/>
    <w:basedOn w:val="2253"/>
    <w:uiPriority w:val="99"/>
    <w:rPr>
      <w:color w:val="auto"/>
    </w:rPr>
  </w:style>
  <w:style w:type="character" w:customStyle="1" w:styleId="1017">
    <w:name w:val="1017"/>
    <w:basedOn w:val="2253"/>
    <w:uiPriority w:val="10"/>
    <w:rPr>
      <w:rFonts w:ascii="Cambria" w:hAnsi="Cambria" w:cs="Times New Roman" w:hint="default"/>
      <w:b/>
      <w:kern w:val="2"/>
      <w:sz w:val="32"/>
      <w:szCs w:val="32"/>
    </w:rPr>
  </w:style>
  <w:style w:type="character" w:customStyle="1" w:styleId="1009">
    <w:name w:val="1009"/>
    <w:basedOn w:val="2253"/>
    <w:uiPriority w:val="9"/>
    <w:rPr>
      <w:rFonts w:ascii="Cambria" w:hAnsi="Cambria" w:cs="Times New Roman" w:hint="default"/>
      <w:b/>
      <w:sz w:val="21"/>
      <w:szCs w:val="24"/>
    </w:rPr>
  </w:style>
  <w:style w:type="character" w:customStyle="1" w:styleId="1006">
    <w:name w:val="1006"/>
    <w:basedOn w:val="2253"/>
    <w:uiPriority w:val="99"/>
    <w:semiHidden/>
    <w:rPr>
      <w:rFonts w:ascii="宋体" w:eastAsia="宋体" w:hAnsi="宋体" w:cs="宋体" w:hint="eastAsia"/>
      <w:sz w:val="21"/>
      <w:szCs w:val="24"/>
    </w:rPr>
  </w:style>
  <w:style w:type="character" w:customStyle="1" w:styleId="1005">
    <w:name w:val="1005"/>
    <w:basedOn w:val="2253"/>
    <w:uiPriority w:val="99"/>
    <w:semiHidden/>
    <w:rPr>
      <w:vertAlign w:val="superscript"/>
    </w:rPr>
  </w:style>
  <w:style w:type="character" w:customStyle="1" w:styleId="1004">
    <w:name w:val="1004"/>
    <w:basedOn w:val="1309"/>
    <w:uiPriority w:val="99"/>
    <w:semiHidden/>
    <w:rPr>
      <w:rFonts w:ascii="Times New Roman" w:eastAsia="宋体" w:hAnsi="Times New Roman" w:cs="Times New Roman" w:hint="default"/>
      <w:b/>
      <w:szCs w:val="21"/>
    </w:rPr>
  </w:style>
  <w:style w:type="character" w:customStyle="1" w:styleId="1002">
    <w:name w:val="1002"/>
    <w:basedOn w:val="2253"/>
    <w:rPr>
      <w:rFonts w:ascii="Times New Roman" w:hAnsi="Times New Roman" w:cs="Times New Roman" w:hint="default"/>
      <w:b/>
      <w:kern w:val="2"/>
      <w:sz w:val="21"/>
      <w:szCs w:val="24"/>
    </w:rPr>
  </w:style>
  <w:style w:type="character" w:customStyle="1" w:styleId="1001">
    <w:name w:val="1001"/>
    <w:basedOn w:val="1309"/>
    <w:uiPriority w:val="99"/>
    <w:semiHidden/>
    <w:rPr>
      <w:rFonts w:ascii="Times New Roman" w:eastAsia="宋体" w:hAnsi="Times New Roman" w:cs="Times New Roman" w:hint="default"/>
      <w:b/>
      <w:szCs w:val="21"/>
    </w:rPr>
  </w:style>
  <w:style w:type="character" w:customStyle="1" w:styleId="1000">
    <w:name w:val="1000"/>
    <w:basedOn w:val="2253"/>
    <w:uiPriority w:val="9"/>
    <w:rPr>
      <w:rFonts w:ascii="宋体" w:eastAsia="宋体" w:hAnsi="宋体" w:cs="宋体" w:hint="eastAsia"/>
      <w:b/>
      <w:sz w:val="24"/>
      <w:szCs w:val="24"/>
    </w:rPr>
  </w:style>
  <w:style w:type="character" w:customStyle="1" w:styleId="996">
    <w:name w:val="996"/>
    <w:uiPriority w:val="9"/>
    <w:rPr>
      <w:rFonts w:ascii="Cambria" w:hAnsi="Cambria" w:hint="default"/>
      <w:b/>
      <w:kern w:val="2"/>
      <w:sz w:val="21"/>
      <w:szCs w:val="28"/>
    </w:rPr>
  </w:style>
  <w:style w:type="character" w:customStyle="1" w:styleId="993">
    <w:name w:val="993"/>
    <w:uiPriority w:val="9"/>
    <w:rPr>
      <w:b/>
      <w:kern w:val="2"/>
      <w:sz w:val="21"/>
      <w:szCs w:val="32"/>
    </w:rPr>
  </w:style>
  <w:style w:type="character" w:customStyle="1" w:styleId="990">
    <w:name w:val="990"/>
    <w:uiPriority w:val="99"/>
    <w:qFormat/>
    <w:rPr>
      <w:rFonts w:ascii="Times New Roman" w:hAnsi="Times New Roman" w:cs="Times New Roman" w:hint="default"/>
      <w:kern w:val="2"/>
      <w:sz w:val="21"/>
      <w:szCs w:val="21"/>
    </w:rPr>
  </w:style>
  <w:style w:type="character" w:customStyle="1" w:styleId="989">
    <w:name w:val="989"/>
    <w:uiPriority w:val="9"/>
    <w:rPr>
      <w:b/>
      <w:kern w:val="2"/>
      <w:sz w:val="21"/>
      <w:szCs w:val="28"/>
    </w:rPr>
  </w:style>
  <w:style w:type="character" w:customStyle="1" w:styleId="987">
    <w:name w:val="987"/>
    <w:uiPriority w:val="9"/>
    <w:rPr>
      <w:b/>
      <w:kern w:val="2"/>
      <w:sz w:val="21"/>
      <w:szCs w:val="32"/>
    </w:rPr>
  </w:style>
  <w:style w:type="character" w:customStyle="1" w:styleId="986">
    <w:name w:val="986"/>
    <w:rPr>
      <w:rFonts w:ascii="Arial" w:hAnsi="Arial" w:cs="Arial" w:hint="default"/>
      <w:b/>
      <w:kern w:val="2"/>
      <w:sz w:val="21"/>
      <w:szCs w:val="21"/>
    </w:rPr>
  </w:style>
  <w:style w:type="character" w:customStyle="1" w:styleId="985">
    <w:name w:val="985"/>
    <w:uiPriority w:val="9"/>
    <w:rPr>
      <w:rFonts w:ascii="Cambria" w:hAnsi="Cambria" w:hint="default"/>
      <w:b/>
      <w:kern w:val="2"/>
      <w:sz w:val="21"/>
      <w:szCs w:val="28"/>
    </w:rPr>
  </w:style>
  <w:style w:type="character" w:customStyle="1" w:styleId="984">
    <w:name w:val="984"/>
    <w:uiPriority w:val="9"/>
    <w:rPr>
      <w:b/>
      <w:kern w:val="2"/>
      <w:sz w:val="21"/>
      <w:szCs w:val="28"/>
    </w:rPr>
  </w:style>
  <w:style w:type="character" w:customStyle="1" w:styleId="982">
    <w:name w:val="982"/>
    <w:rPr>
      <w:rFonts w:ascii="Times New Roman" w:hAnsi="Times New Roman" w:cs="Times New Roman" w:hint="default"/>
      <w:kern w:val="2"/>
      <w:sz w:val="21"/>
      <w:szCs w:val="21"/>
    </w:rPr>
  </w:style>
  <w:style w:type="character" w:customStyle="1" w:styleId="981">
    <w:name w:val="981"/>
    <w:basedOn w:val="2253"/>
    <w:rPr>
      <w:rFonts w:ascii="Arial" w:eastAsia="黑体" w:hAnsi="Arial" w:cs="Times New Roman" w:hint="default"/>
      <w:color w:val="000000"/>
      <w:sz w:val="24"/>
      <w:szCs w:val="20"/>
    </w:rPr>
  </w:style>
  <w:style w:type="character" w:customStyle="1" w:styleId="980">
    <w:name w:val="980"/>
    <w:basedOn w:val="2253"/>
    <w:rPr>
      <w:rFonts w:ascii="Arial" w:eastAsia="黑体" w:hAnsi="Arial" w:cs="Times New Roman" w:hint="default"/>
      <w:color w:val="000000"/>
      <w:sz w:val="24"/>
      <w:szCs w:val="20"/>
    </w:rPr>
  </w:style>
  <w:style w:type="character" w:customStyle="1" w:styleId="976">
    <w:name w:val="976"/>
    <w:basedOn w:val="2253"/>
    <w:rPr>
      <w:b/>
      <w:sz w:val="24"/>
      <w:szCs w:val="24"/>
    </w:rPr>
  </w:style>
  <w:style w:type="character" w:customStyle="1" w:styleId="975">
    <w:name w:val="975"/>
    <w:basedOn w:val="2253"/>
    <w:uiPriority w:val="22"/>
    <w:qFormat/>
    <w:rPr>
      <w:b/>
    </w:rPr>
  </w:style>
  <w:style w:type="character" w:customStyle="1" w:styleId="974">
    <w:name w:val="974"/>
    <w:rPr>
      <w:rFonts w:ascii="宋体" w:eastAsia="宋体" w:hAnsi="宋体" w:hint="eastAsia"/>
      <w:color w:val="000000"/>
      <w:sz w:val="24"/>
      <w:szCs w:val="24"/>
    </w:rPr>
  </w:style>
  <w:style w:type="character" w:customStyle="1" w:styleId="972">
    <w:name w:val="972"/>
    <w:rPr>
      <w:rFonts w:ascii="FZLTSK--GBK1-0" w:hAnsi="FZLTSK--GBK1-0" w:hint="default"/>
      <w:bCs/>
      <w:color w:val="000000"/>
      <w:sz w:val="20"/>
      <w:szCs w:val="20"/>
    </w:rPr>
  </w:style>
  <w:style w:type="character" w:customStyle="1" w:styleId="959">
    <w:name w:val="959"/>
    <w:basedOn w:val="2253"/>
    <w:rPr>
      <w:rFonts w:ascii="Times New Roman" w:hAnsi="Times New Roman" w:cs="Times New Roman" w:hint="default"/>
      <w:kern w:val="2"/>
    </w:rPr>
  </w:style>
  <w:style w:type="character" w:customStyle="1" w:styleId="958">
    <w:name w:val="958"/>
    <w:basedOn w:val="1309"/>
    <w:uiPriority w:val="99"/>
    <w:semiHidden/>
    <w:rPr>
      <w:rFonts w:ascii="Times New Roman" w:eastAsia="宋体" w:hAnsi="Times New Roman" w:cs="Times New Roman" w:hint="default"/>
      <w:b/>
      <w:color w:val="000000"/>
      <w:sz w:val="21"/>
      <w:szCs w:val="21"/>
    </w:rPr>
  </w:style>
  <w:style w:type="character" w:customStyle="1" w:styleId="952">
    <w:name w:val="952"/>
    <w:basedOn w:val="2253"/>
    <w:uiPriority w:val="9"/>
    <w:rPr>
      <w:rFonts w:ascii="Cambria" w:hAnsi="Cambria" w:hint="default"/>
      <w:b/>
      <w:kern w:val="2"/>
      <w:sz w:val="21"/>
      <w:szCs w:val="28"/>
    </w:rPr>
  </w:style>
  <w:style w:type="character" w:customStyle="1" w:styleId="950">
    <w:name w:val="950"/>
    <w:basedOn w:val="2253"/>
    <w:uiPriority w:val="9"/>
    <w:rPr>
      <w:b/>
      <w:kern w:val="2"/>
      <w:sz w:val="21"/>
      <w:szCs w:val="32"/>
    </w:rPr>
  </w:style>
  <w:style w:type="character" w:customStyle="1" w:styleId="941">
    <w:name w:val="941"/>
    <w:basedOn w:val="2253"/>
    <w:semiHidden/>
    <w:rPr>
      <w:rFonts w:ascii="Arial" w:hAnsi="Arial" w:cs="Times New Roman" w:hint="default"/>
      <w:b/>
      <w:kern w:val="2"/>
    </w:rPr>
  </w:style>
  <w:style w:type="character" w:customStyle="1" w:styleId="940">
    <w:name w:val="940"/>
    <w:basedOn w:val="2253"/>
    <w:uiPriority w:val="1"/>
    <w:qFormat/>
    <w:rPr>
      <w:kern w:val="2"/>
      <w:szCs w:val="22"/>
    </w:rPr>
  </w:style>
  <w:style w:type="character" w:customStyle="1" w:styleId="939">
    <w:name w:val="939"/>
    <w:basedOn w:val="2253"/>
    <w:uiPriority w:val="99"/>
    <w:rPr>
      <w:sz w:val="24"/>
    </w:rPr>
  </w:style>
  <w:style w:type="character" w:customStyle="1" w:styleId="937">
    <w:name w:val="937"/>
    <w:basedOn w:val="2253"/>
    <w:rPr>
      <w:rFonts w:ascii="宋体" w:eastAsia="宋体" w:hAnsi="宋体" w:hint="eastAsia"/>
      <w:kern w:val="2"/>
      <w:szCs w:val="24"/>
    </w:rPr>
  </w:style>
  <w:style w:type="character" w:customStyle="1" w:styleId="930">
    <w:name w:val="930"/>
    <w:basedOn w:val="2253"/>
    <w:uiPriority w:val="99"/>
    <w:rPr>
      <w:rFonts w:ascii="黑体" w:eastAsia="黑体" w:hAnsi="黑体" w:hint="eastAsia"/>
      <w:b/>
      <w:kern w:val="44"/>
      <w:sz w:val="28"/>
      <w:szCs w:val="44"/>
    </w:rPr>
  </w:style>
  <w:style w:type="character" w:customStyle="1" w:styleId="929">
    <w:name w:val="929"/>
    <w:basedOn w:val="2253"/>
    <w:rPr>
      <w:rFonts w:ascii="Arial" w:hAnsi="Arial" w:cs="Arial" w:hint="default"/>
      <w:b/>
      <w:kern w:val="2"/>
      <w:sz w:val="21"/>
      <w:szCs w:val="21"/>
    </w:rPr>
  </w:style>
  <w:style w:type="character" w:customStyle="1" w:styleId="928">
    <w:name w:val="928"/>
    <w:basedOn w:val="2253"/>
    <w:uiPriority w:val="9"/>
    <w:rPr>
      <w:b/>
      <w:kern w:val="2"/>
      <w:sz w:val="21"/>
      <w:szCs w:val="32"/>
    </w:rPr>
  </w:style>
  <w:style w:type="character" w:customStyle="1" w:styleId="927">
    <w:name w:val="927"/>
    <w:basedOn w:val="2253"/>
    <w:uiPriority w:val="9"/>
    <w:rPr>
      <w:rFonts w:ascii="Cambria" w:hAnsi="Cambria" w:hint="default"/>
      <w:b/>
      <w:kern w:val="2"/>
      <w:sz w:val="21"/>
      <w:szCs w:val="28"/>
    </w:rPr>
  </w:style>
  <w:style w:type="character" w:customStyle="1" w:styleId="926">
    <w:name w:val="926"/>
    <w:basedOn w:val="2253"/>
    <w:uiPriority w:val="9"/>
    <w:rPr>
      <w:b/>
      <w:kern w:val="2"/>
      <w:sz w:val="21"/>
      <w:szCs w:val="28"/>
    </w:rPr>
  </w:style>
  <w:style w:type="character" w:customStyle="1" w:styleId="922">
    <w:name w:val="922"/>
    <w:basedOn w:val="2253"/>
    <w:rPr>
      <w:rFonts w:ascii="Times New Roman" w:eastAsia="宋体" w:hAnsi="Times New Roman" w:cs="Times New Roman" w:hint="default"/>
      <w:szCs w:val="21"/>
    </w:rPr>
  </w:style>
  <w:style w:type="character" w:customStyle="1" w:styleId="9200">
    <w:name w:val="920"/>
    <w:basedOn w:val="2253"/>
    <w:uiPriority w:val="99"/>
    <w:rPr>
      <w:rFonts w:ascii="Calibri" w:eastAsia="宋体" w:hAnsi="Calibri" w:cs="Times New Roman" w:hint="default"/>
      <w:sz w:val="18"/>
      <w:szCs w:val="18"/>
    </w:rPr>
  </w:style>
  <w:style w:type="character" w:customStyle="1" w:styleId="918">
    <w:name w:val="918"/>
    <w:basedOn w:val="2253"/>
    <w:uiPriority w:val="99"/>
    <w:rPr>
      <w:rFonts w:ascii="Times New Roman" w:eastAsia="宋体" w:hAnsi="Times New Roman" w:cs="Times New Roman" w:hint="default"/>
      <w:szCs w:val="21"/>
    </w:rPr>
  </w:style>
  <w:style w:type="character" w:customStyle="1" w:styleId="916">
    <w:name w:val="916"/>
    <w:basedOn w:val="922"/>
    <w:uiPriority w:val="99"/>
    <w:rPr>
      <w:rFonts w:ascii="Calibri" w:eastAsia="宋体" w:hAnsi="Calibri" w:cs="Times New Roman" w:hint="default"/>
      <w:b/>
      <w:szCs w:val="21"/>
    </w:rPr>
  </w:style>
  <w:style w:type="character" w:customStyle="1" w:styleId="912">
    <w:name w:val="912"/>
    <w:basedOn w:val="2253"/>
    <w:uiPriority w:val="99"/>
    <w:rPr>
      <w:rFonts w:ascii="Calibri" w:eastAsia="宋体" w:hAnsi="Calibri" w:cs="Times New Roman" w:hint="default"/>
      <w:sz w:val="18"/>
      <w:szCs w:val="18"/>
    </w:rPr>
  </w:style>
  <w:style w:type="character" w:customStyle="1" w:styleId="910">
    <w:name w:val="910"/>
    <w:basedOn w:val="2253"/>
    <w:uiPriority w:val="99"/>
    <w:rPr>
      <w:rFonts w:ascii="Calibri" w:eastAsia="宋体" w:hAnsi="Calibri" w:cs="Times New Roman" w:hint="default"/>
      <w:sz w:val="18"/>
      <w:szCs w:val="18"/>
    </w:rPr>
  </w:style>
  <w:style w:type="character" w:customStyle="1" w:styleId="908">
    <w:name w:val="908"/>
    <w:basedOn w:val="2253"/>
    <w:rPr>
      <w:rFonts w:ascii="宋体" w:eastAsia="宋体" w:hAnsi="Courier New" w:cs="Times New Roman" w:hint="eastAsia"/>
      <w:szCs w:val="20"/>
    </w:rPr>
  </w:style>
  <w:style w:type="character" w:customStyle="1" w:styleId="906">
    <w:name w:val="906"/>
    <w:basedOn w:val="2253"/>
    <w:uiPriority w:val="99"/>
    <w:rPr>
      <w:rFonts w:ascii="Times New Roman" w:eastAsia="宋体" w:hAnsi="Times New Roman" w:cs="Times New Roman" w:hint="default"/>
      <w:szCs w:val="21"/>
    </w:rPr>
  </w:style>
  <w:style w:type="character" w:customStyle="1" w:styleId="904">
    <w:name w:val="904"/>
    <w:basedOn w:val="2253"/>
    <w:uiPriority w:val="99"/>
    <w:rPr>
      <w:rFonts w:ascii="Times New Roman" w:eastAsia="宋体" w:hAnsi="Times New Roman" w:cs="Times New Roman" w:hint="default"/>
      <w:szCs w:val="21"/>
    </w:rPr>
  </w:style>
  <w:style w:type="character" w:customStyle="1" w:styleId="9020">
    <w:name w:val="902"/>
    <w:basedOn w:val="2253"/>
    <w:uiPriority w:val="99"/>
    <w:rPr>
      <w:rFonts w:ascii="Times New Roman" w:eastAsia="宋体" w:hAnsi="Times New Roman" w:cs="Times New Roman" w:hint="default"/>
      <w:szCs w:val="21"/>
    </w:rPr>
  </w:style>
  <w:style w:type="character" w:customStyle="1" w:styleId="898">
    <w:name w:val="898"/>
    <w:basedOn w:val="2253"/>
    <w:qFormat/>
    <w:rPr>
      <w:kern w:val="2"/>
      <w:sz w:val="21"/>
      <w:szCs w:val="24"/>
    </w:rPr>
  </w:style>
  <w:style w:type="character" w:customStyle="1" w:styleId="895">
    <w:name w:val="895"/>
    <w:basedOn w:val="2253"/>
    <w:uiPriority w:val="99"/>
    <w:semiHidden/>
    <w:rPr>
      <w:rFonts w:ascii="宋体" w:eastAsia="宋体" w:hAnsi="宋体" w:hint="eastAsia"/>
      <w:kern w:val="2"/>
      <w:sz w:val="18"/>
      <w:szCs w:val="18"/>
    </w:rPr>
  </w:style>
  <w:style w:type="character" w:customStyle="1" w:styleId="894">
    <w:name w:val="894"/>
    <w:basedOn w:val="2253"/>
    <w:uiPriority w:val="99"/>
    <w:rPr>
      <w:color w:val="auto"/>
    </w:rPr>
  </w:style>
  <w:style w:type="character" w:customStyle="1" w:styleId="892">
    <w:name w:val="892"/>
    <w:basedOn w:val="2253"/>
    <w:uiPriority w:val="10"/>
    <w:rPr>
      <w:rFonts w:ascii="Cambria" w:hAnsi="Cambria" w:cs="Times New Roman" w:hint="default"/>
      <w:b/>
      <w:kern w:val="2"/>
      <w:sz w:val="32"/>
      <w:szCs w:val="32"/>
    </w:rPr>
  </w:style>
  <w:style w:type="character" w:customStyle="1" w:styleId="883">
    <w:name w:val="883"/>
    <w:basedOn w:val="2253"/>
    <w:uiPriority w:val="9"/>
    <w:rPr>
      <w:rFonts w:ascii="Cambria" w:hAnsi="Cambria" w:cs="Times New Roman" w:hint="default"/>
      <w:b/>
      <w:sz w:val="21"/>
      <w:szCs w:val="24"/>
    </w:rPr>
  </w:style>
  <w:style w:type="character" w:customStyle="1" w:styleId="880">
    <w:name w:val="880"/>
    <w:basedOn w:val="2253"/>
    <w:uiPriority w:val="99"/>
    <w:semiHidden/>
    <w:rPr>
      <w:rFonts w:ascii="宋体" w:eastAsia="宋体" w:hAnsi="宋体" w:cs="宋体" w:hint="eastAsia"/>
      <w:sz w:val="21"/>
      <w:szCs w:val="24"/>
    </w:rPr>
  </w:style>
  <w:style w:type="character" w:customStyle="1" w:styleId="879">
    <w:name w:val="879"/>
    <w:basedOn w:val="2253"/>
    <w:uiPriority w:val="99"/>
    <w:semiHidden/>
    <w:rPr>
      <w:vertAlign w:val="superscript"/>
    </w:rPr>
  </w:style>
  <w:style w:type="character" w:customStyle="1" w:styleId="878">
    <w:name w:val="878"/>
    <w:basedOn w:val="922"/>
    <w:uiPriority w:val="99"/>
    <w:semiHidden/>
    <w:rPr>
      <w:rFonts w:ascii="Times New Roman" w:eastAsia="宋体" w:hAnsi="Times New Roman" w:cs="Times New Roman" w:hint="default"/>
      <w:b/>
      <w:szCs w:val="21"/>
    </w:rPr>
  </w:style>
  <w:style w:type="character" w:customStyle="1" w:styleId="877">
    <w:name w:val="877"/>
    <w:basedOn w:val="922"/>
    <w:uiPriority w:val="99"/>
    <w:semiHidden/>
    <w:rPr>
      <w:rFonts w:ascii="Times New Roman" w:eastAsia="宋体" w:hAnsi="Times New Roman" w:cs="Times New Roman" w:hint="default"/>
      <w:b/>
      <w:szCs w:val="21"/>
    </w:rPr>
  </w:style>
  <w:style w:type="character" w:customStyle="1" w:styleId="876">
    <w:name w:val="876"/>
    <w:basedOn w:val="2253"/>
    <w:uiPriority w:val="9"/>
    <w:rPr>
      <w:rFonts w:ascii="宋体" w:eastAsia="宋体" w:hAnsi="宋体" w:cs="宋体" w:hint="eastAsia"/>
      <w:b/>
      <w:sz w:val="24"/>
      <w:szCs w:val="24"/>
    </w:rPr>
  </w:style>
  <w:style w:type="character" w:customStyle="1" w:styleId="869">
    <w:name w:val="869"/>
    <w:uiPriority w:val="99"/>
    <w:qFormat/>
    <w:rPr>
      <w:rFonts w:ascii="Times New Roman" w:hAnsi="Times New Roman" w:cs="Times New Roman" w:hint="default"/>
      <w:kern w:val="2"/>
      <w:sz w:val="21"/>
      <w:szCs w:val="21"/>
    </w:rPr>
  </w:style>
  <w:style w:type="character" w:customStyle="1" w:styleId="867">
    <w:name w:val="867"/>
    <w:rPr>
      <w:rFonts w:ascii="Times New Roman" w:hAnsi="Times New Roman" w:cs="Times New Roman" w:hint="default"/>
      <w:kern w:val="2"/>
      <w:sz w:val="21"/>
      <w:szCs w:val="21"/>
    </w:rPr>
  </w:style>
  <w:style w:type="character" w:customStyle="1" w:styleId="865">
    <w:name w:val="865"/>
    <w:rPr>
      <w:rFonts w:ascii="Times New Roman" w:hAnsi="Times New Roman" w:cs="Times New Roman" w:hint="default"/>
      <w:kern w:val="2"/>
      <w:sz w:val="21"/>
      <w:szCs w:val="21"/>
    </w:rPr>
  </w:style>
  <w:style w:type="character" w:customStyle="1" w:styleId="861">
    <w:name w:val="861"/>
    <w:basedOn w:val="2253"/>
    <w:uiPriority w:val="99"/>
    <w:rPr>
      <w:rFonts w:ascii="Calibri" w:eastAsia="宋体" w:hAnsi="Calibri" w:cs="Times New Roman" w:hint="default"/>
      <w:sz w:val="18"/>
      <w:szCs w:val="18"/>
    </w:rPr>
  </w:style>
  <w:style w:type="character" w:customStyle="1" w:styleId="859">
    <w:name w:val="859"/>
    <w:basedOn w:val="2253"/>
    <w:uiPriority w:val="99"/>
    <w:rPr>
      <w:rFonts w:ascii="Times New Roman" w:eastAsia="宋体" w:hAnsi="Times New Roman" w:cs="Times New Roman" w:hint="default"/>
      <w:szCs w:val="21"/>
    </w:rPr>
  </w:style>
  <w:style w:type="character" w:customStyle="1" w:styleId="857">
    <w:name w:val="857"/>
    <w:basedOn w:val="1309"/>
    <w:uiPriority w:val="99"/>
    <w:rPr>
      <w:rFonts w:ascii="Calibri" w:eastAsia="宋体" w:hAnsi="Calibri" w:cs="Times New Roman" w:hint="default"/>
      <w:b/>
      <w:szCs w:val="21"/>
    </w:rPr>
  </w:style>
  <w:style w:type="character" w:customStyle="1" w:styleId="854">
    <w:name w:val="854"/>
    <w:basedOn w:val="2253"/>
    <w:uiPriority w:val="99"/>
    <w:rPr>
      <w:rFonts w:ascii="Calibri" w:eastAsia="宋体" w:hAnsi="Calibri" w:cs="Times New Roman" w:hint="default"/>
      <w:sz w:val="18"/>
      <w:szCs w:val="18"/>
    </w:rPr>
  </w:style>
  <w:style w:type="character" w:customStyle="1" w:styleId="852">
    <w:name w:val="852"/>
    <w:basedOn w:val="2253"/>
    <w:uiPriority w:val="99"/>
    <w:rPr>
      <w:rFonts w:ascii="Calibri" w:eastAsia="宋体" w:hAnsi="Calibri" w:cs="Times New Roman" w:hint="default"/>
      <w:sz w:val="18"/>
      <w:szCs w:val="18"/>
    </w:rPr>
  </w:style>
  <w:style w:type="character" w:customStyle="1" w:styleId="850">
    <w:name w:val="850"/>
    <w:basedOn w:val="2253"/>
    <w:rPr>
      <w:rFonts w:ascii="宋体" w:eastAsia="宋体" w:hAnsi="Courier New" w:cs="Times New Roman" w:hint="eastAsia"/>
      <w:szCs w:val="20"/>
    </w:rPr>
  </w:style>
  <w:style w:type="character" w:customStyle="1" w:styleId="848">
    <w:name w:val="848"/>
    <w:basedOn w:val="2253"/>
    <w:uiPriority w:val="99"/>
    <w:rPr>
      <w:rFonts w:ascii="Times New Roman" w:eastAsia="宋体" w:hAnsi="Times New Roman" w:cs="Times New Roman" w:hint="default"/>
      <w:szCs w:val="21"/>
    </w:rPr>
  </w:style>
  <w:style w:type="character" w:customStyle="1" w:styleId="846">
    <w:name w:val="846"/>
    <w:basedOn w:val="2253"/>
    <w:uiPriority w:val="99"/>
    <w:rPr>
      <w:rFonts w:ascii="Times New Roman" w:eastAsia="宋体" w:hAnsi="Times New Roman" w:cs="Times New Roman" w:hint="default"/>
      <w:szCs w:val="21"/>
    </w:rPr>
  </w:style>
  <w:style w:type="character" w:customStyle="1" w:styleId="844">
    <w:name w:val="844"/>
    <w:basedOn w:val="2253"/>
    <w:uiPriority w:val="99"/>
    <w:rPr>
      <w:rFonts w:ascii="Times New Roman" w:eastAsia="宋体" w:hAnsi="Times New Roman" w:cs="Times New Roman" w:hint="default"/>
      <w:szCs w:val="21"/>
    </w:rPr>
  </w:style>
  <w:style w:type="character" w:customStyle="1" w:styleId="841">
    <w:name w:val="841"/>
    <w:basedOn w:val="2253"/>
    <w:qFormat/>
    <w:rPr>
      <w:kern w:val="2"/>
      <w:sz w:val="21"/>
      <w:szCs w:val="24"/>
    </w:rPr>
  </w:style>
  <w:style w:type="character" w:customStyle="1" w:styleId="838">
    <w:name w:val="838"/>
    <w:basedOn w:val="2253"/>
    <w:uiPriority w:val="99"/>
    <w:semiHidden/>
    <w:rPr>
      <w:rFonts w:ascii="宋体" w:eastAsia="宋体" w:hAnsi="宋体" w:hint="eastAsia"/>
      <w:kern w:val="2"/>
      <w:sz w:val="18"/>
      <w:szCs w:val="18"/>
    </w:rPr>
  </w:style>
  <w:style w:type="character" w:customStyle="1" w:styleId="837">
    <w:name w:val="837"/>
    <w:basedOn w:val="2253"/>
    <w:uiPriority w:val="99"/>
    <w:rPr>
      <w:color w:val="auto"/>
    </w:rPr>
  </w:style>
  <w:style w:type="character" w:customStyle="1" w:styleId="834">
    <w:name w:val="834"/>
    <w:basedOn w:val="2253"/>
    <w:uiPriority w:val="10"/>
    <w:rPr>
      <w:rFonts w:ascii="Cambria" w:hAnsi="Cambria" w:cs="Times New Roman" w:hint="default"/>
      <w:b/>
      <w:kern w:val="2"/>
      <w:sz w:val="32"/>
      <w:szCs w:val="32"/>
    </w:rPr>
  </w:style>
  <w:style w:type="character" w:customStyle="1" w:styleId="830">
    <w:name w:val="830"/>
    <w:basedOn w:val="2253"/>
    <w:uiPriority w:val="99"/>
    <w:semiHidden/>
    <w:rPr>
      <w:rFonts w:ascii="宋体" w:eastAsia="宋体" w:hAnsi="宋体" w:cs="宋体" w:hint="eastAsia"/>
      <w:sz w:val="21"/>
      <w:szCs w:val="24"/>
    </w:rPr>
  </w:style>
  <w:style w:type="character" w:customStyle="1" w:styleId="829">
    <w:name w:val="829"/>
    <w:basedOn w:val="2253"/>
    <w:uiPriority w:val="99"/>
    <w:semiHidden/>
    <w:rPr>
      <w:vertAlign w:val="superscript"/>
    </w:rPr>
  </w:style>
  <w:style w:type="character" w:customStyle="1" w:styleId="828">
    <w:name w:val="828"/>
    <w:basedOn w:val="1309"/>
    <w:uiPriority w:val="99"/>
    <w:semiHidden/>
    <w:rPr>
      <w:rFonts w:ascii="Times New Roman" w:eastAsia="宋体" w:hAnsi="Times New Roman" w:cs="Times New Roman" w:hint="default"/>
      <w:b/>
      <w:szCs w:val="21"/>
    </w:rPr>
  </w:style>
  <w:style w:type="character" w:customStyle="1" w:styleId="827">
    <w:name w:val="827"/>
    <w:basedOn w:val="1309"/>
    <w:uiPriority w:val="99"/>
    <w:semiHidden/>
    <w:rPr>
      <w:rFonts w:ascii="Times New Roman" w:eastAsia="宋体" w:hAnsi="Times New Roman" w:cs="Times New Roman" w:hint="default"/>
      <w:b/>
      <w:szCs w:val="21"/>
    </w:rPr>
  </w:style>
  <w:style w:type="character" w:customStyle="1" w:styleId="820">
    <w:name w:val="820"/>
    <w:uiPriority w:val="99"/>
    <w:qFormat/>
    <w:rPr>
      <w:rFonts w:ascii="Times New Roman" w:hAnsi="Times New Roman" w:cs="Times New Roman" w:hint="default"/>
      <w:kern w:val="2"/>
      <w:sz w:val="21"/>
      <w:szCs w:val="21"/>
    </w:rPr>
  </w:style>
  <w:style w:type="character" w:customStyle="1" w:styleId="817">
    <w:name w:val="817"/>
    <w:rPr>
      <w:rFonts w:ascii="Times New Roman" w:hAnsi="Times New Roman" w:cs="Times New Roman" w:hint="default"/>
      <w:kern w:val="2"/>
      <w:sz w:val="21"/>
      <w:szCs w:val="21"/>
    </w:rPr>
  </w:style>
  <w:style w:type="character" w:customStyle="1" w:styleId="816">
    <w:name w:val="816"/>
    <w:basedOn w:val="2253"/>
    <w:uiPriority w:val="22"/>
    <w:qFormat/>
    <w:rPr>
      <w:b/>
    </w:rPr>
  </w:style>
  <w:style w:type="character" w:customStyle="1" w:styleId="8150">
    <w:name w:val="815"/>
    <w:uiPriority w:val="99"/>
    <w:rPr>
      <w:rFonts w:ascii="Times New Roman" w:hAnsi="Times New Roman" w:cs="Times New Roman" w:hint="default"/>
      <w:kern w:val="2"/>
      <w:sz w:val="21"/>
      <w:szCs w:val="21"/>
    </w:rPr>
  </w:style>
  <w:style w:type="character" w:customStyle="1" w:styleId="806">
    <w:name w:val="806"/>
    <w:basedOn w:val="2253"/>
    <w:semiHidden/>
    <w:rPr>
      <w:rFonts w:ascii="Arial" w:hAnsi="Arial" w:cs="Times New Roman" w:hint="default"/>
      <w:b/>
      <w:kern w:val="2"/>
    </w:rPr>
  </w:style>
  <w:style w:type="character" w:customStyle="1" w:styleId="805">
    <w:name w:val="805"/>
    <w:basedOn w:val="2253"/>
    <w:uiPriority w:val="1"/>
    <w:qFormat/>
    <w:rPr>
      <w:kern w:val="2"/>
      <w:szCs w:val="22"/>
    </w:rPr>
  </w:style>
  <w:style w:type="character" w:customStyle="1" w:styleId="804">
    <w:name w:val="804"/>
    <w:basedOn w:val="2253"/>
    <w:uiPriority w:val="99"/>
    <w:rPr>
      <w:sz w:val="24"/>
    </w:rPr>
  </w:style>
  <w:style w:type="character" w:customStyle="1" w:styleId="793">
    <w:name w:val="793"/>
    <w:uiPriority w:val="1"/>
    <w:semiHidden/>
  </w:style>
  <w:style w:type="character" w:customStyle="1" w:styleId="791">
    <w:name w:val="791"/>
    <w:basedOn w:val="793"/>
    <w:uiPriority w:val="99"/>
    <w:rPr>
      <w:rFonts w:ascii="黑体" w:eastAsia="黑体" w:hAnsi="黑体" w:hint="eastAsia"/>
      <w:b/>
      <w:kern w:val="44"/>
      <w:sz w:val="28"/>
      <w:szCs w:val="44"/>
    </w:rPr>
  </w:style>
  <w:style w:type="character" w:customStyle="1" w:styleId="790">
    <w:name w:val="790"/>
    <w:basedOn w:val="793"/>
    <w:rPr>
      <w:rFonts w:ascii="Arial" w:hAnsi="Arial" w:cs="Arial" w:hint="default"/>
      <w:b/>
      <w:kern w:val="2"/>
      <w:sz w:val="21"/>
      <w:szCs w:val="21"/>
    </w:rPr>
  </w:style>
  <w:style w:type="character" w:customStyle="1" w:styleId="789">
    <w:name w:val="789"/>
    <w:basedOn w:val="793"/>
    <w:uiPriority w:val="9"/>
    <w:rPr>
      <w:b/>
      <w:kern w:val="2"/>
      <w:sz w:val="21"/>
      <w:szCs w:val="32"/>
    </w:rPr>
  </w:style>
  <w:style w:type="character" w:customStyle="1" w:styleId="788">
    <w:name w:val="788"/>
    <w:basedOn w:val="793"/>
    <w:uiPriority w:val="9"/>
    <w:rPr>
      <w:rFonts w:ascii="Cambria" w:hAnsi="Cambria" w:hint="default"/>
      <w:b/>
      <w:kern w:val="2"/>
      <w:sz w:val="21"/>
      <w:szCs w:val="28"/>
    </w:rPr>
  </w:style>
  <w:style w:type="character" w:customStyle="1" w:styleId="787">
    <w:name w:val="787"/>
    <w:basedOn w:val="793"/>
    <w:uiPriority w:val="9"/>
    <w:rPr>
      <w:b/>
      <w:kern w:val="2"/>
      <w:sz w:val="21"/>
      <w:szCs w:val="28"/>
    </w:rPr>
  </w:style>
  <w:style w:type="character" w:customStyle="1" w:styleId="783">
    <w:name w:val="783"/>
    <w:basedOn w:val="793"/>
    <w:uiPriority w:val="99"/>
    <w:rPr>
      <w:rFonts w:ascii="Times New Roman" w:hAnsi="Times New Roman" w:cs="Times New Roman" w:hint="default"/>
      <w:color w:val="0000FF"/>
      <w:u w:val="single"/>
    </w:rPr>
  </w:style>
  <w:style w:type="character" w:customStyle="1" w:styleId="782">
    <w:name w:val="782"/>
    <w:basedOn w:val="793"/>
    <w:uiPriority w:val="99"/>
    <w:rPr>
      <w:rFonts w:ascii="宋体" w:eastAsia="宋体" w:hAnsi="宋体" w:cs="Times New Roman" w:hint="eastAsia"/>
      <w:kern w:val="2"/>
      <w:sz w:val="21"/>
      <w:szCs w:val="21"/>
      <w:lang w:val="en-US" w:eastAsia="zh-CN" w:bidi="ar-SA"/>
    </w:rPr>
  </w:style>
  <w:style w:type="character" w:customStyle="1" w:styleId="780">
    <w:name w:val="780"/>
    <w:basedOn w:val="793"/>
    <w:uiPriority w:val="99"/>
    <w:rPr>
      <w:rFonts w:ascii="Times New Roman" w:eastAsia="宋体" w:hAnsi="Times New Roman" w:cs="Times New Roman" w:hint="default"/>
      <w:szCs w:val="21"/>
    </w:rPr>
  </w:style>
  <w:style w:type="character" w:customStyle="1" w:styleId="778">
    <w:name w:val="778"/>
    <w:basedOn w:val="793"/>
    <w:uiPriority w:val="99"/>
    <w:rPr>
      <w:rFonts w:ascii="Calibri" w:eastAsia="宋体" w:hAnsi="Calibri" w:cs="Times New Roman" w:hint="default"/>
      <w:sz w:val="18"/>
      <w:szCs w:val="18"/>
    </w:rPr>
  </w:style>
  <w:style w:type="character" w:customStyle="1" w:styleId="776">
    <w:name w:val="776"/>
    <w:basedOn w:val="793"/>
    <w:uiPriority w:val="99"/>
    <w:rPr>
      <w:rFonts w:ascii="Times New Roman" w:eastAsia="宋体" w:hAnsi="Times New Roman" w:cs="Times New Roman" w:hint="default"/>
      <w:szCs w:val="21"/>
    </w:rPr>
  </w:style>
  <w:style w:type="character" w:customStyle="1" w:styleId="775">
    <w:name w:val="775"/>
    <w:basedOn w:val="793"/>
    <w:uiPriority w:val="99"/>
    <w:rPr>
      <w:rFonts w:ascii="宋体" w:eastAsia="宋体" w:hAnsi="宋体" w:cs="Times New Roman" w:hint="eastAsia"/>
      <w:color w:val="FF0000"/>
      <w:kern w:val="2"/>
      <w:sz w:val="24"/>
      <w:szCs w:val="24"/>
      <w:lang w:val="en-US" w:eastAsia="zh-CN" w:bidi="ar-SA"/>
    </w:rPr>
  </w:style>
  <w:style w:type="character" w:customStyle="1" w:styleId="772">
    <w:name w:val="772"/>
    <w:basedOn w:val="780"/>
    <w:uiPriority w:val="99"/>
    <w:rPr>
      <w:rFonts w:ascii="Calibri" w:eastAsia="宋体" w:hAnsi="Calibri" w:cs="Times New Roman" w:hint="default"/>
      <w:b/>
      <w:szCs w:val="21"/>
    </w:rPr>
  </w:style>
  <w:style w:type="character" w:customStyle="1" w:styleId="768">
    <w:name w:val="768"/>
    <w:basedOn w:val="793"/>
    <w:uiPriority w:val="99"/>
    <w:rPr>
      <w:rFonts w:ascii="Calibri" w:eastAsia="宋体" w:hAnsi="Calibri" w:cs="Times New Roman" w:hint="default"/>
      <w:sz w:val="18"/>
      <w:szCs w:val="18"/>
    </w:rPr>
  </w:style>
  <w:style w:type="character" w:customStyle="1" w:styleId="766">
    <w:name w:val="766"/>
    <w:basedOn w:val="793"/>
    <w:uiPriority w:val="99"/>
    <w:rPr>
      <w:rFonts w:ascii="Calibri" w:eastAsia="宋体" w:hAnsi="Calibri" w:cs="Times New Roman" w:hint="default"/>
      <w:sz w:val="18"/>
      <w:szCs w:val="18"/>
    </w:rPr>
  </w:style>
  <w:style w:type="character" w:customStyle="1" w:styleId="764">
    <w:name w:val="764"/>
    <w:basedOn w:val="793"/>
    <w:rPr>
      <w:rFonts w:ascii="宋体" w:eastAsia="宋体" w:hAnsi="Courier New" w:cs="Times New Roman" w:hint="eastAsia"/>
      <w:szCs w:val="20"/>
    </w:rPr>
  </w:style>
  <w:style w:type="character" w:customStyle="1" w:styleId="763">
    <w:name w:val="763"/>
    <w:basedOn w:val="793"/>
    <w:rPr>
      <w:rFonts w:ascii="宋体" w:eastAsia="宋体" w:hAnsi="宋体" w:cs="Times New Roman" w:hint="eastAsia"/>
      <w:kern w:val="2"/>
      <w:sz w:val="24"/>
      <w:szCs w:val="24"/>
      <w:lang w:val="en-US" w:eastAsia="zh-CN" w:bidi="ar-SA"/>
    </w:rPr>
  </w:style>
  <w:style w:type="character" w:customStyle="1" w:styleId="761">
    <w:name w:val="761"/>
    <w:basedOn w:val="793"/>
    <w:uiPriority w:val="99"/>
    <w:rPr>
      <w:rFonts w:ascii="Times New Roman" w:eastAsia="宋体" w:hAnsi="Times New Roman" w:cs="Times New Roman" w:hint="default"/>
      <w:szCs w:val="21"/>
    </w:rPr>
  </w:style>
  <w:style w:type="character" w:customStyle="1" w:styleId="758">
    <w:name w:val="758"/>
    <w:basedOn w:val="793"/>
    <w:uiPriority w:val="99"/>
    <w:rPr>
      <w:rFonts w:ascii="Times New Roman" w:eastAsia="宋体" w:hAnsi="Times New Roman" w:cs="Times New Roman" w:hint="default"/>
      <w:szCs w:val="21"/>
    </w:rPr>
  </w:style>
  <w:style w:type="character" w:customStyle="1" w:styleId="756">
    <w:name w:val="756"/>
    <w:basedOn w:val="793"/>
    <w:uiPriority w:val="99"/>
    <w:rPr>
      <w:rFonts w:ascii="Times New Roman" w:eastAsia="宋体" w:hAnsi="Times New Roman" w:cs="Times New Roman" w:hint="default"/>
      <w:szCs w:val="21"/>
    </w:rPr>
  </w:style>
  <w:style w:type="character" w:customStyle="1" w:styleId="752">
    <w:name w:val="752"/>
    <w:basedOn w:val="793"/>
    <w:qFormat/>
    <w:rPr>
      <w:kern w:val="2"/>
      <w:sz w:val="21"/>
      <w:szCs w:val="24"/>
    </w:rPr>
  </w:style>
  <w:style w:type="character" w:customStyle="1" w:styleId="749">
    <w:name w:val="749"/>
    <w:basedOn w:val="793"/>
    <w:uiPriority w:val="99"/>
    <w:semiHidden/>
    <w:rPr>
      <w:rFonts w:ascii="宋体" w:eastAsia="宋体" w:hAnsi="宋体" w:hint="eastAsia"/>
      <w:kern w:val="2"/>
      <w:sz w:val="18"/>
      <w:szCs w:val="18"/>
    </w:rPr>
  </w:style>
  <w:style w:type="character" w:customStyle="1" w:styleId="748">
    <w:name w:val="748"/>
    <w:basedOn w:val="793"/>
    <w:uiPriority w:val="99"/>
    <w:rPr>
      <w:color w:val="auto"/>
    </w:rPr>
  </w:style>
  <w:style w:type="character" w:customStyle="1" w:styleId="745">
    <w:name w:val="745"/>
    <w:basedOn w:val="793"/>
    <w:uiPriority w:val="10"/>
    <w:rPr>
      <w:rFonts w:ascii="Cambria" w:hAnsi="Cambria" w:cs="Times New Roman" w:hint="default"/>
      <w:b/>
      <w:kern w:val="2"/>
      <w:sz w:val="32"/>
      <w:szCs w:val="32"/>
    </w:rPr>
  </w:style>
  <w:style w:type="character" w:customStyle="1" w:styleId="737">
    <w:name w:val="737"/>
    <w:basedOn w:val="793"/>
    <w:uiPriority w:val="9"/>
    <w:rPr>
      <w:rFonts w:ascii="Cambria" w:hAnsi="Cambria" w:cs="Times New Roman" w:hint="default"/>
      <w:b/>
      <w:sz w:val="21"/>
      <w:szCs w:val="24"/>
    </w:rPr>
  </w:style>
  <w:style w:type="character" w:customStyle="1" w:styleId="734">
    <w:name w:val="734"/>
    <w:basedOn w:val="793"/>
    <w:uiPriority w:val="99"/>
    <w:semiHidden/>
    <w:rPr>
      <w:rFonts w:ascii="宋体" w:eastAsia="宋体" w:hAnsi="宋体" w:cs="宋体" w:hint="eastAsia"/>
      <w:sz w:val="21"/>
      <w:szCs w:val="24"/>
    </w:rPr>
  </w:style>
  <w:style w:type="character" w:customStyle="1" w:styleId="731">
    <w:name w:val="731"/>
    <w:basedOn w:val="780"/>
    <w:uiPriority w:val="99"/>
    <w:semiHidden/>
    <w:rPr>
      <w:rFonts w:ascii="Times New Roman" w:eastAsia="宋体" w:hAnsi="Times New Roman" w:cs="Times New Roman" w:hint="default"/>
      <w:b/>
      <w:szCs w:val="21"/>
    </w:rPr>
  </w:style>
  <w:style w:type="character" w:customStyle="1" w:styleId="729">
    <w:name w:val="729"/>
    <w:basedOn w:val="793"/>
    <w:rPr>
      <w:rFonts w:ascii="Times New Roman" w:hAnsi="Times New Roman" w:cs="Times New Roman" w:hint="default"/>
      <w:b/>
      <w:kern w:val="2"/>
      <w:sz w:val="21"/>
      <w:szCs w:val="24"/>
    </w:rPr>
  </w:style>
  <w:style w:type="character" w:customStyle="1" w:styleId="728">
    <w:name w:val="728"/>
    <w:basedOn w:val="780"/>
    <w:uiPriority w:val="99"/>
    <w:semiHidden/>
    <w:rPr>
      <w:rFonts w:ascii="Times New Roman" w:eastAsia="宋体" w:hAnsi="Times New Roman" w:cs="Times New Roman" w:hint="default"/>
      <w:b/>
      <w:szCs w:val="21"/>
    </w:rPr>
  </w:style>
  <w:style w:type="character" w:customStyle="1" w:styleId="727">
    <w:name w:val="727"/>
    <w:basedOn w:val="793"/>
    <w:uiPriority w:val="9"/>
    <w:rPr>
      <w:rFonts w:ascii="宋体" w:eastAsia="宋体" w:hAnsi="宋体" w:cs="宋体" w:hint="eastAsia"/>
      <w:b/>
      <w:sz w:val="24"/>
      <w:szCs w:val="24"/>
    </w:rPr>
  </w:style>
  <w:style w:type="character" w:customStyle="1" w:styleId="725">
    <w:name w:val="725"/>
    <w:basedOn w:val="793"/>
  </w:style>
  <w:style w:type="character" w:customStyle="1" w:styleId="722">
    <w:name w:val="722"/>
    <w:uiPriority w:val="9"/>
    <w:rPr>
      <w:rFonts w:ascii="Cambria" w:hAnsi="Cambria" w:hint="default"/>
      <w:b/>
      <w:kern w:val="2"/>
      <w:sz w:val="21"/>
      <w:szCs w:val="28"/>
    </w:rPr>
  </w:style>
  <w:style w:type="character" w:customStyle="1" w:styleId="719">
    <w:name w:val="719"/>
    <w:uiPriority w:val="9"/>
    <w:rPr>
      <w:b/>
      <w:kern w:val="2"/>
      <w:sz w:val="21"/>
      <w:szCs w:val="32"/>
    </w:rPr>
  </w:style>
  <w:style w:type="character" w:customStyle="1" w:styleId="714">
    <w:name w:val="714"/>
    <w:uiPriority w:val="9"/>
    <w:rPr>
      <w:b/>
      <w:kern w:val="2"/>
      <w:sz w:val="21"/>
      <w:szCs w:val="28"/>
    </w:rPr>
  </w:style>
  <w:style w:type="character" w:customStyle="1" w:styleId="712">
    <w:name w:val="712"/>
    <w:uiPriority w:val="9"/>
    <w:rPr>
      <w:b/>
      <w:kern w:val="2"/>
      <w:sz w:val="21"/>
      <w:szCs w:val="32"/>
    </w:rPr>
  </w:style>
  <w:style w:type="character" w:customStyle="1" w:styleId="7110">
    <w:name w:val="711"/>
    <w:rPr>
      <w:rFonts w:ascii="Arial" w:hAnsi="Arial" w:cs="Arial" w:hint="default"/>
      <w:b/>
      <w:kern w:val="2"/>
      <w:sz w:val="21"/>
      <w:szCs w:val="21"/>
    </w:rPr>
  </w:style>
  <w:style w:type="character" w:customStyle="1" w:styleId="7100">
    <w:name w:val="710"/>
    <w:uiPriority w:val="9"/>
    <w:rPr>
      <w:rFonts w:ascii="Cambria" w:hAnsi="Cambria" w:hint="default"/>
      <w:b/>
      <w:kern w:val="2"/>
      <w:sz w:val="21"/>
      <w:szCs w:val="28"/>
    </w:rPr>
  </w:style>
  <w:style w:type="character" w:customStyle="1" w:styleId="709">
    <w:name w:val="709"/>
    <w:uiPriority w:val="9"/>
    <w:rPr>
      <w:b/>
      <w:kern w:val="2"/>
      <w:sz w:val="21"/>
      <w:szCs w:val="28"/>
    </w:rPr>
  </w:style>
  <w:style w:type="character" w:customStyle="1" w:styleId="706">
    <w:name w:val="706"/>
    <w:basedOn w:val="793"/>
    <w:rPr>
      <w:rFonts w:ascii="Arial" w:eastAsia="黑体" w:hAnsi="Arial" w:cs="Times New Roman" w:hint="default"/>
      <w:color w:val="000000"/>
      <w:sz w:val="24"/>
      <w:szCs w:val="20"/>
    </w:rPr>
  </w:style>
  <w:style w:type="character" w:customStyle="1" w:styleId="705">
    <w:name w:val="705"/>
    <w:basedOn w:val="793"/>
    <w:rPr>
      <w:rFonts w:ascii="Arial" w:eastAsia="黑体" w:hAnsi="Arial" w:cs="Times New Roman" w:hint="default"/>
      <w:color w:val="000000"/>
      <w:sz w:val="24"/>
      <w:szCs w:val="20"/>
    </w:rPr>
  </w:style>
  <w:style w:type="character" w:customStyle="1" w:styleId="704">
    <w:name w:val="704"/>
    <w:basedOn w:val="793"/>
    <w:uiPriority w:val="99"/>
    <w:rPr>
      <w:rFonts w:ascii="Times New Roman" w:eastAsia="宋体" w:hAnsi="Times New Roman" w:cs="Times New Roman" w:hint="default"/>
      <w:szCs w:val="21"/>
    </w:rPr>
  </w:style>
  <w:style w:type="character" w:customStyle="1" w:styleId="700">
    <w:name w:val="700"/>
    <w:basedOn w:val="793"/>
    <w:rPr>
      <w:b/>
      <w:sz w:val="24"/>
      <w:szCs w:val="24"/>
    </w:rPr>
  </w:style>
  <w:style w:type="character" w:customStyle="1" w:styleId="698">
    <w:name w:val="698"/>
    <w:rPr>
      <w:rFonts w:ascii="宋体" w:eastAsia="宋体" w:hAnsi="宋体" w:hint="eastAsia"/>
      <w:color w:val="000000"/>
      <w:sz w:val="24"/>
      <w:szCs w:val="24"/>
    </w:rPr>
  </w:style>
  <w:style w:type="character" w:customStyle="1" w:styleId="696">
    <w:name w:val="696"/>
    <w:rPr>
      <w:rFonts w:ascii="FZLTSK--GBK1-0" w:hAnsi="FZLTSK--GBK1-0" w:hint="default"/>
      <w:bCs/>
      <w:color w:val="000000"/>
      <w:sz w:val="20"/>
      <w:szCs w:val="20"/>
    </w:rPr>
  </w:style>
  <w:style w:type="character" w:customStyle="1" w:styleId="683">
    <w:name w:val="683"/>
    <w:basedOn w:val="793"/>
    <w:rPr>
      <w:rFonts w:ascii="Times New Roman" w:hAnsi="Times New Roman" w:cs="Times New Roman" w:hint="default"/>
      <w:kern w:val="2"/>
    </w:rPr>
  </w:style>
  <w:style w:type="character" w:customStyle="1" w:styleId="682">
    <w:name w:val="682"/>
    <w:basedOn w:val="780"/>
    <w:uiPriority w:val="99"/>
    <w:semiHidden/>
    <w:rPr>
      <w:rFonts w:ascii="Times New Roman" w:eastAsia="宋体" w:hAnsi="Times New Roman" w:cs="Times New Roman" w:hint="default"/>
      <w:b/>
      <w:color w:val="000000"/>
      <w:sz w:val="21"/>
      <w:szCs w:val="21"/>
    </w:rPr>
  </w:style>
  <w:style w:type="character" w:customStyle="1" w:styleId="675">
    <w:name w:val="675"/>
    <w:basedOn w:val="793"/>
    <w:rPr>
      <w:rFonts w:ascii="宋体" w:eastAsia="宋体" w:hAnsi="宋体" w:hint="eastAsia"/>
      <w:color w:val="000000"/>
      <w:sz w:val="22"/>
      <w:szCs w:val="22"/>
    </w:rPr>
  </w:style>
  <w:style w:type="character" w:customStyle="1" w:styleId="674">
    <w:name w:val="674"/>
    <w:basedOn w:val="793"/>
    <w:uiPriority w:val="9"/>
    <w:rPr>
      <w:rFonts w:ascii="Cambria" w:hAnsi="Cambria" w:hint="default"/>
      <w:b/>
      <w:kern w:val="2"/>
      <w:sz w:val="21"/>
      <w:szCs w:val="28"/>
    </w:rPr>
  </w:style>
  <w:style w:type="character" w:customStyle="1" w:styleId="672">
    <w:name w:val="672"/>
    <w:basedOn w:val="793"/>
    <w:uiPriority w:val="9"/>
    <w:rPr>
      <w:b/>
      <w:kern w:val="2"/>
      <w:sz w:val="21"/>
      <w:szCs w:val="32"/>
    </w:rPr>
  </w:style>
  <w:style w:type="character" w:customStyle="1" w:styleId="671">
    <w:name w:val="671"/>
    <w:basedOn w:val="793"/>
    <w:uiPriority w:val="39"/>
    <w:rPr>
      <w:rFonts w:ascii="Calibri" w:hAnsi="Calibri" w:cs="Times New Roman" w:hint="default"/>
      <w:sz w:val="22"/>
      <w:szCs w:val="22"/>
    </w:rPr>
  </w:style>
  <w:style w:type="character" w:customStyle="1" w:styleId="662">
    <w:name w:val="662"/>
    <w:basedOn w:val="793"/>
    <w:semiHidden/>
    <w:rPr>
      <w:rFonts w:ascii="Arial" w:hAnsi="Arial" w:cs="Times New Roman" w:hint="default"/>
      <w:b/>
      <w:kern w:val="2"/>
    </w:rPr>
  </w:style>
  <w:style w:type="character" w:customStyle="1" w:styleId="661">
    <w:name w:val="661"/>
    <w:basedOn w:val="793"/>
    <w:uiPriority w:val="1"/>
    <w:qFormat/>
    <w:rPr>
      <w:kern w:val="2"/>
      <w:szCs w:val="22"/>
    </w:rPr>
  </w:style>
  <w:style w:type="character" w:customStyle="1" w:styleId="660">
    <w:name w:val="660"/>
    <w:basedOn w:val="793"/>
    <w:uiPriority w:val="99"/>
    <w:rPr>
      <w:sz w:val="24"/>
    </w:rPr>
  </w:style>
  <w:style w:type="character" w:customStyle="1" w:styleId="658">
    <w:name w:val="658"/>
    <w:basedOn w:val="793"/>
    <w:rPr>
      <w:rFonts w:ascii="宋体" w:eastAsia="宋体" w:hAnsi="宋体" w:hint="eastAsia"/>
      <w:kern w:val="2"/>
      <w:szCs w:val="24"/>
    </w:rPr>
  </w:style>
  <w:style w:type="character" w:customStyle="1" w:styleId="650">
    <w:name w:val="650"/>
    <w:basedOn w:val="793"/>
    <w:uiPriority w:val="99"/>
    <w:rPr>
      <w:rFonts w:ascii="黑体" w:eastAsia="黑体" w:hAnsi="黑体" w:hint="eastAsia"/>
      <w:b/>
      <w:kern w:val="44"/>
      <w:sz w:val="28"/>
      <w:szCs w:val="44"/>
    </w:rPr>
  </w:style>
  <w:style w:type="character" w:customStyle="1" w:styleId="649">
    <w:name w:val="649"/>
    <w:basedOn w:val="793"/>
    <w:rPr>
      <w:rFonts w:ascii="Arial" w:hAnsi="Arial" w:cs="Arial" w:hint="default"/>
      <w:b/>
      <w:kern w:val="2"/>
      <w:sz w:val="21"/>
      <w:szCs w:val="21"/>
    </w:rPr>
  </w:style>
  <w:style w:type="character" w:customStyle="1" w:styleId="648">
    <w:name w:val="648"/>
    <w:basedOn w:val="793"/>
    <w:uiPriority w:val="9"/>
    <w:rPr>
      <w:b/>
      <w:kern w:val="2"/>
      <w:sz w:val="21"/>
      <w:szCs w:val="32"/>
    </w:rPr>
  </w:style>
  <w:style w:type="character" w:customStyle="1" w:styleId="647">
    <w:name w:val="647"/>
    <w:basedOn w:val="793"/>
    <w:uiPriority w:val="9"/>
    <w:rPr>
      <w:rFonts w:ascii="Cambria" w:hAnsi="Cambria" w:hint="default"/>
      <w:b/>
      <w:kern w:val="2"/>
      <w:sz w:val="21"/>
      <w:szCs w:val="28"/>
    </w:rPr>
  </w:style>
  <w:style w:type="character" w:customStyle="1" w:styleId="646">
    <w:name w:val="646"/>
    <w:basedOn w:val="793"/>
    <w:uiPriority w:val="9"/>
    <w:rPr>
      <w:b/>
      <w:kern w:val="2"/>
      <w:sz w:val="21"/>
      <w:szCs w:val="28"/>
    </w:rPr>
  </w:style>
  <w:style w:type="character" w:customStyle="1" w:styleId="642">
    <w:name w:val="642"/>
    <w:basedOn w:val="793"/>
    <w:rPr>
      <w:rFonts w:ascii="Times New Roman" w:eastAsia="宋体" w:hAnsi="Times New Roman" w:cs="Times New Roman" w:hint="default"/>
      <w:szCs w:val="21"/>
    </w:rPr>
  </w:style>
  <w:style w:type="character" w:customStyle="1" w:styleId="640">
    <w:name w:val="640"/>
    <w:basedOn w:val="793"/>
    <w:uiPriority w:val="99"/>
    <w:rPr>
      <w:rFonts w:ascii="Calibri" w:eastAsia="宋体" w:hAnsi="Calibri" w:cs="Times New Roman" w:hint="default"/>
      <w:sz w:val="18"/>
      <w:szCs w:val="18"/>
    </w:rPr>
  </w:style>
  <w:style w:type="character" w:customStyle="1" w:styleId="638">
    <w:name w:val="638"/>
    <w:basedOn w:val="793"/>
    <w:uiPriority w:val="99"/>
    <w:rPr>
      <w:rFonts w:ascii="Times New Roman" w:eastAsia="宋体" w:hAnsi="Times New Roman" w:cs="Times New Roman" w:hint="default"/>
      <w:szCs w:val="21"/>
    </w:rPr>
  </w:style>
  <w:style w:type="character" w:customStyle="1" w:styleId="636">
    <w:name w:val="636"/>
    <w:basedOn w:val="642"/>
    <w:uiPriority w:val="99"/>
    <w:rPr>
      <w:rFonts w:ascii="Calibri" w:eastAsia="宋体" w:hAnsi="Calibri" w:cs="Times New Roman" w:hint="default"/>
      <w:b/>
      <w:szCs w:val="21"/>
    </w:rPr>
  </w:style>
  <w:style w:type="character" w:customStyle="1" w:styleId="632">
    <w:name w:val="632"/>
    <w:basedOn w:val="793"/>
    <w:uiPriority w:val="99"/>
    <w:rPr>
      <w:rFonts w:ascii="Calibri" w:eastAsia="宋体" w:hAnsi="Calibri" w:cs="Times New Roman" w:hint="default"/>
      <w:sz w:val="18"/>
      <w:szCs w:val="18"/>
    </w:rPr>
  </w:style>
  <w:style w:type="character" w:customStyle="1" w:styleId="630">
    <w:name w:val="630"/>
    <w:basedOn w:val="793"/>
    <w:uiPriority w:val="99"/>
    <w:rPr>
      <w:rFonts w:ascii="Calibri" w:eastAsia="宋体" w:hAnsi="Calibri" w:cs="Times New Roman" w:hint="default"/>
      <w:sz w:val="18"/>
      <w:szCs w:val="18"/>
    </w:rPr>
  </w:style>
  <w:style w:type="character" w:customStyle="1" w:styleId="628">
    <w:name w:val="628"/>
    <w:basedOn w:val="793"/>
    <w:rPr>
      <w:rFonts w:ascii="宋体" w:eastAsia="宋体" w:hAnsi="Courier New" w:cs="Times New Roman" w:hint="eastAsia"/>
      <w:szCs w:val="20"/>
    </w:rPr>
  </w:style>
  <w:style w:type="character" w:customStyle="1" w:styleId="626">
    <w:name w:val="626"/>
    <w:basedOn w:val="793"/>
    <w:uiPriority w:val="99"/>
    <w:rPr>
      <w:rFonts w:ascii="Times New Roman" w:eastAsia="宋体" w:hAnsi="Times New Roman" w:cs="Times New Roman" w:hint="default"/>
      <w:szCs w:val="21"/>
    </w:rPr>
  </w:style>
  <w:style w:type="character" w:customStyle="1" w:styleId="624">
    <w:name w:val="624"/>
    <w:basedOn w:val="793"/>
    <w:uiPriority w:val="99"/>
    <w:rPr>
      <w:rFonts w:ascii="Times New Roman" w:eastAsia="宋体" w:hAnsi="Times New Roman" w:cs="Times New Roman" w:hint="default"/>
      <w:szCs w:val="21"/>
    </w:rPr>
  </w:style>
  <w:style w:type="character" w:customStyle="1" w:styleId="622">
    <w:name w:val="622"/>
    <w:basedOn w:val="793"/>
    <w:uiPriority w:val="99"/>
    <w:rPr>
      <w:rFonts w:ascii="Times New Roman" w:eastAsia="宋体" w:hAnsi="Times New Roman" w:cs="Times New Roman" w:hint="default"/>
      <w:szCs w:val="21"/>
    </w:rPr>
  </w:style>
  <w:style w:type="character" w:customStyle="1" w:styleId="618">
    <w:name w:val="618"/>
    <w:basedOn w:val="793"/>
    <w:qFormat/>
    <w:rPr>
      <w:kern w:val="2"/>
      <w:sz w:val="21"/>
      <w:szCs w:val="24"/>
    </w:rPr>
  </w:style>
  <w:style w:type="character" w:customStyle="1" w:styleId="615">
    <w:name w:val="615"/>
    <w:basedOn w:val="793"/>
    <w:uiPriority w:val="99"/>
    <w:semiHidden/>
    <w:rPr>
      <w:rFonts w:ascii="宋体" w:eastAsia="宋体" w:hAnsi="宋体" w:hint="eastAsia"/>
      <w:kern w:val="2"/>
      <w:sz w:val="18"/>
      <w:szCs w:val="18"/>
    </w:rPr>
  </w:style>
  <w:style w:type="character" w:customStyle="1" w:styleId="6140">
    <w:name w:val="614"/>
    <w:basedOn w:val="793"/>
    <w:uiPriority w:val="99"/>
    <w:rPr>
      <w:color w:val="auto"/>
    </w:rPr>
  </w:style>
  <w:style w:type="character" w:customStyle="1" w:styleId="6120">
    <w:name w:val="612"/>
    <w:basedOn w:val="793"/>
    <w:uiPriority w:val="10"/>
    <w:rPr>
      <w:rFonts w:ascii="Cambria" w:hAnsi="Cambria" w:cs="Times New Roman" w:hint="default"/>
      <w:b/>
      <w:kern w:val="2"/>
      <w:sz w:val="32"/>
      <w:szCs w:val="32"/>
    </w:rPr>
  </w:style>
  <w:style w:type="character" w:customStyle="1" w:styleId="604">
    <w:name w:val="604"/>
    <w:basedOn w:val="793"/>
    <w:uiPriority w:val="9"/>
    <w:rPr>
      <w:rFonts w:ascii="Cambria" w:hAnsi="Cambria" w:cs="Times New Roman" w:hint="default"/>
      <w:b/>
      <w:sz w:val="21"/>
      <w:szCs w:val="24"/>
    </w:rPr>
  </w:style>
  <w:style w:type="character" w:customStyle="1" w:styleId="601">
    <w:name w:val="601"/>
    <w:basedOn w:val="793"/>
    <w:uiPriority w:val="99"/>
    <w:semiHidden/>
    <w:rPr>
      <w:rFonts w:ascii="宋体" w:eastAsia="宋体" w:hAnsi="宋体" w:cs="宋体" w:hint="eastAsia"/>
      <w:sz w:val="21"/>
      <w:szCs w:val="24"/>
    </w:rPr>
  </w:style>
  <w:style w:type="character" w:customStyle="1" w:styleId="6000">
    <w:name w:val="600"/>
    <w:basedOn w:val="793"/>
    <w:uiPriority w:val="99"/>
    <w:semiHidden/>
    <w:rPr>
      <w:vertAlign w:val="superscript"/>
    </w:rPr>
  </w:style>
  <w:style w:type="character" w:customStyle="1" w:styleId="599">
    <w:name w:val="599"/>
    <w:basedOn w:val="642"/>
    <w:uiPriority w:val="99"/>
    <w:semiHidden/>
    <w:rPr>
      <w:rFonts w:ascii="Times New Roman" w:eastAsia="宋体" w:hAnsi="Times New Roman" w:cs="Times New Roman" w:hint="default"/>
      <w:b/>
      <w:szCs w:val="21"/>
    </w:rPr>
  </w:style>
  <w:style w:type="character" w:customStyle="1" w:styleId="598">
    <w:name w:val="598"/>
    <w:basedOn w:val="642"/>
    <w:uiPriority w:val="99"/>
    <w:semiHidden/>
    <w:rPr>
      <w:rFonts w:ascii="Times New Roman" w:eastAsia="宋体" w:hAnsi="Times New Roman" w:cs="Times New Roman" w:hint="default"/>
      <w:b/>
      <w:szCs w:val="21"/>
    </w:rPr>
  </w:style>
  <w:style w:type="character" w:customStyle="1" w:styleId="597">
    <w:name w:val="597"/>
    <w:basedOn w:val="793"/>
    <w:uiPriority w:val="9"/>
    <w:rPr>
      <w:rFonts w:ascii="宋体" w:eastAsia="宋体" w:hAnsi="宋体" w:cs="宋体" w:hint="eastAsia"/>
      <w:b/>
      <w:sz w:val="24"/>
      <w:szCs w:val="24"/>
    </w:rPr>
  </w:style>
  <w:style w:type="character" w:customStyle="1" w:styleId="589">
    <w:name w:val="589"/>
    <w:qFormat/>
    <w:rPr>
      <w:rFonts w:ascii="Times New Roman" w:hAnsi="Times New Roman" w:cs="Times New Roman" w:hint="default"/>
      <w:kern w:val="2"/>
      <w:sz w:val="21"/>
      <w:szCs w:val="21"/>
    </w:rPr>
  </w:style>
  <w:style w:type="character" w:customStyle="1" w:styleId="587">
    <w:name w:val="587"/>
    <w:rPr>
      <w:rFonts w:ascii="Times New Roman" w:hAnsi="Times New Roman" w:cs="Times New Roman" w:hint="default"/>
      <w:kern w:val="2"/>
      <w:sz w:val="21"/>
      <w:szCs w:val="21"/>
    </w:rPr>
  </w:style>
  <w:style w:type="character" w:customStyle="1" w:styleId="583">
    <w:name w:val="583"/>
    <w:basedOn w:val="793"/>
    <w:uiPriority w:val="99"/>
    <w:rPr>
      <w:rFonts w:ascii="Calibri" w:eastAsia="宋体" w:hAnsi="Calibri" w:cs="Times New Roman" w:hint="default"/>
      <w:sz w:val="18"/>
      <w:szCs w:val="18"/>
    </w:rPr>
  </w:style>
  <w:style w:type="character" w:customStyle="1" w:styleId="581">
    <w:name w:val="581"/>
    <w:basedOn w:val="793"/>
    <w:uiPriority w:val="99"/>
    <w:rPr>
      <w:rFonts w:ascii="Times New Roman" w:eastAsia="宋体" w:hAnsi="Times New Roman" w:cs="Times New Roman" w:hint="default"/>
      <w:szCs w:val="21"/>
    </w:rPr>
  </w:style>
  <w:style w:type="character" w:customStyle="1" w:styleId="579">
    <w:name w:val="579"/>
    <w:basedOn w:val="780"/>
    <w:uiPriority w:val="99"/>
    <w:rPr>
      <w:rFonts w:ascii="Calibri" w:eastAsia="宋体" w:hAnsi="Calibri" w:cs="Times New Roman" w:hint="default"/>
      <w:b/>
      <w:szCs w:val="21"/>
    </w:rPr>
  </w:style>
  <w:style w:type="character" w:customStyle="1" w:styleId="576">
    <w:name w:val="576"/>
    <w:basedOn w:val="793"/>
    <w:uiPriority w:val="99"/>
    <w:rPr>
      <w:rFonts w:ascii="Calibri" w:eastAsia="宋体" w:hAnsi="Calibri" w:cs="Times New Roman" w:hint="default"/>
      <w:sz w:val="18"/>
      <w:szCs w:val="18"/>
    </w:rPr>
  </w:style>
  <w:style w:type="character" w:customStyle="1" w:styleId="574">
    <w:name w:val="574"/>
    <w:basedOn w:val="793"/>
    <w:uiPriority w:val="99"/>
    <w:rPr>
      <w:rFonts w:ascii="Calibri" w:eastAsia="宋体" w:hAnsi="Calibri" w:cs="Times New Roman" w:hint="default"/>
      <w:sz w:val="18"/>
      <w:szCs w:val="18"/>
    </w:rPr>
  </w:style>
  <w:style w:type="character" w:customStyle="1" w:styleId="572">
    <w:name w:val="572"/>
    <w:basedOn w:val="793"/>
    <w:rPr>
      <w:rFonts w:ascii="宋体" w:eastAsia="宋体" w:hAnsi="Courier New" w:cs="Times New Roman" w:hint="eastAsia"/>
      <w:szCs w:val="20"/>
    </w:rPr>
  </w:style>
  <w:style w:type="character" w:customStyle="1" w:styleId="570">
    <w:name w:val="570"/>
    <w:basedOn w:val="793"/>
    <w:uiPriority w:val="99"/>
    <w:rPr>
      <w:rFonts w:ascii="Times New Roman" w:eastAsia="宋体" w:hAnsi="Times New Roman" w:cs="Times New Roman" w:hint="default"/>
      <w:szCs w:val="21"/>
    </w:rPr>
  </w:style>
  <w:style w:type="character" w:customStyle="1" w:styleId="568">
    <w:name w:val="568"/>
    <w:basedOn w:val="793"/>
    <w:uiPriority w:val="99"/>
    <w:rPr>
      <w:rFonts w:ascii="Times New Roman" w:eastAsia="宋体" w:hAnsi="Times New Roman" w:cs="Times New Roman" w:hint="default"/>
      <w:szCs w:val="21"/>
    </w:rPr>
  </w:style>
  <w:style w:type="character" w:customStyle="1" w:styleId="566">
    <w:name w:val="566"/>
    <w:basedOn w:val="793"/>
    <w:uiPriority w:val="99"/>
    <w:rPr>
      <w:rFonts w:ascii="Times New Roman" w:eastAsia="宋体" w:hAnsi="Times New Roman" w:cs="Times New Roman" w:hint="default"/>
      <w:szCs w:val="21"/>
    </w:rPr>
  </w:style>
  <w:style w:type="character" w:customStyle="1" w:styleId="563">
    <w:name w:val="563"/>
    <w:basedOn w:val="793"/>
    <w:qFormat/>
    <w:rPr>
      <w:kern w:val="2"/>
      <w:sz w:val="21"/>
      <w:szCs w:val="24"/>
    </w:rPr>
  </w:style>
  <w:style w:type="character" w:customStyle="1" w:styleId="560">
    <w:name w:val="560"/>
    <w:basedOn w:val="793"/>
    <w:uiPriority w:val="99"/>
    <w:semiHidden/>
    <w:rPr>
      <w:rFonts w:ascii="宋体" w:eastAsia="宋体" w:hAnsi="宋体" w:hint="eastAsia"/>
      <w:kern w:val="2"/>
      <w:sz w:val="18"/>
      <w:szCs w:val="18"/>
    </w:rPr>
  </w:style>
  <w:style w:type="character" w:customStyle="1" w:styleId="559">
    <w:name w:val="559"/>
    <w:basedOn w:val="793"/>
    <w:uiPriority w:val="99"/>
    <w:rPr>
      <w:color w:val="auto"/>
    </w:rPr>
  </w:style>
  <w:style w:type="character" w:customStyle="1" w:styleId="556">
    <w:name w:val="556"/>
    <w:basedOn w:val="793"/>
    <w:uiPriority w:val="10"/>
    <w:rPr>
      <w:rFonts w:ascii="Cambria" w:hAnsi="Cambria" w:cs="Times New Roman" w:hint="default"/>
      <w:b/>
      <w:kern w:val="2"/>
      <w:sz w:val="32"/>
      <w:szCs w:val="32"/>
    </w:rPr>
  </w:style>
  <w:style w:type="character" w:customStyle="1" w:styleId="552">
    <w:name w:val="552"/>
    <w:basedOn w:val="793"/>
    <w:uiPriority w:val="99"/>
    <w:semiHidden/>
    <w:rPr>
      <w:rFonts w:ascii="宋体" w:eastAsia="宋体" w:hAnsi="宋体" w:cs="宋体" w:hint="eastAsia"/>
      <w:sz w:val="21"/>
      <w:szCs w:val="24"/>
    </w:rPr>
  </w:style>
  <w:style w:type="character" w:customStyle="1" w:styleId="551">
    <w:name w:val="551"/>
    <w:basedOn w:val="793"/>
    <w:uiPriority w:val="99"/>
    <w:semiHidden/>
    <w:rPr>
      <w:vertAlign w:val="superscript"/>
    </w:rPr>
  </w:style>
  <w:style w:type="character" w:customStyle="1" w:styleId="550">
    <w:name w:val="550"/>
    <w:basedOn w:val="780"/>
    <w:uiPriority w:val="99"/>
    <w:semiHidden/>
    <w:rPr>
      <w:rFonts w:ascii="Times New Roman" w:eastAsia="宋体" w:hAnsi="Times New Roman" w:cs="Times New Roman" w:hint="default"/>
      <w:b/>
      <w:szCs w:val="21"/>
    </w:rPr>
  </w:style>
  <w:style w:type="character" w:customStyle="1" w:styleId="549">
    <w:name w:val="549"/>
    <w:basedOn w:val="780"/>
    <w:uiPriority w:val="99"/>
    <w:semiHidden/>
    <w:rPr>
      <w:rFonts w:ascii="Times New Roman" w:eastAsia="宋体" w:hAnsi="Times New Roman" w:cs="Times New Roman" w:hint="default"/>
      <w:b/>
      <w:szCs w:val="21"/>
    </w:rPr>
  </w:style>
  <w:style w:type="character" w:customStyle="1" w:styleId="542">
    <w:name w:val="542"/>
    <w:uiPriority w:val="99"/>
    <w:qFormat/>
    <w:rPr>
      <w:rFonts w:ascii="Times New Roman" w:hAnsi="Times New Roman" w:cs="Times New Roman" w:hint="default"/>
      <w:kern w:val="2"/>
      <w:sz w:val="21"/>
      <w:szCs w:val="21"/>
    </w:rPr>
  </w:style>
  <w:style w:type="character" w:customStyle="1" w:styleId="539">
    <w:name w:val="539"/>
    <w:rPr>
      <w:rFonts w:ascii="Times New Roman" w:hAnsi="Times New Roman" w:cs="Times New Roman" w:hint="default"/>
      <w:kern w:val="2"/>
      <w:sz w:val="21"/>
      <w:szCs w:val="21"/>
    </w:rPr>
  </w:style>
  <w:style w:type="character" w:customStyle="1" w:styleId="538">
    <w:name w:val="538"/>
    <w:basedOn w:val="793"/>
    <w:uiPriority w:val="22"/>
    <w:qFormat/>
    <w:rPr>
      <w:b/>
    </w:rPr>
  </w:style>
  <w:style w:type="character" w:customStyle="1" w:styleId="537">
    <w:name w:val="537"/>
    <w:uiPriority w:val="99"/>
    <w:rPr>
      <w:rFonts w:ascii="Times New Roman" w:hAnsi="Times New Roman" w:cs="Times New Roman" w:hint="default"/>
      <w:kern w:val="2"/>
      <w:sz w:val="21"/>
      <w:szCs w:val="21"/>
    </w:rPr>
  </w:style>
  <w:style w:type="character" w:customStyle="1" w:styleId="528">
    <w:name w:val="528"/>
    <w:basedOn w:val="793"/>
    <w:semiHidden/>
    <w:rPr>
      <w:rFonts w:ascii="Arial" w:hAnsi="Arial" w:cs="Times New Roman" w:hint="default"/>
      <w:b/>
      <w:kern w:val="2"/>
    </w:rPr>
  </w:style>
  <w:style w:type="character" w:customStyle="1" w:styleId="527">
    <w:name w:val="527"/>
    <w:basedOn w:val="793"/>
    <w:uiPriority w:val="1"/>
    <w:qFormat/>
    <w:rPr>
      <w:kern w:val="2"/>
      <w:szCs w:val="22"/>
    </w:rPr>
  </w:style>
  <w:style w:type="character" w:customStyle="1" w:styleId="526">
    <w:name w:val="526"/>
    <w:basedOn w:val="793"/>
    <w:uiPriority w:val="99"/>
    <w:rPr>
      <w:sz w:val="24"/>
    </w:rPr>
  </w:style>
  <w:style w:type="character" w:customStyle="1" w:styleId="488">
    <w:name w:val="488"/>
    <w:basedOn w:val="793"/>
    <w:qFormat/>
    <w:rPr>
      <w:b/>
    </w:rPr>
  </w:style>
  <w:style w:type="character" w:customStyle="1" w:styleId="487">
    <w:name w:val="487"/>
    <w:basedOn w:val="793"/>
    <w:qFormat/>
    <w:rPr>
      <w:vertAlign w:val="superscript"/>
    </w:rPr>
  </w:style>
  <w:style w:type="character" w:customStyle="1" w:styleId="485">
    <w:name w:val="485"/>
    <w:basedOn w:val="793"/>
    <w:qFormat/>
    <w:rPr>
      <w:rFonts w:ascii="Times New Roman" w:hAnsi="Times New Roman" w:cs="Times New Roman" w:hint="default"/>
      <w:color w:val="0000FF"/>
      <w:u w:val="single"/>
    </w:rPr>
  </w:style>
  <w:style w:type="character" w:customStyle="1" w:styleId="484">
    <w:name w:val="484"/>
    <w:basedOn w:val="793"/>
    <w:qFormat/>
    <w:rPr>
      <w:rFonts w:ascii="宋体" w:eastAsia="宋体" w:hAnsi="宋体" w:cs="Times New Roman" w:hint="eastAsia"/>
      <w:kern w:val="2"/>
      <w:sz w:val="21"/>
      <w:szCs w:val="21"/>
      <w:lang w:val="en-US" w:eastAsia="zh-CN" w:bidi="ar-SA"/>
    </w:rPr>
  </w:style>
  <w:style w:type="character" w:customStyle="1" w:styleId="481">
    <w:name w:val="481"/>
    <w:basedOn w:val="793"/>
    <w:uiPriority w:val="99"/>
    <w:qFormat/>
    <w:rPr>
      <w:rFonts w:ascii="黑体" w:eastAsia="黑体" w:hAnsi="黑体" w:hint="eastAsia"/>
      <w:b/>
      <w:kern w:val="44"/>
      <w:sz w:val="28"/>
      <w:szCs w:val="44"/>
    </w:rPr>
  </w:style>
  <w:style w:type="character" w:customStyle="1" w:styleId="480">
    <w:name w:val="480"/>
    <w:basedOn w:val="793"/>
    <w:qFormat/>
    <w:rPr>
      <w:rFonts w:ascii="Arial" w:hAnsi="Arial" w:cs="Arial" w:hint="default"/>
      <w:b/>
      <w:kern w:val="2"/>
      <w:sz w:val="21"/>
      <w:szCs w:val="21"/>
    </w:rPr>
  </w:style>
  <w:style w:type="character" w:customStyle="1" w:styleId="479">
    <w:name w:val="479"/>
    <w:basedOn w:val="793"/>
    <w:uiPriority w:val="9"/>
    <w:qFormat/>
    <w:rPr>
      <w:b/>
      <w:kern w:val="2"/>
      <w:sz w:val="21"/>
      <w:szCs w:val="32"/>
    </w:rPr>
  </w:style>
  <w:style w:type="character" w:customStyle="1" w:styleId="478">
    <w:name w:val="478"/>
    <w:basedOn w:val="793"/>
    <w:qFormat/>
    <w:rPr>
      <w:rFonts w:ascii="Cambria" w:hAnsi="Cambria" w:hint="default"/>
      <w:b/>
      <w:kern w:val="2"/>
      <w:sz w:val="21"/>
      <w:szCs w:val="28"/>
    </w:rPr>
  </w:style>
  <w:style w:type="character" w:customStyle="1" w:styleId="477">
    <w:name w:val="477"/>
    <w:basedOn w:val="793"/>
    <w:uiPriority w:val="9"/>
    <w:qFormat/>
    <w:rPr>
      <w:b/>
      <w:kern w:val="2"/>
      <w:sz w:val="21"/>
      <w:szCs w:val="28"/>
    </w:rPr>
  </w:style>
  <w:style w:type="character" w:customStyle="1" w:styleId="475">
    <w:name w:val="475"/>
    <w:basedOn w:val="793"/>
    <w:qFormat/>
    <w:rPr>
      <w:rFonts w:ascii="Times New Roman" w:eastAsia="宋体" w:hAnsi="Times New Roman" w:cs="Times New Roman" w:hint="default"/>
      <w:szCs w:val="21"/>
    </w:rPr>
  </w:style>
  <w:style w:type="character" w:customStyle="1" w:styleId="474">
    <w:name w:val="474"/>
    <w:basedOn w:val="793"/>
    <w:uiPriority w:val="99"/>
    <w:qFormat/>
    <w:rPr>
      <w:rFonts w:ascii="Calibri" w:eastAsia="宋体" w:hAnsi="Calibri" w:cs="Times New Roman" w:hint="default"/>
      <w:sz w:val="18"/>
      <w:szCs w:val="18"/>
    </w:rPr>
  </w:style>
  <w:style w:type="character" w:customStyle="1" w:styleId="473">
    <w:name w:val="473"/>
    <w:basedOn w:val="793"/>
    <w:uiPriority w:val="99"/>
    <w:qFormat/>
    <w:rPr>
      <w:rFonts w:ascii="Times New Roman" w:eastAsia="宋体" w:hAnsi="Times New Roman" w:cs="Times New Roman" w:hint="default"/>
      <w:szCs w:val="21"/>
    </w:rPr>
  </w:style>
  <w:style w:type="character" w:customStyle="1" w:styleId="471">
    <w:name w:val="471"/>
    <w:basedOn w:val="475"/>
    <w:uiPriority w:val="99"/>
    <w:qFormat/>
    <w:rPr>
      <w:rFonts w:ascii="Calibri" w:eastAsia="宋体" w:hAnsi="Calibri" w:cs="Times New Roman" w:hint="default"/>
      <w:b/>
      <w:szCs w:val="21"/>
    </w:rPr>
  </w:style>
  <w:style w:type="character" w:customStyle="1" w:styleId="470">
    <w:name w:val="470"/>
    <w:basedOn w:val="793"/>
    <w:uiPriority w:val="99"/>
    <w:qFormat/>
    <w:rPr>
      <w:rFonts w:ascii="Calibri" w:eastAsia="宋体" w:hAnsi="Calibri" w:cs="Times New Roman" w:hint="default"/>
      <w:sz w:val="18"/>
      <w:szCs w:val="18"/>
    </w:rPr>
  </w:style>
  <w:style w:type="character" w:customStyle="1" w:styleId="469">
    <w:name w:val="469"/>
    <w:basedOn w:val="793"/>
    <w:uiPriority w:val="99"/>
    <w:qFormat/>
    <w:rPr>
      <w:rFonts w:ascii="Calibri" w:eastAsia="宋体" w:hAnsi="Calibri" w:cs="Times New Roman" w:hint="default"/>
      <w:sz w:val="18"/>
      <w:szCs w:val="18"/>
    </w:rPr>
  </w:style>
  <w:style w:type="character" w:customStyle="1" w:styleId="468">
    <w:name w:val="468"/>
    <w:basedOn w:val="793"/>
    <w:qFormat/>
    <w:rPr>
      <w:rFonts w:ascii="宋体" w:eastAsia="宋体" w:hAnsi="Courier New" w:cs="Times New Roman" w:hint="eastAsia"/>
      <w:szCs w:val="20"/>
    </w:rPr>
  </w:style>
  <w:style w:type="character" w:customStyle="1" w:styleId="467">
    <w:name w:val="467"/>
    <w:basedOn w:val="793"/>
    <w:uiPriority w:val="99"/>
    <w:qFormat/>
    <w:rPr>
      <w:rFonts w:ascii="Times New Roman" w:eastAsia="宋体" w:hAnsi="Times New Roman" w:cs="Times New Roman" w:hint="default"/>
      <w:szCs w:val="21"/>
    </w:rPr>
  </w:style>
  <w:style w:type="character" w:customStyle="1" w:styleId="466">
    <w:name w:val="466"/>
    <w:basedOn w:val="793"/>
    <w:uiPriority w:val="99"/>
    <w:qFormat/>
    <w:rPr>
      <w:rFonts w:ascii="Times New Roman" w:eastAsia="宋体" w:hAnsi="Times New Roman" w:cs="Times New Roman" w:hint="default"/>
      <w:szCs w:val="21"/>
    </w:rPr>
  </w:style>
  <w:style w:type="character" w:customStyle="1" w:styleId="465">
    <w:name w:val="465"/>
    <w:basedOn w:val="793"/>
    <w:uiPriority w:val="99"/>
    <w:qFormat/>
    <w:rPr>
      <w:rFonts w:ascii="Times New Roman" w:eastAsia="宋体" w:hAnsi="Times New Roman" w:cs="Times New Roman" w:hint="default"/>
      <w:szCs w:val="21"/>
    </w:rPr>
  </w:style>
  <w:style w:type="character" w:customStyle="1" w:styleId="462">
    <w:name w:val="462"/>
    <w:basedOn w:val="793"/>
    <w:qFormat/>
    <w:rPr>
      <w:kern w:val="2"/>
      <w:sz w:val="21"/>
      <w:szCs w:val="24"/>
    </w:rPr>
  </w:style>
  <w:style w:type="character" w:customStyle="1" w:styleId="460">
    <w:name w:val="460"/>
    <w:basedOn w:val="793"/>
    <w:uiPriority w:val="99"/>
    <w:semiHidden/>
    <w:qFormat/>
    <w:rPr>
      <w:rFonts w:ascii="宋体" w:eastAsia="宋体" w:hAnsi="宋体" w:hint="eastAsia"/>
      <w:kern w:val="2"/>
      <w:sz w:val="18"/>
      <w:szCs w:val="18"/>
    </w:rPr>
  </w:style>
  <w:style w:type="character" w:customStyle="1" w:styleId="459">
    <w:name w:val="459"/>
    <w:basedOn w:val="793"/>
    <w:uiPriority w:val="99"/>
    <w:qFormat/>
    <w:rPr>
      <w:color w:val="auto"/>
    </w:rPr>
  </w:style>
  <w:style w:type="character" w:customStyle="1" w:styleId="458">
    <w:name w:val="458"/>
    <w:basedOn w:val="793"/>
    <w:uiPriority w:val="10"/>
    <w:qFormat/>
    <w:rPr>
      <w:rFonts w:ascii="Cambria" w:hAnsi="Cambria" w:cs="Times New Roman" w:hint="default"/>
      <w:b/>
      <w:kern w:val="2"/>
      <w:sz w:val="32"/>
      <w:szCs w:val="32"/>
    </w:rPr>
  </w:style>
  <w:style w:type="character" w:customStyle="1" w:styleId="456">
    <w:name w:val="456"/>
    <w:basedOn w:val="793"/>
    <w:uiPriority w:val="9"/>
    <w:qFormat/>
    <w:rPr>
      <w:rFonts w:ascii="Cambria" w:hAnsi="Cambria" w:cs="Times New Roman" w:hint="default"/>
      <w:b/>
      <w:sz w:val="21"/>
      <w:szCs w:val="24"/>
    </w:rPr>
  </w:style>
  <w:style w:type="character" w:customStyle="1" w:styleId="455">
    <w:name w:val="455"/>
    <w:basedOn w:val="793"/>
    <w:uiPriority w:val="99"/>
    <w:semiHidden/>
    <w:qFormat/>
    <w:rPr>
      <w:rFonts w:ascii="宋体" w:eastAsia="宋体" w:hAnsi="宋体" w:cs="宋体" w:hint="eastAsia"/>
      <w:sz w:val="21"/>
      <w:szCs w:val="24"/>
    </w:rPr>
  </w:style>
  <w:style w:type="character" w:customStyle="1" w:styleId="454">
    <w:name w:val="454"/>
    <w:basedOn w:val="475"/>
    <w:uiPriority w:val="99"/>
    <w:semiHidden/>
    <w:qFormat/>
    <w:rPr>
      <w:rFonts w:ascii="Times New Roman" w:eastAsia="宋体" w:hAnsi="Times New Roman" w:cs="Times New Roman" w:hint="default"/>
      <w:b/>
      <w:szCs w:val="21"/>
    </w:rPr>
  </w:style>
  <w:style w:type="character" w:customStyle="1" w:styleId="450">
    <w:name w:val="450"/>
    <w:basedOn w:val="793"/>
    <w:qFormat/>
    <w:rPr>
      <w:rFonts w:ascii="Times New Roman" w:hAnsi="Times New Roman" w:cs="Times New Roman" w:hint="default"/>
      <w:b/>
      <w:kern w:val="2"/>
      <w:sz w:val="21"/>
      <w:szCs w:val="24"/>
    </w:rPr>
  </w:style>
  <w:style w:type="character" w:customStyle="1" w:styleId="449">
    <w:name w:val="449"/>
    <w:basedOn w:val="475"/>
    <w:uiPriority w:val="99"/>
    <w:semiHidden/>
    <w:qFormat/>
    <w:rPr>
      <w:rFonts w:ascii="Times New Roman" w:eastAsia="宋体" w:hAnsi="Times New Roman" w:cs="Times New Roman" w:hint="default"/>
      <w:b/>
      <w:szCs w:val="21"/>
    </w:rPr>
  </w:style>
  <w:style w:type="character" w:customStyle="1" w:styleId="448">
    <w:name w:val="448"/>
    <w:basedOn w:val="793"/>
    <w:uiPriority w:val="9"/>
    <w:qFormat/>
    <w:rPr>
      <w:rFonts w:ascii="宋体" w:eastAsia="宋体" w:hAnsi="宋体" w:cs="宋体" w:hint="eastAsia"/>
      <w:b/>
      <w:sz w:val="24"/>
      <w:szCs w:val="24"/>
    </w:rPr>
  </w:style>
  <w:style w:type="character" w:customStyle="1" w:styleId="447">
    <w:name w:val="447"/>
    <w:uiPriority w:val="9"/>
    <w:qFormat/>
    <w:rPr>
      <w:rFonts w:ascii="Cambria" w:hAnsi="Cambria" w:hint="default"/>
      <w:b/>
      <w:kern w:val="2"/>
      <w:sz w:val="21"/>
      <w:szCs w:val="28"/>
    </w:rPr>
  </w:style>
  <w:style w:type="character" w:customStyle="1" w:styleId="444">
    <w:name w:val="444"/>
    <w:uiPriority w:val="9"/>
    <w:qFormat/>
    <w:rPr>
      <w:b/>
      <w:kern w:val="2"/>
      <w:sz w:val="21"/>
      <w:szCs w:val="32"/>
    </w:rPr>
  </w:style>
  <w:style w:type="character" w:customStyle="1" w:styleId="441">
    <w:name w:val="441"/>
    <w:uiPriority w:val="99"/>
    <w:qFormat/>
    <w:rPr>
      <w:rFonts w:ascii="Times New Roman" w:hAnsi="Times New Roman" w:cs="Times New Roman" w:hint="default"/>
      <w:kern w:val="2"/>
      <w:sz w:val="21"/>
      <w:szCs w:val="21"/>
    </w:rPr>
  </w:style>
  <w:style w:type="character" w:customStyle="1" w:styleId="439">
    <w:name w:val="439"/>
    <w:uiPriority w:val="9"/>
    <w:qFormat/>
    <w:rPr>
      <w:b/>
      <w:kern w:val="2"/>
      <w:sz w:val="21"/>
      <w:szCs w:val="28"/>
    </w:rPr>
  </w:style>
  <w:style w:type="character" w:customStyle="1" w:styleId="437">
    <w:name w:val="437"/>
    <w:uiPriority w:val="9"/>
    <w:qFormat/>
    <w:rPr>
      <w:b/>
      <w:kern w:val="2"/>
      <w:sz w:val="21"/>
      <w:szCs w:val="32"/>
    </w:rPr>
  </w:style>
  <w:style w:type="character" w:customStyle="1" w:styleId="436">
    <w:name w:val="436"/>
    <w:qFormat/>
    <w:rPr>
      <w:rFonts w:ascii="Arial" w:hAnsi="Arial" w:cs="Arial" w:hint="default"/>
      <w:b/>
      <w:kern w:val="2"/>
      <w:sz w:val="21"/>
      <w:szCs w:val="21"/>
    </w:rPr>
  </w:style>
  <w:style w:type="character" w:customStyle="1" w:styleId="435">
    <w:name w:val="435"/>
    <w:uiPriority w:val="9"/>
    <w:qFormat/>
    <w:rPr>
      <w:rFonts w:ascii="Cambria" w:hAnsi="Cambria" w:hint="default"/>
      <w:b/>
      <w:kern w:val="2"/>
      <w:sz w:val="21"/>
      <w:szCs w:val="28"/>
    </w:rPr>
  </w:style>
  <w:style w:type="character" w:customStyle="1" w:styleId="434">
    <w:name w:val="434"/>
    <w:uiPriority w:val="9"/>
    <w:qFormat/>
    <w:rPr>
      <w:b/>
      <w:kern w:val="2"/>
      <w:sz w:val="21"/>
      <w:szCs w:val="28"/>
    </w:rPr>
  </w:style>
  <w:style w:type="character" w:customStyle="1" w:styleId="432">
    <w:name w:val="432"/>
    <w:qFormat/>
    <w:rPr>
      <w:rFonts w:ascii="Times New Roman" w:hAnsi="Times New Roman" w:cs="Times New Roman" w:hint="default"/>
      <w:kern w:val="2"/>
      <w:sz w:val="21"/>
      <w:szCs w:val="21"/>
    </w:rPr>
  </w:style>
  <w:style w:type="character" w:customStyle="1" w:styleId="4300">
    <w:name w:val="430"/>
    <w:basedOn w:val="793"/>
    <w:qFormat/>
    <w:rPr>
      <w:rFonts w:ascii="Arial" w:eastAsia="黑体" w:hAnsi="Arial" w:cs="Times New Roman" w:hint="default"/>
      <w:color w:val="000000"/>
      <w:sz w:val="24"/>
      <w:szCs w:val="20"/>
    </w:rPr>
  </w:style>
  <w:style w:type="character" w:customStyle="1" w:styleId="429">
    <w:name w:val="429"/>
    <w:basedOn w:val="793"/>
    <w:qFormat/>
    <w:rPr>
      <w:rFonts w:ascii="Arial" w:eastAsia="黑体" w:hAnsi="Arial" w:cs="Times New Roman" w:hint="default"/>
      <w:color w:val="000000"/>
      <w:sz w:val="24"/>
      <w:szCs w:val="20"/>
    </w:rPr>
  </w:style>
  <w:style w:type="character" w:customStyle="1" w:styleId="425">
    <w:name w:val="425"/>
    <w:basedOn w:val="793"/>
    <w:qFormat/>
    <w:rPr>
      <w:b/>
      <w:sz w:val="24"/>
      <w:szCs w:val="24"/>
    </w:rPr>
  </w:style>
  <w:style w:type="character" w:customStyle="1" w:styleId="424">
    <w:name w:val="424"/>
    <w:qFormat/>
    <w:rPr>
      <w:rFonts w:ascii="宋体" w:eastAsia="宋体" w:hAnsi="宋体" w:hint="eastAsia"/>
      <w:color w:val="000000"/>
      <w:sz w:val="24"/>
      <w:szCs w:val="24"/>
    </w:rPr>
  </w:style>
  <w:style w:type="character" w:customStyle="1" w:styleId="423">
    <w:name w:val="423"/>
    <w:uiPriority w:val="99"/>
    <w:qFormat/>
    <w:rPr>
      <w:rFonts w:ascii="Times New Roman" w:hAnsi="Times New Roman" w:cs="Times New Roman" w:hint="default"/>
      <w:kern w:val="2"/>
      <w:sz w:val="21"/>
      <w:szCs w:val="21"/>
    </w:rPr>
  </w:style>
  <w:style w:type="character" w:customStyle="1" w:styleId="422">
    <w:name w:val="422"/>
    <w:qFormat/>
    <w:rPr>
      <w:rFonts w:ascii="FZLTSK--GBK1-0" w:hAnsi="FZLTSK--GBK1-0" w:hint="default"/>
      <w:bCs/>
      <w:color w:val="000000"/>
      <w:sz w:val="20"/>
      <w:szCs w:val="20"/>
    </w:rPr>
  </w:style>
  <w:style w:type="character" w:customStyle="1" w:styleId="409">
    <w:name w:val="409"/>
    <w:basedOn w:val="793"/>
    <w:qFormat/>
    <w:rPr>
      <w:rFonts w:ascii="Times New Roman" w:hAnsi="Times New Roman" w:cs="Times New Roman" w:hint="default"/>
      <w:kern w:val="2"/>
    </w:rPr>
  </w:style>
  <w:style w:type="character" w:customStyle="1" w:styleId="408">
    <w:name w:val="408"/>
    <w:basedOn w:val="475"/>
    <w:uiPriority w:val="99"/>
    <w:semiHidden/>
    <w:qFormat/>
    <w:rPr>
      <w:rFonts w:ascii="Times New Roman" w:eastAsia="宋体" w:hAnsi="Times New Roman" w:cs="Times New Roman" w:hint="default"/>
      <w:b/>
      <w:color w:val="000000"/>
      <w:sz w:val="21"/>
      <w:szCs w:val="21"/>
    </w:rPr>
  </w:style>
  <w:style w:type="character" w:customStyle="1" w:styleId="402">
    <w:name w:val="402"/>
    <w:basedOn w:val="793"/>
    <w:uiPriority w:val="9"/>
    <w:qFormat/>
    <w:rPr>
      <w:rFonts w:ascii="Cambria" w:hAnsi="Cambria" w:hint="default"/>
      <w:b/>
      <w:kern w:val="2"/>
      <w:sz w:val="21"/>
      <w:szCs w:val="28"/>
    </w:rPr>
  </w:style>
  <w:style w:type="character" w:customStyle="1" w:styleId="400">
    <w:name w:val="400"/>
    <w:basedOn w:val="793"/>
    <w:uiPriority w:val="9"/>
    <w:qFormat/>
    <w:rPr>
      <w:b/>
      <w:kern w:val="2"/>
      <w:sz w:val="21"/>
      <w:szCs w:val="32"/>
    </w:rPr>
  </w:style>
  <w:style w:type="character" w:customStyle="1" w:styleId="391">
    <w:name w:val="391"/>
    <w:basedOn w:val="793"/>
    <w:semiHidden/>
    <w:qFormat/>
    <w:rPr>
      <w:rFonts w:ascii="Arial" w:hAnsi="Arial" w:cs="Times New Roman" w:hint="default"/>
      <w:b/>
      <w:kern w:val="2"/>
    </w:rPr>
  </w:style>
  <w:style w:type="character" w:customStyle="1" w:styleId="390">
    <w:name w:val="390"/>
    <w:basedOn w:val="793"/>
    <w:uiPriority w:val="1"/>
    <w:qFormat/>
    <w:rPr>
      <w:kern w:val="2"/>
      <w:szCs w:val="22"/>
    </w:rPr>
  </w:style>
  <w:style w:type="character" w:customStyle="1" w:styleId="389">
    <w:name w:val="389"/>
    <w:basedOn w:val="793"/>
    <w:uiPriority w:val="99"/>
    <w:qFormat/>
    <w:rPr>
      <w:sz w:val="24"/>
    </w:rPr>
  </w:style>
  <w:style w:type="character" w:customStyle="1" w:styleId="387">
    <w:name w:val="387"/>
    <w:basedOn w:val="793"/>
    <w:qFormat/>
    <w:rPr>
      <w:rFonts w:ascii="宋体" w:eastAsia="宋体" w:hAnsi="宋体" w:hint="eastAsia"/>
      <w:kern w:val="2"/>
      <w:szCs w:val="24"/>
    </w:rPr>
  </w:style>
  <w:style w:type="character" w:customStyle="1" w:styleId="380">
    <w:name w:val="380"/>
    <w:basedOn w:val="793"/>
    <w:uiPriority w:val="99"/>
    <w:qFormat/>
    <w:rPr>
      <w:rFonts w:ascii="黑体" w:eastAsia="黑体" w:hAnsi="黑体" w:hint="eastAsia"/>
      <w:b/>
      <w:kern w:val="44"/>
      <w:sz w:val="28"/>
      <w:szCs w:val="44"/>
    </w:rPr>
  </w:style>
  <w:style w:type="character" w:customStyle="1" w:styleId="379">
    <w:name w:val="379"/>
    <w:basedOn w:val="793"/>
    <w:qFormat/>
    <w:rPr>
      <w:rFonts w:ascii="Arial" w:hAnsi="Arial" w:cs="Arial" w:hint="default"/>
      <w:b/>
      <w:kern w:val="2"/>
      <w:sz w:val="21"/>
      <w:szCs w:val="21"/>
    </w:rPr>
  </w:style>
  <w:style w:type="character" w:customStyle="1" w:styleId="378">
    <w:name w:val="378"/>
    <w:basedOn w:val="793"/>
    <w:uiPriority w:val="9"/>
    <w:qFormat/>
    <w:rPr>
      <w:b/>
      <w:kern w:val="2"/>
      <w:sz w:val="21"/>
      <w:szCs w:val="32"/>
    </w:rPr>
  </w:style>
  <w:style w:type="character" w:customStyle="1" w:styleId="377">
    <w:name w:val="377"/>
    <w:basedOn w:val="793"/>
    <w:uiPriority w:val="9"/>
    <w:qFormat/>
    <w:rPr>
      <w:rFonts w:ascii="Cambria" w:hAnsi="Cambria" w:hint="default"/>
      <w:b/>
      <w:kern w:val="2"/>
      <w:sz w:val="21"/>
      <w:szCs w:val="28"/>
    </w:rPr>
  </w:style>
  <w:style w:type="character" w:customStyle="1" w:styleId="376">
    <w:name w:val="376"/>
    <w:basedOn w:val="793"/>
    <w:uiPriority w:val="9"/>
    <w:qFormat/>
    <w:rPr>
      <w:b/>
      <w:kern w:val="2"/>
      <w:sz w:val="21"/>
      <w:szCs w:val="28"/>
    </w:rPr>
  </w:style>
  <w:style w:type="character" w:customStyle="1" w:styleId="373">
    <w:name w:val="373"/>
    <w:basedOn w:val="793"/>
    <w:qFormat/>
    <w:rPr>
      <w:rFonts w:ascii="Times New Roman" w:eastAsia="宋体" w:hAnsi="Times New Roman" w:cs="Times New Roman" w:hint="default"/>
      <w:szCs w:val="21"/>
    </w:rPr>
  </w:style>
  <w:style w:type="character" w:customStyle="1" w:styleId="371">
    <w:name w:val="371"/>
    <w:basedOn w:val="793"/>
    <w:uiPriority w:val="99"/>
    <w:qFormat/>
    <w:rPr>
      <w:rFonts w:ascii="Calibri" w:eastAsia="宋体" w:hAnsi="Calibri" w:cs="Times New Roman" w:hint="default"/>
      <w:sz w:val="18"/>
      <w:szCs w:val="18"/>
    </w:rPr>
  </w:style>
  <w:style w:type="character" w:customStyle="1" w:styleId="370">
    <w:name w:val="370"/>
    <w:basedOn w:val="793"/>
    <w:uiPriority w:val="99"/>
    <w:qFormat/>
    <w:rPr>
      <w:rFonts w:ascii="Times New Roman" w:eastAsia="宋体" w:hAnsi="Times New Roman" w:cs="Times New Roman" w:hint="default"/>
      <w:szCs w:val="21"/>
    </w:rPr>
  </w:style>
  <w:style w:type="character" w:customStyle="1" w:styleId="368">
    <w:name w:val="368"/>
    <w:basedOn w:val="373"/>
    <w:uiPriority w:val="99"/>
    <w:qFormat/>
    <w:rPr>
      <w:rFonts w:ascii="Calibri" w:eastAsia="宋体" w:hAnsi="Calibri" w:cs="Times New Roman" w:hint="default"/>
      <w:b/>
      <w:szCs w:val="21"/>
    </w:rPr>
  </w:style>
  <w:style w:type="character" w:customStyle="1" w:styleId="366">
    <w:name w:val="366"/>
    <w:basedOn w:val="793"/>
    <w:uiPriority w:val="99"/>
    <w:qFormat/>
    <w:rPr>
      <w:rFonts w:ascii="Calibri" w:eastAsia="宋体" w:hAnsi="Calibri" w:cs="Times New Roman" w:hint="default"/>
      <w:sz w:val="18"/>
      <w:szCs w:val="18"/>
    </w:rPr>
  </w:style>
  <w:style w:type="character" w:customStyle="1" w:styleId="364">
    <w:name w:val="364"/>
    <w:basedOn w:val="793"/>
    <w:uiPriority w:val="99"/>
    <w:qFormat/>
    <w:rPr>
      <w:rFonts w:ascii="Calibri" w:eastAsia="宋体" w:hAnsi="Calibri" w:cs="Times New Roman" w:hint="default"/>
      <w:sz w:val="18"/>
      <w:szCs w:val="18"/>
    </w:rPr>
  </w:style>
  <w:style w:type="character" w:customStyle="1" w:styleId="362">
    <w:name w:val="362"/>
    <w:basedOn w:val="793"/>
    <w:qFormat/>
    <w:rPr>
      <w:rFonts w:ascii="宋体" w:eastAsia="宋体" w:hAnsi="Courier New" w:cs="Times New Roman" w:hint="eastAsia"/>
      <w:szCs w:val="20"/>
    </w:rPr>
  </w:style>
  <w:style w:type="character" w:customStyle="1" w:styleId="360">
    <w:name w:val="360"/>
    <w:basedOn w:val="793"/>
    <w:uiPriority w:val="99"/>
    <w:qFormat/>
    <w:rPr>
      <w:rFonts w:ascii="Times New Roman" w:eastAsia="宋体" w:hAnsi="Times New Roman" w:cs="Times New Roman" w:hint="default"/>
      <w:szCs w:val="21"/>
    </w:rPr>
  </w:style>
  <w:style w:type="character" w:customStyle="1" w:styleId="358">
    <w:name w:val="358"/>
    <w:basedOn w:val="793"/>
    <w:uiPriority w:val="99"/>
    <w:qFormat/>
    <w:rPr>
      <w:rFonts w:ascii="Times New Roman" w:eastAsia="宋体" w:hAnsi="Times New Roman" w:cs="Times New Roman" w:hint="default"/>
      <w:szCs w:val="21"/>
    </w:rPr>
  </w:style>
  <w:style w:type="character" w:customStyle="1" w:styleId="356">
    <w:name w:val="356"/>
    <w:basedOn w:val="793"/>
    <w:uiPriority w:val="99"/>
    <w:qFormat/>
    <w:rPr>
      <w:rFonts w:ascii="Times New Roman" w:eastAsia="宋体" w:hAnsi="Times New Roman" w:cs="Times New Roman" w:hint="default"/>
      <w:szCs w:val="21"/>
    </w:rPr>
  </w:style>
  <w:style w:type="character" w:customStyle="1" w:styleId="352a">
    <w:name w:val="352"/>
    <w:basedOn w:val="793"/>
    <w:qFormat/>
    <w:rPr>
      <w:kern w:val="2"/>
      <w:sz w:val="21"/>
      <w:szCs w:val="24"/>
    </w:rPr>
  </w:style>
  <w:style w:type="character" w:customStyle="1" w:styleId="349">
    <w:name w:val="349"/>
    <w:basedOn w:val="793"/>
    <w:uiPriority w:val="99"/>
    <w:semiHidden/>
    <w:qFormat/>
    <w:rPr>
      <w:rFonts w:ascii="宋体" w:eastAsia="宋体" w:hAnsi="宋体" w:hint="eastAsia"/>
      <w:kern w:val="2"/>
      <w:sz w:val="18"/>
      <w:szCs w:val="18"/>
    </w:rPr>
  </w:style>
  <w:style w:type="character" w:customStyle="1" w:styleId="348">
    <w:name w:val="348"/>
    <w:basedOn w:val="793"/>
    <w:uiPriority w:val="99"/>
    <w:qFormat/>
    <w:rPr>
      <w:color w:val="auto"/>
    </w:rPr>
  </w:style>
  <w:style w:type="character" w:customStyle="1" w:styleId="346">
    <w:name w:val="346"/>
    <w:basedOn w:val="793"/>
    <w:uiPriority w:val="10"/>
    <w:qFormat/>
    <w:rPr>
      <w:rFonts w:ascii="Cambria" w:hAnsi="Cambria" w:cs="Times New Roman" w:hint="default"/>
      <w:b/>
      <w:kern w:val="2"/>
      <w:sz w:val="32"/>
      <w:szCs w:val="32"/>
    </w:rPr>
  </w:style>
  <w:style w:type="character" w:customStyle="1" w:styleId="338">
    <w:name w:val="338"/>
    <w:basedOn w:val="793"/>
    <w:uiPriority w:val="9"/>
    <w:qFormat/>
    <w:rPr>
      <w:rFonts w:ascii="Cambria" w:hAnsi="Cambria" w:cs="Times New Roman" w:hint="default"/>
      <w:b/>
      <w:sz w:val="21"/>
      <w:szCs w:val="24"/>
    </w:rPr>
  </w:style>
  <w:style w:type="character" w:customStyle="1" w:styleId="335">
    <w:name w:val="335"/>
    <w:basedOn w:val="793"/>
    <w:uiPriority w:val="99"/>
    <w:semiHidden/>
    <w:qFormat/>
    <w:rPr>
      <w:rFonts w:ascii="宋体" w:eastAsia="宋体" w:hAnsi="宋体" w:cs="宋体" w:hint="eastAsia"/>
      <w:sz w:val="21"/>
      <w:szCs w:val="24"/>
    </w:rPr>
  </w:style>
  <w:style w:type="character" w:customStyle="1" w:styleId="334">
    <w:name w:val="334"/>
    <w:basedOn w:val="793"/>
    <w:uiPriority w:val="99"/>
    <w:semiHidden/>
    <w:qFormat/>
    <w:rPr>
      <w:vertAlign w:val="superscript"/>
    </w:rPr>
  </w:style>
  <w:style w:type="character" w:customStyle="1" w:styleId="333">
    <w:name w:val="333"/>
    <w:basedOn w:val="373"/>
    <w:uiPriority w:val="99"/>
    <w:semiHidden/>
    <w:qFormat/>
    <w:rPr>
      <w:rFonts w:ascii="Times New Roman" w:eastAsia="宋体" w:hAnsi="Times New Roman" w:cs="Times New Roman" w:hint="default"/>
      <w:b/>
      <w:szCs w:val="21"/>
    </w:rPr>
  </w:style>
  <w:style w:type="character" w:customStyle="1" w:styleId="332">
    <w:name w:val="332"/>
    <w:basedOn w:val="373"/>
    <w:uiPriority w:val="99"/>
    <w:semiHidden/>
    <w:qFormat/>
    <w:rPr>
      <w:rFonts w:ascii="Times New Roman" w:eastAsia="宋体" w:hAnsi="Times New Roman" w:cs="Times New Roman" w:hint="default"/>
      <w:b/>
      <w:szCs w:val="21"/>
    </w:rPr>
  </w:style>
  <w:style w:type="character" w:customStyle="1" w:styleId="331a">
    <w:name w:val="331"/>
    <w:basedOn w:val="793"/>
    <w:uiPriority w:val="9"/>
    <w:qFormat/>
    <w:rPr>
      <w:rFonts w:ascii="宋体" w:eastAsia="宋体" w:hAnsi="宋体" w:cs="宋体" w:hint="eastAsia"/>
      <w:b/>
      <w:sz w:val="24"/>
      <w:szCs w:val="24"/>
    </w:rPr>
  </w:style>
  <w:style w:type="character" w:customStyle="1" w:styleId="324">
    <w:name w:val="324"/>
    <w:uiPriority w:val="99"/>
    <w:qFormat/>
    <w:rPr>
      <w:rFonts w:ascii="Times New Roman" w:hAnsi="Times New Roman" w:cs="Times New Roman" w:hint="default"/>
      <w:kern w:val="2"/>
      <w:sz w:val="21"/>
      <w:szCs w:val="21"/>
    </w:rPr>
  </w:style>
  <w:style w:type="character" w:customStyle="1" w:styleId="322a">
    <w:name w:val="322"/>
    <w:qFormat/>
    <w:rPr>
      <w:rFonts w:ascii="Times New Roman" w:hAnsi="Times New Roman" w:cs="Times New Roman" w:hint="default"/>
      <w:kern w:val="2"/>
      <w:sz w:val="21"/>
      <w:szCs w:val="21"/>
    </w:rPr>
  </w:style>
  <w:style w:type="character" w:customStyle="1" w:styleId="320a">
    <w:name w:val="320"/>
    <w:qFormat/>
    <w:rPr>
      <w:rFonts w:ascii="Times New Roman" w:hAnsi="Times New Roman" w:cs="Times New Roman" w:hint="default"/>
      <w:kern w:val="2"/>
      <w:sz w:val="21"/>
      <w:szCs w:val="21"/>
    </w:rPr>
  </w:style>
  <w:style w:type="character" w:customStyle="1" w:styleId="316">
    <w:name w:val="316"/>
    <w:basedOn w:val="793"/>
    <w:uiPriority w:val="99"/>
    <w:qFormat/>
    <w:rPr>
      <w:rFonts w:ascii="Times New Roman" w:eastAsia="宋体" w:hAnsi="Times New Roman" w:cs="Times New Roman" w:hint="default"/>
      <w:szCs w:val="21"/>
    </w:rPr>
  </w:style>
  <w:style w:type="character" w:customStyle="1" w:styleId="314a">
    <w:name w:val="314"/>
    <w:basedOn w:val="373"/>
    <w:uiPriority w:val="99"/>
    <w:qFormat/>
    <w:rPr>
      <w:rFonts w:ascii="Calibri" w:eastAsia="宋体" w:hAnsi="Calibri" w:cs="Times New Roman" w:hint="default"/>
      <w:b/>
      <w:szCs w:val="21"/>
    </w:rPr>
  </w:style>
  <w:style w:type="character" w:customStyle="1" w:styleId="312a">
    <w:name w:val="312"/>
    <w:basedOn w:val="793"/>
    <w:uiPriority w:val="99"/>
    <w:qFormat/>
    <w:rPr>
      <w:rFonts w:ascii="Calibri" w:eastAsia="宋体" w:hAnsi="Calibri" w:cs="Times New Roman" w:hint="default"/>
      <w:sz w:val="18"/>
      <w:szCs w:val="18"/>
    </w:rPr>
  </w:style>
  <w:style w:type="character" w:customStyle="1" w:styleId="309">
    <w:name w:val="309"/>
    <w:basedOn w:val="793"/>
    <w:qFormat/>
    <w:rPr>
      <w:rFonts w:ascii="宋体" w:eastAsia="宋体" w:hAnsi="Courier New" w:cs="Times New Roman" w:hint="eastAsia"/>
      <w:szCs w:val="20"/>
    </w:rPr>
  </w:style>
  <w:style w:type="character" w:customStyle="1" w:styleId="307">
    <w:name w:val="307"/>
    <w:basedOn w:val="793"/>
    <w:uiPriority w:val="99"/>
    <w:qFormat/>
    <w:rPr>
      <w:rFonts w:ascii="Times New Roman" w:eastAsia="宋体" w:hAnsi="Times New Roman" w:cs="Times New Roman" w:hint="default"/>
      <w:szCs w:val="21"/>
    </w:rPr>
  </w:style>
  <w:style w:type="character" w:customStyle="1" w:styleId="305">
    <w:name w:val="305"/>
    <w:basedOn w:val="793"/>
    <w:uiPriority w:val="99"/>
    <w:qFormat/>
    <w:rPr>
      <w:rFonts w:ascii="Times New Roman" w:eastAsia="宋体" w:hAnsi="Times New Roman" w:cs="Times New Roman" w:hint="default"/>
      <w:szCs w:val="21"/>
    </w:rPr>
  </w:style>
  <w:style w:type="character" w:customStyle="1" w:styleId="303a">
    <w:name w:val="303"/>
    <w:basedOn w:val="793"/>
    <w:uiPriority w:val="99"/>
    <w:qFormat/>
    <w:rPr>
      <w:rFonts w:ascii="Times New Roman" w:eastAsia="宋体" w:hAnsi="Times New Roman" w:cs="Times New Roman" w:hint="default"/>
      <w:szCs w:val="21"/>
    </w:rPr>
  </w:style>
  <w:style w:type="character" w:customStyle="1" w:styleId="299">
    <w:name w:val="299"/>
    <w:basedOn w:val="793"/>
    <w:qFormat/>
    <w:rPr>
      <w:kern w:val="2"/>
      <w:sz w:val="21"/>
      <w:szCs w:val="24"/>
    </w:rPr>
  </w:style>
  <w:style w:type="character" w:customStyle="1" w:styleId="296">
    <w:name w:val="296"/>
    <w:basedOn w:val="793"/>
    <w:uiPriority w:val="99"/>
    <w:semiHidden/>
    <w:qFormat/>
    <w:rPr>
      <w:rFonts w:ascii="宋体" w:eastAsia="宋体" w:hAnsi="宋体" w:hint="eastAsia"/>
      <w:kern w:val="2"/>
      <w:sz w:val="18"/>
      <w:szCs w:val="18"/>
    </w:rPr>
  </w:style>
  <w:style w:type="character" w:customStyle="1" w:styleId="295">
    <w:name w:val="295"/>
    <w:basedOn w:val="793"/>
    <w:uiPriority w:val="99"/>
    <w:qFormat/>
    <w:rPr>
      <w:color w:val="auto"/>
    </w:rPr>
  </w:style>
  <w:style w:type="character" w:customStyle="1" w:styleId="293">
    <w:name w:val="293"/>
    <w:basedOn w:val="793"/>
    <w:uiPriority w:val="10"/>
    <w:qFormat/>
    <w:rPr>
      <w:rFonts w:ascii="Cambria" w:hAnsi="Cambria" w:cs="Times New Roman" w:hint="default"/>
      <w:b/>
      <w:kern w:val="2"/>
      <w:sz w:val="32"/>
      <w:szCs w:val="32"/>
    </w:rPr>
  </w:style>
  <w:style w:type="character" w:customStyle="1" w:styleId="290">
    <w:name w:val="290"/>
    <w:basedOn w:val="793"/>
    <w:uiPriority w:val="9"/>
    <w:qFormat/>
    <w:rPr>
      <w:rFonts w:ascii="Cambria" w:hAnsi="Cambria" w:cs="Times New Roman" w:hint="default"/>
      <w:b/>
      <w:sz w:val="21"/>
      <w:szCs w:val="24"/>
    </w:rPr>
  </w:style>
  <w:style w:type="character" w:customStyle="1" w:styleId="287">
    <w:name w:val="287"/>
    <w:basedOn w:val="793"/>
    <w:uiPriority w:val="99"/>
    <w:semiHidden/>
    <w:qFormat/>
    <w:rPr>
      <w:rFonts w:ascii="宋体" w:eastAsia="宋体" w:hAnsi="宋体" w:cs="宋体" w:hint="eastAsia"/>
      <w:sz w:val="21"/>
      <w:szCs w:val="24"/>
    </w:rPr>
  </w:style>
  <w:style w:type="character" w:customStyle="1" w:styleId="286">
    <w:name w:val="286"/>
    <w:basedOn w:val="793"/>
    <w:uiPriority w:val="99"/>
    <w:semiHidden/>
    <w:qFormat/>
    <w:rPr>
      <w:vertAlign w:val="superscript"/>
    </w:rPr>
  </w:style>
  <w:style w:type="character" w:customStyle="1" w:styleId="285">
    <w:name w:val="285"/>
    <w:basedOn w:val="373"/>
    <w:uiPriority w:val="99"/>
    <w:semiHidden/>
    <w:qFormat/>
    <w:rPr>
      <w:rFonts w:ascii="Times New Roman" w:eastAsia="宋体" w:hAnsi="Times New Roman" w:cs="Times New Roman" w:hint="default"/>
      <w:b/>
      <w:szCs w:val="21"/>
    </w:rPr>
  </w:style>
  <w:style w:type="character" w:customStyle="1" w:styleId="284">
    <w:name w:val="284"/>
    <w:basedOn w:val="793"/>
    <w:uiPriority w:val="9"/>
    <w:qFormat/>
    <w:rPr>
      <w:rFonts w:ascii="宋体" w:eastAsia="宋体" w:hAnsi="宋体" w:cs="宋体" w:hint="eastAsia"/>
      <w:b/>
      <w:sz w:val="24"/>
      <w:szCs w:val="24"/>
    </w:rPr>
  </w:style>
  <w:style w:type="character" w:customStyle="1" w:styleId="280a">
    <w:name w:val="280"/>
    <w:uiPriority w:val="99"/>
    <w:qFormat/>
    <w:rPr>
      <w:rFonts w:ascii="Times New Roman" w:hAnsi="Times New Roman" w:cs="Times New Roman" w:hint="default"/>
      <w:kern w:val="2"/>
      <w:sz w:val="21"/>
      <w:szCs w:val="21"/>
    </w:rPr>
  </w:style>
  <w:style w:type="character" w:customStyle="1" w:styleId="278">
    <w:name w:val="278"/>
    <w:qFormat/>
    <w:rPr>
      <w:rFonts w:ascii="Times New Roman" w:hAnsi="Times New Roman" w:cs="Times New Roman" w:hint="default"/>
      <w:kern w:val="2"/>
      <w:sz w:val="21"/>
      <w:szCs w:val="21"/>
    </w:rPr>
  </w:style>
  <w:style w:type="character" w:customStyle="1" w:styleId="276">
    <w:name w:val="276"/>
    <w:qFormat/>
    <w:rPr>
      <w:rFonts w:ascii="Times New Roman" w:hAnsi="Times New Roman" w:cs="Times New Roman" w:hint="default"/>
      <w:kern w:val="2"/>
      <w:sz w:val="21"/>
      <w:szCs w:val="21"/>
    </w:rPr>
  </w:style>
  <w:style w:type="character" w:customStyle="1" w:styleId="272">
    <w:name w:val="272"/>
    <w:basedOn w:val="793"/>
    <w:uiPriority w:val="99"/>
    <w:qFormat/>
    <w:rPr>
      <w:rFonts w:ascii="Times New Roman" w:eastAsia="宋体" w:hAnsi="Times New Roman" w:cs="Times New Roman" w:hint="default"/>
      <w:szCs w:val="21"/>
    </w:rPr>
  </w:style>
  <w:style w:type="character" w:customStyle="1" w:styleId="270a">
    <w:name w:val="270"/>
    <w:basedOn w:val="373"/>
    <w:uiPriority w:val="99"/>
    <w:qFormat/>
    <w:rPr>
      <w:rFonts w:ascii="Calibri" w:eastAsia="宋体" w:hAnsi="Calibri" w:cs="Times New Roman" w:hint="default"/>
      <w:b/>
      <w:szCs w:val="21"/>
    </w:rPr>
  </w:style>
  <w:style w:type="character" w:customStyle="1" w:styleId="268">
    <w:name w:val="268"/>
    <w:basedOn w:val="793"/>
    <w:uiPriority w:val="99"/>
    <w:qFormat/>
    <w:rPr>
      <w:rFonts w:ascii="Calibri" w:eastAsia="宋体" w:hAnsi="Calibri" w:cs="Times New Roman" w:hint="default"/>
      <w:sz w:val="18"/>
      <w:szCs w:val="18"/>
    </w:rPr>
  </w:style>
  <w:style w:type="character" w:customStyle="1" w:styleId="265">
    <w:name w:val="265"/>
    <w:basedOn w:val="793"/>
    <w:qFormat/>
    <w:rPr>
      <w:rFonts w:ascii="宋体" w:eastAsia="宋体" w:hAnsi="Courier New" w:cs="Times New Roman" w:hint="eastAsia"/>
      <w:szCs w:val="20"/>
    </w:rPr>
  </w:style>
  <w:style w:type="character" w:customStyle="1" w:styleId="263">
    <w:name w:val="263"/>
    <w:basedOn w:val="793"/>
    <w:uiPriority w:val="99"/>
    <w:qFormat/>
    <w:rPr>
      <w:rFonts w:ascii="Times New Roman" w:eastAsia="宋体" w:hAnsi="Times New Roman" w:cs="Times New Roman" w:hint="default"/>
      <w:szCs w:val="21"/>
    </w:rPr>
  </w:style>
  <w:style w:type="character" w:customStyle="1" w:styleId="261a">
    <w:name w:val="261"/>
    <w:basedOn w:val="793"/>
    <w:uiPriority w:val="99"/>
    <w:qFormat/>
    <w:rPr>
      <w:rFonts w:ascii="Times New Roman" w:eastAsia="宋体" w:hAnsi="Times New Roman" w:cs="Times New Roman" w:hint="default"/>
      <w:szCs w:val="21"/>
    </w:rPr>
  </w:style>
  <w:style w:type="character" w:customStyle="1" w:styleId="259">
    <w:name w:val="259"/>
    <w:basedOn w:val="793"/>
    <w:uiPriority w:val="99"/>
    <w:qFormat/>
    <w:rPr>
      <w:rFonts w:ascii="Times New Roman" w:eastAsia="宋体" w:hAnsi="Times New Roman" w:cs="Times New Roman" w:hint="default"/>
      <w:szCs w:val="21"/>
    </w:rPr>
  </w:style>
  <w:style w:type="character" w:customStyle="1" w:styleId="255">
    <w:name w:val="255"/>
    <w:basedOn w:val="793"/>
    <w:qFormat/>
    <w:rPr>
      <w:kern w:val="2"/>
      <w:sz w:val="21"/>
      <w:szCs w:val="24"/>
    </w:rPr>
  </w:style>
  <w:style w:type="character" w:customStyle="1" w:styleId="252">
    <w:name w:val="252"/>
    <w:basedOn w:val="793"/>
    <w:uiPriority w:val="99"/>
    <w:semiHidden/>
    <w:qFormat/>
    <w:rPr>
      <w:rFonts w:ascii="宋体" w:eastAsia="宋体" w:hAnsi="宋体" w:hint="eastAsia"/>
      <w:kern w:val="2"/>
      <w:sz w:val="18"/>
      <w:szCs w:val="18"/>
    </w:rPr>
  </w:style>
  <w:style w:type="character" w:customStyle="1" w:styleId="251a">
    <w:name w:val="251"/>
    <w:basedOn w:val="793"/>
    <w:uiPriority w:val="99"/>
    <w:qFormat/>
    <w:rPr>
      <w:color w:val="auto"/>
    </w:rPr>
  </w:style>
  <w:style w:type="character" w:customStyle="1" w:styleId="249">
    <w:name w:val="249"/>
    <w:basedOn w:val="793"/>
    <w:uiPriority w:val="10"/>
    <w:qFormat/>
    <w:rPr>
      <w:rFonts w:ascii="Cambria" w:hAnsi="Cambria" w:cs="Times New Roman" w:hint="default"/>
      <w:b/>
      <w:kern w:val="2"/>
      <w:sz w:val="32"/>
      <w:szCs w:val="32"/>
    </w:rPr>
  </w:style>
  <w:style w:type="character" w:customStyle="1" w:styleId="246">
    <w:name w:val="246"/>
    <w:basedOn w:val="793"/>
    <w:uiPriority w:val="9"/>
    <w:qFormat/>
    <w:rPr>
      <w:rFonts w:ascii="Cambria" w:hAnsi="Cambria" w:cs="Times New Roman" w:hint="default"/>
      <w:b/>
      <w:sz w:val="21"/>
      <w:szCs w:val="24"/>
    </w:rPr>
  </w:style>
  <w:style w:type="character" w:customStyle="1" w:styleId="243">
    <w:name w:val="243"/>
    <w:basedOn w:val="793"/>
    <w:uiPriority w:val="99"/>
    <w:semiHidden/>
    <w:qFormat/>
    <w:rPr>
      <w:rFonts w:ascii="宋体" w:eastAsia="宋体" w:hAnsi="宋体" w:cs="宋体" w:hint="eastAsia"/>
      <w:sz w:val="21"/>
      <w:szCs w:val="24"/>
    </w:rPr>
  </w:style>
  <w:style w:type="character" w:customStyle="1" w:styleId="242">
    <w:name w:val="242"/>
    <w:basedOn w:val="793"/>
    <w:uiPriority w:val="99"/>
    <w:semiHidden/>
    <w:qFormat/>
    <w:rPr>
      <w:vertAlign w:val="superscript"/>
    </w:rPr>
  </w:style>
  <w:style w:type="character" w:customStyle="1" w:styleId="241">
    <w:name w:val="241"/>
    <w:basedOn w:val="373"/>
    <w:uiPriority w:val="99"/>
    <w:semiHidden/>
    <w:qFormat/>
    <w:rPr>
      <w:rFonts w:ascii="Times New Roman" w:eastAsia="宋体" w:hAnsi="Times New Roman" w:cs="Times New Roman" w:hint="default"/>
      <w:b/>
      <w:szCs w:val="21"/>
    </w:rPr>
  </w:style>
  <w:style w:type="character" w:customStyle="1" w:styleId="240a">
    <w:name w:val="240"/>
    <w:basedOn w:val="793"/>
    <w:uiPriority w:val="9"/>
    <w:qFormat/>
    <w:rPr>
      <w:rFonts w:ascii="宋体" w:eastAsia="宋体" w:hAnsi="宋体" w:cs="宋体" w:hint="eastAsia"/>
      <w:b/>
      <w:sz w:val="24"/>
      <w:szCs w:val="24"/>
    </w:rPr>
  </w:style>
  <w:style w:type="character" w:customStyle="1" w:styleId="236">
    <w:name w:val="236"/>
    <w:uiPriority w:val="99"/>
    <w:qFormat/>
    <w:rPr>
      <w:rFonts w:ascii="Times New Roman" w:hAnsi="Times New Roman" w:cs="Times New Roman" w:hint="default"/>
      <w:kern w:val="2"/>
      <w:sz w:val="21"/>
      <w:szCs w:val="21"/>
    </w:rPr>
  </w:style>
  <w:style w:type="character" w:customStyle="1" w:styleId="234">
    <w:name w:val="234"/>
    <w:qFormat/>
    <w:rPr>
      <w:rFonts w:ascii="Times New Roman" w:hAnsi="Times New Roman" w:cs="Times New Roman" w:hint="default"/>
      <w:kern w:val="2"/>
      <w:sz w:val="21"/>
      <w:szCs w:val="21"/>
    </w:rPr>
  </w:style>
  <w:style w:type="character" w:customStyle="1" w:styleId="232a">
    <w:name w:val="232"/>
    <w:qFormat/>
    <w:rPr>
      <w:rFonts w:ascii="Times New Roman" w:hAnsi="Times New Roman" w:cs="Times New Roman" w:hint="default"/>
      <w:kern w:val="2"/>
      <w:sz w:val="21"/>
      <w:szCs w:val="21"/>
    </w:rPr>
  </w:style>
  <w:style w:type="character" w:customStyle="1" w:styleId="194">
    <w:name w:val="194"/>
    <w:basedOn w:val="793"/>
    <w:qFormat/>
    <w:rPr>
      <w:b/>
    </w:rPr>
  </w:style>
  <w:style w:type="character" w:customStyle="1" w:styleId="193">
    <w:name w:val="193"/>
    <w:basedOn w:val="793"/>
    <w:qFormat/>
    <w:rPr>
      <w:vertAlign w:val="superscript"/>
    </w:rPr>
  </w:style>
  <w:style w:type="character" w:customStyle="1" w:styleId="192">
    <w:name w:val="192"/>
    <w:basedOn w:val="793"/>
    <w:qFormat/>
    <w:rPr>
      <w:rFonts w:ascii="Times New Roman" w:hAnsi="Times New Roman" w:cs="Times New Roman" w:hint="default"/>
      <w:color w:val="0000FF"/>
      <w:u w:val="single"/>
    </w:rPr>
  </w:style>
  <w:style w:type="character" w:customStyle="1" w:styleId="191">
    <w:name w:val="191"/>
    <w:basedOn w:val="793"/>
    <w:qFormat/>
    <w:rPr>
      <w:rFonts w:ascii="宋体" w:eastAsia="宋体" w:hAnsi="宋体" w:cs="Times New Roman" w:hint="eastAsia"/>
      <w:kern w:val="2"/>
      <w:sz w:val="21"/>
      <w:szCs w:val="21"/>
      <w:lang w:val="en-US" w:eastAsia="zh-CN" w:bidi="ar-SA"/>
    </w:rPr>
  </w:style>
  <w:style w:type="character" w:customStyle="1" w:styleId="190a">
    <w:name w:val="190"/>
    <w:basedOn w:val="793"/>
    <w:uiPriority w:val="99"/>
    <w:qFormat/>
    <w:rPr>
      <w:rFonts w:ascii="黑体" w:eastAsia="黑体" w:hAnsi="黑体" w:hint="eastAsia"/>
      <w:b/>
      <w:kern w:val="44"/>
      <w:sz w:val="28"/>
      <w:szCs w:val="44"/>
    </w:rPr>
  </w:style>
  <w:style w:type="character" w:customStyle="1" w:styleId="189">
    <w:name w:val="189"/>
    <w:basedOn w:val="793"/>
    <w:qFormat/>
    <w:rPr>
      <w:rFonts w:ascii="Arial" w:hAnsi="Arial" w:cs="Arial" w:hint="default"/>
      <w:b/>
      <w:kern w:val="2"/>
      <w:sz w:val="21"/>
      <w:szCs w:val="21"/>
    </w:rPr>
  </w:style>
  <w:style w:type="character" w:customStyle="1" w:styleId="188">
    <w:name w:val="188"/>
    <w:basedOn w:val="793"/>
    <w:uiPriority w:val="9"/>
    <w:qFormat/>
    <w:rPr>
      <w:b/>
      <w:kern w:val="2"/>
      <w:sz w:val="21"/>
      <w:szCs w:val="32"/>
    </w:rPr>
  </w:style>
  <w:style w:type="character" w:customStyle="1" w:styleId="187">
    <w:name w:val="187"/>
    <w:basedOn w:val="793"/>
    <w:uiPriority w:val="9"/>
    <w:qFormat/>
    <w:rPr>
      <w:rFonts w:ascii="Cambria" w:hAnsi="Cambria" w:hint="default"/>
      <w:b/>
      <w:kern w:val="2"/>
      <w:sz w:val="21"/>
      <w:szCs w:val="28"/>
    </w:rPr>
  </w:style>
  <w:style w:type="character" w:customStyle="1" w:styleId="186">
    <w:name w:val="186"/>
    <w:basedOn w:val="793"/>
    <w:uiPriority w:val="9"/>
    <w:qFormat/>
    <w:rPr>
      <w:b/>
      <w:kern w:val="2"/>
      <w:sz w:val="21"/>
      <w:szCs w:val="28"/>
    </w:rPr>
  </w:style>
  <w:style w:type="character" w:customStyle="1" w:styleId="184">
    <w:name w:val="184"/>
    <w:basedOn w:val="793"/>
    <w:uiPriority w:val="99"/>
    <w:qFormat/>
    <w:rPr>
      <w:rFonts w:ascii="Times New Roman" w:eastAsia="宋体" w:hAnsi="Times New Roman" w:cs="Times New Roman" w:hint="default"/>
      <w:szCs w:val="21"/>
    </w:rPr>
  </w:style>
  <w:style w:type="character" w:customStyle="1" w:styleId="183">
    <w:name w:val="183"/>
    <w:basedOn w:val="793"/>
    <w:uiPriority w:val="99"/>
    <w:qFormat/>
    <w:rPr>
      <w:rFonts w:ascii="Calibri" w:eastAsia="宋体" w:hAnsi="Calibri" w:cs="Times New Roman" w:hint="default"/>
      <w:sz w:val="18"/>
      <w:szCs w:val="18"/>
    </w:rPr>
  </w:style>
  <w:style w:type="character" w:customStyle="1" w:styleId="182">
    <w:name w:val="182"/>
    <w:basedOn w:val="793"/>
    <w:uiPriority w:val="99"/>
    <w:qFormat/>
    <w:rPr>
      <w:rFonts w:ascii="Times New Roman" w:eastAsia="宋体" w:hAnsi="Times New Roman" w:cs="Times New Roman" w:hint="default"/>
      <w:szCs w:val="21"/>
    </w:rPr>
  </w:style>
  <w:style w:type="character" w:customStyle="1" w:styleId="180a">
    <w:name w:val="180"/>
    <w:basedOn w:val="184"/>
    <w:uiPriority w:val="99"/>
    <w:qFormat/>
    <w:rPr>
      <w:rFonts w:ascii="Calibri" w:eastAsia="宋体" w:hAnsi="Calibri" w:cs="Times New Roman" w:hint="default"/>
      <w:b/>
      <w:szCs w:val="21"/>
    </w:rPr>
  </w:style>
  <w:style w:type="character" w:customStyle="1" w:styleId="179">
    <w:name w:val="179"/>
    <w:basedOn w:val="793"/>
    <w:uiPriority w:val="99"/>
    <w:qFormat/>
    <w:rPr>
      <w:rFonts w:ascii="Calibri" w:eastAsia="宋体" w:hAnsi="Calibri" w:cs="Times New Roman" w:hint="default"/>
      <w:sz w:val="18"/>
      <w:szCs w:val="18"/>
    </w:rPr>
  </w:style>
  <w:style w:type="character" w:customStyle="1" w:styleId="178">
    <w:name w:val="178"/>
    <w:basedOn w:val="793"/>
    <w:uiPriority w:val="99"/>
    <w:qFormat/>
    <w:rPr>
      <w:rFonts w:ascii="Calibri" w:eastAsia="宋体" w:hAnsi="Calibri" w:cs="Times New Roman" w:hint="default"/>
      <w:sz w:val="18"/>
      <w:szCs w:val="18"/>
    </w:rPr>
  </w:style>
  <w:style w:type="character" w:customStyle="1" w:styleId="177">
    <w:name w:val="177"/>
    <w:basedOn w:val="793"/>
    <w:qFormat/>
    <w:rPr>
      <w:rFonts w:ascii="宋体" w:eastAsia="宋体" w:hAnsi="Courier New" w:cs="Times New Roman" w:hint="eastAsia"/>
      <w:szCs w:val="20"/>
    </w:rPr>
  </w:style>
  <w:style w:type="character" w:customStyle="1" w:styleId="176">
    <w:name w:val="176"/>
    <w:basedOn w:val="793"/>
    <w:uiPriority w:val="99"/>
    <w:qFormat/>
    <w:rPr>
      <w:rFonts w:ascii="Times New Roman" w:eastAsia="宋体" w:hAnsi="Times New Roman" w:cs="Times New Roman" w:hint="default"/>
      <w:szCs w:val="21"/>
    </w:rPr>
  </w:style>
  <w:style w:type="character" w:customStyle="1" w:styleId="175">
    <w:name w:val="175"/>
    <w:basedOn w:val="793"/>
    <w:uiPriority w:val="99"/>
    <w:qFormat/>
    <w:rPr>
      <w:rFonts w:ascii="Times New Roman" w:eastAsia="宋体" w:hAnsi="Times New Roman" w:cs="Times New Roman" w:hint="default"/>
      <w:szCs w:val="21"/>
    </w:rPr>
  </w:style>
  <w:style w:type="character" w:customStyle="1" w:styleId="174">
    <w:name w:val="174"/>
    <w:basedOn w:val="793"/>
    <w:uiPriority w:val="99"/>
    <w:qFormat/>
    <w:rPr>
      <w:rFonts w:ascii="Times New Roman" w:eastAsia="宋体" w:hAnsi="Times New Roman" w:cs="Times New Roman" w:hint="default"/>
      <w:szCs w:val="21"/>
    </w:rPr>
  </w:style>
  <w:style w:type="character" w:customStyle="1" w:styleId="172">
    <w:name w:val="172"/>
    <w:basedOn w:val="793"/>
    <w:qFormat/>
    <w:rPr>
      <w:kern w:val="2"/>
      <w:sz w:val="21"/>
      <w:szCs w:val="24"/>
    </w:rPr>
  </w:style>
  <w:style w:type="character" w:customStyle="1" w:styleId="170a">
    <w:name w:val="170"/>
    <w:basedOn w:val="793"/>
    <w:uiPriority w:val="99"/>
    <w:semiHidden/>
    <w:qFormat/>
    <w:rPr>
      <w:rFonts w:ascii="宋体" w:eastAsia="宋体" w:hAnsi="宋体" w:hint="eastAsia"/>
      <w:kern w:val="2"/>
      <w:sz w:val="18"/>
      <w:szCs w:val="18"/>
    </w:rPr>
  </w:style>
  <w:style w:type="character" w:customStyle="1" w:styleId="169">
    <w:name w:val="169"/>
    <w:basedOn w:val="793"/>
    <w:uiPriority w:val="99"/>
    <w:qFormat/>
    <w:rPr>
      <w:color w:val="auto"/>
    </w:rPr>
  </w:style>
  <w:style w:type="character" w:customStyle="1" w:styleId="168">
    <w:name w:val="168"/>
    <w:basedOn w:val="793"/>
    <w:uiPriority w:val="10"/>
    <w:qFormat/>
    <w:rPr>
      <w:rFonts w:ascii="Cambria" w:hAnsi="Cambria" w:cs="Times New Roman" w:hint="default"/>
      <w:b/>
      <w:kern w:val="2"/>
      <w:sz w:val="32"/>
      <w:szCs w:val="32"/>
    </w:rPr>
  </w:style>
  <w:style w:type="character" w:customStyle="1" w:styleId="167">
    <w:name w:val="167"/>
    <w:basedOn w:val="793"/>
    <w:uiPriority w:val="9"/>
    <w:qFormat/>
    <w:rPr>
      <w:rFonts w:ascii="Cambria" w:hAnsi="Cambria" w:cs="Times New Roman" w:hint="default"/>
      <w:b/>
      <w:sz w:val="21"/>
      <w:szCs w:val="24"/>
    </w:rPr>
  </w:style>
  <w:style w:type="character" w:customStyle="1" w:styleId="166">
    <w:name w:val="166"/>
    <w:basedOn w:val="793"/>
    <w:uiPriority w:val="99"/>
    <w:semiHidden/>
    <w:qFormat/>
    <w:rPr>
      <w:rFonts w:ascii="宋体" w:eastAsia="宋体" w:hAnsi="宋体" w:cs="宋体" w:hint="eastAsia"/>
      <w:sz w:val="21"/>
      <w:szCs w:val="24"/>
    </w:rPr>
  </w:style>
  <w:style w:type="character" w:customStyle="1" w:styleId="165">
    <w:name w:val="165"/>
    <w:basedOn w:val="184"/>
    <w:uiPriority w:val="99"/>
    <w:semiHidden/>
    <w:qFormat/>
    <w:rPr>
      <w:rFonts w:ascii="Times New Roman" w:eastAsia="宋体" w:hAnsi="Times New Roman" w:cs="Times New Roman" w:hint="default"/>
      <w:b/>
      <w:szCs w:val="21"/>
    </w:rPr>
  </w:style>
  <w:style w:type="character" w:customStyle="1" w:styleId="161">
    <w:name w:val="161"/>
    <w:basedOn w:val="793"/>
    <w:qFormat/>
    <w:rPr>
      <w:rFonts w:ascii="Times New Roman" w:hAnsi="Times New Roman" w:cs="Times New Roman" w:hint="default"/>
      <w:b/>
      <w:kern w:val="2"/>
      <w:sz w:val="21"/>
      <w:szCs w:val="24"/>
    </w:rPr>
  </w:style>
  <w:style w:type="character" w:customStyle="1" w:styleId="160a">
    <w:name w:val="160"/>
    <w:basedOn w:val="184"/>
    <w:uiPriority w:val="99"/>
    <w:semiHidden/>
    <w:qFormat/>
    <w:rPr>
      <w:rFonts w:ascii="Times New Roman" w:eastAsia="宋体" w:hAnsi="Times New Roman" w:cs="Times New Roman" w:hint="default"/>
      <w:b/>
      <w:szCs w:val="21"/>
    </w:rPr>
  </w:style>
  <w:style w:type="character" w:customStyle="1" w:styleId="159">
    <w:name w:val="159"/>
    <w:basedOn w:val="793"/>
    <w:uiPriority w:val="9"/>
    <w:qFormat/>
    <w:rPr>
      <w:rFonts w:ascii="宋体" w:eastAsia="宋体" w:hAnsi="宋体" w:cs="宋体" w:hint="eastAsia"/>
      <w:b/>
      <w:sz w:val="24"/>
      <w:szCs w:val="24"/>
    </w:rPr>
  </w:style>
  <w:style w:type="character" w:customStyle="1" w:styleId="158">
    <w:name w:val="158"/>
    <w:uiPriority w:val="9"/>
    <w:qFormat/>
    <w:rPr>
      <w:rFonts w:ascii="Cambria" w:hAnsi="Cambria" w:hint="default"/>
      <w:b/>
      <w:kern w:val="2"/>
      <w:sz w:val="21"/>
      <w:szCs w:val="28"/>
    </w:rPr>
  </w:style>
  <w:style w:type="character" w:customStyle="1" w:styleId="155">
    <w:name w:val="155"/>
    <w:uiPriority w:val="9"/>
    <w:qFormat/>
    <w:rPr>
      <w:b/>
      <w:kern w:val="2"/>
      <w:sz w:val="21"/>
      <w:szCs w:val="32"/>
    </w:rPr>
  </w:style>
  <w:style w:type="character" w:customStyle="1" w:styleId="152">
    <w:name w:val="152"/>
    <w:uiPriority w:val="99"/>
    <w:qFormat/>
    <w:rPr>
      <w:rFonts w:ascii="Times New Roman" w:hAnsi="Times New Roman" w:cs="Times New Roman" w:hint="default"/>
      <w:kern w:val="2"/>
      <w:sz w:val="21"/>
      <w:szCs w:val="21"/>
    </w:rPr>
  </w:style>
  <w:style w:type="character" w:customStyle="1" w:styleId="150a">
    <w:name w:val="150"/>
    <w:uiPriority w:val="9"/>
    <w:qFormat/>
    <w:rPr>
      <w:b/>
      <w:kern w:val="2"/>
      <w:sz w:val="21"/>
      <w:szCs w:val="28"/>
    </w:rPr>
  </w:style>
  <w:style w:type="character" w:customStyle="1" w:styleId="148">
    <w:name w:val="148"/>
    <w:uiPriority w:val="9"/>
    <w:qFormat/>
    <w:rPr>
      <w:b/>
      <w:kern w:val="2"/>
      <w:sz w:val="21"/>
      <w:szCs w:val="32"/>
    </w:rPr>
  </w:style>
  <w:style w:type="character" w:customStyle="1" w:styleId="147">
    <w:name w:val="147"/>
    <w:qFormat/>
    <w:rPr>
      <w:rFonts w:ascii="Arial" w:hAnsi="Arial" w:cs="Arial" w:hint="default"/>
      <w:b/>
      <w:kern w:val="2"/>
      <w:sz w:val="21"/>
      <w:szCs w:val="21"/>
    </w:rPr>
  </w:style>
  <w:style w:type="character" w:customStyle="1" w:styleId="146">
    <w:name w:val="146"/>
    <w:uiPriority w:val="9"/>
    <w:qFormat/>
    <w:rPr>
      <w:rFonts w:ascii="Cambria" w:hAnsi="Cambria" w:hint="default"/>
      <w:b/>
      <w:kern w:val="2"/>
      <w:sz w:val="21"/>
      <w:szCs w:val="28"/>
    </w:rPr>
  </w:style>
  <w:style w:type="character" w:customStyle="1" w:styleId="145">
    <w:name w:val="145"/>
    <w:uiPriority w:val="9"/>
    <w:qFormat/>
    <w:rPr>
      <w:b/>
      <w:kern w:val="2"/>
      <w:sz w:val="21"/>
      <w:szCs w:val="28"/>
    </w:rPr>
  </w:style>
  <w:style w:type="character" w:customStyle="1" w:styleId="143">
    <w:name w:val="143"/>
    <w:qFormat/>
    <w:rPr>
      <w:rFonts w:ascii="Times New Roman" w:hAnsi="Times New Roman" w:cs="Times New Roman" w:hint="default"/>
      <w:kern w:val="2"/>
      <w:sz w:val="21"/>
      <w:szCs w:val="21"/>
    </w:rPr>
  </w:style>
  <w:style w:type="character" w:customStyle="1" w:styleId="141">
    <w:name w:val="141"/>
    <w:basedOn w:val="793"/>
    <w:qFormat/>
    <w:rPr>
      <w:rFonts w:ascii="Arial" w:eastAsia="黑体" w:hAnsi="Arial" w:cs="Times New Roman" w:hint="default"/>
      <w:color w:val="000000"/>
      <w:sz w:val="24"/>
      <w:szCs w:val="20"/>
    </w:rPr>
  </w:style>
  <w:style w:type="character" w:customStyle="1" w:styleId="140a">
    <w:name w:val="140"/>
    <w:basedOn w:val="793"/>
    <w:qFormat/>
    <w:rPr>
      <w:rFonts w:ascii="Arial" w:eastAsia="黑体" w:hAnsi="Arial" w:cs="Times New Roman" w:hint="default"/>
      <w:color w:val="000000"/>
      <w:sz w:val="24"/>
      <w:szCs w:val="20"/>
    </w:rPr>
  </w:style>
  <w:style w:type="character" w:customStyle="1" w:styleId="137">
    <w:name w:val="137"/>
    <w:basedOn w:val="793"/>
    <w:qFormat/>
    <w:rPr>
      <w:b/>
      <w:sz w:val="24"/>
      <w:szCs w:val="24"/>
    </w:rPr>
  </w:style>
  <w:style w:type="character" w:customStyle="1" w:styleId="136">
    <w:name w:val="136"/>
    <w:qFormat/>
    <w:rPr>
      <w:rFonts w:ascii="宋体" w:eastAsia="宋体" w:hAnsi="宋体" w:hint="eastAsia"/>
      <w:color w:val="000000"/>
      <w:sz w:val="24"/>
      <w:szCs w:val="24"/>
    </w:rPr>
  </w:style>
  <w:style w:type="character" w:customStyle="1" w:styleId="135">
    <w:name w:val="135"/>
    <w:uiPriority w:val="99"/>
    <w:qFormat/>
    <w:rPr>
      <w:rFonts w:ascii="Times New Roman" w:hAnsi="Times New Roman" w:cs="Times New Roman" w:hint="default"/>
      <w:kern w:val="2"/>
      <w:sz w:val="21"/>
      <w:szCs w:val="21"/>
    </w:rPr>
  </w:style>
  <w:style w:type="character" w:customStyle="1" w:styleId="134">
    <w:name w:val="134"/>
    <w:qFormat/>
    <w:rPr>
      <w:rFonts w:ascii="FZLTSK--GBK1-0" w:hAnsi="FZLTSK--GBK1-0" w:hint="default"/>
      <w:bCs/>
      <w:color w:val="000000"/>
      <w:sz w:val="20"/>
      <w:szCs w:val="20"/>
    </w:rPr>
  </w:style>
  <w:style w:type="character" w:customStyle="1" w:styleId="123">
    <w:name w:val="123"/>
    <w:basedOn w:val="793"/>
    <w:qFormat/>
    <w:rPr>
      <w:rFonts w:ascii="Times New Roman" w:hAnsi="Times New Roman" w:cs="Times New Roman" w:hint="default"/>
      <w:kern w:val="2"/>
    </w:rPr>
  </w:style>
  <w:style w:type="character" w:customStyle="1" w:styleId="122">
    <w:name w:val="122"/>
    <w:basedOn w:val="184"/>
    <w:uiPriority w:val="99"/>
    <w:semiHidden/>
    <w:qFormat/>
    <w:rPr>
      <w:rFonts w:ascii="Times New Roman" w:eastAsia="宋体" w:hAnsi="Times New Roman" w:cs="Times New Roman" w:hint="default"/>
      <w:b/>
      <w:color w:val="000000"/>
      <w:sz w:val="21"/>
      <w:szCs w:val="21"/>
    </w:rPr>
  </w:style>
  <w:style w:type="character" w:customStyle="1" w:styleId="116">
    <w:name w:val="116"/>
    <w:basedOn w:val="793"/>
    <w:uiPriority w:val="9"/>
    <w:qFormat/>
    <w:rPr>
      <w:rFonts w:ascii="Cambria" w:hAnsi="Cambria" w:hint="default"/>
      <w:b/>
      <w:kern w:val="2"/>
      <w:sz w:val="21"/>
      <w:szCs w:val="28"/>
    </w:rPr>
  </w:style>
  <w:style w:type="character" w:customStyle="1" w:styleId="114">
    <w:name w:val="114"/>
    <w:basedOn w:val="793"/>
    <w:uiPriority w:val="9"/>
    <w:qFormat/>
    <w:rPr>
      <w:b/>
      <w:kern w:val="2"/>
      <w:sz w:val="21"/>
      <w:szCs w:val="32"/>
    </w:rPr>
  </w:style>
  <w:style w:type="character" w:customStyle="1" w:styleId="109">
    <w:name w:val="109"/>
    <w:basedOn w:val="793"/>
    <w:semiHidden/>
    <w:qFormat/>
    <w:rPr>
      <w:rFonts w:ascii="Arial" w:hAnsi="Arial" w:cs="Times New Roman" w:hint="default"/>
      <w:b/>
      <w:kern w:val="2"/>
    </w:rPr>
  </w:style>
  <w:style w:type="character" w:customStyle="1" w:styleId="108">
    <w:name w:val="108"/>
    <w:basedOn w:val="793"/>
    <w:uiPriority w:val="1"/>
    <w:qFormat/>
    <w:rPr>
      <w:kern w:val="2"/>
      <w:szCs w:val="22"/>
    </w:rPr>
  </w:style>
  <w:style w:type="character" w:customStyle="1" w:styleId="107">
    <w:name w:val="107"/>
    <w:basedOn w:val="793"/>
    <w:uiPriority w:val="99"/>
    <w:qFormat/>
    <w:rPr>
      <w:sz w:val="24"/>
    </w:rPr>
  </w:style>
  <w:style w:type="character" w:customStyle="1" w:styleId="105a">
    <w:name w:val="105"/>
    <w:basedOn w:val="793"/>
    <w:qFormat/>
    <w:rPr>
      <w:rFonts w:ascii="宋体" w:eastAsia="宋体" w:hAnsi="宋体" w:hint="eastAsia"/>
      <w:kern w:val="2"/>
      <w:szCs w:val="24"/>
    </w:rPr>
  </w:style>
  <w:style w:type="character" w:customStyle="1" w:styleId="98">
    <w:name w:val="98"/>
    <w:basedOn w:val="793"/>
    <w:uiPriority w:val="99"/>
    <w:qFormat/>
    <w:rPr>
      <w:rFonts w:ascii="黑体" w:eastAsia="黑体" w:hAnsi="黑体" w:hint="eastAsia"/>
      <w:b/>
      <w:kern w:val="44"/>
      <w:sz w:val="28"/>
      <w:szCs w:val="44"/>
    </w:rPr>
  </w:style>
  <w:style w:type="character" w:customStyle="1" w:styleId="97">
    <w:name w:val="97"/>
    <w:basedOn w:val="793"/>
    <w:qFormat/>
    <w:rPr>
      <w:rFonts w:ascii="Arial" w:hAnsi="Arial" w:cs="Arial" w:hint="default"/>
      <w:b/>
      <w:kern w:val="2"/>
      <w:sz w:val="21"/>
      <w:szCs w:val="21"/>
    </w:rPr>
  </w:style>
  <w:style w:type="character" w:customStyle="1" w:styleId="96">
    <w:name w:val="96"/>
    <w:basedOn w:val="793"/>
    <w:uiPriority w:val="9"/>
    <w:qFormat/>
    <w:rPr>
      <w:b/>
      <w:kern w:val="2"/>
      <w:sz w:val="21"/>
      <w:szCs w:val="32"/>
    </w:rPr>
  </w:style>
  <w:style w:type="character" w:customStyle="1" w:styleId="95">
    <w:name w:val="95"/>
    <w:basedOn w:val="793"/>
    <w:uiPriority w:val="9"/>
    <w:qFormat/>
    <w:rPr>
      <w:rFonts w:ascii="Cambria" w:hAnsi="Cambria" w:hint="default"/>
      <w:b/>
      <w:kern w:val="2"/>
      <w:sz w:val="21"/>
      <w:szCs w:val="28"/>
    </w:rPr>
  </w:style>
  <w:style w:type="character" w:customStyle="1" w:styleId="94">
    <w:name w:val="94"/>
    <w:basedOn w:val="793"/>
    <w:uiPriority w:val="9"/>
    <w:qFormat/>
    <w:rPr>
      <w:b/>
      <w:kern w:val="2"/>
      <w:sz w:val="21"/>
      <w:szCs w:val="28"/>
    </w:rPr>
  </w:style>
  <w:style w:type="character" w:customStyle="1" w:styleId="91a">
    <w:name w:val="91"/>
    <w:basedOn w:val="793"/>
    <w:qFormat/>
    <w:rPr>
      <w:rFonts w:ascii="Times New Roman" w:eastAsia="宋体" w:hAnsi="Times New Roman" w:cs="Times New Roman" w:hint="default"/>
      <w:szCs w:val="21"/>
    </w:rPr>
  </w:style>
  <w:style w:type="character" w:customStyle="1" w:styleId="89">
    <w:name w:val="89"/>
    <w:basedOn w:val="793"/>
    <w:uiPriority w:val="99"/>
    <w:qFormat/>
    <w:rPr>
      <w:rFonts w:ascii="Calibri" w:eastAsia="宋体" w:hAnsi="Calibri" w:cs="Times New Roman" w:hint="default"/>
      <w:sz w:val="18"/>
      <w:szCs w:val="18"/>
    </w:rPr>
  </w:style>
  <w:style w:type="character" w:customStyle="1" w:styleId="88">
    <w:name w:val="88"/>
    <w:basedOn w:val="793"/>
    <w:uiPriority w:val="99"/>
    <w:qFormat/>
    <w:rPr>
      <w:rFonts w:ascii="Times New Roman" w:eastAsia="宋体" w:hAnsi="Times New Roman" w:cs="Times New Roman" w:hint="default"/>
      <w:szCs w:val="21"/>
    </w:rPr>
  </w:style>
  <w:style w:type="character" w:customStyle="1" w:styleId="86">
    <w:name w:val="86"/>
    <w:basedOn w:val="91a"/>
    <w:uiPriority w:val="99"/>
    <w:qFormat/>
    <w:rPr>
      <w:rFonts w:ascii="Calibri" w:eastAsia="宋体" w:hAnsi="Calibri" w:cs="Times New Roman" w:hint="default"/>
      <w:b/>
      <w:szCs w:val="21"/>
    </w:rPr>
  </w:style>
  <w:style w:type="character" w:customStyle="1" w:styleId="84">
    <w:name w:val="84"/>
    <w:basedOn w:val="793"/>
    <w:uiPriority w:val="99"/>
    <w:qFormat/>
    <w:rPr>
      <w:rFonts w:ascii="Calibri" w:eastAsia="宋体" w:hAnsi="Calibri" w:cs="Times New Roman" w:hint="default"/>
      <w:sz w:val="18"/>
      <w:szCs w:val="18"/>
    </w:rPr>
  </w:style>
  <w:style w:type="character" w:customStyle="1" w:styleId="82a">
    <w:name w:val="82"/>
    <w:basedOn w:val="793"/>
    <w:uiPriority w:val="99"/>
    <w:qFormat/>
    <w:rPr>
      <w:rFonts w:ascii="Calibri" w:eastAsia="宋体" w:hAnsi="Calibri" w:cs="Times New Roman" w:hint="default"/>
      <w:sz w:val="18"/>
      <w:szCs w:val="18"/>
    </w:rPr>
  </w:style>
  <w:style w:type="character" w:customStyle="1" w:styleId="80a">
    <w:name w:val="80"/>
    <w:basedOn w:val="793"/>
    <w:qFormat/>
    <w:rPr>
      <w:rFonts w:ascii="宋体" w:eastAsia="宋体" w:hAnsi="Courier New" w:cs="Times New Roman" w:hint="eastAsia"/>
      <w:szCs w:val="20"/>
    </w:rPr>
  </w:style>
  <w:style w:type="character" w:customStyle="1" w:styleId="78">
    <w:name w:val="78"/>
    <w:basedOn w:val="793"/>
    <w:uiPriority w:val="99"/>
    <w:qFormat/>
    <w:rPr>
      <w:rFonts w:ascii="Times New Roman" w:eastAsia="宋体" w:hAnsi="Times New Roman" w:cs="Times New Roman" w:hint="default"/>
      <w:szCs w:val="21"/>
    </w:rPr>
  </w:style>
  <w:style w:type="character" w:customStyle="1" w:styleId="76">
    <w:name w:val="76"/>
    <w:basedOn w:val="793"/>
    <w:uiPriority w:val="99"/>
    <w:qFormat/>
    <w:rPr>
      <w:rFonts w:ascii="Times New Roman" w:eastAsia="宋体" w:hAnsi="Times New Roman" w:cs="Times New Roman" w:hint="default"/>
      <w:szCs w:val="21"/>
    </w:rPr>
  </w:style>
  <w:style w:type="character" w:customStyle="1" w:styleId="74">
    <w:name w:val="74"/>
    <w:basedOn w:val="793"/>
    <w:uiPriority w:val="99"/>
    <w:qFormat/>
    <w:rPr>
      <w:rFonts w:ascii="Times New Roman" w:eastAsia="宋体" w:hAnsi="Times New Roman" w:cs="Times New Roman" w:hint="default"/>
      <w:szCs w:val="21"/>
    </w:rPr>
  </w:style>
  <w:style w:type="character" w:customStyle="1" w:styleId="70a">
    <w:name w:val="70"/>
    <w:basedOn w:val="793"/>
    <w:qFormat/>
    <w:rPr>
      <w:kern w:val="2"/>
      <w:sz w:val="21"/>
      <w:szCs w:val="24"/>
    </w:rPr>
  </w:style>
  <w:style w:type="character" w:customStyle="1" w:styleId="67">
    <w:name w:val="67"/>
    <w:basedOn w:val="793"/>
    <w:uiPriority w:val="99"/>
    <w:semiHidden/>
    <w:qFormat/>
    <w:rPr>
      <w:rFonts w:ascii="宋体" w:eastAsia="宋体" w:hAnsi="宋体" w:hint="eastAsia"/>
      <w:kern w:val="2"/>
      <w:sz w:val="18"/>
      <w:szCs w:val="18"/>
    </w:rPr>
  </w:style>
  <w:style w:type="character" w:customStyle="1" w:styleId="66">
    <w:name w:val="66"/>
    <w:basedOn w:val="793"/>
    <w:uiPriority w:val="99"/>
    <w:qFormat/>
    <w:rPr>
      <w:color w:val="auto"/>
    </w:rPr>
  </w:style>
  <w:style w:type="character" w:customStyle="1" w:styleId="64">
    <w:name w:val="64"/>
    <w:basedOn w:val="793"/>
    <w:uiPriority w:val="10"/>
    <w:qFormat/>
    <w:rPr>
      <w:rFonts w:ascii="Cambria" w:hAnsi="Cambria" w:cs="Times New Roman" w:hint="default"/>
      <w:b/>
      <w:kern w:val="2"/>
      <w:sz w:val="32"/>
      <w:szCs w:val="32"/>
    </w:rPr>
  </w:style>
  <w:style w:type="character" w:customStyle="1" w:styleId="56">
    <w:name w:val="56"/>
    <w:basedOn w:val="793"/>
    <w:uiPriority w:val="9"/>
    <w:qFormat/>
    <w:rPr>
      <w:rFonts w:ascii="Cambria" w:hAnsi="Cambria" w:cs="Times New Roman" w:hint="default"/>
      <w:b/>
      <w:sz w:val="21"/>
      <w:szCs w:val="24"/>
    </w:rPr>
  </w:style>
  <w:style w:type="character" w:customStyle="1" w:styleId="53a">
    <w:name w:val="53"/>
    <w:basedOn w:val="793"/>
    <w:uiPriority w:val="99"/>
    <w:semiHidden/>
    <w:qFormat/>
    <w:rPr>
      <w:rFonts w:ascii="宋体" w:eastAsia="宋体" w:hAnsi="宋体" w:cs="宋体" w:hint="eastAsia"/>
      <w:sz w:val="21"/>
      <w:szCs w:val="24"/>
    </w:rPr>
  </w:style>
  <w:style w:type="character" w:customStyle="1" w:styleId="52a">
    <w:name w:val="52"/>
    <w:basedOn w:val="793"/>
    <w:uiPriority w:val="99"/>
    <w:semiHidden/>
    <w:qFormat/>
    <w:rPr>
      <w:vertAlign w:val="superscript"/>
    </w:rPr>
  </w:style>
  <w:style w:type="character" w:customStyle="1" w:styleId="51b">
    <w:name w:val="51"/>
    <w:basedOn w:val="91a"/>
    <w:uiPriority w:val="99"/>
    <w:semiHidden/>
    <w:qFormat/>
    <w:rPr>
      <w:rFonts w:ascii="Times New Roman" w:eastAsia="宋体" w:hAnsi="Times New Roman" w:cs="Times New Roman" w:hint="default"/>
      <w:b/>
      <w:szCs w:val="21"/>
    </w:rPr>
  </w:style>
  <w:style w:type="character" w:customStyle="1" w:styleId="50a">
    <w:name w:val="50"/>
    <w:basedOn w:val="91a"/>
    <w:uiPriority w:val="99"/>
    <w:semiHidden/>
    <w:qFormat/>
    <w:rPr>
      <w:rFonts w:ascii="Times New Roman" w:eastAsia="宋体" w:hAnsi="Times New Roman" w:cs="Times New Roman" w:hint="default"/>
      <w:b/>
      <w:szCs w:val="21"/>
    </w:rPr>
  </w:style>
  <w:style w:type="character" w:customStyle="1" w:styleId="49">
    <w:name w:val="49"/>
    <w:basedOn w:val="793"/>
    <w:uiPriority w:val="9"/>
    <w:qFormat/>
    <w:rPr>
      <w:rFonts w:ascii="宋体" w:eastAsia="宋体" w:hAnsi="宋体" w:cs="宋体" w:hint="eastAsia"/>
      <w:b/>
      <w:sz w:val="24"/>
      <w:szCs w:val="24"/>
    </w:rPr>
  </w:style>
  <w:style w:type="character" w:customStyle="1" w:styleId="42a">
    <w:name w:val="42"/>
    <w:uiPriority w:val="99"/>
    <w:qFormat/>
    <w:rPr>
      <w:rFonts w:ascii="Times New Roman" w:hAnsi="Times New Roman" w:cs="Times New Roman" w:hint="default"/>
      <w:kern w:val="2"/>
      <w:sz w:val="21"/>
      <w:szCs w:val="21"/>
    </w:rPr>
  </w:style>
  <w:style w:type="character" w:customStyle="1" w:styleId="40a">
    <w:name w:val="40"/>
    <w:qFormat/>
    <w:rPr>
      <w:rFonts w:ascii="Times New Roman" w:hAnsi="Times New Roman" w:cs="Times New Roman" w:hint="default"/>
      <w:kern w:val="2"/>
      <w:sz w:val="21"/>
      <w:szCs w:val="21"/>
    </w:rPr>
  </w:style>
  <w:style w:type="character" w:customStyle="1" w:styleId="38a">
    <w:name w:val="38"/>
    <w:qFormat/>
    <w:rPr>
      <w:rFonts w:ascii="Times New Roman" w:hAnsi="Times New Roman" w:cs="Times New Roman" w:hint="default"/>
      <w:kern w:val="2"/>
      <w:sz w:val="21"/>
      <w:szCs w:val="21"/>
    </w:rPr>
  </w:style>
  <w:style w:type="character" w:customStyle="1" w:styleId="34a">
    <w:name w:val="34"/>
    <w:qFormat/>
  </w:style>
  <w:style w:type="table" w:customStyle="1" w:styleId="g114">
    <w:name w:val="g114"/>
    <w:basedOn w:val="a1"/>
    <w:uiPriority w:val="59"/>
    <w:qFormat/>
    <w:pPr>
      <w:widowControl w:val="0"/>
      <w:jc w:val="both"/>
    </w:pPr>
    <w:rPr>
      <w:rFonts w:ascii="Times New Roman" w:eastAsia="Times New Roman" w:hAnsi="Times New Roman" w:cs="Times New Roman"/>
      <w:bCs/>
      <w:kern w:val="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21">
    <w:name w:val="g21"/>
    <w:uiPriority w:val="99"/>
    <w:semiHidden/>
    <w:rPr>
      <w:rFonts w:ascii="Calibri" w:hAnsi="Calibri" w:cs="Times New Roman"/>
      <w:bCs/>
    </w:rPr>
    <w:tblPr>
      <w:tblCellMar>
        <w:top w:w="0" w:type="dxa"/>
        <w:left w:w="108" w:type="dxa"/>
        <w:bottom w:w="0" w:type="dxa"/>
        <w:right w:w="108" w:type="dxa"/>
      </w:tblCellMar>
    </w:tblPr>
  </w:style>
  <w:style w:type="table" w:customStyle="1" w:styleId="g1011">
    <w:name w:val="g1011"/>
    <w:basedOn w:val="a1"/>
    <w:uiPriority w:val="59"/>
    <w:pPr>
      <w:widowControl w:val="0"/>
      <w:jc w:val="both"/>
    </w:pPr>
    <w:rPr>
      <w:rFonts w:ascii="Times New Roman" w:hAnsi="Times New Roman" w:cs="Times New Roman"/>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网格型3"/>
    <w:basedOn w:val="a1"/>
    <w:uiPriority w:val="59"/>
    <w:pPr>
      <w:widowControl w:val="0"/>
      <w:jc w:val="both"/>
    </w:pPr>
    <w:rPr>
      <w:rFonts w:ascii="Times New Roman" w:hAnsi="Times New Roman" w:cs="Times New Roman"/>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1">
    <w:name w:val="g1"/>
    <w:uiPriority w:val="99"/>
    <w:semiHidden/>
    <w:unhideWhenUsed/>
    <w:qFormat/>
    <w:tblPr>
      <w:tblCellMar>
        <w:top w:w="0" w:type="dxa"/>
        <w:left w:w="108" w:type="dxa"/>
        <w:bottom w:w="0" w:type="dxa"/>
        <w:right w:w="108" w:type="dxa"/>
      </w:tblCellMar>
    </w:tblPr>
  </w:style>
  <w:style w:type="table" w:customStyle="1" w:styleId="g6">
    <w:name w:val="g6"/>
    <w:basedOn w:val="a1"/>
    <w:uiPriority w:val="99"/>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9">
    <w:name w:val="g9"/>
    <w:basedOn w:val="a1"/>
    <w:qFormat/>
    <w:rPr>
      <w:rFonts w:ascii="Calibri" w:eastAsia="Times New Roman" w:hAnsi="Calibri" w:cs="Times New Roman"/>
    </w:rPr>
    <w:tblPr/>
  </w:style>
  <w:style w:type="table" w:customStyle="1" w:styleId="g10">
    <w:name w:val="g10"/>
    <w:basedOn w:val="a1"/>
    <w:qFormat/>
    <w:pPr>
      <w:widowControl w:val="0"/>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13">
    <w:name w:val="g13"/>
    <w:basedOn w:val="a1"/>
    <w:qFormat/>
    <w:pPr>
      <w:widowControl w:val="0"/>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14">
    <w:name w:val="g14"/>
    <w:basedOn w:val="a1"/>
    <w:qFormat/>
    <w:pPr>
      <w:widowControl w:val="0"/>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15">
    <w:name w:val="g15"/>
    <w:basedOn w:val="a1"/>
    <w:qFormat/>
    <w:rPr>
      <w:rFonts w:ascii="Times New Roman" w:hAnsi="Times New Roman" w:cs="Times New Roman"/>
      <w:kern w:val="2"/>
    </w:rPr>
    <w:tblPr/>
  </w:style>
  <w:style w:type="table" w:customStyle="1" w:styleId="g16">
    <w:name w:val="g16"/>
    <w:basedOn w:val="a1"/>
    <w:qFormat/>
    <w:rPr>
      <w:rFonts w:cs="Times New Roman"/>
      <w:kern w:val="2"/>
    </w:rPr>
    <w:tblPr/>
  </w:style>
  <w:style w:type="paragraph" w:customStyle="1" w:styleId="3902">
    <w:name w:val="3902"/>
    <w:basedOn w:val="3903"/>
    <w:next w:val="a"/>
    <w:uiPriority w:val="99"/>
    <w:qFormat/>
    <w:pPr>
      <w:keepNext/>
      <w:keepLines/>
      <w:widowControl w:val="0"/>
      <w:spacing w:before="60" w:after="60" w:line="360" w:lineRule="auto"/>
      <w:jc w:val="center"/>
      <w:outlineLvl w:val="0"/>
    </w:pPr>
    <w:rPr>
      <w:rFonts w:ascii="Calibri" w:eastAsia="黑体" w:hAnsi="Calibri" w:cs="Times New Roman"/>
      <w:b/>
      <w:kern w:val="44"/>
      <w:sz w:val="28"/>
      <w:szCs w:val="44"/>
    </w:rPr>
  </w:style>
  <w:style w:type="paragraph" w:customStyle="1" w:styleId="3901">
    <w:name w:val="3901"/>
    <w:basedOn w:val="3903"/>
    <w:next w:val="a"/>
    <w:qFormat/>
    <w:pPr>
      <w:keepNext/>
      <w:keepLines/>
      <w:widowControl w:val="0"/>
      <w:spacing w:before="60" w:after="60"/>
      <w:ind w:left="200" w:hangingChars="200" w:hanging="200"/>
      <w:jc w:val="both"/>
      <w:outlineLvl w:val="1"/>
    </w:pPr>
    <w:rPr>
      <w:rFonts w:ascii="Arial" w:hAnsi="Arial" w:cs="Times New Roman"/>
      <w:b/>
      <w:kern w:val="2"/>
    </w:rPr>
  </w:style>
  <w:style w:type="paragraph" w:customStyle="1" w:styleId="3900">
    <w:name w:val="3900"/>
    <w:basedOn w:val="3903"/>
    <w:next w:val="a"/>
    <w:uiPriority w:val="9"/>
    <w:qFormat/>
    <w:pPr>
      <w:keepNext/>
      <w:keepLines/>
      <w:widowControl w:val="0"/>
      <w:spacing w:before="60" w:after="60"/>
      <w:jc w:val="both"/>
      <w:outlineLvl w:val="2"/>
    </w:pPr>
    <w:rPr>
      <w:rFonts w:ascii="Calibri" w:hAnsi="Calibri" w:cs="Times New Roman"/>
      <w:b/>
      <w:kern w:val="2"/>
      <w:szCs w:val="32"/>
    </w:rPr>
  </w:style>
  <w:style w:type="paragraph" w:customStyle="1" w:styleId="3899">
    <w:name w:val="3899"/>
    <w:basedOn w:val="3903"/>
    <w:next w:val="a"/>
    <w:uiPriority w:val="9"/>
    <w:qFormat/>
    <w:pPr>
      <w:keepNext/>
      <w:keepLines/>
      <w:widowControl w:val="0"/>
      <w:spacing w:before="60" w:after="60"/>
      <w:jc w:val="both"/>
      <w:outlineLvl w:val="3"/>
    </w:pPr>
    <w:rPr>
      <w:rFonts w:ascii="Cambria" w:hAnsi="Cambria" w:cs="Times New Roman"/>
      <w:b/>
      <w:kern w:val="2"/>
      <w:szCs w:val="28"/>
    </w:rPr>
  </w:style>
  <w:style w:type="paragraph" w:customStyle="1" w:styleId="3898">
    <w:name w:val="3898"/>
    <w:basedOn w:val="3903"/>
    <w:next w:val="a"/>
    <w:uiPriority w:val="9"/>
    <w:qFormat/>
    <w:pPr>
      <w:keepNext/>
      <w:keepLines/>
      <w:widowControl w:val="0"/>
      <w:spacing w:before="60" w:after="60"/>
      <w:jc w:val="both"/>
      <w:outlineLvl w:val="4"/>
    </w:pPr>
    <w:rPr>
      <w:rFonts w:ascii="Calibri" w:hAnsi="Calibri" w:cs="Times New Roman"/>
      <w:b/>
      <w:kern w:val="2"/>
      <w:szCs w:val="28"/>
    </w:rPr>
  </w:style>
  <w:style w:type="paragraph" w:customStyle="1" w:styleId="3897">
    <w:name w:val="3897"/>
    <w:basedOn w:val="3903"/>
    <w:next w:val="a"/>
    <w:uiPriority w:val="9"/>
    <w:unhideWhenUsed/>
    <w:qFormat/>
    <w:pPr>
      <w:keepNext/>
      <w:keepLines/>
      <w:spacing w:before="60" w:after="60"/>
      <w:outlineLvl w:val="5"/>
    </w:pPr>
    <w:rPr>
      <w:rFonts w:asciiTheme="majorHAnsi" w:hAnsiTheme="majorHAnsi" w:cstheme="majorBidi"/>
      <w:b/>
    </w:rPr>
  </w:style>
  <w:style w:type="paragraph" w:customStyle="1" w:styleId="3896">
    <w:name w:val="3896"/>
    <w:basedOn w:val="3903"/>
    <w:next w:val="a"/>
    <w:uiPriority w:val="9"/>
    <w:unhideWhenUsed/>
    <w:qFormat/>
    <w:pPr>
      <w:keepNext/>
      <w:keepLines/>
      <w:spacing w:before="240" w:after="64" w:line="320" w:lineRule="auto"/>
      <w:outlineLvl w:val="6"/>
    </w:pPr>
    <w:rPr>
      <w:b/>
      <w:sz w:val="24"/>
    </w:rPr>
  </w:style>
  <w:style w:type="paragraph" w:customStyle="1" w:styleId="3895">
    <w:name w:val="3895"/>
    <w:basedOn w:val="3903"/>
    <w:next w:val="a"/>
    <w:uiPriority w:val="39"/>
    <w:unhideWhenUsed/>
    <w:qFormat/>
    <w:pPr>
      <w:widowControl w:val="0"/>
      <w:ind w:leftChars="1200" w:left="2520"/>
      <w:jc w:val="both"/>
    </w:pPr>
    <w:rPr>
      <w:rFonts w:asciiTheme="minorHAnsi" w:eastAsiaTheme="minorEastAsia" w:hAnsiTheme="minorHAnsi" w:cstheme="minorBidi"/>
      <w:kern w:val="2"/>
      <w:szCs w:val="22"/>
    </w:rPr>
  </w:style>
  <w:style w:type="paragraph" w:customStyle="1" w:styleId="3893">
    <w:name w:val="3893"/>
    <w:basedOn w:val="3903"/>
    <w:qFormat/>
    <w:pPr>
      <w:widowControl w:val="0"/>
      <w:ind w:firstLineChars="200" w:firstLine="420"/>
      <w:jc w:val="both"/>
    </w:pPr>
    <w:rPr>
      <w:rFonts w:ascii="Times New Roman" w:hAnsi="Times New Roman" w:cs="Times New Roman"/>
      <w:kern w:val="2"/>
    </w:rPr>
  </w:style>
  <w:style w:type="paragraph" w:customStyle="1" w:styleId="3890">
    <w:name w:val="3890"/>
    <w:basedOn w:val="3903"/>
    <w:next w:val="a"/>
    <w:semiHidden/>
    <w:qFormat/>
    <w:pPr>
      <w:widowControl w:val="0"/>
      <w:spacing w:before="120"/>
      <w:jc w:val="both"/>
    </w:pPr>
    <w:rPr>
      <w:rFonts w:ascii="Arial" w:hAnsi="Arial" w:cs="Times New Roman"/>
      <w:b/>
      <w:kern w:val="2"/>
    </w:rPr>
  </w:style>
  <w:style w:type="paragraph" w:customStyle="1" w:styleId="3887">
    <w:name w:val="3887"/>
    <w:basedOn w:val="3903"/>
    <w:qFormat/>
    <w:pPr>
      <w:widowControl w:val="0"/>
      <w:tabs>
        <w:tab w:val="left" w:pos="1200"/>
      </w:tabs>
      <w:jc w:val="both"/>
    </w:pPr>
    <w:rPr>
      <w:rFonts w:ascii="Times New Roman" w:hAnsi="Times New Roman" w:cs="Times New Roman"/>
      <w:kern w:val="2"/>
    </w:rPr>
  </w:style>
  <w:style w:type="paragraph" w:customStyle="1" w:styleId="3885">
    <w:name w:val="3885"/>
    <w:basedOn w:val="3903"/>
    <w:next w:val="a"/>
    <w:uiPriority w:val="39"/>
    <w:unhideWhenUsed/>
    <w:qFormat/>
    <w:pPr>
      <w:widowControl w:val="0"/>
      <w:ind w:leftChars="800" w:left="1680"/>
      <w:jc w:val="both"/>
    </w:pPr>
    <w:rPr>
      <w:rFonts w:asciiTheme="minorHAnsi" w:eastAsiaTheme="minorEastAsia" w:hAnsiTheme="minorHAnsi" w:cstheme="minorBidi"/>
      <w:kern w:val="2"/>
      <w:szCs w:val="22"/>
    </w:rPr>
  </w:style>
  <w:style w:type="paragraph" w:customStyle="1" w:styleId="3884">
    <w:name w:val="3884"/>
    <w:basedOn w:val="3903"/>
    <w:next w:val="a"/>
    <w:uiPriority w:val="39"/>
    <w:unhideWhenUsed/>
    <w:qFormat/>
    <w:pPr>
      <w:spacing w:after="100" w:line="276" w:lineRule="auto"/>
      <w:ind w:left="440"/>
    </w:pPr>
    <w:rPr>
      <w:rFonts w:ascii="Calibri" w:hAnsi="Calibri" w:cs="Times New Roman"/>
      <w:sz w:val="22"/>
      <w:szCs w:val="22"/>
    </w:rPr>
  </w:style>
  <w:style w:type="paragraph" w:customStyle="1" w:styleId="3882">
    <w:name w:val="3882"/>
    <w:basedOn w:val="3903"/>
    <w:next w:val="a"/>
    <w:uiPriority w:val="39"/>
    <w:unhideWhenUsed/>
    <w:qFormat/>
    <w:pPr>
      <w:widowControl w:val="0"/>
      <w:ind w:leftChars="1400" w:left="2940"/>
      <w:jc w:val="both"/>
    </w:pPr>
    <w:rPr>
      <w:rFonts w:asciiTheme="minorHAnsi" w:eastAsiaTheme="minorEastAsia" w:hAnsiTheme="minorHAnsi" w:cstheme="minorBidi"/>
      <w:kern w:val="2"/>
      <w:szCs w:val="22"/>
    </w:rPr>
  </w:style>
  <w:style w:type="paragraph" w:customStyle="1" w:styleId="3881">
    <w:name w:val="3881"/>
    <w:basedOn w:val="3903"/>
    <w:next w:val="a"/>
    <w:uiPriority w:val="99"/>
    <w:qFormat/>
    <w:pPr>
      <w:widowControl w:val="0"/>
      <w:ind w:leftChars="2500" w:left="100"/>
      <w:jc w:val="both"/>
    </w:pPr>
    <w:rPr>
      <w:rFonts w:ascii="Times New Roman" w:hAnsi="Times New Roman" w:cs="Times New Roman"/>
      <w:kern w:val="2"/>
    </w:rPr>
  </w:style>
  <w:style w:type="paragraph" w:customStyle="1" w:styleId="3880">
    <w:name w:val="3880"/>
    <w:basedOn w:val="3903"/>
    <w:uiPriority w:val="99"/>
    <w:semiHidden/>
    <w:unhideWhenUsed/>
    <w:qFormat/>
    <w:pPr>
      <w:snapToGrid w:val="0"/>
    </w:pPr>
  </w:style>
  <w:style w:type="paragraph" w:customStyle="1" w:styleId="3879">
    <w:name w:val="3879"/>
    <w:basedOn w:val="3903"/>
    <w:uiPriority w:val="99"/>
    <w:unhideWhenUsed/>
    <w:qFormat/>
    <w:pPr>
      <w:widowControl w:val="0"/>
      <w:jc w:val="both"/>
    </w:pPr>
    <w:rPr>
      <w:rFonts w:ascii="Calibri" w:hAnsi="Calibri" w:cs="Times New Roman"/>
      <w:kern w:val="2"/>
      <w:sz w:val="18"/>
      <w:szCs w:val="18"/>
    </w:rPr>
  </w:style>
  <w:style w:type="paragraph" w:customStyle="1" w:styleId="3878">
    <w:name w:val="3878"/>
    <w:basedOn w:val="3903"/>
    <w:uiPriority w:val="99"/>
    <w:unhideWhenUsed/>
    <w:qFormat/>
    <w:pPr>
      <w:widowControl w:val="0"/>
      <w:tabs>
        <w:tab w:val="center" w:pos="4153"/>
        <w:tab w:val="right" w:pos="8306"/>
      </w:tabs>
      <w:snapToGrid w:val="0"/>
    </w:pPr>
    <w:rPr>
      <w:rFonts w:ascii="Calibri" w:hAnsi="Calibri" w:cs="Times New Roman"/>
      <w:kern w:val="2"/>
      <w:sz w:val="18"/>
      <w:szCs w:val="18"/>
    </w:rPr>
  </w:style>
  <w:style w:type="paragraph" w:customStyle="1" w:styleId="3877">
    <w:name w:val="3877"/>
    <w:basedOn w:val="3903"/>
    <w:uiPriority w:val="99"/>
    <w:unhideWhenUsed/>
    <w:qFormat/>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paragraph" w:customStyle="1" w:styleId="3876">
    <w:name w:val="3876"/>
    <w:basedOn w:val="3903"/>
    <w:next w:val="a"/>
    <w:uiPriority w:val="39"/>
    <w:qFormat/>
    <w:pPr>
      <w:widowControl w:val="0"/>
      <w:tabs>
        <w:tab w:val="left" w:pos="1260"/>
        <w:tab w:val="right" w:leader="dot" w:pos="8823"/>
      </w:tabs>
      <w:jc w:val="center"/>
    </w:pPr>
    <w:rPr>
      <w:rFonts w:ascii="Times New Roman" w:hAnsi="Times New Roman" w:cs="Times New Roman"/>
      <w:kern w:val="2"/>
    </w:rPr>
  </w:style>
  <w:style w:type="paragraph" w:customStyle="1" w:styleId="3875">
    <w:name w:val="3875"/>
    <w:basedOn w:val="3903"/>
    <w:next w:val="a"/>
    <w:uiPriority w:val="39"/>
    <w:unhideWhenUsed/>
    <w:qFormat/>
    <w:pPr>
      <w:widowControl w:val="0"/>
      <w:ind w:leftChars="600" w:left="1260"/>
      <w:jc w:val="both"/>
    </w:pPr>
    <w:rPr>
      <w:rFonts w:asciiTheme="minorHAnsi" w:eastAsiaTheme="minorEastAsia" w:hAnsiTheme="minorHAnsi" w:cstheme="minorBidi"/>
      <w:kern w:val="2"/>
      <w:szCs w:val="22"/>
    </w:rPr>
  </w:style>
  <w:style w:type="paragraph" w:customStyle="1" w:styleId="3874">
    <w:name w:val="3874"/>
    <w:basedOn w:val="3903"/>
    <w:next w:val="a"/>
    <w:uiPriority w:val="39"/>
    <w:unhideWhenUsed/>
    <w:qFormat/>
    <w:pPr>
      <w:widowControl w:val="0"/>
      <w:ind w:leftChars="1000" w:left="2100"/>
      <w:jc w:val="both"/>
    </w:pPr>
    <w:rPr>
      <w:rFonts w:asciiTheme="minorHAnsi" w:eastAsiaTheme="minorEastAsia" w:hAnsiTheme="minorHAnsi" w:cstheme="minorBidi"/>
      <w:kern w:val="2"/>
      <w:szCs w:val="22"/>
    </w:rPr>
  </w:style>
  <w:style w:type="paragraph" w:customStyle="1" w:styleId="3873">
    <w:name w:val="3873"/>
    <w:basedOn w:val="3903"/>
    <w:next w:val="a"/>
    <w:uiPriority w:val="39"/>
    <w:qFormat/>
    <w:pPr>
      <w:widowControl w:val="0"/>
      <w:ind w:leftChars="200" w:left="420"/>
      <w:jc w:val="both"/>
    </w:pPr>
    <w:rPr>
      <w:rFonts w:ascii="Times New Roman" w:hAnsi="Times New Roman" w:cs="Times New Roman"/>
      <w:kern w:val="2"/>
    </w:rPr>
  </w:style>
  <w:style w:type="paragraph" w:customStyle="1" w:styleId="3872">
    <w:name w:val="3872"/>
    <w:basedOn w:val="3903"/>
    <w:next w:val="a"/>
    <w:uiPriority w:val="39"/>
    <w:unhideWhenUsed/>
    <w:qFormat/>
    <w:pPr>
      <w:widowControl w:val="0"/>
      <w:ind w:leftChars="1600" w:left="3360"/>
      <w:jc w:val="both"/>
    </w:pPr>
    <w:rPr>
      <w:rFonts w:asciiTheme="minorHAnsi" w:eastAsiaTheme="minorEastAsia" w:hAnsiTheme="minorHAnsi" w:cstheme="minorBidi"/>
      <w:kern w:val="2"/>
      <w:szCs w:val="22"/>
    </w:rPr>
  </w:style>
  <w:style w:type="paragraph" w:customStyle="1" w:styleId="3871">
    <w:name w:val="3871"/>
    <w:basedOn w:val="3903"/>
    <w:uiPriority w:val="99"/>
    <w:qFormat/>
    <w:pPr>
      <w:spacing w:before="100" w:beforeAutospacing="1" w:after="100" w:afterAutospacing="1"/>
    </w:pPr>
    <w:rPr>
      <w:sz w:val="24"/>
    </w:rPr>
  </w:style>
  <w:style w:type="paragraph" w:customStyle="1" w:styleId="3870">
    <w:name w:val="3870"/>
    <w:basedOn w:val="3903"/>
    <w:next w:val="a"/>
    <w:semiHidden/>
    <w:qFormat/>
    <w:pPr>
      <w:ind w:firstLineChars="200" w:firstLine="420"/>
    </w:pPr>
    <w:rPr>
      <w:rFonts w:cs="Times New Roman"/>
      <w:color w:val="000000"/>
    </w:rPr>
  </w:style>
  <w:style w:type="paragraph" w:customStyle="1" w:styleId="3869">
    <w:name w:val="3869"/>
    <w:basedOn w:val="3903"/>
    <w:next w:val="a"/>
    <w:uiPriority w:val="10"/>
    <w:qFormat/>
    <w:pPr>
      <w:widowControl w:val="0"/>
      <w:spacing w:before="240" w:after="60"/>
      <w:jc w:val="center"/>
      <w:outlineLvl w:val="0"/>
    </w:pPr>
    <w:rPr>
      <w:rFonts w:asciiTheme="majorHAnsi" w:hAnsiTheme="majorHAnsi" w:cstheme="majorBidi"/>
      <w:b/>
      <w:kern w:val="2"/>
      <w:sz w:val="32"/>
      <w:szCs w:val="32"/>
    </w:rPr>
  </w:style>
  <w:style w:type="paragraph" w:customStyle="1" w:styleId="3868">
    <w:name w:val="3868"/>
    <w:basedOn w:val="3889"/>
    <w:uiPriority w:val="99"/>
    <w:unhideWhenUsed/>
    <w:qFormat/>
    <w:rPr>
      <w:rFonts w:ascii="Calibri" w:hAnsi="Calibri"/>
      <w:b/>
      <w:szCs w:val="22"/>
    </w:rPr>
  </w:style>
  <w:style w:type="character" w:customStyle="1" w:styleId="2744">
    <w:name w:val="2744"/>
    <w:basedOn w:val="a0"/>
    <w:uiPriority w:val="99"/>
    <w:semiHidden/>
    <w:unhideWhenUsed/>
    <w:qFormat/>
    <w:rPr>
      <w:vertAlign w:val="superscript"/>
    </w:rPr>
  </w:style>
  <w:style w:type="character" w:customStyle="1" w:styleId="2560">
    <w:name w:val="2560"/>
    <w:basedOn w:val="a0"/>
    <w:uiPriority w:val="99"/>
    <w:qFormat/>
    <w:rPr>
      <w:rFonts w:cs="Times New Roman"/>
      <w:color w:val="0000FF"/>
      <w:u w:val="single"/>
    </w:rPr>
  </w:style>
  <w:style w:type="character" w:customStyle="1" w:styleId="2478">
    <w:name w:val="2478"/>
    <w:basedOn w:val="a0"/>
    <w:uiPriority w:val="99"/>
    <w:qFormat/>
    <w:rPr>
      <w:rFonts w:eastAsia="宋体" w:cs="Times New Roman"/>
      <w:kern w:val="2"/>
      <w:sz w:val="21"/>
      <w:szCs w:val="21"/>
      <w:lang w:val="en-US" w:eastAsia="zh-CN" w:bidi="ar-SA"/>
    </w:rPr>
  </w:style>
  <w:style w:type="character" w:customStyle="1" w:styleId="2296">
    <w:name w:val="2296"/>
    <w:basedOn w:val="a0"/>
    <w:uiPriority w:val="99"/>
    <w:qFormat/>
    <w:rPr>
      <w:rFonts w:eastAsia="黑体"/>
      <w:b/>
      <w:kern w:val="44"/>
      <w:sz w:val="28"/>
      <w:szCs w:val="44"/>
    </w:rPr>
  </w:style>
  <w:style w:type="character" w:customStyle="1" w:styleId="23">
    <w:name w:val="标题 2 字符3"/>
    <w:aliases w:val="标题 2 Char Char Char 字符2"/>
    <w:basedOn w:val="a0"/>
    <w:link w:val="2"/>
    <w:qFormat/>
    <w:rPr>
      <w:rFonts w:ascii="Arial" w:hAnsi="Arial"/>
      <w:b/>
      <w:kern w:val="2"/>
      <w:sz w:val="21"/>
      <w:szCs w:val="21"/>
    </w:rPr>
  </w:style>
  <w:style w:type="character" w:customStyle="1" w:styleId="33">
    <w:name w:val="标题 3 字符3"/>
    <w:basedOn w:val="a0"/>
    <w:link w:val="3"/>
    <w:uiPriority w:val="9"/>
    <w:qFormat/>
    <w:rPr>
      <w:b/>
      <w:kern w:val="2"/>
      <w:sz w:val="21"/>
      <w:szCs w:val="32"/>
    </w:rPr>
  </w:style>
  <w:style w:type="character" w:customStyle="1" w:styleId="43">
    <w:name w:val="标题 4 字符3"/>
    <w:basedOn w:val="a0"/>
    <w:link w:val="4"/>
    <w:uiPriority w:val="9"/>
    <w:qFormat/>
    <w:rPr>
      <w:rFonts w:ascii="Cambria" w:hAnsi="Cambria"/>
      <w:b/>
      <w:kern w:val="2"/>
      <w:sz w:val="21"/>
      <w:szCs w:val="28"/>
    </w:rPr>
  </w:style>
  <w:style w:type="character" w:customStyle="1" w:styleId="52">
    <w:name w:val="标题 5 字符2"/>
    <w:basedOn w:val="a0"/>
    <w:link w:val="5"/>
    <w:uiPriority w:val="9"/>
    <w:qFormat/>
    <w:rPr>
      <w:b/>
      <w:kern w:val="2"/>
      <w:sz w:val="21"/>
      <w:szCs w:val="28"/>
    </w:rPr>
  </w:style>
  <w:style w:type="paragraph" w:customStyle="1" w:styleId="2252">
    <w:name w:val="2252"/>
    <w:basedOn w:val="3902"/>
    <w:next w:val="a"/>
    <w:uiPriority w:val="39"/>
    <w:qFormat/>
    <w:pPr>
      <w:widowControl/>
      <w:spacing w:before="480" w:after="0" w:line="276" w:lineRule="auto"/>
      <w:outlineLvl w:val="9"/>
    </w:pPr>
    <w:rPr>
      <w:rFonts w:ascii="Cambria" w:eastAsia="宋体" w:hAnsi="Cambria"/>
      <w:color w:val="365F91"/>
      <w:kern w:val="0"/>
      <w:szCs w:val="28"/>
    </w:rPr>
  </w:style>
  <w:style w:type="character" w:customStyle="1" w:styleId="2251">
    <w:name w:val="2251"/>
    <w:basedOn w:val="a0"/>
    <w:uiPriority w:val="99"/>
    <w:qFormat/>
    <w:rPr>
      <w:rFonts w:ascii="Times New Roman" w:eastAsia="宋体" w:hAnsi="Times New Roman" w:cs="Times New Roman"/>
      <w:szCs w:val="21"/>
    </w:rPr>
  </w:style>
  <w:style w:type="character" w:customStyle="1" w:styleId="1280">
    <w:name w:val="1280"/>
    <w:basedOn w:val="a0"/>
    <w:uiPriority w:val="99"/>
    <w:qFormat/>
    <w:rPr>
      <w:rFonts w:ascii="Calibri" w:eastAsia="宋体" w:hAnsi="Calibri" w:cs="Times New Roman"/>
      <w:sz w:val="18"/>
      <w:szCs w:val="18"/>
    </w:rPr>
  </w:style>
  <w:style w:type="character" w:customStyle="1" w:styleId="21">
    <w:name w:val="批注框文本 字符2"/>
    <w:basedOn w:val="a0"/>
    <w:link w:val="af2"/>
    <w:uiPriority w:val="99"/>
    <w:qFormat/>
    <w:rPr>
      <w:rFonts w:ascii="Times New Roman" w:eastAsia="宋体" w:hAnsi="Times New Roman" w:cs="Times New Roman"/>
      <w:szCs w:val="21"/>
    </w:rPr>
  </w:style>
  <w:style w:type="paragraph" w:customStyle="1" w:styleId="11000">
    <w:name w:val="1100"/>
    <w:basedOn w:val="3903"/>
    <w:uiPriority w:val="34"/>
    <w:qFormat/>
    <w:pPr>
      <w:widowControl w:val="0"/>
      <w:ind w:firstLineChars="200" w:firstLine="420"/>
      <w:jc w:val="both"/>
    </w:pPr>
    <w:rPr>
      <w:rFonts w:ascii="Calibri" w:hAnsi="Calibri" w:cs="Times New Roman"/>
      <w:kern w:val="2"/>
      <w:szCs w:val="22"/>
    </w:rPr>
  </w:style>
  <w:style w:type="character" w:customStyle="1" w:styleId="1019">
    <w:name w:val="1019"/>
    <w:basedOn w:val="2251"/>
    <w:uiPriority w:val="99"/>
    <w:qFormat/>
    <w:rPr>
      <w:rFonts w:ascii="Calibri" w:eastAsia="宋体" w:hAnsi="Calibri" w:cs="Times New Roman"/>
      <w:b/>
      <w:szCs w:val="21"/>
    </w:rPr>
  </w:style>
  <w:style w:type="character" w:customStyle="1" w:styleId="22">
    <w:name w:val="页眉 字符2"/>
    <w:basedOn w:val="a0"/>
    <w:link w:val="af4"/>
    <w:uiPriority w:val="99"/>
    <w:qFormat/>
    <w:rPr>
      <w:rFonts w:ascii="Calibri" w:eastAsia="宋体" w:hAnsi="Calibri" w:cs="Times New Roman"/>
      <w:sz w:val="18"/>
      <w:szCs w:val="18"/>
    </w:rPr>
  </w:style>
  <w:style w:type="character" w:customStyle="1" w:styleId="31">
    <w:name w:val="批注主题 字符3"/>
    <w:basedOn w:val="a0"/>
    <w:link w:val="af8"/>
    <w:uiPriority w:val="99"/>
    <w:qFormat/>
    <w:rPr>
      <w:rFonts w:ascii="Calibri" w:eastAsia="宋体" w:hAnsi="Calibri" w:cs="Times New Roman"/>
      <w:sz w:val="18"/>
      <w:szCs w:val="18"/>
    </w:rPr>
  </w:style>
  <w:style w:type="character" w:customStyle="1" w:styleId="20">
    <w:name w:val="称呼 字符2"/>
    <w:basedOn w:val="a0"/>
    <w:link w:val="aa"/>
    <w:qFormat/>
    <w:rPr>
      <w:rFonts w:ascii="宋体" w:eastAsia="宋体" w:hAnsi="Courier New" w:cs="Times New Roman"/>
      <w:szCs w:val="20"/>
    </w:rPr>
  </w:style>
  <w:style w:type="character" w:customStyle="1" w:styleId="836">
    <w:name w:val="836"/>
    <w:basedOn w:val="a0"/>
    <w:uiPriority w:val="99"/>
    <w:qFormat/>
    <w:rPr>
      <w:rFonts w:ascii="Times New Roman" w:eastAsia="宋体" w:hAnsi="Times New Roman" w:cs="Times New Roman"/>
      <w:szCs w:val="21"/>
    </w:rPr>
  </w:style>
  <w:style w:type="character" w:customStyle="1" w:styleId="792">
    <w:name w:val="792"/>
    <w:basedOn w:val="a0"/>
    <w:uiPriority w:val="99"/>
    <w:qFormat/>
    <w:rPr>
      <w:rFonts w:ascii="Times New Roman" w:eastAsia="宋体" w:hAnsi="Times New Roman" w:cs="Times New Roman"/>
      <w:szCs w:val="21"/>
    </w:rPr>
  </w:style>
  <w:style w:type="table" w:customStyle="1" w:styleId="g2">
    <w:name w:val="g2"/>
    <w:uiPriority w:val="99"/>
    <w:semiHidden/>
    <w:unhideWhenUsed/>
    <w:tblPr>
      <w:tblCellMar>
        <w:top w:w="0" w:type="dxa"/>
        <w:left w:w="108" w:type="dxa"/>
        <w:bottom w:w="0" w:type="dxa"/>
        <w:right w:w="108" w:type="dxa"/>
      </w:tblCellMar>
    </w:tblPr>
  </w:style>
  <w:style w:type="table" w:customStyle="1" w:styleId="g4">
    <w:name w:val="g4"/>
    <w:uiPriority w:val="99"/>
    <w:semiHidden/>
    <w:unhideWhenUsed/>
    <w:tblPr>
      <w:tblInd w:w="0" w:type="dxa"/>
      <w:tblCellMar>
        <w:top w:w="0" w:type="dxa"/>
        <w:left w:w="108" w:type="dxa"/>
        <w:bottom w:w="0" w:type="dxa"/>
        <w:right w:w="108" w:type="dxa"/>
      </w:tblCellMar>
    </w:tblPr>
  </w:style>
  <w:style w:type="table" w:customStyle="1" w:styleId="g7">
    <w:name w:val="g7"/>
    <w:basedOn w:val="a1"/>
    <w:uiPriority w:val="59"/>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841789">
      <w:bodyDiv w:val="1"/>
      <w:marLeft w:val="0"/>
      <w:marRight w:val="0"/>
      <w:marTop w:val="0"/>
      <w:marBottom w:val="0"/>
      <w:divBdr>
        <w:top w:val="none" w:sz="0" w:space="0" w:color="auto"/>
        <w:left w:val="none" w:sz="0" w:space="0" w:color="auto"/>
        <w:bottom w:val="none" w:sz="0" w:space="0" w:color="auto"/>
        <w:right w:val="none" w:sz="0" w:space="0" w:color="auto"/>
      </w:divBdr>
    </w:div>
    <w:div w:id="520976266">
      <w:bodyDiv w:val="1"/>
      <w:marLeft w:val="0"/>
      <w:marRight w:val="0"/>
      <w:marTop w:val="0"/>
      <w:marBottom w:val="0"/>
      <w:divBdr>
        <w:top w:val="none" w:sz="0" w:space="0" w:color="auto"/>
        <w:left w:val="none" w:sz="0" w:space="0" w:color="auto"/>
        <w:bottom w:val="none" w:sz="0" w:space="0" w:color="auto"/>
        <w:right w:val="none" w:sz="0" w:space="0" w:color="auto"/>
      </w:divBdr>
    </w:div>
    <w:div w:id="585192602">
      <w:bodyDiv w:val="1"/>
      <w:marLeft w:val="0"/>
      <w:marRight w:val="0"/>
      <w:marTop w:val="0"/>
      <w:marBottom w:val="0"/>
      <w:divBdr>
        <w:top w:val="none" w:sz="0" w:space="0" w:color="auto"/>
        <w:left w:val="none" w:sz="0" w:space="0" w:color="auto"/>
        <w:bottom w:val="none" w:sz="0" w:space="0" w:color="auto"/>
        <w:right w:val="none" w:sz="0" w:space="0" w:color="auto"/>
      </w:divBdr>
    </w:div>
    <w:div w:id="1134325821">
      <w:bodyDiv w:val="1"/>
      <w:marLeft w:val="0"/>
      <w:marRight w:val="0"/>
      <w:marTop w:val="0"/>
      <w:marBottom w:val="0"/>
      <w:divBdr>
        <w:top w:val="none" w:sz="0" w:space="0" w:color="auto"/>
        <w:left w:val="none" w:sz="0" w:space="0" w:color="auto"/>
        <w:bottom w:val="none" w:sz="0" w:space="0" w:color="auto"/>
        <w:right w:val="none" w:sz="0" w:space="0" w:color="auto"/>
      </w:divBdr>
    </w:div>
    <w:div w:id="1446971321">
      <w:bodyDiv w:val="1"/>
      <w:marLeft w:val="0"/>
      <w:marRight w:val="0"/>
      <w:marTop w:val="0"/>
      <w:marBottom w:val="0"/>
      <w:divBdr>
        <w:top w:val="none" w:sz="0" w:space="0" w:color="auto"/>
        <w:left w:val="none" w:sz="0" w:space="0" w:color="auto"/>
        <w:bottom w:val="none" w:sz="0" w:space="0" w:color="auto"/>
        <w:right w:val="none" w:sz="0" w:space="0" w:color="auto"/>
      </w:divBdr>
    </w:div>
    <w:div w:id="1705212000">
      <w:bodyDiv w:val="1"/>
      <w:marLeft w:val="0"/>
      <w:marRight w:val="0"/>
      <w:marTop w:val="0"/>
      <w:marBottom w:val="0"/>
      <w:divBdr>
        <w:top w:val="none" w:sz="0" w:space="0" w:color="auto"/>
        <w:left w:val="none" w:sz="0" w:space="0" w:color="auto"/>
        <w:bottom w:val="none" w:sz="0" w:space="0" w:color="auto"/>
        <w:right w:val="none" w:sz="0" w:space="0" w:color="auto"/>
      </w:divBdr>
    </w:div>
    <w:div w:id="1774327665">
      <w:bodyDiv w:val="1"/>
      <w:marLeft w:val="0"/>
      <w:marRight w:val="0"/>
      <w:marTop w:val="0"/>
      <w:marBottom w:val="0"/>
      <w:divBdr>
        <w:top w:val="none" w:sz="0" w:space="0" w:color="auto"/>
        <w:left w:val="none" w:sz="0" w:space="0" w:color="auto"/>
        <w:bottom w:val="none" w:sz="0" w:space="0" w:color="auto"/>
        <w:right w:val="none" w:sz="0" w:space="0" w:color="auto"/>
      </w:divBdr>
    </w:div>
    <w:div w:id="20195015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ykenergy.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GBC11111111111111111111111111111"/>
        <w:category>
          <w:name w:val="常规"/>
          <w:gallery w:val="placeholder"/>
        </w:category>
        <w:types>
          <w:type w:val="bbPlcHdr"/>
        </w:types>
        <w:behaviors>
          <w:behavior w:val="content"/>
        </w:behaviors>
        <w:guid w:val="{B960C2E6-8E28-4930-AAD5-AA36AFD6E523}"/>
      </w:docPartPr>
      <w:docPartBody>
        <w:p w:rsidR="00785622" w:rsidRDefault="0040607F">
          <w:r>
            <w:rPr>
              <w:rStyle w:val="a3"/>
              <w:rFonts w:hint="eastAsia"/>
            </w:rPr>
            <w:t xml:space="preserve">　</w:t>
          </w:r>
        </w:p>
      </w:docPartBody>
    </w:docPart>
    <w:docPart>
      <w:docPartPr>
        <w:name w:val="GBC22222222222222222222222222222"/>
        <w:category>
          <w:name w:val="常规"/>
          <w:gallery w:val="placeholder"/>
        </w:category>
        <w:types>
          <w:type w:val="bbPlcHdr"/>
        </w:types>
        <w:behaviors>
          <w:behavior w:val="content"/>
        </w:behaviors>
        <w:guid w:val="{162653D1-13D4-4E4F-AD1C-ABDFC36FDDF6}"/>
      </w:docPartPr>
      <w:docPartBody>
        <w:p w:rsidR="00785622" w:rsidRDefault="0040607F">
          <w:r>
            <w:rPr>
              <w:rStyle w:val="a3"/>
              <w:rFonts w:hint="eastAsia"/>
              <w:color w:val="333399"/>
              <w:u w:val="single"/>
            </w:rPr>
            <w:t xml:space="preserve">　　　</w:t>
          </w:r>
        </w:p>
      </w:docPartBody>
    </w:docPart>
    <w:docPart>
      <w:docPartPr>
        <w:name w:val="EFE8677F51A44CE69C3D35A5CDC73575"/>
        <w:category>
          <w:name w:val="常规"/>
          <w:gallery w:val="placeholder"/>
        </w:category>
        <w:types>
          <w:type w:val="bbPlcHdr"/>
        </w:types>
        <w:behaviors>
          <w:behavior w:val="content"/>
        </w:behaviors>
        <w:guid w:val="{071708F4-F83C-4793-852C-FA63BB31653B}"/>
      </w:docPartPr>
      <w:docPartBody>
        <w:p w:rsidR="00785622" w:rsidRDefault="0040607F">
          <w:pPr>
            <w:pStyle w:val="EFE8677F51A44CE69C3D35A5CDC73575"/>
          </w:pPr>
          <w:r>
            <w:rPr>
              <w:rStyle w:val="a3"/>
            </w:rPr>
            <w:t>单击或点击此处输入文字。</w:t>
          </w:r>
        </w:p>
      </w:docPartBody>
    </w:docPart>
    <w:docPart>
      <w:docPartPr>
        <w:name w:val="AF04184FF85048E0874E7D760B4A81A2"/>
        <w:category>
          <w:name w:val="常规"/>
          <w:gallery w:val="placeholder"/>
        </w:category>
        <w:types>
          <w:type w:val="bbPlcHdr"/>
        </w:types>
        <w:behaviors>
          <w:behavior w:val="content"/>
        </w:behaviors>
        <w:guid w:val="{E200F328-FA1D-4198-B030-CA472D82D217}"/>
      </w:docPartPr>
      <w:docPartBody>
        <w:p w:rsidR="00785622" w:rsidRDefault="0040607F">
          <w:pPr>
            <w:pStyle w:val="AF04184FF85048E0874E7D760B4A81A2"/>
          </w:pPr>
          <w:r>
            <w:rPr>
              <w:rStyle w:val="a3"/>
            </w:rPr>
            <w:t xml:space="preserve">　</w:t>
          </w:r>
        </w:p>
      </w:docPartBody>
    </w:docPart>
    <w:docPart>
      <w:docPartPr>
        <w:name w:val="B292F7F5571D4BD282A08D4A6AC27AEF"/>
        <w:category>
          <w:name w:val="常规"/>
          <w:gallery w:val="placeholder"/>
        </w:category>
        <w:types>
          <w:type w:val="bbPlcHdr"/>
        </w:types>
        <w:behaviors>
          <w:behavior w:val="content"/>
        </w:behaviors>
        <w:guid w:val="{4E2353AF-2F45-40C2-9F7A-D0A11D250D7A}"/>
      </w:docPartPr>
      <w:docPartBody>
        <w:p w:rsidR="00785622" w:rsidRDefault="0040607F">
          <w:pPr>
            <w:pStyle w:val="B292F7F5571D4BD282A08D4A6AC27AEF"/>
          </w:pPr>
          <w:r>
            <w:rPr>
              <w:rStyle w:val="a3"/>
            </w:rPr>
            <w:t>单击或点击此处输入文字。</w:t>
          </w:r>
        </w:p>
      </w:docPartBody>
    </w:docPart>
    <w:docPart>
      <w:docPartPr>
        <w:name w:val="F34C859A44A54099A1A6859192B47A73"/>
        <w:category>
          <w:name w:val="常规"/>
          <w:gallery w:val="placeholder"/>
        </w:category>
        <w:types>
          <w:type w:val="bbPlcHdr"/>
        </w:types>
        <w:behaviors>
          <w:behavior w:val="content"/>
        </w:behaviors>
        <w:guid w:val="{EAC038D4-77B3-4C0B-960E-6ECD4086166E}"/>
      </w:docPartPr>
      <w:docPartBody>
        <w:p w:rsidR="00785622" w:rsidRDefault="0040607F">
          <w:pPr>
            <w:pStyle w:val="F34C859A44A54099A1A6859192B47A73"/>
          </w:pPr>
          <w:r>
            <w:rPr>
              <w:rStyle w:val="a3"/>
            </w:rPr>
            <w:t xml:space="preserve">　</w:t>
          </w:r>
        </w:p>
      </w:docPartBody>
    </w:docPart>
    <w:docPart>
      <w:docPartPr>
        <w:name w:val="854ADD50C3F945518EA6EE61D8AE2102"/>
        <w:category>
          <w:name w:val="常规"/>
          <w:gallery w:val="placeholder"/>
        </w:category>
        <w:types>
          <w:type w:val="bbPlcHdr"/>
        </w:types>
        <w:behaviors>
          <w:behavior w:val="content"/>
        </w:behaviors>
        <w:guid w:val="{6CC1A6B5-6C7F-4725-B130-C507221AA4CE}"/>
      </w:docPartPr>
      <w:docPartBody>
        <w:p w:rsidR="00785622" w:rsidRDefault="0040607F">
          <w:pPr>
            <w:pStyle w:val="854ADD50C3F945518EA6EE61D8AE2102"/>
          </w:pPr>
          <w:r>
            <w:rPr>
              <w:rStyle w:val="a3"/>
            </w:rPr>
            <w:t xml:space="preserve">　</w:t>
          </w:r>
        </w:p>
      </w:docPartBody>
    </w:docPart>
    <w:docPart>
      <w:docPartPr>
        <w:name w:val="E981BC595025474CAEB8F17A495382F8"/>
        <w:category>
          <w:name w:val="常规"/>
          <w:gallery w:val="placeholder"/>
        </w:category>
        <w:types>
          <w:type w:val="bbPlcHdr"/>
        </w:types>
        <w:behaviors>
          <w:behavior w:val="content"/>
        </w:behaviors>
        <w:guid w:val="{71C5F8C7-01B7-493D-BB19-4EDA981E9142}"/>
      </w:docPartPr>
      <w:docPartBody>
        <w:p w:rsidR="00785622" w:rsidRDefault="0040607F">
          <w:pPr>
            <w:pStyle w:val="E981BC595025474CAEB8F17A495382F8"/>
          </w:pPr>
          <w:r>
            <w:rPr>
              <w:rStyle w:val="a3"/>
            </w:rPr>
            <w:t xml:space="preserve">　</w:t>
          </w:r>
        </w:p>
      </w:docPartBody>
    </w:docPart>
    <w:docPart>
      <w:docPartPr>
        <w:name w:val="653F03A594CC437685743C089D0401FC"/>
        <w:category>
          <w:name w:val="常规"/>
          <w:gallery w:val="placeholder"/>
        </w:category>
        <w:types>
          <w:type w:val="bbPlcHdr"/>
        </w:types>
        <w:behaviors>
          <w:behavior w:val="content"/>
        </w:behaviors>
        <w:guid w:val="{29DBE082-60FA-4046-A102-E002463D59E9}"/>
      </w:docPartPr>
      <w:docPartBody>
        <w:p w:rsidR="00785622" w:rsidRDefault="0040607F">
          <w:pPr>
            <w:pStyle w:val="653F03A594CC437685743C089D0401FC"/>
          </w:pPr>
          <w:r>
            <w:rPr>
              <w:rStyle w:val="a3"/>
            </w:rPr>
            <w:t>单击或点击此处输入文字。</w:t>
          </w:r>
        </w:p>
      </w:docPartBody>
    </w:docPart>
    <w:docPart>
      <w:docPartPr>
        <w:name w:val="7464A59A938A46268B5D3D00D05411C6"/>
        <w:category>
          <w:name w:val="常规"/>
          <w:gallery w:val="placeholder"/>
        </w:category>
        <w:types>
          <w:type w:val="bbPlcHdr"/>
        </w:types>
        <w:behaviors>
          <w:behavior w:val="content"/>
        </w:behaviors>
        <w:guid w:val="{6C425ABC-FD60-4D01-9CD8-268AE1E2C3AD}"/>
      </w:docPartPr>
      <w:docPartBody>
        <w:p w:rsidR="00785622" w:rsidRDefault="0040607F">
          <w:pPr>
            <w:pStyle w:val="7464A59A938A46268B5D3D00D05411C6"/>
          </w:pPr>
          <w:r>
            <w:rPr>
              <w:rStyle w:val="a3"/>
            </w:rPr>
            <w:t xml:space="preserve">　</w:t>
          </w:r>
        </w:p>
      </w:docPartBody>
    </w:docPart>
    <w:docPart>
      <w:docPartPr>
        <w:name w:val="9F2E857B141D4B59B03898F0E1B13BC8"/>
        <w:category>
          <w:name w:val="常规"/>
          <w:gallery w:val="placeholder"/>
        </w:category>
        <w:types>
          <w:type w:val="bbPlcHdr"/>
        </w:types>
        <w:behaviors>
          <w:behavior w:val="content"/>
        </w:behaviors>
        <w:guid w:val="{8D99B13C-1519-4705-8D34-831D330779E3}"/>
      </w:docPartPr>
      <w:docPartBody>
        <w:p w:rsidR="00785622" w:rsidRDefault="0040607F">
          <w:pPr>
            <w:pStyle w:val="9F2E857B141D4B59B03898F0E1B13BC8"/>
          </w:pPr>
          <w:r>
            <w:rPr>
              <w:rStyle w:val="a3"/>
            </w:rPr>
            <w:t xml:space="preserve">　</w:t>
          </w:r>
        </w:p>
      </w:docPartBody>
    </w:docPart>
    <w:docPart>
      <w:docPartPr>
        <w:name w:val="E04DABAF80C944249B1EDA6857C1C84A"/>
        <w:category>
          <w:name w:val="常规"/>
          <w:gallery w:val="placeholder"/>
        </w:category>
        <w:types>
          <w:type w:val="bbPlcHdr"/>
        </w:types>
        <w:behaviors>
          <w:behavior w:val="content"/>
        </w:behaviors>
        <w:guid w:val="{3E97F7DA-EB66-4A6A-BF8D-0D5FB947EF1F}"/>
      </w:docPartPr>
      <w:docPartBody>
        <w:p w:rsidR="00785622" w:rsidRDefault="0040607F">
          <w:pPr>
            <w:pStyle w:val="E04DABAF80C944249B1EDA6857C1C84A"/>
          </w:pPr>
          <w:r>
            <w:rPr>
              <w:rStyle w:val="a3"/>
            </w:rPr>
            <w:t>单击或点击此处输入文字。</w:t>
          </w:r>
        </w:p>
      </w:docPartBody>
    </w:docPart>
    <w:docPart>
      <w:docPartPr>
        <w:name w:val="7ECCF2705F584C64B0AE6EFAFDA0E9BF"/>
        <w:category>
          <w:name w:val="常规"/>
          <w:gallery w:val="placeholder"/>
        </w:category>
        <w:types>
          <w:type w:val="bbPlcHdr"/>
        </w:types>
        <w:behaviors>
          <w:behavior w:val="content"/>
        </w:behaviors>
        <w:guid w:val="{5A289E49-8B79-45AE-8714-FFF413D55280}"/>
      </w:docPartPr>
      <w:docPartBody>
        <w:p w:rsidR="00785622" w:rsidRDefault="0040607F">
          <w:pPr>
            <w:pStyle w:val="7ECCF2705F584C64B0AE6EFAFDA0E9BF"/>
          </w:pPr>
          <w:r>
            <w:rPr>
              <w:rStyle w:val="a3"/>
            </w:rPr>
            <w:t xml:space="preserve">　</w:t>
          </w:r>
        </w:p>
      </w:docPartBody>
    </w:docPart>
    <w:docPart>
      <w:docPartPr>
        <w:name w:val="424DE108886B4272859AA138A3B5346F"/>
        <w:category>
          <w:name w:val="常规"/>
          <w:gallery w:val="placeholder"/>
        </w:category>
        <w:types>
          <w:type w:val="bbPlcHdr"/>
        </w:types>
        <w:behaviors>
          <w:behavior w:val="content"/>
        </w:behaviors>
        <w:guid w:val="{3826FBDE-EC8F-4C18-B0C4-DD1D2C2C9674}"/>
      </w:docPartPr>
      <w:docPartBody>
        <w:p w:rsidR="00785622" w:rsidRDefault="0040607F">
          <w:pPr>
            <w:pStyle w:val="424DE108886B4272859AA138A3B5346F"/>
          </w:pPr>
          <w:r>
            <w:rPr>
              <w:rStyle w:val="a3"/>
              <w:rFonts w:hint="eastAsia"/>
            </w:rPr>
            <w:t xml:space="preserve">　</w:t>
          </w:r>
        </w:p>
      </w:docPartBody>
    </w:docPart>
    <w:docPart>
      <w:docPartPr>
        <w:name w:val="26685DFA142F4711952995E1628DC31F"/>
        <w:category>
          <w:name w:val="常规"/>
          <w:gallery w:val="placeholder"/>
        </w:category>
        <w:types>
          <w:type w:val="bbPlcHdr"/>
        </w:types>
        <w:behaviors>
          <w:behavior w:val="content"/>
        </w:behaviors>
        <w:guid w:val="{9DE1DF50-E9C0-4DEB-B13B-9AF34FCEDECB}"/>
      </w:docPartPr>
      <w:docPartBody>
        <w:p w:rsidR="00785622" w:rsidRDefault="0040607F">
          <w:pPr>
            <w:pStyle w:val="26685DFA142F4711952995E1628DC31F"/>
          </w:pPr>
          <w:r>
            <w:rPr>
              <w:rStyle w:val="a3"/>
              <w:rFonts w:hint="eastAsia"/>
              <w:color w:val="333399"/>
              <w:u w:val="single"/>
            </w:rPr>
            <w:t xml:space="preserve">　　　</w:t>
          </w:r>
        </w:p>
      </w:docPartBody>
    </w:docPart>
    <w:docPart>
      <w:docPartPr>
        <w:name w:val="260085BDB2674835B679619A4ABD1AA8"/>
        <w:category>
          <w:name w:val="常规"/>
          <w:gallery w:val="placeholder"/>
        </w:category>
        <w:types>
          <w:type w:val="bbPlcHdr"/>
        </w:types>
        <w:behaviors>
          <w:behavior w:val="content"/>
        </w:behaviors>
        <w:guid w:val="{BB27AAAF-7035-4C00-A787-4DADAB86A65B}"/>
      </w:docPartPr>
      <w:docPartBody>
        <w:p w:rsidR="00785622" w:rsidRDefault="0040607F">
          <w:pPr>
            <w:pStyle w:val="260085BDB2674835B679619A4ABD1AA8"/>
          </w:pPr>
          <w:r>
            <w:rPr>
              <w:rStyle w:val="a3"/>
              <w:rFonts w:hint="eastAsia"/>
            </w:rPr>
            <w:t xml:space="preserve">　</w:t>
          </w:r>
        </w:p>
      </w:docPartBody>
    </w:docPart>
    <w:docPart>
      <w:docPartPr>
        <w:name w:val="CD289B78920246359734D98A351594E8"/>
        <w:category>
          <w:name w:val="常规"/>
          <w:gallery w:val="placeholder"/>
        </w:category>
        <w:types>
          <w:type w:val="bbPlcHdr"/>
        </w:types>
        <w:behaviors>
          <w:behavior w:val="content"/>
        </w:behaviors>
        <w:guid w:val="{6DAF261B-294F-4F76-9FC1-E1E2A6B5B39B}"/>
      </w:docPartPr>
      <w:docPartBody>
        <w:p w:rsidR="0003539B" w:rsidRDefault="004E2098" w:rsidP="004E2098">
          <w:pPr>
            <w:pStyle w:val="CD289B78920246359734D98A351594E8"/>
          </w:pPr>
          <w:r>
            <w:rPr>
              <w:rStyle w:val="a3"/>
            </w:rPr>
            <w:t>单击或点击此处输入文字。</w:t>
          </w:r>
        </w:p>
      </w:docPartBody>
    </w:docPart>
    <w:docPart>
      <w:docPartPr>
        <w:name w:val="629FB9C6DD4D43E8B4D35B339CFCE035"/>
        <w:category>
          <w:name w:val="常规"/>
          <w:gallery w:val="placeholder"/>
        </w:category>
        <w:types>
          <w:type w:val="bbPlcHdr"/>
        </w:types>
        <w:behaviors>
          <w:behavior w:val="content"/>
        </w:behaviors>
        <w:guid w:val="{5039A6C4-B2B5-43DC-A876-703B5B0263BB}"/>
      </w:docPartPr>
      <w:docPartBody>
        <w:p w:rsidR="0003539B" w:rsidRDefault="004E2098" w:rsidP="004E2098">
          <w:pPr>
            <w:pStyle w:val="629FB9C6DD4D43E8B4D35B339CFCE035"/>
          </w:pPr>
          <w:r>
            <w:rPr>
              <w:rStyle w:val="a3"/>
            </w:rPr>
            <w:t xml:space="preserve">　</w:t>
          </w:r>
        </w:p>
      </w:docPartBody>
    </w:docPart>
    <w:docPart>
      <w:docPartPr>
        <w:name w:val="3D0B5F110AD44536A28C3E9AF011EC35"/>
        <w:category>
          <w:name w:val="常规"/>
          <w:gallery w:val="placeholder"/>
        </w:category>
        <w:types>
          <w:type w:val="bbPlcHdr"/>
        </w:types>
        <w:behaviors>
          <w:behavior w:val="content"/>
        </w:behaviors>
        <w:guid w:val="{7E9CA252-3A0A-4D77-9140-05344E10DFE5}"/>
      </w:docPartPr>
      <w:docPartBody>
        <w:p w:rsidR="0003539B" w:rsidRDefault="004E2098" w:rsidP="004E2098">
          <w:pPr>
            <w:pStyle w:val="3D0B5F110AD44536A28C3E9AF011EC35"/>
          </w:pPr>
          <w:r>
            <w:rPr>
              <w:rStyle w:val="a3"/>
            </w:rPr>
            <w:t xml:space="preserve">　</w:t>
          </w:r>
        </w:p>
      </w:docPartBody>
    </w:docPart>
    <w:docPart>
      <w:docPartPr>
        <w:name w:val="C94AB06C3F7D4FF593324AD73FADB189"/>
        <w:category>
          <w:name w:val="常规"/>
          <w:gallery w:val="placeholder"/>
        </w:category>
        <w:types>
          <w:type w:val="bbPlcHdr"/>
        </w:types>
        <w:behaviors>
          <w:behavior w:val="content"/>
        </w:behaviors>
        <w:guid w:val="{F6AB1546-7013-4DB8-BDA7-55E4179BC820}"/>
      </w:docPartPr>
      <w:docPartBody>
        <w:p w:rsidR="0003539B" w:rsidRDefault="004E2098" w:rsidP="004E2098">
          <w:pPr>
            <w:pStyle w:val="C94AB06C3F7D4FF593324AD73FADB189"/>
          </w:pPr>
          <w:r>
            <w:rPr>
              <w:rStyle w:val="a3"/>
              <w:rFonts w:hint="eastAsia"/>
            </w:rPr>
            <w:t xml:space="preserve">　</w:t>
          </w:r>
        </w:p>
      </w:docPartBody>
    </w:docPart>
    <w:docPart>
      <w:docPartPr>
        <w:name w:val="7B9A496F4F624F6FA3415B4F24A6098A"/>
        <w:category>
          <w:name w:val="常规"/>
          <w:gallery w:val="placeholder"/>
        </w:category>
        <w:types>
          <w:type w:val="bbPlcHdr"/>
        </w:types>
        <w:behaviors>
          <w:behavior w:val="content"/>
        </w:behaviors>
        <w:guid w:val="{BFD5F1A1-1943-4A5D-B2AE-701C46D0540E}"/>
      </w:docPartPr>
      <w:docPartBody>
        <w:p w:rsidR="0003539B" w:rsidRDefault="004E2098" w:rsidP="004E2098">
          <w:pPr>
            <w:pStyle w:val="7B9A496F4F624F6FA3415B4F24A6098A"/>
          </w:pPr>
          <w:r>
            <w:rPr>
              <w:rStyle w:val="a3"/>
            </w:rPr>
            <w:t>单击或点击此处输入文字。</w:t>
          </w:r>
        </w:p>
      </w:docPartBody>
    </w:docPart>
    <w:docPart>
      <w:docPartPr>
        <w:name w:val="9B39D0D0FACE44B6923DF16946AA2A91"/>
        <w:category>
          <w:name w:val="常规"/>
          <w:gallery w:val="placeholder"/>
        </w:category>
        <w:types>
          <w:type w:val="bbPlcHdr"/>
        </w:types>
        <w:behaviors>
          <w:behavior w:val="content"/>
        </w:behaviors>
        <w:guid w:val="{E7C285B9-2B07-411E-A973-E4938CFF6EA3}"/>
      </w:docPartPr>
      <w:docPartBody>
        <w:p w:rsidR="0003539B" w:rsidRDefault="004E2098" w:rsidP="004E2098">
          <w:pPr>
            <w:pStyle w:val="9B39D0D0FACE44B6923DF16946AA2A91"/>
          </w:pPr>
          <w:r>
            <w:rPr>
              <w:rStyle w:val="a3"/>
            </w:rPr>
            <w:t xml:space="preserve">　</w:t>
          </w:r>
        </w:p>
      </w:docPartBody>
    </w:docPart>
    <w:docPart>
      <w:docPartPr>
        <w:name w:val="7F207833EFE64D209D7C6A9BFE8ECF61"/>
        <w:category>
          <w:name w:val="常规"/>
          <w:gallery w:val="placeholder"/>
        </w:category>
        <w:types>
          <w:type w:val="bbPlcHdr"/>
        </w:types>
        <w:behaviors>
          <w:behavior w:val="content"/>
        </w:behaviors>
        <w:guid w:val="{C53A7A2C-EF46-456F-BE94-D240ACEE2A33}"/>
      </w:docPartPr>
      <w:docPartBody>
        <w:p w:rsidR="0003539B" w:rsidRDefault="004E2098" w:rsidP="004E2098">
          <w:pPr>
            <w:pStyle w:val="7F207833EFE64D209D7C6A9BFE8ECF61"/>
          </w:pPr>
          <w:r>
            <w:rPr>
              <w:rStyle w:val="a3"/>
            </w:rPr>
            <w:t xml:space="preserve">　</w:t>
          </w:r>
        </w:p>
      </w:docPartBody>
    </w:docPart>
    <w:docPart>
      <w:docPartPr>
        <w:name w:val="D6E190523B3146A6BDA5CE59871C0D79"/>
        <w:category>
          <w:name w:val="常规"/>
          <w:gallery w:val="placeholder"/>
        </w:category>
        <w:types>
          <w:type w:val="bbPlcHdr"/>
        </w:types>
        <w:behaviors>
          <w:behavior w:val="content"/>
        </w:behaviors>
        <w:guid w:val="{957920B6-F5A6-4E9D-8202-87CA01F7B5EE}"/>
      </w:docPartPr>
      <w:docPartBody>
        <w:p w:rsidR="0003539B" w:rsidRDefault="004E2098" w:rsidP="004E2098">
          <w:pPr>
            <w:pStyle w:val="D6E190523B3146A6BDA5CE59871C0D79"/>
          </w:pPr>
          <w:r>
            <w:rPr>
              <w:rStyle w:val="a3"/>
              <w:rFonts w:hint="eastAsia"/>
            </w:rPr>
            <w:t xml:space="preserve">　</w:t>
          </w:r>
        </w:p>
      </w:docPartBody>
    </w:docPart>
    <w:docPart>
      <w:docPartPr>
        <w:name w:val="249C58174E514FB185AFBD7D2EB99968"/>
        <w:category>
          <w:name w:val="常规"/>
          <w:gallery w:val="placeholder"/>
        </w:category>
        <w:types>
          <w:type w:val="bbPlcHdr"/>
        </w:types>
        <w:behaviors>
          <w:behavior w:val="content"/>
        </w:behaviors>
        <w:guid w:val="{742D1603-8E2A-45F0-8946-082EBF0B175E}"/>
      </w:docPartPr>
      <w:docPartBody>
        <w:p w:rsidR="0003539B" w:rsidRDefault="004E2098" w:rsidP="004E2098">
          <w:pPr>
            <w:pStyle w:val="249C58174E514FB185AFBD7D2EB99968"/>
          </w:pPr>
          <w:r>
            <w:rPr>
              <w:rStyle w:val="a3"/>
            </w:rPr>
            <w:t>单击或点击此处输入文字。</w:t>
          </w:r>
        </w:p>
      </w:docPartBody>
    </w:docPart>
    <w:docPart>
      <w:docPartPr>
        <w:name w:val="99D67902664B45EFBFC66A5790C7CAC5"/>
        <w:category>
          <w:name w:val="常规"/>
          <w:gallery w:val="placeholder"/>
        </w:category>
        <w:types>
          <w:type w:val="bbPlcHdr"/>
        </w:types>
        <w:behaviors>
          <w:behavior w:val="content"/>
        </w:behaviors>
        <w:guid w:val="{9F971527-676A-4877-A532-CF3DDBD23C5C}"/>
      </w:docPartPr>
      <w:docPartBody>
        <w:p w:rsidR="0003539B" w:rsidRDefault="004E2098" w:rsidP="004E2098">
          <w:pPr>
            <w:pStyle w:val="99D67902664B45EFBFC66A5790C7CAC5"/>
          </w:pPr>
          <w:r>
            <w:rPr>
              <w:rStyle w:val="a3"/>
            </w:rPr>
            <w:t xml:space="preserve">　</w:t>
          </w:r>
        </w:p>
      </w:docPartBody>
    </w:docPart>
    <w:docPart>
      <w:docPartPr>
        <w:name w:val="7AED638A9953499A870CEF587743E883"/>
        <w:category>
          <w:name w:val="常规"/>
          <w:gallery w:val="placeholder"/>
        </w:category>
        <w:types>
          <w:type w:val="bbPlcHdr"/>
        </w:types>
        <w:behaviors>
          <w:behavior w:val="content"/>
        </w:behaviors>
        <w:guid w:val="{283E884F-58F3-4257-AC0B-C28A5EC78033}"/>
      </w:docPartPr>
      <w:docPartBody>
        <w:p w:rsidR="0003539B" w:rsidRDefault="004E2098" w:rsidP="004E2098">
          <w:pPr>
            <w:pStyle w:val="7AED638A9953499A870CEF587743E883"/>
          </w:pPr>
          <w:r>
            <w:rPr>
              <w:rStyle w:val="a3"/>
            </w:rPr>
            <w:t xml:space="preserve">　</w:t>
          </w:r>
        </w:p>
      </w:docPartBody>
    </w:docPart>
    <w:docPart>
      <w:docPartPr>
        <w:name w:val="AA4785E0B1114839942622D59CFDA48F"/>
        <w:category>
          <w:name w:val="常规"/>
          <w:gallery w:val="placeholder"/>
        </w:category>
        <w:types>
          <w:type w:val="bbPlcHdr"/>
        </w:types>
        <w:behaviors>
          <w:behavior w:val="content"/>
        </w:behaviors>
        <w:guid w:val="{2C90C3E9-09F6-4460-9ED7-64273B07A420}"/>
      </w:docPartPr>
      <w:docPartBody>
        <w:p w:rsidR="0003539B" w:rsidRDefault="004E2098" w:rsidP="004E2098">
          <w:pPr>
            <w:pStyle w:val="AA4785E0B1114839942622D59CFDA48F"/>
          </w:pPr>
          <w:r>
            <w:rPr>
              <w:rStyle w:val="a3"/>
              <w:rFonts w:hint="eastAsia"/>
            </w:rPr>
            <w:t xml:space="preserve">　</w:t>
          </w:r>
        </w:p>
      </w:docPartBody>
    </w:docPart>
    <w:docPart>
      <w:docPartPr>
        <w:name w:val="6FD6049DAE374FE69E7B03CFB89059DD"/>
        <w:category>
          <w:name w:val="常规"/>
          <w:gallery w:val="placeholder"/>
        </w:category>
        <w:types>
          <w:type w:val="bbPlcHdr"/>
        </w:types>
        <w:behaviors>
          <w:behavior w:val="content"/>
        </w:behaviors>
        <w:guid w:val="{C458F4CE-0434-4DAA-83B1-2AD3E436116F}"/>
      </w:docPartPr>
      <w:docPartBody>
        <w:p w:rsidR="0003539B" w:rsidRDefault="004E2098" w:rsidP="004E2098">
          <w:pPr>
            <w:pStyle w:val="6FD6049DAE374FE69E7B03CFB89059DD"/>
          </w:pPr>
          <w:r>
            <w:rPr>
              <w:rStyle w:val="a3"/>
              <w:rFonts w:hint="eastAsia"/>
            </w:rPr>
            <w:t xml:space="preserve">　</w:t>
          </w:r>
        </w:p>
      </w:docPartBody>
    </w:docPart>
    <w:docPart>
      <w:docPartPr>
        <w:name w:val="05DD255FD5DE4030BF81AF9BA41511C5"/>
        <w:category>
          <w:name w:val="常规"/>
          <w:gallery w:val="placeholder"/>
        </w:category>
        <w:types>
          <w:type w:val="bbPlcHdr"/>
        </w:types>
        <w:behaviors>
          <w:behavior w:val="content"/>
        </w:behaviors>
        <w:guid w:val="{93952282-CFAA-4B86-898E-B9B61165679F}"/>
      </w:docPartPr>
      <w:docPartBody>
        <w:p w:rsidR="0003539B" w:rsidRDefault="004E2098" w:rsidP="004E2098">
          <w:pPr>
            <w:pStyle w:val="05DD255FD5DE4030BF81AF9BA41511C5"/>
          </w:pPr>
          <w:r>
            <w:rPr>
              <w:rStyle w:val="a3"/>
              <w:rFonts w:hint="eastAsia"/>
            </w:rPr>
            <w:t xml:space="preserve">　</w:t>
          </w:r>
        </w:p>
      </w:docPartBody>
    </w:docPart>
    <w:docPart>
      <w:docPartPr>
        <w:name w:val="B41015A98CBF4A49B3B57394F9304D88"/>
        <w:category>
          <w:name w:val="常规"/>
          <w:gallery w:val="placeholder"/>
        </w:category>
        <w:types>
          <w:type w:val="bbPlcHdr"/>
        </w:types>
        <w:behaviors>
          <w:behavior w:val="content"/>
        </w:behaviors>
        <w:guid w:val="{6A5AB8B1-95EF-4EF9-BF86-C91BC1E6C661}"/>
      </w:docPartPr>
      <w:docPartBody>
        <w:p w:rsidR="0003539B" w:rsidRDefault="004E2098" w:rsidP="004E2098">
          <w:pPr>
            <w:pStyle w:val="B41015A98CBF4A49B3B57394F9304D88"/>
          </w:pPr>
          <w:r>
            <w:rPr>
              <w:rStyle w:val="a3"/>
              <w:rFonts w:hint="eastAsia"/>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Narrow">
    <w:altName w:val="Segoe Print"/>
    <w:charset w:val="00"/>
    <w:family w:val="swiss"/>
    <w:pitch w:val="default"/>
    <w:sig w:usb0="00000000" w:usb1="00000000" w:usb2="00000000" w:usb3="00000000" w:csb0="00000001" w:csb1="00000000"/>
  </w:font>
  <w:font w:name="Noto Sans CJK JP Regular">
    <w:altName w:val="黑体"/>
    <w:charset w:val="86"/>
    <w:family w:val="swiss"/>
    <w:pitch w:val="default"/>
    <w:sig w:usb0="00000000" w:usb1="00000000" w:usb2="00000016" w:usb3="00000000" w:csb0="002E0107" w:csb1="00000000"/>
  </w:font>
  <w:font w:name="FZLTSK--GBK1-0">
    <w:altName w:val="Times New Roman"/>
    <w:charset w:val="00"/>
    <w:family w:val="roman"/>
    <w:pitch w:val="default"/>
  </w:font>
  <w:font w:name="华文楷体">
    <w:panose1 w:val="02010600040101010101"/>
    <w:charset w:val="86"/>
    <w:family w:val="auto"/>
    <w:pitch w:val="variable"/>
    <w:sig w:usb0="00000287" w:usb1="080F0000" w:usb2="00000010" w:usb3="00000000" w:csb0="0004009F" w:csb1="00000000"/>
  </w:font>
  <w:font w:name="宋体-方正超大字符集">
    <w:altName w:val="宋体"/>
    <w:charset w:val="86"/>
    <w:family w:val="script"/>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E43"/>
    <w:rsid w:val="0000161E"/>
    <w:rsid w:val="00002689"/>
    <w:rsid w:val="00003E47"/>
    <w:rsid w:val="0000578B"/>
    <w:rsid w:val="00006480"/>
    <w:rsid w:val="00006B48"/>
    <w:rsid w:val="00011C18"/>
    <w:rsid w:val="00011E75"/>
    <w:rsid w:val="00012653"/>
    <w:rsid w:val="00012A0F"/>
    <w:rsid w:val="00013B71"/>
    <w:rsid w:val="00013C02"/>
    <w:rsid w:val="000172E4"/>
    <w:rsid w:val="00020357"/>
    <w:rsid w:val="000208F7"/>
    <w:rsid w:val="00020D37"/>
    <w:rsid w:val="00021BC4"/>
    <w:rsid w:val="000234EA"/>
    <w:rsid w:val="0002361B"/>
    <w:rsid w:val="000236A0"/>
    <w:rsid w:val="00025C3F"/>
    <w:rsid w:val="0002605F"/>
    <w:rsid w:val="000278B2"/>
    <w:rsid w:val="00031EC1"/>
    <w:rsid w:val="00032504"/>
    <w:rsid w:val="00032ECB"/>
    <w:rsid w:val="000336AB"/>
    <w:rsid w:val="00034FD5"/>
    <w:rsid w:val="0003539B"/>
    <w:rsid w:val="000353DC"/>
    <w:rsid w:val="0003608F"/>
    <w:rsid w:val="000373E9"/>
    <w:rsid w:val="000403D5"/>
    <w:rsid w:val="00040A6F"/>
    <w:rsid w:val="000420A5"/>
    <w:rsid w:val="00044179"/>
    <w:rsid w:val="00044916"/>
    <w:rsid w:val="00045444"/>
    <w:rsid w:val="00051ABB"/>
    <w:rsid w:val="00052A35"/>
    <w:rsid w:val="000554CD"/>
    <w:rsid w:val="00055561"/>
    <w:rsid w:val="000565A1"/>
    <w:rsid w:val="0005740A"/>
    <w:rsid w:val="00060E7E"/>
    <w:rsid w:val="00061F65"/>
    <w:rsid w:val="000633F4"/>
    <w:rsid w:val="00063874"/>
    <w:rsid w:val="00063A46"/>
    <w:rsid w:val="00063CC6"/>
    <w:rsid w:val="00065B5A"/>
    <w:rsid w:val="000667C2"/>
    <w:rsid w:val="00067DCC"/>
    <w:rsid w:val="00070ACB"/>
    <w:rsid w:val="00070BF0"/>
    <w:rsid w:val="00076D57"/>
    <w:rsid w:val="0007717F"/>
    <w:rsid w:val="00077530"/>
    <w:rsid w:val="000802FD"/>
    <w:rsid w:val="00081D6E"/>
    <w:rsid w:val="00082580"/>
    <w:rsid w:val="00083A50"/>
    <w:rsid w:val="00083B00"/>
    <w:rsid w:val="00083C63"/>
    <w:rsid w:val="00084E8F"/>
    <w:rsid w:val="00085A90"/>
    <w:rsid w:val="00087193"/>
    <w:rsid w:val="00087F7B"/>
    <w:rsid w:val="0009029E"/>
    <w:rsid w:val="00090A6F"/>
    <w:rsid w:val="00091B0E"/>
    <w:rsid w:val="000935CF"/>
    <w:rsid w:val="00093BE5"/>
    <w:rsid w:val="000958C3"/>
    <w:rsid w:val="000962FF"/>
    <w:rsid w:val="00096466"/>
    <w:rsid w:val="000A0FAE"/>
    <w:rsid w:val="000A1F58"/>
    <w:rsid w:val="000A31F9"/>
    <w:rsid w:val="000B3464"/>
    <w:rsid w:val="000B39A3"/>
    <w:rsid w:val="000B513A"/>
    <w:rsid w:val="000B5761"/>
    <w:rsid w:val="000B5C82"/>
    <w:rsid w:val="000C2D3D"/>
    <w:rsid w:val="000C50BC"/>
    <w:rsid w:val="000C5E8F"/>
    <w:rsid w:val="000C5F2F"/>
    <w:rsid w:val="000C656D"/>
    <w:rsid w:val="000C7098"/>
    <w:rsid w:val="000D0276"/>
    <w:rsid w:val="000D5E0C"/>
    <w:rsid w:val="000E18BB"/>
    <w:rsid w:val="000E3728"/>
    <w:rsid w:val="000E5940"/>
    <w:rsid w:val="000E597E"/>
    <w:rsid w:val="000E7091"/>
    <w:rsid w:val="000E7B4D"/>
    <w:rsid w:val="000F0BE1"/>
    <w:rsid w:val="000F147D"/>
    <w:rsid w:val="000F3B57"/>
    <w:rsid w:val="000F41A3"/>
    <w:rsid w:val="000F440D"/>
    <w:rsid w:val="000F597A"/>
    <w:rsid w:val="000F7993"/>
    <w:rsid w:val="001002C0"/>
    <w:rsid w:val="00101C5F"/>
    <w:rsid w:val="00101EE7"/>
    <w:rsid w:val="00103415"/>
    <w:rsid w:val="00104269"/>
    <w:rsid w:val="00105693"/>
    <w:rsid w:val="00105B3C"/>
    <w:rsid w:val="00110AE1"/>
    <w:rsid w:val="001111ED"/>
    <w:rsid w:val="00112E0D"/>
    <w:rsid w:val="001130FF"/>
    <w:rsid w:val="001135CC"/>
    <w:rsid w:val="00114109"/>
    <w:rsid w:val="00114DC0"/>
    <w:rsid w:val="00114EE3"/>
    <w:rsid w:val="00117118"/>
    <w:rsid w:val="0011797F"/>
    <w:rsid w:val="001179BE"/>
    <w:rsid w:val="00122BB8"/>
    <w:rsid w:val="001279CA"/>
    <w:rsid w:val="00132C46"/>
    <w:rsid w:val="00133739"/>
    <w:rsid w:val="0013655E"/>
    <w:rsid w:val="00140824"/>
    <w:rsid w:val="0014233D"/>
    <w:rsid w:val="00142487"/>
    <w:rsid w:val="001425FD"/>
    <w:rsid w:val="00142BBE"/>
    <w:rsid w:val="00143BEA"/>
    <w:rsid w:val="00144665"/>
    <w:rsid w:val="00150031"/>
    <w:rsid w:val="001500BB"/>
    <w:rsid w:val="00151EE9"/>
    <w:rsid w:val="00151FD0"/>
    <w:rsid w:val="00152DC3"/>
    <w:rsid w:val="00152F0F"/>
    <w:rsid w:val="001540A9"/>
    <w:rsid w:val="0015578A"/>
    <w:rsid w:val="00156761"/>
    <w:rsid w:val="00157128"/>
    <w:rsid w:val="00162B35"/>
    <w:rsid w:val="001641EA"/>
    <w:rsid w:val="00165D2C"/>
    <w:rsid w:val="00167914"/>
    <w:rsid w:val="00167B4F"/>
    <w:rsid w:val="001705F9"/>
    <w:rsid w:val="001722CC"/>
    <w:rsid w:val="001812E2"/>
    <w:rsid w:val="00182C09"/>
    <w:rsid w:val="00183634"/>
    <w:rsid w:val="00184093"/>
    <w:rsid w:val="0018427A"/>
    <w:rsid w:val="00185081"/>
    <w:rsid w:val="00186ABA"/>
    <w:rsid w:val="00190BFB"/>
    <w:rsid w:val="00191DA7"/>
    <w:rsid w:val="00191ED7"/>
    <w:rsid w:val="00192056"/>
    <w:rsid w:val="001940A4"/>
    <w:rsid w:val="001967D6"/>
    <w:rsid w:val="00197942"/>
    <w:rsid w:val="001A0B7A"/>
    <w:rsid w:val="001A2D80"/>
    <w:rsid w:val="001A3E54"/>
    <w:rsid w:val="001A4390"/>
    <w:rsid w:val="001A4BF1"/>
    <w:rsid w:val="001A57A7"/>
    <w:rsid w:val="001A5C0B"/>
    <w:rsid w:val="001A79B6"/>
    <w:rsid w:val="001A7DCE"/>
    <w:rsid w:val="001B1217"/>
    <w:rsid w:val="001B29D3"/>
    <w:rsid w:val="001B2FBB"/>
    <w:rsid w:val="001B3DB4"/>
    <w:rsid w:val="001B40F8"/>
    <w:rsid w:val="001B64A1"/>
    <w:rsid w:val="001B7441"/>
    <w:rsid w:val="001B7812"/>
    <w:rsid w:val="001B7C3F"/>
    <w:rsid w:val="001C18E2"/>
    <w:rsid w:val="001C2312"/>
    <w:rsid w:val="001C33CA"/>
    <w:rsid w:val="001C6758"/>
    <w:rsid w:val="001D261F"/>
    <w:rsid w:val="001D2ED1"/>
    <w:rsid w:val="001E2A87"/>
    <w:rsid w:val="001E649A"/>
    <w:rsid w:val="001E6954"/>
    <w:rsid w:val="001E6F7E"/>
    <w:rsid w:val="001E7AC2"/>
    <w:rsid w:val="001F792E"/>
    <w:rsid w:val="001F7AEB"/>
    <w:rsid w:val="00202BF5"/>
    <w:rsid w:val="00203E4B"/>
    <w:rsid w:val="002040F5"/>
    <w:rsid w:val="002118F6"/>
    <w:rsid w:val="002132DA"/>
    <w:rsid w:val="00214451"/>
    <w:rsid w:val="00214E5E"/>
    <w:rsid w:val="002157E5"/>
    <w:rsid w:val="002203AB"/>
    <w:rsid w:val="00222C1F"/>
    <w:rsid w:val="00223F84"/>
    <w:rsid w:val="0022443E"/>
    <w:rsid w:val="002318AF"/>
    <w:rsid w:val="00235A03"/>
    <w:rsid w:val="00235CE8"/>
    <w:rsid w:val="00237E37"/>
    <w:rsid w:val="00237F24"/>
    <w:rsid w:val="00240870"/>
    <w:rsid w:val="00240BD1"/>
    <w:rsid w:val="00240E59"/>
    <w:rsid w:val="00241AA2"/>
    <w:rsid w:val="002424E5"/>
    <w:rsid w:val="00242BA5"/>
    <w:rsid w:val="00242E13"/>
    <w:rsid w:val="00245E71"/>
    <w:rsid w:val="00246DDB"/>
    <w:rsid w:val="00247189"/>
    <w:rsid w:val="002508EC"/>
    <w:rsid w:val="0025162E"/>
    <w:rsid w:val="00252183"/>
    <w:rsid w:val="0025254C"/>
    <w:rsid w:val="002542CB"/>
    <w:rsid w:val="00255510"/>
    <w:rsid w:val="0025623B"/>
    <w:rsid w:val="0026700C"/>
    <w:rsid w:val="00267758"/>
    <w:rsid w:val="0027269C"/>
    <w:rsid w:val="002751E2"/>
    <w:rsid w:val="002768D5"/>
    <w:rsid w:val="00277A8A"/>
    <w:rsid w:val="002806A5"/>
    <w:rsid w:val="00282709"/>
    <w:rsid w:val="00291691"/>
    <w:rsid w:val="002939B4"/>
    <w:rsid w:val="00295B2D"/>
    <w:rsid w:val="00296AA3"/>
    <w:rsid w:val="0029741B"/>
    <w:rsid w:val="002A01D2"/>
    <w:rsid w:val="002A047F"/>
    <w:rsid w:val="002A133C"/>
    <w:rsid w:val="002A1B3D"/>
    <w:rsid w:val="002A3D43"/>
    <w:rsid w:val="002A7833"/>
    <w:rsid w:val="002B0D5C"/>
    <w:rsid w:val="002B2E1D"/>
    <w:rsid w:val="002B3D65"/>
    <w:rsid w:val="002B6A1A"/>
    <w:rsid w:val="002B7219"/>
    <w:rsid w:val="002C052B"/>
    <w:rsid w:val="002C1384"/>
    <w:rsid w:val="002C1FA8"/>
    <w:rsid w:val="002C244A"/>
    <w:rsid w:val="002C4171"/>
    <w:rsid w:val="002C4EDD"/>
    <w:rsid w:val="002C4FD3"/>
    <w:rsid w:val="002C60AD"/>
    <w:rsid w:val="002C74B0"/>
    <w:rsid w:val="002C7F45"/>
    <w:rsid w:val="002D1456"/>
    <w:rsid w:val="002D36DA"/>
    <w:rsid w:val="002D3F31"/>
    <w:rsid w:val="002D5902"/>
    <w:rsid w:val="002D6E4F"/>
    <w:rsid w:val="002D6EFF"/>
    <w:rsid w:val="002D76CF"/>
    <w:rsid w:val="002E2523"/>
    <w:rsid w:val="002E4457"/>
    <w:rsid w:val="002E51D6"/>
    <w:rsid w:val="002E52A1"/>
    <w:rsid w:val="002F2BCD"/>
    <w:rsid w:val="003023FA"/>
    <w:rsid w:val="0030473E"/>
    <w:rsid w:val="003052E1"/>
    <w:rsid w:val="00305936"/>
    <w:rsid w:val="003076E0"/>
    <w:rsid w:val="003107C9"/>
    <w:rsid w:val="00311067"/>
    <w:rsid w:val="00313916"/>
    <w:rsid w:val="003145A5"/>
    <w:rsid w:val="003161CE"/>
    <w:rsid w:val="00321D6D"/>
    <w:rsid w:val="00322C92"/>
    <w:rsid w:val="00323E29"/>
    <w:rsid w:val="0032625F"/>
    <w:rsid w:val="003262C7"/>
    <w:rsid w:val="00326ECB"/>
    <w:rsid w:val="003333AF"/>
    <w:rsid w:val="00335DE6"/>
    <w:rsid w:val="00342477"/>
    <w:rsid w:val="00343D04"/>
    <w:rsid w:val="00344D91"/>
    <w:rsid w:val="00347369"/>
    <w:rsid w:val="00351B46"/>
    <w:rsid w:val="00353AE0"/>
    <w:rsid w:val="00356A92"/>
    <w:rsid w:val="00357D61"/>
    <w:rsid w:val="00361A6B"/>
    <w:rsid w:val="0036347B"/>
    <w:rsid w:val="00363E3B"/>
    <w:rsid w:val="0036515B"/>
    <w:rsid w:val="0037315D"/>
    <w:rsid w:val="00374D45"/>
    <w:rsid w:val="00377616"/>
    <w:rsid w:val="003804EA"/>
    <w:rsid w:val="00381BC0"/>
    <w:rsid w:val="00382F4F"/>
    <w:rsid w:val="0038360C"/>
    <w:rsid w:val="00386864"/>
    <w:rsid w:val="0039064D"/>
    <w:rsid w:val="003908FA"/>
    <w:rsid w:val="00391982"/>
    <w:rsid w:val="0039324D"/>
    <w:rsid w:val="003962B1"/>
    <w:rsid w:val="003967B0"/>
    <w:rsid w:val="003A26AD"/>
    <w:rsid w:val="003A2DE3"/>
    <w:rsid w:val="003A4370"/>
    <w:rsid w:val="003A599F"/>
    <w:rsid w:val="003A5ECC"/>
    <w:rsid w:val="003A61DE"/>
    <w:rsid w:val="003A738C"/>
    <w:rsid w:val="003A7637"/>
    <w:rsid w:val="003B2E3D"/>
    <w:rsid w:val="003B4A6B"/>
    <w:rsid w:val="003B4D40"/>
    <w:rsid w:val="003C0C12"/>
    <w:rsid w:val="003C1982"/>
    <w:rsid w:val="003C1EE8"/>
    <w:rsid w:val="003C5569"/>
    <w:rsid w:val="003C56E7"/>
    <w:rsid w:val="003D0725"/>
    <w:rsid w:val="003D26F4"/>
    <w:rsid w:val="003D3FEC"/>
    <w:rsid w:val="003D5E62"/>
    <w:rsid w:val="003D726E"/>
    <w:rsid w:val="003D7851"/>
    <w:rsid w:val="003D7CE7"/>
    <w:rsid w:val="003E169C"/>
    <w:rsid w:val="003E29F3"/>
    <w:rsid w:val="003E3750"/>
    <w:rsid w:val="003E4A55"/>
    <w:rsid w:val="003E7481"/>
    <w:rsid w:val="003F10C8"/>
    <w:rsid w:val="003F1975"/>
    <w:rsid w:val="003F3961"/>
    <w:rsid w:val="003F3A03"/>
    <w:rsid w:val="003F61C2"/>
    <w:rsid w:val="00400DFB"/>
    <w:rsid w:val="00400F42"/>
    <w:rsid w:val="0040196D"/>
    <w:rsid w:val="0040287B"/>
    <w:rsid w:val="0040607F"/>
    <w:rsid w:val="004073B3"/>
    <w:rsid w:val="00410006"/>
    <w:rsid w:val="00410557"/>
    <w:rsid w:val="004140D9"/>
    <w:rsid w:val="00414CEC"/>
    <w:rsid w:val="004158B7"/>
    <w:rsid w:val="00415A60"/>
    <w:rsid w:val="004161D6"/>
    <w:rsid w:val="004223B5"/>
    <w:rsid w:val="00424A0C"/>
    <w:rsid w:val="00425135"/>
    <w:rsid w:val="0043080F"/>
    <w:rsid w:val="00432A1F"/>
    <w:rsid w:val="004336EF"/>
    <w:rsid w:val="0043488A"/>
    <w:rsid w:val="00440F19"/>
    <w:rsid w:val="0044105B"/>
    <w:rsid w:val="00441FC4"/>
    <w:rsid w:val="00442316"/>
    <w:rsid w:val="00442E13"/>
    <w:rsid w:val="00447E3B"/>
    <w:rsid w:val="004506BE"/>
    <w:rsid w:val="00452790"/>
    <w:rsid w:val="004533D1"/>
    <w:rsid w:val="00455499"/>
    <w:rsid w:val="00455B73"/>
    <w:rsid w:val="00455C0C"/>
    <w:rsid w:val="00456406"/>
    <w:rsid w:val="004565C9"/>
    <w:rsid w:val="00457596"/>
    <w:rsid w:val="00462366"/>
    <w:rsid w:val="004629D5"/>
    <w:rsid w:val="00470F61"/>
    <w:rsid w:val="004714A5"/>
    <w:rsid w:val="004714D5"/>
    <w:rsid w:val="004719CF"/>
    <w:rsid w:val="0047340A"/>
    <w:rsid w:val="00475FC2"/>
    <w:rsid w:val="00480468"/>
    <w:rsid w:val="004808A5"/>
    <w:rsid w:val="00480CD1"/>
    <w:rsid w:val="004814D3"/>
    <w:rsid w:val="00481FE6"/>
    <w:rsid w:val="0048763F"/>
    <w:rsid w:val="00487A62"/>
    <w:rsid w:val="00491337"/>
    <w:rsid w:val="0049223A"/>
    <w:rsid w:val="00492496"/>
    <w:rsid w:val="00492A9F"/>
    <w:rsid w:val="00493BA3"/>
    <w:rsid w:val="00494271"/>
    <w:rsid w:val="004942F5"/>
    <w:rsid w:val="0049694C"/>
    <w:rsid w:val="004A0313"/>
    <w:rsid w:val="004A20D7"/>
    <w:rsid w:val="004B03EC"/>
    <w:rsid w:val="004B2FA4"/>
    <w:rsid w:val="004B3148"/>
    <w:rsid w:val="004B325E"/>
    <w:rsid w:val="004B44B8"/>
    <w:rsid w:val="004B45D4"/>
    <w:rsid w:val="004B4CFF"/>
    <w:rsid w:val="004B54E9"/>
    <w:rsid w:val="004B59D6"/>
    <w:rsid w:val="004B6A92"/>
    <w:rsid w:val="004C0CD8"/>
    <w:rsid w:val="004C13E9"/>
    <w:rsid w:val="004C20D5"/>
    <w:rsid w:val="004C2111"/>
    <w:rsid w:val="004C43A4"/>
    <w:rsid w:val="004C559B"/>
    <w:rsid w:val="004C7259"/>
    <w:rsid w:val="004C76CE"/>
    <w:rsid w:val="004D13C4"/>
    <w:rsid w:val="004D1741"/>
    <w:rsid w:val="004D20EE"/>
    <w:rsid w:val="004D2666"/>
    <w:rsid w:val="004D2E52"/>
    <w:rsid w:val="004D6AE4"/>
    <w:rsid w:val="004D7489"/>
    <w:rsid w:val="004D7840"/>
    <w:rsid w:val="004E04F7"/>
    <w:rsid w:val="004E19E9"/>
    <w:rsid w:val="004E2098"/>
    <w:rsid w:val="004E3AF1"/>
    <w:rsid w:val="004E7288"/>
    <w:rsid w:val="004F009B"/>
    <w:rsid w:val="004F0706"/>
    <w:rsid w:val="004F0916"/>
    <w:rsid w:val="004F207A"/>
    <w:rsid w:val="004F2904"/>
    <w:rsid w:val="004F3ADA"/>
    <w:rsid w:val="004F401F"/>
    <w:rsid w:val="004F55A0"/>
    <w:rsid w:val="004F6AED"/>
    <w:rsid w:val="004F7002"/>
    <w:rsid w:val="005027B4"/>
    <w:rsid w:val="005027F0"/>
    <w:rsid w:val="00502FA1"/>
    <w:rsid w:val="00503995"/>
    <w:rsid w:val="00504773"/>
    <w:rsid w:val="00506383"/>
    <w:rsid w:val="005068BC"/>
    <w:rsid w:val="00506E14"/>
    <w:rsid w:val="005127FE"/>
    <w:rsid w:val="00512EE4"/>
    <w:rsid w:val="005169E4"/>
    <w:rsid w:val="00516D73"/>
    <w:rsid w:val="00517913"/>
    <w:rsid w:val="00520485"/>
    <w:rsid w:val="00522F6B"/>
    <w:rsid w:val="00523110"/>
    <w:rsid w:val="00523875"/>
    <w:rsid w:val="00524D62"/>
    <w:rsid w:val="00525512"/>
    <w:rsid w:val="00525721"/>
    <w:rsid w:val="005264DA"/>
    <w:rsid w:val="00526766"/>
    <w:rsid w:val="005268E0"/>
    <w:rsid w:val="00527DB2"/>
    <w:rsid w:val="005313CD"/>
    <w:rsid w:val="005335BB"/>
    <w:rsid w:val="00533650"/>
    <w:rsid w:val="00533F72"/>
    <w:rsid w:val="00536A57"/>
    <w:rsid w:val="00537979"/>
    <w:rsid w:val="005422E3"/>
    <w:rsid w:val="00542A0E"/>
    <w:rsid w:val="0054615B"/>
    <w:rsid w:val="00546292"/>
    <w:rsid w:val="005472A5"/>
    <w:rsid w:val="00550C78"/>
    <w:rsid w:val="00550DEC"/>
    <w:rsid w:val="00551DFD"/>
    <w:rsid w:val="0055253F"/>
    <w:rsid w:val="00552952"/>
    <w:rsid w:val="0055587F"/>
    <w:rsid w:val="00556A44"/>
    <w:rsid w:val="0055746E"/>
    <w:rsid w:val="00560A87"/>
    <w:rsid w:val="00562685"/>
    <w:rsid w:val="00564CD3"/>
    <w:rsid w:val="0056541D"/>
    <w:rsid w:val="005654AC"/>
    <w:rsid w:val="00565C40"/>
    <w:rsid w:val="00565DA6"/>
    <w:rsid w:val="005670C9"/>
    <w:rsid w:val="00567462"/>
    <w:rsid w:val="00567CB4"/>
    <w:rsid w:val="00567D9E"/>
    <w:rsid w:val="00567F61"/>
    <w:rsid w:val="0057005A"/>
    <w:rsid w:val="00571479"/>
    <w:rsid w:val="00573A32"/>
    <w:rsid w:val="005752A8"/>
    <w:rsid w:val="00575D97"/>
    <w:rsid w:val="00576019"/>
    <w:rsid w:val="005779AE"/>
    <w:rsid w:val="005821C1"/>
    <w:rsid w:val="005822A8"/>
    <w:rsid w:val="00582E12"/>
    <w:rsid w:val="0058466B"/>
    <w:rsid w:val="005856BC"/>
    <w:rsid w:val="0058588D"/>
    <w:rsid w:val="0059545D"/>
    <w:rsid w:val="005A0729"/>
    <w:rsid w:val="005A0EDB"/>
    <w:rsid w:val="005A2E6F"/>
    <w:rsid w:val="005A5462"/>
    <w:rsid w:val="005A6D6C"/>
    <w:rsid w:val="005A6ED8"/>
    <w:rsid w:val="005B2C3C"/>
    <w:rsid w:val="005B3CB6"/>
    <w:rsid w:val="005B5439"/>
    <w:rsid w:val="005C028E"/>
    <w:rsid w:val="005C2D90"/>
    <w:rsid w:val="005C47CD"/>
    <w:rsid w:val="005C4B09"/>
    <w:rsid w:val="005C5DA2"/>
    <w:rsid w:val="005D64A0"/>
    <w:rsid w:val="005D6837"/>
    <w:rsid w:val="005D6C4C"/>
    <w:rsid w:val="005E2741"/>
    <w:rsid w:val="005E2D1E"/>
    <w:rsid w:val="005E3B88"/>
    <w:rsid w:val="005E4703"/>
    <w:rsid w:val="005E61F9"/>
    <w:rsid w:val="005E63F7"/>
    <w:rsid w:val="005E7CE3"/>
    <w:rsid w:val="005F0430"/>
    <w:rsid w:val="005F1E03"/>
    <w:rsid w:val="005F3BA5"/>
    <w:rsid w:val="005F589F"/>
    <w:rsid w:val="005F5C28"/>
    <w:rsid w:val="006008DC"/>
    <w:rsid w:val="00601FDC"/>
    <w:rsid w:val="0060301F"/>
    <w:rsid w:val="00610B71"/>
    <w:rsid w:val="006126EC"/>
    <w:rsid w:val="00617EEA"/>
    <w:rsid w:val="0062450B"/>
    <w:rsid w:val="00624AF3"/>
    <w:rsid w:val="00626F2D"/>
    <w:rsid w:val="00626F33"/>
    <w:rsid w:val="006271F1"/>
    <w:rsid w:val="00627316"/>
    <w:rsid w:val="00632279"/>
    <w:rsid w:val="00635AC4"/>
    <w:rsid w:val="00640742"/>
    <w:rsid w:val="00640DE1"/>
    <w:rsid w:val="0064157C"/>
    <w:rsid w:val="006416B8"/>
    <w:rsid w:val="006433CC"/>
    <w:rsid w:val="00643FA8"/>
    <w:rsid w:val="0064473F"/>
    <w:rsid w:val="00644CC2"/>
    <w:rsid w:val="00653689"/>
    <w:rsid w:val="00653904"/>
    <w:rsid w:val="00654ABD"/>
    <w:rsid w:val="0065606C"/>
    <w:rsid w:val="00664E7A"/>
    <w:rsid w:val="0066607A"/>
    <w:rsid w:val="006679B5"/>
    <w:rsid w:val="00667ED8"/>
    <w:rsid w:val="0067183E"/>
    <w:rsid w:val="00671DB1"/>
    <w:rsid w:val="00672440"/>
    <w:rsid w:val="00674B33"/>
    <w:rsid w:val="0067564A"/>
    <w:rsid w:val="00675684"/>
    <w:rsid w:val="00676119"/>
    <w:rsid w:val="00680447"/>
    <w:rsid w:val="0068287F"/>
    <w:rsid w:val="00683DD9"/>
    <w:rsid w:val="00685EA9"/>
    <w:rsid w:val="0069152F"/>
    <w:rsid w:val="006928D0"/>
    <w:rsid w:val="00694DF7"/>
    <w:rsid w:val="00696D0B"/>
    <w:rsid w:val="006979F0"/>
    <w:rsid w:val="006A05A7"/>
    <w:rsid w:val="006A20D1"/>
    <w:rsid w:val="006A2991"/>
    <w:rsid w:val="006A4082"/>
    <w:rsid w:val="006A6E01"/>
    <w:rsid w:val="006A7E2E"/>
    <w:rsid w:val="006B1968"/>
    <w:rsid w:val="006B25FE"/>
    <w:rsid w:val="006B2F1C"/>
    <w:rsid w:val="006B2F7C"/>
    <w:rsid w:val="006B428F"/>
    <w:rsid w:val="006B5B2D"/>
    <w:rsid w:val="006B5E23"/>
    <w:rsid w:val="006B626E"/>
    <w:rsid w:val="006B6DE4"/>
    <w:rsid w:val="006C0371"/>
    <w:rsid w:val="006C425B"/>
    <w:rsid w:val="006C4D76"/>
    <w:rsid w:val="006C4F96"/>
    <w:rsid w:val="006C5037"/>
    <w:rsid w:val="006C59BD"/>
    <w:rsid w:val="006C74C5"/>
    <w:rsid w:val="006C7EDF"/>
    <w:rsid w:val="006D0081"/>
    <w:rsid w:val="006D0624"/>
    <w:rsid w:val="006D0751"/>
    <w:rsid w:val="006D2E8E"/>
    <w:rsid w:val="006D61A3"/>
    <w:rsid w:val="006D7649"/>
    <w:rsid w:val="006E5795"/>
    <w:rsid w:val="006E6B2E"/>
    <w:rsid w:val="006E7EC9"/>
    <w:rsid w:val="006F09DE"/>
    <w:rsid w:val="006F13FA"/>
    <w:rsid w:val="006F39D6"/>
    <w:rsid w:val="006F4FF6"/>
    <w:rsid w:val="006F509B"/>
    <w:rsid w:val="00701786"/>
    <w:rsid w:val="00703C57"/>
    <w:rsid w:val="00705C49"/>
    <w:rsid w:val="00710592"/>
    <w:rsid w:val="00710687"/>
    <w:rsid w:val="00710A14"/>
    <w:rsid w:val="00710FC9"/>
    <w:rsid w:val="00711502"/>
    <w:rsid w:val="00711627"/>
    <w:rsid w:val="00712509"/>
    <w:rsid w:val="0071327A"/>
    <w:rsid w:val="007172CA"/>
    <w:rsid w:val="007230C8"/>
    <w:rsid w:val="00731723"/>
    <w:rsid w:val="00732BBD"/>
    <w:rsid w:val="00734566"/>
    <w:rsid w:val="007355F3"/>
    <w:rsid w:val="00740175"/>
    <w:rsid w:val="00742848"/>
    <w:rsid w:val="00742B8F"/>
    <w:rsid w:val="007433AC"/>
    <w:rsid w:val="00743F53"/>
    <w:rsid w:val="00745D61"/>
    <w:rsid w:val="0074600A"/>
    <w:rsid w:val="007534BD"/>
    <w:rsid w:val="00753789"/>
    <w:rsid w:val="0075396A"/>
    <w:rsid w:val="007571F3"/>
    <w:rsid w:val="00760883"/>
    <w:rsid w:val="007647C9"/>
    <w:rsid w:val="00764A07"/>
    <w:rsid w:val="00765FF6"/>
    <w:rsid w:val="007662F5"/>
    <w:rsid w:val="007675EA"/>
    <w:rsid w:val="007715AA"/>
    <w:rsid w:val="007729B5"/>
    <w:rsid w:val="00772AF0"/>
    <w:rsid w:val="0077360B"/>
    <w:rsid w:val="0077366C"/>
    <w:rsid w:val="007737FB"/>
    <w:rsid w:val="00774E2F"/>
    <w:rsid w:val="00775421"/>
    <w:rsid w:val="00776D56"/>
    <w:rsid w:val="00780475"/>
    <w:rsid w:val="00781FC8"/>
    <w:rsid w:val="00782C46"/>
    <w:rsid w:val="00783F31"/>
    <w:rsid w:val="00784CEB"/>
    <w:rsid w:val="00784D7A"/>
    <w:rsid w:val="00785622"/>
    <w:rsid w:val="0079002E"/>
    <w:rsid w:val="00790D3F"/>
    <w:rsid w:val="00792D3C"/>
    <w:rsid w:val="007945B6"/>
    <w:rsid w:val="007967C1"/>
    <w:rsid w:val="007A0A96"/>
    <w:rsid w:val="007B135F"/>
    <w:rsid w:val="007B1B69"/>
    <w:rsid w:val="007B4384"/>
    <w:rsid w:val="007B5F58"/>
    <w:rsid w:val="007C0882"/>
    <w:rsid w:val="007C1043"/>
    <w:rsid w:val="007C4BE1"/>
    <w:rsid w:val="007C5110"/>
    <w:rsid w:val="007C57B7"/>
    <w:rsid w:val="007C7931"/>
    <w:rsid w:val="007D419F"/>
    <w:rsid w:val="007D41D5"/>
    <w:rsid w:val="007D6F29"/>
    <w:rsid w:val="007D735A"/>
    <w:rsid w:val="007E259D"/>
    <w:rsid w:val="007E3A9C"/>
    <w:rsid w:val="007E4C54"/>
    <w:rsid w:val="007F0584"/>
    <w:rsid w:val="007F11B8"/>
    <w:rsid w:val="007F3ADC"/>
    <w:rsid w:val="007F3EEA"/>
    <w:rsid w:val="007F776F"/>
    <w:rsid w:val="00801A03"/>
    <w:rsid w:val="00802845"/>
    <w:rsid w:val="00802CB7"/>
    <w:rsid w:val="00803299"/>
    <w:rsid w:val="00804F6D"/>
    <w:rsid w:val="00805068"/>
    <w:rsid w:val="00811EE1"/>
    <w:rsid w:val="00812056"/>
    <w:rsid w:val="008165EA"/>
    <w:rsid w:val="00816907"/>
    <w:rsid w:val="00816CF0"/>
    <w:rsid w:val="0081790A"/>
    <w:rsid w:val="008201BA"/>
    <w:rsid w:val="00821CF3"/>
    <w:rsid w:val="00822E96"/>
    <w:rsid w:val="00823DE0"/>
    <w:rsid w:val="00825D16"/>
    <w:rsid w:val="0083006E"/>
    <w:rsid w:val="00830A74"/>
    <w:rsid w:val="008325A3"/>
    <w:rsid w:val="008339EF"/>
    <w:rsid w:val="008348F3"/>
    <w:rsid w:val="00837823"/>
    <w:rsid w:val="00837A15"/>
    <w:rsid w:val="00842FF3"/>
    <w:rsid w:val="008432B2"/>
    <w:rsid w:val="0084344B"/>
    <w:rsid w:val="008460D1"/>
    <w:rsid w:val="00846C3B"/>
    <w:rsid w:val="008472B9"/>
    <w:rsid w:val="00850ABF"/>
    <w:rsid w:val="00850C34"/>
    <w:rsid w:val="00850F04"/>
    <w:rsid w:val="008543E1"/>
    <w:rsid w:val="008549B6"/>
    <w:rsid w:val="00856596"/>
    <w:rsid w:val="0086068B"/>
    <w:rsid w:val="008620B4"/>
    <w:rsid w:val="008657EC"/>
    <w:rsid w:val="00865910"/>
    <w:rsid w:val="00870DBE"/>
    <w:rsid w:val="008718D8"/>
    <w:rsid w:val="00872F94"/>
    <w:rsid w:val="00873818"/>
    <w:rsid w:val="00873F7F"/>
    <w:rsid w:val="00874239"/>
    <w:rsid w:val="00877A6D"/>
    <w:rsid w:val="00882006"/>
    <w:rsid w:val="00884EC1"/>
    <w:rsid w:val="00885BC5"/>
    <w:rsid w:val="00886903"/>
    <w:rsid w:val="00890F00"/>
    <w:rsid w:val="00891373"/>
    <w:rsid w:val="0089183D"/>
    <w:rsid w:val="0089283A"/>
    <w:rsid w:val="0089696C"/>
    <w:rsid w:val="00896B53"/>
    <w:rsid w:val="00897A46"/>
    <w:rsid w:val="008A1089"/>
    <w:rsid w:val="008A12DA"/>
    <w:rsid w:val="008A3F14"/>
    <w:rsid w:val="008A5DB2"/>
    <w:rsid w:val="008B1A1A"/>
    <w:rsid w:val="008B1FF2"/>
    <w:rsid w:val="008B231B"/>
    <w:rsid w:val="008B4BFE"/>
    <w:rsid w:val="008B691B"/>
    <w:rsid w:val="008C0885"/>
    <w:rsid w:val="008C255E"/>
    <w:rsid w:val="008C3D5E"/>
    <w:rsid w:val="008D4FC7"/>
    <w:rsid w:val="008D59A1"/>
    <w:rsid w:val="008D5C98"/>
    <w:rsid w:val="008E0178"/>
    <w:rsid w:val="008E0994"/>
    <w:rsid w:val="008E2C54"/>
    <w:rsid w:val="008E364C"/>
    <w:rsid w:val="008E42C5"/>
    <w:rsid w:val="008F0B49"/>
    <w:rsid w:val="008F16CD"/>
    <w:rsid w:val="008F3574"/>
    <w:rsid w:val="008F45D8"/>
    <w:rsid w:val="008F4EA3"/>
    <w:rsid w:val="008F6271"/>
    <w:rsid w:val="008F7AEC"/>
    <w:rsid w:val="00900D76"/>
    <w:rsid w:val="00901BD0"/>
    <w:rsid w:val="009036E4"/>
    <w:rsid w:val="00904A3E"/>
    <w:rsid w:val="00904B95"/>
    <w:rsid w:val="009050AC"/>
    <w:rsid w:val="00906D82"/>
    <w:rsid w:val="009078EE"/>
    <w:rsid w:val="00907A65"/>
    <w:rsid w:val="00910497"/>
    <w:rsid w:val="009114F6"/>
    <w:rsid w:val="00913362"/>
    <w:rsid w:val="00915927"/>
    <w:rsid w:val="00916593"/>
    <w:rsid w:val="00916DBA"/>
    <w:rsid w:val="009215B7"/>
    <w:rsid w:val="00921CE2"/>
    <w:rsid w:val="00922EF8"/>
    <w:rsid w:val="009242EA"/>
    <w:rsid w:val="00924381"/>
    <w:rsid w:val="0093045C"/>
    <w:rsid w:val="009314BE"/>
    <w:rsid w:val="00932281"/>
    <w:rsid w:val="009343D9"/>
    <w:rsid w:val="00934D2C"/>
    <w:rsid w:val="00935407"/>
    <w:rsid w:val="009402A5"/>
    <w:rsid w:val="009406CA"/>
    <w:rsid w:val="00941494"/>
    <w:rsid w:val="00941728"/>
    <w:rsid w:val="009422D4"/>
    <w:rsid w:val="009450E7"/>
    <w:rsid w:val="009457DA"/>
    <w:rsid w:val="00945BA6"/>
    <w:rsid w:val="0095041C"/>
    <w:rsid w:val="00952BD6"/>
    <w:rsid w:val="00952EAE"/>
    <w:rsid w:val="009535A7"/>
    <w:rsid w:val="00953A46"/>
    <w:rsid w:val="0095529C"/>
    <w:rsid w:val="00955996"/>
    <w:rsid w:val="0096111A"/>
    <w:rsid w:val="00967C28"/>
    <w:rsid w:val="009740D8"/>
    <w:rsid w:val="00974A56"/>
    <w:rsid w:val="00976D34"/>
    <w:rsid w:val="009776A3"/>
    <w:rsid w:val="009779C3"/>
    <w:rsid w:val="00985EDD"/>
    <w:rsid w:val="009862E9"/>
    <w:rsid w:val="00986A33"/>
    <w:rsid w:val="00991F79"/>
    <w:rsid w:val="00992658"/>
    <w:rsid w:val="009966D6"/>
    <w:rsid w:val="00996906"/>
    <w:rsid w:val="00997435"/>
    <w:rsid w:val="0099782A"/>
    <w:rsid w:val="009A29C8"/>
    <w:rsid w:val="009A550B"/>
    <w:rsid w:val="009A58AB"/>
    <w:rsid w:val="009A5B98"/>
    <w:rsid w:val="009A67AF"/>
    <w:rsid w:val="009A6C69"/>
    <w:rsid w:val="009A6CCE"/>
    <w:rsid w:val="009B293C"/>
    <w:rsid w:val="009B3A1B"/>
    <w:rsid w:val="009B472A"/>
    <w:rsid w:val="009C0F45"/>
    <w:rsid w:val="009C187A"/>
    <w:rsid w:val="009C2F06"/>
    <w:rsid w:val="009C64EC"/>
    <w:rsid w:val="009D05C1"/>
    <w:rsid w:val="009D15B0"/>
    <w:rsid w:val="009D3FDD"/>
    <w:rsid w:val="009D508F"/>
    <w:rsid w:val="009D6332"/>
    <w:rsid w:val="009D6F4A"/>
    <w:rsid w:val="009E0E59"/>
    <w:rsid w:val="009E0F04"/>
    <w:rsid w:val="009E3402"/>
    <w:rsid w:val="009E3473"/>
    <w:rsid w:val="009E4101"/>
    <w:rsid w:val="009E4398"/>
    <w:rsid w:val="009E49FB"/>
    <w:rsid w:val="009E5DAB"/>
    <w:rsid w:val="009F0978"/>
    <w:rsid w:val="009F367F"/>
    <w:rsid w:val="009F5000"/>
    <w:rsid w:val="009F5450"/>
    <w:rsid w:val="009F7222"/>
    <w:rsid w:val="009F7A68"/>
    <w:rsid w:val="00A01D8D"/>
    <w:rsid w:val="00A02BBC"/>
    <w:rsid w:val="00A02CA0"/>
    <w:rsid w:val="00A02ED9"/>
    <w:rsid w:val="00A044B5"/>
    <w:rsid w:val="00A04892"/>
    <w:rsid w:val="00A04BB1"/>
    <w:rsid w:val="00A07390"/>
    <w:rsid w:val="00A0798E"/>
    <w:rsid w:val="00A10C4B"/>
    <w:rsid w:val="00A13335"/>
    <w:rsid w:val="00A15657"/>
    <w:rsid w:val="00A15BB3"/>
    <w:rsid w:val="00A24107"/>
    <w:rsid w:val="00A241B6"/>
    <w:rsid w:val="00A24A10"/>
    <w:rsid w:val="00A262B8"/>
    <w:rsid w:val="00A270B9"/>
    <w:rsid w:val="00A27792"/>
    <w:rsid w:val="00A277D1"/>
    <w:rsid w:val="00A30A00"/>
    <w:rsid w:val="00A32526"/>
    <w:rsid w:val="00A3567A"/>
    <w:rsid w:val="00A36A79"/>
    <w:rsid w:val="00A41AB8"/>
    <w:rsid w:val="00A421BD"/>
    <w:rsid w:val="00A423C8"/>
    <w:rsid w:val="00A42B52"/>
    <w:rsid w:val="00A52BC4"/>
    <w:rsid w:val="00A5314E"/>
    <w:rsid w:val="00A54F3D"/>
    <w:rsid w:val="00A5643C"/>
    <w:rsid w:val="00A57114"/>
    <w:rsid w:val="00A6021E"/>
    <w:rsid w:val="00A6203F"/>
    <w:rsid w:val="00A653BB"/>
    <w:rsid w:val="00A65574"/>
    <w:rsid w:val="00A677A4"/>
    <w:rsid w:val="00A70728"/>
    <w:rsid w:val="00A74CBD"/>
    <w:rsid w:val="00A75E22"/>
    <w:rsid w:val="00A76206"/>
    <w:rsid w:val="00A76A62"/>
    <w:rsid w:val="00A80295"/>
    <w:rsid w:val="00A80F35"/>
    <w:rsid w:val="00A83E9B"/>
    <w:rsid w:val="00A84116"/>
    <w:rsid w:val="00A84282"/>
    <w:rsid w:val="00A85F54"/>
    <w:rsid w:val="00A93100"/>
    <w:rsid w:val="00A93989"/>
    <w:rsid w:val="00A95FE1"/>
    <w:rsid w:val="00A97852"/>
    <w:rsid w:val="00AA0A97"/>
    <w:rsid w:val="00AA1E6B"/>
    <w:rsid w:val="00AA2031"/>
    <w:rsid w:val="00AA2955"/>
    <w:rsid w:val="00AA407F"/>
    <w:rsid w:val="00AA4A42"/>
    <w:rsid w:val="00AA5213"/>
    <w:rsid w:val="00AA632A"/>
    <w:rsid w:val="00AB22E0"/>
    <w:rsid w:val="00AB3FDB"/>
    <w:rsid w:val="00AB431D"/>
    <w:rsid w:val="00AB49FC"/>
    <w:rsid w:val="00AB4F81"/>
    <w:rsid w:val="00AB7DCC"/>
    <w:rsid w:val="00AC06B0"/>
    <w:rsid w:val="00AC3C53"/>
    <w:rsid w:val="00AC5F56"/>
    <w:rsid w:val="00AC65C2"/>
    <w:rsid w:val="00AC7870"/>
    <w:rsid w:val="00AD1DD9"/>
    <w:rsid w:val="00AD55AC"/>
    <w:rsid w:val="00AE09D4"/>
    <w:rsid w:val="00AE33B7"/>
    <w:rsid w:val="00AE4374"/>
    <w:rsid w:val="00AE47A4"/>
    <w:rsid w:val="00AF2026"/>
    <w:rsid w:val="00AF2BB5"/>
    <w:rsid w:val="00AF3746"/>
    <w:rsid w:val="00AF4E8C"/>
    <w:rsid w:val="00AF514D"/>
    <w:rsid w:val="00AF74EE"/>
    <w:rsid w:val="00AF7CDE"/>
    <w:rsid w:val="00B00E2E"/>
    <w:rsid w:val="00B018BE"/>
    <w:rsid w:val="00B02D4F"/>
    <w:rsid w:val="00B0308E"/>
    <w:rsid w:val="00B0508A"/>
    <w:rsid w:val="00B0575F"/>
    <w:rsid w:val="00B10F3E"/>
    <w:rsid w:val="00B116E7"/>
    <w:rsid w:val="00B1389C"/>
    <w:rsid w:val="00B15290"/>
    <w:rsid w:val="00B235ED"/>
    <w:rsid w:val="00B24F71"/>
    <w:rsid w:val="00B251A2"/>
    <w:rsid w:val="00B259FF"/>
    <w:rsid w:val="00B25A6D"/>
    <w:rsid w:val="00B2605C"/>
    <w:rsid w:val="00B269B5"/>
    <w:rsid w:val="00B30435"/>
    <w:rsid w:val="00B314C5"/>
    <w:rsid w:val="00B331CF"/>
    <w:rsid w:val="00B353C2"/>
    <w:rsid w:val="00B353FF"/>
    <w:rsid w:val="00B355DA"/>
    <w:rsid w:val="00B35B8F"/>
    <w:rsid w:val="00B40B42"/>
    <w:rsid w:val="00B412B5"/>
    <w:rsid w:val="00B421E5"/>
    <w:rsid w:val="00B426EF"/>
    <w:rsid w:val="00B4425C"/>
    <w:rsid w:val="00B461BF"/>
    <w:rsid w:val="00B474C7"/>
    <w:rsid w:val="00B541D3"/>
    <w:rsid w:val="00B54516"/>
    <w:rsid w:val="00B56E85"/>
    <w:rsid w:val="00B57015"/>
    <w:rsid w:val="00B627D0"/>
    <w:rsid w:val="00B6456B"/>
    <w:rsid w:val="00B64A90"/>
    <w:rsid w:val="00B657AC"/>
    <w:rsid w:val="00B703D9"/>
    <w:rsid w:val="00B705F1"/>
    <w:rsid w:val="00B71517"/>
    <w:rsid w:val="00B719E8"/>
    <w:rsid w:val="00B72BF0"/>
    <w:rsid w:val="00B730A9"/>
    <w:rsid w:val="00B75B52"/>
    <w:rsid w:val="00B76757"/>
    <w:rsid w:val="00B80537"/>
    <w:rsid w:val="00B81785"/>
    <w:rsid w:val="00B82959"/>
    <w:rsid w:val="00B84141"/>
    <w:rsid w:val="00B84645"/>
    <w:rsid w:val="00B85C61"/>
    <w:rsid w:val="00B917D9"/>
    <w:rsid w:val="00B94B8B"/>
    <w:rsid w:val="00BA1623"/>
    <w:rsid w:val="00BA3F3A"/>
    <w:rsid w:val="00BA45EF"/>
    <w:rsid w:val="00BB2D98"/>
    <w:rsid w:val="00BB2FE6"/>
    <w:rsid w:val="00BB64AF"/>
    <w:rsid w:val="00BC285D"/>
    <w:rsid w:val="00BC37E4"/>
    <w:rsid w:val="00BC44A2"/>
    <w:rsid w:val="00BC459C"/>
    <w:rsid w:val="00BC4634"/>
    <w:rsid w:val="00BC6582"/>
    <w:rsid w:val="00BD038E"/>
    <w:rsid w:val="00BD1760"/>
    <w:rsid w:val="00BD272F"/>
    <w:rsid w:val="00BD2DA7"/>
    <w:rsid w:val="00BE0542"/>
    <w:rsid w:val="00BE326D"/>
    <w:rsid w:val="00BE5E61"/>
    <w:rsid w:val="00BF2714"/>
    <w:rsid w:val="00BF278F"/>
    <w:rsid w:val="00BF2A9F"/>
    <w:rsid w:val="00BF5D15"/>
    <w:rsid w:val="00BF7208"/>
    <w:rsid w:val="00C003A4"/>
    <w:rsid w:val="00C018C9"/>
    <w:rsid w:val="00C054C7"/>
    <w:rsid w:val="00C0767E"/>
    <w:rsid w:val="00C078B0"/>
    <w:rsid w:val="00C100A3"/>
    <w:rsid w:val="00C10164"/>
    <w:rsid w:val="00C11F43"/>
    <w:rsid w:val="00C15DC5"/>
    <w:rsid w:val="00C16784"/>
    <w:rsid w:val="00C16A2C"/>
    <w:rsid w:val="00C17F4F"/>
    <w:rsid w:val="00C20CD3"/>
    <w:rsid w:val="00C23635"/>
    <w:rsid w:val="00C23E2C"/>
    <w:rsid w:val="00C23EC6"/>
    <w:rsid w:val="00C2637F"/>
    <w:rsid w:val="00C3021A"/>
    <w:rsid w:val="00C307D6"/>
    <w:rsid w:val="00C30B4B"/>
    <w:rsid w:val="00C31799"/>
    <w:rsid w:val="00C3230D"/>
    <w:rsid w:val="00C3290A"/>
    <w:rsid w:val="00C3421E"/>
    <w:rsid w:val="00C360F6"/>
    <w:rsid w:val="00C36EEA"/>
    <w:rsid w:val="00C371D5"/>
    <w:rsid w:val="00C41406"/>
    <w:rsid w:val="00C439EC"/>
    <w:rsid w:val="00C43F05"/>
    <w:rsid w:val="00C43FC2"/>
    <w:rsid w:val="00C446D0"/>
    <w:rsid w:val="00C44A96"/>
    <w:rsid w:val="00C4516C"/>
    <w:rsid w:val="00C4655D"/>
    <w:rsid w:val="00C508E4"/>
    <w:rsid w:val="00C52C02"/>
    <w:rsid w:val="00C53EF3"/>
    <w:rsid w:val="00C5468E"/>
    <w:rsid w:val="00C54E4F"/>
    <w:rsid w:val="00C62834"/>
    <w:rsid w:val="00C63576"/>
    <w:rsid w:val="00C63E3B"/>
    <w:rsid w:val="00C64B4D"/>
    <w:rsid w:val="00C653A2"/>
    <w:rsid w:val="00C66ECB"/>
    <w:rsid w:val="00C70C3B"/>
    <w:rsid w:val="00C746FA"/>
    <w:rsid w:val="00C82982"/>
    <w:rsid w:val="00C84339"/>
    <w:rsid w:val="00C846DB"/>
    <w:rsid w:val="00C85478"/>
    <w:rsid w:val="00C85677"/>
    <w:rsid w:val="00C86118"/>
    <w:rsid w:val="00C86188"/>
    <w:rsid w:val="00C86AAC"/>
    <w:rsid w:val="00C87130"/>
    <w:rsid w:val="00C953FB"/>
    <w:rsid w:val="00CA08D7"/>
    <w:rsid w:val="00CA18D3"/>
    <w:rsid w:val="00CA2544"/>
    <w:rsid w:val="00CA2B37"/>
    <w:rsid w:val="00CA3008"/>
    <w:rsid w:val="00CB0F42"/>
    <w:rsid w:val="00CB3879"/>
    <w:rsid w:val="00CB3D3E"/>
    <w:rsid w:val="00CB55CF"/>
    <w:rsid w:val="00CB5A04"/>
    <w:rsid w:val="00CC1251"/>
    <w:rsid w:val="00CC224C"/>
    <w:rsid w:val="00CC2B0C"/>
    <w:rsid w:val="00CC4686"/>
    <w:rsid w:val="00CC71B4"/>
    <w:rsid w:val="00CD1620"/>
    <w:rsid w:val="00CD4579"/>
    <w:rsid w:val="00CD477E"/>
    <w:rsid w:val="00CD6909"/>
    <w:rsid w:val="00CE026C"/>
    <w:rsid w:val="00CE0A59"/>
    <w:rsid w:val="00CE1EAA"/>
    <w:rsid w:val="00CE47FD"/>
    <w:rsid w:val="00CE4FC8"/>
    <w:rsid w:val="00CE6A40"/>
    <w:rsid w:val="00CE6C5B"/>
    <w:rsid w:val="00CF1B4D"/>
    <w:rsid w:val="00CF33C8"/>
    <w:rsid w:val="00CF3CEB"/>
    <w:rsid w:val="00CF5472"/>
    <w:rsid w:val="00CF5F3A"/>
    <w:rsid w:val="00D00B95"/>
    <w:rsid w:val="00D0472A"/>
    <w:rsid w:val="00D049E9"/>
    <w:rsid w:val="00D0551F"/>
    <w:rsid w:val="00D05F1A"/>
    <w:rsid w:val="00D13563"/>
    <w:rsid w:val="00D13C3D"/>
    <w:rsid w:val="00D14DEF"/>
    <w:rsid w:val="00D162E1"/>
    <w:rsid w:val="00D21CC4"/>
    <w:rsid w:val="00D22C1E"/>
    <w:rsid w:val="00D27E80"/>
    <w:rsid w:val="00D31746"/>
    <w:rsid w:val="00D323FD"/>
    <w:rsid w:val="00D3384A"/>
    <w:rsid w:val="00D346A9"/>
    <w:rsid w:val="00D347F3"/>
    <w:rsid w:val="00D40381"/>
    <w:rsid w:val="00D40765"/>
    <w:rsid w:val="00D411E6"/>
    <w:rsid w:val="00D44153"/>
    <w:rsid w:val="00D443FF"/>
    <w:rsid w:val="00D46FDF"/>
    <w:rsid w:val="00D514A5"/>
    <w:rsid w:val="00D52307"/>
    <w:rsid w:val="00D52437"/>
    <w:rsid w:val="00D543F6"/>
    <w:rsid w:val="00D57F45"/>
    <w:rsid w:val="00D61B95"/>
    <w:rsid w:val="00D64AD5"/>
    <w:rsid w:val="00D658E6"/>
    <w:rsid w:val="00D66DA2"/>
    <w:rsid w:val="00D7004A"/>
    <w:rsid w:val="00D70462"/>
    <w:rsid w:val="00D725E7"/>
    <w:rsid w:val="00D727F0"/>
    <w:rsid w:val="00D749EE"/>
    <w:rsid w:val="00D753B1"/>
    <w:rsid w:val="00D75C3F"/>
    <w:rsid w:val="00D76320"/>
    <w:rsid w:val="00D77C39"/>
    <w:rsid w:val="00D8279D"/>
    <w:rsid w:val="00D82E7A"/>
    <w:rsid w:val="00D83B3A"/>
    <w:rsid w:val="00D8504A"/>
    <w:rsid w:val="00D866A6"/>
    <w:rsid w:val="00D87B29"/>
    <w:rsid w:val="00D9220F"/>
    <w:rsid w:val="00D92E64"/>
    <w:rsid w:val="00D94305"/>
    <w:rsid w:val="00D945A7"/>
    <w:rsid w:val="00D9649C"/>
    <w:rsid w:val="00DA16AE"/>
    <w:rsid w:val="00DA2DCD"/>
    <w:rsid w:val="00DA6EC7"/>
    <w:rsid w:val="00DA7FA8"/>
    <w:rsid w:val="00DA7FD9"/>
    <w:rsid w:val="00DB03AF"/>
    <w:rsid w:val="00DB1758"/>
    <w:rsid w:val="00DB2FA7"/>
    <w:rsid w:val="00DB564F"/>
    <w:rsid w:val="00DB64E6"/>
    <w:rsid w:val="00DC08D5"/>
    <w:rsid w:val="00DC1EB4"/>
    <w:rsid w:val="00DC1FE5"/>
    <w:rsid w:val="00DC5A17"/>
    <w:rsid w:val="00DC639E"/>
    <w:rsid w:val="00DC7D1C"/>
    <w:rsid w:val="00DD0A6A"/>
    <w:rsid w:val="00DD3CCA"/>
    <w:rsid w:val="00DD3F0A"/>
    <w:rsid w:val="00DD4CDB"/>
    <w:rsid w:val="00DD6A35"/>
    <w:rsid w:val="00DD7C5E"/>
    <w:rsid w:val="00DE02C2"/>
    <w:rsid w:val="00DE3145"/>
    <w:rsid w:val="00DE68D4"/>
    <w:rsid w:val="00DE6A7E"/>
    <w:rsid w:val="00DE7148"/>
    <w:rsid w:val="00DF0AA5"/>
    <w:rsid w:val="00DF100E"/>
    <w:rsid w:val="00DF42ED"/>
    <w:rsid w:val="00DF64A7"/>
    <w:rsid w:val="00DF6DB3"/>
    <w:rsid w:val="00DF7366"/>
    <w:rsid w:val="00E00C93"/>
    <w:rsid w:val="00E02EBD"/>
    <w:rsid w:val="00E0358F"/>
    <w:rsid w:val="00E0415A"/>
    <w:rsid w:val="00E11CBA"/>
    <w:rsid w:val="00E1473C"/>
    <w:rsid w:val="00E1571C"/>
    <w:rsid w:val="00E15924"/>
    <w:rsid w:val="00E17B79"/>
    <w:rsid w:val="00E22970"/>
    <w:rsid w:val="00E22EA6"/>
    <w:rsid w:val="00E260CE"/>
    <w:rsid w:val="00E30789"/>
    <w:rsid w:val="00E30C25"/>
    <w:rsid w:val="00E3194B"/>
    <w:rsid w:val="00E33C52"/>
    <w:rsid w:val="00E33FB8"/>
    <w:rsid w:val="00E35136"/>
    <w:rsid w:val="00E40A31"/>
    <w:rsid w:val="00E40CE8"/>
    <w:rsid w:val="00E42BE9"/>
    <w:rsid w:val="00E45DB2"/>
    <w:rsid w:val="00E45E79"/>
    <w:rsid w:val="00E46646"/>
    <w:rsid w:val="00E50E43"/>
    <w:rsid w:val="00E525E5"/>
    <w:rsid w:val="00E533AE"/>
    <w:rsid w:val="00E549DA"/>
    <w:rsid w:val="00E6177C"/>
    <w:rsid w:val="00E66266"/>
    <w:rsid w:val="00E70071"/>
    <w:rsid w:val="00E71DB2"/>
    <w:rsid w:val="00E74E21"/>
    <w:rsid w:val="00E750F1"/>
    <w:rsid w:val="00E75506"/>
    <w:rsid w:val="00E80852"/>
    <w:rsid w:val="00E811B6"/>
    <w:rsid w:val="00E822A7"/>
    <w:rsid w:val="00E83CCB"/>
    <w:rsid w:val="00E849DA"/>
    <w:rsid w:val="00E86DC6"/>
    <w:rsid w:val="00E87146"/>
    <w:rsid w:val="00E87422"/>
    <w:rsid w:val="00E90610"/>
    <w:rsid w:val="00E91C6E"/>
    <w:rsid w:val="00E92645"/>
    <w:rsid w:val="00E928CB"/>
    <w:rsid w:val="00E93248"/>
    <w:rsid w:val="00EA35D2"/>
    <w:rsid w:val="00EA3BC2"/>
    <w:rsid w:val="00EA3BC8"/>
    <w:rsid w:val="00EA4000"/>
    <w:rsid w:val="00EA4F59"/>
    <w:rsid w:val="00EA72D2"/>
    <w:rsid w:val="00EB0204"/>
    <w:rsid w:val="00EB0325"/>
    <w:rsid w:val="00EB03F0"/>
    <w:rsid w:val="00EB07C7"/>
    <w:rsid w:val="00EB271D"/>
    <w:rsid w:val="00EC0280"/>
    <w:rsid w:val="00EC07FA"/>
    <w:rsid w:val="00EC152B"/>
    <w:rsid w:val="00EC28F5"/>
    <w:rsid w:val="00EC75C9"/>
    <w:rsid w:val="00EC7F75"/>
    <w:rsid w:val="00ED1BD9"/>
    <w:rsid w:val="00ED27AA"/>
    <w:rsid w:val="00ED4CA9"/>
    <w:rsid w:val="00EE14AE"/>
    <w:rsid w:val="00EE425E"/>
    <w:rsid w:val="00EE58C6"/>
    <w:rsid w:val="00EF17C2"/>
    <w:rsid w:val="00EF1811"/>
    <w:rsid w:val="00EF40AB"/>
    <w:rsid w:val="00EF5435"/>
    <w:rsid w:val="00EF5A56"/>
    <w:rsid w:val="00EF6749"/>
    <w:rsid w:val="00F002E1"/>
    <w:rsid w:val="00F00B5C"/>
    <w:rsid w:val="00F03828"/>
    <w:rsid w:val="00F04B76"/>
    <w:rsid w:val="00F06000"/>
    <w:rsid w:val="00F06716"/>
    <w:rsid w:val="00F0728E"/>
    <w:rsid w:val="00F1025B"/>
    <w:rsid w:val="00F104E1"/>
    <w:rsid w:val="00F10C71"/>
    <w:rsid w:val="00F11BD4"/>
    <w:rsid w:val="00F12194"/>
    <w:rsid w:val="00F127D0"/>
    <w:rsid w:val="00F12DBC"/>
    <w:rsid w:val="00F1485F"/>
    <w:rsid w:val="00F15795"/>
    <w:rsid w:val="00F1774F"/>
    <w:rsid w:val="00F22B4D"/>
    <w:rsid w:val="00F23E66"/>
    <w:rsid w:val="00F24689"/>
    <w:rsid w:val="00F2506E"/>
    <w:rsid w:val="00F25976"/>
    <w:rsid w:val="00F26734"/>
    <w:rsid w:val="00F303F9"/>
    <w:rsid w:val="00F30D4B"/>
    <w:rsid w:val="00F37A07"/>
    <w:rsid w:val="00F42483"/>
    <w:rsid w:val="00F42EEF"/>
    <w:rsid w:val="00F44285"/>
    <w:rsid w:val="00F45171"/>
    <w:rsid w:val="00F476B3"/>
    <w:rsid w:val="00F47A33"/>
    <w:rsid w:val="00F51AA8"/>
    <w:rsid w:val="00F52984"/>
    <w:rsid w:val="00F548A8"/>
    <w:rsid w:val="00F55406"/>
    <w:rsid w:val="00F60398"/>
    <w:rsid w:val="00F6039B"/>
    <w:rsid w:val="00F703C2"/>
    <w:rsid w:val="00F70B5C"/>
    <w:rsid w:val="00F71FBE"/>
    <w:rsid w:val="00F738F3"/>
    <w:rsid w:val="00F74180"/>
    <w:rsid w:val="00F75E5D"/>
    <w:rsid w:val="00F76512"/>
    <w:rsid w:val="00F77164"/>
    <w:rsid w:val="00F775FB"/>
    <w:rsid w:val="00F80652"/>
    <w:rsid w:val="00F81367"/>
    <w:rsid w:val="00F838AC"/>
    <w:rsid w:val="00F83D13"/>
    <w:rsid w:val="00F83F69"/>
    <w:rsid w:val="00F8494E"/>
    <w:rsid w:val="00F8531C"/>
    <w:rsid w:val="00F9117D"/>
    <w:rsid w:val="00F91E7D"/>
    <w:rsid w:val="00F94EB2"/>
    <w:rsid w:val="00FA0FA6"/>
    <w:rsid w:val="00FA20D0"/>
    <w:rsid w:val="00FA33ED"/>
    <w:rsid w:val="00FA410E"/>
    <w:rsid w:val="00FA5149"/>
    <w:rsid w:val="00FA688E"/>
    <w:rsid w:val="00FB17A2"/>
    <w:rsid w:val="00FB1807"/>
    <w:rsid w:val="00FB2B02"/>
    <w:rsid w:val="00FB3EC4"/>
    <w:rsid w:val="00FB4311"/>
    <w:rsid w:val="00FB43DA"/>
    <w:rsid w:val="00FB5A3B"/>
    <w:rsid w:val="00FB73D8"/>
    <w:rsid w:val="00FC1107"/>
    <w:rsid w:val="00FC19AC"/>
    <w:rsid w:val="00FC2DFF"/>
    <w:rsid w:val="00FC30EB"/>
    <w:rsid w:val="00FC3C8C"/>
    <w:rsid w:val="00FC5034"/>
    <w:rsid w:val="00FC5619"/>
    <w:rsid w:val="00FC786E"/>
    <w:rsid w:val="00FC7A92"/>
    <w:rsid w:val="00FD4B1F"/>
    <w:rsid w:val="00FE03EB"/>
    <w:rsid w:val="00FE125F"/>
    <w:rsid w:val="00FE5B80"/>
    <w:rsid w:val="00FF064B"/>
    <w:rsid w:val="00FF1A62"/>
    <w:rsid w:val="00FF24FC"/>
    <w:rsid w:val="00FF2796"/>
    <w:rsid w:val="00FF28D2"/>
    <w:rsid w:val="00FF36BC"/>
    <w:rsid w:val="00FF584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qFormat="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rsid w:val="004E2098"/>
    <w:rPr>
      <w:color w:val="808080"/>
    </w:rPr>
  </w:style>
  <w:style w:type="paragraph" w:customStyle="1" w:styleId="E04DABAF80C944249B1EDA6857C1C84A">
    <w:name w:val="E04DABAF80C944249B1EDA6857C1C84A"/>
    <w:pPr>
      <w:widowControl w:val="0"/>
      <w:jc w:val="both"/>
    </w:pPr>
    <w:rPr>
      <w:kern w:val="2"/>
      <w:sz w:val="21"/>
      <w:szCs w:val="22"/>
    </w:rPr>
  </w:style>
  <w:style w:type="paragraph" w:customStyle="1" w:styleId="7ECCF2705F584C64B0AE6EFAFDA0E9BF">
    <w:name w:val="7ECCF2705F584C64B0AE6EFAFDA0E9BF"/>
    <w:pPr>
      <w:widowControl w:val="0"/>
      <w:jc w:val="both"/>
    </w:pPr>
    <w:rPr>
      <w:kern w:val="2"/>
      <w:sz w:val="21"/>
      <w:szCs w:val="22"/>
    </w:rPr>
  </w:style>
  <w:style w:type="paragraph" w:customStyle="1" w:styleId="EFE8677F51A44CE69C3D35A5CDC73575">
    <w:name w:val="EFE8677F51A44CE69C3D35A5CDC73575"/>
    <w:qFormat/>
    <w:pPr>
      <w:widowControl w:val="0"/>
      <w:jc w:val="both"/>
    </w:pPr>
    <w:rPr>
      <w:kern w:val="2"/>
      <w:sz w:val="21"/>
      <w:szCs w:val="22"/>
    </w:rPr>
  </w:style>
  <w:style w:type="paragraph" w:customStyle="1" w:styleId="AF04184FF85048E0874E7D760B4A81A2">
    <w:name w:val="AF04184FF85048E0874E7D760B4A81A2"/>
    <w:pPr>
      <w:widowControl w:val="0"/>
      <w:jc w:val="both"/>
    </w:pPr>
    <w:rPr>
      <w:kern w:val="2"/>
      <w:sz w:val="21"/>
      <w:szCs w:val="22"/>
    </w:rPr>
  </w:style>
  <w:style w:type="paragraph" w:customStyle="1" w:styleId="B292F7F5571D4BD282A08D4A6AC27AEF">
    <w:name w:val="B292F7F5571D4BD282A08D4A6AC27AEF"/>
    <w:pPr>
      <w:widowControl w:val="0"/>
      <w:jc w:val="both"/>
    </w:pPr>
    <w:rPr>
      <w:kern w:val="2"/>
      <w:sz w:val="21"/>
      <w:szCs w:val="22"/>
    </w:rPr>
  </w:style>
  <w:style w:type="paragraph" w:customStyle="1" w:styleId="F34C859A44A54099A1A6859192B47A73">
    <w:name w:val="F34C859A44A54099A1A6859192B47A73"/>
    <w:pPr>
      <w:widowControl w:val="0"/>
      <w:jc w:val="both"/>
    </w:pPr>
    <w:rPr>
      <w:kern w:val="2"/>
      <w:sz w:val="21"/>
      <w:szCs w:val="22"/>
    </w:rPr>
  </w:style>
  <w:style w:type="paragraph" w:customStyle="1" w:styleId="854ADD50C3F945518EA6EE61D8AE2102">
    <w:name w:val="854ADD50C3F945518EA6EE61D8AE2102"/>
    <w:qFormat/>
    <w:pPr>
      <w:widowControl w:val="0"/>
      <w:jc w:val="both"/>
    </w:pPr>
    <w:rPr>
      <w:kern w:val="2"/>
      <w:sz w:val="21"/>
      <w:szCs w:val="22"/>
    </w:rPr>
  </w:style>
  <w:style w:type="paragraph" w:customStyle="1" w:styleId="E981BC595025474CAEB8F17A495382F8">
    <w:name w:val="E981BC595025474CAEB8F17A495382F8"/>
    <w:pPr>
      <w:widowControl w:val="0"/>
      <w:jc w:val="both"/>
    </w:pPr>
    <w:rPr>
      <w:kern w:val="2"/>
      <w:sz w:val="21"/>
      <w:szCs w:val="22"/>
    </w:rPr>
  </w:style>
  <w:style w:type="paragraph" w:customStyle="1" w:styleId="653F03A594CC437685743C089D0401FC">
    <w:name w:val="653F03A594CC437685743C089D0401FC"/>
    <w:pPr>
      <w:widowControl w:val="0"/>
      <w:jc w:val="both"/>
    </w:pPr>
    <w:rPr>
      <w:kern w:val="2"/>
      <w:sz w:val="21"/>
      <w:szCs w:val="22"/>
    </w:rPr>
  </w:style>
  <w:style w:type="paragraph" w:customStyle="1" w:styleId="7464A59A938A46268B5D3D00D05411C6">
    <w:name w:val="7464A59A938A46268B5D3D00D05411C6"/>
    <w:pPr>
      <w:widowControl w:val="0"/>
      <w:jc w:val="both"/>
    </w:pPr>
    <w:rPr>
      <w:kern w:val="2"/>
      <w:sz w:val="21"/>
      <w:szCs w:val="22"/>
    </w:rPr>
  </w:style>
  <w:style w:type="paragraph" w:customStyle="1" w:styleId="9F2E857B141D4B59B03898F0E1B13BC8">
    <w:name w:val="9F2E857B141D4B59B03898F0E1B13BC8"/>
    <w:pPr>
      <w:widowControl w:val="0"/>
      <w:jc w:val="both"/>
    </w:pPr>
    <w:rPr>
      <w:kern w:val="2"/>
      <w:sz w:val="21"/>
      <w:szCs w:val="22"/>
    </w:rPr>
  </w:style>
  <w:style w:type="paragraph" w:customStyle="1" w:styleId="424DE108886B4272859AA138A3B5346F">
    <w:name w:val="424DE108886B4272859AA138A3B5346F"/>
    <w:pPr>
      <w:widowControl w:val="0"/>
      <w:jc w:val="both"/>
    </w:pPr>
    <w:rPr>
      <w:kern w:val="2"/>
      <w:sz w:val="21"/>
      <w:szCs w:val="22"/>
      <w14:ligatures w14:val="standardContextual"/>
    </w:rPr>
  </w:style>
  <w:style w:type="paragraph" w:customStyle="1" w:styleId="26685DFA142F4711952995E1628DC31F">
    <w:name w:val="26685DFA142F4711952995E1628DC31F"/>
    <w:pPr>
      <w:widowControl w:val="0"/>
      <w:jc w:val="both"/>
    </w:pPr>
    <w:rPr>
      <w:kern w:val="2"/>
      <w:sz w:val="21"/>
      <w:szCs w:val="22"/>
      <w14:ligatures w14:val="standardContextual"/>
    </w:rPr>
  </w:style>
  <w:style w:type="paragraph" w:customStyle="1" w:styleId="260085BDB2674835B679619A4ABD1AA8">
    <w:name w:val="260085BDB2674835B679619A4ABD1AA8"/>
    <w:qFormat/>
    <w:pPr>
      <w:widowControl w:val="0"/>
      <w:jc w:val="both"/>
    </w:pPr>
    <w:rPr>
      <w:kern w:val="2"/>
      <w:sz w:val="21"/>
      <w:szCs w:val="22"/>
      <w14:ligatures w14:val="standardContextual"/>
    </w:rPr>
  </w:style>
  <w:style w:type="paragraph" w:customStyle="1" w:styleId="CD289B78920246359734D98A351594E8">
    <w:name w:val="CD289B78920246359734D98A351594E8"/>
    <w:rsid w:val="004E2098"/>
    <w:pPr>
      <w:widowControl w:val="0"/>
      <w:jc w:val="both"/>
    </w:pPr>
    <w:rPr>
      <w:kern w:val="2"/>
      <w:sz w:val="21"/>
      <w:szCs w:val="22"/>
    </w:rPr>
  </w:style>
  <w:style w:type="paragraph" w:customStyle="1" w:styleId="629FB9C6DD4D43E8B4D35B339CFCE035">
    <w:name w:val="629FB9C6DD4D43E8B4D35B339CFCE035"/>
    <w:rsid w:val="004E2098"/>
    <w:pPr>
      <w:widowControl w:val="0"/>
      <w:jc w:val="both"/>
    </w:pPr>
    <w:rPr>
      <w:kern w:val="2"/>
      <w:sz w:val="21"/>
      <w:szCs w:val="22"/>
    </w:rPr>
  </w:style>
  <w:style w:type="paragraph" w:customStyle="1" w:styleId="3D0B5F110AD44536A28C3E9AF011EC35">
    <w:name w:val="3D0B5F110AD44536A28C3E9AF011EC35"/>
    <w:rsid w:val="004E2098"/>
    <w:pPr>
      <w:widowControl w:val="0"/>
      <w:jc w:val="both"/>
    </w:pPr>
    <w:rPr>
      <w:kern w:val="2"/>
      <w:sz w:val="21"/>
      <w:szCs w:val="22"/>
    </w:rPr>
  </w:style>
  <w:style w:type="paragraph" w:customStyle="1" w:styleId="C94AB06C3F7D4FF593324AD73FADB189">
    <w:name w:val="C94AB06C3F7D4FF593324AD73FADB189"/>
    <w:rsid w:val="004E2098"/>
    <w:pPr>
      <w:widowControl w:val="0"/>
      <w:jc w:val="both"/>
    </w:pPr>
    <w:rPr>
      <w:kern w:val="2"/>
      <w:sz w:val="21"/>
      <w:szCs w:val="22"/>
    </w:rPr>
  </w:style>
  <w:style w:type="paragraph" w:customStyle="1" w:styleId="7B9A496F4F624F6FA3415B4F24A6098A">
    <w:name w:val="7B9A496F4F624F6FA3415B4F24A6098A"/>
    <w:rsid w:val="004E2098"/>
    <w:pPr>
      <w:widowControl w:val="0"/>
      <w:jc w:val="both"/>
    </w:pPr>
    <w:rPr>
      <w:kern w:val="2"/>
      <w:sz w:val="21"/>
      <w:szCs w:val="22"/>
    </w:rPr>
  </w:style>
  <w:style w:type="paragraph" w:customStyle="1" w:styleId="9B39D0D0FACE44B6923DF16946AA2A91">
    <w:name w:val="9B39D0D0FACE44B6923DF16946AA2A91"/>
    <w:rsid w:val="004E2098"/>
    <w:pPr>
      <w:widowControl w:val="0"/>
      <w:jc w:val="both"/>
    </w:pPr>
    <w:rPr>
      <w:kern w:val="2"/>
      <w:sz w:val="21"/>
      <w:szCs w:val="22"/>
    </w:rPr>
  </w:style>
  <w:style w:type="paragraph" w:customStyle="1" w:styleId="7F207833EFE64D209D7C6A9BFE8ECF61">
    <w:name w:val="7F207833EFE64D209D7C6A9BFE8ECF61"/>
    <w:rsid w:val="004E2098"/>
    <w:pPr>
      <w:widowControl w:val="0"/>
      <w:jc w:val="both"/>
    </w:pPr>
    <w:rPr>
      <w:kern w:val="2"/>
      <w:sz w:val="21"/>
      <w:szCs w:val="22"/>
    </w:rPr>
  </w:style>
  <w:style w:type="paragraph" w:customStyle="1" w:styleId="D6E190523B3146A6BDA5CE59871C0D79">
    <w:name w:val="D6E190523B3146A6BDA5CE59871C0D79"/>
    <w:rsid w:val="004E2098"/>
    <w:pPr>
      <w:widowControl w:val="0"/>
      <w:jc w:val="both"/>
    </w:pPr>
    <w:rPr>
      <w:kern w:val="2"/>
      <w:sz w:val="21"/>
      <w:szCs w:val="22"/>
    </w:rPr>
  </w:style>
  <w:style w:type="paragraph" w:customStyle="1" w:styleId="249C58174E514FB185AFBD7D2EB99968">
    <w:name w:val="249C58174E514FB185AFBD7D2EB99968"/>
    <w:rsid w:val="004E2098"/>
    <w:pPr>
      <w:widowControl w:val="0"/>
      <w:jc w:val="both"/>
    </w:pPr>
    <w:rPr>
      <w:kern w:val="2"/>
      <w:sz w:val="21"/>
      <w:szCs w:val="22"/>
    </w:rPr>
  </w:style>
  <w:style w:type="paragraph" w:customStyle="1" w:styleId="99D67902664B45EFBFC66A5790C7CAC5">
    <w:name w:val="99D67902664B45EFBFC66A5790C7CAC5"/>
    <w:rsid w:val="004E2098"/>
    <w:pPr>
      <w:widowControl w:val="0"/>
      <w:jc w:val="both"/>
    </w:pPr>
    <w:rPr>
      <w:kern w:val="2"/>
      <w:sz w:val="21"/>
      <w:szCs w:val="22"/>
    </w:rPr>
  </w:style>
  <w:style w:type="paragraph" w:customStyle="1" w:styleId="7AED638A9953499A870CEF587743E883">
    <w:name w:val="7AED638A9953499A870CEF587743E883"/>
    <w:rsid w:val="004E2098"/>
    <w:pPr>
      <w:widowControl w:val="0"/>
      <w:jc w:val="both"/>
    </w:pPr>
    <w:rPr>
      <w:kern w:val="2"/>
      <w:sz w:val="21"/>
      <w:szCs w:val="22"/>
    </w:rPr>
  </w:style>
  <w:style w:type="paragraph" w:customStyle="1" w:styleId="AA4785E0B1114839942622D59CFDA48F">
    <w:name w:val="AA4785E0B1114839942622D59CFDA48F"/>
    <w:rsid w:val="004E2098"/>
    <w:pPr>
      <w:widowControl w:val="0"/>
      <w:jc w:val="both"/>
    </w:pPr>
    <w:rPr>
      <w:kern w:val="2"/>
      <w:sz w:val="21"/>
      <w:szCs w:val="22"/>
    </w:rPr>
  </w:style>
  <w:style w:type="paragraph" w:customStyle="1" w:styleId="6FD6049DAE374FE69E7B03CFB89059DD">
    <w:name w:val="6FD6049DAE374FE69E7B03CFB89059DD"/>
    <w:rsid w:val="004E2098"/>
    <w:pPr>
      <w:widowControl w:val="0"/>
      <w:jc w:val="both"/>
    </w:pPr>
    <w:rPr>
      <w:kern w:val="2"/>
      <w:sz w:val="21"/>
      <w:szCs w:val="22"/>
    </w:rPr>
  </w:style>
  <w:style w:type="paragraph" w:customStyle="1" w:styleId="05DD255FD5DE4030BF81AF9BA41511C5">
    <w:name w:val="05DD255FD5DE4030BF81AF9BA41511C5"/>
    <w:rsid w:val="004E2098"/>
    <w:pPr>
      <w:widowControl w:val="0"/>
      <w:jc w:val="both"/>
    </w:pPr>
    <w:rPr>
      <w:kern w:val="2"/>
      <w:sz w:val="21"/>
      <w:szCs w:val="22"/>
    </w:rPr>
  </w:style>
  <w:style w:type="paragraph" w:customStyle="1" w:styleId="B41015A98CBF4A49B3B57394F9304D88">
    <w:name w:val="B41015A98CBF4A49B3B57394F9304D88"/>
    <w:rsid w:val="004E2098"/>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sections xmlns:sc="http://mapping.word.org/2014/section/customize"/>
</file>

<file path=customXml/item3.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兖矿能源集团股份有限公司</clcid-cgi:GongSiFaDingZhongWenMingCheng>
  <clcid-mr:GongSiFuZeRenXingMing xmlns:clcid-mr="clcid-mr">李伟</clcid-mr:GongSiFuZeRenXingMing>
  <clcid-mr:ZhuGuanKuaiJiGongZuoFuZeRenXingMing xmlns:clcid-mr="clcid-mr">赵青春</clcid-mr:ZhuGuanKuaiJiGongZuoFuZeRenXingMing>
  <clcid-mr:KuaiJiJiGouFuZeRenXingMing xmlns:clcid-mr="clcid-mr">赵治国</clcid-mr:KuaiJiJiGouFuZeRenXingMing>
  <clcid-cgi:GongSiFaDingDaiBiaoRen xmlns:clcid-cgi="clcid-cgi">李伟</clcid-cgi:GongSiFaDingDaiBiaoRen>
  <clcid-ci-ar:DanWeiKouChuFeiJingChangXingSunYiXiangMuHeJinE xmlns:clcid-ci-ar="clcid-ci-ar">千元</clcid-ci-ar:DanWeiKouChuFeiJingChangXingSunYiXiangMuHeJinE>
  <clcid-ci-ar:BiZhongKouChuFeiJingChangXingSunYiXiangMuHeJinE xmlns:clcid-ci-ar="clcid-ci-ar">人民币</clcid-ci-ar:BiZhongKouChuFeiJingChangXingSunYiXiangMuHeJinE>
  <clcid-pte:FeiLiuDongXingZiChanChuZhiSunYiBaoKuoYiJiTiZiChanJianZhiZhunBeiDeChongXiaoBuFenFeiJingChangXingSunYiXiangMu xmlns:clcid-pte="clcid-pte">5,190</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68,281</clcid-pte:FeiJingChangXingSunYiZhongGeZhongXingShiDeZhengFuBuTi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150</clcid-pte:FeiJingChangXingSunYiZhongZhaiWuZhongZuSunYi>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2</clcid-pte:TongYiKongZhiXiaQiYeHeBingChanShengDeZiGongSiQiChuZhiHeBingRiDeDangQiJingSunYi>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82,713</clcid-pte:ChuShangShuGeXiangZhiWaiDeQiTaYingYeWaiShouZhiJingE>
  <clcid-pte:ChuShangShuGeXiangZhiWaiDeQiTaYingYeWaiShouZhiJingEShuoMing xmlns:clcid-pte="clcid-pte"/>
  <clcid-pte:QiTaFeiJingChangXingSunYiXiangMu xmlns:clcid-pte="clcid-pte">5,109</clcid-pte:QiTaFeiJingChangXingSunYiXiangMu>
  <clcid-pte:QiTaFeiJingChangXingSunYiXiangMuShuoMing xmlns:clcid-pte="clcid-pte"/>
  <clcid-pte:FeiJingChangXingSunYiXiangMuZhongShaoShuGuDongQuanYiYingXiangE xmlns:clcid-pte="clcid-pte">-5,256</clcid-pte:FeiJingChangXingSunYiXiangMuZhongShaoShuGuDongQuanYiYingXiangE>
  <clcid-pte:FeiJingChangXingSunYiXiangMuZhongShaoShuGuDongQuanYiYingXiangEShuoMing xmlns:clcid-pte="clcid-pte"/>
  <clcid-pte:FeiJingChangXingSunYiDeKouChuXiangMuDuiSuoDeShuiDeYingXiang xmlns:clcid-pte="clcid-pte">49,646</clcid-pte:FeiJingChangXingSunYiDeKouChuXiangMuDuiSuoDeShuiDeYingXiang>
  <clcid-pte:FeiJingChangXingSunYiDeKouChuXiangMuDuiSuoDeShuiDeYingXiangShuoMing xmlns:clcid-pte="clcid-pte"/>
  <clcid-pte:KouChuDeFeiJingChangXingSunYiHeJi xmlns:clcid-pte="clcid-pte">160,697</clcid-pte:KouChuDeFeiJingChangXingSunYiHeJi>
  <clcid-pte:KouChuDeFeiJingChangXingSunYiHeJiShuoMing xmlns:clcid-pte="clcid-pte"/>
  <clcid-ci-ar:DanWeiTongShiAnZhaoGuoJiKuaiJiZhunZeYuAnZhongGuoKuaiJiZhunZePiLuDeCaiWuBaoGaoZhongJingLiRunHeJingZiChanChaYiQingKuang xmlns:clcid-ci-ar="clcid-ci-ar">千元</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千元</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ShiFouShiYongTuFaHuanJingShiJianYingJiYuAn/>
</b:binding>
</file>

<file path=customXml/item4.xml><?xml version="1.0" encoding="utf-8"?>
<m:mapping xmlns:m="http://mapping.word.org/2012/mapping">
  <m:namespaceDeclare prefix="clcid-mr" namespaceURI="http://www.xbrl-cn.org/cn/lcid/rpt/mr/2006-12-31"/>
  <m:namespaceDeclare prefix="clcid-cgi" namespaceURI="http://www.xbrl-cn.org/cn/lcid/rpt/cgi/2006-12-31"/>
  <m:namespaceDeclare prefix="clcid-ar" namespaceURI="http://www.xbrl-cn.org/cn/lcid/rpt/ar/2006-12-31"/>
  <m:namespaceDeclare prefix="clcid-ci-ar" namespaceURI="http://www.xbrl-cn.org/cn/lcid/ci/ar/2008-12-31"/>
  <m:namespaceDeclare prefix="clcid-pte" namespaceURI="http://www.xbrl-cn.org/cn/lcid/common/pte/2006-12-31"/>
  <m:namespaceDeclare prefix="clcid-ie" namespaceURI="http://www.xbrl-cn.org/cn/lcid/rpt/ie/2006-12-31"/>
  <m:namespaceDeclare prefix="clcid-gcd" namespaceURI="http://www.xbrl-cn.org/cn/lcid/rpt/gcd/2006-12-31"/>
  <m:namespaceDeclare prefix="clcid-sce" namespaceURI="http://www.xbrl-cn.org/cn/lcid/fs/sce/2006-12-31"/>
  <m:document name="" version="0.1" optimized="true" originalVersion="0.1" taggingType="Axis" fallbackIntervalCalc="true" cryptoType="SM4" siblingTextSaved="true">
    <m:item xlName="_GBC_704b7b03ea3f4a93b8d4655a09b2ff61" concept="clcid-gcd:GongSiDaiMa" label="公司代码" keyCode="GONGSI_DAIMA" keyAction="5"/>
    <m:item xlName="_GBC_0384ae715a1e4b4894a29e4d27f5bef4" concept="clcid-gcd:GongSiJianCheng" label="公司简称" keyCode="GONGSI_JIANCHENG" keyAction="5"/>
    <m:item xlName="_GBC_ef279e32efc14c6bb521c62ff1f265ba" concept="clcid-cgi:GongSiFaDingZhongWenMingCheng" label="公司法定中文名称">
      <m:simpleRule dataType="Any" comparator="None" minOccurs="1"/>
    </m:item>
    <m:section xlName="_SEC_d5e0e82062cc4f3cb5a290078031cbd7" title="董事会及董事声明" checkKey="!无法保证" summaryGuid="_SEC_cfbf6931f3444f44940972008f086a29" helpId="101001001" primarySection="_SEC_d5e0e82062cc4f3cb5a290078031cbd7" optionText="公司全体董监高保证内容真实、准确、完整" optionGroupTitle="董事会及董事声明情况"/>
    <m:section xlName="_SEC_0bd09595636a40e9a57d708860ca9135" title="董事、监事、高级管理人员无法保证的声明" afterEmptyPhCount="0" checkKey="无法保证" ignorePeriod="1" summaryGuid="_SEC_cfbf6931f3444f44940972008f086a29" helpId="101001003" primarySection="_SEC_d5e0e82062cc4f3cb5a290078031cbd7" optionText="公司部分董监高无法保证内容真实、准确、完整" activeContentOption="_GBC_c39714d4523c4f26bc10a8bd552c9a0c" optionGroupTitle="董事会及董事声明情况"/>
    <m:section xlName="_GBC_1b1325bf1ae840869be71054a10ad268" title="公司全体董事出席董事会会议。" checkKey="全体董事出席&amp;!未出席&amp;!未能出席&amp;!未亲自出席&amp;!委托" summaryGuid="_SEC_0200e9b183e741738a0cbf26f533dc77" helpId="101001003" helpText="注：如有董事未出席董事会，应当单独列示其姓名。这里的出席指的是亲自出席" primarySection="_GBC_1b1325bf1ae840869be71054a10ad268" optionText="全体出席" optionGroupTitle="董事会出席情况" afterEmptyParagraphs="1"/>
    <m:section xlName="_GBC_782ae2efbebb4873980d40bd21713c00" title="未出席董事情况" checkKey="!全体出席" summaryGuid="_SEC_0200e9b183e741738a0cbf26f533dc77" helpId="101001003" helpText="注：如有董事未出席董事会，应当单独列示其姓名。这里的出席指的是亲自出席" primarySection="_GBC_1b1325bf1ae840869be71054a10ad268" optionText="有未出席情况" optionGroupTitle="董事会出席情况"/>
    <m:section xlName="_GBC_07370c6ee32a4bea8271133440d087fd" title="本年度报告未经审计。" checkKey="!带强调事项段或其他事项段的无保留意见&amp;!保留意见&amp;!无法表示意见&amp;!否定意见&amp;!标准无保留意见" summaryGuid="_SEC_6bd7e9a7daad491ca88a8b61c8ca9156" helpId="101001004" primarySection="_GBC_07370c6ee32a4bea8271133440d087fd" optionText="未经审计" activeContentOption="_GBC_07370c6ee32a4bea8271133440d087fd" optionGroupTitle="审计报告情况"/>
    <m:section xlName="_GBC_a3cb6d3de6c1425cb1ae504871e39a94" title="非标意见说明" checkKey="!标准无保留意见&amp;!未经审计" summaryGuid="_SEC_6bd7e9a7daad491ca88a8b61c8ca9156" helpId="101001004" primarySection="_GBC_07370c6ee32a4bea8271133440d087fd" optionText="非标意见" optionGroupTitle="审计报告情况"/>
    <m:section xlName="_GBC_03a09ae7cff4426393cc0d64b59cc810" title="事务所为本公司出具了标准无保留意见的审计报告。" checkKey="!带强调事项段或其他事项段的无保留意见&amp;!无法表示意见&amp;!否定意见&amp;!未经审计" summaryGuid="_SEC_6bd7e9a7daad491ca88a8b61c8ca9156" helpId="101001004" primarySection="_GBC_07370c6ee32a4bea8271133440d087fd" optionText="标准无保留意见" optionGroupTitle="审计报告情况"/>
    <m:section xlName="_GBC_04b137e7f87b43b8812b2c33bd605e04" title="公司负责人等声明" helpId="101001005"/>
    <m:section xlName="_GBC_21c095fa67114a208ee8411405e3a22a" title="经董事会审议的报告期利润分配预案或公积金转增股本预案" convertSummaryRule="NoConvert" helpId="101001007"/>
    <m:section xlName="_GBC_cc24ced211694e75b40a9765d2616e01" title="前瞻性陈述的风险声明" helpId="102001006" helpText="注：如半年度报告涉及未来计划等前瞻性陈述，同时附有相应的警示性陈述，则应当声明该计划不构成公司对投资者的实质承诺，请投资者注意投资风险。 "/>
    <m:section xlName="_GBC_70f733efbc484640a48089ddc49bf2b9" title="是否存在被控股股东及其关联方非经营性占用资金情况"/>
    <m:section xlName="_GBC_0b5725dfa5c04f85874bece4083eddb4" title="是否存在违反规定决策程序对外提供担保的情况" convertSummaryRule="NoConvert"/>
    <m:section xlName="_SEC_f8924de2a90b4f29b727c0dcf0bfd58a" title=""/>
    <m:section xlName="_SEC_765dd5e867e04417bfcc7ba07f902949" title="重大风险提示" helpId="112001203"/>
    <m:section xlName="_GBC_b8bb35c675b44fbdaf150c1114447d89" title="重要提示的其他情况说明"/>
    <m:section xlName="_SEC_821e9eb80bde4a9883ae71815f226d98" title="备查文件目录" convertSummaryRule="NoConvert" helpId="110002018" helpText="载有公司负责人、主管会计工作负责人、会计机构负责人（会计主管人员）签名并盖章的财务报表。\n载有会计师事务所盖章、注册会计师签名并盖章的审计报告原件（如有）。\n报告期内公开披露过的所有公司文件的正本及公告的原稿。\n在其他证券市场公布的半年度报告。"/>
    <m:section xlName="_GBC_5d2d156d1e654b289921f6ca279d0332" title="释义" ignorePeriod="1" convertSummaryRule="NoConvert" helpId="101001008"/>
    <m:section xlName="_GBC_aa763dfc67ed4eac9000c019cc1ff258" title="公司信息" ignorePeriod="1" convertSummaryRule="NoConvert" helpId="102001001"/>
    <m:section xlName="_GBC_c68db6bd18a148f3a9683d04b791123b" title="联系人和联系方式" ignorePeriod="1" convertSummaryRule="NoConvert" helpId="102001002">
      <m:virtualTuples>
        <m:virtualTuple id="7ed3504a-70ec-4378-915d-9c3be91aafcc" tupleRef="clcid-cgi:DongShiHuiMiShuQingKuang" defaultRows="0" extendDirection="2" splitWidth="1"/>
        <m:virtualTuple id="4dae452f-3358-4466-b139-adc8ec38f384" tupleRef="clcid-cgi:ZhengQuanShiWuDaiBiaoQingKuang" defaultRows="0" extendDirection="2" splitWidth="1"/>
      </m:virtualTuples>
    </m:section>
    <m:section xlName="_SEC_3b2e98069dfe4938a93e32b37561ce15" title="基本情况变更简介公司注册地址公司注册地址的邮政编码（..." helpId="102001003"/>
    <m:section xlName="_GBC_20a39c6141734cc19616660ebf1a0dfa" title="信息披露及备置地点变更情况简介" ignorePeriod="1" convertSummaryRule="NoConvert" helpId="102001004"/>
    <m:section xlName="_GBC_f73e31215837403db78d7a2ed15723c6" title="公司股票简况" ignorePeriod="1" helpId="102001005" helpText="注：本项可选填“A股”、“B股”、“H股”或其他。"/>
    <m:section xlName="_GBC_cd186ef4acaf4e28b71fed998e691ebd" title="其他有关资料" ignorePeriod="1" convertSummaryRule="NoConvert" helpId="102001008"/>
    <m:item xlName="_GBC_c7cd0dd826b247dbba8cc8b1a811aefb" indRef="1" concept="clcid-ci-ar:DanWeiBaoGaoQiMoGongSiQianSanNianZhuYaoKuaiJiShuJuHeCaiWuZhiBiao" label="单位：报告期末公司前三年主要会计数据和财务指标" selectOptions="_buildInScales" controlType="Combobox" cellType="Scale"/>
    <m:item xlName="_GBC_2df6a5d441324c13bcf6c4c54ac41eb0" indRef="2" concept="clcid-ci-ar:BiZhongBaoGaoQiMoGongSiQianSanNianZhuYaoKuaiJiShuJuHeCaiWuZhiBiao" label="币种：报告期末公司前三年主要会计数据和财务指标" selectOptions="_buildInISO4217" controlType="Combobox" cellType="Measure"/>
    <m:section xlName="_GBC_f3826dda988749e78931d3af98058157" title="主要会计数据(追溯)" rules="R2015_R2_001" checkKey="调整" helpId="103004001" helpText="注1：涉及非经常性损益的，都应当按照《公开发行证券的公司信息披露解释性公告第1号-非经常性损益(2008)》要求的非经常性损益的口径进行计算 \n注2：如上年同期为负数，“增减比例”不填。 \n注3：在报告期内公司因派发股票股利、公积金转增股本、拆股而增加或因并股而减少公司总股本，但不影响股东权益金额的，应当根据相关会计准则的规定按最新股本调整并列报基本每股收益和稀释每股收益。 \n注4：如果报告期末至半年度报告披露日，公司股本因送红股、资本公积金转增股本的原因发生变化且不影响股东权益金额的，应当根据相关会计准则的规定按最新股本调整并列报基本每股收益和稀释每股收益。 \n注5：本报告期对上年度财务数据进行了追溯调整或重述的，上年度末和上年同期应当同时列示追溯调整或重述前后的数据。 \n注6：净资产收益率的本报告期比上年同期增减为两期数的差值。" primarySection="_GBC_aea1fefe2cc54d88a8a870982a41d97a" optionText="追溯调整" optionGroupTitle="主要会计数据和财务指标情况" optionTargetConcept="clcid-ci-ar:ShiFouZhuiSuTiaoZheng" optionTargetConceptValue="追溯调整"/>
    <m:section xlName="_GBC_aea1fefe2cc54d88a8a870982a41d97a" title="主要会计数据(无追溯)" rules="R2015_R2_001" checkKey="!调整" helpId="103004001" helpText="注1：涉及非经常性损益的，都应当按照《公开发行证券的公司信息披露解释性公告第1号-非经常性损益(2008)》要求的非经常性损益的口径进行计算 \n注2：如上年同期为负数，“增减比例”不填。 \n注3：在报告期内公司因派发股票股利、公积金转增股本、拆股而增加或因并股而减少公司总股本，但不影响股东权益金额的，应当根据相关会计准则的规定按最新股本调整并列报基本每股收益和稀释每股收益。 \n注4：如果报告期末至半年度报告披露日，公司股本因送红股、资本公积金转增股本的原因发生变化且不影响股东权益金额的，应当根据相关会计准则的规定按最新股本调整并列报基本每股收益和稀释每股收益。 \n注5：本报告期对上年度财务数据进行了追溯调整或重述的，上年度末和上年同期应当同时列示追溯调整或重述前后的数据。 \n注6：净资产收益率的本报告期比上年同期增减为两期数的差值。" primarySection="_GBC_aea1fefe2cc54d88a8a870982a41d97a" optionText="无追溯调整" activeContentOption="_GBC_ae1e7c9f562c42d3b68129ca8edb8f91" optionGroupTitle="主要会计数据和财务指标情况" optionTargetConcept="clcid-ci-ar:ShiFouZhuiSuTiaoZheng" optionTargetConceptValue="无追溯调整"/>
    <m:section xlName="_GBC_f2e015828f0e4c85978a15defdf078a0" title="主要财务指标(追溯)" rules="R2015_R2_001" checkKey="调整" helpId="103004001" helpText="注1：涉及非经常性损益的，都应当按照《公开发行证券的公司信息披露解释性公告第1号-非经常性损益(2008)》要求的非经常性损益的口径进行计算 \n注2：如上年同期为负数，“增减比例”不填。 \n注3：在报告期内公司因派发股票股利、公积金转增股本、拆股而增加或因并股而减少公司总股本，但不影响股东权益金额的，应当根据相关会计准则的规定按最新股本调整并列报基本每股收益和稀释每股收益。 \n注4：如果报告期末至半年度报告披露日，公司股本因送红股、资本公积金转增股本的原因发生变化且不影响股东权益金额的，应当根据相关会计准则的规定按最新股本调整并列报基本每股收益和稀释每股收益。 \n注5：本报告期对上年度财务数据进行了追溯调整或重述的，上年度末和上年同期应当同时列示追溯调整或重述前后的数据。 \n注6：净资产收益率的本报告期比上年同期增减为两期数的差值。" primarySection="_GBC_b44cc48c2c094fe699f563d257345cf5" optionText="追溯调整" optionGroupTitle="主要会计数据和财务指标情况" optionTargetConcept="clcid-ci-ar:ShiFouZhuiSuTiaoZheng" optionTargetConceptValue="追溯调整"/>
    <m:section xlName="_GBC_b44cc48c2c094fe699f563d257345cf5" title="主要财务指标(无追溯)" rules="R2015_R2_001" checkKey="!调整" helpId="103004001" helpText="注1：涉及非经常性损益的，都应当按照《公开发行证券的公司信息披露解释性公告第1号-非经常性损益(2014)》要求的非经常性损益的口径进行计算 \n注2：如上年同期为负数，“增减比例”不填。 \n注3：在报告期内公司因派发股票股利、公积金转增股本、拆股而增加或因并股而减少公司总股本，但不影响股东权益金额的，应当根据相关会计准则的规定按最新股本调整并列报基本每股收益和稀释每股收益。 \n注4：如果报告期末至半年度报告披露日，公司股本因送红股、资本公积金转增股本的原因发生变化且不影响股东权益金额的，应当根据相关会计准则的规定按最新股本调整并列报基本每股收益和稀释每股收益。 \n注5：本报告期对上年度财务数据进行了追溯调整或重述的，上年度末和上年同期应当同时列示追溯调整或重述前后的数据。 \n注6：净资产收益率的本报告期比上年同期增减为两期数的差值。\n注7：研发投入为企业研究开发活动形成的总支出。研发投入通常包括研发人员工资费用、直接投入费用、折旧费用与长期待摊费用、设计费用、装备调试费、无形资产摊销费用、委托外部研究开发费用、其他费用等。本期研发投入为本期费用化的研发费用与本期资本化的开发支出之和。 " primarySection="_GBC_b44cc48c2c094fe699f563d257345cf5" optionText="无追溯调整" activeContentOption="_GBC_4758ff96ce404c01979372535152a8f5" optionGroupTitle="主要会计数据和财务指标情况" optionTargetConcept="clcid-ci-ar:ShiFouZhuiSuTiaoZheng" optionTargetConceptValue="无追溯调整"/>
    <m:section xlName="_GBC_89dd4b4cf79140928f55be83e164f009" title="公司主要会计数据和财务指标的说明" rules="R2015_R2_001" convertSummaryRule="NoConvert" helpId="103004001"/>
    <m:item xlName="_GBC_bdabc18d82504a7696c49b78e67b7ce4" concept="clcid-ci-ar:ShiFouShiYongJingNeiWaiHuiJiZhunZeXiaHuiJiShuJuChaYi" label="是否适用：境内外会计准则下会计数据差异" selectOptions="_buildInAppliance" controlType="CustomCheckbox" cRanges="{&quot;StartName&quot;:&quot;_GBC_bdabc18d82504a7696c49b78e67b7ce4&quot;,&quot;EndName&quot;:&quot;_GBC_b29c1fea910b4dfca31323fe84213a44&quot;,&quot;CType&quot;:1,&quot;DisplayText&quot;:null}"/>
    <m:section xlName="_GBC_088e8e183b6741d29b9f742440278698" title="同时按照国际会计准则与按中国会计准则披露的差异" rules="R2015_R2_002" convertSummaryRule="NoConvert" helpId="103002001"/>
    <m:section xlName="_GBC_2f705e4eae72458eb00a3440cec6f7c7" title="同时按照境外会计准则与按中国会计准则披露的差异" rules="R2015_R2_002" convertSummaryRule="NoConvert" helpId="103002001" helpText="注：境内外会计准则下会计数据差异填列合并报表数据。"/>
    <m:section xlName="_GBC_b29c1fea910b4dfca31323fe84213a44" title="境内外会计准则差异的说明" rules="R2015_R2_002" convertSummaryRule="NoConvert" helpId="103002001"/>
    <m:section xlName="_SEC_6b3a30f21554473ebcafb7d5a1e81dd0" title="非经常性损益项目和金额" helpText="1.各非经常性损益项目按税前金额列示。\n2.非经常性损益项目中的损失类应以负数填写。\n3.自定义科目全部填入“其他符合非经常性损益定义的损益项目”，并在该项目附注中说明具体情况。"/>
    <m:section xlName="_SEC_3fbc22adf9774d23a74dc1230c514eff" title="将《公开发行证券的公司信息披露解释性公告第1号——非经常性损..."/>
    <m:section xlName="_GBC_129e81c113f94ab2b6af974b5d24abc6" title="其他财务和业务数据"/>
    <m:section xlName="_SEC_30613ac4c1d74a918acca2b58acc457d" title="报告期内公司所从事的主要业务、经营模式及行业情况说明" rules="R2015_R3_001" helpId="101001009" helpText="公司应当简要介绍报告期内公司所属行业发展情况、主要业务、主要产品及其用途、经营模式、市场地位、主要的业绩驱动因素等发生的主要变化情况。"/>
    <m:section xlName="_SEC_95fcc6373f8d4d92bdccbe04323713c4" title="报告期内核心竞争力分析" rules="R2015_R3_001" helpId="112001209" helpText="公司应当披露报告期内核心竞争力（包括核心管理团队、关键技术人员、专有设备、专利、非专利技术、特许经营权、土地使用权、水面养殖权、探矿权、采矿权、独特经营方式和盈利模式、允许他人使用自己所有的资源要素或作为被许可方使用他人资源要素等）的重要变化及对公司所产生的影响。发生因核心管理团队或关键技术人员离职、设备或技术升级换代、特许经营权丧失等导致公司核心竞争力受到严重影响的，公司应当详细分析，并说明拟采取的相应措施。"/>
    <m:section xlName="_GBC_ba3734a9f27a452095f3115c17f4b09e" title="经营情况的讨论与分析" convertSummaryRule="NoConvert" helpId="104001002"/>
    <m:section xlName="_SEC_5c790aea31ad48bb8832d20c53fcc625" title="报告期内公司经营情况的重大变化，以及报告期内发生的对公司经营..." helpId="110002108"/>
    <m:section xlName="_GBC_281bf95299804381a41f7dd82e2c19f3" title="财务报表相关科目变动分析表" helpId="108001001" helpText="注1：科目来源合并利润表和合并现金流量表（除研发支出）。上市公司如有科目需要披露，请自行添加。\n注2：结合行业发展、业务经营等情况分析变化的原因。\n如需删除变动原因说明，请通过模块-删除段落进行删除。" editSection="_GBC_d946d01b34d4418f87d2ffa61f8ee353" axisType="Column"/>
    <m:section xlName="_GBC_2346c2f60a0d447bb4e68d1cdeb1ae6e" title="公司利润构成或利润来源发生重大变动的详细说明" convertSummaryRule="NoConvert" helpId="108001001"/>
    <m:section xlName="_SEC_8eca3e31ebef41f0bccb8c1e5fae0579" title="非主营业务导致利润重大变化的说明" helpId="108005007"/>
    <m:item xlName="_GBC_7e768f46f428417e8696bff3cfaf9902" concept="clcid-ci-ar:ShiFouShiYongZiChanFuZhaiQingKuangFenXi" label="是否适用：资产、负债情况分析" selectOptions="_buildInAppliance" controlType="CustomCheckbox" cRanges="{&quot;StartName&quot;:&quot;_GBC_7e768f46f428417e8696bff3cfaf9902&quot;,&quot;EndName&quot;:&quot;_SEC_a3069c29080242b4a4de48db80a4164e&quot;,&quot;CType&quot;:1,&quot;DisplayText&quot;:null}"/>
    <m:section xlName="_SEC_6223798588db4238825d68a423f52705" title="资产负债情况分析表" helpId="108005004" axisType="Column"/>
    <m:item xlName="_GBC_95d71e9a9dcd4966863ba2859a3bf0b7" concept="clcid-ci-ar:ShiFouShiYongJingWaiZiChanQingKuang" label="是否适用：境外资产情况 " selectOptions="_buildInAppliance" controlType="CustomCheckbox" cRanges="[{&quot;StartName&quot;:&quot;_GBC_95d71e9a9dcd4966863ba2859a3bf0b7&quot;,&quot;EndName&quot;:&quot;_SEC_1054cd8b91c348ed94f7bc925d57ba7b&quot;,&quot;CType&quot;:1}]"/>
    <m:section xlName="_SEC_7f2308a9bb284441948806ea6c09c608" title="" helpId="108005004"/>
    <m:section xlName="_SEC_d3282e023dd342148088e8b62a141d34" title="境外资产占比较高的相关说明" helpId="101001042" helpText="若境外资产占总资产的比例大于或等于30%，一般认为境外资产占比较高。在此基础上，公司可以根据境外资产贡献收入、利润等情况，判断是否构成重要境外资产，进行披露。"/>
    <m:section xlName="_SEC_1054cd8b91c348ed94f7bc925d57ba7b" title="其他说明"/>
    <m:section xlName="_SEC_390cddc4349f46b4bcccd468c3e69d14" title="截至报告期末主要资产受限情" helpId="108005004"/>
    <m:section xlName="_SEC_a3069c29080242b4a4de48db80a4164e" title="其他说明" helpId="108005004"/>
    <m:section xlName="_SEC_e7a08c655c9844a8b5127e2ae800064c" title="对外股权投资总体分析" convertSummaryRule="NoConvert" helpId="108005001" helpText="公司应当介绍本半年度投资情况，分析报告期内公司投资额同比变化情况。"/>
    <m:section xlName="_SEC_6dcee2c665d94c8b941605cedc06f568" title="重大的股权投资" helpId="101001044" helpText="例如私募基金、证券公司等。"/>
    <m:section xlName="_SEC_ac9932f6d2bb4e35b86dbcc496bca6c4" title="重大的非股权投资" helpId="108005003" helpText="对报告期内正在进行的重大的非股权投资，公司应当披露项目本半年度和累计实际投入情况、资金来源、项目的进度及预计收益。若项目已产生收益，应当说明收益情况；未达到计划进度和收益的，应当说明原因。"/>
    <m:section xlName="_SEC_5ac920b545894503a0b852b58774a2f1" title="以公允价值计量的金融资产" helpId="101001046" helpText="1、涉及银行理财的，购买和赎回金额列填写净发生额；2、选择其他的，需自行添加普通行说明其他项下产品类型；如添加后为控件行请操作【报告编制】-【表格】-【转为普通行】。"/>
    <m:section xlName="_SEC_223855f312f442628a6b89be29f039a8" title="证券投资情况" helpText="若因为自营业务投资品种较多，可选择不适用，但应当说明原因。"/>
    <m:section xlName="_SEC_1fd1b5403f6b4f59b90a86c5afda2100" title="证券投资情况的说明  "/>
    <m:section xlName="_SEC_1314f2a4c4444241bb2afb255168e300" title="私募基金投资情况"/>
    <m:section xlName="_SEC_c58f05384e954c5ea5ee6d64b1e9a529" title="衍生品投资情况" helpText="说明相关衍生品投资业务是否适用《企业会计准则第24号——套期会计》的相关规定。"/>
    <m:section xlName="_SEC_04b9238e9d184f1bab78bd58a24f46ef" title="重大资产和股权出售" helpId="110005010" helpText="公司应当简要分析重大资产和股权出售事项对公司业务连续性、管理层稳定性的影响。公司应当说明上述事项是否按计划如期实施，如已实施完毕，应当说明其对财务状况和经营成果的影响，以及所涉及的金额及其占利润总额的比例；如未按计划实施，应当说明原因及公司已采取的措施。"/>
    <m:section xlName="_SEC_2a2bbe84e5b044d9b42284613cdb120d" title="主要控股参股公司分析" convertSummaryRule="NoConvert" helpId="108005008" helpText="公司应当介绍主要子公司的主要业务、注册资本、总资产、净资产、净利润，本半年度取得和处置子公司的情况，包括取得和处置的方式及对公司整体生产经营和业绩的影响。如来源于单个子公司的净利润或单个参股公司的投资收益对公司净利润影响达到10%以上，还应当介绍该公司主营业务收入、主营业务利润等数据。若单个子公司或参股公司的经营业绩同比出现大幅波动，且对公司合并经营业绩造成重大影响的，公司应当对其业绩波动情况及其变动原因进行分析。\n若主要子公司或参股公司的经营业绩未出现大幅波动，但其资产规模、构成或其他主要财务指标出现显著变化，并可能在将来对公司业绩造成影响，也应当对变化情况和原因予以说明。"/>
    <m:section xlName="_SEC_1ac5f271c9c14f569093b3be96ecc8d2" title="公司控制的结构化主体情况" helpId="112001211" helpText="公司存在其控制下的结构化主体时，应当介绍公司对其控制权方式和控制权内容，并说明公司从中可以获取的利益和对其所承担的风险。另外，公司还应当介绍结构化主体对其提供融资、商品或劳务以支持自身主要经营活动的相关情况。公司控制的结构化主体为《企业会计准则第41号——在其他主体中权益的披露》中所规定的“结构化主体”。"/>
    <m:section xlName="_SEC_81e2de17d1214ba3b0e3ff89b6c2b65d" title="可能面对的风险" helpId="104002005"/>
    <m:section xlName="_SEC_2d00d0d8a1b7409b884a0beb6a447e0d" title="其他披露事项"/>
    <m:section xlName="_SEC_d8b5f940b6314e479198b8ccc086b98d" title="股东大会情况简介" helpId="110004001"/>
    <m:section xlName="_SEC_d5dd00e8721a44d88174eb5aacf152b7" title="表决权恢复的优先股股东请求召开临时股东大会 " helpId="110004001"/>
    <m:section xlName="_SEC_bf1ce0d19a464ce2a3d1a1d438ffde42" title="股东大会情况说明" helpId="110004001"/>
    <m:section xlName="_SEC_fe90051e8bfd40b8bb8541284a29b30e" title="公司董事、监事、高级管理人员变动情况" helpId="105001004" helpText="注：\n1、报告期内离任的董事、监事、高级管理人员，仍需按本章要求披露相关内容。\n2、报告期后新任的，董事、监事、高级管理人员可作附注说明。"/>
    <m:section xlName="_SEC_9d764ab9e1c44e0e972e846b8ecf0813" title="公司董事、监事、高级管理人员变动的情况说明" helpId="105001004"/>
    <m:section xlName="_GBC_e4b48d016b974478b1fce3e8671a7227" title="半年度拟定的利润分配预案" rules="R2015_R5_001" helpId="108006001" helpText="公司董事会在审议半年度报告时拟定利润分配预案、资本公积金转增股本预案的，公司应当说明上述预案是否符合公司章程及审议程序的规定，是否充分保护中小投资者的合法权益，是否由独立董事发表意见。"/>
    <m:section xlName="_SEC_27d68d30f5fb4d008c2e762ac7309c77" title="相关股权激励事项已在临时公告披露且后续实施无进展或变化的" helpId="110005001"/>
    <m:item xlName="_GBC_388221bc7be24cdca55be337256c8bc1" concept="clcid-ci-ar:ShiFouShiYongGuQuanJiLiQingKuang" label="是否适用：股权激励情况" selectOptions="_buildInAppliance" controlType="CustomCheckbox" cRanges="[{&quot;StartName&quot;:&quot;_GBC_388221bc7be24cdca55be337256c8bc1&quot;,&quot;EndName&quot;:&quot;_SEC_03192fc0d89a465d87224782dc1ad23d&quot;,&quot;CType&quot;:1}]"/>
    <m:section xlName="_SEC_03192fc0d89a465d87224782dc1ad23d" title="股权激励情况" rules="R2015_R5_008" repeatable="1" tupleConcept="clcid-ie:GuQuanJiLiJiHuaQingKuangMingXi" helpId="110005001" helpText="注：报告期内失效的权益总额以负数填列。"/>
    <m:section xlName="_SEC_a417a9b40b6a4adeba436d511837e016" title="股权激励情况的说明" helpId="110005001"/>
    <m:section xlName="_SEC_70861e225efc4a6aa2a87c82bdeffa60" title="员工持股计划情况" rules="R2015_R5_008" helpId="110005001"/>
    <m:section xlName="_SEC_63920368dc0b49e9a257b190129bf278" title="其他激励措施" rules="R2015_R5_008" helpId="110005001"/>
    <m:item xlName="_GBC_820250e25791459fb9ab9ed79c168408" concept="clcid-mr:ShiFouShiYongZhongDianPaiWuDanWeiHuanBaoQingKuang" label="是否适用：重点排污单位环保情况" selectOptions="_buildInAppliance" controlType="CustomCheckbox" cRanges="[{&quot;StartName&quot;:&quot;_GBC_820250e25791459fb9ab9ed79c168408&quot;,&quot;EndName&quot;:&quot;_SEC_c87c813c87604960a2e846d148a1280c&quot;,&quot;CType&quot;:1}]"/>
    <m:section xlName="_SEC_692004cb913244878ef4d9f391681f08" title="排污信息" helpId="104002008"/>
    <m:section xlName="_SEC_9647358b46c84a02b09d75557c728419" title="防治污染设施的建设和运行情况" helpId="104002008"/>
    <m:section xlName="_SEC_2708d5a25473420b9cd1646eac86c715" title="建设项目环境影响评价及其他环境保护行政许可情况" helpId="104002008"/>
    <m:section xlName="_SEC_8a186947e6794ae7a56369fd5232b227" title="突发环境事件应急预案" helpId="104002008"/>
    <m:section xlName="_SEC_9756f3e7d2714d9788f7344c9c15bb49" title="环境自行监测方案" helpId="104002008"/>
    <m:section xlName="_SEC_d4d4f3aa551f4da6b52a96fc74100d07" title="报告期内因环境问题受到行政处罚的情况" helpId="104002008"/>
    <m:section xlName="_SEC_c87c813c87604960a2e846d148a1280c" title="其他应当公开的环境信息" helpId="104002008"/>
    <m:item xlName="_GBC_5429e6d325df48abbf95eb4f87e71363" concept="clcid-mr:ShiFouShiYongZhongDianPaiWuDanWeiZhiWaiDeGongSiDeHuanBaoQingKuang" label="是否适用：重点排污单位之外的公司的环保情况" selectOptions="_buildInAppliance" controlType="CustomCheckbox" cRanges="[{&quot;StartName&quot;:&quot;_GBC_5429e6d325df48abbf95eb4f87e71363&quot;,&quot;EndName&quot;:&quot;_SEC_dbf114d9dfed451c943c0db36f9761bc&quot;,&quot;CType&quot;:1}]"/>
    <m:section xlName="_SEC_0394b08510244ffd8c8d1de70ffde99e" title="因环境问题受到行政处罚的情况  ____" helpId="104002008"/>
    <m:section xlName="_SEC_15a234e4f4924e908104a96ce6984e16" title="参照重点排污单位披露其它环境信息" helpId="104002008"/>
    <m:section xlName="_SEC_dbf114d9dfed451c943c0db36f9761bc" title="重点排污单位之外的公司未披露环境信息的原因说明" helpId="104002008"/>
    <m:section xlName="_SEC_3c63bb32177f4f368bb662e3b696830a" title="报告期内披露环境信息内容的后续进展或变化情况的说明" helpId="104002008"/>
    <m:section xlName="_SEC_94dff50e6ff346df8df30ef5135f60ea" title="有利于保护生态、防治污染、履行环境责任的相关信息  __..." helpId="104002008"/>
    <m:section xlName="_SEC_0a7b3a01a1cd4768be87b42742d0f169" title="在报告期内为减少其碳排放所采取的措施及效果" helpId="104002008"/>
    <m:section xlName="_SEC_7eeef6a842224b3eac28c0a6aa105d7d" title="巩固拓展脱贫攻坚成果、乡村振兴工作具体情况" helpId="104002004"/>
    <m:section xlName="_SEC_0b5886e57afd437b88c6e55a33dbccb9" title="公司实际控制人、股东、关联方、收购人以及公司等承诺相关方在报..." helpId="112001217" axisType="Column"/>
    <m:section xlName="_SEC_2f371a3cc949400ea818d66a836d5785" title="报告期内控股股东及其他关联方非经营性占用资金情况" helpId="110002101"/>
    <m:section xlName="_SEC_623f0c33c18d4979b146b229057a4e89" title="违规担保情况" helpId="110002102"/>
    <m:item xlName="_GBC_b2faf86be7fd4060a2a7ad4018aaf033" concept="clcid-ci-ar:ShiFouShiYongBanNianBaoShenJiQingKuang" label="是否适用：半年报审计情况  " selectOptions="_buildInAppliance" controlType="CustomCheckbox" cRanges="[{&quot;StartName&quot;:&quot;_GBC_b2faf86be7fd4060a2a7ad4018aaf033&quot;,&quot;EndName&quot;:&quot;_SEC_ff2ca8295db041209fe47eea7ae742aa&quot;,&quot;CType&quot;:1}]"/>
    <m:section xlName="_SEC_da98fea575804e4da57e6ed94a08807a" title="聘任、解聘会计师事务所的情况说明" helpId="110009001" helpText="公司半年度财务报告已经审计的，公司应当披露聘任审计半年度财务报告的会计师事务所的情况及报告期内支付给会计师事务所的报酬情况。更换会计师事务所的，公司应当披露解聘原会计师事务所的原因，以及是否履行了必要的程序。"/>
    <m:section xlName="_SEC_39a839676dca47f595f0cbe05d986e81" title="审计期间改聘会计师事务所的情况说明" helpId="110009001" helpText="注：公司若改聘、解聘会计师事务所，则必须填写改聘、解聘的情况说明。"/>
    <m:section xlName="_SEC_ff2ca8295db041209fe47eea7ae742aa" title="公司对会计师事务所“非标准审计报告”的说明" rules="R2015_R5_004" summaryGuid="_GBC_1950181a09c94d4aaf32bf57c794e652" helpId="110009001" helpText="公司半年度财务报告已经审计，并被出具非标准意见审计报告的，公司董事会应当按照《公开发行证券的公司信息披露编报规则第14号——非标准审计意见及其涉及事项的处理》规定，针对非标准意见涉及的事项作出专项说明。"/>
    <m:section xlName="_SEC_10be83ff0126440a8620e35536191767" title="公司对上年年度报告中的财务报告被注册会计师出具“非标准审计报..." helpId="110002109" helpText="上年年度报告中的财务报告被注册会计师出具非标准意见审计报告的，公司应当就所涉及事项的变化及处理情况作出说明。"/>
    <m:section xlName="_SEC_1ae3a3f4b3c4484980120137749e19ed" title="破产重整相关事项" helpId="110002001" helpText="公司应当披露报告期内发生的破产重整相关事项，包括相关主体向法院申请重整、和解或破产清算，法院受理重整、和解或破产清算，以及公司重整期间发生的法院裁定结果及其他重大事项。执行重整计划的公司应当说明计划的具体内容及执行情况。"/>
    <m:item xlName="_GBC_0fcf1cd2d0814185bde747855edf5227" concept="clcid-mr:BenNianDuGongSiYouWuZhongDaSuSongZhongCaiShiXiang" label="本年度公司有无重大诉讼、仲裁事项" selectOptions="b57efa008b784297940d385751c4cb21" controlType="CustomCheckbox" cRanges="{&quot;StartName&quot;:&quot;_GBC_0fcf1cd2d0814185bde747855edf5227&quot;,&quot;EndName&quot;:&quot;_SEC_c92a88ec21204766afe5f9688cbd21bd&quot;,&quot;CType&quot;:1,&quot;DisplayText&quot;:null}"/>
    <m:section xlName="_SEC_902756a755994b00b80a02d3baa0ea44" title="诉讼、仲裁事项已在临时公告披露且无后续进展的" rules="R2015_R5_006" convertSummaryRule="NoConvert" helpId="110001001" helpText="注：如以上诉讼、仲裁或媒体质疑事项已在临时公告披露且无后续进展的，仅需披露该事项概述，并提供临时报告披露网站的查询索引。"/>
    <m:section xlName="_SEC_85376178a04b46fb90efc5d6fa2e6a28" title="临时公告未披露或有后续进展的诉讼、仲裁情况" rules="R2015_R5_006" convertSummaryRule="NoConvert" helpId="110001001"/>
    <m:section xlName="_SEC_c92a88ec21204766afe5f9688cbd21bd" title="其他诉讼仲裁事项说明" rules="R2015_R5_006" convertSummaryRule="NoConvert" helpId="110001001"/>
    <m:section xlName="_SEC_61682565f6714c6a81ab8e6d05a5abaa" title="上市公司及其董事、监事、高级管理人员、控股股东、实际控制人、收购人处罚及整改情况" helpId="110010001" helpText="报告期内公司存在以下情形的，应当说明原因或结论：\n（一）公司涉嫌犯罪被依法立案调查，公司的控股股东、实际控制人、董事、监事、高级管理人员涉嫌犯罪被依法采取强制措施；\n（二）公司或者公司的控股股东、实际控制人、董事、监事、高级管理人员受到刑事处罚，涉嫌违法违规被中国证监会立案调查或者受到中国证监会行政处罚，或者受到其他有权机关重大行政处罚；\n（三）公司的控股股东、实际控制人、董事、监事、高级管理人员涉嫌严重违纪违法或者职务犯罪被纪检监察机关采取留置措施且影响其履行职责。\n（四）公司董事、监事、高级管理人员因涉嫌违法违规被其他有权机关采取强制措施且影响其履行职责。\n公司应当披露报告期内公司或者公司的控股股东、实际控制人、董事、监事、高级管理人员被中国证监会采取行政监管措施和被证券交易所采取纪律处分的情况,若涉及限期整改要求的，公司应当披露整改责任人、整改期限、整改措施、整改完成情况。"/>
    <m:section xlName="_SEC_b6520273283341408b24eceadfb999dd" title="报告期内公司及其控股股东、实际控制人诚信状况的说明" helpId="104002006" helpText="公司应当披露报告期内公司及其控股股东、实际控制人的诚信状况，包括但不限于：是否存在未履行法院生效法律文书确定的义务、所负数额较大的债务到期未清偿等情况。"/>
    <m:section xlName="_SEC_b9489dd6b4c843e6be6e5a97de24b51b" title="已在临时公告披露且后续实施无进展或变化的事项" rules="R2015_R5_009" convertSummaryRule="NoConvert" helpId="110006001"/>
    <m:section xlName="_SEC_ec9777844cc44aa6b3f98c8af0a20f95" title="已在临时公告披露，但有后续实施的进展或变化的事项" rules="R2015_R5_009" convertSummaryRule="NoConvert" helpId="110006001"/>
    <m:section xlName="_SEC_227a4feb5cd045acb20f0e655bf26ea8" title="临时公告未披露的事项" rules="R2015_R5_009" convertSummaryRule="NoConvert" helpId="110006001"/>
    <m:section xlName="_SEC_bf9131838c5b421d81cb3165b3861506" title="已在临时公告披露且后续实施无进展或变化的事项" rules="R2015_R5_009" convertSummaryRule="NoConvert" helpId="110006003"/>
    <m:section xlName="_SEC_f9a57b14408248c4bc6881cfd0e81074" title="已在临时公告披露，但有后续实施的进展或变化的事项" rules="R2015_R5_009" convertSummaryRule="NoConvert" helpId="110006003"/>
    <m:section xlName="_SEC_a7b4eef2f39c4550974e81ee8caca798" title="临时公告未披露的事项" rules="R2015_R5_009" convertSummaryRule="NoConvert" helpId="110006003"/>
    <m:section xlName="_SEC_e17a03ced9e54c92b773a7e185d85bd3" title="涉及业绩约定的，应当披露报告期内的业绩实现情况" helpId="110006003"/>
    <m:section xlName="_SEC_d9e67609bdab489e985efba8758860bd" title="已在临时公告披露且后续实施无进展或变化的事项" rules="R2015_R5_009" convertSummaryRule="NoConvert" helpId="110006004"/>
    <m:section xlName="_SEC_53e4f8cd2c114fb1a1c9d74236ebd2fc" title="已在临时公告披露，但有后续实施的进展或变化的事项" rules="R2015_R5_009" convertSummaryRule="NoConvert" helpId="110006004"/>
    <m:section xlName="_SEC_25e347f9cbc546cbafdf30522b654328" title="临时公告未披露的事项" rules="R2015_R5_009" convertSummaryRule="NoConvert" helpId="110006004"/>
    <m:section xlName="_SEC_2fd4e717dd2949d2b4b4fb580dfce32a" title="已在临时公告披露且后续实施无进展或变化的事项" rules="R2015_R5_009" convertSummaryRule="NoConvert" helpId="110006005"/>
    <m:section xlName="_SEC_dcb3650518df4296931e576a9d6fdaf3" title="已在临时公告披露，但有后续实施的进展或变化的事项" rules="R2015_R5_009" convertSummaryRule="NoConvert" helpId="110006005"/>
    <m:section xlName="_SEC_da19abf815bb4e3a97fcb901c6225551" title="临时公告未披露的事项" rules="R2015_R5_009" convertSummaryRule="NoConvert" helpId="110006005" helpText="注：“关联债权债务往来”不包括本准则第三十九条（一）（二）（三）项中的交易事项，表格中“发生额”、“余额”应包括以下项目的加总：\n（1）“其他应收款”、“其他应付款”科目下的有关金额；\n（2）“应收账款”及“预付账款”科目中的代垫经营性费用及成本部分。"/>
    <m:item xlName="_GBC_918ef76103ad41b4a79075b59fdb8bf4" concept="clcid-ci-ar:ShiFouShiYongGongSiYuCunZaiGuanLianGuanXiDeCaiWuGongSiGongSiKongGuCaiWuGongSiYuGuanLianFangZhiJianDeJinRongYeWu" label="是否适用：公司与存在关联关系的财务公司、公司控股财务公司与关联方之间的金融业务 " selectOptions="_buildInAppliance" controlType="CustomCheckbox" cRanges="[{&quot;StartName&quot;:&quot;_GBC_918ef76103ad41b4a79075b59fdb8bf4&quot;,&quot;EndName&quot;:&quot;_SEC_ede026bdca864b809b90849751fe4fc0&quot;,&quot;CType&quot;:1}]"/>
    <m:section xlName="_SEC_fc426ce94f134c9ba4ffd1e1a862890e" title="存款业务" helpId="110002103"/>
    <m:section xlName="_SEC_45b8c1047ae846eebaed610686a59163" title="贷款业务" helpId="110002103"/>
    <m:section xlName="_SEC_12af8280dba7414eaa58fcdd5ef5ac8d" title="授信业务或其他金融业务" helpId="110002103"/>
    <m:section xlName="_SEC_ede026bdca864b809b90849751fe4fc0" title="其他说明"/>
    <m:section xlName="_SEC_d0d528034450466db3d12315559a161a" title="(五) 其他重大关联交易" rules="R2015_R5_009" helpId="104002007"/>
    <m:section xlName="_SEC_94b5dc0c50e04cae8442e9675bd15742" title="其他"/>
    <m:item xlName="_GBC_daed561e68674d828a348a97bffbc154" concept="clcid-ci-ar:ShiFouShiYongTuoGuanChengBaoZuLinShiXiang" label="是否适用：托管、承包、租赁事项" selectOptions="_buildInAppliance" controlType="CustomCheckbox" cRanges="{&quot;StartName&quot;:&quot;_GBC_daed561e68674d828a348a97bffbc154&quot;,&quot;EndName&quot;:&quot;_SEC_c517528524f046abb8a7c1e21d61ed7c&quot;,&quot;CType&quot;:1,&quot;DisplayText&quot;:null}"/>
    <m:section xlName="_SEC_9c01e84b84e4472699e6ea8e413814d7" title="托管情况" isSupervision="true" convertSummaryRule="NoConvert" helpId="110007001" helpText="注：为公司带来的利润达到公司本期利润总额10％以上（含10％）的托管、承包、租赁事项"/>
    <m:section xlName="_SEC_37ed7d66ad1d401d8403e9b54bcb42bc" title="承包情况                         ..." convertSummaryRule="NoConvert" helpId="110007001" helpText="注：为公司带来的利润达到公司本期利润总额10％以上（含10％）的托管、承包、租赁事项"/>
    <m:section xlName="_SEC_c517528524f046abb8a7c1e21d61ed7c" title="租赁情况                         ..." convertSummaryRule="NoConvert" helpId="110007001" helpText="注：为公司带来的利润达到公司本期利润总额10％以上（含10％）的托管、承包、租赁事项"/>
    <m:item xlName="_GBC_aae98b3e30bd49e4b2e1d2643f200047" concept="clcid-ci-ar:ShiFouShiYongDanBaoQingKuang" label="是否适用：担保情况" selectOptions="_buildInAppliance" controlType="CustomCheckbox" cRanges="{&quot;StartName&quot;:&quot;_GBC_aae98b3e30bd49e4b2e1d2643f200047&quot;,&quot;EndName&quot;:&quot;_SEC_7252a26412904d92b0bddfc3266d9f75&quot;,&quot;CType&quot;:1,&quot;DisplayText&quot;:null}"/>
    <m:section xlName="_SEC_7252a26412904d92b0bddfc3266d9f75" title="担保情况" rules="R2015_R5_010" convertSummaryRule="NoConvert" helpId="110007002" helpText="注1：报告期内担保发生额和报告期末担保余额包括子公司的对外担保，其担保金额为该子公司对外担保金额乘以公司持有该公司的股份比例。公司及其子公司的对外担保应在此处填写明细情况。\n注2：担保总额为上述“报告期末担保余额合计（不包括对子公司的担保）”和“报告期末对子公司担保余额合计”两项的加总。 “上述三项担保金额合计”为上述“为股东、实际控制人及其关联方提供担保的金额”、“直接或间接为资产负债率超过70%的被担保对象提供的债务担保金额”和“担保总额超过净资产50%部分的金额”三项的加总。若一个担保事项同时出现上述两项或三项情形，在合计中只需要计算一次。 \n注3：重大担保。报告期内履行的及尚未履行完毕的担保合同，包括担保金额、担保期限、担保对象、担保类型（一般担保或连带责任担保）、担保物（如有）、反担保情况（如有）、担保的决策程序等。对于未到期担保合同，如果报告期内发生担保责任或有证据表明有可能承担连带清偿责任，应当明确说明。"/>
    <m:section xlName="_SEC_e046194a1b604165ab4ac9dbd406e6b1" title="其他重大合同" convertSummaryRule="NoConvert" helpId="110007004"/>
    <m:section xlName="_SEC_82a7281a6dc544bea8ef97d430f7b6fc" title="" helpId="110011001"/>
    <m:section xlName="_GBC_f9397743097a41aeb54f7cc576d0c924" title="股份变动情况表(已完成或不涉及股改)" rules="R2015_R6_001" checkKey="!未发生变化&amp;!未上市流通股份" helpId="104001001" primarySection="_GBC_dd8bc2a0b3ed4147a1e657cdc8573344" optionText="股份有变化,已完成股权分置改革或不涉及股权分置改革" activeContentOption="_GBC_0422a6706bc4487ebfdb5679a4894cf2" optionGroupTitle="公司股份变化情况" optionTargetConcept="clcid-ci-ar:ShiFouShiYongGuFenBianDongQingKuangBiao" optionTargetConceptValue="true" otherKeyActions="{&quot;KeyCode&quot;:&quot;SF_SSE&quot;,&quot;KeyAction&quot;:47,&quot;KeyActionTitle&quot;:null,&quot;OtherActions&quot;:null}"/>
    <m:section xlName="_GBC_872d4d405bf64e4d9c4e4ee9330ec2d5" title="股份变动情况表(未完成股改)" rules="R2015_R6_001" checkKey="!未发生变化&amp;!有限售条件股份" helpId="104001001" primarySection="_GBC_dd8bc2a0b3ed4147a1e657cdc8573344" optionText="股份有变化,未完成股权分置改革" activeContentOption="_GBC_0422a6706bc4487ebfdb5679a4894cf2" optionGroupTitle="公司股份变化情况" optionTargetConcept="clcid-ci-ar:ShiFouShiYongGuFenBianDongQingKuangBiao" optionTargetConceptValue="true" otherKeyActions="{&quot;KeyCode&quot;:&quot;SF_SSE&quot;,&quot;KeyAction&quot;:47,&quot;KeyActionTitle&quot;:null,&quot;OtherActions&quot;:null}"/>
    <m:section xlName="_GBC_dd8bc2a0b3ed4147a1e657cdc8573344" title="报告期内，公司股份总数及股本结构未发生变化。" checkKey="!变动增减" helpId="104001001" primarySection="_GBC_dd8bc2a0b3ed4147a1e657cdc8573344" optionText="股份未变化" activeContentOption="_GBC_f9397743097a41aeb54f7cc576d0c924" optionGroupTitle="公司股份变化情况" optionTargetConcept="clcid-ci-ar:ShiFouShiYongGuFenBianDongQingKuangBiao" optionTargetConceptValue="false" otherKeyActions="{&quot;KeyCode&quot;:&quot;SF_SSE&quot;,&quot;KeyAction&quot;:47,&quot;KeyActionTitle&quot;:null,&quot;OtherActions&quot;:null}"/>
    <m:section xlName="_GBC_11d26f58e47e4a1f997d73362074f464" title="股份变动情况说明" rules="R2015_R6_001" convertSummaryRule="NoConvert" helpId="104001001"/>
    <m:section xlName="_GBC_2c9eb79778814e39ab254196ba75dab3" title="报告期后到半年报披露日期间发生股份变动对每股收益等指标影响" rules="R2015_R6_001" convertSummaryRule="NoConvert" helpId="104001001"/>
    <m:section xlName="_GBC_ea8cea8d08c04df4b51a4a58c86eadd2" title="公司认为必要或证券监管机构要求披露的其他内容" rules="R2015_R6_001" convertSummaryRule="NoConvert" helpId="104001001"/>
    <m:section xlName="_SEC_71bda84d0fff4902850bfc37d3477fb7" title="限售股份变动情况" helpId="104001031" helpText="注：若同一股东因不同限售原因或限售期限持有几类限售股份的，应当区别不同的限售原因或解除限售日期填写上表。"/>
    <m:section xlName="_GBC_ba0ac3b5d31347c0a620e3662112fa62" title="股东总数" rules="R2015_R6_002" convertSummaryRule="NoConvert" helpId="104002001"/>
    <m:section xlName="_GBC_558dfa41ef4b4fa8adb57b3c9c0a2887" title="前十名股东持股情况(已完成或不涉及股改)" rules="R2015_R6_002" checkKey="!非流通股" helpId="104001032" helpText="注：\n1.公司股票为融资融券标的证券的，股东持股数量应当按照其通过普通证券账户、信用证券账户持有的股票及其权益数量合并计算。\n2.公司在计算本条所指股东持股数额或比例时,应合并计算普通股和表决权恢复的优先股(如有)." primarySection="_GBC_558dfa41ef4b4fa8adb57b3c9c0a2887" optionText="已完成股权分置改革或不涉及股权分置改革" optionGroupTitle="前十名股东持股情况" optionTargetConcept="clcid-cgi:GuQuanFenZhiGaiGeZhuangTai" optionTargetConceptValue="已完成股权分置改革" otherKeyActions="{&quot;KeyCode&quot;:&quot;SF_SSE&quot;,&quot;KeyAction&quot;:47,&quot;KeyActionTitle&quot;:null,&quot;OtherActions&quot;:null}"/>
    <m:section xlName="_GBC_4a9721209ff04ca9a1a9139d61e2a864" title="持有公司5%以上股份的前十名股东持股情况(未完成股改)" rules="R2015_R6_002" checkKey="!无限售" helpId="104001032" helpText="注：\n1.公司股票为融资融券标的证券的，股东持股数量应当按照其通过普通证券账户、信用证券账户持有的股票及其权益数量合并计算。\n2.公司在计算本条所指股东持股数额或比例时,应合并计算普通股和表决权恢复的优先股(如有)." primarySection="_GBC_558dfa41ef4b4fa8adb57b3c9c0a2887" optionText="未完成股权分置改革" optionGroupTitle="前十名股东持股情况" optionTargetConcept="clcid-cgi:GuQuanFenZhiGaiGeZhuangTai" optionTargetConceptValue="未完成股权分置改革" otherKeyActions="{&quot;KeyCode&quot;:&quot;SF_SSE&quot;,&quot;KeyAction&quot;:47,&quot;KeyActionTitle&quot;:null,&quot;OtherActions&quot;:null}"/>
    <m:section xlName="_GBC_e978a717352b4bf6852a761b15c1e95b" title="战略投资者或一般法人因配售新股成为前10名股东" rules="R2015_R6_002" convertSummaryRule="NoConvert" helpId="104001032"/>
    <m:section xlName="_SEC_34f8808520ab47be851d00ee44fc510b" title="现任及报告期内离任董事、监事和高级管理人员持股变动情况 " helpId="105001001" helpText="注：\n1、报告期内离任的董事、监事、高级管理人员，仍需按本章要求披露相关内容。\n2、报告期后新任的，董事、监事、高级管理人员可作附注说明。\n注：职务如是独立董事，需单独注明。\n（1）如果涉及多个职称使用中文顿号“、”分隔；\n（2）如果已离任使用括号备注，例如：董事（离任）\n（3）常用职称：董事、独立董事、职工代表董事、董事长、监事、职工代表监事、监事会主席、总经理、分管（XX）的副总经理、财务负责人、董事会秘书、副董事长、监事长、监事会副主席、总裁、副总裁、信息披露负责人、行长、副行长等；" axisType="Column"/>
    <m:section xlName="_SEC_ddbdd27d049d452a9d63bfa087a3f3c5" title="其它情况说明"/>
    <m:section xlName="_SEC_e31f847e559a4ff7aa07914d45526543" title="董事、监事、高级管理人员报告期内被授予的股权激励情况" helpId="105001001" helpText="注：\n1、报告期内离任的董事、监事、高级管理人员，仍需按本章要求披露相关内容。\n2、报告期后新任的，董事、监事、高级管理人员可作附注说明。"/>
    <m:section xlName="_SEC_b5cd47f19fe24fecafd1039d3c1c6b51" title="董事、监事、高级管理人员报告期内被授予的股权激励情况表二" helpId="105001001" helpText="注：\n1、报告期内离任的董事、监事、高级管理人员，仍需按本章要求披露相关内容。\n2、报告期后新任的，董事、监事、高级管理人员可作附注说明。"/>
    <m:section xlName="_SEC_a1a4d90699494886b231030a7c17645b" title="其他董事、监事、高级管理人员和员工情况" rules="R2015_R8_001" helpText="注：\n1、报告期内离任的董事、监事、高级管理人员，仍需按本章要求披露相关内容。\n2、报告期后新任的，董事、监事、高级管理人员可作附注说明。"/>
    <m:section xlName="_GBC_2e7a202224f3494aa0093f3bd0f39d33" title="控股股东及实际控制人变更情况" rules="R2015_R6_003" convertSummaryRule="ConvertDefinedText" convertText="本报告期内公司控股股东或实际控制人没有发生变更。" helpId="104002003"/>
    <m:item xlName="_GBC_2113adbee8464e1c828b3d6d35c60abf" concept="clcid-ci-ar:ShiFouShiYongYouXianGuXiangGuanQingKuang" label="是否适用：优先股相关情况" selectOptions="_buildInAppliance" controlType="CustomCheckbox" cRanges="{&quot;StartName&quot;:&quot;_GBC_2113adbee8464e1c828b3d6d35c60abf&quot;,&quot;EndName&quot;:&quot;_GBC_8fb06e980aee40a3b1b78ccabb3fc0e3&quot;,&quot;CType&quot;:1,&quot;DisplayText&quot;:null}"/>
    <m:section xlName="_GBC_038a92c2237240f0893f503bba7a03c0" title="报告期内优先股发行与上市情况" rules="R2015_R7_001" helpId="112001228"/>
    <m:section xlName="_SEC_09ecd5a571d64e909892f8249659d711" title="优先股股东情况" tupleConcept="clcid-cgi:QianShiMingYouXianGuGuDongQingKuangMingXi" repeatable="1" helpId="104002009"/>
    <m:section xlName="_GBC_cdbecede1d44433785be1be860bc785b" title="其他优先股股东情况说明" rules="R2015_R7_001" helpId="110008001"/>
    <m:section xlName="_GBC_dd0252a8df9640e89dc854d849426857" title="回购情况" rules="R2015_R7_001" helpId="112001230"/>
    <m:section xlName="_GBC_bfe4b4f422a94baaa8274d70ba44bfb9" title="转换情况" rules="R2015_R7_001" helpId="112001229"/>
    <m:section xlName="_GBC_ddb96eb7a92a4d6285f620d33674775f" title="报告期内存在优先股表决权恢复的，公司应当披露相关表决权的恢复情况" rules="R2015_R7_001" helpId="112001231"/>
    <m:section xlName="_GBC_8c2b7a1d2d1b4786b4822d8ec9c8c28f" title="公司对优先股采取的会计政策及理由" rules="R2015_R7_001" helpId="112001232"/>
    <m:section xlName="_GBC_8fb06e980aee40a3b1b78ccabb3fc0e3" title="其他优先股相关情况" rules="R2015_R7_001"/>
    <m:item xlName="_GBC_8e6b9cf2d8c24a6faf41199f98e408b3" helpId="112500014" concept="clcid-ci-ar:ShiFouShiYongZhaiQuanXiangGuanQingKuang" label="是否适用：债券相关情况" selectOptions="_buildInAppliance" controlType="CustomCheckbox" cRanges="[{&quot;StartName&quot;:&quot;_GBC_8e6b9cf2d8c24a6faf41199f98e408b3&quot;,&quot;EndName&quot;:&quot;_SEC_9f3013bc6d4940f49cf3cfe39dab5a57&quot;,&quot;CType&quot;:1}]"/>
    <m:item xlName="_GBC_7c4c7c12d42c40e9887e57bdc1801da4" concept="clcid-ci-ar:ShiFouShiYongQiYeZhaiQuanXiangGuanQingKuang" label="是否适用：企业债券相关情况" selectOptions="_buildInAppliance" controlType="CustomCheckbox" cRanges="[{&quot;StartName&quot;:&quot;_GBC_7c4c7c12d42c40e9887e57bdc1801da4&quot;,&quot;EndName&quot;:&quot;_SEC_dbc98e4c075e49c18bbf04d0299c6d86&quot;,&quot;CType&quot;:1}]">
      <m:axisValue occRef="企业债券"/>
    </m:item>
    <m:section xlName="_SEC_85d0b54bde8b4d2fb3c3f92b899136c1" title="企业债券基本情况" convertSummaryRule="NoConvert" helpId="112500001"/>
    <m:section xlName="_SEC_bec7a7bee871408cb8ec66a254d6e601" title="企业债券 公司对债券终止上市交易风险的应对措施" helpId="112500001"/>
    <m:section xlName="_SEC_19ea1e34a07e43908734d868f999e885" title="企业债券逾期未偿还债券" helpId="112500009"/>
    <m:section xlName="_SEC_e373241d81c84f18ab737092545c8398" title="企业债券关于逾期债项的说明" helpId="112500009"/>
    <m:section xlName="_SEC_2097e57073524d6e99c3585d9a0b9cf3" title="企业债券发行人或投资者选择权条款、投资者保护条款的触发和执行情况" helpId="110002105"/>
    <m:section xlName="_SEC_29184367a4954564bb4bb418178aff4e" title="企业债券信用评级结果调整情况" helpId="101001123">
      <m:axisValue occRef="非金融企业债务融资工具"/>
    </m:section>
    <m:section xlName="_SEC_70446e3ab7b348d18239d959f752d185" title="其他说明  ____">
      <m:axisValue occRef="非金融企业债务融资工具"/>
    </m:section>
    <m:section xlName="_SEC_2098983a7d4841d0a82cbe8510c606c8" title="企业债券_担保情况、偿债计划及其他偿债保障措施在报告期内的执行和变化情况及其影响" helpId="101001126">
      <m:axisValue occRef="非金融企业债务融资工具"/>
    </m:section>
    <m:section xlName="_SEC_c54b4994eced43109b26b528c46925bc" title="企业债券_担保情况、偿债计划及其他偿债保障措施在报告期内的执行和变化情况及其影响" helpId="110002106"/>
    <m:section xlName="_SEC_dbc98e4c075e49c18bbf04d0299c6d86" title="企业债券其他情况的说明"/>
    <m:item xlName="_GBC_0aefba4fc6d84d32a7c7d372906dfb2e" concept="clcid-ci-ar:ShiFouShiYongGongSiZhaiQuanXiangGuanQingKuang" label="是否适用：公司债券相关情况" selectOptions="_buildInAppliance" controlType="CustomCheckbox" cRanges="[{&quot;StartName&quot;:&quot;_GBC_0aefba4fc6d84d32a7c7d372906dfb2e&quot;,&quot;EndName&quot;:&quot;_SEC_c37bdbc7a0544c2485b82ea29a71e678&quot;,&quot;CType&quot;:1}]"/>
    <m:section xlName="_SEC_ea7d4fd769564315a74d9d85b6aed2f9" title="公司债券基本情况" convertSummaryRule="NoConvert" helpId="112500001"/>
    <m:section xlName="_SEC_a78818601652484a980eda0c78d6536d" title="公司对债券终止上市交易风险的应对措施  ____" helpId="112500001"/>
    <m:section xlName="_SEC_93ba28f6e182409d9aa6e3ecd1486efd" title="逾期未偿还债券" helpId="112500009"/>
    <m:section xlName="_SEC_db8f5be58baf40d0bb47b6b45fabbfae" title="关于逾期债项的说明" helpId="112500009"/>
    <m:section xlName="_SEC_5399143278374bc6a0338b597e80e0a8" title="发行人或投资者选择权条款、投资者保护条款的触发和执行情况 ..." helpId="110002105"/>
    <m:section xlName="_SEC_f79901d570c546118d8c8e652fd6699d" title="信用评级结果调整情况" helpId="101001123">
      <m:axisValue occRef="非金融企业债务融资工具"/>
    </m:section>
    <m:section xlName="_SEC_f0fb497d2dc44da48452d2fd65e1db0f" title="其他说明  ____">
      <m:axisValue occRef="非金融企业债务融资工具"/>
    </m:section>
    <m:section xlName="_SEC_82f9c67b20cb45eda99d978cc09be2e9" title="担保情况、偿债计划及其他偿债保障措施在报告期内的执行和变化情况及其影响" helpId="101001126">
      <m:axisValue occRef="非金融企业债务融资工具"/>
    </m:section>
    <m:section xlName="_SEC_b7d50a796590402696ce9352af7e9496" title="担保情况、偿债计划及其他偿债保障措施在报告期内的执行情况和变..." helpId="110002106"/>
    <m:section xlName="_SEC_c37bdbc7a0544c2485b82ea29a71e678" title="公司债券其他情况的说明  "/>
    <m:item xlName="_GBC_26e1b928d11c47bfad361d998e446706" concept="clcid-ci-ar:ShiFouShiYongYinXingJianZhaiQuanShiChangFeiJinRongQiYeZhaiWuRongZiGongJuXiangGuanQingKuang" label="是否适用：银行间债券市场非金融企业债务融资工具相关情况" selectOptions="_buildInAppliance" controlType="CustomCheckbox" appId="_GBC_8e6b9cf2d8c24a6faf41199f98e408b3" cRanges="[{&quot;StartName&quot;:&quot;_GBC_26e1b928d11c47bfad361d998e446706&quot;,&quot;EndName&quot;:&quot;_SEC_f9bf2c4fe6ff467498e3773fc0c13df6&quot;,&quot;CType&quot;:1}]">
      <m:axisValue occRef="非金融企业债务融资工具"/>
    </m:item>
    <m:section xlName="_SEC_3f8a3448cfdb4a6b9a931cd5e6b90c54" title="非金融企业债务融资工具基本情况" convertSummaryRule="NoConvert" helpId="112500001"/>
    <m:section xlName="_SEC_c960bfcad3944f559dd2eefcbad971ce" title="(一) 非金融企业债务融资工具 公司对债券终止上市交易风险的应对措施" helpId="112500001"/>
    <m:section xlName="_SEC_7345dace4a85448a8e1bbd6a35cf959d" title="非金融企业债务融资工具逾期未偿还债券" helpId="112500009"/>
    <m:section xlName="_SEC_93a4b57e6e6e46698f68241bcd35c49f" title="非金融企业债务融资工具关于逾期债项的说明" helpId="112500009"/>
    <m:section xlName="_SEC_ee8ef2708a4c4a4bbfcdb7705ac59e4b" title="非金融企业债务融资工具发行人或投资者选择权条款、投资者保护条款的触发和执行情况" helpId="110002105"/>
    <m:section xlName="_SEC_21c70a9f67594b1f943dc6ddb6783183" title="企业债券信用评级结果调整情况" helpId="101001123">
      <m:axisValue occRef="非金融企业债务融资工具"/>
    </m:section>
    <m:section xlName="_SEC_edcb7f3e4f694fc8b787ab7a6d69a671" title="其他说明  ____">
      <m:axisValue occRef="非金融企业债务融资工具"/>
    </m:section>
    <m:section xlName="_SEC_1787be1f0f6f4989a888633e99a258d5" title="企业债券_担保情况、偿债计划及其他偿债保障措施在报告期内的执行和变化情况及其影响" helpId="101001126">
      <m:axisValue occRef="非金融企业债务融资工具"/>
    </m:section>
    <m:section xlName="_SEC_96d3c49bcdff4a708e6cc02215c1760c" title="非金融企业债务融资工具担保情况、偿债计划及其他偿债保障措施在报告期内的执行和变化情况及其影响" helpId="110002106"/>
    <m:section xlName="_SEC_f9bf2c4fe6ff467498e3773fc0c13df6" title="非金融企业债务融资工具其他情况的说明"/>
    <m:section xlName="_SEC_53cb8a9927c84975874838d7d288b8eb" title="公司报告期内合并报表范围亏损超过上年末净资产10%亏损情..." helpId="110002107" keyAction="42" keyCode="2"/>
    <m:section xlName="_SEC_9f3013bc6d4940f49cf3cfe39dab5a57" title="截至报告期末公司近2年的会计数据和财务指标" helpId="112500008" helpText="表里的“扣除非经常性损益后净利润”指的是“归属于上市公司股东的扣除非经常性损益的净利润”"/>
    <m:item xlName="_GBC_6a49e99841294af3b87ba6216b1997d9" concept="clcid-ci-ar:ShiFouShiYongKeZhuanHuanGongSiZhaiQuanQingKuang" label="是否适用：可转换公司债券情况" selectOptions="_buildInAppliance" controlType="CustomCheckbox" cRanges="{&quot;StartName&quot;:&quot;_GBC_6a49e99841294af3b87ba6216b1997d9&quot;,&quot;EndName&quot;:&quot;_SEC_cc036ec1e45042a4a4bce38515d23fb4&quot;,&quot;CType&quot;:1,&quot;DisplayText&quot;:null}"/>
    <m:section xlName="_SEC_7b43a59e4b774f688e87b04a6fd9b0bf" title="转债发行情况" convertSummaryRule="NoConvert"/>
    <m:section xlName="_SEC_7f82abb841ec4e91b7d333b30060eb09" title="报告期转债持有人及担保人情况" tupleConcept="clcid-cgi:BaoGaoQiZhuanZhaiChiYouRenJiDanBaoRenQingKuangMingXi" repeatable="1"/>
    <m:section xlName="_SEC_b9f22fe710ea43fdac5cd3b3d1602d99" title="报告期转债变动情况" convertSummaryRule="NoConvert"/>
    <m:section xlName="_SEC_9efab8215ecb4674a0bf11385b12d00f" title="报告期转债累计转股情况" tupleConcept="clcid-cgi:BaoGaoQiZhuanZhaiLeiJiZhuanGuQingKuangMingXi" repeatable="1"/>
    <m:item xlName="_GBC_00961fb4f3ee4a1694a243600402a0a9" indRef="79" concept="clcid-ci-ar:DanWeiZhuanGuJiaGeLiCiTiaoZhengQingKuang" label="单位：转股价格历次调整情况" selectOptions="_buildInScales" controlType="Combobox" cellType="Scale" appId="_GBC_6a49e99841294af3b87ba6216b1997d9"/>
    <m:item xlName="_GBC_a431a6b0a18c49efa3d2e8d3c8bd1e70" indRef="80" concept="clcid-ci-ar:BiZhongZhuanGuJiaGeLiCiTiaoZhengQingKuang" label="币种：转股价格历次调整情况" selectOptions="_buildInISO4217" controlType="Combobox" cellType="Measure" appId="_GBC_6a49e99841294af3b87ba6216b1997d9"/>
    <m:section xlName="_SEC_a5cea25713674d7d8959e2b0b662b500" title="转股价格历次调整情况" tupleConcept="clcid-cgi:ZhuanGuJiaGeLiCiDiaoZhengQingKuangMingXi" repeatable="1"/>
    <m:section xlName="_SEC_61331536cfaf4da0a6a270818a4ab35b" title="公司的负债情况、资信变化情况及在未来年度还债的现金安排" convertSummaryRule="NoConvert"/>
    <m:section xlName="_SEC_cc036ec1e45042a4a4bce38515d23fb4" title="转债其他情况说明" convertSummaryRule="NoConvert"/>
    <m:section xlName="_GBC_3c4b7d00409449a2b71d41277e7bd042" title="审计报告" helpId="112001005" helpText="注：公司应披露具有证券期货业务资格的会计师事务所盖章及由两名或两名以上注册会计师签名盖章的审计报告全文。请上市公司将审计报告全文填写在此文本框内。"/>
    <m:section xlName="_GBC_f3d43b26b5d34a4c88db3cb7d81650cc" title="需要编制合并报表" checkKey="合并" helpId="112001001" helpText="若2023年首次执行新会计准则调整首次执行当年年初财务报表相关项目的，则2022年12月31日列按照旧会计准则涉及科目填写；若首次执行新会计准则追溯调整前期比较数据的，则2022年12月31日列按照新会计准则涉及科目填写。若存在其他特殊情况的，请按照新会计准则的要求进行披露。" primarySection="_GBC_f3d43b26b5d34a4c88db3cb7d81650cc" optionText="需要编制合并报表" activeContentOption="_GBC_f3d43b26b5d34a4c88db3cb7d81650cc" optionGroupTitle="是否需要合并报表" optionTargetConcept="clcid-ci-ar:ShiFouXuYaoHeBingBaoBiao" optionTargetConceptValue="true" keyAction="57" otherKeyActions="{&quot;KeyCode&quot;:&quot;2&quot;,&quot;KeyAction&quot;:42,&quot;KeyActionTitle&quot;:null,&quot;OtherActions&quot;:null}" noCustom="1"/>
    <m:section xlName="_GBC_1503eb297d3448c582e8e9dc7031b2c7" title="无需编制合并报表" checkKey="!合并" helpId="112001001" helpText="若2023年首次执行新会计准则调整首次执行当年年初财务报表相关项目的，则2022年12月31日列按照旧会计准则涉及科目填写；若首次执行新会计准则追溯调整前期比较数据的，则2022年12月31日列按照新会计准则涉及科目填写。若存在其他特殊情况的，请按照新会计准则的要求进行披露。" primarySection="_GBC_f3d43b26b5d34a4c88db3cb7d81650cc" optionText="无需编制合并报表" optionGroupTitle="是否需要合并报表" optionTargetConcept="clcid-ci-ar:ShiFouXuYaoHeBingBaoBiao" optionTargetConceptValue="false" keyAction="57" otherKeyActions="{&quot;KeyCode&quot;:&quot;2&quot;,&quot;KeyAction&quot;:42,&quot;KeyActionTitle&quot;:null,&quot;OtherActions&quot;:null}" noCustom="1">
      <m:rowModel locationConcept="clcid-ci-ar:ZiDingYiKeMuWeiZhi" labelConcept="clcid-ci-ar:ZiDingYiKeMuMingCheng" conceptPrefix="资产负债表" presentationRole="http://www.xbrl-cn.org/cn/lcid/lr/role/BalanceSheetforCommercialandIndustrialCompanies" presentationParentConcept="clcid-pte:ZiChanFuZhaiBiao" tuplePrefix="项目"/>
    </m:section>
    <m:section xlName="_GBC_bf89afc47e17438594730edb3412d929" title="需要编制合并报表" checkKey="合并" extended="true" helpId="112001001" primarySection="_GBC_bf89afc47e17438594730edb3412d929" optionText="需要编制合并报表" optionGroupTitle="是否需要合并报表" optionTargetConcept="clcid-ci-ar:ShiFouXuYaoHeBingBaoBiao" optionTargetConceptValue="true" keyAction="57" otherKeyActions="{&quot;KeyCode&quot;:null,&quot;KeyAction&quot;:88,&quot;KeyActionTitle&quot;:null,&quot;OtherActions&quot;:null}|{&quot;KeyCode&quot;:&quot;2&quot;,&quot;KeyAction&quot;:42,&quot;KeyActionTitle&quot;:null,&quot;OtherActions&quot;:null}" noCustom="1">
      <m:region xlName="_GBC_cc363e9840a448cbaf363887668cbe2a" title="合并利润表&#10;" helpId="112001001" helpText="注：财务费用涉及金融业务需单独列示汇兑收益项目">
        <m:item xlName="_GBC_4fec24feb4834b768c484fe556046382" indRef="87" concept="clcid-ci-ar:DanWeiHeBingLiRunBiao" label="单位：合并利润表" selectOptions="_buildInScales" controlType="Combobox" cellType="Scale"/>
        <m:item xlName="_GBC_ae5c0d79e5694eb28ba1b8160e27a464" indRef="88" concept="clcid-ci-ar:BiZhongHeBingLiRunBiao" label="币种：合并利润表" selectOptions="_buildInISO4217" controlType="Combobox" cellType="Measure"/>
        <m:placeholder xlName="_PLD_ea01e0b0c9224fe59426c375515c2359" wordText="项目" indent="19" addr="T0R0C0S1_1"/>
        <m:placeholder xlName="_PLD_e4f45f42e79e4a4aba892e3a7a7b123d" wordText="附注" addr="T0R0C1S1_1"/>
        <m:placeholder xlName="_PLD_41682cdf00e5450394986df99de953d1" wordText="2023年半年度" addr="T0R0C2S1_1"/>
        <m:placeholder xlName="_PLD_f020215569a54a6db2bd3d5298280e01" wordText="2022年半年度" addr="T0R0C3S1_1"/>
        <m:placeholder xlName="_PLD_2d877c352d5440b8bf7dcd1940d9f85b" wordText="一、营业总收入" addr="T0R1C0S1_1"/>
        <m:item xlName="_GBC_b0952c5a782e47c9809a7cb9462b03e7" concept="clcid-ci-ar:FuZhu_YingYeZongShouRu" label="附注_营业总收入" addr="T0R1C1S1_1"/>
        <m:item xlName="_GBC_b798ba3a36e8446bb48acd631928aae4" concept="clcid-pte:YingYeZongShouRu" label="营业总收入" mulRef="_GBC_4fec24feb4834b768c484fe556046382" unitRef="_GBC_ae5c0d79e5694eb28ba1b8160e27a464" addr="T0R1C2S1_1" formatStyle="Comma">
          <m:complexRule comparator="Eq" title="营业总收入" test=" $_GBC_5e31039f08544e8cbd23f8530c0a5f23 +  $_GBC_bb5504470b1240dc854365a8bb08b22b +  $_GBC_4107e28941ea4ca59c2c0f115ddbe16f +  $_GBC_527213a84d90436495c41f8e14000541" id="Cdb8287b5c2564d179615c17792533ee7"/>
        </m:item>
        <m:item xlName="_GBC_f7ccfe0076bc4dd586dc80eff396e3ed" concept="clcid-pte:YingYeZongShouRu" label="营业总收入" periodRef="上年同期数" mulRef="_GBC_4fec24feb4834b768c484fe556046382" unitRef="_GBC_ae5c0d79e5694eb28ba1b8160e27a464" addr="T0R1C3S1_1" formatStyle="Comma">
          <m:complexRule comparator="Eq" title="营业总收入@上年同期数" test=" $_GBC_2a5f624661334ab2b5b81bfb3364b098 +  $_GBC_4bc024a848bb487eb1402740fc25d234 +  $_GBC_ea7cfe82c50a4ce0b9ad10821f8ff8f2 +  $_GBC_4e1c1f1f0fe1462b9cbb99045ccabbd3" id="C5e3fcfd17a054d319f9e2fbea88f5aba"/>
        </m:item>
        <m:placeholder xlName="_PLD_7f7b1fb368014debb0a48d797b8c9159" wordText="其中：营业收入" indent="300" addr="T0R2C0S1_1"/>
        <m:item xlName="_GBC_20eef41363704b0a9231e30f96f92d4f" concept="clcid-ci-ar:FuZhu_YingYeShouRu" label="附注_营业收入" addr="T0R2C1S1_1"/>
        <m:item xlName="_GBC_5e31039f08544e8cbd23f8530c0a5f23" concept="clcid-pte:YingYeShouRu" label="营业收入" mulRef="_GBC_4fec24feb4834b768c484fe556046382" unitRef="_GBC_ae5c0d79e5694eb28ba1b8160e27a464" addr="T0R2C2S1_1" formatStyle="Comma"/>
        <m:item xlName="_GBC_2a5f624661334ab2b5b81bfb3364b098" concept="clcid-pte:YingYeShouRu" label="营业收入" periodRef="上年同期数" mulRef="_GBC_4fec24feb4834b768c484fe556046382" unitRef="_GBC_ae5c0d79e5694eb28ba1b8160e27a464" addr="T0R2C3S1_1" formatStyle="Comma"/>
        <m:placeholder xlName="_PLD_4bb4a9195510467caafeb8cff0762036" wordText="利息收入" indent="300" addr="T0R3C0S1_1"/>
        <m:item xlName="_GBC_5e177e3c0d59463594fa419412006dda" concept="clcid-ci-ar:FuZhu_LiXiShouRu" label="附注_利息收入" addr="T0R3C1S1_1"/>
        <m:item xlName="_GBC_bb5504470b1240dc854365a8bb08b22b" concept="clcid-pte:JinRongZiChanLiXiShouRu" label="金融资产利息收入" mulRef="_GBC_4fec24feb4834b768c484fe556046382" unitRef="_GBC_ae5c0d79e5694eb28ba1b8160e27a464" addr="T0R3C2S1_1" formatStyle="Comma"/>
        <m:item xlName="_GBC_4bc024a848bb487eb1402740fc25d234" concept="clcid-pte:JinRongZiChanLiXiShouRu" label="金融资产利息收入" periodRef="上年同期数" mulRef="_GBC_4fec24feb4834b768c484fe556046382" unitRef="_GBC_ae5c0d79e5694eb28ba1b8160e27a464" addr="T0R3C3S1_1" formatStyle="Comma"/>
        <m:placeholder xlName="_PLD_30359468eba04ffa9f75eced8813c7f6" wordText="已赚保费" indent="300" addr="T0R4C0S1_1"/>
        <m:item xlName="_GBC_080f6268ddb64375bdaa904267d1e13e" concept="clcid-ci-ar:FuZhu_YiZhuanBaoFei" label="附注_已赚保费" addr="T0R4C1S1_1"/>
        <m:item xlName="_GBC_4107e28941ea4ca59c2c0f115ddbe16f" concept="clcid-pte:YiZhuanBaoFei" label="已赚保费" mulRef="_GBC_4fec24feb4834b768c484fe556046382" unitRef="_GBC_ae5c0d79e5694eb28ba1b8160e27a464" addr="T0R4C2S1_1" formatStyle="Comma"/>
        <m:item xlName="_GBC_ea7cfe82c50a4ce0b9ad10821f8ff8f2" concept="clcid-pte:YiZhuanBaoFei" label="已赚保费" periodRef="上年同期数" mulRef="_GBC_4fec24feb4834b768c484fe556046382" unitRef="_GBC_ae5c0d79e5694eb28ba1b8160e27a464" addr="T0R4C3S1_1" formatStyle="Comma"/>
        <m:placeholder xlName="_PLD_b7b3fd7ce91b4e7e9b50735409fad4b2" wordText="手续费及佣金收入" indent="300" addr="T0R5C0S1_1"/>
        <m:item xlName="_GBC_b859e6e7b3074d8bb19b32583f5ee0ab" concept="clcid-ci-ar:FuZhu_ShouXuFeiJiYongJinShouRu" label="附注_手续费及佣金收入" addr="T0R5C1S1_1"/>
        <m:item xlName="_GBC_527213a84d90436495c41f8e14000541" concept="clcid-pte:ShouXuFeiJiYongJinShouRu" label="手续费及佣金收入" mulRef="_GBC_4fec24feb4834b768c484fe556046382" unitRef="_GBC_ae5c0d79e5694eb28ba1b8160e27a464" addr="T0R5C2S1_1" formatStyle="Comma"/>
        <m:item xlName="_GBC_4e1c1f1f0fe1462b9cbb99045ccabbd3" concept="clcid-pte:ShouXuFeiJiYongJinShouRu" label="手续费及佣金收入" periodRef="上年同期数" mulRef="_GBC_4fec24feb4834b768c484fe556046382" unitRef="_GBC_ae5c0d79e5694eb28ba1b8160e27a464" addr="T0R5C3S1_1" formatStyle="Comma"/>
        <m:placeholder xlName="_PLD_f666055067944f82816d6d4acfa0eb4c" wordText="二、营业总成本" addr="T0R6C0S1_1"/>
        <m:item xlName="_GBC_00d2eeb84e774911a50853e1da70e714" concept="clcid-ci-ar:FuZhu_YingYeZongChengBen" label="附注_营业总成本" addr="T0R6C1S1_1"/>
        <m:item xlName="_GBC_c159383829ae44a7a582baabd440fa05" concept="clcid-pte:YingYeZongChengBen" label="营业总成本" mulRef="_GBC_4fec24feb4834b768c484fe556046382" unitRef="_GBC_ae5c0d79e5694eb28ba1b8160e27a464" addr="T0R6C2S1_1" baseScale="-1" formatStyle="Comma">
          <m:complexRule comparator="Eq" title="营业总成本" test=" $_GBC_37e86ba5c1204a6e8a12b452d3a88c36 +  $_GBC_c4790f21ed7045039bfc3d019ea989f4 +  $_GBC_5eacbc7df4504d36bb36779517d2a5dd +  $_GBC_f5c78be5f07240f7980e30c3a4df34b2 +  $_GBC_3173a73d4ee74daf86f57b968cbfdf2d +  $_GBC_2e45a0ec948f4a9fb099c9a26de139ad +  $_GBC_4513832d2629455a81533bf8b42d44fa +  $_GBC_99b950e3fc7a4c71b01afb84623cec4f +  $_GBC_d7bb0e9f23fe437d96ee8a2557fe1160 +  $_GBC_053f7648820d47c49ddf69c8bd1119a3 +  $_GBC_3c2f682b34d743b8a79c567f48eb2d91 +  $_GBC_edd8d46011284e759d30d6fe91f207d6 +  $_GBC_72f3507ca3784ac29942190b96ae1283" id="C1276e5df61f041aba555a52ed734ea15"/>
        </m:item>
        <m:item xlName="_GBC_c3c79df7441a481e9c5dcec64a0932ea" concept="clcid-pte:YingYeZongChengBen" label="营业总成本" periodRef="上年同期数" mulRef="_GBC_4fec24feb4834b768c484fe556046382" unitRef="_GBC_ae5c0d79e5694eb28ba1b8160e27a464" addr="T0R6C3S1_1" baseScale="-1" formatStyle="Comma">
          <m:complexRule comparator="Eq" title="营业总成本@上年同期数" test=" $_GBC_4f6ba239a4b9477fadca0a53f52d9cdc +  $_GBC_ea489da39eb34455a1f526ce82609f92 +  $_GBC_574a9a4f7231441bbb4a41e4050921e9 +  $_GBC_ee4ac72ac5b74f8eb8a582baf633c166 +  $_GBC_191dcf898abb44f5a950e7a6021067ea +  $_GBC_dfc191e93b5e4fcca59095d4d82dce14 +  $_GBC_2395a052e2ab4bfdae732e5de0381e0c +  $_GBC_22701a53aa94491f89cf465305093083 +  $_GBC_73c83f4ac1a6499c847c08690c5fd7b8 +  $_GBC_daa4bec1fec4439cb156e106a0eb717c +  $_GBC_469b681e96c24cba886b34ae9ac43f14 +  $_GBC_f278e603d4184260bb426591fd82f8a3 +  $_GBC_bdde57d510c145bfb63babdf14c71104" id="Ceadd1a7089f04136b3bc70817d69f7d2"/>
        </m:item>
        <m:placeholder xlName="_PLD_21171334ba69445a843af4e467f2f7b1" wordText="其中：营业成本" indent="300" addr="T0R7C0S1_1"/>
        <m:item xlName="_GBC_6d60ddd61b1343ca8c6c8a7255b19335" concept="clcid-ci-ar:FuZhu_YingYeChengBen" label="附注_营业成本" addr="T0R7C1S1_1"/>
        <m:item xlName="_GBC_37e86ba5c1204a6e8a12b452d3a88c36" concept="clcid-pte:YingYeChengBen" label="营业成本" mulRef="_GBC_4fec24feb4834b768c484fe556046382" unitRef="_GBC_ae5c0d79e5694eb28ba1b8160e27a464" addr="T0R7C2S1_1" baseScale="-1" formatStyle="Comma"/>
        <m:item xlName="_GBC_4f6ba239a4b9477fadca0a53f52d9cdc" concept="clcid-pte:YingYeChengBen" label="营业成本" periodRef="上年同期数" mulRef="_GBC_4fec24feb4834b768c484fe556046382" unitRef="_GBC_ae5c0d79e5694eb28ba1b8160e27a464" addr="T0R7C3S1_1" baseScale="-1" formatStyle="Comma"/>
        <m:placeholder xlName="_PLD_63933a3d083f4e46896b598fd5ce81e0" wordText="利息支出" indent="300" addr="T0R8C0S1_1"/>
        <m:item xlName="_GBC_f8af8337befd48189b06297f8d607671" concept="clcid-ci-ar:FuZhu_LiXiZhiChu" label="附注_利息支出" addr="T0R8C1S1_1"/>
        <m:item xlName="_GBC_c4790f21ed7045039bfc3d019ea989f4" concept="clcid-pte:JinRongZiChanLiXiZhiChu" label="金融资产利息支出" mulRef="_GBC_4fec24feb4834b768c484fe556046382" unitRef="_GBC_ae5c0d79e5694eb28ba1b8160e27a464" addr="T0R8C2S1_1" baseScale="-1" formatStyle="Comma"/>
        <m:item xlName="_GBC_ea489da39eb34455a1f526ce82609f92" concept="clcid-pte:JinRongZiChanLiXiZhiChu" label="金融资产利息支出" periodRef="上年同期数" mulRef="_GBC_4fec24feb4834b768c484fe556046382" unitRef="_GBC_ae5c0d79e5694eb28ba1b8160e27a464" addr="T0R8C3S1_1" baseScale="-1" formatStyle="Comma"/>
        <m:placeholder xlName="_PLD_934fe982f64044ad97c0d08ecb41b364" wordText="手续费及佣金支出" indent="300" addr="T0R9C0S1_1"/>
        <m:item xlName="_GBC_74629b5b405e48fa8fa328c52b56f8da" concept="clcid-ci-ar:FuZhu_ShouXuFeiJiYongJinZhiChu" label="附注_手续费及佣金支出" addr="T0R9C1S1_1"/>
        <m:item xlName="_GBC_5eacbc7df4504d36bb36779517d2a5dd" concept="clcid-pte:ShouXuFeiJiYongJinZhiChu" label="手续费及佣金支出" mulRef="_GBC_4fec24feb4834b768c484fe556046382" unitRef="_GBC_ae5c0d79e5694eb28ba1b8160e27a464" addr="T0R9C2S1_1" baseScale="-1" formatStyle="Comma"/>
        <m:item xlName="_GBC_574a9a4f7231441bbb4a41e4050921e9" concept="clcid-pte:ShouXuFeiJiYongJinZhiChu" label="手续费及佣金支出" periodRef="上年同期数" mulRef="_GBC_4fec24feb4834b768c484fe556046382" unitRef="_GBC_ae5c0d79e5694eb28ba1b8160e27a464" addr="T0R9C3S1_1" baseScale="-1" formatStyle="Comma"/>
        <m:placeholder xlName="_PLD_eaafee5ba2dd4351ac6567c52b90028d" wordText="退保金" indent="300" addr="T0R10C0S1_1"/>
        <m:item xlName="_GBC_97e56cb7f6854abc9a9e04379b31ea96" concept="clcid-ci-ar:FuZhu_TuiBaoJin" label="附注_退保金" addr="T0R10C1S1_1"/>
        <m:item xlName="_GBC_f5c78be5f07240f7980e30c3a4df34b2" concept="clcid-pte:TuiBaoJin" label="退保金" mulRef="_GBC_4fec24feb4834b768c484fe556046382" unitRef="_GBC_ae5c0d79e5694eb28ba1b8160e27a464" addr="T0R10C2S1_1" baseScale="-1" formatStyle="Comma"/>
        <m:item xlName="_GBC_ee4ac72ac5b74f8eb8a582baf633c166" concept="clcid-pte:TuiBaoJin" label="退保金" periodRef="上年同期数" mulRef="_GBC_4fec24feb4834b768c484fe556046382" unitRef="_GBC_ae5c0d79e5694eb28ba1b8160e27a464" addr="T0R10C3S1_1" baseScale="-1" formatStyle="Comma"/>
        <m:placeholder xlName="_PLD_d2b12062f8d44ca990403c69bec23c10" wordText="赔付支出净额" indent="300" addr="T0R11C0S1_1"/>
        <m:item xlName="_GBC_0b099ccfb192482397a2a08691f55db3" concept="clcid-ci-ar:FuZhu_PeiFuZhiChuJingE" label="附注_赔付支出净额" addr="T0R11C1S1_1"/>
        <m:item xlName="_GBC_3173a73d4ee74daf86f57b968cbfdf2d" concept="clcid-pte:PeiFuZhiChuJingE" label="赔付支出净额" mulRef="_GBC_4fec24feb4834b768c484fe556046382" unitRef="_GBC_ae5c0d79e5694eb28ba1b8160e27a464" addr="T0R11C2S1_1" baseScale="-1" formatStyle="Comma"/>
        <m:item xlName="_GBC_191dcf898abb44f5a950e7a6021067ea" concept="clcid-pte:PeiFuZhiChuJingE" label="赔付支出净额" periodRef="上年同期数" mulRef="_GBC_4fec24feb4834b768c484fe556046382" unitRef="_GBC_ae5c0d79e5694eb28ba1b8160e27a464" addr="T0R11C3S1_1" baseScale="-1" formatStyle="Comma"/>
        <m:placeholder xlName="_PLD_875c876824d140a6b5076aa4e7f82db5" wordText="提取保险责任准备金净额" indent="300" addr="T0R12C0S1_1"/>
        <m:item xlName="_GBC_bfb7ed8d1bf54feb9e95cd7aca944f77" concept="clcid-ci-ar:FuZhu_TiQuBaoXianHeTongZhunBeiJinJingE" label="附注_提取保险合同准备金净额" addr="T0R12C1S1_1"/>
        <m:item xlName="_GBC_2e45a0ec948f4a9fb099c9a26de139ad" concept="clcid-pte:TiQuBaoXianHeTongZhunBeiJinJingE" label="提取保险合同准备金净额" mulRef="_GBC_4fec24feb4834b768c484fe556046382" unitRef="_GBC_ae5c0d79e5694eb28ba1b8160e27a464" addr="T0R12C2S1_1" baseScale="-1" formatStyle="Comma"/>
        <m:item xlName="_GBC_dfc191e93b5e4fcca59095d4d82dce14" concept="clcid-pte:TiQuBaoXianHeTongZhunBeiJinJingE" label="提取保险合同准备金净额" periodRef="上年同期数" mulRef="_GBC_4fec24feb4834b768c484fe556046382" unitRef="_GBC_ae5c0d79e5694eb28ba1b8160e27a464" addr="T0R12C3S1_1" baseScale="-1" formatStyle="Comma"/>
        <m:placeholder xlName="_PLD_9d4d1ca3123b4cdc816e88724acaf725" wordText="保单红利支出" indent="300" addr="T0R13C0S1_1"/>
        <m:item xlName="_GBC_f5899482a4924cf09d2d91f12829b512" concept="clcid-ci-ar:FuZhu_BaoDanHongLiZhiChu" label="附注_保单红利支出" addr="T0R13C1S1_1"/>
        <m:item xlName="_GBC_4513832d2629455a81533bf8b42d44fa" concept="clcid-pte:BaoDanHongLiZhiChu" label="保单红利支出" mulRef="_GBC_4fec24feb4834b768c484fe556046382" unitRef="_GBC_ae5c0d79e5694eb28ba1b8160e27a464" addr="T0R13C2S1_1" baseScale="-1" formatStyle="Comma"/>
        <m:item xlName="_GBC_2395a052e2ab4bfdae732e5de0381e0c" concept="clcid-pte:BaoDanHongLiZhiChu" label="保单红利支出" periodRef="上年同期数" mulRef="_GBC_4fec24feb4834b768c484fe556046382" unitRef="_GBC_ae5c0d79e5694eb28ba1b8160e27a464" addr="T0R13C3S1_1" baseScale="-1" formatStyle="Comma"/>
        <m:placeholder xlName="_PLD_c70ac86a67b244f1a170db9b0705b55a" wordText="分保费用" indent="300" addr="T0R14C0S1_1"/>
        <m:item xlName="_GBC_687abd9da9e446ef8f7a6ce422f087d2" concept="clcid-ci-ar:FuZhu_FenBaoFeiYong" label="附注_分保费用" addr="T0R14C1S1_1"/>
        <m:item xlName="_GBC_99b950e3fc7a4c71b01afb84623cec4f" concept="clcid-pte:FenBaoFeiYong" label="分保费用" mulRef="_GBC_4fec24feb4834b768c484fe556046382" unitRef="_GBC_ae5c0d79e5694eb28ba1b8160e27a464" addr="T0R14C2S1_1" baseScale="-1" formatStyle="Comma"/>
        <m:item xlName="_GBC_22701a53aa94491f89cf465305093083" concept="clcid-pte:FenBaoFeiYong" label="分保费用" periodRef="上年同期数" mulRef="_GBC_4fec24feb4834b768c484fe556046382" unitRef="_GBC_ae5c0d79e5694eb28ba1b8160e27a464" addr="T0R14C3S1_1" baseScale="-1" formatStyle="Comma"/>
        <m:placeholder xlName="_PLD_06c17ba723b44617ab108e2265705c9e" wordText="税金及附加" indent="300" addr="T0R15C0S1_1"/>
        <m:item xlName="_GBC_748b8f57dc454be9bbcd013b07b504b0" concept="clcid-ci-ar:FuZhu_YingYeShuiJinJiFuJia" label="附注_税金及附加" addr="T0R15C1S1_1"/>
        <m:item xlName="_GBC_d7bb0e9f23fe437d96ee8a2557fe1160" concept="clcid-pte:YingYeShuiJinJiFuJia" label="税金及附加" mulRef="_GBC_4fec24feb4834b768c484fe556046382" unitRef="_GBC_ae5c0d79e5694eb28ba1b8160e27a464" addr="T0R15C2S1_1" baseScale="-1" formatStyle="Comma"/>
        <m:item xlName="_GBC_73c83f4ac1a6499c847c08690c5fd7b8" concept="clcid-pte:YingYeShuiJinJiFuJia" label="税金及附加" periodRef="上年同期数" mulRef="_GBC_4fec24feb4834b768c484fe556046382" unitRef="_GBC_ae5c0d79e5694eb28ba1b8160e27a464" addr="T0R15C3S1_1" baseScale="-1" formatStyle="Comma"/>
        <m:placeholder xlName="_PLD_a3b8d65ff4ec461aa0e45656973f9d4f" wordText="销售费用" indent="300" addr="T0R16C0S1_1"/>
        <m:item xlName="_GBC_044b239e5e5342129056b62292bfdf9f" concept="clcid-ci-ar:FuZhu_XiaoShouFeiYong" label="附注_销售费用" addr="T0R16C1S1_1"/>
        <m:item xlName="_GBC_053f7648820d47c49ddf69c8bd1119a3" concept="clcid-pte:XiaoShouFeiYong" label="销售费用" mulRef="_GBC_4fec24feb4834b768c484fe556046382" unitRef="_GBC_ae5c0d79e5694eb28ba1b8160e27a464" addr="T0R16C2S1_1" baseScale="-1" formatStyle="Comma"/>
        <m:item xlName="_GBC_daa4bec1fec4439cb156e106a0eb717c" concept="clcid-pte:XiaoShouFeiYong" label="销售费用" periodRef="上年同期数" mulRef="_GBC_4fec24feb4834b768c484fe556046382" unitRef="_GBC_ae5c0d79e5694eb28ba1b8160e27a464" addr="T0R16C3S1_1" baseScale="-1" formatStyle="Comma"/>
        <m:placeholder xlName="_PLD_bed77e0a08324462af3ef7a5005bb139" wordText="管理费用" indent="300" addr="T0R17C0S1_1"/>
        <m:item xlName="_GBC_41a333d1345b418e91a3cc1c453b3202" concept="clcid-ci-ar:FuZhu_GuanLiFeiYong" label="附注_管理费用" addr="T0R17C1S1_1"/>
        <m:item xlName="_GBC_3c2f682b34d743b8a79c567f48eb2d91" concept="clcid-pte:GuanLiFeiYong" label="管理费用" mulRef="_GBC_4fec24feb4834b768c484fe556046382" unitRef="_GBC_ae5c0d79e5694eb28ba1b8160e27a464" addr="T0R17C2S1_1" baseScale="-1" formatStyle="Comma"/>
        <m:item xlName="_GBC_469b681e96c24cba886b34ae9ac43f14" concept="clcid-pte:GuanLiFeiYong" label="管理费用" periodRef="上年同期数" mulRef="_GBC_4fec24feb4834b768c484fe556046382" unitRef="_GBC_ae5c0d79e5694eb28ba1b8160e27a464" addr="T0R17C3S1_1" baseScale="-1" formatStyle="Comma"/>
        <m:placeholder xlName="_PLD_016c8567363a4b4facb5a9c7d99f206b" wordText="研发费用" indent="300" addr="T0R18C0S1_1"/>
        <m:item xlName="_GBC_1f458b90fe104eeeb4a27da3dd093667" concept="clcid-ci-ar:FuZhu_YanFaFeiYong" label="附注_研发费用" addr="T0R18C1S1_1"/>
        <m:item xlName="_GBC_edd8d46011284e759d30d6fe91f207d6" concept="clcid-pte:YanFaFeiYong" label="研发费用" mulRef="_GBC_4fec24feb4834b768c484fe556046382" unitRef="_GBC_ae5c0d79e5694eb28ba1b8160e27a464" addr="T0R18C2S1_1" baseScale="-1" formatStyle="Comma"/>
        <m:item xlName="_GBC_f278e603d4184260bb426591fd82f8a3" concept="clcid-pte:YanFaFeiYong" label="研发费用" periodRef="上年同期数" mulRef="_GBC_4fec24feb4834b768c484fe556046382" unitRef="_GBC_ae5c0d79e5694eb28ba1b8160e27a464" addr="T0R18C3S1_1" baseScale="-1" formatStyle="Comma"/>
        <m:placeholder xlName="_PLD_6faf3cf39dfa4fd1925e0d9be4566671" wordText="财务费用" indent="300" addr="T0R19C0S1_1"/>
        <m:item xlName="_GBC_274244b0f84d46f69ae85b86df4a6f75" concept="clcid-ci-ar:FuZhu_CaiWuFeiYong" label="附注_财务费用" addr="T0R19C1S1_1"/>
        <m:item xlName="_GBC_72f3507ca3784ac29942190b96ae1283" concept="clcid-pte:CaiWuFeiYong" label="财务费用" mulRef="_GBC_4fec24feb4834b768c484fe556046382" unitRef="_GBC_ae5c0d79e5694eb28ba1b8160e27a464" addr="T0R19C2S1_1" baseScale="-1" formatStyle="Comma"/>
        <m:item xlName="_GBC_bdde57d510c145bfb63babdf14c71104" concept="clcid-pte:CaiWuFeiYong" label="财务费用" periodRef="上年同期数" mulRef="_GBC_4fec24feb4834b768c484fe556046382" unitRef="_GBC_ae5c0d79e5694eb28ba1b8160e27a464" addr="T0R19C3S1_1" baseScale="-1" formatStyle="Comma"/>
        <m:placeholder xlName="_PLD_d8e9b72af75c437aafc0c975b29e2a55" wordText="其中：利息费用" indent="600" addr="T0R20C0S1_1"/>
        <m:item xlName="_GBC_e2d6fb533e664c0ba320652d9d041d32" concept="clcid-ci-ar:FuZhu_CaiWuFeiYongLiXiFeiYong" label="附注_财务费用利息费用" addr="T0R20C1S1_1"/>
        <m:item xlName="_GBC_3c723acf4a6245198cc9321546c9e391" concept="clcid-pte:LiXiZhiChu" label="利息支出" mulRef="_GBC_4fec24feb4834b768c484fe556046382" unitRef="_GBC_ae5c0d79e5694eb28ba1b8160e27a464" addr="T0R20C2S1_1" baseScale="-1" formatStyle="Comma"/>
        <m:item xlName="_GBC_bd1a1cbdd5f24e148599a121a0213d85" concept="clcid-pte:LiXiZhiChu" label="利息支出" periodRef="上年同期数" mulRef="_GBC_4fec24feb4834b768c484fe556046382" unitRef="_GBC_ae5c0d79e5694eb28ba1b8160e27a464" addr="T0R20C3S1_1" baseScale="-1" formatStyle="Comma"/>
        <m:placeholder xlName="_PLD_c9295ba98b84473595f32450ae66410e" wordText="利息收入" indent="600" addr="T0R21C0S1_1"/>
        <m:item xlName="_GBC_a84eadbf09ca44039e5ee9e7f5ca7b38" concept="clcid-ci-ar:FuZhu_CaiWuFeiYongLiXiShouRu" label="附注_财务费用利息收入" addr="T0R21C1S1_1"/>
        <m:item xlName="_GBC_3f87eaab8df549408109156ec0fadcac" concept="clcid-pte:LiXiShouRu" label="利息收入" mulRef="_GBC_4fec24feb4834b768c484fe556046382" unitRef="_GBC_ae5c0d79e5694eb28ba1b8160e27a464" addr="T0R21C2S1_1" formatStyle="Comma"/>
        <m:item xlName="_GBC_dcd4845ea62d4356ae4e0bf12a1b4e47" concept="clcid-pte:LiXiShouRu" label="利息收入" periodRef="上年同期数" mulRef="_GBC_4fec24feb4834b768c484fe556046382" unitRef="_GBC_ae5c0d79e5694eb28ba1b8160e27a464" addr="T0R21C3S1_1" formatStyle="Comma"/>
        <m:placeholder xlName="_PLD_c5148208867748028cb9d238ab2addb6" wordText="加：其他收益" indent="100" addr="T0R22C0S1_1"/>
        <m:item xlName="_GBC_2d6bf2a258c042e5b4f9e4f7e7d8f808" concept="clcid-ci-ar:FuZhuQiTaShouYi" label="附注_其他收益" addr="T0R22C1S1_1"/>
        <m:item xlName="_GBC_81d92773a6184161ab9fca59acdcdf47" concept="clcid-pte:QiTaShouYi" label="其他收益" mulRef="_GBC_4fec24feb4834b768c484fe556046382" unitRef="_GBC_ae5c0d79e5694eb28ba1b8160e27a464" addr="T0R22C2S1_1" formatStyle="Comma"/>
        <m:item xlName="_GBC_2c785e77c44b4bb5a1122364f84c75a3" concept="clcid-pte:QiTaShouYi" label="其他收益" periodRef="上年同期数" mulRef="_GBC_4fec24feb4834b768c484fe556046382" unitRef="_GBC_ae5c0d79e5694eb28ba1b8160e27a464" addr="T0R22C3S1_1" formatStyle="Comma"/>
        <m:placeholder xlName="_PLD_c58a027e2ee74b79b026fbba720ccf3a" wordText="投资收益（损失以“－”号填列）" indent="300" addr="T0R23C0S1_1"/>
        <m:item xlName="_GBC_3244c530537b495bbcf0958ede754b20" concept="clcid-ci-ar:FuZhu_TouZiShouYi" label="附注_投资收益" addr="T0R23C1S1_1"/>
        <m:item xlName="_GBC_c46bbf200aff4fafa804ce44d194410b" concept="clcid-pte:TouZiShouYi" label="投资收益" mulRef="_GBC_4fec24feb4834b768c484fe556046382" unitRef="_GBC_ae5c0d79e5694eb28ba1b8160e27a464" addr="T0R23C2S1_1" formatStyle="Comma"/>
        <m:item xlName="_GBC_eb64401575454c0ba26f961f88d13672" concept="clcid-pte:TouZiShouYi" label="投资收益" periodRef="上年同期数" mulRef="_GBC_4fec24feb4834b768c484fe556046382" unitRef="_GBC_ae5c0d79e5694eb28ba1b8160e27a464" addr="T0R23C3S1_1" formatStyle="Comma"/>
        <m:placeholder xlName="_PLD_58f92dc598044243844972f7264dee3f" wordText="其中：对联营企业和合营企业的投资收益" indent="600" addr="T0R24C0S1_1"/>
        <m:item xlName="_GBC_1ecad343a2e6419da77bce5350d75299" concept="clcid-ci-ar:FuZhu_DuiLianYingQiYeHeHeYingQiYeDeTouZiShouYi" label="附注_对联营企业和合营企业的投资收益" addr="T0R24C1S1_1"/>
        <m:item xlName="_GBC_0f710c14183c41a893739edf2ad4907b" concept="clcid-pte:DuiLianYingQiYeHeHeYingQiYeDeTouZiShouYi" label="对联营企业和合营企业的投资收益" mulRef="_GBC_4fec24feb4834b768c484fe556046382" unitRef="_GBC_ae5c0d79e5694eb28ba1b8160e27a464" addr="T0R24C2S1_1" formatStyle="Comma"/>
        <m:item xlName="_GBC_06a70539c51f4e8997deb66a66586a0b" concept="clcid-pte:DuiLianYingQiYeHeHeYingQiYeDeTouZiShouYi" label="对联营企业和合营企业的投资收益" periodRef="上年同期数" mulRef="_GBC_4fec24feb4834b768c484fe556046382" unitRef="_GBC_ae5c0d79e5694eb28ba1b8160e27a464" addr="T0R24C3S1_1" formatStyle="Comma"/>
        <m:placeholder xlName="_PLD_f783ee8c18aa4ec6b0fe746603c1afc2" wordText="以摊余成本计量的金融资产终止确认收益（损失以“-”号填列）" indent="550" addr="T0R25C0S1_1"/>
        <m:item xlName="_GBC_9c30419737514f9ba114bc33496b0006" concept="clcid-ci-ar:FuZhu_YiTanYuChengBenJiLiangDeJinRongZiChanZhongZhiQueRenChanShengDeShouYi" label="附注_以摊余成本计量的金融资产终止确认产生的收益" addr="T0R25C1S1_1"/>
        <m:item xlName="_GBC_af317dd45c2f46c9a79b33640d03ac1a" concept="clcid-pte:YiTanYuChengBenJiLiangDeJinRongZiChanZhongZhiQueRenChanShengDeShouYi" label="以摊余成本计量的金融资产终止确认产生的收益" mulRef="_GBC_4fec24feb4834b768c484fe556046382" unitRef="_GBC_ae5c0d79e5694eb28ba1b8160e27a464" addr="T0R25C2S1_1" formatStyle="Comma"/>
        <m:item xlName="_GBC_e2f2f0207af944699fb768573fcea9aa" concept="clcid-pte:YiTanYuChengBenJiLiangDeJinRongZiChanZhongZhiQueRenChanShengDeShouYi" label="以摊余成本计量的金融资产终止确认产生的收益" periodRef="上年同期数" mulRef="_GBC_4fec24feb4834b768c484fe556046382" unitRef="_GBC_ae5c0d79e5694eb28ba1b8160e27a464" addr="T0R25C3S1_1" formatStyle="Comma"/>
        <m:placeholder xlName="_PLD_33855fc7ddf74a1b9f9c1dfc4ab34fc7" wordText="汇兑收益（损失以“－”号填列）" indent="300" addr="T0R26C0S1_1"/>
        <m:item xlName="_GBC_838f0d58269041b2bf27b30fa3112baa" concept="clcid-ci-ar:FuZhu_HuiDuiShouYi" label="附注_汇兑收益" addr="T0R26C1S1_1"/>
        <m:item xlName="_GBC_79fb25d76c09409fa0361aa0dff6e285" concept="clcid-pte:HuiDuiShouYi" label="汇兑收益" mulRef="_GBC_4fec24feb4834b768c484fe556046382" unitRef="_GBC_ae5c0d79e5694eb28ba1b8160e27a464" addr="T0R26C2S1_1" formatStyle="Comma"/>
        <m:item xlName="_GBC_aedc4461795c4591a3881958f381c267" concept="clcid-pte:HuiDuiShouYi" label="汇兑收益" periodRef="上年同期数" mulRef="_GBC_4fec24feb4834b768c484fe556046382" unitRef="_GBC_ae5c0d79e5694eb28ba1b8160e27a464" addr="T0R26C3S1_1" formatStyle="Comma"/>
        <m:placeholder xlName="_PLD_6351bb9f9f034ce8b252cc8056810655" wordText="净敞口套期收益（损失以“-”号填列）" indent="300" addr="T0R27C0S1_1"/>
        <m:item xlName="_GBC_f7c734b900154c489b1a59bc5002dc01" concept="clcid-ci-ar:FuZhu_JingChangKouTaoQiShouYi" label="附注_净敞口套期收益" addr="T0R27C1S1_1"/>
        <m:item xlName="_GBC_2aac53db514f48c288fd93f2a69e8962" concept="clcid-pte:JingChangKouTaoQiShouYi" label="净敞口套期收益" mulRef="_GBC_4fec24feb4834b768c484fe556046382" unitRef="_GBC_ae5c0d79e5694eb28ba1b8160e27a464" addr="T0R27C2S1_1" formatStyle="Comma"/>
        <m:item xlName="_GBC_8de46690fd9d46e283117e4f542868bc" concept="clcid-pte:JingChangKouTaoQiShouYi" label="净敞口套期收益" periodRef="上年同期数" mulRef="_GBC_4fec24feb4834b768c484fe556046382" unitRef="_GBC_ae5c0d79e5694eb28ba1b8160e27a464" addr="T0R27C3S1_1" formatStyle="Comma"/>
        <m:placeholder xlName="_PLD_e6e5f627ac054b8b8f91f930cd45c7d6" wordText="公允价值变动收益（损失以“－”号填列）" indent="300" addr="T0R28C0S1_1"/>
        <m:item xlName="_GBC_271e9ac7e28c464b9be8a7019e3de5da" concept="clcid-ci-ar:FuZhu_GongYunJiaZhiBianDongShouYi" label="附注_公允价值变动收益" addr="T0R28C1S1_1"/>
        <m:item xlName="_GBC_148331dcb8a642d5ad31b7bcf932aafa" concept="clcid-pte:GongYunJiaZhiBianDongShouYi" label="公允价值变动收益" mulRef="_GBC_4fec24feb4834b768c484fe556046382" unitRef="_GBC_ae5c0d79e5694eb28ba1b8160e27a464" addr="T0R28C2S1_1" formatStyle="Comma"/>
        <m:item xlName="_GBC_c3e79408ff2542ab9022e718f8b9181b" concept="clcid-pte:GongYunJiaZhiBianDongShouYi" label="公允价值变动收益" periodRef="上年同期数" mulRef="_GBC_4fec24feb4834b768c484fe556046382" unitRef="_GBC_ae5c0d79e5694eb28ba1b8160e27a464" addr="T0R28C3S1_1" formatStyle="Comma"/>
        <m:placeholder xlName="_PLD_e30e32ac0eb74cccbe4261a78579a5ff" wordText="信用减值损失（损失以“-”号填列）" indent="300" addr="T0R29C0S1_1"/>
        <m:item xlName="_GBC_5103130dda0d4a2991cd266eba3d247e" concept="clcid-ci-ar:FuZhu_XinYongJianZhiSunShi" label="附注_信用减值损失" addr="T0R29C1S1_1"/>
        <m:item xlName="_GBC_2f1be0074f2b4f9b9cfb6d825e6e716d" concept="clcid-pte:XinYongJianZhiSunShi" label="信用减值损失" mulRef="_GBC_4fec24feb4834b768c484fe556046382" unitRef="_GBC_ae5c0d79e5694eb28ba1b8160e27a464" addr="T0R29C2S1_1" formatStyle="Comma" keyAction="88"/>
        <m:item xlName="_GBC_73ecaede37bb436896b169e8ec982ef1" concept="clcid-pte:XinYongJianZhiSunShi" label="信用减值损失" periodRef="上年同期数" mulRef="_GBC_4fec24feb4834b768c484fe556046382" unitRef="_GBC_ae5c0d79e5694eb28ba1b8160e27a464" addr="T0R29C3S1_1" formatStyle="Comma" keyAction="88"/>
        <m:placeholder xlName="_PLD_fe82d7189b7a42a6ae64dd80ca9bbe80" wordText="资产减值损失（损失以“-”号填列）" indent="300" addr="T0R30C0S1_1"/>
        <m:item xlName="_GBC_262d77d33027470cafc7e5618cf25605" concept="clcid-ci-ar:FuZhu_ZiChanJianZhiSunShi" label="附注_资产减值损失" addr="T0R30C1S1_1"/>
        <m:item xlName="_GBC_6a3762b17af34224ba308ef78217c41d" concept="clcid-pte:ZiChanJianZhiSunShi" label="资产减值损失" mulRef="_GBC_4fec24feb4834b768c484fe556046382" unitRef="_GBC_ae5c0d79e5694eb28ba1b8160e27a464" addr="T0R30C2S1_1" formatStyle="Comma" keyAction="88"/>
        <m:item xlName="_GBC_e059c7036a23422f88cd0c8871a3894a" concept="clcid-pte:ZiChanJianZhiSunShi" label="资产减值损失" periodRef="上年同期数" mulRef="_GBC_4fec24feb4834b768c484fe556046382" unitRef="_GBC_ae5c0d79e5694eb28ba1b8160e27a464" addr="T0R30C3S1_1" formatStyle="Comma" keyAction="88"/>
        <m:placeholder xlName="_PLD_60761ec4a82c4bc298a64deee215586d" wordText="资产处置收益（损失以“－”号填列）" indent="300" addr="T0R31C0S1_1"/>
        <m:item xlName="_GBC_3fce9a2181ba4c67a5e685410bc3ead8" concept="clcid-ci-ar:FuZhu_ZiChanChuZhiSHouYi" label="附注_资产处置收益" addr="T0R31C1S1_1"/>
        <m:item xlName="_GBC_76eb01754ed347c0b7bc326fbc280212" concept="clcid-pte:ZiChanChuZhiSHouYi" label="资产处置收益" mulRef="_GBC_4fec24feb4834b768c484fe556046382" unitRef="_GBC_ae5c0d79e5694eb28ba1b8160e27a464" addr="T0R31C2S1_1" formatStyle="Comma"/>
        <m:item xlName="_GBC_5004129917df40a2ac6aa795e33d65e5" concept="clcid-pte:ZiChanChuZhiSHouYi" label="资产处置收益" periodRef="上年同期数" mulRef="_GBC_4fec24feb4834b768c484fe556046382" unitRef="_GBC_ae5c0d79e5694eb28ba1b8160e27a464" addr="T0R31C3S1_1" formatStyle="Comma"/>
        <m:placeholder xlName="_PLD_18d15c0eacb94678be3131e09c8d9904" wordText="三、营业利润（亏损以“－”号填列）" addr="T0R32C0S1_1"/>
        <m:item xlName="_GBC_b2adff6ca3a84f64a3e21106b8c25b34" concept="clcid-ci-ar:FuZhu_YingYeLiRun" label="附注_营业利润" addr="T0R32C1S1_1"/>
        <m:item xlName="_GBC_3255aca0af7d413b8f2b03953f59dba7" concept="clcid-pte:YingYeLiRun" label="营业利润" mulRef="_GBC_4fec24feb4834b768c484fe556046382" unitRef="_GBC_ae5c0d79e5694eb28ba1b8160e27a464" addr="T0R32C2S1_1" formatStyle="Comma">
          <m:complexRule comparator="Eq" title="营业利润" test=" $_GBC_b798ba3a36e8446bb48acd631928aae4 -  $_GBC_c159383829ae44a7a582baabd440fa05 +  $_GBC_81d92773a6184161ab9fca59acdcdf47 +  $_GBC_c46bbf200aff4fafa804ce44d194410b +  $_GBC_79fb25d76c09409fa0361aa0dff6e285 +  $_GBC_2aac53db514f48c288fd93f2a69e8962 +  $_GBC_148331dcb8a642d5ad31b7bcf932aafa +  $_GBC_76eb01754ed347c0b7bc326fbc280212 -  $_GBC_2f1be0074f2b4f9b9cfb6d825e6e716d -  $_GBC_6a3762b17af34224ba308ef78217c41d" id="C2e78eb18ca0c47b79fe2aa616e381391"/>
        </m:item>
        <m:item xlName="_GBC_87279e5ec7a6440ca5c1a837aede000d" concept="clcid-pte:YingYeLiRun" label="营业利润" periodRef="上年同期数" mulRef="_GBC_4fec24feb4834b768c484fe556046382" unitRef="_GBC_ae5c0d79e5694eb28ba1b8160e27a464" addr="T0R32C3S1_1" formatStyle="Comma">
          <m:complexRule comparator="Eq" title="营业利润@上年同期数" test=" $_GBC_f7ccfe0076bc4dd586dc80eff396e3ed -  $_GBC_c3c79df7441a481e9c5dcec64a0932ea +  $_GBC_2c785e77c44b4bb5a1122364f84c75a3 +  $_GBC_eb64401575454c0ba26f961f88d13672 +  $_GBC_aedc4461795c4591a3881958f381c267 +  $_GBC_8de46690fd9d46e283117e4f542868bc +  $_GBC_c3e79408ff2542ab9022e718f8b9181b +  $_GBC_5004129917df40a2ac6aa795e33d65e5 -  $_GBC_73ecaede37bb436896b169e8ec982ef1 -  $_GBC_e059c7036a23422f88cd0c8871a3894a" id="C527ea5d9e07944c790f29a1191568497"/>
        </m:item>
        <m:placeholder xlName="_PLD_e328c8d559944bfd89e7332623e0aea3" wordText="加：营业外收入" indent="100" addr="T0R33C0S1_1"/>
        <m:item xlName="_GBC_ccb5fd30192a4cbd89cff8f8954bb24c" concept="clcid-ci-ar:FuZhu_YingYeWaiShouRu" label="附注_营业外收入" addr="T0R33C1S1_1"/>
        <m:item xlName="_GBC_0c299a587eca4d34826c8eaee2f5f4ac" concept="clcid-pte:YingYeWaiShouRu" label="营业外收入" mulRef="_GBC_4fec24feb4834b768c484fe556046382" unitRef="_GBC_ae5c0d79e5694eb28ba1b8160e27a464" addr="T0R33C2S1_1" formatStyle="Comma"/>
        <m:item xlName="_GBC_f15d69246dcf48a6839cfccf835c2417" concept="clcid-pte:YingYeWaiShouRu" label="营业外收入" periodRef="上年同期数" mulRef="_GBC_4fec24feb4834b768c484fe556046382" unitRef="_GBC_ae5c0d79e5694eb28ba1b8160e27a464" addr="T0R33C3S1_1" formatStyle="Comma"/>
        <m:placeholder xlName="_PLD_862b6a23799a4cfdb3792bfc43248bcd" wordText="减：营业外支出" indent="100" addr="T0R34C0S1_1"/>
        <m:item xlName="_GBC_115c67ad6a344201a110e3664683a241" concept="clcid-ci-ar:FuZhu_YingYeWaiZhiChu" label="附注_营业外支出" addr="T0R34C1S1_1"/>
        <m:item xlName="_GBC_83929c28de944e3280c3dfea5ba3441b" concept="clcid-pte:YingYeWaiZhiChu" label="营业外支出" mulRef="_GBC_4fec24feb4834b768c484fe556046382" unitRef="_GBC_ae5c0d79e5694eb28ba1b8160e27a464" addr="T0R34C2S1_1" baseScale="-1" formatStyle="Comma"/>
        <m:item xlName="_GBC_4ae05e317836409b8b1b0cb2bcbad1a9" concept="clcid-pte:YingYeWaiZhiChu" label="营业外支出" periodRef="上年同期数" mulRef="_GBC_4fec24feb4834b768c484fe556046382" unitRef="_GBC_ae5c0d79e5694eb28ba1b8160e27a464" addr="T0R34C3S1_1" baseScale="-1" formatStyle="Comma"/>
        <m:placeholder xlName="_PLD_91e0599aa02a45b39a5b0dfc801cbadf" wordText="四、利润总额（亏损总额以“－”号填列）" addr="T0R35C0S1_1"/>
        <m:item xlName="_GBC_fa2c5fcca98840679d3daff7fc8d0b6c" concept="clcid-ci-ar:FuZhu_LiRunZongE" label="附注_利润总额" addr="T0R35C1S1_1"/>
        <m:item xlName="_GBC_a2dd758dd09b4a85ae6b4ccd278d4807" concept="clcid-pte:LiRunZongE" label="利润总额" mulRef="_GBC_4fec24feb4834b768c484fe556046382" unitRef="_GBC_ae5c0d79e5694eb28ba1b8160e27a464" addr="T0R35C2S1_1" formatStyle="Comma">
          <m:complexRule comparator="Eq" title="利润总额" test=" $_GBC_3255aca0af7d413b8f2b03953f59dba7 +  $_GBC_0c299a587eca4d34826c8eaee2f5f4ac -  $_GBC_83929c28de944e3280c3dfea5ba3441b" id="Cbcc1f46480634e8dad947c7dfd6a7ca9"/>
        </m:item>
        <m:item xlName="_GBC_c7f70b365db643bbbfc32199018d46c9" concept="clcid-pte:LiRunZongE" label="利润总额" periodRef="上年同期数" mulRef="_GBC_4fec24feb4834b768c484fe556046382" unitRef="_GBC_ae5c0d79e5694eb28ba1b8160e27a464" addr="T0R35C3S1_1" formatStyle="Comma">
          <m:complexRule comparator="Eq" title="利润总额@上年同期数" test=" $_GBC_87279e5ec7a6440ca5c1a837aede000d +  $_GBC_f15d69246dcf48a6839cfccf835c2417 -  $_GBC_4ae05e317836409b8b1b0cb2bcbad1a9" id="Cbbabc0a9fbf240ce84ba3d0f30913248"/>
        </m:item>
        <m:placeholder xlName="_PLD_068015dc8ea145fca7f54b4569a31184" wordText="减：所得税费用" indent="100" addr="T0R36C0S1_1"/>
        <m:item xlName="_GBC_4ec76745ffe24bff8de1ae4215251bf8" concept="clcid-ci-ar:FuZhu_SuoDeShui" label="附注_所得税" addr="T0R36C1S1_1"/>
        <m:item xlName="_GBC_1e931dce5dea4fa1aff27879bd2db92c" concept="clcid-pte:SuoDeShui" label="所得税" mulRef="_GBC_4fec24feb4834b768c484fe556046382" unitRef="_GBC_ae5c0d79e5694eb28ba1b8160e27a464" addr="T0R36C2S1_1" baseScale="-1" formatStyle="Comma"/>
        <m:item xlName="_GBC_1a71001296614b668743b36dd5773a30" concept="clcid-pte:SuoDeShui" label="所得税" periodRef="上年同期数" mulRef="_GBC_4fec24feb4834b768c484fe556046382" unitRef="_GBC_ae5c0d79e5694eb28ba1b8160e27a464" addr="T0R36C3S1_1" baseScale="-1" formatStyle="Comma"/>
        <m:placeholder xlName="_PLD_355129e4ca9b4d29bd85d210d08f622f" wordText="五、净利润（净亏损以“－”号填列）" addr="T0R37C0S1_1"/>
        <m:item xlName="_GBC_3311664b4085479f8b9e3c979a052c2f" concept="clcid-ci-ar:FuZhu_JingLiRun" label="附注_净利润" addr="T0R37C1S1_1"/>
        <m:item xlName="_GBC_c11ea2bc2419446f9a76751752ededee" concept="clcid-pte:JingLiRun" label="净利润" mulRef="_GBC_4fec24feb4834b768c484fe556046382" unitRef="_GBC_ae5c0d79e5694eb28ba1b8160e27a464" addr="T0R37C2S1_1" formatStyle="Comma">
          <m:complexRule comparator="Eq" test=" $_GBC_48078e0cb7e24c238f2c171867856f67 +  $_GBC_3533f237e48e4b30b75e56339c86788b" id="C334a3bb74ca64698bf862b69c3282ea5"/>
          <m:complexRule comparator="Eq" title="净利润" test=" $_GBC_a2dd758dd09b4a85ae6b4ccd278d4807 -  $_GBC_1e931dce5dea4fa1aff27879bd2db92c" id="C5fa8fccded654c7fbfc70b5ad19fdf3f"/>
          <m:complexRule comparator="Eq" test="$_GBC_25f7588d30154f9ea1817e100ed82fc7 + $_GBC_ba414d77a998452a8302a5fe006af3de" id="C6f7349d010574bcca350cfb9a7ca0f0d"/>
        </m:item>
        <m:item xlName="_GBC_4f029ef0f9e2416694c13bd8abf29231" concept="clcid-pte:JingLiRun" label="净利润" periodRef="上年同期数" mulRef="_GBC_4fec24feb4834b768c484fe556046382" unitRef="_GBC_ae5c0d79e5694eb28ba1b8160e27a464" addr="T0R37C3S1_1" formatStyle="Comma">
          <m:complexRule comparator="Eq" title="净利润@上年同期数" test=" $_GBC_c7f70b365db643bbbfc32199018d46c9 -  $_GBC_1a71001296614b668743b36dd5773a30" id="C83b68ab026b44c57a0b9a980f08eba49"/>
          <m:complexRule comparator="Eq" test="$_GBC_cf194ecc090244408dd63c647732557a + $_GBC_2890dd8b2e8342a48e639f4fd1cedd20" id="C54e7866ee372438f9d271a211f273f9f"/>
          <m:complexRule comparator="Eq" test=" $_GBC_0e8d7c0e9bed428ca57154051731e3f0 +  $_GBC_4a4038fe58694f558ab20ebd5208efcf" id="C496569a0f69a4892a48520bd7a1f3574"/>
        </m:item>
        <m:placeholder xlName="_PLD_c576a2f5fbec4ba2b1cc36d0a215ba5c" wordText="（一）按经营持续性分类" addr="T0R38C0S1_4"/>
        <m:placeholder xlName="_PLD_0cbbecfa36204e9cb4a8afb27df49afc" wordText="1.持续经营净利润（净亏损以“－”号填列）" indent="200" addr="T0R39C0S1_1"/>
        <m:item xlName="_GBC_69b350a12fa24fc4b06641dc7040066b" concept="clcid-ci-ar:FuZhu_ChiXuJingYingJingLiRun" label="附注_持续经营净利润" addr="T0R39C1S1_1"/>
        <m:item xlName="_GBC_48078e0cb7e24c238f2c171867856f67" concept="clcid-pte:ChiXuJingYingJingLiRun" label="持续经营净利润" mulRef="_GBC_4fec24feb4834b768c484fe556046382" unitRef="_GBC_ae5c0d79e5694eb28ba1b8160e27a464" addr="T0R39C2S1_1" formatStyle="Comma"/>
        <m:item xlName="_GBC_cf194ecc090244408dd63c647732557a" concept="clcid-pte:ChiXuJingYingJingLiRun" label="持续经营净利润" periodRef="上年同期数" mulRef="_GBC_4fec24feb4834b768c484fe556046382" unitRef="_GBC_ae5c0d79e5694eb28ba1b8160e27a464" addr="T0R39C3S1_1" formatStyle="Comma"/>
        <m:placeholder xlName="_PLD_52694b4d274c4f909bf793dd26abeda4" wordText="2.终止经营净利润（净亏损以“－”号填列）" indent="200" addr="T0R40C0S1_1"/>
        <m:item xlName="_GBC_dceb35b1dbf141bc8f2a227112a5c680" concept="clcid-ci-ar:FuZhu_ZhongZhiJingYingJingLiRun" label="附注_终止经营净利润" addr="T0R40C1S1_1"/>
        <m:item xlName="_GBC_3533f237e48e4b30b75e56339c86788b" concept="clcid-pte:ZhongZhiJingYingJingLiRun" label="终止经营净利润" mulRef="_GBC_4fec24feb4834b768c484fe556046382" unitRef="_GBC_ae5c0d79e5694eb28ba1b8160e27a464" addr="T0R40C2S1_1" formatStyle="Comma"/>
        <m:item xlName="_GBC_2890dd8b2e8342a48e639f4fd1cedd20" concept="clcid-pte:ZhongZhiJingYingJingLiRun" label="终止经营净利润" periodRef="上年同期数" mulRef="_GBC_4fec24feb4834b768c484fe556046382" unitRef="_GBC_ae5c0d79e5694eb28ba1b8160e27a464" addr="T0R40C3S1_1" formatStyle="Comma"/>
        <m:placeholder xlName="_PLD_5da729560f54464cbcc9ce762078f9ba" wordText="（二）按所有权归属分类" addr="T0R41C0S1_4"/>
        <m:placeholder xlName="_PLD_d4f7c178814a4729a89415435ac2aac1" wordText="1.归属于母公司股东的净利润（净亏损以“-”号填列）" indent="200" addr="T0R42C0S1_1"/>
        <m:item xlName="_GBC_8731ab320b3846c7b00509af1b987365" concept="clcid-ci-ar:FuZhu_GuiShuYuMuGongSiSuoYouZheDeJingLiRun" label="附注_归属于母公司所有者的净利润" addr="T0R42C1S1_1"/>
        <m:item xlName="_GBC_25f7588d30154f9ea1817e100ed82fc7" concept="clcid-pte:GuiShuYuMuGongSiSuoYouZheDeJingLiRun" label="归属于母公司所有者的净利润" mulRef="_GBC_4fec24feb4834b768c484fe556046382" unitRef="_GBC_ae5c0d79e5694eb28ba1b8160e27a464" addr="T0R42C2S1_1" formatStyle="Comma"/>
        <m:item xlName="_GBC_0e8d7c0e9bed428ca57154051731e3f0" concept="clcid-pte:GuiShuYuMuGongSiSuoYouZheDeJingLiRun" label="归属于母公司所有者的净利润" periodRef="上年同期数" mulRef="_GBC_4fec24feb4834b768c484fe556046382" unitRef="_GBC_ae5c0d79e5694eb28ba1b8160e27a464" addr="T0R42C3S1_1" formatStyle="Comma"/>
        <m:placeholder xlName="_PLD_095b31d3979943dc85b47d9a42d89a91" wordText="2.少数股东损益（净亏损以“-”号填列）" indent="200" addr="T0R43C0S1_1"/>
        <m:item xlName="_GBC_c0c833e7a7484335bcfb3b33dc0af6eb" concept="clcid-ci-ar:FuZhu_ShaoShuGuDongSunYi" label="附注_少数股东损益" addr="T0R43C1S1_1"/>
        <m:item xlName="_GBC_ba414d77a998452a8302a5fe006af3de" concept="clcid-pte:ShaoShuGuDongSunYi" label="少数股东损益" mulRef="_GBC_4fec24feb4834b768c484fe556046382" unitRef="_GBC_ae5c0d79e5694eb28ba1b8160e27a464" addr="T0R43C2S1_1" formatStyle="Comma"/>
        <m:item xlName="_GBC_4a4038fe58694f558ab20ebd5208efcf" concept="clcid-pte:ShaoShuGuDongSunYi" label="少数股东损益" periodRef="上年同期数" mulRef="_GBC_4fec24feb4834b768c484fe556046382" unitRef="_GBC_ae5c0d79e5694eb28ba1b8160e27a464" addr="T0R43C3S1_1" formatStyle="Comma"/>
        <m:placeholder xlName="_PLD_6a43e7f14d234c52a7ab5dff443252a7" wordText="六、其他综合收益的税后净额" addr="T0R44C0S1_1"/>
        <m:item xlName="_GBC_6bce8195acca44c19650471ece1b17e8" concept="clcid-ci-ar:FuZhuQiTaZongHeShouYiDeShuiHouJingE" label="附注_其他综合收益的税后净额" addr="T0R44C1S1_1"/>
        <m:item xlName="_GBC_7d2b2f9b6306442ba8f40aa692a33450" concept="clcid-pte:QiTaZongHeShouYiDeShuiHouJingE" label="其他综合收益的税后净额" mulRef="_GBC_4fec24feb4834b768c484fe556046382" unitRef="_GBC_ae5c0d79e5694eb28ba1b8160e27a464" addr="T0R44C2S1_1" formatStyle="Comma">
          <m:complexRule comparator="Eq" title="其他综合收益的税后净额" test=" $_GBC_80eb417b6aae46a7be60e660411e7c3d +  $_GBC_cd666e7188b74754b7bcb0672ec45f09" id="C48c7aa228d214977a8eaa44b4bf85cbb"/>
        </m:item>
        <m:item xlName="_GBC_2d385c0a85dd43ec82a3c74449903ae4" concept="clcid-pte:QiTaZongHeShouYiDeShuiHouJingE" label="其他综合收益的税后净额" periodRef="上年同期数" mulRef="_GBC_4fec24feb4834b768c484fe556046382" unitRef="_GBC_ae5c0d79e5694eb28ba1b8160e27a464" addr="T0R44C3S1_1" formatStyle="Comma">
          <m:complexRule comparator="Eq" title="其他综合收益的税后净额@上年同期数" test=" $_GBC_46f87c7373b3402eb78d34b563be1527 +  $_GBC_2e176bbdc49b40099041ab254f4fe940" id="Cd0b6ffdb3fcf4e2ebc902fd0a6ef6987"/>
        </m:item>
        <m:placeholder xlName="_PLD_402e48f41e92468e9ccfc9f5b154d698" wordText="（一）归属母公司所有者的其他综合收益的税后净额" indent="100" addr="T0R45C0S1_1"/>
        <m:item xlName="_GBC_86f2322c7aed4f42b963ec834b7850a9" concept="clcid-ci-ar:FuZhuGuiShuMuGongSiSuoYouZheDeQiTaZongHeShouYiDeShuiHouJingE" label="附注_归属母公司所有者的其他综合收益的税后净额" addr="T0R45C1S1_1"/>
        <m:item xlName="_GBC_80eb417b6aae46a7be60e660411e7c3d" concept="clcid-pte:GuiShuMuGongSiSuoYouZheDeQiTaZongHeShouYiDeShuiHouJingE" label="归属母公司所有者的其他综合收益的税后净额" mulRef="_GBC_4fec24feb4834b768c484fe556046382" unitRef="_GBC_ae5c0d79e5694eb28ba1b8160e27a464" addr="T0R45C2S1_1" formatStyle="Comma">
          <m:complexRule comparator="Eq" title="归属母公司所有者的其他综合收益的税后净额" test=" $_GBC_048e7f1447d044b8ba49f8f3f116cae0 +  $_GBC_f70ce56eab554c0ba6246a594cd13059" id="Ccd72205931c84502b12bfc81b789e6a2"/>
        </m:item>
        <m:item xlName="_GBC_46f87c7373b3402eb78d34b563be1527" concept="clcid-pte:GuiShuMuGongSiSuoYouZheDeQiTaZongHeShouYiDeShuiHouJingE" label="归属母公司所有者的其他综合收益的税后净额" periodRef="上年同期数" mulRef="_GBC_4fec24feb4834b768c484fe556046382" unitRef="_GBC_ae5c0d79e5694eb28ba1b8160e27a464" addr="T0R45C3S1_1" formatStyle="Comma">
          <m:complexRule comparator="Eq" title="归属母公司所有者的其他综合收益的税后净额@上年同期数" test=" $_GBC_658c91ce6fa1457688407a17f9ebd321 +  $_GBC_d0fbdfa138bf4517856af15b8dbef122" id="C0d94ae95b9284ad59724a23b676ed081"/>
        </m:item>
        <m:placeholder xlName="_PLD_b367f8195cde49b4861d967effb0f541" wordText="1.不能重分类进损益的其他综合收益" indent="200" addr="T0R46C0S1_1"/>
        <m:item xlName="_GBC_90991a6e00004a1c850768338ce46dcb" concept="clcid-ci-ar:FuZhuYiHouBuNengZhongFenLeiJinSunYiDeQiTaZongHeShouYi" label="附注_以后不能重分类进损益的其他综合收益" addr="T0R46C1S1_1"/>
        <m:item xlName="_GBC_048e7f1447d044b8ba49f8f3f116cae0" concept="clcid-pte:YiHouBuNengZhongFenLeiJinSunYiDeQiTaZongHeShouYi" label="以后不能重分类进损益的其他综合收益" mulRef="_GBC_4fec24feb4834b768c484fe556046382" unitRef="_GBC_ae5c0d79e5694eb28ba1b8160e27a464" addr="T0R46C2S1_1" formatStyle="Comma">
          <m:complexRule comparator="Eq" title="以后不能重分类进损益的其他综合收益" test="$_GBC_cb640cd41dd24c6482b037af9670eb5d+$_GBC_e412490117254f9ba97fd1be8ac14585+$_GBC_0437278ee21e4faf92c7bc4291d46867+$_GBC_f5b9477641a8465981beb4cbc9e7ee58" id="C013f298a50df47d78cff867004bc720e"/>
        </m:item>
        <m:item xlName="_GBC_658c91ce6fa1457688407a17f9ebd321" concept="clcid-pte:YiHouBuNengZhongFenLeiJinSunYiDeQiTaZongHeShouYi" label="以后不能重分类进损益的其他综合收益" periodRef="上年同期数" mulRef="_GBC_4fec24feb4834b768c484fe556046382" unitRef="_GBC_ae5c0d79e5694eb28ba1b8160e27a464" addr="T0R46C3S1_1" formatStyle="Comma">
          <m:complexRule comparator="Eq" title="以后不能重分类进损益的其他综合收益@上年同期数" test="$_GBC_e80b68f36c9f4996b2b2a4d36915602f+$_GBC_09bd40a05fe2430a8d3eea2934026bea+$_GBC_3ffbdd349c53467b86913ffdeac45fa6+$_GBC_1330c0a0a48943ac94a336f94ec61227" id="Cc5e4d0c42f164ac4853bc92fb7fbc8d0"/>
        </m:item>
        <m:placeholder xlName="_PLD_c1d0eb5a70bd4147bff8f5ac51104882" wordText="（1）重新计量设定受益计划变动额" addr="T0R47C0S1_1"/>
        <m:item xlName="_GBC_275ccd6b3f324df782122fe660574311" concept="clcid-ci-ar:FuZhuZhongXinJiLiangSheDingShouYiJiHuaJingFuZhaiHuoJingZiChanDeBianDong" label="附注_重新计量设定受益计划净负债或净资产的变动" addr="T0R47C1S1_1"/>
        <m:item xlName="_GBC_cb640cd41dd24c6482b037af9670eb5d" concept="clcid-pte:ChongXinJiLiangSheDingShouYiJiHuaJingFuZhaiHuoJingZiChanDeBianDong" label="重新计量设定受益计划净负债或净资产的变动" mulRef="_GBC_4fec24feb4834b768c484fe556046382" unitRef="_GBC_ae5c0d79e5694eb28ba1b8160e27a464" addr="T0R47C2S1_1" formatStyle="Comma"/>
        <m:item xlName="_GBC_e80b68f36c9f4996b2b2a4d36915602f" concept="clcid-pte:ChongXinJiLiangSheDingShouYiJiHuaJingFuZhaiHuoJingZiChanDeBianDong" label="重新计量设定受益计划净负债或净资产的变动" periodRef="上年同期数" mulRef="_GBC_4fec24feb4834b768c484fe556046382" unitRef="_GBC_ae5c0d79e5694eb28ba1b8160e27a464" addr="T0R47C3S1_1" formatStyle="Comma"/>
        <m:placeholder xlName="_PLD_da98b29079a040128e53e7426fc30a60" wordText="（2）权益法下不能转损益的其他综合收益" addr="T0R48C0S1_1"/>
        <m:item xlName="_GBC_8c08c4d2b5a64f0c96d56811bab1ff92" concept="clcid-ci-ar:FuZhuQuanYiFaXiaZaiBeiTouZiDanWeiBuNengZhongFenLeiJinSunYiDeQiTaZongHeShouYiZhongXiangYouDeFenE" label="附注_权益法下在被投资单位不能重分类进损益的其他综合收益中享有的份额" addr="T0R48C1S1_1"/>
        <m:item xlName="_GBC_e412490117254f9ba97fd1be8ac14585" concept="clcid-pte:QuanYiFaXiaZaiBeiTouZiDanWeiBuNengZhongFenLeiJinSunYiDeQiTaZongHeShouYiZhongXiangYouDeFenE" label="权益法下在被投资单位不能重分类进损益的其他综合收益中享有的份额" mulRef="_GBC_4fec24feb4834b768c484fe556046382" unitRef="_GBC_ae5c0d79e5694eb28ba1b8160e27a464" addr="T0R48C2S1_1" formatStyle="Comma"/>
        <m:item xlName="_GBC_09bd40a05fe2430a8d3eea2934026bea" concept="clcid-pte:QuanYiFaXiaZaiBeiTouZiDanWeiBuNengZhongFenLeiJinSunYiDeQiTaZongHeShouYiZhongXiangYouDeFenE" label="权益法下在被投资单位不能重分类进损益的其他综合收益中享有的份额" periodRef="上年同期数" mulRef="_GBC_4fec24feb4834b768c484fe556046382" unitRef="_GBC_ae5c0d79e5694eb28ba1b8160e27a464" addr="T0R48C3S1_1" formatStyle="Comma"/>
        <m:placeholder xlName="_PLD_9346e4819ec34beabe92d365c497e001" wordText="（3）其他权益工具投资公允价值变动" addr="T0R49C0S1_1"/>
        <m:item xlName="_GBC_78dc1e521a2a42529450b9058fbd17c2" concept="clcid-ci-ar:FuZhu_QiTaQuanYiGongJuTouZiGongYunJiaZhiBianDong" label="附注_其他权益工具投资公允价值变动" addr="T0R49C1S1_1"/>
        <m:item xlName="_GBC_0437278ee21e4faf92c7bc4291d46867" concept="clcid-pte:QiTaQuanYiGongJuTouZiGongYunJiaZhiBianDong" label="其他权益工具投资公允价值变动" mulRef="_GBC_4fec24feb4834b768c484fe556046382" unitRef="_GBC_ae5c0d79e5694eb28ba1b8160e27a464" addr="T0R49C2S1_1" formatStyle="Comma"/>
        <m:item xlName="_GBC_3ffbdd349c53467b86913ffdeac45fa6" concept="clcid-pte:QiTaQuanYiGongJuTouZiGongYunJiaZhiBianDong" label="其他权益工具投资公允价值变动" periodRef="上年同期数" mulRef="_GBC_4fec24feb4834b768c484fe556046382" unitRef="_GBC_ae5c0d79e5694eb28ba1b8160e27a464" addr="T0R49C3S1_1" formatStyle="Comma"/>
        <m:placeholder xlName="_PLD_70f86b80dfa1468c8c481e18f675ad6a" wordText="（4）企业自身信用风险公允价值变动" addr="T0R50C0S1_1"/>
        <m:item xlName="_GBC_044dcc61b2174d299523df46431b05a6" concept="clcid-ci-ar:FuZhu_QiYeZiShenXinYongFengXianGongYunJiaZhiBianDong" label="附注_企业自身信用风险公允价值变动" addr="T0R50C1S1_1"/>
        <m:item xlName="_GBC_f5b9477641a8465981beb4cbc9e7ee58" concept="clcid-pte:QiYeZiShenXinYongFengXianGongYunJiaZhiBianDong" label="企业自身信用风险公允价值变动" mulRef="_GBC_4fec24feb4834b768c484fe556046382" unitRef="_GBC_ae5c0d79e5694eb28ba1b8160e27a464" addr="T0R50C2S1_1" formatStyle="Comma"/>
        <m:item xlName="_GBC_1330c0a0a48943ac94a336f94ec61227" concept="clcid-pte:QiYeZiShenXinYongFengXianGongYunJiaZhiBianDong" label="企业自身信用风险公允价值变动" periodRef="上年同期数" mulRef="_GBC_4fec24feb4834b768c484fe556046382" unitRef="_GBC_ae5c0d79e5694eb28ba1b8160e27a464" addr="T0R50C3S1_1" formatStyle="Comma"/>
        <m:placeholder xlName="_PLD_1d4c3625b1a9453f98b920131a00b22a" wordText="2.将重分类进损益的其他综合收益" indent="200" addr="T0R51C0S1_1"/>
        <m:item xlName="_GBC_a2e3466a960e4dda9edf7be5048ebc82" concept="clcid-ci-ar:FuZhuYiHouJiangZhongFenLeiJinSunYiDeQiTaZongHeShouYi" label="附注_以后将重分类进损益的其他综合收益" addr="T0R51C1S1_1"/>
        <m:item xlName="_GBC_f70ce56eab554c0ba6246a594cd13059" concept="clcid-pte:YiHouJiangZhongFenLeiJinSunYiDeQiTaZongHeShouYi" label="以后将重分类进损益的其他综合收益" mulRef="_GBC_4fec24feb4834b768c484fe556046382" unitRef="_GBC_ae5c0d79e5694eb28ba1b8160e27a464" addr="T0R51C2S1_1" formatStyle="Comma">
          <m:complexRule comparator="Eq" title="以后将重分类进损益的其他综合收益" test=" $_GBC_fcf6dfabba3a4a54a473bc159a46123c +  $_GBC_5d1190a8661c4ce8be7c50a00d314b81 +  $_GBC_1b654a29378f40969e0f97f5314295a5 +  $_GBC_fc8bb0293e5d45218f9947adfbafa7ed +  $_GBC_edb1eff98e27452da414242d68312e8e +  $_GBC_31da438ee7ae4a0ba94acd29c5494b92 +  $_GBC_f02e788339f04f70a4c4da83dfe86923" id="C8ba796238a1e4911b67c079f49cfdfdf"/>
        </m:item>
        <m:item xlName="_GBC_d0fbdfa138bf4517856af15b8dbef122" concept="clcid-pte:YiHouJiangZhongFenLeiJinSunYiDeQiTaZongHeShouYi" label="以后将重分类进损益的其他综合收益" periodRef="上年同期数" mulRef="_GBC_4fec24feb4834b768c484fe556046382" unitRef="_GBC_ae5c0d79e5694eb28ba1b8160e27a464" addr="T0R51C3S1_1" formatStyle="Comma">
          <m:complexRule comparator="Eq" title="以后将重分类进损益的其他综合收益@上年同期数" test=" $_GBC_6d9169a82add4e26bb5c980ff52ab328 +  $_GBC_e3758af372f04bfbaaa3b5f15ff10af7 +  $_GBC_3893795d41ed40f18672f3bc3c08aed8 +  $_GBC_2aa594f99e4f4b3587863bed2d25e200 +  $_GBC_56f52f314007427abacbee515a99f98f +  $_GBC_4a3a6403ee49435f84ffa6188ed80ede +  $_GBC_d6d23e6399724230aa3dc7a11a7493ff" id="C15e6f703861642bda64f6661297b1778"/>
        </m:item>
        <m:placeholder xlName="_PLD_e78255a0eaf548199db0c5a635c041ec" wordText="（1）权益法下可转损益的其他综合收益" addr="T0R52C0S1_1"/>
        <m:item xlName="_GBC_fa56f67b972d46c087e5f876493357d9" concept="clcid-ci-ar:FuZhuQuanYiFaXiaZaiBeiTouZiDanWeiYiHouJiangZhongFenLeiJinSunYiDeQiTaZongHeShouYiZhongXiangYouDeFenE" label="附注_权益法下在被投资单位以后将重分类进损益的其他综合收益中享有的份额" addr="T0R52C1S1_1"/>
        <m:item xlName="_GBC_fcf6dfabba3a4a54a473bc159a46123c" concept="clcid-pte:QuanYiFaXiaZaiBeiTouZiDanWeiYiHouJiangZhongFenLeiJinSunYiDeQiTaZongHeShouYiZhongXiangYouDeFenE" label="权益法下在被投资单位以后将重分类进损益的其他综合收益中享有的份额" mulRef="_GBC_4fec24feb4834b768c484fe556046382" unitRef="_GBC_ae5c0d79e5694eb28ba1b8160e27a464" addr="T0R52C2S1_1" formatStyle="Comma"/>
        <m:item xlName="_GBC_6d9169a82add4e26bb5c980ff52ab328" concept="clcid-pte:QuanYiFaXiaZaiBeiTouZiDanWeiYiHouJiangZhongFenLeiJinSunYiDeQiTaZongHeShouYiZhongXiangYouDeFenE" label="权益法下在被投资单位以后将重分类进损益的其他综合收益中享有的份额" periodRef="上年同期数" mulRef="_GBC_4fec24feb4834b768c484fe556046382" unitRef="_GBC_ae5c0d79e5694eb28ba1b8160e27a464" addr="T0R52C3S1_1" formatStyle="Comma"/>
        <m:placeholder xlName="_PLD_a608a9b526b94d059af9488704db19ed" wordText="（2）其他债权投资公允价值变动" addr="T0R53C0S1_1"/>
        <m:item xlName="_GBC_116c365ed29f44c79a829175ef9b608f" concept="clcid-ci-ar:FuZhu_QiTaZhaiQuanTouZiGongYunJiaZhiBianDong" label="附注_其他债权投资公允价值变动" addr="T0R53C1S1_1"/>
        <m:item xlName="_GBC_5d1190a8661c4ce8be7c50a00d314b81" concept="clcid-pte:QiTaZhaiQuanTouZiGongYunJiaZhiBianDong" label="其他债权投资公允价值变动" mulRef="_GBC_4fec24feb4834b768c484fe556046382" unitRef="_GBC_ae5c0d79e5694eb28ba1b8160e27a464" addr="T0R53C2S1_1" formatStyle="Comma"/>
        <m:item xlName="_GBC_e3758af372f04bfbaaa3b5f15ff10af7" concept="clcid-pte:QiTaZhaiQuanTouZiGongYunJiaZhiBianDong" label="其他债权投资公允价值变动" periodRef="上年同期数" mulRef="_GBC_4fec24feb4834b768c484fe556046382" unitRef="_GBC_ae5c0d79e5694eb28ba1b8160e27a464" addr="T0R53C3S1_1" formatStyle="Comma"/>
        <m:placeholder xlName="_PLD_7a9ae8ab6d184d70b8bcabf893d29ffc" wordText="（3）金融资产重分类计入其他综合收益的金额" addr="T0R54C0S1_1"/>
        <m:item xlName="_GBC_44e72af3728048c083f3e15d616240b8" concept="clcid-ci-ar:FuZhu_JinRongZiChanChongFenLeiJiRuQiTaZongHeShouYiDeJinE" label="附注_金融资产重分类计入其他综合收益的金额" addr="T0R54C1S1_1"/>
        <m:item xlName="_GBC_1b654a29378f40969e0f97f5314295a5" concept="clcid-pte:JinRongZiChanChongFenLeiJiRuQiTaZongHeShouYiDeJinE" label="金融资产重分类计入其他综合收益的金额" mulRef="_GBC_4fec24feb4834b768c484fe556046382" unitRef="_GBC_ae5c0d79e5694eb28ba1b8160e27a464" addr="T0R54C2S1_1" formatStyle="Comma"/>
        <m:item xlName="_GBC_3893795d41ed40f18672f3bc3c08aed8" concept="clcid-pte:JinRongZiChanChongFenLeiJiRuQiTaZongHeShouYiDeJinE" label="金融资产重分类计入其他综合收益的金额" periodRef="上年同期数" mulRef="_GBC_4fec24feb4834b768c484fe556046382" unitRef="_GBC_ae5c0d79e5694eb28ba1b8160e27a464" addr="T0R54C3S1_1" formatStyle="Comma"/>
        <m:placeholder xlName="_PLD_45de4743667a48328a43f776b78669b0" wordText="（4）其他债权投资信用减值准备" addr="T0R55C0S1_1"/>
        <m:item xlName="_GBC_14adbcddc8d24db1bd677ba3b38de8e0" concept="clcid-ci-ar:FuZhu_QiTaZhaiQuanTouZiXinYongJianZhiZhunBei" label="附注_其他债权投资信用减值准备" addr="T0R55C1S1_1"/>
        <m:item xlName="_GBC_fc8bb0293e5d45218f9947adfbafa7ed" concept="clcid-pte:QiTaZhaiQuanTouZiXinYongJianZhiZhunBei" label="其他债权投资信用减值准备" mulRef="_GBC_4fec24feb4834b768c484fe556046382" unitRef="_GBC_ae5c0d79e5694eb28ba1b8160e27a464" addr="T0R55C2S1_1" formatStyle="Comma"/>
        <m:item xlName="_GBC_2aa594f99e4f4b3587863bed2d25e200" concept="clcid-pte:QiTaZhaiQuanTouZiXinYongJianZhiZhunBei" label="其他债权投资信用减值准备" periodRef="上年同期数" mulRef="_GBC_4fec24feb4834b768c484fe556046382" unitRef="_GBC_ae5c0d79e5694eb28ba1b8160e27a464" addr="T0R55C3S1_1" formatStyle="Comma"/>
        <m:placeholder xlName="_PLD_30eadfe5eb0b43159a484d6e9e241037" wordText="（5）现金流量套期储备" addr="T0R56C0S1_1"/>
        <m:item xlName="_GBC_eea26729a61c42e18cc78a3b0ed9b521" concept="clcid-ci-ar:FuZhuXianJinLiuLiangTaoQiSunYiDeYouXiaoBuFen" label="附注_现金流量套期损益的有效部分" addr="T0R56C1S1_1"/>
        <m:item xlName="_GBC_edb1eff98e27452da414242d68312e8e" concept="clcid-pte:XianJinLiuLiangTaoQiSunYiDeYouXiaoBuFen" label="现金流量套期损益的有效部分" mulRef="_GBC_4fec24feb4834b768c484fe556046382" unitRef="_GBC_ae5c0d79e5694eb28ba1b8160e27a464" addr="T0R56C2S1_1" formatStyle="Comma"/>
        <m:item xlName="_GBC_56f52f314007427abacbee515a99f98f" concept="clcid-pte:XianJinLiuLiangTaoQiSunYiDeYouXiaoBuFen" label="现金流量套期损益的有效部分" periodRef="上年同期数" mulRef="_GBC_4fec24feb4834b768c484fe556046382" unitRef="_GBC_ae5c0d79e5694eb28ba1b8160e27a464" addr="T0R56C3S1_1" formatStyle="Comma"/>
        <m:placeholder xlName="_PLD_a5d181921d264dc2857e201385fa2b90" wordText="（6）外币财务报表折算差额" addr="T0R57C0S1_1"/>
        <m:item xlName="_GBC_e0415207339e4deeb1eea6efba97995c" concept="clcid-ci-ar:FuZhuWaiBiCaiWuBaoBiaoZheSuanChaE" label="附注_外币财务报表折算差额" addr="T0R57C1S1_1"/>
        <m:item xlName="_GBC_31da438ee7ae4a0ba94acd29c5494b92" concept="clcid-pte:WaiBiCaiWuBaoBiaoZheSuanChaE" label="外币财务报表折算差额" mulRef="_GBC_4fec24feb4834b768c484fe556046382" unitRef="_GBC_ae5c0d79e5694eb28ba1b8160e27a464" addr="T0R57C2S1_1" formatStyle="Comma"/>
        <m:item xlName="_GBC_4a3a6403ee49435f84ffa6188ed80ede" concept="clcid-pte:WaiBiCaiWuBaoBiaoZheSuanChaE" label="外币财务报表折算差额" periodRef="上年同期数" mulRef="_GBC_4fec24feb4834b768c484fe556046382" unitRef="_GBC_ae5c0d79e5694eb28ba1b8160e27a464" addr="T0R57C3S1_1" formatStyle="Comma"/>
        <m:placeholder xlName="_PLD_efc9c8840682443ab9c10573fa124a4f" wordText="（7）其他" addr="T0R58C0S1_1"/>
        <m:item xlName="_GBC_46544e69fec648a5ac90f3ba3c7f7cee" concept="clcid-ci-ar:FuZhuYiHouJiangZhongFenLeiJinSunYiDeQiTaZongHeShouYiQiTa" label="附注_以后将重分类进损益的其他综合收益-其他" addr="T0R58C1S1_1"/>
        <m:item xlName="_GBC_f02e788339f04f70a4c4da83dfe86923" concept="clcid-pte:YiHouJiangZhongFenLeiJinSunYiDeQiTaZongHeShouYiQiTa" label="以后将重分类进损益的其他综合收益-其他" mulRef="_GBC_4fec24feb4834b768c484fe556046382" unitRef="_GBC_ae5c0d79e5694eb28ba1b8160e27a464" addr="T0R58C2S1_1" formatStyle="Comma"/>
        <m:item xlName="_GBC_d6d23e6399724230aa3dc7a11a7493ff" concept="clcid-pte:YiHouJiangZhongFenLeiJinSunYiDeQiTaZongHeShouYiQiTa" label="以后将重分类进损益的其他综合收益-其他" periodRef="上年同期数" mulRef="_GBC_4fec24feb4834b768c484fe556046382" unitRef="_GBC_ae5c0d79e5694eb28ba1b8160e27a464" addr="T0R58C3S1_1" formatStyle="Comma"/>
        <m:placeholder xlName="_PLD_4f19daa8ec184be19a8a0afe308c1896" wordText="（二）归属于少数股东的其他综合收益的税后净额" indent="100" addr="T0R59C0S1_1"/>
        <m:item xlName="_GBC_f3e798c7025c4d53b31484337b9eb047" concept="clcid-ci-ar:FuZhuGuiShuYuShaoShuGuDongDeQiTaZongHeShouYiDeShuiHouJingE" label="附注_归属于少数股东的其他综合收益的税后净额" addr="T0R59C1S1_1"/>
        <m:item xlName="_GBC_cd666e7188b74754b7bcb0672ec45f09" concept="clcid-pte:GuiShuYuShaoShuGuDongDeQiTaZongHeShouYiDeShuiHouJingE" label="归属于少数股东的其他综合收益的税后净额" mulRef="_GBC_4fec24feb4834b768c484fe556046382" unitRef="_GBC_ae5c0d79e5694eb28ba1b8160e27a464" addr="T0R59C2S1_1" formatStyle="Comma"/>
        <m:item xlName="_GBC_2e176bbdc49b40099041ab254f4fe940" concept="clcid-pte:GuiShuYuShaoShuGuDongDeQiTaZongHeShouYiDeShuiHouJingE" label="归属于少数股东的其他综合收益的税后净额" periodRef="上年同期数" mulRef="_GBC_4fec24feb4834b768c484fe556046382" unitRef="_GBC_ae5c0d79e5694eb28ba1b8160e27a464" addr="T0R59C3S1_1" formatStyle="Comma"/>
        <m:placeholder xlName="_PLD_29e4ab6c011f4b23961b002b616b19d8" wordText="七、综合收益总额" addr="T0R60C0S1_1"/>
        <m:item xlName="_GBC_2b44b60206564876b8f8395349bba438" concept="clcid-ci-ar:FuZhu_ZongHeShouYiZongE" label="附注_综合收益总额" addr="T0R60C1S1_1"/>
        <m:item xlName="_GBC_9c016adec4294a128d3f431caff4bc3b" concept="clcid-pte:ZongHeShouYiZongE" label="综合收益总额" mulRef="_GBC_4fec24feb4834b768c484fe556046382" unitRef="_GBC_ae5c0d79e5694eb28ba1b8160e27a464" addr="T0R60C2S1_1" formatStyle="Comma">
          <m:complexRule comparator="Eq" title="综合收益总额" test="$_GBC_f8c6b1d9a23149a38f604fd9514a912c + $_GBC_fe088df00bda4bb8984076d9439b78c3" id="C287fc30e57164273b8dba7b2666c0bf0"/>
        </m:item>
        <m:item xlName="_GBC_e9b7b245abe147b2b976e6be95f9ed23" concept="clcid-pte:ZongHeShouYiZongE" label="综合收益总额" periodRef="上年同期数" mulRef="_GBC_4fec24feb4834b768c484fe556046382" unitRef="_GBC_ae5c0d79e5694eb28ba1b8160e27a464" addr="T0R60C3S1_1" formatStyle="Comma">
          <m:complexRule comparator="Eq" title="综合收益总额@上年同期数" test=" $_GBC_e6ccb1635a724b0987d422d36271cfc1 +  $_GBC_8d1863c7c12b471f8c5dda8c8aa8bfdc" id="Caef1bc2f303842e8aff8723cec4fe41e"/>
        </m:item>
        <m:placeholder xlName="_PLD_c6a40d405b9d4a8a8406c1d4ba16ad58" wordText="（一）归属于母公司所有者的综合收益总额" indent="100" addr="T0R61C0S1_1"/>
        <m:item xlName="_GBC_d052a033ed1041368effea2add5bcaad" concept="clcid-ci-ar:FuZhu_GuiShuYuMuGongSiSuoYouZheDeZongHeShouYiZongE" label="附注_归属于母公司所有者的综合收益总额" addr="T0R61C1S1_1"/>
        <m:item xlName="_GBC_f8c6b1d9a23149a38f604fd9514a912c" concept="clcid-pte:GuiShuYuMuGongSiSuoYouZheDeZongHeShouYiZongE" label="归属于母公司所有者的综合收益总额" mulRef="_GBC_4fec24feb4834b768c484fe556046382" unitRef="_GBC_ae5c0d79e5694eb28ba1b8160e27a464" addr="T0R61C2S1_1" formatStyle="Comma"/>
        <m:item xlName="_GBC_e6ccb1635a724b0987d422d36271cfc1" concept="clcid-pte:GuiShuYuMuGongSiSuoYouZheDeZongHeShouYiZongE" label="归属于母公司所有者的综合收益总额" periodRef="上年同期数" mulRef="_GBC_4fec24feb4834b768c484fe556046382" unitRef="_GBC_ae5c0d79e5694eb28ba1b8160e27a464" addr="T0R61C3S1_1" formatStyle="Comma"/>
        <m:placeholder xlName="_PLD_a3f7a78de9cc4a0c8e2b3e050895da67" wordText="（二）归属于少数股东的综合收益总额" indent="100" addr="T0R62C0S1_1"/>
        <m:item xlName="_GBC_bba03b5522814886a0f142aa099048a4" concept="clcid-ci-ar:FuZhu_GuiShuYuShaoShuGuDongDeZongHeShouYiZongE" label="附注_归属于少数股东的综合收益总额" addr="T0R62C1S1_1"/>
        <m:item xlName="_GBC_fe088df00bda4bb8984076d9439b78c3" concept="clcid-pte:GuiShuYuShaoShuGuDongDeZongHeShouYiZongE" label="归属于少数股东的综合收益总额" mulRef="_GBC_4fec24feb4834b768c484fe556046382" unitRef="_GBC_ae5c0d79e5694eb28ba1b8160e27a464" addr="T0R62C2S1_1" formatStyle="Comma"/>
        <m:item xlName="_GBC_8d1863c7c12b471f8c5dda8c8aa8bfdc" concept="clcid-pte:GuiShuYuShaoShuGuDongDeZongHeShouYiZongE" label="归属于少数股东的综合收益总额" periodRef="上年同期数" mulRef="_GBC_4fec24feb4834b768c484fe556046382" unitRef="_GBC_ae5c0d79e5694eb28ba1b8160e27a464" addr="T0R62C3S1_1" formatStyle="Comma"/>
        <m:placeholder xlName="_PLD_2faba48500f741229b3467bfe3ce2495" wordText="八、每股收益：" addr="T0R63C0S1_4"/>
        <m:placeholder xlName="_PLD_16d9b9d4e8c34e3b874fbdaedc915880" wordText="（一）基本每股收益(元/股)" indent="100" addr="T0R64C0S1_1"/>
        <m:item xlName="_GBC_1a0c5e83c63c47e89d8ca96e2f807a1e" concept="clcid-ci-ar:FuZhu_JiBenMeiGuShouYi" label="附注_基本每股收益" addr="T0R64C1S1_1"/>
        <m:item xlName="_GBC_2b9a8157880a41dd9d55db92bb36ebbb" concept="clcid-pte:JiBenMeiGuShouYi" label="基本每股收益" unitRef="_GBC_ae5c0d79e5694eb28ba1b8160e27a464" addr="T0R64C2S1_1" formatStyle="Comma" fixedType="EPS"/>
        <m:item xlName="_GBC_3381c7830a2544ef8341e246c1c2bc01" concept="clcid-pte:JiBenMeiGuShouYi" label="基本每股收益" periodRef="上年同期数" unitRef="_GBC_ae5c0d79e5694eb28ba1b8160e27a464" addr="T0R64C3S1_1" formatStyle="Comma" fixedType="EPS"/>
        <m:placeholder xlName="_PLD_ec4d9e148cba4e79bb3da0f8a0ddb92a" wordText="（二）稀释每股收益(元/股)" indent="100" addr="T0R65C0S1_1"/>
        <m:item xlName="_GBC_b8ce9dda0f774d09a2c79f0e30d3ff32" concept="clcid-ci-ar:FuZhu_XiShiMeiGuShouYi" label="附注_稀释每股收益" addr="T0R65C1S1_1"/>
        <m:item xlName="_GBC_56702e20d5d249328fbb05737c276f33" concept="clcid-pte:XiShiMeiGuShouYi" label="稀释每股收益" unitRef="_GBC_ae5c0d79e5694eb28ba1b8160e27a464" addr="T0R65C2S1_1" formatStyle="Comma" fixedType="EPS"/>
        <m:item xlName="_GBC_8ff7244387f54854a9bc164cf7fab862" concept="clcid-pte:XiShiMeiGuShouYi" label="稀释每股收益" periodRef="上年同期数" unitRef="_GBC_ae5c0d79e5694eb28ba1b8160e27a464" addr="T0R65C3S1_1" formatStyle="Comma" fixedType="EPS"/>
        <m:item xlName="_GBC_0d3f3004d896427080339d4b0e2d499c" concept="clcid-pte:TongYiKongZhiXiaDeQiYeHeBingZhongBeiHeBingFangZaiHeBingQianShiXianDeJingLiRun" label="同一控制下的企业合并中被合并方在合并前实现的净利润" formatStyle="Comma"/>
        <m:item xlName="_GBC_7e8cf02e71b9434883c60dcb8fb33270" concept="clcid-pte:TongYiKongZhiXiaDeQiYeHeBingZhongBeiHeBingFangZaiHeBingQianShiXianDeJingLiRun" label="同一控制下的企业合并中被合并方在合并前实现的净利润" periodRef="上年同期数" formatStyle="Comma"/>
        <m:item xlName="_GBC_84d2ead02dbe49699dff5184a9cd1bd3" concept="clcid-mr:GongSiFuZeRenXingMing" label="公司负责人姓名" binding="true"/>
        <m:item xlName="_GBC_e958f3d59232458da90c4799548d15ea" concept="clcid-mr:ZhuGuanKuaiJiGongZuoFuZeRenXingMing" label="主管会计工作负责人姓名" binding="true"/>
        <m:item xlName="_GBC_83eea96809554a8b86e8c53c6e3da040" concept="clcid-mr:KuaiJiJiGouFuZeRenXingMing" label="会计机构负责人姓名" binding="true"/>
        <m:tuple xlName="_TUP_3f527ccd0ea54d8cb0817d4cfd2639b4" concept="" label="项目归属于母公司其他权益工具持有者的净利润" xtype="item">
          <m:extendConcept standardLabel="项目归属于母公司其他权益工具持有者的净利润" shortLabel="归属于母公司其他权益工具持有者的净利润"/>
          <m:item xlName="_GBC_929a5ad455db4811b95ea19913c1f590" concept="clcid-ci-ar:ZiDingYiKeMuMingCheng" label="自定义科目名称" isCaption="true"/>
          <m:item xlName="VIRTUAL_GBC_c27edffffa6544abb6bd0fd1b148f408" concept="clcid-ci-ar:ZiDingYiKeMuWeiZhi" label="自定义科目位置"/>
          <m:item xlName="_GBC_0a982edf79284004b89c36947e68a496" pickName="" concept="">
            <m:extendConcept standardLabel="附注_合并利润表归属于母公司其他权益工具持有者的净利润" referenceConcept="clcid-ci-ar:FuZhu_ShaoShuGuDongSunYi"/>
          </m:item>
          <m:item xlName="_GBC_d10ddb8ba7ca439388c2bc0cfb19b7f1" pickName="" concept="" mulRef="_GBC_4fec24feb4834b768c484fe556046382" unitRef="_GBC_ae5c0d79e5694eb28ba1b8160e27a464" formatStyle="Comma">
            <m:extendConcept standardLabel="合并利润表归属于母公司其他权益工具持有者的净利润" referenceConcept="clcid-pte:ShaoShuGuDongSunYi"/>
          </m:item>
          <m:item xlName="_GBC_fdab281ee2e14b0f91ffa1c3c7c567d3" pickName="" concept="" periodRef="上年同期数" mulRef="_GBC_4fec24feb4834b768c484fe556046382" unitRef="_GBC_ae5c0d79e5694eb28ba1b8160e27a464" formatStyle="Comma">
            <m:extendConcept standardLabel="合并利润表归属于母公司其他权益工具持有者的净利润" referenceConcept="clcid-pte:ShaoShuGuDongSunYi"/>
          </m:item>
        </m:tuple>
        <m:tuple xlName="_TUP_6ee959d22f7e43069a9d372fe5461e3f" concept="" label="项目归属于母公司其他权益工具持有者的综合收益总额" xtype="item">
          <m:extendConcept standardLabel="项目归属于母公司其他权益工具持有者的综合收益总额" shortLabel="归属于母公司其他权益工具持有者的综合收益总额"/>
          <m:item xlName="_GBC_580e9c4858e74c9282dd080719a7228b" concept="clcid-ci-ar:ZiDingYiKeMuMingCheng" label="自定义科目名称" isCaption="true"/>
          <m:item xlName="VIRTUAL_GBC_434caeb5fa644357809199b45301d246" concept="clcid-ci-ar:ZiDingYiKeMuWeiZhi" label="自定义科目位置"/>
          <m:item xlName="_GBC_1b384bfa05544599805dbfc73277785f" pickName="" concept="">
            <m:extendConcept standardLabel="附注_合并利润表归属于母公司其他权益工具持有者的综合收益总额" referenceConcept="clcid-ci-ar:FuZhu_GuiShuYuShaoShuGuDongDeZongHeShouYiZongE"/>
          </m:item>
          <m:item xlName="_GBC_b0ccaa3847e6498487cc94270094d822" pickName="" concept="" mulRef="_GBC_4fec24feb4834b768c484fe556046382" unitRef="_GBC_ae5c0d79e5694eb28ba1b8160e27a464" formatStyle="Comma">
            <m:extendConcept standardLabel="合并利润表归属于母公司其他权益工具持有者的综合收益总额" referenceConcept="clcid-pte:GuiShuYuShaoShuGuDongDeZongHeShouYiZongE"/>
          </m:item>
          <m:item xlName="_GBC_1ccafa70bd8043989b4c9dd0bdeb8738" pickName="" concept="" periodRef="上年同期数" mulRef="_GBC_4fec24feb4834b768c484fe556046382" unitRef="_GBC_ae5c0d79e5694eb28ba1b8160e27a464" formatStyle="Comma">
            <m:extendConcept standardLabel="合并利润表归属于母公司其他权益工具持有者的综合收益总额" referenceConcept="clcid-pte:GuiShuYuShaoShuGuDongDeZongHeShouYiZongE"/>
          </m:item>
        </m:tuple>
        <m:tuple xlName="_TUP_f25aa17e8f774c179d737ee102a1256a" concept="" label="项目2.归属于母公司其他权益工具持有者的净利润" retag="true" xtype="item">
          <m:extendConcept standardLabel="项目2.归属于母公司其他权益工具持有者的净利润" shortLabel="2.归属于母公司其他权益工具持有者的净利润"/>
          <m:item xlName="_GBC_d23333b9eafc41c18e7628456e2b12d0" retag="true" concept="clcid-ci-ar:ZiDingYiKeMuMingCheng" label="自定义科目名称" isCaption="true"/>
          <m:item xlName="VIRTUAL__GBC_daf472b2d5ab431fa5a746f6898fa534" concept="clcid-ci-ar:ZiDingYiKeMuWeiZhi" label="自定义科目位置"/>
          <m:item xlName="_GBC_3de571f3aaf44e688d020dbca9cd669c" retag="true" concept="" mulRef="_GBC_4fec24feb4834b768c484fe556046382" unitRef="_GBC_ae5c0d79e5694eb28ba1b8160e27a464" formatStyle="Comma">
            <m:extendConcept standardLabel="合并利润表2.归属于母公司其他权益工具持有者的净利润" shortLabel="2.归属于母公司其他权益工具持有者的净利润" referenceConcept="clcid-pte:GuiShuYuMuGongSiSuoYouZheDeJingLiRun"/>
          </m:item>
          <m:item xlName="_GBC_36c8beb50a78456d8d8becf2e4c60a0c" retag="true" concept="" periodRef="上年同期数" mulRef="_GBC_4fec24feb4834b768c484fe556046382" unitRef="_GBC_ae5c0d79e5694eb28ba1b8160e27a464" formatStyle="Comma">
            <m:extendConcept standardLabel="合并利润表2.归属于母公司其他权益工具持有者的净利润" shortLabel="2.归属于母公司其他权益工具持有者的净利润" referenceConcept="clcid-pte:GuiShuYuMuGongSiSuoYouZheDeJingLiRun"/>
          </m:item>
        </m:tuple>
        <m:tuple xlName="_TUP_c209b025122b4c4c9704dc16d6d0621b" concept="" label="项目(二)归属于母公司其他权益工具持有者的综合收益总额" retag="true" xtype="item">
          <m:extendConcept standardLabel="项目(二)归属于母公司其他权益工具持有者的综合收益总额" shortLabel="（二）归属于母公司其他权益工具持有者的综合收益总额"/>
          <m:item xlName="_GBC_bcbcaa2b15ac480996dae1fd8288a156" retag="true" concept="clcid-ci-ar:ZiDingYiKeMuMingCheng" label="自定义科目名称" isCaption="true"/>
          <m:item xlName="VIRTUAL__GBC_1a1f9380b900490994268f48c2e4213e" concept="clcid-ci-ar:ZiDingYiKeMuWeiZhi" label="自定义科目位置"/>
          <m:item xlName="_GBC_04851731a0d341a08a7a2a41ab9d7f1c" retag="true" concept="" mulRef="_GBC_4fec24feb4834b768c484fe556046382" unitRef="_GBC_ae5c0d79e5694eb28ba1b8160e27a464" formatStyle="Comma">
            <m:extendConcept standardLabel="合并利润表(二)归属于母公司其他权益工具持有者的综合收益总额" shortLabel="（二）归属于母公司其他权益工具持有者的综合收益总额" referenceConcept="clcid-pte:GuiShuYuMuGongSiSuoYouZheDeZongHeShouYiZongE"/>
          </m:item>
          <m:item xlName="_GBC_db5bff1ecc984dae8156fc5fc32b7525" retag="true" concept="" periodRef="上年同期数" mulRef="_GBC_4fec24feb4834b768c484fe556046382" unitRef="_GBC_ae5c0d79e5694eb28ba1b8160e27a464" formatStyle="Comma">
            <m:extendConcept standardLabel="合并利润表(二)归属于母公司其他权益工具持有者的综合收益总额" shortLabel="（二）归属于母公司其他权益工具持有者的综合收益总额" referenceConcept="clcid-pte:GuiShuYuMuGongSiSuoYouZheDeZongHeShouYiZongE"/>
          </m:item>
        </m:tuple>
        <m:tuple xlName="_TUP_7258268174974f7fada61ece4f28071b" concept="" label="项目3.归属于母公司其他权益工具持有者的净利润" xtype="item">
          <m:extendConcept standardLabel="项目3.归属于母公司其他权益工具持有者的净利润" shortLabel="3.归属于母公司其他权益工具持有者的净利润"/>
          <m:item xlName="_GBC_afa3ef15358049c5aab638ded69316f6" concept="clcid-ci-ar:ZiDingYiKeMuMingCheng" label="自定义科目名称" isCaption="true"/>
          <m:item xlName="VIRTUAL_GBC_7789843f59ab4bfc82365e6dbe6077fb" concept="clcid-ci-ar:ZiDingYiKeMuWeiZhi" label="自定义科目位置"/>
          <m:item xlName="_GBC_f25da4c875034e0e87f42df7be27500c" pickName="" concept="">
            <m:extendConcept standardLabel="附注_合并利润表3.归属于母公司其他权益工具持有者的净利润" referenceConcept="clcid-ci-ar:FuZhu_ShaoShuGuDongSunYi"/>
          </m:item>
          <m:item xlName="_GBC_3381866bbc8e4212a6017a7f135a9686" pickName="" concept="" mulRef="_GBC_4fec24feb4834b768c484fe556046382" unitRef="_GBC_ae5c0d79e5694eb28ba1b8160e27a464" formatStyle="Comma">
            <m:extendConcept standardLabel="合并利润表3.归属于母公司其他权益工具持有者的净利润" referenceConcept="clcid-pte:ShaoShuGuDongSunYi"/>
          </m:item>
          <m:item xlName="_GBC_388ec335af70482ca0cc30077382307a" pickName="" concept="" periodRef="上年同期数" mulRef="_GBC_4fec24feb4834b768c484fe556046382" unitRef="_GBC_ae5c0d79e5694eb28ba1b8160e27a464" formatStyle="Comma">
            <m:extendConcept standardLabel="合并利润表3.归属于母公司其他权益工具持有者的净利润" referenceConcept="clcid-pte:ShaoShuGuDongSunYi"/>
          </m:item>
        </m:tuple>
        <m:tuple xlName="_TUP_cf47eec94c064c9483fde0eec40545db" concept="" label="项目2.归属于母公司其他权益工具持有者的净利润" xtype="item">
          <m:extendConcept standardLabel="项目2.归属于母公司其他权益工具持有者的净利润" shortLabel="2.归属于母公司其他权益工具持有者的净利润"/>
          <m:item xlName="_GBC_5215297807074a89a6c6efb062712160" concept="clcid-ci-ar:ZiDingYiKeMuMingCheng" label="自定义科目名称" isCaption="true"/>
          <m:item xlName="VIRTUAL_GBC_a629e72bf9304173b8656893dd4566b2" concept="clcid-ci-ar:ZiDingYiKeMuWeiZhi" label="自定义科目位置"/>
          <m:item xlName="_GBC_a753df69d8a540c092916e9d25e6d43a" pickName="" concept="">
            <m:extendConcept standardLabel="附注_合并利润表2.归属于母公司其他权益工具持有者的净利润" referenceConcept="clcid-ci-ar:FuZhu_ShaoShuGuDongSunYi"/>
          </m:item>
          <m:item xlName="_GBC_34cf563afa074133a5863e13b27c3c21" pickName="" concept="" mulRef="_GBC_4fec24feb4834b768c484fe556046382" unitRef="_GBC_ae5c0d79e5694eb28ba1b8160e27a464" formatStyle="Comma">
            <m:extendConcept standardLabel="合并利润表2.归属于母公司其他权益工具持有者的净利润" referenceConcept="clcid-pte:ShaoShuGuDongSunYi"/>
          </m:item>
          <m:item xlName="_GBC_fb8126b2bb3543b397b756c65ce456f9" pickName="" concept="" periodRef="上年同期数" mulRef="_GBC_4fec24feb4834b768c484fe556046382" unitRef="_GBC_ae5c0d79e5694eb28ba1b8160e27a464" formatStyle="Comma">
            <m:extendConcept standardLabel="合并利润表2.归属于母公司其他权益工具持有者的净利润" referenceConcept="clcid-pte:ShaoShuGuDongSunYi"/>
          </m:item>
        </m:tuple>
        <m:tuple xlName="_TUP_99cdc96d5a3847ae97ceb7c046a717b5" concept="" label="项目(二)归属于母公司其他权益工具持有者的综合收益总额" xtype="item">
          <m:extendConcept standardLabel="项目(二)归属于母公司其他权益工具持有者的综合收益总额" shortLabel="（二）归属于母公司其他权益工具持有者的综合收益总额"/>
          <m:item xlName="_GBC_fc8ccfee5a474867901f03f0c0ebf8d3" concept="clcid-ci-ar:ZiDingYiKeMuMingCheng" label="自定义科目名称" isCaption="true"/>
          <m:item xlName="VIRTUAL_GBC_de21207ce1d148b7b6719b943a09624b" concept="clcid-ci-ar:ZiDingYiKeMuWeiZhi" label="自定义科目位置"/>
          <m:item xlName="_GBC_02f73a68640f48fdb98649dec3c6d863" pickName="" concept="">
            <m:extendConcept standardLabel="附注_合并利润表(二)归属于母公司其他权益工具持有者的综合收益总额" referenceConcept="clcid-ci-ar:FuZhu_GuiShuYuShaoShuGuDongDeZongHeShouYiZongE"/>
          </m:item>
          <m:item xlName="_GBC_58a26cc3e272475bac44710e73027af1" pickName="" concept="" mulRef="_GBC_4fec24feb4834b768c484fe556046382" unitRef="_GBC_ae5c0d79e5694eb28ba1b8160e27a464" formatStyle="Comma">
            <m:extendConcept standardLabel="合并利润表(二)归属于母公司其他权益工具持有者的综合收益总额" referenceConcept="clcid-pte:GuiShuYuShaoShuGuDongDeZongHeShouYiZongE"/>
          </m:item>
          <m:item xlName="_GBC_956d13fe011949e78586fb10fb5ed0e9" pickName="" concept="" periodRef="上年同期数" mulRef="_GBC_4fec24feb4834b768c484fe556046382" unitRef="_GBC_ae5c0d79e5694eb28ba1b8160e27a464" formatStyle="Comma">
            <m:extendConcept standardLabel="合并利润表(二)归属于母公司其他权益工具持有者的综合收益总额" referenceConcept="clcid-pte:GuiShuYuShaoShuGuDongDeZongHeShouYiZongE"/>
          </m:item>
        </m:tuple>
        <m:rowModel locationConcept="clcid-ci-ar:ZiDingYiKeMuWeiZhi" labelConcept="clcid-ci-ar:ZiDingYiKeMuMingCheng" conceptPrefix="合并利润表" presentationRole="http://www.xbrl-cn.org/cn/lcid/lr/role/ConsolidatedIncomeStatement" presentationParentConcept="clcid-pte:LiRunBiao" tuplePrefix="项目"/>
      </m:region>
      <m:region xlName="_GBC_fab740d2e6854481af171030c14673b7" title="母公司利润表&#10;" helpId="112001001" helpText="注：编制合并报表的公司无需在母公司利润表中披露基本每股收益和稀释每股收益。">
        <m:item xlName="_GBC_955732cd74ff4f1f9b098e70c1b85c60" indRef="89" concept="clcid-ci-ar:DanWeiMuGongSiLiRunBiao" label="单位：母公司利润表" selectOptions="_buildInScales" controlType="Combobox" cellType="Scale"/>
        <m:item xlName="_GBC_125a2547934143ccb384434361f57d37" indRef="90" concept="clcid-ci-ar:BiZhongMuGongSiLiRunBiao" label="币种：母公司利润表" selectOptions="_buildInISO4217" controlType="Combobox" cellType="Measure"/>
        <m:placeholder xlName="_PLD_2746da9ce382479bbcc34de94cc91419" wordText="项目" indent="19" addr="T1R0C0S1_1"/>
        <m:placeholder xlName="_PLD_353d1b95815e4cb9bce619c23384aae7" wordText="附注" addr="T1R0C1S1_1"/>
        <m:placeholder xlName="_PLD_aa6da19e961f4f0aa9c1f47a5d8bdb21" wordText="2023年半年度" addr="T1R0C2S1_1"/>
        <m:placeholder xlName="_PLD_fd6f3d63a7544a05b6f572cee64f39fb" wordText="2022年半年度" addr="T1R0C3S1_1"/>
        <m:placeholder xlName="_PLD_064cf96d2f1c4cf0927ae1121cfbe089" wordText="一、营业收入" addr="T1R1C0S1_1"/>
        <m:item xlName="_GBC_1ab8209ccc534dd28fb6b9da656d4f49" concept="clcid-ci-ar:FuZhu_YingYeShouRu" label="附注_营业收入" addr="T1R1C1S1_1">
          <m:axisValue occRef="母公司"/>
        </m:item>
        <m:item xlName="_GBC_55ca505945d4467eaa89949126ca6144" concept="clcid-pte:YingYeShouRu" label="营业收入" mulRef="_GBC_955732cd74ff4f1f9b098e70c1b85c60" unitRef="_GBC_125a2547934143ccb384434361f57d37" addr="T1R1C2S1_1" formatStyle="Comma">
          <m:axisValue occRef="母公司"/>
        </m:item>
        <m:item xlName="_GBC_ea59139a85d743249d34885c76abed75" concept="clcid-pte:YingYeShouRu" label="营业收入" periodRef="上年同期数" mulRef="_GBC_955732cd74ff4f1f9b098e70c1b85c60" unitRef="_GBC_125a2547934143ccb384434361f57d37" addr="T1R1C3S1_1" formatStyle="Comma">
          <m:axisValue occRef="母公司"/>
        </m:item>
        <m:placeholder xlName="_PLD_d41d97fe7493434d8f6c5694b95ac217" wordText="减：营业成本" indent="100" addr="T1R2C0S1_1"/>
        <m:item xlName="_GBC_0ace0936759a419198ca717b9a1ce5b1" concept="clcid-ci-ar:FuZhu_YingYeChengBen" label="附注_营业成本" addr="T1R2C1S1_1">
          <m:axisValue occRef="母公司"/>
        </m:item>
        <m:item xlName="_GBC_4e2702e8ca7c4feb9292103f65d52137" concept="clcid-pte:YingYeChengBen" label="营业成本" mulRef="_GBC_955732cd74ff4f1f9b098e70c1b85c60" unitRef="_GBC_125a2547934143ccb384434361f57d37" addr="T1R2C2S1_1" baseScale="-1" formatStyle="Comma">
          <m:axisValue occRef="母公司"/>
        </m:item>
        <m:item xlName="_GBC_ecf95d0826604cfc9ca2724b206fe6bd" concept="clcid-pte:YingYeChengBen" label="营业成本" periodRef="上年同期数" mulRef="_GBC_955732cd74ff4f1f9b098e70c1b85c60" unitRef="_GBC_125a2547934143ccb384434361f57d37" addr="T1R2C3S1_1" baseScale="-1" formatStyle="Comma">
          <m:axisValue occRef="母公司"/>
        </m:item>
        <m:placeholder xlName="_PLD_310d343d286f48cca8b82d2d78d02a7b" wordText="税金及附加" indent="300" addr="T1R3C0S1_1"/>
        <m:item xlName="_GBC_a2747725905949b7b54fc9d7a96589d3" concept="clcid-ci-ar:FuZhu_YingYeShuiJinJiFuJia" label="附注_税金及附加" addr="T1R3C1S1_1">
          <m:axisValue occRef="母公司"/>
        </m:item>
        <m:item xlName="_GBC_959d7bac534a4854b664bb96f726260e" concept="clcid-pte:YingYeShuiJinJiFuJia" label="税金及附加" mulRef="_GBC_955732cd74ff4f1f9b098e70c1b85c60" unitRef="_GBC_125a2547934143ccb384434361f57d37" addr="T1R3C2S1_1" baseScale="-1" formatStyle="Comma">
          <m:axisValue occRef="母公司"/>
        </m:item>
        <m:item xlName="_GBC_e20824e9b3a8448398bd4e5fdda36e30" concept="clcid-pte:YingYeShuiJinJiFuJia" label="税金及附加" periodRef="上年同期数" mulRef="_GBC_955732cd74ff4f1f9b098e70c1b85c60" unitRef="_GBC_125a2547934143ccb384434361f57d37" addr="T1R3C3S1_1" baseScale="-1" formatStyle="Comma">
          <m:axisValue occRef="母公司"/>
        </m:item>
        <m:placeholder xlName="_PLD_991800b670f245798d81fceda321ab53" wordText="销售费用" indent="300" addr="T1R4C0S1_1"/>
        <m:item xlName="_GBC_e1d5162765274013a0ca542698b8c44e" concept="clcid-ci-ar:FuZhu_XiaoShouFeiYong" label="附注_销售费用" addr="T1R4C1S1_1">
          <m:axisValue occRef="母公司"/>
        </m:item>
        <m:item xlName="_GBC_71183df563bd4078b98ccda23ca9d76e" concept="clcid-pte:XiaoShouFeiYong" label="销售费用" mulRef="_GBC_955732cd74ff4f1f9b098e70c1b85c60" unitRef="_GBC_125a2547934143ccb384434361f57d37" addr="T1R4C2S1_1" baseScale="-1" formatStyle="Comma">
          <m:axisValue occRef="母公司"/>
        </m:item>
        <m:item xlName="_GBC_48b2598fef3f4d0fb8dda0d63e58f472" concept="clcid-pte:XiaoShouFeiYong" label="销售费用" periodRef="上年同期数" mulRef="_GBC_955732cd74ff4f1f9b098e70c1b85c60" unitRef="_GBC_125a2547934143ccb384434361f57d37" addr="T1R4C3S1_1" baseScale="-1" formatStyle="Comma">
          <m:axisValue occRef="母公司"/>
        </m:item>
        <m:placeholder xlName="_PLD_a0661646595b49dea568535f2a30949c" wordText="管理费用" indent="300" addr="T1R5C0S1_1"/>
        <m:item xlName="_GBC_6f9bde9228d14740a0555e3cba07276c" concept="clcid-ci-ar:FuZhu_GuanLiFeiYong" label="附注_管理费用" addr="T1R5C1S1_1">
          <m:axisValue occRef="母公司"/>
        </m:item>
        <m:item xlName="_GBC_f9a627f6cba543bd940d82496138bfcd" concept="clcid-pte:GuanLiFeiYong" label="管理费用" mulRef="_GBC_955732cd74ff4f1f9b098e70c1b85c60" unitRef="_GBC_125a2547934143ccb384434361f57d37" addr="T1R5C2S1_1" baseScale="-1" formatStyle="Comma">
          <m:axisValue occRef="母公司"/>
        </m:item>
        <m:item xlName="_GBC_1c4ac06f766c402b9c1ea8e33e8aa7b0" concept="clcid-pte:GuanLiFeiYong" label="管理费用" periodRef="上年同期数" mulRef="_GBC_955732cd74ff4f1f9b098e70c1b85c60" unitRef="_GBC_125a2547934143ccb384434361f57d37" addr="T1R5C3S1_1" baseScale="-1" formatStyle="Comma">
          <m:axisValue occRef="母公司"/>
        </m:item>
        <m:placeholder xlName="_PLD_69852ba9e79247049df3a6bc9ca51ca0" wordText="研发费用" indent="300" addr="T1R6C0S1_1"/>
        <m:item xlName="_GBC_c613614b311a4cdf877a9350e37aee98" concept="clcid-ci-ar:FuZhu_YanFaFeiYong" label="附注_研发费用" addr="T1R6C1S1_1">
          <m:axisValue occRef="母公司"/>
        </m:item>
        <m:item xlName="_GBC_4bfe7fe528f64a5d983b52fe4d3f65c1" concept="clcid-pte:YanFaFeiYong" label="研发费用" mulRef="_GBC_955732cd74ff4f1f9b098e70c1b85c60" unitRef="_GBC_125a2547934143ccb384434361f57d37" addr="T1R6C2S1_1" baseScale="-1" formatStyle="Comma">
          <m:axisValue occRef="母公司"/>
        </m:item>
        <m:item xlName="_GBC_16b1ea447a29482cb7f09a3f4d9e11e9" concept="clcid-pte:YanFaFeiYong" label="研发费用" periodRef="上年同期数" mulRef="_GBC_955732cd74ff4f1f9b098e70c1b85c60" unitRef="_GBC_125a2547934143ccb384434361f57d37" addr="T1R6C3S1_1" baseScale="-1" formatStyle="Comma">
          <m:axisValue occRef="母公司"/>
        </m:item>
        <m:placeholder xlName="_PLD_8d80afb387a7412cacbf6e23bf7e765d" wordText="财务费用" indent="300" addr="T1R7C0S1_1"/>
        <m:item xlName="_GBC_1465decd801d40d29af8154ca3bcd235" concept="clcid-ci-ar:FuZhu_CaiWuFeiYong" label="附注_财务费用" addr="T1R7C1S1_1">
          <m:axisValue occRef="母公司"/>
        </m:item>
        <m:item xlName="_GBC_14605160259742fd9e7c9c55340f8bf8" concept="clcid-pte:CaiWuFeiYong" label="财务费用" mulRef="_GBC_955732cd74ff4f1f9b098e70c1b85c60" unitRef="_GBC_125a2547934143ccb384434361f57d37" addr="T1R7C2S1_1" baseScale="-1" formatStyle="Comma">
          <m:axisValue occRef="母公司"/>
        </m:item>
        <m:item xlName="_GBC_d05b55aca5f94690be571bccfb07803a" concept="clcid-pte:CaiWuFeiYong" label="财务费用" periodRef="上年同期数" mulRef="_GBC_955732cd74ff4f1f9b098e70c1b85c60" unitRef="_GBC_125a2547934143ccb384434361f57d37" addr="T1R7C3S1_1" baseScale="-1" formatStyle="Comma">
          <m:axisValue occRef="母公司"/>
        </m:item>
        <m:placeholder xlName="_PLD_4b579b7cdda84cef98e4af379ba33cb2" wordText="其中：利息费用" indent="600" addr="T1R8C0S1_1"/>
        <m:item xlName="_GBC_591d621f51e741a89481ba93216546a9" concept="clcid-ci-ar:FuZhu_CaiWuFeiYongLiXiFeiYong" label="附注_财务费用利息费用" addr="T1R8C1S1_1">
          <m:axisValue occRef="母公司"/>
        </m:item>
        <m:item xlName="_GBC_8100ac481bde43d88c0e52cade6ac022" concept="clcid-pte:LiXiZhiChu" label="利息支出" mulRef="_GBC_955732cd74ff4f1f9b098e70c1b85c60" unitRef="_GBC_125a2547934143ccb384434361f57d37" addr="T1R8C2S1_1" baseScale="-1" formatStyle="Comma">
          <m:axisValue occRef="母公司"/>
        </m:item>
        <m:item xlName="_GBC_28200eb3a08a40bd82d5eb76b0d0ec88" concept="clcid-pte:LiXiZhiChu" label="利息支出" periodRef="上年同期数" mulRef="_GBC_955732cd74ff4f1f9b098e70c1b85c60" unitRef="_GBC_125a2547934143ccb384434361f57d37" addr="T1R8C3S1_1" baseScale="-1" formatStyle="Comma">
          <m:axisValue occRef="母公司"/>
        </m:item>
        <m:placeholder xlName="_PLD_9935359bdf6941b58ec89fcbf4066014" wordText="利息收入" indent="600" addr="T1R9C0S1_1"/>
        <m:item xlName="_GBC_dd7054df547346978c77270f0a9e128f" concept="clcid-ci-ar:FuZhu_CaiWuFeiYongLiXiShouRu" label="附注_财务费用利息收入" addr="T1R9C1S1_1">
          <m:axisValue occRef="母公司"/>
        </m:item>
        <m:item xlName="_GBC_b7c6876121614fa697a902c7cd13282c" concept="clcid-pte:LiXiShouRu" label="利息收入" mulRef="_GBC_955732cd74ff4f1f9b098e70c1b85c60" unitRef="_GBC_125a2547934143ccb384434361f57d37" addr="T1R9C2S1_1" formatStyle="Comma">
          <m:axisValue occRef="母公司"/>
        </m:item>
        <m:item xlName="_GBC_ffff1165b5c64bb3b4c3d73629548966" concept="clcid-pte:LiXiShouRu" label="利息收入" periodRef="上年同期数" mulRef="_GBC_955732cd74ff4f1f9b098e70c1b85c60" unitRef="_GBC_125a2547934143ccb384434361f57d37" addr="T1R9C3S1_1" formatStyle="Comma">
          <m:axisValue occRef="母公司"/>
        </m:item>
        <m:placeholder xlName="_PLD_57b368ef9f204da9ac5a6e42b07d2fda" wordText="加：其他收益" indent="100" addr="T1R10C0S1_1"/>
        <m:item xlName="_GBC_6e06ae5ab928468eb2ba9a4e691009c7" concept="clcid-ci-ar:FuZhuQiTaShouYi" label="附注_其他收益" addr="T1R10C1S1_1">
          <m:axisValue occRef="母公司"/>
        </m:item>
        <m:item xlName="_GBC_82a51c024dd445248edf5efde8a3acc7" concept="clcid-pte:QiTaShouYi" label="其他收益" mulRef="_GBC_955732cd74ff4f1f9b098e70c1b85c60" unitRef="_GBC_125a2547934143ccb384434361f57d37" addr="T1R10C2S1_1" formatStyle="Comma">
          <m:axisValue occRef="母公司"/>
        </m:item>
        <m:item xlName="_GBC_6a2975a8be944524834ad31f1996eb3a" concept="clcid-pte:QiTaShouYi" label="其他收益" periodRef="上年同期数" mulRef="_GBC_955732cd74ff4f1f9b098e70c1b85c60" unitRef="_GBC_125a2547934143ccb384434361f57d37" addr="T1R10C3S1_1" formatStyle="Comma">
          <m:axisValue occRef="母公司"/>
        </m:item>
        <m:placeholder xlName="_PLD_16fd18eb434d4828b40716d17c61b068" wordText="投资收益（损失以“－”号填列）" indent="300" addr="T1R11C0S1_1"/>
        <m:item xlName="_GBC_343497aeb0604caf96392f205f502f33" concept="clcid-ci-ar:FuZhu_TouZiShouYi" label="附注_投资收益" addr="T1R11C1S1_1">
          <m:axisValue occRef="母公司"/>
        </m:item>
        <m:item xlName="_GBC_4e57c666ba3f4754a165063ee7d18a46" concept="clcid-pte:TouZiShouYi" label="投资收益" mulRef="_GBC_955732cd74ff4f1f9b098e70c1b85c60" unitRef="_GBC_125a2547934143ccb384434361f57d37" addr="T1R11C2S1_1" formatStyle="Comma">
          <m:axisValue occRef="母公司"/>
        </m:item>
        <m:item xlName="_GBC_3a41294618f0422fafa3f2837693211d" concept="clcid-pte:TouZiShouYi" label="投资收益" periodRef="上年同期数" mulRef="_GBC_955732cd74ff4f1f9b098e70c1b85c60" unitRef="_GBC_125a2547934143ccb384434361f57d37" addr="T1R11C3S1_1" formatStyle="Comma">
          <m:axisValue occRef="母公司"/>
        </m:item>
        <m:placeholder xlName="_PLD_2bea34f5113c449e9a05ba733de8a76c" wordText="其中：对联营企业和合营企业的投资收益" indent="600" addr="T1R12C0S1_1"/>
        <m:item xlName="_GBC_e7a093dee41a40ce912d6ad7b9c09077" concept="clcid-ci-ar:FuZhu_DuiLianYingQiYeHeHeYingQiYeDeTouZiShouYi" label="附注_对联营企业和合营企业的投资收益" addr="T1R12C1S1_1">
          <m:axisValue occRef="母公司"/>
        </m:item>
        <m:item xlName="_GBC_3461a5afdc344c64b866c3e1d6150c71" concept="clcid-pte:DuiLianYingQiYeHeHeYingQiYeDeTouZiShouYi" label="对联营企业和合营企业的投资收益" mulRef="_GBC_955732cd74ff4f1f9b098e70c1b85c60" unitRef="_GBC_125a2547934143ccb384434361f57d37" addr="T1R12C2S1_1" formatStyle="Comma">
          <m:axisValue occRef="母公司"/>
        </m:item>
        <m:item xlName="_GBC_e02d3146a9d54de39b3687b4d5cb4bf7" concept="clcid-pte:DuiLianYingQiYeHeHeYingQiYeDeTouZiShouYi" label="对联营企业和合营企业的投资收益" periodRef="上年同期数" mulRef="_GBC_955732cd74ff4f1f9b098e70c1b85c60" unitRef="_GBC_125a2547934143ccb384434361f57d37" addr="T1R12C3S1_1" formatStyle="Comma">
          <m:axisValue occRef="母公司"/>
        </m:item>
        <m:placeholder xlName="_PLD_a015afefb87543308b983fbb12c6212d" wordText="以摊余成本计量的金融资产终止确认收益（损失以“-”号填列）" indent="550" addr="T1R13C0S1_1"/>
        <m:item xlName="_GBC_b2e0dd2d14374b979ec1272f8099c2ee" concept="clcid-ci-ar:FuZhu_YiTanYuChengBenJiLiangDeJinRongZiChanZhongZhiQueRenChanShengDeShouYi" label="附注_以摊余成本计量的金融资产终止确认产生的收益" addr="T1R13C1S1_1">
          <m:axisValue occRef="母公司"/>
        </m:item>
        <m:item xlName="_GBC_51f1492ec9f841059882a5586176faa2" concept="clcid-pte:YiTanYuChengBenJiLiangDeJinRongZiChanZhongZhiQueRenChanShengDeShouYi" label="以摊余成本计量的金融资产终止确认产生的收益" mulRef="_GBC_955732cd74ff4f1f9b098e70c1b85c60" unitRef="_GBC_125a2547934143ccb384434361f57d37" addr="T1R13C2S1_1" formatStyle="Comma">
          <m:axisValue occRef="母公司"/>
        </m:item>
        <m:item xlName="_GBC_d049963aef264af8859b3b94eb6941e8" concept="clcid-pte:YiTanYuChengBenJiLiangDeJinRongZiChanZhongZhiQueRenChanShengDeShouYi" label="以摊余成本计量的金融资产终止确认产生的收益" periodRef="上年同期数" mulRef="_GBC_955732cd74ff4f1f9b098e70c1b85c60" unitRef="_GBC_125a2547934143ccb384434361f57d37" addr="T1R13C3S1_1" formatStyle="Comma">
          <m:axisValue occRef="母公司"/>
        </m:item>
        <m:placeholder xlName="_PLD_dbcb300b294e416d865b2977935ac43a" wordText="净敞口套期收益（损失以“-”号填列）" indent="300" addr="T1R14C0S1_1"/>
        <m:item xlName="_GBC_fe0dd374b780460aa1ab67dd00e9ecea" concept="clcid-ci-ar:FuZhu_JingChangKouTaoQiShouYi" label="附注_净敞口套期收益" addr="T1R14C1S1_1">
          <m:axisValue occRef="母公司"/>
        </m:item>
        <m:item xlName="_GBC_df471246219649bca0cb69a055a54c87" concept="clcid-pte:JingChangKouTaoQiShouYi" label="净敞口套期收益" mulRef="_GBC_955732cd74ff4f1f9b098e70c1b85c60" unitRef="_GBC_125a2547934143ccb384434361f57d37" addr="T1R14C2S1_1" formatStyle="Comma">
          <m:axisValue occRef="母公司"/>
        </m:item>
        <m:item xlName="_GBC_2caa33dca5fc4d668734d3180b67a30c" concept="clcid-pte:JingChangKouTaoQiShouYi" label="净敞口套期收益" periodRef="上年同期数" mulRef="_GBC_955732cd74ff4f1f9b098e70c1b85c60" unitRef="_GBC_125a2547934143ccb384434361f57d37" addr="T1R14C3S1_1" formatStyle="Comma">
          <m:axisValue occRef="母公司"/>
        </m:item>
        <m:placeholder xlName="_PLD_96dddecaabdb4c699853ad79ff8ce0c7" wordText="公允价值变动收益（损失以“－”号填列）" indent="300" addr="T1R15C0S1_1"/>
        <m:item xlName="_GBC_2fd91b609c104e75857bfa043653e61f" concept="clcid-ci-ar:FuZhu_GongYunJiaZhiBianDongShouYi" label="附注_公允价值变动收益" addr="T1R15C1S1_1">
          <m:axisValue occRef="母公司"/>
        </m:item>
        <m:item xlName="_GBC_0fae486b92404d3eb306fc9568d85fa9" concept="clcid-pte:GongYunJiaZhiBianDongShouYi" label="公允价值变动收益" mulRef="_GBC_955732cd74ff4f1f9b098e70c1b85c60" unitRef="_GBC_125a2547934143ccb384434361f57d37" addr="T1R15C2S1_1" formatStyle="Comma">
          <m:axisValue occRef="母公司"/>
        </m:item>
        <m:item xlName="_GBC_f25f5c7b12f14eec81b3612f8f41eac6" concept="clcid-pte:GongYunJiaZhiBianDongShouYi" label="公允价值变动收益" periodRef="上年同期数" mulRef="_GBC_955732cd74ff4f1f9b098e70c1b85c60" unitRef="_GBC_125a2547934143ccb384434361f57d37" addr="T1R15C3S1_1" formatStyle="Comma">
          <m:axisValue occRef="母公司"/>
        </m:item>
        <m:placeholder xlName="_PLD_82ea4b74b8c74945853430e402c6958a" wordText="信用减值损失（损失以“-”号填列）" indent="300" addr="T1R16C0S1_1"/>
        <m:item xlName="_GBC_eaa0549571b14b639a7b997eafcee4cf" concept="clcid-ci-ar:FuZhu_XinYongJianZhiSunShi" label="附注_信用减值损失" addr="T1R16C1S1_1">
          <m:axisValue occRef="母公司"/>
        </m:item>
        <m:item xlName="_GBC_cd8840ba99c34734972fed729a7e596f" concept="clcid-pte:XinYongJianZhiSunShi" label="信用减值损失" mulRef="_GBC_955732cd74ff4f1f9b098e70c1b85c60" unitRef="_GBC_125a2547934143ccb384434361f57d37" addr="T1R16C2S1_1" formatStyle="Comma" keyAction="88">
          <m:axisValue occRef="母公司"/>
        </m:item>
        <m:item xlName="_GBC_c0b35ba812a247f7a16b3fe3c04243f9" concept="clcid-pte:XinYongJianZhiSunShi" label="信用减值损失" periodRef="上年同期数" mulRef="_GBC_955732cd74ff4f1f9b098e70c1b85c60" unitRef="_GBC_125a2547934143ccb384434361f57d37" addr="T1R16C3S1_1" formatStyle="Comma" keyAction="88">
          <m:axisValue occRef="母公司"/>
        </m:item>
        <m:placeholder xlName="_PLD_16430dcabb93489da19dede13b679da4" wordText="资产减值损失（损失以“-”号填列）" indent="300" addr="T1R17C0S1_1"/>
        <m:item xlName="_GBC_9b180baf4a6a4ea69be3e171a25a1b0f" concept="clcid-ci-ar:FuZhu_ZiChanJianZhiSunShi" label="附注_资产减值损失" addr="T1R17C1S1_1">
          <m:axisValue occRef="母公司"/>
        </m:item>
        <m:item xlName="_GBC_a2148ea37d7a40c6bd71500e3d30ba82" concept="clcid-pte:ZiChanJianZhiSunShi" label="资产减值损失" mulRef="_GBC_955732cd74ff4f1f9b098e70c1b85c60" unitRef="_GBC_125a2547934143ccb384434361f57d37" addr="T1R17C2S1_1" formatStyle="Comma" keyAction="88">
          <m:axisValue occRef="母公司"/>
        </m:item>
        <m:item xlName="_GBC_f81bc1d92cca4d35a14d5cd701727312" concept="clcid-pte:ZiChanJianZhiSunShi" label="资产减值损失" periodRef="上年同期数" mulRef="_GBC_955732cd74ff4f1f9b098e70c1b85c60" unitRef="_GBC_125a2547934143ccb384434361f57d37" addr="T1R17C3S1_1" formatStyle="Comma" keyAction="88">
          <m:axisValue occRef="母公司"/>
        </m:item>
        <m:placeholder xlName="_PLD_907d21105eff451b99c14b026296e12a" wordText="资产处置收益（损失以“－”号填列）" indent="300" addr="T1R18C0S1_1"/>
        <m:item xlName="_GBC_6d88a1caab7d485a84597a60db08bcb2" concept="clcid-ci-ar:FuZhu_ZiChanChuZhiSHouYi" label="附注_资产处置收益" addr="T1R18C1S1_1">
          <m:axisValue occRef="母公司"/>
        </m:item>
        <m:item xlName="_GBC_102391ad044148559830788eceb97214" concept="clcid-pte:ZiChanChuZhiSHouYi" label="资产处置收益" mulRef="_GBC_955732cd74ff4f1f9b098e70c1b85c60" unitRef="_GBC_125a2547934143ccb384434361f57d37" addr="T1R18C2S1_1" formatStyle="Comma">
          <m:axisValue occRef="母公司"/>
        </m:item>
        <m:item xlName="_GBC_ec9c1356254245b9b12aa399314c4de5" concept="clcid-pte:ZiChanChuZhiSHouYi" label="资产处置收益" periodRef="上年同期数" mulRef="_GBC_955732cd74ff4f1f9b098e70c1b85c60" unitRef="_GBC_125a2547934143ccb384434361f57d37" addr="T1R18C3S1_1" formatStyle="Comma">
          <m:axisValue occRef="母公司"/>
        </m:item>
        <m:placeholder xlName="_PLD_107926df9ebd4b039128ab562ec28ff7" wordText="二、营业利润（亏损以“－”号填列）" addr="T1R19C0S1_1"/>
        <m:item xlName="_GBC_e58a115d72f04c02a612faf075a41de1" concept="clcid-ci-ar:FuZhu_YingYeLiRun" label="附注_营业利润" addr="T1R19C1S1_1">
          <m:axisValue occRef="母公司"/>
        </m:item>
        <m:item xlName="_GBC_c38890d632774de9b2cb68a01ffb3a11" concept="clcid-pte:YingYeLiRun" label="营业利润" mulRef="_GBC_955732cd74ff4f1f9b098e70c1b85c60" unitRef="_GBC_125a2547934143ccb384434361f57d37" addr="T1R19C2S1_1" formatStyle="Comma">
          <m:complexRule comparator="Eq" title="母公司营业利润" test=" $_GBC_55ca505945d4467eaa89949126ca6144 -  $_GBC_4e2702e8ca7c4feb9292103f65d52137 -  $_GBC_959d7bac534a4854b664bb96f726260e -  $_GBC_71183df563bd4078b98ccda23ca9d76e -  $_GBC_f9a627f6cba543bd940d82496138bfcd -  $_GBC_4bfe7fe528f64a5d983b52fe4d3f65c1 -  $_GBC_14605160259742fd9e7c9c55340f8bf8 -  $_GBC_a2148ea37d7a40c6bd71500e3d30ba82 -  $_GBC_cd8840ba99c34734972fed729a7e596f +  $_GBC_0fae486b92404d3eb306fc9568d85fa9 +  $_GBC_4e57c666ba3f4754a165063ee7d18a46 +  $_GBC_df471246219649bca0cb69a055a54c87 +  $_GBC_102391ad044148559830788eceb97214 +  $_GBC_82a51c024dd445248edf5efde8a3acc7" id="C077996f887834c7b8364f7b591a521fd"/>
          <m:axisValue occRef="母公司"/>
        </m:item>
        <m:item xlName="_GBC_6225da5234f64dababdee628fa6727d9" concept="clcid-pte:YingYeLiRun" label="营业利润" periodRef="上年同期数" mulRef="_GBC_955732cd74ff4f1f9b098e70c1b85c60" unitRef="_GBC_125a2547934143ccb384434361f57d37" addr="T1R19C3S1_1" formatStyle="Comma">
          <m:complexRule comparator="Eq" title="母公司营业利润@上年同期数" test=" $_GBC_ea59139a85d743249d34885c76abed75 -  $_GBC_ecf95d0826604cfc9ca2724b206fe6bd -  $_GBC_e20824e9b3a8448398bd4e5fdda36e30 -  $_GBC_48b2598fef3f4d0fb8dda0d63e58f472 -  $_GBC_1c4ac06f766c402b9c1ea8e33e8aa7b0 -  $_GBC_16b1ea447a29482cb7f09a3f4d9e11e9 -  $_GBC_d05b55aca5f94690be571bccfb07803a -  $_GBC_f81bc1d92cca4d35a14d5cd701727312 -  $_GBC_c0b35ba812a247f7a16b3fe3c04243f9 +  $_GBC_f25f5c7b12f14eec81b3612f8f41eac6 +  $_GBC_3a41294618f0422fafa3f2837693211d +  $_GBC_2caa33dca5fc4d668734d3180b67a30c +  $_GBC_ec9c1356254245b9b12aa399314c4de5 +  $_GBC_6a2975a8be944524834ad31f1996eb3a" id="C5b5a994564124fc9977e5ee5e05e6daf"/>
          <m:axisValue occRef="母公司"/>
        </m:item>
        <m:placeholder xlName="_PLD_279fac843c63467da244e8b49f89e4dc" wordText="加：营业外收入" indent="100" addr="T1R20C0S1_1"/>
        <m:item xlName="_GBC_609cdf75a8254208b500029778f97168" concept="clcid-ci-ar:FuZhu_YingYeWaiShouRu" label="附注_营业外收入" addr="T1R20C1S1_1">
          <m:axisValue occRef="母公司"/>
        </m:item>
        <m:item xlName="_GBC_517f578ac5ac4a4299d2e57e14f6a1e1" concept="clcid-pte:YingYeWaiShouRu" label="营业外收入" mulRef="_GBC_955732cd74ff4f1f9b098e70c1b85c60" unitRef="_GBC_125a2547934143ccb384434361f57d37" addr="T1R20C2S1_1" formatStyle="Comma">
          <m:axisValue occRef="母公司"/>
        </m:item>
        <m:item xlName="_GBC_f89bac6dfab04a20aeff11fa37c621bf" concept="clcid-pte:YingYeWaiShouRu" label="营业外收入" periodRef="上年同期数" mulRef="_GBC_955732cd74ff4f1f9b098e70c1b85c60" unitRef="_GBC_125a2547934143ccb384434361f57d37" addr="T1R20C3S1_1" formatStyle="Comma">
          <m:axisValue occRef="母公司"/>
        </m:item>
        <m:placeholder xlName="_PLD_f7c3a61b735644a1a4b866e88cef247a" wordText="减：营业外支出" indent="100" addr="T1R21C0S1_1"/>
        <m:item xlName="_GBC_0ab4c7b261ed412e923986e7b5cb96fb" concept="clcid-ci-ar:FuZhu_YingYeWaiZhiChu" label="附注_营业外支出" addr="T1R21C1S1_1">
          <m:axisValue occRef="母公司"/>
        </m:item>
        <m:item xlName="_GBC_4d3b246891e34076a87fa6143b7a7b4f" concept="clcid-pte:YingYeWaiZhiChu" label="营业外支出" mulRef="_GBC_955732cd74ff4f1f9b098e70c1b85c60" unitRef="_GBC_125a2547934143ccb384434361f57d37" addr="T1R21C2S1_1" baseScale="-1" formatStyle="Comma">
          <m:axisValue occRef="母公司"/>
        </m:item>
        <m:item xlName="_GBC_d1dad9c4c37a47c89ebfa11a20f40302" concept="clcid-pte:YingYeWaiZhiChu" label="营业外支出" periodRef="上年同期数" mulRef="_GBC_955732cd74ff4f1f9b098e70c1b85c60" unitRef="_GBC_125a2547934143ccb384434361f57d37" addr="T1R21C3S1_1" baseScale="-1" formatStyle="Comma">
          <m:axisValue occRef="母公司"/>
        </m:item>
        <m:placeholder xlName="_PLD_5956406fbb5b47029f2bca13fce9359e" wordText="三、利润总额（亏损总额以“－”号填列）" addr="T1R22C0S1_1"/>
        <m:item xlName="_GBC_ddcf78e155264ea6a380c8a9e3ccb9ae" concept="clcid-ci-ar:FuZhu_LiRunZongE" label="附注_利润总额" addr="T1R22C1S1_1">
          <m:axisValue occRef="母公司"/>
        </m:item>
        <m:item xlName="_GBC_cccbd9db0cad4dffa4cf7e833ca22db5" concept="clcid-pte:LiRunZongE" label="利润总额" mulRef="_GBC_955732cd74ff4f1f9b098e70c1b85c60" unitRef="_GBC_125a2547934143ccb384434361f57d37" addr="T1R22C2S1_1" formatStyle="Comma">
          <m:complexRule comparator="Eq" title="母公司利润总额" test=" $_GBC_c38890d632774de9b2cb68a01ffb3a11 +  $_GBC_517f578ac5ac4a4299d2e57e14f6a1e1 -  $_GBC_4d3b246891e34076a87fa6143b7a7b4f" id="C5053fa6dc90a47789d3e0b8b6408a07a"/>
          <m:axisValue occRef="母公司"/>
        </m:item>
        <m:item xlName="_GBC_1b98d147b42e494eb276da0d0e570225" concept="clcid-pte:LiRunZongE" label="利润总额" periodRef="上年同期数" mulRef="_GBC_955732cd74ff4f1f9b098e70c1b85c60" unitRef="_GBC_125a2547934143ccb384434361f57d37" addr="T1R22C3S1_1" formatStyle="Comma">
          <m:complexRule comparator="Eq" title="母公司利润总额@上年同期数" test=" $_GBC_6225da5234f64dababdee628fa6727d9 +  $_GBC_f89bac6dfab04a20aeff11fa37c621bf -  $_GBC_d1dad9c4c37a47c89ebfa11a20f40302" id="Ca209278269b74f07b2b02942aa3a8967"/>
          <m:axisValue occRef="母公司"/>
        </m:item>
        <m:placeholder xlName="_PLD_6de0aad305fe4960b4c088f68ada351b" wordText="减：所得税费用" indent="200" addr="T1R23C0S1_1"/>
        <m:item xlName="_GBC_5e6fcc0fd722456789776b7e814d33d5" concept="clcid-ci-ar:FuZhu_SuoDeShui" label="附注_所得税" addr="T1R23C1S1_1">
          <m:axisValue occRef="母公司"/>
        </m:item>
        <m:item xlName="_GBC_ad471a9385ab4e5e9eb457b9a5d70c54" concept="clcid-pte:SuoDeShui" label="所得税" mulRef="_GBC_955732cd74ff4f1f9b098e70c1b85c60" unitRef="_GBC_125a2547934143ccb384434361f57d37" addr="T1R23C2S1_1" baseScale="-1" formatStyle="Comma">
          <m:axisValue occRef="母公司"/>
        </m:item>
        <m:item xlName="_GBC_5453e50f7614411ba6eb6feee9a29741" concept="clcid-pte:SuoDeShui" label="所得税" periodRef="上年同期数" mulRef="_GBC_955732cd74ff4f1f9b098e70c1b85c60" unitRef="_GBC_125a2547934143ccb384434361f57d37" addr="T1R23C3S1_1" baseScale="-1" formatStyle="Comma">
          <m:axisValue occRef="母公司"/>
        </m:item>
        <m:placeholder xlName="_PLD_7ab8a9f66eb1439ab50e43a032c9541e" wordText="四、净利润（净亏损以“－”号填列）" addr="T1R24C0S1_1"/>
        <m:item xlName="_GBC_f8faa4057286417d84708f504f2185a7" concept="clcid-ci-ar:FuZhu_JingLiRun" label="附注_净利润" addr="T1R24C1S1_1">
          <m:axisValue occRef="母公司"/>
        </m:item>
        <m:item xlName="_GBC_0243d2c5b4bb414a9c177901d4940251" concept="clcid-pte:JingLiRun" label="净利润" mulRef="_GBC_955732cd74ff4f1f9b098e70c1b85c60" unitRef="_GBC_125a2547934143ccb384434361f57d37" addr="T1R24C2S1_1" formatStyle="Comma">
          <m:complexRule comparator="Eq" title="母公司净利润" test=" $_GBC_cccbd9db0cad4dffa4cf7e833ca22db5 -  $_GBC_ad471a9385ab4e5e9eb457b9a5d70c54" id="Cb87577d5405b49be866481aa0e0095db"/>
          <m:complexRule comparator="Eq" title="母公司净利纵向公式润" test=" $_GBC_b301397d9c3940f89a24a8635d944c10 +  $_GBC_e826c97671874cf78d9be80c071e247c" id="C3e21330f2b01446397cd5bc6988c95a5"/>
          <m:axisValue occRef="母公司"/>
        </m:item>
        <m:item xlName="_GBC_c7c5f5f04e14402fbba8a214ecc7b334" concept="clcid-pte:JingLiRun" label="净利润" periodRef="上年同期数" mulRef="_GBC_955732cd74ff4f1f9b098e70c1b85c60" unitRef="_GBC_125a2547934143ccb384434361f57d37" addr="T1R24C3S1_1" formatStyle="Comma">
          <m:complexRule comparator="Eq" title="母公司净利润@上年同期数" test=" $_GBC_1b98d147b42e494eb276da0d0e570225 -  $_GBC_5453e50f7614411ba6eb6feee9a29741" id="C0f6f46f8a24540a591cc029402c80fd8"/>
          <m:complexRule comparator="Eq" title="母公司净利润@上年同期数纵向公式润" test=" $_GBC_1304565f85c64744ac394549c8023759 +  $_GBC_214d1391505c433b841199053160d1e4" id="C209d6dd7c34e49f0b6f129cdc2dcb195"/>
          <m:axisValue occRef="母公司"/>
        </m:item>
        <m:placeholder xlName="_PLD_289ca01a050e4d34aae7f623dfff6058" wordText="（一）持续经营净利润（净亏损以“－”号填列）" indent="108" addr="T1R25C0S1_1"/>
        <m:item xlName="_GBC_facfecd869034a1c8f2a2ce34d3676bb" concept="clcid-ci-ar:FuZhu_ChiXuJingYingJingLiRun" label="附注_持续经营净利润" addr="T1R25C1S1_1">
          <m:axisValue occRef="母公司"/>
        </m:item>
        <m:item xlName="_GBC_b301397d9c3940f89a24a8635d944c10" concept="clcid-pte:ChiXuJingYingJingLiRun" label="持续经营净利润" mulRef="_GBC_955732cd74ff4f1f9b098e70c1b85c60" unitRef="_GBC_125a2547934143ccb384434361f57d37" addr="T1R25C2S1_1" formatStyle="Comma">
          <m:axisValue occRef="母公司"/>
        </m:item>
        <m:item xlName="_GBC_1304565f85c64744ac394549c8023759" concept="clcid-pte:ChiXuJingYingJingLiRun" label="持续经营净利润" periodRef="上年同期数" mulRef="_GBC_955732cd74ff4f1f9b098e70c1b85c60" unitRef="_GBC_125a2547934143ccb384434361f57d37" addr="T1R25C3S1_1" formatStyle="Comma">
          <m:axisValue occRef="母公司"/>
        </m:item>
        <m:placeholder xlName="_PLD_3b2e8ef21ec246eaabe42c7024d8ce19" wordText="（二）终止经营净利润（净亏损以“－”号填列）" indent="108" addr="T1R26C0S1_1"/>
        <m:item xlName="_GBC_1120a46265594a1a98a202b5470c5f7f" concept="clcid-ci-ar:FuZhu_ZhongZhiJingYingJingLiRun" label="附注_终止经营净利润" addr="T1R26C1S1_1">
          <m:axisValue occRef="母公司"/>
        </m:item>
        <m:item xlName="_GBC_e826c97671874cf78d9be80c071e247c" concept="clcid-pte:ZhongZhiJingYingJingLiRun" label="终止经营净利润" mulRef="_GBC_955732cd74ff4f1f9b098e70c1b85c60" unitRef="_GBC_125a2547934143ccb384434361f57d37" addr="T1R26C2S1_1" formatStyle="Comma">
          <m:axisValue occRef="母公司"/>
        </m:item>
        <m:item xlName="_GBC_214d1391505c433b841199053160d1e4" concept="clcid-pte:ZhongZhiJingYingJingLiRun" label="终止经营净利润" periodRef="上年同期数" mulRef="_GBC_955732cd74ff4f1f9b098e70c1b85c60" unitRef="_GBC_125a2547934143ccb384434361f57d37" addr="T1R26C3S1_1" formatStyle="Comma">
          <m:axisValue occRef="母公司"/>
        </m:item>
        <m:placeholder xlName="_PLD_843a2fab84a848319e89b43f4f5f13af" wordText="五、其他综合收益的税后净额" indent="19" addr="T1R27C0S1_1"/>
        <m:item xlName="_GBC_1f1e08159aff47e9a529b98ca586626b" concept="clcid-ci-ar:FuZhuQiTaZongHeShouYiDeShuiHouJingE" label="附注_其他综合收益的税后净额" addr="T1R27C1S1_1">
          <m:axisValue occRef="母公司"/>
        </m:item>
        <m:item xlName="_GBC_3111fb4cb3aa4334b2531672ad804d89" concept="clcid-pte:QiTaZongHeShouYiDeShuiHouJingE" label="其他综合收益的税后净额" mulRef="_GBC_955732cd74ff4f1f9b098e70c1b85c60" unitRef="_GBC_125a2547934143ccb384434361f57d37" addr="T1R27C2S1_1" formatStyle="Comma">
          <m:complexRule comparator="Eq" title="母公司其他综合收益的税后净额" test=" $_GBC_f8d10aa712d444e6aa00731152da5be8 +  $_GBC_6560b50fbcff40499dda6655c736152b" id="C43a2c1fd1d6642e5b87b21a423e7b552"/>
          <m:axisValue occRef="母公司"/>
        </m:item>
        <m:item xlName="_GBC_58e1c45bab5044a4a749705c9c804ab9" concept="clcid-pte:QiTaZongHeShouYiDeShuiHouJingE" label="其他综合收益的税后净额" periodRef="上年同期数" mulRef="_GBC_955732cd74ff4f1f9b098e70c1b85c60" unitRef="_GBC_125a2547934143ccb384434361f57d37" addr="T1R27C3S1_1" formatStyle="Comma">
          <m:complexRule comparator="Eq" title="母公司其他综合收益的税后净额@上年同期数" test=" $_GBC_f3230447958c49568090a478a41d0ea5 +  $_GBC_0aefea4d44a9479485dee1842e566690" id="C360959783a6c4e18a7a02d8637178210"/>
          <m:axisValue occRef="母公司"/>
        </m:item>
        <m:placeholder xlName="_PLD_b8aa6d052de04d1a947a8cf96dde3fef" wordText="（一）不能重分类进损益的其他综合收益" indent="100" addr="T1R28C0S1_1"/>
        <m:item xlName="_GBC_4f2f3e268ecd4cf097cc0232eccb9539" concept="clcid-ci-ar:FuZhuYiHouBuNengZhongFenLeiJinSunYiDeQiTaZongHeShouYi" label="附注_以后不能重分类进损益的其他综合收益" addr="T1R28C1S1_1">
          <m:axisValue occRef="母公司"/>
        </m:item>
        <m:item xlName="_GBC_f8d10aa712d444e6aa00731152da5be8" concept="clcid-pte:YiHouBuNengZhongFenLeiJinSunYiDeQiTaZongHeShouYi" label="以后不能重分类进损益的其他综合收益" mulRef="_GBC_955732cd74ff4f1f9b098e70c1b85c60" unitRef="_GBC_125a2547934143ccb384434361f57d37" addr="T1R28C2S1_1" formatStyle="Comma">
          <m:complexRule comparator="Eq" title="母公司以后不能重分类进损益的其他综合收益" test=" $_GBC_d0f3b141e8da44febf205cc2481f8cdc +  $_GBC_a74d7e6fd87640ac8ebbab0ff23c55e1 +  $_GBC_bbf94bd8b5bc40599c15048ec5d0420b +  $_GBC_6a87c864212e496d8fff1ac9b07351fa" id="Cec62d4f8775f4478bb4f2f2c8f3300ce"/>
          <m:axisValue occRef="母公司"/>
        </m:item>
        <m:item xlName="_GBC_f3230447958c49568090a478a41d0ea5" concept="clcid-pte:YiHouBuNengZhongFenLeiJinSunYiDeQiTaZongHeShouYi" label="以后不能重分类进损益的其他综合收益" periodRef="上年同期数" mulRef="_GBC_955732cd74ff4f1f9b098e70c1b85c60" unitRef="_GBC_125a2547934143ccb384434361f57d37" addr="T1R28C3S1_1" formatStyle="Comma">
          <m:complexRule comparator="Eq" title="母公司以后不能重分类进损益的其他综合收益@上年同期数" test=" $_GBC_29160dcbe23546cb9c0076922df2fa28 +  $_GBC_804dafa83a434587b1c27b008c099e80 +  $_GBC_6f656ad5517e44459e3b24a4d7187a4f +  $_GBC_4d736db07eaa46b299580cb506f36dec" id="Cd499d4138ef547358de8b48e15988b9a"/>
          <m:axisValue occRef="母公司"/>
        </m:item>
        <m:placeholder xlName="_PLD_2f95025f3e0f4c69b258974fe8486517" wordText="1.重新计量设定受益计划变动额" indent="200" addr="T1R29C0S1_1"/>
        <m:item xlName="_GBC_4708699a8c984dab85a0610d3987b9dd" concept="clcid-ci-ar:FuZhuZhongXinJiLiangSheDingShouYiJiHuaJingFuZhaiHuoJingZiChanDeBianDong" label="附注_重新计量设定受益计划净负债或净资产的变动" addr="T1R29C1S1_1">
          <m:axisValue occRef="母公司"/>
        </m:item>
        <m:item xlName="_GBC_a74d7e6fd87640ac8ebbab0ff23c55e1" concept="clcid-pte:ChongXinJiLiangSheDingShouYiJiHuaJingFuZhaiHuoJingZiChanDeBianDong" label="重新计量设定受益计划净负债或净资产的变动" mulRef="_GBC_955732cd74ff4f1f9b098e70c1b85c60" unitRef="_GBC_125a2547934143ccb384434361f57d37" addr="T1R29C2S1_1" formatStyle="Comma">
          <m:axisValue occRef="母公司"/>
        </m:item>
        <m:item xlName="_GBC_29160dcbe23546cb9c0076922df2fa28" concept="clcid-pte:ChongXinJiLiangSheDingShouYiJiHuaJingFuZhaiHuoJingZiChanDeBianDong" label="重新计量设定受益计划净负债或净资产的变动" periodRef="上年同期数" mulRef="_GBC_955732cd74ff4f1f9b098e70c1b85c60" unitRef="_GBC_125a2547934143ccb384434361f57d37" addr="T1R29C3S1_1" formatStyle="Comma">
          <m:axisValue occRef="母公司"/>
        </m:item>
        <m:placeholder xlName="_PLD_a1dd2af1863b4e3d917020633c99734c" wordText="2.权益法下不能转损益的其他综合收益" indent="200" addr="T1R30C0S1_1"/>
        <m:item xlName="_GBC_3c525b89addb4e378cf294a7a8e654a0" concept="clcid-ci-ar:FuZhuQuanYiFaXiaZaiBeiTouZiDanWeiBuNengZhongFenLeiJinSunYiDeQiTaZongHeShouYiZhongXiangYouDeFenE" label="附注_权益法下在被投资单位不能重分类进损益的其他综合收益中享有的份额" addr="T1R30C1S1_1">
          <m:axisValue occRef="母公司"/>
        </m:item>
        <m:item xlName="_GBC_d0f3b141e8da44febf205cc2481f8cdc" concept="clcid-pte:QuanYiFaXiaZaiBeiTouZiDanWeiBuNengZhongFenLeiJinSunYiDeQiTaZongHeShouYiZhongXiangYouDeFenE" label="权益法下在被投资单位不能重分类进损益的其他综合收益中享有的份额" mulRef="_GBC_955732cd74ff4f1f9b098e70c1b85c60" unitRef="_GBC_125a2547934143ccb384434361f57d37" addr="T1R30C2S1_1" formatStyle="Comma">
          <m:axisValue occRef="母公司"/>
        </m:item>
        <m:item xlName="_GBC_804dafa83a434587b1c27b008c099e80" concept="clcid-pte:QuanYiFaXiaZaiBeiTouZiDanWeiBuNengZhongFenLeiJinSunYiDeQiTaZongHeShouYiZhongXiangYouDeFenE" label="权益法下在被投资单位不能重分类进损益的其他综合收益中享有的份额" periodRef="上年同期数" mulRef="_GBC_955732cd74ff4f1f9b098e70c1b85c60" unitRef="_GBC_125a2547934143ccb384434361f57d37" addr="T1R30C3S1_1" formatStyle="Comma">
          <m:axisValue occRef="母公司"/>
        </m:item>
        <m:placeholder xlName="_PLD_db2b7892b44f4f818af9a0a288171043" wordText="3.其他权益工具投资公允价值变动" indent="200" addr="T1R31C0S1_1"/>
        <m:item xlName="_GBC_6bedbf9674b2436380f337808a263336" concept="clcid-ci-ar:FuZhu_QiTaQuanYiGongJuTouZiGongYunJiaZhiBianDong" label="附注_其他权益工具投资公允价值变动" addr="T1R31C1S1_1">
          <m:axisValue occRef="母公司"/>
        </m:item>
        <m:item xlName="_GBC_bbf94bd8b5bc40599c15048ec5d0420b" concept="clcid-pte:QiTaQuanYiGongJuTouZiGongYunJiaZhiBianDong" label="其他权益工具投资公允价值变动" mulRef="_GBC_955732cd74ff4f1f9b098e70c1b85c60" unitRef="_GBC_125a2547934143ccb384434361f57d37" addr="T1R31C2S1_1" formatStyle="Comma">
          <m:axisValue occRef="母公司"/>
        </m:item>
        <m:item xlName="_GBC_6f656ad5517e44459e3b24a4d7187a4f" concept="clcid-pte:QiTaQuanYiGongJuTouZiGongYunJiaZhiBianDong" label="其他权益工具投资公允价值变动" periodRef="上年同期数" mulRef="_GBC_955732cd74ff4f1f9b098e70c1b85c60" unitRef="_GBC_125a2547934143ccb384434361f57d37" addr="T1R31C3S1_1" formatStyle="Comma">
          <m:axisValue occRef="母公司"/>
        </m:item>
        <m:placeholder xlName="_PLD_2a0fa7e33fb34cd1bed8ba1525721e1e" wordText="4.企业自身信用风险公允价值变动" indent="200" addr="T1R32C0S1_1"/>
        <m:item xlName="_GBC_52c4ec2622e34d3fb664c4288ec737cb" concept="clcid-ci-ar:FuZhu_QiYeZiShenXinYongFengXianGongYunJiaZhiBianDong" label="附注_企业自身信用风险公允价值变动" addr="T1R32C1S1_1">
          <m:axisValue occRef="母公司"/>
        </m:item>
        <m:item xlName="_GBC_6a87c864212e496d8fff1ac9b07351fa" concept="clcid-pte:QiYeZiShenXinYongFengXianGongYunJiaZhiBianDong" label="企业自身信用风险公允价值变动" mulRef="_GBC_955732cd74ff4f1f9b098e70c1b85c60" unitRef="_GBC_125a2547934143ccb384434361f57d37" addr="T1R32C2S1_1" formatStyle="Comma">
          <m:axisValue occRef="母公司"/>
        </m:item>
        <m:item xlName="_GBC_4d736db07eaa46b299580cb506f36dec" concept="clcid-pte:QiYeZiShenXinYongFengXianGongYunJiaZhiBianDong" label="企业自身信用风险公允价值变动" periodRef="上年同期数" mulRef="_GBC_955732cd74ff4f1f9b098e70c1b85c60" unitRef="_GBC_125a2547934143ccb384434361f57d37" addr="T1R32C3S1_1" formatStyle="Comma">
          <m:axisValue occRef="母公司"/>
        </m:item>
        <m:placeholder xlName="_PLD_37e542b34b764230a84886c730eceb4b" wordText="（二）将重分类进损益的其他综合收益" indent="100" addr="T1R33C0S1_1"/>
        <m:item xlName="_GBC_3fce96cbe1a3476fbac6ccd5061536bf" concept="clcid-ci-ar:FuZhuYiHouJiangZhongFenLeiJinSunYiDeQiTaZongHeShouYi" label="附注_以后将重分类进损益的其他综合收益" addr="T1R33C1S1_1">
          <m:axisValue occRef="母公司"/>
        </m:item>
        <m:item xlName="_GBC_6560b50fbcff40499dda6655c736152b" concept="clcid-pte:YiHouJiangZhongFenLeiJinSunYiDeQiTaZongHeShouYi" label="以后将重分类进损益的其他综合收益" mulRef="_GBC_955732cd74ff4f1f9b098e70c1b85c60" unitRef="_GBC_125a2547934143ccb384434361f57d37" addr="T1R33C2S1_1" formatStyle="Comma">
          <m:complexRule comparator="Eq" title="母公司以后将重分类进损益的其他综合收益" test=" $_GBC_42fdb502bd2240e1a59ea154bb8ba6c9 +  $_GBC_8220c2baf64e40de85b57f7e50f07eb2 +  $_GBC_8d8f7b06841544979da45708e1161437 +  $_GBC_c07cc93a1b63439182ae4441e473d87a +  $_GBC_01682853eb3c4d51a95664413a58d92e +  $_GBC_7ccb5d8513644772a63605fe2e46db7e +  $_GBC_0d7b8fafd3854ab09aa50b10ee950aa9" id="C537b2baae0254229a7898c209aa7070b"/>
          <m:axisValue occRef="母公司"/>
        </m:item>
        <m:item xlName="_GBC_0aefea4d44a9479485dee1842e566690" concept="clcid-pte:YiHouJiangZhongFenLeiJinSunYiDeQiTaZongHeShouYi" label="以后将重分类进损益的其他综合收益" periodRef="上年同期数" mulRef="_GBC_955732cd74ff4f1f9b098e70c1b85c60" unitRef="_GBC_125a2547934143ccb384434361f57d37" addr="T1R33C3S1_1" formatStyle="Comma">
          <m:complexRule comparator="Eq" title="母公司以后将重分类进损益的其他综合收益@上年同期数" test=" $_GBC_c1e7718eb53a4b7493991b87cb60ea29 +  $_GBC_fced03babb454a37a025f48f01a48999 +  $_GBC_dc068c335f754fb497dcd2e8dab0cb10 +  $_GBC_54e0fd0e598746c3b76d3978200d2d57 +  $_GBC_e6f678b958284de3bcdfc42f63e5b215 +  $_GBC_5098952a9f4441ff941b69b6f0ea8f28 +  $_GBC_21f424b756864166a0fac1a2e9e8b2c2" id="C68c67db0c81b4f31a7dbcf22fa11db46"/>
          <m:axisValue occRef="母公司"/>
        </m:item>
        <m:placeholder xlName="_PLD_d4ccf04d8d17419faa79e993ba558b97" wordText="1.权益法下可转损益的其他综合收益" indent="200" addr="T1R34C0S1_1"/>
        <m:item xlName="_GBC_e52ea958af1e44ba94b5dda2ac48ae25" concept="clcid-ci-ar:FuZhuQuanYiFaXiaZaiBeiTouZiDanWeiYiHouJiangZhongFenLeiJinSunYiDeQiTaZongHeShouYiZhongXiangYouDeFenE" label="附注_权益法下在被投资单位以后将重分类进损益的其他综合收益中享有的份额" addr="T1R34C1S1_1">
          <m:axisValue occRef="母公司"/>
        </m:item>
        <m:item xlName="_GBC_42fdb502bd2240e1a59ea154bb8ba6c9" concept="clcid-pte:QuanYiFaXiaZaiBeiTouZiDanWeiYiHouJiangZhongFenLeiJinSunYiDeQiTaZongHeShouYiZhongXiangYouDeFenE" label="权益法下在被投资单位以后将重分类进损益的其他综合收益中享有的份额" mulRef="_GBC_955732cd74ff4f1f9b098e70c1b85c60" unitRef="_GBC_125a2547934143ccb384434361f57d37" addr="T1R34C2S1_1" formatStyle="Comma">
          <m:axisValue occRef="母公司"/>
        </m:item>
        <m:item xlName="_GBC_c1e7718eb53a4b7493991b87cb60ea29" concept="clcid-pte:QuanYiFaXiaZaiBeiTouZiDanWeiYiHouJiangZhongFenLeiJinSunYiDeQiTaZongHeShouYiZhongXiangYouDeFenE" label="权益法下在被投资单位以后将重分类进损益的其他综合收益中享有的份额" periodRef="上年同期数" mulRef="_GBC_955732cd74ff4f1f9b098e70c1b85c60" unitRef="_GBC_125a2547934143ccb384434361f57d37" addr="T1R34C3S1_1" formatStyle="Comma">
          <m:axisValue occRef="母公司"/>
        </m:item>
        <m:placeholder xlName="_PLD_93132456e42c443bbad89584529b2f0a" wordText="2.其他债权投资公允价值变动" indent="200" addr="T1R35C0S1_1"/>
        <m:item xlName="_GBC_735f3c805982436f937ee4cb9a2a0e63" concept="clcid-ci-ar:FuZhu_QiTaZhaiQuanTouZiGongYunJiaZhiBianDong" label="附注_其他债权投资公允价值变动" addr="T1R35C1S1_1">
          <m:axisValue occRef="母公司"/>
        </m:item>
        <m:item xlName="_GBC_8220c2baf64e40de85b57f7e50f07eb2" concept="clcid-pte:QiTaZhaiQuanTouZiGongYunJiaZhiBianDong" label="其他债权投资公允价值变动" mulRef="_GBC_955732cd74ff4f1f9b098e70c1b85c60" unitRef="_GBC_125a2547934143ccb384434361f57d37" addr="T1R35C2S1_1" formatStyle="Comma">
          <m:axisValue occRef="母公司"/>
        </m:item>
        <m:item xlName="_GBC_fced03babb454a37a025f48f01a48999" concept="clcid-pte:QiTaZhaiQuanTouZiGongYunJiaZhiBianDong" label="其他债权投资公允价值变动" periodRef="上年同期数" mulRef="_GBC_955732cd74ff4f1f9b098e70c1b85c60" unitRef="_GBC_125a2547934143ccb384434361f57d37" addr="T1R35C3S1_1" formatStyle="Comma">
          <m:axisValue occRef="母公司"/>
        </m:item>
        <m:placeholder xlName="_PLD_a743db4ee3c74304b756c0773ac46b11" wordText="3.金融资产重分类计入其他综合收益的金额" indent="200" addr="T1R36C0S1_1"/>
        <m:item xlName="_GBC_bd71630db5f04da6bc09947fc4d35eed" concept="clcid-ci-ar:FuZhu_JinRongZiChanChongFenLeiJiRuQiTaZongHeShouYiDeJinE" label="附注_金融资产重分类计入其他综合收益的金额" addr="T1R36C1S1_1">
          <m:axisValue occRef="母公司"/>
        </m:item>
        <m:item xlName="_GBC_8d8f7b06841544979da45708e1161437" concept="clcid-pte:JinRongZiChanChongFenLeiJiRuQiTaZongHeShouYiDeJinE" label="金融资产重分类计入其他综合收益的金额" mulRef="_GBC_955732cd74ff4f1f9b098e70c1b85c60" unitRef="_GBC_125a2547934143ccb384434361f57d37" addr="T1R36C2S1_1" formatStyle="Comma">
          <m:axisValue occRef="母公司"/>
        </m:item>
        <m:item xlName="_GBC_dc068c335f754fb497dcd2e8dab0cb10" concept="clcid-pte:JinRongZiChanChongFenLeiJiRuQiTaZongHeShouYiDeJinE" label="金融资产重分类计入其他综合收益的金额" periodRef="上年同期数" mulRef="_GBC_955732cd74ff4f1f9b098e70c1b85c60" unitRef="_GBC_125a2547934143ccb384434361f57d37" addr="T1R36C3S1_1" formatStyle="Comma">
          <m:axisValue occRef="母公司"/>
        </m:item>
        <m:placeholder xlName="_PLD_14b4f884fa314ceab81d81f32b566281" wordText="4.其他债权投资信用减值准备" indent="200" addr="T1R37C0S1_1"/>
        <m:item xlName="_GBC_f7fe60916f5a4c4496a1e300deb88c7b" concept="clcid-ci-ar:FuZhu_QiTaZhaiQuanTouZiXinYongJianZhiZhunBei" label="附注_其他债权投资信用减值准备" addr="T1R37C1S1_1">
          <m:axisValue occRef="母公司"/>
        </m:item>
        <m:item xlName="_GBC_c07cc93a1b63439182ae4441e473d87a" concept="clcid-pte:QiTaZhaiQuanTouZiXinYongJianZhiZhunBei" label="其他债权投资信用减值准备" mulRef="_GBC_955732cd74ff4f1f9b098e70c1b85c60" unitRef="_GBC_125a2547934143ccb384434361f57d37" addr="T1R37C2S1_1" formatStyle="Comma">
          <m:axisValue occRef="母公司"/>
        </m:item>
        <m:item xlName="_GBC_54e0fd0e598746c3b76d3978200d2d57" concept="clcid-pte:QiTaZhaiQuanTouZiXinYongJianZhiZhunBei" label="其他债权投资信用减值准备" periodRef="上年同期数" mulRef="_GBC_955732cd74ff4f1f9b098e70c1b85c60" unitRef="_GBC_125a2547934143ccb384434361f57d37" addr="T1R37C3S1_1" formatStyle="Comma">
          <m:axisValue occRef="母公司"/>
        </m:item>
        <m:placeholder xlName="_PLD_796032270909454aa844e29f93af9bfd" wordText="5.现金流量套期储备" indent="200" addr="T1R38C0S1_1"/>
        <m:item xlName="_GBC_1b04ba252be141fe92564bc8993f031b" concept="clcid-ci-ar:FuZhuXianJinLiuLiangTaoQiSunYiDeYouXiaoBuFen" label="附注_现金流量套期损益的有效部分" addr="T1R38C1S1_1">
          <m:axisValue occRef="母公司"/>
        </m:item>
        <m:item xlName="_GBC_01682853eb3c4d51a95664413a58d92e" concept="clcid-pte:XianJinLiuLiangTaoQiSunYiDeYouXiaoBuFen" label="现金流量套期损益的有效部分" mulRef="_GBC_955732cd74ff4f1f9b098e70c1b85c60" unitRef="_GBC_125a2547934143ccb384434361f57d37" addr="T1R38C2S1_1" formatStyle="Comma">
          <m:axisValue occRef="母公司"/>
        </m:item>
        <m:item xlName="_GBC_e6f678b958284de3bcdfc42f63e5b215" concept="clcid-pte:XianJinLiuLiangTaoQiSunYiDeYouXiaoBuFen" label="现金流量套期损益的有效部分" periodRef="上年同期数" mulRef="_GBC_955732cd74ff4f1f9b098e70c1b85c60" unitRef="_GBC_125a2547934143ccb384434361f57d37" addr="T1R38C3S1_1" formatStyle="Comma">
          <m:axisValue occRef="母公司"/>
        </m:item>
        <m:placeholder xlName="_PLD_323d275a987c439884f3d362a19ee65f" wordText="6.外币财务报表折算差额" indent="200" addr="T1R39C0S1_1"/>
        <m:item xlName="_GBC_2beb0f8552f1465ea5fa0f75565ecc95" concept="clcid-ci-ar:FuZhuWaiBiCaiWuBaoBiaoZheSuanChaE" label="附注_外币财务报表折算差额" addr="T1R39C1S1_1">
          <m:axisValue occRef="母公司"/>
        </m:item>
        <m:item xlName="_GBC_7ccb5d8513644772a63605fe2e46db7e" concept="clcid-pte:WaiBiCaiWuBaoBiaoZheSuanChaE" label="外币财务报表折算差额" mulRef="_GBC_955732cd74ff4f1f9b098e70c1b85c60" unitRef="_GBC_125a2547934143ccb384434361f57d37" addr="T1R39C2S1_1" formatStyle="Comma">
          <m:axisValue occRef="母公司"/>
        </m:item>
        <m:item xlName="_GBC_5098952a9f4441ff941b69b6f0ea8f28" concept="clcid-pte:WaiBiCaiWuBaoBiaoZheSuanChaE" label="外币财务报表折算差额" periodRef="上年同期数" mulRef="_GBC_955732cd74ff4f1f9b098e70c1b85c60" unitRef="_GBC_125a2547934143ccb384434361f57d37" addr="T1R39C3S1_1" formatStyle="Comma">
          <m:axisValue occRef="母公司"/>
        </m:item>
        <m:placeholder xlName="_PLD_4762e9ad5d4d4b7c9fc8455f2f975e7d" wordText="7.其他" indent="200" addr="T1R40C0S1_1"/>
        <m:item xlName="_GBC_04bd95d343e14559b633cf7af5bfe484" concept="clcid-ci-ar:FuZhuYiHouJiangZhongFenLeiJinSunYiDeQiTaZongHeShouYiQiTa" label="附注_以后将重分类进损益的其他综合收益-其他" addr="T1R40C1S1_1">
          <m:axisValue occRef="母公司"/>
        </m:item>
        <m:item xlName="_GBC_0d7b8fafd3854ab09aa50b10ee950aa9" concept="clcid-pte:YiHouJiangZhongFenLeiJinSunYiDeQiTaZongHeShouYiQiTa" label="以后将重分类进损益的其他综合收益-其他" mulRef="_GBC_955732cd74ff4f1f9b098e70c1b85c60" unitRef="_GBC_125a2547934143ccb384434361f57d37" addr="T1R40C2S1_1" formatStyle="Comma">
          <m:axisValue occRef="母公司"/>
        </m:item>
        <m:item xlName="_GBC_21f424b756864166a0fac1a2e9e8b2c2" concept="clcid-pte:YiHouJiangZhongFenLeiJinSunYiDeQiTaZongHeShouYiQiTa" label="以后将重分类进损益的其他综合收益-其他" periodRef="上年同期数" mulRef="_GBC_955732cd74ff4f1f9b098e70c1b85c60" unitRef="_GBC_125a2547934143ccb384434361f57d37" addr="T1R40C3S1_1" formatStyle="Comma">
          <m:axisValue occRef="母公司"/>
        </m:item>
        <m:placeholder xlName="_PLD_28547dbb231643aebb7e2c7f824bc757" wordText="六、综合收益总额" addr="T1R41C0S1_1"/>
        <m:item xlName="_GBC_31ad722383724efb9d1c18dcfd771d72" concept="clcid-ci-ar:FuZhu_ZongHeShouYiZongE" label="附注_综合收益总额" addr="T1R41C1S1_1">
          <m:axisValue occRef="母公司"/>
        </m:item>
        <m:item xlName="_GBC_346aec3acf214141b499c743c94297d9" concept="clcid-pte:ZongHeShouYiZongE" label="综合收益总额" mulRef="_GBC_955732cd74ff4f1f9b098e70c1b85c60" unitRef="_GBC_125a2547934143ccb384434361f57d37" addr="T1R41C2S1_1" formatStyle="Comma">
          <m:axisValue occRef="母公司"/>
        </m:item>
        <m:item xlName="_GBC_a2d9fed21d964d5b861452516ce06c9d" concept="clcid-pte:ZongHeShouYiZongE" label="综合收益总额" periodRef="上年同期数" mulRef="_GBC_955732cd74ff4f1f9b098e70c1b85c60" unitRef="_GBC_125a2547934143ccb384434361f57d37" addr="T1R41C3S1_1" formatStyle="Comma">
          <m:axisValue occRef="母公司"/>
        </m:item>
        <m:placeholder xlName="_PLD_302a225367d84b88a766d8daaf22e468" wordText="七、每股收益：" addr="T1R42C0S1_4"/>
        <m:placeholder xlName="_PLD_02c58dc4adaa4ac0a7ec8d49dda16ebf" wordText="（一）基本每股收益(元/股)" indent="200" addr="T1R43C0S1_1"/>
        <m:item xlName="_GBC_75caadbdc2674d59b3b7f24eac57adcc" concept="clcid-ci-ar:FuZhu_JiBenMeiGuShouYi" label="附注_基本每股收益" addr="T1R43C1S1_1">
          <m:axisValue occRef="母公司"/>
        </m:item>
        <m:item xlName="_GBC_a16e5331af424ad39838a96c2b487fbb" concept="clcid-pte:JiBenMeiGuShouYi" label="基本每股收益" unitRef="_GBC_125a2547934143ccb384434361f57d37" addr="T1R43C2S1_1" formatStyle="Comma" fixedType="EPS">
          <m:axisValue occRef="母公司"/>
        </m:item>
        <m:item xlName="_GBC_c7a0e3df07294235b9519e36a66eb94e" concept="clcid-pte:JiBenMeiGuShouYi" label="基本每股收益" periodRef="上年同期数" unitRef="_GBC_125a2547934143ccb384434361f57d37" addr="T1R43C3S1_1" formatStyle="Comma" fixedType="EPS">
          <m:axisValue occRef="母公司"/>
        </m:item>
        <m:placeholder xlName="_PLD_59e8f40ed93e41f8a25596a736bf29e0" wordText="（二）稀释每股收益(元/股)" indent="200" addr="T1R44C0S1_1"/>
        <m:item xlName="_GBC_7db3e768845a48cab44fc72d40a79305" concept="clcid-ci-ar:FuZhu_XiShiMeiGuShouYi" label="附注_稀释每股收益" addr="T1R44C1S1_1">
          <m:axisValue occRef="母公司"/>
        </m:item>
        <m:item xlName="_GBC_488129204c78483ea31095378501dc75" concept="clcid-pte:XiShiMeiGuShouYi" label="稀释每股收益" unitRef="_GBC_125a2547934143ccb384434361f57d37" addr="T1R44C2S1_1" formatStyle="Comma" fixedType="EPS">
          <m:axisValue occRef="母公司"/>
        </m:item>
        <m:item xlName="_GBC_b7ca07b207c94acabbb54870e95934cc" concept="clcid-pte:XiShiMeiGuShouYi" label="稀释每股收益" periodRef="上年同期数" unitRef="_GBC_125a2547934143ccb384434361f57d37" addr="T1R44C3S1_1" formatStyle="Comma" fixedType="EPS">
          <m:axisValue occRef="母公司"/>
        </m:item>
        <m:item xlName="_GBC_6be9c51ef68a40f0b60486f4414f2413" concept="clcid-mr:GongSiFuZeRenXingMing" label="公司负责人姓名" binding="true"/>
        <m:item xlName="_GBC_ac91a6c67f0a401ab312a449bd87b833" concept="clcid-mr:ZhuGuanKuaiJiGongZuoFuZeRenXingMing" label="主管会计工作负责人姓名" binding="true"/>
        <m:item xlName="_GBC_60f6b900783346cfad817de4d84acf5e" concept="clcid-mr:KuaiJiJiGouFuZeRenXingMing" label="会计机构负责人姓名" binding="true"/>
        <m:placeholder xlName="_PLD_67c5f682c0d74dd9ac1906cef198ff02" retag="true"/>
        <m:item xlName="_GBC_466ac0e6dda045a1889312a14f0a90bc" retag="true" concept="clcid-ci-ar:FuZhu_GuiShuYuMuGongSiSuoYouZheDeJingLiRun" label="附注_归属于母公司所有者的净利润">
          <m:axisValue occRef="母公司"/>
        </m:item>
        <m:item xlName="_GBC_fa14bd55726343a28ae1dcc8c0d85ea7" retag="true" concept="clcid-pte:GuiShuYuMuGongSiSuoYouZheDeJingLiRun" label="归属于母公司所有者的净利润" mulRef="_GBC_955732cd74ff4f1f9b098e70c1b85c60" unitRef="_GBC_125a2547934143ccb384434361f57d37" formatStyle="Comma">
          <m:axisValue occRef="母公司"/>
        </m:item>
        <m:item xlName="_GBC_7d69fce297bb4196ba8d4a1846ecbdf8" retag="true" concept="clcid-pte:GuiShuYuMuGongSiSuoYouZheDeJingLiRun" label="归属于母公司所有者的净利润" periodRef="上年同期数" mulRef="_GBC_955732cd74ff4f1f9b098e70c1b85c60" unitRef="_GBC_125a2547934143ccb384434361f57d37" formatStyle="Comma">
          <m:axisValue occRef="母公司"/>
        </m:item>
        <m:tuple xlName="_TUP_6e43b6e452e441298af9c561c77e87a9" concept="" label="项目1.持续经营净利润(净亏损以“-”号填列)" retag="true" xtype="item">
          <m:extendConcept standardLabel="项目1.持续经营净利润(净亏损以“-”号填列)" shortLabel="1.持续经营净利润（净亏损以“－”号填列）"/>
          <m:item xlName="_GBC_f222c98b11e3432c891c6679865553ee" retag="true" concept="clcid-ci-ar:ZiDingYiKeMuMingCheng" label="自定义科目名称" isCaption="true"/>
          <m:item xlName="VIRTUAL__GBC_67040e3660eb4fd89d5be2e495bba817" concept="clcid-ci-ar:ZiDingYiKeMuWeiZhi" label="自定义科目位置"/>
          <m:item xlName="_GBC_eff1fc32103849b3bad526838256cd46" retag="true" concept="" mulRef="_GBC_955732cd74ff4f1f9b098e70c1b85c60" unitRef="_GBC_125a2547934143ccb384434361f57d37" formatStyle="Comma">
            <m:extendConcept standardLabel="母公司利润表1.持续经营净利润(净亏损以“-”号填列)" shortLabel="1.持续经营净利润（净亏损以“－”号填列）" referenceConcept="clcid-pte:ChiXuJingYingJingLiRun"/>
            <m:axisValue occRef="母公司"/>
          </m:item>
          <m:item xlName="_GBC_f155ff271b124bb5a0dc960188d02d57" retag="true" concept="" periodRef="上年同期数" mulRef="_GBC_955732cd74ff4f1f9b098e70c1b85c60" unitRef="_GBC_125a2547934143ccb384434361f57d37" formatStyle="Comma">
            <m:extendConcept standardLabel="母公司利润表1.持续经营净利润(净亏损以“-”号填列)" shortLabel="1.持续经营净利润（净亏损以“－”号填列）" referenceConcept="clcid-pte:ChiXuJingYingJingLiRun"/>
            <m:axisValue occRef="母公司"/>
          </m:item>
        </m:tuple>
        <m:tuple xlName="_TUP_b8f16750da5e40ec80456886ddb7c255" concept="" label="项目1.归属于母公司股东的净利润" retag="true" xtype="item">
          <m:extendConcept standardLabel="项目1.归属于母公司股东的净利润" shortLabel="1.归属于母公司股东的净利润"/>
          <m:item xlName="_GBC_2d3dc6e33a164651a63fbc65f65a6e20" retag="true" concept="clcid-ci-ar:ZiDingYiKeMuMingCheng" label="自定义科目名称" isCaption="true"/>
          <m:item xlName="VIRTUAL__GBC_b64068c2ff7748bcb231258a96169b90" concept="clcid-ci-ar:ZiDingYiKeMuWeiZhi" label="自定义科目位置"/>
          <m:item xlName="_GBC_88f21da3d3a34106861d0d6df4bc0370" retag="true" concept="" mulRef="_GBC_955732cd74ff4f1f9b098e70c1b85c60" unitRef="_GBC_125a2547934143ccb384434361f57d37" formatStyle="Comma">
            <m:extendConcept standardLabel="母公司利润表1.归属于母公司股东的净利润" shortLabel="1.归属于母公司股东的净利润" referenceConcept="clcid-pte:ZhongZhiJingYingJingLiRun"/>
            <m:axisValue occRef="母公司"/>
          </m:item>
          <m:item xlName="_GBC_3a3ad3988b8649878306ab920a2b91c6" retag="true" concept="" periodRef="上年同期数" mulRef="_GBC_955732cd74ff4f1f9b098e70c1b85c60" unitRef="_GBC_125a2547934143ccb384434361f57d37" formatStyle="Comma">
            <m:extendConcept standardLabel="母公司利润表1.归属于母公司股东的净利润" shortLabel="1.归属于母公司股东的净利润" referenceConcept="clcid-pte:ZhongZhiJingYingJingLiRun"/>
            <m:axisValue occRef="母公司"/>
          </m:item>
        </m:tuple>
        <m:tuple xlName="_TUP_9e92e793b4ee4c55858043160cadd812" concept="" label="项目2.归属于母公司其他权益工具持有者的净利润" retag="true" xtype="item">
          <m:extendConcept standardLabel="项目2.归属于母公司其他权益工具持有者的净利润" shortLabel="2.归属于母公司其他权益工具持有者的净利润"/>
          <m:item xlName="_GBC_2d65eafa7b5148ed891d8007590d9ec4" retag="true" concept="clcid-ci-ar:ZiDingYiKeMuMingCheng" label="自定义科目名称" isCaption="true"/>
          <m:item xlName="VIRTUAL__GBC_5e08c799720141808398e0e6aa291f75" concept="clcid-ci-ar:ZiDingYiKeMuWeiZhi" label="自定义科目位置"/>
          <m:item xlName="_GBC_2d6cb7e678a94a27ba9f6b77c138bc7b" retag="true" concept="" mulRef="_GBC_955732cd74ff4f1f9b098e70c1b85c60" unitRef="_GBC_125a2547934143ccb384434361f57d37" formatStyle="Comma">
            <m:extendConcept standardLabel="母公司利润表2.归属于母公司其他权益工具持有者的净利润" shortLabel="2.归属于母公司其他权益工具持有者的净利润" referenceConcept="clcid-pte:ZhongZhiJingYingJingLiRun"/>
            <m:axisValue occRef="母公司"/>
          </m:item>
          <m:item xlName="_GBC_fa6e0a0467354e24906a9cec0b521fb4" retag="true" concept="" periodRef="上年同期数" mulRef="_GBC_955732cd74ff4f1f9b098e70c1b85c60" unitRef="_GBC_125a2547934143ccb384434361f57d37" formatStyle="Comma">
            <m:extendConcept standardLabel="母公司利润表2.归属于母公司其他权益工具持有者的净利润" shortLabel="2.归属于母公司其他权益工具持有者的净利润" referenceConcept="clcid-pte:ZhongZhiJingYingJingLiRun"/>
            <m:axisValue occRef="母公司"/>
          </m:item>
        </m:tuple>
        <m:tuple xlName="_TUP_258b3ecc090141728c826dd157b25b37" concept="" label="项目(二)按所有权归属分类:" xtype="item">
          <m:extendConcept standardLabel="项目(二)按所有权归属分类:" shortLabel="（二）按所有权归属分类："/>
          <m:item xlName="_GBC_8c1d1a410fcb46d69f84aa2c72faac23" concept="clcid-ci-ar:ZiDingYiKeMuMingCheng" label="自定义科目名称" isCaption="true"/>
          <m:item xlName="VIRTUAL_GBC_f34e76a7f7504eabad91fe0a1b5ca090" concept="clcid-ci-ar:ZiDingYiKeMuWeiZhi" label="自定义科目位置"/>
          <m:item xlName="_GBC_f816896433fe430192b65c24952bea06" pickName="" concept="">
            <m:extendConcept standardLabel="附注_母公司利润表(二)按所有权归属分类:" referenceConcept="clcid-ci-ar:FuZhu_ZhongZhiJingYingJingLiRun"/>
            <m:axisValue occRef="母公司"/>
          </m:item>
          <m:item xlName="_GBC_b6117a1c7eaf44958a5e1a49275c063f" pickName="" concept="" mulRef="_GBC_955732cd74ff4f1f9b098e70c1b85c60" unitRef="_GBC_125a2547934143ccb384434361f57d37" formatStyle="Comma">
            <m:extendConcept standardLabel="母公司利润表(二)按所有权归属分类:" referenceConcept="clcid-pte:ZhongZhiJingYingJingLiRun"/>
            <m:axisValue occRef="母公司"/>
          </m:item>
          <m:item xlName="_GBC_d8a959fb75a047bdb0fd56fdae9b79ea" pickName="" concept="" periodRef="上年同期数" mulRef="_GBC_955732cd74ff4f1f9b098e70c1b85c60" unitRef="_GBC_125a2547934143ccb384434361f57d37" formatStyle="Comma">
            <m:extendConcept standardLabel="母公司利润表(二)按所有权归属分类:" referenceConcept="clcid-pte:ZhongZhiJingYingJingLiRun"/>
            <m:axisValue occRef="母公司"/>
          </m:item>
          <m:item xlName="_GBC_e39591441a5e465ea816f58e5025c0ff" custom="1" concept="clcid-ci-ar:FuZhu_GuiShuYuMuGongSiSuoYouZheDeJingLiRun" label="归属于母公司所有者的净利润">
            <m:axisValue occRef="母公司"/>
          </m:item>
          <m:item xlName="_GBC_67542606483f47ca822a386f08e2a427" custom="1" concept="clcid-pte:GuiShuYuMuGongSiSuoYouZheDeJingLiRun" label="归属于母公司所有者的净利润" mulRef="_GBC_955732cd74ff4f1f9b098e70c1b85c60" unitRef="_GBC_125a2547934143ccb384434361f57d37" formatStyle="Comma">
            <m:axisValue occRef="母公司"/>
          </m:item>
          <m:item xlName="_GBC_bd18de9e9a1a495aa4c1983d287ef2c2" custom="1" concept="clcid-pte:GuiShuYuMuGongSiSuoYouZheDeJingLiRun" label="归属于母公司所有者的净利润" periodRef="上年同期数" mulRef="_GBC_955732cd74ff4f1f9b098e70c1b85c60" unitRef="_GBC_125a2547934143ccb384434361f57d37" formatStyle="Comma">
            <m:axisValue occRef="母公司"/>
          </m:item>
        </m:tuple>
        <m:placeholder xlName="_PLD_cad1b25bd15c4280bb7965cf20d171e0" custom="1"/>
        <m:tuple xlName="_TUP_abce679e8f0c4bb5a5a12924ab455633" concept="" label="项目2.归属于母公司其他权益工具持有者的净利润" xtype="item">
          <m:extendConcept standardLabel="项目2.归属于母公司其他权益工具持有者的净利润" shortLabel="2.归属于母公司其他权益工具持有者的净利润"/>
          <m:item xlName="_GBC_27f34a0ef7b147b2b47d2802c8e3a3b8" concept="clcid-ci-ar:ZiDingYiKeMuMingCheng" label="自定义科目名称" isCaption="true"/>
          <m:item xlName="VIRTUAL_GBC_dd8e9e347bdc44fea472b069658b9e8c" concept="clcid-ci-ar:ZiDingYiKeMuWeiZhi" label="自定义科目位置"/>
          <m:item xlName="_GBC_98af661fe1bb4cdca46b69c36b6dc3ec" custom="1" concept="">
            <m:extendConcept standardLabel="附注_母公司利润表2.归属于母公司其他权益工具持有者的净利润" referenceConcept="clcid-ci-ar:FuZhu_GuiShuYuMuGongSiSuoYouZheDeJingLiRun"/>
            <m:axisValue occRef="母公司"/>
          </m:item>
          <m:item xlName="_GBC_bca3565ea3f948559fc53f6545e5ca1d" custom="1" concept="" mulRef="_GBC_955732cd74ff4f1f9b098e70c1b85c60" unitRef="_GBC_125a2547934143ccb384434361f57d37" formatStyle="Comma">
            <m:extendConcept standardLabel="母公司利润表2.归属于母公司其他权益工具持有者的净利润" referenceConcept="clcid-pte:GuiShuYuMuGongSiSuoYouZheDeJingLiRun"/>
            <m:axisValue occRef="母公司"/>
          </m:item>
          <m:item xlName="_GBC_377f54daad86418aa9bbc77e3ac4373c" custom="1" concept="" periodRef="上年同期数" mulRef="_GBC_955732cd74ff4f1f9b098e70c1b85c60" unitRef="_GBC_125a2547934143ccb384434361f57d37" formatStyle="Comma">
            <m:extendConcept standardLabel="母公司利润表2.归属于母公司其他权益工具持有者的净利润" referenceConcept="clcid-pte:GuiShuYuMuGongSiSuoYouZheDeJingLiRun"/>
            <m:axisValue occRef="母公司"/>
          </m:item>
        </m:tuple>
        <m:tuple xlName="_TUP_6b042ead0097410a8c7f0ff420071b5c" concept="" label="项目归属于母公司股东的综合收益总额" xtype="item">
          <m:extendConcept standardLabel="项目归属于母公司股东的综合收益总额" shortLabel="归属于母公司股东的综合收益总额"/>
          <m:item xlName="_GBC_4d26dfddc5694a8baf9646e0de519d0b" concept="clcid-ci-ar:ZiDingYiKeMuMingCheng" label="自定义科目名称" isCaption="true"/>
          <m:item xlName="VIRTUAL_GBC_e72a1e4aef0649e380fad78d40bbcc32" concept="clcid-ci-ar:ZiDingYiKeMuWeiZhi" label="自定义科目位置"/>
          <m:item xlName="_GBC_8c657265a00341b5974b0d6ca7186ed9" pickName="" concept="">
            <m:extendConcept standardLabel="附注_母公司利润表归属于母公司股东的综合收益总额" referenceConcept="clcid-ci-ar:FuZhu_ZongHeShouYiZongE"/>
            <m:axisValue occRef="母公司"/>
          </m:item>
          <m:item xlName="_GBC_0df1ed4785504c31ac5a1b8abae0f8c5" pickName="" concept="" mulRef="_GBC_955732cd74ff4f1f9b098e70c1b85c60" unitRef="_GBC_125a2547934143ccb384434361f57d37" formatStyle="Comma">
            <m:extendConcept standardLabel="母公司利润表归属于母公司股东的综合收益总额" referenceConcept="clcid-pte:ZongHeShouYiZongE"/>
            <m:axisValue occRef="母公司"/>
          </m:item>
          <m:item xlName="_GBC_090313fef6744a6aa49ad145138aea25" pickName="" concept="" periodRef="上年同期数" mulRef="_GBC_955732cd74ff4f1f9b098e70c1b85c60" unitRef="_GBC_125a2547934143ccb384434361f57d37" formatStyle="Comma">
            <m:extendConcept standardLabel="母公司利润表归属于母公司股东的综合收益总额" referenceConcept="clcid-pte:ZongHeShouYiZongE"/>
            <m:axisValue occRef="母公司"/>
          </m:item>
        </m:tuple>
        <m:tuple xlName="_TUP_262984a66c3d4f76b0b808c27c6d1d33" concept="" label="项目归属于母公司其他权益工具持有者的综合收益总额" xtype="item">
          <m:extendConcept standardLabel="项目归属于母公司其他权益工具持有者的综合收益总额" shortLabel="归属于母公司其他权益工具持有者的综合收益总额"/>
          <m:item xlName="_GBC_06b83c84cf4945e7b408227881490b08" concept="clcid-ci-ar:ZiDingYiKeMuMingCheng" label="自定义科目名称" isCaption="true"/>
          <m:item xlName="VIRTUAL_GBC_ad2fde2e7b3042608c1a431d5882b01b" concept="clcid-ci-ar:ZiDingYiKeMuWeiZhi" label="自定义科目位置"/>
          <m:item xlName="_GBC_5bf29e1762fc48879c865c31d1f51215" concept="">
            <m:extendConcept standardLabel="附注_母公司利润表归属于母公司其他权益工具持有者的综合收益总额" referenceConcept="clcid-ci-ar:FuZhu_ZongHeShouYiZongE"/>
            <m:axisValue occRef="母公司"/>
          </m:item>
          <m:item xlName="_GBC_d8c2da0f7672458283a95e447cb455a9" concept="" mulRef="_GBC_955732cd74ff4f1f9b098e70c1b85c60" unitRef="_GBC_125a2547934143ccb384434361f57d37" formatStyle="Comma">
            <m:extendConcept standardLabel="母公司利润表归属于母公司其他权益工具持有者的综合收益总额" referenceConcept="clcid-pte:ZongHeShouYiZongE"/>
            <m:axisValue occRef="母公司"/>
          </m:item>
          <m:item xlName="_GBC_1478ff3efa104340842fc3d2ffa20e6e" concept="" periodRef="上年同期数" mulRef="_GBC_955732cd74ff4f1f9b098e70c1b85c60" unitRef="_GBC_125a2547934143ccb384434361f57d37" formatStyle="Comma">
            <m:extendConcept standardLabel="母公司利润表归属于母公司其他权益工具持有者的综合收益总额" referenceConcept="clcid-pte:ZongHeShouYiZongE"/>
            <m:axisValue occRef="母公司"/>
          </m:item>
        </m:tuple>
        <m:rowModel locationConcept="clcid-ci-ar:ZiDingYiKeMuWeiZhi" labelConcept="clcid-ci-ar:ZiDingYiKeMuMingCheng" conceptPrefix="母公司利润表" presentationRole="http://www.xbrl-cn.org/cn/lcid/lr/role/IncomeStatementforCommercialandIndustrialCompanies" presentationParentConcept="clcid-pte:LiRunBiao" tuplePrefix="项目"/>
      </m:region>
    </m:section>
    <m:section xlName="_GBC_3ad209fb8b5d433d8d91b39c5a1a6fe2" title="无需编制合并报表" checkKey="!合并" helpId="112001001" primarySection="_GBC_bf89afc47e17438594730edb3412d929" optionText="无需编制合并报表" optionGroupTitle="是否需要合并报表" optionTargetConcept="clcid-ci-ar:ShiFouXuYaoHeBingBaoBiao" optionTargetConceptValue="false" keyAction="57" otherKeyActions="{&quot;KeyCode&quot;:null,&quot;KeyAction&quot;:88,&quot;KeyActionTitle&quot;:null,&quot;OtherActions&quot;:null}|{&quot;KeyCode&quot;:&quot;2&quot;,&quot;KeyAction&quot;:42,&quot;KeyActionTitle&quot;:null,&quot;OtherActions&quot;:null}" noCustom="1">
      <m:rowModel locationConcept="clcid-ci-ar:ZiDingYiKeMuWeiZhi" labelConcept="clcid-ci-ar:ZiDingYiKeMuMingCheng" conceptPrefix="利润表" presentationRole="http://www.xbrl-cn.org/cn/lcid/lr/role/IncomeStatementforCommercialandIndustrialCompanies" presentationParentConcept="clcid-pte:LiRunBiao" tuplePrefix="项目"/>
    </m:section>
    <m:section xlName="_GBC_d6533048a32749eaa7738390457b7f24" title="需要编制合并报表" checkKey="合并" helpId="112001001" primarySection="_GBC_d6533048a32749eaa7738390457b7f24" optionText="需要编制合并报表" optionGroupTitle="是否需要合并报表" optionTargetConcept="clcid-ci-ar:ShiFouXuYaoHeBingBaoBiao" optionTargetConceptValue="true" keyAction="57" otherKeyActions="{&quot;KeyCode&quot;:&quot;2&quot;,&quot;KeyAction&quot;:42,&quot;KeyActionTitle&quot;:null,&quot;OtherActions&quot;:null}" noCustom="1"/>
    <m:section xlName="_GBC_de8d3cfcf111414a940cf01324ef9389" title="无需编制合并报表" checkKey="!合并" helpId="112001001" primarySection="_GBC_d6533048a32749eaa7738390457b7f24" optionText="无需编制合并报表" optionGroupTitle="是否需要合并报表" optionTargetConcept="clcid-ci-ar:ShiFouXuYaoHeBingBaoBiao" optionTargetConceptValue="false" keyAction="57" otherKeyActions="{&quot;KeyCode&quot;:&quot;2&quot;,&quot;KeyAction&quot;:42,&quot;KeyActionTitle&quot;:null,&quot;OtherActions&quot;:null}" noCustom="1">
      <m:rowModel locationConcept="clcid-ci-ar:ZiDingYiKeMuWeiZhi" labelConcept="clcid-ci-ar:ZiDingYiKeMuMingCheng" conceptPrefix="现金流量表" presentationRole="http://www.xbrl-cn.org/cn/lcid/lr/role/CashFlowsStatementforCommercialandIndustrialCompanies" presentationParentConcept="clcid-pte:XianJinLiuLiangBiao" tuplePrefix="项目"/>
    </m:section>
    <m:section xlName="_GBC_3b1dcbfa33024cc0a5c2f3d693817342" title="需要编制合并报表" checkKey="合并" extended="true" helpId="112001001" primarySection="_GBC_3b1dcbfa33024cc0a5c2f3d693817342" optionText="需要编制合并报表" activeContentOption="_GBC_3b1dcbfa33024cc0a5c2f3d693817342" optionGroupTitle="是否需要合并报表" optionTargetConcept="clcid-ci-ar:ShiFouXuYaoHeBingBaoBiao" optionTargetConceptValue="true" keyAction="57" otherKeyActions="{&quot;KeyCode&quot;:&quot;2&quot;,&quot;KeyAction&quot;:42,&quot;KeyActionTitle&quot;:null,&quot;OtherActions&quot;:null}" noCustom="1">
      <m:region xlName="_GBC_3eeab460b9b64d53b91f5e0ddcd3030f" title="合并所有者权益变动表&#10;" mandatory="false" helpId="112001001" matrix="true" matrixTablePrefix="合并所有者权益变动表">
        <m:item xlName="_GBC_57faea4e453e49ad93821b7dd6ce8bc4" indRef="99" concept="clcid-ci-ar:DanWeiHeBingGuDongQuanYiDiaoJieBiao" label="单位：合并股东权益调节表" selectOptions="_buildInScales" controlType="Combobox" cellType="Scale"/>
        <m:item xlName="_GBC_cef77704267643d794145c73763360e5" indRef="100" concept="clcid-ci-ar:BiZhongHeBingGuDongQuanYiDiaoJieBiao" label="币种：合并股东权益调节表" selectOptions="_buildInISO4217" controlType="Combobox" cellType="Measure"/>
        <m:placeholder xlName="_PLD_5bd68ed5796041328d1a003c1362ceaf" wordText="项目" addr="T0R0C0S4_1"/>
        <m:placeholder xlName="_PLD_70c71cd0427542b1b96a0fa943173d3d" wordText="2023年半年度" addr="T0R0C1S1_15"/>
        <m:placeholder xlName="_PLD_e146ec74496c4c03a714dcef40faa972" wordText="归属于母公司所有者权益" addr="T0R1C1S1_13"/>
        <m:placeholder xlName="_PLD_b1ca85c50c1341e59b4b412e92d87f2f" wordText="少数股东权益" addr="T0R1C14S3_1"/>
        <m:placeholder xlName="_PLD_0e252e0d00f04386b93d4e3064ba423d" wordText="所有者权益合计" addr="T0R1C15S3_1"/>
        <m:placeholder xlName="_PLD_1605afb5a60946a9ba86cca783d492d3" wordText="实收资本 (或股本)" addr="T0R2C1S2_1"/>
        <m:placeholder xlName="_PLD_78f5e518a65d422c99d27d23e96afb9e" wordText="其他权益工具" addr="T0R2C2S1_3"/>
        <m:placeholder xlName="_PLD_f67d05ac9f6f4daaafdf90084911dcee" wordText="资本公积" addr="T0R2C5S2_1"/>
        <m:placeholder xlName="_PLD_21df11f52b3443acacf7dd8421b5cc67" wordText="减：库存股" addr="T0R2C6S2_1"/>
        <m:placeholder xlName="_PLD_bdc12fd277ea4fbe9c90f9480d9ecddb" wordText="其他综合收益" addr="T0R2C7S2_1"/>
        <m:placeholder xlName="_PLD_b4aa95f4be904a02958b77b5542bb78d" wordText="专项储备" addr="T0R2C8S2_1"/>
        <m:placeholder xlName="_PLD_1ee8f47ee38e4000af64e781a1a0e729" wordText="盈余公积" addr="T0R2C9S2_1"/>
        <m:placeholder xlName="_PLD_b09258af0aa4494b8e88e711ca2dd7b8" wordText="一般风险准备" addr="T0R2C10S2_1"/>
        <m:placeholder xlName="_PLD_f20054bead0a491aafe7bb5a5952f48f" wordText="未分配利润" addr="T0R2C11S2_1"/>
        <m:placeholder xlName="_PLD_ee763dfa69fd4fa3bec927cefa83eadc" wordText="其他" addr="T0R2C12S2_1"/>
        <m:placeholder xlName="_PLD_97c92cf2be1e4f36880a16a2c16704b4" wordText="小计" addr="T0R2C13S2_1"/>
        <m:placeholder xlName="_PLD_7b6493af25ff4e3986120f711cb3be4e" wordText="优先股" addr="T0R3C2S1_1"/>
        <m:placeholder xlName="_PLD_446c35c8857c4ad0bb648db82e104141" wordText="永续债" addr="T0R3C3S1_1"/>
        <m:placeholder xlName="_PLD_e8048d05ab294ec8a2a849ca1f70a7c9" wordText="其他" addr="T0R3C4S1_1"/>
        <m:placeholder xlName="_PLD_1f22f69e67ea4292afb08dec65f863c7" wordText="一、上年期末余额" addr="T0R4C0S1_1"/>
        <m:item xlName="_GBC_2a48cd3f70d94e34968adccf792039b2" concept="clcid-pte:GuBen" label="股本" periodRef="上年度期末数" mulRef="_GBC_57faea4e453e49ad93821b7dd6ce8bc4" unitRef="_GBC_cef77704267643d794145c73763360e5" addr="T0R4C1S1_1" formatStyle="Comma">
          <m:axisValue occRef="调整前的值"/>
        </m:item>
        <m:item xlName="_GBC_f35b3ab1eb4c4fa4879673cd9e9b3ace" concept="clcid-pte:QiTaQuanYiGongJuQiZhongYouXianGu" label="其他权益工具-其中：优先股" periodRef="上年度期末数" mulRef="_GBC_57faea4e453e49ad93821b7dd6ce8bc4" unitRef="_GBC_cef77704267643d794145c73763360e5" addr="T0R4C2S1_1" formatStyle="Comma">
          <m:axisValue occRef="调整前的值"/>
        </m:item>
        <m:item xlName="_GBC_a61a93441152475db9586a1c38419535" concept="clcid-pte:QiTaQuanYiGongJuYongXuZhai" label="其他权益工具-永续债" periodRef="上年度期末数" mulRef="_GBC_57faea4e453e49ad93821b7dd6ce8bc4" unitRef="_GBC_cef77704267643d794145c73763360e5" addr="T0R4C3S1_1" formatStyle="Comma">
          <m:axisValue occRef="调整前的值"/>
        </m:item>
        <m:item xlName="_GBC_c36369125339497b9d32bd74edae9f05" concept="clcid-pte:QiTaQuanYiGongJuQiTa" label="其他权益工具-其他" periodRef="上年度期末数" mulRef="_GBC_57faea4e453e49ad93821b7dd6ce8bc4" unitRef="_GBC_cef77704267643d794145c73763360e5" addr="T0R4C4S1_1" formatStyle="Comma">
          <m:axisValue occRef="调整前的值"/>
        </m:item>
        <m:item xlName="_GBC_5a28cd87b006409499b33fed193e92f9" concept="clcid-pte:ZiBenGongJi" label="资本公积" periodRef="上年度期末数" mulRef="_GBC_57faea4e453e49ad93821b7dd6ce8bc4" unitRef="_GBC_cef77704267643d794145c73763360e5" addr="T0R4C5S1_1" formatStyle="Comma">
          <m:axisValue occRef="调整前的值"/>
        </m:item>
        <m:item xlName="_GBC_787415b0f2ef4683a25f0141ac69f7eb" concept="clcid-pte:KuCunGu" label="库存股" periodRef="上年度期末数" mulRef="_GBC_57faea4e453e49ad93821b7dd6ce8bc4" unitRef="_GBC_cef77704267643d794145c73763360e5" addr="T0R4C6S1_1" baseScale="-1" formatStyle="Comma" keyCode="abs" keyAction="108">
          <m:axisValue occRef="调整前的值"/>
        </m:item>
        <m:item xlName="_GBC_2638d85431704f6a94e82ae74bb1adf5" concept="clcid-pte:QiTaZongHeShouYiZiChanFuZhaiBiaoXiangMu" label="其他综合收益（资产负债表项目）" periodRef="上年度期末数" mulRef="_GBC_57faea4e453e49ad93821b7dd6ce8bc4" unitRef="_GBC_cef77704267643d794145c73763360e5" addr="T0R4C7S1_1" formatStyle="Comma">
          <m:axisValue occRef="调整前的值"/>
        </m:item>
        <m:item xlName="_GBC_aa6704accee44e90bf17ba6505171a25" concept="clcid-pte:ZhuanXiangChuBei" label="专项储备" periodRef="上年度期末数" mulRef="_GBC_57faea4e453e49ad93821b7dd6ce8bc4" unitRef="_GBC_cef77704267643d794145c73763360e5" addr="T0R4C8S1_1" formatStyle="Comma">
          <m:axisValue occRef="调整前的值"/>
        </m:item>
        <m:item xlName="_GBC_e5af2051e7c04d949ad388d8c59d4c71" concept="clcid-pte:YingYuGongJi" label="盈余公积" periodRef="上年度期末数" mulRef="_GBC_57faea4e453e49ad93821b7dd6ce8bc4" unitRef="_GBC_cef77704267643d794145c73763360e5" addr="T0R4C9S1_1" formatStyle="Comma">
          <m:axisValue occRef="调整前的值"/>
        </m:item>
        <m:item xlName="_GBC_929660d22f6e40369bba692eb395bba2" concept="clcid-pte:YiBanFengXianZhunBei" label="一般风险准备" periodRef="上年度期末数" mulRef="_GBC_57faea4e453e49ad93821b7dd6ce8bc4" unitRef="_GBC_cef77704267643d794145c73763360e5" addr="T0R4C10S1_1" formatStyle="Comma">
          <m:axisValue occRef="调整前的值"/>
        </m:item>
        <m:item xlName="_GBC_c7fcad78f5ec4ade955895585296c5cf" concept="clcid-pte:WeiFenPeiLiRun" label="未分配利润" periodRef="上年度期末数" mulRef="_GBC_57faea4e453e49ad93821b7dd6ce8bc4" unitRef="_GBC_cef77704267643d794145c73763360e5" addr="T0R4C11S1_1" formatStyle="Comma">
          <m:axisValue occRef="调整前的值"/>
        </m:item>
        <m:item xlName="_GBC_be48b137367e42c9b286e258e5a98e80" concept="clcid-pte:QiTaDeGuiShuYuMuGongSiSuoYouZheQuanYi" label="其他的归属于母公司所有者权益" periodRef="上年度期末数" mulRef="_GBC_57faea4e453e49ad93821b7dd6ce8bc4" unitRef="_GBC_cef77704267643d794145c73763360e5" addr="T0R4C12S1_1" formatStyle="Comma">
          <m:axisValue occRef="调整前的值"/>
        </m:item>
        <m:item xlName="_GBC_4c1f47baccb24c12b29170bd8daae272" concept="clcid-pte:GuiShuYuMuGongSiSuoYouZheQuanYiHeJi" label="归属于母公司所有者权益合计" periodRef="上年度期末数" mulRef="_GBC_57faea4e453e49ad93821b7dd6ce8bc4" unitRef="_GBC_cef77704267643d794145c73763360e5" addr="T0R4C13S1_1" formatStyle="Comma">
          <m:axisValue occRef="调整前的值"/>
        </m:item>
        <m:item xlName="_GBC_5fd8e2cca85649859a3610a4459c4cfe" concept="clcid-pte:ShaoShuGuDongQuanYi" label="少数股东权益" periodRef="上年度期末数" mulRef="_GBC_57faea4e453e49ad93821b7dd6ce8bc4" unitRef="_GBC_cef77704267643d794145c73763360e5" addr="T0R4C14S1_1" formatStyle="Comma">
          <m:axisValue occRef="调整前的值"/>
        </m:item>
        <m:item xlName="_GBC_3da432db294d4b91908f25c84b2b579a" concept="clcid-pte:GuDongQuanYiHeJi" label="股东权益合计" periodRef="上年度期末数" mulRef="_GBC_57faea4e453e49ad93821b7dd6ce8bc4" unitRef="_GBC_cef77704267643d794145c73763360e5" addr="T0R4C15S1_1" formatStyle="Comma">
          <m:axisValue occRef="调整前的值"/>
        </m:item>
        <m:placeholder xlName="_PLD_8753148a28244d68bf92b2fbad32f9b8" wordText="加：会计政策变更" addr="T0R5C0S1_1"/>
        <m:item xlName="_GBC_4dcd5d84107d48829691bb41c460fcd6" concept="clcid-pte:KuaiJiZhengCeBianGengDaoZhiShiShouZiBenHuoGuBenJingEBianDongJinE" label="会计政策变更导致实收资本（或股本）净额变动金额" periodRef="本期期初数" mulRef="_GBC_57faea4e453e49ad93821b7dd6ce8bc4" unitRef="_GBC_cef77704267643d794145c73763360e5" addr="T0R5C1S1_1" formatStyle="Comma"/>
        <m:item xlName="_GBC_4b97fd793fe9426098404ea504e3d7eb" concept="clcid-pte:HuiJiZhengCeBianGengDaoZhiYouXianGuBianDongJinE" label="会计政策变更导致优先股变动金额" periodRef="本期期初数" mulRef="_GBC_57faea4e453e49ad93821b7dd6ce8bc4" unitRef="_GBC_cef77704267643d794145c73763360e5" addr="T0R5C2S1_1" formatStyle="Comma"/>
        <m:item xlName="_GBC_954c08590128459dae721f9baf64a3af" concept="clcid-pte:HuiJiZhengCeBianGengDaoZhiYongXuZhaiBianDongJinE" label="会计政策变更导致永续债变动金额" periodRef="本期期初数" mulRef="_GBC_57faea4e453e49ad93821b7dd6ce8bc4" unitRef="_GBC_cef77704267643d794145c73763360e5" addr="T0R5C3S1_1" formatStyle="Comma"/>
        <m:item xlName="_GBC_5769b4b779354943b6d4b13ae67bf1f4" concept="clcid-pte:HuiJiZhengCeBianGengDaoZhiQiTaQuanYiGongJuZhongDeQiTaBianDongJinE" label="会计政策变更导致其他权益工具中的其他变动金额" periodRef="本期期初数" mulRef="_GBC_57faea4e453e49ad93821b7dd6ce8bc4" unitRef="_GBC_cef77704267643d794145c73763360e5" addr="T0R5C4S1_1" formatStyle="Comma"/>
        <m:item xlName="_GBC_47d838519444468baa8f5578c223635d" concept="clcid-pte:KuaiJiZhengCeBianGengDaoZhiZiBenGongJiBianDongJinE" label="会计政策变更导致资本公积变动金额" periodRef="本期期初数" mulRef="_GBC_57faea4e453e49ad93821b7dd6ce8bc4" unitRef="_GBC_cef77704267643d794145c73763360e5" addr="T0R5C5S1_1" formatStyle="Comma"/>
        <m:item xlName="_GBC_7750a1204fdc4645b5dd1c8f7580d1ba" concept="clcid-pte:KuaiJiZhengCeBianGengDaoZhiKuCunGuBianDongJinE" label="会计政策变更导致库存股变动金额" periodRef="本期期初数" mulRef="_GBC_57faea4e453e49ad93821b7dd6ce8bc4" unitRef="_GBC_cef77704267643d794145c73763360e5" addr="T0R5C6S1_1" baseScale="-1" formatStyle="Comma"/>
        <m:item xlName="_GBC_44cc114c1e8f4f978d82c5f14365300b" concept="clcid-pte:HuiJiZhengCeBianGengDaoZhiQiTaZongHeShouYiBianDongJinE" label="会计政策变更导致其他综合收益变动金额" periodRef="本期期初数" mulRef="_GBC_57faea4e453e49ad93821b7dd6ce8bc4" unitRef="_GBC_cef77704267643d794145c73763360e5" addr="T0R5C7S1_1" formatStyle="Comma"/>
        <m:item xlName="_GBC_abbda9bc16554aaf867205803a74ae14" concept="clcid-pte:KuaiJiZhengCeBianGengDaoZhiZhuanXiangChuBeiBianDongJinE" label="会计政策变更导致专项储备变动金额" periodRef="本期期初数" mulRef="_GBC_57faea4e453e49ad93821b7dd6ce8bc4" unitRef="_GBC_cef77704267643d794145c73763360e5" addr="T0R5C8S1_1" formatStyle="Comma"/>
        <m:item xlName="_GBC_af5c61442f8e4d9da166c4bcab887ba9" concept="clcid-pte:KuaiJiZhengCeBianGengDaoZhiYingYuGongJiBianDongJinE" label="会计政策变更导致盈余公积变动金额" periodRef="本期期初数" mulRef="_GBC_57faea4e453e49ad93821b7dd6ce8bc4" unitRef="_GBC_cef77704267643d794145c73763360e5" addr="T0R5C9S1_1" formatStyle="Comma"/>
        <m:item xlName="_GBC_81f742bd68974b2ab3027cebdcf9e8c4" concept="clcid-pte:KuaiJiZhengCeBianGengDaoZhiYiBanFengXianZhunBeiBianDongJinE" label="会计政策变更导致一般风险准备变动金额" periodRef="本期期初数" mulRef="_GBC_57faea4e453e49ad93821b7dd6ce8bc4" unitRef="_GBC_cef77704267643d794145c73763360e5" addr="T0R5C10S1_1" formatStyle="Comma"/>
        <m:item xlName="_GBC_9b788a673d194d9ab2620c795e5c5ecf" concept="clcid-pte:KuaiJiZhengCeBianGengDaoZhiWeiFenPeiLiRunBianDongJinE" label="会计政策变更导致未分配利润变动金额" periodRef="本期期初数" mulRef="_GBC_57faea4e453e49ad93821b7dd6ce8bc4" unitRef="_GBC_cef77704267643d794145c73763360e5" addr="T0R5C11S1_1" formatStyle="Comma"/>
        <m:item xlName="_GBC_431997c0f3f540b2a0f2915d34a9d0d2" concept="clcid-pte:KuaiJiZhengCeBianGengDaoZhiQiTaDeGuiShuYuMuGongSiSuoYouZheQuanYiBianDongJinE" label="会计政策变更导致其他的归属于母公司所有者权益变动金额" periodRef="本期期初数" mulRef="_GBC_57faea4e453e49ad93821b7dd6ce8bc4" unitRef="_GBC_cef77704267643d794145c73763360e5" addr="T0R5C12S1_1" formatStyle="Comma"/>
        <m:item xlName="_GBC_e515f1378d8b4493955dda0e30924799" concept="clcid-pte:KuaiJiZhengCeBianGengDaoZhiGuiShuYuMuGongSiSuoYouZheQuanYiBianDongJinE" label="会计政策变更导致归属于母公司所有者权益变动金额" periodRef="本期期初数" mulRef="_GBC_57faea4e453e49ad93821b7dd6ce8bc4" unitRef="_GBC_cef77704267643d794145c73763360e5" addr="T0R5C13S1_1" formatStyle="Comma"/>
        <m:item xlName="_GBC_81e28c06ebb54bf3a4b2c6d032037d37" concept="clcid-pte:KuaiJiZhengCeBianGengDaoZhiShaoShuGuDongQuanYiBianDongJinE" label="会计政策变更导致少数股东权益变动金额" periodRef="本期期初数" mulRef="_GBC_57faea4e453e49ad93821b7dd6ce8bc4" unitRef="_GBC_cef77704267643d794145c73763360e5" addr="T0R5C14S1_1" formatStyle="Comma"/>
        <m:item xlName="_GBC_1d0377e6fe104a3dbff7b0d93142a4a9" concept="clcid-pte:KuaiJiZhengCeBianGengDaoZhiGuDongQuanYiHeJiBianDongJinE" label="会计政策变更导致股东权益合计变动金额" periodRef="本期期初数" mulRef="_GBC_57faea4e453e49ad93821b7dd6ce8bc4" unitRef="_GBC_cef77704267643d794145c73763360e5" addr="T0R5C15S1_1" formatStyle="Comma"/>
        <m:placeholder xlName="_PLD_291ece6b974e4962be6cec3c398fd5be" wordText="前期差错更正" indent="200" addr="T0R6C0S1_1"/>
        <m:item xlName="_GBC_052eb8c214ea494aa6a424858b98d449" concept="clcid-pte:QianQiChaCuoGengZhengDaoZhiShiShouZiBenHuoGuBenJingEBianDongJinE" label="前期差错更正导致实收资本（或股本）净额变动金额" periodRef="本期期初数" mulRef="_GBC_57faea4e453e49ad93821b7dd6ce8bc4" unitRef="_GBC_cef77704267643d794145c73763360e5" addr="T0R6C1S1_1" formatStyle="Comma"/>
        <m:item xlName="_GBC_9075a1534b294a91bcbbf354238fe8b7" concept="clcid-pte:QianQiChaCuoGengZhengDaoZhiYouXianGuBianDongJinE" label="前期差错更正导致优先股变动金额" periodRef="本期期初数" mulRef="_GBC_57faea4e453e49ad93821b7dd6ce8bc4" unitRef="_GBC_cef77704267643d794145c73763360e5" addr="T0R6C2S1_1" formatStyle="Comma"/>
        <m:item xlName="_GBC_3483a72025c7474ca89c0be607e9509f" concept="clcid-pte:QianQiChaCuoGengZhengDaoZhiYongXuZhaiBianDongJinE" label="前期差错更正导致永续债变动金额" periodRef="本期期初数" mulRef="_GBC_57faea4e453e49ad93821b7dd6ce8bc4" unitRef="_GBC_cef77704267643d794145c73763360e5" addr="T0R6C3S1_1" formatStyle="Comma"/>
        <m:item xlName="_GBC_e92fe496bce14022997a1beb2008def0" concept="clcid-pte:QianQiChaCuoGengZhengDaoZhiQiTaQuanYiGongJuZhongDeQiTaBianDongJinE" label="前期差错更正导致其他权益工具中的其他变动金额" periodRef="本期期初数" mulRef="_GBC_57faea4e453e49ad93821b7dd6ce8bc4" unitRef="_GBC_cef77704267643d794145c73763360e5" addr="T0R6C4S1_1" formatStyle="Comma"/>
        <m:item xlName="_GBC_29d82b4dcd5145748fbf8f7e50500315" concept="clcid-pte:QianQiChaCuoGengZhengDaoZhiZiBenGongJiBianDongJinE" label="前期差错更正导致资本公积变动金额" periodRef="本期期初数" mulRef="_GBC_57faea4e453e49ad93821b7dd6ce8bc4" unitRef="_GBC_cef77704267643d794145c73763360e5" addr="T0R6C5S1_1" formatStyle="Comma"/>
        <m:item xlName="_GBC_9f49a7a645e54562bfbc02ee2d8a9929" concept="clcid-pte:QianQiChaCuoGengZhengDaoZhiKuCunGuBianDongJinE" label="前期差错更正导致库存股变动金额" periodRef="本期期初数" mulRef="_GBC_57faea4e453e49ad93821b7dd6ce8bc4" unitRef="_GBC_cef77704267643d794145c73763360e5" addr="T0R6C6S1_1" baseScale="-1" formatStyle="Comma"/>
        <m:item xlName="_GBC_47e5b455db3047b1bb3ad946e1874bf5" concept="clcid-pte:QianQiChaCuoGengZhengDaoZhiQiTaZongHeShouYiBianDongJinE" label="前期差错更正导致其他综合收益变动金额" periodRef="本期期初数" mulRef="_GBC_57faea4e453e49ad93821b7dd6ce8bc4" unitRef="_GBC_cef77704267643d794145c73763360e5" addr="T0R6C7S1_1" formatStyle="Comma"/>
        <m:item xlName="_GBC_690cc5143c6145c3a6b9b6c9d07a1838" concept="clcid-pte:QianQiChaCuoGengZhengDaoZhiZhuanXiangChuBeiBianDongJinE" label="前期差错更正导致专项储备变动金额" periodRef="本期期初数" mulRef="_GBC_57faea4e453e49ad93821b7dd6ce8bc4" unitRef="_GBC_cef77704267643d794145c73763360e5" addr="T0R6C8S1_1" formatStyle="Comma"/>
        <m:item xlName="_GBC_8f80453163614b20b841579e7e971b61" concept="clcid-pte:QianQiChaCuoGengZhengDaoZhiYingYuGongJiBianDongJinE" label="前期差错更正导致盈余公积变动金额" periodRef="本期期初数" mulRef="_GBC_57faea4e453e49ad93821b7dd6ce8bc4" unitRef="_GBC_cef77704267643d794145c73763360e5" addr="T0R6C9S1_1" formatStyle="Comma"/>
        <m:item xlName="_GBC_c85d311425884cf4a1092a9183a2e2b0" concept="clcid-pte:QianQiChaCuoGengZhengDaoZhiYiBanFengXianZhunBeiBianDongJinE" label="前期差错更正导致一般风险准备变动金额" periodRef="本期期初数" mulRef="_GBC_57faea4e453e49ad93821b7dd6ce8bc4" unitRef="_GBC_cef77704267643d794145c73763360e5" addr="T0R6C10S1_1" formatStyle="Comma"/>
        <m:item xlName="_GBC_6d888b9f2ea24fdf98493273df708ac9" concept="clcid-pte:QianQiChaCuoGengZhengDaoZhiWeiFenPeiLiRunBianDongJinE" label="前期差错更正导致未分配利润变动金额" periodRef="本期期初数" mulRef="_GBC_57faea4e453e49ad93821b7dd6ce8bc4" unitRef="_GBC_cef77704267643d794145c73763360e5" addr="T0R6C11S1_1" formatStyle="Comma"/>
        <m:item xlName="_GBC_7a7e03a16525458397a9ba2d90b1516c" concept="clcid-pte:QianQiChaCuoGengZhengDaoZhiQiTaDeGuiShuYuMuGongSiSuoYouZheQuanYiBianDongJinE" label="前期差错更正导致其他的归属于母公司所有者权益变动金额" periodRef="本期期初数" mulRef="_GBC_57faea4e453e49ad93821b7dd6ce8bc4" unitRef="_GBC_cef77704267643d794145c73763360e5" addr="T0R6C12S1_1" formatStyle="Comma"/>
        <m:item xlName="_GBC_a047a98189dc488c9a600f4dcf70179b" concept="clcid-pte:QianQiChaCuoGengZhengDaoZhiGuiShuYuMuGongSiSuoYouZheQuanYiBianDongJinE" label="前期差错更正导致归属于母公司所有者权益变动金额" periodRef="本期期初数" mulRef="_GBC_57faea4e453e49ad93821b7dd6ce8bc4" unitRef="_GBC_cef77704267643d794145c73763360e5" addr="T0R6C13S1_1" formatStyle="Comma"/>
        <m:item xlName="_GBC_a64b0e4332ab4c1b84840bdfac52f5a3" concept="clcid-pte:QianQiChaCuoGengZhengDaoZhiShaoShuGuDongQuanYiBianDongJinE" label="前期差错更正导致少数股东权益变动金额" periodRef="本期期初数" mulRef="_GBC_57faea4e453e49ad93821b7dd6ce8bc4" unitRef="_GBC_cef77704267643d794145c73763360e5" addr="T0R6C14S1_1" formatStyle="Comma"/>
        <m:item xlName="_GBC_0859c5dffc1c45a181f68ebc8ef9a3cf" concept="clcid-pte:QianQiChaCuoGengZhengDaoZhiGuDongQuanYiHeJiBianDongJinE" label="前期差错更正导致股东权益合计变动金额" periodRef="本期期初数" mulRef="_GBC_57faea4e453e49ad93821b7dd6ce8bc4" unitRef="_GBC_cef77704267643d794145c73763360e5" addr="T0R6C15S1_1" formatStyle="Comma"/>
        <m:placeholder xlName="_PLD_1a5424a99ed44019a3f8a704efe4903d" wordText="同一控制下企业合并" indent="200" addr="T0R7C0S1_1"/>
        <m:item xlName="_GBC_cbc5f0b439784ea0961c4ef83012d993" concept="clcid-pte:TongYiKongZhiXiaQiYeHeBingDaoZhiGuBenBianDongJinE" label="同一控制下企业合并导致股本变动金额" periodRef="本期期初数" mulRef="_GBC_57faea4e453e49ad93821b7dd6ce8bc4" unitRef="_GBC_cef77704267643d794145c73763360e5" addr="T0R7C1S1_1" formatStyle="Comma"/>
        <m:item xlName="_GBC_b69d9c175b31449291c55a7601d2bb38" concept="clcid-pte:TongYiKongZhiXiaQiYeHeBingDaoZhiYouXianGuBianDongJinE" label="同一控制下企业合并导致优先股变动金额" periodRef="本期期初数" mulRef="_GBC_57faea4e453e49ad93821b7dd6ce8bc4" unitRef="_GBC_cef77704267643d794145c73763360e5" addr="T0R7C2S1_1" formatStyle="Comma"/>
        <m:item xlName="_GBC_76a563d3727b4726b9f73b8bee492a94" concept="clcid-pte:TongYiKongZhiXiaQiYeHeBingDaoZhiYongXuZhaiBianDongJinE" label="同一控制下企业合并导致永续债变动金额" periodRef="本期期初数" mulRef="_GBC_57faea4e453e49ad93821b7dd6ce8bc4" unitRef="_GBC_cef77704267643d794145c73763360e5" addr="T0R7C3S1_1" formatStyle="Comma"/>
        <m:item xlName="_GBC_b0ec1285f85547aa9ceafde21335b8fa" concept="clcid-pte:TongYiKongZhiXiaQiYeHeBingDaoZhiQiTaQuanYiGongJuZhongDeQiTaBianDongJinE" label="同一控制下企业合并导致其他权益工具中的其他变动金额" periodRef="本期期初数" mulRef="_GBC_57faea4e453e49ad93821b7dd6ce8bc4" unitRef="_GBC_cef77704267643d794145c73763360e5" addr="T0R7C4S1_1" formatStyle="Comma"/>
        <m:item xlName="_GBC_23d3adeb98e4435db38ae0bc7bb29778" concept="clcid-pte:TongYiKongZhiXiaQiYeHeBingDaoZhiZiBenGongJiBianDongJinE" label="同一控制下企业合并导致资本公积变动金额" periodRef="本期期初数" mulRef="_GBC_57faea4e453e49ad93821b7dd6ce8bc4" unitRef="_GBC_cef77704267643d794145c73763360e5" addr="T0R7C5S1_1" formatStyle="Comma"/>
        <m:item xlName="_GBC_70f98de8716c497bb79539c471d1533a" concept="clcid-pte:TongYiKongZhiXiaQiYeHeBingDaoZhiKuCunGuBianDongJinE" label="同一控制下企业合并导致库存股变动金额" periodRef="本期期初数" mulRef="_GBC_57faea4e453e49ad93821b7dd6ce8bc4" unitRef="_GBC_cef77704267643d794145c73763360e5" addr="T0R7C6S1_1" baseScale="-1" formatStyle="Comma"/>
        <m:item xlName="_GBC_e81d2a447f5942dcb538807b60ffb9bc" concept="clcid-pte:TongYiKongZhiXiaQiYeHeBingDaoZhiQiTaZongHeShouYiBianDongJinE" label="同一控制下企业合并导致其他综合收益变动金额" periodRef="本期期初数" mulRef="_GBC_57faea4e453e49ad93821b7dd6ce8bc4" unitRef="_GBC_cef77704267643d794145c73763360e5" addr="T0R7C7S1_1" formatStyle="Comma"/>
        <m:item xlName="_GBC_0e89e46f23694e48bd678fdca653d966" concept="clcid-pte:TongYiKongZhiXiaQiYeHeBingDaoZhiZhuanXiangChuBeiBianDongJinE" label="同一控制下企业合并导致专项储备变动金额" periodRef="本期期初数" mulRef="_GBC_57faea4e453e49ad93821b7dd6ce8bc4" unitRef="_GBC_cef77704267643d794145c73763360e5" addr="T0R7C8S1_1" formatStyle="Comma"/>
        <m:item xlName="_GBC_aaf1f70dadfc48a5a042a37668a6a61f" concept="clcid-pte:TongYiKongZhiXiaQiYeHeBingDaoZhiYingYuGongJiBianDongJinE" label="同一控制下企业合并导致盈余公积变动金额" periodRef="本期期初数" mulRef="_GBC_57faea4e453e49ad93821b7dd6ce8bc4" unitRef="_GBC_cef77704267643d794145c73763360e5" addr="T0R7C9S1_1" formatStyle="Comma"/>
        <m:item xlName="_GBC_54de4bdd9d154d4384df7074b5a03409" concept="clcid-pte:TongYiKongZhiXiaQiYeHeBingDaoZhiYiBanFengXianZhunBeiBianDongJinE" label="同一控制下企业合并导致一般风险准备变动金额" periodRef="本期期初数" mulRef="_GBC_57faea4e453e49ad93821b7dd6ce8bc4" unitRef="_GBC_cef77704267643d794145c73763360e5" addr="T0R7C10S1_1" formatStyle="Comma"/>
        <m:item xlName="_GBC_9d8c1fbd5ec04e0ca4e5d18baba606ab" concept="clcid-pte:TongYiKongZhiXiaQiYeHeBingDaoZhiWeiFenPeiLiRunBianDongJinE" label="同一控制下企业合并导致未分配利润变动金额" periodRef="本期期初数" mulRef="_GBC_57faea4e453e49ad93821b7dd6ce8bc4" unitRef="_GBC_cef77704267643d794145c73763360e5" addr="T0R7C11S1_1" formatStyle="Comma"/>
        <m:item xlName="_GBC_571a23afe7ea41409ea8751ba4553d64" concept="clcid-pte:TongYiKongZhiXiaQiYeHeBingDaoZhiQiTaDeGuiShuYuMuGongSiSuoYouZheQuanYiBianDongJinE" label="同一控制下企业合并导致其他的归属于母公司所有者权益变动金额" periodRef="本期期初数" mulRef="_GBC_57faea4e453e49ad93821b7dd6ce8bc4" unitRef="_GBC_cef77704267643d794145c73763360e5" addr="T0R7C12S1_1" formatStyle="Comma"/>
        <m:item xlName="_GBC_9d3150f2c7784faaa1f365a9d766dad9" concept="clcid-pte:TongYiKongZhiXiaQiYeHeBingDaoZhiGuiShuYuMuGongSiSuoYouZheQuanYiBianDongJinE" label="同一控制下企业合并导致归属于母公司所有者权益变动金额" periodRef="本期期初数" mulRef="_GBC_57faea4e453e49ad93821b7dd6ce8bc4" unitRef="_GBC_cef77704267643d794145c73763360e5" addr="T0R7C13S1_1" formatStyle="Comma"/>
        <m:item xlName="_GBC_63c47ece2d35447abbcce78833f1efec" concept="clcid-pte:TongYiKongZhiXiaQiYeHeBingDaoZhiShaoShuGuDongQuanYiBianDongJinE" label="同一控制下企业合并导致少数股东权益变动金额" periodRef="本期期初数" mulRef="_GBC_57faea4e453e49ad93821b7dd6ce8bc4" unitRef="_GBC_cef77704267643d794145c73763360e5" addr="T0R7C14S1_1" formatStyle="Comma"/>
        <m:item xlName="_GBC_54e0ac6cd0ac4af7bc1ddea764bcfa09" concept="clcid-pte:TongYiKongZhiXiaQiYeHeBingDaoZhiGuDongQuanYiHeJiBianDongJinE" label="同一控制下企业合并导致股东权益合计变动金额" periodRef="本期期初数" mulRef="_GBC_57faea4e453e49ad93821b7dd6ce8bc4" unitRef="_GBC_cef77704267643d794145c73763360e5" addr="T0R7C15S1_1" formatStyle="Comma"/>
        <m:placeholder xlName="_PLD_7953fd87201b462ab8c42a4716d6cb65" wordText="其他" indent="200" addr="T0R8C0S1_1"/>
        <m:item xlName="_GBC_1f7f3ef32ffd4101b6e19456ebcb6356" concept="clcid-pte:QiTaZhuiSuTiaoZhengDaoZhiShiShouZiBenBianDongJinE" label="实收资本变动金额（其他追溯调整）" periodRef="本期期初数" mulRef="_GBC_57faea4e453e49ad93821b7dd6ce8bc4" unitRef="_GBC_cef77704267643d794145c73763360e5" addr="T0R8C1S1_1" formatStyle="Comma"/>
        <m:item xlName="_GBC_d5ce429341c84afc894139b7a3c57bf1" concept="clcid-pte:YouXianGuBianDongJinEQiTaZhuiSuDiaoZheng" label="优先股变动金额（其他追溯调整）" periodRef="本期期初数" mulRef="_GBC_57faea4e453e49ad93821b7dd6ce8bc4" unitRef="_GBC_cef77704267643d794145c73763360e5" addr="T0R8C2S1_1" formatStyle="Comma"/>
        <m:item xlName="_GBC_5425e71ce2af4b92b9710c429a8499a8" concept="clcid-pte:YongXuZhaiBianDongJinEQiTaZhuiSuDiaoZheng" label="永续债变动金额（其他追溯调整）" periodRef="本期期初数" mulRef="_GBC_57faea4e453e49ad93821b7dd6ce8bc4" unitRef="_GBC_cef77704267643d794145c73763360e5" addr="T0R8C3S1_1" formatStyle="Comma"/>
        <m:item xlName="_GBC_321663c4e3614687ad8842acddb57528" concept="clcid-pte:QiTaQuanYiGongJuZhongDeQiTaBianDongJinEQiTaZhuiSuDiaoZheng" label="其他权益工具中的其他变动金额（其他追溯调整）" periodRef="本期期初数" mulRef="_GBC_57faea4e453e49ad93821b7dd6ce8bc4" unitRef="_GBC_cef77704267643d794145c73763360e5" addr="T0R8C4S1_1" formatStyle="Comma"/>
        <m:item xlName="_GBC_bbd3b5d07bdd46e49236ee758ef23ace" concept="clcid-pte:QiTaZhuiSuTiaoZhengDaoZhiZiBenGongJiBianDongJinE" label="资本公积变动金额（其他追溯调整）" periodRef="本期期初数" mulRef="_GBC_57faea4e453e49ad93821b7dd6ce8bc4" unitRef="_GBC_cef77704267643d794145c73763360e5" addr="T0R8C5S1_1" formatStyle="Comma"/>
        <m:item xlName="_GBC_da9de58472c54cb6bcf465fd0a37e6be" concept="clcid-pte:QiTaZhuiSuTiaoZhengDaoZhiKuCunGuBianDongJinE" label="库存股变动金额（其他追溯调整）" periodRef="本期期初数" mulRef="_GBC_57faea4e453e49ad93821b7dd6ce8bc4" unitRef="_GBC_cef77704267643d794145c73763360e5" addr="T0R8C6S1_1" baseScale="-1" formatStyle="Comma"/>
        <m:item xlName="_GBC_67bafe935c474207ab3571207b042218" concept="clcid-pte:QiTaZongHeShouYiBianDongJinEQiTaZhuiSuDiaoZheng" label="其他综合收益变动金额（其他追溯调整）" periodRef="本期期初数" mulRef="_GBC_57faea4e453e49ad93821b7dd6ce8bc4" unitRef="_GBC_cef77704267643d794145c73763360e5" addr="T0R8C7S1_1" formatStyle="Comma"/>
        <m:item xlName="_GBC_01d3b01225ea4d7f83dbf7245c48672b" concept="clcid-pte:QiTaZhuiSuTiaoZhengDaoZhiZhuanXiangChuBeiBianDongJinE" label="专项储备变动金额（其他追溯调整）" periodRef="本期期初数" mulRef="_GBC_57faea4e453e49ad93821b7dd6ce8bc4" unitRef="_GBC_cef77704267643d794145c73763360e5" addr="T0R8C8S1_1" formatStyle="Comma"/>
        <m:item xlName="_GBC_b844e0863c894ef787bfdc1ae1ec3c51" concept="clcid-pte:QiTaZhuiSuTiaoZhengDaoZhiYingYuGongJiBianDongJinE" label="盈余公积变动金额（其他追溯调整）" periodRef="本期期初数" mulRef="_GBC_57faea4e453e49ad93821b7dd6ce8bc4" unitRef="_GBC_cef77704267643d794145c73763360e5" addr="T0R8C9S1_1" formatStyle="Comma"/>
        <m:item xlName="_GBC_96030994fa284dd6b8307a609d407fb9" concept="clcid-pte:QiTaZhuiSuTiaoZhengDaoZhiYiBanFengXianZhunBeiBianDongJinE" label="一般风险准备变动金额（其他追溯调整）" periodRef="本期期初数" mulRef="_GBC_57faea4e453e49ad93821b7dd6ce8bc4" unitRef="_GBC_cef77704267643d794145c73763360e5" addr="T0R8C10S1_1" formatStyle="Comma"/>
        <m:item xlName="_GBC_7d3a8a7d30b74e8fa260f7be851fee6a" concept="clcid-pte:QiTaZhuiSuTiaoZhengDaoZhiWeiFenPeiLiRunBianDongJinE" label="未分配利润变动金额（其他追溯调整）" periodRef="本期期初数" mulRef="_GBC_57faea4e453e49ad93821b7dd6ce8bc4" unitRef="_GBC_cef77704267643d794145c73763360e5" addr="T0R8C11S1_1" formatStyle="Comma"/>
        <m:item xlName="_GBC_1d766371e8a64b23a5479e8f00d7c981" concept="clcid-pte:QiTaZhuiSuTiaoZhengDaoZhiQiTaGuiShuYuMuGongSiSuoYouZheQuanYiBianDongJinE" label="其他归属于母公司所有者权益变动金额（其他追溯调整）" periodRef="本期期初数" mulRef="_GBC_57faea4e453e49ad93821b7dd6ce8bc4" unitRef="_GBC_cef77704267643d794145c73763360e5" addr="T0R8C12S1_1" formatStyle="Comma"/>
        <m:item xlName="_GBC_5238ec832edd435aa7b32eae394a36c0" concept="clcid-pte:QiTaZhuiSuTiaoZhengDaoZhiGuiShuYuMuGongSiSuoYouZheQuanYiBianDongJinE" label="归属于母公司所有者权益变动金额（其他追溯调整）" periodRef="本期期初数" mulRef="_GBC_57faea4e453e49ad93821b7dd6ce8bc4" unitRef="_GBC_cef77704267643d794145c73763360e5" addr="T0R8C13S1_1" formatStyle="Comma"/>
        <m:item xlName="_GBC_e239453a7b6e412d9e8540a6e2f66fd7" concept="clcid-pte:QiTaZhuiSuTiaoZhengDaoZhiShaoShuGuDongQuanYiBianDongJinE" label="少数股东权益变动金额（其他追溯调整）" periodRef="本期期初数" mulRef="_GBC_57faea4e453e49ad93821b7dd6ce8bc4" unitRef="_GBC_cef77704267643d794145c73763360e5" addr="T0R8C14S1_1" formatStyle="Comma"/>
        <m:item xlName="_GBC_5d0a4c60be364d0d995b9432b120d38d" concept="clcid-pte:QiTaZhuiSuTiaoZhengDaoZhiGuDongQuanYiBianDongJinE" label="股东权益变动金额（其他追溯调整）" periodRef="本期期初数" mulRef="_GBC_57faea4e453e49ad93821b7dd6ce8bc4" unitRef="_GBC_cef77704267643d794145c73763360e5" addr="T0R8C15S1_1" formatStyle="Comma"/>
        <m:placeholder xlName="_PLD_16d601e73dc14990b60ca53acf1371ba" wordText="二、本年期初余额" addr="T0R9C0S1_1"/>
        <m:item xlName="_GBC_0c662007ff334bb781a6a3a735e723f7" concept="clcid-pte:GuBen" label="股本" periodRef="本期期初数" mulRef="_GBC_57faea4e453e49ad93821b7dd6ce8bc4" unitRef="_GBC_cef77704267643d794145c73763360e5" addr="T0R9C1S1_1" formatStyle="Comma">
          <m:complexRule comparator="Eq" title="股本@本期期初数" test=" $_GBC_2a48cd3f70d94e34968adccf792039b2 +  $_GBC_4dcd5d84107d48829691bb41c460fcd6 +  $_GBC_052eb8c214ea494aa6a424858b98d449 +  $_GBC_cbc5f0b439784ea0961c4ef83012d993 +  $_GBC_1f7f3ef32ffd4101b6e19456ebcb6356" id="C6db2ed0876ec40a4930438c3856235a5" radius="0.0001"/>
        </m:item>
        <m:item xlName="_GBC_c3677caf0e384a30b62aff570f4edd20" concept="clcid-pte:QiTaQuanYiGongJuQiZhongYouXianGu" label="其他权益工具-其中：优先股" periodRef="本期期初数" mulRef="_GBC_57faea4e453e49ad93821b7dd6ce8bc4" unitRef="_GBC_cef77704267643d794145c73763360e5" addr="T0R9C2S1_1" formatStyle="Comma">
          <m:complexRule comparator="Eq" title="其他权益工具-其中：优先股@本期期初数" test=" $_GBC_f35b3ab1eb4c4fa4879673cd9e9b3ace +  $_GBC_4b97fd793fe9426098404ea504e3d7eb +  $_GBC_9075a1534b294a91bcbbf354238fe8b7 +  $_GBC_b69d9c175b31449291c55a7601d2bb38 +  $_GBC_d5ce429341c84afc894139b7a3c57bf1" id="Cc80b264f8c6943a19288f8632df35207"/>
        </m:item>
        <m:item xlName="_GBC_885424eb670f4e9ab89ef8def1ef5ca2" concept="clcid-pte:QiTaQuanYiGongJuYongXuZhai" label="其他权益工具-永续债" periodRef="本期期初数" mulRef="_GBC_57faea4e453e49ad93821b7dd6ce8bc4" unitRef="_GBC_cef77704267643d794145c73763360e5" addr="T0R9C3S1_1" formatStyle="Comma">
          <m:complexRule comparator="Eq" title="其他权益工具-永续债@本期期初数" test=" $_GBC_a61a93441152475db9586a1c38419535 +  $_GBC_954c08590128459dae721f9baf64a3af +  $_GBC_3483a72025c7474ca89c0be607e9509f +  $_GBC_76a563d3727b4726b9f73b8bee492a94 +  $_GBC_5425e71ce2af4b92b9710c429a8499a8" id="Cb330e70e3de041e09a091f2a0ff9dcd4"/>
        </m:item>
        <m:item xlName="_GBC_2d71b862596249ccbec39ded5462fc34" concept="clcid-pte:QiTaQuanYiGongJuQiTa" label="其他权益工具-其他" periodRef="本期期初数" mulRef="_GBC_57faea4e453e49ad93821b7dd6ce8bc4" unitRef="_GBC_cef77704267643d794145c73763360e5" addr="T0R9C4S1_1" formatStyle="Comma">
          <m:complexRule comparator="Eq" title="其他权益工具-其他@本期期初数" test=" $_GBC_c36369125339497b9d32bd74edae9f05 +  $_GBC_5769b4b779354943b6d4b13ae67bf1f4 +  $_GBC_e92fe496bce14022997a1beb2008def0 +  $_GBC_b0ec1285f85547aa9ceafde21335b8fa +  $_GBC_321663c4e3614687ad8842acddb57528" id="Cf5148751853547a68372f7789e925df7"/>
        </m:item>
        <m:item xlName="_GBC_e7e04f7d01204105956d91f5c1571e28" concept="clcid-pte:ZiBenGongJi" label="资本公积" periodRef="本期期初数" mulRef="_GBC_57faea4e453e49ad93821b7dd6ce8bc4" unitRef="_GBC_cef77704267643d794145c73763360e5" addr="T0R9C5S1_1" formatStyle="Comma">
          <m:complexRule comparator="Eq" title="资本公积@本期期初数" test=" $_GBC_5a28cd87b006409499b33fed193e92f9 +  $_GBC_47d838519444468baa8f5578c223635d +  $_GBC_29d82b4dcd5145748fbf8f7e50500315 +  $_GBC_23d3adeb98e4435db38ae0bc7bb29778 +  $_GBC_bbd3b5d07bdd46e49236ee758ef23ace" id="C5acc761eed6742f9bba8d0ec0edbd2ca" radius="0.0001"/>
        </m:item>
        <m:item xlName="_GBC_9f2d69e7d06844c69ea1f80787d08bbf" concept="clcid-pte:KuCunGu" label="库存股" periodRef="本期期初数" mulRef="_GBC_57faea4e453e49ad93821b7dd6ce8bc4" unitRef="_GBC_cef77704267643d794145c73763360e5" addr="T0R9C6S1_1" baseScale="-1" formatStyle="Comma" keyCode="abs" keyAction="108">
          <m:complexRule comparator="Eq" title="库存股@本期期初数" test=" $_GBC_787415b0f2ef4683a25f0141ac69f7eb +  $_GBC_7750a1204fdc4645b5dd1c8f7580d1ba +  $_GBC_9f49a7a645e54562bfbc02ee2d8a9929 +  $_GBC_70f98de8716c497bb79539c471d1533a +  $_GBC_da9de58472c54cb6bcf465fd0a37e6be" id="C4c1eb61326e14fd39637bc8a60343cf3" radius="0.0001"/>
        </m:item>
        <m:item xlName="_GBC_4a6bcd6c044c48fc98aae3ad1b8aa16e" concept="clcid-pte:QiTaZongHeShouYiZiChanFuZhaiBiaoXiangMu" label="其他综合收益（资产负债表项目）" periodRef="本期期初数" mulRef="_GBC_57faea4e453e49ad93821b7dd6ce8bc4" unitRef="_GBC_cef77704267643d794145c73763360e5" addr="T0R9C7S1_1" formatStyle="Comma">
          <m:complexRule comparator="Eq" title="其他综合收益（资产负债表项目）@本期期初数" test=" $_GBC_2638d85431704f6a94e82ae74bb1adf5 +  $_GBC_44cc114c1e8f4f978d82c5f14365300b +  $_GBC_47e5b455db3047b1bb3ad946e1874bf5 +  $_GBC_e81d2a447f5942dcb538807b60ffb9bc +  $_GBC_67bafe935c474207ab3571207b042218" id="Ca1bf9f4452244835a4a2d9a5e94b42bf"/>
        </m:item>
        <m:item xlName="_GBC_d49744c39d574e4ba85cc0b415a054e4" concept="clcid-pte:ZhuanXiangChuBei" label="专项储备" periodRef="本期期初数" mulRef="_GBC_57faea4e453e49ad93821b7dd6ce8bc4" unitRef="_GBC_cef77704267643d794145c73763360e5" addr="T0R9C8S1_1" formatStyle="Comma">
          <m:complexRule comparator="Eq" title="专项储备@本期期初数" test=" $_GBC_aa6704accee44e90bf17ba6505171a25 +  $_GBC_abbda9bc16554aaf867205803a74ae14 +  $_GBC_690cc5143c6145c3a6b9b6c9d07a1838 +  $_GBC_0e89e46f23694e48bd678fdca653d966 +  $_GBC_01d3b01225ea4d7f83dbf7245c48672b" id="C5a3e016b946c4b1c8af777d3316115d8" radius="0.0001"/>
        </m:item>
        <m:item xlName="_GBC_448e9d5c6c324c7b977e3120b163c949" concept="clcid-pte:YingYuGongJi" label="盈余公积" periodRef="本期期初数" mulRef="_GBC_57faea4e453e49ad93821b7dd6ce8bc4" unitRef="_GBC_cef77704267643d794145c73763360e5" addr="T0R9C9S1_1" formatStyle="Comma">
          <m:complexRule comparator="Eq" title="盈余公积@本期期初数" test=" $_GBC_e5af2051e7c04d949ad388d8c59d4c71 +  $_GBC_af5c61442f8e4d9da166c4bcab887ba9 +  $_GBC_8f80453163614b20b841579e7e971b61 +  $_GBC_aaf1f70dadfc48a5a042a37668a6a61f +  $_GBC_b844e0863c894ef787bfdc1ae1ec3c51" id="Cd7cd0b0813aa4844b6fa14e6ed19fb8f" radius="0.0001"/>
        </m:item>
        <m:item xlName="_GBC_76a84421833441ae8dacfed428ac73a7" concept="clcid-pte:YiBanFengXianZhunBei" label="一般风险准备" periodRef="本期期初数" mulRef="_GBC_57faea4e453e49ad93821b7dd6ce8bc4" unitRef="_GBC_cef77704267643d794145c73763360e5" addr="T0R9C10S1_1" formatStyle="Comma">
          <m:complexRule comparator="Eq" title="一般风险准备@本期期初数" test=" $_GBC_929660d22f6e40369bba692eb395bba2 +  $_GBC_81f742bd68974b2ab3027cebdcf9e8c4 +  $_GBC_c85d311425884cf4a1092a9183a2e2b0 +  $_GBC_54de4bdd9d154d4384df7074b5a03409 +  $_GBC_96030994fa284dd6b8307a609d407fb9" id="C374ba2b23d644918ab0831fa9d593068" radius="0.0001"/>
        </m:item>
        <m:item xlName="_GBC_0029fc559a9c4f1e97bf224794aa2515" concept="clcid-pte:WeiFenPeiLiRun" label="未分配利润" periodRef="本期期初数" mulRef="_GBC_57faea4e453e49ad93821b7dd6ce8bc4" unitRef="_GBC_cef77704267643d794145c73763360e5" addr="T0R9C11S1_1" formatStyle="Comma">
          <m:complexRule comparator="Eq" title="未分配利润@本期期初数" test=" $_GBC_c7fcad78f5ec4ade955895585296c5cf +  $_GBC_9b788a673d194d9ab2620c795e5c5ecf +  $_GBC_6d888b9f2ea24fdf98493273df708ac9 +  $_GBC_9d8c1fbd5ec04e0ca4e5d18baba606ab +  $_GBC_7d3a8a7d30b74e8fa260f7be851fee6a" id="C476dec66930c449f906f4d93ad33accf" radius="0.0001"/>
        </m:item>
        <m:item xlName="_GBC_6ec93edf5a144df1a0e7f56dbfeb4ff2" concept="clcid-pte:QiTaDeGuiShuYuMuGongSiSuoYouZheQuanYi" label="其他的归属于母公司所有者权益" periodRef="本期期初数" mulRef="_GBC_57faea4e453e49ad93821b7dd6ce8bc4" unitRef="_GBC_cef77704267643d794145c73763360e5" addr="T0R9C12S1_1" formatStyle="Comma">
          <m:complexRule comparator="Eq" title="其他的归属于母公司所有者权益@本期期初数" test=" $_GBC_be48b137367e42c9b286e258e5a98e80 +  $_GBC_431997c0f3f540b2a0f2915d34a9d0d2 +  $_GBC_7a7e03a16525458397a9ba2d90b1516c +  $_GBC_571a23afe7ea41409ea8751ba4553d64 +  $_GBC_1d766371e8a64b23a5479e8f00d7c981" id="C5c3f259243cc42a38920340dbed511cf"/>
        </m:item>
        <m:item xlName="_GBC_cc9ba51b117641a2bf7b77cee68b1f69" concept="clcid-pte:GuiShuYuMuGongSiSuoYouZheQuanYiHeJi" label="归属于母公司所有者权益合计" periodRef="本期期初数" mulRef="_GBC_57faea4e453e49ad93821b7dd6ce8bc4" unitRef="_GBC_cef77704267643d794145c73763360e5" addr="T0R9C13S1_1" formatStyle="Comma">
          <m:complexRule comparator="Eq" title="归属于母公司所有者权益合计@本期期初数" test=" $_GBC_4c1f47baccb24c12b29170bd8daae272 +  $_GBC_e515f1378d8b4493955dda0e30924799 +  $_GBC_a047a98189dc488c9a600f4dcf70179b +  $_GBC_9d3150f2c7784faaa1f365a9d766dad9 +  $_GBC_5238ec832edd435aa7b32eae394a36c0" id="C1a57fdcc682a4d9383d11bdd7b2367cd"/>
        </m:item>
        <m:item xlName="_GBC_5a51fde8d9bd442ea9614c5e602523a4" concept="clcid-pte:ShaoShuGuDongQuanYi" label="少数股东权益" periodRef="本期期初数" mulRef="_GBC_57faea4e453e49ad93821b7dd6ce8bc4" unitRef="_GBC_cef77704267643d794145c73763360e5" addr="T0R9C14S1_1" formatStyle="Comma">
          <m:complexRule comparator="Eq" title="少数股东权益@本期期初数" test=" $_GBC_5fd8e2cca85649859a3610a4459c4cfe +  $_GBC_81e28c06ebb54bf3a4b2c6d032037d37 +  $_GBC_a64b0e4332ab4c1b84840bdfac52f5a3 +  $_GBC_63c47ece2d35447abbcce78833f1efec +  $_GBC_e239453a7b6e412d9e8540a6e2f66fd7" id="Cd7b3ccf4bff04709887d66ffff630f0b"/>
        </m:item>
        <m:item xlName="_GBC_b247fe380cff44978c88ba0c44328776" concept="clcid-pte:GuDongQuanYiHeJi" label="股东权益合计" periodRef="本期期初数" mulRef="_GBC_57faea4e453e49ad93821b7dd6ce8bc4" unitRef="_GBC_cef77704267643d794145c73763360e5" addr="T0R9C15S1_1" formatStyle="Comma">
          <m:complexRule comparator="Eq" title="股东权益合计@本期期初数" test=" $_GBC_3da432db294d4b91908f25c84b2b579a +  $_GBC_1d0377e6fe104a3dbff7b0d93142a4a9 +  $_GBC_0859c5dffc1c45a181f68ebc8ef9a3cf +  $_GBC_54e0ac6cd0ac4af7bc1ddea764bcfa09 +  $_GBC_5d0a4c60be364d0d995b9432b120d38d" id="Ccc89ec0cf36b4736926690e24e699048"/>
        </m:item>
        <m:placeholder xlName="_PLD_60156dcb8ac241a7929015e75c8eef16" wordText="三、本期增减变动金额（减少以“－”号填列）" addr="T0R10C0S1_1"/>
        <m:item xlName="_GBC_3af7eb97d3514f10a23c0b89023752b4" concept="clcid-pte:ShiShouZiBenHuoGuBenJingEZengJianBianDongJinE" label="实收资本（或股本）净额增减变动金额" mulRef="_GBC_57faea4e453e49ad93821b7dd6ce8bc4" unitRef="_GBC_cef77704267643d794145c73763360e5" addr="T0R10C1S1_1" formatStyle="Comma">
          <m:complexRule comparator="Eq" title="实收资本（或股本）净额增减变动金额" test=" $_GBC_fb0e279f648742b2bde1fb4eb64ce027 +  $_GBC_53a2b0c45a35497ab0b00e30b4f387f1 +  $_GBC_3a0ff53b646f43a7a1f9c558b9fed774 +  $_GBC_158326596e364a8ebe7839d08241e207 +  $_GBC_5b133c420da349708e6643bb6b0c1e6e +  $_GBC_e5bb57182cb84c139313dd87a42549fc" id="C9c45a748e28d48d49d71e959c20da6f7" radius="0.0001"/>
        </m:item>
        <m:item xlName="_GBC_31de6e6e3245453bb81137017f32526d" concept="clcid-pte:QiTaQuanYiGongJuZhongDeYouXianGuZengJianBianDongJinE" label="其他权益工具中的优先股增减变动金额" mulRef="_GBC_57faea4e453e49ad93821b7dd6ce8bc4" unitRef="_GBC_cef77704267643d794145c73763360e5" addr="T0R10C2S1_1" formatStyle="Comma">
          <m:complexRule comparator="Eq" title="其他权益工具中的优先股增减变动金额" test=" $_GBC_c8b641490bcd40c4a0577f32e33573df +  $_GBC_7fd9608cc38643e38cad5ba261e018fd +  $_GBC_cef027cb84874282a4234d3d919e2525 +  $_GBC_48b490e8cc30489d90aea1c1433b16e3 +  $_GBC_df89eee61a754edfb5a05b61c5b1418c +  $_GBC_4cb17ac0318c46f5b906906cf31a388b" id="C199df6468b3a43319f4429d2671435bf"/>
        </m:item>
        <m:item xlName="_GBC_e17ba5ca57b44d3b979e1bcc360525f3" concept="clcid-pte:QiTaQuanYiGongJuZhongDeYongXuZhaiZengJianBianDongJinE" label="其他权益工具中的永续债增减变动金额" mulRef="_GBC_57faea4e453e49ad93821b7dd6ce8bc4" unitRef="_GBC_cef77704267643d794145c73763360e5" addr="T0R10C3S1_1" formatStyle="Comma">
          <m:complexRule comparator="Eq" title="其他权益工具中的永续债增减变动金额" test=" $_GBC_69f54da5019644068526258bac1b49c3 +  $_GBC_b35bfd334f564cf1ba7b2e56be61be8e +  $_GBC_a4434a7b99ac4c55bae83e1870dc0552 +  $_GBC_620dc73dc88947bf8ad75cf15acdfc67 +  $_GBC_9e23218859714c0e96d6c198c2cb79fd +  $_GBC_b99886cc2ef449ee9001767361d56946" id="Cb585e86146154585a90a853829030996"/>
        </m:item>
        <m:item xlName="_GBC_a543ecf27ae64d37802ba6b3403e63d5" concept="clcid-pte:QiTaQuanYiGongJuZhongDeQiTaZengJianBianDongJinE" label="其他权益工具中的其他增减变动金额" mulRef="_GBC_57faea4e453e49ad93821b7dd6ce8bc4" unitRef="_GBC_cef77704267643d794145c73763360e5" addr="T0R10C4S1_1" formatStyle="Comma">
          <m:complexRule comparator="Eq" title="其他权益工具中的其他增减变动金额" test=" $_GBC_c03d9e4b09334d93ac7e0c5997771e9b +  $_GBC_b71e186769444c249b00cd8fb9129429 +  $_GBC_d7a9f70ff8844eedbbc177b5ce7a14ac +  $_GBC_6ec80a2584f54a81b9b594ff2a5d0aa2 +  $_GBC_65b5aa8f1455448ead376358694d1dad +  $_GBC_115fc2853cdb4a3ea7f427dccb84c7f6" id="Cf4becb4b54bd4b4ba25532d1a051b66f"/>
        </m:item>
        <m:item xlName="_GBC_3627c41bf40e462c8620f1263ac7419f" concept="clcid-pte:ZiBenGongJiZengJianBianDongJinE" label="资本公积增减变动金额" mulRef="_GBC_57faea4e453e49ad93821b7dd6ce8bc4" unitRef="_GBC_cef77704267643d794145c73763360e5" addr="T0R10C5S1_1" formatStyle="Comma">
          <m:complexRule comparator="Eq" title="资本公积增减变动金额" test=" $_GBC_aae2902bbf6e49a697cbb0d08a8f2669 +  $_GBC_68ae165e612544e69387f63a3d007298 +  $_GBC_ca43e320938a425daa4d47c7ea4689d2 +  $_GBC_91fefaddee794da7b14ae368d4c4bcc7 +  $_GBC_c5668c5b9c4b4239b60b1a1e142c3572 +  $_GBC_f93f79cca9c642cba3f66db418f8b2c3" id="Cf2cb80bfb0d648d194613feb0f1ff6fb" radius="0.0001"/>
        </m:item>
        <m:item xlName="_GBC_cfb742bc65374c42aec857140a23c67b" concept="clcid-pte:KuCunGuZengJianBianDongJinE" label="库存股增减变动金额" mulRef="_GBC_57faea4e453e49ad93821b7dd6ce8bc4" unitRef="_GBC_cef77704267643d794145c73763360e5" addr="T0R10C6S1_1" baseScale="-1" formatStyle="Comma">
          <m:complexRule comparator="Eq" title="库存股增减变动金额" test=" $_GBC_4ffb9b03d5cc48f4acfde07216ec6b54 +  $_GBC_2213a42694074933a28a2a9943fd2d05 +  $_GBC_e9850772adf640108ea606c7effd2558 +  $_GBC_3a3e42b36589436990f828f15a5d24e2 +  $_GBC_6ce020937acc447bb5699bedc911da7e +  $_GBC_b057b3deaf984131a7982c200f385c4d" id="C7a15467ce5ca4f0092e12ee348f233df" radius="0.0001"/>
        </m:item>
        <m:item xlName="_GBC_22fc524f34c3429d8663894de117905f" concept="clcid-pte:QiTaZongHeShouYiZengJianBianDongJinE" label="其他综合收益增减变动金额" mulRef="_GBC_57faea4e453e49ad93821b7dd6ce8bc4" unitRef="_GBC_cef77704267643d794145c73763360e5" addr="T0R10C7S1_1" formatStyle="Comma">
          <m:complexRule comparator="Eq" title="其他综合收益增减变动金额" test=" $_GBC_8181639bbfa14fcdbdb232ee01aa29a1 +  $_GBC_35d117e617224e0188132c43674b2398 +  $_GBC_af21ec91ef5643488dfec3fec8c64520 +  $_GBC_74801f12253b4ffcadc9dc50e79a7c31 +  $_GBC_b2224b7668d74a5b89c2777235f7abbc +  $_GBC_31755b23bf0647ffad40c136225f52e3" id="C330cef28a9f847329739cc2a3277c1c6"/>
        </m:item>
        <m:item xlName="_GBC_96bb018f4932409099361a683927bf0f" concept="clcid-pte:ZhuanXiangChuBeiZengJianBianDongJinE" label="专项储备增减变动金额" mulRef="_GBC_57faea4e453e49ad93821b7dd6ce8bc4" unitRef="_GBC_cef77704267643d794145c73763360e5" addr="T0R10C8S1_1" formatStyle="Comma">
          <m:complexRule comparator="Eq" title="专项储备增减变动金额" test=" $_GBC_6ce5a42f614c4987a51cfb320dadb73a +  $_GBC_7f6c8c15ddca4891838ef233ae79987c +  $_GBC_f1779e1993f84d86b164fa733de9b714 +  $_GBC_8e2e37aeaf87454290b0faa72339d109 +  $_GBC_b63eebc4f8294c6cab43080ea2183269 +  $_GBC_bcdbc1209b754c2f98c23f4aca0c0ae2" id="C7c20a38eca00474880d15117e9b86bc0"/>
        </m:item>
        <m:item xlName="_GBC_c6732712698a45e4a89bee4861e3db6b" concept="clcid-pte:YingYuGongJiZengJianBianDongJinE" label="盈余公积增减变动金额" mulRef="_GBC_57faea4e453e49ad93821b7dd6ce8bc4" unitRef="_GBC_cef77704267643d794145c73763360e5" addr="T0R10C9S1_1" formatStyle="Comma">
          <m:complexRule comparator="Eq" title="盈余公积增减变动金额" test=" $_GBC_a017b9a7b7fd4aef80259d0feecf3577 +  $_GBC_cb0bdf6fb77444aa94cc975b71a0be3f +  $_GBC_31ba2b8a65ef499eb2c5d3c38b1eb730 +  $_GBC_78f6c7fbe15d42ba8efbe962e7c7161f +  $_GBC_03826d85012a4886ac133e89e44c70a4 +  $_GBC_342200a60246426fb3eab7fde28e53f0" id="C0ee064b73273434cbe72f9dc727305af"/>
        </m:item>
        <m:item xlName="_GBC_3b86797cd0ef43538ea94d1f6fe0fbe9" concept="clcid-pte:YiBanFengXianZhunBeiZengJianBianDongJinE" label="一般风险准备增减变动金额" mulRef="_GBC_57faea4e453e49ad93821b7dd6ce8bc4" unitRef="_GBC_cef77704267643d794145c73763360e5" addr="T0R10C10S1_1" formatStyle="Comma">
          <m:complexRule comparator="Eq" title="一般风险准备增减变动金额" test=" $_GBC_aa67cf36d71f4fd692a323409fc783d3 +  $_GBC_c9fca5cae4e64ab1bd43a0822a02689f +  $_GBC_a30aef806fe64f0e9e7646bf73a5cdbe +  $_GBC_0db3cfd387c34e5f9a8fbf3fd3a7ff06 +  $_GBC_edb79244254b409a98c43f26be77f9a2 +  $_GBC_66c87d17cb814231bab585cfb33549f4" id="C319583baf6ea45b49a0ea5ae17a9fa37"/>
        </m:item>
        <m:item xlName="_GBC_c725506b3ad84eccb3fac140c784126f" concept="clcid-pte:WeiFenPeiLiRunZengJianBianDongJinE" label="未分配利润增减变动金额" mulRef="_GBC_57faea4e453e49ad93821b7dd6ce8bc4" unitRef="_GBC_cef77704267643d794145c73763360e5" addr="T0R10C11S1_1" formatStyle="Comma">
          <m:complexRule comparator="Eq" title="未分配利润增减变动金额" test=" $_GBC_8c3566faf42144d797829c723441ea52 +  $_GBC_570dcbc2399941448f32034c03710f51 +  $_GBC_c6e745e9942c43bb813c139cdc55c224 +  $_GBC_0843778eede64550b36fc99966817c0a +  $_GBC_6f589e43d1be447a9260eb6c071a39b6 +  $_GBC_ec9db240ea72422e8db149aae16a8004" id="C640590654adb4b82ad123f233d250ddc"/>
        </m:item>
        <m:item xlName="_GBC_86e681f063cf4e4e8e042efca13c686d" concept="clcid-pte:QiTaDeGuiShuYuMuGongSiSuoYouZheQuanYiZengJianBianDongJinE" label="其他的归属于母公司所有者权益增减变动金额" mulRef="_GBC_57faea4e453e49ad93821b7dd6ce8bc4" unitRef="_GBC_cef77704267643d794145c73763360e5" addr="T0R10C12S1_1" formatStyle="Comma">
          <m:complexRule comparator="Eq" title="其他的归属于母公司所有者权益增减变动金额" test=" $_GBC_2134daa5e4544552b59d9dd0a32ac680 +  $_GBC_670bc241fcb84ad1b5450e74ac8d2698 +  $_GBC_80f2803156254bdbbe01c4b8dd7639e8 +  $_GBC_c3a1393bd87a4bdcb9e2f0168eb9738e +  $_GBC_bb40ec88bcc04b13aafb388066987c9f +  $_GBC_86f11dfca9a44f249ec66e84b57c1b44" id="C0a81c689400e4998aae742879835c72d"/>
        </m:item>
        <m:item xlName="_GBC_9b533eea753f42678e94aac87164c8f9" concept="clcid-pte:GuiShuYuMuGongSiSuoYouZheQuanYiZengJianBianDongJinE" label="归属于母公司所有者权益增减变动金额" mulRef="_GBC_57faea4e453e49ad93821b7dd6ce8bc4" unitRef="_GBC_cef77704267643d794145c73763360e5" addr="T0R10C13S1_1" formatStyle="Comma">
          <m:complexRule comparator="Eq" title="归属于母公司所有者权益变动金额小计变动金额" test=" $_GBC_0eb3f2e40d784151bdd725447d2a7881 +  $_GBC_5d71eeafa9084274ac16ab6bd869f6fb +  $_GBC_796410d10595447f9d384040b3836046 +  $_GBC_2ed846f10ca148fca67e10caa343a4b7 +  $_GBC_6bd3a7a569dd478fbc6d6829ce98fac6 +  $_GBC_cb0016cce8fe43e98003b2b13a1a8310" id="Cef43cef5e9f84fe9bf11f82680cde94e"/>
        </m:item>
        <m:item xlName="_GBC_c1baf9fd3a7c43e3b0765626d3f4786a" concept="clcid-pte:ShaoShuGuDongQuanYiZengJianBianDongJinE" label="少数股东权益增减变动金额" mulRef="_GBC_57faea4e453e49ad93821b7dd6ce8bc4" unitRef="_GBC_cef77704267643d794145c73763360e5" addr="T0R10C14S1_1" formatStyle="Comma">
          <m:complexRule comparator="Eq" title="少数股东权益增减变动金额" test=" $_GBC_149d893d54b049c0864237e6b4ac81a9 +  $_GBC_8b6817f804804532b66016470f7f7907 +  $_GBC_a9a30b0b9f8647d9b4ef82d45ad73fd9 +  $_GBC_6433a03aaf764c6bbb7fb28a263f4a75 +  $_GBC_8cab485a956f4ba2b7b46408d57ad6ed +  $_GBC_7ee4bb8a90ca4d6f876a811900bbf14f" id="C7f42180a5881473095103e854327725b"/>
        </m:item>
        <m:item xlName="_GBC_2aea7e65200c4636b30927f80555b840" concept="clcid-pte:GuDongQuanYiHeJiZengJianBianDongJinE" label="股东权益合计增减变动金额" mulRef="_GBC_57faea4e453e49ad93821b7dd6ce8bc4" unitRef="_GBC_cef77704267643d794145c73763360e5" addr="T0R10C15S1_1" formatStyle="Comma">
          <m:complexRule comparator="Eq" title="股东权益合计增减变动金额" test=" $_GBC_c8730066cf9a41769a95297ba550a73f +  $_GBC_910332ab8e674e6ea78bcb44729a6667 +  $_GBC_365bd934a2ad4f509a4b2e07a201b733 +  $_GBC_11ffe4abc91c475a9946d7350026712f +  $_GBC_2f85c153c72c4e148843c5f5780b7d6f +  $_GBC_e5424969832b49b886fcd601a1464e2b" id="Cc86835daef7c41cdb1af60ce55432adf"/>
        </m:item>
        <m:placeholder xlName="_PLD_b05dacde51ff43abaf7ec73bf9668d99" wordText="（一）综合收益总额" addr="T0R11C0S1_1"/>
        <m:item xlName="_GBC_fb0e279f648742b2bde1fb4eb64ce027" concept="clcid-pte:ZongHeShouYiZongEDaoZhiGuBenBianDongJinE" label="综合收益总额导致股本变动金额" mulRef="_GBC_57faea4e453e49ad93821b7dd6ce8bc4" unitRef="_GBC_cef77704267643d794145c73763360e5" addr="T0R11C1S1_1" formatStyle="Comma"/>
        <m:item xlName="_GBC_c8b641490bcd40c4a0577f32e33573df" concept="clcid-pte:ZongHeShouYiZongEDaoZhiYouXianGuBianDongJinE" label="综合收益总额导致优先股变动金额" mulRef="_GBC_57faea4e453e49ad93821b7dd6ce8bc4" unitRef="_GBC_cef77704267643d794145c73763360e5" addr="T0R11C2S1_1" formatStyle="Comma"/>
        <m:item xlName="_GBC_69f54da5019644068526258bac1b49c3" concept="clcid-pte:ZongHeShouYiZongEDaoZhiYongXuZhaiBianDongJinE" label="综合收益总额导致永续债变动金额" mulRef="_GBC_57faea4e453e49ad93821b7dd6ce8bc4" unitRef="_GBC_cef77704267643d794145c73763360e5" addr="T0R11C3S1_1" formatStyle="Comma"/>
        <m:item xlName="_GBC_c03d9e4b09334d93ac7e0c5997771e9b" concept="clcid-pte:ZongHeShouYiZongEDaoZhiQiTaQuanYiGongJuZhongDeQiTaBianDongJinE" label="综合收益总额导致其他权益工具中的其他变动金额" mulRef="_GBC_57faea4e453e49ad93821b7dd6ce8bc4" unitRef="_GBC_cef77704267643d794145c73763360e5" addr="T0R11C4S1_1" formatStyle="Comma"/>
        <m:item xlName="_GBC_aae2902bbf6e49a697cbb0d08a8f2669" concept="clcid-pte:ZongHeShouYiZongEDaoZhiZiBenGongJiBianDongJinE" label="综合收益总额导致资本公积变动金额" mulRef="_GBC_57faea4e453e49ad93821b7dd6ce8bc4" unitRef="_GBC_cef77704267643d794145c73763360e5" addr="T0R11C5S1_1" formatStyle="Comma"/>
        <m:item xlName="_GBC_4ffb9b03d5cc48f4acfde07216ec6b54" concept="clcid-pte:ZongHeShouYiZongEDaoZhiKuCunGuBianDongJinE" label="综合收益总额导致库存股变动金额" mulRef="_GBC_57faea4e453e49ad93821b7dd6ce8bc4" unitRef="_GBC_cef77704267643d794145c73763360e5" addr="T0R11C6S1_1" baseScale="-1" formatStyle="Comma"/>
        <m:item xlName="_GBC_8181639bbfa14fcdbdb232ee01aa29a1" concept="clcid-pte:ZongHeShouYiZongEDaoZhiQiTaZongHeShouYiBianDongJinE" label="综合收益总额导致其他综合收益变动金额" mulRef="_GBC_57faea4e453e49ad93821b7dd6ce8bc4" unitRef="_GBC_cef77704267643d794145c73763360e5" addr="T0R11C7S1_1" formatStyle="Comma"/>
        <m:item xlName="_GBC_6ce5a42f614c4987a51cfb320dadb73a" concept="clcid-pte:ZongHeShouYiZongEDaoZhiZhuanXiangChuBeiBianDongJinE" label="综合收益总额导致专项储备变动金额" mulRef="_GBC_57faea4e453e49ad93821b7dd6ce8bc4" unitRef="_GBC_cef77704267643d794145c73763360e5" addr="T0R11C8S1_1" formatStyle="Comma"/>
        <m:item xlName="_GBC_a017b9a7b7fd4aef80259d0feecf3577" concept="clcid-pte:ZongHeShouYiZongEDaoZhiYingYuGongJiBianDongJinE" label="综合收益总额导致盈余公积变动金额" mulRef="_GBC_57faea4e453e49ad93821b7dd6ce8bc4" unitRef="_GBC_cef77704267643d794145c73763360e5" addr="T0R11C9S1_1" formatStyle="Comma"/>
        <m:item xlName="_GBC_aa67cf36d71f4fd692a323409fc783d3" concept="clcid-pte:ZongHeShouYiZongEDaoZhiYiBanFengXianZhunBeiBianDongJinE" label="综合收益总额导致一般风险准备变动金额" mulRef="_GBC_57faea4e453e49ad93821b7dd6ce8bc4" unitRef="_GBC_cef77704267643d794145c73763360e5" addr="T0R11C10S1_1" formatStyle="Comma"/>
        <m:item xlName="_GBC_8c3566faf42144d797829c723441ea52" concept="clcid-pte:ZongHeShouYiZongEDaoZhiWeiFenPeiLiRunBianDongJinE" label="综合收益总额导致未分配利润变动金额" mulRef="_GBC_57faea4e453e49ad93821b7dd6ce8bc4" unitRef="_GBC_cef77704267643d794145c73763360e5" addr="T0R11C11S1_1" formatStyle="Comma"/>
        <m:item xlName="_GBC_2134daa5e4544552b59d9dd0a32ac680" concept="clcid-pte:ZongHeShouYiZongEDaoZhiQiTaDeGuiShuYuMuGongSiSuoYouZheQuanYiBianDongJinE" label="综合收益总额导致其他的归属于母公司所有者权益变动金额" mulRef="_GBC_57faea4e453e49ad93821b7dd6ce8bc4" unitRef="_GBC_cef77704267643d794145c73763360e5" addr="T0R11C12S1_1" formatStyle="Comma"/>
        <m:item xlName="_GBC_0eb3f2e40d784151bdd725447d2a7881" concept="clcid-pte:ZongHeShouYiZongEDaoZhiGuiShuYuMuGongSiSuoYouZheQuanYiBianDongJinE" label="综合收益总额导致归属于母公司所有者权益变动金额" mulRef="_GBC_57faea4e453e49ad93821b7dd6ce8bc4" unitRef="_GBC_cef77704267643d794145c73763360e5" addr="T0R11C13S1_1" formatStyle="Comma"/>
        <m:item xlName="_GBC_149d893d54b049c0864237e6b4ac81a9" concept="clcid-pte:ZongHeShouYiZongEDaoZhiShaoShuGuDongQuanYiBianDongJinE" label="综合收益总额导致少数股东权益变动金额" mulRef="_GBC_57faea4e453e49ad93821b7dd6ce8bc4" unitRef="_GBC_cef77704267643d794145c73763360e5" addr="T0R11C14S1_1" formatStyle="Comma"/>
        <m:item xlName="_GBC_c8730066cf9a41769a95297ba550a73f" concept="clcid-pte:ZongHeShouYiZongEDaoZhiGuDongQuanYiHeJiBianDongJinE" label="综合收益总额导致股东权益合计变动金额" mulRef="_GBC_57faea4e453e49ad93821b7dd6ce8bc4" unitRef="_GBC_cef77704267643d794145c73763360e5" addr="T0R11C15S1_1" formatStyle="Comma"/>
        <m:placeholder xlName="_PLD_f17921fb207340239c73a056e615d773" wordText="（二）所有者投入和减少资本" addr="T0R12C0S1_1"/>
        <m:item xlName="_GBC_53a2b0c45a35497ab0b00e30b4f387f1" concept="clcid-pte:SuoYouZheTouRuHeJianShaoZiBenDaoZhiShiShouZiBenHuoGuBenJingEBianDongJinE" label="所有者投入和减少资本导致实收资本（或股本）净额变动金额" mulRef="_GBC_57faea4e453e49ad93821b7dd6ce8bc4" unitRef="_GBC_cef77704267643d794145c73763360e5" addr="T0R12C1S1_1" formatStyle="Comma">
          <m:complexRule comparator="Eq" title="所有者投入和减少资本导致实收资本（或股本）净额变动金额" test=" $_GBC_1ef7499c294040618d3c638da4fc57e7 +  $_GBC_272ee4840cd344bc9b82789f5fcd2af0 +  $_GBC_5aa336b355e44669b7d9bb69d8f1726c +  $_GBC_413cbfd3c67448a986a99cfc9ab30e16" id="Cd591a3c2c2f34b0bb297447392a510ea" radius="0.0001"/>
        </m:item>
        <m:item xlName="_GBC_7fd9608cc38643e38cad5ba261e018fd" concept="clcid-pte:SuoYouZheTouRuHeJianShaoZiBenDaoZhiQiTaQuanYiGongJuZhongDeYouXianGuBianDongJinE" label="所有者投入和减少资本导致其他权益工具中的优先股变动金额" mulRef="_GBC_57faea4e453e49ad93821b7dd6ce8bc4" unitRef="_GBC_cef77704267643d794145c73763360e5" addr="T0R12C2S1_1" formatStyle="Comma">
          <m:complexRule comparator="Eq" title="所有者投入和减少资本导致其他权益工具中的优先股变动金额" test=" $_GBC_564c664bcfc94870ab4bfa9c0855b017 +  $_GBC_05009b1a8408429c87bbae95411b7e5a +  $_GBC_6f53131641444aaf892cf4884a81ccd0 +  $_GBC_7e65141db5644b258c8b0f100cae87ff" id="Cc68ce3e9da7f4c53808181efa306fc66"/>
        </m:item>
        <m:item xlName="_GBC_b35bfd334f564cf1ba7b2e56be61be8e" concept="clcid-pte:SuoYouZheTouRuHeJianShaoZiBenDaoZhiQiTaQuanYiGongJuZhongDeYongXuZhaiBianDongJinE" label="所有者投入和减少资本导致其他权益工具中的永续债变动金额" mulRef="_GBC_57faea4e453e49ad93821b7dd6ce8bc4" unitRef="_GBC_cef77704267643d794145c73763360e5" addr="T0R12C3S1_1" formatStyle="Comma">
          <m:complexRule comparator="Eq" title="所有者投入和减少资本导致其他权益工具中的永续债变动金额" test=" $_GBC_e0f146d847554ae083fd75e440464f31 +  $_GBC_d75cbd81d0a440b988dede0d218a30d2 +  $_GBC_436e13fa49e043b5a4d65883e1bc6875 +  $_GBC_e39f106386814522b56ed6538eafdb7a" id="Cba78498b74d44b5b8f4cf57a6145e8e8"/>
        </m:item>
        <m:item xlName="_GBC_b71e186769444c249b00cd8fb9129429" concept="clcid-pte:SuoYouZheTouRuHeJianShaoZiBenDaoZhiQiTaQuanYiGongJuZhongDeQiTaBianDongJinE" label="所有者投入和减少资本导致其他权益工具中的其他变动金额" mulRef="_GBC_57faea4e453e49ad93821b7dd6ce8bc4" unitRef="_GBC_cef77704267643d794145c73763360e5" addr="T0R12C4S1_1" formatStyle="Comma">
          <m:complexRule comparator="Eq" title="所有者投入和减少资本导致其他权益工具中的其他变动金额" test=" $_GBC_f322dbe37b144962a9f4c2ada45b18cd +  $_GBC_0205ed43c0aa40e5902e9ec02246b996 +  $_GBC_41df43579d714e22b9fbe776df8fabe7 +  $_GBC_679099b8063e45b2a91e69f7d25d0897" id="C184c9897ac284173b8d40c216a2afde5"/>
        </m:item>
        <m:item xlName="_GBC_68ae165e612544e69387f63a3d007298" concept="clcid-pte:SuoYouZheTouRuHeJianShaoZiBenDaoZhiZiBenGongJiBianDongJinE" label="所有者投入和减少资本导致资本公积变动金额" mulRef="_GBC_57faea4e453e49ad93821b7dd6ce8bc4" unitRef="_GBC_cef77704267643d794145c73763360e5" addr="T0R12C5S1_1" formatStyle="Comma">
          <m:complexRule comparator="Eq" title="所有者投入和减少资本导致资本公积变动金额" test=" $_GBC_2bcede48c6ac4e178a895c920987ad30 +  $_GBC_bd2a483d35ad4d709ed3ca65eaeb2a8d +  $_GBC_d47f62a223d1452c9e4e8ca146739fa3 +  $_GBC_5f9a76279e3f4bc49aaa082bb5bb8353" id="C05c49f82fe234a358ef6fb3ff263e232" radius="0.0001"/>
        </m:item>
        <m:item xlName="_GBC_2213a42694074933a28a2a9943fd2d05" concept="clcid-pte:SuoYouZheTouRuHeJianShaoZiBenDaoZhiKuCunGuBianDongJinE" label="所有者投入和减少资本导致库存股变动金额" mulRef="_GBC_57faea4e453e49ad93821b7dd6ce8bc4" unitRef="_GBC_cef77704267643d794145c73763360e5" addr="T0R12C6S1_1" baseScale="-1" formatStyle="Comma">
          <m:complexRule comparator="Eq" title="所有者投入和减少资本导致库存股变动金额" test=" $_GBC_3f94a46ad5b44639a3a0cdfe1533738f +  $_GBC_e32c55233b4940a38c32ee8c2b8dab6b +  $_GBC_b80cf70f484b47c9ade2811657c905f3 +  $_GBC_be92e6d49fb44efba098c3396c247bac" id="C511c16a3c9fb404a9fc4e88dc1de9092" radius="0.0001"/>
        </m:item>
        <m:item xlName="_GBC_35d117e617224e0188132c43674b2398" concept="clcid-pte:SuoYouZheTouRuHeJianShaoZiBenDaoZhiQiTaZongHeShouYiBianDongJinE" label="所有者投入和减少资本导致其他综合收益变动金额" mulRef="_GBC_57faea4e453e49ad93821b7dd6ce8bc4" unitRef="_GBC_cef77704267643d794145c73763360e5" addr="T0R12C7S1_1" formatStyle="Comma">
          <m:complexRule comparator="Eq" title="所有者投入和减少资本导致其他综合收益变动金额" test=" $_GBC_ad642a829d4240fb831e58f8abfdbd2e +  $_GBC_c2b70d17b87c4b51b95ad5c965d05ebc +  $_GBC_12693b9eddc946d9818a6e58730df957 +  $_GBC_4abe8b05268443a0b9973e0faecaf0bd" id="Cca11b6984b0a45bb9fdd6033c26c7180"/>
        </m:item>
        <m:item xlName="_GBC_7f6c8c15ddca4891838ef233ae79987c" concept="clcid-pte:SuoYouZheTouRuHeJianShaoZiBenDaoZhiZhuanXiangChuBeiBianDongJinE" label="所有者投入和减少资本导致专项储备变动金额" mulRef="_GBC_57faea4e453e49ad93821b7dd6ce8bc4" unitRef="_GBC_cef77704267643d794145c73763360e5" addr="T0R12C8S1_1" formatStyle="Comma">
          <m:complexRule comparator="Eq" title="所有者投入和减少资本导致专项储备变动金额" test=" $_GBC_c9b2988006ab46f9a1d81d654de240cd +  $_GBC_c36187945c3d4372b3d942cd50da8bb1 +  $_GBC_83ba1fa6a0b141f28d5af2c6ceb37a33 +  $_GBC_b9097087a7d54505b4d4e77c07ec527e" id="Cf606bbf3db1e46a094b9968c2ed3a32c"/>
        </m:item>
        <m:item xlName="_GBC_cb0bdf6fb77444aa94cc975b71a0be3f" concept="clcid-pte:SuoYouZheTouRuHeJianShaoZiBenDaoZhiYingYuGongJiBianDongJinE" label="所有者投入和减少资本导致盈余公积变动金额" mulRef="_GBC_57faea4e453e49ad93821b7dd6ce8bc4" unitRef="_GBC_cef77704267643d794145c73763360e5" addr="T0R12C9S1_1" formatStyle="Comma">
          <m:complexRule comparator="Eq" title="所有者投入和减少资本导致盈余公积变动金额" test=" $_GBC_e1f467b8121b4a7ca1585de7ed8b58ea +  $_GBC_8e595496005745fd8d0e1fc10c1adf21 +  $_GBC_253d78c0252e47f38eb6efcc5dcf9618 +  $_GBC_13bd847177c242ef9de5478e6ba9abee" id="Cda939feaf0c341c49959eea420e2120d"/>
        </m:item>
        <m:item xlName="_GBC_c9fca5cae4e64ab1bd43a0822a02689f" concept="clcid-pte:SuoYouZheTouRuHeJianShaoZiBenDaoZhiYiBanFengXianZhunBeiBianDongJinE" label="所有者投入和减少资本导致一般风险准备变动金额" mulRef="_GBC_57faea4e453e49ad93821b7dd6ce8bc4" unitRef="_GBC_cef77704267643d794145c73763360e5" addr="T0R12C10S1_1" formatStyle="Comma">
          <m:complexRule comparator="Eq" title="所有者投入和减少资本导致一般风险准备变动金额" test=" $_GBC_4d8fa6ab6e844813a829eb35e1a4d1c6 +  $_GBC_7be547304c304c889629f52be3d1cad8 +  $_GBC_85656b47b3784f8ead748b40ac28c0d4 +  $_GBC_5425ca8ca641484f8ea9c871fbcf0d91" id="Ceb910c6380b541668bfdfd413214393d"/>
        </m:item>
        <m:item xlName="_GBC_570dcbc2399941448f32034c03710f51" concept="clcid-pte:SuoYouZheTouRuHeJianShaoZiBenDaoZhiWeiFenPeiLiRunBianDongJinE" label="所有者投入和减少资本导致未分配利润变动金额" mulRef="_GBC_57faea4e453e49ad93821b7dd6ce8bc4" unitRef="_GBC_cef77704267643d794145c73763360e5" addr="T0R12C11S1_1" formatStyle="Comma">
          <m:complexRule comparator="Eq" title="所有者投入和减少资本导致未分配利润变动金额" test=" $_GBC_2e0166d98aa04a58b5a1c7806cbc91e7 +  $_GBC_7605bd7ecbbc4aa6a60307c61e22b15f +  $_GBC_892a6daff2f74efab8aa72f840d4121d +  $_GBC_71856d6351fd4e49b4d3001669b847fc" id="C1ac2c12ee6ab4edb9087c1602dda83dd"/>
        </m:item>
        <m:item xlName="_GBC_670bc241fcb84ad1b5450e74ac8d2698" concept="clcid-pte:SuoYouZheTouRuHeJianShaoZiBenDaoZhiQiTaDeGuiShuYuMuGongSiSuoYouZheQuanYiBianDongJinE" label="所有者投入和减少资本导致其他的归属于母公司所有者权益变动金额" mulRef="_GBC_57faea4e453e49ad93821b7dd6ce8bc4" unitRef="_GBC_cef77704267643d794145c73763360e5" addr="T0R12C12S1_1" formatStyle="Comma">
          <m:complexRule comparator="Eq" title="所有者投入资本导致其他的归属于母公司所有者权益变动金额" test=" $_GBC_f3e85c2e6f7242d0ba8071d98a4be9c8 +  $_GBC_f6cf1cc4eb224fa78b7fcb091d69b608 +  $_GBC_2743d59c1d5046a588a3dfb65da07425 +  $_GBC_0c643b8cfc8f4d48a3f3c40b3a412c34" id="C2139d836cdf948edb4966f5766849a97"/>
        </m:item>
        <m:item xlName="_GBC_5d71eeafa9084274ac16ab6bd869f6fb" concept="clcid-pte:SuoYouZheTouRuHeJianShaoZiBenDaoZhiGuiShuYuMuGongSiSuoYouZheQuanYiBianDongJinE" label="所有者投入和减少资本导致归属于母公司所有者权益变动金额" mulRef="_GBC_57faea4e453e49ad93821b7dd6ce8bc4" unitRef="_GBC_cef77704267643d794145c73763360e5" addr="T0R12C13S1_1" formatStyle="Comma">
          <m:complexRule comparator="Eq" title="所有者投入和减少资本导致归属于母公司所有者权益变动金额小计" test=" $_GBC_e2b1ffdf4d7449fbb6e63472a9626f50 +  $_GBC_a0cb6a71e9a34bf5b55f8ddbfbe9a47c +  $_GBC_a5e1c566e3064673b93874ea9cdd6cee +  $_GBC_eb3f6b79128148808e90ccf7ba38ac12" id="C1c339b859fe1450d8fdbebdfedcc33a4"/>
        </m:item>
        <m:item xlName="_GBC_8b6817f804804532b66016470f7f7907" concept="clcid-pte:SuoYouZheTouRuHeJianShaoZiBenDaoZhiShaoShuGuDongQuanYiBianDongJinE" label="所有者投入和减少资本导致少数股东权益变动金额" mulRef="_GBC_57faea4e453e49ad93821b7dd6ce8bc4" unitRef="_GBC_cef77704267643d794145c73763360e5" addr="T0R12C14S1_1" formatStyle="Comma">
          <m:complexRule comparator="Eq" title="所有者投入和减少资本导致少数股东权益变动金额" test=" $_GBC_2a71f61549cc4041be9cfe61766a129c +  $_GBC_87bdeae3080f4993ab0e6b1e4c0ce1b4 +  $_GBC_588beff2e16a40ea9494affb9ab9ddd7 +  $_GBC_533a50a063a9425690b28cb397b1f7cd" id="C722173a3f3d5494ca12212a47a08bfc6"/>
        </m:item>
        <m:item xlName="_GBC_910332ab8e674e6ea78bcb44729a6667" concept="clcid-pte:SuoYouZheTouRuHeJianShaoZiBenDaoZhiGuDongQuanYiHeJiBianDongJinE" label="所有者投入和减少资本导致股东权益合计变动金额" mulRef="_GBC_57faea4e453e49ad93821b7dd6ce8bc4" unitRef="_GBC_cef77704267643d794145c73763360e5" addr="T0R12C15S1_1" formatStyle="Comma">
          <m:complexRule comparator="Eq" title="所有者投入和减少资本导致股东权益合计变动金额" test=" $_GBC_60260638439c4bffba58f42d194b2232 +  $_GBC_8b6d24ab0c4349579bc399db7c565fd8 +  $_GBC_c5088b48142a44ffafdd56770eca4632 +  $_GBC_e593a456b1464949a46e8baa430887ea" id="C4b3335edd8fa40cf917e01f290e46ffe"/>
        </m:item>
        <m:placeholder xlName="_PLD_a4e5a1909d05445a88f8a664e237ae02" wordText="1．所有者投入的普通股" addr="T0R13C0S1_1"/>
        <m:item xlName="_GBC_1ef7499c294040618d3c638da4fc57e7" concept="clcid-pte:GuDongTouRuDePuTongGuDaoZhiGuBenBianDongJinE" label="股东投入的普通股导致股本变动金额" mulRef="_GBC_57faea4e453e49ad93821b7dd6ce8bc4" unitRef="_GBC_cef77704267643d794145c73763360e5" addr="T0R13C1S1_1" formatStyle="Comma"/>
        <m:item xlName="_GBC_564c664bcfc94870ab4bfa9c0855b017" concept="clcid-pte:GuDongTouRuDePuTongGuDaoZhiYouXianGuBianDongJinE" label="股东投入的普通股导致优先股变动金额" mulRef="_GBC_57faea4e453e49ad93821b7dd6ce8bc4" unitRef="_GBC_cef77704267643d794145c73763360e5" addr="T0R13C2S1_1" formatStyle="Comma"/>
        <m:item xlName="_GBC_e0f146d847554ae083fd75e440464f31" concept="clcid-pte:GuDongTouRuDePuTongGuDaoZhiYongXuZhaiBianDongJinE" label="股东投入的普通股导致永续债变动金额" mulRef="_GBC_57faea4e453e49ad93821b7dd6ce8bc4" unitRef="_GBC_cef77704267643d794145c73763360e5" addr="T0R13C3S1_1" formatStyle="Comma"/>
        <m:item xlName="_GBC_f322dbe37b144962a9f4c2ada45b18cd" concept="clcid-pte:GuDongTouRuDePuTongGuDaoZhiQiTaQuanYiGongJuZhongDeQiTaBianDongJinE" label="股东投入的普通股导致其他权益工具中的其他变动金额" mulRef="_GBC_57faea4e453e49ad93821b7dd6ce8bc4" unitRef="_GBC_cef77704267643d794145c73763360e5" addr="T0R13C4S1_1" formatStyle="Comma"/>
        <m:item xlName="_GBC_2bcede48c6ac4e178a895c920987ad30" concept="clcid-pte:GuDongTouRuDePuTongGuDaoZhiZiBenGongJiBianDongJinE" label="股东投入的普通股导致资本公积变动金额" mulRef="_GBC_57faea4e453e49ad93821b7dd6ce8bc4" unitRef="_GBC_cef77704267643d794145c73763360e5" addr="T0R13C5S1_1" formatStyle="Comma"/>
        <m:item xlName="_GBC_3f94a46ad5b44639a3a0cdfe1533738f" concept="clcid-pte:GuDongTouRuDePuTongGuDaoZhiKuCunGuBianDongJinE" label="股东投入的普通股导致库存股变动金额" mulRef="_GBC_57faea4e453e49ad93821b7dd6ce8bc4" unitRef="_GBC_cef77704267643d794145c73763360e5" addr="T0R13C6S1_1" baseScale="-1" formatStyle="Comma"/>
        <m:item xlName="_GBC_ad642a829d4240fb831e58f8abfdbd2e" concept="clcid-pte:GuDongTouRuDePuTongGuDaoZhiQiTaZongHeShouYiBianDongJinE" label="股东投入的普通股导致其他综合收益变动金额" mulRef="_GBC_57faea4e453e49ad93821b7dd6ce8bc4" unitRef="_GBC_cef77704267643d794145c73763360e5" addr="T0R13C7S1_1" formatStyle="Comma"/>
        <m:item xlName="_GBC_c9b2988006ab46f9a1d81d654de240cd" concept="clcid-pte:GuDongTouRuDePuTongGuDaoZhiZhuanXiangChuBeiBianDongJinE" label="股东投入的普通股导致专项储备变动金额" mulRef="_GBC_57faea4e453e49ad93821b7dd6ce8bc4" unitRef="_GBC_cef77704267643d794145c73763360e5" addr="T0R13C8S1_1" formatStyle="Comma"/>
        <m:item xlName="_GBC_e1f467b8121b4a7ca1585de7ed8b58ea" concept="clcid-pte:GuDongTouRuDePuTongGuDaoZhiYingYuGongJiBianDongJinE" label="股东投入的普通股导致盈余公积变动金额" mulRef="_GBC_57faea4e453e49ad93821b7dd6ce8bc4" unitRef="_GBC_cef77704267643d794145c73763360e5" addr="T0R13C9S1_1" formatStyle="Comma"/>
        <m:item xlName="_GBC_4d8fa6ab6e844813a829eb35e1a4d1c6" concept="clcid-pte:GuDongTouRuDePuTongGuDaoZhiYiBanFengXianZhunBeiBianDongJinE" label="股东投入的普通股导致一般风险准备变动金额" mulRef="_GBC_57faea4e453e49ad93821b7dd6ce8bc4" unitRef="_GBC_cef77704267643d794145c73763360e5" addr="T0R13C10S1_1" formatStyle="Comma"/>
        <m:item xlName="_GBC_2e0166d98aa04a58b5a1c7806cbc91e7" concept="clcid-pte:GuDongTouRuDePuTongGuDaoZhiWeiFenPeiLiRunBianDongJinE" label="股东投入的普通股导致未分配利润变动金额" mulRef="_GBC_57faea4e453e49ad93821b7dd6ce8bc4" unitRef="_GBC_cef77704267643d794145c73763360e5" addr="T0R13C11S1_1" formatStyle="Comma"/>
        <m:item xlName="_GBC_f3e85c2e6f7242d0ba8071d98a4be9c8" concept="clcid-pte:GuDongTouRuDePuTongGuDaoZhiQiTaDeGuiShuYuMuGongSiSuoYouZheQuanYiBianDongJinE" label="股东投入的普通股导致其他的归属于母公司所有者权益变动金额" mulRef="_GBC_57faea4e453e49ad93821b7dd6ce8bc4" unitRef="_GBC_cef77704267643d794145c73763360e5" addr="T0R13C12S1_1" formatStyle="Comma"/>
        <m:item xlName="_GBC_e2b1ffdf4d7449fbb6e63472a9626f50" concept="clcid-pte:GuDongTouRuDePuTongGuDaoZhiGuiShuYuMuGongSiSuoYouZheQuanYiBianDongJinE" label="股东投入的普通股导致归属于母公司所有者权益变动金额" mulRef="_GBC_57faea4e453e49ad93821b7dd6ce8bc4" unitRef="_GBC_cef77704267643d794145c73763360e5" addr="T0R13C13S1_1" formatStyle="Comma"/>
        <m:item xlName="_GBC_2a71f61549cc4041be9cfe61766a129c" concept="clcid-pte:GuDongTouRuDePuTongGuDaoZhiShaoShuGuDongQuanYiBianDongJinE" label="股东投入的普通股导致少数股东权益变动金额" mulRef="_GBC_57faea4e453e49ad93821b7dd6ce8bc4" unitRef="_GBC_cef77704267643d794145c73763360e5" addr="T0R13C14S1_1" formatStyle="Comma"/>
        <m:item xlName="_GBC_60260638439c4bffba58f42d194b2232" concept="clcid-pte:GuDongTouRuDePuTongGuDaoZhiGuDongQuanYiHeJiBianDongJinE" label="股东投入的普通股导致股东权益合计变动金额" mulRef="_GBC_57faea4e453e49ad93821b7dd6ce8bc4" unitRef="_GBC_cef77704267643d794145c73763360e5" addr="T0R13C15S1_1" formatStyle="Comma"/>
        <m:placeholder xlName="_PLD_00983bc5e4cc404f92b2fab2c532ec5f" wordText="2．其他权益工具持有者投入资本" addr="T0R14C0S1_1"/>
        <m:item xlName="_GBC_272ee4840cd344bc9b82789f5fcd2af0" concept="clcid-pte:QiTaQuanYiGongJuChiYouZheTouRuZiBenDaoZhiGuBenBianDongJinE" label="其他权益工具持有者投入资本导致股本变动金额" mulRef="_GBC_57faea4e453e49ad93821b7dd6ce8bc4" unitRef="_GBC_cef77704267643d794145c73763360e5" addr="T0R14C1S1_1" formatStyle="Comma"/>
        <m:item xlName="_GBC_05009b1a8408429c87bbae95411b7e5a" concept="clcid-pte:QiTaQuanYiGongJuChiYouZheTouRuZiBenDaoZhiYouXianGuBianDongJinE" label="其他权益工具持有者投入资本导致优先股变动金额" mulRef="_GBC_57faea4e453e49ad93821b7dd6ce8bc4" unitRef="_GBC_cef77704267643d794145c73763360e5" addr="T0R14C2S1_1" formatStyle="Comma"/>
        <m:item xlName="_GBC_d75cbd81d0a440b988dede0d218a30d2" concept="clcid-pte:QiTaQuanYiGongJuChiYouZheTouRuZiBenDaoZhiYongXuZhaiBianDongJinE" label="其他权益工具持有者投入资本导致永续债变动金额" mulRef="_GBC_57faea4e453e49ad93821b7dd6ce8bc4" unitRef="_GBC_cef77704267643d794145c73763360e5" addr="T0R14C3S1_1" formatStyle="Comma"/>
        <m:item xlName="_GBC_0205ed43c0aa40e5902e9ec02246b996" concept="clcid-pte:QiTaQuanYiGongJuChiYouZheTouRuZiBenDaoZhiQiTaQuanYiGongJuZhongDeQiTaBianDongJinE" label="其他权益工具持有者投入资本导致其他权益工具中的其他变动金额" mulRef="_GBC_57faea4e453e49ad93821b7dd6ce8bc4" unitRef="_GBC_cef77704267643d794145c73763360e5" addr="T0R14C4S1_1" formatStyle="Comma"/>
        <m:item xlName="_GBC_bd2a483d35ad4d709ed3ca65eaeb2a8d" concept="clcid-pte:QiTaQuanYiGongJuChiYouZheTouRuZiBenDaoZhiZiBenGongJiBianDongJinE" label="其他权益工具持有者投入资本导致资本公积变动金额" mulRef="_GBC_57faea4e453e49ad93821b7dd6ce8bc4" unitRef="_GBC_cef77704267643d794145c73763360e5" addr="T0R14C5S1_1" formatStyle="Comma"/>
        <m:item xlName="_GBC_e32c55233b4940a38c32ee8c2b8dab6b" concept="clcid-pte:QiTaQuanYiGongJuChiYouZheTouRuZiBenDaoZhiKuCunGuBianDongJinE" label="其他权益工具持有者投入资本导致库存股变动金额" mulRef="_GBC_57faea4e453e49ad93821b7dd6ce8bc4" unitRef="_GBC_cef77704267643d794145c73763360e5" addr="T0R14C6S1_1" baseScale="-1" formatStyle="Comma"/>
        <m:item xlName="_GBC_c2b70d17b87c4b51b95ad5c965d05ebc" concept="clcid-pte:QiTaQuanYiGongJuChiYouZheTouRuZiBenDaoZhiQiTaZongHeShouYiBianDongJinE" label="其他权益工具持有者投入资本导致其他综合收益变动金额" mulRef="_GBC_57faea4e453e49ad93821b7dd6ce8bc4" unitRef="_GBC_cef77704267643d794145c73763360e5" addr="T0R14C7S1_1" formatStyle="Comma"/>
        <m:item xlName="_GBC_c36187945c3d4372b3d942cd50da8bb1" concept="clcid-pte:QiTaQuanYiGongJuChiYouZheTouRuZiBenDaoZhiZhuanXiangChuBeiBianDongJinE" label="其他权益工具持有者投入资本导致专项储备变动金额" mulRef="_GBC_57faea4e453e49ad93821b7dd6ce8bc4" unitRef="_GBC_cef77704267643d794145c73763360e5" addr="T0R14C8S1_1" formatStyle="Comma"/>
        <m:item xlName="_GBC_8e595496005745fd8d0e1fc10c1adf21" concept="clcid-pte:QiTaQuanYiGongJuChiYouZheTouRuZiBenDaoZhiYingYuGongJiBianDongJinE" label="其他权益工具持有者投入资本导致盈余公积变动金额" mulRef="_GBC_57faea4e453e49ad93821b7dd6ce8bc4" unitRef="_GBC_cef77704267643d794145c73763360e5" addr="T0R14C9S1_1" formatStyle="Comma"/>
        <m:item xlName="_GBC_7be547304c304c889629f52be3d1cad8" concept="clcid-pte:QiTaQuanYiGongJuChiYouZheTouRuZiBenDaoZhiYiBanFengXianZhunBeiBianDongJinE" label="其他权益工具持有者投入资本导致一般风险准备变动金额" mulRef="_GBC_57faea4e453e49ad93821b7dd6ce8bc4" unitRef="_GBC_cef77704267643d794145c73763360e5" addr="T0R14C10S1_1" formatStyle="Comma"/>
        <m:item xlName="_GBC_7605bd7ecbbc4aa6a60307c61e22b15f" concept="clcid-pte:QiTaQuanYiGongJuChiYouZheTouRuZiBenDaoZhiWeiFenPeiLiRunBianDongJinE" label="其他权益工具持有者投入资本导致未分配利润变动金额" mulRef="_GBC_57faea4e453e49ad93821b7dd6ce8bc4" unitRef="_GBC_cef77704267643d794145c73763360e5" addr="T0R14C11S1_1" formatStyle="Comma"/>
        <m:item xlName="_GBC_f6cf1cc4eb224fa78b7fcb091d69b608" concept="clcid-pte:QiTaQuanYiGongJuChiYouZheTouRuZiBenDaoZhiQiTaDeGuiShuYuMuGongSiSuoYouZheQuanYiBianDongJinE" label="其他权益工具持有者投入资本导致其他的归属于母公司所有者权益变动金额" mulRef="_GBC_57faea4e453e49ad93821b7dd6ce8bc4" unitRef="_GBC_cef77704267643d794145c73763360e5" addr="T0R14C12S1_1" formatStyle="Comma"/>
        <m:item xlName="_GBC_a0cb6a71e9a34bf5b55f8ddbfbe9a47c" concept="clcid-pte:QiTaQuanYiGongJuChiYouZheTouRuZiBenDaoZhiGuiShuYuMuGongSiSuoYouZheQuanYiBianDongJinE" label="其他权益工具持有者投入资本导致归属于母公司所有者权益变动金额" mulRef="_GBC_57faea4e453e49ad93821b7dd6ce8bc4" unitRef="_GBC_cef77704267643d794145c73763360e5" addr="T0R14C13S1_1" formatStyle="Comma"/>
        <m:item xlName="_GBC_87bdeae3080f4993ab0e6b1e4c0ce1b4" concept="clcid-pte:QiTaQuanYiGongJuChiYouZheTouRuZiBenDaoZhiShaoShuGuDongQuanYiBianDongJinE" label="其他权益工具持有者投入资本导致少数股东权益变动金额" mulRef="_GBC_57faea4e453e49ad93821b7dd6ce8bc4" unitRef="_GBC_cef77704267643d794145c73763360e5" addr="T0R14C14S1_1" formatStyle="Comma"/>
        <m:item xlName="_GBC_8b6d24ab0c4349579bc399db7c565fd8" concept="clcid-pte:QiTaQuanYiGongJuChiYouZheTouRuZiBenDaoZhiGuDongQuanYiHeJiBianDongJinE" label="其他权益工具持有者投入资本导致股东权益合计变动金额" mulRef="_GBC_57faea4e453e49ad93821b7dd6ce8bc4" unitRef="_GBC_cef77704267643d794145c73763360e5" addr="T0R14C15S1_1" formatStyle="Comma"/>
        <m:placeholder xlName="_PLD_b945685508384f75ad9507566dd406a5" wordText="3．股份支付计入所有者权益的金额" addr="T0R15C0S1_1"/>
        <m:item xlName="_GBC_5aa336b355e44669b7d9bb69d8f1726c" concept="clcid-pte:GuFenZhiFuJiRuSuoYouZheQuanYiDeJinEDaoZhiShiShouZiBenHuoGuBenJingEBianDongJinE" label="股份支付计入所有者权益的金额导致实收资本（或股本）净额变动金额" mulRef="_GBC_57faea4e453e49ad93821b7dd6ce8bc4" unitRef="_GBC_cef77704267643d794145c73763360e5" addr="T0R15C1S1_1" formatStyle="Comma"/>
        <m:item xlName="_GBC_6f53131641444aaf892cf4884a81ccd0" concept="clcid-pte:GuFenZhiFuJiRuSuoYouZheQuanYiDeJinEDaoZhiQiTaQuanYiGongJuZhongDeYouXianGuBianDongJinE" label="股份支付计入所有者权益的金额导致其他权益工具中的优先股变动金额" mulRef="_GBC_57faea4e453e49ad93821b7dd6ce8bc4" unitRef="_GBC_cef77704267643d794145c73763360e5" addr="T0R15C2S1_1" formatStyle="Comma"/>
        <m:item xlName="_GBC_436e13fa49e043b5a4d65883e1bc6875" concept="clcid-pte:GuFenZhiFuJiRuSuoYouZheQuanYiDeJinEDaoZhiQiTaQuanYiGongJuZhongDeYongXuZhaiBianDongJinE" label="股份支付计入所有者权益的金额导致其他权益工具中的永续债变动金额" mulRef="_GBC_57faea4e453e49ad93821b7dd6ce8bc4" unitRef="_GBC_cef77704267643d794145c73763360e5" addr="T0R15C3S1_1" formatStyle="Comma"/>
        <m:item xlName="_GBC_41df43579d714e22b9fbe776df8fabe7" concept="clcid-pte:GuFenZhiFuJiRuSuoYouZheQuanYiDeJinEDaoZhiQiTaQuanYiGongJuZhongDeQiTaBianDongJinE" label="股份支付计入所有者权益的金额导致其他权益工具中的其他变动金额" mulRef="_GBC_57faea4e453e49ad93821b7dd6ce8bc4" unitRef="_GBC_cef77704267643d794145c73763360e5" addr="T0R15C4S1_1" formatStyle="Comma"/>
        <m:item xlName="_GBC_d47f62a223d1452c9e4e8ca146739fa3" concept="clcid-pte:GuFenZhiFuJiRuSuoYouZheQuanYiDeJinEDaoZhiZiBenGongJiBianDongJinE" label="股份支付计入所有者权益的金额导致资本公积变动金额" mulRef="_GBC_57faea4e453e49ad93821b7dd6ce8bc4" unitRef="_GBC_cef77704267643d794145c73763360e5" addr="T0R15C5S1_1" formatStyle="Comma"/>
        <m:item xlName="_GBC_b80cf70f484b47c9ade2811657c905f3" concept="clcid-pte:GuFenZhiFuJiRuSuoYouZheQuanYiDeJinEDaoZhiKuCunGuBianDongJinE" label="股份支付计入所有者权益的金额导致库存股变动金额" mulRef="_GBC_57faea4e453e49ad93821b7dd6ce8bc4" unitRef="_GBC_cef77704267643d794145c73763360e5" addr="T0R15C6S1_1" baseScale="-1" formatStyle="Comma"/>
        <m:item xlName="_GBC_12693b9eddc946d9818a6e58730df957" concept="clcid-pte:GuFenZhiFuJiRuSuoYouZheQuanYiDeJinEDaoZhiQiTaZongHeShouYiBianDongJinE" label="股份支付计入所有者权益的金额导致其他综合收益变动金额" mulRef="_GBC_57faea4e453e49ad93821b7dd6ce8bc4" unitRef="_GBC_cef77704267643d794145c73763360e5" addr="T0R15C7S1_1" formatStyle="Comma"/>
        <m:item xlName="_GBC_83ba1fa6a0b141f28d5af2c6ceb37a33" concept="clcid-pte:GuFenZhiFuJiRuSuoYouZheQuanYiDeJinEDaoZhiZhuanXiangChuBeiBianDongJinE" label="股份支付计入所有者权益的金额导致专项储备变动金额" mulRef="_GBC_57faea4e453e49ad93821b7dd6ce8bc4" unitRef="_GBC_cef77704267643d794145c73763360e5" addr="T0R15C8S1_1" formatStyle="Comma"/>
        <m:item xlName="_GBC_253d78c0252e47f38eb6efcc5dcf9618" concept="clcid-pte:GuFenZhiFuJiRuSuoYouZheQuanYiDeJinEDaoZhiYingYuGongJiBianDongJinE" label="股份支付计入所有者权益的金额导致盈余公积变动金额" mulRef="_GBC_57faea4e453e49ad93821b7dd6ce8bc4" unitRef="_GBC_cef77704267643d794145c73763360e5" addr="T0R15C9S1_1" formatStyle="Comma"/>
        <m:item xlName="_GBC_85656b47b3784f8ead748b40ac28c0d4" concept="clcid-pte:GuFenZhiFuJiRuSuoYouZheQuanYiDeJinEDaoZhiYiBanFengXianZhunBeiBianDongJinE" label="股份支付计入所有者权益的金额导致一般风险准备变动金额" mulRef="_GBC_57faea4e453e49ad93821b7dd6ce8bc4" unitRef="_GBC_cef77704267643d794145c73763360e5" addr="T0R15C10S1_1" formatStyle="Comma"/>
        <m:item xlName="_GBC_892a6daff2f74efab8aa72f840d4121d" concept="clcid-pte:GuFenZhiFuJiRuSuoYouZheQuanYiDeJinEDaoZhiWeiFenPeiLiRunBianDongJinE" label="股份支付计入所有者权益的金额导致未分配利润变动金额" mulRef="_GBC_57faea4e453e49ad93821b7dd6ce8bc4" unitRef="_GBC_cef77704267643d794145c73763360e5" addr="T0R15C11S1_1" formatStyle="Comma"/>
        <m:item xlName="_GBC_2743d59c1d5046a588a3dfb65da07425" concept="clcid-pte:GuFenZhiFuJiRuSuoYouZheQuanYiDeJinEDaoZhiQiTaDeGuiShuYuMuGongSiSuoYouZheQuanYiBianDongJinE" label="股份支付计入所有者权益的金额导致其他的归属于母公司所有者权益变动金额" mulRef="_GBC_57faea4e453e49ad93821b7dd6ce8bc4" unitRef="_GBC_cef77704267643d794145c73763360e5" addr="T0R15C12S1_1" formatStyle="Comma"/>
        <m:item xlName="_GBC_a5e1c566e3064673b93874ea9cdd6cee" concept="clcid-pte:GuFenZhiFuJiRuSuoYouZheQuanYiDeJinEDaoZhiGuiShuYuMuGongSiSuoYouZheQuanYiBianDongJinE" label="股份支付计入所有者权益的金额导致归属于母公司所有者权益变动金额" mulRef="_GBC_57faea4e453e49ad93821b7dd6ce8bc4" unitRef="_GBC_cef77704267643d794145c73763360e5" addr="T0R15C13S1_1" formatStyle="Comma"/>
        <m:item xlName="_GBC_588beff2e16a40ea9494affb9ab9ddd7" concept="clcid-pte:GuFenZhiFuJiRuSuoYouZheQuanYiDeJinEDaoZhiShaoShuGuDongQuanYiBianDongJinE" label="股份支付计入所有者权益的金额导致少数股东权益变动金额" mulRef="_GBC_57faea4e453e49ad93821b7dd6ce8bc4" unitRef="_GBC_cef77704267643d794145c73763360e5" addr="T0R15C14S1_1" formatStyle="Comma"/>
        <m:item xlName="_GBC_c5088b48142a44ffafdd56770eca4632" concept="clcid-pte:GuFenZhiFuJiRuSuoYouZheQuanYiDeJinEDaoZhiGuDongQuanYiHeJiBianDongJinE" label="股份支付计入所有者权益的金额导致股东权益合计变动金额" mulRef="_GBC_57faea4e453e49ad93821b7dd6ce8bc4" unitRef="_GBC_cef77704267643d794145c73763360e5" addr="T0R15C15S1_1" formatStyle="Comma"/>
        <m:placeholder xlName="_PLD_86538f5d06744ca9be65b0b439b17643" wordText="4．其他" addr="T0R16C0S1_1"/>
        <m:item xlName="_GBC_413cbfd3c67448a986a99cfc9ab30e16" concept="clcid-pte:QiTaSuoYouZheTouRuHeJianShaoZiBenDaoZhiShiShouZiBenHuoGuBenJingEBianDongJinE" label="其他所有者投入和减少资本导致实收资本（或股本）净额变动金额" mulRef="_GBC_57faea4e453e49ad93821b7dd6ce8bc4" unitRef="_GBC_cef77704267643d794145c73763360e5" addr="T0R16C1S1_1" formatStyle="Comma"/>
        <m:item xlName="_GBC_7e65141db5644b258c8b0f100cae87ff" concept="clcid-pte:QiTaSuoYouZheTouRuHeJianShaoZiBenDaoZhiQiTaQuanYiGongJuZhongDeYouXianGuBianDongJinE" label="其他所有者投入和减少资本导致其他权益工具中的优先股变动金额" mulRef="_GBC_57faea4e453e49ad93821b7dd6ce8bc4" unitRef="_GBC_cef77704267643d794145c73763360e5" addr="T0R16C2S1_1" formatStyle="Comma"/>
        <m:item xlName="_GBC_e39f106386814522b56ed6538eafdb7a" concept="clcid-pte:QiTaSuoYouZheTouRuHeJianShaoZiBenDaoZhiQiTaQuanYiGongJuZhongDeYongXuZhaiBianDongJinE" label="其他所有者投入和减少资本导致其他权益工具中的永续债变动金额" mulRef="_GBC_57faea4e453e49ad93821b7dd6ce8bc4" unitRef="_GBC_cef77704267643d794145c73763360e5" addr="T0R16C3S1_1" formatStyle="Comma"/>
        <m:item xlName="_GBC_679099b8063e45b2a91e69f7d25d0897" concept="clcid-pte:QiTaSuoYouZheTouRuHeJianShaoZiBenDaoZhiQiTaQuanYiGongJuZhongDeQiTaBianDongJinE" label="其他所有者投入和减少资本导致其他权益工具中的其他变动金额" mulRef="_GBC_57faea4e453e49ad93821b7dd6ce8bc4" unitRef="_GBC_cef77704267643d794145c73763360e5" addr="T0R16C4S1_1" formatStyle="Comma"/>
        <m:item xlName="_GBC_5f9a76279e3f4bc49aaa082bb5bb8353" concept="clcid-pte:QiTaSuoYouZheTouRuHeJianShaoZiBenDaoZhiZiBenGongJiBianDongJinE" label="其他所有者投入和减少资本导致资本公积变动金额" mulRef="_GBC_57faea4e453e49ad93821b7dd6ce8bc4" unitRef="_GBC_cef77704267643d794145c73763360e5" addr="T0R16C5S1_1" formatStyle="Comma"/>
        <m:item xlName="_GBC_be92e6d49fb44efba098c3396c247bac" concept="clcid-pte:QiTaSuoYouZheTouRuHeJianShaoZiBenDaoZhiKuCunGuBianDongJinE" label="其他所有者投入和减少资本导致库存股变动金额" mulRef="_GBC_57faea4e453e49ad93821b7dd6ce8bc4" unitRef="_GBC_cef77704267643d794145c73763360e5" addr="T0R16C6S1_1" baseScale="-1" formatStyle="Comma"/>
        <m:item xlName="_GBC_4abe8b05268443a0b9973e0faecaf0bd" concept="clcid-pte:QiTaSuoYouZheTouRuHeJianShaoZiBenDaoZhiQiTaZongHeShouYiBianDongJinE" label="其他所有者投入和减少资本导致其他综合收益变动金额" mulRef="_GBC_57faea4e453e49ad93821b7dd6ce8bc4" unitRef="_GBC_cef77704267643d794145c73763360e5" addr="T0R16C7S1_1" formatStyle="Comma"/>
        <m:item xlName="_GBC_b9097087a7d54505b4d4e77c07ec527e" concept="clcid-pte:QiTaSuoYouZheTouRuHeJianShaoZiBenDaoZhiZhuanXiangChuBeiBianDongJinE" label="其他所有者投入和减少资本导致专项储备变动金额" mulRef="_GBC_57faea4e453e49ad93821b7dd6ce8bc4" unitRef="_GBC_cef77704267643d794145c73763360e5" addr="T0R16C8S1_1" formatStyle="Comma"/>
        <m:item xlName="_GBC_13bd847177c242ef9de5478e6ba9abee" concept="clcid-pte:QiTaSuoYouZheTouRuHeJianShaoZiBenDaoZhiYingYuGongJiBianDongJinE" label="其他所有者投入和减少资本导致盈余公积变动金额" mulRef="_GBC_57faea4e453e49ad93821b7dd6ce8bc4" unitRef="_GBC_cef77704267643d794145c73763360e5" addr="T0R16C9S1_1" formatStyle="Comma"/>
        <m:item xlName="_GBC_5425ca8ca641484f8ea9c871fbcf0d91" concept="clcid-pte:QiTaSuoYouZheTouRuHeJianShaoZiBenDaoZhiYiBanFengXianZhunBeiBianDongJinE" label="其他所有者投入和减少资本导致一般风险准备变动金额" mulRef="_GBC_57faea4e453e49ad93821b7dd6ce8bc4" unitRef="_GBC_cef77704267643d794145c73763360e5" addr="T0R16C10S1_1" formatStyle="Comma"/>
        <m:item xlName="_GBC_71856d6351fd4e49b4d3001669b847fc" concept="clcid-pte:QiTaSuoYouZheTouRuHeJianShaoZiBenDaoZhiWeiFenPeiLiRunBianDongJinE" label="其他所有者投入和减少资本导致未分配利润变动金额" mulRef="_GBC_57faea4e453e49ad93821b7dd6ce8bc4" unitRef="_GBC_cef77704267643d794145c73763360e5" addr="T0R16C11S1_1" formatStyle="Comma"/>
        <m:item xlName="_GBC_0c643b8cfc8f4d48a3f3c40b3a412c34" concept="clcid-pte:QiTaSuoYouZheTouRuHeJianShaoZiBenDaoZhiQiTaDeGuiShuYuMuGongSiSuoYouZheQuanYiBianDongJinE" label="其他所有者投入和减少资本导致其他的归属于母公司所有者权益变动金额" mulRef="_GBC_57faea4e453e49ad93821b7dd6ce8bc4" unitRef="_GBC_cef77704267643d794145c73763360e5" addr="T0R16C12S1_1" formatStyle="Comma"/>
        <m:item xlName="_GBC_eb3f6b79128148808e90ccf7ba38ac12" concept="clcid-pte:QiTaSuoYouZheTouRuHeJianShaoZiBenDaoZhiGuiShuYuMuGongSiSuoYouZheQuanYiBianDongJinE" label="其他所有者投入和减少资本导致归属于母公司所有者权益变动金额" mulRef="_GBC_57faea4e453e49ad93821b7dd6ce8bc4" unitRef="_GBC_cef77704267643d794145c73763360e5" addr="T0R16C13S1_1" formatStyle="Comma"/>
        <m:item xlName="_GBC_533a50a063a9425690b28cb397b1f7cd" concept="clcid-pte:QiTaSuoYouZheTouRuHeJianShaoZiBenDaoZhiShaoShuGuDongQuanYiBianDongJinE" label="其他所有者投入和减少资本导致少数股东权益变动金额" mulRef="_GBC_57faea4e453e49ad93821b7dd6ce8bc4" unitRef="_GBC_cef77704267643d794145c73763360e5" addr="T0R16C14S1_1" formatStyle="Comma"/>
        <m:item xlName="_GBC_e593a456b1464949a46e8baa430887ea" concept="clcid-pte:QiTaSuoYouZheTouRuHeJianShaoZiBenDaoZhiGuDongQuanYiHeJiBianDongJinE" label="其他所有者投入和减少资本导致股东权益合计变动金额" mulRef="_GBC_57faea4e453e49ad93821b7dd6ce8bc4" unitRef="_GBC_cef77704267643d794145c73763360e5" addr="T0R16C15S1_1" formatStyle="Comma"/>
        <m:placeholder xlName="_PLD_8fb1d678e8ca4e3ba31e34bed05e6c58" wordText="（三）利润分配" addr="T0R17C0S1_1"/>
        <m:item xlName="_GBC_3a0ff53b646f43a7a1f9c558b9fed774" concept="clcid-pte:LiRunFenPeiDaoZhiShiShouZiBenHuoGuBenJingEBianDongJinE" label="利润分配导致实收资本（或股本）净额变动金额" mulRef="_GBC_57faea4e453e49ad93821b7dd6ce8bc4" unitRef="_GBC_cef77704267643d794145c73763360e5" addr="T0R17C1S1_1" formatStyle="Comma">
          <m:complexRule comparator="Eq" title="利润分配导致实收资本（或股本）净额变动金额" test=" $_GBC_3f6e5c11a3ae4b68aca339911ff726ea +  $_GBC_e43a77fbbb1941b2a5cf2739d76c0309 +  $_GBC_d009f6d1d17b499bbf8d21d417459d3c +  $_GBC_4131260b170a415987c556a0a5376084" id="Cbf5ef69fb5434a72b62645abfa92a1ac" radius="0.0001"/>
        </m:item>
        <m:item xlName="_GBC_cef027cb84874282a4234d3d919e2525" concept="clcid-pte:LiRunFenPeiDaoZhiQiTaQuanYiGongJuZhongDeYouXianGuBianDongJinE" label="利润分配导致其他权益工具中的优先股变动金额" mulRef="_GBC_57faea4e453e49ad93821b7dd6ce8bc4" unitRef="_GBC_cef77704267643d794145c73763360e5" addr="T0R17C2S1_1" formatStyle="Comma">
          <m:complexRule comparator="Eq" title="利润分配导致其他权益工具中的优先股变动金额" test=" $_GBC_a95d7af7382545d680d0e8f42047f710 +  $_GBC_2acee122f98444fab99175423d459938 +  $_GBC_dfddf7851fae4642885366e758577c06 +  $_GBC_5316ae2b43fc45e4876efa021061fc7e" id="C391228ce42ce406391a4841833282b62"/>
        </m:item>
        <m:item xlName="_GBC_a4434a7b99ac4c55bae83e1870dc0552" concept="clcid-pte:LiRunFenPeiDaoZhiQiTaQuanYiGongJuZhongDeYongXuZhaiBianDongJinE" label="利润分配导致其他权益工具中的永续债变动金额" mulRef="_GBC_57faea4e453e49ad93821b7dd6ce8bc4" unitRef="_GBC_cef77704267643d794145c73763360e5" addr="T0R17C3S1_1" formatStyle="Comma">
          <m:complexRule comparator="Eq" title="利润分配导致其他权益工具中的永续债变动金额" test=" $_GBC_ae2fcc451d684cfca73e5c68521cb901 +  $_GBC_71dd5fe63ad74932b5e12924a79d7f04 +  $_GBC_f2453533a2a34b21be140f6a22f18ac6 +  $_GBC_1ed545f4f3c147819f3209cf432455ba" id="C3d2c8873329144d89b9880ede26496cc"/>
        </m:item>
        <m:item xlName="_GBC_d7a9f70ff8844eedbbc177b5ce7a14ac" concept="clcid-pte:LiRunFenPeiDaoZhiQiTaQuanYiGongJuZhongDeQiTaBianDongJinE" label="利润分配导致其他权益工具中的其他变动金额" mulRef="_GBC_57faea4e453e49ad93821b7dd6ce8bc4" unitRef="_GBC_cef77704267643d794145c73763360e5" addr="T0R17C4S1_1" formatStyle="Comma">
          <m:complexRule comparator="Eq" title="利润分配导致其他权益工具中的其他变动金额" test=" $_GBC_f66920800f6444cd95ba0bf4dbad06e4 +  $_GBC_1e7376b65edc4adf9bf66a67e7b0009f +  $_GBC_180581dfaad34e41b0f7eec3d394c3df +  $_GBC_2034577d69af4f67a618d68f24347dee" id="C245f6d99d9aa47dbbfbcf8e197320874"/>
        </m:item>
        <m:item xlName="_GBC_ca43e320938a425daa4d47c7ea4689d2" concept="clcid-pte:LiRunFenPeiDaoZhiZiBenGongJiBianDongJinE" label="利润分配导致资本公积变动金额" mulRef="_GBC_57faea4e453e49ad93821b7dd6ce8bc4" unitRef="_GBC_cef77704267643d794145c73763360e5" addr="T0R17C5S1_1" formatStyle="Comma">
          <m:complexRule comparator="Eq" title="利润分配导致资本公积变动金额" test=" $_GBC_3a8c86ef8f3f45b0989a323955009a7a +  $_GBC_abba1ba09d954d2eae32237c4f0cc2f2 +  $_GBC_ff3817bf856e43e0918dc5fd83d073a4 +  $_GBC_9c37f333e345412a924ffec411909606" id="C770ff9215ddf4a3bb04fc6f42c9260be" radius="0.0001"/>
        </m:item>
        <m:item xlName="_GBC_e9850772adf640108ea606c7effd2558" concept="clcid-pte:LiRunFenPeiDaoZhiKuCunGuBianDongJinE" label="利润分配导致库存股变动金额" mulRef="_GBC_57faea4e453e49ad93821b7dd6ce8bc4" unitRef="_GBC_cef77704267643d794145c73763360e5" addr="T0R17C6S1_1" baseScale="-1" formatStyle="Comma">
          <m:complexRule comparator="Eq" title="利润分配导致库存股变动金额" test=" $_GBC_ddc03d26793d42bf8c07ff4e0e03ed43 +  $_GBC_5ab3dc3dafbc46bc8575c384395be90f +  $_GBC_a3ab75889e2b4a178ca5263ed2c74d4d +  $_GBC_5196cac1a57941fb995e3c7f3099e3ee" id="C5f170696218744e1804d39bd463c6561" radius="0.0001"/>
        </m:item>
        <m:item xlName="_GBC_af21ec91ef5643488dfec3fec8c64520" concept="clcid-pte:LiRunFenPeiDaoZhiQiTaZongHeShouYiBianDongJinE" label="利润分配导致其他综合收益变动金额" mulRef="_GBC_57faea4e453e49ad93821b7dd6ce8bc4" unitRef="_GBC_cef77704267643d794145c73763360e5" addr="T0R17C7S1_1" formatStyle="Comma">
          <m:complexRule comparator="Eq" title="利润分配导致其他综合收益变动金额" test=" $_GBC_824959113c654884a18e5469a89a701e +  $_GBC_30fe50d43b2c4a95b5915999784fc197 +  $_GBC_478b22ad1b1b4f1d94df8fdf93d06dea +  $_GBC_9a12750efabe4695885dee9c3af317c9" id="C7f632ffc144e41f7a2002deef264afa9"/>
        </m:item>
        <m:item xlName="_GBC_f1779e1993f84d86b164fa733de9b714" concept="clcid-pte:LiRunFenPeiDaoZhiZhuanXiangChuBeiBianDongJinE" label="利润分配导致专项储备变动金额" mulRef="_GBC_57faea4e453e49ad93821b7dd6ce8bc4" unitRef="_GBC_cef77704267643d794145c73763360e5" addr="T0R17C8S1_1" formatStyle="Comma">
          <m:complexRule comparator="Eq" title="利润分配导致专项储备变动金额" test=" $_GBC_e1dedad80ea54ba880019c858ac16eeb +  $_GBC_050ab230415a4e22a914ea46e5aaa5c9 +  $_GBC_327e15f952d34202b39ca129392c717c +  $_GBC_9ea3e8b6396c4f56b37dcecbd02f014a" id="C68a5dd1e22c843cdb5517f70e8ac36c2"/>
        </m:item>
        <m:item xlName="_GBC_31ba2b8a65ef499eb2c5d3c38b1eb730" concept="clcid-pte:LiRunFenPeiDaoZhiYingYuGongJiBianDongJinE" label="利润分配导致盈余公积变动金额" mulRef="_GBC_57faea4e453e49ad93821b7dd6ce8bc4" unitRef="_GBC_cef77704267643d794145c73763360e5" addr="T0R17C9S1_1" formatStyle="Comma">
          <m:complexRule comparator="Eq" title="利润分配导致盈余公积变动金额" test=" $_GBC_f10d6036dae8450e9f52f78c0b19b6b9 +  $_GBC_fe2654ee0bdb43fcb35831c58b6962c8 +  $_GBC_5805250422514792b2783b5a1e823a3e +  $_GBC_d399b5ed7c944055b7b4bc4e6ea2508d" id="C124267df303d49d4b379ae9157bad8ca"/>
        </m:item>
        <m:item xlName="_GBC_a30aef806fe64f0e9e7646bf73a5cdbe" concept="clcid-pte:LiRunFenPeiDaoZhiYiBanFengXianZhunBeiBianDongJinE" label="利润分配导致一般风险准备变动金额" mulRef="_GBC_57faea4e453e49ad93821b7dd6ce8bc4" unitRef="_GBC_cef77704267643d794145c73763360e5" addr="T0R17C10S1_1" formatStyle="Comma">
          <m:complexRule comparator="Eq" title="利润分配导致一般风险准备变动金额" test=" $_GBC_5dc9aabfd97e46f897b32bb13a60bce2 +  $_GBC_f807299a4ca54a259c17db01f7283e68 +  $_GBC_d6346daa01a9439f8b059d320ae759d3 +  $_GBC_1314b8084ad149e7a484bf8414c010f6" id="Cdff4bd3cf04742ec99b28d977304e5dc"/>
        </m:item>
        <m:item xlName="_GBC_c6e745e9942c43bb813c139cdc55c224" concept="clcid-pte:LiRunFenPeiDaoZhiWeiFenPeiLiRunBianDongJinE" label="利润分配导致未分配利润变动金额" mulRef="_GBC_57faea4e453e49ad93821b7dd6ce8bc4" unitRef="_GBC_cef77704267643d794145c73763360e5" addr="T0R17C11S1_1" formatStyle="Comma">
          <m:complexRule comparator="Eq" title="利润分配导致未分配利润变动金额" test=" $_GBC_6760be1abb2e42a1af646710775b8ca9 +  $_GBC_66f2bdb2b27a45e9bd44795d0e63c51d +  $_GBC_9749a88e14dc4eb883c2b676074dccf4 +  $_GBC_6d31524977144f4190db929b704cb3b0" id="C7443cc1484e34d31a6d8a3fea4a5d561"/>
        </m:item>
        <m:item xlName="_GBC_80f2803156254bdbbe01c4b8dd7639e8" concept="clcid-pte:LiRunFenPeiDaoZhiQiTaDeGuiShuYuMuGongSiSuoYouZheQuanYiBianDongJinE" label="利润分配导致其他的归属于母公司所有者权益变动金额" mulRef="_GBC_57faea4e453e49ad93821b7dd6ce8bc4" unitRef="_GBC_cef77704267643d794145c73763360e5" addr="T0R17C12S1_1" formatStyle="Comma">
          <m:complexRule comparator="Eq" title="利润分配导致其他的归属于母公司所有者权益变动金额" test=" $_GBC_45a3c5078da347ffa404237639c00b78 +  $_GBC_71a21548ec294be0ae0ae451c9356f3a +  $_GBC_12fe2c20fbb64af2adaef4f857e75f6b +  $_GBC_8f39966cdb3a420e911c5c4edb3f72b6" id="C7918ba8f826248299d5e976191acb3bd"/>
        </m:item>
        <m:item xlName="_GBC_796410d10595447f9d384040b3836046" concept="clcid-pte:LiRunFenPeiDaoZhiGuiShuYuMuGongSiSuoYouZheQuanYiBianDongJinE" label="利润分配导致归属于母公司所有者权益变动金额" mulRef="_GBC_57faea4e453e49ad93821b7dd6ce8bc4" unitRef="_GBC_cef77704267643d794145c73763360e5" addr="T0R17C13S1_1" formatStyle="Comma">
          <m:complexRule comparator="Eq" title="利润分配导致归属于母公司所有者权益变动金额小计" test=" $_GBC_25855867c8f44b0fb69e0ae1f8f6aeaa +  $_GBC_edbce23117bb4d58a77add6075fde8d3 +  $_GBC_6e1fbdf63a8c4f1dbd6706ad626edbdb +  $_GBC_603ded8ee3204db583bc42760010d59b" id="C8ca74ef1a32a49169c4f3e980b5926b3"/>
        </m:item>
        <m:item xlName="_GBC_a9a30b0b9f8647d9b4ef82d45ad73fd9" concept="clcid-pte:LiRunFenPeiDaoZhiShaoShuGuDongQuanYiBianDongJinE" label="利润分配导致少数股东权益变动金额" mulRef="_GBC_57faea4e453e49ad93821b7dd6ce8bc4" unitRef="_GBC_cef77704267643d794145c73763360e5" addr="T0R17C14S1_1" formatStyle="Comma">
          <m:complexRule comparator="Eq" title="利润分配导致少数股东权益变动金额" test=" $_GBC_e7ff1a3d1e8045cea6eeaaaffd21d431 +  $_GBC_52669936b71040e3b8fdfa0f773242b3 +  $_GBC_03f075ad55284efbb1adefbe67ddc46e +  $_GBC_c4f238bfc52b4c3bbef5730c1d478867" id="Ccda9783a3aa944a7bd71fb0e5032a767"/>
        </m:item>
        <m:item xlName="_GBC_365bd934a2ad4f509a4b2e07a201b733" concept="clcid-pte:LiRunFenPeiDaoZhiGuDongQuanYiHeJiBianDongJinE" label="利润分配导致股东权益合计变动金额" mulRef="_GBC_57faea4e453e49ad93821b7dd6ce8bc4" unitRef="_GBC_cef77704267643d794145c73763360e5" addr="T0R17C15S1_1" formatStyle="Comma">
          <m:complexRule comparator="Eq" title="利润分配导致股东权益合计变动金额" test=" $_GBC_12625232ded64732b494cf3d089eab03 +  $_GBC_d579c04304fe4446a66e68377e568c5f +  $_GBC_682d75836c1240238509bb0e48f4bd43 +  $_GBC_20d29620a6e441c0b17e7be1bf77e785" id="Cdc11a641bc71406c977b0a9f992f89e0"/>
        </m:item>
        <m:placeholder xlName="_PLD_5badbc22860d48e29f8d8d9a4a633d8c" wordText="1．提取盈余公积" addr="T0R18C0S1_1"/>
        <m:item xlName="_GBC_3f6e5c11a3ae4b68aca339911ff726ea" concept="clcid-pte:TiQuYingYuGongJiDaoZhiShiShouZiBenHuoGuBenJingEBianDongJinE" label="提取盈余公积导致实收资本（或股本）净额变动金额" mulRef="_GBC_57faea4e453e49ad93821b7dd6ce8bc4" unitRef="_GBC_cef77704267643d794145c73763360e5" addr="T0R18C1S1_1" formatStyle="Comma"/>
        <m:item xlName="_GBC_a95d7af7382545d680d0e8f42047f710" concept="clcid-pte:TiQuYingYuGongJiDaoZhiQiTaQuanYiGongJuZhongDeYouXianGuBianDongJinE" label="提取盈余公积导致其他权益工具中的优先股变动金额" mulRef="_GBC_57faea4e453e49ad93821b7dd6ce8bc4" unitRef="_GBC_cef77704267643d794145c73763360e5" addr="T0R18C2S1_1" formatStyle="Comma"/>
        <m:item xlName="_GBC_ae2fcc451d684cfca73e5c68521cb901" concept="clcid-pte:TiQuYingYuGongJiDaoZhiQiTaQuanYiGongJuZhongDeYongXuZhaiBianDongJinE" label="提取盈余公积导致其他权益工具中的永续债变动金额" mulRef="_GBC_57faea4e453e49ad93821b7dd6ce8bc4" unitRef="_GBC_cef77704267643d794145c73763360e5" addr="T0R18C3S1_1" formatStyle="Comma"/>
        <m:item xlName="_GBC_f66920800f6444cd95ba0bf4dbad06e4" concept="clcid-pte:TiQuYingYuGongJiDaoZhiQiTaQuanYiGongJuZhongDeQiTaBianDongJinE" label="提取盈余公积导致其他权益工具中的其他变动金额" mulRef="_GBC_57faea4e453e49ad93821b7dd6ce8bc4" unitRef="_GBC_cef77704267643d794145c73763360e5" addr="T0R18C4S1_1" formatStyle="Comma"/>
        <m:item xlName="_GBC_3a8c86ef8f3f45b0989a323955009a7a" concept="clcid-pte:TiQuYingYuGongJiDaoZhiZiBenGongJiBianDongJinE" label="提取盈余公积导致资本公积变动金额" mulRef="_GBC_57faea4e453e49ad93821b7dd6ce8bc4" unitRef="_GBC_cef77704267643d794145c73763360e5" addr="T0R18C5S1_1" formatStyle="Comma"/>
        <m:item xlName="_GBC_ddc03d26793d42bf8c07ff4e0e03ed43" concept="clcid-pte:TiQuYingYuGongJiDaoZhiKuCunGuBianDongJinE" label="提取盈余公积导致库存股变动金额" mulRef="_GBC_57faea4e453e49ad93821b7dd6ce8bc4" unitRef="_GBC_cef77704267643d794145c73763360e5" addr="T0R18C6S1_1" baseScale="-1" formatStyle="Comma"/>
        <m:item xlName="_GBC_824959113c654884a18e5469a89a701e" concept="clcid-pte:TiQuYingYuGongJiDaoZhiQiTaZongHeShouYiBianDongJinE" label="提取盈余公积导致其他综合收益变动金额" mulRef="_GBC_57faea4e453e49ad93821b7dd6ce8bc4" unitRef="_GBC_cef77704267643d794145c73763360e5" addr="T0R18C7S1_1" formatStyle="Comma"/>
        <m:item xlName="_GBC_e1dedad80ea54ba880019c858ac16eeb" concept="clcid-pte:TiQuYingYuGongJiDaoZhiZhuanXiangChuBeiBianDongJinE" label="提取盈余公积导致专项储备变动金额" mulRef="_GBC_57faea4e453e49ad93821b7dd6ce8bc4" unitRef="_GBC_cef77704267643d794145c73763360e5" addr="T0R18C8S1_1" formatStyle="Comma"/>
        <m:item xlName="_GBC_f10d6036dae8450e9f52f78c0b19b6b9" concept="clcid-pte:TiQuYingYuGongJiDaoZhiYingYuGongJiBianDongJinE" label="提取盈余公积导致盈余公积变动金额" mulRef="_GBC_57faea4e453e49ad93821b7dd6ce8bc4" unitRef="_GBC_cef77704267643d794145c73763360e5" addr="T0R18C9S1_1" formatStyle="Comma"/>
        <m:item xlName="_GBC_5dc9aabfd97e46f897b32bb13a60bce2" concept="clcid-pte:TiQuYingYuGongJiDaoZhiYiBanFengXianZhunBeiBianDongJinE" label="提取盈余公积导致一般风险准备变动金额" mulRef="_GBC_57faea4e453e49ad93821b7dd6ce8bc4" unitRef="_GBC_cef77704267643d794145c73763360e5" addr="T0R18C10S1_1" formatStyle="Comma"/>
        <m:item xlName="_GBC_6760be1abb2e42a1af646710775b8ca9" concept="clcid-pte:TiQuYingYuGongJiDaoZhiWeiFenPeiLiRunBianDongJinE" label="提取盈余公积导致未分配利润变动金额" mulRef="_GBC_57faea4e453e49ad93821b7dd6ce8bc4" unitRef="_GBC_cef77704267643d794145c73763360e5" addr="T0R18C11S1_1" formatStyle="Comma"/>
        <m:item xlName="_GBC_45a3c5078da347ffa404237639c00b78" concept="clcid-pte:TiQuYingYuGongJiDaoZhiQiTaDeGuiShuYuMuGongSiSuoYouZheQuanYiBianDongJinE" label="提取盈余公积导致其他的归属于母公司所有者权益变动金额" mulRef="_GBC_57faea4e453e49ad93821b7dd6ce8bc4" unitRef="_GBC_cef77704267643d794145c73763360e5" addr="T0R18C12S1_1" formatStyle="Comma"/>
        <m:item xlName="_GBC_25855867c8f44b0fb69e0ae1f8f6aeaa" concept="clcid-pte:TiQuYingYuGongJiDaoZhiGuiShuYuMuGongSiSuoYouZheQuanYiBianDongJinE" label="提取盈余公积导致归属于母公司所有者权益变动金额" mulRef="_GBC_57faea4e453e49ad93821b7dd6ce8bc4" unitRef="_GBC_cef77704267643d794145c73763360e5" addr="T0R18C13S1_1" formatStyle="Comma"/>
        <m:item xlName="_GBC_e7ff1a3d1e8045cea6eeaaaffd21d431" concept="clcid-pte:TiQuYingYuGongJiDaoZhiShaoShuGuDongQuanYiBianDongJinE" label="提取盈余公积导致少数股东权益变动金额" mulRef="_GBC_57faea4e453e49ad93821b7dd6ce8bc4" unitRef="_GBC_cef77704267643d794145c73763360e5" addr="T0R18C14S1_1" formatStyle="Comma"/>
        <m:item xlName="_GBC_12625232ded64732b494cf3d089eab03" concept="clcid-pte:TiQuYingYuGongJiDaoZhiGuDongQuanYiHeJiBianDongJinE" label="提取盈余公积导致股东权益合计变动金额" mulRef="_GBC_57faea4e453e49ad93821b7dd6ce8bc4" unitRef="_GBC_cef77704267643d794145c73763360e5" addr="T0R18C15S1_1" formatStyle="Comma"/>
        <m:placeholder xlName="_PLD_2c8b649d670044a9b5fda521dd40705d" wordText="2．提取一般风险准备" addr="T0R19C0S1_1"/>
        <m:item xlName="_GBC_e43a77fbbb1941b2a5cf2739d76c0309" concept="clcid-pte:TiQuYiBanFengXianZhunBeiDaoZhiShiShouZiBenHuoGuBenJingEBianDongJinE" label="提取一般风险准备导致实收资本（或股本）净额变动金额" mulRef="_GBC_57faea4e453e49ad93821b7dd6ce8bc4" unitRef="_GBC_cef77704267643d794145c73763360e5" addr="T0R19C1S1_1" formatStyle="Comma"/>
        <m:item xlName="_GBC_2acee122f98444fab99175423d459938" concept="clcid-pte:TiQuYiBanFengXianZhunBeiDaoZhiQiTaQuanYiGongJuZhongDeYouXianGuBianDongJinE" label="提取一般风险准备导致其他权益工具中的优先股变动金额" mulRef="_GBC_57faea4e453e49ad93821b7dd6ce8bc4" unitRef="_GBC_cef77704267643d794145c73763360e5" addr="T0R19C2S1_1" formatStyle="Comma"/>
        <m:item xlName="_GBC_71dd5fe63ad74932b5e12924a79d7f04" concept="clcid-pte:TiQuYiBanFengXianZhunBeiDaoZhiQiTaQuanYiGongJuZhongDeYongXuZhaiBianDongJinE" label="提取一般风险准备导致其他权益工具中的永续债变动金额" mulRef="_GBC_57faea4e453e49ad93821b7dd6ce8bc4" unitRef="_GBC_cef77704267643d794145c73763360e5" addr="T0R19C3S1_1" formatStyle="Comma"/>
        <m:item xlName="_GBC_1e7376b65edc4adf9bf66a67e7b0009f" concept="clcid-pte:TiQuYiBanFengXianZhunBeiDaoZhiQiTaQuanYiGongJuZhongDeQiTaBianDongJinE" label="提取一般风险准备导致其他权益工具中的其他变动金额" mulRef="_GBC_57faea4e453e49ad93821b7dd6ce8bc4" unitRef="_GBC_cef77704267643d794145c73763360e5" addr="T0R19C4S1_1" formatStyle="Comma"/>
        <m:item xlName="_GBC_abba1ba09d954d2eae32237c4f0cc2f2" concept="clcid-pte:TiQuYiBanFengXianZhunBeiDaoZhiZiBenGongJiBianDongJinE" label="提取一般风险准备导致资本公积变动金额" mulRef="_GBC_57faea4e453e49ad93821b7dd6ce8bc4" unitRef="_GBC_cef77704267643d794145c73763360e5" addr="T0R19C5S1_1" formatStyle="Comma"/>
        <m:item xlName="_GBC_5ab3dc3dafbc46bc8575c384395be90f" concept="clcid-pte:TiQuYiBanFengXianZhunBeiDaoZhiKuCunGuBianDongJinE" label="提取一般风险准备导致库存股变动金额" mulRef="_GBC_57faea4e453e49ad93821b7dd6ce8bc4" unitRef="_GBC_cef77704267643d794145c73763360e5" addr="T0R19C6S1_1" baseScale="-1" formatStyle="Comma"/>
        <m:item xlName="_GBC_30fe50d43b2c4a95b5915999784fc197" concept="clcid-pte:TiQuYiBanFengXianZhunBeiDaoZhiQiTaZongHeShouYiBianDongJinE" label="提取一般风险准备导致其他综合收益变动金额" mulRef="_GBC_57faea4e453e49ad93821b7dd6ce8bc4" unitRef="_GBC_cef77704267643d794145c73763360e5" addr="T0R19C7S1_1" formatStyle="Comma"/>
        <m:item xlName="_GBC_050ab230415a4e22a914ea46e5aaa5c9" concept="clcid-pte:TiQuYiBanFengXianZhunBeiDaoZhiZhuanXiangChuBeiBianDongJinE" label="提取一般风险准备导致专项储备变动金额" mulRef="_GBC_57faea4e453e49ad93821b7dd6ce8bc4" unitRef="_GBC_cef77704267643d794145c73763360e5" addr="T0R19C8S1_1" formatStyle="Comma"/>
        <m:item xlName="_GBC_fe2654ee0bdb43fcb35831c58b6962c8" concept="clcid-pte:TiQuYiBanFengXianZhunBeiDaoZhiYingYuGongJiBianDongJinE" label="提取一般风险准备导致盈余公积变动金额" mulRef="_GBC_57faea4e453e49ad93821b7dd6ce8bc4" unitRef="_GBC_cef77704267643d794145c73763360e5" addr="T0R19C9S1_1" formatStyle="Comma"/>
        <m:item xlName="_GBC_f807299a4ca54a259c17db01f7283e68" concept="clcid-pte:TiQuYiBanFengXianZhunBeiDaoZhiYiBanFengXianZhunBeiBianDongJinE" label="提取一般风险准备导致一般风险准备变动金额" mulRef="_GBC_57faea4e453e49ad93821b7dd6ce8bc4" unitRef="_GBC_cef77704267643d794145c73763360e5" addr="T0R19C10S1_1" formatStyle="Comma"/>
        <m:item xlName="_GBC_66f2bdb2b27a45e9bd44795d0e63c51d" concept="clcid-pte:TiQuYiBanFengXianZhunBeiDaoZhiWeiFenPeiLiRunBianDongJinE" label="提取一般风险准备导致未分配利润变动金额" mulRef="_GBC_57faea4e453e49ad93821b7dd6ce8bc4" unitRef="_GBC_cef77704267643d794145c73763360e5" addr="T0R19C11S1_1" formatStyle="Comma"/>
        <m:item xlName="_GBC_71a21548ec294be0ae0ae451c9356f3a" concept="clcid-pte:TiQuYiBanFengXianZhunBeiDaoZhiQiTaDeGuiShuYuMuGongSiSuoYouZheQuanYiBianDongJinE" label="提取一般风险准备导致其他的归属于母公司所有者权益变动金额" mulRef="_GBC_57faea4e453e49ad93821b7dd6ce8bc4" unitRef="_GBC_cef77704267643d794145c73763360e5" addr="T0R19C12S1_1" formatStyle="Comma"/>
        <m:item xlName="_GBC_edbce23117bb4d58a77add6075fde8d3" concept="clcid-pte:TiQuYiBanFengXianZhunBeiDaoZhiGuiShuYuMuGongSiSuoYouZheQuanYiBianDongJinE" label="提取一般风险准备导致归属于母公司所有者权益变动金额" mulRef="_GBC_57faea4e453e49ad93821b7dd6ce8bc4" unitRef="_GBC_cef77704267643d794145c73763360e5" addr="T0R19C13S1_1" formatStyle="Comma"/>
        <m:item xlName="_GBC_52669936b71040e3b8fdfa0f773242b3" concept="clcid-pte:TiQuYiBanFengXianZhunBeiDaoZhiShaoShuGuDongQuanYiBianDongJinE" label="提取一般风险准备导致少数股东权益变动金额" mulRef="_GBC_57faea4e453e49ad93821b7dd6ce8bc4" unitRef="_GBC_cef77704267643d794145c73763360e5" addr="T0R19C14S1_1" formatStyle="Comma"/>
        <m:item xlName="_GBC_d579c04304fe4446a66e68377e568c5f" concept="clcid-pte:TiQuYiBanFengXianZhunBeiDaoZhiGuDongQuanYiHeJiBianDongJinE" label="提取一般风险准备导致股东权益合计变动金额" mulRef="_GBC_57faea4e453e49ad93821b7dd6ce8bc4" unitRef="_GBC_cef77704267643d794145c73763360e5" addr="T0R19C15S1_1" formatStyle="Comma"/>
        <m:placeholder xlName="_PLD_254428ff3bee49c2acd11ef634901543" wordText="3．对所有者（或股东）的分配" addr="T0R20C0S1_1"/>
        <m:item xlName="_GBC_d009f6d1d17b499bbf8d21d417459d3c" concept="clcid-pte:DuiSuoYouZheHuoGuDongDeFenPeiDaoZhiShiShouZiBenHuoGuBenJingEBianDongJinE" label="对所有者（或股东）的分配导致实收资本（或股本）净额变动金额" mulRef="_GBC_57faea4e453e49ad93821b7dd6ce8bc4" unitRef="_GBC_cef77704267643d794145c73763360e5" addr="T0R20C1S1_1" formatStyle="Comma"/>
        <m:item xlName="_GBC_dfddf7851fae4642885366e758577c06" concept="clcid-pte:DuiSuoYouZheHuoGuDongDeFenPeiDaoZhiQiTaQuanYiGongJuZhongDeYouXianGuBianDongJinE" label="对所有者（或股东）的分配导致其他权益工具中的优先股变动金额" mulRef="_GBC_57faea4e453e49ad93821b7dd6ce8bc4" unitRef="_GBC_cef77704267643d794145c73763360e5" addr="T0R20C2S1_1" formatStyle="Comma"/>
        <m:item xlName="_GBC_f2453533a2a34b21be140f6a22f18ac6" concept="clcid-pte:DuiSuoYouZheHuoGuDongDeFenPeiDaoZhiQiTaQuanYiGongJuZhongDeYongXuZhaiBianDongJinE" label="对所有者（或股东）的分配导致其他权益工具中的永续债变动金额" mulRef="_GBC_57faea4e453e49ad93821b7dd6ce8bc4" unitRef="_GBC_cef77704267643d794145c73763360e5" addr="T0R20C3S1_1" formatStyle="Comma"/>
        <m:item xlName="_GBC_180581dfaad34e41b0f7eec3d394c3df" concept="clcid-pte:DuiSuoYouZheHuoGuDongDeFenPeiDaoZhiQiTaQuanYiGongJuZhongDeQiTaBianDongJinE" label="对所有者（或股东）的分配导致其他权益工具中的其他变动金额" mulRef="_GBC_57faea4e453e49ad93821b7dd6ce8bc4" unitRef="_GBC_cef77704267643d794145c73763360e5" addr="T0R20C4S1_1" formatStyle="Comma"/>
        <m:item xlName="_GBC_ff3817bf856e43e0918dc5fd83d073a4" concept="clcid-pte:DuiSuoYouZheHuoGuDongDeFenPeiDaoZhiZiBenGongJiBianDongJinE" label="对所有者（或股东）的分配导致资本公积变动金额" mulRef="_GBC_57faea4e453e49ad93821b7dd6ce8bc4" unitRef="_GBC_cef77704267643d794145c73763360e5" addr="T0R20C5S1_1" formatStyle="Comma"/>
        <m:item xlName="_GBC_a3ab75889e2b4a178ca5263ed2c74d4d" concept="clcid-pte:DuiSuoYouZheHuoGuDongDeFenPeiDaoZhiKuCunGuBianDongJinE" label="对所有者（或股东）的分配导致库存股变动金额" mulRef="_GBC_57faea4e453e49ad93821b7dd6ce8bc4" unitRef="_GBC_cef77704267643d794145c73763360e5" addr="T0R20C6S1_1" baseScale="-1" formatStyle="Comma"/>
        <m:item xlName="_GBC_478b22ad1b1b4f1d94df8fdf93d06dea" concept="clcid-pte:DuiSuoYouZheHuoGuDongDeFenPeiDaoZhiQiTaZongHeShouYiBianDongJinE" label="对所有者（或股东）的分配导致其他综合收益变动金额" mulRef="_GBC_57faea4e453e49ad93821b7dd6ce8bc4" unitRef="_GBC_cef77704267643d794145c73763360e5" addr="T0R20C7S1_1" formatStyle="Comma"/>
        <m:item xlName="_GBC_327e15f952d34202b39ca129392c717c" concept="clcid-pte:DuiSuoYouZheHuoGuDongDeFenPeiDaoZhiZhuanXiangChuBeiBianDongJinE" label="对所有者（或股东）的分配导致专项储备变动金额" mulRef="_GBC_57faea4e453e49ad93821b7dd6ce8bc4" unitRef="_GBC_cef77704267643d794145c73763360e5" addr="T0R20C8S1_1" formatStyle="Comma"/>
        <m:item xlName="_GBC_5805250422514792b2783b5a1e823a3e" concept="clcid-pte:DuiSuoYouZheHuoGuDongDeFenPeiDaoZhiYingYuGongJiBianDongJinE" label="对所有者（或股东）的分配导致盈余公积变动金额" mulRef="_GBC_57faea4e453e49ad93821b7dd6ce8bc4" unitRef="_GBC_cef77704267643d794145c73763360e5" addr="T0R20C9S1_1" formatStyle="Comma"/>
        <m:item xlName="_GBC_d6346daa01a9439f8b059d320ae759d3" concept="clcid-pte:DuiSuoYouZheHuoGuDongDeFenPeiDaoZhiYiBanFengXianZhunBeiBianDongJinE" label="对所有者（或股东）的分配导致一般风险准备变动金额" mulRef="_GBC_57faea4e453e49ad93821b7dd6ce8bc4" unitRef="_GBC_cef77704267643d794145c73763360e5" addr="T0R20C10S1_1" formatStyle="Comma"/>
        <m:item xlName="_GBC_9749a88e14dc4eb883c2b676074dccf4" concept="clcid-pte:DuiSuoYouZheHuoGuDongDeFenPeiDaoZhiWeiFenPeiLiRunBianDongJinE" label="对所有者（或股东）的分配导致未分配利润变动金额" mulRef="_GBC_57faea4e453e49ad93821b7dd6ce8bc4" unitRef="_GBC_cef77704267643d794145c73763360e5" addr="T0R20C11S1_1" formatStyle="Comma"/>
        <m:item xlName="_GBC_12fe2c20fbb64af2adaef4f857e75f6b" concept="clcid-pte:DuiSuoYouZheHuoGuDongDeFenPeiDaoZhiQiTaDeGuiShuYuMuGongSiSuoYouZheQuanYiBianDongJinE" label="对所有者（或股东）的分配导致其他的归属于母公司所有者权益变动金额" mulRef="_GBC_57faea4e453e49ad93821b7dd6ce8bc4" unitRef="_GBC_cef77704267643d794145c73763360e5" addr="T0R20C12S1_1" formatStyle="Comma"/>
        <m:item xlName="_GBC_6e1fbdf63a8c4f1dbd6706ad626edbdb" concept="clcid-pte:DuiSuoYouZheHuoGuDongDeFenPeiDaoZhiGuiShuYuMuGongSiSuoYouZheQuanYiBianDongJinE" label="对所有者（或股东）的分配导致归属于母公司所有者权益变动金额" mulRef="_GBC_57faea4e453e49ad93821b7dd6ce8bc4" unitRef="_GBC_cef77704267643d794145c73763360e5" addr="T0R20C13S1_1" formatStyle="Comma"/>
        <m:item xlName="_GBC_03f075ad55284efbb1adefbe67ddc46e" concept="clcid-pte:DuiSuoYouZheHuoGuDongDeFenPeiDaoZhiShaoShuGuDongQuanYiBianDongJinE" label="对所有者（或股东）的分配导致少数股东权益变动金额" mulRef="_GBC_57faea4e453e49ad93821b7dd6ce8bc4" unitRef="_GBC_cef77704267643d794145c73763360e5" addr="T0R20C14S1_1" formatStyle="Comma"/>
        <m:item xlName="_GBC_682d75836c1240238509bb0e48f4bd43" concept="clcid-pte:DuiSuoYouZheHuoGuDongDeFenPeiDaoZhiGuDongQuanYiHeJiBianDongJinE" label="对所有者（或股东）的分配导致股东权益合计变动金额" mulRef="_GBC_57faea4e453e49ad93821b7dd6ce8bc4" unitRef="_GBC_cef77704267643d794145c73763360e5" addr="T0R20C15S1_1" formatStyle="Comma"/>
        <m:placeholder xlName="_PLD_b3d350728a6c49ccaa6dbb4adf16c691" wordText="4．其他" addr="T0R21C0S1_1"/>
        <m:item xlName="_GBC_4131260b170a415987c556a0a5376084" concept="clcid-pte:QiTaLiRunFenPeiDaoZhiShiShouZiBenHuoGuBenJingEBianDongJinE" label="其他利润分配导致实收资本（或股本）净额变动金额" mulRef="_GBC_57faea4e453e49ad93821b7dd6ce8bc4" unitRef="_GBC_cef77704267643d794145c73763360e5" addr="T0R21C1S1_1" formatStyle="Comma"/>
        <m:item xlName="_GBC_5316ae2b43fc45e4876efa021061fc7e" concept="clcid-pte:QiTaLiRunFenPeiDaoZhiQiTaQuanYiGongJuZhongDeYouXianGuBianDongJinE" label="其他利润分配导致其他权益工具中的优先股变动金额" mulRef="_GBC_57faea4e453e49ad93821b7dd6ce8bc4" unitRef="_GBC_cef77704267643d794145c73763360e5" addr="T0R21C2S1_1" formatStyle="Comma"/>
        <m:item xlName="_GBC_1ed545f4f3c147819f3209cf432455ba" concept="clcid-pte:QiTaLiRunFenPeiDaoZhiQiTaQuanYiGongJuZhongDeYongXuZhaiBianDongJinE" label="其他利润分配导致其他权益工具中的永续债变动金额" mulRef="_GBC_57faea4e453e49ad93821b7dd6ce8bc4" unitRef="_GBC_cef77704267643d794145c73763360e5" addr="T0R21C3S1_1" formatStyle="Comma"/>
        <m:item xlName="_GBC_2034577d69af4f67a618d68f24347dee" concept="clcid-pte:QiTaLiRunFenPeiDaoZhiQiTaQuanYiGongJuZhongDeQiTaBianDongJinE" label="其他利润分配导致其他权益工具中的其他变动金额" mulRef="_GBC_57faea4e453e49ad93821b7dd6ce8bc4" unitRef="_GBC_cef77704267643d794145c73763360e5" addr="T0R21C4S1_1" formatStyle="Comma"/>
        <m:item xlName="_GBC_9c37f333e345412a924ffec411909606" concept="clcid-pte:QiTaLiRunFenPeiDaoZhiZiBenGongJiBianDongJinE" label="其他利润分配导致资本公积变动金额" mulRef="_GBC_57faea4e453e49ad93821b7dd6ce8bc4" unitRef="_GBC_cef77704267643d794145c73763360e5" addr="T0R21C5S1_1" formatStyle="Comma"/>
        <m:item xlName="_GBC_5196cac1a57941fb995e3c7f3099e3ee" concept="clcid-pte:QiTaLiRunFenPeiDaoZhiKuCunGuBianDongJinE" label="其他利润分配导致库存股变动金额" mulRef="_GBC_57faea4e453e49ad93821b7dd6ce8bc4" unitRef="_GBC_cef77704267643d794145c73763360e5" addr="T0R21C6S1_1" baseScale="-1" formatStyle="Comma"/>
        <m:item xlName="_GBC_9a12750efabe4695885dee9c3af317c9" concept="clcid-pte:QiTaLiRunFenPeiDaoZhiQiTaZongHeShouYiBianDongJinE" label="其他利润分配导致其他综合收益变动金额" mulRef="_GBC_57faea4e453e49ad93821b7dd6ce8bc4" unitRef="_GBC_cef77704267643d794145c73763360e5" addr="T0R21C7S1_1" formatStyle="Comma"/>
        <m:item xlName="_GBC_9ea3e8b6396c4f56b37dcecbd02f014a" concept="clcid-pte:QiTaLiRunFenPeiDaoZhiZhuanXiangChuBeiBianDongJinE" label="其他利润分配导致专项储备变动金额" mulRef="_GBC_57faea4e453e49ad93821b7dd6ce8bc4" unitRef="_GBC_cef77704267643d794145c73763360e5" addr="T0R21C8S1_1" formatStyle="Comma"/>
        <m:item xlName="_GBC_d399b5ed7c944055b7b4bc4e6ea2508d" concept="clcid-pte:QiTaLiRunFenPeiDaoZhiYingYuGongJiBianDongJinE" label="其他利润分配导致盈余公积变动金额" mulRef="_GBC_57faea4e453e49ad93821b7dd6ce8bc4" unitRef="_GBC_cef77704267643d794145c73763360e5" addr="T0R21C9S1_1" formatStyle="Comma"/>
        <m:item xlName="_GBC_1314b8084ad149e7a484bf8414c010f6" concept="clcid-pte:QiTaLiRunFenPeiDaoZhiYiBanFengXianZhunBeiBianDongJinE" label="其他利润分配导致一般风险准备变动金额" mulRef="_GBC_57faea4e453e49ad93821b7dd6ce8bc4" unitRef="_GBC_cef77704267643d794145c73763360e5" addr="T0R21C10S1_1" formatStyle="Comma"/>
        <m:item xlName="_GBC_6d31524977144f4190db929b704cb3b0" concept="clcid-pte:QiTaLiRunFenPeiDaoZhiWeiFenPeiLiRunBianDongJinE" label="其他利润分配导致未分配利润变动金额" mulRef="_GBC_57faea4e453e49ad93821b7dd6ce8bc4" unitRef="_GBC_cef77704267643d794145c73763360e5" addr="T0R21C11S1_1" formatStyle="Comma"/>
        <m:item xlName="_GBC_8f39966cdb3a420e911c5c4edb3f72b6" concept="clcid-pte:QiTaLiRunFenPeiDaoZhiQiTaDeGuiShuYuMuGongSiSuoYouZheQuanYiBianDongJinE" label="其他利润分配导致其他的归属于母公司所有者权益变动金额" mulRef="_GBC_57faea4e453e49ad93821b7dd6ce8bc4" unitRef="_GBC_cef77704267643d794145c73763360e5" addr="T0R21C12S1_1" formatStyle="Comma"/>
        <m:item xlName="_GBC_603ded8ee3204db583bc42760010d59b" concept="clcid-pte:QiTaLiRunFenPeiDaoZhiGuiShuYuMuGongSiSuoYouZheQuanYiBianDongJinE" label="其他利润分配导致归属于母公司所有者权益变动金额" mulRef="_GBC_57faea4e453e49ad93821b7dd6ce8bc4" unitRef="_GBC_cef77704267643d794145c73763360e5" addr="T0R21C13S1_1" formatStyle="Comma"/>
        <m:item xlName="_GBC_c4f238bfc52b4c3bbef5730c1d478867" concept="clcid-pte:QiTaLiRunFenPeiDaoZhiShaoShuGuDongQuanYiBianDongJinE" label="其他利润分配导致少数股东权益变动金额" mulRef="_GBC_57faea4e453e49ad93821b7dd6ce8bc4" unitRef="_GBC_cef77704267643d794145c73763360e5" addr="T0R21C14S1_1" formatStyle="Comma"/>
        <m:item xlName="_GBC_20d29620a6e441c0b17e7be1bf77e785" concept="clcid-pte:QiTaLiRunFenPeiDaoZhiGuDongQuanYiHeJiBianDongJinE" label="其他利润分配导致股东权益合计变动金额" mulRef="_GBC_57faea4e453e49ad93821b7dd6ce8bc4" unitRef="_GBC_cef77704267643d794145c73763360e5" addr="T0R21C15S1_1" formatStyle="Comma"/>
        <m:placeholder xlName="_PLD_03ab84b7536c4ddcaaad4c99a2dd5fd3" wordText="（四）所有者权益内部结转" addr="T0R22C0S1_1"/>
        <m:item xlName="_GBC_158326596e364a8ebe7839d08241e207" concept="clcid-pte:SuoYouZheQuanYiNeiBuJieZhuanDaoZhiShiShouZiBenHuoGuBenJingEBianDongJinE" label="所有者权益内部结转导致实收资本（或股本）净额变动金额" mulRef="_GBC_57faea4e453e49ad93821b7dd6ce8bc4" unitRef="_GBC_cef77704267643d794145c73763360e5" addr="T0R22C1S1_1" formatStyle="Comma">
          <m:complexRule comparator="Eq" title="所有者权益内部结转导致实收资本（或股本）净额变动金额" test=" $_GBC_2baeb3ec27164605b33e14db596cde4f +  $_GBC_d7d78d37a3b04a0d98af36d422e9a684 +  $_GBC_9c8384d262b144d0b93520878690286a +  $_GBC_5a84a409a3c240bdbb03d1c5c262f8ed +  $_GBC_194d2e17b8d741bb9682ae31654c0e73 +  $_GBC_f0606a6366874435a5d42807acb682be" id="Ca39c91f678d24dd49fc9edacba53639f" radius="0.0001"/>
        </m:item>
        <m:item xlName="_GBC_48b490e8cc30489d90aea1c1433b16e3" concept="clcid-pte:SuoYouZheQuanYiNeiBuJieZhuanDaoZhiQiTaQuanYiGongJuZhongDeYouXianGuBianDongJinE" label="所有者权益内部结转导致其他权益工具中的优先股变动金额" mulRef="_GBC_57faea4e453e49ad93821b7dd6ce8bc4" unitRef="_GBC_cef77704267643d794145c73763360e5" addr="T0R22C2S1_1" formatStyle="Comma">
          <m:complexRule comparator="Eq" title="所有者权益内部结转导致其他权益工具中的优先股变动金额" test=" $_GBC_06bfc76d4bae41f2a82745c2052c73c4 +  $_GBC_37ac11a45bfe424aa6a12d3db8ad0c64 +  $_GBC_9e6fac0b90754c92a6dff04fd76aea8d +  $_GBC_987a43e1e09d41db99465d816faced74 +  $_GBC_63d131c3ba0b4c5ab71b462daafd25eb +  $_GBC_7e6a0ac1b8cb41eeab0342709cf959ed" id="C621adede67494584aa7e7cdfa768dc1b"/>
        </m:item>
        <m:item xlName="_GBC_620dc73dc88947bf8ad75cf15acdfc67" concept="clcid-pte:SuoYouZheQuanYiNeiBuJieZhuanDaoZhiQiTaQuanYiGongJuZhongDeYongXuZhaiBianDongJinE" label="所有者权益内部结转导致其他权益工具中的永续债变动金额" mulRef="_GBC_57faea4e453e49ad93821b7dd6ce8bc4" unitRef="_GBC_cef77704267643d794145c73763360e5" addr="T0R22C3S1_1" formatStyle="Comma">
          <m:complexRule comparator="Eq" title="所有者权益内部结转导致其他权益工具中的永续债变动金额" test=" $_GBC_69b3b19ae9b14871b3c5e31094680dfe +  $_GBC_bb89e31041734188861212d0fe8bc3b3 +  $_GBC_3187ef1ffa7c4415bb6e644462489722 +  $_GBC_9974850986174aba8ff33c5831059d42 +  $_GBC_5dc9c7fe4c4a48e8ab61ebf77d67c17f +  $_GBC_077d9b5aa601495b93f4490c4786727c" id="Cc684a00a2f914b548664f56ba7b2f0ad"/>
        </m:item>
        <m:item xlName="_GBC_6ec80a2584f54a81b9b594ff2a5d0aa2" concept="clcid-pte:SuoYouZheQuanYiNeiBuJieZhuanDaoZhiQiTaQuanYiGongJuZhongDeQiTaBianDongJinE" label="所有者权益内部结转导致其他权益工具中的其他变动金额" mulRef="_GBC_57faea4e453e49ad93821b7dd6ce8bc4" unitRef="_GBC_cef77704267643d794145c73763360e5" addr="T0R22C4S1_1" formatStyle="Comma">
          <m:complexRule comparator="Eq" title="所有者权益内部结转导致其他权益工具中的其他变动金额" test=" $_GBC_6ac899b6c4d44e4ea6a3cab63561ab47 +  $_GBC_7a78435c2bb940c8893fd72c73e0910c +  $_GBC_c95ebda4053d400f87f7a864529828e2 +  $_GBC_56b3a0ba683c43f78c3b4c2af40d4d81 +  $_GBC_d7221329624641b699c59ac50434bca3 +  $_GBC_e2864e4b6f3c46cb8aa2e2ad75432cdb" id="C906c1477b4cc43929a8d5aaa5f69b74c"/>
        </m:item>
        <m:item xlName="_GBC_91fefaddee794da7b14ae368d4c4bcc7" concept="clcid-pte:SuoYouZheQuanYiNeiBuJieZhuanDaoZhiZiBenGongJiBianDongJinE" label="所有者权益内部结转导致资本公积变动金额" mulRef="_GBC_57faea4e453e49ad93821b7dd6ce8bc4" unitRef="_GBC_cef77704267643d794145c73763360e5" addr="T0R22C5S1_1" formatStyle="Comma">
          <m:complexRule comparator="Eq" title="所有者权益内部结转导致资本公积变动金额" test=" $_GBC_a2087025ec3648bc93f7955d23e58b00 +  $_GBC_57d124b745834bab92267c058fecd48a +  $_GBC_e30bc3fc8ebd427b92f202b6904b1ad2 +  $_GBC_076885d34c094644b90e6c0ff2f178f6 +  $_GBC_51f27f70df974aa7b5ec4bd489029bce +  $_GBC_4ea98f87a7a34b378e0a313ab882a2f7" id="C8b8a389b54bd41a19402dde46df3ddb0" radius="0.0001"/>
        </m:item>
        <m:item xlName="_GBC_3a3e42b36589436990f828f15a5d24e2" concept="clcid-pte:SuoYouZheQuanYiNeiBuJieZhuanDaoZhiKuCunGuBianDongJinE" label="所有者权益内部结转导致库存股变动金额" mulRef="_GBC_57faea4e453e49ad93821b7dd6ce8bc4" unitRef="_GBC_cef77704267643d794145c73763360e5" addr="T0R22C6S1_1" baseScale="-1" formatStyle="Comma">
          <m:complexRule comparator="Eq" title="所有者权益内部结转导致库存股变动金额" test=" $_GBC_9a27576d4f8e4e419045a31b51ff610d +  $_GBC_e5cd0aa5620f4a33804464ae674b9261 +  $_GBC_6dc8e09ac2de46eca15937686cccea60 +  $_GBC_990f8260e10f413a865e8299bf8c49b2 +  $_GBC_3253d1a77a03449bb5a26239e6ed998e +  $_GBC_990f8260e10f413a865e8299bf8c49b2" id="Cc041351e04964333b0aa0e86b7c6ccc2" radius="0.0001"/>
        </m:item>
        <m:item xlName="_GBC_74801f12253b4ffcadc9dc50e79a7c31" concept="clcid-pte:SuoYouZheQuanYiNeiBuJieZhuanDaoZhiQiTaZongHeShouYiBianDongJinE" label="所有者权益内部结转导致其他综合收益变动金额" mulRef="_GBC_57faea4e453e49ad93821b7dd6ce8bc4" unitRef="_GBC_cef77704267643d794145c73763360e5" addr="T0R22C7S1_1" formatStyle="Comma">
          <m:complexRule comparator="Eq" title="所有者权益内部结转导致其他综合收益变动金额" test=" $_GBC_df8db3849ca04ebb80a4455a50c54b22 +  $_GBC_18fc945fe234446484d30d040ca10fda +  $_GBC_0da3522e0c764f91a511a20d7d23372d +  $_GBC_c85cf04d62ab4beb92f448caef4da5a9 +  $_GBC_ed868be8974e4b4e804e9f5999d8a98c +  $_GBC_b07c6ea994c644fc9be8839066b8cb1a" id="C2e5f85e8837b4af2a87a39a25f49623c"/>
        </m:item>
        <m:item xlName="_GBC_8e2e37aeaf87454290b0faa72339d109" concept="clcid-pte:SuoYouZheQuanYiNeiBuJieZhuanDaoZhiZhuanXiangChuBeiBianDongJinE" label="所有者权益内部结转导致专项储备变动金额" mulRef="_GBC_57faea4e453e49ad93821b7dd6ce8bc4" unitRef="_GBC_cef77704267643d794145c73763360e5" addr="T0R22C8S1_1" formatStyle="Comma">
          <m:complexRule comparator="Eq" title="所有者权益内部结转导致专项储备变动金额" test=" $_GBC_57cedc7f70704631bbd70b3714daf22c +  $_GBC_dee7df95b91e42c7bb763a9d102faa17 +  $_GBC_0e7428ed7dea4bd5a480b1a672482df5 +  $_GBC_037a7d65d2714eeeaf389c9571a7c796 +  $_GBC_222e2d52d4e84881a46a3ba4ddca3d44 +  $_GBC_bc19adbd54394cf4990d64f3e83e3256" id="Ca875b356b91c4fc3b573926ae0dab914"/>
        </m:item>
        <m:item xlName="_GBC_78f6c7fbe15d42ba8efbe962e7c7161f" concept="clcid-pte:SuoYouZheQuanYiNeiBuJieZhuanDaoZhiYingYuGongJiBianDongJinE" label="所有者权益内部结转导致盈余公积变动金额" mulRef="_GBC_57faea4e453e49ad93821b7dd6ce8bc4" unitRef="_GBC_cef77704267643d794145c73763360e5" addr="T0R22C9S1_1" formatStyle="Comma">
          <m:complexRule comparator="Eq" title="所有者权益内部结转导致盈余公积变动金额" test=" $_GBC_e0fedf8c4aee4e05b4aa72e6cb4a16e6 +  $_GBC_19168d5fdc984fd1b1b2e985b3312f60 +  $_GBC_3192f22ca10943bda6736b4d79d65409 +  $_GBC_5665cd28811a4d85a2cd69c63952342e +  $_GBC_58f56e1c7484489681a0b8e17ded3f36 +  $_GBC_381a69b01bfd44f9887defbbe0cf1f51" id="C929959fd56bb44e1a1f8388f1407bbbe"/>
        </m:item>
        <m:item xlName="_GBC_0db3cfd387c34e5f9a8fbf3fd3a7ff06" concept="clcid-pte:SuoYouZheQuanYiNeiBuJieZhuanDaoZhiYiBanFengXianZhunBeiBianDongJinE" label="所有者权益内部结转导致一般风险准备变动金额" mulRef="_GBC_57faea4e453e49ad93821b7dd6ce8bc4" unitRef="_GBC_cef77704267643d794145c73763360e5" addr="T0R22C10S1_1" formatStyle="Comma">
          <m:complexRule comparator="Eq" title="所有者权益内部结转导致一般风险准备变动金额" test=" $_GBC_9d095efa8eef415d91688ca2363049aa +  $_GBC_d0e07a04929641409c3e26d19f896cad +  $_GBC_bfdd8e934dd24d308eb971db3faca063 +  $_GBC_698318c4a9d541dfbfbfa7ec7cfba155 +  $_GBC_d69e614ccd7a470a97edd07e82860b4a +  $_GBC_c328a8848b9741ccaa30b23f8208666c" id="Cd97f1a5c47ea44cc9692c9dffb84cdde"/>
        </m:item>
        <m:item xlName="_GBC_0843778eede64550b36fc99966817c0a" concept="clcid-pte:SuoYouZheQuanYiNeiBuJieZhuanDaoZhiWeiFenPeiLiRunBianDongJinE" label="所有者权益内部结转导致未分配利润变动金额" mulRef="_GBC_57faea4e453e49ad93821b7dd6ce8bc4" unitRef="_GBC_cef77704267643d794145c73763360e5" addr="T0R22C11S1_1" formatStyle="Comma">
          <m:complexRule comparator="Eq" title="所有者权益内部结转导致未分配利润变动金额" test=" $_GBC_5dde1e88dc554f659a123506fe9d8c6b +  $_GBC_e5688907dedd4e6694307f3a61d45a7f +  $_GBC_275c4803e4744aed87d9d7a428d0fd7b +  $_GBC_30cc501f07444c37ae240f456b093084 +  $_GBC_54c34312d52446d08167582b2c16531c +  $_GBC_3aaa9be33e854bfab5b2a35560347914" id="C544c74bf9a974e7aaed86ccc625f0458"/>
        </m:item>
        <m:item xlName="_GBC_c3a1393bd87a4bdcb9e2f0168eb9738e" concept="clcid-pte:SuoYouZheQuanYiNeiBuJieZhuanDaoZhiQiTaDeGuiShuYuMuGongSiSuoYouZheQuanYiBianDongJinE" label="所有者权益内部结转导致其他的归属于母公司所有者权益变动金额" mulRef="_GBC_57faea4e453e49ad93821b7dd6ce8bc4" unitRef="_GBC_cef77704267643d794145c73763360e5" addr="T0R22C12S1_1" formatStyle="Comma">
          <m:complexRule comparator="Eq" title="所有者权益内部结转导致其他的归属于母公司所有者权益变动金额" test=" $_GBC_5079cef49b9f4d959f964cc541d8a431 +  $_GBC_6d82d02e4dbb4b789e269c52e8c85023 +  $_GBC_7f8785dc8b6e424497543d74a0e75233 +  $_GBC_48eaf256d8eb40509e9a254c7103a0c3 +  $_GBC_9f90cb66f68b413e9541144c05a2e7c2 +  $_GBC_96f971902e484555ab3c05df4083a5e9" id="C79b05df5f5d948bbb37dfe0c452e4402"/>
        </m:item>
        <m:item xlName="_GBC_2ed846f10ca148fca67e10caa343a4b7" concept="clcid-pte:SuoYouZheQuanYiNeiBuJieZhuanDaoZhiGuiShuYuMuGongSiSuoYouZheQuanYiBianDongJinE" label="所有者权益内部结转导致归属于母公司所有者权益变动金额" mulRef="_GBC_57faea4e453e49ad93821b7dd6ce8bc4" unitRef="_GBC_cef77704267643d794145c73763360e5" addr="T0R22C13S1_1" formatStyle="Comma">
          <m:complexRule comparator="Eq" title="所有者权益内部结转导致归属于母公司所有者权益变动金额小计" test=" $_GBC_a147fdc4b0a34ba19a36857dc44c484f +  $_GBC_f7ec88b1cfc340ecbc2db715e9280106 +  $_GBC_a3542f17de8449a38b04228b98911c70 +  $_GBC_3da85d0a23a04236bf12e392f16cef68 +  $_GBC_f6a6ec6e0f9946828623e9aec7d201de +  $_GBC_21b2216ab5af47de9030208112dac275" id="Cee45d0b9328b4c9d8ef0a685df9f5970"/>
        </m:item>
        <m:item xlName="_GBC_6433a03aaf764c6bbb7fb28a263f4a75" concept="clcid-pte:SuoYouZheQuanYiNeiBuJieZhuanDaoZhiShaoShuGuDongQuanYiBianDongJinE" label="所有者权益内部结转导致少数股东权益变动金额" mulRef="_GBC_57faea4e453e49ad93821b7dd6ce8bc4" unitRef="_GBC_cef77704267643d794145c73763360e5" addr="T0R22C14S1_1" formatStyle="Comma">
          <m:complexRule comparator="Eq" title="所有者权益内部结转导致少数股东权益变动金额" test=" $_GBC_67e0a25ac3864454b0c40a9a5450e6e8 +  $_GBC_cae57e21b40548609dd8571177b6990a +  $_GBC_7bc3a7d08bd640288d142f80d272ac90 +  $_GBC_f9c86667170148c49351e362b0206c2f +  $_GBC_230e389e33e843b5822ec56da2d84c12 +  $_GBC_35abb63764394eb5b6fcbfb07d5ce6ec" id="C545f053fb6164e67a9f95432d5cf05a7"/>
        </m:item>
        <m:item xlName="_GBC_11ffe4abc91c475a9946d7350026712f" concept="clcid-pte:SuoYouZheQuanYiNeiBuJieZhuanDaoZhiGuDongQuanYiHeJiBianDongJinE" label="所有者权益内部结转导致股东权益合计变动金额" mulRef="_GBC_57faea4e453e49ad93821b7dd6ce8bc4" unitRef="_GBC_cef77704267643d794145c73763360e5" addr="T0R22C15S1_1" formatStyle="Comma">
          <m:complexRule comparator="Eq" title="所有者权益内部结转导致股东权益合计变动金额" test=" $_GBC_7a04c0847f9f4b7297ebab79977d22ac +  $_GBC_fbdf7bc724e740ac933d3b29a1bf7c0e +  $_GBC_34f99aa3436c47c39da8ceb9708d1add +  $_GBC_858de9a600cd473da4b3e97548e0ab4c +  $_GBC_167fdd27c19747d6aa10737ad54dad04 +  $_GBC_6f27f55a18fa432b92f760b42353ba9d" id="C74ce250f585d4e7b9a66d2babc9336c7"/>
        </m:item>
        <m:placeholder xlName="_PLD_88233f88b9ea4ceb82a1cc6cd7a5030d" wordText="1．资本公积转增资本（或股本）" addr="T0R23C0S1_1"/>
        <m:item xlName="_GBC_2baeb3ec27164605b33e14db596cde4f" concept="clcid-pte:ZiBenGongJiZhuanZengZiBenHuoGuBenDaoZhiShiShouZiBenHuoGuBenJingEBianDongJinE" label="资本公积转增资本（或股本）导致实收资本（或股本）净额变动金额" mulRef="_GBC_57faea4e453e49ad93821b7dd6ce8bc4" unitRef="_GBC_cef77704267643d794145c73763360e5" addr="T0R23C1S1_1" formatStyle="Comma"/>
        <m:item xlName="_GBC_06bfc76d4bae41f2a82745c2052c73c4" concept="clcid-pte:ZiBenGongJiZhuanZengZiBenHuoGuBenDaoZhiQiTaQuanYiGongJuZhongDeYouXianGuBianDongJinE" label="资本公积转增资本（或股本）导致其他权益工具中的优先股变动金额" mulRef="_GBC_57faea4e453e49ad93821b7dd6ce8bc4" unitRef="_GBC_cef77704267643d794145c73763360e5" addr="T0R23C2S1_1" formatStyle="Comma"/>
        <m:item xlName="_GBC_69b3b19ae9b14871b3c5e31094680dfe" concept="clcid-pte:ZiBenGongJiZhuanZengZiBenHuoGuBenDaoZhiQiTaQuanYiGongJuZhongDeYongXuZhaiBianDongJinE" label="资本公积转增资本（或股本）导致其他权益工具中的永续债变动金额" mulRef="_GBC_57faea4e453e49ad93821b7dd6ce8bc4" unitRef="_GBC_cef77704267643d794145c73763360e5" addr="T0R23C3S1_1" formatStyle="Comma"/>
        <m:item xlName="_GBC_6ac899b6c4d44e4ea6a3cab63561ab47" concept="clcid-pte:ZiBenGongJiZhuanZengZiBenHuoGuBenDaoZhiQiTaQuanYiGongJuZhongDeQiTaBianDongJinE" label="资本公积转增资本（或股本）导致其他权益工具中的其他变动金额" mulRef="_GBC_57faea4e453e49ad93821b7dd6ce8bc4" unitRef="_GBC_cef77704267643d794145c73763360e5" addr="T0R23C4S1_1" formatStyle="Comma"/>
        <m:item xlName="_GBC_a2087025ec3648bc93f7955d23e58b00" concept="clcid-pte:ZiBenGongJiZhuanZengZiBenHuoGuBenDaoZhiZiBenGongJiBianDongJinE" label="资本公积转增资本（或股本）导致资本公积变动金额" mulRef="_GBC_57faea4e453e49ad93821b7dd6ce8bc4" unitRef="_GBC_cef77704267643d794145c73763360e5" addr="T0R23C5S1_1" formatStyle="Comma"/>
        <m:item xlName="_GBC_9a27576d4f8e4e419045a31b51ff610d" concept="clcid-pte:ZiBenGongJiZhuanZengZiBenHuoGuBenDaoZhiKuCunGuBianDongJinE" label="资本公积转增资本（或股本）导致库存股变动金额" mulRef="_GBC_57faea4e453e49ad93821b7dd6ce8bc4" unitRef="_GBC_cef77704267643d794145c73763360e5" addr="T0R23C6S1_1" baseScale="-1" formatStyle="Comma"/>
        <m:item xlName="_GBC_df8db3849ca04ebb80a4455a50c54b22" concept="clcid-pte:ZiBenGongJiZhuanZengZiBenHuoGuBenDaoZhiQiTaZongHeShouYiBianDongJinE" label="资本公积转增资本（或股本）导致其他综合收益变动金额" mulRef="_GBC_57faea4e453e49ad93821b7dd6ce8bc4" unitRef="_GBC_cef77704267643d794145c73763360e5" addr="T0R23C7S1_1" formatStyle="Comma"/>
        <m:item xlName="_GBC_57cedc7f70704631bbd70b3714daf22c" concept="clcid-pte:ZiBenGongJiZhuanZengZiBenHuoGuBenDaoZhiZhuanXiangChuBeiBianDongJinE" label="资本公积转增资本（或股本）导致专项储备变动金额" mulRef="_GBC_57faea4e453e49ad93821b7dd6ce8bc4" unitRef="_GBC_cef77704267643d794145c73763360e5" addr="T0R23C8S1_1" formatStyle="Comma"/>
        <m:item xlName="_GBC_e0fedf8c4aee4e05b4aa72e6cb4a16e6" concept="clcid-pte:ZiBenGongJiZhuanZengZiBenHuoGuBenDaoZhiYingYuGongJiBianDongJinE" label="资本公积转增资本（或股本）导致盈余公积变动金额" mulRef="_GBC_57faea4e453e49ad93821b7dd6ce8bc4" unitRef="_GBC_cef77704267643d794145c73763360e5" addr="T0R23C9S1_1" formatStyle="Comma"/>
        <m:item xlName="_GBC_9d095efa8eef415d91688ca2363049aa" concept="clcid-pte:ZiBenGongJiZhuanZengZiBenHuoGuBenDaoZhiYiBanFengXianZhunBeiBianDongJinE" label="资本公积转增资本（或股本）导致一般风险准备变动金额" mulRef="_GBC_57faea4e453e49ad93821b7dd6ce8bc4" unitRef="_GBC_cef77704267643d794145c73763360e5" addr="T0R23C10S1_1" formatStyle="Comma"/>
        <m:item xlName="_GBC_5dde1e88dc554f659a123506fe9d8c6b" concept="clcid-pte:ZiBenGongJiZhuanZengZiBenHuoGuBenDaoZhiWeiFenPeiLiRunBianDongJinE" label="资本公积转增资本（或股本）导致未分配利润变动金额" mulRef="_GBC_57faea4e453e49ad93821b7dd6ce8bc4" unitRef="_GBC_cef77704267643d794145c73763360e5" addr="T0R23C11S1_1" formatStyle="Comma"/>
        <m:item xlName="_GBC_5079cef49b9f4d959f964cc541d8a431" concept="clcid-pte:ZiBenGongJiZhuanZengZiBenHuoGuBenDaoZhiQiTaDeGuiShuYuMuGongSiSuoYouZheQuanYiBianDongJinE" label="资本公积转增资本（或股本）导致其他的归属于母公司所有者权益变动金额" mulRef="_GBC_57faea4e453e49ad93821b7dd6ce8bc4" unitRef="_GBC_cef77704267643d794145c73763360e5" addr="T0R23C12S1_1" formatStyle="Comma"/>
        <m:item xlName="_GBC_a147fdc4b0a34ba19a36857dc44c484f" concept="clcid-pte:ZiBenGongJiZhuanZengZiBenHuoGuBenDaoZhiGuiShuYuMuGongSiSuoYouZheQuanYiBianDongJinE" label="资本公积转增资本（或股本）导致归属于母公司所有者权益变动金额" mulRef="_GBC_57faea4e453e49ad93821b7dd6ce8bc4" unitRef="_GBC_cef77704267643d794145c73763360e5" addr="T0R23C13S1_1" formatStyle="Comma"/>
        <m:item xlName="_GBC_67e0a25ac3864454b0c40a9a5450e6e8" concept="clcid-pte:ZiBenGongJiZhuanZengZiBenHuoGuBenDaoZhiShaoShuGuDongQuanYiBianDongJinE" label="资本公积转增资本（或股本）导致少数股东权益变动金额" mulRef="_GBC_57faea4e453e49ad93821b7dd6ce8bc4" unitRef="_GBC_cef77704267643d794145c73763360e5" addr="T0R23C14S1_1" formatStyle="Comma"/>
        <m:item xlName="_GBC_7a04c0847f9f4b7297ebab79977d22ac" concept="clcid-pte:ZiBenGongJiZhuanZengZiBenHuoGuBenDaoZhiGuDongQuanYiHeJiBianDongJinE" label="资本公积转增资本（或股本）导致股东权益合计变动金额" mulRef="_GBC_57faea4e453e49ad93821b7dd6ce8bc4" unitRef="_GBC_cef77704267643d794145c73763360e5" addr="T0R23C15S1_1" formatStyle="Comma"/>
        <m:placeholder xlName="_PLD_4a9492c5a232434296cfdef5eeded778" wordText="2．盈余公积转增资本（或股本）" addr="T0R24C0S1_1"/>
        <m:item xlName="_GBC_d7d78d37a3b04a0d98af36d422e9a684" concept="clcid-pte:YingYuGongJiZhuanZengZiBenHuoGuBenDaoZhiShiShouZiBenHuoGuBenJingEBianDongJinE" label="盈余公积转增资本（或股本）导致实收资本（或股本）净额变动金额" mulRef="_GBC_57faea4e453e49ad93821b7dd6ce8bc4" unitRef="_GBC_cef77704267643d794145c73763360e5" addr="T0R24C1S1_1" formatStyle="Comma"/>
        <m:item xlName="_GBC_37ac11a45bfe424aa6a12d3db8ad0c64" concept="clcid-pte:YingYuGongJiZhuanZengZiBenHuoGuBenDaoZhiQiTaQuanYiGongJuZhongDeYouXianGuBianDongJinE" label="盈余公积转增资本（或股本）导致其他权益工具中的优先股变动金额" mulRef="_GBC_57faea4e453e49ad93821b7dd6ce8bc4" unitRef="_GBC_cef77704267643d794145c73763360e5" addr="T0R24C2S1_1" formatStyle="Comma"/>
        <m:item xlName="_GBC_bb89e31041734188861212d0fe8bc3b3" concept="clcid-pte:YingYuGongJiZhuanZengZiBenHuoGuBenDaoZhiQiTaQuanYiGongJuZhongDeYongXuZhaiBianDongJinE" label="盈余公积转增资本（或股本）导致其他权益工具中的永续债变动金额" mulRef="_GBC_57faea4e453e49ad93821b7dd6ce8bc4" unitRef="_GBC_cef77704267643d794145c73763360e5" addr="T0R24C3S1_1" formatStyle="Comma"/>
        <m:item xlName="_GBC_7a78435c2bb940c8893fd72c73e0910c" concept="clcid-pte:YingYuGongJiZhuanZengZiBenHuoGuBenDaoZhiQiTaQuanYiGongJuZhongDeQiTaBianDongJinE" label="盈余公积转增资本（或股本）导致其他权益工具中的其他变动金额" mulRef="_GBC_57faea4e453e49ad93821b7dd6ce8bc4" unitRef="_GBC_cef77704267643d794145c73763360e5" addr="T0R24C4S1_1" formatStyle="Comma"/>
        <m:item xlName="_GBC_57d124b745834bab92267c058fecd48a" concept="clcid-pte:YingYuGongJiZhuanZengZiBenHuoGuBenDaoZhiZiBenGongJiBianDongJinE" label="盈余公积转增资本（或股本）导致资本公积变动金额" mulRef="_GBC_57faea4e453e49ad93821b7dd6ce8bc4" unitRef="_GBC_cef77704267643d794145c73763360e5" addr="T0R24C5S1_1" formatStyle="Comma"/>
        <m:item xlName="_GBC_e5cd0aa5620f4a33804464ae674b9261" concept="clcid-pte:YingYuGongJiZhuanZengZiBenHuoGuBenDaoZhiKuCunGuBianDongJinE" label="盈余公积转增资本（或股本）导致库存股变动金额" mulRef="_GBC_57faea4e453e49ad93821b7dd6ce8bc4" unitRef="_GBC_cef77704267643d794145c73763360e5" addr="T0R24C6S1_1" baseScale="-1" formatStyle="Comma"/>
        <m:item xlName="_GBC_18fc945fe234446484d30d040ca10fda" concept="clcid-pte:YingYuGongJiZhuanZengZiBenHuoGuBenDaoZhiQiTaZongHeShouYiBianDongJinE" label="盈余公积转增资本（或股本）导致其他综合收益变动金额" mulRef="_GBC_57faea4e453e49ad93821b7dd6ce8bc4" unitRef="_GBC_cef77704267643d794145c73763360e5" addr="T0R24C7S1_1" formatStyle="Comma"/>
        <m:item xlName="_GBC_dee7df95b91e42c7bb763a9d102faa17" concept="clcid-pte:YingYuGongJiZhuanZengZiBenHuoGuBenDaoZhiZhuanXiangChuBeiBianDongJinE" label="盈余公积转增资本（或股本）导致专项储备变动金额" mulRef="_GBC_57faea4e453e49ad93821b7dd6ce8bc4" unitRef="_GBC_cef77704267643d794145c73763360e5" addr="T0R24C8S1_1" formatStyle="Comma"/>
        <m:item xlName="_GBC_19168d5fdc984fd1b1b2e985b3312f60" concept="clcid-pte:YingYuGongJiZhuanZengZiBenHuoGuBenDaoZhiYingYuGongJiBianDongJinE" label="盈余公积转增资本（或股本）导致盈余公积变动金额" mulRef="_GBC_57faea4e453e49ad93821b7dd6ce8bc4" unitRef="_GBC_cef77704267643d794145c73763360e5" addr="T0R24C9S1_1" formatStyle="Comma"/>
        <m:item xlName="_GBC_d0e07a04929641409c3e26d19f896cad" concept="clcid-pte:YingYuGongJiZhuanZengZiBenHuoGuBenDaoZhiYiBanFengXianZhunBeiBianDongJinE" label="盈余公积转增资本（或股本）导致一般风险准备变动金额" mulRef="_GBC_57faea4e453e49ad93821b7dd6ce8bc4" unitRef="_GBC_cef77704267643d794145c73763360e5" addr="T0R24C10S1_1" formatStyle="Comma"/>
        <m:item xlName="_GBC_e5688907dedd4e6694307f3a61d45a7f" concept="clcid-pte:YingYuGongJiZhuanZengZiBenHuoGuBenDaoZhiWeiFenPeiLiRunBianDongJinE" label="盈余公积转增资本（或股本）导致未分配利润变动金额" mulRef="_GBC_57faea4e453e49ad93821b7dd6ce8bc4" unitRef="_GBC_cef77704267643d794145c73763360e5" addr="T0R24C11S1_1" formatStyle="Comma"/>
        <m:item xlName="_GBC_6d82d02e4dbb4b789e269c52e8c85023" concept="clcid-pte:YingYuGongJiZhuanZengZiBenHuoGuBenDaoZhiQiTaDeGuiShuYuMuGongSiSuoYouZheQuanYiBianDongJinE" label="盈余公积转增资本（或股本）导致其他的归属于母公司所有者权益变动金额" mulRef="_GBC_57faea4e453e49ad93821b7dd6ce8bc4" unitRef="_GBC_cef77704267643d794145c73763360e5" addr="T0R24C12S1_1" formatStyle="Comma"/>
        <m:item xlName="_GBC_f7ec88b1cfc340ecbc2db715e9280106" concept="clcid-pte:YingYuGongJiZhuanZengZiBenHuoGuBenDaoZhiGuiShuYuMuGongSiSuoYouZheQuanYiBianDongJinE" label="盈余公积转增资本（或股本）导致归属于母公司所有者权益变动金额" mulRef="_GBC_57faea4e453e49ad93821b7dd6ce8bc4" unitRef="_GBC_cef77704267643d794145c73763360e5" addr="T0R24C13S1_1" formatStyle="Comma"/>
        <m:item xlName="_GBC_cae57e21b40548609dd8571177b6990a" concept="clcid-pte:YingYuGongJiZhuanZengZiBenHuoGuBenDaoZhiShaoShuGuDongQuanYiBianDongJinE" label="盈余公积转增资本（或股本）导致少数股东权益变动金额" mulRef="_GBC_57faea4e453e49ad93821b7dd6ce8bc4" unitRef="_GBC_cef77704267643d794145c73763360e5" addr="T0R24C14S1_1" formatStyle="Comma"/>
        <m:item xlName="_GBC_fbdf7bc724e740ac933d3b29a1bf7c0e" concept="clcid-pte:YingYuGongJiZhuanZengZiBenHuoGuBenDaoZhiGuDongQuanYiHeJiBianDongJinE" label="盈余公积转增资本（或股本）导致股东权益合计变动金额" mulRef="_GBC_57faea4e453e49ad93821b7dd6ce8bc4" unitRef="_GBC_cef77704267643d794145c73763360e5" addr="T0R24C15S1_1" formatStyle="Comma"/>
        <m:placeholder xlName="_PLD_25911664beff496799fc3193be7c3182" wordText="3．盈余公积弥补亏损" addr="T0R25C0S1_1"/>
        <m:item xlName="_GBC_9c8384d262b144d0b93520878690286a" concept="clcid-pte:YingYuGongJiMiBuKuiSunDaoZhiShiShouZiBenHuoGuBenJingEBianDongJinE" label="盈余公积弥补亏损导致实收资本（或股本）净额变动金额" mulRef="_GBC_57faea4e453e49ad93821b7dd6ce8bc4" unitRef="_GBC_cef77704267643d794145c73763360e5" addr="T0R25C1S1_1" formatStyle="Comma"/>
        <m:item xlName="_GBC_9e6fac0b90754c92a6dff04fd76aea8d" concept="clcid-pte:YingYuGongJiMiBuKuiSunDaoZhiQiTaQuanYiGongJuZhongDeYouXianGuBianDongJinE" label="盈余公积弥补亏损导致其他权益工具中的优先股变动金额" mulRef="_GBC_57faea4e453e49ad93821b7dd6ce8bc4" unitRef="_GBC_cef77704267643d794145c73763360e5" addr="T0R25C2S1_1" formatStyle="Comma"/>
        <m:item xlName="_GBC_3187ef1ffa7c4415bb6e644462489722" concept="clcid-pte:YingYuGongJiMiBuKuiSunDaoZhiQiTaQuanYiGongJuZhongDeYongXuZhaiBianDongJinE" label="盈余公积弥补亏损导致其他权益工具中的永续债变动金额" mulRef="_GBC_57faea4e453e49ad93821b7dd6ce8bc4" unitRef="_GBC_cef77704267643d794145c73763360e5" addr="T0R25C3S1_1" formatStyle="Comma"/>
        <m:item xlName="_GBC_c95ebda4053d400f87f7a864529828e2" concept="clcid-pte:YingYuGongJiMiBuKuiSunDaoZhiQiTaQuanYiGongJuZhongDeQiTaBianDongJinE" label="盈余公积弥补亏损导致其他权益工具中的其他变动金额" mulRef="_GBC_57faea4e453e49ad93821b7dd6ce8bc4" unitRef="_GBC_cef77704267643d794145c73763360e5" addr="T0R25C4S1_1" formatStyle="Comma"/>
        <m:item xlName="_GBC_e30bc3fc8ebd427b92f202b6904b1ad2" concept="clcid-pte:YingYuGongJiMiBuKuiSunDaoZhiZiBenGongJiBianDongJinE" label="盈余公积弥补亏损导致资本公积变动金额" mulRef="_GBC_57faea4e453e49ad93821b7dd6ce8bc4" unitRef="_GBC_cef77704267643d794145c73763360e5" addr="T0R25C5S1_1" formatStyle="Comma"/>
        <m:item xlName="_GBC_6dc8e09ac2de46eca15937686cccea60" concept="clcid-pte:YingYuGongJiMiBuKuiSunDaoZhiKuCunGuBianDongJinE" label="盈余公积弥补亏损导致库存股变动金额" mulRef="_GBC_57faea4e453e49ad93821b7dd6ce8bc4" unitRef="_GBC_cef77704267643d794145c73763360e5" addr="T0R25C6S1_1" baseScale="-1" formatStyle="Comma"/>
        <m:item xlName="_GBC_0da3522e0c764f91a511a20d7d23372d" concept="clcid-pte:YingYuGongJiMiBuKuiSunDaoZhiQiTaZongHeShouYiBianDongJinE" label="盈余公积弥补亏损导致其他综合收益变动金额" mulRef="_GBC_57faea4e453e49ad93821b7dd6ce8bc4" unitRef="_GBC_cef77704267643d794145c73763360e5" addr="T0R25C7S1_1" formatStyle="Comma"/>
        <m:item xlName="_GBC_0e7428ed7dea4bd5a480b1a672482df5" concept="clcid-pte:YingYuGongJiMiBuKuiSunDaoZhiZhuanXiangChuBeiBianDongJinE" label="盈余公积弥补亏损导致专项储备变动金额" mulRef="_GBC_57faea4e453e49ad93821b7dd6ce8bc4" unitRef="_GBC_cef77704267643d794145c73763360e5" addr="T0R25C8S1_1" formatStyle="Comma"/>
        <m:item xlName="_GBC_3192f22ca10943bda6736b4d79d65409" concept="clcid-pte:YingYuGongJiMiBuKuiSunDaoZhiYingYuGongJiBianDongJinE" label="盈余公积弥补亏损导致盈余公积变动金额" mulRef="_GBC_57faea4e453e49ad93821b7dd6ce8bc4" unitRef="_GBC_cef77704267643d794145c73763360e5" addr="T0R25C9S1_1" formatStyle="Comma"/>
        <m:item xlName="_GBC_bfdd8e934dd24d308eb971db3faca063" concept="clcid-pte:YingYuGongJiMiBuKuiSunDaoZhiYiBanFengXianZhunBeiBianDongJinE" label="盈余公积弥补亏损导致一般风险准备变动金额" mulRef="_GBC_57faea4e453e49ad93821b7dd6ce8bc4" unitRef="_GBC_cef77704267643d794145c73763360e5" addr="T0R25C10S1_1" formatStyle="Comma"/>
        <m:item xlName="_GBC_275c4803e4744aed87d9d7a428d0fd7b" concept="clcid-pte:YingYuGongJiMiBuKuiSunDaoZhiWeiFenPeiLiRunBianDongJinE" label="盈余公积弥补亏损导致未分配利润变动金额" mulRef="_GBC_57faea4e453e49ad93821b7dd6ce8bc4" unitRef="_GBC_cef77704267643d794145c73763360e5" addr="T0R25C11S1_1" formatStyle="Comma"/>
        <m:item xlName="_GBC_7f8785dc8b6e424497543d74a0e75233" concept="clcid-pte:YingYuGongJiMiBuKuiSunDaoZhiQiTaDeGuiShuYuMuGongSiSuoYouZheQuanYiBianDongJinE" label="盈余公积弥补亏损导致其他的归属于母公司所有者权益变动金额" mulRef="_GBC_57faea4e453e49ad93821b7dd6ce8bc4" unitRef="_GBC_cef77704267643d794145c73763360e5" addr="T0R25C12S1_1" formatStyle="Comma"/>
        <m:item xlName="_GBC_a3542f17de8449a38b04228b98911c70" concept="clcid-pte:YingYuGongJiMiBuKuiSunDaoZhiGuiShuYuMuGongSiSuoYouZheQuanYiBianDongJinE" label="盈余公积弥补亏损导致归属于母公司所有者权益变动金额" mulRef="_GBC_57faea4e453e49ad93821b7dd6ce8bc4" unitRef="_GBC_cef77704267643d794145c73763360e5" addr="T0R25C13S1_1" formatStyle="Comma"/>
        <m:item xlName="_GBC_7bc3a7d08bd640288d142f80d272ac90" concept="clcid-pte:YingYuGongJiMiBuKuiSunDaoZhiShaoShuGuDongQuanYiBianDongJinE" label="盈余公积弥补亏损导致少数股东权益变动金额" mulRef="_GBC_57faea4e453e49ad93821b7dd6ce8bc4" unitRef="_GBC_cef77704267643d794145c73763360e5" addr="T0R25C14S1_1" formatStyle="Comma"/>
        <m:item xlName="_GBC_34f99aa3436c47c39da8ceb9708d1add" concept="clcid-pte:YingYuGongJiMiBuKuiSunDaoZhiGuDongQuanYiHeJiBianDongJinE" label="盈余公积弥补亏损导致股东权益合计变动金额" mulRef="_GBC_57faea4e453e49ad93821b7dd6ce8bc4" unitRef="_GBC_cef77704267643d794145c73763360e5" addr="T0R25C15S1_1" formatStyle="Comma"/>
        <m:placeholder xlName="_PLD_c2918ada9b53437193e4f9cfffa064e3" wordText="4．设定受益计划变动额结转留存收益" addr="T0R26C0S1_1"/>
        <m:item xlName="_GBC_194d2e17b8d741bb9682ae31654c0e73" concept="clcid-pte:SheDingShouYiJiHuaBianDongEJieZhuanLiuCunShouYiDaoZhiShiShouZiBenHuoGuBenJingEBianDongJinE" label="设定受益计划变动额结转留存收益导致实收资本（或股本）净额变动金额" mulRef="_GBC_57faea4e453e49ad93821b7dd6ce8bc4" unitRef="_GBC_cef77704267643d794145c73763360e5" addr="T0R26C1S1_1" formatStyle="Comma"/>
        <m:item xlName="_GBC_63d131c3ba0b4c5ab71b462daafd25eb" concept="clcid-pte:SheDingShouYiJiHuaBianDongEJieZhuanLiuCunShouYiDaoZhiQiTaQuanYiGongJuZhongDeYouXianGuBianDongJinE" label="设定受益计划变动额结转留存收益导致其他权益工具中的优先股变动金额" mulRef="_GBC_57faea4e453e49ad93821b7dd6ce8bc4" unitRef="_GBC_cef77704267643d794145c73763360e5" addr="T0R26C2S1_1" formatStyle="Comma"/>
        <m:item xlName="_GBC_5dc9c7fe4c4a48e8ab61ebf77d67c17f" concept="clcid-pte:SheDingShouYiJiHuaBianDongEJieZhuanLiuCunShouYiDaoZhiQiTaQuanYiGongJuZhongDeYongXuZhaiBianDongJinE" label="设定受益计划变动额结转留存收益导致其他权益工具中的永续债变动金额" mulRef="_GBC_57faea4e453e49ad93821b7dd6ce8bc4" unitRef="_GBC_cef77704267643d794145c73763360e5" addr="T0R26C3S1_1" formatStyle="Comma"/>
        <m:item xlName="_GBC_d7221329624641b699c59ac50434bca3" concept="clcid-pte:SheDingShouYiJiHuaBianDongEJieZhuanLiuCunShouYiDaoZhiQiTaQuanYiGongJuZhongDeQiTaBianDongJinE" label="设定受益计划变动额结转留存收益导致其他权益工具中的其他变动金额" mulRef="_GBC_57faea4e453e49ad93821b7dd6ce8bc4" unitRef="_GBC_cef77704267643d794145c73763360e5" addr="T0R26C4S1_1" formatStyle="Comma"/>
        <m:item xlName="_GBC_51f27f70df974aa7b5ec4bd489029bce" concept="clcid-pte:SheDingShouYiJiHuaBianDongEJieZhuanLiuCunShouYiDaoZhiZiBenGongJiBianDongJinE" label="设定受益计划变动额结转留存收益导致资本公积变动金额" mulRef="_GBC_57faea4e453e49ad93821b7dd6ce8bc4" unitRef="_GBC_cef77704267643d794145c73763360e5" addr="T0R26C5S1_1" formatStyle="Comma"/>
        <m:item xlName="_GBC_3253d1a77a03449bb5a26239e6ed998e" concept="clcid-pte:SheDingShouYiJiHuaBianDongEJieZhuanLiuCunShouYiDaoZhiKuCunGuBianDongJinE" label="设定受益计划变动额结转留存收益导致库存股变动金额" mulRef="_GBC_57faea4e453e49ad93821b7dd6ce8bc4" unitRef="_GBC_cef77704267643d794145c73763360e5" addr="T0R26C6S1_1" baseScale="-1" formatStyle="Comma"/>
        <m:item xlName="_GBC_ed868be8974e4b4e804e9f5999d8a98c" concept="clcid-pte:SheDingShouYiJiHuaBianDongEJieZhuanLiuCunShouYiDaoZhiQiTaZongHeShouYiBianDongJinE" label="设定受益计划变动额结转留存收益导致其他综合收益变动金额" mulRef="_GBC_57faea4e453e49ad93821b7dd6ce8bc4" unitRef="_GBC_cef77704267643d794145c73763360e5" addr="T0R26C7S1_1" formatStyle="Comma"/>
        <m:item xlName="_GBC_222e2d52d4e84881a46a3ba4ddca3d44" concept="clcid-pte:SheDingShouYiJiHuaBianDongEJieZhuanLiuCunShouYiDaoZhiZhuanXiangChuBeiBianDongJinE" label="设定受益计划变动额结转留存收益导致专项储备变动金额" mulRef="_GBC_57faea4e453e49ad93821b7dd6ce8bc4" unitRef="_GBC_cef77704267643d794145c73763360e5" addr="T0R26C8S1_1" formatStyle="Comma"/>
        <m:item xlName="_GBC_58f56e1c7484489681a0b8e17ded3f36" concept="clcid-pte:SheDingShouYiJiHuaBianDongEJieZhuanLiuCunShouYiDaoZhiYingYuGongJiBianDongJinE" label="设定受益计划变动额结转留存收益导致盈余公积变动金额" mulRef="_GBC_57faea4e453e49ad93821b7dd6ce8bc4" unitRef="_GBC_cef77704267643d794145c73763360e5" addr="T0R26C9S1_1" formatStyle="Comma"/>
        <m:item xlName="_GBC_d69e614ccd7a470a97edd07e82860b4a" concept="clcid-pte:SheDingShouYiJiHuaBianDongEJieZhuanLiuCunShouYiDaoZhiYiBanFengXianZhunBeiBianDongJinE" label="设定受益计划变动额结转留存收益导致一般风险准备变动金额" mulRef="_GBC_57faea4e453e49ad93821b7dd6ce8bc4" unitRef="_GBC_cef77704267643d794145c73763360e5" addr="T0R26C10S1_1" formatStyle="Comma"/>
        <m:item xlName="_GBC_54c34312d52446d08167582b2c16531c" concept="clcid-pte:SheDingShouYiJiHuaBianDongEJieZhuanLiuCunShouYiDaoZhiWeiFenPeiLiRunBianDongJinE" label="设定受益计划变动额结转留存收益导致未分配利润变动金额" mulRef="_GBC_57faea4e453e49ad93821b7dd6ce8bc4" unitRef="_GBC_cef77704267643d794145c73763360e5" addr="T0R26C11S1_1" formatStyle="Comma"/>
        <m:item xlName="_GBC_48eaf256d8eb40509e9a254c7103a0c3" concept="clcid-pte:SheDingShouYiJiHuaBianDongEJieZhuanLiuCunShouYiDaoZhiQiTaDeGuiShuYuMuGongSiSuoYouZheQuanYiBianDongJinE" label="设定受益计划变动额结转留存收益导致其他的归属于母公司所有者权益变动金额" mulRef="_GBC_57faea4e453e49ad93821b7dd6ce8bc4" unitRef="_GBC_cef77704267643d794145c73763360e5" addr="T0R26C12S1_1" formatStyle="Comma"/>
        <m:item xlName="_GBC_3da85d0a23a04236bf12e392f16cef68" concept="clcid-pte:SheDingShouYiJiHuaBianDongEJieZhuanLiuCunShouYiDaoZhiGuiShuYuMuGongSiSuoYouZheQuanYiBianDongJinE" label="设定受益计划变动额结转留存收益导致归属于母公司所有者权益变动金额" mulRef="_GBC_57faea4e453e49ad93821b7dd6ce8bc4" unitRef="_GBC_cef77704267643d794145c73763360e5" addr="T0R26C13S1_1" formatStyle="Comma"/>
        <m:item xlName="_GBC_230e389e33e843b5822ec56da2d84c12" concept="clcid-pte:SheDingShouYiJiHuaBianDongEJieZhuanLiuCunShouYiDaoZhiShaoShuGuDongQuanYiBianDongJinE" label="设定受益计划变动额结转留存收益导致少数股东权益变动金额" mulRef="_GBC_57faea4e453e49ad93821b7dd6ce8bc4" unitRef="_GBC_cef77704267643d794145c73763360e5" addr="T0R26C14S1_1" formatStyle="Comma"/>
        <m:item xlName="_GBC_167fdd27c19747d6aa10737ad54dad04" concept="clcid-pte:SheDingShouYiJiHuaBianDongEJieZhuanLiuCunShouYiDaoZhiGuDongQuanYiHeJiBianDongJinE" label="设定受益计划变动额结转留存收益导致股东权益合计变动金额" mulRef="_GBC_57faea4e453e49ad93821b7dd6ce8bc4" unitRef="_GBC_cef77704267643d794145c73763360e5" addr="T0R26C15S1_1" formatStyle="Comma"/>
        <m:placeholder xlName="_PLD_ea153cdd99f74bf1b50bc1743d25f429" wordText="5．其他综合收益结转留存收益" addr="T0R27C0S1_1" placeHolderType="1"/>
        <m:item xlName="_GBC_f0606a6366874435a5d42807acb682be" concept="clcid-pte:QiTaZongHeShouYiJieZhuanLiuCunShouYiDaoZhiShiShouZiBenHuoGuBenJingEBianDongJinE" label="其他综合收益结转留存收益导致实收资本（或股本）净额变动金额" mulRef="_GBC_57faea4e453e49ad93821b7dd6ce8bc4" unitRef="_GBC_cef77704267643d794145c73763360e5" addr="T0R27C1S1_1" formatStyle="Comma"/>
        <m:item xlName="_GBC_7e6a0ac1b8cb41eeab0342709cf959ed" concept="clcid-pte:QiTaZongHeShouYiJieZhuanLiuCunShouYiDaoZhiQiTaQuanYiGongJuZhongDeYouXianGuBianDongJinE" label="其他综合收益结转留存收益导致其他权益工具中的优先股变动金额" mulRef="_GBC_57faea4e453e49ad93821b7dd6ce8bc4" unitRef="_GBC_cef77704267643d794145c73763360e5" addr="T0R27C2S1_1" formatStyle="Comma"/>
        <m:item xlName="_GBC_077d9b5aa601495b93f4490c4786727c" concept="clcid-pte:QiTaZongHeShouYiJieZhuanLiuCunShouYiDaoZhiQiTaQuanYiGongJuZhongDeYongXuZhaiBianDongJinE" label="其他综合收益结转留存收益导致其他权益工具中的永续债变动金额" mulRef="_GBC_57faea4e453e49ad93821b7dd6ce8bc4" unitRef="_GBC_cef77704267643d794145c73763360e5" addr="T0R27C3S1_1" formatStyle="Comma"/>
        <m:item xlName="_GBC_e2864e4b6f3c46cb8aa2e2ad75432cdb" concept="clcid-pte:QiTaZongHeShouYiJieZhuanLiuCunShouYiDaoZhiQiTaQuanYiGongJuZhongDeQiTaBianDongJinE" label="其他综合收益结转留存收益导致其他权益工具中的其他变动金额" mulRef="_GBC_57faea4e453e49ad93821b7dd6ce8bc4" unitRef="_GBC_cef77704267643d794145c73763360e5" addr="T0R27C4S1_1" formatStyle="Comma"/>
        <m:item xlName="_GBC_4ea98f87a7a34b378e0a313ab882a2f7" concept="clcid-pte:QiTaZongHeShouYiJieZhuanLiuCunShouYiDaoZhiZiBenGongJiBianDongJinE" label="其他综合收益结转留存收益导致资本公积变动金额" mulRef="_GBC_57faea4e453e49ad93821b7dd6ce8bc4" unitRef="_GBC_cef77704267643d794145c73763360e5" addr="T0R27C5S1_1" formatStyle="Comma"/>
        <m:item xlName="_GBC_990f8260e10f413a865e8299bf8c49b2" concept="clcid-pte:QiTaZongHeShouYiJieZhuanLiuCunShouYiDaoZhiKuCunGuBianDongJinE" label="其他综合收益结转留存收益导致库存股变动金额" mulRef="_GBC_57faea4e453e49ad93821b7dd6ce8bc4" unitRef="_GBC_cef77704267643d794145c73763360e5" addr="T0R27C6S1_1" baseScale="-1" formatStyle="Comma"/>
        <m:item xlName="_GBC_b07c6ea994c644fc9be8839066b8cb1a" concept="clcid-pte:QiTaZongHeShouYiJieZhuanLiuCunShouYiDaoZhiQiTaZongHeShouYiBianDongJinE" label="其他综合收益结转留存收益导致其他综合收益变动金额" mulRef="_GBC_57faea4e453e49ad93821b7dd6ce8bc4" unitRef="_GBC_cef77704267643d794145c73763360e5" addr="T0R27C7S1_1" formatStyle="Comma"/>
        <m:item xlName="_GBC_bc19adbd54394cf4990d64f3e83e3256" concept="clcid-pte:QiTaZongHeShouYiJieZhuanLiuCunShouYiDaoZhiZhuanXiangChuBeiBianDongJinE" label="其他综合收益结转留存收益导致专项储备变动金额" mulRef="_GBC_57faea4e453e49ad93821b7dd6ce8bc4" unitRef="_GBC_cef77704267643d794145c73763360e5" addr="T0R27C8S1_1" formatStyle="Comma"/>
        <m:item xlName="_GBC_381a69b01bfd44f9887defbbe0cf1f51" concept="clcid-pte:QiTaZongHeShouYiJieZhuanLiuCunShouYiDaoZhiYingYuGongJiBianDongJinE" label="其他综合收益结转留存收益导致盈余公积变动金额" mulRef="_GBC_57faea4e453e49ad93821b7dd6ce8bc4" unitRef="_GBC_cef77704267643d794145c73763360e5" addr="T0R27C9S1_1" formatStyle="Comma"/>
        <m:item xlName="_GBC_c328a8848b9741ccaa30b23f8208666c" concept="clcid-pte:QiTaZongHeShouYiJieZhuanLiuCunShouYiDaoZhiYiBanFengXianZhunBeiBianDongJinE" label="其他综合收益结转留存收益导致一般风险准备变动金额" mulRef="_GBC_57faea4e453e49ad93821b7dd6ce8bc4" unitRef="_GBC_cef77704267643d794145c73763360e5" addr="T0R27C10S1_1" formatStyle="Comma"/>
        <m:item xlName="_GBC_3aaa9be33e854bfab5b2a35560347914" concept="clcid-pte:QiTaZongHeShouYiJieZhuanLiuCunShouYiDaoZhiWeiFenPeiLiRunBianDongJinE" label="其他综合收益结转留存收益导致未分配利润变动金额" mulRef="_GBC_57faea4e453e49ad93821b7dd6ce8bc4" unitRef="_GBC_cef77704267643d794145c73763360e5" addr="T0R27C11S1_1" formatStyle="Comma"/>
        <m:item xlName="_GBC_9f90cb66f68b413e9541144c05a2e7c2" concept="clcid-pte:QiTaZongHeShouYiJieZhuanLiuCunShouYiDaoZhiQiTaDeGuiShuYuMuGongSiSuoYouZheQuanYiBianDongJinE" label="其他综合收益结转留存收益导致其他的归属于母公司所有者权益变动金额" mulRef="_GBC_57faea4e453e49ad93821b7dd6ce8bc4" unitRef="_GBC_cef77704267643d794145c73763360e5" addr="T0R27C12S1_1" formatStyle="Comma"/>
        <m:item xlName="_GBC_f6a6ec6e0f9946828623e9aec7d201de" concept="clcid-pte:QiTaZongHeShouYiJieZhuanLiuCunShouYiDaoZhiGuiShuYuMuGongSiSuoYouZheQuanYiBianDongJinE" label="其他综合收益结转留存收益导致归属于母公司所有者权益变动金额" mulRef="_GBC_57faea4e453e49ad93821b7dd6ce8bc4" unitRef="_GBC_cef77704267643d794145c73763360e5" addr="T0R27C13S1_1" formatStyle="Comma"/>
        <m:item xlName="_GBC_35abb63764394eb5b6fcbfb07d5ce6ec" concept="clcid-pte:QiTaZongHeShouYiJieZhuanLiuCunShouYiDaoZhiShaoShuGuDongQuanYiBianDongJinE" label="其他综合收益结转留存收益导致少数股东权益变动金额" mulRef="_GBC_57faea4e453e49ad93821b7dd6ce8bc4" unitRef="_GBC_cef77704267643d794145c73763360e5" addr="T0R27C14S1_1" formatStyle="Comma"/>
        <m:item xlName="_GBC_6f27f55a18fa432b92f760b42353ba9d" concept="clcid-pte:QiTaZongHeShouYiJieZhuanLiuCunShouYiDaoZhiGuDongQuanYiHeJiBianDongJinE" label="其他综合收益结转留存收益导致股东权益合计变动金额" mulRef="_GBC_57faea4e453e49ad93821b7dd6ce8bc4" unitRef="_GBC_cef77704267643d794145c73763360e5" addr="T0R27C15S1_1" formatStyle="Comma"/>
        <m:placeholder xlName="_PLD_de42fced9d0547ecb946b8443ac4ea20" wordText="6．其他" addr="T0R28C0S1_1"/>
        <m:item xlName="_GBC_5a84a409a3c240bdbb03d1c5c262f8ed" concept="clcid-pte:QiTaSuoYouZheQuanYiNeiBuJieZhuanDaoZhiShiShouZiBenHuoGuBenJingEBianDongJinE" label="其他所有者权益内部结转导致实收资本（或股本）净额变动金额" mulRef="_GBC_57faea4e453e49ad93821b7dd6ce8bc4" unitRef="_GBC_cef77704267643d794145c73763360e5" addr="T0R28C1S1_1" formatStyle="Comma"/>
        <m:item xlName="_GBC_987a43e1e09d41db99465d816faced74" concept="clcid-pte:QiTaSuoYouZheQuanYiNeiBuJieZhuanDaoZhiQiTaQuanYiGongJuZhongDeYouXianGuBianDongJinE" label="其他所有者权益内部结转导致其他权益工具中的优先股变动金额" mulRef="_GBC_57faea4e453e49ad93821b7dd6ce8bc4" unitRef="_GBC_cef77704267643d794145c73763360e5" addr="T0R28C2S1_1" formatStyle="Comma"/>
        <m:item xlName="_GBC_9974850986174aba8ff33c5831059d42" concept="clcid-pte:QiTaSuoYouZheQuanYiNeiBuJieZhuanDaoZhiQiTaQuanYiGongJuZhongDeYongXuZhaiBianDongJinE" label="其他所有者权益内部结转导致其他权益工具中的永续债变动金额" mulRef="_GBC_57faea4e453e49ad93821b7dd6ce8bc4" unitRef="_GBC_cef77704267643d794145c73763360e5" addr="T0R28C3S1_1" formatStyle="Comma"/>
        <m:item xlName="_GBC_56b3a0ba683c43f78c3b4c2af40d4d81" concept="clcid-pte:QiTaSuoYouZheQuanYiNeiBuJieZhuanDaoZhiQiTaQuanYiGongJuZhongDeQiTaBianDongJinE" label="其他所有者权益内部结转导致其他权益工具中的其他变动金额" mulRef="_GBC_57faea4e453e49ad93821b7dd6ce8bc4" unitRef="_GBC_cef77704267643d794145c73763360e5" addr="T0R28C4S1_1" formatStyle="Comma"/>
        <m:item xlName="_GBC_076885d34c094644b90e6c0ff2f178f6" concept="clcid-pte:QiTaSuoYouZheQuanYiNeiBuJieZhuanDaoZhiZiBenGongJiBianDongJinE" label="其他所有者权益内部结转导致资本公积变动金额" mulRef="_GBC_57faea4e453e49ad93821b7dd6ce8bc4" unitRef="_GBC_cef77704267643d794145c73763360e5" addr="T0R28C5S1_1" formatStyle="Comma"/>
        <m:item xlName="_GBC_bee4a4326544442884a282645d73a062" concept="clcid-pte:QiTaSuoYouZheQuanYiNeiBuJieZhuanDaoZhiKuCunGuBianDongJinE" label="其他所有者权益内部结转导致库存股变动金额" mulRef="_GBC_57faea4e453e49ad93821b7dd6ce8bc4" unitRef="_GBC_cef77704267643d794145c73763360e5" addr="T0R28C6S1_1" baseScale="-1" formatStyle="Comma"/>
        <m:item xlName="_GBC_c85cf04d62ab4beb92f448caef4da5a9" concept="clcid-pte:QiTaSuoYouZheQuanYiNeiBuJieZhuanDaoZhiQiTaZongHeShouYiBianDongJinE" label="其他所有者权益内部结转导致其他综合收益变动金额" mulRef="_GBC_57faea4e453e49ad93821b7dd6ce8bc4" unitRef="_GBC_cef77704267643d794145c73763360e5" addr="T0R28C7S1_1" formatStyle="Comma"/>
        <m:item xlName="_GBC_037a7d65d2714eeeaf389c9571a7c796" concept="clcid-pte:QiTaSuoYouZheQuanYiNeiBuJieZhuanDaoZhiZhuanXiangChuBeiBianDongJinE" label="其他所有者权益内部结转导致专项储备变动金额" mulRef="_GBC_57faea4e453e49ad93821b7dd6ce8bc4" unitRef="_GBC_cef77704267643d794145c73763360e5" addr="T0R28C8S1_1" formatStyle="Comma"/>
        <m:item xlName="_GBC_5665cd28811a4d85a2cd69c63952342e" concept="clcid-pte:QiTaSuoYouZheQuanYiNeiBuJieZhuanDaoZhiYingYuGongJiBianDongJinE" label="其他所有者权益内部结转导致盈余公积变动金额" mulRef="_GBC_57faea4e453e49ad93821b7dd6ce8bc4" unitRef="_GBC_cef77704267643d794145c73763360e5" addr="T0R28C9S1_1" formatStyle="Comma"/>
        <m:item xlName="_GBC_698318c4a9d541dfbfbfa7ec7cfba155" concept="clcid-pte:QiTaSuoYouZheQuanYiNeiBuJieZhuanDaoZhiYiBanFengXianZhunBeiBianDongJinE" label="其他所有者权益内部结转导致一般风险准备变动金额" mulRef="_GBC_57faea4e453e49ad93821b7dd6ce8bc4" unitRef="_GBC_cef77704267643d794145c73763360e5" addr="T0R28C10S1_1" formatStyle="Comma"/>
        <m:item xlName="_GBC_30cc501f07444c37ae240f456b093084" concept="clcid-pte:QiTaSuoYouZheQuanYiNeiBuJieZhuanDaoZhiWeiFenPeiLiRunBianDongJinE" label="其他所有者权益内部结转导致未分配利润变动金额" mulRef="_GBC_57faea4e453e49ad93821b7dd6ce8bc4" unitRef="_GBC_cef77704267643d794145c73763360e5" addr="T0R28C11S1_1" formatStyle="Comma"/>
        <m:item xlName="_GBC_96f971902e484555ab3c05df4083a5e9" concept="clcid-pte:QiTaSuoYouZheQuanYiNeiBuJieZhuanDaoZhiQiTaDeGuiShuYuMuGongSiSuoYouZheQuanYiBianDongJinE" label="其他所有者权益内部结转导致其他的归属于母公司所有者权益变动金额" mulRef="_GBC_57faea4e453e49ad93821b7dd6ce8bc4" unitRef="_GBC_cef77704267643d794145c73763360e5" addr="T0R28C12S1_1" formatStyle="Comma"/>
        <m:item xlName="_GBC_21b2216ab5af47de9030208112dac275" concept="clcid-pte:QiTaSuoYouZheQuanYiNeiBuJieZhuanDaoZhiGuiShuYuMuGongSiSuoYouZheQuanYiBianDongJinE" label="其他所有者权益内部结转导致归属于母公司所有者权益变动金额" mulRef="_GBC_57faea4e453e49ad93821b7dd6ce8bc4" unitRef="_GBC_cef77704267643d794145c73763360e5" addr="T0R28C13S1_1" formatStyle="Comma"/>
        <m:item xlName="_GBC_f9c86667170148c49351e362b0206c2f" concept="clcid-pte:QiTaSuoYouZheQuanYiNeiBuJieZhuanDaoZhiShaoShuGuDongQuanYiBianDongJinE" label="其他所有者权益内部结转导致少数股东权益变动金额" mulRef="_GBC_57faea4e453e49ad93821b7dd6ce8bc4" unitRef="_GBC_cef77704267643d794145c73763360e5" addr="T0R28C14S1_1" formatStyle="Comma"/>
        <m:item xlName="_GBC_858de9a600cd473da4b3e97548e0ab4c" concept="clcid-pte:QiTaSuoYouZheQuanYiNeiBuJieZhuanDaoZhiGuDongQuanYiHeJiBianDongJinE" label="其他所有者权益内部结转导致股东权益合计变动金额" mulRef="_GBC_57faea4e453e49ad93821b7dd6ce8bc4" unitRef="_GBC_cef77704267643d794145c73763360e5" addr="T0R28C15S1_1" formatStyle="Comma"/>
        <m:placeholder xlName="_PLD_14d25c6e75074c52a0f884581cc84dba" wordText="（五）专项储备" addr="T0R29C0S1_1"/>
        <m:item xlName="_GBC_5b133c420da349708e6643bb6b0c1e6e" concept="clcid-pte:ZhuanXiangChuBeiDaoZhiShiShouZiBenHuoGuBenJingEBianDongJinE" label="专项储备导致实收资本（或股本）净额变动金额" mulRef="_GBC_57faea4e453e49ad93821b7dd6ce8bc4" unitRef="_GBC_cef77704267643d794145c73763360e5" addr="T0R29C1S1_1" formatStyle="Comma">
          <m:complexRule comparator="Eq" title="专项储备导致实收资本（或股本）净额变动金额" test=" $_GBC_8964072fb57f42ef937e3f8d325229f7 -  $_GBC_2f7c9bb85ea84133bdc594735aa1b1ba" id="C8f83cc918bc046fba08345de502a29e2" radius="0.0001"/>
        </m:item>
        <m:item xlName="_GBC_df89eee61a754edfb5a05b61c5b1418c" concept="clcid-pte:ZhuanXiangChuBeiDaoZhiQiTaQuanYiGongJuZhongDeYouXianGuBianDongJinE" label="专项储备导致其他权益工具中的优先股变动金额" mulRef="_GBC_57faea4e453e49ad93821b7dd6ce8bc4" unitRef="_GBC_cef77704267643d794145c73763360e5" addr="T0R29C2S1_1" formatStyle="Comma">
          <m:complexRule comparator="Eq" title="专项储备导致其他权益工具中的优先股变动金额" test=" $_GBC_29c7ab9a8f3b4a688931d75ba05e0bba -  $_GBC_b0bf3ce60fc948d6af18ac2fcdd1f8bd" id="Cbd374c3c84414edc9c3052419c46d027"/>
        </m:item>
        <m:item xlName="_GBC_9e23218859714c0e96d6c198c2cb79fd" concept="clcid-pte:ZhuanXiangChuBeiDaoZhiQiTaQuanYiGongJuZhongDeYongXuZhaiBianDongJinE" label="专项储备导致其他权益工具中的永续债变动金额" mulRef="_GBC_57faea4e453e49ad93821b7dd6ce8bc4" unitRef="_GBC_cef77704267643d794145c73763360e5" addr="T0R29C3S1_1" formatStyle="Comma">
          <m:complexRule comparator="Eq" title="专项储备导致其他权益工具中的永续债变动金额" test=" $_GBC_5921692adf494af288f20d1dc9238164 -  $_GBC_f6404ea2c572439d9d6cbf4c07b1d82b" id="C22c6b3d48c1643fc97a9eabc9a268b98"/>
        </m:item>
        <m:item xlName="_GBC_65b5aa8f1455448ead376358694d1dad" concept="clcid-pte:ZhuanXiangChuBeiDaoZhiQiTaQuanYiGongJuZhongDeQiTaBianDongJinE" label="专项储备导致其他权益工具中的其他变动金额" mulRef="_GBC_57faea4e453e49ad93821b7dd6ce8bc4" unitRef="_GBC_cef77704267643d794145c73763360e5" addr="T0R29C4S1_1" formatStyle="Comma">
          <m:complexRule comparator="Eq" title="专项储备导致其他权益工具中的其他变动金额" test=" $_GBC_b284993882194eac991b971fcc8c134f -  $_GBC_fca65b95c3e44b9083a518862efbee3d" id="C4ced8588c9f64e6fbf65ad75beea6e33"/>
        </m:item>
        <m:item xlName="_GBC_c5668c5b9c4b4239b60b1a1e142c3572" concept="clcid-pte:ZhuanXiangChuBeiDaoZhiZiBenGongJiBianDongJinE" label="专项储备导致资本公积变动金额" mulRef="_GBC_57faea4e453e49ad93821b7dd6ce8bc4" unitRef="_GBC_cef77704267643d794145c73763360e5" addr="T0R29C5S1_1" formatStyle="Comma">
          <m:complexRule comparator="Eq" title="专项储备导致资本公积变动金额" test=" $_GBC_93895bad5ace4edb8d6c10b8a33c11cc -  $_GBC_d5952cc1209f4e008093ff10d55cce69" id="Ca0014209a8db42c78afee0ecfe7d6cbc" radius="0.0001"/>
        </m:item>
        <m:item xlName="_GBC_6ce020937acc447bb5699bedc911da7e" concept="clcid-pte:ZhuanXiangChuBeiDaoZhiKuCunGuBianDongJinE" label="专项储备导致库存股变动金额" mulRef="_GBC_57faea4e453e49ad93821b7dd6ce8bc4" unitRef="_GBC_cef77704267643d794145c73763360e5" addr="T0R29C6S1_1" baseScale="-1" formatStyle="Comma">
          <m:complexRule comparator="Eq" title="专项储备导致库存股变动金额" test=" $_GBC_25aa6ff9b9644890ac28809c1ae0eb36 -  $_GBC_446a66b1a07d43f9bd706f27fbd9f329" id="C7f58f7fb5ee747358db47511f8042956" radius="0.0001"/>
        </m:item>
        <m:item xlName="_GBC_b2224b7668d74a5b89c2777235f7abbc" concept="clcid-pte:ZhuanXiangChuBeiDaoZhiQiTaZongHeShouYiBianDongJinE" label="专项储备导致其他综合收益变动金额" mulRef="_GBC_57faea4e453e49ad93821b7dd6ce8bc4" unitRef="_GBC_cef77704267643d794145c73763360e5" addr="T0R29C7S1_1" formatStyle="Comma">
          <m:complexRule comparator="Eq" title="专项储备导致其他综合收益变动金额" test=" $_GBC_1cbd820ae56645e282e08eaa85c65bcb -  $_GBC_f20f9953fc6c445ebe537111300ec73f" id="Cff32badbe3354ed7bcbb3e0a89c12cbc"/>
        </m:item>
        <m:item xlName="_GBC_b63eebc4f8294c6cab43080ea2183269" concept="clcid-pte:ZhuanXiangChuBeiDaoZhiZhuanXiangChuBeiBianDongJinE" label="专项储备导致专项储备变动金额" mulRef="_GBC_57faea4e453e49ad93821b7dd6ce8bc4" unitRef="_GBC_cef77704267643d794145c73763360e5" addr="T0R29C8S1_1" formatStyle="Comma">
          <m:complexRule comparator="Eq" title="专项储备导致专项储备变动金额" test=" $_GBC_d8f597612c404ba9b876b31a429359f7 -  $_GBC_c8c9204fb3234e258e1bf22ac7ff1a42" id="Ccd898491c5ec4153905b8d14300bfbba"/>
        </m:item>
        <m:item xlName="_GBC_03826d85012a4886ac133e89e44c70a4" concept="clcid-pte:ZhuanXiangChuBeiDaoZhiYingYuGongJiBianDongJinE" label="专项储备导致盈余公积变动金额" mulRef="_GBC_57faea4e453e49ad93821b7dd6ce8bc4" unitRef="_GBC_cef77704267643d794145c73763360e5" addr="T0R29C9S1_1" formatStyle="Comma">
          <m:complexRule comparator="Eq" title="专项储备导致盈余公积变动金额" test=" $_GBC_5106b0433355474f8abb045f41eadd2c -  $_GBC_f02947827f5e47ee874a6b214d6821d6" id="C73567615102244ff8e7aa1fd35df122a"/>
        </m:item>
        <m:item xlName="_GBC_edb79244254b409a98c43f26be77f9a2" concept="clcid-pte:ZhuanXiangChuBeiDaoZhiYiBanFengXianZhunBeiBianDongJinE" label="专项储备导致一般风险准备变动金额" mulRef="_GBC_57faea4e453e49ad93821b7dd6ce8bc4" unitRef="_GBC_cef77704267643d794145c73763360e5" addr="T0R29C10S1_1" formatStyle="Comma">
          <m:complexRule comparator="Eq" title="专项储备导致一般风险准备变动金额" test=" $_GBC_54a40a22127f400e90ee1c0c1efc10bb -  $_GBC_3472b44b3e3c44559d8c004fde6b156f" id="C7617ce31613246859d1eef0a18b54ae7"/>
        </m:item>
        <m:item xlName="_GBC_6f589e43d1be447a9260eb6c071a39b6" concept="clcid-pte:ZhuanXiangChuBeiDaoZhiWeiFenPeiLiRunBianDongJinE" label="专项储备导致未分配利润变动金额" mulRef="_GBC_57faea4e453e49ad93821b7dd6ce8bc4" unitRef="_GBC_cef77704267643d794145c73763360e5" addr="T0R29C11S1_1" formatStyle="Comma">
          <m:complexRule comparator="Eq" title="专项储备导致未分配利润变动金额" test=" $_GBC_08816e8cdd1f41e8b9c3142889ccede7 -  $_GBC_293497fa73bf4eba8077a8b51f3746a0" id="Cd38b4fe5efb0420b93643b0e39992d54"/>
        </m:item>
        <m:item xlName="_GBC_bb40ec88bcc04b13aafb388066987c9f" concept="clcid-pte:ZhuanXiangChuBeiDaoZhiQiTaDeGuiShuYuMuGongSiSuoYouZheQuanYiBianDongJinE" label="专项储备导致其他的归属于母公司所有者权益变动金额" mulRef="_GBC_57faea4e453e49ad93821b7dd6ce8bc4" unitRef="_GBC_cef77704267643d794145c73763360e5" addr="T0R29C12S1_1" formatStyle="Comma">
          <m:complexRule comparator="Eq" title="专项储备导致其他的归属于母公司所有者权益变动金额" test=" $_GBC_282a4da7b03d4bc5a74a8e1867ffb63e -  $_GBC_b72759396f784ef282dbca7062b4f8d9" id="C1d1696ab58a54abb8b36b8568318c1b4"/>
        </m:item>
        <m:item xlName="_GBC_6bd3a7a569dd478fbc6d6829ce98fac6" concept="clcid-pte:ZhuanXiangChuBeiDaoZhiGuiShuYuMuGongSiSuoYouZheQuanYiBianDongJinE" label="专项储备导致归属于母公司所有者权益变动金额" mulRef="_GBC_57faea4e453e49ad93821b7dd6ce8bc4" unitRef="_GBC_cef77704267643d794145c73763360e5" addr="T0R29C13S1_1" formatStyle="Comma">
          <m:complexRule comparator="Eq" title="专项储备导致归属于母公司所有者权益变动金额小计" test=" $_GBC_26d21548ec5c4d609e33f7527b5c3b53 -  $_GBC_5325a1a7354f43e78ca03f7e4d505362" id="Ca947b0b13acb4b6cb2b4be6ec8995686"/>
        </m:item>
        <m:item xlName="_GBC_8cab485a956f4ba2b7b46408d57ad6ed" concept="clcid-pte:ZhuanXiangChuBeiDaoZhiShaoShuGuDongQuanYiBianDongJinE" label="专项储备导致少数股东权益变动金额" mulRef="_GBC_57faea4e453e49ad93821b7dd6ce8bc4" unitRef="_GBC_cef77704267643d794145c73763360e5" addr="T0R29C14S1_1" formatStyle="Comma">
          <m:complexRule comparator="Eq" title="专项储备导致少数股东权益变动金额" test=" $_GBC_0a425d925bc5441eb05d6245a3dffa89 -  $_GBC_338c6acd617044aa94afc4a15e515c64" id="C54187ecca5c24c44928ca1560890b1f4"/>
        </m:item>
        <m:item xlName="_GBC_2f85c153c72c4e148843c5f5780b7d6f" concept="clcid-pte:ZhuanXiangChuBeiDaoZhiGuDongQuanYiHeJiBianDongJinE" label="专项储备导致股东权益合计变动金额" mulRef="_GBC_57faea4e453e49ad93821b7dd6ce8bc4" unitRef="_GBC_cef77704267643d794145c73763360e5" addr="T0R29C15S1_1" formatStyle="Comma">
          <m:complexRule comparator="Eq" title="专项储备导致股东权益合计变动金额" test=" $_GBC_4dd0a237229f4c45ba0473a71039a89a -  $_GBC_2bba8b0d81aa4581bc41b19c2d03a128" id="Cb6265583e6e244bc991097b4b8fa7383"/>
        </m:item>
        <m:placeholder xlName="_PLD_672c666008dd4adfa2ab5933e9cd1671" wordText="1．本期提取" addr="T0R30C0S1_1"/>
        <m:item xlName="_GBC_8964072fb57f42ef937e3f8d325229f7" concept="clcid-pte:TiQuDaoZhiShiShouZiBenHuoGuBenJingEBianDongJinE" label="提取导致实收资本（或股本）净额变动金额" mulRef="_GBC_57faea4e453e49ad93821b7dd6ce8bc4" unitRef="_GBC_cef77704267643d794145c73763360e5" addr="T0R30C1S1_1" formatStyle="Comma"/>
        <m:item xlName="_GBC_29c7ab9a8f3b4a688931d75ba05e0bba" concept="clcid-pte:TiQuDaoZhiQiTaQuanYiGongJuZhongDeYouXianGuBianDongJinE" label="提取导致其他权益工具中的优先股变动金额" mulRef="_GBC_57faea4e453e49ad93821b7dd6ce8bc4" unitRef="_GBC_cef77704267643d794145c73763360e5" addr="T0R30C2S1_1" formatStyle="Comma"/>
        <m:item xlName="_GBC_5921692adf494af288f20d1dc9238164" concept="clcid-pte:TiQuDaoZhiQiTaQuanYiGongJuZhongDeYongXuZhaiBianDongJinE" label="提取导致其他权益工具中的永续债变动金额" mulRef="_GBC_57faea4e453e49ad93821b7dd6ce8bc4" unitRef="_GBC_cef77704267643d794145c73763360e5" addr="T0R30C3S1_1" formatStyle="Comma"/>
        <m:item xlName="_GBC_b284993882194eac991b971fcc8c134f" concept="clcid-pte:TiQuDaoZhiQiTaQuanYiGongJuZhongDeQiTaBianDongJinE" label="提取导致其他权益工具中的其他变动金额" mulRef="_GBC_57faea4e453e49ad93821b7dd6ce8bc4" unitRef="_GBC_cef77704267643d794145c73763360e5" addr="T0R30C4S1_1" formatStyle="Comma"/>
        <m:item xlName="_GBC_93895bad5ace4edb8d6c10b8a33c11cc" concept="clcid-pte:TiQuDaoZhiZiBenGongJiBianDongJinE" label="提取导致资本公积变动金额" mulRef="_GBC_57faea4e453e49ad93821b7dd6ce8bc4" unitRef="_GBC_cef77704267643d794145c73763360e5" addr="T0R30C5S1_1" formatStyle="Comma"/>
        <m:item xlName="_GBC_25aa6ff9b9644890ac28809c1ae0eb36" concept="clcid-pte:TiQuDaoZhiKuCunGuBianDongJinE" label="提取导致库存股变动金额" mulRef="_GBC_57faea4e453e49ad93821b7dd6ce8bc4" unitRef="_GBC_cef77704267643d794145c73763360e5" addr="T0R30C6S1_1" baseScale="-1" formatStyle="Comma"/>
        <m:item xlName="_GBC_1cbd820ae56645e282e08eaa85c65bcb" concept="clcid-pte:TiQuDaoZhiQiTaZongHeShouYiBianDongJinE" label="提取导致其他综合收益变动金额" mulRef="_GBC_57faea4e453e49ad93821b7dd6ce8bc4" unitRef="_GBC_cef77704267643d794145c73763360e5" addr="T0R30C7S1_1" formatStyle="Comma"/>
        <m:item xlName="_GBC_d8f597612c404ba9b876b31a429359f7" concept="clcid-pte:TiQuDaoZhiZhuanXiangChuBeiBianDongJinE" label="提取导致专项储备变动金额" mulRef="_GBC_57faea4e453e49ad93821b7dd6ce8bc4" unitRef="_GBC_cef77704267643d794145c73763360e5" addr="T0R30C8S1_1" formatStyle="Comma"/>
        <m:item xlName="_GBC_5106b0433355474f8abb045f41eadd2c" concept="clcid-pte:TiQuDaoZhiYingYuGongJiBianDongJinE" label="提取导致盈余公积变动金额" mulRef="_GBC_57faea4e453e49ad93821b7dd6ce8bc4" unitRef="_GBC_cef77704267643d794145c73763360e5" addr="T0R30C9S1_1" formatStyle="Comma"/>
        <m:item xlName="_GBC_54a40a22127f400e90ee1c0c1efc10bb" concept="clcid-pte:TiQuDaoZhiYiBanFengXianZhunBeiBianDongJinE" label="提取导致一般风险准备变动金额" mulRef="_GBC_57faea4e453e49ad93821b7dd6ce8bc4" unitRef="_GBC_cef77704267643d794145c73763360e5" addr="T0R30C10S1_1" formatStyle="Comma"/>
        <m:item xlName="_GBC_08816e8cdd1f41e8b9c3142889ccede7" concept="clcid-pte:TiQuDaoZhiWeiFenPeiLiRunBianDongJinE" label="提取导致未分配利润变动金额" mulRef="_GBC_57faea4e453e49ad93821b7dd6ce8bc4" unitRef="_GBC_cef77704267643d794145c73763360e5" addr="T0R30C11S1_1" formatStyle="Comma"/>
        <m:item xlName="_GBC_282a4da7b03d4bc5a74a8e1867ffb63e" concept="clcid-pte:TiQuDaoZhiQiTaDeGuiShuYuMuGongSiSuoYouZheQuanYiBianDongJinE" label="提取导致其他的归属于母公司所有者权益变动金额" mulRef="_GBC_57faea4e453e49ad93821b7dd6ce8bc4" unitRef="_GBC_cef77704267643d794145c73763360e5" addr="T0R30C12S1_1" formatStyle="Comma"/>
        <m:item xlName="_GBC_26d21548ec5c4d609e33f7527b5c3b53" concept="clcid-pte:TiQuZhuanXiangChuBeiDaoZhiGuiShuYuMuGongSiSuoYouZheQuanYiBianDongJinE" label="提取专项储备导致归属于母公司所有者权益变动金额" mulRef="_GBC_57faea4e453e49ad93821b7dd6ce8bc4" unitRef="_GBC_cef77704267643d794145c73763360e5" addr="T0R30C13S1_1" formatStyle="Comma"/>
        <m:item xlName="_GBC_0a425d925bc5441eb05d6245a3dffa89" concept="clcid-pte:TiQuDaoZhiShaoShuGuDongQuanYiBianDongJinE" label="提取导致少数股东权益变动金额" mulRef="_GBC_57faea4e453e49ad93821b7dd6ce8bc4" unitRef="_GBC_cef77704267643d794145c73763360e5" addr="T0R30C14S1_1" formatStyle="Comma"/>
        <m:item xlName="_GBC_4dd0a237229f4c45ba0473a71039a89a" concept="clcid-pte:TiQuDaoZhiGuDongQuanYiHeJiBianDongJinE" label="提取导致股东权益合计变动金额" mulRef="_GBC_57faea4e453e49ad93821b7dd6ce8bc4" unitRef="_GBC_cef77704267643d794145c73763360e5" addr="T0R30C15S1_1" formatStyle="Comma"/>
        <m:placeholder xlName="_PLD_810ec2533aac40f59079e8e8d20e52c3" wordText="2．本期使用" addr="T0R31C0S1_1"/>
        <m:item xlName="_GBC_2f7c9bb85ea84133bdc594735aa1b1ba" concept="clcid-pte:ShiYongDaoZhiShiShouZiBenHuoGuBenJingEBianDongJinE" label="使用导致实收资本（或股本）净额变动金额" mulRef="_GBC_57faea4e453e49ad93821b7dd6ce8bc4" unitRef="_GBC_cef77704267643d794145c73763360e5" addr="T0R31C1S1_1" formatStyle="Comma"/>
        <m:item xlName="_GBC_b0bf3ce60fc948d6af18ac2fcdd1f8bd" concept="clcid-pte:ShiYongDaoZhiQiTaQuanYiGongJuZhongDeYouXianGuBianDongJinE" label="使用导致其他权益工具中的优先股变动金额" mulRef="_GBC_57faea4e453e49ad93821b7dd6ce8bc4" unitRef="_GBC_cef77704267643d794145c73763360e5" addr="T0R31C2S1_1" formatStyle="Comma"/>
        <m:item xlName="_GBC_f6404ea2c572439d9d6cbf4c07b1d82b" concept="clcid-pte:ShiYongDaoZhiQiTaQuanYiGongJuZhongDeYongXuZhaiBianDongJinE" label="使用导致其他权益工具中的永续债变动金额" mulRef="_GBC_57faea4e453e49ad93821b7dd6ce8bc4" unitRef="_GBC_cef77704267643d794145c73763360e5" addr="T0R31C3S1_1" formatStyle="Comma"/>
        <m:item xlName="_GBC_fca65b95c3e44b9083a518862efbee3d" concept="clcid-pte:ShiYongDaoZhiQiTaQuanYiGongJuZhongDeQiTaBianDongJinE" label="使用导致其他权益工具中的其他变动金额" mulRef="_GBC_57faea4e453e49ad93821b7dd6ce8bc4" unitRef="_GBC_cef77704267643d794145c73763360e5" addr="T0R31C4S1_1" formatStyle="Comma"/>
        <m:item xlName="_GBC_d5952cc1209f4e008093ff10d55cce69" concept="clcid-pte:ShiYongDaoZhiZiBenGongJiBianDongJinE" label="使用导致资本公积变动金额" mulRef="_GBC_57faea4e453e49ad93821b7dd6ce8bc4" unitRef="_GBC_cef77704267643d794145c73763360e5" addr="T0R31C5S1_1" formatStyle="Comma"/>
        <m:item xlName="_GBC_446a66b1a07d43f9bd706f27fbd9f329" concept="clcid-pte:ShiYongDaoZhiKuCunGuBianDongJinE" label="使用导致库存股变动金额" mulRef="_GBC_57faea4e453e49ad93821b7dd6ce8bc4" unitRef="_GBC_cef77704267643d794145c73763360e5" addr="T0R31C6S1_1" baseScale="-1" formatStyle="Comma"/>
        <m:item xlName="_GBC_f20f9953fc6c445ebe537111300ec73f" concept="clcid-pte:ShiYongDaoZhiQiTaZongHeShouYiBianDongJinE" label="使用导致其他综合收益变动金额" mulRef="_GBC_57faea4e453e49ad93821b7dd6ce8bc4" unitRef="_GBC_cef77704267643d794145c73763360e5" addr="T0R31C7S1_1" formatStyle="Comma"/>
        <m:item xlName="_GBC_c8c9204fb3234e258e1bf22ac7ff1a42" concept="clcid-pte:ShiYongDaoZhiZhuanXiangChuBeiBianDongJinE" label="使用导致专项储备变动金额" mulRef="_GBC_57faea4e453e49ad93821b7dd6ce8bc4" unitRef="_GBC_cef77704267643d794145c73763360e5" addr="T0R31C8S1_1" formatStyle="Comma"/>
        <m:item xlName="_GBC_f02947827f5e47ee874a6b214d6821d6" concept="clcid-pte:ShiYongDaoZhiYingYuGongJiBianDongJinE" label="使用导致盈余公积变动金额" mulRef="_GBC_57faea4e453e49ad93821b7dd6ce8bc4" unitRef="_GBC_cef77704267643d794145c73763360e5" addr="T0R31C9S1_1" formatStyle="Comma"/>
        <m:item xlName="_GBC_3472b44b3e3c44559d8c004fde6b156f" concept="clcid-pte:ShiYongDaoZhiYiBanFengXianZhunBeiBianDongJinE" label="使用导致一般风险准备变动金额" mulRef="_GBC_57faea4e453e49ad93821b7dd6ce8bc4" unitRef="_GBC_cef77704267643d794145c73763360e5" addr="T0R31C10S1_1" formatStyle="Comma"/>
        <m:item xlName="_GBC_293497fa73bf4eba8077a8b51f3746a0" concept="clcid-pte:ShiYongDaoZhiWeiFenPeiLiRunBianDongJinE" label="使用导致未分配利润变动金额" mulRef="_GBC_57faea4e453e49ad93821b7dd6ce8bc4" unitRef="_GBC_cef77704267643d794145c73763360e5" addr="T0R31C11S1_1" formatStyle="Comma"/>
        <m:item xlName="_GBC_b72759396f784ef282dbca7062b4f8d9" concept="clcid-pte:ShiYongDaoZhiQiTaDeGuiShuYuMuGongSiSuoYouZheQuanYiBianDongJinE" label="使用导致其他的归属于母公司所有者权益变动金额" mulRef="_GBC_57faea4e453e49ad93821b7dd6ce8bc4" unitRef="_GBC_cef77704267643d794145c73763360e5" addr="T0R31C12S1_1" formatStyle="Comma"/>
        <m:item xlName="_GBC_5325a1a7354f43e78ca03f7e4d505362" concept="clcid-pte:ShiYongZhuanXiangChuBeiDaoZhiGuiShuYuMuGongSiSuoYouZheQuanYiBianDongJinE" label="使用专项储备导致归属于母公司所有者权益变动金额" mulRef="_GBC_57faea4e453e49ad93821b7dd6ce8bc4" unitRef="_GBC_cef77704267643d794145c73763360e5" addr="T0R31C13S1_1" formatStyle="Comma"/>
        <m:item xlName="_GBC_338c6acd617044aa94afc4a15e515c64" concept="clcid-pte:ShiYongDaoZhiShaoShuGuDongQuanYiBianDongJinE" label="使用导致少数股东权益变动金额" mulRef="_GBC_57faea4e453e49ad93821b7dd6ce8bc4" unitRef="_GBC_cef77704267643d794145c73763360e5" addr="T0R31C14S1_1" formatStyle="Comma"/>
        <m:item xlName="_GBC_2bba8b0d81aa4581bc41b19c2d03a128" concept="clcid-pte:ShiYongDaoZhiGuDongQuanYiHeJiBianDongJinE" label="使用导致股东权益合计变动金额" mulRef="_GBC_57faea4e453e49ad93821b7dd6ce8bc4" unitRef="_GBC_cef77704267643d794145c73763360e5" addr="T0R31C15S1_1" formatStyle="Comma"/>
        <m:placeholder xlName="_PLD_f4bc69f9c7d34151a4b7a0d89088f0ee" wordText="（六）其他" addr="T0R32C0S1_1"/>
        <m:item xlName="_GBC_e5bb57182cb84c139313dd87a42549fc" concept="clcid-pte:QiTaDaoZhiShiShouZiBenHuoGuBenJingEBianDongJinE" label="其他导致实收资本（或股本）净额变动金额" mulRef="_GBC_57faea4e453e49ad93821b7dd6ce8bc4" unitRef="_GBC_cef77704267643d794145c73763360e5" addr="T0R32C1S1_1" formatStyle="Comma"/>
        <m:item xlName="_GBC_4cb17ac0318c46f5b906906cf31a388b" concept="clcid-pte:QiTaDaoZhiQiTaQuanYiGongJuZhongDeYouXianGuBianDongJinE" label="其他导致其他权益工具中的优先股变动金额" mulRef="_GBC_57faea4e453e49ad93821b7dd6ce8bc4" unitRef="_GBC_cef77704267643d794145c73763360e5" addr="T0R32C2S1_1" formatStyle="Comma"/>
        <m:item xlName="_GBC_b99886cc2ef449ee9001767361d56946" concept="clcid-pte:QiTaDaoZhiQiTaQuanYiGongJuZhongDeYongXuZhaiBianDongJinE" label="其他导致其他权益工具中的永续债变动金额" mulRef="_GBC_57faea4e453e49ad93821b7dd6ce8bc4" unitRef="_GBC_cef77704267643d794145c73763360e5" addr="T0R32C3S1_1" formatStyle="Comma"/>
        <m:item xlName="_GBC_115fc2853cdb4a3ea7f427dccb84c7f6" concept="clcid-pte:QiTaDaoZhiQiTaQuanYiGongJuZhongDeQiTaBianDongJinE" label="其他导致其他权益工具中的其他变动金额" mulRef="_GBC_57faea4e453e49ad93821b7dd6ce8bc4" unitRef="_GBC_cef77704267643d794145c73763360e5" addr="T0R32C4S1_1" formatStyle="Comma"/>
        <m:item xlName="_GBC_f93f79cca9c642cba3f66db418f8b2c3" concept="clcid-pte:QiTaDaoZhiZiBenGongJiBianDongJinE" label="其他导致资本公积变动金额" mulRef="_GBC_57faea4e453e49ad93821b7dd6ce8bc4" unitRef="_GBC_cef77704267643d794145c73763360e5" addr="T0R32C5S1_1" formatStyle="Comma"/>
        <m:item xlName="_GBC_b057b3deaf984131a7982c200f385c4d" concept="clcid-pte:QiTaDaoZhiKuCunGuBianDongJinE" label="其他导致库存股变动金额" mulRef="_GBC_57faea4e453e49ad93821b7dd6ce8bc4" unitRef="_GBC_cef77704267643d794145c73763360e5" addr="T0R32C6S1_1" baseScale="-1" formatStyle="Comma"/>
        <m:item xlName="_GBC_31755b23bf0647ffad40c136225f52e3" concept="clcid-pte:QiTaDaoZhiQiTaZongHeShouYiBianDongJinE" label="其他导致其他综合收益变动金额" mulRef="_GBC_57faea4e453e49ad93821b7dd6ce8bc4" unitRef="_GBC_cef77704267643d794145c73763360e5" addr="T0R32C7S1_1" formatStyle="Comma"/>
        <m:item xlName="_GBC_bcdbc1209b754c2f98c23f4aca0c0ae2" concept="clcid-pte:QiTaDaoZhiZhuanXiangChuBeiBianDongJinE" label="其他导致专项储备变动金额" mulRef="_GBC_57faea4e453e49ad93821b7dd6ce8bc4" unitRef="_GBC_cef77704267643d794145c73763360e5" addr="T0R32C8S1_1" formatStyle="Comma"/>
        <m:item xlName="_GBC_342200a60246426fb3eab7fde28e53f0" concept="clcid-pte:QiTaDaoZhiYingYuGongJiBianDongJinE" label="其他导致盈余公积变动金额" mulRef="_GBC_57faea4e453e49ad93821b7dd6ce8bc4" unitRef="_GBC_cef77704267643d794145c73763360e5" addr="T0R32C9S1_1" formatStyle="Comma"/>
        <m:item xlName="_GBC_66c87d17cb814231bab585cfb33549f4" concept="clcid-pte:QiTaDaoZhiYiBanFengXianZhunBeiBianDongJinE" label="其他导致一般风险准备变动金额" mulRef="_GBC_57faea4e453e49ad93821b7dd6ce8bc4" unitRef="_GBC_cef77704267643d794145c73763360e5" addr="T0R32C10S1_1" formatStyle="Comma"/>
        <m:item xlName="_GBC_ec9db240ea72422e8db149aae16a8004" concept="clcid-pte:QiTaDaoZhiWeiFenPeiLiRunBianDongJinE" label="其他导致未分配利润变动金额" mulRef="_GBC_57faea4e453e49ad93821b7dd6ce8bc4" unitRef="_GBC_cef77704267643d794145c73763360e5" addr="T0R32C11S1_1" formatStyle="Comma"/>
        <m:item xlName="_GBC_86f11dfca9a44f249ec66e84b57c1b44" concept="clcid-pte:QiTaDaoZhiQiTaDeGuiShuYuMuGongSiSuoYouZheQuanYiBianDongJinE" label="其他导致其他的归属于母公司所有者权益变动金额" mulRef="_GBC_57faea4e453e49ad93821b7dd6ce8bc4" unitRef="_GBC_cef77704267643d794145c73763360e5" addr="T0R32C12S1_1" formatStyle="Comma"/>
        <m:item xlName="_GBC_cb0016cce8fe43e98003b2b13a1a8310" concept="clcid-pte:QiTaDaoZhiGuiShuYuMuGongSiSuoYouZheQuanYiBianDongJinE" label="其他导致归属于母公司所有者权益变动金额" mulRef="_GBC_57faea4e453e49ad93821b7dd6ce8bc4" unitRef="_GBC_cef77704267643d794145c73763360e5" addr="T0R32C13S1_1" formatStyle="Comma"/>
        <m:item xlName="_GBC_7ee4bb8a90ca4d6f876a811900bbf14f" concept="clcid-pte:QiTaDaoZhiShaoShuGuDongQuanYiBianDongJinE" label="其他导致少数股东权益变动金额" mulRef="_GBC_57faea4e453e49ad93821b7dd6ce8bc4" unitRef="_GBC_cef77704267643d794145c73763360e5" addr="T0R32C14S1_1" formatStyle="Comma"/>
        <m:item xlName="_GBC_e5424969832b49b886fcd601a1464e2b" concept="clcid-pte:QiTaDaoZhiGuDongQuanYiHeJiBianDongJinE" label="其他导致股东权益合计变动金额" mulRef="_GBC_57faea4e453e49ad93821b7dd6ce8bc4" unitRef="_GBC_cef77704267643d794145c73763360e5" addr="T0R32C15S1_1" formatStyle="Comma"/>
        <m:placeholder xlName="_PLD_033ca7ec3c1d4c1b905d0af57ca8a614" wordText="四、本期期末余额" addr="T0R33C0S1_1"/>
        <m:item xlName="_GBC_9dc05927aafe4ee196c19ffd3a4696d1" concept="clcid-pte:GuBen" label="股本" mulRef="_GBC_57faea4e453e49ad93821b7dd6ce8bc4" unitRef="_GBC_cef77704267643d794145c73763360e5" addr="T0R33C1S1_1" formatStyle="Comma">
          <m:complexRule comparator="Eq" title="股本" test=" $_GBC_0c662007ff334bb781a6a3a735e723f7 +  $_GBC_3af7eb97d3514f10a23c0b89023752b4" id="C8be168ba389b4b26814f6c0bc3c7c0fa" radius="0.0001"/>
        </m:item>
        <m:item xlName="_GBC_5ad1876ce560442e8714eb302e93e8e9" concept="clcid-pte:QiTaQuanYiGongJuQiZhongYouXianGu" label="其他权益工具-其中：优先股" mulRef="_GBC_57faea4e453e49ad93821b7dd6ce8bc4" unitRef="_GBC_cef77704267643d794145c73763360e5" addr="T0R33C2S1_1" formatStyle="Comma">
          <m:complexRule comparator="Eq" title="其他权益工具-其中：优先股" test=" $_GBC_c3677caf0e384a30b62aff570f4edd20 +  $_GBC_31de6e6e3245453bb81137017f32526d" id="Cbb3b1f78d9244bd587545f732a750cef"/>
        </m:item>
        <m:item xlName="_GBC_56e159f7d5fe4df4bcad89d75aeb34ae" concept="clcid-pte:QiTaQuanYiGongJuYongXuZhai" label="其他权益工具-永续债" mulRef="_GBC_57faea4e453e49ad93821b7dd6ce8bc4" unitRef="_GBC_cef77704267643d794145c73763360e5" addr="T0R33C3S1_1" formatStyle="Comma">
          <m:complexRule comparator="Eq" title="其他权益工具-永续债" test=" $_GBC_885424eb670f4e9ab89ef8def1ef5ca2 +  $_GBC_e17ba5ca57b44d3b979e1bcc360525f3" id="C8fdf91ebf8054cab926c4db6117af80c"/>
        </m:item>
        <m:item xlName="_GBC_3349987ce0a54a13838c500a4c80696f" concept="clcid-pte:QiTaQuanYiGongJuQiTa" label="其他权益工具-其他" mulRef="_GBC_57faea4e453e49ad93821b7dd6ce8bc4" unitRef="_GBC_cef77704267643d794145c73763360e5" addr="T0R33C4S1_1" formatStyle="Comma">
          <m:complexRule comparator="Eq" title="其他权益工具-其他" test=" $_GBC_2d71b862596249ccbec39ded5462fc34 +  $_GBC_a543ecf27ae64d37802ba6b3403e63d5" id="C92e9cd6d899f4ca2807b8f2d360f8325"/>
        </m:item>
        <m:item xlName="_GBC_4b9b0e4135be4bce9e7a2e1b4c694fde" concept="clcid-pte:ZiBenGongJi" label="资本公积" mulRef="_GBC_57faea4e453e49ad93821b7dd6ce8bc4" unitRef="_GBC_cef77704267643d794145c73763360e5" addr="T0R33C5S1_1" formatStyle="Comma">
          <m:complexRule comparator="Eq" title="资本公积" test=" $_GBC_e7e04f7d01204105956d91f5c1571e28 +  $_GBC_3627c41bf40e462c8620f1263ac7419f" id="C578b337d0e8d4c07a06f8950ddeb39f5" radius="0.0001"/>
        </m:item>
        <m:item xlName="_GBC_58d5b4e7bf4d4cef96162b1c5c4219c4" concept="clcid-pte:KuCunGu" label="库存股" mulRef="_GBC_57faea4e453e49ad93821b7dd6ce8bc4" unitRef="_GBC_cef77704267643d794145c73763360e5" addr="T0R33C6S1_1" baseScale="-1" formatStyle="Comma" keyCode="abs" keyAction="108">
          <m:complexRule comparator="Eq" title="库存股" test=" $_GBC_9f2d69e7d06844c69ea1f80787d08bbf +  $_GBC_cfb742bc65374c42aec857140a23c67b" id="Cd5c03eee161b4480ad44a31dadb2ee58" radius="0.0001"/>
        </m:item>
        <m:item xlName="_GBC_849fa937d1094f1199307eed74b112b2" concept="clcid-pte:QiTaZongHeShouYiZiChanFuZhaiBiaoXiangMu" label="其他综合收益（资产负债表项目）" mulRef="_GBC_57faea4e453e49ad93821b7dd6ce8bc4" unitRef="_GBC_cef77704267643d794145c73763360e5" addr="T0R33C7S1_1" formatStyle="Comma">
          <m:complexRule comparator="Eq" title="其他综合收益（资产负债表项目）" test=" $_GBC_4a6bcd6c044c48fc98aae3ad1b8aa16e +  $_GBC_22fc524f34c3429d8663894de117905f" id="C98dd7be260914eafa4f4504d678c7c9e"/>
        </m:item>
        <m:item xlName="_GBC_7088f12529cd421aa18cf348bb7fa8ea" concept="clcid-pte:ZhuanXiangChuBei" label="专项储备" mulRef="_GBC_57faea4e453e49ad93821b7dd6ce8bc4" unitRef="_GBC_cef77704267643d794145c73763360e5" addr="T0R33C8S1_1" formatStyle="Comma">
          <m:complexRule comparator="Eq" title="专项储备" test=" $_GBC_d49744c39d574e4ba85cc0b415a054e4 +  $_GBC_96bb018f4932409099361a683927bf0f" id="C9d9ed1eaafe74d679d7874f163db4a4b" radius="0.0001"/>
        </m:item>
        <m:item xlName="_GBC_86c522eda51b492da3b0173e60d366af" concept="clcid-pte:YingYuGongJi" label="盈余公积" mulRef="_GBC_57faea4e453e49ad93821b7dd6ce8bc4" unitRef="_GBC_cef77704267643d794145c73763360e5" addr="T0R33C9S1_1" formatStyle="Comma">
          <m:complexRule comparator="Eq" title="盈余公积" test=" $_GBC_448e9d5c6c324c7b977e3120b163c949 +  $_GBC_c6732712698a45e4a89bee4861e3db6b" id="C228575689f0849548b25293abb72645f"/>
        </m:item>
        <m:item xlName="_GBC_c523622b6a654605a82b7c2c65cce1e3" concept="clcid-pte:YiBanFengXianZhunBei" label="一般风险准备" mulRef="_GBC_57faea4e453e49ad93821b7dd6ce8bc4" unitRef="_GBC_cef77704267643d794145c73763360e5" addr="T0R33C10S1_1" formatStyle="Comma">
          <m:complexRule comparator="Eq" title="一般风险准备" test=" $_GBC_76a84421833441ae8dacfed428ac73a7 +  $_GBC_3b86797cd0ef43538ea94d1f6fe0fbe9" id="C869e591176f946879087880399f904bb"/>
        </m:item>
        <m:item xlName="_GBC_98bcc931f5194f8693b6a3f0393e6fa3" concept="clcid-pte:WeiFenPeiLiRun" label="未分配利润" mulRef="_GBC_57faea4e453e49ad93821b7dd6ce8bc4" unitRef="_GBC_cef77704267643d794145c73763360e5" addr="T0R33C11S1_1" formatStyle="Comma">
          <m:complexRule comparator="Eq" title="未分配利润" test=" $_GBC_0029fc559a9c4f1e97bf224794aa2515 +  $_GBC_c725506b3ad84eccb3fac140c784126f" id="Cbc9b4879331c489cb41a009af10b273f"/>
        </m:item>
        <m:item xlName="_GBC_a62fbd31daa84c91aecac59031c841ce" concept="clcid-pte:QiTaDeGuiShuYuMuGongSiSuoYouZheQuanYi" label="其他的归属于母公司所有者权益" mulRef="_GBC_57faea4e453e49ad93821b7dd6ce8bc4" unitRef="_GBC_cef77704267643d794145c73763360e5" addr="T0R33C12S1_1" formatStyle="Comma">
          <m:complexRule comparator="Eq" title="其他的归属于母公司所有者权益" test=" $_GBC_1d766371e8a64b23a5479e8f00d7c981 +  $_GBC_86e681f063cf4e4e8e042efca13c686d" id="Cb36578df0435426491cb31f8b1a33d1c"/>
        </m:item>
        <m:item xlName="_GBC_f67f5174b7ea4b4398f8d91d0767ab73" concept="clcid-pte:GuiShuYuMuGongSiSuoYouZheQuanYiHeJi" label="归属于母公司所有者权益合计" mulRef="_GBC_57faea4e453e49ad93821b7dd6ce8bc4" unitRef="_GBC_cef77704267643d794145c73763360e5" addr="T0R33C13S1_1" formatStyle="Comma">
          <m:complexRule comparator="Eq" title="归属于母公司所有者权益合计" test=" $_GBC_cc9ba51b117641a2bf7b77cee68b1f69 +  $_GBC_9b533eea753f42678e94aac87164c8f9" id="C7d8bd86519764c4aab476e1ad2cdd452"/>
        </m:item>
        <m:item xlName="_GBC_8c6fd9faa3a146e89c0c5b479ea25bae" concept="clcid-pte:ShaoShuGuDongQuanYi" label="少数股东权益" mulRef="_GBC_57faea4e453e49ad93821b7dd6ce8bc4" unitRef="_GBC_cef77704267643d794145c73763360e5" addr="T0R33C14S1_1" formatStyle="Comma">
          <m:complexRule comparator="Eq" title="少数股东权益" test=" $_GBC_5a51fde8d9bd442ea9614c5e602523a4 +  $_GBC_c1baf9fd3a7c43e3b0765626d3f4786a" id="Cc82e69a07fe0417faa1a6c5db1274daf"/>
        </m:item>
        <m:item xlName="_GBC_15bd00861a964a9cb380909eb91ed9b4" concept="clcid-pte:GuDongQuanYiHeJi" label="股东权益合计" mulRef="_GBC_57faea4e453e49ad93821b7dd6ce8bc4" unitRef="_GBC_cef77704267643d794145c73763360e5" addr="T0R33C15S1_1" formatStyle="Comma">
          <m:complexRule comparator="Eq" title="股东权益合计" test=" $_GBC_b247fe380cff44978c88ba0c44328776 +  $_GBC_2aea7e65200c4636b30927f80555b840" id="C9d1a0cba97554c1ba43dda49654a9225"/>
        </m:item>
        <m:placeholder xlName="_PLD_20eb9c9dd1e14fb0a0790f87b63a489d" wordText="项目" addr="T1R0C0S4_1"/>
        <m:placeholder xlName="_PLD_95c0e6e5f75a49daa1b601f67b7dd704" wordText="2022年半年度" addr="T1R0C1S1_15"/>
        <m:placeholder xlName="_PLD_3c5d65171933469ea16eac46afc03a54" wordText="归属于母公司所有者权益" addr="T1R1C1S1_13"/>
        <m:placeholder xlName="_PLD_ba7b1c99b1634f48939c500d6c46ce09" wordText="少数股东权益" addr="T1R1C14S3_1"/>
        <m:placeholder xlName="_PLD_fb367567c5f141a5863649df07435b71" wordText="所有者权益合计" addr="T1R1C15S3_1"/>
        <m:placeholder xlName="_PLD_36b3a5c009c04b53b0bd25afc2596e7e" wordText="实收资本(或股本)" addr="T1R2C1S2_1"/>
        <m:placeholder xlName="_PLD_c0579a9940424a129a85d26955bb30bc" wordText="其他权益工具" addr="T1R2C2S1_3"/>
        <m:placeholder xlName="_PLD_f728bf12d1d64c4fa04dfc828a7a0411" wordText="资本公积" addr="T1R2C5S2_1"/>
        <m:placeholder xlName="_PLD_8c191e0685ac4367b113504c484a11e9" wordText="减：库存股" addr="T1R2C6S2_1"/>
        <m:placeholder xlName="_PLD_68ae3206209542ea8491f40d49bafeb7" wordText="其他综合收益" addr="T1R2C7S2_1"/>
        <m:placeholder xlName="_PLD_6402f064d7a041d58973d8b8205096d0" wordText="专项储备" addr="T1R2C8S2_1"/>
        <m:placeholder xlName="_PLD_b1d22d8686164205bfa14ef647cebfcd" wordText="盈余公积" addr="T1R2C9S2_1"/>
        <m:placeholder xlName="_PLD_c5c57d0195b14864b413898a9c76e89d" wordText="一般风险准备" addr="T1R2C10S2_1"/>
        <m:placeholder xlName="_PLD_c9bffd2027d24ca1955db036ad79f5ea" wordText="未分配利润" addr="T1R2C11S2_1"/>
        <m:placeholder xlName="_PLD_de6da1e2128f48e49564e44af75ff7ab" wordText="其他" addr="T1R2C12S2_1">
          <m:placeholder xlName="_PLD_ff5e808cf3794086a9aee4c489a9f6eb" wordText="其他"/>
        </m:placeholder>
        <m:placeholder xlName="_PLD_e6df9793a438430a8df9730b2cdd8a99" wordText="小计" addr="T1R2C13S2_1"/>
        <m:placeholder xlName="_PLD_052ae87eff474159aaedec0c5ce4bb50" wordText="优先股" addr="T1R3C2S1_1"/>
        <m:placeholder xlName="_PLD_f40d311f528a48d8a47457e11ad5ccd5" wordText="永续债" addr="T1R3C3S1_1"/>
        <m:placeholder xlName="_PLD_90f98adf8eaf44078005d57f570c4291" wordText="其他" addr="T1R3C4S1_1"/>
        <m:placeholder xlName="_PLD_7e9607e7cfb34d74bf0fce08e0866d34" wordText="一、上年期末余额" addr="T1R4C0S1_1"/>
        <m:item xlName="_GBC_03c5cfb554bf41ab890acf4e1d52232e" concept="clcid-pte:GuBen" label="股本" periodRef="上上年度期末数" mulRef="_GBC_57faea4e453e49ad93821b7dd6ce8bc4" unitRef="_GBC_cef77704267643d794145c73763360e5" addr="T1R4C1S1_1" formatStyle="Comma">
          <m:axisValue occRef="调整前的值"/>
        </m:item>
        <m:item xlName="_GBC_96fc1ba8ea3a43e0a868ac1b8a617ed1" concept="clcid-pte:QiTaQuanYiGongJuQiZhongYouXianGu" label="其他权益工具-其中：优先股" periodRef="上上年度期末数" mulRef="_GBC_57faea4e453e49ad93821b7dd6ce8bc4" unitRef="_GBC_cef77704267643d794145c73763360e5" addr="T1R4C2S1_1" formatStyle="Comma">
          <m:axisValue occRef="调整前的值"/>
        </m:item>
        <m:item xlName="_GBC_7eea436044ae46509888c4f305d57b25" concept="clcid-pte:QiTaQuanYiGongJuYongXuZhai" label="其他权益工具-永续债" periodRef="上上年度期末数" mulRef="_GBC_57faea4e453e49ad93821b7dd6ce8bc4" unitRef="_GBC_cef77704267643d794145c73763360e5" addr="T1R4C3S1_1" formatStyle="Comma">
          <m:axisValue occRef="调整前的值"/>
        </m:item>
        <m:item xlName="_GBC_e85d38b585c44491bd3c9c9523ae5370" concept="clcid-pte:QiTaQuanYiGongJuQiTa" label="其他权益工具-其他" periodRef="上上年度期末数" mulRef="_GBC_57faea4e453e49ad93821b7dd6ce8bc4" unitRef="_GBC_cef77704267643d794145c73763360e5" addr="T1R4C4S1_1" formatStyle="Comma">
          <m:axisValue occRef="调整前的值"/>
        </m:item>
        <m:item xlName="_GBC_dec44f60461549f3be1e73f4aeae5289" concept="clcid-pte:ZiBenGongJi" label="资本公积" periodRef="上上年度期末数" mulRef="_GBC_57faea4e453e49ad93821b7dd6ce8bc4" unitRef="_GBC_cef77704267643d794145c73763360e5" addr="T1R4C5S1_1" formatStyle="Comma">
          <m:axisValue occRef="调整前的值"/>
        </m:item>
        <m:item xlName="_GBC_fe26a4f475f74c9fa0b068cd3869ae67" concept="clcid-pte:KuCunGu" label="库存股" periodRef="上上年度期末数" mulRef="_GBC_57faea4e453e49ad93821b7dd6ce8bc4" unitRef="_GBC_cef77704267643d794145c73763360e5" addr="T1R4C6S1_1" baseScale="-1" formatStyle="Comma" keyCode="abs" keyAction="108">
          <m:axisValue occRef="调整前的值"/>
        </m:item>
        <m:item xlName="_GBC_c4b282f6bdc44520a21dc165d784e9ca" concept="clcid-pte:QiTaZongHeShouYiZiChanFuZhaiBiaoXiangMu" label="其他综合收益（资产负债表项目）" periodRef="上上年度期末数" mulRef="_GBC_57faea4e453e49ad93821b7dd6ce8bc4" unitRef="_GBC_cef77704267643d794145c73763360e5" addr="T1R4C7S1_1" formatStyle="Comma">
          <m:axisValue occRef="调整前的值"/>
        </m:item>
        <m:item xlName="_GBC_a56a795ea53340228687a85f4206f4b5" concept="clcid-pte:ZhuanXiangChuBei" label="专项储备" periodRef="上上年度期末数" mulRef="_GBC_57faea4e453e49ad93821b7dd6ce8bc4" unitRef="_GBC_cef77704267643d794145c73763360e5" addr="T1R4C8S1_1" formatStyle="Comma">
          <m:axisValue occRef="调整前的值"/>
        </m:item>
        <m:item xlName="_GBC_664343ec5888483ea5cf6596a562f2f8" concept="clcid-pte:YingYuGongJi" label="盈余公积" periodRef="上上年度期末数" mulRef="_GBC_57faea4e453e49ad93821b7dd6ce8bc4" unitRef="_GBC_cef77704267643d794145c73763360e5" addr="T1R4C9S1_1" formatStyle="Comma">
          <m:axisValue occRef="调整前的值"/>
        </m:item>
        <m:item xlName="_GBC_50708f74fb2445dcb118885acdf81d3e" concept="clcid-pte:YiBanFengXianZhunBei" label="一般风险准备" periodRef="上上年度期末数" mulRef="_GBC_57faea4e453e49ad93821b7dd6ce8bc4" unitRef="_GBC_cef77704267643d794145c73763360e5" addr="T1R4C10S1_1" formatStyle="Comma">
          <m:axisValue occRef="调整前的值"/>
        </m:item>
        <m:item xlName="_GBC_fe4c74b5dad143278ceb8e58654833c5" concept="clcid-pte:WeiFenPeiLiRun" label="未分配利润" periodRef="上上年度期末数" mulRef="_GBC_57faea4e453e49ad93821b7dd6ce8bc4" unitRef="_GBC_cef77704267643d794145c73763360e5" addr="T1R4C11S1_1" formatStyle="Comma">
          <m:axisValue occRef="调整前的值"/>
        </m:item>
        <m:item xlName="_GBC_4d671feae64b4b4ebc18f7ed23cefb37" concept="clcid-pte:QiTaDeGuiShuYuMuGongSiSuoYouZheQuanYi" label="其他的归属于母公司所有者权益" periodRef="上上年度期末数" mulRef="_GBC_57faea4e453e49ad93821b7dd6ce8bc4" unitRef="_GBC_cef77704267643d794145c73763360e5" addr="T1R4C12S1_1" formatStyle="Comma">
          <m:axisValue occRef="调整前的值"/>
        </m:item>
        <m:item xlName="_GBC_af5e3f40a72541b1bf4a041c5523ac96" concept="clcid-pte:GuiShuYuMuGongSiSuoYouZheQuanYiHeJi" label="归属于母公司所有者权益合计" periodRef="上上年度期末数" mulRef="_GBC_57faea4e453e49ad93821b7dd6ce8bc4" unitRef="_GBC_cef77704267643d794145c73763360e5" addr="T1R4C13S1_1" formatStyle="Comma">
          <m:axisValue occRef="调整前的值"/>
        </m:item>
        <m:item xlName="_GBC_89ba5b10739d4ce3917108e88e495dd3" concept="clcid-pte:ShaoShuGuDongQuanYi" label="少数股东权益" periodRef="上上年度期末数" mulRef="_GBC_57faea4e453e49ad93821b7dd6ce8bc4" unitRef="_GBC_cef77704267643d794145c73763360e5" addr="T1R4C14S1_1" formatStyle="Comma">
          <m:axisValue occRef="调整前的值"/>
        </m:item>
        <m:item xlName="_GBC_f2c3f85fa9cd4305a289999283b486ee" concept="clcid-pte:GuDongQuanYiHeJi" label="股东权益合计" periodRef="上上年度期末数" mulRef="_GBC_57faea4e453e49ad93821b7dd6ce8bc4" unitRef="_GBC_cef77704267643d794145c73763360e5" addr="T1R4C15S1_1" formatStyle="Comma">
          <m:axisValue occRef="调整前的值"/>
        </m:item>
        <m:placeholder xlName="_PLD_fd33bb0caf614a75b319dc40c7515dcc" wordText="加：会计政策变更" addr="T1R5C0S1_1"/>
        <m:item xlName="_GBC_cbb6c5b6139b4c23b673a773aef5d91c" concept="clcid-pte:KuaiJiZhengCeBianGengDaoZhiShiShouZiBenHuoGuBenJingEBianDongJinE" label="会计政策变更导致实收资本（或股本）净额变动金额" periodRef="上年同期期初数" mulRef="_GBC_57faea4e453e49ad93821b7dd6ce8bc4" unitRef="_GBC_cef77704267643d794145c73763360e5" addr="T1R5C1S1_1" formatStyle="Comma"/>
        <m:item xlName="_GBC_cdea65499cbb4e5399d7a632d5348341" concept="clcid-pte:HuiJiZhengCeBianGengDaoZhiYouXianGuBianDongJinE" label="会计政策变更导致优先股变动金额" periodRef="上年同期期初数" mulRef="_GBC_57faea4e453e49ad93821b7dd6ce8bc4" unitRef="_GBC_cef77704267643d794145c73763360e5" addr="T1R5C2S1_1" formatStyle="Comma"/>
        <m:item xlName="_GBC_0b4f15e6cd8f4253af247f98bc944f52" concept="clcid-pte:HuiJiZhengCeBianGengDaoZhiYongXuZhaiBianDongJinE" label="会计政策变更导致永续债变动金额" periodRef="上年同期期初数" mulRef="_GBC_57faea4e453e49ad93821b7dd6ce8bc4" unitRef="_GBC_cef77704267643d794145c73763360e5" addr="T1R5C3S1_1" formatStyle="Comma"/>
        <m:item xlName="_GBC_6647706ce50e46e6b20b1cc64cbba3ef" concept="clcid-pte:HuiJiZhengCeBianGengDaoZhiQiTaQuanYiGongJuZhongDeQiTaBianDongJinE" label="会计政策变更导致其他权益工具中的其他变动金额" periodRef="上年同期期初数" mulRef="_GBC_57faea4e453e49ad93821b7dd6ce8bc4" unitRef="_GBC_cef77704267643d794145c73763360e5" addr="T1R5C4S1_1" formatStyle="Comma"/>
        <m:item xlName="_GBC_7c17c286d32e497cbd9726c4e2e214e0" concept="clcid-pte:KuaiJiZhengCeBianGengDaoZhiZiBenGongJiBianDongJinE" label="会计政策变更导致资本公积变动金额" periodRef="上年同期期初数" mulRef="_GBC_57faea4e453e49ad93821b7dd6ce8bc4" unitRef="_GBC_cef77704267643d794145c73763360e5" addr="T1R5C5S1_1" formatStyle="Comma"/>
        <m:item xlName="_GBC_cf728a050d9d4295a2932ac26aee8087" concept="clcid-pte:KuaiJiZhengCeBianGengDaoZhiKuCunGuBianDongJinE" label="会计政策变更导致库存股变动金额" periodRef="上年同期期初数" mulRef="_GBC_57faea4e453e49ad93821b7dd6ce8bc4" unitRef="_GBC_cef77704267643d794145c73763360e5" addr="T1R5C6S1_1" baseScale="-1" formatStyle="Comma"/>
        <m:item xlName="_GBC_65a94a67a35749cea759f717d9ce1b59" concept="clcid-pte:HuiJiZhengCeBianGengDaoZhiQiTaZongHeShouYiBianDongJinE" label="会计政策变更导致其他综合收益变动金额" periodRef="上年同期期初数" mulRef="_GBC_57faea4e453e49ad93821b7dd6ce8bc4" unitRef="_GBC_cef77704267643d794145c73763360e5" addr="T1R5C7S1_1" formatStyle="Comma"/>
        <m:item xlName="_GBC_3cccbdce52d84ef48d7e82af0c52c4b3" concept="clcid-pte:KuaiJiZhengCeBianGengDaoZhiZhuanXiangChuBeiBianDongJinE" label="会计政策变更导致专项储备变动金额" periodRef="上年同期期初数" mulRef="_GBC_57faea4e453e49ad93821b7dd6ce8bc4" unitRef="_GBC_cef77704267643d794145c73763360e5" addr="T1R5C8S1_1" formatStyle="Comma"/>
        <m:item xlName="_GBC_c7c6d6f1cd9c4cab8074673df314696b" concept="clcid-pte:KuaiJiZhengCeBianGengDaoZhiYingYuGongJiBianDongJinE" label="会计政策变更导致盈余公积变动金额" periodRef="上年同期期初数" mulRef="_GBC_57faea4e453e49ad93821b7dd6ce8bc4" unitRef="_GBC_cef77704267643d794145c73763360e5" addr="T1R5C9S1_1" formatStyle="Comma"/>
        <m:item xlName="_GBC_1da9a3d2800340f3b3824c574a73339f" concept="clcid-pte:KuaiJiZhengCeBianGengDaoZhiYiBanFengXianZhunBeiBianDongJinE" label="会计政策变更导致一般风险准备变动金额" periodRef="上年同期期初数" mulRef="_GBC_57faea4e453e49ad93821b7dd6ce8bc4" unitRef="_GBC_cef77704267643d794145c73763360e5" addr="T1R5C10S1_1" formatStyle="Comma"/>
        <m:item xlName="_GBC_a7115342c53144f4a6953ca044b1d02e" concept="clcid-pte:KuaiJiZhengCeBianGengDaoZhiWeiFenPeiLiRunBianDongJinE" label="会计政策变更导致未分配利润变动金额" periodRef="上年同期期初数" mulRef="_GBC_57faea4e453e49ad93821b7dd6ce8bc4" unitRef="_GBC_cef77704267643d794145c73763360e5" addr="T1R5C11S1_1" formatStyle="Comma"/>
        <m:item xlName="_GBC_282634407f63431b9649e7e871b4a468" concept="clcid-pte:KuaiJiZhengCeBianGengDaoZhiQiTaDeGuiShuYuMuGongSiSuoYouZheQuanYiBianDongJinE" label="会计政策变更导致其他的归属于母公司所有者权益变动金额" periodRef="上年同期期初数" mulRef="_GBC_57faea4e453e49ad93821b7dd6ce8bc4" unitRef="_GBC_cef77704267643d794145c73763360e5" addr="T1R5C12S1_1" formatStyle="Comma"/>
        <m:item xlName="_GBC_63da0f51ec0d467e951154bd49806f3a" concept="clcid-pte:KuaiJiZhengCeBianGengDaoZhiGuiShuYuMuGongSiSuoYouZheQuanYiBianDongJinE" label="会计政策变更导致归属于母公司所有者权益变动金额" periodRef="上年同期期初数" mulRef="_GBC_57faea4e453e49ad93821b7dd6ce8bc4" unitRef="_GBC_cef77704267643d794145c73763360e5" addr="T1R5C13S1_1" formatStyle="Comma"/>
        <m:item xlName="_GBC_0538a95199c44a88989bf93b00e6c8af" concept="clcid-pte:KuaiJiZhengCeBianGengDaoZhiShaoShuGuDongQuanYiBianDongJinE" label="会计政策变更导致少数股东权益变动金额" periodRef="上年同期期初数" mulRef="_GBC_57faea4e453e49ad93821b7dd6ce8bc4" unitRef="_GBC_cef77704267643d794145c73763360e5" addr="T1R5C14S1_1" formatStyle="Comma"/>
        <m:item xlName="_GBC_ec6669d1b002490880daab099a7ca507" concept="clcid-pte:KuaiJiZhengCeBianGengDaoZhiGuDongQuanYiHeJiBianDongJinE" label="会计政策变更导致股东权益合计变动金额" periodRef="上年同期期初数" mulRef="_GBC_57faea4e453e49ad93821b7dd6ce8bc4" unitRef="_GBC_cef77704267643d794145c73763360e5" addr="T1R5C15S1_1" formatStyle="Comma"/>
        <m:placeholder xlName="_PLD_15b4364437fa4ad39040010f7c204056" wordText="前期差错更正" indent="200" addr="T1R6C0S1_1"/>
        <m:item xlName="_GBC_6402bc2dd768467faf3248711fd5706f" concept="clcid-pte:QianQiChaCuoGengZhengDaoZhiShiShouZiBenHuoGuBenJingEBianDongJinE" label="前期差错更正导致实收资本（或股本）净额变动金额" periodRef="上年同期期初数" mulRef="_GBC_57faea4e453e49ad93821b7dd6ce8bc4" unitRef="_GBC_cef77704267643d794145c73763360e5" addr="T1R6C1S1_1" formatStyle="Comma"/>
        <m:item xlName="_GBC_533c60ff0b7b49ad9c774e7aef07c6a6" concept="clcid-pte:QianQiChaCuoGengZhengDaoZhiYouXianGuBianDongJinE" label="前期差错更正导致优先股变动金额" periodRef="上年同期期初数" mulRef="_GBC_57faea4e453e49ad93821b7dd6ce8bc4" unitRef="_GBC_cef77704267643d794145c73763360e5" addr="T1R6C2S1_1" formatStyle="Comma"/>
        <m:item xlName="_GBC_2a592b212be749069542cdc7652b647b" concept="clcid-pte:QianQiChaCuoGengZhengDaoZhiYongXuZhaiBianDongJinE" label="前期差错更正导致永续债变动金额" periodRef="上年同期期初数" mulRef="_GBC_57faea4e453e49ad93821b7dd6ce8bc4" unitRef="_GBC_cef77704267643d794145c73763360e5" addr="T1R6C3S1_1" formatStyle="Comma"/>
        <m:item xlName="_GBC_842b17944268496e8dda5a1ea12e0ce8" concept="clcid-pte:QianQiChaCuoGengZhengDaoZhiQiTaQuanYiGongJuZhongDeQiTaBianDongJinE" label="前期差错更正导致其他权益工具中的其他变动金额" periodRef="上年同期期初数" mulRef="_GBC_57faea4e453e49ad93821b7dd6ce8bc4" unitRef="_GBC_cef77704267643d794145c73763360e5" addr="T1R6C4S1_1" formatStyle="Comma"/>
        <m:item xlName="_GBC_90791c4411ec41f69a37b2001a11bcad" concept="clcid-pte:QianQiChaCuoGengZhengDaoZhiZiBenGongJiBianDongJinE" label="前期差错更正导致资本公积变动金额" periodRef="上年同期期初数" mulRef="_GBC_57faea4e453e49ad93821b7dd6ce8bc4" unitRef="_GBC_cef77704267643d794145c73763360e5" addr="T1R6C5S1_1" formatStyle="Comma"/>
        <m:item xlName="_GBC_4754e5884be8435887c09872ce6b032d" concept="clcid-pte:QianQiChaCuoGengZhengDaoZhiKuCunGuBianDongJinE" label="前期差错更正导致库存股变动金额" periodRef="上年同期期初数" mulRef="_GBC_57faea4e453e49ad93821b7dd6ce8bc4" unitRef="_GBC_cef77704267643d794145c73763360e5" addr="T1R6C6S1_1" baseScale="-1" formatStyle="Comma"/>
        <m:item xlName="_GBC_afb904f12206429fb34ebb2b9b1e1fdf" concept="clcid-pte:QianQiChaCuoGengZhengDaoZhiQiTaZongHeShouYiBianDongJinE" label="前期差错更正导致其他综合收益变动金额" periodRef="上年同期期初数" mulRef="_GBC_57faea4e453e49ad93821b7dd6ce8bc4" unitRef="_GBC_cef77704267643d794145c73763360e5" addr="T1R6C7S1_1" formatStyle="Comma"/>
        <m:item xlName="_GBC_2f4dfcaa5c024f02827b7cc0c9aba6a3" concept="clcid-pte:QianQiChaCuoGengZhengDaoZhiZhuanXiangChuBeiBianDongJinE" label="前期差错更正导致专项储备变动金额" periodRef="上年同期期初数" mulRef="_GBC_57faea4e453e49ad93821b7dd6ce8bc4" unitRef="_GBC_cef77704267643d794145c73763360e5" addr="T1R6C8S1_1" formatStyle="Comma"/>
        <m:item xlName="_GBC_1f7c6ea4410349eaabc6ddcb3490cb0a" concept="clcid-pte:QianQiChaCuoGengZhengDaoZhiYingYuGongJiBianDongJinE" label="前期差错更正导致盈余公积变动金额" periodRef="上年同期期初数" mulRef="_GBC_57faea4e453e49ad93821b7dd6ce8bc4" unitRef="_GBC_cef77704267643d794145c73763360e5" addr="T1R6C9S1_1" formatStyle="Comma"/>
        <m:item xlName="_GBC_cf210726d28242a99ea33371c07fa423" concept="clcid-pte:QianQiChaCuoGengZhengDaoZhiYiBanFengXianZhunBeiBianDongJinE" label="前期差错更正导致一般风险准备变动金额" periodRef="上年同期期初数" mulRef="_GBC_57faea4e453e49ad93821b7dd6ce8bc4" unitRef="_GBC_cef77704267643d794145c73763360e5" addr="T1R6C10S1_1" formatStyle="Comma"/>
        <m:item xlName="_GBC_bd2e99f30ec24df1b9b66a8ce0288037" concept="clcid-pte:QianQiChaCuoGengZhengDaoZhiWeiFenPeiLiRunBianDongJinE" label="前期差错更正导致未分配利润变动金额" periodRef="上年同期期初数" mulRef="_GBC_57faea4e453e49ad93821b7dd6ce8bc4" unitRef="_GBC_cef77704267643d794145c73763360e5" addr="T1R6C11S1_1" formatStyle="Comma"/>
        <m:item xlName="_GBC_44abafb4085045c9b4c917931d870be6" concept="clcid-pte:QianQiChaCuoGengZhengDaoZhiQiTaDeGuiShuYuMuGongSiSuoYouZheQuanYiBianDongJinE" label="前期差错更正导致其他的归属于母公司所有者权益变动金额" periodRef="上年同期期初数" mulRef="_GBC_57faea4e453e49ad93821b7dd6ce8bc4" unitRef="_GBC_cef77704267643d794145c73763360e5" addr="T1R6C12S1_1" formatStyle="Comma"/>
        <m:item xlName="_GBC_4ec12afb11c045f08907816731f7b68b" concept="clcid-pte:QianQiChaCuoGengZhengDaoZhiGuiShuYuMuGongSiSuoYouZheQuanYiBianDongJinE" label="前期差错更正导致归属于母公司所有者权益变动金额" periodRef="上年同期期初数" mulRef="_GBC_57faea4e453e49ad93821b7dd6ce8bc4" unitRef="_GBC_cef77704267643d794145c73763360e5" addr="T1R6C13S1_1" formatStyle="Comma"/>
        <m:item xlName="_GBC_3072809418a749dd94b1d1e159a27064" concept="clcid-pte:QianQiChaCuoGengZhengDaoZhiShaoShuGuDongQuanYiBianDongJinE" label="前期差错更正导致少数股东权益变动金额" periodRef="上年同期期初数" mulRef="_GBC_57faea4e453e49ad93821b7dd6ce8bc4" unitRef="_GBC_cef77704267643d794145c73763360e5" addr="T1R6C14S1_1" formatStyle="Comma"/>
        <m:item xlName="_GBC_19cb9b2d447644ec8c344aa0bd417c5d" concept="clcid-pte:QianQiChaCuoGengZhengDaoZhiGuDongQuanYiHeJiBianDongJinE" label="前期差错更正导致股东权益合计变动金额" periodRef="上年同期期初数" mulRef="_GBC_57faea4e453e49ad93821b7dd6ce8bc4" unitRef="_GBC_cef77704267643d794145c73763360e5" addr="T1R6C15S1_1" formatStyle="Comma"/>
        <m:placeholder xlName="_PLD_800fb53c11a943e3b9b9bd49c8085679" wordText="同一控制下企业合并" indent="200" addr="T1R7C0S1_1"/>
        <m:item xlName="_GBC_486359ba0ae94a4698a9587c7d800d44" concept="clcid-pte:TongYiKongZhiXiaQiYeHeBingDaoZhiGuBenBianDongJinE" label="同一控制下企业合并导致股本变动金额" periodRef="上年同期期初数" mulRef="_GBC_57faea4e453e49ad93821b7dd6ce8bc4" unitRef="_GBC_cef77704267643d794145c73763360e5" addr="T1R7C1S1_1" formatStyle="Comma"/>
        <m:item xlName="_GBC_0bf182acc8d1400384be3e307589f6ee" concept="clcid-pte:TongYiKongZhiXiaQiYeHeBingDaoZhiYouXianGuBianDongJinE" label="同一控制下企业合并导致优先股变动金额" periodRef="上年同期期初数" mulRef="_GBC_57faea4e453e49ad93821b7dd6ce8bc4" unitRef="_GBC_cef77704267643d794145c73763360e5" addr="T1R7C2S1_1" formatStyle="Comma"/>
        <m:item xlName="_GBC_b99c34bdf92c410a9b8b56fc1b38d0c5" concept="clcid-pte:TongYiKongZhiXiaQiYeHeBingDaoZhiYongXuZhaiBianDongJinE" label="同一控制下企业合并导致永续债变动金额" periodRef="上年同期期初数" mulRef="_GBC_57faea4e453e49ad93821b7dd6ce8bc4" unitRef="_GBC_cef77704267643d794145c73763360e5" addr="T1R7C3S1_1" formatStyle="Comma"/>
        <m:item xlName="_GBC_9230aa338cb546a6abb57e34eab9fef3" concept="clcid-pte:TongYiKongZhiXiaQiYeHeBingDaoZhiQiTaQuanYiGongJuZhongDeQiTaBianDongJinE" label="同一控制下企业合并导致其他权益工具中的其他变动金额" periodRef="上年同期期初数" mulRef="_GBC_57faea4e453e49ad93821b7dd6ce8bc4" unitRef="_GBC_cef77704267643d794145c73763360e5" addr="T1R7C4S1_1" formatStyle="Comma"/>
        <m:item xlName="_GBC_cc7c6924ca1b480ea521f796d0d20e29" concept="clcid-pte:TongYiKongZhiXiaQiYeHeBingDaoZhiZiBenGongJiBianDongJinE" label="同一控制下企业合并导致资本公积变动金额" periodRef="上年同期期初数" mulRef="_GBC_57faea4e453e49ad93821b7dd6ce8bc4" unitRef="_GBC_cef77704267643d794145c73763360e5" addr="T1R7C5S1_1" formatStyle="Comma"/>
        <m:item xlName="_GBC_9a40df19d8a54b24b4432e8f592117ef" concept="clcid-pte:TongYiKongZhiXiaQiYeHeBingDaoZhiKuCunGuBianDongJinE" label="同一控制下企业合并导致库存股变动金额" periodRef="上年同期期初数" mulRef="_GBC_57faea4e453e49ad93821b7dd6ce8bc4" unitRef="_GBC_cef77704267643d794145c73763360e5" addr="T1R7C6S1_1" baseScale="-1" formatStyle="Comma"/>
        <m:item xlName="_GBC_026d0b2fc5c54d85967b579dc93d8f9f" concept="clcid-pte:TongYiKongZhiXiaQiYeHeBingDaoZhiQiTaZongHeShouYiBianDongJinE" label="同一控制下企业合并导致其他综合收益变动金额" periodRef="上年同期期初数" mulRef="_GBC_57faea4e453e49ad93821b7dd6ce8bc4" unitRef="_GBC_cef77704267643d794145c73763360e5" addr="T1R7C7S1_1" formatStyle="Comma"/>
        <m:item xlName="_GBC_2b89303ec9ac4f428a2547b4d82cc692" concept="clcid-pte:TongYiKongZhiXiaQiYeHeBingDaoZhiZhuanXiangChuBeiBianDongJinE" label="同一控制下企业合并导致专项储备变动金额" periodRef="上年同期期初数" mulRef="_GBC_57faea4e453e49ad93821b7dd6ce8bc4" unitRef="_GBC_cef77704267643d794145c73763360e5" addr="T1R7C8S1_1" formatStyle="Comma"/>
        <m:item xlName="_GBC_170d9ab35326476781461bd5f796048a" concept="clcid-pte:TongYiKongZhiXiaQiYeHeBingDaoZhiYingYuGongJiBianDongJinE" label="同一控制下企业合并导致盈余公积变动金额" periodRef="上年同期期初数" mulRef="_GBC_57faea4e453e49ad93821b7dd6ce8bc4" unitRef="_GBC_cef77704267643d794145c73763360e5" addr="T1R7C9S1_1" formatStyle="Comma"/>
        <m:item xlName="_GBC_4c9febb0b5df4907b3c43320e1f8608a" concept="clcid-pte:TongYiKongZhiXiaQiYeHeBingDaoZhiYiBanFengXianZhunBeiBianDongJinE" label="同一控制下企业合并导致一般风险准备变动金额" periodRef="上年同期期初数" mulRef="_GBC_57faea4e453e49ad93821b7dd6ce8bc4" unitRef="_GBC_cef77704267643d794145c73763360e5" addr="T1R7C10S1_1" formatStyle="Comma"/>
        <m:item xlName="_GBC_82614e12cd794973b9d4b0fb8334abec" concept="clcid-pte:TongYiKongZhiXiaQiYeHeBingDaoZhiWeiFenPeiLiRunBianDongJinE" label="同一控制下企业合并导致未分配利润变动金额" periodRef="上年同期期初数" mulRef="_GBC_57faea4e453e49ad93821b7dd6ce8bc4" unitRef="_GBC_cef77704267643d794145c73763360e5" addr="T1R7C11S1_1" formatStyle="Comma"/>
        <m:item xlName="_GBC_2ac04bd1a36341ecbcebbf43fdae8002" concept="clcid-pte:TongYiKongZhiXiaQiYeHeBingDaoZhiQiTaDeGuiShuYuMuGongSiSuoYouZheQuanYiBianDongJinE" label="同一控制下企业合并导致其他的归属于母公司所有者权益变动金额" periodRef="上年同期期初数" mulRef="_GBC_57faea4e453e49ad93821b7dd6ce8bc4" unitRef="_GBC_cef77704267643d794145c73763360e5" addr="T1R7C12S1_1" formatStyle="Comma"/>
        <m:item xlName="_GBC_b45f71f8602e40cd8070462096d1a8fd" concept="clcid-pte:TongYiKongZhiXiaQiYeHeBingDaoZhiGuiShuYuMuGongSiSuoYouZheQuanYiBianDongJinE" label="同一控制下企业合并导致归属于母公司所有者权益变动金额" periodRef="上年同期期初数" mulRef="_GBC_57faea4e453e49ad93821b7dd6ce8bc4" unitRef="_GBC_cef77704267643d794145c73763360e5" addr="T1R7C13S1_1" formatStyle="Comma"/>
        <m:item xlName="_GBC_f040cd7d785c4469b29e21805903a54f" concept="clcid-pte:TongYiKongZhiXiaQiYeHeBingDaoZhiShaoShuGuDongQuanYiBianDongJinE" label="同一控制下企业合并导致少数股东权益变动金额" periodRef="上年同期期初数" mulRef="_GBC_57faea4e453e49ad93821b7dd6ce8bc4" unitRef="_GBC_cef77704267643d794145c73763360e5" addr="T1R7C14S1_1" formatStyle="Comma"/>
        <m:item xlName="_GBC_11b2c29c46bb419086bbbc1815e45312" concept="clcid-pte:TongYiKongZhiXiaQiYeHeBingDaoZhiGuDongQuanYiHeJiBianDongJinE" label="同一控制下企业合并导致股东权益合计变动金额" periodRef="上年同期期初数" mulRef="_GBC_57faea4e453e49ad93821b7dd6ce8bc4" unitRef="_GBC_cef77704267643d794145c73763360e5" addr="T1R7C15S1_1" formatStyle="Comma"/>
        <m:placeholder xlName="_PLD_87118e97730e486dbbcc5e072b67665f" wordText="其他" indent="200" addr="T1R8C0S1_1"/>
        <m:item xlName="_GBC_20538a9c712240c983e30f50639f5ec8" concept="clcid-pte:QiTaZhuiSuTiaoZhengDaoZhiShiShouZiBenBianDongJinE" label="实收资本变动金额（其他追溯调整）" periodRef="上年同期期初数" mulRef="_GBC_57faea4e453e49ad93821b7dd6ce8bc4" unitRef="_GBC_cef77704267643d794145c73763360e5" addr="T1R8C1S1_1" formatStyle="Comma"/>
        <m:item xlName="_GBC_02dc66cdaff44058a1951cdcfe8d8de0" concept="clcid-pte:YouXianGuBianDongJinEQiTaZhuiSuDiaoZheng" label="优先股变动金额（其他追溯调整）" periodRef="上年同期期初数" mulRef="_GBC_57faea4e453e49ad93821b7dd6ce8bc4" unitRef="_GBC_cef77704267643d794145c73763360e5" addr="T1R8C2S1_1" formatStyle="Comma"/>
        <m:item xlName="_GBC_0b6206bdbda44fba8bd9398a4f4527c1" concept="clcid-pte:YongXuZhaiBianDongJinEQiTaZhuiSuDiaoZheng" label="永续债变动金额（其他追溯调整）" periodRef="上年同期期初数" mulRef="_GBC_57faea4e453e49ad93821b7dd6ce8bc4" unitRef="_GBC_cef77704267643d794145c73763360e5" addr="T1R8C3S1_1" formatStyle="Comma"/>
        <m:item xlName="_GBC_b5bf697bac504def9c26f8ff65fa7391" concept="clcid-pte:QiTaQuanYiGongJuZhongDeQiTaBianDongJinEQiTaZhuiSuDiaoZheng" label="其他权益工具中的其他变动金额（其他追溯调整）" periodRef="上年同期期初数" mulRef="_GBC_57faea4e453e49ad93821b7dd6ce8bc4" unitRef="_GBC_cef77704267643d794145c73763360e5" addr="T1R8C4S1_1" formatStyle="Comma"/>
        <m:item xlName="_GBC_50383c62ee7048a6a302cbb560d030b3" concept="clcid-pte:QiTaZhuiSuTiaoZhengDaoZhiZiBenGongJiBianDongJinE" label="资本公积变动金额（其他追溯调整）" periodRef="上年同期期初数" mulRef="_GBC_57faea4e453e49ad93821b7dd6ce8bc4" unitRef="_GBC_cef77704267643d794145c73763360e5" addr="T1R8C5S1_1" formatStyle="Comma"/>
        <m:item xlName="_GBC_6234cc73c37f4a8d8ecbc76eeca00723" concept="clcid-pte:QiTaZhuiSuTiaoZhengDaoZhiKuCunGuBianDongJinE" label="库存股变动金额（其他追溯调整）" periodRef="上年同期期初数" mulRef="_GBC_57faea4e453e49ad93821b7dd6ce8bc4" unitRef="_GBC_cef77704267643d794145c73763360e5" addr="T1R8C6S1_1" baseScale="-1" formatStyle="Comma"/>
        <m:item xlName="_GBC_a20dc66ccb474cfea444f14c080543b9" concept="clcid-pte:QiTaZongHeShouYiBianDongJinEQiTaZhuiSuDiaoZheng" label="其他综合收益变动金额（其他追溯调整）" periodRef="上年同期期初数" mulRef="_GBC_57faea4e453e49ad93821b7dd6ce8bc4" unitRef="_GBC_cef77704267643d794145c73763360e5" addr="T1R8C7S1_1" formatStyle="Comma"/>
        <m:item xlName="_GBC_2683713a5d974a86865c7f301d2cc93e" concept="clcid-pte:QiTaZhuiSuTiaoZhengDaoZhiZhuanXiangChuBeiBianDongJinE" label="专项储备变动金额（其他追溯调整）" periodRef="上年同期期初数" mulRef="_GBC_57faea4e453e49ad93821b7dd6ce8bc4" unitRef="_GBC_cef77704267643d794145c73763360e5" addr="T1R8C8S1_1" formatStyle="Comma"/>
        <m:item xlName="_GBC_9d77ac6f539d468fb064f49c75ced935" concept="clcid-pte:QiTaZhuiSuTiaoZhengDaoZhiYingYuGongJiBianDongJinE" label="盈余公积变动金额（其他追溯调整）" periodRef="上年同期期初数" mulRef="_GBC_57faea4e453e49ad93821b7dd6ce8bc4" unitRef="_GBC_cef77704267643d794145c73763360e5" addr="T1R8C9S1_1" formatStyle="Comma"/>
        <m:item xlName="_GBC_523805662d15403ba6cae1dfe49ccad4" concept="clcid-pte:QiTaZhuiSuTiaoZhengDaoZhiYiBanFengXianZhunBeiBianDongJinE" label="一般风险准备变动金额（其他追溯调整）" periodRef="上年同期期初数" mulRef="_GBC_57faea4e453e49ad93821b7dd6ce8bc4" unitRef="_GBC_cef77704267643d794145c73763360e5" addr="T1R8C10S1_1" formatStyle="Comma"/>
        <m:item xlName="_GBC_7241d5b3eeab4fdeb3ed56214313b50d" concept="clcid-pte:QiTaZhuiSuTiaoZhengDaoZhiWeiFenPeiLiRunBianDongJinE" label="未分配利润变动金额（其他追溯调整）" periodRef="上年同期期初数" mulRef="_GBC_57faea4e453e49ad93821b7dd6ce8bc4" unitRef="_GBC_cef77704267643d794145c73763360e5" addr="T1R8C11S1_1" formatStyle="Comma"/>
        <m:item xlName="_GBC_16d94b3bade24b20998b869c69dc6d51" concept="clcid-pte:QiTaZhuiSuTiaoZhengDaoZhiQiTaGuiShuYuMuGongSiSuoYouZheQuanYiBianDongJinE" label="其他归属于母公司所有者权益变动金额（其他追溯调整）" periodRef="上年同期期初数" mulRef="_GBC_57faea4e453e49ad93821b7dd6ce8bc4" unitRef="_GBC_cef77704267643d794145c73763360e5" addr="T1R8C12S1_1" formatStyle="Comma"/>
        <m:item xlName="_GBC_8c951bcb3ca14ead9292b54e5465c61b" concept="clcid-pte:QiTaZhuiSuTiaoZhengDaoZhiGuiShuYuMuGongSiSuoYouZheQuanYiBianDongJinE" label="归属于母公司所有者权益变动金额（其他追溯调整）" periodRef="上年同期期初数" mulRef="_GBC_57faea4e453e49ad93821b7dd6ce8bc4" unitRef="_GBC_cef77704267643d794145c73763360e5" addr="T1R8C13S1_1" formatStyle="Comma"/>
        <m:item xlName="_GBC_6682b5e82bf4400e8bd428b55c43003c" concept="clcid-pte:QiTaZhuiSuTiaoZhengDaoZhiShaoShuGuDongQuanYiBianDongJinE" label="少数股东权益变动金额（其他追溯调整）" periodRef="上年同期期初数" mulRef="_GBC_57faea4e453e49ad93821b7dd6ce8bc4" unitRef="_GBC_cef77704267643d794145c73763360e5" addr="T1R8C14S1_1" formatStyle="Comma"/>
        <m:item xlName="_GBC_485b46324fb44b18842afbc8b03abd2a" concept="clcid-pte:QiTaZhuiSuTiaoZhengDaoZhiGuDongQuanYiBianDongJinE" label="股东权益变动金额（其他追溯调整）" periodRef="上年同期期初数" mulRef="_GBC_57faea4e453e49ad93821b7dd6ce8bc4" unitRef="_GBC_cef77704267643d794145c73763360e5" addr="T1R8C15S1_1" formatStyle="Comma"/>
        <m:placeholder xlName="_PLD_b579c38070f04b86951daea3037af89c" wordText="二、本年期初余额" addr="T1R9C0S1_1"/>
        <m:item xlName="_GBC_463429ab366c4a0faabd8fd5c4eeb15c" concept="clcid-pte:GuBen" label="股本" periodRef="上年同期期初数" mulRef="_GBC_57faea4e453e49ad93821b7dd6ce8bc4" unitRef="_GBC_cef77704267643d794145c73763360e5" addr="T1R9C1S1_1" formatStyle="Comma">
          <m:complexRule comparator="Eq" title="股本@上年同期期初数" test=" $_GBC_03c5cfb554bf41ab890acf4e1d52232e +  $_GBC_cbb6c5b6139b4c23b673a773aef5d91c +  $_GBC_6402bc2dd768467faf3248711fd5706f +  $_GBC_486359ba0ae94a4698a9587c7d800d44 +  $_GBC_20538a9c712240c983e30f50639f5ec8" id="Cacadd4b996484f79a10f40a11121cd54" radius="0.0001"/>
        </m:item>
        <m:item xlName="_GBC_0fd8b540968644f4948b0a43dcc1580f" concept="clcid-pte:QiTaQuanYiGongJuQiZhongYouXianGu" label="其他权益工具-其中：优先股" periodRef="上年同期期初数" mulRef="_GBC_57faea4e453e49ad93821b7dd6ce8bc4" unitRef="_GBC_cef77704267643d794145c73763360e5" addr="T1R9C2S1_1" formatStyle="Comma">
          <m:complexRule comparator="Eq" title="其他权益工具-其中：优先股@上年同期期初数" test=" $_GBC_96fc1ba8ea3a43e0a868ac1b8a617ed1 +  $_GBC_cdea65499cbb4e5399d7a632d5348341 +  $_GBC_533c60ff0b7b49ad9c774e7aef07c6a6 +  $_GBC_0bf182acc8d1400384be3e307589f6ee +  $_GBC_02dc66cdaff44058a1951cdcfe8d8de0" id="C3ecf1ea3f36a4b19964c431ce5c3f6b7"/>
        </m:item>
        <m:item xlName="_GBC_8f96f4b9e9d5432b84f3d53bd2fbdaba" concept="clcid-pte:QiTaQuanYiGongJuYongXuZhai" label="其他权益工具-永续债" periodRef="上年同期期初数" mulRef="_GBC_57faea4e453e49ad93821b7dd6ce8bc4" unitRef="_GBC_cef77704267643d794145c73763360e5" addr="T1R9C3S1_1" formatStyle="Comma">
          <m:complexRule comparator="Eq" title="其他权益工具-永续债@上年同期期初数" test=" $_GBC_7eea436044ae46509888c4f305d57b25 +  $_GBC_0b4f15e6cd8f4253af247f98bc944f52 +  $_GBC_2a592b212be749069542cdc7652b647b +  $_GBC_b99c34bdf92c410a9b8b56fc1b38d0c5 +  $_GBC_0b6206bdbda44fba8bd9398a4f4527c1" id="Cbeb1deb87986402f8bc40b3775c7a656"/>
        </m:item>
        <m:item xlName="_GBC_6163291996f64057b05ad30337ffe9e0" concept="clcid-pte:QiTaQuanYiGongJuQiTa" label="其他权益工具-其他" periodRef="上年同期期初数" mulRef="_GBC_57faea4e453e49ad93821b7dd6ce8bc4" unitRef="_GBC_cef77704267643d794145c73763360e5" addr="T1R9C4S1_1" formatStyle="Comma">
          <m:complexRule comparator="Eq" title="其他权益工具-其他@上年同期期初数" test=" $_GBC_e85d38b585c44491bd3c9c9523ae5370 +  $_GBC_6647706ce50e46e6b20b1cc64cbba3ef +  $_GBC_842b17944268496e8dda5a1ea12e0ce8 +  $_GBC_9230aa338cb546a6abb57e34eab9fef3 +  $_GBC_b5bf697bac504def9c26f8ff65fa7391" id="C69d30ee5dfb6420ca69ac691e1b294df"/>
        </m:item>
        <m:item xlName="_GBC_8ad228b791ff43f5ad1561d7ca684671" concept="clcid-pte:ZiBenGongJi" label="资本公积" periodRef="上年同期期初数" mulRef="_GBC_57faea4e453e49ad93821b7dd6ce8bc4" unitRef="_GBC_cef77704267643d794145c73763360e5" addr="T1R9C5S1_1" formatStyle="Comma">
          <m:complexRule comparator="Eq" title="资本公积@上年同期期初数" test=" $_GBC_dec44f60461549f3be1e73f4aeae5289 +  $_GBC_7c17c286d32e497cbd9726c4e2e214e0 +  $_GBC_90791c4411ec41f69a37b2001a11bcad +  $_GBC_cc7c6924ca1b480ea521f796d0d20e29 +  $_GBC_50383c62ee7048a6a302cbb560d030b3" id="C218dd0d2edea4141b5991a882e34d59a" radius="0.0001"/>
        </m:item>
        <m:item xlName="_GBC_9abb5ce9cbd9452986403063087da14c" concept="clcid-pte:KuCunGu" label="库存股" periodRef="上年同期期初数" mulRef="_GBC_57faea4e453e49ad93821b7dd6ce8bc4" unitRef="_GBC_cef77704267643d794145c73763360e5" addr="T1R9C6S1_1" baseScale="-1" formatStyle="Comma" keyCode="abs" keyAction="108">
          <m:complexRule comparator="Eq" title="库存股@上年同期期初数" test=" $_GBC_fe26a4f475f74c9fa0b068cd3869ae67 +  $_GBC_cf728a050d9d4295a2932ac26aee8087 +  $_GBC_4754e5884be8435887c09872ce6b032d +  $_GBC_9a40df19d8a54b24b4432e8f592117ef +  $_GBC_6234cc73c37f4a8d8ecbc76eeca00723" id="C72130a559c394f5ea371e437282caf23" radius="0.0001"/>
        </m:item>
        <m:item xlName="_GBC_717af8769d284587b4e0d85c55c54be4" concept="clcid-pte:QiTaZongHeShouYiZiChanFuZhaiBiaoXiangMu" label="其他综合收益（资产负债表项目）" periodRef="上年同期期初数" mulRef="_GBC_57faea4e453e49ad93821b7dd6ce8bc4" unitRef="_GBC_cef77704267643d794145c73763360e5" addr="T1R9C7S1_1" formatStyle="Comma">
          <m:complexRule comparator="Eq" title="其他综合收益（资产负债表项目）@上年同期期初数" test=" $_GBC_c4b282f6bdc44520a21dc165d784e9ca +  $_GBC_65a94a67a35749cea759f717d9ce1b59 +  $_GBC_afb904f12206429fb34ebb2b9b1e1fdf +  $_GBC_a20dc66ccb474cfea444f14c080543b9 +  $_GBC_026d0b2fc5c54d85967b579dc93d8f9f" id="Ca5abbf53a04a44a2af04950312e8bfc0"/>
        </m:item>
        <m:item xlName="_GBC_0dbc1d28380d4b48b03711d88ed56f1b" concept="clcid-pte:ZhuanXiangChuBei" label="专项储备" periodRef="上年同期期初数" mulRef="_GBC_57faea4e453e49ad93821b7dd6ce8bc4" unitRef="_GBC_cef77704267643d794145c73763360e5" addr="T1R9C8S1_1" formatStyle="Comma">
          <m:complexRule comparator="Eq" title="专项储备@上年同期期初数" test=" $_GBC_a56a795ea53340228687a85f4206f4b5 +  $_GBC_3cccbdce52d84ef48d7e82af0c52c4b3 +  $_GBC_2f4dfcaa5c024f02827b7cc0c9aba6a3 +  $_GBC_2b89303ec9ac4f428a2547b4d82cc692 +  $_GBC_2683713a5d974a86865c7f301d2cc93e" id="C56802032f03847ef9ae1e1a7b8fbb339" radius="0.0001"/>
        </m:item>
        <m:item xlName="_GBC_6931f14de9ae4e9db2c9b7f81f158218" concept="clcid-pte:YingYuGongJi" label="盈余公积" periodRef="上年同期期初数" mulRef="_GBC_57faea4e453e49ad93821b7dd6ce8bc4" unitRef="_GBC_cef77704267643d794145c73763360e5" addr="T1R9C9S1_1" formatStyle="Comma">
          <m:complexRule comparator="Eq" title="盈余公积@上年同期期初数" test=" $_GBC_664343ec5888483ea5cf6596a562f2f8 +  $_GBC_c7c6d6f1cd9c4cab8074673df314696b +  $_GBC_1f7c6ea4410349eaabc6ddcb3490cb0a +  $_GBC_170d9ab35326476781461bd5f796048a +  $_GBC_9d77ac6f539d468fb064f49c75ced935" id="C225e6835b0d44f15b00707521964718b" radius="0.0001"/>
        </m:item>
        <m:item xlName="_GBC_a4f1aa6de84044b6a6b3214765a7508e" concept="clcid-pte:YiBanFengXianZhunBei" label="一般风险准备" periodRef="上年同期期初数" mulRef="_GBC_57faea4e453e49ad93821b7dd6ce8bc4" unitRef="_GBC_cef77704267643d794145c73763360e5" addr="T1R9C10S1_1" formatStyle="Comma">
          <m:complexRule comparator="Eq" title="一般风险准备@上年同期期初数" test=" $_GBC_50708f74fb2445dcb118885acdf81d3e +  $_GBC_1da9a3d2800340f3b3824c574a73339f +  $_GBC_cf210726d28242a99ea33371c07fa423 +  $_GBC_4c9febb0b5df4907b3c43320e1f8608a +  $_GBC_523805662d15403ba6cae1dfe49ccad4" id="C03c8676aba364ecc8b63daadc24bc086" radius="0.0001"/>
        </m:item>
        <m:item xlName="_GBC_e78cfa47dbb84664a5ca613f752a1673" concept="clcid-pte:WeiFenPeiLiRun" label="未分配利润" periodRef="上年同期期初数" mulRef="_GBC_57faea4e453e49ad93821b7dd6ce8bc4" unitRef="_GBC_cef77704267643d794145c73763360e5" addr="T1R9C11S1_1" formatStyle="Comma">
          <m:complexRule comparator="Eq" title="未分配利润@上年同期期初数" test=" $_GBC_fe4c74b5dad143278ceb8e58654833c5 +  $_GBC_a7115342c53144f4a6953ca044b1d02e +  $_GBC_bd2e99f30ec24df1b9b66a8ce0288037 +  $_GBC_82614e12cd794973b9d4b0fb8334abec +  $_GBC_7241d5b3eeab4fdeb3ed56214313b50d" id="C2642b55a20c544059378e9f837771cee" radius="0.0001"/>
        </m:item>
        <m:item xlName="_GBC_be34bee636684ecba5f8a8345f1c13d8" concept="clcid-pte:QiTaDeGuiShuYuMuGongSiSuoYouZheQuanYi" label="其他的归属于母公司所有者权益" periodRef="上年同期期初数" mulRef="_GBC_57faea4e453e49ad93821b7dd6ce8bc4" unitRef="_GBC_cef77704267643d794145c73763360e5" addr="T1R9C12S1_1" formatStyle="Comma">
          <m:complexRule comparator="Eq" title="其他的归属于母公司所有者权益@上年同期期初数" test="$_GBC_4d671feae64b4b4ebc18f7ed23cefb37+$_GBC_282634407f63431b9649e7e871b4a468+$_GBC_44abafb4085045c9b4c917931d870be6+$_GBC_2ac04bd1a36341ecbcebbf43fdae8002+$_GBC_16d94b3bade24b20998b869c69dc6d51" id="C73b0eee979f944f8aef9e048395a605d"/>
        </m:item>
        <m:item xlName="_GBC_d37b2a094fd64c50b8c74275b2ea7c89" concept="clcid-pte:GuiShuYuMuGongSiSuoYouZheQuanYiHeJi" label="归属于母公司所有者权益合计" periodRef="上年同期期初数" mulRef="_GBC_57faea4e453e49ad93821b7dd6ce8bc4" unitRef="_GBC_cef77704267643d794145c73763360e5" addr="T1R9C13S1_1" formatStyle="Comma">
          <m:complexRule comparator="Eq" title="归属于母公司所有者权益合计@上年同期期初数" test="$_GBC_af5e3f40a72541b1bf4a041c5523ac96+$_GBC_63da0f51ec0d467e951154bd49806f3a+$_GBC_4ec12afb11c045f08907816731f7b68b+$_GBC_b45f71f8602e40cd8070462096d1a8fd+$_GBC_8c951bcb3ca14ead9292b54e5465c61b" id="C06ba9ba183434695bff0785a01479a4d"/>
        </m:item>
        <m:item xlName="_GBC_1cbab821d4a348188e555da7c3810735" concept="clcid-pte:ShaoShuGuDongQuanYi" label="少数股东权益" periodRef="上年同期期初数" mulRef="_GBC_57faea4e453e49ad93821b7dd6ce8bc4" unitRef="_GBC_cef77704267643d794145c73763360e5" addr="T1R9C14S1_1" formatStyle="Comma">
          <m:complexRule comparator="Eq" title="少数股东权益@上年同期期初数" test=" $_GBC_89ba5b10739d4ce3917108e88e495dd3 +  $_GBC_0538a95199c44a88989bf93b00e6c8af +  $_GBC_3072809418a749dd94b1d1e159a27064 +  $_GBC_f040cd7d785c4469b29e21805903a54f +  $_GBC_6682b5e82bf4400e8bd428b55c43003c" id="C1ac51bd18f764f409d3b9bbc4b277db8"/>
        </m:item>
        <m:item xlName="_GBC_b753d2879310430b85393d22ce74cca7" concept="clcid-pte:GuDongQuanYiHeJi" label="股东权益合计" periodRef="上年同期期初数" mulRef="_GBC_57faea4e453e49ad93821b7dd6ce8bc4" unitRef="_GBC_cef77704267643d794145c73763360e5" addr="T1R9C15S1_1" formatStyle="Comma">
          <m:complexRule comparator="Eq" title="股东权益合计@上年同期期初数" test=" $_GBC_f2c3f85fa9cd4305a289999283b486ee +  $_GBC_ec6669d1b002490880daab099a7ca507 +  $_GBC_19cb9b2d447644ec8c344aa0bd417c5d +  $_GBC_11b2c29c46bb419086bbbc1815e45312 +  $_GBC_485b46324fb44b18842afbc8b03abd2a" id="C01c517df19f44a95aceffdad39e09540"/>
        </m:item>
        <m:placeholder xlName="_PLD_186aec2424a047ee9af21797aa0ee0d8" wordText="三、本期增减变动金额（减少以“－”号填列）" addr="T1R10C0S1_1"/>
        <m:item xlName="_GBC_3ab306b1e7af486988948f50073e1e67" concept="clcid-pte:ShiShouZiBenHuoGuBenJingEZengJianBianDongJinE" label="实收资本（或股本）净额增减变动金额" periodRef="上年同期数" mulRef="_GBC_57faea4e453e49ad93821b7dd6ce8bc4" unitRef="_GBC_cef77704267643d794145c73763360e5" addr="T1R10C1S1_1" formatStyle="Comma">
          <m:complexRule comparator="Eq" title="实收资本（或股本）净额增减变动金额@上年同期数" test=" $_GBC_802c69e087664468a07e3b734b3e7330 +  $_GBC_a0579762ca92417caaf047cb2040bf0c +  $_GBC_8cff02e59f8948deb5ea81de506ed6dc +  $_GBC_430d37ec6126471183ece184d3516982 +  $_GBC_eab4d4a58623419d9efabdb8339f5e20 +  $_GBC_2676c42a988c46f6b5a9849d5eeef601" id="C53909bdf0b3141bebeae146fb585a9dc" radius="0.0001"/>
        </m:item>
        <m:item xlName="_GBC_a406be1c3baa4df6a5adc5e008b96345" concept="clcid-pte:QiTaQuanYiGongJuZhongDeYouXianGuZengJianBianDongJinE" label="其他权益工具中的优先股增减变动金额" periodRef="上年同期数" mulRef="_GBC_57faea4e453e49ad93821b7dd6ce8bc4" unitRef="_GBC_cef77704267643d794145c73763360e5" addr="T1R10C2S1_1" formatStyle="Comma">
          <m:complexRule comparator="Eq" title="其他权益工具中的优先股增减变动金额@上年同期数" test=" $_GBC_52eadeb19e3c441c8f85edab58469a44 +  $_GBC_952f29ff8a8f45f188783ccf48e71084 +  $_GBC_6dbdeadb2b3b4d9ba71df27224f26802 +  $_GBC_94fe73400621450cac12f08a1054f7d9 +  $_GBC_4b1c45a69ab94d19a6c532f02af9fd18 +  $_GBC_ae3ef5802f7446f0bcc22d4a78b16cd8" id="C520990ef75d14e8bb5dbbdbc1a4ecd3b"/>
        </m:item>
        <m:item xlName="_GBC_8e60ab9c28924845857bd1e82a8403e4" concept="clcid-pte:QiTaQuanYiGongJuZhongDeYongXuZhaiZengJianBianDongJinE" label="其他权益工具中的永续债增减变动金额" periodRef="上年同期数" mulRef="_GBC_57faea4e453e49ad93821b7dd6ce8bc4" unitRef="_GBC_cef77704267643d794145c73763360e5" addr="T1R10C3S1_1" formatStyle="Comma">
          <m:complexRule comparator="Eq" title="其他权益工具中的永续债增减变动金额@上年同期数" test=" $_GBC_3b9240c9c12f4c25855d092a5dee368b +  $_GBC_81ba35c21491471987f8073a505b252e +  $_GBC_44dce36183f44ecea2f0d5d0a3609d8f +  $_GBC_936c172f6a2644e29eef9fe3059a2874 +  $_GBC_d11afdb09ca14a31bc6beef23131529f +  $_GBC_c4e6b9f953a04e17ae3c32312cf2e1f7" id="C102f4f555d21473a8f12fac26a1e5c9f"/>
        </m:item>
        <m:item xlName="_GBC_dc6cc1a8b5fa4bf48da6ed469bff45b0" concept="clcid-pte:QiTaQuanYiGongJuZhongDeQiTaZengJianBianDongJinE" label="其他权益工具中的其他增减变动金额" periodRef="上年同期数" mulRef="_GBC_57faea4e453e49ad93821b7dd6ce8bc4" unitRef="_GBC_cef77704267643d794145c73763360e5" addr="T1R10C4S1_1" formatStyle="Comma">
          <m:complexRule comparator="Eq" title="其他权益工具中的其他增减变动金额@上年同期数" test=" $_GBC_acdac506a67e44d7a55f8fc0a02638f8 +  $_GBC_8d182ef8f62f44b1b7c0e0cadad7b881 +  $_GBC_f518f6f42b8a41bd81a235ebe8d92f16 +  $_GBC_c8e67d47d3ec4963a1d3e7865b30560f +  $_GBC_03e97aa6ea4a4b519ced030588aa471a +  $_GBC_27961524d7774e3f86ed7c4a22afb04a" id="C2727e6885de14f5d8bfbeb789d1440b1"/>
        </m:item>
        <m:item xlName="_GBC_8473cb7ae7f4427b8dd131df489fa36a" concept="clcid-pte:ZiBenGongJiZengJianBianDongJinE" label="资本公积增减变动金额" periodRef="上年同期数" mulRef="_GBC_57faea4e453e49ad93821b7dd6ce8bc4" unitRef="_GBC_cef77704267643d794145c73763360e5" addr="T1R10C5S1_1" formatStyle="Comma">
          <m:complexRule comparator="Eq" title="资本公积增减变动金额@上年同期数" test=" $_GBC_916928073d1d42609094dd23caca6bf8 +  $_GBC_806b3d8c93aa496eb49165610c3ab1ab +  $_GBC_7934e6fe9097456eba711b68c1b1d62a +  $_GBC_3ecde6efd34847ae98d6d9a11fcda816 +  $_GBC_123c502f45394be3933e710bc4539de6 +  $_GBC_c1db1f975a7c4e8faf299858942810aa" id="C072620ec64ff4869b3e67f8ebe36047b" radius="0.0001"/>
        </m:item>
        <m:item xlName="_GBC_7647911c99b747d2aa762d221138c9c4" concept="clcid-pte:KuCunGuZengJianBianDongJinE" label="库存股增减变动金额" periodRef="上年同期数" mulRef="_GBC_57faea4e453e49ad93821b7dd6ce8bc4" unitRef="_GBC_cef77704267643d794145c73763360e5" addr="T1R10C6S1_1" baseScale="-1" formatStyle="Comma">
          <m:complexRule comparator="Eq" title="库存股增减变动金额@上年同期数" test=" $_GBC_868ab14ce1df4dfe920b230da9d9c552 +  $_GBC_d92e4ed1fc8c4f2d9d7842540776c31e +  $_GBC_0cca19fbe18f458bbf003ea00b3d79e6 +  $_GBC_37d0d9ec3b4b4fa29f2ff16f15400d7e +  $_GBC_3b6659952c004368b0c7c6aff8663dfc +  $_GBC_81c186b80d8a44d2ad835db4dbde16cc" id="C77b824ccffcd47b7b5e7a8a2a530c0a9" radius="0.0001"/>
        </m:item>
        <m:item xlName="_GBC_54c2f06d10694c42b164f9f7c8c24c19" concept="clcid-pte:QiTaZongHeShouYiZengJianBianDongJinE" label="其他综合收益增减变动金额" periodRef="上年同期数" mulRef="_GBC_57faea4e453e49ad93821b7dd6ce8bc4" unitRef="_GBC_cef77704267643d794145c73763360e5" addr="T1R10C7S1_1" formatStyle="Comma">
          <m:complexRule comparator="Eq" title="其他综合收益增减变动金额@上年同期数" test=" $_GBC_e708d80e615845c6b5681de2185b0007 +  $_GBC_7804215cb69b4528966bc2b0a4f1814b +  $_GBC_4f4335680a2047c1899af03f368290a4 +  $_GBC_2e73d6ddb696406e96149c75c2c4fdda +  $_GBC_3d320060f9464615bead55bf1ca49dc4 +  $_GBC_c6a83ad34784471db367147a514c59e3" id="C99a3ae7b814f49dbb1f1f18a13920669"/>
        </m:item>
        <m:item xlName="_GBC_45c28bff7f2947e79a97e03816b44836" concept="clcid-pte:ZhuanXiangChuBeiZengJianBianDongJinE" label="专项储备增减变动金额" periodRef="上年同期数" mulRef="_GBC_57faea4e453e49ad93821b7dd6ce8bc4" unitRef="_GBC_cef77704267643d794145c73763360e5" addr="T1R10C8S1_1" formatStyle="Comma">
          <m:complexRule comparator="Eq" title="专项储备增减变动金额@上年同期数" test=" $_GBC_667e0af20faa4c74aba487c313fbf9e0 +  $_GBC_23e3d55860aa479bb06d190d1039eec0 +  $_GBC_5a43adf18f00498987cde669cf8d0c01 +  $_GBC_4ce5335277bd4d48a9d69ac5be9eebb0 +  $_GBC_95b00eb2bffd4944863b929b1b9f8b23 +  $_GBC_33324cdf575543d6987aa6f520f8714d" id="Cec021baa7d0d48688294ac0d3ea41a3a"/>
        </m:item>
        <m:item xlName="_GBC_5282e64d76064ff496bef9da7ba3cb38" concept="clcid-pte:YingYuGongJiZengJianBianDongJinE" label="盈余公积增减变动金额" periodRef="上年同期数" mulRef="_GBC_57faea4e453e49ad93821b7dd6ce8bc4" unitRef="_GBC_cef77704267643d794145c73763360e5" addr="T1R10C9S1_1" formatStyle="Comma">
          <m:complexRule comparator="Eq" title="盈余公积增减变动金额@上年同期数" test=" $_GBC_e27e9253381a44ada9c7782ab31d8907 +  $_GBC_24e1bb854a804ff1ba371eea8001ce3f +  $_GBC_735a55d211944938a2d263ddf68e530f +  $_GBC_c2fec544370340428694cbc22c7cee29 +  $_GBC_81aee495f58648c79fb2c06c1a8294b9 +  $_GBC_48beb7d2645f4bd8b828e39d20d114f7" id="C478fb58a135a41f3b60570b11f757248"/>
        </m:item>
        <m:item xlName="_GBC_aff81b712af942d1950df7bfb16184b1" concept="clcid-pte:YiBanFengXianZhunBeiZengJianBianDongJinE" label="一般风险准备增减变动金额" periodRef="上年同期数" mulRef="_GBC_57faea4e453e49ad93821b7dd6ce8bc4" unitRef="_GBC_cef77704267643d794145c73763360e5" addr="T1R10C10S1_1" formatStyle="Comma">
          <m:complexRule comparator="Eq" title="一般风险准备增减变动金额@上年同期数" test=" $_GBC_0359fcb6ac69444e8b71676cd2d2ff7f +  $_GBC_88201ca3f86140e49229a500777e62bc +  $_GBC_72931f17a7d1410882c66f7378bd2446 +  $_GBC_dfb42f2cfbb24873a0bfcf16281ed0db +  $_GBC_610d4f46b18b4115b1e7a898ab90bab2 +  $_GBC_022de88bf39d4c298dac658baa6860ba" id="C1734a8fe476c4e7dad6407937d6fc708"/>
        </m:item>
        <m:item xlName="_GBC_9b887145f03844beb15e2690e45ded4b" concept="clcid-pte:WeiFenPeiLiRunZengJianBianDongJinE" label="未分配利润增减变动金额" periodRef="上年同期数" mulRef="_GBC_57faea4e453e49ad93821b7dd6ce8bc4" unitRef="_GBC_cef77704267643d794145c73763360e5" addr="T1R10C11S1_1" formatStyle="Comma">
          <m:complexRule comparator="Eq" title="未分配利润增减变动金额@上年同期数" test=" $_GBC_174d255cf893431d87e2889c0ad5199f +  $_GBC_7ae77f219bd14664912830fece3defdf +  $_GBC_c6a210c669454df998a35bf4f4f9e735 +  $_GBC_ff8d4bcf07cf45b39cc669b82cad2f0d +  $_GBC_c987802dfc49480c807d397d5ace6d36 +  $_GBC_6ad7a628fd4a40f9a5c166bea7190b07" id="C5747f1d8763745d18be3b5309eb42dcd"/>
        </m:item>
        <m:item xlName="_GBC_721ced58af704b468077b49a45594ec0" concept="clcid-pte:QiTaDeGuiShuYuMuGongSiSuoYouZheQuanYiZengJianBianDongJinE" label="其他的归属于母公司所有者权益增减变动金额" periodRef="上年同期数" mulRef="_GBC_57faea4e453e49ad93821b7dd6ce8bc4" unitRef="_GBC_cef77704267643d794145c73763360e5" addr="T1R10C12S1_1" formatStyle="Comma">
          <m:complexRule comparator="Eq" title="其他的归属于母公司所有者权益增减变动金额@上年同期数" test=" $_GBC_f60eee346d6f4fe399814f9f840b7fb0 +  $_GBC_15bd914be84d464fb951582665b9d15a +  $_GBC_1f6c9e24eb314f7e845a2e9c6d5bbc88 +  $_GBC_0d008b73933a467cbd8659c4f5bd8043 +  $_GBC_c392cb7d6a93438795a5eb0adc871ed1 +  $_GBC_9146dc7852714f72859555c3a917811f" id="C889fc7ff749b4b81abc0d03402ac30b3"/>
        </m:item>
        <m:item xlName="_GBC_519747a00c6949a5bcc152eacbd03ac1" concept="clcid-pte:GuiShuYuMuGongSiSuoYouZheQuanYiZengJianBianDongJinE" label="归属于母公司所有者权益增减变动金额" periodRef="上年同期数" mulRef="_GBC_57faea4e453e49ad93821b7dd6ce8bc4" unitRef="_GBC_cef77704267643d794145c73763360e5" addr="T1R10C13S1_1" formatStyle="Comma">
          <m:complexRule comparator="Eq" title="归属于母公司所有者权益变动金额小计变动金额@上年同期数" test=" $_GBC_5ab6ff086fc54fad97be75e70fc3b662 +  $_GBC_882b6062a2a2475382acd8f785ad87f1 +  $_GBC_eef9846c4eb04edf9eec851ff3c8faa6 +  $_GBC_e71b72f9ef7d428a8dea9bcc77266085 +  $_GBC_fb7838c03552463eab0b3449e1123883 +  $_GBC_04961ef429474a9fb1c50cbe4d5f0f11" id="C0f038884a326499cb53793f83ebf32d8"/>
        </m:item>
        <m:item xlName="_GBC_380e1cfcc313459cae08cf7858170444" concept="clcid-pte:ShaoShuGuDongQuanYiZengJianBianDongJinE" label="少数股东权益增减变动金额" periodRef="上年同期数" mulRef="_GBC_57faea4e453e49ad93821b7dd6ce8bc4" unitRef="_GBC_cef77704267643d794145c73763360e5" addr="T1R10C14S1_1" formatStyle="Comma">
          <m:complexRule comparator="Eq" title="少数股东权益增减变动金额@上年同期数" test=" $_GBC_2b02821ed4154232b4102fd750268034 +  $_GBC_282d8d3d7ee243d59e5e3cc078d12bbf +  $_GBC_de1cf52aca904f13915a874a5b459013 +  $_GBC_ef98f3a8249e4a3897bb7f985d3f116f +  $_GBC_7b23cace12da44a69d75927ba5396346 +  $_GBC_7cca13db814d4298b7018c7e2dd9bc51" id="Cf367d758f8e0442aa2e4d71acce864be"/>
        </m:item>
        <m:item xlName="_GBC_7d38c3e4015b4306aa517461216f709f" concept="clcid-pte:GuDongQuanYiHeJiZengJianBianDongJinE" label="股东权益合计增减变动金额" periodRef="上年同期数" mulRef="_GBC_57faea4e453e49ad93821b7dd6ce8bc4" unitRef="_GBC_cef77704267643d794145c73763360e5" addr="T1R10C15S1_1" formatStyle="Comma">
          <m:complexRule comparator="Eq" title="股东权益合计增减变动金额@上年同期数" test=" $_GBC_e8d4f2f1d8884f1397ed576255c946d1 +  $_GBC_ec91a07899f34b3ea8f5859f0fce58c1 +  $_GBC_e9f3261b89304a5aa6fae80844a60013 +  $_GBC_947043cecdef4ed68860f917d334d9da +  $_GBC_1bb139523e184a629609d6d98aa70be7 +  $_GBC_c9027bfcd66641318c72f7e7633b96c5" id="Cbf43683071444fea9cfa42c26b62b5fc"/>
        </m:item>
        <m:placeholder xlName="_PLD_17bf1a1d144b41e18dbd63758cccc7b5" wordText="（一）综合收益总额" addr="T1R11C0S1_1"/>
        <m:item xlName="_GBC_802c69e087664468a07e3b734b3e7330" concept="clcid-pte:ZongHeShouYiZongEDaoZhiGuBenBianDongJinE" label="综合收益总额导致股本变动金额" periodRef="上年同期数" mulRef="_GBC_57faea4e453e49ad93821b7dd6ce8bc4" unitRef="_GBC_cef77704267643d794145c73763360e5" addr="T1R11C1S1_1" formatStyle="Comma"/>
        <m:item xlName="_GBC_52eadeb19e3c441c8f85edab58469a44" concept="clcid-pte:ZongHeShouYiZongEDaoZhiYouXianGuBianDongJinE" label="综合收益总额导致优先股变动金额" periodRef="上年同期数" mulRef="_GBC_57faea4e453e49ad93821b7dd6ce8bc4" unitRef="_GBC_cef77704267643d794145c73763360e5" addr="T1R11C2S1_1" formatStyle="Comma"/>
        <m:item xlName="_GBC_3b9240c9c12f4c25855d092a5dee368b" concept="clcid-pte:ZongHeShouYiZongEDaoZhiYongXuZhaiBianDongJinE" label="综合收益总额导致永续债变动金额" periodRef="上年同期数" mulRef="_GBC_57faea4e453e49ad93821b7dd6ce8bc4" unitRef="_GBC_cef77704267643d794145c73763360e5" addr="T1R11C3S1_1" formatStyle="Comma"/>
        <m:item xlName="_GBC_acdac506a67e44d7a55f8fc0a02638f8" concept="clcid-pte:ZongHeShouYiZongEDaoZhiQiTaQuanYiGongJuZhongDeQiTaBianDongJinE" label="综合收益总额导致其他权益工具中的其他变动金额" periodRef="上年同期数" mulRef="_GBC_57faea4e453e49ad93821b7dd6ce8bc4" unitRef="_GBC_cef77704267643d794145c73763360e5" addr="T1R11C4S1_1" formatStyle="Comma"/>
        <m:item xlName="_GBC_916928073d1d42609094dd23caca6bf8" concept="clcid-pte:ZongHeShouYiZongEDaoZhiZiBenGongJiBianDongJinE" label="综合收益总额导致资本公积变动金额" periodRef="上年同期数" mulRef="_GBC_57faea4e453e49ad93821b7dd6ce8bc4" unitRef="_GBC_cef77704267643d794145c73763360e5" addr="T1R11C5S1_1" formatStyle="Comma"/>
        <m:item xlName="_GBC_868ab14ce1df4dfe920b230da9d9c552" concept="clcid-pte:ZongHeShouYiZongEDaoZhiKuCunGuBianDongJinE" label="综合收益总额导致库存股变动金额" periodRef="上年同期数" mulRef="_GBC_57faea4e453e49ad93821b7dd6ce8bc4" unitRef="_GBC_cef77704267643d794145c73763360e5" addr="T1R11C6S1_1" baseScale="-1" formatStyle="Comma"/>
        <m:item xlName="_GBC_e708d80e615845c6b5681de2185b0007" concept="clcid-pte:ZongHeShouYiZongEDaoZhiQiTaZongHeShouYiBianDongJinE" label="综合收益总额导致其他综合收益变动金额" periodRef="上年同期数" mulRef="_GBC_57faea4e453e49ad93821b7dd6ce8bc4" unitRef="_GBC_cef77704267643d794145c73763360e5" addr="T1R11C7S1_1" formatStyle="Comma"/>
        <m:item xlName="_GBC_667e0af20faa4c74aba487c313fbf9e0" concept="clcid-pte:ZongHeShouYiZongEDaoZhiZhuanXiangChuBeiBianDongJinE" label="综合收益总额导致专项储备变动金额" periodRef="上年同期数" mulRef="_GBC_57faea4e453e49ad93821b7dd6ce8bc4" unitRef="_GBC_cef77704267643d794145c73763360e5" addr="T1R11C8S1_1" formatStyle="Comma"/>
        <m:item xlName="_GBC_e27e9253381a44ada9c7782ab31d8907" concept="clcid-pte:ZongHeShouYiZongEDaoZhiYingYuGongJiBianDongJinE" label="综合收益总额导致盈余公积变动金额" periodRef="上年同期数" mulRef="_GBC_57faea4e453e49ad93821b7dd6ce8bc4" unitRef="_GBC_cef77704267643d794145c73763360e5" addr="T1R11C9S1_1" formatStyle="Comma"/>
        <m:item xlName="_GBC_0359fcb6ac69444e8b71676cd2d2ff7f" concept="clcid-pte:ZongHeShouYiZongEDaoZhiYiBanFengXianZhunBeiBianDongJinE" label="综合收益总额导致一般风险准备变动金额" periodRef="上年同期数" mulRef="_GBC_57faea4e453e49ad93821b7dd6ce8bc4" unitRef="_GBC_cef77704267643d794145c73763360e5" addr="T1R11C10S1_1" formatStyle="Comma"/>
        <m:item xlName="_GBC_174d255cf893431d87e2889c0ad5199f" concept="clcid-pte:ZongHeShouYiZongEDaoZhiWeiFenPeiLiRunBianDongJinE" label="综合收益总额导致未分配利润变动金额" periodRef="上年同期数" mulRef="_GBC_57faea4e453e49ad93821b7dd6ce8bc4" unitRef="_GBC_cef77704267643d794145c73763360e5" addr="T1R11C11S1_1" formatStyle="Comma"/>
        <m:item xlName="_GBC_f60eee346d6f4fe399814f9f840b7fb0" concept="clcid-pte:ZongHeShouYiZongEDaoZhiQiTaDeGuiShuYuMuGongSiSuoYouZheQuanYiBianDongJinE" label="综合收益总额导致其他的归属于母公司所有者权益变动金额" periodRef="上年同期数" mulRef="_GBC_57faea4e453e49ad93821b7dd6ce8bc4" unitRef="_GBC_cef77704267643d794145c73763360e5" addr="T1R11C12S1_1" formatStyle="Comma"/>
        <m:item xlName="_GBC_5ab6ff086fc54fad97be75e70fc3b662" concept="clcid-pte:ZongHeShouYiZongEDaoZhiGuiShuYuMuGongSiSuoYouZheQuanYiBianDongJinE" label="综合收益总额导致归属于母公司所有者权益变动金额" periodRef="上年同期数" mulRef="_GBC_57faea4e453e49ad93821b7dd6ce8bc4" unitRef="_GBC_cef77704267643d794145c73763360e5" addr="T1R11C13S1_1" formatStyle="Comma"/>
        <m:item xlName="_GBC_2b02821ed4154232b4102fd750268034" concept="clcid-pte:ZongHeShouYiZongEDaoZhiShaoShuGuDongQuanYiBianDongJinE" label="综合收益总额导致少数股东权益变动金额" periodRef="上年同期数" mulRef="_GBC_57faea4e453e49ad93821b7dd6ce8bc4" unitRef="_GBC_cef77704267643d794145c73763360e5" addr="T1R11C14S1_1" formatStyle="Comma"/>
        <m:item xlName="_GBC_e8d4f2f1d8884f1397ed576255c946d1" concept="clcid-pte:ZongHeShouYiZongEDaoZhiGuDongQuanYiHeJiBianDongJinE" label="综合收益总额导致股东权益合计变动金额" periodRef="上年同期数" mulRef="_GBC_57faea4e453e49ad93821b7dd6ce8bc4" unitRef="_GBC_cef77704267643d794145c73763360e5" addr="T1R11C15S1_1" formatStyle="Comma"/>
        <m:placeholder xlName="_PLD_d55056423dbf4ac187d64bd43c03aca3" wordText="（二）所有者投入和减少资本" addr="T1R12C0S1_1"/>
        <m:item xlName="_GBC_a0579762ca92417caaf047cb2040bf0c" concept="clcid-pte:SuoYouZheTouRuHeJianShaoZiBenDaoZhiShiShouZiBenHuoGuBenJingEBianDongJinE" label="所有者投入和减少资本导致实收资本（或股本）净额变动金额" periodRef="上年同期数" mulRef="_GBC_57faea4e453e49ad93821b7dd6ce8bc4" unitRef="_GBC_cef77704267643d794145c73763360e5" addr="T1R12C1S1_1" formatStyle="Comma">
          <m:complexRule comparator="Eq" title="所有者投入和减少资本导致实收资本（或股本）净额变动金额@上年同期数" test=" $_GBC_ca6baab852ec4f198275214ba965c0f4 +  $_GBC_9108465a1b5c489fb37638632dcb0e0a +  $_GBC_f84d332240dc4b248a21eb60465f98c5 +  $_GBC_fbc723d0530841df9ca8a4f88b1baeb0" id="C5313d956f0c849dc9ffcdf8cc1fcb399" radius="0.0001"/>
        </m:item>
        <m:item xlName="_GBC_952f29ff8a8f45f188783ccf48e71084" concept="clcid-pte:SuoYouZheTouRuHeJianShaoZiBenDaoZhiQiTaQuanYiGongJuZhongDeYouXianGuBianDongJinE" label="所有者投入和减少资本导致其他权益工具中的优先股变动金额" periodRef="上年同期数" mulRef="_GBC_57faea4e453e49ad93821b7dd6ce8bc4" unitRef="_GBC_cef77704267643d794145c73763360e5" addr="T1R12C2S1_1" formatStyle="Comma">
          <m:complexRule comparator="Eq" title="所有者投入和减少资本导致其他权益工具中的优先股变动金额@上年同期数" test=" $_GBC_8afc9aa7f29649c8868107ef25af0d4b +  $_GBC_975f950347ee48ea8b534f2e5e94c9f1 +  $_GBC_2e06268a72434e7fada026cbb548fdaf +  $_GBC_c525c90052b244aaa5ca4ca778e04e2d" id="Cad7ead0a6e9f44339f1f17fdcf3ffbbf"/>
        </m:item>
        <m:item xlName="_GBC_81ba35c21491471987f8073a505b252e" concept="clcid-pte:SuoYouZheTouRuHeJianShaoZiBenDaoZhiQiTaQuanYiGongJuZhongDeYongXuZhaiBianDongJinE" label="所有者投入和减少资本导致其他权益工具中的永续债变动金额" periodRef="上年同期数" mulRef="_GBC_57faea4e453e49ad93821b7dd6ce8bc4" unitRef="_GBC_cef77704267643d794145c73763360e5" addr="T1R12C3S1_1" formatStyle="Comma">
          <m:complexRule comparator="Eq" title="所有者投入和减少资本导致其他权益工具中的永续债变动金额@上年同期数" test=" $_GBC_94969bd82e17487ab14f291bf17d5e40 +  $_GBC_824eaa6a19484117a66319b1cf14da52 +  $_GBC_a29d30d951394af4ad76a0535f339db1 +  $_GBC_89e8c27f0aa74d0e89c363a46fae7fd5" id="C90161a0e8be941d69e9339d576ecdc5b"/>
        </m:item>
        <m:item xlName="_GBC_8d182ef8f62f44b1b7c0e0cadad7b881" concept="clcid-pte:SuoYouZheTouRuHeJianShaoZiBenDaoZhiQiTaQuanYiGongJuZhongDeQiTaBianDongJinE" label="所有者投入和减少资本导致其他权益工具中的其他变动金额" periodRef="上年同期数" mulRef="_GBC_57faea4e453e49ad93821b7dd6ce8bc4" unitRef="_GBC_cef77704267643d794145c73763360e5" addr="T1R12C4S1_1" formatStyle="Comma">
          <m:complexRule comparator="Eq" title="所有者投入和减少资本导致其他权益工具中的其他变动金额@上年同期数" test=" $_GBC_bc24f4297f4a46ee85ddec50283e4c6f +  $_GBC_26dd46f784024ab2ac0221ec77e913a3 +  $_GBC_156fd6cf4b5c4786a15282f618c22e3d +  $_GBC_539d07c2c60a426a83b28573097b9381" id="C4b925acd6f34494ca5c388225b4141a9"/>
        </m:item>
        <m:item xlName="_GBC_806b3d8c93aa496eb49165610c3ab1ab" concept="clcid-pte:SuoYouZheTouRuHeJianShaoZiBenDaoZhiZiBenGongJiBianDongJinE" label="所有者投入和减少资本导致资本公积变动金额" periodRef="上年同期数" mulRef="_GBC_57faea4e453e49ad93821b7dd6ce8bc4" unitRef="_GBC_cef77704267643d794145c73763360e5" addr="T1R12C5S1_1" formatStyle="Comma">
          <m:complexRule comparator="Eq" title="所有者投入和减少资本导致资本公积变动金额@上年同期数" test=" $_GBC_9459eec2dc6740c59c791f59ba7d2f84 +  $_GBC_68f75ab59c6a4a0498b32628014823e1 +  $_GBC_9103c2ed730542e6b478c1333f235d44 +  $_GBC_83789e7fdefc4741bcd6c60fecebd0af" id="Cb61bd8aa3be04f1fa1e5d251f5fb79c8" radius="0.0001"/>
        </m:item>
        <m:item xlName="_GBC_d92e4ed1fc8c4f2d9d7842540776c31e" concept="clcid-pte:SuoYouZheTouRuHeJianShaoZiBenDaoZhiKuCunGuBianDongJinE" label="所有者投入和减少资本导致库存股变动金额" periodRef="上年同期数" mulRef="_GBC_57faea4e453e49ad93821b7dd6ce8bc4" unitRef="_GBC_cef77704267643d794145c73763360e5" addr="T1R12C6S1_1" baseScale="-1" formatStyle="Comma">
          <m:complexRule comparator="Eq" title="所有者投入和减少资本导致库存股变动金额@上年同期数" test=" $_GBC_0ee7cd7ac85642a8a1e5034f252ca9d2 +  $_GBC_bd6b57d04ee14a2ea1cc5a28549ffb93 +  $_GBC_63eefd0ca94b4e3a8e63e7a0a7cba44a +  $_GBC_333683fa00cd46b4b379e9866e44f2d2" id="C1b3fd37c07944c92b538005cb34db0a9" radius="0.0001"/>
        </m:item>
        <m:item xlName="_GBC_7804215cb69b4528966bc2b0a4f1814b" concept="clcid-pte:SuoYouZheTouRuHeJianShaoZiBenDaoZhiQiTaZongHeShouYiBianDongJinE" label="所有者投入和减少资本导致其他综合收益变动金额" periodRef="上年同期数" mulRef="_GBC_57faea4e453e49ad93821b7dd6ce8bc4" unitRef="_GBC_cef77704267643d794145c73763360e5" addr="T1R12C7S1_1" formatStyle="Comma">
          <m:complexRule comparator="Eq" title="所有者投入和减少资本导致其他综合收益变动金额@上年同期数" test=" $_GBC_920ee0a2c0d3493a85e149c9fd9b2de7 +  $_GBC_ef0f45029ee043fcb43641dffe988a62 +  $_GBC_6627c5b24e7f4ef98d6dbb5ef0bfdc91 +  $_GBC_12c8ed4b4b454e498a4f135204a8821f" id="Cf79293c7ba0c4f288a9adde1b6ed1b50"/>
        </m:item>
        <m:item xlName="_GBC_23e3d55860aa479bb06d190d1039eec0" concept="clcid-pte:SuoYouZheTouRuHeJianShaoZiBenDaoZhiZhuanXiangChuBeiBianDongJinE" label="所有者投入和减少资本导致专项储备变动金额" periodRef="上年同期数" mulRef="_GBC_57faea4e453e49ad93821b7dd6ce8bc4" unitRef="_GBC_cef77704267643d794145c73763360e5" addr="T1R12C8S1_1" formatStyle="Comma">
          <m:complexRule comparator="Eq" title="所有者投入和减少资本导致专项储备变动金额@上年同期数" test=" $_GBC_aafdf12eb7294c67896155049135d04e +  $_GBC_fef26d11c0d0485bb33fd93140da213e +  $_GBC_b64f7ca08d5b46cdb7ea27384fcdacaa +  $_GBC_ce9c57fb808c4a9e95599c44e09d5ee6" id="Cebfe86b976354692891b97f34329c101"/>
        </m:item>
        <m:item xlName="_GBC_24e1bb854a804ff1ba371eea8001ce3f" concept="clcid-pte:SuoYouZheTouRuHeJianShaoZiBenDaoZhiYingYuGongJiBianDongJinE" label="所有者投入和减少资本导致盈余公积变动金额" periodRef="上年同期数" mulRef="_GBC_57faea4e453e49ad93821b7dd6ce8bc4" unitRef="_GBC_cef77704267643d794145c73763360e5" addr="T1R12C9S1_1" formatStyle="Comma">
          <m:complexRule comparator="Eq" title="所有者投入和减少资本导致盈余公积变动金额@上年同期数" test=" $_GBC_f07cb5795c734e08857a09af6c38f38a +  $_GBC_8a336b417a2c470abe2a97509ac97f9a +  $_GBC_56f52488147b4ca68d869c67ceb9f6f7 +  $_GBC_51e1afe005204948a98b6439aa8d7fbc" id="Ca4a52ab7a60c4cb4b32641a45726d11f"/>
        </m:item>
        <m:item xlName="_GBC_88201ca3f86140e49229a500777e62bc" concept="clcid-pte:SuoYouZheTouRuHeJianShaoZiBenDaoZhiYiBanFengXianZhunBeiBianDongJinE" label="所有者投入和减少资本导致一般风险准备变动金额" periodRef="上年同期数" mulRef="_GBC_57faea4e453e49ad93821b7dd6ce8bc4" unitRef="_GBC_cef77704267643d794145c73763360e5" addr="T1R12C10S1_1" formatStyle="Comma">
          <m:complexRule comparator="Eq" title="所有者投入和减少资本导致一般风险准备变动金额@上年同期数" test=" $_GBC_cff5370505bc4323bc8745c345bed8de +  $_GBC_708e1efad4fb457cb182441ed9137b92 +  $_GBC_08840849e0bd4082b3deff5bb052b316 +  $_GBC_a0db3f2049024161997a08e49a268c57" id="C3ca09f67ff9448d4a7b8c2f74f506176"/>
        </m:item>
        <m:item xlName="_GBC_7ae77f219bd14664912830fece3defdf" concept="clcid-pte:SuoYouZheTouRuHeJianShaoZiBenDaoZhiWeiFenPeiLiRunBianDongJinE" label="所有者投入和减少资本导致未分配利润变动金额" periodRef="上年同期数" mulRef="_GBC_57faea4e453e49ad93821b7dd6ce8bc4" unitRef="_GBC_cef77704267643d794145c73763360e5" addr="T1R12C11S1_1" formatStyle="Comma">
          <m:complexRule comparator="Eq" title="所有者投入和减少资本导致未分配利润变动金额@上年同期数" test=" $_GBC_c038ae5e8e2a4804be7ea9a4bedf46e0 +  $_GBC_39f06864c6204dbca4cd4fbc2525a0f3 +  $_GBC_3f7351ae83d844bab493b5e50829c0c1 +  $_GBC_f3a9587ed49648509050a77eff7c7484" id="Ccb0e5390c3b64870a52f96a9a21ad222"/>
        </m:item>
        <m:item xlName="_GBC_15bd914be84d464fb951582665b9d15a" concept="clcid-pte:SuoYouZheTouRuHeJianShaoZiBenDaoZhiQiTaDeGuiShuYuMuGongSiSuoYouZheQuanYiBianDongJinE" label="所有者投入和减少资本导致其他的归属于母公司所有者权益变动金额" periodRef="上年同期数" mulRef="_GBC_57faea4e453e49ad93821b7dd6ce8bc4" unitRef="_GBC_cef77704267643d794145c73763360e5" addr="T1R12C12S1_1" formatStyle="Comma">
          <m:complexRule comparator="Eq" title="所有者投入资本导致其他的归属于母公司所有者权益变动金额@上年同期数" test=" $_GBC_5f8e09d1e5ae4258aea441912db886fe +  $_GBC_1e3eb6f0fce143068a98e771c41a89ff +  $_GBC_b67e1f9a773e49bca7ae2b391f1ff025 +  $_GBC_006131a602674a809ec07a76818bca9f" id="Cd8bf905bd2bb4a66b21f00650e5fa376"/>
        </m:item>
        <m:item xlName="_GBC_882b6062a2a2475382acd8f785ad87f1" concept="clcid-pte:SuoYouZheTouRuHeJianShaoZiBenDaoZhiGuiShuYuMuGongSiSuoYouZheQuanYiBianDongJinE" label="所有者投入和减少资本导致归属于母公司所有者权益变动金额" periodRef="上年同期数" mulRef="_GBC_57faea4e453e49ad93821b7dd6ce8bc4" unitRef="_GBC_cef77704267643d794145c73763360e5" addr="T1R12C13S1_1" formatStyle="Comma">
          <m:complexRule comparator="Eq" title="所有者投入和减少资本导致归属于母公司所有者权益变动金额小计@上年同期数" test=" $_GBC_e9f487fc08214c8d94bce453a50a4836 +  $_GBC_189ffcb8fdcc4f83928e465e56cbb851 +  $_GBC_80156df58ae3401d8e23f70dfc73c149 +  $_GBC_cc57d09de13745a9b29a8eec6135a9cc" id="Cc4d2195062c149a2b3d3386557f4c39b"/>
        </m:item>
        <m:item xlName="_GBC_282d8d3d7ee243d59e5e3cc078d12bbf" concept="clcid-pte:SuoYouZheTouRuHeJianShaoZiBenDaoZhiShaoShuGuDongQuanYiBianDongJinE" label="所有者投入和减少资本导致少数股东权益变动金额" periodRef="上年同期数" mulRef="_GBC_57faea4e453e49ad93821b7dd6ce8bc4" unitRef="_GBC_cef77704267643d794145c73763360e5" addr="T1R12C14S1_1" formatStyle="Comma">
          <m:complexRule comparator="Eq" title="所有者投入和减少资本导致少数股东权益变动金额@上年同期数" test=" $_GBC_3b54eca378434bb6a945064edefe7334 +  $_GBC_28989a233af64c0b9a9c7de51ab43e60 +  $_GBC_f37042e93b6446808275df5409a15bfe +  $_GBC_cb8f40edb77c48f9be79ead9a570419d" id="C5ecb6681d4a94268877f48770e91e255"/>
        </m:item>
        <m:item xlName="_GBC_ec91a07899f34b3ea8f5859f0fce58c1" concept="clcid-pte:SuoYouZheTouRuHeJianShaoZiBenDaoZhiGuDongQuanYiHeJiBianDongJinE" label="所有者投入和减少资本导致股东权益合计变动金额" periodRef="上年同期数" mulRef="_GBC_57faea4e453e49ad93821b7dd6ce8bc4" unitRef="_GBC_cef77704267643d794145c73763360e5" addr="T1R12C15S1_1" formatStyle="Comma">
          <m:complexRule comparator="Eq" title="所有者投入和减少资本导致股东权益合计变动金额@上年同期数" test=" $_GBC_a2dec3d0119c48f891244c5c36ef0717 +  $_GBC_3aaccfb1127e44b4a791afd447710638 +  $_GBC_cff48673eaa14a398b76db67bd2cf63f +  $_GBC_53227fa04a0c40a58406780c03dda291" id="C037bfef82dce441f80932095230ffd18"/>
        </m:item>
        <m:placeholder xlName="_PLD_284541025868477ca26973c13dd9ff9e" wordText="1．所有者投入的普通股" addr="T1R13C0S1_1"/>
        <m:item xlName="_GBC_ca6baab852ec4f198275214ba965c0f4" concept="clcid-pte:GuDongTouRuDePuTongGuDaoZhiGuBenBianDongJinE" label="股东投入的普通股导致股本变动金额" periodRef="上年同期数" mulRef="_GBC_57faea4e453e49ad93821b7dd6ce8bc4" unitRef="_GBC_cef77704267643d794145c73763360e5" addr="T1R13C1S1_1" formatStyle="Comma"/>
        <m:item xlName="_GBC_8afc9aa7f29649c8868107ef25af0d4b" concept="clcid-pte:GuDongTouRuDePuTongGuDaoZhiYouXianGuBianDongJinE" label="股东投入的普通股导致优先股变动金额" periodRef="上年同期数" mulRef="_GBC_57faea4e453e49ad93821b7dd6ce8bc4" unitRef="_GBC_cef77704267643d794145c73763360e5" addr="T1R13C2S1_1" formatStyle="Comma"/>
        <m:item xlName="_GBC_94969bd82e17487ab14f291bf17d5e40" concept="clcid-pte:GuDongTouRuDePuTongGuDaoZhiYongXuZhaiBianDongJinE" label="股东投入的普通股导致永续债变动金额" periodRef="上年同期数" mulRef="_GBC_57faea4e453e49ad93821b7dd6ce8bc4" unitRef="_GBC_cef77704267643d794145c73763360e5" addr="T1R13C3S1_1" formatStyle="Comma"/>
        <m:item xlName="_GBC_bc24f4297f4a46ee85ddec50283e4c6f" concept="clcid-pte:GuDongTouRuDePuTongGuDaoZhiQiTaQuanYiGongJuZhongDeQiTaBianDongJinE" label="股东投入的普通股导致其他权益工具中的其他变动金额" periodRef="上年同期数" mulRef="_GBC_57faea4e453e49ad93821b7dd6ce8bc4" unitRef="_GBC_cef77704267643d794145c73763360e5" addr="T1R13C4S1_1" formatStyle="Comma"/>
        <m:item xlName="_GBC_9459eec2dc6740c59c791f59ba7d2f84" concept="clcid-pte:GuDongTouRuDePuTongGuDaoZhiZiBenGongJiBianDongJinE" label="股东投入的普通股导致资本公积变动金额" periodRef="上年同期数" mulRef="_GBC_57faea4e453e49ad93821b7dd6ce8bc4" unitRef="_GBC_cef77704267643d794145c73763360e5" addr="T1R13C5S1_1" formatStyle="Comma"/>
        <m:item xlName="_GBC_0ee7cd7ac85642a8a1e5034f252ca9d2" concept="clcid-pte:GuDongTouRuDePuTongGuDaoZhiKuCunGuBianDongJinE" label="股东投入的普通股导致库存股变动金额" periodRef="上年同期数" mulRef="_GBC_57faea4e453e49ad93821b7dd6ce8bc4" unitRef="_GBC_cef77704267643d794145c73763360e5" addr="T1R13C6S1_1" baseScale="-1" formatStyle="Comma"/>
        <m:item xlName="_GBC_920ee0a2c0d3493a85e149c9fd9b2de7" concept="clcid-pte:GuDongTouRuDePuTongGuDaoZhiQiTaZongHeShouYiBianDongJinE" label="股东投入的普通股导致其他综合收益变动金额" periodRef="上年同期数" mulRef="_GBC_57faea4e453e49ad93821b7dd6ce8bc4" unitRef="_GBC_cef77704267643d794145c73763360e5" addr="T1R13C7S1_1" formatStyle="Comma"/>
        <m:item xlName="_GBC_aafdf12eb7294c67896155049135d04e" concept="clcid-pte:GuDongTouRuDePuTongGuDaoZhiZhuanXiangChuBeiBianDongJinE" label="股东投入的普通股导致专项储备变动金额" periodRef="上年同期数" mulRef="_GBC_57faea4e453e49ad93821b7dd6ce8bc4" unitRef="_GBC_cef77704267643d794145c73763360e5" addr="T1R13C8S1_1" formatStyle="Comma"/>
        <m:item xlName="_GBC_f07cb5795c734e08857a09af6c38f38a" concept="clcid-pte:GuDongTouRuDePuTongGuDaoZhiYingYuGongJiBianDongJinE" label="股东投入的普通股导致盈余公积变动金额" periodRef="上年同期数" mulRef="_GBC_57faea4e453e49ad93821b7dd6ce8bc4" unitRef="_GBC_cef77704267643d794145c73763360e5" addr="T1R13C9S1_1" formatStyle="Comma"/>
        <m:item xlName="_GBC_cff5370505bc4323bc8745c345bed8de" concept="clcid-pte:GuDongTouRuDePuTongGuDaoZhiYiBanFengXianZhunBeiBianDongJinE" label="股东投入的普通股导致一般风险准备变动金额" periodRef="上年同期数" mulRef="_GBC_57faea4e453e49ad93821b7dd6ce8bc4" unitRef="_GBC_cef77704267643d794145c73763360e5" addr="T1R13C10S1_1" formatStyle="Comma"/>
        <m:item xlName="_GBC_c038ae5e8e2a4804be7ea9a4bedf46e0" concept="clcid-pte:GuDongTouRuDePuTongGuDaoZhiWeiFenPeiLiRunBianDongJinE" label="股东投入的普通股导致未分配利润变动金额" periodRef="上年同期数" mulRef="_GBC_57faea4e453e49ad93821b7dd6ce8bc4" unitRef="_GBC_cef77704267643d794145c73763360e5" addr="T1R13C11S1_1" formatStyle="Comma"/>
        <m:item xlName="_GBC_5f8e09d1e5ae4258aea441912db886fe" concept="clcid-pte:GuDongTouRuDePuTongGuDaoZhiQiTaDeGuiShuYuMuGongSiSuoYouZheQuanYiBianDongJinE" label="股东投入的普通股导致其他的归属于母公司所有者权益变动金额" periodRef="上年同期数" mulRef="_GBC_57faea4e453e49ad93821b7dd6ce8bc4" unitRef="_GBC_cef77704267643d794145c73763360e5" addr="T1R13C12S1_1" formatStyle="Comma"/>
        <m:item xlName="_GBC_e9f487fc08214c8d94bce453a50a4836" concept="clcid-pte:GuDongTouRuDePuTongGuDaoZhiGuiShuYuMuGongSiSuoYouZheQuanYiBianDongJinE" label="股东投入的普通股导致归属于母公司所有者权益变动金额" periodRef="上年同期数" mulRef="_GBC_57faea4e453e49ad93821b7dd6ce8bc4" unitRef="_GBC_cef77704267643d794145c73763360e5" addr="T1R13C13S1_1" formatStyle="Comma"/>
        <m:item xlName="_GBC_3b54eca378434bb6a945064edefe7334" concept="clcid-pte:GuDongTouRuDePuTongGuDaoZhiShaoShuGuDongQuanYiBianDongJinE" label="股东投入的普通股导致少数股东权益变动金额" periodRef="上年同期数" mulRef="_GBC_57faea4e453e49ad93821b7dd6ce8bc4" unitRef="_GBC_cef77704267643d794145c73763360e5" addr="T1R13C14S1_1" formatStyle="Comma"/>
        <m:item xlName="_GBC_a2dec3d0119c48f891244c5c36ef0717" concept="clcid-pte:GuDongTouRuDePuTongGuDaoZhiGuDongQuanYiHeJiBianDongJinE" label="股东投入的普通股导致股东权益合计变动金额" periodRef="上年同期数" mulRef="_GBC_57faea4e453e49ad93821b7dd6ce8bc4" unitRef="_GBC_cef77704267643d794145c73763360e5" addr="T1R13C15S1_1" formatStyle="Comma"/>
        <m:placeholder xlName="_PLD_13b4ec8d0fe34f9797d68eab8f95768d" wordText="2．其他权益工具持有者投入资本" addr="T1R14C0S1_1"/>
        <m:item xlName="_GBC_9108465a1b5c489fb37638632dcb0e0a" concept="clcid-pte:QiTaQuanYiGongJuChiYouZheTouRuZiBenDaoZhiGuBenBianDongJinE" label="其他权益工具持有者投入资本导致股本变动金额" periodRef="上年同期数" mulRef="_GBC_57faea4e453e49ad93821b7dd6ce8bc4" unitRef="_GBC_cef77704267643d794145c73763360e5" addr="T1R14C1S1_1" formatStyle="Comma"/>
        <m:item xlName="_GBC_975f950347ee48ea8b534f2e5e94c9f1" concept="clcid-pte:QiTaQuanYiGongJuChiYouZheTouRuZiBenDaoZhiYouXianGuBianDongJinE" label="其他权益工具持有者投入资本导致优先股变动金额" periodRef="上年同期数" mulRef="_GBC_57faea4e453e49ad93821b7dd6ce8bc4" unitRef="_GBC_cef77704267643d794145c73763360e5" addr="T1R14C2S1_1" formatStyle="Comma"/>
        <m:item xlName="_GBC_824eaa6a19484117a66319b1cf14da52" concept="clcid-pte:QiTaQuanYiGongJuChiYouZheTouRuZiBenDaoZhiYongXuZhaiBianDongJinE" label="其他权益工具持有者投入资本导致永续债变动金额" periodRef="上年同期数" mulRef="_GBC_57faea4e453e49ad93821b7dd6ce8bc4" unitRef="_GBC_cef77704267643d794145c73763360e5" addr="T1R14C3S1_1" formatStyle="Comma"/>
        <m:item xlName="_GBC_26dd46f784024ab2ac0221ec77e913a3" concept="clcid-pte:QiTaQuanYiGongJuChiYouZheTouRuZiBenDaoZhiQiTaQuanYiGongJuZhongDeQiTaBianDongJinE" label="其他权益工具持有者投入资本导致其他权益工具中的其他变动金额" periodRef="上年同期数" mulRef="_GBC_57faea4e453e49ad93821b7dd6ce8bc4" unitRef="_GBC_cef77704267643d794145c73763360e5" addr="T1R14C4S1_1" formatStyle="Comma"/>
        <m:item xlName="_GBC_68f75ab59c6a4a0498b32628014823e1" concept="clcid-pte:QiTaQuanYiGongJuChiYouZheTouRuZiBenDaoZhiZiBenGongJiBianDongJinE" label="其他权益工具持有者投入资本导致资本公积变动金额" periodRef="上年同期数" mulRef="_GBC_57faea4e453e49ad93821b7dd6ce8bc4" unitRef="_GBC_cef77704267643d794145c73763360e5" addr="T1R14C5S1_1" formatStyle="Comma"/>
        <m:item xlName="_GBC_bd6b57d04ee14a2ea1cc5a28549ffb93" concept="clcid-pte:QiTaQuanYiGongJuChiYouZheTouRuZiBenDaoZhiKuCunGuBianDongJinE" label="其他权益工具持有者投入资本导致库存股变动金额" periodRef="上年同期数" mulRef="_GBC_57faea4e453e49ad93821b7dd6ce8bc4" unitRef="_GBC_cef77704267643d794145c73763360e5" addr="T1R14C6S1_1" baseScale="-1" formatStyle="Comma"/>
        <m:item xlName="_GBC_ef0f45029ee043fcb43641dffe988a62" concept="clcid-pte:QiTaQuanYiGongJuChiYouZheTouRuZiBenDaoZhiQiTaZongHeShouYiBianDongJinE" label="其他权益工具持有者投入资本导致其他综合收益变动金额" periodRef="上年同期数" mulRef="_GBC_57faea4e453e49ad93821b7dd6ce8bc4" unitRef="_GBC_cef77704267643d794145c73763360e5" addr="T1R14C7S1_1" formatStyle="Comma"/>
        <m:item xlName="_GBC_fef26d11c0d0485bb33fd93140da213e" concept="clcid-pte:QiTaQuanYiGongJuChiYouZheTouRuZiBenDaoZhiZhuanXiangChuBeiBianDongJinE" label="其他权益工具持有者投入资本导致专项储备变动金额" periodRef="上年同期数" mulRef="_GBC_57faea4e453e49ad93821b7dd6ce8bc4" unitRef="_GBC_cef77704267643d794145c73763360e5" addr="T1R14C8S1_1" formatStyle="Comma"/>
        <m:item xlName="_GBC_8a336b417a2c470abe2a97509ac97f9a" concept="clcid-pte:QiTaQuanYiGongJuChiYouZheTouRuZiBenDaoZhiYingYuGongJiBianDongJinE" label="其他权益工具持有者投入资本导致盈余公积变动金额" periodRef="上年同期数" mulRef="_GBC_57faea4e453e49ad93821b7dd6ce8bc4" unitRef="_GBC_cef77704267643d794145c73763360e5" addr="T1R14C9S1_1" formatStyle="Comma"/>
        <m:item xlName="_GBC_708e1efad4fb457cb182441ed9137b92" concept="clcid-pte:QiTaQuanYiGongJuChiYouZheTouRuZiBenDaoZhiYiBanFengXianZhunBeiBianDongJinE" label="其他权益工具持有者投入资本导致一般风险准备变动金额" periodRef="上年同期数" mulRef="_GBC_57faea4e453e49ad93821b7dd6ce8bc4" unitRef="_GBC_cef77704267643d794145c73763360e5" addr="T1R14C10S1_1" formatStyle="Comma"/>
        <m:item xlName="_GBC_39f06864c6204dbca4cd4fbc2525a0f3" concept="clcid-pte:QiTaQuanYiGongJuChiYouZheTouRuZiBenDaoZhiWeiFenPeiLiRunBianDongJinE" label="其他权益工具持有者投入资本导致未分配利润变动金额" periodRef="上年同期数" mulRef="_GBC_57faea4e453e49ad93821b7dd6ce8bc4" unitRef="_GBC_cef77704267643d794145c73763360e5" addr="T1R14C11S1_1" formatStyle="Comma"/>
        <m:item xlName="_GBC_1e3eb6f0fce143068a98e771c41a89ff" concept="clcid-pte:QiTaQuanYiGongJuChiYouZheTouRuZiBenDaoZhiQiTaDeGuiShuYuMuGongSiSuoYouZheQuanYiBianDongJinE" label="其他权益工具持有者投入资本导致其他的归属于母公司所有者权益变动金额" periodRef="上年同期数" mulRef="_GBC_57faea4e453e49ad93821b7dd6ce8bc4" unitRef="_GBC_cef77704267643d794145c73763360e5" addr="T1R14C12S1_1" formatStyle="Comma"/>
        <m:item xlName="_GBC_189ffcb8fdcc4f83928e465e56cbb851" concept="clcid-pte:QiTaQuanYiGongJuChiYouZheTouRuZiBenDaoZhiGuiShuYuMuGongSiSuoYouZheQuanYiBianDongJinE" label="其他权益工具持有者投入资本导致归属于母公司所有者权益变动金额" periodRef="上年同期数" mulRef="_GBC_57faea4e453e49ad93821b7dd6ce8bc4" unitRef="_GBC_cef77704267643d794145c73763360e5" addr="T1R14C13S1_1" formatStyle="Comma"/>
        <m:item xlName="_GBC_28989a233af64c0b9a9c7de51ab43e60" concept="clcid-pte:QiTaQuanYiGongJuChiYouZheTouRuZiBenDaoZhiShaoShuGuDongQuanYiBianDongJinE" label="其他权益工具持有者投入资本导致少数股东权益变动金额" periodRef="上年同期数" mulRef="_GBC_57faea4e453e49ad93821b7dd6ce8bc4" unitRef="_GBC_cef77704267643d794145c73763360e5" addr="T1R14C14S1_1" formatStyle="Comma"/>
        <m:item xlName="_GBC_3aaccfb1127e44b4a791afd447710638" concept="clcid-pte:QiTaQuanYiGongJuChiYouZheTouRuZiBenDaoZhiGuDongQuanYiHeJiBianDongJinE" label="其他权益工具持有者投入资本导致股东权益合计变动金额" periodRef="上年同期数" mulRef="_GBC_57faea4e453e49ad93821b7dd6ce8bc4" unitRef="_GBC_cef77704267643d794145c73763360e5" addr="T1R14C15S1_1" formatStyle="Comma"/>
        <m:placeholder xlName="_PLD_f1f3be9263a748c28f276e78f447b133" wordText="3．股份支付计入所有者权益的金额" addr="T1R15C0S1_1"/>
        <m:item xlName="_GBC_f84d332240dc4b248a21eb60465f98c5" concept="clcid-pte:GuFenZhiFuJiRuSuoYouZheQuanYiDeJinEDaoZhiShiShouZiBenHuoGuBenJingEBianDongJinE" label="股份支付计入所有者权益的金额导致实收资本（或股本）净额变动金额" periodRef="上年同期数" mulRef="_GBC_57faea4e453e49ad93821b7dd6ce8bc4" unitRef="_GBC_cef77704267643d794145c73763360e5" addr="T1R15C1S1_1" formatStyle="Comma"/>
        <m:item xlName="_GBC_2e06268a72434e7fada026cbb548fdaf" concept="clcid-pte:GuFenZhiFuJiRuSuoYouZheQuanYiDeJinEDaoZhiQiTaQuanYiGongJuZhongDeYouXianGuBianDongJinE" label="股份支付计入所有者权益的金额导致其他权益工具中的优先股变动金额" periodRef="上年同期数" mulRef="_GBC_57faea4e453e49ad93821b7dd6ce8bc4" unitRef="_GBC_cef77704267643d794145c73763360e5" addr="T1R15C2S1_1" formatStyle="Comma"/>
        <m:item xlName="_GBC_a29d30d951394af4ad76a0535f339db1" concept="clcid-pte:GuFenZhiFuJiRuSuoYouZheQuanYiDeJinEDaoZhiQiTaQuanYiGongJuZhongDeYongXuZhaiBianDongJinE" label="股份支付计入所有者权益的金额导致其他权益工具中的永续债变动金额" periodRef="上年同期数" mulRef="_GBC_57faea4e453e49ad93821b7dd6ce8bc4" unitRef="_GBC_cef77704267643d794145c73763360e5" addr="T1R15C3S1_1" formatStyle="Comma"/>
        <m:item xlName="_GBC_156fd6cf4b5c4786a15282f618c22e3d" concept="clcid-pte:GuFenZhiFuJiRuSuoYouZheQuanYiDeJinEDaoZhiQiTaQuanYiGongJuZhongDeQiTaBianDongJinE" label="股份支付计入所有者权益的金额导致其他权益工具中的其他变动金额" periodRef="上年同期数" mulRef="_GBC_57faea4e453e49ad93821b7dd6ce8bc4" unitRef="_GBC_cef77704267643d794145c73763360e5" addr="T1R15C4S1_1" formatStyle="Comma"/>
        <m:item xlName="_GBC_9103c2ed730542e6b478c1333f235d44" concept="clcid-pte:GuFenZhiFuJiRuSuoYouZheQuanYiDeJinEDaoZhiZiBenGongJiBianDongJinE" label="股份支付计入所有者权益的金额导致资本公积变动金额" periodRef="上年同期数" mulRef="_GBC_57faea4e453e49ad93821b7dd6ce8bc4" unitRef="_GBC_cef77704267643d794145c73763360e5" addr="T1R15C5S1_1" formatStyle="Comma"/>
        <m:item xlName="_GBC_63eefd0ca94b4e3a8e63e7a0a7cba44a" concept="clcid-pte:GuFenZhiFuJiRuSuoYouZheQuanYiDeJinEDaoZhiKuCunGuBianDongJinE" label="股份支付计入所有者权益的金额导致库存股变动金额" periodRef="上年同期数" mulRef="_GBC_57faea4e453e49ad93821b7dd6ce8bc4" unitRef="_GBC_cef77704267643d794145c73763360e5" addr="T1R15C6S1_1" baseScale="-1" formatStyle="Comma"/>
        <m:item xlName="_GBC_6627c5b24e7f4ef98d6dbb5ef0bfdc91" concept="clcid-pte:GuFenZhiFuJiRuSuoYouZheQuanYiDeJinEDaoZhiQiTaZongHeShouYiBianDongJinE" label="股份支付计入所有者权益的金额导致其他综合收益变动金额" periodRef="上年同期数" mulRef="_GBC_57faea4e453e49ad93821b7dd6ce8bc4" unitRef="_GBC_cef77704267643d794145c73763360e5" addr="T1R15C7S1_1" formatStyle="Comma"/>
        <m:item xlName="_GBC_b64f7ca08d5b46cdb7ea27384fcdacaa" concept="clcid-pte:GuFenZhiFuJiRuSuoYouZheQuanYiDeJinEDaoZhiZhuanXiangChuBeiBianDongJinE" label="股份支付计入所有者权益的金额导致专项储备变动金额" periodRef="上年同期数" mulRef="_GBC_57faea4e453e49ad93821b7dd6ce8bc4" unitRef="_GBC_cef77704267643d794145c73763360e5" addr="T1R15C8S1_1" formatStyle="Comma"/>
        <m:item xlName="_GBC_56f52488147b4ca68d869c67ceb9f6f7" concept="clcid-pte:GuFenZhiFuJiRuSuoYouZheQuanYiDeJinEDaoZhiYingYuGongJiBianDongJinE" label="股份支付计入所有者权益的金额导致盈余公积变动金额" periodRef="上年同期数" mulRef="_GBC_57faea4e453e49ad93821b7dd6ce8bc4" unitRef="_GBC_cef77704267643d794145c73763360e5" addr="T1R15C9S1_1" formatStyle="Comma"/>
        <m:item xlName="_GBC_08840849e0bd4082b3deff5bb052b316" concept="clcid-pte:GuFenZhiFuJiRuSuoYouZheQuanYiDeJinEDaoZhiYiBanFengXianZhunBeiBianDongJinE" label="股份支付计入所有者权益的金额导致一般风险准备变动金额" periodRef="上年同期数" mulRef="_GBC_57faea4e453e49ad93821b7dd6ce8bc4" unitRef="_GBC_cef77704267643d794145c73763360e5" addr="T1R15C10S1_1" formatStyle="Comma"/>
        <m:item xlName="_GBC_3f7351ae83d844bab493b5e50829c0c1" concept="clcid-pte:GuFenZhiFuJiRuSuoYouZheQuanYiDeJinEDaoZhiWeiFenPeiLiRunBianDongJinE" label="股份支付计入所有者权益的金额导致未分配利润变动金额" periodRef="上年同期数" mulRef="_GBC_57faea4e453e49ad93821b7dd6ce8bc4" unitRef="_GBC_cef77704267643d794145c73763360e5" addr="T1R15C11S1_1" formatStyle="Comma"/>
        <m:item xlName="_GBC_b67e1f9a773e49bca7ae2b391f1ff025" concept="clcid-pte:GuFenZhiFuJiRuSuoYouZheQuanYiDeJinEDaoZhiQiTaDeGuiShuYuMuGongSiSuoYouZheQuanYiBianDongJinE" label="股份支付计入所有者权益的金额导致其他的归属于母公司所有者权益变动金额" periodRef="上年同期数" mulRef="_GBC_57faea4e453e49ad93821b7dd6ce8bc4" unitRef="_GBC_cef77704267643d794145c73763360e5" addr="T1R15C12S1_1" formatStyle="Comma"/>
        <m:item xlName="_GBC_80156df58ae3401d8e23f70dfc73c149" concept="clcid-pte:GuFenZhiFuJiRuSuoYouZheQuanYiDeJinEDaoZhiGuiShuYuMuGongSiSuoYouZheQuanYiBianDongJinE" label="股份支付计入所有者权益的金额导致归属于母公司所有者权益变动金额" periodRef="上年同期数" mulRef="_GBC_57faea4e453e49ad93821b7dd6ce8bc4" unitRef="_GBC_cef77704267643d794145c73763360e5" addr="T1R15C13S1_1" formatStyle="Comma"/>
        <m:item xlName="_GBC_f37042e93b6446808275df5409a15bfe" concept="clcid-pte:GuFenZhiFuJiRuSuoYouZheQuanYiDeJinEDaoZhiShaoShuGuDongQuanYiBianDongJinE" label="股份支付计入所有者权益的金额导致少数股东权益变动金额" periodRef="上年同期数" mulRef="_GBC_57faea4e453e49ad93821b7dd6ce8bc4" unitRef="_GBC_cef77704267643d794145c73763360e5" addr="T1R15C14S1_1" formatStyle="Comma"/>
        <m:item xlName="_GBC_cff48673eaa14a398b76db67bd2cf63f" concept="clcid-pte:GuFenZhiFuJiRuSuoYouZheQuanYiDeJinEDaoZhiGuDongQuanYiHeJiBianDongJinE" label="股份支付计入所有者权益的金额导致股东权益合计变动金额" periodRef="上年同期数" mulRef="_GBC_57faea4e453e49ad93821b7dd6ce8bc4" unitRef="_GBC_cef77704267643d794145c73763360e5" addr="T1R15C15S1_1" formatStyle="Comma"/>
        <m:placeholder xlName="_PLD_b361f3a237774bcd8ac416b2b21655eb" wordText="4．其他" addr="T1R16C0S1_1"/>
        <m:item xlName="_GBC_fbc723d0530841df9ca8a4f88b1baeb0" concept="clcid-pte:QiTaSuoYouZheTouRuHeJianShaoZiBenDaoZhiShiShouZiBenHuoGuBenJingEBianDongJinE" label="其他所有者投入和减少资本导致实收资本（或股本）净额变动金额" periodRef="上年同期数" mulRef="_GBC_57faea4e453e49ad93821b7dd6ce8bc4" unitRef="_GBC_cef77704267643d794145c73763360e5" addr="T1R16C1S1_1" formatStyle="Comma"/>
        <m:item xlName="_GBC_c525c90052b244aaa5ca4ca778e04e2d" concept="clcid-pte:QiTaSuoYouZheTouRuHeJianShaoZiBenDaoZhiQiTaQuanYiGongJuZhongDeYouXianGuBianDongJinE" label="其他所有者投入和减少资本导致其他权益工具中的优先股变动金额" periodRef="上年同期数" mulRef="_GBC_57faea4e453e49ad93821b7dd6ce8bc4" unitRef="_GBC_cef77704267643d794145c73763360e5" addr="T1R16C2S1_1" formatStyle="Comma"/>
        <m:item xlName="_GBC_89e8c27f0aa74d0e89c363a46fae7fd5" concept="clcid-pte:QiTaSuoYouZheTouRuHeJianShaoZiBenDaoZhiQiTaQuanYiGongJuZhongDeYongXuZhaiBianDongJinE" label="其他所有者投入和减少资本导致其他权益工具中的永续债变动金额" periodRef="上年同期数" mulRef="_GBC_57faea4e453e49ad93821b7dd6ce8bc4" unitRef="_GBC_cef77704267643d794145c73763360e5" addr="T1R16C3S1_1" formatStyle="Comma"/>
        <m:item xlName="_GBC_539d07c2c60a426a83b28573097b9381" concept="clcid-pte:QiTaSuoYouZheTouRuHeJianShaoZiBenDaoZhiQiTaQuanYiGongJuZhongDeQiTaBianDongJinE" label="其他所有者投入和减少资本导致其他权益工具中的其他变动金额" periodRef="上年同期数" mulRef="_GBC_57faea4e453e49ad93821b7dd6ce8bc4" unitRef="_GBC_cef77704267643d794145c73763360e5" addr="T1R16C4S1_1" formatStyle="Comma"/>
        <m:item xlName="_GBC_83789e7fdefc4741bcd6c60fecebd0af" concept="clcid-pte:QiTaSuoYouZheTouRuHeJianShaoZiBenDaoZhiZiBenGongJiBianDongJinE" label="其他所有者投入和减少资本导致资本公积变动金额" periodRef="上年同期数" mulRef="_GBC_57faea4e453e49ad93821b7dd6ce8bc4" unitRef="_GBC_cef77704267643d794145c73763360e5" addr="T1R16C5S1_1" formatStyle="Comma"/>
        <m:item xlName="_GBC_333683fa00cd46b4b379e9866e44f2d2" concept="clcid-pte:QiTaSuoYouZheTouRuHeJianShaoZiBenDaoZhiKuCunGuBianDongJinE" label="其他所有者投入和减少资本导致库存股变动金额" periodRef="上年同期数" mulRef="_GBC_57faea4e453e49ad93821b7dd6ce8bc4" unitRef="_GBC_cef77704267643d794145c73763360e5" addr="T1R16C6S1_1" baseScale="-1" formatStyle="Comma"/>
        <m:item xlName="_GBC_12c8ed4b4b454e498a4f135204a8821f" concept="clcid-pte:QiTaSuoYouZheTouRuHeJianShaoZiBenDaoZhiQiTaZongHeShouYiBianDongJinE" label="其他所有者投入和减少资本导致其他综合收益变动金额" periodRef="上年同期数" mulRef="_GBC_57faea4e453e49ad93821b7dd6ce8bc4" unitRef="_GBC_cef77704267643d794145c73763360e5" addr="T1R16C7S1_1" formatStyle="Comma"/>
        <m:item xlName="_GBC_ce9c57fb808c4a9e95599c44e09d5ee6" concept="clcid-pte:QiTaSuoYouZheTouRuHeJianShaoZiBenDaoZhiZhuanXiangChuBeiBianDongJinE" label="其他所有者投入和减少资本导致专项储备变动金额" periodRef="上年同期数" mulRef="_GBC_57faea4e453e49ad93821b7dd6ce8bc4" unitRef="_GBC_cef77704267643d794145c73763360e5" addr="T1R16C8S1_1" formatStyle="Comma"/>
        <m:item xlName="_GBC_51e1afe005204948a98b6439aa8d7fbc" concept="clcid-pte:QiTaSuoYouZheTouRuHeJianShaoZiBenDaoZhiYingYuGongJiBianDongJinE" label="其他所有者投入和减少资本导致盈余公积变动金额" periodRef="上年同期数" mulRef="_GBC_57faea4e453e49ad93821b7dd6ce8bc4" unitRef="_GBC_cef77704267643d794145c73763360e5" addr="T1R16C9S1_1" formatStyle="Comma"/>
        <m:item xlName="_GBC_a0db3f2049024161997a08e49a268c57" concept="clcid-pte:QiTaSuoYouZheTouRuHeJianShaoZiBenDaoZhiYiBanFengXianZhunBeiBianDongJinE" label="其他所有者投入和减少资本导致一般风险准备变动金额" periodRef="上年同期数" mulRef="_GBC_57faea4e453e49ad93821b7dd6ce8bc4" unitRef="_GBC_cef77704267643d794145c73763360e5" addr="T1R16C10S1_1" formatStyle="Comma"/>
        <m:item xlName="_GBC_f3a9587ed49648509050a77eff7c7484" concept="clcid-pte:QiTaSuoYouZheTouRuHeJianShaoZiBenDaoZhiWeiFenPeiLiRunBianDongJinE" label="其他所有者投入和减少资本导致未分配利润变动金额" periodRef="上年同期数" mulRef="_GBC_57faea4e453e49ad93821b7dd6ce8bc4" unitRef="_GBC_cef77704267643d794145c73763360e5" addr="T1R16C11S1_1" formatStyle="Comma"/>
        <m:item xlName="_GBC_006131a602674a809ec07a76818bca9f" concept="clcid-pte:QiTaSuoYouZheTouRuHeJianShaoZiBenDaoZhiQiTaDeGuiShuYuMuGongSiSuoYouZheQuanYiBianDongJinE" label="其他所有者投入和减少资本导致其他的归属于母公司所有者权益变动金额" periodRef="上年同期数" mulRef="_GBC_57faea4e453e49ad93821b7dd6ce8bc4" unitRef="_GBC_cef77704267643d794145c73763360e5" addr="T1R16C12S1_1" formatStyle="Comma"/>
        <m:item xlName="_GBC_cc57d09de13745a9b29a8eec6135a9cc" concept="clcid-pte:QiTaSuoYouZheTouRuHeJianShaoZiBenDaoZhiGuiShuYuMuGongSiSuoYouZheQuanYiBianDongJinE" label="其他所有者投入和减少资本导致归属于母公司所有者权益变动金额" periodRef="上年同期数" mulRef="_GBC_57faea4e453e49ad93821b7dd6ce8bc4" unitRef="_GBC_cef77704267643d794145c73763360e5" addr="T1R16C13S1_1" formatStyle="Comma"/>
        <m:item xlName="_GBC_cb8f40edb77c48f9be79ead9a570419d" concept="clcid-pte:QiTaSuoYouZheTouRuHeJianShaoZiBenDaoZhiShaoShuGuDongQuanYiBianDongJinE" label="其他所有者投入和减少资本导致少数股东权益变动金额" periodRef="上年同期数" mulRef="_GBC_57faea4e453e49ad93821b7dd6ce8bc4" unitRef="_GBC_cef77704267643d794145c73763360e5" addr="T1R16C14S1_1" formatStyle="Comma"/>
        <m:item xlName="_GBC_53227fa04a0c40a58406780c03dda291" concept="clcid-pte:QiTaSuoYouZheTouRuHeJianShaoZiBenDaoZhiGuDongQuanYiHeJiBianDongJinE" label="其他所有者投入和减少资本导致股东权益合计变动金额" periodRef="上年同期数" mulRef="_GBC_57faea4e453e49ad93821b7dd6ce8bc4" unitRef="_GBC_cef77704267643d794145c73763360e5" addr="T1R16C15S1_1" formatStyle="Comma"/>
        <m:placeholder xlName="_PLD_a7e75a2d1ed049d9bbdb0ef093ac9478" wordText="（三）利润分配" addr="T1R17C0S1_1"/>
        <m:item xlName="_GBC_8cff02e59f8948deb5ea81de506ed6dc" concept="clcid-pte:LiRunFenPeiDaoZhiShiShouZiBenHuoGuBenJingEBianDongJinE" label="利润分配导致实收资本（或股本）净额变动金额" periodRef="上年同期数" mulRef="_GBC_57faea4e453e49ad93821b7dd6ce8bc4" unitRef="_GBC_cef77704267643d794145c73763360e5" addr="T1R17C1S1_1" formatStyle="Comma">
          <m:complexRule comparator="Eq" title="利润分配导致实收资本（或股本）净额变动金额@上年同期数" test=" $_GBC_1e8b4e4e6521461aa29b69819f4e314c +  $_GBC_a7f89ae428824c5382c9a6a97fb5fc53 +  $_GBC_3003f6166e484522945649c1cc43e1ba +  $_GBC_49a218b412d440d18c50034e3ac33cba" id="C61f23fed5a564527a2563126bf44d6e2" radius="0.0001"/>
        </m:item>
        <m:item xlName="_GBC_6dbdeadb2b3b4d9ba71df27224f26802" concept="clcid-pte:LiRunFenPeiDaoZhiQiTaQuanYiGongJuZhongDeYouXianGuBianDongJinE" label="利润分配导致其他权益工具中的优先股变动金额" periodRef="上年同期数" mulRef="_GBC_57faea4e453e49ad93821b7dd6ce8bc4" unitRef="_GBC_cef77704267643d794145c73763360e5" addr="T1R17C2S1_1" formatStyle="Comma">
          <m:complexRule comparator="Eq" title="利润分配导致其他权益工具中的优先股变动金额@上年同期数" test=" $_GBC_4ae6393180754f7c8b5f6927148f0bcc +  $_GBC_d3e313b8a07c42478fb6c61fecbef7c5 +  $_GBC_5be55735ceb543b8881f377d4ffd25ab +  $_GBC_287b3643fe9f4dd8ae3b570cd789c71d" id="C1ec7ed378f234847bbc724e41dc0847b"/>
        </m:item>
        <m:item xlName="_GBC_44dce36183f44ecea2f0d5d0a3609d8f" concept="clcid-pte:LiRunFenPeiDaoZhiQiTaQuanYiGongJuZhongDeYongXuZhaiBianDongJinE" label="利润分配导致其他权益工具中的永续债变动金额" periodRef="上年同期数" mulRef="_GBC_57faea4e453e49ad93821b7dd6ce8bc4" unitRef="_GBC_cef77704267643d794145c73763360e5" addr="T1R17C3S1_1" formatStyle="Comma">
          <m:complexRule comparator="Eq" title="利润分配导致其他权益工具中的永续债变动金额@上年同期数" test=" $_GBC_935160af0dff4f61b19e613190a9886e +  $_GBC_86b836fe78594e77b6f7a7d647b4cbb9 +  $_GBC_b69ec3ba321943cf96e6cce9293d7478 +  $_GBC_7a9878d497e6470abe05fb1ab441f4dd" id="C72ea128cb10942ee80dd71fae225ece0"/>
        </m:item>
        <m:item xlName="_GBC_f518f6f42b8a41bd81a235ebe8d92f16" concept="clcid-pte:LiRunFenPeiDaoZhiQiTaQuanYiGongJuZhongDeQiTaBianDongJinE" label="利润分配导致其他权益工具中的其他变动金额" periodRef="上年同期数" mulRef="_GBC_57faea4e453e49ad93821b7dd6ce8bc4" unitRef="_GBC_cef77704267643d794145c73763360e5" addr="T1R17C4S1_1" formatStyle="Comma">
          <m:complexRule comparator="Eq" title="利润分配导致其他权益工具中的其他变动金额@上年同期数" test=" $_GBC_49d82f884064488288fefd396fcf09cc +  $_GBC_6409f592632148bb918d1b3d0be90717 +  $_GBC_2a13264b2c004630afef4619ce26c2fe +  $_GBC_3acdd25e64a24e17a2d1ca28d182e6d1" id="C4a17a1d92e104ced98f1c053178221d9"/>
        </m:item>
        <m:item xlName="_GBC_7934e6fe9097456eba711b68c1b1d62a" concept="clcid-pte:LiRunFenPeiDaoZhiZiBenGongJiBianDongJinE" label="利润分配导致资本公积变动金额" periodRef="上年同期数" mulRef="_GBC_57faea4e453e49ad93821b7dd6ce8bc4" unitRef="_GBC_cef77704267643d794145c73763360e5" addr="T1R17C5S1_1" formatStyle="Comma">
          <m:complexRule comparator="Eq" title="利润分配导致资本公积变动金额@上年同期数" test=" $_GBC_aa394c51f338497e9ea19a2579b6e8d3 +  $_GBC_952eb7e4afb34abb9db3764a32407d2c +  $_GBC_5696e6a003164113bcdff8b0d1be437b +  $_GBC_af2a7a1252ac41e9bef6babfd762e41c" id="Cb88ab689000a49d0b9ddf63820e920d1" radius="0.0001"/>
        </m:item>
        <m:item xlName="_GBC_0cca19fbe18f458bbf003ea00b3d79e6" concept="clcid-pte:LiRunFenPeiDaoZhiKuCunGuBianDongJinE" label="利润分配导致库存股变动金额" periodRef="上年同期数" mulRef="_GBC_57faea4e453e49ad93821b7dd6ce8bc4" unitRef="_GBC_cef77704267643d794145c73763360e5" addr="T1R17C6S1_1" baseScale="-1" formatStyle="Comma">
          <m:complexRule comparator="Eq" title="利润分配导致库存股变动金额@上年同期数" test=" $_GBC_6ea742672e3048cd85a51ed53db2907e +  $_GBC_d7d2613373a344cd8c4d394821420ea8 +  $_GBC_0187f2c819764d38b8beaa22e179695d +  $_GBC_65e632c5b00d4ef7a7620d9b8713f8e5" id="C3e06a12809714f0fb1215a5e100052c3" radius="0.0001"/>
        </m:item>
        <m:item xlName="_GBC_4f4335680a2047c1899af03f368290a4" concept="clcid-pte:LiRunFenPeiDaoZhiQiTaZongHeShouYiBianDongJinE" label="利润分配导致其他综合收益变动金额" periodRef="上年同期数" mulRef="_GBC_57faea4e453e49ad93821b7dd6ce8bc4" unitRef="_GBC_cef77704267643d794145c73763360e5" addr="T1R17C7S1_1" formatStyle="Comma">
          <m:complexRule comparator="Eq" title="利润分配导致其他综合收益变动金额@上年同期数" test=" $_GBC_d252b325af8d4e3087396e6cea2a1c44 +  $_GBC_6bde1610cbd949a58dbdc60da9367839 +  $_GBC_ee0d088a36a4403ca0f85e52ad4fd818 +  $_GBC_61c3ee3a348a47b1ba6ac6c2b4d5cfc7" id="C3c98669b538d464fb97c76a0925b677e"/>
        </m:item>
        <m:item xlName="_GBC_5a43adf18f00498987cde669cf8d0c01" concept="clcid-pte:LiRunFenPeiDaoZhiZhuanXiangChuBeiBianDongJinE" label="利润分配导致专项储备变动金额" periodRef="上年同期数" mulRef="_GBC_57faea4e453e49ad93821b7dd6ce8bc4" unitRef="_GBC_cef77704267643d794145c73763360e5" addr="T1R17C8S1_1" formatStyle="Comma">
          <m:complexRule comparator="Eq" title="利润分配导致专项储备变动金额@上年同期数" test=" $_GBC_014ecfd05b0f42d5bf5b06bfdaddc2fc +  $_GBC_0784c6d1c5ce4f0cb1a86cdac5af5f91 +  $_GBC_02289b58a7564f9ab8258718078507ce +  $_GBC_1f67bd299ed94d4194f6d1d362c6a615" id="Ce899006157f54a5f948a63146a22f0de"/>
        </m:item>
        <m:item xlName="_GBC_735a55d211944938a2d263ddf68e530f" concept="clcid-pte:LiRunFenPeiDaoZhiYingYuGongJiBianDongJinE" label="利润分配导致盈余公积变动金额" periodRef="上年同期数" mulRef="_GBC_57faea4e453e49ad93821b7dd6ce8bc4" unitRef="_GBC_cef77704267643d794145c73763360e5" addr="T1R17C9S1_1" formatStyle="Comma">
          <m:complexRule comparator="Eq" title="利润分配导致盈余公积变动金额@上年同期数" test=" $_GBC_48b00a4dbffb477a94ca770d44992ade +  $_GBC_0ee556f1f37647f891568be346ba24d3 +  $_GBC_2337d820a173434e9ce28248d06889a1 +  $_GBC_afc9fb3d8ef14cf19d092708904ed019" id="C4e1f7b2ce0104c94ad7ff071986e31df"/>
        </m:item>
        <m:item xlName="_GBC_72931f17a7d1410882c66f7378bd2446" concept="clcid-pte:LiRunFenPeiDaoZhiYiBanFengXianZhunBeiBianDongJinE" label="利润分配导致一般风险准备变动金额" periodRef="上年同期数" mulRef="_GBC_57faea4e453e49ad93821b7dd6ce8bc4" unitRef="_GBC_cef77704267643d794145c73763360e5" addr="T1R17C10S1_1" formatStyle="Comma">
          <m:complexRule comparator="Eq" title="利润分配导致一般风险准备变动金额@上年同期数" test=" $_GBC_3ae9c91c7cfb435dae346625fd97ba77 +  $_GBC_94ee4ff2a44a4f54834af8c87eb8fb91 +  $_GBC_c6e060f617964a88bf533bbf44f3c126 +  $_GBC_58fdd24d1dad47a9b6ad6db366e2c23d" id="C5488486c8f944584a9d054e773750e55"/>
        </m:item>
        <m:item xlName="_GBC_c6a210c669454df998a35bf4f4f9e735" concept="clcid-pte:LiRunFenPeiDaoZhiWeiFenPeiLiRunBianDongJinE" label="利润分配导致未分配利润变动金额" periodRef="上年同期数" mulRef="_GBC_57faea4e453e49ad93821b7dd6ce8bc4" unitRef="_GBC_cef77704267643d794145c73763360e5" addr="T1R17C11S1_1" formatStyle="Comma">
          <m:complexRule comparator="Eq" title="利润分配导致未分配利润变动金额@上年同期数" test=" $_GBC_47567c73ef814c5db712b835a07094a3 +  $_GBC_f9c36577c937400ba03449fd7e178714 +  $_GBC_06663aea81954a448741795eff18882b +  $_GBC_26d360d5069c44458cc6f235b0624ee9" id="Cdfc8e98de40b497989de8760721884b9"/>
        </m:item>
        <m:item xlName="_GBC_1f6c9e24eb314f7e845a2e9c6d5bbc88" concept="clcid-pte:LiRunFenPeiDaoZhiQiTaDeGuiShuYuMuGongSiSuoYouZheQuanYiBianDongJinE" label="利润分配导致其他的归属于母公司所有者权益变动金额" periodRef="上年同期数" mulRef="_GBC_57faea4e453e49ad93821b7dd6ce8bc4" unitRef="_GBC_cef77704267643d794145c73763360e5" addr="T1R17C12S1_1" formatStyle="Comma">
          <m:complexRule comparator="Eq" title="利润分配导致其他的归属于母公司所有者权益变动金额@上年同期数" test=" $_GBC_6db71d37532645e58d862157dfcc7953 +  $_GBC_1a2045845ff7423ebaf5ebc7999ef4ba +  $_GBC_2007060cffe14ef481553ba4cccecaab +  $_GBC_8f4a1742dc334e05b5056ea80d66b9c8" id="Cf3ab5f0e102d48a7a919d703033b99e6"/>
        </m:item>
        <m:item xlName="_GBC_eef9846c4eb04edf9eec851ff3c8faa6" concept="clcid-pte:LiRunFenPeiDaoZhiGuiShuYuMuGongSiSuoYouZheQuanYiBianDongJinE" label="利润分配导致归属于母公司所有者权益变动金额" periodRef="上年同期数" mulRef="_GBC_57faea4e453e49ad93821b7dd6ce8bc4" unitRef="_GBC_cef77704267643d794145c73763360e5" addr="T1R17C13S1_1" formatStyle="Comma">
          <m:complexRule comparator="Eq" title="利润分配导致归属于母公司所有者权益变动金额小计@上年同期数" test=" $_GBC_f5dd5e57af5945888ad13f14efb2fde3 +  $_GBC_f7a1fc6d82b546af97d914be32614c07 +  $_GBC_6bc8ede00edc40e59f953361c92eb559 +  $_GBC_44c76e3b720b448e9594bb6d730138f7" id="C7b01681b10ae449fa9434d3e34f1adb9"/>
        </m:item>
        <m:item xlName="_GBC_de1cf52aca904f13915a874a5b459013" concept="clcid-pte:LiRunFenPeiDaoZhiShaoShuGuDongQuanYiBianDongJinE" label="利润分配导致少数股东权益变动金额" periodRef="上年同期数" mulRef="_GBC_57faea4e453e49ad93821b7dd6ce8bc4" unitRef="_GBC_cef77704267643d794145c73763360e5" addr="T1R17C14S1_1" formatStyle="Comma">
          <m:complexRule comparator="Eq" title="利润分配导致少数股东权益变动金额@上年同期数" test=" $_GBC_e901b5ea7f304905a601de66781579ee +  $_GBC_51a3b0d4c6b0486b84539b65e5a62abd +  $_GBC_80d74d2547154c35ae2d19c6c42a1b72 +  $_GBC_6909b66769724588afd860e8e453b2ff" id="C53e553207c6944c89aa0a231514b95a8"/>
        </m:item>
        <m:item xlName="_GBC_e9f3261b89304a5aa6fae80844a60013" concept="clcid-pte:LiRunFenPeiDaoZhiGuDongQuanYiHeJiBianDongJinE" label="利润分配导致股东权益合计变动金额" periodRef="上年同期数" mulRef="_GBC_57faea4e453e49ad93821b7dd6ce8bc4" unitRef="_GBC_cef77704267643d794145c73763360e5" addr="T1R17C15S1_1" formatStyle="Comma">
          <m:complexRule comparator="Eq" title="利润分配导致股东权益合计变动金额@上年同期数" test=" $_GBC_f8c6f31ea25446b28cf6cea7344eef89 +  $_GBC_06c8c7b57bdc4592bb44c707f646848a +  $_GBC_1174c85e38a44988b8ec9884cc5757e2 +  $_GBC_d58b6741cced4fe7806546c0229261d5" id="Ce33b6159c338499597f6bf256bce6538"/>
        </m:item>
        <m:placeholder xlName="_PLD_728c39864cdd4a7c93d6a2bae73ac47f" wordText="1．提取盈余公积" addr="T1R18C0S1_1"/>
        <m:item xlName="_GBC_1e8b4e4e6521461aa29b69819f4e314c" concept="clcid-pte:TiQuYingYuGongJiDaoZhiShiShouZiBenHuoGuBenJingEBianDongJinE" label="提取盈余公积导致实收资本（或股本）净额变动金额" periodRef="上年同期数" mulRef="_GBC_57faea4e453e49ad93821b7dd6ce8bc4" unitRef="_GBC_cef77704267643d794145c73763360e5" addr="T1R18C1S1_1" formatStyle="Comma"/>
        <m:item xlName="_GBC_4ae6393180754f7c8b5f6927148f0bcc" concept="clcid-pte:TiQuYingYuGongJiDaoZhiQiTaQuanYiGongJuZhongDeYouXianGuBianDongJinE" label="提取盈余公积导致其他权益工具中的优先股变动金额" periodRef="上年同期数" mulRef="_GBC_57faea4e453e49ad93821b7dd6ce8bc4" unitRef="_GBC_cef77704267643d794145c73763360e5" addr="T1R18C2S1_1" formatStyle="Comma"/>
        <m:item xlName="_GBC_935160af0dff4f61b19e613190a9886e" concept="clcid-pte:TiQuYingYuGongJiDaoZhiQiTaQuanYiGongJuZhongDeYongXuZhaiBianDongJinE" label="提取盈余公积导致其他权益工具中的永续债变动金额" periodRef="上年同期数" mulRef="_GBC_57faea4e453e49ad93821b7dd6ce8bc4" unitRef="_GBC_cef77704267643d794145c73763360e5" addr="T1R18C3S1_1" formatStyle="Comma"/>
        <m:item xlName="_GBC_49d82f884064488288fefd396fcf09cc" concept="clcid-pte:TiQuYingYuGongJiDaoZhiQiTaQuanYiGongJuZhongDeQiTaBianDongJinE" label="提取盈余公积导致其他权益工具中的其他变动金额" periodRef="上年同期数" mulRef="_GBC_57faea4e453e49ad93821b7dd6ce8bc4" unitRef="_GBC_cef77704267643d794145c73763360e5" addr="T1R18C4S1_1" formatStyle="Comma"/>
        <m:item xlName="_GBC_aa394c51f338497e9ea19a2579b6e8d3" concept="clcid-pte:TiQuYingYuGongJiDaoZhiZiBenGongJiBianDongJinE" label="提取盈余公积导致资本公积变动金额" periodRef="上年同期数" mulRef="_GBC_57faea4e453e49ad93821b7dd6ce8bc4" unitRef="_GBC_cef77704267643d794145c73763360e5" addr="T1R18C5S1_1" formatStyle="Comma"/>
        <m:item xlName="_GBC_6ea742672e3048cd85a51ed53db2907e" concept="clcid-pte:TiQuYingYuGongJiDaoZhiKuCunGuBianDongJinE" label="提取盈余公积导致库存股变动金额" periodRef="上年同期数" mulRef="_GBC_57faea4e453e49ad93821b7dd6ce8bc4" unitRef="_GBC_cef77704267643d794145c73763360e5" addr="T1R18C6S1_1" baseScale="-1" formatStyle="Comma"/>
        <m:item xlName="_GBC_d252b325af8d4e3087396e6cea2a1c44" concept="clcid-pte:TiQuYingYuGongJiDaoZhiQiTaZongHeShouYiBianDongJinE" label="提取盈余公积导致其他综合收益变动金额" periodRef="上年同期数" mulRef="_GBC_57faea4e453e49ad93821b7dd6ce8bc4" unitRef="_GBC_cef77704267643d794145c73763360e5" addr="T1R18C7S1_1" formatStyle="Comma"/>
        <m:item xlName="_GBC_014ecfd05b0f42d5bf5b06bfdaddc2fc" concept="clcid-pte:TiQuYingYuGongJiDaoZhiZhuanXiangChuBeiBianDongJinE" label="提取盈余公积导致专项储备变动金额" periodRef="上年同期数" mulRef="_GBC_57faea4e453e49ad93821b7dd6ce8bc4" unitRef="_GBC_cef77704267643d794145c73763360e5" addr="T1R18C8S1_1" formatStyle="Comma"/>
        <m:item xlName="_GBC_48b00a4dbffb477a94ca770d44992ade" concept="clcid-pte:TiQuYingYuGongJiDaoZhiYingYuGongJiBianDongJinE" label="提取盈余公积导致盈余公积变动金额" periodRef="上年同期数" mulRef="_GBC_57faea4e453e49ad93821b7dd6ce8bc4" unitRef="_GBC_cef77704267643d794145c73763360e5" addr="T1R18C9S1_1" formatStyle="Comma"/>
        <m:item xlName="_GBC_3ae9c91c7cfb435dae346625fd97ba77" concept="clcid-pte:TiQuYingYuGongJiDaoZhiYiBanFengXianZhunBeiBianDongJinE" label="提取盈余公积导致一般风险准备变动金额" periodRef="上年同期数" mulRef="_GBC_57faea4e453e49ad93821b7dd6ce8bc4" unitRef="_GBC_cef77704267643d794145c73763360e5" addr="T1R18C10S1_1" formatStyle="Comma"/>
        <m:item xlName="_GBC_47567c73ef814c5db712b835a07094a3" concept="clcid-pte:TiQuYingYuGongJiDaoZhiWeiFenPeiLiRunBianDongJinE" label="提取盈余公积导致未分配利润变动金额" periodRef="上年同期数" mulRef="_GBC_57faea4e453e49ad93821b7dd6ce8bc4" unitRef="_GBC_cef77704267643d794145c73763360e5" addr="T1R18C11S1_1" formatStyle="Comma"/>
        <m:item xlName="_GBC_6db71d37532645e58d862157dfcc7953" concept="clcid-pte:TiQuYingYuGongJiDaoZhiQiTaDeGuiShuYuMuGongSiSuoYouZheQuanYiBianDongJinE" label="提取盈余公积导致其他的归属于母公司所有者权益变动金额" periodRef="上年同期数" mulRef="_GBC_57faea4e453e49ad93821b7dd6ce8bc4" unitRef="_GBC_cef77704267643d794145c73763360e5" addr="T1R18C12S1_1" formatStyle="Comma"/>
        <m:item xlName="_GBC_f5dd5e57af5945888ad13f14efb2fde3" concept="clcid-pte:TiQuYingYuGongJiDaoZhiGuiShuYuMuGongSiSuoYouZheQuanYiBianDongJinE" label="提取盈余公积导致归属于母公司所有者权益变动金额" periodRef="上年同期数" mulRef="_GBC_57faea4e453e49ad93821b7dd6ce8bc4" unitRef="_GBC_cef77704267643d794145c73763360e5" addr="T1R18C13S1_1" formatStyle="Comma"/>
        <m:item xlName="_GBC_e901b5ea7f304905a601de66781579ee" concept="clcid-pte:TiQuYingYuGongJiDaoZhiShaoShuGuDongQuanYiBianDongJinE" label="提取盈余公积导致少数股东权益变动金额" periodRef="上年同期数" mulRef="_GBC_57faea4e453e49ad93821b7dd6ce8bc4" unitRef="_GBC_cef77704267643d794145c73763360e5" addr="T1R18C14S1_1" formatStyle="Comma"/>
        <m:item xlName="_GBC_f8c6f31ea25446b28cf6cea7344eef89" concept="clcid-pte:TiQuYingYuGongJiDaoZhiGuDongQuanYiHeJiBianDongJinE" label="提取盈余公积导致股东权益合计变动金额" periodRef="上年同期数" mulRef="_GBC_57faea4e453e49ad93821b7dd6ce8bc4" unitRef="_GBC_cef77704267643d794145c73763360e5" addr="T1R18C15S1_1" formatStyle="Comma"/>
        <m:placeholder xlName="_PLD_6d8c8a0de80b4f6a97fdb16b82b3a6ac" wordText="2．提取一般风险准备" addr="T1R19C0S1_1"/>
        <m:item xlName="_GBC_a7f89ae428824c5382c9a6a97fb5fc53" concept="clcid-pte:TiQuYiBanFengXianZhunBeiDaoZhiShiShouZiBenHuoGuBenJingEBianDongJinE" label="提取一般风险准备导致实收资本（或股本）净额变动金额" periodRef="上年同期数" mulRef="_GBC_57faea4e453e49ad93821b7dd6ce8bc4" unitRef="_GBC_cef77704267643d794145c73763360e5" addr="T1R19C1S1_1" formatStyle="Comma"/>
        <m:item xlName="_GBC_d3e313b8a07c42478fb6c61fecbef7c5" concept="clcid-pte:TiQuYiBanFengXianZhunBeiDaoZhiQiTaQuanYiGongJuZhongDeYouXianGuBianDongJinE" label="提取一般风险准备导致其他权益工具中的优先股变动金额" periodRef="上年同期数" mulRef="_GBC_57faea4e453e49ad93821b7dd6ce8bc4" unitRef="_GBC_cef77704267643d794145c73763360e5" addr="T1R19C2S1_1" formatStyle="Comma"/>
        <m:item xlName="_GBC_86b836fe78594e77b6f7a7d647b4cbb9" concept="clcid-pte:TiQuYiBanFengXianZhunBeiDaoZhiQiTaQuanYiGongJuZhongDeYongXuZhaiBianDongJinE" label="提取一般风险准备导致其他权益工具中的永续债变动金额" periodRef="上年同期数" mulRef="_GBC_57faea4e453e49ad93821b7dd6ce8bc4" unitRef="_GBC_cef77704267643d794145c73763360e5" addr="T1R19C3S1_1" formatStyle="Comma"/>
        <m:item xlName="_GBC_6409f592632148bb918d1b3d0be90717" concept="clcid-pte:TiQuYiBanFengXianZhunBeiDaoZhiQiTaQuanYiGongJuZhongDeQiTaBianDongJinE" label="提取一般风险准备导致其他权益工具中的其他变动金额" periodRef="上年同期数" mulRef="_GBC_57faea4e453e49ad93821b7dd6ce8bc4" unitRef="_GBC_cef77704267643d794145c73763360e5" addr="T1R19C4S1_1" formatStyle="Comma"/>
        <m:item xlName="_GBC_952eb7e4afb34abb9db3764a32407d2c" concept="clcid-pte:TiQuYiBanFengXianZhunBeiDaoZhiZiBenGongJiBianDongJinE" label="提取一般风险准备导致资本公积变动金额" periodRef="上年同期数" mulRef="_GBC_57faea4e453e49ad93821b7dd6ce8bc4" unitRef="_GBC_cef77704267643d794145c73763360e5" addr="T1R19C5S1_1" formatStyle="Comma"/>
        <m:item xlName="_GBC_d7d2613373a344cd8c4d394821420ea8" concept="clcid-pte:TiQuYiBanFengXianZhunBeiDaoZhiKuCunGuBianDongJinE" label="提取一般风险准备导致库存股变动金额" periodRef="上年同期数" mulRef="_GBC_57faea4e453e49ad93821b7dd6ce8bc4" unitRef="_GBC_cef77704267643d794145c73763360e5" addr="T1R19C6S1_1" baseScale="-1" formatStyle="Comma"/>
        <m:item xlName="_GBC_6bde1610cbd949a58dbdc60da9367839" concept="clcid-pte:TiQuYiBanFengXianZhunBeiDaoZhiQiTaZongHeShouYiBianDongJinE" label="提取一般风险准备导致其他综合收益变动金额" periodRef="上年同期数" mulRef="_GBC_57faea4e453e49ad93821b7dd6ce8bc4" unitRef="_GBC_cef77704267643d794145c73763360e5" addr="T1R19C7S1_1" formatStyle="Comma"/>
        <m:item xlName="_GBC_0784c6d1c5ce4f0cb1a86cdac5af5f91" concept="clcid-pte:TiQuYiBanFengXianZhunBeiDaoZhiZhuanXiangChuBeiBianDongJinE" label="提取一般风险准备导致专项储备变动金额" periodRef="上年同期数" mulRef="_GBC_57faea4e453e49ad93821b7dd6ce8bc4" unitRef="_GBC_cef77704267643d794145c73763360e5" addr="T1R19C8S1_1" formatStyle="Comma"/>
        <m:item xlName="_GBC_0ee556f1f37647f891568be346ba24d3" concept="clcid-pte:TiQuYiBanFengXianZhunBeiDaoZhiYingYuGongJiBianDongJinE" label="提取一般风险准备导致盈余公积变动金额" periodRef="上年同期数" mulRef="_GBC_57faea4e453e49ad93821b7dd6ce8bc4" unitRef="_GBC_cef77704267643d794145c73763360e5" addr="T1R19C9S1_1" formatStyle="Comma"/>
        <m:item xlName="_GBC_94ee4ff2a44a4f54834af8c87eb8fb91" concept="clcid-pte:TiQuYiBanFengXianZhunBeiDaoZhiYiBanFengXianZhunBeiBianDongJinE" label="提取一般风险准备导致一般风险准备变动金额" periodRef="上年同期数" mulRef="_GBC_57faea4e453e49ad93821b7dd6ce8bc4" unitRef="_GBC_cef77704267643d794145c73763360e5" addr="T1R19C10S1_1" formatStyle="Comma"/>
        <m:item xlName="_GBC_f9c36577c937400ba03449fd7e178714" concept="clcid-pte:TiQuYiBanFengXianZhunBeiDaoZhiWeiFenPeiLiRunBianDongJinE" label="提取一般风险准备导致未分配利润变动金额" periodRef="上年同期数" mulRef="_GBC_57faea4e453e49ad93821b7dd6ce8bc4" unitRef="_GBC_cef77704267643d794145c73763360e5" addr="T1R19C11S1_1" formatStyle="Comma"/>
        <m:item xlName="_GBC_1a2045845ff7423ebaf5ebc7999ef4ba" concept="clcid-pte:TiQuYiBanFengXianZhunBeiDaoZhiQiTaDeGuiShuYuMuGongSiSuoYouZheQuanYiBianDongJinE" label="提取一般风险准备导致其他的归属于母公司所有者权益变动金额" periodRef="上年同期数" mulRef="_GBC_57faea4e453e49ad93821b7dd6ce8bc4" unitRef="_GBC_cef77704267643d794145c73763360e5" addr="T1R19C12S1_1" formatStyle="Comma"/>
        <m:item xlName="_GBC_f7a1fc6d82b546af97d914be32614c07" concept="clcid-pte:TiQuYiBanFengXianZhunBeiDaoZhiGuiShuYuMuGongSiSuoYouZheQuanYiBianDongJinE" label="提取一般风险准备导致归属于母公司所有者权益变动金额" periodRef="上年同期数" mulRef="_GBC_57faea4e453e49ad93821b7dd6ce8bc4" unitRef="_GBC_cef77704267643d794145c73763360e5" addr="T1R19C13S1_1" formatStyle="Comma"/>
        <m:item xlName="_GBC_51a3b0d4c6b0486b84539b65e5a62abd" concept="clcid-pte:TiQuYiBanFengXianZhunBeiDaoZhiShaoShuGuDongQuanYiBianDongJinE" label="提取一般风险准备导致少数股东权益变动金额" periodRef="上年同期数" mulRef="_GBC_57faea4e453e49ad93821b7dd6ce8bc4" unitRef="_GBC_cef77704267643d794145c73763360e5" addr="T1R19C14S1_1" formatStyle="Comma"/>
        <m:item xlName="_GBC_06c8c7b57bdc4592bb44c707f646848a" concept="clcid-pte:TiQuYiBanFengXianZhunBeiDaoZhiGuDongQuanYiHeJiBianDongJinE" label="提取一般风险准备导致股东权益合计变动金额" periodRef="上年同期数" mulRef="_GBC_57faea4e453e49ad93821b7dd6ce8bc4" unitRef="_GBC_cef77704267643d794145c73763360e5" addr="T1R19C15S1_1" formatStyle="Comma"/>
        <m:placeholder xlName="_PLD_a5531db3e1d84f3897cb962fdc73ab3d" wordText="3．对所有者（或股东）的分配" addr="T1R20C0S1_1"/>
        <m:item xlName="_GBC_3003f6166e484522945649c1cc43e1ba" concept="clcid-pte:DuiSuoYouZheHuoGuDongDeFenPeiDaoZhiShiShouZiBenHuoGuBenJingEBianDongJinE" label="对所有者（或股东）的分配导致实收资本（或股本）净额变动金额" periodRef="上年同期数" mulRef="_GBC_57faea4e453e49ad93821b7dd6ce8bc4" unitRef="_GBC_cef77704267643d794145c73763360e5" addr="T1R20C1S1_1" formatStyle="Comma"/>
        <m:item xlName="_GBC_5be55735ceb543b8881f377d4ffd25ab" concept="clcid-pte:DuiSuoYouZheHuoGuDongDeFenPeiDaoZhiQiTaQuanYiGongJuZhongDeYouXianGuBianDongJinE" label="对所有者（或股东）的分配导致其他权益工具中的优先股变动金额" periodRef="上年同期数" mulRef="_GBC_57faea4e453e49ad93821b7dd6ce8bc4" unitRef="_GBC_cef77704267643d794145c73763360e5" addr="T1R20C2S1_1" formatStyle="Comma"/>
        <m:item xlName="_GBC_b69ec3ba321943cf96e6cce9293d7478" concept="clcid-pte:DuiSuoYouZheHuoGuDongDeFenPeiDaoZhiQiTaQuanYiGongJuZhongDeYongXuZhaiBianDongJinE" label="对所有者（或股东）的分配导致其他权益工具中的永续债变动金额" periodRef="上年同期数" mulRef="_GBC_57faea4e453e49ad93821b7dd6ce8bc4" unitRef="_GBC_cef77704267643d794145c73763360e5" addr="T1R20C3S1_1" formatStyle="Comma"/>
        <m:item xlName="_GBC_2a13264b2c004630afef4619ce26c2fe" concept="clcid-pte:DuiSuoYouZheHuoGuDongDeFenPeiDaoZhiQiTaQuanYiGongJuZhongDeQiTaBianDongJinE" label="对所有者（或股东）的分配导致其他权益工具中的其他变动金额" periodRef="上年同期数" mulRef="_GBC_57faea4e453e49ad93821b7dd6ce8bc4" unitRef="_GBC_cef77704267643d794145c73763360e5" addr="T1R20C4S1_1" formatStyle="Comma"/>
        <m:item xlName="_GBC_5696e6a003164113bcdff8b0d1be437b" concept="clcid-pte:DuiSuoYouZheHuoGuDongDeFenPeiDaoZhiZiBenGongJiBianDongJinE" label="对所有者（或股东）的分配导致资本公积变动金额" periodRef="上年同期数" mulRef="_GBC_57faea4e453e49ad93821b7dd6ce8bc4" unitRef="_GBC_cef77704267643d794145c73763360e5" addr="T1R20C5S1_1" formatStyle="Comma"/>
        <m:item xlName="_GBC_0187f2c819764d38b8beaa22e179695d" concept="clcid-pte:DuiSuoYouZheHuoGuDongDeFenPeiDaoZhiKuCunGuBianDongJinE" label="对所有者（或股东）的分配导致库存股变动金额" periodRef="上年同期数" mulRef="_GBC_57faea4e453e49ad93821b7dd6ce8bc4" unitRef="_GBC_cef77704267643d794145c73763360e5" addr="T1R20C6S1_1" baseScale="-1" formatStyle="Comma"/>
        <m:item xlName="_GBC_ee0d088a36a4403ca0f85e52ad4fd818" concept="clcid-pte:DuiSuoYouZheHuoGuDongDeFenPeiDaoZhiQiTaZongHeShouYiBianDongJinE" label="对所有者（或股东）的分配导致其他综合收益变动金额" periodRef="上年同期数" mulRef="_GBC_57faea4e453e49ad93821b7dd6ce8bc4" unitRef="_GBC_cef77704267643d794145c73763360e5" addr="T1R20C7S1_1" formatStyle="Comma"/>
        <m:item xlName="_GBC_02289b58a7564f9ab8258718078507ce" concept="clcid-pte:DuiSuoYouZheHuoGuDongDeFenPeiDaoZhiZhuanXiangChuBeiBianDongJinE" label="对所有者（或股东）的分配导致专项储备变动金额" periodRef="上年同期数" mulRef="_GBC_57faea4e453e49ad93821b7dd6ce8bc4" unitRef="_GBC_cef77704267643d794145c73763360e5" addr="T1R20C8S1_1" formatStyle="Comma"/>
        <m:item xlName="_GBC_2337d820a173434e9ce28248d06889a1" concept="clcid-pte:DuiSuoYouZheHuoGuDongDeFenPeiDaoZhiYingYuGongJiBianDongJinE" label="对所有者（或股东）的分配导致盈余公积变动金额" periodRef="上年同期数" mulRef="_GBC_57faea4e453e49ad93821b7dd6ce8bc4" unitRef="_GBC_cef77704267643d794145c73763360e5" addr="T1R20C9S1_1" formatStyle="Comma"/>
        <m:item xlName="_GBC_c6e060f617964a88bf533bbf44f3c126" concept="clcid-pte:DuiSuoYouZheHuoGuDongDeFenPeiDaoZhiYiBanFengXianZhunBeiBianDongJinE" label="对所有者（或股东）的分配导致一般风险准备变动金额" periodRef="上年同期数" mulRef="_GBC_57faea4e453e49ad93821b7dd6ce8bc4" unitRef="_GBC_cef77704267643d794145c73763360e5" addr="T1R20C10S1_1" formatStyle="Comma"/>
        <m:item xlName="_GBC_06663aea81954a448741795eff18882b" concept="clcid-pte:DuiSuoYouZheHuoGuDongDeFenPeiDaoZhiWeiFenPeiLiRunBianDongJinE" label="对所有者（或股东）的分配导致未分配利润变动金额" periodRef="上年同期数" mulRef="_GBC_57faea4e453e49ad93821b7dd6ce8bc4" unitRef="_GBC_cef77704267643d794145c73763360e5" addr="T1R20C11S1_1" formatStyle="Comma"/>
        <m:item xlName="_GBC_2007060cffe14ef481553ba4cccecaab" concept="clcid-pte:DuiSuoYouZheHuoGuDongDeFenPeiDaoZhiQiTaDeGuiShuYuMuGongSiSuoYouZheQuanYiBianDongJinE" label="对所有者（或股东）的分配导致其他的归属于母公司所有者权益变动金额" periodRef="上年同期数" mulRef="_GBC_57faea4e453e49ad93821b7dd6ce8bc4" unitRef="_GBC_cef77704267643d794145c73763360e5" addr="T1R20C12S1_1" formatStyle="Comma"/>
        <m:item xlName="_GBC_6bc8ede00edc40e59f953361c92eb559" concept="clcid-pte:DuiSuoYouZheHuoGuDongDeFenPeiDaoZhiGuiShuYuMuGongSiSuoYouZheQuanYiBianDongJinE" label="对所有者（或股东）的分配导致归属于母公司所有者权益变动金额" periodRef="上年同期数" mulRef="_GBC_57faea4e453e49ad93821b7dd6ce8bc4" unitRef="_GBC_cef77704267643d794145c73763360e5" addr="T1R20C13S1_1" formatStyle="Comma"/>
        <m:item xlName="_GBC_80d74d2547154c35ae2d19c6c42a1b72" concept="clcid-pte:DuiSuoYouZheHuoGuDongDeFenPeiDaoZhiShaoShuGuDongQuanYiBianDongJinE" label="对所有者（或股东）的分配导致少数股东权益变动金额" periodRef="上年同期数" mulRef="_GBC_57faea4e453e49ad93821b7dd6ce8bc4" unitRef="_GBC_cef77704267643d794145c73763360e5" addr="T1R20C14S1_1" formatStyle="Comma"/>
        <m:item xlName="_GBC_1174c85e38a44988b8ec9884cc5757e2" concept="clcid-pte:DuiSuoYouZheHuoGuDongDeFenPeiDaoZhiGuDongQuanYiHeJiBianDongJinE" label="对所有者（或股东）的分配导致股东权益合计变动金额" periodRef="上年同期数" mulRef="_GBC_57faea4e453e49ad93821b7dd6ce8bc4" unitRef="_GBC_cef77704267643d794145c73763360e5" addr="T1R20C15S1_1" formatStyle="Comma"/>
        <m:placeholder xlName="_PLD_f3206f8cddd54371b8a1b220dc836af8" wordText="4．其他" addr="T1R21C0S1_1"/>
        <m:item xlName="_GBC_49a218b412d440d18c50034e3ac33cba" concept="clcid-pte:QiTaLiRunFenPeiDaoZhiShiShouZiBenHuoGuBenJingEBianDongJinE" label="其他利润分配导致实收资本（或股本）净额变动金额" periodRef="上年同期数" mulRef="_GBC_57faea4e453e49ad93821b7dd6ce8bc4" unitRef="_GBC_cef77704267643d794145c73763360e5" addr="T1R21C1S1_1" formatStyle="Comma"/>
        <m:item xlName="_GBC_287b3643fe9f4dd8ae3b570cd789c71d" concept="clcid-pte:QiTaLiRunFenPeiDaoZhiQiTaQuanYiGongJuZhongDeYouXianGuBianDongJinE" label="其他利润分配导致其他权益工具中的优先股变动金额" periodRef="上年同期数" mulRef="_GBC_57faea4e453e49ad93821b7dd6ce8bc4" unitRef="_GBC_cef77704267643d794145c73763360e5" addr="T1R21C2S1_1" formatStyle="Comma"/>
        <m:item xlName="_GBC_7a9878d497e6470abe05fb1ab441f4dd" concept="clcid-pte:QiTaLiRunFenPeiDaoZhiQiTaQuanYiGongJuZhongDeYongXuZhaiBianDongJinE" label="其他利润分配导致其他权益工具中的永续债变动金额" periodRef="上年同期数" mulRef="_GBC_57faea4e453e49ad93821b7dd6ce8bc4" unitRef="_GBC_cef77704267643d794145c73763360e5" addr="T1R21C3S1_1" formatStyle="Comma"/>
        <m:item xlName="_GBC_3acdd25e64a24e17a2d1ca28d182e6d1" concept="clcid-pte:QiTaLiRunFenPeiDaoZhiQiTaQuanYiGongJuZhongDeQiTaBianDongJinE" label="其他利润分配导致其他权益工具中的其他变动金额" periodRef="上年同期数" mulRef="_GBC_57faea4e453e49ad93821b7dd6ce8bc4" unitRef="_GBC_cef77704267643d794145c73763360e5" addr="T1R21C4S1_1" formatStyle="Comma"/>
        <m:item xlName="_GBC_af2a7a1252ac41e9bef6babfd762e41c" concept="clcid-pte:QiTaLiRunFenPeiDaoZhiZiBenGongJiBianDongJinE" label="其他利润分配导致资本公积变动金额" periodRef="上年同期数" mulRef="_GBC_57faea4e453e49ad93821b7dd6ce8bc4" unitRef="_GBC_cef77704267643d794145c73763360e5" addr="T1R21C5S1_1" formatStyle="Comma"/>
        <m:item xlName="_GBC_65e632c5b00d4ef7a7620d9b8713f8e5" concept="clcid-pte:QiTaLiRunFenPeiDaoZhiKuCunGuBianDongJinE" label="其他利润分配导致库存股变动金额" periodRef="上年同期数" mulRef="_GBC_57faea4e453e49ad93821b7dd6ce8bc4" unitRef="_GBC_cef77704267643d794145c73763360e5" addr="T1R21C6S1_1" baseScale="-1" formatStyle="Comma"/>
        <m:item xlName="_GBC_61c3ee3a348a47b1ba6ac6c2b4d5cfc7" concept="clcid-pte:QiTaLiRunFenPeiDaoZhiQiTaZongHeShouYiBianDongJinE" label="其他利润分配导致其他综合收益变动金额" periodRef="上年同期数" mulRef="_GBC_57faea4e453e49ad93821b7dd6ce8bc4" unitRef="_GBC_cef77704267643d794145c73763360e5" addr="T1R21C7S1_1" formatStyle="Comma"/>
        <m:item xlName="_GBC_1f67bd299ed94d4194f6d1d362c6a615" concept="clcid-pte:QiTaLiRunFenPeiDaoZhiZhuanXiangChuBeiBianDongJinE" label="其他利润分配导致专项储备变动金额" periodRef="上年同期数" mulRef="_GBC_57faea4e453e49ad93821b7dd6ce8bc4" unitRef="_GBC_cef77704267643d794145c73763360e5" addr="T1R21C8S1_1" formatStyle="Comma"/>
        <m:item xlName="_GBC_afc9fb3d8ef14cf19d092708904ed019" concept="clcid-pte:QiTaLiRunFenPeiDaoZhiYingYuGongJiBianDongJinE" label="其他利润分配导致盈余公积变动金额" periodRef="上年同期数" mulRef="_GBC_57faea4e453e49ad93821b7dd6ce8bc4" unitRef="_GBC_cef77704267643d794145c73763360e5" addr="T1R21C9S1_1" formatStyle="Comma"/>
        <m:item xlName="_GBC_58fdd24d1dad47a9b6ad6db366e2c23d" concept="clcid-pte:QiTaLiRunFenPeiDaoZhiYiBanFengXianZhunBeiBianDongJinE" label="其他利润分配导致一般风险准备变动金额" periodRef="上年同期数" mulRef="_GBC_57faea4e453e49ad93821b7dd6ce8bc4" unitRef="_GBC_cef77704267643d794145c73763360e5" addr="T1R21C10S1_1" formatStyle="Comma"/>
        <m:item xlName="_GBC_26d360d5069c44458cc6f235b0624ee9" concept="clcid-pte:QiTaLiRunFenPeiDaoZhiWeiFenPeiLiRunBianDongJinE" label="其他利润分配导致未分配利润变动金额" periodRef="上年同期数" mulRef="_GBC_57faea4e453e49ad93821b7dd6ce8bc4" unitRef="_GBC_cef77704267643d794145c73763360e5" addr="T1R21C11S1_1" formatStyle="Comma"/>
        <m:item xlName="_GBC_8f4a1742dc334e05b5056ea80d66b9c8" concept="clcid-pte:QiTaLiRunFenPeiDaoZhiQiTaDeGuiShuYuMuGongSiSuoYouZheQuanYiBianDongJinE" label="其他利润分配导致其他的归属于母公司所有者权益变动金额" periodRef="上年同期数" mulRef="_GBC_57faea4e453e49ad93821b7dd6ce8bc4" unitRef="_GBC_cef77704267643d794145c73763360e5" addr="T1R21C12S1_1" formatStyle="Comma"/>
        <m:item xlName="_GBC_44c76e3b720b448e9594bb6d730138f7" concept="clcid-pte:QiTaLiRunFenPeiDaoZhiGuiShuYuMuGongSiSuoYouZheQuanYiBianDongJinE" label="其他利润分配导致归属于母公司所有者权益变动金额" periodRef="上年同期数" mulRef="_GBC_57faea4e453e49ad93821b7dd6ce8bc4" unitRef="_GBC_cef77704267643d794145c73763360e5" addr="T1R21C13S1_1" formatStyle="Comma"/>
        <m:item xlName="_GBC_6909b66769724588afd860e8e453b2ff" concept="clcid-pte:QiTaLiRunFenPeiDaoZhiShaoShuGuDongQuanYiBianDongJinE" label="其他利润分配导致少数股东权益变动金额" periodRef="上年同期数" mulRef="_GBC_57faea4e453e49ad93821b7dd6ce8bc4" unitRef="_GBC_cef77704267643d794145c73763360e5" addr="T1R21C14S1_1" formatStyle="Comma"/>
        <m:item xlName="_GBC_d58b6741cced4fe7806546c0229261d5" concept="clcid-pte:QiTaLiRunFenPeiDaoZhiGuDongQuanYiHeJiBianDongJinE" label="其他利润分配导致股东权益合计变动金额" periodRef="上年同期数" mulRef="_GBC_57faea4e453e49ad93821b7dd6ce8bc4" unitRef="_GBC_cef77704267643d794145c73763360e5" addr="T1R21C15S1_1" formatStyle="Comma"/>
        <m:placeholder xlName="_PLD_c0c9652bd3724ad8b729d3650a0840d4" wordText="（四）所有者权益内部结转" addr="T1R22C0S1_1"/>
        <m:item xlName="_GBC_430d37ec6126471183ece184d3516982" concept="clcid-pte:SuoYouZheQuanYiNeiBuJieZhuanDaoZhiShiShouZiBenHuoGuBenJingEBianDongJinE" label="所有者权益内部结转导致实收资本（或股本）净额变动金额" periodRef="上年同期数" mulRef="_GBC_57faea4e453e49ad93821b7dd6ce8bc4" unitRef="_GBC_cef77704267643d794145c73763360e5" addr="T1R22C1S1_1" formatStyle="Comma">
          <m:complexRule comparator="Eq" title="所有者权益内部结转导致实收资本（或股本）净额变动金额@上年同期数" test="$_GBC_bf04be8498d547e59a1185e2d46aa05b+$_GBC_eb63993f80ff4579a864af9645d114a0+$_GBC_d26d092affbd43a0b1c90581e7769e6c+$_GBC_0f4b3618500946cc83ef37cd55d83d7e+$_GBC_937abba58d3541e995a07871c147d5e6+$_GBC_ae5842fb36d0410cb539392af747b07a" id="C12d66cf7151d40feb4d8413eda8d7ec7"/>
        </m:item>
        <m:item xlName="_GBC_94fe73400621450cac12f08a1054f7d9" concept="clcid-pte:SuoYouZheQuanYiNeiBuJieZhuanDaoZhiQiTaQuanYiGongJuZhongDeYouXianGuBianDongJinE" label="所有者权益内部结转导致其他权益工具中的优先股变动金额" periodRef="上年同期数" mulRef="_GBC_57faea4e453e49ad93821b7dd6ce8bc4" unitRef="_GBC_cef77704267643d794145c73763360e5" addr="T1R22C2S1_1" formatStyle="Comma">
          <m:complexRule comparator="Eq" title="所有者权益内部结转导致其他权益工具中的优先股变动金额@上年同期数" test="$_GBC_9199b321dc514bc28c56e9040e3defb1+$_GBC_4136aa32eb084f848c77279e3ede1c1b+$_GBC_90b3b1714451496ea7e7ee0d61b848ca+$_GBC_2bb3f22e821449d696dffc7e6dd24dd1+$_GBC_970b72db13644cb0be5d37d6fd96a027+$_GBC_6c0ad08e91f74fb0a199ce4ee0043c1a" id="Cd1b067a7c417432291b73f1f87632f23"/>
        </m:item>
        <m:item xlName="_GBC_936c172f6a2644e29eef9fe3059a2874" concept="clcid-pte:SuoYouZheQuanYiNeiBuJieZhuanDaoZhiQiTaQuanYiGongJuZhongDeYongXuZhaiBianDongJinE" label="所有者权益内部结转导致其他权益工具中的永续债变动金额" periodRef="上年同期数" mulRef="_GBC_57faea4e453e49ad93821b7dd6ce8bc4" unitRef="_GBC_cef77704267643d794145c73763360e5" addr="T1R22C3S1_1" formatStyle="Comma">
          <m:complexRule comparator="Eq" title="所有者权益内部结转导致其他权益工具中的永续债变动金额@上年同期数" test="$_GBC_d733da77ac52492db3fbc7946a7ee42b+$_GBC_1344334d12ae457e9728a551f139d9d1+$_GBC_87799245699145b8bafec2718280bb27+$_GBC_053126ae18604890ab9e3e5b96ffbbe4+$_GBC_fb6ee8ee92ae431eb9ef99ca2a40d6f7+$_GBC_b5d9c584c167498bab1b94c554b6a079" id="C162de281af614100908cdd8825938790"/>
        </m:item>
        <m:item xlName="_GBC_c8e67d47d3ec4963a1d3e7865b30560f" concept="clcid-pte:SuoYouZheQuanYiNeiBuJieZhuanDaoZhiQiTaQuanYiGongJuZhongDeQiTaBianDongJinE" label="所有者权益内部结转导致其他权益工具中的其他变动金额" periodRef="上年同期数" mulRef="_GBC_57faea4e453e49ad93821b7dd6ce8bc4" unitRef="_GBC_cef77704267643d794145c73763360e5" addr="T1R22C4S1_1" formatStyle="Comma">
          <m:complexRule comparator="Eq" title="所有者权益内部结转导致其他权益工具中的其他变动金额@上年同期数" test="$_GBC_acc561dd655c4989bbae811acd4952c0+$_GBC_91ba1fe97fa54df9848eb466833b14bd+$_GBC_eaa55c1173454b8cada43f367c0e0082+$_GBC_6d88dad9a78a4048a1ac19fe21e8bfe7+$_GBC_c3bbe967210a4717b41a0c6a96189ec6+$_GBC_12c4e5f3a0444383aaf493f4ffc7a5e6" id="C982f483a17f04a9c8f652af6d2e70fba"/>
        </m:item>
        <m:item xlName="_GBC_3ecde6efd34847ae98d6d9a11fcda816" concept="clcid-pte:SuoYouZheQuanYiNeiBuJieZhuanDaoZhiZiBenGongJiBianDongJinE" label="所有者权益内部结转导致资本公积变动金额" periodRef="上年同期数" mulRef="_GBC_57faea4e453e49ad93821b7dd6ce8bc4" unitRef="_GBC_cef77704267643d794145c73763360e5" addr="T1R22C5S1_1" formatStyle="Comma">
          <m:complexRule comparator="Eq" title="所有者权益内部结转导致资本公积变动金额@上年同期数" test="$_GBC_ccbb29ef9a2047999b720f1e0b4e1d0d+$_GBC_afc890304eca464f8689b95d06afcd77+$_GBC_225b260231434c3d87cbfbd727351fde+$_GBC_98ea0a4011be495492820c1cbcc97b9b+$_GBC_385640e82d0242b88a0272f9c7cb923e+$_GBC_29348654486c4f0ea15f0c6ed9ca0cd2" id="Cf4cdc83dc44748fb92dc6217780ea5a7"/>
        </m:item>
        <m:item xlName="_GBC_37d0d9ec3b4b4fa29f2ff16f15400d7e" concept="clcid-pte:SuoYouZheQuanYiNeiBuJieZhuanDaoZhiKuCunGuBianDongJinE" label="所有者权益内部结转导致库存股变动金额" periodRef="上年同期数" mulRef="_GBC_57faea4e453e49ad93821b7dd6ce8bc4" unitRef="_GBC_cef77704267643d794145c73763360e5" addr="T1R22C6S1_1" baseScale="-1" formatStyle="Comma">
          <m:complexRule comparator="Eq" title="所有者权益内部结转导致库存股变动金额@上年同期数" test="$_GBC_f93caa586f7d415cabd5832002827c52+$_GBC_9e3b43f0c0c743db847fb5e22e5b15fb+$_GBC_2e36b5bf4f79489b8fc8e7f59c68ffd1+$_GBC_3eaf854c7f474c3fa18ab8734b869f23+$_GBC_6f5a9223aa7d45b5bc013c777fde5e6e+$_GBC_6b2960393e724312b89aed57d0f67b59" id="C8e6e73e70c0144f7a07d6bc86fdcf05a"/>
        </m:item>
        <m:item xlName="_GBC_2e73d6ddb696406e96149c75c2c4fdda" concept="clcid-pte:SuoYouZheQuanYiNeiBuJieZhuanDaoZhiQiTaZongHeShouYiBianDongJinE" label="所有者权益内部结转导致其他综合收益变动金额" periodRef="上年同期数" mulRef="_GBC_57faea4e453e49ad93821b7dd6ce8bc4" unitRef="_GBC_cef77704267643d794145c73763360e5" addr="T1R22C7S1_1" formatStyle="Comma">
          <m:complexRule comparator="Eq" title="所有者权益内部结转导致其他综合收益变动金额@上年同期数" test="$_GBC_afb7341c1ff649e6a368bce327a2b4fd+$_GBC_5c5b36f278b94cdea9411aaf4e97ec32+$_GBC_85576da5466645b2bbb0ab07ee457c13+$_GBC_d9a1c5a86b2a491daf8174d342854d75+$_GBC_1961f8b0faa146889b2cb2774d5c8f6e+$_GBC_4fa8fe1b687846b9a7a436d93bfc67e8" id="C44c14f33b389479ba3e45f44914fc5c4"/>
        </m:item>
        <m:item xlName="_GBC_4ce5335277bd4d48a9d69ac5be9eebb0" concept="clcid-pte:SuoYouZheQuanYiNeiBuJieZhuanDaoZhiZhuanXiangChuBeiBianDongJinE" label="所有者权益内部结转导致专项储备变动金额" periodRef="上年同期数" mulRef="_GBC_57faea4e453e49ad93821b7dd6ce8bc4" unitRef="_GBC_cef77704267643d794145c73763360e5" addr="T1R22C8S1_1" formatStyle="Comma">
          <m:complexRule comparator="Eq" title="所有者权益内部结转导致专项储备变动金额@上年同期数" test="$_GBC_accaf0d24bb64e8a9bd8c02e0dac0fb0+$_GBC_93b68f30dad94f13b973ef2ce2786f5f+$_GBC_4ab7b429222d4c1d8954867ab8bb7e0a+$_GBC_7590db42daeb416eb5d0cd0b63bb38bc+$_GBC_2c9e084b964342a08f0b6cb3805482bb+$_GBC_363d14d6cb7843be9501729881436ac6" id="C33242f8eb60649a290c100a42fd1491d"/>
        </m:item>
        <m:item xlName="_GBC_c2fec544370340428694cbc22c7cee29" concept="clcid-pte:SuoYouZheQuanYiNeiBuJieZhuanDaoZhiYingYuGongJiBianDongJinE" label="所有者权益内部结转导致盈余公积变动金额" periodRef="上年同期数" mulRef="_GBC_57faea4e453e49ad93821b7dd6ce8bc4" unitRef="_GBC_cef77704267643d794145c73763360e5" addr="T1R22C9S1_1" formatStyle="Comma">
          <m:complexRule comparator="Eq" title="所有者权益内部结转导致盈余公积变动金额@上年同期数" test="$_GBC_ebef1b6d3bcd4ebc8ccafb6a90c8f3ed+$_GBC_4fd253aa392843bebc34fc4e1d2db0a7+$_GBC_dc67aa2fc0934ef2815745af61082151+$_GBC_8aed8e1c89094099b5799a9187acd918+$_GBC_2e5e1fa5d5154e2bb58a71a13e2d924a+$_GBC_b36f662d63064d78a6a7204abf4ddbef" id="C54f018306e9e401f96ceaaaef4347046"/>
        </m:item>
        <m:item xlName="_GBC_dfb42f2cfbb24873a0bfcf16281ed0db" concept="clcid-pte:SuoYouZheQuanYiNeiBuJieZhuanDaoZhiYiBanFengXianZhunBeiBianDongJinE" label="所有者权益内部结转导致一般风险准备变动金额" periodRef="上年同期数" mulRef="_GBC_57faea4e453e49ad93821b7dd6ce8bc4" unitRef="_GBC_cef77704267643d794145c73763360e5" addr="T1R22C10S1_1" formatStyle="Comma">
          <m:complexRule comparator="Eq" title="所有者权益内部结转导致一般风险准备变动金额@上年同期数" test="$_GBC_d472b085a9784616ab6db2c2a8c88d9e+$_GBC_1af28c6b5a8e4a0cb0185bf95c848354+$_GBC_c702307c02bc4959bc84c6c6a7be22fc+$_GBC_816547e82f2e49a18d5031af465b73e9+$_GBC_1d239374c1cb4eaea35c50211a138ef3+$_GBC_208b6540442340de9e598ea7c0db0cee" id="Cb4c2770528f844808b3c97e9535d6458"/>
        </m:item>
        <m:item xlName="_GBC_ff8d4bcf07cf45b39cc669b82cad2f0d" concept="clcid-pte:SuoYouZheQuanYiNeiBuJieZhuanDaoZhiWeiFenPeiLiRunBianDongJinE" label="所有者权益内部结转导致未分配利润变动金额" periodRef="上年同期数" mulRef="_GBC_57faea4e453e49ad93821b7dd6ce8bc4" unitRef="_GBC_cef77704267643d794145c73763360e5" addr="T1R22C11S1_1" formatStyle="Comma">
          <m:complexRule comparator="Eq" title="所有者权益内部结转导致未分配利润变动金额@上年同期数" test="$_GBC_8e59015789774dd8a0d2b1ac6d65626e+$_GBC_ff2a5de4adba48a3bccffedeae19ab3f+$_GBC_32d95abc6f08486e9e0bb456d0f8556d+$_GBC_c816a46c7dc644ca98e040983fd16b9f+$_GBC_3e16df2a75614cf986f2bce2df5d9c14+$_GBC_fdf5dd7181d94849a5c3dbc073fe8696" id="C2972d4a91d5743ed851885e03bb78cb4"/>
        </m:item>
        <m:item xlName="_GBC_0d008b73933a467cbd8659c4f5bd8043" concept="clcid-pte:SuoYouZheQuanYiNeiBuJieZhuanDaoZhiQiTaDeGuiShuYuMuGongSiSuoYouZheQuanYiBianDongJinE" label="所有者权益内部结转导致其他的归属于母公司所有者权益变动金额" periodRef="上年同期数" mulRef="_GBC_57faea4e453e49ad93821b7dd6ce8bc4" unitRef="_GBC_cef77704267643d794145c73763360e5" addr="T1R22C12S1_1" formatStyle="Comma">
          <m:complexRule comparator="Eq" title="所有者权益内部结转导致其他的归属于母公司所有者权益变动金额@上年同期数" test="$_GBC_5e7b85fb01a8406b86df38a4233c8bf2+$_GBC_a29704f05df34e399f22f02305a3faff+$_GBC_794fd6cb546147c29222352e60f6a203+$_GBC_d0ba753231234813afb70cb8bbd7b7aa+$_GBC_29833085531b48f6a8771c35248c4faa+$_GBC_22c14178dbee40739a16b3406551c24b" id="Cb2b24c6f5d0b452f82cb711f6a28dc27"/>
        </m:item>
        <m:item xlName="_GBC_e71b72f9ef7d428a8dea9bcc77266085" concept="clcid-pte:SuoYouZheQuanYiNeiBuJieZhuanDaoZhiGuiShuYuMuGongSiSuoYouZheQuanYiBianDongJinE" label="所有者权益内部结转导致归属于母公司所有者权益变动金额" periodRef="上年同期数" mulRef="_GBC_57faea4e453e49ad93821b7dd6ce8bc4" unitRef="_GBC_cef77704267643d794145c73763360e5" addr="T1R22C13S1_1" formatStyle="Comma">
          <m:complexRule comparator="Eq" title="所有者权益内部结转导致归属于母公司所有者权益变动金额@上年同期数" test="$_GBC_a85b8ca137c546fe83d2702829a4a7dd+$_GBC_8d297b1c99a1477783760352c6e3262a+$_GBC_4d36b52c9826459dbfb2625d5d5f2102+$_GBC_ece7cc83c32f4aedbfbe05f68d9f8d33+$_GBC_942ac6651806465a852248c40fcc1d8b+$_GBC_458ba861a17b43ae939896906d5cce46" id="C6763e1279ffd474d9f01ce5ff9da00e5"/>
        </m:item>
        <m:item xlName="_GBC_ef98f3a8249e4a3897bb7f985d3f116f" concept="clcid-pte:SuoYouZheQuanYiNeiBuJieZhuanDaoZhiShaoShuGuDongQuanYiBianDongJinE" label="所有者权益内部结转导致少数股东权益变动金额" periodRef="上年同期数" mulRef="_GBC_57faea4e453e49ad93821b7dd6ce8bc4" unitRef="_GBC_cef77704267643d794145c73763360e5" addr="T1R22C14S1_1" formatStyle="Comma">
          <m:complexRule comparator="Eq" title="所有者权益内部结转导致少数股东权益变动金额@上年同期数" test="$_GBC_2c9ca9a6ea5744e8ba1a450fd22ce3e5+$_GBC_77b7c8d5762f43d7938ad4955d9ddc10+$_GBC_dd0e8b9a001e4f34a3e379c5614f782d+$_GBC_5e1a1dee8dc244008ae9bee11f27f7f1+$_GBC_0f6ffeb5377846099c76150ac426c2d6+$_GBC_309577731f3d400aa2a509e0fc061450" id="C090b974de3ec4f29989b55777c417a81"/>
        </m:item>
        <m:item xlName="_GBC_947043cecdef4ed68860f917d334d9da" concept="clcid-pte:SuoYouZheQuanYiNeiBuJieZhuanDaoZhiGuDongQuanYiHeJiBianDongJinE" label="所有者权益内部结转导致股东权益合计变动金额" periodRef="上年同期数" mulRef="_GBC_57faea4e453e49ad93821b7dd6ce8bc4" unitRef="_GBC_cef77704267643d794145c73763360e5" addr="T1R22C15S1_1" formatStyle="Comma">
          <m:complexRule comparator="Eq" title="所有者权益内部结转导致股东权益合计变动金额@上年同期数" test="$_GBC_e1d655f11a904ba186d3514897b4d61e+$_GBC_7f576144fca7409795c4b5e197352233+$_GBC_a505feb07267402fae4a5ff9725e32df+$_GBC_8caecef7cd2542e983587ff2e36acb73+$_GBC_3c77ebf54d7748cbbe3f15c96f110b0d+$_GBC_42b76103de594df2b912400e6d7b145d" id="C2bdf0e2885034c73b147453dd4514a19"/>
        </m:item>
        <m:placeholder xlName="_PLD_469a000ac571436189f1cb682bbe4ce7" wordText="1．资本公积转增资本（或股本）" addr="T1R23C0S1_1"/>
        <m:item xlName="_GBC_bf04be8498d547e59a1185e2d46aa05b" concept="clcid-pte:ZiBenGongJiZhuanZengZiBenHuoGuBenDaoZhiShiShouZiBenHuoGuBenJingEBianDongJinE" label="资本公积转增资本（或股本）导致实收资本（或股本）净额变动金额" periodRef="上年同期数" mulRef="_GBC_57faea4e453e49ad93821b7dd6ce8bc4" unitRef="_GBC_cef77704267643d794145c73763360e5" addr="T1R23C1S1_1" formatStyle="Comma"/>
        <m:item xlName="_GBC_9199b321dc514bc28c56e9040e3defb1" concept="clcid-pte:ZiBenGongJiZhuanZengZiBenHuoGuBenDaoZhiQiTaQuanYiGongJuZhongDeYouXianGuBianDongJinE" label="资本公积转增资本（或股本）导致其他权益工具中的优先股变动金额" periodRef="上年同期数" mulRef="_GBC_57faea4e453e49ad93821b7dd6ce8bc4" unitRef="_GBC_cef77704267643d794145c73763360e5" addr="T1R23C2S1_1" formatStyle="Comma"/>
        <m:item xlName="_GBC_d733da77ac52492db3fbc7946a7ee42b" concept="clcid-pte:ZiBenGongJiZhuanZengZiBenHuoGuBenDaoZhiQiTaQuanYiGongJuZhongDeYongXuZhaiBianDongJinE" label="资本公积转增资本（或股本）导致其他权益工具中的永续债变动金额" periodRef="上年同期数" mulRef="_GBC_57faea4e453e49ad93821b7dd6ce8bc4" unitRef="_GBC_cef77704267643d794145c73763360e5" addr="T1R23C3S1_1" formatStyle="Comma"/>
        <m:item xlName="_GBC_acc561dd655c4989bbae811acd4952c0" concept="clcid-pte:ZiBenGongJiZhuanZengZiBenHuoGuBenDaoZhiQiTaQuanYiGongJuZhongDeQiTaBianDongJinE" label="资本公积转增资本（或股本）导致其他权益工具中的其他变动金额" periodRef="上年同期数" mulRef="_GBC_57faea4e453e49ad93821b7dd6ce8bc4" unitRef="_GBC_cef77704267643d794145c73763360e5" addr="T1R23C4S1_1" formatStyle="Comma"/>
        <m:item xlName="_GBC_ccbb29ef9a2047999b720f1e0b4e1d0d" concept="clcid-pte:ZiBenGongJiZhuanZengZiBenHuoGuBenDaoZhiZiBenGongJiBianDongJinE" label="资本公积转增资本（或股本）导致资本公积变动金额" periodRef="上年同期数" mulRef="_GBC_57faea4e453e49ad93821b7dd6ce8bc4" unitRef="_GBC_cef77704267643d794145c73763360e5" addr="T1R23C5S1_1" formatStyle="Comma"/>
        <m:item xlName="_GBC_f93caa586f7d415cabd5832002827c52" concept="clcid-pte:ZiBenGongJiZhuanZengZiBenHuoGuBenDaoZhiKuCunGuBianDongJinE" label="资本公积转增资本（或股本）导致库存股变动金额" periodRef="上年同期数" mulRef="_GBC_57faea4e453e49ad93821b7dd6ce8bc4" unitRef="_GBC_cef77704267643d794145c73763360e5" addr="T1R23C6S1_1" baseScale="-1" formatStyle="Comma"/>
        <m:item xlName="_GBC_afb7341c1ff649e6a368bce327a2b4fd" concept="clcid-pte:ZiBenGongJiZhuanZengZiBenHuoGuBenDaoZhiQiTaZongHeShouYiBianDongJinE" label="资本公积转增资本（或股本）导致其他综合收益变动金额" periodRef="上年同期数" mulRef="_GBC_57faea4e453e49ad93821b7dd6ce8bc4" unitRef="_GBC_cef77704267643d794145c73763360e5" addr="T1R23C7S1_1" formatStyle="Comma"/>
        <m:item xlName="_GBC_accaf0d24bb64e8a9bd8c02e0dac0fb0" concept="clcid-pte:ZiBenGongJiZhuanZengZiBenHuoGuBenDaoZhiZhuanXiangChuBeiBianDongJinE" label="资本公积转增资本（或股本）导致专项储备变动金额" periodRef="上年同期数" mulRef="_GBC_57faea4e453e49ad93821b7dd6ce8bc4" unitRef="_GBC_cef77704267643d794145c73763360e5" addr="T1R23C8S1_1" formatStyle="Comma"/>
        <m:item xlName="_GBC_ebef1b6d3bcd4ebc8ccafb6a90c8f3ed" concept="clcid-pte:ZiBenGongJiZhuanZengZiBenHuoGuBenDaoZhiYingYuGongJiBianDongJinE" label="资本公积转增资本（或股本）导致盈余公积变动金额" periodRef="上年同期数" mulRef="_GBC_57faea4e453e49ad93821b7dd6ce8bc4" unitRef="_GBC_cef77704267643d794145c73763360e5" addr="T1R23C9S1_1" formatStyle="Comma"/>
        <m:item xlName="_GBC_d472b085a9784616ab6db2c2a8c88d9e" concept="clcid-pte:ZiBenGongJiZhuanZengZiBenHuoGuBenDaoZhiYiBanFengXianZhunBeiBianDongJinE" label="资本公积转增资本（或股本）导致一般风险准备变动金额" periodRef="上年同期数" mulRef="_GBC_57faea4e453e49ad93821b7dd6ce8bc4" unitRef="_GBC_cef77704267643d794145c73763360e5" addr="T1R23C10S1_1" formatStyle="Comma"/>
        <m:item xlName="_GBC_8e59015789774dd8a0d2b1ac6d65626e" concept="clcid-pte:ZiBenGongJiZhuanZengZiBenHuoGuBenDaoZhiWeiFenPeiLiRunBianDongJinE" label="资本公积转增资本（或股本）导致未分配利润变动金额" periodRef="上年同期数" mulRef="_GBC_57faea4e453e49ad93821b7dd6ce8bc4" unitRef="_GBC_cef77704267643d794145c73763360e5" addr="T1R23C11S1_1" formatStyle="Comma"/>
        <m:item xlName="_GBC_5e7b85fb01a8406b86df38a4233c8bf2" concept="clcid-pte:ZiBenGongJiZhuanZengZiBenHuoGuBenDaoZhiQiTaDeGuiShuYuMuGongSiSuoYouZheQuanYiBianDongJinE" label="资本公积转增资本（或股本）导致其他的归属于母公司所有者权益变动金额" periodRef="上年同期数" mulRef="_GBC_57faea4e453e49ad93821b7dd6ce8bc4" unitRef="_GBC_cef77704267643d794145c73763360e5" addr="T1R23C12S1_1" formatStyle="Comma"/>
        <m:item xlName="_GBC_a85b8ca137c546fe83d2702829a4a7dd" concept="clcid-pte:ZiBenGongJiZhuanZengZiBenHuoGuBenDaoZhiGuiShuYuMuGongSiSuoYouZheQuanYiBianDongJinE" label="资本公积转增资本（或股本）导致归属于母公司所有者权益变动金额" periodRef="上年同期数" mulRef="_GBC_57faea4e453e49ad93821b7dd6ce8bc4" unitRef="_GBC_cef77704267643d794145c73763360e5" addr="T1R23C13S1_1" formatStyle="Comma"/>
        <m:item xlName="_GBC_2c9ca9a6ea5744e8ba1a450fd22ce3e5" concept="clcid-pte:ZiBenGongJiZhuanZengZiBenHuoGuBenDaoZhiShaoShuGuDongQuanYiBianDongJinE" label="资本公积转增资本（或股本）导致少数股东权益变动金额" periodRef="上年同期数" mulRef="_GBC_57faea4e453e49ad93821b7dd6ce8bc4" unitRef="_GBC_cef77704267643d794145c73763360e5" addr="T1R23C14S1_1" formatStyle="Comma"/>
        <m:item xlName="_GBC_e1d655f11a904ba186d3514897b4d61e" concept="clcid-pte:ZiBenGongJiZhuanZengZiBenHuoGuBenDaoZhiGuDongQuanYiHeJiBianDongJinE" label="资本公积转增资本（或股本）导致股东权益合计变动金额" periodRef="上年同期数" mulRef="_GBC_57faea4e453e49ad93821b7dd6ce8bc4" unitRef="_GBC_cef77704267643d794145c73763360e5" addr="T1R23C15S1_1" formatStyle="Comma"/>
        <m:placeholder xlName="_PLD_8874e17dc09c419baab53299f7967f44" wordText="2．盈余公积转增资本（或股本）" addr="T1R24C0S1_1"/>
        <m:item xlName="_GBC_eb63993f80ff4579a864af9645d114a0" concept="clcid-pte:YingYuGongJiZhuanZengZiBenHuoGuBenDaoZhiShiShouZiBenHuoGuBenJingEBianDongJinE" label="盈余公积转增资本（或股本）导致实收资本（或股本）净额变动金额" periodRef="上年同期数" mulRef="_GBC_57faea4e453e49ad93821b7dd6ce8bc4" unitRef="_GBC_cef77704267643d794145c73763360e5" addr="T1R24C1S1_1" formatStyle="Comma"/>
        <m:item xlName="_GBC_4136aa32eb084f848c77279e3ede1c1b" concept="clcid-pte:YingYuGongJiZhuanZengZiBenHuoGuBenDaoZhiQiTaQuanYiGongJuZhongDeYouXianGuBianDongJinE" label="盈余公积转增资本（或股本）导致其他权益工具中的优先股变动金额" periodRef="上年同期数" mulRef="_GBC_57faea4e453e49ad93821b7dd6ce8bc4" unitRef="_GBC_cef77704267643d794145c73763360e5" addr="T1R24C2S1_1" formatStyle="Comma"/>
        <m:item xlName="_GBC_1344334d12ae457e9728a551f139d9d1" concept="clcid-pte:YingYuGongJiZhuanZengZiBenHuoGuBenDaoZhiQiTaQuanYiGongJuZhongDeYongXuZhaiBianDongJinE" label="盈余公积转增资本（或股本）导致其他权益工具中的永续债变动金额" periodRef="上年同期数" mulRef="_GBC_57faea4e453e49ad93821b7dd6ce8bc4" unitRef="_GBC_cef77704267643d794145c73763360e5" addr="T1R24C3S1_1" formatStyle="Comma"/>
        <m:item xlName="_GBC_91ba1fe97fa54df9848eb466833b14bd" concept="clcid-pte:YingYuGongJiZhuanZengZiBenHuoGuBenDaoZhiQiTaQuanYiGongJuZhongDeQiTaBianDongJinE" label="盈余公积转增资本（或股本）导致其他权益工具中的其他变动金额" periodRef="上年同期数" mulRef="_GBC_57faea4e453e49ad93821b7dd6ce8bc4" unitRef="_GBC_cef77704267643d794145c73763360e5" addr="T1R24C4S1_1" formatStyle="Comma"/>
        <m:item xlName="_GBC_afc890304eca464f8689b95d06afcd77" concept="clcid-pte:YingYuGongJiZhuanZengZiBenHuoGuBenDaoZhiZiBenGongJiBianDongJinE" label="盈余公积转增资本（或股本）导致资本公积变动金额" periodRef="上年同期数" mulRef="_GBC_57faea4e453e49ad93821b7dd6ce8bc4" unitRef="_GBC_cef77704267643d794145c73763360e5" addr="T1R24C5S1_1" formatStyle="Comma"/>
        <m:item xlName="_GBC_9e3b43f0c0c743db847fb5e22e5b15fb" concept="clcid-pte:YingYuGongJiZhuanZengZiBenHuoGuBenDaoZhiKuCunGuBianDongJinE" label="盈余公积转增资本（或股本）导致库存股变动金额" periodRef="上年同期数" mulRef="_GBC_57faea4e453e49ad93821b7dd6ce8bc4" unitRef="_GBC_cef77704267643d794145c73763360e5" addr="T1R24C6S1_1" baseScale="-1" formatStyle="Comma"/>
        <m:item xlName="_GBC_5c5b36f278b94cdea9411aaf4e97ec32" concept="clcid-pte:YingYuGongJiZhuanZengZiBenHuoGuBenDaoZhiQiTaZongHeShouYiBianDongJinE" label="盈余公积转增资本（或股本）导致其他综合收益变动金额" periodRef="上年同期数" mulRef="_GBC_57faea4e453e49ad93821b7dd6ce8bc4" unitRef="_GBC_cef77704267643d794145c73763360e5" addr="T1R24C7S1_1" formatStyle="Comma"/>
        <m:item xlName="_GBC_93b68f30dad94f13b973ef2ce2786f5f" concept="clcid-pte:YingYuGongJiZhuanZengZiBenHuoGuBenDaoZhiZhuanXiangChuBeiBianDongJinE" label="盈余公积转增资本（或股本）导致专项储备变动金额" periodRef="上年同期数" mulRef="_GBC_57faea4e453e49ad93821b7dd6ce8bc4" unitRef="_GBC_cef77704267643d794145c73763360e5" addr="T1R24C8S1_1" formatStyle="Comma"/>
        <m:item xlName="_GBC_4fd253aa392843bebc34fc4e1d2db0a7" concept="clcid-pte:YingYuGongJiZhuanZengZiBenHuoGuBenDaoZhiYingYuGongJiBianDongJinE" label="盈余公积转增资本（或股本）导致盈余公积变动金额" periodRef="上年同期数" mulRef="_GBC_57faea4e453e49ad93821b7dd6ce8bc4" unitRef="_GBC_cef77704267643d794145c73763360e5" addr="T1R24C9S1_1" formatStyle="Comma"/>
        <m:item xlName="_GBC_1af28c6b5a8e4a0cb0185bf95c848354" concept="clcid-pte:YingYuGongJiZhuanZengZiBenHuoGuBenDaoZhiYiBanFengXianZhunBeiBianDongJinE" label="盈余公积转增资本（或股本）导致一般风险准备变动金额" periodRef="上年同期数" mulRef="_GBC_57faea4e453e49ad93821b7dd6ce8bc4" unitRef="_GBC_cef77704267643d794145c73763360e5" addr="T1R24C10S1_1" formatStyle="Comma"/>
        <m:item xlName="_GBC_ff2a5de4adba48a3bccffedeae19ab3f" concept="clcid-pte:YingYuGongJiZhuanZengZiBenHuoGuBenDaoZhiWeiFenPeiLiRunBianDongJinE" label="盈余公积转增资本（或股本）导致未分配利润变动金额" periodRef="上年同期数" mulRef="_GBC_57faea4e453e49ad93821b7dd6ce8bc4" unitRef="_GBC_cef77704267643d794145c73763360e5" addr="T1R24C11S1_1" formatStyle="Comma"/>
        <m:item xlName="_GBC_a29704f05df34e399f22f02305a3faff" concept="clcid-pte:YingYuGongJiZhuanZengZiBenHuoGuBenDaoZhiQiTaDeGuiShuYuMuGongSiSuoYouZheQuanYiBianDongJinE" label="盈余公积转增资本（或股本）导致其他的归属于母公司所有者权益变动金额" periodRef="上年同期数" mulRef="_GBC_57faea4e453e49ad93821b7dd6ce8bc4" unitRef="_GBC_cef77704267643d794145c73763360e5" addr="T1R24C12S1_1" formatStyle="Comma"/>
        <m:item xlName="_GBC_8d297b1c99a1477783760352c6e3262a" concept="clcid-pte:YingYuGongJiZhuanZengZiBenHuoGuBenDaoZhiGuiShuYuMuGongSiSuoYouZheQuanYiBianDongJinE" label="盈余公积转增资本（或股本）导致归属于母公司所有者权益变动金额" periodRef="上年同期数" mulRef="_GBC_57faea4e453e49ad93821b7dd6ce8bc4" unitRef="_GBC_cef77704267643d794145c73763360e5" addr="T1R24C13S1_1" formatStyle="Comma"/>
        <m:item xlName="_GBC_77b7c8d5762f43d7938ad4955d9ddc10" concept="clcid-pte:YingYuGongJiZhuanZengZiBenHuoGuBenDaoZhiShaoShuGuDongQuanYiBianDongJinE" label="盈余公积转增资本（或股本）导致少数股东权益变动金额" periodRef="上年同期数" mulRef="_GBC_57faea4e453e49ad93821b7dd6ce8bc4" unitRef="_GBC_cef77704267643d794145c73763360e5" addr="T1R24C14S1_1" formatStyle="Comma"/>
        <m:item xlName="_GBC_7f576144fca7409795c4b5e197352233" concept="clcid-pte:YingYuGongJiZhuanZengZiBenHuoGuBenDaoZhiGuDongQuanYiHeJiBianDongJinE" label="盈余公积转增资本（或股本）导致股东权益合计变动金额" periodRef="上年同期数" mulRef="_GBC_57faea4e453e49ad93821b7dd6ce8bc4" unitRef="_GBC_cef77704267643d794145c73763360e5" addr="T1R24C15S1_1" formatStyle="Comma"/>
        <m:placeholder xlName="_PLD_e3c6e2e078f649258bfa4dadb9266249" wordText="3．盈余公积弥补亏损" addr="T1R25C0S1_1"/>
        <m:item xlName="_GBC_d26d092affbd43a0b1c90581e7769e6c" concept="clcid-pte:YingYuGongJiMiBuKuiSunDaoZhiShiShouZiBenHuoGuBenJingEBianDongJinE" label="盈余公积弥补亏损导致实收资本（或股本）净额变动金额" periodRef="上年同期数" mulRef="_GBC_57faea4e453e49ad93821b7dd6ce8bc4" unitRef="_GBC_cef77704267643d794145c73763360e5" addr="T1R25C1S1_1" formatStyle="Comma"/>
        <m:item xlName="_GBC_90b3b1714451496ea7e7ee0d61b848ca" concept="clcid-pte:YingYuGongJiMiBuKuiSunDaoZhiQiTaQuanYiGongJuZhongDeYouXianGuBianDongJinE" label="盈余公积弥补亏损导致其他权益工具中的优先股变动金额" periodRef="上年同期数" mulRef="_GBC_57faea4e453e49ad93821b7dd6ce8bc4" unitRef="_GBC_cef77704267643d794145c73763360e5" addr="T1R25C2S1_1" formatStyle="Comma"/>
        <m:item xlName="_GBC_87799245699145b8bafec2718280bb27" concept="clcid-pte:YingYuGongJiMiBuKuiSunDaoZhiQiTaQuanYiGongJuZhongDeYongXuZhaiBianDongJinE" label="盈余公积弥补亏损导致其他权益工具中的永续债变动金额" periodRef="上年同期数" mulRef="_GBC_57faea4e453e49ad93821b7dd6ce8bc4" unitRef="_GBC_cef77704267643d794145c73763360e5" addr="T1R25C3S1_1" formatStyle="Comma"/>
        <m:item xlName="_GBC_eaa55c1173454b8cada43f367c0e0082" concept="clcid-pte:YingYuGongJiMiBuKuiSunDaoZhiQiTaQuanYiGongJuZhongDeQiTaBianDongJinE" label="盈余公积弥补亏损导致其他权益工具中的其他变动金额" periodRef="上年同期数" mulRef="_GBC_57faea4e453e49ad93821b7dd6ce8bc4" unitRef="_GBC_cef77704267643d794145c73763360e5" addr="T1R25C4S1_1" formatStyle="Comma"/>
        <m:item xlName="_GBC_225b260231434c3d87cbfbd727351fde" concept="clcid-pte:YingYuGongJiMiBuKuiSunDaoZhiZiBenGongJiBianDongJinE" label="盈余公积弥补亏损导致资本公积变动金额" periodRef="上年同期数" mulRef="_GBC_57faea4e453e49ad93821b7dd6ce8bc4" unitRef="_GBC_cef77704267643d794145c73763360e5" addr="T1R25C5S1_1" formatStyle="Comma"/>
        <m:item xlName="_GBC_2e36b5bf4f79489b8fc8e7f59c68ffd1" concept="clcid-pte:YingYuGongJiMiBuKuiSunDaoZhiKuCunGuBianDongJinE" label="盈余公积弥补亏损导致库存股变动金额" periodRef="上年同期数" mulRef="_GBC_57faea4e453e49ad93821b7dd6ce8bc4" unitRef="_GBC_cef77704267643d794145c73763360e5" addr="T1R25C6S1_1" baseScale="-1" formatStyle="Comma"/>
        <m:item xlName="_GBC_85576da5466645b2bbb0ab07ee457c13" concept="clcid-pte:YingYuGongJiMiBuKuiSunDaoZhiQiTaZongHeShouYiBianDongJinE" label="盈余公积弥补亏损导致其他综合收益变动金额" periodRef="上年同期数" mulRef="_GBC_57faea4e453e49ad93821b7dd6ce8bc4" unitRef="_GBC_cef77704267643d794145c73763360e5" addr="T1R25C7S1_1" formatStyle="Comma"/>
        <m:item xlName="_GBC_4ab7b429222d4c1d8954867ab8bb7e0a" concept="clcid-pte:YingYuGongJiMiBuKuiSunDaoZhiZhuanXiangChuBeiBianDongJinE" label="盈余公积弥补亏损导致专项储备变动金额" periodRef="上年同期数" mulRef="_GBC_57faea4e453e49ad93821b7dd6ce8bc4" unitRef="_GBC_cef77704267643d794145c73763360e5" addr="T1R25C8S1_1" formatStyle="Comma"/>
        <m:item xlName="_GBC_dc67aa2fc0934ef2815745af61082151" concept="clcid-pte:YingYuGongJiMiBuKuiSunDaoZhiYingYuGongJiBianDongJinE" label="盈余公积弥补亏损导致盈余公积变动金额" periodRef="上年同期数" mulRef="_GBC_57faea4e453e49ad93821b7dd6ce8bc4" unitRef="_GBC_cef77704267643d794145c73763360e5" addr="T1R25C9S1_1" formatStyle="Comma"/>
        <m:item xlName="_GBC_c702307c02bc4959bc84c6c6a7be22fc" concept="clcid-pte:YingYuGongJiMiBuKuiSunDaoZhiYiBanFengXianZhunBeiBianDongJinE" label="盈余公积弥补亏损导致一般风险准备变动金额" periodRef="上年同期数" mulRef="_GBC_57faea4e453e49ad93821b7dd6ce8bc4" unitRef="_GBC_cef77704267643d794145c73763360e5" addr="T1R25C10S1_1" formatStyle="Comma"/>
        <m:item xlName="_GBC_32d95abc6f08486e9e0bb456d0f8556d" concept="clcid-pte:YingYuGongJiMiBuKuiSunDaoZhiWeiFenPeiLiRunBianDongJinE" label="盈余公积弥补亏损导致未分配利润变动金额" periodRef="上年同期数" mulRef="_GBC_57faea4e453e49ad93821b7dd6ce8bc4" unitRef="_GBC_cef77704267643d794145c73763360e5" addr="T1R25C11S1_1" formatStyle="Comma"/>
        <m:item xlName="_GBC_794fd6cb546147c29222352e60f6a203" concept="clcid-pte:YingYuGongJiMiBuKuiSunDaoZhiQiTaDeGuiShuYuMuGongSiSuoYouZheQuanYiBianDongJinE" label="盈余公积弥补亏损导致其他的归属于母公司所有者权益变动金额" periodRef="上年同期数" mulRef="_GBC_57faea4e453e49ad93821b7dd6ce8bc4" unitRef="_GBC_cef77704267643d794145c73763360e5" addr="T1R25C12S1_1" formatStyle="Comma"/>
        <m:item xlName="_GBC_4d36b52c9826459dbfb2625d5d5f2102" concept="clcid-pte:YingYuGongJiMiBuKuiSunDaoZhiGuiShuYuMuGongSiSuoYouZheQuanYiBianDongJinE" label="盈余公积弥补亏损导致归属于母公司所有者权益变动金额" periodRef="上年同期数" mulRef="_GBC_57faea4e453e49ad93821b7dd6ce8bc4" unitRef="_GBC_cef77704267643d794145c73763360e5" addr="T1R25C13S1_1" formatStyle="Comma"/>
        <m:item xlName="_GBC_dd0e8b9a001e4f34a3e379c5614f782d" concept="clcid-pte:YingYuGongJiMiBuKuiSunDaoZhiShaoShuGuDongQuanYiBianDongJinE" label="盈余公积弥补亏损导致少数股东权益变动金额" periodRef="上年同期数" mulRef="_GBC_57faea4e453e49ad93821b7dd6ce8bc4" unitRef="_GBC_cef77704267643d794145c73763360e5" addr="T1R25C14S1_1" formatStyle="Comma"/>
        <m:item xlName="_GBC_a505feb07267402fae4a5ff9725e32df" concept="clcid-pte:YingYuGongJiMiBuKuiSunDaoZhiGuDongQuanYiHeJiBianDongJinE" label="盈余公积弥补亏损导致股东权益合计变动金额" periodRef="上年同期数" mulRef="_GBC_57faea4e453e49ad93821b7dd6ce8bc4" unitRef="_GBC_cef77704267643d794145c73763360e5" addr="T1R25C15S1_1" formatStyle="Comma"/>
        <m:placeholder xlName="_PLD_7a03b853b8c74c2fb2e89f59e327b578" wordText="4．设定受益计划变动额结转留存收益" addr="T1R26C0S1_1"/>
        <m:item xlName="_GBC_0f4b3618500946cc83ef37cd55d83d7e" concept="clcid-pte:SheDingShouYiJiHuaBianDongEJieZhuanLiuCunShouYiDaoZhiShiShouZiBenHuoGuBenJingEBianDongJinE" label="设定受益计划变动额结转留存收益导致实收资本（或股本）净额变动金额" periodRef="上年同期数" mulRef="_GBC_57faea4e453e49ad93821b7dd6ce8bc4" unitRef="_GBC_cef77704267643d794145c73763360e5" addr="T1R26C1S1_1" formatStyle="Comma"/>
        <m:item xlName="_GBC_2bb3f22e821449d696dffc7e6dd24dd1" concept="clcid-pte:SheDingShouYiJiHuaBianDongEJieZhuanLiuCunShouYiDaoZhiQiTaQuanYiGongJuZhongDeYouXianGuBianDongJinE" label="设定受益计划变动额结转留存收益导致其他权益工具中的优先股变动金额" periodRef="上年同期数" mulRef="_GBC_57faea4e453e49ad93821b7dd6ce8bc4" unitRef="_GBC_cef77704267643d794145c73763360e5" addr="T1R26C2S1_1" formatStyle="Comma"/>
        <m:item xlName="_GBC_053126ae18604890ab9e3e5b96ffbbe4" concept="clcid-pte:SheDingShouYiJiHuaBianDongEJieZhuanLiuCunShouYiDaoZhiQiTaQuanYiGongJuZhongDeYongXuZhaiBianDongJinE" label="设定受益计划变动额结转留存收益导致其他权益工具中的永续债变动金额" periodRef="上年同期数" mulRef="_GBC_57faea4e453e49ad93821b7dd6ce8bc4" unitRef="_GBC_cef77704267643d794145c73763360e5" addr="T1R26C3S1_1" formatStyle="Comma"/>
        <m:item xlName="_GBC_6d88dad9a78a4048a1ac19fe21e8bfe7" concept="clcid-pte:SheDingShouYiJiHuaBianDongEJieZhuanLiuCunShouYiDaoZhiQiTaQuanYiGongJuZhongDeQiTaBianDongJinE" label="设定受益计划变动额结转留存收益导致其他权益工具中的其他变动金额" periodRef="上年同期数" mulRef="_GBC_57faea4e453e49ad93821b7dd6ce8bc4" unitRef="_GBC_cef77704267643d794145c73763360e5" addr="T1R26C4S1_1" formatStyle="Comma"/>
        <m:item xlName="_GBC_98ea0a4011be495492820c1cbcc97b9b" concept="clcid-pte:SheDingShouYiJiHuaBianDongEJieZhuanLiuCunShouYiDaoZhiZiBenGongJiBianDongJinE" label="设定受益计划变动额结转留存收益导致资本公积变动金额" periodRef="上年同期数" mulRef="_GBC_57faea4e453e49ad93821b7dd6ce8bc4" unitRef="_GBC_cef77704267643d794145c73763360e5" addr="T1R26C5S1_1" formatStyle="Comma"/>
        <m:item xlName="_GBC_3eaf854c7f474c3fa18ab8734b869f23" concept="clcid-pte:SheDingShouYiJiHuaBianDongEJieZhuanLiuCunShouYiDaoZhiKuCunGuBianDongJinE" label="设定受益计划变动额结转留存收益导致库存股变动金额" periodRef="上年同期数" mulRef="_GBC_57faea4e453e49ad93821b7dd6ce8bc4" unitRef="_GBC_cef77704267643d794145c73763360e5" addr="T1R26C6S1_1" baseScale="-1" formatStyle="Comma"/>
        <m:item xlName="_GBC_d9a1c5a86b2a491daf8174d342854d75" concept="clcid-pte:SheDingShouYiJiHuaBianDongEJieZhuanLiuCunShouYiDaoZhiQiTaZongHeShouYiBianDongJinE" label="设定受益计划变动额结转留存收益导致其他综合收益变动金额" periodRef="上年同期数" mulRef="_GBC_57faea4e453e49ad93821b7dd6ce8bc4" unitRef="_GBC_cef77704267643d794145c73763360e5" addr="T1R26C7S1_1" formatStyle="Comma"/>
        <m:item xlName="_GBC_7590db42daeb416eb5d0cd0b63bb38bc" concept="clcid-pte:SheDingShouYiJiHuaBianDongEJieZhuanLiuCunShouYiDaoZhiZhuanXiangChuBeiBianDongJinE" label="设定受益计划变动额结转留存收益导致专项储备变动金额" periodRef="上年同期数" mulRef="_GBC_57faea4e453e49ad93821b7dd6ce8bc4" unitRef="_GBC_cef77704267643d794145c73763360e5" addr="T1R26C8S1_1" formatStyle="Comma"/>
        <m:item xlName="_GBC_8aed8e1c89094099b5799a9187acd918" concept="clcid-pte:SheDingShouYiJiHuaBianDongEJieZhuanLiuCunShouYiDaoZhiYingYuGongJiBianDongJinE" label="设定受益计划变动额结转留存收益导致盈余公积变动金额" periodRef="上年同期数" mulRef="_GBC_57faea4e453e49ad93821b7dd6ce8bc4" unitRef="_GBC_cef77704267643d794145c73763360e5" addr="T1R26C9S1_1" formatStyle="Comma"/>
        <m:item xlName="_GBC_816547e82f2e49a18d5031af465b73e9" concept="clcid-pte:SheDingShouYiJiHuaBianDongEJieZhuanLiuCunShouYiDaoZhiYiBanFengXianZhunBeiBianDongJinE" label="设定受益计划变动额结转留存收益导致一般风险准备变动金额" periodRef="上年同期数" mulRef="_GBC_57faea4e453e49ad93821b7dd6ce8bc4" unitRef="_GBC_cef77704267643d794145c73763360e5" addr="T1R26C10S1_1" formatStyle="Comma"/>
        <m:item xlName="_GBC_c816a46c7dc644ca98e040983fd16b9f" concept="clcid-pte:SheDingShouYiJiHuaBianDongEJieZhuanLiuCunShouYiDaoZhiWeiFenPeiLiRunBianDongJinE" label="设定受益计划变动额结转留存收益导致未分配利润变动金额" periodRef="上年同期数" mulRef="_GBC_57faea4e453e49ad93821b7dd6ce8bc4" unitRef="_GBC_cef77704267643d794145c73763360e5" addr="T1R26C11S1_1" formatStyle="Comma"/>
        <m:item xlName="_GBC_d0ba753231234813afb70cb8bbd7b7aa" concept="clcid-pte:SheDingShouYiJiHuaBianDongEJieZhuanLiuCunShouYiDaoZhiQiTaDeGuiShuYuMuGongSiSuoYouZheQuanYiBianDongJinE" label="设定受益计划变动额结转留存收益导致其他的归属于母公司所有者权益变动金额" periodRef="上年同期数" mulRef="_GBC_57faea4e453e49ad93821b7dd6ce8bc4" unitRef="_GBC_cef77704267643d794145c73763360e5" addr="T1R26C12S1_1" formatStyle="Comma"/>
        <m:item xlName="_GBC_ece7cc83c32f4aedbfbe05f68d9f8d33" concept="clcid-pte:SheDingShouYiJiHuaBianDongEJieZhuanLiuCunShouYiDaoZhiGuiShuYuMuGongSiSuoYouZheQuanYiBianDongJinE" label="设定受益计划变动额结转留存收益导致归属于母公司所有者权益变动金额" periodRef="上年同期数" mulRef="_GBC_57faea4e453e49ad93821b7dd6ce8bc4" unitRef="_GBC_cef77704267643d794145c73763360e5" addr="T1R26C13S1_1" formatStyle="Comma"/>
        <m:item xlName="_GBC_5e1a1dee8dc244008ae9bee11f27f7f1" concept="clcid-pte:SheDingShouYiJiHuaBianDongEJieZhuanLiuCunShouYiDaoZhiShaoShuGuDongQuanYiBianDongJinE" label="设定受益计划变动额结转留存收益导致少数股东权益变动金额" periodRef="上年同期数" mulRef="_GBC_57faea4e453e49ad93821b7dd6ce8bc4" unitRef="_GBC_cef77704267643d794145c73763360e5" addr="T1R26C14S1_1" formatStyle="Comma"/>
        <m:item xlName="_GBC_8caecef7cd2542e983587ff2e36acb73" concept="clcid-pte:SheDingShouYiJiHuaBianDongEJieZhuanLiuCunShouYiDaoZhiGuDongQuanYiHeJiBianDongJinE" label="设定受益计划变动额结转留存收益导致股东权益合计变动金额" periodRef="上年同期数" mulRef="_GBC_57faea4e453e49ad93821b7dd6ce8bc4" unitRef="_GBC_cef77704267643d794145c73763360e5" addr="T1R26C15S1_1" formatStyle="Comma"/>
        <m:placeholder xlName="_PLD_1db95d2c039e4fb6b41eae5a5c0aeb0a" wordText="5．其他综合收益结转留存收益" addr="T1R27C0S1_1"/>
        <m:item xlName="_GBC_937abba58d3541e995a07871c147d5e6" concept="clcid-pte:QiTaZongHeShouYiJieZhuanLiuCunShouYiDaoZhiShiShouZiBenHuoGuBenJingEBianDongJinE" label="其他综合收益结转留存收益导致实收资本（或股本）净额变动金额" periodRef="上年同期数" mulRef="_GBC_57faea4e453e49ad93821b7dd6ce8bc4" unitRef="_GBC_cef77704267643d794145c73763360e5" addr="T1R27C1S1_1" formatStyle="Comma"/>
        <m:item xlName="_GBC_970b72db13644cb0be5d37d6fd96a027" concept="clcid-pte:QiTaZongHeShouYiJieZhuanLiuCunShouYiDaoZhiQiTaQuanYiGongJuZhongDeYouXianGuBianDongJinE" label="其他综合收益结转留存收益导致其他权益工具中的优先股变动金额" periodRef="上年同期数" mulRef="_GBC_57faea4e453e49ad93821b7dd6ce8bc4" unitRef="_GBC_cef77704267643d794145c73763360e5" addr="T1R27C2S1_1" formatStyle="Comma"/>
        <m:item xlName="_GBC_fb6ee8ee92ae431eb9ef99ca2a40d6f7" concept="clcid-pte:QiTaZongHeShouYiJieZhuanLiuCunShouYiDaoZhiQiTaQuanYiGongJuZhongDeYongXuZhaiBianDongJinE" label="其他综合收益结转留存收益导致其他权益工具中的永续债变动金额" periodRef="上年同期数" mulRef="_GBC_57faea4e453e49ad93821b7dd6ce8bc4" unitRef="_GBC_cef77704267643d794145c73763360e5" addr="T1R27C3S1_1" formatStyle="Comma"/>
        <m:item xlName="_GBC_c3bbe967210a4717b41a0c6a96189ec6" concept="clcid-pte:QiTaZongHeShouYiJieZhuanLiuCunShouYiDaoZhiQiTaQuanYiGongJuZhongDeQiTaBianDongJinE" label="其他综合收益结转留存收益导致其他权益工具中的其他变动金额" periodRef="上年同期数" mulRef="_GBC_57faea4e453e49ad93821b7dd6ce8bc4" unitRef="_GBC_cef77704267643d794145c73763360e5" addr="T1R27C4S1_1" formatStyle="Comma"/>
        <m:item xlName="_GBC_385640e82d0242b88a0272f9c7cb923e" concept="clcid-pte:QiTaZongHeShouYiJieZhuanLiuCunShouYiDaoZhiZiBenGongJiBianDongJinE" label="其他综合收益结转留存收益导致资本公积变动金额" periodRef="上年同期数" mulRef="_GBC_57faea4e453e49ad93821b7dd6ce8bc4" unitRef="_GBC_cef77704267643d794145c73763360e5" addr="T1R27C5S1_1" formatStyle="Comma"/>
        <m:item xlName="_GBC_6f5a9223aa7d45b5bc013c777fde5e6e" concept="clcid-pte:QiTaZongHeShouYiJieZhuanLiuCunShouYiDaoZhiKuCunGuBianDongJinE" label="其他综合收益结转留存收益导致库存股变动金额" periodRef="上年同期数" mulRef="_GBC_57faea4e453e49ad93821b7dd6ce8bc4" unitRef="_GBC_cef77704267643d794145c73763360e5" addr="T1R27C6S1_1" baseScale="-1" formatStyle="Comma"/>
        <m:item xlName="_GBC_1961f8b0faa146889b2cb2774d5c8f6e" concept="clcid-pte:QiTaZongHeShouYiJieZhuanLiuCunShouYiDaoZhiQiTaZongHeShouYiBianDongJinE" label="其他综合收益结转留存收益导致其他综合收益变动金额" periodRef="上年同期数" mulRef="_GBC_57faea4e453e49ad93821b7dd6ce8bc4" unitRef="_GBC_cef77704267643d794145c73763360e5" addr="T1R27C7S1_1" formatStyle="Comma"/>
        <m:item xlName="_GBC_2c9e084b964342a08f0b6cb3805482bb" concept="clcid-pte:QiTaZongHeShouYiJieZhuanLiuCunShouYiDaoZhiZhuanXiangChuBeiBianDongJinE" label="其他综合收益结转留存收益导致专项储备变动金额" periodRef="上年同期数" mulRef="_GBC_57faea4e453e49ad93821b7dd6ce8bc4" unitRef="_GBC_cef77704267643d794145c73763360e5" addr="T1R27C8S1_1" formatStyle="Comma"/>
        <m:item xlName="_GBC_2e5e1fa5d5154e2bb58a71a13e2d924a" concept="clcid-pte:QiTaZongHeShouYiJieZhuanLiuCunShouYiDaoZhiYingYuGongJiBianDongJinE" label="其他综合收益结转留存收益导致盈余公积变动金额" periodRef="上年同期数" mulRef="_GBC_57faea4e453e49ad93821b7dd6ce8bc4" unitRef="_GBC_cef77704267643d794145c73763360e5" addr="T1R27C9S1_1" formatStyle="Comma"/>
        <m:item xlName="_GBC_1d239374c1cb4eaea35c50211a138ef3" concept="clcid-pte:QiTaZongHeShouYiJieZhuanLiuCunShouYiDaoZhiYiBanFengXianZhunBeiBianDongJinE" label="其他综合收益结转留存收益导致一般风险准备变动金额" periodRef="上年同期数" mulRef="_GBC_57faea4e453e49ad93821b7dd6ce8bc4" unitRef="_GBC_cef77704267643d794145c73763360e5" addr="T1R27C10S1_1" formatStyle="Comma"/>
        <m:item xlName="_GBC_3e16df2a75614cf986f2bce2df5d9c14" concept="clcid-pte:QiTaZongHeShouYiJieZhuanLiuCunShouYiDaoZhiWeiFenPeiLiRunBianDongJinE" label="其他综合收益结转留存收益导致未分配利润变动金额" periodRef="上年同期数" mulRef="_GBC_57faea4e453e49ad93821b7dd6ce8bc4" unitRef="_GBC_cef77704267643d794145c73763360e5" addr="T1R27C11S1_1" formatStyle="Comma"/>
        <m:item xlName="_GBC_29833085531b48f6a8771c35248c4faa" concept="clcid-pte:QiTaZongHeShouYiJieZhuanLiuCunShouYiDaoZhiQiTaDeGuiShuYuMuGongSiSuoYouZheQuanYiBianDongJinE" label="其他综合收益结转留存收益导致其他的归属于母公司所有者权益变动金额" periodRef="上年同期数" mulRef="_GBC_57faea4e453e49ad93821b7dd6ce8bc4" unitRef="_GBC_cef77704267643d794145c73763360e5" addr="T1R27C12S1_1" formatStyle="Comma"/>
        <m:item xlName="_GBC_942ac6651806465a852248c40fcc1d8b" concept="clcid-pte:QiTaZongHeShouYiJieZhuanLiuCunShouYiDaoZhiGuiShuYuMuGongSiSuoYouZheQuanYiBianDongJinE" label="其他综合收益结转留存收益导致归属于母公司所有者权益变动金额" periodRef="上年同期数" mulRef="_GBC_57faea4e453e49ad93821b7dd6ce8bc4" unitRef="_GBC_cef77704267643d794145c73763360e5" addr="T1R27C13S1_1" formatStyle="Comma"/>
        <m:item xlName="_GBC_0f6ffeb5377846099c76150ac426c2d6" concept="clcid-pte:QiTaZongHeShouYiJieZhuanLiuCunShouYiDaoZhiShaoShuGuDongQuanYiBianDongJinE" label="其他综合收益结转留存收益导致少数股东权益变动金额" periodRef="上年同期数" mulRef="_GBC_57faea4e453e49ad93821b7dd6ce8bc4" unitRef="_GBC_cef77704267643d794145c73763360e5" addr="T1R27C14S1_1" formatStyle="Comma"/>
        <m:item xlName="_GBC_3c77ebf54d7748cbbe3f15c96f110b0d" concept="clcid-pte:QiTaZongHeShouYiJieZhuanLiuCunShouYiDaoZhiGuDongQuanYiHeJiBianDongJinE" label="其他综合收益结转留存收益导致股东权益合计变动金额" periodRef="上年同期数" mulRef="_GBC_57faea4e453e49ad93821b7dd6ce8bc4" unitRef="_GBC_cef77704267643d794145c73763360e5" addr="T1R27C15S1_1" formatStyle="Comma"/>
        <m:placeholder xlName="_PLD_44b366cf670e4514b5f91bc8cef97e27" wordText="6．其他" addr="T1R28C0S1_1"/>
        <m:item xlName="_GBC_ae5842fb36d0410cb539392af747b07a" concept="clcid-pte:QiTaSuoYouZheQuanYiNeiBuJieZhuanDaoZhiShiShouZiBenHuoGuBenJingEBianDongJinE" label="其他所有者权益内部结转导致实收资本（或股本）净额变动金额" periodRef="上年同期数" mulRef="_GBC_57faea4e453e49ad93821b7dd6ce8bc4" unitRef="_GBC_cef77704267643d794145c73763360e5" addr="T1R28C1S1_1" formatStyle="Comma"/>
        <m:item xlName="_GBC_6c0ad08e91f74fb0a199ce4ee0043c1a" concept="clcid-pte:QiTaSuoYouZheQuanYiNeiBuJieZhuanDaoZhiQiTaQuanYiGongJuZhongDeYouXianGuBianDongJinE" label="其他所有者权益内部结转导致其他权益工具中的优先股变动金额" periodRef="上年同期数" mulRef="_GBC_57faea4e453e49ad93821b7dd6ce8bc4" unitRef="_GBC_cef77704267643d794145c73763360e5" addr="T1R28C2S1_1" formatStyle="Comma"/>
        <m:item xlName="_GBC_b5d9c584c167498bab1b94c554b6a079" concept="clcid-pte:QiTaSuoYouZheQuanYiNeiBuJieZhuanDaoZhiQiTaQuanYiGongJuZhongDeYongXuZhaiBianDongJinE" label="其他所有者权益内部结转导致其他权益工具中的永续债变动金额" periodRef="上年同期数" mulRef="_GBC_57faea4e453e49ad93821b7dd6ce8bc4" unitRef="_GBC_cef77704267643d794145c73763360e5" addr="T1R28C3S1_1" formatStyle="Comma"/>
        <m:item xlName="_GBC_12c4e5f3a0444383aaf493f4ffc7a5e6" concept="clcid-pte:QiTaSuoYouZheQuanYiNeiBuJieZhuanDaoZhiQiTaQuanYiGongJuZhongDeQiTaBianDongJinE" label="其他所有者权益内部结转导致其他权益工具中的其他变动金额" periodRef="上年同期数" mulRef="_GBC_57faea4e453e49ad93821b7dd6ce8bc4" unitRef="_GBC_cef77704267643d794145c73763360e5" addr="T1R28C4S1_1" formatStyle="Comma"/>
        <m:item xlName="_GBC_29348654486c4f0ea15f0c6ed9ca0cd2" concept="clcid-pte:QiTaSuoYouZheQuanYiNeiBuJieZhuanDaoZhiZiBenGongJiBianDongJinE" label="其他所有者权益内部结转导致资本公积变动金额" periodRef="上年同期数" mulRef="_GBC_57faea4e453e49ad93821b7dd6ce8bc4" unitRef="_GBC_cef77704267643d794145c73763360e5" addr="T1R28C5S1_1" formatStyle="Comma"/>
        <m:item xlName="_GBC_6b2960393e724312b89aed57d0f67b59" concept="clcid-pte:QiTaSuoYouZheQuanYiNeiBuJieZhuanDaoZhiKuCunGuBianDongJinE" label="其他所有者权益内部结转导致库存股变动金额" periodRef="上年同期数" mulRef="_GBC_57faea4e453e49ad93821b7dd6ce8bc4" unitRef="_GBC_cef77704267643d794145c73763360e5" addr="T1R28C6S1_1" baseScale="-1" formatStyle="Comma"/>
        <m:item xlName="_GBC_4fa8fe1b687846b9a7a436d93bfc67e8" concept="clcid-pte:QiTaSuoYouZheQuanYiNeiBuJieZhuanDaoZhiQiTaZongHeShouYiBianDongJinE" label="其他所有者权益内部结转导致其他综合收益变动金额" periodRef="上年同期数" mulRef="_GBC_57faea4e453e49ad93821b7dd6ce8bc4" unitRef="_GBC_cef77704267643d794145c73763360e5" addr="T1R28C7S1_1" formatStyle="Comma"/>
        <m:item xlName="_GBC_363d14d6cb7843be9501729881436ac6" concept="clcid-pte:QiTaSuoYouZheQuanYiNeiBuJieZhuanDaoZhiZhuanXiangChuBeiBianDongJinE" label="其他所有者权益内部结转导致专项储备变动金额" periodRef="上年同期数" mulRef="_GBC_57faea4e453e49ad93821b7dd6ce8bc4" unitRef="_GBC_cef77704267643d794145c73763360e5" addr="T1R28C8S1_1" formatStyle="Comma"/>
        <m:item xlName="_GBC_b36f662d63064d78a6a7204abf4ddbef" concept="clcid-pte:QiTaSuoYouZheQuanYiNeiBuJieZhuanDaoZhiYingYuGongJiBianDongJinE" label="其他所有者权益内部结转导致盈余公积变动金额" periodRef="上年同期数" mulRef="_GBC_57faea4e453e49ad93821b7dd6ce8bc4" unitRef="_GBC_cef77704267643d794145c73763360e5" addr="T1R28C9S1_1" formatStyle="Comma"/>
        <m:item xlName="_GBC_208b6540442340de9e598ea7c0db0cee" concept="clcid-pte:QiTaSuoYouZheQuanYiNeiBuJieZhuanDaoZhiYiBanFengXianZhunBeiBianDongJinE" label="其他所有者权益内部结转导致一般风险准备变动金额" periodRef="上年同期数" mulRef="_GBC_57faea4e453e49ad93821b7dd6ce8bc4" unitRef="_GBC_cef77704267643d794145c73763360e5" addr="T1R28C10S1_1" formatStyle="Comma"/>
        <m:item xlName="_GBC_fdf5dd7181d94849a5c3dbc073fe8696" concept="clcid-pte:QiTaSuoYouZheQuanYiNeiBuJieZhuanDaoZhiWeiFenPeiLiRunBianDongJinE" label="其他所有者权益内部结转导致未分配利润变动金额" periodRef="上年同期数" mulRef="_GBC_57faea4e453e49ad93821b7dd6ce8bc4" unitRef="_GBC_cef77704267643d794145c73763360e5" addr="T1R28C11S1_1" formatStyle="Comma"/>
        <m:item xlName="_GBC_22c14178dbee40739a16b3406551c24b" concept="clcid-pte:QiTaSuoYouZheQuanYiNeiBuJieZhuanDaoZhiQiTaDeGuiShuYuMuGongSiSuoYouZheQuanYiBianDongJinE" label="其他所有者权益内部结转导致其他的归属于母公司所有者权益变动金额" periodRef="上年同期数" mulRef="_GBC_57faea4e453e49ad93821b7dd6ce8bc4" unitRef="_GBC_cef77704267643d794145c73763360e5" addr="T1R28C12S1_1" formatStyle="Comma"/>
        <m:item xlName="_GBC_458ba861a17b43ae939896906d5cce46" concept="clcid-pte:QiTaSuoYouZheQuanYiNeiBuJieZhuanDaoZhiGuiShuYuMuGongSiSuoYouZheQuanYiBianDongJinE" label="其他所有者权益内部结转导致归属于母公司所有者权益变动金额" periodRef="上年同期数" mulRef="_GBC_57faea4e453e49ad93821b7dd6ce8bc4" unitRef="_GBC_cef77704267643d794145c73763360e5" addr="T1R28C13S1_1" formatStyle="Comma"/>
        <m:item xlName="_GBC_309577731f3d400aa2a509e0fc061450" concept="clcid-pte:QiTaSuoYouZheQuanYiNeiBuJieZhuanDaoZhiShaoShuGuDongQuanYiBianDongJinE" label="其他所有者权益内部结转导致少数股东权益变动金额" periodRef="上年同期数" mulRef="_GBC_57faea4e453e49ad93821b7dd6ce8bc4" unitRef="_GBC_cef77704267643d794145c73763360e5" addr="T1R28C14S1_1" formatStyle="Comma"/>
        <m:item xlName="_GBC_42b76103de594df2b912400e6d7b145d" concept="clcid-pte:QiTaSuoYouZheQuanYiNeiBuJieZhuanDaoZhiGuDongQuanYiHeJiBianDongJinE" label="其他所有者权益内部结转导致股东权益合计变动金额" periodRef="上年同期数" mulRef="_GBC_57faea4e453e49ad93821b7dd6ce8bc4" unitRef="_GBC_cef77704267643d794145c73763360e5" addr="T1R28C15S1_1" formatStyle="Comma"/>
        <m:placeholder xlName="_PLD_4c2ffccd1b8247f8b48874b508665dc1" wordText="（五）专项储备" addr="T1R29C0S1_1"/>
        <m:item xlName="_GBC_eab4d4a58623419d9efabdb8339f5e20" concept="clcid-pte:ZhuanXiangChuBeiDaoZhiShiShouZiBenHuoGuBenJingEBianDongJinE" label="专项储备导致实收资本（或股本）净额变动金额" periodRef="上年同期数" mulRef="_GBC_57faea4e453e49ad93821b7dd6ce8bc4" unitRef="_GBC_cef77704267643d794145c73763360e5" addr="T1R29C1S1_1" formatStyle="Comma">
          <m:complexRule comparator="Eq" title="专项储备导致实收资本（或股本）净额变动金额@上年同期数" test=" $_GBC_a85c70fc74bf454ebba721c53742c829 -  $_GBC_8beae39ad81341c4a253510fd537287b" id="C389b1749716e4b5eab687122968fc892" radius="0.0001"/>
        </m:item>
        <m:item xlName="_GBC_4b1c45a69ab94d19a6c532f02af9fd18" concept="clcid-pte:ZhuanXiangChuBeiDaoZhiQiTaQuanYiGongJuZhongDeYouXianGuBianDongJinE" label="专项储备导致其他权益工具中的优先股变动金额" periodRef="上年同期数" mulRef="_GBC_57faea4e453e49ad93821b7dd6ce8bc4" unitRef="_GBC_cef77704267643d794145c73763360e5" addr="T1R29C2S1_1" formatStyle="Comma">
          <m:complexRule comparator="Eq" title="专项储备导致其他权益工具中的优先股变动金额@上年同期数" test=" $_GBC_5e937e388776445795d8e702ba81c2c9 -  $_GBC_de0bc9e60d5f4a46b0adbc94de2b5751" id="Cf69cbbfe1877432ebc21251ae643fb9e"/>
        </m:item>
        <m:item xlName="_GBC_d11afdb09ca14a31bc6beef23131529f" concept="clcid-pte:ZhuanXiangChuBeiDaoZhiQiTaQuanYiGongJuZhongDeYongXuZhaiBianDongJinE" label="专项储备导致其他权益工具中的永续债变动金额" periodRef="上年同期数" mulRef="_GBC_57faea4e453e49ad93821b7dd6ce8bc4" unitRef="_GBC_cef77704267643d794145c73763360e5" addr="T1R29C3S1_1" formatStyle="Comma">
          <m:complexRule comparator="Eq" title="专项储备导致其他权益工具中的永续债变动金额@上年同期数" test=" $_GBC_f4f4bafc2f9e4b14979abf042af2284d -  $_GBC_9d8d8bdf23d548b08edf33a18477bf21" id="Cc7d845b792d44f4b822fb9c1d9e4ffdf"/>
        </m:item>
        <m:item xlName="_GBC_03e97aa6ea4a4b519ced030588aa471a" concept="clcid-pte:ZhuanXiangChuBeiDaoZhiQiTaQuanYiGongJuZhongDeQiTaBianDongJinE" label="专项储备导致其他权益工具中的其他变动金额" periodRef="上年同期数" mulRef="_GBC_57faea4e453e49ad93821b7dd6ce8bc4" unitRef="_GBC_cef77704267643d794145c73763360e5" addr="T1R29C4S1_1" formatStyle="Comma">
          <m:complexRule comparator="Eq" title="专项储备导致其他权益工具中的其他变动金额@上年同期数" test=" $_GBC_3007dbb786274840bc4fa4a48abdf483 -  $_GBC_be84b88270eb42feab48855714e851ad" id="C199cc9f3a07b4047bc4716e58efb0b5d"/>
        </m:item>
        <m:item xlName="_GBC_123c502f45394be3933e710bc4539de6" concept="clcid-pte:ZhuanXiangChuBeiDaoZhiZiBenGongJiBianDongJinE" label="专项储备导致资本公积变动金额" periodRef="上年同期数" mulRef="_GBC_57faea4e453e49ad93821b7dd6ce8bc4" unitRef="_GBC_cef77704267643d794145c73763360e5" addr="T1R29C5S1_1" formatStyle="Comma">
          <m:complexRule comparator="Eq" title="专项储备导致资本公积变动金额@上年同期数" test=" $_GBC_85e1ee5904a040aea5532001b3b87679 -  $_GBC_2972bc028dc244e1b148a8970a1c2df9" id="Cc82f8f514d204c24b74f1ff20220658f" radius="0.0001"/>
        </m:item>
        <m:item xlName="_GBC_3b6659952c004368b0c7c6aff8663dfc" concept="clcid-pte:ZhuanXiangChuBeiDaoZhiKuCunGuBianDongJinE" label="专项储备导致库存股变动金额" periodRef="上年同期数" mulRef="_GBC_57faea4e453e49ad93821b7dd6ce8bc4" unitRef="_GBC_cef77704267643d794145c73763360e5" addr="T1R29C6S1_1" baseScale="-1" formatStyle="Comma">
          <m:complexRule comparator="Eq" title="专项储备导致库存股变动金额@上年同期数" test=" $_GBC_2b60682356a84b46b4561756283c3ab5 -  $_GBC_c690b2eeecdf4c7b85a4fbe9d5ce602c" id="Ce0af9016408149048ca2b2cfabc346d5" radius="0.0001"/>
        </m:item>
        <m:item xlName="_GBC_3d320060f9464615bead55bf1ca49dc4" concept="clcid-pte:ZhuanXiangChuBeiDaoZhiQiTaZongHeShouYiBianDongJinE" label="专项储备导致其他综合收益变动金额" periodRef="上年同期数" mulRef="_GBC_57faea4e453e49ad93821b7dd6ce8bc4" unitRef="_GBC_cef77704267643d794145c73763360e5" addr="T1R29C7S1_1" formatStyle="Comma">
          <m:complexRule comparator="Eq" title="专项储备导致其他综合收益变动金额@上年同期数" test=" $_GBC_b5bb2cb078c3409a817fc6fa7c59e12b -  $_GBC_a20a6615113c4f948499aee5ebc821ff" id="C355d0f2086064a839a9c62c843767643"/>
        </m:item>
        <m:item xlName="_GBC_95b00eb2bffd4944863b929b1b9f8b23" concept="clcid-pte:ZhuanXiangChuBeiDaoZhiZhuanXiangChuBeiBianDongJinE" label="专项储备导致专项储备变动金额" periodRef="上年同期数" mulRef="_GBC_57faea4e453e49ad93821b7dd6ce8bc4" unitRef="_GBC_cef77704267643d794145c73763360e5" addr="T1R29C8S1_1" formatStyle="Comma">
          <m:complexRule comparator="Eq" title="专项储备导致专项储备变动金额@上年同期数" test=" $_GBC_b248c426426345f482b5568c5acd2033 -  $_GBC_c3cf9a94610c44f3818b34ea8d57a9f7" id="C6a8dcfae13ba427397da7a18299835b7"/>
        </m:item>
        <m:item xlName="_GBC_81aee495f58648c79fb2c06c1a8294b9" concept="clcid-pte:ZhuanXiangChuBeiDaoZhiYingYuGongJiBianDongJinE" label="专项储备导致盈余公积变动金额" periodRef="上年同期数" mulRef="_GBC_57faea4e453e49ad93821b7dd6ce8bc4" unitRef="_GBC_cef77704267643d794145c73763360e5" addr="T1R29C9S1_1" formatStyle="Comma">
          <m:complexRule comparator="Eq" title="专项储备导致盈余公积变动金额@上年同期数" test=" $_GBC_d4dc2d31423b46fea3c07e7c4524df5e -  $_GBC_5ccabffd56d244689235f10d7f810595" id="C05cdbf693080445cb769d0f18db3a4d5"/>
        </m:item>
        <m:item xlName="_GBC_610d4f46b18b4115b1e7a898ab90bab2" concept="clcid-pte:ZhuanXiangChuBeiDaoZhiYiBanFengXianZhunBeiBianDongJinE" label="专项储备导致一般风险准备变动金额" periodRef="上年同期数" mulRef="_GBC_57faea4e453e49ad93821b7dd6ce8bc4" unitRef="_GBC_cef77704267643d794145c73763360e5" addr="T1R29C10S1_1" formatStyle="Comma">
          <m:complexRule comparator="Eq" title="专项储备导致一般风险准备变动金额@上年同期数" test=" $_GBC_dd2eb12f7e464fe0ba81ba536c884fe7 -  $_GBC_5682b2f180d740d183e615b172d8b18e" id="C59642b4c93ac466fa1e49fcd98c51600"/>
        </m:item>
        <m:item xlName="_GBC_c987802dfc49480c807d397d5ace6d36" concept="clcid-pte:ZhuanXiangChuBeiDaoZhiWeiFenPeiLiRunBianDongJinE" label="专项储备导致未分配利润变动金额" periodRef="上年同期数" mulRef="_GBC_57faea4e453e49ad93821b7dd6ce8bc4" unitRef="_GBC_cef77704267643d794145c73763360e5" addr="T1R29C11S1_1" formatStyle="Comma">
          <m:complexRule comparator="Eq" title="专项储备导致未分配利润变动金额@上年同期数" test=" $_GBC_c1e587046f604ee8ba66fb6c8bb8a144 -  $_GBC_cbe9fed180ed4accbf80b4421a3b14d1" id="Ccde035e163fa431796baab355dd17530"/>
        </m:item>
        <m:item xlName="_GBC_c392cb7d6a93438795a5eb0adc871ed1" concept="clcid-pte:ZhuanXiangChuBeiDaoZhiQiTaDeGuiShuYuMuGongSiSuoYouZheQuanYiBianDongJinE" label="专项储备导致其他的归属于母公司所有者权益变动金额" periodRef="上年同期数" mulRef="_GBC_57faea4e453e49ad93821b7dd6ce8bc4" unitRef="_GBC_cef77704267643d794145c73763360e5" addr="T1R29C12S1_1" formatStyle="Comma">
          <m:complexRule comparator="Eq" title="专项储备导致其他的归属于母公司所有者权益变动金额@上年同期数" test=" $_GBC_fba31e06b8374488afb5c8e32dc920a8 -  $_GBC_2bde003808fd4a4a8d5a92db60568e7f" id="C2ac374a3541b4b008bdf8910a490e03d"/>
        </m:item>
        <m:item xlName="_GBC_fb7838c03552463eab0b3449e1123883" concept="clcid-pte:ZhuanXiangChuBeiDaoZhiGuiShuYuMuGongSiSuoYouZheQuanYiBianDongJinE" label="专项储备导致归属于母公司所有者权益变动金额" periodRef="上年同期数" mulRef="_GBC_57faea4e453e49ad93821b7dd6ce8bc4" unitRef="_GBC_cef77704267643d794145c73763360e5" addr="T1R29C13S1_1" formatStyle="Comma">
          <m:complexRule comparator="Eq" title="专项储备导致归属于母公司所有者权益变动金额小计@上年同期数" test=" $_GBC_1d1ae9ce74cc466ab594f03ba9a5bb71 -  $_GBC_936616ca2d1f46938813e49bff971bfe" id="Cfb0cc6c307ce41f1b6dcddb237a0efc2"/>
        </m:item>
        <m:item xlName="_GBC_7b23cace12da44a69d75927ba5396346" concept="clcid-pte:ZhuanXiangChuBeiDaoZhiShaoShuGuDongQuanYiBianDongJinE" label="专项储备导致少数股东权益变动金额" periodRef="上年同期数" mulRef="_GBC_57faea4e453e49ad93821b7dd6ce8bc4" unitRef="_GBC_cef77704267643d794145c73763360e5" addr="T1R29C14S1_1" formatStyle="Comma">
          <m:complexRule comparator="Eq" title="专项储备导致少数股东权益变动金额@上年同期数" test=" $_GBC_740a0889d6084626803c581db78c840d -  $_GBC_45cc33ff9c6442e0a45cfb9d0c17f349" id="Cd42b60d02e3e4a658d0703e1e9074c60"/>
        </m:item>
        <m:item xlName="_GBC_1bb139523e184a629609d6d98aa70be7" concept="clcid-pte:ZhuanXiangChuBeiDaoZhiGuDongQuanYiHeJiBianDongJinE" label="专项储备导致股东权益合计变动金额" periodRef="上年同期数" mulRef="_GBC_57faea4e453e49ad93821b7dd6ce8bc4" unitRef="_GBC_cef77704267643d794145c73763360e5" addr="T1R29C15S1_1" formatStyle="Comma">
          <m:complexRule comparator="Eq" title="专项储备导致股东权益合计变动金额@上年同期数" test=" $_GBC_8627424b15414944b3da2f5646ee8213 -  $_GBC_fd36f77b22e04dea8a481a25c009bc68" id="C982608635c7a4cb29ca7eb6c2c9b200e"/>
        </m:item>
        <m:placeholder xlName="_PLD_d7da1c1428f3471c9d74c89a582725d7" wordText="1．本期提取" addr="T1R30C0S1_1"/>
        <m:item xlName="_GBC_a85c70fc74bf454ebba721c53742c829" concept="clcid-pte:TiQuDaoZhiShiShouZiBenHuoGuBenJingEBianDongJinE" label="提取导致实收资本（或股本）净额变动金额" periodRef="上年同期数" mulRef="_GBC_57faea4e453e49ad93821b7dd6ce8bc4" unitRef="_GBC_cef77704267643d794145c73763360e5" addr="T1R30C1S1_1" formatStyle="Comma"/>
        <m:item xlName="_GBC_5e937e388776445795d8e702ba81c2c9" concept="clcid-pte:TiQuDaoZhiQiTaQuanYiGongJuZhongDeYouXianGuBianDongJinE" label="提取导致其他权益工具中的优先股变动金额" periodRef="上年同期数" mulRef="_GBC_57faea4e453e49ad93821b7dd6ce8bc4" unitRef="_GBC_cef77704267643d794145c73763360e5" addr="T1R30C2S1_1" formatStyle="Comma"/>
        <m:item xlName="_GBC_f4f4bafc2f9e4b14979abf042af2284d" concept="clcid-pte:TiQuDaoZhiQiTaQuanYiGongJuZhongDeYongXuZhaiBianDongJinE" label="提取导致其他权益工具中的永续债变动金额" periodRef="上年同期数" mulRef="_GBC_57faea4e453e49ad93821b7dd6ce8bc4" unitRef="_GBC_cef77704267643d794145c73763360e5" addr="T1R30C3S1_1" formatStyle="Comma"/>
        <m:item xlName="_GBC_3007dbb786274840bc4fa4a48abdf483" concept="clcid-pte:TiQuDaoZhiQiTaQuanYiGongJuZhongDeQiTaBianDongJinE" label="提取导致其他权益工具中的其他变动金额" periodRef="上年同期数" mulRef="_GBC_57faea4e453e49ad93821b7dd6ce8bc4" unitRef="_GBC_cef77704267643d794145c73763360e5" addr="T1R30C4S1_1" formatStyle="Comma"/>
        <m:item xlName="_GBC_85e1ee5904a040aea5532001b3b87679" concept="clcid-pte:TiQuDaoZhiZiBenGongJiBianDongJinE" label="提取导致资本公积变动金额" periodRef="上年同期数" mulRef="_GBC_57faea4e453e49ad93821b7dd6ce8bc4" unitRef="_GBC_cef77704267643d794145c73763360e5" addr="T1R30C5S1_1" formatStyle="Comma"/>
        <m:item xlName="_GBC_2b60682356a84b46b4561756283c3ab5" concept="clcid-pte:TiQuDaoZhiKuCunGuBianDongJinE" label="提取导致库存股变动金额" periodRef="上年同期数" mulRef="_GBC_57faea4e453e49ad93821b7dd6ce8bc4" unitRef="_GBC_cef77704267643d794145c73763360e5" addr="T1R30C6S1_1" baseScale="-1" formatStyle="Comma"/>
        <m:item xlName="_GBC_b5bb2cb078c3409a817fc6fa7c59e12b" concept="clcid-pte:TiQuDaoZhiQiTaZongHeShouYiBianDongJinE" label="提取导致其他综合收益变动金额" periodRef="上年同期数" mulRef="_GBC_57faea4e453e49ad93821b7dd6ce8bc4" unitRef="_GBC_cef77704267643d794145c73763360e5" addr="T1R30C7S1_1" formatStyle="Comma"/>
        <m:item xlName="_GBC_b248c426426345f482b5568c5acd2033" concept="clcid-pte:TiQuDaoZhiZhuanXiangChuBeiBianDongJinE" label="提取导致专项储备变动金额" periodRef="上年同期数" mulRef="_GBC_57faea4e453e49ad93821b7dd6ce8bc4" unitRef="_GBC_cef77704267643d794145c73763360e5" addr="T1R30C8S1_1" formatStyle="Comma"/>
        <m:item xlName="_GBC_d4dc2d31423b46fea3c07e7c4524df5e" concept="clcid-pte:TiQuDaoZhiYingYuGongJiBianDongJinE" label="提取导致盈余公积变动金额" periodRef="上年同期数" mulRef="_GBC_57faea4e453e49ad93821b7dd6ce8bc4" unitRef="_GBC_cef77704267643d794145c73763360e5" addr="T1R30C9S1_1" formatStyle="Comma"/>
        <m:item xlName="_GBC_dd2eb12f7e464fe0ba81ba536c884fe7" concept="clcid-pte:TiQuDaoZhiYiBanFengXianZhunBeiBianDongJinE" label="提取导致一般风险准备变动金额" periodRef="上年同期数" mulRef="_GBC_57faea4e453e49ad93821b7dd6ce8bc4" unitRef="_GBC_cef77704267643d794145c73763360e5" addr="T1R30C10S1_1" formatStyle="Comma"/>
        <m:item xlName="_GBC_c1e587046f604ee8ba66fb6c8bb8a144" concept="clcid-pte:TiQuDaoZhiWeiFenPeiLiRunBianDongJinE" label="提取导致未分配利润变动金额" periodRef="上年同期数" mulRef="_GBC_57faea4e453e49ad93821b7dd6ce8bc4" unitRef="_GBC_cef77704267643d794145c73763360e5" addr="T1R30C11S1_1" formatStyle="Comma"/>
        <m:item xlName="_GBC_fba31e06b8374488afb5c8e32dc920a8" concept="clcid-pte:TiQuDaoZhiQiTaDeGuiShuYuMuGongSiSuoYouZheQuanYiBianDongJinE" label="提取导致其他的归属于母公司所有者权益变动金额" periodRef="上年同期数" mulRef="_GBC_57faea4e453e49ad93821b7dd6ce8bc4" unitRef="_GBC_cef77704267643d794145c73763360e5" addr="T1R30C12S1_1" formatStyle="Comma"/>
        <m:item xlName="_GBC_1d1ae9ce74cc466ab594f03ba9a5bb71" concept="clcid-pte:TiQuZhuanXiangChuBeiDaoZhiGuiShuYuMuGongSiSuoYouZheQuanYiBianDongJinE" label="提取专项储备导致归属于母公司所有者权益变动金额" periodRef="上年同期数" mulRef="_GBC_57faea4e453e49ad93821b7dd6ce8bc4" unitRef="_GBC_cef77704267643d794145c73763360e5" addr="T1R30C13S1_1" formatStyle="Comma"/>
        <m:item xlName="_GBC_740a0889d6084626803c581db78c840d" concept="clcid-pte:TiQuDaoZhiShaoShuGuDongQuanYiBianDongJinE" label="提取导致少数股东权益变动金额" periodRef="上年同期数" mulRef="_GBC_57faea4e453e49ad93821b7dd6ce8bc4" unitRef="_GBC_cef77704267643d794145c73763360e5" addr="T1R30C14S1_1" formatStyle="Comma"/>
        <m:item xlName="_GBC_8627424b15414944b3da2f5646ee8213" concept="clcid-pte:TiQuDaoZhiGuDongQuanYiHeJiBianDongJinE" label="提取导致股东权益合计变动金额" periodRef="上年同期数" mulRef="_GBC_57faea4e453e49ad93821b7dd6ce8bc4" unitRef="_GBC_cef77704267643d794145c73763360e5" addr="T1R30C15S1_1" formatStyle="Comma"/>
        <m:placeholder xlName="_PLD_f11a5c1cf32e432cb3dba158baca32fc" wordText="2．本期使用" addr="T1R31C0S1_1"/>
        <m:item xlName="_GBC_8beae39ad81341c4a253510fd537287b" concept="clcid-pte:ShiYongDaoZhiShiShouZiBenHuoGuBenJingEBianDongJinE" label="使用导致实收资本（或股本）净额变动金额" periodRef="上年同期数" mulRef="_GBC_57faea4e453e49ad93821b7dd6ce8bc4" unitRef="_GBC_cef77704267643d794145c73763360e5" addr="T1R31C1S1_1" formatStyle="Comma"/>
        <m:item xlName="_GBC_de0bc9e60d5f4a46b0adbc94de2b5751" concept="clcid-pte:ShiYongDaoZhiQiTaQuanYiGongJuZhongDeYouXianGuBianDongJinE" label="使用导致其他权益工具中的优先股变动金额" periodRef="上年同期数" mulRef="_GBC_57faea4e453e49ad93821b7dd6ce8bc4" unitRef="_GBC_cef77704267643d794145c73763360e5" addr="T1R31C2S1_1" formatStyle="Comma"/>
        <m:item xlName="_GBC_9d8d8bdf23d548b08edf33a18477bf21" concept="clcid-pte:ShiYongDaoZhiQiTaQuanYiGongJuZhongDeYongXuZhaiBianDongJinE" label="使用导致其他权益工具中的永续债变动金额" periodRef="上年同期数" mulRef="_GBC_57faea4e453e49ad93821b7dd6ce8bc4" unitRef="_GBC_cef77704267643d794145c73763360e5" addr="T1R31C3S1_1" formatStyle="Comma"/>
        <m:item xlName="_GBC_be84b88270eb42feab48855714e851ad" concept="clcid-pte:ShiYongDaoZhiQiTaQuanYiGongJuZhongDeQiTaBianDongJinE" label="使用导致其他权益工具中的其他变动金额" periodRef="上年同期数" mulRef="_GBC_57faea4e453e49ad93821b7dd6ce8bc4" unitRef="_GBC_cef77704267643d794145c73763360e5" addr="T1R31C4S1_1" formatStyle="Comma"/>
        <m:item xlName="_GBC_2972bc028dc244e1b148a8970a1c2df9" concept="clcid-pte:ShiYongDaoZhiZiBenGongJiBianDongJinE" label="使用导致资本公积变动金额" periodRef="上年同期数" mulRef="_GBC_57faea4e453e49ad93821b7dd6ce8bc4" unitRef="_GBC_cef77704267643d794145c73763360e5" addr="T1R31C5S1_1" formatStyle="Comma"/>
        <m:item xlName="_GBC_c690b2eeecdf4c7b85a4fbe9d5ce602c" concept="clcid-pte:ShiYongDaoZhiKuCunGuBianDongJinE" label="使用导致库存股变动金额" periodRef="上年同期数" mulRef="_GBC_57faea4e453e49ad93821b7dd6ce8bc4" unitRef="_GBC_cef77704267643d794145c73763360e5" addr="T1R31C6S1_1" baseScale="-1" formatStyle="Comma"/>
        <m:item xlName="_GBC_a20a6615113c4f948499aee5ebc821ff" concept="clcid-pte:ShiYongDaoZhiQiTaZongHeShouYiBianDongJinE" label="使用导致其他综合收益变动金额" periodRef="上年同期数" mulRef="_GBC_57faea4e453e49ad93821b7dd6ce8bc4" unitRef="_GBC_cef77704267643d794145c73763360e5" addr="T1R31C7S1_1" formatStyle="Comma"/>
        <m:item xlName="_GBC_c3cf9a94610c44f3818b34ea8d57a9f7" concept="clcid-pte:ShiYongDaoZhiZhuanXiangChuBeiBianDongJinE" label="使用导致专项储备变动金额" periodRef="上年同期数" mulRef="_GBC_57faea4e453e49ad93821b7dd6ce8bc4" unitRef="_GBC_cef77704267643d794145c73763360e5" addr="T1R31C8S1_1" formatStyle="Comma"/>
        <m:item xlName="_GBC_5ccabffd56d244689235f10d7f810595" concept="clcid-pte:ShiYongDaoZhiYingYuGongJiBianDongJinE" label="使用导致盈余公积变动金额" periodRef="上年同期数" mulRef="_GBC_57faea4e453e49ad93821b7dd6ce8bc4" unitRef="_GBC_cef77704267643d794145c73763360e5" addr="T1R31C9S1_1" formatStyle="Comma"/>
        <m:item xlName="_GBC_5682b2f180d740d183e615b172d8b18e" concept="clcid-pte:ShiYongDaoZhiYiBanFengXianZhunBeiBianDongJinE" label="使用导致一般风险准备变动金额" periodRef="上年同期数" mulRef="_GBC_57faea4e453e49ad93821b7dd6ce8bc4" unitRef="_GBC_cef77704267643d794145c73763360e5" addr="T1R31C10S1_1" formatStyle="Comma"/>
        <m:item xlName="_GBC_cbe9fed180ed4accbf80b4421a3b14d1" concept="clcid-pte:ShiYongDaoZhiWeiFenPeiLiRunBianDongJinE" label="使用导致未分配利润变动金额" periodRef="上年同期数" mulRef="_GBC_57faea4e453e49ad93821b7dd6ce8bc4" unitRef="_GBC_cef77704267643d794145c73763360e5" addr="T1R31C11S1_1" formatStyle="Comma"/>
        <m:item xlName="_GBC_2bde003808fd4a4a8d5a92db60568e7f" concept="clcid-pte:ShiYongDaoZhiQiTaDeGuiShuYuMuGongSiSuoYouZheQuanYiBianDongJinE" label="使用导致其他的归属于母公司所有者权益变动金额" periodRef="上年同期数" mulRef="_GBC_57faea4e453e49ad93821b7dd6ce8bc4" unitRef="_GBC_cef77704267643d794145c73763360e5" addr="T1R31C12S1_1" formatStyle="Comma"/>
        <m:item xlName="_GBC_936616ca2d1f46938813e49bff971bfe" concept="clcid-pte:ShiYongZhuanXiangChuBeiDaoZhiGuiShuYuMuGongSiSuoYouZheQuanYiBianDongJinE" label="使用专项储备导致归属于母公司所有者权益变动金额" periodRef="上年同期数" mulRef="_GBC_57faea4e453e49ad93821b7dd6ce8bc4" unitRef="_GBC_cef77704267643d794145c73763360e5" addr="T1R31C13S1_1" formatStyle="Comma"/>
        <m:item xlName="_GBC_45cc33ff9c6442e0a45cfb9d0c17f349" concept="clcid-pte:ShiYongDaoZhiShaoShuGuDongQuanYiBianDongJinE" label="使用导致少数股东权益变动金额" periodRef="上年同期数" mulRef="_GBC_57faea4e453e49ad93821b7dd6ce8bc4" unitRef="_GBC_cef77704267643d794145c73763360e5" addr="T1R31C14S1_1" formatStyle="Comma"/>
        <m:item xlName="_GBC_fd36f77b22e04dea8a481a25c009bc68" concept="clcid-pte:ShiYongDaoZhiGuDongQuanYiHeJiBianDongJinE" label="使用导致股东权益合计变动金额" periodRef="上年同期数" mulRef="_GBC_57faea4e453e49ad93821b7dd6ce8bc4" unitRef="_GBC_cef77704267643d794145c73763360e5" addr="T1R31C15S1_1" formatStyle="Comma"/>
        <m:placeholder xlName="_PLD_749e92980f334c9cae023bb1dba136fc" wordText="（六）其他" addr="T1R32C0S1_1"/>
        <m:item xlName="_GBC_2676c42a988c46f6b5a9849d5eeef601" concept="clcid-pte:QiTaDaoZhiShiShouZiBenHuoGuBenJingEBianDongJinE" label="其他导致实收资本（或股本）净额变动金额" periodRef="上年同期数" mulRef="_GBC_57faea4e453e49ad93821b7dd6ce8bc4" unitRef="_GBC_cef77704267643d794145c73763360e5" addr="T1R32C1S1_1" formatStyle="Comma"/>
        <m:item xlName="_GBC_ae3ef5802f7446f0bcc22d4a78b16cd8" concept="clcid-pte:QiTaDaoZhiQiTaQuanYiGongJuZhongDeYouXianGuBianDongJinE" label="其他导致其他权益工具中的优先股变动金额" periodRef="上年同期数" mulRef="_GBC_57faea4e453e49ad93821b7dd6ce8bc4" unitRef="_GBC_cef77704267643d794145c73763360e5" addr="T1R32C2S1_1" formatStyle="Comma"/>
        <m:item xlName="_GBC_c4e6b9f953a04e17ae3c32312cf2e1f7" concept="clcid-pte:QiTaDaoZhiQiTaQuanYiGongJuZhongDeYongXuZhaiBianDongJinE" label="其他导致其他权益工具中的永续债变动金额" periodRef="上年同期数" mulRef="_GBC_57faea4e453e49ad93821b7dd6ce8bc4" unitRef="_GBC_cef77704267643d794145c73763360e5" addr="T1R32C3S1_1" formatStyle="Comma"/>
        <m:item xlName="_GBC_27961524d7774e3f86ed7c4a22afb04a" concept="clcid-pte:QiTaDaoZhiQiTaQuanYiGongJuZhongDeQiTaBianDongJinE" label="其他导致其他权益工具中的其他变动金额" periodRef="上年同期数" mulRef="_GBC_57faea4e453e49ad93821b7dd6ce8bc4" unitRef="_GBC_cef77704267643d794145c73763360e5" addr="T1R32C4S1_1" formatStyle="Comma"/>
        <m:item xlName="_GBC_c1db1f975a7c4e8faf299858942810aa" concept="clcid-pte:QiTaDaoZhiZiBenGongJiBianDongJinE" label="其他导致资本公积变动金额" periodRef="上年同期数" mulRef="_GBC_57faea4e453e49ad93821b7dd6ce8bc4" unitRef="_GBC_cef77704267643d794145c73763360e5" addr="T1R32C5S1_1" formatStyle="Comma"/>
        <m:item xlName="_GBC_81c186b80d8a44d2ad835db4dbde16cc" concept="clcid-pte:QiTaDaoZhiKuCunGuBianDongJinE" label="其他导致库存股变动金额" periodRef="上年同期数" mulRef="_GBC_57faea4e453e49ad93821b7dd6ce8bc4" unitRef="_GBC_cef77704267643d794145c73763360e5" addr="T1R32C6S1_1" baseScale="-1" formatStyle="Comma"/>
        <m:item xlName="_GBC_c6a83ad34784471db367147a514c59e3" concept="clcid-pte:QiTaDaoZhiQiTaZongHeShouYiBianDongJinE" label="其他导致其他综合收益变动金额" periodRef="上年同期数" mulRef="_GBC_57faea4e453e49ad93821b7dd6ce8bc4" unitRef="_GBC_cef77704267643d794145c73763360e5" addr="T1R32C7S1_1" formatStyle="Comma"/>
        <m:item xlName="_GBC_33324cdf575543d6987aa6f520f8714d" concept="clcid-pte:QiTaDaoZhiZhuanXiangChuBeiBianDongJinE" label="其他导致专项储备变动金额" periodRef="上年同期数" mulRef="_GBC_57faea4e453e49ad93821b7dd6ce8bc4" unitRef="_GBC_cef77704267643d794145c73763360e5" addr="T1R32C8S1_1" formatStyle="Comma"/>
        <m:item xlName="_GBC_48beb7d2645f4bd8b828e39d20d114f7" concept="clcid-pte:QiTaDaoZhiYingYuGongJiBianDongJinE" label="其他导致盈余公积变动金额" periodRef="上年同期数" mulRef="_GBC_57faea4e453e49ad93821b7dd6ce8bc4" unitRef="_GBC_cef77704267643d794145c73763360e5" addr="T1R32C9S1_1" formatStyle="Comma"/>
        <m:item xlName="_GBC_022de88bf39d4c298dac658baa6860ba" concept="clcid-pte:QiTaDaoZhiYiBanFengXianZhunBeiBianDongJinE" label="其他导致一般风险准备变动金额" periodRef="上年同期数" mulRef="_GBC_57faea4e453e49ad93821b7dd6ce8bc4" unitRef="_GBC_cef77704267643d794145c73763360e5" addr="T1R32C10S1_1" formatStyle="Comma"/>
        <m:item xlName="_GBC_6ad7a628fd4a40f9a5c166bea7190b07" concept="clcid-pte:QiTaDaoZhiWeiFenPeiLiRunBianDongJinE" label="其他导致未分配利润变动金额" periodRef="上年同期数" mulRef="_GBC_57faea4e453e49ad93821b7dd6ce8bc4" unitRef="_GBC_cef77704267643d794145c73763360e5" addr="T1R32C11S1_1" formatStyle="Comma"/>
        <m:item xlName="_GBC_9146dc7852714f72859555c3a917811f" concept="clcid-pte:QiTaDaoZhiQiTaDeGuiShuYuMuGongSiSuoYouZheQuanYiBianDongJinE" label="其他导致其他的归属于母公司所有者权益变动金额" periodRef="上年同期数" mulRef="_GBC_57faea4e453e49ad93821b7dd6ce8bc4" unitRef="_GBC_cef77704267643d794145c73763360e5" addr="T1R32C12S1_1" formatStyle="Comma"/>
        <m:item xlName="_GBC_04961ef429474a9fb1c50cbe4d5f0f11" concept="clcid-pte:QiTaDaoZhiGuiShuYuMuGongSiSuoYouZheQuanYiBianDongJinE" label="其他导致归属于母公司所有者权益变动金额" periodRef="上年同期数" mulRef="_GBC_57faea4e453e49ad93821b7dd6ce8bc4" unitRef="_GBC_cef77704267643d794145c73763360e5" addr="T1R32C13S1_1" formatStyle="Comma"/>
        <m:item xlName="_GBC_7cca13db814d4298b7018c7e2dd9bc51" concept="clcid-pte:QiTaDaoZhiShaoShuGuDongQuanYiBianDongJinE" label="其他导致少数股东权益变动金额" periodRef="上年同期数" mulRef="_GBC_57faea4e453e49ad93821b7dd6ce8bc4" unitRef="_GBC_cef77704267643d794145c73763360e5" addr="T1R32C14S1_1" formatStyle="Comma"/>
        <m:item xlName="_GBC_c9027bfcd66641318c72f7e7633b96c5" concept="clcid-pte:QiTaDaoZhiGuDongQuanYiHeJiBianDongJinE" label="其他导致股东权益合计变动金额" periodRef="上年同期数" mulRef="_GBC_57faea4e453e49ad93821b7dd6ce8bc4" unitRef="_GBC_cef77704267643d794145c73763360e5" addr="T1R32C15S1_1" formatStyle="Comma"/>
        <m:placeholder xlName="_PLD_e9c8435b637745858c6ad855ad7bbea0" wordText="四、本期期末余额" addr="T1R33C0S1_1"/>
        <m:item xlName="_GBC_7eb44bdf2b8b4859af253e7579d54199" concept="clcid-pte:GuBen" label="股本" periodRef="上年同期期末数" mulRef="_GBC_57faea4e453e49ad93821b7dd6ce8bc4" unitRef="_GBC_cef77704267643d794145c73763360e5" addr="T1R33C1S1_1" formatStyle="Comma">
          <m:complexRule comparator="Eq" title="股本@上年同期期末数" test=" $_GBC_463429ab366c4a0faabd8fd5c4eeb15c +  $_GBC_3ab306b1e7af486988948f50073e1e67" id="C89033ad94ff54efabeb7a729c2ecaa3a" radius="0.0001"/>
        </m:item>
        <m:item xlName="_GBC_bea1f4801a4e497d88b193481d641092" concept="clcid-pte:QiTaQuanYiGongJuQiZhongYouXianGu" label="其他权益工具-其中：优先股" periodRef="上年同期期末数" mulRef="_GBC_57faea4e453e49ad93821b7dd6ce8bc4" unitRef="_GBC_cef77704267643d794145c73763360e5" addr="T1R33C2S1_1" formatStyle="Comma">
          <m:complexRule comparator="Eq" title="其他权益工具-其中：优先股@上年同期期末数" test=" $_GBC_0fd8b540968644f4948b0a43dcc1580f +  $_GBC_a406be1c3baa4df6a5adc5e008b96345" id="Ca4e2475ebb8947529204055b7dad3eca"/>
        </m:item>
        <m:item xlName="_GBC_c6defc2332ba467a869cd3809be2b287" concept="clcid-pte:QiTaQuanYiGongJuYongXuZhai" label="其他权益工具-永续债" periodRef="上年同期期末数" mulRef="_GBC_57faea4e453e49ad93821b7dd6ce8bc4" unitRef="_GBC_cef77704267643d794145c73763360e5" addr="T1R33C3S1_1" formatStyle="Comma">
          <m:complexRule comparator="Eq" title="其他权益工具-永续债@上年同期期末数" test=" $_GBC_8f96f4b9e9d5432b84f3d53bd2fbdaba +  $_GBC_8e60ab9c28924845857bd1e82a8403e4" id="Cf7b29952c13e4c5099ec7e60356ec65d"/>
        </m:item>
        <m:item xlName="_GBC_f2079c4e099049de85451d46ac8f32da" concept="clcid-pte:QiTaQuanYiGongJuQiTa" label="其他权益工具-其他" periodRef="上年同期期末数" mulRef="_GBC_57faea4e453e49ad93821b7dd6ce8bc4" unitRef="_GBC_cef77704267643d794145c73763360e5" addr="T1R33C4S1_1" formatStyle="Comma">
          <m:complexRule comparator="Eq" title="其他权益工具-其他@上年同期期末数" test=" $_GBC_6163291996f64057b05ad30337ffe9e0 +  $_GBC_dc6cc1a8b5fa4bf48da6ed469bff45b0" id="C750ae56979084ef6ae83b8c296ac4f01"/>
        </m:item>
        <m:item xlName="_GBC_0fecb488dad34fc2ac4cd822558963ec" concept="clcid-pte:ZiBenGongJi" label="资本公积" periodRef="上年同期期末数" mulRef="_GBC_57faea4e453e49ad93821b7dd6ce8bc4" unitRef="_GBC_cef77704267643d794145c73763360e5" addr="T1R33C5S1_1" formatStyle="Comma">
          <m:complexRule comparator="Eq" title="资本公积@上年同期期末数" test=" $_GBC_8ad228b791ff43f5ad1561d7ca684671 +  $_GBC_8473cb7ae7f4427b8dd131df489fa36a" id="C0f2fceeea6c54419afd7b05a442d79a4" radius="0.0001"/>
        </m:item>
        <m:item xlName="_GBC_bea769b36a464377a6bf2c1152808bd1" concept="clcid-pte:KuCunGu" label="库存股" periodRef="上年同期期末数" mulRef="_GBC_57faea4e453e49ad93821b7dd6ce8bc4" unitRef="_GBC_cef77704267643d794145c73763360e5" addr="T1R33C6S1_1" baseScale="-1" formatStyle="Comma" keyCode="abs" keyAction="108">
          <m:complexRule comparator="Eq" title="库存股@上年同期期末数" test=" $_GBC_9abb5ce9cbd9452986403063087da14c +  $_GBC_7647911c99b747d2aa762d221138c9c4" id="C654167ed562b421e8342a6622fb68c88" radius="0.0001"/>
        </m:item>
        <m:item xlName="_GBC_d6c5b5c52c6646cb9df5587ce8b360a3" concept="clcid-pte:QiTaZongHeShouYiZiChanFuZhaiBiaoXiangMu" label="其他综合收益（资产负债表项目）" periodRef="上年同期期末数" mulRef="_GBC_57faea4e453e49ad93821b7dd6ce8bc4" unitRef="_GBC_cef77704267643d794145c73763360e5" addr="T1R33C7S1_1" formatStyle="Comma">
          <m:complexRule comparator="Eq" title="其他综合收益（资产负债表项目）@上年同期期末数" test=" $_GBC_717af8769d284587b4e0d85c55c54be4 +  $_GBC_54c2f06d10694c42b164f9f7c8c24c19" id="C088d66b96ea34ab88c75948db56a24fc"/>
        </m:item>
        <m:item xlName="_GBC_92eea6b4f9a04a21946c2faaeb61710b" concept="clcid-pte:ZhuanXiangChuBei" label="专项储备" periodRef="上年同期期末数" mulRef="_GBC_57faea4e453e49ad93821b7dd6ce8bc4" unitRef="_GBC_cef77704267643d794145c73763360e5" addr="T1R33C8S1_1" formatStyle="Comma">
          <m:complexRule comparator="Eq" title="专项储备@上年同期期末数" test=" $_GBC_0dbc1d28380d4b48b03711d88ed56f1b +  $_GBC_45c28bff7f2947e79a97e03816b44836" id="C119e5c19d1ac41fa903134375027014f" radius="0.0001"/>
        </m:item>
        <m:item xlName="_GBC_a35e560ac4364b7eaed002728f549847" concept="clcid-pte:YingYuGongJi" label="盈余公积" periodRef="上年同期期末数" mulRef="_GBC_57faea4e453e49ad93821b7dd6ce8bc4" unitRef="_GBC_cef77704267643d794145c73763360e5" addr="T1R33C9S1_1" formatStyle="Comma">
          <m:complexRule comparator="Eq" title="盈余公积@上年同期期末数" test=" $_GBC_6931f14de9ae4e9db2c9b7f81f158218 +  $_GBC_5282e64d76064ff496bef9da7ba3cb38" id="C7b5c5dc470134a0faa5634e0046cb776"/>
        </m:item>
        <m:item xlName="_GBC_92e2f15230dd4a8c8bb1a3863063fb32" concept="clcid-pte:YiBanFengXianZhunBei" label="一般风险准备" periodRef="上年同期期末数" mulRef="_GBC_57faea4e453e49ad93821b7dd6ce8bc4" unitRef="_GBC_cef77704267643d794145c73763360e5" addr="T1R33C10S1_1" formatStyle="Comma">
          <m:complexRule comparator="Eq" title="一般风险准备@上年同期期末数" test=" $_GBC_a4f1aa6de84044b6a6b3214765a7508e +  $_GBC_aff81b712af942d1950df7bfb16184b1" id="Cca55c06eeec4415e8f0f8db936a47363"/>
        </m:item>
        <m:item xlName="_GBC_8b96d618590a46ccacfbdcf492cc8634" concept="clcid-pte:WeiFenPeiLiRun" label="未分配利润" periodRef="上年同期期末数" mulRef="_GBC_57faea4e453e49ad93821b7dd6ce8bc4" unitRef="_GBC_cef77704267643d794145c73763360e5" addr="T1R33C11S1_1" formatStyle="Comma">
          <m:complexRule comparator="Eq" title="未分配利润@上年同期期末数" test=" $_GBC_e78cfa47dbb84664a5ca613f752a1673 +  $_GBC_9b887145f03844beb15e2690e45ded4b" id="Cd9b8f009fce54f9192f2c633f25e1bf4"/>
        </m:item>
        <m:item xlName="_GBC_4cf593472787413d876b79e9732c3e9d" concept="clcid-pte:QiTaDeGuiShuYuMuGongSiSuoYouZheQuanYi" label="其他的归属于母公司所有者权益" periodRef="上年同期期末数" mulRef="_GBC_57faea4e453e49ad93821b7dd6ce8bc4" unitRef="_GBC_cef77704267643d794145c73763360e5" addr="T1R33C12S1_1" formatStyle="Comma">
          <m:complexRule comparator="Eq" title="其他的归属于母公司所有者权益@上年同期期末数" test=" $_GBC_be34bee636684ecba5f8a8345f1c13d8 +  $_GBC_721ced58af704b468077b49a45594ec0" id="C3d44058508f24ac08dd0b1b462a58ff9"/>
        </m:item>
        <m:item xlName="_GBC_0acdbc5b983044479054b15ca68d2979" concept="clcid-pte:GuiShuYuMuGongSiSuoYouZheQuanYiHeJi" label="归属于母公司所有者权益合计" periodRef="上年同期期末数" mulRef="_GBC_57faea4e453e49ad93821b7dd6ce8bc4" unitRef="_GBC_cef77704267643d794145c73763360e5" addr="T1R33C13S1_1" formatStyle="Comma">
          <m:complexRule comparator="Eq" title="归属于母公司所有者权益合计@上年同期期末数" test=" $_GBC_d37b2a094fd64c50b8c74275b2ea7c89 +  $_GBC_519747a00c6949a5bcc152eacbd03ac1" id="C31e776daf88f40b0863e78a29aba83a3"/>
        </m:item>
        <m:item xlName="_GBC_0a1b1326dd2a43fda5f3faab39696304" concept="clcid-pte:ShaoShuGuDongQuanYi" label="少数股东权益" periodRef="上年同期期末数" mulRef="_GBC_57faea4e453e49ad93821b7dd6ce8bc4" unitRef="_GBC_cef77704267643d794145c73763360e5" addr="T1R33C14S1_1" formatStyle="Comma">
          <m:complexRule comparator="Eq" title="少数股东权益@上年同期期末数" test=" $_GBC_1cbab821d4a348188e555da7c3810735 +  $_GBC_380e1cfcc313459cae08cf7858170444" id="Cf81d66ee32d1440483997046fdfa4444"/>
        </m:item>
        <m:item xlName="_GBC_a76d478b7a47434f83ee62b5544b78f3" concept="clcid-pte:GuDongQuanYiHeJi" label="股东权益合计" periodRef="上年同期期末数" mulRef="_GBC_57faea4e453e49ad93821b7dd6ce8bc4" unitRef="_GBC_cef77704267643d794145c73763360e5" addr="T1R33C15S1_1" formatStyle="Comma">
          <m:complexRule comparator="Eq" title="股东权益合计@上年同期期末数" test=" $_GBC_b753d2879310430b85393d22ce74cca7 +  $_GBC_7d38c3e4015b4306aa517461216f709f" id="C7c400e50e33e4cfdad4511005789595d"/>
        </m:item>
        <m:item xlName="_GBC_076a4a0998a840bab20f0ed83e5bab3d" concept="clcid-mr:GongSiFuZeRenXingMing" label="公司负责人姓名" binding="true"/>
        <m:item xlName="_GBC_5b21002df9e248fa81a6770579ce76cd" concept="clcid-mr:ZhuGuanKuaiJiGongZuoFuZeRenXingMing" label="主管会计工作负责人姓名" binding="true"/>
        <m:item xlName="_GBC_6a446d6543174dc48c72d440eefb0b71" concept="clcid-mr:KuaiJiJiGouFuZeRenXingMing" label="会计机构负责人姓名" binding="true"/>
        <m:placeholder xlName="_PLD_12afc7c0b8d54eb19b4f9ec3cabce66c" wordText="4．其他"/>
        <m:item xlName="_GBC_62a2290ce68945f19e74d16aec3dc51f" pickName="" concept="" mulRef="_GBC_57faea4e453e49ad93821b7dd6ce8bc4" unitRef="_GBC_cef77704267643d794145c73763360e5" formatStyle="Comma">
          <m:extendConcept standardLabel="4.同一控制下企业合并实收资本(或股本)" preferredLabel="4.同一控制下企业合并" referenceConcept="clcid-pte:QiTaSuoYouZheTouRuHeJianShaoZiBenDaoZhiShiShouZiBenHuoGuBenJingEBianDongJinE"/>
        </m:item>
        <m:item xlName="_GBC_a89305a82c6749789864183d12ac6c32" pickName="" concept="" mulRef="_GBC_57faea4e453e49ad93821b7dd6ce8bc4" unitRef="_GBC_cef77704267643d794145c73763360e5" formatStyle="Comma">
          <m:extendConcept standardLabel="4.同一控制下企业合并优先股" preferredLabel="4.同一控制下企业合并" referenceConcept="clcid-pte:QiTaSuoYouZheTouRuHeJianShaoZiBenDaoZhiQiTaQuanYiGongJuZhongDeYouXianGuBianDongJinE"/>
        </m:item>
        <m:item xlName="_GBC_f1009113fa5c43498c45e2b5a5c49570" pickName="" concept="" mulRef="_GBC_57faea4e453e49ad93821b7dd6ce8bc4" unitRef="_GBC_cef77704267643d794145c73763360e5" formatStyle="Comma">
          <m:extendConcept standardLabel="4.同一控制下企业合并永续债" preferredLabel="4.同一控制下企业合并" referenceConcept="clcid-pte:QiTaSuoYouZheTouRuHeJianShaoZiBenDaoZhiQiTaQuanYiGongJuZhongDeYongXuZhaiBianDongJinE"/>
        </m:item>
        <m:item xlName="_GBC_f36f40ee4324452eae9041c262df499e" pickName="" concept="" mulRef="_GBC_57faea4e453e49ad93821b7dd6ce8bc4" unitRef="_GBC_cef77704267643d794145c73763360e5" formatStyle="Comma">
          <m:extendConcept standardLabel="4.同一控制下企业合并其他" preferredLabel="4.同一控制下企业合并" referenceConcept="clcid-pte:QiTaSuoYouZheTouRuHeJianShaoZiBenDaoZhiQiTaQuanYiGongJuZhongDeQiTaBianDongJinE"/>
        </m:item>
        <m:item xlName="_GBC_7c5c67bba9a146ed8638c09a802bad05" pickName="" concept="" mulRef="_GBC_57faea4e453e49ad93821b7dd6ce8bc4" unitRef="_GBC_cef77704267643d794145c73763360e5" formatStyle="Comma">
          <m:extendConcept standardLabel="4.同一控制下企业合并资本公积" preferredLabel="4.同一控制下企业合并" referenceConcept="clcid-pte:QiTaSuoYouZheTouRuHeJianShaoZiBenDaoZhiZiBenGongJiBianDongJinE"/>
        </m:item>
        <m:item xlName="_GBC_f2859c65937e4b01bef75d293c215272" pickName="" concept="" mulRef="_GBC_57faea4e453e49ad93821b7dd6ce8bc4" unitRef="_GBC_cef77704267643d794145c73763360e5" baseScale="-1" formatStyle="Comma">
          <m:extendConcept standardLabel="4.同一控制下企业合并减:库存股" preferredLabel="4.同一控制下企业合并" referenceConcept="clcid-pte:QiTaSuoYouZheTouRuHeJianShaoZiBenDaoZhiKuCunGuBianDongJinE"/>
        </m:item>
        <m:item xlName="_GBC_8db258214fa343c1a0e1e0fa1a01a2ff" pickName="" concept="" mulRef="_GBC_57faea4e453e49ad93821b7dd6ce8bc4" unitRef="_GBC_cef77704267643d794145c73763360e5" formatStyle="Comma">
          <m:extendConcept standardLabel="4.同一控制下企业合并其他综合收益" preferredLabel="4.同一控制下企业合并" referenceConcept="clcid-pte:QiTaSuoYouZheTouRuHeJianShaoZiBenDaoZhiQiTaZongHeShouYiBianDongJinE"/>
        </m:item>
        <m:item xlName="_GBC_d5aa768a88d1433ab9c61b2ce88a32e8" pickName="" concept="" mulRef="_GBC_57faea4e453e49ad93821b7dd6ce8bc4" unitRef="_GBC_cef77704267643d794145c73763360e5" formatStyle="Comma">
          <m:extendConcept standardLabel="4.同一控制下企业合并专项储备" preferredLabel="4.同一控制下企业合并" referenceConcept="clcid-pte:QiTaSuoYouZheTouRuHeJianShaoZiBenDaoZhiZhuanXiangChuBeiBianDongJinE"/>
        </m:item>
        <m:item xlName="_GBC_601c16f5d9c2431db5285f70bb92fac6" pickName="" concept="" mulRef="_GBC_57faea4e453e49ad93821b7dd6ce8bc4" unitRef="_GBC_cef77704267643d794145c73763360e5" formatStyle="Comma">
          <m:extendConcept standardLabel="4.同一控制下企业合并盈余公积" preferredLabel="4.同一控制下企业合并" referenceConcept="clcid-pte:QiTaSuoYouZheTouRuHeJianShaoZiBenDaoZhiYingYuGongJiBianDongJinE"/>
        </m:item>
        <m:item xlName="_GBC_3fad8c34873b4ce39bc048994c9bdba4" pickName="" concept="" mulRef="_GBC_57faea4e453e49ad93821b7dd6ce8bc4" unitRef="_GBC_cef77704267643d794145c73763360e5" formatStyle="Comma">
          <m:extendConcept standardLabel="4.同一控制下企业合并一般风险准备" preferredLabel="4.同一控制下企业合并" referenceConcept="clcid-pte:QiTaSuoYouZheTouRuHeJianShaoZiBenDaoZhiYiBanFengXianZhunBeiBianDongJinE"/>
        </m:item>
        <m:item xlName="_GBC_d88bda875cb64e05ba2001e1606a4afd" pickName="" concept="" mulRef="_GBC_57faea4e453e49ad93821b7dd6ce8bc4" unitRef="_GBC_cef77704267643d794145c73763360e5" formatStyle="Comma">
          <m:extendConcept standardLabel="4.同一控制下企业合并未分配利润" preferredLabel="4.同一控制下企业合并" referenceConcept="clcid-pte:QiTaSuoYouZheTouRuHeJianShaoZiBenDaoZhiWeiFenPeiLiRunBianDongJinE"/>
        </m:item>
        <m:item xlName="_GBC_358b22012f254ad487b64b756861aa24" pickName="" concept="" mulRef="_GBC_57faea4e453e49ad93821b7dd6ce8bc4" unitRef="_GBC_cef77704267643d794145c73763360e5" formatStyle="Comma">
          <m:extendConcept standardLabel="4.同一控制下企业合并其他" preferredLabel="4.同一控制下企业合并" referenceConcept="clcid-pte:QiTaSuoYouZheTouRuHeJianShaoZiBenDaoZhiQiTaDeGuiShuYuMuGongSiSuoYouZheQuanYiBianDongJinE"/>
        </m:item>
        <m:item xlName="_GBC_acdaf2ad6c254affa1ecad180d7946b9" pickName="" concept="" mulRef="_GBC_57faea4e453e49ad93821b7dd6ce8bc4" unitRef="_GBC_cef77704267643d794145c73763360e5" formatStyle="Comma">
          <m:extendConcept standardLabel="4.同一控制下企业合并小计" preferredLabel="4.同一控制下企业合并" referenceConcept="clcid-pte:QiTaSuoYouZheTouRuHeJianShaoZiBenDaoZhiGuiShuYuMuGongSiSuoYouZheQuanYiBianDongJinE"/>
        </m:item>
        <m:item xlName="_GBC_295e759702ad44c19ba011fe2c3795c9" pickName="" concept="" mulRef="_GBC_57faea4e453e49ad93821b7dd6ce8bc4" unitRef="_GBC_cef77704267643d794145c73763360e5" formatStyle="Comma">
          <m:extendConcept standardLabel="4.同一控制下企业合并少数股东权益" preferredLabel="4.同一控制下企业合并" referenceConcept="clcid-pte:QiTaSuoYouZheTouRuHeJianShaoZiBenDaoZhiShaoShuGuDongQuanYiBianDongJinE"/>
        </m:item>
        <m:item xlName="_GBC_eb0bdb6dd1a4481aac22cacf281e03f0" pickName="" concept="" mulRef="_GBC_57faea4e453e49ad93821b7dd6ce8bc4" unitRef="_GBC_cef77704267643d794145c73763360e5" formatStyle="Comma">
          <m:extendConcept standardLabel="4.同一控制下企业合并所有者权益合计" preferredLabel="4.同一控制下企业合并" referenceConcept="clcid-pte:QiTaSuoYouZheTouRuHeJianShaoZiBenDaoZhiGuDongQuanYiHeJiBianDongJinE"/>
        </m:item>
        <m:placeholder xlName="_PLD_29fa524970414e74a7b7597cfac4e356" wordText="4．其他"/>
        <m:item xlName="_GBC_9ffab9478c0946169b25bc53baef023d" pickName="" concept="" mulRef="_GBC_57faea4e453e49ad93821b7dd6ce8bc4" unitRef="_GBC_cef77704267643d794145c73763360e5" formatStyle="Comma">
          <m:extendConcept standardLabel="5.收购少数股东股权实收资本(或股本)" preferredLabel="5.收购少数股东股权" dataType="xbrli:monetaryItemType" period="duration" referenceConcept="clcid-pte:QiTaSuoYouZheTouRuHeJianShaoZiBenDaoZhiShiShouZiBenHuoGuBenJingEBianDongJinE"/>
        </m:item>
        <m:item xlName="_GBC_f5ecb0e639434056a4e26662bfe01044" pickName="" concept="" mulRef="_GBC_57faea4e453e49ad93821b7dd6ce8bc4" unitRef="_GBC_cef77704267643d794145c73763360e5" formatStyle="Comma">
          <m:extendConcept standardLabel="5.收购少数股东股权优先股" preferredLabel="5.收购少数股东股权" dataType="xbrli:monetaryItemType" period="duration" referenceConcept="clcid-pte:QiTaSuoYouZheTouRuHeJianShaoZiBenDaoZhiQiTaQuanYiGongJuZhongDeYouXianGuBianDongJinE"/>
        </m:item>
        <m:item xlName="_GBC_cb3d093a3c964858852e46e89fbcfd24" pickName="" concept="" mulRef="_GBC_57faea4e453e49ad93821b7dd6ce8bc4" unitRef="_GBC_cef77704267643d794145c73763360e5" formatStyle="Comma">
          <m:extendConcept standardLabel="5.收购少数股东股权永续债" preferredLabel="5.收购少数股东股权" dataType="xbrli:monetaryItemType" period="duration" referenceConcept="clcid-pte:QiTaSuoYouZheTouRuHeJianShaoZiBenDaoZhiQiTaQuanYiGongJuZhongDeYongXuZhaiBianDongJinE"/>
        </m:item>
        <m:item xlName="_GBC_51089caaed514bd8a4e5a92e3fdd3d77" pickName="" concept="" mulRef="_GBC_57faea4e453e49ad93821b7dd6ce8bc4" unitRef="_GBC_cef77704267643d794145c73763360e5" formatStyle="Comma">
          <m:extendConcept standardLabel="5.收购少数股东股权其他" preferredLabel="5.收购少数股东股权" dataType="xbrli:monetaryItemType" period="duration" referenceConcept="clcid-pte:QiTaSuoYouZheTouRuHeJianShaoZiBenDaoZhiQiTaQuanYiGongJuZhongDeQiTaBianDongJinE"/>
        </m:item>
        <m:item xlName="_GBC_58086fa261ff4efdb5787844a0d25af8" pickName="" concept="" mulRef="_GBC_57faea4e453e49ad93821b7dd6ce8bc4" unitRef="_GBC_cef77704267643d794145c73763360e5" formatStyle="Comma">
          <m:extendConcept standardLabel="5.收购少数股东股权资本公积" preferredLabel="5.收购少数股东股权" dataType="xbrli:monetaryItemType" period="duration" referenceConcept="clcid-pte:QiTaSuoYouZheTouRuHeJianShaoZiBenDaoZhiZiBenGongJiBianDongJinE"/>
        </m:item>
        <m:item xlName="_GBC_7f9b6af976a54f559ebab354ed5bdc76" pickName="" concept="" mulRef="_GBC_57faea4e453e49ad93821b7dd6ce8bc4" unitRef="_GBC_cef77704267643d794145c73763360e5" baseScale="-1" formatStyle="Comma">
          <m:extendConcept standardLabel="5.收购少数股东股权减:库存股" preferredLabel="5.收购少数股东股权" dataType="xbrli:monetaryItemType" period="duration" referenceConcept="clcid-pte:QiTaSuoYouZheTouRuHeJianShaoZiBenDaoZhiKuCunGuBianDongJinE"/>
        </m:item>
        <m:item xlName="_GBC_aa75ca8b9ccf4b09a0213ca739f96a4d" pickName="" concept="" mulRef="_GBC_57faea4e453e49ad93821b7dd6ce8bc4" unitRef="_GBC_cef77704267643d794145c73763360e5" formatStyle="Comma">
          <m:extendConcept standardLabel="5.收购少数股东股权其他综合收益" preferredLabel="5.收购少数股东股权" dataType="xbrli:monetaryItemType" period="duration" referenceConcept="clcid-pte:QiTaSuoYouZheTouRuHeJianShaoZiBenDaoZhiQiTaZongHeShouYiBianDongJinE"/>
        </m:item>
        <m:item xlName="_GBC_8d7a063809884b709d5b422e1cd283e9" pickName="" concept="" mulRef="_GBC_57faea4e453e49ad93821b7dd6ce8bc4" unitRef="_GBC_cef77704267643d794145c73763360e5" formatStyle="Comma">
          <m:extendConcept standardLabel="5.收购少数股东股权专项储备" preferredLabel="5.收购少数股东股权" dataType="xbrli:monetaryItemType" period="duration" referenceConcept="clcid-pte:QiTaSuoYouZheTouRuHeJianShaoZiBenDaoZhiZhuanXiangChuBeiBianDongJinE"/>
        </m:item>
        <m:item xlName="_GBC_7a76ac1653d24742a971487150959959" pickName="" concept="" mulRef="_GBC_57faea4e453e49ad93821b7dd6ce8bc4" unitRef="_GBC_cef77704267643d794145c73763360e5" formatStyle="Comma">
          <m:extendConcept standardLabel="5.收购少数股东股权盈余公积" preferredLabel="5.收购少数股东股权" dataType="xbrli:monetaryItemType" period="duration" referenceConcept="clcid-pte:QiTaSuoYouZheTouRuHeJianShaoZiBenDaoZhiYingYuGongJiBianDongJinE"/>
        </m:item>
        <m:item xlName="_GBC_fd458bbe90324e5093644826e4852a7d" pickName="" concept="" mulRef="_GBC_57faea4e453e49ad93821b7dd6ce8bc4" unitRef="_GBC_cef77704267643d794145c73763360e5" formatStyle="Comma">
          <m:extendConcept standardLabel="5.收购少数股东股权一般风险准备" preferredLabel="5.收购少数股东股权" dataType="xbrli:monetaryItemType" period="duration" referenceConcept="clcid-pte:QiTaSuoYouZheTouRuHeJianShaoZiBenDaoZhiYiBanFengXianZhunBeiBianDongJinE"/>
        </m:item>
        <m:item xlName="_GBC_6900dc2ba3c84e3d80248853ac032641" pickName="" concept="" mulRef="_GBC_57faea4e453e49ad93821b7dd6ce8bc4" unitRef="_GBC_cef77704267643d794145c73763360e5" formatStyle="Comma">
          <m:extendConcept standardLabel="5.收购少数股东股权未分配利润" preferredLabel="5.收购少数股东股权" dataType="xbrli:monetaryItemType" period="duration" referenceConcept="clcid-pte:QiTaSuoYouZheTouRuHeJianShaoZiBenDaoZhiWeiFenPeiLiRunBianDongJinE"/>
        </m:item>
        <m:item xlName="_GBC_5ea7ffc650a641ed96851d9f45f2f6df" pickName="" concept="" mulRef="_GBC_57faea4e453e49ad93821b7dd6ce8bc4" unitRef="_GBC_cef77704267643d794145c73763360e5" formatStyle="Comma">
          <m:extendConcept standardLabel="5.收购少数股东股权其他" preferredLabel="5.收购少数股东股权" dataType="xbrli:monetaryItemType" period="duration" referenceConcept="clcid-pte:QiTaSuoYouZheTouRuHeJianShaoZiBenDaoZhiQiTaDeGuiShuYuMuGongSiSuoYouZheQuanYiBianDongJinE"/>
        </m:item>
        <m:item xlName="_GBC_e49d4a91407d43e1922f9682b9c38438" pickName="" concept="" mulRef="_GBC_57faea4e453e49ad93821b7dd6ce8bc4" unitRef="_GBC_cef77704267643d794145c73763360e5" formatStyle="Comma">
          <m:extendConcept standardLabel="5.收购少数股东股权小计" preferredLabel="5.收购少数股东股权" dataType="xbrli:monetaryItemType" period="duration" referenceConcept="clcid-pte:QiTaSuoYouZheTouRuHeJianShaoZiBenDaoZhiGuiShuYuMuGongSiSuoYouZheQuanYiBianDongJinE"/>
        </m:item>
        <m:item xlName="_GBC_b9a855bfe6a74159bcf37366628b593b" pickName="" concept="" mulRef="_GBC_57faea4e453e49ad93821b7dd6ce8bc4" unitRef="_GBC_cef77704267643d794145c73763360e5" formatStyle="Comma">
          <m:extendConcept standardLabel="5.收购少数股东股权少数股东权益" preferredLabel="5.收购少数股东股权" dataType="xbrli:monetaryItemType" period="duration" referenceConcept="clcid-pte:QiTaSuoYouZheTouRuHeJianShaoZiBenDaoZhiShaoShuGuDongQuanYiBianDongJinE"/>
        </m:item>
        <m:item xlName="_GBC_2e92e4a5b533437fb746697ace9864ed" pickName="" concept="" mulRef="_GBC_57faea4e453e49ad93821b7dd6ce8bc4" unitRef="_GBC_cef77704267643d794145c73763360e5" formatStyle="Comma">
          <m:extendConcept standardLabel="5.收购少数股东股权所有者权益合计" preferredLabel="5.收购少数股东股权" dataType="xbrli:monetaryItemType" period="duration" referenceConcept="clcid-pte:QiTaSuoYouZheTouRuHeJianShaoZiBenDaoZhiGuDongQuanYiHeJiBianDongJinE"/>
        </m:item>
        <m:placeholder xlName="_PLD_c670067b3d334ad6934d4ef8ce35e090" wordText="4．其他"/>
        <m:item xlName="_GBC_6ed29749f2dd4d5a8c8d750084cc8f43" concept="" mulRef="_GBC_57faea4e453e49ad93821b7dd6ce8bc4" unitRef="_GBC_cef77704267643d794145c73763360e5" formatStyle="Comma">
          <m:extendConcept standardLabel="6.其他实收资本(或股本)" preferredLabel="6．其他" dataType="xbrli:monetaryItemType" period="duration" referenceConcept="clcid-pte:QiTaSuoYouZheTouRuHeJianShaoZiBenDaoZhiShiShouZiBenHuoGuBenJingEBianDongJinE"/>
        </m:item>
        <m:item xlName="_GBC_3f7c16a55acd4b8ea885b57b570747e3" concept="" mulRef="_GBC_57faea4e453e49ad93821b7dd6ce8bc4" unitRef="_GBC_cef77704267643d794145c73763360e5" formatStyle="Comma">
          <m:extendConcept standardLabel="6.其他优先股" preferredLabel="6．其他" dataType="xbrli:monetaryItemType" period="duration" referenceConcept="clcid-pte:QiTaSuoYouZheTouRuHeJianShaoZiBenDaoZhiQiTaQuanYiGongJuZhongDeYouXianGuBianDongJinE"/>
        </m:item>
        <m:item xlName="_GBC_80dbcf74efbb4344ba08ba6533e5e3ec" concept="" mulRef="_GBC_57faea4e453e49ad93821b7dd6ce8bc4" unitRef="_GBC_cef77704267643d794145c73763360e5" formatStyle="Comma">
          <m:extendConcept standardLabel="6.其他永续债" preferredLabel="6．其他" dataType="xbrli:monetaryItemType" period="duration" referenceConcept="clcid-pte:QiTaSuoYouZheTouRuHeJianShaoZiBenDaoZhiQiTaQuanYiGongJuZhongDeYongXuZhaiBianDongJinE"/>
        </m:item>
        <m:item xlName="_GBC_05f3aa8bb9bc40c89ae6ebe864e5a286" concept="" mulRef="_GBC_57faea4e453e49ad93821b7dd6ce8bc4" unitRef="_GBC_cef77704267643d794145c73763360e5" formatStyle="Comma">
          <m:extendConcept standardLabel="6.其他其他" preferredLabel="6．其他" dataType="xbrli:monetaryItemType" period="duration" referenceConcept="clcid-pte:QiTaSuoYouZheTouRuHeJianShaoZiBenDaoZhiQiTaQuanYiGongJuZhongDeQiTaBianDongJinE"/>
        </m:item>
        <m:item xlName="_GBC_60a8709bb77247c5b0b04202a3e232d9" concept="" mulRef="_GBC_57faea4e453e49ad93821b7dd6ce8bc4" unitRef="_GBC_cef77704267643d794145c73763360e5" formatStyle="Comma">
          <m:extendConcept standardLabel="6.其他资本公积" preferredLabel="6．其他" dataType="xbrli:monetaryItemType" period="duration" referenceConcept="clcid-pte:QiTaSuoYouZheTouRuHeJianShaoZiBenDaoZhiZiBenGongJiBianDongJinE"/>
        </m:item>
        <m:item xlName="_GBC_2ad73b77b6bb4c718d44bfeeea0d4ef7" concept="" mulRef="_GBC_57faea4e453e49ad93821b7dd6ce8bc4" unitRef="_GBC_cef77704267643d794145c73763360e5" baseScale="-1" formatStyle="Comma">
          <m:extendConcept standardLabel="6.其他减:库存股" preferredLabel="6．其他" dataType="xbrli:monetaryItemType" period="duration" referenceConcept="clcid-pte:QiTaSuoYouZheTouRuHeJianShaoZiBenDaoZhiKuCunGuBianDongJinE"/>
        </m:item>
        <m:item xlName="_GBC_e09a372e0f804d4eb75b34bd1033f25d" concept="" mulRef="_GBC_57faea4e453e49ad93821b7dd6ce8bc4" unitRef="_GBC_cef77704267643d794145c73763360e5" formatStyle="Comma">
          <m:extendConcept standardLabel="6.其他其他综合收益" preferredLabel="6．其他" dataType="xbrli:monetaryItemType" period="duration" referenceConcept="clcid-pte:QiTaSuoYouZheTouRuHeJianShaoZiBenDaoZhiQiTaZongHeShouYiBianDongJinE"/>
        </m:item>
        <m:item xlName="_GBC_81272648f6ba4dd1bb1e0195133fe02a" concept="" mulRef="_GBC_57faea4e453e49ad93821b7dd6ce8bc4" unitRef="_GBC_cef77704267643d794145c73763360e5" formatStyle="Comma">
          <m:extendConcept standardLabel="6.其他专项储备" preferredLabel="6．其他" dataType="xbrli:monetaryItemType" period="duration" referenceConcept="clcid-pte:QiTaSuoYouZheTouRuHeJianShaoZiBenDaoZhiZhuanXiangChuBeiBianDongJinE"/>
        </m:item>
        <m:item xlName="_GBC_5f972b8b00e243fc8cd451954dfb1143" concept="" mulRef="_GBC_57faea4e453e49ad93821b7dd6ce8bc4" unitRef="_GBC_cef77704267643d794145c73763360e5" formatStyle="Comma">
          <m:extendConcept standardLabel="6.其他盈余公积" preferredLabel="6．其他" dataType="xbrli:monetaryItemType" period="duration" referenceConcept="clcid-pte:QiTaSuoYouZheTouRuHeJianShaoZiBenDaoZhiYingYuGongJiBianDongJinE"/>
        </m:item>
        <m:item xlName="_GBC_37c824a7b88341bc9be939c6ebc2c29f" concept="" mulRef="_GBC_57faea4e453e49ad93821b7dd6ce8bc4" unitRef="_GBC_cef77704267643d794145c73763360e5" formatStyle="Comma">
          <m:extendConcept standardLabel="6.其他一般风险准备" preferredLabel="6．其他" dataType="xbrli:monetaryItemType" period="duration" referenceConcept="clcid-pte:QiTaSuoYouZheTouRuHeJianShaoZiBenDaoZhiYiBanFengXianZhunBeiBianDongJinE"/>
        </m:item>
        <m:item xlName="_GBC_f647953598e1475fb323f470cda9e282" concept="" mulRef="_GBC_57faea4e453e49ad93821b7dd6ce8bc4" unitRef="_GBC_cef77704267643d794145c73763360e5" formatStyle="Comma">
          <m:extendConcept standardLabel="6.其他未分配利润" preferredLabel="6．其他" dataType="xbrli:monetaryItemType" period="duration" referenceConcept="clcid-pte:QiTaSuoYouZheTouRuHeJianShaoZiBenDaoZhiWeiFenPeiLiRunBianDongJinE"/>
        </m:item>
        <m:item xlName="_GBC_da2473d87a064f15a41b2ad983f51150" concept="" mulRef="_GBC_57faea4e453e49ad93821b7dd6ce8bc4" unitRef="_GBC_cef77704267643d794145c73763360e5" formatStyle="Comma">
          <m:extendConcept standardLabel="6.其他其他" preferredLabel="6．其他" dataType="xbrli:monetaryItemType" period="duration" referenceConcept="clcid-pte:QiTaSuoYouZheTouRuHeJianShaoZiBenDaoZhiQiTaDeGuiShuYuMuGongSiSuoYouZheQuanYiBianDongJinE"/>
        </m:item>
        <m:item xlName="_GBC_26acf341dd0941688dfa9f8a3b35705b" concept="" mulRef="_GBC_57faea4e453e49ad93821b7dd6ce8bc4" unitRef="_GBC_cef77704267643d794145c73763360e5" formatStyle="Comma">
          <m:extendConcept standardLabel="6.其他小计" preferredLabel="6．其他" dataType="xbrli:monetaryItemType" period="duration" referenceConcept="clcid-pte:QiTaSuoYouZheTouRuHeJianShaoZiBenDaoZhiGuiShuYuMuGongSiSuoYouZheQuanYiBianDongJinE"/>
        </m:item>
        <m:item xlName="_GBC_8cb5687d394d4e979a8fbacb97fe91b0" concept="" mulRef="_GBC_57faea4e453e49ad93821b7dd6ce8bc4" unitRef="_GBC_cef77704267643d794145c73763360e5" formatStyle="Comma">
          <m:extendConcept standardLabel="6.其他少数股东权益" preferredLabel="6．其他" dataType="xbrli:monetaryItemType" period="duration" referenceConcept="clcid-pte:QiTaSuoYouZheTouRuHeJianShaoZiBenDaoZhiShaoShuGuDongQuanYiBianDongJinE"/>
        </m:item>
        <m:item xlName="_GBC_135433231e31476c90ef3510e1a50f7d" concept="" mulRef="_GBC_57faea4e453e49ad93821b7dd6ce8bc4" unitRef="_GBC_cef77704267643d794145c73763360e5" formatStyle="Comma">
          <m:extendConcept standardLabel="6.其他所有者权益合计" preferredLabel="6．其他" dataType="xbrli:monetaryItemType" period="duration" referenceConcept="clcid-pte:QiTaSuoYouZheTouRuHeJianShaoZiBenDaoZhiGuDongQuanYiHeJiBianDongJinE"/>
        </m:item>
        <m:placeholder xlName="_PLD_5394c61e8da84b65a01260423d9d5ebd" wordText="4．其他"/>
        <m:item xlName="_GBC_5d8787bc83bf4d31a54dc86e70652e2a" pickName="" concept="" mulRef="_GBC_57faea4e453e49ad93821b7dd6ce8bc4" unitRef="_GBC_cef77704267643d794145c73763360e5" formatStyle="Comma">
          <m:extendConcept standardLabel="4.对其他权益工具持有者的分配实收资本(或股本)" preferredLabel="4．对其他权益工具持有者的分配" dataType="xbrli:monetaryItemType" period="duration" referenceConcept="clcid-pte:QiTaLiRunFenPeiDaoZhiShiShouZiBenHuoGuBenJingEBianDongJinE"/>
        </m:item>
        <m:item xlName="_GBC_1fe743203e0b40cd86467a74ef5efee0" pickName="" concept="" mulRef="_GBC_57faea4e453e49ad93821b7dd6ce8bc4" unitRef="_GBC_cef77704267643d794145c73763360e5" formatStyle="Comma">
          <m:extendConcept standardLabel="4.对其他权益工具持有者的分配优先股" preferredLabel="4．对其他权益工具持有者的分配" dataType="xbrli:monetaryItemType" period="duration" referenceConcept="clcid-pte:QiTaLiRunFenPeiDaoZhiQiTaQuanYiGongJuZhongDeYouXianGuBianDongJinE"/>
        </m:item>
        <m:item xlName="_GBC_24303a5a7c0e436aa62c068f1e2a2bc6" pickName="" concept="" mulRef="_GBC_57faea4e453e49ad93821b7dd6ce8bc4" unitRef="_GBC_cef77704267643d794145c73763360e5" formatStyle="Comma">
          <m:extendConcept standardLabel="4.对其他权益工具持有者的分配永续债" preferredLabel="4．对其他权益工具持有者的分配" dataType="xbrli:monetaryItemType" period="duration" referenceConcept="clcid-pte:QiTaLiRunFenPeiDaoZhiQiTaQuanYiGongJuZhongDeYongXuZhaiBianDongJinE"/>
        </m:item>
        <m:item xlName="_GBC_2998ca2f3715446bbf9ead6516c2ef18" pickName="" concept="" mulRef="_GBC_57faea4e453e49ad93821b7dd6ce8bc4" unitRef="_GBC_cef77704267643d794145c73763360e5" formatStyle="Comma">
          <m:extendConcept standardLabel="4.对其他权益工具持有者的分配其他" preferredLabel="4．对其他权益工具持有者的分配" dataType="xbrli:monetaryItemType" period="duration" referenceConcept="clcid-pte:QiTaLiRunFenPeiDaoZhiQiTaQuanYiGongJuZhongDeQiTaBianDongJinE"/>
        </m:item>
        <m:item xlName="_GBC_d5751a1d308349e1b27e513760719f21" pickName="" concept="" mulRef="_GBC_57faea4e453e49ad93821b7dd6ce8bc4" unitRef="_GBC_cef77704267643d794145c73763360e5" formatStyle="Comma">
          <m:extendConcept standardLabel="4.对其他权益工具持有者的分配资本公积" preferredLabel="4．对其他权益工具持有者的分配" dataType="xbrli:monetaryItemType" period="duration" referenceConcept="clcid-pte:QiTaLiRunFenPeiDaoZhiZiBenGongJiBianDongJinE"/>
        </m:item>
        <m:item xlName="_GBC_28e87015c1794369b22d1952f5085a55" pickName="" concept="" mulRef="_GBC_57faea4e453e49ad93821b7dd6ce8bc4" unitRef="_GBC_cef77704267643d794145c73763360e5" baseScale="-1" formatStyle="Comma">
          <m:extendConcept standardLabel="4.对其他权益工具持有者的分配减:库存股" preferredLabel="4．对其他权益工具持有者的分配" dataType="xbrli:monetaryItemType" period="duration" referenceConcept="clcid-pte:QiTaLiRunFenPeiDaoZhiKuCunGuBianDongJinE"/>
        </m:item>
        <m:item xlName="_GBC_223eb8cd21574188b7d2274006f83736" pickName="" concept="" mulRef="_GBC_57faea4e453e49ad93821b7dd6ce8bc4" unitRef="_GBC_cef77704267643d794145c73763360e5" formatStyle="Comma">
          <m:extendConcept standardLabel="4.对其他权益工具持有者的分配其他综合收益" preferredLabel="4．对其他权益工具持有者的分配" dataType="xbrli:monetaryItemType" period="duration" referenceConcept="clcid-pte:QiTaLiRunFenPeiDaoZhiQiTaZongHeShouYiBianDongJinE"/>
        </m:item>
        <m:item xlName="_GBC_c713a87dd81c478590feb2829cd92199" pickName="" concept="" mulRef="_GBC_57faea4e453e49ad93821b7dd6ce8bc4" unitRef="_GBC_cef77704267643d794145c73763360e5" formatStyle="Comma">
          <m:extendConcept standardLabel="4.对其他权益工具持有者的分配专项储备" preferredLabel="4．对其他权益工具持有者的分配" dataType="xbrli:monetaryItemType" period="duration" referenceConcept="clcid-pte:QiTaLiRunFenPeiDaoZhiZhuanXiangChuBeiBianDongJinE"/>
        </m:item>
        <m:item xlName="_GBC_d48f5f40505741c29f929d64dfe1c2bf" pickName="" concept="" mulRef="_GBC_57faea4e453e49ad93821b7dd6ce8bc4" unitRef="_GBC_cef77704267643d794145c73763360e5" formatStyle="Comma">
          <m:extendConcept standardLabel="4.对其他权益工具持有者的分配盈余公积" preferredLabel="4．对其他权益工具持有者的分配" dataType="xbrli:monetaryItemType" period="duration" referenceConcept="clcid-pte:QiTaLiRunFenPeiDaoZhiYingYuGongJiBianDongJinE"/>
        </m:item>
        <m:item xlName="_GBC_ee1eeb8f6b3640869cc4ed7b284094db" pickName="" concept="" mulRef="_GBC_57faea4e453e49ad93821b7dd6ce8bc4" unitRef="_GBC_cef77704267643d794145c73763360e5" formatStyle="Comma">
          <m:extendConcept standardLabel="4.对其他权益工具持有者的分配一般风险准备" preferredLabel="4．对其他权益工具持有者的分配" dataType="xbrli:monetaryItemType" period="duration" referenceConcept="clcid-pte:QiTaLiRunFenPeiDaoZhiYiBanFengXianZhunBeiBianDongJinE"/>
        </m:item>
        <m:item xlName="_GBC_3c7b6b22cc684d6b934206e36ad34768" pickName="" concept="" mulRef="_GBC_57faea4e453e49ad93821b7dd6ce8bc4" unitRef="_GBC_cef77704267643d794145c73763360e5" formatStyle="Comma">
          <m:extendConcept standardLabel="4.对其他权益工具持有者的分配未分配利润" preferredLabel="4．对其他权益工具持有者的分配" dataType="xbrli:monetaryItemType" period="duration" referenceConcept="clcid-pte:QiTaLiRunFenPeiDaoZhiWeiFenPeiLiRunBianDongJinE"/>
        </m:item>
        <m:item xlName="_GBC_f221838db3104792bd69b79a77f64188" pickName="" concept="" mulRef="_GBC_57faea4e453e49ad93821b7dd6ce8bc4" unitRef="_GBC_cef77704267643d794145c73763360e5" formatStyle="Comma">
          <m:extendConcept standardLabel="4.对其他权益工具持有者的分配其他" preferredLabel="4．对其他权益工具持有者的分配" dataType="xbrli:monetaryItemType" period="duration" referenceConcept="clcid-pte:QiTaLiRunFenPeiDaoZhiQiTaDeGuiShuYuMuGongSiSuoYouZheQuanYiBianDongJinE"/>
        </m:item>
        <m:item xlName="_GBC_951aad58d9a94357848723b94a21a1bc" pickName="" concept="" mulRef="_GBC_57faea4e453e49ad93821b7dd6ce8bc4" unitRef="_GBC_cef77704267643d794145c73763360e5" formatStyle="Comma">
          <m:extendConcept standardLabel="4.对其他权益工具持有者的分配小计" preferredLabel="4．对其他权益工具持有者的分配" dataType="xbrli:monetaryItemType" period="duration" referenceConcept="clcid-pte:QiTaLiRunFenPeiDaoZhiGuiShuYuMuGongSiSuoYouZheQuanYiBianDongJinE"/>
        </m:item>
        <m:item xlName="_GBC_d0861d6c76c54f23b39d5ac67d09dec6" pickName="" concept="" mulRef="_GBC_57faea4e453e49ad93821b7dd6ce8bc4" unitRef="_GBC_cef77704267643d794145c73763360e5" formatStyle="Comma">
          <m:extendConcept standardLabel="4.对其他权益工具持有者的分配少数股东权益" preferredLabel="4．对其他权益工具持有者的分配" dataType="xbrli:monetaryItemType" period="duration" referenceConcept="clcid-pte:QiTaLiRunFenPeiDaoZhiShaoShuGuDongQuanYiBianDongJinE"/>
        </m:item>
        <m:item xlName="_GBC_5bfeb5adc6504269ab3422c7a6572cd6" pickName="" concept="" mulRef="_GBC_57faea4e453e49ad93821b7dd6ce8bc4" unitRef="_GBC_cef77704267643d794145c73763360e5" formatStyle="Comma">
          <m:extendConcept standardLabel="4.对其他权益工具持有者的分配所有者权益合计" preferredLabel="4．对其他权益工具持有者的分配" dataType="xbrli:monetaryItemType" period="duration" referenceConcept="clcid-pte:QiTaLiRunFenPeiDaoZhiGuDongQuanYiHeJiBianDongJinE"/>
        </m:item>
        <m:placeholder xlName="_PLD_0dc9bba19ade44cd948f4e88acb54432" wordText="4．其他"/>
        <m:item xlName="_GBC_a2fcf65bee8949bea2b799fa2ab081ab" pickName="" concept="" periodRef="上年同期数" mulRef="_GBC_57faea4e453e49ad93821b7dd6ce8bc4" unitRef="_GBC_cef77704267643d794145c73763360e5" formatStyle="Comma">
          <m:extendConcept standardLabel="5.收购少数股东股权实收资本(或股本)" preferredLabel="5．收购少数股东股权" dataType="xbrli:monetaryItemType" period="duration" referenceConcept="clcid-pte:QiTaSuoYouZheTouRuHeJianShaoZiBenDaoZhiShiShouZiBenHuoGuBenJingEBianDongJinE"/>
        </m:item>
        <m:item xlName="_GBC_1b8095b36721440fb5deee623680ff7f" pickName="" concept="" periodRef="上年同期数" mulRef="_GBC_57faea4e453e49ad93821b7dd6ce8bc4" unitRef="_GBC_cef77704267643d794145c73763360e5" formatStyle="Comma">
          <m:extendConcept standardLabel="5.收购少数股东股权优先股" preferredLabel="5．收购少数股东股权" dataType="xbrli:monetaryItemType" period="duration" referenceConcept="clcid-pte:QiTaSuoYouZheTouRuHeJianShaoZiBenDaoZhiQiTaQuanYiGongJuZhongDeYouXianGuBianDongJinE"/>
        </m:item>
        <m:item xlName="_GBC_8e74ab19dfa9419aa377a33c3f758305" pickName="" concept="" periodRef="上年同期数" mulRef="_GBC_57faea4e453e49ad93821b7dd6ce8bc4" unitRef="_GBC_cef77704267643d794145c73763360e5" formatStyle="Comma">
          <m:extendConcept standardLabel="5.收购少数股东股权永续债" preferredLabel="5．收购少数股东股权" dataType="xbrli:monetaryItemType" period="duration" referenceConcept="clcid-pte:QiTaSuoYouZheTouRuHeJianShaoZiBenDaoZhiQiTaQuanYiGongJuZhongDeYongXuZhaiBianDongJinE"/>
        </m:item>
        <m:item xlName="_GBC_9bc970773d764562aca107280dc4971c" pickName="" concept="" periodRef="上年同期数" mulRef="_GBC_57faea4e453e49ad93821b7dd6ce8bc4" unitRef="_GBC_cef77704267643d794145c73763360e5" formatStyle="Comma">
          <m:extendConcept standardLabel="5.收购少数股东股权其他" preferredLabel="5．收购少数股东股权" dataType="xbrli:monetaryItemType" period="duration" referenceConcept="clcid-pte:QiTaSuoYouZheTouRuHeJianShaoZiBenDaoZhiQiTaQuanYiGongJuZhongDeQiTaBianDongJinE"/>
        </m:item>
        <m:item xlName="_GBC_7ad83ead7c7f43d8a4fe3509e60ccc0b" pickName="" concept="" periodRef="上年同期数" mulRef="_GBC_57faea4e453e49ad93821b7dd6ce8bc4" unitRef="_GBC_cef77704267643d794145c73763360e5" formatStyle="Comma">
          <m:extendConcept standardLabel="5.收购少数股东股权资本公积" preferredLabel="5．收购少数股东股权" dataType="xbrli:monetaryItemType" period="duration" referenceConcept="clcid-pte:QiTaSuoYouZheTouRuHeJianShaoZiBenDaoZhiZiBenGongJiBianDongJinE"/>
        </m:item>
        <m:item xlName="_GBC_15a05c4a838f4d28bbbf6eb3d8f40b0f" pickName="" concept="" periodRef="上年同期数" mulRef="_GBC_57faea4e453e49ad93821b7dd6ce8bc4" unitRef="_GBC_cef77704267643d794145c73763360e5" baseScale="-1" formatStyle="Comma">
          <m:extendConcept standardLabel="5.收购少数股东股权减:库存股" preferredLabel="5．收购少数股东股权" dataType="xbrli:monetaryItemType" period="duration" referenceConcept="clcid-pte:QiTaSuoYouZheTouRuHeJianShaoZiBenDaoZhiKuCunGuBianDongJinE"/>
        </m:item>
        <m:item xlName="_GBC_c86703858d124518b9bdd5a517811a73" pickName="" concept="" periodRef="上年同期数" mulRef="_GBC_57faea4e453e49ad93821b7dd6ce8bc4" unitRef="_GBC_cef77704267643d794145c73763360e5" formatStyle="Comma">
          <m:extendConcept standardLabel="5.收购少数股东股权其他综合收益" preferredLabel="5．收购少数股东股权" dataType="xbrli:monetaryItemType" period="duration" referenceConcept="clcid-pte:QiTaSuoYouZheTouRuHeJianShaoZiBenDaoZhiQiTaZongHeShouYiBianDongJinE"/>
        </m:item>
        <m:item xlName="_GBC_cf90521aab86498390a119af317d5cd6" pickName="" concept="" periodRef="上年同期数" mulRef="_GBC_57faea4e453e49ad93821b7dd6ce8bc4" unitRef="_GBC_cef77704267643d794145c73763360e5" formatStyle="Comma">
          <m:extendConcept standardLabel="5.收购少数股东股权专项储备" preferredLabel="5．收购少数股东股权" dataType="xbrli:monetaryItemType" period="duration" referenceConcept="clcid-pte:QiTaSuoYouZheTouRuHeJianShaoZiBenDaoZhiZhuanXiangChuBeiBianDongJinE"/>
        </m:item>
        <m:item xlName="_GBC_83495bcfae104d8f9593059ae1bd840f" pickName="" concept="" periodRef="上年同期数" mulRef="_GBC_57faea4e453e49ad93821b7dd6ce8bc4" unitRef="_GBC_cef77704267643d794145c73763360e5" formatStyle="Comma">
          <m:extendConcept standardLabel="5.收购少数股东股权盈余公积" preferredLabel="5．收购少数股东股权" dataType="xbrli:monetaryItemType" period="duration" referenceConcept="clcid-pte:QiTaSuoYouZheTouRuHeJianShaoZiBenDaoZhiYingYuGongJiBianDongJinE"/>
        </m:item>
        <m:item xlName="_GBC_d6ac9c5018ac4dadada023bab757df8f" pickName="" concept="" periodRef="上年同期数" mulRef="_GBC_57faea4e453e49ad93821b7dd6ce8bc4" unitRef="_GBC_cef77704267643d794145c73763360e5" formatStyle="Comma">
          <m:extendConcept standardLabel="5.收购少数股东股权一般风险准备" preferredLabel="5．收购少数股东股权" dataType="xbrli:monetaryItemType" period="duration" referenceConcept="clcid-pte:QiTaSuoYouZheTouRuHeJianShaoZiBenDaoZhiYiBanFengXianZhunBeiBianDongJinE"/>
        </m:item>
        <m:item xlName="_GBC_8507c0dfa23546d3af2975eb95e7b286" pickName="" concept="" periodRef="上年同期数" mulRef="_GBC_57faea4e453e49ad93821b7dd6ce8bc4" unitRef="_GBC_cef77704267643d794145c73763360e5" formatStyle="Comma">
          <m:extendConcept standardLabel="5.收购少数股东股权未分配利润" preferredLabel="5．收购少数股东股权" dataType="xbrli:monetaryItemType" period="duration" referenceConcept="clcid-pte:QiTaSuoYouZheTouRuHeJianShaoZiBenDaoZhiWeiFenPeiLiRunBianDongJinE"/>
        </m:item>
        <m:item xlName="_GBC_bf63ace1ebf54824bfa0908338b6a949" pickName="" concept="" periodRef="上年同期数" mulRef="_GBC_57faea4e453e49ad93821b7dd6ce8bc4" unitRef="_GBC_cef77704267643d794145c73763360e5" formatStyle="Comma">
          <m:extendConcept standardLabel="5.收购少数股东股权其他" preferredLabel="5．收购少数股东股权" dataType="xbrli:monetaryItemType" period="duration" referenceConcept="clcid-pte:QiTaSuoYouZheTouRuHeJianShaoZiBenDaoZhiQiTaDeGuiShuYuMuGongSiSuoYouZheQuanYiBianDongJinE"/>
        </m:item>
        <m:item xlName="_GBC_ea56bdeef8ec48cdbaa558b3d407be02" pickName="" concept="" periodRef="上年同期数" mulRef="_GBC_57faea4e453e49ad93821b7dd6ce8bc4" unitRef="_GBC_cef77704267643d794145c73763360e5" formatStyle="Comma">
          <m:extendConcept standardLabel="5.收购少数股东股权小计" preferredLabel="5．收购少数股东股权" dataType="xbrli:monetaryItemType" period="duration" referenceConcept="clcid-pte:QiTaSuoYouZheTouRuHeJianShaoZiBenDaoZhiGuiShuYuMuGongSiSuoYouZheQuanYiBianDongJinE"/>
        </m:item>
        <m:item xlName="_GBC_a615bb30a6cd4b5fb1cef6fbbc7f9a12" pickName="" concept="" periodRef="上年同期数" mulRef="_GBC_57faea4e453e49ad93821b7dd6ce8bc4" unitRef="_GBC_cef77704267643d794145c73763360e5" formatStyle="Comma">
          <m:extendConcept standardLabel="5.收购少数股东股权少数股东权益" preferredLabel="5．收购少数股东股权" dataType="xbrli:monetaryItemType" period="duration" referenceConcept="clcid-pte:QiTaSuoYouZheTouRuHeJianShaoZiBenDaoZhiShaoShuGuDongQuanYiBianDongJinE"/>
        </m:item>
        <m:item xlName="_GBC_cc26b9e8ac88419cb9ee35943d4cfc99" pickName="" concept="" periodRef="上年同期数" mulRef="_GBC_57faea4e453e49ad93821b7dd6ce8bc4" unitRef="_GBC_cef77704267643d794145c73763360e5" formatStyle="Comma">
          <m:extendConcept standardLabel="5.收购少数股东股权所有者权益合计" preferredLabel="5．收购少数股东股权" dataType="xbrli:monetaryItemType" period="duration" referenceConcept="clcid-pte:QiTaSuoYouZheTouRuHeJianShaoZiBenDaoZhiGuDongQuanYiHeJiBianDongJinE"/>
        </m:item>
        <m:placeholder xlName="_PLD_c8ceb52610e94913a41c56f7b855020e" wordText="4．其他"/>
        <m:item xlName="_GBC_3712e73462f64de1af97bb3e2a34d051" concept="" periodRef="上年同期数" mulRef="_GBC_57faea4e453e49ad93821b7dd6ce8bc4" unitRef="_GBC_cef77704267643d794145c73763360e5" formatStyle="Comma">
          <m:extendConcept standardLabel="6.其他实收资本(或股本)" preferredLabel="6.其他" dataType="xbrli:monetaryItemType" period="duration" referenceConcept="clcid-pte:QiTaSuoYouZheTouRuHeJianShaoZiBenDaoZhiShiShouZiBenHuoGuBenJingEBianDongJinE"/>
        </m:item>
        <m:item xlName="_GBC_86e600de0c0f4591a19ba70069dddedd" concept="" periodRef="上年同期数" mulRef="_GBC_57faea4e453e49ad93821b7dd6ce8bc4" unitRef="_GBC_cef77704267643d794145c73763360e5" formatStyle="Comma">
          <m:extendConcept standardLabel="6.其他优先股" preferredLabel="6.其他" dataType="xbrli:monetaryItemType" period="duration" referenceConcept="clcid-pte:QiTaSuoYouZheTouRuHeJianShaoZiBenDaoZhiQiTaQuanYiGongJuZhongDeYouXianGuBianDongJinE"/>
        </m:item>
        <m:item xlName="_GBC_05e0503ca0a24487866dc72cac65773f" concept="" periodRef="上年同期数" mulRef="_GBC_57faea4e453e49ad93821b7dd6ce8bc4" unitRef="_GBC_cef77704267643d794145c73763360e5" formatStyle="Comma">
          <m:extendConcept standardLabel="6.其他永续债" preferredLabel="6.其他" dataType="xbrli:monetaryItemType" period="duration" referenceConcept="clcid-pte:QiTaSuoYouZheTouRuHeJianShaoZiBenDaoZhiQiTaQuanYiGongJuZhongDeYongXuZhaiBianDongJinE"/>
        </m:item>
        <m:item xlName="_GBC_104544543ec54b528cbeac07ef047372" concept="" periodRef="上年同期数" mulRef="_GBC_57faea4e453e49ad93821b7dd6ce8bc4" unitRef="_GBC_cef77704267643d794145c73763360e5" formatStyle="Comma">
          <m:extendConcept standardLabel="6.其他其他" preferredLabel="6.其他" dataType="xbrli:monetaryItemType" period="duration" referenceConcept="clcid-pte:QiTaSuoYouZheTouRuHeJianShaoZiBenDaoZhiQiTaQuanYiGongJuZhongDeQiTaBianDongJinE"/>
        </m:item>
        <m:item xlName="_GBC_d2355593f0044fc6b66525fe34e8e3d4" concept="" periodRef="上年同期数" mulRef="_GBC_57faea4e453e49ad93821b7dd6ce8bc4" unitRef="_GBC_cef77704267643d794145c73763360e5" formatStyle="Comma">
          <m:extendConcept standardLabel="6.其他资本公积" preferredLabel="6.其他" dataType="xbrli:monetaryItemType" period="duration" referenceConcept="clcid-pte:QiTaSuoYouZheTouRuHeJianShaoZiBenDaoZhiZiBenGongJiBianDongJinE"/>
        </m:item>
        <m:item xlName="_GBC_aac7a5e8975e4481b2f13c84ddfc8a80" concept="" periodRef="上年同期数" mulRef="_GBC_57faea4e453e49ad93821b7dd6ce8bc4" unitRef="_GBC_cef77704267643d794145c73763360e5" baseScale="-1" formatStyle="Comma">
          <m:extendConcept standardLabel="6.其他减:库存股" preferredLabel="6.其他" dataType="xbrli:monetaryItemType" period="duration" referenceConcept="clcid-pte:QiTaSuoYouZheTouRuHeJianShaoZiBenDaoZhiKuCunGuBianDongJinE"/>
        </m:item>
        <m:item xlName="_GBC_8e33642a0f2140b7baa73d1a683684e5" concept="" periodRef="上年同期数" mulRef="_GBC_57faea4e453e49ad93821b7dd6ce8bc4" unitRef="_GBC_cef77704267643d794145c73763360e5" formatStyle="Comma">
          <m:extendConcept standardLabel="6.其他其他综合收益" preferredLabel="6.其他" dataType="xbrli:monetaryItemType" period="duration" referenceConcept="clcid-pte:QiTaSuoYouZheTouRuHeJianShaoZiBenDaoZhiQiTaZongHeShouYiBianDongJinE"/>
        </m:item>
        <m:item xlName="_GBC_b916f4730dc4437ab9f4628c90b6d23b" concept="" periodRef="上年同期数" mulRef="_GBC_57faea4e453e49ad93821b7dd6ce8bc4" unitRef="_GBC_cef77704267643d794145c73763360e5" formatStyle="Comma">
          <m:extendConcept standardLabel="6.其他专项储备" preferredLabel="6.其他" dataType="xbrli:monetaryItemType" period="duration" referenceConcept="clcid-pte:QiTaSuoYouZheTouRuHeJianShaoZiBenDaoZhiZhuanXiangChuBeiBianDongJinE"/>
        </m:item>
        <m:item xlName="_GBC_9873a2f4f3e24bc394fe66d045ad9891" concept="" periodRef="上年同期数" mulRef="_GBC_57faea4e453e49ad93821b7dd6ce8bc4" unitRef="_GBC_cef77704267643d794145c73763360e5" formatStyle="Comma">
          <m:extendConcept standardLabel="6.其他盈余公积" preferredLabel="6.其他" dataType="xbrli:monetaryItemType" period="duration" referenceConcept="clcid-pte:QiTaSuoYouZheTouRuHeJianShaoZiBenDaoZhiYingYuGongJiBianDongJinE"/>
        </m:item>
        <m:item xlName="_GBC_8f05bbe43a5f43bd9e7c43da9faad3a1" concept="" periodRef="上年同期数" mulRef="_GBC_57faea4e453e49ad93821b7dd6ce8bc4" unitRef="_GBC_cef77704267643d794145c73763360e5" formatStyle="Comma">
          <m:extendConcept standardLabel="6.其他一般风险准备" preferredLabel="6.其他" dataType="xbrli:monetaryItemType" period="duration" referenceConcept="clcid-pte:QiTaSuoYouZheTouRuHeJianShaoZiBenDaoZhiYiBanFengXianZhunBeiBianDongJinE"/>
        </m:item>
        <m:item xlName="_GBC_b3e34a43eea24790a6f7df822c1f7f40" concept="" periodRef="上年同期数" mulRef="_GBC_57faea4e453e49ad93821b7dd6ce8bc4" unitRef="_GBC_cef77704267643d794145c73763360e5" formatStyle="Comma">
          <m:extendConcept standardLabel="6.其他未分配利润" preferredLabel="6.其他" dataType="xbrli:monetaryItemType" period="duration" referenceConcept="clcid-pte:QiTaSuoYouZheTouRuHeJianShaoZiBenDaoZhiWeiFenPeiLiRunBianDongJinE"/>
        </m:item>
        <m:item xlName="_GBC_c169d7ce9c3d4b6da927587d54ecac6e" concept="" periodRef="上年同期数" mulRef="_GBC_57faea4e453e49ad93821b7dd6ce8bc4" unitRef="_GBC_cef77704267643d794145c73763360e5" formatStyle="Comma">
          <m:extendConcept standardLabel="6.其他其他" preferredLabel="6.其他" dataType="xbrli:monetaryItemType" period="duration" referenceConcept="clcid-pte:QiTaSuoYouZheTouRuHeJianShaoZiBenDaoZhiQiTaDeGuiShuYuMuGongSiSuoYouZheQuanYiBianDongJinE"/>
        </m:item>
        <m:item xlName="_GBC_ae9487c3b70a48afb397230900782edb" concept="" periodRef="上年同期数" mulRef="_GBC_57faea4e453e49ad93821b7dd6ce8bc4" unitRef="_GBC_cef77704267643d794145c73763360e5" formatStyle="Comma">
          <m:extendConcept standardLabel="6.其他小计" preferredLabel="6.其他" dataType="xbrli:monetaryItemType" period="duration" referenceConcept="clcid-pte:QiTaSuoYouZheTouRuHeJianShaoZiBenDaoZhiGuiShuYuMuGongSiSuoYouZheQuanYiBianDongJinE"/>
        </m:item>
        <m:item xlName="_GBC_a61faac617314b2e9eeb63bd4c5ca25f" concept="" periodRef="上年同期数" mulRef="_GBC_57faea4e453e49ad93821b7dd6ce8bc4" unitRef="_GBC_cef77704267643d794145c73763360e5" formatStyle="Comma">
          <m:extendConcept standardLabel="6.其他少数股东权益" preferredLabel="6.其他" dataType="xbrli:monetaryItemType" period="duration" referenceConcept="clcid-pte:QiTaSuoYouZheTouRuHeJianShaoZiBenDaoZhiShaoShuGuDongQuanYiBianDongJinE"/>
        </m:item>
        <m:item xlName="_GBC_cf39c4f379324a5e8b36c7e1b0dc53e4" concept="" periodRef="上年同期数" mulRef="_GBC_57faea4e453e49ad93821b7dd6ce8bc4" unitRef="_GBC_cef77704267643d794145c73763360e5" formatStyle="Comma">
          <m:extendConcept standardLabel="6.其他所有者权益合计" preferredLabel="6.其他" dataType="xbrli:monetaryItemType" period="duration" referenceConcept="clcid-pte:QiTaSuoYouZheTouRuHeJianShaoZiBenDaoZhiGuDongQuanYiHeJiBianDongJinE"/>
        </m:item>
        <m:placeholder xlName="_PLD_6d4ac589b59b450b93ff920dcf1a2a01" wordText="4．其他"/>
        <m:item xlName="_GBC_ab41b2ef4a9f4204a7e39eb5c8091507" concept="" mulRef="_GBC_57faea4e453e49ad93821b7dd6ce8bc4" unitRef="_GBC_cef77704267643d794145c73763360e5" formatStyle="Comma">
          <m:extendConcept standardLabel="123实收资本(或股本)" preferredLabel="123" dataType="xbrli:monetaryItemType" period="duration" referenceConcept="clcid-pte:QiTaSuoYouZheTouRuHeJianShaoZiBenDaoZhiShiShouZiBenHuoGuBenJingEBianDongJinE"/>
        </m:item>
        <m:item xlName="_GBC_a072fcffc93e405c92952090f8c176d7" concept="" mulRef="_GBC_57faea4e453e49ad93821b7dd6ce8bc4" unitRef="_GBC_cef77704267643d794145c73763360e5" formatStyle="Comma">
          <m:extendConcept standardLabel="123优先股" preferredLabel="123" dataType="xbrli:monetaryItemType" period="duration" referenceConcept="clcid-pte:QiTaSuoYouZheTouRuHeJianShaoZiBenDaoZhiQiTaQuanYiGongJuZhongDeYouXianGuBianDongJinE"/>
        </m:item>
        <m:item xlName="_GBC_6da2423d5f5a40578875b9a65051052c" concept="" mulRef="_GBC_57faea4e453e49ad93821b7dd6ce8bc4" unitRef="_GBC_cef77704267643d794145c73763360e5" formatStyle="Comma">
          <m:extendConcept standardLabel="123永续债" preferredLabel="123" dataType="xbrli:monetaryItemType" period="duration" referenceConcept="clcid-pte:QiTaSuoYouZheTouRuHeJianShaoZiBenDaoZhiQiTaQuanYiGongJuZhongDeYongXuZhaiBianDongJinE"/>
        </m:item>
        <m:item xlName="_GBC_0838efd1fe934070925d275de5104528" concept="" mulRef="_GBC_57faea4e453e49ad93821b7dd6ce8bc4" unitRef="_GBC_cef77704267643d794145c73763360e5" formatStyle="Comma">
          <m:extendConcept standardLabel="123其他" preferredLabel="123" dataType="xbrli:monetaryItemType" period="duration" referenceConcept="clcid-pte:QiTaSuoYouZheTouRuHeJianShaoZiBenDaoZhiQiTaQuanYiGongJuZhongDeQiTaBianDongJinE"/>
        </m:item>
        <m:item xlName="_GBC_6794d82a907943028c2d54d3dbff5eea" concept="" mulRef="_GBC_57faea4e453e49ad93821b7dd6ce8bc4" unitRef="_GBC_cef77704267643d794145c73763360e5" formatStyle="Comma">
          <m:extendConcept standardLabel="123资本公积" preferredLabel="123" dataType="xbrli:monetaryItemType" period="duration" referenceConcept="clcid-pte:QiTaSuoYouZheTouRuHeJianShaoZiBenDaoZhiZiBenGongJiBianDongJinE"/>
        </m:item>
        <m:item xlName="_GBC_9273adabed484e0bba26e002941997aa" concept="" mulRef="_GBC_57faea4e453e49ad93821b7dd6ce8bc4" unitRef="_GBC_cef77704267643d794145c73763360e5" baseScale="-1" formatStyle="Comma">
          <m:extendConcept standardLabel="123减:库存股" preferredLabel="123" dataType="xbrli:monetaryItemType" period="duration" referenceConcept="clcid-pte:QiTaSuoYouZheTouRuHeJianShaoZiBenDaoZhiKuCunGuBianDongJinE"/>
        </m:item>
        <m:item xlName="_GBC_085e7c8bf13a4f45b392030bbb449c72" concept="" mulRef="_GBC_57faea4e453e49ad93821b7dd6ce8bc4" unitRef="_GBC_cef77704267643d794145c73763360e5" formatStyle="Comma">
          <m:extendConcept standardLabel="123其他综合收益" preferredLabel="123" dataType="xbrli:monetaryItemType" period="duration" referenceConcept="clcid-pte:QiTaSuoYouZheTouRuHeJianShaoZiBenDaoZhiQiTaZongHeShouYiBianDongJinE"/>
        </m:item>
        <m:item xlName="_GBC_c823281ad2fb47779ee6c6407c677547" concept="" mulRef="_GBC_57faea4e453e49ad93821b7dd6ce8bc4" unitRef="_GBC_cef77704267643d794145c73763360e5" formatStyle="Comma">
          <m:extendConcept standardLabel="123专项储备" preferredLabel="123" dataType="xbrli:monetaryItemType" period="duration" referenceConcept="clcid-pte:QiTaSuoYouZheTouRuHeJianShaoZiBenDaoZhiZhuanXiangChuBeiBianDongJinE"/>
        </m:item>
        <m:item xlName="_GBC_2b40b6eb7d4e42ccb7666d40aa2c4849" concept="" mulRef="_GBC_57faea4e453e49ad93821b7dd6ce8bc4" unitRef="_GBC_cef77704267643d794145c73763360e5" formatStyle="Comma">
          <m:extendConcept standardLabel="123盈余公积" preferredLabel="123" dataType="xbrli:monetaryItemType" period="duration" referenceConcept="clcid-pte:QiTaSuoYouZheTouRuHeJianShaoZiBenDaoZhiYingYuGongJiBianDongJinE"/>
        </m:item>
        <m:item xlName="_GBC_b2d394a190f543149c0a93a76e1ef9aa" concept="" mulRef="_GBC_57faea4e453e49ad93821b7dd6ce8bc4" unitRef="_GBC_cef77704267643d794145c73763360e5" formatStyle="Comma">
          <m:extendConcept standardLabel="123一般风险准备" preferredLabel="123" dataType="xbrli:monetaryItemType" period="duration" referenceConcept="clcid-pte:QiTaSuoYouZheTouRuHeJianShaoZiBenDaoZhiYiBanFengXianZhunBeiBianDongJinE"/>
        </m:item>
        <m:item xlName="_GBC_b89a90dff7c346e3ae696371a5077eb3" concept="" mulRef="_GBC_57faea4e453e49ad93821b7dd6ce8bc4" unitRef="_GBC_cef77704267643d794145c73763360e5" formatStyle="Comma">
          <m:extendConcept standardLabel="123未分配利润" preferredLabel="123" dataType="xbrli:monetaryItemType" period="duration" referenceConcept="clcid-pte:QiTaSuoYouZheTouRuHeJianShaoZiBenDaoZhiWeiFenPeiLiRunBianDongJinE"/>
        </m:item>
        <m:item xlName="_GBC_c5a2d0d38e7f4792bccf1572a21a2270" concept="" mulRef="_GBC_57faea4e453e49ad93821b7dd6ce8bc4" unitRef="_GBC_cef77704267643d794145c73763360e5" formatStyle="Comma">
          <m:extendConcept standardLabel="123其他" preferredLabel="123" dataType="xbrli:monetaryItemType" period="duration" referenceConcept="clcid-pte:QiTaSuoYouZheTouRuHeJianShaoZiBenDaoZhiQiTaDeGuiShuYuMuGongSiSuoYouZheQuanYiBianDongJinE"/>
        </m:item>
        <m:item xlName="_GBC_57c6f080c9b04a9f86fd59a9fbba349a" concept="" mulRef="_GBC_57faea4e453e49ad93821b7dd6ce8bc4" unitRef="_GBC_cef77704267643d794145c73763360e5" formatStyle="Comma">
          <m:extendConcept standardLabel="123小计" preferredLabel="123" dataType="xbrli:monetaryItemType" period="duration" referenceConcept="clcid-pte:QiTaSuoYouZheTouRuHeJianShaoZiBenDaoZhiGuiShuYuMuGongSiSuoYouZheQuanYiBianDongJinE"/>
        </m:item>
        <m:item xlName="_GBC_163576b0781043b89c5d4524266f9bf4" concept="" mulRef="_GBC_57faea4e453e49ad93821b7dd6ce8bc4" unitRef="_GBC_cef77704267643d794145c73763360e5" formatStyle="Comma">
          <m:extendConcept standardLabel="123少数股东权益" preferredLabel="123" dataType="xbrli:monetaryItemType" period="duration" referenceConcept="clcid-pte:QiTaSuoYouZheTouRuHeJianShaoZiBenDaoZhiShaoShuGuDongQuanYiBianDongJinE"/>
        </m:item>
        <m:item xlName="_GBC_15583c76b6014c9e964eb22209bd1d2b" concept="" mulRef="_GBC_57faea4e453e49ad93821b7dd6ce8bc4" unitRef="_GBC_cef77704267643d794145c73763360e5" formatStyle="Comma">
          <m:extendConcept standardLabel="123所有者权益合计" preferredLabel="123" dataType="xbrli:monetaryItemType" period="duration" referenceConcept="clcid-pte:QiTaSuoYouZheTouRuHeJianShaoZiBenDaoZhiGuDongQuanYiHeJiBianDongJinE"/>
        </m:item>
        <m:placeholder xlName="_PLD_5cb70a3119c74f57a01185b4c365f155" wordText="4．其他"/>
        <m:item xlName="_GBC_78f4d0f9565049c6a716a0c8a241272d" concept="" periodRef="上年同期数" mulRef="_GBC_57faea4e453e49ad93821b7dd6ce8bc4" unitRef="_GBC_cef77704267643d794145c73763360e5" formatStyle="Comma">
          <m:extendConcept standardLabel="123实收资本(或股本)" preferredLabel="123" dataType="xbrli:monetaryItemType" period="duration" referenceConcept="clcid-pte:QiTaSuoYouZheTouRuHeJianShaoZiBenDaoZhiShiShouZiBenHuoGuBenJingEBianDongJinE"/>
        </m:item>
        <m:item xlName="_GBC_76e8f79272a54a1599ede6a28d2f361b" concept="" periodRef="上年同期数" mulRef="_GBC_57faea4e453e49ad93821b7dd6ce8bc4" unitRef="_GBC_cef77704267643d794145c73763360e5" formatStyle="Comma">
          <m:extendConcept standardLabel="123优先股" preferredLabel="123" dataType="xbrli:monetaryItemType" period="duration" referenceConcept="clcid-pte:QiTaSuoYouZheTouRuHeJianShaoZiBenDaoZhiQiTaQuanYiGongJuZhongDeYouXianGuBianDongJinE"/>
        </m:item>
        <m:item xlName="_GBC_b27f414b5e584708a85e31b6a8cd1a9d" concept="" periodRef="上年同期数" mulRef="_GBC_57faea4e453e49ad93821b7dd6ce8bc4" unitRef="_GBC_cef77704267643d794145c73763360e5" formatStyle="Comma">
          <m:extendConcept standardLabel="123永续债" preferredLabel="123" dataType="xbrli:monetaryItemType" period="duration" referenceConcept="clcid-pte:QiTaSuoYouZheTouRuHeJianShaoZiBenDaoZhiQiTaQuanYiGongJuZhongDeYongXuZhaiBianDongJinE"/>
        </m:item>
        <m:item xlName="_GBC_9f499c6bbcc54064a16d6575739930aa" concept="" periodRef="上年同期数" mulRef="_GBC_57faea4e453e49ad93821b7dd6ce8bc4" unitRef="_GBC_cef77704267643d794145c73763360e5" formatStyle="Comma">
          <m:extendConcept standardLabel="123其他" preferredLabel="123" dataType="xbrli:monetaryItemType" period="duration" referenceConcept="clcid-pte:QiTaSuoYouZheTouRuHeJianShaoZiBenDaoZhiQiTaQuanYiGongJuZhongDeQiTaBianDongJinE"/>
        </m:item>
        <m:item xlName="_GBC_d51454c759ac4277befefc5e0db1163e" concept="" periodRef="上年同期数" mulRef="_GBC_57faea4e453e49ad93821b7dd6ce8bc4" unitRef="_GBC_cef77704267643d794145c73763360e5" formatStyle="Comma">
          <m:extendConcept standardLabel="123资本公积" preferredLabel="123" dataType="xbrli:monetaryItemType" period="duration" referenceConcept="clcid-pte:QiTaSuoYouZheTouRuHeJianShaoZiBenDaoZhiZiBenGongJiBianDongJinE"/>
        </m:item>
        <m:item xlName="_GBC_b341bef8ec6a487e895143a62c38f0d4" concept="" periodRef="上年同期数" mulRef="_GBC_57faea4e453e49ad93821b7dd6ce8bc4" unitRef="_GBC_cef77704267643d794145c73763360e5" baseScale="-1" formatStyle="Comma">
          <m:extendConcept standardLabel="123减:库存股" preferredLabel="123" dataType="xbrli:monetaryItemType" period="duration" referenceConcept="clcid-pte:QiTaSuoYouZheTouRuHeJianShaoZiBenDaoZhiKuCunGuBianDongJinE"/>
        </m:item>
        <m:item xlName="_GBC_296541ab052d4fd694d6089c54ff082e" concept="" periodRef="上年同期数" mulRef="_GBC_57faea4e453e49ad93821b7dd6ce8bc4" unitRef="_GBC_cef77704267643d794145c73763360e5" formatStyle="Comma">
          <m:extendConcept standardLabel="123其他综合收益" preferredLabel="123" dataType="xbrli:monetaryItemType" period="duration" referenceConcept="clcid-pte:QiTaSuoYouZheTouRuHeJianShaoZiBenDaoZhiQiTaZongHeShouYiBianDongJinE"/>
        </m:item>
        <m:item xlName="_GBC_9ae376b2b64342b6a1f5d9381c83d3e6" concept="" periodRef="上年同期数" mulRef="_GBC_57faea4e453e49ad93821b7dd6ce8bc4" unitRef="_GBC_cef77704267643d794145c73763360e5" formatStyle="Comma">
          <m:extendConcept standardLabel="123专项储备" preferredLabel="123" dataType="xbrli:monetaryItemType" period="duration" referenceConcept="clcid-pte:QiTaSuoYouZheTouRuHeJianShaoZiBenDaoZhiZhuanXiangChuBeiBianDongJinE"/>
        </m:item>
        <m:item xlName="_GBC_32cd7b4ed36f465c949de356756a32dc" concept="" periodRef="上年同期数" mulRef="_GBC_57faea4e453e49ad93821b7dd6ce8bc4" unitRef="_GBC_cef77704267643d794145c73763360e5" formatStyle="Comma">
          <m:extendConcept standardLabel="123盈余公积" preferredLabel="123" dataType="xbrli:monetaryItemType" period="duration" referenceConcept="clcid-pte:QiTaSuoYouZheTouRuHeJianShaoZiBenDaoZhiYingYuGongJiBianDongJinE"/>
        </m:item>
        <m:item xlName="_GBC_0bc15c92f6544f9ca6196b619af1ac32" concept="" periodRef="上年同期数" mulRef="_GBC_57faea4e453e49ad93821b7dd6ce8bc4" unitRef="_GBC_cef77704267643d794145c73763360e5" formatStyle="Comma">
          <m:extendConcept standardLabel="123一般风险准备" preferredLabel="123" dataType="xbrli:monetaryItemType" period="duration" referenceConcept="clcid-pte:QiTaSuoYouZheTouRuHeJianShaoZiBenDaoZhiYiBanFengXianZhunBeiBianDongJinE"/>
        </m:item>
        <m:item xlName="_GBC_91c72d65575c4f74abd34bd86abe48be" concept="" periodRef="上年同期数" mulRef="_GBC_57faea4e453e49ad93821b7dd6ce8bc4" unitRef="_GBC_cef77704267643d794145c73763360e5" formatStyle="Comma">
          <m:extendConcept standardLabel="123未分配利润" preferredLabel="123" dataType="xbrli:monetaryItemType" period="duration" referenceConcept="clcid-pte:QiTaSuoYouZheTouRuHeJianShaoZiBenDaoZhiWeiFenPeiLiRunBianDongJinE"/>
        </m:item>
        <m:item xlName="_GBC_d57fe80ea499422c93f6eaee973471dd" concept="" periodRef="上年同期数" mulRef="_GBC_57faea4e453e49ad93821b7dd6ce8bc4" unitRef="_GBC_cef77704267643d794145c73763360e5" formatStyle="Comma">
          <m:extendConcept standardLabel="123其他" preferredLabel="123" dataType="xbrli:monetaryItemType" period="duration" referenceConcept="clcid-pte:QiTaSuoYouZheTouRuHeJianShaoZiBenDaoZhiQiTaDeGuiShuYuMuGongSiSuoYouZheQuanYiBianDongJinE"/>
        </m:item>
        <m:item xlName="_GBC_4d7f4e5b9bae4936982f80999ef75971" concept="" periodRef="上年同期数" mulRef="_GBC_57faea4e453e49ad93821b7dd6ce8bc4" unitRef="_GBC_cef77704267643d794145c73763360e5" formatStyle="Comma">
          <m:extendConcept standardLabel="123小计" preferredLabel="123" dataType="xbrli:monetaryItemType" period="duration" referenceConcept="clcid-pte:QiTaSuoYouZheTouRuHeJianShaoZiBenDaoZhiGuiShuYuMuGongSiSuoYouZheQuanYiBianDongJinE"/>
        </m:item>
        <m:item xlName="_GBC_af3ef2e6a1f74468853b4c731cb5be6f" concept="" periodRef="上年同期数" mulRef="_GBC_57faea4e453e49ad93821b7dd6ce8bc4" unitRef="_GBC_cef77704267643d794145c73763360e5" formatStyle="Comma">
          <m:extendConcept standardLabel="123少数股东权益" preferredLabel="123" dataType="xbrli:monetaryItemType" period="duration" referenceConcept="clcid-pte:QiTaSuoYouZheTouRuHeJianShaoZiBenDaoZhiShaoShuGuDongQuanYiBianDongJinE"/>
        </m:item>
        <m:item xlName="_GBC_4bd3ce8a90104ac196963efe230afd96" concept="" periodRef="上年同期数" mulRef="_GBC_57faea4e453e49ad93821b7dd6ce8bc4" unitRef="_GBC_cef77704267643d794145c73763360e5" formatStyle="Comma">
          <m:extendConcept standardLabel="123所有者权益合计" preferredLabel="123" dataType="xbrli:monetaryItemType" period="duration" referenceConcept="clcid-pte:QiTaSuoYouZheTouRuHeJianShaoZiBenDaoZhiGuDongQuanYiHeJiBianDongJinE"/>
        </m:item>
        <m:placeholder xlName="_PLD_519dd1f9b1664cf2bf02145d1504bef1" wordText="4．其他"/>
        <m:item xlName="_GBC_568f0c8c03844776a7920bba443e7e36" pickName="" concept="" mulRef="_GBC_57faea4e453e49ad93821b7dd6ce8bc4" unitRef="_GBC_cef77704267643d794145c73763360e5" formatStyle="Comma">
          <m:extendConcept standardLabel="4.同一控制下企业合并实收资本 (或股本)" preferredLabel="4.同一控制下企业合并" referenceConcept="clcid-pte:QiTaLiRunFenPeiDaoZhiShiShouZiBenHuoGuBenJingEBianDongJinE"/>
        </m:item>
        <m:item xlName="_GBC_f015adc6811f4d1fba5b61381096115f" pickName="" concept="" mulRef="_GBC_57faea4e453e49ad93821b7dd6ce8bc4" unitRef="_GBC_cef77704267643d794145c73763360e5" formatStyle="Comma">
          <m:extendConcept standardLabel="4.同一控制下企业合并优先股" preferredLabel="4.同一控制下企业合并" referenceConcept="clcid-pte:QiTaLiRunFenPeiDaoZhiQiTaQuanYiGongJuZhongDeYouXianGuBianDongJinE"/>
        </m:item>
        <m:item xlName="_GBC_565fa9651ac44243afb785291a6bf3cf" pickName="" concept="" mulRef="_GBC_57faea4e453e49ad93821b7dd6ce8bc4" unitRef="_GBC_cef77704267643d794145c73763360e5" formatStyle="Comma">
          <m:extendConcept standardLabel="4.同一控制下企业合并永续债" preferredLabel="4.同一控制下企业合并" referenceConcept="clcid-pte:QiTaLiRunFenPeiDaoZhiQiTaQuanYiGongJuZhongDeYongXuZhaiBianDongJinE"/>
        </m:item>
        <m:item xlName="_GBC_8c39eb71ff6c4d16acb74bb6069d7559" pickName="" concept="" mulRef="_GBC_57faea4e453e49ad93821b7dd6ce8bc4" unitRef="_GBC_cef77704267643d794145c73763360e5" formatStyle="Comma">
          <m:extendConcept standardLabel="4.同一控制下企业合并其他" preferredLabel="4.同一控制下企业合并" referenceConcept="clcid-pte:QiTaLiRunFenPeiDaoZhiQiTaQuanYiGongJuZhongDeQiTaBianDongJinE"/>
        </m:item>
        <m:item xlName="_GBC_49cc7f1244d046328bab6ad64c415ca1" pickName="" concept="" mulRef="_GBC_57faea4e453e49ad93821b7dd6ce8bc4" unitRef="_GBC_cef77704267643d794145c73763360e5" formatStyle="Comma">
          <m:extendConcept standardLabel="4.同一控制下企业合并资本公积" preferredLabel="4.同一控制下企业合并" referenceConcept="clcid-pte:QiTaLiRunFenPeiDaoZhiZiBenGongJiBianDongJinE"/>
        </m:item>
        <m:item xlName="_GBC_e1d8199425cd4e24b5199dbeb3479b96" pickName="" concept="" mulRef="_GBC_57faea4e453e49ad93821b7dd6ce8bc4" unitRef="_GBC_cef77704267643d794145c73763360e5" baseScale="-1" formatStyle="Comma">
          <m:extendConcept standardLabel="4.同一控制下企业合并减:库存股" preferredLabel="4.同一控制下企业合并" referenceConcept="clcid-pte:QiTaLiRunFenPeiDaoZhiKuCunGuBianDongJinE"/>
        </m:item>
        <m:item xlName="_GBC_b1b17d2b05d64f809d8bb65927a7bb8c" pickName="" concept="" mulRef="_GBC_57faea4e453e49ad93821b7dd6ce8bc4" unitRef="_GBC_cef77704267643d794145c73763360e5" formatStyle="Comma">
          <m:extendConcept standardLabel="4.同一控制下企业合并其他综合收益" preferredLabel="4.同一控制下企业合并" referenceConcept="clcid-pte:QiTaLiRunFenPeiDaoZhiQiTaZongHeShouYiBianDongJinE"/>
        </m:item>
        <m:item xlName="_GBC_eda8a980124a44b285e740b0a818643c" pickName="" concept="" mulRef="_GBC_57faea4e453e49ad93821b7dd6ce8bc4" unitRef="_GBC_cef77704267643d794145c73763360e5" formatStyle="Comma">
          <m:extendConcept standardLabel="4.同一控制下企业合并专项储备" preferredLabel="4.同一控制下企业合并" referenceConcept="clcid-pte:QiTaLiRunFenPeiDaoZhiZhuanXiangChuBeiBianDongJinE"/>
        </m:item>
        <m:item xlName="_GBC_2fd5d48fea0942158f3b4bb5648768a0" pickName="" concept="" mulRef="_GBC_57faea4e453e49ad93821b7dd6ce8bc4" unitRef="_GBC_cef77704267643d794145c73763360e5" formatStyle="Comma">
          <m:extendConcept standardLabel="4.同一控制下企业合并盈余公积" preferredLabel="4.同一控制下企业合并" referenceConcept="clcid-pte:QiTaLiRunFenPeiDaoZhiYingYuGongJiBianDongJinE"/>
        </m:item>
        <m:item xlName="_GBC_958a10b3fbee49c7b24c27edb1f842ac" pickName="" concept="" mulRef="_GBC_57faea4e453e49ad93821b7dd6ce8bc4" unitRef="_GBC_cef77704267643d794145c73763360e5" formatStyle="Comma">
          <m:extendConcept standardLabel="4.同一控制下企业合并一般风险准备" preferredLabel="4.同一控制下企业合并" referenceConcept="clcid-pte:QiTaLiRunFenPeiDaoZhiYiBanFengXianZhunBeiBianDongJinE"/>
        </m:item>
        <m:item xlName="_GBC_e837fa1ee2dd44b99d3a02038535168e" pickName="" concept="" mulRef="_GBC_57faea4e453e49ad93821b7dd6ce8bc4" unitRef="_GBC_cef77704267643d794145c73763360e5" formatStyle="Comma">
          <m:extendConcept standardLabel="4.同一控制下企业合并未分配利润" preferredLabel="4.同一控制下企业合并" referenceConcept="clcid-pte:QiTaLiRunFenPeiDaoZhiWeiFenPeiLiRunBianDongJinE"/>
        </m:item>
        <m:item xlName="_GBC_5e41f425ec854e89b86204328d4cd245" pickName="" concept="" mulRef="_GBC_57faea4e453e49ad93821b7dd6ce8bc4" unitRef="_GBC_cef77704267643d794145c73763360e5" formatStyle="Comma">
          <m:extendConcept standardLabel="4.同一控制下企业合并其他" preferredLabel="4.同一控制下企业合并" referenceConcept="clcid-pte:QiTaLiRunFenPeiDaoZhiQiTaDeGuiShuYuMuGongSiSuoYouZheQuanYiBianDongJinE"/>
        </m:item>
        <m:item xlName="_GBC_db99cced348a40298760a1c1ece9e7ca" pickName="" concept="" mulRef="_GBC_57faea4e453e49ad93821b7dd6ce8bc4" unitRef="_GBC_cef77704267643d794145c73763360e5" formatStyle="Comma">
          <m:extendConcept standardLabel="4.同一控制下企业合并小计" preferredLabel="4.同一控制下企业合并" referenceConcept="clcid-pte:QiTaLiRunFenPeiDaoZhiGuiShuYuMuGongSiSuoYouZheQuanYiBianDongJinE"/>
        </m:item>
        <m:item xlName="_GBC_e207496348e3473b9b740e4928393322" pickName="" concept="" mulRef="_GBC_57faea4e453e49ad93821b7dd6ce8bc4" unitRef="_GBC_cef77704267643d794145c73763360e5" formatStyle="Comma">
          <m:extendConcept standardLabel="4.同一控制下企业合并少数股东权益" preferredLabel="4.同一控制下企业合并" referenceConcept="clcid-pte:QiTaLiRunFenPeiDaoZhiShaoShuGuDongQuanYiBianDongJinE"/>
        </m:item>
        <m:item xlName="_GBC_c271e4224c9f4afbbf251845cd261671" pickName="" concept="" mulRef="_GBC_57faea4e453e49ad93821b7dd6ce8bc4" unitRef="_GBC_cef77704267643d794145c73763360e5" formatStyle="Comma">
          <m:extendConcept standardLabel="4.同一控制下企业合并所有者权益合计" preferredLabel="4.同一控制下企业合并" referenceConcept="clcid-pte:QiTaLiRunFenPeiDaoZhiGuDongQuanYiHeJiBianDongJinE"/>
        </m:item>
        <m:placeholder xlName="_PLD_3fcec955bb7d48eeafcda7ce2755629d" wordText="4．其他"/>
        <m:item xlName="_GBC_18f7f487af284d8ebbf31be01e8e208f" concept="" mulRef="_GBC_57faea4e453e49ad93821b7dd6ce8bc4" unitRef="_GBC_cef77704267643d794145c73763360e5" formatStyle="Comma">
          <m:extendConcept standardLabel="5.收购少数股东股权实收资本 (或股本)" preferredLabel="5.收购少数股东股权" referenceConcept="clcid-pte:QiTaLiRunFenPeiDaoZhiShiShouZiBenHuoGuBenJingEBianDongJinE"/>
        </m:item>
        <m:item xlName="_GBC_eacda8a70ec046bea1cf281c638e2849" concept="" mulRef="_GBC_57faea4e453e49ad93821b7dd6ce8bc4" unitRef="_GBC_cef77704267643d794145c73763360e5" formatStyle="Comma">
          <m:extendConcept standardLabel="5.收购少数股东股权优先股" preferredLabel="5.收购少数股东股权" referenceConcept="clcid-pte:QiTaLiRunFenPeiDaoZhiQiTaQuanYiGongJuZhongDeYouXianGuBianDongJinE"/>
        </m:item>
        <m:item xlName="_GBC_d69f41f6840846aea2bfba9b030cc887" concept="" mulRef="_GBC_57faea4e453e49ad93821b7dd6ce8bc4" unitRef="_GBC_cef77704267643d794145c73763360e5" formatStyle="Comma">
          <m:extendConcept standardLabel="5.收购少数股东股权永续债" preferredLabel="5.收购少数股东股权" referenceConcept="clcid-pte:QiTaLiRunFenPeiDaoZhiQiTaQuanYiGongJuZhongDeYongXuZhaiBianDongJinE"/>
        </m:item>
        <m:item xlName="_GBC_8b27df80c8ca4b1a8da20d4c7b92611e" concept="" mulRef="_GBC_57faea4e453e49ad93821b7dd6ce8bc4" unitRef="_GBC_cef77704267643d794145c73763360e5" formatStyle="Comma">
          <m:extendConcept standardLabel="5.收购少数股东股权其他" preferredLabel="5.收购少数股东股权" referenceConcept="clcid-pte:QiTaLiRunFenPeiDaoZhiQiTaQuanYiGongJuZhongDeQiTaBianDongJinE"/>
        </m:item>
        <m:item xlName="_GBC_9c4a233d8c264bc195764068a806d783" concept="" mulRef="_GBC_57faea4e453e49ad93821b7dd6ce8bc4" unitRef="_GBC_cef77704267643d794145c73763360e5" formatStyle="Comma">
          <m:extendConcept standardLabel="5.收购少数股东股权资本公积" preferredLabel="5.收购少数股东股权" referenceConcept="clcid-pte:QiTaLiRunFenPeiDaoZhiZiBenGongJiBianDongJinE"/>
        </m:item>
        <m:item xlName="_GBC_a2d3366500de4826a6a9d385ec672900" concept="" mulRef="_GBC_57faea4e453e49ad93821b7dd6ce8bc4" unitRef="_GBC_cef77704267643d794145c73763360e5" baseScale="-1" formatStyle="Comma">
          <m:extendConcept standardLabel="5.收购少数股东股权减:库存股" preferredLabel="5.收购少数股东股权" referenceConcept="clcid-pte:QiTaLiRunFenPeiDaoZhiKuCunGuBianDongJinE"/>
        </m:item>
        <m:item xlName="_GBC_4f08b90935c04d2ca35d10d59f570e1b" concept="" mulRef="_GBC_57faea4e453e49ad93821b7dd6ce8bc4" unitRef="_GBC_cef77704267643d794145c73763360e5" formatStyle="Comma">
          <m:extendConcept standardLabel="5.收购少数股东股权其他综合收益" preferredLabel="5.收购少数股东股权" referenceConcept="clcid-pte:QiTaLiRunFenPeiDaoZhiQiTaZongHeShouYiBianDongJinE"/>
        </m:item>
        <m:item xlName="_GBC_adfcdb712b754aaf8cfb8be101f50454" concept="" mulRef="_GBC_57faea4e453e49ad93821b7dd6ce8bc4" unitRef="_GBC_cef77704267643d794145c73763360e5" formatStyle="Comma">
          <m:extendConcept standardLabel="5.收购少数股东股权专项储备" preferredLabel="5.收购少数股东股权" referenceConcept="clcid-pte:QiTaLiRunFenPeiDaoZhiZhuanXiangChuBeiBianDongJinE"/>
        </m:item>
        <m:item xlName="_GBC_81a77547df9a4c76bb94327dcdaffe19" concept="" mulRef="_GBC_57faea4e453e49ad93821b7dd6ce8bc4" unitRef="_GBC_cef77704267643d794145c73763360e5" formatStyle="Comma">
          <m:extendConcept standardLabel="5.收购少数股东股权盈余公积" preferredLabel="5.收购少数股东股权" referenceConcept="clcid-pte:QiTaLiRunFenPeiDaoZhiYingYuGongJiBianDongJinE"/>
        </m:item>
        <m:item xlName="_GBC_d5e044b995cd4851aa30406d41cc08e7" concept="" mulRef="_GBC_57faea4e453e49ad93821b7dd6ce8bc4" unitRef="_GBC_cef77704267643d794145c73763360e5" formatStyle="Comma">
          <m:extendConcept standardLabel="5.收购少数股东股权一般风险准备" preferredLabel="5.收购少数股东股权" referenceConcept="clcid-pte:QiTaLiRunFenPeiDaoZhiYiBanFengXianZhunBeiBianDongJinE"/>
        </m:item>
        <m:item xlName="_GBC_5f4794a32ae7495f9e7dc6752648d4f2" concept="" mulRef="_GBC_57faea4e453e49ad93821b7dd6ce8bc4" unitRef="_GBC_cef77704267643d794145c73763360e5" formatStyle="Comma">
          <m:extendConcept standardLabel="5.收购少数股东股权未分配利润" preferredLabel="5.收购少数股东股权" referenceConcept="clcid-pte:QiTaLiRunFenPeiDaoZhiWeiFenPeiLiRunBianDongJinE"/>
        </m:item>
        <m:item xlName="_GBC_2ea2d1409cf3454e8461a953a442aa01" concept="" mulRef="_GBC_57faea4e453e49ad93821b7dd6ce8bc4" unitRef="_GBC_cef77704267643d794145c73763360e5" formatStyle="Comma">
          <m:extendConcept standardLabel="5.收购少数股东股权其他" preferredLabel="5.收购少数股东股权" referenceConcept="clcid-pte:QiTaLiRunFenPeiDaoZhiQiTaDeGuiShuYuMuGongSiSuoYouZheQuanYiBianDongJinE"/>
        </m:item>
        <m:item xlName="_GBC_b8f4d9f0a3ab43dfaa510050850fa63c" concept="" mulRef="_GBC_57faea4e453e49ad93821b7dd6ce8bc4" unitRef="_GBC_cef77704267643d794145c73763360e5" formatStyle="Comma">
          <m:extendConcept standardLabel="5.收购少数股东股权小计" preferredLabel="5.收购少数股东股权" referenceConcept="clcid-pte:QiTaLiRunFenPeiDaoZhiGuiShuYuMuGongSiSuoYouZheQuanYiBianDongJinE"/>
        </m:item>
        <m:item xlName="_GBC_3a76aee4d5ae474196d49cf8b7cf7df1" concept="" mulRef="_GBC_57faea4e453e49ad93821b7dd6ce8bc4" unitRef="_GBC_cef77704267643d794145c73763360e5" formatStyle="Comma">
          <m:extendConcept standardLabel="5.收购少数股东股权少数股东权益" preferredLabel="5.收购少数股东股权" referenceConcept="clcid-pte:QiTaLiRunFenPeiDaoZhiShaoShuGuDongQuanYiBianDongJinE"/>
        </m:item>
        <m:item xlName="_GBC_b8addc28c57e44f4b56d62913780fefa" concept="" mulRef="_GBC_57faea4e453e49ad93821b7dd6ce8bc4" unitRef="_GBC_cef77704267643d794145c73763360e5" formatStyle="Comma">
          <m:extendConcept standardLabel="5.收购少数股东股权所有者权益合计" preferredLabel="5.收购少数股东股权" referenceConcept="clcid-pte:QiTaLiRunFenPeiDaoZhiGuDongQuanYiHeJiBianDongJinE"/>
        </m:item>
        <m:placeholder xlName="_PLD_6ccd8fbe2fdb4bb49a6af4312b26191b" wordText="3．股份支付计入所有者权益的金额"/>
        <m:item xlName="_GBC_c4bb046ab7484f3bb0d12b57301732f8" pickName="" concept="" mulRef="_GBC_57faea4e453e49ad93821b7dd6ce8bc4" unitRef="_GBC_cef77704267643d794145c73763360e5" formatStyle="Comma">
          <m:extendConcept standardLabel="4.同一控制下企业合并实收资本 (或股本)" preferredLabel="4.同一控制下企业合并" referenceConcept="clcid-pte:GuFenZhiFuJiRuSuoYouZheQuanYiDeJinEDaoZhiShiShouZiBenHuoGuBenJingEBianDongJinE"/>
        </m:item>
        <m:item xlName="_GBC_30211f2b6ac34996ac2656ad691f0949" pickName="" concept="" mulRef="_GBC_57faea4e453e49ad93821b7dd6ce8bc4" unitRef="_GBC_cef77704267643d794145c73763360e5" formatStyle="Comma">
          <m:extendConcept standardLabel="4.同一控制下企业合并优先股" preferredLabel="4.同一控制下企业合并" referenceConcept="clcid-pte:GuFenZhiFuJiRuSuoYouZheQuanYiDeJinEDaoZhiQiTaQuanYiGongJuZhongDeYouXianGuBianDongJinE"/>
        </m:item>
        <m:item xlName="_GBC_7f67371d90a44d3fb859ea682bb27aa5" pickName="" concept="" mulRef="_GBC_57faea4e453e49ad93821b7dd6ce8bc4" unitRef="_GBC_cef77704267643d794145c73763360e5" formatStyle="Comma">
          <m:extendConcept standardLabel="4.同一控制下企业合并永续债" preferredLabel="4.同一控制下企业合并" referenceConcept="clcid-pte:GuFenZhiFuJiRuSuoYouZheQuanYiDeJinEDaoZhiQiTaQuanYiGongJuZhongDeYongXuZhaiBianDongJinE"/>
        </m:item>
        <m:item xlName="_GBC_23fae9a583fb413c80cc6f4c721b8803" pickName="" concept="" mulRef="_GBC_57faea4e453e49ad93821b7dd6ce8bc4" unitRef="_GBC_cef77704267643d794145c73763360e5" formatStyle="Comma">
          <m:extendConcept standardLabel="4.同一控制下企业合并其他" preferredLabel="4.同一控制下企业合并" referenceConcept="clcid-pte:GuFenZhiFuJiRuSuoYouZheQuanYiDeJinEDaoZhiQiTaQuanYiGongJuZhongDeQiTaBianDongJinE"/>
        </m:item>
        <m:item xlName="_GBC_bbee931a836e4b29910e5d3b67cc94cf" pickName="" concept="" mulRef="_GBC_57faea4e453e49ad93821b7dd6ce8bc4" unitRef="_GBC_cef77704267643d794145c73763360e5" formatStyle="Comma">
          <m:extendConcept standardLabel="4.同一控制下企业合并资本公积" preferredLabel="4.同一控制下企业合并" referenceConcept="clcid-pte:GuFenZhiFuJiRuSuoYouZheQuanYiDeJinEDaoZhiZiBenGongJiBianDongJinE"/>
        </m:item>
        <m:item xlName="_GBC_0b646cefc5444a6399c016ee5d4d233c" pickName="" concept="" mulRef="_GBC_57faea4e453e49ad93821b7dd6ce8bc4" unitRef="_GBC_cef77704267643d794145c73763360e5" baseScale="-1" formatStyle="Comma">
          <m:extendConcept standardLabel="4.同一控制下企业合并减:库存股" preferredLabel="4.同一控制下企业合并" referenceConcept="clcid-pte:GuFenZhiFuJiRuSuoYouZheQuanYiDeJinEDaoZhiKuCunGuBianDongJinE"/>
        </m:item>
        <m:item xlName="_GBC_3ca7451f82834bc585f72e964f0380f5" pickName="" concept="" mulRef="_GBC_57faea4e453e49ad93821b7dd6ce8bc4" unitRef="_GBC_cef77704267643d794145c73763360e5" formatStyle="Comma">
          <m:extendConcept standardLabel="4.同一控制下企业合并其他综合收益" preferredLabel="4.同一控制下企业合并" referenceConcept="clcid-pte:GuFenZhiFuJiRuSuoYouZheQuanYiDeJinEDaoZhiQiTaZongHeShouYiBianDongJinE"/>
        </m:item>
        <m:item xlName="_GBC_6181caca23cf40aa95e3589e44e03060" pickName="" concept="" mulRef="_GBC_57faea4e453e49ad93821b7dd6ce8bc4" unitRef="_GBC_cef77704267643d794145c73763360e5" formatStyle="Comma">
          <m:extendConcept standardLabel="4.同一控制下企业合并专项储备" preferredLabel="4.同一控制下企业合并" referenceConcept="clcid-pte:GuFenZhiFuJiRuSuoYouZheQuanYiDeJinEDaoZhiZhuanXiangChuBeiBianDongJinE"/>
        </m:item>
        <m:item xlName="_GBC_63feb2448a4148d9a3ce9a749173b06e" pickName="" concept="" mulRef="_GBC_57faea4e453e49ad93821b7dd6ce8bc4" unitRef="_GBC_cef77704267643d794145c73763360e5" formatStyle="Comma">
          <m:extendConcept standardLabel="4.同一控制下企业合并盈余公积" preferredLabel="4.同一控制下企业合并" referenceConcept="clcid-pte:GuFenZhiFuJiRuSuoYouZheQuanYiDeJinEDaoZhiYingYuGongJiBianDongJinE"/>
        </m:item>
        <m:item xlName="_GBC_90bdb32ffaf94c35a63f95f37f015a29" pickName="" concept="" mulRef="_GBC_57faea4e453e49ad93821b7dd6ce8bc4" unitRef="_GBC_cef77704267643d794145c73763360e5" formatStyle="Comma">
          <m:extendConcept standardLabel="4.同一控制下企业合并一般风险准备" preferredLabel="4.同一控制下企业合并" referenceConcept="clcid-pte:GuFenZhiFuJiRuSuoYouZheQuanYiDeJinEDaoZhiYiBanFengXianZhunBeiBianDongJinE"/>
        </m:item>
        <m:item xlName="_GBC_91b61552a59b43628f3faf11bb0fd183" pickName="" concept="" mulRef="_GBC_57faea4e453e49ad93821b7dd6ce8bc4" unitRef="_GBC_cef77704267643d794145c73763360e5" formatStyle="Comma">
          <m:extendConcept standardLabel="4.同一控制下企业合并未分配利润" preferredLabel="4.同一控制下企业合并" referenceConcept="clcid-pte:GuFenZhiFuJiRuSuoYouZheQuanYiDeJinEDaoZhiWeiFenPeiLiRunBianDongJinE"/>
        </m:item>
        <m:item xlName="_GBC_8bb7536d8df348b6b06ae5e401e8cc8c" pickName="" concept="" mulRef="_GBC_57faea4e453e49ad93821b7dd6ce8bc4" unitRef="_GBC_cef77704267643d794145c73763360e5" formatStyle="Comma">
          <m:extendConcept standardLabel="4.同一控制下企业合并其他" preferredLabel="4.同一控制下企业合并" referenceConcept="clcid-pte:GuFenZhiFuJiRuSuoYouZheQuanYiDeJinEDaoZhiQiTaDeGuiShuYuMuGongSiSuoYouZheQuanYiBianDongJinE"/>
        </m:item>
        <m:item xlName="_GBC_7034bdf9d6414eb28286549bc740c2a2" pickName="" concept="" mulRef="_GBC_57faea4e453e49ad93821b7dd6ce8bc4" unitRef="_GBC_cef77704267643d794145c73763360e5" formatStyle="Comma">
          <m:extendConcept standardLabel="4.同一控制下企业合并小计" preferredLabel="4.同一控制下企业合并" referenceConcept="clcid-pte:GuFenZhiFuJiRuSuoYouZheQuanYiDeJinEDaoZhiGuiShuYuMuGongSiSuoYouZheQuanYiBianDongJinE"/>
        </m:item>
        <m:item xlName="_GBC_1dd528d4c2ea407584b4204d30befde3" pickName="" concept="" mulRef="_GBC_57faea4e453e49ad93821b7dd6ce8bc4" unitRef="_GBC_cef77704267643d794145c73763360e5" formatStyle="Comma">
          <m:extendConcept standardLabel="4.同一控制下企业合并少数股东权益" preferredLabel="4.同一控制下企业合并" referenceConcept="clcid-pte:GuFenZhiFuJiRuSuoYouZheQuanYiDeJinEDaoZhiShaoShuGuDongQuanYiBianDongJinE"/>
        </m:item>
        <m:item xlName="_GBC_e19db5272a5d4726a30c3b232a4e0a76" pickName="" concept="" mulRef="_GBC_57faea4e453e49ad93821b7dd6ce8bc4" unitRef="_GBC_cef77704267643d794145c73763360e5" formatStyle="Comma">
          <m:extendConcept standardLabel="4.同一控制下企业合并所有者权益合计" preferredLabel="4.同一控制下企业合并" referenceConcept="clcid-pte:GuFenZhiFuJiRuSuoYouZheQuanYiDeJinEDaoZhiGuDongQuanYiHeJiBianDongJinE"/>
        </m:item>
        <m:placeholder xlName="_PLD_b8ae63c638d145a4913b940ec3b1b550" wordText="3．股份支付计入所有者权益的金额"/>
        <m:item xlName="_GBC_d6b2669f9aaa40eea13f665e301b24f8" concept="" mulRef="_GBC_57faea4e453e49ad93821b7dd6ce8bc4" unitRef="_GBC_cef77704267643d794145c73763360e5" formatStyle="Comma">
          <m:extendConcept standardLabel="5.收购少数股东股权实收资本 (或股本)" preferredLabel="5.收购少数股东股权" referenceConcept="clcid-pte:GuFenZhiFuJiRuSuoYouZheQuanYiDeJinEDaoZhiShiShouZiBenHuoGuBenJingEBianDongJinE"/>
        </m:item>
        <m:item xlName="_GBC_3c56927a456349c39118859f0c42a2e0" concept="" mulRef="_GBC_57faea4e453e49ad93821b7dd6ce8bc4" unitRef="_GBC_cef77704267643d794145c73763360e5" formatStyle="Comma">
          <m:extendConcept standardLabel="5.收购少数股东股权优先股" preferredLabel="5.收购少数股东股权" referenceConcept="clcid-pte:GuFenZhiFuJiRuSuoYouZheQuanYiDeJinEDaoZhiQiTaQuanYiGongJuZhongDeYouXianGuBianDongJinE"/>
        </m:item>
        <m:item xlName="_GBC_93bebd10a13f435a8c0ad993be206d4d" concept="" mulRef="_GBC_57faea4e453e49ad93821b7dd6ce8bc4" unitRef="_GBC_cef77704267643d794145c73763360e5" formatStyle="Comma">
          <m:extendConcept standardLabel="5.收购少数股东股权永续债" preferredLabel="5.收购少数股东股权" referenceConcept="clcid-pte:GuFenZhiFuJiRuSuoYouZheQuanYiDeJinEDaoZhiQiTaQuanYiGongJuZhongDeYongXuZhaiBianDongJinE"/>
        </m:item>
        <m:item xlName="_GBC_8388fe82fbf542a0ab928b34d28a5432" concept="" mulRef="_GBC_57faea4e453e49ad93821b7dd6ce8bc4" unitRef="_GBC_cef77704267643d794145c73763360e5" formatStyle="Comma">
          <m:extendConcept standardLabel="5.收购少数股东股权其他" preferredLabel="5.收购少数股东股权" referenceConcept="clcid-pte:GuFenZhiFuJiRuSuoYouZheQuanYiDeJinEDaoZhiQiTaQuanYiGongJuZhongDeQiTaBianDongJinE"/>
        </m:item>
        <m:item xlName="_GBC_a537e40d8f944e518b0ccaa5e595b760" concept="" mulRef="_GBC_57faea4e453e49ad93821b7dd6ce8bc4" unitRef="_GBC_cef77704267643d794145c73763360e5" formatStyle="Comma">
          <m:extendConcept standardLabel="5.收购少数股东股权资本公积" preferredLabel="5.收购少数股东股权" referenceConcept="clcid-pte:GuFenZhiFuJiRuSuoYouZheQuanYiDeJinEDaoZhiZiBenGongJiBianDongJinE"/>
        </m:item>
        <m:item xlName="_GBC_ec58fb09fc144c8a814fbd366e5f05f2" concept="" mulRef="_GBC_57faea4e453e49ad93821b7dd6ce8bc4" unitRef="_GBC_cef77704267643d794145c73763360e5" baseScale="-1" formatStyle="Comma">
          <m:extendConcept standardLabel="5.收购少数股东股权减:库存股" preferredLabel="5.收购少数股东股权" referenceConcept="clcid-pte:GuFenZhiFuJiRuSuoYouZheQuanYiDeJinEDaoZhiKuCunGuBianDongJinE"/>
        </m:item>
        <m:item xlName="_GBC_5e1a5b67c3f84f40a0ff7511b2571fa9" concept="" mulRef="_GBC_57faea4e453e49ad93821b7dd6ce8bc4" unitRef="_GBC_cef77704267643d794145c73763360e5" formatStyle="Comma">
          <m:extendConcept standardLabel="5.收购少数股东股权其他综合收益" preferredLabel="5.收购少数股东股权" referenceConcept="clcid-pte:GuFenZhiFuJiRuSuoYouZheQuanYiDeJinEDaoZhiQiTaZongHeShouYiBianDongJinE"/>
        </m:item>
        <m:item xlName="_GBC_73121dbd1bc448568919941235b05e1f" concept="" mulRef="_GBC_57faea4e453e49ad93821b7dd6ce8bc4" unitRef="_GBC_cef77704267643d794145c73763360e5" formatStyle="Comma">
          <m:extendConcept standardLabel="5.收购少数股东股权专项储备" preferredLabel="5.收购少数股东股权" referenceConcept="clcid-pte:GuFenZhiFuJiRuSuoYouZheQuanYiDeJinEDaoZhiZhuanXiangChuBeiBianDongJinE"/>
        </m:item>
        <m:item xlName="_GBC_02c1d069cfdb4f9e98032f0185a50a3b" concept="" mulRef="_GBC_57faea4e453e49ad93821b7dd6ce8bc4" unitRef="_GBC_cef77704267643d794145c73763360e5" formatStyle="Comma">
          <m:extendConcept standardLabel="5.收购少数股东股权盈余公积" preferredLabel="5.收购少数股东股权" referenceConcept="clcid-pte:GuFenZhiFuJiRuSuoYouZheQuanYiDeJinEDaoZhiYingYuGongJiBianDongJinE"/>
        </m:item>
        <m:item xlName="_GBC_289a77bd4ad74bc7a146f57de0691a24" concept="" mulRef="_GBC_57faea4e453e49ad93821b7dd6ce8bc4" unitRef="_GBC_cef77704267643d794145c73763360e5" formatStyle="Comma">
          <m:extendConcept standardLabel="5.收购少数股东股权一般风险准备" preferredLabel="5.收购少数股东股权" referenceConcept="clcid-pte:GuFenZhiFuJiRuSuoYouZheQuanYiDeJinEDaoZhiYiBanFengXianZhunBeiBianDongJinE"/>
        </m:item>
        <m:item xlName="_GBC_39709591afea49629c703f02c8518623" concept="" mulRef="_GBC_57faea4e453e49ad93821b7dd6ce8bc4" unitRef="_GBC_cef77704267643d794145c73763360e5" formatStyle="Comma">
          <m:extendConcept standardLabel="5.收购少数股东股权未分配利润" preferredLabel="5.收购少数股东股权" referenceConcept="clcid-pte:GuFenZhiFuJiRuSuoYouZheQuanYiDeJinEDaoZhiWeiFenPeiLiRunBianDongJinE"/>
        </m:item>
        <m:item xlName="_GBC_9f0ec31732b64e1cbc2ec0822ff1540e" concept="" mulRef="_GBC_57faea4e453e49ad93821b7dd6ce8bc4" unitRef="_GBC_cef77704267643d794145c73763360e5" formatStyle="Comma">
          <m:extendConcept standardLabel="5.收购少数股东股权其他" preferredLabel="5.收购少数股东股权" referenceConcept="clcid-pte:GuFenZhiFuJiRuSuoYouZheQuanYiDeJinEDaoZhiQiTaDeGuiShuYuMuGongSiSuoYouZheQuanYiBianDongJinE"/>
        </m:item>
        <m:item xlName="_GBC_21407c862ba844ff9d7429a780298073" concept="" mulRef="_GBC_57faea4e453e49ad93821b7dd6ce8bc4" unitRef="_GBC_cef77704267643d794145c73763360e5" formatStyle="Comma">
          <m:extendConcept standardLabel="5.收购少数股东股权小计" preferredLabel="5.收购少数股东股权" referenceConcept="clcid-pte:GuFenZhiFuJiRuSuoYouZheQuanYiDeJinEDaoZhiGuiShuYuMuGongSiSuoYouZheQuanYiBianDongJinE"/>
        </m:item>
        <m:item xlName="_GBC_76ff3658c8944c86bbdd89bbfc4a724a" concept="" mulRef="_GBC_57faea4e453e49ad93821b7dd6ce8bc4" unitRef="_GBC_cef77704267643d794145c73763360e5" formatStyle="Comma">
          <m:extendConcept standardLabel="5.收购少数股东股权少数股东权益" preferredLabel="5.收购少数股东股权" referenceConcept="clcid-pte:GuFenZhiFuJiRuSuoYouZheQuanYiDeJinEDaoZhiShaoShuGuDongQuanYiBianDongJinE"/>
        </m:item>
        <m:item xlName="_GBC_a78dc0bcfe484303b3da0708ab29b690" concept="" mulRef="_GBC_57faea4e453e49ad93821b7dd6ce8bc4" unitRef="_GBC_cef77704267643d794145c73763360e5" formatStyle="Comma">
          <m:extendConcept standardLabel="5.收购少数股东股权所有者权益合计" preferredLabel="5.收购少数股东股权" referenceConcept="clcid-pte:GuFenZhiFuJiRuSuoYouZheQuanYiDeJinEDaoZhiGuDongQuanYiHeJiBianDongJinE"/>
        </m:item>
        <m:placeholder xlName="_PLD_9750c8886d9e46828b4cf81bb68aea34" wordText="4．其他"/>
        <m:item xlName="_GBC_a3a502347d1846d9b16d44d75f861f38" pickName="" concept="" mulRef="_GBC_57faea4e453e49ad93821b7dd6ce8bc4" unitRef="_GBC_cef77704267643d794145c73763360e5" formatStyle="Comma">
          <m:extendConcept standardLabel="4.同一控制下企业合并实收资本(或股本)" preferredLabel="4.同一控制下企业合并" referenceConcept="clcid-pte:QiTaSuoYouZheTouRuHeJianShaoZiBenDaoZhiShiShouZiBenHuoGuBenJingEBianDongJinE"/>
        </m:item>
        <m:item xlName="_GBC_b76ee3cf59a948f582d657c37614e1bc" pickName="" concept="" mulRef="_GBC_57faea4e453e49ad93821b7dd6ce8bc4" unitRef="_GBC_cef77704267643d794145c73763360e5" formatStyle="Comma">
          <m:extendConcept standardLabel="4.同一控制下企业合并优先股" preferredLabel="4.同一控制下企业合并" referenceConcept="clcid-pte:QiTaSuoYouZheTouRuHeJianShaoZiBenDaoZhiQiTaQuanYiGongJuZhongDeYouXianGuBianDongJinE"/>
        </m:item>
        <m:item xlName="_GBC_0441f2287ef148258f6120af115d25fa" pickName="" concept="" mulRef="_GBC_57faea4e453e49ad93821b7dd6ce8bc4" unitRef="_GBC_cef77704267643d794145c73763360e5" formatStyle="Comma">
          <m:extendConcept standardLabel="4.同一控制下企业合并永续债" preferredLabel="4.同一控制下企业合并" referenceConcept="clcid-pte:QiTaSuoYouZheTouRuHeJianShaoZiBenDaoZhiQiTaQuanYiGongJuZhongDeYongXuZhaiBianDongJinE"/>
        </m:item>
        <m:item xlName="_GBC_69aa9e2be1cc448db2489f93f61730c7" pickName="" concept="" mulRef="_GBC_57faea4e453e49ad93821b7dd6ce8bc4" unitRef="_GBC_cef77704267643d794145c73763360e5" formatStyle="Comma">
          <m:extendConcept standardLabel="4.同一控制下企业合并其他" preferredLabel="4.同一控制下企业合并" referenceConcept="clcid-pte:QiTaSuoYouZheTouRuHeJianShaoZiBenDaoZhiQiTaQuanYiGongJuZhongDeQiTaBianDongJinE"/>
        </m:item>
        <m:item xlName="_GBC_0e4ff532bc3b4e69be152dfa31903f71" pickName="" concept="" mulRef="_GBC_57faea4e453e49ad93821b7dd6ce8bc4" unitRef="_GBC_cef77704267643d794145c73763360e5" formatStyle="Comma">
          <m:extendConcept standardLabel="4.同一控制下企业合并资本公积" preferredLabel="4.同一控制下企业合并" referenceConcept="clcid-pte:QiTaSuoYouZheTouRuHeJianShaoZiBenDaoZhiZiBenGongJiBianDongJinE"/>
        </m:item>
        <m:item xlName="_GBC_f0ebe2a76c88496184762d2626168368" pickName="" concept="" mulRef="_GBC_57faea4e453e49ad93821b7dd6ce8bc4" unitRef="_GBC_cef77704267643d794145c73763360e5" baseScale="-1" formatStyle="Comma">
          <m:extendConcept standardLabel="4.同一控制下企业合并减:库存股" preferredLabel="4.同一控制下企业合并" referenceConcept="clcid-pte:QiTaSuoYouZheTouRuHeJianShaoZiBenDaoZhiKuCunGuBianDongJinE"/>
        </m:item>
        <m:item xlName="_GBC_f34197943b7546dd9b31790df735d852" pickName="" concept="" mulRef="_GBC_57faea4e453e49ad93821b7dd6ce8bc4" unitRef="_GBC_cef77704267643d794145c73763360e5" formatStyle="Comma">
          <m:extendConcept standardLabel="4.同一控制下企业合并其他综合收益" preferredLabel="4.同一控制下企业合并" referenceConcept="clcid-pte:QiTaSuoYouZheTouRuHeJianShaoZiBenDaoZhiQiTaZongHeShouYiBianDongJinE"/>
        </m:item>
        <m:item xlName="_GBC_c0f483e4c3234cce952c6edd40faecd6" pickName="" concept="" mulRef="_GBC_57faea4e453e49ad93821b7dd6ce8bc4" unitRef="_GBC_cef77704267643d794145c73763360e5" formatStyle="Comma">
          <m:extendConcept standardLabel="4.同一控制下企业合并专项储备" preferredLabel="4.同一控制下企业合并" referenceConcept="clcid-pte:QiTaSuoYouZheTouRuHeJianShaoZiBenDaoZhiZhuanXiangChuBeiBianDongJinE"/>
        </m:item>
        <m:item xlName="_GBC_6d5c6153884f45e0986e4a10f1b80af8" pickName="" concept="" mulRef="_GBC_57faea4e453e49ad93821b7dd6ce8bc4" unitRef="_GBC_cef77704267643d794145c73763360e5" formatStyle="Comma">
          <m:extendConcept standardLabel="4.同一控制下企业合并盈余公积" preferredLabel="4.同一控制下企业合并" referenceConcept="clcid-pte:QiTaSuoYouZheTouRuHeJianShaoZiBenDaoZhiYingYuGongJiBianDongJinE"/>
        </m:item>
        <m:item xlName="_GBC_e574e6ca74cc47fb93e96434c5e690e6" pickName="" concept="" mulRef="_GBC_57faea4e453e49ad93821b7dd6ce8bc4" unitRef="_GBC_cef77704267643d794145c73763360e5" formatStyle="Comma">
          <m:extendConcept standardLabel="4.同一控制下企业合并一般风险准备" preferredLabel="4.同一控制下企业合并" referenceConcept="clcid-pte:QiTaSuoYouZheTouRuHeJianShaoZiBenDaoZhiYiBanFengXianZhunBeiBianDongJinE"/>
        </m:item>
        <m:item xlName="_GBC_793a5ba48b1c4eadaf6f4e0e7c6774bb" pickName="" concept="" mulRef="_GBC_57faea4e453e49ad93821b7dd6ce8bc4" unitRef="_GBC_cef77704267643d794145c73763360e5" formatStyle="Comma">
          <m:extendConcept standardLabel="4.同一控制下企业合并未分配利润" preferredLabel="4.同一控制下企业合并" referenceConcept="clcid-pte:QiTaSuoYouZheTouRuHeJianShaoZiBenDaoZhiWeiFenPeiLiRunBianDongJinE"/>
        </m:item>
        <m:item xlName="_GBC_0538c39e043b4adc8d2d577efaafeef9" pickName="" concept="" mulRef="_GBC_57faea4e453e49ad93821b7dd6ce8bc4" unitRef="_GBC_cef77704267643d794145c73763360e5" formatStyle="Comma">
          <m:extendConcept standardLabel="4.同一控制下企业合并其他" preferredLabel="4.同一控制下企业合并" referenceConcept="clcid-pte:QiTaSuoYouZheTouRuHeJianShaoZiBenDaoZhiQiTaDeGuiShuYuMuGongSiSuoYouZheQuanYiBianDongJinE"/>
        </m:item>
        <m:item xlName="_GBC_249234b2f6b6418abd36eaf75f6dc596" pickName="" concept="" mulRef="_GBC_57faea4e453e49ad93821b7dd6ce8bc4" unitRef="_GBC_cef77704267643d794145c73763360e5" formatStyle="Comma">
          <m:extendConcept standardLabel="4.同一控制下企业合并小计" preferredLabel="4.同一控制下企业合并" referenceConcept="clcid-pte:QiTaSuoYouZheTouRuHeJianShaoZiBenDaoZhiGuiShuYuMuGongSiSuoYouZheQuanYiBianDongJinE"/>
        </m:item>
        <m:item xlName="_GBC_847937a926e64d598cadf27db6b3b12a" pickName="" concept="" mulRef="_GBC_57faea4e453e49ad93821b7dd6ce8bc4" unitRef="_GBC_cef77704267643d794145c73763360e5" formatStyle="Comma">
          <m:extendConcept standardLabel="4.同一控制下企业合并少数股东权益" preferredLabel="4.同一控制下企业合并" referenceConcept="clcid-pte:QiTaSuoYouZheTouRuHeJianShaoZiBenDaoZhiShaoShuGuDongQuanYiBianDongJinE"/>
        </m:item>
        <m:item xlName="_GBC_306a0d824918469d8e8b83ed55bc9a98" pickName="" concept="" mulRef="_GBC_57faea4e453e49ad93821b7dd6ce8bc4" unitRef="_GBC_cef77704267643d794145c73763360e5" formatStyle="Comma">
          <m:extendConcept standardLabel="4.同一控制下企业合并所有者权益合计" preferredLabel="4.同一控制下企业合并" referenceConcept="clcid-pte:QiTaSuoYouZheTouRuHeJianShaoZiBenDaoZhiGuDongQuanYiHeJiBianDongJinE"/>
        </m:item>
        <m:placeholder xlName="_PLD_4a778ad537dc487babd5e36942433df7" wordText="4．其他"/>
        <m:item xlName="_GBC_a85bf94b16c645fcb6c4289db2a65345" pickName="" concept="" mulRef="_GBC_57faea4e453e49ad93821b7dd6ce8bc4" unitRef="_GBC_cef77704267643d794145c73763360e5" formatStyle="Comma">
          <m:extendConcept standardLabel="5.收购少数股东股权实收资本(或股本)" preferredLabel="5.收购少数股东股权" referenceConcept="clcid-pte:QiTaSuoYouZheTouRuHeJianShaoZiBenDaoZhiShiShouZiBenHuoGuBenJingEBianDongJinE"/>
        </m:item>
        <m:item xlName="_GBC_920485402a704fe5916fb6e9fab6a54f" pickName="" concept="" mulRef="_GBC_57faea4e453e49ad93821b7dd6ce8bc4" unitRef="_GBC_cef77704267643d794145c73763360e5" formatStyle="Comma">
          <m:extendConcept standardLabel="5.收购少数股东股权优先股" preferredLabel="5.收购少数股东股权" referenceConcept="clcid-pte:QiTaSuoYouZheTouRuHeJianShaoZiBenDaoZhiQiTaQuanYiGongJuZhongDeYouXianGuBianDongJinE"/>
        </m:item>
        <m:item xlName="_GBC_6f8710b1343f4a4baa15fa651303f688" pickName="" concept="" mulRef="_GBC_57faea4e453e49ad93821b7dd6ce8bc4" unitRef="_GBC_cef77704267643d794145c73763360e5" formatStyle="Comma">
          <m:extendConcept standardLabel="5.收购少数股东股权永续债" preferredLabel="5.收购少数股东股权" referenceConcept="clcid-pte:QiTaSuoYouZheTouRuHeJianShaoZiBenDaoZhiQiTaQuanYiGongJuZhongDeYongXuZhaiBianDongJinE"/>
        </m:item>
        <m:item xlName="_GBC_964c3fff01954adebb44617afb07ff6f" pickName="" concept="" mulRef="_GBC_57faea4e453e49ad93821b7dd6ce8bc4" unitRef="_GBC_cef77704267643d794145c73763360e5" formatStyle="Comma">
          <m:extendConcept standardLabel="5.收购少数股东股权其他" preferredLabel="5.收购少数股东股权" referenceConcept="clcid-pte:QiTaSuoYouZheTouRuHeJianShaoZiBenDaoZhiQiTaQuanYiGongJuZhongDeQiTaBianDongJinE"/>
        </m:item>
        <m:item xlName="_GBC_4f7974d0b5ce4dce863ff7f14da1ef24" pickName="" concept="" mulRef="_GBC_57faea4e453e49ad93821b7dd6ce8bc4" unitRef="_GBC_cef77704267643d794145c73763360e5" formatStyle="Comma">
          <m:extendConcept standardLabel="5.收购少数股东股权资本公积" preferredLabel="5.收购少数股东股权" referenceConcept="clcid-pte:QiTaSuoYouZheTouRuHeJianShaoZiBenDaoZhiZiBenGongJiBianDongJinE"/>
        </m:item>
        <m:item xlName="_GBC_9852ce09ebaf4e0c978935063034bb51" pickName="" concept="" mulRef="_GBC_57faea4e453e49ad93821b7dd6ce8bc4" unitRef="_GBC_cef77704267643d794145c73763360e5" baseScale="-1" formatStyle="Comma">
          <m:extendConcept standardLabel="5.收购少数股东股权减:库存股" preferredLabel="5.收购少数股东股权" referenceConcept="clcid-pte:QiTaSuoYouZheTouRuHeJianShaoZiBenDaoZhiKuCunGuBianDongJinE"/>
        </m:item>
        <m:item xlName="_GBC_b690ace18b124414847138afa14d6417" pickName="" concept="" mulRef="_GBC_57faea4e453e49ad93821b7dd6ce8bc4" unitRef="_GBC_cef77704267643d794145c73763360e5" formatStyle="Comma">
          <m:extendConcept standardLabel="5.收购少数股东股权其他综合收益" preferredLabel="5.收购少数股东股权" referenceConcept="clcid-pte:QiTaSuoYouZheTouRuHeJianShaoZiBenDaoZhiQiTaZongHeShouYiBianDongJinE"/>
        </m:item>
        <m:item xlName="_GBC_d1fd703e81554c88a6fda330799f1a1d" pickName="" concept="" mulRef="_GBC_57faea4e453e49ad93821b7dd6ce8bc4" unitRef="_GBC_cef77704267643d794145c73763360e5" formatStyle="Comma">
          <m:extendConcept standardLabel="5.收购少数股东股权专项储备" preferredLabel="5.收购少数股东股权" referenceConcept="clcid-pte:QiTaSuoYouZheTouRuHeJianShaoZiBenDaoZhiZhuanXiangChuBeiBianDongJinE"/>
        </m:item>
        <m:item xlName="_GBC_d4d5c304d5c1406a85f344a6951665c7" pickName="" concept="" mulRef="_GBC_57faea4e453e49ad93821b7dd6ce8bc4" unitRef="_GBC_cef77704267643d794145c73763360e5" formatStyle="Comma">
          <m:extendConcept standardLabel="5.收购少数股东股权盈余公积" preferredLabel="5.收购少数股东股权" referenceConcept="clcid-pte:QiTaSuoYouZheTouRuHeJianShaoZiBenDaoZhiYingYuGongJiBianDongJinE"/>
        </m:item>
        <m:item xlName="_GBC_af231d231b704850a43777bad3dde31e" pickName="" concept="" mulRef="_GBC_57faea4e453e49ad93821b7dd6ce8bc4" unitRef="_GBC_cef77704267643d794145c73763360e5" formatStyle="Comma">
          <m:extendConcept standardLabel="5.收购少数股东股权一般风险准备" preferredLabel="5.收购少数股东股权" referenceConcept="clcid-pte:QiTaSuoYouZheTouRuHeJianShaoZiBenDaoZhiYiBanFengXianZhunBeiBianDongJinE"/>
        </m:item>
        <m:item xlName="_GBC_ea7ef2506a7048d98f85472599c0a2ec" pickName="" concept="" mulRef="_GBC_57faea4e453e49ad93821b7dd6ce8bc4" unitRef="_GBC_cef77704267643d794145c73763360e5" formatStyle="Comma">
          <m:extendConcept standardLabel="5.收购少数股东股权未分配利润" preferredLabel="5.收购少数股东股权" referenceConcept="clcid-pte:QiTaSuoYouZheTouRuHeJianShaoZiBenDaoZhiWeiFenPeiLiRunBianDongJinE"/>
        </m:item>
        <m:item xlName="_GBC_ade73496fa2f47fd9d30f9dd91bc828f" pickName="" concept="" mulRef="_GBC_57faea4e453e49ad93821b7dd6ce8bc4" unitRef="_GBC_cef77704267643d794145c73763360e5" formatStyle="Comma">
          <m:extendConcept standardLabel="5.收购少数股东股权其他" preferredLabel="5.收购少数股东股权" referenceConcept="clcid-pte:QiTaSuoYouZheTouRuHeJianShaoZiBenDaoZhiQiTaDeGuiShuYuMuGongSiSuoYouZheQuanYiBianDongJinE"/>
        </m:item>
        <m:item xlName="_GBC_2a1ae35305ff4ab786c28ba6d01b3385" pickName="" concept="" mulRef="_GBC_57faea4e453e49ad93821b7dd6ce8bc4" unitRef="_GBC_cef77704267643d794145c73763360e5" formatStyle="Comma">
          <m:extendConcept standardLabel="5.收购少数股东股权小计" preferredLabel="5.收购少数股东股权" referenceConcept="clcid-pte:QiTaSuoYouZheTouRuHeJianShaoZiBenDaoZhiGuiShuYuMuGongSiSuoYouZheQuanYiBianDongJinE"/>
        </m:item>
        <m:item xlName="_GBC_73516d18dffb49ab9d3f8f360cd73969" pickName="" concept="" mulRef="_GBC_57faea4e453e49ad93821b7dd6ce8bc4" unitRef="_GBC_cef77704267643d794145c73763360e5" formatStyle="Comma">
          <m:extendConcept standardLabel="5.收购少数股东股权少数股东权益" preferredLabel="5.收购少数股东股权" referenceConcept="clcid-pte:QiTaSuoYouZheTouRuHeJianShaoZiBenDaoZhiShaoShuGuDongQuanYiBianDongJinE"/>
        </m:item>
        <m:item xlName="_GBC_ffa676b85792407faf045f852e1e014f" pickName="" concept="" mulRef="_GBC_57faea4e453e49ad93821b7dd6ce8bc4" unitRef="_GBC_cef77704267643d794145c73763360e5" formatStyle="Comma">
          <m:extendConcept standardLabel="5.收购少数股东股权所有者权益合计" preferredLabel="5.收购少数股东股权" referenceConcept="clcid-pte:QiTaSuoYouZheTouRuHeJianShaoZiBenDaoZhiGuDongQuanYiHeJiBianDongJinE"/>
        </m:item>
        <m:placeholder xlName="_PLD_10e99acbbe9041cbb3c9a4056343679d" wordText="4．其他"/>
        <m:item xlName="_GBC_22648e601df745d288d6a56ae9b577b4" pickName="" concept="" mulRef="_GBC_57faea4e453e49ad93821b7dd6ce8bc4" unitRef="_GBC_cef77704267643d794145c73763360e5" formatStyle="Comma">
          <m:extendConcept standardLabel="6.未丧失控股权持股比例下降实收资本(或股本)" preferredLabel="6.未丧失控股权持股比例下降" referenceConcept="clcid-pte:QiTaSuoYouZheTouRuHeJianShaoZiBenDaoZhiShiShouZiBenHuoGuBenJingEBianDongJinE"/>
        </m:item>
        <m:item xlName="_GBC_ef3b6a1a8dfe42fb9dc5fd85d64e133f" pickName="" concept="" mulRef="_GBC_57faea4e453e49ad93821b7dd6ce8bc4" unitRef="_GBC_cef77704267643d794145c73763360e5" formatStyle="Comma">
          <m:extendConcept standardLabel="6.未丧失控股权持股比例下降优先股" preferredLabel="6.未丧失控股权持股比例下降" referenceConcept="clcid-pte:QiTaSuoYouZheTouRuHeJianShaoZiBenDaoZhiQiTaQuanYiGongJuZhongDeYouXianGuBianDongJinE"/>
        </m:item>
        <m:item xlName="_GBC_41108ea8fb534a02ab642ec0ae583128" pickName="" concept="" mulRef="_GBC_57faea4e453e49ad93821b7dd6ce8bc4" unitRef="_GBC_cef77704267643d794145c73763360e5" formatStyle="Comma">
          <m:extendConcept standardLabel="6.未丧失控股权持股比例下降永续债" preferredLabel="6.未丧失控股权持股比例下降" referenceConcept="clcid-pte:QiTaSuoYouZheTouRuHeJianShaoZiBenDaoZhiQiTaQuanYiGongJuZhongDeYongXuZhaiBianDongJinE"/>
        </m:item>
        <m:item xlName="_GBC_82a5b1e619754b8cbb3c3e31f1c32e7a" pickName="" concept="" mulRef="_GBC_57faea4e453e49ad93821b7dd6ce8bc4" unitRef="_GBC_cef77704267643d794145c73763360e5" formatStyle="Comma">
          <m:extendConcept standardLabel="6.未丧失控股权持股比例下降其他" preferredLabel="6.未丧失控股权持股比例下降" referenceConcept="clcid-pte:QiTaSuoYouZheTouRuHeJianShaoZiBenDaoZhiQiTaQuanYiGongJuZhongDeQiTaBianDongJinE"/>
        </m:item>
        <m:item xlName="_GBC_c0b743c8a5234cc2993b460be177e4b8" pickName="" concept="" mulRef="_GBC_57faea4e453e49ad93821b7dd6ce8bc4" unitRef="_GBC_cef77704267643d794145c73763360e5" formatStyle="Comma">
          <m:extendConcept standardLabel="6.未丧失控股权持股比例下降资本公积" preferredLabel="6.未丧失控股权持股比例下降" referenceConcept="clcid-pte:QiTaSuoYouZheTouRuHeJianShaoZiBenDaoZhiZiBenGongJiBianDongJinE"/>
        </m:item>
        <m:item xlName="_GBC_8630785019f848f6814c6a507c31815c" pickName="" concept="" mulRef="_GBC_57faea4e453e49ad93821b7dd6ce8bc4" unitRef="_GBC_cef77704267643d794145c73763360e5" baseScale="-1" formatStyle="Comma">
          <m:extendConcept standardLabel="6.未丧失控股权持股比例下降减:库存股" preferredLabel="6.未丧失控股权持股比例下降" referenceConcept="clcid-pte:QiTaSuoYouZheTouRuHeJianShaoZiBenDaoZhiKuCunGuBianDongJinE"/>
        </m:item>
        <m:item xlName="_GBC_7abd1743d7494b7092b4fde4aaa39a3d" pickName="" concept="" mulRef="_GBC_57faea4e453e49ad93821b7dd6ce8bc4" unitRef="_GBC_cef77704267643d794145c73763360e5" formatStyle="Comma">
          <m:extendConcept standardLabel="6.未丧失控股权持股比例下降其他综合收益" preferredLabel="6.未丧失控股权持股比例下降" referenceConcept="clcid-pte:QiTaSuoYouZheTouRuHeJianShaoZiBenDaoZhiQiTaZongHeShouYiBianDongJinE"/>
        </m:item>
        <m:item xlName="_GBC_0107a91620b14a8eb4181a5c532486e8" pickName="" concept="" mulRef="_GBC_57faea4e453e49ad93821b7dd6ce8bc4" unitRef="_GBC_cef77704267643d794145c73763360e5" formatStyle="Comma">
          <m:extendConcept standardLabel="6.未丧失控股权持股比例下降专项储备" preferredLabel="6.未丧失控股权持股比例下降" referenceConcept="clcid-pte:QiTaSuoYouZheTouRuHeJianShaoZiBenDaoZhiZhuanXiangChuBeiBianDongJinE"/>
        </m:item>
        <m:item xlName="_GBC_fd1587a1746c4f9a8de95f4e5aa63e2e" pickName="" concept="" mulRef="_GBC_57faea4e453e49ad93821b7dd6ce8bc4" unitRef="_GBC_cef77704267643d794145c73763360e5" formatStyle="Comma">
          <m:extendConcept standardLabel="6.未丧失控股权持股比例下降盈余公积" preferredLabel="6.未丧失控股权持股比例下降" referenceConcept="clcid-pte:QiTaSuoYouZheTouRuHeJianShaoZiBenDaoZhiYingYuGongJiBianDongJinE"/>
        </m:item>
        <m:item xlName="_GBC_cf2da8ebf6ad4c44b3b7a568160834d3" pickName="" concept="" mulRef="_GBC_57faea4e453e49ad93821b7dd6ce8bc4" unitRef="_GBC_cef77704267643d794145c73763360e5" formatStyle="Comma">
          <m:extendConcept standardLabel="6.未丧失控股权持股比例下降一般风险准备" preferredLabel="6.未丧失控股权持股比例下降" referenceConcept="clcid-pte:QiTaSuoYouZheTouRuHeJianShaoZiBenDaoZhiYiBanFengXianZhunBeiBianDongJinE"/>
        </m:item>
        <m:item xlName="_GBC_d30702f94b0c4ba4bd7168bd9ba099cb" pickName="" concept="" mulRef="_GBC_57faea4e453e49ad93821b7dd6ce8bc4" unitRef="_GBC_cef77704267643d794145c73763360e5" formatStyle="Comma">
          <m:extendConcept standardLabel="6.未丧失控股权持股比例下降未分配利润" preferredLabel="6.未丧失控股权持股比例下降" referenceConcept="clcid-pte:QiTaSuoYouZheTouRuHeJianShaoZiBenDaoZhiWeiFenPeiLiRunBianDongJinE"/>
        </m:item>
        <m:item xlName="_GBC_c5e43fb0adc74fb5bf3d58d4e877cd96" pickName="" concept="" mulRef="_GBC_57faea4e453e49ad93821b7dd6ce8bc4" unitRef="_GBC_cef77704267643d794145c73763360e5" formatStyle="Comma">
          <m:extendConcept standardLabel="6.未丧失控股权持股比例下降其他" preferredLabel="6.未丧失控股权持股比例下降" referenceConcept="clcid-pte:QiTaSuoYouZheTouRuHeJianShaoZiBenDaoZhiQiTaDeGuiShuYuMuGongSiSuoYouZheQuanYiBianDongJinE"/>
        </m:item>
        <m:item xlName="_GBC_f5384f9c47904ab396f5d0001a1601dc" pickName="" concept="" mulRef="_GBC_57faea4e453e49ad93821b7dd6ce8bc4" unitRef="_GBC_cef77704267643d794145c73763360e5" formatStyle="Comma">
          <m:extendConcept standardLabel="6.未丧失控股权持股比例下降小计" preferredLabel="6.未丧失控股权持股比例下降" referenceConcept="clcid-pte:QiTaSuoYouZheTouRuHeJianShaoZiBenDaoZhiGuiShuYuMuGongSiSuoYouZheQuanYiBianDongJinE"/>
        </m:item>
        <m:item xlName="_GBC_dca23ab6ddb0413cb3d2811c1f746deb" pickName="" concept="" mulRef="_GBC_57faea4e453e49ad93821b7dd6ce8bc4" unitRef="_GBC_cef77704267643d794145c73763360e5" formatStyle="Comma">
          <m:extendConcept standardLabel="6.未丧失控股权持股比例下降少数股东权益" preferredLabel="6.未丧失控股权持股比例下降" referenceConcept="clcid-pte:QiTaSuoYouZheTouRuHeJianShaoZiBenDaoZhiShaoShuGuDongQuanYiBianDongJinE"/>
        </m:item>
        <m:item xlName="_GBC_d4e6a616baae4126ba46cc08e4eafbf7" pickName="" concept="" mulRef="_GBC_57faea4e453e49ad93821b7dd6ce8bc4" unitRef="_GBC_cef77704267643d794145c73763360e5" formatStyle="Comma">
          <m:extendConcept standardLabel="6.未丧失控股权持股比例下降所有者权益合计" preferredLabel="6.未丧失控股权持股比例下降" referenceConcept="clcid-pte:QiTaSuoYouZheTouRuHeJianShaoZiBenDaoZhiGuDongQuanYiHeJiBianDongJinE"/>
        </m:item>
        <m:placeholder xlName="_PLD_1ff73d53a8ce4659b6ddc9a5e6025b10" wordText="4．其他"/>
        <m:item xlName="_GBC_86a901f087274590afb0ff369aef7d71" pickName="" concept="" mulRef="_GBC_57faea4e453e49ad93821b7dd6ce8bc4" unitRef="_GBC_cef77704267643d794145c73763360e5" formatStyle="Comma">
          <m:extendConcept standardLabel="4.对其他权益工具持有者的分配实收资本(或股本)" preferredLabel="4.对其他权益工具持有者的分配" referenceConcept="clcid-pte:QiTaLiRunFenPeiDaoZhiShiShouZiBenHuoGuBenJingEBianDongJinE"/>
        </m:item>
        <m:item xlName="_GBC_0077981e87df4331b441c57a75dbacbe" pickName="" concept="" mulRef="_GBC_57faea4e453e49ad93821b7dd6ce8bc4" unitRef="_GBC_cef77704267643d794145c73763360e5" formatStyle="Comma">
          <m:extendConcept standardLabel="4.对其他权益工具持有者的分配优先股" preferredLabel="4.对其他权益工具持有者的分配" referenceConcept="clcid-pte:QiTaLiRunFenPeiDaoZhiQiTaQuanYiGongJuZhongDeYouXianGuBianDongJinE"/>
        </m:item>
        <m:item xlName="_GBC_4e4428ed2fd64b5cbe1262eb9a747d0a" pickName="" concept="" mulRef="_GBC_57faea4e453e49ad93821b7dd6ce8bc4" unitRef="_GBC_cef77704267643d794145c73763360e5" formatStyle="Comma">
          <m:extendConcept standardLabel="4.对其他权益工具持有者的分配永续债" preferredLabel="4.对其他权益工具持有者的分配" referenceConcept="clcid-pte:QiTaLiRunFenPeiDaoZhiQiTaQuanYiGongJuZhongDeYongXuZhaiBianDongJinE"/>
        </m:item>
        <m:item xlName="_GBC_02f8ae4232ac4ba6a00b2effb77d2682" pickName="" concept="" mulRef="_GBC_57faea4e453e49ad93821b7dd6ce8bc4" unitRef="_GBC_cef77704267643d794145c73763360e5" formatStyle="Comma">
          <m:extendConcept standardLabel="4.对其他权益工具持有者的分配其他" preferredLabel="4.对其他权益工具持有者的分配" referenceConcept="clcid-pte:QiTaLiRunFenPeiDaoZhiQiTaQuanYiGongJuZhongDeQiTaBianDongJinE"/>
        </m:item>
        <m:item xlName="_GBC_d76862e789524bf0998a8c9bfe78537d" pickName="" concept="" mulRef="_GBC_57faea4e453e49ad93821b7dd6ce8bc4" unitRef="_GBC_cef77704267643d794145c73763360e5" formatStyle="Comma">
          <m:extendConcept standardLabel="4.对其他权益工具持有者的分配资本公积" preferredLabel="4.对其他权益工具持有者的分配" referenceConcept="clcid-pte:QiTaLiRunFenPeiDaoZhiZiBenGongJiBianDongJinE"/>
        </m:item>
        <m:item xlName="_GBC_ec3b1de98d5043f0a8b3ebb6fb53814b" pickName="" concept="" mulRef="_GBC_57faea4e453e49ad93821b7dd6ce8bc4" unitRef="_GBC_cef77704267643d794145c73763360e5" baseScale="-1" formatStyle="Comma">
          <m:extendConcept standardLabel="4.对其他权益工具持有者的分配减:库存股" preferredLabel="4.对其他权益工具持有者的分配" referenceConcept="clcid-pte:QiTaLiRunFenPeiDaoZhiKuCunGuBianDongJinE"/>
        </m:item>
        <m:item xlName="_GBC_b5ee7f66cb5b456187b1235b212fcacd" pickName="" concept="" mulRef="_GBC_57faea4e453e49ad93821b7dd6ce8bc4" unitRef="_GBC_cef77704267643d794145c73763360e5" formatStyle="Comma">
          <m:extendConcept standardLabel="4.对其他权益工具持有者的分配其他综合收益" preferredLabel="4.对其他权益工具持有者的分配" referenceConcept="clcid-pte:QiTaLiRunFenPeiDaoZhiQiTaZongHeShouYiBianDongJinE"/>
        </m:item>
        <m:item xlName="_GBC_a745e159c41f496d85e2ec51e21e08d0" pickName="" concept="" mulRef="_GBC_57faea4e453e49ad93821b7dd6ce8bc4" unitRef="_GBC_cef77704267643d794145c73763360e5" formatStyle="Comma">
          <m:extendConcept standardLabel="4.对其他权益工具持有者的分配专项储备" preferredLabel="4.对其他权益工具持有者的分配" referenceConcept="clcid-pte:QiTaLiRunFenPeiDaoZhiZhuanXiangChuBeiBianDongJinE"/>
        </m:item>
        <m:item xlName="_GBC_a307c6fd115949c8ade76d9c6d527414" pickName="" concept="" mulRef="_GBC_57faea4e453e49ad93821b7dd6ce8bc4" unitRef="_GBC_cef77704267643d794145c73763360e5" formatStyle="Comma">
          <m:extendConcept standardLabel="4.对其他权益工具持有者的分配盈余公积" preferredLabel="4.对其他权益工具持有者的分配" referenceConcept="clcid-pte:QiTaLiRunFenPeiDaoZhiYingYuGongJiBianDongJinE"/>
        </m:item>
        <m:item xlName="_GBC_1b9d52d1ecf24f1894cf43715b88475a" pickName="" concept="" mulRef="_GBC_57faea4e453e49ad93821b7dd6ce8bc4" unitRef="_GBC_cef77704267643d794145c73763360e5" formatStyle="Comma">
          <m:extendConcept standardLabel="4.对其他权益工具持有者的分配一般风险准备" preferredLabel="4.对其他权益工具持有者的分配" referenceConcept="clcid-pte:QiTaLiRunFenPeiDaoZhiYiBanFengXianZhunBeiBianDongJinE"/>
        </m:item>
        <m:item xlName="_GBC_4ca01d68dbca473085bd38b2426c4e0e" pickName="" concept="" mulRef="_GBC_57faea4e453e49ad93821b7dd6ce8bc4" unitRef="_GBC_cef77704267643d794145c73763360e5" formatStyle="Comma">
          <m:extendConcept standardLabel="4.对其他权益工具持有者的分配未分配利润" preferredLabel="4.对其他权益工具持有者的分配" referenceConcept="clcid-pte:QiTaLiRunFenPeiDaoZhiWeiFenPeiLiRunBianDongJinE"/>
        </m:item>
        <m:item xlName="_GBC_6ce093ff113647eb9dd2393f228b299f" pickName="" concept="" mulRef="_GBC_57faea4e453e49ad93821b7dd6ce8bc4" unitRef="_GBC_cef77704267643d794145c73763360e5" formatStyle="Comma">
          <m:extendConcept standardLabel="4.对其他权益工具持有者的分配其他" preferredLabel="4.对其他权益工具持有者的分配" referenceConcept="clcid-pte:QiTaLiRunFenPeiDaoZhiQiTaDeGuiShuYuMuGongSiSuoYouZheQuanYiBianDongJinE"/>
        </m:item>
        <m:item xlName="_GBC_fb8b201832f249f085f2f12b04233fa0" pickName="" concept="" mulRef="_GBC_57faea4e453e49ad93821b7dd6ce8bc4" unitRef="_GBC_cef77704267643d794145c73763360e5" formatStyle="Comma">
          <m:extendConcept standardLabel="4.对其他权益工具持有者的分配小计" preferredLabel="4.对其他权益工具持有者的分配" referenceConcept="clcid-pte:QiTaLiRunFenPeiDaoZhiGuiShuYuMuGongSiSuoYouZheQuanYiBianDongJinE"/>
        </m:item>
        <m:item xlName="_GBC_c73d5f68003041b8b65fcc2785a0b14d" pickName="" concept="" mulRef="_GBC_57faea4e453e49ad93821b7dd6ce8bc4" unitRef="_GBC_cef77704267643d794145c73763360e5" formatStyle="Comma">
          <m:extendConcept standardLabel="4.对其他权益工具持有者的分配少数股东权益" preferredLabel="4.对其他权益工具持有者的分配" referenceConcept="clcid-pte:QiTaLiRunFenPeiDaoZhiShaoShuGuDongQuanYiBianDongJinE"/>
        </m:item>
        <m:item xlName="_GBC_1c2f2b80fb1d4a76a77ea66c7ade1c92" pickName="" concept="" mulRef="_GBC_57faea4e453e49ad93821b7dd6ce8bc4" unitRef="_GBC_cef77704267643d794145c73763360e5" formatStyle="Comma">
          <m:extendConcept standardLabel="4.对其他权益工具持有者的分配所有者权益合计" preferredLabel="4.对其他权益工具持有者的分配" referenceConcept="clcid-pte:QiTaLiRunFenPeiDaoZhiGuDongQuanYiHeJiBianDongJinE"/>
        </m:item>
        <m:placeholder xlName="_PLD_9836f3287cfe45e6ad0e85f83686ac73" wordText="4．其他"/>
        <m:item xlName="_GBC_2da7f1f7f08a430d8f69114595c3cc71" pickName="" concept="" periodRef="上年同期数" mulRef="_GBC_57faea4e453e49ad93821b7dd6ce8bc4" unitRef="_GBC_cef77704267643d794145c73763360e5" formatStyle="Comma">
          <m:extendConcept standardLabel="4.同一控制下企业合并实收资本(或股本)" preferredLabel="4.同一控制下企业合并" referenceConcept="clcid-pte:QiTaSuoYouZheTouRuHeJianShaoZiBenDaoZhiShiShouZiBenHuoGuBenJingEBianDongJinE"/>
        </m:item>
        <m:item xlName="_GBC_6f485b95b3cf462292346d886a327dea" pickName="" concept="" periodRef="上年同期数" mulRef="_GBC_57faea4e453e49ad93821b7dd6ce8bc4" unitRef="_GBC_cef77704267643d794145c73763360e5" formatStyle="Comma">
          <m:extendConcept standardLabel="4.同一控制下企业合并优先股" preferredLabel="4.同一控制下企业合并" referenceConcept="clcid-pte:QiTaSuoYouZheTouRuHeJianShaoZiBenDaoZhiQiTaQuanYiGongJuZhongDeYouXianGuBianDongJinE"/>
        </m:item>
        <m:item xlName="_GBC_6808eadcc4fa485fa24bf1d5b756d4d0" pickName="" concept="" periodRef="上年同期数" mulRef="_GBC_57faea4e453e49ad93821b7dd6ce8bc4" unitRef="_GBC_cef77704267643d794145c73763360e5" formatStyle="Comma">
          <m:extendConcept standardLabel="4.同一控制下企业合并永续债" preferredLabel="4.同一控制下企业合并" referenceConcept="clcid-pte:QiTaSuoYouZheTouRuHeJianShaoZiBenDaoZhiQiTaQuanYiGongJuZhongDeYongXuZhaiBianDongJinE"/>
        </m:item>
        <m:item xlName="_GBC_25bd5c62ef36498a95f65dd9911a2a48" pickName="" concept="" periodRef="上年同期数" mulRef="_GBC_57faea4e453e49ad93821b7dd6ce8bc4" unitRef="_GBC_cef77704267643d794145c73763360e5" formatStyle="Comma">
          <m:extendConcept standardLabel="4.同一控制下企业合并其他" preferredLabel="4.同一控制下企业合并" referenceConcept="clcid-pte:QiTaSuoYouZheTouRuHeJianShaoZiBenDaoZhiQiTaQuanYiGongJuZhongDeQiTaBianDongJinE"/>
        </m:item>
        <m:item xlName="_GBC_5839cd61278f4250bf8afee8e537295a" pickName="" concept="" periodRef="上年同期数" mulRef="_GBC_57faea4e453e49ad93821b7dd6ce8bc4" unitRef="_GBC_cef77704267643d794145c73763360e5" formatStyle="Comma">
          <m:extendConcept standardLabel="4.同一控制下企业合并资本公积" preferredLabel="4.同一控制下企业合并" referenceConcept="clcid-pte:QiTaSuoYouZheTouRuHeJianShaoZiBenDaoZhiZiBenGongJiBianDongJinE"/>
        </m:item>
        <m:item xlName="_GBC_ff858b067d404afd916bc4b3bb7f5f7f" pickName="" concept="" periodRef="上年同期数" mulRef="_GBC_57faea4e453e49ad93821b7dd6ce8bc4" unitRef="_GBC_cef77704267643d794145c73763360e5" baseScale="-1" formatStyle="Comma">
          <m:extendConcept standardLabel="4.同一控制下企业合并减:库存股" preferredLabel="4.同一控制下企业合并" referenceConcept="clcid-pte:QiTaSuoYouZheTouRuHeJianShaoZiBenDaoZhiKuCunGuBianDongJinE"/>
        </m:item>
        <m:item xlName="_GBC_e158402c95e04864b9a7cf53b377d6bf" pickName="" concept="" periodRef="上年同期数" mulRef="_GBC_57faea4e453e49ad93821b7dd6ce8bc4" unitRef="_GBC_cef77704267643d794145c73763360e5" formatStyle="Comma">
          <m:extendConcept standardLabel="4.同一控制下企业合并其他综合收益" preferredLabel="4.同一控制下企业合并" referenceConcept="clcid-pte:QiTaSuoYouZheTouRuHeJianShaoZiBenDaoZhiQiTaZongHeShouYiBianDongJinE"/>
        </m:item>
        <m:item xlName="_GBC_3c6285a2579a42598406059bc5bb25ef" pickName="" concept="" periodRef="上年同期数" mulRef="_GBC_57faea4e453e49ad93821b7dd6ce8bc4" unitRef="_GBC_cef77704267643d794145c73763360e5" formatStyle="Comma">
          <m:extendConcept standardLabel="4.同一控制下企业合并专项储备" preferredLabel="4.同一控制下企业合并" referenceConcept="clcid-pte:QiTaSuoYouZheTouRuHeJianShaoZiBenDaoZhiZhuanXiangChuBeiBianDongJinE"/>
        </m:item>
        <m:item xlName="_GBC_a1cdf9d3bb834c878cadaa83e08b00ac" pickName="" concept="" periodRef="上年同期数" mulRef="_GBC_57faea4e453e49ad93821b7dd6ce8bc4" unitRef="_GBC_cef77704267643d794145c73763360e5" formatStyle="Comma">
          <m:extendConcept standardLabel="4.同一控制下企业合并盈余公积" preferredLabel="4.同一控制下企业合并" referenceConcept="clcid-pte:QiTaSuoYouZheTouRuHeJianShaoZiBenDaoZhiYingYuGongJiBianDongJinE"/>
        </m:item>
        <m:item xlName="_GBC_1d83998f8afd4652940d1d17723ea51e" pickName="" concept="" periodRef="上年同期数" mulRef="_GBC_57faea4e453e49ad93821b7dd6ce8bc4" unitRef="_GBC_cef77704267643d794145c73763360e5" formatStyle="Comma">
          <m:extendConcept standardLabel="4.同一控制下企业合并一般风险准备" preferredLabel="4.同一控制下企业合并" referenceConcept="clcid-pte:QiTaSuoYouZheTouRuHeJianShaoZiBenDaoZhiYiBanFengXianZhunBeiBianDongJinE"/>
        </m:item>
        <m:item xlName="_GBC_67d68576a3874944a8483b13691f3d71" pickName="" concept="" periodRef="上年同期数" mulRef="_GBC_57faea4e453e49ad93821b7dd6ce8bc4" unitRef="_GBC_cef77704267643d794145c73763360e5" formatStyle="Comma">
          <m:extendConcept standardLabel="4.同一控制下企业合并未分配利润" preferredLabel="4.同一控制下企业合并" referenceConcept="clcid-pte:QiTaSuoYouZheTouRuHeJianShaoZiBenDaoZhiWeiFenPeiLiRunBianDongJinE"/>
        </m:item>
        <m:item xlName="_GBC_eaf143bc741045189a7b191c7ade24cb" pickName="" concept="" periodRef="上年同期数" mulRef="_GBC_57faea4e453e49ad93821b7dd6ce8bc4" unitRef="_GBC_cef77704267643d794145c73763360e5" formatStyle="Comma">
          <m:extendConcept standardLabel="4.同一控制下企业合并其他" preferredLabel="4.同一控制下企业合并" referenceConcept="clcid-pte:QiTaSuoYouZheTouRuHeJianShaoZiBenDaoZhiQiTaDeGuiShuYuMuGongSiSuoYouZheQuanYiBianDongJinE"/>
        </m:item>
        <m:item xlName="_GBC_927ec266ace04a8bb8feea61e33e5666" pickName="" concept="" periodRef="上年同期数" mulRef="_GBC_57faea4e453e49ad93821b7dd6ce8bc4" unitRef="_GBC_cef77704267643d794145c73763360e5" formatStyle="Comma">
          <m:extendConcept standardLabel="4.同一控制下企业合并小计" preferredLabel="4.同一控制下企业合并" referenceConcept="clcid-pte:QiTaSuoYouZheTouRuHeJianShaoZiBenDaoZhiGuiShuYuMuGongSiSuoYouZheQuanYiBianDongJinE"/>
        </m:item>
        <m:item xlName="_GBC_7331fc8aec2c470d9144f3dd93fd8f7c" pickName="" concept="" periodRef="上年同期数" mulRef="_GBC_57faea4e453e49ad93821b7dd6ce8bc4" unitRef="_GBC_cef77704267643d794145c73763360e5" formatStyle="Comma">
          <m:extendConcept standardLabel="4.同一控制下企业合并少数股东权益" preferredLabel="4.同一控制下企业合并" referenceConcept="clcid-pte:QiTaSuoYouZheTouRuHeJianShaoZiBenDaoZhiShaoShuGuDongQuanYiBianDongJinE"/>
        </m:item>
        <m:item xlName="_GBC_e0e8421e26414cd1b941b8f72b7a6482" pickName="" concept="" periodRef="上年同期数" mulRef="_GBC_57faea4e453e49ad93821b7dd6ce8bc4" unitRef="_GBC_cef77704267643d794145c73763360e5" formatStyle="Comma">
          <m:extendConcept standardLabel="4.同一控制下企业合并所有者权益合计" preferredLabel="4.同一控制下企业合并" referenceConcept="clcid-pte:QiTaSuoYouZheTouRuHeJianShaoZiBenDaoZhiGuDongQuanYiHeJiBianDongJinE"/>
        </m:item>
        <m:placeholder xlName="_PLD_a86200a45cf043ac85a2bb2f3d10f123" wordText="4．其他"/>
        <m:item xlName="_GBC_b9fade9fa9cb4154abad2affa7c3e675" pickName="" concept="" periodRef="上年同期数" mulRef="_GBC_57faea4e453e49ad93821b7dd6ce8bc4" unitRef="_GBC_cef77704267643d794145c73763360e5" formatStyle="Comma">
          <m:extendConcept standardLabel="5.收购少数股东股权实收资本(或股本)" preferredLabel="5.收购少数股东股权" referenceConcept="clcid-pte:QiTaSuoYouZheTouRuHeJianShaoZiBenDaoZhiShiShouZiBenHuoGuBenJingEBianDongJinE"/>
        </m:item>
        <m:item xlName="_GBC_7c1eacc9c4854df8831a87a074e7eb55" pickName="" concept="" periodRef="上年同期数" mulRef="_GBC_57faea4e453e49ad93821b7dd6ce8bc4" unitRef="_GBC_cef77704267643d794145c73763360e5" formatStyle="Comma">
          <m:extendConcept standardLabel="5.收购少数股东股权优先股" preferredLabel="5.收购少数股东股权" referenceConcept="clcid-pte:QiTaSuoYouZheTouRuHeJianShaoZiBenDaoZhiQiTaQuanYiGongJuZhongDeYouXianGuBianDongJinE"/>
        </m:item>
        <m:item xlName="_GBC_21c4c57565d04508a045d95bee50eb99" pickName="" concept="" periodRef="上年同期数" mulRef="_GBC_57faea4e453e49ad93821b7dd6ce8bc4" unitRef="_GBC_cef77704267643d794145c73763360e5" formatStyle="Comma">
          <m:extendConcept standardLabel="5.收购少数股东股权永续债" preferredLabel="5.收购少数股东股权" referenceConcept="clcid-pte:QiTaSuoYouZheTouRuHeJianShaoZiBenDaoZhiQiTaQuanYiGongJuZhongDeYongXuZhaiBianDongJinE"/>
        </m:item>
        <m:item xlName="_GBC_aa8c325c17494348a0a44a4f7f489587" pickName="" concept="" periodRef="上年同期数" mulRef="_GBC_57faea4e453e49ad93821b7dd6ce8bc4" unitRef="_GBC_cef77704267643d794145c73763360e5" formatStyle="Comma">
          <m:extendConcept standardLabel="5.收购少数股东股权其他" preferredLabel="5.收购少数股东股权" referenceConcept="clcid-pte:QiTaSuoYouZheTouRuHeJianShaoZiBenDaoZhiQiTaQuanYiGongJuZhongDeQiTaBianDongJinE"/>
        </m:item>
        <m:item xlName="_GBC_0687bc7c87d242b5872a3db02fcd21d0" pickName="" concept="" periodRef="上年同期数" mulRef="_GBC_57faea4e453e49ad93821b7dd6ce8bc4" unitRef="_GBC_cef77704267643d794145c73763360e5" formatStyle="Comma">
          <m:extendConcept standardLabel="5.收购少数股东股权资本公积" preferredLabel="5.收购少数股东股权" referenceConcept="clcid-pte:QiTaSuoYouZheTouRuHeJianShaoZiBenDaoZhiZiBenGongJiBianDongJinE"/>
        </m:item>
        <m:item xlName="_GBC_9981495eb14a4a91bfac3c118823ac75" pickName="" concept="" periodRef="上年同期数" mulRef="_GBC_57faea4e453e49ad93821b7dd6ce8bc4" unitRef="_GBC_cef77704267643d794145c73763360e5" baseScale="-1" formatStyle="Comma">
          <m:extendConcept standardLabel="5.收购少数股东股权减:库存股" preferredLabel="5.收购少数股东股权" referenceConcept="clcid-pte:QiTaSuoYouZheTouRuHeJianShaoZiBenDaoZhiKuCunGuBianDongJinE"/>
        </m:item>
        <m:item xlName="_GBC_a948201218374beba8c85ee2d1621d43" pickName="" concept="" periodRef="上年同期数" mulRef="_GBC_57faea4e453e49ad93821b7dd6ce8bc4" unitRef="_GBC_cef77704267643d794145c73763360e5" formatStyle="Comma">
          <m:extendConcept standardLabel="5.收购少数股东股权其他综合收益" preferredLabel="5.收购少数股东股权" referenceConcept="clcid-pte:QiTaSuoYouZheTouRuHeJianShaoZiBenDaoZhiQiTaZongHeShouYiBianDongJinE"/>
        </m:item>
        <m:item xlName="_GBC_5212542bb7ef46aa9f1729e008f77525" pickName="" concept="" periodRef="上年同期数" mulRef="_GBC_57faea4e453e49ad93821b7dd6ce8bc4" unitRef="_GBC_cef77704267643d794145c73763360e5" formatStyle="Comma">
          <m:extendConcept standardLabel="5.收购少数股东股权专项储备" preferredLabel="5.收购少数股东股权" referenceConcept="clcid-pte:QiTaSuoYouZheTouRuHeJianShaoZiBenDaoZhiZhuanXiangChuBeiBianDongJinE"/>
        </m:item>
        <m:item xlName="_GBC_71acb5f4a99b48e9b9bd94ce0cc69f64" pickName="" concept="" periodRef="上年同期数" mulRef="_GBC_57faea4e453e49ad93821b7dd6ce8bc4" unitRef="_GBC_cef77704267643d794145c73763360e5" formatStyle="Comma">
          <m:extendConcept standardLabel="5.收购少数股东股权盈余公积" preferredLabel="5.收购少数股东股权" referenceConcept="clcid-pte:QiTaSuoYouZheTouRuHeJianShaoZiBenDaoZhiYingYuGongJiBianDongJinE"/>
        </m:item>
        <m:item xlName="_GBC_5b67566725ad45a9b01cd66d6c4ea6fb" pickName="" concept="" periodRef="上年同期数" mulRef="_GBC_57faea4e453e49ad93821b7dd6ce8bc4" unitRef="_GBC_cef77704267643d794145c73763360e5" formatStyle="Comma">
          <m:extendConcept standardLabel="5.收购少数股东股权一般风险准备" preferredLabel="5.收购少数股东股权" referenceConcept="clcid-pte:QiTaSuoYouZheTouRuHeJianShaoZiBenDaoZhiYiBanFengXianZhunBeiBianDongJinE"/>
        </m:item>
        <m:item xlName="_GBC_c53c3eb790334dba8744a58f20d30829" pickName="" concept="" periodRef="上年同期数" mulRef="_GBC_57faea4e453e49ad93821b7dd6ce8bc4" unitRef="_GBC_cef77704267643d794145c73763360e5" formatStyle="Comma">
          <m:extendConcept standardLabel="5.收购少数股东股权未分配利润" preferredLabel="5.收购少数股东股权" referenceConcept="clcid-pte:QiTaSuoYouZheTouRuHeJianShaoZiBenDaoZhiWeiFenPeiLiRunBianDongJinE"/>
        </m:item>
        <m:item xlName="_GBC_914e4067703648d5a312c68ef042eccb" pickName="" concept="" periodRef="上年同期数" mulRef="_GBC_57faea4e453e49ad93821b7dd6ce8bc4" unitRef="_GBC_cef77704267643d794145c73763360e5" formatStyle="Comma">
          <m:extendConcept standardLabel="5.收购少数股东股权其他" preferredLabel="5.收购少数股东股权" referenceConcept="clcid-pte:QiTaSuoYouZheTouRuHeJianShaoZiBenDaoZhiQiTaDeGuiShuYuMuGongSiSuoYouZheQuanYiBianDongJinE"/>
        </m:item>
        <m:item xlName="_GBC_300b7a301aca4143aa16b0534a6531b4" pickName="" concept="" periodRef="上年同期数" mulRef="_GBC_57faea4e453e49ad93821b7dd6ce8bc4" unitRef="_GBC_cef77704267643d794145c73763360e5" formatStyle="Comma">
          <m:extendConcept standardLabel="5.收购少数股东股权小计" preferredLabel="5.收购少数股东股权" referenceConcept="clcid-pte:QiTaSuoYouZheTouRuHeJianShaoZiBenDaoZhiGuiShuYuMuGongSiSuoYouZheQuanYiBianDongJinE"/>
        </m:item>
        <m:item xlName="_GBC_68da700249884edab5498507b536b41c" pickName="" concept="" periodRef="上年同期数" mulRef="_GBC_57faea4e453e49ad93821b7dd6ce8bc4" unitRef="_GBC_cef77704267643d794145c73763360e5" formatStyle="Comma">
          <m:extendConcept standardLabel="5.收购少数股东股权少数股东权益" preferredLabel="5.收购少数股东股权" referenceConcept="clcid-pte:QiTaSuoYouZheTouRuHeJianShaoZiBenDaoZhiShaoShuGuDongQuanYiBianDongJinE"/>
        </m:item>
        <m:item xlName="_GBC_d839e1764ab14eef854d144e3285b7cc" pickName="" concept="" periodRef="上年同期数" mulRef="_GBC_57faea4e453e49ad93821b7dd6ce8bc4" unitRef="_GBC_cef77704267643d794145c73763360e5" formatStyle="Comma">
          <m:extendConcept standardLabel="5.收购少数股东股权所有者权益合计" preferredLabel="5.收购少数股东股权" referenceConcept="clcid-pte:QiTaSuoYouZheTouRuHeJianShaoZiBenDaoZhiGuDongQuanYiHeJiBianDongJinE"/>
        </m:item>
        <m:placeholder xlName="_PLD_b29a323e692a4ae8b1705bab91418f36" wordText="4．其他"/>
        <m:item xlName="_GBC_09aa9c7e61ee4d69a0b5442b67e329f8" pickName="" concept="" periodRef="上年同期数" mulRef="_GBC_57faea4e453e49ad93821b7dd6ce8bc4" unitRef="_GBC_cef77704267643d794145c73763360e5" formatStyle="Comma">
          <m:extendConcept standardLabel="6.未丧失控股权持股比例下降实收资本(或股本)" preferredLabel="6.未丧失控股权持股比例下降" referenceConcept="clcid-pte:QiTaSuoYouZheTouRuHeJianShaoZiBenDaoZhiShiShouZiBenHuoGuBenJingEBianDongJinE"/>
        </m:item>
        <m:item xlName="_GBC_9cd9b921468f4cc6b0f22c5e961c9b10" pickName="" concept="" periodRef="上年同期数" mulRef="_GBC_57faea4e453e49ad93821b7dd6ce8bc4" unitRef="_GBC_cef77704267643d794145c73763360e5" formatStyle="Comma">
          <m:extendConcept standardLabel="6.未丧失控股权持股比例下降优先股" preferredLabel="6.未丧失控股权持股比例下降" referenceConcept="clcid-pte:QiTaSuoYouZheTouRuHeJianShaoZiBenDaoZhiQiTaQuanYiGongJuZhongDeYouXianGuBianDongJinE"/>
        </m:item>
        <m:item xlName="_GBC_e989acb6077a4348bcb762e1f13c6991" pickName="" concept="" periodRef="上年同期数" mulRef="_GBC_57faea4e453e49ad93821b7dd6ce8bc4" unitRef="_GBC_cef77704267643d794145c73763360e5" formatStyle="Comma">
          <m:extendConcept standardLabel="6.未丧失控股权持股比例下降永续债" preferredLabel="6.未丧失控股权持股比例下降" referenceConcept="clcid-pte:QiTaSuoYouZheTouRuHeJianShaoZiBenDaoZhiQiTaQuanYiGongJuZhongDeYongXuZhaiBianDongJinE"/>
        </m:item>
        <m:item xlName="_GBC_036629e47d3d496ea98a1ca9d86e1f78" pickName="" concept="" periodRef="上年同期数" mulRef="_GBC_57faea4e453e49ad93821b7dd6ce8bc4" unitRef="_GBC_cef77704267643d794145c73763360e5" formatStyle="Comma">
          <m:extendConcept standardLabel="6.未丧失控股权持股比例下降其他" preferredLabel="6.未丧失控股权持股比例下降" referenceConcept="clcid-pte:QiTaSuoYouZheTouRuHeJianShaoZiBenDaoZhiQiTaQuanYiGongJuZhongDeQiTaBianDongJinE"/>
        </m:item>
        <m:item xlName="_GBC_996b560b1c004c5a90e73822bcbcf805" pickName="" concept="" periodRef="上年同期数" mulRef="_GBC_57faea4e453e49ad93821b7dd6ce8bc4" unitRef="_GBC_cef77704267643d794145c73763360e5" formatStyle="Comma">
          <m:extendConcept standardLabel="6.未丧失控股权持股比例下降资本公积" preferredLabel="6.未丧失控股权持股比例下降" referenceConcept="clcid-pte:QiTaSuoYouZheTouRuHeJianShaoZiBenDaoZhiZiBenGongJiBianDongJinE"/>
        </m:item>
        <m:item xlName="_GBC_6e1f7fef166b4ec1a944e68866cacaed" pickName="" concept="" periodRef="上年同期数" mulRef="_GBC_57faea4e453e49ad93821b7dd6ce8bc4" unitRef="_GBC_cef77704267643d794145c73763360e5" baseScale="-1" formatStyle="Comma">
          <m:extendConcept standardLabel="6.未丧失控股权持股比例下降减:库存股" preferredLabel="6.未丧失控股权持股比例下降" referenceConcept="clcid-pte:QiTaSuoYouZheTouRuHeJianShaoZiBenDaoZhiKuCunGuBianDongJinE"/>
        </m:item>
        <m:item xlName="_GBC_6180d907c1e444c18347cfd23b011168" pickName="" concept="" periodRef="上年同期数" mulRef="_GBC_57faea4e453e49ad93821b7dd6ce8bc4" unitRef="_GBC_cef77704267643d794145c73763360e5" formatStyle="Comma">
          <m:extendConcept standardLabel="6.未丧失控股权持股比例下降其他综合收益" preferredLabel="6.未丧失控股权持股比例下降" referenceConcept="clcid-pte:QiTaSuoYouZheTouRuHeJianShaoZiBenDaoZhiQiTaZongHeShouYiBianDongJinE"/>
        </m:item>
        <m:item xlName="_GBC_fc54e4f8abd54373a5052a4755f5de0f" pickName="" concept="" periodRef="上年同期数" mulRef="_GBC_57faea4e453e49ad93821b7dd6ce8bc4" unitRef="_GBC_cef77704267643d794145c73763360e5" formatStyle="Comma">
          <m:extendConcept standardLabel="6.未丧失控股权持股比例下降专项储备" preferredLabel="6.未丧失控股权持股比例下降" referenceConcept="clcid-pte:QiTaSuoYouZheTouRuHeJianShaoZiBenDaoZhiZhuanXiangChuBeiBianDongJinE"/>
        </m:item>
        <m:item xlName="_GBC_b8f1747afadb42a8beb1cb83a0a629b6" pickName="" concept="" periodRef="上年同期数" mulRef="_GBC_57faea4e453e49ad93821b7dd6ce8bc4" unitRef="_GBC_cef77704267643d794145c73763360e5" formatStyle="Comma">
          <m:extendConcept standardLabel="6.未丧失控股权持股比例下降盈余公积" preferredLabel="6.未丧失控股权持股比例下降" referenceConcept="clcid-pte:QiTaSuoYouZheTouRuHeJianShaoZiBenDaoZhiYingYuGongJiBianDongJinE"/>
        </m:item>
        <m:item xlName="_GBC_830d7bb8683a4dfca1dff20b077ed076" pickName="" concept="" periodRef="上年同期数" mulRef="_GBC_57faea4e453e49ad93821b7dd6ce8bc4" unitRef="_GBC_cef77704267643d794145c73763360e5" formatStyle="Comma">
          <m:extendConcept standardLabel="6.未丧失控股权持股比例下降一般风险准备" preferredLabel="6.未丧失控股权持股比例下降" referenceConcept="clcid-pte:QiTaSuoYouZheTouRuHeJianShaoZiBenDaoZhiYiBanFengXianZhunBeiBianDongJinE"/>
        </m:item>
        <m:item xlName="_GBC_8589af31631044cba3deec0c2e7b70e5" pickName="" concept="" periodRef="上年同期数" mulRef="_GBC_57faea4e453e49ad93821b7dd6ce8bc4" unitRef="_GBC_cef77704267643d794145c73763360e5" formatStyle="Comma">
          <m:extendConcept standardLabel="6.未丧失控股权持股比例下降未分配利润" preferredLabel="6.未丧失控股权持股比例下降" referenceConcept="clcid-pte:QiTaSuoYouZheTouRuHeJianShaoZiBenDaoZhiWeiFenPeiLiRunBianDongJinE"/>
        </m:item>
        <m:item xlName="_GBC_48e5e71422f041acaca12fdfc9f8ed9b" pickName="" concept="" periodRef="上年同期数" mulRef="_GBC_57faea4e453e49ad93821b7dd6ce8bc4" unitRef="_GBC_cef77704267643d794145c73763360e5" formatStyle="Comma">
          <m:extendConcept standardLabel="6.未丧失控股权持股比例下降其他" preferredLabel="6.未丧失控股权持股比例下降" referenceConcept="clcid-pte:QiTaSuoYouZheTouRuHeJianShaoZiBenDaoZhiQiTaDeGuiShuYuMuGongSiSuoYouZheQuanYiBianDongJinE"/>
        </m:item>
        <m:item xlName="_GBC_bbed398eb505440e82078414b0c9070b" pickName="" concept="" periodRef="上年同期数" mulRef="_GBC_57faea4e453e49ad93821b7dd6ce8bc4" unitRef="_GBC_cef77704267643d794145c73763360e5" formatStyle="Comma">
          <m:extendConcept standardLabel="6.未丧失控股权持股比例下降小计" preferredLabel="6.未丧失控股权持股比例下降" referenceConcept="clcid-pte:QiTaSuoYouZheTouRuHeJianShaoZiBenDaoZhiGuiShuYuMuGongSiSuoYouZheQuanYiBianDongJinE"/>
        </m:item>
        <m:item xlName="_GBC_81ff4ba8149545e7afd04be47156268e" pickName="" concept="" periodRef="上年同期数" mulRef="_GBC_57faea4e453e49ad93821b7dd6ce8bc4" unitRef="_GBC_cef77704267643d794145c73763360e5" formatStyle="Comma">
          <m:extendConcept standardLabel="6.未丧失控股权持股比例下降少数股东权益" preferredLabel="6.未丧失控股权持股比例下降" referenceConcept="clcid-pte:QiTaSuoYouZheTouRuHeJianShaoZiBenDaoZhiShaoShuGuDongQuanYiBianDongJinE"/>
        </m:item>
        <m:item xlName="_GBC_2e470ac394224ef3998723332b6e012d" pickName="" concept="" periodRef="上年同期数" mulRef="_GBC_57faea4e453e49ad93821b7dd6ce8bc4" unitRef="_GBC_cef77704267643d794145c73763360e5" formatStyle="Comma">
          <m:extendConcept standardLabel="6.未丧失控股权持股比例下降所有者权益合计" preferredLabel="6.未丧失控股权持股比例下降" referenceConcept="clcid-pte:QiTaSuoYouZheTouRuHeJianShaoZiBenDaoZhiGuDongQuanYiHeJiBianDongJinE"/>
        </m:item>
        <m:placeholder xlName="_PLD_b260d198eaa0404ca122e416f4407ed3" wordText="4．其他"/>
        <m:item xlName="_GBC_6ce751259052459e84466b25a06ca872" pickName="" concept="" periodRef="上年同期数" mulRef="_GBC_57faea4e453e49ad93821b7dd6ce8bc4" unitRef="_GBC_cef77704267643d794145c73763360e5" formatStyle="Comma">
          <m:extendConcept standardLabel="4.对其他权益工具持有者的分配实收资本(或股本)" preferredLabel="4.对其他权益工具持有者的分配" referenceConcept="clcid-pte:QiTaLiRunFenPeiDaoZhiShiShouZiBenHuoGuBenJingEBianDongJinE"/>
        </m:item>
        <m:item xlName="_GBC_398d2d5fcce843228d7d2944045e3f42" pickName="" concept="" periodRef="上年同期数" mulRef="_GBC_57faea4e453e49ad93821b7dd6ce8bc4" unitRef="_GBC_cef77704267643d794145c73763360e5" formatStyle="Comma">
          <m:extendConcept standardLabel="4.对其他权益工具持有者的分配优先股" preferredLabel="4.对其他权益工具持有者的分配" referenceConcept="clcid-pte:QiTaLiRunFenPeiDaoZhiQiTaQuanYiGongJuZhongDeYouXianGuBianDongJinE"/>
        </m:item>
        <m:item xlName="_GBC_56c36966d7234a148fef86ae8b1282ca" pickName="" concept="" periodRef="上年同期数" mulRef="_GBC_57faea4e453e49ad93821b7dd6ce8bc4" unitRef="_GBC_cef77704267643d794145c73763360e5" formatStyle="Comma">
          <m:extendConcept standardLabel="4.对其他权益工具持有者的分配永续债" preferredLabel="4.对其他权益工具持有者的分配" referenceConcept="clcid-pte:QiTaLiRunFenPeiDaoZhiQiTaQuanYiGongJuZhongDeYongXuZhaiBianDongJinE"/>
        </m:item>
        <m:item xlName="_GBC_b1a3109364114fad9a3ff69d4124dfa9" pickName="" concept="" periodRef="上年同期数" mulRef="_GBC_57faea4e453e49ad93821b7dd6ce8bc4" unitRef="_GBC_cef77704267643d794145c73763360e5" formatStyle="Comma">
          <m:extendConcept standardLabel="4.对其他权益工具持有者的分配其他" preferredLabel="4.对其他权益工具持有者的分配" referenceConcept="clcid-pte:QiTaLiRunFenPeiDaoZhiQiTaQuanYiGongJuZhongDeQiTaBianDongJinE"/>
        </m:item>
        <m:item xlName="_GBC_f56cbb84475640f9897d0110abb76a6e" pickName="" concept="" periodRef="上年同期数" mulRef="_GBC_57faea4e453e49ad93821b7dd6ce8bc4" unitRef="_GBC_cef77704267643d794145c73763360e5" formatStyle="Comma">
          <m:extendConcept standardLabel="4.对其他权益工具持有者的分配资本公积" preferredLabel="4.对其他权益工具持有者的分配" referenceConcept="clcid-pte:QiTaLiRunFenPeiDaoZhiZiBenGongJiBianDongJinE"/>
        </m:item>
        <m:item xlName="_GBC_7ee4ddf493c54dca87832a189d8f3d87" pickName="" concept="" periodRef="上年同期数" mulRef="_GBC_57faea4e453e49ad93821b7dd6ce8bc4" unitRef="_GBC_cef77704267643d794145c73763360e5" baseScale="-1" formatStyle="Comma">
          <m:extendConcept standardLabel="4.对其他权益工具持有者的分配减:库存股" preferredLabel="4.对其他权益工具持有者的分配" referenceConcept="clcid-pte:QiTaLiRunFenPeiDaoZhiKuCunGuBianDongJinE"/>
        </m:item>
        <m:item xlName="_GBC_2d410d0a1da24c948bdcf84c9df9efd6" pickName="" concept="" periodRef="上年同期数" mulRef="_GBC_57faea4e453e49ad93821b7dd6ce8bc4" unitRef="_GBC_cef77704267643d794145c73763360e5" formatStyle="Comma">
          <m:extendConcept standardLabel="4.对其他权益工具持有者的分配其他综合收益" preferredLabel="4.对其他权益工具持有者的分配" referenceConcept="clcid-pte:QiTaLiRunFenPeiDaoZhiQiTaZongHeShouYiBianDongJinE"/>
        </m:item>
        <m:item xlName="_GBC_8d0c05d745cf428d9b774d6bd6b87abd" pickName="" concept="" periodRef="上年同期数" mulRef="_GBC_57faea4e453e49ad93821b7dd6ce8bc4" unitRef="_GBC_cef77704267643d794145c73763360e5" formatStyle="Comma">
          <m:extendConcept standardLabel="4.对其他权益工具持有者的分配专项储备" preferredLabel="4.对其他权益工具持有者的分配" referenceConcept="clcid-pte:QiTaLiRunFenPeiDaoZhiZhuanXiangChuBeiBianDongJinE"/>
        </m:item>
        <m:item xlName="_GBC_63325c1280284abfab5bfbfe30e4d04d" pickName="" concept="" periodRef="上年同期数" mulRef="_GBC_57faea4e453e49ad93821b7dd6ce8bc4" unitRef="_GBC_cef77704267643d794145c73763360e5" formatStyle="Comma">
          <m:extendConcept standardLabel="4.对其他权益工具持有者的分配盈余公积" preferredLabel="4.对其他权益工具持有者的分配" referenceConcept="clcid-pte:QiTaLiRunFenPeiDaoZhiYingYuGongJiBianDongJinE"/>
        </m:item>
        <m:item xlName="_GBC_0b59135e13154927b2cca55817e8747d" pickName="" concept="" periodRef="上年同期数" mulRef="_GBC_57faea4e453e49ad93821b7dd6ce8bc4" unitRef="_GBC_cef77704267643d794145c73763360e5" formatStyle="Comma">
          <m:extendConcept standardLabel="4.对其他权益工具持有者的分配一般风险准备" preferredLabel="4.对其他权益工具持有者的分配" referenceConcept="clcid-pte:QiTaLiRunFenPeiDaoZhiYiBanFengXianZhunBeiBianDongJinE"/>
        </m:item>
        <m:item xlName="_GBC_74b26e32629b49dc851c276e95582d8a" pickName="" concept="" periodRef="上年同期数" mulRef="_GBC_57faea4e453e49ad93821b7dd6ce8bc4" unitRef="_GBC_cef77704267643d794145c73763360e5" formatStyle="Comma">
          <m:extendConcept standardLabel="4.对其他权益工具持有者的分配未分配利润" preferredLabel="4.对其他权益工具持有者的分配" referenceConcept="clcid-pte:QiTaLiRunFenPeiDaoZhiWeiFenPeiLiRunBianDongJinE"/>
        </m:item>
        <m:item xlName="_GBC_9429bcb3f25e4a5781155df154853661" pickName="" concept="" periodRef="上年同期数" mulRef="_GBC_57faea4e453e49ad93821b7dd6ce8bc4" unitRef="_GBC_cef77704267643d794145c73763360e5" formatStyle="Comma">
          <m:extendConcept standardLabel="4.对其他权益工具持有者的分配其他" preferredLabel="4.对其他权益工具持有者的分配" referenceConcept="clcid-pte:QiTaLiRunFenPeiDaoZhiQiTaDeGuiShuYuMuGongSiSuoYouZheQuanYiBianDongJinE"/>
        </m:item>
        <m:item xlName="_GBC_685c3461593248f7ac1a8d8e57ca719e" pickName="" concept="" periodRef="上年同期数" mulRef="_GBC_57faea4e453e49ad93821b7dd6ce8bc4" unitRef="_GBC_cef77704267643d794145c73763360e5" formatStyle="Comma">
          <m:extendConcept standardLabel="4.对其他权益工具持有者的分配小计" preferredLabel="4.对其他权益工具持有者的分配" referenceConcept="clcid-pte:QiTaLiRunFenPeiDaoZhiGuiShuYuMuGongSiSuoYouZheQuanYiBianDongJinE"/>
        </m:item>
        <m:item xlName="_GBC_db6fbd8713404203b5771aa0ebe93f1b" pickName="" concept="" periodRef="上年同期数" mulRef="_GBC_57faea4e453e49ad93821b7dd6ce8bc4" unitRef="_GBC_cef77704267643d794145c73763360e5" formatStyle="Comma">
          <m:extendConcept standardLabel="4.对其他权益工具持有者的分配少数股东权益" preferredLabel="4.对其他权益工具持有者的分配" referenceConcept="clcid-pte:QiTaLiRunFenPeiDaoZhiShaoShuGuDongQuanYiBianDongJinE"/>
        </m:item>
        <m:item xlName="_GBC_e3f524c43eee42788d679db383a211a0" pickName="" concept="" periodRef="上年同期数" mulRef="_GBC_57faea4e453e49ad93821b7dd6ce8bc4" unitRef="_GBC_cef77704267643d794145c73763360e5" formatStyle="Comma">
          <m:extendConcept standardLabel="4.对其他权益工具持有者的分配所有者权益合计" preferredLabel="4.对其他权益工具持有者的分配" referenceConcept="clcid-pte:QiTaLiRunFenPeiDaoZhiGuDongQuanYiHeJiBianDongJinE"/>
        </m:item>
      </m:region>
      <m:region xlName="_GBC_24560eea01804b8b9d3678736eb60ca8" title="母公司所有者权益变动表&#10;" mandatory="false" helpId="112001001" matrix="true" matrixTablePrefix="母公司所有者权益变动表">
        <m:item xlName="_GBC_048773409e614c6bb753000b028316a5" indRef="101" concept="clcid-ci-ar:DanWeiMuGongSiGuDongQuanYiDiaoJieBiao" label="单位：母公司股东权益调节表" selectOptions="_buildInScales" controlType="Combobox" cellType="Scale"/>
        <m:item xlName="_GBC_5214b7a188334da286fc3038d017d072" indRef="102" concept="clcid-ci-ar:BiZhongMuGongSiGuDongQuanYiDiaoJieBiao" label="币种：母公司股东权益调节表" selectOptions="_buildInISO4217" controlType="Combobox" cellType="Measure"/>
        <m:placeholder xlName="_PLD_e16babcb874e4410be91226aac3d24db" wordText="项目" addr="T2R0C0S3_1"/>
        <m:placeholder xlName="_PLD_f6e21c3ce66d4e148eea3bf743a653b8" wordText="2023年半年度" addr="T2R0C1S1_11"/>
        <m:placeholder xlName="_PLD_0b6e9703ed65458cb162afd47e6cc9f5" wordText="实收资本 (或股本)" addr="T2R1C1S2_1"/>
        <m:placeholder xlName="_PLD_385a3413585444238bb59d181b958311" wordText="其他权益工具" addr="T2R1C2S1_3"/>
        <m:placeholder xlName="_PLD_670488de432c4150880353e82f6ebb21" wordText="资本公积" addr="T2R1C5S2_1"/>
        <m:placeholder xlName="_PLD_c1c25c4e521b4e8aba5ccfef16a558c5" wordText="减：库存股" addr="T2R1C6S2_1"/>
        <m:placeholder xlName="_PLD_4ef83c170ca54a08ac6fcebc6a487dcd" wordText="其他综合收益" addr="T2R1C7S2_1"/>
        <m:placeholder xlName="_PLD_5a42f2a835d44138928915520fc5e902" wordText="专项储备" addr="T2R1C8S2_1"/>
        <m:placeholder xlName="_PLD_dbef0e1514f54b8ab8b43e975d3451b6" wordText="盈余公积" addr="T2R1C9S2_1"/>
        <m:placeholder xlName="_PLD_63b6c2969ec64e7abb1802f027c1069a" wordText="未分配利润" addr="T2R1C10S2_1"/>
        <m:placeholder xlName="_PLD_cdd38492b3a84e28b52c6700432babfd" wordText="所有者权益合计" addr="T2R1C11S2_1"/>
        <m:placeholder xlName="_PLD_90c1cf3c29414463ba491093caed23a7" wordText="优先股" addr="T2R2C2S1_1"/>
        <m:placeholder xlName="_PLD_7dac20c025664b94b7a2176be4c24d00" wordText="永续债" addr="T2R2C3S1_1"/>
        <m:placeholder xlName="_PLD_23829f284d5149ee92e64b94083b1ade" wordText="其他" addr="T2R2C4S1_1"/>
        <m:placeholder xlName="_PLD_b5131b53bda244fcbd76916797d6b666" wordText="一、上年期末余额" addr="T2R3C0S1_1"/>
        <m:item xlName="_GBC_cc625cf898204a919461d4578243eef7" concept="clcid-pte:GuBen" label="股本" periodRef="上年度期末数" mulRef="_GBC_048773409e614c6bb753000b028316a5" unitRef="_GBC_5214b7a188334da286fc3038d017d072" addr="T2R3C1S1_1" formatStyle="Comma">
          <m:axisValue occRef="调整前的值"/>
          <m:axisValue occRef="母公司"/>
        </m:item>
        <m:item xlName="_GBC_fdb89b10340b4c258db06f241229201f" concept="clcid-pte:QiTaQuanYiGongJuQiZhongYouXianGu" label="其他权益工具-其中：优先股" periodRef="上年度期末数" mulRef="_GBC_048773409e614c6bb753000b028316a5" unitRef="_GBC_5214b7a188334da286fc3038d017d072" addr="T2R3C2S1_1" formatStyle="Comma">
          <m:axisValue occRef="调整前的值"/>
          <m:axisValue occRef="母公司"/>
        </m:item>
        <m:item xlName="_GBC_07d105c6f1c1416ca3fd6df57b2b2f12" concept="clcid-pte:QiTaQuanYiGongJuYongXuZhai" label="其他权益工具-永续债" periodRef="上年度期末数" mulRef="_GBC_048773409e614c6bb753000b028316a5" unitRef="_GBC_5214b7a188334da286fc3038d017d072" addr="T2R3C3S1_1" formatStyle="Comma">
          <m:axisValue occRef="调整前的值"/>
          <m:axisValue occRef="母公司"/>
        </m:item>
        <m:item xlName="_GBC_386146902ff8485ba3c6c9d718c71576" concept="clcid-pte:QiTaQuanYiGongJuQiTa" label="其他权益工具-其他" periodRef="上年度期末数" mulRef="_GBC_048773409e614c6bb753000b028316a5" unitRef="_GBC_5214b7a188334da286fc3038d017d072" addr="T2R3C4S1_1" formatStyle="Comma">
          <m:axisValue occRef="调整前的值"/>
          <m:axisValue occRef="母公司"/>
        </m:item>
        <m:item xlName="_GBC_de8fb7bf082c45e0880256c003bc224a" concept="clcid-pte:ZiBenGongJi" label="资本公积" periodRef="上年度期末数" mulRef="_GBC_048773409e614c6bb753000b028316a5" unitRef="_GBC_5214b7a188334da286fc3038d017d072" addr="T2R3C5S1_1" formatStyle="Comma">
          <m:axisValue occRef="调整前的值"/>
          <m:axisValue occRef="母公司"/>
        </m:item>
        <m:item xlName="_GBC_c3c4805dff0044f59a880539deb85270" concept="clcid-pte:KuCunGu" label="库存股" periodRef="上年度期末数" mulRef="_GBC_048773409e614c6bb753000b028316a5" unitRef="_GBC_5214b7a188334da286fc3038d017d072" addr="T2R3C6S1_1" baseScale="-1" formatStyle="Comma" keyCode="abs" keyAction="108">
          <m:axisValue occRef="调整前的值"/>
          <m:axisValue occRef="母公司"/>
        </m:item>
        <m:item xlName="_GBC_04b8c38c13634f59a03c45b91e6a2197" concept="clcid-pte:QiTaZongHeShouYiZiChanFuZhaiBiaoXiangMu" label="其他综合收益（资产负债表项目）" periodRef="上年度期末数" mulRef="_GBC_048773409e614c6bb753000b028316a5" unitRef="_GBC_5214b7a188334da286fc3038d017d072" addr="T2R3C7S1_1" formatStyle="Comma">
          <m:axisValue occRef="调整前的值"/>
          <m:axisValue occRef="母公司"/>
        </m:item>
        <m:item xlName="_GBC_3e3192905f5e4e7fa65153abca247ee6" concept="clcid-pte:ZhuanXiangChuBei" label="专项储备" periodRef="上年度期末数" mulRef="_GBC_048773409e614c6bb753000b028316a5" unitRef="_GBC_5214b7a188334da286fc3038d017d072" addr="T2R3C8S1_1" formatStyle="Comma">
          <m:axisValue occRef="调整前的值"/>
          <m:axisValue occRef="母公司"/>
        </m:item>
        <m:item xlName="_GBC_b314d612b70b41c58b60a84b8e96915b" concept="clcid-pte:YingYuGongJi" label="盈余公积" periodRef="上年度期末数" mulRef="_GBC_048773409e614c6bb753000b028316a5" unitRef="_GBC_5214b7a188334da286fc3038d017d072" addr="T2R3C9S1_1" formatStyle="Comma">
          <m:axisValue occRef="调整前的值"/>
          <m:axisValue occRef="母公司"/>
        </m:item>
        <m:item xlName="_GBC_03576e5b4c2c46179b503f63e6fe29e0" concept="clcid-pte:WeiFenPeiLiRun" label="未分配利润" periodRef="上年度期末数" mulRef="_GBC_048773409e614c6bb753000b028316a5" unitRef="_GBC_5214b7a188334da286fc3038d017d072" addr="T2R3C10S1_1" formatStyle="Comma">
          <m:axisValue occRef="调整前的值"/>
          <m:axisValue occRef="母公司"/>
        </m:item>
        <m:item xlName="_GBC_3031f9c299ae4ba3b3b6f9d39dcd72ba" concept="clcid-pte:GuDongQuanYiHeJi" label="股东权益合计" periodRef="上年度期末数" mulRef="_GBC_048773409e614c6bb753000b028316a5" unitRef="_GBC_5214b7a188334da286fc3038d017d072" addr="T2R3C11S1_1" formatStyle="Comma">
          <m:axisValue occRef="调整前的值"/>
          <m:axisValue occRef="母公司"/>
        </m:item>
        <m:placeholder xlName="_PLD_66de901175bd4e50a35a24f0fca7513d" wordText="加：会计政策变更" addr="T2R4C0S1_1"/>
        <m:item xlName="_GBC_42cf02b25c1d4f5ea3574d5fb4ed5e49" concept="clcid-pte:KuaiJiZhengCeBianGengDaoZhiShiShouZiBenHuoGuBenJingEBianDongJinE" label="会计政策变更导致实收资本（或股本）净额变动金额" periodRef="本期期初数" mulRef="_GBC_048773409e614c6bb753000b028316a5" unitRef="_GBC_5214b7a188334da286fc3038d017d072" addr="T2R4C1S1_1" formatStyle="Comma">
          <m:axisValue occRef="母公司"/>
        </m:item>
        <m:item xlName="_GBC_87ebf33c3b1c454f8dde54b2d7b59428" concept="clcid-pte:HuiJiZhengCeBianGengDaoZhiYouXianGuBianDongJinE" label="会计政策变更导致优先股变动金额" periodRef="本期期初数" mulRef="_GBC_048773409e614c6bb753000b028316a5" unitRef="_GBC_5214b7a188334da286fc3038d017d072" addr="T2R4C2S1_1" formatStyle="Comma">
          <m:axisValue occRef="母公司"/>
        </m:item>
        <m:item xlName="_GBC_dffe6871d62645dcab0d6ede5c12c9ed" concept="clcid-pte:HuiJiZhengCeBianGengDaoZhiYongXuZhaiBianDongJinE" label="会计政策变更导致永续债变动金额" periodRef="本期期初数" mulRef="_GBC_048773409e614c6bb753000b028316a5" unitRef="_GBC_5214b7a188334da286fc3038d017d072" addr="T2R4C3S1_1" formatStyle="Comma">
          <m:axisValue occRef="母公司"/>
        </m:item>
        <m:item xlName="_GBC_2361def70b0c4b59a4b0d6a3c2f89ed1" concept="clcid-pte:HuiJiZhengCeBianGengDaoZhiQiTaQuanYiGongJuZhongDeQiTaBianDongJinE" label="会计政策变更导致其他权益工具中的其他变动金额" periodRef="本期期初数" mulRef="_GBC_048773409e614c6bb753000b028316a5" unitRef="_GBC_5214b7a188334da286fc3038d017d072" addr="T2R4C4S1_1" formatStyle="Comma">
          <m:axisValue occRef="母公司"/>
        </m:item>
        <m:item xlName="_GBC_d71a6a60f98c428d87f9df73c8134349" concept="clcid-pte:KuaiJiZhengCeBianGengDaoZhiZiBenGongJiBianDongJinE" label="会计政策变更导致资本公积变动金额" periodRef="本期期初数" mulRef="_GBC_048773409e614c6bb753000b028316a5" unitRef="_GBC_5214b7a188334da286fc3038d017d072" addr="T2R4C5S1_1" formatStyle="Comma">
          <m:axisValue occRef="母公司"/>
        </m:item>
        <m:item xlName="_GBC_e121f1b17ae245d8a3b2ab915e6dc29a" concept="clcid-pte:KuaiJiZhengCeBianGengDaoZhiKuCunGuBianDongJinE" label="会计政策变更导致库存股变动金额" periodRef="本期期初数" mulRef="_GBC_048773409e614c6bb753000b028316a5" unitRef="_GBC_5214b7a188334da286fc3038d017d072" addr="T2R4C6S1_1" baseScale="-1" formatStyle="Comma">
          <m:axisValue occRef="母公司"/>
        </m:item>
        <m:item xlName="_GBC_3aa0f4cb3fd24f17a2db6808f3f82d74" concept="clcid-pte:HuiJiZhengCeBianGengDaoZhiQiTaZongHeShouYiBianDongJinE" label="会计政策变更导致其他综合收益变动金额" periodRef="本期期初数" mulRef="_GBC_048773409e614c6bb753000b028316a5" unitRef="_GBC_5214b7a188334da286fc3038d017d072" addr="T2R4C7S1_1" formatStyle="Comma">
          <m:axisValue occRef="母公司"/>
        </m:item>
        <m:item xlName="_GBC_6b7d8a5d2abc4ef1bc671e165d780eed" concept="clcid-pte:KuaiJiZhengCeBianGengDaoZhiZhuanXiangChuBeiBianDongJinE" label="会计政策变更导致专项储备变动金额" periodRef="本期期初数" mulRef="_GBC_048773409e614c6bb753000b028316a5" unitRef="_GBC_5214b7a188334da286fc3038d017d072" addr="T2R4C8S1_1" formatStyle="Comma">
          <m:axisValue occRef="母公司"/>
        </m:item>
        <m:item xlName="_GBC_1b87389f7fa74712bb34bd031de8679d" concept="clcid-pte:KuaiJiZhengCeBianGengDaoZhiYingYuGongJiBianDongJinE" label="会计政策变更导致盈余公积变动金额" periodRef="本期期初数" mulRef="_GBC_048773409e614c6bb753000b028316a5" unitRef="_GBC_5214b7a188334da286fc3038d017d072" addr="T2R4C9S1_1" formatStyle="Comma">
          <m:axisValue occRef="母公司"/>
        </m:item>
        <m:item xlName="_GBC_14bdacb8504c464eaf8712b0f4939a2f" concept="clcid-pte:KuaiJiZhengCeBianGengDaoZhiWeiFenPeiLiRunBianDongJinE" label="会计政策变更导致未分配利润变动金额" periodRef="本期期初数" mulRef="_GBC_048773409e614c6bb753000b028316a5" unitRef="_GBC_5214b7a188334da286fc3038d017d072" addr="T2R4C10S1_1" formatStyle="Comma">
          <m:axisValue occRef="母公司"/>
        </m:item>
        <m:item xlName="_GBC_72b6d96ffb154813a58db31263d56881" concept="clcid-pte:KuaiJiZhengCeBianGengDaoZhiGuDongQuanYiHeJiBianDongJinE" label="会计政策变更导致股东权益合计变动金额" periodRef="本期期初数" mulRef="_GBC_048773409e614c6bb753000b028316a5" unitRef="_GBC_5214b7a188334da286fc3038d017d072" addr="T2R4C11S1_1" formatStyle="Comma">
          <m:axisValue occRef="母公司"/>
        </m:item>
        <m:placeholder xlName="_PLD_3bfc3b7951f4488f95a7180f02c989cf" wordText="前期差错更正" indent="200" addr="T2R5C0S1_1"/>
        <m:item xlName="_GBC_56b3e92bb36145f78e2377f60b4c06b7" concept="clcid-pte:QianQiChaCuoGengZhengDaoZhiShiShouZiBenHuoGuBenJingEBianDongJinE" label="前期差错更正导致实收资本（或股本）净额变动金额" periodRef="本期期初数" mulRef="_GBC_048773409e614c6bb753000b028316a5" unitRef="_GBC_5214b7a188334da286fc3038d017d072" addr="T2R5C1S1_1" formatStyle="Comma">
          <m:axisValue occRef="母公司"/>
        </m:item>
        <m:item xlName="_GBC_893b147b48ba44f08045e2630c9956ad" concept="clcid-pte:QianQiChaCuoGengZhengDaoZhiYouXianGuBianDongJinE" label="前期差错更正导致优先股变动金额" periodRef="本期期初数" mulRef="_GBC_048773409e614c6bb753000b028316a5" unitRef="_GBC_5214b7a188334da286fc3038d017d072" addr="T2R5C2S1_1" formatStyle="Comma">
          <m:axisValue occRef="母公司"/>
        </m:item>
        <m:item xlName="_GBC_4475808d26dd4f6184d7ed8cff00f9e4" concept="clcid-pte:QianQiChaCuoGengZhengDaoZhiYongXuZhaiBianDongJinE" label="前期差错更正导致永续债变动金额" periodRef="本期期初数" mulRef="_GBC_048773409e614c6bb753000b028316a5" unitRef="_GBC_5214b7a188334da286fc3038d017d072" addr="T2R5C3S1_1" formatStyle="Comma">
          <m:axisValue occRef="母公司"/>
        </m:item>
        <m:item xlName="_GBC_29aaf13003fe4c1e9785635e73bed9ce" concept="clcid-pte:QianQiChaCuoGengZhengDaoZhiQiTaQuanYiGongJuZhongDeQiTaBianDongJinE" label="前期差错更正导致其他权益工具中的其他变动金额" periodRef="本期期初数" mulRef="_GBC_048773409e614c6bb753000b028316a5" unitRef="_GBC_5214b7a188334da286fc3038d017d072" addr="T2R5C4S1_1" formatStyle="Comma">
          <m:axisValue occRef="母公司"/>
        </m:item>
        <m:item xlName="_GBC_184498442a114d1693b2cc6a823a3a7d" concept="clcid-pte:QianQiChaCuoGengZhengDaoZhiZiBenGongJiBianDongJinE" label="前期差错更正导致资本公积变动金额" periodRef="本期期初数" mulRef="_GBC_048773409e614c6bb753000b028316a5" unitRef="_GBC_5214b7a188334da286fc3038d017d072" addr="T2R5C5S1_1" formatStyle="Comma">
          <m:axisValue occRef="母公司"/>
        </m:item>
        <m:item xlName="_GBC_560baab250d940f08ae6f2c2627eb8c3" concept="clcid-pte:QianQiChaCuoGengZhengDaoZhiKuCunGuBianDongJinE" label="前期差错更正导致库存股变动金额" periodRef="本期期初数" mulRef="_GBC_048773409e614c6bb753000b028316a5" unitRef="_GBC_5214b7a188334da286fc3038d017d072" addr="T2R5C6S1_1" baseScale="-1" formatStyle="Comma">
          <m:axisValue occRef="母公司"/>
        </m:item>
        <m:item xlName="_GBC_e1a35126a405468199aff67b2756d145" concept="clcid-pte:QianQiChaCuoGengZhengDaoZhiQiTaZongHeShouYiBianDongJinE" label="前期差错更正导致其他综合收益变动金额" periodRef="本期期初数" mulRef="_GBC_048773409e614c6bb753000b028316a5" unitRef="_GBC_5214b7a188334da286fc3038d017d072" addr="T2R5C7S1_1" formatStyle="Comma">
          <m:axisValue occRef="母公司"/>
        </m:item>
        <m:item xlName="_GBC_44166282a2da4958927cac26cb5adc9f" concept="clcid-pte:QianQiChaCuoGengZhengDaoZhiZhuanXiangChuBeiBianDongJinE" label="前期差错更正导致专项储备变动金额" periodRef="本期期初数" mulRef="_GBC_048773409e614c6bb753000b028316a5" unitRef="_GBC_5214b7a188334da286fc3038d017d072" addr="T2R5C8S1_1" formatStyle="Comma">
          <m:axisValue occRef="母公司"/>
        </m:item>
        <m:item xlName="_GBC_58529cea90a5428a8a18b7de60847df0" concept="clcid-pte:QianQiChaCuoGengZhengDaoZhiYingYuGongJiBianDongJinE" label="前期差错更正导致盈余公积变动金额" periodRef="本期期初数" mulRef="_GBC_048773409e614c6bb753000b028316a5" unitRef="_GBC_5214b7a188334da286fc3038d017d072" addr="T2R5C9S1_1" formatStyle="Comma">
          <m:axisValue occRef="母公司"/>
        </m:item>
        <m:item xlName="_GBC_d852a19ca6804da6b1133b550e243e77" concept="clcid-pte:QianQiChaCuoGengZhengDaoZhiWeiFenPeiLiRunBianDongJinE" label="前期差错更正导致未分配利润变动金额" periodRef="本期期初数" mulRef="_GBC_048773409e614c6bb753000b028316a5" unitRef="_GBC_5214b7a188334da286fc3038d017d072" addr="T2R5C10S1_1" formatStyle="Comma">
          <m:axisValue occRef="母公司"/>
        </m:item>
        <m:item xlName="_GBC_4a12c1ecf41c4171bfe14446ef7af394" concept="clcid-pte:QianQiChaCuoGengZhengDaoZhiGuDongQuanYiHeJiBianDongJinE" label="前期差错更正导致股东权益合计变动金额" periodRef="本期期初数" mulRef="_GBC_048773409e614c6bb753000b028316a5" unitRef="_GBC_5214b7a188334da286fc3038d017d072" addr="T2R5C11S1_1" formatStyle="Comma">
          <m:axisValue occRef="母公司"/>
        </m:item>
        <m:placeholder xlName="_PLD_dc9b9aaf7e384b1eae7dcabb517c2b1e" wordText="其他" indent="200" addr="T2R6C0S1_1"/>
        <m:item xlName="_GBC_a4e50167b0234173b1e047cdce723fcf" concept="clcid-pte:QiTaZhuiSuTiaoZhengDaoZhiShiShouZiBenBianDongJinE" label="实收资本变动金额（其他追溯调整）" periodRef="本期期初数" mulRef="_GBC_048773409e614c6bb753000b028316a5" unitRef="_GBC_5214b7a188334da286fc3038d017d072" addr="T2R6C1S1_1" formatStyle="Comma">
          <m:axisValue occRef="母公司"/>
        </m:item>
        <m:item xlName="_GBC_b20c116230be4667a5054a719ba106a9" concept="clcid-pte:YouXianGuBianDongJinEQiTaZhuiSuDiaoZheng" label="优先股变动金额（其他追溯调整）" periodRef="本期期初数" mulRef="_GBC_048773409e614c6bb753000b028316a5" unitRef="_GBC_5214b7a188334da286fc3038d017d072" addr="T2R6C2S1_1" formatStyle="Comma">
          <m:axisValue occRef="母公司"/>
        </m:item>
        <m:item xlName="_GBC_b050b7d154134645b725462d713936e9" concept="clcid-pte:YongXuZhaiBianDongJinEQiTaZhuiSuDiaoZheng" label="永续债变动金额（其他追溯调整）" periodRef="本期期初数" mulRef="_GBC_048773409e614c6bb753000b028316a5" unitRef="_GBC_5214b7a188334da286fc3038d017d072" addr="T2R6C3S1_1" formatStyle="Comma">
          <m:axisValue occRef="母公司"/>
        </m:item>
        <m:item xlName="_GBC_67c49c05a94d45a39f5a6d2db97c0ecf" concept="clcid-pte:QiTaQuanYiGongJuZhongDeQiTaBianDongJinEQiTaZhuiSuDiaoZheng" label="其他权益工具中的其他变动金额（其他追溯调整）" periodRef="本期期初数" mulRef="_GBC_048773409e614c6bb753000b028316a5" unitRef="_GBC_5214b7a188334da286fc3038d017d072" addr="T2R6C4S1_1" formatStyle="Comma">
          <m:axisValue occRef="母公司"/>
        </m:item>
        <m:item xlName="_GBC_addef84ef97b49f69c8539767a5ced3e" concept="clcid-pte:QiTaZhuiSuTiaoZhengDaoZhiZiBenGongJiBianDongJinE" label="资本公积变动金额（其他追溯调整）" periodRef="本期期初数" mulRef="_GBC_048773409e614c6bb753000b028316a5" unitRef="_GBC_5214b7a188334da286fc3038d017d072" addr="T2R6C5S1_1" formatStyle="Comma">
          <m:axisValue occRef="母公司"/>
        </m:item>
        <m:item xlName="_GBC_0876a4a3903e42468a38c4f7f12b4707" concept="clcid-pte:QiTaZhuiSuTiaoZhengDaoZhiKuCunGuBianDongJinE" label="库存股变动金额（其他追溯调整）" periodRef="本期期初数" mulRef="_GBC_048773409e614c6bb753000b028316a5" unitRef="_GBC_5214b7a188334da286fc3038d017d072" addr="T2R6C6S1_1" baseScale="-1" formatStyle="Comma">
          <m:axisValue occRef="母公司"/>
        </m:item>
        <m:item xlName="_GBC_7989400e56554a8984bc4146fdf22a1b" concept="clcid-pte:QiTaZongHeShouYiBianDongJinEQiTaZhuiSuDiaoZheng" label="其他综合收益变动金额（其他追溯调整）" periodRef="本期期初数" mulRef="_GBC_048773409e614c6bb753000b028316a5" unitRef="_GBC_5214b7a188334da286fc3038d017d072" addr="T2R6C7S1_1" formatStyle="Comma">
          <m:axisValue occRef="母公司"/>
        </m:item>
        <m:item xlName="_GBC_f73e1ad0c9854d45b725bb22006b66dc" concept="clcid-pte:QiTaZhuiSuTiaoZhengDaoZhiZhuanXiangChuBeiBianDongJinE" label="专项储备变动金额（其他追溯调整）" periodRef="本期期初数" mulRef="_GBC_048773409e614c6bb753000b028316a5" unitRef="_GBC_5214b7a188334da286fc3038d017d072" addr="T2R6C8S1_1" formatStyle="Comma">
          <m:axisValue occRef="母公司"/>
        </m:item>
        <m:item xlName="_GBC_1e9945ade30742d7a98de3c11d756e09" concept="clcid-pte:QiTaZhuiSuTiaoZhengDaoZhiYingYuGongJiBianDongJinE" label="盈余公积变动金额（其他追溯调整）" periodRef="本期期初数" mulRef="_GBC_048773409e614c6bb753000b028316a5" unitRef="_GBC_5214b7a188334da286fc3038d017d072" addr="T2R6C9S1_1" formatStyle="Comma">
          <m:axisValue occRef="母公司"/>
        </m:item>
        <m:item xlName="_GBC_242b1b9d90284b4c9697a19e2b6327ae" concept="clcid-pte:QiTaZhuiSuTiaoZhengDaoZhiWeiFenPeiLiRunBianDongJinE" label="未分配利润变动金额（其他追溯调整）" periodRef="本期期初数" mulRef="_GBC_048773409e614c6bb753000b028316a5" unitRef="_GBC_5214b7a188334da286fc3038d017d072" addr="T2R6C10S1_1" formatStyle="Comma">
          <m:axisValue occRef="母公司"/>
        </m:item>
        <m:item xlName="_GBC_30dc8108177841619e48d3c1420b4bcd" concept="clcid-pte:QiTaZhuiSuTiaoZhengDaoZhiGuDongQuanYiBianDongJinE" label="股东权益变动金额（其他追溯调整）" periodRef="本期期初数" mulRef="_GBC_048773409e614c6bb753000b028316a5" unitRef="_GBC_5214b7a188334da286fc3038d017d072" addr="T2R6C11S1_1" formatStyle="Comma">
          <m:axisValue occRef="母公司"/>
        </m:item>
        <m:placeholder xlName="_PLD_345919472b384d0eb13471ef5f2f5e92" wordText="二、本年期初余额" addr="T2R7C0S1_1"/>
        <m:item xlName="_GBC_85a6da49b03246b7abdc941be9570cba" concept="clcid-pte:GuBen" label="股本" periodRef="本期期初数" mulRef="_GBC_048773409e614c6bb753000b028316a5" unitRef="_GBC_5214b7a188334da286fc3038d017d072" addr="T2R7C1S1_1" formatStyle="Comma">
          <m:complexRule comparator="Eq" title="母公司股本@本期期初数" test=" $_GBC_cc625cf898204a919461d4578243eef7 +  $_GBC_42cf02b25c1d4f5ea3574d5fb4ed5e49 +  $_GBC_56b3e92bb36145f78e2377f60b4c06b7 +  $_GBC_a4e50167b0234173b1e047cdce723fcf" id="C36530b45b306424da5289597d0d4a5cf"/>
          <m:axisValue occRef="母公司"/>
        </m:item>
        <m:item xlName="_GBC_dccc9a57aaba41a881b16ea5df208c0d" concept="clcid-pte:QiTaQuanYiGongJuQiZhongYouXianGu" label="其他权益工具-其中：优先股" periodRef="本期期初数" mulRef="_GBC_048773409e614c6bb753000b028316a5" unitRef="_GBC_5214b7a188334da286fc3038d017d072" addr="T2R7C2S1_1" formatStyle="Comma">
          <m:complexRule comparator="Eq" title="母公司其他权益工具-其中：优先股@本期期初数" test=" $_GBC_fdb89b10340b4c258db06f241229201f +  $_GBC_87ebf33c3b1c454f8dde54b2d7b59428 +  $_GBC_893b147b48ba44f08045e2630c9956ad +  $_GBC_b20c116230be4667a5054a719ba106a9" id="C0d56876495794502a75e27390108e9cb"/>
          <m:axisValue occRef="母公司"/>
        </m:item>
        <m:item xlName="_GBC_3eb2a851039343f198cfa8fc00a422eb" concept="clcid-pte:QiTaQuanYiGongJuYongXuZhai" label="其他权益工具-永续债" periodRef="本期期初数" mulRef="_GBC_048773409e614c6bb753000b028316a5" unitRef="_GBC_5214b7a188334da286fc3038d017d072" addr="T2R7C3S1_1" formatStyle="Comma">
          <m:complexRule comparator="Eq" title="母公司其他权益工具-永续债@本期期初数" test=" $_GBC_07d105c6f1c1416ca3fd6df57b2b2f12 +  $_GBC_dffe6871d62645dcab0d6ede5c12c9ed +  $_GBC_4475808d26dd4f6184d7ed8cff00f9e4 +  $_GBC_b050b7d154134645b725462d713936e9" id="C653a5d17ff1d4d7fb976989fff05dfc7"/>
          <m:axisValue occRef="母公司"/>
        </m:item>
        <m:item xlName="_GBC_06ba62c1f35e4dd18f1a1c059e918481" concept="clcid-pte:QiTaQuanYiGongJuQiTa" label="其他权益工具-其他" periodRef="本期期初数" mulRef="_GBC_048773409e614c6bb753000b028316a5" unitRef="_GBC_5214b7a188334da286fc3038d017d072" addr="T2R7C4S1_1" formatStyle="Comma">
          <m:complexRule comparator="Eq" title="母公司其他权益工具-其他@本期期初数" test=" $_GBC_386146902ff8485ba3c6c9d718c71576 +  $_GBC_2361def70b0c4b59a4b0d6a3c2f89ed1 +  $_GBC_29aaf13003fe4c1e9785635e73bed9ce +  $_GBC_67c49c05a94d45a39f5a6d2db97c0ecf" id="Cd732f9ae3a674738b503f69c0e35015e"/>
          <m:axisValue occRef="母公司"/>
        </m:item>
        <m:item xlName="_GBC_87cd6e71dfd74e1d80635635d6d499e2" concept="clcid-pte:ZiBenGongJi" label="资本公积" periodRef="本期期初数" mulRef="_GBC_048773409e614c6bb753000b028316a5" unitRef="_GBC_5214b7a188334da286fc3038d017d072" addr="T2R7C5S1_1" formatStyle="Comma">
          <m:complexRule comparator="Eq" title="母公司资本公积@本期期初数" test=" $_GBC_de8fb7bf082c45e0880256c003bc224a +  $_GBC_d71a6a60f98c428d87f9df73c8134349 +  $_GBC_184498442a114d1693b2cc6a823a3a7d +  $_GBC_addef84ef97b49f69c8539767a5ced3e" id="C8f76daa10cd44cc9a0b447b12bd7ab40"/>
          <m:axisValue occRef="母公司"/>
        </m:item>
        <m:item xlName="_GBC_114922bd5cad4e92ba6d225e29c2cbcc" concept="clcid-pte:KuCunGu" label="库存股" periodRef="本期期初数" mulRef="_GBC_048773409e614c6bb753000b028316a5" unitRef="_GBC_5214b7a188334da286fc3038d017d072" addr="T2R7C6S1_1" baseScale="-1" formatStyle="Comma" keyCode="abs" keyAction="108">
          <m:complexRule comparator="Eq" title="母公司库存股@本期期初数" test=" $_GBC_c3c4805dff0044f59a880539deb85270 +  $_GBC_e121f1b17ae245d8a3b2ab915e6dc29a +  $_GBC_560baab250d940f08ae6f2c2627eb8c3 +  $_GBC_0876a4a3903e42468a38c4f7f12b4707" id="C2a09503d9fe2418581c1edfe04a9f8a5"/>
          <m:axisValue occRef="母公司"/>
        </m:item>
        <m:item xlName="_GBC_0f6fcd7fbe464a35b4a293cab10be02b" concept="clcid-pte:QiTaZongHeShouYiZiChanFuZhaiBiaoXiangMu" label="其他综合收益（资产负债表项目）" periodRef="本期期初数" mulRef="_GBC_048773409e614c6bb753000b028316a5" unitRef="_GBC_5214b7a188334da286fc3038d017d072" addr="T2R7C7S1_1" formatStyle="Comma">
          <m:complexRule comparator="Eq" title="母公司其他综合收益（资产负债表项目）@本期期初数" test=" $_GBC_04b8c38c13634f59a03c45b91e6a2197 +  $_GBC_3aa0f4cb3fd24f17a2db6808f3f82d74 +  $_GBC_e1a35126a405468199aff67b2756d145 +  $_GBC_7989400e56554a8984bc4146fdf22a1b" id="C9f5d38dbc79845f684177f7df7d158fe"/>
          <m:axisValue occRef="母公司"/>
        </m:item>
        <m:item xlName="_GBC_b9de9b0acdaf45a8ba406572c22253ec" concept="clcid-pte:ZhuanXiangChuBei" label="专项储备" periodRef="本期期初数" mulRef="_GBC_048773409e614c6bb753000b028316a5" unitRef="_GBC_5214b7a188334da286fc3038d017d072" addr="T2R7C8S1_1" formatStyle="Comma">
          <m:complexRule comparator="Eq" title="母公司专项储备@本期期初数" test=" $_GBC_3e3192905f5e4e7fa65153abca247ee6 +  $_GBC_6b7d8a5d2abc4ef1bc671e165d780eed +  $_GBC_44166282a2da4958927cac26cb5adc9f +  $_GBC_f73e1ad0c9854d45b725bb22006b66dc" id="C967b77ae5adf47c387cf02ea22c43bc8"/>
          <m:axisValue occRef="母公司"/>
        </m:item>
        <m:item xlName="_GBC_c40ab025d2d441f2b2c94494e0d106ee" concept="clcid-pte:YingYuGongJi" label="盈余公积" periodRef="本期期初数" mulRef="_GBC_048773409e614c6bb753000b028316a5" unitRef="_GBC_5214b7a188334da286fc3038d017d072" addr="T2R7C9S1_1" formatStyle="Comma">
          <m:complexRule comparator="Eq" title="母公司盈余公积@本期期初数" test=" $_GBC_b314d612b70b41c58b60a84b8e96915b +  $_GBC_1b87389f7fa74712bb34bd031de8679d +  $_GBC_58529cea90a5428a8a18b7de60847df0 +  $_GBC_1e9945ade30742d7a98de3c11d756e09" id="C4ab247fb08364c7da30d36330323ac4b"/>
          <m:axisValue occRef="母公司"/>
        </m:item>
        <m:item xlName="_GBC_ffdbb6bb26a947938b38672ca5df4e68" concept="clcid-pte:WeiFenPeiLiRun" label="未分配利润" periodRef="本期期初数" mulRef="_GBC_048773409e614c6bb753000b028316a5" unitRef="_GBC_5214b7a188334da286fc3038d017d072" addr="T2R7C10S1_1" formatStyle="Comma">
          <m:complexRule comparator="Eq" title="母公司未分配利润@本期期初数" test=" $_GBC_03576e5b4c2c46179b503f63e6fe29e0 +  $_GBC_14bdacb8504c464eaf8712b0f4939a2f +  $_GBC_d852a19ca6804da6b1133b550e243e77 +  $_GBC_242b1b9d90284b4c9697a19e2b6327ae" id="C04e7872c0ce24a1692d6e0370555cd83"/>
          <m:axisValue occRef="母公司"/>
        </m:item>
        <m:item xlName="_GBC_437e9e5e45be47c2af464f3d199411f3" concept="clcid-pte:GuDongQuanYiHeJi" label="股东权益合计" periodRef="本期期初数" mulRef="_GBC_048773409e614c6bb753000b028316a5" unitRef="_GBC_5214b7a188334da286fc3038d017d072" addr="T2R7C11S1_1" formatStyle="Comma">
          <m:complexRule comparator="Eq" title="母公司股东权益合计@本期期初数" test=" $_GBC_3031f9c299ae4ba3b3b6f9d39dcd72ba +  $_GBC_72b6d96ffb154813a58db31263d56881 +  $_GBC_4a12c1ecf41c4171bfe14446ef7af394 +  $_GBC_30dc8108177841619e48d3c1420b4bcd" id="Ced03a79964164e19b829b51daddaac18"/>
          <m:axisValue occRef="母公司"/>
        </m:item>
        <m:placeholder xlName="_PLD_4eea4cc259884a6ab5f2fe018aec3d4e" wordText="三、本期增减变动金额（减少以“－”号填列）" addr="T2R8C0S1_1"/>
        <m:item xlName="_GBC_2485e08cb32d450a85efe22a3aa4da7b" concept="clcid-pte:ShiShouZiBenHuoGuBenJingEZengJianBianDongJinE" label="实收资本（或股本）净额增减变动金额" mulRef="_GBC_048773409e614c6bb753000b028316a5" unitRef="_GBC_5214b7a188334da286fc3038d017d072" addr="T2R8C1S1_1" formatStyle="Comma">
          <m:complexRule comparator="Eq" title="母公司实收资本（或股本）净额增减变动金额" test=" $_GBC_bafb887362134f71bc6ea7bf1a56e135 +  $_GBC_53124b0abc94408586386dcf21742d7d +  $_GBC_cbb7211cf05f40dfa328fabcaf4451ac +  $_GBC_f283c649fc1342198eff95dfe47a3805 +  $_GBC_2cbca74f80a744339bc2c82ccb3a5682 +  $_GBC_7c98f87bd16e47478f964cb740105704" id="C299bca0ea5094f2eb8f9c197106c9414"/>
          <m:axisValue occRef="母公司"/>
        </m:item>
        <m:item xlName="_GBC_f37d94262aab49bea3011e8de3bbd70f" concept="clcid-pte:QiTaQuanYiGongJuZhongDeYouXianGuZengJianBianDongJinE" label="其他权益工具中的优先股增减变动金额" mulRef="_GBC_048773409e614c6bb753000b028316a5" unitRef="_GBC_5214b7a188334da286fc3038d017d072" addr="T2R8C2S1_1" formatStyle="Comma">
          <m:complexRule comparator="Eq" title="母公司其他权益工具中的优先股增减变动金额" test=" $_GBC_bdb054bda43247959fdb490843b0dc7d +  $_GBC_04da6968053f4d92a694f8bbec91e45d +  $_GBC_7efc769dca144d748f3739c7952bb4b2 +  $_GBC_ef91efe5622b435aa7743a80121de833 +  $_GBC_ba1ea232086f49679eced5f9c476bd7d +  $_GBC_018b41c23e7440efae60bc74cd0e6ec1" id="C88d1742466fa47f6ab5a56258a299116"/>
          <m:axisValue occRef="母公司"/>
        </m:item>
        <m:item xlName="_GBC_fafb0b1b1d4b4b86ae4b5a9775402762" concept="clcid-pte:QiTaQuanYiGongJuZhongDeYongXuZhaiZengJianBianDongJinE" label="其他权益工具中的永续债增减变动金额" mulRef="_GBC_048773409e614c6bb753000b028316a5" unitRef="_GBC_5214b7a188334da286fc3038d017d072" addr="T2R8C3S1_1" formatStyle="Comma">
          <m:complexRule comparator="Eq" title="母公司其他权益工具中的永续债增减变动金额" test=" $_GBC_515f56f9ceb0425db3fc55587a878fe4 +  $_GBC_d8069e8e7ea94d5797a9d75fe2bc95b9 +  $_GBC_5490806b7ea342d6b7c3431d90cb5a5e +  $_GBC_4ac9c71994ac4ff799a55b82157015cb +  $_GBC_16754af9da4b47f2b1cc38d7856d8f8b +  $_GBC_964e15418f9e4ee9867ccd2056b9e409" id="C8291973eac6d42f99b152707146b9755"/>
          <m:axisValue occRef="母公司"/>
        </m:item>
        <m:item xlName="_GBC_764625b02cd94860af03adbd1c11a630" concept="clcid-pte:QiTaQuanYiGongJuZhongDeQiTaZengJianBianDongJinE" label="其他权益工具中的其他增减变动金额" mulRef="_GBC_048773409e614c6bb753000b028316a5" unitRef="_GBC_5214b7a188334da286fc3038d017d072" addr="T2R8C4S1_1" formatStyle="Comma">
          <m:complexRule comparator="Eq" title="母公司其他权益工具中的其他增减变动金额" test=" $_GBC_a55b7822b9ec430089892d845619c2a5 +  $_GBC_9f00dd6a190642b3b64721e10ebab6cb +  $_GBC_d54c713a1a36439d871e50b06644a07d +  $_GBC_f272c4ee43e34fa49fb65c1fea08629f +  $_GBC_96f1f37c2ebe4120bdb43159f84fc442 +  $_GBC_49bf533919214ab7bc94515751717793" id="C933b1d9c8a18492ca3086a1692286db9"/>
          <m:axisValue occRef="母公司"/>
        </m:item>
        <m:item xlName="_GBC_c44fedef97fd45b4900be8773a750464" concept="clcid-pte:ZiBenGongJiZengJianBianDongJinE" label="资本公积增减变动金额" mulRef="_GBC_048773409e614c6bb753000b028316a5" unitRef="_GBC_5214b7a188334da286fc3038d017d072" addr="T2R8C5S1_1" formatStyle="Comma">
          <m:complexRule comparator="Eq" title="母公司资本公积增减变动金额" test=" $_GBC_539884210628448b927f8a942713a833 +  $_GBC_1148945afee64297a169f2ac8b8cb89e +  $_GBC_68ab5139b8ff40ac80a4db45813c9477 +  $_GBC_0f6acc3ef97c4ecbbcfb5086e2d5da4f +  $_GBC_c971cbdcb4e7450ab76accb648f822a9 +  $_GBC_f6814972acb040cb8f8ce2db97e4c74f" id="Cd12576c64e37428f8e7ab3c3c1b645ff"/>
          <m:axisValue occRef="母公司"/>
        </m:item>
        <m:item xlName="_GBC_700156d9f1474bc8939b7e2126fc4b2d" concept="clcid-pte:KuCunGuZengJianBianDongJinE" label="库存股增减变动金额" mulRef="_GBC_048773409e614c6bb753000b028316a5" unitRef="_GBC_5214b7a188334da286fc3038d017d072" addr="T2R8C6S1_1" baseScale="-1" formatStyle="Comma">
          <m:complexRule comparator="Eq" title="母公司库存股增减变动金额" test=" $_GBC_3fb671fe204548e2a581048005b70e18 +  $_GBC_e2cd97163583414dba53674ff5b486c2 +  $_GBC_feafb3a59f2b4afaa0aa20611608ab05 +  $_GBC_0d9772d823c6492e8371be725cb8f5c2 +  $_GBC_08f333e1ae844c698c8198354620896b +  $_GBC_d3d5c9dbddbf4eb58b8734a6dc4a2589" id="C07f6ab1c094e486ca7a62ddbfeb33176"/>
          <m:axisValue occRef="母公司"/>
        </m:item>
        <m:item xlName="_GBC_10a50e00f7bc44ec8347b7b66f7414d2" concept="clcid-pte:QiTaZongHeShouYiZengJianBianDongJinE" label="其他综合收益增减变动金额" mulRef="_GBC_048773409e614c6bb753000b028316a5" unitRef="_GBC_5214b7a188334da286fc3038d017d072" addr="T2R8C7S1_1" formatStyle="Comma">
          <m:complexRule comparator="Eq" title="母公司其他综合收益增减变动金额" test=" $_GBC_1eb836189e4f4076a0c58969a56cb56f +  $_GBC_99a0fee938134a7e8f8935c722e5264f +  $_GBC_a4ae582c163a407bbe913ee1800bb956 +  $_GBC_05d4a4b3c8a74bbaa40c911fb4960c78 +  $_GBC_7aefe5a89f7941afba1423447c04e7b7 +  $_GBC_d28c4273adaa462489c3b6fc95c1fef7" id="C7a563c43bdbe4739a632aaefccf658d8"/>
          <m:axisValue occRef="母公司"/>
        </m:item>
        <m:item xlName="_GBC_9cf0737ee22247338dc303d03d64f6b4" concept="clcid-pte:ZhuanXiangChuBeiZengJianBianDongJinE" label="专项储备增减变动金额" mulRef="_GBC_048773409e614c6bb753000b028316a5" unitRef="_GBC_5214b7a188334da286fc3038d017d072" addr="T2R8C8S1_1" formatStyle="Comma">
          <m:complexRule comparator="Eq" title="母公司专项储备增减变动金额" test=" $_GBC_6134b274d09046249a60a70dd8187853 +  $_GBC_9d50d198419d4c6db3293a235197aa32 +  $_GBC_c4d7d58fa145478690e9e4209a44b3aa +  $_GBC_0b9cda03d7654088aaa463ecda825ec7 +  $_GBC_b20f61c7bfab4a5a92fc287469774e41 +  $_GBC_78ce8b687a624a4a8faf3d358624042b" id="Cd76a1807528e4ae4bed805d7ba7c516f"/>
          <m:axisValue occRef="母公司"/>
        </m:item>
        <m:item xlName="_GBC_80cd41b0fb664a6e967663873f0e2fa7" concept="clcid-pte:YingYuGongJiZengJianBianDongJinE" label="盈余公积增减变动金额" mulRef="_GBC_048773409e614c6bb753000b028316a5" unitRef="_GBC_5214b7a188334da286fc3038d017d072" addr="T2R8C9S1_1" formatStyle="Comma">
          <m:complexRule comparator="Eq" title="母公司盈余公积增减变动金额" test=" $_GBC_645716e9fd3e497a81a47f886522e214 +  $_GBC_a174ff1aaa75414ca2e158d78f744d3d +  $_GBC_a0349cbf8a064523a3b3dee7665a041e +  $_GBC_6462d048d6314f59bcaa1c66b7df4d48 +  $_GBC_d5f93c8d0480464ebd1ced2fce559cdd +  $_GBC_4bbf8246a8b54d4983e9cf776f7f1283" id="Cb2421ba1d50d4c64b6b26a3e21f4c9a3"/>
          <m:axisValue occRef="母公司"/>
        </m:item>
        <m:item xlName="_GBC_61d10a7845be4be1b7583a44f08f6dd8" concept="clcid-pte:WeiFenPeiLiRunZengJianBianDongJinE" label="未分配利润增减变动金额" mulRef="_GBC_048773409e614c6bb753000b028316a5" unitRef="_GBC_5214b7a188334da286fc3038d017d072" addr="T2R8C10S1_1" formatStyle="Comma">
          <m:complexRule comparator="Eq" title="母公司未分配利润增减变动金额" test=" $_GBC_2e12858fa16b42059ad0fda66e2eaeb0 +  $_GBC_820c892f101943bd807c5af51955ffd4 +  $_GBC_cba52aa78ab34012b0a801d66eb8a2e2 +  $_GBC_f46d5e57a018475f8082fc51dd15e49e +  $_GBC_2e8bc48548d041e6ac139f8ff05dab4e +  $_GBC_8f083dff6a524622ae71c02b51f6181b" id="C633ee37e327e4aae8a24456a12311dd8"/>
          <m:axisValue occRef="母公司"/>
        </m:item>
        <m:item xlName="_GBC_dd44f39ad16c493489dd5f338f6b2e42" concept="clcid-pte:GuDongQuanYiHeJiZengJianBianDongJinE" label="股东权益合计增减变动金额" mulRef="_GBC_048773409e614c6bb753000b028316a5" unitRef="_GBC_5214b7a188334da286fc3038d017d072" addr="T2R8C11S1_1" formatStyle="Comma">
          <m:complexRule comparator="Eq" title="母公司股东权益合计增减变动金额" test=" $_GBC_8da94b7e0cbc4da6a8df2743bfcbfcfe +  $_GBC_3a6bf7d4c5fe48f19485439583e14c69 +  $_GBC_dd847f4c5b6446e4ad29a7717e967fe4 +  $_GBC_782b87c6adc54716910c267017ad800a +  $_GBC_edde1be052f04992b611b072eec8d60b +  $_GBC_48a420d2abcf4babbfd864619f365e6e" id="C93e0e6598f614435a473bd83eaed513a"/>
          <m:axisValue occRef="母公司"/>
        </m:item>
        <m:placeholder xlName="_PLD_c2eb317db9474ea9b9513a40ba81d9f7" wordText="（一）综合收益总额" addr="T2R9C0S1_1"/>
        <m:item xlName="_GBC_bafb887362134f71bc6ea7bf1a56e135" concept="clcid-pte:ZongHeShouYiZongEDaoZhiGuBenBianDongJinE" label="综合收益总额导致股本变动金额" mulRef="_GBC_048773409e614c6bb753000b028316a5" unitRef="_GBC_5214b7a188334da286fc3038d017d072" addr="T2R9C1S1_1" formatStyle="Comma">
          <m:axisValue occRef="母公司"/>
        </m:item>
        <m:item xlName="_GBC_bdb054bda43247959fdb490843b0dc7d" concept="clcid-pte:ZongHeShouYiZongEDaoZhiYouXianGuBianDongJinE" label="综合收益总额导致优先股变动金额" mulRef="_GBC_048773409e614c6bb753000b028316a5" unitRef="_GBC_5214b7a188334da286fc3038d017d072" addr="T2R9C2S1_1" formatStyle="Comma">
          <m:axisValue occRef="母公司"/>
        </m:item>
        <m:item xlName="_GBC_515f56f9ceb0425db3fc55587a878fe4" concept="clcid-pte:ZongHeShouYiZongEDaoZhiYongXuZhaiBianDongJinE" label="综合收益总额导致永续债变动金额" mulRef="_GBC_048773409e614c6bb753000b028316a5" unitRef="_GBC_5214b7a188334da286fc3038d017d072" addr="T2R9C3S1_1" formatStyle="Comma">
          <m:axisValue occRef="母公司"/>
        </m:item>
        <m:item xlName="_GBC_a55b7822b9ec430089892d845619c2a5" concept="clcid-pte:ZongHeShouYiZongEDaoZhiQiTaQuanYiGongJuZhongDeQiTaBianDongJinE" label="综合收益总额导致其他权益工具中的其他变动金额" mulRef="_GBC_048773409e614c6bb753000b028316a5" unitRef="_GBC_5214b7a188334da286fc3038d017d072" addr="T2R9C4S1_1" formatStyle="Comma">
          <m:axisValue occRef="母公司"/>
        </m:item>
        <m:item xlName="_GBC_f6814972acb040cb8f8ce2db97e4c74f" concept="clcid-pte:ZongHeShouYiZongEDaoZhiZiBenGongJiBianDongJinE" label="综合收益总额导致资本公积变动金额" mulRef="_GBC_048773409e614c6bb753000b028316a5" unitRef="_GBC_5214b7a188334da286fc3038d017d072" addr="T2R9C5S1_1" formatStyle="Comma">
          <m:axisValue occRef="母公司"/>
        </m:item>
        <m:item xlName="_GBC_3fb671fe204548e2a581048005b70e18" concept="clcid-pte:ZongHeShouYiZongEDaoZhiKuCunGuBianDongJinE" label="综合收益总额导致库存股变动金额" mulRef="_GBC_048773409e614c6bb753000b028316a5" unitRef="_GBC_5214b7a188334da286fc3038d017d072" addr="T2R9C6S1_1" baseScale="-1" formatStyle="Comma">
          <m:axisValue occRef="母公司"/>
        </m:item>
        <m:item xlName="_GBC_1eb836189e4f4076a0c58969a56cb56f" concept="clcid-pte:ZongHeShouYiZongEDaoZhiQiTaZongHeShouYiBianDongJinE" label="综合收益总额导致其他综合收益变动金额" mulRef="_GBC_048773409e614c6bb753000b028316a5" unitRef="_GBC_5214b7a188334da286fc3038d017d072" addr="T2R9C7S1_1" formatStyle="Comma">
          <m:axisValue occRef="母公司"/>
        </m:item>
        <m:item xlName="_GBC_6134b274d09046249a60a70dd8187853" concept="clcid-pte:ZongHeShouYiZongEDaoZhiZhuanXiangChuBeiBianDongJinE" label="综合收益总额导致专项储备变动金额" mulRef="_GBC_048773409e614c6bb753000b028316a5" unitRef="_GBC_5214b7a188334da286fc3038d017d072" addr="T2R9C8S1_1" formatStyle="Comma">
          <m:axisValue occRef="母公司"/>
        </m:item>
        <m:item xlName="_GBC_645716e9fd3e497a81a47f886522e214" concept="clcid-pte:ZongHeShouYiZongEDaoZhiYingYuGongJiBianDongJinE" label="综合收益总额导致盈余公积变动金额" mulRef="_GBC_048773409e614c6bb753000b028316a5" unitRef="_GBC_5214b7a188334da286fc3038d017d072" addr="T2R9C9S1_1" formatStyle="Comma">
          <m:axisValue occRef="母公司"/>
        </m:item>
        <m:item xlName="_GBC_2e12858fa16b42059ad0fda66e2eaeb0" concept="clcid-pte:ZongHeShouYiZongEDaoZhiWeiFenPeiLiRunBianDongJinE" label="综合收益总额导致未分配利润变动金额" mulRef="_GBC_048773409e614c6bb753000b028316a5" unitRef="_GBC_5214b7a188334da286fc3038d017d072" addr="T2R9C10S1_1" formatStyle="Comma">
          <m:axisValue occRef="母公司"/>
        </m:item>
        <m:item xlName="_GBC_8da94b7e0cbc4da6a8df2743bfcbfcfe" concept="clcid-pte:ZongHeShouYiZongEDaoZhiGuDongQuanYiHeJiBianDongJinE" label="综合收益总额导致股东权益合计变动金额" mulRef="_GBC_048773409e614c6bb753000b028316a5" unitRef="_GBC_5214b7a188334da286fc3038d017d072" addr="T2R9C11S1_1" formatStyle="Comma">
          <m:axisValue occRef="母公司"/>
        </m:item>
        <m:placeholder xlName="_PLD_2c2c42255e12419d81111ac5d28c5859" wordText="（二）所有者投入和减少资本" addr="T2R10C0S1_1"/>
        <m:item xlName="_GBC_53124b0abc94408586386dcf21742d7d" concept="clcid-pte:SuoYouZheTouRuHeJianShaoZiBenDaoZhiShiShouZiBenHuoGuBenJingEBianDongJinE" label="所有者投入和减少资本导致实收资本（或股本）净额变动金额" mulRef="_GBC_048773409e614c6bb753000b028316a5" unitRef="_GBC_5214b7a188334da286fc3038d017d072" addr="T2R10C1S1_1" formatStyle="Comma">
          <m:complexRule comparator="Eq" title="母公司所有者投入和减少资本导致实收资本（或股本）净额变动金额" test=" $_GBC_490095990527426baf8587ee9a80b89e +  $_GBC_53d1510778814016aedabaf43b88165a +  $_GBC_8fd7590c472b42288cf31c98f648a512 +  $_GBC_f0926c3fb9cd4d90a6c27bdedbd5bba5" id="C0fedace92b964cc79744cabb924df97d"/>
          <m:axisValue occRef="母公司"/>
        </m:item>
        <m:item xlName="_GBC_04da6968053f4d92a694f8bbec91e45d" concept="clcid-pte:SuoYouZheTouRuHeJianShaoZiBenDaoZhiQiTaQuanYiGongJuZhongDeYouXianGuBianDongJinE" label="所有者投入和减少资本导致其他权益工具中的优先股变动金额" mulRef="_GBC_048773409e614c6bb753000b028316a5" unitRef="_GBC_5214b7a188334da286fc3038d017d072" addr="T2R10C2S1_1" formatStyle="Comma">
          <m:complexRule comparator="Eq" title="母公司所有者投入和减少资本导致其他权益工具中的优先股变动金额" test=" $_GBC_f5e70db646614901a7e353dcb2d8c53a +  $_GBC_7a1c5425db4d40319251a50e3cd524fc +  $_GBC_84c12b77cc3a4d21b206751902c55f2d +  $_GBC_03f42a49598b4e549843b8e726fd0db0" id="C332143f4e6074807a9fd19a0bfcfdc94"/>
          <m:axisValue occRef="母公司"/>
        </m:item>
        <m:item xlName="_GBC_d8069e8e7ea94d5797a9d75fe2bc95b9" concept="clcid-pte:SuoYouZheTouRuHeJianShaoZiBenDaoZhiQiTaQuanYiGongJuZhongDeYongXuZhaiBianDongJinE" label="所有者投入和减少资本导致其他权益工具中的永续债变动金额" mulRef="_GBC_048773409e614c6bb753000b028316a5" unitRef="_GBC_5214b7a188334da286fc3038d017d072" addr="T2R10C3S1_1" formatStyle="Comma">
          <m:complexRule comparator="Eq" title="母公司所有者投入和减少资本导致其他权益工具中的永续债变动金额" test=" $_GBC_70005958a69a4990ba26b3db015a49a2 +  $_GBC_71fcaf6e93874898861549e63c168feb +  $_GBC_19dbec8f6b8b45ee86f9cb2df62e3072 +  $_GBC_debe77108b5948c4bc0a65bc2c02341c" id="C29a43f7841ab4963b91d6d3442ef8472"/>
          <m:axisValue occRef="母公司"/>
        </m:item>
        <m:item xlName="_GBC_9f00dd6a190642b3b64721e10ebab6cb" concept="clcid-pte:SuoYouZheTouRuHeJianShaoZiBenDaoZhiQiTaQuanYiGongJuZhongDeQiTaBianDongJinE" label="所有者投入和减少资本导致其他权益工具中的其他变动金额" mulRef="_GBC_048773409e614c6bb753000b028316a5" unitRef="_GBC_5214b7a188334da286fc3038d017d072" addr="T2R10C4S1_1" formatStyle="Comma">
          <m:complexRule comparator="Eq" title="母公司所有者投入和减少资本导致其他权益工具中的其他变动金额" test=" $_GBC_a7ea1bb4838b4d1d93b44ab95a14b8d3 +  $_GBC_d47e14ceca3844cdbee6002a26639ffc +  $_GBC_7d564e9554aa4b3c829678baf73a5546 +  $_GBC_b81e528fddf1412db8aaf48e58d880d4" id="C552da636d729472f99b3b7bb120e1e99"/>
          <m:axisValue occRef="母公司"/>
        </m:item>
        <m:item xlName="_GBC_539884210628448b927f8a942713a833" concept="clcid-pte:SuoYouZheTouRuHeJianShaoZiBenDaoZhiZiBenGongJiBianDongJinE" label="所有者投入和减少资本导致资本公积变动金额" mulRef="_GBC_048773409e614c6bb753000b028316a5" unitRef="_GBC_5214b7a188334da286fc3038d017d072" addr="T2R10C5S1_1" formatStyle="Comma">
          <m:complexRule comparator="Eq" title="母公司所有者投入和减少资本导致资本公积变动金额" test=" $_GBC_c965bb4aa5f34cfb899ffb8a080a2c50 +  $_GBC_c2d517986e6445ca8dbb27d2fad0f18e +  $_GBC_5a0fe7bc619f4f738cc43a7d0090929f +  $_GBC_9a5faea965394aa18d5cc4a5fba00ffd" id="Cedaf99d17b5c4f2db48692dffc15275d"/>
          <m:axisValue occRef="母公司"/>
        </m:item>
        <m:item xlName="_GBC_e2cd97163583414dba53674ff5b486c2" concept="clcid-pte:SuoYouZheTouRuHeJianShaoZiBenDaoZhiKuCunGuBianDongJinE" label="所有者投入和减少资本导致库存股变动金额" mulRef="_GBC_048773409e614c6bb753000b028316a5" unitRef="_GBC_5214b7a188334da286fc3038d017d072" addr="T2R10C6S1_1" baseScale="-1" formatStyle="Comma">
          <m:complexRule comparator="Eq" title="母公司所有者投入和减少资本导致库存股变动金额" test=" $_GBC_e7ad749d698c40079ec08a98a0ad229b +  $_GBC_f813a28e7dfe42b5aaf6e002a8757e07 +  $_GBC_f517a56d61e64041b4e883267b43adae +  $_GBC_b90c309f04884e9988b47bb98249f2de" id="Ccf34cd3fdcdb4d5f89df56e056d581d8"/>
          <m:axisValue occRef="母公司"/>
        </m:item>
        <m:item xlName="_GBC_99a0fee938134a7e8f8935c722e5264f" concept="clcid-pte:SuoYouZheTouRuHeJianShaoZiBenDaoZhiQiTaZongHeShouYiBianDongJinE" label="所有者投入和减少资本导致其他综合收益变动金额" mulRef="_GBC_048773409e614c6bb753000b028316a5" unitRef="_GBC_5214b7a188334da286fc3038d017d072" addr="T2R10C7S1_1" formatStyle="Comma">
          <m:complexRule comparator="Eq" title="母公司所有者投入和减少资本导致其他综合收益变动金额" test=" $_GBC_8e9ad03ec6204f8da0f80e2b3890be27 +  $_GBC_76a1144f586948f3860f8326a6b0c752 +  $_GBC_dd7a15e33d304b4f96f31beb6a5dfe38 +  $_GBC_2b2322309d644f3ca704de4277ab5f3e" id="Ceb6143ffd98a4726ad7193a63f8149ba"/>
          <m:axisValue occRef="母公司"/>
        </m:item>
        <m:item xlName="_GBC_9d50d198419d4c6db3293a235197aa32" concept="clcid-pte:SuoYouZheTouRuHeJianShaoZiBenDaoZhiZhuanXiangChuBeiBianDongJinE" label="所有者投入和减少资本导致专项储备变动金额" mulRef="_GBC_048773409e614c6bb753000b028316a5" unitRef="_GBC_5214b7a188334da286fc3038d017d072" addr="T2R10C8S1_1" formatStyle="Comma">
          <m:complexRule comparator="Eq" title="母公司所有者投入和减少资本导致专项储备变动金额" test=" $_GBC_01beb63bab784be1a7d0837a6853205c +  $_GBC_aed16ca0e9ee4dd2b6f885fd1db1e57b +  $_GBC_846ae953547246858fa579f5558ab8c6 +  $_GBC_2344ce73ef7e4cf3bfc3bb6f1bbef86f" id="C8ad8c2fdff174461b900658d42ae31d9"/>
          <m:axisValue occRef="母公司"/>
        </m:item>
        <m:item xlName="_GBC_a174ff1aaa75414ca2e158d78f744d3d" concept="clcid-pte:SuoYouZheTouRuHeJianShaoZiBenDaoZhiYingYuGongJiBianDongJinE" label="所有者投入和减少资本导致盈余公积变动金额" mulRef="_GBC_048773409e614c6bb753000b028316a5" unitRef="_GBC_5214b7a188334da286fc3038d017d072" addr="T2R10C9S1_1" formatStyle="Comma">
          <m:complexRule comparator="Eq" title="母公司所有者投入和减少资本导致盈余公积变动金额" test=" $_GBC_77f8f27d66cc49108878e2cd0ecdafaa +  $_GBC_d6d225d958a842559f9699c692dfa508 +  $_GBC_7c251d346cfe47dab41d5e6b41c83bac +  $_GBC_a2b3dae456cb4e6ea136505703b2a062" id="C861ab033a6094c24ad075a01f4c8082f"/>
          <m:axisValue occRef="母公司"/>
        </m:item>
        <m:item xlName="_GBC_820c892f101943bd807c5af51955ffd4" concept="clcid-pte:SuoYouZheTouRuHeJianShaoZiBenDaoZhiWeiFenPeiLiRunBianDongJinE" label="所有者投入和减少资本导致未分配利润变动金额" mulRef="_GBC_048773409e614c6bb753000b028316a5" unitRef="_GBC_5214b7a188334da286fc3038d017d072" addr="T2R10C10S1_1" formatStyle="Comma">
          <m:complexRule comparator="Eq" title="母公司所有者投入和减少资本导致未分配利润变动金额" test=" $_GBC_5b914761e7034c97898c3ce2d6aa0b1b +  $_GBC_4490d9b66afa422389113eb0ca1135ad +  $_GBC_02cb2991c67447f3a17e6a57a6ed6c8a +  $_GBC_1dc61a1e42884168a980222bfbb01e5a" id="C2d30e007f78543faa6fb6aab1617ce96"/>
          <m:axisValue occRef="母公司"/>
        </m:item>
        <m:item xlName="_GBC_3a6bf7d4c5fe48f19485439583e14c69" concept="clcid-pte:SuoYouZheTouRuHeJianShaoZiBenDaoZhiGuDongQuanYiHeJiBianDongJinE" label="所有者投入和减少资本导致股东权益合计变动金额" mulRef="_GBC_048773409e614c6bb753000b028316a5" unitRef="_GBC_5214b7a188334da286fc3038d017d072" addr="T2R10C11S1_1" formatStyle="Comma">
          <m:complexRule comparator="Eq" title="母公司所有者投入和减少资本导致股东权益合计变动金额" test=" $_GBC_7b6a9b4c07b0446ea3be2542ddfa4a05 +  $_GBC_98492c21ebe94301aa20c939ba6cb861 +  $_GBC_e0cdc6f56f5643c5b68fd328dd85b1f0 +  $_GBC_7fb831404f46477bbc91b6f6f3a63509" id="C7c373ec2f30f4b27990d3552d120f595"/>
          <m:axisValue occRef="母公司"/>
        </m:item>
        <m:placeholder xlName="_PLD_ced9c335ab0c4ec8b683bd42730e309b" wordText="1．所有者投入的普通股" addr="T2R11C0S1_1"/>
        <m:item xlName="_GBC_490095990527426baf8587ee9a80b89e" concept="clcid-pte:GuDongTouRuDePuTongGuDaoZhiGuBenBianDongJinE" label="股东投入的普通股导致股本变动金额" mulRef="_GBC_048773409e614c6bb753000b028316a5" unitRef="_GBC_5214b7a188334da286fc3038d017d072" addr="T2R11C1S1_1" formatStyle="Comma">
          <m:axisValue occRef="母公司"/>
        </m:item>
        <m:item xlName="_GBC_f5e70db646614901a7e353dcb2d8c53a" concept="clcid-pte:GuDongTouRuDePuTongGuDaoZhiYouXianGuBianDongJinE" label="股东投入的普通股导致优先股变动金额" mulRef="_GBC_048773409e614c6bb753000b028316a5" unitRef="_GBC_5214b7a188334da286fc3038d017d072" addr="T2R11C2S1_1" formatStyle="Comma">
          <m:axisValue occRef="母公司"/>
        </m:item>
        <m:item xlName="_GBC_70005958a69a4990ba26b3db015a49a2" concept="clcid-pte:GuDongTouRuDePuTongGuDaoZhiYongXuZhaiBianDongJinE" label="股东投入的普通股导致永续债变动金额" mulRef="_GBC_048773409e614c6bb753000b028316a5" unitRef="_GBC_5214b7a188334da286fc3038d017d072" addr="T2R11C3S1_1" formatStyle="Comma">
          <m:axisValue occRef="母公司"/>
        </m:item>
        <m:item xlName="_GBC_a7ea1bb4838b4d1d93b44ab95a14b8d3" concept="clcid-pte:GuDongTouRuDePuTongGuDaoZhiQiTaQuanYiGongJuZhongDeQiTaBianDongJinE" label="股东投入的普通股导致其他权益工具中的其他变动金额" mulRef="_GBC_048773409e614c6bb753000b028316a5" unitRef="_GBC_5214b7a188334da286fc3038d017d072" addr="T2R11C4S1_1" formatStyle="Comma">
          <m:axisValue occRef="母公司"/>
        </m:item>
        <m:item xlName="_GBC_c965bb4aa5f34cfb899ffb8a080a2c50" concept="clcid-pte:GuDongTouRuDePuTongGuDaoZhiZiBenGongJiBianDongJinE" label="股东投入的普通股导致资本公积变动金额" mulRef="_GBC_048773409e614c6bb753000b028316a5" unitRef="_GBC_5214b7a188334da286fc3038d017d072" addr="T2R11C5S1_1" formatStyle="Comma">
          <m:axisValue occRef="母公司"/>
        </m:item>
        <m:item xlName="_GBC_e7ad749d698c40079ec08a98a0ad229b" concept="clcid-pte:GuDongTouRuDePuTongGuDaoZhiKuCunGuBianDongJinE" label="股东投入的普通股导致库存股变动金额" mulRef="_GBC_048773409e614c6bb753000b028316a5" unitRef="_GBC_5214b7a188334da286fc3038d017d072" addr="T2R11C6S1_1" baseScale="-1" formatStyle="Comma">
          <m:axisValue occRef="母公司"/>
        </m:item>
        <m:item xlName="_GBC_8e9ad03ec6204f8da0f80e2b3890be27" concept="clcid-pte:GuDongTouRuDePuTongGuDaoZhiQiTaZongHeShouYiBianDongJinE" label="股东投入的普通股导致其他综合收益变动金额" mulRef="_GBC_048773409e614c6bb753000b028316a5" unitRef="_GBC_5214b7a188334da286fc3038d017d072" addr="T2R11C7S1_1" formatStyle="Comma">
          <m:axisValue occRef="母公司"/>
        </m:item>
        <m:item xlName="_GBC_01beb63bab784be1a7d0837a6853205c" concept="clcid-pte:GuDongTouRuDePuTongGuDaoZhiZhuanXiangChuBeiBianDongJinE" label="股东投入的普通股导致专项储备变动金额" mulRef="_GBC_048773409e614c6bb753000b028316a5" unitRef="_GBC_5214b7a188334da286fc3038d017d072" addr="T2R11C8S1_1" formatStyle="Comma">
          <m:axisValue occRef="母公司"/>
        </m:item>
        <m:item xlName="_GBC_77f8f27d66cc49108878e2cd0ecdafaa" concept="clcid-pte:GuDongTouRuDePuTongGuDaoZhiYingYuGongJiBianDongJinE" label="股东投入的普通股导致盈余公积变动金额" mulRef="_GBC_048773409e614c6bb753000b028316a5" unitRef="_GBC_5214b7a188334da286fc3038d017d072" addr="T2R11C9S1_1" formatStyle="Comma">
          <m:axisValue occRef="母公司"/>
        </m:item>
        <m:item xlName="_GBC_5b914761e7034c97898c3ce2d6aa0b1b" concept="clcid-pte:GuDongTouRuDePuTongGuDaoZhiWeiFenPeiLiRunBianDongJinE" label="股东投入的普通股导致未分配利润变动金额" mulRef="_GBC_048773409e614c6bb753000b028316a5" unitRef="_GBC_5214b7a188334da286fc3038d017d072" addr="T2R11C10S1_1" formatStyle="Comma">
          <m:axisValue occRef="母公司"/>
        </m:item>
        <m:item xlName="_GBC_7b6a9b4c07b0446ea3be2542ddfa4a05" concept="clcid-pte:GuDongTouRuDePuTongGuDaoZhiGuDongQuanYiHeJiBianDongJinE" label="股东投入的普通股导致股东权益合计变动金额" mulRef="_GBC_048773409e614c6bb753000b028316a5" unitRef="_GBC_5214b7a188334da286fc3038d017d072" addr="T2R11C11S1_1" formatStyle="Comma">
          <m:axisValue occRef="母公司"/>
        </m:item>
        <m:placeholder xlName="_PLD_5db7714c048b45cb8fc2f783898126a2" wordText="2．其他权益工具持有者投入资本" addr="T2R12C0S1_1"/>
        <m:item xlName="_GBC_53d1510778814016aedabaf43b88165a" concept="clcid-pte:QiTaQuanYiGongJuChiYouZheTouRuZiBenDaoZhiGuBenBianDongJinE" label="其他权益工具持有者投入资本导致股本变动金额" mulRef="_GBC_048773409e614c6bb753000b028316a5" unitRef="_GBC_5214b7a188334da286fc3038d017d072" addr="T2R12C1S1_1" formatStyle="Comma">
          <m:axisValue occRef="母公司"/>
        </m:item>
        <m:item xlName="_GBC_7a1c5425db4d40319251a50e3cd524fc" concept="clcid-pte:QiTaQuanYiGongJuChiYouZheTouRuZiBenDaoZhiYouXianGuBianDongJinE" label="其他权益工具持有者投入资本导致优先股变动金额" mulRef="_GBC_048773409e614c6bb753000b028316a5" unitRef="_GBC_5214b7a188334da286fc3038d017d072" addr="T2R12C2S1_1" formatStyle="Comma">
          <m:axisValue occRef="母公司"/>
        </m:item>
        <m:item xlName="_GBC_71fcaf6e93874898861549e63c168feb" concept="clcid-pte:QiTaQuanYiGongJuChiYouZheTouRuZiBenDaoZhiYongXuZhaiBianDongJinE" label="其他权益工具持有者投入资本导致永续债变动金额" mulRef="_GBC_048773409e614c6bb753000b028316a5" unitRef="_GBC_5214b7a188334da286fc3038d017d072" addr="T2R12C3S1_1" formatStyle="Comma">
          <m:axisValue occRef="母公司"/>
        </m:item>
        <m:item xlName="_GBC_d47e14ceca3844cdbee6002a26639ffc" concept="clcid-pte:QiTaQuanYiGongJuChiYouZheTouRuZiBenDaoZhiQiTaQuanYiGongJuZhongDeQiTaBianDongJinE" label="其他权益工具持有者投入资本导致其他权益工具中的其他变动金额" mulRef="_GBC_048773409e614c6bb753000b028316a5" unitRef="_GBC_5214b7a188334da286fc3038d017d072" addr="T2R12C4S1_1" formatStyle="Comma">
          <m:axisValue occRef="母公司"/>
        </m:item>
        <m:item xlName="_GBC_c2d517986e6445ca8dbb27d2fad0f18e" concept="clcid-pte:QiTaQuanYiGongJuChiYouZheTouRuZiBenDaoZhiZiBenGongJiBianDongJinE" label="其他权益工具持有者投入资本导致资本公积变动金额" mulRef="_GBC_048773409e614c6bb753000b028316a5" unitRef="_GBC_5214b7a188334da286fc3038d017d072" addr="T2R12C5S1_1" formatStyle="Comma">
          <m:axisValue occRef="母公司"/>
        </m:item>
        <m:item xlName="_GBC_f813a28e7dfe42b5aaf6e002a8757e07" concept="clcid-pte:QiTaQuanYiGongJuChiYouZheTouRuZiBenDaoZhiKuCunGuBianDongJinE" label="其他权益工具持有者投入资本导致库存股变动金额" mulRef="_GBC_048773409e614c6bb753000b028316a5" unitRef="_GBC_5214b7a188334da286fc3038d017d072" addr="T2R12C6S1_1" baseScale="-1" formatStyle="Comma">
          <m:axisValue occRef="母公司"/>
        </m:item>
        <m:item xlName="_GBC_76a1144f586948f3860f8326a6b0c752" concept="clcid-pte:QiTaQuanYiGongJuChiYouZheTouRuZiBenDaoZhiQiTaZongHeShouYiBianDongJinE" label="其他权益工具持有者投入资本导致其他综合收益变动金额" mulRef="_GBC_048773409e614c6bb753000b028316a5" unitRef="_GBC_5214b7a188334da286fc3038d017d072" addr="T2R12C7S1_1" formatStyle="Comma">
          <m:axisValue occRef="母公司"/>
        </m:item>
        <m:item xlName="_GBC_aed16ca0e9ee4dd2b6f885fd1db1e57b" concept="clcid-pte:QiTaQuanYiGongJuChiYouZheTouRuZiBenDaoZhiZhuanXiangChuBeiBianDongJinE" label="其他权益工具持有者投入资本导致专项储备变动金额" mulRef="_GBC_048773409e614c6bb753000b028316a5" unitRef="_GBC_5214b7a188334da286fc3038d017d072" addr="T2R12C8S1_1" formatStyle="Comma">
          <m:axisValue occRef="母公司"/>
        </m:item>
        <m:item xlName="_GBC_d6d225d958a842559f9699c692dfa508" concept="clcid-pte:QiTaQuanYiGongJuChiYouZheTouRuZiBenDaoZhiYingYuGongJiBianDongJinE" label="其他权益工具持有者投入资本导致盈余公积变动金额" mulRef="_GBC_048773409e614c6bb753000b028316a5" unitRef="_GBC_5214b7a188334da286fc3038d017d072" addr="T2R12C9S1_1" formatStyle="Comma">
          <m:axisValue occRef="母公司"/>
        </m:item>
        <m:item xlName="_GBC_4490d9b66afa422389113eb0ca1135ad" concept="clcid-pte:QiTaQuanYiGongJuChiYouZheTouRuZiBenDaoZhiWeiFenPeiLiRunBianDongJinE" label="其他权益工具持有者投入资本导致未分配利润变动金额" mulRef="_GBC_048773409e614c6bb753000b028316a5" unitRef="_GBC_5214b7a188334da286fc3038d017d072" addr="T2R12C10S1_1" formatStyle="Comma">
          <m:axisValue occRef="母公司"/>
        </m:item>
        <m:item xlName="_GBC_98492c21ebe94301aa20c939ba6cb861" concept="clcid-pte:QiTaQuanYiGongJuChiYouZheTouRuZiBenDaoZhiGuDongQuanYiHeJiBianDongJinE" label="其他权益工具持有者投入资本导致股东权益合计变动金额" mulRef="_GBC_048773409e614c6bb753000b028316a5" unitRef="_GBC_5214b7a188334da286fc3038d017d072" addr="T2R12C11S1_1" formatStyle="Comma">
          <m:axisValue occRef="母公司"/>
        </m:item>
        <m:placeholder xlName="_PLD_0c8627dcaed14beabce3c3a65384cf01" wordText="3．股份支付计入所有者权益的金额" addr="T2R13C0S1_1"/>
        <m:item xlName="_GBC_8fd7590c472b42288cf31c98f648a512" concept="clcid-pte:GuFenZhiFuJiRuSuoYouZheQuanYiDeJinEDaoZhiShiShouZiBenHuoGuBenJingEBianDongJinE" label="股份支付计入所有者权益的金额导致实收资本（或股本）净额变动金额" mulRef="_GBC_048773409e614c6bb753000b028316a5" unitRef="_GBC_5214b7a188334da286fc3038d017d072" addr="T2R13C1S1_1" formatStyle="Comma">
          <m:axisValue occRef="母公司"/>
        </m:item>
        <m:item xlName="_GBC_84c12b77cc3a4d21b206751902c55f2d" concept="clcid-pte:GuFenZhiFuJiRuSuoYouZheQuanYiDeJinEDaoZhiQiTaQuanYiGongJuZhongDeYouXianGuBianDongJinE" label="股份支付计入所有者权益的金额导致其他权益工具中的优先股变动金额" mulRef="_GBC_048773409e614c6bb753000b028316a5" unitRef="_GBC_5214b7a188334da286fc3038d017d072" addr="T2R13C2S1_1" formatStyle="Comma">
          <m:axisValue occRef="母公司"/>
        </m:item>
        <m:item xlName="_GBC_19dbec8f6b8b45ee86f9cb2df62e3072" concept="clcid-pte:GuFenZhiFuJiRuSuoYouZheQuanYiDeJinEDaoZhiQiTaQuanYiGongJuZhongDeYongXuZhaiBianDongJinE" label="股份支付计入所有者权益的金额导致其他权益工具中的永续债变动金额" mulRef="_GBC_048773409e614c6bb753000b028316a5" unitRef="_GBC_5214b7a188334da286fc3038d017d072" addr="T2R13C3S1_1" formatStyle="Comma">
          <m:axisValue occRef="母公司"/>
        </m:item>
        <m:item xlName="_GBC_7d564e9554aa4b3c829678baf73a5546" concept="clcid-pte:GuFenZhiFuJiRuSuoYouZheQuanYiDeJinEDaoZhiQiTaQuanYiGongJuZhongDeQiTaBianDongJinE" label="股份支付计入所有者权益的金额导致其他权益工具中的其他变动金额" mulRef="_GBC_048773409e614c6bb753000b028316a5" unitRef="_GBC_5214b7a188334da286fc3038d017d072" addr="T2R13C4S1_1" formatStyle="Comma">
          <m:axisValue occRef="母公司"/>
        </m:item>
        <m:item xlName="_GBC_5a0fe7bc619f4f738cc43a7d0090929f" concept="clcid-pte:GuFenZhiFuJiRuSuoYouZheQuanYiDeJinEDaoZhiZiBenGongJiBianDongJinE" label="股份支付计入所有者权益的金额导致资本公积变动金额" mulRef="_GBC_048773409e614c6bb753000b028316a5" unitRef="_GBC_5214b7a188334da286fc3038d017d072" addr="T2R13C5S1_1" formatStyle="Comma">
          <m:axisValue occRef="母公司"/>
        </m:item>
        <m:item xlName="_GBC_f517a56d61e64041b4e883267b43adae" concept="clcid-pte:GuFenZhiFuJiRuSuoYouZheQuanYiDeJinEDaoZhiKuCunGuBianDongJinE" label="股份支付计入所有者权益的金额导致库存股变动金额" mulRef="_GBC_048773409e614c6bb753000b028316a5" unitRef="_GBC_5214b7a188334da286fc3038d017d072" addr="T2R13C6S1_1" baseScale="-1" formatStyle="Comma">
          <m:axisValue occRef="母公司"/>
        </m:item>
        <m:item xlName="_GBC_dd7a15e33d304b4f96f31beb6a5dfe38" concept="clcid-pte:GuFenZhiFuJiRuSuoYouZheQuanYiDeJinEDaoZhiQiTaZongHeShouYiBianDongJinE" label="股份支付计入所有者权益的金额导致其他综合收益变动金额" mulRef="_GBC_048773409e614c6bb753000b028316a5" unitRef="_GBC_5214b7a188334da286fc3038d017d072" addr="T2R13C7S1_1" formatStyle="Comma">
          <m:axisValue occRef="母公司"/>
        </m:item>
        <m:item xlName="_GBC_846ae953547246858fa579f5558ab8c6" concept="clcid-pte:GuFenZhiFuJiRuSuoYouZheQuanYiDeJinEDaoZhiZhuanXiangChuBeiBianDongJinE" label="股份支付计入所有者权益的金额导致专项储备变动金额" mulRef="_GBC_048773409e614c6bb753000b028316a5" unitRef="_GBC_5214b7a188334da286fc3038d017d072" addr="T2R13C8S1_1" formatStyle="Comma">
          <m:axisValue occRef="母公司"/>
        </m:item>
        <m:item xlName="_GBC_7c251d346cfe47dab41d5e6b41c83bac" concept="clcid-pte:GuFenZhiFuJiRuSuoYouZheQuanYiDeJinEDaoZhiYingYuGongJiBianDongJinE" label="股份支付计入所有者权益的金额导致盈余公积变动金额" mulRef="_GBC_048773409e614c6bb753000b028316a5" unitRef="_GBC_5214b7a188334da286fc3038d017d072" addr="T2R13C9S1_1" formatStyle="Comma">
          <m:axisValue occRef="母公司"/>
        </m:item>
        <m:item xlName="_GBC_02cb2991c67447f3a17e6a57a6ed6c8a" concept="clcid-pte:GuFenZhiFuJiRuSuoYouZheQuanYiDeJinEDaoZhiWeiFenPeiLiRunBianDongJinE" label="股份支付计入所有者权益的金额导致未分配利润变动金额" mulRef="_GBC_048773409e614c6bb753000b028316a5" unitRef="_GBC_5214b7a188334da286fc3038d017d072" addr="T2R13C10S1_1" formatStyle="Comma">
          <m:axisValue occRef="母公司"/>
        </m:item>
        <m:item xlName="_GBC_e0cdc6f56f5643c5b68fd328dd85b1f0" concept="clcid-pte:GuFenZhiFuJiRuSuoYouZheQuanYiDeJinEDaoZhiGuDongQuanYiHeJiBianDongJinE" label="股份支付计入所有者权益的金额导致股东权益合计变动金额" mulRef="_GBC_048773409e614c6bb753000b028316a5" unitRef="_GBC_5214b7a188334da286fc3038d017d072" addr="T2R13C11S1_1" formatStyle="Comma">
          <m:axisValue occRef="母公司"/>
        </m:item>
        <m:placeholder xlName="_PLD_4815225e85794febad32622528b72229" wordText="4．其他" addr="T2R14C0S1_1"/>
        <m:item xlName="_GBC_f0926c3fb9cd4d90a6c27bdedbd5bba5" concept="clcid-pte:QiTaSuoYouZheTouRuHeJianShaoZiBenDaoZhiShiShouZiBenHuoGuBenJingEBianDongJinE" label="其他所有者投入和减少资本导致实收资本（或股本）净额变动金额" mulRef="_GBC_048773409e614c6bb753000b028316a5" unitRef="_GBC_5214b7a188334da286fc3038d017d072" addr="T2R14C1S1_1" formatStyle="Comma">
          <m:axisValue occRef="母公司"/>
        </m:item>
        <m:item xlName="_GBC_03f42a49598b4e549843b8e726fd0db0" concept="clcid-pte:QiTaSuoYouZheTouRuHeJianShaoZiBenDaoZhiQiTaQuanYiGongJuZhongDeYouXianGuBianDongJinE" label="其他所有者投入和减少资本导致其他权益工具中的优先股变动金额" mulRef="_GBC_048773409e614c6bb753000b028316a5" unitRef="_GBC_5214b7a188334da286fc3038d017d072" addr="T2R14C2S1_1" formatStyle="Comma">
          <m:axisValue occRef="母公司"/>
        </m:item>
        <m:item xlName="_GBC_debe77108b5948c4bc0a65bc2c02341c" concept="clcid-pte:QiTaSuoYouZheTouRuHeJianShaoZiBenDaoZhiQiTaQuanYiGongJuZhongDeYongXuZhaiBianDongJinE" label="其他所有者投入和减少资本导致其他权益工具中的永续债变动金额" mulRef="_GBC_048773409e614c6bb753000b028316a5" unitRef="_GBC_5214b7a188334da286fc3038d017d072" addr="T2R14C3S1_1" formatStyle="Comma">
          <m:axisValue occRef="母公司"/>
        </m:item>
        <m:item xlName="_GBC_b81e528fddf1412db8aaf48e58d880d4" concept="clcid-pte:QiTaSuoYouZheTouRuHeJianShaoZiBenDaoZhiQiTaQuanYiGongJuZhongDeQiTaBianDongJinE" label="其他所有者投入和减少资本导致其他权益工具中的其他变动金额" mulRef="_GBC_048773409e614c6bb753000b028316a5" unitRef="_GBC_5214b7a188334da286fc3038d017d072" addr="T2R14C4S1_1" formatStyle="Comma">
          <m:axisValue occRef="母公司"/>
        </m:item>
        <m:item xlName="_GBC_9a5faea965394aa18d5cc4a5fba00ffd" concept="clcid-pte:QiTaSuoYouZheTouRuHeJianShaoZiBenDaoZhiZiBenGongJiBianDongJinE" label="其他所有者投入和减少资本导致资本公积变动金额" mulRef="_GBC_048773409e614c6bb753000b028316a5" unitRef="_GBC_5214b7a188334da286fc3038d017d072" addr="T2R14C5S1_1" formatStyle="Comma">
          <m:axisValue occRef="母公司"/>
        </m:item>
        <m:item xlName="_GBC_b90c309f04884e9988b47bb98249f2de" concept="clcid-pte:QiTaSuoYouZheTouRuHeJianShaoZiBenDaoZhiKuCunGuBianDongJinE" label="其他所有者投入和减少资本导致库存股变动金额" mulRef="_GBC_048773409e614c6bb753000b028316a5" unitRef="_GBC_5214b7a188334da286fc3038d017d072" addr="T2R14C6S1_1" baseScale="-1" formatStyle="Comma">
          <m:axisValue occRef="母公司"/>
        </m:item>
        <m:item xlName="_GBC_2b2322309d644f3ca704de4277ab5f3e" concept="clcid-pte:QiTaSuoYouZheTouRuHeJianShaoZiBenDaoZhiQiTaZongHeShouYiBianDongJinE" label="其他所有者投入和减少资本导致其他综合收益变动金额" mulRef="_GBC_048773409e614c6bb753000b028316a5" unitRef="_GBC_5214b7a188334da286fc3038d017d072" addr="T2R14C7S1_1" formatStyle="Comma">
          <m:axisValue occRef="母公司"/>
        </m:item>
        <m:item xlName="_GBC_2344ce73ef7e4cf3bfc3bb6f1bbef86f" concept="clcid-pte:QiTaSuoYouZheTouRuHeJianShaoZiBenDaoZhiZhuanXiangChuBeiBianDongJinE" label="其他所有者投入和减少资本导致专项储备变动金额" mulRef="_GBC_048773409e614c6bb753000b028316a5" unitRef="_GBC_5214b7a188334da286fc3038d017d072" addr="T2R14C8S1_1" formatStyle="Comma">
          <m:axisValue occRef="母公司"/>
        </m:item>
        <m:item xlName="_GBC_a2b3dae456cb4e6ea136505703b2a062" concept="clcid-pte:QiTaSuoYouZheTouRuHeJianShaoZiBenDaoZhiYingYuGongJiBianDongJinE" label="其他所有者投入和减少资本导致盈余公积变动金额" mulRef="_GBC_048773409e614c6bb753000b028316a5" unitRef="_GBC_5214b7a188334da286fc3038d017d072" addr="T2R14C9S1_1" formatStyle="Comma">
          <m:axisValue occRef="母公司"/>
        </m:item>
        <m:item xlName="_GBC_1dc61a1e42884168a980222bfbb01e5a" concept="clcid-pte:QiTaSuoYouZheTouRuHeJianShaoZiBenDaoZhiWeiFenPeiLiRunBianDongJinE" label="其他所有者投入和减少资本导致未分配利润变动金额" mulRef="_GBC_048773409e614c6bb753000b028316a5" unitRef="_GBC_5214b7a188334da286fc3038d017d072" addr="T2R14C10S1_1" formatStyle="Comma">
          <m:axisValue occRef="母公司"/>
        </m:item>
        <m:item xlName="_GBC_7fb831404f46477bbc91b6f6f3a63509" concept="clcid-pte:QiTaSuoYouZheTouRuHeJianShaoZiBenDaoZhiGuDongQuanYiHeJiBianDongJinE" label="其他所有者投入和减少资本导致股东权益合计变动金额" mulRef="_GBC_048773409e614c6bb753000b028316a5" unitRef="_GBC_5214b7a188334da286fc3038d017d072" addr="T2R14C11S1_1" formatStyle="Comma">
          <m:axisValue occRef="母公司"/>
        </m:item>
        <m:placeholder xlName="_PLD_1277678c10f343d5a55853e3552c21df" wordText="（三）利润分配" addr="T2R15C0S1_1"/>
        <m:item xlName="_GBC_cbb7211cf05f40dfa328fabcaf4451ac" concept="clcid-pte:LiRunFenPeiDaoZhiShiShouZiBenHuoGuBenJingEBianDongJinE" label="利润分配导致实收资本（或股本）净额变动金额" mulRef="_GBC_048773409e614c6bb753000b028316a5" unitRef="_GBC_5214b7a188334da286fc3038d017d072" addr="T2R15C1S1_1" formatStyle="Comma">
          <m:complexRule comparator="Eq" title="母公司利润分配导致实收资本（或股本）净额变动金额" test=" $_GBC_feeeea3419114619a6494ffa3e9752c9 +  $_GBC_d96095d4d2f24ac2b2cdf303cab55a79 +  $_GBC_9c81f8e1c30c4827a5af9fbfaa3e74b2" id="Ce09aad75c9104571b9629896dbfbda70"/>
          <m:axisValue occRef="母公司"/>
        </m:item>
        <m:item xlName="_GBC_7efc769dca144d748f3739c7952bb4b2" concept="clcid-pte:LiRunFenPeiDaoZhiQiTaQuanYiGongJuZhongDeYouXianGuBianDongJinE" label="利润分配导致其他权益工具中的优先股变动金额" mulRef="_GBC_048773409e614c6bb753000b028316a5" unitRef="_GBC_5214b7a188334da286fc3038d017d072" addr="T2R15C2S1_1" formatStyle="Comma">
          <m:complexRule comparator="Eq" title="母公司利润分配导致其他权益工具中的优先股变动金额" test=" $_GBC_4fe62927c2cf42cc881d6e03430a5250 +  $_GBC_1fe13bb5afc14bb2bc44d46effb7eb77 +  $_GBC_370a21dbc89f4b02a96727e397b1c347" id="C4311992d721540098cc47db7d754d64b"/>
          <m:axisValue occRef="母公司"/>
        </m:item>
        <m:item xlName="_GBC_5490806b7ea342d6b7c3431d90cb5a5e" concept="clcid-pte:LiRunFenPeiDaoZhiQiTaQuanYiGongJuZhongDeYongXuZhaiBianDongJinE" label="利润分配导致其他权益工具中的永续债变动金额" mulRef="_GBC_048773409e614c6bb753000b028316a5" unitRef="_GBC_5214b7a188334da286fc3038d017d072" addr="T2R15C3S1_1" formatStyle="Comma">
          <m:complexRule comparator="Eq" title="母公司利润分配导致其他权益工具中的永续债变动金额" test=" $_GBC_37cbdecbaa654d90bebf829bb946944e +  $_GBC_15e58494f9af4ce68727e57c50dda544 +  $_GBC_0cc3210c3ea14d2ca3946cbdd5811bb4" id="C7cdc6c23e42e47d5b2759e44225cff1a"/>
          <m:axisValue occRef="母公司"/>
        </m:item>
        <m:item xlName="_GBC_d54c713a1a36439d871e50b06644a07d" concept="clcid-pte:LiRunFenPeiDaoZhiQiTaQuanYiGongJuZhongDeQiTaBianDongJinE" label="利润分配导致其他权益工具中的其他变动金额" mulRef="_GBC_048773409e614c6bb753000b028316a5" unitRef="_GBC_5214b7a188334da286fc3038d017d072" addr="T2R15C4S1_1" formatStyle="Comma">
          <m:complexRule comparator="Eq" title="母公司利润分配导致其他权益工具中的其他变动金额" test=" $_GBC_47ed555566794b61bf0a20f6358fc40a +  $_GBC_cbb2df7cb7eb4705bcda41dc2e3994a6 +  $_GBC_c61a966bf0e049f1a7f0534baa372a46" id="Cbbe62d9f7357443292ad920984b00163"/>
          <m:axisValue occRef="母公司"/>
        </m:item>
        <m:item xlName="_GBC_1148945afee64297a169f2ac8b8cb89e" concept="clcid-pte:LiRunFenPeiDaoZhiZiBenGongJiBianDongJinE" label="利润分配导致资本公积变动金额" mulRef="_GBC_048773409e614c6bb753000b028316a5" unitRef="_GBC_5214b7a188334da286fc3038d017d072" addr="T2R15C5S1_1" formatStyle="Comma">
          <m:complexRule comparator="Eq" title="母公司利润分配导致资本公积变动金额" test=" $_GBC_5f2ef038c65d4f7d9d5db02c380b6b77 +  $_GBC_f6464f507560469bb752361a2180ed5d +  $_GBC_bcd3ab2e57f54c3d8e52b6df982d6ce4" id="Cd94f2d849c414c30b369f7cc7ba32fe0"/>
          <m:axisValue occRef="母公司"/>
        </m:item>
        <m:item xlName="_GBC_feafb3a59f2b4afaa0aa20611608ab05" concept="clcid-pte:LiRunFenPeiDaoZhiKuCunGuBianDongJinE" label="利润分配导致库存股变动金额" mulRef="_GBC_048773409e614c6bb753000b028316a5" unitRef="_GBC_5214b7a188334da286fc3038d017d072" addr="T2R15C6S1_1" baseScale="-1" formatStyle="Comma">
          <m:complexRule comparator="Eq" title="母公司利润分配导致库存股变动金额" test=" $_GBC_4ff785245e684e959cf32d4769d98c42 +  $_GBC_83e74a6d469b4c2bbbc38d66fbbca44d +  $_GBC_a33335797d7849cc88c6aec74eba0ad9" id="Caeebe7394cf84e458880c8a0bfa0ffbd"/>
          <m:axisValue occRef="母公司"/>
        </m:item>
        <m:item xlName="_GBC_a4ae582c163a407bbe913ee1800bb956" concept="clcid-pte:LiRunFenPeiDaoZhiQiTaZongHeShouYiBianDongJinE" label="利润分配导致其他综合收益变动金额" mulRef="_GBC_048773409e614c6bb753000b028316a5" unitRef="_GBC_5214b7a188334da286fc3038d017d072" addr="T2R15C7S1_1" formatStyle="Comma">
          <m:complexRule comparator="Eq" title="母公司利润分配导致其他综合收益变动金额" test=" $_GBC_d4a19312956e4304870740336224c1c4 +  $_GBC_838627a4922d4e429d54f3d31b9fcd8c +  $_GBC_00c07da66c6c401390659d32216262dc" id="C66c309a964244f9cb3591e670fefc517"/>
          <m:axisValue occRef="母公司"/>
        </m:item>
        <m:item xlName="_GBC_c4d7d58fa145478690e9e4209a44b3aa" concept="clcid-pte:LiRunFenPeiDaoZhiZhuanXiangChuBeiBianDongJinE" label="利润分配导致专项储备变动金额" mulRef="_GBC_048773409e614c6bb753000b028316a5" unitRef="_GBC_5214b7a188334da286fc3038d017d072" addr="T2R15C8S1_1" formatStyle="Comma">
          <m:complexRule comparator="Eq" title="母公司利润分配导致专项储备变动金额" test=" $_GBC_150dedf0d4554600ba70802f710a97b7 +  $_GBC_530fe6917df2495f9c65b7cb243756b9 +  $_GBC_ebb35207d12549048ff6890031842373" id="Cc67c47ef1abd42519185333749949577"/>
          <m:axisValue occRef="母公司"/>
        </m:item>
        <m:item xlName="_GBC_a0349cbf8a064523a3b3dee7665a041e" concept="clcid-pte:LiRunFenPeiDaoZhiYingYuGongJiBianDongJinE" label="利润分配导致盈余公积变动金额" mulRef="_GBC_048773409e614c6bb753000b028316a5" unitRef="_GBC_5214b7a188334da286fc3038d017d072" addr="T2R15C9S1_1" formatStyle="Comma">
          <m:complexRule comparator="Eq" title="母公司利润分配导致盈余公积变动金额" test=" $_GBC_8503b60b9ced4c8bb29ec6a4935876e7 +  $_GBC_ae98f906162c477faf3a89fd08e6a5aa +  $_GBC_7a71958ae8bc437f93eab2b423dc51f5" id="Cc9b4c5ef9e004fa8a034f4afadc5d577"/>
          <m:axisValue occRef="母公司"/>
        </m:item>
        <m:item xlName="_GBC_cba52aa78ab34012b0a801d66eb8a2e2" concept="clcid-pte:LiRunFenPeiDaoZhiWeiFenPeiLiRunBianDongJinE" label="利润分配导致未分配利润变动金额" mulRef="_GBC_048773409e614c6bb753000b028316a5" unitRef="_GBC_5214b7a188334da286fc3038d017d072" addr="T2R15C10S1_1" formatStyle="Comma">
          <m:complexRule comparator="Eq" title="母公司利润分配导致未分配利润变动金额" test=" $_GBC_3aa5f30fe134494aa575bfdeea794634 +  $_GBC_d1a33d14771947aba52989eb97795687 +  $_GBC_68eec89c6141467d987a7b9ff58d8c9b" id="C34fece529395450082e3b0e41d4b3d65"/>
          <m:axisValue occRef="母公司"/>
        </m:item>
        <m:item xlName="_GBC_dd847f4c5b6446e4ad29a7717e967fe4" concept="clcid-pte:LiRunFenPeiDaoZhiGuDongQuanYiHeJiBianDongJinE" label="利润分配导致股东权益合计变动金额" mulRef="_GBC_048773409e614c6bb753000b028316a5" unitRef="_GBC_5214b7a188334da286fc3038d017d072" addr="T2R15C11S1_1" formatStyle="Comma">
          <m:complexRule comparator="Eq" title="母公司利润分配导致股东权益合计变动金额" test=" $_GBC_4c22c9ed997d477a9f33b60f8d0e6bea +  $_GBC_bbdd561c54d948dbbc668cc7d0592b7f +  $_GBC_7f21d78e4a24457881b86248092595bf" id="Cc82069c4ec4b4867b3911a58a6ceea88"/>
          <m:axisValue occRef="母公司"/>
        </m:item>
        <m:placeholder xlName="_PLD_6be0f6b7609247d98f239c435a57bdf2" wordText="1．提取盈余公积" addr="T2R16C0S1_1"/>
        <m:item xlName="_GBC_feeeea3419114619a6494ffa3e9752c9" concept="clcid-pte:TiQuYingYuGongJiDaoZhiShiShouZiBenHuoGuBenJingEBianDongJinE" label="提取盈余公积导致实收资本（或股本）净额变动金额" mulRef="_GBC_048773409e614c6bb753000b028316a5" unitRef="_GBC_5214b7a188334da286fc3038d017d072" addr="T2R16C1S1_1" formatStyle="Comma">
          <m:axisValue occRef="母公司"/>
        </m:item>
        <m:item xlName="_GBC_4fe62927c2cf42cc881d6e03430a5250" concept="clcid-pte:TiQuYingYuGongJiDaoZhiQiTaQuanYiGongJuZhongDeYouXianGuBianDongJinE" label="提取盈余公积导致其他权益工具中的优先股变动金额" mulRef="_GBC_048773409e614c6bb753000b028316a5" unitRef="_GBC_5214b7a188334da286fc3038d017d072" addr="T2R16C2S1_1" formatStyle="Comma">
          <m:axisValue occRef="母公司"/>
        </m:item>
        <m:item xlName="_GBC_37cbdecbaa654d90bebf829bb946944e" concept="clcid-pte:TiQuYingYuGongJiDaoZhiQiTaQuanYiGongJuZhongDeYongXuZhaiBianDongJinE" label="提取盈余公积导致其他权益工具中的永续债变动金额" mulRef="_GBC_048773409e614c6bb753000b028316a5" unitRef="_GBC_5214b7a188334da286fc3038d017d072" addr="T2R16C3S1_1" formatStyle="Comma">
          <m:axisValue occRef="母公司"/>
        </m:item>
        <m:item xlName="_GBC_47ed555566794b61bf0a20f6358fc40a" concept="clcid-pte:TiQuYingYuGongJiDaoZhiQiTaQuanYiGongJuZhongDeQiTaBianDongJinE" label="提取盈余公积导致其他权益工具中的其他变动金额" mulRef="_GBC_048773409e614c6bb753000b028316a5" unitRef="_GBC_5214b7a188334da286fc3038d017d072" addr="T2R16C4S1_1" formatStyle="Comma">
          <m:axisValue occRef="母公司"/>
        </m:item>
        <m:item xlName="_GBC_5f2ef038c65d4f7d9d5db02c380b6b77" concept="clcid-pte:TiQuYingYuGongJiDaoZhiZiBenGongJiBianDongJinE" label="提取盈余公积导致资本公积变动金额" mulRef="_GBC_048773409e614c6bb753000b028316a5" unitRef="_GBC_5214b7a188334da286fc3038d017d072" addr="T2R16C5S1_1" formatStyle="Comma">
          <m:axisValue occRef="母公司"/>
        </m:item>
        <m:item xlName="_GBC_4ff785245e684e959cf32d4769d98c42" concept="clcid-pte:TiQuYingYuGongJiDaoZhiKuCunGuBianDongJinE" label="提取盈余公积导致库存股变动金额" mulRef="_GBC_048773409e614c6bb753000b028316a5" unitRef="_GBC_5214b7a188334da286fc3038d017d072" addr="T2R16C6S1_1" baseScale="-1" formatStyle="Comma">
          <m:axisValue occRef="母公司"/>
        </m:item>
        <m:item xlName="_GBC_d4a19312956e4304870740336224c1c4" concept="clcid-pte:TiQuYingYuGongJiDaoZhiQiTaZongHeShouYiBianDongJinE" label="提取盈余公积导致其他综合收益变动金额" mulRef="_GBC_048773409e614c6bb753000b028316a5" unitRef="_GBC_5214b7a188334da286fc3038d017d072" addr="T2R16C7S1_1" formatStyle="Comma">
          <m:axisValue occRef="母公司"/>
        </m:item>
        <m:item xlName="_GBC_150dedf0d4554600ba70802f710a97b7" concept="clcid-pte:TiQuYingYuGongJiDaoZhiZhuanXiangChuBeiBianDongJinE" label="提取盈余公积导致专项储备变动金额" mulRef="_GBC_048773409e614c6bb753000b028316a5" unitRef="_GBC_5214b7a188334da286fc3038d017d072" addr="T2R16C8S1_1" formatStyle="Comma">
          <m:axisValue occRef="母公司"/>
        </m:item>
        <m:item xlName="_GBC_8503b60b9ced4c8bb29ec6a4935876e7" concept="clcid-pte:TiQuYingYuGongJiDaoZhiYingYuGongJiBianDongJinE" label="提取盈余公积导致盈余公积变动金额" mulRef="_GBC_048773409e614c6bb753000b028316a5" unitRef="_GBC_5214b7a188334da286fc3038d017d072" addr="T2R16C9S1_1" formatStyle="Comma">
          <m:axisValue occRef="母公司"/>
        </m:item>
        <m:item xlName="_GBC_3aa5f30fe134494aa575bfdeea794634" concept="clcid-pte:TiQuYingYuGongJiDaoZhiWeiFenPeiLiRunBianDongJinE" label="提取盈余公积导致未分配利润变动金额" mulRef="_GBC_048773409e614c6bb753000b028316a5" unitRef="_GBC_5214b7a188334da286fc3038d017d072" addr="T2R16C10S1_1" formatStyle="Comma">
          <m:axisValue occRef="母公司"/>
        </m:item>
        <m:item xlName="_GBC_4c22c9ed997d477a9f33b60f8d0e6bea" concept="clcid-pte:TiQuYingYuGongJiDaoZhiGuDongQuanYiHeJiBianDongJinE" label="提取盈余公积导致股东权益合计变动金额" mulRef="_GBC_048773409e614c6bb753000b028316a5" unitRef="_GBC_5214b7a188334da286fc3038d017d072" addr="T2R16C11S1_1" formatStyle="Comma">
          <m:axisValue occRef="母公司"/>
        </m:item>
        <m:placeholder xlName="_PLD_b4a66855afc2407cbaf93baeafe0ad7f" wordText="2．对所有者（或股东）的分配" addr="T2R17C0S1_1"/>
        <m:item xlName="_GBC_d96095d4d2f24ac2b2cdf303cab55a79" concept="clcid-pte:DuiSuoYouZheHuoGuDongDeFenPeiDaoZhiShiShouZiBenHuoGuBenJingEBianDongJinE" label="对所有者（或股东）的分配导致实收资本（或股本）净额变动金额" mulRef="_GBC_048773409e614c6bb753000b028316a5" unitRef="_GBC_5214b7a188334da286fc3038d017d072" addr="T2R17C1S1_1" formatStyle="Comma">
          <m:axisValue occRef="母公司"/>
        </m:item>
        <m:item xlName="_GBC_1fe13bb5afc14bb2bc44d46effb7eb77" concept="clcid-pte:DuiSuoYouZheHuoGuDongDeFenPeiDaoZhiQiTaQuanYiGongJuZhongDeYouXianGuBianDongJinE" label="对所有者（或股东）的分配导致其他权益工具中的优先股变动金额" mulRef="_GBC_048773409e614c6bb753000b028316a5" unitRef="_GBC_5214b7a188334da286fc3038d017d072" addr="T2R17C2S1_1" formatStyle="Comma">
          <m:axisValue occRef="母公司"/>
        </m:item>
        <m:item xlName="_GBC_15e58494f9af4ce68727e57c50dda544" concept="clcid-pte:DuiSuoYouZheHuoGuDongDeFenPeiDaoZhiQiTaQuanYiGongJuZhongDeYongXuZhaiBianDongJinE" label="对所有者（或股东）的分配导致其他权益工具中的永续债变动金额" mulRef="_GBC_048773409e614c6bb753000b028316a5" unitRef="_GBC_5214b7a188334da286fc3038d017d072" addr="T2R17C3S1_1" formatStyle="Comma">
          <m:axisValue occRef="母公司"/>
        </m:item>
        <m:item xlName="_GBC_cbb2df7cb7eb4705bcda41dc2e3994a6" concept="clcid-pte:DuiSuoYouZheHuoGuDongDeFenPeiDaoZhiQiTaQuanYiGongJuZhongDeQiTaBianDongJinE" label="对所有者（或股东）的分配导致其他权益工具中的其他变动金额" mulRef="_GBC_048773409e614c6bb753000b028316a5" unitRef="_GBC_5214b7a188334da286fc3038d017d072" addr="T2R17C4S1_1" formatStyle="Comma">
          <m:axisValue occRef="母公司"/>
        </m:item>
        <m:item xlName="_GBC_f6464f507560469bb752361a2180ed5d" concept="clcid-pte:DuiSuoYouZheHuoGuDongDeFenPeiDaoZhiZiBenGongJiBianDongJinE" label="对所有者（或股东）的分配导致资本公积变动金额" mulRef="_GBC_048773409e614c6bb753000b028316a5" unitRef="_GBC_5214b7a188334da286fc3038d017d072" addr="T2R17C5S1_1" formatStyle="Comma">
          <m:axisValue occRef="母公司"/>
        </m:item>
        <m:item xlName="_GBC_83e74a6d469b4c2bbbc38d66fbbca44d" concept="clcid-pte:DuiSuoYouZheHuoGuDongDeFenPeiDaoZhiKuCunGuBianDongJinE" label="对所有者（或股东）的分配导致库存股变动金额" mulRef="_GBC_048773409e614c6bb753000b028316a5" unitRef="_GBC_5214b7a188334da286fc3038d017d072" addr="T2R17C6S1_1" baseScale="-1" formatStyle="Comma">
          <m:axisValue occRef="母公司"/>
        </m:item>
        <m:item xlName="_GBC_838627a4922d4e429d54f3d31b9fcd8c" concept="clcid-pte:DuiSuoYouZheHuoGuDongDeFenPeiDaoZhiQiTaZongHeShouYiBianDongJinE" label="对所有者（或股东）的分配导致其他综合收益变动金额" mulRef="_GBC_048773409e614c6bb753000b028316a5" unitRef="_GBC_5214b7a188334da286fc3038d017d072" addr="T2R17C7S1_1" formatStyle="Comma">
          <m:axisValue occRef="母公司"/>
        </m:item>
        <m:item xlName="_GBC_530fe6917df2495f9c65b7cb243756b9" concept="clcid-pte:DuiSuoYouZheHuoGuDongDeFenPeiDaoZhiZhuanXiangChuBeiBianDongJinE" label="对所有者（或股东）的分配导致专项储备变动金额" mulRef="_GBC_048773409e614c6bb753000b028316a5" unitRef="_GBC_5214b7a188334da286fc3038d017d072" addr="T2R17C8S1_1" formatStyle="Comma">
          <m:axisValue occRef="母公司"/>
        </m:item>
        <m:item xlName="_GBC_ae98f906162c477faf3a89fd08e6a5aa" concept="clcid-pte:DuiSuoYouZheHuoGuDongDeFenPeiDaoZhiYingYuGongJiBianDongJinE" label="对所有者（或股东）的分配导致盈余公积变动金额" mulRef="_GBC_048773409e614c6bb753000b028316a5" unitRef="_GBC_5214b7a188334da286fc3038d017d072" addr="T2R17C9S1_1" formatStyle="Comma">
          <m:axisValue occRef="母公司"/>
        </m:item>
        <m:item xlName="_GBC_d1a33d14771947aba52989eb97795687" concept="clcid-pte:DuiSuoYouZheHuoGuDongDeFenPeiDaoZhiWeiFenPeiLiRunBianDongJinE" label="对所有者（或股东）的分配导致未分配利润变动金额" mulRef="_GBC_048773409e614c6bb753000b028316a5" unitRef="_GBC_5214b7a188334da286fc3038d017d072" addr="T2R17C10S1_1" formatStyle="Comma">
          <m:axisValue occRef="母公司"/>
        </m:item>
        <m:item xlName="_GBC_bbdd561c54d948dbbc668cc7d0592b7f" concept="clcid-pte:DuiSuoYouZheHuoGuDongDeFenPeiDaoZhiGuDongQuanYiHeJiBianDongJinE" label="对所有者（或股东）的分配导致股东权益合计变动金额" mulRef="_GBC_048773409e614c6bb753000b028316a5" unitRef="_GBC_5214b7a188334da286fc3038d017d072" addr="T2R17C11S1_1" formatStyle="Comma">
          <m:axisValue occRef="母公司"/>
        </m:item>
        <m:placeholder xlName="_PLD_f35184bd1aa14b32a781b0ed9b526ffe" wordText="3．其他" addr="T2R18C0S1_1"/>
        <m:item xlName="_GBC_9c81f8e1c30c4827a5af9fbfaa3e74b2" concept="clcid-pte:QiTaLiRunFenPeiDaoZhiShiShouZiBenHuoGuBenJingEBianDongJinE" label="其他利润分配导致实收资本（或股本）净额变动金额" mulRef="_GBC_048773409e614c6bb753000b028316a5" unitRef="_GBC_5214b7a188334da286fc3038d017d072" addr="T2R18C1S1_1" formatStyle="Comma">
          <m:axisValue occRef="母公司"/>
        </m:item>
        <m:item xlName="_GBC_370a21dbc89f4b02a96727e397b1c347" concept="clcid-pte:QiTaLiRunFenPeiDaoZhiQiTaQuanYiGongJuZhongDeYouXianGuBianDongJinE" label="其他利润分配导致其他权益工具中的优先股变动金额" mulRef="_GBC_048773409e614c6bb753000b028316a5" unitRef="_GBC_5214b7a188334da286fc3038d017d072" addr="T2R18C2S1_1" formatStyle="Comma">
          <m:axisValue occRef="母公司"/>
        </m:item>
        <m:item xlName="_GBC_0cc3210c3ea14d2ca3946cbdd5811bb4" concept="clcid-pte:QiTaLiRunFenPeiDaoZhiQiTaQuanYiGongJuZhongDeYongXuZhaiBianDongJinE" label="其他利润分配导致其他权益工具中的永续债变动金额" mulRef="_GBC_048773409e614c6bb753000b028316a5" unitRef="_GBC_5214b7a188334da286fc3038d017d072" addr="T2R18C3S1_1" formatStyle="Comma">
          <m:axisValue occRef="母公司"/>
        </m:item>
        <m:item xlName="_GBC_c61a966bf0e049f1a7f0534baa372a46" concept="clcid-pte:QiTaLiRunFenPeiDaoZhiQiTaQuanYiGongJuZhongDeQiTaBianDongJinE" label="其他利润分配导致其他权益工具中的其他变动金额" mulRef="_GBC_048773409e614c6bb753000b028316a5" unitRef="_GBC_5214b7a188334da286fc3038d017d072" addr="T2R18C4S1_1" formatStyle="Comma">
          <m:axisValue occRef="母公司"/>
        </m:item>
        <m:item xlName="_GBC_bcd3ab2e57f54c3d8e52b6df982d6ce4" concept="clcid-pte:QiTaLiRunFenPeiDaoZhiZiBenGongJiBianDongJinE" label="其他利润分配导致资本公积变动金额" mulRef="_GBC_048773409e614c6bb753000b028316a5" unitRef="_GBC_5214b7a188334da286fc3038d017d072" addr="T2R18C5S1_1" formatStyle="Comma">
          <m:axisValue occRef="母公司"/>
        </m:item>
        <m:item xlName="_GBC_a33335797d7849cc88c6aec74eba0ad9" concept="clcid-pte:QiTaLiRunFenPeiDaoZhiKuCunGuBianDongJinE" label="其他利润分配导致库存股变动金额" mulRef="_GBC_048773409e614c6bb753000b028316a5" unitRef="_GBC_5214b7a188334da286fc3038d017d072" addr="T2R18C6S1_1" baseScale="-1" formatStyle="Comma">
          <m:axisValue occRef="母公司"/>
        </m:item>
        <m:item xlName="_GBC_00c07da66c6c401390659d32216262dc" concept="clcid-pte:QiTaLiRunFenPeiDaoZhiQiTaZongHeShouYiBianDongJinE" label="其他利润分配导致其他综合收益变动金额" mulRef="_GBC_048773409e614c6bb753000b028316a5" unitRef="_GBC_5214b7a188334da286fc3038d017d072" addr="T2R18C7S1_1" formatStyle="Comma">
          <m:axisValue occRef="母公司"/>
        </m:item>
        <m:item xlName="_GBC_ebb35207d12549048ff6890031842373" concept="clcid-pte:QiTaLiRunFenPeiDaoZhiZhuanXiangChuBeiBianDongJinE" label="其他利润分配导致专项储备变动金额" mulRef="_GBC_048773409e614c6bb753000b028316a5" unitRef="_GBC_5214b7a188334da286fc3038d017d072" addr="T2R18C8S1_1" formatStyle="Comma">
          <m:axisValue occRef="母公司"/>
        </m:item>
        <m:item xlName="_GBC_7a71958ae8bc437f93eab2b423dc51f5" concept="clcid-pte:QiTaLiRunFenPeiDaoZhiYingYuGongJiBianDongJinE" label="其他利润分配导致盈余公积变动金额" mulRef="_GBC_048773409e614c6bb753000b028316a5" unitRef="_GBC_5214b7a188334da286fc3038d017d072" addr="T2R18C9S1_1" formatStyle="Comma">
          <m:axisValue occRef="母公司"/>
        </m:item>
        <m:item xlName="_GBC_68eec89c6141467d987a7b9ff58d8c9b" concept="clcid-pte:QiTaLiRunFenPeiDaoZhiWeiFenPeiLiRunBianDongJinE" label="其他利润分配导致未分配利润变动金额" mulRef="_GBC_048773409e614c6bb753000b028316a5" unitRef="_GBC_5214b7a188334da286fc3038d017d072" addr="T2R18C10S1_1" formatStyle="Comma">
          <m:axisValue occRef="母公司"/>
        </m:item>
        <m:item xlName="_GBC_7f21d78e4a24457881b86248092595bf" concept="clcid-pte:QiTaLiRunFenPeiDaoZhiGuDongQuanYiHeJiBianDongJinE" label="其他利润分配导致股东权益合计变动金额" mulRef="_GBC_048773409e614c6bb753000b028316a5" unitRef="_GBC_5214b7a188334da286fc3038d017d072" addr="T2R18C11S1_1" formatStyle="Comma">
          <m:axisValue occRef="母公司"/>
        </m:item>
        <m:placeholder xlName="_PLD_377c539e51b74e8689b49d91a30d6a9f" wordText="（四）所有者权益内部结转" addr="T2R19C0S1_1"/>
        <m:item xlName="_GBC_f283c649fc1342198eff95dfe47a3805" concept="clcid-pte:SuoYouZheQuanYiNeiBuJieZhuanDaoZhiShiShouZiBenHuoGuBenJingEBianDongJinE" label="所有者权益内部结转导致实收资本（或股本）净额变动金额" mulRef="_GBC_048773409e614c6bb753000b028316a5" unitRef="_GBC_5214b7a188334da286fc3038d017d072" addr="T2R19C1S1_1" formatStyle="Comma">
          <m:complexRule comparator="Eq" title="母公司所有者权益内部结转导致实收资本（或股本）净额变动金额" test="$_GBC_58e16a89cb334df6bde452133339f7c1+$_GBC_1fdac46518d7477ab877041b22a6d61c+$_GBC_c54e4bd0b2d84fac979c4c4d228e2e8a+$_GBC_8c37033b30b74558aa6065788e32a378+$_GBC_2831ad7f38664a089db9f59a15ccd79c+$_GBC_c12c8acbe8ca43959d18fbc507ee415e" id="C91a66aa409ff48e5a584c480cddf8a4d"/>
          <m:axisValue occRef="母公司"/>
        </m:item>
        <m:item xlName="_GBC_ef91efe5622b435aa7743a80121de833" concept="clcid-pte:SuoYouZheQuanYiNeiBuJieZhuanDaoZhiQiTaQuanYiGongJuZhongDeYouXianGuBianDongJinE" label="所有者权益内部结转导致其他权益工具中的优先股变动金额" mulRef="_GBC_048773409e614c6bb753000b028316a5" unitRef="_GBC_5214b7a188334da286fc3038d017d072" addr="T2R19C2S1_1" formatStyle="Comma">
          <m:complexRule comparator="Eq" title="母公司所有者权益内部结转导致其他权益工具中的优先股变动金额" test="$_GBC_cfd9fd1971514caebfa1eb7b12bbc135+$_GBC_a935445166a44771960ac8a575396f3c+$_GBC_85bfb4fb437245fda8edede67c1c1eb6+$_GBC_5678bed2a31249e58c6462a59c03fd8c+$_GBC_36877258ffdb48908aaedd593bf4a5ae+$_GBC_c249770cec1e46849339600174f46cb8" id="C824580a714ae4b10aeb41bfe56eb986b"/>
          <m:axisValue occRef="母公司"/>
        </m:item>
        <m:item xlName="_GBC_4ac9c71994ac4ff799a55b82157015cb" concept="clcid-pte:SuoYouZheQuanYiNeiBuJieZhuanDaoZhiQiTaQuanYiGongJuZhongDeYongXuZhaiBianDongJinE" label="所有者权益内部结转导致其他权益工具中的永续债变动金额" mulRef="_GBC_048773409e614c6bb753000b028316a5" unitRef="_GBC_5214b7a188334da286fc3038d017d072" addr="T2R19C3S1_1" formatStyle="Comma">
          <m:complexRule comparator="Eq" title="母公司所有者权益内部结转导致其他权益工具中的永续债变动金额" test="$_GBC_ce8c23bcc7b54f2aa52e9cc42c64691e+$_GBC_776b3538616c492f8df9dfe67acb2712+$_GBC_97b75454cad74ef49a0ba703e2c25e70+$_GBC_4ebc387767c24233ae39d6ebfb88ac92+$_GBC_eea7c5f794f7484093d707819ba00ec3+$_GBC_9763a0172a6242e49a00331b096d8b18" id="C6d176f2fdad4486f9676fdfd709e9d9e"/>
          <m:axisValue occRef="母公司"/>
        </m:item>
        <m:item xlName="_GBC_f272c4ee43e34fa49fb65c1fea08629f" concept="clcid-pte:SuoYouZheQuanYiNeiBuJieZhuanDaoZhiQiTaQuanYiGongJuZhongDeQiTaBianDongJinE" label="所有者权益内部结转导致其他权益工具中的其他变动金额" mulRef="_GBC_048773409e614c6bb753000b028316a5" unitRef="_GBC_5214b7a188334da286fc3038d017d072" addr="T2R19C4S1_1" formatStyle="Comma">
          <m:complexRule comparator="Eq" title="母公司所有者权益内部结转导致其他权益工具中的其他变动金额" test="$_GBC_fcd2e337b72c4dc8bad9575275429152+$_GBC_455af898706e45a39b78f1414832364d+$_GBC_983e14819fd5410a8b3568095d141cd0+$_GBC_2cab6b90697b46dfa55a20605b207d59+$_GBC_3a30205bfc544591afc0d5698537e14c+$_GBC_9f99d2c8f43a47ef9288572b8e455f72" id="C8fc1884059e042b4ba5c91bf78e79273"/>
          <m:axisValue occRef="母公司"/>
        </m:item>
        <m:item xlName="_GBC_68ab5139b8ff40ac80a4db45813c9477" concept="clcid-pte:SuoYouZheQuanYiNeiBuJieZhuanDaoZhiZiBenGongJiBianDongJinE" label="所有者权益内部结转导致资本公积变动金额" mulRef="_GBC_048773409e614c6bb753000b028316a5" unitRef="_GBC_5214b7a188334da286fc3038d017d072" addr="T2R19C5S1_1" formatStyle="Comma">
          <m:complexRule comparator="Eq" title="母公司所有者权益内部结转导致资本公积变动金额" test="$_GBC_e0ad59720f4e47b494007fe6876fbc0e+$_GBC_7dfb56e12a2245e5aad652e911e55347+$_GBC_924b9ed3e89c4b4988309dddf304a82b+$_GBC_4d0414e659e44a3e9aa4eefc72d15c05+$_GBC_9383cb5696f0403386bfc18f9d424d59+$_GBC_79ae5c7f33b64ca4854b078e711edf01" id="C96df0ad95b6547f28d289a4fd164e53d"/>
          <m:axisValue occRef="母公司"/>
        </m:item>
        <m:item xlName="_GBC_0d9772d823c6492e8371be725cb8f5c2" concept="clcid-pte:SuoYouZheQuanYiNeiBuJieZhuanDaoZhiKuCunGuBianDongJinE" label="所有者权益内部结转导致库存股变动金额" mulRef="_GBC_048773409e614c6bb753000b028316a5" unitRef="_GBC_5214b7a188334da286fc3038d017d072" addr="T2R19C6S1_1" baseScale="-1" formatStyle="Comma">
          <m:complexRule comparator="Eq" title="母公司所有者权益内部结转导致库存股变动金额" test="$_GBC_4755507aa7964f16bb664ac0a262b7b7+$_GBC_af0da898a3474b5ca139b28085132708+$_GBC_483deb59b0834d4b99cd7e92931b423b+$_GBC_5a20cc1f54d64045a18af024d677b3c7+$_GBC_ec1c7c4c475045689832c4e379519a44+$_GBC_ef4e073754fd4089b309769be7ff3d60" id="Cb695f38034b84dd7b1c25894950c6f40"/>
          <m:axisValue occRef="母公司"/>
        </m:item>
        <m:item xlName="_GBC_05d4a4b3c8a74bbaa40c911fb4960c78" concept="clcid-pte:SuoYouZheQuanYiNeiBuJieZhuanDaoZhiQiTaZongHeShouYiBianDongJinE" label="所有者权益内部结转导致其他综合收益变动金额" mulRef="_GBC_048773409e614c6bb753000b028316a5" unitRef="_GBC_5214b7a188334da286fc3038d017d072" addr="T2R19C7S1_1" formatStyle="Comma">
          <m:complexRule comparator="Eq" title="母公司所有者权益内部结转导致其他综合收益变动金额" test="$_GBC_20edbf362b5d43348992e88104f59531+$_GBC_fe4fc7f67d5a4d029cfea78ffc62d01c+$_GBC_42dbc1c15cec4889afebe0ddd03cb7d3+$_GBC_f50f3442bfe547ae92bb996ca9d26c1b+$_GBC_088ac970636c4ea98a07c1b1cdeebea1+$_GBC_aaf8581bfdea43afaab1107686c116d8" id="C5171fb6fda8449d79cb6db90abad59ba"/>
          <m:axisValue occRef="母公司"/>
        </m:item>
        <m:item xlName="_GBC_0b9cda03d7654088aaa463ecda825ec7" concept="clcid-pte:SuoYouZheQuanYiNeiBuJieZhuanDaoZhiZhuanXiangChuBeiBianDongJinE" label="所有者权益内部结转导致专项储备变动金额" mulRef="_GBC_048773409e614c6bb753000b028316a5" unitRef="_GBC_5214b7a188334da286fc3038d017d072" addr="T2R19C8S1_1" formatStyle="Comma">
          <m:complexRule comparator="Eq" title="母公司所有者权益内部结转导致专项储备变动金额" test="$_GBC_f6435db4715a45bdbdbf9a21508ab7b9+$_GBC_2bae1d1e231b4f9aa8e389ee91eab0ee+$_GBC_993268c981684cb98568145fd9d89460+$_GBC_29a943528604451489cfa1d36e848933+$_GBC_2e0b2a1e4479461fb045eb537ae580f8+$_GBC_c6eb678860644dcc87f23eeb61e99952" id="Cefe3bfb364ca48df9f25c1b7a1bae5bd"/>
          <m:axisValue occRef="母公司"/>
        </m:item>
        <m:item xlName="_GBC_6462d048d6314f59bcaa1c66b7df4d48" concept="clcid-pte:SuoYouZheQuanYiNeiBuJieZhuanDaoZhiYingYuGongJiBianDongJinE" label="所有者权益内部结转导致盈余公积变动金额" mulRef="_GBC_048773409e614c6bb753000b028316a5" unitRef="_GBC_5214b7a188334da286fc3038d017d072" addr="T2R19C9S1_1" formatStyle="Comma">
          <m:complexRule comparator="Eq" title="母公司所有者权益内部结转导致盈余公积变动金额" test="$_GBC_36bbbdcb9de248e6a40628399781e505+$_GBC_1a4224c4dd1547deb0fd234f1ac656c9+$_GBC_84424461371947aea90a893e959ac322+$_GBC_b039644f00184625a549e959f210cb46+$_GBC_a716d544a2ed4618ab191115bd92a8b0+$_GBC_17268790310846b2b3ce86c1a4c983f4" id="C1bef75341f804b33b7aceaaafb7ddde6"/>
          <m:axisValue occRef="母公司"/>
        </m:item>
        <m:item xlName="_GBC_f46d5e57a018475f8082fc51dd15e49e" concept="clcid-pte:SuoYouZheQuanYiNeiBuJieZhuanDaoZhiWeiFenPeiLiRunBianDongJinE" label="所有者权益内部结转导致未分配利润变动金额" mulRef="_GBC_048773409e614c6bb753000b028316a5" unitRef="_GBC_5214b7a188334da286fc3038d017d072" addr="T2R19C10S1_1" formatStyle="Comma">
          <m:complexRule comparator="Eq" title="母公司所有者权益内部结转导致未分配利润变动金额" test="$_GBC_627bc2b3f6d54560b9d8f555f635f1f4+$_GBC_d34e10ee0bfc4af280f7cfe03bf43988+$_GBC_c639475c0bd141ef8ee6e289371f4383+$_GBC_10a33ffe495e4bdc836f6b2fad54e579+$_GBC_054808ba1d714ccca4dd30e09c36f00f+$_GBC_1ed45a0f2d844379a6480cc4f7cdfaff" id="C8ad8354c7545469aa75cdb8c01362a6b"/>
          <m:axisValue occRef="母公司"/>
        </m:item>
        <m:item xlName="_GBC_782b87c6adc54716910c267017ad800a" concept="clcid-pte:SuoYouZheQuanYiNeiBuJieZhuanDaoZhiGuDongQuanYiHeJiBianDongJinE" label="所有者权益内部结转导致股东权益合计变动金额" mulRef="_GBC_048773409e614c6bb753000b028316a5" unitRef="_GBC_5214b7a188334da286fc3038d017d072" addr="T2R19C11S1_1" formatStyle="Comma">
          <m:complexRule comparator="Eq" title="母公司所有者权益内部结转导致股东权益合计变动金额" test="$_GBC_d2e67ae1f8e1435e9ef44bcb508c9e71+$_GBC_dda47fa6bf4146f38be7631f0378638a+$_GBC_1516326ef156473e99c322b58b2722da+$_GBC_ed06713e4211446b9aa0bda1635d9412+$_GBC_21b161c66a4c488c8d852ceb78f37ad1+$_GBC_0122523930f844f9818e88f8be8bc749" id="C8f8b2c2818c14429813f3c139a74b386"/>
          <m:axisValue occRef="母公司"/>
        </m:item>
        <m:placeholder xlName="_PLD_9d82304ad85542d89ad56bdebdedd7c5" wordText="1．资本公积转增资本（或股本）" addr="T2R20C0S1_1"/>
        <m:item xlName="_GBC_58e16a89cb334df6bde452133339f7c1" concept="clcid-pte:ZiBenGongJiZhuanZengZiBenHuoGuBenDaoZhiShiShouZiBenHuoGuBenJingEBianDongJinE" label="资本公积转增资本（或股本）导致实收资本（或股本）净额变动金额" mulRef="_GBC_048773409e614c6bb753000b028316a5" unitRef="_GBC_5214b7a188334da286fc3038d017d072" addr="T2R20C1S1_1" formatStyle="Comma">
          <m:axisValue occRef="母公司"/>
        </m:item>
        <m:item xlName="_GBC_cfd9fd1971514caebfa1eb7b12bbc135" concept="clcid-pte:ZiBenGongJiZhuanZengZiBenHuoGuBenDaoZhiQiTaQuanYiGongJuZhongDeYouXianGuBianDongJinE" label="资本公积转增资本（或股本）导致其他权益工具中的优先股变动金额" mulRef="_GBC_048773409e614c6bb753000b028316a5" unitRef="_GBC_5214b7a188334da286fc3038d017d072" addr="T2R20C2S1_1" formatStyle="Comma">
          <m:axisValue occRef="母公司"/>
        </m:item>
        <m:item xlName="_GBC_ce8c23bcc7b54f2aa52e9cc42c64691e" concept="clcid-pte:ZiBenGongJiZhuanZengZiBenHuoGuBenDaoZhiQiTaQuanYiGongJuZhongDeYongXuZhaiBianDongJinE" label="资本公积转增资本（或股本）导致其他权益工具中的永续债变动金额" mulRef="_GBC_048773409e614c6bb753000b028316a5" unitRef="_GBC_5214b7a188334da286fc3038d017d072" addr="T2R20C3S1_1" formatStyle="Comma">
          <m:axisValue occRef="母公司"/>
        </m:item>
        <m:item xlName="_GBC_fcd2e337b72c4dc8bad9575275429152" concept="clcid-pte:ZiBenGongJiZhuanZengZiBenHuoGuBenDaoZhiQiTaQuanYiGongJuZhongDeQiTaBianDongJinE" label="资本公积转增资本（或股本）导致其他权益工具中的其他变动金额" mulRef="_GBC_048773409e614c6bb753000b028316a5" unitRef="_GBC_5214b7a188334da286fc3038d017d072" addr="T2R20C4S1_1" formatStyle="Comma">
          <m:axisValue occRef="母公司"/>
        </m:item>
        <m:item xlName="_GBC_e0ad59720f4e47b494007fe6876fbc0e" concept="clcid-pte:ZiBenGongJiZhuanZengZiBenHuoGuBenDaoZhiZiBenGongJiBianDongJinE" label="资本公积转增资本（或股本）导致资本公积变动金额" mulRef="_GBC_048773409e614c6bb753000b028316a5" unitRef="_GBC_5214b7a188334da286fc3038d017d072" addr="T2R20C5S1_1" formatStyle="Comma">
          <m:axisValue occRef="母公司"/>
        </m:item>
        <m:item xlName="_GBC_4755507aa7964f16bb664ac0a262b7b7" concept="clcid-pte:ZiBenGongJiZhuanZengZiBenHuoGuBenDaoZhiKuCunGuBianDongJinE" label="资本公积转增资本（或股本）导致库存股变动金额" mulRef="_GBC_048773409e614c6bb753000b028316a5" unitRef="_GBC_5214b7a188334da286fc3038d017d072" addr="T2R20C6S1_1" baseScale="-1" formatStyle="Comma">
          <m:axisValue occRef="母公司"/>
        </m:item>
        <m:item xlName="_GBC_20edbf362b5d43348992e88104f59531" concept="clcid-pte:ZiBenGongJiZhuanZengZiBenHuoGuBenDaoZhiQiTaZongHeShouYiBianDongJinE" label="资本公积转增资本（或股本）导致其他综合收益变动金额" mulRef="_GBC_048773409e614c6bb753000b028316a5" unitRef="_GBC_5214b7a188334da286fc3038d017d072" addr="T2R20C7S1_1" formatStyle="Comma">
          <m:axisValue occRef="母公司"/>
        </m:item>
        <m:item xlName="_GBC_f6435db4715a45bdbdbf9a21508ab7b9" concept="clcid-pte:ZiBenGongJiZhuanZengZiBenHuoGuBenDaoZhiZhuanXiangChuBeiBianDongJinE" label="资本公积转增资本（或股本）导致专项储备变动金额" mulRef="_GBC_048773409e614c6bb753000b028316a5" unitRef="_GBC_5214b7a188334da286fc3038d017d072" addr="T2R20C8S1_1" formatStyle="Comma">
          <m:axisValue occRef="母公司"/>
        </m:item>
        <m:item xlName="_GBC_36bbbdcb9de248e6a40628399781e505" concept="clcid-pte:ZiBenGongJiZhuanZengZiBenHuoGuBenDaoZhiYingYuGongJiBianDongJinE" label="资本公积转增资本（或股本）导致盈余公积变动金额" mulRef="_GBC_048773409e614c6bb753000b028316a5" unitRef="_GBC_5214b7a188334da286fc3038d017d072" addr="T2R20C9S1_1" formatStyle="Comma">
          <m:axisValue occRef="母公司"/>
        </m:item>
        <m:item xlName="_GBC_627bc2b3f6d54560b9d8f555f635f1f4" concept="clcid-pte:ZiBenGongJiZhuanZengZiBenHuoGuBenDaoZhiWeiFenPeiLiRunBianDongJinE" label="资本公积转增资本（或股本）导致未分配利润变动金额" mulRef="_GBC_048773409e614c6bb753000b028316a5" unitRef="_GBC_5214b7a188334da286fc3038d017d072" addr="T2R20C10S1_1" formatStyle="Comma">
          <m:axisValue occRef="母公司"/>
        </m:item>
        <m:item xlName="_GBC_d2e67ae1f8e1435e9ef44bcb508c9e71" concept="clcid-pte:ZiBenGongJiZhuanZengZiBenHuoGuBenDaoZhiGuDongQuanYiHeJiBianDongJinE" label="资本公积转增资本（或股本）导致股东权益合计变动金额" mulRef="_GBC_048773409e614c6bb753000b028316a5" unitRef="_GBC_5214b7a188334da286fc3038d017d072" addr="T2R20C11S1_1" formatStyle="Comma">
          <m:axisValue occRef="母公司"/>
        </m:item>
        <m:placeholder xlName="_PLD_ba5c81951f1c4ff0a188b55532ed96a5" wordText="2．盈余公积转增资本（或股本）" addr="T2R21C0S1_1"/>
        <m:item xlName="_GBC_1fdac46518d7477ab877041b22a6d61c" concept="clcid-pte:YingYuGongJiZhuanZengZiBenHuoGuBenDaoZhiShiShouZiBenHuoGuBenJingEBianDongJinE" label="盈余公积转增资本（或股本）导致实收资本（或股本）净额变动金额" mulRef="_GBC_048773409e614c6bb753000b028316a5" unitRef="_GBC_5214b7a188334da286fc3038d017d072" addr="T2R21C1S1_1" formatStyle="Comma">
          <m:axisValue occRef="母公司"/>
        </m:item>
        <m:item xlName="_GBC_a935445166a44771960ac8a575396f3c" concept="clcid-pte:YingYuGongJiZhuanZengZiBenHuoGuBenDaoZhiQiTaQuanYiGongJuZhongDeYouXianGuBianDongJinE" label="盈余公积转增资本（或股本）导致其他权益工具中的优先股变动金额" mulRef="_GBC_048773409e614c6bb753000b028316a5" unitRef="_GBC_5214b7a188334da286fc3038d017d072" addr="T2R21C2S1_1" formatStyle="Comma">
          <m:axisValue occRef="母公司"/>
        </m:item>
        <m:item xlName="_GBC_776b3538616c492f8df9dfe67acb2712" concept="clcid-pte:YingYuGongJiZhuanZengZiBenHuoGuBenDaoZhiQiTaQuanYiGongJuZhongDeYongXuZhaiBianDongJinE" label="盈余公积转增资本（或股本）导致其他权益工具中的永续债变动金额" mulRef="_GBC_048773409e614c6bb753000b028316a5" unitRef="_GBC_5214b7a188334da286fc3038d017d072" addr="T2R21C3S1_1" formatStyle="Comma">
          <m:axisValue occRef="母公司"/>
        </m:item>
        <m:item xlName="_GBC_455af898706e45a39b78f1414832364d" concept="clcid-pte:YingYuGongJiZhuanZengZiBenHuoGuBenDaoZhiQiTaQuanYiGongJuZhongDeQiTaBianDongJinE" label="盈余公积转增资本（或股本）导致其他权益工具中的其他变动金额" mulRef="_GBC_048773409e614c6bb753000b028316a5" unitRef="_GBC_5214b7a188334da286fc3038d017d072" addr="T2R21C4S1_1" formatStyle="Comma">
          <m:axisValue occRef="母公司"/>
        </m:item>
        <m:item xlName="_GBC_7dfb56e12a2245e5aad652e911e55347" concept="clcid-pte:YingYuGongJiZhuanZengZiBenHuoGuBenDaoZhiZiBenGongJiBianDongJinE" label="盈余公积转增资本（或股本）导致资本公积变动金额" mulRef="_GBC_048773409e614c6bb753000b028316a5" unitRef="_GBC_5214b7a188334da286fc3038d017d072" addr="T2R21C5S1_1" formatStyle="Comma">
          <m:axisValue occRef="母公司"/>
        </m:item>
        <m:item xlName="_GBC_af0da898a3474b5ca139b28085132708" concept="clcid-pte:YingYuGongJiZhuanZengZiBenHuoGuBenDaoZhiKuCunGuBianDongJinE" label="盈余公积转增资本（或股本）导致库存股变动金额" mulRef="_GBC_048773409e614c6bb753000b028316a5" unitRef="_GBC_5214b7a188334da286fc3038d017d072" addr="T2R21C6S1_1" baseScale="-1" formatStyle="Comma">
          <m:axisValue occRef="母公司"/>
        </m:item>
        <m:item xlName="_GBC_fe4fc7f67d5a4d029cfea78ffc62d01c" concept="clcid-pte:YingYuGongJiZhuanZengZiBenHuoGuBenDaoZhiQiTaZongHeShouYiBianDongJinE" label="盈余公积转增资本（或股本）导致其他综合收益变动金额" mulRef="_GBC_048773409e614c6bb753000b028316a5" unitRef="_GBC_5214b7a188334da286fc3038d017d072" addr="T2R21C7S1_1" formatStyle="Comma">
          <m:axisValue occRef="母公司"/>
        </m:item>
        <m:item xlName="_GBC_2bae1d1e231b4f9aa8e389ee91eab0ee" concept="clcid-pte:YingYuGongJiZhuanZengZiBenHuoGuBenDaoZhiZhuanXiangChuBeiBianDongJinE" label="盈余公积转增资本（或股本）导致专项储备变动金额" mulRef="_GBC_048773409e614c6bb753000b028316a5" unitRef="_GBC_5214b7a188334da286fc3038d017d072" addr="T2R21C8S1_1" formatStyle="Comma">
          <m:axisValue occRef="母公司"/>
        </m:item>
        <m:item xlName="_GBC_1a4224c4dd1547deb0fd234f1ac656c9" concept="clcid-pte:YingYuGongJiZhuanZengZiBenHuoGuBenDaoZhiYingYuGongJiBianDongJinE" label="盈余公积转增资本（或股本）导致盈余公积变动金额" mulRef="_GBC_048773409e614c6bb753000b028316a5" unitRef="_GBC_5214b7a188334da286fc3038d017d072" addr="T2R21C9S1_1" formatStyle="Comma">
          <m:axisValue occRef="母公司"/>
        </m:item>
        <m:item xlName="_GBC_d34e10ee0bfc4af280f7cfe03bf43988" concept="clcid-pte:YingYuGongJiZhuanZengZiBenHuoGuBenDaoZhiWeiFenPeiLiRunBianDongJinE" label="盈余公积转增资本（或股本）导致未分配利润变动金额" mulRef="_GBC_048773409e614c6bb753000b028316a5" unitRef="_GBC_5214b7a188334da286fc3038d017d072" addr="T2R21C10S1_1" formatStyle="Comma">
          <m:axisValue occRef="母公司"/>
        </m:item>
        <m:item xlName="_GBC_dda47fa6bf4146f38be7631f0378638a" concept="clcid-pte:YingYuGongJiZhuanZengZiBenHuoGuBenDaoZhiGuDongQuanYiHeJiBianDongJinE" label="盈余公积转增资本（或股本）导致股东权益合计变动金额" mulRef="_GBC_048773409e614c6bb753000b028316a5" unitRef="_GBC_5214b7a188334da286fc3038d017d072" addr="T2R21C11S1_1" formatStyle="Comma">
          <m:axisValue occRef="母公司"/>
        </m:item>
        <m:placeholder xlName="_PLD_81b068c4cdf2482a9438450e52e9b3b4" wordText="3．盈余公积弥补亏损" addr="T2R22C0S1_1"/>
        <m:item xlName="_GBC_c54e4bd0b2d84fac979c4c4d228e2e8a" concept="clcid-pte:YingYuGongJiMiBuKuiSunDaoZhiShiShouZiBenHuoGuBenJingEBianDongJinE" label="盈余公积弥补亏损导致实收资本（或股本）净额变动金额" mulRef="_GBC_048773409e614c6bb753000b028316a5" unitRef="_GBC_5214b7a188334da286fc3038d017d072" addr="T2R22C1S1_1" formatStyle="Comma">
          <m:axisValue occRef="母公司"/>
        </m:item>
        <m:item xlName="_GBC_85bfb4fb437245fda8edede67c1c1eb6" concept="clcid-pte:YingYuGongJiMiBuKuiSunDaoZhiQiTaQuanYiGongJuZhongDeYouXianGuBianDongJinE" label="盈余公积弥补亏损导致其他权益工具中的优先股变动金额" mulRef="_GBC_048773409e614c6bb753000b028316a5" unitRef="_GBC_5214b7a188334da286fc3038d017d072" addr="T2R22C2S1_1" formatStyle="Comma">
          <m:axisValue occRef="母公司"/>
        </m:item>
        <m:item xlName="_GBC_97b75454cad74ef49a0ba703e2c25e70" concept="clcid-pte:YingYuGongJiMiBuKuiSunDaoZhiQiTaQuanYiGongJuZhongDeYongXuZhaiBianDongJinE" label="盈余公积弥补亏损导致其他权益工具中的永续债变动金额" mulRef="_GBC_048773409e614c6bb753000b028316a5" unitRef="_GBC_5214b7a188334da286fc3038d017d072" addr="T2R22C3S1_1" formatStyle="Comma">
          <m:axisValue occRef="母公司"/>
        </m:item>
        <m:item xlName="_GBC_983e14819fd5410a8b3568095d141cd0" concept="clcid-pte:YingYuGongJiMiBuKuiSunDaoZhiQiTaQuanYiGongJuZhongDeQiTaBianDongJinE" label="盈余公积弥补亏损导致其他权益工具中的其他变动金额" mulRef="_GBC_048773409e614c6bb753000b028316a5" unitRef="_GBC_5214b7a188334da286fc3038d017d072" addr="T2R22C4S1_1" formatStyle="Comma">
          <m:axisValue occRef="母公司"/>
        </m:item>
        <m:item xlName="_GBC_924b9ed3e89c4b4988309dddf304a82b" concept="clcid-pte:YingYuGongJiMiBuKuiSunDaoZhiZiBenGongJiBianDongJinE" label="盈余公积弥补亏损导致资本公积变动金额" mulRef="_GBC_048773409e614c6bb753000b028316a5" unitRef="_GBC_5214b7a188334da286fc3038d017d072" addr="T2R22C5S1_1" formatStyle="Comma">
          <m:axisValue occRef="母公司"/>
        </m:item>
        <m:item xlName="_GBC_483deb59b0834d4b99cd7e92931b423b" concept="clcid-pte:YingYuGongJiMiBuKuiSunDaoZhiKuCunGuBianDongJinE" label="盈余公积弥补亏损导致库存股变动金额" mulRef="_GBC_048773409e614c6bb753000b028316a5" unitRef="_GBC_5214b7a188334da286fc3038d017d072" addr="T2R22C6S1_1" baseScale="-1" formatStyle="Comma">
          <m:axisValue occRef="母公司"/>
        </m:item>
        <m:item xlName="_GBC_42dbc1c15cec4889afebe0ddd03cb7d3" concept="clcid-pte:YingYuGongJiMiBuKuiSunDaoZhiQiTaZongHeShouYiBianDongJinE" label="盈余公积弥补亏损导致其他综合收益变动金额" mulRef="_GBC_048773409e614c6bb753000b028316a5" unitRef="_GBC_5214b7a188334da286fc3038d017d072" addr="T2R22C7S1_1" formatStyle="Comma">
          <m:axisValue occRef="母公司"/>
        </m:item>
        <m:item xlName="_GBC_993268c981684cb98568145fd9d89460" concept="clcid-pte:YingYuGongJiMiBuKuiSunDaoZhiZhuanXiangChuBeiBianDongJinE" label="盈余公积弥补亏损导致专项储备变动金额" mulRef="_GBC_048773409e614c6bb753000b028316a5" unitRef="_GBC_5214b7a188334da286fc3038d017d072" addr="T2R22C8S1_1" formatStyle="Comma">
          <m:axisValue occRef="母公司"/>
        </m:item>
        <m:item xlName="_GBC_84424461371947aea90a893e959ac322" concept="clcid-pte:YingYuGongJiMiBuKuiSunDaoZhiYingYuGongJiBianDongJinE" label="盈余公积弥补亏损导致盈余公积变动金额" mulRef="_GBC_048773409e614c6bb753000b028316a5" unitRef="_GBC_5214b7a188334da286fc3038d017d072" addr="T2R22C9S1_1" formatStyle="Comma">
          <m:axisValue occRef="母公司"/>
        </m:item>
        <m:item xlName="_GBC_c639475c0bd141ef8ee6e289371f4383" concept="clcid-pte:YingYuGongJiMiBuKuiSunDaoZhiWeiFenPeiLiRunBianDongJinE" label="盈余公积弥补亏损导致未分配利润变动金额" mulRef="_GBC_048773409e614c6bb753000b028316a5" unitRef="_GBC_5214b7a188334da286fc3038d017d072" addr="T2R22C10S1_1" formatStyle="Comma">
          <m:axisValue occRef="母公司"/>
        </m:item>
        <m:item xlName="_GBC_1516326ef156473e99c322b58b2722da" concept="clcid-pte:YingYuGongJiMiBuKuiSunDaoZhiGuDongQuanYiHeJiBianDongJinE" label="盈余公积弥补亏损导致股东权益合计变动金额" mulRef="_GBC_048773409e614c6bb753000b028316a5" unitRef="_GBC_5214b7a188334da286fc3038d017d072" addr="T2R22C11S1_1" formatStyle="Comma">
          <m:axisValue occRef="母公司"/>
        </m:item>
        <m:placeholder xlName="_PLD_0e7647effaeb42219d706b118465bdec" wordText="4．设定受益计划变动额结转留存收益" addr="T2R23C0S1_1"/>
        <m:item xlName="_GBC_8c37033b30b74558aa6065788e32a378" concept="clcid-pte:SheDingShouYiJiHuaBianDongEJieZhuanLiuCunShouYiDaoZhiShiShouZiBenHuoGuBenJingEBianDongJinE" label="设定受益计划变动额结转留存收益导致实收资本（或股本）净额变动金额" mulRef="_GBC_048773409e614c6bb753000b028316a5" unitRef="_GBC_5214b7a188334da286fc3038d017d072" addr="T2R23C1S1_1" formatStyle="Comma">
          <m:axisValue occRef="母公司"/>
        </m:item>
        <m:item xlName="_GBC_5678bed2a31249e58c6462a59c03fd8c" concept="clcid-pte:SheDingShouYiJiHuaBianDongEJieZhuanLiuCunShouYiDaoZhiQiTaQuanYiGongJuZhongDeYouXianGuBianDongJinE" label="设定受益计划变动额结转留存收益导致其他权益工具中的优先股变动金额" mulRef="_GBC_048773409e614c6bb753000b028316a5" unitRef="_GBC_5214b7a188334da286fc3038d017d072" addr="T2R23C2S1_1" formatStyle="Comma">
          <m:axisValue occRef="母公司"/>
        </m:item>
        <m:item xlName="_GBC_4ebc387767c24233ae39d6ebfb88ac92" concept="clcid-pte:SheDingShouYiJiHuaBianDongEJieZhuanLiuCunShouYiDaoZhiQiTaQuanYiGongJuZhongDeYongXuZhaiBianDongJinE" label="设定受益计划变动额结转留存收益导致其他权益工具中的永续债变动金额" mulRef="_GBC_048773409e614c6bb753000b028316a5" unitRef="_GBC_5214b7a188334da286fc3038d017d072" addr="T2R23C3S1_1" formatStyle="Comma">
          <m:axisValue occRef="母公司"/>
        </m:item>
        <m:item xlName="_GBC_2cab6b90697b46dfa55a20605b207d59" concept="clcid-pte:SheDingShouYiJiHuaBianDongEJieZhuanLiuCunShouYiDaoZhiQiTaQuanYiGongJuZhongDeQiTaBianDongJinE" label="设定受益计划变动额结转留存收益导致其他权益工具中的其他变动金额" mulRef="_GBC_048773409e614c6bb753000b028316a5" unitRef="_GBC_5214b7a188334da286fc3038d017d072" addr="T2R23C4S1_1" formatStyle="Comma">
          <m:axisValue occRef="母公司"/>
        </m:item>
        <m:item xlName="_GBC_4d0414e659e44a3e9aa4eefc72d15c05" concept="clcid-pte:SheDingShouYiJiHuaBianDongEJieZhuanLiuCunShouYiDaoZhiZiBenGongJiBianDongJinE" label="设定受益计划变动额结转留存收益导致资本公积变动金额" mulRef="_GBC_048773409e614c6bb753000b028316a5" unitRef="_GBC_5214b7a188334da286fc3038d017d072" addr="T2R23C5S1_1" formatStyle="Comma">
          <m:axisValue occRef="母公司"/>
        </m:item>
        <m:item xlName="_GBC_5a20cc1f54d64045a18af024d677b3c7" concept="clcid-pte:SheDingShouYiJiHuaBianDongEJieZhuanLiuCunShouYiDaoZhiKuCunGuBianDongJinE" label="设定受益计划变动额结转留存收益导致库存股变动金额" mulRef="_GBC_048773409e614c6bb753000b028316a5" unitRef="_GBC_5214b7a188334da286fc3038d017d072" addr="T2R23C6S1_1" baseScale="-1" formatStyle="Comma">
          <m:axisValue occRef="母公司"/>
        </m:item>
        <m:item xlName="_GBC_f50f3442bfe547ae92bb996ca9d26c1b" concept="clcid-pte:SheDingShouYiJiHuaBianDongEJieZhuanLiuCunShouYiDaoZhiQiTaZongHeShouYiBianDongJinE" label="设定受益计划变动额结转留存收益导致其他综合收益变动金额" mulRef="_GBC_048773409e614c6bb753000b028316a5" unitRef="_GBC_5214b7a188334da286fc3038d017d072" addr="T2R23C7S1_1" formatStyle="Comma">
          <m:axisValue occRef="母公司"/>
        </m:item>
        <m:item xlName="_GBC_29a943528604451489cfa1d36e848933" concept="clcid-pte:SheDingShouYiJiHuaBianDongEJieZhuanLiuCunShouYiDaoZhiZhuanXiangChuBeiBianDongJinE" label="设定受益计划变动额结转留存收益导致专项储备变动金额" mulRef="_GBC_048773409e614c6bb753000b028316a5" unitRef="_GBC_5214b7a188334da286fc3038d017d072" addr="T2R23C8S1_1" formatStyle="Comma">
          <m:axisValue occRef="母公司"/>
        </m:item>
        <m:item xlName="_GBC_b039644f00184625a549e959f210cb46" concept="clcid-pte:SheDingShouYiJiHuaBianDongEJieZhuanLiuCunShouYiDaoZhiYingYuGongJiBianDongJinE" label="设定受益计划变动额结转留存收益导致盈余公积变动金额" mulRef="_GBC_048773409e614c6bb753000b028316a5" unitRef="_GBC_5214b7a188334da286fc3038d017d072" addr="T2R23C9S1_1" formatStyle="Comma">
          <m:axisValue occRef="母公司"/>
        </m:item>
        <m:item xlName="_GBC_10a33ffe495e4bdc836f6b2fad54e579" concept="clcid-pte:SheDingShouYiJiHuaBianDongEJieZhuanLiuCunShouYiDaoZhiWeiFenPeiLiRunBianDongJinE" label="设定受益计划变动额结转留存收益导致未分配利润变动金额" mulRef="_GBC_048773409e614c6bb753000b028316a5" unitRef="_GBC_5214b7a188334da286fc3038d017d072" addr="T2R23C10S1_1" formatStyle="Comma">
          <m:axisValue occRef="母公司"/>
        </m:item>
        <m:item xlName="_GBC_ed06713e4211446b9aa0bda1635d9412" concept="clcid-pte:SheDingShouYiJiHuaBianDongEJieZhuanLiuCunShouYiDaoZhiGuDongQuanYiHeJiBianDongJinE" label="设定受益计划变动额结转留存收益导致股东权益合计变动金额" mulRef="_GBC_048773409e614c6bb753000b028316a5" unitRef="_GBC_5214b7a188334da286fc3038d017d072" addr="T2R23C11S1_1" formatStyle="Comma">
          <m:axisValue occRef="母公司"/>
        </m:item>
        <m:placeholder xlName="_PLD_1c8ba4a0bb224c1d891e628390545199" wordText="5．其他综合收益结转留存收益" addr="T2R24C0S1_1"/>
        <m:item xlName="_GBC_2831ad7f38664a089db9f59a15ccd79c" concept="clcid-pte:QiTaZongHeShouYiJieZhuanLiuCunShouYiDaoZhiShiShouZiBenHuoGuBenJingEBianDongJinE" label="其他综合收益结转留存收益导致实收资本（或股本）净额变动金额" mulRef="_GBC_048773409e614c6bb753000b028316a5" unitRef="_GBC_5214b7a188334da286fc3038d017d072" addr="T2R24C1S1_1" formatStyle="Comma">
          <m:axisValue occRef="母公司"/>
        </m:item>
        <m:item xlName="_GBC_36877258ffdb48908aaedd593bf4a5ae" concept="clcid-pte:QiTaZongHeShouYiJieZhuanLiuCunShouYiDaoZhiQiTaQuanYiGongJuZhongDeYouXianGuBianDongJinE" label="其他综合收益结转留存收益导致其他权益工具中的优先股变动金额" mulRef="_GBC_048773409e614c6bb753000b028316a5" unitRef="_GBC_5214b7a188334da286fc3038d017d072" addr="T2R24C2S1_1" formatStyle="Comma">
          <m:axisValue occRef="母公司"/>
        </m:item>
        <m:item xlName="_GBC_eea7c5f794f7484093d707819ba00ec3" concept="clcid-pte:QiTaZongHeShouYiJieZhuanLiuCunShouYiDaoZhiQiTaQuanYiGongJuZhongDeYongXuZhaiBianDongJinE" label="其他综合收益结转留存收益导致其他权益工具中的永续债变动金额" mulRef="_GBC_048773409e614c6bb753000b028316a5" unitRef="_GBC_5214b7a188334da286fc3038d017d072" addr="T2R24C3S1_1" formatStyle="Comma">
          <m:axisValue occRef="母公司"/>
        </m:item>
        <m:item xlName="_GBC_3a30205bfc544591afc0d5698537e14c" concept="clcid-pte:QiTaZongHeShouYiJieZhuanLiuCunShouYiDaoZhiQiTaQuanYiGongJuZhongDeQiTaBianDongJinE" label="其他综合收益结转留存收益导致其他权益工具中的其他变动金额" mulRef="_GBC_048773409e614c6bb753000b028316a5" unitRef="_GBC_5214b7a188334da286fc3038d017d072" addr="T2R24C4S1_1" formatStyle="Comma">
          <m:axisValue occRef="母公司"/>
        </m:item>
        <m:item xlName="_GBC_9383cb5696f0403386bfc18f9d424d59" concept="clcid-pte:QiTaZongHeShouYiJieZhuanLiuCunShouYiDaoZhiZiBenGongJiBianDongJinE" label="其他综合收益结转留存收益导致资本公积变动金额" mulRef="_GBC_048773409e614c6bb753000b028316a5" unitRef="_GBC_5214b7a188334da286fc3038d017d072" addr="T2R24C5S1_1" formatStyle="Comma">
          <m:axisValue occRef="母公司"/>
        </m:item>
        <m:item xlName="_GBC_ec1c7c4c475045689832c4e379519a44" concept="clcid-pte:QiTaZongHeShouYiJieZhuanLiuCunShouYiDaoZhiKuCunGuBianDongJinE" label="其他综合收益结转留存收益导致库存股变动金额" mulRef="_GBC_048773409e614c6bb753000b028316a5" unitRef="_GBC_5214b7a188334da286fc3038d017d072" addr="T2R24C6S1_1" baseScale="-1" formatStyle="Comma">
          <m:axisValue occRef="母公司"/>
        </m:item>
        <m:item xlName="_GBC_088ac970636c4ea98a07c1b1cdeebea1" concept="clcid-pte:QiTaZongHeShouYiJieZhuanLiuCunShouYiDaoZhiQiTaZongHeShouYiBianDongJinE" label="其他综合收益结转留存收益导致其他综合收益变动金额" mulRef="_GBC_048773409e614c6bb753000b028316a5" unitRef="_GBC_5214b7a188334da286fc3038d017d072" addr="T2R24C7S1_1" formatStyle="Comma">
          <m:axisValue occRef="母公司"/>
        </m:item>
        <m:item xlName="_GBC_2e0b2a1e4479461fb045eb537ae580f8" concept="clcid-pte:QiTaZongHeShouYiJieZhuanLiuCunShouYiDaoZhiZhuanXiangChuBeiBianDongJinE" label="其他综合收益结转留存收益导致专项储备变动金额" mulRef="_GBC_048773409e614c6bb753000b028316a5" unitRef="_GBC_5214b7a188334da286fc3038d017d072" addr="T2R24C8S1_1" formatStyle="Comma">
          <m:axisValue occRef="母公司"/>
        </m:item>
        <m:item xlName="_GBC_a716d544a2ed4618ab191115bd92a8b0" concept="clcid-pte:QiTaZongHeShouYiJieZhuanLiuCunShouYiDaoZhiYingYuGongJiBianDongJinE" label="其他综合收益结转留存收益导致盈余公积变动金额" mulRef="_GBC_048773409e614c6bb753000b028316a5" unitRef="_GBC_5214b7a188334da286fc3038d017d072" addr="T2R24C9S1_1" formatStyle="Comma">
          <m:axisValue occRef="母公司"/>
        </m:item>
        <m:item xlName="_GBC_054808ba1d714ccca4dd30e09c36f00f" concept="clcid-pte:QiTaZongHeShouYiJieZhuanLiuCunShouYiDaoZhiWeiFenPeiLiRunBianDongJinE" label="其他综合收益结转留存收益导致未分配利润变动金额" mulRef="_GBC_048773409e614c6bb753000b028316a5" unitRef="_GBC_5214b7a188334da286fc3038d017d072" addr="T2R24C10S1_1" formatStyle="Comma">
          <m:axisValue occRef="母公司"/>
        </m:item>
        <m:item xlName="_GBC_21b161c66a4c488c8d852ceb78f37ad1" concept="clcid-pte:QiTaZongHeShouYiJieZhuanLiuCunShouYiDaoZhiGuDongQuanYiHeJiBianDongJinE" label="其他综合收益结转留存收益导致股东权益合计变动金额" mulRef="_GBC_048773409e614c6bb753000b028316a5" unitRef="_GBC_5214b7a188334da286fc3038d017d072" addr="T2R24C11S1_1" formatStyle="Comma">
          <m:axisValue occRef="母公司"/>
        </m:item>
        <m:placeholder xlName="_PLD_69d4adb536bf498a8a9d97dda9d31e75" wordText="6．其他" addr="T2R25C0S1_1"/>
        <m:item xlName="_GBC_c12c8acbe8ca43959d18fbc507ee415e" concept="clcid-pte:QiTaSuoYouZheQuanYiNeiBuJieZhuanDaoZhiShiShouZiBenHuoGuBenJingEBianDongJinE" label="其他所有者权益内部结转导致实收资本（或股本）净额变动金额" mulRef="_GBC_048773409e614c6bb753000b028316a5" unitRef="_GBC_5214b7a188334da286fc3038d017d072" addr="T2R25C1S1_1" formatStyle="Comma">
          <m:axisValue occRef="母公司"/>
        </m:item>
        <m:item xlName="_GBC_c249770cec1e46849339600174f46cb8" concept="clcid-pte:QiTaSuoYouZheQuanYiNeiBuJieZhuanDaoZhiQiTaQuanYiGongJuZhongDeYouXianGuBianDongJinE" label="其他所有者权益内部结转导致其他权益工具中的优先股变动金额" mulRef="_GBC_048773409e614c6bb753000b028316a5" unitRef="_GBC_5214b7a188334da286fc3038d017d072" addr="T2R25C2S1_1" formatStyle="Comma">
          <m:axisValue occRef="母公司"/>
        </m:item>
        <m:item xlName="_GBC_9763a0172a6242e49a00331b096d8b18" concept="clcid-pte:QiTaSuoYouZheQuanYiNeiBuJieZhuanDaoZhiQiTaQuanYiGongJuZhongDeYongXuZhaiBianDongJinE" label="其他所有者权益内部结转导致其他权益工具中的永续债变动金额" mulRef="_GBC_048773409e614c6bb753000b028316a5" unitRef="_GBC_5214b7a188334da286fc3038d017d072" addr="T2R25C3S1_1" formatStyle="Comma">
          <m:axisValue occRef="母公司"/>
        </m:item>
        <m:item xlName="_GBC_9f99d2c8f43a47ef9288572b8e455f72" concept="clcid-pte:QiTaSuoYouZheQuanYiNeiBuJieZhuanDaoZhiQiTaQuanYiGongJuZhongDeQiTaBianDongJinE" label="其他所有者权益内部结转导致其他权益工具中的其他变动金额" mulRef="_GBC_048773409e614c6bb753000b028316a5" unitRef="_GBC_5214b7a188334da286fc3038d017d072" addr="T2R25C4S1_1" formatStyle="Comma">
          <m:axisValue occRef="母公司"/>
        </m:item>
        <m:item xlName="_GBC_79ae5c7f33b64ca4854b078e711edf01" concept="clcid-pte:QiTaSuoYouZheQuanYiNeiBuJieZhuanDaoZhiZiBenGongJiBianDongJinE" label="其他所有者权益内部结转导致资本公积变动金额" mulRef="_GBC_048773409e614c6bb753000b028316a5" unitRef="_GBC_5214b7a188334da286fc3038d017d072" addr="T2R25C5S1_1" formatStyle="Comma">
          <m:axisValue occRef="母公司"/>
        </m:item>
        <m:item xlName="_GBC_ef4e073754fd4089b309769be7ff3d60" concept="clcid-pte:QiTaSuoYouZheQuanYiNeiBuJieZhuanDaoZhiKuCunGuBianDongJinE" label="其他所有者权益内部结转导致库存股变动金额" mulRef="_GBC_048773409e614c6bb753000b028316a5" unitRef="_GBC_5214b7a188334da286fc3038d017d072" addr="T2R25C6S1_1" baseScale="-1" formatStyle="Comma">
          <m:axisValue occRef="母公司"/>
        </m:item>
        <m:item xlName="_GBC_aaf8581bfdea43afaab1107686c116d8" concept="clcid-pte:QiTaSuoYouZheQuanYiNeiBuJieZhuanDaoZhiQiTaZongHeShouYiBianDongJinE" label="其他所有者权益内部结转导致其他综合收益变动金额" mulRef="_GBC_048773409e614c6bb753000b028316a5" unitRef="_GBC_5214b7a188334da286fc3038d017d072" addr="T2R25C7S1_1" formatStyle="Comma">
          <m:axisValue occRef="母公司"/>
        </m:item>
        <m:item xlName="_GBC_c6eb678860644dcc87f23eeb61e99952" concept="clcid-pte:QiTaSuoYouZheQuanYiNeiBuJieZhuanDaoZhiZhuanXiangChuBeiBianDongJinE" label="其他所有者权益内部结转导致专项储备变动金额" mulRef="_GBC_048773409e614c6bb753000b028316a5" unitRef="_GBC_5214b7a188334da286fc3038d017d072" addr="T2R25C8S1_1" formatStyle="Comma">
          <m:axisValue occRef="母公司"/>
        </m:item>
        <m:item xlName="_GBC_17268790310846b2b3ce86c1a4c983f4" concept="clcid-pte:QiTaSuoYouZheQuanYiNeiBuJieZhuanDaoZhiYingYuGongJiBianDongJinE" label="其他所有者权益内部结转导致盈余公积变动金额" mulRef="_GBC_048773409e614c6bb753000b028316a5" unitRef="_GBC_5214b7a188334da286fc3038d017d072" addr="T2R25C9S1_1" formatStyle="Comma">
          <m:axisValue occRef="母公司"/>
        </m:item>
        <m:item xlName="_GBC_1ed45a0f2d844379a6480cc4f7cdfaff" concept="clcid-pte:QiTaSuoYouZheQuanYiNeiBuJieZhuanDaoZhiWeiFenPeiLiRunBianDongJinE" label="其他所有者权益内部结转导致未分配利润变动金额" mulRef="_GBC_048773409e614c6bb753000b028316a5" unitRef="_GBC_5214b7a188334da286fc3038d017d072" addr="T2R25C10S1_1" formatStyle="Comma">
          <m:axisValue occRef="母公司"/>
        </m:item>
        <m:item xlName="_GBC_0122523930f844f9818e88f8be8bc749" concept="clcid-pte:QiTaSuoYouZheQuanYiNeiBuJieZhuanDaoZhiGuDongQuanYiHeJiBianDongJinE" label="其他所有者权益内部结转导致股东权益合计变动金额" mulRef="_GBC_048773409e614c6bb753000b028316a5" unitRef="_GBC_5214b7a188334da286fc3038d017d072" addr="T2R25C11S1_1" formatStyle="Comma">
          <m:axisValue occRef="母公司"/>
        </m:item>
        <m:placeholder xlName="_PLD_2ae06251c01740e284196240776af550" wordText="（五）专项储备" addr="T2R26C0S1_1"/>
        <m:item xlName="_GBC_2cbca74f80a744339bc2c82ccb3a5682" concept="clcid-pte:ZhuanXiangChuBeiDaoZhiShiShouZiBenHuoGuBenJingEBianDongJinE" label="专项储备导致实收资本（或股本）净额变动金额" mulRef="_GBC_048773409e614c6bb753000b028316a5" unitRef="_GBC_5214b7a188334da286fc3038d017d072" addr="T2R26C1S1_1" formatStyle="Comma">
          <m:complexRule comparator="Eq" title="母公司专项储备导致实收资本（或股本）净额变动金额" test=" $_GBC_609b8996eaae49a69b9ae21f36756619 -  $_GBC_227b0aa17b1a4450aef2d630dde5deec" id="C46d2d9af59d84f93ba6805c1ca04c467"/>
          <m:axisValue occRef="母公司"/>
        </m:item>
        <m:item xlName="_GBC_ba1ea232086f49679eced5f9c476bd7d" concept="clcid-pte:ZhuanXiangChuBeiDaoZhiQiTaQuanYiGongJuZhongDeYouXianGuBianDongJinE" label="专项储备导致其他权益工具中的优先股变动金额" mulRef="_GBC_048773409e614c6bb753000b028316a5" unitRef="_GBC_5214b7a188334da286fc3038d017d072" addr="T2R26C2S1_1" formatStyle="Comma">
          <m:complexRule comparator="Eq" title="母公司专项储备导致其他权益工具中的优先股变动金额" test=" $_GBC_500382823a69410fab4a1984e4ab2d7b -  $_GBC_a122c95ffa4543388c9f01e41359fad0" id="C3a953aca8d524a6dae981078a15ed2c9"/>
          <m:axisValue occRef="母公司"/>
        </m:item>
        <m:item xlName="_GBC_16754af9da4b47f2b1cc38d7856d8f8b" concept="clcid-pte:ZhuanXiangChuBeiDaoZhiQiTaQuanYiGongJuZhongDeYongXuZhaiBianDongJinE" label="专项储备导致其他权益工具中的永续债变动金额" mulRef="_GBC_048773409e614c6bb753000b028316a5" unitRef="_GBC_5214b7a188334da286fc3038d017d072" addr="T2R26C3S1_1" formatStyle="Comma">
          <m:complexRule comparator="Eq" title="母公司专项储备导致其他权益工具中的永续债变动金额" test=" $_GBC_6da5f5a93e3c491f80875c63a0a773be -  $_GBC_cba56aacf7a84ad2826c298a9593b3f5" id="C0a4d48f32b4c4b6e846bcd1bb7152a87"/>
          <m:axisValue occRef="母公司"/>
        </m:item>
        <m:item xlName="_GBC_96f1f37c2ebe4120bdb43159f84fc442" concept="clcid-pte:ZhuanXiangChuBeiDaoZhiQiTaQuanYiGongJuZhongDeQiTaBianDongJinE" label="专项储备导致其他权益工具中的其他变动金额" mulRef="_GBC_048773409e614c6bb753000b028316a5" unitRef="_GBC_5214b7a188334da286fc3038d017d072" addr="T2R26C4S1_1" formatStyle="Comma">
          <m:complexRule comparator="Eq" title="母公司专项储备导致其他权益工具中的其他变动金额" test=" $_GBC_6de22e6de98441679055db12113e5720 -  $_GBC_7ae086a2b0dc43ff8f4abd2e84d0e509" id="C31a51b5139f044b28e409cea30c80663"/>
          <m:axisValue occRef="母公司"/>
        </m:item>
        <m:item xlName="_GBC_0f6acc3ef97c4ecbbcfb5086e2d5da4f" concept="clcid-pte:ZhuanXiangChuBeiDaoZhiZiBenGongJiBianDongJinE" label="专项储备导致资本公积变动金额" mulRef="_GBC_048773409e614c6bb753000b028316a5" unitRef="_GBC_5214b7a188334da286fc3038d017d072" addr="T2R26C5S1_1" formatStyle="Comma">
          <m:complexRule comparator="Eq" title="母公司专项储备导致资本公积变动金额" test=" $_GBC_0eab8a0b3d764021aeb2494b69fd22cb -  $_GBC_6af3edd8331140b4b3d6d0df6c0cbb57" id="C01263de0ec0b48e2810c05760feb1450"/>
          <m:axisValue occRef="母公司"/>
        </m:item>
        <m:item xlName="_GBC_08f333e1ae844c698c8198354620896b" concept="clcid-pte:ZhuanXiangChuBeiDaoZhiKuCunGuBianDongJinE" label="专项储备导致库存股变动金额" mulRef="_GBC_048773409e614c6bb753000b028316a5" unitRef="_GBC_5214b7a188334da286fc3038d017d072" addr="T2R26C6S1_1" baseScale="-1" formatStyle="Comma">
          <m:complexRule comparator="Eq" title="母公司专项储备导致库存股变动金额" test=" $_GBC_81ea7ebe82fd4a9590d7415ecb680e5d -  $_GBC_8e7e95d3b3124787ac5f59f3844f558e" id="C3039af4182444fabb978297c2745c3b3"/>
          <m:axisValue occRef="母公司"/>
        </m:item>
        <m:item xlName="_GBC_7aefe5a89f7941afba1423447c04e7b7" concept="clcid-pte:ZhuanXiangChuBeiDaoZhiQiTaZongHeShouYiBianDongJinE" label="专项储备导致其他综合收益变动金额" mulRef="_GBC_048773409e614c6bb753000b028316a5" unitRef="_GBC_5214b7a188334da286fc3038d017d072" addr="T2R26C7S1_1" formatStyle="Comma">
          <m:complexRule comparator="Eq" title="母公司专项储备导致其他综合收益变动金额" test=" $_GBC_5c720558caf24dae878a518de64724da -  $_GBC_ed5c34c6cf044c0bacf31b0a291acd54" id="Cb285c82ff313449d86d08a292cad214a"/>
          <m:axisValue occRef="母公司"/>
        </m:item>
        <m:item xlName="_GBC_b20f61c7bfab4a5a92fc287469774e41" concept="clcid-pte:ZhuanXiangChuBeiDaoZhiZhuanXiangChuBeiBianDongJinE" label="专项储备导致专项储备变动金额" mulRef="_GBC_048773409e614c6bb753000b028316a5" unitRef="_GBC_5214b7a188334da286fc3038d017d072" addr="T2R26C8S1_1" formatStyle="Comma">
          <m:complexRule comparator="Eq" title="母公司专项储备导致专项储备变动金额" test=" $_GBC_17b2e9dcff534967888a2f1563f604f1 -  $_GBC_8ac97954c71b484da78ebe43d98db0f0" id="Cd95d2dbd50ab4221942352a58a83ad97"/>
          <m:axisValue occRef="母公司"/>
        </m:item>
        <m:item xlName="_GBC_d5f93c8d0480464ebd1ced2fce559cdd" concept="clcid-pte:ZhuanXiangChuBeiDaoZhiYingYuGongJiBianDongJinE" label="专项储备导致盈余公积变动金额" mulRef="_GBC_048773409e614c6bb753000b028316a5" unitRef="_GBC_5214b7a188334da286fc3038d017d072" addr="T2R26C9S1_1" formatStyle="Comma">
          <m:complexRule comparator="Eq" title="母公司专项储备导致盈余公积变动金额" test=" $_GBC_6dd17078b995424ba601066cdfca5793 -  $_GBC_98ffaeea39d24a60872fd8720a651652" id="Cd26a143cd4124d0ba24bd200213a8678"/>
          <m:axisValue occRef="母公司"/>
        </m:item>
        <m:item xlName="_GBC_2e8bc48548d041e6ac139f8ff05dab4e" concept="clcid-pte:ZhuanXiangChuBeiDaoZhiWeiFenPeiLiRunBianDongJinE" label="专项储备导致未分配利润变动金额" mulRef="_GBC_048773409e614c6bb753000b028316a5" unitRef="_GBC_5214b7a188334da286fc3038d017d072" addr="T2R26C10S1_1" formatStyle="Comma">
          <m:complexRule comparator="Eq" title="母公司专项储备导致未分配利润变动金额" test=" $_GBC_8b4f2e4c26ab46198a8bff3c2e52d7b2 -  $_GBC_99eb8cff7ec846a3bd9c06b8f490c2c5" id="Cd061e588ea204f8db0c6bbbba539bb0d"/>
          <m:axisValue occRef="母公司"/>
        </m:item>
        <m:item xlName="_GBC_edde1be052f04992b611b072eec8d60b" concept="clcid-pte:ZhuanXiangChuBeiDaoZhiGuDongQuanYiHeJiBianDongJinE" label="专项储备导致股东权益合计变动金额" mulRef="_GBC_048773409e614c6bb753000b028316a5" unitRef="_GBC_5214b7a188334da286fc3038d017d072" addr="T2R26C11S1_1" formatStyle="Comma">
          <m:complexRule comparator="Eq" title="母公司专项储备导致股东权益合计变动金额" test=" $_GBC_de3cf85d66be4c788f928137460ad47c -  $_GBC_509d65276b6a4dfcb57a9cf6ef40317a" id="C59baa5f197b543c2982233a04f0db842"/>
          <m:axisValue occRef="母公司"/>
        </m:item>
        <m:placeholder xlName="_PLD_6c9c274129814a4ea45296335d45791b" wordText="1．本期提取" addr="T2R27C0S1_1"/>
        <m:item xlName="_GBC_609b8996eaae49a69b9ae21f36756619" concept="clcid-pte:TiQuDaoZhiShiShouZiBenHuoGuBenJingEBianDongJinE" label="提取导致实收资本（或股本）净额变动金额" mulRef="_GBC_048773409e614c6bb753000b028316a5" unitRef="_GBC_5214b7a188334da286fc3038d017d072" addr="T2R27C1S1_1" formatStyle="Comma">
          <m:axisValue occRef="母公司"/>
        </m:item>
        <m:item xlName="_GBC_500382823a69410fab4a1984e4ab2d7b" concept="clcid-pte:TiQuDaoZhiQiTaQuanYiGongJuZhongDeYouXianGuBianDongJinE" label="提取导致其他权益工具中的优先股变动金额" mulRef="_GBC_048773409e614c6bb753000b028316a5" unitRef="_GBC_5214b7a188334da286fc3038d017d072" addr="T2R27C2S1_1" formatStyle="Comma">
          <m:axisValue occRef="母公司"/>
        </m:item>
        <m:item xlName="_GBC_6da5f5a93e3c491f80875c63a0a773be" concept="clcid-pte:TiQuDaoZhiQiTaQuanYiGongJuZhongDeYongXuZhaiBianDongJinE" label="提取导致其他权益工具中的永续债变动金额" mulRef="_GBC_048773409e614c6bb753000b028316a5" unitRef="_GBC_5214b7a188334da286fc3038d017d072" addr="T2R27C3S1_1" formatStyle="Comma">
          <m:axisValue occRef="母公司"/>
        </m:item>
        <m:item xlName="_GBC_6de22e6de98441679055db12113e5720" concept="clcid-pte:TiQuDaoZhiQiTaQuanYiGongJuZhongDeQiTaBianDongJinE" label="提取导致其他权益工具中的其他变动金额" mulRef="_GBC_048773409e614c6bb753000b028316a5" unitRef="_GBC_5214b7a188334da286fc3038d017d072" addr="T2R27C4S1_1" formatStyle="Comma">
          <m:axisValue occRef="母公司"/>
        </m:item>
        <m:item xlName="_GBC_0eab8a0b3d764021aeb2494b69fd22cb" concept="clcid-pte:TiQuDaoZhiZiBenGongJiBianDongJinE" label="提取导致资本公积变动金额" mulRef="_GBC_048773409e614c6bb753000b028316a5" unitRef="_GBC_5214b7a188334da286fc3038d017d072" addr="T2R27C5S1_1" formatStyle="Comma">
          <m:axisValue occRef="母公司"/>
        </m:item>
        <m:item xlName="_GBC_81ea7ebe82fd4a9590d7415ecb680e5d" concept="clcid-pte:TiQuDaoZhiKuCunGuBianDongJinE" label="提取导致库存股变动金额" mulRef="_GBC_048773409e614c6bb753000b028316a5" unitRef="_GBC_5214b7a188334da286fc3038d017d072" addr="T2R27C6S1_1" baseScale="-1" formatStyle="Comma">
          <m:axisValue occRef="母公司"/>
        </m:item>
        <m:item xlName="_GBC_5c720558caf24dae878a518de64724da" concept="clcid-pte:TiQuDaoZhiQiTaZongHeShouYiBianDongJinE" label="提取导致其他综合收益变动金额" mulRef="_GBC_048773409e614c6bb753000b028316a5" unitRef="_GBC_5214b7a188334da286fc3038d017d072" addr="T2R27C7S1_1" formatStyle="Comma">
          <m:axisValue occRef="母公司"/>
        </m:item>
        <m:item xlName="_GBC_17b2e9dcff534967888a2f1563f604f1" concept="clcid-pte:TiQuDaoZhiZhuanXiangChuBeiBianDongJinE" label="提取导致专项储备变动金额" mulRef="_GBC_048773409e614c6bb753000b028316a5" unitRef="_GBC_5214b7a188334da286fc3038d017d072" addr="T2R27C8S1_1" formatStyle="Comma">
          <m:axisValue occRef="母公司"/>
        </m:item>
        <m:item xlName="_GBC_6dd17078b995424ba601066cdfca5793" concept="clcid-pte:TiQuDaoZhiYingYuGongJiBianDongJinE" label="提取导致盈余公积变动金额" mulRef="_GBC_048773409e614c6bb753000b028316a5" unitRef="_GBC_5214b7a188334da286fc3038d017d072" addr="T2R27C9S1_1" formatStyle="Comma">
          <m:axisValue occRef="母公司"/>
        </m:item>
        <m:item xlName="_GBC_8b4f2e4c26ab46198a8bff3c2e52d7b2" concept="clcid-pte:TiQuDaoZhiWeiFenPeiLiRunBianDongJinE" label="提取导致未分配利润变动金额" mulRef="_GBC_048773409e614c6bb753000b028316a5" unitRef="_GBC_5214b7a188334da286fc3038d017d072" addr="T2R27C10S1_1" formatStyle="Comma">
          <m:axisValue occRef="母公司"/>
        </m:item>
        <m:item xlName="_GBC_de3cf85d66be4c788f928137460ad47c" concept="clcid-pte:TiQuDaoZhiGuDongQuanYiHeJiBianDongJinE" label="提取导致股东权益合计变动金额" mulRef="_GBC_048773409e614c6bb753000b028316a5" unitRef="_GBC_5214b7a188334da286fc3038d017d072" addr="T2R27C11S1_1" formatStyle="Comma">
          <m:axisValue occRef="母公司"/>
        </m:item>
        <m:placeholder xlName="_PLD_14398e4dd6ed4c74869a974323e2137e" wordText="2．本期使用" addr="T2R28C0S1_1"/>
        <m:item xlName="_GBC_227b0aa17b1a4450aef2d630dde5deec" concept="clcid-pte:ShiYongDaoZhiShiShouZiBenHuoGuBenJingEBianDongJinE" label="使用导致实收资本（或股本）净额变动金额" mulRef="_GBC_048773409e614c6bb753000b028316a5" unitRef="_GBC_5214b7a188334da286fc3038d017d072" addr="T2R28C1S1_1" formatStyle="Comma">
          <m:axisValue occRef="母公司"/>
        </m:item>
        <m:item xlName="_GBC_a122c95ffa4543388c9f01e41359fad0" concept="clcid-pte:ShiYongDaoZhiQiTaQuanYiGongJuZhongDeYouXianGuBianDongJinE" label="使用导致其他权益工具中的优先股变动金额" mulRef="_GBC_048773409e614c6bb753000b028316a5" unitRef="_GBC_5214b7a188334da286fc3038d017d072" addr="T2R28C2S1_1" formatStyle="Comma">
          <m:axisValue occRef="母公司"/>
        </m:item>
        <m:item xlName="_GBC_cba56aacf7a84ad2826c298a9593b3f5" concept="clcid-pte:ShiYongDaoZhiQiTaQuanYiGongJuZhongDeYongXuZhaiBianDongJinE" label="使用导致其他权益工具中的永续债变动金额" mulRef="_GBC_048773409e614c6bb753000b028316a5" unitRef="_GBC_5214b7a188334da286fc3038d017d072" addr="T2R28C3S1_1" formatStyle="Comma">
          <m:axisValue occRef="母公司"/>
        </m:item>
        <m:item xlName="_GBC_7ae086a2b0dc43ff8f4abd2e84d0e509" concept="clcid-pte:ShiYongDaoZhiQiTaQuanYiGongJuZhongDeQiTaBianDongJinE" label="使用导致其他权益工具中的其他变动金额" mulRef="_GBC_048773409e614c6bb753000b028316a5" unitRef="_GBC_5214b7a188334da286fc3038d017d072" addr="T2R28C4S1_1" formatStyle="Comma">
          <m:axisValue occRef="母公司"/>
        </m:item>
        <m:item xlName="_GBC_6af3edd8331140b4b3d6d0df6c0cbb57" concept="clcid-pte:ShiYongDaoZhiZiBenGongJiBianDongJinE" label="使用导致资本公积变动金额" mulRef="_GBC_048773409e614c6bb753000b028316a5" unitRef="_GBC_5214b7a188334da286fc3038d017d072" addr="T2R28C5S1_1" formatStyle="Comma">
          <m:axisValue occRef="母公司"/>
        </m:item>
        <m:item xlName="_GBC_8e7e95d3b3124787ac5f59f3844f558e" concept="clcid-pte:ShiYongDaoZhiKuCunGuBianDongJinE" label="使用导致库存股变动金额" mulRef="_GBC_048773409e614c6bb753000b028316a5" unitRef="_GBC_5214b7a188334da286fc3038d017d072" addr="T2R28C6S1_1" baseScale="-1" formatStyle="Comma">
          <m:axisValue occRef="母公司"/>
        </m:item>
        <m:item xlName="_GBC_ed5c34c6cf044c0bacf31b0a291acd54" concept="clcid-pte:ShiYongDaoZhiQiTaZongHeShouYiBianDongJinE" label="使用导致其他综合收益变动金额" mulRef="_GBC_048773409e614c6bb753000b028316a5" unitRef="_GBC_5214b7a188334da286fc3038d017d072" addr="T2R28C7S1_1" formatStyle="Comma">
          <m:axisValue occRef="母公司"/>
        </m:item>
        <m:item xlName="_GBC_8ac97954c71b484da78ebe43d98db0f0" concept="clcid-pte:ShiYongDaoZhiZhuanXiangChuBeiBianDongJinE" label="使用导致专项储备变动金额" mulRef="_GBC_048773409e614c6bb753000b028316a5" unitRef="_GBC_5214b7a188334da286fc3038d017d072" addr="T2R28C8S1_1" formatStyle="Comma">
          <m:axisValue occRef="母公司"/>
        </m:item>
        <m:item xlName="_GBC_98ffaeea39d24a60872fd8720a651652" concept="clcid-pte:ShiYongDaoZhiYingYuGongJiBianDongJinE" label="使用导致盈余公积变动金额" mulRef="_GBC_048773409e614c6bb753000b028316a5" unitRef="_GBC_5214b7a188334da286fc3038d017d072" addr="T2R28C9S1_1" formatStyle="Comma">
          <m:axisValue occRef="母公司"/>
        </m:item>
        <m:item xlName="_GBC_99eb8cff7ec846a3bd9c06b8f490c2c5" concept="clcid-pte:ShiYongDaoZhiWeiFenPeiLiRunBianDongJinE" label="使用导致未分配利润变动金额" mulRef="_GBC_048773409e614c6bb753000b028316a5" unitRef="_GBC_5214b7a188334da286fc3038d017d072" addr="T2R28C10S1_1" formatStyle="Comma">
          <m:axisValue occRef="母公司"/>
        </m:item>
        <m:item xlName="_GBC_509d65276b6a4dfcb57a9cf6ef40317a" concept="clcid-pte:ShiYongDaoZhiGuDongQuanYiHeJiBianDongJinE" label="使用导致股东权益合计变动金额" mulRef="_GBC_048773409e614c6bb753000b028316a5" unitRef="_GBC_5214b7a188334da286fc3038d017d072" addr="T2R28C11S1_1" formatStyle="Comma">
          <m:axisValue occRef="母公司"/>
        </m:item>
        <m:placeholder xlName="_PLD_224fa1ebe84a4d40b88b89a97997e311" wordText="（六）其他" addr="T2R29C0S1_1"/>
        <m:item xlName="_GBC_7c98f87bd16e47478f964cb740105704" concept="clcid-pte:QiTaDaoZhiShiShouZiBenHuoGuBenJingEBianDongJinE" label="其他导致实收资本（或股本）净额变动金额" mulRef="_GBC_048773409e614c6bb753000b028316a5" unitRef="_GBC_5214b7a188334da286fc3038d017d072" addr="T2R29C1S1_1" formatStyle="Comma">
          <m:axisValue occRef="母公司"/>
        </m:item>
        <m:item xlName="_GBC_018b41c23e7440efae60bc74cd0e6ec1" concept="clcid-pte:QiTaDaoZhiQiTaQuanYiGongJuZhongDeYouXianGuBianDongJinE" label="其他导致其他权益工具中的优先股变动金额" mulRef="_GBC_048773409e614c6bb753000b028316a5" unitRef="_GBC_5214b7a188334da286fc3038d017d072" addr="T2R29C2S1_1" formatStyle="Comma">
          <m:axisValue occRef="母公司"/>
        </m:item>
        <m:item xlName="_GBC_964e15418f9e4ee9867ccd2056b9e409" concept="clcid-pte:QiTaDaoZhiQiTaQuanYiGongJuZhongDeYongXuZhaiBianDongJinE" label="其他导致其他权益工具中的永续债变动金额" mulRef="_GBC_048773409e614c6bb753000b028316a5" unitRef="_GBC_5214b7a188334da286fc3038d017d072" addr="T2R29C3S1_1" formatStyle="Comma">
          <m:axisValue occRef="母公司"/>
        </m:item>
        <m:item xlName="_GBC_49bf533919214ab7bc94515751717793" concept="clcid-pte:QiTaDaoZhiQiTaQuanYiGongJuZhongDeQiTaBianDongJinE" label="其他导致其他权益工具中的其他变动金额" mulRef="_GBC_048773409e614c6bb753000b028316a5" unitRef="_GBC_5214b7a188334da286fc3038d017d072" addr="T2R29C4S1_1" formatStyle="Comma">
          <m:axisValue occRef="母公司"/>
        </m:item>
        <m:item xlName="_GBC_c971cbdcb4e7450ab76accb648f822a9" concept="clcid-pte:QiTaDaoZhiZiBenGongJiBianDongJinE" label="其他导致资本公积变动金额" mulRef="_GBC_048773409e614c6bb753000b028316a5" unitRef="_GBC_5214b7a188334da286fc3038d017d072" addr="T2R29C5S1_1" formatStyle="Comma">
          <m:axisValue occRef="母公司"/>
        </m:item>
        <m:item xlName="_GBC_d3d5c9dbddbf4eb58b8734a6dc4a2589" concept="clcid-pte:QiTaDaoZhiKuCunGuBianDongJinE" label="其他导致库存股变动金额" mulRef="_GBC_048773409e614c6bb753000b028316a5" unitRef="_GBC_5214b7a188334da286fc3038d017d072" addr="T2R29C6S1_1" baseScale="-1" formatStyle="Comma">
          <m:axisValue occRef="母公司"/>
        </m:item>
        <m:item xlName="_GBC_d28c4273adaa462489c3b6fc95c1fef7" concept="clcid-pte:QiTaDaoZhiQiTaZongHeShouYiBianDongJinE" label="其他导致其他综合收益变动金额" mulRef="_GBC_048773409e614c6bb753000b028316a5" unitRef="_GBC_5214b7a188334da286fc3038d017d072" addr="T2R29C7S1_1" formatStyle="Comma">
          <m:axisValue occRef="母公司"/>
        </m:item>
        <m:item xlName="_GBC_78ce8b687a624a4a8faf3d358624042b" concept="clcid-pte:QiTaDaoZhiZhuanXiangChuBeiBianDongJinE" label="其他导致专项储备变动金额" mulRef="_GBC_048773409e614c6bb753000b028316a5" unitRef="_GBC_5214b7a188334da286fc3038d017d072" addr="T2R29C8S1_1" formatStyle="Comma">
          <m:axisValue occRef="母公司"/>
        </m:item>
        <m:item xlName="_GBC_4bbf8246a8b54d4983e9cf776f7f1283" concept="clcid-pte:QiTaDaoZhiYingYuGongJiBianDongJinE" label="其他导致盈余公积变动金额" mulRef="_GBC_048773409e614c6bb753000b028316a5" unitRef="_GBC_5214b7a188334da286fc3038d017d072" addr="T2R29C9S1_1" formatStyle="Comma">
          <m:axisValue occRef="母公司"/>
        </m:item>
        <m:item xlName="_GBC_8f083dff6a524622ae71c02b51f6181b" concept="clcid-pte:QiTaDaoZhiWeiFenPeiLiRunBianDongJinE" label="其他导致未分配利润变动金额" mulRef="_GBC_048773409e614c6bb753000b028316a5" unitRef="_GBC_5214b7a188334da286fc3038d017d072" addr="T2R29C10S1_1" formatStyle="Comma">
          <m:axisValue occRef="母公司"/>
        </m:item>
        <m:item xlName="_GBC_48a420d2abcf4babbfd864619f365e6e" concept="clcid-pte:QiTaDaoZhiGuDongQuanYiHeJiBianDongJinE" label="其他导致股东权益合计变动金额" mulRef="_GBC_048773409e614c6bb753000b028316a5" unitRef="_GBC_5214b7a188334da286fc3038d017d072" addr="T2R29C11S1_1" formatStyle="Comma">
          <m:axisValue occRef="母公司"/>
        </m:item>
        <m:placeholder xlName="_PLD_fe962ef732004aec94edafee7e0bef94" wordText="四、本期期末余额" addr="T2R30C0S1_1"/>
        <m:item xlName="_GBC_5a3570706d4d49b5906dffc738b508d8" concept="clcid-pte:GuBen" label="股本" mulRef="_GBC_048773409e614c6bb753000b028316a5" unitRef="_GBC_5214b7a188334da286fc3038d017d072" addr="T2R30C1S1_1" formatStyle="Comma">
          <m:complexRule comparator="Eq" title="母公司股本" test=" $_GBC_85a6da49b03246b7abdc941be9570cba +  $_GBC_2485e08cb32d450a85efe22a3aa4da7b" id="C54508a78e66c4545a3330faf88d7e2c4"/>
          <m:axisValue occRef="母公司"/>
        </m:item>
        <m:item xlName="_GBC_cb19df38b01342f1905f665d06a74d32" concept="clcid-pte:QiTaQuanYiGongJuQiZhongYouXianGu" label="其他权益工具-其中：优先股" mulRef="_GBC_048773409e614c6bb753000b028316a5" unitRef="_GBC_5214b7a188334da286fc3038d017d072" addr="T2R30C2S1_1" formatStyle="Comma">
          <m:complexRule comparator="Eq" title="母公司其他权益工具-其中：优先股" test=" $_GBC_dccc9a57aaba41a881b16ea5df208c0d +  $_GBC_f37d94262aab49bea3011e8de3bbd70f" id="C4c4ee2779cf64db3a7850e0aafb6d22f"/>
          <m:axisValue occRef="母公司"/>
        </m:item>
        <m:item xlName="_GBC_5b83bd28462e4cc4b3c421e8e3af188f" concept="clcid-pte:QiTaQuanYiGongJuYongXuZhai" label="其他权益工具-永续债" mulRef="_GBC_048773409e614c6bb753000b028316a5" unitRef="_GBC_5214b7a188334da286fc3038d017d072" addr="T2R30C3S1_1" formatStyle="Comma">
          <m:complexRule comparator="Eq" title="母公司其他权益工具-永续债" test=" $_GBC_3eb2a851039343f198cfa8fc00a422eb +  $_GBC_fafb0b1b1d4b4b86ae4b5a9775402762" id="C7140cb5fcdfe47d7a3ae8d7307c17317"/>
          <m:axisValue occRef="母公司"/>
        </m:item>
        <m:item xlName="_GBC_19c7bb42d9e241a3ba28058ef6c466f7" concept="clcid-pte:QiTaQuanYiGongJuQiTa" label="其他权益工具-其他" mulRef="_GBC_048773409e614c6bb753000b028316a5" unitRef="_GBC_5214b7a188334da286fc3038d017d072" addr="T2R30C4S1_1" formatStyle="Comma">
          <m:complexRule comparator="Eq" title="母公司其他权益工具-其他" test=" $_GBC_06ba62c1f35e4dd18f1a1c059e918481 +  $_GBC_764625b02cd94860af03adbd1c11a630" id="C55436f2dd443422daea68e7901dd3e2f"/>
          <m:axisValue occRef="母公司"/>
        </m:item>
        <m:item xlName="_GBC_a42d6e1a8595406f8179104b91650607" concept="clcid-pte:ZiBenGongJi" label="资本公积" mulRef="_GBC_048773409e614c6bb753000b028316a5" unitRef="_GBC_5214b7a188334da286fc3038d017d072" addr="T2R30C5S1_1" formatStyle="Comma">
          <m:complexRule comparator="Eq" title="母公司资本公积" test=" $_GBC_87cd6e71dfd74e1d80635635d6d499e2 +  $_GBC_c44fedef97fd45b4900be8773a750464" id="C411fd4aa849c45a2b539880abb473ac6"/>
          <m:axisValue occRef="母公司"/>
        </m:item>
        <m:item xlName="_GBC_6ac9c2e32a284033804124edcc51e6ac" concept="clcid-pte:KuCunGu" label="库存股" mulRef="_GBC_048773409e614c6bb753000b028316a5" unitRef="_GBC_5214b7a188334da286fc3038d017d072" addr="T2R30C6S1_1" baseScale="-1" formatStyle="Comma" keyCode="abs" keyAction="108">
          <m:complexRule comparator="Eq" title="母公司库存股" test=" $_GBC_114922bd5cad4e92ba6d225e29c2cbcc +  $_GBC_700156d9f1474bc8939b7e2126fc4b2d" id="Cd7f2367b488642208d3a0b13d8fe0844"/>
          <m:axisValue occRef="母公司"/>
        </m:item>
        <m:item xlName="_GBC_bd56a402e6d74668a4614cabb22cff10" concept="clcid-pte:QiTaZongHeShouYiZiChanFuZhaiBiaoXiangMu" label="其他综合收益（资产负债表项目）" mulRef="_GBC_048773409e614c6bb753000b028316a5" unitRef="_GBC_5214b7a188334da286fc3038d017d072" addr="T2R30C7S1_1" formatStyle="Comma">
          <m:complexRule comparator="Eq" title="母公司其他综合收益（资产负债表项目）" test=" $_GBC_0f6fcd7fbe464a35b4a293cab10be02b +  $_GBC_10a50e00f7bc44ec8347b7b66f7414d2" id="C0b6c41269b7b4df292cbed57b8d7ed20"/>
          <m:axisValue occRef="母公司"/>
        </m:item>
        <m:item xlName="_GBC_a9ae3b1d2432427e90afde79e299d064" concept="clcid-pte:ZhuanXiangChuBei" label="专项储备" mulRef="_GBC_048773409e614c6bb753000b028316a5" unitRef="_GBC_5214b7a188334da286fc3038d017d072" addr="T2R30C8S1_1" formatStyle="Comma">
          <m:complexRule comparator="Eq" title="母公司专项储备" test=" $_GBC_b9de9b0acdaf45a8ba406572c22253ec +  $_GBC_9cf0737ee22247338dc303d03d64f6b4" id="Cc6bff7af41c24baea5a90d609ee12cf3"/>
          <m:axisValue occRef="母公司"/>
        </m:item>
        <m:item xlName="_GBC_43bc51d2147645edbdeb4cac7d9b6f0e" concept="clcid-pte:YingYuGongJi" label="盈余公积" mulRef="_GBC_048773409e614c6bb753000b028316a5" unitRef="_GBC_5214b7a188334da286fc3038d017d072" addr="T2R30C9S1_1" formatStyle="Comma">
          <m:complexRule comparator="Eq" title="母公司盈余公积" test=" $_GBC_c40ab025d2d441f2b2c94494e0d106ee +  $_GBC_80cd41b0fb664a6e967663873f0e2fa7" id="C4f5a152a8b0b48339b2acf49b7e8b34e"/>
          <m:axisValue occRef="母公司"/>
        </m:item>
        <m:item xlName="_GBC_0ec3e790a4a44110ae1a2bf1aa9e434f" concept="clcid-pte:WeiFenPeiLiRun" label="未分配利润" mulRef="_GBC_048773409e614c6bb753000b028316a5" unitRef="_GBC_5214b7a188334da286fc3038d017d072" addr="T2R30C10S1_1" formatStyle="Comma">
          <m:complexRule comparator="Eq" title="母公司未分配利润" test=" $_GBC_ffdbb6bb26a947938b38672ca5df4e68 +  $_GBC_61d10a7845be4be1b7583a44f08f6dd8" id="C96bb92454aea49f6bb400b56df4f101c"/>
          <m:axisValue occRef="母公司"/>
        </m:item>
        <m:item xlName="_GBC_a0cb44b0dd124cc899064b9a8a4195e9" concept="clcid-pte:GuDongQuanYiHeJi" label="股东权益合计" mulRef="_GBC_048773409e614c6bb753000b028316a5" unitRef="_GBC_5214b7a188334da286fc3038d017d072" addr="T2R30C11S1_1" formatStyle="Comma">
          <m:complexRule comparator="Eq" title="母公司股东权益合计" test=" $_GBC_437e9e5e45be47c2af464f3d199411f3 +  $_GBC_dd44f39ad16c493489dd5f338f6b2e42" id="Cf5b37f4a0ad24966a390b5bbadd210f3"/>
          <m:axisValue occRef="母公司"/>
        </m:item>
        <m:placeholder xlName="_PLD_312727f4b56147c2b646c0fb68a4b58b" wordText="项目" addr="T3R0C0S3_1"/>
        <m:placeholder xlName="_PLD_35246b22171846ac8ef46c5dfa1d1663" wordText="2022年半年度" addr="T3R0C1S1_11"/>
        <m:placeholder xlName="_PLD_5da9900c5a9e46a085487ea972f44796" wordText="实收资本 (或股本)" addr="T3R1C1S2_1"/>
        <m:placeholder xlName="_PLD_fc0bce3be00144ff950606755a048a76" wordText="其他权益工具" addr="T3R1C2S1_3"/>
        <m:placeholder xlName="_PLD_b31d07f97db344b1b180738b22a76467" wordText="资本公积" addr="T3R1C5S2_1"/>
        <m:placeholder xlName="_PLD_244676dcaf4245bd9119f474a4e885f9" wordText="减：库存股" addr="T3R1C6S2_1"/>
        <m:placeholder xlName="_PLD_01eab1b775574165b2820a19e72d2ad0" wordText="其他综合收益" addr="T3R1C7S2_1"/>
        <m:placeholder xlName="_PLD_13f17e2c8a7a404da876af1bac2ae6d1" wordText="专项储备" addr="T3R1C8S2_1"/>
        <m:placeholder xlName="_PLD_9578f3812cf04a34965a5bdc9ee82115" wordText="盈余公积" addr="T3R1C9S2_1"/>
        <m:placeholder xlName="_PLD_5d835cd98ccc4304aec553a0b6a56628" wordText="未分配利润" addr="T3R1C10S2_1"/>
        <m:placeholder xlName="_PLD_1cbb8af374a54430ad1f29ed83c69cd0" wordText="所有者权益合计" addr="T3R1C11S2_1"/>
        <m:placeholder xlName="_PLD_dcc9ba0f815c4a99a7c4c9fe219d232e" wordText="优先股" addr="T3R2C2S1_1"/>
        <m:placeholder xlName="_PLD_42f56a6e995041a8b03e0979c7b2350c" wordText="永续债" addr="T3R2C3S1_1"/>
        <m:placeholder xlName="_PLD_30aa853463c54004a69a2235554ee8fd" wordText="其他" addr="T3R2C4S1_1"/>
        <m:placeholder xlName="_PLD_b00b327c7ecc4ad1bfafd8f9c1a6ce86" wordText="一、上年期末余额" addr="T3R3C0S1_1"/>
        <m:item xlName="_GBC_49106771ac9e4dd8b91bf12c6e7a262a" concept="clcid-pte:GuBen" label="股本" periodRef="上上年度期末数" mulRef="_GBC_048773409e614c6bb753000b028316a5" unitRef="_GBC_5214b7a188334da286fc3038d017d072" addr="T3R3C1S1_1" formatStyle="Comma">
          <m:axisValue occRef="调整前的值"/>
          <m:axisValue occRef="母公司"/>
        </m:item>
        <m:item xlName="_GBC_a23ef05d9bf94b9f903aaef95363c8c1" concept="clcid-pte:QiTaQuanYiGongJuQiZhongYouXianGu" label="其他权益工具-其中：优先股" periodRef="上上年度期末数" mulRef="_GBC_048773409e614c6bb753000b028316a5" unitRef="_GBC_5214b7a188334da286fc3038d017d072" addr="T3R3C2S1_1" formatStyle="Comma">
          <m:axisValue occRef="调整前的值"/>
          <m:axisValue occRef="母公司"/>
        </m:item>
        <m:item xlName="_GBC_f0477b8000b14bb8b123ff2e05bb5814" concept="clcid-pte:QiTaQuanYiGongJuYongXuZhai" label="其他权益工具-永续债" periodRef="上上年度期末数" mulRef="_GBC_048773409e614c6bb753000b028316a5" unitRef="_GBC_5214b7a188334da286fc3038d017d072" addr="T3R3C3S1_1" formatStyle="Comma">
          <m:axisValue occRef="调整前的值"/>
          <m:axisValue occRef="母公司"/>
        </m:item>
        <m:item xlName="_GBC_9ab2b43f10b843378333aad8cb31a39f" concept="clcid-pte:QiTaQuanYiGongJuQiTa" label="其他权益工具-其他" periodRef="上上年度期末数" mulRef="_GBC_048773409e614c6bb753000b028316a5" unitRef="_GBC_5214b7a188334da286fc3038d017d072" addr="T3R3C4S1_1" formatStyle="Comma">
          <m:axisValue occRef="调整前的值"/>
          <m:axisValue occRef="母公司"/>
        </m:item>
        <m:item xlName="_GBC_b25d6ba8d03b4103abd63238c9a7e24e" concept="clcid-pte:ZiBenGongJi" label="资本公积" periodRef="上上年度期末数" mulRef="_GBC_048773409e614c6bb753000b028316a5" unitRef="_GBC_5214b7a188334da286fc3038d017d072" addr="T3R3C5S1_1" formatStyle="Comma">
          <m:axisValue occRef="调整前的值"/>
          <m:axisValue occRef="母公司"/>
        </m:item>
        <m:item xlName="_GBC_1beb7c656916491991769889d4d0df58" concept="clcid-pte:KuCunGu" label="库存股" periodRef="上上年度期末数" mulRef="_GBC_048773409e614c6bb753000b028316a5" unitRef="_GBC_5214b7a188334da286fc3038d017d072" addr="T3R3C6S1_1" baseScale="-1" formatStyle="Comma" keyCode="abs" keyAction="108">
          <m:axisValue occRef="调整前的值"/>
          <m:axisValue occRef="母公司"/>
        </m:item>
        <m:item xlName="_GBC_7092f53c54bb4d39bd6dfd52dbb88384" concept="clcid-pte:QiTaZongHeShouYiZiChanFuZhaiBiaoXiangMu" label="其他综合收益（资产负债表项目）" periodRef="上上年度期末数" mulRef="_GBC_048773409e614c6bb753000b028316a5" unitRef="_GBC_5214b7a188334da286fc3038d017d072" addr="T3R3C7S1_1" formatStyle="Comma">
          <m:axisValue occRef="调整前的值"/>
          <m:axisValue occRef="母公司"/>
        </m:item>
        <m:item xlName="_GBC_00db0f65663146aca05a020a72e4db2b" concept="clcid-pte:ZhuanXiangChuBei" label="专项储备" periodRef="上上年度期末数" mulRef="_GBC_048773409e614c6bb753000b028316a5" unitRef="_GBC_5214b7a188334da286fc3038d017d072" addr="T3R3C8S1_1" formatStyle="Comma">
          <m:axisValue occRef="调整前的值"/>
          <m:axisValue occRef="母公司"/>
        </m:item>
        <m:item xlName="_GBC_e773ef374d42468aae8760d21fabffe3" concept="clcid-pte:YingYuGongJi" label="盈余公积" periodRef="上上年度期末数" mulRef="_GBC_048773409e614c6bb753000b028316a5" unitRef="_GBC_5214b7a188334da286fc3038d017d072" addr="T3R3C9S1_1" formatStyle="Comma">
          <m:axisValue occRef="调整前的值"/>
          <m:axisValue occRef="母公司"/>
        </m:item>
        <m:item xlName="_GBC_2fa2152533124f8790eea6862937998b" concept="clcid-pte:WeiFenPeiLiRun" label="未分配利润" periodRef="上上年度期末数" mulRef="_GBC_048773409e614c6bb753000b028316a5" unitRef="_GBC_5214b7a188334da286fc3038d017d072" addr="T3R3C10S1_1" formatStyle="Comma">
          <m:axisValue occRef="调整前的值"/>
          <m:axisValue occRef="母公司"/>
        </m:item>
        <m:item xlName="_GBC_3dc83c6f98c44475ad93eb623f0ae58c" concept="clcid-pte:GuDongQuanYiHeJi" label="股东权益合计" periodRef="上上年度期末数" mulRef="_GBC_048773409e614c6bb753000b028316a5" unitRef="_GBC_5214b7a188334da286fc3038d017d072" addr="T3R3C11S1_1" formatStyle="Comma">
          <m:axisValue occRef="调整前的值"/>
          <m:axisValue occRef="母公司"/>
        </m:item>
        <m:placeholder xlName="_PLD_87ad1d45ba9b40488fdf5165b8168def" wordText="加：会计政策变更" addr="T3R4C0S1_1"/>
        <m:item xlName="_GBC_2dc3f02e73a34990b2261157211d5d86" concept="clcid-pte:KuaiJiZhengCeBianGengDaoZhiShiShouZiBenHuoGuBenJingEBianDongJinE" label="会计政策变更导致实收资本（或股本）净额变动金额" periodRef="上年同期期初数" mulRef="_GBC_048773409e614c6bb753000b028316a5" unitRef="_GBC_5214b7a188334da286fc3038d017d072" addr="T3R4C1S1_1" formatStyle="Comma">
          <m:axisValue occRef="母公司"/>
        </m:item>
        <m:item xlName="_GBC_d0b6bca25d0d4f01a07a7746f1571175" concept="clcid-pte:HuiJiZhengCeBianGengDaoZhiYouXianGuBianDongJinE" label="会计政策变更导致优先股变动金额" periodRef="上年同期期初数" mulRef="_GBC_048773409e614c6bb753000b028316a5" unitRef="_GBC_5214b7a188334da286fc3038d017d072" addr="T3R4C2S1_1" formatStyle="Comma">
          <m:axisValue occRef="母公司"/>
        </m:item>
        <m:item xlName="_GBC_8ddde9aade974eeb95a3bfc91c60111a" concept="clcid-pte:HuiJiZhengCeBianGengDaoZhiYongXuZhaiBianDongJinE" label="会计政策变更导致永续债变动金额" periodRef="上年同期期初数" mulRef="_GBC_048773409e614c6bb753000b028316a5" unitRef="_GBC_5214b7a188334da286fc3038d017d072" addr="T3R4C3S1_1" formatStyle="Comma">
          <m:axisValue occRef="母公司"/>
        </m:item>
        <m:item xlName="_GBC_363830bcdae74e32a1a9ecac20940ec7" concept="clcid-pte:HuiJiZhengCeBianGengDaoZhiQiTaQuanYiGongJuZhongDeQiTaBianDongJinE" label="会计政策变更导致其他权益工具中的其他变动金额" periodRef="上年同期期初数" mulRef="_GBC_048773409e614c6bb753000b028316a5" unitRef="_GBC_5214b7a188334da286fc3038d017d072" addr="T3R4C4S1_1" formatStyle="Comma">
          <m:axisValue occRef="母公司"/>
        </m:item>
        <m:item xlName="_GBC_52c1ab40fed947d298a53fb062dc500c" concept="clcid-pte:KuaiJiZhengCeBianGengDaoZhiZiBenGongJiBianDongJinE" label="会计政策变更导致资本公积变动金额" periodRef="上年同期期初数" mulRef="_GBC_048773409e614c6bb753000b028316a5" unitRef="_GBC_5214b7a188334da286fc3038d017d072" addr="T3R4C5S1_1" formatStyle="Comma">
          <m:axisValue occRef="母公司"/>
        </m:item>
        <m:item xlName="_GBC_2b0798f53d2f4ccda2db197aa7d59924" concept="clcid-pte:KuaiJiZhengCeBianGengDaoZhiKuCunGuBianDongJinE" label="会计政策变更导致库存股变动金额" periodRef="上年同期期初数" mulRef="_GBC_048773409e614c6bb753000b028316a5" unitRef="_GBC_5214b7a188334da286fc3038d017d072" addr="T3R4C6S1_1" baseScale="-1" formatStyle="Comma">
          <m:axisValue occRef="母公司"/>
        </m:item>
        <m:item xlName="_GBC_d525641e92474097a5552e18db7e4ea1" concept="clcid-pte:HuiJiZhengCeBianGengDaoZhiQiTaZongHeShouYiBianDongJinE" label="会计政策变更导致其他综合收益变动金额" periodRef="上年同期期初数" mulRef="_GBC_048773409e614c6bb753000b028316a5" unitRef="_GBC_5214b7a188334da286fc3038d017d072" addr="T3R4C7S1_1" formatStyle="Comma">
          <m:axisValue occRef="母公司"/>
        </m:item>
        <m:item xlName="_GBC_f88d41045dd94e328a7dc17674aca742" concept="clcid-pte:KuaiJiZhengCeBianGengDaoZhiZhuanXiangChuBeiBianDongJinE" label="会计政策变更导致专项储备变动金额" periodRef="上年同期期初数" mulRef="_GBC_048773409e614c6bb753000b028316a5" unitRef="_GBC_5214b7a188334da286fc3038d017d072" addr="T3R4C8S1_1" formatStyle="Comma">
          <m:axisValue occRef="母公司"/>
        </m:item>
        <m:item xlName="_GBC_9599731027a14e5788b2c7baa9a35293" concept="clcid-pte:KuaiJiZhengCeBianGengDaoZhiYingYuGongJiBianDongJinE" label="会计政策变更导致盈余公积变动金额" periodRef="上年同期期初数" mulRef="_GBC_048773409e614c6bb753000b028316a5" unitRef="_GBC_5214b7a188334da286fc3038d017d072" addr="T3R4C9S1_1" formatStyle="Comma">
          <m:axisValue occRef="母公司"/>
        </m:item>
        <m:item xlName="_GBC_8108f572bf8342e883ddf3eb263d6393" concept="clcid-pte:KuaiJiZhengCeBianGengDaoZhiWeiFenPeiLiRunBianDongJinE" label="会计政策变更导致未分配利润变动金额" periodRef="上年同期期初数" mulRef="_GBC_048773409e614c6bb753000b028316a5" unitRef="_GBC_5214b7a188334da286fc3038d017d072" addr="T3R4C10S1_1" formatStyle="Comma">
          <m:axisValue occRef="母公司"/>
        </m:item>
        <m:item xlName="_GBC_97c01fcbbcb3489a8308381e72be62c8" concept="clcid-pte:KuaiJiZhengCeBianGengDaoZhiGuDongQuanYiHeJiBianDongJinE" label="会计政策变更导致股东权益合计变动金额" periodRef="上年同期期初数" mulRef="_GBC_048773409e614c6bb753000b028316a5" unitRef="_GBC_5214b7a188334da286fc3038d017d072" addr="T3R4C11S1_1" formatStyle="Comma">
          <m:axisValue occRef="母公司"/>
        </m:item>
        <m:placeholder xlName="_PLD_494f8b7216f946d9a09f6954da6ee226" wordText="前期差错更正" indent="200" addr="T3R5C0S1_1"/>
        <m:item xlName="_GBC_4e0ba8c9bfaf4347861d9ed87f5b373d" concept="clcid-pte:QianQiChaCuoGengZhengDaoZhiShiShouZiBenHuoGuBenJingEBianDongJinE" label="前期差错更正导致实收资本（或股本）净额变动金额" periodRef="上年同期期初数" mulRef="_GBC_048773409e614c6bb753000b028316a5" unitRef="_GBC_5214b7a188334da286fc3038d017d072" addr="T3R5C1S1_1" formatStyle="Comma">
          <m:axisValue occRef="母公司"/>
        </m:item>
        <m:item xlName="_GBC_510088217865457d8e9cbff8c8a9cd59" concept="clcid-pte:QianQiChaCuoGengZhengDaoZhiYouXianGuBianDongJinE" label="前期差错更正导致优先股变动金额" periodRef="上年同期期初数" mulRef="_GBC_048773409e614c6bb753000b028316a5" unitRef="_GBC_5214b7a188334da286fc3038d017d072" addr="T3R5C2S1_1" formatStyle="Comma">
          <m:axisValue occRef="母公司"/>
        </m:item>
        <m:item xlName="_GBC_acf92a80b78043488ed814b9b1e420df" concept="clcid-pte:QianQiChaCuoGengZhengDaoZhiYongXuZhaiBianDongJinE" label="前期差错更正导致永续债变动金额" periodRef="上年同期期初数" mulRef="_GBC_048773409e614c6bb753000b028316a5" unitRef="_GBC_5214b7a188334da286fc3038d017d072" addr="T3R5C3S1_1" formatStyle="Comma">
          <m:axisValue occRef="母公司"/>
        </m:item>
        <m:item xlName="_GBC_4890bf76d59b4fbf920db05dc1cc4696" concept="clcid-pte:QianQiChaCuoGengZhengDaoZhiQiTaQuanYiGongJuZhongDeQiTaBianDongJinE" label="前期差错更正导致其他权益工具中的其他变动金额" periodRef="上年同期期初数" mulRef="_GBC_048773409e614c6bb753000b028316a5" unitRef="_GBC_5214b7a188334da286fc3038d017d072" addr="T3R5C4S1_1" formatStyle="Comma">
          <m:axisValue occRef="母公司"/>
        </m:item>
        <m:item xlName="_GBC_a45be81f75444e4bac31f9e3949d890d" concept="clcid-pte:QianQiChaCuoGengZhengDaoZhiZiBenGongJiBianDongJinE" label="前期差错更正导致资本公积变动金额" periodRef="上年同期期初数" mulRef="_GBC_048773409e614c6bb753000b028316a5" unitRef="_GBC_5214b7a188334da286fc3038d017d072" addr="T3R5C5S1_1" formatStyle="Comma">
          <m:axisValue occRef="母公司"/>
        </m:item>
        <m:item xlName="_GBC_f32a7915aacd405e85dac8391dcda5b7" concept="clcid-pte:QianQiChaCuoGengZhengDaoZhiKuCunGuBianDongJinE" label="前期差错更正导致库存股变动金额" periodRef="上年同期期初数" mulRef="_GBC_048773409e614c6bb753000b028316a5" unitRef="_GBC_5214b7a188334da286fc3038d017d072" addr="T3R5C6S1_1" baseScale="-1" formatStyle="Comma">
          <m:axisValue occRef="母公司"/>
        </m:item>
        <m:item xlName="_GBC_6c5d450093ab4d38899de26682b548fd" concept="clcid-pte:QianQiChaCuoGengZhengDaoZhiQiTaZongHeShouYiBianDongJinE" label="前期差错更正导致其他综合收益变动金额" periodRef="上年同期期初数" mulRef="_GBC_048773409e614c6bb753000b028316a5" unitRef="_GBC_5214b7a188334da286fc3038d017d072" addr="T3R5C7S1_1" formatStyle="Comma">
          <m:axisValue occRef="母公司"/>
        </m:item>
        <m:item xlName="_GBC_128212b6ea2a46bab6aba0d5d9a0e43c" concept="clcid-pte:QianQiChaCuoGengZhengDaoZhiZhuanXiangChuBeiBianDongJinE" label="前期差错更正导致专项储备变动金额" periodRef="上年同期期初数" mulRef="_GBC_048773409e614c6bb753000b028316a5" unitRef="_GBC_5214b7a188334da286fc3038d017d072" addr="T3R5C8S1_1" formatStyle="Comma">
          <m:axisValue occRef="母公司"/>
        </m:item>
        <m:item xlName="_GBC_bf292c36eca44470b79730d4ed4d6eaa" concept="clcid-pte:QianQiChaCuoGengZhengDaoZhiYingYuGongJiBianDongJinE" label="前期差错更正导致盈余公积变动金额" periodRef="上年同期期初数" mulRef="_GBC_048773409e614c6bb753000b028316a5" unitRef="_GBC_5214b7a188334da286fc3038d017d072" addr="T3R5C9S1_1" formatStyle="Comma">
          <m:axisValue occRef="母公司"/>
        </m:item>
        <m:item xlName="_GBC_91952f977b04455284140b8d9de244e2" concept="clcid-pte:QianQiChaCuoGengZhengDaoZhiWeiFenPeiLiRunBianDongJinE" label="前期差错更正导致未分配利润变动金额" periodRef="上年同期期初数" mulRef="_GBC_048773409e614c6bb753000b028316a5" unitRef="_GBC_5214b7a188334da286fc3038d017d072" addr="T3R5C10S1_1" formatStyle="Comma">
          <m:axisValue occRef="母公司"/>
        </m:item>
        <m:item xlName="_GBC_b72b3e4adb564e10b21cf12183ac85b7" concept="clcid-pte:QianQiChaCuoGengZhengDaoZhiGuDongQuanYiHeJiBianDongJinE" label="前期差错更正导致股东权益合计变动金额" periodRef="上年同期期初数" mulRef="_GBC_048773409e614c6bb753000b028316a5" unitRef="_GBC_5214b7a188334da286fc3038d017d072" addr="T3R5C11S1_1" formatStyle="Comma">
          <m:axisValue occRef="母公司"/>
        </m:item>
        <m:placeholder xlName="_PLD_cdd9f72b38894c3eb70b005a61432c29" wordText="其他" indent="200" addr="T3R6C0S1_1"/>
        <m:item xlName="_GBC_577c52744ded4b7cabab716700c8452d" concept="clcid-pte:QiTaZhuiSuTiaoZhengDaoZhiShiShouZiBenBianDongJinE" label="实收资本变动金额（其他追溯调整）" periodRef="上年同期期初数" mulRef="_GBC_048773409e614c6bb753000b028316a5" unitRef="_GBC_5214b7a188334da286fc3038d017d072" addr="T3R6C1S1_1" formatStyle="Comma">
          <m:axisValue occRef="母公司"/>
        </m:item>
        <m:item xlName="_GBC_c825e090c7454ae1bdf77fbae975c5a3" concept="clcid-pte:YouXianGuBianDongJinEQiTaZhuiSuDiaoZheng" label="优先股变动金额（其他追溯调整）" periodRef="上年同期期初数" mulRef="_GBC_048773409e614c6bb753000b028316a5" unitRef="_GBC_5214b7a188334da286fc3038d017d072" addr="T3R6C2S1_1" formatStyle="Comma">
          <m:axisValue occRef="母公司"/>
        </m:item>
        <m:item xlName="_GBC_84e2883d37cf4795a3fa1bc3e0d6522d" concept="clcid-pte:YongXuZhaiBianDongJinEQiTaZhuiSuDiaoZheng" label="永续债变动金额（其他追溯调整）" periodRef="上年同期期初数" mulRef="_GBC_048773409e614c6bb753000b028316a5" unitRef="_GBC_5214b7a188334da286fc3038d017d072" addr="T3R6C3S1_1" formatStyle="Comma">
          <m:axisValue occRef="母公司"/>
        </m:item>
        <m:item xlName="_GBC_0b7d596e53da49099a0dcbbb0d6cb130" concept="clcid-pte:QiTaQuanYiGongJuZhongDeQiTaBianDongJinEQiTaZhuiSuDiaoZheng" label="其他权益工具中的其他变动金额（其他追溯调整）" periodRef="上年同期期初数" mulRef="_GBC_048773409e614c6bb753000b028316a5" unitRef="_GBC_5214b7a188334da286fc3038d017d072" addr="T3R6C4S1_1" formatStyle="Comma">
          <m:axisValue occRef="母公司"/>
        </m:item>
        <m:item xlName="_GBC_00d2362f691b47458f57f86b2b9f5d45" concept="clcid-pte:QiTaZhuiSuTiaoZhengDaoZhiZiBenGongJiBianDongJinE" label="资本公积变动金额（其他追溯调整）" periodRef="上年同期期初数" mulRef="_GBC_048773409e614c6bb753000b028316a5" unitRef="_GBC_5214b7a188334da286fc3038d017d072" addr="T3R6C5S1_1" formatStyle="Comma">
          <m:axisValue occRef="母公司"/>
        </m:item>
        <m:item xlName="_GBC_6afaa4acafc846ada1cc65821fb73359" concept="clcid-pte:QiTaZhuiSuTiaoZhengDaoZhiKuCunGuBianDongJinE" label="库存股变动金额（其他追溯调整）" periodRef="上年同期期初数" mulRef="_GBC_048773409e614c6bb753000b028316a5" unitRef="_GBC_5214b7a188334da286fc3038d017d072" addr="T3R6C6S1_1" baseScale="-1" formatStyle="Comma">
          <m:axisValue occRef="母公司"/>
        </m:item>
        <m:item xlName="_GBC_29c18457cb1a4ba286150b55a22c4cef" concept="clcid-pte:QiTaZongHeShouYiBianDongJinEQiTaZhuiSuDiaoZheng" label="其他综合收益变动金额（其他追溯调整）" periodRef="上年同期期初数" mulRef="_GBC_048773409e614c6bb753000b028316a5" unitRef="_GBC_5214b7a188334da286fc3038d017d072" addr="T3R6C7S1_1" formatStyle="Comma">
          <m:axisValue occRef="母公司"/>
        </m:item>
        <m:item xlName="_GBC_c807fff2fe8f4d6bb556514e57c16a5c" concept="clcid-pte:QiTaZhuiSuTiaoZhengDaoZhiZhuanXiangChuBeiBianDongJinE" label="专项储备变动金额（其他追溯调整）" periodRef="上年同期期初数" mulRef="_GBC_048773409e614c6bb753000b028316a5" unitRef="_GBC_5214b7a188334da286fc3038d017d072" addr="T3R6C8S1_1" formatStyle="Comma">
          <m:axisValue occRef="母公司"/>
        </m:item>
        <m:item xlName="_GBC_9db8a6b75b97469f8c2116db3db535c2" concept="clcid-pte:QiTaZhuiSuTiaoZhengDaoZhiYingYuGongJiBianDongJinE" label="盈余公积变动金额（其他追溯调整）" periodRef="上年同期期初数" mulRef="_GBC_048773409e614c6bb753000b028316a5" unitRef="_GBC_5214b7a188334da286fc3038d017d072" addr="T3R6C9S1_1" formatStyle="Comma">
          <m:axisValue occRef="母公司"/>
        </m:item>
        <m:item xlName="_GBC_98481e84f1d144348366014ff4845e43" concept="clcid-pte:QiTaZhuiSuTiaoZhengDaoZhiWeiFenPeiLiRunBianDongJinE" label="未分配利润变动金额（其他追溯调整）" periodRef="上年同期期初数" mulRef="_GBC_048773409e614c6bb753000b028316a5" unitRef="_GBC_5214b7a188334da286fc3038d017d072" addr="T3R6C10S1_1" formatStyle="Comma">
          <m:axisValue occRef="母公司"/>
        </m:item>
        <m:item xlName="_GBC_56f77628123a4516a83e9793bde7f31d" concept="clcid-pte:QiTaZhuiSuTiaoZhengDaoZhiGuDongQuanYiBianDongJinE" label="股东权益变动金额（其他追溯调整）" periodRef="上年同期期初数" mulRef="_GBC_048773409e614c6bb753000b028316a5" unitRef="_GBC_5214b7a188334da286fc3038d017d072" addr="T3R6C11S1_1" formatStyle="Comma">
          <m:axisValue occRef="母公司"/>
        </m:item>
        <m:placeholder xlName="_PLD_8593e1735c664981bacefcb1a0cab245" wordText="二、本年期初余额" addr="T3R7C0S1_1"/>
        <m:item xlName="_GBC_81506e84492f4f00af4a9f4816ac595d" concept="clcid-pte:GuBen" label="股本" periodRef="上年同期期初数" mulRef="_GBC_048773409e614c6bb753000b028316a5" unitRef="_GBC_5214b7a188334da286fc3038d017d072" addr="T3R7C1S1_1" formatStyle="Comma">
          <m:complexRule comparator="Eq" title="母公司股本@上年同期期初数" test=" $_GBC_49106771ac9e4dd8b91bf12c6e7a262a +  $_GBC_2dc3f02e73a34990b2261157211d5d86 +  $_GBC_4e0ba8c9bfaf4347861d9ed87f5b373d +  $_GBC_577c52744ded4b7cabab716700c8452d" id="C18291de0dab441a9b8f9c15908c1e519"/>
          <m:axisValue occRef="母公司"/>
        </m:item>
        <m:item xlName="_GBC_8cd15523ec994dd1888d18acda49f79a" concept="clcid-pte:QiTaQuanYiGongJuQiZhongYouXianGu" label="其他权益工具-其中：优先股" periodRef="上年同期期初数" mulRef="_GBC_048773409e614c6bb753000b028316a5" unitRef="_GBC_5214b7a188334da286fc3038d017d072" addr="T3R7C2S1_1" formatStyle="Comma">
          <m:complexRule comparator="Eq" title="母公司其他权益工具-其中：优先股@上年同期期初数" test=" $_GBC_a23ef05d9bf94b9f903aaef95363c8c1 +  $_GBC_d0b6bca25d0d4f01a07a7746f1571175 +  $_GBC_510088217865457d8e9cbff8c8a9cd59 +  $_GBC_c825e090c7454ae1bdf77fbae975c5a3" id="Ca08a2fbcde244822aca7a7b4e8f6159b"/>
          <m:axisValue occRef="母公司"/>
        </m:item>
        <m:item xlName="_GBC_e0ee0f96384f4731ac9b26ea29553277" concept="clcid-pte:QiTaQuanYiGongJuYongXuZhai" label="其他权益工具-永续债" periodRef="上年同期期初数" mulRef="_GBC_048773409e614c6bb753000b028316a5" unitRef="_GBC_5214b7a188334da286fc3038d017d072" addr="T3R7C3S1_1" formatStyle="Comma">
          <m:complexRule comparator="Eq" title="母公司其他权益工具-永续债@上年同期期初数" test=" $_GBC_f0477b8000b14bb8b123ff2e05bb5814 +  $_GBC_8ddde9aade974eeb95a3bfc91c60111a +  $_GBC_acf92a80b78043488ed814b9b1e420df +  $_GBC_84e2883d37cf4795a3fa1bc3e0d6522d" id="Ce40c359919f240d3bf145cacd822bfaa"/>
          <m:axisValue occRef="母公司"/>
        </m:item>
        <m:item xlName="_GBC_edc14c2fd7df48949f7f8547e0057d52" concept="clcid-pte:QiTaQuanYiGongJuQiTa" label="其他权益工具-其他" periodRef="上年同期期初数" mulRef="_GBC_048773409e614c6bb753000b028316a5" unitRef="_GBC_5214b7a188334da286fc3038d017d072" addr="T3R7C4S1_1" formatStyle="Comma">
          <m:complexRule comparator="Eq" title="母公司其他权益工具-其他@上年同期期初数" test=" $_GBC_9ab2b43f10b843378333aad8cb31a39f +  $_GBC_363830bcdae74e32a1a9ecac20940ec7 +  $_GBC_4890bf76d59b4fbf920db05dc1cc4696 +  $_GBC_0b7d596e53da49099a0dcbbb0d6cb130" id="Cee4d565878d34177bcb270ddcef2f859"/>
          <m:axisValue occRef="母公司"/>
        </m:item>
        <m:item xlName="_GBC_dc911e1c0c0140beaadeea0c7f9cb99b" concept="clcid-pte:ZiBenGongJi" label="资本公积" periodRef="上年同期期初数" mulRef="_GBC_048773409e614c6bb753000b028316a5" unitRef="_GBC_5214b7a188334da286fc3038d017d072" addr="T3R7C5S1_1" formatStyle="Comma">
          <m:complexRule comparator="Eq" title="母公司资本公积@上年同期期初数" test=" $_GBC_b25d6ba8d03b4103abd63238c9a7e24e +  $_GBC_52c1ab40fed947d298a53fb062dc500c +  $_GBC_a45be81f75444e4bac31f9e3949d890d +  $_GBC_00d2362f691b47458f57f86b2b9f5d45" id="C361bcef371aa4438b3cf759c5e713330"/>
          <m:axisValue occRef="母公司"/>
        </m:item>
        <m:item xlName="_GBC_d87b9676c83649d39a619c314692dcaf" concept="clcid-pte:KuCunGu" label="库存股" periodRef="上年同期期初数" mulRef="_GBC_048773409e614c6bb753000b028316a5" unitRef="_GBC_5214b7a188334da286fc3038d017d072" addr="T3R7C6S1_1" baseScale="-1" formatStyle="Comma" keyCode="abs" keyAction="108">
          <m:complexRule comparator="Eq" title="母公司库存股@上年同期期初数" test=" $_GBC_1beb7c656916491991769889d4d0df58 +  $_GBC_2b0798f53d2f4ccda2db197aa7d59924 +  $_GBC_f32a7915aacd405e85dac8391dcda5b7 +  $_GBC_6afaa4acafc846ada1cc65821fb73359" id="C94b32fe026434333b8adfd7ba25c7de7"/>
          <m:axisValue occRef="母公司"/>
        </m:item>
        <m:item xlName="_GBC_6d145d9657f44521aa3d46c7b6321381" concept="clcid-pte:QiTaZongHeShouYiZiChanFuZhaiBiaoXiangMu" label="其他综合收益（资产负债表项目）" periodRef="上年同期期初数" mulRef="_GBC_048773409e614c6bb753000b028316a5" unitRef="_GBC_5214b7a188334da286fc3038d017d072" addr="T3R7C7S1_1" formatStyle="Comma">
          <m:complexRule comparator="Eq" title="母公司其他综合收益（资产负债表项目）@上年同期期初数" test=" $_GBC_7092f53c54bb4d39bd6dfd52dbb88384 +  $_GBC_d525641e92474097a5552e18db7e4ea1 +  $_GBC_6c5d450093ab4d38899de26682b548fd +  $_GBC_29c18457cb1a4ba286150b55a22c4cef" id="C517f77953178439f831fdb4700f55575"/>
          <m:axisValue occRef="母公司"/>
        </m:item>
        <m:item xlName="_GBC_b2bd2eeb6e644fc4a095222b2af9aaf4" concept="clcid-pte:ZhuanXiangChuBei" label="专项储备" periodRef="上年同期期初数" mulRef="_GBC_048773409e614c6bb753000b028316a5" unitRef="_GBC_5214b7a188334da286fc3038d017d072" addr="T3R7C8S1_1" formatStyle="Comma">
          <m:complexRule comparator="Eq" title="母公司专项储备@上年同期期初数" test=" $_GBC_00db0f65663146aca05a020a72e4db2b +  $_GBC_f88d41045dd94e328a7dc17674aca742 +  $_GBC_128212b6ea2a46bab6aba0d5d9a0e43c +  $_GBC_c807fff2fe8f4d6bb556514e57c16a5c" id="C8cf8fe8af6524b7b91a12245e3778606"/>
          <m:axisValue occRef="母公司"/>
        </m:item>
        <m:item xlName="_GBC_65eeed92e2b14ea5883fcb0487da19f1" concept="clcid-pte:YingYuGongJi" label="盈余公积" periodRef="上年同期期初数" mulRef="_GBC_048773409e614c6bb753000b028316a5" unitRef="_GBC_5214b7a188334da286fc3038d017d072" addr="T3R7C9S1_1" formatStyle="Comma">
          <m:complexRule comparator="Eq" title="母公司盈余公积@上年同期期初数" test=" $_GBC_e773ef374d42468aae8760d21fabffe3 +  $_GBC_9599731027a14e5788b2c7baa9a35293 +  $_GBC_bf292c36eca44470b79730d4ed4d6eaa +  $_GBC_9db8a6b75b97469f8c2116db3db535c2" id="C2fc37d55d6c14792b90658a40fda8476"/>
          <m:axisValue occRef="母公司"/>
        </m:item>
        <m:item xlName="_GBC_4048bba00d6a48acb1daaa86900788d8" concept="clcid-pte:WeiFenPeiLiRun" label="未分配利润" periodRef="上年同期期初数" mulRef="_GBC_048773409e614c6bb753000b028316a5" unitRef="_GBC_5214b7a188334da286fc3038d017d072" addr="T3R7C10S1_1" formatStyle="Comma">
          <m:complexRule comparator="Eq" title="母公司未分配利润@上年同期期初数" test=" $_GBC_2fa2152533124f8790eea6862937998b +  $_GBC_8108f572bf8342e883ddf3eb263d6393 +  $_GBC_91952f977b04455284140b8d9de244e2 +  $_GBC_98481e84f1d144348366014ff4845e43" id="C25082d73d3814c748a1aaa54132d4fcf"/>
          <m:axisValue occRef="母公司"/>
        </m:item>
        <m:item xlName="_GBC_5982de2520b94f22aaf4cd2c9647effb" concept="clcid-pte:GuDongQuanYiHeJi" label="股东权益合计" periodRef="上年同期期初数" mulRef="_GBC_048773409e614c6bb753000b028316a5" unitRef="_GBC_5214b7a188334da286fc3038d017d072" addr="T3R7C11S1_1" formatStyle="Comma">
          <m:complexRule comparator="Eq" title="母公司股东权益合计@上年同期期初数" test=" $_GBC_3dc83c6f98c44475ad93eb623f0ae58c +  $_GBC_97c01fcbbcb3489a8308381e72be62c8 +  $_GBC_b72b3e4adb564e10b21cf12183ac85b7 +  $_GBC_56f77628123a4516a83e9793bde7f31d" id="Ccb9d0f840eca449db0dbbd09cf881813"/>
          <m:axisValue occRef="母公司"/>
        </m:item>
        <m:placeholder xlName="_PLD_9ce2d31f4fd34371930cec7fd79a4318" wordText="三、本期增减变动金额（减少以“－”号填列）" addr="T3R8C0S1_1"/>
        <m:item xlName="_GBC_36cec33ba91447efb182a6f911901adb" concept="clcid-pte:ShiShouZiBenHuoGuBenJingEZengJianBianDongJinE" label="实收资本（或股本）净额增减变动金额" periodRef="上年同期数" mulRef="_GBC_048773409e614c6bb753000b028316a5" unitRef="_GBC_5214b7a188334da286fc3038d017d072" addr="T3R8C1S1_1" formatStyle="Comma">
          <m:complexRule comparator="Eq" title="母公司实收资本（或股本）净额增减变动金额@上年同期数" test=" $_GBC_82467fa519b342ab86c8a7f44f39d12d +  $_GBC_8cbe3412300f45eb8b23ad01e70e5c5d +  $_GBC_d20d161c26b74ad7978d5a5df63ac72b +  $_GBC_5647fda6a4d648e58b77890cd27b0d73 +  $_GBC_c52bf0c19ee6412a88ed16e4ccdd58e9 +  $_GBC_3c285f62d1fd458d96196ec4a0dd2268" id="C9272c093fdcf45c895d82f8a717bf6dc"/>
          <m:axisValue occRef="母公司"/>
        </m:item>
        <m:item xlName="_GBC_58b09a3e602042bdac8dc874ff691577" concept="clcid-pte:QiTaQuanYiGongJuZhongDeYouXianGuZengJianBianDongJinE" label="其他权益工具中的优先股增减变动金额" periodRef="上年同期数" mulRef="_GBC_048773409e614c6bb753000b028316a5" unitRef="_GBC_5214b7a188334da286fc3038d017d072" addr="T3R8C2S1_1" formatStyle="Comma">
          <m:complexRule comparator="Eq" title="母公司其他权益工具中的优先股增减变动金额@上年同期数" test=" $_GBC_3e68c303ba764392938beeb53b261a55 +  $_GBC_a697aec9c79e42b3bdede08dacc810c0 +  $_GBC_dbb78b77a1fb43fc9743f9647fbe0099 +  $_GBC_98572a5d210c4ef3875a72067bd5d4c1 +  $_GBC_aafadb71fa4649b7bc0423c67af5fbf7 +  $_GBC_772dec252ad7498ba73abd9cba9e2cda" id="C24ea77cb399f4ef08f7ecff5570721cc"/>
          <m:axisValue occRef="母公司"/>
        </m:item>
        <m:item xlName="_GBC_3bb7a843ff114e069d024217dc575989" concept="clcid-pte:QiTaQuanYiGongJuZhongDeYongXuZhaiZengJianBianDongJinE" label="其他权益工具中的永续债增减变动金额" periodRef="上年同期数" mulRef="_GBC_048773409e614c6bb753000b028316a5" unitRef="_GBC_5214b7a188334da286fc3038d017d072" addr="T3R8C3S1_1" formatStyle="Comma">
          <m:complexRule comparator="Eq" title="母公司其他权益工具中的永续债增减变动金额@上年同期数" test=" $_GBC_5e91cc75ddb6408e83816137acb6bb27 +  $_GBC_817d7b5062ba4451880366ab1b1bba4f +  $_GBC_43412ba7a0f346839e1eab15fd44f008 +  $_GBC_450f68f45ee84fa6a0945728fe10e844 +  $_GBC_38525638055440c4aea25d3464d1e1d1 +  $_GBC_c82eafb679454f0cbdb2076cddbc2f9c" id="Ca999fd8a37ee471fa5c1bda63a8dec90"/>
          <m:axisValue occRef="母公司"/>
        </m:item>
        <m:item xlName="_GBC_20204f10729243a5870e4153ec76b379" concept="clcid-pte:QiTaQuanYiGongJuZhongDeQiTaZengJianBianDongJinE" label="其他权益工具中的其他增减变动金额" periodRef="上年同期数" mulRef="_GBC_048773409e614c6bb753000b028316a5" unitRef="_GBC_5214b7a188334da286fc3038d017d072" addr="T3R8C4S1_1" formatStyle="Comma">
          <m:complexRule comparator="Eq" title="母公司其他权益工具中的其他增减变动金额@上年同期数" test=" $_GBC_06a05c766c044b5a9a842c1a7f7db1b0 +  $_GBC_4d10a4b59cf1469eb6e4b0f55b21e126 +  $_GBC_b6e54a5f7ed14e3c88cda23e3184787c +  $_GBC_62b57d65e352446bbdf19b5311174e1c +  $_GBC_c037fba370a14bfa8f56d6d99f94c984 +  $_GBC_d61c39eee25e4f3fa9612a3274abdf60" id="C9ca5060258434856b4789685088b9d8b"/>
          <m:axisValue occRef="母公司"/>
        </m:item>
        <m:item xlName="_GBC_bd0dc3c162cc425798a8258cbaadbe24" concept="clcid-pte:ZiBenGongJiZengJianBianDongJinE" label="资本公积增减变动金额" periodRef="上年同期数" mulRef="_GBC_048773409e614c6bb753000b028316a5" unitRef="_GBC_5214b7a188334da286fc3038d017d072" addr="T3R8C5S1_1" formatStyle="Comma">
          <m:complexRule comparator="Eq" title="母公司资本公积增减变动金额@上年同期数" test=" $_GBC_531ac753268a47f2baa1101df1192e56 +  $_GBC_d83cf016d2194a3b817fbc98a4265ff3 +  $_GBC_cdbc69ae1c9942418689b6af08cd5343 +  $_GBC_70b2b80f35eb4584ab7795855880b29e +  $_GBC_756e5e6e4d094fb4a12ad31f5984e025 +  $_GBC_481f5de20bd049c28a207fba11a8e658" id="Cd5f24afdbbd846798a86a0818cc7e147"/>
          <m:axisValue occRef="母公司"/>
        </m:item>
        <m:item xlName="_GBC_c6d4bb32519a478594bcfef3ceda4b3d" concept="clcid-pte:KuCunGuZengJianBianDongJinE" label="库存股增减变动金额" periodRef="上年同期数" mulRef="_GBC_048773409e614c6bb753000b028316a5" unitRef="_GBC_5214b7a188334da286fc3038d017d072" addr="T3R8C6S1_1" baseScale="-1" formatStyle="Comma">
          <m:complexRule comparator="Eq" title="母公司库存股增减变动金额@上年同期数" test=" $_GBC_9296353c42334f2ea0ab9f589468311d +  $_GBC_6a11a446e2cd4540907f4b9258feb87e +  $_GBC_3c6bbb3738284b6a917a6ec17270fca4 +  $_GBC_71b87e2bc67741e2b1d2d9d07910c043 +  $_GBC_11d87fe6c0fb438d92d1b164f44c0b19 +  $_GBC_b5e2532c5fe543ac8d95ce36ccf22143" id="C8b17eae03b1e4f5c8c937c76442d5475"/>
          <m:axisValue occRef="母公司"/>
        </m:item>
        <m:item xlName="_GBC_2b7963fe413c4b099dba1e05f4059834" concept="clcid-pte:QiTaZongHeShouYiZengJianBianDongJinE" label="其他综合收益增减变动金额" periodRef="上年同期数" mulRef="_GBC_048773409e614c6bb753000b028316a5" unitRef="_GBC_5214b7a188334da286fc3038d017d072" addr="T3R8C7S1_1" formatStyle="Comma">
          <m:complexRule comparator="Eq" title="母公司其他综合收益增减变动金额@上年同期数" test=" $_GBC_e59f46d4baa741ae80e74710a89f5c26 +  $_GBC_04c64412f62141ffa636f4f2d57eb7f6 +  $_GBC_d7dba48b1c0146b78a6322523685998f +  $_GBC_cbadfc6c2c0d47af8d1269604c1d4ced +  $_GBC_77d0990376fa4c3dba4853bc80e6f32b +  $_GBC_66ed8695d4ae47e1b13e54cbac7750cd" id="C44be46e7f1244b9b9604a1fd5c3f6442"/>
          <m:axisValue occRef="母公司"/>
        </m:item>
        <m:item xlName="_GBC_70d76e6f2aa5405a90a77991ef7fc0b9" concept="clcid-pte:ZhuanXiangChuBeiZengJianBianDongJinE" label="专项储备增减变动金额" periodRef="上年同期数" mulRef="_GBC_048773409e614c6bb753000b028316a5" unitRef="_GBC_5214b7a188334da286fc3038d017d072" addr="T3R8C8S1_1" formatStyle="Comma">
          <m:complexRule comparator="Eq" title="母公司专项储备增减变动金额@上年同期数" test=" $_GBC_e25d0ae2a0654eab8955bd66d514e2d1 +  $_GBC_a3b4cf624fa44477adbd516eeb00a68f +  $_GBC_31aa9a69190c4f209ab76b20cde458b8 +  $_GBC_64933a58fd3a463491f35b3e1f19d96c +  $_GBC_b35e7e3ee1e7405f98172f70fde0a158 +  $_GBC_abee7fadd6d243ffaea451a622ca8e50" id="Ce5e94a733b44432f8ba65a3b8c84fc35"/>
          <m:axisValue occRef="母公司"/>
        </m:item>
        <m:item xlName="_GBC_fd9fe83281aa406d803bd31275d27802" concept="clcid-pte:YingYuGongJiZengJianBianDongJinE" label="盈余公积增减变动金额" periodRef="上年同期数" mulRef="_GBC_048773409e614c6bb753000b028316a5" unitRef="_GBC_5214b7a188334da286fc3038d017d072" addr="T3R8C9S1_1" formatStyle="Comma">
          <m:complexRule comparator="Eq" title="母公司盈余公积增减变动金额@上年同期数" test=" $_GBC_fbb8255e3cc748afa8eb37083244a624 +  $_GBC_7866656632cb4f41803a0d960d1503da +  $_GBC_b5b44f3d2622421aacf913b06a1120fc +  $_GBC_9d6bbcaf8a2e4da5a5cc410f3e5b43e0 +  $_GBC_ce70cc6f414d4ff6935f0d37fc8a6e4b +  $_GBC_e7fe91bead664d42a0e34d8d38894644" id="C24038faea1b74d1b95de7f07084e85a9"/>
          <m:axisValue occRef="母公司"/>
        </m:item>
        <m:item xlName="_GBC_dafcc9b9aeb54231a52703e43a511e04" concept="clcid-pte:WeiFenPeiLiRunZengJianBianDongJinE" label="未分配利润增减变动金额" periodRef="上年同期数" mulRef="_GBC_048773409e614c6bb753000b028316a5" unitRef="_GBC_5214b7a188334da286fc3038d017d072" addr="T3R8C10S1_1" formatStyle="Comma">
          <m:complexRule comparator="Eq" title="母公司未分配利润增减变动金额@上年同期数" test=" $_GBC_808583767376421ab8debb0a7719cc7c +  $_GBC_4ed163c8e7a546c381731861558975c0 +  $_GBC_183a94db427349b9b54d0f0ef81c7bdc +  $_GBC_a7ede5662ff442438cf3799ae0501aaa +  $_GBC_49396ff2dd9c4cdb91081c6bcfb7c444 +  $_GBC_aafaad1fc12040c7a3ce232d35d0dbcf" id="Cf30c8b1956b64e7895fea954959f1814"/>
          <m:axisValue occRef="母公司"/>
        </m:item>
        <m:item xlName="_GBC_5214dbf793d44c1ba8b0e418270c91c0" concept="clcid-pte:GuDongQuanYiHeJiZengJianBianDongJinE" label="股东权益合计增减变动金额" periodRef="上年同期数" mulRef="_GBC_048773409e614c6bb753000b028316a5" unitRef="_GBC_5214b7a188334da286fc3038d017d072" addr="T3R8C11S1_1" formatStyle="Comma">
          <m:complexRule comparator="Eq" title="母公司股东权益合计增减变动金额@上年同期数" test=" $_GBC_981a226e3b5e4e02b42330dbf31f988b +  $_GBC_f0e6f84578534e9cb15503981a3412bb +  $_GBC_e86e0e1724d74c1cab885ebd31eda94b +  $_GBC_b587d819d31441c1bdd2387ee0941830 +  $_GBC_4c59ca81fd0c4a5b8a5dac703c8fbde6 +  $_GBC_6fe2dc27a4bc44a29a0b64474033d343" id="Cdeab2d1dd9bf453bb4cfc2991d4066b0"/>
          <m:axisValue occRef="母公司"/>
        </m:item>
        <m:placeholder xlName="_PLD_8e61c9577cd8495fb0815773685b00bb" wordText="（一）综合收益总额" addr="T3R9C0S1_1"/>
        <m:item xlName="_GBC_82467fa519b342ab86c8a7f44f39d12d" concept="clcid-pte:ZongHeShouYiZongEDaoZhiGuBenBianDongJinE" label="综合收益总额导致股本变动金额" periodRef="上年同期数" mulRef="_GBC_048773409e614c6bb753000b028316a5" unitRef="_GBC_5214b7a188334da286fc3038d017d072" addr="T3R9C1S1_1" formatStyle="Comma">
          <m:axisValue occRef="母公司"/>
        </m:item>
        <m:item xlName="_GBC_3e68c303ba764392938beeb53b261a55" concept="clcid-pte:ZongHeShouYiZongEDaoZhiYouXianGuBianDongJinE" label="综合收益总额导致优先股变动金额" periodRef="上年同期数" mulRef="_GBC_048773409e614c6bb753000b028316a5" unitRef="_GBC_5214b7a188334da286fc3038d017d072" addr="T3R9C2S1_1" formatStyle="Comma">
          <m:axisValue occRef="母公司"/>
        </m:item>
        <m:item xlName="_GBC_5e91cc75ddb6408e83816137acb6bb27" concept="clcid-pte:ZongHeShouYiZongEDaoZhiYongXuZhaiBianDongJinE" label="综合收益总额导致永续债变动金额" periodRef="上年同期数" mulRef="_GBC_048773409e614c6bb753000b028316a5" unitRef="_GBC_5214b7a188334da286fc3038d017d072" addr="T3R9C3S1_1" formatStyle="Comma">
          <m:axisValue occRef="母公司"/>
        </m:item>
        <m:item xlName="_GBC_06a05c766c044b5a9a842c1a7f7db1b0" concept="clcid-pte:ZongHeShouYiZongEDaoZhiQiTaQuanYiGongJuZhongDeQiTaBianDongJinE" label="综合收益总额导致其他权益工具中的其他变动金额" periodRef="上年同期数" mulRef="_GBC_048773409e614c6bb753000b028316a5" unitRef="_GBC_5214b7a188334da286fc3038d017d072" addr="T3R9C4S1_1" formatStyle="Comma">
          <m:axisValue occRef="母公司"/>
        </m:item>
        <m:item xlName="_GBC_531ac753268a47f2baa1101df1192e56" concept="clcid-pte:ZongHeShouYiZongEDaoZhiZiBenGongJiBianDongJinE" label="综合收益总额导致资本公积变动金额" periodRef="上年同期数" mulRef="_GBC_048773409e614c6bb753000b028316a5" unitRef="_GBC_5214b7a188334da286fc3038d017d072" addr="T3R9C5S1_1" formatStyle="Comma">
          <m:axisValue occRef="母公司"/>
        </m:item>
        <m:item xlName="_GBC_9296353c42334f2ea0ab9f589468311d" concept="clcid-pte:ZongHeShouYiZongEDaoZhiKuCunGuBianDongJinE" label="综合收益总额导致库存股变动金额" periodRef="上年同期数" mulRef="_GBC_048773409e614c6bb753000b028316a5" unitRef="_GBC_5214b7a188334da286fc3038d017d072" addr="T3R9C6S1_1" baseScale="-1" formatStyle="Comma">
          <m:axisValue occRef="母公司"/>
        </m:item>
        <m:item xlName="_GBC_e59f46d4baa741ae80e74710a89f5c26" concept="clcid-pte:ZongHeShouYiZongEDaoZhiQiTaZongHeShouYiBianDongJinE" label="综合收益总额导致其他综合收益变动金额" periodRef="上年同期数" mulRef="_GBC_048773409e614c6bb753000b028316a5" unitRef="_GBC_5214b7a188334da286fc3038d017d072" addr="T3R9C7S1_1" formatStyle="Comma">
          <m:axisValue occRef="母公司"/>
        </m:item>
        <m:item xlName="_GBC_e25d0ae2a0654eab8955bd66d514e2d1" concept="clcid-pte:ZongHeShouYiZongEDaoZhiZhuanXiangChuBeiBianDongJinE" label="综合收益总额导致专项储备变动金额" periodRef="上年同期数" mulRef="_GBC_048773409e614c6bb753000b028316a5" unitRef="_GBC_5214b7a188334da286fc3038d017d072" addr="T3R9C8S1_1" formatStyle="Comma">
          <m:axisValue occRef="母公司"/>
        </m:item>
        <m:item xlName="_GBC_fbb8255e3cc748afa8eb37083244a624" concept="clcid-pte:ZongHeShouYiZongEDaoZhiYingYuGongJiBianDongJinE" label="综合收益总额导致盈余公积变动金额" periodRef="上年同期数" mulRef="_GBC_048773409e614c6bb753000b028316a5" unitRef="_GBC_5214b7a188334da286fc3038d017d072" addr="T3R9C9S1_1" formatStyle="Comma">
          <m:axisValue occRef="母公司"/>
        </m:item>
        <m:item xlName="_GBC_808583767376421ab8debb0a7719cc7c" concept="clcid-pte:ZongHeShouYiZongEDaoZhiWeiFenPeiLiRunBianDongJinE" label="综合收益总额导致未分配利润变动金额" periodRef="上年同期数" mulRef="_GBC_048773409e614c6bb753000b028316a5" unitRef="_GBC_5214b7a188334da286fc3038d017d072" addr="T3R9C10S1_1" formatStyle="Comma">
          <m:axisValue occRef="母公司"/>
        </m:item>
        <m:item xlName="_GBC_981a226e3b5e4e02b42330dbf31f988b" concept="clcid-pte:ZongHeShouYiZongEDaoZhiGuDongQuanYiHeJiBianDongJinE" label="综合收益总额导致股东权益合计变动金额" periodRef="上年同期数" mulRef="_GBC_048773409e614c6bb753000b028316a5" unitRef="_GBC_5214b7a188334da286fc3038d017d072" addr="T3R9C11S1_1" formatStyle="Comma">
          <m:axisValue occRef="母公司"/>
        </m:item>
        <m:placeholder xlName="_PLD_e11fbdac72bf4f84a5635701204e5724" wordText="（二）所有者投入和减少资本" addr="T3R10C0S1_1"/>
        <m:item xlName="_GBC_8cbe3412300f45eb8b23ad01e70e5c5d" concept="clcid-pte:SuoYouZheTouRuHeJianShaoZiBenDaoZhiShiShouZiBenHuoGuBenJingEBianDongJinE" label="所有者投入和减少资本导致实收资本（或股本）净额变动金额" periodRef="上年同期数" mulRef="_GBC_048773409e614c6bb753000b028316a5" unitRef="_GBC_5214b7a188334da286fc3038d017d072" addr="T3R10C1S1_1" formatStyle="Comma">
          <m:complexRule comparator="Eq" title="母公司所有者投入和减少资本导致实收资本（或股本）净额变动金额@上年同期数" test=" $_GBC_58bb05c0df6d465bb880c64b14578589 +  $_GBC_69d687ddef8540bfad29d2144b412f53 +  $_GBC_b704670d7c89435194910d107697735f +  $_GBC_e282088ea3a941acb4619c405bc7ff0e" id="Cbd3e987c00df4ec3ab8f19db17e39a72"/>
          <m:axisValue occRef="母公司"/>
        </m:item>
        <m:item xlName="_GBC_a697aec9c79e42b3bdede08dacc810c0" concept="clcid-pte:SuoYouZheTouRuHeJianShaoZiBenDaoZhiQiTaQuanYiGongJuZhongDeYouXianGuBianDongJinE" label="所有者投入和减少资本导致其他权益工具中的优先股变动金额" periodRef="上年同期数" mulRef="_GBC_048773409e614c6bb753000b028316a5" unitRef="_GBC_5214b7a188334da286fc3038d017d072" addr="T3R10C2S1_1" formatStyle="Comma">
          <m:complexRule comparator="Eq" title="母公司所有者投入和减少资本导致其他权益工具中的优先股变动金额@上年同期数" test=" $_GBC_5bfea40a79084f61921c9baa07ebc34d +  $_GBC_c66decfb0440449fa71badefdb77e397 +  $_GBC_283c619dbe704a31a4213d5f20ed64d9 +  $_GBC_5fb5b18ef4e84145bf40c734dc970b8a" id="Ca67369f21b3c4bfc9fc4be532c7f9614"/>
          <m:axisValue occRef="母公司"/>
        </m:item>
        <m:item xlName="_GBC_817d7b5062ba4451880366ab1b1bba4f" concept="clcid-pte:SuoYouZheTouRuHeJianShaoZiBenDaoZhiQiTaQuanYiGongJuZhongDeYongXuZhaiBianDongJinE" label="所有者投入和减少资本导致其他权益工具中的永续债变动金额" periodRef="上年同期数" mulRef="_GBC_048773409e614c6bb753000b028316a5" unitRef="_GBC_5214b7a188334da286fc3038d017d072" addr="T3R10C3S1_1" formatStyle="Comma">
          <m:complexRule comparator="Eq" title="母公司所有者投入和减少资本导致其他权益工具中的永续债变动金额@上年同期数" test=" $_GBC_e88f6cce456742bc853670be68aa97a7 +  $_GBC_386ea106e2784cda9c192fdb0251818e +  $_GBC_39b1ee1571d74dab8372e2aa016b797d +  $_GBC_fc897014986f44aa8d7000ab9149b89a" id="Cdf79ec0d8fba4e82a4e7862292f7bc6a"/>
          <m:axisValue occRef="母公司"/>
        </m:item>
        <m:item xlName="_GBC_4d10a4b59cf1469eb6e4b0f55b21e126" concept="clcid-pte:SuoYouZheTouRuHeJianShaoZiBenDaoZhiQiTaQuanYiGongJuZhongDeQiTaBianDongJinE" label="所有者投入和减少资本导致其他权益工具中的其他变动金额" periodRef="上年同期数" mulRef="_GBC_048773409e614c6bb753000b028316a5" unitRef="_GBC_5214b7a188334da286fc3038d017d072" addr="T3R10C4S1_1" formatStyle="Comma">
          <m:complexRule comparator="Eq" title="母公司所有者投入和减少资本导致其他权益工具中的其他变动金额@上年同期数" test=" $_GBC_98d98ff19e6e46c0ad5db4c454c35ca0 +  $_GBC_06ebf02b6ae14754818193812a014559 +  $_GBC_1171e0a836ba484daaf27f834d3826cd +  $_GBC_27f9a7f11dd549d29413a881a3355d9a" id="Cbfd7d9e7e6344f96bf73584899a8776e"/>
          <m:axisValue occRef="母公司"/>
        </m:item>
        <m:item xlName="_GBC_d83cf016d2194a3b817fbc98a4265ff3" concept="clcid-pte:SuoYouZheTouRuHeJianShaoZiBenDaoZhiZiBenGongJiBianDongJinE" label="所有者投入和减少资本导致资本公积变动金额" periodRef="上年同期数" mulRef="_GBC_048773409e614c6bb753000b028316a5" unitRef="_GBC_5214b7a188334da286fc3038d017d072" addr="T3R10C5S1_1" formatStyle="Comma">
          <m:complexRule comparator="Eq" title="母公司所有者投入和减少资本导致资本公积变动金额@上年同期数" test=" $_GBC_7115d9370a41456c8d5e90e33d7eba99 +  $_GBC_553f32b380c946098f3f149c8fa42b8c +  $_GBC_9210e78d25a046328838f6d615649b0f +  $_GBC_9799bd5ef9364ff0b861d16fb09a9f68" id="C4660e31495da49c1981609ac4fd8cfe4"/>
          <m:axisValue occRef="母公司"/>
        </m:item>
        <m:item xlName="_GBC_6a11a446e2cd4540907f4b9258feb87e" concept="clcid-pte:SuoYouZheTouRuHeJianShaoZiBenDaoZhiKuCunGuBianDongJinE" label="所有者投入和减少资本导致库存股变动金额" periodRef="上年同期数" mulRef="_GBC_048773409e614c6bb753000b028316a5" unitRef="_GBC_5214b7a188334da286fc3038d017d072" addr="T3R10C6S1_1" baseScale="-1" formatStyle="Comma">
          <m:complexRule comparator="Eq" title="母公司所有者投入和减少资本导致库存股变动金额@上年同期数" test=" $_GBC_62bd14047d774267b5169b960fa7b8e4 +  $_GBC_f22d8b62fce54375b0627f91979d8051 +  $_GBC_3220f2c7297c48ebbfe28b9713c111d7 +  $_GBC_90b5f1c2650c4a268f0bfe3393fd8aa8" id="C7bafc3f18cc848b9be3a9a225ea89e10"/>
          <m:axisValue occRef="母公司"/>
        </m:item>
        <m:item xlName="_GBC_04c64412f62141ffa636f4f2d57eb7f6" concept="clcid-pte:SuoYouZheTouRuHeJianShaoZiBenDaoZhiQiTaZongHeShouYiBianDongJinE" label="所有者投入和减少资本导致其他综合收益变动金额" periodRef="上年同期数" mulRef="_GBC_048773409e614c6bb753000b028316a5" unitRef="_GBC_5214b7a188334da286fc3038d017d072" addr="T3R10C7S1_1" formatStyle="Comma">
          <m:complexRule comparator="Eq" title="母公司所有者投入和减少资本导致其他综合收益变动金额@上年同期数" test=" $_GBC_5eaa3941ee024377bd86a4e9ee8fa941 +  $_GBC_71b64f349a614e53aab1c3c806db07b0 +  $_GBC_5755c5e1222943238543206b578d588a +  $_GBC_9a52d31076294f168067b97d572e6f30" id="C2b1f653f843e44f79fd1ed38a33c5981"/>
          <m:axisValue occRef="母公司"/>
        </m:item>
        <m:item xlName="_GBC_a3b4cf624fa44477adbd516eeb00a68f" concept="clcid-pte:SuoYouZheTouRuHeJianShaoZiBenDaoZhiZhuanXiangChuBeiBianDongJinE" label="所有者投入和减少资本导致专项储备变动金额" periodRef="上年同期数" mulRef="_GBC_048773409e614c6bb753000b028316a5" unitRef="_GBC_5214b7a188334da286fc3038d017d072" addr="T3R10C8S1_1" formatStyle="Comma">
          <m:complexRule comparator="Eq" title="母公司所有者投入和减少资本导致专项储备变动金额@上年同期数" test=" $_GBC_96dc59529295405c97611714e56f6c0e +  $_GBC_2e7f46493d944f748f3f0edb42db1fbe +  $_GBC_cf2e85f37e184308906f6edeb591f855 +  $_GBC_1c0a39e8bdc14941bba1c69a8e3c4a9b" id="Cffbd85e03872457884eaec03bc719373"/>
          <m:axisValue occRef="母公司"/>
        </m:item>
        <m:item xlName="_GBC_7866656632cb4f41803a0d960d1503da" concept="clcid-pte:SuoYouZheTouRuHeJianShaoZiBenDaoZhiYingYuGongJiBianDongJinE" label="所有者投入和减少资本导致盈余公积变动金额" periodRef="上年同期数" mulRef="_GBC_048773409e614c6bb753000b028316a5" unitRef="_GBC_5214b7a188334da286fc3038d017d072" addr="T3R10C9S1_1" formatStyle="Comma">
          <m:complexRule comparator="Eq" title="母公司所有者投入和减少资本导致盈余公积变动金额@上年同期数" test=" $_GBC_923f36c9eb8844699be600c3c505bdde +  $_GBC_e783e3ef0a4242eaa4d82db149fe8ed0 +  $_GBC_47f33b9bc2254d64bcd7a55b88a06c4f +  $_GBC_248b17908ab14e8cb9cdcbb639c6be70" id="Cefff3894ff59428cb02378a6821f6ed9"/>
          <m:axisValue occRef="母公司"/>
        </m:item>
        <m:item xlName="_GBC_4ed163c8e7a546c381731861558975c0" concept="clcid-pte:SuoYouZheTouRuHeJianShaoZiBenDaoZhiWeiFenPeiLiRunBianDongJinE" label="所有者投入和减少资本导致未分配利润变动金额" periodRef="上年同期数" mulRef="_GBC_048773409e614c6bb753000b028316a5" unitRef="_GBC_5214b7a188334da286fc3038d017d072" addr="T3R10C10S1_1" formatStyle="Comma">
          <m:complexRule comparator="Eq" title="母公司所有者投入和减少资本导致未分配利润变动金额@上年同期数" test=" $_GBC_e8c638b42c734358a1d6e013e5e9190a +  $_GBC_94768ec03ab94d558d3f3ef56806130d +  $_GBC_039c26dfb1124b4d9cb4b077fa2e0dae +  $_GBC_12941ce9735d420f839e27610f49c0b1" id="C2c00dd7f15cd45eb954c0c440bedbc65"/>
          <m:axisValue occRef="母公司"/>
        </m:item>
        <m:item xlName="_GBC_f0e6f84578534e9cb15503981a3412bb" concept="clcid-pte:SuoYouZheTouRuHeJianShaoZiBenDaoZhiGuDongQuanYiHeJiBianDongJinE" label="所有者投入和减少资本导致股东权益合计变动金额" periodRef="上年同期数" mulRef="_GBC_048773409e614c6bb753000b028316a5" unitRef="_GBC_5214b7a188334da286fc3038d017d072" addr="T3R10C11S1_1" formatStyle="Comma">
          <m:complexRule comparator="Eq" title="母公司所有者投入和减少资本导致股东权益合计变动金额@上年同期数" test=" $_GBC_332fd49b6d1a40c0acfb97e534236af9 +  $_GBC_52a206eae5df4d9f92eb24cfd4153065 +  $_GBC_9bad6c18a5b645d8ba04b74843bbf3a7 +  $_GBC_d2791a0a471b42cab5ad06d9303d15c3" id="C6b2a6376b3524981a8daf39d7903f992"/>
          <m:axisValue occRef="母公司"/>
        </m:item>
        <m:placeholder xlName="_PLD_7b195f652f0542a9b8fb6e62990feb42" wordText="1．所有者投入的普通股" addr="T3R11C0S1_1"/>
        <m:item xlName="_GBC_58bb05c0df6d465bb880c64b14578589" concept="clcid-pte:GuDongTouRuDePuTongGuDaoZhiGuBenBianDongJinE" label="股东投入的普通股导致股本变动金额" periodRef="上年同期数" mulRef="_GBC_048773409e614c6bb753000b028316a5" unitRef="_GBC_5214b7a188334da286fc3038d017d072" addr="T3R11C1S1_1" formatStyle="Comma">
          <m:axisValue occRef="母公司"/>
        </m:item>
        <m:item xlName="_GBC_5bfea40a79084f61921c9baa07ebc34d" concept="clcid-pte:GuDongTouRuDePuTongGuDaoZhiYouXianGuBianDongJinE" label="股东投入的普通股导致优先股变动金额" periodRef="上年同期数" mulRef="_GBC_048773409e614c6bb753000b028316a5" unitRef="_GBC_5214b7a188334da286fc3038d017d072" addr="T3R11C2S1_1" formatStyle="Comma">
          <m:axisValue occRef="母公司"/>
        </m:item>
        <m:item xlName="_GBC_e88f6cce456742bc853670be68aa97a7" concept="clcid-pte:GuDongTouRuDePuTongGuDaoZhiYongXuZhaiBianDongJinE" label="股东投入的普通股导致永续债变动金额" periodRef="上年同期数" mulRef="_GBC_048773409e614c6bb753000b028316a5" unitRef="_GBC_5214b7a188334da286fc3038d017d072" addr="T3R11C3S1_1" formatStyle="Comma">
          <m:axisValue occRef="母公司"/>
        </m:item>
        <m:item xlName="_GBC_98d98ff19e6e46c0ad5db4c454c35ca0" concept="clcid-pte:GuDongTouRuDePuTongGuDaoZhiQiTaQuanYiGongJuZhongDeQiTaBianDongJinE" label="股东投入的普通股导致其他权益工具中的其他变动金额" periodRef="上年同期数" mulRef="_GBC_048773409e614c6bb753000b028316a5" unitRef="_GBC_5214b7a188334da286fc3038d017d072" addr="T3R11C4S1_1" formatStyle="Comma">
          <m:axisValue occRef="母公司"/>
        </m:item>
        <m:item xlName="_GBC_7115d9370a41456c8d5e90e33d7eba99" concept="clcid-pte:GuDongTouRuDePuTongGuDaoZhiZiBenGongJiBianDongJinE" label="股东投入的普通股导致资本公积变动金额" periodRef="上年同期数" mulRef="_GBC_048773409e614c6bb753000b028316a5" unitRef="_GBC_5214b7a188334da286fc3038d017d072" addr="T3R11C5S1_1" formatStyle="Comma">
          <m:axisValue occRef="母公司"/>
        </m:item>
        <m:item xlName="_GBC_62bd14047d774267b5169b960fa7b8e4" concept="clcid-pte:GuDongTouRuDePuTongGuDaoZhiKuCunGuBianDongJinE" label="股东投入的普通股导致库存股变动金额" periodRef="上年同期数" mulRef="_GBC_048773409e614c6bb753000b028316a5" unitRef="_GBC_5214b7a188334da286fc3038d017d072" addr="T3R11C6S1_1" baseScale="-1" formatStyle="Comma">
          <m:axisValue occRef="母公司"/>
        </m:item>
        <m:item xlName="_GBC_5eaa3941ee024377bd86a4e9ee8fa941" concept="clcid-pte:GuDongTouRuDePuTongGuDaoZhiQiTaZongHeShouYiBianDongJinE" label="股东投入的普通股导致其他综合收益变动金额" periodRef="上年同期数" mulRef="_GBC_048773409e614c6bb753000b028316a5" unitRef="_GBC_5214b7a188334da286fc3038d017d072" addr="T3R11C7S1_1" formatStyle="Comma">
          <m:axisValue occRef="母公司"/>
        </m:item>
        <m:item xlName="_GBC_96dc59529295405c97611714e56f6c0e" concept="clcid-pte:GuDongTouRuDePuTongGuDaoZhiZhuanXiangChuBeiBianDongJinE" label="股东投入的普通股导致专项储备变动金额" periodRef="上年同期数" mulRef="_GBC_048773409e614c6bb753000b028316a5" unitRef="_GBC_5214b7a188334da286fc3038d017d072" addr="T3R11C8S1_1" formatStyle="Comma">
          <m:axisValue occRef="母公司"/>
        </m:item>
        <m:item xlName="_GBC_923f36c9eb8844699be600c3c505bdde" concept="clcid-pte:GuDongTouRuDePuTongGuDaoZhiYingYuGongJiBianDongJinE" label="股东投入的普通股导致盈余公积变动金额" periodRef="上年同期数" mulRef="_GBC_048773409e614c6bb753000b028316a5" unitRef="_GBC_5214b7a188334da286fc3038d017d072" addr="T3R11C9S1_1" formatStyle="Comma">
          <m:axisValue occRef="母公司"/>
        </m:item>
        <m:item xlName="_GBC_e8c638b42c734358a1d6e013e5e9190a" concept="clcid-pte:GuDongTouRuDePuTongGuDaoZhiWeiFenPeiLiRunBianDongJinE" label="股东投入的普通股导致未分配利润变动金额" periodRef="上年同期数" mulRef="_GBC_048773409e614c6bb753000b028316a5" unitRef="_GBC_5214b7a188334da286fc3038d017d072" addr="T3R11C10S1_1" formatStyle="Comma">
          <m:axisValue occRef="母公司"/>
        </m:item>
        <m:item xlName="_GBC_332fd49b6d1a40c0acfb97e534236af9" concept="clcid-pte:GuDongTouRuDePuTongGuDaoZhiGuDongQuanYiHeJiBianDongJinE" label="股东投入的普通股导致股东权益合计变动金额" periodRef="上年同期数" mulRef="_GBC_048773409e614c6bb753000b028316a5" unitRef="_GBC_5214b7a188334da286fc3038d017d072" addr="T3R11C11S1_1" formatStyle="Comma">
          <m:axisValue occRef="母公司"/>
        </m:item>
        <m:placeholder xlName="_PLD_4873337789fc42b5ae8485de96f3dad3" wordText="2．其他权益工具持有者投入资本" addr="T3R12C0S1_1"/>
        <m:item xlName="_GBC_69d687ddef8540bfad29d2144b412f53" concept="clcid-pte:QiTaQuanYiGongJuChiYouZheTouRuZiBenDaoZhiGuBenBianDongJinE" label="其他权益工具持有者投入资本导致股本变动金额" periodRef="上年同期数" mulRef="_GBC_048773409e614c6bb753000b028316a5" unitRef="_GBC_5214b7a188334da286fc3038d017d072" addr="T3R12C1S1_1" formatStyle="Comma">
          <m:axisValue occRef="母公司"/>
        </m:item>
        <m:item xlName="_GBC_c66decfb0440449fa71badefdb77e397" concept="clcid-pte:QiTaQuanYiGongJuChiYouZheTouRuZiBenDaoZhiYouXianGuBianDongJinE" label="其他权益工具持有者投入资本导致优先股变动金额" periodRef="上年同期数" mulRef="_GBC_048773409e614c6bb753000b028316a5" unitRef="_GBC_5214b7a188334da286fc3038d017d072" addr="T3R12C2S1_1" formatStyle="Comma">
          <m:axisValue occRef="母公司"/>
        </m:item>
        <m:item xlName="_GBC_386ea106e2784cda9c192fdb0251818e" concept="clcid-pte:QiTaQuanYiGongJuChiYouZheTouRuZiBenDaoZhiYongXuZhaiBianDongJinE" label="其他权益工具持有者投入资本导致永续债变动金额" periodRef="上年同期数" mulRef="_GBC_048773409e614c6bb753000b028316a5" unitRef="_GBC_5214b7a188334da286fc3038d017d072" addr="T3R12C3S1_1" formatStyle="Comma">
          <m:axisValue occRef="母公司"/>
        </m:item>
        <m:item xlName="_GBC_06ebf02b6ae14754818193812a014559" concept="clcid-pte:QiTaQuanYiGongJuChiYouZheTouRuZiBenDaoZhiQiTaQuanYiGongJuZhongDeQiTaBianDongJinE" label="其他权益工具持有者投入资本导致其他权益工具中的其他变动金额" periodRef="上年同期数" mulRef="_GBC_048773409e614c6bb753000b028316a5" unitRef="_GBC_5214b7a188334da286fc3038d017d072" addr="T3R12C4S1_1" formatStyle="Comma">
          <m:axisValue occRef="母公司"/>
        </m:item>
        <m:item xlName="_GBC_553f32b380c946098f3f149c8fa42b8c" concept="clcid-pte:QiTaQuanYiGongJuChiYouZheTouRuZiBenDaoZhiZiBenGongJiBianDongJinE" label="其他权益工具持有者投入资本导致资本公积变动金额" periodRef="上年同期数" mulRef="_GBC_048773409e614c6bb753000b028316a5" unitRef="_GBC_5214b7a188334da286fc3038d017d072" addr="T3R12C5S1_1" formatStyle="Comma">
          <m:axisValue occRef="母公司"/>
        </m:item>
        <m:item xlName="_GBC_f22d8b62fce54375b0627f91979d8051" concept="clcid-pte:QiTaQuanYiGongJuChiYouZheTouRuZiBenDaoZhiKuCunGuBianDongJinE" label="其他权益工具持有者投入资本导致库存股变动金额" periodRef="上年同期数" mulRef="_GBC_048773409e614c6bb753000b028316a5" unitRef="_GBC_5214b7a188334da286fc3038d017d072" addr="T3R12C6S1_1" baseScale="-1" formatStyle="Comma">
          <m:axisValue occRef="母公司"/>
        </m:item>
        <m:item xlName="_GBC_71b64f349a614e53aab1c3c806db07b0" concept="clcid-pte:QiTaQuanYiGongJuChiYouZheTouRuZiBenDaoZhiQiTaZongHeShouYiBianDongJinE" label="其他权益工具持有者投入资本导致其他综合收益变动金额" periodRef="上年同期数" mulRef="_GBC_048773409e614c6bb753000b028316a5" unitRef="_GBC_5214b7a188334da286fc3038d017d072" addr="T3R12C7S1_1" formatStyle="Comma">
          <m:axisValue occRef="母公司"/>
        </m:item>
        <m:item xlName="_GBC_2e7f46493d944f748f3f0edb42db1fbe" concept="clcid-pte:QiTaQuanYiGongJuChiYouZheTouRuZiBenDaoZhiZhuanXiangChuBeiBianDongJinE" label="其他权益工具持有者投入资本导致专项储备变动金额" periodRef="上年同期数" mulRef="_GBC_048773409e614c6bb753000b028316a5" unitRef="_GBC_5214b7a188334da286fc3038d017d072" addr="T3R12C8S1_1" formatStyle="Comma">
          <m:axisValue occRef="母公司"/>
        </m:item>
        <m:item xlName="_GBC_e783e3ef0a4242eaa4d82db149fe8ed0" concept="clcid-pte:QiTaQuanYiGongJuChiYouZheTouRuZiBenDaoZhiYingYuGongJiBianDongJinE" label="其他权益工具持有者投入资本导致盈余公积变动金额" periodRef="上年同期数" mulRef="_GBC_048773409e614c6bb753000b028316a5" unitRef="_GBC_5214b7a188334da286fc3038d017d072" addr="T3R12C9S1_1" formatStyle="Comma">
          <m:axisValue occRef="母公司"/>
        </m:item>
        <m:item xlName="_GBC_94768ec03ab94d558d3f3ef56806130d" concept="clcid-pte:QiTaQuanYiGongJuChiYouZheTouRuZiBenDaoZhiWeiFenPeiLiRunBianDongJinE" label="其他权益工具持有者投入资本导致未分配利润变动金额" periodRef="上年同期数" mulRef="_GBC_048773409e614c6bb753000b028316a5" unitRef="_GBC_5214b7a188334da286fc3038d017d072" addr="T3R12C10S1_1" formatStyle="Comma">
          <m:axisValue occRef="母公司"/>
        </m:item>
        <m:item xlName="_GBC_52a206eae5df4d9f92eb24cfd4153065" concept="clcid-pte:QiTaQuanYiGongJuChiYouZheTouRuZiBenDaoZhiGuDongQuanYiHeJiBianDongJinE" label="其他权益工具持有者投入资本导致股东权益合计变动金额" periodRef="上年同期数" mulRef="_GBC_048773409e614c6bb753000b028316a5" unitRef="_GBC_5214b7a188334da286fc3038d017d072" addr="T3R12C11S1_1" formatStyle="Comma">
          <m:axisValue occRef="母公司"/>
        </m:item>
        <m:placeholder xlName="_PLD_83c73c5580c0412189f697f05780f9af" wordText="3．股份支付计入所有者权益的金额" addr="T3R13C0S1_1"/>
        <m:item xlName="_GBC_b704670d7c89435194910d107697735f" concept="clcid-pte:GuFenZhiFuJiRuSuoYouZheQuanYiDeJinEDaoZhiShiShouZiBenHuoGuBenJingEBianDongJinE" label="股份支付计入所有者权益的金额导致实收资本（或股本）净额变动金额" periodRef="上年同期数" mulRef="_GBC_048773409e614c6bb753000b028316a5" unitRef="_GBC_5214b7a188334da286fc3038d017d072" addr="T3R13C1S1_1" formatStyle="Comma">
          <m:axisValue occRef="母公司"/>
        </m:item>
        <m:item xlName="_GBC_283c619dbe704a31a4213d5f20ed64d9" concept="clcid-pte:GuFenZhiFuJiRuSuoYouZheQuanYiDeJinEDaoZhiQiTaQuanYiGongJuZhongDeYouXianGuBianDongJinE" label="股份支付计入所有者权益的金额导致其他权益工具中的优先股变动金额" periodRef="上年同期数" mulRef="_GBC_048773409e614c6bb753000b028316a5" unitRef="_GBC_5214b7a188334da286fc3038d017d072" addr="T3R13C2S1_1" formatStyle="Comma">
          <m:axisValue occRef="母公司"/>
        </m:item>
        <m:item xlName="_GBC_39b1ee1571d74dab8372e2aa016b797d" concept="clcid-pte:GuFenZhiFuJiRuSuoYouZheQuanYiDeJinEDaoZhiQiTaQuanYiGongJuZhongDeYongXuZhaiBianDongJinE" label="股份支付计入所有者权益的金额导致其他权益工具中的永续债变动金额" periodRef="上年同期数" mulRef="_GBC_048773409e614c6bb753000b028316a5" unitRef="_GBC_5214b7a188334da286fc3038d017d072" addr="T3R13C3S1_1" formatStyle="Comma">
          <m:axisValue occRef="母公司"/>
        </m:item>
        <m:item xlName="_GBC_1171e0a836ba484daaf27f834d3826cd" concept="clcid-pte:GuFenZhiFuJiRuSuoYouZheQuanYiDeJinEDaoZhiQiTaQuanYiGongJuZhongDeQiTaBianDongJinE" label="股份支付计入所有者权益的金额导致其他权益工具中的其他变动金额" periodRef="上年同期数" mulRef="_GBC_048773409e614c6bb753000b028316a5" unitRef="_GBC_5214b7a188334da286fc3038d017d072" addr="T3R13C4S1_1" formatStyle="Comma">
          <m:axisValue occRef="母公司"/>
        </m:item>
        <m:item xlName="_GBC_9210e78d25a046328838f6d615649b0f" concept="clcid-pte:GuFenZhiFuJiRuSuoYouZheQuanYiDeJinEDaoZhiZiBenGongJiBianDongJinE" label="股份支付计入所有者权益的金额导致资本公积变动金额" periodRef="上年同期数" mulRef="_GBC_048773409e614c6bb753000b028316a5" unitRef="_GBC_5214b7a188334da286fc3038d017d072" addr="T3R13C5S1_1" formatStyle="Comma">
          <m:axisValue occRef="母公司"/>
        </m:item>
        <m:item xlName="_GBC_3220f2c7297c48ebbfe28b9713c111d7" concept="clcid-pte:GuFenZhiFuJiRuSuoYouZheQuanYiDeJinEDaoZhiKuCunGuBianDongJinE" label="股份支付计入所有者权益的金额导致库存股变动金额" periodRef="上年同期数" mulRef="_GBC_048773409e614c6bb753000b028316a5" unitRef="_GBC_5214b7a188334da286fc3038d017d072" addr="T3R13C6S1_1" baseScale="-1" formatStyle="Comma">
          <m:axisValue occRef="母公司"/>
        </m:item>
        <m:item xlName="_GBC_5755c5e1222943238543206b578d588a" concept="clcid-pte:GuFenZhiFuJiRuSuoYouZheQuanYiDeJinEDaoZhiQiTaZongHeShouYiBianDongJinE" label="股份支付计入所有者权益的金额导致其他综合收益变动金额" periodRef="上年同期数" mulRef="_GBC_048773409e614c6bb753000b028316a5" unitRef="_GBC_5214b7a188334da286fc3038d017d072" addr="T3R13C7S1_1" formatStyle="Comma">
          <m:axisValue occRef="母公司"/>
        </m:item>
        <m:item xlName="_GBC_cf2e85f37e184308906f6edeb591f855" concept="clcid-pte:GuFenZhiFuJiRuSuoYouZheQuanYiDeJinEDaoZhiZhuanXiangChuBeiBianDongJinE" label="股份支付计入所有者权益的金额导致专项储备变动金额" periodRef="上年同期数" mulRef="_GBC_048773409e614c6bb753000b028316a5" unitRef="_GBC_5214b7a188334da286fc3038d017d072" addr="T3R13C8S1_1" formatStyle="Comma">
          <m:axisValue occRef="母公司"/>
        </m:item>
        <m:item xlName="_GBC_47f33b9bc2254d64bcd7a55b88a06c4f" concept="clcid-pte:GuFenZhiFuJiRuSuoYouZheQuanYiDeJinEDaoZhiYingYuGongJiBianDongJinE" label="股份支付计入所有者权益的金额导致盈余公积变动金额" periodRef="上年同期数" mulRef="_GBC_048773409e614c6bb753000b028316a5" unitRef="_GBC_5214b7a188334da286fc3038d017d072" addr="T3R13C9S1_1" formatStyle="Comma">
          <m:axisValue occRef="母公司"/>
        </m:item>
        <m:item xlName="_GBC_039c26dfb1124b4d9cb4b077fa2e0dae" concept="clcid-pte:GuFenZhiFuJiRuSuoYouZheQuanYiDeJinEDaoZhiWeiFenPeiLiRunBianDongJinE" label="股份支付计入所有者权益的金额导致未分配利润变动金额" periodRef="上年同期数" mulRef="_GBC_048773409e614c6bb753000b028316a5" unitRef="_GBC_5214b7a188334da286fc3038d017d072" addr="T3R13C10S1_1" formatStyle="Comma">
          <m:axisValue occRef="母公司"/>
        </m:item>
        <m:item xlName="_GBC_9bad6c18a5b645d8ba04b74843bbf3a7" concept="clcid-pte:GuFenZhiFuJiRuSuoYouZheQuanYiDeJinEDaoZhiGuDongQuanYiHeJiBianDongJinE" label="股份支付计入所有者权益的金额导致股东权益合计变动金额" periodRef="上年同期数" mulRef="_GBC_048773409e614c6bb753000b028316a5" unitRef="_GBC_5214b7a188334da286fc3038d017d072" addr="T3R13C11S1_1" formatStyle="Comma">
          <m:axisValue occRef="母公司"/>
        </m:item>
        <m:placeholder xlName="_PLD_b328cbc349734354ae3aacf675414174" wordText="4．其他" addr="T3R14C0S1_1"/>
        <m:item xlName="_GBC_e282088ea3a941acb4619c405bc7ff0e" concept="clcid-pte:QiTaSuoYouZheTouRuHeJianShaoZiBenDaoZhiShiShouZiBenHuoGuBenJingEBianDongJinE" label="其他所有者投入和减少资本导致实收资本（或股本）净额变动金额" periodRef="上年同期数" mulRef="_GBC_048773409e614c6bb753000b028316a5" unitRef="_GBC_5214b7a188334da286fc3038d017d072" addr="T3R14C1S1_1" formatStyle="Comma">
          <m:axisValue occRef="母公司"/>
        </m:item>
        <m:item xlName="_GBC_5fb5b18ef4e84145bf40c734dc970b8a" concept="clcid-pte:QiTaSuoYouZheTouRuHeJianShaoZiBenDaoZhiQiTaQuanYiGongJuZhongDeYouXianGuBianDongJinE" label="其他所有者投入和减少资本导致其他权益工具中的优先股变动金额" periodRef="上年同期数" mulRef="_GBC_048773409e614c6bb753000b028316a5" unitRef="_GBC_5214b7a188334da286fc3038d017d072" addr="T3R14C2S1_1" formatStyle="Comma">
          <m:axisValue occRef="母公司"/>
        </m:item>
        <m:item xlName="_GBC_fc897014986f44aa8d7000ab9149b89a" concept="clcid-pte:QiTaSuoYouZheTouRuHeJianShaoZiBenDaoZhiQiTaQuanYiGongJuZhongDeYongXuZhaiBianDongJinE" label="其他所有者投入和减少资本导致其他权益工具中的永续债变动金额" periodRef="上年同期数" mulRef="_GBC_048773409e614c6bb753000b028316a5" unitRef="_GBC_5214b7a188334da286fc3038d017d072" addr="T3R14C3S1_1" formatStyle="Comma">
          <m:axisValue occRef="母公司"/>
        </m:item>
        <m:item xlName="_GBC_27f9a7f11dd549d29413a881a3355d9a" concept="clcid-pte:QiTaSuoYouZheTouRuHeJianShaoZiBenDaoZhiQiTaQuanYiGongJuZhongDeQiTaBianDongJinE" label="其他所有者投入和减少资本导致其他权益工具中的其他变动金额" periodRef="上年同期数" mulRef="_GBC_048773409e614c6bb753000b028316a5" unitRef="_GBC_5214b7a188334da286fc3038d017d072" addr="T3R14C4S1_1" formatStyle="Comma">
          <m:axisValue occRef="母公司"/>
        </m:item>
        <m:item xlName="_GBC_9799bd5ef9364ff0b861d16fb09a9f68" concept="clcid-pte:QiTaSuoYouZheTouRuHeJianShaoZiBenDaoZhiZiBenGongJiBianDongJinE" label="其他所有者投入和减少资本导致资本公积变动金额" periodRef="上年同期数" mulRef="_GBC_048773409e614c6bb753000b028316a5" unitRef="_GBC_5214b7a188334da286fc3038d017d072" addr="T3R14C5S1_1" formatStyle="Comma">
          <m:axisValue occRef="母公司"/>
        </m:item>
        <m:item xlName="_GBC_90b5f1c2650c4a268f0bfe3393fd8aa8" concept="clcid-pte:QiTaSuoYouZheTouRuHeJianShaoZiBenDaoZhiKuCunGuBianDongJinE" label="其他所有者投入和减少资本导致库存股变动金额" periodRef="上年同期数" mulRef="_GBC_048773409e614c6bb753000b028316a5" unitRef="_GBC_5214b7a188334da286fc3038d017d072" addr="T3R14C6S1_1" baseScale="-1" formatStyle="Comma">
          <m:axisValue occRef="母公司"/>
        </m:item>
        <m:item xlName="_GBC_9a52d31076294f168067b97d572e6f30" concept="clcid-pte:QiTaSuoYouZheTouRuHeJianShaoZiBenDaoZhiQiTaZongHeShouYiBianDongJinE" label="其他所有者投入和减少资本导致其他综合收益变动金额" periodRef="上年同期数" mulRef="_GBC_048773409e614c6bb753000b028316a5" unitRef="_GBC_5214b7a188334da286fc3038d017d072" addr="T3R14C7S1_1" formatStyle="Comma">
          <m:axisValue occRef="母公司"/>
        </m:item>
        <m:item xlName="_GBC_1c0a39e8bdc14941bba1c69a8e3c4a9b" concept="clcid-pte:QiTaSuoYouZheTouRuHeJianShaoZiBenDaoZhiZhuanXiangChuBeiBianDongJinE" label="其他所有者投入和减少资本导致专项储备变动金额" periodRef="上年同期数" mulRef="_GBC_048773409e614c6bb753000b028316a5" unitRef="_GBC_5214b7a188334da286fc3038d017d072" addr="T3R14C8S1_1" formatStyle="Comma">
          <m:axisValue occRef="母公司"/>
        </m:item>
        <m:item xlName="_GBC_248b17908ab14e8cb9cdcbb639c6be70" concept="clcid-pte:QiTaSuoYouZheTouRuHeJianShaoZiBenDaoZhiYingYuGongJiBianDongJinE" label="其他所有者投入和减少资本导致盈余公积变动金额" periodRef="上年同期数" mulRef="_GBC_048773409e614c6bb753000b028316a5" unitRef="_GBC_5214b7a188334da286fc3038d017d072" addr="T3R14C9S1_1" formatStyle="Comma">
          <m:axisValue occRef="母公司"/>
        </m:item>
        <m:item xlName="_GBC_12941ce9735d420f839e27610f49c0b1" concept="clcid-pte:QiTaSuoYouZheTouRuHeJianShaoZiBenDaoZhiWeiFenPeiLiRunBianDongJinE" label="其他所有者投入和减少资本导致未分配利润变动金额" periodRef="上年同期数" mulRef="_GBC_048773409e614c6bb753000b028316a5" unitRef="_GBC_5214b7a188334da286fc3038d017d072" addr="T3R14C10S1_1" formatStyle="Comma">
          <m:axisValue occRef="母公司"/>
        </m:item>
        <m:item xlName="_GBC_d2791a0a471b42cab5ad06d9303d15c3" concept="clcid-pte:QiTaSuoYouZheTouRuHeJianShaoZiBenDaoZhiGuDongQuanYiHeJiBianDongJinE" label="其他所有者投入和减少资本导致股东权益合计变动金额" periodRef="上年同期数" mulRef="_GBC_048773409e614c6bb753000b028316a5" unitRef="_GBC_5214b7a188334da286fc3038d017d072" addr="T3R14C11S1_1" formatStyle="Comma">
          <m:axisValue occRef="母公司"/>
        </m:item>
        <m:placeholder xlName="_PLD_9773183e97be44a1a360188937e7fe10" wordText="（三）利润分配" addr="T3R15C0S1_1"/>
        <m:item xlName="_GBC_d20d161c26b74ad7978d5a5df63ac72b" concept="clcid-pte:LiRunFenPeiDaoZhiShiShouZiBenHuoGuBenJingEBianDongJinE" label="利润分配导致实收资本（或股本）净额变动金额" periodRef="上年同期数" mulRef="_GBC_048773409e614c6bb753000b028316a5" unitRef="_GBC_5214b7a188334da286fc3038d017d072" addr="T3R15C1S1_1" formatStyle="Comma">
          <m:complexRule comparator="Eq" title="母公司利润分配导致实收资本（或股本）净额变动金额@上年同期数" test=" $_GBC_e05bfd0f90c54b4e9125113cfd71447f +  $_GBC_48c3818ca7254c25a0acafecc6a0a771 +  $_GBC_2a3bc25e220343a1979739f7a4deba00" id="Cfa2a444b86464c11ade339bfe538a3ce"/>
          <m:axisValue occRef="母公司"/>
        </m:item>
        <m:item xlName="_GBC_dbb78b77a1fb43fc9743f9647fbe0099" concept="clcid-pte:LiRunFenPeiDaoZhiQiTaQuanYiGongJuZhongDeYouXianGuBianDongJinE" label="利润分配导致其他权益工具中的优先股变动金额" periodRef="上年同期数" mulRef="_GBC_048773409e614c6bb753000b028316a5" unitRef="_GBC_5214b7a188334da286fc3038d017d072" addr="T3R15C2S1_1" formatStyle="Comma">
          <m:complexRule comparator="Eq" title="母公司利润分配导致其他权益工具中的优先股变动金额@上年同期数" test=" $_GBC_2542796b4bce4a00bf35c3208f61535e +  $_GBC_b53ac52b198b499dae271e0b7ba05241 +  $_GBC_40876b8d138a4f2d800d97a22227e8a3" id="C26f0fb8174f94c1695d01b8462b70355"/>
          <m:axisValue occRef="母公司"/>
        </m:item>
        <m:item xlName="_GBC_43412ba7a0f346839e1eab15fd44f008" concept="clcid-pte:LiRunFenPeiDaoZhiQiTaQuanYiGongJuZhongDeYongXuZhaiBianDongJinE" label="利润分配导致其他权益工具中的永续债变动金额" periodRef="上年同期数" mulRef="_GBC_048773409e614c6bb753000b028316a5" unitRef="_GBC_5214b7a188334da286fc3038d017d072" addr="T3R15C3S1_1" formatStyle="Comma">
          <m:complexRule comparator="Eq" title="母公司利润分配导致其他权益工具中的永续债变动金额@上年同期数" test=" $_GBC_6dc00a65e68b457b87f25cc981eee0d5 +  $_GBC_4b04efc53f4443d4ac387d60a4efff4e +  $_GBC_8cdbe9633da1446190f1c54e28b01818" id="C9e2b8de4c6da42feb99e9dc286f61b8d"/>
          <m:axisValue occRef="母公司"/>
        </m:item>
        <m:item xlName="_GBC_b6e54a5f7ed14e3c88cda23e3184787c" concept="clcid-pte:LiRunFenPeiDaoZhiQiTaQuanYiGongJuZhongDeQiTaBianDongJinE" label="利润分配导致其他权益工具中的其他变动金额" periodRef="上年同期数" mulRef="_GBC_048773409e614c6bb753000b028316a5" unitRef="_GBC_5214b7a188334da286fc3038d017d072" addr="T3R15C4S1_1" formatStyle="Comma">
          <m:complexRule comparator="Eq" title="母公司利润分配导致其他权益工具中的其他变动金额@上年同期数" test=" $_GBC_bd7111ba1813479d88db0fedd0e93dee +  $_GBC_9611ccce87624efcb3b4a6c2bcc64958 +  $_GBC_334000809d3b4f0c929262b00b760ded" id="C00ef223a819e44b8afeb39cfed23e795"/>
          <m:axisValue occRef="母公司"/>
        </m:item>
        <m:item xlName="_GBC_cdbc69ae1c9942418689b6af08cd5343" concept="clcid-pte:LiRunFenPeiDaoZhiZiBenGongJiBianDongJinE" label="利润分配导致资本公积变动金额" periodRef="上年同期数" mulRef="_GBC_048773409e614c6bb753000b028316a5" unitRef="_GBC_5214b7a188334da286fc3038d017d072" addr="T3R15C5S1_1" formatStyle="Comma">
          <m:complexRule comparator="Eq" title="母公司利润分配导致资本公积变动金额@上年同期数" test=" $_GBC_2a8692122e30462aad0e96d3120b3248 +  $_GBC_566d5553fedc4e19bc20d76a4fb0c837 +  $_GBC_46a794d7c39543109d62421d8e967179" id="C521b4a8df39e47ffafa116dd9a9e0910"/>
          <m:axisValue occRef="母公司"/>
        </m:item>
        <m:item xlName="_GBC_3c6bbb3738284b6a917a6ec17270fca4" concept="clcid-pte:LiRunFenPeiDaoZhiKuCunGuBianDongJinE" label="利润分配导致库存股变动金额" periodRef="上年同期数" mulRef="_GBC_048773409e614c6bb753000b028316a5" unitRef="_GBC_5214b7a188334da286fc3038d017d072" addr="T3R15C6S1_1" baseScale="-1" formatStyle="Comma">
          <m:complexRule comparator="Eq" title="母公司利润分配导致库存股变动金额@上年同期数" test=" $_GBC_7131170d0bf34860819f92e9370293ac +  $_GBC_5896274feeda4be3ba195ab3d23fd126 +  $_GBC_50aa74685d6e490e981de9349999678a" id="Cdce616afb1904b208bb2810d858b94bd"/>
          <m:axisValue occRef="母公司"/>
        </m:item>
        <m:item xlName="_GBC_d7dba48b1c0146b78a6322523685998f" concept="clcid-pte:LiRunFenPeiDaoZhiQiTaZongHeShouYiBianDongJinE" label="利润分配导致其他综合收益变动金额" periodRef="上年同期数" mulRef="_GBC_048773409e614c6bb753000b028316a5" unitRef="_GBC_5214b7a188334da286fc3038d017d072" addr="T3R15C7S1_1" formatStyle="Comma">
          <m:complexRule comparator="Eq" title="母公司利润分配导致其他综合收益变动金额@上年同期数" test=" $_GBC_c0d02f5e530640aeb5ce5e86087332f1 +  $_GBC_4b536d67335f4ee4963e5e4dd93843ef +  $_GBC_5d9b86a3e7634b67870d4c447fa117c9" id="C9ee50422df844d778004d364aa8d9ad0"/>
          <m:axisValue occRef="母公司"/>
        </m:item>
        <m:item xlName="_GBC_31aa9a69190c4f209ab76b20cde458b8" concept="clcid-pte:LiRunFenPeiDaoZhiZhuanXiangChuBeiBianDongJinE" label="利润分配导致专项储备变动金额" periodRef="上年同期数" mulRef="_GBC_048773409e614c6bb753000b028316a5" unitRef="_GBC_5214b7a188334da286fc3038d017d072" addr="T3R15C8S1_1" formatStyle="Comma">
          <m:complexRule comparator="Eq" title="母公司利润分配导致专项储备变动金额@上年同期数" test=" $_GBC_87f29e8c38d848dbb63d95c4a5793984 +  $_GBC_843ca12ec7b141cfad55e263f7d17fbe +  $_GBC_524fa5be2b1648a48b8c46e424ac4524" id="C300a7b3474f841e7a36e837e36c651ef"/>
          <m:axisValue occRef="母公司"/>
        </m:item>
        <m:item xlName="_GBC_b5b44f3d2622421aacf913b06a1120fc" concept="clcid-pte:LiRunFenPeiDaoZhiYingYuGongJiBianDongJinE" label="利润分配导致盈余公积变动金额" periodRef="上年同期数" mulRef="_GBC_048773409e614c6bb753000b028316a5" unitRef="_GBC_5214b7a188334da286fc3038d017d072" addr="T3R15C9S1_1" formatStyle="Comma">
          <m:complexRule comparator="Eq" title="母公司利润分配导致盈余公积变动金额@上年同期数" test=" $_GBC_4f4560db68a54c85908090fafd83a3a1 +  $_GBC_3a81c31f1abd4a3ba6f79f5add78f6ce +  $_GBC_14e24cbb59594243b8078d0978c7bb4b" id="C163b92cfbc1d4a0783efad3ee9741e2e"/>
          <m:axisValue occRef="母公司"/>
        </m:item>
        <m:item xlName="_GBC_183a94db427349b9b54d0f0ef81c7bdc" concept="clcid-pte:LiRunFenPeiDaoZhiWeiFenPeiLiRunBianDongJinE" label="利润分配导致未分配利润变动金额" periodRef="上年同期数" mulRef="_GBC_048773409e614c6bb753000b028316a5" unitRef="_GBC_5214b7a188334da286fc3038d017d072" addr="T3R15C10S1_1" formatStyle="Comma">
          <m:complexRule comparator="Eq" title="母公司利润分配导致未分配利润变动金额@上年同期数" test=" $_GBC_da1f675e43a146c3b0c1db26591a8f03 +  $_GBC_28cfe2138eb3404b9581d08fce91f04f +  $_GBC_12bd6c1c6fd34bbe9cfac31a4cca5749" id="C78f311be2f90408aa2a29ba65615009a"/>
          <m:axisValue occRef="母公司"/>
        </m:item>
        <m:item xlName="_GBC_e86e0e1724d74c1cab885ebd31eda94b" concept="clcid-pte:LiRunFenPeiDaoZhiGuDongQuanYiHeJiBianDongJinE" label="利润分配导致股东权益合计变动金额" periodRef="上年同期数" mulRef="_GBC_048773409e614c6bb753000b028316a5" unitRef="_GBC_5214b7a188334da286fc3038d017d072" addr="T3R15C11S1_1" formatStyle="Comma">
          <m:complexRule comparator="Eq" title="母公司利润分配导致股东权益合计变动金额@上年同期数" test=" $_GBC_e2766ed713444eaf853e2d30ee6a70fe +  $_GBC_b7a83962fd0c4ffab165dfe7bf96638f +  $_GBC_19ca48af6d4a4fb2abed675b8d186c63" id="Cf1640564fc874b8f97da03a3c29c5b9d"/>
          <m:axisValue occRef="母公司"/>
        </m:item>
        <m:placeholder xlName="_PLD_49d633deae854098a44173514bb3a7b3" wordText="1．提取盈余公积" addr="T3R16C0S1_1"/>
        <m:item xlName="_GBC_e05bfd0f90c54b4e9125113cfd71447f" concept="clcid-pte:TiQuYingYuGongJiDaoZhiShiShouZiBenHuoGuBenJingEBianDongJinE" label="提取盈余公积导致实收资本（或股本）净额变动金额" periodRef="上年同期数" mulRef="_GBC_048773409e614c6bb753000b028316a5" unitRef="_GBC_5214b7a188334da286fc3038d017d072" addr="T3R16C1S1_1" formatStyle="Comma">
          <m:axisValue occRef="母公司"/>
        </m:item>
        <m:item xlName="_GBC_2542796b4bce4a00bf35c3208f61535e" concept="clcid-pte:TiQuYingYuGongJiDaoZhiQiTaQuanYiGongJuZhongDeYouXianGuBianDongJinE" label="提取盈余公积导致其他权益工具中的优先股变动金额" periodRef="上年同期数" mulRef="_GBC_048773409e614c6bb753000b028316a5" unitRef="_GBC_5214b7a188334da286fc3038d017d072" addr="T3R16C2S1_1" formatStyle="Comma">
          <m:axisValue occRef="母公司"/>
        </m:item>
        <m:item xlName="_GBC_6dc00a65e68b457b87f25cc981eee0d5" concept="clcid-pte:TiQuYingYuGongJiDaoZhiQiTaQuanYiGongJuZhongDeYongXuZhaiBianDongJinE" label="提取盈余公积导致其他权益工具中的永续债变动金额" periodRef="上年同期数" mulRef="_GBC_048773409e614c6bb753000b028316a5" unitRef="_GBC_5214b7a188334da286fc3038d017d072" addr="T3R16C3S1_1" formatStyle="Comma">
          <m:axisValue occRef="母公司"/>
        </m:item>
        <m:item xlName="_GBC_bd7111ba1813479d88db0fedd0e93dee" concept="clcid-pte:TiQuYingYuGongJiDaoZhiQiTaQuanYiGongJuZhongDeQiTaBianDongJinE" label="提取盈余公积导致其他权益工具中的其他变动金额" periodRef="上年同期数" mulRef="_GBC_048773409e614c6bb753000b028316a5" unitRef="_GBC_5214b7a188334da286fc3038d017d072" addr="T3R16C4S1_1" formatStyle="Comma">
          <m:axisValue occRef="母公司"/>
        </m:item>
        <m:item xlName="_GBC_2a8692122e30462aad0e96d3120b3248" concept="clcid-pte:TiQuYingYuGongJiDaoZhiZiBenGongJiBianDongJinE" label="提取盈余公积导致资本公积变动金额" periodRef="上年同期数" mulRef="_GBC_048773409e614c6bb753000b028316a5" unitRef="_GBC_5214b7a188334da286fc3038d017d072" addr="T3R16C5S1_1" formatStyle="Comma">
          <m:axisValue occRef="母公司"/>
        </m:item>
        <m:item xlName="_GBC_7131170d0bf34860819f92e9370293ac" concept="clcid-pte:TiQuYingYuGongJiDaoZhiKuCunGuBianDongJinE" label="提取盈余公积导致库存股变动金额" periodRef="上年同期数" mulRef="_GBC_048773409e614c6bb753000b028316a5" unitRef="_GBC_5214b7a188334da286fc3038d017d072" addr="T3R16C6S1_1" baseScale="-1" formatStyle="Comma">
          <m:axisValue occRef="母公司"/>
        </m:item>
        <m:item xlName="_GBC_c0d02f5e530640aeb5ce5e86087332f1" concept="clcid-pte:TiQuYingYuGongJiDaoZhiQiTaZongHeShouYiBianDongJinE" label="提取盈余公积导致其他综合收益变动金额" periodRef="上年同期数" mulRef="_GBC_048773409e614c6bb753000b028316a5" unitRef="_GBC_5214b7a188334da286fc3038d017d072" addr="T3R16C7S1_1" formatStyle="Comma">
          <m:axisValue occRef="母公司"/>
        </m:item>
        <m:item xlName="_GBC_87f29e8c38d848dbb63d95c4a5793984" concept="clcid-pte:TiQuYingYuGongJiDaoZhiZhuanXiangChuBeiBianDongJinE" label="提取盈余公积导致专项储备变动金额" periodRef="上年同期数" mulRef="_GBC_048773409e614c6bb753000b028316a5" unitRef="_GBC_5214b7a188334da286fc3038d017d072" addr="T3R16C8S1_1" formatStyle="Comma">
          <m:axisValue occRef="母公司"/>
        </m:item>
        <m:item xlName="_GBC_4f4560db68a54c85908090fafd83a3a1" concept="clcid-pte:TiQuYingYuGongJiDaoZhiYingYuGongJiBianDongJinE" label="提取盈余公积导致盈余公积变动金额" periodRef="上年同期数" mulRef="_GBC_048773409e614c6bb753000b028316a5" unitRef="_GBC_5214b7a188334da286fc3038d017d072" addr="T3R16C9S1_1" formatStyle="Comma">
          <m:axisValue occRef="母公司"/>
        </m:item>
        <m:item xlName="_GBC_da1f675e43a146c3b0c1db26591a8f03" concept="clcid-pte:TiQuYingYuGongJiDaoZhiWeiFenPeiLiRunBianDongJinE" label="提取盈余公积导致未分配利润变动金额" periodRef="上年同期数" mulRef="_GBC_048773409e614c6bb753000b028316a5" unitRef="_GBC_5214b7a188334da286fc3038d017d072" addr="T3R16C10S1_1" formatStyle="Comma">
          <m:axisValue occRef="母公司"/>
        </m:item>
        <m:item xlName="_GBC_e2766ed713444eaf853e2d30ee6a70fe" concept="clcid-pte:TiQuYingYuGongJiDaoZhiGuDongQuanYiHeJiBianDongJinE" label="提取盈余公积导致股东权益合计变动金额" periodRef="上年同期数" mulRef="_GBC_048773409e614c6bb753000b028316a5" unitRef="_GBC_5214b7a188334da286fc3038d017d072" addr="T3R16C11S1_1" formatStyle="Comma">
          <m:axisValue occRef="母公司"/>
        </m:item>
        <m:placeholder xlName="_PLD_97bd41fffab4497fb1be0b345aef17bd" wordText="2．对所有者（或股东）的分配" addr="T3R17C0S1_1"/>
        <m:item xlName="_GBC_48c3818ca7254c25a0acafecc6a0a771" concept="clcid-pte:DuiSuoYouZheHuoGuDongDeFenPeiDaoZhiShiShouZiBenHuoGuBenJingEBianDongJinE" label="对所有者（或股东）的分配导致实收资本（或股本）净额变动金额" periodRef="上年同期数" mulRef="_GBC_048773409e614c6bb753000b028316a5" unitRef="_GBC_5214b7a188334da286fc3038d017d072" addr="T3R17C1S1_1" formatStyle="Comma">
          <m:axisValue occRef="母公司"/>
        </m:item>
        <m:item xlName="_GBC_b53ac52b198b499dae271e0b7ba05241" concept="clcid-pte:DuiSuoYouZheHuoGuDongDeFenPeiDaoZhiQiTaQuanYiGongJuZhongDeYouXianGuBianDongJinE" label="对所有者（或股东）的分配导致其他权益工具中的优先股变动金额" periodRef="上年同期数" mulRef="_GBC_048773409e614c6bb753000b028316a5" unitRef="_GBC_5214b7a188334da286fc3038d017d072" addr="T3R17C2S1_1" formatStyle="Comma">
          <m:axisValue occRef="母公司"/>
        </m:item>
        <m:item xlName="_GBC_4b04efc53f4443d4ac387d60a4efff4e" concept="clcid-pte:DuiSuoYouZheHuoGuDongDeFenPeiDaoZhiQiTaQuanYiGongJuZhongDeYongXuZhaiBianDongJinE" label="对所有者（或股东）的分配导致其他权益工具中的永续债变动金额" periodRef="上年同期数" mulRef="_GBC_048773409e614c6bb753000b028316a5" unitRef="_GBC_5214b7a188334da286fc3038d017d072" addr="T3R17C3S1_1" formatStyle="Comma">
          <m:axisValue occRef="母公司"/>
        </m:item>
        <m:item xlName="_GBC_9611ccce87624efcb3b4a6c2bcc64958" concept="clcid-pte:DuiSuoYouZheHuoGuDongDeFenPeiDaoZhiQiTaQuanYiGongJuZhongDeQiTaBianDongJinE" label="对所有者（或股东）的分配导致其他权益工具中的其他变动金额" periodRef="上年同期数" mulRef="_GBC_048773409e614c6bb753000b028316a5" unitRef="_GBC_5214b7a188334da286fc3038d017d072" addr="T3R17C4S1_1" formatStyle="Comma">
          <m:axisValue occRef="母公司"/>
        </m:item>
        <m:item xlName="_GBC_566d5553fedc4e19bc20d76a4fb0c837" concept="clcid-pte:DuiSuoYouZheHuoGuDongDeFenPeiDaoZhiZiBenGongJiBianDongJinE" label="对所有者（或股东）的分配导致资本公积变动金额" periodRef="上年同期数" mulRef="_GBC_048773409e614c6bb753000b028316a5" unitRef="_GBC_5214b7a188334da286fc3038d017d072" addr="T3R17C5S1_1" formatStyle="Comma">
          <m:axisValue occRef="母公司"/>
        </m:item>
        <m:item xlName="_GBC_5896274feeda4be3ba195ab3d23fd126" concept="clcid-pte:DuiSuoYouZheHuoGuDongDeFenPeiDaoZhiKuCunGuBianDongJinE" label="对所有者（或股东）的分配导致库存股变动金额" periodRef="上年同期数" mulRef="_GBC_048773409e614c6bb753000b028316a5" unitRef="_GBC_5214b7a188334da286fc3038d017d072" addr="T3R17C6S1_1" baseScale="-1" formatStyle="Comma">
          <m:axisValue occRef="母公司"/>
        </m:item>
        <m:item xlName="_GBC_4b536d67335f4ee4963e5e4dd93843ef" concept="clcid-pte:DuiSuoYouZheHuoGuDongDeFenPeiDaoZhiQiTaZongHeShouYiBianDongJinE" label="对所有者（或股东）的分配导致其他综合收益变动金额" periodRef="上年同期数" mulRef="_GBC_048773409e614c6bb753000b028316a5" unitRef="_GBC_5214b7a188334da286fc3038d017d072" addr="T3R17C7S1_1" formatStyle="Comma">
          <m:axisValue occRef="母公司"/>
        </m:item>
        <m:item xlName="_GBC_843ca12ec7b141cfad55e263f7d17fbe" concept="clcid-pte:DuiSuoYouZheHuoGuDongDeFenPeiDaoZhiZhuanXiangChuBeiBianDongJinE" label="对所有者（或股东）的分配导致专项储备变动金额" periodRef="上年同期数" mulRef="_GBC_048773409e614c6bb753000b028316a5" unitRef="_GBC_5214b7a188334da286fc3038d017d072" addr="T3R17C8S1_1" formatStyle="Comma">
          <m:axisValue occRef="母公司"/>
        </m:item>
        <m:item xlName="_GBC_3a81c31f1abd4a3ba6f79f5add78f6ce" concept="clcid-pte:DuiSuoYouZheHuoGuDongDeFenPeiDaoZhiYingYuGongJiBianDongJinE" label="对所有者（或股东）的分配导致盈余公积变动金额" periodRef="上年同期数" mulRef="_GBC_048773409e614c6bb753000b028316a5" unitRef="_GBC_5214b7a188334da286fc3038d017d072" addr="T3R17C9S1_1" formatStyle="Comma">
          <m:axisValue occRef="母公司"/>
        </m:item>
        <m:item xlName="_GBC_28cfe2138eb3404b9581d08fce91f04f" concept="clcid-pte:DuiSuoYouZheHuoGuDongDeFenPeiDaoZhiWeiFenPeiLiRunBianDongJinE" label="对所有者（或股东）的分配导致未分配利润变动金额" periodRef="上年同期数" mulRef="_GBC_048773409e614c6bb753000b028316a5" unitRef="_GBC_5214b7a188334da286fc3038d017d072" addr="T3R17C10S1_1" formatStyle="Comma">
          <m:axisValue occRef="母公司"/>
        </m:item>
        <m:item xlName="_GBC_b7a83962fd0c4ffab165dfe7bf96638f" concept="clcid-pte:DuiSuoYouZheHuoGuDongDeFenPeiDaoZhiGuDongQuanYiHeJiBianDongJinE" label="对所有者（或股东）的分配导致股东权益合计变动金额" periodRef="上年同期数" mulRef="_GBC_048773409e614c6bb753000b028316a5" unitRef="_GBC_5214b7a188334da286fc3038d017d072" addr="T3R17C11S1_1" formatStyle="Comma">
          <m:axisValue occRef="母公司"/>
        </m:item>
        <m:placeholder xlName="_PLD_a5c6789730e84b389ee95f39091419a8" wordText="3．其他" addr="T3R18C0S1_1"/>
        <m:item xlName="_GBC_2a3bc25e220343a1979739f7a4deba00" concept="clcid-pte:QiTaLiRunFenPeiDaoZhiShiShouZiBenHuoGuBenJingEBianDongJinE" label="其他利润分配导致实收资本（或股本）净额变动金额" periodRef="上年同期数" mulRef="_GBC_048773409e614c6bb753000b028316a5" unitRef="_GBC_5214b7a188334da286fc3038d017d072" addr="T3R18C1S1_1" formatStyle="Comma">
          <m:axisValue occRef="母公司"/>
        </m:item>
        <m:item xlName="_GBC_40876b8d138a4f2d800d97a22227e8a3" concept="clcid-pte:QiTaLiRunFenPeiDaoZhiQiTaQuanYiGongJuZhongDeYouXianGuBianDongJinE" label="其他利润分配导致其他权益工具中的优先股变动金额" periodRef="上年同期数" mulRef="_GBC_048773409e614c6bb753000b028316a5" unitRef="_GBC_5214b7a188334da286fc3038d017d072" addr="T3R18C2S1_1" formatStyle="Comma">
          <m:axisValue occRef="母公司"/>
        </m:item>
        <m:item xlName="_GBC_8cdbe9633da1446190f1c54e28b01818" concept="clcid-pte:QiTaLiRunFenPeiDaoZhiQiTaQuanYiGongJuZhongDeYongXuZhaiBianDongJinE" label="其他利润分配导致其他权益工具中的永续债变动金额" periodRef="上年同期数" mulRef="_GBC_048773409e614c6bb753000b028316a5" unitRef="_GBC_5214b7a188334da286fc3038d017d072" addr="T3R18C3S1_1" formatStyle="Comma">
          <m:axisValue occRef="母公司"/>
        </m:item>
        <m:item xlName="_GBC_334000809d3b4f0c929262b00b760ded" concept="clcid-pte:QiTaLiRunFenPeiDaoZhiQiTaQuanYiGongJuZhongDeQiTaBianDongJinE" label="其他利润分配导致其他权益工具中的其他变动金额" periodRef="上年同期数" mulRef="_GBC_048773409e614c6bb753000b028316a5" unitRef="_GBC_5214b7a188334da286fc3038d017d072" addr="T3R18C4S1_1" formatStyle="Comma">
          <m:axisValue occRef="母公司"/>
        </m:item>
        <m:item xlName="_GBC_46a794d7c39543109d62421d8e967179" concept="clcid-pte:QiTaLiRunFenPeiDaoZhiZiBenGongJiBianDongJinE" label="其他利润分配导致资本公积变动金额" periodRef="上年同期数" mulRef="_GBC_048773409e614c6bb753000b028316a5" unitRef="_GBC_5214b7a188334da286fc3038d017d072" addr="T3R18C5S1_1" formatStyle="Comma">
          <m:axisValue occRef="母公司"/>
        </m:item>
        <m:item xlName="_GBC_50aa74685d6e490e981de9349999678a" concept="clcid-pte:QiTaLiRunFenPeiDaoZhiKuCunGuBianDongJinE" label="其他利润分配导致库存股变动金额" periodRef="上年同期数" mulRef="_GBC_048773409e614c6bb753000b028316a5" unitRef="_GBC_5214b7a188334da286fc3038d017d072" addr="T3R18C6S1_1" baseScale="-1" formatStyle="Comma">
          <m:axisValue occRef="母公司"/>
        </m:item>
        <m:item xlName="_GBC_5d9b86a3e7634b67870d4c447fa117c9" concept="clcid-pte:QiTaLiRunFenPeiDaoZhiQiTaZongHeShouYiBianDongJinE" label="其他利润分配导致其他综合收益变动金额" periodRef="上年同期数" mulRef="_GBC_048773409e614c6bb753000b028316a5" unitRef="_GBC_5214b7a188334da286fc3038d017d072" addr="T3R18C7S1_1" formatStyle="Comma">
          <m:axisValue occRef="母公司"/>
        </m:item>
        <m:item xlName="_GBC_524fa5be2b1648a48b8c46e424ac4524" concept="clcid-pte:QiTaLiRunFenPeiDaoZhiZhuanXiangChuBeiBianDongJinE" label="其他利润分配导致专项储备变动金额" periodRef="上年同期数" mulRef="_GBC_048773409e614c6bb753000b028316a5" unitRef="_GBC_5214b7a188334da286fc3038d017d072" addr="T3R18C8S1_1" formatStyle="Comma">
          <m:axisValue occRef="母公司"/>
        </m:item>
        <m:item xlName="_GBC_14e24cbb59594243b8078d0978c7bb4b" concept="clcid-pte:QiTaLiRunFenPeiDaoZhiYingYuGongJiBianDongJinE" label="其他利润分配导致盈余公积变动金额" periodRef="上年同期数" mulRef="_GBC_048773409e614c6bb753000b028316a5" unitRef="_GBC_5214b7a188334da286fc3038d017d072" addr="T3R18C9S1_1" formatStyle="Comma">
          <m:axisValue occRef="母公司"/>
        </m:item>
        <m:item xlName="_GBC_12bd6c1c6fd34bbe9cfac31a4cca5749" concept="clcid-pte:QiTaLiRunFenPeiDaoZhiWeiFenPeiLiRunBianDongJinE" label="其他利润分配导致未分配利润变动金额" periodRef="上年同期数" mulRef="_GBC_048773409e614c6bb753000b028316a5" unitRef="_GBC_5214b7a188334da286fc3038d017d072" addr="T3R18C10S1_1" formatStyle="Comma">
          <m:axisValue occRef="母公司"/>
        </m:item>
        <m:item xlName="_GBC_19ca48af6d4a4fb2abed675b8d186c63" concept="clcid-pte:QiTaLiRunFenPeiDaoZhiGuDongQuanYiHeJiBianDongJinE" label="其他利润分配导致股东权益合计变动金额" periodRef="上年同期数" mulRef="_GBC_048773409e614c6bb753000b028316a5" unitRef="_GBC_5214b7a188334da286fc3038d017d072" addr="T3R18C11S1_1" formatStyle="Comma">
          <m:axisValue occRef="母公司"/>
        </m:item>
        <m:placeholder xlName="_PLD_9c529a92f12642ed93c3ac5d7c5ef52b" wordText="（四）所有者权益内部结转" addr="T3R19C0S1_1"/>
        <m:item xlName="_GBC_5647fda6a4d648e58b77890cd27b0d73" concept="clcid-pte:SuoYouZheQuanYiNeiBuJieZhuanDaoZhiShiShouZiBenHuoGuBenJingEBianDongJinE" label="所有者权益内部结转导致实收资本（或股本）净额变动金额" periodRef="上年同期数" mulRef="_GBC_048773409e614c6bb753000b028316a5" unitRef="_GBC_5214b7a188334da286fc3038d017d072" addr="T3R19C1S1_1" formatStyle="Comma">
          <m:complexRule comparator="Eq" title="母公司所有者权益内部结转导致实收资本（或股本）净额变动金额@上年同期数" test="$_GBC_605502b6ae5c4cc9a0d76e0db8c698e2+$_GBC_292282139e2d44c8a37ae75704b59e70+$_GBC_9d75b29648e7431bb92dacc0d883768f+$_GBC_7ebcf4fd398a4980ad29c5823d83cad7+$_GBC_a54ecc5f30f14881ad562154d58df7ea+$_GBC_d3affa4c8f4e41589d73e645ef44a54b" id="C27621569a91b46ffb988e3d4cfb67b87"/>
          <m:axisValue occRef="母公司"/>
        </m:item>
        <m:item xlName="_GBC_98572a5d210c4ef3875a72067bd5d4c1" concept="clcid-pte:SuoYouZheQuanYiNeiBuJieZhuanDaoZhiQiTaQuanYiGongJuZhongDeYouXianGuBianDongJinE" label="所有者权益内部结转导致其他权益工具中的优先股变动金额" periodRef="上年同期数" mulRef="_GBC_048773409e614c6bb753000b028316a5" unitRef="_GBC_5214b7a188334da286fc3038d017d072" addr="T3R19C2S1_1" formatStyle="Comma">
          <m:complexRule comparator="Eq" title="母公司所有者权益内部结转导致其他权益工具中的优先股变动金额@上年同期数" test="$_GBC_03ced7dc7a78435fbced5d272c72b299+$_GBC_6d29c5f693354893be8cebade67f628e+$_GBC_404c7cf63ee5455a9c751a3531c5ea9c+$_GBC_781c0040b4bf431bab92455abac41dfe+$_GBC_39d031ca4feb4a43944d469c85b377ed+$_GBC_94cd06be499d4853b0def85b05548836" id="C3be28d8784e64e7c92ed09d4f19a1d98"/>
          <m:axisValue occRef="母公司"/>
        </m:item>
        <m:item xlName="_GBC_450f68f45ee84fa6a0945728fe10e844" concept="clcid-pte:SuoYouZheQuanYiNeiBuJieZhuanDaoZhiQiTaQuanYiGongJuZhongDeYongXuZhaiBianDongJinE" label="所有者权益内部结转导致其他权益工具中的永续债变动金额" periodRef="上年同期数" mulRef="_GBC_048773409e614c6bb753000b028316a5" unitRef="_GBC_5214b7a188334da286fc3038d017d072" addr="T3R19C3S1_1" formatStyle="Comma">
          <m:complexRule comparator="Eq" title="母公司所有者权益内部结转导致其他权益工具中的永续债变动金额@上年同期数" test="$_GBC_586a1b91abf4401a94770900e89b603c+$_GBC_d0f0b537223c4ede87ee38eb98073f63+$_GBC_020f80fc128641f6bcfa8413ca435547+$_GBC_6acc20a1aefd45f89a8951ed5653c40b+$_GBC_dce95e4bbe4848e78df6f7d9c2958858+$_GBC_65b61ab8204d4f05874839c8bcbe72a6" id="C4120d7cd319a4df9b0223782fc68a3a9"/>
          <m:axisValue occRef="母公司"/>
        </m:item>
        <m:item xlName="_GBC_62b57d65e352446bbdf19b5311174e1c" concept="clcid-pte:SuoYouZheQuanYiNeiBuJieZhuanDaoZhiQiTaQuanYiGongJuZhongDeQiTaBianDongJinE" label="所有者权益内部结转导致其他权益工具中的其他变动金额" periodRef="上年同期数" mulRef="_GBC_048773409e614c6bb753000b028316a5" unitRef="_GBC_5214b7a188334da286fc3038d017d072" addr="T3R19C4S1_1" formatStyle="Comma">
          <m:complexRule comparator="Eq" title="母公司所有者权益内部结转导致其他权益工具中的其他变动金额@上年同期数" test="$_GBC_dd4909fd3f684bffaa3fa19bb0e17c4a+$_GBC_c99780e8f71e42beab9f9919984ea1e8+$_GBC_72ca4671ba6a42b08d2c82810e8bb231+$_GBC_9128c329ae21440aa73e706b92be86ac+$_GBC_1c840d4d1f9b433097eb2f18e9ab29f7+$_GBC_4b4070b97f014614b2aa2d847b78e596" id="Cb3ed311e02c740c6a8e636049c14a921"/>
          <m:axisValue occRef="母公司"/>
        </m:item>
        <m:item xlName="_GBC_70b2b80f35eb4584ab7795855880b29e" concept="clcid-pte:SuoYouZheQuanYiNeiBuJieZhuanDaoZhiZiBenGongJiBianDongJinE" label="所有者权益内部结转导致资本公积变动金额" periodRef="上年同期数" mulRef="_GBC_048773409e614c6bb753000b028316a5" unitRef="_GBC_5214b7a188334da286fc3038d017d072" addr="T3R19C5S1_1" formatStyle="Comma">
          <m:complexRule comparator="Eq" title="母公司所有者权益内部结转导致资本公积变动金额@上年同期数" test="$_GBC_7527ccba15024384b5c2bb60e1e617a0+$_GBC_ebc8b5f22eee4ef398167c8c12f89543+$_GBC_ec67b00acfad481796734066bb652a56+$_GBC_ef57e98dfd12466c9d1eaa318f934d56+$_GBC_d0d0f7f50a094801843d3a8016a88929+$_GBC_45f6d36c262c4c728865fb0bd099127c" id="C8972c82ef42e48b4adfb089463c934f1"/>
          <m:axisValue occRef="母公司"/>
        </m:item>
        <m:item xlName="_GBC_71b87e2bc67741e2b1d2d9d07910c043" concept="clcid-pte:SuoYouZheQuanYiNeiBuJieZhuanDaoZhiKuCunGuBianDongJinE" label="所有者权益内部结转导致库存股变动金额" periodRef="上年同期数" mulRef="_GBC_048773409e614c6bb753000b028316a5" unitRef="_GBC_5214b7a188334da286fc3038d017d072" addr="T3R19C6S1_1" baseScale="-1" formatStyle="Comma">
          <m:complexRule comparator="Eq" title="母公司所有者权益内部结转导致库存股变动金额@上年同期数" test="$_GBC_2024aad3936e4f759f2caf8d4865b6d7+$_GBC_2b7f73558011479cb96a31e6ad817a74+$_GBC_7c679dfe9c494886b7865f3bcb661b9c+$_GBC_d36e59f053544e2ca092f02ac4870ad3+$_GBC_a16de1577f564abf928ab03868f366c9+$_GBC_bae6cdb6344e4ca99abbf10aff60fff1" id="C4c12bf2f20344d17a9976aac4946800d"/>
          <m:axisValue occRef="母公司"/>
        </m:item>
        <m:item xlName="_GBC_cbadfc6c2c0d47af8d1269604c1d4ced" concept="clcid-pte:SuoYouZheQuanYiNeiBuJieZhuanDaoZhiQiTaZongHeShouYiBianDongJinE" label="所有者权益内部结转导致其他综合收益变动金额" periodRef="上年同期数" mulRef="_GBC_048773409e614c6bb753000b028316a5" unitRef="_GBC_5214b7a188334da286fc3038d017d072" addr="T3R19C7S1_1" formatStyle="Comma">
          <m:complexRule comparator="Eq" title="母公司所有者权益内部结转导致其他综合收益变动金额@上年同期数" test="$_GBC_bb7b4037bbd6418c9e84d5bf0c7312d8+$_GBC_6d5d97ef6f6f4bf48dff8bb35c35d83c+$_GBC_c56ad70d9685424e8666953654181e11+$_GBC_fac4f462a72641df8a151695c8c20ef6+$_GBC_2f41a6d495714745bfc852f5838d772a+$_GBC_11c045219f23455085a9fc6688ad4af5" id="C18bb1b4adbac4b43a59465008709c560"/>
          <m:axisValue occRef="母公司"/>
        </m:item>
        <m:item xlName="_GBC_64933a58fd3a463491f35b3e1f19d96c" concept="clcid-pte:SuoYouZheQuanYiNeiBuJieZhuanDaoZhiZhuanXiangChuBeiBianDongJinE" label="所有者权益内部结转导致专项储备变动金额" periodRef="上年同期数" mulRef="_GBC_048773409e614c6bb753000b028316a5" unitRef="_GBC_5214b7a188334da286fc3038d017d072" addr="T3R19C8S1_1" formatStyle="Comma">
          <m:complexRule comparator="Eq" title="母公司所有者权益内部结转导致专项储备变动金额@上年同期数" test="$_GBC_87c8addfc6ee4b5facb835f9564bc978+$_GBC_f586acade7fa47a4946eb91b46448e7e+$_GBC_2cd4630af24b4c12ae01ad70a9bbc778+$_GBC_115c9b6476c34c3da6f16fb94f869fb0+$_GBC_08dc9f8d2392445ead63bf000d73d2fa+$_GBC_962951c708d843e8842b0ba3585945af" id="Cd0813508a2e440bd8d17159083ef156c"/>
          <m:axisValue occRef="母公司"/>
        </m:item>
        <m:item xlName="_GBC_9d6bbcaf8a2e4da5a5cc410f3e5b43e0" concept="clcid-pte:SuoYouZheQuanYiNeiBuJieZhuanDaoZhiYingYuGongJiBianDongJinE" label="所有者权益内部结转导致盈余公积变动金额" periodRef="上年同期数" mulRef="_GBC_048773409e614c6bb753000b028316a5" unitRef="_GBC_5214b7a188334da286fc3038d017d072" addr="T3R19C9S1_1" formatStyle="Comma">
          <m:complexRule comparator="Eq" title="母公司所有者权益内部结转导致盈余公积变动金额@上年同期数" test="$_GBC_dd780a4a65a44212bbdd003478fc19fa+$_GBC_bf4f6dc9a55c4092923fd2eb6bf769f6+$_GBC_40a2f9b5769841058d412e3124561d5b+$_GBC_d4bf88a2855a48928fe4f909b24f7479+$_GBC_733ae184a5df48d7aa9385e46af4a602+$_GBC_bafb613ec7724ffda45f85dd71cbbb0c" id="C195bad6117e240028866cc033f0c08dc"/>
          <m:axisValue occRef="母公司"/>
        </m:item>
        <m:item xlName="_GBC_a7ede5662ff442438cf3799ae0501aaa" concept="clcid-pte:SuoYouZheQuanYiNeiBuJieZhuanDaoZhiWeiFenPeiLiRunBianDongJinE" label="所有者权益内部结转导致未分配利润变动金额" periodRef="上年同期数" mulRef="_GBC_048773409e614c6bb753000b028316a5" unitRef="_GBC_5214b7a188334da286fc3038d017d072" addr="T3R19C10S1_1" formatStyle="Comma">
          <m:complexRule comparator="Eq" title="母公司所有者权益内部结转导致未分配利润变动金额@上年同期数" test="$_GBC_29a408f98d10476aad2eef5b65e53647+$_GBC_6d9f8839912d4772bc28722f458ac0ee+$_GBC_8b5b5a1339e9459d8fd85e710f68df76+$_GBC_341d4c1fff73405ebc8d8233f0a8a2b6+$_GBC_eb2176accd0046b99596ef0fe2eb7954+$_GBC_ccb4d4deb7f3462f8328e10b914ae571" id="Cf0552806893f447db4e550f7a20b379e"/>
          <m:axisValue occRef="母公司"/>
        </m:item>
        <m:item xlName="_GBC_b587d819d31441c1bdd2387ee0941830" concept="clcid-pte:SuoYouZheQuanYiNeiBuJieZhuanDaoZhiGuDongQuanYiHeJiBianDongJinE" label="所有者权益内部结转导致股东权益合计变动金额" periodRef="上年同期数" mulRef="_GBC_048773409e614c6bb753000b028316a5" unitRef="_GBC_5214b7a188334da286fc3038d017d072" addr="T3R19C11S1_1" formatStyle="Comma">
          <m:complexRule comparator="Eq" title="母公司所有者权益内部结转导致股东权益合计变动金额@上年同期数" test="$_GBC_7d97bfd3ff2a420ca667bb3accf56347+$_GBC_c8ab3b75a8ef40a0b3dfdf79c0b6d7c3+$_GBC_5ad99d35cef24992844230792ac215e3+$_GBC_3e4bbad919494225afc557bf6949aa2a+$_GBC_13d06ab51ed54c5abc79a65175180284+$_GBC_df53ca6cef314a4d93fe2ad4c9b266b5" id="C1f4094a4f08a45de8749ede8900c2a66"/>
          <m:axisValue occRef="母公司"/>
        </m:item>
        <m:placeholder xlName="_PLD_084a56709ef243f89e8f0aead886c10d" wordText="1．资本公积转增资本（或股本）" addr="T3R20C0S1_1"/>
        <m:item xlName="_GBC_605502b6ae5c4cc9a0d76e0db8c698e2" concept="clcid-pte:ZiBenGongJiZhuanZengZiBenHuoGuBenDaoZhiShiShouZiBenHuoGuBenJingEBianDongJinE" label="资本公积转增资本（或股本）导致实收资本（或股本）净额变动金额" periodRef="上年同期数" mulRef="_GBC_048773409e614c6bb753000b028316a5" unitRef="_GBC_5214b7a188334da286fc3038d017d072" addr="T3R20C1S1_1" formatStyle="Comma">
          <m:axisValue occRef="母公司"/>
        </m:item>
        <m:item xlName="_GBC_03ced7dc7a78435fbced5d272c72b299" concept="clcid-pte:ZiBenGongJiZhuanZengZiBenHuoGuBenDaoZhiQiTaQuanYiGongJuZhongDeYouXianGuBianDongJinE" label="资本公积转增资本（或股本）导致其他权益工具中的优先股变动金额" periodRef="上年同期数" mulRef="_GBC_048773409e614c6bb753000b028316a5" unitRef="_GBC_5214b7a188334da286fc3038d017d072" addr="T3R20C2S1_1" formatStyle="Comma">
          <m:axisValue occRef="母公司"/>
        </m:item>
        <m:item xlName="_GBC_586a1b91abf4401a94770900e89b603c" concept="clcid-pte:ZiBenGongJiZhuanZengZiBenHuoGuBenDaoZhiQiTaQuanYiGongJuZhongDeYongXuZhaiBianDongJinE" label="资本公积转增资本（或股本）导致其他权益工具中的永续债变动金额" periodRef="上年同期数" mulRef="_GBC_048773409e614c6bb753000b028316a5" unitRef="_GBC_5214b7a188334da286fc3038d017d072" addr="T3R20C3S1_1" formatStyle="Comma">
          <m:axisValue occRef="母公司"/>
        </m:item>
        <m:item xlName="_GBC_dd4909fd3f684bffaa3fa19bb0e17c4a" concept="clcid-pte:ZiBenGongJiZhuanZengZiBenHuoGuBenDaoZhiQiTaQuanYiGongJuZhongDeQiTaBianDongJinE" label="资本公积转增资本（或股本）导致其他权益工具中的其他变动金额" periodRef="上年同期数" mulRef="_GBC_048773409e614c6bb753000b028316a5" unitRef="_GBC_5214b7a188334da286fc3038d017d072" addr="T3R20C4S1_1" formatStyle="Comma">
          <m:axisValue occRef="母公司"/>
        </m:item>
        <m:item xlName="_GBC_7527ccba15024384b5c2bb60e1e617a0" concept="clcid-pte:ZiBenGongJiZhuanZengZiBenHuoGuBenDaoZhiZiBenGongJiBianDongJinE" label="资本公积转增资本（或股本）导致资本公积变动金额" periodRef="上年同期数" mulRef="_GBC_048773409e614c6bb753000b028316a5" unitRef="_GBC_5214b7a188334da286fc3038d017d072" addr="T3R20C5S1_1" formatStyle="Comma">
          <m:axisValue occRef="母公司"/>
        </m:item>
        <m:item xlName="_GBC_2024aad3936e4f759f2caf8d4865b6d7" concept="clcid-pte:ZiBenGongJiZhuanZengZiBenHuoGuBenDaoZhiKuCunGuBianDongJinE" label="资本公积转增资本（或股本）导致库存股变动金额" periodRef="上年同期数" mulRef="_GBC_048773409e614c6bb753000b028316a5" unitRef="_GBC_5214b7a188334da286fc3038d017d072" addr="T3R20C6S1_1" baseScale="-1" formatStyle="Comma">
          <m:axisValue occRef="母公司"/>
        </m:item>
        <m:item xlName="_GBC_bb7b4037bbd6418c9e84d5bf0c7312d8" concept="clcid-pte:ZiBenGongJiZhuanZengZiBenHuoGuBenDaoZhiQiTaZongHeShouYiBianDongJinE" label="资本公积转增资本（或股本）导致其他综合收益变动金额" periodRef="上年同期数" mulRef="_GBC_048773409e614c6bb753000b028316a5" unitRef="_GBC_5214b7a188334da286fc3038d017d072" addr="T3R20C7S1_1" formatStyle="Comma">
          <m:axisValue occRef="母公司"/>
        </m:item>
        <m:item xlName="_GBC_87c8addfc6ee4b5facb835f9564bc978" concept="clcid-pte:ZiBenGongJiZhuanZengZiBenHuoGuBenDaoZhiZhuanXiangChuBeiBianDongJinE" label="资本公积转增资本（或股本）导致专项储备变动金额" periodRef="上年同期数" mulRef="_GBC_048773409e614c6bb753000b028316a5" unitRef="_GBC_5214b7a188334da286fc3038d017d072" addr="T3R20C8S1_1" formatStyle="Comma">
          <m:axisValue occRef="母公司"/>
        </m:item>
        <m:item xlName="_GBC_dd780a4a65a44212bbdd003478fc19fa" concept="clcid-pte:ZiBenGongJiZhuanZengZiBenHuoGuBenDaoZhiYingYuGongJiBianDongJinE" label="资本公积转增资本（或股本）导致盈余公积变动金额" periodRef="上年同期数" mulRef="_GBC_048773409e614c6bb753000b028316a5" unitRef="_GBC_5214b7a188334da286fc3038d017d072" addr="T3R20C9S1_1" formatStyle="Comma">
          <m:axisValue occRef="母公司"/>
        </m:item>
        <m:item xlName="_GBC_29a408f98d10476aad2eef5b65e53647" concept="clcid-pte:ZiBenGongJiZhuanZengZiBenHuoGuBenDaoZhiWeiFenPeiLiRunBianDongJinE" label="资本公积转增资本（或股本）导致未分配利润变动金额" periodRef="上年同期数" mulRef="_GBC_048773409e614c6bb753000b028316a5" unitRef="_GBC_5214b7a188334da286fc3038d017d072" addr="T3R20C10S1_1" formatStyle="Comma">
          <m:axisValue occRef="母公司"/>
        </m:item>
        <m:item xlName="_GBC_7d97bfd3ff2a420ca667bb3accf56347" concept="clcid-pte:ZiBenGongJiZhuanZengZiBenHuoGuBenDaoZhiGuDongQuanYiHeJiBianDongJinE" label="资本公积转增资本（或股本）导致股东权益合计变动金额" periodRef="上年同期数" mulRef="_GBC_048773409e614c6bb753000b028316a5" unitRef="_GBC_5214b7a188334da286fc3038d017d072" addr="T3R20C11S1_1" formatStyle="Comma">
          <m:axisValue occRef="母公司"/>
        </m:item>
        <m:placeholder xlName="_PLD_22df50d156334ad9a740cc6d62e17f0b" wordText="2．盈余公积转增资本（或股本）" addr="T3R21C0S1_1"/>
        <m:item xlName="_GBC_292282139e2d44c8a37ae75704b59e70" concept="clcid-pte:YingYuGongJiZhuanZengZiBenHuoGuBenDaoZhiShiShouZiBenHuoGuBenJingEBianDongJinE" label="盈余公积转增资本（或股本）导致实收资本（或股本）净额变动金额" periodRef="上年同期数" mulRef="_GBC_048773409e614c6bb753000b028316a5" unitRef="_GBC_5214b7a188334da286fc3038d017d072" addr="T3R21C1S1_1" formatStyle="Comma">
          <m:axisValue occRef="母公司"/>
        </m:item>
        <m:item xlName="_GBC_6d29c5f693354893be8cebade67f628e" concept="clcid-pte:YingYuGongJiZhuanZengZiBenHuoGuBenDaoZhiQiTaQuanYiGongJuZhongDeYouXianGuBianDongJinE" label="盈余公积转增资本（或股本）导致其他权益工具中的优先股变动金额" periodRef="上年同期数" mulRef="_GBC_048773409e614c6bb753000b028316a5" unitRef="_GBC_5214b7a188334da286fc3038d017d072" addr="T3R21C2S1_1" formatStyle="Comma">
          <m:axisValue occRef="母公司"/>
        </m:item>
        <m:item xlName="_GBC_d0f0b537223c4ede87ee38eb98073f63" concept="clcid-pte:YingYuGongJiZhuanZengZiBenHuoGuBenDaoZhiQiTaQuanYiGongJuZhongDeYongXuZhaiBianDongJinE" label="盈余公积转增资本（或股本）导致其他权益工具中的永续债变动金额" periodRef="上年同期数" mulRef="_GBC_048773409e614c6bb753000b028316a5" unitRef="_GBC_5214b7a188334da286fc3038d017d072" addr="T3R21C3S1_1" formatStyle="Comma">
          <m:axisValue occRef="母公司"/>
        </m:item>
        <m:item xlName="_GBC_c99780e8f71e42beab9f9919984ea1e8" concept="clcid-pte:YingYuGongJiZhuanZengZiBenHuoGuBenDaoZhiQiTaQuanYiGongJuZhongDeQiTaBianDongJinE" label="盈余公积转增资本（或股本）导致其他权益工具中的其他变动金额" periodRef="上年同期数" mulRef="_GBC_048773409e614c6bb753000b028316a5" unitRef="_GBC_5214b7a188334da286fc3038d017d072" addr="T3R21C4S1_1" formatStyle="Comma">
          <m:axisValue occRef="母公司"/>
        </m:item>
        <m:item xlName="_GBC_ebc8b5f22eee4ef398167c8c12f89543" concept="clcid-pte:YingYuGongJiZhuanZengZiBenHuoGuBenDaoZhiZiBenGongJiBianDongJinE" label="盈余公积转增资本（或股本）导致资本公积变动金额" periodRef="上年同期数" mulRef="_GBC_048773409e614c6bb753000b028316a5" unitRef="_GBC_5214b7a188334da286fc3038d017d072" addr="T3R21C5S1_1" formatStyle="Comma">
          <m:axisValue occRef="母公司"/>
        </m:item>
        <m:item xlName="_GBC_2b7f73558011479cb96a31e6ad817a74" concept="clcid-pte:YingYuGongJiZhuanZengZiBenHuoGuBenDaoZhiKuCunGuBianDongJinE" label="盈余公积转增资本（或股本）导致库存股变动金额" periodRef="上年同期数" mulRef="_GBC_048773409e614c6bb753000b028316a5" unitRef="_GBC_5214b7a188334da286fc3038d017d072" addr="T3R21C6S1_1" baseScale="-1" formatStyle="Comma">
          <m:axisValue occRef="母公司"/>
        </m:item>
        <m:item xlName="_GBC_6d5d97ef6f6f4bf48dff8bb35c35d83c" concept="clcid-pte:YingYuGongJiZhuanZengZiBenHuoGuBenDaoZhiQiTaZongHeShouYiBianDongJinE" label="盈余公积转增资本（或股本）导致其他综合收益变动金额" periodRef="上年同期数" mulRef="_GBC_048773409e614c6bb753000b028316a5" unitRef="_GBC_5214b7a188334da286fc3038d017d072" addr="T3R21C7S1_1" formatStyle="Comma">
          <m:axisValue occRef="母公司"/>
        </m:item>
        <m:item xlName="_GBC_f586acade7fa47a4946eb91b46448e7e" concept="clcid-pte:YingYuGongJiZhuanZengZiBenHuoGuBenDaoZhiZhuanXiangChuBeiBianDongJinE" label="盈余公积转增资本（或股本）导致专项储备变动金额" periodRef="上年同期数" mulRef="_GBC_048773409e614c6bb753000b028316a5" unitRef="_GBC_5214b7a188334da286fc3038d017d072" addr="T3R21C8S1_1" formatStyle="Comma">
          <m:axisValue occRef="母公司"/>
        </m:item>
        <m:item xlName="_GBC_bf4f6dc9a55c4092923fd2eb6bf769f6" concept="clcid-pte:YingYuGongJiZhuanZengZiBenHuoGuBenDaoZhiYingYuGongJiBianDongJinE" label="盈余公积转增资本（或股本）导致盈余公积变动金额" periodRef="上年同期数" mulRef="_GBC_048773409e614c6bb753000b028316a5" unitRef="_GBC_5214b7a188334da286fc3038d017d072" addr="T3R21C9S1_1" formatStyle="Comma">
          <m:axisValue occRef="母公司"/>
        </m:item>
        <m:item xlName="_GBC_6d9f8839912d4772bc28722f458ac0ee" concept="clcid-pte:YingYuGongJiZhuanZengZiBenHuoGuBenDaoZhiWeiFenPeiLiRunBianDongJinE" label="盈余公积转增资本（或股本）导致未分配利润变动金额" periodRef="上年同期数" mulRef="_GBC_048773409e614c6bb753000b028316a5" unitRef="_GBC_5214b7a188334da286fc3038d017d072" addr="T3R21C10S1_1" formatStyle="Comma">
          <m:axisValue occRef="母公司"/>
        </m:item>
        <m:item xlName="_GBC_c8ab3b75a8ef40a0b3dfdf79c0b6d7c3" concept="clcid-pte:YingYuGongJiZhuanZengZiBenHuoGuBenDaoZhiGuDongQuanYiHeJiBianDongJinE" label="盈余公积转增资本（或股本）导致股东权益合计变动金额" periodRef="上年同期数" mulRef="_GBC_048773409e614c6bb753000b028316a5" unitRef="_GBC_5214b7a188334da286fc3038d017d072" addr="T3R21C11S1_1" formatStyle="Comma">
          <m:axisValue occRef="母公司"/>
        </m:item>
        <m:placeholder xlName="_PLD_4846580862224d1a9e17a9af1fe14d07" wordText="3．盈余公积弥补亏损" addr="T3R22C0S1_1"/>
        <m:item xlName="_GBC_9d75b29648e7431bb92dacc0d883768f" concept="clcid-pte:YingYuGongJiMiBuKuiSunDaoZhiShiShouZiBenHuoGuBenJingEBianDongJinE" label="盈余公积弥补亏损导致实收资本（或股本）净额变动金额" periodRef="上年同期数" mulRef="_GBC_048773409e614c6bb753000b028316a5" unitRef="_GBC_5214b7a188334da286fc3038d017d072" addr="T3R22C1S1_1" formatStyle="Comma">
          <m:axisValue occRef="母公司"/>
        </m:item>
        <m:item xlName="_GBC_404c7cf63ee5455a9c751a3531c5ea9c" concept="clcid-pte:YingYuGongJiMiBuKuiSunDaoZhiQiTaQuanYiGongJuZhongDeYouXianGuBianDongJinE" label="盈余公积弥补亏损导致其他权益工具中的优先股变动金额" periodRef="上年同期数" mulRef="_GBC_048773409e614c6bb753000b028316a5" unitRef="_GBC_5214b7a188334da286fc3038d017d072" addr="T3R22C2S1_1" formatStyle="Comma">
          <m:axisValue occRef="母公司"/>
        </m:item>
        <m:item xlName="_GBC_020f80fc128641f6bcfa8413ca435547" concept="clcid-pte:YingYuGongJiMiBuKuiSunDaoZhiQiTaQuanYiGongJuZhongDeYongXuZhaiBianDongJinE" label="盈余公积弥补亏损导致其他权益工具中的永续债变动金额" periodRef="上年同期数" mulRef="_GBC_048773409e614c6bb753000b028316a5" unitRef="_GBC_5214b7a188334da286fc3038d017d072" addr="T3R22C3S1_1" formatStyle="Comma">
          <m:axisValue occRef="母公司"/>
        </m:item>
        <m:item xlName="_GBC_72ca4671ba6a42b08d2c82810e8bb231" concept="clcid-pte:YingYuGongJiMiBuKuiSunDaoZhiQiTaQuanYiGongJuZhongDeQiTaBianDongJinE" label="盈余公积弥补亏损导致其他权益工具中的其他变动金额" periodRef="上年同期数" mulRef="_GBC_048773409e614c6bb753000b028316a5" unitRef="_GBC_5214b7a188334da286fc3038d017d072" addr="T3R22C4S1_1" formatStyle="Comma">
          <m:axisValue occRef="母公司"/>
        </m:item>
        <m:item xlName="_GBC_ec67b00acfad481796734066bb652a56" concept="clcid-pte:YingYuGongJiMiBuKuiSunDaoZhiZiBenGongJiBianDongJinE" label="盈余公积弥补亏损导致资本公积变动金额" periodRef="上年同期数" mulRef="_GBC_048773409e614c6bb753000b028316a5" unitRef="_GBC_5214b7a188334da286fc3038d017d072" addr="T3R22C5S1_1" formatStyle="Comma">
          <m:axisValue occRef="母公司"/>
        </m:item>
        <m:item xlName="_GBC_7c679dfe9c494886b7865f3bcb661b9c" concept="clcid-pte:YingYuGongJiMiBuKuiSunDaoZhiKuCunGuBianDongJinE" label="盈余公积弥补亏损导致库存股变动金额" periodRef="上年同期数" mulRef="_GBC_048773409e614c6bb753000b028316a5" unitRef="_GBC_5214b7a188334da286fc3038d017d072" addr="T3R22C6S1_1" baseScale="-1" formatStyle="Comma">
          <m:axisValue occRef="母公司"/>
        </m:item>
        <m:item xlName="_GBC_c56ad70d9685424e8666953654181e11" concept="clcid-pte:YingYuGongJiMiBuKuiSunDaoZhiQiTaZongHeShouYiBianDongJinE" label="盈余公积弥补亏损导致其他综合收益变动金额" periodRef="上年同期数" mulRef="_GBC_048773409e614c6bb753000b028316a5" unitRef="_GBC_5214b7a188334da286fc3038d017d072" addr="T3R22C7S1_1" formatStyle="Comma">
          <m:axisValue occRef="母公司"/>
        </m:item>
        <m:item xlName="_GBC_2cd4630af24b4c12ae01ad70a9bbc778" concept="clcid-pte:YingYuGongJiMiBuKuiSunDaoZhiZhuanXiangChuBeiBianDongJinE" label="盈余公积弥补亏损导致专项储备变动金额" periodRef="上年同期数" mulRef="_GBC_048773409e614c6bb753000b028316a5" unitRef="_GBC_5214b7a188334da286fc3038d017d072" addr="T3R22C8S1_1" formatStyle="Comma">
          <m:axisValue occRef="母公司"/>
        </m:item>
        <m:item xlName="_GBC_40a2f9b5769841058d412e3124561d5b" concept="clcid-pte:YingYuGongJiMiBuKuiSunDaoZhiYingYuGongJiBianDongJinE" label="盈余公积弥补亏损导致盈余公积变动金额" periodRef="上年同期数" mulRef="_GBC_048773409e614c6bb753000b028316a5" unitRef="_GBC_5214b7a188334da286fc3038d017d072" addr="T3R22C9S1_1" formatStyle="Comma">
          <m:axisValue occRef="母公司"/>
        </m:item>
        <m:item xlName="_GBC_8b5b5a1339e9459d8fd85e710f68df76" concept="clcid-pte:YingYuGongJiMiBuKuiSunDaoZhiWeiFenPeiLiRunBianDongJinE" label="盈余公积弥补亏损导致未分配利润变动金额" periodRef="上年同期数" mulRef="_GBC_048773409e614c6bb753000b028316a5" unitRef="_GBC_5214b7a188334da286fc3038d017d072" addr="T3R22C10S1_1" formatStyle="Comma">
          <m:axisValue occRef="母公司"/>
        </m:item>
        <m:item xlName="_GBC_5ad99d35cef24992844230792ac215e3" concept="clcid-pte:YingYuGongJiMiBuKuiSunDaoZhiGuDongQuanYiHeJiBianDongJinE" label="盈余公积弥补亏损导致股东权益合计变动金额" periodRef="上年同期数" mulRef="_GBC_048773409e614c6bb753000b028316a5" unitRef="_GBC_5214b7a188334da286fc3038d017d072" addr="T3R22C11S1_1" formatStyle="Comma">
          <m:axisValue occRef="母公司"/>
        </m:item>
        <m:placeholder xlName="_PLD_a2566358e2dc4d0b9e534ee13a2b1a26" wordText="4．设定受益计划变动额结转留存收益" addr="T3R23C0S1_1"/>
        <m:item xlName="_GBC_7ebcf4fd398a4980ad29c5823d83cad7" concept="clcid-pte:SheDingShouYiJiHuaBianDongEJieZhuanLiuCunShouYiDaoZhiShiShouZiBenHuoGuBenJingEBianDongJinE" label="设定受益计划变动额结转留存收益导致实收资本（或股本）净额变动金额" periodRef="上年同期数" mulRef="_GBC_048773409e614c6bb753000b028316a5" unitRef="_GBC_5214b7a188334da286fc3038d017d072" addr="T3R23C1S1_1" formatStyle="Comma">
          <m:axisValue occRef="母公司"/>
        </m:item>
        <m:item xlName="_GBC_781c0040b4bf431bab92455abac41dfe" concept="clcid-pte:SheDingShouYiJiHuaBianDongEJieZhuanLiuCunShouYiDaoZhiQiTaQuanYiGongJuZhongDeYouXianGuBianDongJinE" label="设定受益计划变动额结转留存收益导致其他权益工具中的优先股变动金额" periodRef="上年同期数" mulRef="_GBC_048773409e614c6bb753000b028316a5" unitRef="_GBC_5214b7a188334da286fc3038d017d072" addr="T3R23C2S1_1" formatStyle="Comma">
          <m:axisValue occRef="母公司"/>
        </m:item>
        <m:item xlName="_GBC_6acc20a1aefd45f89a8951ed5653c40b" concept="clcid-pte:SheDingShouYiJiHuaBianDongEJieZhuanLiuCunShouYiDaoZhiQiTaQuanYiGongJuZhongDeYongXuZhaiBianDongJinE" label="设定受益计划变动额结转留存收益导致其他权益工具中的永续债变动金额" periodRef="上年同期数" mulRef="_GBC_048773409e614c6bb753000b028316a5" unitRef="_GBC_5214b7a188334da286fc3038d017d072" addr="T3R23C3S1_1" formatStyle="Comma">
          <m:axisValue occRef="母公司"/>
        </m:item>
        <m:item xlName="_GBC_9128c329ae21440aa73e706b92be86ac" concept="clcid-pte:SheDingShouYiJiHuaBianDongEJieZhuanLiuCunShouYiDaoZhiQiTaQuanYiGongJuZhongDeQiTaBianDongJinE" label="设定受益计划变动额结转留存收益导致其他权益工具中的其他变动金额" periodRef="上年同期数" mulRef="_GBC_048773409e614c6bb753000b028316a5" unitRef="_GBC_5214b7a188334da286fc3038d017d072" addr="T3R23C4S1_1" formatStyle="Comma">
          <m:axisValue occRef="母公司"/>
        </m:item>
        <m:item xlName="_GBC_ef57e98dfd12466c9d1eaa318f934d56" concept="clcid-pte:SheDingShouYiJiHuaBianDongEJieZhuanLiuCunShouYiDaoZhiZiBenGongJiBianDongJinE" label="设定受益计划变动额结转留存收益导致资本公积变动金额" periodRef="上年同期数" mulRef="_GBC_048773409e614c6bb753000b028316a5" unitRef="_GBC_5214b7a188334da286fc3038d017d072" addr="T3R23C5S1_1" formatStyle="Comma">
          <m:axisValue occRef="母公司"/>
        </m:item>
        <m:item xlName="_GBC_d36e59f053544e2ca092f02ac4870ad3" concept="clcid-pte:SheDingShouYiJiHuaBianDongEJieZhuanLiuCunShouYiDaoZhiKuCunGuBianDongJinE" label="设定受益计划变动额结转留存收益导致库存股变动金额" periodRef="上年同期数" mulRef="_GBC_048773409e614c6bb753000b028316a5" unitRef="_GBC_5214b7a188334da286fc3038d017d072" addr="T3R23C6S1_1" baseScale="-1" formatStyle="Comma">
          <m:axisValue occRef="母公司"/>
        </m:item>
        <m:item xlName="_GBC_fac4f462a72641df8a151695c8c20ef6" concept="clcid-pte:SheDingShouYiJiHuaBianDongEJieZhuanLiuCunShouYiDaoZhiQiTaZongHeShouYiBianDongJinE" label="设定受益计划变动额结转留存收益导致其他综合收益变动金额" periodRef="上年同期数" mulRef="_GBC_048773409e614c6bb753000b028316a5" unitRef="_GBC_5214b7a188334da286fc3038d017d072" addr="T3R23C7S1_1" formatStyle="Comma">
          <m:axisValue occRef="母公司"/>
        </m:item>
        <m:item xlName="_GBC_115c9b6476c34c3da6f16fb94f869fb0" concept="clcid-pte:SheDingShouYiJiHuaBianDongEJieZhuanLiuCunShouYiDaoZhiZhuanXiangChuBeiBianDongJinE" label="设定受益计划变动额结转留存收益导致专项储备变动金额" periodRef="上年同期数" mulRef="_GBC_048773409e614c6bb753000b028316a5" unitRef="_GBC_5214b7a188334da286fc3038d017d072" addr="T3R23C8S1_1" formatStyle="Comma">
          <m:axisValue occRef="母公司"/>
        </m:item>
        <m:item xlName="_GBC_d4bf88a2855a48928fe4f909b24f7479" concept="clcid-pte:SheDingShouYiJiHuaBianDongEJieZhuanLiuCunShouYiDaoZhiYingYuGongJiBianDongJinE" label="设定受益计划变动额结转留存收益导致盈余公积变动金额" periodRef="上年同期数" mulRef="_GBC_048773409e614c6bb753000b028316a5" unitRef="_GBC_5214b7a188334da286fc3038d017d072" addr="T3R23C9S1_1" formatStyle="Comma">
          <m:axisValue occRef="母公司"/>
        </m:item>
        <m:item xlName="_GBC_341d4c1fff73405ebc8d8233f0a8a2b6" concept="clcid-pte:SheDingShouYiJiHuaBianDongEJieZhuanLiuCunShouYiDaoZhiWeiFenPeiLiRunBianDongJinE" label="设定受益计划变动额结转留存收益导致未分配利润变动金额" periodRef="上年同期数" mulRef="_GBC_048773409e614c6bb753000b028316a5" unitRef="_GBC_5214b7a188334da286fc3038d017d072" addr="T3R23C10S1_1" formatStyle="Comma">
          <m:axisValue occRef="母公司"/>
        </m:item>
        <m:item xlName="_GBC_3e4bbad919494225afc557bf6949aa2a" concept="clcid-pte:SheDingShouYiJiHuaBianDongEJieZhuanLiuCunShouYiDaoZhiGuDongQuanYiHeJiBianDongJinE" label="设定受益计划变动额结转留存收益导致股东权益合计变动金额" periodRef="上年同期数" mulRef="_GBC_048773409e614c6bb753000b028316a5" unitRef="_GBC_5214b7a188334da286fc3038d017d072" addr="T3R23C11S1_1" formatStyle="Comma">
          <m:axisValue occRef="母公司"/>
        </m:item>
        <m:placeholder xlName="_PLD_659907ea90ce4ac18323403c6e02efd1" wordText="5．其他综合收益结转留存收益" addr="T3R24C0S1_1"/>
        <m:item xlName="_GBC_a54ecc5f30f14881ad562154d58df7ea" concept="clcid-pte:QiTaZongHeShouYiJieZhuanLiuCunShouYiDaoZhiShiShouZiBenHuoGuBenJingEBianDongJinE" label="其他综合收益结转留存收益导致实收资本（或股本）净额变动金额" periodRef="上年同期数" mulRef="_GBC_048773409e614c6bb753000b028316a5" unitRef="_GBC_5214b7a188334da286fc3038d017d072" addr="T3R24C1S1_1" formatStyle="Comma">
          <m:axisValue occRef="母公司"/>
        </m:item>
        <m:item xlName="_GBC_39d031ca4feb4a43944d469c85b377ed" concept="clcid-pte:QiTaZongHeShouYiJieZhuanLiuCunShouYiDaoZhiQiTaQuanYiGongJuZhongDeYouXianGuBianDongJinE" label="其他综合收益结转留存收益导致其他权益工具中的优先股变动金额" periodRef="上年同期数" mulRef="_GBC_048773409e614c6bb753000b028316a5" unitRef="_GBC_5214b7a188334da286fc3038d017d072" addr="T3R24C2S1_1" formatStyle="Comma">
          <m:axisValue occRef="母公司"/>
        </m:item>
        <m:item xlName="_GBC_dce95e4bbe4848e78df6f7d9c2958858" concept="clcid-pte:QiTaZongHeShouYiJieZhuanLiuCunShouYiDaoZhiQiTaQuanYiGongJuZhongDeYongXuZhaiBianDongJinE" label="其他综合收益结转留存收益导致其他权益工具中的永续债变动金额" periodRef="上年同期数" mulRef="_GBC_048773409e614c6bb753000b028316a5" unitRef="_GBC_5214b7a188334da286fc3038d017d072" addr="T3R24C3S1_1" formatStyle="Comma">
          <m:axisValue occRef="母公司"/>
        </m:item>
        <m:item xlName="_GBC_1c840d4d1f9b433097eb2f18e9ab29f7" concept="clcid-pte:QiTaZongHeShouYiJieZhuanLiuCunShouYiDaoZhiQiTaQuanYiGongJuZhongDeQiTaBianDongJinE" label="其他综合收益结转留存收益导致其他权益工具中的其他变动金额" periodRef="上年同期数" mulRef="_GBC_048773409e614c6bb753000b028316a5" unitRef="_GBC_5214b7a188334da286fc3038d017d072" addr="T3R24C4S1_1" formatStyle="Comma">
          <m:axisValue occRef="母公司"/>
        </m:item>
        <m:item xlName="_GBC_d0d0f7f50a094801843d3a8016a88929" concept="clcid-pte:QiTaZongHeShouYiJieZhuanLiuCunShouYiDaoZhiZiBenGongJiBianDongJinE" label="其他综合收益结转留存收益导致资本公积变动金额" periodRef="上年同期数" mulRef="_GBC_048773409e614c6bb753000b028316a5" unitRef="_GBC_5214b7a188334da286fc3038d017d072" addr="T3R24C5S1_1" formatStyle="Comma">
          <m:axisValue occRef="母公司"/>
        </m:item>
        <m:item xlName="_GBC_a16de1577f564abf928ab03868f366c9" concept="clcid-pte:QiTaZongHeShouYiJieZhuanLiuCunShouYiDaoZhiKuCunGuBianDongJinE" label="其他综合收益结转留存收益导致库存股变动金额" periodRef="上年同期数" mulRef="_GBC_048773409e614c6bb753000b028316a5" unitRef="_GBC_5214b7a188334da286fc3038d017d072" addr="T3R24C6S1_1" baseScale="-1" formatStyle="Comma">
          <m:axisValue occRef="母公司"/>
        </m:item>
        <m:item xlName="_GBC_2f41a6d495714745bfc852f5838d772a" concept="clcid-pte:QiTaZongHeShouYiJieZhuanLiuCunShouYiDaoZhiQiTaZongHeShouYiBianDongJinE" label="其他综合收益结转留存收益导致其他综合收益变动金额" periodRef="上年同期数" mulRef="_GBC_048773409e614c6bb753000b028316a5" unitRef="_GBC_5214b7a188334da286fc3038d017d072" addr="T3R24C7S1_1" formatStyle="Comma">
          <m:axisValue occRef="母公司"/>
        </m:item>
        <m:item xlName="_GBC_08dc9f8d2392445ead63bf000d73d2fa" concept="clcid-pte:QiTaZongHeShouYiJieZhuanLiuCunShouYiDaoZhiZhuanXiangChuBeiBianDongJinE" label="其他综合收益结转留存收益导致专项储备变动金额" periodRef="上年同期数" mulRef="_GBC_048773409e614c6bb753000b028316a5" unitRef="_GBC_5214b7a188334da286fc3038d017d072" addr="T3R24C8S1_1" formatStyle="Comma">
          <m:axisValue occRef="母公司"/>
        </m:item>
        <m:item xlName="_GBC_733ae184a5df48d7aa9385e46af4a602" concept="clcid-pte:QiTaZongHeShouYiJieZhuanLiuCunShouYiDaoZhiYingYuGongJiBianDongJinE" label="其他综合收益结转留存收益导致盈余公积变动金额" periodRef="上年同期数" mulRef="_GBC_048773409e614c6bb753000b028316a5" unitRef="_GBC_5214b7a188334da286fc3038d017d072" addr="T3R24C9S1_1" formatStyle="Comma">
          <m:axisValue occRef="母公司"/>
        </m:item>
        <m:item xlName="_GBC_eb2176accd0046b99596ef0fe2eb7954" concept="clcid-pte:QiTaZongHeShouYiJieZhuanLiuCunShouYiDaoZhiWeiFenPeiLiRunBianDongJinE" label="其他综合收益结转留存收益导致未分配利润变动金额" periodRef="上年同期数" mulRef="_GBC_048773409e614c6bb753000b028316a5" unitRef="_GBC_5214b7a188334da286fc3038d017d072" addr="T3R24C10S1_1" formatStyle="Comma">
          <m:axisValue occRef="母公司"/>
        </m:item>
        <m:item xlName="_GBC_13d06ab51ed54c5abc79a65175180284" concept="clcid-pte:QiTaZongHeShouYiJieZhuanLiuCunShouYiDaoZhiGuDongQuanYiHeJiBianDongJinE" label="其他综合收益结转留存收益导致股东权益合计变动金额" periodRef="上年同期数" mulRef="_GBC_048773409e614c6bb753000b028316a5" unitRef="_GBC_5214b7a188334da286fc3038d017d072" addr="T3R24C11S1_1" formatStyle="Comma">
          <m:axisValue occRef="母公司"/>
        </m:item>
        <m:placeholder xlName="_PLD_811577c623d04471a27af10d35119258" wordText="6．其他" addr="T3R25C0S1_1"/>
        <m:item xlName="_GBC_d3affa4c8f4e41589d73e645ef44a54b" concept="clcid-pte:QiTaSuoYouZheQuanYiNeiBuJieZhuanDaoZhiShiShouZiBenHuoGuBenJingEBianDongJinE" label="其他所有者权益内部结转导致实收资本（或股本）净额变动金额" periodRef="上年同期数" mulRef="_GBC_048773409e614c6bb753000b028316a5" unitRef="_GBC_5214b7a188334da286fc3038d017d072" addr="T3R25C1S1_1" formatStyle="Comma">
          <m:axisValue occRef="母公司"/>
        </m:item>
        <m:item xlName="_GBC_94cd06be499d4853b0def85b05548836" concept="clcid-pte:QiTaSuoYouZheQuanYiNeiBuJieZhuanDaoZhiQiTaQuanYiGongJuZhongDeYouXianGuBianDongJinE" label="其他所有者权益内部结转导致其他权益工具中的优先股变动金额" periodRef="上年同期数" mulRef="_GBC_048773409e614c6bb753000b028316a5" unitRef="_GBC_5214b7a188334da286fc3038d017d072" addr="T3R25C2S1_1" formatStyle="Comma">
          <m:axisValue occRef="母公司"/>
        </m:item>
        <m:item xlName="_GBC_65b61ab8204d4f05874839c8bcbe72a6" concept="clcid-pte:QiTaSuoYouZheQuanYiNeiBuJieZhuanDaoZhiQiTaQuanYiGongJuZhongDeYongXuZhaiBianDongJinE" label="其他所有者权益内部结转导致其他权益工具中的永续债变动金额" periodRef="上年同期数" mulRef="_GBC_048773409e614c6bb753000b028316a5" unitRef="_GBC_5214b7a188334da286fc3038d017d072" addr="T3R25C3S1_1" formatStyle="Comma">
          <m:axisValue occRef="母公司"/>
        </m:item>
        <m:item xlName="_GBC_4b4070b97f014614b2aa2d847b78e596" concept="clcid-pte:QiTaSuoYouZheQuanYiNeiBuJieZhuanDaoZhiQiTaQuanYiGongJuZhongDeQiTaBianDongJinE" label="其他所有者权益内部结转导致其他权益工具中的其他变动金额" periodRef="上年同期数" mulRef="_GBC_048773409e614c6bb753000b028316a5" unitRef="_GBC_5214b7a188334da286fc3038d017d072" addr="T3R25C4S1_1" formatStyle="Comma">
          <m:axisValue occRef="母公司"/>
        </m:item>
        <m:item xlName="_GBC_45f6d36c262c4c728865fb0bd099127c" concept="clcid-pte:QiTaSuoYouZheQuanYiNeiBuJieZhuanDaoZhiZiBenGongJiBianDongJinE" label="其他所有者权益内部结转导致资本公积变动金额" periodRef="上年同期数" mulRef="_GBC_048773409e614c6bb753000b028316a5" unitRef="_GBC_5214b7a188334da286fc3038d017d072" addr="T3R25C5S1_1" formatStyle="Comma">
          <m:axisValue occRef="母公司"/>
        </m:item>
        <m:item xlName="_GBC_bae6cdb6344e4ca99abbf10aff60fff1" concept="clcid-pte:QiTaSuoYouZheQuanYiNeiBuJieZhuanDaoZhiKuCunGuBianDongJinE" label="其他所有者权益内部结转导致库存股变动金额" periodRef="上年同期数" mulRef="_GBC_048773409e614c6bb753000b028316a5" unitRef="_GBC_5214b7a188334da286fc3038d017d072" addr="T3R25C6S1_1" baseScale="-1" formatStyle="Comma">
          <m:axisValue occRef="母公司"/>
        </m:item>
        <m:item xlName="_GBC_11c045219f23455085a9fc6688ad4af5" concept="clcid-pte:QiTaSuoYouZheQuanYiNeiBuJieZhuanDaoZhiQiTaZongHeShouYiBianDongJinE" label="其他所有者权益内部结转导致其他综合收益变动金额" periodRef="上年同期数" mulRef="_GBC_048773409e614c6bb753000b028316a5" unitRef="_GBC_5214b7a188334da286fc3038d017d072" addr="T3R25C7S1_1" formatStyle="Comma">
          <m:axisValue occRef="母公司"/>
        </m:item>
        <m:item xlName="_GBC_962951c708d843e8842b0ba3585945af" concept="clcid-pte:QiTaSuoYouZheQuanYiNeiBuJieZhuanDaoZhiZhuanXiangChuBeiBianDongJinE" label="其他所有者权益内部结转导致专项储备变动金额" periodRef="上年同期数" mulRef="_GBC_048773409e614c6bb753000b028316a5" unitRef="_GBC_5214b7a188334da286fc3038d017d072" addr="T3R25C8S1_1" formatStyle="Comma">
          <m:axisValue occRef="母公司"/>
        </m:item>
        <m:item xlName="_GBC_bafb613ec7724ffda45f85dd71cbbb0c" concept="clcid-pte:QiTaSuoYouZheQuanYiNeiBuJieZhuanDaoZhiYingYuGongJiBianDongJinE" label="其他所有者权益内部结转导致盈余公积变动金额" periodRef="上年同期数" mulRef="_GBC_048773409e614c6bb753000b028316a5" unitRef="_GBC_5214b7a188334da286fc3038d017d072" addr="T3R25C9S1_1" formatStyle="Comma">
          <m:axisValue occRef="母公司"/>
        </m:item>
        <m:item xlName="_GBC_ccb4d4deb7f3462f8328e10b914ae571" concept="clcid-pte:QiTaSuoYouZheQuanYiNeiBuJieZhuanDaoZhiWeiFenPeiLiRunBianDongJinE" label="其他所有者权益内部结转导致未分配利润变动金额" periodRef="上年同期数" mulRef="_GBC_048773409e614c6bb753000b028316a5" unitRef="_GBC_5214b7a188334da286fc3038d017d072" addr="T3R25C10S1_1" formatStyle="Comma">
          <m:axisValue occRef="母公司"/>
        </m:item>
        <m:item xlName="_GBC_df53ca6cef314a4d93fe2ad4c9b266b5" concept="clcid-pte:QiTaSuoYouZheQuanYiNeiBuJieZhuanDaoZhiGuDongQuanYiHeJiBianDongJinE" label="其他所有者权益内部结转导致股东权益合计变动金额" periodRef="上年同期数" mulRef="_GBC_048773409e614c6bb753000b028316a5" unitRef="_GBC_5214b7a188334da286fc3038d017d072" addr="T3R25C11S1_1" formatStyle="Comma">
          <m:axisValue occRef="母公司"/>
        </m:item>
        <m:placeholder xlName="_PLD_2a0b15de13474fe285b68b48e29b688f" wordText="（五）专项储备" addr="T3R26C0S1_1"/>
        <m:item xlName="_GBC_c52bf0c19ee6412a88ed16e4ccdd58e9" concept="clcid-pte:ZhuanXiangChuBeiDaoZhiShiShouZiBenHuoGuBenJingEBianDongJinE" label="专项储备导致实收资本（或股本）净额变动金额" periodRef="上年同期数" mulRef="_GBC_048773409e614c6bb753000b028316a5" unitRef="_GBC_5214b7a188334da286fc3038d017d072" addr="T3R26C1S1_1" formatStyle="Comma">
          <m:complexRule comparator="Eq" title="母公司专项储备导致实收资本（或股本）净额变动金额@上年同期数" test=" $_GBC_81f1264fc0044e75a3b6b408a40360af -  $_GBC_f8c7548eb89d45b7ab33b07f6ecc654f" id="Ca560d89d631544d1a73a73ce915df11c"/>
          <m:axisValue occRef="母公司"/>
        </m:item>
        <m:item xlName="_GBC_aafadb71fa4649b7bc0423c67af5fbf7" concept="clcid-pte:ZhuanXiangChuBeiDaoZhiQiTaQuanYiGongJuZhongDeYouXianGuBianDongJinE" label="专项储备导致其他权益工具中的优先股变动金额" periodRef="上年同期数" mulRef="_GBC_048773409e614c6bb753000b028316a5" unitRef="_GBC_5214b7a188334da286fc3038d017d072" addr="T3R26C2S1_1" formatStyle="Comma">
          <m:complexRule comparator="Eq" title="母公司专项储备导致其他权益工具中的优先股变动金额@上年同期数" test=" $_GBC_dafc4090cc9f4c9f8558d695cbb77af1 -  $_GBC_27e744a9e41f4852a58c90a5ea7b3467" id="Ce5f9bb7d3ead4d5c90a6a163ad2b486a"/>
          <m:axisValue occRef="母公司"/>
        </m:item>
        <m:item xlName="_GBC_38525638055440c4aea25d3464d1e1d1" concept="clcid-pte:ZhuanXiangChuBeiDaoZhiQiTaQuanYiGongJuZhongDeYongXuZhaiBianDongJinE" label="专项储备导致其他权益工具中的永续债变动金额" periodRef="上年同期数" mulRef="_GBC_048773409e614c6bb753000b028316a5" unitRef="_GBC_5214b7a188334da286fc3038d017d072" addr="T3R26C3S1_1" formatStyle="Comma">
          <m:complexRule comparator="Eq" title="母公司专项储备导致其他权益工具中的永续债变动金额@上年同期数" test=" $_GBC_ac299294980f4191880e0ecc05159511 -  $_GBC_0b09af4bd9e042beb2b78aa9068b7096" id="Cd310cfabff1e45a49054fd733c158bac"/>
          <m:axisValue occRef="母公司"/>
        </m:item>
        <m:item xlName="_GBC_c037fba370a14bfa8f56d6d99f94c984" concept="clcid-pte:ZhuanXiangChuBeiDaoZhiQiTaQuanYiGongJuZhongDeQiTaBianDongJinE" label="专项储备导致其他权益工具中的其他变动金额" periodRef="上年同期数" mulRef="_GBC_048773409e614c6bb753000b028316a5" unitRef="_GBC_5214b7a188334da286fc3038d017d072" addr="T3R26C4S1_1" formatStyle="Comma">
          <m:complexRule comparator="Eq" title="母公司专项储备导致其他权益工具中的其他变动金额@上年同期数" test=" $_GBC_a60a8f2154354686a40da8e7b91b888c -  $_GBC_0d3b5e202117414381cf43e3f1f1bf87" id="C5cbd9b8caf2e4111a56440156b256c5a"/>
          <m:axisValue occRef="母公司"/>
        </m:item>
        <m:item xlName="_GBC_756e5e6e4d094fb4a12ad31f5984e025" concept="clcid-pte:ZhuanXiangChuBeiDaoZhiZiBenGongJiBianDongJinE" label="专项储备导致资本公积变动金额" periodRef="上年同期数" mulRef="_GBC_048773409e614c6bb753000b028316a5" unitRef="_GBC_5214b7a188334da286fc3038d017d072" addr="T3R26C5S1_1" formatStyle="Comma">
          <m:complexRule comparator="Eq" title="母公司专项储备导致资本公积变动金额@上年同期数" test=" $_GBC_62699a3b4faa43b4a8eab6196229c9a1 -  $_GBC_ed52ff12317143ceb93cdb2609848e01" id="C26d9d0329b554bc28b247d0ecb37b722"/>
          <m:axisValue occRef="母公司"/>
        </m:item>
        <m:item xlName="_GBC_11d87fe6c0fb438d92d1b164f44c0b19" concept="clcid-pte:ZhuanXiangChuBeiDaoZhiKuCunGuBianDongJinE" label="专项储备导致库存股变动金额" periodRef="上年同期数" mulRef="_GBC_048773409e614c6bb753000b028316a5" unitRef="_GBC_5214b7a188334da286fc3038d017d072" addr="T3R26C6S1_1" baseScale="-1" formatStyle="Comma">
          <m:complexRule comparator="Eq" title="母公司专项储备导致库存股变动金额@上年同期数" test=" $_GBC_d758b3e08f7b405a9bce1d312e545c30 -  $_GBC_92b060f42a9740b3bbeb10d19d9177f5" id="Cdff7b37b161b45c58c708732e56db3fc"/>
          <m:axisValue occRef="母公司"/>
        </m:item>
        <m:item xlName="_GBC_77d0990376fa4c3dba4853bc80e6f32b" concept="clcid-pte:ZhuanXiangChuBeiDaoZhiQiTaZongHeShouYiBianDongJinE" label="专项储备导致其他综合收益变动金额" periodRef="上年同期数" mulRef="_GBC_048773409e614c6bb753000b028316a5" unitRef="_GBC_5214b7a188334da286fc3038d017d072" addr="T3R26C7S1_1" formatStyle="Comma">
          <m:complexRule comparator="Eq" title="母公司专项储备导致其他综合收益变动金额@上年同期数" test=" $_GBC_be434594a7f34efb952f4c4ac1f6f79c -  $_GBC_506e65458ee64e43a798bd4f26c59f5a" id="C07c72226a4a44b589aa885d16c1af303"/>
          <m:axisValue occRef="母公司"/>
        </m:item>
        <m:item xlName="_GBC_b35e7e3ee1e7405f98172f70fde0a158" concept="clcid-pte:ZhuanXiangChuBeiDaoZhiZhuanXiangChuBeiBianDongJinE" label="专项储备导致专项储备变动金额" periodRef="上年同期数" mulRef="_GBC_048773409e614c6bb753000b028316a5" unitRef="_GBC_5214b7a188334da286fc3038d017d072" addr="T3R26C8S1_1" formatStyle="Comma">
          <m:complexRule comparator="Eq" title="母公司专项储备导致专项储备变动金额@上年同期数" test=" $_GBC_6df4ff1711914caab3765c8d65fc67b0 -  $_GBC_e7c1cd92516540039dd7465c92001061" id="Cfa10f102448646a7b508dcab67802acb"/>
          <m:axisValue occRef="母公司"/>
        </m:item>
        <m:item xlName="_GBC_ce70cc6f414d4ff6935f0d37fc8a6e4b" concept="clcid-pte:ZhuanXiangChuBeiDaoZhiYingYuGongJiBianDongJinE" label="专项储备导致盈余公积变动金额" periodRef="上年同期数" mulRef="_GBC_048773409e614c6bb753000b028316a5" unitRef="_GBC_5214b7a188334da286fc3038d017d072" addr="T3R26C9S1_1" formatStyle="Comma">
          <m:complexRule comparator="Eq" title="母公司专项储备导致盈余公积变动金额@上年同期数" test=" $_GBC_e1644560e6a542cabf3c247a5545c84f -  $_GBC_dfc115b8bdc7496e8929676dfe2a9689" id="C00967702215b42d1bb701f53043004e4"/>
          <m:axisValue occRef="母公司"/>
        </m:item>
        <m:item xlName="_GBC_49396ff2dd9c4cdb91081c6bcfb7c444" concept="clcid-pte:ZhuanXiangChuBeiDaoZhiWeiFenPeiLiRunBianDongJinE" label="专项储备导致未分配利润变动金额" periodRef="上年同期数" mulRef="_GBC_048773409e614c6bb753000b028316a5" unitRef="_GBC_5214b7a188334da286fc3038d017d072" addr="T3R26C10S1_1" formatStyle="Comma">
          <m:complexRule comparator="Eq" title="母公司专项储备导致未分配利润变动金额@上年同期数" test=" $_GBC_faacab5c969e49aa80dbac048c9bd1dd -  $_GBC_a3f6b48ada8d47da98db12c8e94a15e5" id="C34e4482451664145a0d0e732eafcb798"/>
          <m:axisValue occRef="母公司"/>
        </m:item>
        <m:item xlName="_GBC_4c59ca81fd0c4a5b8a5dac703c8fbde6" concept="clcid-pte:ZhuanXiangChuBeiDaoZhiGuDongQuanYiHeJiBianDongJinE" label="专项储备导致股东权益合计变动金额" periodRef="上年同期数" mulRef="_GBC_048773409e614c6bb753000b028316a5" unitRef="_GBC_5214b7a188334da286fc3038d017d072" addr="T3R26C11S1_1" formatStyle="Comma">
          <m:complexRule comparator="Eq" title="母公司专项储备导致股东权益合计变动金额@上年同期数" test=" $_GBC_6126d958224e4e48b165883179556a07 -  $_GBC_8646267600474d4683582d6860639a19" id="C84e7e42408cd43fbbb4dcd5a91527357"/>
          <m:axisValue occRef="母公司"/>
        </m:item>
        <m:placeholder xlName="_PLD_8be2fdb078fc42cdaebf61e81ed6d67b" wordText="1．本期提取" addr="T3R27C0S1_1"/>
        <m:item xlName="_GBC_81f1264fc0044e75a3b6b408a40360af" concept="clcid-pte:TiQuDaoZhiShiShouZiBenHuoGuBenJingEBianDongJinE" label="提取导致实收资本（或股本）净额变动金额" periodRef="上年同期数" mulRef="_GBC_048773409e614c6bb753000b028316a5" unitRef="_GBC_5214b7a188334da286fc3038d017d072" addr="T3R27C1S1_1" formatStyle="Comma">
          <m:axisValue occRef="母公司"/>
        </m:item>
        <m:item xlName="_GBC_dafc4090cc9f4c9f8558d695cbb77af1" concept="clcid-pte:TiQuDaoZhiQiTaQuanYiGongJuZhongDeYouXianGuBianDongJinE" label="提取导致其他权益工具中的优先股变动金额" periodRef="上年同期数" mulRef="_GBC_048773409e614c6bb753000b028316a5" unitRef="_GBC_5214b7a188334da286fc3038d017d072" addr="T3R27C2S1_1" formatStyle="Comma">
          <m:axisValue occRef="母公司"/>
        </m:item>
        <m:item xlName="_GBC_ac299294980f4191880e0ecc05159511" concept="clcid-pte:TiQuDaoZhiQiTaQuanYiGongJuZhongDeYongXuZhaiBianDongJinE" label="提取导致其他权益工具中的永续债变动金额" periodRef="上年同期数" mulRef="_GBC_048773409e614c6bb753000b028316a5" unitRef="_GBC_5214b7a188334da286fc3038d017d072" addr="T3R27C3S1_1" formatStyle="Comma">
          <m:axisValue occRef="母公司"/>
        </m:item>
        <m:item xlName="_GBC_a60a8f2154354686a40da8e7b91b888c" concept="clcid-pte:TiQuDaoZhiQiTaQuanYiGongJuZhongDeQiTaBianDongJinE" label="提取导致其他权益工具中的其他变动金额" periodRef="上年同期数" mulRef="_GBC_048773409e614c6bb753000b028316a5" unitRef="_GBC_5214b7a188334da286fc3038d017d072" addr="T3R27C4S1_1" formatStyle="Comma">
          <m:axisValue occRef="母公司"/>
        </m:item>
        <m:item xlName="_GBC_62699a3b4faa43b4a8eab6196229c9a1" concept="clcid-pte:TiQuDaoZhiZiBenGongJiBianDongJinE" label="提取导致资本公积变动金额" periodRef="上年同期数" mulRef="_GBC_048773409e614c6bb753000b028316a5" unitRef="_GBC_5214b7a188334da286fc3038d017d072" addr="T3R27C5S1_1" formatStyle="Comma">
          <m:axisValue occRef="母公司"/>
        </m:item>
        <m:item xlName="_GBC_d758b3e08f7b405a9bce1d312e545c30" concept="clcid-pte:TiQuDaoZhiKuCunGuBianDongJinE" label="提取导致库存股变动金额" periodRef="上年同期数" mulRef="_GBC_048773409e614c6bb753000b028316a5" unitRef="_GBC_5214b7a188334da286fc3038d017d072" addr="T3R27C6S1_1" baseScale="-1" formatStyle="Comma">
          <m:axisValue occRef="母公司"/>
        </m:item>
        <m:item xlName="_GBC_be434594a7f34efb952f4c4ac1f6f79c" concept="clcid-pte:TiQuDaoZhiQiTaZongHeShouYiBianDongJinE" label="提取导致其他综合收益变动金额" periodRef="上年同期数" mulRef="_GBC_048773409e614c6bb753000b028316a5" unitRef="_GBC_5214b7a188334da286fc3038d017d072" addr="T3R27C7S1_1" formatStyle="Comma">
          <m:axisValue occRef="母公司"/>
        </m:item>
        <m:item xlName="_GBC_6df4ff1711914caab3765c8d65fc67b0" concept="clcid-pte:TiQuDaoZhiZhuanXiangChuBeiBianDongJinE" label="提取导致专项储备变动金额" periodRef="上年同期数" mulRef="_GBC_048773409e614c6bb753000b028316a5" unitRef="_GBC_5214b7a188334da286fc3038d017d072" addr="T3R27C8S1_1" formatStyle="Comma">
          <m:axisValue occRef="母公司"/>
        </m:item>
        <m:item xlName="_GBC_e1644560e6a542cabf3c247a5545c84f" concept="clcid-pte:TiQuDaoZhiYingYuGongJiBianDongJinE" label="提取导致盈余公积变动金额" periodRef="上年同期数" mulRef="_GBC_048773409e614c6bb753000b028316a5" unitRef="_GBC_5214b7a188334da286fc3038d017d072" addr="T3R27C9S1_1" formatStyle="Comma">
          <m:axisValue occRef="母公司"/>
        </m:item>
        <m:item xlName="_GBC_faacab5c969e49aa80dbac048c9bd1dd" concept="clcid-pte:TiQuDaoZhiWeiFenPeiLiRunBianDongJinE" label="提取导致未分配利润变动金额" periodRef="上年同期数" mulRef="_GBC_048773409e614c6bb753000b028316a5" unitRef="_GBC_5214b7a188334da286fc3038d017d072" addr="T3R27C10S1_1" formatStyle="Comma">
          <m:axisValue occRef="母公司"/>
        </m:item>
        <m:item xlName="_GBC_6126d958224e4e48b165883179556a07" concept="clcid-pte:TiQuDaoZhiGuDongQuanYiHeJiBianDongJinE" label="提取导致股东权益合计变动金额" periodRef="上年同期数" mulRef="_GBC_048773409e614c6bb753000b028316a5" unitRef="_GBC_5214b7a188334da286fc3038d017d072" addr="T3R27C11S1_1" formatStyle="Comma">
          <m:axisValue occRef="母公司"/>
        </m:item>
        <m:placeholder xlName="_PLD_12344832238e442d9f64388fa2af60f1" wordText="2．本期使用" addr="T3R28C0S1_1"/>
        <m:item xlName="_GBC_f8c7548eb89d45b7ab33b07f6ecc654f" concept="clcid-pte:ShiYongDaoZhiShiShouZiBenHuoGuBenJingEBianDongJinE" label="使用导致实收资本（或股本）净额变动金额" periodRef="上年同期数" mulRef="_GBC_048773409e614c6bb753000b028316a5" unitRef="_GBC_5214b7a188334da286fc3038d017d072" addr="T3R28C1S1_1" formatStyle="Comma">
          <m:axisValue occRef="母公司"/>
        </m:item>
        <m:item xlName="_GBC_27e744a9e41f4852a58c90a5ea7b3467" concept="clcid-pte:ShiYongDaoZhiQiTaQuanYiGongJuZhongDeYouXianGuBianDongJinE" label="使用导致其他权益工具中的优先股变动金额" periodRef="上年同期数" mulRef="_GBC_048773409e614c6bb753000b028316a5" unitRef="_GBC_5214b7a188334da286fc3038d017d072" addr="T3R28C2S1_1" formatStyle="Comma">
          <m:axisValue occRef="母公司"/>
        </m:item>
        <m:item xlName="_GBC_0b09af4bd9e042beb2b78aa9068b7096" concept="clcid-pte:ShiYongDaoZhiQiTaQuanYiGongJuZhongDeYongXuZhaiBianDongJinE" label="使用导致其他权益工具中的永续债变动金额" periodRef="上年同期数" mulRef="_GBC_048773409e614c6bb753000b028316a5" unitRef="_GBC_5214b7a188334da286fc3038d017d072" addr="T3R28C3S1_1" formatStyle="Comma">
          <m:axisValue occRef="母公司"/>
        </m:item>
        <m:item xlName="_GBC_0d3b5e202117414381cf43e3f1f1bf87" concept="clcid-pte:ShiYongDaoZhiQiTaQuanYiGongJuZhongDeQiTaBianDongJinE" label="使用导致其他权益工具中的其他变动金额" periodRef="上年同期数" mulRef="_GBC_048773409e614c6bb753000b028316a5" unitRef="_GBC_5214b7a188334da286fc3038d017d072" addr="T3R28C4S1_1" formatStyle="Comma">
          <m:axisValue occRef="母公司"/>
        </m:item>
        <m:item xlName="_GBC_ed52ff12317143ceb93cdb2609848e01" concept="clcid-pte:ShiYongDaoZhiZiBenGongJiBianDongJinE" label="使用导致资本公积变动金额" periodRef="上年同期数" mulRef="_GBC_048773409e614c6bb753000b028316a5" unitRef="_GBC_5214b7a188334da286fc3038d017d072" addr="T3R28C5S1_1" formatStyle="Comma">
          <m:axisValue occRef="母公司"/>
        </m:item>
        <m:item xlName="_GBC_92b060f42a9740b3bbeb10d19d9177f5" concept="clcid-pte:ShiYongDaoZhiKuCunGuBianDongJinE" label="使用导致库存股变动金额" periodRef="上年同期数" mulRef="_GBC_048773409e614c6bb753000b028316a5" unitRef="_GBC_5214b7a188334da286fc3038d017d072" addr="T3R28C6S1_1" baseScale="-1" formatStyle="Comma">
          <m:axisValue occRef="母公司"/>
        </m:item>
        <m:item xlName="_GBC_506e65458ee64e43a798bd4f26c59f5a" concept="clcid-pte:ShiYongDaoZhiQiTaZongHeShouYiBianDongJinE" label="使用导致其他综合收益变动金额" periodRef="上年同期数" mulRef="_GBC_048773409e614c6bb753000b028316a5" unitRef="_GBC_5214b7a188334da286fc3038d017d072" addr="T3R28C7S1_1" formatStyle="Comma">
          <m:axisValue occRef="母公司"/>
        </m:item>
        <m:item xlName="_GBC_e7c1cd92516540039dd7465c92001061" concept="clcid-pte:ShiYongDaoZhiZhuanXiangChuBeiBianDongJinE" label="使用导致专项储备变动金额" periodRef="上年同期数" mulRef="_GBC_048773409e614c6bb753000b028316a5" unitRef="_GBC_5214b7a188334da286fc3038d017d072" addr="T3R28C8S1_1" formatStyle="Comma">
          <m:axisValue occRef="母公司"/>
        </m:item>
        <m:item xlName="_GBC_dfc115b8bdc7496e8929676dfe2a9689" concept="clcid-pte:ShiYongDaoZhiYingYuGongJiBianDongJinE" label="使用导致盈余公积变动金额" periodRef="上年同期数" mulRef="_GBC_048773409e614c6bb753000b028316a5" unitRef="_GBC_5214b7a188334da286fc3038d017d072" addr="T3R28C9S1_1" formatStyle="Comma">
          <m:axisValue occRef="母公司"/>
        </m:item>
        <m:item xlName="_GBC_a3f6b48ada8d47da98db12c8e94a15e5" concept="clcid-pte:ShiYongDaoZhiWeiFenPeiLiRunBianDongJinE" label="使用导致未分配利润变动金额" periodRef="上年同期数" mulRef="_GBC_048773409e614c6bb753000b028316a5" unitRef="_GBC_5214b7a188334da286fc3038d017d072" addr="T3R28C10S1_1" formatStyle="Comma">
          <m:axisValue occRef="母公司"/>
        </m:item>
        <m:item xlName="_GBC_8646267600474d4683582d6860639a19" concept="clcid-pte:ShiYongDaoZhiGuDongQuanYiHeJiBianDongJinE" label="使用导致股东权益合计变动金额" periodRef="上年同期数" mulRef="_GBC_048773409e614c6bb753000b028316a5" unitRef="_GBC_5214b7a188334da286fc3038d017d072" addr="T3R28C11S1_1" formatStyle="Comma">
          <m:axisValue occRef="母公司"/>
        </m:item>
        <m:placeholder xlName="_PLD_adc6cb0ad3a14129b7edac5f396c8fd5" wordText="（六）其他" addr="T3R29C0S1_1"/>
        <m:item xlName="_GBC_3c285f62d1fd458d96196ec4a0dd2268" concept="clcid-pte:QiTaDaoZhiShiShouZiBenHuoGuBenJingEBianDongJinE" label="其他导致实收资本（或股本）净额变动金额" periodRef="上年同期数" mulRef="_GBC_048773409e614c6bb753000b028316a5" unitRef="_GBC_5214b7a188334da286fc3038d017d072" addr="T3R29C1S1_1" formatStyle="Comma">
          <m:axisValue occRef="母公司"/>
        </m:item>
        <m:item xlName="_GBC_772dec252ad7498ba73abd9cba9e2cda" concept="clcid-pte:QiTaDaoZhiQiTaQuanYiGongJuZhongDeYouXianGuBianDongJinE" label="其他导致其他权益工具中的优先股变动金额" periodRef="上年同期数" mulRef="_GBC_048773409e614c6bb753000b028316a5" unitRef="_GBC_5214b7a188334da286fc3038d017d072" addr="T3R29C2S1_1" formatStyle="Comma">
          <m:axisValue occRef="母公司"/>
        </m:item>
        <m:item xlName="_GBC_c82eafb679454f0cbdb2076cddbc2f9c" concept="clcid-pte:QiTaDaoZhiQiTaQuanYiGongJuZhongDeYongXuZhaiBianDongJinE" label="其他导致其他权益工具中的永续债变动金额" periodRef="上年同期数" mulRef="_GBC_048773409e614c6bb753000b028316a5" unitRef="_GBC_5214b7a188334da286fc3038d017d072" addr="T3R29C3S1_1" formatStyle="Comma">
          <m:axisValue occRef="母公司"/>
        </m:item>
        <m:item xlName="_GBC_d61c39eee25e4f3fa9612a3274abdf60" concept="clcid-pte:QiTaDaoZhiQiTaQuanYiGongJuZhongDeQiTaBianDongJinE" label="其他导致其他权益工具中的其他变动金额" periodRef="上年同期数" mulRef="_GBC_048773409e614c6bb753000b028316a5" unitRef="_GBC_5214b7a188334da286fc3038d017d072" addr="T3R29C4S1_1" formatStyle="Comma">
          <m:axisValue occRef="母公司"/>
        </m:item>
        <m:item xlName="_GBC_481f5de20bd049c28a207fba11a8e658" concept="clcid-pte:QiTaDaoZhiZiBenGongJiBianDongJinE" label="其他导致资本公积变动金额" periodRef="上年同期数" mulRef="_GBC_048773409e614c6bb753000b028316a5" unitRef="_GBC_5214b7a188334da286fc3038d017d072" addr="T3R29C5S1_1" formatStyle="Comma">
          <m:axisValue occRef="母公司"/>
        </m:item>
        <m:item xlName="_GBC_b5e2532c5fe543ac8d95ce36ccf22143" concept="clcid-pte:QiTaDaoZhiKuCunGuBianDongJinE" label="其他导致库存股变动金额" periodRef="上年同期数" mulRef="_GBC_048773409e614c6bb753000b028316a5" unitRef="_GBC_5214b7a188334da286fc3038d017d072" addr="T3R29C6S1_1" baseScale="-1" formatStyle="Comma">
          <m:axisValue occRef="母公司"/>
        </m:item>
        <m:item xlName="_GBC_66ed8695d4ae47e1b13e54cbac7750cd" concept="clcid-pte:QiTaDaoZhiQiTaZongHeShouYiBianDongJinE" label="其他导致其他综合收益变动金额" periodRef="上年同期数" mulRef="_GBC_048773409e614c6bb753000b028316a5" unitRef="_GBC_5214b7a188334da286fc3038d017d072" addr="T3R29C7S1_1" formatStyle="Comma">
          <m:axisValue occRef="母公司"/>
        </m:item>
        <m:item xlName="_GBC_abee7fadd6d243ffaea451a622ca8e50" concept="clcid-pte:QiTaDaoZhiZhuanXiangChuBeiBianDongJinE" label="其他导致专项储备变动金额" periodRef="上年同期数" mulRef="_GBC_048773409e614c6bb753000b028316a5" unitRef="_GBC_5214b7a188334da286fc3038d017d072" addr="T3R29C8S1_1" formatStyle="Comma">
          <m:axisValue occRef="母公司"/>
        </m:item>
        <m:item xlName="_GBC_e7fe91bead664d42a0e34d8d38894644" concept="clcid-pte:QiTaDaoZhiYingYuGongJiBianDongJinE" label="其他导致盈余公积变动金额" periodRef="上年同期数" mulRef="_GBC_048773409e614c6bb753000b028316a5" unitRef="_GBC_5214b7a188334da286fc3038d017d072" addr="T3R29C9S1_1" formatStyle="Comma">
          <m:axisValue occRef="母公司"/>
        </m:item>
        <m:item xlName="_GBC_aafaad1fc12040c7a3ce232d35d0dbcf" concept="clcid-pte:QiTaDaoZhiWeiFenPeiLiRunBianDongJinE" label="其他导致未分配利润变动金额" periodRef="上年同期数" mulRef="_GBC_048773409e614c6bb753000b028316a5" unitRef="_GBC_5214b7a188334da286fc3038d017d072" addr="T3R29C10S1_1" formatStyle="Comma">
          <m:axisValue occRef="母公司"/>
        </m:item>
        <m:item xlName="_GBC_6fe2dc27a4bc44a29a0b64474033d343" concept="clcid-pte:QiTaDaoZhiGuDongQuanYiHeJiBianDongJinE" label="其他导致股东权益合计变动金额" periodRef="上年同期数" mulRef="_GBC_048773409e614c6bb753000b028316a5" unitRef="_GBC_5214b7a188334da286fc3038d017d072" addr="T3R29C11S1_1" formatStyle="Comma">
          <m:axisValue occRef="母公司"/>
        </m:item>
        <m:placeholder xlName="_PLD_0009c8b4e5ca4d7083f8b2619f6a4584" wordText="四、本期期末余额" addr="T3R30C0S1_1"/>
        <m:item xlName="_GBC_1bc2d4d04c454e65b06e6a038ad01c54" concept="clcid-pte:GuBen" label="股本" periodRef="上年同期期末数" mulRef="_GBC_048773409e614c6bb753000b028316a5" unitRef="_GBC_5214b7a188334da286fc3038d017d072" addr="T3R30C1S1_1" formatStyle="Comma">
          <m:complexRule comparator="Eq" title="母公司股本@上年同期期末数" test=" $_GBC_81506e84492f4f00af4a9f4816ac595d +  $_GBC_36cec33ba91447efb182a6f911901adb" id="C0cb3089385f1422e8fe68cd3508350f0"/>
          <m:axisValue occRef="母公司"/>
        </m:item>
        <m:item xlName="_GBC_6573d70498224d0a830cc55d3d0b8e92" concept="clcid-pte:QiTaQuanYiGongJuQiZhongYouXianGu" label="其他权益工具-其中：优先股" periodRef="上年同期期末数" mulRef="_GBC_048773409e614c6bb753000b028316a5" unitRef="_GBC_5214b7a188334da286fc3038d017d072" addr="T3R30C2S1_1" formatStyle="Comma">
          <m:complexRule comparator="Eq" title="母公司其他权益工具-其中：优先股@上年同期期末数" test=" $_GBC_8cd15523ec994dd1888d18acda49f79a +  $_GBC_58b09a3e602042bdac8dc874ff691577" id="C3d7a149ea15b4d01b8045e916ad99d74"/>
          <m:axisValue occRef="母公司"/>
        </m:item>
        <m:item xlName="_GBC_ec3051b0de8c481db2db3cb95bd06201" concept="clcid-pte:QiTaQuanYiGongJuYongXuZhai" label="其他权益工具-永续债" periodRef="上年同期期末数" mulRef="_GBC_048773409e614c6bb753000b028316a5" unitRef="_GBC_5214b7a188334da286fc3038d017d072" addr="T3R30C3S1_1" formatStyle="Comma">
          <m:complexRule comparator="Eq" title="母公司其他权益工具-永续债@上年同期期末数" test=" $_GBC_e0ee0f96384f4731ac9b26ea29553277 +  $_GBC_3bb7a843ff114e069d024217dc575989" id="C810e370258a1411cac496181ae7df19b"/>
          <m:axisValue occRef="母公司"/>
        </m:item>
        <m:item xlName="_GBC_592c7acdcdc448bab6a42a9d9b84672f" concept="clcid-pte:QiTaQuanYiGongJuQiTa" label="其他权益工具-其他" periodRef="上年同期期末数" mulRef="_GBC_048773409e614c6bb753000b028316a5" unitRef="_GBC_5214b7a188334da286fc3038d017d072" addr="T3R30C4S1_1" formatStyle="Comma">
          <m:complexRule comparator="Eq" title="母公司其他权益工具-其他@上年同期期末数" test=" $_GBC_edc14c2fd7df48949f7f8547e0057d52 +  $_GBC_20204f10729243a5870e4153ec76b379" id="C3881dc8bcf87406e8efa998b28a2e318"/>
          <m:axisValue occRef="母公司"/>
        </m:item>
        <m:item xlName="_GBC_1a2aa8a3a5bc40ddb865c114902ab04f" concept="clcid-pte:ZiBenGongJi" label="资本公积" periodRef="上年同期期末数" mulRef="_GBC_048773409e614c6bb753000b028316a5" unitRef="_GBC_5214b7a188334da286fc3038d017d072" addr="T3R30C5S1_1" formatStyle="Comma">
          <m:complexRule comparator="Eq" title="母公司资本公积@上年同期期末数" test=" $_GBC_dc911e1c0c0140beaadeea0c7f9cb99b +  $_GBC_bd0dc3c162cc425798a8258cbaadbe24" id="C1bd648f0595e4adc89d675bd1037abb3"/>
          <m:axisValue occRef="母公司"/>
        </m:item>
        <m:item xlName="_GBC_179ae4a9431d4edfa4d1ffbd3603ca68" concept="clcid-pte:KuCunGu" label="库存股" periodRef="上年同期期末数" mulRef="_GBC_048773409e614c6bb753000b028316a5" unitRef="_GBC_5214b7a188334da286fc3038d017d072" addr="T3R30C6S1_1" baseScale="-1" formatStyle="Comma" keyCode="abs" keyAction="108">
          <m:complexRule comparator="Eq" title="母公司库存股@上年同期期末数" test=" $_GBC_d87b9676c83649d39a619c314692dcaf +  $_GBC_c6d4bb32519a478594bcfef3ceda4b3d" id="C9c70932e916b4487afeec50a16b74795"/>
          <m:axisValue occRef="母公司"/>
        </m:item>
        <m:item xlName="_GBC_3a052738b3f642c3ae8273f11c3134dc" concept="clcid-pte:QiTaZongHeShouYiZiChanFuZhaiBiaoXiangMu" label="其他综合收益（资产负债表项目）" periodRef="上年同期期末数" mulRef="_GBC_048773409e614c6bb753000b028316a5" unitRef="_GBC_5214b7a188334da286fc3038d017d072" addr="T3R30C7S1_1" formatStyle="Comma">
          <m:complexRule comparator="Eq" title="母公司其他综合收益（资产负债表项目）@上年同期期末数" test=" $_GBC_6d145d9657f44521aa3d46c7b6321381 +  $_GBC_2b7963fe413c4b099dba1e05f4059834" id="C206cb43f2e02429fb102af3ae8e8f3dd"/>
          <m:axisValue occRef="母公司"/>
        </m:item>
        <m:item xlName="_GBC_5ef06ad7fd034355b46fed863141a8ad" concept="clcid-pte:ZhuanXiangChuBei" label="专项储备" periodRef="上年同期期末数" mulRef="_GBC_048773409e614c6bb753000b028316a5" unitRef="_GBC_5214b7a188334da286fc3038d017d072" addr="T3R30C8S1_1" formatStyle="Comma">
          <m:complexRule comparator="Eq" title="母公司专项储备@上年同期期末数" test=" $_GBC_b2bd2eeb6e644fc4a095222b2af9aaf4 +  $_GBC_70d76e6f2aa5405a90a77991ef7fc0b9" id="C91b623a7a6064af6a5de3cbad8cfbb9a"/>
          <m:axisValue occRef="母公司"/>
        </m:item>
        <m:item xlName="_GBC_808569e60b76440aa45b976c2e92b9f5" concept="clcid-pte:YingYuGongJi" label="盈余公积" periodRef="上年同期期末数" mulRef="_GBC_048773409e614c6bb753000b028316a5" unitRef="_GBC_5214b7a188334da286fc3038d017d072" addr="T3R30C9S1_1" formatStyle="Comma">
          <m:complexRule comparator="Eq" title="母公司盈余公积@上年同期期末数" test=" $_GBC_65eeed92e2b14ea5883fcb0487da19f1 +  $_GBC_fd9fe83281aa406d803bd31275d27802" id="Cb1d94a8fe21b4e1fbb001df6c0c12bc3"/>
          <m:axisValue occRef="母公司"/>
        </m:item>
        <m:item xlName="_GBC_5e435f0c89ce4a1d8e107018bb999f71" concept="clcid-pte:WeiFenPeiLiRun" label="未分配利润" periodRef="上年同期期末数" mulRef="_GBC_048773409e614c6bb753000b028316a5" unitRef="_GBC_5214b7a188334da286fc3038d017d072" addr="T3R30C10S1_1" formatStyle="Comma">
          <m:complexRule comparator="Eq" title="母公司未分配利润@上年同期期末数" test=" $_GBC_4048bba00d6a48acb1daaa86900788d8 +  $_GBC_dafcc9b9aeb54231a52703e43a511e04" id="C269b928ce04d4a93a7363b3e6ee2761e"/>
          <m:axisValue occRef="母公司"/>
        </m:item>
        <m:item xlName="_GBC_0e03429644864a3ca54f947ac7a03d97" concept="clcid-pte:GuDongQuanYiHeJi" label="股东权益合计" periodRef="上年同期期末数" mulRef="_GBC_048773409e614c6bb753000b028316a5" unitRef="_GBC_5214b7a188334da286fc3038d017d072" addr="T3R30C11S1_1" formatStyle="Comma">
          <m:complexRule comparator="Eq" title="母公司股东权益合计@上年同期期末数" test=" $_GBC_5982de2520b94f22aaf4cd2c9647effb +  $_GBC_5214dbf793d44c1ba8b0e418270c91c0" id="C1044b99dd1c84e528346791f55787b02"/>
          <m:axisValue occRef="母公司"/>
        </m:item>
        <m:item xlName="_GBC_6042a2c12168484781348969a4da3e4c" concept="clcid-mr:GongSiFuZeRenXingMing" label="公司负责人姓名" binding="true"/>
        <m:item xlName="_GBC_3008dab61aca43f0a6d82ef192943e79" concept="clcid-mr:ZhuGuanKuaiJiGongZuoFuZeRenXingMing" label="主管会计工作负责人姓名" binding="true"/>
        <m:item xlName="_GBC_e6c21b270080402ca8dbdc0cab514bde" concept="clcid-mr:KuaiJiJiGouFuZeRenXingMing" label="会计机构负责人姓名" binding="true"/>
        <m:placeholder xlName="_PLD_ae576c4feca942c989688ab7f5a242a2" wordText="4．其他"/>
        <m:item xlName="_GBC_1341a80489554b6f94dc369f40c2103e" pickName="" concept="" mulRef="_GBC_048773409e614c6bb753000b028316a5" unitRef="_GBC_5214b7a188334da286fc3038d017d072" formatStyle="Comma">
          <m:extendConcept standardLabel="4.同一控制下企业合并实收资本(或股本)" preferredLabel="4.同一控制下企业合并" dataType="xbrli:monetaryItemType" period="duration" referenceConcept="clcid-pte:QiTaSuoYouZheTouRuHeJianShaoZiBenDaoZhiShiShouZiBenHuoGuBenJingEBianDongJinE"/>
          <m:axisValue occRef="母公司"/>
        </m:item>
        <m:item xlName="_GBC_ac99cbb6d3ae4c93a120c2fd5f9273db" pickName="" concept="" mulRef="_GBC_048773409e614c6bb753000b028316a5" unitRef="_GBC_5214b7a188334da286fc3038d017d072" formatStyle="Comma">
          <m:extendConcept standardLabel="4.同一控制下企业合并优先股" preferredLabel="4.同一控制下企业合并" dataType="xbrli:monetaryItemType" period="duration" referenceConcept="clcid-pte:QiTaSuoYouZheTouRuHeJianShaoZiBenDaoZhiQiTaQuanYiGongJuZhongDeYouXianGuBianDongJinE"/>
          <m:axisValue occRef="母公司"/>
        </m:item>
        <m:item xlName="_GBC_0cefc12dfffb4d4aa3fe6c504ff8f850" pickName="" concept="" mulRef="_GBC_048773409e614c6bb753000b028316a5" unitRef="_GBC_5214b7a188334da286fc3038d017d072" formatStyle="Comma">
          <m:extendConcept standardLabel="4.同一控制下企业合并永续债" preferredLabel="4.同一控制下企业合并" dataType="xbrli:monetaryItemType" period="duration" referenceConcept="clcid-pte:QiTaSuoYouZheTouRuHeJianShaoZiBenDaoZhiQiTaQuanYiGongJuZhongDeYongXuZhaiBianDongJinE"/>
          <m:axisValue occRef="母公司"/>
        </m:item>
        <m:item xlName="_GBC_87360a3e01564b1bb3854ddc02f1120b" pickName="" concept="" mulRef="_GBC_048773409e614c6bb753000b028316a5" unitRef="_GBC_5214b7a188334da286fc3038d017d072" formatStyle="Comma">
          <m:extendConcept standardLabel="4.同一控制下企业合并其他" preferredLabel="4.同一控制下企业合并" dataType="xbrli:monetaryItemType" period="duration" referenceConcept="clcid-pte:QiTaSuoYouZheTouRuHeJianShaoZiBenDaoZhiQiTaQuanYiGongJuZhongDeQiTaBianDongJinE"/>
          <m:axisValue occRef="母公司"/>
        </m:item>
        <m:item xlName="_GBC_54b894face7444bfaea5aff58405b4d3" pickName="" concept="" mulRef="_GBC_048773409e614c6bb753000b028316a5" unitRef="_GBC_5214b7a188334da286fc3038d017d072" formatStyle="Comma">
          <m:extendConcept standardLabel="4.同一控制下企业合并资本公积" preferredLabel="4.同一控制下企业合并" dataType="xbrli:monetaryItemType" period="duration" referenceConcept="clcid-pte:QiTaSuoYouZheTouRuHeJianShaoZiBenDaoZhiZiBenGongJiBianDongJinE"/>
          <m:axisValue occRef="母公司"/>
        </m:item>
        <m:item xlName="_GBC_553d10bc401d426e8447a80bc66d99cc" pickName="" concept="" mulRef="_GBC_048773409e614c6bb753000b028316a5" unitRef="_GBC_5214b7a188334da286fc3038d017d072" baseScale="-1" formatStyle="Comma">
          <m:extendConcept standardLabel="4.同一控制下企业合并减:库存股" preferredLabel="4.同一控制下企业合并" dataType="xbrli:monetaryItemType" period="duration" referenceConcept="clcid-pte:QiTaSuoYouZheTouRuHeJianShaoZiBenDaoZhiKuCunGuBianDongJinE"/>
          <m:axisValue occRef="母公司"/>
        </m:item>
        <m:item xlName="_GBC_1576bcdb7016430d8d694efcbf0687eb" pickName="" concept="" mulRef="_GBC_048773409e614c6bb753000b028316a5" unitRef="_GBC_5214b7a188334da286fc3038d017d072" formatStyle="Comma">
          <m:extendConcept standardLabel="4.同一控制下企业合并其他综合收益" preferredLabel="4.同一控制下企业合并" dataType="xbrli:monetaryItemType" period="duration" referenceConcept="clcid-pte:QiTaSuoYouZheTouRuHeJianShaoZiBenDaoZhiQiTaZongHeShouYiBianDongJinE"/>
          <m:axisValue occRef="母公司"/>
        </m:item>
        <m:item xlName="_GBC_a15bf3ab648a4c43b197d6b775298226" pickName="" concept="" mulRef="_GBC_048773409e614c6bb753000b028316a5" unitRef="_GBC_5214b7a188334da286fc3038d017d072" formatStyle="Comma">
          <m:extendConcept standardLabel="4.同一控制下企业合并专项储备" preferredLabel="4.同一控制下企业合并" dataType="xbrli:monetaryItemType" period="duration" referenceConcept="clcid-pte:QiTaSuoYouZheTouRuHeJianShaoZiBenDaoZhiZhuanXiangChuBeiBianDongJinE"/>
          <m:axisValue occRef="母公司"/>
        </m:item>
        <m:item xlName="_GBC_3b5d8bdf458249c9956ebd0607db92e0" pickName="" concept="" mulRef="_GBC_048773409e614c6bb753000b028316a5" unitRef="_GBC_5214b7a188334da286fc3038d017d072" formatStyle="Comma">
          <m:extendConcept standardLabel="4.同一控制下企业合并盈余公积" preferredLabel="4.同一控制下企业合并" dataType="xbrli:monetaryItemType" period="duration" referenceConcept="clcid-pte:QiTaSuoYouZheTouRuHeJianShaoZiBenDaoZhiYingYuGongJiBianDongJinE"/>
          <m:axisValue occRef="母公司"/>
        </m:item>
        <m:item xlName="_GBC_eaeb06097bbf4fed8e3df5d9dc542d60" pickName="" concept="" mulRef="_GBC_048773409e614c6bb753000b028316a5" unitRef="_GBC_5214b7a188334da286fc3038d017d072" formatStyle="Comma">
          <m:extendConcept standardLabel="4.同一控制下企业合并未分配利润" preferredLabel="4.同一控制下企业合并" dataType="xbrli:monetaryItemType" period="duration" referenceConcept="clcid-pte:QiTaSuoYouZheTouRuHeJianShaoZiBenDaoZhiWeiFenPeiLiRunBianDongJinE"/>
          <m:axisValue occRef="母公司"/>
        </m:item>
        <m:item xlName="_GBC_c57dd7455a45416e849ac31fe1fde28d" pickName="" concept="" mulRef="_GBC_048773409e614c6bb753000b028316a5" unitRef="_GBC_5214b7a188334da286fc3038d017d072" formatStyle="Comma">
          <m:extendConcept standardLabel="4.同一控制下企业合并所有者权益合计" preferredLabel="4.同一控制下企业合并" dataType="xbrli:monetaryItemType" period="duration" referenceConcept="clcid-pte:QiTaSuoYouZheTouRuHeJianShaoZiBenDaoZhiGuDongQuanYiHeJiBianDongJinE"/>
          <m:axisValue occRef="母公司"/>
        </m:item>
        <m:placeholder xlName="_PLD_480cb9b44059419c9f160bf2699b9e6d" wordText="4．其他"/>
        <m:item xlName="_GBC_e38d19d81d5a4320903e701d0e35877a" pickName="" concept="" mulRef="_GBC_048773409e614c6bb753000b028316a5" unitRef="_GBC_5214b7a188334da286fc3038d017d072" formatStyle="Comma">
          <m:extendConcept standardLabel="4.同一控制下企业合并实收资本(或股本)" preferredLabel="4.同一控制下企业合并" referenceConcept="clcid-pte:QiTaSuoYouZheTouRuHeJianShaoZiBenDaoZhiShiShouZiBenHuoGuBenJingEBianDongJinE"/>
          <m:axisValue occRef="母公司"/>
        </m:item>
        <m:item xlName="_GBC_4415a053852342019eade836edc80b2b" pickName="" concept="" mulRef="_GBC_048773409e614c6bb753000b028316a5" unitRef="_GBC_5214b7a188334da286fc3038d017d072" formatStyle="Comma">
          <m:extendConcept standardLabel="4.同一控制下企业合并优先股" preferredLabel="4.同一控制下企业合并" referenceConcept="clcid-pte:QiTaSuoYouZheTouRuHeJianShaoZiBenDaoZhiQiTaQuanYiGongJuZhongDeYouXianGuBianDongJinE"/>
          <m:axisValue occRef="母公司"/>
        </m:item>
        <m:item xlName="_GBC_2ad95421b3894cef96b555ef6d46a7b1" pickName="" concept="" mulRef="_GBC_048773409e614c6bb753000b028316a5" unitRef="_GBC_5214b7a188334da286fc3038d017d072" formatStyle="Comma">
          <m:extendConcept standardLabel="4.同一控制下企业合并永续债" preferredLabel="4.同一控制下企业合并" referenceConcept="clcid-pte:QiTaSuoYouZheTouRuHeJianShaoZiBenDaoZhiQiTaQuanYiGongJuZhongDeYongXuZhaiBianDongJinE"/>
          <m:axisValue occRef="母公司"/>
        </m:item>
        <m:item xlName="_GBC_233c820aa03d4e6e857b58de694d7f68" pickName="" concept="" mulRef="_GBC_048773409e614c6bb753000b028316a5" unitRef="_GBC_5214b7a188334da286fc3038d017d072" formatStyle="Comma">
          <m:extendConcept standardLabel="4.同一控制下企业合并其他" preferredLabel="4.同一控制下企业合并" referenceConcept="clcid-pte:QiTaSuoYouZheTouRuHeJianShaoZiBenDaoZhiQiTaQuanYiGongJuZhongDeQiTaBianDongJinE"/>
          <m:axisValue occRef="母公司"/>
        </m:item>
        <m:item xlName="_GBC_1ae26195e0954284938e4b3ad293943f" pickName="" concept="" mulRef="_GBC_048773409e614c6bb753000b028316a5" unitRef="_GBC_5214b7a188334da286fc3038d017d072" formatStyle="Comma">
          <m:extendConcept standardLabel="4.同一控制下企业合并资本公积" preferredLabel="4.同一控制下企业合并" referenceConcept="clcid-pte:QiTaSuoYouZheTouRuHeJianShaoZiBenDaoZhiZiBenGongJiBianDongJinE"/>
          <m:axisValue occRef="母公司"/>
        </m:item>
        <m:item xlName="_GBC_21da6ef853ae4502bffbc748aba659f2" pickName="" concept="" mulRef="_GBC_048773409e614c6bb753000b028316a5" unitRef="_GBC_5214b7a188334da286fc3038d017d072" baseScale="-1" formatStyle="Comma">
          <m:extendConcept standardLabel="4.同一控制下企业合并减:库存股" preferredLabel="4.同一控制下企业合并" referenceConcept="clcid-pte:QiTaSuoYouZheTouRuHeJianShaoZiBenDaoZhiKuCunGuBianDongJinE"/>
          <m:axisValue occRef="母公司"/>
        </m:item>
        <m:item xlName="_GBC_e2dccfa71fc549ea8bc36b6c934b4f3c" pickName="" concept="" mulRef="_GBC_048773409e614c6bb753000b028316a5" unitRef="_GBC_5214b7a188334da286fc3038d017d072" formatStyle="Comma">
          <m:extendConcept standardLabel="4.同一控制下企业合并其他综合收益" preferredLabel="4.同一控制下企业合并" referenceConcept="clcid-pte:QiTaSuoYouZheTouRuHeJianShaoZiBenDaoZhiQiTaZongHeShouYiBianDongJinE"/>
          <m:axisValue occRef="母公司"/>
        </m:item>
        <m:item xlName="_GBC_2c8cdb6a7969429e8342b3602fd5ddab" pickName="" concept="" mulRef="_GBC_048773409e614c6bb753000b028316a5" unitRef="_GBC_5214b7a188334da286fc3038d017d072" formatStyle="Comma">
          <m:extendConcept standardLabel="4.同一控制下企业合并专项储备" preferredLabel="4.同一控制下企业合并" referenceConcept="clcid-pte:QiTaSuoYouZheTouRuHeJianShaoZiBenDaoZhiZhuanXiangChuBeiBianDongJinE"/>
          <m:axisValue occRef="母公司"/>
        </m:item>
        <m:item xlName="_GBC_d53ec02479604929a2b8fc00084471cf" pickName="" concept="" mulRef="_GBC_048773409e614c6bb753000b028316a5" unitRef="_GBC_5214b7a188334da286fc3038d017d072" formatStyle="Comma">
          <m:extendConcept standardLabel="4.同一控制下企业合并盈余公积" preferredLabel="4.同一控制下企业合并" referenceConcept="clcid-pte:QiTaSuoYouZheTouRuHeJianShaoZiBenDaoZhiYingYuGongJiBianDongJinE"/>
          <m:axisValue occRef="母公司"/>
        </m:item>
        <m:item xlName="_GBC_048268b5f0fa454ea5010a7edc7d8ea7" pickName="" concept="" mulRef="_GBC_048773409e614c6bb753000b028316a5" unitRef="_GBC_5214b7a188334da286fc3038d017d072" formatStyle="Comma">
          <m:extendConcept standardLabel="4.同一控制下企业合并未分配利润" preferredLabel="4.同一控制下企业合并" referenceConcept="clcid-pte:QiTaSuoYouZheTouRuHeJianShaoZiBenDaoZhiWeiFenPeiLiRunBianDongJinE"/>
          <m:axisValue occRef="母公司"/>
        </m:item>
        <m:item xlName="_GBC_b793be85065244649a1dcc4a0b639875" pickName="" concept="" mulRef="_GBC_048773409e614c6bb753000b028316a5" unitRef="_GBC_5214b7a188334da286fc3038d017d072" formatStyle="Comma">
          <m:extendConcept standardLabel="4.同一控制下企业合并所有者权益合计" preferredLabel="4.同一控制下企业合并" referenceConcept="clcid-pte:QiTaSuoYouZheTouRuHeJianShaoZiBenDaoZhiGuDongQuanYiHeJiBianDongJinE"/>
          <m:axisValue occRef="母公司"/>
        </m:item>
        <m:placeholder xlName="_PLD_27a0ecc29a1548efabfc46efae76dd85" wordText="4．其他"/>
        <m:item xlName="_GBC_f3efcb2e0d484ce482d5de643cd893a8" pickName="" concept="" periodRef="上年同期数" mulRef="_GBC_048773409e614c6bb753000b028316a5" unitRef="_GBC_5214b7a188334da286fc3038d017d072" formatStyle="Comma">
          <m:extendConcept standardLabel="4.同一控制下企业合并实收资本(或股本)" preferredLabel="4.同一控制下企业合并" referenceConcept="clcid-pte:QiTaSuoYouZheTouRuHeJianShaoZiBenDaoZhiShiShouZiBenHuoGuBenJingEBianDongJinE"/>
          <m:axisValue occRef="母公司"/>
        </m:item>
        <m:item xlName="_GBC_25bd80dea531420da913cd4146b8c645" pickName="" concept="" periodRef="上年同期数" mulRef="_GBC_048773409e614c6bb753000b028316a5" unitRef="_GBC_5214b7a188334da286fc3038d017d072" formatStyle="Comma">
          <m:extendConcept standardLabel="4.同一控制下企业合并优先股" preferredLabel="4.同一控制下企业合并" referenceConcept="clcid-pte:QiTaSuoYouZheTouRuHeJianShaoZiBenDaoZhiQiTaQuanYiGongJuZhongDeYouXianGuBianDongJinE"/>
          <m:axisValue occRef="母公司"/>
        </m:item>
        <m:item xlName="_GBC_b336b4e1d6bd41fa966bdfe4654f212f" pickName="" concept="" periodRef="上年同期数" mulRef="_GBC_048773409e614c6bb753000b028316a5" unitRef="_GBC_5214b7a188334da286fc3038d017d072" formatStyle="Comma">
          <m:extendConcept standardLabel="4.同一控制下企业合并永续债" preferredLabel="4.同一控制下企业合并" referenceConcept="clcid-pte:QiTaSuoYouZheTouRuHeJianShaoZiBenDaoZhiQiTaQuanYiGongJuZhongDeYongXuZhaiBianDongJinE"/>
          <m:axisValue occRef="母公司"/>
        </m:item>
        <m:item xlName="_GBC_40bf5d171ebb4550b213dbb3be3e219f" pickName="" concept="" periodRef="上年同期数" mulRef="_GBC_048773409e614c6bb753000b028316a5" unitRef="_GBC_5214b7a188334da286fc3038d017d072" formatStyle="Comma">
          <m:extendConcept standardLabel="4.同一控制下企业合并其他" preferredLabel="4.同一控制下企业合并" referenceConcept="clcid-pte:QiTaSuoYouZheTouRuHeJianShaoZiBenDaoZhiQiTaQuanYiGongJuZhongDeQiTaBianDongJinE"/>
          <m:axisValue occRef="母公司"/>
        </m:item>
        <m:item xlName="_GBC_1774e231caed4f0db61fe0027ffc333f" pickName="" concept="" periodRef="上年同期数" mulRef="_GBC_048773409e614c6bb753000b028316a5" unitRef="_GBC_5214b7a188334da286fc3038d017d072" formatStyle="Comma">
          <m:extendConcept standardLabel="4.同一控制下企业合并资本公积" preferredLabel="4.同一控制下企业合并" referenceConcept="clcid-pte:QiTaSuoYouZheTouRuHeJianShaoZiBenDaoZhiZiBenGongJiBianDongJinE"/>
          <m:axisValue occRef="母公司"/>
        </m:item>
        <m:item xlName="_GBC_07a483d9e8ea4fcba2b3ba0761a6c774" pickName="" concept="" periodRef="上年同期数" mulRef="_GBC_048773409e614c6bb753000b028316a5" unitRef="_GBC_5214b7a188334da286fc3038d017d072" baseScale="-1" formatStyle="Comma">
          <m:extendConcept standardLabel="4.同一控制下企业合并减:库存股" preferredLabel="4.同一控制下企业合并" referenceConcept="clcid-pte:QiTaSuoYouZheTouRuHeJianShaoZiBenDaoZhiKuCunGuBianDongJinE"/>
          <m:axisValue occRef="母公司"/>
        </m:item>
        <m:item xlName="_GBC_987f093e16c541579fe27eee6f6c09df" pickName="" concept="" periodRef="上年同期数" mulRef="_GBC_048773409e614c6bb753000b028316a5" unitRef="_GBC_5214b7a188334da286fc3038d017d072" formatStyle="Comma">
          <m:extendConcept standardLabel="4.同一控制下企业合并其他综合收益" preferredLabel="4.同一控制下企业合并" referenceConcept="clcid-pte:QiTaSuoYouZheTouRuHeJianShaoZiBenDaoZhiQiTaZongHeShouYiBianDongJinE"/>
          <m:axisValue occRef="母公司"/>
        </m:item>
        <m:item xlName="_GBC_1293d9dd16654ace9b8d4d727ec08452" pickName="" concept="" periodRef="上年同期数" mulRef="_GBC_048773409e614c6bb753000b028316a5" unitRef="_GBC_5214b7a188334da286fc3038d017d072" formatStyle="Comma">
          <m:extendConcept standardLabel="4.同一控制下企业合并专项储备" preferredLabel="4.同一控制下企业合并" referenceConcept="clcid-pte:QiTaSuoYouZheTouRuHeJianShaoZiBenDaoZhiZhuanXiangChuBeiBianDongJinE"/>
          <m:axisValue occRef="母公司"/>
        </m:item>
        <m:item xlName="_GBC_99248b7df4f0474db5a4acab3acc79e1" pickName="" concept="" periodRef="上年同期数" mulRef="_GBC_048773409e614c6bb753000b028316a5" unitRef="_GBC_5214b7a188334da286fc3038d017d072" formatStyle="Comma">
          <m:extendConcept standardLabel="4.同一控制下企业合并盈余公积" preferredLabel="4.同一控制下企业合并" referenceConcept="clcid-pte:QiTaSuoYouZheTouRuHeJianShaoZiBenDaoZhiYingYuGongJiBianDongJinE"/>
          <m:axisValue occRef="母公司"/>
        </m:item>
        <m:item xlName="_GBC_cbcd8015253344b7ac7957167de55e8e" pickName="" concept="" periodRef="上年同期数" mulRef="_GBC_048773409e614c6bb753000b028316a5" unitRef="_GBC_5214b7a188334da286fc3038d017d072" formatStyle="Comma">
          <m:extendConcept standardLabel="4.同一控制下企业合并未分配利润" preferredLabel="4.同一控制下企业合并" referenceConcept="clcid-pte:QiTaSuoYouZheTouRuHeJianShaoZiBenDaoZhiWeiFenPeiLiRunBianDongJinE"/>
          <m:axisValue occRef="母公司"/>
        </m:item>
        <m:item xlName="_GBC_6dbdcb33ec744a778053f7b93ce346a8" pickName="" concept="" periodRef="上年同期数" mulRef="_GBC_048773409e614c6bb753000b028316a5" unitRef="_GBC_5214b7a188334da286fc3038d017d072" formatStyle="Comma">
          <m:extendConcept standardLabel="4.同一控制下企业合并所有者权益合计" preferredLabel="4.同一控制下企业合并" referenceConcept="clcid-pte:QiTaSuoYouZheTouRuHeJianShaoZiBenDaoZhiGuDongQuanYiHeJiBianDongJinE"/>
          <m:axisValue occRef="母公司"/>
        </m:item>
      </m:region>
    </m:section>
    <m:section xlName="_GBC_f6396333f93949a599b3a170d5a7962b" title="无需编制合并报表" checkKey="!合并" helpId="112001001" primarySection="_GBC_3b1dcbfa33024cc0a5c2f3d693817342" optionText="无需编制合并报表" activeContentOption="_GBC_f6396333f93949a599b3a170d5a7962b" optionGroupTitle="是否需要合并报表" optionTargetConcept="clcid-ci-ar:ShiFouXuYaoHeBingBaoBiao" optionTargetConceptValue="false" matrix="true" matrixTablePrefix="所有者权益变动表" keyAction="57" otherKeyActions="{&quot;KeyCode&quot;:&quot;2&quot;,&quot;KeyAction&quot;:42,&quot;KeyActionTitle&quot;:null,&quot;OtherActions&quot;:null}" noCustom="1">
      <m:rowModel/>
    </m:section>
    <m:section xlName="_GBC_c49d72d4b04e4ead97addb731e9b6458" title="公司基本情况" convertSummaryRule="NoConvert" summaryGuid="_GBC_ead62fec9ac245fe95069bd393ba35da" helpId="112001003" helpText="注：说明公司注册地、总部地址、业务性质、主要经营活动以及财务报告批准报出日。 \n注：简要说明本期的合并财务报表范围及其变化情况，并与“本附注八合并范围的变更” 、“本附注九、在其他主体中的权益”索引。\n注：根据《公开发行证券的公司信息披露内容与格式准则第2号——年度报告的内容与格式（2014年修订）》第六十七条，公司应当分析财务报表合并范围变化的原因和影响。"/>
    <m:section xlName="_GBC_6d12949d3695402592266a78137dcfb5" title="财务报表的编制基础" helpId="112001007"/>
    <m:section xlName="_GBC_69ae6baeacb44e8fa17b0b984abbf6ab" title="持续经营" helpId="112001008" helpText="注：公司应评价自报告期末起12个月的持续经营能力。评价结果表明对持续能力产生重大怀疑的，公司应披露导致对持续经营能力产生重大怀疑的因素以及公司拟采取的改善措施。"/>
    <m:section xlName="_GBC_03d97fea34d045cb980749ccc6860a5a" title="具体会计政策和会计估计提示" rules="R2015_R11_001" helpId="112001010" helpText="注：公司根据实际生产经营特点制定的具体会计政策和会计估计，应在本节开始部分对相关事项进行提示。"/>
    <m:section xlName="_GBC_a0afbb5b3a444bce84ee78a2a282cb28" title="遵循企业会计准则的声明" helpId="112001010"/>
    <m:section xlName="_GBC_2d7f332501c8461ea731797db5588ee5" title="会计期间" helpId="112001010"/>
    <m:section xlName="_GBC_b045784ca7904d52a060134ffec0d88c" title="营业周期" ignorePeriod="1" helpId="112001012" helpText="注：公司对营业周期不同于12个月，并以营业周期作为资产和负债的流动性划分标准的，应说明营业周期及确定依据。"/>
    <m:section xlName="_GBC_13b1061968754e20bebf2099281ed54f" title="记账本位币" helpId="112001010"/>
    <m:section xlName="_GBC_f44e1e76b2a3457ea36bc088adcbb4c3" title="同一控制下和非同一控制下企业合并的会计处理方法" ignorePeriod="1" convertSummaryRule="NoConvert" helpId="112001010"/>
    <m:section xlName="_GBC_c23be25e527044f689b710dabd312b04" title="合并财务报表的编制方法" ignorePeriod="1" helpId="112001010"/>
    <m:section xlName="_GBC_a6643877dd0341e39dee12c064dc6fdc" title="合营安排分类及共同经营会计处理方法" ignorePeriod="1" helpId="112001010"/>
    <m:section xlName="_GBC_9f2dfe6521c4434b9ad3e7bb1a8a52b7" title="现金及现金等价物的确定标准" helpId="112001010"/>
    <m:section xlName="_GBC_cff1e1487c3242a8a1be0ce9c2b7a554" title="外币业务和外币报表折算" ignorePeriod="1" convertSummaryRule="NoConvert" helpId="112001013" helpText="注：说明发生外币交易时折算汇率的确定方法、在资产负债表日外币货币性项目采用的折算方法、汇兑损益的处理方法以及外币报表折算的会计处理方法。"/>
    <m:section xlName="_GBC_4b3a058b038b41689d379e6a2726a904" title="金融工具" ignorePeriod="1" helpId="112001014" helpText="注：说明金融工具的分类、确认依据和计量方法，金融资产转移的确认依据和计量方法，金融负债终止确认条件，金融资产和金融负债的公允价值确定方法，金融资产（此处不含应收款项）减值的测试方法及会计处理方法。"/>
    <m:section xlName="_SEC_fe6dfe1a730f4d3183b25ca057cb8f6a" title="应收票据应收票据的预期信用损失的确定方法及会计处理方法" ignorePeriod="1"/>
    <m:section xlName="_SEC_6a9a70c8b5914d5d85ea9b8f86eb6ec8" title="应收账款应收账款的预期信用损失的确定方法及会计处理方法" ignorePeriod="1"/>
    <m:section xlName="_SEC_6779da9334294ce2a6d1ffc1b4a6e588" title="应收款项融资" ignorePeriod="1"/>
    <m:section xlName="_SEC_225822c587b74cc6b807038a0533c4e3" title="其他应收款" ignorePeriod="1"/>
    <m:section xlName="_GBC_b0f90fdf6c7749dbb9bd3cde55d5c0c3" title="存货" ignorePeriod="1" helpId="112001016" helpText="注：说明存货类别，发出存货的计价方法，确定不同类别存货可变现净值的依据，存货的盘存制度以及低值易耗品和包装物的摊销方法。"/>
    <m:section xlName="_SEC_c8278ca8e95a4a1fb97258ed9c2842ff" title="合同资产" ignorePeriod="1"/>
    <m:section xlName="_SEC_c2bb2c97fdb4423db069686155694c4c" title="合同资产预期信用损失的确定方法及会计处理方法" ignorePeriod="1"/>
    <m:section xlName="_GBC_a1a86a762feb43c3bed478ce8a19ae7c" title="划分为持有待售资产" ignorePeriod="1" helpId="112001017" helpText="注：说明划分为持有待售资产的确认标准。"/>
    <m:section xlName="_SEC_64972cc74e5349aa855fec98c6609582" title="债权投资" ignorePeriod="1"/>
    <m:section xlName="_SEC_41586dd479b54f07aeed675230b384c8" title="其他债权投资" ignorePeriod="1"/>
    <m:section xlName="_SEC_ef0b5e87e2254c638e2a6672bcd1eac8" title="长期应收款" ignorePeriod="1"/>
    <m:section xlName="_GBC_d82c12cf13554acd90dfb7880244798c" title="长期股权投资" ignorePeriod="1" helpId="112001018" helpText="注：说明共同控制、重要影响的判断标准，长期股权投资的初始投资成本确定、后续计量及损益确认方法。"/>
    <m:section xlName="_GBC_2b2036270bc84711804cd256998442a6" title="公允价值计量模式" checkKey="!成本计量&amp;!不适用" ignorePeriod="1" helpId="112001010" primarySection="_GBC_20b1c487c1e348188269523d7d980194" optionText="公允价值计量模式" activeContentOption="_GBC_2b2036270bc84711804cd256998442a6" optionGroupTitle="投资性房地产计量模式" optionTargetConcept="clcid-pte:TouZiXingFangDiChanJiLiangMoShi" optionTargetConceptValue="公允价值计量模式"/>
    <m:section xlName="_GBC_6983d9e24ed54c18a335cb0386f36c2c" title="不适用" checkKey="!公允价值计量&amp;!成本计量" helpId="112001010" primarySection="_GBC_20b1c487c1e348188269523d7d980194" optionText="不适用" optionGroupTitle="投资性房地产计量模式" optionTargetConcept="clcid-pte:TouZiXingFangDiChanJiLiangMoShi" optionTargetConceptValue="不适用"/>
    <m:section xlName="_GBC_20b1c487c1e348188269523d7d980194" title="成本计量模式" checkKey="!公允价值计量&amp;!不适用" ignorePeriod="1" helpId="112001010" primarySection="_GBC_20b1c487c1e348188269523d7d980194" optionText="成本计量模式" activeContentOption="_GBC_2b2036270bc84711804cd256998442a6" optionGroupTitle="投资性房地产计量模式" optionTargetConcept="clcid-pte:TouZiXingFangDiChanJiLiangMoShi" optionTargetConceptValue="成本计量模式" afterEmptyParagraphs="1"/>
    <m:section xlName="_GBC_662771796da549e1b2a02fb7d497f077" title="固定资产确认条件" ignorePeriod="1" helpId="112001019"/>
    <m:section xlName="_GBC_7c749a57d4094b3386978c34c3487e2a" title="固定资产折旧方法" isSupervision="true" helpId="112001019" helpText="注：公司根据自身实际情况确定类别，一般包括房屋及建筑物、机器设备、电子设备、运输设备等。折旧方法有年限平均法、工作量法、双倍余额递减法、年数总和法，其他。如选择其他，请在文本框中说明。"/>
    <m:section xlName="_GBC_a1560089c32f441f92e145c3cdc25289" title="固定资产计价和折旧方法及减值准备的计提方法" convertSummaryRule="NoConvert" helpId="112001019" helpText="未执行新租赁准则的公司填写"/>
    <m:section xlName="_GBC_3eb5f960df3e47f0a4bf3af0bc67ca96" title="在建工程会计处理方法" ignorePeriod="1" convertSummaryRule="NoConvert" helpId="112001020" helpText="注：说明在建工程结转为固定资产的标准和时点。"/>
    <m:section xlName="_GBC_e3e4d07ea08d4589a9293563ea655b42" title="借款费用会计处理方法" ignorePeriod="1" convertSummaryRule="NoConvert" helpId="112001021" helpText="注：说明借款费用资本化的确认原则、资本化期间、暂停资本化期间、借款费用资本化率以及资本化金额的计算方法。"/>
    <m:section xlName="_GBC_0b83f813710f436286429917c8c39567" title="生物资产会计处理方法" ignorePeriod="1" convertSummaryRule="NoConvert" helpId="112001022" helpText="注：说明生物资产的分类及确定标准。各类生产性生物资产的使用寿命和预计净残值及其确定依据、折旧方法。采用公允价值模式的，说明选择公允价值计量的依据。"/>
    <m:section xlName="_GBC_ed738d1d51d04aad8efd3fb3e88bf021" title="油气资产会计处理方法" ignorePeriod="1" convertSummaryRule="NoConvert" helpId="112001023" helpText="注：说明与各类油气资产相关支出的资本化标准，各类油气资产的折耗或摊销方法，采矿许可证等执照费用的会计处理方法以及油气储量估计的判断依据等。"/>
    <m:section xlName="_SEC_90a021f24056469493c41c33bb5760c5" title="使用权资产" ignorePeriod="1"/>
    <m:section xlName="_GBC_0a8b293ff9e94173b2e385f4ef2a8c89" title="无形资产会计处理方法" ignorePeriod="1" convertSummaryRule="NoConvert" helpId="112001024"/>
    <m:section xlName="_SEC_c11b0580b6b040ca9dbb882b383dfc03" title="长期资产减值"/>
    <m:section xlName="_SEC_716e5dd4aef549d9b8815a4e1474e63d" title="长期待摊费用"/>
    <m:section xlName="_SEC_2988762bdf3a48178e0180a615cb7705" title="合同负债" ignorePeriod="1"/>
    <m:section xlName="_GBC_8ec8855eb4d5447ab785e4bd4b0b73aa" title="职工薪酬" ignorePeriod="1" helpId="112001010"/>
    <m:section xlName="_SEC_d8e7208bcd04489eb6a8b588ac7c08d7" title="租赁负债" ignorePeriod="1"/>
    <m:section xlName="_GBC_b5b71a4d3cc1425c80f55e751e7e18c2" title="预计负债会计处理方法" ignorePeriod="1" convertSummaryRule="NoConvert" helpId="112001027" helpText="注：说明预计负债的确认标准和各类预计负债的计量方法。"/>
    <m:section xlName="_GBC_5300d3ce4b5f4c1690fe13bde0a610e3" title="股份支付" ignorePeriod="1" helpId="112001028" helpText="注：说明股份支付计划的会计处理方法，包括修改或终止股份支付计划的相关会计处理。"/>
    <m:section xlName="_GBC_d3c9524999e647d78f354bb216cfb1aa" title="优先股、永续债" ignorePeriod="1" helpId="112001029" helpText="注：说明优先股、永续债等其他金融工具的会计处理方法"/>
    <m:section xlName="_GBC_19704df9fd714cad895419bf4903f70e" title="收入会计处理方法" ignorePeriod="1" convertSummaryRule="NoConvert" helpId="112001030" helpText="注：说明收入确认原则和计量方法。公司应结合实际生产经营特点制定收入确认会计政策，说明具体收入确认时点及计量方法，同类业务采用不同经营模式在不同时点确认收入的，应当分别说明。按完工百分比法确认提供劳务和建造合同收入的收入的，说明确定合同完工进度的依据和方法。"/>
    <m:section xlName="_SEC_d90e7184f27046ff9caab68c045539c7" title="同类业务采用不同经营模式导致收入确认会计政策存在差异的情况" ignorePeriod="1"/>
    <m:section xlName="_SEC_1a8f2a657b9d471d80373f3b25cb1dfe" title="合同成本" ignorePeriod="1"/>
    <m:section xlName="_GBC_b03bd816e50b42ae97b660897ca33234" title="政府补助会计处理方法" ignorePeriod="1" convertSummaryRule="NoConvert" helpId="112001010"/>
    <m:section xlName="_GBC_01f1973e44f24cd99b90200f8205be13" title="递延所得税资产/递延所得税负债会计处理方法" ignorePeriod="1" convertSummaryRule="NoConvert" helpId="112001031" helpText="注：说明递延所得税资产和递延所得税负债的确认依据。"/>
    <m:section xlName="_GBC_f9ff4c1b9d1748b8854889b1fd9b076c" title="经营租赁、融资租赁会计处理方法" ignorePeriod="1" convertSummaryRule="NoConvert" helpId="112001010" helpText="未执行新租赁准则的公司填写"/>
    <m:section xlName="_SEC_8bc58354e42542c7bbad4c16498c3080" title="新租赁准则下租赁的确定方法及会计处理方法"/>
    <m:section xlName="_GBC_208440ea3a0f4676970b3672c3cdf96f" title="其他重要的会计政策和会计估计" ignorePeriod="1" helpId="112001032" helpText="注：说明其他重要的会计政策和会计估计，包括但不限于：终止经营的确认标准、会计处理方法，采用套期会计的依据、会计处理方法，与回购公司股份相关的会计处理方法，资产证券化业务的会计处理方法等。"/>
    <m:item xlName="_GBC_f1ebc580f60c4d30a80747190ffbec4f" concept="clcid-pte:ShiFouShiYongZhongYaoKuaiJiZhengCeBianGeng" label="是否适用：重要会计政策变更" selectOptions="_buildInAppliance" controlType="CustomCheckbox" cRanges="{&quot;StartName&quot;:&quot;_GBC_f1ebc580f60c4d30a80747190ffbec4f&quot;,&quot;EndName&quot;:&quot;_GBC_0e06dc657bb8435eb065c6bd60685496&quot;,&quot;CType&quot;:1,&quot;DisplayText&quot;:null}"/>
    <m:section xlName="_GBC_0e06dc657bb8435eb065c6bd60685496" title="会计政策变更" convertSummaryRule="ConvertDefinedText" convertText="无" helpId="112001033" helpText="注：说明受重要影响的报表项目名称和金额。"/>
    <m:item xlName="_GBC_902f08bd36774074945386d2d1f9b67d" concept="clcid-pte:ShiFouShiYongZhongYaoKuaiJiGuJiBianGeng" label="是否适用：重要会计估计变更" selectOptions="_buildInAppliance" controlType="CustomCheckbox" cRanges="{&quot;StartName&quot;:&quot;_GBC_902f08bd36774074945386d2d1f9b67d&quot;,&quot;EndName&quot;:&quot;_GBC_a657a03221464003b54e3c1dc1675cb2&quot;,&quot;CType&quot;:1,&quot;DisplayText&quot;:null}"/>
    <m:section xlName="_GBC_a657a03221464003b54e3c1dc1675cb2" title="会计估计变更" helpId="112001033" helpText="注：说明受重要影响的报表项目名称和金额。"/>
    <m:section xlName="_SEC_a9815fd707d7490aa4f57a92594115cf" title="首次执行新金融工具准则、新收入准则、新租赁准则调整首次执行当年年初财务报表相关项目情况" primarySection="_SEC_a9815fd707d7490aa4f57a92594115cf" optionText="需要编制合并报表" optionGroupTitle="是否需要合并报表" optionTargetConcept="clcid-ci-ar:ShiFouXuYaoHeBingBaoBiao" optionTargetConceptValue="true"/>
    <m:section xlName="_SEC_b25f53d81de34b61bf171ff5ba21cfa8" title="首次执行新金融工具准则、新收入准则、新租赁准则调整首次执行当年年初财务报表相关项目情况" primarySection="_SEC_a9815fd707d7490aa4f57a92594115cf" optionText="无需编制合并报表" optionGroupTitle="是否需要合并报表" optionTargetConcept="clcid-ci-ar:ShiFouXuYaoHeBingBaoBiao" optionTargetConceptValue="false"/>
    <m:section xlName="_GBC_f9189f2c315949f484bded540173f7a8" title="其他" helpId="112001034"/>
    <m:section xlName="_GBC_21c965fa52af49a9865023fb4e05671a" title="主要税种及税率" convertSummaryRule="NoConvert" helpId="112001036" axisType="Column"/>
    <m:section xlName="_GBC_8efa381cc976417f9135f0c744d05452" title="税收优惠及批文" convertSummaryRule="NoConvert" helpId="112001036" helpText="注：说明主要税收优惠政策及依据。"/>
    <m:section xlName="_GBC_9fdef48633e142f68e18dc5da08c2deb" title="其他说明" convertSummaryRule="NoConvert" helpId="112001038"/>
    <m:section xlName="_GBC_e001074b3db146e59ba240ad8dd14b68" title="货币资金" rules="R2015_R11_002" convertSummaryRule="NoConvert" helpId="112001039" helpText="注：因抵押、质押或冻结等对使用有限制，以及存放在境外且资金汇回受到限制的款项应单独说明。\n“根据《企业会计准则解释第15号》，对于成员单位未归集至集团母公司账户而直接存入财务公司的资金，成员单位应当在资产负债表“货币资金” 项目中列示， 根据重要性原则并结合本企业的实际情况，成员单位还可以在“货币资金” 项目之下增设“其中：存放财务公司款项” 项目单独列示。”"/>
    <m:section xlName="_SEC_01904024df9944b092034293cedff1b0" title="交易性金融资产" helpId="112001041"/>
    <m:section xlName="_GBC_bc314407a9a14c2f8b2b5368638e0a51" title="衍生金融资产" helpId="112001042" helpText="注：说明衍生金融工具形成原因以及相关会计处理等。"/>
    <m:section xlName="_GBC_c1ce1fc5bd0f42bca82cd02f3a6b623f" title="应收票据分类" rules="R2015_R11_003" convertSummaryRule="NoConvert" helpId="112001044"/>
    <m:section xlName="_GBC_8fdb3f7098324d0d8b9f6e395abf9009" title="期末公司已质押的应收票据情况" rules="R2015_R11_003" convertSummaryRule="NoConvert" helpId="112001044"/>
    <m:section xlName="_GBC_d0a9833415574c7baa9ef176fea05ecf" title="因出票人无力履约而将票据转为应收账款的票据，以及期末已背书未到期票据" rules="R2015_R11_003" convertSummaryRule="NoConvert" helpId="112001044"/>
    <m:section xlName="_GBC_83d7650885dc43898bcaaa7b53608492" title="期末公司因出票人无力履约而将其转为应收账款的票据" rules="R2015_R11_003" helpId="112001044"/>
    <m:item xlName="_GBC_064ae6cf552d47d6abf4ad2b5c55d254" concept="clcid-ci-ar:ShiFouShiYongYingShouPiaoJuAnHuaiZhangJiTiFangFaFenLeiPiLu" label="是否适用：应收票据按坏账计提方法分类披露" selectOptions="_buildInAppliance" controlType="CustomCheckbox" cRanges="[{&quot;StartName&quot;:&quot;_GBC_064ae6cf552d47d6abf4ad2b5c55d254&quot;,&quot;EndName&quot;:&quot;_SEC_23c2684d19314a4d9ea4159cf52284dd&quot;,&quot;CType&quot;:1}]"/>
    <m:section xlName="_SEC_2dc3b0ce015a4b54a67e0a855abb57d7" title="按坏账计提方法分类披露"/>
    <m:section xlName="_SEC_35f0dd53a3094420ab950eaf2d236098" title="按单项计提坏账准备："/>
    <m:item xlName="_GBC_2b00fe7228b14b11bdb374e735777f02" concept="clcid-ci-ar:ShiFouShiYongAnZuHeJiTiHuaiZhangZhunBeiDeYingShouPiaoJuXiangXiQingKuang" label="是否适用：按组合计提坏账准备的应收票据详细情况" selectOptions="_buildInAppliance" controlType="CustomCheckbox" cRanges="[{&quot;StartName&quot;:&quot;_GBC_2b00fe7228b14b11bdb374e735777f02&quot;,&quot;EndName&quot;:&quot;_SEC_ba9a8c13d1d945d389c5919539ae944e&quot;,&quot;CType&quot;:1}]"/>
    <m:section xlName="_SEC_ba9a8c13d1d945d389c5919539ae944e" title="按组合计提坏账准备" repeatable="1" tupleConcept="clcid-pte:AnZuHeJiTiHuaiZhangZhunBeiDeYingShouPiaoJuXiangXiMingXi"/>
    <m:section xlName="_SEC_23c2684d19314a4d9ea4159cf52284dd" title="如按预期信用损失一般模型计提坏账准备，请参照其他应收款披露："/>
    <m:section xlName="_SEC_2937dc20348046e2a68416bd27ff1b82" title="坏账准备的情况"/>
    <m:section xlName="_SEC_d1d07f77bea54442a58602a5a3e94f42" title="本期实际核销的应收票据情况"/>
    <m:section xlName="_GBC_c7095bafbab543a9bb9dcc587154df29" title="应收票据其他说明" rules="R2015_R11_003" convertSummaryRule="NoConvert" helpId="112001044"/>
    <m:section xlName="_SEC_18739d0c0efc4fe7a575a32263e5b38b" title="按账龄披露" helpText="表里的“期末账面余额”指的是包含单项计提和组合计提的期末账面余额。"/>
    <m:item xlName="_GBC_fc55e6778e08412caa3e7b9e7a1a0f85" concept="clcid-ci-ar:ShiFouShiYongYingShouZhangKuanFenLeiPiLu" label="是否适用：应收账款分类披露" selectOptions="_buildInAppliance" controlType="CustomCheckbox" cRanges="[{&quot;StartName&quot;:&quot;_GBC_fc55e6778e08412caa3e7b9e7a1a0f85&quot;,&quot;EndName&quot;:&quot;_SEC_a585c426a16c4a73a2145ded2280b59a&quot;,&quot;CType&quot;:1}]"/>
    <m:section xlName="_SEC_0398db7d3d0941d99bcd41800ef0e448" title="(2). 按坏账计提方法分类披露"/>
    <m:section xlName="_SEC_498beef22f03474fa398c526ee8a934d" title="按单项计提坏账准备："/>
    <m:item xlName="_GBC_47a07baa9a4f4c5ea6de193ae7b87e74" concept="clcid-ci-ar:ShiFouShiYongAnZuHeJiTiHuaiZhangZhunBeiDeYingShouZhangKuanXiangXiQingKuang" label="是否适用：按组合计提坏账准备的应收账款详细情况" selectOptions="_buildInAppliance" controlType="CustomCheckbox" cRanges="[{&quot;StartName&quot;:&quot;_GBC_47a07baa9a4f4c5ea6de193ae7b87e74&quot;,&quot;EndName&quot;:&quot;_SEC_f085826b570e4937b558307522853cff&quot;,&quot;CType&quot;:1}]"/>
    <m:section xlName="_SEC_f085826b570e4937b558307522853cff" title="组合计提项目" repeatable="1" tupleConcept="clcid-pte:AnZuHeJiTiHuaiZhangZhunBeiDeYingShouZhangKuanXiangXiMingXi"/>
    <m:section xlName="_SEC_a585c426a16c4a73a2145ded2280b59a" title="如按预期信用损失一般模型计提坏账准备，请参照其他应收款披露："/>
    <m:section xlName="_SEC_585de72ff9a04d78b96f9dd88a2090f9" title="坏账准备的情况"/>
    <m:section xlName="_GBC_af8ceb97930d4d7391d4823a068c824b" title="本报告期实际核销的应收账款情况" rules="R2015_R11_004" convertSummaryRule="NoConvert" helpId="112001045"/>
    <m:section xlName="_GBC_e8adf46f2d204834ad681ac980eff4f7" title="按欠款方归集的期末余额前五名的应收账款情况：" rules="R2015_R11_004" helpId="112001045" helpText="注：按欠款方集中度，汇总或分别披露期末余额前五名的应收账款的期末余额及占应收账款期末余额合计数的比例，以及相应计提的坏账准备期末余额。"/>
    <m:section xlName="_GBC_79d1ccfd87f84b4ab10a992730026aa0" title="因金融资产转移而终止确认的应收账款" rules="R2015_R11_004" helpId="112001045" helpText="注：说明金融资产转移的方式、终止确认的应收款项金额，及与终止确认相关的利得或损失。"/>
    <m:section xlName="_GBC_d3d5d3b413a24c269f804c6a3e3f1c06" title="转移应收账款且继续涉入的，分项列示继续涉入形成的资产、负债的金额" rules="R2015_R11_004" helpId="112001045" helpText="注：说明金融资产转移的方式，分项列示继续涉入形成的资产、负债的金额。"/>
    <m:section xlName="_GBC_2f38c172c62a46cfa73776efdf952fad" title="应收账款其他说明" rules="R2015_R11_004" helpId="112001045"/>
    <m:section xlName="_SEC_99a20d0771254b5596c992bd0fe179a3" title="应收款项融资" helpId="112002268"/>
    <m:section xlName="_GBC_4c02994d3bd04bacba6592630552e576" title="预付款项按账龄列示" rules="R2015_R11_005" convertSummaryRule="NoConvert" helpId="112001047"/>
    <m:section xlName="_GBC_2c5fba8651a04a6d88c0c9fc33310c57" title="预付款项金额前五名单位情况" rules="R2015_R11_005" convertSummaryRule="NoConvert" helpId="112001047" helpText="注：按预付对象集中度，汇总或分别披露期末余额前五名的预付款项的期末余额及占预付款项期末余额合计数的比例。"/>
    <m:section xlName="_GBC_ee9bedfa5e5340c9b02fb474f1a1fc26" title="预付款项的说明" rules="R2015_R11_005" convertSummaryRule="NoConvert" helpId="112001047"/>
    <m:section xlName="_SEC_440b8bdb86984dd89d750fdd7845fe71" title="分类列示"/>
    <m:section xlName="_GBC_6620e2366b444b3fb9e784e1bb6a87fd" title="应收利息" convertSummaryRule="NoConvert" helpId="112001049"/>
    <m:section xlName="_GBC_bcfcff19f55a43f988e9223dca0728dc" title="逾期利息" convertSummaryRule="NoConvert" helpId="112001049"/>
    <m:section xlName="_SEC_61c56552057346dd98026d659f25d3ef" title="坏账准备计提情况"/>
    <m:section xlName="_GBC_0dc3bcd06a754f79952657ba82acdc9f" title="应收利息的说明" helpId="112001049"/>
    <m:section xlName="_GBC_94a22362634d47499fd45a0a5577c49b" title="应收股利" helpId="112001050"/>
    <m:section xlName="_GBC_aafe0f2583ac4a35a029d834ee52b5de" title="应收股利" convertSummaryRule="NoConvert" helpId="112001050"/>
    <m:section xlName="_SEC_cce3905839dc4d6ea19cf81ee0af7e4b" title="坏账准备计提情况"/>
    <m:section xlName="_GBC_3543035ac1594f0aaa966ebb907a6f0d" title="应收股利的说明" convertSummaryRule="NoConvert" helpId="112001050"/>
    <m:section xlName="_GBC_84907f0c47bb4c62b91a81382adfc126" title="组合中，按账龄分析法计提坏账准备的其他应收账款：" rules="R2015_R11_006" helpId="112001051"/>
    <m:section xlName="_GBC_84d520d656b8446b87c909f5ff2b545d" title="其他应收款按款项性质分类情况" rules="R2015_R11_006" helpId="112001051"/>
    <m:section xlName="_SEC_5ff83398df8949c88f89340b5b0e52f6" title="坏账准备计提情况" helpText="如存在坏账准备，应按照财政部企业会计准则第37号第83条规定，披露损失准备期初余额与期末余额的调节表"/>
    <m:section xlName="_SEC_93dacca8700c43aaba11477ef4689aa6" title="坏账准备的情况"/>
    <m:section xlName="_GBC_ca12851378c64f09a5335b8a527df46f" title="本报告期实际核销的其他应收款情况" rules="R2015_R11_006" convertSummaryRule="NoConvert" helpId="112001051"/>
    <m:section xlName="_GBC_a83a3fc7866445d68738701d3998ac0b" title="按欠款方归集的期末余额其中前五名的其他应收款单位情况" rules="R2015_R11_006" helpId="112001051"/>
    <m:section xlName="_GBC_0b136aef44064ce4880a47aef5cda04d" title="按应收金额确认的政府补助" rules="R2015_R11_006" helpId="112001051" helpText="注：公司未能在预计时点收到预计金额的政府补助，应说明原因。"/>
    <m:section xlName="_GBC_73268e67b3d94deab59672a03d2cbd2a" title="因金融资产转移而终止确认的其他应收款" rules="R2015_R11_006" helpId="112001051" helpText="注：说明金融资产转移的方式、终止确认的其他应收款金额，及与终止确认相关的利得或损失。"/>
    <m:section xlName="_GBC_05496beed0c54ab3b5c0e91297ee374e" title="转移其他应收款且继续涉入形成的资产、负债金额的说明" rules="R2015_R11_006" helpId="112001051" helpText="注：说明金融资产转移的方式、分项列示继续涉入形成的资产、负债的金额。"/>
    <m:section xlName="_GBC_de4246046d754793a6a2db96dd5bb245" title="其他应收款其他说明" rules="R2015_R11_006" helpId="112001051"/>
    <m:section xlName="_GBC_1953ea50f68542df9fa36d84b994cf17" title="存货分类 " rules="R2015_R11_007" convertSummaryRule="NoConvert" helpId="112001053" axisType="Column"/>
    <m:section xlName="_GBC_d00b46c41ac84794bd1f7b10e97923a0" title="存货跌价准备" rules="R2015_R11_007" convertSummaryRule="NoConvert" helpId="112001053" helpText="注：说明确定可变现净值的具体依据及本期转回或转销存货跌价准备的原因。" axisType="Column"/>
    <m:section xlName="_GBC_dc559aaf0bf0428386e2f7f2cdeb43ec" title="存货期末余额含有借款费用资本化金额的说明：" rules="R2015_R11_007" helpId="112001053"/>
    <m:section xlName="_SEC_8c46917973d94083a642ad0ca746d3cd" title="合同履约成本本期摊销金额的说明"/>
    <m:section xlName="_SEC_96c2195df56b4f3eb6049f39e6923486" title="存货的其他说明"/>
    <m:section xlName="_SEC_9eb3b6c88c0a41f7a3f6a2f43946f06c" title="合同资产" helpId="112002271"/>
    <m:section xlName="_SEC_e8c350da8e69479e93eb03226371923c" title="报告期内账面价值发生重大变动的金额和原因" helpId="112002271"/>
    <m:section xlName="_SEC_bf3d6e0971b243878381353846199645" title="本期合同资产计提减值准备情况" helpId="112002271"/>
    <m:section xlName="_SEC_5b10981ad765434eb8d30a4d75bff071" title="其他说明：" helpId="112002271"/>
    <m:section xlName="_GBC_b8017c342539428893a6ec198dd061b3" title="划分为持有待售的资产" helpId="112001055" helpText="注：说明划分为持有待售的资产的原因等。"/>
    <m:section xlName="_GBC_73afc3711ce24918b57d8c069abaf5c5" title="一年内到期的非流动资产" helpId="112002269"/>
    <m:section xlName="_GBC_e29fd29bee934fc3ab8325cf3625b905" title="其他流动资产" rules="R2015_R11_008" helpId="112002272"/>
    <m:section xlName="_SEC_949cb4eb7a744418a5a5c6266b7029c9" title="债权投资债权投资情况" helpId="112001057"/>
    <m:section xlName="_SEC_b1d789cc522341caa1c75b1a7b84351c" title="期末重要的债权投资" helpId="112001057"/>
    <m:section xlName="_SEC_bff86b17d4774a4a9f8a3329635b5429" title="减值准备计提情况" helpId="112001057"/>
    <m:section xlName="_SEC_1af1e8e9eab94f10811b4e7aa91aa24d" title="其他债权投资" helpId="112001058"/>
    <m:section xlName="_SEC_052112d020944ec8b923dd106b2a0cbf" title="期末重要的其他债权投资" helpId="112001058"/>
    <m:section xlName="_SEC_a18c2d8250c64daf904816a57fe286bd" title="减值准备计提情况" helpId="112001058"/>
    <m:section xlName="_SEC_a6d7d62dd24747a08e0a132cf37e100c" title="其他说明：" helpId="112001058"/>
    <m:section xlName="_GBC_2642a454002a499399e1b643b91ef1ad" title="长期应收款" rules="R2015_R11_009" helpId="112001061"/>
    <m:section xlName="_SEC_a0520f64d4bd49e5a3638a0386a233ee" title="坏账准备计提情况"/>
    <m:section xlName="_GBC_928896eb74ab465199673a59201d4a8b" title="因金融资产转移而终止确认的长期应收款" rules="R2015_R11_009" helpId="112001061" helpText="注：说明金融资产转移的方式、终止确认的长期应收款金额，及与终止确认相关的利得或损失。"/>
    <m:section xlName="_GBC_711f6e05c2eb42e595d774bdf837f823" title="转移长期应收款且继续涉入形成的资产、负债金额" rules="R2015_R11_009" helpId="112001061" helpText="注：说明金融资产转移的方式、分项列示继续涉入形成的资产、负债的金额。"/>
    <m:section xlName="_GBC_2a6246644ca84dfdb1b5ecc95ea5c0c2" title="长期应收款的其他说明" rules="R2015_R11_009" helpId="112001061"/>
    <m:item xlName="_GBC_bafa2cb2262c4c4ebc4eed8f4e4a81c6" concept="clcid-ci-ar:ShiFouShiYongChangQiGuQuanTouZi" label="是否适用：长期股权投资" selectOptions="_buildInAppliance" controlType="CustomCheckbox" cRanges="{&quot;StartName&quot;:&quot;_GBC_bafa2cb2262c4c4ebc4eed8f4e4a81c6&quot;,&quot;EndName&quot;:&quot;_GBC_e68906ccea2845f1856fe89f4de6c229&quot;,&quot;CType&quot;:1,&quot;DisplayText&quot;:null}"/>
    <m:section xlName="_GBC_e68906ccea2845f1856fe89f4de6c229" title="长期股权投资" rules="R2015_R11_010" extended="true" helpId="112001063">
      <m:item xlName="_GBC_63e30834d38e49658bec9056bc38e4e2" indRef="225" concept="clcid-ci-ar:DanWeiCaiWuFuZhuChangQiGuQuanTouZi" label="单位：财务附注：长期股权投资" selectOptions="_buildInScales" controlType="Combobox" cellType="Scale" appId="_GBC_bafa2cb2262c4c4ebc4eed8f4e4a81c6"/>
      <m:item xlName="_GBC_f72bca6b250e484887289a819bc62e7d" indRef="226" concept="clcid-ci-ar:BiZhongCaiWuFuZhuChangQiGuQuanTouZi" label="币种：财务附注：长期股权投资" selectOptions="_buildInISO4217" controlType="Combobox" cellType="Measure" appId="_GBC_bafa2cb2262c4c4ebc4eed8f4e4a81c6"/>
      <m:placeholder xlName="_PLD_9e3ff129c80540828097585bec2a274a" wordText="被投资单位" addr="T0R0C0S2_1"/>
      <m:placeholder xlName="_PLD_1d8637e24bf6498db71869cd552b60a2" wordText="期初余额" addr="T0R0C1S2_1"/>
      <m:placeholder xlName="_PLD_edc952101e7b4fa483f7289f9b74dfdf" wordText="本期增减变动" addr="T0R0C2S1_8"/>
      <m:placeholder xlName="_PLD_44cfcec128d9419fba83c50966e49235" wordText="期末余额" addr="T0R0C10S2_1"/>
      <m:placeholder xlName="_PLD_34a3cc0844264226a50c84165c09bb9a" wordText="减值准备期末余额" addr="T0R0C11S2_1"/>
      <m:placeholder xlName="_PLD_f88446e104b7482db6830a46769bd8f6" wordText="追加投资" addr="T0R1C2S1_1"/>
      <m:placeholder xlName="_PLD_dc0d6646fb2e45ba8e5e07f2c6954c9f" wordText="减少投资" addr="T0R1C3S1_1"/>
      <m:placeholder xlName="_PLD_098d9fcf9d5341879d534aa385508f23" wordText="权益法下确认的投资损益" addr="T0R1C4S1_1"/>
      <m:placeholder xlName="_PLD_b66787b3a51d435899d94dbab1edade7" wordText="其他综合收益调整" addr="T0R1C5S1_1"/>
      <m:placeholder xlName="_PLD_59166394bf7143a6a5ce0d447326b1ac" wordText="其他权益变动" addr="T0R1C6S1_1"/>
      <m:placeholder xlName="_PLD_cbd4cf48730a4934a58b86d2c27b6b08" wordText="宣告发放现金股利或利润" addr="T0R1C7S1_1"/>
      <m:placeholder xlName="_PLD_4c0a72e8e14d4b319998bc5bde635ef0" wordText="计提减值准备" addr="T0R1C8S1_1"/>
      <m:placeholder xlName="_PLD_ea8213b5ee1442f98996b6dfc1f9a9a4" wordText="其他" addr="T0R1C9S1_1"/>
      <m:placeholder xlName="_PLD_8204b6b48bf546e3af5babc667d4c84c" wordText="一、合营企业" addr="T0R2C0S1_12"/>
      <m:tuple xlName="_TUP_03aa82a9df984d7b8487d492b6106380" concept="clcid-pte:HeYingQiYeTouZiXinXiMingXi" default_row="2" addr="T0R3C">
        <m:item xlName="_GBC_72e7881641984d6aaa91554976ece254" wordText="　" concept="clcid-pte:HeYingQiYeTouZiXinXiMingXiMingCheng" label="合营企业投资信息明细－名称" unitRef="_GBC_f72bca6b250e484887289a819bc62e7d" addr="T0R3C0S1_1" appId="_GBC_bafa2cb2262c4c4ebc4eed8f4e4a81c6"/>
        <m:item xlName="_GBC_9e9ba5906ff44fa29238243fdf8caa6f" concept="clcid-pte:HeYingQiYeTouZiMingXiYuE" label="合营企业投资明细-余额" periodRef="本期期初数" mulRef="_GBC_63e30834d38e49658bec9056bc38e4e2" unitRef="_GBC_f72bca6b250e484887289a819bc62e7d" addr="T0R3C1S1_1" formatStyle="Comma" appId="_GBC_bafa2cb2262c4c4ebc4eed8f4e4a81c6"/>
        <m:item xlName="_GBC_b818c1fe085b46cd864e0b759aa41ddd" concept="clcid-pte:HeYingQiYeTouZiMingXiZhuiJiaTouZi" label="合营企业投资明细-追加投资" mulRef="_GBC_63e30834d38e49658bec9056bc38e4e2" unitRef="_GBC_f72bca6b250e484887289a819bc62e7d" addr="T0R3C2S1_1" formatStyle="Comma" appId="_GBC_bafa2cb2262c4c4ebc4eed8f4e4a81c6"/>
        <m:item xlName="_GBC_14cbe55e1f0c4100924ad5dfb1ea4caa" concept="clcid-pte:HeYingQiYeTouZiMingXiJianShaoTouZi" label="合营企业投资明细-减少投资" mulRef="_GBC_63e30834d38e49658bec9056bc38e4e2" unitRef="_GBC_f72bca6b250e484887289a819bc62e7d" addr="T0R3C3S1_1" baseScale="-1" formatStyle="Comma" appId="_GBC_bafa2cb2262c4c4ebc4eed8f4e4a81c6"/>
        <m:item xlName="_GBC_9008da3f8a0a40a7b0b63237227341ad" concept="clcid-pte:HeYingQiYeTouZiMingXiQuanYiFaXiaQueRenDeTouZiSunYi" label="合营企业投资明细-权益法下确认的投资损益" mulRef="_GBC_63e30834d38e49658bec9056bc38e4e2" unitRef="_GBC_f72bca6b250e484887289a819bc62e7d" addr="T0R3C4S1_1" formatStyle="Comma" appId="_GBC_bafa2cb2262c4c4ebc4eed8f4e4a81c6"/>
        <m:item xlName="_GBC_e3be35be65b247e39469b9da7b4837a7" concept="clcid-pte:HeYingQiYeTouZiMingXiQiTaZongHeShouYiDiaoZheng" label="合营企业投资明细-其他综合收益调整" mulRef="_GBC_63e30834d38e49658bec9056bc38e4e2" unitRef="_GBC_f72bca6b250e484887289a819bc62e7d" addr="T0R3C5S1_1" formatStyle="Comma" appId="_GBC_bafa2cb2262c4c4ebc4eed8f4e4a81c6"/>
        <m:item xlName="_GBC_f28c60ddbd964485a369d31dc21903f0" concept="clcid-pte:HeYingQiYeTouZiMingXiQiTaQuanYiBianDong" label="合营企业投资明细-其他权益变动" mulRef="_GBC_63e30834d38e49658bec9056bc38e4e2" unitRef="_GBC_f72bca6b250e484887289a819bc62e7d" addr="T0R3C6S1_1" formatStyle="Comma" appId="_GBC_bafa2cb2262c4c4ebc4eed8f4e4a81c6"/>
        <m:item xlName="_GBC_b5bb6e536f1941718293a4f5a8b73b61" concept="clcid-pte:HeYingQiYeTouZiMingXiXuanGaoFaFangXianJinGuLiHuoLiRun" label="合营企业投资明细-宣告发放现金股利或利润" mulRef="_GBC_63e30834d38e49658bec9056bc38e4e2" unitRef="_GBC_f72bca6b250e484887289a819bc62e7d" addr="T0R3C7S1_1" baseScale="-1" formatStyle="Comma" appId="_GBC_bafa2cb2262c4c4ebc4eed8f4e4a81c6"/>
        <m:item xlName="_GBC_b8323949846b4be7bea2b16487c7ff9a" concept="clcid-pte:HeYingQiYeTouZiMingXiJiTiJianZhiZhunBei" label="合营企业投资明细-计提减值准备" mulRef="_GBC_63e30834d38e49658bec9056bc38e4e2" unitRef="_GBC_f72bca6b250e484887289a819bc62e7d" addr="T0R3C8S1_1" baseScale="-1" formatStyle="Comma" appId="_GBC_bafa2cb2262c4c4ebc4eed8f4e4a81c6"/>
        <m:item xlName="_GBC_c22ef08891f740f0a844ee86c72ffc80" concept="clcid-pte:HeYingQiYeTouZiMingXiQiTaZengJianBianDong" label="合营企业投资明细-其他增减变动" mulRef="_GBC_63e30834d38e49658bec9056bc38e4e2" unitRef="_GBC_f72bca6b250e484887289a819bc62e7d" addr="T0R3C9S1_1" formatStyle="Comma" appId="_GBC_bafa2cb2262c4c4ebc4eed8f4e4a81c6"/>
        <m:item xlName="_GBC_7b867ab2bb9d46af99f0800d1ea8fa81" concept="clcid-pte:HeYingQiYeTouZiMingXiYuE" label="合营企业投资明细-余额" mulRef="_GBC_63e30834d38e49658bec9056bc38e4e2" unitRef="_GBC_f72bca6b250e484887289a819bc62e7d" addr="T0R3C10S1_1" formatStyle="Comma" appId="_GBC_bafa2cb2262c4c4ebc4eed8f4e4a81c6">
          <m:complexRule comparator="Eq" title="合营企业投资明细-余额" test=" $_GBC_9e9ba5906ff44fa29238243fdf8caa6f +  $_GBC_b818c1fe085b46cd864e0b759aa41ddd -  $_GBC_14cbe55e1f0c4100924ad5dfb1ea4caa +  $_GBC_9008da3f8a0a40a7b0b63237227341ad +  $_GBC_e3be35be65b247e39469b9da7b4837a7 +  $_GBC_f28c60ddbd964485a369d31dc21903f0 -  $_GBC_b5bb6e536f1941718293a4f5a8b73b61 -  $_GBC_b8323949846b4be7bea2b16487c7ff9a +  $_GBC_c22ef08891f740f0a844ee86c72ffc80" id="Cad6b3080310e42bc8b9d6fa53fe49991"/>
        </m:item>
        <m:item xlName="_GBC_e205cda04f2445df94f64c6ea4568157" concept="clcid-pte:HeYingQiYeTouZiMingXiJianZhiZhunBeiYuE" label="合营企业投资明细-减值准备余额" mulRef="_GBC_63e30834d38e49658bec9056bc38e4e2" unitRef="_GBC_f72bca6b250e484887289a819bc62e7d" addr="T0R3C11S1_1" formatStyle="Comma" appId="_GBC_bafa2cb2262c4c4ebc4eed8f4e4a81c6"/>
        <m:item xlName="_GBC_00b25d4bfbc04c6c9e216120900218f0" concept="">
          <m:extendConcept standardLabel="外币报表折算" dataType="xbrli:stringItemType" period="instant"/>
        </m:item>
        <m:item xlName="_GBC_064db023408d493c8931bced9c0a624b" concept="">
          <m:extendConcept standardLabel="12" dataType="xbrli:stringItemType" period="instant"/>
        </m:item>
        <m:item xlName="_GBC_357993726b8240f4842aa2e2180cc9e3" concept="">
          <m:extendConcept standardLabel="期末减值准备" dataType="xbrli:stringItemType" period="instant"/>
        </m:item>
      </m:tuple>
      <m:placeholder xlName="_PLD_29b8b80db8a747689480382645b9fdb1" wordText="小计" addr="T0R5C0S1_1"/>
      <m:item xlName="_GBC_e66da97076eb42738d132c176cdfa35d" concept="clcid-pte:HeYingQiYeYuEXiaoJi" label="合营企业-余额小计" periodRef="本期期初数" mulRef="_GBC_63e30834d38e49658bec9056bc38e4e2" unitRef="_GBC_f72bca6b250e484887289a819bc62e7d" addr="T0R5C1S1_1" formatStyle="Comma" appId="_GBC_bafa2cb2262c4c4ebc4eed8f4e4a81c6">
        <m:complexRule comparator="Eq" title="合营企业-余额小计@本期期初数" test=" $_GBC_9e9ba5906ff44fa29238243fdf8caa6f" id="C479625afa9684554bf651d8cddec046e"/>
      </m:item>
      <m:item xlName="_GBC_c9b7d74b98994160ba52c911a59993d9" concept="clcid-pte:HeYingQiYeZhuiJiaTouZiXiaoJi" label="合营企业-追加投资小计" mulRef="_GBC_63e30834d38e49658bec9056bc38e4e2" unitRef="_GBC_f72bca6b250e484887289a819bc62e7d" addr="T0R5C2S1_1" formatStyle="Comma" appId="_GBC_bafa2cb2262c4c4ebc4eed8f4e4a81c6">
        <m:complexRule comparator="Eq" title="合营企业-追加投资小计" test=" $_GBC_b818c1fe085b46cd864e0b759aa41ddd" id="C9caec32baeb449e9ba0008dd95a8353e"/>
      </m:item>
      <m:item xlName="_GBC_398d2c0fbeac4d3d832e73b29afd6586" concept="clcid-pte:HeYingQiYeJianShaoTouZiXiaoJi" label="合营企业-减少投资小计" mulRef="_GBC_63e30834d38e49658bec9056bc38e4e2" unitRef="_GBC_f72bca6b250e484887289a819bc62e7d" addr="T0R5C3S1_1" baseScale="-1" formatStyle="Comma" appId="_GBC_bafa2cb2262c4c4ebc4eed8f4e4a81c6">
        <m:complexRule comparator="Eq" title="合营企业-减少投资小计" test=" $_GBC_14cbe55e1f0c4100924ad5dfb1ea4caa" id="Cf6995270afac41aaa22ce559dd7c5727"/>
      </m:item>
      <m:item xlName="_GBC_1b9a0c6432284e3e909da4d3f43a355e" concept="clcid-pte:HeYingQiYeQuanYiFaXiaQueRenDeTouZiSunYiXiaoJi" label="合营企业-权益法下确认的投资损益小计" mulRef="_GBC_63e30834d38e49658bec9056bc38e4e2" unitRef="_GBC_f72bca6b250e484887289a819bc62e7d" addr="T0R5C4S1_1" formatStyle="Comma" appId="_GBC_bafa2cb2262c4c4ebc4eed8f4e4a81c6">
        <m:complexRule comparator="Eq" title="合营企业-权益法下确认的投资损益小计" test=" $_GBC_9008da3f8a0a40a7b0b63237227341ad" id="C7cf4e41402624be4ac67a0a36d1290d2"/>
      </m:item>
      <m:item xlName="_GBC_ed122d9ccf524d5a92794ca5f887bc7b" concept="clcid-pte:HeYingQiYeQiTaZongHeShouYiDiaoZhengXiaoJi" label="合营企业-其他综合收益调整小计" mulRef="_GBC_63e30834d38e49658bec9056bc38e4e2" unitRef="_GBC_f72bca6b250e484887289a819bc62e7d" addr="T0R5C5S1_1" formatStyle="Comma" appId="_GBC_bafa2cb2262c4c4ebc4eed8f4e4a81c6">
        <m:complexRule comparator="Eq" title="合营企业-其他综合收益调整小计" test=" $_GBC_e3be35be65b247e39469b9da7b4837a7" id="C402e3a4398a248ea9253e60e99390c49"/>
      </m:item>
      <m:item xlName="_GBC_d79f4be8b6c940a480d7ff128c5e0d68" concept="clcid-pte:HeYingQiYeQiTaQuanYiBianDongXiaoJi" label="合营企业-其他权益变动小计" mulRef="_GBC_63e30834d38e49658bec9056bc38e4e2" unitRef="_GBC_f72bca6b250e484887289a819bc62e7d" addr="T0R5C6S1_1" formatStyle="Comma" appId="_GBC_bafa2cb2262c4c4ebc4eed8f4e4a81c6">
        <m:complexRule comparator="Eq" title="合营企业-其他权益变动小计" test=" $_GBC_f28c60ddbd964485a369d31dc21903f0" id="Cf75db6cb70f142a797f16822679422d0"/>
      </m:item>
      <m:item xlName="_GBC_505a1179fa094e839b95f09788d1b384" concept="clcid-pte:HeYingQiYeXuanGaoFaFangXianJinGuLiHuoLiRunXiaoJi" label="合营企业-宣告发放现金股利或利润小计" mulRef="_GBC_63e30834d38e49658bec9056bc38e4e2" unitRef="_GBC_f72bca6b250e484887289a819bc62e7d" addr="T0R5C7S1_1" baseScale="-1" formatStyle="Comma" appId="_GBC_bafa2cb2262c4c4ebc4eed8f4e4a81c6">
        <m:complexRule comparator="Eq" title="合营企业-宣告发放现金股利或利润小计" test=" $_GBC_b5bb6e536f1941718293a4f5a8b73b61" id="Ca9e6523f33864ba78d776c67cb600960"/>
      </m:item>
      <m:item xlName="_GBC_e1b1ac9fcc6445f8b49ba359dd95287a" concept="clcid-pte:HeYingQiYeJiTiJianZhiZhunBeiXiaoJi" label="合营企业-计提减值准备小计" mulRef="_GBC_63e30834d38e49658bec9056bc38e4e2" unitRef="_GBC_f72bca6b250e484887289a819bc62e7d" addr="T0R5C8S1_1" baseScale="-1" formatStyle="Comma" appId="_GBC_bafa2cb2262c4c4ebc4eed8f4e4a81c6">
        <m:complexRule comparator="Eq" title="合营企业-计提减值准备小计" test=" $_GBC_b8323949846b4be7bea2b16487c7ff9a" id="Cb64add0557f1404faa15a6b7e7cc98aa"/>
      </m:item>
      <m:item xlName="_GBC_f9d0c9e8e66048c0ab8fcb62573b5edd" concept="clcid-pte:HeYingQiYeQiTaZengJianBianDongXiaoJi" label="合营企业-其他增减变动小计" mulRef="_GBC_63e30834d38e49658bec9056bc38e4e2" unitRef="_GBC_f72bca6b250e484887289a819bc62e7d" addr="T0R5C9S1_1" formatStyle="Comma" appId="_GBC_bafa2cb2262c4c4ebc4eed8f4e4a81c6">
        <m:complexRule comparator="Eq" title="合营企业-其他增减变动小计" test=" $_GBC_c22ef08891f740f0a844ee86c72ffc80" id="C1647defdfaf343b39c37b2bdaa286d1d"/>
      </m:item>
      <m:item xlName="_GBC_730db529ed11409b8a611007a18708b5" concept="clcid-pte:HeYingQiYeYuEXiaoJi" label="合营企业-余额小计" mulRef="_GBC_63e30834d38e49658bec9056bc38e4e2" unitRef="_GBC_f72bca6b250e484887289a819bc62e7d" addr="T0R5C10S1_1" formatStyle="Comma" appId="_GBC_bafa2cb2262c4c4ebc4eed8f4e4a81c6">
        <m:complexRule comparator="Eq" title="合营企业-余额小计" test=" $_GBC_7b867ab2bb9d46af99f0800d1ea8fa81" id="Ccafd9755ffe04ebfb77ccb00e7d8c746"/>
        <m:complexRule comparator="Eq" title="合营企业-余额小计横向公式" test=" $_GBC_e66da97076eb42738d132c176cdfa35d +  $_GBC_c9b7d74b98994160ba52c911a59993d9 -  $_GBC_398d2c0fbeac4d3d832e73b29afd6586 +  $_GBC_1b9a0c6432284e3e909da4d3f43a355e +  $_GBC_ed122d9ccf524d5a92794ca5f887bc7b +  $_GBC_d79f4be8b6c940a480d7ff128c5e0d68 -  $_GBC_505a1179fa094e839b95f09788d1b384 -  $_GBC_e1b1ac9fcc6445f8b49ba359dd95287a +  $_GBC_f9d0c9e8e66048c0ab8fcb62573b5edd" id="Cb017ebd0510a4cfeab20df65e5af6fe0"/>
      </m:item>
      <m:item xlName="_GBC_03a16be633c04a1d82629574de317d7d" concept="clcid-pte:HeYingQiYeJianZhiZhunBeiXiaoJi" label="合营企业-减值准备小计" mulRef="_GBC_63e30834d38e49658bec9056bc38e4e2" unitRef="_GBC_f72bca6b250e484887289a819bc62e7d" addr="T0R5C11S1_1" formatStyle="Comma" appId="_GBC_bafa2cb2262c4c4ebc4eed8f4e4a81c6">
        <m:complexRule comparator="Eq" title="合营企业-减值准备小计" test=" $_GBC_e205cda04f2445df94f64c6ea4568157" id="C8bbc0b6a43a3482c8bdf2d6d8630883b"/>
      </m:item>
      <m:placeholder xlName="_PLD_0b6a8ff5b8594d3fa9d53755249b815f" wordText="二、联营企业" addr="T0R6C0S1_12"/>
      <m:tuple xlName="_TUP_7b793873cf474c90a258ae813c0395d1" concept="clcid-pte:LianYingQiYeTouZiXinXiMingXi" default_row="2" addr="T0R7C">
        <m:item xlName="_GBC_56b9fc26fbf641f98631ccad0fe467c1" wordText="　" concept="clcid-pte:LianYingQiYeTouZiXinXiMingXiMingCheng" label="联营企业投资信息明细－名称" unitRef="_GBC_f72bca6b250e484887289a819bc62e7d" addr="T0R7C0S1_1" appId="_GBC_bafa2cb2262c4c4ebc4eed8f4e4a81c6"/>
        <m:item xlName="_GBC_f260e9fa7e234595b102f058d1e64c1b" concept="clcid-pte:LianYingQiYeTouZiMingXiYuE" label="联营企业投资明细-余额" periodRef="本期期初数" mulRef="_GBC_63e30834d38e49658bec9056bc38e4e2" unitRef="_GBC_f72bca6b250e484887289a819bc62e7d" addr="T0R7C1S1_1" formatStyle="Comma" appId="_GBC_bafa2cb2262c4c4ebc4eed8f4e4a81c6"/>
        <m:item xlName="_GBC_fd230f4c7baf4c0d9a21dd43488b7075" concept="clcid-pte:LianYingQiYeTouZiMingXiZhuiJiaTouZi" label="联营企业投资明细-追加投资" mulRef="_GBC_63e30834d38e49658bec9056bc38e4e2" unitRef="_GBC_f72bca6b250e484887289a819bc62e7d" addr="T0R7C2S1_1" formatStyle="Comma" appId="_GBC_bafa2cb2262c4c4ebc4eed8f4e4a81c6"/>
        <m:item xlName="_GBC_6d64070982f3457ab4972da09365912a" concept="clcid-pte:LianYingQiYeTouZiMingXiJianShaoTouZi" label="联营企业投资明细-减少投资" mulRef="_GBC_63e30834d38e49658bec9056bc38e4e2" unitRef="_GBC_f72bca6b250e484887289a819bc62e7d" addr="T0R7C3S1_1" baseScale="-1" formatStyle="Comma" appId="_GBC_bafa2cb2262c4c4ebc4eed8f4e4a81c6"/>
        <m:item xlName="_GBC_91ff508e9362427b84155c68786301cc" concept="clcid-pte:LianYingQiYeTouZiMingXiQuanYiFaXiaQueRenDeTouZiSunYi" label="联营企业投资明细-权益法下确认的投资损益" mulRef="_GBC_63e30834d38e49658bec9056bc38e4e2" unitRef="_GBC_f72bca6b250e484887289a819bc62e7d" addr="T0R7C4S1_1" formatStyle="Comma" appId="_GBC_bafa2cb2262c4c4ebc4eed8f4e4a81c6"/>
        <m:item xlName="_GBC_40ab3d3051fe480dae75a6a02335fc14" concept="clcid-pte:LianYingQiYeTouZiMingXiQiTaZongHeShouYiDiaoZheng" label="联营企业投资明细-其他综合收益调整" mulRef="_GBC_63e30834d38e49658bec9056bc38e4e2" unitRef="_GBC_f72bca6b250e484887289a819bc62e7d" addr="T0R7C5S1_1" formatStyle="Comma" appId="_GBC_bafa2cb2262c4c4ebc4eed8f4e4a81c6"/>
        <m:item xlName="_GBC_cfd4398923e34cb395eaec361c8722cd" concept="clcid-pte:LianYingQiYeTouZiMingXiQiTaQuanYiBianDong" label="联营企业投资明细-其他权益变动" mulRef="_GBC_63e30834d38e49658bec9056bc38e4e2" unitRef="_GBC_f72bca6b250e484887289a819bc62e7d" addr="T0R7C6S1_1" formatStyle="Comma" appId="_GBC_bafa2cb2262c4c4ebc4eed8f4e4a81c6"/>
        <m:item xlName="_GBC_0a90f18a997b45c5ae10da2cba7105dc" concept="clcid-pte:LianYingQiYeTouZiMingXiXuanGaoFaFangXianJinGuLiHuoLiRun" label="联营企业投资明细-宣告发放现金股利或利润" mulRef="_GBC_63e30834d38e49658bec9056bc38e4e2" unitRef="_GBC_f72bca6b250e484887289a819bc62e7d" addr="T0R7C7S1_1" baseScale="-1" formatStyle="Comma" appId="_GBC_bafa2cb2262c4c4ebc4eed8f4e4a81c6"/>
        <m:item xlName="_GBC_6399617ba1d443bb955ef7d2a2e7a01d" concept="clcid-pte:LianYingQiYeTouZiMingXiJiTiJianZhiZhunBei" label="联营企业投资明细-计提减值准备" mulRef="_GBC_63e30834d38e49658bec9056bc38e4e2" unitRef="_GBC_f72bca6b250e484887289a819bc62e7d" addr="T0R7C8S1_1" baseScale="-1" formatStyle="Comma" appId="_GBC_bafa2cb2262c4c4ebc4eed8f4e4a81c6"/>
        <m:item xlName="_GBC_a0a9780bd44f43c5b4b2b2182329d350" concept="clcid-pte:LianYingQiYeTouZiMingXiQiTaZengJianBianDong" label="联营企业投资明细-其他增减变动" mulRef="_GBC_63e30834d38e49658bec9056bc38e4e2" unitRef="_GBC_f72bca6b250e484887289a819bc62e7d" addr="T0R7C9S1_1" formatStyle="Comma" appId="_GBC_bafa2cb2262c4c4ebc4eed8f4e4a81c6"/>
        <m:item xlName="_GBC_7fce93d8530d4b4e83605f3a410e8345" concept="clcid-pte:LianYingQiYeTouZiMingXiYuE" label="联营企业投资明细-余额" mulRef="_GBC_63e30834d38e49658bec9056bc38e4e2" unitRef="_GBC_f72bca6b250e484887289a819bc62e7d" addr="T0R7C10S1_1" formatStyle="Comma" appId="_GBC_bafa2cb2262c4c4ebc4eed8f4e4a81c6">
          <m:complexRule comparator="Eq" title="联营企业投资明细-余额" test=" $_GBC_f260e9fa7e234595b102f058d1e64c1b +  $_GBC_fd230f4c7baf4c0d9a21dd43488b7075 -  $_GBC_6d64070982f3457ab4972da09365912a +  $_GBC_91ff508e9362427b84155c68786301cc +  $_GBC_40ab3d3051fe480dae75a6a02335fc14 +  $_GBC_cfd4398923e34cb395eaec361c8722cd -  $_GBC_0a90f18a997b45c5ae10da2cba7105dc -  $_GBC_6399617ba1d443bb955ef7d2a2e7a01d +  $_GBC_a0a9780bd44f43c5b4b2b2182329d350" id="Cf6b6f3a6ad4c4330b3fd8a91c44cb34f"/>
        </m:item>
        <m:item xlName="_GBC_d44a9add22c74a01a6a731d44b6b86fa" concept="clcid-pte:LianYingQiYeTouZiMingXiJianZhiZhunBeiYuE" label="联营企业投资明细-减值准备余额" mulRef="_GBC_63e30834d38e49658bec9056bc38e4e2" unitRef="_GBC_f72bca6b250e484887289a819bc62e7d" addr="T0R7C11S1_1" formatStyle="Comma" appId="_GBC_bafa2cb2262c4c4ebc4eed8f4e4a81c6"/>
        <m:item xlName="_GBC_39caad961913487a9eb697bc14dc91de" concept="">
          <m:extendConcept standardLabel="外币报表折算" dataType="xbrli:stringItemType" period="instant"/>
        </m:item>
        <m:item xlName="_GBC_82b53e4d62d542d895a14ef399067086" concept="">
          <m:extendConcept standardLabel="12" dataType="xbrli:stringItemType" period="instant"/>
        </m:item>
        <m:item xlName="_GBC_5c5eae4fb4cf4480a5778fb2a4cf9329" concept="">
          <m:extendConcept standardLabel="期末减值准备" dataType="xbrli:stringItemType" period="instant"/>
        </m:item>
      </m:tuple>
      <m:placeholder xlName="_PLD_e86edcc613c54457be7851b5a68c6455" wordText="小计" addr="T0R9C0S1_1"/>
      <m:item xlName="_GBC_8e803db7b0e4436183fd760e33ec58db" concept="clcid-pte:LianYingQiYeYuEXiaoJi" label="联营企业-余额小计" periodRef="本期期初数" mulRef="_GBC_63e30834d38e49658bec9056bc38e4e2" unitRef="_GBC_f72bca6b250e484887289a819bc62e7d" addr="T0R9C1S1_1" formatStyle="Comma" appId="_GBC_bafa2cb2262c4c4ebc4eed8f4e4a81c6">
        <m:complexRule comparator="Eq" title="联营企业-余额小计@本期期初数" test=" $_GBC_f260e9fa7e234595b102f058d1e64c1b" id="Cf0cf5314128a4b259c254c35920b4c6e"/>
      </m:item>
      <m:item xlName="_GBC_ee5a5f888292414e92ceaae60fe2004b" concept="clcid-pte:LianYingQiYeZhuiJiaTouZiXiaoJi" label="联营企业-追加投资小计" mulRef="_GBC_63e30834d38e49658bec9056bc38e4e2" unitRef="_GBC_f72bca6b250e484887289a819bc62e7d" addr="T0R9C2S1_1" formatStyle="Comma" appId="_GBC_bafa2cb2262c4c4ebc4eed8f4e4a81c6">
        <m:complexRule comparator="Eq" title="联营企业-追加投资小计" test=" $_GBC_fd230f4c7baf4c0d9a21dd43488b7075" id="C85a6724cf03246ada7b06a76a5590b7c"/>
      </m:item>
      <m:item xlName="_GBC_2b322020c69b4cedabfcddea7657b7f3" concept="clcid-pte:LianYingQiYeJianShaoTouZiXiaoJi" label="联营企业-减少投资小计" mulRef="_GBC_63e30834d38e49658bec9056bc38e4e2" unitRef="_GBC_f72bca6b250e484887289a819bc62e7d" addr="T0R9C3S1_1" baseScale="-1" formatStyle="Comma" appId="_GBC_bafa2cb2262c4c4ebc4eed8f4e4a81c6">
        <m:complexRule comparator="Eq" title="联营企业-减少投资小计" test=" $_GBC_6d64070982f3457ab4972da09365912a" id="C7c537218658f457aa09c76734c560cb2"/>
      </m:item>
      <m:item xlName="_GBC_b2c5cbde06174e8398f536e1848adf69" concept="clcid-pte:LianYingQiYeQuanYiFaXiaQueRenDeTouZiSunYiXiaoJi" label="联营企业-权益法下确认的投资损益小计" mulRef="_GBC_63e30834d38e49658bec9056bc38e4e2" unitRef="_GBC_f72bca6b250e484887289a819bc62e7d" addr="T0R9C4S1_1" formatStyle="Comma" appId="_GBC_bafa2cb2262c4c4ebc4eed8f4e4a81c6">
        <m:complexRule comparator="Eq" title="联营企业-权益法下确认的投资损益小计" test=" $_GBC_91ff508e9362427b84155c68786301cc" id="Ce53fc3429b224cfea8938c54726c8edb"/>
      </m:item>
      <m:item xlName="_GBC_3ba36b55f3fd412f9c40b69bbbb0bc8a" concept="clcid-pte:LianYingQiYeQiTaZongHeShouYiDiaoZhengXiaoJi" label="联营企业-其他综合收益调整小计" mulRef="_GBC_63e30834d38e49658bec9056bc38e4e2" unitRef="_GBC_f72bca6b250e484887289a819bc62e7d" addr="T0R9C5S1_1" formatStyle="Comma" appId="_GBC_bafa2cb2262c4c4ebc4eed8f4e4a81c6">
        <m:complexRule comparator="Eq" title="联营企业-其他综合收益调整小计" test=" $_GBC_40ab3d3051fe480dae75a6a02335fc14" id="Cbf291acc51e44216aa4a8ccc4eb33475"/>
      </m:item>
      <m:item xlName="_GBC_7ce5a419ed2c40f2bd4cbe1ce9128afb" concept="clcid-pte:LianYingQiYeQiTaQuanYiBianDongXiaoJi" label="联营企业-其他权益变动小计" mulRef="_GBC_63e30834d38e49658bec9056bc38e4e2" unitRef="_GBC_f72bca6b250e484887289a819bc62e7d" addr="T0R9C6S1_1" formatStyle="Comma" appId="_GBC_bafa2cb2262c4c4ebc4eed8f4e4a81c6">
        <m:complexRule comparator="Eq" title="联营企业-其他权益变动小计" test=" $_GBC_cfd4398923e34cb395eaec361c8722cd" id="C0effbbbf8cb04f56b004a2f32db6088f"/>
      </m:item>
      <m:item xlName="_GBC_9c184d4148ee4f328d08a06217b8f625" concept="clcid-pte:LianYingQiYeXuanGaoFaFangXianJinGuLiHuoLiRunXiaoJi" label="联营企业-宣告发放现金股利或利润小计" mulRef="_GBC_63e30834d38e49658bec9056bc38e4e2" unitRef="_GBC_f72bca6b250e484887289a819bc62e7d" addr="T0R9C7S1_1" baseScale="-1" formatStyle="Comma" appId="_GBC_bafa2cb2262c4c4ebc4eed8f4e4a81c6">
        <m:complexRule comparator="Eq" title="联营企业-宣告发放现金股利或利润小计" test=" $_GBC_0a90f18a997b45c5ae10da2cba7105dc" id="Cd32fd897aedf4764b9f4575b7dc916fd"/>
      </m:item>
      <m:item xlName="_GBC_9056c2cfc05b43f7a1efaf04dcef6179" concept="clcid-pte:LianYingQiYeJiTiJianZhiZhunBeiXiaoJi" label="联营企业-计提减值准备小计" mulRef="_GBC_63e30834d38e49658bec9056bc38e4e2" unitRef="_GBC_f72bca6b250e484887289a819bc62e7d" addr="T0R9C8S1_1" baseScale="-1" formatStyle="Comma" appId="_GBC_bafa2cb2262c4c4ebc4eed8f4e4a81c6">
        <m:complexRule comparator="Eq" title="联营企业-计提减值准备小计" test=" $_GBC_6399617ba1d443bb955ef7d2a2e7a01d" id="C4b1fa086d8e64f6b96dfe160f308c7d7"/>
      </m:item>
      <m:item xlName="_GBC_1f0ffdcbf0c64c089414c5457ab783ff" concept="clcid-pte:LianYingQiYeQiTaZengJianBianDongXiaoJi" label="联营企业-其他增减变动小计" mulRef="_GBC_63e30834d38e49658bec9056bc38e4e2" unitRef="_GBC_f72bca6b250e484887289a819bc62e7d" addr="T0R9C9S1_1" formatStyle="Comma" appId="_GBC_bafa2cb2262c4c4ebc4eed8f4e4a81c6">
        <m:complexRule comparator="Eq" title="联营企业-其他增减变动小计" test=" $_GBC_a0a9780bd44f43c5b4b2b2182329d350" id="Ce25220398e994cedb1e4e77323d80a7c"/>
      </m:item>
      <m:item xlName="_GBC_34c725ef29104adea011a8c16ac0a4fe" concept="clcid-pte:LianYingQiYeYuEXiaoJi" label="联营企业-余额小计" mulRef="_GBC_63e30834d38e49658bec9056bc38e4e2" unitRef="_GBC_f72bca6b250e484887289a819bc62e7d" addr="T0R9C10S1_1" formatStyle="Comma" appId="_GBC_bafa2cb2262c4c4ebc4eed8f4e4a81c6">
        <m:complexRule comparator="Eq" title="联营企业-余额小计" test=" $_GBC_7fce93d8530d4b4e83605f3a410e8345" id="Ca6a6a02bd8144678ac985b541e8526e4"/>
        <m:complexRule comparator="Eq" title="联营企业-余额小计横向公式" test=" $_GBC_8e803db7b0e4436183fd760e33ec58db +  $_GBC_ee5a5f888292414e92ceaae60fe2004b -  $_GBC_2b322020c69b4cedabfcddea7657b7f3 +  $_GBC_b2c5cbde06174e8398f536e1848adf69 +  $_GBC_3ba36b55f3fd412f9c40b69bbbb0bc8a +  $_GBC_7ce5a419ed2c40f2bd4cbe1ce9128afb -  $_GBC_9c184d4148ee4f328d08a06217b8f625 -  $_GBC_9056c2cfc05b43f7a1efaf04dcef6179 +  $_GBC_1f0ffdcbf0c64c089414c5457ab783ff" id="C16e818a5723b4482bcb62741e1f47372"/>
      </m:item>
      <m:item xlName="_GBC_e6587ba157de4fe2b44820bf583c5bc4" concept="clcid-pte:LianYingQiYeJianZhiZhunBeiXiaoJi" label="联营企业-减值准备小计" mulRef="_GBC_63e30834d38e49658bec9056bc38e4e2" unitRef="_GBC_f72bca6b250e484887289a819bc62e7d" addr="T0R9C11S1_1" formatStyle="Comma" appId="_GBC_bafa2cb2262c4c4ebc4eed8f4e4a81c6">
        <m:complexRule comparator="Eq" title="联营企业-减值准备小计" test=" $_GBC_d44a9add22c74a01a6a731d44b6b86fa" id="Cc9c473bde1e347809889b9734ce36f76"/>
      </m:item>
      <m:placeholder xlName="_PLD_b73f7db9d31542d0baadac2e32c193fe" wordText="合计" addr="T0R10C0S1_1"/>
      <m:item xlName="_GBC_42517d9004a943fc8453c94ba8457dda" concept="clcid-pte:ChangQiGuQuanTouZiHeJi" label="长期股权投资合计" periodRef="本期期初数" mulRef="_GBC_63e30834d38e49658bec9056bc38e4e2" unitRef="_GBC_f72bca6b250e484887289a819bc62e7d" addr="T0R10C1S1_1" formatStyle="Comma" appId="_GBC_bafa2cb2262c4c4ebc4eed8f4e4a81c6">
        <m:complexRule comparator="Eq" title="长期股权投资合计@本期期初数" test=" $_GBC_e66da97076eb42738d132c176cdfa35d +  $_GBC_8e803db7b0e4436183fd760e33ec58db" id="Cd6845d975c7a4f83a391e76bf42ed9d1"/>
      </m:item>
      <m:item xlName="_GBC_822512a6f59c4597944d6160ba26f31a" concept="clcid-pte:ChangQiGuQuanTouZiBenQiZengJiaZhuiJiaTouZiHeJi" label="长期股权投资本期增加-追加投资合计" mulRef="_GBC_63e30834d38e49658bec9056bc38e4e2" unitRef="_GBC_f72bca6b250e484887289a819bc62e7d" addr="T0R10C2S1_1" formatStyle="Comma" appId="_GBC_bafa2cb2262c4c4ebc4eed8f4e4a81c6">
        <m:complexRule comparator="Eq" title="长期股权投资本期增加-追加投资合计" test=" $_GBC_c9b7d74b98994160ba52c911a59993d9 +  $_GBC_ee5a5f888292414e92ceaae60fe2004b" id="C1102eaed3325481cad7bba0589c69c70"/>
      </m:item>
      <m:item xlName="_GBC_bd98e41575364c5aaa02a7fb747237fb" concept="clcid-pte:ChangQiGuQuanTouZiBenQiJianShaoJianShaoTouZiHeJi" label="长期股权投资本期减少-减少投资合计" mulRef="_GBC_63e30834d38e49658bec9056bc38e4e2" unitRef="_GBC_f72bca6b250e484887289a819bc62e7d" addr="T0R10C3S1_1" baseScale="-1" formatStyle="Comma" appId="_GBC_bafa2cb2262c4c4ebc4eed8f4e4a81c6">
        <m:complexRule comparator="Eq" title="长期股权投资本期减少-减少投资合计" test=" $_GBC_398d2c0fbeac4d3d832e73b29afd6586 +  $_GBC_2b322020c69b4cedabfcddea7657b7f3" id="C1917c18bbbde4d9c9015b0ded123ab77"/>
      </m:item>
      <m:item xlName="_GBC_cae3691059674d4794b11c324dd0fd96" concept="clcid-pte:ChangQiGuQuanTouZiBenQiZengJiaQuanYiFaXiaQueRenDeTouZiShouYiHeJi" label="长期股权投资本期增加-权益法下确认的投资收益合计" mulRef="_GBC_63e30834d38e49658bec9056bc38e4e2" unitRef="_GBC_f72bca6b250e484887289a819bc62e7d" addr="T0R10C4S1_1" formatStyle="Comma" appId="_GBC_bafa2cb2262c4c4ebc4eed8f4e4a81c6">
        <m:complexRule comparator="Eq" title="长期股权投资本期增加-权益法下确认的投资收益合计" test=" $_GBC_1b9a0c6432284e3e909da4d3f43a355e +  $_GBC_b2c5cbde06174e8398f536e1848adf69" id="Cc34610aba3a246ce9972f70e5a82218e"/>
      </m:item>
      <m:item xlName="_GBC_9dd29059b35c4ff58d430e6f0af8839c" concept="clcid-pte:ChangQiGuQuanTouZiBenQiZengJiaQiTaZongHeShouYiDiaoZhengHeJi" label="长期股权投资本期增加-其他综合收益调整合计" mulRef="_GBC_63e30834d38e49658bec9056bc38e4e2" unitRef="_GBC_f72bca6b250e484887289a819bc62e7d" addr="T0R10C5S1_1" formatStyle="Comma" appId="_GBC_bafa2cb2262c4c4ebc4eed8f4e4a81c6">
        <m:complexRule comparator="Eq" title="长期股权投资本期增加-其他综合收益调整合计" test=" $_GBC_ed122d9ccf524d5a92794ca5f887bc7b +  $_GBC_3ba36b55f3fd412f9c40b69bbbb0bc8a" id="C88952c20a9084ecea30e004e03b5739a"/>
      </m:item>
      <m:item xlName="_GBC_efe97980d832454fa6edca14a8669acb" concept="clcid-pte:ChangQiGuQuanTouZiBenQiZengJiaQiTaQuanYiBianDongHeJi" label="长期股权投资本期增加-其他权益变动合计" mulRef="_GBC_63e30834d38e49658bec9056bc38e4e2" unitRef="_GBC_f72bca6b250e484887289a819bc62e7d" addr="T0R10C6S1_1" formatStyle="Comma" appId="_GBC_bafa2cb2262c4c4ebc4eed8f4e4a81c6">
        <m:complexRule comparator="Eq" title="长期股权投资本期增加-其他权益变动合计" test=" $_GBC_d79f4be8b6c940a480d7ff128c5e0d68 +  $_GBC_7ce5a419ed2c40f2bd4cbe1ce9128afb" id="C8640f0f0492a4ccd93bd92fb4135e067"/>
      </m:item>
      <m:item xlName="_GBC_0d56724a1c2043ccbee47c96e7ca2bbd" concept="clcid-pte:ChangQiGuQuanTouZiXuanGaoFaFangXianJinGuLiHuoLiRunHeJi" label="长期股权投资宣告发放现金股利或利润合计" mulRef="_GBC_63e30834d38e49658bec9056bc38e4e2" unitRef="_GBC_f72bca6b250e484887289a819bc62e7d" addr="T0R10C7S1_1" baseScale="-1" formatStyle="Comma" appId="_GBC_bafa2cb2262c4c4ebc4eed8f4e4a81c6">
        <m:complexRule comparator="Eq" title="长期股权投资宣告发放现金股利或利润合计" test=" $_GBC_505a1179fa094e839b95f09788d1b384 +  $_GBC_9c184d4148ee4f328d08a06217b8f625" id="C70cc74687a1d4b39b3a67c8fe7f22f1b"/>
      </m:item>
      <m:item xlName="_GBC_f8185cbcbcf24de7a0112a9753e71080" concept="clcid-pte:ChangQiGuQuanTouZiBenQiZengJiaJiTiJianZhiZhunBeiHeJi" label="长期股权投资本期增加-计提减值准备合计" mulRef="_GBC_63e30834d38e49658bec9056bc38e4e2" unitRef="_GBC_f72bca6b250e484887289a819bc62e7d" addr="T0R10C8S1_1" baseScale="-1" formatStyle="Comma" appId="_GBC_bafa2cb2262c4c4ebc4eed8f4e4a81c6">
        <m:complexRule comparator="Eq" title="长期股权投资减值准备_本期增加数" test=" $_GBC_e1b1ac9fcc6445f8b49ba359dd95287a +  $_GBC_9056c2cfc05b43f7a1efaf04dcef6179" id="C24aaf8e23f1643aa90fb715da5d74a84"/>
      </m:item>
      <m:item xlName="_GBC_522892b7558c4481978698ebe064662f" concept="clcid-pte:ChangQiGuQuanTouZiBenQiQiTaZengJianBianDongHeJi" label="长期股权投资本期其他增减变动合计" mulRef="_GBC_63e30834d38e49658bec9056bc38e4e2" unitRef="_GBC_f72bca6b250e484887289a819bc62e7d" addr="T0R10C9S1_1" formatStyle="Comma" appId="_GBC_bafa2cb2262c4c4ebc4eed8f4e4a81c6">
        <m:complexRule comparator="Eq" title="长期股权投资本期其他增减变动合计" test=" $_GBC_f9d0c9e8e66048c0ab8fcb62573b5edd +  $_GBC_1f0ffdcbf0c64c089414c5457ab783ff" id="C259455f5b8064f4d82a9634e827dfe8f"/>
      </m:item>
      <m:item xlName="_GBC_9656df4132694e959e11b5b5a8023422" concept="clcid-pte:ChangQiGuQuanTouZiHeJi" label="长期股权投资合计" mulRef="_GBC_63e30834d38e49658bec9056bc38e4e2" unitRef="_GBC_f72bca6b250e484887289a819bc62e7d" addr="T0R10C10S1_1" formatStyle="Comma" appId="_GBC_bafa2cb2262c4c4ebc4eed8f4e4a81c6">
        <m:complexRule comparator="Eq" title="长期股权投资合计" test=" $_GBC_730db529ed11409b8a611007a18708b5 +  $_GBC_34c725ef29104adea011a8c16ac0a4fe" id="C7d636d0f276f4f1aa59966943172d272"/>
        <m:complexRule comparator="Eq" title="长期股权投资合计横向公式" test=" $_GBC_42517d9004a943fc8453c94ba8457dda +  $_GBC_822512a6f59c4597944d6160ba26f31a -  $_GBC_bd98e41575364c5aaa02a7fb747237fb +  $_GBC_cae3691059674d4794b11c324dd0fd96 +  $_GBC_9dd29059b35c4ff58d430e6f0af8839c +  $_GBC_efe97980d832454fa6edca14a8669acb -  $_GBC_0d56724a1c2043ccbee47c96e7ca2bbd -  $_GBC_f8185cbcbcf24de7a0112a9753e71080 +  $_GBC_522892b7558c4481978698ebe064662f" id="C812b4cb887b74ea19b0bbbf9606b6199"/>
      </m:item>
      <m:item xlName="_GBC_d1628dc80b854f529a3be5aec00dbae8" concept="clcid-pte:ChangQiGuQuanTouZiJianZhiZhunBeiYuE" label="长期股权投资减值准备余额" mulRef="_GBC_63e30834d38e49658bec9056bc38e4e2" unitRef="_GBC_f72bca6b250e484887289a819bc62e7d" addr="T0R10C11S1_1" formatStyle="Comma" appId="_GBC_bafa2cb2262c4c4ebc4eed8f4e4a81c6">
        <m:complexRule comparator="Eq" title="长期股权投资减值准备余额" test=" $_GBC_03a16be633c04a1d82629574de317d7d +  $_GBC_e6587ba157de4fe2b44820bf583c5bc4" id="Cdf39137e2cd7478e950dab45f266e58d"/>
      </m:item>
      <m:region xlName="_GBC_ccc3d8feeab24d0e8e4139f2a19cfa7c" title="长期股权投资的说明" mandatory="false" convertSummaryRule="NoConvert" helpId="117016001">
        <m:item xlName="_GBC_492b53d02462408a924f069c70a16ce9" concept="clcid-pte:ChangQiGuPiaoTouZiDeShuoMing" label="长期股票投资的说明" appId="_GBC_bafa2cb2262c4c4ebc4eed8f4e4a81c6"/>
      </m:region>
    </m:section>
    <m:section xlName="_SEC_a252a6b12c694a478cd66b63ece88d66" title="其他权益工具投资" helpId="112001059"/>
    <m:section xlName="_SEC_cfe1ba6c98894c1f8f64c41c9a5b8180" title="非交易性权益工具投资的情况" helpId="112001059"/>
    <m:section xlName="_SEC_e3d4d5136ad847a0a66a1c4edca28c29" title="其他说明：" helpId="112001059"/>
    <m:section xlName="_SEC_6895bb6903584ff780f3500311ed1560" title="其他非流动金融资产"/>
    <m:section xlName="_GBC_528a899f5044443fa0dd6606f304d80d" title="公允价值计量模式" rules="R2015_R11_011" checkKey="!成本计量" convertSummaryRule="NoConvert" helpId="112001064" primarySection="_GBC_f6dac261d9a74df7a48db85ed7768fd1" optionText="公允价值计量模式" optionGroupTitle="投资性房地产计量模式" optionTargetConcept="clcid-pte:TouZiXingFangDiChanJiLiangMoShi" optionTargetConceptValue="公允价值计量模式"/>
    <m:section xlName="_GBC_3910517a603f4979b551ec278644d4e0" title="不适用" checkKey="!公允价值计量&amp;!成本计量" primarySection="_GBC_f6dac261d9a74df7a48db85ed7768fd1" optionText="不适用" optionGroupTitle="投资性房地产计量模式" optionTargetConcept="clcid-pte:TouZiXingFangDiChanJiLiangMoShi" optionTargetConceptValue="不适用"/>
    <m:section xlName="_GBC_f6dac261d9a74df7a48db85ed7768fd1" title="成本计量模式" rules="R2015_R11_011" checkKey="!公允价值计量" convertSummaryRule="NoConvert" helpId="112001064" primarySection="_GBC_f6dac261d9a74df7a48db85ed7768fd1" optionText="成本计量模式" activeContentOption="_GBC_528a899f5044443fa0dd6606f304d80d" optionGroupTitle="投资性房地产计量模式" optionTargetConcept="clcid-pte:TouZiXingFangDiChanJiLiangMoShi" optionTargetConceptValue="成本计量模式" afterEmptyParagraphs="1"/>
    <m:section xlName="_SEC_d216074d2ae442239dbb6f5f9b7a5d89" title="固定资产项目列示"/>
    <m:section xlName="_GBC_6b764c2f9af049ba98fb55c66fe083a9" title="固定资产情况" rules="R2015_R11_012" convertSummaryRule="NoConvert" helpId="112001065" helpText="注：公司根据自身实际情况确定类别，一般包括房屋及建筑物、机器设备、电子设备、运输设备等。">
      <m:virtualTuples>
        <m:virtualTuple id="bdf0d8d4-7913-40b3-bfd4-fd60241cfc86" tupleRef="clcid-pte:GuDingZiChanQingKuangMingXi" defaultRows="4" extendDirection="2" splitWidth="1"/>
      </m:virtualTuples>
    </m:section>
    <m:section xlName="_GBC_77e89169b7ab4fccae8cff3d8a125711" title="暂时闲置的固定资产情况" rules="R2015_R11_012" convertSummaryRule="NoConvert" helpId="112001065"/>
    <m:section xlName="_GBC_f8dc7bf0df9345f6a1581560999dd4d8" title="通过融资租赁租入的固定资产情况" rules="R2015_R11_012" convertSummaryRule="NoConvert" helpId="112001065" helpText="未执行新租赁准则的公司填写。"/>
    <m:section xlName="_GBC_06e38c241c8a43a99fdd68c92888bab1" title="通过经营租赁租出的固定资产" rules="R2015_R11_012" helpId="112001065" helpText="未执行新租赁准则的公司填写。"/>
    <m:section xlName="_GBC_5b357259936442c38f67f17b533c7085" title="未办妥产权证书的固定资产情况" rules="R2015_R11_012" convertSummaryRule="NoConvert" helpId="112001065"/>
    <m:section xlName="_GBC_c93a179f84504ae59ee71556bc9afb64" title="固定资产说明" rules="R2015_R11_012" convertSummaryRule="NoConvert" helpId="112001065"/>
    <m:section xlName="_GBC_0de4677cdcb54eaa8c2b2afa938f1054" title="固定资产清理"/>
    <m:section xlName="_SEC_5259769a5b954eaaa39f8ab4268be07c" title="在建工程项目列示"/>
    <m:section xlName="_GBC_88cd7483eb15414d84d17f5cc1a4bf78" title="在建工程情况" rules="R2015_R11_012" convertSummaryRule="NoConvert" helpId="112001067"/>
    <m:section xlName="_GBC_b1eb75f465d7494995f17407201cfca9" title="重大在建工程项目变动情况" rules="R2015_R11_012" extended="true" convertSummaryRule="NoConvert" helpId="112001067" helpText="注：资金来源，一般包括募股资金、金融机构贷款和其他来源等。">
      <m:item xlName="_GBC_ec2dd768673145d4bb9d3c31a6fa701a" concept="clcid-ci-ar:ShiFouShiYongZhongYaoZaiJianGongChengXiangMuBenQiBianDongQingKuang" label="是否适用：重要在建工程项目本期变动情况" selectOptions="_buildInAppliance" controlType="CustomCheckbox" cRanges="{&quot;StartName&quot;:&quot;_GBC_ec2dd768673145d4bb9d3c31a6fa701a&quot;,&quot;EndName&quot;:&quot;_GBC_4522f2d0e1f74a6e94e2af3836a05dbb&quot;,&quot;CType&quot;:1,&quot;DisplayText&quot;:null}"/>
      <m:item xlName="_GBC_29f36690ce0d4e8bbec5f76711e80456" indRef="259" concept="clcid-ci-ar:DanWeiCaiWuFuZhuZaiJianGongChengXiangMuBianDongQingKuang" label="单位：财务附注：在建工程项目变动情况" selectOptions="_buildInScales" controlType="Combobox" cellType="Scale" appId="_GBC_ec2dd768673145d4bb9d3c31a6fa701a"/>
      <m:item xlName="_GBC_6fab639954e742c1bd6f75b3c51ecaf8" indRef="260" concept="clcid-ci-ar:BiZhongCaiWuFuZhuZaiJianGongChengXiangMuBianDongQingKuang" label="币种：财务附注：在建工程项目变动情况" selectOptions="_buildInISO4217" controlType="Combobox" cellType="Measure" appId="_GBC_ec2dd768673145d4bb9d3c31a6fa701a"/>
      <m:placeholder xlName="_PLD_911d5911af294d4f9d2b6b16b5f6c08b" wordText="项目名称" addr="T0R0C0S1_1"/>
      <m:placeholder xlName="_PLD_667404be40294d63b853abf58a9d185f" wordText="预算数" addr="T0R0C1S1_1"/>
      <m:placeholder xlName="_PLD_25c75ebdcb434964b5f5e8b512151b0b" wordText="期初余额" addr="T0R0C2S1_1"/>
      <m:placeholder xlName="_PLD_0117182ae7e24536a0996423ddcfa5f0" wordText="本期增加金额" addr="T0R0C3S1_1"/>
      <m:placeholder xlName="_PLD_6db4feaec90f4eeeb4ed5fb04d298657" wordText="本期转入固定资产金额" addr="T0R0C4S1_1"/>
      <m:placeholder xlName="_PLD_1fe85c3ed6f84f6f85209149a9931055" wordText="本期其他减少金额" addr="T0R0C5S1_1"/>
      <m:placeholder xlName="_PLD_7954fe4b89f644d29865af249dfe8c3f" wordText="期末余额" addr="T0R0C6S1_1"/>
      <m:placeholder xlName="_PLD_d9aa12b28eda4362b90372032218ea1a" wordText="工程累计投入占预算比例(%)" addr="T0R0C7S1_1"/>
      <m:placeholder xlName="_PLD_9e610c25eba14177abc9b359511cb935" wordText="工程进度" addr="T0R0C8S1_1"/>
      <m:placeholder xlName="_PLD_e89a95ddf6ab4a6abe2d40f64c95699a" wordText="利息资本化累计金额" addr="T0R0C9S1_1"/>
      <m:placeholder xlName="_PLD_211048c05b944d8f9bfd1d37edfd2f6d" wordText="其中：本期利息资本化金额" addr="T0R0C10S1_1"/>
      <m:placeholder xlName="_PLD_2cbfddfcd5e6493ba68633d99551c05f" wordText="本期利息资本化率(%)" addr="T0R0C11S1_1"/>
      <m:placeholder xlName="_PLD_39440674746d4382a4f99328187752a9" wordText="资金来源" addr="T0R0C12S1_1"/>
      <m:tuple xlName="_GBC_b84d9018f52b45beabeca7c2371cdc18" concept="clcid-pte:ZaiJianGongChengMingXi" default_row="2" addr="T0R1C">
        <m:item xlName="_GBC_cb285d56275840a19db40590398e9f1e" wordText="　" concept="clcid-pte:ZaiJianGongChengXiangMuMingCheng" label="在建工程项目名称" addr="T0R1C0S1_1" appId="_GBC_ec2dd768673145d4bb9d3c31a6fa701a"/>
        <m:item xlName="_GBC_ca29eb19d70547b7a620d3b7e5ff2da4" concept="clcid-pte:ZaiJianGongChengYuSuanShu" label="在建工程预算数" mulRef="_GBC_29f36690ce0d4e8bbec5f76711e80456" unitRef="_GBC_6fab639954e742c1bd6f75b3c51ecaf8" addr="T0R1C1S1_1" formatStyle="Comma" appId="_GBC_ec2dd768673145d4bb9d3c31a6fa701a">
          <m:simpleRule dataType="Decimal" comparator="Gt" minValue="100000" level="Warn"/>
        </m:item>
        <m:item xlName="_GBC_a3e1de36b8fe4fcbaa654eb7c7e84309" concept="clcid-pte:ZaiJianGongChengXiangMuJinE" label="在建工程项目金额" periodRef="本期期初数" mulRef="_GBC_29f36690ce0d4e8bbec5f76711e80456" unitRef="_GBC_6fab639954e742c1bd6f75b3c51ecaf8" addr="T0R1C2S1_1" formatStyle="Comma" appId="_GBC_ec2dd768673145d4bb9d3c31a6fa701a"/>
        <m:item xlName="_GBC_e08da6ba6e2f4173a525e39357b220bc" concept="clcid-pte:ZaiJianGongChengXiangMuJinEZengJiaShu" label="在建工程项目金额增加数" mulRef="_GBC_29f36690ce0d4e8bbec5f76711e80456" unitRef="_GBC_6fab639954e742c1bd6f75b3c51ecaf8" addr="T0R1C3S1_1" formatStyle="Comma" appId="_GBC_ec2dd768673145d4bb9d3c31a6fa701a"/>
        <m:item xlName="_GBC_9ae837dcda3a4fe68dcb69205e66942a" concept="clcid-pte:ZaiJianGongChengXiangMuZhuanRuGuDingZiChan" label="在建工程项目转入固定资产" mulRef="_GBC_29f36690ce0d4e8bbec5f76711e80456" unitRef="_GBC_6fab639954e742c1bd6f75b3c51ecaf8" addr="T0R1C4S1_1" formatStyle="Comma" appId="_GBC_ec2dd768673145d4bb9d3c31a6fa701a"/>
        <m:item xlName="_GBC_e77381c97d044bdb967f5cac7a999f8d" concept="clcid-pte:ZaiJianGongChengMingXiXiangMuJianShao" label="在建工程明细－其他减少" mulRef="_GBC_29f36690ce0d4e8bbec5f76711e80456" unitRef="_GBC_6fab639954e742c1bd6f75b3c51ecaf8" addr="T0R1C5S1_1" formatStyle="Comma" appId="_GBC_ec2dd768673145d4bb9d3c31a6fa701a"/>
        <m:item xlName="_GBC_1fd301de0c794ef9b814ee779fe148df" concept="clcid-pte:ZaiJianGongChengXiangMuJinE" label="在建工程项目金额" mulRef="_GBC_29f36690ce0d4e8bbec5f76711e80456" unitRef="_GBC_6fab639954e742c1bd6f75b3c51ecaf8" addr="T0R1C6S1_1" formatStyle="Comma" appId="_GBC_ec2dd768673145d4bb9d3c31a6fa701a"/>
        <m:item xlName="_GBC_5eed7db3b3c940c1b8274243afa3c68c" concept="clcid-pte:ZaiJianGongChengXiangMuGongChengTouRuZhanYuSuanBiLi" label="在建工程项目工程投入占预算比例" addr="T0R1C7S1_1" baseScale="0.01" formatStyle="Comma" appId="_GBC_ec2dd768673145d4bb9d3c31a6fa701a"/>
        <m:item xlName="_GBC_27e1d62c8ebd4b05bb1dccb64ac98bb9" concept="clcid-pte:ZaiJianGongChengXiangMuGongChengJinDu" label="在建工程项目工程进度" addr="T0R1C8S1_1" appId="_GBC_ec2dd768673145d4bb9d3c31a6fa701a"/>
        <m:item xlName="_GBC_280d99bee6f74ba49cca95aee46d6669" concept="clcid-pte:ZaiJianGongChengLiXiZiBenHuaJinE" label="在建工程利息资本化金额" mulRef="_GBC_29f36690ce0d4e8bbec5f76711e80456" unitRef="_GBC_6fab639954e742c1bd6f75b3c51ecaf8" addr="T0R1C9S1_1" formatStyle="Comma" appId="_GBC_ec2dd768673145d4bb9d3c31a6fa701a"/>
        <m:item xlName="_GBC_4106b641b25741ccae8b84231b62fce4" concept="clcid-pte:ZaiJianGongChengXiangMuDangQiLiXiZiBenHuaJinE" label="在建工程明细－当期利息资本化金额" mulRef="_GBC_29f36690ce0d4e8bbec5f76711e80456" unitRef="_GBC_6fab639954e742c1bd6f75b3c51ecaf8" addr="T0R1C10S1_1" formatStyle="Comma" appId="_GBC_ec2dd768673145d4bb9d3c31a6fa701a"/>
        <m:item xlName="_GBC_731999b1ce004acebf4383500d031329" concept="clcid-pte:ZaiJianGongChengXiangMuDangQiLiXiZiBenHuaLv" label="在建工程明细－当期利息资本化率" addr="T0R1C11S1_1" baseScale="0.01" formatStyle="Comma" appId="_GBC_ec2dd768673145d4bb9d3c31a6fa701a"/>
        <m:item xlName="_GBC_5e1a67af1d0e43a2bb766dee9c33ebef" concept="clcid-pte:ZaiJianGongChengXiangMuZiJinLaiYuan" label="在建工程项目资金来源" addr="T0R1C12S1_1" appId="_GBC_ec2dd768673145d4bb9d3c31a6fa701a"/>
        <m:item xlName="_GBC_03ee4ee1543240a5a62a9b4368a19be1" concept="">
          <m:extendConcept standardLabel="外币报表折算差额" dataType="xbrli:stringItemType" period="instant"/>
        </m:item>
        <m:item xlName="_GBC_31d932b8a5e14276bb56b250239cf3c8" concept="">
          <m:extendConcept standardLabel="预算数" dataType="xbrli:stringItemType" period="instant"/>
        </m:item>
      </m:tuple>
      <m:placeholder xlName="_PLD_942a3001646f41f087960bab251b2bbb" wordText="合计" addr="T0R3C0S1_1"/>
      <m:item xlName="_GBC_3a7beae1cbd147c1834ebd1a6baa6b74" concept="clcid-pte:ZaiJianGongChengYuSuanShuHeJi" label="在建工程预算数合计" mulRef="_GBC_29f36690ce0d4e8bbec5f76711e80456" unitRef="_GBC_6fab639954e742c1bd6f75b3c51ecaf8" addr="T0R3C1S1_1" formatStyle="Comma" appId="_GBC_ec2dd768673145d4bb9d3c31a6fa701a">
        <m:simpleRule dataType="Decimal" comparator="Gt" minValue="100000" level="Warn"/>
        <m:complexRule comparator="Eq" title="在建工程预算数合计" test=" $_GBC_ca29eb19d70547b7a620d3b7e5ff2da4" id="C1551e6f0f3054bdeb9107e7494e5c60e"/>
      </m:item>
      <m:item xlName="_GBC_a0a6932c81de48baac2aa586d0ae1c5f" concept="clcid-pte:ZhongDaZaiJianGongChengHeJi" label="重大在建工程合计" periodRef="本期期初数" mulRef="_GBC_29f36690ce0d4e8bbec5f76711e80456" unitRef="_GBC_6fab639954e742c1bd6f75b3c51ecaf8" addr="T0R3C2S1_1" formatStyle="Comma" appId="_GBC_ec2dd768673145d4bb9d3c31a6fa701a">
        <m:complexRule comparator="Eq" title="重大在建工程合计@本期期初数" test=" $_GBC_a3e1de36b8fe4fcbaa654eb7c7e84309" id="C6f7a57df80724085a1f18c01d952b65a"/>
      </m:item>
      <m:item xlName="_GBC_dbb4148eaa2d461e9bc3e0deb27c454b" concept="clcid-pte:ZaiJianGongChengHeJiZengJiaShu" label="在建工程合计增加数" mulRef="_GBC_29f36690ce0d4e8bbec5f76711e80456" unitRef="_GBC_6fab639954e742c1bd6f75b3c51ecaf8" addr="T0R3C3S1_1" formatStyle="Comma" appId="_GBC_ec2dd768673145d4bb9d3c31a6fa701a">
        <m:complexRule comparator="Eq" title="在建工程合计增加数" test=" $_GBC_e08da6ba6e2f4173a525e39357b220bc" id="C25e9b2e0300943be8533b71e055aa435"/>
      </m:item>
      <m:item xlName="_GBC_7d88aec46b1244149e8c9b19fcbacb82" concept="clcid-pte:ZaiJianGongChengZhuanRuGuDingZiChanHeJi" label="在建工程转入固定资产合计" mulRef="_GBC_29f36690ce0d4e8bbec5f76711e80456" unitRef="_GBC_6fab639954e742c1bd6f75b3c51ecaf8" addr="T0R3C4S1_1" formatStyle="Comma" appId="_GBC_ec2dd768673145d4bb9d3c31a6fa701a">
        <m:complexRule comparator="Eq" title="在建工程转入固定资产合计" test=" $_GBC_9ae837dcda3a4fe68dcb69205e66942a" id="C3fcae62cb33f4be7ab45086bb457260e"/>
      </m:item>
      <m:item xlName="_GBC_6022cf4522c84123a4a039984ffb9168" concept="clcid-pte:ZaiJianGongChengQiTaJianShaoHeJi" label="在建工程其他减少合计" mulRef="_GBC_29f36690ce0d4e8bbec5f76711e80456" unitRef="_GBC_6fab639954e742c1bd6f75b3c51ecaf8" addr="T0R3C5S1_1" formatStyle="Comma" appId="_GBC_ec2dd768673145d4bb9d3c31a6fa701a">
        <m:complexRule comparator="Eq" title="在建工程其他减少合计" test=" $_GBC_e77381c97d044bdb967f5cac7a999f8d" id="C4986e86a45514b119de63d4e2171731d"/>
      </m:item>
      <m:item xlName="_GBC_b93827ae81c34a07ae43b3752ef1f4d1" concept="clcid-pte:ZhongDaZaiJianGongChengHeJi" label="重大在建工程合计" mulRef="_GBC_29f36690ce0d4e8bbec5f76711e80456" unitRef="_GBC_6fab639954e742c1bd6f75b3c51ecaf8" addr="T0R3C6S1_1" formatStyle="Comma" appId="_GBC_ec2dd768673145d4bb9d3c31a6fa701a">
        <m:complexRule comparator="Eq" title="重大在建工程合计" test=" $_GBC_1fd301de0c794ef9b814ee779fe148df" id="Ceac53790aab948209f9de57d6924f7db"/>
      </m:item>
      <m:item xlName="_GBC_33a7eebb5833465c8e5f841ffcffe01f" concept="clcid-pte:ZaiJianGongChengLiXiZiBenHuaJinEHeJi" label="在建工程利息资本化金额合计" mulRef="_GBC_29f36690ce0d4e8bbec5f76711e80456" unitRef="_GBC_6fab639954e742c1bd6f75b3c51ecaf8" addr="T0R3C9S1_1" formatStyle="Comma" appId="_GBC_ec2dd768673145d4bb9d3c31a6fa701a">
        <m:complexRule comparator="Eq" title="在建工程利息资本化金额合计" test=" $_GBC_280d99bee6f74ba49cca95aee46d6669" id="C18d1ae2b38e645fb8393ee3f2533ddb4"/>
      </m:item>
      <m:item xlName="_GBC_4522f2d0e1f74a6e94e2af3836a05dbb" concept="clcid-pte:ZaiJianGongChengDangQiLiXiZiBenHuaJinEHeJi" label="在建工程当期利息资本化金额合计" mulRef="_GBC_29f36690ce0d4e8bbec5f76711e80456" unitRef="_GBC_6fab639954e742c1bd6f75b3c51ecaf8" addr="T0R3C10S1_1" formatStyle="Comma" appId="_GBC_ec2dd768673145d4bb9d3c31a6fa701a">
        <m:complexRule comparator="Eq" title="在建工程当期利息资本化金额合计" test=" $_GBC_4106b641b25741ccae8b84231b62fce4" id="Cd34141b3af6841caa41ea0da42114ddc"/>
      </m:item>
    </m:section>
    <m:section xlName="_GBC_467986eee7244ad69e86a4292f121eb6" title="在建工程减值准备" rules="R2015_R11_012" convertSummaryRule="NoConvert" helpId="112001067"/>
    <m:section xlName="_GBC_d5aec612c6334d1b8a827f3f39a2781d" title="在建工程的说明" rules="R2015_R11_012" convertSummaryRule="NoConvert" helpId="112001067"/>
    <m:section xlName="_GBC_12c2ea8f308b49c7b5e2baae867f1ec7" title="工程物资" convertSummaryRule="NoConvert" helpId="112001069"/>
    <m:section xlName="_GBC_e4aea5da03534f61818766a33b5ada09" title="采用成成本计量模式的生产性生物资产" helpId="112001070">
      <m:virtualTuples>
        <m:virtualTuple id="5080c45b-c3e2-466e-8ce4-2a86227ee3da" tupleRef="clcid-pte:CaiYongChengBenJiLiangMoShiDeShengChanXingShengWuZiChanMingXi" defaultRows="8" extendDirection="2" splitWidth="1"/>
      </m:virtualTuples>
    </m:section>
    <m:section xlName="_GBC_c6f2d306944241a8a32f51421c437b66" title="采用公允价值计量模式的生产性生物资产" helpId="112001070">
      <m:virtualTuples>
        <m:virtualTuple id="e6d9fec0-4b75-4442-afa4-5b5810eb6611" tupleRef="clcid-pte:CaiYongGongYunJiaZhiJiLiangMoShiDeShengChanXingShengWuZiChanMingXi" defaultRows="8" extendDirection="2" splitWidth="1"/>
      </m:virtualTuples>
    </m:section>
    <m:section xlName="_GBC_2bc189a19173429a899369a340bb8483" title="生产性生物资产的说明" convertSummaryRule="NoConvert" helpId="112001070"/>
    <m:section xlName="_GBC_fe60430654f541aab1da59bd08202085" title="油气资产" convertSummaryRule="NoConvert" helpId="112001071">
      <m:virtualTuples>
        <m:virtualTuple id="391f4d5d-e2bb-4e43-a73b-1a879022eeed" tupleRef="clcid-pte:YouQiZiChanMingXi" extendDirection="2" splitWidth="1"/>
      </m:virtualTuples>
    </m:section>
    <m:section xlName="_SEC_42126bf96c7241e38ff33aae0d98dae2" title="使用权资产" tagAction="1" helpId="112001060">
      <m:virtualTuples>
        <m:virtualTuple id="06aa4ced-53cd-4ab4-88f8-025c43637847" tupleRef="clcid-pte:ShiYongQuanZiChanMingXi" extendDirection="2"/>
      </m:virtualTuples>
    </m:section>
    <m:item xlName="_GBC_0882d05501f84259b91efc5f2eae98cf" concept="clcid-ci-ar:ShiFouShiYongWuXingZiChanQingKuang" label="是否适用：无形资产情况" selectOptions="_buildInAppliance" controlType="CustomCheckbox" cRanges="{&quot;StartName&quot;:&quot;_GBC_0882d05501f84259b91efc5f2eae98cf&quot;,&quot;EndName&quot;:&quot;_GBC_799ffdb131784d33a2db94a85018c927&quot;,&quot;CType&quot;:1,&quot;DisplayText&quot;:null}"/>
    <m:section xlName="_GBC_799ffdb131784d33a2db94a85018c927" title="无形资产情况" rules="R2015_R11_013" helpId="112001072">
      <m:virtualTuples>
        <m:virtualTuple id="dd625539-1bb3-40f2-b0d4-0097d3143f41" tupleRef="clcid-pte:WuXingZiChanMingXi" extendDirection="2" splitWidth="1"/>
      </m:virtualTuples>
    </m:section>
    <m:section xlName="_GBC_0daf5d1e7172402ab885ca5e5b78a389" title="未办妥产权证书的土地使用权情况：" rules="R2015_R11_013" helpId="112001072"/>
    <m:section xlName="_GBC_c2d02a8bb1274cb1bf0330030cc64229" title="无形资产说明" rules="R2015_R11_013" helpId="112001072"/>
    <m:section xlName="_GBC_41dea900f659431692960536981b1d8d" title="公司开发项目支出" helpId="112001073"/>
    <m:section xlName="_SEC_0d13253f4b004ecdaea8960cfb92cf26" title="商誉账面原值"/>
    <m:section xlName="_SEC_6fe538077d4746d4ba51a5610b4bd03b" title="商誉减值准备"/>
    <m:section xlName="_SEC_d66ac36383ac40138e90a678094ff1a4" title="商誉所在资产组或资产组组合的相关信息"/>
    <m:section xlName="_SEC_6b753aafd7bf484f982e228cd4c0dde3" title="说明商誉减值测试过程、关键参数（例如预计未来现金流量现值时的..."/>
    <m:section xlName="_SEC_fd017e302f8c4189978aac3dc8581f09" title="商誉减值测试的影响"/>
    <m:section xlName="_SEC_fd9f0a21b0c44e29ba84ddb7842fe32a" title="其他说明"/>
    <m:section xlName="_GBC_c7f901dce89846cbbbab6c51c3213a6f" title="长期待摊费用" convertSummaryRule="NoConvert" helpId="112001076"/>
    <m:section xlName="_SEC_24cb6110bf5143448478343c289c754e" title="未经抵销的递延所得税资产"/>
    <m:section xlName="_SEC_022eb52f9e1542cbb5aaa5a287b8ee2a" title="未经抵销的递延所得税负债"/>
    <m:section xlName="_SEC_393d53219fe44274aa0bc5257c75c762" title="以抵销后净额列示的递延所得税资产或负债"/>
    <m:section xlName="_SEC_858c4743950048c4949e354ac068e8af" title="未确认递延所得税资产明细"/>
    <m:section xlName="_SEC_a5f2b329395b406fa4b30b710f4a81e0" title="未确认递延所得税资产的可抵扣亏损将于以下年度到期"/>
    <m:section xlName="_GBC_057749240d604d9ab0db94f6e505935f" title="递延所得税资产和递延所得税负债的说明" rules="R2015_R11_015" convertSummaryRule="NoConvert" helpId="112001077"/>
    <m:section xlName="_GBC_b8db472f168c433c9cdb46a39ab78b50" title="其他非流动资产" rules="R2015_R11_016" helpId="112001235"/>
    <m:section xlName="_GBC_7bd2428d8b3140c1a80e7a88bb928c1f" title="短期借款分类" convertSummaryRule="NoConvert" helpId="112001079" axisType="Column"/>
    <m:section xlName="_GBC_ed2a6c31b7cf49cda098dbe4c44cf674" title="已到期未偿还的短期借款情况" convertSummaryRule="NoConvert" helpId="112001079"/>
    <m:section xlName="_GBC_46c6d163213144f484acc37c597c42f6" title="短期借款的说明" helpId="112001079"/>
    <m:section xlName="_SEC_354c17e0a096493bbae36dd9bb3f3774" title="交易性金融负债" helpId="112001080"/>
    <m:section xlName="_GBC_c6a901495ec44a7798e3a75ddb5e06bf" title="衍生金融负债" helpId="112001081" helpText="注：说明衍生金融工具形成原因及相关会计处理等。"/>
    <m:item xlName="_GBC_57c67181b34944e782b23a48b1843e8f" concept="clcid-ci-ar:ShiFouShiYongYingFuPiaoJu" label="是否适用：应付票据" selectOptions="_buildInAppliance" controlType="CustomCheckbox" cRanges="[{&quot;StartName&quot;:&quot;_GBC_57c67181b34944e782b23a48b1843e8f&quot;,&quot;EndName&quot;:&quot;_SEC_a4b116c3ef20487f88d23464626b8bb5&quot;,&quot;CType&quot;:1}]"/>
    <m:section xlName="_SEC_a4b116c3ef20487f88d23464626b8bb5" title="商业承兑汇票"/>
    <m:section xlName="_GBC_0f1b98b90c3845e1a1ad65786460f84b" title="应付账款情况" rules="R2015_R11_018" convertSummaryRule="NoConvert" helpId="112001084"/>
    <m:section xlName="_GBC_5fffbd1416eb408d959645d37f190cf5" title="重要的账龄超过1年的应付账款" rules="R2015_R11_018" helpId="112001084"/>
    <m:section xlName="_GBC_aecd44efc3ea456b9149dd662d0a5085" title="应付账款的其他说明" rules="R2015_R11_018" convertSummaryRule="NoConvert" helpId="112001084"/>
    <m:section xlName="_GBC_d7dac18f0444439d83469555857c3195" title="预收账款情况" convertSummaryRule="NoConvert" helpId="112002200"/>
    <m:section xlName="_GBC_59300802f7ac43e3ab1ce4a570fb0267" title="账龄超过1年的重要预收款项" helpId="112002200"/>
    <m:section xlName="_GBC_3b693e8055374a80821823cdad74f225" title="账龄超过1年的大额预收款项情况的说明" convertSummaryRule="NoConvert" helpId="112002200"/>
    <m:section xlName="_SEC_c98a59ac0d184ea5b3b590c23bf7ff8d" title="合同负债" helpId="112002271"/>
    <m:section xlName="_SEC_c824c488dbc74824b379bb9187c7bdf0" title="报告期内账面价值发生重大变动的金额和原因" helpId="112002271"/>
    <m:section xlName="_SEC_1910d69cccc04d3fb0422784d0b1dd58" title="其他说明：" helpId="112002271"/>
    <m:section xlName="_GBC_fa609950067149f1a5c0a6c3ba353431" title="应付职工薪酬列示：" helpId="112001085"/>
    <m:section xlName="_GBC_8889528627cf49dfa80ba4d972a53405" title="短期薪酬列示" helpId="112001085"/>
    <m:section xlName="_GBC_b98ebc9fce454755bd30d763bee0283a" title="设定提存计划列示" helpId="112001085"/>
    <m:section xlName="_GBC_9173eff793e04226ba65f69088a27313" title="应付职工薪酬说明" helpId="112001085"/>
    <m:section xlName="_GBC_50fc9ef51868432e98c401f69097dfc6" title="应交税费" convertSummaryRule="NoConvert" helpId="112001086" axisType="Column"/>
    <m:section xlName="_SEC_d4a31631d4c141d39fd547efdfcde484" title="项目列示"/>
    <m:section xlName="_SEC_60feb8ef6f7c4655a263f50d12c222d8" title="应付利息"/>
    <m:section xlName="_SEC_454db7ed64ca40e48e42eb6c38ae54ca" title="应付股利"/>
    <m:section xlName="_SEC_df361e68406f49208d47d08674984872" title="按款项性质列示其他应付款"/>
    <m:section xlName="_SEC_83408720712d4902a68e6c9ddd4c67ae" title="账龄超过1年的重要其他应付款"/>
    <m:section xlName="_SEC_b03fcb02b4b747249703cbc2e0a127fd" title="其他说明"/>
    <m:section xlName="_GBC_b863defdccbc448695ee82953f3da273" title="划分为持有待售的负债" helpId="112001091" helpText="注：说明划分为持有待售的负债的原因等。"/>
    <m:section xlName="_GBC_d5b7f9c02d494f85b85a36713895b9f8" title="1年内到期的非流动负债" extended="true" helpId="112001092">
      <m:item xlName="_GBC_9b606bc3f0cf4f77be9b0f299d212c73" concept="clcid-ci-ar:ShiFouShiYongNianNeiDaoQiDeFeiLiuDongFuZhai" label="是否适用：1年内到期的非流动负债" selectOptions="_buildInAppliance" controlType="CustomCheckbox" cRanges="{&quot;StartName&quot;:&quot;_GBC_9b606bc3f0cf4f77be9b0f299d212c73&quot;,&quot;EndName&quot;:&quot;_GBC_ae2cc1bff1994660ac9e57279493bfe6&quot;,&quot;CType&quot;:1,&quot;DisplayText&quot;:null}"/>
      <m:item xlName="_GBC_7bad01766fa0485ea9c16109704ff32e" indRef="341" concept="clcid-ci-ar:DanWei1NianNeiDaoQiDeFeiLiuDongFuZhaiQingKuang" label="单位：1年内到期的非流动负债情况" selectOptions="_buildInScales" controlType="Combobox" cellType="Scale" appId="_GBC_9b606bc3f0cf4f77be9b0f299d212c73"/>
      <m:item xlName="_GBC_25aa805434d340a6ade79870522c9640" indRef="342" concept="clcid-ci-ar:BiZhong1NianNeiDaoQiDeFeiLiuDongFuZhaiQingKuang" label="币种：1年内到期的非流动负债情况" selectOptions="_buildInISO4217" controlType="Combobox" cellType="Measure" appId="_GBC_9b606bc3f0cf4f77be9b0f299d212c73"/>
      <m:placeholder xlName="_PLD_bf2815b84ebe4a1e94909ee96ec31ac1" wordText="项目" addr="T0R0C0S1_1"/>
      <m:placeholder xlName="_PLD_db7abcf611bc4296ad7bd9c8177202e0" wordText="期末余额" addr="T0R0C1S1_1"/>
      <m:placeholder xlName="_PLD_371959274ef4493ca1fe426c930e0bf2" wordText="期初余额" addr="T0R0C2S1_1"/>
      <m:placeholder xlName="_PLD_d604ff944003432285ae67c4dffb978f" wordText="1年内到期的长期借款" addr="T0R1C0S1_1"/>
      <m:item xlName="_GBC_fb867ca2c3654292a2a01bc2ce29546c" concept="clcid-pte:YiNianNeiDaoQiDeChangQiJieKuan" label="一年内到期的长期借款" mulRef="_GBC_7bad01766fa0485ea9c16109704ff32e" unitRef="_GBC_25aa805434d340a6ade79870522c9640" addr="T0R1C1S1_1" formatStyle="Comma" appId="_GBC_9b606bc3f0cf4f77be9b0f299d212c73"/>
      <m:item xlName="_GBC_3cccefeeff4a4e5ebe40b31bc22b0435" concept="clcid-pte:YiNianNeiDaoQiDeChangQiJieKuan" label="一年内到期的长期借款" periodRef="本期期初数" mulRef="_GBC_7bad01766fa0485ea9c16109704ff32e" unitRef="_GBC_25aa805434d340a6ade79870522c9640" addr="T0R1C2S1_1" formatStyle="Comma" appId="_GBC_9b606bc3f0cf4f77be9b0f299d212c73"/>
      <m:placeholder xlName="_PLD_c33302dbab574c0490258d7885fc5bb5" wordText="1年内到期的应付债券" addr="T0R2C0S1_1"/>
      <m:item xlName="_GBC_141fc8f18a0540e29cc2ba7ef9bccd58" concept="clcid-pte:YiNianNeiDaoQiDeYingFuZhaiQuan" label="一年内到期的应付债券" mulRef="_GBC_7bad01766fa0485ea9c16109704ff32e" unitRef="_GBC_25aa805434d340a6ade79870522c9640" addr="T0R2C1S1_1" formatStyle="Comma" appId="_GBC_9b606bc3f0cf4f77be9b0f299d212c73"/>
      <m:item xlName="_GBC_7584e273869d492980d61267839bb575" concept="clcid-pte:YiNianNeiDaoQiDeYingFuZhaiQuan" label="一年内到期的应付债券" periodRef="本期期初数" mulRef="_GBC_7bad01766fa0485ea9c16109704ff32e" unitRef="_GBC_25aa805434d340a6ade79870522c9640" addr="T0R2C2S1_1" formatStyle="Comma" appId="_GBC_9b606bc3f0cf4f77be9b0f299d212c73"/>
      <m:placeholder xlName="_PLD_80ec0c08bdec4a7cab5a5163221b0aa3" wordText="1年内到期的长期应付款" addr="T0R3C0S1_1"/>
      <m:item xlName="_GBC_874a07cce9f34ea2b89ee70c34c1e43a" concept="clcid-pte:YiNianNeiDaoQiDeChangQiYingFuKuan" label="一年内到期的长期应付款" mulRef="_GBC_7bad01766fa0485ea9c16109704ff32e" unitRef="_GBC_25aa805434d340a6ade79870522c9640" addr="T0R3C1S1_1" formatStyle="Comma" appId="_GBC_9b606bc3f0cf4f77be9b0f299d212c73"/>
      <m:item xlName="_GBC_c660b9666d254a26a291244cc4f48c74" concept="clcid-pte:YiNianNeiDaoQiDeChangQiYingFuKuan" label="一年内到期的长期应付款" periodRef="本期期初数" mulRef="_GBC_7bad01766fa0485ea9c16109704ff32e" unitRef="_GBC_25aa805434d340a6ade79870522c9640" addr="T0R3C2S1_1" formatStyle="Comma" appId="_GBC_9b606bc3f0cf4f77be9b0f299d212c73"/>
      <m:placeholder xlName="_PLD_da928b33f6eb40d197d7afd28664c8f8" wordText="1年内到期的租赁负债" addr="T0R4C0S1_1"/>
      <m:item xlName="_GBC_aa8881139b2e4814b6d1238b811651d1" concept="clcid-pte:YiNianNeiDaoQiDeZuLinFuZhai" label="一年内到期的租赁负债" mulRef="_GBC_7bad01766fa0485ea9c16109704ff32e" unitRef="_GBC_25aa805434d340a6ade79870522c9640" addr="T0R4C1S1_1" formatStyle="Comma" appId="_GBC_9b606bc3f0cf4f77be9b0f299d212c73"/>
      <m:item xlName="_GBC_ba1cf5938cf248a4969c4e0f25d41eca" concept="clcid-pte:YiNianNeiDaoQiDeZuLinFuZhai" label="一年内到期的租赁负债" periodRef="本期期初数" mulRef="_GBC_7bad01766fa0485ea9c16109704ff32e" unitRef="_GBC_25aa805434d340a6ade79870522c9640" addr="T0R4C2S1_1" formatStyle="Comma" appId="_GBC_9b606bc3f0cf4f77be9b0f299d212c73"/>
      <m:tuple xlName="_GBC_dc4153fe5748430b8292d10d4e47eebf" concept="clcid-pte:NianNeiDaoQiDeFeiLiuDongFuZhaiMingXi" default_row="2" addr="T0R5C">
        <m:item xlName="_GBC_03651703b78248b194da77860db6c270" wordText="　" concept="clcid-pte:NianNeiDaoQiDeFeiLiuDongFuZhaiXiangMuMingCheng" label="1年内到期的非流动负债-项目名称" addr="T0R5C0S1_1" appId="_GBC_9b606bc3f0cf4f77be9b0f299d212c73"/>
        <m:item xlName="_GBC_ad98030d6b6f4ebfb7d3f83539a5eb8c" concept="clcid-pte:NianNeiDaoQiDeFeiLiuDongFuZhaiJinE" label="1年内到期的非流动负债-金额" mulRef="_GBC_7bad01766fa0485ea9c16109704ff32e" unitRef="_GBC_25aa805434d340a6ade79870522c9640" addr="T0R5C1S1_1" formatStyle="Comma" appId="_GBC_9b606bc3f0cf4f77be9b0f299d212c73"/>
        <m:item xlName="_GBC_8330ef82b9154dc987ac271063ed0e83" concept="clcid-pte:NianNeiDaoQiDeFeiLiuDongFuZhaiJinE" label="1年内到期的非流动负债-金额" periodRef="本期期初数" mulRef="_GBC_7bad01766fa0485ea9c16109704ff32e" unitRef="_GBC_25aa805434d340a6ade79870522c9640" addr="T0R5C2S1_1" formatStyle="Comma" appId="_GBC_9b606bc3f0cf4f77be9b0f299d212c73"/>
        <m:item xlName="_GBC_5491cdf75e2546cd9f3abf2dc3fc03e1" concept="">
          <m:extendConcept standardLabel="性质" dataType="xbrli:stringItemType" period="instant"/>
        </m:item>
      </m:tuple>
      <m:placeholder xlName="_PLD_f9405fec461a4b079f93c72be0490bbf" wordText="合计" addr="T0R7C0S1_1"/>
      <m:item xlName="_GBC_9f3a4bb02dcb48e896958781d5e43248" concept="clcid-pte:YiNianNeiDaoQiDeChangQiFuZhai" label="一年内到期的长期负债" mulRef="_GBC_7bad01766fa0485ea9c16109704ff32e" unitRef="_GBC_25aa805434d340a6ade79870522c9640" addr="T0R7C1S1_1" formatStyle="Comma" appId="_GBC_9b606bc3f0cf4f77be9b0f299d212c73">
        <m:complexRule comparator="Eq" title="一年内到期的长期负债" test=" $_GBC_fb867ca2c3654292a2a01bc2ce29546c +  $_GBC_141fc8f18a0540e29cc2ba7ef9bccd58 +  $_GBC_874a07cce9f34ea2b89ee70c34c1e43a +  $_GBC_ad98030d6b6f4ebfb7d3f83539a5eb8c +  $_GBC_aa8881139b2e4814b6d1238b811651d1" id="Ccbb48a2998944149bddcea1d99983174" serialType="1"/>
      </m:item>
      <m:item xlName="_GBC_523ea4354a984fe8bf91ed9d08e7c7fe" concept="clcid-pte:YiNianNeiDaoQiDeChangQiFuZhai" label="一年内到期的长期负债" periodRef="本期期初数" mulRef="_GBC_7bad01766fa0485ea9c16109704ff32e" unitRef="_GBC_25aa805434d340a6ade79870522c9640" addr="T0R7C2S1_1" formatStyle="Comma" appId="_GBC_9b606bc3f0cf4f77be9b0f299d212c73">
        <m:complexRule comparator="Eq" title="一年内到期的长期负债@本期期初数" test=" $_GBC_3cccefeeff4a4e5ebe40b31bc22b0435 +  $_GBC_7584e273869d492980d61267839bb575 +  $_GBC_c660b9666d254a26a291244cc4f48c74 +  $_GBC_8330ef82b9154dc987ac271063ed0e83 +  $_GBC_ba1cf5938cf248a4969c4e0f25d41eca" id="Cba7deef1990e40649869081a3925dd51" serialType="1"/>
      </m:item>
      <m:item xlName="_GBC_ae2cc1bff1994660ac9e57279493bfe6" concept="clcid-pte:YiNianNeiDaoQiDeFeiLiuDongFuZhaiShuoMing" label="1年内到期的非流动负债说明" appId="_GBC_9b606bc3f0cf4f77be9b0f299d212c73"/>
    </m:section>
    <m:item xlName="_GBC_80907e3e53c44260b850f42646eb3d63" concept="clcid-ci-ar:ShiFouShiYongQiTaLiuDongFuZhaiQingKuang" label="是否适用：其他流动负债情况 " selectOptions="_buildInAppliance" controlType="CustomCheckbox" cRanges="[{&quot;StartName&quot;:&quot;_GBC_80907e3e53c44260b850f42646eb3d63&quot;,&quot;EndName&quot;:&quot;_GBC_b1cb6faf7bad41e4868a075c1a423566&quot;,&quot;CType&quot;:1}]"/>
    <m:section xlName="_SEC_56be6eded8da4d0d9ac5c3624a91cdc6" title="其他流动负债"/>
    <m:section xlName="_GBC_4577b030bbab4faa991328e6acd5a589" title="短期应付债券的增减变动" convertSummaryRule="NoConvert" helpId="112001093"/>
    <m:section xlName="_GBC_b1cb6faf7bad41e4868a075c1a423566" title="其他流动负债说明" helpId="112001093"/>
    <m:section xlName="_GBC_8b6acb9acc4745f09cf8ff1a98787eb9" title="长期借款分类 " convertSummaryRule="NoConvert" helpId="112001094" axisType="Column"/>
    <m:section xlName="_GBC_7195bfed3c6d4a6fb2b17f01aa73f311" title="长期借款的说明" helpId="112001094"/>
    <m:section xlName="_GBC_cd8e29427b9b4eecb46188c744528e27" title="应付债券" helpId="112001095"/>
    <m:section xlName="_GBC_93c3424329ce41edbb49a50ffbdbc9d7" title="应付债券的增减变动" extended="true" helpId="112001095">
      <m:item xlName="_GBC_4b9b2c6cc76845b79e52a5d821e1cf5a" concept="clcid-ci-ar:ShiFouShiYongYingFuZhaiQuanDeZengJianBianDong" label="是否适用：应付债券的增减变动" selectOptions="_buildInAppliance" controlType="CustomCheckbox" cRanges="{&quot;StartName&quot;:&quot;_GBC_4b9b2c6cc76845b79e52a5d821e1cf5a&quot;,&quot;EndName&quot;:&quot;_GBC_4b3d065355d040d49b89ac574394d3c9&quot;,&quot;CType&quot;:1,&quot;DisplayText&quot;:null}"/>
      <m:item xlName="_GBC_0caebd9b9d9b4a59aaa853a387a1a299" indRef="351" concept="clcid-ci-ar:DanWeiCaiWuFuZhuYingFuZhaiQuanDeZengJianBianDong" label="单位：财务附注：应付债券的增减变动" selectOptions="_buildInScales" controlType="Combobox" cellType="Scale" appId="_GBC_4b9b2c6cc76845b79e52a5d821e1cf5a"/>
      <m:item xlName="_GBC_0e52a0719da945bab24d9f1419aafdbf" indRef="352" concept="clcid-ci-ar:BiZhongCaiWuFuZhuYingFuZhaiQuanDeZengJianBianDong" label="币种：财务附注：应付债券的增减变动" selectOptions="_buildInISO4217" controlType="Combobox" cellType="Measure" appId="_GBC_4b9b2c6cc76845b79e52a5d821e1cf5a"/>
      <m:placeholder xlName="_PLD_411683fdac8849338184241843ac8452" wordText="债券名称" addr="T0R0C0S1_1"/>
      <m:placeholder xlName="_PLD_c5ae7cf1050d4b6db695378cb85e6bf6" wordText="面值" addr="T0R0C1S1_1"/>
      <m:placeholder xlName="_PLD_b24c8421982a45ce9c2cbcbe4c427338" wordText="发行日期" addr="T0R0C2S1_1"/>
      <m:placeholder xlName="_PLD_cfe1f059778e41a2a06c9174e37fc9a6" wordText="债券期限" addr="T0R0C3S1_1"/>
      <m:placeholder xlName="_PLD_6de77ae8046a4df5864b434026fff480" wordText="发行金额" addr="T0R0C4S1_1"/>
      <m:placeholder xlName="_PLD_15ad5334c6b949f3abd32dba93f5409a" wordText="期初余额" addr="T0R0C5S1_1"/>
      <m:placeholder xlName="_PLD_070f511ab8b84b29adb30e353d60f6d7" wordText="本期发行" addr="T0R0C6S1_1"/>
      <m:placeholder xlName="_PLD_9063b0ae4adc4179ab1f05fdafd1ca18" wordText="按面值计提利息" addr="T0R0C7S1_1"/>
      <m:placeholder xlName="_PLD_52f37b4f678547c2b994ed9088b195d4" wordText="溢折价摊销" addr="T0R0C8S1_1"/>
      <m:placeholder xlName="_PLD_80e06ce471504396b7d99cd1b3af5c58" wordText="本期偿还" addr="T0R0C9S1_1"/>
      <m:placeholder xlName="_PLD_a920c6074a20468c93bd4cd5b15289a1" wordText="期末余额" addr="T0R0C10S1_1"/>
      <m:tuple xlName="_GBC_e9f1ad9ee738418d9ed393ae3a98ece9" concept="clcid-pte:YingFuZhaiQuanMingXi" default_row="2" addr="T0R1C">
        <m:item xlName="_GBC_1612fb670935479f949aae347a3c3e61" wordText="　" concept="clcid-pte:YingFuZhaiQuanMingCheng" label="应付债券名称" addr="T0R1C0S1_1" appId="_GBC_4b9b2c6cc76845b79e52a5d821e1cf5a"/>
        <m:item xlName="_GBC_c97431dc8c354cfea1465e946a947d57" concept="clcid-pte:YingFuZhaiQuanMianZhi" label="应付债券面值" mulRef="_GBC_0caebd9b9d9b4a59aaa853a387a1a299" unitRef="_GBC_0e52a0719da945bab24d9f1419aafdbf" addr="T0R1C1S1_1" formatStyle="Comma" appId="_GBC_4b9b2c6cc76845b79e52a5d821e1cf5a">
          <m:simpleRule dataType="Decimal" comparator="Eq" minValue="100" level="Warn"/>
        </m:item>
        <m:item xlName="_GBC_8760cbe7a44e426abbade0c72bb9c0d5" concept="clcid-pte:YingFuZhaiQuanFaXingRiQi" label="应付债券发行日期" addr="T0R1C2S1_1" appId="_GBC_4b9b2c6cc76845b79e52a5d821e1cf5a" keyAction="38"/>
        <m:item xlName="_GBC_8e57ffba7b3042d7b7dd0c1e08845e67" concept="clcid-pte:YingFuZhaiQuanFaXingQiXian" label="应付债券发行期限" addr="T0R1C3S1_1" appId="_GBC_4b9b2c6cc76845b79e52a5d821e1cf5a"/>
        <m:item xlName="_GBC_43c4dc70cb6c445f845d26b270faaf20" concept="clcid-pte:YingFuZhaiQuanFaXingJinE" label="应付债券发行金额" mulRef="_GBC_0caebd9b9d9b4a59aaa853a387a1a299" unitRef="_GBC_0e52a0719da945bab24d9f1419aafdbf" addr="T0R1C4S1_1" formatStyle="Comma" appId="_GBC_4b9b2c6cc76845b79e52a5d821e1cf5a"/>
        <m:item xlName="_GBC_04642e6eed7e4075a5ec46edf4072133" concept="clcid-pte:YingFuZhaiQuanMingXiYuE" label="应付债券明细－余额" periodRef="本期期初数" mulRef="_GBC_0caebd9b9d9b4a59aaa853a387a1a299" unitRef="_GBC_0e52a0719da945bab24d9f1419aafdbf" addr="T0R1C5S1_1" formatStyle="Comma" appId="_GBC_4b9b2c6cc76845b79e52a5d821e1cf5a"/>
        <m:item xlName="_GBC_05c5bd2a6eed4b28b90cfed22f12a84f" concept="clcid-pte:YingFuZhaiQuanBenQiFaXing" label="应付债券本期发行" mulRef="_GBC_0caebd9b9d9b4a59aaa853a387a1a299" unitRef="_GBC_0e52a0719da945bab24d9f1419aafdbf" addr="T0R1C6S1_1" formatStyle="Comma" appId="_GBC_4b9b2c6cc76845b79e52a5d821e1cf5a"/>
        <m:item xlName="_GBC_2f7f57332f934f25a52cccdad929055e" concept="clcid-pte:YingFuZhaiQuanAnMianZhiJiTiLiXi" label="应付债券按面值计提利息" mulRef="_GBC_0caebd9b9d9b4a59aaa853a387a1a299" unitRef="_GBC_0e52a0719da945bab24d9f1419aafdbf" addr="T0R1C7S1_1" formatStyle="Comma" appId="_GBC_4b9b2c6cc76845b79e52a5d821e1cf5a"/>
        <m:item xlName="_GBC_f8f3a5bac8fa42efaaacc8f93b16f0ed" concept="clcid-pte:YingFuZhaiQuanYiZheJiaTanXiao" label="应付债券溢折价摊销" mulRef="_GBC_0caebd9b9d9b4a59aaa853a387a1a299" unitRef="_GBC_0e52a0719da945bab24d9f1419aafdbf" addr="T0R1C8S1_1" formatStyle="Comma" appId="_GBC_4b9b2c6cc76845b79e52a5d821e1cf5a"/>
        <m:item xlName="_GBC_b188311a6b7a49eda304f6e3ca188e40" concept="clcid-pte:YingFuZhaiQuanBenQiChangHuan" label="应付债券本期偿还" mulRef="_GBC_0caebd9b9d9b4a59aaa853a387a1a299" unitRef="_GBC_0e52a0719da945bab24d9f1419aafdbf" addr="T0R1C9S1_1" formatStyle="Comma" appId="_GBC_4b9b2c6cc76845b79e52a5d821e1cf5a"/>
        <m:item xlName="_GBC_6e149426e77a4db389421b9fd258eddf" concept="clcid-pte:YingFuZhaiQuanMingXiYuE" label="应付债券明细－余额" mulRef="_GBC_0caebd9b9d9b4a59aaa853a387a1a299" unitRef="_GBC_0e52a0719da945bab24d9f1419aafdbf" addr="T0R1C10S1_1" formatStyle="Comma" appId="_GBC_4b9b2c6cc76845b79e52a5d821e1cf5a"/>
        <m:item xlName="_GBC_47f228f789de4f56a5e479d7448cef80" concept="">
          <m:extendConcept standardLabel="外币报表折算" dataType="xbrli:stringItemType" period="instant"/>
        </m:item>
        <m:item xlName="_GBC_c6e67e2f15f1410db0000090ff37f64f" concept="">
          <m:extendConcept standardLabel="其他减少" dataType="xbrli:stringItemType" period="instant"/>
        </m:item>
        <m:item xlName="_GBC_81545aa23ef949d399779cd5b3563d14" concept="">
          <m:extendConcept standardLabel="其他减少" dataType="xbrli:stringItemType" period="instant"/>
        </m:item>
      </m:tuple>
      <m:placeholder xlName="_PLD_ab2a5f4526d74087b1adaa1bdfb92c75" wordText="合计" addr="T0R3C0S1_1"/>
      <m:item xlName="_GBC_2082e35a1f8740a3ab6f88326cf91e6f" concept="clcid-pte:YingFuZhaiQuanDeZengJianBianDongFaXingJinEHeJi" label="应付债券的增减变动-发行金额合计" mulRef="_GBC_0caebd9b9d9b4a59aaa853a387a1a299" unitRef="_GBC_0e52a0719da945bab24d9f1419aafdbf" addr="T0R3C4S1_1" formatStyle="Comma" appId="_GBC_4b9b2c6cc76845b79e52a5d821e1cf5a">
        <m:complexRule comparator="Eq" title="应付债券的增减变动-发行金额合计" test=" $_GBC_43c4dc70cb6c445f845d26b270faaf20" id="C063d32dc8cc24d6b8a57dbe59a1c2eb3"/>
      </m:item>
      <m:item xlName="_GBC_f2c61598a3534a9a904ed94e7382d8d5" concept="clcid-pte:YingFuZhaiQuanDeZengJianBianDongYuEHeJi" label="应付债券的增减变动-余额合计" periodRef="本期期初数" mulRef="_GBC_0caebd9b9d9b4a59aaa853a387a1a299" unitRef="_GBC_0e52a0719da945bab24d9f1419aafdbf" addr="T0R3C5S1_1" formatStyle="Comma" appId="_GBC_4b9b2c6cc76845b79e52a5d821e1cf5a">
        <m:complexRule comparator="Eq" title="应付债券的增减变动-余额合计@本期期初数" test=" $_GBC_04642e6eed7e4075a5ec46edf4072133" id="C2dcbd8c3fc5e4b0788d40470d1f8dd4e"/>
      </m:item>
      <m:item xlName="_GBC_923ab0ac8e7a47019469fc19fc5a719c" concept="clcid-pte:YingFuZhaiQuanDeZengJianBianDongBenQiFaXingHeJi" label="应付债券的增减变动-本期发行合计" mulRef="_GBC_0caebd9b9d9b4a59aaa853a387a1a299" unitRef="_GBC_0e52a0719da945bab24d9f1419aafdbf" addr="T0R3C6S1_1" formatStyle="Comma" appId="_GBC_4b9b2c6cc76845b79e52a5d821e1cf5a">
        <m:complexRule comparator="Eq" title="应付债券的增减变动-本期发行合计" test=" $_GBC_05c5bd2a6eed4b28b90cfed22f12a84f" id="C484961f73de947e1b24bd9cc9e1d36e9"/>
      </m:item>
      <m:item xlName="_GBC_44712f5e8c1044319a565b7a80365495" concept="clcid-pte:YingFuZhaiQuanDeZengJianBianDongAnMianZhiJiTiLiXiHeJi" label="应付债券的增减变动-按面值计提利息合计" mulRef="_GBC_0caebd9b9d9b4a59aaa853a387a1a299" unitRef="_GBC_0e52a0719da945bab24d9f1419aafdbf" addr="T0R3C7S1_1" formatStyle="Comma" appId="_GBC_4b9b2c6cc76845b79e52a5d821e1cf5a">
        <m:complexRule comparator="Eq" title="应付债券的增减变动-按面值计提利息合计" test=" $_GBC_2f7f57332f934f25a52cccdad929055e" id="Cebc5f11e933b44678919d80584ab4435"/>
      </m:item>
      <m:item xlName="_GBC_634437b661d1406dadc3f7be8597ffd3" concept="clcid-pte:YingFuZhaiQuanDeZengJianBianDongYiZheJiaTanXiaoHeJi" label="应付债券的增减变动-溢折价摊销合计" mulRef="_GBC_0caebd9b9d9b4a59aaa853a387a1a299" unitRef="_GBC_0e52a0719da945bab24d9f1419aafdbf" addr="T0R3C8S1_1" formatStyle="Comma" appId="_GBC_4b9b2c6cc76845b79e52a5d821e1cf5a">
        <m:complexRule comparator="Eq" title="应付债券的增减变动-溢折价摊销合计" test=" $_GBC_f8f3a5bac8fa42efaaacc8f93b16f0ed" id="C84c55b49be6a4614a3ff3ae729500215"/>
      </m:item>
      <m:item xlName="_GBC_4ae5aa4fb6cb4768b08d7d525b9ce6d5" concept="clcid-pte:YingFuZhaiQuanDeZengJianBianDongBenQiChangHuanHeJi" label="应付债券的增减变动-本期偿还合计" mulRef="_GBC_0caebd9b9d9b4a59aaa853a387a1a299" unitRef="_GBC_0e52a0719da945bab24d9f1419aafdbf" addr="T0R3C9S1_1" formatStyle="Comma" appId="_GBC_4b9b2c6cc76845b79e52a5d821e1cf5a">
        <m:complexRule comparator="Eq" title="应付债券的增减变动-本期偿还合计" test=" $_GBC_b188311a6b7a49eda304f6e3ca188e40" id="C8fe3136165ce425fb46ddcf2163ed411"/>
      </m:item>
      <m:item xlName="_GBC_4b3d065355d040d49b89ac574394d3c9" concept="clcid-pte:YingFuZhaiQuanDeZengJianBianDongYuEHeJi" label="应付债券的增减变动-余额合计" mulRef="_GBC_0caebd9b9d9b4a59aaa853a387a1a299" unitRef="_GBC_0e52a0719da945bab24d9f1419aafdbf" addr="T0R3C10S1_1" formatStyle="Comma" appId="_GBC_4b9b2c6cc76845b79e52a5d821e1cf5a">
        <m:complexRule comparator="Eq" title="应付债券的增减变动-余额合计" test=" $_GBC_6e149426e77a4db389421b9fd258eddf" id="Cb8b77ccfd60f4f09806d389ac561077f"/>
      </m:item>
      <m:virtualTuples>
        <m:virtualTuple id="05b1f0af-c01f-4fce-96b8-29a3faf0470e" tupleRef="clcid-pte:YingFuZhaiQuanMingXi" defaultRows="0" extendDirection="2"/>
      </m:virtualTuples>
    </m:section>
    <m:section xlName="_GBC_235b19ac1003437586dbfe1a48116b09" title="可转换公司债券的转股条件、转股时间说明：" helpId="112001095"/>
    <m:section xlName="_GBC_d031ed2380884bb4aa3cb2efb2740308" title="划分为金融负债的其他金融工具说明" helpId="112001095"/>
    <m:section xlName="_GBC_32fb23173d7a4a4fa8cb056982254a59" title="应付债券其他说明" helpId="112001095"/>
    <m:section xlName="_SEC_6bd3f432494344eb8aaf6d133dbbfdc8" title="租赁负债" helpId="112002270"/>
    <m:section xlName="_SEC_c0e96ee0f49e415f98873dfb1c798446" title="项目列示"/>
    <m:section xlName="_SEC_1ac73daea3484386b92787e79e677fbb" title="长期应付款"/>
    <m:section xlName="_GBC_6847689be8c1493eb5db4e6dbab0fdbe" title="专项应付款" convertSummaryRule="NoConvert" helpId="112001098"/>
    <m:item xlName="_GBC_077559b601814bb38f16734f98e8c045" concept="clcid-ci-ar:ShiFouShiYongChangQiYingFuZhiGongXinChou" label="是否适用：长期应付职工薪酬" selectOptions="_buildInAppliance" controlType="CustomCheckbox" cRanges="{&quot;StartName&quot;:&quot;_GBC_077559b601814bb38f16734f98e8c045&quot;,&quot;EndName&quot;:&quot;_GBC_9d7ebc39babc43788a550e83deca7fdc&quot;,&quot;CType&quot;:1,&quot;DisplayText&quot;:null}"/>
    <m:section xlName="_GBC_8af4eec42fcd4a7a8402661c45277cf7" title="长期应付职工薪酬" helpId="112001097"/>
    <m:section xlName="_GBC_afdd9211c159429fa2d6540cc92dda04" title="设定受益计划变动情况" helpId="112001097"/>
    <m:section xlName="_GBC_9d7ebc39babc43788a550e83deca7fdc" title="长期应付职工薪酬的其他说明" helpId="112001097"/>
    <m:section xlName="_GBC_6b41f75046264d5392c8786bf4fd2da4" title="预计负债" convertSummaryRule="NoConvert" helpId="112001099"/>
    <m:section xlName="_GBC_8d74a4d69f6940c3968ca9c4cf2a1b4c" title="递延收益" rules="R2015_R11_019" helpId="112001100"/>
    <m:section xlName="_GBC_e1594f7b2d3e4b13b3e32c6cde5b210a" title="涉及政府补助的负债项目" rules="R2015_R11_019" convertSummaryRule="NoConvert" helpId="112001100"/>
    <m:section xlName="_GBC_3e5bdbca1c524ed19d397da3dfaf83a9" title="递延收益其他说明" rules="R2015_R11_019" helpId="112001100"/>
    <m:section xlName="_GBC_ebdcd37ba77540d78079b1e51c20b6ce" title="其他非流动负债" convertSummaryRule="NoConvert" helpId="112001235"/>
    <m:section xlName="_GBC_7f4b2f9bba854132af4bbd6504a10383" title="股本" convertSummaryRule="NoConvert" helpId="112001101"/>
    <m:section xlName="_GBC_4f862512b6914630932c1857df6db6e4" title="其他权益工具" helpId="112001102"/>
    <m:section xlName="_GBC_23fef1c643714b9f82710e33a1bef935" title="资本公积" convertSummaryRule="NoConvert" helpId="112001105"/>
    <m:section xlName="_GBC_02198eb4b89045c5af2f3bcd240e18af" title="库存股" convertSummaryRule="NoConvert" helpId="112001103" keyAction="89"/>
    <m:section xlName="_GBC_de162f89125c4dc8abd2331e6cce7184" title="其他综合收益" helpId="112001106" helpText="注：期初余额、期末余额对应资产负债表中的其他综合收益项目。期初余额+税后归属于母公司的其他综合收益=期末余额。本期发生额对应利润表中的其他综合收益项目，本期所得税前发生额-前期计入其他综合收益当期转入损益-所得税费用=税后归属于母公司的其他综合收益+税后归属于少数股东的其他综合收益。"/>
    <m:section xlName="_GBC_8a08fa7a416e4e52a104ea9b06479f9e" title="专项储备" convertSummaryRule="NoConvert" helpId="112001104" axisType="Column"/>
    <m:section xlName="_GBC_fc97b66d150f4d31ba9096ec58341715" title="盈余公积" convertSummaryRule="NoConvert" helpId="112001108"/>
    <m:item xlName="_GBC_32c558bdbb77445cabeee783e5ff910e" concept="clcid-ci-ar:ShiFouShiYongWeiFenPeiLiRun" label="是否适用：未分配利润" selectOptions="_buildInAppliance" controlType="CustomCheckbox" cRanges="{&quot;StartName&quot;:&quot;_GBC_32c558bdbb77445cabeee783e5ff910e&quot;,&quot;EndName&quot;:&quot;_GBC_2cdd2861806d471aa767f92841b30fbf&quot;,&quot;CType&quot;:1,&quot;DisplayText&quot;:null}"/>
    <m:section xlName="_GBC_2cdd2861806d471aa767f92841b30fbf" title="未分配利润" helpId="112001109"/>
    <m:section xlName="_GBC_a3a22662ec3d4fb69e12845051ced996" title="营业收入和营业成本" rules="R2015_R11_020" helpId="112001110" keyAction="89"/>
    <m:section xlName="_SEC_a8e15093e1ef4b64a05aa66b1647502c" title="合同产生的收入的情况" tagAction="1">
      <m:virtualTuples>
        <m:virtualTuple id="8d739792-33d7-41f0-87f9-da1ca2166542" tupleRef="clcid-pte:HeTongChanShengDeShouRuFenBuMingXi" extendDirection="2"/>
      </m:virtualTuples>
    </m:section>
    <m:section xlName="_SEC_c2d2612c37d449d6b1ff5194855fc52c" title="履约义务的说明"/>
    <m:section xlName="_SEC_52c497559d5c4501875a7b175ab4b1eb" title="分摊至剩余履约义务的说明" helpText="如需删除段落，请通过模块-删除段落进行删除。"/>
    <m:section xlName="_SEC_530aa03318f04819b92848bd4d1e0874" title="营业收入和营业成本的说明"/>
    <m:section xlName="_GBC_38185835049143dd873ff3e7d0941647" title="税金及附加" rules="R2015_R11_021" convertSummaryRule="NoConvert" helpId="112001112" axisType="Column" keyAction="89"/>
    <m:section xlName="_GBC_3faa14b862dd44e8a54b6137b70adace" title="成本费用" rules="R2015_R11_022" convertSummaryRule="NoConvert" helpId="112001111" keyAction="89"/>
    <m:section xlName="_GBC_d5a6283bdea64513980a0cc618e2ec60" title="管理费用" rules="R2015_R11_023" helpId="112001111" keyAction="89"/>
    <m:section xlName="_SEC_5070ecc0a0324b189a4ec7d6e218c5d7" title="研发费用" helpId="112002273" keyAction="89"/>
    <m:section xlName="_GBC_aeeadad5456b4097a79668e5a1cadb17" title="财务费用" rules="R2015_R11_024" helpId="112002274" keyAction="89"/>
    <m:section xlName="_SEC_b7dd1353107541ffa3a1d66fbb85a037" title="其他收益" helpId="112002275"/>
    <m:section xlName="_SEC_56e74a133dff4dcebe7ed76c1a92a2e5" title="投资收益" helpText="填写时注意区分新会计准则和旧会计准则适用的明细科目"/>
    <m:section xlName="_SEC_cbd8186e9cf3452cab63fa24a69149bc" title="净敞口套期收益" helpId="112002276"/>
    <m:section xlName="_GBC_66e6cb51ec7740408a31ff233ae3330d" title="公允价值变动收益" rules="R2015_R11_025" convertSummaryRule="NoConvert" helpId="112001113"/>
    <m:section xlName="_SEC_87edd713957c4f11900f8738aeba1216" title="" keyAction="89"/>
    <m:section xlName="_GBC_e0187e33fb024605af673daabe2f7861" title="资产减值损失" rules="R2015_R11_027" helpId="112001115" keyAction="89"/>
    <m:section xlName="_SEC_32e84127ca0a46b8896ad8e149c91048" title="资产处置收益" helpId="112002278"/>
    <m:item xlName="_GBC_b6e9df1124844122abb2dde58392c605" concept="clcid-ci-ar:ShiFouShiYongYingYeWaiShouRuQingKuang" label="是否适用：营业外收入情况 " selectOptions="_buildInAppliance" controlType="CustomCheckbox" cRanges="[{&quot;StartName&quot;:&quot;_GBC_b6e9df1124844122abb2dde58392c605&quot;,&quot;EndName&quot;:&quot;_GBC_613f834d57f34b828d1fb937ee139a13&quot;,&quot;CType&quot;:1}]"/>
    <m:section xlName="_SEC_62e5cfd7609742dd8d0ae51a88918288" title="营业外收入"/>
    <m:section xlName="_GBC_941e4c9023f94b758b05afb87d550363" title="计入当期损益的政府补助" rules="R2015_R11_028" extended="true" convertSummaryRule="NoConvert" helpId="112001116">
      <m:item xlName="_GBC_c8882fe165a24797aca3c402f799f006" concept="clcid-ci-ar:ShiFouShiYongJiRuDangQiSunYiDeZhengFuBuZhu" label="是否适用：计入当期损益的政府补助" selectOptions="_buildInAppliance" controlType="CustomCheckbox" cRanges="[{&quot;StartName&quot;:&quot;_GBC_c8882fe165a24797aca3c402f799f006&quot;,&quot;EndName&quot;:&quot;_GBC_55504ca2f77b48949ec5116d8e120fd2&quot;,&quot;CType&quot;:1}]"/>
      <m:item xlName="_GBC_bd00bad38c644e6fa63419d4034ebfd1" indRef="425" concept="clcid-ci-ar:DanWeiCaiWuFuZhuJiRuDangQiSunYiDeZhengFuBuZhu" label="单位：财务附注：计入当期损益的政府补助" selectOptions="_buildInScales" controlType="Combobox" cellType="Scale" appId="_GBC_c8882fe165a24797aca3c402f799f006"/>
      <m:item xlName="_GBC_23bf9a9e0ac34ffd9e7e1d78597a87d0" indRef="426" concept="clcid-ci-ar:BiZhongCaiWuFuZhuJiRuDangQiSunYiDeZhengFuBuZhu" label="币种：财务附注：计入当期损益的政府补助" selectOptions="_buildInISO4217" controlType="Combobox" cellType="Measure" appId="_GBC_c8882fe165a24797aca3c402f799f006"/>
      <m:placeholder xlName="_PLD_921b2aed22db42759d12f127db945afe" wordText="补助项目" addr="T0R0C0S1_1"/>
      <m:placeholder xlName="_PLD_b153949e35ca47018467de6ef3800cf5" wordText="本期发生金额" addr="T0R0C1S1_1"/>
      <m:placeholder xlName="_PLD_bf693dd17f244c38afd88855e4186d7d" wordText="上期发生金额" addr="T0R0C2S1_1"/>
      <m:placeholder xlName="_PLD_532c78ae9a7849fe9994cace73120659" wordText="与资产相关/与收益相关" addr="T0R0C3S1_1"/>
      <m:tuple xlName="_GBC_8d8ea3026a664e94a38609c0bcec2101" concept="clcid-pte:JiRuDangQiSunYiDeZhengFuBuZhuMingXi" default_row="2" addr="T0R1C">
        <m:item xlName="_GBC_e5afa976691d4951955d16fae878bcdd" wordText="　" concept="clcid-pte:JiRuDangQiSunYiDeZhengFuBuZhuXiangMuMingCheng" label="计入当期损益的政府补助项目名称" addr="T0R1C0S1_1" appId="_GBC_c8882fe165a24797aca3c402f799f006"/>
        <m:item xlName="_GBC_5cf65321d9a9496787f54550eeb22a26" concept="clcid-pte:JiRuDangQiSunYiDeZhengFuBuZhu" label="计入当期损益的政府补助" mulRef="_GBC_bd00bad38c644e6fa63419d4034ebfd1" unitRef="_GBC_23bf9a9e0ac34ffd9e7e1d78597a87d0" addr="T0R1C1S1_1" formatStyle="Comma" appId="_GBC_c8882fe165a24797aca3c402f799f006"/>
        <m:item xlName="_GBC_f808d18e2e2c402a9e2ea1d2724afc4e" concept="clcid-pte:JiRuDangQiSunYiDeZhengFuBuZhu" label="计入当期损益的政府补助" periodRef="上年同期数" mulRef="_GBC_bd00bad38c644e6fa63419d4034ebfd1" unitRef="_GBC_23bf9a9e0ac34ffd9e7e1d78597a87d0" addr="T0R1C2S1_1" formatStyle="Comma" appId="_GBC_c8882fe165a24797aca3c402f799f006"/>
        <m:item xlName="_GBC_55504ca2f77b48949ec5116d8e120fd2" concept="clcid-pte:JiRuDangQiSunYiDeZhengFuBuZhuYuZiChanXiangGuanYuShouYiXiangGuan" label="计入当期损益的政府补助与资产相关/与收益相关" addr="T0R1C3S1_1" appId="_GBC_c8882fe165a24797aca3c402f799f006"/>
        <m:item xlName="_GBC_13fac3cfa72b44019b34fff05896723a" concept="">
          <m:extendConcept standardLabel="依据" dataType="xbrli:stringItemType" period="instant"/>
        </m:item>
      </m:tuple>
    </m:section>
    <m:section xlName="_GBC_613f834d57f34b828d1fb937ee139a13" title="营业外收入说明" rules="R2015_R11_028" convertSummaryRule="NoConvert" helpId="112001116"/>
    <m:section xlName="_GBC_7c51aa70be1f405d954dc316ed26b5b4" title="营业外支出" convertSummaryRule="NoConvert" helpId="112001117" keyAction="89"/>
    <m:section xlName="_GBC_c8eb4731730a4ca395e992a85b3eafe1" title="所得税费用" convertSummaryRule="NoConvert" helpId="112001119" keyAction="89"/>
    <m:section xlName="_GBC_a490950b62a146d9901e0aeb01787f97" title="其他综合收益" helpId="112001121"/>
    <m:section xlName="_GBC_aebbed0d25f14d50b64339a751dec4bd" title="收到的其他与经营活动有关的现金" rules="R2015_R11_029" convertSummaryRule="NoConvert" helpId="112002201"/>
    <m:section xlName="_GBC_3c8453861c4b4e94956633ec6c228388" title="支付的其他与经营活动有关的现金" rules="R2015_R11_030" convertSummaryRule="NoConvert" helpId="112002201" keyAction="89"/>
    <m:section xlName="_GBC_7d29c8348da547cab82786074f1b3249" title="收到的其他与投资活动有关的现金" convertSummaryRule="NoConvert" helpId="112002201"/>
    <m:section xlName="_GBC_fa501b3ede254af6bdfad826e328392a" title="支付的其他与投资活动有关的现金" convertSummaryRule="NoConvert" helpId="112002201" keyAction="89"/>
    <m:section xlName="_GBC_6e57c618c25c498db37f205341e0c66a" title="收到的其他与筹资活动有关的现金" convertSummaryRule="NoConvert" helpId="112002201"/>
    <m:section xlName="_GBC_96162aa406234e2485524876a03968e7" title="支付的其他与筹资活动有关的现金" convertSummaryRule="NoConvert" helpId="112002201" keyAction="89"/>
    <m:section xlName="_GBC_7c9a174810ac4558be4e54f8019d5a1a" title="现金流量表补充资料" helpId="112001123">
      <m:rowModel locationConcept="clcid-ci-ar:ZiDingYiKeMuWeiZhi" labelConcept="clcid-ci-ar:ZiDingYiKeMuMingCheng" conceptPrefix="补充资料现金流量表" presentationRole="http://www.xbrl-cn.org/cn/lcid/lr/role/XianJinLiuLiangBiaoBuChongZiLiao" presentationParentConcept="clcid-pte_XianJinLiuLiangBiaoBuChongZiLiao" tuplePrefix="项目"/>
    </m:section>
    <m:section xlName="_GBC_4161b069f3a54b4a9ab95be67b841c16" title="取得子公司支付的现金净额" helpId="112001123"/>
    <m:section xlName="_GBC_2b15b115b2104b8ba327581d943203fc" title="处置子公司收到的现金净额" helpId="112001123"/>
    <m:section xlName="_GBC_b19766ead83d4bb4825af61147af6138" title="现金和现金等价物的构成" helpId="112001123"/>
    <m:section xlName="_GBC_f67b410d6123403caa2cee84fe191372" title="所有者权益变动表项目注释" convertSummaryRule="NoConvert" helpId="112001124"/>
    <m:section xlName="_GBC_5707fab016f94974bd447e81a88f0183" title="所有权或使用权受到限制的资产" helpId="112001235" axisType="Column"/>
    <m:section xlName="_GBC_7a80c9b78caf4e6686905c555fe61f9a" title="外币货币性项目" resetControlTag="true" helpId="112001118" axisType="Column" keyAction="48" keyCode="currency"/>
    <m:section xlName="_GBC_e37f7bfcfa2f4a9e92bdd5e8593a6fd8" title="按照套期类别披露套期及相关套期工具、被套期风险的相关的定性定" helpId="112001120"/>
    <m:section xlName="_SEC_8b247fe8025b433290c47017eb23d965" title="政府补助" helpId="112002267"/>
    <m:section xlName="_GBC_f027b70d30154df58ffdc310123f3e1f" title="合并财务报表项目注释其他需要说明的事项" helpId="112001122"/>
    <m:item xlName="_GBC_2f9a65b0b4644b14ab5af1407e6467f1" concept="clcid-ci-ar:ShiFouShiYongFeiTongYiKongZhiXiaQiYeHeBing" label="是否适用：非同一控制下企业合并" selectOptions="_buildInAppliance" controlType="CustomCheckbox" cRanges="{&quot;StartName&quot;:&quot;_GBC_2f9a65b0b4644b14ab5af1407e6467f1&quot;,&quot;EndName&quot;:&quot;_GBC_a8e368f1c89042528538f003b17f5f6e&quot;,&quot;CType&quot;:1,&quot;DisplayText&quot;:null}"/>
    <m:section xlName="_GBC_191c82f36f1047ba9e26760de90e4cd0" title="本期发生的非同一控制下企业合并" helpId="112001125" helpText="注：分步实现企业合并且在本期取得控制权的交易，应分别说明前期和本期取得股权的时点、成本、比例及方式。"/>
    <m:item xlName="_GBC_56d9f6aa774c4776ac65c41472b0a280" concept="clcid-ci-ar:ShiFouShiYongHeBingChengBenJiShangYu" label="是否适用：合并成本及商誉" selectOptions="_buildInAppliance" controlType="CustomCheckbox" cRanges="{&quot;StartName&quot;:&quot;_GBC_56d9f6aa774c4776ac65c41472b0a280&quot;,&quot;EndName&quot;:&quot;_SEC_b7237772b9774305981c247e3791a68b&quot;,&quot;CType&quot;:1,&quot;DisplayText&quot;:null}"/>
    <m:item xlName="_GBC_7dcc905e1cc54d7da6ff3999e09e0f1f" indRef="462" concept="clcid-ci-ar:DanWeiCaiWuFuZhuHeBingChengBenJiShangYu" label="单位：财务附注：合并成本及商誉" selectOptions="_buildInScales" controlType="Combobox" cellType="Scale" appId="_GBC_56d9f6aa774c4776ac65c41472b0a280"/>
    <m:item xlName="_GBC_1d4f1604e6724ad4aa12235f8be81df0" indRef="463" concept="clcid-ci-ar:BiZhongCaiWuFuZhuHeBingChengBenJiShangYu" label="币种：财务附注：合并成本及商誉" selectOptions="_buildInISO4217" controlType="Combobox" cellType="Measure" appId="_GBC_56d9f6aa774c4776ac65c41472b0a280"/>
    <m:section xlName="_GBC_b580c6f1845b4d7b8bf9ccaec8a64584" title="合并成本及商誉" repeatable="1" helpId="112001126">
      <m:virtualTuples>
        <m:virtualTuple id="dc40489a-919e-4301-8c5f-ee7896369dc8" tupleRef="clcid-pte:FeiTongYiKongZhiXiaQiYeHeBingChengBenJiShangYuMingXi" extendDirection="2" splitWidth="1"/>
      </m:virtualTuples>
    </m:section>
    <m:section xlName="_SEC_b7237772b9774305981c247e3791a68b" title="合并成本及商誉说明" helpId="112001126"/>
    <m:item xlName="_GBC_b192e56c8e2242b3bf12a08de6dc76d4" concept="clcid-ci-ar:ShiFouShiYongBeiGouMaiFangYuGouMaiRiKeBianRenZiChanFuZhai" label="是否适用：被购买方于购买日可辨认资产、负债" selectOptions="_buildInAppliance" controlType="CustomCheckbox" cRanges="{&quot;StartName&quot;:&quot;_GBC_b192e56c8e2242b3bf12a08de6dc76d4&quot;,&quot;EndName&quot;:&quot;_SEC_71192ac75eef458fbf50203b1ba92b57&quot;,&quot;CType&quot;:1,&quot;DisplayText&quot;:null}"/>
    <m:item xlName="_GBC_fe3b0ed5978941cd84d579dc509a4b5e" indRef="464" concept="clcid-ci-ar:DanWeiCaiWuFuZhuBeiGouMaiFangYuGouMaiRiKeBianRenZiChanFuZhai" label="单位：财务附注：被购买方于购买日可辨认资产、负债" selectOptions="_buildInScales" controlType="Combobox" cellType="Scale" appId="_GBC_b192e56c8e2242b3bf12a08de6dc76d4"/>
    <m:item xlName="_GBC_83c566a361664b7c893465ef7708f711" indRef="465" concept="clcid-ci-ar:BiZhongCaiWuFuZhuBeiGouMaiFangYuGouMaiRiKeBianRenZiChanFuZhai" label="币种：财务附注：被购买方于购买日可辨认资产、负债" selectOptions="_buildInISO4217" controlType="Combobox" cellType="Measure" appId="_GBC_b192e56c8e2242b3bf12a08de6dc76d4"/>
    <m:section xlName="_GBC_bae5eee03904496d93aa515da79c8f71" title="被购买方于购买日可辨认资产、负债" repeatable="1" helpId="112001128" helpText="注：资产、负债项目可根据重要性原则分类汇总列示；单项不重大的企业合并可汇总列示。 " keyAction="31" keyCode="NO_FIX_TAG">
      <m:virtualTuples>
        <m:virtualTuple id="38730a4f-a883-463b-bb49-550fe2a8033d" tupleRef="clcid-pte:BeiGouMaiFangYuGouMaiRiKeBianRenZiChanFuZhaiMingXi" extendDirection="2" splitWidth="1"/>
      </m:virtualTuples>
    </m:section>
    <m:section xlName="_SEC_71192ac75eef458fbf50203b1ba92b57" title="被购买方于购买日可辨认资产、负债说明" helpId="112001128"/>
    <m:section xlName="_GBC_c06b2dfb69424beba587aec68ad18063" title="购买日之前持有的股权按照公允价值重新计量产生的利得或损失" helpId="112001130"/>
    <m:section xlName="_GBC_fec890c9a924410f898d02e5323920ad" title="购买日或合并当期期末无法合理确定合并对价或被购买方可辨认资产..." helpId="112001131"/>
    <m:section xlName="_GBC_a8e368f1c89042528538f003b17f5f6e" title="非同一控制下企业合并其他说明"/>
    <m:item xlName="_GBC_cde296136a1d4f2094eb79d21291eae2" concept="clcid-ci-ar:ShiFouShiYongTongYiKongZhiXiaQiYeHeBing" label="是否适用：同一控制下企业合并" selectOptions="_buildInAppliance" controlType="CustomCheckbox" cRanges="{&quot;StartName&quot;:&quot;_GBC_cde296136a1d4f2094eb79d21291eae2&quot;,&quot;EndName&quot;:&quot;_GBC_487797176f3744a7a99d390be05f0a8a&quot;,&quot;CType&quot;:1,&quot;DisplayText&quot;:null}"/>
    <m:section xlName="_GBC_66fabe3cff6241b1aebface99383f449" title="本期发生的同一控制下企业合并" helpId="112001132"/>
    <m:item xlName="_GBC_1e3feddd46da4a95805d8f480f4c84d9" concept="clcid-ci-ar:ShiFouShiYongHeBingChengBen" label="是否适用：合并成本" selectOptions="_buildInAppliance" controlType="CustomCheckbox" cRanges="{&quot;StartName&quot;:&quot;_GBC_1e3feddd46da4a95805d8f480f4c84d9&quot;,&quot;EndName&quot;:&quot;_SEC_d81c382e27f24c569c4bbf5642a055db&quot;,&quot;CType&quot;:1,&quot;DisplayText&quot;:null}"/>
    <m:item xlName="_GBC_b32867fe2f6f4a26bbf31a8eed01cc85" indRef="470" concept="clcid-ci-ar:DanWeiHeBingChengBen" label="单位：合并成本" selectOptions="_buildInScales" controlType="Combobox" cellType="Scale" appId="_GBC_1e3feddd46da4a95805d8f480f4c84d9"/>
    <m:item xlName="_GBC_f6f12759e0c84fb0a180a147cec7432e" indRef="471" concept="clcid-ci-ar:BiZhongHeBingChengBen" label="币种：合并成本" selectOptions="_buildInISO4217" controlType="Combobox" cellType="Measure" appId="_GBC_1e3feddd46da4a95805d8f480f4c84d9"/>
    <m:section xlName="_GBC_e51629db13fd46dd9d30ae3e3729cd68" title="合并成本" repeatable="1" helpId="112001133">
      <m:virtualTuples>
        <m:virtualTuple id="986fe223-72fe-4432-9239-c0d0b7b4149b" tupleRef="clcid-pte:TongYiKongZhiXiaQiYeHeBingChengBenMingXi" extendDirection="2" splitWidth="1"/>
      </m:virtualTuples>
    </m:section>
    <m:section xlName="_SEC_d81c382e27f24c569c4bbf5642a055db" title="合并成本说明" helpId="112001133"/>
    <m:item xlName="_GBC_b46a615b0ac64c019a83debe19fe4c1c" concept="clcid-ci-ar:ShiFouShiYongHeBingRiBeiHeBingFangZiChanFuZhaiDeZhangMianJiaZhi" label="是否适用：合并日被合并方资产、负债的账面价值" selectOptions="_buildInAppliance" controlType="CustomCheckbox" cRanges="{&quot;StartName&quot;:&quot;_GBC_b46a615b0ac64c019a83debe19fe4c1c&quot;,&quot;EndName&quot;:&quot;_SEC_fd90a916dff04a689bd6f8f4ea5aba89&quot;,&quot;CType&quot;:1,&quot;DisplayText&quot;:null}"/>
    <m:item xlName="_GBC_1e8d25398f6745efac6012e964de837a" indRef="472" concept="clcid-ci-ar:DanWeiCaiWuFuZhuHeBingRiBeiHeBingFangZiChanFuZhaiDeZhangMianJiaZhi" label="单位：财务附注：合并日被合并方资产、负债的账面价值" selectOptions="_buildInScales" controlType="Combobox" cellType="Scale" appId="_GBC_b46a615b0ac64c019a83debe19fe4c1c"/>
    <m:item xlName="_GBC_80b9c60fc85e443f9c97e5d91db031a4" indRef="473" concept="clcid-ci-ar:BiZhongCaiWuFuZhuHeBingRiBeiHeBingFangZiChanFuZhaiDeZhangMianJiaZhi" label="币种：财务附注：合并日被合并方资产、负债的账面价值" selectOptions="_buildInISO4217" controlType="Combobox" cellType="Measure" appId="_GBC_b46a615b0ac64c019a83debe19fe4c1c"/>
    <m:section xlName="_GBC_fd7a9ab8dc354763b98a4d577428c932" title="被合并方的资产、负债" repeatable="1" helpId="112001135" helpText="注：资产、负债项目可根据重要性原则分类汇总列示；单项不重大的企业合并可汇总列示。">
      <m:virtualTuples>
        <m:virtualTuple id="85eb503a-1b77-4cac-a1bf-b8abba4f2f6a" tupleRef="clcid-pte:BeiHeBingFangDeZiChanFuZhaiMingXi" extendDirection="2" splitWidth="1"/>
      </m:virtualTuples>
    </m:section>
    <m:section xlName="_SEC_fd90a916dff04a689bd6f8f4ea5aba89" title="企业合并中承担的被合并方的或有负债" helpId="112001135"/>
    <m:section xlName="_GBC_487797176f3744a7a99d390be05f0a8a" title="被合并方的资产、负债的说明" helpId="112001135"/>
    <m:section xlName="_SEC_e0818786830d42ce99957d3ef113691a" title="反向购买" helpId="112001137" helpText="注：上市公司保留的资产、负债构成业务的，同时还应按照非同一控制下企业合并披露相关信息。"/>
    <m:section xlName="_GBC_cc6d41993eca4369a3cdb3c33d4f3299" title="处置子公司" helpId="112001139"/>
    <m:section xlName="_GBC_4d8df8ad82924ee296922a66106c2fad" title="是否存在通过多次交易分步处置对子公司投资且在本期丧失控制权的" helpId="112001139"/>
    <m:section xlName="_GBC_48deb7e41c8340258f6187578de62d24" title="一揽子交易" helpText="注：分别说明前期和本期处置股权的时点、价款、比例及方式。"/>
    <m:section xlName="_GBC_2bb504c17d764763a1c53c9e8495e036" title="非一揽子交易" helpId="112001139" helpText="注：分别说明前期和本期处置股权的时点、价款、比例及方式。"/>
    <m:section xlName="_GBC_c61d869cb31c439992bb2118c8eaac1e" title="其他原因的合并范围变动" helpId="112001141"/>
    <m:section xlName="_GBC_8ddcb59af8af49d295c61727d65b8301" title="同一控制下企业合并其他" helpId="112001142"/>
    <m:section xlName="_GBC_47f8b786d9024ebb977349f022d18c1c" title="企业集团的构成" rules="R2015_R11_031" helpId="112001143"/>
    <m:section xlName="_GBC_a2ec6e05ebd34d2fa14b1ba6b3ba8eb1" title="重要的非全资子公司" rules="R2015_R11_031" helpId="112001144"/>
    <m:section xlName="_GBC_501222dd8f884fabbdeaec6fe7e79709" title="重要非全资子公司的主要财务信息" rules="R2015_R11_031" extended="true" helpId="112001145">
      <m:item xlName="_GBC_c10a7c42e39b4ac9a711e2e9d367799e" concept="clcid-ci-ar:ShiFouShiYongZhongYaoFeiQuanZiZiGongSiDeZhuYaoCaiWuXinXi" label="是否适用：重要非全资子公司的主要财务信息" selectOptions="_buildInAppliance" controlType="CustomCheckbox" cRanges="{&quot;StartName&quot;:&quot;_GBC_c10a7c42e39b4ac9a711e2e9d367799e&quot;,&quot;EndName&quot;:&quot;_GBC_c6413d961dad488aae6fcf0fda2bf33a&quot;,&quot;CType&quot;:1,&quot;DisplayText&quot;:null}"/>
      <m:item xlName="_GBC_ba918360b15748859fb63cacad1f617d" indRef="482" concept="clcid-ci-ar:DanWeiCaiWuFuZhuZhongYaoFeiQuanZiZiGongSiDeZhuYaoCaiWuXinXi" label="单位：财务附注：重要非全资子公司的主要财务信息" selectOptions="_buildInScales" controlType="Combobox" cellType="Scale" appId="_GBC_c10a7c42e39b4ac9a711e2e9d367799e"/>
      <m:item xlName="_GBC_af5cc4f1e7a74e3d8f9c9fea25fdf05f" indRef="483" concept="clcid-ci-ar:BiZhongCaiWuFuZhuZhongYaoFeiQuanZiZiGongSiDeZhuYaoCaiWuXinXi" label="币种：财务附注：重要非全资子公司的主要财务信息" selectOptions="_buildInISO4217" controlType="Combobox" cellType="Measure" appId="_GBC_c10a7c42e39b4ac9a711e2e9d367799e"/>
      <m:placeholder xlName="_PLD_e65ae60c1beb4e5aa4e9c5250ffb188a" wordText="子公司名称" addr="T0R0C0S2_1"/>
      <m:placeholder xlName="_PLD_878e21e6ce5e466eb427e7200cc9e5bb" wordText="期末余额" addr="T0R0C1S1_6"/>
      <m:placeholder xlName="_PLD_86b93e4e78424106874bd84d54fb24df" wordText="期初余额" addr="T0R0C7S1_6"/>
      <m:placeholder xlName="_PLD_0154d63f3f2c482ebe0cf00460d87fbd" wordText="流动资产" addr="T0R1C1S1_1"/>
      <m:placeholder xlName="_PLD_0f817c02730447aca042c6a931d447e8" wordText="非流动资产" addr="T0R1C2S1_1"/>
      <m:placeholder xlName="_PLD_553e0814e94f491784b88cc5aa7d6adb" wordText="资产合计" addr="T0R1C3S1_1"/>
      <m:placeholder xlName="_PLD_3db84901ffa544afb174531f0384a82f" wordText="流动负债" addr="T0R1C4S1_1"/>
      <m:placeholder xlName="_PLD_50c217cc437b4c3496e1aab622fba053" wordText="非流动负债" addr="T0R1C5S1_1"/>
      <m:placeholder xlName="_PLD_ccd9a8d3652e4485a763cfb37eb6fa37" wordText="负债合计" addr="T0R1C6S1_1"/>
      <m:placeholder xlName="_PLD_ec07cd6513b74d49b586125d4b66dd0a" wordText="流动资产" addr="T0R1C7S1_1"/>
      <m:placeholder xlName="_PLD_fb97ce65ab144768b4fb9978546fce37" wordText="非流动资产" addr="T0R1C8S1_1"/>
      <m:placeholder xlName="_PLD_412845ecfd2e45e8ae03b43cf8ca32f4" wordText="资产合计" addr="T0R1C9S1_1"/>
      <m:placeholder xlName="_PLD_2a24724c66b442e994f401266a55d5df" wordText="流动负债" addr="T0R1C10S1_1"/>
      <m:placeholder xlName="_PLD_937f557a5cdb4ea99a0a914e755f781f" wordText="非流动负债" addr="T0R1C11S1_1"/>
      <m:placeholder xlName="_PLD_c4b998a44f394e1eb0924a4f19409ff8" wordText="负债合计" addr="T0R1C12S1_1"/>
      <m:tuple xlName="_GBC_feef0d2d67a84217a9099e634bb2d3df" concept="clcid-pte:ZhongYaoFeiQuanZiZiGongSiDeZhuYaoCaiWuXinXiMingXi" default_row="2" addr="T0R2C">
        <m:item xlName="_GBC_47bc477dc4754e4abd2f8c711daf4050" wordText="　" concept="clcid-pte:ZhongYaoFeiQuanZiZiGongSiDeZhuYaoCaiWuXinXiMingXiZiGongSiMingCheng" label="重要非全资子公司的主要财务信息明细-子公司名称" addr="T0R2C0S1_1" appId="_GBC_c10a7c42e39b4ac9a711e2e9d367799e"/>
        <m:item xlName="_GBC_e4074d7f7cd4405e91eac5f049dca7e2" concept="clcid-pte:ZhongYaoFeiQuanZiZiGongSiDeZhuYaoCaiWuXinXiMingXiLiuDongZiChan" label="重要非全资子公司的主要财务信息明细-流动资产" mulRef="_GBC_ba918360b15748859fb63cacad1f617d" unitRef="_GBC_af5cc4f1e7a74e3d8f9c9fea25fdf05f" addr="T0R2C1S1_1" formatStyle="Comma" appId="_GBC_c10a7c42e39b4ac9a711e2e9d367799e"/>
        <m:item xlName="_GBC_b0286703fff349229a49028f22bf3235" concept="clcid-pte:ZhongYaoFeiQuanZiZiGongSiDeZhuYaoCaiWuXinXiMingXiFeiLiuDongZiChan" label="重要非全资子公司的主要财务信息明细-非流动资产" mulRef="_GBC_ba918360b15748859fb63cacad1f617d" unitRef="_GBC_af5cc4f1e7a74e3d8f9c9fea25fdf05f" addr="T0R2C2S1_1" formatStyle="Comma" appId="_GBC_c10a7c42e39b4ac9a711e2e9d367799e"/>
        <m:item xlName="_GBC_c6950c8786e648f6a0b28084bb140226" concept="clcid-pte:ZhongYaoFeiQuanZiZiGongSiDeZhuYaoCaiWuXinXiMingXiZiChanHeJi" label="重要非全资子公司的主要财务信息明细-资产合计" mulRef="_GBC_ba918360b15748859fb63cacad1f617d" unitRef="_GBC_af5cc4f1e7a74e3d8f9c9fea25fdf05f" addr="T0R2C3S1_1" formatStyle="Comma" appId="_GBC_c10a7c42e39b4ac9a711e2e9d367799e">
          <m:complexRule comparator="Eq" title="重要非全资子公司的主要财务信息明细-资产合计" test=" $_GBC_e4074d7f7cd4405e91eac5f049dca7e2 +  $_GBC_b0286703fff349229a49028f22bf3235" id="C1f5cdeae53354aadb8721bc20f1455cf"/>
        </m:item>
        <m:item xlName="_GBC_37ad6b3699164553bff2446458d4282a" concept="clcid-pte:ZhongYaoFeiQuanZiZiGongSiDeZhuYaoCaiWuXinXiMingXiLiuDongFuZhai" label="重要非全资子公司的主要财务信息明细-流动负债" mulRef="_GBC_ba918360b15748859fb63cacad1f617d" unitRef="_GBC_af5cc4f1e7a74e3d8f9c9fea25fdf05f" addr="T0R2C4S1_1" formatStyle="Comma" appId="_GBC_c10a7c42e39b4ac9a711e2e9d367799e"/>
        <m:item xlName="_GBC_83b71020e2564d288d2d13d39e9e0d0c" concept="clcid-pte:ZhongYaoFeiQuanZiZiGongSiDeZhuYaoCaiWuXinXiMingXiFeiLiuDongFuZhai" label="重要非全资子公司的主要财务信息明细-非流动负债" mulRef="_GBC_ba918360b15748859fb63cacad1f617d" unitRef="_GBC_af5cc4f1e7a74e3d8f9c9fea25fdf05f" addr="T0R2C5S1_1" formatStyle="Comma" appId="_GBC_c10a7c42e39b4ac9a711e2e9d367799e"/>
        <m:item xlName="_GBC_e5d006bb445942a484d0c1dffe89d6a7" concept="clcid-pte:ZhongYaoFeiQuanZiZiGongSiDeZhuYaoCaiWuXinXiMingXiFuZhaiHeJi" label="重要非全资子公司的主要财务信息明细-负债合计" mulRef="_GBC_ba918360b15748859fb63cacad1f617d" unitRef="_GBC_af5cc4f1e7a74e3d8f9c9fea25fdf05f" addr="T0R2C6S1_1" formatStyle="Comma" appId="_GBC_c10a7c42e39b4ac9a711e2e9d367799e">
          <m:complexRule comparator="Eq" title="重要非全资子公司的主要财务信息明细-负债合计" test=" $_GBC_37ad6b3699164553bff2446458d4282a +  $_GBC_83b71020e2564d288d2d13d39e9e0d0c" id="Cf00e0937be2144919600bd60b472f848"/>
        </m:item>
        <m:item xlName="_GBC_23580993a82340578b8cb82c78e5b317" concept="clcid-pte:ZhongYaoFeiQuanZiZiGongSiDeZhuYaoCaiWuXinXiMingXiLiuDongZiChan" label="重要非全资子公司的主要财务信息明细-流动资产" periodRef="本期期初数" mulRef="_GBC_ba918360b15748859fb63cacad1f617d" unitRef="_GBC_af5cc4f1e7a74e3d8f9c9fea25fdf05f" addr="T0R2C7S1_1" formatStyle="Comma" appId="_GBC_c10a7c42e39b4ac9a711e2e9d367799e"/>
        <m:item xlName="_GBC_22b1682add794491a91ec4b40f917e28" concept="clcid-pte:ZhongYaoFeiQuanZiZiGongSiDeZhuYaoCaiWuXinXiMingXiFeiLiuDongZiChan" label="重要非全资子公司的主要财务信息明细-非流动资产" periodRef="本期期初数" mulRef="_GBC_ba918360b15748859fb63cacad1f617d" unitRef="_GBC_af5cc4f1e7a74e3d8f9c9fea25fdf05f" addr="T0R2C8S1_1" formatStyle="Comma" appId="_GBC_c10a7c42e39b4ac9a711e2e9d367799e"/>
        <m:item xlName="_GBC_3c65c46f6aab43a08b6e2e0210c10e51" concept="clcid-pte:ZhongYaoFeiQuanZiZiGongSiDeZhuYaoCaiWuXinXiMingXiZiChanHeJi" label="重要非全资子公司的主要财务信息明细-资产合计" periodRef="本期期初数" mulRef="_GBC_ba918360b15748859fb63cacad1f617d" unitRef="_GBC_af5cc4f1e7a74e3d8f9c9fea25fdf05f" addr="T0R2C9S1_1" formatStyle="Comma" appId="_GBC_c10a7c42e39b4ac9a711e2e9d367799e">
          <m:complexRule comparator="Eq" title="重要非全资子公司的主要财务信息明细-资产合计@本期期初数" test=" $_GBC_23580993a82340578b8cb82c78e5b317 +  $_GBC_22b1682add794491a91ec4b40f917e28" id="C20d30015db034f488ede3279a880f6f7"/>
        </m:item>
        <m:item xlName="_GBC_0309eb36a1b44a8a8f24f39c458efeb7" concept="clcid-pte:ZhongYaoFeiQuanZiZiGongSiDeZhuYaoCaiWuXinXiMingXiLiuDongFuZhai" label="重要非全资子公司的主要财务信息明细-流动负债" periodRef="本期期初数" mulRef="_GBC_ba918360b15748859fb63cacad1f617d" unitRef="_GBC_af5cc4f1e7a74e3d8f9c9fea25fdf05f" addr="T0R2C10S1_1" formatStyle="Comma" appId="_GBC_c10a7c42e39b4ac9a711e2e9d367799e"/>
        <m:item xlName="_GBC_5b4077f405d84851b7b2f5fb51ec7892" concept="clcid-pte:ZhongYaoFeiQuanZiZiGongSiDeZhuYaoCaiWuXinXiMingXiFeiLiuDongFuZhai" label="重要非全资子公司的主要财务信息明细-非流动负债" periodRef="本期期初数" mulRef="_GBC_ba918360b15748859fb63cacad1f617d" unitRef="_GBC_af5cc4f1e7a74e3d8f9c9fea25fdf05f" addr="T0R2C11S1_1" formatStyle="Comma" appId="_GBC_c10a7c42e39b4ac9a711e2e9d367799e"/>
        <m:item xlName="_GBC_c8dc74c1edfb42e9b858254aac8a5c65" concept="clcid-pte:ZhongYaoFeiQuanZiZiGongSiDeZhuYaoCaiWuXinXiMingXiFuZhaiHeJi" label="重要非全资子公司的主要财务信息明细-负债合计" periodRef="本期期初数" mulRef="_GBC_ba918360b15748859fb63cacad1f617d" unitRef="_GBC_af5cc4f1e7a74e3d8f9c9fea25fdf05f" addr="T0R2C12S1_1" formatStyle="Comma" appId="_GBC_c10a7c42e39b4ac9a711e2e9d367799e">
          <m:complexRule comparator="Eq" title="重要非全资子公司的主要财务信息明细-负债合计@本期期初数" test=" $_GBC_0309eb36a1b44a8a8f24f39c458efeb7 +  $_GBC_5b4077f405d84851b7b2f5fb51ec7892" id="C6aaff4a9dc13476f929b5a971d0e01cc"/>
        </m:item>
        <m:item xlName="_GBC_5e7722ef6b1547f2ac018d372f2f54ad" concept="">
          <m:extendConcept standardLabel="非流动资产" dataType="xbrli:stringItemType" period="instant"/>
        </m:item>
      </m:tuple>
      <m:placeholder xlName="_PLD_87ab97227e5642b988e110c5a28abb39" wordText="子公司名称" addr="T1R0C0S2_1"/>
      <m:placeholder xlName="_PLD_85f8737cebf641b2aa266052f4118ba8" wordText="本期发生额" addr="T1R0C1S1_4"/>
      <m:placeholder xlName="_PLD_32dac50c80854f268b3afdebef20332e" wordText="上期发生额" addr="T1R0C5S1_4"/>
      <m:placeholder xlName="_PLD_29407a86c6924579a6442f5b24e6decd" wordText="营业收入" addr="T1R1C1S1_1"/>
      <m:placeholder xlName="_PLD_bc59f1076f2243f8984efa8df921ad2c" wordText="净利润" addr="T1R1C2S1_1"/>
      <m:placeholder xlName="_PLD_90f87c27e3fb4843892cceb85599a3b1" wordText="综合收益总额" addr="T1R1C3S1_1"/>
      <m:placeholder xlName="_PLD_3126fb1798f346de95a39458603c4301" wordText="经营活动现金流量" addr="T1R1C4S1_1"/>
      <m:placeholder xlName="_PLD_44ccfb27fc6943ac84654ba7c7bef20e" wordText="营业收入" addr="T1R1C5S1_1"/>
      <m:placeholder xlName="_PLD_c08aebbf24fa4b1aa2c4f79232c7c630" wordText="净利润" addr="T1R1C6S1_1"/>
      <m:placeholder xlName="_PLD_0a377a03553f4d909179190a153a31b7" wordText="综合收益总额" addr="T1R1C7S1_1"/>
      <m:placeholder xlName="_PLD_400ec1e5e2cf42e5a9eea23ddbdbd572" wordText="经营活动现金流量" addr="T1R1C8S1_1"/>
      <m:tuple xlName="_GBC_330f4405d49345f7b8f69770f6eb8b4a" concept="clcid-pte:ZhongYaoFeiQuanZiZiGongSiDeZhuYaoCaiWuXinXiMingXi" default_row="2" addr="T1R2C">
        <m:item xlName="_GBC_9fc5faea7a4c4b1684eee563cf6d1956" wordText="　" concept="clcid-pte:ZhongYaoFeiQuanZiZiGongSiDeZhuYaoCaiWuXinXiMingXiZiGongSiMingCheng" label="重要非全资子公司的主要财务信息明细-子公司名称" addr="T1R2C0S1_1" appId="_GBC_c10a7c42e39b4ac9a711e2e9d367799e"/>
        <m:item xlName="_GBC_a06dcec8ebf741dca9582288b3cca466" concept="clcid-pte:ZhongYaoFeiQuanZiZiGongSiDeZhuYaoCaiWuXinXiMingXiYingYeShouRu" label="重要非全资子公司的主要财务信息明细-营业收入" mulRef="_GBC_ba918360b15748859fb63cacad1f617d" unitRef="_GBC_af5cc4f1e7a74e3d8f9c9fea25fdf05f" addr="T1R2C1S1_1" formatStyle="Comma" appId="_GBC_c10a7c42e39b4ac9a711e2e9d367799e"/>
        <m:item xlName="_GBC_2caebeef2940406a89553b657ad98250" concept="clcid-pte:ZhongYaoFeiQuanZiZiGongSiDeZhuYaoCaiWuXinXiMingXiJingLiRun" label="重要非全资子公司的主要财务信息明细-净利润" mulRef="_GBC_ba918360b15748859fb63cacad1f617d" unitRef="_GBC_af5cc4f1e7a74e3d8f9c9fea25fdf05f" addr="T1R2C2S1_1" formatStyle="Comma" appId="_GBC_c10a7c42e39b4ac9a711e2e9d367799e"/>
        <m:item xlName="_GBC_1c8a65629ed746d6958f547807baf4c0" concept="clcid-pte:ZhongYaoFeiQuanZiZiGongSiDeZhuYaoCaiWuXinXiMingXiZongHeShouYiZongE" label="重要非全资子公司的主要财务信息明细-综合收益总额" mulRef="_GBC_ba918360b15748859fb63cacad1f617d" unitRef="_GBC_af5cc4f1e7a74e3d8f9c9fea25fdf05f" addr="T1R2C3S1_1" formatStyle="Comma" appId="_GBC_c10a7c42e39b4ac9a711e2e9d367799e"/>
        <m:item xlName="_GBC_e9fc861d0dec42eba8a70f3841093cfc" concept="clcid-pte:ZhongYaoFeiQuanZiZiGongSiDeZhuYaoCaiWuXinXiMingXiJingYingHuoDongXianJinLiuLiang" label="重要非全资子公司的主要财务信息明细-经营活动现金流量" mulRef="_GBC_ba918360b15748859fb63cacad1f617d" unitRef="_GBC_af5cc4f1e7a74e3d8f9c9fea25fdf05f" addr="T1R2C4S1_1" formatStyle="Comma" appId="_GBC_c10a7c42e39b4ac9a711e2e9d367799e"/>
        <m:item xlName="_GBC_afc4176befe04c708d1db2687a1df772" concept="clcid-pte:ZhongYaoFeiQuanZiZiGongSiDeZhuYaoCaiWuXinXiMingXiYingYeShouRu" label="重要非全资子公司的主要财务信息明细-营业收入" periodRef="上年同期数" mulRef="_GBC_ba918360b15748859fb63cacad1f617d" unitRef="_GBC_af5cc4f1e7a74e3d8f9c9fea25fdf05f" addr="T1R2C5S1_1" formatStyle="Comma" appId="_GBC_c10a7c42e39b4ac9a711e2e9d367799e"/>
        <m:item xlName="_GBC_0eceb817ae4241e29199d3d5e649c455" concept="clcid-pte:ZhongYaoFeiQuanZiZiGongSiDeZhuYaoCaiWuXinXiMingXiJingLiRun" label="重要非全资子公司的主要财务信息明细-净利润" periodRef="上年同期数" mulRef="_GBC_ba918360b15748859fb63cacad1f617d" unitRef="_GBC_af5cc4f1e7a74e3d8f9c9fea25fdf05f" addr="T1R2C6S1_1" formatStyle="Comma" appId="_GBC_c10a7c42e39b4ac9a711e2e9d367799e"/>
        <m:item xlName="_GBC_8d75b95800ba4fe491c474d3ef5ad908" concept="clcid-pte:ZhongYaoFeiQuanZiZiGongSiDeZhuYaoCaiWuXinXiMingXiZongHeShouYiZongE" label="重要非全资子公司的主要财务信息明细-综合收益总额" periodRef="上年同期数" mulRef="_GBC_ba918360b15748859fb63cacad1f617d" unitRef="_GBC_af5cc4f1e7a74e3d8f9c9fea25fdf05f" addr="T1R2C7S1_1" formatStyle="Comma" appId="_GBC_c10a7c42e39b4ac9a711e2e9d367799e"/>
        <m:item xlName="_GBC_6f53b5875cfd46e988f49e4b1e97aaf4" concept="clcid-pte:ZhongYaoFeiQuanZiZiGongSiDeZhuYaoCaiWuXinXiMingXiJingYingHuoDongXianJinLiuLiang" label="重要非全资子公司的主要财务信息明细-经营活动现金流量" periodRef="上年同期数" mulRef="_GBC_ba918360b15748859fb63cacad1f617d" unitRef="_GBC_af5cc4f1e7a74e3d8f9c9fea25fdf05f" addr="T1R2C8S1_1" formatStyle="Comma" appId="_GBC_c10a7c42e39b4ac9a711e2e9d367799e"/>
      </m:tuple>
      <m:item xlName="_GBC_c6413d961dad488aae6fcf0fda2bf33a" concept="clcid-pte:ZhongYaoFeiQuanZiZiGongSiDeZhuYaoCaiWuXinXiDeQiTaShuoMing" label="重要非全资子公司的主要财务信息的其他说明" appId="_GBC_c10a7c42e39b4ac9a711e2e9d367799e"/>
    </m:section>
    <m:section xlName="_GBC_573fe5c9daf0401da00d8fc5198daf66" title="使用企业集团资产和清偿企业集团债务的重大限制" rules="R2015_R11_031" helpId="112001146"/>
    <m:section xlName="_GBC_114877d69a2e4b56b15fb618155127e3" title="向纳入合并财务报表范围的结构化主体提供的财务支持或其他支持" rules="R2015_R11_031" helpId="112001147"/>
    <m:section xlName="_GBC_a0f68dc0a3a24efaa431a8c8d768eb0f" title="在子公司中的权益其他说明" rules="R2015_R11_031"/>
    <m:item xlName="_GBC_51b903d8f50944dc91e91048eba723cd" concept="clcid-ci-ar:ShiFouShiYongZaiZiGongSiDeSuoYouZheQuanYiFenEFaShengBianHuaQieRengKongZhiZiGongSiDeJiaoYi" label="是否适用：在子公司的所有者权益份额发生变化且仍控制子公司的交易" selectOptions="_buildInAppliance" controlType="CustomCheckbox" cRanges="{&quot;StartName&quot;:&quot;_GBC_51b903d8f50944dc91e91048eba723cd&quot;,&quot;EndName&quot;:&quot;_GBC_6c711c3ca3c84136960924716eba5afd&quot;,&quot;CType&quot;:1,&quot;DisplayText&quot;:null}"/>
    <m:section xlName="_GBC_97caac97575742839d3ba3c28ee39a60" title="在子公司所有者权益份额的变化情况的说明" rules="R2015_R11_031" helpId="112001148"/>
    <m:section xlName="_GBC_6c711c3ca3c84136960924716eba5afd" title="交易对于少数股东权益及归属于母公司所有者权益的影响" rules="R2015_R11_031" repeatable="2" helpId="112001148">
      <m:virtualTuples>
        <m:virtualTuple id="a9fdb2d5-7ad8-422d-a254-52ab68cea10e" tupleRef="clcid-pte:JiaoYiDuiYuShaoShuGuDongQuanYiJiGuiShuYuMuGongSiSuoYouZheQuanYiDeYingXiangMingXi" extendDirection="2" splitWidth="1"/>
      </m:virtualTuples>
    </m:section>
    <m:item xlName="_GBC_31c0fe2068fd4a898e4269df4925aa76" concept="clcid-ci-ar:ShiFouShiYongZaiHeYingQiYeHuoLianYingQiYeZhongDeQuanYi" label="是否适用：在合营企业或联营企业中的权益" selectOptions="_buildInAppliance" controlType="CustomCheckbox" cRanges="{&quot;StartName&quot;:&quot;_GBC_31c0fe2068fd4a898e4269df4925aa76&quot;,&quot;EndName&quot;:&quot;_GBC_1f803def681a42ba91cdde709a067b3f&quot;,&quot;CType&quot;:1,&quot;DisplayText&quot;:null}"/>
    <m:section xlName="_GBC_49e4a749316a464e89485cda5774fc07" title="重要的合营企业或联营企业" rules="R2015_R11_031" helpId="112001149"/>
    <m:item xlName="_GBC_6241cde567c342139ae6186afeea9fb4" concept="clcid-ci-ar:ShiFouShiYongZhongYaoHeYingQiYeDeZhuYaoCaiWuXinXi" label="是否适用：重要合营企业的主要财务信息" selectOptions="_buildInAppliance" controlType="CustomCheckbox" cRanges="{&quot;StartName&quot;:&quot;_GBC_6241cde567c342139ae6186afeea9fb4&quot;,&quot;EndName&quot;:&quot;_SEC_0483769c9bcc4791905aa1394ee961e5&quot;,&quot;CType&quot;:1,&quot;DisplayText&quot;:null}"/>
    <m:item xlName="_GBC_c3e62c0d62494c0bb865a164a263a4c4" indRef="488" concept="clcid-ci-ar:DanWeiCaiWuFuZhuZhongYaoHeYingQiYeDeZhuYaoCaiWuXinXi" label="单位：财务附注：重要合营企业的主要财务信息" selectOptions="_buildInScales" controlType="Combobox" cellType="Scale" appId="_GBC_31c0fe2068fd4a898e4269df4925aa76"/>
    <m:item xlName="_GBC_dbf325e8ec10449ba127b878292f7bb1" indRef="489" concept="clcid-ci-ar:BiZhongCaiWuFuZhuZhongYaoHeYingQiYeDeZhuYaoCaiWuXinXi" label="币种：财务附注：重要合营企业的主要财务信息" selectOptions="_buildInISO4217" controlType="Combobox" cellType="Measure" appId="_GBC_31c0fe2068fd4a898e4269df4925aa76"/>
    <m:section xlName="_GBC_10d60417c84d41c1b3386073557d9d05" title="重要合营企业的主要财务信息" repeatable="1" rules="" helpId="112001150">
      <m:virtualTuples>
        <m:virtualTuple id="597dff05-272b-4d7d-ab87-8880769a1248" tupleRef="clcid-pte:ZhongYaoHeYingQiYeDeZhuYaoCaiWuXinXiMingXi" defaultRows="2" extendDirection="2" splitWidth="1"/>
      </m:virtualTuples>
    </m:section>
    <m:section xlName="_SEC_0483769c9bcc4791905aa1394ee961e5" title="重要合营企业的主要财务信息其他说明方法" rules="R2015_R11_031" helpId="112001150"/>
    <m:item xlName="_GBC_e304b69adb6f449495c3916754024763" concept="clcid-ci-ar:ShiFouShiYongZhongYaoLianYingQiYeDeZhuYaoCaiWuXinXi" label="是否适用：重要联营企业的主要财务信息" selectOptions="_buildInAppliance" controlType="CustomCheckbox" cRanges="{&quot;StartName&quot;:&quot;_GBC_e304b69adb6f449495c3916754024763&quot;,&quot;EndName&quot;:&quot;_SEC_3191928276884aa0be18ac148aa436b7&quot;,&quot;CType&quot;:1,&quot;DisplayText&quot;:null}"/>
    <m:item xlName="_GBC_0306b30be35040cd86d2b964142011d4" indRef="490" concept="clcid-ci-ar:DanWeiCaiWuFuZhuZhongYaoLianYingQiYeDeZhuYaoCaiWuXinXi" label="单位：财务附注：重要联营企业的主要财务信息" selectOptions="_buildInScales" controlType="Combobox" cellType="Scale" appId="_GBC_31c0fe2068fd4a898e4269df4925aa76"/>
    <m:item xlName="_GBC_a2e655bae21746219bfd958c6f5b8be9" indRef="491" concept="clcid-ci-ar:BiZhongCaiWuFuZhuZhongYaoLianYingQiYeDeZhuYaoCaiWuXinXi" label="币种：财务附注：重要联营企业的主要财务信息" selectOptions="_buildInISO4217" controlType="Combobox" cellType="Measure" appId="_GBC_31c0fe2068fd4a898e4269df4925aa76"/>
    <m:section xlName="_GBC_ac3eed998bbd4658ab651a88daefefb1" title="重要联营企业的主要财务信息" repeatable="1" rules="R2015_R11_031" helpId="112001150">
      <m:virtualTuples>
        <m:virtualTuple id="f8a59098-2c31-40fa-b2f3-af06f4655f9e" tupleRef="clcid-pte:ZhongYaoLianYingQiYeDeZhuYaoCaiWuXinXiMingXi" defaultRows="2" extendDirection="2" splitWidth="1"/>
      </m:virtualTuples>
    </m:section>
    <m:section xlName="_SEC_3191928276884aa0be18ac148aa436b7" title="重要联营企业的主要财务信息其他说明的方法" rules="R2015_R11_031" helpId="112001150"/>
    <m:section xlName="_GBC_7592afe8201c4b36a34fa177ca124037" title="不重要的合营企业和联营企业的汇总财务信息" rules="R2015_R11_031" helpId="112001151"/>
    <m:section xlName="_GBC_2874973c28b34357bf81a60947721baa" title="合营企业或联营企业向公司转移资金的能力存在重大限制的说明" rules="R2015_R11_031" helpId="112001152"/>
    <m:section xlName="_GBC_a9980062c82d44acae24fae7368ea42f" title="合营企业或联营企业发生的超额亏损" rules="R2015_R11_031" helpId="112001153"/>
    <m:section xlName="_GBC_da055842bf8c4e9598b87bd760d969ec" title="与合营企业投资相关的未确认承诺" rules="R2015_R11_031" helpId="112001154"/>
    <m:section xlName="_GBC_1f803def681a42ba91cdde709a067b3f" title="与合营企业或联营企业投资相关的或有负债" rules="R2015_R11_031" helpId="112001154"/>
    <m:section xlName="_GBC_90d44eb1222944759107483908112493" title="重要的共同经营" rules="R2015_R11_031" helpId="112001155"/>
    <m:section xlName="_GBC_5cfea65e45c44f1b9fdec762be35880d" title="在未纳入合并财务报表范围的结构化主体中的权益" rules="R2015_R11_031" helpId="112001156"/>
    <m:section xlName="_GBC_b24eb633f5244c748225389f3b3cedd1" title="在其他主体中的权益其他需要说明的事项" rules="R2015_R11_031" helpId="112001157"/>
    <m:section xlName="_GBC_815d628fea814e7191d23a3fcbe2783c" title="与金融工具相关的风险" helpId="112001158"/>
    <m:section xlName="_GBC_b5067cea5bbf475388ac2623e2c669d7" title="以公允价值计量的资产和负债的期末公允价值" helpId="112001159"/>
    <m:section xlName="_GBC_9cf59ced96b14247921100dffef5784f" title="持续和非持续第一层次公允价值计量项目市价的确定依据" helpId="112001160"/>
    <m:section xlName="_GBC_8e00be36ed6245f895b032b3059a4854" title="持续和非持续第二层次公允价值计量项目，采用的估值技术和重要参数的定性及定量信息" helpId="112001161"/>
    <m:section xlName="_GBC_5d389bac3ad747a292eb45fd87ce5896" title="持续和非持续第三层次公允价值计量项目，采用的估值技术和重要参数的定性及定量信息" helpId="112001161"/>
    <m:section xlName="_GBC_353ab3e0cb19455ab2c2c2a397421afe" title="持续的第三层次公允价值计量的项目期初与期末账面价值之间的调节信息及不可观察参数的敏感性分析" helpId="112001162"/>
    <m:section xlName="_GBC_a9200ec73b8d485e80b76f1a9ee34c49" title="持续的公允价值计量项目，本期内发生各层级之间转换的，转换的原因及确定转换时点的政策" helpId="112001163"/>
    <m:section xlName="_GBC_8e563310a4b84a5d9dfe74fdbc178926" title="本期内发生的估值技术变更及变更原因" helpId="112001164"/>
    <m:section xlName="_GBC_e354e1f41f824854b8f3345d52a9cfab" title="不以公允价值计量的金融资产和金融负债的公允价值情况" helpId="112001165"/>
    <m:section xlName="_GBC_1551c1b4fedc4ac0ae859b67b4b79904" title="公允价值其他需要披露的事项" helpId="112001166"/>
    <m:section xlName="_GBC_29e1f7491caa4c3e96eef8c84532de84" title="本企业的母公司情况" rules="R2015_R11_032" helpId="112001167"/>
    <m:section xlName="_GBC_244a434a920446c1838410fee0ac8ba8" title="本企业的子公司情况" rules="R2015_R11_032" helpId="112001167"/>
    <m:section xlName="_GBC_a5638b7fd6a848a19564209060b6909a" title="存在关联方交易或余额的合营和联营企业情况" rules="R2015_R11_032" helpId="112001167"/>
    <m:section xlName="_GBC_047a0ce3dc594d779db6d4cbc1623727" title="其他关联方情况" rules="R2015_R11_032" extended="true" helpId="112001167">
      <m:item xlName="_GBC_f9c029ef57734babb6375a74af1e3736" concept="clcid-ci-ar:ShiFouShiYongQiTaGuanLianFangQingKuang" label="是否适用：其他关联方情况" selectOptions="_buildInAppliance" controlType="CustomCheckbox" cRanges="{&quot;StartName&quot;:&quot;_GBC_f9c029ef57734babb6375a74af1e3736&quot;,&quot;EndName&quot;:&quot;_GBC_214bcb1375e347c4be22006f5cc854a9&quot;,&quot;CType&quot;:1,&quot;DisplayText&quot;:null}"/>
      <m:placeholder xlName="_PLD_8fe00abbc9b249a98b2e3ac6b12f12db" wordText="其他关联方名称" addr="T0R0C0S1_1"/>
      <m:placeholder xlName="_PLD_c1304840da1e482f80286e0c7ca19002" wordText="其他关联方与本企业关系" addr="T0R0C1S1_1"/>
      <m:tuple xlName="_GBC_2ec4adf7a1ce48faaeba9536b2bf6d81" concept="clcid-pte:BenQiYeDeQiTaGuanLianFangQingKuangMingXi" default_row="2" addr="T0R1C">
        <m:item xlName="_GBC_82d7a1b281b64889ba8c7ea32e982256" wordText="　" concept="clcid-pte:BenQiYeDeQiTaGuanLianFangQingKuangMingXiQiTaGuanLianFangMingCheng" label="本企业的其他关联方情况明细－其他关联方名称" addr="T0R1C0S1_1" appId="_GBC_f9c029ef57734babb6375a74af1e3736"/>
        <m:item xlName="_GBC_2205fb8ea5f648b5a0c9e8e3f8499f9f" concept="clcid-pte:BenQiYeDeQiTaGuanLianFangQingKuangMingXiQiTaGuanLianFangYuBenGongSiGuanXi" label="本企业的其他关联方情况明细－其他关联方与本公司关系" selectOptions="5c516fed9cdc439098237a803a871f70" addr="T0R1C1S1_1" controlType="Combobox" appId="_GBC_f9c029ef57734babb6375a74af1e3736" checkOption="Ignore"/>
        <m:item xlName="_GBC_5d4738d8b3dc4d0980cb436f6762b1b9" concept="">
          <m:extendConcept standardLabel="主要交易内容" dataType="xbrli:stringItemType" period="instant"/>
        </m:item>
      </m:tuple>
      <m:item xlName="_GBC_214bcb1375e347c4be22006f5cc854a9" concept="clcid-pte:BenQiYeDeQiTaGuanLianFangQingKuangDeShuoMing" label="本企业的其他关联方情况的说明" appId="_GBC_f9c029ef57734babb6375a74af1e3736"/>
    </m:section>
    <m:section xlName="_SEC_fb5c7314892940239be1e53fefbaec88" title="采购商品/接受劳务情况表" rules="R2015_R11_032" extended="true">
      <m:item xlName="_GBC_af7e43b831354837910c4edde708e04a" concept="clcid-ci-ar:ShiFouShiYongCaiGouShangPinHuoJieShouLaoWuQingKuangBiao" label="是否适用：采购商品或接受劳务情况表" selectOptions="_buildInAppliance" controlType="CustomCheckbox" cRanges="[{&quot;StartName&quot;:&quot;_GBC_af7e43b831354837910c4edde708e04a&quot;,&quot;EndName&quot;:&quot;_GBC_9c9e1521d8d14a2983307a61b8a1e06f&quot;,&quot;CType&quot;:1}]"/>
      <m:item xlName="_GBC_45ae86deace34388a904346eae355be1" indRef="500" concept="clcid-ci-ar:DanWeiCaiGouShangPinJieShouLaoWuQingKuangBiao" label="单位：采购商品接受劳务情况表" selectOptions="_buildInScales" controlType="Combobox" cellType="Scale" appId="_GBC_af7e43b831354837910c4edde708e04a"/>
      <m:item xlName="_GBC_ac9ca64b68bd493da1d7e7c719a6104c" indRef="501" concept="clcid-ci-ar:BiZhongCaiGouShangPinJieShouLaoWuQingKuangBiao" label="币种：采购商品接受劳务情况表" selectOptions="_buildInISO4217" controlType="Combobox" cellType="Measure" appId="_GBC_af7e43b831354837910c4edde708e04a"/>
      <m:placeholder xlName="_PLD_c09a7dc97d494a8fb07056392e54876a" wordText="关联方" addr="T0R0C0S1_1"/>
      <m:placeholder xlName="_PLD_6f5fdab53c694e56963e5e189cd0c28d" wordText="关联交易内容" addr="T0R0C1S1_1"/>
      <m:placeholder xlName="_PLD_1237b998b2a64f30a674dff433b841b0" wordText="本期发生额" addr="T0R0C2S1_1"/>
      <m:placeholder xlName="_PLD_b1a311757d3a457e811c8d8ffb0b6ac0" wordText="获批的交易额度（如适用）" addr="T0R0C3S1_1"/>
      <m:placeholder xlName="_PLD_c145e8a0e9404dc7b7dab215447b876b" wordText="是否超过交易额度（如适用）" addr="T0R0C4S1_1"/>
      <m:placeholder xlName="_PLD_f7d77ff6fdf642199e4c9fc12f00610d" wordText="上期发生额" addr="T0R0C5S1_1"/>
      <m:tuple xlName="_TUP_6a1f8fb777604032986c4beda62c76c1" concept="clcid-ie:CaiGouShangPinJieShouLaoWuQingKuangMingXi" default_row="2" addr="T0R1C">
        <m:item xlName="_GBC_603c3dd5451e4084a8a546c7a0c12040" wordText="　" concept="clcid-ie:CaiGouShangPinJieShouLaoWuQingKuangMingXiGuanLianFang" label="采购商品接受劳务情况明细-关联方" addr="T0R1C0S1_1" appId="_GBC_af7e43b831354837910c4edde708e04a"/>
        <m:item xlName="_GBC_18c2572e32254b28bdfd0dd2e896236b" concept="clcid-ie:CaiGouShangPinJieShouLaoWuQingKuangMingXiGuanLianJiaoYiNeiRong" label="采购商品接受劳务情况明细-关联交易内容" addr="T0R1C1S1_1" appId="_GBC_af7e43b831354837910c4edde708e04a"/>
        <m:item xlName="_GBC_bf07c2ffd3484cc8a769892d01e8259d" concept="clcid-ie:CaiGouShangPinJieShouLaoWuQingKuangMingXiFaShengE" label="采购商品接受劳务情况明细-发生额" mulRef="_GBC_45ae86deace34388a904346eae355be1" unitRef="_GBC_ac9ca64b68bd493da1d7e7c719a6104c" addr="T0R1C2S1_1" formatStyle="Comma" appId="_GBC_af7e43b831354837910c4edde708e04a"/>
        <m:item xlName="_GBC_86f7d092d32c41cfbf985b3c7c4ab765" concept="clcid-ie:CaiGouShangPinJieShouLaoWuQingKuangMingXiHuoPiDeJiaoYiEDu" label="采购商品接受劳务情况明细-获批的交易额度" mulRef="_GBC_45ae86deace34388a904346eae355be1" unitRef="_GBC_ac9ca64b68bd493da1d7e7c719a6104c" addr="T0R1C3S1_1" formatStyle="Comma" appId="_GBC_af7e43b831354837910c4edde708e04a"/>
        <m:item xlName="_GBC_8948407543bf4b9e8a27ff07478d8950" concept="clcid-ie:CaiGouShangPinJieShouLaoWuQingKuangMingXiShiFouChaoGuoJiaoYiEDu" label="采购商品接受劳务情况明细-是否超过交易额度" selectOptions="_buildInYesNo" addr="T0R1C4S1_1" controlType="Combobox" appId="_GBC_af7e43b831354837910c4edde708e04a"/>
        <m:item xlName="_GBC_9c9e1521d8d14a2983307a61b8a1e06f" concept="clcid-ie:CaiGouShangPinJieShouLaoWuQingKuangMingXiFaShengE" label="采购商品接受劳务情况明细-发生额" periodRef="上年同期数" mulRef="_GBC_45ae86deace34388a904346eae355be1" unitRef="_GBC_ac9ca64b68bd493da1d7e7c719a6104c" addr="T0R1C5S1_1" formatStyle="Comma" appId="_GBC_af7e43b831354837910c4edde708e04a"/>
        <m:item xlName="_GBC_e80c046a1fd94d03ac1db6759ff96df6" concept="">
          <m:extendConcept standardLabel="备注" dataType="xbrli:stringItemType" period="instant"/>
        </m:item>
      </m:tuple>
    </m:section>
    <m:section xlName="_GBC_a4e1c0efe9f741ecbb648a33c9afb8fd" title="出售商品/提供劳务情况" rules="R2015_R11_032" extended="true" helpId="112001168">
      <m:item xlName="_GBC_18ae630e2f3641959d3a9fc1a3f3ccf3" concept="clcid-ci-ar:ShiFouShiYongChuShouShangPinHuoTiGongLaoWuQingKuangBiao" label="是否适用：出售商品或提供劳务情况表" selectOptions="_buildInAppliance" controlType="CustomCheckbox" cRanges="{&quot;StartName&quot;:&quot;_GBC_18ae630e2f3641959d3a9fc1a3f3ccf3&quot;,&quot;EndName&quot;:&quot;_GBC_067bccb3948043628f4b1b4d765c2649&quot;,&quot;CType&quot;:1,&quot;DisplayText&quot;:null}"/>
      <m:item xlName="_GBC_d53494f853ed4767a511f9c2c780c566" indRef="502" concept="clcid-ci-ar:DanWeiChuShouShangPinTiGongLaoWuQingKuangBiao" label="单位：出售商品提供劳务情况表" selectOptions="_buildInScales" controlType="Combobox" cellType="Scale" appId="_GBC_18ae630e2f3641959d3a9fc1a3f3ccf3"/>
      <m:item xlName="_GBC_d298f57687684d2eafef1d8c13d51722" indRef="503" concept="clcid-ci-ar:BiZhongChuShouShangPinTiGongLaoWuQingKuangBiao" label="币种：出售商品提供劳务情况表" selectOptions="_buildInISO4217" controlType="Combobox" cellType="Measure" appId="_GBC_18ae630e2f3641959d3a9fc1a3f3ccf3"/>
      <m:placeholder xlName="_PLD_70510986aab647e99b00ba57c32e64cd" wordText="关联方" addr="T0R0C0S1_1"/>
      <m:placeholder xlName="_PLD_66da90262f3d401c8151235b4c6f5e93" wordText="关联交易内容" addr="T0R0C1S1_1"/>
      <m:placeholder xlName="_PLD_09c424bd80324eb49dafea569ce1931b" wordText="本期发生额" addr="T0R0C2S1_1"/>
      <m:placeholder xlName="_PLD_fd0f9e0691744db49d5ceaf95d42197c" wordText="上期发生额" addr="T0R0C3S1_1"/>
      <m:tuple xlName="_GBC_d6e24b6ca62645f180ecf5d4621afdc6" concept="clcid-ie:ChuShouShangPinTiGongLaoWuQingKuangMingXi" default_row="2" addr="T0R1C">
        <m:item xlName="_GBC_ea3a50f2f6084641a06e7e84b4f31731" wordText="　" concept="clcid-ie:ChuShouShangPinTiGongLaoWuQingKuangMingXiGuanLianFang" label="出售商品提供劳务情况明细-关联方" addr="T0R1C0S1_1" appId="_GBC_18ae630e2f3641959d3a9fc1a3f3ccf3"/>
        <m:item xlName="_GBC_820633d92aa642f9a0663a41087c1a83" concept="clcid-ie:ChuShouShangPinTiGongLaoWuQingKuangMingXiGuanLianJiaoYiNeiRong" label="出售商品提供劳务情况明细-关联交易内容" addr="T0R1C1S1_1" appId="_GBC_18ae630e2f3641959d3a9fc1a3f3ccf3"/>
        <m:item xlName="_GBC_d0ba92d7376d41f6904ea1020c85cc71" concept="clcid-ie:ChuShouShangPinTiGongLaoWuQingKuangMingXiFaShengE" label="出售商品提供劳务情况明细-发生额" mulRef="_GBC_d53494f853ed4767a511f9c2c780c566" unitRef="_GBC_d298f57687684d2eafef1d8c13d51722" addr="T0R1C2S1_1" formatStyle="Comma" appId="_GBC_18ae630e2f3641959d3a9fc1a3f3ccf3"/>
        <m:item xlName="_GBC_067bccb3948043628f4b1b4d765c2649" concept="clcid-ie:ChuShouShangPinTiGongLaoWuQingKuangMingXiFaShengE" label="出售商品提供劳务情况明细-发生额" periodRef="上年同期数" mulRef="_GBC_d53494f853ed4767a511f9c2c780c566" unitRef="_GBC_d298f57687684d2eafef1d8c13d51722" addr="T0R1C3S1_1" formatStyle="Comma" appId="_GBC_18ae630e2f3641959d3a9fc1a3f3ccf3"/>
        <m:item xlName="_GBC_5a9d51d6fcaf4d1f96ca75f5e4617b80" concept="">
          <m:extendConcept standardLabel="备注" dataType="xbrli:stringItemType" period="instant"/>
        </m:item>
      </m:tuple>
      <m:item xlName="_GBC_9ec9e1b38e7f48d89bb7f6441bed1bd1" concept="clcid-ci-ar:ShiFouShiYongGouXiaoShangPinTiGongHeJieShouLaoWuDeGuanLianJiaoYiShuoMing" label="是否适用：购销商品、提供和接受劳务的关联交易说明" selectOptions="_buildInAppliance" controlType="CustomCheckbox" cRanges="{&quot;StartName&quot;:&quot;_GBC_9ec9e1b38e7f48d89bb7f6441bed1bd1&quot;,&quot;EndName&quot;:&quot;_GBC_b40d5cc82ee746028d6efa52b270cc25&quot;,&quot;CType&quot;:1,&quot;DisplayText&quot;:null}"/>
      <m:item xlName="_GBC_b40d5cc82ee746028d6efa52b270cc25" concept="clcid-ie:GouXiaoShangPinTiGongHeJieShouLaoWuDeGuanLianJiaoYiShuoMing" label="购销商品、提供和接受劳务的关联交易说明" appId="_GBC_9ec9e1b38e7f48d89bb7f6441bed1bd1"/>
    </m:section>
    <m:section xlName="_GBC_41e9e66a2ab04304a0db7b9e032817c5" title="关联受托管理/承包及委托管理/出包情况" rules="R2015_R11_032" helpId="112001168" helpText="注：托管资产类型包括：股权托管、其他资产托管。"/>
    <m:section xlName="_GBC_17f3281299e640aa88ca71463490c054" title="关联租赁情况" rules="R2015_R11_032" helpId="112001168"/>
    <m:section xlName="_GBC_a87b2e666bc14a67817d2d3189396350" title="关联担保情况" rules="R2015_R11_032" extended="true" helpId="112001168">
      <m:item xlName="_GBC_f0150417f8ec4c5281b86683570391cb" concept="clcid-ci-ar:ShiFouShiYongBenGongSiZuoWeiDanBaoFangDeDanBaoQingKuangBiao" label="是否适用：本公司作为担保方的担保情况表" selectOptions="_buildInAppliance" controlType="CustomCheckbox" cRanges="{&quot;StartName&quot;:&quot;_GBC_f0150417f8ec4c5281b86683570391cb&quot;,&quot;EndName&quot;:&quot;_GBC_4d8807e0244c4281aa68d5aba3d78918&quot;,&quot;CType&quot;:1,&quot;DisplayText&quot;:null}"/>
      <m:item xlName="_GBC_379c49ecfda94d10a0dbf6a25b30832b" indRef="512" concept="clcid-ci-ar:DanWeiGuanLianDanBaoQingKuang" label="单位：关联担保情况" selectOptions="_buildInScales" controlType="Combobox" cellType="Scale" appId="_GBC_f0150417f8ec4c5281b86683570391cb"/>
      <m:item xlName="_GBC_30ef1648c7d34b02b08d4b5c5e962498" indRef="513" concept="clcid-ci-ar:BiZhongGuanLianDanBaoQingKuang" label="币种：关联担保情况" selectOptions="_buildInISO4217" controlType="Combobox" cellType="Measure" appId="_GBC_f0150417f8ec4c5281b86683570391cb"/>
      <m:placeholder xlName="_PLD_7fb310b8c01a472093d9d29e302daa4b" wordText="被担保方" addr="T0R0C0S1_1"/>
      <m:placeholder xlName="_PLD_cd6852cb7c5a4dea84a100ea01b8219f" wordText="担保金额" addr="T0R0C1S1_1"/>
      <m:placeholder xlName="_PLD_bb272624fc77442486c7a9b0b734043e" wordText="担保起始日" addr="T0R0C2S1_1"/>
      <m:placeholder xlName="_PLD_a35eb33b3ab1461794f97ed15e18ee6a" wordText="担保到期日" addr="T0R0C3S1_1"/>
      <m:placeholder xlName="_PLD_4d5bb53717184afaad59a41f21a18bd1" wordText="担保是否已经履行完毕" addr="T0R0C4S1_1"/>
      <m:tuple xlName="_GBC_26ae64a16be64ca7926417c455e176fc" concept="clcid-pte:BenGongSiZuoWeiDanBaoFangDeGuanLianDanBaoQingKuangMingXi" default_row="2" addr="T0R1C">
        <m:item xlName="_GBC_e18ad9ff04a141bb9ddb7ce6ab40e7a0" wordText="　" concept="clcid-pte:BenGongSiZuoWeiDanBaoFangDeGuanLianDanBaoQingKuangMingXiBeiDanBaoFang" label="本公司作为担保方的关联担保情况明细-被担保方" addr="T0R1C0S1_1" appId="_GBC_f0150417f8ec4c5281b86683570391cb"/>
        <m:item xlName="_GBC_4394f6e5ce9540a687429815ccbcd7ab" concept="clcid-pte:BenGongSiZuoWeiDanBaoFangDeGuanLianDanBaoQingKuangMingXiDanBaoJinE" label="本公司作为担保方的关联担保情况明细-担保金额" mulRef="_GBC_379c49ecfda94d10a0dbf6a25b30832b" unitRef="_GBC_30ef1648c7d34b02b08d4b5c5e962498" addr="T0R1C1S1_1" formatStyle="Comma" appId="_GBC_f0150417f8ec4c5281b86683570391cb"/>
        <m:item xlName="_GBC_339129fe1c194999801f9304b5179432" concept="clcid-pte:BenGongSiZuoWeiDanBaoFangDeGuanLianDanBaoQingKuangMingXiDanBaoQiShiRi" label="本公司作为担保方的关联担保情况明细-担保起始日" addr="T0R1C2S1_1" appId="_GBC_f0150417f8ec4c5281b86683570391cb" keyAction="38"/>
        <m:item xlName="_GBC_d21b92809acb4f71a6bb75ecfc186471" concept="clcid-pte:BenGongSiZuoWeiDanBaoFangDeGuanLianDanBaoQingKuangMingXiDanBaoDaoQiRi" label="本公司作为担保方的关联担保情况明细-担保到期日" addr="T0R1C3S1_1" appId="_GBC_f0150417f8ec4c5281b86683570391cb" keyAction="38"/>
        <m:item xlName="_GBC_4d8807e0244c4281aa68d5aba3d78918" concept="clcid-pte:BenGongSiZuoWeiDanBaoFangDeGuanLianDanBaoQingKuangMingXiDanBaoShiFouYiJingLvXingWanBi" label="本公司作为担保方的关联担保情况明细-担保是否已经履行完毕" selectOptions="_buildInYesNo" addr="T0R1C4S1_1" controlType="Combobox" appId="_GBC_f0150417f8ec4c5281b86683570391cb"/>
        <m:item xlName="_GBC_43454b4869784e4b83765317d4a2e0e9" concept="">
          <m:extendConcept standardLabel="担保方" dataType="xbrli:stringItemType" period="instant"/>
        </m:item>
      </m:tuple>
      <m:item xlName="_GBC_3686094d29c941dd91bd168e3ef88833" concept="clcid-ci-ar:ShiFouShiYongBenGongSiZuoWeiBeiDanBaoFangDeDanBaoQingKuangBiao" label="是否适用：本公司作为被担保方的担保情况表" selectOptions="_buildInAppliance" controlType="CustomCheckbox" cRanges="[{&quot;StartName&quot;:&quot;_GBC_3686094d29c941dd91bd168e3ef88833&quot;,&quot;EndName&quot;:&quot;_GBC_ece41db563d54c85904336d073d8b352&quot;,&quot;CType&quot;:1}]"/>
      <m:item xlName="_GBC_af3d3d55d9c648f8b2e94dcdd804c683" indRef="514" concept="clcid-ci-ar:DanWeiCaiWuFuZhuBenGongSiZuoWeiBeiDanBaoFang" label="单位：财务附注：本公司作为被担保方" selectOptions="_buildInScales" controlType="Combobox" cellType="Scale" appId="_GBC_3686094d29c941dd91bd168e3ef88833"/>
      <m:item xlName="_GBC_684efbccec674b3abab20e6aa5c20b55" indRef="515" concept="clcid-ci-ar:BiZhongCaiWuFuZhuBenGongSiZuoWeiBeiDanBaoFang" label="币种：财务附注：本公司作为被担保方" selectOptions="_buildInISO4217" controlType="Combobox" cellType="Measure" appId="_GBC_3686094d29c941dd91bd168e3ef88833"/>
      <m:placeholder xlName="_PLD_6088efc2eccd46e6a311f035e3addd31" wordText="担保方" addr="T1R0C0S1_1"/>
      <m:placeholder xlName="_PLD_e7f78a4ceee3432c87548a75d87de01f" wordText="担保金额" addr="T1R0C1S1_1"/>
      <m:placeholder xlName="_PLD_258ee883a1494cba8aadfb02a67b1d9f" wordText="担保起始日" addr="T1R0C2S1_1"/>
      <m:placeholder xlName="_PLD_219bfe3bbd6a4eeab9cd5e00e9bb2477" wordText="担保到期日" addr="T1R0C3S1_1"/>
      <m:placeholder xlName="_PLD_e2efca4906c0464cb3ccf5445b144c22" wordText="担保是否已经履行完毕" addr="T1R0C4S1_1"/>
      <m:tuple xlName="_TUP_133171480fbe4e9c9c7e814e81aae393" concept="clcid-pte:BenGongSiZuoWeiBeiDanBaoFangDeGuanLianDanBaoQingKuangMingXi" default_row="2" addr="T1R1C">
        <m:item xlName="_GBC_6f1a2bee13e0417c800d4a7a84d24c7e" wordText="　" concept="clcid-pte:BenGongSiZuoWeiBeiDanBaoFangDeGuanLianDanBaoQingKuangMingXiDanBaoFang" label="本公司作为被担保方的关联担保情况明细-担保方" addr="T1R1C0S1_1" appId="_GBC_3686094d29c941dd91bd168e3ef88833"/>
        <m:item xlName="_GBC_4129401fe2ea4b0ab07a47ab30d3c555" concept="clcid-pte:BenGongSiZuoWeiBeiDanBaoFangDeGuanLianDanBaoQingKuangMingXiDanBaoJinE" label="本公司作为被担保方的关联担保情况明细-担保金额" mulRef="_GBC_af3d3d55d9c648f8b2e94dcdd804c683" unitRef="_GBC_684efbccec674b3abab20e6aa5c20b55" addr="T1R1C1S1_1" formatStyle="Comma" appId="_GBC_3686094d29c941dd91bd168e3ef88833"/>
        <m:item xlName="_GBC_2deeb84867094db08974b8368c3ceea0" concept="clcid-pte:BenGongSiZuoWeiBeiDanBaoFangDeGuanLianDanBaoQingKuangMingXiDanBaoQiShiRi" label="本公司作为被担保方的关联担保情况明细-担保起始日" addr="T1R1C2S1_1" appId="_GBC_3686094d29c941dd91bd168e3ef88833" keyAction="38"/>
        <m:item xlName="_GBC_b172aa5248bb43c69162a7f15677e7ac" concept="clcid-pte:BenGongSiZuoWeiBeiDanBaoFangDeGuanLianDanBaoQingKuangMingXiDanBaoDaoQiRi" label="本公司作为被担保方的关联担保情况明细-担保到期日" addr="T1R1C3S1_1" appId="_GBC_3686094d29c941dd91bd168e3ef88833" keyAction="38"/>
        <m:item xlName="_GBC_ece41db563d54c85904336d073d8b352" concept="clcid-pte:BenGongSiZuoWeiBeiDanBaoFangDeGuanLianDanBaoQingKuangMingXiDanBaoShiFouYiJingLvXingWanBi" label="本公司作为被担保方的关联担保情况明细-担保是否已经履行完毕" selectOptions="_buildInYesNo" addr="T1R1C4S1_1" controlType="Combobox" appId="_GBC_3686094d29c941dd91bd168e3ef88833"/>
        <m:item xlName="_GBC_e7340b363bd54a239d895059620a1859" concept="">
          <m:extendConcept standardLabel="被担保方" dataType="xbrli:stringItemType" period="instant"/>
        </m:item>
      </m:tuple>
      <m:item xlName="_GBC_9a5a4769e8804b779ae17adb041890d7" concept="clcid-ci-ar:ShiFouShiYongGuanLianDanBaoQingKuangShuoMing" label="是否适用：关联担保情况说明" selectOptions="_buildInAppliance" controlType="CustomCheckbox" cRanges="{&quot;StartName&quot;:&quot;_GBC_9a5a4769e8804b779ae17adb041890d7&quot;,&quot;EndName&quot;:&quot;_GBC_e0444f9afd5a4ce58c84bff06eddbd44&quot;,&quot;CType&quot;:1,&quot;DisplayText&quot;:null}"/>
      <m:item xlName="_GBC_e0444f9afd5a4ce58c84bff06eddbd44" concept="clcid-ie:GuanLianDanBaoShuoMing" label="关联担保说明" appId="_GBC_9a5a4769e8804b779ae17adb041890d7"/>
    </m:section>
    <m:section xlName="_SEC_b82cc4dd84264685b7f47657a2755690" title=""/>
    <m:section xlName="_GBC_9319584d30f7446b9ff3e2a3d50022d5" title="关联方资产转让、债务重组情况" rules="R2015_R11_032"/>
    <m:section xlName="_GBC_16da1beac91f4544809058bfda2ad3bf" title="关键管理人员报酬" rules="R2015_R11_032" helpId="112001168"/>
    <m:section xlName="_GBC_45e2e59b0d6145b48f7cfd576edaa9e6" title="其他关联交易" rules="R2015_R11_032" convertSummaryRule="NoConvert" helpId="112001168"/>
    <m:section xlName="_GBC_a8ddb53cf3424889a48a1749b5a1d910" title="上市公司应收关联方款项" rules="R2015_R11_032" convertSummaryRule="NoConvert" helpId="112001168" helpText="注：关联交易约定以净额结算的，应收关联方款项可以抵销后金额填列。"/>
    <m:section xlName="_GBC_e7a5511f50dd4f05a897cdfaeac4023f" title="上市公司应付关联方款项" rules="R2015_R11_032" convertSummaryRule="NoConvert" helpId="112001168" helpText="注：关联交易约定以净额结算的，应付关联方款项可以抵销后金额填列。"/>
    <m:section xlName="_GBC_945a5f0033de4c9786bb7245eedc88e3" title="关联方承诺" rules="R2015_R11_032" helpId="112001168"/>
    <m:section xlName="_GBC_f467d909644e4ab6b08e0abfbea78eb8" title="关联方及关联情况的其他说明" rules="R2015_R11_032" helpId="112001166"/>
    <m:section xlName="_SEC_8f29a670afb24d6483751d12de8416ae" title="股份支付总体情况（单表）" convertSummaryRule="NoConvert" helpId="112001170" primarySection="_SEC_8f29a670afb24d6483751d12de8416ae" optionText="股份支付总体情况（单表）" optionGroupTitle="股份支付总体情况"/>
    <m:section xlName="_SEC_de0062e864d94d7fa12a7f5a474ad204" title="股份支付总体情况（多表）" convertSummaryRule="NoConvert" helpId="112001170" primarySection="_SEC_8f29a670afb24d6483751d12de8416ae" optionText="股份支付总体情况（多表）" optionGroupTitle="股份支付总体情况"/>
    <m:section xlName="_SEC_c15ad15b52d3453a922cc481e12fae53" title="以权益结算的股份支付情况（单表）" convertSummaryRule="NoConvert" helpId="112001171" helpText="注：本期估计与上期估计不存在重大差异的，请填写“无”。" primarySection="_SEC_c15ad15b52d3453a922cc481e12fae53" optionText="以权益结算的股份支付情况（单表）" optionGroupTitle="以权益结算的股份支付情况"/>
    <m:section xlName="_SEC_330baf0f1ff94cf298a19e5b36514ebe" title="以权益结算的股份支付情况（多表）" convertSummaryRule="NoConvert" helpId="112001171" helpText="注：本期估计与上期估计不存在重大差异的，请填写“无”。" primarySection="_SEC_c15ad15b52d3453a922cc481e12fae53" optionText="以权益结算的股份支付情况（多表）" optionGroupTitle="以权益结算的股份支付情况"/>
    <m:section xlName="_GBC_e8a0c7296300463994744e877be96129" title="以现金结算的股份支付情况" convertSummaryRule="NoConvert" helpId="112002203"/>
    <m:section xlName="_GBC_ae153862caea4ff5a57470b6f594f167" title="股份支付的修改、终止情况" convertSummaryRule="NoConvert" helpId="112001173" helpText="注：本期未发生股份支付修改、终止情况的，请填写“无”。"/>
    <m:section xlName="_GBC_d9554f13d811474eab6fe8ab0c5c8811" title="股份支付的其他情况说明" helpId="112001166"/>
    <m:item xlName="_GBC_3ee02d2bff5e4dd69f75cc6148bdda8f" concept="clcid-ci-ar:ShiFouShiYongZhongYaoChengNuoShiXiang" label="是否适用：重要承诺事项" selectOptions="_buildInAppliance" controlType="CustomCheckbox" cRanges="{&quot;StartName&quot;:&quot;_GBC_3ee02d2bff5e4dd69f75cc6148bdda8f&quot;,&quot;EndName&quot;:&quot;_GBC_bd716a4e356044ddb7c8207f0edef471&quot;,&quot;CType&quot;:1,&quot;DisplayText&quot;:null}"/>
    <m:section xlName="_GBC_bd716a4e356044ddb7c8207f0edef471" title="资产负债表日存在的重大承诺" helpId="112002263" helpText="注：与合营企业投资相关的未确认承诺索引至“附注九、在其他主体中的权益”部分相应内容。"/>
    <m:section xlName="_GBC_c667d796bd114ba58f4592903a5601f3" title="资产负债表日存在的或有事项" helpId="112002204" helpText="注：与合营企业或联营企业投资相关的或有负债索引至“附注九、在其他主体中的权益”部分相应内容。"/>
    <m:section xlName="_GBC_428b07d001974f7390d8bb4142377be9" title="公司没有需要披露的或有事项，也应予以说明" helpId="112002206"/>
    <m:section xlName="_GBC_7967de77d1eb4fa3968e072c7d0d24ca" title="承诺及或有事项的其他情况说明" helpId="112001166"/>
    <m:section xlName="_GBC_5d1bcf8f61b9443ba6ffa54897c724fc" title="重要的非调整事项" helpId="112001176"/>
    <m:section xlName="_GBC_0fa3d44599d34674894cec144baccd50" title="资产负债表日后利润分配情况说明" convertSummaryRule="NoConvert" helpId="112001177"/>
    <m:section xlName="_GBC_189c429afb95427192d478a4da4061cd" title="资产负债表日后事项-销售退回说明" helpId="112001178" helpText="注：说明在资产负债表日后发生重要销售退回的相关情况及对报表的影响。"/>
    <m:section xlName="_GBC_90d185c72bfe452398767dd3a98447a5" title="其他资产负债表日后事项说明" helpId="112001166"/>
    <m:section xlName="_GBC_cb1f61a36a2a43b0ad30697c25cce450" title="会计差错更正(追溯重述)" convertSummaryRule="ConvertDefinedText" convertText="无" helpId="112001180"/>
    <m:section xlName="_GBC_6bd40de18d9047e48f182803eefc5581" title="未来适用法本报告期是否发现采用未来适用法的前期会计差错：（..." helpId="112001180"/>
    <m:section xlName="_GBC_998fd0c3432a41e5b98f1c74ffeda751" title="债务重组" convertSummaryRule="NoConvert" helpId="112001181" helpText="注：说明重要债务重组的详细情况，包括债重组方式、债务重组利得（或损失）金额总额、债务转为资本导致的股本增加额（或债权转为股份导致的投资增加额及该投资占债务人股份总额的比例）、或有应付（或有应收）金额、债务重组中公允价值的确定方法及依据。"/>
    <m:section xlName="_GBC_c8e7bc701c4e40cea43130c65dd24cdf" title="非货币性资产交换" convertSummaryRule="NoConvert" helpId="112001183" helpText="注：非货币性资产交换应披露换入资产的类别、成本确定方式和公允价值，换出资产的类别、账面价值和公允价值，以及非货币性资产交换确认的损益。"/>
    <m:section xlName="_GBC_a7d8a797c78a4fb398d42fc923a0a5dc" title="其他资产置换资产说明" helpId="112001183" helpText="注：说明重要资产置换、转让及出售的情况，包括资产账面价值、转让金额、对财务状况与经营成果的影响、转让原因等。"/>
    <m:section xlName="_GBC_868ef73c1ce14e36a7c8c41a6c9d1268" title="年金计划主要内容及重大变化" convertSummaryRule="NoConvert" helpId="112001185" helpText="注：说明年金计划的主要内容及重要变化。"/>
    <m:section xlName="_GBC_eb9f713a39454ce1a2b0b09086ca70cc" title="终止经营" convertSummaryRule="NoConvert" helpId="112001187"/>
    <m:section xlName="_GBC_a659f5b3817d4a3394d1850cd82bbbab" title="分部信息报告分部的确定依据与会计政策" rules="R2015_R11_033" helpId="112001188"/>
    <m:section xlName="_GBC_7bcfc6b35dea4597b05ae9db882c542b" title="报告分部的财务信息" rules="R2015_R11_033" helpId="112001188" helpText="注：报告分部的财务信息应结合公司具体情况披露，包括主营业务收入、主营业务成本等信息。"/>
    <m:section xlName="_GBC_0a73290869524182a42675dee97eaa48" title="公司无报告分部的，或者不能披露各报告分部的资产总额和负债总额的，应说明原因" rules="R2015_R11_033" helpId="112001188"/>
    <m:section xlName="_GBC_bf8b759cb5b84035861b501b67f52f53" title="分部信息其他说明" rules="R2015_R11_033" helpId="112001188"/>
    <m:section xlName="_GBC_0e2af5e32a53408bb340218a0c352be0" title="其他重要事项说明" convertSummaryRule="NoConvert" helpId="112001190" helpText="注：说明其他对投资者决策有影响的重要交易和事项，包括具体情况、判断依据及相关会计处理。"/>
    <m:section xlName="_GBC_a9d998641356411784b3ec54387f322d" title="其他重要事项的说明" helpId="112001166"/>
    <m:section xlName="_GBC_f44cec1af5094a96a29dd8e92ee27b70" title="组合中，按账龄分析法计提坏账准备的应收账款" helpId="112002207" helpText="表里的“期末账面余额”指的是包含单项计提和组合计提的期末账面余额。"/>
    <m:item xlName="_GBC_bd7fb52eb7f647d5aa6c10677b261ee1" concept="clcid-ci-ar:ShiFouShiYongMuGongSiYingShouZhangKuanAnHuaiZhangJiTiFangFaFenLeiPiLu" label="是否适用：母公司应收账款按坏账计提方法分类披露" selectOptions="_buildInAppliance" controlType="CustomCheckbox" cRanges="[{&quot;StartName&quot;:&quot;_GBC_bd7fb52eb7f647d5aa6c10677b261ee1&quot;,&quot;EndName&quot;:&quot;_SEC_0daf1df16ecd4ddb95ab2ba88474abac&quot;,&quot;CType&quot;:1}]"/>
    <m:section xlName="_SEC_22b53fc701704bd9858f1a601e7a3144" title="(2).  按坏账计提方法分类披露"/>
    <m:section xlName="_SEC_25fdb1db4e684b509f2d87c2a7766da9" title="按单项计提坏账准备："/>
    <m:item xlName="_GBC_bf96e631f2cf4f6a876dff49863ee9d3" concept="clcid-ci-ar:ShiFouShiYongMuGongSiYingShouZhangKuanAnZuHeJiTiHuaiZhangZhunBei" label="是否适用：母公司应收账款按组合计提坏账准备" selectOptions="_buildInAppliance" controlType="CustomCheckbox" cRanges="[{&quot;StartName&quot;:&quot;_GBC_bf96e631f2cf4f6a876dff49863ee9d3&quot;,&quot;EndName&quot;:&quot;_SEC_6113a97431b44a51b796257dc3b7c6cb&quot;,&quot;CType&quot;:1}]"/>
    <m:section xlName="_SEC_6113a97431b44a51b796257dc3b7c6cb" title="组合计提项目" repeatable="1" tupleConcept="clcid-pte:AnZuHeJiTiHuaiZhangZhunBeiDeYingShouZhangKuanXiangXiMingXi"/>
    <m:section xlName="_SEC_0daf1df16ecd4ddb95ab2ba88474abac" title="如按预期信用损失一般模型计提坏账准备，请参照其他应收款披露："/>
    <m:item xlName="_GBC_f73789de2ecf49c4bad380c8767c93cf" concept="clcid-ci-ar:ShiFouShiYongMuGongSiYingShouZhangKuanHuaiZhangZhunBeiQingKuang" label="是否适用：母公司应收账款坏账准备情况" selectOptions="_buildInAppliance" controlType="CustomCheckbox" cRanges="[{&quot;StartName&quot;:&quot;_GBC_f73789de2ecf49c4bad380c8767c93cf&quot;,&quot;EndName&quot;:&quot;_SEC_1d771df7b6f44c3999ed9d4bceb75d3a&quot;,&quot;CType&quot;:1}]"/>
    <m:section xlName="_SEC_1d771df7b6f44c3999ed9d4bceb75d3a" title="计提坏账准备情况"/>
    <m:section xlName="_SEC_cfbe6c51f19042a4ad507f8066423e41" title="其中本期坏账准备收回或转回金额重要的："/>
    <m:section xlName="_GBC_72fe1bcd09e2470f910107f1e159af49" title="本报告期实际核销的应收账款情况" convertSummaryRule="NoConvert" helpId="112002207"/>
    <m:section xlName="_GBC_60192a235b1d4a9bb5f69fafe3ab6f87" title="按欠款方归集的期末余额前五名的应收账款情况" helpId="112002207" helpText="注：按欠款方集中度，汇总或分别披露期末余额前五名的应收账款的期末余额及占应收账款期末余额合计数的比例，以及相应计提的坏账准备期末余额。"/>
    <m:section xlName="_GBC_ab73666b561d47cbb383aa21715b406f" title="因金融资产转移而终止确认的应收账款" helpId="112002207" helpText="注：说明金融资产转移的方式、终止确认的应收款项金额，及与终止确认相关的利得或损失。"/>
    <m:section xlName="_GBC_0fefb2630375419f8e496c310f6ec9ee" title="转移应收账款且继续涉入的，分项列示继续涉入形成的资产、负债的金额" helpId="112002207" helpText="注：说明金融资产转移的方式，分项列示继续涉入形成的资产、负债的金额。"/>
    <m:section xlName="_GBC_eac4abdf299a4312a10e680c5fc79ef9" title="其他说明：" helpId="112002207"/>
    <m:section xlName="_SEC_e2f0b728ae404babbb57dfbc1fafed13" title="项目列示"/>
    <m:section xlName="_SEC_91e08163b2464f8cb5d135fd131f631f" title="应收利息分类"/>
    <m:section xlName="_SEC_e80bd789f30b40de829902e04129ef49" title="重要逾期利息"/>
    <m:section xlName="_SEC_ce38368754b54030878f7a4b3d48648e" title="坏账准备计提情况"/>
    <m:section xlName="_SEC_ad2b0daa52af481d8a56e5f8f2ccc52e" title="其他说明："/>
    <m:section xlName="_SEC_18f0cc3557ff45749d07d7a27d7c9620" title="应收股利"/>
    <m:section xlName="_SEC_ccfd129beeb14f31b282a062cd845e5e" title="重要的账龄超过1年的应收股利"/>
    <m:section xlName="_SEC_3d41530a7b3d408cbfe627f818ea914c" title="坏账准备计提情况"/>
    <m:section xlName="_SEC_2b03a6eb53a24c76a6dc28f0478009f2" title="其他说明："/>
    <m:section xlName="_GBC_7633445fb4f445e9a99e716971900a22" title="组合中，按账龄分析法计提坏账准备的其他应收款" helpId="112002209"/>
    <m:section xlName="_GBC_c9f7dc8489b74105a28800b5cfad23af" title="其他应收款按款项性质分类情况" helpId="112002209"/>
    <m:section xlName="_SEC_15d9e20371d54bec9233b27dd50b301d" title="坏账准备计提情况" helpText="如存在坏账准备，应按照财政部企业会计准则第37号第83条规定，披露损失准备期初余额与期末余额的调节表"/>
    <m:section xlName="_SEC_7efe43f77bc44437a16fe9cc44dc64d6" title="坏账准备的情况"/>
    <m:section xlName="_SEC_ffe6c87a4f4a49bd9769cbeb746b444b" title="本期实际核销的其他应收款情况"/>
    <m:section xlName="_SEC_6c44e00a54d34fb1a03f38b7cf5b8a5d" title="其他应收款核销说明：  "/>
    <m:section xlName="_GBC_c77f7efeabc1402191807946a9bfe714" title="按欠款方归集的期末余额前五名的其他应收款情况" helpId="112002209"/>
    <m:section xlName="_GBC_52bd0b171cc64f85aa1100213c81523c" title="按应收金额确认的政府补助" helpId="112002209" helpText="注：公司未能在预计时点收到预计金额的政府补助，应说明原因。"/>
    <m:section xlName="_GBC_338c72ace78c4ba79d60f19b8dbabe9a" title="因金融资产转移而终止确认的其他应收款" helpId="112002209" helpText="注：说明金融资产转移的方式、终止确认的其他应收款金额，及与终止确认相关的利得或损失。"/>
    <m:section xlName="_GBC_86d729c7494a406ba4f51afb2c881955" title="转移其他应收款且继续涉入的，分项列示继续涉入形成的资产、负债..." helpId="112002209" helpText="注：说明金融资产转移的方式、分项列示继续涉入形成的资产、负债的金额。"/>
    <m:section xlName="_GBC_4b6cd384bee54ff79269fa4457c70d49" title="其他应收款其他说明" helpId="112002209"/>
    <m:item xlName="_GBC_61071b9a58624e83bfc4232808751b95" concept="clcid-ci-ar:ShiFouShiYongMuGongSiChangQiGuQuanTouZi" label="是否适用：母公司长期股权投资" selectOptions="_buildInAppliance" controlType="CustomCheckbox" cRanges="{&quot;StartName&quot;:&quot;_GBC_61071b9a58624e83bfc4232808751b95&quot;,&quot;EndName&quot;:&quot;_GBC_1577b793bbce4a50b07decde0e07491e&quot;,&quot;CType&quot;:1,&quot;DisplayText&quot;:null}"/>
    <m:section xlName="_GBC_e5163872166a4141a666e7eec5d9956c" title="长期股权投资按成本法核算" helpId="112002211"/>
    <m:section xlName="_GBC_354d808d545e41aab5b25112222d90f9" title="对子公司投资" helpId="112002211"/>
    <m:section xlName="_GBC_eb61534d0a614526b319605aeaa9bf73" title="对联营、合营企业投资" helpId="112002211"/>
    <m:section xlName="_GBC_1577b793bbce4a50b07decde0e07491e" title="长期股权投资的说明" helpId="112002211"/>
    <m:section xlName="_SEC_c20353238d924d35bff1a3e0cee4af4b" title="营业收入和营业成本情况" keyAction="89"/>
    <m:section xlName="_SEC_2713156f501a4b5a86eb4ab43bcaf25e" title="合同产生的收入情况：" tagAction="1">
      <m:virtualTuples>
        <m:virtualTuple id="9c48938d-9db4-49c7-90b7-47a508f5c7fd" tupleRef="clcid-pte:HeTongChanShengDeShouRuFenBuMingXi" extendDirection="2"/>
      </m:virtualTuples>
    </m:section>
    <m:section xlName="_SEC_53d5f13d55ef41a88538eb4a1cd87f53" title="履约义务的说明"/>
    <m:section xlName="_SEC_70d7b3f4762b43eabe7e1ecc83c000d4" title="分摊至剩余履约义务的说明"/>
    <m:item xlName="_GBC_67059ac627994738bbd2a2272a5068c8" concept="clcid-pte:ZhuYingYeWuShuoMing" label="主营业务说明">
      <m:axisValue occRef="母公司"/>
    </m:item>
    <m:section xlName="_SEC_69cb0c27d0a845f8ab1383f9a47646b6" title="投资收益"/>
    <m:section xlName="_GBC_23958e5452684882b98c8317e400c8d6" title="母公司会计报表附注的其他说明事项"/>
    <m:section xlName="_SEC_2aa2bf80e6494d88b3464b71ad8053ad" title="当期非经常性损益明细" helpId="112001192" helpText="注：各非经常性损益项目按税前金额列示。"/>
    <m:section xlName="_GBC_7944e47348cd4cd186b958ba1902ea3f" title="对公司根据《公开发行证券的公司信息披露解释性公告第1号——非..." convertSummaryRule="NoConvert" helpId="112001192"/>
    <m:section xlName="_GBC_146d888914ac4591bea1ff0ea9e89617" title="净资产收益率及每股收益" helpId="112001194"/>
    <m:item xlName="_GBC_3482333eff2948139884cfdd1debc958" concept="clcid-ci-ar:ShiFouShiYongJingNeiWaiHuiJiZhunZeXiaHuiJiShuJuChaYi" label="是否适用：境内外会计准则下会计数据差异" selectOptions="_buildInAppliance" controlType="CustomCheckbox" cRanges="{&quot;StartName&quot;:&quot;_GBC_3482333eff2948139884cfdd1debc958&quot;,&quot;EndName&quot;:&quot;_GBC_28e04aa78d514ffaa91bd2d93b36d312&quot;,&quot;CType&quot;:1,&quot;DisplayText&quot;:null}"/>
    <m:section xlName="_GBC_30f5ba046d124b5db9ae669fe845bbdb" title="同时按照国际会计准则与按中国会计准则披露的财务报告中净利润和..." helpId="112001195"/>
    <m:section xlName="_GBC_4dcd3e5d3e2046b28e99d35c3cbab7be" title="同时按照境外会计准则与按中国会计准则披露的财务报告中净利润和..." helpId="112001195" helpText="注：境内外会计准则下会计数据差异填列合并报表数据。"/>
    <m:section xlName="_GBC_28e04aa78d514ffaa91bd2d93b36d312" title="境内外会计准则下会计数据差异说明" convertSummaryRule="NoConvert" helpId="112001195"/>
    <m:section xlName="_GBC_a60672e5f86e422cbb864ef991c9106b" title="补充资料其他说明事项" helpId="112001166"/>
    <m:section xlName="_SEC_05b1791af4454108ad401bb8a64cf5c6" title="落款" convertSummaryRule="NoConvert" helpId="110002018"/>
    <m:section xlName="_GBC_e51b54728b2e4e53b95b0611d0df9b06" title="修订信息 " convertSummaryRule="NoConvert"/>
  </m:document>
  <m:conditions>
    <m:precondition id="CON_1a48cdb3133a4677a167bac7a8bc1aa8" desc="营业收入_上期数大于0" test=" $_GBC_7c5da886e3a04f318f97bf5b3df41719 &gt;  0 "/>
    <m:precondition id="CON_af473f7d20304c22995363c757f6daf0" desc="资产上年末数大于0" test=" $_GBC_6c7912ed42714421ab5f733f008d5f76 &gt;  0 "/>
    <m:precondition id="CON_197fec41ec98488498dfbe498be59a74" desc="股东权益上年末数大于0" test=" $_GBC_8d9460019b644ac19fb31e97c9b4647e &gt;  0 "/>
    <m:precondition id="CON_bdd606b457ef4e93a2a0294a54e4b405" desc="经营现金流量_上期数大于0" test=" $_GBC_7e2906a118e24d74ad326fa7837a253e &gt;  0 "/>
    <m:precondition id="CON_4da0ebfe15f24df88a660504507e40e1" desc="基本每股收益上期数大于0" test=" $_GBC_584729723e57485398b1976834ccf5b0 &gt;  0 "/>
    <m:precondition id="CON_a61b951a5f0c465ba40b9b17e981dbcd" desc="稀释每股收益上期数大于0" test=" $_GBC_df6801dbb6554f788e5691b1275ddc0c &gt;  0 "/>
    <m:precondition id="CON_6f9fe1fdf3be45bbaebeadd971a87dfa" desc="扣后净利润_上期数大于0" test=" $_GBC_9a2bb710bc064c538a123f1d4d9adca0 &gt;  0 "/>
    <m:precondition id="CON_657ce831c12f4f5781f276dad93ed67d" desc="归属净利润大于0" test=" $_GBC_3730fdab291446f69786b3732d6fa348 &gt;  0 "/>
    <m:precondition id="CON_cb528b2dd3f44a8abfa014ef24c74987" desc="扣后基本每股收益上期数大于0" test=" $_GBC_b9acb6b637744de2b3a128c6e247d5bf &gt;  0 "/>
  </m:conditions>
</m:mapping>
</file>

<file path=customXml/item5.xml><?xml version="1.0" encoding="utf-8"?>
<t:template xmlns:t="http://mapping.word.org/2012/template">
  <t:sse><![CDATA[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]]></t:sse>
</t:template>
</file>

<file path=customXml/itemProps1.xml><?xml version="1.0" encoding="utf-8"?>
<ds:datastoreItem xmlns:ds="http://schemas.openxmlformats.org/officeDocument/2006/customXml" ds:itemID="{58D22E78-ACA9-4B15-891A-026F1E8EFFEB}">
  <ds:schemaRefs>
    <ds:schemaRef ds:uri="http://schemas.openxmlformats.org/officeDocument/2006/bibliography"/>
  </ds:schemaRefs>
</ds:datastoreItem>
</file>

<file path=customXml/itemProps2.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3.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4.xml><?xml version="1.0" encoding="utf-8"?>
<ds:datastoreItem xmlns:ds="http://schemas.openxmlformats.org/officeDocument/2006/customXml" ds:itemID="{F930F084-D67C-42B2-B88D-CA5BC332E842}">
  <ds:schemaRefs>
    <ds:schemaRef ds:uri="http://mapping.word.org/2012/mapping"/>
  </ds:schemaRefs>
</ds:datastoreItem>
</file>

<file path=customXml/itemProps5.xml><?xml version="1.0" encoding="utf-8"?>
<ds:datastoreItem xmlns:ds="http://schemas.openxmlformats.org/officeDocument/2006/customXml" ds:itemID="{44923D68-CB92-4845-A8C3-442689AD5E37}">
  <ds:schemaRefs>
    <ds:schemaRef ds:uri="http://mapping.word.org/2012/template"/>
  </ds:schemaRefs>
</ds:datastoreItem>
</file>

<file path=docProps/app.xml><?xml version="1.0" encoding="utf-8"?>
<Properties xmlns="http://schemas.openxmlformats.org/officeDocument/2006/extended-properties" xmlns:vt="http://schemas.openxmlformats.org/officeDocument/2006/docPropsVTypes">
  <Template>SSEReport.dotm</Template>
  <TotalTime>4</TotalTime>
  <Pages>1</Pages>
  <Words>38482</Words>
  <Characters>219353</Characters>
  <Application>Microsoft Office Word</Application>
  <DocSecurity>0</DocSecurity>
  <Lines>1827</Lines>
  <Paragraphs>514</Paragraphs>
  <ScaleCrop>false</ScaleCrop>
  <Company>Sky123.Org</Company>
  <LinksUpToDate>false</LinksUpToDate>
  <CharactersWithSpaces>257321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czq</dc:creator>
  <cp:lastModifiedBy>1432642317@qq.com</cp:lastModifiedBy>
  <cp:revision>6</cp:revision>
  <dcterms:created xsi:type="dcterms:W3CDTF">2023-08-24T09:49:00Z</dcterms:created>
  <dcterms:modified xsi:type="dcterms:W3CDTF">2023-08-25T00:53:00Z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5B77E7CEEC58BC6AFAE8886BEB80DBEB">
    <vt:lpwstr>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</vt:lpwstr>
  </property>
  <property fmtid="{D5CDD505-2E9C-101B-9397-08002B2CF9AE}" pid="3" name="KSOProductBuildVer">
    <vt:lpwstr>2052-11.1.0.14309</vt:lpwstr>
  </property>
  <property fmtid="{D5CDD505-2E9C-101B-9397-08002B2CF9AE}" pid="4" name="ICV">
    <vt:lpwstr>113FB4F3FBA94BDFBC54007CC036009F_12</vt:lpwstr>
  </property>
</Properties>
</file>